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C903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C45F3A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2A083A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маю 1940 на 126 заводе из 95 плановых ДБ-3Б приемку прошло 25. Многие самолеты простояли на заво</w:t>
      </w:r>
      <w:r w:rsidRPr="00DB5D0D">
        <w:rPr>
          <w:rFonts w:ascii="Times New Roman" w:hAnsi="Times New Roman"/>
          <w:color w:val="000000" w:themeColor="text1"/>
          <w:sz w:val="16"/>
          <w:szCs w:val="16"/>
        </w:rPr>
        <w:softHyphen/>
        <w:t>де по несколько месяцев, пока их довели «до ума». Так, почти вся 28-я серия (мартовская) сдавалась в сентябре после неоднократных пе</w:t>
      </w:r>
      <w:r w:rsidRPr="00DB5D0D">
        <w:rPr>
          <w:rFonts w:ascii="Times New Roman" w:hAnsi="Times New Roman"/>
          <w:color w:val="000000" w:themeColor="text1"/>
          <w:sz w:val="16"/>
          <w:szCs w:val="16"/>
        </w:rPr>
        <w:softHyphen/>
        <w:t>ределок. К этому времени два других завода уже полностью пере</w:t>
      </w:r>
      <w:r w:rsidRPr="00DB5D0D">
        <w:rPr>
          <w:rFonts w:ascii="Times New Roman" w:hAnsi="Times New Roman"/>
          <w:color w:val="000000" w:themeColor="text1"/>
          <w:sz w:val="16"/>
          <w:szCs w:val="16"/>
        </w:rPr>
        <w:softHyphen/>
        <w:t>шли на выпуск усовершенствованных ДБ-3Ф. Мало того, что самолеты из Комсомольска имели самое низкое качество — они были еще и самыми дорогими. В 1939 г. бомбарди</w:t>
      </w:r>
      <w:r w:rsidRPr="00DB5D0D">
        <w:rPr>
          <w:rFonts w:ascii="Times New Roman" w:hAnsi="Times New Roman"/>
          <w:color w:val="000000" w:themeColor="text1"/>
          <w:sz w:val="16"/>
          <w:szCs w:val="16"/>
        </w:rPr>
        <w:softHyphen/>
        <w:t>ровщик с моторами М-87 стоил в Москве — 720 тыс. рублей, в Воро</w:t>
      </w:r>
      <w:r w:rsidRPr="00DB5D0D">
        <w:rPr>
          <w:rFonts w:ascii="Times New Roman" w:hAnsi="Times New Roman"/>
          <w:color w:val="000000" w:themeColor="text1"/>
          <w:sz w:val="16"/>
          <w:szCs w:val="16"/>
        </w:rPr>
        <w:softHyphen/>
        <w:t>неже — 665 тыс. руб., а в Комсомольске — 1530 тыс. руб. — в полто</w:t>
      </w:r>
      <w:r w:rsidRPr="00DB5D0D">
        <w:rPr>
          <w:rFonts w:ascii="Times New Roman" w:hAnsi="Times New Roman"/>
          <w:color w:val="000000" w:themeColor="text1"/>
          <w:sz w:val="16"/>
          <w:szCs w:val="16"/>
        </w:rPr>
        <w:softHyphen/>
        <w:t>ра раза больше, чем предполагалась цена новой модификации с новейшими двигателями М-88! (6474).</w:t>
      </w:r>
    </w:p>
    <w:p w14:paraId="12E6F2B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0FAED2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568458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C4163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маю 1940 года годовой план выпуска КВ был увеличен с 50 до почти 200 штук. АБТУ РККА обеспокоенное тем, что танк не проходил полноценных испытаний, а у уже выпущенных машин было обнаружено много дефектов, предложило провести полномасштабные испытания, которые и начались в мае 1940 года в Кубинке и под Ленинградом. (3862).</w:t>
      </w:r>
    </w:p>
    <w:p w14:paraId="339BBC4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91A9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маю 1940 г. Изюмский завод оптического стекла ((Завод № 353 им. Дзержинского НКВ, Изюмский завод оптического стекла (ИЗОС) им. тов. Дзержинского ВСНХ, НКТП, НКОП, НКВ, Изюмский приборостроительный завод /Украина  г. Изюм Харьковской обл.;  г. Томск;  г. Изюм/.)) был переименован в завод № 353. В 06.1940 г. - в ведении 2ГУ НКВ.</w:t>
      </w:r>
    </w:p>
    <w:p w14:paraId="071BEF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10.1941 г. часть завода (4 эшелона с оборудованием и кадрами) эвакуирована на завод № 354 в Никольск; основная часть завода- в Томск, где продолжил действовать под прежним номером. В 1943 г. влит в состав завода № 355 НКВ.</w:t>
      </w:r>
    </w:p>
    <w:p w14:paraId="55AE35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освобождения города от фашистов завод № 353 был восстановлен на прежнем месте. Далее- Изюмский приборостроительный завод.</w:t>
      </w:r>
    </w:p>
    <w:p w14:paraId="17515F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(1930 г.)- 521 чел., (1931 г.)- 734 чел., (1935 г.)- 330 чел.</w:t>
      </w:r>
    </w:p>
    <w:p w14:paraId="27CD17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(-01-9.11.1935 г.)-  Г. Г. Лакнер, (9.11.1935-05.1938 г.-&gt; И.П. Васильев, В.Л. Безкорсый. Гендиректор (2007 г.)- В. Мануйлов.</w:t>
      </w:r>
    </w:p>
    <w:p w14:paraId="02047B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И.О. технического директора (9.01.1934 г.-)- И.И. Назаров. Технический директор (01.1935 г.)- И.И. Назаров.</w:t>
      </w:r>
    </w:p>
    <w:p w14:paraId="00F39E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(7.09.1938 г.-)- И.И. Назаров.</w:t>
      </w:r>
    </w:p>
    <w:p w14:paraId="1D0A65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механик (01.1935 г.)- И.И. Птицин.</w:t>
      </w:r>
      <w:r w:rsidRPr="00DB5D0D">
        <w:rPr>
          <w:rFonts w:ascii="Times New Roman" w:hAnsi="Times New Roman"/>
          <w:color w:val="000000" w:themeColor="text1"/>
          <w:sz w:val="16"/>
          <w:szCs w:val="16"/>
          <w:vertAlign w:val="superscript"/>
        </w:rPr>
        <w:t>139</w:t>
      </w:r>
    </w:p>
    <w:p w14:paraId="32E1DA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Начальники отделов: ППО (12.1934 г.)- Ермолаев.</w:t>
      </w:r>
    </w:p>
    <w:p w14:paraId="1D7D2B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Производство:</w:t>
      </w:r>
      <w:r w:rsidRPr="00DB5D0D">
        <w:rPr>
          <w:rFonts w:ascii="Times New Roman" w:hAnsi="Times New Roman"/>
          <w:color w:val="000000" w:themeColor="text1"/>
          <w:sz w:val="16"/>
          <w:szCs w:val="16"/>
        </w:rPr>
        <w:t xml:space="preserve"> оптическое стекло, очковые заготовки, конденсоры (1932) (11982).</w:t>
      </w:r>
    </w:p>
    <w:p w14:paraId="65FDF32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65A5D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89952D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D0C2B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по 4 мая 1940 в ходе гос. испытаний в НИИ ВВС головного серийного самолета ДБ-3 2М-88 N 390204 с винтами ВИШ-23А, производства завода 39 полеты не проводились из-за праздников и того, что 4 была нелетная погода. В этот день осматривали матчасть и устраняли дефекты (2135).</w:t>
      </w:r>
    </w:p>
    <w:p w14:paraId="56F9DAB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48D7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мая 1940 с завода № 125 в части было отправлено с завода 89 самолетов серий 40 и 41. Эти машины не укомплектовывались автопилотами, радиостанцией "Чайка", турелями MB-2 и МВ-3, приборами "Ночь" и "Эхолот". Такая комплектация предусматривалась лишь с 43-й серии, которая поступила из цехов лишь в конце мая и не успела пройти сдаточные испытания. Предусматривалось, что в сентябре в частях 20 самолетов будут доработаны под установку турели МВ-2 и "Чайку". Лишь с июля на заводе стали устанавливать это оборудование на самолеты, и в части ушли 29 СБ в более совершенной комплектации. Восемь самолетов улетели в 28 авиабригаду на аэродром Возжаевка, два - в Спасск- Дальний в 25 авиабригаду, еще одна - 12 драэ на аэродром Мучная и три самолета - в 12 авиабригаду в Сысоевку. Остальные 15 машин имели установочные места под "Чайку", но по причине непоставки этих станций ими так и не укомплектовались.</w:t>
      </w:r>
    </w:p>
    <w:p w14:paraId="67798F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Командование двух Отдельных армий на Дальнем Востоке и двух военных округов, Сибирского и Забайкальского, опасаясь развязывания японцами новых боевых действий, лихорадочно насыщало бомбардировочные части хорошо зарекомендовавшими себя на Хасане и Халхин-Голе скоростными бомбардировщиками. О количестве и географии поставок СБ во второй половине 1940 г. свидетельствует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tblGrid>
      <w:tr w:rsidR="007D5DF8" w:rsidRPr="00DB5D0D" w14:paraId="4C0B2C1B" w14:textId="77777777" w:rsidTr="009223E5">
        <w:tc>
          <w:tcPr>
            <w:tcW w:w="1868" w:type="dxa"/>
            <w:tcBorders>
              <w:top w:val="single" w:sz="12" w:space="0" w:color="auto"/>
            </w:tcBorders>
          </w:tcPr>
          <w:p w14:paraId="3D820C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 поставки</w:t>
            </w:r>
          </w:p>
        </w:tc>
        <w:tc>
          <w:tcPr>
            <w:tcW w:w="1868" w:type="dxa"/>
            <w:tcBorders>
              <w:top w:val="single" w:sz="12" w:space="0" w:color="auto"/>
            </w:tcBorders>
          </w:tcPr>
          <w:p w14:paraId="412AE6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Серийные номера самолетов</w:t>
            </w:r>
          </w:p>
        </w:tc>
        <w:tc>
          <w:tcPr>
            <w:tcW w:w="1868" w:type="dxa"/>
            <w:tcBorders>
              <w:top w:val="single" w:sz="12" w:space="0" w:color="auto"/>
            </w:tcBorders>
          </w:tcPr>
          <w:p w14:paraId="25D247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 отправки</w:t>
            </w:r>
          </w:p>
        </w:tc>
        <w:tc>
          <w:tcPr>
            <w:tcW w:w="1868" w:type="dxa"/>
            <w:tcBorders>
              <w:top w:val="single" w:sz="12" w:space="0" w:color="auto"/>
            </w:tcBorders>
          </w:tcPr>
          <w:p w14:paraId="0F0EF6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Поставка групповых комплектов</w:t>
            </w:r>
          </w:p>
        </w:tc>
      </w:tr>
      <w:tr w:rsidR="007D5DF8" w:rsidRPr="00DB5D0D" w14:paraId="63D4F37F" w14:textId="77777777" w:rsidTr="009223E5">
        <w:tc>
          <w:tcPr>
            <w:tcW w:w="1868" w:type="dxa"/>
          </w:tcPr>
          <w:p w14:paraId="63A7DC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ОКА 28 аб, Возжаевка</w:t>
            </w:r>
          </w:p>
        </w:tc>
        <w:tc>
          <w:tcPr>
            <w:tcW w:w="1868" w:type="dxa"/>
          </w:tcPr>
          <w:p w14:paraId="39C7D7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40/12,40/14,40/17, 40/18, 40/20, 41/2, 41/4, 41/7, 41/10,41/12,41/14,41/16, 41/18, 41/20, 31/16</w:t>
            </w:r>
          </w:p>
        </w:tc>
        <w:tc>
          <w:tcPr>
            <w:tcW w:w="1868" w:type="dxa"/>
          </w:tcPr>
          <w:p w14:paraId="42A88F8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5797564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3BA62A8" w14:textId="77777777" w:rsidTr="009223E5">
        <w:tc>
          <w:tcPr>
            <w:tcW w:w="1868" w:type="dxa"/>
          </w:tcPr>
          <w:p w14:paraId="7B8E40F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1B5EA7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41/8, 42/1-42/5, 42/7-42/19, 43/1</w:t>
            </w:r>
          </w:p>
        </w:tc>
        <w:tc>
          <w:tcPr>
            <w:tcW w:w="1868" w:type="dxa"/>
          </w:tcPr>
          <w:p w14:paraId="193DA8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 1940 г.</w:t>
            </w:r>
          </w:p>
        </w:tc>
        <w:tc>
          <w:tcPr>
            <w:tcW w:w="1868" w:type="dxa"/>
          </w:tcPr>
          <w:p w14:paraId="6D6F591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4C27744" w14:textId="77777777" w:rsidTr="009223E5">
        <w:tc>
          <w:tcPr>
            <w:tcW w:w="1868" w:type="dxa"/>
          </w:tcPr>
          <w:p w14:paraId="0067BEF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2716E8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43/8-43/10, 43/14, 43/16-43/20, 44/2,44/4-44/9, 44/11</w:t>
            </w:r>
          </w:p>
        </w:tc>
        <w:tc>
          <w:tcPr>
            <w:tcW w:w="1868" w:type="dxa"/>
          </w:tcPr>
          <w:p w14:paraId="34E9C7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 1940 г.</w:t>
            </w:r>
          </w:p>
        </w:tc>
        <w:tc>
          <w:tcPr>
            <w:tcW w:w="1868" w:type="dxa"/>
          </w:tcPr>
          <w:p w14:paraId="078497D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ECE3E13" w14:textId="77777777" w:rsidTr="009223E5">
        <w:tc>
          <w:tcPr>
            <w:tcW w:w="1868" w:type="dxa"/>
          </w:tcPr>
          <w:p w14:paraId="336622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ОКА 25 аб Спасс-Дальний</w:t>
            </w:r>
          </w:p>
        </w:tc>
        <w:tc>
          <w:tcPr>
            <w:tcW w:w="1868" w:type="dxa"/>
          </w:tcPr>
          <w:p w14:paraId="7053D3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42/6, 43/2.43,3, 43/11,44/1</w:t>
            </w:r>
          </w:p>
        </w:tc>
        <w:tc>
          <w:tcPr>
            <w:tcW w:w="1868" w:type="dxa"/>
          </w:tcPr>
          <w:p w14:paraId="5AD442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 1940 г.</w:t>
            </w:r>
          </w:p>
        </w:tc>
        <w:tc>
          <w:tcPr>
            <w:tcW w:w="1868" w:type="dxa"/>
          </w:tcPr>
          <w:p w14:paraId="1C0D219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43481E4" w14:textId="77777777" w:rsidTr="009223E5">
        <w:tc>
          <w:tcPr>
            <w:tcW w:w="1868" w:type="dxa"/>
          </w:tcPr>
          <w:p w14:paraId="09303C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 бап, Чита</w:t>
            </w:r>
          </w:p>
        </w:tc>
        <w:tc>
          <w:tcPr>
            <w:tcW w:w="1868" w:type="dxa"/>
          </w:tcPr>
          <w:p w14:paraId="1A98DBB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7531B62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0F25B2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3A2E80EF" w14:textId="77777777" w:rsidTr="009223E5">
        <w:tc>
          <w:tcPr>
            <w:tcW w:w="1868" w:type="dxa"/>
          </w:tcPr>
          <w:p w14:paraId="5D67E1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 ап, Домна</w:t>
            </w:r>
          </w:p>
        </w:tc>
        <w:tc>
          <w:tcPr>
            <w:tcW w:w="1868" w:type="dxa"/>
          </w:tcPr>
          <w:p w14:paraId="75464E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39/5-39/14</w:t>
            </w:r>
          </w:p>
        </w:tc>
        <w:tc>
          <w:tcPr>
            <w:tcW w:w="1868" w:type="dxa"/>
          </w:tcPr>
          <w:p w14:paraId="254E91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апреля 1940</w:t>
            </w:r>
          </w:p>
        </w:tc>
        <w:tc>
          <w:tcPr>
            <w:tcW w:w="1868" w:type="dxa"/>
          </w:tcPr>
          <w:p w14:paraId="5226EB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самолетов</w:t>
            </w:r>
          </w:p>
        </w:tc>
      </w:tr>
      <w:tr w:rsidR="007D5DF8" w:rsidRPr="00DB5D0D" w14:paraId="599240D8" w14:textId="77777777" w:rsidTr="009223E5">
        <w:tc>
          <w:tcPr>
            <w:tcW w:w="1868" w:type="dxa"/>
          </w:tcPr>
          <w:p w14:paraId="2515316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391541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45/16-45/20, 46/1-46/16</w:t>
            </w:r>
          </w:p>
        </w:tc>
        <w:tc>
          <w:tcPr>
            <w:tcW w:w="1868" w:type="dxa"/>
          </w:tcPr>
          <w:p w14:paraId="7F89C8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 1940 г.</w:t>
            </w:r>
          </w:p>
        </w:tc>
        <w:tc>
          <w:tcPr>
            <w:tcW w:w="1868" w:type="dxa"/>
          </w:tcPr>
          <w:p w14:paraId="63DE13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самолетов</w:t>
            </w:r>
          </w:p>
        </w:tc>
      </w:tr>
      <w:tr w:rsidR="007D5DF8" w:rsidRPr="00DB5D0D" w14:paraId="35A98249" w14:textId="77777777" w:rsidTr="009223E5">
        <w:tc>
          <w:tcPr>
            <w:tcW w:w="1868" w:type="dxa"/>
          </w:tcPr>
          <w:p w14:paraId="5ACE91B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41B8B4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50/13</w:t>
            </w:r>
          </w:p>
        </w:tc>
        <w:tc>
          <w:tcPr>
            <w:tcW w:w="1868" w:type="dxa"/>
          </w:tcPr>
          <w:p w14:paraId="65F28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 октябрь 1940 г.</w:t>
            </w:r>
          </w:p>
        </w:tc>
        <w:tc>
          <w:tcPr>
            <w:tcW w:w="1868" w:type="dxa"/>
          </w:tcPr>
          <w:p w14:paraId="255E81E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612C06B" w14:textId="77777777" w:rsidTr="009223E5">
        <w:tc>
          <w:tcPr>
            <w:tcW w:w="1868" w:type="dxa"/>
          </w:tcPr>
          <w:p w14:paraId="42F7F3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авиабригада погранвойск НКВД СССР</w:t>
            </w:r>
          </w:p>
        </w:tc>
        <w:tc>
          <w:tcPr>
            <w:tcW w:w="1868" w:type="dxa"/>
          </w:tcPr>
          <w:p w14:paraId="3D426C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39/15, 39/19</w:t>
            </w:r>
          </w:p>
        </w:tc>
        <w:tc>
          <w:tcPr>
            <w:tcW w:w="1868" w:type="dxa"/>
          </w:tcPr>
          <w:p w14:paraId="384269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апреля 1940 г. </w:t>
            </w:r>
          </w:p>
        </w:tc>
        <w:tc>
          <w:tcPr>
            <w:tcW w:w="1868" w:type="dxa"/>
          </w:tcPr>
          <w:p w14:paraId="66E2639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CB89227" w14:textId="77777777" w:rsidTr="009223E5">
        <w:tc>
          <w:tcPr>
            <w:tcW w:w="1868" w:type="dxa"/>
          </w:tcPr>
          <w:p w14:paraId="686C7D5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251092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39/16-39/18, 39/20, 40/2,40/9, 40/10</w:t>
            </w:r>
          </w:p>
        </w:tc>
        <w:tc>
          <w:tcPr>
            <w:tcW w:w="1868" w:type="dxa"/>
          </w:tcPr>
          <w:p w14:paraId="07CA44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w:t>
            </w:r>
          </w:p>
        </w:tc>
        <w:tc>
          <w:tcPr>
            <w:tcW w:w="1868" w:type="dxa"/>
          </w:tcPr>
          <w:p w14:paraId="75AC43F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43B0068" w14:textId="77777777" w:rsidTr="009223E5">
        <w:tc>
          <w:tcPr>
            <w:tcW w:w="1868" w:type="dxa"/>
          </w:tcPr>
          <w:p w14:paraId="7FCBD5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ОКА, 27 бап, Возжаевка</w:t>
            </w:r>
          </w:p>
        </w:tc>
        <w:tc>
          <w:tcPr>
            <w:tcW w:w="1868" w:type="dxa"/>
          </w:tcPr>
          <w:p w14:paraId="49BE3F0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22847FA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502205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07B9441D" w14:textId="77777777" w:rsidTr="009223E5">
        <w:tc>
          <w:tcPr>
            <w:tcW w:w="1868" w:type="dxa"/>
          </w:tcPr>
          <w:p w14:paraId="268B72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ап СибВО, Красноярск</w:t>
            </w:r>
          </w:p>
        </w:tc>
        <w:tc>
          <w:tcPr>
            <w:tcW w:w="1868" w:type="dxa"/>
          </w:tcPr>
          <w:p w14:paraId="4EC752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41/19, 40/15, 40/16, 40/19,41 + 1,41/3, 41-5,41/6,41/9,41/11, 41/13,41/15,41/17</w:t>
            </w:r>
          </w:p>
        </w:tc>
        <w:tc>
          <w:tcPr>
            <w:tcW w:w="1868" w:type="dxa"/>
          </w:tcPr>
          <w:p w14:paraId="4FB930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13 -14 мая 1940 г.</w:t>
            </w:r>
          </w:p>
        </w:tc>
        <w:tc>
          <w:tcPr>
            <w:tcW w:w="1868" w:type="dxa"/>
          </w:tcPr>
          <w:p w14:paraId="0E91BA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самолетов</w:t>
            </w:r>
          </w:p>
        </w:tc>
      </w:tr>
      <w:tr w:rsidR="007D5DF8" w:rsidRPr="00DB5D0D" w14:paraId="02322EB6" w14:textId="77777777" w:rsidTr="009223E5">
        <w:tc>
          <w:tcPr>
            <w:tcW w:w="1868" w:type="dxa"/>
          </w:tcPr>
          <w:p w14:paraId="6976D1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 сбп, Красный Кут</w:t>
            </w:r>
          </w:p>
        </w:tc>
        <w:tc>
          <w:tcPr>
            <w:tcW w:w="1868" w:type="dxa"/>
          </w:tcPr>
          <w:p w14:paraId="0E62E5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68" w:type="dxa"/>
          </w:tcPr>
          <w:p w14:paraId="0313CB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298584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6BDFDE6B" w14:textId="77777777" w:rsidTr="009223E5">
        <w:tc>
          <w:tcPr>
            <w:tcW w:w="1868" w:type="dxa"/>
          </w:tcPr>
          <w:p w14:paraId="5A36BC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 сбп, Воскресенка</w:t>
            </w:r>
          </w:p>
        </w:tc>
        <w:tc>
          <w:tcPr>
            <w:tcW w:w="1868" w:type="dxa"/>
          </w:tcPr>
          <w:p w14:paraId="00E3D5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68" w:type="dxa"/>
          </w:tcPr>
          <w:p w14:paraId="3F920BA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60D524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617C76CA" w14:textId="77777777" w:rsidTr="009223E5">
        <w:tc>
          <w:tcPr>
            <w:tcW w:w="1868" w:type="dxa"/>
          </w:tcPr>
          <w:p w14:paraId="06648D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 сбп, Чернышевка</w:t>
            </w:r>
          </w:p>
        </w:tc>
        <w:tc>
          <w:tcPr>
            <w:tcW w:w="1868" w:type="dxa"/>
          </w:tcPr>
          <w:p w14:paraId="5A8CD7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868" w:type="dxa"/>
          </w:tcPr>
          <w:p w14:paraId="68437D1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002333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4DDBD941" w14:textId="77777777" w:rsidTr="009223E5">
        <w:tc>
          <w:tcPr>
            <w:tcW w:w="1868" w:type="dxa"/>
          </w:tcPr>
          <w:p w14:paraId="7EE61E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 сбп, Варфоломеевка</w:t>
            </w:r>
          </w:p>
        </w:tc>
        <w:tc>
          <w:tcPr>
            <w:tcW w:w="1868" w:type="dxa"/>
          </w:tcPr>
          <w:p w14:paraId="5D3819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868" w:type="dxa"/>
          </w:tcPr>
          <w:p w14:paraId="4C43A9F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5ADC3B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4C695985" w14:textId="77777777" w:rsidTr="009223E5">
        <w:tc>
          <w:tcPr>
            <w:tcW w:w="1868" w:type="dxa"/>
          </w:tcPr>
          <w:p w14:paraId="062A7C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3драэ, Белая</w:t>
            </w:r>
          </w:p>
        </w:tc>
        <w:tc>
          <w:tcPr>
            <w:tcW w:w="1868" w:type="dxa"/>
          </w:tcPr>
          <w:p w14:paraId="26E834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868" w:type="dxa"/>
          </w:tcPr>
          <w:p w14:paraId="353DCB1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1EA574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r w:rsidR="007D5DF8" w:rsidRPr="00DB5D0D" w14:paraId="7D613DD4" w14:textId="77777777" w:rsidTr="009223E5">
        <w:tc>
          <w:tcPr>
            <w:tcW w:w="1868" w:type="dxa"/>
          </w:tcPr>
          <w:p w14:paraId="009C2B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аб, Николаевск-на-Амуре</w:t>
            </w:r>
          </w:p>
        </w:tc>
        <w:tc>
          <w:tcPr>
            <w:tcW w:w="1868" w:type="dxa"/>
          </w:tcPr>
          <w:p w14:paraId="024ABF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868" w:type="dxa"/>
          </w:tcPr>
          <w:p w14:paraId="08AF0BD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3E6680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69308742" w14:textId="77777777" w:rsidTr="009223E5">
        <w:tc>
          <w:tcPr>
            <w:tcW w:w="1868" w:type="dxa"/>
          </w:tcPr>
          <w:p w14:paraId="168DEE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 бап, Елизово</w:t>
            </w:r>
          </w:p>
        </w:tc>
        <w:tc>
          <w:tcPr>
            <w:tcW w:w="1868" w:type="dxa"/>
          </w:tcPr>
          <w:p w14:paraId="5E070B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1868" w:type="dxa"/>
          </w:tcPr>
          <w:p w14:paraId="4F4C004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31B433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r>
      <w:tr w:rsidR="007D5DF8" w:rsidRPr="00DB5D0D" w14:paraId="0892C445" w14:textId="77777777" w:rsidTr="009223E5">
        <w:tc>
          <w:tcPr>
            <w:tcW w:w="1868" w:type="dxa"/>
          </w:tcPr>
          <w:p w14:paraId="05C1ED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 баи, Николаевск-на-Амуре</w:t>
            </w:r>
          </w:p>
        </w:tc>
        <w:tc>
          <w:tcPr>
            <w:tcW w:w="1868" w:type="dxa"/>
          </w:tcPr>
          <w:p w14:paraId="7BBC8C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1868" w:type="dxa"/>
          </w:tcPr>
          <w:p w14:paraId="0B66609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719552B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A26BC3E" w14:textId="77777777" w:rsidTr="009223E5">
        <w:tc>
          <w:tcPr>
            <w:tcW w:w="1868" w:type="dxa"/>
          </w:tcPr>
          <w:p w14:paraId="01804E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 бап, Кировск (Сахалин)</w:t>
            </w:r>
          </w:p>
        </w:tc>
        <w:tc>
          <w:tcPr>
            <w:tcW w:w="1868" w:type="dxa"/>
          </w:tcPr>
          <w:p w14:paraId="325910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p w14:paraId="1DD09F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44/12-44/20,45/1 - 44/5</w:t>
            </w:r>
          </w:p>
        </w:tc>
        <w:tc>
          <w:tcPr>
            <w:tcW w:w="1868" w:type="dxa"/>
          </w:tcPr>
          <w:p w14:paraId="677FC3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 1940 г.</w:t>
            </w:r>
          </w:p>
          <w:p w14:paraId="2B803F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w:t>
            </w:r>
          </w:p>
        </w:tc>
        <w:tc>
          <w:tcPr>
            <w:tcW w:w="1868" w:type="dxa"/>
          </w:tcPr>
          <w:p w14:paraId="71FEE1B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1371C62" w14:textId="77777777" w:rsidTr="009223E5">
        <w:tc>
          <w:tcPr>
            <w:tcW w:w="1868" w:type="dxa"/>
          </w:tcPr>
          <w:p w14:paraId="1B10735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61266C4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1A14FA8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31DB9D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14 самолетов</w:t>
            </w:r>
          </w:p>
        </w:tc>
      </w:tr>
      <w:tr w:rsidR="007D5DF8" w:rsidRPr="00DB5D0D" w14:paraId="10F35D2E" w14:textId="77777777" w:rsidTr="009223E5">
        <w:tc>
          <w:tcPr>
            <w:tcW w:w="1868" w:type="dxa"/>
          </w:tcPr>
          <w:p w14:paraId="4A48BB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ОКА 12 аб, Сысоевка</w:t>
            </w:r>
          </w:p>
        </w:tc>
        <w:tc>
          <w:tcPr>
            <w:tcW w:w="1868" w:type="dxa"/>
          </w:tcPr>
          <w:p w14:paraId="634897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42/18, 42/20, 43/5-43/7, 43/12, 43/15, 43/15</w:t>
            </w:r>
          </w:p>
        </w:tc>
        <w:tc>
          <w:tcPr>
            <w:tcW w:w="1868" w:type="dxa"/>
          </w:tcPr>
          <w:p w14:paraId="72E91C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 1940 г.</w:t>
            </w:r>
          </w:p>
        </w:tc>
        <w:tc>
          <w:tcPr>
            <w:tcW w:w="1868" w:type="dxa"/>
          </w:tcPr>
          <w:p w14:paraId="7408CED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8D038B0" w14:textId="77777777" w:rsidTr="009223E5">
        <w:tc>
          <w:tcPr>
            <w:tcW w:w="1868" w:type="dxa"/>
          </w:tcPr>
          <w:p w14:paraId="634A70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ОКА, драэ, Мучная</w:t>
            </w:r>
          </w:p>
        </w:tc>
        <w:tc>
          <w:tcPr>
            <w:tcW w:w="1868" w:type="dxa"/>
          </w:tcPr>
          <w:p w14:paraId="39BE26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43/4</w:t>
            </w:r>
          </w:p>
        </w:tc>
        <w:tc>
          <w:tcPr>
            <w:tcW w:w="1868" w:type="dxa"/>
          </w:tcPr>
          <w:p w14:paraId="4ECE05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 1940</w:t>
            </w:r>
          </w:p>
        </w:tc>
        <w:tc>
          <w:tcPr>
            <w:tcW w:w="1868" w:type="dxa"/>
          </w:tcPr>
          <w:p w14:paraId="50BD4A1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7EC0833" w14:textId="77777777" w:rsidTr="009223E5">
        <w:tc>
          <w:tcPr>
            <w:tcW w:w="1868" w:type="dxa"/>
          </w:tcPr>
          <w:p w14:paraId="371B73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 ап, Домна</w:t>
            </w:r>
          </w:p>
        </w:tc>
        <w:tc>
          <w:tcPr>
            <w:tcW w:w="1868" w:type="dxa"/>
          </w:tcPr>
          <w:p w14:paraId="3333A4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44/0</w:t>
            </w:r>
          </w:p>
        </w:tc>
        <w:tc>
          <w:tcPr>
            <w:tcW w:w="1868" w:type="dxa"/>
          </w:tcPr>
          <w:p w14:paraId="5F470E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w:t>
            </w:r>
          </w:p>
        </w:tc>
        <w:tc>
          <w:tcPr>
            <w:tcW w:w="1868" w:type="dxa"/>
          </w:tcPr>
          <w:p w14:paraId="4415EB2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1A74013" w14:textId="77777777" w:rsidTr="009223E5">
        <w:tc>
          <w:tcPr>
            <w:tcW w:w="1868" w:type="dxa"/>
          </w:tcPr>
          <w:p w14:paraId="550340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 ап, Баин-Обо-Сомон</w:t>
            </w:r>
          </w:p>
        </w:tc>
        <w:tc>
          <w:tcPr>
            <w:tcW w:w="1868" w:type="dxa"/>
          </w:tcPr>
          <w:p w14:paraId="78D7F6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45/6. 45/9, 45/10, 45/12-45/14</w:t>
            </w:r>
          </w:p>
        </w:tc>
        <w:tc>
          <w:tcPr>
            <w:tcW w:w="1868" w:type="dxa"/>
          </w:tcPr>
          <w:p w14:paraId="1021AD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w:t>
            </w:r>
          </w:p>
        </w:tc>
        <w:tc>
          <w:tcPr>
            <w:tcW w:w="1868" w:type="dxa"/>
          </w:tcPr>
          <w:p w14:paraId="770C65B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3FC4C76" w14:textId="77777777" w:rsidTr="009223E5">
        <w:tc>
          <w:tcPr>
            <w:tcW w:w="1868" w:type="dxa"/>
          </w:tcPr>
          <w:p w14:paraId="7851F90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7BCBA9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45/7,45/8,45/11, 45/15, 45/17-45/11-45/19, 48/1-48/3, 48/5-45/8, 45/10, 45/13</w:t>
            </w:r>
          </w:p>
        </w:tc>
        <w:tc>
          <w:tcPr>
            <w:tcW w:w="1868" w:type="dxa"/>
          </w:tcPr>
          <w:p w14:paraId="4F3F29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 1940</w:t>
            </w:r>
          </w:p>
        </w:tc>
        <w:tc>
          <w:tcPr>
            <w:tcW w:w="1868" w:type="dxa"/>
          </w:tcPr>
          <w:p w14:paraId="45157A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самолетов 5 самолетов</w:t>
            </w:r>
          </w:p>
        </w:tc>
      </w:tr>
      <w:tr w:rsidR="007D5DF8" w:rsidRPr="00DB5D0D" w14:paraId="3642BD42" w14:textId="77777777" w:rsidTr="009223E5">
        <w:tc>
          <w:tcPr>
            <w:tcW w:w="1868" w:type="dxa"/>
          </w:tcPr>
          <w:p w14:paraId="610E35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 ап, Чита</w:t>
            </w:r>
          </w:p>
        </w:tc>
        <w:tc>
          <w:tcPr>
            <w:tcW w:w="1868" w:type="dxa"/>
          </w:tcPr>
          <w:p w14:paraId="792128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40/1, 40/2, 40/4-40/8, 40/1 1, 40/13 46/17-46/20,47/1-47/8</w:t>
            </w:r>
          </w:p>
        </w:tc>
        <w:tc>
          <w:tcPr>
            <w:tcW w:w="1868" w:type="dxa"/>
          </w:tcPr>
          <w:p w14:paraId="0823D3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 август 1940 г.</w:t>
            </w:r>
          </w:p>
        </w:tc>
        <w:tc>
          <w:tcPr>
            <w:tcW w:w="1868" w:type="dxa"/>
          </w:tcPr>
          <w:p w14:paraId="617DE8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самолетов 12 самолетов</w:t>
            </w:r>
          </w:p>
        </w:tc>
      </w:tr>
      <w:tr w:rsidR="007D5DF8" w:rsidRPr="00DB5D0D" w14:paraId="7408CABF" w14:textId="77777777" w:rsidTr="009223E5">
        <w:tc>
          <w:tcPr>
            <w:tcW w:w="1868" w:type="dxa"/>
          </w:tcPr>
          <w:p w14:paraId="39634B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ап, Возжаевка</w:t>
            </w:r>
          </w:p>
        </w:tc>
        <w:tc>
          <w:tcPr>
            <w:tcW w:w="1868" w:type="dxa"/>
          </w:tcPr>
          <w:p w14:paraId="315BA0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47/9-47/13, 47/15, 47/16, 48/4</w:t>
            </w:r>
          </w:p>
        </w:tc>
        <w:tc>
          <w:tcPr>
            <w:tcW w:w="1868" w:type="dxa"/>
          </w:tcPr>
          <w:p w14:paraId="2325D7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сентября 1940 г.</w:t>
            </w:r>
          </w:p>
        </w:tc>
        <w:tc>
          <w:tcPr>
            <w:tcW w:w="1868" w:type="dxa"/>
          </w:tcPr>
          <w:p w14:paraId="7DCB1C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самолетов</w:t>
            </w:r>
          </w:p>
        </w:tc>
      </w:tr>
      <w:tr w:rsidR="007D5DF8" w:rsidRPr="00DB5D0D" w14:paraId="1E8CA434" w14:textId="77777777" w:rsidTr="009223E5">
        <w:tc>
          <w:tcPr>
            <w:tcW w:w="1868" w:type="dxa"/>
          </w:tcPr>
          <w:p w14:paraId="105704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ап, Красноярск</w:t>
            </w:r>
          </w:p>
        </w:tc>
        <w:tc>
          <w:tcPr>
            <w:tcW w:w="1868" w:type="dxa"/>
          </w:tcPr>
          <w:p w14:paraId="75520A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48/6, 48/9, 48/20, 49/1, 49/2 49/3-49/13, 49/16</w:t>
            </w:r>
          </w:p>
        </w:tc>
        <w:tc>
          <w:tcPr>
            <w:tcW w:w="1868" w:type="dxa"/>
          </w:tcPr>
          <w:p w14:paraId="6770DF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сентября 1940 г.</w:t>
            </w:r>
          </w:p>
        </w:tc>
        <w:tc>
          <w:tcPr>
            <w:tcW w:w="1868" w:type="dxa"/>
          </w:tcPr>
          <w:p w14:paraId="702D8D2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B87B203" w14:textId="77777777" w:rsidTr="009223E5">
        <w:tc>
          <w:tcPr>
            <w:tcW w:w="1868" w:type="dxa"/>
          </w:tcPr>
          <w:p w14:paraId="148417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318 ап ЗабВО</w:t>
            </w:r>
          </w:p>
        </w:tc>
        <w:tc>
          <w:tcPr>
            <w:tcW w:w="1868" w:type="dxa"/>
          </w:tcPr>
          <w:p w14:paraId="2A9068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38/20,47/4,49/14,49/14, 49/17-49/20, 50/1-50/10</w:t>
            </w:r>
          </w:p>
        </w:tc>
        <w:tc>
          <w:tcPr>
            <w:tcW w:w="1868" w:type="dxa"/>
          </w:tcPr>
          <w:p w14:paraId="010626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октября 1940 г.</w:t>
            </w:r>
          </w:p>
        </w:tc>
        <w:tc>
          <w:tcPr>
            <w:tcW w:w="1868" w:type="dxa"/>
          </w:tcPr>
          <w:p w14:paraId="640B960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7FF5643" w14:textId="77777777" w:rsidTr="009223E5">
        <w:tc>
          <w:tcPr>
            <w:tcW w:w="1868" w:type="dxa"/>
          </w:tcPr>
          <w:p w14:paraId="0FC4DA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Командующий ВВС ЗабВО</w:t>
            </w:r>
          </w:p>
        </w:tc>
        <w:tc>
          <w:tcPr>
            <w:tcW w:w="1868" w:type="dxa"/>
          </w:tcPr>
          <w:p w14:paraId="0E090A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50/12</w:t>
            </w:r>
          </w:p>
        </w:tc>
        <w:tc>
          <w:tcPr>
            <w:tcW w:w="1868" w:type="dxa"/>
          </w:tcPr>
          <w:p w14:paraId="0BEE9C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 1940 г.</w:t>
            </w:r>
          </w:p>
        </w:tc>
        <w:tc>
          <w:tcPr>
            <w:tcW w:w="1868" w:type="dxa"/>
          </w:tcPr>
          <w:p w14:paraId="5C04320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5CDE421" w14:textId="77777777" w:rsidTr="009223E5">
        <w:tc>
          <w:tcPr>
            <w:tcW w:w="1868" w:type="dxa"/>
          </w:tcPr>
          <w:p w14:paraId="099D12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ВВС РККА</w:t>
            </w:r>
          </w:p>
        </w:tc>
        <w:tc>
          <w:tcPr>
            <w:tcW w:w="1868" w:type="dxa"/>
          </w:tcPr>
          <w:p w14:paraId="69DC4B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51/2</w:t>
            </w:r>
          </w:p>
        </w:tc>
        <w:tc>
          <w:tcPr>
            <w:tcW w:w="1868" w:type="dxa"/>
          </w:tcPr>
          <w:p w14:paraId="4345E5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 1940 г.</w:t>
            </w:r>
          </w:p>
        </w:tc>
        <w:tc>
          <w:tcPr>
            <w:tcW w:w="1868" w:type="dxa"/>
          </w:tcPr>
          <w:p w14:paraId="6B8F5C1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CFFCE9C" w14:textId="77777777" w:rsidTr="009223E5">
        <w:tc>
          <w:tcPr>
            <w:tcW w:w="1868" w:type="dxa"/>
          </w:tcPr>
          <w:p w14:paraId="76B5C2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ЗабВО, Мангут</w:t>
            </w:r>
          </w:p>
        </w:tc>
        <w:tc>
          <w:tcPr>
            <w:tcW w:w="1868" w:type="dxa"/>
          </w:tcPr>
          <w:p w14:paraId="35EB9E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 51/10</w:t>
            </w:r>
          </w:p>
        </w:tc>
        <w:tc>
          <w:tcPr>
            <w:tcW w:w="1868" w:type="dxa"/>
          </w:tcPr>
          <w:p w14:paraId="2B23B3F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13BC61C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F2F3C9A" w14:textId="77777777" w:rsidTr="009223E5">
        <w:tc>
          <w:tcPr>
            <w:tcW w:w="1868" w:type="dxa"/>
          </w:tcPr>
          <w:p w14:paraId="3CA5FC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318 сбап</w:t>
            </w:r>
          </w:p>
        </w:tc>
        <w:tc>
          <w:tcPr>
            <w:tcW w:w="1868" w:type="dxa"/>
          </w:tcPr>
          <w:p w14:paraId="46E045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51/4,51/6-51/9, 51/11, 51/13-51/15, 51/19</w:t>
            </w:r>
          </w:p>
        </w:tc>
        <w:tc>
          <w:tcPr>
            <w:tcW w:w="1868" w:type="dxa"/>
          </w:tcPr>
          <w:p w14:paraId="24CE717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68" w:type="dxa"/>
          </w:tcPr>
          <w:p w14:paraId="1EE480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самолетов</w:t>
            </w:r>
          </w:p>
        </w:tc>
      </w:tr>
      <w:tr w:rsidR="007D5DF8" w:rsidRPr="00DB5D0D" w14:paraId="51141B9B" w14:textId="77777777" w:rsidTr="009223E5">
        <w:tc>
          <w:tcPr>
            <w:tcW w:w="1868" w:type="dxa"/>
          </w:tcPr>
          <w:p w14:paraId="1234B5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 аб 1 -й армейской группы</w:t>
            </w:r>
          </w:p>
        </w:tc>
        <w:tc>
          <w:tcPr>
            <w:tcW w:w="1868" w:type="dxa"/>
          </w:tcPr>
          <w:p w14:paraId="0B32AC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33/6 42/2</w:t>
            </w:r>
          </w:p>
        </w:tc>
        <w:tc>
          <w:tcPr>
            <w:tcW w:w="1868" w:type="dxa"/>
          </w:tcPr>
          <w:p w14:paraId="320D4E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апреля 1940 г. 26 мая 1940 г.</w:t>
            </w:r>
          </w:p>
        </w:tc>
        <w:tc>
          <w:tcPr>
            <w:tcW w:w="1868" w:type="dxa"/>
          </w:tcPr>
          <w:p w14:paraId="438499F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AE9DB2D" w14:textId="77777777" w:rsidTr="009223E5">
        <w:tc>
          <w:tcPr>
            <w:tcW w:w="1868" w:type="dxa"/>
            <w:tcBorders>
              <w:bottom w:val="single" w:sz="12" w:space="0" w:color="auto"/>
            </w:tcBorders>
          </w:tcPr>
          <w:p w14:paraId="0B73F8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 ап ЗабВО</w:t>
            </w:r>
          </w:p>
        </w:tc>
        <w:tc>
          <w:tcPr>
            <w:tcW w:w="1868" w:type="dxa"/>
            <w:tcBorders>
              <w:bottom w:val="single" w:sz="12" w:space="0" w:color="auto"/>
            </w:tcBorders>
          </w:tcPr>
          <w:p w14:paraId="7B2274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39/13</w:t>
            </w:r>
          </w:p>
        </w:tc>
        <w:tc>
          <w:tcPr>
            <w:tcW w:w="1868" w:type="dxa"/>
            <w:tcBorders>
              <w:bottom w:val="single" w:sz="12" w:space="0" w:color="auto"/>
            </w:tcBorders>
          </w:tcPr>
          <w:p w14:paraId="73E951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w:t>
            </w:r>
          </w:p>
        </w:tc>
        <w:tc>
          <w:tcPr>
            <w:tcW w:w="1868" w:type="dxa"/>
            <w:tcBorders>
              <w:bottom w:val="single" w:sz="12" w:space="0" w:color="auto"/>
            </w:tcBorders>
          </w:tcPr>
          <w:p w14:paraId="58F7865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688A14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(12037).</w:t>
      </w:r>
    </w:p>
    <w:p w14:paraId="144DEDC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A86A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мая 1940 г. (согласно материалам комисси НКАП по проверке состояния завода № 124) «...Строительство завода является незаконченным. Из 500 млн. выделенных рублей, вложено лишь 285 млн. рублей. Вместо запланированных 300 тысяч квадратных метров, фактически завод имеет 146 тысяч. Главный корпус и ЛИС недостроены, аэродром частично в торфяном болоте, нет бетонированной полосы. Канализация не отвечает своему назначению. Не хватает питьевой и технической воды. Недостаточно электроснабжение. Мало складских помещений».</w:t>
      </w:r>
    </w:p>
    <w:p w14:paraId="3404BD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Достаточно на заводе, по мнению комиссии, лишь оборудования и личного состава предприятия.</w:t>
      </w:r>
    </w:p>
    <w:p w14:paraId="34F47F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май 1940 г. в программе завода были 15 ТБ-7 и 25 ДС-3. Сдано на 1 мая два ТБ-7 № 14 и № 16 (план 1940 г.), на аэродроме находятся пять (№№ 13, 15, 17, 18, 19) и в производстве еще восемь машин ТБ-7. Нет моторов, винтов, приборов.(...)</w:t>
      </w:r>
    </w:p>
    <w:p w14:paraId="22CB74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заданию, на всех ТБ-7 должны быть сняты АЦН и разработаны транспортные варианты, для чего потребуется дополнительные работы в количестве 77 тысяч часов для машин №№ 13, 14, 15, 17 и 20, 68 тысяч часов для машин №№ 21, 22, 23, 24 и 168 тысяч для машин №№ 25, 26 и 27».</w:t>
      </w:r>
    </w:p>
    <w:p w14:paraId="723BF6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«почти все стапеля и приспособления для детальной сборки по ТБ-7 разобраны и использованы для ДС-3. В ноябре должны быть завершены работы по монтажу дополнительных стапелей для ТБ-7. Существует острая нехватка - 32 мотора АМ-35, 18 винтов, 7 пушек ШВАК и 55 пулеметов ШКАС.</w:t>
      </w:r>
    </w:p>
    <w:p w14:paraId="015CB6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насчитывает 1181 единицу оборудования, ОКБ и опытный цех и 10,5 тысяч работающих».</w:t>
      </w:r>
    </w:p>
    <w:p w14:paraId="5CC5FD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недостаток отмечается небольшой процент образованных кадров: дипломированных инженеров (15%) и со средне-техническим образованием (21%). Положительно оценивается помощь КАИ в продувке моделей новых модификаций.</w:t>
      </w:r>
    </w:p>
    <w:p w14:paraId="329026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Результатом проверки стало решение «директора Штейнберга отозвать в распоряжение НКАП» и назначить на эту неблагодарную должность Кагановича М.М. Интересно, что Кагановича решено было отослать в Казань значительно раньше. В своих воспоминаниях, его преемник Алексей Иванович Шахурин пишет, что его вызвали в Москву из Горького, с поста секретаря обкома, в первых числах января 1940 г., и почти сразу Сталин назначил его Наркомом авиационной промышленности (12049).</w:t>
      </w:r>
    </w:p>
    <w:p w14:paraId="5F22345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4016F9" w14:textId="77777777" w:rsidR="001A62E6" w:rsidRPr="00DB5D0D" w:rsidRDefault="001A62E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заложили 2-й экземпляр ЭОИ, а 8 мая макетная комиссия утвердила окончательный вариант вооружения; 2 пушки калибром 23 мм (20 мм). Рекомендовали оборудовать складную лестницу для подъема в самолет без использования наземной стремянки и предусмотреть подвеску под крылом 6-8 реактивных снарядов РС-82 (15538).</w:t>
      </w:r>
    </w:p>
    <w:p w14:paraId="3BBE2EF7" w14:textId="77777777" w:rsidR="001A62E6" w:rsidRPr="00DB5D0D" w:rsidRDefault="001A62E6" w:rsidP="00DB5D0D">
      <w:pPr>
        <w:spacing w:after="0" w:line="240" w:lineRule="auto"/>
        <w:jc w:val="both"/>
        <w:rPr>
          <w:rFonts w:ascii="Times New Roman" w:hAnsi="Times New Roman"/>
          <w:color w:val="000000" w:themeColor="text1"/>
          <w:sz w:val="16"/>
          <w:szCs w:val="16"/>
        </w:rPr>
      </w:pPr>
    </w:p>
    <w:p w14:paraId="0A1C91C6" w14:textId="77777777" w:rsidR="001A62E6" w:rsidRPr="00DB5D0D" w:rsidRDefault="001A62E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 мая</w:t>
      </w:r>
      <w:r w:rsidRPr="00DB5D0D">
        <w:rPr>
          <w:rFonts w:ascii="Times New Roman" w:hAnsi="Times New Roman"/>
          <w:color w:val="000000" w:themeColor="text1"/>
          <w:sz w:val="16"/>
          <w:szCs w:val="16"/>
        </w:rPr>
        <w:t xml:space="preserve"> в 1940 году заложен второй экземпляр экспериментального одномоторного истребителя </w:t>
      </w:r>
      <w:hyperlink r:id="rId5" w:tgtFrame="_blank" w:history="1">
        <w:r w:rsidRPr="00DB5D0D">
          <w:rPr>
            <w:rFonts w:ascii="Times New Roman" w:hAnsi="Times New Roman"/>
            <w:color w:val="000000" w:themeColor="text1"/>
            <w:sz w:val="16"/>
            <w:szCs w:val="16"/>
          </w:rPr>
          <w:t xml:space="preserve">«ЭОИ», </w:t>
        </w:r>
      </w:hyperlink>
      <w:r w:rsidRPr="00DB5D0D">
        <w:rPr>
          <w:rFonts w:ascii="Times New Roman" w:hAnsi="Times New Roman"/>
          <w:color w:val="000000" w:themeColor="text1"/>
          <w:sz w:val="16"/>
          <w:szCs w:val="16"/>
        </w:rPr>
        <w:t>(разработчик: Беляев, СССР).Фюзеляж вытянутой, яйцевидной формы предполагалось оснастить герметической кабиной. Сиденье летчика и система управления размещались на консольной металлической ферме, а вся носовая часть в виде колпака могла отделяться при монтаже и ремонте. Для посадки в самолет и его покидания служила дверь автомобильного типа. Вооружить «ЭОИ» планировали двумя 23-мм пушками Таубина (14878).</w:t>
      </w:r>
    </w:p>
    <w:p w14:paraId="05111CD2" w14:textId="77777777" w:rsidR="001A62E6" w:rsidRPr="00DB5D0D" w:rsidRDefault="001A62E6" w:rsidP="00DB5D0D">
      <w:pPr>
        <w:spacing w:after="0" w:line="240" w:lineRule="auto"/>
        <w:jc w:val="both"/>
        <w:rPr>
          <w:rFonts w:ascii="Times New Roman" w:hAnsi="Times New Roman"/>
          <w:color w:val="000000" w:themeColor="text1"/>
          <w:sz w:val="16"/>
          <w:szCs w:val="16"/>
        </w:rPr>
      </w:pPr>
    </w:p>
    <w:p w14:paraId="7C8B47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мая 1940 г. была в основном закончена разработка "девятки" (И-207/4) Боровкова и Флорова, однако построить ее оказалось совсем не просто. Истребитель И-207 был снят с плана опытных работ авиапромышленности на 1940 г. Финансирование прекратилось, рабочие переводились на другие участки, оснастку и часть оборудования ретивые начальники уже выбросили на улицу. Пришлось долго и настойчиво обращаться к руководству, в частности - к новому наркому Шахурину. В конце концов, разрешение было получено. Возможно, главным фактором, повлиявшим на такое решение, стала переориентация И-207 на выполнение задач пикирующего бомбардировщика (3452).</w:t>
      </w:r>
    </w:p>
    <w:p w14:paraId="0634A89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3456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мая 1940 было выпущено 10 И-180-2 (67,141) и несколько приняли участие в параде. Три (172,67).</w:t>
      </w:r>
    </w:p>
    <w:p w14:paraId="4BD585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Красную пятерку вел И.А.Лакеев (172,54).</w:t>
      </w:r>
    </w:p>
    <w:p w14:paraId="596C0D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В.М.Петлякова 100 участвовали в майском параде. Стефановский выполнил горку над мавзолеем, забыв убрать шасси и было поручено переделать его в бомбардировщик за 45 дней. В.М.П. с сотрудниками смотрели на парад из "обезьянника". Создали ОКБ В.М.Петлякова в системе ОТБ (с июля 1940 до начала войны), а потом - передали в НКАП (4,164). В.М.Е. получил 300 вольных под команду (61,157), взятых от А.С.Яковлева, С.В.Ильюшина и А.А.Архангельского. Сотки, принявшие участие в первомайском параде, были выкрашенные в белый цвет (118,13). Одна сделала горку с выпущенным шасси (4,164).</w:t>
      </w:r>
    </w:p>
    <w:p w14:paraId="215A20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первомайском параде принял участие и МиГ-1 (И-200), пилотируемый А.Н.Екатовым (234,59). Летал и темно-вишневый И-301 С.А.Л. Шли на малой высоте на большой скорости (1204,67).</w:t>
      </w:r>
    </w:p>
    <w:p w14:paraId="1993381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DBE7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д.б. летать над КП и первый серийный И-180. В Москву по ж/д направили 3 машины, к параду допустили одну и д.б. летать Супрун, но машину на парад так и не пустили (2863,79).</w:t>
      </w:r>
    </w:p>
    <w:p w14:paraId="724F0F9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153D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Степан Супрун сидел в подготовленном самолете первом серийном И-180-3 в ожидании взлета, однако команды на старт так и не дождался (3203,10).</w:t>
      </w:r>
    </w:p>
    <w:p w14:paraId="6FF226D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C9CA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г. утром Степан Супрун, как и год назад, сидел в подготовленном самолете И-180 в ожидании ко манды на взлет, но так и не дождался. Отказ о демонстрации машины был воспринят как оче редное плохое предзнаменование. Накануне первомайских праздников все три И-180С доставили по железной дороге в Москву и предполагался их пролет над Красной пло щадью. После некоторых раздумий было решено, что полетит только одна машина (9979).</w:t>
      </w:r>
    </w:p>
    <w:p w14:paraId="5360A4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D8D3B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мая 1940 г. — А.Н.Екатов на большой скорости пролетел на И-200 над Красной площадью (9984).</w:t>
      </w:r>
    </w:p>
    <w:p w14:paraId="6E3929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1ECD486" w14:textId="77777777" w:rsidR="001A62E6" w:rsidRPr="00DB5D0D" w:rsidRDefault="001A62E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 мая</w:t>
      </w:r>
      <w:r w:rsidRPr="00DB5D0D">
        <w:rPr>
          <w:rFonts w:ascii="Times New Roman" w:hAnsi="Times New Roman"/>
          <w:color w:val="000000" w:themeColor="text1"/>
          <w:sz w:val="16"/>
          <w:szCs w:val="16"/>
        </w:rPr>
        <w:t xml:space="preserve"> в 1940 году в первомайском воздушном параде принял участие опытный «И-301», пилот Никашин. Отполированный «рояль» вишневого цвета (за превосходную внешнюю отделку «И-301» «роялем2 прозвали механики) эффектно продемонстрировал свои возможности. Заводские испытания закончили 12 апреля, и вскоре машину предъявили на государственные испытания, которые проводились в НИИ ВВС с 15 по 27 июня 1940 года (14878).</w:t>
      </w:r>
    </w:p>
    <w:p w14:paraId="15A1EF3A" w14:textId="77777777" w:rsidR="001A62E6" w:rsidRPr="00DB5D0D" w:rsidRDefault="001A62E6" w:rsidP="00DB5D0D">
      <w:pPr>
        <w:spacing w:after="0" w:line="240" w:lineRule="auto"/>
        <w:jc w:val="both"/>
        <w:rPr>
          <w:rFonts w:ascii="Times New Roman" w:hAnsi="Times New Roman"/>
          <w:color w:val="000000" w:themeColor="text1"/>
          <w:sz w:val="16"/>
          <w:szCs w:val="16"/>
        </w:rPr>
      </w:pPr>
    </w:p>
    <w:p w14:paraId="00632F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над Москвой прошла вторая машина ТБ-7 №4216, управляемая летчиком НИИ ВВС Кабановым. Вскоре после этого первого публичного дебюта, первая готовая шестерка ТБ-7 была передана в 14-й ТБАП, базировавшийся на аэродроме Борисполь под Киевом (7685).</w:t>
      </w:r>
    </w:p>
    <w:p w14:paraId="7828F51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5017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на КП летала только одна машина ТБ-7 (АНТ-42) N 4216 под управлением Кабанова, т.к. хотя 30 апреля 1940 в Москву из Казани летело два ТБ-7 (АНТ-42) N 4211 и 4216 у 4211, управляемом М.М.Г., при посадке в Чкаловском не встали на замки шасси (2122).</w:t>
      </w:r>
    </w:p>
    <w:p w14:paraId="5999DA6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E5D8D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для пролета над Красной площадью отправилась лишь одна серийная казанская машина - ТБ-7 № 4216, управляемая заместителем начальника НИИ ВВС полетной части полковником А.И.Кабановым. Указанный самолет №4216 стал одним из первых, построенных в 1939-м, но сданных в начале 1940 г. (12025).</w:t>
      </w:r>
    </w:p>
    <w:p w14:paraId="66072B7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1A8B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на параде была сотка, выкрашенная в серебристо-белый цвет (?) (2670,4).</w:t>
      </w:r>
    </w:p>
    <w:p w14:paraId="616E69A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D92A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на параде должен был лететь и ДБЛК, но для красоты сняли патрубок и карбюратор при взлете на Ходынке забился песком и машина не смогла взлететь. Потом все же пролетел, но с трибуны Мавзолея уже все ушли (1847,44).</w:t>
      </w:r>
    </w:p>
    <w:p w14:paraId="1D4523F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81FE39" w14:textId="77777777" w:rsidR="001A62E6" w:rsidRPr="00DB5D0D" w:rsidRDefault="001A62E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 мая</w:t>
      </w:r>
      <w:r w:rsidRPr="00DB5D0D">
        <w:rPr>
          <w:rFonts w:ascii="Times New Roman" w:hAnsi="Times New Roman"/>
          <w:color w:val="000000" w:themeColor="text1"/>
          <w:sz w:val="16"/>
          <w:szCs w:val="16"/>
        </w:rPr>
        <w:t xml:space="preserve"> в 1940 году дальний бомбардировщик </w:t>
      </w:r>
      <w:hyperlink w:tgtFrame="_blank" w:history="1">
        <w:r w:rsidRPr="00DB5D0D">
          <w:rPr>
            <w:rFonts w:ascii="Times New Roman" w:hAnsi="Times New Roman"/>
            <w:color w:val="000000" w:themeColor="text1"/>
            <w:sz w:val="16"/>
            <w:szCs w:val="16"/>
          </w:rPr>
          <w:t xml:space="preserve">«ДБ-ЛК» </w:t>
        </w:r>
      </w:hyperlink>
      <w:r w:rsidRPr="00DB5D0D">
        <w:rPr>
          <w:rFonts w:ascii="Times New Roman" w:hAnsi="Times New Roman"/>
          <w:color w:val="000000" w:themeColor="text1"/>
          <w:sz w:val="16"/>
          <w:szCs w:val="16"/>
        </w:rPr>
        <w:t>конструктора Беляева пролетел над Красной площадью. И видела вся страна и лично товарищ Сталин, какие необычные самолеты строят советские конструкторы. Двухфюзеляжный бомбардировщик, четыре члена экипажа которого размещались попарно в двух кабинах: в левом фюзеляже — летчик и стрелок, в правом — штурман и стрелок-радист. Для такой ответственной акции на Ходынке полностью оснастили и опробовали новичка. Особист П.Обручев, отвечающий головой за мероприятие, перестарался, решив навести "лоск" - снять уродливый, на его взгляд, всасывающий патрубок с фильтром под капотом, который с неудовольствием могли заметить кремлевские руководители. В итоге на взлете карбюратор забился песком и пылью. Пришлось прервать полет, срочно заняться прочисткой карбюратора. Но, взлетев повторно, самолет все-таки успел пройти над Красной площадью. Правда, на трибуне мавзолея ни Сталина, ни Ворошилова уже не было.. (14878).</w:t>
      </w:r>
    </w:p>
    <w:p w14:paraId="1602805D" w14:textId="77777777" w:rsidR="001A62E6" w:rsidRPr="00DB5D0D" w:rsidRDefault="001A62E6" w:rsidP="00DB5D0D">
      <w:pPr>
        <w:spacing w:after="0" w:line="240" w:lineRule="auto"/>
        <w:jc w:val="both"/>
        <w:rPr>
          <w:rFonts w:ascii="Times New Roman" w:hAnsi="Times New Roman"/>
          <w:color w:val="000000" w:themeColor="text1"/>
          <w:sz w:val="16"/>
          <w:szCs w:val="16"/>
        </w:rPr>
      </w:pPr>
    </w:p>
    <w:p w14:paraId="79033757" w14:textId="77777777" w:rsidR="003C2797" w:rsidRPr="00DB5D0D" w:rsidRDefault="003C2797"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 мая 1940 ДБ-ЛК не довелось поучаствовать в воздушном параде, так как из-за загрязнения карбюратора не запустились двигатели (17489).</w:t>
      </w:r>
    </w:p>
    <w:p w14:paraId="0B6EFBDB" w14:textId="77777777" w:rsidR="003C2797" w:rsidRPr="00DB5D0D" w:rsidRDefault="003C2797" w:rsidP="00DB5D0D">
      <w:pPr>
        <w:spacing w:after="0" w:line="240" w:lineRule="auto"/>
        <w:jc w:val="both"/>
        <w:rPr>
          <w:rFonts w:ascii="Times New Roman" w:hAnsi="Times New Roman"/>
          <w:color w:val="000000" w:themeColor="text1"/>
          <w:sz w:val="16"/>
          <w:szCs w:val="16"/>
        </w:rPr>
      </w:pPr>
    </w:p>
    <w:p w14:paraId="366027AA" w14:textId="77777777" w:rsidR="007D5DF8" w:rsidRPr="00DB5D0D" w:rsidRDefault="007D5DF8" w:rsidP="00DB5D0D">
      <w:pPr>
        <w:spacing w:after="0" w:line="240" w:lineRule="auto"/>
        <w:jc w:val="both"/>
        <w:rPr>
          <w:rFonts w:ascii="Times New Roman" w:hAnsi="Times New Roman"/>
          <w:color w:val="0070C0"/>
          <w:sz w:val="16"/>
          <w:szCs w:val="16"/>
          <w:shd w:val="clear" w:color="auto" w:fill="FFFFFF"/>
        </w:rPr>
      </w:pPr>
      <w:r w:rsidRPr="00DB5D0D">
        <w:rPr>
          <w:rFonts w:ascii="Times New Roman" w:hAnsi="Times New Roman"/>
          <w:color w:val="0070C0"/>
          <w:sz w:val="16"/>
          <w:szCs w:val="16"/>
        </w:rPr>
        <w:t xml:space="preserve">1 мая </w:t>
      </w:r>
      <w:r w:rsidRPr="00DB5D0D">
        <w:rPr>
          <w:rStyle w:val="a7"/>
          <w:rFonts w:ascii="Times New Roman" w:hAnsi="Times New Roman"/>
          <w:b w:val="0"/>
          <w:bCs w:val="0"/>
          <w:color w:val="0070C0"/>
          <w:sz w:val="16"/>
          <w:szCs w:val="16"/>
          <w:shd w:val="clear" w:color="auto" w:fill="FFFFFF"/>
        </w:rPr>
        <w:t>1940</w:t>
      </w:r>
      <w:r w:rsidRPr="00DB5D0D">
        <w:rPr>
          <w:rFonts w:ascii="Times New Roman" w:hAnsi="Times New Roman"/>
          <w:b/>
          <w:bCs/>
          <w:color w:val="0070C0"/>
          <w:sz w:val="16"/>
          <w:szCs w:val="16"/>
          <w:shd w:val="clear" w:color="auto" w:fill="FFFFFF"/>
        </w:rPr>
        <w:t> </w:t>
      </w:r>
      <w:r w:rsidRPr="00DB5D0D">
        <w:rPr>
          <w:rFonts w:ascii="Times New Roman" w:hAnsi="Times New Roman"/>
          <w:color w:val="0070C0"/>
          <w:sz w:val="16"/>
          <w:szCs w:val="16"/>
          <w:shd w:val="clear" w:color="auto" w:fill="FFFFFF"/>
        </w:rPr>
        <w:t>- Дальний бомбардировщик ДБ-ЛК конструктора Беляева пролетел над Красной площадью. И видела вся страна и лично товарищ Сталин, какие необычные самолеты строят советские конструкторы. Двухфюзеляжный бомбардировщик, четыре члена экипажа которого размещались попарно в двух кабинах: в левом фюзеляже — летчик и стрелок, в правом — штурман и стрелок-радист.</w:t>
      </w:r>
    </w:p>
    <w:p w14:paraId="21DE72FC" w14:textId="77777777" w:rsidR="007D5DF8" w:rsidRPr="00DB5D0D" w:rsidRDefault="007D5DF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Для такой ответственной акции на Ходынке полностью оснастили и опробовали новичка. Особист П.Обручев, отвечающий головой за мероприятие, перестарался, решив навести "лоск" - снять уродливый, на его взгляд, всасывающий патрубок с фильтром под капотом, который с неудовольствием могли заметить кремлевские руководители. В итоге на взлете карбюратор забился песком и пылью. Пришлось прервать полет, срочно заняться прочисткой карбюратора. Но, взлетев повторно, самолет все-таки успел пройти над Красной площадью. Правда, на трибуне мавзолея ни Сталина, ни Ворошилова уже не было...(22516).</w:t>
      </w:r>
    </w:p>
    <w:p w14:paraId="6DEDF94C" w14:textId="77777777" w:rsidR="007D5DF8" w:rsidRPr="00DB5D0D" w:rsidRDefault="007D5DF8" w:rsidP="00DB5D0D">
      <w:pPr>
        <w:spacing w:after="0" w:line="240" w:lineRule="auto"/>
        <w:jc w:val="both"/>
        <w:rPr>
          <w:rFonts w:ascii="Times New Roman" w:hAnsi="Times New Roman"/>
          <w:color w:val="0070C0"/>
          <w:sz w:val="16"/>
          <w:szCs w:val="16"/>
        </w:rPr>
      </w:pPr>
    </w:p>
    <w:p w14:paraId="3BC0CA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г. была утверждена программа разработок вооружения и боеприпасов, составленная с учетом особых мнений армейского руководства, а также НКБ и НКАП, в этом году БЕТАБ-150ДС чертежа 131413 планировалось официально ввести на вооружение. Это было выгодно не только промышленности, но и военным - по плану подачи боеприпасов ВВС КА в первой половине 1940 г. авиабомбы уже должны были поступить в 1-ю и 2-ю отдельные Краснознаменные армии (Дальний Восток) - по 150 штук, столько же - в ЗабВО, 650 штук - в ЛВО, по сотне - в БОВО и КОВО, 25 - в СКВО, по 50 - в ЗакВО и Первую армгруппу (Дальний Восток) и 70 штук - в ОдВО. Намерение ВВС получило официальный статус в Постановлении Главного Военного Совета Красной Армии по системе вооружений от 28 мая 1940 г., где говорилось: «... ввести на вооружение ракетные бетонобойные авиабомбы для бомбометания с пикирования БЕТАБ-150ДС. На период 1940-1943 гг. предусмотреть применение ближними одномоторными двухместными бомбардировщиками и средними двухмоторными бомбардировщиками с пикирования ракетных БЕТАБ-150ДС» (7453).</w:t>
      </w:r>
    </w:p>
    <w:p w14:paraId="6E20286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2BAD0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с 1 мая по 25 октября 1940 г. всего на испытаниях отстреляли 1000 снарядов с АМ-А, и все также было без проблем. Таким образом, причину происшедшего Всего на испытаниях следовало искать в неисправности либо мембраны АМ-А, либо в двигателях ракетных снарядов. Сегодня до-|казано, что РС могут сталкиваться друг с другом на траектории, а тогда эта гипотеза даже не принималась к рассмотрению. При стрельбе скорость снарядов достигала 430-450 м/с (с учетом скорости самолета), наблюдатели утверждали, что взрывались именно БЧ. Контрольный отстрел на земле из двух РО, расположенных в 200 мм друг относительно друга ничего не дал. поскольку снаряды подействовали формально. Производство взрывателей АМ-А было налажено на заводе № 369, дистанционных трубок АГДТ — на заводе № 42 имени Масленникова (Куйбышев). Специального взрывателя к ракетным снарядам так и не появилось, но в продолжение развития дистанционные трубки АГДТ-А модели 4-061 и АГДТ-Б модели 4-062 получили в 1940 г. На заводе № 42 име</w:t>
      </w:r>
      <w:r w:rsidRPr="00DB5D0D">
        <w:rPr>
          <w:rFonts w:ascii="Times New Roman" w:hAnsi="Times New Roman"/>
          <w:color w:val="000000" w:themeColor="text1"/>
          <w:sz w:val="16"/>
          <w:szCs w:val="16"/>
        </w:rPr>
        <w:softHyphen/>
        <w:t>ни Масленникова их доработали, унифицировав отдельные детали с «бомбовым взрывателем» АВ-1 и артиллерийской дистанционной трубкой Т-ЗУГ. Кроме того, передаточный заряд с засыпкой пороха за</w:t>
      </w:r>
      <w:r w:rsidRPr="00DB5D0D">
        <w:rPr>
          <w:rFonts w:ascii="Times New Roman" w:hAnsi="Times New Roman"/>
          <w:color w:val="000000" w:themeColor="text1"/>
          <w:sz w:val="16"/>
          <w:szCs w:val="16"/>
        </w:rPr>
        <w:softHyphen/>
        <w:t>менили пороховыми столбиками. От заводских военных представителей заказчика потребовали обязательной проверки прочности крепления усов к крыльчаткам, времени горения пиротехнического состава при установке АГДТ на ограничитель, а также полигонных испытаний 10 трубок от каждой партии посредством отстрела РС с наземного стенда и установке АГДТ на ограничитель. Тем не менее, весь “набор сюрпризов”не помешал трубкам семейства АГДТ просуществовать на вооружении более 15 лет, благодаря простоте конструкции (11402).</w:t>
      </w:r>
    </w:p>
    <w:p w14:paraId="33D824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5F47C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г. появился план разработок вооружения и боеприпасов, в 5 пункте которого, в ча</w:t>
      </w:r>
      <w:r w:rsidRPr="00DB5D0D">
        <w:rPr>
          <w:rFonts w:ascii="Times New Roman" w:hAnsi="Times New Roman"/>
          <w:color w:val="000000" w:themeColor="text1"/>
          <w:sz w:val="16"/>
          <w:szCs w:val="16"/>
        </w:rPr>
        <w:softHyphen/>
        <w:t>стности, говорилось: «а) Осколочно-фугасные РС-82 считать основным видом крупнокалиберного вооружения истребителей. Параллельно раз</w:t>
      </w:r>
      <w:r w:rsidRPr="00DB5D0D">
        <w:rPr>
          <w:rFonts w:ascii="Times New Roman" w:hAnsi="Times New Roman"/>
          <w:color w:val="000000" w:themeColor="text1"/>
          <w:sz w:val="16"/>
          <w:szCs w:val="16"/>
        </w:rPr>
        <w:softHyphen/>
        <w:t>работать и испытать зажигательный и бронебойный типы 82-мм снаряда (здесь имеется в виду РЗС и РБС с полноразмерными двигателями под РЗ длиной 550 мм. - С.Р.); б) Ракетный осколочно-фугасный снаряд РС-132 поставить на вооружение двухмоторных истребителей и ближних бомбардировщиков».</w:t>
      </w:r>
    </w:p>
    <w:p w14:paraId="0F6789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1942-1943 гг. в ВВС КА планировали полностью прекратить произ</w:t>
      </w:r>
      <w:r w:rsidRPr="00DB5D0D">
        <w:rPr>
          <w:rFonts w:ascii="Times New Roman" w:hAnsi="Times New Roman"/>
          <w:color w:val="000000" w:themeColor="text1"/>
          <w:sz w:val="16"/>
          <w:szCs w:val="16"/>
        </w:rPr>
        <w:softHyphen/>
        <w:t>водство ракетно-осколочных снарядов с короткими двигателями и пере</w:t>
      </w:r>
      <w:r w:rsidRPr="00DB5D0D">
        <w:rPr>
          <w:rFonts w:ascii="Times New Roman" w:hAnsi="Times New Roman"/>
          <w:color w:val="000000" w:themeColor="text1"/>
          <w:sz w:val="16"/>
          <w:szCs w:val="16"/>
        </w:rPr>
        <w:softHyphen/>
        <w:t>вооружить самолеты ракетно-осколочно-фугасными снарядами с новы</w:t>
      </w:r>
      <w:r w:rsidRPr="00DB5D0D">
        <w:rPr>
          <w:rFonts w:ascii="Times New Roman" w:hAnsi="Times New Roman"/>
          <w:color w:val="000000" w:themeColor="text1"/>
          <w:sz w:val="16"/>
          <w:szCs w:val="16"/>
        </w:rPr>
        <w:softHyphen/>
        <w:t xml:space="preserve">ми полноразмерными силовыми установками. </w:t>
      </w:r>
    </w:p>
    <w:p w14:paraId="120CEB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видно из документа, в переписке в то время военные не конкре</w:t>
      </w:r>
      <w:r w:rsidRPr="00DB5D0D">
        <w:rPr>
          <w:rFonts w:ascii="Times New Roman" w:hAnsi="Times New Roman"/>
          <w:color w:val="000000" w:themeColor="text1"/>
          <w:sz w:val="16"/>
          <w:szCs w:val="16"/>
        </w:rPr>
        <w:softHyphen/>
        <w:t>тизировали не только модель ракетных боеприпасов, но даже не уточня</w:t>
      </w:r>
      <w:r w:rsidRPr="00DB5D0D">
        <w:rPr>
          <w:rFonts w:ascii="Times New Roman" w:hAnsi="Times New Roman"/>
          <w:color w:val="000000" w:themeColor="text1"/>
          <w:sz w:val="16"/>
          <w:szCs w:val="16"/>
        </w:rPr>
        <w:softHyphen/>
        <w:t>ли их назначение и наименование. В ряде случаев они даже в 1940 г. про</w:t>
      </w:r>
      <w:r w:rsidRPr="00DB5D0D">
        <w:rPr>
          <w:rFonts w:ascii="Times New Roman" w:hAnsi="Times New Roman"/>
          <w:color w:val="000000" w:themeColor="text1"/>
          <w:sz w:val="16"/>
          <w:szCs w:val="16"/>
        </w:rPr>
        <w:softHyphen/>
        <w:t>сто именовали их «РС-82» или «РС-132», поэтому идентифицировать, о чем идет речь, удается с очень большим трудом. Кстати, на самом деле оно именно так и получилось. К 1943 г. снаряды РОС-82 и РОС-132 в авиации полностью израсходовали, и возобновлять их производство не стали. На смену ракетным снарядам РОС-132 пришли реактивные М-13 (артиллерийский аналог авиационных РОФС-132), а вот в калибре 82 мм подобной замены не получилось. И хотя ракетные РОС-82 заменили ре</w:t>
      </w:r>
      <w:r w:rsidRPr="00DB5D0D">
        <w:rPr>
          <w:rFonts w:ascii="Times New Roman" w:hAnsi="Times New Roman"/>
          <w:color w:val="000000" w:themeColor="text1"/>
          <w:sz w:val="16"/>
          <w:szCs w:val="16"/>
        </w:rPr>
        <w:softHyphen/>
        <w:t>активными М-8, это были артиллерийские аналоги укороченного авиа</w:t>
      </w:r>
      <w:r w:rsidRPr="00DB5D0D">
        <w:rPr>
          <w:rFonts w:ascii="Times New Roman" w:hAnsi="Times New Roman"/>
          <w:color w:val="000000" w:themeColor="text1"/>
          <w:sz w:val="16"/>
          <w:szCs w:val="16"/>
        </w:rPr>
        <w:softHyphen/>
        <w:t>ционного.</w:t>
      </w:r>
    </w:p>
    <w:p w14:paraId="14ADDB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Промышленное производство РОФС для авиации требовало вырабо</w:t>
      </w:r>
      <w:r w:rsidRPr="00DB5D0D">
        <w:rPr>
          <w:rFonts w:ascii="Times New Roman" w:hAnsi="Times New Roman"/>
          <w:color w:val="000000" w:themeColor="text1"/>
          <w:sz w:val="16"/>
          <w:szCs w:val="16"/>
        </w:rPr>
        <w:softHyphen/>
        <w:t>тать полный набор правил их приемки. В 1940 г. военные представители УВВС на механических и снаряжательных заводах получили временные технические условия. В них, в частности, качество самих ведущих штиф</w:t>
      </w:r>
      <w:r w:rsidRPr="00DB5D0D">
        <w:rPr>
          <w:rFonts w:ascii="Times New Roman" w:hAnsi="Times New Roman"/>
          <w:color w:val="000000" w:themeColor="text1"/>
          <w:sz w:val="16"/>
          <w:szCs w:val="16"/>
        </w:rPr>
        <w:softHyphen/>
        <w:t>тов и их установки на корпусе двигателей боеприпасов требовалось про</w:t>
      </w:r>
      <w:r w:rsidRPr="00DB5D0D">
        <w:rPr>
          <w:rFonts w:ascii="Times New Roman" w:hAnsi="Times New Roman"/>
          <w:color w:val="000000" w:themeColor="text1"/>
          <w:sz w:val="16"/>
          <w:szCs w:val="16"/>
        </w:rPr>
        <w:softHyphen/>
        <w:t>верять нагрузкой в 200 кг для РОФС-82 и 500 кг для РОФС-132 в течение 6° с. Среди объемного перечня обычных для такого производства тестов на качество любопытен и такой момент, как испытание корпусов БЧ, Двигателей и сопловых крышек в ОТК механических заводов «на звук». Для этого использовали специальные молотки с медными бойками. Кро</w:t>
      </w:r>
      <w:r w:rsidRPr="00DB5D0D">
        <w:rPr>
          <w:rFonts w:ascii="Times New Roman" w:hAnsi="Times New Roman"/>
          <w:color w:val="000000" w:themeColor="text1"/>
          <w:sz w:val="16"/>
          <w:szCs w:val="16"/>
        </w:rPr>
        <w:softHyphen/>
        <w:t>ме того, корпуса двигателей РОФС подлежали гидравлической проверке Давлением 300 кг/см</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 создаваемым постепенно.</w:t>
      </w:r>
    </w:p>
    <w:p w14:paraId="6CCE58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Часть РОФС, окончательно снаряженных инертными взрывателями АМ от каждой партии изготовленных боеприпасов требовалось отправлять с наземных стендов с углом возвышения направляющей РОФС-82 должны были пролететь не менее 8000 м. а РОФС —132 - не менее 9000 м. При этом нх отклонения по дальности допускалось не более 1/100, а по боковому направлению — 1/50 дистанции стрельбы.</w:t>
      </w:r>
    </w:p>
    <w:p w14:paraId="432F5A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этапе отработки и испытаний РОФС их БЧ снаряжали нейтральной смесью, эквивалентной по массе и объему боевому заряду из тротила. В начале 30-х годов для этого применяли смеси на основе песка. Сухой нагретый песок засыпали в расплавленный парафин или канифоль. Полученной кашеобразной смесью БЧ заполняли вручную до требуемой массы. Однако такая нейтральная смесь отличалась от тротила по удельному весу, а потому удовлетворяла лишь при испытаниях коротких БЧ-1 с малым коэффициентом наполнения ВВ.</w:t>
      </w:r>
    </w:p>
    <w:p w14:paraId="0ABEF6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Позже, когда габариты БЧ выросли почти в два раза, их заполнять стали чистой серой. По-видимому, именно это послужило предпосылкой! к тому, что на БЧ инертных РС наносил и желтую кольцевую полосу. Позже их полностью окрашивал и масляной краской в желтый цвет с нанесением на корпусе БЧ трафарета «нейтральная смесь». Снаряды с нейт</w:t>
      </w:r>
      <w:r w:rsidRPr="00DB5D0D">
        <w:rPr>
          <w:rFonts w:ascii="Times New Roman" w:hAnsi="Times New Roman"/>
          <w:color w:val="000000" w:themeColor="text1"/>
          <w:sz w:val="16"/>
          <w:szCs w:val="16"/>
        </w:rPr>
        <w:softHyphen/>
        <w:t>ральным снаряжением БЧ использовали для отработки ракетных двига</w:t>
      </w:r>
      <w:r w:rsidRPr="00DB5D0D">
        <w:rPr>
          <w:rFonts w:ascii="Times New Roman" w:hAnsi="Times New Roman"/>
          <w:color w:val="000000" w:themeColor="text1"/>
          <w:sz w:val="16"/>
          <w:szCs w:val="16"/>
        </w:rPr>
        <w:softHyphen/>
        <w:t>телей и оценки внешнсбаллистичсских характеристик.</w:t>
      </w:r>
    </w:p>
    <w:p w14:paraId="5AFDE1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этом случае на стабилизаторах, кроме того, отсутствовала надпись «детонаторы вложены», а при стрельбе ими в головное очко помещали либо габаритно-весовой макет дистанционной трубки, либо оно было закрыто «мастичной» (пластмассовой) пробкой, как в транспортном по</w:t>
      </w:r>
      <w:r w:rsidRPr="00DB5D0D">
        <w:rPr>
          <w:rFonts w:ascii="Times New Roman" w:hAnsi="Times New Roman"/>
          <w:color w:val="000000" w:themeColor="text1"/>
          <w:sz w:val="16"/>
          <w:szCs w:val="16"/>
        </w:rPr>
        <w:softHyphen/>
        <w:t>ложении. Для отработки и контрольных испытаний взрывателей и дис-таншюнных трубок в серу БЧ добавляли немного черного или бракован</w:t>
      </w:r>
      <w:r w:rsidRPr="00DB5D0D">
        <w:rPr>
          <w:rFonts w:ascii="Times New Roman" w:hAnsi="Times New Roman"/>
          <w:color w:val="000000" w:themeColor="text1"/>
          <w:sz w:val="16"/>
          <w:szCs w:val="16"/>
        </w:rPr>
        <w:softHyphen/>
        <w:t>ного баллиститного пороха и устанавливали тстриловыс детонаторы. Кроме того, для специфических опытов, связанных с повышенной по-жароопасностью, БЧ некоторых РС заполняли водой.</w:t>
      </w:r>
    </w:p>
    <w:p w14:paraId="58CECF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отличие от ракетных боеприпасов полевой реактивной артилле</w:t>
      </w:r>
      <w:r w:rsidRPr="00DB5D0D">
        <w:rPr>
          <w:rFonts w:ascii="Times New Roman" w:hAnsi="Times New Roman"/>
          <w:color w:val="000000" w:themeColor="text1"/>
          <w:sz w:val="16"/>
          <w:szCs w:val="16"/>
        </w:rPr>
        <w:softHyphen/>
        <w:t>рии, для ВВС БЧ боевых РС снаряжали исключительно тротилом. До начала 30-х годов тротил в СССР производили по схеме, заимство</w:t>
      </w:r>
      <w:r w:rsidRPr="00DB5D0D">
        <w:rPr>
          <w:rFonts w:ascii="Times New Roman" w:hAnsi="Times New Roman"/>
          <w:color w:val="000000" w:themeColor="text1"/>
          <w:sz w:val="16"/>
          <w:szCs w:val="16"/>
        </w:rPr>
        <w:softHyphen/>
        <w:t>ванной в 1909 г. в Германии на заводе «Карбонит», в три фазы в чугун</w:t>
      </w:r>
      <w:r w:rsidRPr="00DB5D0D">
        <w:rPr>
          <w:rFonts w:ascii="Times New Roman" w:hAnsi="Times New Roman"/>
          <w:color w:val="000000" w:themeColor="text1"/>
          <w:sz w:val="16"/>
          <w:szCs w:val="16"/>
        </w:rPr>
        <w:softHyphen/>
        <w:t>ных аппаратах периодического действия. Производственный цикл про</w:t>
      </w:r>
      <w:r w:rsidRPr="00DB5D0D">
        <w:rPr>
          <w:rFonts w:ascii="Times New Roman" w:hAnsi="Times New Roman"/>
          <w:color w:val="000000" w:themeColor="text1"/>
          <w:sz w:val="16"/>
          <w:szCs w:val="16"/>
        </w:rPr>
        <w:softHyphen/>
        <w:t>должался около 50 ч.</w:t>
      </w:r>
    </w:p>
    <w:p w14:paraId="10EFB1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второй половине 30-х годов в снаряжательной промышленности применяли главным образом завивку боеприпасов тротилом или сплавами на его основе (70% боеприпасов основного назначения). Заливка была дли</w:t>
      </w:r>
      <w:r w:rsidRPr="00DB5D0D">
        <w:rPr>
          <w:rFonts w:ascii="Times New Roman" w:hAnsi="Times New Roman"/>
          <w:color w:val="000000" w:themeColor="text1"/>
          <w:sz w:val="16"/>
          <w:szCs w:val="16"/>
        </w:rPr>
        <w:softHyphen/>
        <w:t>тельным, малопроизводительным и очень опасным процессом, связанным с плавкой ВВ и скапливанием в мастерских большого количества снаряжен</w:t>
      </w:r>
      <w:r w:rsidRPr="00DB5D0D">
        <w:rPr>
          <w:rFonts w:ascii="Times New Roman" w:hAnsi="Times New Roman"/>
          <w:color w:val="000000" w:themeColor="text1"/>
          <w:sz w:val="16"/>
          <w:szCs w:val="16"/>
        </w:rPr>
        <w:softHyphen/>
        <w:t>ных боеприпасов, которые полагалось после нее выдерживать несколько часов. Для этого требовались и значительные производственные площади.</w:t>
      </w:r>
    </w:p>
    <w:p w14:paraId="567154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примеру, вкратце типовой технологический процесс снаряжения РОФС на Краснознаменном заводе №80 НКБ имени Я.М.Свердлова в г. Дзержинске Горьковской области выглядел следующим образом. С механического завода в собранном виде поступали пустые неокрашен</w:t>
      </w:r>
      <w:r w:rsidRPr="00DB5D0D">
        <w:rPr>
          <w:rFonts w:ascii="Times New Roman" w:hAnsi="Times New Roman"/>
          <w:color w:val="000000" w:themeColor="text1"/>
          <w:sz w:val="16"/>
          <w:szCs w:val="16"/>
        </w:rPr>
        <w:softHyphen/>
        <w:t>ные металлические корпуса боеприпасов. Их основные составные части были тщательно подогнаны друг к другу, отцентрованы и имели клейма с одинаковыми номерами. На снаряжатсльном заводе отстыкованные корпуса БЧ чистили внутри и снаружи на токарных станках от ржавчины и покрывали шеллачно-канифольным или просто канифольным лаком те их поверхности, которые должны были соприкасаться с ВВ.</w:t>
      </w:r>
    </w:p>
    <w:p w14:paraId="54D4CB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Сульфитный тротил собственного производства, расплавленный в аппарате Михайлова, сливали через мелкую сетку небольшими порци</w:t>
      </w:r>
      <w:r w:rsidRPr="00DB5D0D">
        <w:rPr>
          <w:rFonts w:ascii="Times New Roman" w:hAnsi="Times New Roman"/>
          <w:color w:val="000000" w:themeColor="text1"/>
          <w:sz w:val="16"/>
          <w:szCs w:val="16"/>
        </w:rPr>
        <w:softHyphen/>
        <w:t>ями (по 60-65 кг) в переносные бачки и шимозиронали деревянным тес</w:t>
      </w:r>
      <w:r w:rsidRPr="00DB5D0D">
        <w:rPr>
          <w:rFonts w:ascii="Times New Roman" w:hAnsi="Times New Roman"/>
          <w:color w:val="000000" w:themeColor="text1"/>
          <w:sz w:val="16"/>
          <w:szCs w:val="16"/>
        </w:rPr>
        <w:softHyphen/>
        <w:t>лом вручную «до степени второго кристалла».</w:t>
      </w:r>
    </w:p>
    <w:p w14:paraId="029AD2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головное очко БЧ перед заливкой ВВ устанавливали заливочный латунный болт, натертый парафином «во избежание приставания троти</w:t>
      </w:r>
      <w:r w:rsidRPr="00DB5D0D">
        <w:rPr>
          <w:rFonts w:ascii="Times New Roman" w:hAnsi="Times New Roman"/>
          <w:color w:val="000000" w:themeColor="text1"/>
          <w:sz w:val="16"/>
          <w:szCs w:val="16"/>
        </w:rPr>
        <w:softHyphen/>
        <w:t>ла к металлу». Болт одновременно служил пробкой (БЧ заливали со сто</w:t>
      </w:r>
      <w:r w:rsidRPr="00DB5D0D">
        <w:rPr>
          <w:rFonts w:ascii="Times New Roman" w:hAnsi="Times New Roman"/>
          <w:color w:val="000000" w:themeColor="text1"/>
          <w:sz w:val="16"/>
          <w:szCs w:val="16"/>
        </w:rPr>
        <w:softHyphen/>
        <w:t>роны дна) и пуансоном для формования углубления под запальный ста</w:t>
      </w:r>
      <w:r w:rsidRPr="00DB5D0D">
        <w:rPr>
          <w:rFonts w:ascii="Times New Roman" w:hAnsi="Times New Roman"/>
          <w:color w:val="000000" w:themeColor="text1"/>
          <w:sz w:val="16"/>
          <w:szCs w:val="16"/>
        </w:rPr>
        <w:softHyphen/>
        <w:t>кан детонатора (диаметр болта - 24 мм, длина - 90 мм с посадочной резь</w:t>
      </w:r>
      <w:r w:rsidRPr="00DB5D0D">
        <w:rPr>
          <w:rFonts w:ascii="Times New Roman" w:hAnsi="Times New Roman"/>
          <w:color w:val="000000" w:themeColor="text1"/>
          <w:sz w:val="16"/>
          <w:szCs w:val="16"/>
        </w:rPr>
        <w:softHyphen/>
        <w:t>бой). На нижнюю часть корпусов БЧ одевали «чехлы» (колпаки, обши</w:t>
      </w:r>
      <w:r w:rsidRPr="00DB5D0D">
        <w:rPr>
          <w:rFonts w:ascii="Times New Roman" w:hAnsi="Times New Roman"/>
          <w:color w:val="000000" w:themeColor="text1"/>
          <w:sz w:val="16"/>
          <w:szCs w:val="16"/>
        </w:rPr>
        <w:softHyphen/>
        <w:t>тые парусиной), опускали в «футляры» (деревянные бочки, обшитые войлоком и парусиной) и устанавливав в заливочные ванны для незна</w:t>
      </w:r>
      <w:r w:rsidRPr="00DB5D0D">
        <w:rPr>
          <w:rFonts w:ascii="Times New Roman" w:hAnsi="Times New Roman"/>
          <w:color w:val="000000" w:themeColor="text1"/>
          <w:sz w:val="16"/>
          <w:szCs w:val="16"/>
        </w:rPr>
        <w:softHyphen/>
        <w:t>чительного подогрева.</w:t>
      </w:r>
    </w:p>
    <w:p w14:paraId="088017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БЧ РС крупного калибра заливали в три приема - на половину емко</w:t>
      </w:r>
      <w:r w:rsidRPr="00DB5D0D">
        <w:rPr>
          <w:rFonts w:ascii="Times New Roman" w:hAnsi="Times New Roman"/>
          <w:color w:val="000000" w:themeColor="text1"/>
          <w:sz w:val="16"/>
          <w:szCs w:val="16"/>
        </w:rPr>
        <w:softHyphen/>
        <w:t>сти, до резьбовой части установки дна и вместе с заливочной воронкой. Густота тротилового расплава (степень шимозации) двух порций была одинаковой — так называемый «полный второй кристалл». Затем выпол</w:t>
      </w:r>
      <w:r w:rsidRPr="00DB5D0D">
        <w:rPr>
          <w:rFonts w:ascii="Times New Roman" w:hAnsi="Times New Roman"/>
          <w:color w:val="000000" w:themeColor="text1"/>
          <w:sz w:val="16"/>
          <w:szCs w:val="16"/>
        </w:rPr>
        <w:softHyphen/>
        <w:t>няли «уход» - выдерживание в течение 55-60 мин. Питательную воронку заливали тротилом, шимозированным «неполным вторым кристаллом». Сверху на залитые таким образом БЧ также одевали чехлы и выдержива</w:t>
      </w:r>
      <w:r w:rsidRPr="00DB5D0D">
        <w:rPr>
          <w:rFonts w:ascii="Times New Roman" w:hAnsi="Times New Roman"/>
          <w:color w:val="000000" w:themeColor="text1"/>
          <w:sz w:val="16"/>
          <w:szCs w:val="16"/>
        </w:rPr>
        <w:softHyphen/>
        <w:t>ли не менее 35 ч. После охлаждения БЧ освобождати от воронок, чехлов и футляров опиливали «прибыль» ВВ, вынимали заливочные болты и в в понетках по узкоколейной железной дороге перевозили в мастер</w:t>
      </w:r>
      <w:r w:rsidRPr="00DB5D0D">
        <w:rPr>
          <w:rFonts w:ascii="Times New Roman" w:hAnsi="Times New Roman"/>
          <w:color w:val="000000" w:themeColor="text1"/>
          <w:sz w:val="16"/>
          <w:szCs w:val="16"/>
        </w:rPr>
        <w:softHyphen/>
        <w:t>скую пя обрезки донного среза.</w:t>
      </w:r>
    </w:p>
    <w:p w14:paraId="3501EE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вагонеток БЧ по монорельсу на талях поступали к станку, где спе</w:t>
      </w:r>
      <w:r w:rsidRPr="00DB5D0D">
        <w:rPr>
          <w:rFonts w:ascii="Times New Roman" w:hAnsi="Times New Roman"/>
          <w:color w:val="000000" w:themeColor="text1"/>
          <w:sz w:val="16"/>
          <w:szCs w:val="16"/>
        </w:rPr>
        <w:softHyphen/>
        <w:t>циальным фигурным сверлом (по форме дна БЧ) обрезали только донную часть. Затем в мастерской для чистки резьбы тщательно вручную медны</w:t>
      </w:r>
      <w:r w:rsidRPr="00DB5D0D">
        <w:rPr>
          <w:rFonts w:ascii="Times New Roman" w:hAnsi="Times New Roman"/>
          <w:color w:val="000000" w:themeColor="text1"/>
          <w:sz w:val="16"/>
          <w:szCs w:val="16"/>
        </w:rPr>
        <w:softHyphen/>
        <w:t>ми или латунными крючками удаляли из канавок остатки тротила и пос</w:t>
      </w:r>
      <w:r w:rsidRPr="00DB5D0D">
        <w:rPr>
          <w:rFonts w:ascii="Times New Roman" w:hAnsi="Times New Roman"/>
          <w:color w:val="000000" w:themeColor="text1"/>
          <w:sz w:val="16"/>
          <w:szCs w:val="16"/>
        </w:rPr>
        <w:softHyphen/>
        <w:t>ле нескольких промывок спиртом покрывали срез ВВ одним слоем лака. В мастерской снаряженную БЧ помешали в «мортиру» - специаль</w:t>
      </w:r>
      <w:r w:rsidRPr="00DB5D0D">
        <w:rPr>
          <w:rFonts w:ascii="Times New Roman" w:hAnsi="Times New Roman"/>
          <w:color w:val="000000" w:themeColor="text1"/>
          <w:sz w:val="16"/>
          <w:szCs w:val="16"/>
        </w:rPr>
        <w:softHyphen/>
        <w:t>ный зажим по форме оживала корпуса. Установив на донном срезе тре</w:t>
      </w:r>
      <w:r w:rsidRPr="00DB5D0D">
        <w:rPr>
          <w:rFonts w:ascii="Times New Roman" w:hAnsi="Times New Roman"/>
          <w:color w:val="000000" w:themeColor="text1"/>
          <w:sz w:val="16"/>
          <w:szCs w:val="16"/>
        </w:rPr>
        <w:softHyphen/>
        <w:t>буемое количество асбестовых, картонных, жестяных и свинцовых про</w:t>
      </w:r>
      <w:r w:rsidRPr="00DB5D0D">
        <w:rPr>
          <w:rFonts w:ascii="Times New Roman" w:hAnsi="Times New Roman"/>
          <w:color w:val="000000" w:themeColor="text1"/>
          <w:sz w:val="16"/>
          <w:szCs w:val="16"/>
        </w:rPr>
        <w:softHyphen/>
        <w:t>кладок, внутреннее дно БЧ завинчивали на суриковой мастике, затяги</w:t>
      </w:r>
      <w:r w:rsidRPr="00DB5D0D">
        <w:rPr>
          <w:rFonts w:ascii="Times New Roman" w:hAnsi="Times New Roman"/>
          <w:color w:val="000000" w:themeColor="text1"/>
          <w:sz w:val="16"/>
          <w:szCs w:val="16"/>
        </w:rPr>
        <w:softHyphen/>
        <w:t>вая его до упора от руки. Круглые асбестовые и картонные прокладки служили для термоизоляции ВВ от стального дна БЧ, разогретого рабо</w:t>
      </w:r>
      <w:r w:rsidRPr="00DB5D0D">
        <w:rPr>
          <w:rFonts w:ascii="Times New Roman" w:hAnsi="Times New Roman"/>
          <w:color w:val="000000" w:themeColor="text1"/>
          <w:sz w:val="16"/>
          <w:szCs w:val="16"/>
        </w:rPr>
        <w:softHyphen/>
        <w:t>тающим двигателем. Жестяная прокладка того же диаметра предохраня</w:t>
      </w:r>
      <w:r w:rsidRPr="00DB5D0D">
        <w:rPr>
          <w:rFonts w:ascii="Times New Roman" w:hAnsi="Times New Roman"/>
          <w:color w:val="000000" w:themeColor="text1"/>
          <w:sz w:val="16"/>
          <w:szCs w:val="16"/>
        </w:rPr>
        <w:softHyphen/>
        <w:t>ла картонные и асбестовые от смятия при затягивании внутреннего дна БЧ. Кольцевая свинцовая прокладка уплотняла резьбовое соединение БЧ с чвигателем, предохраняя его от утечки газов и исключая их влияние на траекторию снаряда. Здесь же БЧ снаружи еще раз чистили струей пе</w:t>
      </w:r>
      <w:r w:rsidRPr="00DB5D0D">
        <w:rPr>
          <w:rFonts w:ascii="Times New Roman" w:hAnsi="Times New Roman"/>
          <w:color w:val="000000" w:themeColor="text1"/>
          <w:sz w:val="16"/>
          <w:szCs w:val="16"/>
        </w:rPr>
        <w:softHyphen/>
        <w:t>ска от ржавчины, образование которой неизбежно сопровождает про</w:t>
      </w:r>
      <w:r w:rsidRPr="00DB5D0D">
        <w:rPr>
          <w:rFonts w:ascii="Times New Roman" w:hAnsi="Times New Roman"/>
          <w:color w:val="000000" w:themeColor="text1"/>
          <w:sz w:val="16"/>
          <w:szCs w:val="16"/>
        </w:rPr>
        <w:softHyphen/>
        <w:t>цесс заливки тротилом, После обезжиривания спиртом всей поверхно</w:t>
      </w:r>
      <w:r w:rsidRPr="00DB5D0D">
        <w:rPr>
          <w:rFonts w:ascii="Times New Roman" w:hAnsi="Times New Roman"/>
          <w:color w:val="000000" w:themeColor="text1"/>
          <w:sz w:val="16"/>
          <w:szCs w:val="16"/>
        </w:rPr>
        <w:softHyphen/>
        <w:t>сти изделие было готово к наружной покраске.</w:t>
      </w:r>
    </w:p>
    <w:p w14:paraId="261911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Иногда применение пескоструйного аппарата не давало эффекта (особенно, если корпус БЧ был с осколочной насечкой), тогда отдельные участки БЧ и раковины очищали наждачной бумагой или металлической щеткой вручную. После повторной промывки спиртом корпуса либо по</w:t>
      </w:r>
      <w:r w:rsidRPr="00DB5D0D">
        <w:rPr>
          <w:rFonts w:ascii="Times New Roman" w:hAnsi="Times New Roman"/>
          <w:color w:val="000000" w:themeColor="text1"/>
          <w:sz w:val="16"/>
          <w:szCs w:val="16"/>
        </w:rPr>
        <w:softHyphen/>
        <w:t>крывали, олифой в два слоя, либо окрашивали в определенный цвет.</w:t>
      </w:r>
    </w:p>
    <w:p w14:paraId="2AB82B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это же время, в других мастерских завода рабочие занимались отстыкованными корпусами ракетных двигателей. У снятых оперения и крышки сопла они чистили и промывали резьбовые соединения. В крышку-сопло помещали дополнительный сопловой воспламенитель производства завода №59, заколачивали диафрагму (эта операция разрешала применять 300-граммовые молотки) и на ней крепили тесемками основной сопловой воспламенитель. В дно камеры двигателя помешали донный воспламенитель, закрепляя его картонными кольцевыми тарелями на шеллачном лаке. Смазав резьбу суриковой мастикой, стыковали БЧ с корпусом двигателя, затягивая в «мортире» до совпадения рисок, нанесенных заранее, и фиксировали соединение стопорными винтами, предварительно смазанными шеллачным лаком.</w:t>
      </w:r>
    </w:p>
    <w:p w14:paraId="766A45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этого в камеру ракетного двигателя параллельно стенкам ци</w:t>
      </w:r>
      <w:r w:rsidRPr="00DB5D0D">
        <w:rPr>
          <w:rFonts w:ascii="Times New Roman" w:hAnsi="Times New Roman"/>
          <w:color w:val="000000" w:themeColor="text1"/>
          <w:sz w:val="16"/>
          <w:szCs w:val="16"/>
        </w:rPr>
        <w:softHyphen/>
        <w:t>линдра по одной укладывали пороховые шашки завода №59 в строюм порядке с заданной технологией снаряжалия РЧ. Разрезанную поперек пополам помешали с краю в первом ярусе, а вторую - в последнем. Таким образом, стыки в одной из крайних составных шашек оказывались смещенными относительно остальных шашек своего яруса. Этот прием ис</w:t>
      </w:r>
      <w:r w:rsidRPr="00DB5D0D">
        <w:rPr>
          <w:rFonts w:ascii="Times New Roman" w:hAnsi="Times New Roman"/>
          <w:color w:val="000000" w:themeColor="text1"/>
          <w:sz w:val="16"/>
          <w:szCs w:val="16"/>
        </w:rPr>
        <w:softHyphen/>
        <w:t>пользовали для исключения перемещения ярусов с шашками при транс</w:t>
      </w:r>
      <w:r w:rsidRPr="00DB5D0D">
        <w:rPr>
          <w:rFonts w:ascii="Times New Roman" w:hAnsi="Times New Roman"/>
          <w:color w:val="000000" w:themeColor="text1"/>
          <w:sz w:val="16"/>
          <w:szCs w:val="16"/>
        </w:rPr>
        <w:softHyphen/>
        <w:t>портировке. После установки крышки-сопла (также на резьбе, смазан</w:t>
      </w:r>
      <w:r w:rsidRPr="00DB5D0D">
        <w:rPr>
          <w:rFonts w:ascii="Times New Roman" w:hAnsi="Times New Roman"/>
          <w:color w:val="000000" w:themeColor="text1"/>
          <w:sz w:val="16"/>
          <w:szCs w:val="16"/>
        </w:rPr>
        <w:softHyphen/>
        <w:t>ной суриковой замазкой) крепили и стабилизатор. В заключение корпус двигателя снаружи промывали спиртом и окрашивали без олифования за один раз масляной краской серо-голубого цвета, а также наносили тек</w:t>
      </w:r>
      <w:r w:rsidRPr="00DB5D0D">
        <w:rPr>
          <w:rFonts w:ascii="Times New Roman" w:hAnsi="Times New Roman"/>
          <w:color w:val="000000" w:themeColor="text1"/>
          <w:sz w:val="16"/>
          <w:szCs w:val="16"/>
        </w:rPr>
        <w:softHyphen/>
        <w:t>стовой трафарет.</w:t>
      </w:r>
    </w:p>
    <w:p w14:paraId="660964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укупоркой РОФС в деревянные ящики или индивидуальную в гнездо стакана детонатора устанавливали на лаке тетриловые прессованные шашки, а в очко под дистанционную трубку - мастичную пробку, смазанную снарядной мазью. В ходе снаряжения ракетные бое</w:t>
      </w:r>
      <w:r w:rsidRPr="00DB5D0D">
        <w:rPr>
          <w:rFonts w:ascii="Times New Roman" w:hAnsi="Times New Roman"/>
          <w:color w:val="000000" w:themeColor="text1"/>
          <w:sz w:val="16"/>
          <w:szCs w:val="16"/>
        </w:rPr>
        <w:softHyphen/>
        <w:t>припасы любой модели предписывалось оберегать от ударов определен</w:t>
      </w:r>
      <w:r w:rsidRPr="00DB5D0D">
        <w:rPr>
          <w:rFonts w:ascii="Times New Roman" w:hAnsi="Times New Roman"/>
          <w:color w:val="000000" w:themeColor="text1"/>
          <w:sz w:val="16"/>
          <w:szCs w:val="16"/>
        </w:rPr>
        <w:softHyphen/>
        <w:t>ные части конструкции. В частности, к ним относились бронзовые веду</w:t>
      </w:r>
      <w:r w:rsidRPr="00DB5D0D">
        <w:rPr>
          <w:rFonts w:ascii="Times New Roman" w:hAnsi="Times New Roman"/>
          <w:color w:val="000000" w:themeColor="text1"/>
          <w:sz w:val="16"/>
          <w:szCs w:val="16"/>
        </w:rPr>
        <w:softHyphen/>
        <w:t>щие штифты, грани осколочной насечки на БЧ. переднее и заднее цент</w:t>
      </w:r>
      <w:r w:rsidRPr="00DB5D0D">
        <w:rPr>
          <w:rFonts w:ascii="Times New Roman" w:hAnsi="Times New Roman"/>
          <w:color w:val="000000" w:themeColor="text1"/>
          <w:sz w:val="16"/>
          <w:szCs w:val="16"/>
        </w:rPr>
        <w:softHyphen/>
        <w:t>рирующие утолщения и пр.</w:t>
      </w:r>
    </w:p>
    <w:p w14:paraId="1163A0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каждом этапе производства корпусов РОФС и их снаряжения заводские военпреды постоянно контролировали состояние и соответствие основных параметров конструкции, что фиксировали в формулярах на партию боеприпасов и ставили личные клейма на корпусах БЧ и ра</w:t>
      </w:r>
      <w:r w:rsidRPr="00DB5D0D">
        <w:rPr>
          <w:rFonts w:ascii="Times New Roman" w:hAnsi="Times New Roman"/>
          <w:color w:val="000000" w:themeColor="text1"/>
          <w:sz w:val="16"/>
          <w:szCs w:val="16"/>
        </w:rPr>
        <w:softHyphen/>
        <w:t>кетной части. Список подлежащих контролю параметров, по требова</w:t>
      </w:r>
      <w:r w:rsidRPr="00DB5D0D">
        <w:rPr>
          <w:rFonts w:ascii="Times New Roman" w:hAnsi="Times New Roman"/>
          <w:color w:val="000000" w:themeColor="text1"/>
          <w:sz w:val="16"/>
          <w:szCs w:val="16"/>
        </w:rPr>
        <w:softHyphen/>
        <w:t>нию заказчика, постоянно возрастал, и к окончанию Великой Отечест</w:t>
      </w:r>
      <w:r w:rsidRPr="00DB5D0D">
        <w:rPr>
          <w:rFonts w:ascii="Times New Roman" w:hAnsi="Times New Roman"/>
          <w:color w:val="000000" w:themeColor="text1"/>
          <w:sz w:val="16"/>
          <w:szCs w:val="16"/>
        </w:rPr>
        <w:softHyphen/>
        <w:t>венной войны РОФС буквально пестрели контрольными отметкой, клеймами и трафаретами.</w:t>
      </w:r>
    </w:p>
    <w:p w14:paraId="361FDD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видно, к процессу производства и снаряжения РС относились настолько серьезно, что готовые боеприпасы выглядели подобно игрушке, несмотря на то, что были одноразовыми.</w:t>
      </w:r>
    </w:p>
    <w:p w14:paraId="7F7821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Тетрилоные дополнительные детонаторы для авиационных РС накану</w:t>
      </w:r>
      <w:r w:rsidRPr="00DB5D0D">
        <w:rPr>
          <w:rFonts w:ascii="Times New Roman" w:hAnsi="Times New Roman"/>
          <w:color w:val="000000" w:themeColor="text1"/>
          <w:sz w:val="16"/>
          <w:szCs w:val="16"/>
        </w:rPr>
        <w:softHyphen/>
        <w:t>не войны производили на заводе №12 НКБ, также снаряжавшем и БЧ сульфитным тротилом. На этом предприятии уже в 1940 г. использовали ускоренный метод кусковой заливки БЧ снарядов РОФС-82 и РОФС-132. Выглядело это следующим образом: на торец запальною стакана внутри ВЧ устанавливали склеенные между собой шеллачным лаком прессованные тротиловые шашки, после чето заполняли свободное пространство кусками или гранулами тротила и заливали тротиловым расплавом все свободное пространство до краев. Таким образом, сверловка в ВВ гнезда под шашки дополнительных детонаторов не требовалась. Срез ВВ фрезеровали и покрывали лаком, а при установке доньев, на него укладывали асбестовый и жестяной кружки для изоляции от горячей ракетной части. Дно в БЧ также завинчивали на резьбе, смазанной суриковой замазкой. Обязательной была проверка запальных стаканов резьбовыми калибрами. После этого в головное очко на пушечной смазке устанавливали пластмассовую или металлическую пробку, боеприпасы укупоривали в яшик и, наносили на их крышке текстовой трафарет и приклеивали преду</w:t>
      </w:r>
      <w:r w:rsidRPr="00DB5D0D">
        <w:rPr>
          <w:rFonts w:ascii="Times New Roman" w:hAnsi="Times New Roman"/>
          <w:color w:val="000000" w:themeColor="text1"/>
          <w:sz w:val="16"/>
          <w:szCs w:val="16"/>
        </w:rPr>
        <w:softHyphen/>
        <w:t>предительные надписи.</w:t>
      </w:r>
    </w:p>
    <w:p w14:paraId="3E9864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неудобства в работе, заводчане отмечали у РОФС-82 необходимость установки запального стакана, а у РОФС-132 - трудности при чистке ребристой наружной поверхности БЧ. В связи с этим неоднократно высказывали предложение проверить осколочное действие последней при изготовлении без насечек или с насечками в одном направлении. В противном случае предлагали корпус БЧ РОФС-132 красить или окси</w:t>
      </w:r>
      <w:r w:rsidRPr="00DB5D0D">
        <w:rPr>
          <w:rFonts w:ascii="Times New Roman" w:hAnsi="Times New Roman"/>
          <w:color w:val="000000" w:themeColor="text1"/>
          <w:sz w:val="16"/>
          <w:szCs w:val="16"/>
        </w:rPr>
        <w:softHyphen/>
        <w:t>дировать на механическом заводе.</w:t>
      </w:r>
    </w:p>
    <w:p w14:paraId="774DF9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Кстати, оксидирование корпусов РОФС-132 в 1941 г. практиковалось на некоторых механических заводах вместо покраски. Несмотря на то, что боеприпасы при этом были черного цвета (этот цвет тогда еще не был закреплен за учебными РС), они имели полное боевое снаряжение. Ок</w:t>
      </w:r>
      <w:r w:rsidRPr="00DB5D0D">
        <w:rPr>
          <w:rFonts w:ascii="Times New Roman" w:hAnsi="Times New Roman"/>
          <w:color w:val="000000" w:themeColor="text1"/>
          <w:sz w:val="16"/>
          <w:szCs w:val="16"/>
        </w:rPr>
        <w:softHyphen/>
        <w:t>сидирование РОФС-132 сохранилось даже когда УВиМТС ВВС КА раз</w:t>
      </w:r>
      <w:r w:rsidRPr="00DB5D0D">
        <w:rPr>
          <w:rFonts w:ascii="Times New Roman" w:hAnsi="Times New Roman"/>
          <w:color w:val="000000" w:themeColor="text1"/>
          <w:sz w:val="16"/>
          <w:szCs w:val="16"/>
        </w:rPr>
        <w:softHyphen/>
        <w:t>решило изготавливать корпуса БЧ без осколочной насечки. При этом цветовую маркировку на боеприпасе не наносили (11402).</w:t>
      </w:r>
    </w:p>
    <w:p w14:paraId="05714C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69669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г. был подготовлен план разработок вооружения и боеприпасов, в 5 пункте которого, в частности, говорилось: «В качестве первооче</w:t>
      </w:r>
      <w:r w:rsidRPr="00DB5D0D">
        <w:rPr>
          <w:rFonts w:ascii="Times New Roman" w:hAnsi="Times New Roman"/>
          <w:color w:val="000000" w:themeColor="text1"/>
          <w:sz w:val="16"/>
          <w:szCs w:val="16"/>
        </w:rPr>
        <w:softHyphen/>
        <w:t>редной задачи считать окончание разработки и ввод на вооружение дис</w:t>
      </w:r>
      <w:r w:rsidRPr="00DB5D0D">
        <w:rPr>
          <w:rFonts w:ascii="Times New Roman" w:hAnsi="Times New Roman"/>
          <w:color w:val="000000" w:themeColor="text1"/>
          <w:sz w:val="16"/>
          <w:szCs w:val="16"/>
        </w:rPr>
        <w:softHyphen/>
        <w:t>танционной трубки двойного действия (дистанционного и ударного) с установкой (времени срабатывания) из кабины летчика, ввести на вооружение для стрельбы ракетными снарядами коллиматорный прицел ПАН-23» (11402).</w:t>
      </w:r>
    </w:p>
    <w:p w14:paraId="335EF9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Между тем для боеприпасов проникающего действия головные взрыватели были просто неприемлемы. В отличие от обычных бронебойных авиабомб, где серийные пневматические ударные взрыватели переместили в заднюю часть боеприпаса, для бронебойных ракетных снарядов пришлось разработать специализированные устройства. И хотя, на первый взгляд, они конструктивно повторяли артиллерийские донные взрыватели инерционного типа с пиротехническим взведением (у артснаряда при выстреле - от метательного порохового заряда, у ракетного снаряда — от горящего ракетного заряда), проблем разработчикам и испытателям взрыватели доставили немало (11402).</w:t>
      </w:r>
    </w:p>
    <w:p w14:paraId="5D960C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06A47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г. были утверждены планы разработок вооруже</w:t>
      </w:r>
      <w:r w:rsidRPr="00DB5D0D">
        <w:rPr>
          <w:rFonts w:ascii="Times New Roman" w:hAnsi="Times New Roman"/>
          <w:color w:val="000000" w:themeColor="text1"/>
          <w:sz w:val="16"/>
          <w:szCs w:val="16"/>
        </w:rPr>
        <w:softHyphen/>
        <w:t>ния и боеприпасов, одним из пунктов которых значи</w:t>
      </w:r>
      <w:r w:rsidRPr="00DB5D0D">
        <w:rPr>
          <w:rFonts w:ascii="Times New Roman" w:hAnsi="Times New Roman"/>
          <w:color w:val="000000" w:themeColor="text1"/>
          <w:sz w:val="16"/>
          <w:szCs w:val="16"/>
        </w:rPr>
        <w:softHyphen/>
        <w:t>лось требование «Ввести на вооружение БРАБ-200ДС». В результате может создаться впечатление, что боеприпас еще не прошел испытаний, а его уже «на всякий случай» изготавливают небольшими партиями. На самом деле в документах речь идет об авиабомбах одного наименова</w:t>
      </w:r>
      <w:r w:rsidRPr="00DB5D0D">
        <w:rPr>
          <w:rFonts w:ascii="Times New Roman" w:hAnsi="Times New Roman"/>
          <w:color w:val="000000" w:themeColor="text1"/>
          <w:sz w:val="16"/>
          <w:szCs w:val="16"/>
        </w:rPr>
        <w:softHyphen/>
        <w:t>ния, по разных моделей. И без уточнения этих данных начинающему ис</w:t>
      </w:r>
      <w:r w:rsidRPr="00DB5D0D">
        <w:rPr>
          <w:rFonts w:ascii="Times New Roman" w:hAnsi="Times New Roman"/>
          <w:color w:val="000000" w:themeColor="text1"/>
          <w:sz w:val="16"/>
          <w:szCs w:val="16"/>
        </w:rPr>
        <w:softHyphen/>
        <w:t>следователю ни за что не понять логики и хронологии событий (11402).</w:t>
      </w:r>
    </w:p>
    <w:p w14:paraId="683441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7CED4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г. была утверждена составленная с учетом особых мнений армейско</w:t>
      </w:r>
      <w:r w:rsidRPr="00DB5D0D">
        <w:rPr>
          <w:rFonts w:ascii="Times New Roman" w:hAnsi="Times New Roman"/>
          <w:color w:val="000000" w:themeColor="text1"/>
          <w:sz w:val="16"/>
          <w:szCs w:val="16"/>
        </w:rPr>
        <w:softHyphen/>
        <w:t>го руководства, а также НКБ и НКАП программа разработок вооружения и боеприпасов, согласно которой уже в этом же году БЕТАБ-150ДС планировалось официально ввести па вооружение. Это было выгодно не только промышленности, но и военным - по плану подачи боеприпасов ВВС КА на 1 и 2 кварталы 1940 г. эти авиабомбы уже должны были по</w:t>
      </w:r>
      <w:r w:rsidRPr="00DB5D0D">
        <w:rPr>
          <w:rFonts w:ascii="Times New Roman" w:hAnsi="Times New Roman"/>
          <w:color w:val="000000" w:themeColor="text1"/>
          <w:sz w:val="16"/>
          <w:szCs w:val="16"/>
        </w:rPr>
        <w:softHyphen/>
        <w:t>ступить в 1-ю и 2-ю отдельные Краснознаменные армии (Дальнии Вос</w:t>
      </w:r>
      <w:r w:rsidRPr="00DB5D0D">
        <w:rPr>
          <w:rFonts w:ascii="Times New Roman" w:hAnsi="Times New Roman"/>
          <w:color w:val="000000" w:themeColor="text1"/>
          <w:sz w:val="16"/>
          <w:szCs w:val="16"/>
        </w:rPr>
        <w:softHyphen/>
        <w:t>ток) - по 150 штук, столько же в ЗабВО, 650 штук - в ЛВО, по сотне - в БОВО и КОВО, 25 - в СКВО, по 50 - в ЗакВО и первую армгруппу 1альний Восток) и 70 штук - в ОдВО (11402).</w:t>
      </w:r>
    </w:p>
    <w:p w14:paraId="14CBAA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44649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г. в планах разработок вооружения и боеприпасов в пункте 10 значилось: «Ввести на вооружение ракетно-бронебойные авиабомбы БРАБ-400ДС». В то же время, в проекте Установления ГВС КА по системе вооружения от 28 мая 1940 г. говорилось: «Ввести на вооружение ракетные бронебойные авиабомбы для бомбометания с пикирования БРАБ-500ДС. Утвердить в целях обеспечения перспективы в развитии авиационной техники следующую схему и основные требования к строительству самолетов и моторов на период 1940-43 гг. средние двухмоторные бомбардировщики - предусмотреть применение с пикирования ракетных БРАБ-500ДС» (11402).</w:t>
      </w:r>
    </w:p>
    <w:p w14:paraId="777C8D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03F085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D3024C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AFF0B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была утверждена Программа разработок вооружения и боеприпасов (7453, 506).</w:t>
      </w:r>
    </w:p>
    <w:p w14:paraId="75798F6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38041B6" w14:textId="77777777" w:rsidR="00905A66" w:rsidRPr="00DB5D0D" w:rsidRDefault="00905A6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мая 1940 г. в запасах РККА имелось 6075000 винтовок, 25000 пистолетов-пулеметов и 948000 пистолетов и револьверов (15770).</w:t>
      </w:r>
    </w:p>
    <w:p w14:paraId="7A65B277" w14:textId="77777777" w:rsidR="00905A66" w:rsidRPr="00DB5D0D" w:rsidRDefault="00905A66" w:rsidP="00DB5D0D">
      <w:pPr>
        <w:spacing w:after="0" w:line="240" w:lineRule="auto"/>
        <w:jc w:val="both"/>
        <w:rPr>
          <w:rFonts w:ascii="Times New Roman" w:hAnsi="Times New Roman"/>
          <w:color w:val="000000" w:themeColor="text1"/>
          <w:sz w:val="16"/>
          <w:szCs w:val="16"/>
        </w:rPr>
      </w:pPr>
    </w:p>
    <w:p w14:paraId="2A7C66C8" w14:textId="77777777" w:rsidR="00C96623" w:rsidRPr="00DB5D0D" w:rsidRDefault="00C966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мая 1940 в Красной Армии имелось 1460 мотоциклов с коляской и 7925 мотоцикл без коляски. Из имевшихся в наличии к устаревшим типам, подлежащим снятию с вооружения относились 2950 мотоциклов Л-300, ИЖ-7 и НАТИ А-750 (19776).</w:t>
      </w:r>
    </w:p>
    <w:p w14:paraId="017FE1B3" w14:textId="77777777" w:rsidR="00C96623" w:rsidRPr="00DB5D0D" w:rsidRDefault="00C96623" w:rsidP="00DB5D0D">
      <w:pPr>
        <w:spacing w:after="0" w:line="240" w:lineRule="auto"/>
        <w:jc w:val="both"/>
        <w:rPr>
          <w:rFonts w:ascii="Times New Roman" w:hAnsi="Times New Roman"/>
          <w:color w:val="000000" w:themeColor="text1"/>
          <w:sz w:val="16"/>
          <w:szCs w:val="16"/>
        </w:rPr>
      </w:pPr>
    </w:p>
    <w:p w14:paraId="220237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мая 1940 г. на ИжМЗ начали заготавливать детали для первой массовой партии из 400 экземпляров ИЖ-9. Сборку ИЖ-9 на конвейере начали 1 июня 1940 г. [4.124]; в этом же году на ИжМЗ планировали изготовить ИЖ-8 - 1450, а ИЖ-9 - 4050, все</w:t>
      </w:r>
      <w:r w:rsidRPr="00DB5D0D">
        <w:rPr>
          <w:rFonts w:ascii="Times New Roman" w:hAnsi="Times New Roman"/>
          <w:color w:val="000000" w:themeColor="text1"/>
          <w:sz w:val="16"/>
          <w:szCs w:val="16"/>
        </w:rPr>
        <w:softHyphen/>
        <w:t>го - 5500 экземпляров. Однако из-за неудачной подготовки се</w:t>
      </w:r>
      <w:r w:rsidRPr="00DB5D0D">
        <w:rPr>
          <w:rFonts w:ascii="Times New Roman" w:hAnsi="Times New Roman"/>
          <w:color w:val="000000" w:themeColor="text1"/>
          <w:sz w:val="16"/>
          <w:szCs w:val="16"/>
        </w:rPr>
        <w:softHyphen/>
        <w:t>рийного производства ИЖ-9 сделали гораздо меньше - 833, зато ИЖ-8 - несколько больше плана - 1556, всего - 2389 экземпля</w:t>
      </w:r>
      <w:r w:rsidRPr="00DB5D0D">
        <w:rPr>
          <w:rFonts w:ascii="Times New Roman" w:hAnsi="Times New Roman"/>
          <w:color w:val="000000" w:themeColor="text1"/>
          <w:sz w:val="16"/>
          <w:szCs w:val="16"/>
        </w:rPr>
        <w:softHyphen/>
        <w:t>ров. При этом сделали два мотоцикла ИЖ-12, прообразом кото</w:t>
      </w:r>
      <w:r w:rsidRPr="00DB5D0D">
        <w:rPr>
          <w:rFonts w:ascii="Times New Roman" w:hAnsi="Times New Roman"/>
          <w:color w:val="000000" w:themeColor="text1"/>
          <w:sz w:val="16"/>
          <w:szCs w:val="16"/>
        </w:rPr>
        <w:softHyphen/>
        <w:t>рого была новая модель ленинградского завода «Красный Ок</w:t>
      </w:r>
      <w:r w:rsidRPr="00DB5D0D">
        <w:rPr>
          <w:rFonts w:ascii="Times New Roman" w:hAnsi="Times New Roman"/>
          <w:color w:val="000000" w:themeColor="text1"/>
          <w:sz w:val="16"/>
          <w:szCs w:val="16"/>
        </w:rPr>
        <w:softHyphen/>
        <w:t>тябрь» Л-8 [4.129] (11429).</w:t>
      </w:r>
    </w:p>
    <w:p w14:paraId="4A2131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681E4D3" w14:textId="77777777" w:rsidR="00905A66" w:rsidRPr="00DB5D0D" w:rsidRDefault="00905A66" w:rsidP="00DB5D0D">
      <w:pPr>
        <w:tabs>
          <w:tab w:val="left" w:pos="631"/>
        </w:tabs>
        <w:spacing w:after="0" w:line="240" w:lineRule="auto"/>
        <w:jc w:val="both"/>
        <w:rPr>
          <w:rStyle w:val="Bodytext9"/>
          <w:rFonts w:eastAsia="Calibri"/>
          <w:color w:val="000000" w:themeColor="text1"/>
          <w:sz w:val="16"/>
          <w:szCs w:val="16"/>
        </w:rPr>
      </w:pPr>
      <w:r w:rsidRPr="00DB5D0D">
        <w:rPr>
          <w:rStyle w:val="Bodytext9"/>
          <w:rFonts w:eastAsia="Calibri"/>
          <w:color w:val="000000" w:themeColor="text1"/>
          <w:sz w:val="16"/>
          <w:szCs w:val="16"/>
        </w:rPr>
        <w:t xml:space="preserve">На 1 мая 1940 (из приложения к акту </w:t>
      </w:r>
      <w:r w:rsidRPr="00DB5D0D">
        <w:rPr>
          <w:rStyle w:val="Heading3"/>
          <w:rFonts w:eastAsia="Calibri"/>
          <w:color w:val="000000" w:themeColor="text1"/>
          <w:sz w:val="16"/>
          <w:szCs w:val="16"/>
        </w:rPr>
        <w:t>о приеме Наркомата обороны СССР С. К. Тимошенко от К. Е. Ворошилова</w:t>
      </w:r>
      <w:r w:rsidRPr="00DB5D0D">
        <w:rPr>
          <w:rStyle w:val="Bodytext9"/>
          <w:rFonts w:eastAsia="Calibri"/>
          <w:color w:val="000000" w:themeColor="text1"/>
          <w:sz w:val="16"/>
          <w:szCs w:val="16"/>
        </w:rPr>
        <w:t>:</w:t>
      </w:r>
    </w:p>
    <w:p w14:paraId="70346165" w14:textId="77777777" w:rsidR="00905A66" w:rsidRPr="00DB5D0D" w:rsidRDefault="00905A66" w:rsidP="00DB5D0D">
      <w:pPr>
        <w:tabs>
          <w:tab w:val="left" w:pos="631"/>
        </w:tabs>
        <w:spacing w:after="0" w:line="240" w:lineRule="auto"/>
        <w:jc w:val="both"/>
        <w:rPr>
          <w:rStyle w:val="Bodytext9"/>
          <w:rFonts w:eastAsia="Calibri"/>
          <w:color w:val="000000" w:themeColor="text1"/>
          <w:sz w:val="16"/>
          <w:szCs w:val="16"/>
        </w:rPr>
      </w:pPr>
      <w:r w:rsidRPr="00DB5D0D">
        <w:rPr>
          <w:rStyle w:val="Bodytext9"/>
          <w:rFonts w:eastAsia="Calibri"/>
          <w:color w:val="000000" w:themeColor="text1"/>
          <w:sz w:val="16"/>
          <w:szCs w:val="16"/>
        </w:rPr>
        <w:t>СРЕДСТВА РАДИОСВЯЗИ</w:t>
      </w:r>
    </w:p>
    <w:p w14:paraId="24894B84" w14:textId="77777777" w:rsidR="00905A66" w:rsidRPr="00DB5D0D" w:rsidRDefault="00905A66" w:rsidP="00DB5D0D">
      <w:pPr>
        <w:tabs>
          <w:tab w:val="left" w:pos="631"/>
        </w:tabs>
        <w:spacing w:after="0" w:line="240" w:lineRule="auto"/>
        <w:jc w:val="both"/>
        <w:rPr>
          <w:rStyle w:val="Bodytext9"/>
          <w:rFonts w:eastAsia="Calibri"/>
          <w:color w:val="000000" w:themeColor="text1"/>
          <w:sz w:val="16"/>
          <w:szCs w:val="16"/>
        </w:rPr>
      </w:pPr>
      <w:r w:rsidRPr="00DB5D0D">
        <w:rPr>
          <w:rStyle w:val="Heading22"/>
          <w:rFonts w:eastAsia="Calibri"/>
          <w:color w:val="000000" w:themeColor="text1"/>
          <w:sz w:val="16"/>
          <w:szCs w:val="16"/>
        </w:rPr>
        <w:t>Тактико-технические данные средств связи, принятых на вооружение Красной армии</w:t>
      </w:r>
    </w:p>
    <w:p w14:paraId="4222C91D" w14:textId="77777777" w:rsidR="00905A66" w:rsidRPr="00DB5D0D" w:rsidRDefault="00905A66" w:rsidP="00DB5D0D">
      <w:pPr>
        <w:tabs>
          <w:tab w:val="left" w:pos="631"/>
        </w:tabs>
        <w:spacing w:after="0" w:line="240" w:lineRule="auto"/>
        <w:jc w:val="both"/>
        <w:rPr>
          <w:rFonts w:ascii="Times New Roman" w:hAnsi="Times New Roman"/>
          <w:color w:val="000000" w:themeColor="text1"/>
          <w:sz w:val="16"/>
          <w:szCs w:val="16"/>
        </w:rPr>
      </w:pPr>
      <w:r w:rsidRPr="00DB5D0D">
        <w:rPr>
          <w:rStyle w:val="Bodytext9"/>
          <w:rFonts w:eastAsia="Calibri"/>
          <w:color w:val="000000" w:themeColor="text1"/>
          <w:sz w:val="16"/>
          <w:szCs w:val="16"/>
        </w:rPr>
        <w:t>1. Радиостанция РАТ</w:t>
      </w:r>
    </w:p>
    <w:p w14:paraId="4B8A4649"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Автомобильная приемопередающая, телеграфно-телефонная, симплексно-полудуплекс-</w:t>
      </w:r>
    </w:p>
    <w:p w14:paraId="12B735D0"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ная.</w:t>
      </w:r>
    </w:p>
    <w:p w14:paraId="1998377E"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Применялась в радиосетях Генерального штаба и для связи с дальними бомбардиров</w:t>
      </w:r>
      <w:r w:rsidRPr="00DB5D0D">
        <w:rPr>
          <w:rStyle w:val="16"/>
          <w:rFonts w:ascii="Times New Roman" w:cs="Times New Roman"/>
          <w:color w:val="000000" w:themeColor="text1"/>
          <w:spacing w:val="0"/>
          <w:u w:val="none"/>
        </w:rPr>
        <w:softHyphen/>
        <w:t>щиками.</w:t>
      </w:r>
    </w:p>
    <w:p w14:paraId="7F95A8D2"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Диапазон передатчика: 2,5—12 МГц (381 фиксированная волна, ф. в.). Диапазон приемников: 1,5—13,5 МГц. Мощность: 1000 Вт.</w:t>
      </w:r>
    </w:p>
    <w:p w14:paraId="2B7A8E81"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Виды работ: телеграф, телефон, быстродействие, буквопечатание с помощью помехо- защищенной аппаратуры «Алмаз».</w:t>
      </w:r>
    </w:p>
    <w:p w14:paraId="17B9BB6A"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Дальность действия: телеграф — 2000 км, телефон — 600 км.</w:t>
      </w:r>
    </w:p>
    <w:p w14:paraId="4B578F19"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Источники питания: силовой агрегат — двигатель ГАЗ и три генератора постоянного тока (БРА-С2, АРН-С2, ЦРС-2); зарядный агрегат Л-6 с генератором ЗДН-3000; аккумуляторные батареи 5 НКН-60 и 64 АКН-2,25.</w:t>
      </w:r>
    </w:p>
    <w:p w14:paraId="791997C2"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Транспортная база: передающая и приемная машины на ЗИС-5, силовая на ЗИС-6. Удаление передающей машин от узла связи до 7 км. Состав команды: 17 чел. Время развертывания: 2 часа.</w:t>
      </w:r>
    </w:p>
    <w:p w14:paraId="65DFD9F9"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Радиостанция выпускалась в 1937—1941 гг., усовершенствовалась в 1942 г. Выпускался стационарный вариант радиостанции РАТ-Г</w:t>
      </w:r>
    </w:p>
    <w:p w14:paraId="57B9FFE5"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r w:rsidRPr="00DB5D0D">
        <w:rPr>
          <w:rStyle w:val="Bodytext9"/>
          <w:rFonts w:eastAsia="Calibri"/>
          <w:color w:val="000000" w:themeColor="text1"/>
          <w:sz w:val="16"/>
          <w:szCs w:val="16"/>
        </w:rPr>
        <w:t>2. Радиостанция РАФ</w:t>
      </w:r>
    </w:p>
    <w:p w14:paraId="159AD740"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Автомобильная телеграфно-телефонная, симплексно-полудуплексная, комбинирован</w:t>
      </w:r>
      <w:r w:rsidRPr="00DB5D0D">
        <w:rPr>
          <w:rStyle w:val="16"/>
          <w:rFonts w:ascii="Times New Roman" w:cs="Times New Roman"/>
          <w:color w:val="000000" w:themeColor="text1"/>
          <w:spacing w:val="0"/>
          <w:u w:val="none"/>
        </w:rPr>
        <w:softHyphen/>
        <w:t>ная ДВ- и КВ-диапазонов.</w:t>
      </w:r>
    </w:p>
    <w:p w14:paraId="70406AAB"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Применялась в радиосетях фронта, а также для связи аэродромов с самолетами. Диапазон передатчика: 0,25-0,75 МГц (31 ф. в.); 2,5-12 МГц (381 ф. в.). Диапазон приемников: 0,75-12 МГц. Мощность: 400-500 Вт.</w:t>
      </w:r>
    </w:p>
    <w:p w14:paraId="724919B4"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Виды работ: телефон, телеграф, быстродействие (60-80 слов в мин.). Дальность действия: в СВ-диапазоне телеграф — 600 км, телефон — 300 км; в КВ-диапазоне телеграф — 1000 км, телефон — 600 км.</w:t>
      </w:r>
    </w:p>
    <w:p w14:paraId="796C0AB2"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Источники питания: бензоэлектрический агрегат Л-6/2 с генератором постоянного тока РДН-2500; умформеры РУН-120А, РУН-10; аккумуляторные батареи 5 НКН-60.</w:t>
      </w:r>
    </w:p>
    <w:p w14:paraId="40E335B1"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Транспортная база: в автомобиле ЗИС-6 или ГАЗ-ААА, а также ящичный вариант. Состав команды: 5 чел.</w:t>
      </w:r>
    </w:p>
    <w:p w14:paraId="678F97D9" w14:textId="77777777" w:rsidR="00905A66" w:rsidRPr="00DB5D0D" w:rsidRDefault="00905A66" w:rsidP="00DB5D0D">
      <w:pPr>
        <w:pStyle w:val="622"/>
        <w:shd w:val="clear" w:color="auto" w:fill="auto"/>
        <w:spacing w:before="0" w:line="240" w:lineRule="auto"/>
        <w:rPr>
          <w:rStyle w:val="16"/>
          <w:rFonts w:ascii="Times New Roman" w:cs="Times New Roman"/>
          <w:color w:val="000000" w:themeColor="text1"/>
          <w:spacing w:val="0"/>
          <w:u w:val="none"/>
        </w:rPr>
      </w:pPr>
      <w:r w:rsidRPr="00DB5D0D">
        <w:rPr>
          <w:rStyle w:val="16"/>
          <w:rFonts w:ascii="Times New Roman" w:cs="Times New Roman"/>
          <w:color w:val="000000" w:themeColor="text1"/>
          <w:spacing w:val="0"/>
          <w:u w:val="none"/>
        </w:rPr>
        <w:t>Время развертывания: РАФ — до 30 мин.; РАФ КВ — 10-12 мин. Радиостанция выпускалась с 1939 г. С 1942 г. выпускались модификации радиостанции РАФ-КВ-1, РАФ-КВ-2, РАФ-КВ-бис, РАФ-КВ-3, РАФ-КВ-4, РАФ-КВ-5, в которых исключен ДВ-диапазон и вид работы «быстродействие».</w:t>
      </w:r>
    </w:p>
    <w:p w14:paraId="0AC143CA"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Bodytext9"/>
          <w:rFonts w:eastAsia="Arial Unicode MS"/>
          <w:color w:val="000000" w:themeColor="text1"/>
          <w:sz w:val="16"/>
          <w:szCs w:val="16"/>
        </w:rPr>
        <w:t>3. Радиостанция 11АК (11АК-М1)</w:t>
      </w:r>
    </w:p>
    <w:p w14:paraId="33525BB3"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Автомобильная телеграфно-телефонная. Применялась в радиосетях фронта и армии и для связи с самолетами.</w:t>
      </w:r>
    </w:p>
    <w:p w14:paraId="7994A828"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Диапазон передатчика: 2,5—4,5 МГц (81 ф. в.). Диапазон приемника: 2,5—5,25 МГц.</w:t>
      </w:r>
    </w:p>
    <w:p w14:paraId="57040755"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Мощность: 600 Вт в телеграфном и 300 Вт в телефонном режимах. Дальность действия: телеграф — 700 км, телефон — 350 км.</w:t>
      </w:r>
    </w:p>
    <w:p w14:paraId="509A2B02"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Источники питания: бензоэлектрический агрегат Л-6/2 и генератор постоянного тока РДН-2500, аккумуляторные батареи 4НКН-45 и 64 АКН-2,25. Транспортная база: на двух автомобилях ГАЗ-ААА. Состав команды: 8—9 чел. Время развертывания: 12—15 мин. Радиостанция выпускалась с 1933 г.</w:t>
      </w:r>
    </w:p>
    <w:p w14:paraId="4570D17B"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Модернизированная радиостанция ПАК-М1 имела расширенный диапазон передатчика (2,5—7,5 МГц) с несколько увеличенной мощностью.</w:t>
      </w:r>
    </w:p>
    <w:p w14:paraId="142128CA"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Заменялась радиостанцией РАФ-КВ по мере ее производства и поставки.</w:t>
      </w:r>
    </w:p>
    <w:p w14:paraId="57267D56"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r w:rsidRPr="00DB5D0D">
        <w:rPr>
          <w:rStyle w:val="Bodytext9"/>
          <w:rFonts w:eastAsia="Calibri"/>
          <w:color w:val="000000" w:themeColor="text1"/>
          <w:sz w:val="16"/>
          <w:szCs w:val="16"/>
        </w:rPr>
        <w:t>4. Радиостанция РБ (3-Р)</w:t>
      </w:r>
    </w:p>
    <w:p w14:paraId="7AA32FAB"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Переносная приемопередающая, телефонно-телеграфная, полудуплексная. Применялась в радиосетях стрелковых и артиллерийских полков. Диапазон передатчика и приемника: 1,5—6 МГц (281 ф. в.). Мощность: 0,5 Вт.</w:t>
      </w:r>
    </w:p>
    <w:p w14:paraId="6168B4BF"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Дальность действия: телеграф — 50 км, телефон — 30 км. Источники питания: две батареи 2НКН-22 и четыре БАС-60. Время развертывания: 20 мин.</w:t>
      </w:r>
    </w:p>
    <w:p w14:paraId="08EAE685"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Состояла из двух упаковок и антенной укладки общим весом 28 кг, при транспортировке укладывалась в ящик.</w:t>
      </w:r>
    </w:p>
    <w:p w14:paraId="369A3BB5"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Переносилась двумя радистами.</w:t>
      </w:r>
    </w:p>
    <w:p w14:paraId="55F15BDB"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 кавалерии применялся вьючный вариант радиостанции РБК весом до 52 кг. Радиостанция выпускалась с 1938 г.</w:t>
      </w:r>
    </w:p>
    <w:p w14:paraId="275DB6E1"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 1942 г. заменялась радиостанцией РБМ по мере ее производства и поступления в войска.</w:t>
      </w:r>
    </w:p>
    <w:p w14:paraId="513D92CE"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bookmarkStart w:id="0" w:name="bookmark104"/>
      <w:r w:rsidRPr="00DB5D0D">
        <w:rPr>
          <w:rStyle w:val="Bodytext9"/>
          <w:rFonts w:eastAsia="Calibri"/>
          <w:color w:val="000000" w:themeColor="text1"/>
          <w:sz w:val="16"/>
          <w:szCs w:val="16"/>
        </w:rPr>
        <w:t>5. Радиостанция РБМ</w:t>
      </w:r>
      <w:bookmarkEnd w:id="0"/>
    </w:p>
    <w:p w14:paraId="4235C419"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Переносная приемопередающая, телефонно-телеграфная, полудуплексная. Применялась в радиосетях стрелковых полков и артиллерии. Диапазон: 1,75-6 МГц (271 ф. в.). Мощность: телеграф — 1,3 Вт, телефон — 0,7 Вт.</w:t>
      </w:r>
    </w:p>
    <w:p w14:paraId="23B0D610"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Дальность действия: телеграф — 50 км (на выбранных волнах до 250 км), телефон — 30 км. Источники питания: две батареи 2НКН-22 и четыре БАС-60.</w:t>
      </w:r>
    </w:p>
    <w:p w14:paraId="5210FBA1"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Комплект радиостанции состоял из двух упаковок и антенной укладки общим весом 30 кг. Переносился двумя радистами. Время развертывания: 20 мин.</w:t>
      </w:r>
    </w:p>
    <w:p w14:paraId="709224D4"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bookmarkStart w:id="1" w:name="bookmark105"/>
      <w:r w:rsidRPr="00DB5D0D">
        <w:rPr>
          <w:rStyle w:val="Bodytext9"/>
          <w:rFonts w:eastAsia="Calibri"/>
          <w:color w:val="000000" w:themeColor="text1"/>
          <w:sz w:val="16"/>
          <w:szCs w:val="16"/>
        </w:rPr>
        <w:t>6. Радиостанция РБС (4Р)</w:t>
      </w:r>
      <w:bookmarkEnd w:id="1"/>
    </w:p>
    <w:p w14:paraId="319BD4F3"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Переносная УКВ приемопередающая телефонная радиостанция.</w:t>
      </w:r>
    </w:p>
    <w:p w14:paraId="4245328A"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Применялась в радиосетях стрелковых батальонов и в артиллерии.</w:t>
      </w:r>
    </w:p>
    <w:p w14:paraId="73B09DD0"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Диапазон: 33,25-40,5 МГц (58 ф. в.).</w:t>
      </w:r>
    </w:p>
    <w:p w14:paraId="59A331EB"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Мощность: 0,25 Вт.</w:t>
      </w:r>
    </w:p>
    <w:p w14:paraId="64BED9DD"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Вид работы: телефон.</w:t>
      </w:r>
    </w:p>
    <w:p w14:paraId="08B8D6CB"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lastRenderedPageBreak/>
        <w:t>Дальность действия: 3-5 км.</w:t>
      </w:r>
    </w:p>
    <w:p w14:paraId="3614E59D"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Имеется устройство, допускающее тональный вызов по радио и применение радиостан</w:t>
      </w:r>
      <w:r w:rsidRPr="00DB5D0D">
        <w:rPr>
          <w:rStyle w:val="16"/>
          <w:rFonts w:ascii="Times New Roman" w:cs="Times New Roman"/>
          <w:color w:val="000000" w:themeColor="text1"/>
          <w:spacing w:val="0"/>
          <w:u w:val="none"/>
        </w:rPr>
        <w:softHyphen/>
        <w:t>ции в качестве телефонного аппарата.</w:t>
      </w:r>
    </w:p>
    <w:p w14:paraId="5AB996E5"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Источники питания: одна батарея 2НКН-10 и две БАС60. Переносилась одним радистом в двух упаковках общим весом 12 кг. Время развертывания: 3 мин.</w:t>
      </w:r>
    </w:p>
    <w:p w14:paraId="1CDEA762"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Выпускалась с 1940 г. Имелись модификации РБС-1, РБС-2.</w:t>
      </w:r>
    </w:p>
    <w:p w14:paraId="24C82C6D"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bookmarkStart w:id="2" w:name="bookmark106"/>
      <w:r w:rsidRPr="00DB5D0D">
        <w:rPr>
          <w:rStyle w:val="Bodytext9"/>
          <w:rFonts w:eastAsia="Calibri"/>
          <w:color w:val="000000" w:themeColor="text1"/>
          <w:sz w:val="16"/>
          <w:szCs w:val="16"/>
        </w:rPr>
        <w:t>7. Радиостанция 9Р</w:t>
      </w:r>
      <w:bookmarkEnd w:id="2"/>
    </w:p>
    <w:p w14:paraId="2E5D1290"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Применялась для двухсторонней телефонной связи бронеобъектов (танки Т-34 и само</w:t>
      </w:r>
      <w:r w:rsidRPr="00DB5D0D">
        <w:rPr>
          <w:rStyle w:val="16"/>
          <w:rFonts w:ascii="Times New Roman" w:cs="Times New Roman"/>
          <w:color w:val="000000" w:themeColor="text1"/>
          <w:spacing w:val="0"/>
          <w:u w:val="none"/>
        </w:rPr>
        <w:softHyphen/>
        <w:t>ходные установки).</w:t>
      </w:r>
    </w:p>
    <w:p w14:paraId="439DE44C"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Диапазон частот передатчика: 4—5,6 МГц. Диапазон частот приемника: 3,75—6 МГц (66 ф. в.). Мощность: 5—8 Вт.</w:t>
      </w:r>
    </w:p>
    <w:p w14:paraId="1B4C041D"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Дальность действия: на стоянке — 25 км, на ходу — 18 км. Источники питания: бортовая сеть бронеобъектов. Обслуживалась стрелком-радистом.</w:t>
      </w:r>
    </w:p>
    <w:p w14:paraId="4E469178"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Выпускалась с 1941 г. Модифицированный вариант радиостанции с обозначением 9-РМ выпускался с 1943 г.</w:t>
      </w:r>
    </w:p>
    <w:p w14:paraId="044786A2"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bookmarkStart w:id="3" w:name="bookmark107"/>
      <w:r w:rsidRPr="00DB5D0D">
        <w:rPr>
          <w:rStyle w:val="Bodytext9"/>
          <w:rFonts w:eastAsia="Calibri"/>
          <w:color w:val="000000" w:themeColor="text1"/>
          <w:sz w:val="16"/>
          <w:szCs w:val="16"/>
        </w:rPr>
        <w:t>6. Радиостанция «Север»</w:t>
      </w:r>
      <w:bookmarkEnd w:id="3"/>
    </w:p>
    <w:p w14:paraId="4704A6C1"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Переносная приемопередающая, телеграфная. Применялась для связи с отрядами в тылу противника. Диапазон передатчика: 2,56—5,8 МГц (181 ф. в.). Диапазон приемника: 2,22—6,66 МГц.</w:t>
      </w:r>
    </w:p>
    <w:p w14:paraId="187E12E8"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Предусмотрена стабилизация частоты передатчика тремя кварцами, придаваемыми радиостанции.</w:t>
      </w:r>
    </w:p>
    <w:p w14:paraId="37A80B20"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Мощность передатчика: 2,5 Вт.</w:t>
      </w:r>
    </w:p>
    <w:p w14:paraId="44BF90FC"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Дальность действия: 10—15 км, на выбранных волнах — до 300 км. Источники питания: четыре батареи БАС-60 и два элемента ЗС. Время развертывания: 3—5 мин.</w:t>
      </w:r>
    </w:p>
    <w:p w14:paraId="0429DC88"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Размещалась в двух упаковках общим весом 14 кг. Переносилась одним радистом. До 1942 г. изготовлялась радиостанция «Север» с диапазоном частот: передатчика — 3,62-6,25 МГц, приемника — 3,62-12,25 МГц.</w:t>
      </w:r>
    </w:p>
    <w:p w14:paraId="54FDFDBC"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bookmarkStart w:id="4" w:name="bookmark108"/>
      <w:r w:rsidRPr="00DB5D0D">
        <w:rPr>
          <w:rStyle w:val="Bodytext9"/>
          <w:rFonts w:eastAsia="Calibri"/>
          <w:color w:val="000000" w:themeColor="text1"/>
          <w:sz w:val="16"/>
          <w:szCs w:val="16"/>
        </w:rPr>
        <w:t>9. Радиостанция «Прима»</w:t>
      </w:r>
      <w:bookmarkEnd w:id="4"/>
    </w:p>
    <w:p w14:paraId="2EFBF535"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Переносная приемопередающая, телефонно-телеграфная.</w:t>
      </w:r>
    </w:p>
    <w:p w14:paraId="12FAB8EA"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Применялась в радиосетях парашютно-десантных частей и партизанских отрядов. Диапазон частот: 3,3-5 МГц разбит на 6 кварцованных волн. Мощность передатчика: 5 Вт. Дальность действия: до 300 км.</w:t>
      </w:r>
    </w:p>
    <w:p w14:paraId="3794A780"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Источники питания: генератор с ручным приводом ДРГТ-6А, аккумуляторы 2НКН-10, две батареи БАС-60.</w:t>
      </w:r>
    </w:p>
    <w:p w14:paraId="5CEA9FB5"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Время развертывания: 3-5 мин.</w:t>
      </w:r>
    </w:p>
    <w:p w14:paraId="2FFDC429"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Размещалась в трех ранцевых упаковках, приспособленных для парашютного десанти</w:t>
      </w:r>
      <w:r w:rsidRPr="00DB5D0D">
        <w:rPr>
          <w:rStyle w:val="16"/>
          <w:rFonts w:ascii="Times New Roman" w:cs="Times New Roman"/>
          <w:color w:val="000000" w:themeColor="text1"/>
          <w:spacing w:val="0"/>
          <w:u w:val="none"/>
        </w:rPr>
        <w:softHyphen/>
        <w:t>рования общим весом 46 кг, переносилась тремя радистами.</w:t>
      </w:r>
    </w:p>
    <w:p w14:paraId="355B37D4" w14:textId="77777777" w:rsidR="00905A66" w:rsidRPr="00DB5D0D" w:rsidRDefault="00905A66" w:rsidP="00DB5D0D">
      <w:pPr>
        <w:spacing w:after="0" w:line="240" w:lineRule="auto"/>
        <w:jc w:val="both"/>
        <w:rPr>
          <w:rStyle w:val="Bodytext9"/>
          <w:rFonts w:eastAsia="Calibri"/>
          <w:color w:val="000000" w:themeColor="text1"/>
          <w:sz w:val="16"/>
          <w:szCs w:val="16"/>
        </w:rPr>
      </w:pPr>
      <w:bookmarkStart w:id="5" w:name="bookmark109"/>
      <w:r w:rsidRPr="00DB5D0D">
        <w:rPr>
          <w:rStyle w:val="Bodytext9"/>
          <w:rFonts w:eastAsia="Calibri"/>
          <w:color w:val="000000" w:themeColor="text1"/>
          <w:sz w:val="16"/>
          <w:szCs w:val="16"/>
        </w:rPr>
        <w:t>ПРОВОДНЫЕ СРЕДСТВА СВЯЗИ</w:t>
      </w:r>
    </w:p>
    <w:p w14:paraId="07799F2E" w14:textId="77777777" w:rsidR="00905A66" w:rsidRPr="00DB5D0D" w:rsidRDefault="00905A66" w:rsidP="00DB5D0D">
      <w:pPr>
        <w:spacing w:after="0" w:line="240" w:lineRule="auto"/>
        <w:jc w:val="both"/>
        <w:rPr>
          <w:rFonts w:ascii="Times New Roman" w:hAnsi="Times New Roman"/>
          <w:color w:val="000000" w:themeColor="text1"/>
          <w:sz w:val="16"/>
          <w:szCs w:val="16"/>
        </w:rPr>
      </w:pPr>
      <w:r w:rsidRPr="00DB5D0D">
        <w:rPr>
          <w:rStyle w:val="Bodytext9"/>
          <w:rFonts w:eastAsia="Calibri"/>
          <w:color w:val="000000" w:themeColor="text1"/>
          <w:sz w:val="16"/>
          <w:szCs w:val="16"/>
        </w:rPr>
        <w:t>1. Телеграфный аппарат Бодо</w:t>
      </w:r>
      <w:bookmarkEnd w:id="5"/>
    </w:p>
    <w:p w14:paraId="5FDC4F0C"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Буквопечатающий дуплексный телеграфный аппарат синхронного типа. Применялся для телеграфной связи в звене Генеральный штаб — фронт (армия). До 1944 г. использовались модификации аппарата, созданные ранее для стационарных узлов различных ведомств.</w:t>
      </w:r>
    </w:p>
    <w:p w14:paraId="21D16710"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Наиболее распространенный двукратный аппарат Бодо типа 2БД-2Г был громоздким, состоял из 16 упаковок общим весом 1100 кг. Свертывание и развертывание аппарата зани</w:t>
      </w:r>
      <w:r w:rsidRPr="00DB5D0D">
        <w:rPr>
          <w:rStyle w:val="16"/>
          <w:rFonts w:ascii="Times New Roman" w:cs="Times New Roman"/>
          <w:color w:val="000000" w:themeColor="text1"/>
          <w:spacing w:val="0"/>
          <w:u w:val="none"/>
        </w:rPr>
        <w:softHyphen/>
        <w:t>мало от 4 до 6 часов.</w:t>
      </w:r>
    </w:p>
    <w:p w14:paraId="796B9345"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 1944 г. в войска стал поступать полевой вариант двукратного аппарата Бодо (2БДА-43).</w:t>
      </w:r>
    </w:p>
    <w:p w14:paraId="2EFDC2B1"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Дальность связи: по 4-миллиметровому стальному проводу (одному) постоянной воз</w:t>
      </w:r>
      <w:r w:rsidRPr="00DB5D0D">
        <w:rPr>
          <w:rStyle w:val="16"/>
          <w:rFonts w:ascii="Times New Roman" w:cs="Times New Roman"/>
          <w:color w:val="000000" w:themeColor="text1"/>
          <w:spacing w:val="0"/>
          <w:u w:val="none"/>
        </w:rPr>
        <w:softHyphen/>
        <w:t>душной линии связи 500—600 км (через ретрансляции практически без ограничения); по радио (с приставкой буквопечатания) — в пределах дальности радиосвязи.</w:t>
      </w:r>
    </w:p>
    <w:p w14:paraId="5822C742"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Техническая скорость обмета в двукратном дуплексном режиме: 800 знаков (букв, цифр) в минуту.</w:t>
      </w:r>
    </w:p>
    <w:p w14:paraId="49430957"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Реальный эксплуатационный обмен: 10—15 тыс. знаков в час.</w:t>
      </w:r>
    </w:p>
    <w:p w14:paraId="2BCA2AB2"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Время развертывания (свертывания): 15—20 мин.</w:t>
      </w:r>
    </w:p>
    <w:p w14:paraId="05D4AB36"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Комплект аппарата 2БДА-43 состоит из пяти упаковок общим весом 300 кг.</w:t>
      </w:r>
    </w:p>
    <w:p w14:paraId="4AB8E11A" w14:textId="77777777" w:rsidR="00905A66" w:rsidRPr="00DB5D0D" w:rsidRDefault="00905A66" w:rsidP="00DB5D0D">
      <w:pPr>
        <w:tabs>
          <w:tab w:val="left" w:pos="636"/>
        </w:tabs>
        <w:spacing w:after="0" w:line="240" w:lineRule="auto"/>
        <w:jc w:val="both"/>
        <w:rPr>
          <w:rFonts w:ascii="Times New Roman" w:hAnsi="Times New Roman"/>
          <w:color w:val="000000" w:themeColor="text1"/>
          <w:sz w:val="16"/>
          <w:szCs w:val="16"/>
        </w:rPr>
      </w:pPr>
      <w:bookmarkStart w:id="6" w:name="bookmark110"/>
      <w:r w:rsidRPr="00DB5D0D">
        <w:rPr>
          <w:rStyle w:val="Bodytext9"/>
          <w:rFonts w:eastAsia="Calibri"/>
          <w:color w:val="000000" w:themeColor="text1"/>
          <w:sz w:val="16"/>
          <w:szCs w:val="16"/>
        </w:rPr>
        <w:t>2. Телеграфный аппарат СТ-35</w:t>
      </w:r>
      <w:bookmarkEnd w:id="6"/>
    </w:p>
    <w:p w14:paraId="31A07BE9"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Стартстопный ленточный буквопечатающий телеграфный аппарат.</w:t>
      </w:r>
    </w:p>
    <w:p w14:paraId="74BE6ED6"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Широко применялся для обеспечения телеграфной связи во всех звеньях управления.</w:t>
      </w:r>
    </w:p>
    <w:p w14:paraId="48AEF5BD"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Дальность связи: по постоянным воздушным линиям связи — до 300 км; по полевым шестовым линиям — до 100 км; по полевому кабелю ПТГ-19 — до 50 км.</w:t>
      </w:r>
    </w:p>
    <w:p w14:paraId="7B162002"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Техническая скорость передачи: 380 знаков в минуту.</w:t>
      </w:r>
    </w:p>
    <w:p w14:paraId="1AD6F074"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Реальный эксплуатационный обмен: 1200—1800 знаков в час.</w:t>
      </w:r>
    </w:p>
    <w:p w14:paraId="42D35234"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Время развертывания и вхождения в связь: 15—20 мин.</w:t>
      </w:r>
    </w:p>
    <w:p w14:paraId="40057A58"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Вес: 28 кг (40 кг с укладкой).</w:t>
      </w:r>
    </w:p>
    <w:p w14:paraId="2D335990"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Серийно выпускался с 1936 г. Многократно модернизировался. Заменялся аппаратами ЛТА-5, ЛТА-8.</w:t>
      </w:r>
    </w:p>
    <w:p w14:paraId="25FFA9C1"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bookmarkStart w:id="7" w:name="bookmark111"/>
      <w:r w:rsidRPr="00DB5D0D">
        <w:rPr>
          <w:rStyle w:val="Bodytext9"/>
          <w:rFonts w:eastAsia="Calibri"/>
          <w:color w:val="000000" w:themeColor="text1"/>
          <w:sz w:val="16"/>
          <w:szCs w:val="16"/>
        </w:rPr>
        <w:t>3. Телеграфный аппарат Морзе</w:t>
      </w:r>
      <w:bookmarkEnd w:id="7"/>
    </w:p>
    <w:p w14:paraId="5C200CAE"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Широко использовались различные модификации аппарата образцов 1910, 1936, 1938 гг. фирмы «Сименс-Гальске» и др. Все они построены на основе применения неравномерного кода Морзе.</w:t>
      </w:r>
    </w:p>
    <w:p w14:paraId="5493588F"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 1944 г. в войска стал поступать модернизированный полевой аппарат Морзе (М-44).</w:t>
      </w:r>
    </w:p>
    <w:p w14:paraId="33B94EA0"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Дальность связи: по постоянным воздушным линиям связи — до 750—800 км; по полевым шестовым линиям — до 150 км; по полевому кабелю ПТГ-19 — до 75 км.</w:t>
      </w:r>
    </w:p>
    <w:p w14:paraId="670A2072"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Практический эксплуатационный обмен: 400—450 слов в час.</w:t>
      </w:r>
    </w:p>
    <w:p w14:paraId="0A8BAAD5"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Время развертывания и вхождения в связь: 10 мин.</w:t>
      </w:r>
    </w:p>
    <w:p w14:paraId="2B2552B2"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Вес: 19 кг (23 кг с укладкой).</w:t>
      </w:r>
    </w:p>
    <w:p w14:paraId="51E23BAC" w14:textId="77777777" w:rsidR="00905A66" w:rsidRPr="00DB5D0D" w:rsidRDefault="00905A66" w:rsidP="00DB5D0D">
      <w:pPr>
        <w:tabs>
          <w:tab w:val="left" w:pos="636"/>
        </w:tabs>
        <w:spacing w:after="0" w:line="240" w:lineRule="auto"/>
        <w:jc w:val="both"/>
        <w:rPr>
          <w:rFonts w:ascii="Times New Roman" w:hAnsi="Times New Roman"/>
          <w:color w:val="000000" w:themeColor="text1"/>
          <w:sz w:val="16"/>
          <w:szCs w:val="16"/>
        </w:rPr>
      </w:pPr>
      <w:r w:rsidRPr="00DB5D0D">
        <w:rPr>
          <w:rStyle w:val="Bodytext9"/>
          <w:rFonts w:eastAsia="Calibri"/>
          <w:color w:val="000000" w:themeColor="text1"/>
          <w:sz w:val="16"/>
          <w:szCs w:val="16"/>
        </w:rPr>
        <w:t>4. Телефонные аппараты УНА-Ф-42 и УНА-И-42</w:t>
      </w:r>
    </w:p>
    <w:p w14:paraId="6F181A7C"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Унифицированные телефонные аппараты с фоническим (УНА-Ф) и индукторным (УНА-И) вызовом.</w:t>
      </w:r>
    </w:p>
    <w:p w14:paraId="0ABD018F"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Применялись для внутренней и внешней телефонной связи подразделений, частей и соединений всех родов войск.</w:t>
      </w:r>
    </w:p>
    <w:p w14:paraId="0FF17DD4"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Дальность связи: по кабелю ПТФ-7 — до 15—18 км; по стальным цепям постоянных воздушных линий связи — 100—120 км.</w:t>
      </w:r>
    </w:p>
    <w:p w14:paraId="3E74EE4E"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Первые модификации аппаратов созданы в 1928 г. Все аппараты размещалась в дере</w:t>
      </w:r>
      <w:r w:rsidRPr="00DB5D0D">
        <w:rPr>
          <w:rStyle w:val="16"/>
          <w:rFonts w:ascii="Times New Roman" w:cs="Times New Roman"/>
          <w:color w:val="000000" w:themeColor="text1"/>
          <w:spacing w:val="0"/>
          <w:u w:val="none"/>
        </w:rPr>
        <w:softHyphen/>
        <w:t>вянных корпусах.</w:t>
      </w:r>
    </w:p>
    <w:p w14:paraId="26E6FA55"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Аппараты типа УНА-Ф просты по устройству. В довоенное время и в первые военные годы (при жестком дефиците полевого кабеля) они имели существенное преимущество — на однопроводных линиях индукторный вызов практически не проходил.</w:t>
      </w:r>
    </w:p>
    <w:p w14:paraId="061E5A1C"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Основной недостаток аппаратов типа УНА-Ф — возможность создания коммутаторов только малой емкости (10—12 абонентов) из-за трудностей фиксации вызова.</w:t>
      </w:r>
    </w:p>
    <w:p w14:paraId="5573A5BC"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 появлением возможности строительства двухпроводных линий благодаря надежности фиксации вызова аппараты типа УНА-И вытеснили фонические.</w:t>
      </w:r>
    </w:p>
    <w:p w14:paraId="50A9F4AA"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Из-за наличия индуктора аппарат УНА-И-42 сложнее по устройству и больше по габа</w:t>
      </w:r>
      <w:r w:rsidRPr="00DB5D0D">
        <w:rPr>
          <w:rStyle w:val="16"/>
          <w:rFonts w:ascii="Times New Roman" w:cs="Times New Roman"/>
          <w:color w:val="000000" w:themeColor="text1"/>
          <w:spacing w:val="0"/>
          <w:u w:val="none"/>
        </w:rPr>
        <w:softHyphen/>
        <w:t>ритам и весу в сравнении с УНА-Ф-42 (5 кг и 3,2 кг соответственно).</w:t>
      </w:r>
    </w:p>
    <w:p w14:paraId="231BEFA8"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На смену аппаратам типа УНА-Ф и УНА-И с 1944 г. начал поступать аппарат ТАИ-43.</w:t>
      </w:r>
    </w:p>
    <w:p w14:paraId="01C5C7F7"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bookmarkStart w:id="8" w:name="bookmark113"/>
      <w:r w:rsidRPr="00DB5D0D">
        <w:rPr>
          <w:rStyle w:val="Bodytext9"/>
          <w:rFonts w:eastAsia="Calibri"/>
          <w:color w:val="000000" w:themeColor="text1"/>
          <w:sz w:val="16"/>
          <w:szCs w:val="16"/>
        </w:rPr>
        <w:t>5. Полевой коммутатор К-10</w:t>
      </w:r>
      <w:bookmarkEnd w:id="8"/>
    </w:p>
    <w:p w14:paraId="1B951098"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Применялся для внешней и внутренней связи в полках и батальонах. Рассчитан на подключение 10 линий (абонентов) с индукторными аппаратами. Возможно спаривание двух коммутаторов.</w:t>
      </w:r>
    </w:p>
    <w:p w14:paraId="40AA6419"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Обеспечивает прием вызова и отбоя на вызывной клапан, который надежно срабатывает от индуктора телефонного аппарата (при сопротивлении абонентской цепи от 0 до 15 кОм). Клапаны могут быть дублированы подключением вызывного звонка.</w:t>
      </w:r>
    </w:p>
    <w:p w14:paraId="63CEEB7F"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Своих разговорно-вызывных приборов не имеет—обслуживается телефонным аппаратом. Абоненты соединяются с помощью соединительных гнезд и шнуров со штепселями. Обеспечивается парное и циркулярное соединение всех абонентов. Вес: 7,5 кг.</w:t>
      </w:r>
    </w:p>
    <w:p w14:paraId="142D4DDE"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Габаритные размеры: 300x150x195 мм.</w:t>
      </w:r>
    </w:p>
    <w:p w14:paraId="2910F240"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bookmarkStart w:id="9" w:name="bookmark114"/>
      <w:r w:rsidRPr="00DB5D0D">
        <w:rPr>
          <w:rStyle w:val="Bodytext9"/>
          <w:rFonts w:eastAsia="Calibri"/>
          <w:color w:val="000000" w:themeColor="text1"/>
          <w:sz w:val="16"/>
          <w:szCs w:val="16"/>
        </w:rPr>
        <w:t>6. Полевой коммутатор ПК-30</w:t>
      </w:r>
      <w:bookmarkEnd w:id="9"/>
    </w:p>
    <w:p w14:paraId="0A2A485C"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Применялся для внутренней и внешней телефонной связи командных пунктов и штабов соединений, их связи с абонентами других телефонных станций МБ или ЦБ.</w:t>
      </w:r>
    </w:p>
    <w:p w14:paraId="1326B35D"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Обеспечивал подключение: абонентов с индукторными аппаратами — 25, абонентов с фоническими аппаратами — 3.</w:t>
      </w:r>
    </w:p>
    <w:p w14:paraId="4EBBA444"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Соединительных линий к другим телефонным станциям: 2. Возможно спаривание двух ПК-30.</w:t>
      </w:r>
    </w:p>
    <w:p w14:paraId="0F99A85C"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Соединения абонентов с помощью шнуров аналогично К-10. В отличие от коммутатора К-10 вызывные и отбойные клапаны отдельные. Обслуживание коммутатора с использованием специальной гарнитуры телефониста. Вес: с упаковкой 80 кг.</w:t>
      </w:r>
    </w:p>
    <w:p w14:paraId="14DC9B3B"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Габаритные размеры укладки: 590x450x615 мм.</w:t>
      </w:r>
    </w:p>
    <w:p w14:paraId="6E3BD6AF"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bookmarkStart w:id="10" w:name="bookmark115"/>
      <w:r w:rsidRPr="00DB5D0D">
        <w:rPr>
          <w:rStyle w:val="Bodytext9"/>
          <w:rFonts w:eastAsia="Calibri"/>
          <w:color w:val="000000" w:themeColor="text1"/>
          <w:sz w:val="16"/>
          <w:szCs w:val="16"/>
        </w:rPr>
        <w:t>7. Полевой телефонный кабель ПТФ-7</w:t>
      </w:r>
      <w:bookmarkEnd w:id="10"/>
    </w:p>
    <w:p w14:paraId="08A7F6E2"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Предназначен для обеспечения низкочастотной телефонной связи на расстоянии до 15—25 км.</w:t>
      </w:r>
    </w:p>
    <w:p w14:paraId="2EB6E098"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Сопротивление постоянному току: 450 Ом/км. Имеет три медные и четыре стальные проволоки. Разрывная прочность: не менее 50 кг. Наружный диаметр: 3,5 мм. Вес: 15 кг.</w:t>
      </w:r>
    </w:p>
    <w:p w14:paraId="38D2EC4E"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Серийный выпуск различных модификаций кабеля с 1933 г.</w:t>
      </w:r>
    </w:p>
    <w:p w14:paraId="0EC031F3" w14:textId="77777777" w:rsidR="00905A66" w:rsidRPr="00DB5D0D" w:rsidRDefault="00905A66" w:rsidP="00DB5D0D">
      <w:pPr>
        <w:tabs>
          <w:tab w:val="left" w:pos="641"/>
        </w:tabs>
        <w:spacing w:after="0" w:line="240" w:lineRule="auto"/>
        <w:jc w:val="both"/>
        <w:rPr>
          <w:rFonts w:ascii="Times New Roman" w:hAnsi="Times New Roman"/>
          <w:color w:val="000000" w:themeColor="text1"/>
          <w:sz w:val="16"/>
          <w:szCs w:val="16"/>
        </w:rPr>
      </w:pPr>
      <w:bookmarkStart w:id="11" w:name="bookmark116"/>
      <w:r w:rsidRPr="00DB5D0D">
        <w:rPr>
          <w:rStyle w:val="Bodytext9"/>
          <w:rFonts w:eastAsia="Calibri"/>
          <w:color w:val="000000" w:themeColor="text1"/>
          <w:sz w:val="16"/>
          <w:szCs w:val="16"/>
        </w:rPr>
        <w:lastRenderedPageBreak/>
        <w:t>8. Полевой телеграфный кабель ПТГ-19</w:t>
      </w:r>
      <w:bookmarkEnd w:id="11"/>
    </w:p>
    <w:p w14:paraId="7E48E0EF"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Предназначен для обеспечения телеграфной и телефонной связи на расстоянии до 45-50 км.</w:t>
      </w:r>
    </w:p>
    <w:p w14:paraId="4CEA30BA" w14:textId="77777777" w:rsidR="00905A66" w:rsidRPr="00DB5D0D" w:rsidRDefault="00905A66" w:rsidP="00DB5D0D">
      <w:pPr>
        <w:pStyle w:val="622"/>
        <w:shd w:val="clear" w:color="auto" w:fill="auto"/>
        <w:spacing w:before="0" w:line="240" w:lineRule="auto"/>
        <w:rPr>
          <w:color w:val="000000" w:themeColor="text1"/>
          <w:sz w:val="16"/>
          <w:szCs w:val="16"/>
        </w:rPr>
      </w:pPr>
      <w:r w:rsidRPr="00DB5D0D">
        <w:rPr>
          <w:rStyle w:val="16"/>
          <w:rFonts w:ascii="Times New Roman" w:cs="Times New Roman"/>
          <w:color w:val="000000" w:themeColor="text1"/>
          <w:spacing w:val="0"/>
          <w:u w:val="none"/>
        </w:rPr>
        <w:t>Сопротивление постоянному току: 110 Ом/км. Имеет семь медных и 12 стальных проволок. Разрывная прочность: не менее 100 кг. Наружный диаметр: 4,5 мм. Вес: 27,5 кг.</w:t>
      </w:r>
    </w:p>
    <w:p w14:paraId="4F5C2BCE" w14:textId="77777777" w:rsidR="00905A66" w:rsidRPr="00DB5D0D" w:rsidRDefault="00905A66" w:rsidP="00DB5D0D">
      <w:pPr>
        <w:pStyle w:val="622"/>
        <w:shd w:val="clear" w:color="auto" w:fill="auto"/>
        <w:spacing w:before="0" w:line="240" w:lineRule="auto"/>
        <w:rPr>
          <w:rStyle w:val="16"/>
          <w:rFonts w:ascii="Times New Roman" w:cs="Times New Roman"/>
          <w:color w:val="000000" w:themeColor="text1"/>
          <w:spacing w:val="0"/>
          <w:u w:val="none"/>
        </w:rPr>
      </w:pPr>
      <w:r w:rsidRPr="00DB5D0D">
        <w:rPr>
          <w:rStyle w:val="16"/>
          <w:rFonts w:ascii="Times New Roman" w:cs="Times New Roman"/>
          <w:color w:val="000000" w:themeColor="text1"/>
          <w:spacing w:val="0"/>
          <w:u w:val="none"/>
        </w:rPr>
        <w:t>Серийно выпускался с 1931 г. (15123).</w:t>
      </w:r>
    </w:p>
    <w:p w14:paraId="1E096EAE" w14:textId="77777777" w:rsidR="00905A66" w:rsidRPr="00DB5D0D" w:rsidRDefault="00905A66" w:rsidP="00DB5D0D">
      <w:pPr>
        <w:pStyle w:val="622"/>
        <w:shd w:val="clear" w:color="auto" w:fill="auto"/>
        <w:spacing w:before="0" w:line="240" w:lineRule="auto"/>
        <w:rPr>
          <w:rStyle w:val="Heading22"/>
          <w:color w:val="000000" w:themeColor="text1"/>
          <w:sz w:val="16"/>
          <w:szCs w:val="16"/>
        </w:rPr>
      </w:pPr>
    </w:p>
    <w:p w14:paraId="6AE7D1D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5A69192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CF648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г. вышел приказ НКО С приветствием личному составу Краной Армии по случаю праздника 1 Мая № 101.</w:t>
      </w:r>
    </w:p>
    <w:p w14:paraId="5F3DC4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Сегодня народы нашей страны празднуют 1 Мая — день боевого смотра революционных сил рабочего класса, традиционный праздник трудящихся.</w:t>
      </w:r>
    </w:p>
    <w:p w14:paraId="5F9D68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Советский Союз этот день отпразднует особо торжественно потому, что наряду с ощутительными победами, одержанными им за истекший год во всех областях мирного труда и социалистической культуры, Вооруженные Силы Советского государства вписали новые славные страницы в победную историю нашей великой Советской Родины. Дальновидная и умная политика нашей партии и правительства под руководством товарища Сталина избавила нашу страну от войны на Западе, в которую нас пытались втянуть англо-французские империалисты. Война англо-французского блока против Германии разрастается и постепенно захватывает в свою орбиту новые государства и народы. На востоке по-прежнему полыхает пожар войны.</w:t>
      </w:r>
    </w:p>
    <w:p w14:paraId="34BC97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Позиция нашего государства во внешней политике, со всей большевистской ясностью изложенная главой правительства товарищем Молотовым перед Верховным Советом СССР и единодушно им одобренная, «заключается в том, чтобы обеспечить мир между народами и безопасность нашей страны».</w:t>
      </w:r>
    </w:p>
    <w:p w14:paraId="420F20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 неизменно проводимая в жизнь политика обеспечивается соответствующими договорами с соседними государствами и непреклонной волей 183-миллионного народа, подкрепляемой всей мощью Вооруженных Сил нашего государства.</w:t>
      </w:r>
    </w:p>
    <w:p w14:paraId="597174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Осенью прошлого года, вместо договора и укрепления добрососедских отношений, правительство Финляндии, став игрушкой в руках своих «могущественных» покровителей, пошло на провокацию войны против Советского Союза.</w:t>
      </w:r>
    </w:p>
    <w:p w14:paraId="708212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Советское правительство незамедлительно приняло меры по обеспечению безопасности Ленинграда и наших северо-западных границ. Под мощным ударом войск Ленинградского военного округа белофинская армия была разбита и на Карельском перешейке уничтожена укрепленная так называемая линия Маннергейма, над которой много поработали лучшие специалисты инженерных войск и генеральных штабов империалистических государств, готовя плацдарм для нападения на Советский Союз.</w:t>
      </w:r>
    </w:p>
    <w:p w14:paraId="48FD34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Линия Маннергейма, построенная по типу линии Мажино и линии Зигфрида, состояла из многих сотен мощных железобетонных укреплений, с артиллерией и пулеметами, с подземными ходами сообщения, минными полями и противотанковыми экскарпированными рвами, надолбами и другими многообразными препятствиями, с огромным количеством гранитно-деревоземляных боевых сооружений, проволочных заграждений и т. д. Провокаторы войны надеялись на линию Маннергейма, как на неприступную крепость, о которую должны были разбиться любые вооруженные силы.</w:t>
      </w:r>
    </w:p>
    <w:p w14:paraId="34DACA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линия Маннергейма рухнула под ударами доблестных частей Ленинградского военного округа. Сталинское утверждение о том, что нет таких крепостей, которых большевики не могли бы взять, и здесь полностью подтвердилось. Красноармейцы, командиры и политработники в этой схватке еще раз показали не только высокие моральные качества Красной Армии, ее непреклонную волю и грозную силу советской военной техники, но также и умение пользоваться этой техникой в любых условиях современной войны. Вместе с финской армией были разгромлены и силы ряда империалистических государств, которые из кожи лезли, чтобы финляндскую военную авантюру превратить в большую войну против Советского Союза.</w:t>
      </w:r>
    </w:p>
    <w:p w14:paraId="48A13C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Военные действия последних месяцев обогатили Красную Армию новым боевым опытом. Этот опыт надо изучать, необходимо извлечь из него все уроки, поскорее изжить, ликвидировать все недочеты, обнаруженные в ходе боевых операций, усилить и продолжать совершенствовать все положительные стороны, выявленные в ходе боевых действий. Большевикам не свойственно топтаться на месте, цепляться за старое, если оно бесполезно, не свойственно упиваться победами и почивать на лаврах. Жизнь идет вперед. Она требует непрестанного роста Красной Армии, обогащения военной мысли, развития военного искусства и боевого совершенствования кадров Красной Армии.</w:t>
      </w:r>
    </w:p>
    <w:p w14:paraId="6C918A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Империалистические поджигатели войны пытались и не раз еще будут пытаться повернуть острие войны против Советского Союза. Это заставляет нас быть всегда начеку, крепить и совершенствовать боевую мощь Красной Армии, не покладая рук работать над дальнейшим повышением боевой выучки ее частей, быть готовыми отражать возможные попытки нападения врага на нашу Родину и быть всегда как следует готовыми предупредить эти нападения.</w:t>
      </w:r>
    </w:p>
    <w:p w14:paraId="267227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 здравствует Первое мая!</w:t>
      </w:r>
    </w:p>
    <w:p w14:paraId="046E8A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 здравствует Красная Армия!</w:t>
      </w:r>
    </w:p>
    <w:p w14:paraId="1FBD15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 здравствует партия Ленина — Сталина — руководитель и организатор наших побед!</w:t>
      </w:r>
    </w:p>
    <w:p w14:paraId="33FDF5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 здравствует наш великий Сталин!</w:t>
      </w:r>
    </w:p>
    <w:p w14:paraId="30C198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К. Ворошилов (10624).</w:t>
      </w:r>
    </w:p>
    <w:p w14:paraId="0E14CE9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460817"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4CB12BA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3E482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года в длинных колоннах демонстрантов, шедших перед мавзолеем на Красной площади, двигался и небольшой серый автомобиль. Неброский, он должен был стать важным этапом в жизни страны. Уже с конца 1939-го в газетах появлялись заметки: на заводе имени КИМ (Коммунистический Интернационал Молодежи) вот-вот начнут производство машины, рассчитанной на частных владельцев. А ведь пока в СССР купить можно было лишь подержанный автомобиль, новый – только за особые заслуги перед государством. Даже «Пионерская правда» в декабре 1939-го рассказала о КИМе, подчеркнув, что этой компактной машиной легко сможет управлять «шофер-любитель, сам хозяин». В общем, все в соответствии с лозунгом вождя: «жить стало лучше, жить стало веселее». Правда, весной 1940-го завод еще предстояло дооснастить, автомобиль существовал всего в трех прототипах, и над ним уже сгущались тучи... Разговоры о малолитражке (по классификации тех лет – мотор до 1,5 л) – более экономичной, чем ГАЗ-М1, рассчитанной не только на государственные учреждения, но и на частных владельцев, – вели еще с середины 1930-х. Основной трибуной сторонников «народного» автомобиля был журнал «За рулем». Летом 1938-го известный популяризатор- инженер Г. В. Зимелев писал о малолитражке даже в «Правде». Страна жила чудовищным сочетанием страха, массовых арестов и расстрелов и… надежд на светлое будущее, в том числе с народным автомобилем. Эти чаяния совпали с планами руководства страны, которое старалось доказать миру, что советские граждане живут все лучше и лучше. А значит, как и французы, немцы, англичане, не говоря об американцах, смогут ездить на собственных машинах. Десятого января 1939-го СНК (Совет народных комиссаров) и ЦК ВКП(б) выпустили постановление об организации производства малолитражки в Москве на заводе имени КИМ. Планировали уже в 1939-м выпустить не менее 100 автомобилей. Специалисты во главе с бывшим директором ЗИС И.А. Лихачевым, занявшим в феврале пост наркома среднего машиностроения (туда входило Главное управление автопрома), наверняка понимали, что срок нереальный. Но говорить об этом публично, конечно, не могли. Завод на Остаповском шоссе, в поселке Текстильщики, собиравший полуторки из деталей ГАЗ, предстояло, по сути, перестроить. Да и какой именно автомобиль выпускать, еще никто не знал. В феврале 1939-го проектом занялся НАТИ. Главным конструктором КИМ-10 (строго говоря, это обозначение появилось значительно позже, в 1939-м в документах писали просто «малолитражный автомобиль») назначили А.Н. Островцева. Двигатель поручили разрабатывать отделу И.И. Лыткина. За создание кузова отвечал ГАЗ. В феврале 1939-го сотрудники НАТИ интенсивно испытывали зарубежные модели, в том числе «Опель Кадет», «Остин-Севен», «Адлер-Трумф», «Форд-Префект». Последний признали лучшим, хотя на скверных подмосковных дорогах за 6000 км ломались ушки рессор и быстро изнашивались пальцы шкворней, трескались крылья и рама. Впрочем, «Форд» действительно был самой простой, но современной и сбалансированной машиной (к слову, его мотор объемом 1,17 л после модернизаций ставили на европейские «форды» и в начале 1960-х). В выборе прототипа сыграло свою роль и доверие к марке: ведь, по сути, именно «форды» выпускал в те годы ГАЗ. Теперь, в отличие от полуторки и «эмки», лицензию покупать не собирались: предстояло скопировать и по возможности улучшить зарубежную модель. Интересно, что выбрали именно британский «Префект», а не его немецкий аналог «Эйфель» (11718).</w:t>
      </w:r>
    </w:p>
    <w:p w14:paraId="30724A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малолитражку работало несколько советских заводов. ЗИС делал часть штампов и должен был поставлять КИМу рессоры. ГАЗ брался изготовить часть оснастки для кузовных деталей. В Ярославле осваивали новые шины. Дела шли отнюдь не гладко. Нередко по утрам на заводах недосчитывались арестованных ночью специалистов, остальные работали по 12–14 часов в сутки. Не хватало самых элементарных вещей, даже бумаги для чертежей! Из США, куда выехали горьковчане, чтобы следить за выпуском и отгрузкой заказанного оборудования, шли тревожные письма: в чертежах, по которым работали американцы, полно ошибок. А ведь уже в 1939-м предстояло получить 589 заокеанских станков. В автомобиле было много новых для советской промышленности решений. Рама (по сути два подрамника) соединялась с кузовом жестко, мотор для своего объема очень мощный – 30 л.с. Планы производства – 50 тыс. машин (35 тыс. с закрытым и 15 тыс. с открытым кузовом) и 58 тыс. двигателей в год. Вполне европейский уровень: в Германии в 1938-м выпустили около 82 тыс. легковых «опелей» и чуть меньше 40 тыс. ДКВ. Конечно, ни о каких 100 автомобилях в 1939-м не могло быть и речи: в ноябре строительство завода отставало от плана на два с половиной месяца, а наркомат лишь утвердил макет первенца. По сравнению с «Фордом» КИМ-10-50 (первое число – марка двигателя, второе – кузова) был просторней, имел цельнометаллическую крышу. У английской машины, как у многих недорогих европейских моделей того времени, середина была из дерматина. К весне 1940-го построили три образца КИМ, один из которых и ехал в колоннах демонстрантов 1 мая. Тем временем на заводе налаживали отечественное и импортное оборудование… В августе вышло постановление СНК и ВКП(б) с резкой критикой создателей машины и наркома Лихачева, «самовольно изменивших конструкцию автомобиля». Основные </w:t>
      </w:r>
      <w:r w:rsidRPr="00DB5D0D">
        <w:rPr>
          <w:rFonts w:ascii="Times New Roman" w:hAnsi="Times New Roman"/>
          <w:color w:val="000000" w:themeColor="text1"/>
          <w:sz w:val="16"/>
          <w:szCs w:val="16"/>
        </w:rPr>
        <w:lastRenderedPageBreak/>
        <w:t>недостатки, по мнению всезнающих начальников: увеличенный кузов и багажник, малый дорожный просвет (нужно 185–190 мм, а у «Форда» было всего 150), наличие подножек и отдельно стоящих, а не вмонтированных в кузов фар. В общем-то, исправить все это было не слишком сложно. Но следующий пункт постановления гласил: сделать автомобиль четырехдверным – на шасси КИМ-10, с кузовом, скопированным с «Опеля-Кадет». Выпуск двухдверных машин запретить! Несмотря на диктатуру, одна рука часто не ведала, что делает другая. Корреспондент «Известий», побывав на заводе, 1 октября 1940-го выдал парадную заметку о начале серийного производства КИМ-10. Автомобиль затребовали в Кремль. Легенд об этом смотре много, свидетельств, которым можно верить, – нет. Зато известны итоги: арестовали директора КИМ Кузнецова (в 1942-м его, к счастью, выпустили) и сняли с должности наркома Лихачева. Его всего лишь вернули директором на ЗИС. В январе 1941-го приняли решение все же собрать из готовых комплектов деталей 500 машин. А в Горьком уже работали над четырехдверным КИМ-10-52. Правда, машину скопировали не с «Опеля-Кадет», а с очень похожей, но более просторной «Олимпии». Очевидно, она больше подходила конструкторам, а внешне неопытный, даже начальственный взгляд вряд ли бы отличил один «Опель» от другого. Планировали построить два прототипа, но, видимо, успели сделать всего один. До начала войны в Москве выпустили примерно 450 КИМов. Осенью 1941-го построили совсем немного (вероятно, единицы) командирских машин с упрощенными кузовами, так называемых тачанок. В конце 1941-го завод фактически перестал существовать: часть оборудования вывезли, производство встало. В 1942-м заново набрали работников, которые потихоньку начали ремонтировать грузовики, в том числе полученные по ленд-лизу. В 1944-м руководство завода и немногочисленные конструкторы задумались о возобновлении производства автомобилей. Но ни оборудования, ни полного комплекта документации не было. Правда, в Горьком сохранился прототип КИМ-10-52. Шестнадцатого июня 1945-го его вместе с ЗИС-110 и «Победой» в Кремле показывали Сталину и иным руководителям страны. КИМ окончательно отправили в отставку, решив выпускать «Опель Кадет», который превратился в СССР в «Москвич-400». Немногочисленные КИМы, пережившие войну и попавшие-таки в руки частников, со временем переделывали почти до неузнаваемости, а чаще просто отправляли на свалку. Теперь редчайшие, чудом дожившие до наших дней экземпляры по карману лишь очень богатым поклонникам отечественного ретро. Тем, кто более 60 лет назад создавал неброскую малолитражку, такое не виделось даже в самом фантастическом сне... (11718).</w:t>
      </w:r>
    </w:p>
    <w:p w14:paraId="2BA499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4A0217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E3033F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E126486" w14:textId="77777777" w:rsidR="00746415" w:rsidRPr="00DB5D0D" w:rsidRDefault="0074641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мая 1940 - Первый полет Douglas SBD Dauntless.</w:t>
      </w:r>
    </w:p>
    <w:p w14:paraId="52A755D9" w14:textId="77777777" w:rsidR="00746415" w:rsidRPr="00DB5D0D" w:rsidRDefault="0074641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Это американский палубный пикирующий бомбардировщик-разведчик. В ВВС США получил обозначение A-24 «Бэнши» (англ. A-24 Banshee). Самолёт представлял собой свободнонесущий низкоплан, имевший цельнометаллическую конструкцию, за исключением полотняной обшивки рулевых поверхностей.</w:t>
      </w:r>
    </w:p>
    <w:p w14:paraId="789558B2" w14:textId="77777777" w:rsidR="00746415" w:rsidRPr="00DB5D0D" w:rsidRDefault="0074641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Считается наиболее удачным палубным пикирующим бомбардировщиком американских ВМС в годы второй мировой войны. Именно эти самолёты атаковали японскую авианосную группу у атолла Мидуэй, нанеся урон, от которого Императорский флот так и не смог оправиться. Всего было выпущено 5936 самолёта «Dauntless» всех вариантов (22516).</w:t>
      </w:r>
    </w:p>
    <w:p w14:paraId="14788FF7" w14:textId="77777777" w:rsidR="00746415" w:rsidRPr="00DB5D0D" w:rsidRDefault="00746415" w:rsidP="00DB5D0D">
      <w:pPr>
        <w:spacing w:after="0" w:line="240" w:lineRule="auto"/>
        <w:jc w:val="both"/>
        <w:rPr>
          <w:rFonts w:ascii="Times New Roman" w:hAnsi="Times New Roman"/>
          <w:color w:val="0070C0"/>
          <w:sz w:val="16"/>
          <w:szCs w:val="16"/>
        </w:rPr>
      </w:pPr>
    </w:p>
    <w:p w14:paraId="19034941" w14:textId="77777777" w:rsidR="00746415" w:rsidRPr="00DB5D0D" w:rsidRDefault="0074641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мая 1940 немецкая авиация атакует британский авианосец HMS Glorious у берегов Норвегии. Ее встречают Gloster Sea Gladiators  (20795).</w:t>
      </w:r>
    </w:p>
    <w:p w14:paraId="2E1E0B25" w14:textId="77777777" w:rsidR="00746415" w:rsidRPr="00DB5D0D" w:rsidRDefault="00746415" w:rsidP="00DB5D0D">
      <w:pPr>
        <w:spacing w:after="0" w:line="240" w:lineRule="auto"/>
        <w:jc w:val="both"/>
        <w:rPr>
          <w:rFonts w:ascii="Times New Roman" w:hAnsi="Times New Roman"/>
          <w:color w:val="0070C0"/>
          <w:sz w:val="16"/>
          <w:szCs w:val="16"/>
        </w:rPr>
      </w:pPr>
    </w:p>
    <w:p w14:paraId="4A462F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Норвегия сдалась 1 мая 1940 и уже 10 мая 1940 вторжением в Голландию, Бельгию и Люксембург начался блицкриг А.Гитлера (270). 10 мая 1940 немцы нанесли удар по 100 аэродромам на глубину 400 км (278,403) уничтожив сотни машин. Опять, как и в случае бомбардировки 22 польских аэродромов этот урок не пошел нам впрок. 11 мая гитлеровские бомбардировщики уничтожили Брюссель и 15 мая голландская армия сдалась, а немцы вошли на территорию Франции (270). Резкое изменение хода войны в Европе привело к тому, что Правительство Чемберлена было вынуждено уйти в отставку и главой кабинета с 19 мая стал У.Черчиль.</w:t>
      </w:r>
    </w:p>
    <w:p w14:paraId="0199E25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8D52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May 1940 Norway surrenders (270).</w:t>
      </w:r>
    </w:p>
    <w:p w14:paraId="53ADDCC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FBE2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Норвегия капитулировала (270).</w:t>
      </w:r>
    </w:p>
    <w:p w14:paraId="0D2751E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7D5E5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1940 официально объявлено об отмене в связи с войной Олимпиады 1940 года (4962).</w:t>
      </w:r>
    </w:p>
    <w:p w14:paraId="3C98E02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FDC535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27637A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C40DB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 по 15 мая 1940 проходили гос. испытания СБ-РК2-М105 ВИШ-22 (790,11).</w:t>
      </w:r>
    </w:p>
    <w:p w14:paraId="7F22567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5B6A18" w14:textId="77777777" w:rsidR="003C5DC3" w:rsidRPr="00DB5D0D" w:rsidRDefault="003C5DC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501FF59" w14:textId="77777777" w:rsidR="003C5DC3" w:rsidRPr="00DB5D0D" w:rsidRDefault="003C5DC3" w:rsidP="00DB5D0D">
      <w:pPr>
        <w:spacing w:after="0" w:line="240" w:lineRule="auto"/>
        <w:jc w:val="both"/>
        <w:rPr>
          <w:rFonts w:ascii="Times New Roman" w:hAnsi="Times New Roman"/>
          <w:iCs/>
          <w:color w:val="000000" w:themeColor="text1"/>
          <w:sz w:val="16"/>
          <w:szCs w:val="16"/>
        </w:rPr>
      </w:pPr>
    </w:p>
    <w:p w14:paraId="78ADD0FF" w14:textId="77777777" w:rsidR="003C5DC3" w:rsidRPr="00DB5D0D" w:rsidRDefault="003C5DC3" w:rsidP="00DB5D0D">
      <w:pPr>
        <w:spacing w:after="0" w:line="240" w:lineRule="auto"/>
        <w:jc w:val="both"/>
        <w:rPr>
          <w:rFonts w:ascii="Times New Roman" w:hAnsi="Times New Roman"/>
          <w:color w:val="000000" w:themeColor="text1"/>
          <w:sz w:val="16"/>
          <w:szCs w:val="16"/>
        </w:rPr>
      </w:pPr>
    </w:p>
    <w:p w14:paraId="3F37B46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710D7A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C2E8573"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мая в 1940 году состоялся первый полет английской многоцелевой летающей лодки </w:t>
      </w:r>
      <w:hyperlink r:id="rId6" w:tgtFrame="_blank" w:history="1">
        <w:r w:rsidRPr="00DB5D0D">
          <w:rPr>
            <w:rFonts w:ascii="Times New Roman" w:hAnsi="Times New Roman"/>
            <w:color w:val="000000" w:themeColor="text1"/>
            <w:sz w:val="16"/>
            <w:szCs w:val="16"/>
          </w:rPr>
          <w:t xml:space="preserve">«Уолрэс Mk II» </w:t>
        </w:r>
      </w:hyperlink>
      <w:r w:rsidRPr="00DB5D0D">
        <w:rPr>
          <w:rFonts w:ascii="Times New Roman" w:hAnsi="Times New Roman"/>
          <w:color w:val="000000" w:themeColor="text1"/>
          <w:sz w:val="16"/>
          <w:szCs w:val="16"/>
        </w:rPr>
        <w:t>(Х1045) с деревянным фюзеляжем (самостоятельная разработка инженеров "Сондерс-Ро"), под управлением шеф-пилота Джорджа Пикеринга. Первый полет "Уолрэса Mk.II" (Х1045) состоялся 2 мая 1940 г. под управлением того же Джорджа Пикеринга. В своем отчете от 8 мая пилот отмечал, что управление самолетом в полете фактически ничем не отличается от предыдущего варианта, а разбег и пробег стали более комфортными из-за лучших шумоподавляющих характеристик дерева по сравнению с металлом. Появление данной модификации объяснялось тем, что в начавшейся Второй Мировой войне Британия из-за немецкой морской блокады стала ощущать нехватку дюраля (14879).</w:t>
      </w:r>
    </w:p>
    <w:p w14:paraId="5FC26DCF" w14:textId="77777777" w:rsidR="00BE4B1C" w:rsidRPr="00DB5D0D" w:rsidRDefault="00BE4B1C" w:rsidP="00DB5D0D">
      <w:pPr>
        <w:spacing w:after="0" w:line="240" w:lineRule="auto"/>
        <w:jc w:val="both"/>
        <w:rPr>
          <w:rFonts w:ascii="Times New Roman" w:hAnsi="Times New Roman"/>
          <w:color w:val="000000" w:themeColor="text1"/>
          <w:sz w:val="16"/>
          <w:szCs w:val="16"/>
        </w:rPr>
      </w:pPr>
    </w:p>
    <w:p w14:paraId="40FB80A8"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мая в 1940 году немецкий истребитель </w:t>
      </w:r>
      <w:hyperlink r:id="rId7" w:tgtFrame="_blank" w:history="1">
        <w:r w:rsidRPr="00DB5D0D">
          <w:rPr>
            <w:rFonts w:ascii="Times New Roman" w:hAnsi="Times New Roman"/>
            <w:color w:val="000000" w:themeColor="text1"/>
            <w:sz w:val="16"/>
            <w:szCs w:val="16"/>
          </w:rPr>
          <w:t xml:space="preserve">«Bf 109Е» </w:t>
        </w:r>
      </w:hyperlink>
      <w:r w:rsidRPr="00DB5D0D">
        <w:rPr>
          <w:rFonts w:ascii="Times New Roman" w:hAnsi="Times New Roman"/>
          <w:color w:val="000000" w:themeColor="text1"/>
          <w:sz w:val="16"/>
          <w:szCs w:val="16"/>
        </w:rPr>
        <w:t>из-за небольшой неполадки приземлился в Амьене, где дислоцировалась 1-я эскадрилья королевских ВВС. Уже через два дня трофей перегнали в Боскомб-Даун и подвергли тщательным испытаниям. «Немец» оказался быстроходнее почти во всем диапазоне высот; лишь около 4500 м он почти сравнивался с «Харрикейном». Bf 109Е легко уходил на пикировании, причем его двигатель, в отличие от "Мерлина" с поплавковым карбюратором, не давал сбоев при отрицательных перегрузках. Пушечное вооружение, которым обладали некоторые "Мессершмитты", позволяло открывать огонь с больших дистанций. Слабенькая броня «Харрикейна» не выдерживала даже попадания немецких пуль калибра 7,92 мм, не говоря о 13-мм пулях и 20-мм снарядах. Единственно, чем мог похвастаться английский истребитель - малым радиусом разворота (за счет меньшей нагрузки на крыло), что оставляло возможность боя на горизонталях. Всё это заставило существенно модернизировать как «Харрикейн», так и более совершенный «Спитфайр» (14879).</w:t>
      </w:r>
    </w:p>
    <w:p w14:paraId="0B837A70" w14:textId="77777777" w:rsidR="00BE4B1C" w:rsidRPr="00DB5D0D" w:rsidRDefault="00BE4B1C" w:rsidP="00DB5D0D">
      <w:pPr>
        <w:spacing w:after="0" w:line="240" w:lineRule="auto"/>
        <w:jc w:val="both"/>
        <w:rPr>
          <w:rFonts w:ascii="Times New Roman" w:hAnsi="Times New Roman"/>
          <w:color w:val="000000" w:themeColor="text1"/>
          <w:sz w:val="16"/>
          <w:szCs w:val="16"/>
        </w:rPr>
      </w:pPr>
    </w:p>
    <w:p w14:paraId="4DFCC027"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мая в 1940 году в районе Тронхейма «He-111» из II./LG1 атаковали и тяжело повредили норвежский пароход "Дроннинг Мауд" ("Dronning Maud"). Он использовался в качестве госпитального судна и имел обозначения Красного креста (14879).</w:t>
      </w:r>
    </w:p>
    <w:p w14:paraId="74646B1C" w14:textId="77777777" w:rsidR="00BE4B1C" w:rsidRPr="00DB5D0D" w:rsidRDefault="00BE4B1C" w:rsidP="00DB5D0D">
      <w:pPr>
        <w:spacing w:after="0" w:line="240" w:lineRule="auto"/>
        <w:jc w:val="both"/>
        <w:rPr>
          <w:rFonts w:ascii="Times New Roman" w:hAnsi="Times New Roman"/>
          <w:color w:val="000000" w:themeColor="text1"/>
          <w:sz w:val="16"/>
          <w:szCs w:val="16"/>
        </w:rPr>
      </w:pPr>
    </w:p>
    <w:p w14:paraId="4B6E144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мая 1940 немецкие подпольщики предупредили посла Бельгии в Риме А. Ньевенхауса о плане вторжения Германии в Бельгию (4962).</w:t>
      </w:r>
    </w:p>
    <w:p w14:paraId="590D7CA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573F2B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C339E2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3478D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А.С.Я. выпустил приказ, согласно которому на заводе 240 приступила к работе межведомственная комиссия, давшая добро на первый вылет ДБ-240 (3322,7).</w:t>
      </w:r>
    </w:p>
    <w:p w14:paraId="4B1D4AE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E24D03" w14:textId="77777777" w:rsidR="00E47DED" w:rsidRPr="00DB5D0D" w:rsidRDefault="00E47DED"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3 мая 1940 года вышел приказ 11 ГУ НКАП №14, которым была образована специ</w:t>
      </w:r>
      <w:r w:rsidRPr="00DB5D0D">
        <w:rPr>
          <w:rFonts w:ascii="Times New Roman" w:hAnsi="Times New Roman"/>
          <w:color w:val="0070C0"/>
          <w:sz w:val="16"/>
          <w:szCs w:val="16"/>
          <w:lang w:eastAsia="ru-RU" w:bidi="ru-RU"/>
        </w:rPr>
        <w:softHyphen/>
        <w:t>альная комиссия для определения готовно</w:t>
      </w:r>
      <w:r w:rsidRPr="00DB5D0D">
        <w:rPr>
          <w:rFonts w:ascii="Times New Roman" w:hAnsi="Times New Roman"/>
          <w:color w:val="0070C0"/>
          <w:sz w:val="16"/>
          <w:szCs w:val="16"/>
          <w:lang w:eastAsia="ru-RU" w:bidi="ru-RU"/>
        </w:rPr>
        <w:softHyphen/>
        <w:t>сти самолета ДБ-240 конструкции Ермолаева к первому вылету (21406).</w:t>
      </w:r>
    </w:p>
    <w:p w14:paraId="58B14D32" w14:textId="77777777" w:rsidR="00E47DED" w:rsidRPr="00DB5D0D" w:rsidRDefault="00E47DED" w:rsidP="00DB5D0D">
      <w:pPr>
        <w:spacing w:after="0" w:line="240" w:lineRule="auto"/>
        <w:jc w:val="both"/>
        <w:rPr>
          <w:rFonts w:ascii="Times New Roman" w:hAnsi="Times New Roman"/>
          <w:color w:val="0070C0"/>
          <w:sz w:val="16"/>
          <w:szCs w:val="16"/>
        </w:rPr>
      </w:pPr>
    </w:p>
    <w:p w14:paraId="3DCFD0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вышел приказ 11 ГУ НКАП N 14:</w:t>
      </w:r>
    </w:p>
    <w:p w14:paraId="6873CC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Для определения готовности самолета ДБ-240 конструкции Ермолаева к 1 вылету назначаю комиссию..." (2031,29).</w:t>
      </w:r>
    </w:p>
    <w:p w14:paraId="3D80355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8ADCF6"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мая в 1940 году на заводе № 240, в соответствии с приказом заместителя наркома авиапромышленности А.С.Яковлева, приступила к работе межведомственная комиссия, давшая "добро" на первый вылет бомбардировщика </w:t>
      </w:r>
      <w:hyperlink r:id="rId8" w:tgtFrame="_blank" w:history="1">
        <w:r w:rsidRPr="00DB5D0D">
          <w:rPr>
            <w:rFonts w:ascii="Times New Roman" w:hAnsi="Times New Roman"/>
            <w:color w:val="000000" w:themeColor="text1"/>
            <w:sz w:val="16"/>
            <w:szCs w:val="16"/>
          </w:rPr>
          <w:t>«Ер-2».</w:t>
        </w:r>
      </w:hyperlink>
    </w:p>
    <w:p w14:paraId="3C4BB677" w14:textId="77777777" w:rsidR="00BE4B1C" w:rsidRPr="00DB5D0D" w:rsidRDefault="00BE4B1C" w:rsidP="00DB5D0D">
      <w:pPr>
        <w:spacing w:after="0" w:line="240" w:lineRule="auto"/>
        <w:jc w:val="both"/>
        <w:rPr>
          <w:rFonts w:ascii="Times New Roman" w:hAnsi="Times New Roman"/>
          <w:color w:val="000000" w:themeColor="text1"/>
          <w:sz w:val="16"/>
          <w:szCs w:val="16"/>
        </w:rPr>
      </w:pPr>
    </w:p>
    <w:p w14:paraId="3FA3B8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в ходе заводских испытаний И-200 А.И.М, которые проходили с 31 марта по 17 августа 1940, на И-200-1 были выполнены две неудачные попытки полета на определение границ высотности и снятие температурных характеристик ВМГ (седьмой и восьмой по счету) (2988).</w:t>
      </w:r>
    </w:p>
    <w:p w14:paraId="06F1206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7457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М.М.Громов писал А.И.Ш. (N 2703) о рациональном использовании авиадизелей на боевых самолетах. Утверждал, что дизели, которые работают на керосине будут иметь большие преимущества перед бензиновыми. Для дизеля АН1РТК подходит только для ТБ-7 (1174).</w:t>
      </w:r>
    </w:p>
    <w:p w14:paraId="695715C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EC24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года НКАП утвердил Технический проект, генеральную смету завода в Урумчи (10313,11).</w:t>
      </w:r>
    </w:p>
    <w:p w14:paraId="1A2EF0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5BE84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вышел приказ НКАП N 189сс в исполнение постановления КО N 183сс "Об обеспечении бомбардировочной авиации радиополукомпасами" от 27 апреля 1940 (1309,147).</w:t>
      </w:r>
    </w:p>
    <w:p w14:paraId="4900D2C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A3C3B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898E52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C9BEB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 по 11 мая 1940 года в спешном порядке провели дополнительные испытания пушки Л-11, установленной в танк Т-28. В своих выводах комиссия, проводившая испытания, сообщала, что противооткатные устройства и спусковой механизм по своей конструкции не обеспечивают надежной работы, а полуавтоматика является сложной в эксплуатации. Вывод был категоричен: «Комиссия считает, что пушкой Л-11 вооружать танки нельзя».</w:t>
      </w:r>
    </w:p>
    <w:p w14:paraId="34A846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Ознакомившись с этим документом, начальник АБТУ КА Д. Павлов сообшал в наркомат обороны:</w:t>
      </w:r>
    </w:p>
    <w:p w14:paraId="36AB6A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были проведены испытания улучшенного образца пушки Л-11, которые выяснили, что Л-11 не является надежной, не позволит вести стрельбу при угле снижения менее 10 градусов, весьма капризна и сложна в эксплуатации...</w:t>
      </w:r>
    </w:p>
    <w:p w14:paraId="6933F1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момента готовности системы Ф-32 считаю возможным устанавливать в танки Л-11 как временные, с последующей заменой их пушками Ф-32, запретив стрельбу из Л-11 под углами снижения больше 10 градусов» (12217).</w:t>
      </w:r>
    </w:p>
    <w:p w14:paraId="08CE596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25E4BD"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мая 1940 г.</w:t>
      </w:r>
    </w:p>
    <w:p w14:paraId="45C4EC1E"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Перечень образцов минометно-минного вооружения, состоящих на вооружении Красной Армии (приложение №1 к Проекту постановления Главного Военного Совета РККА о системе минометно-минного вооружения Красной Армии, 3 мая 1940 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9"/>
        <w:gridCol w:w="4394"/>
        <w:gridCol w:w="4329"/>
      </w:tblGrid>
      <w:tr w:rsidR="00E47DED" w:rsidRPr="00DB5D0D" w14:paraId="1E7862D5" w14:textId="77777777" w:rsidTr="007609C9">
        <w:trPr>
          <w:trHeight w:val="313"/>
        </w:trPr>
        <w:tc>
          <w:tcPr>
            <w:tcW w:w="529" w:type="dxa"/>
          </w:tcPr>
          <w:p w14:paraId="2EA3235A"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П/п </w:t>
            </w:r>
          </w:p>
        </w:tc>
        <w:tc>
          <w:tcPr>
            <w:tcW w:w="4394" w:type="dxa"/>
          </w:tcPr>
          <w:p w14:paraId="438FEF1D"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Наименование образцов и основные характеристики </w:t>
            </w:r>
          </w:p>
        </w:tc>
        <w:tc>
          <w:tcPr>
            <w:tcW w:w="4329" w:type="dxa"/>
          </w:tcPr>
          <w:p w14:paraId="03D506F4"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Примечания </w:t>
            </w:r>
          </w:p>
        </w:tc>
      </w:tr>
      <w:tr w:rsidR="00E47DED" w:rsidRPr="00DB5D0D" w14:paraId="5127EBEA" w14:textId="77777777" w:rsidTr="007609C9">
        <w:trPr>
          <w:trHeight w:val="661"/>
        </w:trPr>
        <w:tc>
          <w:tcPr>
            <w:tcW w:w="529" w:type="dxa"/>
          </w:tcPr>
          <w:p w14:paraId="0B7454F5"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 </w:t>
            </w:r>
          </w:p>
        </w:tc>
        <w:tc>
          <w:tcPr>
            <w:tcW w:w="4394" w:type="dxa"/>
          </w:tcPr>
          <w:p w14:paraId="08EBEABD"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160-мм дивизионный миномет с весом системы в боевом положении — 600 кг. В походном положении — 1200 кг Наибольшая дальность — 5000 м. Наименьшая дальность— 500 м. Скорострельность 3—4 выс/мин. </w:t>
            </w:r>
          </w:p>
        </w:tc>
        <w:tc>
          <w:tcPr>
            <w:tcW w:w="4329" w:type="dxa"/>
          </w:tcPr>
          <w:p w14:paraId="5D98FCD2"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НКВ и УММВ закончить отработку опытных образцов с транспортными средствами к 15.9.40 г. </w:t>
            </w:r>
          </w:p>
        </w:tc>
      </w:tr>
      <w:tr w:rsidR="00E47DED" w:rsidRPr="00DB5D0D" w14:paraId="1C7ABA89" w14:textId="77777777" w:rsidTr="007609C9">
        <w:trPr>
          <w:trHeight w:val="523"/>
        </w:trPr>
        <w:tc>
          <w:tcPr>
            <w:tcW w:w="529" w:type="dxa"/>
          </w:tcPr>
          <w:p w14:paraId="039251DE"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 </w:t>
            </w:r>
          </w:p>
        </w:tc>
        <w:tc>
          <w:tcPr>
            <w:tcW w:w="4394" w:type="dxa"/>
          </w:tcPr>
          <w:p w14:paraId="1F5B6DAB"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160-мм фугасные мины (нормальной емкости) с весом 40 кг, при весе ВВ равном 8 кг </w:t>
            </w:r>
          </w:p>
        </w:tc>
        <w:tc>
          <w:tcPr>
            <w:tcW w:w="4329" w:type="dxa"/>
          </w:tcPr>
          <w:p w14:paraId="118AFF8F"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отработку опытных образцов к 1.9.40 г. </w:t>
            </w:r>
          </w:p>
        </w:tc>
      </w:tr>
      <w:tr w:rsidR="00E47DED" w:rsidRPr="00DB5D0D" w14:paraId="3D9F5A44" w14:textId="77777777" w:rsidTr="007609C9">
        <w:trPr>
          <w:trHeight w:val="523"/>
        </w:trPr>
        <w:tc>
          <w:tcPr>
            <w:tcW w:w="529" w:type="dxa"/>
          </w:tcPr>
          <w:p w14:paraId="2B52EC58"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3 </w:t>
            </w:r>
          </w:p>
        </w:tc>
        <w:tc>
          <w:tcPr>
            <w:tcW w:w="4394" w:type="dxa"/>
          </w:tcPr>
          <w:p w14:paraId="2741A5E4"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160-мм фугасные мины (большой емкости) </w:t>
            </w:r>
          </w:p>
          <w:p w14:paraId="1C85DEF7"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с весом мины 60 кг при весе ВВ равном 15 кг. </w:t>
            </w:r>
          </w:p>
        </w:tc>
        <w:tc>
          <w:tcPr>
            <w:tcW w:w="4329" w:type="dxa"/>
          </w:tcPr>
          <w:p w14:paraId="56C779FA"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отработку опытных образцов к 1.9.40 г. </w:t>
            </w:r>
          </w:p>
        </w:tc>
      </w:tr>
      <w:tr w:rsidR="00E47DED" w:rsidRPr="00DB5D0D" w14:paraId="2D11903A" w14:textId="77777777" w:rsidTr="007609C9">
        <w:trPr>
          <w:trHeight w:val="661"/>
        </w:trPr>
        <w:tc>
          <w:tcPr>
            <w:tcW w:w="529" w:type="dxa"/>
          </w:tcPr>
          <w:p w14:paraId="2556B281"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4 </w:t>
            </w:r>
          </w:p>
        </w:tc>
        <w:tc>
          <w:tcPr>
            <w:tcW w:w="4394" w:type="dxa"/>
          </w:tcPr>
          <w:p w14:paraId="0A0AC380"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240-мм тяжелый миномет с весом системы в </w:t>
            </w:r>
          </w:p>
          <w:p w14:paraId="59FAC7A9"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боевом положении — 2200 кг. В походном </w:t>
            </w:r>
          </w:p>
          <w:p w14:paraId="04CA8726"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положении — 3—4 т. Набольшая дальность — 3000—3500 м. Наименьшая дальность — 500 м. Скорострельность 1 выстр. в 2 мин. </w:t>
            </w:r>
          </w:p>
        </w:tc>
        <w:tc>
          <w:tcPr>
            <w:tcW w:w="4329" w:type="dxa"/>
          </w:tcPr>
          <w:p w14:paraId="68AF6DBB"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разработку чертежей на опытный образец к 15.12.40 г. </w:t>
            </w:r>
          </w:p>
        </w:tc>
      </w:tr>
      <w:tr w:rsidR="00E47DED" w:rsidRPr="00DB5D0D" w14:paraId="4CD8D9E5" w14:textId="77777777" w:rsidTr="007609C9">
        <w:trPr>
          <w:trHeight w:val="523"/>
        </w:trPr>
        <w:tc>
          <w:tcPr>
            <w:tcW w:w="529" w:type="dxa"/>
          </w:tcPr>
          <w:p w14:paraId="15D6CD20"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5 </w:t>
            </w:r>
          </w:p>
        </w:tc>
        <w:tc>
          <w:tcPr>
            <w:tcW w:w="4394" w:type="dxa"/>
          </w:tcPr>
          <w:p w14:paraId="6C88061C"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240-мм фугасные мины с весом мины 130 кг </w:t>
            </w:r>
          </w:p>
          <w:p w14:paraId="395F56EF"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при весе ВВ равном 45 кг </w:t>
            </w:r>
          </w:p>
        </w:tc>
        <w:tc>
          <w:tcPr>
            <w:tcW w:w="4329" w:type="dxa"/>
          </w:tcPr>
          <w:p w14:paraId="1996E4EB"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разработку чертежей на опытные образцы к 15.12. 1940 г. </w:t>
            </w:r>
          </w:p>
        </w:tc>
      </w:tr>
      <w:tr w:rsidR="00E47DED" w:rsidRPr="00DB5D0D" w14:paraId="6B0DF332" w14:textId="77777777" w:rsidTr="007609C9">
        <w:trPr>
          <w:trHeight w:val="661"/>
        </w:trPr>
        <w:tc>
          <w:tcPr>
            <w:tcW w:w="529" w:type="dxa"/>
          </w:tcPr>
          <w:p w14:paraId="362C0DD1"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6 </w:t>
            </w:r>
          </w:p>
        </w:tc>
        <w:tc>
          <w:tcPr>
            <w:tcW w:w="4394" w:type="dxa"/>
          </w:tcPr>
          <w:p w14:paraId="531AECC8"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82-мм мины большой емкости с весом мины 6 </w:t>
            </w:r>
          </w:p>
          <w:p w14:paraId="4AFA9709"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6,5 кг, при весе ВВ равном 2 кг и </w:t>
            </w:r>
          </w:p>
          <w:p w14:paraId="0A812112"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наибольшей дальностью 1200 м </w:t>
            </w:r>
          </w:p>
        </w:tc>
        <w:tc>
          <w:tcPr>
            <w:tcW w:w="4329" w:type="dxa"/>
          </w:tcPr>
          <w:p w14:paraId="16DE5921"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отработку чертежей на опытно-серийную партию к 1.9.40 г. </w:t>
            </w:r>
          </w:p>
        </w:tc>
      </w:tr>
      <w:tr w:rsidR="00E47DED" w:rsidRPr="00DB5D0D" w14:paraId="53483641" w14:textId="77777777" w:rsidTr="007609C9">
        <w:trPr>
          <w:trHeight w:val="661"/>
        </w:trPr>
        <w:tc>
          <w:tcPr>
            <w:tcW w:w="529" w:type="dxa"/>
          </w:tcPr>
          <w:p w14:paraId="1137A573"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7 </w:t>
            </w:r>
          </w:p>
        </w:tc>
        <w:tc>
          <w:tcPr>
            <w:tcW w:w="4394" w:type="dxa"/>
          </w:tcPr>
          <w:p w14:paraId="1ED2EFFE"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107-мм мины большой емкости с весом мины </w:t>
            </w:r>
          </w:p>
          <w:p w14:paraId="1D4D9421"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16-17 кг при весе ВВ равном 4-5 кг и </w:t>
            </w:r>
          </w:p>
          <w:p w14:paraId="443879F3"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наибольшей дальности 3000 м. </w:t>
            </w:r>
          </w:p>
        </w:tc>
        <w:tc>
          <w:tcPr>
            <w:tcW w:w="4329" w:type="dxa"/>
          </w:tcPr>
          <w:p w14:paraId="45AB2F73"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отработку чертежей на опытно-серийную партию к 1.9.40 г. </w:t>
            </w:r>
          </w:p>
        </w:tc>
      </w:tr>
      <w:tr w:rsidR="00E47DED" w:rsidRPr="00DB5D0D" w14:paraId="71B5FBC9" w14:textId="77777777" w:rsidTr="007609C9">
        <w:trPr>
          <w:trHeight w:val="661"/>
        </w:trPr>
        <w:tc>
          <w:tcPr>
            <w:tcW w:w="529" w:type="dxa"/>
          </w:tcPr>
          <w:p w14:paraId="14562F89"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8 </w:t>
            </w:r>
          </w:p>
        </w:tc>
        <w:tc>
          <w:tcPr>
            <w:tcW w:w="4394" w:type="dxa"/>
          </w:tcPr>
          <w:p w14:paraId="496A5F07"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120-мм мины большой емкости с весом мины </w:t>
            </w:r>
          </w:p>
          <w:p w14:paraId="10CC7B98"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25 кг, при весе ВВ равном 8 кг и наибольшей </w:t>
            </w:r>
          </w:p>
          <w:p w14:paraId="0FAE26DA"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дальностью 3000 м </w:t>
            </w:r>
          </w:p>
        </w:tc>
        <w:tc>
          <w:tcPr>
            <w:tcW w:w="4329" w:type="dxa"/>
          </w:tcPr>
          <w:p w14:paraId="27152841"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отработку чертежей на опытно-серийную партию к 1.9.40 г. </w:t>
            </w:r>
          </w:p>
        </w:tc>
      </w:tr>
      <w:tr w:rsidR="00E47DED" w:rsidRPr="00DB5D0D" w14:paraId="3D670FFE" w14:textId="77777777" w:rsidTr="007609C9">
        <w:trPr>
          <w:trHeight w:val="385"/>
        </w:trPr>
        <w:tc>
          <w:tcPr>
            <w:tcW w:w="529" w:type="dxa"/>
          </w:tcPr>
          <w:p w14:paraId="6D89345E"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9 </w:t>
            </w:r>
          </w:p>
        </w:tc>
        <w:tc>
          <w:tcPr>
            <w:tcW w:w="4394" w:type="dxa"/>
          </w:tcPr>
          <w:p w14:paraId="43AAFF25"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50 мм ротный миномет обр. 1940 г. с </w:t>
            </w:r>
          </w:p>
          <w:p w14:paraId="120B182B"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изменением конструкции отвода газов без </w:t>
            </w:r>
          </w:p>
          <w:p w14:paraId="4EAAE869"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изменения веса </w:t>
            </w:r>
          </w:p>
        </w:tc>
        <w:tc>
          <w:tcPr>
            <w:tcW w:w="4329" w:type="dxa"/>
          </w:tcPr>
          <w:p w14:paraId="0DA2E63B"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НКВ и УММВ закончить </w:t>
            </w:r>
          </w:p>
        </w:tc>
      </w:tr>
      <w:tr w:rsidR="00E47DED" w:rsidRPr="00DB5D0D" w14:paraId="558982FC" w14:textId="77777777" w:rsidTr="007609C9">
        <w:trPr>
          <w:trHeight w:val="385"/>
        </w:trPr>
        <w:tc>
          <w:tcPr>
            <w:tcW w:w="529" w:type="dxa"/>
          </w:tcPr>
          <w:p w14:paraId="35DD63B5"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10 </w:t>
            </w:r>
          </w:p>
        </w:tc>
        <w:tc>
          <w:tcPr>
            <w:tcW w:w="4394" w:type="dxa"/>
          </w:tcPr>
          <w:p w14:paraId="0946E7D4"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107-мм горно-вьючный полковой миномет с </w:t>
            </w:r>
          </w:p>
          <w:p w14:paraId="00387807"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раздельной транспортировкой (передок </w:t>
            </w:r>
          </w:p>
          <w:p w14:paraId="11614703"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отдельно от системы) </w:t>
            </w:r>
          </w:p>
        </w:tc>
        <w:tc>
          <w:tcPr>
            <w:tcW w:w="4329" w:type="dxa"/>
          </w:tcPr>
          <w:p w14:paraId="5BEE06D8"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НКВ и УММВ закончить отработку к 15.8.40 г. </w:t>
            </w:r>
          </w:p>
        </w:tc>
      </w:tr>
      <w:tr w:rsidR="00E47DED" w:rsidRPr="00DB5D0D" w14:paraId="1BC911CF" w14:textId="77777777" w:rsidTr="007609C9">
        <w:trPr>
          <w:trHeight w:val="523"/>
        </w:trPr>
        <w:tc>
          <w:tcPr>
            <w:tcW w:w="529" w:type="dxa"/>
          </w:tcPr>
          <w:p w14:paraId="1772ECE5"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11 </w:t>
            </w:r>
          </w:p>
        </w:tc>
        <w:tc>
          <w:tcPr>
            <w:tcW w:w="4394" w:type="dxa"/>
          </w:tcPr>
          <w:p w14:paraId="2EF6BD86"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Вспомогательные транспортные средства для </w:t>
            </w:r>
          </w:p>
          <w:p w14:paraId="4AD17739"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перевозки на поле боя 50-мм, 82-мм </w:t>
            </w:r>
          </w:p>
          <w:p w14:paraId="60D7B2BA"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минометов и мин к ним </w:t>
            </w:r>
          </w:p>
        </w:tc>
        <w:tc>
          <w:tcPr>
            <w:tcW w:w="4329" w:type="dxa"/>
          </w:tcPr>
          <w:p w14:paraId="4DF06E6C"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отработку опытных образцов к 1.8.40 г. </w:t>
            </w:r>
          </w:p>
        </w:tc>
      </w:tr>
      <w:tr w:rsidR="00E47DED" w:rsidRPr="00DB5D0D" w14:paraId="5AFF8475" w14:textId="77777777" w:rsidTr="007609C9">
        <w:trPr>
          <w:trHeight w:val="799"/>
        </w:trPr>
        <w:tc>
          <w:tcPr>
            <w:tcW w:w="529" w:type="dxa"/>
          </w:tcPr>
          <w:p w14:paraId="0BBCED3F"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12 </w:t>
            </w:r>
          </w:p>
        </w:tc>
        <w:tc>
          <w:tcPr>
            <w:tcW w:w="4394" w:type="dxa"/>
          </w:tcPr>
          <w:p w14:paraId="69E64275"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82-мм осветительные мины </w:t>
            </w:r>
          </w:p>
        </w:tc>
        <w:tc>
          <w:tcPr>
            <w:tcW w:w="4329" w:type="dxa"/>
          </w:tcPr>
          <w:p w14:paraId="419061AA"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отработку опытных образцов с изготовлением рабочих чертежей на опытные образцы к 1.11.40 г. </w:t>
            </w:r>
          </w:p>
        </w:tc>
      </w:tr>
      <w:tr w:rsidR="00E47DED" w:rsidRPr="00DB5D0D" w14:paraId="43FEA0D5" w14:textId="77777777" w:rsidTr="007609C9">
        <w:trPr>
          <w:trHeight w:val="799"/>
        </w:trPr>
        <w:tc>
          <w:tcPr>
            <w:tcW w:w="529" w:type="dxa"/>
          </w:tcPr>
          <w:p w14:paraId="17896435"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13 </w:t>
            </w:r>
          </w:p>
        </w:tc>
        <w:tc>
          <w:tcPr>
            <w:tcW w:w="4394" w:type="dxa"/>
          </w:tcPr>
          <w:p w14:paraId="0CD607B8"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Заряды к 160-мм миномету </w:t>
            </w:r>
          </w:p>
        </w:tc>
        <w:tc>
          <w:tcPr>
            <w:tcW w:w="4329" w:type="dxa"/>
          </w:tcPr>
          <w:p w14:paraId="09F2D5BE"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обработку опытных образцов с изготовлением рабочих чертежей на опытные образцы к 15.6.40 г. </w:t>
            </w:r>
          </w:p>
        </w:tc>
      </w:tr>
      <w:tr w:rsidR="00E47DED" w:rsidRPr="00DB5D0D" w14:paraId="63FE6270" w14:textId="77777777" w:rsidTr="007609C9">
        <w:trPr>
          <w:trHeight w:val="661"/>
        </w:trPr>
        <w:tc>
          <w:tcPr>
            <w:tcW w:w="529" w:type="dxa"/>
          </w:tcPr>
          <w:p w14:paraId="1A6CD7CF"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14 </w:t>
            </w:r>
          </w:p>
        </w:tc>
        <w:tc>
          <w:tcPr>
            <w:tcW w:w="4394" w:type="dxa"/>
          </w:tcPr>
          <w:p w14:paraId="5C9FDE2A"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120-мм фугасные мины (цельнокорпусная </w:t>
            </w:r>
          </w:p>
          <w:p w14:paraId="7C1AD369"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штамповка, из цельнотянутых труб) </w:t>
            </w:r>
          </w:p>
        </w:tc>
        <w:tc>
          <w:tcPr>
            <w:tcW w:w="4329" w:type="dxa"/>
          </w:tcPr>
          <w:p w14:paraId="2C2D6166"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отработку рабочих чертежей на серийную партию к 1.11.40 г. </w:t>
            </w:r>
          </w:p>
        </w:tc>
      </w:tr>
      <w:tr w:rsidR="00E47DED" w:rsidRPr="00DB5D0D" w14:paraId="2E81CAD4" w14:textId="77777777" w:rsidTr="007609C9">
        <w:trPr>
          <w:trHeight w:val="661"/>
        </w:trPr>
        <w:tc>
          <w:tcPr>
            <w:tcW w:w="529" w:type="dxa"/>
          </w:tcPr>
          <w:p w14:paraId="31136178"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15 </w:t>
            </w:r>
          </w:p>
        </w:tc>
        <w:tc>
          <w:tcPr>
            <w:tcW w:w="4394" w:type="dxa"/>
          </w:tcPr>
          <w:p w14:paraId="4F8EF8F5"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120-мм осколочно-фугасные мины (корпуса </w:t>
            </w:r>
          </w:p>
          <w:p w14:paraId="3AF1A9F8"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стального литья) </w:t>
            </w:r>
          </w:p>
        </w:tc>
        <w:tc>
          <w:tcPr>
            <w:tcW w:w="4329" w:type="dxa"/>
          </w:tcPr>
          <w:p w14:paraId="64125633"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разработку рабочих чертежей на серийную партию к 1.11. 40 г. </w:t>
            </w:r>
          </w:p>
        </w:tc>
      </w:tr>
      <w:tr w:rsidR="00E47DED" w:rsidRPr="00DB5D0D" w14:paraId="2CC8D0F9" w14:textId="77777777" w:rsidTr="007609C9">
        <w:trPr>
          <w:trHeight w:val="661"/>
        </w:trPr>
        <w:tc>
          <w:tcPr>
            <w:tcW w:w="529" w:type="dxa"/>
          </w:tcPr>
          <w:p w14:paraId="444EFADC"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16 </w:t>
            </w:r>
          </w:p>
        </w:tc>
        <w:tc>
          <w:tcPr>
            <w:tcW w:w="4394" w:type="dxa"/>
          </w:tcPr>
          <w:p w14:paraId="24FAAD94"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107-мм осколочно-фугасные мины (из </w:t>
            </w:r>
          </w:p>
          <w:p w14:paraId="3FE1D092"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цельнотянутых труб) </w:t>
            </w:r>
          </w:p>
        </w:tc>
        <w:tc>
          <w:tcPr>
            <w:tcW w:w="4329" w:type="dxa"/>
          </w:tcPr>
          <w:p w14:paraId="550B47A8"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разработку чертежей на опытно-серийную партию к 1.10.40 г. </w:t>
            </w:r>
          </w:p>
        </w:tc>
      </w:tr>
      <w:tr w:rsidR="00E47DED" w:rsidRPr="00DB5D0D" w14:paraId="2D2CE194" w14:textId="77777777" w:rsidTr="007609C9">
        <w:trPr>
          <w:trHeight w:val="661"/>
        </w:trPr>
        <w:tc>
          <w:tcPr>
            <w:tcW w:w="529" w:type="dxa"/>
          </w:tcPr>
          <w:p w14:paraId="2F05AB3D"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 xml:space="preserve">17 </w:t>
            </w:r>
          </w:p>
        </w:tc>
        <w:tc>
          <w:tcPr>
            <w:tcW w:w="4394" w:type="dxa"/>
          </w:tcPr>
          <w:p w14:paraId="07870148"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107-мм осколочно-фугасные мины сталистого </w:t>
            </w:r>
          </w:p>
          <w:p w14:paraId="6148CA85"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чугуна </w:t>
            </w:r>
          </w:p>
        </w:tc>
        <w:tc>
          <w:tcPr>
            <w:tcW w:w="4329" w:type="dxa"/>
          </w:tcPr>
          <w:p w14:paraId="408E4654"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НКБ и УММВ закончить разработку чертежей на опытно-серийную партию к 1.11.40 г. </w:t>
            </w:r>
          </w:p>
        </w:tc>
      </w:tr>
      <w:tr w:rsidR="00E47DED" w:rsidRPr="00DB5D0D" w14:paraId="0937E03B" w14:textId="77777777" w:rsidTr="007609C9">
        <w:trPr>
          <w:trHeight w:val="937"/>
        </w:trPr>
        <w:tc>
          <w:tcPr>
            <w:tcW w:w="529" w:type="dxa"/>
          </w:tcPr>
          <w:p w14:paraId="2DD6B52C"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18 </w:t>
            </w:r>
          </w:p>
        </w:tc>
        <w:tc>
          <w:tcPr>
            <w:tcW w:w="4394" w:type="dxa"/>
          </w:tcPr>
          <w:p w14:paraId="20F11AA0"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Специальные стандартные установки 82-мм и 120- </w:t>
            </w:r>
          </w:p>
          <w:p w14:paraId="5C972418"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мм минометов для укрепленных районов </w:t>
            </w:r>
          </w:p>
        </w:tc>
        <w:tc>
          <w:tcPr>
            <w:tcW w:w="4329" w:type="dxa"/>
          </w:tcPr>
          <w:p w14:paraId="2D50A0DC"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НКВ и УММВ закончить отработку проекта и рабочих чертежей на опытные образцы к 1.8.40 г. и изготовить опытные образцы к 1.12.40 г </w:t>
            </w:r>
          </w:p>
        </w:tc>
      </w:tr>
      <w:tr w:rsidR="00E47DED" w:rsidRPr="00DB5D0D" w14:paraId="23C2D26D" w14:textId="77777777" w:rsidTr="007609C9">
        <w:trPr>
          <w:trHeight w:val="799"/>
        </w:trPr>
        <w:tc>
          <w:tcPr>
            <w:tcW w:w="529" w:type="dxa"/>
          </w:tcPr>
          <w:p w14:paraId="3FA1F5C6"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19 </w:t>
            </w:r>
          </w:p>
        </w:tc>
        <w:tc>
          <w:tcPr>
            <w:tcW w:w="4394" w:type="dxa"/>
          </w:tcPr>
          <w:p w14:paraId="435E8B90"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Сверхмощный миномет для разрушения железно- </w:t>
            </w:r>
          </w:p>
          <w:p w14:paraId="1D1CFCF7"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бетонных сооружений </w:t>
            </w:r>
          </w:p>
        </w:tc>
        <w:tc>
          <w:tcPr>
            <w:tcW w:w="4329" w:type="dxa"/>
          </w:tcPr>
          <w:p w14:paraId="7C21478C" w14:textId="77777777" w:rsidR="00E47DED" w:rsidRPr="00DB5D0D" w:rsidRDefault="00E47DED"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НКО разработать тактико-технические требования к 1.8.40 г. НКВ разработать к 1.2.41 г. проект образца. </w:t>
            </w:r>
          </w:p>
        </w:tc>
      </w:tr>
    </w:tbl>
    <w:p w14:paraId="040F7026"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(20074)</w:t>
      </w:r>
    </w:p>
    <w:p w14:paraId="5F4E1F65" w14:textId="77777777" w:rsidR="00E47DED" w:rsidRPr="00DB5D0D" w:rsidRDefault="00E47DED" w:rsidP="00DB5D0D">
      <w:pPr>
        <w:spacing w:after="0" w:line="240" w:lineRule="auto"/>
        <w:jc w:val="both"/>
        <w:rPr>
          <w:rFonts w:ascii="Times New Roman" w:hAnsi="Times New Roman"/>
          <w:color w:val="0070C0"/>
          <w:sz w:val="16"/>
          <w:szCs w:val="16"/>
        </w:rPr>
      </w:pPr>
    </w:p>
    <w:p w14:paraId="6F486130"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г. были подготовлены выводы войсковой комиссии по химприцепке ХП-2. Чтобы максимально ускорить процесс ее освоения в производстве, рекомендовалось упростить конструкцию химического оборудо</w:t>
      </w:r>
      <w:r w:rsidRPr="00DB5D0D">
        <w:rPr>
          <w:rFonts w:ascii="Times New Roman" w:hAnsi="Times New Roman"/>
          <w:color w:val="000000" w:themeColor="text1"/>
          <w:sz w:val="16"/>
          <w:szCs w:val="16"/>
        </w:rPr>
        <w:softHyphen/>
        <w:t>вания, сделав резервуары сообщающимися, а жидкостную и воздушную коммуникацию выполнить единой для обоих резервуаров. Систему продувки насадок воздухом решили исключить, а для предотвращения их засоре</w:t>
      </w:r>
      <w:r w:rsidRPr="00DB5D0D">
        <w:rPr>
          <w:rFonts w:ascii="Times New Roman" w:hAnsi="Times New Roman"/>
          <w:color w:val="000000" w:themeColor="text1"/>
          <w:sz w:val="16"/>
          <w:szCs w:val="16"/>
        </w:rPr>
        <w:softHyphen/>
        <w:t>ния поставить специальный фильтр.</w:t>
      </w:r>
    </w:p>
    <w:p w14:paraId="46C5650D"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целью упрощения системы управления химаппаратурой и устранения возможности обрыва тросов надлежало перенести троса с внешней стороны днища внутрь танка, для чего требовалось выполнить отверстие диаметром 12 мм в его кормовом броневом листе (на тан</w:t>
      </w:r>
      <w:r w:rsidRPr="00DB5D0D">
        <w:rPr>
          <w:rFonts w:ascii="Times New Roman" w:hAnsi="Times New Roman"/>
          <w:color w:val="000000" w:themeColor="text1"/>
          <w:sz w:val="16"/>
          <w:szCs w:val="16"/>
        </w:rPr>
        <w:softHyphen/>
        <w:t>ке без прицепки это отверстие должно было закрываться болтом с броневой головкой). Для дегазации местности планировалось устано</w:t>
      </w:r>
      <w:r w:rsidRPr="00DB5D0D">
        <w:rPr>
          <w:rFonts w:ascii="Times New Roman" w:hAnsi="Times New Roman"/>
          <w:color w:val="000000" w:themeColor="text1"/>
          <w:sz w:val="16"/>
          <w:szCs w:val="16"/>
        </w:rPr>
        <w:softHyphen/>
        <w:t>вить редуктор большей производительности. Наливную горловину следовало использовать от танка ОТ-133. Требовалось внедрить прис</w:t>
      </w:r>
      <w:r w:rsidRPr="00DB5D0D">
        <w:rPr>
          <w:rFonts w:ascii="Times New Roman" w:hAnsi="Times New Roman"/>
          <w:color w:val="000000" w:themeColor="text1"/>
          <w:sz w:val="16"/>
          <w:szCs w:val="16"/>
        </w:rPr>
        <w:softHyphen/>
        <w:t>пособление, позволяющее подтягивать при</w:t>
      </w:r>
      <w:r w:rsidRPr="00DB5D0D">
        <w:rPr>
          <w:rFonts w:ascii="Times New Roman" w:hAnsi="Times New Roman"/>
          <w:color w:val="000000" w:themeColor="text1"/>
          <w:sz w:val="16"/>
          <w:szCs w:val="16"/>
        </w:rPr>
        <w:softHyphen/>
        <w:t>цепку к танку усилием одного бойца, сцепной механизм закрыть кожухом, а троса по всей длине водила защитить от возможных механи</w:t>
      </w:r>
      <w:r w:rsidRPr="00DB5D0D">
        <w:rPr>
          <w:rFonts w:ascii="Times New Roman" w:hAnsi="Times New Roman"/>
          <w:color w:val="000000" w:themeColor="text1"/>
          <w:sz w:val="16"/>
          <w:szCs w:val="16"/>
        </w:rPr>
        <w:softHyphen/>
        <w:t>ческих повреждений;</w:t>
      </w:r>
    </w:p>
    <w:p w14:paraId="1DC26BE2"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предлагалось стандартизи</w:t>
      </w:r>
      <w:r w:rsidRPr="00DB5D0D">
        <w:rPr>
          <w:rFonts w:ascii="Times New Roman" w:hAnsi="Times New Roman"/>
          <w:color w:val="000000" w:themeColor="text1"/>
          <w:sz w:val="16"/>
          <w:szCs w:val="16"/>
        </w:rPr>
        <w:softHyphen/>
        <w:t xml:space="preserve">ровать конструкцию буксирных проушин и </w:t>
      </w:r>
      <w:r w:rsidRPr="00DB5D0D">
        <w:rPr>
          <w:rStyle w:val="aff6"/>
          <w:rFonts w:ascii="Times New Roman" w:hAnsi="Times New Roman" w:cs="Times New Roman"/>
          <w:i w:val="0"/>
          <w:color w:val="000000" w:themeColor="text1"/>
        </w:rPr>
        <w:t>«приспособить кронштейн прицепки ХП-2 к выпускаемым танкам А-7 с дизелем и ранее выпущенным БТ-5»,</w:t>
      </w:r>
      <w:r w:rsidRPr="00DB5D0D">
        <w:rPr>
          <w:rFonts w:ascii="Times New Roman" w:hAnsi="Times New Roman"/>
          <w:color w:val="000000" w:themeColor="text1"/>
          <w:sz w:val="16"/>
          <w:szCs w:val="16"/>
        </w:rPr>
        <w:t xml:space="preserve"> а также </w:t>
      </w:r>
      <w:r w:rsidRPr="00DB5D0D">
        <w:rPr>
          <w:rStyle w:val="aff6"/>
          <w:rFonts w:ascii="Times New Roman" w:hAnsi="Times New Roman" w:cs="Times New Roman"/>
          <w:i w:val="0"/>
          <w:color w:val="000000" w:themeColor="text1"/>
        </w:rPr>
        <w:t>принять кон</w:t>
      </w:r>
      <w:r w:rsidRPr="00DB5D0D">
        <w:rPr>
          <w:rStyle w:val="aff6"/>
          <w:rFonts w:ascii="Times New Roman" w:hAnsi="Times New Roman" w:cs="Times New Roman"/>
          <w:i w:val="0"/>
          <w:color w:val="000000" w:themeColor="text1"/>
        </w:rPr>
        <w:softHyphen/>
        <w:t>струкцию сварного корпуса прицепки завода ДРО.</w:t>
      </w:r>
      <w:r w:rsidRPr="00DB5D0D">
        <w:rPr>
          <w:rFonts w:ascii="Times New Roman" w:hAnsi="Times New Roman"/>
          <w:color w:val="000000" w:themeColor="text1"/>
          <w:sz w:val="16"/>
          <w:szCs w:val="16"/>
        </w:rPr>
        <w:t xml:space="preserve"> В задней части ХП-2 рекомендовалось смонтировать крюк для одновременной бук</w:t>
      </w:r>
      <w:r w:rsidRPr="00DB5D0D">
        <w:rPr>
          <w:rFonts w:ascii="Times New Roman" w:hAnsi="Times New Roman"/>
          <w:color w:val="000000" w:themeColor="text1"/>
          <w:sz w:val="16"/>
          <w:szCs w:val="16"/>
        </w:rPr>
        <w:softHyphen/>
        <w:t xml:space="preserve">сировки нескольких прицепок, запоры всех </w:t>
      </w:r>
      <w:r w:rsidRPr="00DB5D0D">
        <w:rPr>
          <w:rStyle w:val="8pt0pt0"/>
          <w:rFonts w:ascii="Times New Roman" w:hAnsi="Times New Roman" w:cs="Times New Roman"/>
          <w:color w:val="000000" w:themeColor="text1"/>
          <w:spacing w:val="0"/>
        </w:rPr>
        <w:t>люков сделать</w:t>
      </w:r>
      <w:r w:rsidRPr="00DB5D0D">
        <w:rPr>
          <w:rFonts w:ascii="Times New Roman" w:hAnsi="Times New Roman"/>
          <w:color w:val="000000" w:themeColor="text1"/>
          <w:sz w:val="16"/>
          <w:szCs w:val="16"/>
        </w:rPr>
        <w:t xml:space="preserve"> по типу запоров танка</w:t>
      </w:r>
      <w:r w:rsidRPr="00DB5D0D">
        <w:rPr>
          <w:rStyle w:val="8pt0pt0"/>
          <w:rFonts w:ascii="Times New Roman" w:hAnsi="Times New Roman" w:cs="Times New Roman"/>
          <w:color w:val="000000" w:themeColor="text1"/>
          <w:spacing w:val="0"/>
        </w:rPr>
        <w:t xml:space="preserve"> ОТ-133,  ввести крылья над</w:t>
      </w:r>
      <w:r w:rsidRPr="00DB5D0D">
        <w:rPr>
          <w:rFonts w:ascii="Times New Roman" w:hAnsi="Times New Roman"/>
          <w:color w:val="000000" w:themeColor="text1"/>
          <w:sz w:val="16"/>
          <w:szCs w:val="16"/>
        </w:rPr>
        <w:t xml:space="preserve"> колесами прицепки и т.д. (17480).</w:t>
      </w:r>
    </w:p>
    <w:p w14:paraId="46B16D81" w14:textId="77777777" w:rsidR="004A0330" w:rsidRPr="00DB5D0D" w:rsidRDefault="004A0330" w:rsidP="00DB5D0D">
      <w:pPr>
        <w:spacing w:after="0" w:line="240" w:lineRule="auto"/>
        <w:jc w:val="both"/>
        <w:rPr>
          <w:rFonts w:ascii="Times New Roman" w:hAnsi="Times New Roman"/>
          <w:color w:val="000000" w:themeColor="text1"/>
          <w:sz w:val="16"/>
          <w:szCs w:val="16"/>
        </w:rPr>
      </w:pPr>
    </w:p>
    <w:p w14:paraId="1FC2D4B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0683F9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A5B36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г. Проект постановления ГВС о системе минометно-минного вооружения Красной Армии</w:t>
      </w:r>
    </w:p>
    <w:p w14:paraId="683A45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Одобрить принятые и состоящие на вооружении образцы минометноминного вооружения Красной Армии на 1940 г., согласно приложения № 1.</w:t>
      </w:r>
    </w:p>
    <w:p w14:paraId="1E8526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Одобрить разработку опытных образцов минометно-минного вооружения и предложения, перечисленные в приложении № 2.</w:t>
      </w:r>
    </w:p>
    <w:p w14:paraId="753080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Дать задание промышленности (НКЛП) изготовить в течение 1940 г. 4425 шт. конских минометных вьюков под укладку 50-мм ротного миномета обр. 1938 г., 1390 вьюков под укладку 82-мм минометов БМ-37, 2000 вьюков под 107-мм ГВПМ-38 г., 4200 комплектов четверочной амуниции и 10685 комплектов одноконной упряжи.</w:t>
      </w:r>
    </w:p>
    <w:p w14:paraId="60B963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Изготовить в 1940 г. 4425 шт. минометных повозок с укладкой под 50мм ротный миномет и 4560 повозок под 82-мм миномет.</w:t>
      </w:r>
    </w:p>
    <w:p w14:paraId="4332A3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Одобрить принятие и состоящие на вооружении образцы сухопутных мин заграждения и средств минирования, указанные в приложении № 3.</w:t>
      </w:r>
    </w:p>
    <w:p w14:paraId="08C54D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Дать задание НКБ перейти на заводское снаряжение противотанковых мин ТМ-35 с 1 августа 1940 г.</w:t>
      </w:r>
    </w:p>
    <w:p w14:paraId="14341C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Организовать производство осколочно-заградительных мин ОЗМ-152 с использованием старых 152-мм корпусов артснарядов и выпустить их в 1940 г.-50 000 штук.</w:t>
      </w:r>
    </w:p>
    <w:p w14:paraId="2E29DE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Дать задание промышленности (НКОМ):</w:t>
      </w:r>
    </w:p>
    <w:p w14:paraId="175A68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Разработать мину замедленного действия с ударным взрывателем на базе существующего 35-суточного замыкателя в 1940 г.</w:t>
      </w:r>
    </w:p>
    <w:p w14:paraId="0278B1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Разработать образцы и организовать производство в 1941 г. малогабаритных часовых взрывателей на базе карманных часов с замедлением не менее 16 суток.</w:t>
      </w:r>
    </w:p>
    <w:p w14:paraId="6B3F68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Одобрить разработку и предложения по опытным образцам сухопутных мин заграждения и средств минирования, перечисленных в приложении № 4*.</w:t>
      </w:r>
    </w:p>
    <w:p w14:paraId="7AA920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4. Оп. 14. Д. 2687. Л. 88-99. Подлинник (11773).</w:t>
      </w:r>
    </w:p>
    <w:p w14:paraId="45553A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Приложение № 1 </w:t>
      </w:r>
      <w:r w:rsidRPr="00DB5D0D">
        <w:rPr>
          <w:rFonts w:ascii="Times New Roman" w:hAnsi="Times New Roman"/>
          <w:iCs/>
          <w:color w:val="000000" w:themeColor="text1"/>
          <w:sz w:val="16"/>
          <w:szCs w:val="16"/>
        </w:rPr>
        <w:t>Перечень образцов минометно-минного вооружения, состоящих на вооружении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22"/>
        <w:gridCol w:w="3826"/>
        <w:gridCol w:w="14"/>
        <w:gridCol w:w="2640"/>
        <w:gridCol w:w="10"/>
      </w:tblGrid>
      <w:tr w:rsidR="007D5DF8" w:rsidRPr="00DB5D0D" w14:paraId="4568F36E" w14:textId="77777777" w:rsidTr="009223E5">
        <w:trPr>
          <w:gridAfter w:val="1"/>
          <w:wAfter w:w="10" w:type="dxa"/>
          <w:cantSplit/>
          <w:trHeight w:val="446"/>
        </w:trPr>
        <w:tc>
          <w:tcPr>
            <w:tcW w:w="422" w:type="dxa"/>
            <w:tcBorders>
              <w:top w:val="single" w:sz="6" w:space="0" w:color="auto"/>
              <w:left w:val="single" w:sz="6" w:space="0" w:color="auto"/>
              <w:bottom w:val="single" w:sz="6" w:space="0" w:color="auto"/>
              <w:right w:val="single" w:sz="6" w:space="0" w:color="auto"/>
            </w:tcBorders>
            <w:shd w:val="clear" w:color="auto" w:fill="FFFFFF"/>
          </w:tcPr>
          <w:p w14:paraId="71A380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w:t>
            </w:r>
          </w:p>
        </w:tc>
        <w:tc>
          <w:tcPr>
            <w:tcW w:w="3840" w:type="dxa"/>
            <w:gridSpan w:val="2"/>
            <w:tcBorders>
              <w:top w:val="single" w:sz="6" w:space="0" w:color="auto"/>
              <w:left w:val="single" w:sz="6" w:space="0" w:color="auto"/>
              <w:bottom w:val="single" w:sz="6" w:space="0" w:color="auto"/>
              <w:right w:val="single" w:sz="6" w:space="0" w:color="auto"/>
            </w:tcBorders>
            <w:shd w:val="clear" w:color="auto" w:fill="FFFFFF"/>
          </w:tcPr>
          <w:p w14:paraId="287E81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образцов н основные характеристики</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14:paraId="182B04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tc>
      </w:tr>
      <w:tr w:rsidR="007D5DF8" w:rsidRPr="00DB5D0D" w14:paraId="40375194" w14:textId="77777777" w:rsidTr="009223E5">
        <w:trPr>
          <w:gridAfter w:val="1"/>
          <w:wAfter w:w="10" w:type="dxa"/>
          <w:cantSplit/>
          <w:trHeight w:val="1075"/>
        </w:trPr>
        <w:tc>
          <w:tcPr>
            <w:tcW w:w="422" w:type="dxa"/>
            <w:tcBorders>
              <w:top w:val="single" w:sz="6" w:space="0" w:color="auto"/>
              <w:left w:val="single" w:sz="6" w:space="0" w:color="auto"/>
              <w:bottom w:val="nil"/>
              <w:right w:val="single" w:sz="6" w:space="0" w:color="auto"/>
            </w:tcBorders>
            <w:shd w:val="clear" w:color="auto" w:fill="FFFFFF"/>
          </w:tcPr>
          <w:p w14:paraId="664F9C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3840" w:type="dxa"/>
            <w:gridSpan w:val="2"/>
            <w:tcBorders>
              <w:top w:val="single" w:sz="6" w:space="0" w:color="auto"/>
              <w:left w:val="single" w:sz="6" w:space="0" w:color="auto"/>
              <w:bottom w:val="nil"/>
              <w:right w:val="single" w:sz="6" w:space="0" w:color="auto"/>
            </w:tcBorders>
            <w:shd w:val="clear" w:color="auto" w:fill="FFFFFF"/>
          </w:tcPr>
          <w:p w14:paraId="172277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50-мм ротный миномет образца 1938 г. </w:t>
            </w:r>
            <w:r w:rsidRPr="00DB5D0D">
              <w:rPr>
                <w:rFonts w:ascii="Times New Roman" w:hAnsi="Times New Roman"/>
                <w:color w:val="000000" w:themeColor="text1"/>
                <w:sz w:val="16"/>
                <w:szCs w:val="16"/>
              </w:rPr>
              <w:t>Вес в боевом положении — 12 кг Вес в походном положении — 14 кг Наибольшая дальность — 800 м Наименьшая дальность — 200 м Скорострельность — 30 в/м</w:t>
            </w:r>
          </w:p>
        </w:tc>
        <w:tc>
          <w:tcPr>
            <w:tcW w:w="2640" w:type="dxa"/>
            <w:tcBorders>
              <w:top w:val="single" w:sz="6" w:space="0" w:color="auto"/>
              <w:left w:val="single" w:sz="6" w:space="0" w:color="auto"/>
              <w:bottom w:val="nil"/>
              <w:right w:val="single" w:sz="6" w:space="0" w:color="auto"/>
            </w:tcBorders>
            <w:shd w:val="clear" w:color="auto" w:fill="FFFFFF"/>
          </w:tcPr>
          <w:p w14:paraId="204CDF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CBE8BFE" w14:textId="77777777" w:rsidTr="009223E5">
        <w:trPr>
          <w:gridAfter w:val="1"/>
          <w:wAfter w:w="10" w:type="dxa"/>
          <w:cantSplit/>
          <w:trHeight w:val="226"/>
        </w:trPr>
        <w:tc>
          <w:tcPr>
            <w:tcW w:w="422" w:type="dxa"/>
            <w:tcBorders>
              <w:top w:val="nil"/>
              <w:left w:val="single" w:sz="6" w:space="0" w:color="auto"/>
              <w:bottom w:val="nil"/>
              <w:right w:val="single" w:sz="6" w:space="0" w:color="auto"/>
            </w:tcBorders>
            <w:shd w:val="clear" w:color="auto" w:fill="FFFFFF"/>
          </w:tcPr>
          <w:p w14:paraId="254163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3840" w:type="dxa"/>
            <w:gridSpan w:val="2"/>
            <w:tcBorders>
              <w:top w:val="nil"/>
              <w:left w:val="single" w:sz="6" w:space="0" w:color="auto"/>
              <w:bottom w:val="nil"/>
              <w:right w:val="single" w:sz="6" w:space="0" w:color="auto"/>
            </w:tcBorders>
            <w:shd w:val="clear" w:color="auto" w:fill="FFFFFF"/>
          </w:tcPr>
          <w:p w14:paraId="588E0D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50-мм ротный миномет образца 1940 г. </w:t>
            </w:r>
            <w:r w:rsidRPr="00DB5D0D">
              <w:rPr>
                <w:rFonts w:ascii="Times New Roman" w:hAnsi="Times New Roman"/>
                <w:color w:val="000000" w:themeColor="text1"/>
                <w:sz w:val="16"/>
                <w:szCs w:val="16"/>
              </w:rPr>
              <w:t>Вес в боевом положении — 9 кг</w:t>
            </w:r>
          </w:p>
        </w:tc>
        <w:tc>
          <w:tcPr>
            <w:tcW w:w="2640" w:type="dxa"/>
            <w:tcBorders>
              <w:top w:val="nil"/>
              <w:left w:val="single" w:sz="6" w:space="0" w:color="auto"/>
              <w:bottom w:val="nil"/>
              <w:right w:val="single" w:sz="6" w:space="0" w:color="auto"/>
            </w:tcBorders>
            <w:shd w:val="clear" w:color="auto" w:fill="FFFFFF"/>
          </w:tcPr>
          <w:p w14:paraId="5CB166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02074C48" w14:textId="77777777" w:rsidTr="009223E5">
        <w:trPr>
          <w:gridAfter w:val="1"/>
          <w:wAfter w:w="10" w:type="dxa"/>
          <w:cantSplit/>
          <w:trHeight w:val="149"/>
        </w:trPr>
        <w:tc>
          <w:tcPr>
            <w:tcW w:w="422" w:type="dxa"/>
            <w:tcBorders>
              <w:top w:val="nil"/>
              <w:left w:val="single" w:sz="6" w:space="0" w:color="auto"/>
              <w:bottom w:val="nil"/>
              <w:right w:val="single" w:sz="6" w:space="0" w:color="auto"/>
            </w:tcBorders>
            <w:shd w:val="clear" w:color="auto" w:fill="FFFFFF"/>
          </w:tcPr>
          <w:p w14:paraId="550D5F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3840" w:type="dxa"/>
            <w:gridSpan w:val="2"/>
            <w:tcBorders>
              <w:top w:val="nil"/>
              <w:left w:val="single" w:sz="6" w:space="0" w:color="auto"/>
              <w:bottom w:val="nil"/>
              <w:right w:val="single" w:sz="6" w:space="0" w:color="auto"/>
            </w:tcBorders>
            <w:shd w:val="clear" w:color="auto" w:fill="FFFFFF"/>
          </w:tcPr>
          <w:p w14:paraId="7D10A0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1D7B7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2640" w:type="dxa"/>
            <w:tcBorders>
              <w:top w:val="nil"/>
              <w:left w:val="single" w:sz="6" w:space="0" w:color="auto"/>
              <w:bottom w:val="nil"/>
              <w:right w:val="single" w:sz="6" w:space="0" w:color="auto"/>
            </w:tcBorders>
            <w:shd w:val="clear" w:color="auto" w:fill="FFFFFF"/>
          </w:tcPr>
          <w:p w14:paraId="4BB536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B6F8F66" w14:textId="77777777" w:rsidTr="009223E5">
        <w:trPr>
          <w:gridAfter w:val="1"/>
          <w:wAfter w:w="10" w:type="dxa"/>
          <w:cantSplit/>
          <w:trHeight w:val="686"/>
        </w:trPr>
        <w:tc>
          <w:tcPr>
            <w:tcW w:w="422" w:type="dxa"/>
            <w:tcBorders>
              <w:top w:val="nil"/>
              <w:left w:val="single" w:sz="6" w:space="0" w:color="auto"/>
              <w:bottom w:val="nil"/>
              <w:right w:val="single" w:sz="6" w:space="0" w:color="auto"/>
            </w:tcBorders>
            <w:shd w:val="clear" w:color="auto" w:fill="FFFFFF"/>
          </w:tcPr>
          <w:p w14:paraId="6D0617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3840" w:type="dxa"/>
            <w:gridSpan w:val="2"/>
            <w:tcBorders>
              <w:top w:val="nil"/>
              <w:left w:val="single" w:sz="6" w:space="0" w:color="auto"/>
              <w:bottom w:val="nil"/>
              <w:right w:val="single" w:sz="6" w:space="0" w:color="auto"/>
            </w:tcBorders>
            <w:shd w:val="clear" w:color="auto" w:fill="FFFFFF"/>
          </w:tcPr>
          <w:p w14:paraId="1DD010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 походном положении — 12 кг Наибольшая дальность — 800 м Наименьшая дальность — 100 м Скорострельность — 30 в/м</w:t>
            </w:r>
          </w:p>
        </w:tc>
        <w:tc>
          <w:tcPr>
            <w:tcW w:w="2640" w:type="dxa"/>
            <w:tcBorders>
              <w:top w:val="nil"/>
              <w:left w:val="single" w:sz="6" w:space="0" w:color="auto"/>
              <w:bottom w:val="nil"/>
              <w:right w:val="single" w:sz="6" w:space="0" w:color="auto"/>
            </w:tcBorders>
            <w:shd w:val="clear" w:color="auto" w:fill="FFFFFF"/>
          </w:tcPr>
          <w:p w14:paraId="5215DA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0498B87C" w14:textId="77777777" w:rsidTr="009223E5">
        <w:trPr>
          <w:gridAfter w:val="1"/>
          <w:wAfter w:w="10" w:type="dxa"/>
          <w:cantSplit/>
          <w:trHeight w:val="1066"/>
        </w:trPr>
        <w:tc>
          <w:tcPr>
            <w:tcW w:w="422" w:type="dxa"/>
            <w:tcBorders>
              <w:top w:val="nil"/>
              <w:left w:val="single" w:sz="6" w:space="0" w:color="auto"/>
              <w:bottom w:val="single" w:sz="6" w:space="0" w:color="auto"/>
              <w:right w:val="single" w:sz="6" w:space="0" w:color="auto"/>
            </w:tcBorders>
            <w:shd w:val="clear" w:color="auto" w:fill="FFFFFF"/>
          </w:tcPr>
          <w:p w14:paraId="71DD0C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3840" w:type="dxa"/>
            <w:gridSpan w:val="2"/>
            <w:tcBorders>
              <w:top w:val="nil"/>
              <w:left w:val="single" w:sz="6" w:space="0" w:color="auto"/>
              <w:bottom w:val="single" w:sz="6" w:space="0" w:color="auto"/>
              <w:right w:val="single" w:sz="6" w:space="0" w:color="auto"/>
            </w:tcBorders>
            <w:shd w:val="clear" w:color="auto" w:fill="FFFFFF"/>
          </w:tcPr>
          <w:p w14:paraId="4844D3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82-мм батальонный миномет образца 1937 г. </w:t>
            </w:r>
            <w:r w:rsidRPr="00DB5D0D">
              <w:rPr>
                <w:rFonts w:ascii="Times New Roman" w:hAnsi="Times New Roman"/>
                <w:color w:val="000000" w:themeColor="text1"/>
                <w:sz w:val="16"/>
                <w:szCs w:val="16"/>
              </w:rPr>
              <w:t>Вес в боевом положении — 55 кг Вес в походном положении — 64 кг Наибольшая дальность — 3000 м Наименьшая дальность — 200 м Скорострельность — 20 в/м</w:t>
            </w:r>
          </w:p>
        </w:tc>
        <w:tc>
          <w:tcPr>
            <w:tcW w:w="2640" w:type="dxa"/>
            <w:tcBorders>
              <w:top w:val="nil"/>
              <w:left w:val="single" w:sz="6" w:space="0" w:color="auto"/>
              <w:bottom w:val="single" w:sz="6" w:space="0" w:color="auto"/>
              <w:right w:val="single" w:sz="6" w:space="0" w:color="auto"/>
            </w:tcBorders>
            <w:shd w:val="clear" w:color="auto" w:fill="FFFFFF"/>
          </w:tcPr>
          <w:p w14:paraId="136E2B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BC81B3B" w14:textId="77777777" w:rsidTr="009223E5">
        <w:trPr>
          <w:cantSplit/>
          <w:trHeight w:val="1080"/>
        </w:trPr>
        <w:tc>
          <w:tcPr>
            <w:tcW w:w="422" w:type="dxa"/>
            <w:tcBorders>
              <w:top w:val="single" w:sz="6" w:space="0" w:color="auto"/>
              <w:left w:val="single" w:sz="6" w:space="0" w:color="auto"/>
              <w:bottom w:val="nil"/>
              <w:right w:val="single" w:sz="6" w:space="0" w:color="auto"/>
            </w:tcBorders>
            <w:shd w:val="clear" w:color="auto" w:fill="FFFFFF"/>
          </w:tcPr>
          <w:p w14:paraId="71EA31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3826" w:type="dxa"/>
            <w:tcBorders>
              <w:top w:val="single" w:sz="6" w:space="0" w:color="auto"/>
              <w:left w:val="single" w:sz="6" w:space="0" w:color="auto"/>
              <w:bottom w:val="nil"/>
              <w:right w:val="single" w:sz="6" w:space="0" w:color="auto"/>
            </w:tcBorders>
            <w:shd w:val="clear" w:color="auto" w:fill="FFFFFF"/>
          </w:tcPr>
          <w:p w14:paraId="406CA9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82 мм батальонный миномет образца 1936 г. </w:t>
            </w:r>
            <w:r w:rsidRPr="00DB5D0D">
              <w:rPr>
                <w:rFonts w:ascii="Times New Roman" w:hAnsi="Times New Roman"/>
                <w:color w:val="000000" w:themeColor="text1"/>
                <w:sz w:val="16"/>
                <w:szCs w:val="16"/>
              </w:rPr>
              <w:t>Вес в боевом положении — 58 кг Вес в походном положении — 67 кг Наибольшая дальность — 3000 м Наименьшая дальность — 200 м Скорострельность — 20 в/м</w:t>
            </w:r>
          </w:p>
        </w:tc>
        <w:tc>
          <w:tcPr>
            <w:tcW w:w="2664" w:type="dxa"/>
            <w:gridSpan w:val="3"/>
            <w:tcBorders>
              <w:top w:val="single" w:sz="6" w:space="0" w:color="auto"/>
              <w:left w:val="single" w:sz="6" w:space="0" w:color="auto"/>
              <w:bottom w:val="nil"/>
              <w:right w:val="single" w:sz="6" w:space="0" w:color="auto"/>
            </w:tcBorders>
            <w:shd w:val="clear" w:color="auto" w:fill="FFFFFF"/>
          </w:tcPr>
          <w:p w14:paraId="23B4D7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прекращено</w:t>
            </w:r>
          </w:p>
        </w:tc>
      </w:tr>
      <w:tr w:rsidR="007D5DF8" w:rsidRPr="00DB5D0D" w14:paraId="310F7117" w14:textId="77777777" w:rsidTr="009223E5">
        <w:trPr>
          <w:cantSplit/>
          <w:trHeight w:val="1066"/>
        </w:trPr>
        <w:tc>
          <w:tcPr>
            <w:tcW w:w="422" w:type="dxa"/>
            <w:tcBorders>
              <w:top w:val="nil"/>
              <w:left w:val="single" w:sz="6" w:space="0" w:color="auto"/>
              <w:bottom w:val="nil"/>
              <w:right w:val="single" w:sz="6" w:space="0" w:color="auto"/>
            </w:tcBorders>
            <w:shd w:val="clear" w:color="auto" w:fill="FFFFFF"/>
          </w:tcPr>
          <w:p w14:paraId="76C98A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3826" w:type="dxa"/>
            <w:tcBorders>
              <w:top w:val="nil"/>
              <w:left w:val="single" w:sz="6" w:space="0" w:color="auto"/>
              <w:bottom w:val="nil"/>
              <w:right w:val="single" w:sz="6" w:space="0" w:color="auto"/>
            </w:tcBorders>
            <w:shd w:val="clear" w:color="auto" w:fill="FFFFFF"/>
          </w:tcPr>
          <w:p w14:paraId="2CC07E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107-мм горно-вьючный полковой миномет обр. 1938 г. </w:t>
            </w:r>
            <w:r w:rsidRPr="00DB5D0D">
              <w:rPr>
                <w:rFonts w:ascii="Times New Roman" w:hAnsi="Times New Roman"/>
                <w:color w:val="000000" w:themeColor="text1"/>
                <w:sz w:val="16"/>
                <w:szCs w:val="16"/>
              </w:rPr>
              <w:t>Вес в боевом положении — 170 кг Вес в походном положении — 850 кг Наибольшая дальность — 6000 м Наименьшая дальность — 800 м Скорострельность до 15 в/м</w:t>
            </w:r>
          </w:p>
        </w:tc>
        <w:tc>
          <w:tcPr>
            <w:tcW w:w="2664" w:type="dxa"/>
            <w:gridSpan w:val="3"/>
            <w:tcBorders>
              <w:top w:val="nil"/>
              <w:left w:val="single" w:sz="6" w:space="0" w:color="auto"/>
              <w:bottom w:val="nil"/>
              <w:right w:val="single" w:sz="6" w:space="0" w:color="auto"/>
            </w:tcBorders>
            <w:shd w:val="clear" w:color="auto" w:fill="FFFFFF"/>
          </w:tcPr>
          <w:p w14:paraId="6FBC97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017E2037" w14:textId="77777777" w:rsidTr="009223E5">
        <w:trPr>
          <w:cantSplit/>
          <w:trHeight w:val="216"/>
        </w:trPr>
        <w:tc>
          <w:tcPr>
            <w:tcW w:w="422" w:type="dxa"/>
            <w:tcBorders>
              <w:top w:val="nil"/>
              <w:left w:val="single" w:sz="6" w:space="0" w:color="auto"/>
              <w:bottom w:val="nil"/>
              <w:right w:val="single" w:sz="6" w:space="0" w:color="auto"/>
            </w:tcBorders>
            <w:shd w:val="clear" w:color="auto" w:fill="FFFFFF"/>
          </w:tcPr>
          <w:p w14:paraId="387249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3826" w:type="dxa"/>
            <w:tcBorders>
              <w:top w:val="nil"/>
              <w:left w:val="single" w:sz="6" w:space="0" w:color="auto"/>
              <w:bottom w:val="nil"/>
              <w:right w:val="single" w:sz="6" w:space="0" w:color="auto"/>
            </w:tcBorders>
            <w:shd w:val="clear" w:color="auto" w:fill="FFFFFF"/>
          </w:tcPr>
          <w:p w14:paraId="138A3F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120-мм полковой миномет обр. 1938 г. </w:t>
            </w:r>
            <w:r w:rsidRPr="00DB5D0D">
              <w:rPr>
                <w:rFonts w:ascii="Times New Roman" w:hAnsi="Times New Roman"/>
                <w:color w:val="000000" w:themeColor="text1"/>
                <w:sz w:val="16"/>
                <w:szCs w:val="16"/>
              </w:rPr>
              <w:t>Вес в боевом положении — 280 кг</w:t>
            </w:r>
          </w:p>
        </w:tc>
        <w:tc>
          <w:tcPr>
            <w:tcW w:w="2664" w:type="dxa"/>
            <w:gridSpan w:val="3"/>
            <w:tcBorders>
              <w:top w:val="nil"/>
              <w:left w:val="single" w:sz="6" w:space="0" w:color="auto"/>
              <w:bottom w:val="nil"/>
              <w:right w:val="single" w:sz="6" w:space="0" w:color="auto"/>
            </w:tcBorders>
            <w:shd w:val="clear" w:color="auto" w:fill="FFFFFF"/>
          </w:tcPr>
          <w:p w14:paraId="39A81D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7A73762" w14:textId="77777777" w:rsidTr="009223E5">
        <w:trPr>
          <w:cantSplit/>
          <w:trHeight w:val="163"/>
        </w:trPr>
        <w:tc>
          <w:tcPr>
            <w:tcW w:w="422" w:type="dxa"/>
            <w:tcBorders>
              <w:top w:val="nil"/>
              <w:left w:val="single" w:sz="6" w:space="0" w:color="auto"/>
              <w:bottom w:val="nil"/>
              <w:right w:val="single" w:sz="6" w:space="0" w:color="auto"/>
            </w:tcBorders>
            <w:shd w:val="clear" w:color="auto" w:fill="FFFFFF"/>
          </w:tcPr>
          <w:p w14:paraId="5EA69F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3826" w:type="dxa"/>
            <w:tcBorders>
              <w:top w:val="nil"/>
              <w:left w:val="single" w:sz="6" w:space="0" w:color="auto"/>
              <w:bottom w:val="nil"/>
              <w:right w:val="single" w:sz="6" w:space="0" w:color="auto"/>
            </w:tcBorders>
            <w:shd w:val="clear" w:color="auto" w:fill="FFFFFF"/>
          </w:tcPr>
          <w:p w14:paraId="3937EF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1E74A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2664" w:type="dxa"/>
            <w:gridSpan w:val="3"/>
            <w:tcBorders>
              <w:top w:val="nil"/>
              <w:left w:val="single" w:sz="6" w:space="0" w:color="auto"/>
              <w:bottom w:val="nil"/>
              <w:right w:val="single" w:sz="6" w:space="0" w:color="auto"/>
            </w:tcBorders>
            <w:shd w:val="clear" w:color="auto" w:fill="FFFFFF"/>
          </w:tcPr>
          <w:p w14:paraId="1111EC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CA6637B" w14:textId="77777777" w:rsidTr="009223E5">
        <w:trPr>
          <w:cantSplit/>
          <w:trHeight w:val="696"/>
        </w:trPr>
        <w:tc>
          <w:tcPr>
            <w:tcW w:w="422" w:type="dxa"/>
            <w:tcBorders>
              <w:top w:val="nil"/>
              <w:left w:val="single" w:sz="6" w:space="0" w:color="auto"/>
              <w:bottom w:val="nil"/>
              <w:right w:val="single" w:sz="6" w:space="0" w:color="auto"/>
            </w:tcBorders>
            <w:shd w:val="clear" w:color="auto" w:fill="FFFFFF"/>
          </w:tcPr>
          <w:p w14:paraId="650490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3826" w:type="dxa"/>
            <w:tcBorders>
              <w:top w:val="nil"/>
              <w:left w:val="single" w:sz="6" w:space="0" w:color="auto"/>
              <w:bottom w:val="nil"/>
              <w:right w:val="single" w:sz="6" w:space="0" w:color="auto"/>
            </w:tcBorders>
            <w:shd w:val="clear" w:color="auto" w:fill="FFFFFF"/>
          </w:tcPr>
          <w:p w14:paraId="7B1A20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 походном положении —1100 кг Наибольшая дальность — 5000 м Наименьшая дальность — 400 м Скорострельность до 15 в/м</w:t>
            </w:r>
          </w:p>
        </w:tc>
        <w:tc>
          <w:tcPr>
            <w:tcW w:w="2664" w:type="dxa"/>
            <w:gridSpan w:val="3"/>
            <w:tcBorders>
              <w:top w:val="nil"/>
              <w:left w:val="single" w:sz="6" w:space="0" w:color="auto"/>
              <w:bottom w:val="nil"/>
              <w:right w:val="single" w:sz="6" w:space="0" w:color="auto"/>
            </w:tcBorders>
            <w:shd w:val="clear" w:color="auto" w:fill="FFFFFF"/>
          </w:tcPr>
          <w:p w14:paraId="34625D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F91B893" w14:textId="77777777" w:rsidTr="009223E5">
        <w:trPr>
          <w:cantSplit/>
          <w:trHeight w:val="758"/>
        </w:trPr>
        <w:tc>
          <w:tcPr>
            <w:tcW w:w="422" w:type="dxa"/>
            <w:tcBorders>
              <w:top w:val="nil"/>
              <w:left w:val="single" w:sz="6" w:space="0" w:color="auto"/>
              <w:bottom w:val="nil"/>
              <w:right w:val="single" w:sz="6" w:space="0" w:color="auto"/>
            </w:tcBorders>
            <w:shd w:val="clear" w:color="auto" w:fill="FFFFFF"/>
          </w:tcPr>
          <w:p w14:paraId="564333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3826" w:type="dxa"/>
            <w:tcBorders>
              <w:top w:val="nil"/>
              <w:left w:val="single" w:sz="6" w:space="0" w:color="auto"/>
              <w:bottom w:val="nil"/>
              <w:right w:val="single" w:sz="6" w:space="0" w:color="auto"/>
            </w:tcBorders>
            <w:shd w:val="clear" w:color="auto" w:fill="FFFFFF"/>
          </w:tcPr>
          <w:p w14:paraId="6B19FE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50 мм осколочная стальная мина </w:t>
            </w:r>
            <w:r w:rsidRPr="00DB5D0D">
              <w:rPr>
                <w:rFonts w:ascii="Times New Roman" w:hAnsi="Times New Roman"/>
                <w:color w:val="000000" w:themeColor="text1"/>
                <w:sz w:val="16"/>
                <w:szCs w:val="16"/>
              </w:rPr>
              <w:t>Вес оконч. снаряжения — 0,907 кг Вес корпуса — 0,695 кг Вес взрыв, вещества — 0,090 кг</w:t>
            </w:r>
          </w:p>
        </w:tc>
        <w:tc>
          <w:tcPr>
            <w:tcW w:w="2664" w:type="dxa"/>
            <w:gridSpan w:val="3"/>
            <w:tcBorders>
              <w:top w:val="nil"/>
              <w:left w:val="single" w:sz="6" w:space="0" w:color="auto"/>
              <w:bottom w:val="nil"/>
              <w:right w:val="single" w:sz="6" w:space="0" w:color="auto"/>
            </w:tcBorders>
            <w:shd w:val="clear" w:color="auto" w:fill="FFFFFF"/>
          </w:tcPr>
          <w:p w14:paraId="5F38C2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DC990CE" w14:textId="77777777" w:rsidTr="009223E5">
        <w:trPr>
          <w:cantSplit/>
          <w:trHeight w:val="754"/>
        </w:trPr>
        <w:tc>
          <w:tcPr>
            <w:tcW w:w="422" w:type="dxa"/>
            <w:tcBorders>
              <w:top w:val="nil"/>
              <w:left w:val="single" w:sz="6" w:space="0" w:color="auto"/>
              <w:bottom w:val="nil"/>
              <w:right w:val="single" w:sz="6" w:space="0" w:color="auto"/>
            </w:tcBorders>
            <w:shd w:val="clear" w:color="auto" w:fill="FFFFFF"/>
          </w:tcPr>
          <w:p w14:paraId="3462A2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3826" w:type="dxa"/>
            <w:tcBorders>
              <w:top w:val="nil"/>
              <w:left w:val="single" w:sz="6" w:space="0" w:color="auto"/>
              <w:bottom w:val="nil"/>
              <w:right w:val="single" w:sz="6" w:space="0" w:color="auto"/>
            </w:tcBorders>
            <w:shd w:val="clear" w:color="auto" w:fill="FFFFFF"/>
          </w:tcPr>
          <w:p w14:paraId="470818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82-мм осколочная мина сталистого чугуна</w:t>
            </w:r>
          </w:p>
          <w:p w14:paraId="1C9243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оконч. снаряжения — 3,4 кг</w:t>
            </w:r>
          </w:p>
          <w:p w14:paraId="3232FC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корпуса — 2,65 кг</w:t>
            </w:r>
          </w:p>
          <w:p w14:paraId="691842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взрыв, вещества — 0,400 [кг]</w:t>
            </w:r>
          </w:p>
        </w:tc>
        <w:tc>
          <w:tcPr>
            <w:tcW w:w="2664" w:type="dxa"/>
            <w:gridSpan w:val="3"/>
            <w:tcBorders>
              <w:top w:val="nil"/>
              <w:left w:val="single" w:sz="6" w:space="0" w:color="auto"/>
              <w:bottom w:val="nil"/>
              <w:right w:val="single" w:sz="6" w:space="0" w:color="auto"/>
            </w:tcBorders>
            <w:shd w:val="clear" w:color="auto" w:fill="FFFFFF"/>
          </w:tcPr>
          <w:p w14:paraId="62B250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4ADE276" w14:textId="77777777" w:rsidTr="009223E5">
        <w:trPr>
          <w:cantSplit/>
          <w:trHeight w:val="226"/>
        </w:trPr>
        <w:tc>
          <w:tcPr>
            <w:tcW w:w="422" w:type="dxa"/>
            <w:tcBorders>
              <w:top w:val="nil"/>
              <w:left w:val="single" w:sz="6" w:space="0" w:color="auto"/>
              <w:bottom w:val="nil"/>
              <w:right w:val="single" w:sz="6" w:space="0" w:color="auto"/>
            </w:tcBorders>
            <w:shd w:val="clear" w:color="auto" w:fill="FFFFFF"/>
          </w:tcPr>
          <w:p w14:paraId="68C52F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3826" w:type="dxa"/>
            <w:tcBorders>
              <w:top w:val="nil"/>
              <w:left w:val="single" w:sz="6" w:space="0" w:color="auto"/>
              <w:bottom w:val="nil"/>
              <w:right w:val="single" w:sz="6" w:space="0" w:color="auto"/>
            </w:tcBorders>
            <w:shd w:val="clear" w:color="auto" w:fill="FFFFFF"/>
          </w:tcPr>
          <w:p w14:paraId="6FC163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107-мм осколочно-фугасная стальная мина</w:t>
            </w:r>
          </w:p>
        </w:tc>
        <w:tc>
          <w:tcPr>
            <w:tcW w:w="2664" w:type="dxa"/>
            <w:gridSpan w:val="3"/>
            <w:tcBorders>
              <w:top w:val="nil"/>
              <w:left w:val="single" w:sz="6" w:space="0" w:color="auto"/>
              <w:bottom w:val="nil"/>
              <w:right w:val="single" w:sz="6" w:space="0" w:color="auto"/>
            </w:tcBorders>
            <w:shd w:val="clear" w:color="auto" w:fill="FFFFFF"/>
          </w:tcPr>
          <w:p w14:paraId="690D0C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1940 г. доработать корпус мины,</w:t>
            </w:r>
          </w:p>
        </w:tc>
      </w:tr>
      <w:tr w:rsidR="007D5DF8" w:rsidRPr="00DB5D0D" w14:paraId="4B74F581" w14:textId="77777777" w:rsidTr="009223E5">
        <w:trPr>
          <w:cantSplit/>
          <w:trHeight w:val="158"/>
        </w:trPr>
        <w:tc>
          <w:tcPr>
            <w:tcW w:w="422" w:type="dxa"/>
            <w:tcBorders>
              <w:top w:val="nil"/>
              <w:left w:val="single" w:sz="6" w:space="0" w:color="auto"/>
              <w:bottom w:val="nil"/>
              <w:right w:val="single" w:sz="6" w:space="0" w:color="auto"/>
            </w:tcBorders>
            <w:shd w:val="clear" w:color="auto" w:fill="FFFFFF"/>
          </w:tcPr>
          <w:p w14:paraId="0DD586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3826" w:type="dxa"/>
            <w:tcBorders>
              <w:top w:val="nil"/>
              <w:left w:val="single" w:sz="6" w:space="0" w:color="auto"/>
              <w:bottom w:val="nil"/>
              <w:right w:val="single" w:sz="6" w:space="0" w:color="auto"/>
            </w:tcBorders>
            <w:shd w:val="clear" w:color="auto" w:fill="FFFFFF"/>
          </w:tcPr>
          <w:p w14:paraId="539F9B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оконч. снаряжения — 8 кг</w:t>
            </w:r>
          </w:p>
        </w:tc>
        <w:tc>
          <w:tcPr>
            <w:tcW w:w="2664" w:type="dxa"/>
            <w:gridSpan w:val="3"/>
            <w:tcBorders>
              <w:top w:val="nil"/>
              <w:left w:val="single" w:sz="6" w:space="0" w:color="auto"/>
              <w:bottom w:val="nil"/>
              <w:right w:val="single" w:sz="6" w:space="0" w:color="auto"/>
            </w:tcBorders>
            <w:shd w:val="clear" w:color="auto" w:fill="FFFFFF"/>
          </w:tcPr>
          <w:p w14:paraId="2D23A4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обеспечив необходимую прочность</w:t>
            </w:r>
          </w:p>
        </w:tc>
      </w:tr>
      <w:tr w:rsidR="007D5DF8" w:rsidRPr="00DB5D0D" w14:paraId="63556CEF" w14:textId="77777777" w:rsidTr="009223E5">
        <w:trPr>
          <w:cantSplit/>
          <w:trHeight w:val="149"/>
        </w:trPr>
        <w:tc>
          <w:tcPr>
            <w:tcW w:w="422" w:type="dxa"/>
            <w:tcBorders>
              <w:top w:val="nil"/>
              <w:left w:val="single" w:sz="6" w:space="0" w:color="auto"/>
              <w:bottom w:val="nil"/>
              <w:right w:val="single" w:sz="6" w:space="0" w:color="auto"/>
            </w:tcBorders>
            <w:shd w:val="clear" w:color="auto" w:fill="FFFFFF"/>
          </w:tcPr>
          <w:p w14:paraId="60FB2A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3826" w:type="dxa"/>
            <w:tcBorders>
              <w:top w:val="nil"/>
              <w:left w:val="single" w:sz="6" w:space="0" w:color="auto"/>
              <w:bottom w:val="nil"/>
              <w:right w:val="single" w:sz="6" w:space="0" w:color="auto"/>
            </w:tcBorders>
            <w:shd w:val="clear" w:color="auto" w:fill="FFFFFF"/>
          </w:tcPr>
          <w:p w14:paraId="1EA706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корпуса со стабилизатором — 5,4 кг Вес взрыв, вещества — 2,100 кг</w:t>
            </w:r>
          </w:p>
        </w:tc>
        <w:tc>
          <w:tcPr>
            <w:tcW w:w="2664" w:type="dxa"/>
            <w:gridSpan w:val="3"/>
            <w:tcBorders>
              <w:top w:val="nil"/>
              <w:left w:val="single" w:sz="6" w:space="0" w:color="auto"/>
              <w:bottom w:val="nil"/>
              <w:right w:val="single" w:sz="6" w:space="0" w:color="auto"/>
            </w:tcBorders>
            <w:shd w:val="clear" w:color="auto" w:fill="FFFFFF"/>
          </w:tcPr>
          <w:p w14:paraId="08B002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стрельбе полным зарядом.</w:t>
            </w:r>
          </w:p>
        </w:tc>
      </w:tr>
      <w:tr w:rsidR="007D5DF8" w:rsidRPr="00DB5D0D" w14:paraId="0E414BC6" w14:textId="77777777" w:rsidTr="009223E5">
        <w:trPr>
          <w:cantSplit/>
          <w:trHeight w:val="168"/>
        </w:trPr>
        <w:tc>
          <w:tcPr>
            <w:tcW w:w="422" w:type="dxa"/>
            <w:tcBorders>
              <w:top w:val="nil"/>
              <w:left w:val="single" w:sz="6" w:space="0" w:color="auto"/>
              <w:bottom w:val="nil"/>
              <w:right w:val="single" w:sz="6" w:space="0" w:color="auto"/>
            </w:tcBorders>
            <w:shd w:val="clear" w:color="auto" w:fill="FFFFFF"/>
          </w:tcPr>
          <w:p w14:paraId="5F40FD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3826" w:type="dxa"/>
            <w:tcBorders>
              <w:top w:val="nil"/>
              <w:left w:val="single" w:sz="6" w:space="0" w:color="auto"/>
              <w:bottom w:val="nil"/>
              <w:right w:val="single" w:sz="6" w:space="0" w:color="auto"/>
            </w:tcBorders>
            <w:shd w:val="clear" w:color="auto" w:fill="FFFFFF"/>
          </w:tcPr>
          <w:p w14:paraId="5B5051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35C26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2664" w:type="dxa"/>
            <w:gridSpan w:val="3"/>
            <w:tcBorders>
              <w:top w:val="nil"/>
              <w:left w:val="single" w:sz="6" w:space="0" w:color="auto"/>
              <w:bottom w:val="nil"/>
              <w:right w:val="single" w:sz="6" w:space="0" w:color="auto"/>
            </w:tcBorders>
            <w:shd w:val="clear" w:color="auto" w:fill="FFFFFF"/>
          </w:tcPr>
          <w:p w14:paraId="7148BB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Временно до окончания работ по</w:t>
            </w:r>
          </w:p>
        </w:tc>
      </w:tr>
      <w:tr w:rsidR="007D5DF8" w:rsidRPr="00DB5D0D" w14:paraId="1D9B396C" w14:textId="77777777" w:rsidTr="009223E5">
        <w:trPr>
          <w:cantSplit/>
          <w:trHeight w:val="144"/>
        </w:trPr>
        <w:tc>
          <w:tcPr>
            <w:tcW w:w="422" w:type="dxa"/>
            <w:tcBorders>
              <w:top w:val="nil"/>
              <w:left w:val="single" w:sz="6" w:space="0" w:color="auto"/>
              <w:bottom w:val="nil"/>
              <w:right w:val="single" w:sz="6" w:space="0" w:color="auto"/>
            </w:tcBorders>
            <w:shd w:val="clear" w:color="auto" w:fill="FFFFFF"/>
          </w:tcPr>
          <w:p w14:paraId="7A0494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3826" w:type="dxa"/>
            <w:tcBorders>
              <w:top w:val="nil"/>
              <w:left w:val="single" w:sz="6" w:space="0" w:color="auto"/>
              <w:bottom w:val="nil"/>
              <w:right w:val="single" w:sz="6" w:space="0" w:color="auto"/>
            </w:tcBorders>
            <w:shd w:val="clear" w:color="auto" w:fill="FFFFFF"/>
          </w:tcPr>
          <w:p w14:paraId="1CCDDE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2664" w:type="dxa"/>
            <w:gridSpan w:val="3"/>
            <w:tcBorders>
              <w:top w:val="nil"/>
              <w:left w:val="single" w:sz="6" w:space="0" w:color="auto"/>
              <w:bottom w:val="nil"/>
              <w:right w:val="single" w:sz="6" w:space="0" w:color="auto"/>
            </w:tcBorders>
            <w:shd w:val="clear" w:color="auto" w:fill="FFFFFF"/>
          </w:tcPr>
          <w:p w14:paraId="20CAC2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упрочнению корпуса разрешить</w:t>
            </w:r>
          </w:p>
        </w:tc>
      </w:tr>
      <w:tr w:rsidR="007D5DF8" w:rsidRPr="00DB5D0D" w14:paraId="47B2464E" w14:textId="77777777" w:rsidTr="009223E5">
        <w:trPr>
          <w:cantSplit/>
          <w:trHeight w:val="763"/>
        </w:trPr>
        <w:tc>
          <w:tcPr>
            <w:tcW w:w="422" w:type="dxa"/>
            <w:tcBorders>
              <w:top w:val="nil"/>
              <w:left w:val="single" w:sz="6" w:space="0" w:color="auto"/>
              <w:bottom w:val="nil"/>
              <w:right w:val="single" w:sz="6" w:space="0" w:color="auto"/>
            </w:tcBorders>
            <w:shd w:val="clear" w:color="auto" w:fill="FFFFFF"/>
          </w:tcPr>
          <w:p w14:paraId="66F69E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3826" w:type="dxa"/>
            <w:tcBorders>
              <w:top w:val="nil"/>
              <w:left w:val="single" w:sz="6" w:space="0" w:color="auto"/>
              <w:bottom w:val="nil"/>
              <w:right w:val="single" w:sz="6" w:space="0" w:color="auto"/>
            </w:tcBorders>
            <w:shd w:val="clear" w:color="auto" w:fill="FFFFFF"/>
          </w:tcPr>
          <w:p w14:paraId="1E1E27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120-мм осколочно-фугасная стальная мина</w:t>
            </w:r>
          </w:p>
          <w:p w14:paraId="05E49B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оконч. снаряжения — 15,9 кг</w:t>
            </w:r>
          </w:p>
          <w:p w14:paraId="2E2953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корпуса — 12,78 кг</w:t>
            </w:r>
          </w:p>
          <w:p w14:paraId="0278BE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взрыв, вещества — 2,63 кг</w:t>
            </w:r>
          </w:p>
        </w:tc>
        <w:tc>
          <w:tcPr>
            <w:tcW w:w="2664" w:type="dxa"/>
            <w:gridSpan w:val="3"/>
            <w:tcBorders>
              <w:top w:val="nil"/>
              <w:left w:val="single" w:sz="6" w:space="0" w:color="auto"/>
              <w:bottom w:val="nil"/>
              <w:right w:val="single" w:sz="6" w:space="0" w:color="auto"/>
            </w:tcBorders>
            <w:shd w:val="clear" w:color="auto" w:fill="FFFFFF"/>
          </w:tcPr>
          <w:p w14:paraId="6D1E8A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стрельбу на заряде № 3. Упрочнить корпус мины.</w:t>
            </w:r>
          </w:p>
        </w:tc>
      </w:tr>
      <w:tr w:rsidR="007D5DF8" w:rsidRPr="00DB5D0D" w14:paraId="779D5B42" w14:textId="77777777" w:rsidTr="009223E5">
        <w:trPr>
          <w:cantSplit/>
          <w:trHeight w:val="163"/>
        </w:trPr>
        <w:tc>
          <w:tcPr>
            <w:tcW w:w="422" w:type="dxa"/>
            <w:tcBorders>
              <w:top w:val="nil"/>
              <w:left w:val="single" w:sz="6" w:space="0" w:color="auto"/>
              <w:bottom w:val="nil"/>
              <w:right w:val="single" w:sz="6" w:space="0" w:color="auto"/>
            </w:tcBorders>
            <w:shd w:val="clear" w:color="auto" w:fill="FFFFFF"/>
          </w:tcPr>
          <w:p w14:paraId="1D3FF7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3826" w:type="dxa"/>
            <w:tcBorders>
              <w:top w:val="nil"/>
              <w:left w:val="single" w:sz="6" w:space="0" w:color="auto"/>
              <w:bottom w:val="nil"/>
              <w:right w:val="single" w:sz="6" w:space="0" w:color="auto"/>
            </w:tcBorders>
            <w:shd w:val="clear" w:color="auto" w:fill="FFFFFF"/>
          </w:tcPr>
          <w:p w14:paraId="3A0F68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120-мм фугасная стальная мина</w:t>
            </w:r>
          </w:p>
        </w:tc>
        <w:tc>
          <w:tcPr>
            <w:tcW w:w="2664" w:type="dxa"/>
            <w:gridSpan w:val="3"/>
            <w:tcBorders>
              <w:top w:val="nil"/>
              <w:left w:val="single" w:sz="6" w:space="0" w:color="auto"/>
              <w:bottom w:val="nil"/>
              <w:right w:val="single" w:sz="6" w:space="0" w:color="auto"/>
            </w:tcBorders>
            <w:shd w:val="clear" w:color="auto" w:fill="FFFFFF"/>
          </w:tcPr>
          <w:p w14:paraId="7C3425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Временно до отработки</w:t>
            </w:r>
          </w:p>
        </w:tc>
      </w:tr>
      <w:tr w:rsidR="007D5DF8" w:rsidRPr="00DB5D0D" w14:paraId="7BC668DA" w14:textId="77777777" w:rsidTr="009223E5">
        <w:trPr>
          <w:cantSplit/>
          <w:trHeight w:val="144"/>
        </w:trPr>
        <w:tc>
          <w:tcPr>
            <w:tcW w:w="422" w:type="dxa"/>
            <w:tcBorders>
              <w:top w:val="nil"/>
              <w:left w:val="single" w:sz="6" w:space="0" w:color="auto"/>
              <w:bottom w:val="nil"/>
              <w:right w:val="single" w:sz="6" w:space="0" w:color="auto"/>
            </w:tcBorders>
            <w:shd w:val="clear" w:color="auto" w:fill="FFFFFF"/>
          </w:tcPr>
          <w:p w14:paraId="6AC2FA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3826" w:type="dxa"/>
            <w:tcBorders>
              <w:top w:val="nil"/>
              <w:left w:val="single" w:sz="6" w:space="0" w:color="auto"/>
              <w:bottom w:val="nil"/>
              <w:right w:val="single" w:sz="6" w:space="0" w:color="auto"/>
            </w:tcBorders>
            <w:shd w:val="clear" w:color="auto" w:fill="FFFFFF"/>
          </w:tcPr>
          <w:p w14:paraId="550BF1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оконч. снаряжения — 16,2 кг</w:t>
            </w:r>
          </w:p>
        </w:tc>
        <w:tc>
          <w:tcPr>
            <w:tcW w:w="2664" w:type="dxa"/>
            <w:gridSpan w:val="3"/>
            <w:tcBorders>
              <w:top w:val="nil"/>
              <w:left w:val="single" w:sz="6" w:space="0" w:color="auto"/>
              <w:bottom w:val="nil"/>
              <w:right w:val="single" w:sz="6" w:space="0" w:color="auto"/>
            </w:tcBorders>
            <w:shd w:val="clear" w:color="auto" w:fill="FFFFFF"/>
          </w:tcPr>
          <w:p w14:paraId="462B07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упрочненного корпуса разрешить</w:t>
            </w:r>
          </w:p>
        </w:tc>
      </w:tr>
      <w:tr w:rsidR="007D5DF8" w:rsidRPr="00DB5D0D" w14:paraId="1AB874E0" w14:textId="77777777" w:rsidTr="009223E5">
        <w:trPr>
          <w:cantSplit/>
          <w:trHeight w:val="370"/>
        </w:trPr>
        <w:tc>
          <w:tcPr>
            <w:tcW w:w="422" w:type="dxa"/>
            <w:tcBorders>
              <w:top w:val="nil"/>
              <w:left w:val="single" w:sz="6" w:space="0" w:color="auto"/>
              <w:bottom w:val="nil"/>
              <w:right w:val="single" w:sz="6" w:space="0" w:color="auto"/>
            </w:tcBorders>
            <w:shd w:val="clear" w:color="auto" w:fill="FFFFFF"/>
          </w:tcPr>
          <w:p w14:paraId="05B16C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3826" w:type="dxa"/>
            <w:tcBorders>
              <w:top w:val="nil"/>
              <w:left w:val="single" w:sz="6" w:space="0" w:color="auto"/>
              <w:bottom w:val="nil"/>
              <w:right w:val="single" w:sz="6" w:space="0" w:color="auto"/>
            </w:tcBorders>
            <w:shd w:val="clear" w:color="auto" w:fill="FFFFFF"/>
          </w:tcPr>
          <w:p w14:paraId="02AACC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корпуса — 11,78 кг</w:t>
            </w:r>
          </w:p>
          <w:p w14:paraId="6D8679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взрыв, вещества — 3,93 кг</w:t>
            </w:r>
          </w:p>
        </w:tc>
        <w:tc>
          <w:tcPr>
            <w:tcW w:w="2664" w:type="dxa"/>
            <w:gridSpan w:val="3"/>
            <w:tcBorders>
              <w:top w:val="nil"/>
              <w:left w:val="single" w:sz="6" w:space="0" w:color="auto"/>
              <w:bottom w:val="nil"/>
              <w:right w:val="single" w:sz="6" w:space="0" w:color="auto"/>
            </w:tcBorders>
            <w:shd w:val="clear" w:color="auto" w:fill="FFFFFF"/>
          </w:tcPr>
          <w:p w14:paraId="5AEEEA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стрельбу на 4 заряде.</w:t>
            </w:r>
          </w:p>
        </w:tc>
      </w:tr>
      <w:tr w:rsidR="007D5DF8" w:rsidRPr="00DB5D0D" w14:paraId="5FC89571" w14:textId="77777777" w:rsidTr="009223E5">
        <w:trPr>
          <w:cantSplit/>
          <w:trHeight w:val="302"/>
        </w:trPr>
        <w:tc>
          <w:tcPr>
            <w:tcW w:w="422" w:type="dxa"/>
            <w:tcBorders>
              <w:top w:val="nil"/>
              <w:left w:val="single" w:sz="6" w:space="0" w:color="auto"/>
              <w:bottom w:val="nil"/>
              <w:right w:val="single" w:sz="6" w:space="0" w:color="auto"/>
            </w:tcBorders>
            <w:shd w:val="clear" w:color="auto" w:fill="FFFFFF"/>
          </w:tcPr>
          <w:p w14:paraId="31686D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3826" w:type="dxa"/>
            <w:tcBorders>
              <w:top w:val="nil"/>
              <w:left w:val="single" w:sz="6" w:space="0" w:color="auto"/>
              <w:bottom w:val="nil"/>
              <w:right w:val="single" w:sz="6" w:space="0" w:color="auto"/>
            </w:tcBorders>
            <w:shd w:val="clear" w:color="auto" w:fill="FFFFFF"/>
          </w:tcPr>
          <w:p w14:paraId="0E4BDC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Взрыватель М-50для 50-мм мин мгновенного действия</w:t>
            </w:r>
          </w:p>
        </w:tc>
        <w:tc>
          <w:tcPr>
            <w:tcW w:w="2664" w:type="dxa"/>
            <w:gridSpan w:val="3"/>
            <w:tcBorders>
              <w:top w:val="nil"/>
              <w:left w:val="single" w:sz="6" w:space="0" w:color="auto"/>
              <w:bottom w:val="nil"/>
              <w:right w:val="single" w:sz="6" w:space="0" w:color="auto"/>
            </w:tcBorders>
            <w:shd w:val="clear" w:color="auto" w:fill="FFFFFF"/>
          </w:tcPr>
          <w:p w14:paraId="0F4B88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BF64F24" w14:textId="77777777" w:rsidTr="009223E5">
        <w:trPr>
          <w:cantSplit/>
          <w:trHeight w:val="302"/>
        </w:trPr>
        <w:tc>
          <w:tcPr>
            <w:tcW w:w="422" w:type="dxa"/>
            <w:tcBorders>
              <w:top w:val="nil"/>
              <w:left w:val="single" w:sz="6" w:space="0" w:color="auto"/>
              <w:bottom w:val="nil"/>
              <w:right w:val="single" w:sz="6" w:space="0" w:color="auto"/>
            </w:tcBorders>
            <w:shd w:val="clear" w:color="auto" w:fill="FFFFFF"/>
          </w:tcPr>
          <w:p w14:paraId="2D19FC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3826" w:type="dxa"/>
            <w:tcBorders>
              <w:top w:val="nil"/>
              <w:left w:val="single" w:sz="6" w:space="0" w:color="auto"/>
              <w:bottom w:val="nil"/>
              <w:right w:val="single" w:sz="6" w:space="0" w:color="auto"/>
            </w:tcBorders>
            <w:shd w:val="clear" w:color="auto" w:fill="FFFFFF"/>
          </w:tcPr>
          <w:p w14:paraId="58F4A1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Взрыватель М-1 для 82-мм мин мгновенного действия</w:t>
            </w:r>
          </w:p>
        </w:tc>
        <w:tc>
          <w:tcPr>
            <w:tcW w:w="2664" w:type="dxa"/>
            <w:gridSpan w:val="3"/>
            <w:tcBorders>
              <w:top w:val="nil"/>
              <w:left w:val="single" w:sz="6" w:space="0" w:color="auto"/>
              <w:bottom w:val="nil"/>
              <w:right w:val="single" w:sz="6" w:space="0" w:color="auto"/>
            </w:tcBorders>
            <w:shd w:val="clear" w:color="auto" w:fill="FFFFFF"/>
          </w:tcPr>
          <w:p w14:paraId="3BE6AF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E5D911D" w14:textId="77777777" w:rsidTr="009223E5">
        <w:trPr>
          <w:cantSplit/>
          <w:trHeight w:val="456"/>
        </w:trPr>
        <w:tc>
          <w:tcPr>
            <w:tcW w:w="422" w:type="dxa"/>
            <w:tcBorders>
              <w:top w:val="nil"/>
              <w:left w:val="single" w:sz="6" w:space="0" w:color="auto"/>
              <w:bottom w:val="nil"/>
              <w:right w:val="single" w:sz="6" w:space="0" w:color="auto"/>
            </w:tcBorders>
            <w:shd w:val="clear" w:color="auto" w:fill="FFFFFF"/>
          </w:tcPr>
          <w:p w14:paraId="5346C9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3826" w:type="dxa"/>
            <w:tcBorders>
              <w:top w:val="nil"/>
              <w:left w:val="single" w:sz="6" w:space="0" w:color="auto"/>
              <w:bottom w:val="nil"/>
              <w:right w:val="single" w:sz="6" w:space="0" w:color="auto"/>
            </w:tcBorders>
            <w:shd w:val="clear" w:color="auto" w:fill="FFFFFF"/>
          </w:tcPr>
          <w:p w14:paraId="5DBF7A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Взрыватель МП из пластмассы для 50-мм и 82-мм мин мгновенного действия</w:t>
            </w:r>
          </w:p>
        </w:tc>
        <w:tc>
          <w:tcPr>
            <w:tcW w:w="2664" w:type="dxa"/>
            <w:gridSpan w:val="3"/>
            <w:tcBorders>
              <w:top w:val="nil"/>
              <w:left w:val="single" w:sz="6" w:space="0" w:color="auto"/>
              <w:bottom w:val="nil"/>
              <w:right w:val="single" w:sz="6" w:space="0" w:color="auto"/>
            </w:tcBorders>
            <w:shd w:val="clear" w:color="auto" w:fill="FFFFFF"/>
          </w:tcPr>
          <w:p w14:paraId="15DD85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40D3569A" w14:textId="77777777" w:rsidTr="009223E5">
        <w:trPr>
          <w:cantSplit/>
          <w:trHeight w:val="466"/>
        </w:trPr>
        <w:tc>
          <w:tcPr>
            <w:tcW w:w="422" w:type="dxa"/>
            <w:tcBorders>
              <w:top w:val="nil"/>
              <w:left w:val="single" w:sz="6" w:space="0" w:color="auto"/>
              <w:bottom w:val="single" w:sz="6" w:space="0" w:color="auto"/>
              <w:right w:val="single" w:sz="6" w:space="0" w:color="auto"/>
            </w:tcBorders>
            <w:shd w:val="clear" w:color="auto" w:fill="FFFFFF"/>
          </w:tcPr>
          <w:p w14:paraId="1694F4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3826" w:type="dxa"/>
            <w:tcBorders>
              <w:top w:val="nil"/>
              <w:left w:val="single" w:sz="6" w:space="0" w:color="auto"/>
              <w:bottom w:val="single" w:sz="6" w:space="0" w:color="auto"/>
              <w:right w:val="single" w:sz="6" w:space="0" w:color="auto"/>
            </w:tcBorders>
            <w:shd w:val="clear" w:color="auto" w:fill="FFFFFF"/>
          </w:tcPr>
          <w:p w14:paraId="6B8332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Взрыватель ГВМЗ для 107-мм и 120-мм мин с двойной установкой мгновенно-замедленного действия</w:t>
            </w:r>
          </w:p>
        </w:tc>
        <w:tc>
          <w:tcPr>
            <w:tcW w:w="2664" w:type="dxa"/>
            <w:gridSpan w:val="3"/>
            <w:tcBorders>
              <w:top w:val="nil"/>
              <w:left w:val="single" w:sz="6" w:space="0" w:color="auto"/>
              <w:bottom w:val="single" w:sz="6" w:space="0" w:color="auto"/>
              <w:right w:val="single" w:sz="6" w:space="0" w:color="auto"/>
            </w:tcBorders>
            <w:shd w:val="clear" w:color="auto" w:fill="FFFFFF"/>
          </w:tcPr>
          <w:p w14:paraId="233845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bl>
    <w:p w14:paraId="06AE1F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Приложение № 2 </w:t>
      </w:r>
      <w:r w:rsidRPr="00DB5D0D">
        <w:rPr>
          <w:rFonts w:ascii="Times New Roman" w:hAnsi="Times New Roman"/>
          <w:iCs/>
          <w:color w:val="000000" w:themeColor="text1"/>
          <w:sz w:val="16"/>
          <w:szCs w:val="16"/>
        </w:rPr>
        <w:t>Перечень образцов минометов и мин, находящихся в опытной разработке</w:t>
      </w:r>
    </w:p>
    <w:tbl>
      <w:tblPr>
        <w:tblW w:w="0" w:type="auto"/>
        <w:tblInd w:w="40" w:type="dxa"/>
        <w:tblLayout w:type="fixed"/>
        <w:tblCellMar>
          <w:left w:w="40" w:type="dxa"/>
          <w:right w:w="40" w:type="dxa"/>
        </w:tblCellMar>
        <w:tblLook w:val="0000" w:firstRow="0" w:lastRow="0" w:firstColumn="0" w:lastColumn="0" w:noHBand="0" w:noVBand="0"/>
      </w:tblPr>
      <w:tblGrid>
        <w:gridCol w:w="379"/>
        <w:gridCol w:w="3629"/>
        <w:gridCol w:w="3789"/>
      </w:tblGrid>
      <w:tr w:rsidR="007D5DF8" w:rsidRPr="00DB5D0D" w14:paraId="7D95BF82" w14:textId="77777777" w:rsidTr="009223E5">
        <w:trPr>
          <w:cantSplit/>
          <w:trHeight w:val="408"/>
        </w:trPr>
        <w:tc>
          <w:tcPr>
            <w:tcW w:w="379" w:type="dxa"/>
            <w:tcBorders>
              <w:top w:val="single" w:sz="6" w:space="0" w:color="auto"/>
              <w:left w:val="single" w:sz="6" w:space="0" w:color="auto"/>
              <w:bottom w:val="single" w:sz="6" w:space="0" w:color="auto"/>
              <w:right w:val="single" w:sz="6" w:space="0" w:color="auto"/>
            </w:tcBorders>
            <w:shd w:val="clear" w:color="auto" w:fill="FFFFFF"/>
          </w:tcPr>
          <w:p w14:paraId="60ECC5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3629" w:type="dxa"/>
            <w:tcBorders>
              <w:top w:val="single" w:sz="6" w:space="0" w:color="auto"/>
              <w:left w:val="single" w:sz="6" w:space="0" w:color="auto"/>
              <w:bottom w:val="single" w:sz="6" w:space="0" w:color="auto"/>
              <w:right w:val="single" w:sz="6" w:space="0" w:color="auto"/>
            </w:tcBorders>
            <w:shd w:val="clear" w:color="auto" w:fill="FFFFFF"/>
          </w:tcPr>
          <w:p w14:paraId="76636B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образцов и основныехарактериетики</w:t>
            </w:r>
          </w:p>
        </w:tc>
        <w:tc>
          <w:tcPr>
            <w:tcW w:w="3789" w:type="dxa"/>
            <w:tcBorders>
              <w:top w:val="single" w:sz="6" w:space="0" w:color="auto"/>
              <w:left w:val="single" w:sz="6" w:space="0" w:color="auto"/>
              <w:bottom w:val="single" w:sz="6" w:space="0" w:color="auto"/>
              <w:right w:val="single" w:sz="6" w:space="0" w:color="auto"/>
            </w:tcBorders>
            <w:shd w:val="clear" w:color="auto" w:fill="FFFFFF"/>
          </w:tcPr>
          <w:p w14:paraId="5F132C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tc>
      </w:tr>
      <w:tr w:rsidR="007D5DF8" w:rsidRPr="00DB5D0D" w14:paraId="2E6EB268" w14:textId="77777777" w:rsidTr="009223E5">
        <w:trPr>
          <w:cantSplit/>
          <w:trHeight w:val="3686"/>
        </w:trPr>
        <w:tc>
          <w:tcPr>
            <w:tcW w:w="379" w:type="dxa"/>
            <w:tcBorders>
              <w:top w:val="single" w:sz="6" w:space="0" w:color="auto"/>
              <w:left w:val="single" w:sz="6" w:space="0" w:color="auto"/>
              <w:bottom w:val="single" w:sz="6" w:space="0" w:color="auto"/>
              <w:right w:val="single" w:sz="6" w:space="0" w:color="auto"/>
            </w:tcBorders>
            <w:shd w:val="clear" w:color="auto" w:fill="FFFFFF"/>
          </w:tcPr>
          <w:p w14:paraId="74E0CE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w:t>
            </w:r>
          </w:p>
          <w:p w14:paraId="6F692E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135B3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443BD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5BA3E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4FE72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p w14:paraId="2076AD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3F79F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p w14:paraId="4DBCD9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0E438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p w14:paraId="2E55F7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2F784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CA44E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66F7F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E6C4C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p w14:paraId="3BB845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74368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p w14:paraId="600BFD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719D6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543DF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p w14:paraId="57D68B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CC312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2ACD8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p w14:paraId="7BF15F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5D75D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2299A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p w14:paraId="7125E0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519EA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p w14:paraId="5E386C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596FE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CB045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p w14:paraId="11638CFD"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33247019"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17ED2C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12.</w:t>
            </w:r>
          </w:p>
          <w:p w14:paraId="00D7A8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p w14:paraId="6C5B19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p w14:paraId="7DE9EB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206AC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p w14:paraId="2522CB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2F0E9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p w14:paraId="2F4D4E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3B90D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w:t>
            </w:r>
          </w:p>
          <w:p w14:paraId="2D464A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CA6BF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p w14:paraId="240094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53DE4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3629" w:type="dxa"/>
            <w:tcBorders>
              <w:top w:val="single" w:sz="6" w:space="0" w:color="auto"/>
              <w:left w:val="single" w:sz="6" w:space="0" w:color="auto"/>
              <w:bottom w:val="single" w:sz="6" w:space="0" w:color="auto"/>
              <w:right w:val="single" w:sz="6" w:space="0" w:color="auto"/>
            </w:tcBorders>
            <w:shd w:val="clear" w:color="auto" w:fill="FFFFFF"/>
          </w:tcPr>
          <w:p w14:paraId="7265EB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160-мм дивизионный миномет </w:t>
            </w:r>
            <w:r w:rsidRPr="00DB5D0D">
              <w:rPr>
                <w:rFonts w:ascii="Times New Roman" w:hAnsi="Times New Roman"/>
                <w:color w:val="000000" w:themeColor="text1"/>
                <w:sz w:val="16"/>
                <w:szCs w:val="16"/>
              </w:rPr>
              <w:t>с весом системы в боевом положении — 600 кг В походном положении — 1200 кг Наибольшей дальностью — 5000 Наименьшей дальностью — 500 м Скорострельностью 3—4 выс/мин</w:t>
            </w:r>
          </w:p>
          <w:p w14:paraId="4B16F6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160-мм фугасные мины (нормальной емкости) </w:t>
            </w:r>
            <w:r w:rsidRPr="00DB5D0D">
              <w:rPr>
                <w:rFonts w:ascii="Times New Roman" w:hAnsi="Times New Roman"/>
                <w:color w:val="000000" w:themeColor="text1"/>
                <w:sz w:val="16"/>
                <w:szCs w:val="16"/>
              </w:rPr>
              <w:t>с весом 40 кг, при весе ВВ равном 8 кг</w:t>
            </w:r>
          </w:p>
          <w:p w14:paraId="4AF865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160-мм фугасные мины (большой емкости)</w:t>
            </w:r>
          </w:p>
          <w:p w14:paraId="3657D8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весом мины 60 кг при весе ВВ равном 15 кг.</w:t>
            </w:r>
          </w:p>
          <w:p w14:paraId="631668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240-мм тяжелый миномет </w:t>
            </w:r>
            <w:r w:rsidRPr="00DB5D0D">
              <w:rPr>
                <w:rFonts w:ascii="Times New Roman" w:hAnsi="Times New Roman"/>
                <w:color w:val="000000" w:themeColor="text1"/>
                <w:sz w:val="16"/>
                <w:szCs w:val="16"/>
              </w:rPr>
              <w:t>с весом системы в боевом положении — 2200 кг В походном положении — 3—4 т Набольшей дальностью — 3000—3500 м Наименьшей дальностью — 500 м Скорострельностью 1 выстр. в 2 мин</w:t>
            </w:r>
          </w:p>
          <w:p w14:paraId="6DA832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240-мм фугасный мины </w:t>
            </w:r>
            <w:r w:rsidRPr="00DB5D0D">
              <w:rPr>
                <w:rFonts w:ascii="Times New Roman" w:hAnsi="Times New Roman"/>
                <w:color w:val="000000" w:themeColor="text1"/>
                <w:sz w:val="16"/>
                <w:szCs w:val="16"/>
              </w:rPr>
              <w:t>с весом мины 130 кг при весе ВВ равном 45 кг</w:t>
            </w:r>
          </w:p>
          <w:p w14:paraId="68A698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82-мм мины большой емкости </w:t>
            </w:r>
            <w:r w:rsidRPr="00DB5D0D">
              <w:rPr>
                <w:rFonts w:ascii="Times New Roman" w:hAnsi="Times New Roman"/>
                <w:color w:val="000000" w:themeColor="text1"/>
                <w:sz w:val="16"/>
                <w:szCs w:val="16"/>
              </w:rPr>
              <w:t>с весом мины 6— 6,5 кг, при весе ВВ равном 2 кг и наибольшей дальностью 1200 м</w:t>
            </w:r>
          </w:p>
          <w:p w14:paraId="5A2595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107-мм мины большой емкости </w:t>
            </w:r>
            <w:r w:rsidRPr="00DB5D0D">
              <w:rPr>
                <w:rFonts w:ascii="Times New Roman" w:hAnsi="Times New Roman"/>
                <w:color w:val="000000" w:themeColor="text1"/>
                <w:sz w:val="16"/>
                <w:szCs w:val="16"/>
              </w:rPr>
              <w:t>с весом мины 1617 кг при весе ВВ равном 4-5 кг и наибольшей дальности 3000 м.</w:t>
            </w:r>
          </w:p>
          <w:p w14:paraId="6EEDE5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120-мм мины большой емкости </w:t>
            </w:r>
            <w:r w:rsidRPr="00DB5D0D">
              <w:rPr>
                <w:rFonts w:ascii="Times New Roman" w:hAnsi="Times New Roman"/>
                <w:color w:val="000000" w:themeColor="text1"/>
                <w:sz w:val="16"/>
                <w:szCs w:val="16"/>
              </w:rPr>
              <w:t>с весом мины 25 кг, при весе ВВ равном 8 кг и наибольшей дальностью 3000 м</w:t>
            </w:r>
          </w:p>
          <w:p w14:paraId="378D0C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50 мм ротный миномет обр. 1940 г. </w:t>
            </w:r>
            <w:r w:rsidRPr="00DB5D0D">
              <w:rPr>
                <w:rFonts w:ascii="Times New Roman" w:hAnsi="Times New Roman"/>
                <w:color w:val="000000" w:themeColor="text1"/>
                <w:sz w:val="16"/>
                <w:szCs w:val="16"/>
              </w:rPr>
              <w:t>с изменением конструкции отвода газов без изменения веса</w:t>
            </w:r>
          </w:p>
          <w:p w14:paraId="392730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107-мм горно-вьючный полковой миномет </w:t>
            </w:r>
            <w:r w:rsidRPr="00DB5D0D">
              <w:rPr>
                <w:rFonts w:ascii="Times New Roman" w:hAnsi="Times New Roman"/>
                <w:color w:val="000000" w:themeColor="text1"/>
                <w:sz w:val="16"/>
                <w:szCs w:val="16"/>
              </w:rPr>
              <w:t>с раздельной транспортировкой (передок отдельно от системы)</w:t>
            </w:r>
          </w:p>
          <w:p w14:paraId="2F6D15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Вспомогательные транспортные средства для перевозки на поле боя 50-мм, 82-мм минометов и мин к ним</w:t>
            </w:r>
          </w:p>
          <w:p w14:paraId="06E7A1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82-мм осветительные мины</w:t>
            </w:r>
          </w:p>
          <w:p w14:paraId="7F2385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Заряды к 160-мм миномету</w:t>
            </w:r>
          </w:p>
          <w:p w14:paraId="10C45A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120-мм фугасные мины </w:t>
            </w:r>
            <w:r w:rsidRPr="00DB5D0D">
              <w:rPr>
                <w:rFonts w:ascii="Times New Roman" w:hAnsi="Times New Roman"/>
                <w:color w:val="000000" w:themeColor="text1"/>
                <w:sz w:val="16"/>
                <w:szCs w:val="16"/>
              </w:rPr>
              <w:t>(цельнокорпусная штамповка, из цельнотянутых труб)</w:t>
            </w:r>
          </w:p>
          <w:p w14:paraId="57DF67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120-мм осколочно-фугасные мины </w:t>
            </w:r>
            <w:r w:rsidRPr="00DB5D0D">
              <w:rPr>
                <w:rFonts w:ascii="Times New Roman" w:hAnsi="Times New Roman"/>
                <w:color w:val="000000" w:themeColor="text1"/>
                <w:sz w:val="16"/>
                <w:szCs w:val="16"/>
              </w:rPr>
              <w:t>(корпуса стального литья)</w:t>
            </w:r>
          </w:p>
          <w:p w14:paraId="309418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107-мм осколочно-фугасные мины </w:t>
            </w:r>
            <w:r w:rsidRPr="00DB5D0D">
              <w:rPr>
                <w:rFonts w:ascii="Times New Roman" w:hAnsi="Times New Roman"/>
                <w:color w:val="000000" w:themeColor="text1"/>
                <w:sz w:val="16"/>
                <w:szCs w:val="16"/>
              </w:rPr>
              <w:t>(из цельнотянутых труб)</w:t>
            </w:r>
          </w:p>
          <w:p w14:paraId="3C776B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107-мм осколочно-фугасные мины </w:t>
            </w:r>
            <w:r w:rsidRPr="00DB5D0D">
              <w:rPr>
                <w:rFonts w:ascii="Times New Roman" w:hAnsi="Times New Roman"/>
                <w:color w:val="000000" w:themeColor="text1"/>
                <w:sz w:val="16"/>
                <w:szCs w:val="16"/>
              </w:rPr>
              <w:t>сталистого чугуна</w:t>
            </w:r>
          </w:p>
          <w:p w14:paraId="4C678E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Специальные стандартные установки 82-мм и 120-мм минометов для укрепленных районов</w:t>
            </w:r>
          </w:p>
          <w:p w14:paraId="3BDED7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Сверхмощный миномет для разрушения железно-бетонных сооружений</w:t>
            </w:r>
          </w:p>
        </w:tc>
        <w:tc>
          <w:tcPr>
            <w:tcW w:w="3789" w:type="dxa"/>
            <w:tcBorders>
              <w:top w:val="single" w:sz="6" w:space="0" w:color="auto"/>
              <w:left w:val="single" w:sz="6" w:space="0" w:color="auto"/>
              <w:bottom w:val="single" w:sz="6" w:space="0" w:color="auto"/>
              <w:right w:val="single" w:sz="6" w:space="0" w:color="auto"/>
            </w:tcBorders>
            <w:shd w:val="clear" w:color="auto" w:fill="FFFFFF"/>
          </w:tcPr>
          <w:p w14:paraId="6F03A8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 и УММВ закончить отработку опытных образцов с транспортными средствами к 15.9.40 г.</w:t>
            </w:r>
          </w:p>
          <w:p w14:paraId="7A552B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07F9F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B1EE3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B06E1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отработку опытных образцов к 1.9.40 г.</w:t>
            </w:r>
          </w:p>
          <w:p w14:paraId="32151B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отработку опытных образцов к 1.9.40 г.</w:t>
            </w:r>
          </w:p>
          <w:p w14:paraId="6ECFF3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разработку чертежей на опытный образец к 15.12.40 г.</w:t>
            </w:r>
          </w:p>
          <w:p w14:paraId="3AC137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18B8F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206A2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3A6DD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разработку чертежей на опытные образцы к 15.12. 1940 г.</w:t>
            </w:r>
          </w:p>
          <w:p w14:paraId="439CEB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отработку чертежей на опытно-серийную партию к 1.9.40 г.</w:t>
            </w:r>
          </w:p>
          <w:p w14:paraId="760357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941C1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отработку чертежей на опытно-серийную партий к 1.9.40 г.</w:t>
            </w:r>
          </w:p>
          <w:p w14:paraId="6AABA4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5CBFD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отработку чертежей на опытно-серийную партию к 1.9.40 г.</w:t>
            </w:r>
          </w:p>
          <w:p w14:paraId="0DC774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7D219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 и УММВ закончить отработку к 1.8.40 г.</w:t>
            </w:r>
          </w:p>
          <w:p w14:paraId="122496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0B714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 и УММВ закончить отработку к 15.8.40 г.</w:t>
            </w:r>
          </w:p>
          <w:p w14:paraId="2A88C5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C1B56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FE278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отработку опытных образцов к 1.8.40 г.</w:t>
            </w:r>
          </w:p>
          <w:p w14:paraId="4E46B4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97E01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отработку опытных образцов с изготовлением рабочих чертежей на опытные образцы к 1.11.40 г.</w:t>
            </w:r>
          </w:p>
          <w:p w14:paraId="420778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обработку опытных образцов с изготовлением рабочих чертежей на опытные образцы к 15.6.40 г.</w:t>
            </w:r>
          </w:p>
          <w:p w14:paraId="33AA4C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отработку рабочих чертежей на серийную партию к 1.11.40 г.</w:t>
            </w:r>
          </w:p>
          <w:p w14:paraId="273E84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разработку рабочих чертежей на серийную партию к 1.11. 40 г.</w:t>
            </w:r>
          </w:p>
          <w:p w14:paraId="247CBA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разработку чертежей на опытно-серийную партию к 1.10.40 г.</w:t>
            </w:r>
          </w:p>
          <w:p w14:paraId="600D95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разработку чертежей на опытно-серийную партию к 1.11.40 г.</w:t>
            </w:r>
          </w:p>
          <w:p w14:paraId="041A22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 и УММВ закончить отработку проекта и рабочих чертежей на опытные образцы к 1.8.40 г. и изготовить опытные образцы к 1.12.40 г.</w:t>
            </w:r>
          </w:p>
          <w:p w14:paraId="79B4F6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 разработать тактико-технические требования к 1.8.40 г. НКВ разработать к 1.2.41 г. проект образца.</w:t>
            </w:r>
          </w:p>
        </w:tc>
      </w:tr>
    </w:tbl>
    <w:p w14:paraId="67BF16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Приложение № 3 </w:t>
      </w:r>
      <w:r w:rsidRPr="00DB5D0D">
        <w:rPr>
          <w:rFonts w:ascii="Times New Roman" w:hAnsi="Times New Roman"/>
          <w:iCs/>
          <w:color w:val="000000" w:themeColor="text1"/>
          <w:sz w:val="16"/>
          <w:szCs w:val="16"/>
        </w:rPr>
        <w:t>Перечень сухопутных мин заграждения и средств минирования, состоящих на вооружении Красной Армии'</w:t>
      </w:r>
      <w:r w:rsidRPr="00DB5D0D">
        <w:rPr>
          <w:rFonts w:ascii="Times New Roman" w:hAnsi="Times New Roman"/>
          <w:color w:val="000000" w:themeColor="text1"/>
          <w:sz w:val="16"/>
          <w:szCs w:val="16"/>
        </w:rPr>
        <w:t>_____________</w:t>
      </w:r>
    </w:p>
    <w:tbl>
      <w:tblPr>
        <w:tblW w:w="0" w:type="auto"/>
        <w:tblInd w:w="40" w:type="dxa"/>
        <w:tblLayout w:type="fixed"/>
        <w:tblCellMar>
          <w:left w:w="40" w:type="dxa"/>
          <w:right w:w="40" w:type="dxa"/>
        </w:tblCellMar>
        <w:tblLook w:val="0000" w:firstRow="0" w:lastRow="0" w:firstColumn="0" w:lastColumn="0" w:noHBand="0" w:noVBand="0"/>
      </w:tblPr>
      <w:tblGrid>
        <w:gridCol w:w="355"/>
        <w:gridCol w:w="2338"/>
        <w:gridCol w:w="2122"/>
        <w:gridCol w:w="2088"/>
      </w:tblGrid>
      <w:tr w:rsidR="007D5DF8" w:rsidRPr="00DB5D0D" w14:paraId="75FCE5B1" w14:textId="77777777" w:rsidTr="009223E5">
        <w:trPr>
          <w:cantSplit/>
          <w:trHeight w:val="403"/>
        </w:trPr>
        <w:tc>
          <w:tcPr>
            <w:tcW w:w="355" w:type="dxa"/>
            <w:tcBorders>
              <w:top w:val="single" w:sz="6" w:space="0" w:color="auto"/>
              <w:left w:val="single" w:sz="6" w:space="0" w:color="auto"/>
              <w:bottom w:val="single" w:sz="6" w:space="0" w:color="auto"/>
              <w:right w:val="single" w:sz="6" w:space="0" w:color="auto"/>
            </w:tcBorders>
            <w:shd w:val="clear" w:color="auto" w:fill="FFFFFF"/>
          </w:tcPr>
          <w:p w14:paraId="28BCC0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6C3732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2122" w:type="dxa"/>
            <w:tcBorders>
              <w:top w:val="single" w:sz="6" w:space="0" w:color="auto"/>
              <w:left w:val="single" w:sz="6" w:space="0" w:color="auto"/>
              <w:bottom w:val="single" w:sz="6" w:space="0" w:color="auto"/>
              <w:right w:val="single" w:sz="6" w:space="0" w:color="auto"/>
            </w:tcBorders>
            <w:shd w:val="clear" w:color="auto" w:fill="FFFFFF"/>
          </w:tcPr>
          <w:p w14:paraId="1CAAE9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Назвачение</w:t>
            </w:r>
          </w:p>
        </w:tc>
        <w:tc>
          <w:tcPr>
            <w:tcW w:w="2088" w:type="dxa"/>
            <w:tcBorders>
              <w:top w:val="single" w:sz="6" w:space="0" w:color="auto"/>
              <w:left w:val="single" w:sz="6" w:space="0" w:color="auto"/>
              <w:bottom w:val="single" w:sz="6" w:space="0" w:color="auto"/>
              <w:right w:val="single" w:sz="6" w:space="0" w:color="auto"/>
            </w:tcBorders>
            <w:shd w:val="clear" w:color="auto" w:fill="FFFFFF"/>
          </w:tcPr>
          <w:p w14:paraId="63DED0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35EF3B55" w14:textId="77777777" w:rsidTr="009223E5">
        <w:trPr>
          <w:cantSplit/>
          <w:trHeight w:val="4589"/>
        </w:trPr>
        <w:tc>
          <w:tcPr>
            <w:tcW w:w="355" w:type="dxa"/>
            <w:tcBorders>
              <w:top w:val="single" w:sz="6" w:space="0" w:color="auto"/>
              <w:left w:val="single" w:sz="6" w:space="0" w:color="auto"/>
              <w:bottom w:val="single" w:sz="6" w:space="0" w:color="auto"/>
              <w:right w:val="single" w:sz="6" w:space="0" w:color="auto"/>
            </w:tcBorders>
            <w:shd w:val="clear" w:color="auto" w:fill="FFFFFF"/>
          </w:tcPr>
          <w:p w14:paraId="0204B1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p w14:paraId="0914EC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p w14:paraId="02B6D3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3. 4. 5.</w:t>
            </w:r>
          </w:p>
          <w:p w14:paraId="3AC969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p w14:paraId="5BDC76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p w14:paraId="33B242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8. 9. 10.</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58B4F2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Противотанковая мина ТМ-35</w:t>
            </w:r>
          </w:p>
          <w:p w14:paraId="30CB5B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Упрощенный взрыватель (УВ)</w:t>
            </w:r>
          </w:p>
          <w:p w14:paraId="048142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10-ти часовой замыкатель</w:t>
            </w:r>
          </w:p>
          <w:p w14:paraId="6DD726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10-ти суточный замыкатель</w:t>
            </w:r>
          </w:p>
          <w:p w14:paraId="71DCBA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35-fmJu суточный замыкатель</w:t>
            </w:r>
          </w:p>
          <w:p w14:paraId="3BDDA7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Поездной замыкатель П-12 Поездной замыкательИЗВЕР-2</w:t>
            </w:r>
          </w:p>
          <w:p w14:paraId="4177A0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Химический взрыватель замедленного действия.</w:t>
            </w:r>
          </w:p>
          <w:p w14:paraId="254B74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Миноискатель ИМВЭТА-21 Миноискатель ВИМ-210</w:t>
            </w:r>
          </w:p>
        </w:tc>
        <w:tc>
          <w:tcPr>
            <w:tcW w:w="2122" w:type="dxa"/>
            <w:tcBorders>
              <w:top w:val="single" w:sz="6" w:space="0" w:color="auto"/>
              <w:left w:val="single" w:sz="6" w:space="0" w:color="auto"/>
              <w:bottom w:val="single" w:sz="6" w:space="0" w:color="auto"/>
              <w:right w:val="single" w:sz="6" w:space="0" w:color="auto"/>
            </w:tcBorders>
            <w:shd w:val="clear" w:color="auto" w:fill="FFFFFF"/>
          </w:tcPr>
          <w:p w14:paraId="5ABD02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Минирование поля против танков.</w:t>
            </w:r>
          </w:p>
          <w:p w14:paraId="201806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мин ТМ-35 и для устройства полевых фугасов и сюрпризов из табельных подрывных средств</w:t>
            </w:r>
          </w:p>
          <w:p w14:paraId="54CA0B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устройства мин замедленного действия</w:t>
            </w:r>
          </w:p>
          <w:p w14:paraId="6623CD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устройства мин замедленного действия</w:t>
            </w:r>
          </w:p>
          <w:p w14:paraId="068212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устройства мин замедленного действия</w:t>
            </w:r>
          </w:p>
          <w:p w14:paraId="46FE68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Дня устройства жел. дор. мин.</w:t>
            </w:r>
          </w:p>
          <w:p w14:paraId="28F577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Дня устройства жел. дор. мин.</w:t>
            </w:r>
          </w:p>
          <w:p w14:paraId="6BFF9F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усторойства мин замедленного действия.</w:t>
            </w:r>
          </w:p>
          <w:p w14:paraId="488FEA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разведки металлических мин</w:t>
            </w:r>
          </w:p>
          <w:p w14:paraId="543078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разведки металлических мин</w:t>
            </w:r>
          </w:p>
        </w:tc>
        <w:tc>
          <w:tcPr>
            <w:tcW w:w="2088" w:type="dxa"/>
            <w:tcBorders>
              <w:top w:val="single" w:sz="6" w:space="0" w:color="auto"/>
              <w:left w:val="single" w:sz="6" w:space="0" w:color="auto"/>
              <w:bottom w:val="single" w:sz="6" w:space="0" w:color="auto"/>
              <w:right w:val="single" w:sz="6" w:space="0" w:color="auto"/>
            </w:tcBorders>
            <w:shd w:val="clear" w:color="auto" w:fill="FFFFFF"/>
          </w:tcPr>
          <w:p w14:paraId="629E88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Модернизировать в 1940 г. в направлении заводского снаряжения и повышения чувствительности.</w:t>
            </w:r>
          </w:p>
          <w:p w14:paraId="76D579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Модернизировать в 1940 г. в направлении герметизации и заводского снаряжения</w:t>
            </w:r>
          </w:p>
          <w:p w14:paraId="76B5CC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Сохранить запас, вновь не производить.</w:t>
            </w:r>
          </w:p>
          <w:p w14:paraId="37602E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Использовать запас, вновь не производить.</w:t>
            </w:r>
          </w:p>
          <w:p w14:paraId="7FD8A9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Утвердить чертежи на валовое производство к 1.7.40 г.</w:t>
            </w:r>
          </w:p>
        </w:tc>
      </w:tr>
    </w:tbl>
    <w:p w14:paraId="35C403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Приложение № 4 </w:t>
      </w:r>
      <w:r w:rsidRPr="00DB5D0D">
        <w:rPr>
          <w:rFonts w:ascii="Times New Roman" w:hAnsi="Times New Roman"/>
          <w:iCs/>
          <w:color w:val="000000" w:themeColor="text1"/>
          <w:sz w:val="16"/>
          <w:szCs w:val="16"/>
        </w:rPr>
        <w:t>Перечень опытных образцов сухопутных мин заграждения и средств минирования'</w:t>
      </w:r>
    </w:p>
    <w:tbl>
      <w:tblPr>
        <w:tblW w:w="0" w:type="auto"/>
        <w:tblInd w:w="40" w:type="dxa"/>
        <w:tblLayout w:type="fixed"/>
        <w:tblCellMar>
          <w:left w:w="40" w:type="dxa"/>
          <w:right w:w="40" w:type="dxa"/>
        </w:tblCellMar>
        <w:tblLook w:val="0000" w:firstRow="0" w:lastRow="0" w:firstColumn="0" w:lastColumn="0" w:noHBand="0" w:noVBand="0"/>
      </w:tblPr>
      <w:tblGrid>
        <w:gridCol w:w="418"/>
        <w:gridCol w:w="3667"/>
        <w:gridCol w:w="2818"/>
      </w:tblGrid>
      <w:tr w:rsidR="007D5DF8" w:rsidRPr="00DB5D0D" w14:paraId="628F161B" w14:textId="77777777" w:rsidTr="009223E5">
        <w:trPr>
          <w:cantSplit/>
          <w:trHeight w:val="442"/>
        </w:trPr>
        <w:tc>
          <w:tcPr>
            <w:tcW w:w="418" w:type="dxa"/>
            <w:tcBorders>
              <w:top w:val="single" w:sz="6" w:space="0" w:color="auto"/>
              <w:left w:val="single" w:sz="6" w:space="0" w:color="auto"/>
              <w:bottom w:val="single" w:sz="6" w:space="0" w:color="auto"/>
              <w:right w:val="single" w:sz="6" w:space="0" w:color="auto"/>
            </w:tcBorders>
            <w:shd w:val="clear" w:color="auto" w:fill="FFFFFF"/>
          </w:tcPr>
          <w:p w14:paraId="3BC039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п/и</w:t>
            </w:r>
          </w:p>
        </w:tc>
        <w:tc>
          <w:tcPr>
            <w:tcW w:w="3667" w:type="dxa"/>
            <w:tcBorders>
              <w:top w:val="single" w:sz="6" w:space="0" w:color="auto"/>
              <w:left w:val="single" w:sz="6" w:space="0" w:color="auto"/>
              <w:bottom w:val="single" w:sz="6" w:space="0" w:color="auto"/>
              <w:right w:val="single" w:sz="6" w:space="0" w:color="auto"/>
            </w:tcBorders>
            <w:shd w:val="clear" w:color="auto" w:fill="FFFFFF"/>
          </w:tcPr>
          <w:p w14:paraId="5870A5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Наимепование и краткая характеристика</w:t>
            </w:r>
          </w:p>
        </w:tc>
        <w:tc>
          <w:tcPr>
            <w:tcW w:w="2818" w:type="dxa"/>
            <w:tcBorders>
              <w:top w:val="single" w:sz="6" w:space="0" w:color="auto"/>
              <w:left w:val="single" w:sz="6" w:space="0" w:color="auto"/>
              <w:bottom w:val="single" w:sz="6" w:space="0" w:color="auto"/>
              <w:right w:val="single" w:sz="6" w:space="0" w:color="auto"/>
            </w:tcBorders>
            <w:shd w:val="clear" w:color="auto" w:fill="FFFFFF"/>
          </w:tcPr>
          <w:p w14:paraId="749711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Предложепия</w:t>
            </w:r>
          </w:p>
        </w:tc>
      </w:tr>
      <w:tr w:rsidR="007D5DF8" w:rsidRPr="00DB5D0D" w14:paraId="421469E4" w14:textId="77777777" w:rsidTr="009223E5">
        <w:trPr>
          <w:cantSplit/>
          <w:trHeight w:val="4416"/>
        </w:trPr>
        <w:tc>
          <w:tcPr>
            <w:tcW w:w="418" w:type="dxa"/>
            <w:tcBorders>
              <w:top w:val="single" w:sz="6" w:space="0" w:color="auto"/>
              <w:left w:val="single" w:sz="6" w:space="0" w:color="auto"/>
              <w:bottom w:val="single" w:sz="6" w:space="0" w:color="auto"/>
              <w:right w:val="single" w:sz="6" w:space="0" w:color="auto"/>
            </w:tcBorders>
            <w:shd w:val="clear" w:color="auto" w:fill="FFFFFF"/>
          </w:tcPr>
          <w:p w14:paraId="265003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w:t>
            </w:r>
          </w:p>
          <w:p w14:paraId="669FF2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p w14:paraId="211939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p w14:paraId="5FCD33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p w14:paraId="5E49A7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p w14:paraId="4AB26E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p w14:paraId="3A3364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p w14:paraId="60B47B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p w14:paraId="06EF9A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p w14:paraId="30F7B6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p w14:paraId="2A19A6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11. 12.</w:t>
            </w:r>
          </w:p>
        </w:tc>
        <w:tc>
          <w:tcPr>
            <w:tcW w:w="3667" w:type="dxa"/>
            <w:tcBorders>
              <w:top w:val="single" w:sz="6" w:space="0" w:color="auto"/>
              <w:left w:val="single" w:sz="6" w:space="0" w:color="auto"/>
              <w:bottom w:val="single" w:sz="6" w:space="0" w:color="auto"/>
              <w:right w:val="single" w:sz="6" w:space="0" w:color="auto"/>
            </w:tcBorders>
            <w:shd w:val="clear" w:color="auto" w:fill="FFFFFF"/>
          </w:tcPr>
          <w:p w14:paraId="35165A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ОЗМ-152 Осколочно-заградительная мина </w:t>
            </w:r>
            <w:r w:rsidRPr="00DB5D0D">
              <w:rPr>
                <w:rFonts w:ascii="Times New Roman" w:hAnsi="Times New Roman"/>
                <w:color w:val="000000" w:themeColor="text1"/>
                <w:sz w:val="16"/>
                <w:szCs w:val="16"/>
              </w:rPr>
              <w:t>Предназначается для минирования местности против пехоты. Устанавливается в грунт на глубину 1,0 м. Взрывается на высоте 0,5 м. Радиус сплошного поражения ок. 30 м. Вес мины 50 кг, заряд — 7 кг</w:t>
            </w:r>
          </w:p>
          <w:p w14:paraId="35A8B7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Полевая мина заграждения металлическая </w:t>
            </w:r>
            <w:r w:rsidRPr="00DB5D0D">
              <w:rPr>
                <w:rFonts w:ascii="Times New Roman" w:hAnsi="Times New Roman"/>
                <w:color w:val="000000" w:themeColor="text1"/>
                <w:sz w:val="16"/>
                <w:szCs w:val="16"/>
              </w:rPr>
              <w:t>Предназначается для минирования местности против танков. Может регулироваться при установке и на действие против пехоты. Взрывается от нажима гусеницы танка.Вес заряда 3,0—3,5 кг. Общий вес 5—7 кг. Форма цилиндрическая. Диаметр ок. 300 мм, высота не более 90 мм</w:t>
            </w:r>
          </w:p>
          <w:p w14:paraId="2498C8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Полевая мина неметаллическая </w:t>
            </w:r>
            <w:r w:rsidRPr="00DB5D0D">
              <w:rPr>
                <w:rFonts w:ascii="Times New Roman" w:hAnsi="Times New Roman"/>
                <w:color w:val="000000" w:themeColor="text1"/>
                <w:sz w:val="16"/>
                <w:szCs w:val="16"/>
              </w:rPr>
              <w:t>Назначение и характеристика те же, что и по п. 2, но мина должна обладать дополнительным свойством — не обнаруживаться миноискателями</w:t>
            </w:r>
          </w:p>
          <w:p w14:paraId="143E34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Противотанковая магнитная мина </w:t>
            </w:r>
            <w:r w:rsidRPr="00DB5D0D">
              <w:rPr>
                <w:rFonts w:ascii="Times New Roman" w:hAnsi="Times New Roman"/>
                <w:color w:val="000000" w:themeColor="text1"/>
                <w:sz w:val="16"/>
                <w:szCs w:val="16"/>
              </w:rPr>
              <w:t>Предназначается для минирования местности против танков. Устанавливается в грунт на глубину 0,5 м. Взрывается при помощи магнитного замыкателя, находящихся в мине и замыкающего ток цепи мины при приближении танка. Вес заряда 5—10 кг</w:t>
            </w:r>
          </w:p>
          <w:p w14:paraId="3169F2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Железнодорожная мина</w:t>
            </w:r>
          </w:p>
          <w:p w14:paraId="489181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Предназначается для установки в полотно железной дороги на глубину 1,5—2,0 м. Взрывается через установленный срок (до 35 суток под проходящим поездом от сотрясения грунта). Вес заряда 1,0—1,5 кг. Дополнительный заряд — по расчету добавляется на месте</w:t>
            </w:r>
          </w:p>
          <w:p w14:paraId="1117FF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Взрыватель для полевых фугасов и сюрпризов </w:t>
            </w:r>
            <w:r w:rsidRPr="00DB5D0D">
              <w:rPr>
                <w:rFonts w:ascii="Times New Roman" w:hAnsi="Times New Roman"/>
                <w:color w:val="000000" w:themeColor="text1"/>
                <w:sz w:val="16"/>
                <w:szCs w:val="16"/>
              </w:rPr>
              <w:t>Предназначается для устройства фугасов и сюрпризов из табельных подрывных средств силами войск. Должен быть герметичен и позволять устройство фугасов, как нажимного, как и натяжного действия</w:t>
            </w:r>
          </w:p>
          <w:p w14:paraId="60BCC1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Заводское снаряжение противотанковых мин ТМ-35 — взамен существующего снаряжения на складах.</w:t>
            </w:r>
          </w:p>
          <w:p w14:paraId="444B98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Модернизация упрощенных взрывателей для мин ТМ-35 в направлении герметизации и заводского снаряжения.</w:t>
            </w:r>
          </w:p>
          <w:p w14:paraId="231A56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Противопехотные мины металлические ПММ-3, ПММ-4, ПММ-5 конструкции КБ-30 НКБ </w:t>
            </w:r>
            <w:r w:rsidRPr="00DB5D0D">
              <w:rPr>
                <w:rFonts w:ascii="Times New Roman" w:hAnsi="Times New Roman"/>
                <w:color w:val="000000" w:themeColor="text1"/>
                <w:sz w:val="16"/>
                <w:szCs w:val="16"/>
              </w:rPr>
              <w:t>Предназначается для минирования местности против пехоты. Нажимного действия. Вес заряда 0,2—0,4 кг</w:t>
            </w:r>
          </w:p>
          <w:p w14:paraId="44682B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Противопехотные мины деревянные ПДМ-1 и ПДМ-2 </w:t>
            </w:r>
            <w:r w:rsidRPr="00DB5D0D">
              <w:rPr>
                <w:rFonts w:ascii="Times New Roman" w:hAnsi="Times New Roman"/>
                <w:color w:val="000000" w:themeColor="text1"/>
                <w:sz w:val="16"/>
                <w:szCs w:val="16"/>
              </w:rPr>
              <w:t>Предназначается для минирования местности против пехоты. Нажимного действия. Вес заряда 0,2 кг (Табельная толовая шашка)</w:t>
            </w:r>
          </w:p>
          <w:p w14:paraId="6B6807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Мина замедленного действия на 35 суток </w:t>
            </w:r>
            <w:r w:rsidRPr="00DB5D0D">
              <w:rPr>
                <w:rFonts w:ascii="Times New Roman" w:hAnsi="Times New Roman"/>
                <w:color w:val="000000" w:themeColor="text1"/>
                <w:sz w:val="16"/>
                <w:szCs w:val="16"/>
              </w:rPr>
              <w:t>Назначается для минирования сооружений с замедлением до 35 суток. Проектируется на базе существующего 35-ти суточного замыкателя</w:t>
            </w:r>
          </w:p>
          <w:p w14:paraId="10E3F7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Часовой взрыватель для мин замедленного действия </w:t>
            </w:r>
            <w:r w:rsidRPr="00DB5D0D">
              <w:rPr>
                <w:rFonts w:ascii="Times New Roman" w:hAnsi="Times New Roman"/>
                <w:color w:val="000000" w:themeColor="text1"/>
                <w:sz w:val="16"/>
                <w:szCs w:val="16"/>
              </w:rPr>
              <w:t>Назначается для установки подрывных и зажигательных мин. Замедление не менее 16 суток. Малогабаритный на базе механизма карманных часов</w:t>
            </w:r>
          </w:p>
        </w:tc>
        <w:tc>
          <w:tcPr>
            <w:tcW w:w="2818" w:type="dxa"/>
            <w:tcBorders>
              <w:top w:val="single" w:sz="6" w:space="0" w:color="auto"/>
              <w:left w:val="single" w:sz="6" w:space="0" w:color="auto"/>
              <w:bottom w:val="single" w:sz="6" w:space="0" w:color="auto"/>
              <w:right w:val="single" w:sz="6" w:space="0" w:color="auto"/>
            </w:tcBorders>
            <w:shd w:val="clear" w:color="auto" w:fill="FFFFFF"/>
          </w:tcPr>
          <w:p w14:paraId="148ACD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изготовить в 1940 г. установочную партию в 50 000 штук.</w:t>
            </w:r>
          </w:p>
          <w:p w14:paraId="2C003E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разработку опытных образцов и провести полигонные и войсковые испытания к 1.9.40 г. Изготовить к 1.8.40 г. опытную серию в количестве 10 000 штук.</w:t>
            </w:r>
          </w:p>
          <w:p w14:paraId="205D71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закончить разработку опытных образцов к 1.7.40 г. Провести полигонные и войсковые испытания к 1.10.40 г. Изготовить опытную серию к 1.9.40 г. в количестве 10000 штук.</w:t>
            </w:r>
          </w:p>
          <w:p w14:paraId="3BC8D3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разработать опытные образцы и провести полигонные испытания в 1940 г.</w:t>
            </w:r>
          </w:p>
          <w:p w14:paraId="227431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в 1940 г. разработать опытные образцы и провести полигонные испытания и войсковые испытания.</w:t>
            </w:r>
          </w:p>
          <w:p w14:paraId="5E8D9E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и УММВ разработать опытные образцы к 1.9.40 г. Провести полигонные и войсковые испытания к 1.1.41 г. Изготовить в 1940 г. опытные серии в количестве 20 000 штук.</w:t>
            </w:r>
          </w:p>
          <w:p w14:paraId="79F8E5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к 1.8.40 г. организовать заводское снаряжение ТМ-35.</w:t>
            </w:r>
          </w:p>
          <w:p w14:paraId="5C896D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 организовать производство модернизированных УВ с 1 июля 1940 г.</w:t>
            </w:r>
          </w:p>
          <w:p w14:paraId="1F3D16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Изготовить в 1940 г. установочные партии противопехотных мин на заводах Юга и Юго-Запада СССР по 2000 штук.</w:t>
            </w:r>
          </w:p>
          <w:p w14:paraId="05871A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Принять как резервное средство вооружения.</w:t>
            </w:r>
          </w:p>
          <w:p w14:paraId="2B22AF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Изготовить в 1940 г. установочные партии деревянных мин по 5000 шт. на одном заводе Ленинграда и на двух заводах БССР.</w:t>
            </w:r>
          </w:p>
          <w:p w14:paraId="6CB87F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Принять как резервное средство вооружения.</w:t>
            </w:r>
          </w:p>
          <w:p w14:paraId="7D1018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НКОМ к 1.10.40 г. разработать опытные образцы УММВ провести полигонные испытания к1.1.41 г.</w:t>
            </w:r>
          </w:p>
          <w:p w14:paraId="6D827D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НКОМ разработать и изготовить опытные образцы в 1940 г.</w:t>
            </w:r>
          </w:p>
        </w:tc>
      </w:tr>
    </w:tbl>
    <w:p w14:paraId="242F2F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 4. Оп. 14. Д. 2687. Л. 91—99. Подлинник (11773).</w:t>
      </w:r>
    </w:p>
    <w:p w14:paraId="412D4D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2024B4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D0E328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4B5B2E0"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мая в 1940 году совершил первый полёт прототипа французского легкого истребителя </w:t>
      </w:r>
      <w:hyperlink r:id="rId9" w:tgtFrame="_blank" w:history="1">
        <w:r w:rsidRPr="00DB5D0D">
          <w:rPr>
            <w:rFonts w:ascii="Times New Roman" w:hAnsi="Times New Roman"/>
            <w:color w:val="000000" w:themeColor="text1"/>
            <w:sz w:val="16"/>
            <w:szCs w:val="16"/>
          </w:rPr>
          <w:t>«VG.39.01».</w:t>
        </w:r>
      </w:hyperlink>
    </w:p>
    <w:p w14:paraId="199C0495" w14:textId="77777777" w:rsidR="00BE4B1C" w:rsidRPr="00DB5D0D" w:rsidRDefault="00BE4B1C" w:rsidP="00DB5D0D">
      <w:pPr>
        <w:spacing w:after="0" w:line="240" w:lineRule="auto"/>
        <w:jc w:val="both"/>
        <w:rPr>
          <w:rFonts w:ascii="Times New Roman" w:hAnsi="Times New Roman"/>
          <w:color w:val="000000" w:themeColor="text1"/>
          <w:sz w:val="16"/>
          <w:szCs w:val="16"/>
        </w:rPr>
      </w:pPr>
    </w:p>
    <w:p w14:paraId="0EA146A7"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мая 1940 - Совершил первый полёт прототипа французского легкого истребителя VG.39.01 фирмы Arsenal. Максимальная скорость самолёта составила 625 км\ч на высоте 5700 метров без потери маневренности и других лётных данных. Пилоты летавшие на VG.39 очень хорошо отзывались о нем, однако слишком быстрое продвижение противника вглубь Франции заставило прервать испытания. Прототип был эвакуирован в Тулуз-Бланьяк и 15 июня 1940 г. он был уничтожен во избежание захвата немецкими войсками (22514).</w:t>
      </w:r>
    </w:p>
    <w:p w14:paraId="5C2030FC" w14:textId="77777777" w:rsidR="00E47DED" w:rsidRPr="00DB5D0D" w:rsidRDefault="00E47DED" w:rsidP="00DB5D0D">
      <w:pPr>
        <w:spacing w:after="0" w:line="240" w:lineRule="auto"/>
        <w:jc w:val="both"/>
        <w:rPr>
          <w:rFonts w:ascii="Times New Roman" w:hAnsi="Times New Roman"/>
          <w:color w:val="0070C0"/>
          <w:sz w:val="16"/>
          <w:szCs w:val="16"/>
        </w:rPr>
      </w:pPr>
    </w:p>
    <w:p w14:paraId="11688D5E"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немецкие войска захватили в Норвегии единственные в мире мощности по производству тяжелой воды и начали ее производства для своего уранового проекта (2221).</w:t>
      </w:r>
    </w:p>
    <w:p w14:paraId="7303FC54" w14:textId="77777777" w:rsidR="00BE4B1C" w:rsidRPr="00DB5D0D" w:rsidRDefault="00BE4B1C" w:rsidP="00DB5D0D">
      <w:pPr>
        <w:spacing w:after="0" w:line="240" w:lineRule="auto"/>
        <w:jc w:val="both"/>
        <w:rPr>
          <w:rFonts w:ascii="Times New Roman" w:hAnsi="Times New Roman"/>
          <w:color w:val="000000" w:themeColor="text1"/>
          <w:sz w:val="16"/>
          <w:szCs w:val="16"/>
        </w:rPr>
      </w:pPr>
    </w:p>
    <w:p w14:paraId="7AF410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пронацистски настроенный майор Квислинг стал лидером Норвегии, а король Хаакон эмигрировал (2244,2).</w:t>
      </w:r>
    </w:p>
    <w:p w14:paraId="002FFDD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29B78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в Северном море немцы затопили первый французский военный корабль - эсминец «Визон» (4962).</w:t>
      </w:r>
    </w:p>
    <w:p w14:paraId="7771DBF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61107A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Гренландия обратилась к США за военной защитой (4962).</w:t>
      </w:r>
    </w:p>
    <w:p w14:paraId="3660231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12EAF0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6FE581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68575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вышло постановление КО N 190 "О постановке серийного производства самолетов ББ-1 на заводах 31 и 207" об организации производства на заводе 207 и 31 ББ-1 с М-88, а по постановлению КО N 23 от 11 января 1940 это должно было быть сделано на 135 заводе (725,12).</w:t>
      </w:r>
    </w:p>
    <w:p w14:paraId="390987D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AE4523"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в 1940 году вышло постановление КО при СНК СССР о постановке серийного производства самолетов «ББ-1» на заводах №31 и 207 (14881).</w:t>
      </w:r>
    </w:p>
    <w:p w14:paraId="619F225C" w14:textId="77777777" w:rsidR="00BE4B1C" w:rsidRPr="00DB5D0D" w:rsidRDefault="00BE4B1C" w:rsidP="00DB5D0D">
      <w:pPr>
        <w:spacing w:after="0" w:line="240" w:lineRule="auto"/>
        <w:jc w:val="both"/>
        <w:rPr>
          <w:rFonts w:ascii="Times New Roman" w:hAnsi="Times New Roman"/>
          <w:color w:val="000000" w:themeColor="text1"/>
          <w:sz w:val="16"/>
          <w:szCs w:val="16"/>
        </w:rPr>
      </w:pPr>
    </w:p>
    <w:p w14:paraId="30F60A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4 мая 1940 года вышло постановление № 190сс КО О постановке серийного производства самолетов ББ-1 на заводах №№ 31 и 207 в 1940 году (7595, 55).</w:t>
      </w:r>
    </w:p>
    <w:p w14:paraId="6A044D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Комитет КО при СНК СССР постановляет:</w:t>
      </w:r>
    </w:p>
    <w:p w14:paraId="422BE7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Наркомфин СССР выделить НКАП из резервного фонда СНК СССР на постановку серийного производства самолета ББ-1 - 14,7 млн. руб., в т.ч.: для завода № 207 7,6 млн. руб., а для завода № 31 - 7,1 млн. руб.</w:t>
      </w:r>
    </w:p>
    <w:p w14:paraId="296C9A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Поручить Мособлисполкому отвести з-ду № 207 в непосредственной близости к нему участок для аэродрома за счет земель, ранее выделенных ГУГВФ.</w:t>
      </w:r>
    </w:p>
    <w:p w14:paraId="46649E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НКСтрой закончить все строительные работы и сдать в эксплуатацию на заводе № 31 (г. Таганрог) следующие объекты:</w:t>
      </w:r>
    </w:p>
    <w:p w14:paraId="1D1F68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кузницу и литейную</w:t>
      </w:r>
      <w:r w:rsidRPr="00DB5D0D">
        <w:rPr>
          <w:rFonts w:ascii="Times New Roman" w:hAnsi="Times New Roman"/>
          <w:color w:val="000000" w:themeColor="text1"/>
          <w:sz w:val="16"/>
          <w:szCs w:val="16"/>
        </w:rPr>
        <w:tab/>
        <w:t>к 1 октября 1940</w:t>
      </w:r>
    </w:p>
    <w:p w14:paraId="58F08F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газогенераторную для кузницы</w:t>
      </w:r>
      <w:r w:rsidRPr="00DB5D0D">
        <w:rPr>
          <w:rFonts w:ascii="Times New Roman" w:hAnsi="Times New Roman"/>
          <w:color w:val="000000" w:themeColor="text1"/>
          <w:sz w:val="16"/>
          <w:szCs w:val="16"/>
        </w:rPr>
        <w:tab/>
        <w:t>к 1 октября 1940</w:t>
      </w:r>
    </w:p>
    <w:p w14:paraId="1FBB8A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баково-протекторный цех</w:t>
      </w:r>
      <w:r w:rsidRPr="00DB5D0D">
        <w:rPr>
          <w:rFonts w:ascii="Times New Roman" w:hAnsi="Times New Roman"/>
          <w:color w:val="000000" w:themeColor="text1"/>
          <w:sz w:val="16"/>
          <w:szCs w:val="16"/>
        </w:rPr>
        <w:tab/>
        <w:t>к 25 мая 1940</w:t>
      </w:r>
    </w:p>
    <w:p w14:paraId="78AF41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главный корпус</w:t>
      </w:r>
      <w:r w:rsidRPr="00DB5D0D">
        <w:rPr>
          <w:rFonts w:ascii="Times New Roman" w:hAnsi="Times New Roman"/>
          <w:color w:val="000000" w:themeColor="text1"/>
          <w:sz w:val="16"/>
          <w:szCs w:val="16"/>
        </w:rPr>
        <w:tab/>
        <w:t>к 1 июля 1940</w:t>
      </w:r>
    </w:p>
    <w:p w14:paraId="766BBF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новые перекрытия под 5000-тонным прессом</w:t>
      </w:r>
      <w:r w:rsidRPr="00DB5D0D">
        <w:rPr>
          <w:rFonts w:ascii="Times New Roman" w:hAnsi="Times New Roman"/>
          <w:color w:val="000000" w:themeColor="text1"/>
          <w:sz w:val="16"/>
          <w:szCs w:val="16"/>
        </w:rPr>
        <w:tab/>
        <w:t>к 25 мая 1940</w:t>
      </w:r>
    </w:p>
    <w:p w14:paraId="1E9E00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НКАП - тов. Шахурина А.И. выделить под отчет в распоряжение директоров заводов № 207 и 31 по 2 млн. руб. на премирование конструкторов, ИТР, рабочих и служащих за своевременное внедрение в производство самолета ББ-1, за счет средств, предусмотренных на премирование по финплану НКАП на 1940 (10395)</w:t>
      </w:r>
    </w:p>
    <w:p w14:paraId="2E85B2C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B4C84A"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мая 1940 вышло Постановление Комитета обороны при СНК СССР №190сс "О постановке серийного производства самолетов ББ-1 на заводах № 31 и № 207 в 1940 г."</w:t>
      </w:r>
    </w:p>
    <w:p w14:paraId="4574950D"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ОБОРОНЫ при CHK СОЗА ССР ПОСТАНОВЛЯЕТ:</w:t>
      </w:r>
    </w:p>
    <w:p w14:paraId="2486E938"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Обязать Наркомфин CCСР выделить Наркомавиапрому из резервного фонда СНК СССР на постановку серийного производства само лета ББ-1 - 14,7 млн. руб., в том числе: для завода № 207 - 7,6 млн. руб.и для завода № 31 - 7,1 млн. руб.</w:t>
      </w:r>
    </w:p>
    <w:p w14:paraId="66ADC67C"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Поручить Мособлисполкому отвести заводу № 207 в непосредственной близости к нему участок для аэродрома за счет земель, ра</w:t>
      </w:r>
      <w:r w:rsidRPr="00DB5D0D">
        <w:rPr>
          <w:rFonts w:ascii="Times New Roman" w:hAnsi="Times New Roman"/>
          <w:color w:val="0070C0"/>
          <w:sz w:val="16"/>
          <w:szCs w:val="16"/>
        </w:rPr>
        <w:softHyphen/>
        <w:t>нее выделенных УГВФ.</w:t>
      </w:r>
    </w:p>
    <w:p w14:paraId="33A46547"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Обязать Наркомстрой СССР закончить все строительные, элероремонтные работы и сдать в эксплоатацаю на заводе № 31 (г.Таганрог) следующие об’е-сты:</w:t>
      </w:r>
    </w:p>
    <w:p w14:paraId="44CE33A7"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кузницу и литейную</w:t>
      </w:r>
    </w:p>
    <w:p w14:paraId="35A065DC"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газогенераторную для кузницы</w:t>
      </w:r>
    </w:p>
    <w:p w14:paraId="65707ABE"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баково-протекторный цех</w:t>
      </w:r>
    </w:p>
    <w:p w14:paraId="2721B25A"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главный корпус</w:t>
      </w:r>
      <w:r w:rsidRPr="00DB5D0D">
        <w:rPr>
          <w:rFonts w:ascii="Times New Roman" w:hAnsi="Times New Roman"/>
          <w:color w:val="0070C0"/>
          <w:sz w:val="16"/>
          <w:szCs w:val="16"/>
        </w:rPr>
        <w:tab/>
        <w:t>к 1 июля 1940</w:t>
      </w:r>
    </w:p>
    <w:p w14:paraId="52C3ECAD"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новые перекрытия под 5000-тонным прессом</w:t>
      </w:r>
      <w:r w:rsidRPr="00DB5D0D">
        <w:rPr>
          <w:rFonts w:ascii="Times New Roman" w:hAnsi="Times New Roman"/>
          <w:color w:val="0070C0"/>
          <w:sz w:val="16"/>
          <w:szCs w:val="16"/>
        </w:rPr>
        <w:tab/>
        <w:t>к 25 мая 1940</w:t>
      </w:r>
    </w:p>
    <w:p w14:paraId="415B9BB7"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Обязать НКАП - тов. Шахурина А.И. выделить под отчет в распоряжение директоров заводов №№ 207 и 31 по 2 млн.руб. на премирование конструкторов, ИТР, рабочих и служащих за своевременное внедрение в производство самолета ББ-1, за счет средств, предусмотренных на премирование по финплану Наркомавиапрома на 1940 год (21896).</w:t>
      </w:r>
    </w:p>
    <w:p w14:paraId="72718069" w14:textId="77777777" w:rsidR="00E47DED" w:rsidRPr="00DB5D0D" w:rsidRDefault="00E47DED" w:rsidP="00DB5D0D">
      <w:pPr>
        <w:spacing w:after="0" w:line="240" w:lineRule="auto"/>
        <w:jc w:val="both"/>
        <w:rPr>
          <w:rFonts w:ascii="Times New Roman" w:hAnsi="Times New Roman"/>
          <w:color w:val="0070C0"/>
          <w:sz w:val="16"/>
          <w:szCs w:val="16"/>
        </w:rPr>
      </w:pPr>
    </w:p>
    <w:p w14:paraId="5A2816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4-го мая 1940 вышло постановление Комитета обороны о постановке серийного производства бомбардировщика ББ-1 на заводах в Таганроге и Долгопрудном (12028).</w:t>
      </w:r>
    </w:p>
    <w:p w14:paraId="4F05F50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9695BE" w14:textId="77777777" w:rsidR="00977FEB" w:rsidRPr="00DB5D0D" w:rsidRDefault="00977FEB" w:rsidP="00DB5D0D">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4 и 5 мая 1940 состоялись обсуждения предложений подкомиссии по развитию системы вооружений ВВС КА на трехлет</w:t>
      </w:r>
      <w:r w:rsidRPr="00DB5D0D">
        <w:rPr>
          <w:rFonts w:ascii="Times New Roman" w:hAnsi="Times New Roman" w:cs="Times New Roman"/>
          <w:color w:val="000000" w:themeColor="text1"/>
          <w:sz w:val="16"/>
          <w:szCs w:val="16"/>
        </w:rPr>
        <w:softHyphen/>
        <w:t>ний период. Докладывал начальник ГУАС КА комдив Алексеев. После завершения работы комиссии обобщенные материалы были направлены наркому обороны и в 5-й отдел секретариата Комитета Обороны.</w:t>
      </w:r>
    </w:p>
    <w:p w14:paraId="55FB5F55" w14:textId="77777777" w:rsidR="00977FEB" w:rsidRPr="00DB5D0D" w:rsidRDefault="00977FEB" w:rsidP="00DB5D0D">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Исходя из материалов работы ГВС КА и последующей переписки, облик перспективного штурмовика для ВВС КА на тот момент виделся примерно таким. Самолет должен быть одномоторным одноместным бронированным с мак</w:t>
      </w:r>
      <w:r w:rsidRPr="00DB5D0D">
        <w:rPr>
          <w:rFonts w:ascii="Times New Roman" w:hAnsi="Times New Roman" w:cs="Times New Roman"/>
          <w:color w:val="000000" w:themeColor="text1"/>
          <w:sz w:val="16"/>
          <w:szCs w:val="16"/>
        </w:rPr>
        <w:softHyphen/>
        <w:t>симальной скоростью полета у земли 500-550 км/ч и скоростной дальностью полета 800 км, вооружение: 1-2 пушки калибра 23 мм, 2-4 пулемета калибра 7,62 мм, 250-300 кг бомб (в перегрузку 500-600 кг), 10 ракетных орудий РО-132 (или РО-82).</w:t>
      </w:r>
    </w:p>
    <w:p w14:paraId="27851A65" w14:textId="77777777" w:rsidR="00977FEB" w:rsidRPr="00DB5D0D" w:rsidRDefault="00977FEB" w:rsidP="00DB5D0D">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Основным мотором считался фор</w:t>
      </w:r>
      <w:r w:rsidRPr="00DB5D0D">
        <w:rPr>
          <w:rFonts w:ascii="Times New Roman" w:hAnsi="Times New Roman" w:cs="Times New Roman"/>
          <w:color w:val="000000" w:themeColor="text1"/>
          <w:sz w:val="16"/>
          <w:szCs w:val="16"/>
        </w:rPr>
        <w:softHyphen/>
        <w:t>сированный у земли мотор воздушного охлаждения, как более живучий при по</w:t>
      </w:r>
      <w:r w:rsidRPr="00DB5D0D">
        <w:rPr>
          <w:rFonts w:ascii="Times New Roman" w:hAnsi="Times New Roman" w:cs="Times New Roman"/>
          <w:color w:val="000000" w:themeColor="text1"/>
          <w:sz w:val="16"/>
          <w:szCs w:val="16"/>
        </w:rPr>
        <w:softHyphen/>
        <w:t>ражении, по сравнению с мотором жид</w:t>
      </w:r>
      <w:r w:rsidRPr="00DB5D0D">
        <w:rPr>
          <w:rFonts w:ascii="Times New Roman" w:hAnsi="Times New Roman" w:cs="Times New Roman"/>
          <w:color w:val="000000" w:themeColor="text1"/>
          <w:sz w:val="16"/>
          <w:szCs w:val="16"/>
        </w:rPr>
        <w:softHyphen/>
        <w:t>костного охлаждения. Бензобак должен иметь надежный протектор и в полете заполняться нейтральными газами. Летчик и бензобак - бронировались. Защита - от бронебойных пуль нормального калибра и частично крупного калибра - 12-13 мм, и осколков зенитных снарядов. Козырек и заголовник летчика выполняются из прозрачной брони.</w:t>
      </w:r>
    </w:p>
    <w:p w14:paraId="3852585A" w14:textId="77777777" w:rsidR="00977FEB" w:rsidRPr="00DB5D0D" w:rsidRDefault="00977FEB" w:rsidP="00DB5D0D">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При вооружении штурмовика двумя крыльевыми пушками предполагалось иметь два синхронных пулемета, а в случае установки одной пушки («через вал редуктора») - четыре пулемета в крыле. Боезапас к пушкам составлял 120-150 снарядов, а к пулеметам - по 750-1000 патронов на ствол.</w:t>
      </w:r>
    </w:p>
    <w:p w14:paraId="4A144F5C" w14:textId="77777777" w:rsidR="00977FEB" w:rsidRPr="00DB5D0D" w:rsidRDefault="00977FEB" w:rsidP="00DB5D0D">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Стандартный комплект бомбовой нагрузки включал: осколочные бомбы</w:t>
      </w:r>
    </w:p>
    <w:p w14:paraId="08354E06" w14:textId="77777777" w:rsidR="00977FEB" w:rsidRPr="00DB5D0D" w:rsidRDefault="00977FEB" w:rsidP="00DB5D0D">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калибров от 2,5 до 25 кг (АО-2,5, АО-8, АО-Ю, А0-20, АО-25), химические ампулы АЖ-2 (в том числе снаряженные специальными зажигательными смесями), фугасные бомбы ФАБ-100 и ФАБ-250, химические бомбы ХАБ-25,ХАБ-100 и ХАБ-200, а также выливные и универсаль</w:t>
      </w:r>
      <w:r w:rsidRPr="00DB5D0D">
        <w:rPr>
          <w:rFonts w:ascii="Times New Roman" w:hAnsi="Times New Roman" w:cs="Times New Roman"/>
          <w:color w:val="000000" w:themeColor="text1"/>
          <w:sz w:val="16"/>
          <w:szCs w:val="16"/>
        </w:rPr>
        <w:softHyphen/>
        <w:t>ные химические авиаприборы ВАП-200 и УХАП-250.</w:t>
      </w:r>
    </w:p>
    <w:p w14:paraId="7FFEE83C" w14:textId="77777777" w:rsidR="00977FEB" w:rsidRPr="00DB5D0D" w:rsidRDefault="00977FEB" w:rsidP="00DB5D0D">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Реактивное вооружение состояло из ракетных снарядов РОФС-132 с оско- лочно-фугасной боевой частью калибра 132 мм. В ближайшей перспективе предполагалось поставить на вооружение зажигательные и бронебойные ракетные снаряды калибра 82 и 132 мм.</w:t>
      </w:r>
    </w:p>
    <w:p w14:paraId="71203E81" w14:textId="77777777" w:rsidR="00977FEB" w:rsidRPr="00DB5D0D" w:rsidRDefault="00977FEB" w:rsidP="00DB5D0D">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Отметим, что к этому времени из трех имеющихся опытных автоматов калибра 23 мм - ПТБ-23 (Таубина-Бабурина), ТКБ-198 (Салищева-Галкина), ТКБ-201 (Волкова-Ярцева), наилучшие результаты показывала пушка ПТБ-23. Она оказалась самой легкой, компактной и наиболее доведенной при сопоставимых балли</w:t>
      </w:r>
      <w:r w:rsidRPr="00DB5D0D">
        <w:rPr>
          <w:rFonts w:ascii="Times New Roman" w:hAnsi="Times New Roman" w:cs="Times New Roman"/>
          <w:color w:val="000000" w:themeColor="text1"/>
          <w:sz w:val="16"/>
          <w:szCs w:val="16"/>
        </w:rPr>
        <w:softHyphen/>
        <w:t>стических данных и темпе стрельбы. В ее конструкцию были заложены наиболее прогрессивные на тот момент технические решения. В ходе доводки пушки (вариант МП-6) темп стрельбы удалось обеспечить на уровне 600-610 выстр/мин при сохранении исходной баллистики. Важно, что в отличие от пушек тульских конструк</w:t>
      </w:r>
      <w:r w:rsidRPr="00DB5D0D">
        <w:rPr>
          <w:rFonts w:ascii="Times New Roman" w:hAnsi="Times New Roman" w:cs="Times New Roman"/>
          <w:color w:val="000000" w:themeColor="text1"/>
          <w:sz w:val="16"/>
          <w:szCs w:val="16"/>
        </w:rPr>
        <w:softHyphen/>
        <w:t>торов ПТБ-23 при стрельбе оставалась неподвижной. Это упрощало установку пушки на самолет. Именно этой пушкой и планировали в дальнейшем вооружить все перспективные бронированные и скоростные самолеты-штурмовики, в том числе, БШ-2 АМ-35 и ОБШ М-71 (19086).</w:t>
      </w:r>
    </w:p>
    <w:p w14:paraId="7D0ACCAD" w14:textId="77777777" w:rsidR="00977FEB" w:rsidRPr="00DB5D0D" w:rsidRDefault="00977FEB" w:rsidP="00DB5D0D">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p>
    <w:p w14:paraId="225B05C1"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 Болховитинов обратился в наркомат авиапромышленности с предложением поручить ему проектирование тяжелого 4-моторного бомбардировщика с дизельными двигателями, который он брался построить за 15 месяцев.</w:t>
      </w:r>
    </w:p>
    <w:p w14:paraId="18F88F2A"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конструктором была представлена схема этого бомбардировщика, получившего обозначение «Д». Самолет отличался оригинальной компоновкой двигателей на крыле друг за другом, причем задние двигатели с толкающими воздушными винтами оборудовались удлиненным валом. Такая схема обеспечивала более высокие аэродинамические показатели и, соответственно, более современные летные данные. Кроме того, указанная компоновка позволяла компактно разместить системы охлаждения, а при отказе одного из двигателей избавиться от появляющегося при этом разворачивающего момента.</w:t>
      </w:r>
    </w:p>
    <w:p w14:paraId="1298EDC4"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расчетам, бомбардировщик «Д» мог доставить 6 т бомб на дальность 5000 км со скоростью 450—500 км/ч. На высоте 7000 м его максимальная скорость оценивалась в 560 км/ч. Экипаж самолета состоял из 8 человек, оборонительное вооружение включало две пушки калибра 23 мм, три пулемета Березина калибра 12,7 мм и четыре ШКАС 7,62 мм. В десантном варианте предполагалось транспортировать 50 вооруженных бойцов, в транспортном варианте — грузы весом до 7 т.</w:t>
      </w:r>
    </w:p>
    <w:p w14:paraId="0FE631D4"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дополнялся следующими характеристиками и размерами:</w:t>
      </w:r>
    </w:p>
    <w:p w14:paraId="0D123948"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Полная длина (м) 21,7</w:t>
      </w:r>
    </w:p>
    <w:p w14:paraId="0F2C3987"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крыла (м) 34,0</w:t>
      </w:r>
    </w:p>
    <w:p w14:paraId="2EA7B6A0"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(м²) 140</w:t>
      </w:r>
    </w:p>
    <w:p w14:paraId="7315F602"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(кг) 17400</w:t>
      </w:r>
    </w:p>
    <w:p w14:paraId="2C8B9B6C"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Посадочный вес (кг) 18300</w:t>
      </w:r>
    </w:p>
    <w:p w14:paraId="02D638E8"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полетный вес (кг) 23300</w:t>
      </w:r>
    </w:p>
    <w:p w14:paraId="6F51D85F"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Перегрузочный вариант (кг) 27650</w:t>
      </w:r>
    </w:p>
    <w:p w14:paraId="31E6A848"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и многие перспективные разработки других конструкторов, предложенных в 1941 г., проект бомбардировщика «Д» был прекращен разработкой с началом войны (15567).</w:t>
      </w:r>
    </w:p>
    <w:p w14:paraId="78D28E9F" w14:textId="77777777" w:rsidR="00BE4B1C" w:rsidRPr="00DB5D0D" w:rsidRDefault="00BE4B1C" w:rsidP="00DB5D0D">
      <w:pPr>
        <w:spacing w:after="0" w:line="240" w:lineRule="auto"/>
        <w:jc w:val="both"/>
        <w:rPr>
          <w:rFonts w:ascii="Times New Roman" w:hAnsi="Times New Roman"/>
          <w:color w:val="000000" w:themeColor="text1"/>
          <w:sz w:val="16"/>
          <w:szCs w:val="16"/>
        </w:rPr>
      </w:pPr>
    </w:p>
    <w:p w14:paraId="40B65A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была подготовлена Сравнительная таблица основных характеристик бомбардировщиков (2090,96):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134"/>
        <w:gridCol w:w="728"/>
        <w:gridCol w:w="728"/>
        <w:gridCol w:w="728"/>
        <w:gridCol w:w="728"/>
        <w:gridCol w:w="728"/>
        <w:gridCol w:w="728"/>
        <w:gridCol w:w="1160"/>
        <w:gridCol w:w="851"/>
        <w:gridCol w:w="1562"/>
      </w:tblGrid>
      <w:tr w:rsidR="007D5DF8" w:rsidRPr="00DB5D0D" w14:paraId="4A549B29" w14:textId="77777777" w:rsidTr="009223E5">
        <w:tc>
          <w:tcPr>
            <w:tcW w:w="1526" w:type="dxa"/>
            <w:tcBorders>
              <w:top w:val="single" w:sz="12" w:space="0" w:color="auto"/>
            </w:tcBorders>
          </w:tcPr>
          <w:p w14:paraId="2EA7B6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1134" w:type="dxa"/>
            <w:tcBorders>
              <w:top w:val="single" w:sz="12" w:space="0" w:color="auto"/>
            </w:tcBorders>
          </w:tcPr>
          <w:p w14:paraId="7301BF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w:t>
            </w:r>
          </w:p>
        </w:tc>
        <w:tc>
          <w:tcPr>
            <w:tcW w:w="728" w:type="dxa"/>
            <w:tcBorders>
              <w:top w:val="single" w:sz="12" w:space="0" w:color="auto"/>
            </w:tcBorders>
          </w:tcPr>
          <w:p w14:paraId="25295E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w:t>
            </w:r>
          </w:p>
        </w:tc>
        <w:tc>
          <w:tcPr>
            <w:tcW w:w="728" w:type="dxa"/>
            <w:tcBorders>
              <w:top w:val="single" w:sz="12" w:space="0" w:color="auto"/>
            </w:tcBorders>
          </w:tcPr>
          <w:p w14:paraId="3F08A1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w:t>
            </w:r>
          </w:p>
        </w:tc>
        <w:tc>
          <w:tcPr>
            <w:tcW w:w="728" w:type="dxa"/>
            <w:tcBorders>
              <w:top w:val="single" w:sz="12" w:space="0" w:color="auto"/>
            </w:tcBorders>
          </w:tcPr>
          <w:p w14:paraId="491E56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w:t>
            </w:r>
          </w:p>
        </w:tc>
        <w:tc>
          <w:tcPr>
            <w:tcW w:w="728" w:type="dxa"/>
            <w:tcBorders>
              <w:top w:val="single" w:sz="12" w:space="0" w:color="auto"/>
            </w:tcBorders>
          </w:tcPr>
          <w:p w14:paraId="2BDE20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w:t>
            </w:r>
          </w:p>
        </w:tc>
        <w:tc>
          <w:tcPr>
            <w:tcW w:w="728" w:type="dxa"/>
            <w:tcBorders>
              <w:top w:val="single" w:sz="12" w:space="0" w:color="auto"/>
            </w:tcBorders>
          </w:tcPr>
          <w:p w14:paraId="038507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w:t>
            </w:r>
          </w:p>
        </w:tc>
        <w:tc>
          <w:tcPr>
            <w:tcW w:w="728" w:type="dxa"/>
            <w:tcBorders>
              <w:top w:val="single" w:sz="12" w:space="0" w:color="auto"/>
            </w:tcBorders>
          </w:tcPr>
          <w:p w14:paraId="217FCF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w:t>
            </w:r>
          </w:p>
        </w:tc>
        <w:tc>
          <w:tcPr>
            <w:tcW w:w="1160" w:type="dxa"/>
            <w:tcBorders>
              <w:top w:val="single" w:sz="12" w:space="0" w:color="auto"/>
            </w:tcBorders>
          </w:tcPr>
          <w:p w14:paraId="3F36A7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851" w:type="dxa"/>
            <w:tcBorders>
              <w:top w:val="single" w:sz="12" w:space="0" w:color="auto"/>
            </w:tcBorders>
          </w:tcPr>
          <w:p w14:paraId="2EC580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кг/м</w:t>
            </w:r>
          </w:p>
        </w:tc>
        <w:tc>
          <w:tcPr>
            <w:tcW w:w="1562" w:type="dxa"/>
            <w:tcBorders>
              <w:top w:val="single" w:sz="12" w:space="0" w:color="auto"/>
            </w:tcBorders>
          </w:tcPr>
          <w:p w14:paraId="69F07F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кг/нр</w:t>
            </w:r>
          </w:p>
        </w:tc>
      </w:tr>
      <w:tr w:rsidR="007D5DF8" w:rsidRPr="00DB5D0D" w14:paraId="5F54E0CA" w14:textId="77777777" w:rsidTr="009223E5">
        <w:tc>
          <w:tcPr>
            <w:tcW w:w="1526" w:type="dxa"/>
          </w:tcPr>
          <w:p w14:paraId="2AD160B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3D77364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216907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w:t>
            </w:r>
          </w:p>
        </w:tc>
        <w:tc>
          <w:tcPr>
            <w:tcW w:w="728" w:type="dxa"/>
          </w:tcPr>
          <w:p w14:paraId="555DE39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DF0418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550F1B6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3F9A46A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C9677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w:t>
            </w:r>
          </w:p>
        </w:tc>
        <w:tc>
          <w:tcPr>
            <w:tcW w:w="1160" w:type="dxa"/>
          </w:tcPr>
          <w:p w14:paraId="536E628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4CC5FDC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62A4977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F51F9F2" w14:textId="77777777" w:rsidTr="009223E5">
        <w:tc>
          <w:tcPr>
            <w:tcW w:w="1526" w:type="dxa"/>
          </w:tcPr>
          <w:p w14:paraId="564096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СБП 2М-71ТК</w:t>
            </w:r>
          </w:p>
        </w:tc>
        <w:tc>
          <w:tcPr>
            <w:tcW w:w="1134" w:type="dxa"/>
          </w:tcPr>
          <w:p w14:paraId="06E136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1700/5000</w:t>
            </w:r>
          </w:p>
        </w:tc>
        <w:tc>
          <w:tcPr>
            <w:tcW w:w="728" w:type="dxa"/>
          </w:tcPr>
          <w:p w14:paraId="0903FD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516/0</w:t>
            </w:r>
          </w:p>
        </w:tc>
        <w:tc>
          <w:tcPr>
            <w:tcW w:w="728" w:type="dxa"/>
          </w:tcPr>
          <w:p w14:paraId="791D4F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28" w:type="dxa"/>
          </w:tcPr>
          <w:p w14:paraId="74736D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970</w:t>
            </w:r>
          </w:p>
        </w:tc>
        <w:tc>
          <w:tcPr>
            <w:tcW w:w="728" w:type="dxa"/>
          </w:tcPr>
          <w:p w14:paraId="0B4566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13250</w:t>
            </w:r>
          </w:p>
        </w:tc>
        <w:tc>
          <w:tcPr>
            <w:tcW w:w="728" w:type="dxa"/>
          </w:tcPr>
          <w:p w14:paraId="0079B5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2535</w:t>
            </w:r>
          </w:p>
        </w:tc>
        <w:tc>
          <w:tcPr>
            <w:tcW w:w="728" w:type="dxa"/>
          </w:tcPr>
          <w:p w14:paraId="582A80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7584</w:t>
            </w:r>
          </w:p>
        </w:tc>
        <w:tc>
          <w:tcPr>
            <w:tcW w:w="1160" w:type="dxa"/>
          </w:tcPr>
          <w:p w14:paraId="719F3F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1хШКАС</w:t>
            </w:r>
          </w:p>
        </w:tc>
        <w:tc>
          <w:tcPr>
            <w:tcW w:w="851" w:type="dxa"/>
          </w:tcPr>
          <w:p w14:paraId="0562A7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176.5/</w:t>
            </w:r>
          </w:p>
        </w:tc>
        <w:tc>
          <w:tcPr>
            <w:tcW w:w="1562" w:type="dxa"/>
          </w:tcPr>
          <w:p w14:paraId="34D30A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1.895</w:t>
            </w:r>
          </w:p>
        </w:tc>
      </w:tr>
      <w:tr w:rsidR="007D5DF8" w:rsidRPr="00DB5D0D" w14:paraId="270981A8" w14:textId="77777777" w:rsidTr="009223E5">
        <w:tc>
          <w:tcPr>
            <w:tcW w:w="1526" w:type="dxa"/>
          </w:tcPr>
          <w:p w14:paraId="26EE777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256A76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1320/10000</w:t>
            </w:r>
          </w:p>
        </w:tc>
        <w:tc>
          <w:tcPr>
            <w:tcW w:w="728" w:type="dxa"/>
          </w:tcPr>
          <w:p w14:paraId="005EB3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643/</w:t>
            </w:r>
          </w:p>
        </w:tc>
        <w:tc>
          <w:tcPr>
            <w:tcW w:w="728" w:type="dxa"/>
          </w:tcPr>
          <w:p w14:paraId="4C0DD79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4A138AF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AC67A1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5B47DC0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ED1514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6F2930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1хБС</w:t>
            </w:r>
          </w:p>
        </w:tc>
        <w:tc>
          <w:tcPr>
            <w:tcW w:w="851" w:type="dxa"/>
          </w:tcPr>
          <w:p w14:paraId="1A2AC89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765E9F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199</w:t>
            </w:r>
          </w:p>
        </w:tc>
      </w:tr>
      <w:tr w:rsidR="007D5DF8" w:rsidRPr="00DB5D0D" w14:paraId="6E8EC205" w14:textId="77777777" w:rsidTr="009223E5">
        <w:tc>
          <w:tcPr>
            <w:tcW w:w="1526" w:type="dxa"/>
          </w:tcPr>
          <w:p w14:paraId="32BFD74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04B2C96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59E59C5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58AB44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728" w:type="dxa"/>
          </w:tcPr>
          <w:p w14:paraId="3D7EBAC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41CFC62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5AF25F1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F36349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7D8D6D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851" w:type="dxa"/>
          </w:tcPr>
          <w:p w14:paraId="35B3D0B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4E5A056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7D52BE7" w14:textId="77777777" w:rsidTr="009223E5">
        <w:tc>
          <w:tcPr>
            <w:tcW w:w="1526" w:type="dxa"/>
          </w:tcPr>
          <w:p w14:paraId="75B626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СБП 2М-71</w:t>
            </w:r>
          </w:p>
        </w:tc>
        <w:tc>
          <w:tcPr>
            <w:tcW w:w="1134" w:type="dxa"/>
          </w:tcPr>
          <w:p w14:paraId="67E005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1700/5000</w:t>
            </w:r>
          </w:p>
        </w:tc>
        <w:tc>
          <w:tcPr>
            <w:tcW w:w="728" w:type="dxa"/>
          </w:tcPr>
          <w:p w14:paraId="1851A4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521/0</w:t>
            </w:r>
          </w:p>
        </w:tc>
        <w:tc>
          <w:tcPr>
            <w:tcW w:w="728" w:type="dxa"/>
          </w:tcPr>
          <w:p w14:paraId="0F2D39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728" w:type="dxa"/>
          </w:tcPr>
          <w:p w14:paraId="5504A1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1145/</w:t>
            </w:r>
          </w:p>
        </w:tc>
        <w:tc>
          <w:tcPr>
            <w:tcW w:w="728" w:type="dxa"/>
          </w:tcPr>
          <w:p w14:paraId="2DBCFA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12400</w:t>
            </w:r>
          </w:p>
        </w:tc>
        <w:tc>
          <w:tcPr>
            <w:tcW w:w="728" w:type="dxa"/>
          </w:tcPr>
          <w:p w14:paraId="45D333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2710</w:t>
            </w:r>
          </w:p>
        </w:tc>
        <w:tc>
          <w:tcPr>
            <w:tcW w:w="728" w:type="dxa"/>
          </w:tcPr>
          <w:p w14:paraId="527BD0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7584</w:t>
            </w:r>
          </w:p>
        </w:tc>
        <w:tc>
          <w:tcPr>
            <w:tcW w:w="1160" w:type="dxa"/>
          </w:tcPr>
          <w:p w14:paraId="72F420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1" w:type="dxa"/>
          </w:tcPr>
          <w:p w14:paraId="1A8CBD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176.5/</w:t>
            </w:r>
          </w:p>
        </w:tc>
        <w:tc>
          <w:tcPr>
            <w:tcW w:w="1562" w:type="dxa"/>
          </w:tcPr>
          <w:p w14:paraId="244A0C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1.895</w:t>
            </w:r>
          </w:p>
        </w:tc>
      </w:tr>
      <w:tr w:rsidR="007D5DF8" w:rsidRPr="00DB5D0D" w14:paraId="4E0FDA54" w14:textId="77777777" w:rsidTr="009223E5">
        <w:tc>
          <w:tcPr>
            <w:tcW w:w="1526" w:type="dxa"/>
          </w:tcPr>
          <w:p w14:paraId="58021BB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63ED999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2D2AF1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w:t>
            </w:r>
          </w:p>
        </w:tc>
        <w:tc>
          <w:tcPr>
            <w:tcW w:w="728" w:type="dxa"/>
          </w:tcPr>
          <w:p w14:paraId="6391EA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w:t>
            </w:r>
          </w:p>
        </w:tc>
        <w:tc>
          <w:tcPr>
            <w:tcW w:w="728" w:type="dxa"/>
          </w:tcPr>
          <w:p w14:paraId="6FE877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1830/</w:t>
            </w:r>
          </w:p>
        </w:tc>
        <w:tc>
          <w:tcPr>
            <w:tcW w:w="728" w:type="dxa"/>
          </w:tcPr>
          <w:p w14:paraId="443ABE6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CA86B6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42C7E4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39F4031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612758C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3D85B8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194.5</w:t>
            </w:r>
          </w:p>
        </w:tc>
      </w:tr>
      <w:tr w:rsidR="007D5DF8" w:rsidRPr="00DB5D0D" w14:paraId="15946A79" w14:textId="77777777" w:rsidTr="009223E5">
        <w:tc>
          <w:tcPr>
            <w:tcW w:w="1526" w:type="dxa"/>
          </w:tcPr>
          <w:p w14:paraId="5137AF6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6050783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A212E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728" w:type="dxa"/>
          </w:tcPr>
          <w:p w14:paraId="35FA02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2100</w:t>
            </w:r>
          </w:p>
        </w:tc>
        <w:tc>
          <w:tcPr>
            <w:tcW w:w="728" w:type="dxa"/>
          </w:tcPr>
          <w:p w14:paraId="5344DA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2200</w:t>
            </w:r>
          </w:p>
        </w:tc>
        <w:tc>
          <w:tcPr>
            <w:tcW w:w="728" w:type="dxa"/>
          </w:tcPr>
          <w:p w14:paraId="137390F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538D6E0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73C21C7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78CBD87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3F3C9DE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1382A22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F2BE868" w14:textId="77777777" w:rsidTr="009223E5">
        <w:tc>
          <w:tcPr>
            <w:tcW w:w="1526" w:type="dxa"/>
          </w:tcPr>
          <w:p w14:paraId="79C55A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СБП 2М-81 ТК</w:t>
            </w:r>
          </w:p>
        </w:tc>
        <w:tc>
          <w:tcPr>
            <w:tcW w:w="1134" w:type="dxa"/>
          </w:tcPr>
          <w:p w14:paraId="232B09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1280/5000</w:t>
            </w:r>
          </w:p>
        </w:tc>
        <w:tc>
          <w:tcPr>
            <w:tcW w:w="728" w:type="dxa"/>
          </w:tcPr>
          <w:p w14:paraId="4524B1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478/0</w:t>
            </w:r>
          </w:p>
        </w:tc>
        <w:tc>
          <w:tcPr>
            <w:tcW w:w="728" w:type="dxa"/>
          </w:tcPr>
          <w:p w14:paraId="2BC5F0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28" w:type="dxa"/>
          </w:tcPr>
          <w:p w14:paraId="63ACD3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970</w:t>
            </w:r>
          </w:p>
        </w:tc>
        <w:tc>
          <w:tcPr>
            <w:tcW w:w="728" w:type="dxa"/>
          </w:tcPr>
          <w:p w14:paraId="78487F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12800</w:t>
            </w:r>
          </w:p>
        </w:tc>
        <w:tc>
          <w:tcPr>
            <w:tcW w:w="728" w:type="dxa"/>
          </w:tcPr>
          <w:p w14:paraId="104D77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2535</w:t>
            </w:r>
          </w:p>
        </w:tc>
        <w:tc>
          <w:tcPr>
            <w:tcW w:w="728" w:type="dxa"/>
          </w:tcPr>
          <w:p w14:paraId="06DB25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7384</w:t>
            </w:r>
          </w:p>
        </w:tc>
        <w:tc>
          <w:tcPr>
            <w:tcW w:w="1160" w:type="dxa"/>
          </w:tcPr>
          <w:p w14:paraId="2033B1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1" w:type="dxa"/>
          </w:tcPr>
          <w:p w14:paraId="7A26A4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172</w:t>
            </w:r>
          </w:p>
        </w:tc>
        <w:tc>
          <w:tcPr>
            <w:tcW w:w="1562" w:type="dxa"/>
          </w:tcPr>
          <w:p w14:paraId="378688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2.460</w:t>
            </w:r>
          </w:p>
        </w:tc>
      </w:tr>
      <w:tr w:rsidR="007D5DF8" w:rsidRPr="00DB5D0D" w14:paraId="1CD387FD" w14:textId="77777777" w:rsidTr="009223E5">
        <w:tc>
          <w:tcPr>
            <w:tcW w:w="1526" w:type="dxa"/>
          </w:tcPr>
          <w:p w14:paraId="127FA37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45AEE3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1145/10000</w:t>
            </w:r>
          </w:p>
        </w:tc>
        <w:tc>
          <w:tcPr>
            <w:tcW w:w="728" w:type="dxa"/>
          </w:tcPr>
          <w:p w14:paraId="614FD7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619/</w:t>
            </w:r>
          </w:p>
        </w:tc>
        <w:tc>
          <w:tcPr>
            <w:tcW w:w="728" w:type="dxa"/>
          </w:tcPr>
          <w:p w14:paraId="4EFCC32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51D7E23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20F695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44A3D3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2F1B9A2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50F4EFC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5FA089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194.5</w:t>
            </w:r>
          </w:p>
        </w:tc>
        <w:tc>
          <w:tcPr>
            <w:tcW w:w="1562" w:type="dxa"/>
          </w:tcPr>
          <w:p w14:paraId="2CC5016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7C5A2F1" w14:textId="77777777" w:rsidTr="009223E5">
        <w:tc>
          <w:tcPr>
            <w:tcW w:w="1526" w:type="dxa"/>
          </w:tcPr>
          <w:p w14:paraId="7A14B7E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07DFB4D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2C2A79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728" w:type="dxa"/>
          </w:tcPr>
          <w:p w14:paraId="7472976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B262BC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326AF69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4C82013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3274EA4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4A4C7D1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73677FE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64A34CC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15029C8" w14:textId="77777777" w:rsidTr="009223E5">
        <w:tc>
          <w:tcPr>
            <w:tcW w:w="1526" w:type="dxa"/>
          </w:tcPr>
          <w:p w14:paraId="2408F5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СБП 2М-81</w:t>
            </w:r>
          </w:p>
        </w:tc>
        <w:tc>
          <w:tcPr>
            <w:tcW w:w="1134" w:type="dxa"/>
          </w:tcPr>
          <w:p w14:paraId="06B69D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1280/5000</w:t>
            </w:r>
          </w:p>
        </w:tc>
        <w:tc>
          <w:tcPr>
            <w:tcW w:w="728" w:type="dxa"/>
          </w:tcPr>
          <w:p w14:paraId="26B3EA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481/0</w:t>
            </w:r>
          </w:p>
        </w:tc>
        <w:tc>
          <w:tcPr>
            <w:tcW w:w="728" w:type="dxa"/>
          </w:tcPr>
          <w:p w14:paraId="5F2583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1315/</w:t>
            </w:r>
          </w:p>
        </w:tc>
        <w:tc>
          <w:tcPr>
            <w:tcW w:w="728" w:type="dxa"/>
          </w:tcPr>
          <w:p w14:paraId="3D3977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1145/</w:t>
            </w:r>
          </w:p>
        </w:tc>
        <w:tc>
          <w:tcPr>
            <w:tcW w:w="728" w:type="dxa"/>
          </w:tcPr>
          <w:p w14:paraId="609A6E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11200</w:t>
            </w:r>
          </w:p>
        </w:tc>
        <w:tc>
          <w:tcPr>
            <w:tcW w:w="728" w:type="dxa"/>
          </w:tcPr>
          <w:p w14:paraId="1F9845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2710</w:t>
            </w:r>
          </w:p>
        </w:tc>
        <w:tc>
          <w:tcPr>
            <w:tcW w:w="728" w:type="dxa"/>
          </w:tcPr>
          <w:p w14:paraId="2F9BC4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7384</w:t>
            </w:r>
          </w:p>
        </w:tc>
        <w:tc>
          <w:tcPr>
            <w:tcW w:w="1160" w:type="dxa"/>
          </w:tcPr>
          <w:p w14:paraId="05D8CD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1" w:type="dxa"/>
          </w:tcPr>
          <w:p w14:paraId="694F8A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172</w:t>
            </w:r>
          </w:p>
        </w:tc>
        <w:tc>
          <w:tcPr>
            <w:tcW w:w="1562" w:type="dxa"/>
          </w:tcPr>
          <w:p w14:paraId="2B76A2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2.460</w:t>
            </w:r>
          </w:p>
        </w:tc>
      </w:tr>
      <w:tr w:rsidR="007D5DF8" w:rsidRPr="00DB5D0D" w14:paraId="70D1D925" w14:textId="77777777" w:rsidTr="009223E5">
        <w:tc>
          <w:tcPr>
            <w:tcW w:w="1526" w:type="dxa"/>
          </w:tcPr>
          <w:p w14:paraId="7B5F7D9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196158C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4697B0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557/</w:t>
            </w:r>
          </w:p>
        </w:tc>
        <w:tc>
          <w:tcPr>
            <w:tcW w:w="728" w:type="dxa"/>
          </w:tcPr>
          <w:p w14:paraId="446368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728" w:type="dxa"/>
          </w:tcPr>
          <w:p w14:paraId="34A503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1830/</w:t>
            </w:r>
          </w:p>
        </w:tc>
        <w:tc>
          <w:tcPr>
            <w:tcW w:w="728" w:type="dxa"/>
          </w:tcPr>
          <w:p w14:paraId="3978A25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3F8527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487FC8C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6945C98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35509D4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70AE7B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w:t>
            </w:r>
          </w:p>
        </w:tc>
      </w:tr>
      <w:tr w:rsidR="007D5DF8" w:rsidRPr="00DB5D0D" w14:paraId="69CE4782" w14:textId="77777777" w:rsidTr="009223E5">
        <w:tc>
          <w:tcPr>
            <w:tcW w:w="1526" w:type="dxa"/>
          </w:tcPr>
          <w:p w14:paraId="3D844BF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17630F6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4E51F5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728" w:type="dxa"/>
          </w:tcPr>
          <w:p w14:paraId="3942F8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728" w:type="dxa"/>
          </w:tcPr>
          <w:p w14:paraId="594DB6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2200</w:t>
            </w:r>
          </w:p>
        </w:tc>
        <w:tc>
          <w:tcPr>
            <w:tcW w:w="728" w:type="dxa"/>
          </w:tcPr>
          <w:p w14:paraId="15694EF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406A0A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D4D575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6B1BB0E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205EEFD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7523645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2BC1677" w14:textId="77777777" w:rsidTr="009223E5">
        <w:tc>
          <w:tcPr>
            <w:tcW w:w="1526" w:type="dxa"/>
          </w:tcPr>
          <w:p w14:paraId="299A2C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М-105ТК-2</w:t>
            </w:r>
          </w:p>
        </w:tc>
        <w:tc>
          <w:tcPr>
            <w:tcW w:w="1134" w:type="dxa"/>
          </w:tcPr>
          <w:p w14:paraId="1AAFE8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985/8000</w:t>
            </w:r>
          </w:p>
        </w:tc>
        <w:tc>
          <w:tcPr>
            <w:tcW w:w="728" w:type="dxa"/>
          </w:tcPr>
          <w:p w14:paraId="6968C4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455/0</w:t>
            </w:r>
          </w:p>
        </w:tc>
        <w:tc>
          <w:tcPr>
            <w:tcW w:w="728" w:type="dxa"/>
          </w:tcPr>
          <w:p w14:paraId="7354C5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728" w:type="dxa"/>
          </w:tcPr>
          <w:p w14:paraId="163CA9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637/</w:t>
            </w:r>
          </w:p>
        </w:tc>
        <w:tc>
          <w:tcPr>
            <w:tcW w:w="728" w:type="dxa"/>
          </w:tcPr>
          <w:p w14:paraId="304209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14100</w:t>
            </w:r>
          </w:p>
        </w:tc>
        <w:tc>
          <w:tcPr>
            <w:tcW w:w="728" w:type="dxa"/>
          </w:tcPr>
          <w:p w14:paraId="7063F3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1546</w:t>
            </w:r>
          </w:p>
        </w:tc>
        <w:tc>
          <w:tcPr>
            <w:tcW w:w="728" w:type="dxa"/>
          </w:tcPr>
          <w:p w14:paraId="4589F2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5961</w:t>
            </w:r>
          </w:p>
        </w:tc>
        <w:tc>
          <w:tcPr>
            <w:tcW w:w="1160" w:type="dxa"/>
          </w:tcPr>
          <w:p w14:paraId="583365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w:t>
            </w:r>
          </w:p>
        </w:tc>
        <w:tc>
          <w:tcPr>
            <w:tcW w:w="851" w:type="dxa"/>
          </w:tcPr>
          <w:p w14:paraId="46C6FC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1562" w:type="dxa"/>
          </w:tcPr>
          <w:p w14:paraId="5AC1AA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3.02</w:t>
            </w:r>
          </w:p>
        </w:tc>
      </w:tr>
      <w:tr w:rsidR="007D5DF8" w:rsidRPr="00DB5D0D" w14:paraId="6E5DF20F" w14:textId="77777777" w:rsidTr="009223E5">
        <w:tc>
          <w:tcPr>
            <w:tcW w:w="1526" w:type="dxa"/>
          </w:tcPr>
          <w:p w14:paraId="14B6B89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40D5094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47D26D2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EB2EC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612/</w:t>
            </w:r>
          </w:p>
        </w:tc>
        <w:tc>
          <w:tcPr>
            <w:tcW w:w="728" w:type="dxa"/>
          </w:tcPr>
          <w:p w14:paraId="611B67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728" w:type="dxa"/>
          </w:tcPr>
          <w:p w14:paraId="7353A6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1142</w:t>
            </w:r>
          </w:p>
        </w:tc>
        <w:tc>
          <w:tcPr>
            <w:tcW w:w="728" w:type="dxa"/>
          </w:tcPr>
          <w:p w14:paraId="6B2106A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D095DE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1B6559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600-800</w:t>
            </w:r>
          </w:p>
        </w:tc>
        <w:tc>
          <w:tcPr>
            <w:tcW w:w="851" w:type="dxa"/>
          </w:tcPr>
          <w:p w14:paraId="1A363E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162</w:t>
            </w:r>
          </w:p>
        </w:tc>
        <w:tc>
          <w:tcPr>
            <w:tcW w:w="1562" w:type="dxa"/>
          </w:tcPr>
          <w:p w14:paraId="2E1B74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3.28</w:t>
            </w:r>
          </w:p>
        </w:tc>
      </w:tr>
      <w:tr w:rsidR="007D5DF8" w:rsidRPr="00DB5D0D" w14:paraId="73D24FE5" w14:textId="77777777" w:rsidTr="009223E5">
        <w:tc>
          <w:tcPr>
            <w:tcW w:w="1526" w:type="dxa"/>
          </w:tcPr>
          <w:p w14:paraId="251C0BC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3FFBD0F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3A8B819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4F882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728" w:type="dxa"/>
          </w:tcPr>
          <w:p w14:paraId="1CC4D4D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4624E0F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FD64BE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2B2B9CC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432AB51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5873218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53DA2BE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2183350" w14:textId="77777777" w:rsidTr="009223E5">
        <w:tc>
          <w:tcPr>
            <w:tcW w:w="1526" w:type="dxa"/>
          </w:tcPr>
          <w:p w14:paraId="664FF9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М-106</w:t>
            </w:r>
          </w:p>
        </w:tc>
        <w:tc>
          <w:tcPr>
            <w:tcW w:w="1134" w:type="dxa"/>
          </w:tcPr>
          <w:p w14:paraId="251EDB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1000/5000</w:t>
            </w:r>
          </w:p>
        </w:tc>
        <w:tc>
          <w:tcPr>
            <w:tcW w:w="728" w:type="dxa"/>
          </w:tcPr>
          <w:p w14:paraId="2BD2C3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455/0</w:t>
            </w:r>
          </w:p>
        </w:tc>
        <w:tc>
          <w:tcPr>
            <w:tcW w:w="728" w:type="dxa"/>
          </w:tcPr>
          <w:p w14:paraId="4F992B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970</w:t>
            </w:r>
          </w:p>
        </w:tc>
        <w:tc>
          <w:tcPr>
            <w:tcW w:w="728" w:type="dxa"/>
          </w:tcPr>
          <w:p w14:paraId="4230DC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28" w:type="dxa"/>
          </w:tcPr>
          <w:p w14:paraId="6797C7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12700</w:t>
            </w:r>
          </w:p>
        </w:tc>
        <w:tc>
          <w:tcPr>
            <w:tcW w:w="728" w:type="dxa"/>
          </w:tcPr>
          <w:p w14:paraId="44C42F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1546</w:t>
            </w:r>
          </w:p>
        </w:tc>
        <w:tc>
          <w:tcPr>
            <w:tcW w:w="728" w:type="dxa"/>
          </w:tcPr>
          <w:p w14:paraId="355B68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5881</w:t>
            </w:r>
          </w:p>
        </w:tc>
        <w:tc>
          <w:tcPr>
            <w:tcW w:w="1160" w:type="dxa"/>
          </w:tcPr>
          <w:p w14:paraId="0ED7CB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1" w:type="dxa"/>
          </w:tcPr>
          <w:p w14:paraId="07AD081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141CDB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2FBEB35" w14:textId="77777777" w:rsidTr="009223E5">
        <w:tc>
          <w:tcPr>
            <w:tcW w:w="1526" w:type="dxa"/>
          </w:tcPr>
          <w:p w14:paraId="6575443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5EC644F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774FF1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575/</w:t>
            </w:r>
          </w:p>
        </w:tc>
        <w:tc>
          <w:tcPr>
            <w:tcW w:w="728" w:type="dxa"/>
          </w:tcPr>
          <w:p w14:paraId="50FA139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24CD59C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74FAC2D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5310D8B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4856CA0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44908D4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78890C3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3CA5E2D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1D17B64" w14:textId="77777777" w:rsidTr="009223E5">
        <w:tc>
          <w:tcPr>
            <w:tcW w:w="1526" w:type="dxa"/>
          </w:tcPr>
          <w:p w14:paraId="557B245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702D565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65678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6500</w:t>
            </w:r>
          </w:p>
        </w:tc>
        <w:tc>
          <w:tcPr>
            <w:tcW w:w="728" w:type="dxa"/>
          </w:tcPr>
          <w:p w14:paraId="0E4BAE7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8708CE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0D96D6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047D8B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2F51064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526B5F1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7C2BA1C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30EA913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7CFB19E" w14:textId="77777777" w:rsidTr="009223E5">
        <w:tc>
          <w:tcPr>
            <w:tcW w:w="1526" w:type="dxa"/>
          </w:tcPr>
          <w:p w14:paraId="4C777C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ВИТ-2 2М-105</w:t>
            </w:r>
          </w:p>
        </w:tc>
        <w:tc>
          <w:tcPr>
            <w:tcW w:w="1134" w:type="dxa"/>
          </w:tcPr>
          <w:p w14:paraId="1EF7C2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28" w:type="dxa"/>
          </w:tcPr>
          <w:p w14:paraId="21FD1C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728" w:type="dxa"/>
          </w:tcPr>
          <w:p w14:paraId="064E06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728" w:type="dxa"/>
          </w:tcPr>
          <w:p w14:paraId="7A5D43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28" w:type="dxa"/>
          </w:tcPr>
          <w:p w14:paraId="66E449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28" w:type="dxa"/>
          </w:tcPr>
          <w:p w14:paraId="5EE028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28" w:type="dxa"/>
          </w:tcPr>
          <w:p w14:paraId="586DEA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6400</w:t>
            </w:r>
          </w:p>
        </w:tc>
        <w:tc>
          <w:tcPr>
            <w:tcW w:w="1160" w:type="dxa"/>
          </w:tcPr>
          <w:p w14:paraId="0BC9C7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1" w:type="dxa"/>
          </w:tcPr>
          <w:p w14:paraId="56EBF1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157</w:t>
            </w:r>
          </w:p>
        </w:tc>
        <w:tc>
          <w:tcPr>
            <w:tcW w:w="1562" w:type="dxa"/>
          </w:tcPr>
          <w:p w14:paraId="348F482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8659F3C" w14:textId="77777777" w:rsidTr="009223E5">
        <w:tc>
          <w:tcPr>
            <w:tcW w:w="1526" w:type="dxa"/>
          </w:tcPr>
          <w:p w14:paraId="75DDF61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5F373F7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58A10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4300</w:t>
            </w:r>
          </w:p>
        </w:tc>
        <w:tc>
          <w:tcPr>
            <w:tcW w:w="728" w:type="dxa"/>
          </w:tcPr>
          <w:p w14:paraId="7C9FEE3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E821C6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08786D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A4C922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690279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334C3C2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0EAC6BA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07AAA41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07BD855" w14:textId="77777777" w:rsidTr="009223E5">
        <w:tc>
          <w:tcPr>
            <w:tcW w:w="1526" w:type="dxa"/>
          </w:tcPr>
          <w:p w14:paraId="2D9A7F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М-87А</w:t>
            </w:r>
          </w:p>
        </w:tc>
        <w:tc>
          <w:tcPr>
            <w:tcW w:w="1134" w:type="dxa"/>
          </w:tcPr>
          <w:p w14:paraId="1B2BDE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950/4700</w:t>
            </w:r>
          </w:p>
        </w:tc>
        <w:tc>
          <w:tcPr>
            <w:tcW w:w="728" w:type="dxa"/>
          </w:tcPr>
          <w:p w14:paraId="7D140C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375/0</w:t>
            </w:r>
          </w:p>
        </w:tc>
        <w:tc>
          <w:tcPr>
            <w:tcW w:w="728" w:type="dxa"/>
          </w:tcPr>
          <w:p w14:paraId="053B10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1160</w:t>
            </w:r>
          </w:p>
        </w:tc>
        <w:tc>
          <w:tcPr>
            <w:tcW w:w="728" w:type="dxa"/>
          </w:tcPr>
          <w:p w14:paraId="45F8A3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580</w:t>
            </w:r>
          </w:p>
        </w:tc>
        <w:tc>
          <w:tcPr>
            <w:tcW w:w="728" w:type="dxa"/>
          </w:tcPr>
          <w:p w14:paraId="6EA1C7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8800</w:t>
            </w:r>
          </w:p>
        </w:tc>
        <w:tc>
          <w:tcPr>
            <w:tcW w:w="728" w:type="dxa"/>
          </w:tcPr>
          <w:p w14:paraId="4F645B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1609-Б</w:t>
            </w:r>
          </w:p>
        </w:tc>
        <w:tc>
          <w:tcPr>
            <w:tcW w:w="728" w:type="dxa"/>
          </w:tcPr>
          <w:p w14:paraId="580AB1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4030</w:t>
            </w:r>
          </w:p>
        </w:tc>
        <w:tc>
          <w:tcPr>
            <w:tcW w:w="1160" w:type="dxa"/>
          </w:tcPr>
          <w:p w14:paraId="2D3DDC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6хШКАС</w:t>
            </w:r>
          </w:p>
        </w:tc>
        <w:tc>
          <w:tcPr>
            <w:tcW w:w="851" w:type="dxa"/>
          </w:tcPr>
          <w:p w14:paraId="394BAE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62" w:type="dxa"/>
          </w:tcPr>
          <w:p w14:paraId="2781FA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71A435D" w14:textId="77777777" w:rsidTr="009223E5">
        <w:tc>
          <w:tcPr>
            <w:tcW w:w="1526" w:type="dxa"/>
          </w:tcPr>
          <w:p w14:paraId="6A2701E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7580F0A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E9C380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7A1EB2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728" w:type="dxa"/>
          </w:tcPr>
          <w:p w14:paraId="06B93EA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BA4B81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493687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1214-Ш</w:t>
            </w:r>
          </w:p>
        </w:tc>
        <w:tc>
          <w:tcPr>
            <w:tcW w:w="728" w:type="dxa"/>
          </w:tcPr>
          <w:p w14:paraId="4C0B11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4435</w:t>
            </w:r>
          </w:p>
        </w:tc>
        <w:tc>
          <w:tcPr>
            <w:tcW w:w="1160" w:type="dxa"/>
          </w:tcPr>
          <w:p w14:paraId="5FAA74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200-600</w:t>
            </w:r>
          </w:p>
        </w:tc>
        <w:tc>
          <w:tcPr>
            <w:tcW w:w="851" w:type="dxa"/>
          </w:tcPr>
          <w:p w14:paraId="2934C9C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692EE52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340A773" w14:textId="77777777" w:rsidTr="009223E5">
        <w:tc>
          <w:tcPr>
            <w:tcW w:w="1526" w:type="dxa"/>
          </w:tcPr>
          <w:p w14:paraId="55972F1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23F632D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37091F6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740655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28" w:type="dxa"/>
          </w:tcPr>
          <w:p w14:paraId="3218AF8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78131A1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FDC15A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93898D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5B4C47C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186A3E5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3EE6470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B1E4397" w14:textId="77777777" w:rsidTr="009223E5">
        <w:tc>
          <w:tcPr>
            <w:tcW w:w="1526" w:type="dxa"/>
          </w:tcPr>
          <w:p w14:paraId="0264A5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Р12 2М-103</w:t>
            </w:r>
          </w:p>
        </w:tc>
        <w:tc>
          <w:tcPr>
            <w:tcW w:w="1134" w:type="dxa"/>
          </w:tcPr>
          <w:p w14:paraId="6A308D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950/4000</w:t>
            </w:r>
          </w:p>
        </w:tc>
        <w:tc>
          <w:tcPr>
            <w:tcW w:w="728" w:type="dxa"/>
          </w:tcPr>
          <w:p w14:paraId="63BB1C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w:t>
            </w:r>
          </w:p>
        </w:tc>
        <w:tc>
          <w:tcPr>
            <w:tcW w:w="728" w:type="dxa"/>
          </w:tcPr>
          <w:p w14:paraId="1C3D6C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28" w:type="dxa"/>
          </w:tcPr>
          <w:p w14:paraId="7B77E5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678/</w:t>
            </w:r>
          </w:p>
        </w:tc>
        <w:tc>
          <w:tcPr>
            <w:tcW w:w="728" w:type="dxa"/>
          </w:tcPr>
          <w:p w14:paraId="41B6F2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10800</w:t>
            </w:r>
          </w:p>
        </w:tc>
        <w:tc>
          <w:tcPr>
            <w:tcW w:w="728" w:type="dxa"/>
          </w:tcPr>
          <w:p w14:paraId="22816E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1327</w:t>
            </w:r>
          </w:p>
        </w:tc>
        <w:tc>
          <w:tcPr>
            <w:tcW w:w="728" w:type="dxa"/>
          </w:tcPr>
          <w:p w14:paraId="5A6C29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5023</w:t>
            </w:r>
          </w:p>
        </w:tc>
        <w:tc>
          <w:tcPr>
            <w:tcW w:w="1160" w:type="dxa"/>
          </w:tcPr>
          <w:p w14:paraId="027D67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1" w:type="dxa"/>
          </w:tcPr>
          <w:p w14:paraId="1FE7499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070021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1EB0508" w14:textId="77777777" w:rsidTr="009223E5">
        <w:tc>
          <w:tcPr>
            <w:tcW w:w="1526" w:type="dxa"/>
          </w:tcPr>
          <w:p w14:paraId="4313CA9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694F579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23E150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567/</w:t>
            </w:r>
          </w:p>
        </w:tc>
        <w:tc>
          <w:tcPr>
            <w:tcW w:w="728" w:type="dxa"/>
          </w:tcPr>
          <w:p w14:paraId="15C7A0D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267132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1328</w:t>
            </w:r>
          </w:p>
        </w:tc>
        <w:tc>
          <w:tcPr>
            <w:tcW w:w="728" w:type="dxa"/>
          </w:tcPr>
          <w:p w14:paraId="5FBCFAA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FE9D3F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7875234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40D88EA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4EE5675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51BB850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7C115DF" w14:textId="77777777" w:rsidTr="009223E5">
        <w:tc>
          <w:tcPr>
            <w:tcW w:w="1526" w:type="dxa"/>
          </w:tcPr>
          <w:p w14:paraId="502CD32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62AE6C4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587D58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4900</w:t>
            </w:r>
          </w:p>
        </w:tc>
        <w:tc>
          <w:tcPr>
            <w:tcW w:w="728" w:type="dxa"/>
          </w:tcPr>
          <w:p w14:paraId="5BAF9BB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7AF6919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03CA90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22D0A3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4ECF0C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70DE39F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1861B41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77475CD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8D6892E" w14:textId="77777777" w:rsidTr="009223E5">
        <w:tc>
          <w:tcPr>
            <w:tcW w:w="1526" w:type="dxa"/>
          </w:tcPr>
          <w:p w14:paraId="1570D2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Аэро-300</w:t>
            </w:r>
          </w:p>
        </w:tc>
        <w:tc>
          <w:tcPr>
            <w:tcW w:w="1134" w:type="dxa"/>
          </w:tcPr>
          <w:p w14:paraId="24434F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2х830/4400</w:t>
            </w:r>
          </w:p>
        </w:tc>
        <w:tc>
          <w:tcPr>
            <w:tcW w:w="728" w:type="dxa"/>
          </w:tcPr>
          <w:p w14:paraId="454D6B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365</w:t>
            </w:r>
          </w:p>
        </w:tc>
        <w:tc>
          <w:tcPr>
            <w:tcW w:w="728" w:type="dxa"/>
          </w:tcPr>
          <w:p w14:paraId="462094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728" w:type="dxa"/>
          </w:tcPr>
          <w:p w14:paraId="6ADFEF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2250л</w:t>
            </w:r>
          </w:p>
        </w:tc>
        <w:tc>
          <w:tcPr>
            <w:tcW w:w="728" w:type="dxa"/>
          </w:tcPr>
          <w:p w14:paraId="2BFCE4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728" w:type="dxa"/>
          </w:tcPr>
          <w:p w14:paraId="1FC972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2085</w:t>
            </w:r>
          </w:p>
        </w:tc>
        <w:tc>
          <w:tcPr>
            <w:tcW w:w="728" w:type="dxa"/>
          </w:tcPr>
          <w:p w14:paraId="0E3B6E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6040</w:t>
            </w:r>
          </w:p>
        </w:tc>
        <w:tc>
          <w:tcPr>
            <w:tcW w:w="1160" w:type="dxa"/>
          </w:tcPr>
          <w:p w14:paraId="18F8B2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пул.</w:t>
            </w:r>
          </w:p>
        </w:tc>
        <w:tc>
          <w:tcPr>
            <w:tcW w:w="851" w:type="dxa"/>
          </w:tcPr>
          <w:p w14:paraId="17F2F4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132.5</w:t>
            </w:r>
          </w:p>
        </w:tc>
        <w:tc>
          <w:tcPr>
            <w:tcW w:w="1562" w:type="dxa"/>
          </w:tcPr>
          <w:p w14:paraId="5EAAC8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3.64</w:t>
            </w:r>
          </w:p>
        </w:tc>
      </w:tr>
      <w:tr w:rsidR="007D5DF8" w:rsidRPr="00DB5D0D" w14:paraId="2C5F670C" w14:textId="77777777" w:rsidTr="009223E5">
        <w:tc>
          <w:tcPr>
            <w:tcW w:w="1526" w:type="dxa"/>
          </w:tcPr>
          <w:p w14:paraId="395996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Бристоль-М</w:t>
            </w:r>
          </w:p>
        </w:tc>
        <w:tc>
          <w:tcPr>
            <w:tcW w:w="1134" w:type="dxa"/>
          </w:tcPr>
          <w:p w14:paraId="3CE7299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B3258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w:t>
            </w:r>
          </w:p>
        </w:tc>
        <w:tc>
          <w:tcPr>
            <w:tcW w:w="728" w:type="dxa"/>
          </w:tcPr>
          <w:p w14:paraId="257048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1800</w:t>
            </w:r>
          </w:p>
        </w:tc>
        <w:tc>
          <w:tcPr>
            <w:tcW w:w="728" w:type="dxa"/>
          </w:tcPr>
          <w:p w14:paraId="5F88C20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C89A12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6F817A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56AF59B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2012E1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851" w:type="dxa"/>
          </w:tcPr>
          <w:p w14:paraId="0F63F76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0916023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F30EA36" w14:textId="77777777" w:rsidTr="009223E5">
        <w:tc>
          <w:tcPr>
            <w:tcW w:w="1526" w:type="dxa"/>
          </w:tcPr>
          <w:p w14:paraId="63010F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Чехословакия</w:t>
            </w:r>
          </w:p>
        </w:tc>
        <w:tc>
          <w:tcPr>
            <w:tcW w:w="1134" w:type="dxa"/>
          </w:tcPr>
          <w:p w14:paraId="3AB2E69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7C43F3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5500</w:t>
            </w:r>
          </w:p>
        </w:tc>
        <w:tc>
          <w:tcPr>
            <w:tcW w:w="728" w:type="dxa"/>
          </w:tcPr>
          <w:p w14:paraId="55EB445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3DA8FEE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747496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24D775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78D663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53C6F57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12C4C41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21A417C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9392A36" w14:textId="77777777" w:rsidTr="009223E5">
        <w:tc>
          <w:tcPr>
            <w:tcW w:w="1526" w:type="dxa"/>
          </w:tcPr>
          <w:p w14:paraId="0295E6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w:t>
            </w:r>
          </w:p>
        </w:tc>
        <w:tc>
          <w:tcPr>
            <w:tcW w:w="1134" w:type="dxa"/>
          </w:tcPr>
          <w:p w14:paraId="4BC996C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FAA010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07F52A0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635A1DE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13399B6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240AB32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Pr>
          <w:p w14:paraId="4986B92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Pr>
          <w:p w14:paraId="5078ED0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4A2AB8D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Pr>
          <w:p w14:paraId="6401843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2683177" w14:textId="77777777" w:rsidTr="009223E5">
        <w:tc>
          <w:tcPr>
            <w:tcW w:w="1526" w:type="dxa"/>
          </w:tcPr>
          <w:p w14:paraId="11152E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Амио-3</w:t>
            </w:r>
          </w:p>
        </w:tc>
        <w:tc>
          <w:tcPr>
            <w:tcW w:w="1134" w:type="dxa"/>
          </w:tcPr>
          <w:p w14:paraId="74A06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2х1000</w:t>
            </w:r>
          </w:p>
        </w:tc>
        <w:tc>
          <w:tcPr>
            <w:tcW w:w="728" w:type="dxa"/>
          </w:tcPr>
          <w:p w14:paraId="490E34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w:t>
            </w:r>
          </w:p>
        </w:tc>
        <w:tc>
          <w:tcPr>
            <w:tcW w:w="728" w:type="dxa"/>
          </w:tcPr>
          <w:p w14:paraId="40F457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28" w:type="dxa"/>
          </w:tcPr>
          <w:p w14:paraId="78C10E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28" w:type="dxa"/>
          </w:tcPr>
          <w:p w14:paraId="216928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728" w:type="dxa"/>
          </w:tcPr>
          <w:p w14:paraId="5A4664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28" w:type="dxa"/>
          </w:tcPr>
          <w:p w14:paraId="598849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1160" w:type="dxa"/>
          </w:tcPr>
          <w:p w14:paraId="5C777B8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6ECBAC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118.0 (2090,96)</w:t>
            </w:r>
          </w:p>
        </w:tc>
        <w:tc>
          <w:tcPr>
            <w:tcW w:w="1562" w:type="dxa"/>
          </w:tcPr>
          <w:p w14:paraId="16B254B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4575DE9" w14:textId="77777777" w:rsidTr="009223E5">
        <w:tc>
          <w:tcPr>
            <w:tcW w:w="1526" w:type="dxa"/>
            <w:tcBorders>
              <w:bottom w:val="single" w:sz="12" w:space="0" w:color="auto"/>
            </w:tcBorders>
          </w:tcPr>
          <w:p w14:paraId="023E85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2хГном-Рон</w:t>
            </w:r>
          </w:p>
        </w:tc>
        <w:tc>
          <w:tcPr>
            <w:tcW w:w="1134" w:type="dxa"/>
            <w:tcBorders>
              <w:bottom w:val="single" w:sz="12" w:space="0" w:color="auto"/>
            </w:tcBorders>
          </w:tcPr>
          <w:p w14:paraId="338C204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Borders>
              <w:bottom w:val="single" w:sz="12" w:space="0" w:color="auto"/>
            </w:tcBorders>
          </w:tcPr>
          <w:p w14:paraId="21C021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728" w:type="dxa"/>
            <w:tcBorders>
              <w:bottom w:val="single" w:sz="12" w:space="0" w:color="auto"/>
            </w:tcBorders>
          </w:tcPr>
          <w:p w14:paraId="62D457E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Borders>
              <w:bottom w:val="single" w:sz="12" w:space="0" w:color="auto"/>
            </w:tcBorders>
          </w:tcPr>
          <w:p w14:paraId="073CCA1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Borders>
              <w:bottom w:val="single" w:sz="12" w:space="0" w:color="auto"/>
            </w:tcBorders>
          </w:tcPr>
          <w:p w14:paraId="42212B9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Borders>
              <w:bottom w:val="single" w:sz="12" w:space="0" w:color="auto"/>
            </w:tcBorders>
          </w:tcPr>
          <w:p w14:paraId="0D92474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8" w:type="dxa"/>
            <w:tcBorders>
              <w:bottom w:val="single" w:sz="12" w:space="0" w:color="auto"/>
            </w:tcBorders>
          </w:tcPr>
          <w:p w14:paraId="3FC444B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60" w:type="dxa"/>
            <w:tcBorders>
              <w:bottom w:val="single" w:sz="12" w:space="0" w:color="auto"/>
            </w:tcBorders>
          </w:tcPr>
          <w:p w14:paraId="678CA12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190F475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62" w:type="dxa"/>
            <w:tcBorders>
              <w:bottom w:val="single" w:sz="12" w:space="0" w:color="auto"/>
            </w:tcBorders>
          </w:tcPr>
          <w:p w14:paraId="7A31675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36BA88B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1AA7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Постановления КО СНК от 4, 16, 29 мая 1940 еще до начала гос. испытаний организовывалось серийное производство И-26-2 на заводах 126, 301 и 292 (198,14).</w:t>
      </w:r>
    </w:p>
    <w:p w14:paraId="72ABB6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Риск. Чтобы его уменьшить победителями конкурса на скоростной истребитель признали также И-200 и И-301 (198,14).</w:t>
      </w:r>
    </w:p>
    <w:p w14:paraId="407AD20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2D8DD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4 по 23 мая 1940 года проходили гос. испытания самолета И-16 М-63 эталона 1940 года</w:t>
      </w:r>
    </w:p>
    <w:p w14:paraId="14AF46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233B8F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2 ранга Кочетков</w:t>
      </w:r>
    </w:p>
    <w:p w14:paraId="3EFBD1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капитан Прошаков</w:t>
      </w:r>
    </w:p>
    <w:p w14:paraId="5DA0EC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0197EBC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доведенности винто-моторной группы И-16 М-63 и проверка работы подвесных бензобаков.</w:t>
      </w:r>
    </w:p>
    <w:p w14:paraId="3C3DC64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Проведение эксплуатационных испытаний для проверки прочности конструкции в связи с увеличением полетного веса и конструктивными изменениями самолета.</w:t>
      </w:r>
    </w:p>
    <w:p w14:paraId="28ED65F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вооружения в воздухе.</w:t>
      </w:r>
    </w:p>
    <w:p w14:paraId="366DB2E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летных характеристик с винтом АВ-1.</w:t>
      </w:r>
    </w:p>
    <w:p w14:paraId="297569F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самолета.</w:t>
      </w:r>
    </w:p>
    <w:p w14:paraId="186FE47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маневренности самолета.</w:t>
      </w:r>
    </w:p>
    <w:p w14:paraId="179D06C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спецоборудования самолета.</w:t>
      </w:r>
    </w:p>
    <w:p w14:paraId="7E1A77D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Летная оценка самолета.</w:t>
      </w:r>
    </w:p>
    <w:p w14:paraId="5874EB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И-16 № 24П2136 типа “24” с мотором М-63 представляет дальнейшую модификацию серийного самолета И-16 типа “10” с М-25В.</w:t>
      </w:r>
    </w:p>
    <w:p w14:paraId="18869F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начаты с 4 мая 1940 года</w:t>
      </w:r>
    </w:p>
    <w:p w14:paraId="7FA168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проведено 104 полета с налетом 24 часа</w:t>
      </w:r>
    </w:p>
    <w:p w14:paraId="6E44641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что эталон самолета И-16 М-63 гос. испытания прошел с замечаниями.</w:t>
      </w:r>
    </w:p>
    <w:p w14:paraId="50C054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7D5DF8" w:rsidRPr="00DB5D0D" w14:paraId="40B0AA7C" w14:textId="77777777" w:rsidTr="009223E5">
        <w:tc>
          <w:tcPr>
            <w:tcW w:w="3024" w:type="dxa"/>
            <w:tcBorders>
              <w:top w:val="single" w:sz="12" w:space="0" w:color="auto"/>
            </w:tcBorders>
          </w:tcPr>
          <w:p w14:paraId="7D82B2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года</w:t>
            </w:r>
          </w:p>
        </w:tc>
        <w:tc>
          <w:tcPr>
            <w:tcW w:w="7574" w:type="dxa"/>
            <w:tcBorders>
              <w:top w:val="single" w:sz="12" w:space="0" w:color="auto"/>
            </w:tcBorders>
          </w:tcPr>
          <w:p w14:paraId="19F3FF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для проверки работы агрегатов и приборов в воздухе</w:t>
            </w:r>
          </w:p>
        </w:tc>
      </w:tr>
      <w:tr w:rsidR="007D5DF8" w:rsidRPr="00DB5D0D" w14:paraId="3FA074A7" w14:textId="77777777" w:rsidTr="009223E5">
        <w:tc>
          <w:tcPr>
            <w:tcW w:w="3024" w:type="dxa"/>
          </w:tcPr>
          <w:p w14:paraId="548930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года</w:t>
            </w:r>
          </w:p>
        </w:tc>
        <w:tc>
          <w:tcPr>
            <w:tcW w:w="7574" w:type="dxa"/>
          </w:tcPr>
          <w:p w14:paraId="2E16E6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замер температурного режима мотора</w:t>
            </w:r>
          </w:p>
        </w:tc>
      </w:tr>
      <w:tr w:rsidR="007D5DF8" w:rsidRPr="00DB5D0D" w14:paraId="538F9CA0" w14:textId="77777777" w:rsidTr="009223E5">
        <w:tc>
          <w:tcPr>
            <w:tcW w:w="3024" w:type="dxa"/>
          </w:tcPr>
          <w:p w14:paraId="09A7F7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w:t>
            </w:r>
          </w:p>
        </w:tc>
        <w:tc>
          <w:tcPr>
            <w:tcW w:w="7574" w:type="dxa"/>
          </w:tcPr>
          <w:p w14:paraId="0BBC58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по кругу на эксплуатационные испытания</w:t>
            </w:r>
          </w:p>
        </w:tc>
      </w:tr>
      <w:tr w:rsidR="007D5DF8" w:rsidRPr="00DB5D0D" w14:paraId="5BAC8E32" w14:textId="77777777" w:rsidTr="009223E5">
        <w:tc>
          <w:tcPr>
            <w:tcW w:w="3024" w:type="dxa"/>
          </w:tcPr>
          <w:p w14:paraId="47787D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года</w:t>
            </w:r>
          </w:p>
        </w:tc>
        <w:tc>
          <w:tcPr>
            <w:tcW w:w="7574" w:type="dxa"/>
          </w:tcPr>
          <w:p w14:paraId="7478DC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полета на эксплуатационные испытания (пилотаж)</w:t>
            </w:r>
          </w:p>
        </w:tc>
      </w:tr>
      <w:tr w:rsidR="007D5DF8" w:rsidRPr="00DB5D0D" w14:paraId="4EF08A5B" w14:textId="77777777" w:rsidTr="009223E5">
        <w:tc>
          <w:tcPr>
            <w:tcW w:w="3024" w:type="dxa"/>
          </w:tcPr>
          <w:p w14:paraId="05D7FD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w:t>
            </w:r>
          </w:p>
        </w:tc>
        <w:tc>
          <w:tcPr>
            <w:tcW w:w="7574" w:type="dxa"/>
          </w:tcPr>
          <w:p w14:paraId="4A1CD3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эксплуатационные испытания (пилотаж)</w:t>
            </w:r>
          </w:p>
        </w:tc>
      </w:tr>
      <w:tr w:rsidR="007D5DF8" w:rsidRPr="00DB5D0D" w14:paraId="103758EC" w14:textId="77777777" w:rsidTr="009223E5">
        <w:tc>
          <w:tcPr>
            <w:tcW w:w="3024" w:type="dxa"/>
          </w:tcPr>
          <w:p w14:paraId="7CF892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w:t>
            </w:r>
          </w:p>
        </w:tc>
        <w:tc>
          <w:tcPr>
            <w:tcW w:w="7574" w:type="dxa"/>
          </w:tcPr>
          <w:p w14:paraId="672BA3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эксплуатационные испытания (пилотаж)</w:t>
            </w:r>
          </w:p>
        </w:tc>
      </w:tr>
      <w:tr w:rsidR="007D5DF8" w:rsidRPr="00DB5D0D" w14:paraId="1654BA04" w14:textId="77777777" w:rsidTr="009223E5">
        <w:tc>
          <w:tcPr>
            <w:tcW w:w="3024" w:type="dxa"/>
          </w:tcPr>
          <w:p w14:paraId="365B15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w:t>
            </w:r>
          </w:p>
        </w:tc>
        <w:tc>
          <w:tcPr>
            <w:tcW w:w="7574" w:type="dxa"/>
          </w:tcPr>
          <w:p w14:paraId="5F5D38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полета на эксплуатационные испытания (пилотаж)</w:t>
            </w:r>
          </w:p>
        </w:tc>
      </w:tr>
      <w:tr w:rsidR="007D5DF8" w:rsidRPr="00DB5D0D" w14:paraId="3DD0C95F" w14:textId="77777777" w:rsidTr="009223E5">
        <w:tc>
          <w:tcPr>
            <w:tcW w:w="3024" w:type="dxa"/>
          </w:tcPr>
          <w:p w14:paraId="4B70EB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w:t>
            </w:r>
          </w:p>
        </w:tc>
        <w:tc>
          <w:tcPr>
            <w:tcW w:w="7574" w:type="dxa"/>
          </w:tcPr>
          <w:p w14:paraId="46080C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Четыре полета на эксплуатационные испытания (пилотаж)</w:t>
            </w:r>
          </w:p>
        </w:tc>
      </w:tr>
      <w:tr w:rsidR="007D5DF8" w:rsidRPr="00DB5D0D" w14:paraId="0F7107A0" w14:textId="77777777" w:rsidTr="009223E5">
        <w:tc>
          <w:tcPr>
            <w:tcW w:w="3024" w:type="dxa"/>
          </w:tcPr>
          <w:p w14:paraId="0DCA28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года</w:t>
            </w:r>
          </w:p>
        </w:tc>
        <w:tc>
          <w:tcPr>
            <w:tcW w:w="7574" w:type="dxa"/>
          </w:tcPr>
          <w:p w14:paraId="1F7966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Эксплуатационные испытания ( один полет на пилотаж, 1 полет на пикирование и 9 полетов по кругу)</w:t>
            </w:r>
          </w:p>
        </w:tc>
      </w:tr>
      <w:tr w:rsidR="007D5DF8" w:rsidRPr="00DB5D0D" w14:paraId="6BD49623" w14:textId="77777777" w:rsidTr="009223E5">
        <w:tc>
          <w:tcPr>
            <w:tcW w:w="3024" w:type="dxa"/>
          </w:tcPr>
          <w:p w14:paraId="7E3E47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7574" w:type="dxa"/>
          </w:tcPr>
          <w:p w14:paraId="364764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километраж</w:t>
            </w:r>
          </w:p>
        </w:tc>
      </w:tr>
      <w:tr w:rsidR="007D5DF8" w:rsidRPr="00DB5D0D" w14:paraId="0050F2CC" w14:textId="77777777" w:rsidTr="009223E5">
        <w:tc>
          <w:tcPr>
            <w:tcW w:w="3024" w:type="dxa"/>
          </w:tcPr>
          <w:p w14:paraId="5590AE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7574" w:type="dxa"/>
          </w:tcPr>
          <w:p w14:paraId="2A8D0D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скороподъемность Н=5000 м</w:t>
            </w:r>
          </w:p>
        </w:tc>
      </w:tr>
      <w:tr w:rsidR="007D5DF8" w:rsidRPr="00DB5D0D" w14:paraId="0B93C660" w14:textId="77777777" w:rsidTr="009223E5">
        <w:tc>
          <w:tcPr>
            <w:tcW w:w="3024" w:type="dxa"/>
          </w:tcPr>
          <w:p w14:paraId="3C7F21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года</w:t>
            </w:r>
          </w:p>
        </w:tc>
        <w:tc>
          <w:tcPr>
            <w:tcW w:w="7574" w:type="dxa"/>
          </w:tcPr>
          <w:p w14:paraId="743AB7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километраж</w:t>
            </w:r>
          </w:p>
        </w:tc>
      </w:tr>
      <w:tr w:rsidR="007D5DF8" w:rsidRPr="00DB5D0D" w14:paraId="01371F1A" w14:textId="77777777" w:rsidTr="009223E5">
        <w:tc>
          <w:tcPr>
            <w:tcW w:w="3024" w:type="dxa"/>
          </w:tcPr>
          <w:p w14:paraId="3F2DFB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года</w:t>
            </w:r>
          </w:p>
        </w:tc>
        <w:tc>
          <w:tcPr>
            <w:tcW w:w="7574" w:type="dxa"/>
          </w:tcPr>
          <w:p w14:paraId="620552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полетов по кругу на эксплуатационные испытания</w:t>
            </w:r>
          </w:p>
        </w:tc>
      </w:tr>
      <w:tr w:rsidR="007D5DF8" w:rsidRPr="00DB5D0D" w14:paraId="63CBB763" w14:textId="77777777" w:rsidTr="009223E5">
        <w:tc>
          <w:tcPr>
            <w:tcW w:w="3024" w:type="dxa"/>
          </w:tcPr>
          <w:p w14:paraId="3AB0C8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w:t>
            </w:r>
          </w:p>
        </w:tc>
        <w:tc>
          <w:tcPr>
            <w:tcW w:w="7574" w:type="dxa"/>
          </w:tcPr>
          <w:p w14:paraId="2AFDC0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скороподъемность Н=7000 м и Н=9000 м</w:t>
            </w:r>
          </w:p>
        </w:tc>
      </w:tr>
      <w:tr w:rsidR="007D5DF8" w:rsidRPr="00DB5D0D" w14:paraId="128E111F" w14:textId="77777777" w:rsidTr="009223E5">
        <w:tc>
          <w:tcPr>
            <w:tcW w:w="3024" w:type="dxa"/>
          </w:tcPr>
          <w:p w14:paraId="19474E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7574" w:type="dxa"/>
          </w:tcPr>
          <w:p w14:paraId="5F8BD5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Замер взлетно-посадочных свойств</w:t>
            </w:r>
          </w:p>
        </w:tc>
      </w:tr>
      <w:tr w:rsidR="007D5DF8" w:rsidRPr="00DB5D0D" w14:paraId="21D6F6CD" w14:textId="77777777" w:rsidTr="009223E5">
        <w:tc>
          <w:tcPr>
            <w:tcW w:w="3024" w:type="dxa"/>
          </w:tcPr>
          <w:p w14:paraId="6F3391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7574" w:type="dxa"/>
          </w:tcPr>
          <w:p w14:paraId="285361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отстрел пулеметов в воздухе</w:t>
            </w:r>
          </w:p>
        </w:tc>
      </w:tr>
      <w:tr w:rsidR="007D5DF8" w:rsidRPr="00DB5D0D" w14:paraId="0D0BEB2A" w14:textId="77777777" w:rsidTr="009223E5">
        <w:tc>
          <w:tcPr>
            <w:tcW w:w="3024" w:type="dxa"/>
          </w:tcPr>
          <w:p w14:paraId="4EC6DE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года</w:t>
            </w:r>
          </w:p>
        </w:tc>
        <w:tc>
          <w:tcPr>
            <w:tcW w:w="7574" w:type="dxa"/>
          </w:tcPr>
          <w:p w14:paraId="3E603C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в воздухе на автоматику</w:t>
            </w:r>
          </w:p>
        </w:tc>
      </w:tr>
      <w:tr w:rsidR="007D5DF8" w:rsidRPr="00DB5D0D" w14:paraId="255049DE" w14:textId="77777777" w:rsidTr="009223E5">
        <w:tc>
          <w:tcPr>
            <w:tcW w:w="3024" w:type="dxa"/>
          </w:tcPr>
          <w:p w14:paraId="1D496D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года</w:t>
            </w:r>
          </w:p>
        </w:tc>
        <w:tc>
          <w:tcPr>
            <w:tcW w:w="7574" w:type="dxa"/>
          </w:tcPr>
          <w:p w14:paraId="250AAB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стрельбу по наземной мишени</w:t>
            </w:r>
          </w:p>
        </w:tc>
      </w:tr>
      <w:tr w:rsidR="007D5DF8" w:rsidRPr="00DB5D0D" w14:paraId="632E3FD7" w14:textId="77777777" w:rsidTr="009223E5">
        <w:tc>
          <w:tcPr>
            <w:tcW w:w="3024" w:type="dxa"/>
            <w:tcBorders>
              <w:bottom w:val="single" w:sz="12" w:space="0" w:color="auto"/>
            </w:tcBorders>
          </w:tcPr>
          <w:p w14:paraId="142E9C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w:t>
            </w:r>
          </w:p>
        </w:tc>
        <w:tc>
          <w:tcPr>
            <w:tcW w:w="7574" w:type="dxa"/>
            <w:tcBorders>
              <w:bottom w:val="single" w:sz="12" w:space="0" w:color="auto"/>
            </w:tcBorders>
          </w:tcPr>
          <w:p w14:paraId="5B2630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стрельбу по конусу</w:t>
            </w:r>
          </w:p>
        </w:tc>
      </w:tr>
    </w:tbl>
    <w:p w14:paraId="005410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(4432).</w:t>
      </w:r>
    </w:p>
    <w:p w14:paraId="341BC93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9033B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постановлением Правительства Як-1 был запущен в массовое производство на 47 заводе в Ленинграде (65,45).</w:t>
      </w:r>
    </w:p>
    <w:p w14:paraId="7C214E8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CF3172"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4 и 5 мая 1940 состоялись обсуждения предложений подкомиссии по развитию системы вооружений ВВС КА на трехлетний период. Докладывал началь</w:t>
      </w:r>
      <w:r w:rsidRPr="00DB5D0D">
        <w:rPr>
          <w:rFonts w:ascii="Times New Roman" w:hAnsi="Times New Roman"/>
          <w:color w:val="000000" w:themeColor="text1"/>
          <w:spacing w:val="0"/>
          <w:sz w:val="16"/>
          <w:szCs w:val="16"/>
        </w:rPr>
        <w:softHyphen/>
        <w:t>ник ГУАС КА комдив П. А. Алексеев. После завер</w:t>
      </w:r>
      <w:r w:rsidRPr="00DB5D0D">
        <w:rPr>
          <w:rFonts w:ascii="Times New Roman" w:hAnsi="Times New Roman"/>
          <w:color w:val="000000" w:themeColor="text1"/>
          <w:spacing w:val="0"/>
          <w:sz w:val="16"/>
          <w:szCs w:val="16"/>
        </w:rPr>
        <w:softHyphen/>
        <w:t>шения работы комиссии обобщенные материалы были направлены наркому обороны и в 5-й отдел секретариата Комитета обороны.</w:t>
      </w:r>
    </w:p>
    <w:p w14:paraId="3BA89B23"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Из документов следует, что основным оружием истребителей и штурмовиков должна была стать 23-мм пушка. Автомат этого калибра предполага</w:t>
      </w:r>
      <w:r w:rsidRPr="00DB5D0D">
        <w:rPr>
          <w:rFonts w:ascii="Times New Roman" w:hAnsi="Times New Roman"/>
          <w:color w:val="000000" w:themeColor="text1"/>
          <w:spacing w:val="0"/>
          <w:sz w:val="16"/>
          <w:szCs w:val="16"/>
        </w:rPr>
        <w:softHyphen/>
        <w:t>лось иметь в моторном, крыльевом и фюзеляжном (синхронном) вариантах.</w:t>
      </w:r>
    </w:p>
    <w:p w14:paraId="4E545472"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lastRenderedPageBreak/>
        <w:t>Состав стрелково-пушечного вооружения одно</w:t>
      </w:r>
      <w:r w:rsidRPr="00DB5D0D">
        <w:rPr>
          <w:rFonts w:ascii="Times New Roman" w:hAnsi="Times New Roman"/>
          <w:color w:val="000000" w:themeColor="text1"/>
          <w:spacing w:val="0"/>
          <w:sz w:val="16"/>
          <w:szCs w:val="16"/>
        </w:rPr>
        <w:softHyphen/>
        <w:t>моторного истребителя включал 1 пушку калибра 23 мм, а скоростного двухмоторного истребителя и штурмовика — 1 или 2 таких пушки. Помимо пу</w:t>
      </w:r>
      <w:r w:rsidRPr="00DB5D0D">
        <w:rPr>
          <w:rFonts w:ascii="Times New Roman" w:hAnsi="Times New Roman"/>
          <w:color w:val="000000" w:themeColor="text1"/>
          <w:spacing w:val="0"/>
          <w:sz w:val="16"/>
          <w:szCs w:val="16"/>
        </w:rPr>
        <w:softHyphen/>
        <w:t>шек, «основным видом крупнокалиберного пуле</w:t>
      </w:r>
      <w:r w:rsidRPr="00DB5D0D">
        <w:rPr>
          <w:rFonts w:ascii="Times New Roman" w:hAnsi="Times New Roman"/>
          <w:color w:val="000000" w:themeColor="text1"/>
          <w:spacing w:val="0"/>
          <w:sz w:val="16"/>
          <w:szCs w:val="16"/>
        </w:rPr>
        <w:softHyphen/>
        <w:t>метного вооружения истребителей» считался син</w:t>
      </w:r>
      <w:r w:rsidRPr="00DB5D0D">
        <w:rPr>
          <w:rFonts w:ascii="Times New Roman" w:hAnsi="Times New Roman"/>
          <w:color w:val="000000" w:themeColor="text1"/>
          <w:spacing w:val="0"/>
          <w:sz w:val="16"/>
          <w:szCs w:val="16"/>
        </w:rPr>
        <w:softHyphen/>
        <w:t>хронный пулемет БС калибра 12,7 мм конструкции М. Е. Березина (ЦКБ-14). В качестве дополнительно</w:t>
      </w:r>
      <w:r w:rsidRPr="00DB5D0D">
        <w:rPr>
          <w:rFonts w:ascii="Times New Roman" w:hAnsi="Times New Roman"/>
          <w:color w:val="000000" w:themeColor="text1"/>
          <w:spacing w:val="0"/>
          <w:sz w:val="16"/>
          <w:szCs w:val="16"/>
        </w:rPr>
        <w:softHyphen/>
        <w:t>го вооружения рассматривались синхронные пу</w:t>
      </w:r>
      <w:r w:rsidRPr="00DB5D0D">
        <w:rPr>
          <w:rFonts w:ascii="Times New Roman" w:hAnsi="Times New Roman"/>
          <w:color w:val="000000" w:themeColor="text1"/>
          <w:spacing w:val="0"/>
          <w:sz w:val="16"/>
          <w:szCs w:val="16"/>
        </w:rPr>
        <w:softHyphen/>
        <w:t>леметы нормального калибра ШКАС. Боекомплект к пушкам включал 100—120, к пулеметам крупного калибра — 200—400 и к пулеметам ШКАС — 500— 600 патронов на ствол.</w:t>
      </w:r>
    </w:p>
    <w:p w14:paraId="1438853D"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Предлагалось, «ввиду неудовлетворительности баллистики 20-мм пушек ШВАК и маломощности ее снаряда по сравнению с 20-мм иностранными пушками, — в месячный срок испытать и ввести на вооружение 23-мм пушку из числа трех образцов (Таубина, Волкова—Ярцева и Салищева—Галкина), находящихся на испытании». То есть калибр 20 мм исключался из системы авиационных автоматов для боевой авиации. Это важно для понимания хо</w:t>
      </w:r>
      <w:r w:rsidRPr="00DB5D0D">
        <w:rPr>
          <w:rFonts w:ascii="Times New Roman" w:hAnsi="Times New Roman"/>
          <w:color w:val="000000" w:themeColor="text1"/>
          <w:spacing w:val="0"/>
          <w:sz w:val="16"/>
          <w:szCs w:val="16"/>
        </w:rPr>
        <w:softHyphen/>
        <w:t>да последующих событий.</w:t>
      </w:r>
    </w:p>
    <w:p w14:paraId="575C373F"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Одновременно считалось необходимым в тот же самый месячный срок закончить испытания и по</w:t>
      </w:r>
      <w:r w:rsidRPr="00DB5D0D">
        <w:rPr>
          <w:rFonts w:ascii="Times New Roman" w:hAnsi="Times New Roman"/>
          <w:color w:val="000000" w:themeColor="text1"/>
          <w:spacing w:val="0"/>
          <w:sz w:val="16"/>
          <w:szCs w:val="16"/>
        </w:rPr>
        <w:softHyphen/>
        <w:t>ставить на снабжение ВВС турельный и крыльевой варианты пулемета Березина.</w:t>
      </w:r>
    </w:p>
    <w:p w14:paraId="07C04DAC"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Массовый пулемет нормального калибра ШКАС в турельном, синхронном и крыльевом вариантах оставался на вооружении. Но из-за сложности экс</w:t>
      </w:r>
      <w:r w:rsidRPr="00DB5D0D">
        <w:rPr>
          <w:rFonts w:ascii="Times New Roman" w:hAnsi="Times New Roman"/>
          <w:color w:val="000000" w:themeColor="text1"/>
          <w:spacing w:val="0"/>
          <w:sz w:val="16"/>
          <w:szCs w:val="16"/>
        </w:rPr>
        <w:softHyphen/>
        <w:t>плуатации и невозможности устранения в воздухе большинства задержек его предполагалось заме</w:t>
      </w:r>
      <w:r w:rsidRPr="00DB5D0D">
        <w:rPr>
          <w:rFonts w:ascii="Times New Roman" w:hAnsi="Times New Roman"/>
          <w:color w:val="000000" w:themeColor="text1"/>
          <w:spacing w:val="0"/>
          <w:sz w:val="16"/>
          <w:szCs w:val="16"/>
        </w:rPr>
        <w:softHyphen/>
        <w:t>нить более простым пулеметом с темпом стрель</w:t>
      </w:r>
      <w:r w:rsidRPr="00DB5D0D">
        <w:rPr>
          <w:rFonts w:ascii="Times New Roman" w:hAnsi="Times New Roman"/>
          <w:color w:val="000000" w:themeColor="text1"/>
          <w:spacing w:val="0"/>
          <w:sz w:val="16"/>
          <w:szCs w:val="16"/>
        </w:rPr>
        <w:softHyphen/>
        <w:t>бы 1800—2000 выстр./мин. Пулемет Ультра-ШКАС, как не освоенный промышленностью, с произ</w:t>
      </w:r>
      <w:r w:rsidRPr="00DB5D0D">
        <w:rPr>
          <w:rFonts w:ascii="Times New Roman" w:hAnsi="Times New Roman"/>
          <w:color w:val="000000" w:themeColor="text1"/>
          <w:spacing w:val="0"/>
          <w:sz w:val="16"/>
          <w:szCs w:val="16"/>
        </w:rPr>
        <w:softHyphen/>
        <w:t>водства следовало снять, а взамен поставить на вооружение более простой и надежный пулемет СН (2800—3000 выстр./мин) конструкции И. В. Са</w:t>
      </w:r>
      <w:r w:rsidRPr="00DB5D0D">
        <w:rPr>
          <w:rFonts w:ascii="Times New Roman" w:hAnsi="Times New Roman"/>
          <w:color w:val="000000" w:themeColor="text1"/>
          <w:spacing w:val="0"/>
          <w:sz w:val="16"/>
          <w:szCs w:val="16"/>
        </w:rPr>
        <w:softHyphen/>
        <w:t>вина и А. К. Норова в турельном и синхронном ва</w:t>
      </w:r>
      <w:r w:rsidRPr="00DB5D0D">
        <w:rPr>
          <w:rFonts w:ascii="Times New Roman" w:hAnsi="Times New Roman"/>
          <w:color w:val="000000" w:themeColor="text1"/>
          <w:spacing w:val="0"/>
          <w:sz w:val="16"/>
          <w:szCs w:val="16"/>
        </w:rPr>
        <w:softHyphen/>
        <w:t>риантах.</w:t>
      </w:r>
    </w:p>
    <w:p w14:paraId="77707488"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Планировалось продолжить отработку 37-мм автомата весом 150—160 кг с начальной скоростью снаряда (вес 700 г) 910—920 м/с и темпом стрель</w:t>
      </w:r>
      <w:r w:rsidRPr="00DB5D0D">
        <w:rPr>
          <w:rFonts w:ascii="Times New Roman" w:hAnsi="Times New Roman"/>
          <w:color w:val="000000" w:themeColor="text1"/>
          <w:spacing w:val="0"/>
          <w:sz w:val="16"/>
          <w:szCs w:val="16"/>
        </w:rPr>
        <w:softHyphen/>
        <w:t>бы 200 выстр./мин, и одновременно разработать образец с уменьшенной баллистикой и весом — 600—700 м/с и 90 кг.</w:t>
      </w:r>
    </w:p>
    <w:p w14:paraId="30337653"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Ракетные снаряды с осколочно-фугасной боевой частью калибра 82 мм считались «основным видом крупнокалиберного вооружения истребителей», а для вооружения штурмовиков, ближних бом</w:t>
      </w:r>
      <w:r w:rsidRPr="00DB5D0D">
        <w:rPr>
          <w:rFonts w:ascii="Times New Roman" w:hAnsi="Times New Roman"/>
          <w:color w:val="000000" w:themeColor="text1"/>
          <w:spacing w:val="0"/>
          <w:sz w:val="16"/>
          <w:szCs w:val="16"/>
        </w:rPr>
        <w:softHyphen/>
        <w:t>бардировщиков и двухмоторных истребителей — «ракетный осколочно-фугасный снаряд калибра 132 мм». Одновременно требовалось «разработать и испытать в 1940 г. зажигательный и бронебойный типы снарядов».</w:t>
      </w:r>
    </w:p>
    <w:p w14:paraId="414F1DCD"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Предполагалось «закончить испытание и ввести в 1940 г. на вооружение для действий по танкам, бронемашинам и артиллерии 25-кг штатную оско</w:t>
      </w:r>
      <w:r w:rsidRPr="00DB5D0D">
        <w:rPr>
          <w:rFonts w:ascii="Times New Roman" w:hAnsi="Times New Roman"/>
          <w:color w:val="000000" w:themeColor="text1"/>
          <w:spacing w:val="0"/>
          <w:sz w:val="16"/>
          <w:szCs w:val="16"/>
        </w:rPr>
        <w:softHyphen/>
        <w:t>лочную авиабомбу (АО-25)», дающую при разрыве большое количество высокоскоростных массив</w:t>
      </w:r>
      <w:r w:rsidRPr="00DB5D0D">
        <w:rPr>
          <w:rFonts w:ascii="Times New Roman" w:hAnsi="Times New Roman"/>
          <w:color w:val="000000" w:themeColor="text1"/>
          <w:spacing w:val="0"/>
          <w:sz w:val="16"/>
          <w:szCs w:val="16"/>
        </w:rPr>
        <w:softHyphen/>
        <w:t>ных осколков, а также «закончить /.../ разработку и ускорить ввод на вооружение взрывателя с за</w:t>
      </w:r>
      <w:r w:rsidRPr="00DB5D0D">
        <w:rPr>
          <w:rFonts w:ascii="Times New Roman" w:hAnsi="Times New Roman"/>
          <w:color w:val="000000" w:themeColor="text1"/>
          <w:spacing w:val="0"/>
          <w:sz w:val="16"/>
          <w:szCs w:val="16"/>
        </w:rPr>
        <w:softHyphen/>
        <w:t>медлением к осколочным бомбам для штурмового действия».</w:t>
      </w:r>
    </w:p>
    <w:p w14:paraId="13371E89"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 ряду зажигательных средств поражения тан</w:t>
      </w:r>
      <w:r w:rsidRPr="00DB5D0D">
        <w:rPr>
          <w:rFonts w:ascii="Times New Roman" w:hAnsi="Times New Roman"/>
          <w:color w:val="000000" w:themeColor="text1"/>
          <w:spacing w:val="0"/>
          <w:sz w:val="16"/>
          <w:szCs w:val="16"/>
        </w:rPr>
        <w:softHyphen/>
        <w:t>ков на вооружении оставались химические ампулы диаметром 125 или 265 мм, снаряженные специ</w:t>
      </w:r>
      <w:r w:rsidRPr="00DB5D0D">
        <w:rPr>
          <w:rFonts w:ascii="Times New Roman" w:hAnsi="Times New Roman"/>
          <w:color w:val="000000" w:themeColor="text1"/>
          <w:spacing w:val="0"/>
          <w:sz w:val="16"/>
          <w:szCs w:val="16"/>
        </w:rPr>
        <w:softHyphen/>
        <w:t>альными огневыми смесями. Считалось, что огнес- меси являются эффективными и, главное, универ</w:t>
      </w:r>
      <w:r w:rsidRPr="00DB5D0D">
        <w:rPr>
          <w:rFonts w:ascii="Times New Roman" w:hAnsi="Times New Roman"/>
          <w:color w:val="000000" w:themeColor="text1"/>
          <w:spacing w:val="0"/>
          <w:sz w:val="16"/>
          <w:szCs w:val="16"/>
        </w:rPr>
        <w:softHyphen/>
        <w:t>сальными средствами борьбы с танками, так как «любой горевший танк является безвозвратной по</w:t>
      </w:r>
      <w:r w:rsidRPr="00DB5D0D">
        <w:rPr>
          <w:rFonts w:ascii="Times New Roman" w:hAnsi="Times New Roman"/>
          <w:color w:val="000000" w:themeColor="text1"/>
          <w:spacing w:val="0"/>
          <w:sz w:val="16"/>
          <w:szCs w:val="16"/>
        </w:rPr>
        <w:softHyphen/>
        <w:t>терей».</w:t>
      </w:r>
    </w:p>
    <w:p w14:paraId="449B382C"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Таким образом, на ближайшие три года (до 1943 г.) предлагалась система вооружения ВВС КА с противотанковой компонентой в составе: автома</w:t>
      </w:r>
      <w:r w:rsidRPr="00DB5D0D">
        <w:rPr>
          <w:rFonts w:ascii="Times New Roman" w:hAnsi="Times New Roman"/>
          <w:color w:val="000000" w:themeColor="text1"/>
          <w:spacing w:val="0"/>
          <w:sz w:val="16"/>
          <w:szCs w:val="16"/>
        </w:rPr>
        <w:softHyphen/>
        <w:t>тов калибра 23 (основной) и 37 (дополнительный) мм, ракетных бронебойных и осколочно-фугасных снарядов калибра 82 и 132 мм, зажигательных ам</w:t>
      </w:r>
      <w:r w:rsidRPr="00DB5D0D">
        <w:rPr>
          <w:rFonts w:ascii="Times New Roman" w:hAnsi="Times New Roman"/>
          <w:color w:val="000000" w:themeColor="text1"/>
          <w:spacing w:val="0"/>
          <w:sz w:val="16"/>
          <w:szCs w:val="16"/>
        </w:rPr>
        <w:softHyphen/>
        <w:t>пул АЖ-2, снаряженных огневыми смесями, а также осколочных бомб калибра 25 кг.</w:t>
      </w:r>
    </w:p>
    <w:p w14:paraId="11C6D7FD"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Основу бро</w:t>
      </w:r>
      <w:r w:rsidRPr="00DB5D0D">
        <w:rPr>
          <w:rFonts w:ascii="Times New Roman" w:hAnsi="Times New Roman"/>
          <w:color w:val="000000" w:themeColor="text1"/>
          <w:spacing w:val="0"/>
          <w:sz w:val="16"/>
          <w:szCs w:val="16"/>
        </w:rPr>
        <w:softHyphen/>
        <w:t>нетанковых сил к этому времени, как вероятного противника, так и Красной Армии, составляли лег</w:t>
      </w:r>
      <w:r w:rsidRPr="00DB5D0D">
        <w:rPr>
          <w:rFonts w:ascii="Times New Roman" w:hAnsi="Times New Roman"/>
          <w:color w:val="000000" w:themeColor="text1"/>
          <w:spacing w:val="0"/>
          <w:sz w:val="16"/>
          <w:szCs w:val="16"/>
        </w:rPr>
        <w:softHyphen/>
        <w:t>кие танки с броней толщиной до 25 мм. Это позво</w:t>
      </w:r>
      <w:r w:rsidRPr="00DB5D0D">
        <w:rPr>
          <w:rFonts w:ascii="Times New Roman" w:hAnsi="Times New Roman"/>
          <w:color w:val="000000" w:themeColor="text1"/>
          <w:spacing w:val="0"/>
          <w:sz w:val="16"/>
          <w:szCs w:val="16"/>
        </w:rPr>
        <w:softHyphen/>
        <w:t>ляло вполне уверенно работать по бронетехнике авиацией, вооруженной пушками калибра 23 мм. При этом боевые самолеты с такими пушками мог</w:t>
      </w:r>
      <w:r w:rsidRPr="00DB5D0D">
        <w:rPr>
          <w:rFonts w:ascii="Times New Roman" w:hAnsi="Times New Roman"/>
          <w:color w:val="000000" w:themeColor="text1"/>
          <w:spacing w:val="0"/>
          <w:sz w:val="16"/>
          <w:szCs w:val="16"/>
        </w:rPr>
        <w:softHyphen/>
        <w:t>ли с высокой эффективностью действовать оско- лочно-зажигательными снарядами по живой силе и широкому спектру военной техники — самоле</w:t>
      </w:r>
      <w:r w:rsidRPr="00DB5D0D">
        <w:rPr>
          <w:rFonts w:ascii="Times New Roman" w:hAnsi="Times New Roman"/>
          <w:color w:val="000000" w:themeColor="text1"/>
          <w:spacing w:val="0"/>
          <w:sz w:val="16"/>
          <w:szCs w:val="16"/>
        </w:rPr>
        <w:softHyphen/>
        <w:t>там на земле и в воздухе, автомашинам, артилле</w:t>
      </w:r>
      <w:r w:rsidRPr="00DB5D0D">
        <w:rPr>
          <w:rFonts w:ascii="Times New Roman" w:hAnsi="Times New Roman"/>
          <w:color w:val="000000" w:themeColor="text1"/>
          <w:spacing w:val="0"/>
          <w:sz w:val="16"/>
          <w:szCs w:val="16"/>
        </w:rPr>
        <w:softHyphen/>
        <w:t>рии и т.д.</w:t>
      </w:r>
    </w:p>
    <w:p w14:paraId="1458BCE2"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Другими словами, калибр 23 мм вполне подхо</w:t>
      </w:r>
      <w:r w:rsidRPr="00DB5D0D">
        <w:rPr>
          <w:rFonts w:ascii="Times New Roman" w:hAnsi="Times New Roman"/>
          <w:color w:val="000000" w:themeColor="text1"/>
          <w:spacing w:val="0"/>
          <w:sz w:val="16"/>
          <w:szCs w:val="16"/>
        </w:rPr>
        <w:softHyphen/>
        <w:t>дил на роль универсального калибра для авиаци</w:t>
      </w:r>
      <w:r w:rsidRPr="00DB5D0D">
        <w:rPr>
          <w:rFonts w:ascii="Times New Roman" w:hAnsi="Times New Roman"/>
          <w:color w:val="000000" w:themeColor="text1"/>
          <w:spacing w:val="0"/>
          <w:sz w:val="16"/>
          <w:szCs w:val="16"/>
        </w:rPr>
        <w:softHyphen/>
        <w:t>онного пушечного вооружения (эффективный по большинству целей боеприпас, значительная плот</w:t>
      </w:r>
      <w:r w:rsidRPr="00DB5D0D">
        <w:rPr>
          <w:rFonts w:ascii="Times New Roman" w:hAnsi="Times New Roman"/>
          <w:color w:val="000000" w:themeColor="text1"/>
          <w:spacing w:val="0"/>
          <w:sz w:val="16"/>
          <w:szCs w:val="16"/>
        </w:rPr>
        <w:softHyphen/>
        <w:t>ность огня на цели за счет высокого темпа стрель</w:t>
      </w:r>
      <w:r w:rsidRPr="00DB5D0D">
        <w:rPr>
          <w:rFonts w:ascii="Times New Roman" w:hAnsi="Times New Roman"/>
          <w:color w:val="000000" w:themeColor="text1"/>
          <w:spacing w:val="0"/>
          <w:sz w:val="16"/>
          <w:szCs w:val="16"/>
        </w:rPr>
        <w:softHyphen/>
        <w:t>бы, приемлемый вес и габариты для установки на истребители и штурмовики).</w:t>
      </w:r>
    </w:p>
    <w:p w14:paraId="2B52F7E1"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Особый интерес представляла схема вооруже</w:t>
      </w:r>
      <w:r w:rsidRPr="00DB5D0D">
        <w:rPr>
          <w:rFonts w:ascii="Times New Roman" w:hAnsi="Times New Roman"/>
          <w:color w:val="000000" w:themeColor="text1"/>
          <w:spacing w:val="0"/>
          <w:sz w:val="16"/>
          <w:szCs w:val="16"/>
        </w:rPr>
        <w:softHyphen/>
        <w:t>ния в составе 23-мм пушек и пулеметов калибра 12,7 мм. Сочетание автоматов этих калибров обе</w:t>
      </w:r>
      <w:r w:rsidRPr="00DB5D0D">
        <w:rPr>
          <w:rFonts w:ascii="Times New Roman" w:hAnsi="Times New Roman"/>
          <w:color w:val="000000" w:themeColor="text1"/>
          <w:spacing w:val="0"/>
          <w:sz w:val="16"/>
          <w:szCs w:val="16"/>
        </w:rPr>
        <w:softHyphen/>
        <w:t>спечивало высокую вероятность поражения как цельнометаллических самолетов всех типов, так и легкобронированной техники при приемлемом для ведения боя размере боекомплекта (время не</w:t>
      </w:r>
      <w:r w:rsidRPr="00DB5D0D">
        <w:rPr>
          <w:rFonts w:ascii="Times New Roman" w:hAnsi="Times New Roman"/>
          <w:color w:val="000000" w:themeColor="text1"/>
          <w:spacing w:val="0"/>
          <w:sz w:val="16"/>
          <w:szCs w:val="16"/>
        </w:rPr>
        <w:softHyphen/>
        <w:t>прерывной стрельбы).</w:t>
      </w:r>
    </w:p>
    <w:p w14:paraId="28FC3B0C"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Авиационные пушки калибра 37 мм в силу меньшего темпа стрельбы, большого веса и габари</w:t>
      </w:r>
      <w:r w:rsidRPr="00DB5D0D">
        <w:rPr>
          <w:rFonts w:ascii="Times New Roman" w:hAnsi="Times New Roman"/>
          <w:color w:val="000000" w:themeColor="text1"/>
          <w:spacing w:val="0"/>
          <w:sz w:val="16"/>
          <w:szCs w:val="16"/>
        </w:rPr>
        <w:softHyphen/>
        <w:t>тов, а также повышенной силы отдачи при стрельбе обладали худшими возможностями по установке на боевые самолеты, несмотря на высокую эффектив</w:t>
      </w:r>
      <w:r w:rsidRPr="00DB5D0D">
        <w:rPr>
          <w:rFonts w:ascii="Times New Roman" w:hAnsi="Times New Roman"/>
          <w:color w:val="000000" w:themeColor="text1"/>
          <w:spacing w:val="0"/>
          <w:sz w:val="16"/>
          <w:szCs w:val="16"/>
        </w:rPr>
        <w:softHyphen/>
        <w:t>ность их боеприпасов при действии по бронетех</w:t>
      </w:r>
      <w:r w:rsidRPr="00DB5D0D">
        <w:rPr>
          <w:rFonts w:ascii="Times New Roman" w:hAnsi="Times New Roman"/>
          <w:color w:val="000000" w:themeColor="text1"/>
          <w:spacing w:val="0"/>
          <w:sz w:val="16"/>
          <w:szCs w:val="16"/>
        </w:rPr>
        <w:softHyphen/>
        <w:t>нике с толщиной брони до 35—40 мм и многомо</w:t>
      </w:r>
      <w:r w:rsidRPr="00DB5D0D">
        <w:rPr>
          <w:rFonts w:ascii="Times New Roman" w:hAnsi="Times New Roman"/>
          <w:color w:val="000000" w:themeColor="text1"/>
          <w:spacing w:val="0"/>
          <w:sz w:val="16"/>
          <w:szCs w:val="16"/>
        </w:rPr>
        <w:softHyphen/>
        <w:t>торным самолетам. Их производство ввиду ограни</w:t>
      </w:r>
      <w:r w:rsidRPr="00DB5D0D">
        <w:rPr>
          <w:rFonts w:ascii="Times New Roman" w:hAnsi="Times New Roman"/>
          <w:color w:val="000000" w:themeColor="text1"/>
          <w:spacing w:val="0"/>
          <w:sz w:val="16"/>
          <w:szCs w:val="16"/>
        </w:rPr>
        <w:softHyphen/>
        <w:t>ченного числа решаемых боевых задач виделось в заметно меньших масштабах по сравнению с пуш</w:t>
      </w:r>
      <w:r w:rsidRPr="00DB5D0D">
        <w:rPr>
          <w:rFonts w:ascii="Times New Roman" w:hAnsi="Times New Roman"/>
          <w:color w:val="000000" w:themeColor="text1"/>
          <w:spacing w:val="0"/>
          <w:sz w:val="16"/>
          <w:szCs w:val="16"/>
        </w:rPr>
        <w:softHyphen/>
        <w:t>ками калибра 23 мм.</w:t>
      </w:r>
    </w:p>
    <w:p w14:paraId="6F71F9B2"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Важно отметить, что на тот момент в ВВС КА основной схемой размещения оружия на одномо</w:t>
      </w:r>
      <w:r w:rsidRPr="00DB5D0D">
        <w:rPr>
          <w:rFonts w:ascii="Times New Roman" w:hAnsi="Times New Roman"/>
          <w:color w:val="000000" w:themeColor="text1"/>
          <w:spacing w:val="0"/>
          <w:sz w:val="16"/>
          <w:szCs w:val="16"/>
        </w:rPr>
        <w:softHyphen/>
        <w:t>торных и двухмоторных истребителях считалась центральная, то есть когда пулеметы и пушки раз</w:t>
      </w:r>
      <w:r w:rsidRPr="00DB5D0D">
        <w:rPr>
          <w:rFonts w:ascii="Times New Roman" w:hAnsi="Times New Roman"/>
          <w:color w:val="000000" w:themeColor="text1"/>
          <w:spacing w:val="0"/>
          <w:sz w:val="16"/>
          <w:szCs w:val="16"/>
        </w:rPr>
        <w:softHyphen/>
        <w:t>мещаются вблизи продольной оси самолета. При этом на одномоторных истребителях с мотором жидкостного охлаждения пушка устанавливалась на моторе для стрельбы через по</w:t>
      </w:r>
      <w:r w:rsidRPr="00DB5D0D">
        <w:rPr>
          <w:rFonts w:ascii="Times New Roman" w:hAnsi="Times New Roman"/>
          <w:color w:val="000000" w:themeColor="text1"/>
          <w:spacing w:val="0"/>
          <w:sz w:val="16"/>
          <w:szCs w:val="16"/>
        </w:rPr>
        <w:softHyphen/>
        <w:t>лый вал воздушного винта, а пуле</w:t>
      </w:r>
      <w:r w:rsidRPr="00DB5D0D">
        <w:rPr>
          <w:rFonts w:ascii="Times New Roman" w:hAnsi="Times New Roman"/>
          <w:color w:val="000000" w:themeColor="text1"/>
          <w:spacing w:val="0"/>
          <w:sz w:val="16"/>
          <w:szCs w:val="16"/>
        </w:rPr>
        <w:softHyphen/>
        <w:t>меты крупного калибра — в фю</w:t>
      </w:r>
      <w:r w:rsidRPr="00DB5D0D">
        <w:rPr>
          <w:rFonts w:ascii="Times New Roman" w:hAnsi="Times New Roman"/>
          <w:color w:val="000000" w:themeColor="text1"/>
          <w:spacing w:val="0"/>
          <w:sz w:val="16"/>
          <w:szCs w:val="16"/>
        </w:rPr>
        <w:softHyphen/>
        <w:t>зеляже на синхронной установке. Для одномоторных истребителей с мотором воздушного охлаждения предполагалось использовать толь</w:t>
      </w:r>
      <w:r w:rsidRPr="00DB5D0D">
        <w:rPr>
          <w:rFonts w:ascii="Times New Roman" w:hAnsi="Times New Roman"/>
          <w:color w:val="000000" w:themeColor="text1"/>
          <w:spacing w:val="0"/>
          <w:sz w:val="16"/>
          <w:szCs w:val="16"/>
        </w:rPr>
        <w:softHyphen/>
        <w:t>ко синхронное оружие, главным образом крупнокалиберные пуле</w:t>
      </w:r>
      <w:r w:rsidRPr="00DB5D0D">
        <w:rPr>
          <w:rFonts w:ascii="Times New Roman" w:hAnsi="Times New Roman"/>
          <w:color w:val="000000" w:themeColor="text1"/>
          <w:spacing w:val="0"/>
          <w:sz w:val="16"/>
          <w:szCs w:val="16"/>
        </w:rPr>
        <w:softHyphen/>
        <w:t>меты. Центральная схема в разы уменьшала рассеивание боеприпа</w:t>
      </w:r>
      <w:r w:rsidRPr="00DB5D0D">
        <w:rPr>
          <w:rFonts w:ascii="Times New Roman" w:hAnsi="Times New Roman"/>
          <w:color w:val="000000" w:themeColor="text1"/>
          <w:spacing w:val="0"/>
          <w:sz w:val="16"/>
          <w:szCs w:val="16"/>
        </w:rPr>
        <w:softHyphen/>
        <w:t>сов при стрельбе в воздухе по срав</w:t>
      </w:r>
      <w:r w:rsidRPr="00DB5D0D">
        <w:rPr>
          <w:rFonts w:ascii="Times New Roman" w:hAnsi="Times New Roman"/>
          <w:color w:val="000000" w:themeColor="text1"/>
          <w:spacing w:val="0"/>
          <w:sz w:val="16"/>
          <w:szCs w:val="16"/>
        </w:rPr>
        <w:softHyphen/>
        <w:t>нению с крыльевыми установками. Это заметно повышало вероятность поражения цели, даже несмотря на некоторое (20—30%) пониже</w:t>
      </w:r>
      <w:r w:rsidRPr="00DB5D0D">
        <w:rPr>
          <w:rFonts w:ascii="Times New Roman" w:hAnsi="Times New Roman"/>
          <w:color w:val="000000" w:themeColor="text1"/>
          <w:spacing w:val="0"/>
          <w:sz w:val="16"/>
          <w:szCs w:val="16"/>
        </w:rPr>
        <w:softHyphen/>
        <w:t>ние темпа стрельбы оружия за счет синхрони</w:t>
      </w:r>
      <w:r w:rsidRPr="00DB5D0D">
        <w:rPr>
          <w:rFonts w:ascii="Times New Roman" w:hAnsi="Times New Roman"/>
          <w:color w:val="000000" w:themeColor="text1"/>
          <w:spacing w:val="0"/>
          <w:sz w:val="16"/>
          <w:szCs w:val="16"/>
        </w:rPr>
        <w:softHyphen/>
        <w:t>зации.</w:t>
      </w:r>
    </w:p>
    <w:p w14:paraId="028526AA"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Поражение танков всех типов, в том числе с тол</w:t>
      </w:r>
      <w:r w:rsidRPr="00DB5D0D">
        <w:rPr>
          <w:rFonts w:ascii="Times New Roman" w:hAnsi="Times New Roman"/>
          <w:color w:val="000000" w:themeColor="text1"/>
          <w:spacing w:val="0"/>
          <w:sz w:val="16"/>
          <w:szCs w:val="16"/>
        </w:rPr>
        <w:softHyphen/>
        <w:t>щиной брони 50—75 мм, равно как и других круп</w:t>
      </w:r>
      <w:r w:rsidRPr="00DB5D0D">
        <w:rPr>
          <w:rFonts w:ascii="Times New Roman" w:hAnsi="Times New Roman"/>
          <w:color w:val="000000" w:themeColor="text1"/>
          <w:spacing w:val="0"/>
          <w:sz w:val="16"/>
          <w:szCs w:val="16"/>
        </w:rPr>
        <w:softHyphen/>
        <w:t>ных целей (паровозы, ж.-д. эшелоны, боевые кате</w:t>
      </w:r>
      <w:r w:rsidRPr="00DB5D0D">
        <w:rPr>
          <w:rFonts w:ascii="Times New Roman" w:hAnsi="Times New Roman"/>
          <w:color w:val="000000" w:themeColor="text1"/>
          <w:spacing w:val="0"/>
          <w:sz w:val="16"/>
          <w:szCs w:val="16"/>
        </w:rPr>
        <w:softHyphen/>
        <w:t>ра и т.д.), предполагалось обеспечивать ракетными снарядами с осколочно-фугасной и бронебойной частью калибра 82 и 132 мм, а также химическими ампулами с зажигательными смесями различного типа.</w:t>
      </w:r>
    </w:p>
    <w:p w14:paraId="49290B1E" w14:textId="77777777" w:rsidR="00C727A9" w:rsidRPr="00DB5D0D" w:rsidRDefault="00C727A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Осколочные авиабомбы калибра 25 кг являлись в этом ряду наиболее слабым средством борьбы с бронетехникой вследствие невысокой вероят</w:t>
      </w:r>
      <w:r w:rsidRPr="00DB5D0D">
        <w:rPr>
          <w:rFonts w:ascii="Times New Roman" w:hAnsi="Times New Roman"/>
          <w:color w:val="000000" w:themeColor="text1"/>
          <w:spacing w:val="0"/>
          <w:sz w:val="16"/>
          <w:szCs w:val="16"/>
        </w:rPr>
        <w:softHyphen/>
        <w:t>ности попадания в танк даже с небольшой высо</w:t>
      </w:r>
      <w:r w:rsidRPr="00DB5D0D">
        <w:rPr>
          <w:rFonts w:ascii="Times New Roman" w:hAnsi="Times New Roman"/>
          <w:color w:val="000000" w:themeColor="text1"/>
          <w:spacing w:val="0"/>
          <w:sz w:val="16"/>
          <w:szCs w:val="16"/>
        </w:rPr>
        <w:softHyphen/>
        <w:t>ты и в условиях полигона. Применение бомб по танкам было вполне эффективным лишь при бом</w:t>
      </w:r>
      <w:r w:rsidRPr="00DB5D0D">
        <w:rPr>
          <w:rFonts w:ascii="Times New Roman" w:hAnsi="Times New Roman"/>
          <w:color w:val="000000" w:themeColor="text1"/>
          <w:spacing w:val="0"/>
          <w:sz w:val="16"/>
          <w:szCs w:val="16"/>
        </w:rPr>
        <w:softHyphen/>
        <w:t>бометании с пикирования. В этой связи считалось необходимым включить в курсы боевой подготовки штурмовой и бомбардировочной авиации отработ</w:t>
      </w:r>
      <w:r w:rsidRPr="00DB5D0D">
        <w:rPr>
          <w:rFonts w:ascii="Times New Roman" w:hAnsi="Times New Roman"/>
          <w:color w:val="000000" w:themeColor="text1"/>
          <w:spacing w:val="0"/>
          <w:sz w:val="16"/>
          <w:szCs w:val="16"/>
        </w:rPr>
        <w:softHyphen/>
        <w:t>ку методов бомбометания с пикирования (17500).</w:t>
      </w:r>
    </w:p>
    <w:p w14:paraId="469C630E" w14:textId="77777777" w:rsidR="00C727A9" w:rsidRPr="00DB5D0D" w:rsidRDefault="00C727A9" w:rsidP="00DB5D0D">
      <w:pPr>
        <w:spacing w:after="0" w:line="240" w:lineRule="auto"/>
        <w:jc w:val="both"/>
        <w:rPr>
          <w:rFonts w:ascii="Times New Roman" w:hAnsi="Times New Roman"/>
          <w:color w:val="000000" w:themeColor="text1"/>
          <w:sz w:val="16"/>
          <w:szCs w:val="16"/>
        </w:rPr>
      </w:pPr>
    </w:p>
    <w:p w14:paraId="7890E2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постановление КО N 193 "О производстве истребителей на заводе 126".</w:t>
      </w:r>
    </w:p>
    <w:p w14:paraId="6959E7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скорейшей организации производства самолетов-истребителей на ДВ и подготовки кадров для нового строящегося завода № 130 КО при СНК СССР постановляет:</w:t>
      </w:r>
    </w:p>
    <w:p w14:paraId="3901E5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 тов. Шхурина А.И.:</w:t>
      </w:r>
    </w:p>
    <w:p w14:paraId="18CB11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Организовать на заводе № 126, начиная со второй половины 1940, наряду с производством бомбардировщиков, производство одноместных истребителей (И-26 конструктора т. Яковлева).</w:t>
      </w:r>
    </w:p>
    <w:p w14:paraId="417822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Предъявить на утверждение КО при СНК к 25 мая 1940 года программу выпуска истребителей заводом № 126 в 1940 и в 1941 гг. (10395)</w:t>
      </w:r>
    </w:p>
    <w:p w14:paraId="38BE0D8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E18F9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 Постановлением КО за N 193сс во 2-ом полугодии 1940 г. на заводе N 126 должно быть организовано производство самолета И-26 и подготовка кадров для завода N 30 (3353).</w:t>
      </w:r>
    </w:p>
    <w:p w14:paraId="4F18980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D8E53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Протокол № 15. Решения ПБ за 15 апреля - 7 мая 1940 г.</w:t>
      </w:r>
    </w:p>
    <w:p w14:paraId="5838D0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27.4.40 г.</w:t>
      </w:r>
    </w:p>
    <w:p w14:paraId="16B2E6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113. Вопрос КО. О принятии на вооружение КА и производстве пластмассовых взрывателей.</w:t>
      </w:r>
    </w:p>
    <w:p w14:paraId="6835A9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04. 5. 40 г.</w:t>
      </w:r>
    </w:p>
    <w:p w14:paraId="6DA48F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140. Вопрос КО. О постановке серийного производства самолетов на заводах №№ 31 и 207.</w:t>
      </w:r>
    </w:p>
    <w:p w14:paraId="5D1597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166. Вопрос КО. О производстве подвесных бензобаков для НКО и НКВМФ (11773).</w:t>
      </w:r>
    </w:p>
    <w:p w14:paraId="2063CC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FB385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вышел приказ НКАП N 188 о работе в области воздухоплавания в системе ЦАГИ на базе НИО завода 207 (409,53).</w:t>
      </w:r>
    </w:p>
    <w:p w14:paraId="151624F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9610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постановление КО N 194 "О производстве бензобаков для НКО и НКВМФ".</w:t>
      </w:r>
    </w:p>
    <w:p w14:paraId="510E300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5479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вышло ПОСТАНОВЛЕНИЕ № 194сс Комитета обороны при С Н К Союза С С Р</w:t>
      </w:r>
    </w:p>
    <w:p w14:paraId="4BC2DC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производстве подвесных бензобаков для НКО т НКВМФ</w:t>
      </w:r>
    </w:p>
    <w:p w14:paraId="0D97EA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Союза ССР ПОСТАНОВЛЯЕТ:</w:t>
      </w:r>
    </w:p>
    <w:p w14:paraId="180295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Подвесные штампованные из картона бензобаки с вооружения авиация снять и в производствее во всех точках прекратить.</w:t>
      </w:r>
    </w:p>
    <w:p w14:paraId="36304F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Разрешить НКО принять ва снабжение авиации литые из целлю</w:t>
      </w:r>
      <w:r w:rsidRPr="00DB5D0D">
        <w:rPr>
          <w:rFonts w:ascii="Times New Roman" w:hAnsi="Times New Roman"/>
          <w:color w:val="000000" w:themeColor="text1"/>
          <w:sz w:val="16"/>
          <w:szCs w:val="16"/>
        </w:rPr>
        <w:softHyphen/>
        <w:t>лозы и клеенные из бумаги подвесные бензобаки с картонной арматурой, прошедшие госисштания в НИИ ГУАС КА.</w:t>
      </w:r>
    </w:p>
    <w:p w14:paraId="76682A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Дальнейшие работа по упрощению технологии производства подвесных бензобаков и их удешевление возложить на Наркомбумпром СССР, обязан его необходимее изменения технологического процесса вводить по согласование с НКО во всех производственных точках.</w:t>
      </w:r>
    </w:p>
    <w:p w14:paraId="153890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директора з-да № 21 тов. ВОРОНИНА и Главного конструктора т. ПАШИНИНА. к 15 мая с.г. отработать крспление стандартиого столитрового подвесного бака к самолету И-16. После испытания и принятия этого крепления в НИИ ГУАС КА производство подвесных бензобаков из фибры и фанеры прекратить.</w:t>
      </w:r>
    </w:p>
    <w:p w14:paraId="360583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4. Предложить Наркомбумпрому СССР:</w:t>
      </w:r>
    </w:p>
    <w:p w14:paraId="0C879E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освободить Центрелыпй Научно-Исследовательскяй Институт Бумаги от производства подвесных бензобаков.</w:t>
      </w:r>
    </w:p>
    <w:p w14:paraId="49CF3C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выпустить во 2 кв. 1940 г. ва целлюлозно-бумкомбинате в г.Сегеж и на бумагшах фабриках “Коммунар” и “Красногородская” по 1.000 подвесных бензобаков.</w:t>
      </w:r>
    </w:p>
    <w:p w14:paraId="2E526F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Предложить Наркомлесу СССР организовать в районах Читы, Хабаровска, Владивостока и Комсомольска проязводство клееных из бумаги подвесных бензобаков и напустить во 2 кв. 1940 г. по 500 шт. в кандой точке.</w:t>
      </w:r>
    </w:p>
    <w:p w14:paraId="2B9C78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Наркомпищепром СССР выпустить во 2 кв. с. г. на фабрике "Комсомолец" и ва Экспериментальном заводе Главлестары по 500 подвесных бензобаков.</w:t>
      </w:r>
    </w:p>
    <w:p w14:paraId="2CD699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Обязать Всекопромсовет:</w:t>
      </w:r>
    </w:p>
    <w:p w14:paraId="3FCF43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организовать проявводство клееных из бумаги подвес</w:t>
      </w:r>
      <w:r w:rsidRPr="00DB5D0D">
        <w:rPr>
          <w:rFonts w:ascii="Times New Roman" w:hAnsi="Times New Roman"/>
          <w:color w:val="000000" w:themeColor="text1"/>
          <w:sz w:val="16"/>
          <w:szCs w:val="16"/>
        </w:rPr>
        <w:softHyphen/>
        <w:t>ных бензобаков в районе Витебска, Гомеля, Киева, Одессы, Симферополя, Ростова на Дону, Баку и в г. Москве и вкпустять во 2 кв.1940 г. 500 баков в каждом.</w:t>
      </w:r>
    </w:p>
    <w:p w14:paraId="0D4DD8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организовать производство хомутов и упоров для подвеска бензобаков и выпустить во 2 кв. с.г. 10.000 комплектов и во П полугодии 9000 комплектов.</w:t>
      </w:r>
    </w:p>
    <w:p w14:paraId="7E7C0A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организовать производство картоной арматуры для подвесных бензобаков и обеспечить ею как собственные потребность, так и потребности Наркомлеса, Наркомбумпрома и Наркомпищепрома в мирное и военное время.</w:t>
      </w:r>
    </w:p>
    <w:p w14:paraId="77B085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организовать заготовку картонных и бумажных деталей для клееных подвесных бензобаков в об'еме, необходимым для удовлетворения потребности предприятий своих, Наркомлеса, Наркомбумпрома и Наркомпищепрома, как по мирному, так и по военному времени.</w:t>
      </w:r>
    </w:p>
    <w:p w14:paraId="49F1DC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Обязать Наркомлес СССР, Наркомпищепром СССР, Всекомпромсовет СССР:</w:t>
      </w:r>
    </w:p>
    <w:p w14:paraId="5E9D3E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выполнению вышеуказанного задания, проазводство подвесных бензобаков перевести в 3 кв. на гражданскую продукцию, сохранив оборудование, кадры для нужд военного времени. Обеспечить эти предприятия технической документацией (технологический процесс, перечень оборудования, нормы расхода материалов и рассчет производственной мощности).</w:t>
      </w:r>
    </w:p>
    <w:p w14:paraId="5170CE3D" w14:textId="77777777" w:rsidR="00A25AD1" w:rsidRPr="00DB5D0D" w:rsidRDefault="00A25AD1" w:rsidP="00DB5D0D">
      <w:pPr>
        <w:shd w:val="clear" w:color="auto" w:fill="FFFFFF"/>
        <w:spacing w:after="0" w:line="240" w:lineRule="auto"/>
        <w:jc w:val="both"/>
        <w:rPr>
          <w:rFonts w:ascii="Times New Roman" w:hAnsi="Times New Roman"/>
          <w:smallCaps/>
          <w:color w:val="000000" w:themeColor="text1"/>
          <w:sz w:val="16"/>
          <w:szCs w:val="16"/>
        </w:rPr>
      </w:pPr>
      <w:r w:rsidRPr="00DB5D0D">
        <w:rPr>
          <w:rFonts w:ascii="Times New Roman" w:hAnsi="Times New Roman"/>
          <w:color w:val="000000" w:themeColor="text1"/>
          <w:sz w:val="16"/>
          <w:szCs w:val="16"/>
        </w:rPr>
        <w:t xml:space="preserve">б) в указанных в п.п. 4, 5, 6 и7 предприятиях в порядке проверки мобилизационной </w:t>
      </w:r>
      <w:r w:rsidRPr="00DB5D0D">
        <w:rPr>
          <w:rFonts w:ascii="Times New Roman" w:hAnsi="Times New Roman"/>
          <w:smallCaps/>
          <w:color w:val="000000" w:themeColor="text1"/>
          <w:sz w:val="16"/>
          <w:szCs w:val="16"/>
        </w:rPr>
        <w:t>готовности, ежегодно производить выпуск подвесных бензобаков не менее 2-х раз в год по 500 шт. в каждой точке, в сроки, установленные НКО.</w:t>
      </w:r>
    </w:p>
    <w:p w14:paraId="6FA4D0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Обязать НКО:</w:t>
      </w:r>
    </w:p>
    <w:p w14:paraId="20E19B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 15 мая с.г. разработать для Наркомлеса СССР, Наркомпищепрома СССР, Наркомбуммаша СССР и Всекомпромсовета мобзадание для военного времени на изготовление подвесных бензобаков, хомутов, упоров и картонной арматуры к ним.</w:t>
      </w:r>
    </w:p>
    <w:p w14:paraId="0A1BF9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месячный срок согласно с Наркомлесом СССР разработать упрощенную и облегченную тару для перевозки этих баков.</w:t>
      </w:r>
    </w:p>
    <w:p w14:paraId="6E4EF6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договориться с НКВМФ о порядке распределения подвесных бензобаков, выделив последнему 10% всей продукции.</w:t>
      </w:r>
    </w:p>
    <w:p w14:paraId="664AAF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Отметить инициативу Наркомлеса СССР в изготовлении более простого бензобака, клееного из бумаги и выдать в распоряжение Наркомбумпрома СССР из резервного фонда СНК 50 тыс. руб. для премирования работников, принимающих непосредственное участие в разработке и выполнении этого типа баков.</w:t>
      </w:r>
    </w:p>
    <w:p w14:paraId="5A4433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настоящим постановлением отменить пп. 1, 2, 3, 4 и в п. 9 постановления КО № 430 от 21 ноября 1939 п. 6 раздела Б и раздел Г постановления № 72 от 11 февраля 1940 г. (10106,26).</w:t>
      </w:r>
    </w:p>
    <w:p w14:paraId="0574150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56E8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Корзин писал справку С.И.Семину По письму т. Катонина о недостатках работы НКАПа в деле строительства и эксплоатации авиазаводов.</w:t>
      </w:r>
    </w:p>
    <w:p w14:paraId="0E2F1D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Проверкой (ГУКС Наркомата-т.т. Кац, Линберг; ОКС Главка - т. Львов; 31-й Стройтрест- т. Кац; ОКС завода № 22- т.т. Фомин, Вахтель; ОКС завода № 39 - т.т.Кузнецов, Зак и др.) установлено:</w:t>
      </w:r>
    </w:p>
    <w:p w14:paraId="409BF2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Факты, изложенные в письме т. Катонина, соответствуют действительности.</w:t>
      </w:r>
    </w:p>
    <w:p w14:paraId="39A683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проверки НКАП"ом приняты меры с целью устранения имеющихся недостатков в деле строительства и эксплоатации авиазавоДОВ.</w:t>
      </w:r>
    </w:p>
    <w:p w14:paraId="440E1A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Многочисленные "снабы" (отделы снабжения Главков, ЦУМС, Авиапромснаб, Отдел Снабжения ГУКС"а, в части жел.-дор. имуществ. - Транспортный Отдел), дезорганизующие дело снабжения, ликвидируются.</w:t>
      </w:r>
    </w:p>
    <w:p w14:paraId="6C2B3C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снабжения заводов и строек материалами решено организовать единый централизованный аппарат - Главснаб.</w:t>
      </w:r>
    </w:p>
    <w:p w14:paraId="51C499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НКАП, с целью сосредоточения средств (в пределах отпущенных сумм) и материалов на важнейших стройках, произвел пересмотр титульных списков и представил их на утверждение КО.</w:t>
      </w:r>
    </w:p>
    <w:p w14:paraId="7E5435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исключается имевшее место необоснованное распыление средств по многочисленным стройкам.</w:t>
      </w:r>
    </w:p>
    <w:p w14:paraId="7F8B0C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тем, что НКАП по письму т.Катонина принимает конкретные практические меры, прошу разрешить работу по письму т. Катонина закончить (10498,22).</w:t>
      </w:r>
    </w:p>
    <w:p w14:paraId="1473EB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E1C77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года. Из протокольной записи №1 заседания Комиссия ГВС РККА (19.00).</w:t>
      </w:r>
    </w:p>
    <w:p w14:paraId="651A1E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«Шапошников: Конструктора работают плохо... Конструктора должны тщательно обрабатывать чертежи и больше шевелить мозгами.</w:t>
      </w:r>
    </w:p>
    <w:p w14:paraId="360DA6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Ворошилов: Что вы, т. Шапошников, предлагаете? Правительством принимались все меры, чтобы заинтересовать конструкторов. Им платили за каждую машину 1,5 млн рублей, т. е. в 1,5 раза больше, чем стоит самолет.</w:t>
      </w:r>
    </w:p>
    <w:p w14:paraId="44CC39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Павлов: Если столько будем платить конструкторам, то у нас машин не будет. Нужно другие методы применять – пожестче».</w:t>
      </w:r>
    </w:p>
    <w:p w14:paraId="69D95E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Далее Ворошилов подытожил обсуждение темы: «Товарищи, которые думают, что мы без дефектов сразу можем построить нужную нам машину, глубоко заблуждаются и напрасно думают, что мы не предъявляем требований к конструкторам. Правительство и мы ставили требования, но конструктора наши требования пока недовыполняют. Теперь много появилось молодых конструкторов (т. Микоян и др.), которые раньше никогда этим делом не занимались, и ясно, что на первых порах будут допускаться ошибки.</w:t>
      </w:r>
    </w:p>
    <w:p w14:paraId="531D5B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области опытного строительства мы стоим на должном уровне» (Там же. С. 220.). Позже последовала реплика Кулика: «Нужно наших конструкторов заставить крепче работать. Нужно создать комиссию по оценке наших самолетов» (Там же. С. 221.).</w:t>
      </w:r>
    </w:p>
    <w:p w14:paraId="285BD1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утреннем заседании 5 мая 1940 года критика в адрес конструкторов звучала еще острее: «Кулик: Мы идем на поводу у конструкторов, то, что они нам дают, то мы и берем, а мы должны требовать то, что нам нужно. ...Каждый конструктор – феодал, что хочет, то и делает. Они на текущем счету имеют миллионы, а работать не хотят (Там же. С. 226-227.).</w:t>
      </w:r>
    </w:p>
    <w:p w14:paraId="6576D1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Проскуров: ...Возьмите историю с ДБ-3. Сколько времени конструировали шасси и перекрытие баков. Ильюшин не только не берет лучшие образцы иностранных армий, но даже достижения наших конструкторов не использует.</w:t>
      </w:r>
    </w:p>
    <w:p w14:paraId="1A53BC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Щаденко: Кустарничеством занимается.</w:t>
      </w:r>
    </w:p>
    <w:p w14:paraId="1973D6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Проскуров: Нужно приказывать конструкторам принимать на свои самолеты, уже созданные, те части самолета, которые опытом проверены и показали себя хорошо.</w:t>
      </w:r>
    </w:p>
    <w:p w14:paraId="0C099D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Ворошилов: Тов. Кулик, Вы живете прошлым. Сейчас дело иначе обстоит.</w:t>
      </w:r>
    </w:p>
    <w:p w14:paraId="67F9F7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авиационное руководство промышленности сменено. Поставлены новые люди. Старые методы работы осуждены. Новые люди берутся за работу хорошо. С помощью ЦК ВКП(б) и т. Сталина все поставлены на ноги. Вчера мы здесь сидели с Вами, а т. Сталин занимался с работниками авиационной промышленности по тем же вопросам. У нас теперь больше машин, чем нужно, и стоят они на уровне самолетов передовых капиталистических стран. Сейчас стоит проблема – это выбрать наиболее лучший образец и пустить в серийное производство. Все, что создано, это результат большой работы коллектива, Правительства, Центрального Комитета и лично т. Сталина. ...Вы, товарищ Кулик, говорите, что нужно предъявить промышленности тактико-технические требования. Если мы сейчас их предъявим, то результаты получим на наши требования не ранее 1943 года, а чем мы должны жить в 1940-м и 1941 году? Мы не гарантированы, что нам [не] придется драться в этом году. Вы же, мои заместители, должны знать, как этим вопросом занимается Правительство, Центральный Комитет и лично т. Сталин. Возьмите официальные правительственные документы и почитайте, они у нас есть. Ведь то, о чем Вы сейчас говорите, все предусмотрено и на основе этого созданы новые образцы» (Там же. С. 227-228.).</w:t>
      </w:r>
    </w:p>
    <w:p w14:paraId="7B9CEA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нарком авиапромышленности: «Мы в серийной продукции отстали и по скорости и по типу. Этим вопросом серьезно занимался ЦК ВКП(б).</w:t>
      </w:r>
    </w:p>
    <w:p w14:paraId="4DE586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месяца серьезно проверяли производство самолетов и моторов. Сейчас приняты решительные меры Центральным Комитетом и Правительством и лично т. Сталиным. Сейчас даже некоторые конструктора заболели.</w:t>
      </w:r>
    </w:p>
    <w:p w14:paraId="797477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Кулик плохо разбирается в авиации. Как видно, не следит за постановлениями ЦК и Правительства. Разговоры о том, что нас тянут конструктора, что существует феодализм, вакханалия в создании самолетов, – неправильные. Нужно всемерно развивать опытное самолетостроение.</w:t>
      </w:r>
    </w:p>
    <w:p w14:paraId="041E01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Мехлис: А конструктора все-таки зажирели.</w:t>
      </w:r>
    </w:p>
    <w:p w14:paraId="0E3422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Павлов: Не заболели конструктора, а саботажничают.</w:t>
      </w:r>
    </w:p>
    <w:p w14:paraId="011A30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Поликарпова, Архангельского и Ильюшина перехвалили. Между отдельными конструкторами и летчиками существовала спайка, которая мешала двигать вперед самолетостроение. Нет ни одного дня, чтобы т. Сталин не занимался авиацией.</w:t>
      </w:r>
    </w:p>
    <w:p w14:paraId="64D2DE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Павлов: Сколько времени М. Каганович обманывал т. Сталина о моторах.</w:t>
      </w:r>
    </w:p>
    <w:p w14:paraId="08A79F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Боюсь, что и сейчас некоторые товарищи этим не занялись.</w:t>
      </w:r>
    </w:p>
    <w:p w14:paraId="219CAB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Шахурин: Сейчас Центральный комитет вынес 34 решения по типам самолетов и принял меры по устранению целого ряда недочетов. Было так, что чем дольше испытывалась машина, тем было выгоднее экономически летчику. Машину строили полтора месяца, а испытывали два года. В результате машина старела. Помогите </w:t>
      </w:r>
      <w:r w:rsidRPr="00DB5D0D">
        <w:rPr>
          <w:rFonts w:ascii="Times New Roman" w:hAnsi="Times New Roman"/>
          <w:color w:val="000000" w:themeColor="text1"/>
          <w:sz w:val="16"/>
          <w:szCs w:val="16"/>
        </w:rPr>
        <w:lastRenderedPageBreak/>
        <w:t>нам отобрать из имеющихся опытных машин наилучшие образцы. Нам желательно знать, какие из этих машин поставите на вооружение. Сейчас уже имеются все данные, чтобы вести разговоры на этот счет» (Там же. С. 230.) (11672).</w:t>
      </w:r>
    </w:p>
    <w:p w14:paraId="1269A50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EDDADB" w14:textId="77777777" w:rsidR="0055000F" w:rsidRPr="00DB5D0D" w:rsidRDefault="0055000F" w:rsidP="00DB5D0D">
      <w:pPr>
        <w:pStyle w:val="ae"/>
        <w:spacing w:before="0" w:after="0"/>
        <w:jc w:val="both"/>
        <w:rPr>
          <w:color w:val="000000" w:themeColor="text1"/>
          <w:sz w:val="16"/>
          <w:szCs w:val="16"/>
        </w:rPr>
      </w:pPr>
      <w:r w:rsidRPr="00DB5D0D">
        <w:rPr>
          <w:bCs/>
          <w:color w:val="000000" w:themeColor="text1"/>
          <w:sz w:val="16"/>
          <w:szCs w:val="16"/>
        </w:rPr>
        <w:t>4 мая 1940 г. (вечернее заседание)</w:t>
      </w:r>
    </w:p>
    <w:p w14:paraId="34F1FC6B"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Присутствовали:</w:t>
      </w:r>
    </w:p>
    <w:p w14:paraId="426D6E43"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 xml:space="preserve">Ворошилов, Кулик, Мехлис, Щаденко, Локтионов, Проскуров, Шапошников, Смородинов, Захаров, Курдюмов, Воронов, Павлов, Грендаль... </w:t>
      </w:r>
    </w:p>
    <w:p w14:paraId="7B2BCE90"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Слушали: 1. О системе авиационного вооружения самолетов и моторов.</w:t>
      </w:r>
      <w:r w:rsidRPr="00DB5D0D">
        <w:rPr>
          <w:iCs/>
          <w:color w:val="000000" w:themeColor="text1"/>
          <w:sz w:val="16"/>
          <w:szCs w:val="16"/>
        </w:rPr>
        <w:t xml:space="preserve"> (Докладывает комдив т. Алексеев.)</w:t>
      </w:r>
    </w:p>
    <w:p w14:paraId="5AA05C6D" w14:textId="77777777" w:rsidR="0055000F" w:rsidRPr="00DB5D0D" w:rsidRDefault="0055000F" w:rsidP="00DB5D0D">
      <w:pPr>
        <w:pStyle w:val="ae"/>
        <w:spacing w:before="0" w:after="0"/>
        <w:jc w:val="both"/>
        <w:rPr>
          <w:color w:val="000000" w:themeColor="text1"/>
          <w:sz w:val="16"/>
          <w:szCs w:val="16"/>
        </w:rPr>
      </w:pPr>
      <w:r w:rsidRPr="00DB5D0D">
        <w:rPr>
          <w:iCs/>
          <w:color w:val="000000" w:themeColor="text1"/>
          <w:sz w:val="16"/>
          <w:szCs w:val="16"/>
        </w:rPr>
        <w:t>1. По истребителям</w:t>
      </w:r>
    </w:p>
    <w:p w14:paraId="5506B403"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На сегодняшний день на вооружении Красной Армии состоят: И-16, с мотором М-62, скорость 464 км, пулеметный и пушечный — 440 км;</w:t>
      </w:r>
    </w:p>
    <w:p w14:paraId="7D34BEF0"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И-16, с мотором М-63, скорость 478 км;</w:t>
      </w:r>
    </w:p>
    <w:p w14:paraId="6B8DF3F2"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И-16, с мотором М-25, (старый), скорость 448 км;</w:t>
      </w:r>
    </w:p>
    <w:p w14:paraId="3FD4875F"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И-15, с мотором М-25, скорость 350 км, д[альность] 500 км, таких самолетов имеется 55 шт.</w:t>
      </w:r>
    </w:p>
    <w:p w14:paraId="575A161C"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И-15 бис, с М-25, скорость 370 км, д[альность] 450 км, их имеется 1882 шт.</w:t>
      </w:r>
    </w:p>
    <w:p w14:paraId="360F1EC4"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Новый И-153, с мотором М-62 (имеется 1071 шт.).</w:t>
      </w:r>
    </w:p>
    <w:p w14:paraId="7D1C22EF"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Основные недочеты по истребителям:</w:t>
      </w:r>
    </w:p>
    <w:p w14:paraId="3B7533F2"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а) отстаем в скоростях,</w:t>
      </w:r>
    </w:p>
    <w:p w14:paraId="1A568DFA"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б) ограниченная дальность.</w:t>
      </w:r>
    </w:p>
    <w:p w14:paraId="0591791B" w14:textId="77777777" w:rsidR="0055000F" w:rsidRPr="00DB5D0D" w:rsidRDefault="0055000F" w:rsidP="00DB5D0D">
      <w:pPr>
        <w:pStyle w:val="ae"/>
        <w:spacing w:before="0" w:after="0"/>
        <w:jc w:val="both"/>
        <w:rPr>
          <w:color w:val="000000" w:themeColor="text1"/>
          <w:sz w:val="16"/>
          <w:szCs w:val="16"/>
        </w:rPr>
      </w:pPr>
      <w:r w:rsidRPr="00DB5D0D">
        <w:rPr>
          <w:iCs/>
          <w:color w:val="000000" w:themeColor="text1"/>
          <w:sz w:val="16"/>
          <w:szCs w:val="16"/>
        </w:rPr>
        <w:t>Предложения:</w:t>
      </w:r>
    </w:p>
    <w:p w14:paraId="38DFA6A6"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И-15, (старый, с мотором М-25), с вооружения снять и передать в вузы.</w:t>
      </w:r>
    </w:p>
    <w:p w14:paraId="7708FDBA"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И-15 бис — оставить до замены их самолетами И-153, а по мере замены обращать на укомплектование штурмовой авиации.</w:t>
      </w:r>
    </w:p>
    <w:p w14:paraId="2EFAB717"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И-16 с мотором М-25, снять и использовать в вузах.</w:t>
      </w:r>
    </w:p>
    <w:p w14:paraId="634EC432"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Оставить на вооружении И-153, с мотором М-62 и И-16, с мотором М-62 и И-16, с мотором М-63.</w:t>
      </w:r>
    </w:p>
    <w:p w14:paraId="5FC9A002"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По истребителям мы сильно отстали в скоростях и в дальностях. Мы имеем скорость 470 км, дальность 560 км, 45—60 минут в воздухе, т.е. меньше в 2 раза чем за границей. Самолеты выпускаются с подвесными баками, за счет чего дальность увеличивается на 200 км, но его летные качества ухудшаются.</w:t>
      </w:r>
    </w:p>
    <w:p w14:paraId="550C5181"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В процессе серийного производства и испытания находятся целый ряд новых типов самолетов:</w:t>
      </w:r>
    </w:p>
    <w:p w14:paraId="549FA777"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1) И-26, с мотором водяного охлаждения, скорость 580 км, дальность 600 км, вооружение 20-мм пушка через редуктор мотора, потолок 2 км. Летные качества хорошие.</w:t>
      </w:r>
    </w:p>
    <w:p w14:paraId="0BE865C3"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2) И-28, с мотором воздушного охлаждения М-88, скорость 580 км, потолок 6000 м, дальность 600 км, вооружение — 2 крупнокалиберных пулемета и 2 синхронных.</w:t>
      </w:r>
    </w:p>
    <w:p w14:paraId="6D94A209"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3) И-180, с мотором М-88 воздушного охлаждения, скорость 580 км, потолок 7000 м, дальность 500 км, вооружение — 2 крупнокалиберных и 2 малокалиберных пулемета.</w:t>
      </w:r>
    </w:p>
    <w:p w14:paraId="7A1915F2"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Начали проходить испытания:</w:t>
      </w:r>
    </w:p>
    <w:p w14:paraId="2F6BEDA9"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1) Истребитель — скорость 600 км, потолок 6500 м, дальность 650 км, вооружение — 2 малокалиберных и 1 крупнокалиберный пулемет.</w:t>
      </w:r>
    </w:p>
    <w:p w14:paraId="5A8932E7"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2) Истребитель Горбунова — с мотором М-105, скорость 650 км, потолок 9000 м, дальность 600 км, вооружение — 2 малокалиберных и 2 крупнокалиберных пулемета, 20-мм пушка. Прост в управлении.</w:t>
      </w:r>
    </w:p>
    <w:p w14:paraId="5C729ED5"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3) Одноместный истребитель с двумя моторами М-88, скорость 600 км, можно устанавливать несколько видов мощного вооружения — 4 пушки 20-мм или до 8 крупнокалиберных пулеметов.</w:t>
      </w:r>
    </w:p>
    <w:p w14:paraId="34444631"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4) И-100 с М-105, скорость 630 км, высота 10 000 м, герметическая</w:t>
      </w:r>
      <w:hyperlink r:id="rId10" w:anchor="n_268" w:history="1">
        <w:r w:rsidRPr="00DB5D0D">
          <w:rPr>
            <w:rStyle w:val="a5"/>
            <w:color w:val="000000" w:themeColor="text1"/>
            <w:sz w:val="16"/>
            <w:szCs w:val="16"/>
          </w:rPr>
          <w:t>[268]</w:t>
        </w:r>
      </w:hyperlink>
      <w:r w:rsidRPr="00DB5D0D">
        <w:rPr>
          <w:color w:val="000000" w:themeColor="text1"/>
          <w:sz w:val="16"/>
          <w:szCs w:val="16"/>
        </w:rPr>
        <w:t xml:space="preserve"> кабина, экипаж 3 чел., [вооружение] — 3 малокалиберных пулемета и две 20-мм пушки, дальность 1400 км.</w:t>
      </w:r>
    </w:p>
    <w:p w14:paraId="3A45A675"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Только после испытания может быть принят лучший образец, сейчас производится серийный выпуск сразу по всем типам.</w:t>
      </w:r>
    </w:p>
    <w:p w14:paraId="1D0FBC7C"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По истребителям иностранных армий дает справку военный инженер 2-го ранга т. Мелкишев.</w:t>
      </w:r>
    </w:p>
    <w:p w14:paraId="7FBE9CB0"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 xml:space="preserve">1. </w:t>
      </w:r>
      <w:r w:rsidRPr="00DB5D0D">
        <w:rPr>
          <w:iCs/>
          <w:color w:val="000000" w:themeColor="text1"/>
          <w:sz w:val="16"/>
          <w:szCs w:val="16"/>
        </w:rPr>
        <w:t>Англия</w:t>
      </w:r>
      <w:r w:rsidRPr="00DB5D0D">
        <w:rPr>
          <w:color w:val="000000" w:themeColor="text1"/>
          <w:sz w:val="16"/>
          <w:szCs w:val="16"/>
        </w:rPr>
        <w:t xml:space="preserve"> — имеет два типа одномоторных истребителей с мотором жидкого охлаждения, один из них со скоростью 540 км, потолок 6000 м и другой со скоростью 575 км, потолок 6000 м и двухмоторный двухместный со скоростью 480 км.</w:t>
      </w:r>
    </w:p>
    <w:p w14:paraId="4E8DFC41"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 xml:space="preserve">2. </w:t>
      </w:r>
      <w:r w:rsidRPr="00DB5D0D">
        <w:rPr>
          <w:iCs/>
          <w:color w:val="000000" w:themeColor="text1"/>
          <w:sz w:val="16"/>
          <w:szCs w:val="16"/>
        </w:rPr>
        <w:t>Франция</w:t>
      </w:r>
      <w:r w:rsidRPr="00DB5D0D">
        <w:rPr>
          <w:color w:val="000000" w:themeColor="text1"/>
          <w:sz w:val="16"/>
          <w:szCs w:val="16"/>
        </w:rPr>
        <w:t xml:space="preserve"> — два типа истребителей, один из них с жидким охлаждением, скорость первого 520 км, второго — 500—600, дальность 930 км и 800 км.</w:t>
      </w:r>
    </w:p>
    <w:p w14:paraId="38132E3E"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 xml:space="preserve">3. </w:t>
      </w:r>
      <w:r w:rsidRPr="00DB5D0D">
        <w:rPr>
          <w:iCs/>
          <w:color w:val="000000" w:themeColor="text1"/>
          <w:sz w:val="16"/>
          <w:szCs w:val="16"/>
        </w:rPr>
        <w:t>Германия</w:t>
      </w:r>
      <w:r w:rsidRPr="00DB5D0D">
        <w:rPr>
          <w:color w:val="000000" w:themeColor="text1"/>
          <w:sz w:val="16"/>
          <w:szCs w:val="16"/>
        </w:rPr>
        <w:t xml:space="preserve"> — а) Мессершмидт-109, скорость 560 км, дальность 1000 км, потолок 11 км; б) Мессершмидт-110 (2-х и 3-х моторные), скорость 550 км, дальность 440 км.</w:t>
      </w:r>
    </w:p>
    <w:p w14:paraId="52E1D830"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 xml:space="preserve">4. </w:t>
      </w:r>
      <w:r w:rsidRPr="00DB5D0D">
        <w:rPr>
          <w:iCs/>
          <w:color w:val="000000" w:themeColor="text1"/>
          <w:sz w:val="16"/>
          <w:szCs w:val="16"/>
        </w:rPr>
        <w:t>Америка</w:t>
      </w:r>
      <w:r w:rsidRPr="00DB5D0D">
        <w:rPr>
          <w:color w:val="000000" w:themeColor="text1"/>
          <w:sz w:val="16"/>
          <w:szCs w:val="16"/>
        </w:rPr>
        <w:t xml:space="preserve"> — истребители воздушного охлаждения П-36, скорость 480 км, дальность 1000 км, и истребитель жидкого охлаждения, скорость 644 км.</w:t>
      </w:r>
    </w:p>
    <w:p w14:paraId="3D2F9735"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 xml:space="preserve">5. </w:t>
      </w:r>
      <w:r w:rsidRPr="00DB5D0D">
        <w:rPr>
          <w:iCs/>
          <w:color w:val="000000" w:themeColor="text1"/>
          <w:sz w:val="16"/>
          <w:szCs w:val="16"/>
        </w:rPr>
        <w:t>Италия</w:t>
      </w:r>
      <w:r w:rsidRPr="00DB5D0D">
        <w:rPr>
          <w:color w:val="000000" w:themeColor="text1"/>
          <w:sz w:val="16"/>
          <w:szCs w:val="16"/>
        </w:rPr>
        <w:t xml:space="preserve"> — ФИАТ скорость 450 км, 420 км и 505 км.</w:t>
      </w:r>
    </w:p>
    <w:p w14:paraId="65C8AA10"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Смушкевич:</w:t>
      </w:r>
      <w:r w:rsidRPr="00DB5D0D">
        <w:rPr>
          <w:color w:val="000000" w:themeColor="text1"/>
          <w:sz w:val="16"/>
          <w:szCs w:val="16"/>
        </w:rPr>
        <w:t xml:space="preserve"> С самолетами И-16 и И-153 мы можем воевать с любым врагом.</w:t>
      </w:r>
    </w:p>
    <w:p w14:paraId="5E311189"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Нам необходимо:</w:t>
      </w:r>
    </w:p>
    <w:p w14:paraId="1B7A99ED"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а) больше самолетов вооружать пушками и крупнокалиберными пулеметами;</w:t>
      </w:r>
    </w:p>
    <w:p w14:paraId="496FD4D1"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б) нужно давать баки, которые бы не горели;</w:t>
      </w:r>
    </w:p>
    <w:p w14:paraId="624426D9"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в) дальность нельзя увеличивать за счет скорости;</w:t>
      </w:r>
    </w:p>
    <w:p w14:paraId="6B933343"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г) дать подвесные баки для всех самолетов;</w:t>
      </w:r>
    </w:p>
    <w:p w14:paraId="092288C7"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д) новые типы немедленно внедрять в производство;</w:t>
      </w:r>
    </w:p>
    <w:p w14:paraId="0CE60274"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е) нам нужен исключительно скоростной истребитель с хорошей маневренностью по вертикали и с радиусом действия 600 км; нужен один тип истребителя;</w:t>
      </w:r>
    </w:p>
    <w:p w14:paraId="6EF8CC8B"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ж) наши самолеты должны давать потолок не ниже 7000 м; об этом свидетельствует опыт войны на Западе.</w:t>
      </w:r>
    </w:p>
    <w:p w14:paraId="59CBD75F"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Нужно устанавливать турбокомпрессоры. Мы должны дать срок 1 месяц, чтобы определить, какие скоростные истребители принять на вооружение.</w:t>
      </w:r>
    </w:p>
    <w:p w14:paraId="7C12407C"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Воронин (зам. наркома авиапромышленности):</w:t>
      </w:r>
      <w:r w:rsidRPr="00DB5D0D">
        <w:rPr>
          <w:color w:val="000000" w:themeColor="text1"/>
          <w:sz w:val="16"/>
          <w:szCs w:val="16"/>
        </w:rPr>
        <w:t xml:space="preserve"> Мы выпустили И-16 и И-153. Мотор М-63 недавно прошел все болезни и сейчас в порядке. Даем «Чайку», вооружение — 4 пулемета ШКАС, высота 4500 м, скорость 440 км. И-16 скорость имеет 488 км. Эти машины должны быть сходящими. Сейчас завод №21 пустил первую серию И-180, к нему предусмотрен скоростной наддув, который дает потолок 7000 м и скорость 580 км без турбокомпрессора. Кроме этого, на этой машине вооружение расположено иначе: наверху — два крупнокалиберных пулемета и два малокалиберных, это дает кучный огонь. Машина И-180 запущена в серию. Серия этой машины будет готова 15 мая 1940 г. Завод №21 строит истребитель «Чайку» И-153 с мотором М-62. «Чайка» имеет 4 синхронных пулемета. Сейчас три самолета оборудованы двумя 20-мм пушками и три машины оборудованы крупнокалиберными пулеметами. Эта машина все же стара, а потому мы сделали новую И-61 Микояна с мотором МА-35, вооруженную одним крупнокалиберным и двумя малокалиберными пулеметами. Предусмотрен скоростной наддув. При этих данных машина должна дать скорость 630 км/час. Самолет запущен в серию. К 20.5.40 должна быть дана серия. К 1.6.40 мы будем иметь все данные по этой машине.</w:t>
      </w:r>
    </w:p>
    <w:p w14:paraId="6340C13E"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Ворошилов:</w:t>
      </w:r>
      <w:r w:rsidRPr="00DB5D0D">
        <w:rPr>
          <w:color w:val="000000" w:themeColor="text1"/>
          <w:sz w:val="16"/>
          <w:szCs w:val="16"/>
        </w:rPr>
        <w:t xml:space="preserve"> Останавливается на истории мотора МА-35 Никулина, который промышленниками был замаринован, и только в последние годы удалось вытащить его. Мотор хороший, и если над ним еще поработать, то мы будем иметь мотор, и неплохой.</w:t>
      </w:r>
    </w:p>
    <w:p w14:paraId="46424C74"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Воронин:</w:t>
      </w:r>
      <w:r w:rsidRPr="00DB5D0D">
        <w:rPr>
          <w:color w:val="000000" w:themeColor="text1"/>
          <w:sz w:val="16"/>
          <w:szCs w:val="16"/>
        </w:rPr>
        <w:t xml:space="preserve"> Кроме этих истребителей, мы имеем И-28 Яценко с воздушным мотором М-88. Предусмотрен наддув. Запущен в серию. Также запущен в серию И-26 (Яковлева) с мотором М-105, потолок 5000 м, скорость 600 км. В этом месяце получили первые машины. Есть один экземпляр истребителя Горбунова с М-105, над которым кроме пушки можно установить еще 4 крупнокалиберных пулемета. И-207 показал скорость такую же, как и «Чайка», а потому нет смысла ее ставить на производство, хотя она испытывалась в течение 5-ти лет. Сейчас над ней еще работают, если конструктора дадут скорость не менее 500 км, то, возможно, что-либо из нее получится. НКАП — принял решение все истребители, которые мы имеем, хотя они окончательно еще не проверены, запустить в серию.</w:t>
      </w:r>
    </w:p>
    <w:p w14:paraId="787BCB50"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Репин, дивинженер (зам. начальника ГУАС):</w:t>
      </w:r>
      <w:r w:rsidRPr="00DB5D0D">
        <w:rPr>
          <w:color w:val="000000" w:themeColor="text1"/>
          <w:sz w:val="16"/>
          <w:szCs w:val="16"/>
        </w:rPr>
        <w:t xml:space="preserve"> Нельзя много запускать в серию типов самолетов, не выбрав образца и не испытав его. Мы ведь еще не знаем их характеристик. Поэтому получается, что у нас заводы загружены, а результата нет. Немцы поступают иначе. Они выбирают образец и запускают на всех заводах.</w:t>
      </w:r>
    </w:p>
    <w:p w14:paraId="4033BFB6"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Ворошилов:</w:t>
      </w:r>
      <w:r w:rsidRPr="00DB5D0D">
        <w:rPr>
          <w:color w:val="000000" w:themeColor="text1"/>
          <w:sz w:val="16"/>
          <w:szCs w:val="16"/>
        </w:rPr>
        <w:t xml:space="preserve"> Тов. Репин не прав. Именно нужно запускать серии, чтобы в короткий срок создать хороший истребитель. Репин прав в одном, что мы бьемся в течение целого ряда лет, а истребителя хорошего нет.</w:t>
      </w:r>
    </w:p>
    <w:p w14:paraId="1C4E8881"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Репин:</w:t>
      </w:r>
      <w:r w:rsidRPr="00DB5D0D">
        <w:rPr>
          <w:color w:val="000000" w:themeColor="text1"/>
          <w:sz w:val="16"/>
          <w:szCs w:val="16"/>
        </w:rPr>
        <w:t xml:space="preserve"> Я все-таки считаю, что пока образец не отработан, запускать серию нельзя. А то заводы выводятся из строя на целые годы. Товарищ нарком, я считаю, что Вас неправильно информировали о моторе МА-35. Машина эта совершенно сырая. Тов. Воронин дает справку, что мотор имел дефект, но сейчас устранили его, и мотор работает.</w:t>
      </w:r>
    </w:p>
    <w:p w14:paraId="0BD7791C"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Гусев:</w:t>
      </w:r>
      <w:r w:rsidRPr="00DB5D0D">
        <w:rPr>
          <w:color w:val="000000" w:themeColor="text1"/>
          <w:sz w:val="16"/>
          <w:szCs w:val="16"/>
        </w:rPr>
        <w:t xml:space="preserve"> В течение 1940—41 гг. нам придется иметь самолеты И-16 с М-63, и И-153 с М-63. Но беда в том, что и они выходят с большими неприятностями. Нужно ускорить испытание новых типов самолетов. У нас темпы испытаний низки. Самолет И-207 испытывается 5 лет. Мы медленно устраняем дефекты, обнаруженные при испытании, поэтому и отстаем от заграницы. Нужно выпускать не одиночки, а серии, по 5—10 самолетов. Нужно скоростной маневренный истребитель. На технический совет был представлен самолет БМ-2, но благодаря тому, что т. Репин не явился на заседание Совета, мы до сего времени его не рассмотрели. Если мы так будем работать, то не только по 5 лет будут испытываться самолеты, но значительно больше. Поддерживаю т. Смушкевича. Истребитель должен быть большой скорости и хорошей маневренности.</w:t>
      </w:r>
    </w:p>
    <w:p w14:paraId="644DDC25"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Ворошилов:</w:t>
      </w:r>
      <w:r w:rsidRPr="00DB5D0D">
        <w:rPr>
          <w:color w:val="000000" w:themeColor="text1"/>
          <w:sz w:val="16"/>
          <w:szCs w:val="16"/>
        </w:rPr>
        <w:t xml:space="preserve"> Правительством приняты ряд мер. Дополнены испытатели. Изменена оплата — установлена целевая. Самолет испытывается до конца одним летчиком. </w:t>
      </w:r>
      <w:r w:rsidRPr="00DB5D0D">
        <w:rPr>
          <w:color w:val="000000" w:themeColor="text1"/>
          <w:sz w:val="16"/>
          <w:szCs w:val="16"/>
        </w:rPr>
        <w:lastRenderedPageBreak/>
        <w:t>Поставлена задача все эти самолеты, о которых здесь говорили, испытать к концу лета. Но не так все это просто.</w:t>
      </w:r>
    </w:p>
    <w:p w14:paraId="1A036165"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Локтионов:</w:t>
      </w:r>
      <w:r w:rsidRPr="00DB5D0D">
        <w:rPr>
          <w:color w:val="000000" w:themeColor="text1"/>
          <w:sz w:val="16"/>
          <w:szCs w:val="16"/>
        </w:rPr>
        <w:t xml:space="preserve"> 1) Нужно срочно заменить устаревшую «Чайку».</w:t>
      </w:r>
    </w:p>
    <w:p w14:paraId="0EBC0D07"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2) Нужен истребитель со скоростью не менее 500—600 км.</w:t>
      </w:r>
    </w:p>
    <w:p w14:paraId="5F4C74E5"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3) Нужно внедрять водяное охлаждение, оно имеет много преимуществ.</w:t>
      </w:r>
    </w:p>
    <w:p w14:paraId="132D6D9B"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4) Нужно истребитель оснащать пушкой и крупнокалиберным пулеметом.</w:t>
      </w:r>
    </w:p>
    <w:p w14:paraId="50D282D0"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5) Мы отстаем по дальности, плетемся в хвосте у конструкторов.</w:t>
      </w:r>
    </w:p>
    <w:p w14:paraId="36F1458C"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6) Надо увеличить дальность И-16.</w:t>
      </w:r>
    </w:p>
    <w:p w14:paraId="6105D97C"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7) Подвесные баки нужны.</w:t>
      </w:r>
    </w:p>
    <w:p w14:paraId="38754AC8"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8) Нужно использовать нейтральный газ, чтобы не горели баки.</w:t>
      </w:r>
    </w:p>
    <w:p w14:paraId="06C2A13E"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9) Нам нужно строить малые серии для испытаний.</w:t>
      </w:r>
    </w:p>
    <w:p w14:paraId="73B07F0B"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Шапошников:</w:t>
      </w:r>
      <w:r w:rsidRPr="00DB5D0D">
        <w:rPr>
          <w:color w:val="000000" w:themeColor="text1"/>
          <w:sz w:val="16"/>
          <w:szCs w:val="16"/>
        </w:rPr>
        <w:t xml:space="preserve"> 1) Мы со своими истребителями приходим к пределу. Нас иностранцы опережают, но иностранцы также еще не имеют большой массы новых самолетов.</w:t>
      </w:r>
    </w:p>
    <w:p w14:paraId="5506B9B0"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2) Нам нужен истребитель со скоростью 650—700 км, даже я бы пошел на эту скорость за счет маневренности, дальностью 1500 км, и с высотой 12000 м.</w:t>
      </w:r>
    </w:p>
    <w:p w14:paraId="7E0E75F7"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3) Нужно вооружение на истребителе — пушка и крупнокалиберный пулемет.</w:t>
      </w:r>
    </w:p>
    <w:p w14:paraId="0BD08D8E"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4) Нельзя делать из истребителя универсала, т.е. ставить задачи бомбардировщика, штурмовика и т.д.</w:t>
      </w:r>
    </w:p>
    <w:p w14:paraId="5AD327C6"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5) Конструктора работают плохо. Доводка — это кустарщина. Подвесные баки — это паллиатив.</w:t>
      </w:r>
    </w:p>
    <w:p w14:paraId="71A9B0B1"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6) Конструктора должны тщательно отрабатывать чертежи и больше шевелить мозгами.</w:t>
      </w:r>
    </w:p>
    <w:p w14:paraId="15EC675F"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7) Я бы пошел на двухместный истребитель — он имеет больше преимуществ.</w:t>
      </w:r>
    </w:p>
    <w:p w14:paraId="29465EBC"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Ворошилов:</w:t>
      </w:r>
      <w:r w:rsidRPr="00DB5D0D">
        <w:rPr>
          <w:color w:val="000000" w:themeColor="text1"/>
          <w:sz w:val="16"/>
          <w:szCs w:val="16"/>
        </w:rPr>
        <w:t xml:space="preserve"> Что Вы, т. Шапошников, предлагаете? Правительством принимались все меры, чтобы заинтересовать конструкторов. Им платили за каждую машину 1,5 млн руб., т.е. в 1,5 раза больше, чем стоит самолет.</w:t>
      </w:r>
    </w:p>
    <w:p w14:paraId="0BAD271F"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Павлов:</w:t>
      </w:r>
      <w:r w:rsidRPr="00DB5D0D">
        <w:rPr>
          <w:color w:val="000000" w:themeColor="text1"/>
          <w:sz w:val="16"/>
          <w:szCs w:val="16"/>
        </w:rPr>
        <w:t xml:space="preserve"> Если столько будем платить конструкторам, то у нас машин не будет. Нужно другие методы применять — пожестче.</w:t>
      </w:r>
    </w:p>
    <w:p w14:paraId="0CC2750E"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Шапошников:</w:t>
      </w:r>
      <w:r w:rsidRPr="00DB5D0D">
        <w:rPr>
          <w:color w:val="000000" w:themeColor="text1"/>
          <w:sz w:val="16"/>
          <w:szCs w:val="16"/>
        </w:rPr>
        <w:t xml:space="preserve"> Повторяет свои предложения.</w:t>
      </w:r>
    </w:p>
    <w:p w14:paraId="1B1154AF"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Птухин:</w:t>
      </w:r>
      <w:r w:rsidRPr="00DB5D0D">
        <w:rPr>
          <w:color w:val="000000" w:themeColor="text1"/>
          <w:sz w:val="16"/>
          <w:szCs w:val="16"/>
        </w:rPr>
        <w:t xml:space="preserve"> Отстаем в истребительной авиации потому, что мы к старым машинам приделываем новые моторы. Сейчас у нас взята правильная линия — дан целый ряд новых машин. Нет нигде машин, которые бы сразу выходили хорошими. Только на войсковых испытаниях могут определить качества машины, поэтому правильно делается, что сразу выпускается серия (десяток) машин. При этом условии скорее будем устранять недочеты. Двухмоторные истребители нужны — быстрее двигать, так как такой самолет скорее даст большую скорость. Для всех типов нужна живучесть. Горит машина — нейтральный газ не полностью гарантирует. Немцы на «Мессершмидтах» имеют резиновые баки. Все дело в скорости, чем больше скорость, тем больше маневренность. Нужно увеличить радиус действия истребительной авиации. И-183</w:t>
      </w:r>
      <w:hyperlink r:id="rId11" w:anchor="n_269" w:history="1">
        <w:r w:rsidRPr="00DB5D0D">
          <w:rPr>
            <w:rStyle w:val="a5"/>
            <w:color w:val="000000" w:themeColor="text1"/>
            <w:sz w:val="16"/>
            <w:szCs w:val="16"/>
          </w:rPr>
          <w:t>[269]</w:t>
        </w:r>
      </w:hyperlink>
      <w:r w:rsidRPr="00DB5D0D">
        <w:rPr>
          <w:color w:val="000000" w:themeColor="text1"/>
          <w:sz w:val="16"/>
          <w:szCs w:val="16"/>
        </w:rPr>
        <w:t xml:space="preserve"> рассчитан всего лишь на 45 минут — это никуда не годится. Нужно иметь подвесные баки. У нас имеется на вооружении И-15 и И-16; И-16 нужно оставить на вооружении до перевооружения; И-15 бис нужно передать в штурмовую авиацию. По моторам мы отстаем. На 1940 год нужна машина со скоростью 560 км/час.</w:t>
      </w:r>
    </w:p>
    <w:p w14:paraId="02EA72B4"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Штерн:</w:t>
      </w:r>
      <w:r w:rsidRPr="00DB5D0D">
        <w:rPr>
          <w:color w:val="000000" w:themeColor="text1"/>
          <w:sz w:val="16"/>
          <w:szCs w:val="16"/>
        </w:rPr>
        <w:t xml:space="preserve"> Вопрос хорошего истребителя — вопрос один из главных вопросов войны. От превосходства в воздухе истребителей зависит работа бомбардировочной авиации (потери, смелость летчика и т.д.). Не согласен с т. Шапошниковым в том, что истребителям не нужно ставить других задач. Жизнь заставит использовать их как бомбардировщики и штурмовики. Радиус действия 1500 км неосуществим сейчас. Тов. Птухин сделал ошибку, предлагая, в основном, двухмоторный самолет; нужен и двухмоторный, и одномоторный. Двухмоторный нужен для сопровождения бомбардировщиков. Наши самолеты горят как свечи — не живучи. Нашим конструкторам нужно меньше зазнаваться, все лучшее нужно использовать из иностранного опыта, а то мы в 1938 г. привезли из Испании «Мессершмидт-109», а его не использовали.</w:t>
      </w:r>
    </w:p>
    <w:p w14:paraId="773F0E8C"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Мелкишев, инженер 2-го ранга:</w:t>
      </w:r>
      <w:r w:rsidRPr="00DB5D0D">
        <w:rPr>
          <w:color w:val="000000" w:themeColor="text1"/>
          <w:sz w:val="16"/>
          <w:szCs w:val="16"/>
        </w:rPr>
        <w:t xml:space="preserve"> В основном на вооружении иностранной армии имеются одномоторные самолеты, и только в Германии введен на вооружение двухмоторный самолет. Нигде за границей подвесные баки не применяются. Дальность заграницей 800—900 км, время полета 2—2,5 часа. 20 мм пушка везде введена на вооружение. Сейчас переходят на более крупные калибры — 23 мм и 37 мм. Моторы, как правило, применяются жидкого охлаждения. Маневренных истребителей не существует.</w:t>
      </w:r>
    </w:p>
    <w:p w14:paraId="491E02AD"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Агальцов:</w:t>
      </w:r>
      <w:r w:rsidRPr="00DB5D0D">
        <w:rPr>
          <w:color w:val="000000" w:themeColor="text1"/>
          <w:sz w:val="16"/>
          <w:szCs w:val="16"/>
        </w:rPr>
        <w:t xml:space="preserve"> В вооружении истребителей мы отстали. В Германии в серийном производстве имеется самолет — скорость 570 км («Мессершмидт-109»). Скорость достигается не за счет двухмоторного, а за счет других показателей. В опытном отношении мы шагнули далеко и стоим на уровне передовых капиталистических стран. Мы имеем уже И-26 со скоростью 600 км. Тов. Птухин не прав о перестановке моторов. Перестанавливать новые моторы на старые самолеты нужно. Серийный выпуск правилен. Двухмоторный самолет нужен, а одномоторный должен быть основной. Одномоторный всегда будет бить двухмоторного. Дальность нужна 800—900 км.</w:t>
      </w:r>
    </w:p>
    <w:p w14:paraId="1F599452"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Воронин:</w:t>
      </w:r>
      <w:r w:rsidRPr="00DB5D0D">
        <w:rPr>
          <w:color w:val="000000" w:themeColor="text1"/>
          <w:sz w:val="16"/>
          <w:szCs w:val="16"/>
        </w:rPr>
        <w:t xml:space="preserve"> Нам нужно идти смелее. Имея 5—6 типов самолетов нужно запустить серии по 10—20 шт. и все испытывать. Мы много митингуем около машины из-за мелочей и из-за этого задерживаем выпуск. Мотор АМ-35 летает, ведет себя хорошо, имеет недостаток — при планировании захлебывается. Подвесных баков много наделали, чем перегружаем самолет. Нужно иметь тактико-технические данные, а то на истребитель вешают бомбы, рации и т.д.</w:t>
      </w:r>
    </w:p>
    <w:p w14:paraId="4A9BCFBA"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Алексеев:</w:t>
      </w:r>
      <w:r w:rsidRPr="00DB5D0D">
        <w:rPr>
          <w:color w:val="000000" w:themeColor="text1"/>
          <w:sz w:val="16"/>
          <w:szCs w:val="16"/>
        </w:rPr>
        <w:t xml:space="preserve"> Мы имеем большое количество самолетов на испытании. Задержка испытаний происходит потому, что лабораторные испытания в промышленности не производятся. На ближайшее время промышленность должна создать машину со скоростью: на 1941 год — 650—700 км, на 1942 год — 700—750, на 1943 год — 750—800 км. Нужно требовать от конструкторов увеличения на машине запаса горючего,</w:t>
      </w:r>
    </w:p>
    <w:p w14:paraId="567CE66A"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Ворошилов:</w:t>
      </w:r>
      <w:r w:rsidRPr="00DB5D0D">
        <w:rPr>
          <w:color w:val="000000" w:themeColor="text1"/>
          <w:sz w:val="16"/>
          <w:szCs w:val="16"/>
        </w:rPr>
        <w:t xml:space="preserve"> Товарищи, которые думают, что мы без дефектов сразу можем построить нужную нам машину, глубоко заблуждаются и напрасно думают, что мы не предъявляем требований к конструкторам. Правительство и мы ставили требования, но конструктора наши требования пока недовыполняют. Теперь много появилось молодых конструкторов (т. Микоян и др.), которые раньше никогда этим делом не занимались, и ясно, что на первых порах будут допускаться ошибки. В области опытного строительства мы стоим на должном уровне. Двухмоторные самолеты не могут заменить одномоторные. У нас имеются два типа истребителей, один из них для сопровождения бомбардировщиков. Сейчас они проходят испытания, нужно установить соотношение между одномоторными и двухмоторными самолетами. Нужно записать, чтобы наши самолеты не горели. Наша промышленность в состоянии это сделать. Нужно все использовать, что нового имеется в «Мессершмидтах», и перенести немедленно на наши самолеты. Подвесные баки нужны. Необходимо потребовать от конструкторов увеличения радиуса действия. И-153 оставить на вооружении. И-16 с М-62 и М-63 также оставить на вооружении. И-16 с М-25 изъять. И-15 (старые) выбросить все. Остальные оставить. Из новых нужно выбрать после испытания, показавшие лучшие результаты, сейчас выбрать не можем.</w:t>
      </w:r>
    </w:p>
    <w:p w14:paraId="10A0542A"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Мехлис:</w:t>
      </w:r>
      <w:r w:rsidRPr="00DB5D0D">
        <w:rPr>
          <w:color w:val="000000" w:themeColor="text1"/>
          <w:sz w:val="16"/>
          <w:szCs w:val="16"/>
        </w:rPr>
        <w:t xml:space="preserve"> Нужно принять предложение начальника Генштаба и записать для конструкторов о создании самолета с дальностью 1500 км и скоростью 750 км/час, потолок 12 000 м.</w:t>
      </w:r>
    </w:p>
    <w:p w14:paraId="71C9990F"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Штерн:</w:t>
      </w:r>
      <w:r w:rsidRPr="00DB5D0D">
        <w:rPr>
          <w:color w:val="000000" w:themeColor="text1"/>
          <w:sz w:val="16"/>
          <w:szCs w:val="16"/>
        </w:rPr>
        <w:t xml:space="preserve"> Нужно на истребителях иметь бомбодержатели.</w:t>
      </w:r>
    </w:p>
    <w:p w14:paraId="5E01D16E"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Кулик:</w:t>
      </w:r>
      <w:r w:rsidRPr="00DB5D0D">
        <w:rPr>
          <w:color w:val="000000" w:themeColor="text1"/>
          <w:sz w:val="16"/>
          <w:szCs w:val="16"/>
        </w:rPr>
        <w:t xml:space="preserve"> Необходимо промышленности дать вполне современные тактико-технические требования.</w:t>
      </w:r>
    </w:p>
    <w:p w14:paraId="06CC41E8"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Ворошилов:</w:t>
      </w:r>
      <w:r w:rsidRPr="00DB5D0D">
        <w:rPr>
          <w:color w:val="000000" w:themeColor="text1"/>
          <w:sz w:val="16"/>
          <w:szCs w:val="16"/>
        </w:rPr>
        <w:t xml:space="preserve"> На 1941 г. нужно дать тактико-технические задания по истребителям. Тов. Алексееву и Репину доложить на следующем заседании.</w:t>
      </w:r>
    </w:p>
    <w:p w14:paraId="650905B2"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Мехлис:</w:t>
      </w:r>
      <w:r w:rsidRPr="00DB5D0D">
        <w:rPr>
          <w:color w:val="000000" w:themeColor="text1"/>
          <w:sz w:val="16"/>
          <w:szCs w:val="16"/>
        </w:rPr>
        <w:t xml:space="preserve"> По каждому из имеющихся самолетов мы должны дать оценку.</w:t>
      </w:r>
    </w:p>
    <w:p w14:paraId="262C6225"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Кулик:</w:t>
      </w:r>
      <w:r w:rsidRPr="00DB5D0D">
        <w:rPr>
          <w:color w:val="000000" w:themeColor="text1"/>
          <w:sz w:val="16"/>
          <w:szCs w:val="16"/>
        </w:rPr>
        <w:t xml:space="preserve"> Я считаю нужным заявить, что мотора М-63 нет. Нужно наших конструкторов заставить крепче работать. Нужно создать комиссию, которая бы подработала предложение по оценке наших самолетов.</w:t>
      </w:r>
    </w:p>
    <w:p w14:paraId="0FBDEF2D"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Мехлис:</w:t>
      </w:r>
      <w:r w:rsidRPr="00DB5D0D">
        <w:rPr>
          <w:color w:val="000000" w:themeColor="text1"/>
          <w:sz w:val="16"/>
          <w:szCs w:val="16"/>
        </w:rPr>
        <w:t xml:space="preserve"> Предлагаю в состав комиссии включить Кулика, Смушкевича, Репина, Алексеева и Птухина</w:t>
      </w:r>
      <w:hyperlink r:id="rId12" w:anchor="n_270" w:history="1">
        <w:r w:rsidRPr="00DB5D0D">
          <w:rPr>
            <w:rStyle w:val="a5"/>
            <w:color w:val="000000" w:themeColor="text1"/>
            <w:sz w:val="16"/>
            <w:szCs w:val="16"/>
          </w:rPr>
          <w:t>[270]</w:t>
        </w:r>
      </w:hyperlink>
      <w:r w:rsidRPr="00DB5D0D">
        <w:rPr>
          <w:color w:val="000000" w:themeColor="text1"/>
          <w:sz w:val="16"/>
          <w:szCs w:val="16"/>
        </w:rPr>
        <w:t xml:space="preserve"> с задачей дать оценку и предложения.</w:t>
      </w:r>
    </w:p>
    <w:p w14:paraId="048D3AA3" w14:textId="77777777" w:rsidR="0055000F" w:rsidRPr="00DB5D0D" w:rsidRDefault="0055000F" w:rsidP="00DB5D0D">
      <w:pPr>
        <w:pStyle w:val="ae"/>
        <w:spacing w:before="0" w:after="0"/>
        <w:jc w:val="both"/>
        <w:rPr>
          <w:color w:val="000000" w:themeColor="text1"/>
          <w:sz w:val="16"/>
          <w:szCs w:val="16"/>
        </w:rPr>
      </w:pPr>
      <w:r w:rsidRPr="00DB5D0D">
        <w:rPr>
          <w:bCs/>
          <w:iCs/>
          <w:color w:val="000000" w:themeColor="text1"/>
          <w:sz w:val="16"/>
          <w:szCs w:val="16"/>
        </w:rPr>
        <w:t>Павлов:</w:t>
      </w:r>
      <w:r w:rsidRPr="00DB5D0D">
        <w:rPr>
          <w:color w:val="000000" w:themeColor="text1"/>
          <w:sz w:val="16"/>
          <w:szCs w:val="16"/>
        </w:rPr>
        <w:t xml:space="preserve"> Предлагаю ввести Рычагова, и взамен Кулика поручить руководство комиссией Смушкевичу.</w:t>
      </w:r>
    </w:p>
    <w:p w14:paraId="390F35EA"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Нарком предлагает оставить руководство комиссией за т. Куликом и дополнительно ввести т. Рычагова и Гусева.</w:t>
      </w:r>
    </w:p>
    <w:p w14:paraId="17941C6A" w14:textId="77777777" w:rsidR="0055000F" w:rsidRPr="00DB5D0D" w:rsidRDefault="0055000F" w:rsidP="00DB5D0D">
      <w:pPr>
        <w:pStyle w:val="ae"/>
        <w:spacing w:before="0" w:after="0"/>
        <w:jc w:val="both"/>
        <w:rPr>
          <w:color w:val="000000" w:themeColor="text1"/>
          <w:sz w:val="16"/>
          <w:szCs w:val="16"/>
        </w:rPr>
      </w:pPr>
      <w:r w:rsidRPr="00DB5D0D">
        <w:rPr>
          <w:color w:val="000000" w:themeColor="text1"/>
          <w:sz w:val="16"/>
          <w:szCs w:val="16"/>
        </w:rPr>
        <w:t>Предложение наркома принимается.</w:t>
      </w:r>
    </w:p>
    <w:p w14:paraId="2812D026" w14:textId="77777777" w:rsidR="00375E43" w:rsidRPr="00DB5D0D" w:rsidRDefault="005500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34891. On. 1. Д. 9. Л. 1 — 12. Подлинник</w:t>
      </w:r>
    </w:p>
    <w:p w14:paraId="74C7F9C6"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w:t>
      </w:r>
    </w:p>
    <w:p w14:paraId="36C61512"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РГВА. Ф. 4. Оп. 18. Д. 47. Л. 106?107.</w:t>
      </w:r>
    </w:p>
    <w:p w14:paraId="68231BFE"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bookmarkStart w:id="12" w:name="n_26"/>
      <w:bookmarkEnd w:id="12"/>
      <w:r w:rsidRPr="00DB5D0D">
        <w:rPr>
          <w:rFonts w:ascii="Times New Roman" w:eastAsia="Times New Roman" w:hAnsi="Times New Roman"/>
          <w:color w:val="000000" w:themeColor="text1"/>
          <w:sz w:val="16"/>
          <w:szCs w:val="16"/>
          <w:lang w:eastAsia="ru-RU"/>
        </w:rPr>
        <w:t>26</w:t>
      </w:r>
    </w:p>
    <w:p w14:paraId="25F5D1EA"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Первоначально напечатанная цифра 4 исправлена на 6.</w:t>
      </w:r>
    </w:p>
    <w:p w14:paraId="6282D466"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bookmarkStart w:id="13" w:name="n_27"/>
      <w:bookmarkEnd w:id="13"/>
      <w:r w:rsidRPr="00DB5D0D">
        <w:rPr>
          <w:rFonts w:ascii="Times New Roman" w:eastAsia="Times New Roman" w:hAnsi="Times New Roman"/>
          <w:color w:val="000000" w:themeColor="text1"/>
          <w:sz w:val="16"/>
          <w:szCs w:val="16"/>
          <w:lang w:eastAsia="ru-RU"/>
        </w:rPr>
        <w:t>27</w:t>
      </w:r>
    </w:p>
    <w:p w14:paraId="501B3774"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Первоначально напечатанная цифра 1 зачеркнута.</w:t>
      </w:r>
    </w:p>
    <w:p w14:paraId="3F2B3448"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bookmarkStart w:id="14" w:name="n_266"/>
      <w:bookmarkEnd w:id="14"/>
      <w:r w:rsidRPr="00DB5D0D">
        <w:rPr>
          <w:rFonts w:ascii="Times New Roman" w:eastAsia="Times New Roman" w:hAnsi="Times New Roman"/>
          <w:color w:val="000000" w:themeColor="text1"/>
          <w:sz w:val="16"/>
          <w:szCs w:val="16"/>
          <w:lang w:eastAsia="ru-RU"/>
        </w:rPr>
        <w:t>266</w:t>
      </w:r>
    </w:p>
    <w:p w14:paraId="77819182"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Заголовок документа — «Протокол № 1 заседания Комиссии Главного военного совета Красной Армии от 4 мая 1940 г. (19.00)».</w:t>
      </w:r>
    </w:p>
    <w:p w14:paraId="40B822E2"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bookmarkStart w:id="15" w:name="n_267"/>
      <w:bookmarkEnd w:id="15"/>
      <w:r w:rsidRPr="00DB5D0D">
        <w:rPr>
          <w:rFonts w:ascii="Times New Roman" w:eastAsia="Times New Roman" w:hAnsi="Times New Roman"/>
          <w:color w:val="000000" w:themeColor="text1"/>
          <w:sz w:val="16"/>
          <w:szCs w:val="16"/>
          <w:lang w:eastAsia="ru-RU"/>
        </w:rPr>
        <w:t>267</w:t>
      </w:r>
    </w:p>
    <w:p w14:paraId="731F1F46"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Отточия документа, видимо, далее опущено перечисление состава членов комиссии ГВС.</w:t>
      </w:r>
    </w:p>
    <w:p w14:paraId="0BFFC535"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bookmarkStart w:id="16" w:name="n_268"/>
      <w:bookmarkEnd w:id="16"/>
      <w:r w:rsidRPr="00DB5D0D">
        <w:rPr>
          <w:rFonts w:ascii="Times New Roman" w:eastAsia="Times New Roman" w:hAnsi="Times New Roman"/>
          <w:color w:val="000000" w:themeColor="text1"/>
          <w:sz w:val="16"/>
          <w:szCs w:val="16"/>
          <w:lang w:eastAsia="ru-RU"/>
        </w:rPr>
        <w:t>268</w:t>
      </w:r>
    </w:p>
    <w:p w14:paraId="6E3D30A2"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Так в тексте. Речь идет о герметичной кабине.</w:t>
      </w:r>
    </w:p>
    <w:p w14:paraId="3C7FA166"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bookmarkStart w:id="17" w:name="n_269"/>
      <w:bookmarkEnd w:id="17"/>
      <w:r w:rsidRPr="00DB5D0D">
        <w:rPr>
          <w:rFonts w:ascii="Times New Roman" w:eastAsia="Times New Roman" w:hAnsi="Times New Roman"/>
          <w:color w:val="000000" w:themeColor="text1"/>
          <w:sz w:val="16"/>
          <w:szCs w:val="16"/>
          <w:lang w:eastAsia="ru-RU"/>
        </w:rPr>
        <w:t>269</w:t>
      </w:r>
    </w:p>
    <w:p w14:paraId="075FAB49"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Так в тексте, должно быть И-153.</w:t>
      </w:r>
    </w:p>
    <w:p w14:paraId="7C3AD234"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bookmarkStart w:id="18" w:name="n_270"/>
      <w:bookmarkEnd w:id="18"/>
      <w:r w:rsidRPr="00DB5D0D">
        <w:rPr>
          <w:rFonts w:ascii="Times New Roman" w:eastAsia="Times New Roman" w:hAnsi="Times New Roman"/>
          <w:color w:val="000000" w:themeColor="text1"/>
          <w:sz w:val="16"/>
          <w:szCs w:val="16"/>
          <w:lang w:eastAsia="ru-RU"/>
        </w:rPr>
        <w:t>270</w:t>
      </w:r>
    </w:p>
    <w:p w14:paraId="779F080D"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Слово вписано от руки.</w:t>
      </w:r>
    </w:p>
    <w:p w14:paraId="2B04E1F8" w14:textId="77777777" w:rsidR="00375E43" w:rsidRPr="00DB5D0D" w:rsidRDefault="00375E43" w:rsidP="00DB5D0D">
      <w:pPr>
        <w:spacing w:after="0" w:line="240" w:lineRule="auto"/>
        <w:jc w:val="both"/>
        <w:rPr>
          <w:rFonts w:ascii="Times New Roman" w:eastAsia="Times New Roman" w:hAnsi="Times New Roman"/>
          <w:color w:val="000000" w:themeColor="text1"/>
          <w:sz w:val="16"/>
          <w:szCs w:val="16"/>
          <w:lang w:eastAsia="ru-RU"/>
        </w:rPr>
      </w:pPr>
      <w:bookmarkStart w:id="19" w:name="n_271"/>
      <w:bookmarkEnd w:id="19"/>
      <w:r w:rsidRPr="00DB5D0D">
        <w:rPr>
          <w:rFonts w:ascii="Times New Roman" w:eastAsia="Times New Roman" w:hAnsi="Times New Roman"/>
          <w:color w:val="000000" w:themeColor="text1"/>
          <w:sz w:val="16"/>
          <w:szCs w:val="16"/>
          <w:lang w:eastAsia="ru-RU"/>
        </w:rPr>
        <w:t>271</w:t>
      </w:r>
    </w:p>
    <w:p w14:paraId="755DBBAF" w14:textId="77777777" w:rsidR="0055000F" w:rsidRPr="00DB5D0D" w:rsidRDefault="00375E43" w:rsidP="00DB5D0D">
      <w:pPr>
        <w:spacing w:after="0" w:line="240" w:lineRule="auto"/>
        <w:jc w:val="both"/>
        <w:rPr>
          <w:rFonts w:ascii="Times New Roman" w:hAnsi="Times New Roman"/>
          <w:color w:val="000000" w:themeColor="text1"/>
          <w:sz w:val="16"/>
          <w:szCs w:val="16"/>
        </w:rPr>
      </w:pPr>
      <w:r w:rsidRPr="00DB5D0D">
        <w:rPr>
          <w:rFonts w:ascii="Times New Roman" w:eastAsia="Times New Roman" w:hAnsi="Times New Roman"/>
          <w:color w:val="000000" w:themeColor="text1"/>
          <w:sz w:val="16"/>
          <w:szCs w:val="16"/>
          <w:lang w:eastAsia="ru-RU"/>
        </w:rPr>
        <w:t>На документе имеются пометы: машинописная — «Отп. 2 экз. Печ. Коледова. 7.5.40.» и рукописная — «Экз. 2 и черновик уничтожен путем сожжения. Калантарова».</w:t>
      </w:r>
      <w:r w:rsidR="0055000F" w:rsidRPr="00DB5D0D">
        <w:rPr>
          <w:rFonts w:ascii="Times New Roman" w:hAnsi="Times New Roman"/>
          <w:color w:val="000000" w:themeColor="text1"/>
          <w:sz w:val="16"/>
          <w:szCs w:val="16"/>
        </w:rPr>
        <w:t xml:space="preserve"> (17402).</w:t>
      </w:r>
    </w:p>
    <w:p w14:paraId="27F62B8D" w14:textId="77777777" w:rsidR="0055000F" w:rsidRPr="00DB5D0D" w:rsidRDefault="0055000F" w:rsidP="00DB5D0D">
      <w:pPr>
        <w:spacing w:after="0" w:line="240" w:lineRule="auto"/>
        <w:jc w:val="both"/>
        <w:rPr>
          <w:rFonts w:ascii="Times New Roman" w:hAnsi="Times New Roman"/>
          <w:color w:val="000000" w:themeColor="text1"/>
          <w:sz w:val="16"/>
          <w:szCs w:val="16"/>
        </w:rPr>
      </w:pPr>
    </w:p>
    <w:p w14:paraId="29F187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года П.А. Воронин, уже будучи замнаркома авиапромышленности, на вечернем заседании Комиссии Главного Военного Совета Красной армии привел впечатляющие цифры для сравнения характеристик старой и новой техники, заявив об основной продукции завода № 1 – истребителе И-153 «Чайка» со скоростью 440 км/час: «Эта машина все же стара, а потому мы сделали новую И-61 Микояна, с мотором МА-35, вооруженную крупнокалиберным и двумя малокалиберными пулеметами... со скоростным наддувом и скоростью 630 км/час, а к 20 мая 1940 года уже должна быть дана серия». Его поддержал К.Е. Ворошилов, уточнив, что мотор МА-35 «промышленниками был замаринован, и только в последние годы удалось вытащить его» («Зимняя война»: работа над ошибками (апрель – май 1940 г.). С. 217-218.) (11672).</w:t>
      </w:r>
    </w:p>
    <w:p w14:paraId="31DBCA1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E416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года на совещании с участием 15 представителей Первого Главного Управления (ПГУ) Наркомата авиапромышлености, Главного Управления Авиационного Снабжения РККА, Главкраски, Всесоюзного Института авиационных материалов (ВИАМ), а также представителей авиазаводов № 22 и № 39, были высказывания о сложной ситуации с алюминиевой пудрой, так как алюминиевое покрытие было наиболее атмосферостойким из всех существующих. Представитель Главкраски заявил, что «вопрос с импортными материалами чрезвычайно обострился» (Самарский филиал РГАНТД. Ф. Р-124. Д. 86. Л. 57-59.). Представитель ВИАМ констатировал, что кроме алюминиевой эмали институт на данное время ничего предложить не может, и уточнил, что не только для этой эмали, но и для других покрытий нужна алюминиевая пудра «и без нее нам не обойтись» (Там же. Л. 59.). Представитель ПГУ подытожил: «Положение с импортом алюминиевой пудры для лаков чрезвычайно тяжелое. Все имевшиеся запасы пудры нами использованы» (Там же. Л. 60.). Было решено просить наркома авиационной промышленности «повторно возбудить перед правительством ходатайство об организации отечественного производства высокодисперсных алюминиевых порошков» для лакокрасочной индустрии (Там же. Л. 61.).</w:t>
      </w:r>
    </w:p>
    <w:p w14:paraId="6452CA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Начавшаяся Вторая мировая война усугубила и до этого существовавшую определенную зависимость советской авиапромышленности от импорта различных, в том числе и стратегически важных компонентов, необходимых для авиапроизводства. Сыграли свою роль как внешнеполитические обстоятельства, так и возросшая потребность в этих компонентах (11672).</w:t>
      </w:r>
    </w:p>
    <w:p w14:paraId="573B84C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617965" w14:textId="77777777" w:rsidR="00A25AD1" w:rsidRPr="00DB5D0D" w:rsidRDefault="00B30AFA"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37AECE3"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p>
    <w:p w14:paraId="55BFF349"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мая 1940 вышло Постановление Комитета обороны при СНК СССР № 191сс "О разработке опытных образцов автобронетанкового вооружения"</w:t>
      </w:r>
    </w:p>
    <w:p w14:paraId="3FE52969"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 разработке опытных образцов автобронстанкового вооружения.</w:t>
      </w:r>
    </w:p>
    <w:p w14:paraId="55727E94"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ОБОРОЫ при СНК Союза ССР ПОСТАНОВЛЯЕТ:</w:t>
      </w:r>
    </w:p>
    <w:p w14:paraId="246EE103"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 Обязать Наркомсредмаш -  тов. ЛИХАЧЕВА по тактико-техническим требованиям НКО: </w:t>
      </w:r>
    </w:p>
    <w:p w14:paraId="4CBB037C"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заводе № 183 - к 1 октября 1940 года изготовить и сдать на полигонные испытания опытный тяжелый артиллерийский тягач на базе Т-34 для замены в будущем арттягача "Ворошиловец"</w:t>
      </w:r>
    </w:p>
    <w:p w14:paraId="3D818C41"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ЧТЗ - к 1 августа 1940 года пред'явить па полигонные испытания НКО два образца тракторов СТ-2 с новым дизельмотором 140-150 HP для замены в будущем существующего дизельмотора 110-НР.</w:t>
      </w:r>
    </w:p>
    <w:p w14:paraId="2DEE7C25"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НАТИ - к 1 сентября 1940 года разработать и изготовить компрессорные установки к арттягачам "Ворошиловец" и "СТ-2" для торможения прицепов.</w:t>
      </w:r>
    </w:p>
    <w:p w14:paraId="311D6BD0"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ГАЗ'е им. т. Молотова - к 1 ноября 1940 года изготовить и сдать на полигонные испытания 2 легких бронеавтомобиля с двумя ведущими осями.</w:t>
      </w:r>
    </w:p>
    <w:p w14:paraId="50BDD245"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Обязать Наркомтяжмаш - тов .ЕФРЕМОВА А.И. по тактико</w:t>
      </w:r>
      <w:r w:rsidRPr="00DB5D0D">
        <w:rPr>
          <w:rFonts w:ascii="Times New Roman" w:hAnsi="Times New Roman"/>
          <w:color w:val="0070C0"/>
          <w:sz w:val="16"/>
          <w:szCs w:val="16"/>
        </w:rPr>
        <w:softHyphen/>
        <w:t>техническим требованиям НКО на заводе ДРО - к 1 октября 1940 г. изготовить два бронекорпуса для броневого автомобиля с двумя ведущими осями Горьковского автомобильного завода им. т. Молотова</w:t>
      </w:r>
    </w:p>
    <w:p w14:paraId="1D387464"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Наркомередмашу - тов.ЛИХАЧЕВУ Е.А. прекратить разра</w:t>
      </w:r>
      <w:r w:rsidRPr="00DB5D0D">
        <w:rPr>
          <w:rFonts w:ascii="Times New Roman" w:hAnsi="Times New Roman"/>
          <w:color w:val="0070C0"/>
          <w:sz w:val="16"/>
          <w:szCs w:val="16"/>
        </w:rPr>
        <w:softHyphen/>
        <w:t>ботку образцов танков, как неудовлетворяющих новейшим тактико</w:t>
      </w:r>
      <w:r w:rsidRPr="00DB5D0D">
        <w:rPr>
          <w:rFonts w:ascii="Times New Roman" w:hAnsi="Times New Roman"/>
          <w:color w:val="0070C0"/>
          <w:sz w:val="16"/>
          <w:szCs w:val="16"/>
        </w:rPr>
        <w:softHyphen/>
        <w:t>техническим требованиям НКО На заводе № 174 Наркомсредмаша:</w:t>
      </w:r>
    </w:p>
    <w:p w14:paraId="19D5D335"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арттанк Т-26 с 76мм пушкой Л-10;</w:t>
      </w:r>
    </w:p>
    <w:p w14:paraId="3B14588B"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танк. Т-26 подводного хождения.</w:t>
      </w:r>
    </w:p>
    <w:p w14:paraId="1695A07E"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заводе № 183 Наркомсредмаша:</w:t>
      </w:r>
    </w:p>
    <w:p w14:paraId="053ACD01"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арттанк А-8 с 76мм пушкой Л-10;</w:t>
      </w:r>
    </w:p>
    <w:p w14:paraId="3BD760ED"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химтанк А-8;</w:t>
      </w:r>
    </w:p>
    <w:p w14:paraId="50AE3B77"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танк А-8 подводного хождения;</w:t>
      </w:r>
    </w:p>
    <w:p w14:paraId="472C1621"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танк Т-35 (модернизированный).</w:t>
      </w:r>
    </w:p>
    <w:p w14:paraId="0159B7EC"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Наркомтяжмашу - тов .ЕФИМОВУ А.И. прекратить разработку танка Т-28 подводного хождения, как неудовлетворяющего новым тактико-техническим требованиям НКО.</w:t>
      </w:r>
    </w:p>
    <w:p w14:paraId="69F19A98"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Указанные ниже образцы, изготовленные промышленностью, но не удовлетворяющие всем новейшим тактико-техническим требованиям НКО, на производство не ставить:</w:t>
      </w:r>
    </w:p>
    <w:p w14:paraId="74C4AC75"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танк А-20 колесно-гусеничный с дизелем В2 и тремя паpaми ведущих колес, изготовленный заводом 183 Наркомсредмаша. Танк в лпытном образце со всеми чертежами и техусловиями сохранить на заводе № 183 Наркомсредмаша;</w:t>
      </w:r>
    </w:p>
    <w:p w14:paraId="3818F7BF"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танк прорыва T-100, изготовленный опытным заводом № 185 Наркомсредмаша, оставив его со всей документацией в распоряжении Наркомсредмаша;</w:t>
      </w:r>
    </w:p>
    <w:p w14:paraId="30E51BF3"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танк прорыва "СМК", изготовленный Кировским заводом, оставив его со всей документацией на Кировском заводе Наркомтяжмаша;</w:t>
      </w:r>
    </w:p>
    <w:p w14:paraId="606E10A4"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бронированный автомобиль ЛБ-23, изготовленный заводом ДРО Наркомтяжмаша, как сложный в производстве и не базирующийся на стан</w:t>
      </w:r>
      <w:r w:rsidRPr="00DB5D0D">
        <w:rPr>
          <w:rFonts w:ascii="Times New Roman" w:hAnsi="Times New Roman"/>
          <w:color w:val="0070C0"/>
          <w:sz w:val="16"/>
          <w:szCs w:val="16"/>
        </w:rPr>
        <w:softHyphen/>
        <w:t>дартную автомашину, оставив его в распоряжении Наркомтяжмаш.</w:t>
      </w:r>
    </w:p>
    <w:p w14:paraId="79815BD6"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Наркомередмашу – тов. ЛИХАЧЕВУ И.А. и Наркомтяжмашу – тов. ЕФРЕМОВУ А.И. представить по согласованию с НКФ СССР к 1 июня 1940 года в КО обоснованный расчет затрат по разработке этих образ</w:t>
      </w:r>
      <w:r w:rsidRPr="00DB5D0D">
        <w:rPr>
          <w:rFonts w:ascii="Times New Roman" w:hAnsi="Times New Roman"/>
          <w:color w:val="0070C0"/>
          <w:sz w:val="16"/>
          <w:szCs w:val="16"/>
        </w:rPr>
        <w:softHyphen/>
        <w:t>цов, включив и затраты по танкам СТЗ-25 и CT3-35, работы по которым прекращены постановлением КО № 375сс от 7 октября 1939 года.</w:t>
      </w:r>
    </w:p>
    <w:p w14:paraId="72AD0F09"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Исключить из числа действующих постановления Комитета Обо</w:t>
      </w:r>
      <w:r w:rsidRPr="00DB5D0D">
        <w:rPr>
          <w:rFonts w:ascii="Times New Roman" w:hAnsi="Times New Roman"/>
          <w:color w:val="0070C0"/>
          <w:sz w:val="16"/>
          <w:szCs w:val="16"/>
        </w:rPr>
        <w:softHyphen/>
        <w:t>роны при СНК Союза ССР № 198сс от 7 августа 1938 года и № 118сс от 15 мая 1939 года (21897).</w:t>
      </w:r>
    </w:p>
    <w:p w14:paraId="7426B47E" w14:textId="77777777" w:rsidR="00E47DED" w:rsidRPr="00DB5D0D" w:rsidRDefault="00E47DED" w:rsidP="00DB5D0D">
      <w:pPr>
        <w:spacing w:after="0" w:line="240" w:lineRule="auto"/>
        <w:jc w:val="both"/>
        <w:rPr>
          <w:rFonts w:ascii="Times New Roman" w:hAnsi="Times New Roman"/>
          <w:color w:val="0070C0"/>
          <w:sz w:val="16"/>
          <w:szCs w:val="16"/>
          <w:shd w:val="clear" w:color="auto" w:fill="FFFFFF"/>
        </w:rPr>
      </w:pPr>
    </w:p>
    <w:p w14:paraId="0DDE88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года появилось постановление Ко</w:t>
      </w:r>
      <w:r w:rsidRPr="00DB5D0D">
        <w:rPr>
          <w:rFonts w:ascii="Times New Roman" w:hAnsi="Times New Roman"/>
          <w:color w:val="000000" w:themeColor="text1"/>
          <w:sz w:val="16"/>
          <w:szCs w:val="16"/>
        </w:rPr>
        <w:softHyphen/>
        <w:t>митета Обороны СССР № 191сс, согласно которому к 1 но</w:t>
      </w:r>
      <w:r w:rsidRPr="00DB5D0D">
        <w:rPr>
          <w:rFonts w:ascii="Times New Roman" w:hAnsi="Times New Roman"/>
          <w:color w:val="000000" w:themeColor="text1"/>
          <w:sz w:val="16"/>
          <w:szCs w:val="16"/>
        </w:rPr>
        <w:softHyphen/>
        <w:t>ября Горьковский автомобильный завод должен был изго</w:t>
      </w:r>
      <w:r w:rsidRPr="00DB5D0D">
        <w:rPr>
          <w:rFonts w:ascii="Times New Roman" w:hAnsi="Times New Roman"/>
          <w:color w:val="000000" w:themeColor="text1"/>
          <w:sz w:val="16"/>
          <w:szCs w:val="16"/>
        </w:rPr>
        <w:softHyphen/>
        <w:t>товить два бронеавтомобиля ЛБ-62. Изготовление броне</w:t>
      </w:r>
      <w:r w:rsidRPr="00DB5D0D">
        <w:rPr>
          <w:rFonts w:ascii="Times New Roman" w:hAnsi="Times New Roman"/>
          <w:color w:val="000000" w:themeColor="text1"/>
          <w:sz w:val="16"/>
          <w:szCs w:val="16"/>
        </w:rPr>
        <w:softHyphen/>
        <w:t>вых корпусов поручили Выксунскому заводу ДРО, башни танков Т-40 поставлял завод имени Орджоникидзе в По</w:t>
      </w:r>
      <w:r w:rsidRPr="00DB5D0D">
        <w:rPr>
          <w:rFonts w:ascii="Times New Roman" w:hAnsi="Times New Roman"/>
          <w:color w:val="000000" w:themeColor="text1"/>
          <w:sz w:val="16"/>
          <w:szCs w:val="16"/>
        </w:rPr>
        <w:softHyphen/>
        <w:t>дольске (11284).</w:t>
      </w:r>
    </w:p>
    <w:p w14:paraId="2D17F3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AE2C6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 вышло Постановление комитета обороны № 191, по которому завод № 183 должен был изготовить и сдать на полигонные испытания к 1.10.1940 г. два опытных образца трактора «А-42».</w:t>
      </w:r>
    </w:p>
    <w:p w14:paraId="38ED0D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 ноября один опытный образец изготовлен, прошел заводскую обкатку и подготавливается к заводским испытаниям. Второй образец заканчивается сборкой 20-25 ноября.</w:t>
      </w:r>
    </w:p>
    <w:p w14:paraId="79393B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Письмом № 80315 от 19.10.1940 г. АТУ Красной Армии просило зам. Наркома среднего машино</w:t>
      </w:r>
      <w:r w:rsidRPr="00DB5D0D">
        <w:rPr>
          <w:rFonts w:ascii="Times New Roman" w:hAnsi="Times New Roman"/>
          <w:color w:val="000000" w:themeColor="text1"/>
          <w:sz w:val="16"/>
          <w:szCs w:val="16"/>
        </w:rPr>
        <w:softHyphen/>
        <w:t>строения т. Горегляд обязать завод закончить сборку опытных образцов в кратчайший срок и предъ</w:t>
      </w:r>
      <w:r w:rsidRPr="00DB5D0D">
        <w:rPr>
          <w:rFonts w:ascii="Times New Roman" w:hAnsi="Times New Roman"/>
          <w:color w:val="000000" w:themeColor="text1"/>
          <w:sz w:val="16"/>
          <w:szCs w:val="16"/>
        </w:rPr>
        <w:softHyphen/>
        <w:t>явить их на полигонные испытания.</w:t>
      </w:r>
    </w:p>
    <w:p w14:paraId="23B494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Трактор «А-42» является тяжелым трактором, спроектированным на базе танка Т-34, с унифика</w:t>
      </w:r>
      <w:r w:rsidRPr="00DB5D0D">
        <w:rPr>
          <w:rFonts w:ascii="Times New Roman" w:hAnsi="Times New Roman"/>
          <w:color w:val="000000" w:themeColor="text1"/>
          <w:sz w:val="16"/>
          <w:szCs w:val="16"/>
        </w:rPr>
        <w:softHyphen/>
        <w:t>цией основных механизмов.</w:t>
      </w:r>
    </w:p>
    <w:p w14:paraId="61C314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w:t>
      </w:r>
    </w:p>
    <w:p w14:paraId="13F2A3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Вес — 17 тонн.</w:t>
      </w:r>
    </w:p>
    <w:p w14:paraId="5E71E8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Максимальная мощность двигателя — 500 л.с.</w:t>
      </w:r>
    </w:p>
    <w:p w14:paraId="52F135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Максимальная скорость — 47 км/час.</w:t>
      </w:r>
    </w:p>
    <w:p w14:paraId="0A9BF9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Максимальное тяговое усилие на крюке — 15000 кг.</w:t>
      </w:r>
    </w:p>
    <w:p w14:paraId="1CC75D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Трактор предназначается для использования в Красной Армии в качестве тягача артиллерии большой мощности и для буксировки тяжелых танков (11211).</w:t>
      </w:r>
    </w:p>
    <w:p w14:paraId="27584C82"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017BE143"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lastRenderedPageBreak/>
        <w:t>4 мая 1940 г. вышло Постановление комитета обороны № 191, по которому Челябинский тракторный за</w:t>
      </w:r>
      <w:r w:rsidRPr="00DB5D0D">
        <w:rPr>
          <w:i w:val="0"/>
          <w:iCs w:val="0"/>
          <w:color w:val="000000" w:themeColor="text1"/>
          <w:spacing w:val="0"/>
          <w:kern w:val="0"/>
          <w:position w:val="0"/>
          <w:sz w:val="16"/>
          <w:szCs w:val="16"/>
          <w:lang w:val="ru-RU"/>
        </w:rPr>
        <w:softHyphen/>
        <w:t>вод должен был изготовить два трактора «С-2» с дизельмотором «Д-11» и сдать их на полигон</w:t>
      </w:r>
      <w:r w:rsidRPr="00DB5D0D">
        <w:rPr>
          <w:i w:val="0"/>
          <w:iCs w:val="0"/>
          <w:color w:val="000000" w:themeColor="text1"/>
          <w:spacing w:val="0"/>
          <w:kern w:val="0"/>
          <w:position w:val="0"/>
          <w:sz w:val="16"/>
          <w:szCs w:val="16"/>
          <w:lang w:val="ru-RU"/>
        </w:rPr>
        <w:softHyphen/>
        <w:t>ные испытания к 1.8.1940 г. Полигонные и войсковые испытания трактора «С-2» показали не</w:t>
      </w:r>
      <w:r w:rsidRPr="00DB5D0D">
        <w:rPr>
          <w:i w:val="0"/>
          <w:iCs w:val="0"/>
          <w:color w:val="000000" w:themeColor="text1"/>
          <w:spacing w:val="0"/>
          <w:kern w:val="0"/>
          <w:position w:val="0"/>
          <w:sz w:val="16"/>
          <w:szCs w:val="16"/>
          <w:lang w:val="ru-RU"/>
        </w:rPr>
        <w:softHyphen/>
        <w:t>достаточную мощность двигателя, это послужило основанием форсирования дизельмотора до 140-150 л.с.</w:t>
      </w:r>
    </w:p>
    <w:p w14:paraId="087D66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сего времени тракторы не изготовлены. По приказу директора завода опытные образцы должны быть изготовлены и отгружены на полигон к 15 ноября. Дизельмотор «Д-11» заводом изго</w:t>
      </w:r>
      <w:r w:rsidRPr="00DB5D0D">
        <w:rPr>
          <w:rFonts w:ascii="Times New Roman" w:hAnsi="Times New Roman"/>
          <w:color w:val="000000" w:themeColor="text1"/>
          <w:sz w:val="16"/>
          <w:szCs w:val="16"/>
        </w:rPr>
        <w:softHyphen/>
        <w:t>товлен и стендовые испытания его дали 160 л.с.</w:t>
      </w:r>
    </w:p>
    <w:p w14:paraId="4DC419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Письмом № 80315с от 19.10.1940 г. АТУ Красной Армии просило зам. Наркома среднего машино</w:t>
      </w:r>
      <w:r w:rsidRPr="00DB5D0D">
        <w:rPr>
          <w:rFonts w:ascii="Times New Roman" w:hAnsi="Times New Roman"/>
          <w:color w:val="000000" w:themeColor="text1"/>
          <w:sz w:val="16"/>
          <w:szCs w:val="16"/>
        </w:rPr>
        <w:softHyphen/>
        <w:t>строения т. Горегляд ускорить сдачу опытных образцов на полигонные испытания.</w:t>
      </w:r>
    </w:p>
    <w:p w14:paraId="770B29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Письмом № 80378 от 1.11.1940 г. комитет обороны был поставлен в известность о невыполнении постановления в установленный срок.</w:t>
      </w:r>
    </w:p>
    <w:p w14:paraId="0249AD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Трактор «С-2» с дизельмотором «Д-11» - представляет серийный трактор «С-2» с установкой на нем более мощного двигателя (мощность двигателя «Д-11» доведена до 160л.с.).</w:t>
      </w:r>
    </w:p>
    <w:p w14:paraId="5FA166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w:t>
      </w:r>
    </w:p>
    <w:p w14:paraId="4DEB4E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Вес трактора— 13 тонн.</w:t>
      </w:r>
    </w:p>
    <w:p w14:paraId="572B0E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Максимальная скорость — 25 км/час.</w:t>
      </w:r>
    </w:p>
    <w:p w14:paraId="29CF52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Максимальное тяговое усилие на крюке — 10 тонн.</w:t>
      </w:r>
    </w:p>
    <w:p w14:paraId="11ABEF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Трактор «С-2» с дизелем «Д-11» предназначается для использования в Красной Армии в качест</w:t>
      </w:r>
      <w:r w:rsidRPr="00DB5D0D">
        <w:rPr>
          <w:rFonts w:ascii="Times New Roman" w:hAnsi="Times New Roman"/>
          <w:color w:val="000000" w:themeColor="text1"/>
          <w:sz w:val="16"/>
          <w:szCs w:val="16"/>
        </w:rPr>
        <w:softHyphen/>
        <w:t>ве тягача корпусной артиллерии (11211).</w:t>
      </w:r>
    </w:p>
    <w:p w14:paraId="0C06AF8A"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1AB8D5B8" w14:textId="77777777" w:rsidR="00E47DED" w:rsidRPr="00DB5D0D" w:rsidRDefault="00E47D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4 мая 1940 вышло Постановление Комитета обороны при СНК СССР № 189сс "Об обеспечении НКВМФ средствами радиосвязи" (21895)</w:t>
      </w:r>
    </w:p>
    <w:p w14:paraId="3FEBB6AE" w14:textId="77777777" w:rsidR="00E47DED" w:rsidRPr="00DB5D0D" w:rsidRDefault="00E47DED" w:rsidP="00DB5D0D">
      <w:pPr>
        <w:spacing w:after="0" w:line="240" w:lineRule="auto"/>
        <w:jc w:val="both"/>
        <w:rPr>
          <w:rFonts w:ascii="Times New Roman" w:hAnsi="Times New Roman"/>
          <w:color w:val="0070C0"/>
          <w:sz w:val="16"/>
          <w:szCs w:val="16"/>
        </w:rPr>
      </w:pPr>
    </w:p>
    <w:p w14:paraId="7788FE9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5D9B252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3ECCA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 (вечернее заседание) Протокольная запись № 1 заседания комиссии ГВС"</w:t>
      </w:r>
    </w:p>
    <w:p w14:paraId="4E306D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w:t>
      </w:r>
    </w:p>
    <w:p w14:paraId="32E514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Ворошилов, Кулик, Мехлис, Щаденко, Локтионов, Проскуров, Шапошников, Смородинов, Захаров, Курдюмов, Воронов, Павлов, Грендаль... ***</w:t>
      </w:r>
    </w:p>
    <w:p w14:paraId="193E0C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Слушали: 1. О системе авиационного вооружения самолетов и моторов. (Докладывает комдив т. Алексеев.)</w:t>
      </w:r>
    </w:p>
    <w:p w14:paraId="7C6657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По истребителям</w:t>
      </w:r>
    </w:p>
    <w:p w14:paraId="7D337B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сегодняшний день на вооружении Красной Армии состоят: И-16, с мотором М-62, скорость 464 км, пулеметный и пушечный — 440 км;</w:t>
      </w:r>
    </w:p>
    <w:p w14:paraId="3B245D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с мотором М-63, скорость 478 км;</w:t>
      </w:r>
    </w:p>
    <w:p w14:paraId="7D350C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с мотором М-25, (старый), скорость 448 км;</w:t>
      </w:r>
    </w:p>
    <w:p w14:paraId="77398A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 с мотором М-25, скорость 350 км, д[альность] 500 км, таких самолетов имеется 55 шт.</w:t>
      </w:r>
    </w:p>
    <w:p w14:paraId="757358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 бис, с М-25, скорость 370 км, д[альность] 450 км, их имеется 1882 шт. Новый И-153, с мотором М-62 (имеется 1071 шт.). Основные недочеты по истребителям:</w:t>
      </w:r>
    </w:p>
    <w:p w14:paraId="65046C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отстаем в скоростях,</w:t>
      </w:r>
    </w:p>
    <w:p w14:paraId="75B76C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ограниченная дальность. </w:t>
      </w:r>
      <w:r w:rsidRPr="00DB5D0D">
        <w:rPr>
          <w:rFonts w:ascii="Times New Roman" w:hAnsi="Times New Roman"/>
          <w:iCs/>
          <w:color w:val="000000" w:themeColor="text1"/>
          <w:sz w:val="16"/>
          <w:szCs w:val="16"/>
        </w:rPr>
        <w:t>Предложения:</w:t>
      </w:r>
    </w:p>
    <w:p w14:paraId="18C800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 (старый, с мотором М-25), с вооружения снять и передать в вузы.</w:t>
      </w:r>
    </w:p>
    <w:p w14:paraId="4BC118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 бис — оставить до замены их самолетами И-153, а по мере замены обращать на укомплектование штурмовой авиации.</w:t>
      </w:r>
    </w:p>
    <w:p w14:paraId="49D73C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с мотором М-25, снять и использовать в вузах.</w:t>
      </w:r>
    </w:p>
    <w:p w14:paraId="61312B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 И-153, с мотором М-62 и И-16, с мотором М-62 и И-16, с мотором М-63.</w:t>
      </w:r>
    </w:p>
    <w:p w14:paraId="365D57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истребителям мы сильно отстали в скоростях и в дальностях. Мы имеем скорость 470 км, дальность 560 км, 45—60 минут в воздухе, т. е. меньше в 2 раза чем за границей. Самолеты выпускаются с подвесными баками, за счет чего дальность увеличивается на 200 км, но его летные качества ухудшаются.</w:t>
      </w:r>
    </w:p>
    <w:p w14:paraId="35FBA9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процессе серийного производства и испытания находятся целый ряд новых типов самолетов:</w:t>
      </w:r>
    </w:p>
    <w:p w14:paraId="12A37E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И-26, с мотором водяного охлаждения, скорость 580 км, дальность 600 км, вооружение 20-мм пушка через редуктор мотора, потолок 2 км. Летные качества хорошие.</w:t>
      </w:r>
    </w:p>
    <w:p w14:paraId="25483C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И-28, с мотором воздушного охлаждения М-88, скорость 580 км, потолок 6000 м, дальность 600 км, вооружение — 2 крупнокалиберных пулемета и 2 синхронных.</w:t>
      </w:r>
    </w:p>
    <w:p w14:paraId="5F36CF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И-180, с мотором М-88 воздушного охлаждения, скорость 580 км, потолок 7000 м, дальность 500 км, вооружение — 2 крупнокалиберных и 2 малокалиберных пулемета.</w:t>
      </w:r>
    </w:p>
    <w:p w14:paraId="54D62A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Начали проходить испытания:</w:t>
      </w:r>
    </w:p>
    <w:p w14:paraId="372D1B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Истребитель — скорость 600 км, потолок 6500 м, дальность 650 км, вооружение — 2 малокалиберных и 1 крупнокалиберный пулемет.</w:t>
      </w:r>
    </w:p>
    <w:p w14:paraId="589545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Истребитель Горбунова — с мотором М-105, скорость 650 км, потолок 9000 м, дальность 600 км, вооружение — 2 малокалиберных и 2 крупнокалиберных пулемета, 20-мм пушка. Прост в управлении.</w:t>
      </w:r>
    </w:p>
    <w:p w14:paraId="71A9D9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Одноместный истребитель с двумя моторами М-88, скорость 600 км, можно устанавливать несколько видов мощного вооружения — 4 пушки 20-мм или до 8 крупнокалиберных пулеметов.</w:t>
      </w:r>
    </w:p>
    <w:p w14:paraId="1C102C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И-100 с М-105, скорость 630 км, высота 10 000 м, герметическая* кабина, экипаж 3 чел., [вооружение] — 3 малокалиберных пулемета и две 20-мм пушки, дальность 1400 км.</w:t>
      </w:r>
    </w:p>
    <w:p w14:paraId="339340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Только после испытания может быть принят лучший образец, сейчас производится серийный выпуск сразу по всем типам.</w:t>
      </w:r>
    </w:p>
    <w:p w14:paraId="330E6B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истребителям иностранных армий дает справку военный инженер 2-го ранга т. Мелкишев.</w:t>
      </w:r>
    </w:p>
    <w:p w14:paraId="4B4883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Англия — </w:t>
      </w:r>
      <w:r w:rsidRPr="00DB5D0D">
        <w:rPr>
          <w:rFonts w:ascii="Times New Roman" w:hAnsi="Times New Roman"/>
          <w:color w:val="000000" w:themeColor="text1"/>
          <w:sz w:val="16"/>
          <w:szCs w:val="16"/>
        </w:rPr>
        <w:t>имеет два типа одномоторных истребителей с мотором жидкого охлаждения, один из них со скоростью 540 км, потолок 6000 м и другой со скоростью 575 км, потолок 6000 м и двухмоторный двухместный со скоростью 480 км.</w:t>
      </w:r>
    </w:p>
    <w:p w14:paraId="37F66F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Франция </w:t>
      </w:r>
      <w:r w:rsidRPr="00DB5D0D">
        <w:rPr>
          <w:rFonts w:ascii="Times New Roman" w:hAnsi="Times New Roman"/>
          <w:color w:val="000000" w:themeColor="text1"/>
          <w:sz w:val="16"/>
          <w:szCs w:val="16"/>
        </w:rPr>
        <w:t>— два типа истребителей, один из них с жидким охлаждением, скорость первого 520 км, второго — 500—600, дальность 930 км и 800 км.</w:t>
      </w:r>
    </w:p>
    <w:p w14:paraId="041F60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r w:rsidRPr="00DB5D0D">
        <w:rPr>
          <w:rFonts w:ascii="Times New Roman" w:hAnsi="Times New Roman"/>
          <w:iCs/>
          <w:color w:val="000000" w:themeColor="text1"/>
          <w:sz w:val="16"/>
          <w:szCs w:val="16"/>
        </w:rPr>
        <w:t xml:space="preserve">Германия — </w:t>
      </w:r>
      <w:r w:rsidRPr="00DB5D0D">
        <w:rPr>
          <w:rFonts w:ascii="Times New Roman" w:hAnsi="Times New Roman"/>
          <w:color w:val="000000" w:themeColor="text1"/>
          <w:sz w:val="16"/>
          <w:szCs w:val="16"/>
        </w:rPr>
        <w:t>а) Мессершмидт-109, скорость 560 км, дальность 1000 км, потолок 11 км; б) Мессершмидт-110 (2-х и 3-х моторные), скорость 550 км, дальность 440 км.</w:t>
      </w:r>
    </w:p>
    <w:p w14:paraId="42D09A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 xml:space="preserve">Америка — </w:t>
      </w:r>
      <w:r w:rsidRPr="00DB5D0D">
        <w:rPr>
          <w:rFonts w:ascii="Times New Roman" w:hAnsi="Times New Roman"/>
          <w:color w:val="000000" w:themeColor="text1"/>
          <w:sz w:val="16"/>
          <w:szCs w:val="16"/>
        </w:rPr>
        <w:t>истребители воздушного охлаждения П-36, скорость 480 км, дальность 1000 км, и истребитель жидкого охлаждения, скорость 644 км.</w:t>
      </w:r>
    </w:p>
    <w:p w14:paraId="57CD4C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w:t>
      </w:r>
      <w:r w:rsidRPr="00DB5D0D">
        <w:rPr>
          <w:rFonts w:ascii="Times New Roman" w:hAnsi="Times New Roman"/>
          <w:iCs/>
          <w:color w:val="000000" w:themeColor="text1"/>
          <w:sz w:val="16"/>
          <w:szCs w:val="16"/>
        </w:rPr>
        <w:t xml:space="preserve">Италия </w:t>
      </w:r>
      <w:r w:rsidRPr="00DB5D0D">
        <w:rPr>
          <w:rFonts w:ascii="Times New Roman" w:hAnsi="Times New Roman"/>
          <w:color w:val="000000" w:themeColor="text1"/>
          <w:sz w:val="16"/>
          <w:szCs w:val="16"/>
        </w:rPr>
        <w:t>— ФИАТ скорость 450 км, 420 км и 505 км.</w:t>
      </w:r>
    </w:p>
    <w:p w14:paraId="7A0856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Смушкевич: </w:t>
      </w:r>
      <w:r w:rsidRPr="00DB5D0D">
        <w:rPr>
          <w:rFonts w:ascii="Times New Roman" w:hAnsi="Times New Roman"/>
          <w:color w:val="000000" w:themeColor="text1"/>
          <w:sz w:val="16"/>
          <w:szCs w:val="16"/>
        </w:rPr>
        <w:t>С самолетами И-16 и И-153 мы можем воевать с любым врагом. Нам необходимо:</w:t>
      </w:r>
    </w:p>
    <w:p w14:paraId="2CE19F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больше самолетов вооружать пушками и крупнокалиберными пулеметами;</w:t>
      </w:r>
    </w:p>
    <w:p w14:paraId="66BC71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нужно давать баки, которые бы не горели;</w:t>
      </w:r>
    </w:p>
    <w:p w14:paraId="665A7F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дальность нельзя увеличивать за счет скорости;</w:t>
      </w:r>
    </w:p>
    <w:p w14:paraId="38CB1F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дать подвесные баки для всех самолетов;</w:t>
      </w:r>
    </w:p>
    <w:p w14:paraId="638732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новые типы немедленно внедрять в производство;</w:t>
      </w:r>
    </w:p>
    <w:p w14:paraId="54A577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нам нужен исключительно скоростной истребитель с хорошей маневренностью по вертикали и с радиусом действия 600 км; нужен один тип истребителя;</w:t>
      </w:r>
    </w:p>
    <w:p w14:paraId="6AEFF4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наши самолеты должны давать потолок не ниже 7000 м; об этом свидетельствует опыт войны на Западе.</w:t>
      </w:r>
    </w:p>
    <w:p w14:paraId="129297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Нужно устанавливать турбокомпрессоры. Мы должны дать срок 1 месяц, чтобы определить, какие скоростные истребители принять на вооружение.</w:t>
      </w:r>
    </w:p>
    <w:p w14:paraId="1CBCD8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Воронин (зам. наркома авиапромышленности): </w:t>
      </w:r>
      <w:r w:rsidRPr="00DB5D0D">
        <w:rPr>
          <w:rFonts w:ascii="Times New Roman" w:hAnsi="Times New Roman"/>
          <w:color w:val="000000" w:themeColor="text1"/>
          <w:sz w:val="16"/>
          <w:szCs w:val="16"/>
        </w:rPr>
        <w:t>Мы выпустили И-16 и И-153. Мотор М-63 недавно прошел все болезни и сейчас в порядке. Даем «Чайку», вооружение — 4 пулемета ШКАС, высота 4500 м, скорость 440 км. И-16 скорость имеет 488 км. Эти машины должны быть сходящими. Сейчас завод № 21 пустил первую серию И-180, к нему предусмотрен скоростной наддув, который дает потолок 7000 м и скорость 580 км без турбокомпрессора. Кроме этого, на этой машине вооружение расположено иначе: наверху — два крупнокалиберных пулемета и два малокалиберных, это дает кучный огонь. Машина И-180 запущена в серию. Серия этой машины будет готова 15 мая 1940 г. Завод № 21 строит истребитель «Чайку» И-153 с мотором М-62. «Чайка» имеет 4 синхронных пулемета. Сейчас три самолета оборудованы двумя 20-мм пушками и три машины оборудованы крупнокалиберными пулеметами. Эта машина все же стара, а потому мы сделали новую И-61 Микояна с мотором MA-35, вооруженную одним крупнокалиберным и двумя малокалиберными пулеметами. Предусмотрен скоростной наддув. При этих данных машина должна дать скорость 630 км/час. Самолет запущен в серию. К 20.5.40 должна быть дана серия. К 1.6.40 мы будем иметь все данные по этой машине.</w:t>
      </w:r>
    </w:p>
    <w:p w14:paraId="13BC4F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Останавливается на истории мотора МА-35 Никулина, который промышленниками был замаринован, и только в последние годы удалось вытащить его. Мотор хороший, и если над ним еще поработать, то мы будем иметь мотор, и неплохой.</w:t>
      </w:r>
    </w:p>
    <w:p w14:paraId="3A4639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Воронин: </w:t>
      </w:r>
      <w:r w:rsidRPr="00DB5D0D">
        <w:rPr>
          <w:rFonts w:ascii="Times New Roman" w:hAnsi="Times New Roman"/>
          <w:color w:val="000000" w:themeColor="text1"/>
          <w:sz w:val="16"/>
          <w:szCs w:val="16"/>
        </w:rPr>
        <w:t>Кроме этих истребителей, мы имеем И-28 Яценко с воздушным мотором М-88. Предусмотрен наддув. Запущен в серию. Также запущен в серию И-26 (Яковлева) с мотором М-105, потолок 5000 м, скорость 600 км. В этом месяце получили первые машины. Есть один экземпляр истребителя Горбунова с М-105, над которым кроме пушки можно установить еще 4 крупнокалиберных пулемета. И-207 показал скорость такую же, как и «Чайка», а потому нет смысла ее ставить на производство, хотя она испытывалась в течение 5-ти лет. Сейчас над ней еще работают, если конструктора дадут скорость не менее 500 км, то, возможно, что-либо из нее получится. НКАП — принял решение все истребители, которые мы имеем, хотя они окончательно еще не проверены, запустить в серию.</w:t>
      </w:r>
    </w:p>
    <w:p w14:paraId="331443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lastRenderedPageBreak/>
        <w:t xml:space="preserve">Репин, дившженер (зам. начальника ГУАС): </w:t>
      </w:r>
      <w:r w:rsidRPr="00DB5D0D">
        <w:rPr>
          <w:rFonts w:ascii="Times New Roman" w:hAnsi="Times New Roman"/>
          <w:color w:val="000000" w:themeColor="text1"/>
          <w:sz w:val="16"/>
          <w:szCs w:val="16"/>
        </w:rPr>
        <w:t>Нельзя много запускать в серию типов самолетов, не выбрав образца и не испытав его. Мы ведь еще не знаем их характеристик. Поэтому получается, что у нас заводы загружены, а результата нет. Немцы поступают иначе. Они выбирают образец и запускают на всех заводах.</w:t>
      </w:r>
    </w:p>
    <w:p w14:paraId="2B615E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Тов. Репин не прав. Именно нужно запускать серии, чтобы в короткий срок создать хороший истребитель. Репин прав в одном, что мы бьемся в течение целого ряда лет, а истребителя хорошего нет.</w:t>
      </w:r>
    </w:p>
    <w:p w14:paraId="51760F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Репин: </w:t>
      </w:r>
      <w:r w:rsidRPr="00DB5D0D">
        <w:rPr>
          <w:rFonts w:ascii="Times New Roman" w:hAnsi="Times New Roman"/>
          <w:color w:val="000000" w:themeColor="text1"/>
          <w:sz w:val="16"/>
          <w:szCs w:val="16"/>
        </w:rPr>
        <w:t>Я все-таки считаю, что пока образец не отработан, запускать серию нельзя. А то заводы выводятся из строя на целые годы. Товарищ нарком, я считаю, что Вас неправильно информировали о моторе МА-35. Машина эта совершенно сырая. Тов. Воронин дает справку, что мотор имел дефект, но сейчас устранили его, и мотор работает.</w:t>
      </w:r>
    </w:p>
    <w:p w14:paraId="394578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Гусев: </w:t>
      </w:r>
      <w:r w:rsidRPr="00DB5D0D">
        <w:rPr>
          <w:rFonts w:ascii="Times New Roman" w:hAnsi="Times New Roman"/>
          <w:color w:val="000000" w:themeColor="text1"/>
          <w:sz w:val="16"/>
          <w:szCs w:val="16"/>
        </w:rPr>
        <w:t>В течение 1940—41 гг. нам придется иметь самолеты И-16 с М-63, и И-153 с М-63. Но беда в том, что и они выходят с большими неприятностями. Нужно ускорить испытание новых типов самолетов. У нас темпы испытаний низки. Самолет И-207 испытывается 5 лет. Мы медленно устраняем дефекты, обнаруженные при испытании, поэтому и отстаем от заграницы. Нужно выпускать не одиночки, а серии, по 5—10 самолетов. Нужно скоростной маневренный истребитель. На технический совет был представлен самолет БМ-2, но благодаря тому, что т. Репин не явился на заседание Совета, мы до сего времени его не рассмотрели. Если мы так будем работать, то не только по 5 лет будут испытываться самолеты, но значительно больше. Поддерживаю т. Смушкевича. Истребитель должен быть большой скорости и хорошей маневренности.</w:t>
      </w:r>
    </w:p>
    <w:p w14:paraId="392FC0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Правительством приняты ряд мер. Дополнены испытатели. Изменена оплата — установлена целевая. Самолет испытывается до конца одним летчиком. Поставлена задача все эти самолеты, о которых здесь говорили, испытать к концу лета. Но не так все это просто.</w:t>
      </w:r>
    </w:p>
    <w:p w14:paraId="77ED36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Локтионов: </w:t>
      </w:r>
      <w:r w:rsidRPr="00DB5D0D">
        <w:rPr>
          <w:rFonts w:ascii="Times New Roman" w:hAnsi="Times New Roman"/>
          <w:color w:val="000000" w:themeColor="text1"/>
          <w:sz w:val="16"/>
          <w:szCs w:val="16"/>
        </w:rPr>
        <w:t>1) Нужно срочно заменить устаревшую «Чайку».</w:t>
      </w:r>
    </w:p>
    <w:p w14:paraId="62593B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Нужен истребитель со скоростью не менее 500—600 км.</w:t>
      </w:r>
    </w:p>
    <w:p w14:paraId="1439B9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Нужно внедрять водяное охлаждение, оно имеет много преимуществ.</w:t>
      </w:r>
    </w:p>
    <w:p w14:paraId="059AEE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Нужно истребитель оснащать пушкой и крупнокалиберным пулеметом.</w:t>
      </w:r>
    </w:p>
    <w:p w14:paraId="23C63B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Мы отстаем по дальности, плетемся в хвосте у конструкторов.</w:t>
      </w:r>
    </w:p>
    <w:p w14:paraId="06F111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Надо увеличить дальность И-16.</w:t>
      </w:r>
    </w:p>
    <w:p w14:paraId="693BEF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Подвесные баки нужны.</w:t>
      </w:r>
    </w:p>
    <w:p w14:paraId="3B6666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Нужно использовать нейтральный газ, чтобы не горели баки.</w:t>
      </w:r>
    </w:p>
    <w:p w14:paraId="6288BE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Нам нужно строить малые серии для испытаний.</w:t>
      </w:r>
    </w:p>
    <w:p w14:paraId="32F420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Шапошников: </w:t>
      </w:r>
      <w:r w:rsidRPr="00DB5D0D">
        <w:rPr>
          <w:rFonts w:ascii="Times New Roman" w:hAnsi="Times New Roman"/>
          <w:color w:val="000000" w:themeColor="text1"/>
          <w:sz w:val="16"/>
          <w:szCs w:val="16"/>
        </w:rPr>
        <w:t>1) Мы со своими истребителями приходим к пределу. Нас иностранцы опережают, но иностранцы также еще не имеют большой массы новых самолетов.</w:t>
      </w:r>
    </w:p>
    <w:p w14:paraId="5A7FA2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Нам нужен истребитель со скоростью 650—700 км, даже я бы пошел на эту скорость за счет маневренности, дальностью 1500 км, и с высотой 12000 м.</w:t>
      </w:r>
    </w:p>
    <w:p w14:paraId="6D940A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Нужно вооружение на истребителе — пушка и крупнокалиберный пулемет.</w:t>
      </w:r>
    </w:p>
    <w:p w14:paraId="63668D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Нельзя делать из истребителя универсала, т. е. ставить задачи бомбардировщика, штурмовика и т. д.</w:t>
      </w:r>
    </w:p>
    <w:p w14:paraId="7046E1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Конструктора работают плохо. Доводка — это кустарщина. Подвесные баки — это паллиатив.</w:t>
      </w:r>
    </w:p>
    <w:p w14:paraId="6A56AB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Конструктора должны тщательно отрабатывать чертежи и больше шевелить мозгами.</w:t>
      </w:r>
    </w:p>
    <w:p w14:paraId="1A08A0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Я бы пошел на двухместный истребитель — он имеет больше преимуществ.</w:t>
      </w:r>
    </w:p>
    <w:p w14:paraId="581071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Что Вы, т. Шапошников, предлагаете? Правительством принимались все меры, чтобы заинтересовать конструкторов. Им платили за каждую машину 1,5 млн руб., т. е. в 1,5 раза больше, чем стоит самолет.</w:t>
      </w:r>
    </w:p>
    <w:p w14:paraId="09F0DA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Если столько будем платить конструкторам, то у нас машин не будет. Нужно другие методы применять — пожестче.</w:t>
      </w:r>
    </w:p>
    <w:p w14:paraId="77F110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Шапошников: Повторяет свои предложения.</w:t>
      </w:r>
    </w:p>
    <w:p w14:paraId="762257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Птухин: </w:t>
      </w:r>
      <w:r w:rsidRPr="00DB5D0D">
        <w:rPr>
          <w:rFonts w:ascii="Times New Roman" w:hAnsi="Times New Roman"/>
          <w:color w:val="000000" w:themeColor="text1"/>
          <w:sz w:val="16"/>
          <w:szCs w:val="16"/>
        </w:rPr>
        <w:t>Отстаем в истребительной авиации потому, что мы к старым машинам приделываем новые моторы. Сейчас у нас взята правильная линия — дан целый ряд новых машин. Нет нигде машин, которые бы сразу выходили хорошими. Только на войсковых испытаниях могут определить качества машины, поэтому правильно делается, что сразу выпускается серия (десяток) машин. При этом условии скорее будем устранять недочеты. Двухмоторные истребители нужны — быстрее двигать, так как такой самолет скорее даст большую скорость. Для всех типов нужна живучесть. Горит машина — нейтральный газ не полностью гарантирует. Немцы на «Мессершмидтах» имеют резиновые баки. Все дело в скорости, чем больше скорость, тем больше маневренность. Нужно увеличить радиус действия истребительной авиации. И-183* рассчитан всего лишь на 45 минут — это никуда не годится. Нужно иметь подвесные баки. У нас имеется на вооружении И-15 и И-16; И-16 нужно оставить на вооружении до перевооружения; И-15 бис нужно передать в штурмовую авиацию. По моторам мы отстаем. На 1940 год нужна машина со скоростью 560 км/час.</w:t>
      </w:r>
    </w:p>
    <w:p w14:paraId="1E7D94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Вопрос хорошего истребителя — вопрос один из главных вопросов войны. От превосходства в воздухе истребителей зависит работа бомбардировочной авиации (потери, смелость летчика и т. д.). Не согласен с т. Шапошниковым в том, что истребителям не нужно ставить других задач. Жизнь заставит использовать их как бомбардировщики и штурмовики. Радиус действия 1500 км неосуществим сейчас. Тов. Птухин сделал ошибку, предлагая, в основном, двухмоторный самолет; нужен и двухмоторный, и одномоторный. Двухмоторный нужен для сопровождения бомбардировщиков. Наши самолеты горят как свечи — не живучи. Нашим конструкторам нужно меньше зазнаваться, все лучшее нужно использовать из иностранного опыта, а то мы в 1938 г. привезли из Испании «Мессершмидт-109», а его не использовали.</w:t>
      </w:r>
    </w:p>
    <w:p w14:paraId="52B007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Мелкишев, инженер 2-го ранга: </w:t>
      </w:r>
      <w:r w:rsidRPr="00DB5D0D">
        <w:rPr>
          <w:rFonts w:ascii="Times New Roman" w:hAnsi="Times New Roman"/>
          <w:color w:val="000000" w:themeColor="text1"/>
          <w:sz w:val="16"/>
          <w:szCs w:val="16"/>
        </w:rPr>
        <w:t>В основном на вооружении иностранной армии имеются одномоторные самолеты, и только в Германии введен на вооружение двухмоторный самолет. Нигде за границей подвесные баки не применяются. Дальность заграницей 800—900 км, время полета 2—2,5 часа. 20 мм пушка везде введена на вооружение. Сейчас переходят на более крупные калибры — 23 мм и 37 мм. Моторы, как правило, применятся жидкого охлаждения. Маневренных истребителей не существует.</w:t>
      </w:r>
    </w:p>
    <w:p w14:paraId="4618A6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Агальцов: </w:t>
      </w:r>
      <w:r w:rsidRPr="00DB5D0D">
        <w:rPr>
          <w:rFonts w:ascii="Times New Roman" w:hAnsi="Times New Roman"/>
          <w:color w:val="000000" w:themeColor="text1"/>
          <w:sz w:val="16"/>
          <w:szCs w:val="16"/>
        </w:rPr>
        <w:t>В вооружении истребителей мы отстали. В Германии в серийном производстве имеется самолет — скорость 570 км («Мессершмидт-109»). Скорость достигается не за счет двухмоторного, а за счет других показателей. В опытном отношении мы шагнули далеко и стоим на уровне передовых капиталистических стран. Мы имеем уже И-26 со скоростью 600 км. Тов. Птухин не прав о перестановке моторов. Перестанавливать новые моторы на старые самолеты нужно. Серийный выпуск правилен. Двухмоторный самолет нужен, а одномоторный должен быть основной. Одномоторный всегда будет бить двухмоторного. Дальность нужна 800—900 км.</w:t>
      </w:r>
    </w:p>
    <w:p w14:paraId="3AB1A8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Воронин: </w:t>
      </w:r>
      <w:r w:rsidRPr="00DB5D0D">
        <w:rPr>
          <w:rFonts w:ascii="Times New Roman" w:hAnsi="Times New Roman"/>
          <w:color w:val="000000" w:themeColor="text1"/>
          <w:sz w:val="16"/>
          <w:szCs w:val="16"/>
        </w:rPr>
        <w:t>Нам нужно идти смелее. Имея 5—6 типов самолетов нужно запустить серии по 10—20 шт. и все испытывать. Мы много митингуем около машины из-за мелочей и из-за этого задерживаем выпуск. Мотор АМ-35 летает, ведет себя хорошо, имеет недостаток — при планировании захлебывается. Подвесных баков много наделали, чем перегружаем самолет. Нужно иметь тактико-технические данные, а то на истребитель вешают бомбы, рации и т. д.</w:t>
      </w:r>
    </w:p>
    <w:p w14:paraId="4CAA5F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Алексеев: </w:t>
      </w:r>
      <w:r w:rsidRPr="00DB5D0D">
        <w:rPr>
          <w:rFonts w:ascii="Times New Roman" w:hAnsi="Times New Roman"/>
          <w:color w:val="000000" w:themeColor="text1"/>
          <w:sz w:val="16"/>
          <w:szCs w:val="16"/>
        </w:rPr>
        <w:t>Мы имеем большое количество самолетов на испытании. Задержка испытаний происходит потому, что лабораторные испытания в промышленности не производятся. На ближайшее время промышленность должна создать машину со скоростью: на 1941 год — 650—700 км, на 1942 год — 700—750, на 1943 год — 750—600 км. Нужно требовать от конструкторов увеличения на машине запаса горючего.</w:t>
      </w:r>
    </w:p>
    <w:p w14:paraId="3F26E4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Товарищи, которые думают, что мы без дефектов сразу можем построить нужную нам машину, глубоко заблуждаются и напрасно думают, что мы не предъявляем требований к конструкторам. Правительство и мы ставили требования, но конструктора наши требования пока недовыполняют. Теперь много появилось молодых конструкторов (т. Микоян и др.), которые раньше никогда этим делом не занимались, и ясно, что на первых порах будут допускаться ошибки. В области опытного строительства мы стоим на должном уровне. Двухмоторные самолеты не могут заменить одномоторные. У нас имеются два типа истребителей, один из них для сопровождения бомбардировщиков. Сейчас они проходят испытания, нужно установить соотношение между одномоторными и двухмоторными самолетами. Нужно записать, чтобы наши самолеты не горели. Наша промышленность в состоянии это сделать. Нужно все использовать, что нового имеется в «Мессершмидтах», и перенести немедленно на наши самолеты. Подвесные баки нужны. Необходимо потребовать от конструкторов увеличения радиуса действия. И-153 оставить на вооружении. И-16 с М-62 и М-63 также оставить на вооружении. И-16 с М-25 изъять. И-15 (старые) выбросить все. Остальные оставить. Из новых нужно выбрать после испытания, показавшие лучшие результаты, сейчас выбрать не можем.</w:t>
      </w:r>
    </w:p>
    <w:p w14:paraId="521C71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Нужно принять предложение начальника Генштаба и записать для конструкторов о создании самолета с дальностью 1500 км и скоростью 750 км/час, потолок 12 000 м.</w:t>
      </w:r>
    </w:p>
    <w:p w14:paraId="2836B8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Нужно на истребителях иметь бомбодержатели.</w:t>
      </w:r>
    </w:p>
    <w:p w14:paraId="564F44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Необходимо промышленности дать вполне современные тактикотехнические требования.</w:t>
      </w:r>
    </w:p>
    <w:p w14:paraId="39F0E2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На 1941 г. нужно дать тактико-технические задания по истребителям. Тов. Алексееву и Репину доложить на следующем заседании.</w:t>
      </w:r>
    </w:p>
    <w:p w14:paraId="693FAF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По каждому из имеющихся самолетов мы должны дать оценку.</w:t>
      </w:r>
    </w:p>
    <w:p w14:paraId="4B4A89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Я считаю нужным заявить, что мотора М-63 нет. Нужно наших конструкторов заставить крепче работать. Нужно создать комиссию, которая бы подработала предложение по оценке наших самолетов.</w:t>
      </w:r>
    </w:p>
    <w:p w14:paraId="0588DF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Предлагаю в состав комиссии включить Кулика, Смушкевича, Репина, Алексеева и Птухина* с задачей дать оценку и предложения.</w:t>
      </w:r>
    </w:p>
    <w:p w14:paraId="6EE54F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Предлагаю ввести Рычагова, и взамен Кулика поручить руководство комиссией Смушкевичу.</w:t>
      </w:r>
    </w:p>
    <w:p w14:paraId="6E240E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Нарком </w:t>
      </w:r>
      <w:r w:rsidRPr="00DB5D0D">
        <w:rPr>
          <w:rFonts w:ascii="Times New Roman" w:hAnsi="Times New Roman"/>
          <w:color w:val="000000" w:themeColor="text1"/>
          <w:sz w:val="16"/>
          <w:szCs w:val="16"/>
        </w:rPr>
        <w:t>предлагает оставить руководство комиссией за т. Куликом и дополнительно ввести т. Рычагова и Гусева.</w:t>
      </w:r>
    </w:p>
    <w:p w14:paraId="785741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наркома принимается".</w:t>
      </w:r>
    </w:p>
    <w:p w14:paraId="468641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РГВА. Ф. 34891. Оп. 1. Д. 9. Л. 1-12. Подлинник (11773).</w:t>
      </w:r>
    </w:p>
    <w:p w14:paraId="278BCE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98584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 (вечернее заседание) Протокол № 5 пленарного заседания комиссии ГВС РККА</w:t>
      </w:r>
    </w:p>
    <w:p w14:paraId="5247EC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 :</w:t>
      </w:r>
    </w:p>
    <w:p w14:paraId="2C555E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  Члены комиссии: тт. </w:t>
      </w:r>
      <w:r w:rsidRPr="00DB5D0D">
        <w:rPr>
          <w:rFonts w:ascii="Times New Roman" w:hAnsi="Times New Roman"/>
          <w:color w:val="000000" w:themeColor="text1"/>
          <w:sz w:val="16"/>
          <w:szCs w:val="16"/>
        </w:rPr>
        <w:t>Ворошилов (председатель), Кулик, Мехлис, Шапошников, Штерн, Курдюмов, Грендаль, Смородинов, Павлов, Смушкевич, Запорожец, Хрулев, Рычагов, Птухин, Найденов, Щаденко, Воронов, Кирпонос, Клич, Козлов, Хренов, Ковалев.</w:t>
      </w:r>
    </w:p>
    <w:p w14:paraId="620CAF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 Приглашенные: </w:t>
      </w:r>
      <w:r w:rsidRPr="00DB5D0D">
        <w:rPr>
          <w:rFonts w:ascii="Times New Roman" w:hAnsi="Times New Roman"/>
          <w:color w:val="000000" w:themeColor="text1"/>
          <w:sz w:val="16"/>
          <w:szCs w:val="16"/>
        </w:rPr>
        <w:t>тт. Локтионов, Проскуров, Городовиков, Бирюков, Байков, Засосов, Репин, Сакриер, Борисов, Лапаев, Склизков, Петров, Спассков, Найденов, Муравьев, Мельников, Дмитриев, Савченко, Лебедев, Михальчук, Алекссеев, Князев, Куликов, Котов, Ермолин, Толмачев, Антонюк, Поляков, Мышков, Пугачев, Мелкишев, Муравьев, Иванов, Захаров, Гусев, Агальцов, Арженухин, Ванников (НКВ), Воронин (НКАП), Барсуков (НКВ).</w:t>
      </w:r>
    </w:p>
    <w:p w14:paraId="1BB22E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Слушали: </w:t>
      </w:r>
      <w:r w:rsidRPr="00DB5D0D">
        <w:rPr>
          <w:rFonts w:ascii="Times New Roman" w:hAnsi="Times New Roman"/>
          <w:color w:val="000000" w:themeColor="text1"/>
          <w:sz w:val="16"/>
          <w:szCs w:val="16"/>
        </w:rPr>
        <w:t>Предложение начальника АБТУ т. Павлова и начальника артиллерии т. Воронова — заслушать доклад о материальной части автотранспорта Красной Армии.</w:t>
      </w:r>
    </w:p>
    <w:p w14:paraId="1DBE33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Поручить т. Павлову по этому вопросу сделать доклад Комиссии на одном из следующих заседаний.</w:t>
      </w:r>
    </w:p>
    <w:p w14:paraId="24B774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Слушали: Доклад начальника ГУАС комдива т. Алексеева о системе авиационного вооружения.</w:t>
      </w:r>
    </w:p>
    <w:p w14:paraId="2CEDA8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Создать комиссию в составе: тт. Кулик, Алексеева, Смушкевича, Птухина, Репина, Гусева и Рычагова, которой поручить:</w:t>
      </w:r>
    </w:p>
    <w:p w14:paraId="34679E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составить проект предложения по оценке находящейся на вооружении материальной части истребительной авиации и по новым типам истребителей и доложить его на очередном пленарном заседании Комиссии Главного военного совета;</w:t>
      </w:r>
    </w:p>
    <w:p w14:paraId="063B9B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составить проект предложения по всей системе авиационного вооружения в целом.</w:t>
      </w:r>
    </w:p>
    <w:p w14:paraId="37D915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Поручить тт. Алексееву и Репину доложить на очередном заседании Комиссии о тактико-технических требованиях истребителя, могущего быть изготовленным в 1941 г.</w:t>
      </w:r>
    </w:p>
    <w:p w14:paraId="1E09AB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Очередное заседание Комиссии назначить на 12.00. 5 мая 1940 г.</w:t>
      </w:r>
    </w:p>
    <w:p w14:paraId="73F214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Председатель комиссии </w:t>
      </w:r>
      <w:r w:rsidRPr="00DB5D0D">
        <w:rPr>
          <w:rFonts w:ascii="Times New Roman" w:hAnsi="Times New Roman"/>
          <w:iCs/>
          <w:color w:val="000000" w:themeColor="text1"/>
          <w:sz w:val="16"/>
          <w:szCs w:val="16"/>
        </w:rPr>
        <w:t>{Ворошилов)'</w:t>
      </w:r>
    </w:p>
    <w:p w14:paraId="291A11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4. Оп. 14. Д. 2736. Л. 17-18. Подлинник (11773).</w:t>
      </w:r>
    </w:p>
    <w:p w14:paraId="6815C5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6506BB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640DC7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1578A2B"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в 1940 году свыше 300 тысяч британских и французских солдат, окруженных немцами в Северо-Восточной Франции, начинают эвакуацию из Дюнкерка (закончатся 2 июня) (14881).</w:t>
      </w:r>
    </w:p>
    <w:p w14:paraId="065C56B0" w14:textId="77777777" w:rsidR="00BE4B1C" w:rsidRPr="00DB5D0D" w:rsidRDefault="00BE4B1C" w:rsidP="00DB5D0D">
      <w:pPr>
        <w:spacing w:after="0" w:line="240" w:lineRule="auto"/>
        <w:jc w:val="both"/>
        <w:rPr>
          <w:rFonts w:ascii="Times New Roman" w:hAnsi="Times New Roman"/>
          <w:color w:val="000000" w:themeColor="text1"/>
          <w:sz w:val="16"/>
          <w:szCs w:val="16"/>
        </w:rPr>
      </w:pPr>
    </w:p>
    <w:p w14:paraId="1F7640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германские войска начали наступление в Норвегии, двигаясь на север в направлении вдоль арктической автострады на Росвик и прибыли туда 31 мая. С 9 по 13 июня 1940 было наступление на Нарвик (3907,222).</w:t>
      </w:r>
    </w:p>
    <w:p w14:paraId="16A2DDC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225145" w14:textId="77777777" w:rsidR="00BE4B1C" w:rsidRPr="00DB5D0D" w:rsidRDefault="00BE4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в 1940 году германские войска начинают наступление в Норвегии, двигаясь в северном направлении вдоль арктической автострады к Росвику (по 31 мая) (14881).</w:t>
      </w:r>
    </w:p>
    <w:p w14:paraId="1C9465DD" w14:textId="77777777" w:rsidR="00BE4B1C" w:rsidRPr="00DB5D0D" w:rsidRDefault="00BE4B1C" w:rsidP="00DB5D0D">
      <w:pPr>
        <w:spacing w:after="0" w:line="240" w:lineRule="auto"/>
        <w:jc w:val="both"/>
        <w:rPr>
          <w:rFonts w:ascii="Times New Roman" w:hAnsi="Times New Roman"/>
          <w:color w:val="000000" w:themeColor="text1"/>
          <w:sz w:val="16"/>
          <w:szCs w:val="16"/>
        </w:rPr>
      </w:pPr>
    </w:p>
    <w:p w14:paraId="04147FB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173755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56875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Машкевич направил Кочеригину с письмом N 54/734 заключение по летным данным самолета ОПБ-М90 и ММШ с М-81 (2062,80):</w:t>
      </w:r>
    </w:p>
    <w:p w14:paraId="7374C7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ММШ - улучшенная модификация Ш М-88 с заменой мотора и консолей дюралевой конструкции на деревянные с уменьшенной площадью (18 кв. м вместо 24.5 кв. м), улучшенным обтеканием фюзеляжа, уменьшенными рулями, улучшенной устойчивостью, устранением всех дефектов, обнаруженных в ходе гос. испытаний Ш.</w:t>
      </w:r>
    </w:p>
    <w:p w14:paraId="620F1D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ЛТД:</w:t>
      </w:r>
    </w:p>
    <w:p w14:paraId="78FC13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6000 м - 500-520 км/час</w:t>
      </w:r>
    </w:p>
    <w:p w14:paraId="798889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 - 700 км и 900 км с перегрузом</w:t>
      </w:r>
    </w:p>
    <w:p w14:paraId="061A96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2-7.62мм + 2х12.7мм и 1х7.62 на турели, 200-500 (перегруз) бомб.</w:t>
      </w:r>
    </w:p>
    <w:p w14:paraId="4504B6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Машкевич - поверил и посчитал, что машина может быть выпущена в мае и м.б. приспособлена под ПБ и д.б. испытан несмотря на неубирающееся шасси.</w:t>
      </w:r>
    </w:p>
    <w:p w14:paraId="60EB84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сравнительной оценки с имеющимися и строящимися необходимо указать на:</w:t>
      </w:r>
    </w:p>
    <w:p w14:paraId="463BCF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БШ С.В.И., заканчивающего гос. испытания с получивший у земли 375 км/час</w:t>
      </w:r>
    </w:p>
    <w:p w14:paraId="7F9CF0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ББ-1 М-88 П.О.С., заканчивающий гос. испытания и дающий на 6500-7000 м 500 км/час</w:t>
      </w:r>
    </w:p>
    <w:p w14:paraId="42CA22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ББ-1 М-90 П.О.С., выходящий в июне на заводские испытания и обещающий 550-560 км/час." (2062,18).</w:t>
      </w:r>
    </w:p>
    <w:p w14:paraId="5F9844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ОПБ-М90</w:t>
      </w:r>
    </w:p>
    <w:p w14:paraId="6F7B9D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 дюралевое, фюзеляж с передней дюралевой частью, бронестеклом и бронеспинкой, деревянной хвостовой частью.</w:t>
      </w:r>
    </w:p>
    <w:p w14:paraId="7445ED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ЛТД:</w:t>
      </w:r>
    </w:p>
    <w:p w14:paraId="39AF24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7000 м - 625 км/час</w:t>
      </w:r>
    </w:p>
    <w:p w14:paraId="0F0AEE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 - 700 км и 1100 км с перегрузом</w:t>
      </w:r>
    </w:p>
    <w:p w14:paraId="317106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2-7.62мм + 2х12.7мм (дополнительно), 500 кг бомб.</w:t>
      </w:r>
    </w:p>
    <w:p w14:paraId="580BAF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поверил в вес в 3480 кг и с 3700 скорость должна упасть на 5-7 км/час, но посчитал, что целесообразно спроектировать и построить (2062,21).</w:t>
      </w:r>
    </w:p>
    <w:p w14:paraId="534C778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92BE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Нач. НИИ ГУАС Филин и военком НИИ ГУАС Холопцев писали нач. ГУАС Алексееву письмо N 0539а (1295,1):</w:t>
      </w:r>
    </w:p>
    <w:p w14:paraId="139C64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проведении испытаний самолета ДБ-3Ф 2М-88 с ВИШ-22 производства завода 39 N 390204 выявлено следующее:</w:t>
      </w:r>
    </w:p>
    <w:p w14:paraId="71BAD2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общем ДБ-3Ф здорово подгадил с БШ-2</w:t>
      </w:r>
    </w:p>
    <w:p w14:paraId="271D25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Максимальная гор. скорость самолета ДБ-3Ф 2М-88 м ВИШ-22 получена 425 км/час, на 60 км/час меньше запроектированной и утвержденной в постановлении КО N 226 от 1939 и на 22 км/час по сравнению с ДБ-3Ф 2М-87 с ВИШ-3</w:t>
      </w:r>
    </w:p>
    <w:p w14:paraId="244382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Емкость бензобаков уменьшена с 3000 кг до 2750 кг. Кроме того, при трехточечном положении самолета из бензобаков не вырабатывается 200-300 кг</w:t>
      </w:r>
    </w:p>
    <w:p w14:paraId="4CE8DD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Удельный расход горючего у мотора М-88 больше, чем у М-87 в связи с чем техническая дальность полета с 2750 кг бензина и 1000 кг бомб на внутренней подвеске:</w:t>
      </w:r>
    </w:p>
    <w:p w14:paraId="1C75AC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3000-3200 км на 340 км/час (0.8 макс.).</w:t>
      </w:r>
    </w:p>
    <w:p w14:paraId="6971C2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2250-2500 км на 380 км/час (0.9 макс.).</w:t>
      </w:r>
    </w:p>
    <w:p w14:paraId="4C2C82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сравнению с дальностью самолета ДБ-3 2М-87 с ВИШ-3 дальность снизилась с 3600-3800 км, т.е. на 600 км. Согласно постановлению КО N 226сс дальность полета при запасе горючего в 300 кг и 1000 кг бомб на 7000 м и ск. 325-350 км/час д. б. б. 4000 км.</w:t>
      </w:r>
    </w:p>
    <w:p w14:paraId="628F60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Юбки капотов в закрытом положении не предохраняют моторы от интенсивной продувки воздухом, чему способствует отсутствие противопожарной перегородки. Из-за этого гондола шасси и бензобаки не гарантированы от проникновения огня в случае повреждения выхлопного коллектора</w:t>
      </w:r>
    </w:p>
    <w:p w14:paraId="31798F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Девиация компаса при включении РПК-2 и рамка РСБ свыше 10 гр., что совершенно недопустимо</w:t>
      </w:r>
    </w:p>
    <w:p w14:paraId="1F9214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На самолетах ДБ-3Ф до сих пор не установлены выдвижные люколвые установки МВ-3, что снижает обороноспособность задней нижней сферы (1295,1).</w:t>
      </w:r>
    </w:p>
    <w:p w14:paraId="4229DB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необходимым потребовать:</w:t>
      </w:r>
    </w:p>
    <w:p w14:paraId="5AC381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завода 39:</w:t>
      </w:r>
    </w:p>
    <w:p w14:paraId="193A48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довести макс. скорость до 480-485 км/час и дальность до 4000 км на 350 км/час</w:t>
      </w:r>
    </w:p>
    <w:p w14:paraId="6BE933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предъявить на испытания в НИИ ГУАС не позднее 1 июня 1940 самолет с установкой:</w:t>
      </w:r>
    </w:p>
    <w:p w14:paraId="6C6471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спарки ШКАС в СУ с запасом патронов 1500</w:t>
      </w:r>
    </w:p>
    <w:p w14:paraId="645B23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выдвижной люковой установки МВ с запасом патронов 500</w:t>
      </w:r>
    </w:p>
    <w:p w14:paraId="176D32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огневой точки на 34 раме с запасом патронов 1000</w:t>
      </w:r>
    </w:p>
    <w:p w14:paraId="5341B0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завода 29:</w:t>
      </w:r>
    </w:p>
    <w:p w14:paraId="1A2C08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Обеспечить нормальную работу мотора в эксплуатации до 100 час. (1295,1).</w:t>
      </w:r>
    </w:p>
    <w:p w14:paraId="264733E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49F45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в ходе гос. испытаний в НИИ ВВС головного серийного самолета ДБ-3 2М-88 N 390204 с винтами ВИШ-23А, производства завода 39 проводился полет на бомбометание в Ногинске. Бросали ФАБ-100. вылет в 17:45. Лопнул трос форсажа правого мотора (2135).</w:t>
      </w:r>
    </w:p>
    <w:p w14:paraId="3D39B01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92445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5 мая 1940 года начальник НИИ ГУАС дивинженер Филин и военком НИИ ГУАС полковой комиссар Холопцев писали письмо № 0539сс начальнику ГУАС комдиву Алексееву</w:t>
      </w:r>
    </w:p>
    <w:p w14:paraId="2F9D84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проведении испытаний самолета ДБ3-Ф 2М88 с ВИШ-23 производства завода № 39 за № 390204 выявлено следующее:</w:t>
      </w:r>
    </w:p>
    <w:p w14:paraId="48FC856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горизонтальная скорость ДБ3Ф-2М88 с ВИШ-22 получена 425 км/час – на 60 км/час ниже запроектированной и утвержденной в Постановлении КО за № 226 сс от 1939 года и на 22 км/час – по сравнению с ДБ3Ф-2М87 с ВИШ-3.</w:t>
      </w:r>
    </w:p>
    <w:p w14:paraId="1A96FE4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Емкость бензобаков уменьшена с 3000 кг до 2750 кг, т.е. на 250 кг. Кроме того, при трехточечном положении самолета из бензобаков не вырабатывается 200-300 кг горючего.</w:t>
      </w:r>
    </w:p>
    <w:p w14:paraId="2DA61B0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горючего у мотора М-88 больше, чем у мотора М-87, в связи с чем сократилась дальность полета. При запасе горючего 2750 кг и 1000 кг бомбовой загрузке, размещенной внутри самолета, техническая дальность полета самолета ДБ3Ф-2М88 на высоте 6000-6500 м равна:</w:t>
      </w:r>
    </w:p>
    <w:p w14:paraId="586698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3000-3200 км на скорости 340 км/час (0,8 от максимальной скорости горизонтального полета);</w:t>
      </w:r>
    </w:p>
    <w:p w14:paraId="72FE0D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2250-2500 на скорости 380 км/час (0,9 от максимальной скорости).</w:t>
      </w:r>
    </w:p>
    <w:p w14:paraId="175BEA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сравнению с дальностью самолета ДБ3Ф 2М87 с ВИШ-3 дальность снизилась с 3600-3800 до 3000-3200 км, т.е. на 600 км. Согласно Постановления КО за № 226сс от 1939 года, дальность полета при запасе горючего 3000 кг и 1000 кг бомб на высоте 7000 м и скорости 325-350 км/час должна быть 4000 км.</w:t>
      </w:r>
    </w:p>
    <w:p w14:paraId="3C34245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Юбки капотов в закрытом положении не предохраняют моторы от интенсивной продувки воздухом, чему способствует отсутствие противопожарной перегородки, благодаря чему гондола шасси, а в свою очередь и бензобаки, не гарантированы от проникновения в гондолу пламени в случае повреждения выхлопного коллектора.</w:t>
      </w:r>
    </w:p>
    <w:p w14:paraId="376386A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Девиация компаса при включении РПК-2 и рации РСБ свыше 10 градусов, что совершенно недопустимо.</w:t>
      </w:r>
    </w:p>
    <w:p w14:paraId="0030CAF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самолетах ДБ3Ф до сих пор не установлены выдвижные люковые установки МВ, что снижает обороноспособность задней нижней сферы самолета.</w:t>
      </w:r>
    </w:p>
    <w:p w14:paraId="6AE67470" w14:textId="77777777" w:rsidR="00A25AD1" w:rsidRPr="00DB5D0D" w:rsidRDefault="00A25AD1" w:rsidP="00DB5D0D">
      <w:pPr>
        <w:pStyle w:val="24"/>
        <w:widowControl/>
        <w:rPr>
          <w:color w:val="000000" w:themeColor="text1"/>
        </w:rPr>
      </w:pPr>
      <w:r w:rsidRPr="00DB5D0D">
        <w:rPr>
          <w:color w:val="000000" w:themeColor="text1"/>
        </w:rPr>
        <w:t>Считаю необходимым потребовать:</w:t>
      </w:r>
    </w:p>
    <w:p w14:paraId="260DD4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завода № 39.</w:t>
      </w:r>
    </w:p>
    <w:p w14:paraId="7B96F1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довести максимальную скорость самолета ДБ3Ф-2М88 до 480-485 км/час и дальность полета до 4000 км на скорости 350 км/час;</w:t>
      </w:r>
    </w:p>
    <w:p w14:paraId="68B6FA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предъявить на госиспытания в НИИ ГУАС не позднее 1 июня 1940 года, самолет ДБ3-2М81 с установкой на самолете:</w:t>
      </w:r>
    </w:p>
    <w:p w14:paraId="4EC00E9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Спарки ШКАС в СУ с запасом патрон 1500 штук.</w:t>
      </w:r>
    </w:p>
    <w:p w14:paraId="38FCB6A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Выдвижной люковой установки МВ с запасом патрон 500 штук.</w:t>
      </w:r>
    </w:p>
    <w:p w14:paraId="51F92CC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Огневой точки на 34-й раме с запасом патрон 1000 штук.</w:t>
      </w:r>
    </w:p>
    <w:p w14:paraId="5F3749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завода № 29.</w:t>
      </w:r>
    </w:p>
    <w:p w14:paraId="66FFF5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Обеспечить нормальную работу мотора в эксплуатации до 100 часового ресурса.</w:t>
      </w:r>
    </w:p>
    <w:p w14:paraId="048896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заводов №№ 29 и 33.</w:t>
      </w:r>
    </w:p>
    <w:p w14:paraId="06F323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Отработать для мотора М-88 шкалу альфа по Рк.</w:t>
      </w:r>
    </w:p>
    <w:p w14:paraId="38A057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Довести карбюратор АК-88 с регулировкой качества смеси и по режимам полета (7709, 347-348).</w:t>
      </w:r>
    </w:p>
    <w:p w14:paraId="7A5A720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D50F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года Начальник НИИ дивинженер Филин донес, что скорость самолета ДБ3Ф с моторами М-88 получена на госиспытании 425 км/час, т.е. ниже на 60 км против запроектированной постановлением КО и на 22 км/час ниже чем на самолете ДБ3 с моторами М-87 (7709, 346).</w:t>
      </w:r>
    </w:p>
    <w:p w14:paraId="5ACEA0C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FA9F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закончены заводские летные испытания тренировочного самолета ЦКБ-30 Н2 N 2817 с двумя моторами М-87Б N 1308 и 1310 построенного заводом 39 согласно приказа по НКАП N 197с за 1939 (2102,43).</w:t>
      </w:r>
    </w:p>
    <w:p w14:paraId="00D0529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2FD0E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был подписан акт о готовности 100 дублера к первому вылету. Заключение "Самолет может быть допущен к первому вылету без убирающегося шасси". Подписали Ленкин, П.М.Стефановский, И.М.Марков (1077,312).</w:t>
      </w:r>
    </w:p>
    <w:p w14:paraId="511A503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84A5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закончились заводские испытания И-190 М-88 (2090,132).</w:t>
      </w:r>
    </w:p>
    <w:p w14:paraId="70CCFC1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EF85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года Заводские испытания И-190 завершились, и тогда же комиссия А.С. Яковлева предложила не передавать его на государственные испытания, а дождаться двигателя М-88 с редуктором. За два месяца до этого на основании постановления Комитета Обороны на заводе № 156 сняли со сборки третий высотный экземпляр И-190 с мотором М-88ТК. Остался в проекте и биплан И-195 с двигателем М-90. К тому времени руководители ВВС РККА, похоже, осознали, что эра истребителей-бипланов прошла (10745,38).</w:t>
      </w:r>
    </w:p>
    <w:p w14:paraId="39E056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E6A6E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в ходе заводских испытаний И-200 А.И.М, которые проходили с 31 марта по 17 августа 1940, на И-200-1 был выполнен полет на снятие температурных характеристик ВМГ (девятый по счету) (2988).</w:t>
      </w:r>
    </w:p>
    <w:p w14:paraId="0426259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7DEE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 нарком авиапромышленности А.И.Шахурин дал распоряжение об установке двигателя М-71 на И-185 и построить с ним два самолета из числа заказанных. Предполагалось, что мотор будет по</w:t>
      </w:r>
      <w:r w:rsidRPr="00DB5D0D">
        <w:rPr>
          <w:rFonts w:ascii="Times New Roman" w:hAnsi="Times New Roman"/>
          <w:color w:val="000000" w:themeColor="text1"/>
          <w:sz w:val="16"/>
          <w:szCs w:val="16"/>
        </w:rPr>
        <w:softHyphen/>
        <w:t>лучен к 1 июля 1940 г. Однако сроки готовности этого мотора постоянно отодвигались и в итоге ни один эк</w:t>
      </w:r>
      <w:r w:rsidRPr="00DB5D0D">
        <w:rPr>
          <w:rFonts w:ascii="Times New Roman" w:hAnsi="Times New Roman"/>
          <w:color w:val="000000" w:themeColor="text1"/>
          <w:sz w:val="16"/>
          <w:szCs w:val="16"/>
        </w:rPr>
        <w:softHyphen/>
        <w:t>земпляр М-71 не был поставлен в течение всего 1940 г. 3 июля 1940 г. Шахурин распорядился переработать чер</w:t>
      </w:r>
      <w:r w:rsidRPr="00DB5D0D">
        <w:rPr>
          <w:rFonts w:ascii="Times New Roman" w:hAnsi="Times New Roman"/>
          <w:color w:val="000000" w:themeColor="text1"/>
          <w:sz w:val="16"/>
          <w:szCs w:val="16"/>
        </w:rPr>
        <w:softHyphen/>
        <w:t>тежи под установку еще одного нового мотора А.Д.Шве</w:t>
      </w:r>
      <w:r w:rsidRPr="00DB5D0D">
        <w:rPr>
          <w:rFonts w:ascii="Times New Roman" w:hAnsi="Times New Roman"/>
          <w:color w:val="000000" w:themeColor="text1"/>
          <w:sz w:val="16"/>
          <w:szCs w:val="16"/>
        </w:rPr>
        <w:softHyphen/>
        <w:t>цова - М-81. Но сроки поставки этого мотора также срывались. Николай Николаевич не без оснований счи</w:t>
      </w:r>
      <w:r w:rsidRPr="00DB5D0D">
        <w:rPr>
          <w:rFonts w:ascii="Times New Roman" w:hAnsi="Times New Roman"/>
          <w:color w:val="000000" w:themeColor="text1"/>
          <w:sz w:val="16"/>
          <w:szCs w:val="16"/>
        </w:rPr>
        <w:softHyphen/>
        <w:t>тал, что наркомат не желает оказывать действенную помощь моторостроительным КБ, занимающимся раз</w:t>
      </w:r>
      <w:r w:rsidRPr="00DB5D0D">
        <w:rPr>
          <w:rFonts w:ascii="Times New Roman" w:hAnsi="Times New Roman"/>
          <w:color w:val="000000" w:themeColor="text1"/>
          <w:sz w:val="16"/>
          <w:szCs w:val="16"/>
        </w:rPr>
        <w:softHyphen/>
        <w:t>работкой двигателей воздушного охлаждения, сделав ставку на моторы жидкостного охлаждения. На заводе № 1 на его ОКБ смотрели косо, любую ме</w:t>
      </w:r>
      <w:r w:rsidRPr="00DB5D0D">
        <w:rPr>
          <w:rFonts w:ascii="Times New Roman" w:hAnsi="Times New Roman"/>
          <w:color w:val="000000" w:themeColor="text1"/>
          <w:sz w:val="16"/>
          <w:szCs w:val="16"/>
        </w:rPr>
        <w:softHyphen/>
        <w:t>лочь приходилось «пробивать» с большим трудом (10667).</w:t>
      </w:r>
    </w:p>
    <w:p w14:paraId="68391E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24F8B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Нач. Секретной части завода НКАП № 115 Урицкая писала письмо № 321с Зам. Нач. 11 ГУ НКАП т. Шишкину:</w:t>
      </w:r>
    </w:p>
    <w:p w14:paraId="70B1A2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сем сопровождаю аварийный акт самолета И-26-1.</w:t>
      </w:r>
    </w:p>
    <w:p w14:paraId="69C0D4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1 папка (2080).</w:t>
      </w:r>
    </w:p>
    <w:p w14:paraId="259C1D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125A24D" w14:textId="77777777" w:rsidR="00452748" w:rsidRPr="00DB5D0D" w:rsidRDefault="00452748"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5 мая 1940 после демонстрации И-28 на первомайском воздушном параде на нем установили отработанное на станке стрелковое вооружение. Вначале его испытывали на земле с работающим мотором, после чего в пяти полетах провели отстрел пулеметов в воздухе. Всего было произведено 6548 выстрелов из ШКАСов и 1555 из БСов. Отстрел на рассеивание в тире показал хорошие результаты в сравнении с подобными установками на других самолетах. Но, к сожалению, установка прицела ПАК-1 не обеспечивала нормального ведения прицельной стрельбы и бомбометания с пикирования по причине затенения прицела маслорадиатором снизу на 47,5 тыс. сетки.</w:t>
      </w:r>
    </w:p>
    <w:p w14:paraId="4BD05125" w14:textId="77777777" w:rsidR="00452748" w:rsidRPr="00DB5D0D" w:rsidRDefault="00452748"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целом по заключению специалистов НИИ ВВС КА истребитель И-28 государственные испытания прошел неудовлетворительно из-за отсутствия у самолета устойчивости и недоведенности тросовой проводки, звенье- и гильзоотводов стрелкового вооружения, так как при стрельбе в воздухе звенья и гильзы БСов ударялись о стабилизатор и борт фюзеляжа. Кроме этого к недостаткам машины отнесли неразъемное крыло, что, по мнению военных, вызовет трудности при ее транспортировке, разборке, сборке и ремонте. По этой причине эксплуатация самолета усложнится, особенно в полевых условиях. В части основных преимуществ истребителя И-28 отмечалось достаточно мощное вооружение и значительное использование в конструкции самолета дерева (17738).</w:t>
      </w:r>
    </w:p>
    <w:p w14:paraId="11C5C4F2" w14:textId="77777777" w:rsidR="00452748" w:rsidRPr="00DB5D0D" w:rsidRDefault="00452748" w:rsidP="00DB5D0D">
      <w:pPr>
        <w:spacing w:after="0" w:line="240" w:lineRule="auto"/>
        <w:jc w:val="both"/>
        <w:rPr>
          <w:rFonts w:ascii="Times New Roman" w:hAnsi="Times New Roman"/>
          <w:color w:val="000000" w:themeColor="text1"/>
          <w:sz w:val="16"/>
          <w:szCs w:val="16"/>
        </w:rPr>
      </w:pPr>
    </w:p>
    <w:p w14:paraId="6B213CD9" w14:textId="77777777" w:rsidR="00452748" w:rsidRPr="00DB5D0D" w:rsidRDefault="004527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5 мая 1940 завершилось , формирование 129-й иап, который лрожен был ыть вооружен И-28, но его вооружили машинами Н.Н. Поликарпова. А вскоре в судьбе истребителя И-28 поставили точку (17738).</w:t>
      </w:r>
    </w:p>
    <w:p w14:paraId="75282EDD" w14:textId="77777777" w:rsidR="00452748" w:rsidRPr="00DB5D0D" w:rsidRDefault="00452748" w:rsidP="00DB5D0D">
      <w:pPr>
        <w:spacing w:after="0" w:line="240" w:lineRule="auto"/>
        <w:jc w:val="both"/>
        <w:rPr>
          <w:rFonts w:ascii="Times New Roman" w:hAnsi="Times New Roman"/>
          <w:color w:val="000000" w:themeColor="text1"/>
          <w:sz w:val="16"/>
          <w:szCs w:val="16"/>
        </w:rPr>
      </w:pPr>
    </w:p>
    <w:p w14:paraId="219AD2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вышел приказ НКАП N 202 о заводских испытаниях САМ-13 на аэродроме завода 18 с окончанием 20 июня. Л-и Н.Д.Фиксон с завода N 289 (399,64).</w:t>
      </w:r>
    </w:p>
    <w:p w14:paraId="4B9D13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заводских испытаний самолета "САМ- 13”конструкции тов. МОСКАЛЕВА, законченного постройкой, ПРИКАЗЫВАЮ:</w:t>
      </w:r>
    </w:p>
    <w:p w14:paraId="640B46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3аводские испытания проводить на аэродроме завода № 18.</w:t>
      </w:r>
    </w:p>
    <w:p w14:paraId="1F8C2F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Директору завода № 18 тов. ШЕНКМАН М.Б. обеспечить испытания необходимым обслуживанием.</w:t>
      </w:r>
    </w:p>
    <w:p w14:paraId="601590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Установить срок окончания заводских испытаний - 20-ое июня 1940 года.</w:t>
      </w:r>
    </w:p>
    <w:p w14:paraId="365815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Утвердить летчиком- испытателем тов. ФИКСОН Н.Д. и установить ему дополнительную зарплату за проведение в срок полных заводских испытаний в сумме 30 тысяч рублей.</w:t>
      </w:r>
    </w:p>
    <w:p w14:paraId="6C4F98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Утвердить летно-технический состав по проведению ис</w:t>
      </w:r>
      <w:r w:rsidRPr="00DB5D0D">
        <w:rPr>
          <w:rFonts w:ascii="Times New Roman" w:hAnsi="Times New Roman"/>
          <w:color w:val="000000" w:themeColor="text1"/>
          <w:sz w:val="16"/>
          <w:szCs w:val="16"/>
        </w:rPr>
        <w:softHyphen/>
        <w:t>пытаний:</w:t>
      </w:r>
    </w:p>
    <w:p w14:paraId="44916C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Ведущего инженера</w:t>
      </w:r>
      <w:r w:rsidRPr="00DB5D0D">
        <w:rPr>
          <w:rFonts w:ascii="Times New Roman" w:hAnsi="Times New Roman"/>
          <w:color w:val="000000" w:themeColor="text1"/>
          <w:sz w:val="16"/>
          <w:szCs w:val="16"/>
        </w:rPr>
        <w:tab/>
        <w:t>ПОЛУКАРОВА Л.Б.</w:t>
      </w:r>
    </w:p>
    <w:p w14:paraId="19F698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Механика</w:t>
      </w:r>
      <w:r w:rsidRPr="00DB5D0D">
        <w:rPr>
          <w:rFonts w:ascii="Times New Roman" w:hAnsi="Times New Roman"/>
          <w:color w:val="000000" w:themeColor="text1"/>
          <w:sz w:val="16"/>
          <w:szCs w:val="16"/>
        </w:rPr>
        <w:tab/>
        <w:t>МОРЕЦКОЮ Н.А.</w:t>
      </w:r>
    </w:p>
    <w:p w14:paraId="243519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Моториста</w:t>
      </w:r>
      <w:r w:rsidRPr="00DB5D0D">
        <w:rPr>
          <w:rFonts w:ascii="Times New Roman" w:hAnsi="Times New Roman"/>
          <w:color w:val="000000" w:themeColor="text1"/>
          <w:sz w:val="16"/>
          <w:szCs w:val="16"/>
        </w:rPr>
        <w:tab/>
        <w:t>ЯРОСЛАВЦЕВА А.И.</w:t>
      </w:r>
    </w:p>
    <w:p w14:paraId="242E5B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Инженера по производству</w:t>
      </w:r>
      <w:r w:rsidRPr="00DB5D0D">
        <w:rPr>
          <w:rFonts w:ascii="Times New Roman" w:hAnsi="Times New Roman"/>
          <w:color w:val="000000" w:themeColor="text1"/>
          <w:sz w:val="16"/>
          <w:szCs w:val="16"/>
        </w:rPr>
        <w:tab/>
        <w:t>ВАСИЛЬЕВА П. А.</w:t>
      </w:r>
    </w:p>
    <w:p w14:paraId="21734F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Слесар. -сборщика</w:t>
      </w:r>
      <w:r w:rsidRPr="00DB5D0D">
        <w:rPr>
          <w:rFonts w:ascii="Times New Roman" w:hAnsi="Times New Roman"/>
          <w:color w:val="000000" w:themeColor="text1"/>
          <w:sz w:val="16"/>
          <w:szCs w:val="16"/>
        </w:rPr>
        <w:tab/>
        <w:t>САПУНОВА</w:t>
      </w:r>
    </w:p>
    <w:p w14:paraId="5FB550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Слесар. -сборщика</w:t>
      </w:r>
      <w:r w:rsidRPr="00DB5D0D">
        <w:rPr>
          <w:rFonts w:ascii="Times New Roman" w:hAnsi="Times New Roman"/>
          <w:color w:val="000000" w:themeColor="text1"/>
          <w:sz w:val="16"/>
          <w:szCs w:val="16"/>
        </w:rPr>
        <w:tab/>
        <w:t>СОПИНА</w:t>
      </w:r>
    </w:p>
    <w:p w14:paraId="49EB90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Слесар. -сборщика</w:t>
      </w:r>
      <w:r w:rsidRPr="00DB5D0D">
        <w:rPr>
          <w:rFonts w:ascii="Times New Roman" w:hAnsi="Times New Roman"/>
          <w:color w:val="000000" w:themeColor="text1"/>
          <w:sz w:val="16"/>
          <w:szCs w:val="16"/>
        </w:rPr>
        <w:tab/>
        <w:t>ПЕТРУНЯ</w:t>
      </w:r>
    </w:p>
    <w:p w14:paraId="6D2333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Слесар. -сборщика</w:t>
      </w:r>
      <w:r w:rsidRPr="00DB5D0D">
        <w:rPr>
          <w:rFonts w:ascii="Times New Roman" w:hAnsi="Times New Roman"/>
          <w:color w:val="000000" w:themeColor="text1"/>
          <w:sz w:val="16"/>
          <w:szCs w:val="16"/>
        </w:rPr>
        <w:tab/>
        <w:t>ПОПОВА</w:t>
      </w:r>
    </w:p>
    <w:p w14:paraId="7A6A75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Столяра</w:t>
      </w:r>
      <w:r w:rsidRPr="00DB5D0D">
        <w:rPr>
          <w:rFonts w:ascii="Times New Roman" w:hAnsi="Times New Roman"/>
          <w:color w:val="000000" w:themeColor="text1"/>
          <w:sz w:val="16"/>
          <w:szCs w:val="16"/>
        </w:rPr>
        <w:tab/>
        <w:t>СИНЮКОВА</w:t>
      </w:r>
    </w:p>
    <w:p w14:paraId="613BF1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Моляра</w:t>
      </w:r>
      <w:r w:rsidRPr="00DB5D0D">
        <w:rPr>
          <w:rFonts w:ascii="Times New Roman" w:hAnsi="Times New Roman"/>
          <w:color w:val="000000" w:themeColor="text1"/>
          <w:sz w:val="16"/>
          <w:szCs w:val="16"/>
        </w:rPr>
        <w:tab/>
        <w:t>ШАЛАМОВА</w:t>
      </w:r>
    </w:p>
    <w:p w14:paraId="53B714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Медника</w:t>
      </w:r>
      <w:r w:rsidRPr="00DB5D0D">
        <w:rPr>
          <w:rFonts w:ascii="Times New Roman" w:hAnsi="Times New Roman"/>
          <w:color w:val="000000" w:themeColor="text1"/>
          <w:sz w:val="16"/>
          <w:szCs w:val="16"/>
        </w:rPr>
        <w:tab/>
        <w:t>ГОЛЫШЕВА</w:t>
      </w:r>
    </w:p>
    <w:p w14:paraId="319CDE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Директору завода № 289 тов. ГОЛУБКОВУ откомандировать на время проведения заводских испытаний летчика-испытателя тов. ФИКСОН Н.Д. в распоряжение</w:t>
      </w:r>
    </w:p>
    <w:p w14:paraId="6A02A7E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F106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вышло постановление КО N 197сс "Об изменении наименований авиационных дизелей"</w:t>
      </w:r>
    </w:p>
    <w:p w14:paraId="738C15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Распространить постановление КО N 180сс от 24 апреля 1940 "Об авиадизелях" на морской дизель МН-1, изготовленный в ЦИАМе</w:t>
      </w:r>
    </w:p>
    <w:p w14:paraId="601D47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Изменить существующие названия дизелей, расшифровывающие их назначение, на условные: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tblGrid>
      <w:tr w:rsidR="007D5DF8" w:rsidRPr="00DB5D0D" w14:paraId="62EDBBCA" w14:textId="77777777" w:rsidTr="009223E5">
        <w:tc>
          <w:tcPr>
            <w:tcW w:w="3833" w:type="dxa"/>
            <w:tcBorders>
              <w:top w:val="single" w:sz="12" w:space="0" w:color="auto"/>
            </w:tcBorders>
          </w:tcPr>
          <w:p w14:paraId="5E3F08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дизель АН-1 РТК именовать мотор</w:t>
            </w:r>
          </w:p>
        </w:tc>
        <w:tc>
          <w:tcPr>
            <w:tcW w:w="3833" w:type="dxa"/>
            <w:tcBorders>
              <w:top w:val="single" w:sz="12" w:space="0" w:color="auto"/>
            </w:tcBorders>
          </w:tcPr>
          <w:p w14:paraId="332D10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М-40</w:t>
            </w:r>
          </w:p>
        </w:tc>
      </w:tr>
      <w:tr w:rsidR="007D5DF8" w:rsidRPr="00DB5D0D" w14:paraId="18F0F7A0" w14:textId="77777777" w:rsidTr="009223E5">
        <w:tc>
          <w:tcPr>
            <w:tcW w:w="3833" w:type="dxa"/>
          </w:tcPr>
          <w:p w14:paraId="554A20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АД-5</w:t>
            </w:r>
          </w:p>
        </w:tc>
        <w:tc>
          <w:tcPr>
            <w:tcW w:w="3833" w:type="dxa"/>
          </w:tcPr>
          <w:p w14:paraId="17D672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М-30</w:t>
            </w:r>
          </w:p>
        </w:tc>
      </w:tr>
      <w:tr w:rsidR="007D5DF8" w:rsidRPr="00DB5D0D" w14:paraId="33C589D1" w14:textId="77777777" w:rsidTr="009223E5">
        <w:tc>
          <w:tcPr>
            <w:tcW w:w="3833" w:type="dxa"/>
            <w:tcBorders>
              <w:bottom w:val="single" w:sz="12" w:space="0" w:color="auto"/>
            </w:tcBorders>
          </w:tcPr>
          <w:p w14:paraId="6F586C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МН-1</w:t>
            </w:r>
          </w:p>
        </w:tc>
        <w:tc>
          <w:tcPr>
            <w:tcW w:w="3833" w:type="dxa"/>
            <w:tcBorders>
              <w:bottom w:val="single" w:sz="12" w:space="0" w:color="auto"/>
            </w:tcBorders>
          </w:tcPr>
          <w:p w14:paraId="2E52A6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М-50 (1309,118)</w:t>
            </w:r>
          </w:p>
        </w:tc>
      </w:tr>
    </w:tbl>
    <w:p w14:paraId="3C44E1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вышло постановление КО № 202сс О составе промышленной Комиссии для проведения государственных испытаний авиационного мотора М-81.</w:t>
      </w:r>
    </w:p>
    <w:p w14:paraId="39939A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СССР постановляет:</w:t>
      </w:r>
    </w:p>
    <w:p w14:paraId="6EA926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Назначить для проведения государственных 100 часовых испытаний мотора М-81 производства завода № 19 НКАП, Правительственную Комиссию в составе: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3601"/>
        <w:gridCol w:w="3601"/>
        <w:gridCol w:w="3601"/>
      </w:tblGrid>
      <w:tr w:rsidR="007D5DF8" w:rsidRPr="00DB5D0D" w14:paraId="6BE1F424" w14:textId="77777777" w:rsidTr="009223E5">
        <w:tc>
          <w:tcPr>
            <w:tcW w:w="468" w:type="dxa"/>
            <w:tcBorders>
              <w:top w:val="single" w:sz="12" w:space="0" w:color="auto"/>
            </w:tcBorders>
          </w:tcPr>
          <w:p w14:paraId="6A4016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3601" w:type="dxa"/>
            <w:tcBorders>
              <w:top w:val="single" w:sz="12" w:space="0" w:color="auto"/>
            </w:tcBorders>
          </w:tcPr>
          <w:p w14:paraId="37B2A1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Ф.И.О.</w:t>
            </w:r>
          </w:p>
        </w:tc>
        <w:tc>
          <w:tcPr>
            <w:tcW w:w="3601" w:type="dxa"/>
            <w:tcBorders>
              <w:top w:val="single" w:sz="12" w:space="0" w:color="auto"/>
            </w:tcBorders>
          </w:tcPr>
          <w:p w14:paraId="5AEF22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 работы</w:t>
            </w:r>
          </w:p>
        </w:tc>
        <w:tc>
          <w:tcPr>
            <w:tcW w:w="3601" w:type="dxa"/>
            <w:tcBorders>
              <w:top w:val="single" w:sz="12" w:space="0" w:color="auto"/>
            </w:tcBorders>
          </w:tcPr>
          <w:p w14:paraId="22FD56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Должность в комиссии</w:t>
            </w:r>
          </w:p>
        </w:tc>
      </w:tr>
      <w:tr w:rsidR="007D5DF8" w:rsidRPr="00DB5D0D" w14:paraId="76152DEE" w14:textId="77777777" w:rsidTr="009223E5">
        <w:tc>
          <w:tcPr>
            <w:tcW w:w="468" w:type="dxa"/>
          </w:tcPr>
          <w:p w14:paraId="565FF9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3601" w:type="dxa"/>
          </w:tcPr>
          <w:p w14:paraId="3AFAFB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Сеничкин Г.В.</w:t>
            </w:r>
          </w:p>
        </w:tc>
        <w:tc>
          <w:tcPr>
            <w:tcW w:w="3601" w:type="dxa"/>
          </w:tcPr>
          <w:p w14:paraId="499AD5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ГУАС КА</w:t>
            </w:r>
          </w:p>
        </w:tc>
        <w:tc>
          <w:tcPr>
            <w:tcW w:w="3601" w:type="dxa"/>
          </w:tcPr>
          <w:p w14:paraId="53EAE9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w:t>
            </w:r>
          </w:p>
        </w:tc>
      </w:tr>
      <w:tr w:rsidR="007D5DF8" w:rsidRPr="00DB5D0D" w14:paraId="3DB0AFF3" w14:textId="77777777" w:rsidTr="009223E5">
        <w:tc>
          <w:tcPr>
            <w:tcW w:w="468" w:type="dxa"/>
          </w:tcPr>
          <w:p w14:paraId="258FE7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3601" w:type="dxa"/>
          </w:tcPr>
          <w:p w14:paraId="1CB093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Сабуров А.М.</w:t>
            </w:r>
          </w:p>
        </w:tc>
        <w:tc>
          <w:tcPr>
            <w:tcW w:w="3601" w:type="dxa"/>
          </w:tcPr>
          <w:p w14:paraId="3D0948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Военпред на заводе № 19</w:t>
            </w:r>
          </w:p>
        </w:tc>
        <w:tc>
          <w:tcPr>
            <w:tcW w:w="3601" w:type="dxa"/>
          </w:tcPr>
          <w:p w14:paraId="2828BB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w:t>
            </w:r>
          </w:p>
        </w:tc>
      </w:tr>
      <w:tr w:rsidR="007D5DF8" w:rsidRPr="00DB5D0D" w14:paraId="36F3A1BA" w14:textId="77777777" w:rsidTr="009223E5">
        <w:tc>
          <w:tcPr>
            <w:tcW w:w="468" w:type="dxa"/>
          </w:tcPr>
          <w:p w14:paraId="3E5AC3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3601" w:type="dxa"/>
          </w:tcPr>
          <w:p w14:paraId="3B1B8C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Тарарухин И.И.</w:t>
            </w:r>
          </w:p>
        </w:tc>
        <w:tc>
          <w:tcPr>
            <w:tcW w:w="3601" w:type="dxa"/>
          </w:tcPr>
          <w:p w14:paraId="2AF0B5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з-д № 24 НКАП</w:t>
            </w:r>
          </w:p>
        </w:tc>
        <w:tc>
          <w:tcPr>
            <w:tcW w:w="3601" w:type="dxa"/>
          </w:tcPr>
          <w:p w14:paraId="6F6CAB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w:t>
            </w:r>
          </w:p>
        </w:tc>
      </w:tr>
      <w:tr w:rsidR="007D5DF8" w:rsidRPr="00DB5D0D" w14:paraId="7DD18BFC" w14:textId="77777777" w:rsidTr="009223E5">
        <w:tc>
          <w:tcPr>
            <w:tcW w:w="468" w:type="dxa"/>
            <w:tcBorders>
              <w:bottom w:val="single" w:sz="12" w:space="0" w:color="auto"/>
            </w:tcBorders>
          </w:tcPr>
          <w:p w14:paraId="3B903B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3601" w:type="dxa"/>
            <w:tcBorders>
              <w:bottom w:val="single" w:sz="12" w:space="0" w:color="auto"/>
            </w:tcBorders>
          </w:tcPr>
          <w:p w14:paraId="275322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Киселев А.И.</w:t>
            </w:r>
          </w:p>
        </w:tc>
        <w:tc>
          <w:tcPr>
            <w:tcW w:w="3601" w:type="dxa"/>
            <w:tcBorders>
              <w:bottom w:val="single" w:sz="12" w:space="0" w:color="auto"/>
            </w:tcBorders>
          </w:tcPr>
          <w:p w14:paraId="3B5F92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ЦИАМ</w:t>
            </w:r>
          </w:p>
        </w:tc>
        <w:tc>
          <w:tcPr>
            <w:tcW w:w="3601" w:type="dxa"/>
            <w:tcBorders>
              <w:bottom w:val="single" w:sz="12" w:space="0" w:color="auto"/>
            </w:tcBorders>
          </w:tcPr>
          <w:p w14:paraId="5C81E2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w:t>
            </w:r>
          </w:p>
        </w:tc>
      </w:tr>
    </w:tbl>
    <w:p w14:paraId="6AF441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т. Синичкина Г.В. в 10 дневный срок после окончания государственных испытаний мотора М-81 доложить Комитету Обороны при СНК Союза ССР в результате этих испытаний.</w:t>
      </w:r>
    </w:p>
    <w:p w14:paraId="3780B3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т. Шахурина А.И. закончить летные испытания мотора М-81 на самолете ДБ-3Ф (начатые на заводе № 39 НКАП с 30 марта 1940 г.) и доложить КО при СНК о результате этих летных испытаний не позднее 1 июня 1940 (10395).</w:t>
      </w:r>
    </w:p>
    <w:p w14:paraId="5F7D6D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9D6E9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вышло постановление КО при СНК Союза ССР № 197сс Об изменении наименований авиационных дизелей</w:t>
      </w:r>
    </w:p>
    <w:p w14:paraId="74CACA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КОМИТЕТ ОБОРОНЫ при СНК Союза ССР ПОСТАНОВЛЯВ Т:|</w:t>
      </w:r>
    </w:p>
    <w:p w14:paraId="22C64E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Распространись постановление Комитета Оборонн № 180сс от 24 апреля 1940 года “Об авиадизелях'' на морской дизель МН-1 изготовляемый в ЦИАМ'е.-</w:t>
      </w:r>
    </w:p>
    <w:p w14:paraId="2CB627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Изменить существующие названия дизелей, расшифровываю</w:t>
      </w:r>
      <w:r w:rsidRPr="00DB5D0D">
        <w:rPr>
          <w:rFonts w:ascii="Times New Roman" w:hAnsi="Times New Roman"/>
          <w:color w:val="000000" w:themeColor="text1"/>
          <w:sz w:val="16"/>
          <w:szCs w:val="16"/>
        </w:rPr>
        <w:softHyphen/>
        <w:t>щие их назначение, на условные:</w:t>
      </w:r>
    </w:p>
    <w:p w14:paraId="63182E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дизель АП-1РТК именовать - мотор М-40</w:t>
      </w:r>
    </w:p>
    <w:p w14:paraId="31C396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дизель АД-5 именовать - мотор М-30</w:t>
      </w:r>
    </w:p>
    <w:p w14:paraId="3775D0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w:t>
      </w:r>
      <w:r w:rsidRPr="00DB5D0D">
        <w:rPr>
          <w:rFonts w:ascii="Times New Roman" w:hAnsi="Times New Roman"/>
          <w:smallCaps/>
          <w:color w:val="000000" w:themeColor="text1"/>
          <w:sz w:val="16"/>
          <w:szCs w:val="16"/>
        </w:rPr>
        <w:t xml:space="preserve">) </w:t>
      </w:r>
      <w:r w:rsidRPr="00DB5D0D">
        <w:rPr>
          <w:rFonts w:ascii="Times New Roman" w:hAnsi="Times New Roman"/>
          <w:color w:val="000000" w:themeColor="text1"/>
          <w:sz w:val="16"/>
          <w:szCs w:val="16"/>
        </w:rPr>
        <w:t>дизель МН-1 именовать - мотор М-50 (10499,12).</w:t>
      </w:r>
    </w:p>
    <w:p w14:paraId="3DDA81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29C91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вышло постановление КО № 202сс О составе промышленной Комиссии для проведения государственных испытаний авиационного мотора М-81.</w:t>
      </w:r>
    </w:p>
    <w:p w14:paraId="4B7B00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СССР постановляет:</w:t>
      </w:r>
    </w:p>
    <w:p w14:paraId="48BE11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Назначить для проведения государственных 100 часовых испытаний мотора М-81 производства завода № 19 НКАП, Правительственную Комиссию в составе: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3601"/>
        <w:gridCol w:w="3601"/>
        <w:gridCol w:w="3601"/>
      </w:tblGrid>
      <w:tr w:rsidR="007D5DF8" w:rsidRPr="00DB5D0D" w14:paraId="1BF5116F" w14:textId="77777777" w:rsidTr="009223E5">
        <w:tc>
          <w:tcPr>
            <w:tcW w:w="468" w:type="dxa"/>
            <w:tcBorders>
              <w:top w:val="single" w:sz="12" w:space="0" w:color="auto"/>
            </w:tcBorders>
          </w:tcPr>
          <w:p w14:paraId="3EB501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3601" w:type="dxa"/>
            <w:tcBorders>
              <w:top w:val="single" w:sz="12" w:space="0" w:color="auto"/>
            </w:tcBorders>
          </w:tcPr>
          <w:p w14:paraId="4115E7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Ф.И.О.</w:t>
            </w:r>
          </w:p>
        </w:tc>
        <w:tc>
          <w:tcPr>
            <w:tcW w:w="3601" w:type="dxa"/>
            <w:tcBorders>
              <w:top w:val="single" w:sz="12" w:space="0" w:color="auto"/>
            </w:tcBorders>
          </w:tcPr>
          <w:p w14:paraId="006041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 работы</w:t>
            </w:r>
          </w:p>
        </w:tc>
        <w:tc>
          <w:tcPr>
            <w:tcW w:w="3601" w:type="dxa"/>
            <w:tcBorders>
              <w:top w:val="single" w:sz="12" w:space="0" w:color="auto"/>
            </w:tcBorders>
          </w:tcPr>
          <w:p w14:paraId="07C141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Должность в комиссии</w:t>
            </w:r>
          </w:p>
        </w:tc>
      </w:tr>
      <w:tr w:rsidR="007D5DF8" w:rsidRPr="00DB5D0D" w14:paraId="31AFD486" w14:textId="77777777" w:rsidTr="009223E5">
        <w:tc>
          <w:tcPr>
            <w:tcW w:w="468" w:type="dxa"/>
          </w:tcPr>
          <w:p w14:paraId="23AA9B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3601" w:type="dxa"/>
          </w:tcPr>
          <w:p w14:paraId="63117E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Сеничкин Г.В.</w:t>
            </w:r>
          </w:p>
        </w:tc>
        <w:tc>
          <w:tcPr>
            <w:tcW w:w="3601" w:type="dxa"/>
          </w:tcPr>
          <w:p w14:paraId="311BFF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ГУАС КА</w:t>
            </w:r>
          </w:p>
        </w:tc>
        <w:tc>
          <w:tcPr>
            <w:tcW w:w="3601" w:type="dxa"/>
          </w:tcPr>
          <w:p w14:paraId="1A3656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w:t>
            </w:r>
          </w:p>
        </w:tc>
      </w:tr>
      <w:tr w:rsidR="007D5DF8" w:rsidRPr="00DB5D0D" w14:paraId="4E8510D8" w14:textId="77777777" w:rsidTr="009223E5">
        <w:tc>
          <w:tcPr>
            <w:tcW w:w="468" w:type="dxa"/>
          </w:tcPr>
          <w:p w14:paraId="4178E9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3601" w:type="dxa"/>
          </w:tcPr>
          <w:p w14:paraId="56B218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Сабуров А.М.</w:t>
            </w:r>
          </w:p>
        </w:tc>
        <w:tc>
          <w:tcPr>
            <w:tcW w:w="3601" w:type="dxa"/>
          </w:tcPr>
          <w:p w14:paraId="097096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Военпред на заводе № 19</w:t>
            </w:r>
          </w:p>
        </w:tc>
        <w:tc>
          <w:tcPr>
            <w:tcW w:w="3601" w:type="dxa"/>
          </w:tcPr>
          <w:p w14:paraId="3F58D8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w:t>
            </w:r>
          </w:p>
        </w:tc>
      </w:tr>
      <w:tr w:rsidR="007D5DF8" w:rsidRPr="00DB5D0D" w14:paraId="46E5DCF2" w14:textId="77777777" w:rsidTr="009223E5">
        <w:tc>
          <w:tcPr>
            <w:tcW w:w="468" w:type="dxa"/>
          </w:tcPr>
          <w:p w14:paraId="61E417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3601" w:type="dxa"/>
          </w:tcPr>
          <w:p w14:paraId="067575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Тарарухин И.И.</w:t>
            </w:r>
          </w:p>
        </w:tc>
        <w:tc>
          <w:tcPr>
            <w:tcW w:w="3601" w:type="dxa"/>
          </w:tcPr>
          <w:p w14:paraId="63286F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з-д № 24 НКАП</w:t>
            </w:r>
          </w:p>
        </w:tc>
        <w:tc>
          <w:tcPr>
            <w:tcW w:w="3601" w:type="dxa"/>
          </w:tcPr>
          <w:p w14:paraId="213D47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w:t>
            </w:r>
          </w:p>
        </w:tc>
      </w:tr>
      <w:tr w:rsidR="007D5DF8" w:rsidRPr="00DB5D0D" w14:paraId="1DE6D807" w14:textId="77777777" w:rsidTr="009223E5">
        <w:tc>
          <w:tcPr>
            <w:tcW w:w="468" w:type="dxa"/>
            <w:tcBorders>
              <w:bottom w:val="single" w:sz="12" w:space="0" w:color="auto"/>
            </w:tcBorders>
          </w:tcPr>
          <w:p w14:paraId="7B5A06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3601" w:type="dxa"/>
            <w:tcBorders>
              <w:bottom w:val="single" w:sz="12" w:space="0" w:color="auto"/>
            </w:tcBorders>
          </w:tcPr>
          <w:p w14:paraId="47BF28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Киселев А.И.</w:t>
            </w:r>
          </w:p>
        </w:tc>
        <w:tc>
          <w:tcPr>
            <w:tcW w:w="3601" w:type="dxa"/>
            <w:tcBorders>
              <w:bottom w:val="single" w:sz="12" w:space="0" w:color="auto"/>
            </w:tcBorders>
          </w:tcPr>
          <w:p w14:paraId="0B71BC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ЦИАМ</w:t>
            </w:r>
          </w:p>
        </w:tc>
        <w:tc>
          <w:tcPr>
            <w:tcW w:w="3601" w:type="dxa"/>
            <w:tcBorders>
              <w:bottom w:val="single" w:sz="12" w:space="0" w:color="auto"/>
            </w:tcBorders>
          </w:tcPr>
          <w:p w14:paraId="256B3B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w:t>
            </w:r>
          </w:p>
        </w:tc>
      </w:tr>
    </w:tbl>
    <w:p w14:paraId="3BFA51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т. Синичкина Г.В. в 10 дневный срок после окончания государственных испытаний мотора М-81 доложить Комитету Обороны при СНК Союза ССР в результате этих испытаний.</w:t>
      </w:r>
    </w:p>
    <w:p w14:paraId="0D1DDD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т. Шахурина А.И. закончить летные испытания мотора М-81 на самолете ДБ-3Ф (начатые на заводе № 39 НКАП с 30 марта 1940 г.) и доложить КО при СНК о результате этих летных испытаний не позднее 1 июня 1940 (10395).</w:t>
      </w:r>
    </w:p>
    <w:p w14:paraId="4DB91A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32B1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Нач. 4 ГУ НКВ Добровольский писал письмо № 1843 ГЛАВНОМУ КОНТРОЛЕРУ КОМИТЕТА ОБОРОНЫ при СНК СССР тов. Новикову</w:t>
      </w:r>
    </w:p>
    <w:p w14:paraId="20C69D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О выпуске фотокинопулеметов.</w:t>
      </w:r>
    </w:p>
    <w:p w14:paraId="7E8F22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Вашему запросу 4-ое Главное Управление НКВ сообщает,что заводом № 349 выпущено следующее количе ство фото-кинопулеметов: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11"/>
        <w:gridCol w:w="1908"/>
        <w:gridCol w:w="1706"/>
        <w:gridCol w:w="1296"/>
      </w:tblGrid>
      <w:tr w:rsidR="007D5DF8" w:rsidRPr="00DB5D0D" w14:paraId="55354511" w14:textId="77777777" w:rsidTr="009223E5">
        <w:trPr>
          <w:trHeight w:val="382"/>
        </w:trPr>
        <w:tc>
          <w:tcPr>
            <w:tcW w:w="1411" w:type="dxa"/>
            <w:tcBorders>
              <w:top w:val="single" w:sz="12" w:space="0" w:color="auto"/>
            </w:tcBorders>
          </w:tcPr>
          <w:p w14:paraId="542D05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Шифр</w:t>
            </w:r>
          </w:p>
        </w:tc>
        <w:tc>
          <w:tcPr>
            <w:tcW w:w="1908" w:type="dxa"/>
            <w:tcBorders>
              <w:top w:val="single" w:sz="12" w:space="0" w:color="auto"/>
            </w:tcBorders>
          </w:tcPr>
          <w:p w14:paraId="5E4101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выпуска</w:t>
            </w:r>
          </w:p>
        </w:tc>
        <w:tc>
          <w:tcPr>
            <w:tcW w:w="1706" w:type="dxa"/>
            <w:tcBorders>
              <w:top w:val="single" w:sz="12" w:space="0" w:color="auto"/>
            </w:tcBorders>
          </w:tcPr>
          <w:p w14:paraId="7EE11C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w:t>
            </w:r>
          </w:p>
        </w:tc>
        <w:tc>
          <w:tcPr>
            <w:tcW w:w="1296" w:type="dxa"/>
            <w:tcBorders>
              <w:top w:val="single" w:sz="12" w:space="0" w:color="auto"/>
            </w:tcBorders>
          </w:tcPr>
          <w:p w14:paraId="1D049E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r>
      <w:tr w:rsidR="007D5DF8" w:rsidRPr="00DB5D0D" w14:paraId="16E30EB3" w14:textId="77777777" w:rsidTr="009223E5">
        <w:trPr>
          <w:trHeight w:val="511"/>
        </w:trPr>
        <w:tc>
          <w:tcPr>
            <w:tcW w:w="1411" w:type="dxa"/>
          </w:tcPr>
          <w:p w14:paraId="77A78E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Л П</w:t>
            </w:r>
          </w:p>
        </w:tc>
        <w:tc>
          <w:tcPr>
            <w:tcW w:w="1908" w:type="dxa"/>
          </w:tcPr>
          <w:p w14:paraId="721CDD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1936 г.</w:t>
            </w:r>
          </w:p>
        </w:tc>
        <w:tc>
          <w:tcPr>
            <w:tcW w:w="1706" w:type="dxa"/>
          </w:tcPr>
          <w:p w14:paraId="585C12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1303</w:t>
            </w:r>
          </w:p>
        </w:tc>
        <w:tc>
          <w:tcPr>
            <w:tcW w:w="1296" w:type="dxa"/>
          </w:tcPr>
          <w:p w14:paraId="5F3BDE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B0A7169" w14:textId="77777777" w:rsidTr="009223E5">
        <w:trPr>
          <w:trHeight w:val="338"/>
        </w:trPr>
        <w:tc>
          <w:tcPr>
            <w:tcW w:w="1411" w:type="dxa"/>
          </w:tcPr>
          <w:p w14:paraId="1FB7A7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Л П</w:t>
            </w:r>
          </w:p>
        </w:tc>
        <w:tc>
          <w:tcPr>
            <w:tcW w:w="1908" w:type="dxa"/>
          </w:tcPr>
          <w:p w14:paraId="639400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 г.</w:t>
            </w:r>
          </w:p>
        </w:tc>
        <w:tc>
          <w:tcPr>
            <w:tcW w:w="1706" w:type="dxa"/>
          </w:tcPr>
          <w:p w14:paraId="3FD767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4515</w:t>
            </w:r>
          </w:p>
        </w:tc>
        <w:tc>
          <w:tcPr>
            <w:tcW w:w="1296" w:type="dxa"/>
          </w:tcPr>
          <w:p w14:paraId="45AF8E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6E8C32C" w14:textId="77777777" w:rsidTr="009223E5">
        <w:trPr>
          <w:trHeight w:val="360"/>
        </w:trPr>
        <w:tc>
          <w:tcPr>
            <w:tcW w:w="1411" w:type="dxa"/>
          </w:tcPr>
          <w:p w14:paraId="5AADB1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Л П</w:t>
            </w:r>
          </w:p>
        </w:tc>
        <w:tc>
          <w:tcPr>
            <w:tcW w:w="1908" w:type="dxa"/>
          </w:tcPr>
          <w:p w14:paraId="5471B6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1938 г.</w:t>
            </w:r>
          </w:p>
        </w:tc>
        <w:tc>
          <w:tcPr>
            <w:tcW w:w="1706" w:type="dxa"/>
          </w:tcPr>
          <w:p w14:paraId="297DBE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3049</w:t>
            </w:r>
          </w:p>
        </w:tc>
        <w:tc>
          <w:tcPr>
            <w:tcW w:w="1296" w:type="dxa"/>
          </w:tcPr>
          <w:p w14:paraId="57F180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9367</w:t>
            </w:r>
          </w:p>
        </w:tc>
      </w:tr>
      <w:tr w:rsidR="007D5DF8" w:rsidRPr="00DB5D0D" w14:paraId="60C95F72" w14:textId="77777777" w:rsidTr="009223E5">
        <w:trPr>
          <w:trHeight w:val="346"/>
        </w:trPr>
        <w:tc>
          <w:tcPr>
            <w:tcW w:w="1411" w:type="dxa"/>
          </w:tcPr>
          <w:p w14:paraId="0A944D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ПАУ-22</w:t>
            </w:r>
          </w:p>
        </w:tc>
        <w:tc>
          <w:tcPr>
            <w:tcW w:w="1908" w:type="dxa"/>
          </w:tcPr>
          <w:p w14:paraId="767290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1938 г.</w:t>
            </w:r>
          </w:p>
        </w:tc>
        <w:tc>
          <w:tcPr>
            <w:tcW w:w="1706" w:type="dxa"/>
          </w:tcPr>
          <w:p w14:paraId="240CFA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296" w:type="dxa"/>
          </w:tcPr>
          <w:p w14:paraId="20F48C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01EEA3C" w14:textId="77777777" w:rsidTr="009223E5">
        <w:trPr>
          <w:trHeight w:val="310"/>
        </w:trPr>
        <w:tc>
          <w:tcPr>
            <w:tcW w:w="1411" w:type="dxa"/>
          </w:tcPr>
          <w:p w14:paraId="285F78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ПАУ-22</w:t>
            </w:r>
          </w:p>
        </w:tc>
        <w:tc>
          <w:tcPr>
            <w:tcW w:w="1908" w:type="dxa"/>
          </w:tcPr>
          <w:p w14:paraId="7194EE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 г.</w:t>
            </w:r>
          </w:p>
        </w:tc>
        <w:tc>
          <w:tcPr>
            <w:tcW w:w="1706" w:type="dxa"/>
          </w:tcPr>
          <w:p w14:paraId="799F56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2387</w:t>
            </w:r>
          </w:p>
        </w:tc>
        <w:tc>
          <w:tcPr>
            <w:tcW w:w="1296" w:type="dxa"/>
          </w:tcPr>
          <w:p w14:paraId="70B94F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1E676E1" w14:textId="77777777" w:rsidTr="009223E5">
        <w:trPr>
          <w:trHeight w:val="403"/>
        </w:trPr>
        <w:tc>
          <w:tcPr>
            <w:tcW w:w="1411" w:type="dxa"/>
          </w:tcPr>
          <w:p w14:paraId="0D0CA9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НАУ-22</w:t>
            </w:r>
          </w:p>
        </w:tc>
        <w:tc>
          <w:tcPr>
            <w:tcW w:w="1908" w:type="dxa"/>
          </w:tcPr>
          <w:p w14:paraId="39D0A6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кв. 1940 г.</w:t>
            </w:r>
          </w:p>
        </w:tc>
        <w:tc>
          <w:tcPr>
            <w:tcW w:w="1706" w:type="dxa"/>
          </w:tcPr>
          <w:p w14:paraId="14A037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473</w:t>
            </w:r>
          </w:p>
        </w:tc>
        <w:tc>
          <w:tcPr>
            <w:tcW w:w="1296" w:type="dxa"/>
          </w:tcPr>
          <w:p w14:paraId="616CB1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2874</w:t>
            </w:r>
          </w:p>
        </w:tc>
      </w:tr>
      <w:tr w:rsidR="007D5DF8" w:rsidRPr="00DB5D0D" w14:paraId="20A7980E" w14:textId="77777777" w:rsidTr="009223E5">
        <w:trPr>
          <w:trHeight w:val="266"/>
        </w:trPr>
        <w:tc>
          <w:tcPr>
            <w:tcW w:w="1411" w:type="dxa"/>
            <w:tcBorders>
              <w:bottom w:val="single" w:sz="12" w:space="0" w:color="auto"/>
            </w:tcBorders>
          </w:tcPr>
          <w:p w14:paraId="216B5A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908" w:type="dxa"/>
            <w:tcBorders>
              <w:bottom w:val="single" w:sz="12" w:space="0" w:color="auto"/>
            </w:tcBorders>
          </w:tcPr>
          <w:p w14:paraId="2E8DD6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06" w:type="dxa"/>
            <w:tcBorders>
              <w:bottom w:val="single" w:sz="12" w:space="0" w:color="auto"/>
            </w:tcBorders>
          </w:tcPr>
          <w:p w14:paraId="1257AC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296" w:type="dxa"/>
            <w:tcBorders>
              <w:bottom w:val="single" w:sz="12" w:space="0" w:color="auto"/>
            </w:tcBorders>
          </w:tcPr>
          <w:p w14:paraId="4873E1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12241</w:t>
            </w:r>
          </w:p>
        </w:tc>
      </w:tr>
    </w:tbl>
    <w:p w14:paraId="588111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(10493,232).</w:t>
      </w:r>
    </w:p>
    <w:p w14:paraId="6A92C3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B583E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СНК СССР принял решение по созданию промышленной базы по производству магниевых сплавов, успешно применяемых немцами в Ю-88, Ме-110, Хе-100 и До-215 (229,22).</w:t>
      </w:r>
    </w:p>
    <w:p w14:paraId="2369F61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1309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года постановлением СНК за № 667 Днепропетровский завод «Физприборов» № 14 НК просвещения УССР был передан НКАП.</w:t>
      </w:r>
    </w:p>
    <w:p w14:paraId="7C54ED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НКАП за № 673с от 29 ноября 1940 года завод «Физприборов» № 14 был переименован в завод № 462 НКАП. Организованный завод имел специализацию по производству поршневых колец авиамоторов.</w:t>
      </w:r>
    </w:p>
    <w:p w14:paraId="613595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это же время завод окончил изготовление опытной партии машинных взрывателей МП-3 к полевым минам ПМ-3 и корпусов к ним. Кроме этого заводом изготовлялись корпуса 45 мм противотанкового снаряда, которые поставлялись Ленинградскому снарядозаряжательному заводу № 5 НК боеприпасов.</w:t>
      </w:r>
    </w:p>
    <w:p w14:paraId="5FB4DF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начале ВОВ по распоряжению НКАП, деятельность завода № 462 была прервана и завод из Днепропетровска был эвакуирован в Молотов на завод № 33 МАП. В это же время часть оборудования с завода № 33 приказом НКАП была передана там же заводу № 19 НКАП. В октябре 1943 года, после освобождения Днепропетровска на площадке ранее занимаемой заводом № 462 были созданы мастерские по ремонту автомашин ГАЗ-АА.</w:t>
      </w:r>
    </w:p>
    <w:p w14:paraId="38F8FF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дальнейшем приказом НКАП № 679с от 15 ноября 1943 года на базе площадей бывш. завода № 462 НКАП были организованы ремонтные мастерские, а приказом по 4 гл. управлению НКАП от 3 декабря 1943 года за № 33с созданным мастерским была утверждена номенклатура изделия для ремонта и выпуска, а именно магнето, авиасвечи и т.д.</w:t>
      </w:r>
    </w:p>
    <w:p w14:paraId="43660C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НКАП № 24с от 16 января 1944 года ремонтно-механические мастерские были переименованы в завод № 489 НКАП. С января 1944 года вновь организованный завод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3CFC5B2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42EB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года Из протокольной записи №1 заседания Комиссия ГВС РККА (19.00). На утреннем заседании критика в адрес конструкторов звучала еще острее: «Кулик: Мы идем на поводу у конструкторов, то, что они нам дают, то мы и берем, а мы должны требовать то, что нам нужно. ...Каждый конструктор – феодал, что хочет, то и делает. Они на текущем счету имеют миллионы, а работать не хотят (Там же. С. 226-227.).</w:t>
      </w:r>
    </w:p>
    <w:p w14:paraId="7A4C78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Проскуров: ...Возьмите историю с ДБ-3. Сколько времени конструировали шасси и перекрытие баков. Ильюшин не только не берет лучшие образцы иностранных армий, но даже достижения наших конструкторов не использует.</w:t>
      </w:r>
    </w:p>
    <w:p w14:paraId="62B4AA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Щаденко: Кустарничеством занимается.</w:t>
      </w:r>
    </w:p>
    <w:p w14:paraId="47ED18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Проскуров: Нужно приказывать конструкторам принимать на свои самолеты, уже созданные, те части самолета, которые опытом проверены и показали себя хорошо.</w:t>
      </w:r>
    </w:p>
    <w:p w14:paraId="6DC38E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Ворошилов: Тов. Кулик, Вы живете прошлым. Сейчас дело иначе обстоит.</w:t>
      </w:r>
    </w:p>
    <w:p w14:paraId="02403B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авиационное руководство промышленности сменено. Поставлены новые люди. Старые методы работы осуждены. Новые люди берутся за работу хорошо. С помощью ЦК ВКП(б) и т. Сталина все поставлены на ноги. Вчера мы здесь сидели с Вами, а т. Сталин занимался с работниками авиационной промышленности по тем же вопросам. У нас теперь больше машин, чем нужно, и стоят они на уровне самолетов передовых капиталистических стран. Сейчас стоит проблема – это выбрать наиболее лучший образец и пустить в серийное производство. Все, что создано, это результат большой работы коллектива, Правительства, Центрального Комитета и лично т. Сталина. ...Вы, товарищ Кулик, говорите, что нужно предъявить промышленности тактико-технические требования. Если мы сейчас их предъявим, то результаты получим на наши требования не ранее 1943 года, а чем мы должны жить в 1940-м и 1941 году? Мы не гарантированы, что нам [не] придется драться в этом году. Вы же, мои заместители, должны знать, как этим вопросом занимается Правительство, Центральный Комитет и лично т. Сталин. Возьмите официальные правительственные документы и почитайте, они у нас есть. Ведь то, о чем Вы сейчас говорите, все предусмотрено и на основе этого созданы новые образцы» (Там же. С. 227-228.).</w:t>
      </w:r>
    </w:p>
    <w:p w14:paraId="752BB8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нарком авиапромышленности: «Мы в серийной продукции отстали и по скорости и по типу. Этим вопросом серьезно занимался ЦК ВКП(б).</w:t>
      </w:r>
    </w:p>
    <w:p w14:paraId="295C1B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месяца серьезно проверяли производство самолетов и моторов. Сейчас приняты решительные меры Центральным Комитетом и Правительством и лично т. Сталиным. Сейчас даже некоторые конструктора заболели.</w:t>
      </w:r>
    </w:p>
    <w:p w14:paraId="4D9C09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Кулик плохо разбирается в авиации. Как видно, не следит за постановлениями ЦК и Правительства. Разговоры о том, что нас тянут конструктора, что существует феодализм, вакханалия в создании самолетов, – неправильные. Нужно всемерно развивать опытное самолетостроение.</w:t>
      </w:r>
    </w:p>
    <w:p w14:paraId="7625B8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Мехлис: А конструктора все-таки зажирели.</w:t>
      </w:r>
    </w:p>
    <w:p w14:paraId="201ABB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Павлов: Не заболели конструктора, а саботажничают.</w:t>
      </w:r>
    </w:p>
    <w:p w14:paraId="3CA0C3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Поликарпова, Архангельского и Ильюшина перехвалили. Между отдельными конструкторами и летчиками существовала спайка, которая мешала двигать вперед самолетостроение. Нет ни одного дня, чтобы т. Сталин не занимался авиацией.</w:t>
      </w:r>
    </w:p>
    <w:p w14:paraId="7E6EA7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Павлов: Сколько времени М. Каганович обманывал т. Сталина о моторах.</w:t>
      </w:r>
    </w:p>
    <w:p w14:paraId="761D61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Боюсь, что и сейчас некоторые товарищи этим не занялись.</w:t>
      </w:r>
    </w:p>
    <w:p w14:paraId="6025B6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Сейчас Центральный комитет вынес 34 решения по типам самолетов и принял меры по устранению целого ряда недочетов. Было так, что чем дольше испытывалась машина, тем было выгоднее экономически летчику. Машину строили полтора месяца, а испытывали два года. В результате машина старела. Помогите нам отобрать из имеющихся опытных машин наилучшие образцы. Нам желательно знать, какие из этих машин поставите на вооружение. Сейчас уже имеются все данные, чтобы вести разговоры на этот счет» (Там же. С. 230.) (11672).</w:t>
      </w:r>
    </w:p>
    <w:p w14:paraId="21D0197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6DD4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 по приказу № 193с для работ по тормозньм самолетным колесам было образовано КБ-20 на заводе № 156.</w:t>
      </w:r>
    </w:p>
    <w:p w14:paraId="5B7D3B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472к от 2.11.1940 г. КБ-20 завода № 156 НКАП было ликвидировано, личный состав переведен в ОКБ завода № 120.</w:t>
      </w:r>
    </w:p>
    <w:p w14:paraId="6E6F5F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(05-11.1940 г.)- П.В. Флеров (11982).</w:t>
      </w:r>
    </w:p>
    <w:p w14:paraId="419EBC5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ACDD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 было принято постановление о создании новой экспертной комиссии в составе трех инженеров НИИ-3: Ф.Н. Пойды (председатель), Е.С. Щетинкова и М.С. Кисенко. Членам комиссии предложили на основании имеющихся в НИИ-3 документов дать заключение по ряду вопросов, в том числе поставленных Королевым. 7 мая Королева ознакомили с постановлением о назначении экспертной комиссии. Он согласился с ее составом и поставленными вопросами (11837).</w:t>
      </w:r>
    </w:p>
    <w:p w14:paraId="5FB1CE0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3A99B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A28264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15029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сводка Старшего военного представителя на заводе № 183 Д.М. Козырева № 212с</w:t>
      </w:r>
    </w:p>
    <w:p w14:paraId="6B46EC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СВОДКА О СОСТОЯНИИ РАБОТ ПО ОПЫТНОЙ СЕРИИ «А-34» на 29/</w:t>
      </w:r>
      <w:r w:rsidRPr="00DB5D0D">
        <w:rPr>
          <w:rFonts w:ascii="Times New Roman" w:hAnsi="Times New Roman"/>
          <w:color w:val="000000" w:themeColor="text1"/>
          <w:sz w:val="16"/>
          <w:szCs w:val="16"/>
          <w:lang w:val="en-US"/>
        </w:rPr>
        <w:t>IV</w:t>
      </w:r>
      <w:r w:rsidRPr="00DB5D0D">
        <w:rPr>
          <w:rFonts w:ascii="Times New Roman" w:hAnsi="Times New Roman"/>
          <w:color w:val="000000" w:themeColor="text1"/>
          <w:sz w:val="16"/>
          <w:szCs w:val="16"/>
        </w:rPr>
        <w:t>-40 г.</w:t>
      </w:r>
    </w:p>
    <w:p w14:paraId="1AFBDE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Чертежи спущены в производство по всем 38 гр.</w:t>
      </w:r>
    </w:p>
    <w:p w14:paraId="4BA5A3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Техпроцессы разработаны и спущены в производство по 36 гр. и заканчивается разработка по остальным группам /инстру</w:t>
      </w:r>
      <w:r w:rsidRPr="00DB5D0D">
        <w:rPr>
          <w:rFonts w:ascii="Times New Roman" w:hAnsi="Times New Roman"/>
          <w:color w:val="000000" w:themeColor="text1"/>
          <w:sz w:val="16"/>
          <w:szCs w:val="16"/>
        </w:rPr>
        <w:softHyphen/>
        <w:t>мент и боеукладки/которые были задержаны из-за отсутствия в кон</w:t>
      </w:r>
      <w:r w:rsidRPr="00DB5D0D">
        <w:rPr>
          <w:rFonts w:ascii="Times New Roman" w:hAnsi="Times New Roman"/>
          <w:color w:val="000000" w:themeColor="text1"/>
          <w:sz w:val="16"/>
          <w:szCs w:val="16"/>
        </w:rPr>
        <w:softHyphen/>
        <w:t>структорском бюро бумаги.</w:t>
      </w:r>
    </w:p>
    <w:p w14:paraId="2C8392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деталей: надо изготовить 1915 наименований, изготовлено 1147 наименований. В настоящее время приступлено к сборке подхомплектов и комплектов по 9 группам. Сборка основных комплектов как то: бортовые передачи, бортовые фрикционы, глав</w:t>
      </w:r>
      <w:r w:rsidRPr="00DB5D0D">
        <w:rPr>
          <w:rFonts w:ascii="Times New Roman" w:hAnsi="Times New Roman"/>
          <w:color w:val="000000" w:themeColor="text1"/>
          <w:sz w:val="16"/>
          <w:szCs w:val="16"/>
        </w:rPr>
        <w:softHyphen/>
        <w:t>ный фрикцион и другие задерживается из-за отсутствия на заводе подшипников.</w:t>
      </w:r>
    </w:p>
    <w:p w14:paraId="4E92AD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Броня поступила на завод по всем 10 комплектам. В настоя</w:t>
      </w:r>
      <w:r w:rsidRPr="00DB5D0D">
        <w:rPr>
          <w:rFonts w:ascii="Times New Roman" w:hAnsi="Times New Roman"/>
          <w:color w:val="000000" w:themeColor="text1"/>
          <w:sz w:val="16"/>
          <w:szCs w:val="16"/>
        </w:rPr>
        <w:softHyphen/>
        <w:t>щее время собирается один корпус, который поступит на сборку к 15/V-40 г. К10/V-40 будет закончен второй стенд для сборки корпу</w:t>
      </w:r>
      <w:r w:rsidRPr="00DB5D0D">
        <w:rPr>
          <w:rFonts w:ascii="Times New Roman" w:hAnsi="Times New Roman"/>
          <w:color w:val="000000" w:themeColor="text1"/>
          <w:sz w:val="16"/>
          <w:szCs w:val="16"/>
        </w:rPr>
        <w:softHyphen/>
        <w:t>сов. Сборку всех 10 корпусов цех может закончить к I/M-40 и сборку машин 10 машин могут закончить в первых числах Июня мес.</w:t>
      </w:r>
    </w:p>
    <w:p w14:paraId="6C1EF4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машин может задержаться по причинам отсутствия на заводе № 183 стартеров СГ-700 и листвой латуни для радиаторов толщиной 0,15 мм.</w:t>
      </w:r>
    </w:p>
    <w:p w14:paraId="7A8C88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ВОЕНПРЕД АБГУКА ВОЕНИНЖЕНЕР 2 РАНГА /КОЗЫРЕВ/ [3] (11901)/</w:t>
      </w:r>
    </w:p>
    <w:p w14:paraId="7C69D7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71A390" w14:textId="77777777" w:rsidR="00A636A6" w:rsidRPr="00DB5D0D" w:rsidRDefault="00A636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в 1940 году введен в эксплуатацию «Пензенский третий Государственный часовой завод» – один из первенцев часовой промышленности России. Теперь – ОАО «Пензенский часовой завод «Заря» (14882).</w:t>
      </w:r>
    </w:p>
    <w:p w14:paraId="399C6B4F" w14:textId="77777777" w:rsidR="00A636A6" w:rsidRPr="00DB5D0D" w:rsidRDefault="00A636A6" w:rsidP="00DB5D0D">
      <w:pPr>
        <w:spacing w:after="0" w:line="240" w:lineRule="auto"/>
        <w:jc w:val="both"/>
        <w:rPr>
          <w:rFonts w:ascii="Times New Roman" w:hAnsi="Times New Roman"/>
          <w:color w:val="000000" w:themeColor="text1"/>
          <w:sz w:val="16"/>
          <w:szCs w:val="16"/>
        </w:rPr>
      </w:pPr>
    </w:p>
    <w:p w14:paraId="40CD7E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1940г. в Пензе создан по приказу НКОМ 3-й Государственный часовой завод (Завод № 807 НКМВ, ММиП, 3-й Государственный часовой завод НКОМ, НКМВ, Ордена Отечественной Войны 1-й степени Пензенский часовой завод ММиП, ООО «Пензенские часы» /г. Пенза ул. Часовая п/я 33/6 «Час» (1948г.)/).</w:t>
      </w:r>
    </w:p>
    <w:p w14:paraId="2681AF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Вскоре заводу, наряду с серийным выпуском часов, была поручена разработка нового отечественного механизма без импортных деталей и внедрение его в производство. Механизм «1800» был создан, но его выпуску помешало начало войны (выпуск часов с этим механизмом был начат после войны под маркой «Победа»), К началу 1941г. был освоен также выпуск первых отечественных станков для часового производства (настольные токарные, автоматы для изготовления штифтов, станки для сверления отверстий в ободе баланса).</w:t>
      </w:r>
    </w:p>
    <w:p w14:paraId="584610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начала войны завод перешел на производство военной продукции: взрывателей и прицелов для минометов, приборов управления зенитным огнем.</w:t>
      </w:r>
    </w:p>
    <w:p w14:paraId="13005B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ГКО № 99сс от 11.07.1941г. на площадку 3-го часового завода подлежала эвакуации часть завода Макса Гольца НКОМ из Ленинграда.</w:t>
      </w:r>
    </w:p>
    <w:p w14:paraId="0FC9BA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05.1942г. завод № 807 - в ведении 5ГУ НКМВ.</w:t>
      </w:r>
      <w:r w:rsidRPr="00DB5D0D">
        <w:rPr>
          <w:rFonts w:ascii="Times New Roman" w:hAnsi="Times New Roman"/>
          <w:color w:val="000000" w:themeColor="text1"/>
          <w:sz w:val="16"/>
          <w:szCs w:val="16"/>
          <w:vertAlign w:val="superscript"/>
        </w:rPr>
        <w:t>129</w:t>
      </w:r>
      <w:r w:rsidRPr="00DB5D0D">
        <w:rPr>
          <w:rFonts w:ascii="Times New Roman" w:hAnsi="Times New Roman"/>
          <w:color w:val="000000" w:themeColor="text1"/>
          <w:sz w:val="16"/>
          <w:szCs w:val="16"/>
        </w:rPr>
        <w:t xml:space="preserve"> По приказу ММиП в 05.1946г. завод № 807 был переименован в Пензенский ордена Отечественной войны I степени часовой завод, в 1947-48г. завод - в ведении Главчаспрома ММиП.</w:t>
      </w:r>
    </w:p>
    <w:p w14:paraId="48FE61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составе предприятия (1947г.) цехи: основные: прессово-корпусной, автоматный, платино-мостовой. отделочный, механо-сборочный, сборочный; вспомогательные: электроцех, ремонтный, инструментальный, столярный.</w:t>
      </w:r>
    </w:p>
    <w:p w14:paraId="61FB4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После войны завод стал основным в стране производителем часового оборудования и инструмента. В 1946г. возобновлено производство наручных часов, которые стали основной продкуцией завода. В 1947г., впервые в отечественной часовой промышленности, был внедрен поточный метод сборки часов. В 1949г. завод переведен </w:t>
      </w:r>
      <w:r w:rsidRPr="00DB5D0D">
        <w:rPr>
          <w:rFonts w:ascii="Times New Roman" w:hAnsi="Times New Roman"/>
          <w:color w:val="000000" w:themeColor="text1"/>
          <w:sz w:val="16"/>
          <w:szCs w:val="16"/>
        </w:rPr>
        <w:lastRenderedPageBreak/>
        <w:t>на выпуск только женских наручных часов. Был разработан новый механизм малого калибра, получивший название «Заря». В 1950г. было изготовлено около миллиона часовых механизмов. В 1951г. на заводе впервые в мире был создан и пушен в эксплуатацию пульсирующий конвейер с регулируемым ритмом сборки часов. К концу 1953г. вся сборка часов на заводе осуществлялась на пульсирующих конвейерах, которые изготавливались собственным силами. В 1950-51г. завод оказал помощь кадрами и оборудованием становлению Угличского часового завода, в 1954-55г. - Минского.</w:t>
      </w:r>
    </w:p>
    <w:p w14:paraId="00518E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1960-е г. на заводе впервые в мире был внедрен монометаллический безвинтовой баланс, который затем широко применялся во всем мире. В 1962г. освоен массовый выпуск самых маленьких в мире часов с центральной секундной стрелкой «Мечта»; в 1963г. начат выпуск самых плоских отечественных женских часов «Заря-5» 1 класса точности. В 1965г. введена единая марка для всех пензенских часов - «Заря». К этому времени завод собрал почти 43 млн. часов, изготовил 4375 станков для часовой и приборостроительной промышленности, 20.945 фотозатворов. В 1968г. начат выпуск первых отечественных женских часов с календарем мгновенного действия «Заря-2014». К Олимпийским играм 1980г. в Москве на заводе был создан первый отечественный секундомер, получивший международный сертификат.</w:t>
      </w:r>
    </w:p>
    <w:p w14:paraId="53C281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03.1997г. на базе лаборатории надежности создан Испытательный центр «Заря», аккредитованный Госстандартом.</w:t>
      </w:r>
    </w:p>
    <w:p w14:paraId="67F6A4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оборудования: (1940г.)- 941 ед., (1946г.)- 998 ед., (1947г.)-1138 ед.</w:t>
      </w:r>
    </w:p>
    <w:p w14:paraId="7C01FC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территории (1947г.)- 5,52 га; застройки (1947г.)- 7813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производственная (1940г.)- 12819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(1946-47г.)-12993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w:t>
      </w:r>
    </w:p>
    <w:p w14:paraId="733E5F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(1940г.)-1810 чел., (1946г.)- 1672 чел., (1947г.)- 2276 чел.</w:t>
      </w:r>
    </w:p>
    <w:p w14:paraId="3AD26E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(-1948-60-е)- В.Н. Скорняков.</w:t>
      </w:r>
    </w:p>
    <w:p w14:paraId="35F8A8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(1948г.)- Шейнерт.</w:t>
      </w:r>
      <w:r w:rsidRPr="00DB5D0D">
        <w:rPr>
          <w:rFonts w:ascii="Times New Roman" w:hAnsi="Times New Roman"/>
          <w:color w:val="000000" w:themeColor="text1"/>
          <w:sz w:val="16"/>
          <w:szCs w:val="16"/>
          <w:vertAlign w:val="superscript"/>
        </w:rPr>
        <w:t>129</w:t>
      </w:r>
    </w:p>
    <w:p w14:paraId="1F76E9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Производство: часы:</w:t>
      </w:r>
      <w:r w:rsidRPr="00DB5D0D">
        <w:rPr>
          <w:rFonts w:ascii="Times New Roman" w:hAnsi="Times New Roman"/>
          <w:color w:val="000000" w:themeColor="text1"/>
          <w:sz w:val="16"/>
          <w:szCs w:val="16"/>
        </w:rPr>
        <w:t xml:space="preserve"> наручные женские «Звезда» (1941; 1946-47-), мужские К-26 «Победа» (1946-47-), «Весна» (1958-), «Аврора» (1959), «Сура» (1960), «Мечта» (1962), «Юность» (1964-), «Заря-5» (1963-), «Заря- 1509В («Мечта»), -1601 (1972), -1709Ш (1971), -1801 («Лира»), -2009 («Весна», 1975), -2009В («Заря-5»), -2009Г («Юность»), -2014 (1968-)»; шагомеры (1968-); прибор для сортировки волоска и баланса Г1-103 (1970-е) (11982).</w:t>
      </w:r>
    </w:p>
    <w:p w14:paraId="2FE47D1E" w14:textId="77777777" w:rsidR="00F16C4F" w:rsidRPr="00DB5D0D" w:rsidRDefault="00F16C4F" w:rsidP="00DB5D0D">
      <w:pPr>
        <w:spacing w:after="0" w:line="240" w:lineRule="auto"/>
        <w:jc w:val="both"/>
        <w:rPr>
          <w:rFonts w:ascii="Times New Roman" w:hAnsi="Times New Roman"/>
          <w:color w:val="000000" w:themeColor="text1"/>
          <w:sz w:val="16"/>
          <w:szCs w:val="16"/>
        </w:rPr>
      </w:pPr>
    </w:p>
    <w:p w14:paraId="6BA0AE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вышло постановление КО, в соответствии с которым СКБ-2 ЛКЗ под руководством Ж.Я.Котина разработало танк Т-50 с учетом опыта проектирования объекта 211 (9527,111).</w:t>
      </w:r>
    </w:p>
    <w:p w14:paraId="0E63C1C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0E60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 было выдано задание на разработку танка КВ-3. И это в то время, когда КВ-1, КВ-2 страдали не просто "детскими", а "младенческими" болезнями. Требовалось создать танк боевой массой до 68 т, с мощным бронированием (лоб корпуса до 120 мм, борт корпуса до 90 мм, башня - 115 мм). Двигатель - дизель мощностью 850 л.с. Экипаж - шесть человек. Пушка калибра 107 мм с начальной скоростью снаряда 800 м/сек (11224).</w:t>
      </w:r>
    </w:p>
    <w:p w14:paraId="56A3E94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938C54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1F4D3A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868F4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 12.00. (утреннее заседание) Протокольная запись №2 заседания комиссии ГВС*</w:t>
      </w:r>
    </w:p>
    <w:p w14:paraId="1D711C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w:t>
      </w:r>
    </w:p>
    <w:p w14:paraId="175085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Ворошилов, Кулик, Мехлис, Щаденко, Локтионов, Проскуров, Шапошников, Смородинов..."</w:t>
      </w:r>
    </w:p>
    <w:p w14:paraId="071257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Слушали: Об авиационном вооружении. II. Бомбардировщики </w:t>
      </w:r>
      <w:r w:rsidRPr="00DB5D0D">
        <w:rPr>
          <w:rFonts w:ascii="Times New Roman" w:hAnsi="Times New Roman"/>
          <w:color w:val="000000" w:themeColor="text1"/>
          <w:sz w:val="16"/>
          <w:szCs w:val="16"/>
        </w:rPr>
        <w:t>Докладывает комдив т. Алексеев:</w:t>
      </w:r>
    </w:p>
    <w:p w14:paraId="65B5C9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С 1936 г. состоит на вооружении </w:t>
      </w:r>
      <w:r w:rsidRPr="00DB5D0D">
        <w:rPr>
          <w:rFonts w:ascii="Times New Roman" w:hAnsi="Times New Roman"/>
          <w:iCs/>
          <w:color w:val="000000" w:themeColor="text1"/>
          <w:sz w:val="16"/>
          <w:szCs w:val="16"/>
        </w:rPr>
        <w:t xml:space="preserve">самолет СБ с мотором М-100, </w:t>
      </w:r>
      <w:r w:rsidRPr="00DB5D0D">
        <w:rPr>
          <w:rFonts w:ascii="Times New Roman" w:hAnsi="Times New Roman"/>
          <w:color w:val="000000" w:themeColor="text1"/>
          <w:sz w:val="16"/>
          <w:szCs w:val="16"/>
        </w:rPr>
        <w:t>с 1938 г. с мотором М-103, дальность 1200 км, на испытаниях дал 1728 км, бомбовая нагрузка 500 кг, потом увеличили до 600 кг, а теперь довели до 800 кг. Скорость: в 1936 г. — 409 км/ч, в 1938 г. — 414 км/ч, в 1939 г. — 426 км/ч, после модификации скорость доведена до 441 — 450 км/ч. Самолет имеет 6 кассет емкостью каждая по 38 гнезд. Самолет вооружен 4 пулеметами, экипаж 3 чел. С 1939 г. установлены протестированные баки. События в Финляндии заставили выпускать самолет с перегородками. Опыты оборудования самолета нейтральными газами, (использования отработанных газов), показали — в летних условиях хорошие результаты, а в зимних — отрицательные. Сейчас ведутся работы по применению углекислого газа, по защите стрелка-радиста, обеспечению самолетов средствами навигации (радио-полукомпасами) и по доведению скорости самолета до 550 км/ч.</w:t>
      </w:r>
    </w:p>
    <w:p w14:paraId="0A045C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самолет СБ оставить на вооружении, заменив в этом же году мотор М-100 на мотор М-103, чем будет достигнута скорость 480—525 км/ч.</w:t>
      </w:r>
    </w:p>
    <w:p w14:paraId="645DC4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Самолет БТ-22'" конструкции Яковлева, (трехмоторный). </w:t>
      </w:r>
      <w:r w:rsidRPr="00DB5D0D">
        <w:rPr>
          <w:rFonts w:ascii="Times New Roman" w:hAnsi="Times New Roman"/>
          <w:color w:val="000000" w:themeColor="text1"/>
          <w:sz w:val="16"/>
          <w:szCs w:val="16"/>
        </w:rPr>
        <w:t>Сейчас закончена отработка материалов испытания. Результаты — скорость 515 км/ч, дальность 660 км и бомбовая нагрузка 400 кг. Предлагаю принять на вооружение.</w:t>
      </w:r>
    </w:p>
    <w:p w14:paraId="7C3D35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r w:rsidRPr="00DB5D0D">
        <w:rPr>
          <w:rFonts w:ascii="Times New Roman" w:hAnsi="Times New Roman"/>
          <w:iCs/>
          <w:color w:val="000000" w:themeColor="text1"/>
          <w:sz w:val="16"/>
          <w:szCs w:val="16"/>
        </w:rPr>
        <w:t xml:space="preserve">Пикирующий самолет конструкции Поликарпова с двумя моторами М-100. </w:t>
      </w:r>
      <w:r w:rsidRPr="00DB5D0D">
        <w:rPr>
          <w:rFonts w:ascii="Times New Roman" w:hAnsi="Times New Roman"/>
          <w:color w:val="000000" w:themeColor="text1"/>
          <w:sz w:val="16"/>
          <w:szCs w:val="16"/>
        </w:rPr>
        <w:t>Предварительные заводские испытания показали скорость 500 км/ч, бомбовая нагрузка 600 кг и дальность 1200. До сего времени пикирующих самолетов мы не имели, поэтому самолет Поликарпова для нас представляет большой интерес.</w:t>
      </w:r>
    </w:p>
    <w:p w14:paraId="53370F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 xml:space="preserve">Самолет «С» конструкции Болховитина"" с двумя моторами М-103, </w:t>
      </w:r>
      <w:r w:rsidRPr="00DB5D0D">
        <w:rPr>
          <w:rFonts w:ascii="Times New Roman" w:hAnsi="Times New Roman"/>
          <w:color w:val="000000" w:themeColor="text1"/>
          <w:sz w:val="16"/>
          <w:szCs w:val="16"/>
        </w:rPr>
        <w:t>расположенными один за другим, на одном валу два винта, вращающиеся в разные стороны. Скорость 600 км/ч, проектируемая скорость— 640 км/ч. Дальность 1200 км, бомбовая нагрузка внутри самолета 320 кг и наружная 400 кг. Построен с учетом дальнейшей модификации, с возможностью установки мотора большей мощности (М-107), тогда скорость будет доведена 700—750 км/ч.</w:t>
      </w:r>
    </w:p>
    <w:p w14:paraId="025F71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запустить малую серию этого самолета, чтобы ускорить окончательную отработку его.</w:t>
      </w:r>
    </w:p>
    <w:p w14:paraId="2292F9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w:t>
      </w:r>
      <w:r w:rsidRPr="00DB5D0D">
        <w:rPr>
          <w:rFonts w:ascii="Times New Roman" w:hAnsi="Times New Roman"/>
          <w:iCs/>
          <w:color w:val="000000" w:themeColor="text1"/>
          <w:sz w:val="16"/>
          <w:szCs w:val="16"/>
        </w:rPr>
        <w:t xml:space="preserve">Самолет Суркова' одномоторный (М-88). </w:t>
      </w:r>
      <w:r w:rsidRPr="00DB5D0D">
        <w:rPr>
          <w:rFonts w:ascii="Times New Roman" w:hAnsi="Times New Roman"/>
          <w:color w:val="000000" w:themeColor="text1"/>
          <w:sz w:val="16"/>
          <w:szCs w:val="16"/>
        </w:rPr>
        <w:t>Скорость 500 км/ч, бомбовая нагрузка 400 кг, дальность 1000 км, экипаж 2 чел. Лучший самолет из существующих. Запущен в серию. Предлагаю оставить на вооружении.</w:t>
      </w:r>
    </w:p>
    <w:p w14:paraId="7B8B91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Дальние бомбардировщики</w:t>
      </w:r>
    </w:p>
    <w:p w14:paraId="3461A0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Самолет ДБ-Зс </w:t>
      </w:r>
      <w:r w:rsidRPr="00DB5D0D">
        <w:rPr>
          <w:rFonts w:ascii="Times New Roman" w:hAnsi="Times New Roman"/>
          <w:color w:val="000000" w:themeColor="text1"/>
          <w:sz w:val="16"/>
          <w:szCs w:val="16"/>
        </w:rPr>
        <w:t>1937 г. имел мотор М-85, скорость 381 км/ч., затем был установлен мотор М-86, скорость 395 км/ч, нормальная бомбовая нагрузка 1000 кг и максимальная 2000 кг, дальность 4100 км, практическая — 3500 км. Отрицательная сторона самолета — большое количество баков расположено в плоскостях (14 баков). С 1939 г. выпускается с протестированными баками и нейтральным газом. Скорость, после установки в 1938 г. мотора М-87, была достигнута 435 км/ч. После проведенной в 1939 г. модификации скорость достигнута 445 км/ч. В 1939 г. была произведена еще одна модификация и поставлен мотор М-88 (1100 л/с), но скорость получили меньшую — 425 км/ч, хотя была запроектирована скорость 480 км/ч. Бомбовая нагрузка 1000 кг. Предлагаю самолет ДБ-3 с мотором М-85 и М-86 перевооружить мотором М-87.</w:t>
      </w:r>
    </w:p>
    <w:p w14:paraId="205AF1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Кто виноват — самолет или мотор, что скорость снизилась после модификации?</w:t>
      </w:r>
    </w:p>
    <w:p w14:paraId="5BE85A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Алексеев: </w:t>
      </w:r>
      <w:r w:rsidRPr="00DB5D0D">
        <w:rPr>
          <w:rFonts w:ascii="Times New Roman" w:hAnsi="Times New Roman"/>
          <w:color w:val="000000" w:themeColor="text1"/>
          <w:sz w:val="16"/>
          <w:szCs w:val="16"/>
        </w:rPr>
        <w:t>Думаю, что мотор**.</w:t>
      </w:r>
    </w:p>
    <w:p w14:paraId="7BF196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Дальний бомбардировщик ДБ-мк"" — </w:t>
      </w:r>
      <w:r w:rsidRPr="00DB5D0D">
        <w:rPr>
          <w:rFonts w:ascii="Times New Roman" w:hAnsi="Times New Roman"/>
          <w:color w:val="000000" w:themeColor="text1"/>
          <w:sz w:val="16"/>
          <w:szCs w:val="16"/>
        </w:rPr>
        <w:t>летающее крыло с двумя моторами М-88 — скорость 550 км/ч, бомбовая нагрузка 1000 кг. Нормальная, и максимальная 2000 кг, дальность 4000 км. Особенность — прекрасно вооружен. Сзади подвижные установки, дающие круговой обстрел. Допускает установку крупнокалиберных пулеметов и пушки. Оригинальная конструкция этого самолета вызывала настороженное отношение наших работников.</w:t>
      </w:r>
    </w:p>
    <w:p w14:paraId="7E1D7B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 xml:space="preserve">Было враждебное отношение к нему, а не настороженное. </w:t>
      </w:r>
      <w:r w:rsidRPr="00DB5D0D">
        <w:rPr>
          <w:rFonts w:ascii="Times New Roman" w:hAnsi="Times New Roman"/>
          <w:iCs/>
          <w:color w:val="000000" w:themeColor="text1"/>
          <w:sz w:val="16"/>
          <w:szCs w:val="16"/>
        </w:rPr>
        <w:t xml:space="preserve">Алексеев: </w:t>
      </w:r>
      <w:r w:rsidRPr="00DB5D0D">
        <w:rPr>
          <w:rFonts w:ascii="Times New Roman" w:hAnsi="Times New Roman"/>
          <w:color w:val="000000" w:themeColor="text1"/>
          <w:sz w:val="16"/>
          <w:szCs w:val="16"/>
        </w:rPr>
        <w:t>Испытания этого самолета затянулись, т. к. промышленность слабо помогает.</w:t>
      </w:r>
    </w:p>
    <w:p w14:paraId="4C16BE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 стадии разработки находится самолет </w:t>
      </w:r>
      <w:r w:rsidRPr="00DB5D0D">
        <w:rPr>
          <w:rFonts w:ascii="Times New Roman" w:hAnsi="Times New Roman"/>
          <w:iCs/>
          <w:color w:val="000000" w:themeColor="text1"/>
          <w:sz w:val="16"/>
          <w:szCs w:val="16"/>
        </w:rPr>
        <w:t xml:space="preserve">ДБ-4, </w:t>
      </w:r>
      <w:r w:rsidRPr="00DB5D0D">
        <w:rPr>
          <w:rFonts w:ascii="Times New Roman" w:hAnsi="Times New Roman"/>
          <w:color w:val="000000" w:themeColor="text1"/>
          <w:sz w:val="16"/>
          <w:szCs w:val="16"/>
        </w:rPr>
        <w:t>конструкции Ильюшина. Скорость 600 км/ч, с мотором М-120. Мотора для этого самолета нет, из-за чего задерживается испытание.</w:t>
      </w:r>
    </w:p>
    <w:p w14:paraId="1F9A03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 xml:space="preserve">Самолет конструкции Ермолаева, </w:t>
      </w:r>
      <w:r w:rsidRPr="00DB5D0D">
        <w:rPr>
          <w:rFonts w:ascii="Times New Roman" w:hAnsi="Times New Roman"/>
          <w:color w:val="000000" w:themeColor="text1"/>
          <w:sz w:val="16"/>
          <w:szCs w:val="16"/>
        </w:rPr>
        <w:t>с мотором М-105, скорость 500 км/ч, дальность 5000 км, бомбовая нагрузка 1000 км. Проектировался на установку мотора большей мощности.</w:t>
      </w:r>
    </w:p>
    <w:p w14:paraId="728D56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w:t>
      </w:r>
      <w:r w:rsidRPr="00DB5D0D">
        <w:rPr>
          <w:rFonts w:ascii="Times New Roman" w:hAnsi="Times New Roman"/>
          <w:iCs/>
          <w:color w:val="000000" w:themeColor="text1"/>
          <w:sz w:val="16"/>
          <w:szCs w:val="16"/>
        </w:rPr>
        <w:t xml:space="preserve">ДБ-3 </w:t>
      </w:r>
      <w:r w:rsidRPr="00DB5D0D">
        <w:rPr>
          <w:rFonts w:ascii="Times New Roman" w:hAnsi="Times New Roman"/>
          <w:color w:val="000000" w:themeColor="text1"/>
          <w:sz w:val="16"/>
          <w:szCs w:val="16"/>
        </w:rPr>
        <w:t>(старый), с четырьмя моторами М-17, М-34, М-34ф, М-34н, со скоростью от 180 км/ч, до 288 км/ч.</w:t>
      </w:r>
    </w:p>
    <w:p w14:paraId="332B11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оставить для использования, как транспортника и как ночного бомбардировщика.</w:t>
      </w:r>
    </w:p>
    <w:p w14:paraId="16383C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основании учета состояния современного самолетостроения можем промышленности предъявить следующие требования по разработке </w:t>
      </w:r>
      <w:r w:rsidRPr="00DB5D0D">
        <w:rPr>
          <w:rFonts w:ascii="Times New Roman" w:hAnsi="Times New Roman"/>
          <w:iCs/>
          <w:color w:val="000000" w:themeColor="text1"/>
          <w:sz w:val="16"/>
          <w:szCs w:val="16"/>
        </w:rPr>
        <w:t xml:space="preserve">дальних бомбардировщиков </w:t>
      </w:r>
      <w:r w:rsidRPr="00DB5D0D">
        <w:rPr>
          <w:rFonts w:ascii="Times New Roman" w:hAnsi="Times New Roman"/>
          <w:color w:val="000000" w:themeColor="text1"/>
          <w:sz w:val="16"/>
          <w:szCs w:val="16"/>
        </w:rPr>
        <w:t xml:space="preserve">со скоростями: в 1941 г. — 550—600 км/ч, в 1942 г. — 600—650 км/ч, и в 1943 г. — 650—750 км /ч. </w:t>
      </w:r>
      <w:r w:rsidRPr="00DB5D0D">
        <w:rPr>
          <w:rFonts w:ascii="Times New Roman" w:hAnsi="Times New Roman"/>
          <w:iCs/>
          <w:color w:val="000000" w:themeColor="text1"/>
          <w:sz w:val="16"/>
          <w:szCs w:val="16"/>
        </w:rPr>
        <w:t xml:space="preserve">По ближним и средним бомбардировщикам: </w:t>
      </w:r>
      <w:r w:rsidRPr="00DB5D0D">
        <w:rPr>
          <w:rFonts w:ascii="Times New Roman" w:hAnsi="Times New Roman"/>
          <w:color w:val="000000" w:themeColor="text1"/>
          <w:sz w:val="16"/>
          <w:szCs w:val="16"/>
        </w:rPr>
        <w:t>в 1941 г. - 600-650 км/ч, в 1942 г. - 650-700 км/ч, и в 1943 г. - 700-750 км/ч.</w:t>
      </w:r>
    </w:p>
    <w:p w14:paraId="06869A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Мелкишев: </w:t>
      </w:r>
      <w:r w:rsidRPr="00DB5D0D">
        <w:rPr>
          <w:rFonts w:ascii="Times New Roman" w:hAnsi="Times New Roman"/>
          <w:color w:val="000000" w:themeColor="text1"/>
          <w:sz w:val="16"/>
          <w:szCs w:val="16"/>
        </w:rPr>
        <w:t>В иностранных армиях на вооружении в основном находятся двухмоторные бомбардировщики. Так, например:</w:t>
      </w:r>
    </w:p>
    <w:p w14:paraId="74DE4B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Англия: </w:t>
      </w:r>
      <w:r w:rsidRPr="00DB5D0D">
        <w:rPr>
          <w:rFonts w:ascii="Times New Roman" w:hAnsi="Times New Roman"/>
          <w:color w:val="000000" w:themeColor="text1"/>
          <w:sz w:val="16"/>
          <w:szCs w:val="16"/>
        </w:rPr>
        <w:t>имеет два типа двухмоторных и один тип одномоторный. Двухмоторные — воздушное охлаждение, трехместный, скорость 475 км/ч, дальность 3000 км. Второй тип этого самолета с жидким охлаждением, пятиместный, скорость 400 км/ч, дальность 2700 км. Одномоторный — воздушное охлаждение, двухместный, скорость 450 км/ч, потолок 9000 м, бомбовая нагрузка 450 кг нормальная и с перегрузкой — 550 кг. Вооружение во всех случаях по три пулеметных точки.</w:t>
      </w:r>
    </w:p>
    <w:p w14:paraId="0F0C88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Франция: </w:t>
      </w:r>
      <w:r w:rsidRPr="00DB5D0D">
        <w:rPr>
          <w:rFonts w:ascii="Times New Roman" w:hAnsi="Times New Roman"/>
          <w:color w:val="000000" w:themeColor="text1"/>
          <w:sz w:val="16"/>
          <w:szCs w:val="16"/>
        </w:rPr>
        <w:t>а) Самолет ...* двухмоторный воздушного охлаждения, скорость 470 км/ч, дальность 2000 км, потолок 8500 м, бомбовая нагрузка 1000—1900 кг, вооружение — 4 пулемета.</w:t>
      </w:r>
    </w:p>
    <w:p w14:paraId="6ED1CD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Самолет ...* двухмоторный, скорость 500 км/ч, дальность 3000 км, потолок 10000 м, бомбовая нагрузка 1500 кг, вооружение — 2 пулемета и одна 20-мм пушка.</w:t>
      </w:r>
    </w:p>
    <w:p w14:paraId="01D0A0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Самолет ...'двухмоторный, трехместный, воздушное охлаждение, скорость 480 км/ч, дальность 1500 км, потолок 8200 м, бомбовая нагрузка 1500 кг. Имеется опытный образец четырехмоторного самолета, дающий скорость ...'дальность 2000 км, потолок 10000 м, бомбовая нагрузка 1200 кг, вооружение — 3 пулемета и одна 20 мм-пушка.</w:t>
      </w:r>
    </w:p>
    <w:p w14:paraId="3BA026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Германия: </w:t>
      </w:r>
      <w:r w:rsidRPr="00DB5D0D">
        <w:rPr>
          <w:rFonts w:ascii="Times New Roman" w:hAnsi="Times New Roman"/>
          <w:color w:val="000000" w:themeColor="text1"/>
          <w:sz w:val="16"/>
          <w:szCs w:val="16"/>
        </w:rPr>
        <w:t>Двухмоторные: а) самолет ...* , скорость 450 км/ч, дальность 2400 км, потолок 9000 м, бомбовая нагрузка 1000 кг, вооружен тремя пулеметами.</w:t>
      </w:r>
    </w:p>
    <w:p w14:paraId="09F928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Самолет ...* скорость 500 км/ч, дальность 3000 км, потолок 9000 м, бомбовая нагрузка 1500 кг, вооружен тремя пулеметами.</w:t>
      </w:r>
    </w:p>
    <w:p w14:paraId="369A2D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Самолет «Хейнкель-111». Скорость 440 км/ч, бомбовая нагрузка 1500— 2000 кг.</w:t>
      </w:r>
    </w:p>
    <w:p w14:paraId="53C4A1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«Юнкерс-88». Скорость 375 км/ч, дальность 2000 км, потолок 7400 м. Не строится.</w:t>
      </w:r>
    </w:p>
    <w:p w14:paraId="39715F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 «Юнкерс-88» (опытный), скорость 480 км/ч, дальность 1420 км, бомбовая нагрузка 1400 кг.</w:t>
      </w:r>
    </w:p>
    <w:p w14:paraId="4D7A3A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Америка: </w:t>
      </w:r>
      <w:r w:rsidRPr="00DB5D0D">
        <w:rPr>
          <w:rFonts w:ascii="Times New Roman" w:hAnsi="Times New Roman"/>
          <w:color w:val="000000" w:themeColor="text1"/>
          <w:sz w:val="16"/>
          <w:szCs w:val="16"/>
        </w:rPr>
        <w:t>а) «Дуглас Б-18». Скорость 400 км/ч, дальность 1600 км, бомбовая нагрузка 1000 кг, потолок 8000 м, вооружен тремя пулеметами.</w:t>
      </w:r>
    </w:p>
    <w:p w14:paraId="651F4E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Самолет В-17,4-х моторный, экипаж 7 чел., скорость 420 км/ч, дальность 2500 км, с пониженной бомбовой нагрузкой до 1000 кг, потолок 8000 м, вооружен пятью пулеметами.</w:t>
      </w:r>
    </w:p>
    <w:p w14:paraId="7D113A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Самолет ...* 4-х моторный, скорость 450 км/ч, дальность 4000 км, вооружен шестью пулеметами.</w:t>
      </w:r>
    </w:p>
    <w:p w14:paraId="190832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Италия: </w:t>
      </w:r>
      <w:r w:rsidRPr="00DB5D0D">
        <w:rPr>
          <w:rFonts w:ascii="Times New Roman" w:hAnsi="Times New Roman"/>
          <w:color w:val="000000" w:themeColor="text1"/>
          <w:sz w:val="16"/>
          <w:szCs w:val="16"/>
        </w:rPr>
        <w:t>Двухмоторные: а) Самолет «Савойя-79», экипаж 4 чел., скорость 425 км/ч, дальность 2000 км, потолок 7700 м, бомбовая нагрузка 1500 кг. б) Самолет Ю-86. Скорость 440 км/ч, дальность 3000 км, потолок 10000 м.</w:t>
      </w:r>
    </w:p>
    <w:p w14:paraId="6A8201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Самолет [Ю]-88. Скорость 560 км/ч, дальность 1800 км, потолок 8500 м, бомбовая нагрузка 1000 кг.</w:t>
      </w:r>
    </w:p>
    <w:p w14:paraId="187B41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Япония: </w:t>
      </w:r>
      <w:r w:rsidRPr="00DB5D0D">
        <w:rPr>
          <w:rFonts w:ascii="Times New Roman" w:hAnsi="Times New Roman"/>
          <w:color w:val="000000" w:themeColor="text1"/>
          <w:sz w:val="16"/>
          <w:szCs w:val="16"/>
        </w:rPr>
        <w:t>Все существующие в Японии самолеты уступают нашим.</w:t>
      </w:r>
    </w:p>
    <w:p w14:paraId="4B820B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Имеются ли дизеля на самолетах в Германии и других странах?</w:t>
      </w:r>
    </w:p>
    <w:p w14:paraId="570ED7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Мелкишев: </w:t>
      </w:r>
      <w:r w:rsidRPr="00DB5D0D">
        <w:rPr>
          <w:rFonts w:ascii="Times New Roman" w:hAnsi="Times New Roman"/>
          <w:color w:val="000000" w:themeColor="text1"/>
          <w:sz w:val="16"/>
          <w:szCs w:val="16"/>
        </w:rPr>
        <w:t>В Германии есть, а в других странах нет.</w:t>
      </w:r>
    </w:p>
    <w:p w14:paraId="6F7534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Шапошников: </w:t>
      </w:r>
      <w:r w:rsidRPr="00DB5D0D">
        <w:rPr>
          <w:rFonts w:ascii="Times New Roman" w:hAnsi="Times New Roman"/>
          <w:color w:val="000000" w:themeColor="text1"/>
          <w:sz w:val="16"/>
          <w:szCs w:val="16"/>
        </w:rPr>
        <w:t>Необходимо срочно создать пикирующий бомбардировщик. Поликарповский бомбардировщик нужно скорее запустить в серию. Ближний бомбардировщик принять Яковлева. Средний бомбардировщик конструкции Болховитина нужно скорее дорабатывать. Наши расстояния требуют увеличения дальностей средних бомбардировщиков. Больше склоняюсь к дальнему бомбардировщику Ермолаева, но нужно усилить вооружение его. Дальние бомбардировщики нужно пустить на дальность 5000 км и дать им скорость 500 км/ч. Дальний бомбардировщик должен иметь сильное вооружение: крупнокалиберные пулеметы и пушку, должен стрелять назад и вниз, должен [быть] сконструирован для самостоятельного боя, экипаж можно дать 4 чел. Бомбовая нагрузка более 1000 кг не требуется.</w:t>
      </w:r>
    </w:p>
    <w:p w14:paraId="7E73DF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Локтионов: </w:t>
      </w:r>
      <w:r w:rsidRPr="00DB5D0D">
        <w:rPr>
          <w:rFonts w:ascii="Times New Roman" w:hAnsi="Times New Roman"/>
          <w:color w:val="000000" w:themeColor="text1"/>
          <w:sz w:val="16"/>
          <w:szCs w:val="16"/>
        </w:rPr>
        <w:t>Одномоторные самолеты часто уступают двухмоторному. Самолет Суркова со скоростью 500 км/ч до 550 км/ч был бы приемлем, если бы он был пикирующим самолетом, а при одном моторе и не пикирующий нецелесообразно принимать.</w:t>
      </w:r>
    </w:p>
    <w:p w14:paraId="3E4AFF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Самолет СБ </w:t>
      </w:r>
      <w:r w:rsidRPr="00DB5D0D">
        <w:rPr>
          <w:rFonts w:ascii="Times New Roman" w:hAnsi="Times New Roman"/>
          <w:color w:val="000000" w:themeColor="text1"/>
          <w:sz w:val="16"/>
          <w:szCs w:val="16"/>
        </w:rPr>
        <w:t>нужно срочно заменить другим. Скорость даже 480 км/ч не будет соответствовать современным требованиям. Заменять его можно самолетом ДБ-22 — хороший самолет. Он может лететь от фронта 250 км, но нужно было бы увеличить скорость до 600 км/ч, а скорость 520 км/ч мало. Можно сократить радиус действия.</w:t>
      </w:r>
    </w:p>
    <w:p w14:paraId="5E2804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Бомбардировщик Поликарпова — </w:t>
      </w:r>
      <w:r w:rsidRPr="00DB5D0D">
        <w:rPr>
          <w:rFonts w:ascii="Times New Roman" w:hAnsi="Times New Roman"/>
          <w:color w:val="000000" w:themeColor="text1"/>
          <w:sz w:val="16"/>
          <w:szCs w:val="16"/>
        </w:rPr>
        <w:t>пикирующий. Если он будет иметь скорость 600 км/ч, то он не будет удовлетворять требованиям современного боя. Если дать скорость 570 км/ч, то он может быть принят.</w:t>
      </w:r>
    </w:p>
    <w:p w14:paraId="404237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Дальний бомбардировщик Ильюшина </w:t>
      </w:r>
      <w:r w:rsidRPr="00DB5D0D">
        <w:rPr>
          <w:rFonts w:ascii="Times New Roman" w:hAnsi="Times New Roman"/>
          <w:color w:val="000000" w:themeColor="text1"/>
          <w:sz w:val="16"/>
          <w:szCs w:val="16"/>
        </w:rPr>
        <w:t>не удовлетворяет запросам. Моторная группа капризна. Поражаемость большая, скорость маленькая. На больших высотах он может показать себя. Если удастся поставить на ДБ-4 новый мотор, то проблема дальнего бомбардировщика будет разрешена.</w:t>
      </w:r>
    </w:p>
    <w:p w14:paraId="4766C3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Самолет ДБ-7. </w:t>
      </w:r>
      <w:r w:rsidRPr="00DB5D0D">
        <w:rPr>
          <w:rFonts w:ascii="Times New Roman" w:hAnsi="Times New Roman"/>
          <w:color w:val="000000" w:themeColor="text1"/>
          <w:sz w:val="16"/>
          <w:szCs w:val="16"/>
        </w:rPr>
        <w:t>Скорость 400 км/ч, потолок 12000 м, бомбовая нагрузка 4000 кг, 5-ти моторный, снят с вооружения, но он для дальних и попутных целей хорош. Дорого стоит и трудно строить.</w:t>
      </w:r>
    </w:p>
    <w:p w14:paraId="4C69BC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Мы идем на поводу конструкторов, то, что нам они дают, то мы и берем, а мы должны требовать то, что нам нужно. Нам нужно три типа самолета: 1 тип — ближний бомбардировщик, должен быть легкий бомбардировщик, действовать непосредственно на переднем крае, с большой скоростью и с большим диапазоном кассет. Бомбовой нагрузкой никто не занимается, нужно, чтобы был разный ассортимент бомб — от 2,5 кг и выше. Нужно попадать в цель, а наши летчики бомбят без прицела. Нельзя, чтобы дальше продолжалось такое безобразие, когда звено «Юнкерсов» требует наших СБ 25 штук. У них на самолете имеется 96 кассет. Наши летчики безграмотны, такого положения мы терпеть не можем. Нужно отметить, что мы в пять раз все делаем хуже, чем немцы.</w:t>
      </w:r>
    </w:p>
    <w:p w14:paraId="0F71CC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Алексеев: </w:t>
      </w:r>
      <w:r w:rsidRPr="00DB5D0D">
        <w:rPr>
          <w:rFonts w:ascii="Times New Roman" w:hAnsi="Times New Roman"/>
          <w:color w:val="000000" w:themeColor="text1"/>
          <w:sz w:val="16"/>
          <w:szCs w:val="16"/>
        </w:rPr>
        <w:t>Самолет ДБ-3 имеет 23 различных варианта бомбовой нагрузки.</w:t>
      </w:r>
    </w:p>
    <w:p w14:paraId="1BCB8F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Запорожец: </w:t>
      </w:r>
      <w:r w:rsidRPr="00DB5D0D">
        <w:rPr>
          <w:rFonts w:ascii="Times New Roman" w:hAnsi="Times New Roman"/>
          <w:color w:val="000000" w:themeColor="text1"/>
          <w:sz w:val="16"/>
          <w:szCs w:val="16"/>
        </w:rPr>
        <w:t xml:space="preserve">Где Ваши разные варианты, когда целей не поражаете? </w:t>
      </w:r>
      <w:r w:rsidRPr="00DB5D0D">
        <w:rPr>
          <w:rFonts w:ascii="Times New Roman" w:hAnsi="Times New Roman"/>
          <w:iCs/>
          <w:color w:val="000000" w:themeColor="text1"/>
          <w:sz w:val="16"/>
          <w:szCs w:val="16"/>
        </w:rPr>
        <w:t>(Приводит пример бомбежку города Кексгольм.)</w:t>
      </w:r>
    </w:p>
    <w:p w14:paraId="6B4620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Необходимо выработать правильные тактико-технические данные, с указанием скорости, потолка и бомб и под этим углом просмотреть, что нам представляет промышленность. Легкий бомбардировщик должен быть с максимальной нагрузкой мелких авиабомб — не менее 1000 кг. Средний бомбардировщик должен иметь скорость 500—600 км/ч, с хорошей бомбовой нагрузкой и большим диапазоном бомб. До сего времени мы идем на поводу у конструкторов. Ближний бомбардировщик должен иметь радиус действия 200—250 км, должен быть скоростной и иметь большой диапазон бомб. Дальний бомбардировщик должен иметь большую высоту. Каждый конструктор — феодал, что хочет, то и делает. Они на текущем счету имеют миллионы, а работать не хотят. Одновременно нам нужен хороший разведчик. О помощи войскам в фотосъемке и разведке вопрос стоит на нуле.</w:t>
      </w:r>
    </w:p>
    <w:p w14:paraId="7C549F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Правильно.</w:t>
      </w:r>
    </w:p>
    <w:p w14:paraId="5571F4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Шахурин: </w:t>
      </w:r>
      <w:r w:rsidRPr="00DB5D0D">
        <w:rPr>
          <w:rFonts w:ascii="Times New Roman" w:hAnsi="Times New Roman"/>
          <w:color w:val="000000" w:themeColor="text1"/>
          <w:sz w:val="16"/>
          <w:szCs w:val="16"/>
        </w:rPr>
        <w:t>В прошлом году сделан хороший разведчик.</w:t>
      </w:r>
    </w:p>
    <w:p w14:paraId="0FAD2F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О бомбардировщике Ильюшина ДБ-3. Настроение в войсках очень плохое. Мотор капризничает.</w:t>
      </w:r>
    </w:p>
    <w:p w14:paraId="01F7CC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Проскуров: </w:t>
      </w:r>
      <w:r w:rsidRPr="00DB5D0D">
        <w:rPr>
          <w:rFonts w:ascii="Times New Roman" w:hAnsi="Times New Roman"/>
          <w:color w:val="000000" w:themeColor="text1"/>
          <w:sz w:val="16"/>
          <w:szCs w:val="16"/>
        </w:rPr>
        <w:t>Я целиком поддерживаю выступление т. Кулика. Нужен больший ассортимент бомб, нужна скорость 550 км/ч, нужно более сильное вооружение бомбардировщиков. Драка между бомбардировщиками и истребителями всегда будет иметь место. Разности в скоростях между истребителем и бомбардировщиком всегда останутся.</w:t>
      </w:r>
    </w:p>
    <w:p w14:paraId="1A7F87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Рычагов: </w:t>
      </w:r>
      <w:r w:rsidRPr="00DB5D0D">
        <w:rPr>
          <w:rFonts w:ascii="Times New Roman" w:hAnsi="Times New Roman"/>
          <w:color w:val="000000" w:themeColor="text1"/>
          <w:sz w:val="16"/>
          <w:szCs w:val="16"/>
        </w:rPr>
        <w:t>Что Вы открываете истины, которые были еще открыты в 1916 г.</w:t>
      </w:r>
    </w:p>
    <w:p w14:paraId="2988F2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Проскуров: </w:t>
      </w:r>
      <w:r w:rsidRPr="00DB5D0D">
        <w:rPr>
          <w:rFonts w:ascii="Times New Roman" w:hAnsi="Times New Roman"/>
          <w:color w:val="000000" w:themeColor="text1"/>
          <w:sz w:val="16"/>
          <w:szCs w:val="16"/>
        </w:rPr>
        <w:t>На дальнем бомбардировщике ввести 4 чел. С доводкой хорошего бомбардировщика у нас дело идет плохо. Возьмите историю с ДБ-3. Сколько времени конструировали шасси и перекрытие баков. Ильюшин не только не берет лучшие образцы иностранных армий, но даже достижения наших конструкторов не использует.</w:t>
      </w:r>
    </w:p>
    <w:p w14:paraId="05C275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Щаденко: </w:t>
      </w:r>
      <w:r w:rsidRPr="00DB5D0D">
        <w:rPr>
          <w:rFonts w:ascii="Times New Roman" w:hAnsi="Times New Roman"/>
          <w:color w:val="000000" w:themeColor="text1"/>
          <w:sz w:val="16"/>
          <w:szCs w:val="16"/>
        </w:rPr>
        <w:t>Кустарничеством занимается.</w:t>
      </w:r>
    </w:p>
    <w:p w14:paraId="103544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Проскуров: </w:t>
      </w:r>
      <w:r w:rsidRPr="00DB5D0D">
        <w:rPr>
          <w:rFonts w:ascii="Times New Roman" w:hAnsi="Times New Roman"/>
          <w:color w:val="000000" w:themeColor="text1"/>
          <w:sz w:val="16"/>
          <w:szCs w:val="16"/>
        </w:rPr>
        <w:t>Нужно приказывать конструкторам принимать на свои самолеты, уже созданные, те части самолета, которые опытом проверены и показали себя хорошо.</w:t>
      </w:r>
    </w:p>
    <w:p w14:paraId="66958B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Тов. Кулик, Вы живете прошлым. Сейчас дело иначе обстоит. Все авиационное руководство промышленности сменено. Поставлены новые люди. Старые методы работы осуждены. Новые люди берутся за работу хорошо. С помощью ЦК ВКП(б) и т. Сталина все поставлены на ноги. Вчера мы здесь сидели с Вами, а т. Сталин занимался с работниками авиационной промышленности по тем же вопросам. У нас теперь больше машин, чем нужно, и стоят они на уровне самолетов передовых капиталистических стран. Сейчас стоит проблема — это выбрать наиболее лучший образец и пустить в серийное производство. Все, что создано, это результат большой работы коллектива, Правительства, Центрального Комитета и лично т. Сталина. Туг и диапазоны учтены, и разные ассортименты бомб. Вы, товарищ Кулик, говорите, что нужно предъявить промышленности тактико-технические требования. Если мы сейчас их предъявим, то результаты получим на наши требования не ранее 1943 г., а чем мы должны жить в 1940 и 1941 гг.? Мы не гарантированы, что нам [не] придется драться в этом году. Вы же, мои заместители, должны знать, как этим вопросом занимается Правительство, Центральный Комитет и лично т. Сталин. Возьмите официальные правительственные документы и почитайте, они у нас есть. Ведь то, о чем Вы сейчас говорите, все предусмотрено и на основе этого созданы новые образцы.</w:t>
      </w:r>
    </w:p>
    <w:p w14:paraId="121C73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Смушкевич: </w:t>
      </w:r>
      <w:r w:rsidRPr="00DB5D0D">
        <w:rPr>
          <w:rFonts w:ascii="Times New Roman" w:hAnsi="Times New Roman"/>
          <w:color w:val="000000" w:themeColor="text1"/>
          <w:sz w:val="16"/>
          <w:szCs w:val="16"/>
        </w:rPr>
        <w:t xml:space="preserve">Главное — скорость. Мы имеем среднюю скорость всех машин 420—450 км/ч, а иностранные армии: </w:t>
      </w:r>
      <w:r w:rsidRPr="00DB5D0D">
        <w:rPr>
          <w:rFonts w:ascii="Times New Roman" w:hAnsi="Times New Roman"/>
          <w:iCs/>
          <w:color w:val="000000" w:themeColor="text1"/>
          <w:sz w:val="16"/>
          <w:szCs w:val="16"/>
        </w:rPr>
        <w:t xml:space="preserve">Англия </w:t>
      </w:r>
      <w:r w:rsidRPr="00DB5D0D">
        <w:rPr>
          <w:rFonts w:ascii="Times New Roman" w:hAnsi="Times New Roman"/>
          <w:color w:val="000000" w:themeColor="text1"/>
          <w:sz w:val="16"/>
          <w:szCs w:val="16"/>
        </w:rPr>
        <w:t xml:space="preserve">— 420—440—460 км/ч, </w:t>
      </w:r>
      <w:r w:rsidRPr="00DB5D0D">
        <w:rPr>
          <w:rFonts w:ascii="Times New Roman" w:hAnsi="Times New Roman"/>
          <w:iCs/>
          <w:color w:val="000000" w:themeColor="text1"/>
          <w:sz w:val="16"/>
          <w:szCs w:val="16"/>
        </w:rPr>
        <w:t xml:space="preserve">Германия — </w:t>
      </w:r>
      <w:r w:rsidRPr="00DB5D0D">
        <w:rPr>
          <w:rFonts w:ascii="Times New Roman" w:hAnsi="Times New Roman"/>
          <w:color w:val="000000" w:themeColor="text1"/>
          <w:sz w:val="16"/>
          <w:szCs w:val="16"/>
        </w:rPr>
        <w:t xml:space="preserve">420—430 км/ч, и пошли в серийное производство со скоростями 480— 500 км/ч. У </w:t>
      </w:r>
      <w:r w:rsidRPr="00DB5D0D">
        <w:rPr>
          <w:rFonts w:ascii="Times New Roman" w:hAnsi="Times New Roman"/>
          <w:iCs/>
          <w:color w:val="000000" w:themeColor="text1"/>
          <w:sz w:val="16"/>
          <w:szCs w:val="16"/>
        </w:rPr>
        <w:t xml:space="preserve">французов </w:t>
      </w:r>
      <w:r w:rsidRPr="00DB5D0D">
        <w:rPr>
          <w:rFonts w:ascii="Times New Roman" w:hAnsi="Times New Roman"/>
          <w:color w:val="000000" w:themeColor="text1"/>
          <w:sz w:val="16"/>
          <w:szCs w:val="16"/>
        </w:rPr>
        <w:t>новые самолеты имеют скорость 500 км/ч. Наша главная задача сейчас отобрать и быстрее внедрить серию из имеющихся 7 новых типов. Минимальная скорость опытных самолетов 500—600 км/ч. Необходимо запустить в малую серию самолет Б-22* конструкции Поликарпова. Самолет Суркова уже пошел в серию. Мы имеем ближний одномоторный бомбардировщик Суркова со скоростью 500 км/ч. Три завода уже осваивают эту машину, нужно его принять на вооружение. Он может действовать на поле боя. Второй тип ближнего бомбардировщика двухмоторный, конструкции Яковлева, со скоростью 520—540 км/ч. Он также нужен нам. Третий тип — модифицированный СБ, дать скорость 495—500 км/ч, его нужно быстрее переделать. Будет хороший ближний бомбардировщик.</w:t>
      </w:r>
    </w:p>
    <w:p w14:paraId="6894F2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Локтионов: </w:t>
      </w:r>
      <w:r w:rsidRPr="00DB5D0D">
        <w:rPr>
          <w:rFonts w:ascii="Times New Roman" w:hAnsi="Times New Roman"/>
          <w:color w:val="000000" w:themeColor="text1"/>
          <w:sz w:val="16"/>
          <w:szCs w:val="16"/>
        </w:rPr>
        <w:t>Эта машина только на 1941 г., а дальше?</w:t>
      </w:r>
    </w:p>
    <w:p w14:paraId="353900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Смушкевич: </w:t>
      </w:r>
      <w:r w:rsidRPr="00DB5D0D">
        <w:rPr>
          <w:rFonts w:ascii="Times New Roman" w:hAnsi="Times New Roman"/>
          <w:color w:val="000000" w:themeColor="text1"/>
          <w:sz w:val="16"/>
          <w:szCs w:val="16"/>
        </w:rPr>
        <w:t>Хуже дело идет с дальним бомбардировщиком. Его нужно сделать самостоятельным, для чего необходимо дать ему шесть пулеметов, в том числе и крупнокалиберный. Тогда он может рассчитывать на свою оборону. В печати пишут, что в Америке есть самолет с пушкой 107 мм. Чепуха. Нигде в мире сейчас нет таких самолетов. Даже в воюющих странах еще не участвовали самолеты с пушкой 23-мм.</w:t>
      </w:r>
    </w:p>
    <w:p w14:paraId="66DD14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 Ильюшина мы проверили только в Финляндии. Результат плохой. Дальнего бомбардировщика мы не имеем. Из новых образцов мы можем выбрать летающее крыло и бомбардировщик Ермолаева. Некоторые товарищи абсолютно не знают авиации и хотят выехать на крике. Мы имеем кассеты с различным ассортиментом бомб. Так, например, самолет СБ имеет 250 кассет, а практически — 216.</w:t>
      </w:r>
    </w:p>
    <w:p w14:paraId="4A793E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Нужно правильно комментировать т. Кулика — он хочет иметь больший диапазон бомб, чем есть.</w:t>
      </w:r>
    </w:p>
    <w:p w14:paraId="2866B7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Смушкевич: </w:t>
      </w:r>
      <w:r w:rsidRPr="00DB5D0D">
        <w:rPr>
          <w:rFonts w:ascii="Times New Roman" w:hAnsi="Times New Roman"/>
          <w:color w:val="000000" w:themeColor="text1"/>
          <w:sz w:val="16"/>
          <w:szCs w:val="16"/>
        </w:rPr>
        <w:t>Мы, товарищ народный комиссар, можем делать любой ассортимент бомб. Если бы речь шла о том, что было два года тому, тогда было бы правильно, а сейчас этот вопрос решен. Нам нужны следующие типы бомбардировщиков: 1) ближний одномоторный и двухмоторный; 2) средний типа СБ и пикирующий. Я согласен с т. Шапошниковым о необходимости поставить вопрос о пикирующем самолете. Немцы пикируют под углом 80°, а мы и японцы с 30°. Кроме того, у них есть автоматическое приспособление для выхода из пике.</w:t>
      </w:r>
    </w:p>
    <w:p w14:paraId="079335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Вопрос о пикирующем самолете уже поставлен. Есть специальное постановление Правительства о постройке такого типа самолета. Нужно добиваться, чтобы скорее это постановление выполнить.</w:t>
      </w:r>
    </w:p>
    <w:p w14:paraId="357B4D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Смушкевич: </w:t>
      </w:r>
      <w:r w:rsidRPr="00DB5D0D">
        <w:rPr>
          <w:rFonts w:ascii="Times New Roman" w:hAnsi="Times New Roman"/>
          <w:color w:val="000000" w:themeColor="text1"/>
          <w:sz w:val="16"/>
          <w:szCs w:val="16"/>
        </w:rPr>
        <w:t xml:space="preserve">О живучести. Бомбардировочные самолеты очень уязвимы с воздуха. При боевых действиях на 80—90% горели в воздухе. Японцы тоже горели, но меньше, а немцы совсем горят мало. Нужно дальние бомбардировщики вооружать автопилотами. Современные иностранные самолеты более 1000 кг бомбовой </w:t>
      </w:r>
      <w:r w:rsidRPr="00DB5D0D">
        <w:rPr>
          <w:rFonts w:ascii="Times New Roman" w:hAnsi="Times New Roman"/>
          <w:color w:val="000000" w:themeColor="text1"/>
          <w:sz w:val="16"/>
          <w:szCs w:val="16"/>
        </w:rPr>
        <w:lastRenderedPageBreak/>
        <w:t>нагрузки не имеют. Нормальной считается внутренняя подвеска 1000—1200 кг бомб. Нужно правильно общевойсковым командирам использовать бомбардировочную авиацию. Бомбардировщики должны действовать тогда, когда есть активная операция на земле.</w:t>
      </w:r>
    </w:p>
    <w:p w14:paraId="56580B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Неправильно говорят, что мы не фотографировали во время войны в Финляндии. Мы там сделали 40 000 снимков, но качество их плохое. Этот вопрос нами отработан недостаточно.</w:t>
      </w:r>
    </w:p>
    <w:p w14:paraId="0AC0E0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С этим делом у нас плохо. Снимки плохие. Никто и никогда не разберет их. Дешифровщиков нет. На это дело нужно нажать.</w:t>
      </w:r>
    </w:p>
    <w:p w14:paraId="24701B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Авиаторы не любят фотодела и боятся его. Пример, начальник штаба ВВС 9-й армии доложил мне, что нет фотоаппаратов для производства съемок, что всего имеется только 4, а на деле оказалось, что имеется 16 штук, и организовать фотосъемки можно было.</w:t>
      </w:r>
    </w:p>
    <w:p w14:paraId="7BE7A1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Мерецков: </w:t>
      </w:r>
      <w:r w:rsidRPr="00DB5D0D">
        <w:rPr>
          <w:rFonts w:ascii="Times New Roman" w:hAnsi="Times New Roman"/>
          <w:color w:val="000000" w:themeColor="text1"/>
          <w:sz w:val="16"/>
          <w:szCs w:val="16"/>
        </w:rPr>
        <w:t>У нас, в 7-й армии, было лучше дело с фотосъемками, но качество снимков не на должной высоте.</w:t>
      </w:r>
    </w:p>
    <w:p w14:paraId="0020FD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Рычагов: </w:t>
      </w:r>
      <w:r w:rsidRPr="00DB5D0D">
        <w:rPr>
          <w:rFonts w:ascii="Times New Roman" w:hAnsi="Times New Roman"/>
          <w:color w:val="000000" w:themeColor="text1"/>
          <w:sz w:val="16"/>
          <w:szCs w:val="16"/>
        </w:rPr>
        <w:t>Для более точного попадания бомбы необходимо поднять на парашют. Моторы, которые мы имеем, мало надежны. Самолетные ресурсы наших моторов 100 ч, а следовательно, работать можем не более 70—80 ч. Нужны моторы с летными ресурсами не менее 300 ч. Необходимо создать транспортный самолет, особенно это диктуется условиями Дальнего Востока.</w:t>
      </w:r>
    </w:p>
    <w:p w14:paraId="0CA6D9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Фотослужбой бросили заниматься в 1930 г. Мы отстали в этой области. Особенно отстали по фотоаппаратуре, пленкам, бумаге и др. За это надо ругать нас — авиаторов, Генштаб и командующих округов.</w:t>
      </w:r>
    </w:p>
    <w:p w14:paraId="77F2BE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Шапошников: </w:t>
      </w:r>
      <w:r w:rsidRPr="00DB5D0D">
        <w:rPr>
          <w:rFonts w:ascii="Times New Roman" w:hAnsi="Times New Roman"/>
          <w:color w:val="000000" w:themeColor="text1"/>
          <w:sz w:val="16"/>
          <w:szCs w:val="16"/>
        </w:rPr>
        <w:t>300 самолетов сделали снимки, а ничего разобрать нельзя. Плохо освоили это дело.</w:t>
      </w:r>
    </w:p>
    <w:p w14:paraId="369607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Рычагов: </w:t>
      </w:r>
      <w:r w:rsidRPr="00DB5D0D">
        <w:rPr>
          <w:rFonts w:ascii="Times New Roman" w:hAnsi="Times New Roman"/>
          <w:color w:val="000000" w:themeColor="text1"/>
          <w:sz w:val="16"/>
          <w:szCs w:val="16"/>
        </w:rPr>
        <w:t>Я принимаю часть вины на себя. В предложениях подкомиссии ВВС мы просили помочь нам в деле организации фотограмм-службы, но т. Кулик и смотреть не стал на этот раздел предложений.</w:t>
      </w:r>
    </w:p>
    <w:p w14:paraId="349896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Генштаб разведчиками и фотослужбой не занимался. Нужно, т. Шапошников, наладить это дело.</w:t>
      </w:r>
    </w:p>
    <w:p w14:paraId="5CDA0D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Птухин: </w:t>
      </w:r>
      <w:r w:rsidRPr="00DB5D0D">
        <w:rPr>
          <w:rFonts w:ascii="Times New Roman" w:hAnsi="Times New Roman"/>
          <w:color w:val="000000" w:themeColor="text1"/>
          <w:sz w:val="16"/>
          <w:szCs w:val="16"/>
        </w:rPr>
        <w:t>Самолеты типа СБ и ДБ по качеству не уступают иностранным. Но эти самолеты не живучи, уязвимы. Два года тому назад т. Сталиным перед конструкторами была поставлена задача — устранить этот недочет. У нас неправильно используют авиацию, заставляют летать на неположенной высоте и дают неправильные маршруты.</w:t>
      </w:r>
    </w:p>
    <w:p w14:paraId="3452EA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Тов. Птухин, ведь Вы квалифицированный командующий ВВС округа, и Вы должны были влиять, учить войсковых командиров, подсказывать им и требовать. А ведь в практике авиаторы как делали — летали в одни и те же ворота, в результате сбивали много наших самолетов. Пришлось вмешаться Главному командованию и издать специальную директиву о запрещении летать через одни и те же ворота.</w:t>
      </w:r>
    </w:p>
    <w:p w14:paraId="6BF607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Птухин: </w:t>
      </w:r>
      <w:r w:rsidRPr="00DB5D0D">
        <w:rPr>
          <w:rFonts w:ascii="Times New Roman" w:hAnsi="Times New Roman"/>
          <w:color w:val="000000" w:themeColor="text1"/>
          <w:sz w:val="16"/>
          <w:szCs w:val="16"/>
        </w:rPr>
        <w:t>Мы летали на не надлежащей высоте потому, что не было летной погоды. Дело не в воротах, а в высоте, обороне и маршруте. Нам нужно иметь дальний бомбардировщик с дальностью 4—5 тысяч км с бомбовой нагрузкой до 2000 кг. Сила бомбардировщика в обороне и живучести. ДБ-3 имеет 14 баков в плоскостях, которые не проектированы. В результате за 1,5 минуты было сбито 7 наших самолетов (загорелись). Неверно проектируются машины, когда плоскости с баками. Я предлагаю баки спрятать в фюзеляж, а бомбы складывать во внутрь плоскостей. ДБ должен иметь пушки. У наших бомбардировщиков много мертвых конусов, финны подходили под углом 10° и били до тех пор, пока самолет не загорался.</w:t>
      </w:r>
    </w:p>
    <w:p w14:paraId="588A43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Почему никто ничего не скажет о машине Беляева?</w:t>
      </w:r>
      <w:r w:rsidRPr="00DB5D0D">
        <w:rPr>
          <w:rFonts w:ascii="Times New Roman" w:hAnsi="Times New Roman"/>
          <w:color w:val="000000" w:themeColor="text1"/>
          <w:sz w:val="16"/>
          <w:szCs w:val="16"/>
          <w:vertAlign w:val="superscript"/>
        </w:rPr>
        <w:t>54</w:t>
      </w:r>
      <w:r w:rsidRPr="00DB5D0D">
        <w:rPr>
          <w:rFonts w:ascii="Times New Roman" w:hAnsi="Times New Roman"/>
          <w:color w:val="000000" w:themeColor="text1"/>
          <w:sz w:val="16"/>
          <w:szCs w:val="16"/>
        </w:rPr>
        <w:t xml:space="preserve"> Эта машина весьма оригинальная. Нужно ее посмотреть. Единственный инженер Самарин любит ее и изучает уже три года, а наши командиры-авиаторы не помогают ему. Замечательная машина. Скорость, потолок, нагрузка, оборона — хорошие, эту машину сконструировал некто профессор Беляев, нужно ее скорее довести.</w:t>
      </w:r>
    </w:p>
    <w:p w14:paraId="4B4B0C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Птухин: </w:t>
      </w:r>
      <w:r w:rsidRPr="00DB5D0D">
        <w:rPr>
          <w:rFonts w:ascii="Times New Roman" w:hAnsi="Times New Roman"/>
          <w:color w:val="000000" w:themeColor="text1"/>
          <w:sz w:val="16"/>
          <w:szCs w:val="16"/>
        </w:rPr>
        <w:t>Нужна подвижная башня. На дальний бомбардировщик нужно 4 чел. Средний бомбардировок нужен типа СБ, только необходимо увеличить скорость. Нужен одномоторный небольшой бомбардировщик, который одновременно может быть и разведчиком. Мы испытывали ДБ-3 как пикирующий самолет, но он не годится, громоздок в управлении.</w:t>
      </w:r>
    </w:p>
    <w:p w14:paraId="192067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Шахурин, нарком авиапромышленности: </w:t>
      </w:r>
      <w:r w:rsidRPr="00DB5D0D">
        <w:rPr>
          <w:rFonts w:ascii="Times New Roman" w:hAnsi="Times New Roman"/>
          <w:color w:val="000000" w:themeColor="text1"/>
          <w:sz w:val="16"/>
          <w:szCs w:val="16"/>
        </w:rPr>
        <w:t>Мы в серийной продукции отстали и по скорости и по типу. Этим вопросам серьезно занимался ЦК ВКП(б). Два месяца проверяли производство самолетов и моторов. Сейчас приняты решительные меры Центральным комитетом и Правительством и лично т. Сталиным</w:t>
      </w:r>
      <w:r w:rsidRPr="00DB5D0D">
        <w:rPr>
          <w:rFonts w:ascii="Times New Roman" w:hAnsi="Times New Roman"/>
          <w:color w:val="000000" w:themeColor="text1"/>
          <w:sz w:val="16"/>
          <w:szCs w:val="16"/>
          <w:vertAlign w:val="superscript"/>
        </w:rPr>
        <w:t>55</w:t>
      </w:r>
      <w:r w:rsidRPr="00DB5D0D">
        <w:rPr>
          <w:rFonts w:ascii="Times New Roman" w:hAnsi="Times New Roman"/>
          <w:color w:val="000000" w:themeColor="text1"/>
          <w:sz w:val="16"/>
          <w:szCs w:val="16"/>
        </w:rPr>
        <w:t>. Сейчас даже некоторые конструктора заболели.</w:t>
      </w:r>
    </w:p>
    <w:p w14:paraId="0B3386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Кулик плохо разбирается в авиации. Как видно, не следит за постановлениями ЦК и Правительства. Разговоры о том, что нас тянут конструктора, что существует феодализм, вакханалия в создании самолетов — неправильные. Нужно всемерно развивать опытное строительство.</w:t>
      </w:r>
    </w:p>
    <w:p w14:paraId="52AA1A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А конструктора все-таки зажирели.</w:t>
      </w:r>
    </w:p>
    <w:p w14:paraId="62CA7D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Не заболели конструктора, а саботажничают.</w:t>
      </w:r>
    </w:p>
    <w:p w14:paraId="0D433A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Шахурин: </w:t>
      </w:r>
      <w:r w:rsidRPr="00DB5D0D">
        <w:rPr>
          <w:rFonts w:ascii="Times New Roman" w:hAnsi="Times New Roman"/>
          <w:color w:val="000000" w:themeColor="text1"/>
          <w:sz w:val="16"/>
          <w:szCs w:val="16"/>
        </w:rPr>
        <w:t>Поликарпова, Архангельского и Ильюшина перехвалили. Между отдельными конструкторами и летчиками существовала спайка, которая мешала двигать вперед самолетостроение. Нет ни одного дня, чтобы т. Сталин не занимался авиацией.</w:t>
      </w:r>
    </w:p>
    <w:p w14:paraId="6714CC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Сколько времени М. Каганович обманывал т. Сталина о моторах. Боюсь, что и сейчас некоторые товарищи этим не занялись.</w:t>
      </w:r>
    </w:p>
    <w:p w14:paraId="23FC9E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Шахурин: </w:t>
      </w:r>
      <w:r w:rsidRPr="00DB5D0D">
        <w:rPr>
          <w:rFonts w:ascii="Times New Roman" w:hAnsi="Times New Roman"/>
          <w:color w:val="000000" w:themeColor="text1"/>
          <w:sz w:val="16"/>
          <w:szCs w:val="16"/>
        </w:rPr>
        <w:t>Сейчас Центральный комитет вынес 34 решения по типам самолетов и принял меры по устранению целого ряда недочетов. Было так, что чем дольше испытывалась машина, тем было выгоднее экономически летчику. Машину строили полтора месяца, а испытывали два года. В результате машина старела. Помогите нам отобрать из имеющихся опытных машин наилучшие образцы. Нам желательно знать, какие из этих машин поставите на вооружение. Сейчас уже имеются все данные, чтобы вести разговоры на этот счет. Тов. Локтионов, выступая, ничего не сказал, нужно строить или нет машину Суркова.</w:t>
      </w:r>
    </w:p>
    <w:p w14:paraId="2D5C61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Локтионов: </w:t>
      </w:r>
      <w:r w:rsidRPr="00DB5D0D">
        <w:rPr>
          <w:rFonts w:ascii="Times New Roman" w:hAnsi="Times New Roman"/>
          <w:color w:val="000000" w:themeColor="text1"/>
          <w:sz w:val="16"/>
          <w:szCs w:val="16"/>
        </w:rPr>
        <w:t>Нужно строить.</w:t>
      </w:r>
    </w:p>
    <w:p w14:paraId="4C087A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Шахурин: </w:t>
      </w:r>
      <w:r w:rsidRPr="00DB5D0D">
        <w:rPr>
          <w:rFonts w:ascii="Times New Roman" w:hAnsi="Times New Roman"/>
          <w:color w:val="000000" w:themeColor="text1"/>
          <w:sz w:val="16"/>
          <w:szCs w:val="16"/>
        </w:rPr>
        <w:t>Опытный образец пикирующей машины есть — Б-22*, скорость 560, бомбовая нагрузка 400 кг. Есть смысл работать над этой машиной с мотором М-105. Сейчас ведутся испытания ее. Радиус действия будет не менее 500 км. По-моему, такая машина нужна. Складывается мнение, что ДБ-3 не нужно принимать.</w:t>
      </w:r>
    </w:p>
    <w:p w14:paraId="7C4E60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Эта машина с мотором М-87 давала скорость 447 км/ч, поставили мотор М-88, стала давать 425, а должна давать 480 км/ч. Принимать такую машину не можем. Вы — молодой нарком, а действуете, как старик. Мы машин, не выдерживающих наших требований, не принимаем.</w:t>
      </w:r>
    </w:p>
    <w:p w14:paraId="65E175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Шахурин: </w:t>
      </w:r>
      <w:r w:rsidRPr="00DB5D0D">
        <w:rPr>
          <w:rFonts w:ascii="Times New Roman" w:hAnsi="Times New Roman"/>
          <w:color w:val="000000" w:themeColor="text1"/>
          <w:sz w:val="16"/>
          <w:szCs w:val="16"/>
        </w:rPr>
        <w:t>Машина ДБ-3 не та, что должна быть, но совсем отказываться нельзя. Дальний бомбардировщик нужно строить по типу ермолаевской машины, она берет 2 т бомб вовнутрь, и, кроме того, есть перспектива, что эту машину можно будет вывести на дизель. Беляевская машина у земли дает скорость 385 км/ч, на высоте должна дать 480 км/ч — это с мотором М-87. С мотором М-88 может дать 520. Дальность 4000 км, может принять любое вооружение — пулеметы и пушка.</w:t>
      </w:r>
    </w:p>
    <w:p w14:paraId="157780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Круговая оборона. </w:t>
      </w:r>
      <w:r w:rsidRPr="00DB5D0D">
        <w:rPr>
          <w:rFonts w:ascii="Times New Roman" w:hAnsi="Times New Roman"/>
          <w:color w:val="000000" w:themeColor="text1"/>
          <w:sz w:val="16"/>
          <w:szCs w:val="16"/>
        </w:rPr>
        <w:t>ТБ-7 — т. Сталин говорит, что нам нужна такая машина, чтобы она была и транспортная, и бомбардировщик. Эту машину нужно поставить. Нам нужна линия военных товарищей, чтобы они предъявляли требования. Я просил т. Алексеева собрать ТБ-7 15 штук, которые были сделаны, он согласился на сборку только 7.</w:t>
      </w:r>
    </w:p>
    <w:p w14:paraId="247B9E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НКО нет требований по аппаратуре. Моторы наши имеют срок службы в два раза меньше, чем за границей. До сих пор завод был не заинтересован в удлинении срока службы. Нужно заинтересовать заводы и наших авиаторов за" больший срок службы моторов. Тов. Ворошилов целиком прав, когда говорит, что наша задача выбрать лучшее из имеющихся образцов.</w:t>
      </w:r>
    </w:p>
    <w:p w14:paraId="3586E6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Оглашает целый ряд решений ЦК ВКП(б) и Правительства по опытному самолетостроению и далее говорит </w:t>
      </w:r>
      <w:r w:rsidRPr="00DB5D0D">
        <w:rPr>
          <w:rFonts w:ascii="Times New Roman" w:hAnsi="Times New Roman"/>
          <w:color w:val="000000" w:themeColor="text1"/>
          <w:sz w:val="16"/>
          <w:szCs w:val="16"/>
        </w:rPr>
        <w:t>— наличие большого количества образцов самолетов нельзя называть вакханалией, мы сейчас имеем огромное количество машин, которые сделаны по нашим тактико-техническим данным, и это хорошо.</w:t>
      </w:r>
    </w:p>
    <w:p w14:paraId="13467F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Диапазона бомб и кассет у нас нет.</w:t>
      </w:r>
    </w:p>
    <w:p w14:paraId="128E27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Локтионов: </w:t>
      </w:r>
      <w:r w:rsidRPr="00DB5D0D">
        <w:rPr>
          <w:rFonts w:ascii="Times New Roman" w:hAnsi="Times New Roman"/>
          <w:color w:val="000000" w:themeColor="text1"/>
          <w:sz w:val="16"/>
          <w:szCs w:val="16"/>
        </w:rPr>
        <w:t>Тов. Кулик видел польский самолет «Лодзь», на котором кассеты отработаны лучше, чем наши, и на этом основании делает вывод, что у нас кассет нет.</w:t>
      </w:r>
    </w:p>
    <w:p w14:paraId="7282D0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Смушкевич: </w:t>
      </w:r>
      <w:r w:rsidRPr="00DB5D0D">
        <w:rPr>
          <w:rFonts w:ascii="Times New Roman" w:hAnsi="Times New Roman"/>
          <w:color w:val="000000" w:themeColor="text1"/>
          <w:sz w:val="16"/>
          <w:szCs w:val="16"/>
        </w:rPr>
        <w:t>В 1937 г. на основании опыта войны в Испании были разработаны шесть кассет и поставлены на самолет СБ. С1938 г. все самолеты выходят с этими кассетами. Сейчас мы можем иметь на самолете бомбы в любой комбинации. Кроме того, у нас есть еще РАБы, которые также позволяют сбрасывать бомбы в любой комбинации. Все наши бомбардировщики имеют прицелы для сбрасывания бомб, поэтому утверждение т. Кулика, что у нас нет прицелов, неправильно.</w:t>
      </w:r>
    </w:p>
    <w:p w14:paraId="1F7C29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Мне нужно, чтобы можно было [бы] действовать прицельно, а вы бомбите без всякого прицеливания.</w:t>
      </w:r>
    </w:p>
    <w:p w14:paraId="79589B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Воронин, зам. народного комиссара авиапромышленности: </w:t>
      </w:r>
      <w:r w:rsidRPr="00DB5D0D">
        <w:rPr>
          <w:rFonts w:ascii="Times New Roman" w:hAnsi="Times New Roman"/>
          <w:color w:val="000000" w:themeColor="text1"/>
          <w:sz w:val="16"/>
          <w:szCs w:val="16"/>
        </w:rPr>
        <w:t>Мне кажется, не к лицу т. Кулику не знать авиацию.</w:t>
      </w:r>
    </w:p>
    <w:p w14:paraId="573F73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Алексеев: </w:t>
      </w:r>
      <w:r w:rsidRPr="00DB5D0D">
        <w:rPr>
          <w:rFonts w:ascii="Times New Roman" w:hAnsi="Times New Roman"/>
          <w:color w:val="000000" w:themeColor="text1"/>
          <w:sz w:val="16"/>
          <w:szCs w:val="16"/>
        </w:rPr>
        <w:t>Бомбардировщик нам нужен такой, который бы имел хорошую скорость и высоту. Нам нужны пикирующие бомбардировщики. Общевойсковые командиры должны ставить задачи умело, а не так, как было в 7 армии. Тов. Птухину была поставлена задача — бомбить объект в удалении 305 км, на выполнение которой отводился всего лишь один час.</w:t>
      </w:r>
    </w:p>
    <w:p w14:paraId="384070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Фотограмм-служба забыта, она должна быть возглавлена Генштабом и войсковыми штабами. Мы имеем хорошие фотоаппараты, рассчитанные на существующие скорости. Нужно наладить хранение фотобумаги.</w:t>
      </w:r>
    </w:p>
    <w:p w14:paraId="1B35BD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Штурмовая авиация. </w:t>
      </w:r>
      <w:r w:rsidRPr="00DB5D0D">
        <w:rPr>
          <w:rFonts w:ascii="Times New Roman" w:hAnsi="Times New Roman"/>
          <w:color w:val="000000" w:themeColor="text1"/>
          <w:sz w:val="16"/>
          <w:szCs w:val="16"/>
        </w:rPr>
        <w:t>Штурмового самолета мы не имеем. Р-5 устарел. Сейчас закончили испытание самолета Ильюшина, который дает скорость 360 км/ч, дальность 700 км, бомбовая нагрузка 400 кг, вооружение — один пулемет ШКАС. Строится самолет со скоростью 730 км/ч. На ближайшее время необходимо допустить вооружение штурмовой авиации самолетом И-15 БИС, впредь до введения на вооружение самолета Ильюшина.</w:t>
      </w:r>
    </w:p>
    <w:p w14:paraId="77BA59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Разведчики. </w:t>
      </w:r>
      <w:r w:rsidRPr="00DB5D0D">
        <w:rPr>
          <w:rFonts w:ascii="Times New Roman" w:hAnsi="Times New Roman"/>
          <w:color w:val="000000" w:themeColor="text1"/>
          <w:sz w:val="16"/>
          <w:szCs w:val="16"/>
        </w:rPr>
        <w:t>Разведчика мы также не имеем. Р-5 устарел, «ССС», Р-3, Р-10 с производства сняты. Нужен разведчик с большой скоростью, с хорошим вооружением, средствами связи и фото. Сейчас намечен разведчиком самолет Яковлева, который дает скорость 550—560 км/ч. Впредь до построения специального самолета нужно принять в качестве разведчика самолет СБ, и для ближней разведки самолет истребительного типа, вооруженный фотоаппаратом. Фотоаппарат, который можно установить на истребителе, уже имеется.</w:t>
      </w:r>
    </w:p>
    <w:p w14:paraId="4319EA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lastRenderedPageBreak/>
        <w:t xml:space="preserve">Спецсамолеты. </w:t>
      </w:r>
      <w:r w:rsidRPr="00DB5D0D">
        <w:rPr>
          <w:rFonts w:ascii="Times New Roman" w:hAnsi="Times New Roman"/>
          <w:color w:val="000000" w:themeColor="text1"/>
          <w:sz w:val="16"/>
          <w:szCs w:val="16"/>
        </w:rPr>
        <w:t>Корректировщика также не имеем. Артиллеристы не настаивали на скорейшем создании такого самолета. Есть автожир, но он не удовлетворяет современным требованиям. Необходимо заказать специальный корректировщик. Тактико-технические требования начальником артиллерии [Красной Армии] разработаны, а пока придется принять СБ.</w:t>
      </w:r>
    </w:p>
    <w:p w14:paraId="543739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Самолетом связи служит У-2, скорость 130—137 км/ч, сейчас мы привезли из Германии самолет «Аист», посадочная скорость которого 35 км/ч. Нам необходимо по типу этого самолета изготовить свой самолет под мотор МБ-6.</w:t>
      </w:r>
    </w:p>
    <w:p w14:paraId="65B00F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Санитарных самолетов нам нужно иметь два типа: один связного типа и второй — большой для эвакуации раненых. Сейчас выпускается «Дуглас», который может быть использован для санэвакуации.</w:t>
      </w:r>
    </w:p>
    <w:p w14:paraId="2E4554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нам необходимо создать самолет многоцелевого назначения и как транспортный, и как ночной бомбардировщик. Имеющийся старый ТБ-3 нас не удовлетворяет. «Дуглас» использовать как санитарный, как транспортный и как бомбардировщик, нельзя, поэтому необходимо заказать промышленности самолет многоцелевого назначения от двух до четырех моторов.</w:t>
      </w:r>
    </w:p>
    <w:p w14:paraId="34C2D0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У нас этих спецмашин сейчас нет, но в течение последних трех лет этим машинам уделялось внимание и промышленность над этими заданиями работает. Нужно скорее создать эти самолеты.</w:t>
      </w:r>
    </w:p>
    <w:p w14:paraId="30B543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Алексеев: О моторах. </w:t>
      </w:r>
      <w:r w:rsidRPr="00DB5D0D">
        <w:rPr>
          <w:rFonts w:ascii="Times New Roman" w:hAnsi="Times New Roman"/>
          <w:color w:val="000000" w:themeColor="text1"/>
          <w:sz w:val="16"/>
          <w:szCs w:val="16"/>
        </w:rPr>
        <w:t>Мы сильно отстали в моторостроении. На сегодня имеем:</w:t>
      </w:r>
    </w:p>
    <w:p w14:paraId="34F0C3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M-103, 960 л/с, срок службы 200 ч, лучший по качеству из всех существующих.</w:t>
      </w:r>
    </w:p>
    <w:p w14:paraId="137B30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М-105, 1050 л/с, вес 510 кг, расход горючего 270—210 грамм*. Этот мотор требует доводки.</w:t>
      </w:r>
    </w:p>
    <w:p w14:paraId="7809BB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М-62, М-63 не доведены, имеют заклинивание валов.</w:t>
      </w:r>
    </w:p>
    <w:p w14:paraId="287456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М-88, 1100 л/с, неполноценный, моторные заводы не занимаются понастоящему. Заводы не имеют высотных камер, агрегатные заводы плохо работают.</w:t>
      </w:r>
    </w:p>
    <w:p w14:paraId="121D69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 перспективе М-120, М-71, М-81.</w:t>
      </w:r>
    </w:p>
    <w:p w14:paraId="0D72CE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М-34, М-35а не удовлетворяют.</w:t>
      </w:r>
    </w:p>
    <w:p w14:paraId="0869CD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Плохо дело обстоит с агрегатами, с карбюраторами, свечами. Опытные машины не обеспечены винтами. Нужно расширить серийное производство винтов. Нам необходимо подумать о переводе самолетов на автомобильный двигатель.</w:t>
      </w:r>
    </w:p>
    <w:p w14:paraId="5E0F23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С моторами вопрос сложный, они нас режут.</w:t>
      </w:r>
    </w:p>
    <w:p w14:paraId="05D928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Шахурин: </w:t>
      </w:r>
      <w:r w:rsidRPr="00DB5D0D">
        <w:rPr>
          <w:rFonts w:ascii="Times New Roman" w:hAnsi="Times New Roman"/>
          <w:color w:val="000000" w:themeColor="text1"/>
          <w:sz w:val="16"/>
          <w:szCs w:val="16"/>
        </w:rPr>
        <w:t>Все новые самолеты основаны на новых моторах, поэтому нужны моторы, чтобы новые самолеты могли быть пущены в серийное производство. Нам придется крепко заняться моторами и агрегатами. М-105 прошел государственные испытания, значит, этот мотор есть, но он имеет еще недоделки. Недоработано давление масла на высоте. Сейчас на заводах оборудованы аэродромы для испытания моторов. М-37 отрабатывается. М-120 проходит первую стадию испытаний. К-90 тоже.</w:t>
      </w:r>
    </w:p>
    <w:p w14:paraId="76F473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имеется заместитель наркома авиапромышленности по моторостроению. Думаем, что это дело вытянем. Перед директорами серийных заводов поставлена задача заниматься опытными работами по моторам.</w:t>
      </w:r>
    </w:p>
    <w:p w14:paraId="1B0942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указанию т. Сталина созданы два управления — Управление опытного моторостроения и Управление опытного самолетостроения. Управления укомплектованы хорошими работниками. Надеемся, что эти мероприятия двинут опытные работы как с моторами, так и с самолетами. Сейчас расширяется база по строительству жидкостных моторов.</w:t>
      </w:r>
    </w:p>
    <w:p w14:paraId="4D537E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Левин: </w:t>
      </w:r>
      <w:r w:rsidRPr="00DB5D0D">
        <w:rPr>
          <w:rFonts w:ascii="Times New Roman" w:hAnsi="Times New Roman"/>
          <w:color w:val="000000" w:themeColor="text1"/>
          <w:sz w:val="16"/>
          <w:szCs w:val="16"/>
        </w:rPr>
        <w:t>М-63 не доведен, имеет заклинивание. М-88 тоже имеет дефекты. М-105, хотя госиспытания прошел, но еще не отработан вопрос с давлением масла на высотах, и не в порядке карбюратор.</w:t>
      </w:r>
    </w:p>
    <w:p w14:paraId="1725BC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Если госиспытания М-105 прошел, значит, мотор есть. Мне непонятно, почему же он имеет дефекты.</w:t>
      </w:r>
    </w:p>
    <w:p w14:paraId="1DBFDD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Левин: </w:t>
      </w:r>
      <w:r w:rsidRPr="00DB5D0D">
        <w:rPr>
          <w:rFonts w:ascii="Times New Roman" w:hAnsi="Times New Roman"/>
          <w:color w:val="000000" w:themeColor="text1"/>
          <w:sz w:val="16"/>
          <w:szCs w:val="16"/>
        </w:rPr>
        <w:t>М-88 и М-105 прошли станковые государственные испытания, но летных испытаний не проходили, а потому сейчас испытания в воздухе, вполне естественно выявляются указанные выше дефекты.</w:t>
      </w:r>
    </w:p>
    <w:p w14:paraId="64A1FE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Я предлагаю для подработки предложений по системе авиавооружения дополнить выбранную нами комиссию тт. Левина, Филина и Сакриер. По вооружению самолетов мы говорили одновременно, когда разбирали отдельные типы самолетов, и, поскольку, не было возражений по существующему вооружению самолетов, то комиссия в своей работе учтет это, а самостоятельно заниматься этим вопросом сейчас нам не следует.</w:t>
      </w:r>
    </w:p>
    <w:p w14:paraId="35B8BC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Может быть, от Генштаба кого-нибудь включите в комиссию, Борис Михайлович?</w:t>
      </w:r>
    </w:p>
    <w:p w14:paraId="0B3336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Шапошников: </w:t>
      </w:r>
      <w:r w:rsidRPr="00DB5D0D">
        <w:rPr>
          <w:rFonts w:ascii="Times New Roman" w:hAnsi="Times New Roman"/>
          <w:color w:val="000000" w:themeColor="text1"/>
          <w:sz w:val="16"/>
          <w:szCs w:val="16"/>
        </w:rPr>
        <w:t>Я предлагаю от Генштаба включить т. Ермолина.</w:t>
      </w:r>
    </w:p>
    <w:p w14:paraId="46AE0F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Возражений нет?</w:t>
      </w:r>
    </w:p>
    <w:p w14:paraId="1E9D4A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т. Ворошилова принимается, и в комиссию включается тт. Левин, Филин, Сакриер и Ермолин.</w:t>
      </w:r>
    </w:p>
    <w:p w14:paraId="13512E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этом заседание прерывается до 19.00.*</w:t>
      </w:r>
    </w:p>
    <w:p w14:paraId="2C834F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34891. Оп. 1. Д. 9. Л. 13-31. Подлинник (11773).</w:t>
      </w:r>
    </w:p>
    <w:p w14:paraId="44866F87"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747162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 (утреннее заседание) Протокол № 6 пленарного заседания комиссии ГВС</w:t>
      </w:r>
    </w:p>
    <w:p w14:paraId="3CCDC4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 :</w:t>
      </w:r>
    </w:p>
    <w:p w14:paraId="3D011D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  Члены комиссии: </w:t>
      </w:r>
      <w:r w:rsidRPr="00DB5D0D">
        <w:rPr>
          <w:rFonts w:ascii="Times New Roman" w:hAnsi="Times New Roman"/>
          <w:color w:val="000000" w:themeColor="text1"/>
          <w:sz w:val="16"/>
          <w:szCs w:val="16"/>
        </w:rPr>
        <w:t>тт. Ворошилов (председатель), Кулик, Мехлис, Шапошников, Мерецков, Штерн, Курдюмов, Смородинов, Павлов, Смушкевич, Запорожец, Рычагов, Птухин, Найденов, Щаденко, Воронов, Злобин, Кирпонос, Козлов, Хренов, Ковалев.</w:t>
      </w:r>
    </w:p>
    <w:p w14:paraId="6EE193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 Приглашенные: </w:t>
      </w:r>
      <w:r w:rsidRPr="00DB5D0D">
        <w:rPr>
          <w:rFonts w:ascii="Times New Roman" w:hAnsi="Times New Roman"/>
          <w:color w:val="000000" w:themeColor="text1"/>
          <w:sz w:val="16"/>
          <w:szCs w:val="16"/>
        </w:rPr>
        <w:t>тт. Локтионов, Байков, Засосов, Репин, Сакриер, Борисов, Склизков, Спассков, Найденов, Мельников, Дмитриев, Савченко, Лебедев, Михальчук, Алексеев, Князев, Куликов, Котов, Ермолин, Толмачев, Антонюк, Поляков, Мышков, Пугачев, Мелкишев, Муравьев, Захаров, Проскуров, Гусев, Агальцов, Арженухин, Воронин, Шахурин, Бирюков, Городовиков, Барсуков (НКВ), Снегов, Лебедев, Полянский, Степанов.</w:t>
      </w:r>
    </w:p>
    <w:p w14:paraId="5EDBAE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Слушали: Продолжение доклада </w:t>
      </w:r>
      <w:r w:rsidRPr="00DB5D0D">
        <w:rPr>
          <w:rFonts w:ascii="Times New Roman" w:hAnsi="Times New Roman"/>
          <w:color w:val="000000" w:themeColor="text1"/>
          <w:sz w:val="16"/>
          <w:szCs w:val="16"/>
        </w:rPr>
        <w:t xml:space="preserve">начальника ГУАС Красной Армии комдива т. Алексеева </w:t>
      </w:r>
      <w:r w:rsidRPr="00DB5D0D">
        <w:rPr>
          <w:rFonts w:ascii="Times New Roman" w:hAnsi="Times New Roman"/>
          <w:iCs/>
          <w:color w:val="000000" w:themeColor="text1"/>
          <w:sz w:val="16"/>
          <w:szCs w:val="16"/>
        </w:rPr>
        <w:t xml:space="preserve">о системе авиационного вооружения </w:t>
      </w:r>
      <w:r w:rsidRPr="00DB5D0D">
        <w:rPr>
          <w:rFonts w:ascii="Times New Roman" w:hAnsi="Times New Roman"/>
          <w:color w:val="000000" w:themeColor="text1"/>
          <w:sz w:val="16"/>
          <w:szCs w:val="16"/>
        </w:rPr>
        <w:t>(по бомбардировочной, штурмовой, разведывательной авиации) по авиамоторам, авиасвечам, авиавинтам и по специальным (санитарным и др.) самолетам.</w:t>
      </w:r>
    </w:p>
    <w:p w14:paraId="2CC949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1) Дополнить комиссию т. Кулика по разработке предложений по системе авиационного вооружения следующими товарищами: тт. Левин, Филин, Сакриер, Ермолин.</w:t>
      </w:r>
    </w:p>
    <w:p w14:paraId="411DB8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Вопрос об аэростатах обсудить отдельно.</w:t>
      </w:r>
    </w:p>
    <w:p w14:paraId="2C421A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Вечернее заседание назначить на 19.00.</w:t>
      </w:r>
    </w:p>
    <w:p w14:paraId="7F05BB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Председатель [комиссии] </w:t>
      </w:r>
      <w:r w:rsidRPr="00DB5D0D">
        <w:rPr>
          <w:rFonts w:ascii="Times New Roman" w:hAnsi="Times New Roman"/>
          <w:iCs/>
          <w:color w:val="000000" w:themeColor="text1"/>
          <w:sz w:val="16"/>
          <w:szCs w:val="16"/>
        </w:rPr>
        <w:t xml:space="preserve">(К. Ворошилов)" </w:t>
      </w:r>
      <w:r w:rsidRPr="00DB5D0D">
        <w:rPr>
          <w:rFonts w:ascii="Times New Roman" w:hAnsi="Times New Roman"/>
          <w:color w:val="000000" w:themeColor="text1"/>
          <w:sz w:val="16"/>
          <w:szCs w:val="16"/>
        </w:rPr>
        <w:t>РГВА. Ф. 4. Оп. 14. Д. 2736. Л. 19. Подлинник (11773).</w:t>
      </w:r>
    </w:p>
    <w:p w14:paraId="19F641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743CF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 (утреннее заседание) Протокол № 6 пленарного заседания комиссии ГВС</w:t>
      </w:r>
    </w:p>
    <w:p w14:paraId="1F8934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 :</w:t>
      </w:r>
    </w:p>
    <w:p w14:paraId="6DA006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  Члены комиссии: </w:t>
      </w:r>
      <w:r w:rsidRPr="00DB5D0D">
        <w:rPr>
          <w:rFonts w:ascii="Times New Roman" w:hAnsi="Times New Roman"/>
          <w:color w:val="000000" w:themeColor="text1"/>
          <w:sz w:val="16"/>
          <w:szCs w:val="16"/>
        </w:rPr>
        <w:t>тт. Ворошилов (председатель), Кулик, Мехлис, Шапошников, Мерецков, Штерн, Курдюмов, Смородинов, Павлов, Смушкевич, Запорожец, Рычагов, Птухин, Найденов, Щаденко, Воронов, Злобин, Кирпонос, Козлов, Хренов, Ковалев.</w:t>
      </w:r>
    </w:p>
    <w:p w14:paraId="2F2D47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 Приглашенные: </w:t>
      </w:r>
      <w:r w:rsidRPr="00DB5D0D">
        <w:rPr>
          <w:rFonts w:ascii="Times New Roman" w:hAnsi="Times New Roman"/>
          <w:color w:val="000000" w:themeColor="text1"/>
          <w:sz w:val="16"/>
          <w:szCs w:val="16"/>
        </w:rPr>
        <w:t>тт. Локтионов, Байков, Засосов, Репин, Сакриер, Борисов, Склизков, Спассков, Найденов, Мельников, Дмитриев, Савченко, Лебедев, Михальчук, Алексеев, Князев, Куликов, Котов, Ермолин, Толмачев, Антонюк, Поляков, Мышков, Пугачев, Мелкишев, Муравьев, Захаров, Проскуров, Гусев, Агальцов, Арженухин, Воронин, Шахурин, Бирюков, Городовиков, Барсуков (НКВ), Снегов, Лебедев, Полянский, Степанов.</w:t>
      </w:r>
    </w:p>
    <w:p w14:paraId="771C26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Слушали: Продолжение доклада </w:t>
      </w:r>
      <w:r w:rsidRPr="00DB5D0D">
        <w:rPr>
          <w:rFonts w:ascii="Times New Roman" w:hAnsi="Times New Roman"/>
          <w:color w:val="000000" w:themeColor="text1"/>
          <w:sz w:val="16"/>
          <w:szCs w:val="16"/>
        </w:rPr>
        <w:t xml:space="preserve">начальника ГУАС Красной Армии комдива т. Алексеева </w:t>
      </w:r>
      <w:r w:rsidRPr="00DB5D0D">
        <w:rPr>
          <w:rFonts w:ascii="Times New Roman" w:hAnsi="Times New Roman"/>
          <w:iCs/>
          <w:color w:val="000000" w:themeColor="text1"/>
          <w:sz w:val="16"/>
          <w:szCs w:val="16"/>
        </w:rPr>
        <w:t xml:space="preserve">о системе авиационного вооружения </w:t>
      </w:r>
      <w:r w:rsidRPr="00DB5D0D">
        <w:rPr>
          <w:rFonts w:ascii="Times New Roman" w:hAnsi="Times New Roman"/>
          <w:color w:val="000000" w:themeColor="text1"/>
          <w:sz w:val="16"/>
          <w:szCs w:val="16"/>
        </w:rPr>
        <w:t>(по бомбардировочной, штурмовой, разведывательной авиации) по авиамоторам, авиасвечам, авиавинтам и по специальным (санитарным и др.) самолетам.</w:t>
      </w:r>
    </w:p>
    <w:p w14:paraId="0E05AC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1) Дополнить комиссию т. Кулика по разработке предложений по системе авиационного вооружения следующими товарищами: тт. Левин, Филин, Сакриер, Ермолин.</w:t>
      </w:r>
    </w:p>
    <w:p w14:paraId="0AADB3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Вопрос об аэростатах обсудить отдельно.</w:t>
      </w:r>
    </w:p>
    <w:p w14:paraId="44C240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Вечернее заседание назначить на 19.00.</w:t>
      </w:r>
    </w:p>
    <w:p w14:paraId="6B3F5B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Председатель [комиссии] </w:t>
      </w:r>
      <w:r w:rsidRPr="00DB5D0D">
        <w:rPr>
          <w:rFonts w:ascii="Times New Roman" w:hAnsi="Times New Roman"/>
          <w:iCs/>
          <w:color w:val="000000" w:themeColor="text1"/>
          <w:sz w:val="16"/>
          <w:szCs w:val="16"/>
        </w:rPr>
        <w:t xml:space="preserve">(К. Ворошилов)" </w:t>
      </w:r>
      <w:r w:rsidRPr="00DB5D0D">
        <w:rPr>
          <w:rFonts w:ascii="Times New Roman" w:hAnsi="Times New Roman"/>
          <w:color w:val="000000" w:themeColor="text1"/>
          <w:sz w:val="16"/>
          <w:szCs w:val="16"/>
        </w:rPr>
        <w:t>РГВА. Ф. 4. Оп. 14. Д. 2736. Л. 19. Подлинник (11773).</w:t>
      </w:r>
    </w:p>
    <w:p w14:paraId="789FF8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C0DA6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 (вечернее заседание) Протокольная запись № 3 заседания комиссии ГВС</w:t>
      </w:r>
    </w:p>
    <w:p w14:paraId="22BD93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 Кулик, Мехлис, Щаденко, Локтионов, Проскуров, Шапошников, Смородинов..."</w:t>
      </w:r>
    </w:p>
    <w:p w14:paraId="5DD448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Слушали: О вооружении Красной Армии средствами связи.</w:t>
      </w:r>
    </w:p>
    <w:p w14:paraId="33DFAA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Докладывает комдив т. Найденов.</w:t>
      </w:r>
    </w:p>
    <w:p w14:paraId="269E9C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Вагонная радиостанция «1-ВФ». </w:t>
      </w:r>
      <w:r w:rsidRPr="00DB5D0D">
        <w:rPr>
          <w:rFonts w:ascii="Times New Roman" w:hAnsi="Times New Roman"/>
          <w:color w:val="000000" w:themeColor="text1"/>
          <w:sz w:val="16"/>
          <w:szCs w:val="16"/>
        </w:rPr>
        <w:t>Ставка, отдельный фронт и отдельные и отдаленные армии. Серийное производство 1930 г. Предлагаю оставить на вооружении.</w:t>
      </w:r>
    </w:p>
    <w:p w14:paraId="2DD9F9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 на вооружение.</w:t>
      </w:r>
    </w:p>
    <w:p w14:paraId="1E3C38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Вагонная радиостанция «1-Ф». </w:t>
      </w:r>
      <w:r w:rsidRPr="00DB5D0D">
        <w:rPr>
          <w:rFonts w:ascii="Times New Roman" w:hAnsi="Times New Roman"/>
          <w:color w:val="000000" w:themeColor="text1"/>
          <w:sz w:val="16"/>
          <w:szCs w:val="16"/>
        </w:rPr>
        <w:t>Ставка, отдельный фронт и отдельные и отдаленные армии. Серийное производство — 1938—39 гг. Предлагаю оставить.</w:t>
      </w:r>
    </w:p>
    <w:p w14:paraId="074DE3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w:t>
      </w:r>
    </w:p>
    <w:p w14:paraId="522CC5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r w:rsidRPr="00DB5D0D">
        <w:rPr>
          <w:rFonts w:ascii="Times New Roman" w:hAnsi="Times New Roman"/>
          <w:iCs/>
          <w:color w:val="000000" w:themeColor="text1"/>
          <w:sz w:val="16"/>
          <w:szCs w:val="16"/>
        </w:rPr>
        <w:t xml:space="preserve">Приемно-передаточная станция «3-А». </w:t>
      </w:r>
      <w:r w:rsidRPr="00DB5D0D">
        <w:rPr>
          <w:rFonts w:ascii="Times New Roman" w:hAnsi="Times New Roman"/>
          <w:color w:val="000000" w:themeColor="text1"/>
          <w:sz w:val="16"/>
          <w:szCs w:val="16"/>
        </w:rPr>
        <w:t>Радиостанция армейской сети. Серийное производство — 1928 г. Снимается с производства в 1940 г.</w:t>
      </w:r>
    </w:p>
    <w:p w14:paraId="1AAC00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Предлагаю оставить на вооружении.</w:t>
      </w:r>
    </w:p>
    <w:p w14:paraId="53AAFB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 xml:space="preserve">Радиостанция аэродромная тяжелая «PAT». </w:t>
      </w:r>
      <w:r w:rsidRPr="00DB5D0D">
        <w:rPr>
          <w:rFonts w:ascii="Times New Roman" w:hAnsi="Times New Roman"/>
          <w:color w:val="000000" w:themeColor="text1"/>
          <w:sz w:val="16"/>
          <w:szCs w:val="16"/>
        </w:rPr>
        <w:t>1) Штаба ВВС фронта, штаба авиационной армии и без тяжелой авиации. 2) Для радиосетей Главного командования (Генштаб — штаб фронта; Генштаб и отдельная армия). Серийное производство с 1938 г. Снимается с производства в 1942 г.</w:t>
      </w:r>
    </w:p>
    <w:p w14:paraId="616C16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Предлагаю оставить на вооружении. </w:t>
      </w: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w:t>
      </w:r>
    </w:p>
    <w:p w14:paraId="0AA71A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w:t>
      </w:r>
      <w:r w:rsidRPr="00DB5D0D">
        <w:rPr>
          <w:rFonts w:ascii="Times New Roman" w:hAnsi="Times New Roman"/>
          <w:iCs/>
          <w:color w:val="000000" w:themeColor="text1"/>
          <w:sz w:val="16"/>
          <w:szCs w:val="16"/>
        </w:rPr>
        <w:t xml:space="preserve">Радио передающий узел «РУК». </w:t>
      </w:r>
      <w:r w:rsidRPr="00DB5D0D">
        <w:rPr>
          <w:rFonts w:ascii="Times New Roman" w:hAnsi="Times New Roman"/>
          <w:color w:val="000000" w:themeColor="text1"/>
          <w:sz w:val="16"/>
          <w:szCs w:val="16"/>
        </w:rPr>
        <w:t>1) Армейская и корпусная радиосеть. 2) Авиационная сеть. Серийное производство — 1936 г.</w:t>
      </w:r>
    </w:p>
    <w:p w14:paraId="47A680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w:t>
      </w:r>
    </w:p>
    <w:p w14:paraId="59A764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w:t>
      </w:r>
      <w:r w:rsidRPr="00DB5D0D">
        <w:rPr>
          <w:rFonts w:ascii="Times New Roman" w:hAnsi="Times New Roman"/>
          <w:iCs/>
          <w:color w:val="000000" w:themeColor="text1"/>
          <w:sz w:val="16"/>
          <w:szCs w:val="16"/>
        </w:rPr>
        <w:t xml:space="preserve">Приемно-передающаярадиостанция «11-АК». </w:t>
      </w:r>
      <w:r w:rsidRPr="00DB5D0D">
        <w:rPr>
          <w:rFonts w:ascii="Times New Roman" w:hAnsi="Times New Roman"/>
          <w:color w:val="000000" w:themeColor="text1"/>
          <w:sz w:val="16"/>
          <w:szCs w:val="16"/>
        </w:rPr>
        <w:t>Радиостанция авиаполка, авиабригады, штаба ВВС армии, фронта, авиационной армии и отдельных авиагарнизонов. Радиостанция фронтовой сети. Серийное производство 1932 г. Снимается с производства в 1941 г.</w:t>
      </w:r>
    </w:p>
    <w:p w14:paraId="05CF24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Предлагаю оставить. </w:t>
      </w: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w:t>
      </w:r>
    </w:p>
    <w:p w14:paraId="76B399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w:t>
      </w:r>
      <w:r w:rsidRPr="00DB5D0D">
        <w:rPr>
          <w:rFonts w:ascii="Times New Roman" w:hAnsi="Times New Roman"/>
          <w:iCs/>
          <w:color w:val="000000" w:themeColor="text1"/>
          <w:sz w:val="16"/>
          <w:szCs w:val="16"/>
        </w:rPr>
        <w:t xml:space="preserve">Радиостанция фронтовой сети и аэродромная «РАФ». </w:t>
      </w:r>
      <w:r w:rsidRPr="00DB5D0D">
        <w:rPr>
          <w:rFonts w:ascii="Times New Roman" w:hAnsi="Times New Roman"/>
          <w:color w:val="000000" w:themeColor="text1"/>
          <w:sz w:val="16"/>
          <w:szCs w:val="16"/>
        </w:rPr>
        <w:t>Авиаполки, авиабригады, штабы ВВС армии, фронта, авиационной армии и отдельных авиагарнизонов. Радиостанция фронтовой сети. Серийное производство — 1939 г. Предлагаю оставить на вооружении.</w:t>
      </w:r>
    </w:p>
    <w:p w14:paraId="630231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w:t>
      </w:r>
    </w:p>
    <w:p w14:paraId="662C30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w:t>
      </w:r>
      <w:r w:rsidRPr="00DB5D0D">
        <w:rPr>
          <w:rFonts w:ascii="Times New Roman" w:hAnsi="Times New Roman"/>
          <w:iCs/>
          <w:color w:val="000000" w:themeColor="text1"/>
          <w:sz w:val="16"/>
          <w:szCs w:val="16"/>
        </w:rPr>
        <w:t xml:space="preserve">Пршмно-передающая радиостанция «5-АК-1». </w:t>
      </w:r>
      <w:r w:rsidRPr="00DB5D0D">
        <w:rPr>
          <w:rFonts w:ascii="Times New Roman" w:hAnsi="Times New Roman"/>
          <w:color w:val="000000" w:themeColor="text1"/>
          <w:sz w:val="16"/>
          <w:szCs w:val="16"/>
        </w:rPr>
        <w:t>1) Рация аэродрома эскадрильи. 2) Рация радиосети авиаполка. 3) Рация делегата связи. 4) Рация корпусной и дивизионной сети. Серийное производство 1940 г. Радиостанций «5-АК-1» имеется — 5800 штук.</w:t>
      </w:r>
    </w:p>
    <w:p w14:paraId="483EFA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Предлагаю оставить на вооружении. </w:t>
      </w: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w:t>
      </w:r>
    </w:p>
    <w:p w14:paraId="332516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w:t>
      </w:r>
      <w:r w:rsidRPr="00DB5D0D">
        <w:rPr>
          <w:rFonts w:ascii="Times New Roman" w:hAnsi="Times New Roman"/>
          <w:iCs/>
          <w:color w:val="000000" w:themeColor="text1"/>
          <w:sz w:val="16"/>
          <w:szCs w:val="16"/>
        </w:rPr>
        <w:t xml:space="preserve">Приемно-передающая радиостанция «РКР». </w:t>
      </w:r>
      <w:r w:rsidRPr="00DB5D0D">
        <w:rPr>
          <w:rFonts w:ascii="Times New Roman" w:hAnsi="Times New Roman"/>
          <w:color w:val="000000" w:themeColor="text1"/>
          <w:sz w:val="16"/>
          <w:szCs w:val="16"/>
        </w:rPr>
        <w:t>Предназначена для связи кавалерийского разъезда со штабом дивизии и полка. Серийное производство с 1936 г. Рация «РКР» перевозится на вьюках. Имеется 1200 штук. Имеются новые образцы.</w:t>
      </w:r>
    </w:p>
    <w:p w14:paraId="30CC97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с производства снять.</w:t>
      </w:r>
    </w:p>
    <w:p w14:paraId="33D6C6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 постепенно заменяя новыми.</w:t>
      </w:r>
    </w:p>
    <w:p w14:paraId="518B5F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Почему у нас не было связи между корпусом и дивизиями? Не работала на Карельском перешейке ротная станция. Плохо ее использовали. Возили в обозе.</w:t>
      </w:r>
    </w:p>
    <w:p w14:paraId="6ACCEA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Приемно-передаточная радиостанция «6-ПК». </w:t>
      </w:r>
      <w:r w:rsidRPr="00DB5D0D">
        <w:rPr>
          <w:rFonts w:ascii="Times New Roman" w:hAnsi="Times New Roman"/>
          <w:color w:val="000000" w:themeColor="text1"/>
          <w:sz w:val="16"/>
          <w:szCs w:val="16"/>
        </w:rPr>
        <w:t>Полковой и батальонной сети. Серийное производство — 1932 г. Снимается с производства 1940 г. В настоящее время имеется таких станций 18000 штук.</w:t>
      </w:r>
    </w:p>
    <w:p w14:paraId="524FD9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Станцию «6-ПК» оставить, она на ближайшие два года будет еще работать и постепенно заменяться новой.</w:t>
      </w:r>
    </w:p>
    <w:p w14:paraId="5C6083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С производства снять, оставить на вооружении и постепенно заменить новыми станциями.</w:t>
      </w:r>
    </w:p>
    <w:p w14:paraId="7DA636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Приемно-передающая радиостанция «РБ». </w:t>
      </w:r>
      <w:r w:rsidRPr="00DB5D0D">
        <w:rPr>
          <w:rFonts w:ascii="Times New Roman" w:hAnsi="Times New Roman"/>
          <w:color w:val="000000" w:themeColor="text1"/>
          <w:sz w:val="16"/>
          <w:szCs w:val="16"/>
        </w:rPr>
        <w:t>Радиостанция дивизионной и полковой сети. Серийное производство — 1939 г. В работе зарекомендовала себя хорошо. Предлагаю оставить на вооружении.</w:t>
      </w:r>
    </w:p>
    <w:p w14:paraId="6C8352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Ковалев: </w:t>
      </w:r>
      <w:r w:rsidRPr="00DB5D0D">
        <w:rPr>
          <w:rFonts w:ascii="Times New Roman" w:hAnsi="Times New Roman"/>
          <w:color w:val="000000" w:themeColor="text1"/>
          <w:sz w:val="16"/>
          <w:szCs w:val="16"/>
        </w:rPr>
        <w:t>Станция хорошая. Нет у нее транспортировки. Нужно смонтировать на автомашине, как «5-АК».</w:t>
      </w:r>
    </w:p>
    <w:p w14:paraId="04EFEE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Тов. Ковалев не прав. Вес радиостанции 22 кг, транспортировка нужна, но монтировать на машине не следует. Предлагаю оставить на вооружении.</w:t>
      </w:r>
    </w:p>
    <w:p w14:paraId="039E8C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 на вооружении.</w:t>
      </w:r>
    </w:p>
    <w:p w14:paraId="74768F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Приемно-передающая станция, с возможностью работы по проводам «РБС». </w:t>
      </w:r>
      <w:r w:rsidRPr="00DB5D0D">
        <w:rPr>
          <w:rFonts w:ascii="Times New Roman" w:hAnsi="Times New Roman"/>
          <w:color w:val="000000" w:themeColor="text1"/>
          <w:sz w:val="16"/>
          <w:szCs w:val="16"/>
        </w:rPr>
        <w:t>Станция батальонной сети. Серийное производство — 1937 г. На работе в МНР показала себя хорошо. За время войны с Финляндией получили много отрицательных отзывов. Я выезжал проверять работу этой станции на Кар[ельском] перешейке и обнаружил, что радиостанция находилась в обозе, не было людей, которые могли бы с ней работать. Хорошо ведет себя в горных условиях.</w:t>
      </w:r>
    </w:p>
    <w:p w14:paraId="0369E4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оставить на вооружении.</w:t>
      </w:r>
    </w:p>
    <w:p w14:paraId="106A25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Ковалев: </w:t>
      </w:r>
      <w:r w:rsidRPr="00DB5D0D">
        <w:rPr>
          <w:rFonts w:ascii="Times New Roman" w:hAnsi="Times New Roman"/>
          <w:color w:val="000000" w:themeColor="text1"/>
          <w:sz w:val="16"/>
          <w:szCs w:val="16"/>
        </w:rPr>
        <w:t>Она высока и опрокидывается. Нет лучевой антенны; имеется только штырь, который демаскирует пункт командира роты.</w:t>
      </w:r>
    </w:p>
    <w:p w14:paraId="5336A3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w:t>
      </w:r>
      <w:r w:rsidRPr="00DB5D0D">
        <w:rPr>
          <w:rFonts w:ascii="Times New Roman" w:hAnsi="Times New Roman"/>
          <w:color w:val="000000" w:themeColor="text1"/>
          <w:sz w:val="16"/>
          <w:szCs w:val="16"/>
        </w:rPr>
        <w:t>В МНР выбрасывали провода, а штырь не поднимали. Этим достигалась маскировка.</w:t>
      </w:r>
    </w:p>
    <w:p w14:paraId="72339E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Муравьев: </w:t>
      </w:r>
      <w:r w:rsidRPr="00DB5D0D">
        <w:rPr>
          <w:rFonts w:ascii="Times New Roman" w:hAnsi="Times New Roman"/>
          <w:color w:val="000000" w:themeColor="text1"/>
          <w:sz w:val="16"/>
          <w:szCs w:val="16"/>
        </w:rPr>
        <w:t>В 37 сп эта станция показала себя хорошо. Нужно перейти с аккумуляторного питания на сухие батареи.</w:t>
      </w:r>
    </w:p>
    <w:p w14:paraId="41520B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Мерецков: </w:t>
      </w:r>
      <w:r w:rsidRPr="00DB5D0D">
        <w:rPr>
          <w:rFonts w:ascii="Times New Roman" w:hAnsi="Times New Roman"/>
          <w:color w:val="000000" w:themeColor="text1"/>
          <w:sz w:val="16"/>
          <w:szCs w:val="16"/>
        </w:rPr>
        <w:t>Этот командир полка как раз докладывал, что она демаскирует.</w:t>
      </w:r>
    </w:p>
    <w:p w14:paraId="03884F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 на вооружении.</w:t>
      </w:r>
    </w:p>
    <w:p w14:paraId="1F6F37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Приемно-передающая танковая радиостанция «71-ТК-1». </w:t>
      </w:r>
      <w:r w:rsidRPr="00DB5D0D">
        <w:rPr>
          <w:rFonts w:ascii="Times New Roman" w:hAnsi="Times New Roman"/>
          <w:color w:val="000000" w:themeColor="text1"/>
          <w:sz w:val="16"/>
          <w:szCs w:val="16"/>
        </w:rPr>
        <w:t>Радиостанция сети мехбригады. Радиостанция сети танкового батальона. Серийное производство с 1933 г. Снимается с производства в 1941 г. Таких станций имеется 1200* штук. Предлагаю оставить на вооружении.</w:t>
      </w:r>
    </w:p>
    <w:p w14:paraId="08BD75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Впредь до введения кварцевой станции — оставить на вооружении, но по мере получения новой — заменить.</w:t>
      </w:r>
    </w:p>
    <w:p w14:paraId="675AB6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Муравьев: </w:t>
      </w:r>
      <w:r w:rsidRPr="00DB5D0D">
        <w:rPr>
          <w:rFonts w:ascii="Times New Roman" w:hAnsi="Times New Roman"/>
          <w:color w:val="000000" w:themeColor="text1"/>
          <w:sz w:val="16"/>
          <w:szCs w:val="16"/>
        </w:rPr>
        <w:t>Радиостанцию оставить, но переделать приемник, который плохой, не стабильный.</w:t>
      </w:r>
    </w:p>
    <w:p w14:paraId="1E1AA9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 переменить приемник.</w:t>
      </w:r>
    </w:p>
    <w:p w14:paraId="7FE653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Прибор для автоматической кодовой связи и радио «ТК-12». </w:t>
      </w:r>
      <w:r w:rsidRPr="00DB5D0D">
        <w:rPr>
          <w:rFonts w:ascii="Times New Roman" w:hAnsi="Times New Roman"/>
          <w:color w:val="000000" w:themeColor="text1"/>
          <w:sz w:val="16"/>
          <w:szCs w:val="16"/>
        </w:rPr>
        <w:t>Автоматическое кодирование и раскодирование команд. Серийное производство с 1939 г. Предлагаю оставить на вооружении.</w:t>
      </w:r>
    </w:p>
    <w:p w14:paraId="421087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Приемо-передающая радиостанция с механическим полудуплексом «РБК». </w:t>
      </w:r>
      <w:r w:rsidRPr="00DB5D0D">
        <w:rPr>
          <w:rFonts w:ascii="Times New Roman" w:hAnsi="Times New Roman"/>
          <w:color w:val="000000" w:themeColor="text1"/>
          <w:sz w:val="16"/>
          <w:szCs w:val="16"/>
        </w:rPr>
        <w:t>Станция дивизионной сети кавалерии и для связи с передовым кавалерийским отрядом. Серийное производство 1940 г. Государственные испытания прошли с хорошими результатами. Предлагаю оставить на вооружении.</w:t>
      </w:r>
    </w:p>
    <w:p w14:paraId="0F303F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Ковалев: </w:t>
      </w:r>
      <w:r w:rsidRPr="00DB5D0D">
        <w:rPr>
          <w:rFonts w:ascii="Times New Roman" w:hAnsi="Times New Roman"/>
          <w:color w:val="000000" w:themeColor="text1"/>
          <w:sz w:val="16"/>
          <w:szCs w:val="16"/>
        </w:rPr>
        <w:t>Репродукторы сделать съемные.</w:t>
      </w:r>
    </w:p>
    <w:p w14:paraId="491114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 на вооружение.</w:t>
      </w:r>
    </w:p>
    <w:p w14:paraId="2F3B36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Подвижная мощная звуко-излучающая станция «МГУ-39», </w:t>
      </w:r>
      <w:r w:rsidRPr="00DB5D0D">
        <w:rPr>
          <w:rFonts w:ascii="Times New Roman" w:hAnsi="Times New Roman"/>
          <w:color w:val="000000" w:themeColor="text1"/>
          <w:sz w:val="16"/>
          <w:szCs w:val="16"/>
        </w:rPr>
        <w:t>назначение звукоимитация шумов военных объектов. Агитация среди войск противника. Проведение митингов и агитвещание среди своих войск. Серийное производство — 1940 г. Предлагаю принять на вооружение.</w:t>
      </w:r>
    </w:p>
    <w:p w14:paraId="0D9FF4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w:t>
      </w:r>
    </w:p>
    <w:p w14:paraId="4C7F56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w:t>
      </w:r>
      <w:r w:rsidRPr="00DB5D0D">
        <w:rPr>
          <w:rFonts w:ascii="Times New Roman" w:hAnsi="Times New Roman"/>
          <w:color w:val="000000" w:themeColor="text1"/>
          <w:sz w:val="16"/>
          <w:szCs w:val="16"/>
        </w:rPr>
        <w:t>Радиостанции, над которыми мы работаем:</w:t>
      </w:r>
    </w:p>
    <w:p w14:paraId="4C32F4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Радиостанция тяжелая аэродромная «РА». </w:t>
      </w:r>
      <w:r w:rsidRPr="00DB5D0D">
        <w:rPr>
          <w:rFonts w:ascii="Times New Roman" w:hAnsi="Times New Roman"/>
          <w:color w:val="000000" w:themeColor="text1"/>
          <w:sz w:val="16"/>
          <w:szCs w:val="16"/>
        </w:rPr>
        <w:t>Назначение: штабы ВВС фронта, штаб авиационной армии и без тяжелой авиации; для радиосетей Главного командования (Генштаб, фронты; Генштаб — штаб отдельной армии). Станция предназначена для замены «PAT». Серийное производство с 1942 г.</w:t>
      </w:r>
    </w:p>
    <w:p w14:paraId="59DEC6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принять на вооружение.</w:t>
      </w:r>
    </w:p>
    <w:p w14:paraId="5267C3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Радиоприемный узел с тремя передатчиками «РУКС». </w:t>
      </w:r>
      <w:r w:rsidRPr="00DB5D0D">
        <w:rPr>
          <w:rFonts w:ascii="Times New Roman" w:hAnsi="Times New Roman"/>
          <w:color w:val="000000" w:themeColor="text1"/>
          <w:sz w:val="16"/>
          <w:szCs w:val="16"/>
        </w:rPr>
        <w:t>Фронтовая и армейская радиосети. Серийное производство с 1942 г.</w:t>
      </w:r>
    </w:p>
    <w:p w14:paraId="71B6F4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Предлагаю принять на вооружение. </w:t>
      </w: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w:t>
      </w:r>
    </w:p>
    <w:p w14:paraId="12C16A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r w:rsidRPr="00DB5D0D">
        <w:rPr>
          <w:rFonts w:ascii="Times New Roman" w:hAnsi="Times New Roman"/>
          <w:iCs/>
          <w:color w:val="000000" w:themeColor="text1"/>
          <w:sz w:val="16"/>
          <w:szCs w:val="16"/>
        </w:rPr>
        <w:t xml:space="preserve">Приемно-передающая радиостанция (кварцевая) «КРСТБ». </w:t>
      </w:r>
      <w:r w:rsidRPr="00DB5D0D">
        <w:rPr>
          <w:rFonts w:ascii="Times New Roman" w:hAnsi="Times New Roman"/>
          <w:color w:val="000000" w:themeColor="text1"/>
          <w:sz w:val="16"/>
          <w:szCs w:val="16"/>
        </w:rPr>
        <w:t>1) Радиостанция сети мехбригады. 2) Радиостанция сети танкового батальона. Вводится взамен радиостанции «71-ТК-1». Серийное производство с 1941 г.</w:t>
      </w:r>
    </w:p>
    <w:p w14:paraId="211E19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Шапошников: </w:t>
      </w:r>
      <w:r w:rsidRPr="00DB5D0D">
        <w:rPr>
          <w:rFonts w:ascii="Times New Roman" w:hAnsi="Times New Roman"/>
          <w:color w:val="000000" w:themeColor="text1"/>
          <w:sz w:val="16"/>
          <w:szCs w:val="16"/>
        </w:rPr>
        <w:t>Она для всей [армии] нужна — для батальона и роты. Дать категорическое указание, чтобы работали над этой станцией.</w:t>
      </w:r>
    </w:p>
    <w:p w14:paraId="1AB57A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w:t>
      </w: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 xml:space="preserve">Рация кавполка </w:t>
      </w:r>
      <w:r w:rsidRPr="00DB5D0D">
        <w:rPr>
          <w:rFonts w:ascii="Times New Roman" w:hAnsi="Times New Roman"/>
          <w:color w:val="000000" w:themeColor="text1"/>
          <w:sz w:val="16"/>
          <w:szCs w:val="16"/>
        </w:rPr>
        <w:t>прошла госиспытания. В дальнейшем, я думаю, дать ее батарее. Предлагаю принять на вооружение.</w:t>
      </w:r>
    </w:p>
    <w:p w14:paraId="3F2D00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 на вооружение.</w:t>
      </w:r>
    </w:p>
    <w:p w14:paraId="3C8C00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w:t>
      </w:r>
      <w:r w:rsidRPr="00DB5D0D">
        <w:rPr>
          <w:rFonts w:ascii="Times New Roman" w:hAnsi="Times New Roman"/>
          <w:iCs/>
          <w:color w:val="000000" w:themeColor="text1"/>
          <w:sz w:val="16"/>
          <w:szCs w:val="16"/>
        </w:rPr>
        <w:t xml:space="preserve">Приемо-передающая радиостанция «РПС-К». </w:t>
      </w:r>
      <w:r w:rsidRPr="00DB5D0D">
        <w:rPr>
          <w:rFonts w:ascii="Times New Roman" w:hAnsi="Times New Roman"/>
          <w:color w:val="000000" w:themeColor="text1"/>
          <w:sz w:val="16"/>
          <w:szCs w:val="16"/>
        </w:rPr>
        <w:t xml:space="preserve">Радиостанция сети кавалерийского полка. (Новый образец.) Серийное производство с 1941 г. Предлагаю принять на вооружение. </w:t>
      </w: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w:t>
      </w:r>
    </w:p>
    <w:p w14:paraId="61EB66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w:t>
      </w:r>
      <w:r w:rsidRPr="00DB5D0D">
        <w:rPr>
          <w:rFonts w:ascii="Times New Roman" w:hAnsi="Times New Roman"/>
          <w:iCs/>
          <w:color w:val="000000" w:themeColor="text1"/>
          <w:sz w:val="16"/>
          <w:szCs w:val="16"/>
        </w:rPr>
        <w:t xml:space="preserve">Приемо-передающая радиостанция «ДОТ». </w:t>
      </w:r>
      <w:r w:rsidRPr="00DB5D0D">
        <w:rPr>
          <w:rFonts w:ascii="Times New Roman" w:hAnsi="Times New Roman"/>
          <w:color w:val="000000" w:themeColor="text1"/>
          <w:sz w:val="16"/>
          <w:szCs w:val="16"/>
        </w:rPr>
        <w:t>Радиостанция огневой точки «УР» (новый образец). Серийное производство с 1941 г.</w:t>
      </w:r>
    </w:p>
    <w:p w14:paraId="1EC0F8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w:t>
      </w:r>
    </w:p>
    <w:p w14:paraId="6C0E41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w:t>
      </w:r>
      <w:r w:rsidRPr="00DB5D0D">
        <w:rPr>
          <w:rFonts w:ascii="Times New Roman" w:hAnsi="Times New Roman"/>
          <w:iCs/>
          <w:color w:val="000000" w:themeColor="text1"/>
          <w:sz w:val="16"/>
          <w:szCs w:val="16"/>
        </w:rPr>
        <w:t xml:space="preserve">Приемо-передающаярадиостанция «РСМК». </w:t>
      </w:r>
      <w:r w:rsidRPr="00DB5D0D">
        <w:rPr>
          <w:rFonts w:ascii="Times New Roman" w:hAnsi="Times New Roman"/>
          <w:color w:val="000000" w:themeColor="text1"/>
          <w:sz w:val="16"/>
          <w:szCs w:val="16"/>
        </w:rPr>
        <w:t>Радиостанция сети мехкорпуса. Серийное производство с 1940 г.</w:t>
      </w:r>
    </w:p>
    <w:p w14:paraId="79F69A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Для бригады не возражаю.</w:t>
      </w:r>
    </w:p>
    <w:p w14:paraId="049191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Постнов[или]: </w:t>
      </w:r>
      <w:r w:rsidRPr="00DB5D0D">
        <w:rPr>
          <w:rFonts w:ascii="Times New Roman" w:hAnsi="Times New Roman"/>
          <w:color w:val="000000" w:themeColor="text1"/>
          <w:sz w:val="16"/>
          <w:szCs w:val="16"/>
        </w:rPr>
        <w:t>Принять.</w:t>
      </w:r>
    </w:p>
    <w:p w14:paraId="5F8562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w:t>
      </w:r>
      <w:r w:rsidRPr="00DB5D0D">
        <w:rPr>
          <w:rFonts w:ascii="Times New Roman" w:hAnsi="Times New Roman"/>
          <w:color w:val="000000" w:themeColor="text1"/>
          <w:sz w:val="16"/>
          <w:szCs w:val="16"/>
        </w:rPr>
        <w:t xml:space="preserve">8. </w:t>
      </w:r>
      <w:r w:rsidRPr="00DB5D0D">
        <w:rPr>
          <w:rFonts w:ascii="Times New Roman" w:hAnsi="Times New Roman"/>
          <w:iCs/>
          <w:color w:val="000000" w:themeColor="text1"/>
          <w:sz w:val="16"/>
          <w:szCs w:val="16"/>
        </w:rPr>
        <w:t xml:space="preserve">Приспособление аппаратов «Бодо» и «СТ-35» </w:t>
      </w:r>
      <w:r w:rsidRPr="00DB5D0D">
        <w:rPr>
          <w:rFonts w:ascii="Times New Roman" w:hAnsi="Times New Roman"/>
          <w:color w:val="000000" w:themeColor="text1"/>
          <w:sz w:val="16"/>
          <w:szCs w:val="16"/>
        </w:rPr>
        <w:t>по радио с применением засекречивающего аппарата «С-314». Работа через радиостанции «PAT» и «РАФ» в соответствующих сетях. Серийное производство с 1940 г.</w:t>
      </w:r>
    </w:p>
    <w:p w14:paraId="1B1D1F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w:t>
      </w:r>
    </w:p>
    <w:p w14:paraId="473FE5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Муравьев: </w:t>
      </w:r>
      <w:r w:rsidRPr="00DB5D0D">
        <w:rPr>
          <w:rFonts w:ascii="Times New Roman" w:hAnsi="Times New Roman"/>
          <w:color w:val="000000" w:themeColor="text1"/>
          <w:sz w:val="16"/>
          <w:szCs w:val="16"/>
        </w:rPr>
        <w:t>Просить правительство о скорейшем производстве «СТ-35».</w:t>
      </w:r>
    </w:p>
    <w:p w14:paraId="794D34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w:t>
      </w:r>
      <w:r w:rsidRPr="00DB5D0D">
        <w:rPr>
          <w:rFonts w:ascii="Times New Roman" w:hAnsi="Times New Roman"/>
          <w:color w:val="000000" w:themeColor="text1"/>
          <w:sz w:val="16"/>
          <w:szCs w:val="16"/>
        </w:rPr>
        <w:t>Типы радиостанций, подлежащие снятию с вооружения Красной Армии:</w:t>
      </w:r>
    </w:p>
    <w:p w14:paraId="21DD8D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Приемо-передающая радиостанция «1-А».</w:t>
      </w:r>
    </w:p>
    <w:p w14:paraId="4B9995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Приемо-передающая радиостанция «2-А».</w:t>
      </w:r>
    </w:p>
    <w:p w14:paraId="5E0883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Приемо-передающая радиостанция «2-Д».</w:t>
      </w:r>
    </w:p>
    <w:p w14:paraId="079EFE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Приемо-передающая радиостанция «4-А».</w:t>
      </w:r>
    </w:p>
    <w:p w14:paraId="79A935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Приемо-передающая радиостанция «4-Д».</w:t>
      </w:r>
    </w:p>
    <w:p w14:paraId="6B7970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Приемо-передающая радиостанция «12-АК».</w:t>
      </w:r>
    </w:p>
    <w:p w14:paraId="2CE7EE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Приемо-передающая радиостанция «24-ТВ»;</w:t>
      </w:r>
    </w:p>
    <w:p w14:paraId="58BE92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Приемо-передающая радиостанция «22-Т». Предлагаю снять с вооружения. </w:t>
      </w: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Снять.</w:t>
      </w:r>
    </w:p>
    <w:p w14:paraId="2216F5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Что для радиопропаганды дадите?</w:t>
      </w:r>
    </w:p>
    <w:p w14:paraId="65C49A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w:t>
      </w:r>
      <w:r w:rsidRPr="00DB5D0D">
        <w:rPr>
          <w:rFonts w:ascii="Times New Roman" w:hAnsi="Times New Roman"/>
          <w:color w:val="000000" w:themeColor="text1"/>
          <w:sz w:val="16"/>
          <w:szCs w:val="16"/>
        </w:rPr>
        <w:t>Станции разведывательных частей, подлежащих оставлению на вооружении Красной Армии. Специальные] средства:</w:t>
      </w:r>
    </w:p>
    <w:p w14:paraId="42593D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1. </w:t>
      </w:r>
      <w:r w:rsidRPr="00DB5D0D">
        <w:rPr>
          <w:rFonts w:ascii="Times New Roman" w:hAnsi="Times New Roman"/>
          <w:iCs/>
          <w:color w:val="000000" w:themeColor="text1"/>
          <w:sz w:val="16"/>
          <w:szCs w:val="16"/>
        </w:rPr>
        <w:t xml:space="preserve">Длинноволновый пеленгатор «51-ПА-1». </w:t>
      </w:r>
      <w:r w:rsidRPr="00DB5D0D">
        <w:rPr>
          <w:rFonts w:ascii="Times New Roman" w:hAnsi="Times New Roman"/>
          <w:color w:val="000000" w:themeColor="text1"/>
          <w:sz w:val="16"/>
          <w:szCs w:val="16"/>
        </w:rPr>
        <w:t>Длинноволновый пеленгатор радиоразведки фронта и армии. Серийное производство с 1935 г. Снимается с производства в 1942 г.</w:t>
      </w:r>
    </w:p>
    <w:p w14:paraId="74A97C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 на вооружении и с 1942 г. снять с производства.</w:t>
      </w:r>
    </w:p>
    <w:p w14:paraId="251808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Коротковолновый пеленгатор «55-ПК-З». </w:t>
      </w:r>
      <w:r w:rsidRPr="00DB5D0D">
        <w:rPr>
          <w:rFonts w:ascii="Times New Roman" w:hAnsi="Times New Roman"/>
          <w:color w:val="000000" w:themeColor="text1"/>
          <w:sz w:val="16"/>
          <w:szCs w:val="16"/>
        </w:rPr>
        <w:t>Коротковолновый пеленгатор радиоразведки фронта и армии. Серийное производство с 1936 г. Снят с вооружения в 1939 г. Предлагаю оставить на вооружении до замены новым.</w:t>
      </w:r>
    </w:p>
    <w:p w14:paraId="261CC6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 на вооружении до замены новым.</w:t>
      </w:r>
    </w:p>
    <w:p w14:paraId="390241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r w:rsidRPr="00DB5D0D">
        <w:rPr>
          <w:rFonts w:ascii="Times New Roman" w:hAnsi="Times New Roman"/>
          <w:iCs/>
          <w:color w:val="000000" w:themeColor="text1"/>
          <w:sz w:val="16"/>
          <w:szCs w:val="16"/>
        </w:rPr>
        <w:t xml:space="preserve">Приемо-слежечнаярадиостанция «54-ПК-1». </w:t>
      </w:r>
      <w:r w:rsidRPr="00DB5D0D">
        <w:rPr>
          <w:rFonts w:ascii="Times New Roman" w:hAnsi="Times New Roman"/>
          <w:color w:val="000000" w:themeColor="text1"/>
          <w:sz w:val="16"/>
          <w:szCs w:val="16"/>
        </w:rPr>
        <w:t>Приемо-слежечная радиостанция радиоразведки фронта и армии. Серийное производство с 1935 г. Снимается с производства в 1942 г. Предлагаю оставить на вооружении.</w:t>
      </w:r>
    </w:p>
    <w:p w14:paraId="269D14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 xml:space="preserve">Коротковолновый пеленгатор «55-ПК-ЗА». </w:t>
      </w:r>
      <w:r w:rsidRPr="00DB5D0D">
        <w:rPr>
          <w:rFonts w:ascii="Times New Roman" w:hAnsi="Times New Roman"/>
          <w:color w:val="000000" w:themeColor="text1"/>
          <w:sz w:val="16"/>
          <w:szCs w:val="16"/>
        </w:rPr>
        <w:t>Радиоразведки фронта и армии. Серийное производство с 1939 г. Снимается с производства в 1942 г. Предлагаю оставить на вооружении.</w:t>
      </w:r>
    </w:p>
    <w:p w14:paraId="73322A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w:t>
      </w:r>
      <w:r w:rsidRPr="00DB5D0D">
        <w:rPr>
          <w:rFonts w:ascii="Times New Roman" w:hAnsi="Times New Roman"/>
          <w:iCs/>
          <w:color w:val="000000" w:themeColor="text1"/>
          <w:sz w:val="16"/>
          <w:szCs w:val="16"/>
        </w:rPr>
        <w:t xml:space="preserve">Коротковолновый слеженный приемник «Чайка». </w:t>
      </w:r>
      <w:r w:rsidRPr="00DB5D0D">
        <w:rPr>
          <w:rFonts w:ascii="Times New Roman" w:hAnsi="Times New Roman"/>
          <w:color w:val="000000" w:themeColor="text1"/>
          <w:sz w:val="16"/>
          <w:szCs w:val="16"/>
        </w:rPr>
        <w:t>Средство радиоразведки для пунктов «ОСНАЗ» фронта и армии. Образец изготовлен в 1940 г. Серийное производство начнется с 1942 г. Просить правительство форсировать выпуск этих станций.</w:t>
      </w:r>
    </w:p>
    <w:p w14:paraId="669CCE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Новые радиостанции разведчастей:</w:t>
      </w:r>
    </w:p>
    <w:p w14:paraId="28B643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Пеленгатор «СВ». </w:t>
      </w:r>
      <w:r w:rsidRPr="00DB5D0D">
        <w:rPr>
          <w:rFonts w:ascii="Times New Roman" w:hAnsi="Times New Roman"/>
          <w:color w:val="000000" w:themeColor="text1"/>
          <w:sz w:val="16"/>
          <w:szCs w:val="16"/>
        </w:rPr>
        <w:t>Радиоразведки фронта и армии (заменит «51-ПА-1»). Серийное производство с 1942 г.</w:t>
      </w:r>
    </w:p>
    <w:p w14:paraId="7351D5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Пеленгатор «KB». </w:t>
      </w:r>
      <w:r w:rsidRPr="00DB5D0D">
        <w:rPr>
          <w:rFonts w:ascii="Times New Roman" w:hAnsi="Times New Roman"/>
          <w:color w:val="000000" w:themeColor="text1"/>
          <w:sz w:val="16"/>
          <w:szCs w:val="16"/>
        </w:rPr>
        <w:t>Радиоразведки фронта и армии (заменит «55-ПК-ЗА»). Серийное производство с 1942 г.</w:t>
      </w:r>
    </w:p>
    <w:p w14:paraId="2585A9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r w:rsidRPr="00DB5D0D">
        <w:rPr>
          <w:rFonts w:ascii="Times New Roman" w:hAnsi="Times New Roman"/>
          <w:iCs/>
          <w:color w:val="000000" w:themeColor="text1"/>
          <w:sz w:val="16"/>
          <w:szCs w:val="16"/>
        </w:rPr>
        <w:t xml:space="preserve">Средневолновый приемник «СВ». </w:t>
      </w:r>
      <w:r w:rsidRPr="00DB5D0D">
        <w:rPr>
          <w:rFonts w:ascii="Times New Roman" w:hAnsi="Times New Roman"/>
          <w:color w:val="000000" w:themeColor="text1"/>
          <w:sz w:val="16"/>
          <w:szCs w:val="16"/>
        </w:rPr>
        <w:t>Радиоразведки фронта и армии и пунктов «ОСНАЗ» (заменит «45-ПС»). Серийное производство с 1941 г.</w:t>
      </w:r>
    </w:p>
    <w:p w14:paraId="13B2E2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 xml:space="preserve">Коротковолновый приемник «KB». </w:t>
      </w:r>
      <w:r w:rsidRPr="00DB5D0D">
        <w:rPr>
          <w:rFonts w:ascii="Times New Roman" w:hAnsi="Times New Roman"/>
          <w:color w:val="000000" w:themeColor="text1"/>
          <w:sz w:val="16"/>
          <w:szCs w:val="16"/>
        </w:rPr>
        <w:t>Приемо-слежечный приемник радиоразведки фронта, армии и пунктов «ОСНАЗ» (заменит «45-ПК»).</w:t>
      </w:r>
    </w:p>
    <w:p w14:paraId="509FFB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Станции разведчастей, подлежащие снятию с вооружения Красной Армии:</w:t>
      </w:r>
    </w:p>
    <w:p w14:paraId="248C26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Рамочный пеленгатор «РРПК».</w:t>
      </w:r>
    </w:p>
    <w:p w14:paraId="2FB23C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2. Коротковолновый пеленгатор «55-ПК-2». </w:t>
      </w:r>
      <w:r w:rsidRPr="00DB5D0D">
        <w:rPr>
          <w:rFonts w:ascii="Times New Roman" w:hAnsi="Times New Roman"/>
          <w:color w:val="000000" w:themeColor="text1"/>
          <w:sz w:val="16"/>
          <w:szCs w:val="16"/>
        </w:rPr>
        <w:t>Предлагаю снять с вооружения.</w:t>
      </w:r>
    </w:p>
    <w:p w14:paraId="63D6A0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Алексеев: </w:t>
      </w:r>
      <w:r w:rsidRPr="00DB5D0D">
        <w:rPr>
          <w:rFonts w:ascii="Times New Roman" w:hAnsi="Times New Roman"/>
          <w:color w:val="000000" w:themeColor="text1"/>
          <w:sz w:val="16"/>
          <w:szCs w:val="16"/>
        </w:rPr>
        <w:t>Нам необходимо заняться производством ультракоротковолновых станций. Построить такие станции хотя бы в опытном порядке.</w:t>
      </w:r>
    </w:p>
    <w:p w14:paraId="3BE614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Как обстоит вопрос со средствами связи за границей?</w:t>
      </w:r>
    </w:p>
    <w:p w14:paraId="04A5BB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Инженер 2-горанга Артемкин: </w:t>
      </w:r>
      <w:r w:rsidRPr="00DB5D0D">
        <w:rPr>
          <w:rFonts w:ascii="Times New Roman" w:hAnsi="Times New Roman"/>
          <w:color w:val="000000" w:themeColor="text1"/>
          <w:sz w:val="16"/>
          <w:szCs w:val="16"/>
        </w:rPr>
        <w:t>Перечисляя заграничные радиосредства, говорит, что мы отстаем со своими радиостанциями по прочности и в надежности радиоаппаратуры и деталей.</w:t>
      </w:r>
    </w:p>
    <w:p w14:paraId="652605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Нужно записать, что радиоаппаратура пеленгаторная плоха. Нужно просить об ускорении выпуска этих образцов.</w:t>
      </w:r>
    </w:p>
    <w:p w14:paraId="7EB0B9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Прав т. Мехлис, что радиопеленгаторные станции плохи. Нужно нажать и скорее дать эту аппаратуру. Предлагаю просить ускорить работы над новыми средствами.</w:t>
      </w:r>
    </w:p>
    <w:p w14:paraId="5CD7F9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 предложения т. Кулика и т. Мехлиса.</w:t>
      </w:r>
    </w:p>
    <w:p w14:paraId="647876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Смородинов: </w:t>
      </w:r>
      <w:r w:rsidRPr="00DB5D0D">
        <w:rPr>
          <w:rFonts w:ascii="Times New Roman" w:hAnsi="Times New Roman"/>
          <w:color w:val="000000" w:themeColor="text1"/>
          <w:sz w:val="16"/>
          <w:szCs w:val="16"/>
        </w:rPr>
        <w:t>Нужно иметь для радиовещания специальные станции.</w:t>
      </w:r>
    </w:p>
    <w:p w14:paraId="7C631B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Нужно иметь определенный тип радиостанций для радиовещания.</w:t>
      </w:r>
    </w:p>
    <w:p w14:paraId="012294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Муравьев: </w:t>
      </w:r>
      <w:r w:rsidRPr="00DB5D0D">
        <w:rPr>
          <w:rFonts w:ascii="Times New Roman" w:hAnsi="Times New Roman"/>
          <w:color w:val="000000" w:themeColor="text1"/>
          <w:sz w:val="16"/>
          <w:szCs w:val="16"/>
        </w:rPr>
        <w:t>Для радиовещания использовать «РАП» и «ТАП».</w:t>
      </w:r>
    </w:p>
    <w:p w14:paraId="26B928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Ковалев: </w:t>
      </w:r>
      <w:r w:rsidRPr="00DB5D0D">
        <w:rPr>
          <w:rFonts w:ascii="Times New Roman" w:hAnsi="Times New Roman"/>
          <w:color w:val="000000" w:themeColor="text1"/>
          <w:sz w:val="16"/>
          <w:szCs w:val="16"/>
        </w:rPr>
        <w:t>Для радиовещания на каждую армию нужно иметь станцию «ТАП». Это нужно узаконить.</w:t>
      </w:r>
    </w:p>
    <w:p w14:paraId="28643F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w:t>
      </w:r>
      <w:r w:rsidRPr="00DB5D0D">
        <w:rPr>
          <w:rFonts w:ascii="Times New Roman" w:hAnsi="Times New Roman"/>
          <w:color w:val="000000" w:themeColor="text1"/>
          <w:sz w:val="16"/>
          <w:szCs w:val="16"/>
        </w:rPr>
        <w:t>Я согласен, что «РАП» и «ТАП» необходимо ввести на вооружение для передачи радиовещания.</w:t>
      </w:r>
    </w:p>
    <w:p w14:paraId="28F54A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Дать «РАП» и «ТАП».</w:t>
      </w:r>
    </w:p>
    <w:p w14:paraId="652649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Найденов должен дать сравнение наших радиосредств с иностранными и указать, чем мы отстаем от заграницы.</w:t>
      </w:r>
    </w:p>
    <w:p w14:paraId="08D0FB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Инженер 2-горанга Артемкин: </w:t>
      </w:r>
      <w:r w:rsidRPr="00DB5D0D">
        <w:rPr>
          <w:rFonts w:ascii="Times New Roman" w:hAnsi="Times New Roman"/>
          <w:color w:val="000000" w:themeColor="text1"/>
          <w:sz w:val="16"/>
          <w:szCs w:val="16"/>
        </w:rPr>
        <w:t>Радиостанции заграницы отличаются прочностью и безотказностью в работе (Германия). У нас погоня за облегчением веса в ущерб качеству. Пример: станция «РБ» непрактична, она не может быть отремонтирована в полевых условиях, так как очень портативна.</w:t>
      </w:r>
    </w:p>
    <w:p w14:paraId="543B10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отстаем в изоляционном материале, в питании радиостанции, наши радиолампы плохие, плохо дело с деталями, не имеем радиомаяков, у нас нет совершенно наземных пеленгаторных станций, нет «РПК» для легкой авиации. Разработка автоматического радиокомпаса только начата. Существует параллелизм в создании радиосредств между Наркоматом обороны и Наркомфлотом. Вопросы направляющей связи не отработаны. Производственная база недостаточна. Нет взаимозаменяемости деталей. За границей все эти вопросы получили положительное разрешение.</w:t>
      </w:r>
    </w:p>
    <w:p w14:paraId="790689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Проволочное средство связи, </w:t>
      </w:r>
      <w:r w:rsidRPr="00DB5D0D">
        <w:rPr>
          <w:rFonts w:ascii="Times New Roman" w:hAnsi="Times New Roman"/>
          <w:color w:val="000000" w:themeColor="text1"/>
          <w:sz w:val="16"/>
          <w:szCs w:val="16"/>
        </w:rPr>
        <w:t>подлежащее оставлению на вооружении Красной Армии:</w:t>
      </w:r>
    </w:p>
    <w:p w14:paraId="0AE549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Телеграфный аппарат двукратный «Бодо» </w:t>
      </w: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дуплекс «2-БД2Г».</w:t>
      </w:r>
    </w:p>
    <w:p w14:paraId="1938BA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телеграфной связи: ставка — фронт — армия. Серийное производство — 1938 г.</w:t>
      </w:r>
    </w:p>
    <w:p w14:paraId="305F4E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 на вооружение.</w:t>
      </w:r>
    </w:p>
    <w:p w14:paraId="535A21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Прибор № 309 для засекречивания работы аппарата «Бодо».</w:t>
      </w:r>
    </w:p>
    <w:p w14:paraId="43B216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телеграфной связи: ставка — фронт — армия. Серийное производство — 1940 г. Предлагаю ввести на вооружение. </w:t>
      </w: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 на вооружение.</w:t>
      </w:r>
    </w:p>
    <w:p w14:paraId="220700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r w:rsidRPr="00DB5D0D">
        <w:rPr>
          <w:rFonts w:ascii="Times New Roman" w:hAnsi="Times New Roman"/>
          <w:iCs/>
          <w:color w:val="000000" w:themeColor="text1"/>
          <w:sz w:val="16"/>
          <w:szCs w:val="16"/>
        </w:rPr>
        <w:t>Телеграфный аппарат Уинстона оконечный дуплекс.</w:t>
      </w:r>
    </w:p>
    <w:p w14:paraId="01B376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телеграфной связи: ставка — фронт — армия. Предлагаю оставить на вооружении.</w:t>
      </w:r>
    </w:p>
    <w:p w14:paraId="5CE155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 на вооружении.</w:t>
      </w:r>
    </w:p>
    <w:p w14:paraId="4BA4EC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Телеграфный аппарат Уинстона оконечный симплекс.</w:t>
      </w:r>
    </w:p>
    <w:p w14:paraId="111275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телеграфной связи: ставка — фронт — армия. Предлагаю оставить на вооружении.</w:t>
      </w:r>
    </w:p>
    <w:p w14:paraId="0C2E7D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 на вооружении.</w:t>
      </w:r>
    </w:p>
    <w:p w14:paraId="6E985B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w:t>
      </w:r>
      <w:r w:rsidRPr="00DB5D0D">
        <w:rPr>
          <w:rFonts w:ascii="Times New Roman" w:hAnsi="Times New Roman"/>
          <w:iCs/>
          <w:color w:val="000000" w:themeColor="text1"/>
          <w:sz w:val="16"/>
          <w:szCs w:val="16"/>
        </w:rPr>
        <w:t>Телеграфный буквопечатающий аппарат «СТ-35».</w:t>
      </w:r>
    </w:p>
    <w:p w14:paraId="660758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телеграфной связи: армия — корпус — дивизия. Серийное производство — 1937 г. Предлагаю оставить на вооружении. </w:t>
      </w: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 на вооружении.</w:t>
      </w:r>
    </w:p>
    <w:p w14:paraId="42D88F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w:t>
      </w:r>
      <w:r w:rsidRPr="00DB5D0D">
        <w:rPr>
          <w:rFonts w:ascii="Times New Roman" w:hAnsi="Times New Roman"/>
          <w:iCs/>
          <w:color w:val="000000" w:themeColor="text1"/>
          <w:sz w:val="16"/>
          <w:szCs w:val="16"/>
        </w:rPr>
        <w:t>Телеграфный аппарат «Морзе».</w:t>
      </w:r>
    </w:p>
    <w:p w14:paraId="090F11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телеграфной связи: корпус — дивизия.</w:t>
      </w:r>
    </w:p>
    <w:p w14:paraId="2218FB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Ковалев: </w:t>
      </w:r>
      <w:r w:rsidRPr="00DB5D0D">
        <w:rPr>
          <w:rFonts w:ascii="Times New Roman" w:hAnsi="Times New Roman"/>
          <w:color w:val="000000" w:themeColor="text1"/>
          <w:sz w:val="16"/>
          <w:szCs w:val="16"/>
        </w:rPr>
        <w:t>С производства его снять и заменить его аппаратом «СТ-35».</w:t>
      </w:r>
    </w:p>
    <w:p w14:paraId="33799B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Шапошников: </w:t>
      </w:r>
      <w:r w:rsidRPr="00DB5D0D">
        <w:rPr>
          <w:rFonts w:ascii="Times New Roman" w:hAnsi="Times New Roman"/>
          <w:color w:val="000000" w:themeColor="text1"/>
          <w:sz w:val="16"/>
          <w:szCs w:val="16"/>
        </w:rPr>
        <w:t>Самый выгодный и надежный аппарат «Морзе» — он не подведет.</w:t>
      </w:r>
    </w:p>
    <w:p w14:paraId="5B3DA2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По «Морзе» все нужно шифровать — это усложняет работу, а потому войска им не пользуются.</w:t>
      </w:r>
    </w:p>
    <w:p w14:paraId="669A85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Мерецков: </w:t>
      </w:r>
      <w:r w:rsidRPr="00DB5D0D">
        <w:rPr>
          <w:rFonts w:ascii="Times New Roman" w:hAnsi="Times New Roman"/>
          <w:color w:val="000000" w:themeColor="text1"/>
          <w:sz w:val="16"/>
          <w:szCs w:val="16"/>
        </w:rPr>
        <w:t>Аппарат «Морзе» не годится.</w:t>
      </w:r>
    </w:p>
    <w:p w14:paraId="50FEB9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w:t>
      </w:r>
      <w:r w:rsidRPr="00DB5D0D">
        <w:rPr>
          <w:rFonts w:ascii="Times New Roman" w:hAnsi="Times New Roman"/>
          <w:color w:val="000000" w:themeColor="text1"/>
          <w:sz w:val="16"/>
          <w:szCs w:val="16"/>
        </w:rPr>
        <w:t>В первой половине 1941 г. будут полностью все дивизии снабжены аппаратом «СТ-35». В этом году получим 1100 аппаратов «СТ-35».</w:t>
      </w:r>
    </w:p>
    <w:p w14:paraId="57133E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Дать корпусу и дивизии аппарат «СТ-35». Аппарат «Морзе» оставить пока на вооружении и развить базу «СТ-35»; по мере поступления аппарата «СТ-35» из промышленности — заменять аппарат «Морзе» аппаратом «СТ-35».</w:t>
      </w:r>
    </w:p>
    <w:p w14:paraId="185398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Найденов: Телефонные аппараты:</w:t>
      </w:r>
    </w:p>
    <w:p w14:paraId="5A0BEC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Телефонный аппарат «УНА-И». </w:t>
      </w:r>
      <w:r w:rsidRPr="00DB5D0D">
        <w:rPr>
          <w:rFonts w:ascii="Times New Roman" w:hAnsi="Times New Roman"/>
          <w:color w:val="000000" w:themeColor="text1"/>
          <w:sz w:val="16"/>
          <w:szCs w:val="16"/>
        </w:rPr>
        <w:t>Для полевой телефонной связи в дивизии и выше. Серийное производство — 1931 г. Предлагаю оставить на вооружении.</w:t>
      </w:r>
    </w:p>
    <w:p w14:paraId="166EC0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 на вооружении.</w:t>
      </w:r>
    </w:p>
    <w:p w14:paraId="31D500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Телефонный аппарат «УНА-Ф». </w:t>
      </w:r>
      <w:r w:rsidRPr="00DB5D0D">
        <w:rPr>
          <w:rFonts w:ascii="Times New Roman" w:hAnsi="Times New Roman"/>
          <w:color w:val="000000" w:themeColor="text1"/>
          <w:sz w:val="16"/>
          <w:szCs w:val="16"/>
        </w:rPr>
        <w:t>Для полевой телефонной связи от полка и ниже. Серийное производство — 1931 г. Предлагаю оставить на вооружении.</w:t>
      </w:r>
    </w:p>
    <w:p w14:paraId="537497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Ковалев: </w:t>
      </w:r>
      <w:r w:rsidRPr="00DB5D0D">
        <w:rPr>
          <w:rFonts w:ascii="Times New Roman" w:hAnsi="Times New Roman"/>
          <w:color w:val="000000" w:themeColor="text1"/>
          <w:sz w:val="16"/>
          <w:szCs w:val="16"/>
        </w:rPr>
        <w:t>Предлагаю в дальнейшем перейти на более совершенный аппарат «УФИ».</w:t>
      </w:r>
    </w:p>
    <w:p w14:paraId="3AF3BB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w:t>
      </w:r>
      <w:r w:rsidRPr="00DB5D0D">
        <w:rPr>
          <w:rFonts w:ascii="Times New Roman" w:hAnsi="Times New Roman"/>
          <w:color w:val="000000" w:themeColor="text1"/>
          <w:sz w:val="16"/>
          <w:szCs w:val="16"/>
        </w:rPr>
        <w:t>Аппарат «УФИ» в 1940 г. запущен в серийное производство. По мере его выпуска будем снабжать армию. Сейчас работаем над телефонным аппаратом, который весь смонтирован в одной телефонной трубке. Кроме того, в этом году мы получим аппарат «СТ-35» с засекреченным приспособлением, благодаря которому можно вести переговоры открыто.</w:t>
      </w:r>
    </w:p>
    <w:p w14:paraId="3371D3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Савченко: </w:t>
      </w:r>
      <w:r w:rsidRPr="00DB5D0D">
        <w:rPr>
          <w:rFonts w:ascii="Times New Roman" w:hAnsi="Times New Roman"/>
          <w:color w:val="000000" w:themeColor="text1"/>
          <w:sz w:val="16"/>
          <w:szCs w:val="16"/>
        </w:rPr>
        <w:t>Нужно иметь в виду, что немцы имеют хорошую аппаратуру для рассекречивания всех этих засекреченных приспособлений.</w:t>
      </w:r>
    </w:p>
    <w:p w14:paraId="30B873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w:t>
      </w:r>
      <w:r w:rsidRPr="00DB5D0D">
        <w:rPr>
          <w:rFonts w:ascii="Times New Roman" w:hAnsi="Times New Roman"/>
          <w:color w:val="000000" w:themeColor="text1"/>
          <w:sz w:val="16"/>
          <w:szCs w:val="16"/>
        </w:rPr>
        <w:t>В 1940 г. получаем аппараты для ВНОС. Аппарат «РУС-1» проверен в боевой обстановке, показал себя хорошо. В 1940 г. получаем 40 комплектов. Также хорошо себя показал на испытаниях аппарат «Редут». В 1940 г. получаем 12 шт. таких аппаратов.</w:t>
      </w:r>
    </w:p>
    <w:p w14:paraId="2F3C80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Шапошников: </w:t>
      </w:r>
      <w:r w:rsidRPr="00DB5D0D">
        <w:rPr>
          <w:rFonts w:ascii="Times New Roman" w:hAnsi="Times New Roman"/>
          <w:color w:val="000000" w:themeColor="text1"/>
          <w:sz w:val="16"/>
          <w:szCs w:val="16"/>
        </w:rPr>
        <w:t>Вы создаете такие аппараты для ВНОС, которые не сокращают людей, а увеличивают. Нужно создать аппараты, сокращающие число людей, обслуживающих ВНОС.</w:t>
      </w:r>
    </w:p>
    <w:p w14:paraId="3F170D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Найденов: </w:t>
      </w:r>
      <w:r w:rsidRPr="00DB5D0D">
        <w:rPr>
          <w:rFonts w:ascii="Times New Roman" w:hAnsi="Times New Roman"/>
          <w:color w:val="000000" w:themeColor="text1"/>
          <w:sz w:val="16"/>
          <w:szCs w:val="16"/>
        </w:rPr>
        <w:t>Мы создали специальный телефон для УР'ов, при помощи которого можно вести разговор с любой огневой точкой во время стрельбы.</w:t>
      </w:r>
    </w:p>
    <w:p w14:paraId="7279E4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Предлагаю избрать редакционную комиссию для выработки проекта постановления и оценки средств связи в составе следующих товарищей: Мерецков, Запорожец, Антонюк, Найденов, Муравьев, Ковалев и Артемкин.</w:t>
      </w:r>
    </w:p>
    <w:p w14:paraId="4938C5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220363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Следующее заседание в 12.00. 7 мая 1940 г.</w:t>
      </w:r>
    </w:p>
    <w:p w14:paraId="7709F2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34891. Оп. 1. Д. 9. Л. 32-42. Подлинник (11773).</w:t>
      </w:r>
    </w:p>
    <w:p w14:paraId="539DE2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B071D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 (вечернее заседание) Протокол №7 пленарного заседания комиссии ГВС</w:t>
      </w:r>
    </w:p>
    <w:p w14:paraId="0AF3FE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Присутствовали:</w:t>
      </w:r>
    </w:p>
    <w:p w14:paraId="4D70C9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  Члены комиссии: тт. </w:t>
      </w:r>
      <w:r w:rsidRPr="00DB5D0D">
        <w:rPr>
          <w:rFonts w:ascii="Times New Roman" w:hAnsi="Times New Roman"/>
          <w:color w:val="000000" w:themeColor="text1"/>
          <w:sz w:val="16"/>
          <w:szCs w:val="16"/>
        </w:rPr>
        <w:t>Кулик (председатель), Мехлис, Шапошников, Мерецков, Штерн, Курдюмов, Смородинов, Павлов, Смушкевич, Запорожец, Хрулев, Рычагов, Птухин, Найденов, Щаденко, Воронов, Кирпонос, Клич, Козлов, Хренов, Ковалев.</w:t>
      </w:r>
    </w:p>
    <w:p w14:paraId="7AFBF1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  Приглашенные: </w:t>
      </w:r>
      <w:r w:rsidRPr="00DB5D0D">
        <w:rPr>
          <w:rFonts w:ascii="Times New Roman" w:hAnsi="Times New Roman"/>
          <w:color w:val="000000" w:themeColor="text1"/>
          <w:sz w:val="16"/>
          <w:szCs w:val="16"/>
        </w:rPr>
        <w:t>тт. Локтионов, Проскуров, Засосов, Борисов, Лапаев, Склизков, Петров, Спассков, Найденов, Муравьев, Мельников, Дмитриев, Савченко, Лебедев, Михальчук, Алексеев, Князев, Куликов, Котов, Ермолин, Толмачев, Антонюк, Пугачев, Захаров, Городовиков, Бирюков, Малышев, Шабалин, Артемкин.</w:t>
      </w:r>
    </w:p>
    <w:p w14:paraId="2E5D74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Слушали: Доклад начальника Управления связи Красной Армии комдива т. Найденова о системе вооружения связи. Постановили:</w:t>
      </w:r>
    </w:p>
    <w:p w14:paraId="525A58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По радиосредствам.</w:t>
      </w:r>
    </w:p>
    <w:p w14:paraId="6EF567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Оставить на вооружении следующие радиосредства</w:t>
      </w:r>
    </w:p>
    <w:p w14:paraId="579BF8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вагонные радиостанции «1-ВФ» и «1-Ф»;</w:t>
      </w:r>
    </w:p>
    <w:p w14:paraId="15A53F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радиостанции «3-А», «РАТ-1», 11-АК», «РАФ», «5-АК» и «РБ», «РБС»и«71-ТК»;</w:t>
      </w:r>
    </w:p>
    <w:p w14:paraId="7F848F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радиопередающий узел «РУК»;</w:t>
      </w:r>
    </w:p>
    <w:p w14:paraId="1B734B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прибор для автоматической кодовой связи и радио «ТК-12».</w:t>
      </w:r>
    </w:p>
    <w:p w14:paraId="313323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Оставить на вооружении с постепенной заменой новыми:</w:t>
      </w:r>
    </w:p>
    <w:p w14:paraId="11D840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радиостанцию «РКР»;</w:t>
      </w:r>
    </w:p>
    <w:p w14:paraId="303F68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радиостанции «6-ПК» с производства снять, на вооружении оставить;</w:t>
      </w:r>
    </w:p>
    <w:p w14:paraId="0B9C2D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спецсредства «55-ПК-З», «51-ПА-1», «54-ПК-1», 55-ПК-ЗА».</w:t>
      </w:r>
    </w:p>
    <w:p w14:paraId="019B3C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Принять на вооружение:</w:t>
      </w:r>
    </w:p>
    <w:p w14:paraId="3B5FC0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радиостанцию РСБ для скоростного бомбардировщика;</w:t>
      </w:r>
    </w:p>
    <w:p w14:paraId="6378D0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радиостанцию «РБК» с механическим полудуплексом;</w:t>
      </w:r>
    </w:p>
    <w:p w14:paraId="2CF362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звуко-излучающую станцию МГУ-39. Сделать выносной репродуктор и увеличить радиус действия.</w:t>
      </w:r>
    </w:p>
    <w:p w14:paraId="100DD2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радиостанцию «РА»;</w:t>
      </w:r>
    </w:p>
    <w:p w14:paraId="7D618A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радиоприемный узел «РУКС»;</w:t>
      </w:r>
    </w:p>
    <w:p w14:paraId="21FC67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радиостанцию «КРСТБ» взамен «71-ТК-1»;</w:t>
      </w:r>
    </w:p>
    <w:p w14:paraId="6B14F7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радиостанцию «РПС-К»;</w:t>
      </w:r>
    </w:p>
    <w:p w14:paraId="1E7452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радиостанцию «ДОТ»; и) радиостанцию «РСМК»;</w:t>
      </w:r>
    </w:p>
    <w:p w14:paraId="6F9124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приспособление для аппарата «Бодо» и «СТ-35» для работы по радио с засекречивающим аппаратом «С-314»; л) коротковолновый слежечный приемник «Чайка».</w:t>
      </w:r>
    </w:p>
    <w:p w14:paraId="2E4269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Поручить Управлению связи принять меры по расширению производства кварцев.</w:t>
      </w:r>
    </w:p>
    <w:p w14:paraId="44C985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Снять с вооружения следующие устаревшие радиостанции: «1-А», «2А», «2-Д», «4-А», «4-Д», «12-АК», «24-ТВ», «22-Т», «РПК» и «55-ПК-2».</w:t>
      </w:r>
    </w:p>
    <w:p w14:paraId="02058C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Отметить, что имеющаяся пеленгаторная аппаратура не удовлетворяет современным требованиям, в связи с чем считать необходимым просить Правительство об ускорении выпуска новых образцов этой аппаратуры.</w:t>
      </w:r>
    </w:p>
    <w:p w14:paraId="29F921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 целью замены аккумуляторных батарей принять меры к расширению применения сухих батарей и улучшить качество производства изоляционных материалов, радиоламп и деталей.</w:t>
      </w:r>
    </w:p>
    <w:p w14:paraId="558115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С целью обеспечения радиопропаганды на территории противника в военное время, считать необходимым ввести на вооружение армии радиовещательные станции типа «PAT» и «ТАП».</w:t>
      </w:r>
    </w:p>
    <w:p w14:paraId="5430E1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Просить Правительство расширить производственную базу радиопромышленности.</w:t>
      </w:r>
    </w:p>
    <w:p w14:paraId="725654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По проволочным средствам.</w:t>
      </w:r>
    </w:p>
    <w:p w14:paraId="74FD0A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Оставить на вооружении следующие проволочные средства: а) телеграфный аппарат «Бодо», «Дуплекс», «2-БД2Г»;</w:t>
      </w:r>
    </w:p>
    <w:p w14:paraId="2A956E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аппарат Уинстона «Дуплекс»;</w:t>
      </w:r>
    </w:p>
    <w:p w14:paraId="41AE15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аппарат Уинстона «Симплекс»;</w:t>
      </w:r>
    </w:p>
    <w:p w14:paraId="4E6FDD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аппарат «CT-35».</w:t>
      </w:r>
    </w:p>
    <w:p w14:paraId="34973C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Оставить на вооружении аппарат «Морзе», постепенно заменив «СТ-35».</w:t>
      </w:r>
    </w:p>
    <w:p w14:paraId="28EED1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Принять на вооружение прибор «309».</w:t>
      </w:r>
    </w:p>
    <w:p w14:paraId="6CEA86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3. По телефонным аппаратам.</w:t>
      </w:r>
    </w:p>
    <w:p w14:paraId="7C3AED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 следующие аппараты: «УНА-И» и «УНА-Ф».</w:t>
      </w:r>
    </w:p>
    <w:p w14:paraId="7BC2D2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Избрать редакционную комиссию для выработки проекта постановления и оценки средств связи в составе следующих товарищей: тт. Мерецкова, Запорожец, Антонюк, Найденова, Муравьева, Ковалева и Артемкина.</w:t>
      </w:r>
    </w:p>
    <w:p w14:paraId="7C07F0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Председатель    </w:t>
      </w: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РГВА. Ф. 4. Оп. 14. Д. 2736. Л. 20-22. Подлинник (11773).</w:t>
      </w:r>
    </w:p>
    <w:p w14:paraId="57AD1048"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25567C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года датируется документ комиссии, которая занималась "уничтожением" на полигоне в Шиханах нескольких десятков тысяч авиахимбоеприпасов - от небольшой АОХ-8 до гигантской ХАБ-1000. Все они были снаряжены рецептурами СОВ - ипритом, смесями иприта с люизитом, азотистым ипритом (9065).</w:t>
      </w:r>
    </w:p>
    <w:p w14:paraId="01E3415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4E8F4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EDB8D7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6E052A0" w14:textId="77777777" w:rsidR="00822B1C" w:rsidRPr="00DB5D0D" w:rsidRDefault="00822B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мая 1940 британский авианосец HMS Ark Royal начинает полуторанедельную поддержку союзных войск в районе Нарвика в Норвегии (20795).</w:t>
      </w:r>
    </w:p>
    <w:p w14:paraId="06CE90DB" w14:textId="77777777" w:rsidR="00822B1C" w:rsidRPr="00DB5D0D" w:rsidRDefault="00822B1C" w:rsidP="00DB5D0D">
      <w:pPr>
        <w:spacing w:after="0" w:line="240" w:lineRule="auto"/>
        <w:jc w:val="both"/>
        <w:rPr>
          <w:rFonts w:ascii="Times New Roman" w:hAnsi="Times New Roman"/>
          <w:color w:val="0070C0"/>
          <w:sz w:val="16"/>
          <w:szCs w:val="16"/>
        </w:rPr>
      </w:pPr>
    </w:p>
    <w:p w14:paraId="3D97D509" w14:textId="77777777" w:rsidR="00822B1C" w:rsidRPr="00DB5D0D" w:rsidRDefault="00822B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мая 1940 - Командир GC I/145 "Warsawa" (в которой воевали польские пилоты) и одновременно шеф-пилот SNCAO M.Demazieres сбил на единственного опытном образце французского истребителя САО.200 бомбардировщик Не-111. Судя по всему, это был первый и последний боевой вылет САО.200. Осенью того же года немцы реквизировали прототип и вывезли в Германию для испытаний, после завершения которых истребитель разобрали на металл (22512).</w:t>
      </w:r>
    </w:p>
    <w:p w14:paraId="04D48BF2" w14:textId="77777777" w:rsidR="00822B1C" w:rsidRPr="00DB5D0D" w:rsidRDefault="00822B1C" w:rsidP="00DB5D0D">
      <w:pPr>
        <w:spacing w:after="0" w:line="240" w:lineRule="auto"/>
        <w:jc w:val="both"/>
        <w:rPr>
          <w:rFonts w:ascii="Times New Roman" w:hAnsi="Times New Roman"/>
          <w:color w:val="0070C0"/>
          <w:sz w:val="16"/>
          <w:szCs w:val="16"/>
        </w:rPr>
      </w:pPr>
    </w:p>
    <w:p w14:paraId="17CF8DBB" w14:textId="77777777" w:rsidR="00A636A6" w:rsidRPr="00DB5D0D" w:rsidRDefault="00A636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мая в 1940 году командир GC I/145 «Warsawa» (в которой воевали польские пилоты) и одновременно шеф-пилот «SNCAO» M.Demazieres сбил на единственного опытном образце французского истребителя </w:t>
      </w:r>
      <w:hyperlink r:id="rId13" w:tgtFrame="_blank" w:history="1">
        <w:r w:rsidRPr="00DB5D0D">
          <w:rPr>
            <w:rFonts w:ascii="Times New Roman" w:hAnsi="Times New Roman"/>
            <w:color w:val="000000" w:themeColor="text1"/>
            <w:sz w:val="16"/>
            <w:szCs w:val="16"/>
          </w:rPr>
          <w:t xml:space="preserve">«САО.200» </w:t>
        </w:r>
      </w:hyperlink>
      <w:r w:rsidRPr="00DB5D0D">
        <w:rPr>
          <w:rFonts w:ascii="Times New Roman" w:hAnsi="Times New Roman"/>
          <w:color w:val="000000" w:themeColor="text1"/>
          <w:sz w:val="16"/>
          <w:szCs w:val="16"/>
        </w:rPr>
        <w:t>бомбардировщик «Не-111». Судя по всему, это был первый и последний боевой вылет «САО.200». Осенью того же года немцы реквизировали прототип и вывезли в Германию для испытаний, после завершения которых истребитель разобрали на металл (14882).</w:t>
      </w:r>
    </w:p>
    <w:p w14:paraId="107CF24D" w14:textId="77777777" w:rsidR="00A636A6" w:rsidRPr="00DB5D0D" w:rsidRDefault="00A636A6" w:rsidP="00DB5D0D">
      <w:pPr>
        <w:spacing w:after="0" w:line="240" w:lineRule="auto"/>
        <w:jc w:val="both"/>
        <w:rPr>
          <w:rFonts w:ascii="Times New Roman" w:hAnsi="Times New Roman"/>
          <w:color w:val="000000" w:themeColor="text1"/>
          <w:sz w:val="16"/>
          <w:szCs w:val="16"/>
        </w:rPr>
      </w:pPr>
    </w:p>
    <w:p w14:paraId="6241C6EB" w14:textId="77777777" w:rsidR="00822B1C" w:rsidRPr="00DB5D0D" w:rsidRDefault="00822B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мая 1940 - Произошел уникальный случай - два гидросамолета Кригсмарине типа Ar-196A-2 (Арадо) принудили сдаться в плен английскую ПЛ. Сперва повредив ее бомбой, отчего она не смогла погружаться, а потом обстреливая ее пулеметно-пушечным огнем. Вооружение данной модели: 2 крыльевые 20-мм пушки MG FF, один 7,92 мм пулемет MG-17 по правому борту и еще один 7,92 мм пулемет MG-15 у стрелка-радиста. до 100 кг бомб. Данный вариант был заточен для патрулирования побережья. В чем и преуспел.</w:t>
      </w:r>
    </w:p>
    <w:p w14:paraId="10792216" w14:textId="77777777" w:rsidR="00822B1C" w:rsidRPr="00DB5D0D" w:rsidRDefault="00822B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Другой вариант событий:</w:t>
      </w:r>
    </w:p>
    <w:p w14:paraId="121D721F" w14:textId="77777777" w:rsidR="00822B1C" w:rsidRPr="00DB5D0D" w:rsidRDefault="00822B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 время боевого вылета 5 мая 1940 года паре Ar-196A-2 удалось захватить английскую субмарину "Тюлень". Подлодка, выполнявшая постановку мин в проливе Каттегат, наскочила на собственную мину и вынуждена была всплыть. Замеченная с Ar-196А-2 лейтенанта Гюнтера Меренса, она тут же была атакована бомбами и пушечным огнем. После того как к атаке присоединился и второй Ar-196A-2, английские подводники выбросили белый флAr. Меренс, приводнившись рядом, забрал капитана субмарины с собой в Ольберг, а поврежденная подлодка сама дошла до ближайшего датского порта Фредериксхафена и сдалась немцам (22512).</w:t>
      </w:r>
    </w:p>
    <w:p w14:paraId="0EAFD7B9" w14:textId="77777777" w:rsidR="00822B1C" w:rsidRPr="00DB5D0D" w:rsidRDefault="00822B1C" w:rsidP="00DB5D0D">
      <w:pPr>
        <w:spacing w:after="0" w:line="240" w:lineRule="auto"/>
        <w:jc w:val="both"/>
        <w:rPr>
          <w:rFonts w:ascii="Times New Roman" w:hAnsi="Times New Roman"/>
          <w:color w:val="0070C0"/>
          <w:sz w:val="16"/>
          <w:szCs w:val="16"/>
        </w:rPr>
      </w:pPr>
    </w:p>
    <w:p w14:paraId="2468280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у берегов Дании немцы захватили английскую подлодку «Сил» (4962).</w:t>
      </w:r>
    </w:p>
    <w:p w14:paraId="4AD3C77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998875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в Париже закрыта газета немецких антифашистских эмигрантов «Нойер Форвартс» (4962).</w:t>
      </w:r>
    </w:p>
    <w:p w14:paraId="2B8D326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2D387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в New York Times появилась статья о выделении урана 235, объявляющая, что "наукой открыт мощный источник атомной энергии" и сообщающая, что в Германии ведутся работы в области деления. На следующий день появилась статья о том, что энергия урана 235 пока не имеет военного применения (2200).</w:t>
      </w:r>
    </w:p>
    <w:p w14:paraId="680D193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8D1BB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56DE37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3BB78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1940 г. начальник самолетного отдела 7 ГУ НКАП И.И.Машкевич направил в адрес Начальника 11-го ГУ С. Н. Шишкина заключение полетным данным самолета ОПБ М-90 Кочеригина, полученным в проекте.</w:t>
      </w:r>
    </w:p>
    <w:p w14:paraId="3A11BD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заключении отмечались характерные оригинальные особенности конструкции самолета/хороший обзор у летчика, мощная механизация крыла.</w:t>
      </w:r>
    </w:p>
    <w:p w14:paraId="559E94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Отмечалось также, что, несмотря на правильно выбранные в расчетах коэффициенты/уложиться в нормальный полетный вес 3480 кг при постройке машины будет трудно и полетный вес вероятно возрастет до 3700 кг. Естественно, это должно сказаться и на летных характеристиках.</w:t>
      </w:r>
    </w:p>
    <w:p w14:paraId="3FA114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расчетам Машкевича посадочная скорость ОПБ реально должна быть больше заявленной конструктором на 4-5 км/ч, время набора высоты 7000 м увеличится на 0,6-1 мин, практический потолок снизится на 500 м. Кроме того, «на высоте 7000 м следует ожидать максимальную скорость 600 вместо 626 км/час».</w:t>
      </w:r>
    </w:p>
    <w:p w14:paraId="21A5E5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по проекту Машкевич писал: «Самолет представляет интерес как тип одномоторного пикирующего бомбардировщика с вполне удовлетворительными летными данными, Тов. Кочеригин имеет достаточный опыт для того, чтобы создать хорошие конструктивные формы. КБ имеет производственную базу и свободные возможности. Поэтому дальнейшую разработку проекта с последующей постройкой самолета следует осуществить» (9649).</w:t>
      </w:r>
    </w:p>
    <w:p w14:paraId="7463A6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Схема самолета - одноместный низкоплан с крылом типа «обратная чайка», с хвостовым оперением нормального типа.</w:t>
      </w:r>
    </w:p>
    <w:p w14:paraId="2DEA7A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машины смешанная. Фюзеляж - монокок. Передняя часть фюзеляжа до половины кабины летчика - дюралевая, хвостовая - фанерный монокок. Каркас представлял собой набор шпангоутов и продольных стрингеров. Обшивался шпоном в несколько слоев.</w:t>
      </w:r>
    </w:p>
    <w:p w14:paraId="176DCA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Нижняя часть фюзеляжа имела шахту для подвески крупнокалиберной авиабомбы.</w:t>
      </w:r>
    </w:p>
    <w:p w14:paraId="6A0D9D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цельнометаллическое с двумя лонжеронами из хромансилевых профилей Т-образного сечения с дюралевыми полками. Нервюры дюралевые, штампованные. Обшивка работающая, дюралевая.</w:t>
      </w:r>
    </w:p>
    <w:p w14:paraId="275DC1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- 18 м2. Профиль крыла типа NACA-23014. Крыло состояло из центроплана и дух отъемных частей. Крыло имело развитую механизацию. На крыле имелись закрылки Шренка и у заднего лонжерона на верхней и нижней сторонах консолей - воздушные тормоза, отклоняющиеся на 90° для уменьшения скорости пикирования.</w:t>
      </w:r>
    </w:p>
    <w:p w14:paraId="52CBC6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Горизонтальное оперение свобод-нонесущее. Стабилизатор цельнометаллический с дюралевой работающей обшивкой и набором штампованных лонжеронов и нервюр.</w:t>
      </w:r>
    </w:p>
    <w:p w14:paraId="6E7FD9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Руль высоты с управляемыми флет-нерами, работающими автоматически как компенсаторы и управляемые из кабины летчика.</w:t>
      </w:r>
    </w:p>
    <w:p w14:paraId="39BAE8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Вертикальное оперение деревянное выполнялось за одно целое с фюзеляжем. Каркас руля высоты - дюралевый с полотняной обшивкой. Руль высоты снабжался управляемым триммером.</w:t>
      </w:r>
    </w:p>
    <w:p w14:paraId="5264A2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М-90 заключен в капот с регулируемой входной щелью (так называемой «юбочкой»). На металлический трехлопастный винт-автомат надевался двойной кок, причем наружный являлся продолжением капота мотора.</w:t>
      </w:r>
    </w:p>
    <w:p w14:paraId="79AA6F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Воздух для охлаждения головок цилиндров поступал под капот через отверстие между внутренними и наружными коками.</w:t>
      </w:r>
    </w:p>
    <w:p w14:paraId="1A87F9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Попутно отметим, что примерно такое же решение предусматривал и Николай Николаевич Поликарпов на И-185 М-90.</w:t>
      </w:r>
    </w:p>
    <w:p w14:paraId="6D686C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Маслорадиатор устанавливался под капотом в специальном тоннеле.</w:t>
      </w:r>
    </w:p>
    <w:p w14:paraId="5A1D6C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крыле и в фюзеляже имелось б протектированных бензобаков общей емкостью 510л.</w:t>
      </w:r>
    </w:p>
    <w:p w14:paraId="35D0CF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увеличения дальности полета под крыльями и в бомбовом отсеке предусматривалась подвеска сбрасываемых в полете бензобаков общей емкостью в 560 л. Маслобак емкостью 80 л располагался в передней части фюзеляжа сверху.</w:t>
      </w:r>
    </w:p>
    <w:p w14:paraId="26A86E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состояло из стойки и качающейся вилки для колеса. Подъем и выпуск шасси гидравлический. Давление в системе создается помпой, приводимой от мотора.</w:t>
      </w:r>
    </w:p>
    <w:p w14:paraId="26A402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Предусматривалась механическая система аварийного выпуска шасси. Основные стойки шасси убирались в центроплан по диагонали в направлении к фюзеляжу с поворотом вокруг оси.</w:t>
      </w:r>
    </w:p>
    <w:p w14:paraId="7CF0DA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Колеса полубаллонные/тормозные размером 750х250 мм. Хвостовое колесо размером 300х150 мм ориентирующееся, стопорящееся и убирающееся в полете.</w:t>
      </w:r>
    </w:p>
    <w:p w14:paraId="3F0728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Управление самолетом жесткое на шарикоподшипниках.</w:t>
      </w:r>
    </w:p>
    <w:p w14:paraId="10B1D5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машины состояло из двух размещенных в центроплане 12,7-мм пулеметов БК конструкции М. Е. Березина с боекомплектом по 200 патронов на каждый, двух расположенных по бокам фюзеляжа выше оси самолета синхронных пулеметов нормального калибра ШКАС с боезапасом по 750 патронов на ствол.</w:t>
      </w:r>
    </w:p>
    <w:p w14:paraId="1158E5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включала 500 кг бомб. При этом, в «шахте» фюзеляжа могла подвешиваться одна крупнокалиберная бомба, либо ФАБ-500, либо ФАБ-250. При сбросе таких бомб с пикирования специальный паралле-лограммный механизм подвески обеспечивал вывод бомбы за пределы площади, ометаемой винтом.</w:t>
      </w:r>
    </w:p>
    <w:p w14:paraId="1A57CA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крылом имелись два держателя, обеспечивающие подвеску двух бомб типа ФАБ-250 или ФАБ-100. Сброс бомб с подкрыльевых держателей был возможен как с горизонтального полета, так и с пикирования.</w:t>
      </w:r>
    </w:p>
    <w:p w14:paraId="350A66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ОПБ М-90 по проекту - 3480-3700 кг. Максимальная скорость полета при нормальном полетном весе по расчетам была очень высокой - до 625 км/ч на высоте 7000 м.</w:t>
      </w:r>
    </w:p>
    <w:p w14:paraId="6B1181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Скоростная дальность полета - 700 км, предельная дальность (в перегрузочном варианте) - 1100 км. Время подъема на высоту 7000 м -около 8 мин. Посадочная скорость - 120 км/ч. Практический потолок - 11000 м. Удельная нагрузка на крыло - 193 кг/м2 (9649).</w:t>
      </w:r>
    </w:p>
    <w:p w14:paraId="199145F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34DD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1940 И.И.Машкевич направил в адрес Нач. 11 ГУ НКАП С.Н.Шишкина заключение по проекту ОПБ С.А.Кочеригина. Отметил хороший обзор у л, мощную механизацию крыла: "Самолет представляет интерес как тип одномоторного пб с вполне удовлетворительными ЛД. Кочеригин имеет достаточный опыт для того, чтобы создать хорошие конструктивные формы. КБ имеет производственную базу и свободные мощности (3807,78).</w:t>
      </w:r>
    </w:p>
    <w:p w14:paraId="0818007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D7B6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1940 в ходе гос. испытаний в НИИ ВВС головного серийного самолета ДБ-3 2М-88 N 390204 с винтами ВИШ-23А, производства завода 39 полет не проводился, т.к. при подготовка лопнула камера и покрышка правого колеса и потребовалось ставить новые усиленные колеса (2135).</w:t>
      </w:r>
    </w:p>
    <w:p w14:paraId="3D81D08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28A3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1940 Нач. ГУАС КА Алексеев и Военком Князев писали письмо N 501587 НКАП А.И.Ш.:</w:t>
      </w:r>
    </w:p>
    <w:p w14:paraId="0A183F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"Препровождая копию донесения от 5 мая с.г. НИИ ГУАС КА о результатах испытаний ДБ-3Ф 2М-88, сообщаю, что мною отдано приказание военной приемке заводов 18 и 39 прекратить окончательное оформление и оплату самолетов, как неполноценных." (1295,4).</w:t>
      </w:r>
    </w:p>
    <w:p w14:paraId="5F576FC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682B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1940 на СПБ N 2/1 Н.Н.П. заклинило левый мотор и сели на вынужденную в Щелково (1365,5).</w:t>
      </w:r>
    </w:p>
    <w:p w14:paraId="0F61E01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DE15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1940 очередной испытательный полет СПБ № 2-0 за</w:t>
      </w:r>
      <w:r w:rsidRPr="00DB5D0D">
        <w:rPr>
          <w:rFonts w:ascii="Times New Roman" w:hAnsi="Times New Roman"/>
          <w:color w:val="000000" w:themeColor="text1"/>
          <w:sz w:val="16"/>
          <w:szCs w:val="16"/>
        </w:rPr>
        <w:softHyphen/>
        <w:t>кончился аварией: в воздухе заклинило левый мотор и машина сделала вынужденную посадку на аэродроме в Щелково (10667).</w:t>
      </w:r>
    </w:p>
    <w:p w14:paraId="3AEC2FE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F6D8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1940 были введены генеральские звания и 108 авиаторов стали ГМ и 14 - ГЛ (66,225). И.Ф.Петрову, фото которого в числе первых 16 генералов было на следующий день опубликовано в Правде вместо простого гестаповца приставили генерала (262,50).</w:t>
      </w:r>
    </w:p>
    <w:p w14:paraId="45C9A0D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2B2E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1940 г. проекты пушек (23-мм авиационные пушки — конкуренты МП-6 системы Таубина - системы В.Н. Салищева и В.Я. Галкина - ТКБ-198 и системы А.А. Волкова и С.А. Ярцева — ТКБ-201) с рабочими чертежами были представлены в ГАУ. Автоматика пушки ТКБ-198 действовала за счет отвода газов из канала ствола, питание звеньевое ленточное. Вес пушки 55 кг, длина ствола 1600 мм, длина пушки 2006 мм, ши</w:t>
      </w:r>
      <w:r w:rsidRPr="00DB5D0D">
        <w:rPr>
          <w:rFonts w:ascii="Times New Roman" w:hAnsi="Times New Roman"/>
          <w:color w:val="000000" w:themeColor="text1"/>
          <w:sz w:val="16"/>
          <w:szCs w:val="16"/>
        </w:rPr>
        <w:softHyphen/>
        <w:t>рина 136 мм, высота 173 мм. Средний темп стрельбы 531 выстр./мин. При весе снаряда 195 г начальная скорость 900 м/с. Действие автоматики 23-мм пушки ТКБ-201, позже получив</w:t>
      </w:r>
      <w:r w:rsidRPr="00DB5D0D">
        <w:rPr>
          <w:rFonts w:ascii="Times New Roman" w:hAnsi="Times New Roman"/>
          <w:color w:val="000000" w:themeColor="text1"/>
          <w:sz w:val="16"/>
          <w:szCs w:val="16"/>
        </w:rPr>
        <w:softHyphen/>
        <w:t>шей название ВЯ, основано на принципе использования энергии пороховых газов, отводимых из канала ствола. Затвор скользящий. Запирание клиновое. Питание автомата осуществлялось звеньевой металлической лентой. Подача патрона «двухэтажная», досылка прямая. После каждой очереди подвижные части пушки останавливались на шептале в крайнем положении, что исключало возможность воспламе</w:t>
      </w:r>
      <w:r w:rsidRPr="00DB5D0D">
        <w:rPr>
          <w:rFonts w:ascii="Times New Roman" w:hAnsi="Times New Roman"/>
          <w:color w:val="000000" w:themeColor="text1"/>
          <w:sz w:val="16"/>
          <w:szCs w:val="16"/>
        </w:rPr>
        <w:softHyphen/>
        <w:t>нения заряда в камере от ствола, нагревшегося во время стрельбы. При заряжании и перезаряжании пушки (после задержки) по</w:t>
      </w:r>
      <w:r w:rsidRPr="00DB5D0D">
        <w:rPr>
          <w:rFonts w:ascii="Times New Roman" w:hAnsi="Times New Roman"/>
          <w:color w:val="000000" w:themeColor="text1"/>
          <w:sz w:val="16"/>
          <w:szCs w:val="16"/>
        </w:rPr>
        <w:softHyphen/>
        <w:t>движные части отводились в крайнее заднее положение при помо</w:t>
      </w:r>
      <w:r w:rsidRPr="00DB5D0D">
        <w:rPr>
          <w:rFonts w:ascii="Times New Roman" w:hAnsi="Times New Roman"/>
          <w:color w:val="000000" w:themeColor="text1"/>
          <w:sz w:val="16"/>
          <w:szCs w:val="16"/>
        </w:rPr>
        <w:softHyphen/>
        <w:t>щи механизма пневмозарядки. Достоинством автомата ВЯ стал его высокий темп стрельбы при большой мощности выстрела для такого калибра. Недостатком ав</w:t>
      </w:r>
      <w:r w:rsidRPr="00DB5D0D">
        <w:rPr>
          <w:rFonts w:ascii="Times New Roman" w:hAnsi="Times New Roman"/>
          <w:color w:val="000000" w:themeColor="text1"/>
          <w:sz w:val="16"/>
          <w:szCs w:val="16"/>
        </w:rPr>
        <w:softHyphen/>
        <w:t>томата являлась большая отдача и резкая работа механизмов. Большая отдача вызывала необходимость ставить автомат, как правило, с пружинным амортизатором. Резкая работа механизмов снижала живучесть деталей и вызывала задержки, многие из кото</w:t>
      </w:r>
      <w:r w:rsidRPr="00DB5D0D">
        <w:rPr>
          <w:rFonts w:ascii="Times New Roman" w:hAnsi="Times New Roman"/>
          <w:color w:val="000000" w:themeColor="text1"/>
          <w:sz w:val="16"/>
          <w:szCs w:val="16"/>
        </w:rPr>
        <w:softHyphen/>
        <w:t>рых не могли быть устранены в воздухе. Новые пушки выпускались с диаметром газового регулятора 4,5 м с темпом стрельбы 525—600 выстр./мин., но после разгара от</w:t>
      </w:r>
      <w:r w:rsidRPr="00DB5D0D">
        <w:rPr>
          <w:rFonts w:ascii="Times New Roman" w:hAnsi="Times New Roman"/>
          <w:color w:val="000000" w:themeColor="text1"/>
          <w:sz w:val="16"/>
          <w:szCs w:val="16"/>
        </w:rPr>
        <w:softHyphen/>
        <w:t>верстия темп стрельбы повышался. В боекомплект пушки ВЯ входили осколочно-зажигательные, сколочно-зажигательно-трассирующие и бронебойно-зажигательные снаряды. Вес всех снарядов был одинаков — около 200 г, то есть в два раза больше, чем у 20-мм пушки ШВАК. Осколочный снаряд содержал 10 г взрывчатого вещества. Разрывное действие осколочного снаряда пушки ВЯ было в два раза больше, чем у 20-мм пушки ШВАК (10695).</w:t>
      </w:r>
    </w:p>
    <w:p w14:paraId="0AA282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7730285" w14:textId="77777777" w:rsidR="00445F3B" w:rsidRPr="00DB5D0D" w:rsidRDefault="00445F3B" w:rsidP="00DB5D0D">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6 мая 1940 г. проекты пушек конструкции Салищева и Галкина (СГ) и Волкова и Ярцева (ВЯ) были представлены в ГАУ (19195).</w:t>
      </w:r>
    </w:p>
    <w:p w14:paraId="32345726" w14:textId="77777777" w:rsidR="00445F3B" w:rsidRPr="00DB5D0D" w:rsidRDefault="00445F3B" w:rsidP="00DB5D0D">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1D00147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71CD90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8BF31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1940 года Артуправление предложило заказать два опытных образца 100-мм спаренных пушек Кировскому заводу по чертежам ОТБ. Первый образец должен быть изготовлен не позже 1 февраля 1941 года (3861).</w:t>
      </w:r>
    </w:p>
    <w:p w14:paraId="79EDC38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73CFBD" w14:textId="77777777" w:rsidR="004075DF" w:rsidRPr="00DB5D0D" w:rsidRDefault="004075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1940 г. в ходе технического совещания по модернизации МТ-1 было рассмотрено предложение заместителя СКБ-4 Кировского завода Н.В. Курина</w:t>
      </w:r>
      <w:r w:rsidRPr="00DB5D0D">
        <w:rPr>
          <w:rStyle w:val="0pt1"/>
          <w:rFonts w:eastAsia="Arial Narrow"/>
          <w:b w:val="0"/>
          <w:color w:val="000000" w:themeColor="text1"/>
          <w:spacing w:val="0"/>
          <w:sz w:val="16"/>
          <w:szCs w:val="16"/>
        </w:rPr>
        <w:t xml:space="preserve"> по изменению</w:t>
      </w:r>
      <w:r w:rsidRPr="00DB5D0D">
        <w:rPr>
          <w:rFonts w:ascii="Times New Roman" w:hAnsi="Times New Roman"/>
          <w:color w:val="000000" w:themeColor="text1"/>
          <w:sz w:val="16"/>
          <w:szCs w:val="16"/>
        </w:rPr>
        <w:t>ее конструкции. В частности, предлагалось:</w:t>
      </w:r>
    </w:p>
    <w:p w14:paraId="42F5657E" w14:textId="77777777" w:rsidR="004075DF" w:rsidRPr="00DB5D0D" w:rsidRDefault="004075DF"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 Для сокращения длины башни и ее ивания относительно погона, качающуюся</w:t>
      </w:r>
      <w:r w:rsidRPr="00DB5D0D">
        <w:rPr>
          <w:rStyle w:val="40pt0"/>
          <w:rFonts w:ascii="Times New Roman" w:hAnsi="Times New Roman" w:cs="Times New Roman"/>
          <w:b w:val="0"/>
          <w:i w:val="0"/>
          <w:color w:val="000000" w:themeColor="text1"/>
          <w:spacing w:val="0"/>
          <w:sz w:val="16"/>
          <w:szCs w:val="16"/>
        </w:rPr>
        <w:t>часть</w:t>
      </w:r>
      <w:r w:rsidRPr="00DB5D0D">
        <w:rPr>
          <w:rFonts w:ascii="Times New Roman" w:cs="Times New Roman"/>
          <w:color w:val="000000" w:themeColor="text1"/>
          <w:sz w:val="16"/>
          <w:szCs w:val="16"/>
        </w:rPr>
        <w:t xml:space="preserve"> гаубицы продвинуть вперед на 355 мм, ось цапф снизить на 150 мм и укоротить заднюю часть люльки на 120 мм.</w:t>
      </w:r>
    </w:p>
    <w:p w14:paraId="5B4378D3" w14:textId="77777777" w:rsidR="004075DF" w:rsidRPr="00DB5D0D" w:rsidRDefault="004075DF"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3. Коробку подъемного механизма запроектировать</w:t>
      </w:r>
      <w:r w:rsidRPr="00DB5D0D">
        <w:rPr>
          <w:rStyle w:val="4f"/>
          <w:b w:val="0"/>
          <w:color w:val="000000" w:themeColor="text1"/>
          <w:sz w:val="16"/>
          <w:szCs w:val="16"/>
        </w:rPr>
        <w:t>новую</w:t>
      </w:r>
      <w:r w:rsidRPr="00DB5D0D">
        <w:rPr>
          <w:rFonts w:ascii="Times New Roman" w:cs="Times New Roman"/>
          <w:color w:val="000000" w:themeColor="text1"/>
          <w:sz w:val="16"/>
          <w:szCs w:val="16"/>
        </w:rPr>
        <w:t xml:space="preserve"> с использованием переда</w:t>
      </w:r>
      <w:r w:rsidRPr="00DB5D0D">
        <w:rPr>
          <w:rFonts w:ascii="Times New Roman" w:cs="Times New Roman"/>
          <w:color w:val="000000" w:themeColor="text1"/>
          <w:sz w:val="16"/>
          <w:szCs w:val="16"/>
        </w:rPr>
        <w:softHyphen/>
        <w:t>точных деталей подъемного механизма с ва</w:t>
      </w:r>
      <w:r w:rsidRPr="00DB5D0D">
        <w:rPr>
          <w:rFonts w:ascii="Times New Roman" w:cs="Times New Roman"/>
          <w:color w:val="000000" w:themeColor="text1"/>
          <w:sz w:val="16"/>
          <w:szCs w:val="16"/>
        </w:rPr>
        <w:softHyphen/>
        <w:t>лового производства гаубицы.</w:t>
      </w:r>
    </w:p>
    <w:p w14:paraId="467F1FA0" w14:textId="77777777" w:rsidR="004075DF" w:rsidRPr="00DB5D0D" w:rsidRDefault="004075DF"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4. Сектор подъемного механизма укоро</w:t>
      </w:r>
      <w:r w:rsidRPr="00DB5D0D">
        <w:rPr>
          <w:rFonts w:ascii="Times New Roman" w:cs="Times New Roman"/>
          <w:color w:val="000000" w:themeColor="text1"/>
          <w:sz w:val="16"/>
          <w:szCs w:val="16"/>
        </w:rPr>
        <w:softHyphen/>
        <w:t>тить до размеров, обеспечивающих требуе</w:t>
      </w:r>
      <w:r w:rsidRPr="00DB5D0D">
        <w:rPr>
          <w:rFonts w:ascii="Times New Roman" w:cs="Times New Roman"/>
          <w:color w:val="000000" w:themeColor="text1"/>
          <w:sz w:val="16"/>
          <w:szCs w:val="16"/>
        </w:rPr>
        <w:softHyphen/>
        <w:t>мый в установке угол возвышения...</w:t>
      </w:r>
    </w:p>
    <w:p w14:paraId="15ED2953" w14:textId="77777777" w:rsidR="004075DF" w:rsidRPr="00DB5D0D" w:rsidRDefault="004075DF"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w:t>
      </w:r>
    </w:p>
    <w:p w14:paraId="465713B8" w14:textId="77777777" w:rsidR="004075DF" w:rsidRPr="00DB5D0D" w:rsidRDefault="004075DF"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6. В целях упрощения производства рам</w:t>
      </w:r>
      <w:r w:rsidRPr="00DB5D0D">
        <w:rPr>
          <w:rFonts w:ascii="Times New Roman" w:cs="Times New Roman"/>
          <w:color w:val="000000" w:themeColor="text1"/>
          <w:sz w:val="16"/>
          <w:szCs w:val="16"/>
        </w:rPr>
        <w:softHyphen/>
        <w:t>ку и цапфенную обойму запроектировать литыми...»</w:t>
      </w:r>
    </w:p>
    <w:p w14:paraId="159C4706" w14:textId="77777777" w:rsidR="004075DF" w:rsidRPr="00DB5D0D" w:rsidRDefault="004075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предложенные изменения позво</w:t>
      </w:r>
      <w:r w:rsidRPr="00DB5D0D">
        <w:rPr>
          <w:rFonts w:ascii="Times New Roman" w:hAnsi="Times New Roman"/>
          <w:color w:val="000000" w:themeColor="text1"/>
          <w:sz w:val="16"/>
          <w:szCs w:val="16"/>
        </w:rPr>
        <w:softHyphen/>
        <w:t>ляли уменьшить габариты башни по высоте на 370 мм и на 300 мм по длине, а также снизить ее общую массу на 2000 кг. Однако требова</w:t>
      </w:r>
      <w:r w:rsidRPr="00DB5D0D">
        <w:rPr>
          <w:rFonts w:ascii="Times New Roman" w:hAnsi="Times New Roman"/>
          <w:color w:val="000000" w:themeColor="text1"/>
          <w:sz w:val="16"/>
          <w:szCs w:val="16"/>
        </w:rPr>
        <w:softHyphen/>
        <w:t>лась серьезная доработка качающейся части полевой гаубицы для уменьшения отката сис</w:t>
      </w:r>
      <w:r w:rsidRPr="00DB5D0D">
        <w:rPr>
          <w:rFonts w:ascii="Times New Roman" w:hAnsi="Times New Roman"/>
          <w:color w:val="000000" w:themeColor="text1"/>
          <w:sz w:val="16"/>
          <w:szCs w:val="16"/>
        </w:rPr>
        <w:softHyphen/>
        <w:t>темы (с 950 до 650-750 мм), что в сложивших</w:t>
      </w:r>
      <w:r w:rsidRPr="00DB5D0D">
        <w:rPr>
          <w:rFonts w:ascii="Times New Roman" w:hAnsi="Times New Roman"/>
          <w:color w:val="000000" w:themeColor="text1"/>
          <w:sz w:val="16"/>
          <w:szCs w:val="16"/>
        </w:rPr>
        <w:softHyphen/>
        <w:t>ся обстоятельствах посчитали неприемлемым.</w:t>
      </w:r>
    </w:p>
    <w:p w14:paraId="275D681B" w14:textId="77777777" w:rsidR="004075DF" w:rsidRPr="00DB5D0D" w:rsidRDefault="004075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конструктивные изменения кос</w:t>
      </w:r>
      <w:r w:rsidRPr="00DB5D0D">
        <w:rPr>
          <w:rFonts w:ascii="Times New Roman" w:hAnsi="Times New Roman"/>
          <w:color w:val="000000" w:themeColor="text1"/>
          <w:sz w:val="16"/>
          <w:szCs w:val="16"/>
        </w:rPr>
        <w:softHyphen/>
        <w:t>нулись только башни и были направлены на упрощение технологии ее изготовления и сни</w:t>
      </w:r>
      <w:r w:rsidRPr="00DB5D0D">
        <w:rPr>
          <w:rFonts w:ascii="Times New Roman" w:hAnsi="Times New Roman"/>
          <w:color w:val="000000" w:themeColor="text1"/>
          <w:sz w:val="16"/>
          <w:szCs w:val="16"/>
        </w:rPr>
        <w:softHyphen/>
        <w:t>жение массы. Реализованные решения позво</w:t>
      </w:r>
      <w:r w:rsidRPr="00DB5D0D">
        <w:rPr>
          <w:rFonts w:ascii="Times New Roman" w:hAnsi="Times New Roman"/>
          <w:color w:val="000000" w:themeColor="text1"/>
          <w:sz w:val="16"/>
          <w:szCs w:val="16"/>
        </w:rPr>
        <w:softHyphen/>
        <w:t>лили сократить общую массу башни на 1200 кг, уменьшив габариты по высоте и длине на 250 и 400 мм соответственно (15767).</w:t>
      </w:r>
    </w:p>
    <w:p w14:paraId="456F8CC1" w14:textId="77777777" w:rsidR="004075DF" w:rsidRPr="00DB5D0D" w:rsidRDefault="004075DF" w:rsidP="00DB5D0D">
      <w:pPr>
        <w:spacing w:after="0" w:line="240" w:lineRule="auto"/>
        <w:jc w:val="both"/>
        <w:rPr>
          <w:rFonts w:ascii="Times New Roman" w:hAnsi="Times New Roman"/>
          <w:color w:val="000000" w:themeColor="text1"/>
          <w:sz w:val="16"/>
          <w:szCs w:val="16"/>
        </w:rPr>
      </w:pPr>
    </w:p>
    <w:p w14:paraId="6377A3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1941 г.</w:t>
      </w:r>
    </w:p>
    <w:p w14:paraId="7FD1DC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«Пом. командира в/ч 5427 воешнженеру 2 ранга тов. Туманову</w:t>
      </w:r>
    </w:p>
    <w:p w14:paraId="30F9C6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Львов</w:t>
      </w:r>
    </w:p>
    <w:p w14:paraId="794D8A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Прибывшие к Вам из в/части 5784</w:t>
      </w:r>
      <w:hyperlink r:id="rId14" w:anchor="n_53" w:history="1">
        <w:r w:rsidRPr="00DB5D0D">
          <w:rPr>
            <w:rFonts w:ascii="Times New Roman" w:hAnsi="Times New Roman"/>
            <w:color w:val="000000" w:themeColor="text1"/>
            <w:sz w:val="16"/>
            <w:szCs w:val="16"/>
          </w:rPr>
          <w:t>[53]</w:t>
        </w:r>
      </w:hyperlink>
      <w:r w:rsidRPr="00DB5D0D">
        <w:rPr>
          <w:rFonts w:ascii="Times New Roman" w:hAnsi="Times New Roman"/>
          <w:color w:val="000000" w:themeColor="text1"/>
          <w:sz w:val="16"/>
          <w:szCs w:val="16"/>
        </w:rPr>
        <w:t xml:space="preserve"> г. Псков 5 танков Т-28 принадлежат КОВО.</w:t>
      </w:r>
    </w:p>
    <w:p w14:paraId="2EBFC3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месяце 1940 г. танки из КОВО были отправлены на Кировский завод г. Ленинград для экранировки, откуда были направлены в в/часть 5784 на временное хранение.</w:t>
      </w:r>
    </w:p>
    <w:p w14:paraId="0DC0C3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дальнейшем было принято решение танки с корпусами из цементированной брони не экранировать. Из БТУ Кр. Армии начальнику АБТВ ЛВО письмом было дано указание отправить машины с корпусами из цементированной брони обратно в КОВО в те войсковые части откуда прибыли. По чьей вине были засланы машины не по назначению, нами будет выяснено.</w:t>
      </w:r>
    </w:p>
    <w:p w14:paraId="371A6C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Нам надлежит выяснить через округ, какой войсковой части принадлежат присланные машины и руководствоваться указанием начальника АБТВ КОВО.</w:t>
      </w:r>
    </w:p>
    <w:p w14:paraId="0BD3CF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АБТВ КОВО письмом из БТУ Кр. Армии о возвращении машин неэкранированными поставлен в известность.</w:t>
      </w:r>
    </w:p>
    <w:p w14:paraId="57DD4C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1-го отдела БТУ Кр. Армии военинженер I ранга Павлов»</w:t>
      </w:r>
      <w:hyperlink r:id="rId15" w:anchor="n_54" w:history="1">
        <w:r w:rsidRPr="00DB5D0D">
          <w:rPr>
            <w:rFonts w:ascii="Times New Roman" w:hAnsi="Times New Roman"/>
            <w:color w:val="000000" w:themeColor="text1"/>
            <w:sz w:val="16"/>
            <w:szCs w:val="16"/>
          </w:rPr>
          <w:t>[54]</w:t>
        </w:r>
      </w:hyperlink>
      <w:r w:rsidRPr="00DB5D0D">
        <w:rPr>
          <w:rFonts w:ascii="Times New Roman" w:hAnsi="Times New Roman"/>
          <w:color w:val="000000" w:themeColor="text1"/>
          <w:sz w:val="16"/>
          <w:szCs w:val="16"/>
        </w:rPr>
        <w:t xml:space="preserve"> (12624).</w:t>
      </w:r>
    </w:p>
    <w:p w14:paraId="5FDD346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2F58F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7759D0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D2F7337" w14:textId="77777777" w:rsidR="004075DF" w:rsidRPr="00DB5D0D" w:rsidRDefault="004075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мая в 1940 году состоялся первый полет французского многоцелевого разведчика </w:t>
      </w:r>
      <w:hyperlink r:id="rId16" w:tgtFrame="_blank" w:history="1">
        <w:r w:rsidRPr="00DB5D0D">
          <w:rPr>
            <w:rFonts w:ascii="Times New Roman" w:hAnsi="Times New Roman"/>
            <w:color w:val="000000" w:themeColor="text1"/>
            <w:sz w:val="16"/>
            <w:szCs w:val="16"/>
          </w:rPr>
          <w:t xml:space="preserve">«D.750-01». </w:t>
        </w:r>
      </w:hyperlink>
      <w:r w:rsidRPr="00DB5D0D">
        <w:rPr>
          <w:rFonts w:ascii="Times New Roman" w:hAnsi="Times New Roman"/>
          <w:color w:val="000000" w:themeColor="text1"/>
          <w:sz w:val="16"/>
          <w:szCs w:val="16"/>
        </w:rPr>
        <w:t>Испытания самолёта провел шеф-пилот фирмы «Devoitine» Марсель Доре, который остался очень доволен машиной. «D.750» рекомендовали в серийное производство, однако внезапная капитуляция Франции заставили прекратить все работы не только по внедрению самолёта в серию, но закрыть проект вообще. Полуготовый «D.750-02» не был достроен, а «D.750-01» уничтожили до прихода немцев (14883).</w:t>
      </w:r>
    </w:p>
    <w:p w14:paraId="3063E929" w14:textId="77777777" w:rsidR="004075DF" w:rsidRPr="00DB5D0D" w:rsidRDefault="004075DF" w:rsidP="00DB5D0D">
      <w:pPr>
        <w:spacing w:after="0" w:line="240" w:lineRule="auto"/>
        <w:jc w:val="both"/>
        <w:rPr>
          <w:rFonts w:ascii="Times New Roman" w:hAnsi="Times New Roman"/>
          <w:color w:val="000000" w:themeColor="text1"/>
          <w:sz w:val="16"/>
          <w:szCs w:val="16"/>
        </w:rPr>
      </w:pPr>
    </w:p>
    <w:p w14:paraId="0773BF1E" w14:textId="77777777" w:rsidR="00822B1C" w:rsidRPr="00DB5D0D" w:rsidRDefault="00822B1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в 1940 году Военный комитет Франции постановил ограничиться обороной в Альпах и Африке, не предпринимая наступлений (14883).</w:t>
      </w:r>
    </w:p>
    <w:p w14:paraId="7E779A3E" w14:textId="77777777" w:rsidR="00822B1C" w:rsidRPr="00DB5D0D" w:rsidRDefault="00822B1C" w:rsidP="00DB5D0D">
      <w:pPr>
        <w:spacing w:after="0" w:line="240" w:lineRule="auto"/>
        <w:jc w:val="both"/>
        <w:rPr>
          <w:rFonts w:ascii="Times New Roman" w:hAnsi="Times New Roman"/>
          <w:color w:val="000000" w:themeColor="text1"/>
          <w:sz w:val="16"/>
          <w:szCs w:val="16"/>
        </w:rPr>
      </w:pPr>
    </w:p>
    <w:p w14:paraId="03F49E1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мая 1940 в Англию прибыл золотой запас Норвегии (4962).</w:t>
      </w:r>
    </w:p>
    <w:p w14:paraId="5A629EA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46DE1B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677CF1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D4F86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начале мая 1940 г. начальник ГУАС КА комдив Алексеев был вынужден отдать </w:t>
      </w:r>
      <w:r w:rsidRPr="00DB5D0D">
        <w:rPr>
          <w:rFonts w:ascii="Times New Roman" w:hAnsi="Times New Roman"/>
          <w:iCs/>
          <w:color w:val="000000" w:themeColor="text1"/>
          <w:sz w:val="16"/>
          <w:szCs w:val="16"/>
        </w:rPr>
        <w:t>"...приказание военной приемке заводов №18 и Ns39 прекратить окончательное оформление и оплату самолетов (</w:t>
      </w:r>
      <w:r w:rsidRPr="00DB5D0D">
        <w:rPr>
          <w:rFonts w:ascii="Times New Roman" w:hAnsi="Times New Roman"/>
          <w:color w:val="000000" w:themeColor="text1"/>
          <w:sz w:val="16"/>
          <w:szCs w:val="16"/>
        </w:rPr>
        <w:t xml:space="preserve">ДБ-3ф ) </w:t>
      </w:r>
      <w:r w:rsidRPr="00DB5D0D">
        <w:rPr>
          <w:rFonts w:ascii="Times New Roman" w:hAnsi="Times New Roman"/>
          <w:iCs/>
          <w:color w:val="000000" w:themeColor="text1"/>
          <w:sz w:val="16"/>
          <w:szCs w:val="16"/>
        </w:rPr>
        <w:t>как неполноцен</w:t>
      </w:r>
      <w:r w:rsidRPr="00DB5D0D">
        <w:rPr>
          <w:rFonts w:ascii="Times New Roman" w:hAnsi="Times New Roman"/>
          <w:iCs/>
          <w:color w:val="000000" w:themeColor="text1"/>
          <w:sz w:val="16"/>
          <w:szCs w:val="16"/>
        </w:rPr>
        <w:softHyphen/>
        <w:t>ных... "</w:t>
      </w:r>
      <w:r w:rsidRPr="00DB5D0D">
        <w:rPr>
          <w:rFonts w:ascii="Times New Roman" w:hAnsi="Times New Roman"/>
          <w:color w:val="000000" w:themeColor="text1"/>
          <w:sz w:val="16"/>
          <w:szCs w:val="16"/>
        </w:rPr>
        <w:t>(6467).</w:t>
      </w:r>
    </w:p>
    <w:p w14:paraId="7EE8001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577A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мая 1940 г. в отношении ДБ-3Ф начальник ГУАС КА комдив П.А.Алексеев был вынужден отдать «... приказание военной приемке заводов № 18 и № 39 прекратить окончательное оформление и оплату самолетов как неполноценных...» (9649).</w:t>
      </w:r>
    </w:p>
    <w:p w14:paraId="27F0F6B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236CA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мая 1940 первый опытный СПБ Н.Н.П. N 1/0 решили доработать и направить для натурных исследований в трубе Т-101 ЦАГИ. На NN 2/0, 1/1 и 1/3 продолжили летные испытания (1365,5).</w:t>
      </w:r>
    </w:p>
    <w:p w14:paraId="6B05D39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9373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мая 1940 Смушкевич писал И.В.С., что вопрос о выборе самолета 100 или СПБ решится в ближайшие дни (1759,8).</w:t>
      </w:r>
    </w:p>
    <w:p w14:paraId="08D1CD7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C42DB0"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мая 1940 г. нарком ВМФ Кузнецов, ссылаясь на решение о возобновлении постройки тяжёлых 4-моторных ТБ-7, поставил перед Комитетом обороны вопрос о возобновлении на заводе №30 работ по серийному производству самолётов МТБ-2 с расчётом на выпуск 10 экземпляров в 1941 г. и обратился за поддержкой в этом вопросе к наркому НКАП Шахурину. Одновременно он поставил вопрос о снятии с КБ Голубкова задания на сухопутный бомбардировщик (было и такое) и замене его заданием на 4-моторный тяжёлый минный заградитель – морской бомбардировщик со сроком выхода на госиспытания 1 марта 1942 г. Самолёт должен был иметь максимальную скорость 550 км/ч, дальность полёта 4000 км с 2000 кг бомб и способность нести две торпеды или 4 мины. [3] Ответ Шахурина был уклончивым. Он допускал возможность возобновления производства лишь при условии заказа от ВМФ не только на 1941-й, но и на 1942 год, а вопрос о разработке нового самолёта, по его словам, был «передан на проработку конструкторам». [РГАЭ Ф. 8044 оп. 1, д. 431, лл. 220-222] (19000).</w:t>
      </w:r>
    </w:p>
    <w:p w14:paraId="4819A283" w14:textId="77777777" w:rsidR="00445F3B" w:rsidRPr="00DB5D0D" w:rsidRDefault="00445F3B" w:rsidP="00DB5D0D">
      <w:pPr>
        <w:spacing w:after="0" w:line="240" w:lineRule="auto"/>
        <w:jc w:val="both"/>
        <w:rPr>
          <w:rFonts w:ascii="Times New Roman" w:hAnsi="Times New Roman"/>
          <w:color w:val="000000" w:themeColor="text1"/>
          <w:sz w:val="16"/>
          <w:szCs w:val="16"/>
        </w:rPr>
      </w:pPr>
    </w:p>
    <w:p w14:paraId="1A7C52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мая 1940 года, сразу после майских праздников Незваля и Штейнберга снова вызвали к Шахурину где им обоим сообщили, что вышло Правительственное постановление о возобновлении серийной постройки ТБ-7 на заводе №124, но с новыми дизельными двигателями типа М-30 и М-40, и что директором на завод назначен М.М.Каганович. На ОКБ Незваля возлагалось проектирование новых силовых установок с использованием авиационных дизелей, одновременно с ОКБ было снято задание на проектирование пикирующего бомбардировщика. Заводу предписывалось срочно восстановить стапели и другую сборочную оснастку (7685).</w:t>
      </w:r>
    </w:p>
    <w:p w14:paraId="2E84730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3DC5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мая 1940 году, сразу после майских праздников Незваля и Штейнберга снова вызвали к Шахурину, где им обоим сообщили, что вышло Правительственное постановление о возобновлении серийной постройки ТБ-7 на заводе №124, но с новыми дизельными двигателями типа М-30 и М-40, и что директором на завод назначен М.М.Каганович. На ОКБ Незваля возлагалось проектирование новых силовых установок с использованием авиационных дизелей, одновременно с ОКБ было снято задание на проектирование пикирующего бомбардировщика. Заводу предписывалось срочно восстановить стапели и другую сборочную оснастку. 27 мая 1940 года выходит Постановление Комитета Обороны при СНК СССР, в котором конкретизировались требования к самолету ТБ-7, с различными типами двигателей:</w:t>
      </w:r>
    </w:p>
    <w:p w14:paraId="1EE02F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№124 надлежит организовать производство самолетов ТБ-7. Установить, что ТБ-7 должен выполнять функции: дальнего бомбардировщика, военно-транспортного самолета...</w:t>
      </w:r>
    </w:p>
    <w:p w14:paraId="1998B4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Оборонительное вооружение — 7 пулеметов, одна пушка, в 6 точках... Десант оговаривался в количестве 50- 55 человек, экипаж 10 человек" (12726).</w:t>
      </w:r>
    </w:p>
    <w:p w14:paraId="1262F10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C53A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первых числах мая 1940 г. на серийной машине И-180 № 25211 пришлось снять мотор М-88Р ввиду появления в нем металличес</w:t>
      </w:r>
      <w:r w:rsidRPr="00DB5D0D">
        <w:rPr>
          <w:rFonts w:ascii="Times New Roman" w:hAnsi="Times New Roman"/>
          <w:color w:val="000000" w:themeColor="text1"/>
          <w:sz w:val="16"/>
          <w:szCs w:val="16"/>
        </w:rPr>
        <w:softHyphen/>
        <w:t>кой стружки и заменить новым. Испытания шли своим чередом. 26 мая С.П.Супрун попросил разрешения со</w:t>
      </w:r>
      <w:r w:rsidRPr="00DB5D0D">
        <w:rPr>
          <w:rFonts w:ascii="Times New Roman" w:hAnsi="Times New Roman"/>
          <w:color w:val="000000" w:themeColor="text1"/>
          <w:sz w:val="16"/>
          <w:szCs w:val="16"/>
        </w:rPr>
        <w:softHyphen/>
        <w:t>вершить на серийном И-180 инспекторский полет. В три часа дня он вылетел на машине № 25212. Во время посадки на пробеге разрушилась траверса правой ноги шасси. Стойка вместе с колесом развернулась поперек направления движения и самолет скапотировал. Летчик не пострадал. Очевидцы происшествия, в том числе ве</w:t>
      </w:r>
      <w:r w:rsidRPr="00DB5D0D">
        <w:rPr>
          <w:rFonts w:ascii="Times New Roman" w:hAnsi="Times New Roman"/>
          <w:color w:val="000000" w:themeColor="text1"/>
          <w:sz w:val="16"/>
          <w:szCs w:val="16"/>
        </w:rPr>
        <w:softHyphen/>
        <w:t>дущий инженер по И-180 Тростянский, отмечали, что во время пробега, когда не была еще погашена скорость, на полосу вырулил пассажирский самолет «Сталь-3». Летчик затормозил. В этот момент левая нога шасси подпрыгнула на неровности и всю нагрузку приняла правая нога. Аварийная комиссия главной причиной произошед</w:t>
      </w:r>
      <w:r w:rsidRPr="00DB5D0D">
        <w:rPr>
          <w:rFonts w:ascii="Times New Roman" w:hAnsi="Times New Roman"/>
          <w:color w:val="000000" w:themeColor="text1"/>
          <w:sz w:val="16"/>
          <w:szCs w:val="16"/>
        </w:rPr>
        <w:softHyphen/>
        <w:t>шего назвала несоблюдение технологии производства заводом-изготовителем: в двухзвеннике обнаружили неравнопрочные сырые и закаленные болты. Супрун в объяснительной записке писал:</w:t>
      </w:r>
    </w:p>
    <w:p w14:paraId="416B2A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это, считаю, что самолет необходимо тщательно проверить и срочно запустить его в серию.</w:t>
      </w:r>
    </w:p>
    <w:p w14:paraId="4738C9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очень напоминает самолет И-16. Летчики, которые освоили самолет И-16, легко освоят самолет И-180.</w:t>
      </w:r>
    </w:p>
    <w:p w14:paraId="689BF2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значительно лучше самолета И-28 (истре</w:t>
      </w:r>
      <w:r w:rsidRPr="00DB5D0D">
        <w:rPr>
          <w:rFonts w:ascii="Times New Roman" w:hAnsi="Times New Roman"/>
          <w:color w:val="000000" w:themeColor="text1"/>
          <w:sz w:val="16"/>
          <w:szCs w:val="16"/>
        </w:rPr>
        <w:softHyphen/>
        <w:t>битель конструкции В.П.Яценко с двигателем М-87А. -В.И.)» (10667).</w:t>
      </w:r>
    </w:p>
    <w:p w14:paraId="41C4C0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41AC9D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lastRenderedPageBreak/>
        <w:t>Другие оборонные отрасли:</w:t>
      </w:r>
    </w:p>
    <w:p w14:paraId="02BF26C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A3FBE63" w14:textId="77777777" w:rsidR="00A25AD1" w:rsidRPr="00DB5D0D" w:rsidRDefault="00A25AD1" w:rsidP="00DB5D0D">
      <w:pPr>
        <w:pStyle w:val="a3"/>
        <w:rPr>
          <w:color w:val="000000" w:themeColor="text1"/>
          <w:lang w:val="ru-RU"/>
        </w:rPr>
      </w:pPr>
      <w:r w:rsidRPr="00DB5D0D">
        <w:rPr>
          <w:color w:val="000000" w:themeColor="text1"/>
          <w:lang w:val="ru-RU"/>
        </w:rPr>
        <w:t>В начале мая КБ 520, во исполнение ранее предъявленных НКО требований о расширении башни, разработало проект и подготовило комплект чертежей на новую башню Т-34. Уве</w:t>
      </w:r>
      <w:r w:rsidRPr="00DB5D0D">
        <w:rPr>
          <w:color w:val="000000" w:themeColor="text1"/>
          <w:lang w:val="ru-RU"/>
        </w:rPr>
        <w:softHyphen/>
        <w:t>личение внутреннего объема башни в зоне расположения экипажа было достигнуто за счет смещения линии сгиба боковых стенок башни (детали 34.30.018-1 и 34.30.019-1) от центра башни в сторону кор</w:t>
      </w:r>
      <w:r w:rsidRPr="00DB5D0D">
        <w:rPr>
          <w:color w:val="000000" w:themeColor="text1"/>
          <w:lang w:val="ru-RU"/>
        </w:rPr>
        <w:softHyphen/>
        <w:t>мы на 162 мм. Эта мера позволила оставить диаметр погона и углы наклона брони башни прежними, но из-за изменения ее общей гео</w:t>
      </w:r>
      <w:r w:rsidRPr="00DB5D0D">
        <w:rPr>
          <w:color w:val="000000" w:themeColor="text1"/>
          <w:lang w:val="ru-RU"/>
        </w:rPr>
        <w:softHyphen/>
        <w:t>метрии основные бронедетали претерпели существенные измене</w:t>
      </w:r>
      <w:r w:rsidRPr="00DB5D0D">
        <w:rPr>
          <w:color w:val="000000" w:themeColor="text1"/>
          <w:lang w:val="ru-RU"/>
        </w:rPr>
        <w:softHyphen/>
        <w:t>ния. Такое конструктивное решение по расширению башни, как по</w:t>
      </w:r>
      <w:r w:rsidRPr="00DB5D0D">
        <w:rPr>
          <w:color w:val="000000" w:themeColor="text1"/>
          <w:lang w:val="ru-RU"/>
        </w:rPr>
        <w:softHyphen/>
        <w:t>казало будущее, практически не улучшило условий работы экипажа, но, тем не менее, проект был одобрен Д.Г. Павловым.</w:t>
      </w:r>
    </w:p>
    <w:p w14:paraId="7A77E635" w14:textId="77777777" w:rsidR="00A25AD1" w:rsidRPr="00DB5D0D" w:rsidRDefault="00A25AD1" w:rsidP="00DB5D0D">
      <w:pPr>
        <w:pStyle w:val="a3"/>
        <w:rPr>
          <w:color w:val="000000" w:themeColor="text1"/>
          <w:lang w:val="ru-RU"/>
        </w:rPr>
      </w:pPr>
      <w:r w:rsidRPr="00DB5D0D">
        <w:rPr>
          <w:color w:val="000000" w:themeColor="text1"/>
          <w:lang w:val="ru-RU"/>
        </w:rPr>
        <w:t>Необходимо заметить, что более радикальное расширение баш</w:t>
      </w:r>
      <w:r w:rsidRPr="00DB5D0D">
        <w:rPr>
          <w:color w:val="000000" w:themeColor="text1"/>
          <w:lang w:val="ru-RU"/>
        </w:rPr>
        <w:softHyphen/>
        <w:t>ни путем увеличения диаметра погона повлекло бы за собой неиз</w:t>
      </w:r>
      <w:r w:rsidRPr="00DB5D0D">
        <w:rPr>
          <w:color w:val="000000" w:themeColor="text1"/>
          <w:lang w:val="ru-RU"/>
        </w:rPr>
        <w:softHyphen/>
        <w:t>бежные изменения в конструкции корпуса, а также ряда узлов и аг</w:t>
      </w:r>
      <w:r w:rsidRPr="00DB5D0D">
        <w:rPr>
          <w:color w:val="000000" w:themeColor="text1"/>
          <w:lang w:val="ru-RU"/>
        </w:rPr>
        <w:softHyphen/>
        <w:t>регатов танка, на разработку которых ушло бы неопределенное вре</w:t>
      </w:r>
      <w:r w:rsidRPr="00DB5D0D">
        <w:rPr>
          <w:color w:val="000000" w:themeColor="text1"/>
          <w:lang w:val="ru-RU"/>
        </w:rPr>
        <w:softHyphen/>
        <w:t>мя. На тот момент это было недопустимо, так как новые танки тре</w:t>
      </w:r>
      <w:r w:rsidRPr="00DB5D0D">
        <w:rPr>
          <w:color w:val="000000" w:themeColor="text1"/>
          <w:lang w:val="ru-RU"/>
        </w:rPr>
        <w:softHyphen/>
        <w:t>бовались армии в кратчайшие сроки.</w:t>
      </w:r>
    </w:p>
    <w:p w14:paraId="64C774F7" w14:textId="77777777" w:rsidR="00A25AD1" w:rsidRPr="00DB5D0D" w:rsidRDefault="00A25AD1" w:rsidP="00DB5D0D">
      <w:pPr>
        <w:pStyle w:val="a3"/>
        <w:rPr>
          <w:color w:val="000000" w:themeColor="text1"/>
          <w:lang w:val="ru-RU"/>
        </w:rPr>
      </w:pPr>
      <w:r w:rsidRPr="00DB5D0D">
        <w:rPr>
          <w:color w:val="000000" w:themeColor="text1"/>
          <w:lang w:val="ru-RU"/>
        </w:rPr>
        <w:t>Однако, несмотря на то, что данный проект башни получил одоб</w:t>
      </w:r>
      <w:r w:rsidRPr="00DB5D0D">
        <w:rPr>
          <w:color w:val="000000" w:themeColor="text1"/>
          <w:lang w:val="ru-RU"/>
        </w:rPr>
        <w:softHyphen/>
        <w:t>рение на столь высоком уровне, в серийное производство в первона</w:t>
      </w:r>
      <w:r w:rsidRPr="00DB5D0D">
        <w:rPr>
          <w:color w:val="000000" w:themeColor="text1"/>
          <w:lang w:val="ru-RU"/>
        </w:rPr>
        <w:softHyphen/>
        <w:t>чальном виде его не приняли. Дело в том, что 21 мая 1940 г. на Мари</w:t>
      </w:r>
      <w:r w:rsidRPr="00DB5D0D">
        <w:rPr>
          <w:color w:val="000000" w:themeColor="text1"/>
          <w:lang w:val="ru-RU"/>
        </w:rPr>
        <w:softHyphen/>
        <w:t>упольском заводе состоялось техническое совещание, темой которо</w:t>
      </w:r>
      <w:r w:rsidRPr="00DB5D0D">
        <w:rPr>
          <w:color w:val="000000" w:themeColor="text1"/>
          <w:lang w:val="ru-RU"/>
        </w:rPr>
        <w:softHyphen/>
        <w:t>го стало рассмотрение и согласование измененных чертежей танка Т-34. На этом совещании рассматривались и новые детали расши</w:t>
      </w:r>
      <w:r w:rsidRPr="00DB5D0D">
        <w:rPr>
          <w:color w:val="000000" w:themeColor="text1"/>
          <w:lang w:val="ru-RU"/>
        </w:rPr>
        <w:softHyphen/>
        <w:t>ренной башни. Ниже приведем выписки из протокола совещания:</w:t>
      </w:r>
    </w:p>
    <w:p w14:paraId="52DF0F5B"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детали 34-29-019</w:t>
      </w:r>
      <w:r w:rsidRPr="00DB5D0D">
        <w:rPr>
          <w:rStyle w:val="1260pt28"/>
          <w:rFonts w:ascii="Times New Roman" w:hAnsi="Times New Roman" w:cs="Times New Roman"/>
          <w:color w:val="000000" w:themeColor="text1"/>
          <w:spacing w:val="0"/>
          <w:lang w:val="ru-RU"/>
        </w:rPr>
        <w:t xml:space="preserve"> (бронировка курсового пулемета</w:t>
      </w:r>
      <w:r w:rsidRPr="00DB5D0D">
        <w:rPr>
          <w:rFonts w:ascii="Times New Roman" w:hAnsi="Times New Roman" w:cs="Times New Roman"/>
          <w:i w:val="0"/>
          <w:iCs w:val="0"/>
          <w:color w:val="000000" w:themeColor="text1"/>
          <w:lang w:val="ru-RU"/>
        </w:rPr>
        <w:t xml:space="preserve">) - литая, ОГТ разработать чертеж для литья, срок </w:t>
      </w:r>
      <w:r w:rsidRPr="00DB5D0D">
        <w:rPr>
          <w:rFonts w:ascii="Times New Roman" w:hAnsi="Times New Roman" w:cs="Times New Roman"/>
          <w:i w:val="0"/>
          <w:iCs w:val="0"/>
          <w:noProof w:val="0"/>
          <w:color w:val="000000" w:themeColor="text1"/>
          <w:lang w:val="ru-RU"/>
        </w:rPr>
        <w:t>28/</w:t>
      </w:r>
      <w:r w:rsidRPr="00DB5D0D">
        <w:rPr>
          <w:rFonts w:ascii="Times New Roman" w:hAnsi="Times New Roman" w:cs="Times New Roman"/>
          <w:i w:val="0"/>
          <w:iCs w:val="0"/>
          <w:noProof w:val="0"/>
          <w:color w:val="000000" w:themeColor="text1"/>
        </w:rPr>
        <w:t>V</w:t>
      </w:r>
      <w:r w:rsidRPr="00DB5D0D">
        <w:rPr>
          <w:rFonts w:ascii="Times New Roman" w:hAnsi="Times New Roman" w:cs="Times New Roman"/>
          <w:i w:val="0"/>
          <w:iCs w:val="0"/>
          <w:noProof w:val="0"/>
          <w:color w:val="000000" w:themeColor="text1"/>
          <w:lang w:val="ru-RU"/>
        </w:rPr>
        <w:t>.</w:t>
      </w:r>
    </w:p>
    <w:p w14:paraId="525CF7E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детали 34-</w:t>
      </w:r>
      <w:r w:rsidRPr="00DB5D0D">
        <w:rPr>
          <w:rStyle w:val="1260pt28"/>
          <w:rFonts w:ascii="Times New Roman" w:hAnsi="Times New Roman" w:cs="Times New Roman"/>
          <w:color w:val="000000" w:themeColor="text1"/>
          <w:spacing w:val="0"/>
          <w:lang w:val="ru-RU"/>
        </w:rPr>
        <w:t xml:space="preserve"> /5-Ш6(крышка ленивца) -</w:t>
      </w:r>
      <w:r w:rsidRPr="00DB5D0D">
        <w:rPr>
          <w:rFonts w:ascii="Times New Roman" w:hAnsi="Times New Roman" w:cs="Times New Roman"/>
          <w:i w:val="0"/>
          <w:iCs w:val="0"/>
          <w:color w:val="000000" w:themeColor="text1"/>
          <w:lang w:val="ru-RU"/>
        </w:rPr>
        <w:t xml:space="preserve"> поставляется без заш</w:t>
      </w:r>
      <w:r w:rsidRPr="00DB5D0D">
        <w:rPr>
          <w:rFonts w:ascii="Times New Roman" w:hAnsi="Times New Roman" w:cs="Times New Roman"/>
          <w:i w:val="0"/>
          <w:iCs w:val="0"/>
          <w:color w:val="000000" w:themeColor="text1"/>
          <w:lang w:val="ru-RU"/>
        </w:rPr>
        <w:softHyphen/>
        <w:t>лифовки внешней конфигурации после огнереза. Увеличить радиу</w:t>
      </w:r>
      <w:r w:rsidRPr="00DB5D0D">
        <w:rPr>
          <w:rFonts w:ascii="Times New Roman" w:hAnsi="Times New Roman" w:cs="Times New Roman"/>
          <w:i w:val="0"/>
          <w:iCs w:val="0"/>
          <w:color w:val="000000" w:themeColor="text1"/>
          <w:lang w:val="ru-RU"/>
        </w:rPr>
        <w:softHyphen/>
        <w:t>сы закругления у выступов для болтов до 50 мм. Деталь изготовля</w:t>
      </w:r>
      <w:r w:rsidRPr="00DB5D0D">
        <w:rPr>
          <w:rFonts w:ascii="Times New Roman" w:hAnsi="Times New Roman" w:cs="Times New Roman"/>
          <w:i w:val="0"/>
          <w:iCs w:val="0"/>
          <w:color w:val="000000" w:themeColor="text1"/>
          <w:lang w:val="ru-RU"/>
        </w:rPr>
        <w:softHyphen/>
        <w:t>ется из заготовки 25 мм. Утонение допускается до 19,5 мм.</w:t>
      </w:r>
    </w:p>
    <w:p w14:paraId="539FAE6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деталям 34-12-013</w:t>
      </w:r>
      <w:r w:rsidRPr="00DB5D0D">
        <w:rPr>
          <w:rStyle w:val="1260pt28"/>
          <w:rFonts w:ascii="Times New Roman" w:hAnsi="Times New Roman" w:cs="Times New Roman"/>
          <w:color w:val="000000" w:themeColor="text1"/>
          <w:spacing w:val="0"/>
          <w:lang w:val="ru-RU"/>
        </w:rPr>
        <w:t xml:space="preserve"> (крышка поддерживающего колеса)</w:t>
      </w:r>
      <w:r w:rsidRPr="00DB5D0D">
        <w:rPr>
          <w:rFonts w:ascii="Times New Roman" w:hAnsi="Times New Roman" w:cs="Times New Roman"/>
          <w:i w:val="0"/>
          <w:iCs w:val="0"/>
          <w:color w:val="000000" w:themeColor="text1"/>
          <w:lang w:val="ru-RU"/>
        </w:rPr>
        <w:t xml:space="preserve"> и 34-15-006 - Конструкторам завода № 183 проработать чертежи с расчетом производить штамповку одним штампом.</w:t>
      </w:r>
    </w:p>
    <w:p w14:paraId="2FF1F8C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детали 34-16-003</w:t>
      </w:r>
      <w:r w:rsidRPr="00DB5D0D">
        <w:rPr>
          <w:rStyle w:val="1260pt28"/>
          <w:rFonts w:ascii="Times New Roman" w:hAnsi="Times New Roman" w:cs="Times New Roman"/>
          <w:color w:val="000000" w:themeColor="text1"/>
          <w:spacing w:val="0"/>
          <w:lang w:val="ru-RU"/>
        </w:rPr>
        <w:t xml:space="preserve"> (крышка бортовой передани) -</w:t>
      </w:r>
      <w:r w:rsidRPr="00DB5D0D">
        <w:rPr>
          <w:rFonts w:ascii="Times New Roman" w:hAnsi="Times New Roman" w:cs="Times New Roman"/>
          <w:i w:val="0"/>
          <w:iCs w:val="0"/>
          <w:color w:val="000000" w:themeColor="text1"/>
          <w:lang w:val="ru-RU"/>
        </w:rPr>
        <w:t xml:space="preserve"> крышка литая, Мариупольский завод к изготовлению не принимает.</w:t>
      </w:r>
    </w:p>
    <w:p w14:paraId="70E120C9"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деталям 34-30-018-1 и 34-30-019-1</w:t>
      </w:r>
      <w:r w:rsidRPr="00DB5D0D">
        <w:rPr>
          <w:rStyle w:val="1260pt28"/>
          <w:rFonts w:ascii="Times New Roman" w:hAnsi="Times New Roman" w:cs="Times New Roman"/>
          <w:color w:val="000000" w:themeColor="text1"/>
          <w:spacing w:val="0"/>
          <w:lang w:val="ru-RU"/>
        </w:rPr>
        <w:t xml:space="preserve"> (боковые стенки башни) </w:t>
      </w:r>
      <w:r w:rsidRPr="00DB5D0D">
        <w:rPr>
          <w:rFonts w:ascii="Times New Roman" w:hAnsi="Times New Roman" w:cs="Times New Roman"/>
          <w:i w:val="0"/>
          <w:iCs w:val="0"/>
          <w:color w:val="000000" w:themeColor="text1"/>
          <w:lang w:val="ru-RU"/>
        </w:rPr>
        <w:t>по предложенным чертежам не могут быть приняты к изготовлению ввиду отсутствия на заводе соответствующего оборудования по штам</w:t>
      </w:r>
      <w:r w:rsidRPr="00DB5D0D">
        <w:rPr>
          <w:rFonts w:ascii="Times New Roman" w:hAnsi="Times New Roman" w:cs="Times New Roman"/>
          <w:i w:val="0"/>
          <w:iCs w:val="0"/>
          <w:color w:val="000000" w:themeColor="text1"/>
          <w:lang w:val="ru-RU"/>
        </w:rPr>
        <w:softHyphen/>
        <w:t>повке, а также правильных средств после закалки.</w:t>
      </w:r>
    </w:p>
    <w:p w14:paraId="07B3B7F5"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детали 34-29-877-1</w:t>
      </w:r>
      <w:r w:rsidRPr="00DB5D0D">
        <w:rPr>
          <w:rStyle w:val="1260pt28"/>
          <w:rFonts w:ascii="Times New Roman" w:hAnsi="Times New Roman" w:cs="Times New Roman"/>
          <w:color w:val="000000" w:themeColor="text1"/>
          <w:spacing w:val="0"/>
          <w:lang w:val="ru-RU"/>
        </w:rPr>
        <w:t xml:space="preserve"> (перемычка надлюком водителя) -</w:t>
      </w:r>
      <w:r w:rsidRPr="00DB5D0D">
        <w:rPr>
          <w:rFonts w:ascii="Times New Roman" w:hAnsi="Times New Roman" w:cs="Times New Roman"/>
          <w:i w:val="0"/>
          <w:iCs w:val="0"/>
          <w:color w:val="000000" w:themeColor="text1"/>
          <w:lang w:val="ru-RU"/>
        </w:rPr>
        <w:t xml:space="preserve"> Стар</w:t>
      </w:r>
      <w:r w:rsidRPr="00DB5D0D">
        <w:rPr>
          <w:rFonts w:ascii="Times New Roman" w:hAnsi="Times New Roman" w:cs="Times New Roman"/>
          <w:i w:val="0"/>
          <w:iCs w:val="0"/>
          <w:color w:val="000000" w:themeColor="text1"/>
          <w:lang w:val="ru-RU"/>
        </w:rPr>
        <w:softHyphen/>
        <w:t>шему конструктору завода № 183 совместно с Зам. начальника цеха №5 тов. ЗАСЕДСКИМ с целью облегчения обработки, проработать изменения впадины для петли.</w:t>
      </w:r>
    </w:p>
    <w:p w14:paraId="14A4EC14"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ОСОБОЕ МНЕНИЕ ПРЕДСТАВИТЕЛЕЙ ЗАВОДА № 183 И ВОЕНПРЕДА АБТУ КА НА ЗАВОДЕ №183</w:t>
      </w:r>
    </w:p>
    <w:p w14:paraId="160165FA" w14:textId="77777777" w:rsidR="00A25AD1" w:rsidRPr="00DB5D0D" w:rsidRDefault="00A25AD1" w:rsidP="00DB5D0D">
      <w:pPr>
        <w:pStyle w:val="1210"/>
        <w:shd w:val="clear" w:color="auto" w:fill="auto"/>
        <w:tabs>
          <w:tab w:val="left" w:pos="51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noProof w:val="0"/>
          <w:color w:val="000000" w:themeColor="text1"/>
          <w:lang w:val="ru-RU"/>
        </w:rPr>
        <w:t>3</w:t>
      </w:r>
      <w:r w:rsidRPr="00DB5D0D">
        <w:rPr>
          <w:rFonts w:ascii="Times New Roman" w:hAnsi="Times New Roman" w:cs="Times New Roman"/>
          <w:i w:val="0"/>
          <w:iCs w:val="0"/>
          <w:color w:val="000000" w:themeColor="text1"/>
          <w:lang w:val="ru-RU"/>
        </w:rPr>
        <w:t>.По детали 34-16-003 отказ Марзавода от поставки сырых за</w:t>
      </w:r>
      <w:r w:rsidRPr="00DB5D0D">
        <w:rPr>
          <w:rFonts w:ascii="Times New Roman" w:hAnsi="Times New Roman" w:cs="Times New Roman"/>
          <w:i w:val="0"/>
          <w:iCs w:val="0"/>
          <w:color w:val="000000" w:themeColor="text1"/>
          <w:lang w:val="ru-RU"/>
        </w:rPr>
        <w:softHyphen/>
        <w:t>готовок этих деталей по мотивам отсутствия литейной базы для от</w:t>
      </w:r>
      <w:r w:rsidRPr="00DB5D0D">
        <w:rPr>
          <w:rFonts w:ascii="Times New Roman" w:hAnsi="Times New Roman" w:cs="Times New Roman"/>
          <w:i w:val="0"/>
          <w:iCs w:val="0"/>
          <w:color w:val="000000" w:themeColor="text1"/>
          <w:lang w:val="ru-RU"/>
        </w:rPr>
        <w:softHyphen/>
        <w:t>ливки этих деталей, не может быть принят заводом №183, т.к. по другим узлам машины Марзавод предлагает замену катаных и штам</w:t>
      </w:r>
      <w:r w:rsidRPr="00DB5D0D">
        <w:rPr>
          <w:rFonts w:ascii="Times New Roman" w:hAnsi="Times New Roman" w:cs="Times New Roman"/>
          <w:i w:val="0"/>
          <w:iCs w:val="0"/>
          <w:color w:val="000000" w:themeColor="text1"/>
          <w:lang w:val="ru-RU"/>
        </w:rPr>
        <w:softHyphen/>
        <w:t>пованных узлов - литыми или же комбинированными, в которые входят литые элементы. Для отливки этих элементов литейная база на заводе Ильича имеется, следовательно, отливку двух деталей меньших, как по весу, так и по габаритам, завод Ильича имеет пол</w:t>
      </w:r>
      <w:r w:rsidRPr="00DB5D0D">
        <w:rPr>
          <w:rFonts w:ascii="Times New Roman" w:hAnsi="Times New Roman" w:cs="Times New Roman"/>
          <w:i w:val="0"/>
          <w:iCs w:val="0"/>
          <w:color w:val="000000" w:themeColor="text1"/>
          <w:lang w:val="ru-RU"/>
        </w:rPr>
        <w:softHyphen/>
        <w:t>ную возможность выполнить.</w:t>
      </w:r>
    </w:p>
    <w:p w14:paraId="4EB1EFD3" w14:textId="77777777" w:rsidR="00A25AD1" w:rsidRPr="00DB5D0D" w:rsidRDefault="00A25AD1" w:rsidP="00DB5D0D">
      <w:pPr>
        <w:pStyle w:val="1210"/>
        <w:shd w:val="clear" w:color="auto" w:fill="auto"/>
        <w:tabs>
          <w:tab w:val="left" w:pos="51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4.По деталям 34-30-018-1 и 34-30-019-1 эти детали требуют изготовления новых штампов, несколько отличающихся от анало</w:t>
      </w:r>
      <w:r w:rsidRPr="00DB5D0D">
        <w:rPr>
          <w:rFonts w:ascii="Times New Roman" w:hAnsi="Times New Roman" w:cs="Times New Roman"/>
          <w:i w:val="0"/>
          <w:iCs w:val="0"/>
          <w:color w:val="000000" w:themeColor="text1"/>
          <w:lang w:val="ru-RU"/>
        </w:rPr>
        <w:softHyphen/>
        <w:t>гичных штампов, запроектированных для изготовления детали 34-30-018 и 34-30-019. Никакого дополнительного оборудования по штамповке и правильных средств изменение этих деталей не требу</w:t>
      </w:r>
      <w:r w:rsidRPr="00DB5D0D">
        <w:rPr>
          <w:rFonts w:ascii="Times New Roman" w:hAnsi="Times New Roman" w:cs="Times New Roman"/>
          <w:i w:val="0"/>
          <w:iCs w:val="0"/>
          <w:color w:val="000000" w:themeColor="text1"/>
          <w:lang w:val="ru-RU"/>
        </w:rPr>
        <w:softHyphen/>
        <w:t>ет, и всю последующую обработку после штамповки можно вести по техпроцессу на детали 34-30-018 и 34-30-019.</w:t>
      </w:r>
    </w:p>
    <w:p w14:paraId="1B4A60D9"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Данные изменения в деталях 34-30-018 и 34-30-019 сделаны с целью уширения колпака по указанию НКО, которые согласовыва</w:t>
      </w:r>
      <w:r w:rsidRPr="00DB5D0D">
        <w:rPr>
          <w:rFonts w:ascii="Times New Roman" w:hAnsi="Times New Roman" w:cs="Times New Roman"/>
          <w:i w:val="0"/>
          <w:iCs w:val="0"/>
          <w:color w:val="000000" w:themeColor="text1"/>
          <w:lang w:val="ru-RU"/>
        </w:rPr>
        <w:softHyphen/>
        <w:t>лись с Зам. начальника 5 цеха з-да Ильича т. ЗАСЕДСКИМ во время изготовления чертежей на заводе № 183. Отказ от изготовления кол</w:t>
      </w:r>
      <w:r w:rsidRPr="00DB5D0D">
        <w:rPr>
          <w:rFonts w:ascii="Times New Roman" w:hAnsi="Times New Roman" w:cs="Times New Roman"/>
          <w:i w:val="0"/>
          <w:iCs w:val="0"/>
          <w:color w:val="000000" w:themeColor="text1"/>
          <w:lang w:val="ru-RU"/>
        </w:rPr>
        <w:softHyphen/>
        <w:t>пака заводом Ильича даже без тщательной проверки конструкции и возможности его изготовления, является формальной необоснован</w:t>
      </w:r>
      <w:r w:rsidRPr="00DB5D0D">
        <w:rPr>
          <w:rFonts w:ascii="Times New Roman" w:hAnsi="Times New Roman" w:cs="Times New Roman"/>
          <w:i w:val="0"/>
          <w:iCs w:val="0"/>
          <w:color w:val="000000" w:themeColor="text1"/>
          <w:lang w:val="ru-RU"/>
        </w:rPr>
        <w:softHyphen/>
        <w:t>ной отпиской, которая может привести к срыву выпуска машин А-34.</w:t>
      </w:r>
    </w:p>
    <w:p w14:paraId="0F722D97"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ПРЕДСТАВИТЕЛИ ЗАВОДА 183Таршинов</w:t>
      </w:r>
    </w:p>
    <w:p w14:paraId="2A4BBBA5"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Кочетов Щербаков</w:t>
      </w:r>
    </w:p>
    <w:p w14:paraId="366A6EDA" w14:textId="77777777" w:rsidR="00A25AD1" w:rsidRPr="00DB5D0D" w:rsidRDefault="00A25AD1" w:rsidP="00DB5D0D">
      <w:pPr>
        <w:pStyle w:val="1210"/>
        <w:shd w:val="clear" w:color="auto" w:fill="auto"/>
        <w:spacing w:before="0" w:line="240" w:lineRule="auto"/>
        <w:rPr>
          <w:rStyle w:val="1260pt28"/>
          <w:rFonts w:ascii="Times New Roman" w:hAnsi="Times New Roman" w:cs="Times New Roman"/>
          <w:noProof w:val="0"/>
          <w:color w:val="000000" w:themeColor="text1"/>
          <w:spacing w:val="0"/>
          <w:lang w:val="ru-RU"/>
        </w:rPr>
      </w:pPr>
      <w:r w:rsidRPr="00DB5D0D">
        <w:rPr>
          <w:rFonts w:ascii="Times New Roman" w:hAnsi="Times New Roman" w:cs="Times New Roman"/>
          <w:i w:val="0"/>
          <w:iCs w:val="0"/>
          <w:color w:val="000000" w:themeColor="text1"/>
          <w:lang w:val="ru-RU"/>
        </w:rPr>
        <w:t>ВОЕНПРЕД АБТУ КА ПРИ ЗАВОДЕ 183 Русаков.</w:t>
      </w:r>
      <w:r w:rsidRPr="00DB5D0D">
        <w:rPr>
          <w:rStyle w:val="1260pt28"/>
          <w:rFonts w:ascii="Times New Roman" w:hAnsi="Times New Roman" w:cs="Times New Roman"/>
          <w:color w:val="000000" w:themeColor="text1"/>
          <w:spacing w:val="0"/>
          <w:lang w:val="ru-RU"/>
        </w:rPr>
        <w:t xml:space="preserve"> [</w:t>
      </w:r>
      <w:r w:rsidRPr="00DB5D0D">
        <w:rPr>
          <w:rFonts w:ascii="Times New Roman" w:hAnsi="Times New Roman" w:cs="Times New Roman"/>
          <w:i w:val="0"/>
          <w:iCs w:val="0"/>
          <w:color w:val="000000" w:themeColor="text1"/>
          <w:lang w:val="ru-RU"/>
        </w:rPr>
        <w:t>РГВА. Ф.31811. Оп.2. Д. 1176. Л. 105-106.</w:t>
      </w:r>
      <w:r w:rsidRPr="00DB5D0D">
        <w:rPr>
          <w:rStyle w:val="1260pt28"/>
          <w:rFonts w:ascii="Times New Roman" w:hAnsi="Times New Roman" w:cs="Times New Roman"/>
          <w:color w:val="000000" w:themeColor="text1"/>
          <w:spacing w:val="0"/>
          <w:lang w:val="ru-RU"/>
        </w:rPr>
        <w:t>]</w:t>
      </w:r>
      <w:r w:rsidRPr="00DB5D0D">
        <w:rPr>
          <w:rStyle w:val="1260pt28"/>
          <w:rFonts w:ascii="Times New Roman" w:hAnsi="Times New Roman" w:cs="Times New Roman"/>
          <w:noProof w:val="0"/>
          <w:color w:val="000000" w:themeColor="text1"/>
          <w:spacing w:val="0"/>
          <w:lang w:val="ru-RU"/>
        </w:rPr>
        <w:t xml:space="preserve"> (11892).</w:t>
      </w:r>
    </w:p>
    <w:p w14:paraId="2C2B66BB"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p>
    <w:p w14:paraId="1810DCFE" w14:textId="77777777" w:rsidR="00C821FA" w:rsidRPr="00DB5D0D" w:rsidRDefault="00DB5D0D" w:rsidP="00DB5D0D">
      <w:pPr>
        <w:spacing w:after="0" w:line="240" w:lineRule="auto"/>
        <w:jc w:val="both"/>
        <w:rPr>
          <w:rFonts w:ascii="Times New Roman" w:hAnsi="Times New Roman"/>
          <w:color w:val="000000" w:themeColor="text1"/>
          <w:sz w:val="16"/>
          <w:szCs w:val="16"/>
        </w:rPr>
      </w:pPr>
      <w:hyperlink r:id="rId17" w:tgtFrame="_blank" w:history="1"/>
      <w:r w:rsidR="00C821FA" w:rsidRPr="00DB5D0D">
        <w:rPr>
          <w:rFonts w:ascii="Times New Roman" w:hAnsi="Times New Roman"/>
          <w:color w:val="000000" w:themeColor="text1"/>
          <w:sz w:val="16"/>
          <w:szCs w:val="16"/>
        </w:rPr>
        <w:t xml:space="preserve">В начале мая 1940 г. конструкторы КБ-520 во исполнение требований АБТУ РККА разработали комплект чертежей на новую расширенную башню танка Т-34. Увеличение внутреннего объема башни, как и планировалось ранее, было достигнуто за счет смещения линии сгиба бортовых листов от геометрического центра башни в сторону кормы на 162 мм. Такое решение позволило оставить диаметр шариковой опоры и углы наклона броневых листов башни прежними. Однако, несмотря на то, что данный вариант конструкции башни был одобрен в АБТУ РККА, для серийного производства он принят не был. Дело в том, что 21 мая 1940 г. на Мариупольском заводе состоялось техническое совещание, темой которого являлось рассмотрение и согласование измененных чертежей броневых деталей танка Т-34, в том числе и чертежей новых броневых деталей расширенной башни. После ознакомления с представленными заводом № 183 чертежами, специалисты Мариупольского завода отказались принять на серийное производство новые бортовые листы расширенной башни (детали 34.30.018-1 и 34.30.019-1). Свое решение они мотивировали сложностью изготовления этих броневых деталей и отсутствием на заводе необходимого оборудования. Присутствовавшие на совещании представители завода № 183 конструкторы М.И. Таршинов и Л.Т. Кочетов, а также военный представитель завода № 183 капитан П.Ф. Русаков с таким решением не согласились, и в особом мнении к протоколу совещания отметили следующее: </w:t>
      </w:r>
    </w:p>
    <w:p w14:paraId="59FAB392" w14:textId="77777777" w:rsidR="00C821FA" w:rsidRPr="00DB5D0D" w:rsidRDefault="00C821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По деталям 34-30-018-1 и 34-30-019-1 эти детали требуют изготовления новых штампов, несколько отличающихся от аналогичных штампов, запроектированных для изготовления детали 34-30-018 и 34-30-019. Никакого дополнительного оборудования по штамповке и правильных средств изменение этих деталей не требует, и всю последующую обработку после штамповки можно вести по техпроцессу на детали 34-30-018 и 34-30-019. </w:t>
      </w:r>
    </w:p>
    <w:p w14:paraId="01C7C3D5" w14:textId="77777777" w:rsidR="00C821FA" w:rsidRPr="00DB5D0D" w:rsidRDefault="00C821FA"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Данные изменения в деталях 34-30-018 и 34-30-019 сделаны с целью уширения колпака по указанию НКО, которые согласовывались с Зам. начальника 5 цеха з-да Ильича т. ЗАСЕДСКИМ во время изготовления чертежей на заводе № 183. Отказ от изготовления колпака заводом Ильича даже без тщательной проверки конструкции и возможности его изготовления, является формальной необоснованной отпиской, которая может привести к срыву выпуска машин А-34»</w:t>
      </w:r>
      <w:r w:rsidRPr="00DB5D0D">
        <w:rPr>
          <w:rFonts w:ascii="Times New Roman" w:hAnsi="Times New Roman"/>
          <w:color w:val="000000" w:themeColor="text1"/>
          <w:sz w:val="16"/>
          <w:szCs w:val="16"/>
        </w:rPr>
        <w:t xml:space="preserve">. </w:t>
      </w:r>
    </w:p>
    <w:p w14:paraId="67B0630C" w14:textId="77777777" w:rsidR="00C821FA" w:rsidRPr="00DB5D0D" w:rsidRDefault="00C821FA" w:rsidP="00DB5D0D">
      <w:pPr>
        <w:pStyle w:val="ae"/>
        <w:spacing w:before="0" w:after="0"/>
        <w:jc w:val="both"/>
        <w:rPr>
          <w:bCs/>
          <w:color w:val="000000" w:themeColor="text1"/>
          <w:sz w:val="16"/>
          <w:szCs w:val="16"/>
        </w:rPr>
      </w:pPr>
      <w:r w:rsidRPr="00DB5D0D">
        <w:rPr>
          <w:bCs/>
          <w:color w:val="000000" w:themeColor="text1"/>
          <w:sz w:val="16"/>
          <w:szCs w:val="16"/>
        </w:rPr>
        <w:t>[РГВА. Ф. 31811. Оп. 2. Д. 1176. Л. 105] (18076).</w:t>
      </w:r>
    </w:p>
    <w:p w14:paraId="74D4A4B1" w14:textId="77777777" w:rsidR="00C821FA" w:rsidRPr="00DB5D0D" w:rsidRDefault="00C821FA" w:rsidP="00DB5D0D">
      <w:pPr>
        <w:pStyle w:val="ae"/>
        <w:spacing w:before="0" w:after="0"/>
        <w:jc w:val="both"/>
        <w:rPr>
          <w:color w:val="000000" w:themeColor="text1"/>
          <w:sz w:val="16"/>
          <w:szCs w:val="16"/>
        </w:rPr>
      </w:pPr>
    </w:p>
    <w:p w14:paraId="1CBF0946" w14:textId="77777777" w:rsidR="008D3BAC" w:rsidRPr="00DB5D0D" w:rsidRDefault="008D3BA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мая 1940 г. конструктором КБ-520 П.П. Васильевым была завершена разработка механической системы сервоприводов управления. С учётом срочности работ, монтаж механической системы сервоприводов управления на опытную машину был произведен без надлежащего оформления чертежей, под непосредственным руководством П.П. Васильева. В механической системе сервоприводов управления, в отличие от пневматической, уменьшение усилий, прилагаемых механиком-водителем к рычагам управления бортовыми фрикционами во время движения танка, было достигнуто за счет взаимодействия системы рычагов и вспомогательных пружин. Механический сервопривод управления действовал при выключении бортовых фрикционов и при затяжке тормозных лент рычагами. Кроме этого, за счет изменения установки возвратных пружин в приводе, было снижено усилие, прилагаемое к педали горного (остановочного) тормоза (18076).</w:t>
      </w:r>
    </w:p>
    <w:p w14:paraId="67D3765A" w14:textId="77777777" w:rsidR="008D3BAC" w:rsidRPr="00DB5D0D" w:rsidRDefault="008D3BAC" w:rsidP="00DB5D0D">
      <w:pPr>
        <w:spacing w:after="0" w:line="240" w:lineRule="auto"/>
        <w:jc w:val="both"/>
        <w:rPr>
          <w:rFonts w:ascii="Times New Roman" w:hAnsi="Times New Roman"/>
          <w:color w:val="000000" w:themeColor="text1"/>
          <w:sz w:val="16"/>
          <w:szCs w:val="16"/>
        </w:rPr>
      </w:pPr>
    </w:p>
    <w:p w14:paraId="3670562E"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начало мая 1940 г. вопрос о размещении средств связи в танке Т-34 оставался фактически открытым – АБТУ РККА требовало перенести радиостанцию 71-ТК-3 из башни в корпус танка, а завод № 183 не мог найти приемлемого решения этой задачи. </w:t>
      </w:r>
    </w:p>
    <w:p w14:paraId="0EA6E361"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Пытаясь найти выход из создавшейся ситуации, начальник Главспецмаша НКСМ Г.С. Суренян 20 мая 1940 г. направил на имя начальника АБТУ РККА Д.Г. Павлова </w:t>
      </w:r>
      <w:hyperlink r:id="rId18" w:tgtFrame="_blank" w:history="1">
        <w:r w:rsidRPr="00DB5D0D">
          <w:rPr>
            <w:rStyle w:val="a5"/>
            <w:rFonts w:ascii="Times New Roman" w:hAnsi="Times New Roman"/>
            <w:color w:val="000000" w:themeColor="text1"/>
            <w:sz w:val="16"/>
            <w:szCs w:val="16"/>
          </w:rPr>
          <w:t>письмо № 397-2335с</w:t>
        </w:r>
      </w:hyperlink>
      <w:r w:rsidRPr="00DB5D0D">
        <w:rPr>
          <w:rFonts w:ascii="Times New Roman" w:hAnsi="Times New Roman"/>
          <w:color w:val="000000" w:themeColor="text1"/>
          <w:sz w:val="16"/>
          <w:szCs w:val="16"/>
        </w:rPr>
        <w:t> с просьбой незамедлительно утвердить чертежи на установку радиостанции 71-ТК-3 в башне танка Т-34: </w:t>
      </w:r>
    </w:p>
    <w:p w14:paraId="336DAA59"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сих пор 8-м Отделом не подписаны чертежи на установку рации в башне машины Т-34. Для завода № 183 создалось безвыходное положение, т.к. он не нашел конструктивного решения по размещению рации в носовой части танка, и не может спустить чертежи в производство. </w:t>
      </w:r>
    </w:p>
    <w:p w14:paraId="112CF552"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Основными затруднениями по размещению в корпусе являются: </w:t>
      </w:r>
    </w:p>
    <w:p w14:paraId="04CC0E3A"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Большой габарит рации 71-ТК-3 и ее аппаратуры. </w:t>
      </w:r>
    </w:p>
    <w:p w14:paraId="234A8CD5"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Трудности вывода антенны из корпуса. </w:t>
      </w:r>
    </w:p>
    <w:p w14:paraId="7E097EF9"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Затруднения в пользовании натяжным механизмом ленивца, т.к. рация перекроет его, стесненность радиста и т.д. </w:t>
      </w:r>
    </w:p>
    <w:p w14:paraId="4D590E1E"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Работу по выводу антенны, независимо от типа рации, завод должен вести, форсировать, и по полученным результатам можно будет принять решение. </w:t>
      </w:r>
    </w:p>
    <w:p w14:paraId="6C7F71E2"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же необходимо дать указание о немедленном утверждении существующего варианта рации в башне. </w:t>
      </w:r>
    </w:p>
    <w:p w14:paraId="7040D4E6"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Можно добавить, что основными мотивами, по которым требовалось убрать рацию из башни, были: </w:t>
      </w:r>
    </w:p>
    <w:p w14:paraId="023467AE"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неудобство пользования рацией из-за тесноты. </w:t>
      </w:r>
    </w:p>
    <w:p w14:paraId="2F7A35E2"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перегрузка командира. </w:t>
      </w:r>
    </w:p>
    <w:p w14:paraId="7E71F75E"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завод сейчас расширил башню на 160 мм, а полной разгрузки командира добиться невозможно, т.к. радист все равно будет связан переговорным устройством с командиром. </w:t>
      </w:r>
    </w:p>
    <w:p w14:paraId="752BC0F0"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Новая рация КРСТБ – войсковые испытания которой только что кончились, по габаритам меньше, значительно упрощает управление и превосходит 71-ТК-3 в эксплоатации. Необходимо предусмотреть возможность размещения ее в новых машинах».</w:t>
      </w:r>
    </w:p>
    <w:p w14:paraId="2A95B7B1" w14:textId="77777777" w:rsidR="00445F3B" w:rsidRPr="00DB5D0D" w:rsidRDefault="00445F3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31811. Оп. 2. Д. 1181. Л. 100] (18160).</w:t>
      </w:r>
    </w:p>
    <w:p w14:paraId="4CB4C88F" w14:textId="77777777" w:rsidR="00445F3B" w:rsidRPr="00DB5D0D" w:rsidRDefault="00445F3B" w:rsidP="00DB5D0D">
      <w:pPr>
        <w:spacing w:after="0" w:line="240" w:lineRule="auto"/>
        <w:jc w:val="both"/>
        <w:rPr>
          <w:rFonts w:ascii="Times New Roman" w:hAnsi="Times New Roman"/>
          <w:color w:val="000000" w:themeColor="text1"/>
          <w:sz w:val="16"/>
          <w:szCs w:val="16"/>
        </w:rPr>
      </w:pPr>
    </w:p>
    <w:p w14:paraId="4E7EE5D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5439B4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DA7F1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 под председательством начальника НИИ ВВС дивизионного ин</w:t>
      </w:r>
      <w:r w:rsidRPr="00DB5D0D">
        <w:rPr>
          <w:rFonts w:ascii="Times New Roman" w:hAnsi="Times New Roman"/>
          <w:color w:val="000000" w:themeColor="text1"/>
          <w:sz w:val="16"/>
          <w:szCs w:val="16"/>
        </w:rPr>
        <w:softHyphen/>
        <w:t>женера А.И.Филина состоялось заседа</w:t>
      </w:r>
      <w:r w:rsidRPr="00DB5D0D">
        <w:rPr>
          <w:rFonts w:ascii="Times New Roman" w:hAnsi="Times New Roman"/>
          <w:color w:val="000000" w:themeColor="text1"/>
          <w:sz w:val="16"/>
          <w:szCs w:val="16"/>
        </w:rPr>
        <w:softHyphen/>
        <w:t>ние Технического совета института, на котором в присутствии С.В.Ильюшина и его заместителя Я.И.Мальцева были заслушаны доклады ведущего инжене</w:t>
      </w:r>
      <w:r w:rsidRPr="00DB5D0D">
        <w:rPr>
          <w:rFonts w:ascii="Times New Roman" w:hAnsi="Times New Roman"/>
          <w:color w:val="000000" w:themeColor="text1"/>
          <w:sz w:val="16"/>
          <w:szCs w:val="16"/>
        </w:rPr>
        <w:softHyphen/>
        <w:t>ра института военинженера 1-го ранга Н.С.Куликова, ведущего летчика-испыта</w:t>
      </w:r>
      <w:r w:rsidRPr="00DB5D0D">
        <w:rPr>
          <w:rFonts w:ascii="Times New Roman" w:hAnsi="Times New Roman"/>
          <w:color w:val="000000" w:themeColor="text1"/>
          <w:sz w:val="16"/>
          <w:szCs w:val="16"/>
        </w:rPr>
        <w:softHyphen/>
        <w:t>теля м-ра А.К.Долгова и штурмана-ис</w:t>
      </w:r>
      <w:r w:rsidRPr="00DB5D0D">
        <w:rPr>
          <w:rFonts w:ascii="Times New Roman" w:hAnsi="Times New Roman"/>
          <w:color w:val="000000" w:themeColor="text1"/>
          <w:sz w:val="16"/>
          <w:szCs w:val="16"/>
        </w:rPr>
        <w:softHyphen/>
        <w:t>пытателя м-ра И.Д.Соколова о результатах проведения государственных ис</w:t>
      </w:r>
      <w:r w:rsidRPr="00DB5D0D">
        <w:rPr>
          <w:rFonts w:ascii="Times New Roman" w:hAnsi="Times New Roman"/>
          <w:color w:val="000000" w:themeColor="text1"/>
          <w:sz w:val="16"/>
          <w:szCs w:val="16"/>
        </w:rPr>
        <w:softHyphen/>
        <w:t>пытаний БШ-2 № 2 (6467).</w:t>
      </w:r>
    </w:p>
    <w:p w14:paraId="6ED60F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по результатам осмотра са</w:t>
      </w:r>
      <w:r w:rsidRPr="00DB5D0D">
        <w:rPr>
          <w:rFonts w:ascii="Times New Roman" w:hAnsi="Times New Roman"/>
          <w:color w:val="000000" w:themeColor="text1"/>
          <w:sz w:val="16"/>
          <w:szCs w:val="16"/>
        </w:rPr>
        <w:softHyphen/>
        <w:t>молета и изучения материалов испыта</w:t>
      </w:r>
      <w:r w:rsidRPr="00DB5D0D">
        <w:rPr>
          <w:rFonts w:ascii="Times New Roman" w:hAnsi="Times New Roman"/>
          <w:color w:val="000000" w:themeColor="text1"/>
          <w:sz w:val="16"/>
          <w:szCs w:val="16"/>
        </w:rPr>
        <w:softHyphen/>
        <w:t xml:space="preserve">ний Техническим советом отмечалось, что: "... </w:t>
      </w:r>
      <w:r w:rsidRPr="00DB5D0D">
        <w:rPr>
          <w:rFonts w:ascii="Times New Roman" w:hAnsi="Times New Roman"/>
          <w:iCs/>
          <w:color w:val="000000" w:themeColor="text1"/>
          <w:sz w:val="16"/>
          <w:szCs w:val="16"/>
        </w:rPr>
        <w:t>1) по своим полетным свойствам БШ-2 достаточно прост, особенностей, отличающих его от других самолетов та</w:t>
      </w:r>
      <w:r w:rsidRPr="00DB5D0D">
        <w:rPr>
          <w:rFonts w:ascii="Times New Roman" w:hAnsi="Times New Roman"/>
          <w:iCs/>
          <w:color w:val="000000" w:themeColor="text1"/>
          <w:sz w:val="16"/>
          <w:szCs w:val="16"/>
        </w:rPr>
        <w:softHyphen/>
        <w:t>кого типа (ББ-1, Р-10), не имеет, взлети посадка просты, на взлете и пробеге са</w:t>
      </w:r>
      <w:r w:rsidRPr="00DB5D0D">
        <w:rPr>
          <w:rFonts w:ascii="Times New Roman" w:hAnsi="Times New Roman"/>
          <w:iCs/>
          <w:color w:val="000000" w:themeColor="text1"/>
          <w:sz w:val="16"/>
          <w:szCs w:val="16"/>
        </w:rPr>
        <w:softHyphen/>
        <w:t>молет устойчив; 2) бомбовое и стрел</w:t>
      </w:r>
      <w:r w:rsidRPr="00DB5D0D">
        <w:rPr>
          <w:rFonts w:ascii="Times New Roman" w:hAnsi="Times New Roman"/>
          <w:iCs/>
          <w:color w:val="000000" w:themeColor="text1"/>
          <w:sz w:val="16"/>
          <w:szCs w:val="16"/>
        </w:rPr>
        <w:softHyphen/>
        <w:t>ковое вооружение по своему объему со</w:t>
      </w:r>
      <w:r w:rsidRPr="00DB5D0D">
        <w:rPr>
          <w:rFonts w:ascii="Times New Roman" w:hAnsi="Times New Roman"/>
          <w:iCs/>
          <w:color w:val="000000" w:themeColor="text1"/>
          <w:sz w:val="16"/>
          <w:szCs w:val="16"/>
        </w:rPr>
        <w:softHyphen/>
        <w:t>ответствует требованиям; 3) пилотажно-навигационные приборы, приборы ВМГ и кислородное оборудования по своему объему полностью, а электрооборудова</w:t>
      </w:r>
      <w:r w:rsidRPr="00DB5D0D">
        <w:rPr>
          <w:rFonts w:ascii="Times New Roman" w:hAnsi="Times New Roman"/>
          <w:iCs/>
          <w:color w:val="000000" w:themeColor="text1"/>
          <w:sz w:val="16"/>
          <w:szCs w:val="16"/>
        </w:rPr>
        <w:softHyphen/>
        <w:t>ние в основном соответствуют тактичес</w:t>
      </w:r>
      <w:r w:rsidRPr="00DB5D0D">
        <w:rPr>
          <w:rFonts w:ascii="Times New Roman" w:hAnsi="Times New Roman"/>
          <w:iCs/>
          <w:color w:val="000000" w:themeColor="text1"/>
          <w:sz w:val="16"/>
          <w:szCs w:val="16"/>
        </w:rPr>
        <w:softHyphen/>
        <w:t>кому назначению самолета; 4) в конст</w:t>
      </w:r>
      <w:r w:rsidRPr="00DB5D0D">
        <w:rPr>
          <w:rFonts w:ascii="Times New Roman" w:hAnsi="Times New Roman"/>
          <w:iCs/>
          <w:color w:val="000000" w:themeColor="text1"/>
          <w:sz w:val="16"/>
          <w:szCs w:val="16"/>
        </w:rPr>
        <w:softHyphen/>
        <w:t>руктивном отношении самолет выполнен хорошо, основные агрегаты конструк</w:t>
      </w:r>
      <w:r w:rsidRPr="00DB5D0D">
        <w:rPr>
          <w:rFonts w:ascii="Times New Roman" w:hAnsi="Times New Roman"/>
          <w:iCs/>
          <w:color w:val="000000" w:themeColor="text1"/>
          <w:sz w:val="16"/>
          <w:szCs w:val="16"/>
        </w:rPr>
        <w:softHyphen/>
        <w:t>ции самолета, шасси, управление само</w:t>
      </w:r>
      <w:r w:rsidRPr="00DB5D0D">
        <w:rPr>
          <w:rFonts w:ascii="Times New Roman" w:hAnsi="Times New Roman"/>
          <w:iCs/>
          <w:color w:val="000000" w:themeColor="text1"/>
          <w:sz w:val="16"/>
          <w:szCs w:val="16"/>
        </w:rPr>
        <w:softHyphen/>
        <w:t>летом и мотором надежны и при испы</w:t>
      </w:r>
      <w:r w:rsidRPr="00DB5D0D">
        <w:rPr>
          <w:rFonts w:ascii="Times New Roman" w:hAnsi="Times New Roman"/>
          <w:iCs/>
          <w:color w:val="000000" w:themeColor="text1"/>
          <w:sz w:val="16"/>
          <w:szCs w:val="16"/>
        </w:rPr>
        <w:softHyphen/>
        <w:t>тании действовали безотказно... "</w:t>
      </w:r>
    </w:p>
    <w:p w14:paraId="252074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этим указывалось, что самолет предъявлен на гос. испытания с опозданием на 1 год и 3 месяца и не вполне соответствует предъявляе</w:t>
      </w:r>
      <w:r w:rsidRPr="00DB5D0D">
        <w:rPr>
          <w:rFonts w:ascii="Times New Roman" w:hAnsi="Times New Roman"/>
          <w:color w:val="000000" w:themeColor="text1"/>
          <w:sz w:val="16"/>
          <w:szCs w:val="16"/>
        </w:rPr>
        <w:softHyphen/>
        <w:t>мым к нему требованиям. Строго гово</w:t>
      </w:r>
      <w:r w:rsidRPr="00DB5D0D">
        <w:rPr>
          <w:rFonts w:ascii="Times New Roman" w:hAnsi="Times New Roman"/>
          <w:color w:val="000000" w:themeColor="text1"/>
          <w:sz w:val="16"/>
          <w:szCs w:val="16"/>
        </w:rPr>
        <w:softHyphen/>
        <w:t>ря, самолет БШ-2 с полетным весом 4725 кг (меньшим нормального по ТТТ) по основным данным был значительно хуже предусмотренных заданием: полу</w:t>
      </w:r>
      <w:r w:rsidRPr="00DB5D0D">
        <w:rPr>
          <w:rFonts w:ascii="Times New Roman" w:hAnsi="Times New Roman"/>
          <w:color w:val="000000" w:themeColor="text1"/>
          <w:sz w:val="16"/>
          <w:szCs w:val="16"/>
        </w:rPr>
        <w:softHyphen/>
        <w:t>ченные на испытаниях максимальная скорость у земли и предельная даль</w:t>
      </w:r>
      <w:r w:rsidRPr="00DB5D0D">
        <w:rPr>
          <w:rFonts w:ascii="Times New Roman" w:hAnsi="Times New Roman"/>
          <w:color w:val="000000" w:themeColor="text1"/>
          <w:sz w:val="16"/>
          <w:szCs w:val="16"/>
        </w:rPr>
        <w:softHyphen/>
        <w:t>ность полета на скорости 0,9 от макси</w:t>
      </w:r>
      <w:r w:rsidRPr="00DB5D0D">
        <w:rPr>
          <w:rFonts w:ascii="Times New Roman" w:hAnsi="Times New Roman"/>
          <w:color w:val="000000" w:themeColor="text1"/>
          <w:sz w:val="16"/>
          <w:szCs w:val="16"/>
        </w:rPr>
        <w:softHyphen/>
        <w:t>мальной меньше требуемых (соответ</w:t>
      </w:r>
      <w:r w:rsidRPr="00DB5D0D">
        <w:rPr>
          <w:rFonts w:ascii="Times New Roman" w:hAnsi="Times New Roman"/>
          <w:color w:val="000000" w:themeColor="text1"/>
          <w:sz w:val="16"/>
          <w:szCs w:val="16"/>
        </w:rPr>
        <w:softHyphen/>
        <w:t>ственно 362 км/ч вместо 385-400 км/ч и 618 км против 800-1000 км); посадочная скорость на 30 км/ч выше, чем задава</w:t>
      </w:r>
      <w:r w:rsidRPr="00DB5D0D">
        <w:rPr>
          <w:rFonts w:ascii="Times New Roman" w:hAnsi="Times New Roman"/>
          <w:color w:val="000000" w:themeColor="text1"/>
          <w:sz w:val="16"/>
          <w:szCs w:val="16"/>
        </w:rPr>
        <w:softHyphen/>
        <w:t>лось ТТТ; длина разбега больше, чем требовалось (340 м вместо 250 м); ма</w:t>
      </w:r>
      <w:r w:rsidRPr="00DB5D0D">
        <w:rPr>
          <w:rFonts w:ascii="Times New Roman" w:hAnsi="Times New Roman"/>
          <w:color w:val="000000" w:themeColor="text1"/>
          <w:sz w:val="16"/>
          <w:szCs w:val="16"/>
        </w:rPr>
        <w:softHyphen/>
        <w:t>невренность и управляемость машины как в горизонтальной, так и в вертикаль</w:t>
      </w:r>
      <w:r w:rsidRPr="00DB5D0D">
        <w:rPr>
          <w:rFonts w:ascii="Times New Roman" w:hAnsi="Times New Roman"/>
          <w:color w:val="000000" w:themeColor="text1"/>
          <w:sz w:val="16"/>
          <w:szCs w:val="16"/>
        </w:rPr>
        <w:softHyphen/>
        <w:t>ной плоскостях недостаточны (полет с брошенной ручкой управления из-за плохой продольной устойчивости само</w:t>
      </w:r>
      <w:r w:rsidRPr="00DB5D0D">
        <w:rPr>
          <w:rFonts w:ascii="Times New Roman" w:hAnsi="Times New Roman"/>
          <w:color w:val="000000" w:themeColor="text1"/>
          <w:sz w:val="16"/>
          <w:szCs w:val="16"/>
        </w:rPr>
        <w:softHyphen/>
        <w:t>лета невозможен); скороподъемность (5000 м за 11,5 минут) и время виража (27,3 сек) оставляли желать лучшего.</w:t>
      </w:r>
    </w:p>
    <w:p w14:paraId="692388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этого, мотор АМ-35 (зав. №116) с ресурсом работы 50 часов показал неважную приемистость (из-за плохой работы регулятора) и низкую эксплуа</w:t>
      </w:r>
      <w:r w:rsidRPr="00DB5D0D">
        <w:rPr>
          <w:rFonts w:ascii="Times New Roman" w:hAnsi="Times New Roman"/>
          <w:color w:val="000000" w:themeColor="text1"/>
          <w:sz w:val="16"/>
          <w:szCs w:val="16"/>
        </w:rPr>
        <w:softHyphen/>
        <w:t>тационную надежность (в ходе испыта</w:t>
      </w:r>
      <w:r w:rsidRPr="00DB5D0D">
        <w:rPr>
          <w:rFonts w:ascii="Times New Roman" w:hAnsi="Times New Roman"/>
          <w:color w:val="000000" w:themeColor="text1"/>
          <w:sz w:val="16"/>
          <w:szCs w:val="16"/>
        </w:rPr>
        <w:softHyphen/>
        <w:t>ний была проведена его замена).</w:t>
      </w:r>
    </w:p>
    <w:p w14:paraId="133C7E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качестве основных причин недо</w:t>
      </w:r>
      <w:r w:rsidRPr="00DB5D0D">
        <w:rPr>
          <w:rFonts w:ascii="Times New Roman" w:hAnsi="Times New Roman"/>
          <w:color w:val="000000" w:themeColor="text1"/>
          <w:sz w:val="16"/>
          <w:szCs w:val="16"/>
        </w:rPr>
        <w:softHyphen/>
        <w:t>статков новой машины указывались сле</w:t>
      </w:r>
      <w:r w:rsidRPr="00DB5D0D">
        <w:rPr>
          <w:rFonts w:ascii="Times New Roman" w:hAnsi="Times New Roman"/>
          <w:color w:val="000000" w:themeColor="text1"/>
          <w:sz w:val="16"/>
          <w:szCs w:val="16"/>
        </w:rPr>
        <w:softHyphen/>
        <w:t>дующие: низкая - 0,25 л.с./кг и 40 л.с./м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тяговооруженность штурмовика и чрез</w:t>
      </w:r>
      <w:r w:rsidRPr="00DB5D0D">
        <w:rPr>
          <w:rFonts w:ascii="Times New Roman" w:hAnsi="Times New Roman"/>
          <w:color w:val="000000" w:themeColor="text1"/>
          <w:sz w:val="16"/>
          <w:szCs w:val="16"/>
        </w:rPr>
        <w:softHyphen/>
        <w:t>мерно задняя центровка самолета -31,5% САХ. При этом отмечалось, что при полетном весе 5000 кг (нормальном по ТТТ) удельные характеристики маши</w:t>
      </w:r>
      <w:r w:rsidRPr="00DB5D0D">
        <w:rPr>
          <w:rFonts w:ascii="Times New Roman" w:hAnsi="Times New Roman"/>
          <w:color w:val="000000" w:themeColor="text1"/>
          <w:sz w:val="16"/>
          <w:szCs w:val="16"/>
        </w:rPr>
        <w:softHyphen/>
        <w:t xml:space="preserve">ны </w:t>
      </w:r>
      <w:r w:rsidRPr="00DB5D0D">
        <w:rPr>
          <w:rFonts w:ascii="Times New Roman" w:hAnsi="Times New Roman"/>
          <w:iCs/>
          <w:color w:val="000000" w:themeColor="text1"/>
          <w:sz w:val="16"/>
          <w:szCs w:val="16"/>
        </w:rPr>
        <w:t>будут</w:t>
      </w:r>
      <w:r w:rsidRPr="00DB5D0D">
        <w:rPr>
          <w:rFonts w:ascii="Times New Roman" w:hAnsi="Times New Roman"/>
          <w:color w:val="000000" w:themeColor="text1"/>
          <w:sz w:val="16"/>
          <w:szCs w:val="16"/>
        </w:rPr>
        <w:t xml:space="preserve"> еще хуже - 0,24 л.с./кг и 37,7 л.с./м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время набора высоты 5000 м со</w:t>
      </w:r>
      <w:r w:rsidRPr="00DB5D0D">
        <w:rPr>
          <w:rFonts w:ascii="Times New Roman" w:hAnsi="Times New Roman"/>
          <w:color w:val="000000" w:themeColor="text1"/>
          <w:sz w:val="16"/>
          <w:szCs w:val="16"/>
        </w:rPr>
        <w:softHyphen/>
        <w:t>ставит не менее 12-13 минут (вместо 8-9 минут по заданию), а требуемая мак</w:t>
      </w:r>
      <w:r w:rsidRPr="00DB5D0D">
        <w:rPr>
          <w:rFonts w:ascii="Times New Roman" w:hAnsi="Times New Roman"/>
          <w:color w:val="000000" w:themeColor="text1"/>
          <w:sz w:val="16"/>
          <w:szCs w:val="16"/>
        </w:rPr>
        <w:softHyphen/>
        <w:t>симальная скорость полета у земли 400 км/ч может быть достигнута только при использовании более мощного мотора.</w:t>
      </w:r>
    </w:p>
    <w:p w14:paraId="12C12B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этой связи Техсовет рекомендовал осуществить установку на самолет бо</w:t>
      </w:r>
      <w:r w:rsidRPr="00DB5D0D">
        <w:rPr>
          <w:rFonts w:ascii="Times New Roman" w:hAnsi="Times New Roman"/>
          <w:color w:val="000000" w:themeColor="text1"/>
          <w:sz w:val="16"/>
          <w:szCs w:val="16"/>
        </w:rPr>
        <w:softHyphen/>
        <w:t>лее мощного (при том же весе и габа</w:t>
      </w:r>
      <w:r w:rsidRPr="00DB5D0D">
        <w:rPr>
          <w:rFonts w:ascii="Times New Roman" w:hAnsi="Times New Roman"/>
          <w:color w:val="000000" w:themeColor="text1"/>
          <w:sz w:val="16"/>
          <w:szCs w:val="16"/>
        </w:rPr>
        <w:softHyphen/>
        <w:t>ритах, что и АМ-35) невысотного мотора АМ-38 (максимальная мощность у зем</w:t>
      </w:r>
      <w:r w:rsidRPr="00DB5D0D">
        <w:rPr>
          <w:rFonts w:ascii="Times New Roman" w:hAnsi="Times New Roman"/>
          <w:color w:val="000000" w:themeColor="text1"/>
          <w:sz w:val="16"/>
          <w:szCs w:val="16"/>
        </w:rPr>
        <w:softHyphen/>
        <w:t>ли 1625 л.с.), собранного 24-м заводом в сентябре 39-го и находящегося в это время на стадии опытно-доводочных работ.</w:t>
      </w:r>
    </w:p>
    <w:p w14:paraId="17C13F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Здесь уместно отметить, что еще 13 февраля 1940 г. на заседании Коллегии НКАП при рассмотрении вопроса о ходе заводских испытаний БШ-2, С.В.Илью</w:t>
      </w:r>
      <w:r w:rsidRPr="00DB5D0D">
        <w:rPr>
          <w:rFonts w:ascii="Times New Roman" w:hAnsi="Times New Roman"/>
          <w:color w:val="000000" w:themeColor="text1"/>
          <w:sz w:val="16"/>
          <w:szCs w:val="16"/>
        </w:rPr>
        <w:softHyphen/>
        <w:t>шину совместно с Главным конструкто</w:t>
      </w:r>
      <w:r w:rsidRPr="00DB5D0D">
        <w:rPr>
          <w:rFonts w:ascii="Times New Roman" w:hAnsi="Times New Roman"/>
          <w:color w:val="000000" w:themeColor="text1"/>
          <w:sz w:val="16"/>
          <w:szCs w:val="16"/>
        </w:rPr>
        <w:softHyphen/>
        <w:t>ром завода № 24 А.А.Микулиным пору</w:t>
      </w:r>
      <w:r w:rsidRPr="00DB5D0D">
        <w:rPr>
          <w:rFonts w:ascii="Times New Roman" w:hAnsi="Times New Roman"/>
          <w:color w:val="000000" w:themeColor="text1"/>
          <w:sz w:val="16"/>
          <w:szCs w:val="16"/>
        </w:rPr>
        <w:softHyphen/>
        <w:t>чалось подготовить предложения по ус</w:t>
      </w:r>
      <w:r w:rsidRPr="00DB5D0D">
        <w:rPr>
          <w:rFonts w:ascii="Times New Roman" w:hAnsi="Times New Roman"/>
          <w:color w:val="000000" w:themeColor="text1"/>
          <w:sz w:val="16"/>
          <w:szCs w:val="16"/>
        </w:rPr>
        <w:softHyphen/>
        <w:t>тановке мотора АМ-38 на самолет и представить их на рассмотрение нарко</w:t>
      </w:r>
      <w:r w:rsidRPr="00DB5D0D">
        <w:rPr>
          <w:rFonts w:ascii="Times New Roman" w:hAnsi="Times New Roman"/>
          <w:color w:val="000000" w:themeColor="text1"/>
          <w:sz w:val="16"/>
          <w:szCs w:val="16"/>
        </w:rPr>
        <w:softHyphen/>
        <w:t>му авиапромышленности А.И.Шахурину. Однако к моменту проведения гос. испытания БШ-2 АМ-38-й готов еще не был.</w:t>
      </w:r>
    </w:p>
    <w:p w14:paraId="6BB7CD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недостатков БШ-2 АМ-35, пе</w:t>
      </w:r>
      <w:r w:rsidRPr="00DB5D0D">
        <w:rPr>
          <w:rFonts w:ascii="Times New Roman" w:hAnsi="Times New Roman"/>
          <w:color w:val="000000" w:themeColor="text1"/>
          <w:sz w:val="16"/>
          <w:szCs w:val="16"/>
        </w:rPr>
        <w:softHyphen/>
        <w:t>речисленных выше, Технический совет в качестве основных выделил еще и такие:</w:t>
      </w:r>
    </w:p>
    <w:p w14:paraId="055FAA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неудовлетворительный обзор для летчика и штурмана вперед-вниз, обус</w:t>
      </w:r>
      <w:r w:rsidRPr="00DB5D0D">
        <w:rPr>
          <w:rFonts w:ascii="Times New Roman" w:hAnsi="Times New Roman"/>
          <w:color w:val="000000" w:themeColor="text1"/>
          <w:sz w:val="16"/>
          <w:szCs w:val="16"/>
        </w:rPr>
        <w:softHyphen/>
        <w:t>ловленный как аэродинамической схе</w:t>
      </w:r>
      <w:r w:rsidRPr="00DB5D0D">
        <w:rPr>
          <w:rFonts w:ascii="Times New Roman" w:hAnsi="Times New Roman"/>
          <w:color w:val="000000" w:themeColor="text1"/>
          <w:sz w:val="16"/>
          <w:szCs w:val="16"/>
        </w:rPr>
        <w:softHyphen/>
        <w:t>мой самолета, так и неудачной формой козырька фонаря, что в совокупности с недостаточной продольной устойчивос</w:t>
      </w:r>
      <w:r w:rsidRPr="00DB5D0D">
        <w:rPr>
          <w:rFonts w:ascii="Times New Roman" w:hAnsi="Times New Roman"/>
          <w:color w:val="000000" w:themeColor="text1"/>
          <w:sz w:val="16"/>
          <w:szCs w:val="16"/>
        </w:rPr>
        <w:softHyphen/>
        <w:t>тью штурмовика серьезно затрудняло наведение машины на цель, бомбоме</w:t>
      </w:r>
      <w:r w:rsidRPr="00DB5D0D">
        <w:rPr>
          <w:rFonts w:ascii="Times New Roman" w:hAnsi="Times New Roman"/>
          <w:color w:val="000000" w:themeColor="text1"/>
          <w:sz w:val="16"/>
          <w:szCs w:val="16"/>
        </w:rPr>
        <w:softHyphen/>
        <w:t>тание и ведение огня из стрелкового оружия с пикирования;</w:t>
      </w:r>
    </w:p>
    <w:p w14:paraId="4223DA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недостаточная защита летчика спереди (плексиглас толщиной 60 мм, установленный на козырьке фонаря ка</w:t>
      </w:r>
      <w:r w:rsidRPr="00DB5D0D">
        <w:rPr>
          <w:rFonts w:ascii="Times New Roman" w:hAnsi="Times New Roman"/>
          <w:color w:val="000000" w:themeColor="text1"/>
          <w:sz w:val="16"/>
          <w:szCs w:val="16"/>
        </w:rPr>
        <w:softHyphen/>
        <w:t>бины, требовалось заменить прозрачной броней);</w:t>
      </w:r>
    </w:p>
    <w:p w14:paraId="748E0B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недостаточная управляемость вследствие больших нагрузок на управ</w:t>
      </w:r>
      <w:r w:rsidRPr="00DB5D0D">
        <w:rPr>
          <w:rFonts w:ascii="Times New Roman" w:hAnsi="Times New Roman"/>
          <w:color w:val="000000" w:themeColor="text1"/>
          <w:sz w:val="16"/>
          <w:szCs w:val="16"/>
        </w:rPr>
        <w:softHyphen/>
        <w:t>ление элеронами;</w:t>
      </w:r>
    </w:p>
    <w:p w14:paraId="086A27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недоведенность крыльевых пуле</w:t>
      </w:r>
      <w:r w:rsidRPr="00DB5D0D">
        <w:rPr>
          <w:rFonts w:ascii="Times New Roman" w:hAnsi="Times New Roman"/>
          <w:color w:val="000000" w:themeColor="text1"/>
          <w:sz w:val="16"/>
          <w:szCs w:val="16"/>
        </w:rPr>
        <w:softHyphen/>
        <w:t>метных установок;</w:t>
      </w:r>
    </w:p>
    <w:p w14:paraId="6B6FC5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отсутствие предусмотренной ТТТ приемо-передающей радиостанции.</w:t>
      </w:r>
    </w:p>
    <w:p w14:paraId="39F2A2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Несмотря на выявленные недостатки машины, Технический совет НИИ ВВС дал положительный отзыв, отметив в протоколе заседания, что: </w:t>
      </w:r>
      <w:r w:rsidRPr="00DB5D0D">
        <w:rPr>
          <w:rFonts w:ascii="Times New Roman" w:hAnsi="Times New Roman"/>
          <w:iCs/>
          <w:color w:val="000000" w:themeColor="text1"/>
          <w:sz w:val="16"/>
          <w:szCs w:val="16"/>
        </w:rPr>
        <w:t>"Самолет БШ-2 АМ-35 является единственным типом хорошо бронированного самолета, с до</w:t>
      </w:r>
      <w:r w:rsidRPr="00DB5D0D">
        <w:rPr>
          <w:rFonts w:ascii="Times New Roman" w:hAnsi="Times New Roman"/>
          <w:iCs/>
          <w:color w:val="000000" w:themeColor="text1"/>
          <w:sz w:val="16"/>
          <w:szCs w:val="16"/>
        </w:rPr>
        <w:softHyphen/>
        <w:t>статочно мощным бомбардировочным и химическим вооружением и имеет пер</w:t>
      </w:r>
      <w:r w:rsidRPr="00DB5D0D">
        <w:rPr>
          <w:rFonts w:ascii="Times New Roman" w:hAnsi="Times New Roman"/>
          <w:iCs/>
          <w:color w:val="000000" w:themeColor="text1"/>
          <w:sz w:val="16"/>
          <w:szCs w:val="16"/>
        </w:rPr>
        <w:softHyphen/>
        <w:t>спективы дальнейшего развития в отно</w:t>
      </w:r>
      <w:r w:rsidRPr="00DB5D0D">
        <w:rPr>
          <w:rFonts w:ascii="Times New Roman" w:hAnsi="Times New Roman"/>
          <w:iCs/>
          <w:color w:val="000000" w:themeColor="text1"/>
          <w:sz w:val="16"/>
          <w:szCs w:val="16"/>
        </w:rPr>
        <w:softHyphen/>
        <w:t>шении повышения летных данных, уве</w:t>
      </w:r>
      <w:r w:rsidRPr="00DB5D0D">
        <w:rPr>
          <w:rFonts w:ascii="Times New Roman" w:hAnsi="Times New Roman"/>
          <w:iCs/>
          <w:color w:val="000000" w:themeColor="text1"/>
          <w:sz w:val="16"/>
          <w:szCs w:val="16"/>
        </w:rPr>
        <w:softHyphen/>
        <w:t>личения мощности стрелково-артиллерийского вооружения, увеличения даль</w:t>
      </w:r>
      <w:r w:rsidRPr="00DB5D0D">
        <w:rPr>
          <w:rFonts w:ascii="Times New Roman" w:hAnsi="Times New Roman"/>
          <w:iCs/>
          <w:color w:val="000000" w:themeColor="text1"/>
          <w:sz w:val="16"/>
          <w:szCs w:val="16"/>
        </w:rPr>
        <w:softHyphen/>
        <w:t>ности полета и некоторого улучшения полетных свойств. В связи с этим само</w:t>
      </w:r>
      <w:r w:rsidRPr="00DB5D0D">
        <w:rPr>
          <w:rFonts w:ascii="Times New Roman" w:hAnsi="Times New Roman"/>
          <w:iCs/>
          <w:color w:val="000000" w:themeColor="text1"/>
          <w:sz w:val="16"/>
          <w:szCs w:val="16"/>
        </w:rPr>
        <w:softHyphen/>
        <w:t>лет ЬШ-2 АМ-35 представляет опреде</w:t>
      </w:r>
      <w:r w:rsidRPr="00DB5D0D">
        <w:rPr>
          <w:rFonts w:ascii="Times New Roman" w:hAnsi="Times New Roman"/>
          <w:iCs/>
          <w:color w:val="000000" w:themeColor="text1"/>
          <w:sz w:val="16"/>
          <w:szCs w:val="16"/>
        </w:rPr>
        <w:softHyphen/>
        <w:t>ленный интерес для использования его в ВВС КА в качестве штурмовика-бом</w:t>
      </w:r>
      <w:r w:rsidRPr="00DB5D0D">
        <w:rPr>
          <w:rFonts w:ascii="Times New Roman" w:hAnsi="Times New Roman"/>
          <w:iCs/>
          <w:color w:val="000000" w:themeColor="text1"/>
          <w:sz w:val="16"/>
          <w:szCs w:val="16"/>
        </w:rPr>
        <w:softHyphen/>
        <w:t>бардировщика ближнего действия".</w:t>
      </w:r>
    </w:p>
    <w:p w14:paraId="2C579B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предложению начальника отдела боевого применения НИИ ВВС п-ка М.В.Шишкина Техсовет указал на необ</w:t>
      </w:r>
      <w:r w:rsidRPr="00DB5D0D">
        <w:rPr>
          <w:rFonts w:ascii="Times New Roman" w:hAnsi="Times New Roman"/>
          <w:color w:val="000000" w:themeColor="text1"/>
          <w:sz w:val="16"/>
          <w:szCs w:val="16"/>
        </w:rPr>
        <w:softHyphen/>
        <w:t xml:space="preserve">ходимость постройки небольшой серии штурмовиков БШ-2 АМ-35 </w:t>
      </w:r>
      <w:r w:rsidRPr="00DB5D0D">
        <w:rPr>
          <w:rFonts w:ascii="Times New Roman" w:hAnsi="Times New Roman"/>
          <w:iCs/>
          <w:color w:val="000000" w:themeColor="text1"/>
          <w:sz w:val="16"/>
          <w:szCs w:val="16"/>
        </w:rPr>
        <w:t>"...в количе</w:t>
      </w:r>
      <w:r w:rsidRPr="00DB5D0D">
        <w:rPr>
          <w:rFonts w:ascii="Times New Roman" w:hAnsi="Times New Roman"/>
          <w:iCs/>
          <w:color w:val="000000" w:themeColor="text1"/>
          <w:sz w:val="16"/>
          <w:szCs w:val="16"/>
        </w:rPr>
        <w:softHyphen/>
        <w:t xml:space="preserve">стве, достаточном для формирования одного штурмового авиаполка ВВС КА </w:t>
      </w:r>
      <w:r w:rsidRPr="00DB5D0D">
        <w:rPr>
          <w:rFonts w:ascii="Times New Roman" w:hAnsi="Times New Roman"/>
          <w:color w:val="000000" w:themeColor="text1"/>
          <w:sz w:val="16"/>
          <w:szCs w:val="16"/>
        </w:rPr>
        <w:t>(то есть, в количестве 65 машин, как того требовала штатная структура штурмовых авиаполков того времени</w:t>
      </w:r>
      <w:r w:rsidRPr="00DB5D0D">
        <w:rPr>
          <w:rFonts w:ascii="Times New Roman" w:hAnsi="Times New Roman"/>
          <w:bCs/>
          <w:color w:val="000000" w:themeColor="text1"/>
          <w:sz w:val="16"/>
          <w:szCs w:val="16"/>
        </w:rPr>
        <w:t xml:space="preserve"> - авт.)</w:t>
      </w:r>
      <w:r w:rsidRPr="00DB5D0D">
        <w:rPr>
          <w:rFonts w:ascii="Times New Roman" w:hAnsi="Times New Roman"/>
          <w:iCs/>
          <w:color w:val="000000" w:themeColor="text1"/>
          <w:sz w:val="16"/>
          <w:szCs w:val="16"/>
        </w:rPr>
        <w:t>для проведения войсковых испытаний с це</w:t>
      </w:r>
      <w:r w:rsidRPr="00DB5D0D">
        <w:rPr>
          <w:rFonts w:ascii="Times New Roman" w:hAnsi="Times New Roman"/>
          <w:iCs/>
          <w:color w:val="000000" w:themeColor="text1"/>
          <w:sz w:val="16"/>
          <w:szCs w:val="16"/>
        </w:rPr>
        <w:softHyphen/>
        <w:t>лью освоения тактики боевого приме</w:t>
      </w:r>
      <w:r w:rsidRPr="00DB5D0D">
        <w:rPr>
          <w:rFonts w:ascii="Times New Roman" w:hAnsi="Times New Roman"/>
          <w:iCs/>
          <w:color w:val="000000" w:themeColor="text1"/>
          <w:sz w:val="16"/>
          <w:szCs w:val="16"/>
        </w:rPr>
        <w:softHyphen/>
        <w:t>нения самолетов подобного типа".</w:t>
      </w:r>
      <w:r w:rsidRPr="00DB5D0D">
        <w:rPr>
          <w:rFonts w:ascii="Times New Roman" w:hAnsi="Times New Roman"/>
          <w:color w:val="000000" w:themeColor="text1"/>
          <w:sz w:val="16"/>
          <w:szCs w:val="16"/>
        </w:rPr>
        <w:t xml:space="preserve"> Пред</w:t>
      </w:r>
      <w:r w:rsidRPr="00DB5D0D">
        <w:rPr>
          <w:rFonts w:ascii="Times New Roman" w:hAnsi="Times New Roman"/>
          <w:color w:val="000000" w:themeColor="text1"/>
          <w:sz w:val="16"/>
          <w:szCs w:val="16"/>
        </w:rPr>
        <w:softHyphen/>
        <w:t>полагалось, что в результате будут ис</w:t>
      </w:r>
      <w:r w:rsidRPr="00DB5D0D">
        <w:rPr>
          <w:rFonts w:ascii="Times New Roman" w:hAnsi="Times New Roman"/>
          <w:color w:val="000000" w:themeColor="text1"/>
          <w:sz w:val="16"/>
          <w:szCs w:val="16"/>
        </w:rPr>
        <w:softHyphen/>
        <w:t>следованы тактические возможности новых штурмовиков одиночно и в соста</w:t>
      </w:r>
      <w:r w:rsidRPr="00DB5D0D">
        <w:rPr>
          <w:rFonts w:ascii="Times New Roman" w:hAnsi="Times New Roman"/>
          <w:color w:val="000000" w:themeColor="text1"/>
          <w:sz w:val="16"/>
          <w:szCs w:val="16"/>
        </w:rPr>
        <w:softHyphen/>
        <w:t>ве эскадрильи.</w:t>
      </w:r>
    </w:p>
    <w:p w14:paraId="37ED5A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БШ-2 войсковой серии требова</w:t>
      </w:r>
      <w:r w:rsidRPr="00DB5D0D">
        <w:rPr>
          <w:rFonts w:ascii="Times New Roman" w:hAnsi="Times New Roman"/>
          <w:color w:val="000000" w:themeColor="text1"/>
          <w:sz w:val="16"/>
          <w:szCs w:val="16"/>
        </w:rPr>
        <w:softHyphen/>
        <w:t>лось устранить</w:t>
      </w:r>
      <w:r w:rsidRPr="00DB5D0D">
        <w:rPr>
          <w:rFonts w:ascii="Times New Roman" w:hAnsi="Times New Roman"/>
          <w:bCs/>
          <w:color w:val="000000" w:themeColor="text1"/>
          <w:sz w:val="16"/>
          <w:szCs w:val="16"/>
        </w:rPr>
        <w:t xml:space="preserve"> все</w:t>
      </w:r>
      <w:r w:rsidRPr="00DB5D0D">
        <w:rPr>
          <w:rFonts w:ascii="Times New Roman" w:hAnsi="Times New Roman"/>
          <w:color w:val="000000" w:themeColor="text1"/>
          <w:sz w:val="16"/>
          <w:szCs w:val="16"/>
        </w:rPr>
        <w:t xml:space="preserve"> выявленные на ис</w:t>
      </w:r>
      <w:r w:rsidRPr="00DB5D0D">
        <w:rPr>
          <w:rFonts w:ascii="Times New Roman" w:hAnsi="Times New Roman"/>
          <w:color w:val="000000" w:themeColor="text1"/>
          <w:sz w:val="16"/>
          <w:szCs w:val="16"/>
        </w:rPr>
        <w:softHyphen/>
        <w:t>пытаниях недостатки (в том числе уста</w:t>
      </w:r>
      <w:r w:rsidRPr="00DB5D0D">
        <w:rPr>
          <w:rFonts w:ascii="Times New Roman" w:hAnsi="Times New Roman"/>
          <w:color w:val="000000" w:themeColor="text1"/>
          <w:sz w:val="16"/>
          <w:szCs w:val="16"/>
        </w:rPr>
        <w:softHyphen/>
        <w:t>новить дополнительный бензобак емко</w:t>
      </w:r>
      <w:r w:rsidRPr="00DB5D0D">
        <w:rPr>
          <w:rFonts w:ascii="Times New Roman" w:hAnsi="Times New Roman"/>
          <w:color w:val="000000" w:themeColor="text1"/>
          <w:sz w:val="16"/>
          <w:szCs w:val="16"/>
        </w:rPr>
        <w:softHyphen/>
        <w:t>стью 200 л с наполнением его нейтраль</w:t>
      </w:r>
      <w:r w:rsidRPr="00DB5D0D">
        <w:rPr>
          <w:rFonts w:ascii="Times New Roman" w:hAnsi="Times New Roman"/>
          <w:color w:val="000000" w:themeColor="text1"/>
          <w:sz w:val="16"/>
          <w:szCs w:val="16"/>
        </w:rPr>
        <w:softHyphen/>
        <w:t>ными газами) и предъявить их на госу</w:t>
      </w:r>
      <w:r w:rsidRPr="00DB5D0D">
        <w:rPr>
          <w:rFonts w:ascii="Times New Roman" w:hAnsi="Times New Roman"/>
          <w:color w:val="000000" w:themeColor="text1"/>
          <w:sz w:val="16"/>
          <w:szCs w:val="16"/>
        </w:rPr>
        <w:softHyphen/>
        <w:t>дарственные испытания не позднее 1 декабря 1940 г.</w:t>
      </w:r>
    </w:p>
    <w:p w14:paraId="27C5DE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этим, С.В.Ильюши</w:t>
      </w:r>
      <w:r w:rsidRPr="00DB5D0D">
        <w:rPr>
          <w:rFonts w:ascii="Times New Roman" w:hAnsi="Times New Roman"/>
          <w:color w:val="000000" w:themeColor="text1"/>
          <w:sz w:val="16"/>
          <w:szCs w:val="16"/>
        </w:rPr>
        <w:softHyphen/>
        <w:t>ну предлагалось:</w:t>
      </w:r>
    </w:p>
    <w:p w14:paraId="6D0650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"4....на втором опытном экземп</w:t>
      </w:r>
      <w:r w:rsidRPr="00DB5D0D">
        <w:rPr>
          <w:rFonts w:ascii="Times New Roman" w:hAnsi="Times New Roman"/>
          <w:iCs/>
          <w:color w:val="000000" w:themeColor="text1"/>
          <w:sz w:val="16"/>
          <w:szCs w:val="16"/>
        </w:rPr>
        <w:softHyphen/>
        <w:t>ляре БШ-2 № 1 устранить все выяв</w:t>
      </w:r>
      <w:r w:rsidRPr="00DB5D0D">
        <w:rPr>
          <w:rFonts w:ascii="Times New Roman" w:hAnsi="Times New Roman"/>
          <w:iCs/>
          <w:color w:val="000000" w:themeColor="text1"/>
          <w:sz w:val="16"/>
          <w:szCs w:val="16"/>
        </w:rPr>
        <w:softHyphen/>
        <w:t>ленные при гос. испытания недочеты, установить на нем мотор АМ-38, уста</w:t>
      </w:r>
      <w:r w:rsidRPr="00DB5D0D">
        <w:rPr>
          <w:rFonts w:ascii="Times New Roman" w:hAnsi="Times New Roman"/>
          <w:iCs/>
          <w:color w:val="000000" w:themeColor="text1"/>
          <w:sz w:val="16"/>
          <w:szCs w:val="16"/>
        </w:rPr>
        <w:softHyphen/>
        <w:t>новить дополнительный бензиновый бак, улучшить продольную устойчи</w:t>
      </w:r>
      <w:r w:rsidRPr="00DB5D0D">
        <w:rPr>
          <w:rFonts w:ascii="Times New Roman" w:hAnsi="Times New Roman"/>
          <w:iCs/>
          <w:color w:val="000000" w:themeColor="text1"/>
          <w:sz w:val="16"/>
          <w:szCs w:val="16"/>
        </w:rPr>
        <w:softHyphen/>
        <w:t>вость самолета путем изменения схе</w:t>
      </w:r>
      <w:r w:rsidRPr="00DB5D0D">
        <w:rPr>
          <w:rFonts w:ascii="Times New Roman" w:hAnsi="Times New Roman"/>
          <w:iCs/>
          <w:color w:val="000000" w:themeColor="text1"/>
          <w:sz w:val="16"/>
          <w:szCs w:val="16"/>
        </w:rPr>
        <w:softHyphen/>
        <w:t>мы расположения крыла (придать кры</w:t>
      </w:r>
      <w:r w:rsidRPr="00DB5D0D">
        <w:rPr>
          <w:rFonts w:ascii="Times New Roman" w:hAnsi="Times New Roman"/>
          <w:iCs/>
          <w:color w:val="000000" w:themeColor="text1"/>
          <w:sz w:val="16"/>
          <w:szCs w:val="16"/>
        </w:rPr>
        <w:softHyphen/>
        <w:t>лу стрельчатое очертание) и увеличе</w:t>
      </w:r>
      <w:r w:rsidRPr="00DB5D0D">
        <w:rPr>
          <w:rFonts w:ascii="Times New Roman" w:hAnsi="Times New Roman"/>
          <w:iCs/>
          <w:color w:val="000000" w:themeColor="text1"/>
          <w:sz w:val="16"/>
          <w:szCs w:val="16"/>
        </w:rPr>
        <w:softHyphen/>
        <w:t>ния площади стабилизатора, улучшить обзор вперед для летчика и штурма</w:t>
      </w:r>
      <w:r w:rsidRPr="00DB5D0D">
        <w:rPr>
          <w:rFonts w:ascii="Times New Roman" w:hAnsi="Times New Roman"/>
          <w:iCs/>
          <w:color w:val="000000" w:themeColor="text1"/>
          <w:sz w:val="16"/>
          <w:szCs w:val="16"/>
        </w:rPr>
        <w:softHyphen/>
        <w:t>на, улучшить управляемость самолета путем доводки элеронов и флетнеров на них и предъявить самолет на пове</w:t>
      </w:r>
      <w:r w:rsidRPr="00DB5D0D">
        <w:rPr>
          <w:rFonts w:ascii="Times New Roman" w:hAnsi="Times New Roman"/>
          <w:iCs/>
          <w:color w:val="000000" w:themeColor="text1"/>
          <w:sz w:val="16"/>
          <w:szCs w:val="16"/>
        </w:rPr>
        <w:softHyphen/>
        <w:t>рочные испытания не позже 15 июня 1940 г.</w:t>
      </w:r>
    </w:p>
    <w:p w14:paraId="2648BBD2" w14:textId="77777777" w:rsidR="00A25AD1" w:rsidRPr="00DB5D0D" w:rsidRDefault="00A25AD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5. На самолет БШ-2 АМ-35</w:t>
      </w:r>
      <w:r w:rsidRPr="00DB5D0D">
        <w:rPr>
          <w:rFonts w:ascii="Times New Roman" w:hAnsi="Times New Roman"/>
          <w:color w:val="000000" w:themeColor="text1"/>
          <w:sz w:val="16"/>
          <w:szCs w:val="16"/>
        </w:rPr>
        <w:t xml:space="preserve"> Л/о </w:t>
      </w:r>
      <w:r w:rsidRPr="00DB5D0D">
        <w:rPr>
          <w:rFonts w:ascii="Times New Roman" w:hAnsi="Times New Roman"/>
          <w:iCs/>
          <w:color w:val="000000" w:themeColor="text1"/>
          <w:sz w:val="16"/>
          <w:szCs w:val="16"/>
        </w:rPr>
        <w:t>2, прошедший государственные испыта</w:t>
      </w:r>
      <w:r w:rsidRPr="00DB5D0D">
        <w:rPr>
          <w:rFonts w:ascii="Times New Roman" w:hAnsi="Times New Roman"/>
          <w:iCs/>
          <w:color w:val="000000" w:themeColor="text1"/>
          <w:sz w:val="16"/>
          <w:szCs w:val="16"/>
        </w:rPr>
        <w:softHyphen/>
        <w:t>ния, установить вооружение вперед: 2 пушки и 2 пулемета (имелись ввиду пушки МП-6 калибра 23 мм конструк</w:t>
      </w:r>
      <w:r w:rsidRPr="00DB5D0D">
        <w:rPr>
          <w:rFonts w:ascii="Times New Roman" w:hAnsi="Times New Roman"/>
          <w:iCs/>
          <w:color w:val="000000" w:themeColor="text1"/>
          <w:sz w:val="16"/>
          <w:szCs w:val="16"/>
        </w:rPr>
        <w:softHyphen/>
        <w:t>ции Я. Г. Таубина и М.Н.Бабурина ОКБ-16 и пулеметы ШКАС</w:t>
      </w:r>
      <w:r w:rsidRPr="00DB5D0D">
        <w:rPr>
          <w:rFonts w:ascii="Times New Roman" w:hAnsi="Times New Roman"/>
          <w:bCs/>
          <w:iCs/>
          <w:color w:val="000000" w:themeColor="text1"/>
          <w:sz w:val="16"/>
          <w:szCs w:val="16"/>
        </w:rPr>
        <w:t xml:space="preserve"> - авт.)</w:t>
      </w:r>
      <w:r w:rsidRPr="00DB5D0D">
        <w:rPr>
          <w:rFonts w:ascii="Times New Roman" w:hAnsi="Times New Roman"/>
          <w:iCs/>
          <w:color w:val="000000" w:themeColor="text1"/>
          <w:sz w:val="16"/>
          <w:szCs w:val="16"/>
        </w:rPr>
        <w:t xml:space="preserve"> и предъя</w:t>
      </w:r>
      <w:r w:rsidRPr="00DB5D0D">
        <w:rPr>
          <w:rFonts w:ascii="Times New Roman" w:hAnsi="Times New Roman"/>
          <w:iCs/>
          <w:color w:val="000000" w:themeColor="text1"/>
          <w:sz w:val="16"/>
          <w:szCs w:val="16"/>
        </w:rPr>
        <w:softHyphen/>
        <w:t>вить на испытания в НИИ ГУАС КА к 1 июля 1940 г.</w:t>
      </w:r>
    </w:p>
    <w:p w14:paraId="4F5A26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Тогда же проверить на</w:t>
      </w:r>
      <w:r w:rsidRPr="00DB5D0D">
        <w:rPr>
          <w:rFonts w:ascii="Times New Roman" w:hAnsi="Times New Roman"/>
          <w:iCs/>
          <w:color w:val="000000" w:themeColor="text1"/>
          <w:sz w:val="16"/>
          <w:szCs w:val="16"/>
        </w:rPr>
        <w:softHyphen/>
        <w:t>дежность работы систем охлаждения воды и масла при высоких темпера</w:t>
      </w:r>
      <w:r w:rsidRPr="00DB5D0D">
        <w:rPr>
          <w:rFonts w:ascii="Times New Roman" w:hAnsi="Times New Roman"/>
          <w:iCs/>
          <w:color w:val="000000" w:themeColor="text1"/>
          <w:sz w:val="16"/>
          <w:szCs w:val="16"/>
        </w:rPr>
        <w:softHyphen/>
        <w:t>турах наружного воздуха.</w:t>
      </w:r>
    </w:p>
    <w:p w14:paraId="508D8E2F" w14:textId="77777777" w:rsidR="00A25AD1" w:rsidRPr="00DB5D0D" w:rsidRDefault="00A25AD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После этих испытаний направить самолет на Химкинский Полигон для детальной отработки и выбора основ</w:t>
      </w:r>
      <w:r w:rsidRPr="00DB5D0D">
        <w:rPr>
          <w:rFonts w:ascii="Times New Roman" w:hAnsi="Times New Roman"/>
          <w:iCs/>
          <w:color w:val="000000" w:themeColor="text1"/>
          <w:sz w:val="16"/>
          <w:szCs w:val="16"/>
        </w:rPr>
        <w:softHyphen/>
        <w:t>ного варианта химического вооружения".</w:t>
      </w:r>
    </w:p>
    <w:p w14:paraId="619473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этого, предполагалось произвести отстрел одного бронекорпуса БШ- ' 2 для определения его пулестойкости (6467).</w:t>
      </w:r>
    </w:p>
    <w:p w14:paraId="171701E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8AF9F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 под председательством начальника НИИ ВВС дивизионного инженера А.И.Филина состоялось заседание Технического совета института, на котором в присутствии С.В.Ильюшина и его заместителя Я.И.Мальцева были заслушаны доклады ведущего инженера института военинженера 1-го ранга Н.С.Куликова, ведущего летчика-испытателя майора А.К.Долгова и штурмана-испытателя майора И.Д.Соколова о результатах проведения государственных испытаний БШ-2 № 2 (ЦКБ-55 № 2).</w:t>
      </w:r>
    </w:p>
    <w:p w14:paraId="34907D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по результатам осмотра самолета и изучения материалов испытаний Техническим советом отмечалось, что:</w:t>
      </w:r>
    </w:p>
    <w:p w14:paraId="262AFE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своим полетным свойствам БШ-2 достаточно прост, особенностей, отличающих его от других самолетов такого типа (ББ-1, Р-10), не имеет, взлет и посадка просты, на взлете и пробеге самолет устойчив;</w:t>
      </w:r>
    </w:p>
    <w:p w14:paraId="5A62EF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бомбовое, и стрелковое вооружение по своему объему соответствует требованиям;</w:t>
      </w:r>
    </w:p>
    <w:p w14:paraId="207E99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пилотажно-навигационные приборы, приборы ВМГ и кислородное оборудование по своему объему полностью, а электрооборудование в основном, соответствуют тактическому назначению самолета;</w:t>
      </w:r>
    </w:p>
    <w:p w14:paraId="33CD92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конструктивном отношении самолет выполнен хорошо, основные агрегаты конструкции самолета, шасси, у правление самолетом и мотором надежны и при испытании действовали безотказно...»</w:t>
      </w:r>
    </w:p>
    <w:p w14:paraId="7077F2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этим указывалось, что самолет предъявлен на госиспытания с опозданием на 1 год и 3 месяца и не вполне соответствует предъявляемым к нему требованиям. Такую формулировку военные оставили для того, чтобы поддержать С.В.Ильюшина.</w:t>
      </w:r>
    </w:p>
    <w:p w14:paraId="4493D0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Строго говоря, самолет БШ-2 с полетным весом 4725 кг (существенно меньшим нормального по ТТТ) по основным данным был значительно хуже предусмотренных заданием:</w:t>
      </w:r>
    </w:p>
    <w:p w14:paraId="75B05C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полученные на испытаниях максимальная скорость у земли и предельная дальность полета на скорости 0,9 от максимальной меньше требуемых (соответственно 362 км/ч вместо 385-400 км/ч и 618 км против 800-1000 км);</w:t>
      </w:r>
    </w:p>
    <w:p w14:paraId="09CD6E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на 30 км/ч выше, чем задавалось ТТТ;</w:t>
      </w:r>
    </w:p>
    <w:p w14:paraId="2920DF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больше, чем требовалось (340 м вместо 250 м);</w:t>
      </w:r>
    </w:p>
    <w:p w14:paraId="6D20A0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маневренность и управляемость машины как в горизонтальной, так и в вертикальной плоскостях недостаточны (полет с брошенной ручкой управления из-за плохой продольной устойчивости самолета невозможен);</w:t>
      </w:r>
    </w:p>
    <w:p w14:paraId="17C274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(5000 м за 11,5 миню) и время виража (27,3 сек.), оставляли желать лучшего.</w:t>
      </w:r>
    </w:p>
    <w:p w14:paraId="1A09D0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БШ-2 из-за падения давления масла у мотора АМ-35 на высотах более 6000 м и падения давления бензина вследствие недостаточной мощности бензопомпы БНК-56 на испытаниях не определялся.</w:t>
      </w:r>
    </w:p>
    <w:p w14:paraId="058E8B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признать, что такая высотность штурмовику не нужна и мучиться с ее определением было занятием совершенно бесполезным.</w:t>
      </w:r>
    </w:p>
    <w:p w14:paraId="489A7C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Кроме этого, мотор АМ-35 № 116 с ресурсом работы 50 часов показал плохую приемистость (из-за плохой работы карбюратора) и низкую эксплуатационную надежность (в ходе испытаний была проведена его замена).</w:t>
      </w:r>
    </w:p>
    <w:p w14:paraId="69A45B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отмечалось, что при нормальном (по ТТТ) полетном весе 5000 кг, удельные характеристики машины будут еще хуже, время набора высоты 5000 м составит не менее 12-13 мин. (вместо 8-9 мин. по заданию), а требуемая максимальная скорость полета у земли 400 км/ч может быть достигнута только при использовании более мощного мотора.</w:t>
      </w:r>
    </w:p>
    <w:p w14:paraId="615472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этой связи Техсовет рекомендовал осуществить установку на самолет более мощного (при том же примерно весе и габаритах, что и АМ-35) невысотного мотора АМ-38 (максимальная мощность у земли 1625 л. с.), собранного 24-м заводом в сентябре 39-го и находящегося в это время на стадии опытно-доводочных работ (9649).</w:t>
      </w:r>
    </w:p>
    <w:p w14:paraId="7FAB87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недостатков БШ-2 АМ-35, перечисленных выше. Технический совет в качестве основных выделил еще и такие:</w:t>
      </w:r>
    </w:p>
    <w:p w14:paraId="726BAB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неудовлетворительный обзор для летчика и штурмана вперед-вниз, обусловленный как компоновочной схемой самолета/так и неудачной формой козырька фонаря.Это в совокупности с недостаточной продольной устойчивостью штурмовика серьезно затрудняло наведение машины на цель, бомбометание и ведение огня из стрелкового оружия с пикирования;</w:t>
      </w:r>
    </w:p>
    <w:p w14:paraId="279A1F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недостаточная защита летчика спереди (плексиглас толщиной 60 мм, установленный на козырьке фонаря кабины, требовалось заменить прозрачной броней);</w:t>
      </w:r>
    </w:p>
    <w:p w14:paraId="5EC1B4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недостаточная управляемость, вследствие больших нагрузок на управление элеронами;</w:t>
      </w:r>
    </w:p>
    <w:p w14:paraId="483DA1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недоведенность крыльевых пулеметных установок/отсутствие предусмотренной ТТТ приемо-передающей радиостанции.</w:t>
      </w:r>
    </w:p>
    <w:p w14:paraId="7F78C5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выявленные недостатки машины/Технический совет НИИ ВВС дал положительный отзыв, отметив в протоколе заседания, что: «Самолет БШ-2 АМ-35 является единственным типом хорошо бронированного самолета, с достаточно мощным бомбардировочным и химическим вооружением и имеет перспективы дальнейшего развития в отношении повышения летных да иных, увеличения мощности стрелково-артиллерийского вооружения, увеличения дальности полета и некоторого улучшения полетных свойств.</w:t>
      </w:r>
    </w:p>
    <w:p w14:paraId="574B19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этим, самолет БШ-2 АМ-35 представляет определенный интерес для использования его в ВВС КА в качестве штурмовика-бомбардировщика ближнего действия».</w:t>
      </w:r>
    </w:p>
    <w:p w14:paraId="770F03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предложению начальника отдела боевого применения НИИ ВВС полковника М. В. Шишкина Техсовет указал на необходимость постройки небольшой серии штурмовиков БШ-2 АМ-35 «... в количестве, достаточном для формирования одного штурмового авиаполка ВВС КА (то есть, в количестве 65 машин, как того требовала штатная структура штурмовых авиаполков ВВС КА того времени -авт. ) для проведения войсковых испытаний с целью освоения тактики боевого применения самолетов подобного типа».</w:t>
      </w:r>
    </w:p>
    <w:p w14:paraId="160B74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Предполагалось, что в результате будут исследованы тактические возможности новых штурмовиков одиночно и в составе эскадрильи, а также разработана тактика их боевого применения.</w:t>
      </w:r>
    </w:p>
    <w:p w14:paraId="507F8A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БШ-2 войсковой серии требовалось устранить все выявленные на испытаниях недостатки (в том числе установить дополнительный бензобак емкостью 200 л с наполнением его нейтральными газами) и предъявить их на государственные испытания не позднее 1 декабря 1940 г.</w:t>
      </w:r>
    </w:p>
    <w:p w14:paraId="47E728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этим, С. В. Ильюшину предлагалось:</w:t>
      </w:r>
    </w:p>
    <w:p w14:paraId="0A1982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 втором опытном экземпляре БШ-2 № 1, устранить все выявленные при госиспытаниях недочеты, установить на нем мотор АМ-38, установить дополнительный бензиновый бак, улучшить продольную устойчивость самолета, путем изменения схемы расположения крыла (придать крылу стрельчатое очертание) и увеличения площади стабилизатора, улучшить обзор вперед для летчика и штурмана, улучшить управляемость самолета, путем доводки элеронов и флетне-ров на них и предъявить самолет на проверочные испытания не позже 15 июня 1940 г.</w:t>
      </w:r>
    </w:p>
    <w:p w14:paraId="0FA7E5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 самолет БШ-2 АМ-35 №2, прошедший государственные испытания, установить вооружение вперед две пушки и два пулемета (имелись ввиду пушки Я. Г. Таубина и М. Н. Бабурина МП-б калибра 23 мм и пулеметы ШКАС - авт.) и предъявить на испытания в НИИ ГУАС КА к 1 июля 1940 г. Тогда же проверить надежность работы систем охлаждения воды и масла при высоких температурах наружного воздуха.</w:t>
      </w:r>
    </w:p>
    <w:p w14:paraId="372A23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этих испытаний направить самолет на &lt;Химический&gt; Полигон для детальной отработки и выбора основного варианта химического вооружения».</w:t>
      </w:r>
    </w:p>
    <w:p w14:paraId="66A98B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этого, предполагалось произвести отстрел одного бронекорпу-са БШ-2 для определения его пуле-стойкости (9649).</w:t>
      </w:r>
    </w:p>
    <w:p w14:paraId="115DAEE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20A7AA0"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7 мая 1940 г. под председательством начальника НИИ ВВС дивинженера Филина состоялось заседание Техни</w:t>
      </w:r>
      <w:r w:rsidRPr="00DB5D0D">
        <w:rPr>
          <w:rFonts w:ascii="Times New Roman" w:hAnsi="Times New Roman" w:cs="Times New Roman"/>
          <w:color w:val="000000" w:themeColor="text1"/>
          <w:sz w:val="16"/>
          <w:szCs w:val="16"/>
        </w:rPr>
        <w:softHyphen/>
        <w:t>ческого совета института, на котором присутствовали Ильюшин и его заме</w:t>
      </w:r>
      <w:r w:rsidRPr="00DB5D0D">
        <w:rPr>
          <w:rFonts w:ascii="Times New Roman" w:hAnsi="Times New Roman" w:cs="Times New Roman"/>
          <w:color w:val="000000" w:themeColor="text1"/>
          <w:sz w:val="16"/>
          <w:szCs w:val="16"/>
        </w:rPr>
        <w:softHyphen/>
        <w:t>ститель Я.И. Мальцев. Были заслушаны доклады о результатах государственных испытаний БШ-2 №2 ведущего инженера военинженера 1-го ранга Н.С. Куликова, ведущего летчика-испытателя майора А.К.Долгова и штурмана-испытателя майора И.Д. Соколова.</w:t>
      </w:r>
    </w:p>
    <w:p w14:paraId="770F2F41"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 выводах по результатам осмотра са</w:t>
      </w:r>
      <w:r w:rsidRPr="00DB5D0D">
        <w:rPr>
          <w:rFonts w:ascii="Times New Roman" w:hAnsi="Times New Roman" w:cs="Times New Roman"/>
          <w:color w:val="000000" w:themeColor="text1"/>
          <w:sz w:val="16"/>
          <w:szCs w:val="16"/>
        </w:rPr>
        <w:softHyphen/>
        <w:t>молета и изучения материалов испытаний Техническим советом отмечалось:</w:t>
      </w:r>
    </w:p>
    <w:p w14:paraId="1C94B65E" w14:textId="77777777" w:rsidR="00F47651" w:rsidRPr="00DB5D0D" w:rsidRDefault="00F47651" w:rsidP="00DB5D0D">
      <w:pPr>
        <w:tabs>
          <w:tab w:val="left" w:pos="48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своим полетным свойствам БШ-2 достаточно прост, особенностей, отличающих его от других самолетов такого типа (ББ-1, Р-10), не имеет, взлет и посадка просты, на взлете и пробеге самолет устойчив;</w:t>
      </w:r>
    </w:p>
    <w:p w14:paraId="10250167" w14:textId="77777777" w:rsidR="00F47651" w:rsidRPr="00DB5D0D" w:rsidRDefault="00F47651" w:rsidP="00DB5D0D">
      <w:pPr>
        <w:tabs>
          <w:tab w:val="left" w:pos="48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бомбовое и стрелковое вооружение по своему объему соответствует требованиям;</w:t>
      </w:r>
    </w:p>
    <w:p w14:paraId="76B38A4E" w14:textId="77777777" w:rsidR="00F47651" w:rsidRPr="00DB5D0D" w:rsidRDefault="00F47651" w:rsidP="00DB5D0D">
      <w:pPr>
        <w:tabs>
          <w:tab w:val="left" w:pos="48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пилотажно-навигационные приборы, приборы ВМГ и кислородное оборудование по своему объему полностью, а электроо</w:t>
      </w:r>
      <w:r w:rsidRPr="00DB5D0D">
        <w:rPr>
          <w:rFonts w:ascii="Times New Roman" w:hAnsi="Times New Roman"/>
          <w:color w:val="000000" w:themeColor="text1"/>
          <w:sz w:val="16"/>
          <w:szCs w:val="16"/>
        </w:rPr>
        <w:softHyphen/>
        <w:t>борудование в основном, соответствуют тактическому назначению самолета;</w:t>
      </w:r>
    </w:p>
    <w:p w14:paraId="60CDD3E3" w14:textId="77777777" w:rsidR="00F47651" w:rsidRPr="00DB5D0D" w:rsidRDefault="00F47651" w:rsidP="00DB5D0D">
      <w:pPr>
        <w:tabs>
          <w:tab w:val="left" w:pos="495"/>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конструктивном отношении самолет выполнен хорошо, основные агрегаты конструкции самолета, шасси, управление самолетом и мотором надежны и при испытании действовали безотказно». Опасных для полетов дефек</w:t>
      </w:r>
      <w:r w:rsidRPr="00DB5D0D">
        <w:rPr>
          <w:rFonts w:ascii="Times New Roman" w:hAnsi="Times New Roman"/>
          <w:color w:val="000000" w:themeColor="text1"/>
          <w:sz w:val="16"/>
          <w:szCs w:val="16"/>
        </w:rPr>
        <w:softHyphen/>
        <w:t>тов при испытании не обнаружено.</w:t>
      </w:r>
    </w:p>
    <w:p w14:paraId="5346878D"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Одновременно с этим указывалось, что самолет предъявлен на госиспытания с опозданием на 1 год и 3 месяца и по определяющим летно-боевым данным не вполне соответствует требованиям.</w:t>
      </w:r>
    </w:p>
    <w:p w14:paraId="53CB0F21"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Получалось так, что БШ-2 при полетном весе 4735 кг, что меньше нормального (5000 кг), максимальная скорость, скороподъемность, скоростная дальность полета, взлетно-посадочные характеристики не дотягивали до желае</w:t>
      </w:r>
      <w:r w:rsidRPr="00DB5D0D">
        <w:rPr>
          <w:rFonts w:ascii="Times New Roman" w:hAnsi="Times New Roman" w:cs="Times New Roman"/>
          <w:color w:val="000000" w:themeColor="text1"/>
          <w:sz w:val="16"/>
          <w:szCs w:val="16"/>
        </w:rPr>
        <w:softHyphen/>
        <w:t>мого уровня.</w:t>
      </w:r>
    </w:p>
    <w:p w14:paraId="301035D6"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Максимальная скорость у земли (362 км/ч) была на 23 км/ч меньше заданной нижней границы по ТТТ. По</w:t>
      </w:r>
      <w:r w:rsidRPr="00DB5D0D">
        <w:rPr>
          <w:rFonts w:ascii="Times New Roman" w:hAnsi="Times New Roman" w:cs="Times New Roman"/>
          <w:color w:val="000000" w:themeColor="text1"/>
          <w:sz w:val="16"/>
          <w:szCs w:val="16"/>
        </w:rPr>
        <w:softHyphen/>
        <w:t>садочная скорость (140 км/ч) на 30 км/ч выше верхней границы. Разбег при взлете (340 м) на 90 м превышал установленную величину. Низкой была скороподъемность (на высоту 5000 м самолет забирался за 11,5 мин вместо 8-9 мин) и маневрен</w:t>
      </w:r>
      <w:r w:rsidRPr="00DB5D0D">
        <w:rPr>
          <w:rFonts w:ascii="Times New Roman" w:hAnsi="Times New Roman" w:cs="Times New Roman"/>
          <w:color w:val="000000" w:themeColor="text1"/>
          <w:sz w:val="16"/>
          <w:szCs w:val="16"/>
        </w:rPr>
        <w:softHyphen/>
        <w:t>ность (время виража на высоте 1000 м составляло 27,3 с). Недостаточной оказа</w:t>
      </w:r>
      <w:r w:rsidRPr="00DB5D0D">
        <w:rPr>
          <w:rFonts w:ascii="Times New Roman" w:hAnsi="Times New Roman" w:cs="Times New Roman"/>
          <w:color w:val="000000" w:themeColor="text1"/>
          <w:sz w:val="16"/>
          <w:szCs w:val="16"/>
        </w:rPr>
        <w:softHyphen/>
        <w:t>лась скоростная дальность полета у земли (618 км при скорости полета 0,9</w:t>
      </w:r>
      <w:r w:rsidRPr="00DB5D0D">
        <w:rPr>
          <w:rFonts w:ascii="Times New Roman" w:hAnsi="Times New Roman" w:cs="Times New Roman"/>
          <w:color w:val="000000" w:themeColor="text1"/>
          <w:sz w:val="16"/>
          <w:szCs w:val="16"/>
          <w:lang w:val="en-US"/>
        </w:rPr>
        <w:t>V</w:t>
      </w:r>
      <w:r w:rsidRPr="00DB5D0D">
        <w:rPr>
          <w:rFonts w:ascii="Times New Roman" w:hAnsi="Times New Roman" w:cs="Times New Roman"/>
          <w:color w:val="000000" w:themeColor="text1"/>
          <w:sz w:val="16"/>
          <w:szCs w:val="16"/>
          <w:vertAlign w:val="subscript"/>
          <w:lang w:val="en-US"/>
        </w:rPr>
        <w:t>max</w:t>
      </w:r>
      <w:r w:rsidRPr="00DB5D0D">
        <w:rPr>
          <w:rFonts w:ascii="Times New Roman" w:hAnsi="Times New Roman" w:cs="Times New Roman"/>
          <w:color w:val="000000" w:themeColor="text1"/>
          <w:sz w:val="16"/>
          <w:szCs w:val="16"/>
        </w:rPr>
        <w:t xml:space="preserve"> на высоте 200 м вместо 700 км).</w:t>
      </w:r>
    </w:p>
    <w:p w14:paraId="78EE2C34"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Потолок БШ-2 из-за падения давле</w:t>
      </w:r>
      <w:r w:rsidRPr="00DB5D0D">
        <w:rPr>
          <w:rFonts w:ascii="Times New Roman" w:hAnsi="Times New Roman" w:cs="Times New Roman"/>
          <w:color w:val="000000" w:themeColor="text1"/>
          <w:sz w:val="16"/>
          <w:szCs w:val="16"/>
        </w:rPr>
        <w:softHyphen/>
        <w:t>ния масла у мотора АМ-35 на высоте бо</w:t>
      </w:r>
      <w:r w:rsidRPr="00DB5D0D">
        <w:rPr>
          <w:rFonts w:ascii="Times New Roman" w:hAnsi="Times New Roman" w:cs="Times New Roman"/>
          <w:color w:val="000000" w:themeColor="text1"/>
          <w:sz w:val="16"/>
          <w:szCs w:val="16"/>
        </w:rPr>
        <w:softHyphen/>
        <w:t>лее 6000 м и падения давления бензина вследствие маломощности бензопомпы БНК-56 на испытаниях не определялся.</w:t>
      </w:r>
    </w:p>
    <w:p w14:paraId="6422C272" w14:textId="77777777" w:rsidR="00F47651" w:rsidRPr="00DB5D0D" w:rsidRDefault="00F476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Управляемость и продольная устой</w:t>
      </w:r>
      <w:r w:rsidRPr="00DB5D0D">
        <w:rPr>
          <w:rFonts w:ascii="Times New Roman" w:hAnsi="Times New Roman"/>
          <w:color w:val="000000" w:themeColor="text1"/>
          <w:sz w:val="16"/>
          <w:szCs w:val="16"/>
        </w:rPr>
        <w:softHyphen/>
        <w:t>чивость оценивались как недостаточные. Виражи, боевые развороты и пикиро</w:t>
      </w:r>
      <w:r w:rsidRPr="00DB5D0D">
        <w:rPr>
          <w:rFonts w:ascii="Times New Roman" w:hAnsi="Times New Roman"/>
          <w:color w:val="000000" w:themeColor="text1"/>
          <w:sz w:val="16"/>
          <w:szCs w:val="16"/>
        </w:rPr>
        <w:softHyphen/>
        <w:t>вание БШ-2 выполнял неустойчиво. Полет «с брошенным управлением» был невозможен. Усилия на ручке и педалях управления считались слишком боль</w:t>
      </w:r>
      <w:r w:rsidRPr="00DB5D0D">
        <w:rPr>
          <w:rFonts w:ascii="Times New Roman" w:hAnsi="Times New Roman"/>
          <w:color w:val="000000" w:themeColor="text1"/>
          <w:sz w:val="16"/>
          <w:szCs w:val="16"/>
        </w:rPr>
        <w:softHyphen/>
        <w:t>шими. Самолет «как штурмовик тяжел в управлении, инертен, обладает большим радиусом разворота». Ограниченный обзор из кабины летчика и штурмана («обусловленный аэродинамической схемой самолета и необычной формой козырька и фонаря») затрудняет поиск и опознавание цели, бомбометание и стрельбу. При высоте полета 500 м и выше вывод на цель был возможен только с разворота, так как при атаке с прямой цель закрывается мотором. Требовалось установить бронестекло в бронеперегородке между летчиком и штурманом, заменить 60-мм плексиглас на козырьке летчика бронестеклом такой же толщины. На самолете отсутствовала приемо-передающая радиостанция, недоведены крыльевые стрелковые установки.</w:t>
      </w:r>
    </w:p>
    <w:p w14:paraId="248A7D7C"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Отмечалась ненадежная работа мо</w:t>
      </w:r>
      <w:r w:rsidRPr="00DB5D0D">
        <w:rPr>
          <w:rFonts w:ascii="Times New Roman" w:hAnsi="Times New Roman" w:cs="Times New Roman"/>
          <w:color w:val="000000" w:themeColor="text1"/>
          <w:sz w:val="16"/>
          <w:szCs w:val="16"/>
        </w:rPr>
        <w:softHyphen/>
        <w:t>тора АМ-35, который в ходе испытаний показал плохую приемистость (из-за плохой работы карбюратора) и неваж</w:t>
      </w:r>
      <w:r w:rsidRPr="00DB5D0D">
        <w:rPr>
          <w:rFonts w:ascii="Times New Roman" w:hAnsi="Times New Roman" w:cs="Times New Roman"/>
          <w:color w:val="000000" w:themeColor="text1"/>
          <w:sz w:val="16"/>
          <w:szCs w:val="16"/>
        </w:rPr>
        <w:softHyphen/>
        <w:t>ную эксплуатационную надежность (в ходе испытаний мотор пришлось заменить).</w:t>
      </w:r>
    </w:p>
    <w:p w14:paraId="6FFCD15D"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 ряду основных причин недостатков самолета указывались: низкая энер- "овооруженность и чрезмерно задняя -ентровка - 31,5% САХ.</w:t>
      </w:r>
    </w:p>
    <w:p w14:paraId="50F8DC63"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Очевидно, при полетном весе 5000 кг (нормальном по ТТТ) летные данные были бы еще хуже. Особенно скороподъ</w:t>
      </w:r>
      <w:r w:rsidRPr="00DB5D0D">
        <w:rPr>
          <w:rFonts w:ascii="Times New Roman" w:hAnsi="Times New Roman" w:cs="Times New Roman"/>
          <w:color w:val="000000" w:themeColor="text1"/>
          <w:sz w:val="16"/>
          <w:szCs w:val="16"/>
        </w:rPr>
        <w:softHyphen/>
        <w:t>емность. Время набора высоты 5000 м ориентировочно составило бы 12-13 мин вместо 8-9 мин).</w:t>
      </w:r>
    </w:p>
    <w:p w14:paraId="762BA8B0" w14:textId="77777777" w:rsidR="00F47651" w:rsidRPr="00DB5D0D" w:rsidRDefault="00F47651" w:rsidP="00DB5D0D">
      <w:pPr>
        <w:spacing w:after="0" w:line="240" w:lineRule="auto"/>
        <w:jc w:val="both"/>
        <w:rPr>
          <w:rFonts w:ascii="Times New Roman" w:hAnsi="Times New Roman"/>
          <w:color w:val="000000" w:themeColor="text1"/>
          <w:sz w:val="16"/>
          <w:szCs w:val="16"/>
        </w:rPr>
      </w:pPr>
      <w:r w:rsidRPr="00DB5D0D">
        <w:rPr>
          <w:rStyle w:val="174"/>
          <w:rFonts w:ascii="Times New Roman" w:eastAsiaTheme="minorHAnsi" w:hAnsi="Times New Roman" w:cs="Times New Roman"/>
          <w:i w:val="0"/>
          <w:color w:val="000000" w:themeColor="text1"/>
          <w:sz w:val="16"/>
          <w:szCs w:val="16"/>
        </w:rPr>
        <w:t>Констатировалось, что «</w:t>
      </w:r>
      <w:r w:rsidRPr="00DB5D0D">
        <w:rPr>
          <w:rFonts w:ascii="Times New Roman" w:hAnsi="Times New Roman"/>
          <w:color w:val="000000" w:themeColor="text1"/>
          <w:sz w:val="16"/>
          <w:szCs w:val="16"/>
        </w:rPr>
        <w:t>увеличение максимальной скорости у земли может быть достигнуто путем установки более мощного, невысотного мотора АМ-38, имеющего те же весовые данные и габариты, что и мотор АМ-35».</w:t>
      </w:r>
    </w:p>
    <w:p w14:paraId="03F36945"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Здесь следует пояснить. Еще в 1939 г. параллельно с доводкой моторов АМ-35 и модификации АМ-35А и постройкой-рехрядного 18-цилиндрового мотора АМ-36 в ОКБ завода № 24 вне утвержденного плана проектировались моторы АМ-37 и АМ-38 с повышенной и пониженной высотностью. По расчетам - низковысотный вариант (АМ-38) должен был иметь взлетную мощность 1600 л.с. и номинальную мощность 1590 л.с. на рас- -е~мой высоте 1770 м, а высотный мотор -АМ-37) - 1400 л.с. на взлетном режиме и 1400 л.с. номинальной мощности на расче~ной высоте 6000 м.</w:t>
      </w:r>
    </w:p>
    <w:p w14:paraId="2C1A1CF6"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Основная идея АМ-38 заключалась в -тс за счет понижения высотности мотора АМ-35 его приводной центробеж- нагнетатель уже не требовал отбора дополнительной мощности, что было экви</w:t>
      </w:r>
      <w:r w:rsidRPr="00DB5D0D">
        <w:rPr>
          <w:rFonts w:ascii="Times New Roman" w:hAnsi="Times New Roman" w:cs="Times New Roman"/>
          <w:color w:val="000000" w:themeColor="text1"/>
          <w:sz w:val="16"/>
          <w:szCs w:val="16"/>
        </w:rPr>
        <w:softHyphen/>
        <w:t>валентно получению прироста мощности на валу мотора. Диаметр крыльчатки нагнетателя уменьшался, коленчатый вал мотьора и его опоры усиливались.</w:t>
      </w:r>
    </w:p>
    <w:p w14:paraId="00D5D93F"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Мотор АМ-37 получался путем форсирования АМ-35 по наддуву, установки крыльчатки нагнетателя увеличенного диаметра (285 мм вместо 275 мм) и специального водо-воздушного радиатора, который обеспечивал охлаждение сжатого и нагретого воздуха, выходящего из нагнетателя. Прокачка воды через водо-воздушный радиатор осуществлялась дополни</w:t>
      </w:r>
      <w:r w:rsidRPr="00DB5D0D">
        <w:rPr>
          <w:rFonts w:ascii="Times New Roman" w:hAnsi="Times New Roman" w:cs="Times New Roman"/>
          <w:color w:val="000000" w:themeColor="text1"/>
          <w:sz w:val="16"/>
          <w:szCs w:val="16"/>
        </w:rPr>
        <w:softHyphen/>
        <w:t>тельным водяным насосом.</w:t>
      </w:r>
    </w:p>
    <w:p w14:paraId="26FBEB21"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Известно, что основные проектные работы по мотору АМ-37 были завершены в июне, а по мотору АМ-38 - в сентябре 1939 г.</w:t>
      </w:r>
    </w:p>
    <w:p w14:paraId="29780F08"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lastRenderedPageBreak/>
        <w:t>Оба мотора представляли значи</w:t>
      </w:r>
      <w:r w:rsidRPr="00DB5D0D">
        <w:rPr>
          <w:rFonts w:ascii="Times New Roman" w:hAnsi="Times New Roman" w:cs="Times New Roman"/>
          <w:color w:val="000000" w:themeColor="text1"/>
          <w:sz w:val="16"/>
          <w:szCs w:val="16"/>
        </w:rPr>
        <w:softHyphen/>
        <w:t>тельный интерес, как по техническим данным, так и по возможностям нала</w:t>
      </w:r>
      <w:r w:rsidRPr="00DB5D0D">
        <w:rPr>
          <w:rFonts w:ascii="Times New Roman" w:hAnsi="Times New Roman" w:cs="Times New Roman"/>
          <w:color w:val="000000" w:themeColor="text1"/>
          <w:sz w:val="16"/>
          <w:szCs w:val="16"/>
        </w:rPr>
        <w:softHyphen/>
        <w:t>живания серийного производства. При обсуждении перспективы использования этих моторов в боевой авиации решили в первую очередь строить высотный мотор АМ-37 (и с ним пикирующие и дальние бомбардировщики, истребители воздушного боя и истребители дальнего действия). Тем более что военные ориентировались на применение для штурмовиков моторов воздушного охлаждения.</w:t>
      </w:r>
    </w:p>
    <w:p w14:paraId="7DE5742A"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13 февраля 1940 г. на коллегии НКАП при рассмотрении хода и результатов заводских летных испытаний БШ-2 Ильюшину и Микулину поручалось под</w:t>
      </w:r>
      <w:r w:rsidRPr="00DB5D0D">
        <w:rPr>
          <w:rFonts w:ascii="Times New Roman" w:hAnsi="Times New Roman" w:cs="Times New Roman"/>
          <w:color w:val="000000" w:themeColor="text1"/>
          <w:sz w:val="16"/>
          <w:szCs w:val="16"/>
        </w:rPr>
        <w:softHyphen/>
        <w:t>готовить и доложить наркому Шахурину конкретные предложения по установке на самолет мотора АМ-38. С этого момента в ОКБ завода №24 активизировались работы по мотору АМ-38, но к началу государственных испытаний самолета БШ-2 №2 мотор еще находился в стадии постройки.</w:t>
      </w:r>
    </w:p>
    <w:p w14:paraId="66A6780A"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Наряду с дефектами самолета и вин</w:t>
      </w:r>
      <w:r w:rsidRPr="00DB5D0D">
        <w:rPr>
          <w:rFonts w:ascii="Times New Roman" w:hAnsi="Times New Roman" w:cs="Times New Roman"/>
          <w:color w:val="000000" w:themeColor="text1"/>
          <w:sz w:val="16"/>
          <w:szCs w:val="16"/>
        </w:rPr>
        <w:softHyphen/>
        <w:t>томоторной группы БШ-2 №2, некоторые специалисты НИИ ВВС высказывали мне</w:t>
      </w:r>
      <w:r w:rsidRPr="00DB5D0D">
        <w:rPr>
          <w:rFonts w:ascii="Times New Roman" w:hAnsi="Times New Roman" w:cs="Times New Roman"/>
          <w:color w:val="000000" w:themeColor="text1"/>
          <w:sz w:val="16"/>
          <w:szCs w:val="16"/>
        </w:rPr>
        <w:softHyphen/>
        <w:t>ние о недостаточности броневой защиты летчика и штурмана-стрелка со стороны задней полусферы (толщина брони 7 мм) и с боков по кабинному поясу (броня 6 мм), а также нижнего бензобака и маслорадиатора сбоку (броня 5 мм).</w:t>
      </w:r>
    </w:p>
    <w:p w14:paraId="1B57F4C5"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Действительно, к этому времени в ходе отработки бронеспинок летчика для истребителей было установлено, что минимальная толщина брони должна быть 8,5 мм (цементованная броня марки ХД). Выбор толщины 8,5 мм был сделан исходя из того, что броня ХД(ц) толщиной 8 мм не пробивалась бронебойной пулей Б-30 калибра 7,62 мм при обстреле с дистанции 100 м по нормали (угол встречи 0°).</w:t>
      </w:r>
    </w:p>
    <w:p w14:paraId="1855FAF1"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Между тем в боевой авиации и войсковой зенитной артиллерии уже наметилась тенденция перехода к более крупным калибрам. Соответственно, броня перспективного штурмовика должна была обеспечивать защиту в основном от огня пулеметов калибра (12-13 мм), как наиболее распространенного в будущем оружия.</w:t>
      </w:r>
    </w:p>
    <w:p w14:paraId="3588AD11"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Ильюшин возражал, мотивируя свою позицию тем, что пули под прямым углом попадать в бронекорпус не будут, так как он имеет поверхность двойной кривизны. К тому же скорость штурмовика 100-120 м/с. Все это существенно повышает эффективность брони. Однако обещал подумать.</w:t>
      </w:r>
    </w:p>
    <w:p w14:paraId="576443E2"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Дело в том, что увеличение толщины брони задних стенок бронекорпуса, помимо роста веса пустого самолета, еще смещает центровку назад. Как следствие, ухудшается и без того недостаточная про</w:t>
      </w:r>
      <w:r w:rsidRPr="00DB5D0D">
        <w:rPr>
          <w:rFonts w:ascii="Times New Roman" w:hAnsi="Times New Roman" w:cs="Times New Roman"/>
          <w:color w:val="000000" w:themeColor="text1"/>
          <w:sz w:val="16"/>
          <w:szCs w:val="16"/>
        </w:rPr>
        <w:softHyphen/>
        <w:t>дольная устойчивость БШ-2. Необходимо было перекомпоновывать самолет или делать новое крыло.</w:t>
      </w:r>
    </w:p>
    <w:p w14:paraId="3C8D25B8"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Также обращалось внимание на низкую среднюю скорость полета БШ-2 в составе группы - всего 290-300 км/ч, но главное, это небольшой диапазон ра</w:t>
      </w:r>
      <w:r w:rsidRPr="00DB5D0D">
        <w:rPr>
          <w:rFonts w:ascii="Times New Roman" w:hAnsi="Times New Roman" w:cs="Times New Roman"/>
          <w:color w:val="000000" w:themeColor="text1"/>
          <w:sz w:val="16"/>
          <w:szCs w:val="16"/>
        </w:rPr>
        <w:softHyphen/>
        <w:t>бочих скоростей - не более 30-35 км/ч. Последнее обстоятельство резко ограничивало возможности группы по ма</w:t>
      </w:r>
      <w:r w:rsidRPr="00DB5D0D">
        <w:rPr>
          <w:rFonts w:ascii="Times New Roman" w:hAnsi="Times New Roman" w:cs="Times New Roman"/>
          <w:color w:val="000000" w:themeColor="text1"/>
          <w:sz w:val="16"/>
          <w:szCs w:val="16"/>
        </w:rPr>
        <w:softHyphen/>
        <w:t>неврированию, особенно при выполнении атаки цели и ведении воздушного боя с истребителями противника. Требовалось поднять скорость полета у земли хотя бы до уровня, заданного ТТТ.</w:t>
      </w:r>
    </w:p>
    <w:p w14:paraId="0DECDDE9" w14:textId="77777777" w:rsidR="00F47651" w:rsidRPr="00DB5D0D" w:rsidRDefault="00F476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выявленные недостатки машины, Технический совет НИИ ВВС все же дал положительный отзыв, отметив, что: «Самолет БШ-2 АМ-35 является единственным типом хорошо бронированного самолета с достаточно мощным бомбардировочным и химиче</w:t>
      </w:r>
      <w:r w:rsidRPr="00DB5D0D">
        <w:rPr>
          <w:rFonts w:ascii="Times New Roman" w:hAnsi="Times New Roman"/>
          <w:color w:val="000000" w:themeColor="text1"/>
          <w:sz w:val="16"/>
          <w:szCs w:val="16"/>
        </w:rPr>
        <w:softHyphen/>
        <w:t>ским вооружением и имеет перспективы дальнейшего развития в отношении повышения летных данных, увеличения мощности стрелково-артиллерийского во</w:t>
      </w:r>
      <w:r w:rsidRPr="00DB5D0D">
        <w:rPr>
          <w:rFonts w:ascii="Times New Roman" w:hAnsi="Times New Roman"/>
          <w:color w:val="000000" w:themeColor="text1"/>
          <w:sz w:val="16"/>
          <w:szCs w:val="16"/>
        </w:rPr>
        <w:softHyphen/>
        <w:t xml:space="preserve">оружения, увеличения дальности полета и </w:t>
      </w:r>
    </w:p>
    <w:p w14:paraId="5309F3DB"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некоторого улучшения полетных свойств. В связи с этим, самолет БШ-2 АМ-35 представляет определенный интерес для использования его в ВВС КА в качестве штурмовика-бомбардировщика ближнего действия».</w:t>
      </w:r>
    </w:p>
    <w:p w14:paraId="3FDD0BF3"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предложению начальника отдела боевого применения НИИ ВВС полковника М.В.Шишкина рекомен</w:t>
      </w:r>
      <w:r w:rsidRPr="00DB5D0D">
        <w:rPr>
          <w:rFonts w:ascii="Times New Roman" w:hAnsi="Times New Roman" w:cs="Times New Roman"/>
          <w:color w:val="000000" w:themeColor="text1"/>
          <w:sz w:val="16"/>
          <w:szCs w:val="16"/>
        </w:rPr>
        <w:softHyphen/>
        <w:t>довалось вместо 30 экземпляров, как это указывалось в заключении отчета по государственным испытаниям, построить серию БШ-2 «в</w:t>
      </w:r>
      <w:r w:rsidRPr="00DB5D0D">
        <w:rPr>
          <w:rStyle w:val="aff6"/>
          <w:rFonts w:ascii="Times New Roman" w:hAnsi="Times New Roman" w:cs="Times New Roman"/>
          <w:i w:val="0"/>
          <w:color w:val="000000" w:themeColor="text1"/>
        </w:rPr>
        <w:t xml:space="preserve"> количестве, достаточном для формирования одного штурмового авиаполка ВВС КА</w:t>
      </w:r>
      <w:r w:rsidRPr="00DB5D0D">
        <w:rPr>
          <w:rFonts w:ascii="Times New Roman" w:hAnsi="Times New Roman" w:cs="Times New Roman"/>
          <w:color w:val="000000" w:themeColor="text1"/>
          <w:sz w:val="16"/>
          <w:szCs w:val="16"/>
        </w:rPr>
        <w:t xml:space="preserve"> (то есть, 65 самолетов)</w:t>
      </w:r>
      <w:r w:rsidRPr="00DB5D0D">
        <w:rPr>
          <w:rStyle w:val="aff6"/>
          <w:rFonts w:ascii="Times New Roman" w:hAnsi="Times New Roman" w:cs="Times New Roman"/>
          <w:i w:val="0"/>
          <w:color w:val="000000" w:themeColor="text1"/>
        </w:rPr>
        <w:t xml:space="preserve"> для проведения войсковых испытаний с целью освоения тактики боевого применения самолетов подобного типа».</w:t>
      </w:r>
    </w:p>
    <w:p w14:paraId="1E2038A1"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На самолетах БШ-2 войсковой серии требовалось устранить все дефекты и не</w:t>
      </w:r>
      <w:r w:rsidRPr="00DB5D0D">
        <w:rPr>
          <w:rFonts w:ascii="Times New Roman" w:hAnsi="Times New Roman" w:cs="Times New Roman"/>
          <w:color w:val="000000" w:themeColor="text1"/>
          <w:sz w:val="16"/>
          <w:szCs w:val="16"/>
        </w:rPr>
        <w:softHyphen/>
        <w:t>достатки опытного образца (в том числе установить дополнительный бензобак емкостью 200 л с заполнением его в по</w:t>
      </w:r>
      <w:r w:rsidRPr="00DB5D0D">
        <w:rPr>
          <w:rFonts w:ascii="Times New Roman" w:hAnsi="Times New Roman" w:cs="Times New Roman"/>
          <w:color w:val="000000" w:themeColor="text1"/>
          <w:sz w:val="16"/>
          <w:szCs w:val="16"/>
        </w:rPr>
        <w:softHyphen/>
        <w:t>лете нейтральными газами) и не позднее 1 декабря предъявить на государственные испытания.</w:t>
      </w:r>
    </w:p>
    <w:p w14:paraId="552939AD" w14:textId="77777777" w:rsidR="00F47651" w:rsidRPr="00DB5D0D" w:rsidRDefault="00F47651"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 xml:space="preserve">Одновременно с этим предлагалось: </w:t>
      </w:r>
      <w:r w:rsidRPr="00DB5D0D">
        <w:rPr>
          <w:rFonts w:ascii="Times New Roman" w:hAnsi="Times New Roman"/>
          <w:color w:val="000000" w:themeColor="text1"/>
          <w:sz w:val="16"/>
          <w:szCs w:val="16"/>
        </w:rPr>
        <w:t>«4./.../главному конструктору завода №39 бригинженеру тов. Ильюшину на втором опытном экземпляре БШ-2 №1, устранить все выявленные/.../недочеты, установить на нем мотор АМ-38, улучшить продольную устойчивость самолета, путем изменения схемы расположения крыла (придать крылу стрельчатое очертание) и увеличения площади стабилизатора, улучшить обзор вперед для летчика и штурмана, улучшить управляемость самолета, путем доводки элеронов и флетнеров на них и предъявить самолет на поверочные испытания к 15 июня 1940 г.</w:t>
      </w:r>
    </w:p>
    <w:p w14:paraId="29967CBD" w14:textId="77777777" w:rsidR="00F47651" w:rsidRPr="00DB5D0D" w:rsidRDefault="00F476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На самолет БШ-2 АМ-35 №2, прошедший государственные испытания, установить вооружение вперед 2 пушки </w:t>
      </w:r>
      <w:r w:rsidRPr="00DB5D0D">
        <w:rPr>
          <w:rStyle w:val="174"/>
          <w:rFonts w:ascii="Times New Roman" w:hAnsi="Times New Roman" w:cs="Times New Roman"/>
          <w:i w:val="0"/>
          <w:color w:val="000000" w:themeColor="text1"/>
          <w:sz w:val="16"/>
          <w:szCs w:val="16"/>
        </w:rPr>
        <w:t>(20 или 23 мм)</w:t>
      </w:r>
      <w:r w:rsidRPr="00DB5D0D">
        <w:rPr>
          <w:rFonts w:ascii="Times New Roman" w:hAnsi="Times New Roman"/>
          <w:color w:val="000000" w:themeColor="text1"/>
          <w:sz w:val="16"/>
          <w:szCs w:val="16"/>
        </w:rPr>
        <w:t xml:space="preserve"> и 2 пулемета и предъявить на испытания в НИИ ГУАС КА к 1 июля 1940 г. Тогда же проверить надежность работы систем охлаждения воды и масла при высоких температурах наружного воздуха. После этих испытаний направить самолет на Химический Полигон для детальной отработки и выбора основного варианта химического вооружения».</w:t>
      </w:r>
    </w:p>
    <w:p w14:paraId="0D3C1ECD"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Кроме этого, считалось необходимым произвести отстрел на полигоне одного бронекорпуса БШ-2 для определения характеристик пулестойкости и разра</w:t>
      </w:r>
      <w:r w:rsidRPr="00DB5D0D">
        <w:rPr>
          <w:rFonts w:ascii="Times New Roman" w:hAnsi="Times New Roman" w:cs="Times New Roman"/>
          <w:color w:val="000000" w:themeColor="text1"/>
          <w:sz w:val="16"/>
          <w:szCs w:val="16"/>
        </w:rPr>
        <w:softHyphen/>
        <w:t>ботки рекомендаций по рациональному распределению толщины брони.</w:t>
      </w:r>
    </w:p>
    <w:p w14:paraId="56766488"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15 мая 1940 начальник ГУАС КА комдив Алексеев утвердил отчет о госиспытаниях БШ-2 со следующей резолюцией: «Самолет БШ-2 (бомбар</w:t>
      </w:r>
      <w:r w:rsidRPr="00DB5D0D">
        <w:rPr>
          <w:rFonts w:ascii="Times New Roman" w:hAnsi="Times New Roman" w:cs="Times New Roman"/>
          <w:color w:val="000000" w:themeColor="text1"/>
          <w:sz w:val="16"/>
          <w:szCs w:val="16"/>
        </w:rPr>
        <w:softHyphen/>
        <w:t>дировщик-штурмовик) государственные испытания прошел удовлетворительно. Может быть использован в ВВС КА в качестве штурмовика-бомбардировщика ближнего действия при условии устране</w:t>
      </w:r>
      <w:r w:rsidRPr="00DB5D0D">
        <w:rPr>
          <w:rFonts w:ascii="Times New Roman" w:hAnsi="Times New Roman" w:cs="Times New Roman"/>
          <w:color w:val="000000" w:themeColor="text1"/>
          <w:sz w:val="16"/>
          <w:szCs w:val="16"/>
        </w:rPr>
        <w:softHyphen/>
        <w:t>ния недостатков» (19087).</w:t>
      </w:r>
    </w:p>
    <w:p w14:paraId="16FB88E1" w14:textId="77777777" w:rsidR="00F47651" w:rsidRPr="00DB5D0D" w:rsidRDefault="00F47651"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4ABEE0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 после всестороннего обсуждения и анализа результатов государствен</w:t>
      </w:r>
      <w:r w:rsidRPr="00DB5D0D">
        <w:rPr>
          <w:rFonts w:ascii="Times New Roman" w:hAnsi="Times New Roman"/>
          <w:color w:val="000000" w:themeColor="text1"/>
          <w:sz w:val="16"/>
          <w:szCs w:val="16"/>
        </w:rPr>
        <w:softHyphen/>
        <w:t xml:space="preserve">ных испытаний БШ-2 на заседании Технического Совета при НИИ ВВС </w:t>
      </w:r>
      <w:r w:rsidRPr="00DB5D0D">
        <w:rPr>
          <w:rFonts w:ascii="Times New Roman" w:hAnsi="Times New Roman"/>
          <w:iCs/>
          <w:color w:val="000000" w:themeColor="text1"/>
          <w:sz w:val="16"/>
          <w:szCs w:val="16"/>
        </w:rPr>
        <w:t xml:space="preserve">«главному конструктору завода </w:t>
      </w: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39 бригинженеру тов. Илью</w:t>
      </w:r>
      <w:r w:rsidRPr="00DB5D0D">
        <w:rPr>
          <w:rFonts w:ascii="Times New Roman" w:hAnsi="Times New Roman"/>
          <w:iCs/>
          <w:color w:val="000000" w:themeColor="text1"/>
          <w:sz w:val="16"/>
          <w:szCs w:val="16"/>
        </w:rPr>
        <w:softHyphen/>
        <w:t xml:space="preserve">шину» </w:t>
      </w:r>
      <w:r w:rsidRPr="00DB5D0D">
        <w:rPr>
          <w:rFonts w:ascii="Times New Roman" w:hAnsi="Times New Roman"/>
          <w:color w:val="000000" w:themeColor="text1"/>
          <w:sz w:val="16"/>
          <w:szCs w:val="16"/>
        </w:rPr>
        <w:t xml:space="preserve">предлагалось: «...но </w:t>
      </w:r>
      <w:r w:rsidRPr="00DB5D0D">
        <w:rPr>
          <w:rFonts w:ascii="Times New Roman" w:hAnsi="Times New Roman"/>
          <w:iCs/>
          <w:color w:val="000000" w:themeColor="text1"/>
          <w:sz w:val="16"/>
          <w:szCs w:val="16"/>
        </w:rPr>
        <w:t>втором опытном экземпляре самолета БШ-2 N° 1, устранить все выявленные при госиспытаниях недочеты, установить на нем мотор АМ-38, установить до</w:t>
      </w:r>
      <w:r w:rsidRPr="00DB5D0D">
        <w:rPr>
          <w:rFonts w:ascii="Times New Roman" w:hAnsi="Times New Roman"/>
          <w:iCs/>
          <w:color w:val="000000" w:themeColor="text1"/>
          <w:sz w:val="16"/>
          <w:szCs w:val="16"/>
        </w:rPr>
        <w:softHyphen/>
        <w:t>полнительный бензиновый бак, улуч</w:t>
      </w:r>
      <w:r w:rsidRPr="00DB5D0D">
        <w:rPr>
          <w:rFonts w:ascii="Times New Roman" w:hAnsi="Times New Roman"/>
          <w:iCs/>
          <w:color w:val="000000" w:themeColor="text1"/>
          <w:sz w:val="16"/>
          <w:szCs w:val="16"/>
        </w:rPr>
        <w:softHyphen/>
        <w:t>шить продольную устойчивость само</w:t>
      </w:r>
      <w:r w:rsidRPr="00DB5D0D">
        <w:rPr>
          <w:rFonts w:ascii="Times New Roman" w:hAnsi="Times New Roman"/>
          <w:iCs/>
          <w:color w:val="000000" w:themeColor="text1"/>
          <w:sz w:val="16"/>
          <w:szCs w:val="16"/>
        </w:rPr>
        <w:softHyphen/>
        <w:t>лета путем изменения схемы располо</w:t>
      </w:r>
      <w:r w:rsidRPr="00DB5D0D">
        <w:rPr>
          <w:rFonts w:ascii="Times New Roman" w:hAnsi="Times New Roman"/>
          <w:iCs/>
          <w:color w:val="000000" w:themeColor="text1"/>
          <w:sz w:val="16"/>
          <w:szCs w:val="16"/>
        </w:rPr>
        <w:softHyphen/>
        <w:t>жения крыла (придать крылу стрель</w:t>
      </w:r>
      <w:r w:rsidRPr="00DB5D0D">
        <w:rPr>
          <w:rFonts w:ascii="Times New Roman" w:hAnsi="Times New Roman"/>
          <w:iCs/>
          <w:color w:val="000000" w:themeColor="text1"/>
          <w:sz w:val="16"/>
          <w:szCs w:val="16"/>
        </w:rPr>
        <w:softHyphen/>
        <w:t>чатое очертание) и увеличения площа</w:t>
      </w:r>
      <w:r w:rsidRPr="00DB5D0D">
        <w:rPr>
          <w:rFonts w:ascii="Times New Roman" w:hAnsi="Times New Roman"/>
          <w:iCs/>
          <w:color w:val="000000" w:themeColor="text1"/>
          <w:sz w:val="16"/>
          <w:szCs w:val="16"/>
        </w:rPr>
        <w:softHyphen/>
        <w:t>ди стабилизатора, улучшить обзор впе</w:t>
      </w:r>
      <w:r w:rsidRPr="00DB5D0D">
        <w:rPr>
          <w:rFonts w:ascii="Times New Roman" w:hAnsi="Times New Roman"/>
          <w:iCs/>
          <w:color w:val="000000" w:themeColor="text1"/>
          <w:sz w:val="16"/>
          <w:szCs w:val="16"/>
        </w:rPr>
        <w:softHyphen/>
        <w:t>ред для летчика и штурмана, улучшить управляемость самолета путем довод</w:t>
      </w:r>
      <w:r w:rsidRPr="00DB5D0D">
        <w:rPr>
          <w:rFonts w:ascii="Times New Roman" w:hAnsi="Times New Roman"/>
          <w:iCs/>
          <w:color w:val="000000" w:themeColor="text1"/>
          <w:sz w:val="16"/>
          <w:szCs w:val="16"/>
        </w:rPr>
        <w:softHyphen/>
        <w:t>ки элеронов и флетнеров на них».</w:t>
      </w:r>
    </w:p>
    <w:p w14:paraId="17B95F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 С. В. Ильюшина столкнулось с весьма сложной задачей. Дело в том, что замена мотора АМ-35 более мощ</w:t>
      </w:r>
      <w:r w:rsidRPr="00DB5D0D">
        <w:rPr>
          <w:rFonts w:ascii="Times New Roman" w:hAnsi="Times New Roman"/>
          <w:color w:val="000000" w:themeColor="text1"/>
          <w:sz w:val="16"/>
          <w:szCs w:val="16"/>
        </w:rPr>
        <w:softHyphen/>
        <w:t>ным у земли и более «прожорливым» мотором АМ-38, и одновременно раз</w:t>
      </w:r>
      <w:r w:rsidRPr="00DB5D0D">
        <w:rPr>
          <w:rFonts w:ascii="Times New Roman" w:hAnsi="Times New Roman"/>
          <w:color w:val="000000" w:themeColor="text1"/>
          <w:sz w:val="16"/>
          <w:szCs w:val="16"/>
        </w:rPr>
        <w:softHyphen/>
        <w:t>мещение дополнительного запаса го</w:t>
      </w:r>
      <w:r w:rsidRPr="00DB5D0D">
        <w:rPr>
          <w:rFonts w:ascii="Times New Roman" w:hAnsi="Times New Roman"/>
          <w:color w:val="000000" w:themeColor="text1"/>
          <w:sz w:val="16"/>
          <w:szCs w:val="16"/>
        </w:rPr>
        <w:softHyphen/>
        <w:t>рючего приводили не только к улучше</w:t>
      </w:r>
      <w:r w:rsidRPr="00DB5D0D">
        <w:rPr>
          <w:rFonts w:ascii="Times New Roman" w:hAnsi="Times New Roman"/>
          <w:color w:val="000000" w:themeColor="text1"/>
          <w:sz w:val="16"/>
          <w:szCs w:val="16"/>
        </w:rPr>
        <w:softHyphen/>
        <w:t>нию скоростных качеств БШ-2, но и к увеличению полетного веса самолета. Ухудшалась маневренность машины. Для улучшения маневренности необходимо увеличивать площадь крыла. Это сни</w:t>
      </w:r>
      <w:r w:rsidRPr="00DB5D0D">
        <w:rPr>
          <w:rFonts w:ascii="Times New Roman" w:hAnsi="Times New Roman"/>
          <w:color w:val="000000" w:themeColor="text1"/>
          <w:sz w:val="16"/>
          <w:szCs w:val="16"/>
        </w:rPr>
        <w:softHyphen/>
        <w:t>жает скоростные качества самолета. Кроме того, для дополнительных бен</w:t>
      </w:r>
      <w:r w:rsidRPr="00DB5D0D">
        <w:rPr>
          <w:rFonts w:ascii="Times New Roman" w:hAnsi="Times New Roman"/>
          <w:color w:val="000000" w:themeColor="text1"/>
          <w:sz w:val="16"/>
          <w:szCs w:val="16"/>
        </w:rPr>
        <w:softHyphen/>
        <w:t>зобаков нужно еще изыскать подходя</w:t>
      </w:r>
      <w:r w:rsidRPr="00DB5D0D">
        <w:rPr>
          <w:rFonts w:ascii="Times New Roman" w:hAnsi="Times New Roman"/>
          <w:color w:val="000000" w:themeColor="text1"/>
          <w:sz w:val="16"/>
          <w:szCs w:val="16"/>
        </w:rPr>
        <w:softHyphen/>
        <w:t>щее место внутри бронекоробки.</w:t>
      </w:r>
    </w:p>
    <w:p w14:paraId="3D969E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Доводка БШ-2 до уровня тактико-технических требований могла занять много времени, но его у Ильюшина тог</w:t>
      </w:r>
      <w:r w:rsidRPr="00DB5D0D">
        <w:rPr>
          <w:rFonts w:ascii="Times New Roman" w:hAnsi="Times New Roman"/>
          <w:color w:val="000000" w:themeColor="text1"/>
          <w:sz w:val="16"/>
          <w:szCs w:val="16"/>
        </w:rPr>
        <w:softHyphen/>
        <w:t>да не было. И тогда Ильюшин принима</w:t>
      </w:r>
      <w:r w:rsidRPr="00DB5D0D">
        <w:rPr>
          <w:rFonts w:ascii="Times New Roman" w:hAnsi="Times New Roman"/>
          <w:color w:val="000000" w:themeColor="text1"/>
          <w:sz w:val="16"/>
          <w:szCs w:val="16"/>
        </w:rPr>
        <w:softHyphen/>
        <w:t>ет решение отказаться от второго чле</w:t>
      </w:r>
      <w:r w:rsidRPr="00DB5D0D">
        <w:rPr>
          <w:rFonts w:ascii="Times New Roman" w:hAnsi="Times New Roman"/>
          <w:color w:val="000000" w:themeColor="text1"/>
          <w:sz w:val="16"/>
          <w:szCs w:val="16"/>
        </w:rPr>
        <w:softHyphen/>
        <w:t>на экипажа, «отрезав» кабину штурма</w:t>
      </w:r>
      <w:r w:rsidRPr="00DB5D0D">
        <w:rPr>
          <w:rFonts w:ascii="Times New Roman" w:hAnsi="Times New Roman"/>
          <w:color w:val="000000" w:themeColor="text1"/>
          <w:sz w:val="16"/>
          <w:szCs w:val="16"/>
        </w:rPr>
        <w:softHyphen/>
        <w:t>на-стрелка. Бронекорпус стал легче и короче. Появилась возможность уста</w:t>
      </w:r>
      <w:r w:rsidRPr="00DB5D0D">
        <w:rPr>
          <w:rFonts w:ascii="Times New Roman" w:hAnsi="Times New Roman"/>
          <w:color w:val="000000" w:themeColor="text1"/>
          <w:sz w:val="16"/>
          <w:szCs w:val="16"/>
        </w:rPr>
        <w:softHyphen/>
        <w:t>новить дополнительный бензобак внут</w:t>
      </w:r>
      <w:r w:rsidRPr="00DB5D0D">
        <w:rPr>
          <w:rFonts w:ascii="Times New Roman" w:hAnsi="Times New Roman"/>
          <w:color w:val="000000" w:themeColor="text1"/>
          <w:sz w:val="16"/>
          <w:szCs w:val="16"/>
        </w:rPr>
        <w:softHyphen/>
        <w:t>ри бронекоробки позади летчика. При этом для улучшения продольной устой</w:t>
      </w:r>
      <w:r w:rsidRPr="00DB5D0D">
        <w:rPr>
          <w:rFonts w:ascii="Times New Roman" w:hAnsi="Times New Roman"/>
          <w:color w:val="000000" w:themeColor="text1"/>
          <w:sz w:val="16"/>
          <w:szCs w:val="16"/>
        </w:rPr>
        <w:softHyphen/>
        <w:t>чивости мотор АМ-38 сдвигался вперед на 50 мм, увеличивалась стреловид</w:t>
      </w:r>
      <w:r w:rsidRPr="00DB5D0D">
        <w:rPr>
          <w:rFonts w:ascii="Times New Roman" w:hAnsi="Times New Roman"/>
          <w:color w:val="000000" w:themeColor="text1"/>
          <w:sz w:val="16"/>
          <w:szCs w:val="16"/>
        </w:rPr>
        <w:softHyphen/>
        <w:t>ность крыла по передней кромке на 5° и площадь стабилизатора на 3,1%.</w:t>
      </w:r>
    </w:p>
    <w:p w14:paraId="564F17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из-за излишней спешки в ОКБ не стали возиться с определением потребной центровки самолета, при которой он был бы статически устой</w:t>
      </w:r>
      <w:r w:rsidRPr="00DB5D0D">
        <w:rPr>
          <w:rFonts w:ascii="Times New Roman" w:hAnsi="Times New Roman"/>
          <w:color w:val="000000" w:themeColor="text1"/>
          <w:sz w:val="16"/>
          <w:szCs w:val="16"/>
        </w:rPr>
        <w:softHyphen/>
        <w:t>чив с брошенной ручкой управления (11215).</w:t>
      </w:r>
    </w:p>
    <w:p w14:paraId="334F9F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09E68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 Технический совет НИИ ВВС определил потребный объем серийного производства БШ-2, необходимых для вооружения одного штурмового авиаполка, в количестве 65 машин. Однако спустя 10 дней Нарком обороны Маршал Советского Союза С.К.Тимошенко посчитал, что достаточно построить 10-15 БШ-2, и его мнение определило появление Постановления Комитета Обороны при СНК СССР о выпуске в 1940 г. 10 самолетов БШ-2. К этому следует добавить, что среди военных специалистов в то время не было единого мнения о том, каким должен быть самолет непосредственной поддержки наземных войск (9528).</w:t>
      </w:r>
    </w:p>
    <w:p w14:paraId="2812F41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2BB63A" w14:textId="77777777" w:rsidR="004075DF" w:rsidRPr="00DB5D0D" w:rsidRDefault="004075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мая в 1940 году под председательством начальника НИИ ВВС дивизионного инженера А.И.Филина состоялось заседание Технического совета института, на котором в присутствии С.В.Ильюшина и его заместителя Я.И.Мальцева были заслушаны доклады ведущего инженера института военинженера 1-го ранга Н.С.Куликова, ведущего летчика-испытателя майора А.К.Долгова и штурмана-испытателя майора И.Д.Соколова о результатах проведения государственных испытаний </w:t>
      </w:r>
      <w:hyperlink r:id="rId19" w:tgtFrame="_blank" w:history="1">
        <w:r w:rsidRPr="00DB5D0D">
          <w:rPr>
            <w:rFonts w:ascii="Times New Roman" w:hAnsi="Times New Roman"/>
            <w:color w:val="000000" w:themeColor="text1"/>
            <w:sz w:val="16"/>
            <w:szCs w:val="16"/>
          </w:rPr>
          <w:t xml:space="preserve">«БШ-2» № 2 </w:t>
        </w:r>
      </w:hyperlink>
      <w:r w:rsidRPr="00DB5D0D">
        <w:rPr>
          <w:rFonts w:ascii="Times New Roman" w:hAnsi="Times New Roman"/>
          <w:color w:val="000000" w:themeColor="text1"/>
          <w:sz w:val="16"/>
          <w:szCs w:val="16"/>
        </w:rPr>
        <w:t>(ЦКБ-55 № 2) (14884).</w:t>
      </w:r>
    </w:p>
    <w:p w14:paraId="79FACA06" w14:textId="77777777" w:rsidR="004075DF" w:rsidRPr="00DB5D0D" w:rsidRDefault="004075DF" w:rsidP="00DB5D0D">
      <w:pPr>
        <w:spacing w:after="0" w:line="240" w:lineRule="auto"/>
        <w:jc w:val="both"/>
        <w:rPr>
          <w:rFonts w:ascii="Times New Roman" w:hAnsi="Times New Roman"/>
          <w:color w:val="000000" w:themeColor="text1"/>
          <w:sz w:val="16"/>
          <w:szCs w:val="16"/>
        </w:rPr>
      </w:pPr>
    </w:p>
    <w:p w14:paraId="25254B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под председательством начальника НИИ ВВС дивизионного инженера А.И.Филина состоялось заседание Технического совета института. Наряду с положительными качествами БШ-2, военные отметили и существенные недостатки.</w:t>
      </w:r>
    </w:p>
    <w:p w14:paraId="22C3E4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Получалось так, что самолет при полетном весе 4735 кг, которое меньше нормального, по определяющим летно-боевым данным не вполне соответствует требованиям. Скорость, скороподъемность, дальность, взлетно-посадочные характеристики не дотягивали до желаемого уровня. Маневренность самолета, управляемость и продольная устойчивость оценивались как недостаточные. Виражи, боевые развороты и пикирование БШ-2 выполнял неустойчиво. Полет "с брошенным управлением" был невозможен. Усилия на ручке и педалях управления считались слишком большими. Ограниченный обзор из кабины летчика и штурмана затруднял бомбометание и стрельбу. Отсутствовала приемо-передающая радиостанция. Недове- дены крыльевые стрелковые установки. Отмечалась ненадежная работа мотора АМ-35.</w:t>
      </w:r>
    </w:p>
    <w:p w14:paraId="501F53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качестве основных причин недостатков указывались: низкая энерговооруженность и чрезмерно задняя центровка - 31,5% САХ. Очевидно, что при полетном весе 5000 кг (нормальном по ТТТ) характеристики машины будут хуже. Специалисты НИИ ВВС предложили установить на самолет более мощный невысотный мотор АМ-38 (мощность у земли 1625 л.е.).</w:t>
      </w:r>
    </w:p>
    <w:p w14:paraId="5CD487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предложению начальника отдела боевого применения НИИ ВВС полковника М. В. Шишкина рекомендовалось построить небольшую серию БШ-2 "...в количестве, достаточном для формирования одного штурмового авиаполка ВВС КА (то есть, 65 самолетов - авт.) для проведения войсковых испытаний с целью освоения тактики боевого применения самолетов подобного типа".</w:t>
      </w:r>
    </w:p>
    <w:p w14:paraId="60501C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 БШ-2 войсковой серии требовалось устранить все выявленные недостатки и не позднее 1 декабря предъявить на государственные испытания.</w:t>
      </w:r>
    </w:p>
    <w:p w14:paraId="7C72B5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предлагалось: "4....на втором опытном экземпляре БШ-2 №1, устранить все выявленные ...недочеты, установить на нем мотор АМ-38, установить дополнительный бензиновый бак, улучшить продольную устойчивость самолета, путем изменения схемы расположения крыла (придать крылу стрельчатое очертание) и увеличения площади стабилизатора, улучшить обзор вперед для летчика и штурмана, улучшить управляемость самолета, путем доводки элеронов и флетнеров на них и предъявить самолет на поверочные испытания не позже 15 июня 1940 г. 5.На самолет БШ-2 АМ-35 №2, прошедший государственные испытания, установить вооружение вперед 2 пушки и 2 пулемета (имелись в виду пушки МП-6 калибра 23 мм конструкции Я. Г. Таубина и М. П. Бабурина и пулеметы Ш КАС - авт.) и предъявить на испытания в НИИ ГУАС КА к 1 июля 1940 г."</w:t>
      </w:r>
    </w:p>
    <w:p w14:paraId="57AB82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определения пулестойкости броне- Стрелковая корпуса намечалось произвести его отстрел оборонительная на полигоне (12020).</w:t>
      </w:r>
    </w:p>
    <w:p w14:paraId="69BDC6A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78BA4A" w14:textId="77777777" w:rsidR="004610A4" w:rsidRPr="00DB5D0D" w:rsidRDefault="004610A4" w:rsidP="00DB5D0D">
      <w:pPr>
        <w:shd w:val="clear" w:color="auto" w:fill="FFFFFF"/>
        <w:tabs>
          <w:tab w:val="left" w:pos="901"/>
        </w:tabs>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7 </w:t>
      </w:r>
      <w:r w:rsidRPr="00DB5D0D">
        <w:rPr>
          <w:rFonts w:ascii="Times New Roman" w:eastAsia="Times New Roman" w:hAnsi="Times New Roman"/>
          <w:color w:val="0070C0"/>
          <w:sz w:val="16"/>
          <w:szCs w:val="16"/>
        </w:rPr>
        <w:t>мая 1940 г. под председательством начальника НИИ ВВС дивизионного инженера А.И. Филина состоялось заседание Технического совета института, на котором в присутствии СВ. Ильюшина и его заместителя Я.И.Мальцева были заслушаны доклады ведущего инженера института военинженера 1-го ранга Н.С Куликова, ведущего летчика-испытателя майора А.К.Долгова и штурмана-испытателя майора И.Д. Соколова о результатах проведения государственных испытаний БШ-2 № 2 (20186).</w:t>
      </w:r>
    </w:p>
    <w:p w14:paraId="378F81D3" w14:textId="77777777" w:rsidR="004610A4" w:rsidRPr="00DB5D0D" w:rsidRDefault="004610A4" w:rsidP="00DB5D0D">
      <w:pPr>
        <w:shd w:val="clear" w:color="auto" w:fill="FFFFFF"/>
        <w:tabs>
          <w:tab w:val="left" w:pos="974"/>
        </w:tabs>
        <w:spacing w:after="0" w:line="240" w:lineRule="auto"/>
        <w:jc w:val="both"/>
        <w:rPr>
          <w:rFonts w:ascii="Times New Roman" w:eastAsia="Times New Roman" w:hAnsi="Times New Roman"/>
          <w:color w:val="0070C0"/>
          <w:sz w:val="16"/>
          <w:szCs w:val="16"/>
        </w:rPr>
      </w:pPr>
      <w:r w:rsidRPr="00DB5D0D">
        <w:rPr>
          <w:rFonts w:ascii="Times New Roman" w:hAnsi="Times New Roman"/>
          <w:color w:val="0070C0"/>
          <w:sz w:val="16"/>
          <w:szCs w:val="16"/>
        </w:rPr>
        <w:t xml:space="preserve">В </w:t>
      </w:r>
      <w:r w:rsidRPr="00DB5D0D">
        <w:rPr>
          <w:rFonts w:ascii="Times New Roman" w:eastAsia="Times New Roman" w:hAnsi="Times New Roman"/>
          <w:color w:val="0070C0"/>
          <w:sz w:val="16"/>
          <w:szCs w:val="16"/>
        </w:rPr>
        <w:t>выводах по результатам осмотра самолета и изучения материалов испытаний Техническим советом отмечалось, что:</w:t>
      </w:r>
    </w:p>
    <w:p w14:paraId="1774466F" w14:textId="77777777" w:rsidR="004610A4" w:rsidRPr="00DB5D0D" w:rsidRDefault="004610A4" w:rsidP="00DB5D0D">
      <w:pPr>
        <w:shd w:val="clear" w:color="auto" w:fill="FFFFFF"/>
        <w:tabs>
          <w:tab w:val="left" w:pos="974"/>
        </w:tabs>
        <w:spacing w:after="0" w:line="240" w:lineRule="auto"/>
        <w:jc w:val="both"/>
        <w:rPr>
          <w:rFonts w:ascii="Times New Roman" w:eastAsia="Times New Roman" w:hAnsi="Times New Roman"/>
          <w:color w:val="0070C0"/>
          <w:sz w:val="16"/>
          <w:szCs w:val="16"/>
        </w:rPr>
      </w:pPr>
      <w:r w:rsidRPr="00DB5D0D">
        <w:rPr>
          <w:rFonts w:ascii="Times New Roman" w:eastAsia="Times New Roman" w:hAnsi="Times New Roman"/>
          <w:color w:val="0070C0"/>
          <w:sz w:val="16"/>
          <w:szCs w:val="16"/>
        </w:rPr>
        <w:t>«1) по своим полетным свойствам БШ-2 достаточно прост, особенностей, отличающих его от других самолетов такого типа (ББ-1, Р-10), не имеет, взлет и посадка просты, на взлете и пробеге самолет устойчив;</w:t>
      </w:r>
    </w:p>
    <w:p w14:paraId="62BECE70" w14:textId="77777777" w:rsidR="004610A4" w:rsidRPr="00DB5D0D" w:rsidRDefault="004610A4"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2) бомбовое и стрелковое вооружение по своему объему соответствует требованиям; 3)пилотажно-навигационные приборы, приборы ВМГ и кислородное оборудования по своему объему полностью, а электрооборудование в основном соответствуют тактическому назначению самолета; 4) в конструктивном отношении самолет выполнен хорошо, основные агрегаты конструкции самолета, шасси, управление само</w:t>
      </w:r>
      <w:r w:rsidRPr="00DB5D0D">
        <w:rPr>
          <w:rFonts w:ascii="Times New Roman" w:eastAsia="Times New Roman" w:hAnsi="Times New Roman"/>
          <w:color w:val="0070C0"/>
          <w:sz w:val="16"/>
          <w:szCs w:val="16"/>
        </w:rPr>
        <w:softHyphen/>
        <w:t>летом и мотором надежны и при испытании действовали безотказно» (ЦАМО РФ, ф. 208, оп. 142690, д. 2, л. 85.).</w:t>
      </w:r>
    </w:p>
    <w:p w14:paraId="4D028EC8" w14:textId="77777777" w:rsidR="004610A4" w:rsidRPr="00DB5D0D" w:rsidRDefault="004610A4"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Одновременно с этим указывалось, что самолет предъявлен на госис</w:t>
      </w:r>
      <w:r w:rsidRPr="00DB5D0D">
        <w:rPr>
          <w:rFonts w:ascii="Times New Roman" w:eastAsia="Times New Roman" w:hAnsi="Times New Roman"/>
          <w:color w:val="0070C0"/>
          <w:sz w:val="16"/>
          <w:szCs w:val="16"/>
        </w:rPr>
        <w:softHyphen/>
        <w:t>пытания с опозданием на 1 год и 3 месяца и не вполне соответствует предъ</w:t>
      </w:r>
      <w:r w:rsidRPr="00DB5D0D">
        <w:rPr>
          <w:rFonts w:ascii="Times New Roman" w:eastAsia="Times New Roman" w:hAnsi="Times New Roman"/>
          <w:color w:val="0070C0"/>
          <w:sz w:val="16"/>
          <w:szCs w:val="16"/>
        </w:rPr>
        <w:softHyphen/>
        <w:t>являемым к нему требованиям. Строго говоря, самолет БШ-2 с полетным ве</w:t>
      </w:r>
      <w:r w:rsidRPr="00DB5D0D">
        <w:rPr>
          <w:rFonts w:ascii="Times New Roman" w:eastAsia="Times New Roman" w:hAnsi="Times New Roman"/>
          <w:color w:val="0070C0"/>
          <w:sz w:val="16"/>
          <w:szCs w:val="16"/>
        </w:rPr>
        <w:softHyphen/>
        <w:t>сом 4725 кг (меньшим нормального по ТТТ) по основным данным был зна</w:t>
      </w:r>
      <w:r w:rsidRPr="00DB5D0D">
        <w:rPr>
          <w:rFonts w:ascii="Times New Roman" w:eastAsia="Times New Roman" w:hAnsi="Times New Roman"/>
          <w:color w:val="0070C0"/>
          <w:sz w:val="16"/>
          <w:szCs w:val="16"/>
        </w:rPr>
        <w:softHyphen/>
        <w:t>чительно хуже предусмотренных заданием: полученные на испытаниях мак</w:t>
      </w:r>
      <w:r w:rsidRPr="00DB5D0D">
        <w:rPr>
          <w:rFonts w:ascii="Times New Roman" w:eastAsia="Times New Roman" w:hAnsi="Times New Roman"/>
          <w:color w:val="0070C0"/>
          <w:sz w:val="16"/>
          <w:szCs w:val="16"/>
        </w:rPr>
        <w:softHyphen/>
        <w:t>симальная скорость у земли и предельная дальность полета на скорости 0,9 от максимальной меньше требуемых (соответственно 362 км/ч вместо 385-400 км/ч и 618 км против 800-1000 км); посадочная скорость на 30 км/ч вы</w:t>
      </w:r>
      <w:r w:rsidRPr="00DB5D0D">
        <w:rPr>
          <w:rFonts w:ascii="Times New Roman" w:eastAsia="Times New Roman" w:hAnsi="Times New Roman"/>
          <w:color w:val="0070C0"/>
          <w:sz w:val="16"/>
          <w:szCs w:val="16"/>
        </w:rPr>
        <w:softHyphen/>
        <w:t>ше, чем задавалось; длина разбега больше, чем требовалось (340 м вместо 250 м); маневренность и управляемость машины как в горизонтальной, так и в вертикальной плоскостях недостаточны (полет с брошенной ручкой управ</w:t>
      </w:r>
      <w:r w:rsidRPr="00DB5D0D">
        <w:rPr>
          <w:rFonts w:ascii="Times New Roman" w:eastAsia="Times New Roman" w:hAnsi="Times New Roman"/>
          <w:color w:val="0070C0"/>
          <w:sz w:val="16"/>
          <w:szCs w:val="16"/>
        </w:rPr>
        <w:softHyphen/>
        <w:t>ления из-за плохой продольной устойчивости самолета невозможен); скоро</w:t>
      </w:r>
      <w:r w:rsidRPr="00DB5D0D">
        <w:rPr>
          <w:rFonts w:ascii="Times New Roman" w:eastAsia="Times New Roman" w:hAnsi="Times New Roman"/>
          <w:color w:val="0070C0"/>
          <w:sz w:val="16"/>
          <w:szCs w:val="16"/>
        </w:rPr>
        <w:softHyphen/>
        <w:t>подъемность (5000 м за 11,5 минут) и время виража (27,3 сек) оставляли же</w:t>
      </w:r>
      <w:r w:rsidRPr="00DB5D0D">
        <w:rPr>
          <w:rFonts w:ascii="Times New Roman" w:eastAsia="Times New Roman" w:hAnsi="Times New Roman"/>
          <w:color w:val="0070C0"/>
          <w:sz w:val="16"/>
          <w:szCs w:val="16"/>
        </w:rPr>
        <w:softHyphen/>
        <w:t>лать лучшего.</w:t>
      </w:r>
    </w:p>
    <w:p w14:paraId="762C5E4D" w14:textId="77777777" w:rsidR="004610A4" w:rsidRPr="00DB5D0D" w:rsidRDefault="004610A4"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Кроме этого, мотор АМ-35 с ресурсом работы 50 часов показал неваж</w:t>
      </w:r>
      <w:r w:rsidRPr="00DB5D0D">
        <w:rPr>
          <w:rFonts w:ascii="Times New Roman" w:eastAsia="Times New Roman" w:hAnsi="Times New Roman"/>
          <w:color w:val="0070C0"/>
          <w:sz w:val="16"/>
          <w:szCs w:val="16"/>
        </w:rPr>
        <w:softHyphen/>
        <w:t>ную приемистость (из-за плохой работы регулятора) и низкую эксплуа</w:t>
      </w:r>
      <w:r w:rsidRPr="00DB5D0D">
        <w:rPr>
          <w:rFonts w:ascii="Times New Roman" w:eastAsia="Times New Roman" w:hAnsi="Times New Roman"/>
          <w:color w:val="0070C0"/>
          <w:sz w:val="16"/>
          <w:szCs w:val="16"/>
        </w:rPr>
        <w:softHyphen/>
        <w:t>тационную надежность (в ходе испытаний была проведена его замена).</w:t>
      </w:r>
    </w:p>
    <w:p w14:paraId="1F2AB366" w14:textId="77777777" w:rsidR="004610A4" w:rsidRPr="00DB5D0D" w:rsidRDefault="004610A4"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В этой связи Техсовет рекомендовал осуществить установку на само</w:t>
      </w:r>
      <w:r w:rsidRPr="00DB5D0D">
        <w:rPr>
          <w:rFonts w:ascii="Times New Roman" w:eastAsia="Times New Roman" w:hAnsi="Times New Roman"/>
          <w:color w:val="0070C0"/>
          <w:sz w:val="16"/>
          <w:szCs w:val="16"/>
        </w:rPr>
        <w:softHyphen/>
        <w:t>лет более мощного (при том же весе и габаритах, что и АМ-35) невысотного мотора АМ-38 (максимальная мощность у земли 1625 л.с), собранного 24-м заводом в сентябре 39-го и находящегося в это время на стадии опытно-доводочных работ (20186).</w:t>
      </w:r>
    </w:p>
    <w:p w14:paraId="44311A9C" w14:textId="77777777" w:rsidR="004610A4" w:rsidRPr="00DB5D0D" w:rsidRDefault="004610A4"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По предложению начальника отдела боевого применения НИИ ВВС полковника М.В. Шишкина Техсовет указал на необходимость постройки небольшой серии штурмовиков БШ-2 АМ-35 в количестве, достаточном для формирования одного штурмового авиаполка ВВС КА (то есть, в количестве 65 машин, как того требовала штатная структура штурмовых авиаполков то</w:t>
      </w:r>
      <w:r w:rsidRPr="00DB5D0D">
        <w:rPr>
          <w:rFonts w:ascii="Times New Roman" w:eastAsia="Times New Roman" w:hAnsi="Times New Roman"/>
          <w:color w:val="0070C0"/>
          <w:sz w:val="16"/>
          <w:szCs w:val="16"/>
        </w:rPr>
        <w:softHyphen/>
        <w:t>го времени - авт.) для проведения войсковых испытаний с целью освоения тактики боевого применения самолетов подобного типа. Предполагалось, что в результате будут исследованы тактические возможности новых штур</w:t>
      </w:r>
      <w:r w:rsidRPr="00DB5D0D">
        <w:rPr>
          <w:rFonts w:ascii="Times New Roman" w:eastAsia="Times New Roman" w:hAnsi="Times New Roman"/>
          <w:color w:val="0070C0"/>
          <w:sz w:val="16"/>
          <w:szCs w:val="16"/>
        </w:rPr>
        <w:softHyphen/>
        <w:t>мовиков одиночно и в составе эскадрильи (20186).</w:t>
      </w:r>
    </w:p>
    <w:p w14:paraId="2AD6A23F" w14:textId="77777777" w:rsidR="004610A4" w:rsidRPr="00DB5D0D" w:rsidRDefault="004610A4" w:rsidP="00DB5D0D">
      <w:pPr>
        <w:shd w:val="clear" w:color="auto" w:fill="FFFFFF"/>
        <w:tabs>
          <w:tab w:val="left" w:pos="974"/>
        </w:tabs>
        <w:spacing w:after="0" w:line="240" w:lineRule="auto"/>
        <w:jc w:val="both"/>
        <w:rPr>
          <w:rFonts w:ascii="Times New Roman" w:hAnsi="Times New Roman"/>
          <w:color w:val="0070C0"/>
          <w:sz w:val="16"/>
          <w:szCs w:val="16"/>
        </w:rPr>
      </w:pPr>
    </w:p>
    <w:p w14:paraId="307BC3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на 4-х самолетах с мотором М-87 фактически были начаты войсковые испытания ББ-1, однако гос. испытания ББ-1 с М-88 проводились на Харьковском аэродроме летно-техническим составом 135 авиаполка и полка боевого применения НИИ с 17 мая, хотя 3 машины с М-88 с завода N 135 были реально получены только 19 мая 1940 года. Также 3 самолета были получены из 135 авиаполка. Вместе с тем, согласно Отчету о гос. испытаниях испытания по программе были начаты 10 мая и закончены 20 июня 1940 года (3833).</w:t>
      </w:r>
    </w:p>
    <w:p w14:paraId="17001C6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4E03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 закончились государственные испытания головного серийного самолета ДБ-3Ф, которые проходили с 5 апреля 1940. От опытного самолета первая серийная машина кроме доработанных двигателей и воздушных винтов ВИШ-23А диаметром 3,25 м отличалась также системой маслопитания. Каждый двигатель вместо одного масло-радиатора имел теперь два, с синхронно работающими лобовыми жалюзи, которые регулировали проход охлаждающего воздуха через радиаторы. Сами радиаторы размещались уже не в нижней части мотогондол, а в двух раздельных обтекателях, установленных в носке крыла. Оборонительное вооружение самолета состояло из трех пулеметов ШКАС в носовой, турельной (СУ) и люковой (ЛУ) установках. На испытания самолет поступил с нормальным полетным весом 7933 кг и перегрузочным весом 10053 кг. Увеличение веса произошло в основном из-за доработок, внесенных в конструкцию планера и большего веса силовой установки. В связи с появлением вновь люковой пулеметной установки центровка самолета еще больше сместилась назад и стала равной 31-32% САХ.</w:t>
      </w:r>
    </w:p>
    <w:p w14:paraId="1DF25A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Ведущим летчиком НИИ ВВС на государственных испытаниях ДБ-3Ф был капитан Л.П.Дудкин, ведущим штурманом майор Н.П.Цветков, ведущим инженером Н.М. Кокорин. Испытатели отметили, что, несмотря на увеличение мощности двигателей, серийный самолет имеет заметно худшие летные данные по сравнению с опытной машиной. По их мнению, это во многом определялось плохим производственным выполнением серийного самолета: остекление фонаря штурмана было выполнено неровно, со ступеньками между поверхностью стекла и наружной поверхностью переплетов фонаря, обшивка крыла и фюзеляжа имела «хлопуны», стыковка листов обшивки и клепка были сделаны грубо. Окраска самолета была недоброкачественной, и машина имела неопрятный вид.</w:t>
      </w:r>
    </w:p>
    <w:p w14:paraId="7589AF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горизонтального полета оказалась равной 425 км/ч на высоте 6500 км. В связи с увеличением удельного расхода топлива у двигателей М-88 уменьшилась и дальность полета с полной боевой нагрузкой: на крейсерской скорости 380 км/ч она стала равна 2250-2500 км, а на скорости 340 км/ч - 3000-3300 км. Правда, до 362 км/ч увеличилась скорость полета самолета у земли, до 10050 м возрос потолок и улучшилась скороподъемность: высоту 5000 м самолет стал набирать за 10,25 мин. Длина разбега самолета с перегрузочным взлетным весом 10000 кг стала равна 375-400 м, а при посадке с весом 8000 кг пробег составил 250 м.</w:t>
      </w:r>
    </w:p>
    <w:p w14:paraId="3E1B52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полета на самолете ДБ-3Ф с двигателями М-88 мало отличалось от полета на опытном ДБ-3Ф с моторами М-87. Однако летчики заметили ухудшившуюся продольную устойчивость серийной машины из-за щения назад полетной центровки. По-прежнему вызывала нарекания система охлаждения двигателей и масла, из-за малой эффективности системы всасывания духа в карбюратор снижалась высотность двигателя. (кабину радиста проникали выхлопные газы двигателей, а в кабинах штурмана и пилота скапливались пороховые газы при ведении огня из носового пулемета. Но главное, в заключении по результатам испытаний отмечалось, что двигатели М-88, принятые на оснащение советских ВВС в январе 1940 г., не доведены до нормальной эксплуатации по надежности, температурным режимам масла и расходам горючего. Все эти недостатки ведовало устранить в процессе серийного производства самолета и двигателей.</w:t>
      </w:r>
    </w:p>
    <w:p w14:paraId="393B75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Государственные испытания самолет не прошел как не соответствующий летным данным, записанным в постановлении правительства от 31 мая 1939 г. (9528).</w:t>
      </w:r>
    </w:p>
    <w:p w14:paraId="391B17C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F6C9C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 начальник ГУАС комдив Алексеев и военный комиссар ГУАС бригадный комиссар Князев писали письмо № 501588 наркому обороны маршалу Ворошилову</w:t>
      </w:r>
    </w:p>
    <w:p w14:paraId="64C9B2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НИИ дивинженер Филин 5 мая 1940 года донес, что скорость самолета ДБ3Ф с моторами М-88 получена на госиспытании 425 км/час, т.е. ниже на 60 км против запроектированной постановлением КО и на 22 км/час ниже чем на самолете ДБ3 с моторами М-87.</w:t>
      </w:r>
    </w:p>
    <w:p w14:paraId="28D6B2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выявившейся неполноценности по скорости самолетов ДБ3Ф-2М88 окончательное оформление самолетов на заводах №№ 18 и 39 мною приостановлено.</w:t>
      </w:r>
    </w:p>
    <w:p w14:paraId="4F7BE4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Ваших указаний (7709, 346).</w:t>
      </w:r>
    </w:p>
    <w:p w14:paraId="5EF5B2B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D5B6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 начальник ГУАС комдив Алексеев и военный комиссар ГУАС бригадный комиссар Князев писали письмо № 501587 наркому авиапромышленности Шахурину</w:t>
      </w:r>
    </w:p>
    <w:p w14:paraId="2BC90F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Препровождая копию донесения от 5 мая 1940 года НИИ ГУАС о результатах испытаний самолета ДБ3Ф-2М88, сообщаю, что мною отдано приказание военной приемке заводов №№ 18 и 39 прекратить окончательное оформление и оплату самолетов, как неполноценных (7709, 349).</w:t>
      </w:r>
    </w:p>
    <w:p w14:paraId="5B57DD8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DB70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Алексеев и воен. комиссар ГУАС Князев писали А.И.Ш. письмо N 501587 "Препровождаю копию донесения от 5 мая с.г. НИИ ГУАС о результатах испытаний самолета ДБ-3Ф 3М-88. Сообщаю, что мною отдано приказание военной приемке заводов 18 и 39 прекратить окончательное оформление и оплату самолетов, как неполноценных" (1295,3).</w:t>
      </w:r>
    </w:p>
    <w:p w14:paraId="0185DE2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A828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в ходе гос. испытаний в НИИ ВВС головного серийного самолета ДБ-3 2М-88 N 390204 с винтами ВИШ-23А, производства завода 39 проводился полет на замер расхода горючего, снятие девиации компаса и фотографирование самолета. Полет прекратили из-за перегрева масла правого мотора. В фильтре нашли стружку (2135).</w:t>
      </w:r>
    </w:p>
    <w:p w14:paraId="5915692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7071EC" w14:textId="77777777" w:rsidR="00BC07D1" w:rsidRPr="00DB5D0D" w:rsidRDefault="00BC07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7 мая 1940 г. комдив Алексеев отдал приказание военной приемке заводов №18 и №39 прекратить окончательное оформление и оплату самолетов ДБ-ЗФ, как неполноценных (19087).</w:t>
      </w:r>
    </w:p>
    <w:p w14:paraId="65CF3E0D" w14:textId="77777777" w:rsidR="00BC07D1" w:rsidRPr="00DB5D0D" w:rsidRDefault="00BC07D1" w:rsidP="00DB5D0D">
      <w:pPr>
        <w:spacing w:after="0" w:line="240" w:lineRule="auto"/>
        <w:jc w:val="both"/>
        <w:rPr>
          <w:rFonts w:ascii="Times New Roman" w:hAnsi="Times New Roman"/>
          <w:color w:val="000000" w:themeColor="text1"/>
          <w:sz w:val="16"/>
          <w:szCs w:val="16"/>
        </w:rPr>
      </w:pPr>
    </w:p>
    <w:p w14:paraId="5A8C78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в НИИ ВВС закончились гос. испытания головного серийного самолета ДБ-3 2М-88 N 390204 с винтами ВИШ-23А, производства завода 39, которые проходили с 5 апреля 1940. Ви Н.М.Кокорин, вл к Л.П.Дудкин, в ш Н.П.Цветков. Прошел неудовлетворительно из-за меньшей на 60 км/час, чем запроектированная и меньше на 20 км/час, чем на ДБ-3Ф 2М-87А с ВИШ-3, уменьшенной дальности до 3300 км против запроектированной 4000 км, недоведенности системы охлаждения и моторов М-88 (2135).</w:t>
      </w:r>
    </w:p>
    <w:p w14:paraId="59F0EE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Краткий результат испытаний</w:t>
      </w:r>
    </w:p>
    <w:p w14:paraId="0B0628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Весовые данные и центровка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7519DD29" w14:textId="77777777" w:rsidTr="009223E5">
        <w:tc>
          <w:tcPr>
            <w:tcW w:w="5749" w:type="dxa"/>
            <w:tcBorders>
              <w:top w:val="single" w:sz="12" w:space="0" w:color="auto"/>
            </w:tcBorders>
          </w:tcPr>
          <w:p w14:paraId="06593E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данным взвешивания в НИИ ГУАС</w:t>
            </w:r>
          </w:p>
        </w:tc>
        <w:tc>
          <w:tcPr>
            <w:tcW w:w="5749" w:type="dxa"/>
            <w:tcBorders>
              <w:top w:val="single" w:sz="12" w:space="0" w:color="auto"/>
            </w:tcBorders>
          </w:tcPr>
          <w:p w14:paraId="28C3A83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0EB7B09" w14:textId="77777777" w:rsidTr="009223E5">
        <w:tc>
          <w:tcPr>
            <w:tcW w:w="5749" w:type="dxa"/>
          </w:tcPr>
          <w:p w14:paraId="7C4666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самолета</w:t>
            </w:r>
          </w:p>
        </w:tc>
        <w:tc>
          <w:tcPr>
            <w:tcW w:w="5749" w:type="dxa"/>
          </w:tcPr>
          <w:p w14:paraId="33C9D4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5590 кг</w:t>
            </w:r>
          </w:p>
        </w:tc>
      </w:tr>
      <w:tr w:rsidR="007D5DF8" w:rsidRPr="00DB5D0D" w14:paraId="60FDB1A3" w14:textId="77777777" w:rsidTr="009223E5">
        <w:tc>
          <w:tcPr>
            <w:tcW w:w="5749" w:type="dxa"/>
          </w:tcPr>
          <w:p w14:paraId="44DBFE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Нормальный полетный вес</w:t>
            </w:r>
          </w:p>
        </w:tc>
        <w:tc>
          <w:tcPr>
            <w:tcW w:w="5749" w:type="dxa"/>
          </w:tcPr>
          <w:p w14:paraId="46B9CD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7933 кг</w:t>
            </w:r>
          </w:p>
        </w:tc>
      </w:tr>
      <w:tr w:rsidR="007D5DF8" w:rsidRPr="00DB5D0D" w14:paraId="009960A9" w14:textId="77777777" w:rsidTr="009223E5">
        <w:tc>
          <w:tcPr>
            <w:tcW w:w="5749" w:type="dxa"/>
          </w:tcPr>
          <w:p w14:paraId="7F94A2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Полезная нагрузка:</w:t>
            </w:r>
          </w:p>
        </w:tc>
        <w:tc>
          <w:tcPr>
            <w:tcW w:w="5749" w:type="dxa"/>
          </w:tcPr>
          <w:p w14:paraId="042E55A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3A60D52" w14:textId="77777777" w:rsidTr="009223E5">
        <w:tc>
          <w:tcPr>
            <w:tcW w:w="5749" w:type="dxa"/>
          </w:tcPr>
          <w:p w14:paraId="171DD7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Экипаж - 3 чел.</w:t>
            </w:r>
          </w:p>
        </w:tc>
        <w:tc>
          <w:tcPr>
            <w:tcW w:w="5749" w:type="dxa"/>
          </w:tcPr>
          <w:p w14:paraId="6ED605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 кг</w:t>
            </w:r>
          </w:p>
        </w:tc>
      </w:tr>
      <w:tr w:rsidR="007D5DF8" w:rsidRPr="00DB5D0D" w14:paraId="1A112215" w14:textId="77777777" w:rsidTr="009223E5">
        <w:tc>
          <w:tcPr>
            <w:tcW w:w="5749" w:type="dxa"/>
          </w:tcPr>
          <w:p w14:paraId="3459B7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Бомбардировочное вооружение</w:t>
            </w:r>
          </w:p>
        </w:tc>
        <w:tc>
          <w:tcPr>
            <w:tcW w:w="5749" w:type="dxa"/>
          </w:tcPr>
          <w:p w14:paraId="70EB9D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1030 кг</w:t>
            </w:r>
          </w:p>
        </w:tc>
      </w:tr>
      <w:tr w:rsidR="007D5DF8" w:rsidRPr="00DB5D0D" w14:paraId="72BF45F9" w14:textId="77777777" w:rsidTr="009223E5">
        <w:tc>
          <w:tcPr>
            <w:tcW w:w="5749" w:type="dxa"/>
          </w:tcPr>
          <w:p w14:paraId="1E552F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Стрелковое вооружение</w:t>
            </w:r>
          </w:p>
        </w:tc>
        <w:tc>
          <w:tcPr>
            <w:tcW w:w="5749" w:type="dxa"/>
          </w:tcPr>
          <w:p w14:paraId="44FB2B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 кг</w:t>
            </w:r>
          </w:p>
        </w:tc>
      </w:tr>
      <w:tr w:rsidR="007D5DF8" w:rsidRPr="00DB5D0D" w14:paraId="5591BBCB" w14:textId="77777777" w:rsidTr="009223E5">
        <w:tc>
          <w:tcPr>
            <w:tcW w:w="5749" w:type="dxa"/>
          </w:tcPr>
          <w:p w14:paraId="2EEC68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Спецоборудование</w:t>
            </w:r>
          </w:p>
        </w:tc>
        <w:tc>
          <w:tcPr>
            <w:tcW w:w="5749" w:type="dxa"/>
          </w:tcPr>
          <w:p w14:paraId="3E6576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 кг</w:t>
            </w:r>
          </w:p>
        </w:tc>
      </w:tr>
      <w:tr w:rsidR="007D5DF8" w:rsidRPr="00DB5D0D" w14:paraId="57CAE60F" w14:textId="77777777" w:rsidTr="009223E5">
        <w:tc>
          <w:tcPr>
            <w:tcW w:w="5749" w:type="dxa"/>
          </w:tcPr>
          <w:p w14:paraId="52DE41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Горючее и смазочное</w:t>
            </w:r>
          </w:p>
        </w:tc>
        <w:tc>
          <w:tcPr>
            <w:tcW w:w="5749" w:type="dxa"/>
          </w:tcPr>
          <w:p w14:paraId="337CDA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870 кг</w:t>
            </w:r>
          </w:p>
        </w:tc>
      </w:tr>
      <w:tr w:rsidR="007D5DF8" w:rsidRPr="00DB5D0D" w14:paraId="2B8D39F8" w14:textId="77777777" w:rsidTr="009223E5">
        <w:tc>
          <w:tcPr>
            <w:tcW w:w="5749" w:type="dxa"/>
          </w:tcPr>
          <w:p w14:paraId="1DE8B5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5749" w:type="dxa"/>
          </w:tcPr>
          <w:p w14:paraId="03749B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2343 кг</w:t>
            </w:r>
          </w:p>
        </w:tc>
      </w:tr>
      <w:tr w:rsidR="007D5DF8" w:rsidRPr="00DB5D0D" w14:paraId="27FF0065" w14:textId="77777777" w:rsidTr="009223E5">
        <w:tc>
          <w:tcPr>
            <w:tcW w:w="5749" w:type="dxa"/>
          </w:tcPr>
          <w:p w14:paraId="63F5A5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Полетный вес самолета в</w:t>
            </w:r>
          </w:p>
        </w:tc>
        <w:tc>
          <w:tcPr>
            <w:tcW w:w="5749" w:type="dxa"/>
          </w:tcPr>
          <w:p w14:paraId="61CD9CA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3A4AF0B" w14:textId="77777777" w:rsidTr="009223E5">
        <w:tc>
          <w:tcPr>
            <w:tcW w:w="5749" w:type="dxa"/>
          </w:tcPr>
          <w:p w14:paraId="7CBEDA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перегрузочном варианте (при 2750</w:t>
            </w:r>
          </w:p>
        </w:tc>
        <w:tc>
          <w:tcPr>
            <w:tcW w:w="5749" w:type="dxa"/>
          </w:tcPr>
          <w:p w14:paraId="40DA596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F34104F" w14:textId="77777777" w:rsidTr="009223E5">
        <w:tc>
          <w:tcPr>
            <w:tcW w:w="5749" w:type="dxa"/>
          </w:tcPr>
          <w:p w14:paraId="2FDBFE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кг горючего, 240 кг смазочного,</w:t>
            </w:r>
          </w:p>
        </w:tc>
        <w:tc>
          <w:tcPr>
            <w:tcW w:w="5749" w:type="dxa"/>
          </w:tcPr>
          <w:p w14:paraId="25C6303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9EE3F4A" w14:textId="77777777" w:rsidTr="009223E5">
        <w:tc>
          <w:tcPr>
            <w:tcW w:w="5749" w:type="dxa"/>
          </w:tcPr>
          <w:p w14:paraId="4B6283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кг бомб и 2000 шт. патрон - 68 кг)</w:t>
            </w:r>
          </w:p>
        </w:tc>
        <w:tc>
          <w:tcPr>
            <w:tcW w:w="5749" w:type="dxa"/>
          </w:tcPr>
          <w:p w14:paraId="1D517B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10053 кг</w:t>
            </w:r>
          </w:p>
        </w:tc>
      </w:tr>
      <w:tr w:rsidR="007D5DF8" w:rsidRPr="00DB5D0D" w14:paraId="141FB566" w14:textId="77777777" w:rsidTr="009223E5">
        <w:tc>
          <w:tcPr>
            <w:tcW w:w="5749" w:type="dxa"/>
          </w:tcPr>
          <w:p w14:paraId="23FED5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Центровка пустого самолета</w:t>
            </w:r>
          </w:p>
        </w:tc>
        <w:tc>
          <w:tcPr>
            <w:tcW w:w="5749" w:type="dxa"/>
          </w:tcPr>
          <w:p w14:paraId="02550E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 САХ</w:t>
            </w:r>
          </w:p>
        </w:tc>
      </w:tr>
      <w:tr w:rsidR="007D5DF8" w:rsidRPr="00DB5D0D" w14:paraId="49EED43B" w14:textId="77777777" w:rsidTr="009223E5">
        <w:tc>
          <w:tcPr>
            <w:tcW w:w="5749" w:type="dxa"/>
          </w:tcPr>
          <w:p w14:paraId="1F7EBB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Центровка самолета с нормальным</w:t>
            </w:r>
          </w:p>
        </w:tc>
        <w:tc>
          <w:tcPr>
            <w:tcW w:w="5749" w:type="dxa"/>
          </w:tcPr>
          <w:p w14:paraId="5BE3B6F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A37BAFF" w14:textId="77777777" w:rsidTr="009223E5">
        <w:tc>
          <w:tcPr>
            <w:tcW w:w="5749" w:type="dxa"/>
          </w:tcPr>
          <w:p w14:paraId="6A50C5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полетным весом</w:t>
            </w:r>
          </w:p>
        </w:tc>
        <w:tc>
          <w:tcPr>
            <w:tcW w:w="5749" w:type="dxa"/>
          </w:tcPr>
          <w:p w14:paraId="37B9B3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r>
      <w:tr w:rsidR="007D5DF8" w:rsidRPr="00DB5D0D" w14:paraId="31DC287D" w14:textId="77777777" w:rsidTr="009223E5">
        <w:tc>
          <w:tcPr>
            <w:tcW w:w="5749" w:type="dxa"/>
          </w:tcPr>
          <w:p w14:paraId="770DC2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Центровка самолета с полетным</w:t>
            </w:r>
          </w:p>
        </w:tc>
        <w:tc>
          <w:tcPr>
            <w:tcW w:w="5749" w:type="dxa"/>
          </w:tcPr>
          <w:p w14:paraId="65DEDD4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57DD594" w14:textId="77777777" w:rsidTr="009223E5">
        <w:tc>
          <w:tcPr>
            <w:tcW w:w="5749" w:type="dxa"/>
          </w:tcPr>
          <w:p w14:paraId="660A1D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весом в перегрузочном варианте</w:t>
            </w:r>
          </w:p>
        </w:tc>
        <w:tc>
          <w:tcPr>
            <w:tcW w:w="5749" w:type="dxa"/>
          </w:tcPr>
          <w:p w14:paraId="2D1F51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w:t>
            </w:r>
          </w:p>
        </w:tc>
      </w:tr>
      <w:tr w:rsidR="007D5DF8" w:rsidRPr="00DB5D0D" w14:paraId="4DB357C9" w14:textId="77777777" w:rsidTr="009223E5">
        <w:tc>
          <w:tcPr>
            <w:tcW w:w="5749" w:type="dxa"/>
          </w:tcPr>
          <w:p w14:paraId="67775E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 Центровка самолета с </w:t>
            </w:r>
          </w:p>
        </w:tc>
        <w:tc>
          <w:tcPr>
            <w:tcW w:w="5749" w:type="dxa"/>
          </w:tcPr>
          <w:p w14:paraId="697F24C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825A6BE" w14:textId="77777777" w:rsidTr="009223E5">
        <w:tc>
          <w:tcPr>
            <w:tcW w:w="5749" w:type="dxa"/>
          </w:tcPr>
          <w:p w14:paraId="743BA4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неизменным полетным весом</w:t>
            </w:r>
          </w:p>
        </w:tc>
        <w:tc>
          <w:tcPr>
            <w:tcW w:w="5749" w:type="dxa"/>
          </w:tcPr>
          <w:p w14:paraId="2F19B4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r>
      <w:tr w:rsidR="007D5DF8" w:rsidRPr="00DB5D0D" w14:paraId="0768F465" w14:textId="77777777" w:rsidTr="009223E5">
        <w:tc>
          <w:tcPr>
            <w:tcW w:w="5749" w:type="dxa"/>
          </w:tcPr>
          <w:p w14:paraId="277A7B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Летно-тактические данные самолета</w:t>
            </w:r>
          </w:p>
        </w:tc>
        <w:tc>
          <w:tcPr>
            <w:tcW w:w="5749" w:type="dxa"/>
          </w:tcPr>
          <w:p w14:paraId="20D4310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A4DB7AA" w14:textId="77777777" w:rsidTr="009223E5">
        <w:tc>
          <w:tcPr>
            <w:tcW w:w="5749" w:type="dxa"/>
          </w:tcPr>
          <w:p w14:paraId="607471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с каким велись испытания</w:t>
            </w:r>
          </w:p>
        </w:tc>
        <w:tc>
          <w:tcPr>
            <w:tcW w:w="5749" w:type="dxa"/>
          </w:tcPr>
          <w:p w14:paraId="6E4363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7900 кг</w:t>
            </w:r>
          </w:p>
        </w:tc>
      </w:tr>
      <w:tr w:rsidR="007D5DF8" w:rsidRPr="00DB5D0D" w14:paraId="79784CFF" w14:textId="77777777" w:rsidTr="009223E5">
        <w:tc>
          <w:tcPr>
            <w:tcW w:w="5749" w:type="dxa"/>
          </w:tcPr>
          <w:p w14:paraId="028BC0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w:t>
            </w:r>
          </w:p>
        </w:tc>
        <w:tc>
          <w:tcPr>
            <w:tcW w:w="5749" w:type="dxa"/>
          </w:tcPr>
          <w:p w14:paraId="4659AE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ВИШ-23</w:t>
            </w:r>
          </w:p>
        </w:tc>
      </w:tr>
      <w:tr w:rsidR="007D5DF8" w:rsidRPr="00DB5D0D" w14:paraId="1B4242EB" w14:textId="77777777" w:rsidTr="009223E5">
        <w:tc>
          <w:tcPr>
            <w:tcW w:w="5749" w:type="dxa"/>
          </w:tcPr>
          <w:p w14:paraId="172EBC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установки лопастей винтов</w:t>
            </w:r>
          </w:p>
        </w:tc>
        <w:tc>
          <w:tcPr>
            <w:tcW w:w="5749" w:type="dxa"/>
          </w:tcPr>
          <w:p w14:paraId="77087A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20-40 град.</w:t>
            </w:r>
          </w:p>
        </w:tc>
      </w:tr>
      <w:tr w:rsidR="007D5DF8" w:rsidRPr="00DB5D0D" w14:paraId="489D58E4" w14:textId="77777777" w:rsidTr="009223E5">
        <w:tc>
          <w:tcPr>
            <w:tcW w:w="5749" w:type="dxa"/>
          </w:tcPr>
          <w:p w14:paraId="580DFF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1 м кв. несущей площади</w:t>
            </w:r>
          </w:p>
        </w:tc>
        <w:tc>
          <w:tcPr>
            <w:tcW w:w="5749" w:type="dxa"/>
          </w:tcPr>
          <w:p w14:paraId="2C1BFB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118,5 кг/м кв.</w:t>
            </w:r>
          </w:p>
        </w:tc>
      </w:tr>
      <w:tr w:rsidR="007D5DF8" w:rsidRPr="00DB5D0D" w14:paraId="0A944439" w14:textId="77777777" w:rsidTr="009223E5">
        <w:tc>
          <w:tcPr>
            <w:tcW w:w="5749" w:type="dxa"/>
          </w:tcPr>
          <w:p w14:paraId="576804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Граница высотности моторов на с-те</w:t>
            </w:r>
          </w:p>
        </w:tc>
        <w:tc>
          <w:tcPr>
            <w:tcW w:w="5749" w:type="dxa"/>
          </w:tcPr>
          <w:p w14:paraId="4C8E4F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6200/2 ск.</w:t>
            </w:r>
          </w:p>
        </w:tc>
      </w:tr>
      <w:tr w:rsidR="007D5DF8" w:rsidRPr="00DB5D0D" w14:paraId="20F2F01E" w14:textId="77777777" w:rsidTr="009223E5">
        <w:tc>
          <w:tcPr>
            <w:tcW w:w="5749" w:type="dxa"/>
          </w:tcPr>
          <w:p w14:paraId="7509E9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w:t>
            </w:r>
          </w:p>
        </w:tc>
        <w:tc>
          <w:tcPr>
            <w:tcW w:w="5749" w:type="dxa"/>
          </w:tcPr>
          <w:p w14:paraId="183E16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362 км/час</w:t>
            </w:r>
          </w:p>
        </w:tc>
      </w:tr>
      <w:tr w:rsidR="007D5DF8" w:rsidRPr="00DB5D0D" w14:paraId="0FA1CBEF" w14:textId="77777777" w:rsidTr="009223E5">
        <w:tc>
          <w:tcPr>
            <w:tcW w:w="5749" w:type="dxa"/>
          </w:tcPr>
          <w:p w14:paraId="22F275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границе</w:t>
            </w:r>
          </w:p>
        </w:tc>
        <w:tc>
          <w:tcPr>
            <w:tcW w:w="5749" w:type="dxa"/>
          </w:tcPr>
          <w:p w14:paraId="4A9D4D0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4B538A6" w14:textId="77777777" w:rsidTr="009223E5">
        <w:tc>
          <w:tcPr>
            <w:tcW w:w="5749" w:type="dxa"/>
          </w:tcPr>
          <w:p w14:paraId="4D194B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высотности мотора на 1-й скорости</w:t>
            </w:r>
          </w:p>
        </w:tc>
        <w:tc>
          <w:tcPr>
            <w:tcW w:w="5749" w:type="dxa"/>
          </w:tcPr>
          <w:p w14:paraId="5E8523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418</w:t>
            </w:r>
          </w:p>
        </w:tc>
      </w:tr>
      <w:tr w:rsidR="007D5DF8" w:rsidRPr="00DB5D0D" w14:paraId="64D8206F" w14:textId="77777777" w:rsidTr="009223E5">
        <w:tc>
          <w:tcPr>
            <w:tcW w:w="5749" w:type="dxa"/>
          </w:tcPr>
          <w:p w14:paraId="274B0B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скорости</w:t>
            </w:r>
          </w:p>
        </w:tc>
        <w:tc>
          <w:tcPr>
            <w:tcW w:w="5749" w:type="dxa"/>
          </w:tcPr>
          <w:p w14:paraId="0509D2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w:t>
            </w:r>
          </w:p>
        </w:tc>
      </w:tr>
      <w:tr w:rsidR="007D5DF8" w:rsidRPr="00DB5D0D" w14:paraId="7E943065" w14:textId="77777777" w:rsidTr="009223E5">
        <w:tc>
          <w:tcPr>
            <w:tcW w:w="5749" w:type="dxa"/>
          </w:tcPr>
          <w:p w14:paraId="52613C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5749" w:type="dxa"/>
          </w:tcPr>
          <w:p w14:paraId="7761D0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10050 м</w:t>
            </w:r>
          </w:p>
        </w:tc>
      </w:tr>
      <w:tr w:rsidR="007D5DF8" w:rsidRPr="00DB5D0D" w14:paraId="6C24970B" w14:textId="77777777" w:rsidTr="009223E5">
        <w:tc>
          <w:tcPr>
            <w:tcW w:w="5749" w:type="dxa"/>
          </w:tcPr>
          <w:p w14:paraId="161190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 5000 м</w:t>
            </w:r>
          </w:p>
        </w:tc>
        <w:tc>
          <w:tcPr>
            <w:tcW w:w="5749" w:type="dxa"/>
          </w:tcPr>
          <w:p w14:paraId="3AE131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10,25 м</w:t>
            </w:r>
          </w:p>
        </w:tc>
      </w:tr>
      <w:tr w:rsidR="007D5DF8" w:rsidRPr="00DB5D0D" w14:paraId="2A02793E" w14:textId="77777777" w:rsidTr="009223E5">
        <w:tc>
          <w:tcPr>
            <w:tcW w:w="5749" w:type="dxa"/>
          </w:tcPr>
          <w:p w14:paraId="52C365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практического потолка</w:t>
            </w:r>
          </w:p>
        </w:tc>
        <w:tc>
          <w:tcPr>
            <w:tcW w:w="5749" w:type="dxa"/>
          </w:tcPr>
          <w:p w14:paraId="2D18C3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 м</w:t>
            </w:r>
          </w:p>
        </w:tc>
      </w:tr>
      <w:tr w:rsidR="007D5DF8" w:rsidRPr="00DB5D0D" w14:paraId="35BA2935" w14:textId="77777777" w:rsidTr="009223E5">
        <w:tc>
          <w:tcPr>
            <w:tcW w:w="5749" w:type="dxa"/>
          </w:tcPr>
          <w:p w14:paraId="3BF218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Техническая дальность на 0,9 от Vmax</w:t>
            </w:r>
          </w:p>
        </w:tc>
        <w:tc>
          <w:tcPr>
            <w:tcW w:w="5749" w:type="dxa"/>
          </w:tcPr>
          <w:p w14:paraId="51A158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 км</w:t>
            </w:r>
          </w:p>
        </w:tc>
      </w:tr>
      <w:tr w:rsidR="007D5DF8" w:rsidRPr="00DB5D0D" w14:paraId="1C88993A" w14:textId="77777777" w:rsidTr="009223E5">
        <w:tc>
          <w:tcPr>
            <w:tcW w:w="5749" w:type="dxa"/>
          </w:tcPr>
          <w:p w14:paraId="41CB9F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Техническая дальность на 0,8 от Vmax</w:t>
            </w:r>
          </w:p>
        </w:tc>
        <w:tc>
          <w:tcPr>
            <w:tcW w:w="5749" w:type="dxa"/>
          </w:tcPr>
          <w:p w14:paraId="3BC556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3300 км</w:t>
            </w:r>
          </w:p>
        </w:tc>
      </w:tr>
      <w:tr w:rsidR="007D5DF8" w:rsidRPr="00DB5D0D" w14:paraId="56AD6A56" w14:textId="77777777" w:rsidTr="009223E5">
        <w:tc>
          <w:tcPr>
            <w:tcW w:w="5749" w:type="dxa"/>
          </w:tcPr>
          <w:p w14:paraId="3F6B10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с закрылками</w:t>
            </w:r>
          </w:p>
        </w:tc>
        <w:tc>
          <w:tcPr>
            <w:tcW w:w="5749" w:type="dxa"/>
          </w:tcPr>
          <w:p w14:paraId="0963D9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 км/час</w:t>
            </w:r>
          </w:p>
        </w:tc>
      </w:tr>
      <w:tr w:rsidR="007D5DF8" w:rsidRPr="00DB5D0D" w14:paraId="560BC4FC" w14:textId="77777777" w:rsidTr="009223E5">
        <w:tc>
          <w:tcPr>
            <w:tcW w:w="5749" w:type="dxa"/>
          </w:tcPr>
          <w:p w14:paraId="55D559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без закрылков</w:t>
            </w:r>
          </w:p>
        </w:tc>
        <w:tc>
          <w:tcPr>
            <w:tcW w:w="5749" w:type="dxa"/>
          </w:tcPr>
          <w:p w14:paraId="74D2CC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 км/час</w:t>
            </w:r>
          </w:p>
        </w:tc>
      </w:tr>
      <w:tr w:rsidR="007D5DF8" w:rsidRPr="00DB5D0D" w14:paraId="6796839B" w14:textId="77777777" w:rsidTr="009223E5">
        <w:tc>
          <w:tcPr>
            <w:tcW w:w="5749" w:type="dxa"/>
          </w:tcPr>
          <w:p w14:paraId="1C90D6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Минимальное время виража</w:t>
            </w:r>
          </w:p>
        </w:tc>
        <w:tc>
          <w:tcPr>
            <w:tcW w:w="5749" w:type="dxa"/>
          </w:tcPr>
          <w:p w14:paraId="7B758C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 м</w:t>
            </w:r>
          </w:p>
        </w:tc>
      </w:tr>
      <w:tr w:rsidR="007D5DF8" w:rsidRPr="00DB5D0D" w14:paraId="2553A590" w14:textId="77777777" w:rsidTr="009223E5">
        <w:tc>
          <w:tcPr>
            <w:tcW w:w="5749" w:type="dxa"/>
          </w:tcPr>
          <w:p w14:paraId="1443B7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самолета с весом 8000 кг</w:t>
            </w:r>
          </w:p>
        </w:tc>
        <w:tc>
          <w:tcPr>
            <w:tcW w:w="5749" w:type="dxa"/>
          </w:tcPr>
          <w:p w14:paraId="04E6CD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 м</w:t>
            </w:r>
          </w:p>
        </w:tc>
      </w:tr>
      <w:tr w:rsidR="007D5DF8" w:rsidRPr="00DB5D0D" w14:paraId="3DD4B1A7" w14:textId="77777777" w:rsidTr="009223E5">
        <w:tc>
          <w:tcPr>
            <w:tcW w:w="5749" w:type="dxa"/>
          </w:tcPr>
          <w:p w14:paraId="150345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самолета с весом 1000 кг</w:t>
            </w:r>
          </w:p>
        </w:tc>
        <w:tc>
          <w:tcPr>
            <w:tcW w:w="5749" w:type="dxa"/>
          </w:tcPr>
          <w:p w14:paraId="397AF9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 м</w:t>
            </w:r>
          </w:p>
        </w:tc>
      </w:tr>
      <w:tr w:rsidR="007D5DF8" w:rsidRPr="00DB5D0D" w14:paraId="2B7479C4" w14:textId="77777777" w:rsidTr="009223E5">
        <w:tc>
          <w:tcPr>
            <w:tcW w:w="5749" w:type="dxa"/>
          </w:tcPr>
          <w:p w14:paraId="23B038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с закрылками и тормозами</w:t>
            </w:r>
          </w:p>
        </w:tc>
        <w:tc>
          <w:tcPr>
            <w:tcW w:w="5749" w:type="dxa"/>
          </w:tcPr>
          <w:p w14:paraId="3A7812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230-250</w:t>
            </w:r>
          </w:p>
        </w:tc>
      </w:tr>
      <w:tr w:rsidR="007D5DF8" w:rsidRPr="00DB5D0D" w14:paraId="145C3C83" w14:textId="77777777" w:rsidTr="009223E5">
        <w:tc>
          <w:tcPr>
            <w:tcW w:w="5749" w:type="dxa"/>
          </w:tcPr>
          <w:p w14:paraId="2E700D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без закрылков, но с тормозами</w:t>
            </w:r>
          </w:p>
        </w:tc>
        <w:tc>
          <w:tcPr>
            <w:tcW w:w="5749" w:type="dxa"/>
          </w:tcPr>
          <w:p w14:paraId="1BB546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2C23ED43" w14:textId="77777777" w:rsidTr="009223E5">
        <w:tc>
          <w:tcPr>
            <w:tcW w:w="5749" w:type="dxa"/>
            <w:tcBorders>
              <w:bottom w:val="single" w:sz="12" w:space="0" w:color="auto"/>
            </w:tcBorders>
          </w:tcPr>
          <w:p w14:paraId="318A30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без закрылков и тормозов</w:t>
            </w:r>
          </w:p>
        </w:tc>
        <w:tc>
          <w:tcPr>
            <w:tcW w:w="5749" w:type="dxa"/>
            <w:tcBorders>
              <w:bottom w:val="single" w:sz="12" w:space="0" w:color="auto"/>
            </w:tcBorders>
          </w:tcPr>
          <w:p w14:paraId="1D7EFF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800-850</w:t>
            </w:r>
          </w:p>
        </w:tc>
      </w:tr>
    </w:tbl>
    <w:p w14:paraId="7951F3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800"/>
        <w:gridCol w:w="800"/>
        <w:gridCol w:w="800"/>
        <w:gridCol w:w="1144"/>
        <w:gridCol w:w="751"/>
        <w:gridCol w:w="751"/>
        <w:gridCol w:w="1050"/>
        <w:gridCol w:w="1257"/>
        <w:gridCol w:w="1437"/>
      </w:tblGrid>
      <w:tr w:rsidR="007D5DF8" w:rsidRPr="00DB5D0D" w14:paraId="2F9247B4" w14:textId="77777777" w:rsidTr="009223E5">
        <w:tc>
          <w:tcPr>
            <w:tcW w:w="1809" w:type="dxa"/>
            <w:tcBorders>
              <w:top w:val="single" w:sz="12" w:space="0" w:color="auto"/>
            </w:tcBorders>
          </w:tcPr>
          <w:p w14:paraId="57F7D0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800" w:type="dxa"/>
            <w:tcBorders>
              <w:top w:val="single" w:sz="12" w:space="0" w:color="auto"/>
            </w:tcBorders>
          </w:tcPr>
          <w:p w14:paraId="58F5F0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w:t>
            </w:r>
          </w:p>
        </w:tc>
        <w:tc>
          <w:tcPr>
            <w:tcW w:w="800" w:type="dxa"/>
            <w:tcBorders>
              <w:top w:val="single" w:sz="12" w:space="0" w:color="auto"/>
            </w:tcBorders>
          </w:tcPr>
          <w:p w14:paraId="6E0B93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w:t>
            </w:r>
          </w:p>
        </w:tc>
        <w:tc>
          <w:tcPr>
            <w:tcW w:w="800" w:type="dxa"/>
            <w:tcBorders>
              <w:top w:val="single" w:sz="12" w:space="0" w:color="auto"/>
            </w:tcBorders>
          </w:tcPr>
          <w:p w14:paraId="4D1B66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 в км/час</w:t>
            </w:r>
          </w:p>
        </w:tc>
        <w:tc>
          <w:tcPr>
            <w:tcW w:w="1144" w:type="dxa"/>
            <w:tcBorders>
              <w:top w:val="single" w:sz="12" w:space="0" w:color="auto"/>
            </w:tcBorders>
          </w:tcPr>
          <w:p w14:paraId="2F39B9F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51" w:type="dxa"/>
            <w:tcBorders>
              <w:top w:val="single" w:sz="12" w:space="0" w:color="auto"/>
            </w:tcBorders>
          </w:tcPr>
          <w:p w14:paraId="549F05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751" w:type="dxa"/>
            <w:tcBorders>
              <w:top w:val="single" w:sz="12" w:space="0" w:color="auto"/>
            </w:tcBorders>
          </w:tcPr>
          <w:p w14:paraId="7391AD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w:t>
            </w:r>
          </w:p>
        </w:tc>
        <w:tc>
          <w:tcPr>
            <w:tcW w:w="1050" w:type="dxa"/>
            <w:tcBorders>
              <w:top w:val="single" w:sz="12" w:space="0" w:color="auto"/>
            </w:tcBorders>
          </w:tcPr>
          <w:p w14:paraId="36C912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w:t>
            </w:r>
          </w:p>
        </w:tc>
        <w:tc>
          <w:tcPr>
            <w:tcW w:w="1257" w:type="dxa"/>
            <w:tcBorders>
              <w:top w:val="single" w:sz="12" w:space="0" w:color="auto"/>
            </w:tcBorders>
          </w:tcPr>
          <w:p w14:paraId="5AE2BF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1437" w:type="dxa"/>
            <w:tcBorders>
              <w:top w:val="single" w:sz="12" w:space="0" w:color="auto"/>
            </w:tcBorders>
          </w:tcPr>
          <w:p w14:paraId="47CA1B9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96C4B81" w14:textId="77777777" w:rsidTr="009223E5">
        <w:tc>
          <w:tcPr>
            <w:tcW w:w="1809" w:type="dxa"/>
          </w:tcPr>
          <w:p w14:paraId="19D58C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самолета</w:t>
            </w:r>
          </w:p>
        </w:tc>
        <w:tc>
          <w:tcPr>
            <w:tcW w:w="800" w:type="dxa"/>
          </w:tcPr>
          <w:p w14:paraId="308C0C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вес в </w:t>
            </w:r>
          </w:p>
        </w:tc>
        <w:tc>
          <w:tcPr>
            <w:tcW w:w="800" w:type="dxa"/>
          </w:tcPr>
          <w:p w14:paraId="07DACB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мотора в</w:t>
            </w:r>
          </w:p>
        </w:tc>
        <w:tc>
          <w:tcPr>
            <w:tcW w:w="800" w:type="dxa"/>
          </w:tcPr>
          <w:p w14:paraId="6FBC0B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земли</w:t>
            </w:r>
          </w:p>
        </w:tc>
        <w:tc>
          <w:tcPr>
            <w:tcW w:w="1144" w:type="dxa"/>
          </w:tcPr>
          <w:p w14:paraId="1C21E3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гран.</w:t>
            </w:r>
          </w:p>
        </w:tc>
        <w:tc>
          <w:tcPr>
            <w:tcW w:w="751" w:type="dxa"/>
          </w:tcPr>
          <w:p w14:paraId="5B2666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набора</w:t>
            </w:r>
          </w:p>
        </w:tc>
        <w:tc>
          <w:tcPr>
            <w:tcW w:w="751" w:type="dxa"/>
          </w:tcPr>
          <w:p w14:paraId="6B2D08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w:t>
            </w:r>
          </w:p>
        </w:tc>
        <w:tc>
          <w:tcPr>
            <w:tcW w:w="1050" w:type="dxa"/>
          </w:tcPr>
          <w:p w14:paraId="39A554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w:t>
            </w:r>
          </w:p>
        </w:tc>
        <w:tc>
          <w:tcPr>
            <w:tcW w:w="1257" w:type="dxa"/>
          </w:tcPr>
          <w:p w14:paraId="1694B4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w:t>
            </w:r>
          </w:p>
        </w:tc>
        <w:tc>
          <w:tcPr>
            <w:tcW w:w="1437" w:type="dxa"/>
          </w:tcPr>
          <w:p w14:paraId="61D5FD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 арт.</w:t>
            </w:r>
          </w:p>
        </w:tc>
      </w:tr>
      <w:tr w:rsidR="007D5DF8" w:rsidRPr="00DB5D0D" w14:paraId="425D9295" w14:textId="77777777" w:rsidTr="009223E5">
        <w:tc>
          <w:tcPr>
            <w:tcW w:w="1809" w:type="dxa"/>
          </w:tcPr>
          <w:p w14:paraId="7A9992C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Pr>
          <w:p w14:paraId="70A144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кг</w:t>
            </w:r>
          </w:p>
        </w:tc>
        <w:tc>
          <w:tcPr>
            <w:tcW w:w="800" w:type="dxa"/>
          </w:tcPr>
          <w:p w14:paraId="75BC53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л.с.</w:t>
            </w:r>
          </w:p>
        </w:tc>
        <w:tc>
          <w:tcPr>
            <w:tcW w:w="800" w:type="dxa"/>
          </w:tcPr>
          <w:p w14:paraId="54CEF4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w:t>
            </w:r>
          </w:p>
        </w:tc>
        <w:tc>
          <w:tcPr>
            <w:tcW w:w="1144" w:type="dxa"/>
          </w:tcPr>
          <w:p w14:paraId="228404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 м</w:t>
            </w:r>
          </w:p>
        </w:tc>
        <w:tc>
          <w:tcPr>
            <w:tcW w:w="751" w:type="dxa"/>
          </w:tcPr>
          <w:p w14:paraId="3D9FAD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w:t>
            </w:r>
          </w:p>
        </w:tc>
        <w:tc>
          <w:tcPr>
            <w:tcW w:w="751" w:type="dxa"/>
          </w:tcPr>
          <w:p w14:paraId="31C81CB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050" w:type="dxa"/>
          </w:tcPr>
          <w:p w14:paraId="6503809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57" w:type="dxa"/>
          </w:tcPr>
          <w:p w14:paraId="5268D2F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A72D4E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E61E7F2" w14:textId="77777777" w:rsidTr="009223E5">
        <w:tc>
          <w:tcPr>
            <w:tcW w:w="1809" w:type="dxa"/>
          </w:tcPr>
          <w:p w14:paraId="1ACD259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Pr>
          <w:p w14:paraId="4B28B67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Pr>
          <w:p w14:paraId="73EC3F6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Pr>
          <w:p w14:paraId="494851C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7675AAD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51" w:type="dxa"/>
          </w:tcPr>
          <w:p w14:paraId="1B27BD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w:t>
            </w:r>
          </w:p>
        </w:tc>
        <w:tc>
          <w:tcPr>
            <w:tcW w:w="751" w:type="dxa"/>
          </w:tcPr>
          <w:p w14:paraId="5E9983A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050" w:type="dxa"/>
          </w:tcPr>
          <w:p w14:paraId="425CDE8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57" w:type="dxa"/>
          </w:tcPr>
          <w:p w14:paraId="7FD1F61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4DA1B9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D775419" w14:textId="77777777" w:rsidTr="009223E5">
        <w:tc>
          <w:tcPr>
            <w:tcW w:w="1809" w:type="dxa"/>
          </w:tcPr>
          <w:p w14:paraId="7D0BF2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2М-88 сер.</w:t>
            </w:r>
          </w:p>
        </w:tc>
        <w:tc>
          <w:tcPr>
            <w:tcW w:w="800" w:type="dxa"/>
          </w:tcPr>
          <w:p w14:paraId="4E576C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7900</w:t>
            </w:r>
          </w:p>
        </w:tc>
        <w:tc>
          <w:tcPr>
            <w:tcW w:w="800" w:type="dxa"/>
          </w:tcPr>
          <w:p w14:paraId="0AF268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2х1100</w:t>
            </w:r>
          </w:p>
        </w:tc>
        <w:tc>
          <w:tcPr>
            <w:tcW w:w="800" w:type="dxa"/>
          </w:tcPr>
          <w:p w14:paraId="109BC2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362</w:t>
            </w:r>
          </w:p>
        </w:tc>
        <w:tc>
          <w:tcPr>
            <w:tcW w:w="1144" w:type="dxa"/>
          </w:tcPr>
          <w:p w14:paraId="42764B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425/6500</w:t>
            </w:r>
          </w:p>
        </w:tc>
        <w:tc>
          <w:tcPr>
            <w:tcW w:w="751" w:type="dxa"/>
          </w:tcPr>
          <w:p w14:paraId="4F2B71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10,25</w:t>
            </w:r>
          </w:p>
        </w:tc>
        <w:tc>
          <w:tcPr>
            <w:tcW w:w="751" w:type="dxa"/>
          </w:tcPr>
          <w:p w14:paraId="509C9B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10050</w:t>
            </w:r>
          </w:p>
        </w:tc>
        <w:tc>
          <w:tcPr>
            <w:tcW w:w="1050" w:type="dxa"/>
          </w:tcPr>
          <w:p w14:paraId="231865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3300 км/</w:t>
            </w:r>
          </w:p>
        </w:tc>
        <w:tc>
          <w:tcPr>
            <w:tcW w:w="1257" w:type="dxa"/>
          </w:tcPr>
          <w:p w14:paraId="79F2AC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437" w:type="dxa"/>
          </w:tcPr>
          <w:p w14:paraId="6DDC74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пул.</w:t>
            </w:r>
          </w:p>
        </w:tc>
      </w:tr>
      <w:tr w:rsidR="007D5DF8" w:rsidRPr="00DB5D0D" w14:paraId="1C793B16" w14:textId="77777777" w:rsidTr="009223E5">
        <w:tc>
          <w:tcPr>
            <w:tcW w:w="1809" w:type="dxa"/>
          </w:tcPr>
          <w:p w14:paraId="25E20A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ВИШ-23</w:t>
            </w:r>
          </w:p>
        </w:tc>
        <w:tc>
          <w:tcPr>
            <w:tcW w:w="800" w:type="dxa"/>
          </w:tcPr>
          <w:p w14:paraId="6BA7FB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Pr>
          <w:p w14:paraId="267B41B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Pr>
          <w:p w14:paraId="6195393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34BFBE4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51" w:type="dxa"/>
          </w:tcPr>
          <w:p w14:paraId="3AF298F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51" w:type="dxa"/>
          </w:tcPr>
          <w:p w14:paraId="07E2C49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050" w:type="dxa"/>
          </w:tcPr>
          <w:p w14:paraId="219BFF8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57" w:type="dxa"/>
          </w:tcPr>
          <w:p w14:paraId="78A622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Н=6500м</w:t>
            </w:r>
          </w:p>
        </w:tc>
        <w:tc>
          <w:tcPr>
            <w:tcW w:w="1437" w:type="dxa"/>
          </w:tcPr>
          <w:p w14:paraId="188E0C4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A3FF038" w14:textId="77777777" w:rsidTr="009223E5">
        <w:tc>
          <w:tcPr>
            <w:tcW w:w="1809" w:type="dxa"/>
          </w:tcPr>
          <w:p w14:paraId="71DC7F2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Pr>
          <w:p w14:paraId="3307C66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Pr>
          <w:p w14:paraId="4C541EC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Pr>
          <w:p w14:paraId="522DE10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451ECBD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51" w:type="dxa"/>
          </w:tcPr>
          <w:p w14:paraId="497EF27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51" w:type="dxa"/>
          </w:tcPr>
          <w:p w14:paraId="26278BC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050" w:type="dxa"/>
          </w:tcPr>
          <w:p w14:paraId="562A2A0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57" w:type="dxa"/>
          </w:tcPr>
          <w:p w14:paraId="2A9A6A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V=340м</w:t>
            </w:r>
          </w:p>
        </w:tc>
        <w:tc>
          <w:tcPr>
            <w:tcW w:w="1437" w:type="dxa"/>
          </w:tcPr>
          <w:p w14:paraId="0106503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3CC5103" w14:textId="77777777" w:rsidTr="009223E5">
        <w:tc>
          <w:tcPr>
            <w:tcW w:w="1809" w:type="dxa"/>
          </w:tcPr>
          <w:p w14:paraId="31EF94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2М-87Б оп</w:t>
            </w:r>
          </w:p>
        </w:tc>
        <w:tc>
          <w:tcPr>
            <w:tcW w:w="800" w:type="dxa"/>
          </w:tcPr>
          <w:p w14:paraId="4F30FB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7660</w:t>
            </w:r>
          </w:p>
        </w:tc>
        <w:tc>
          <w:tcPr>
            <w:tcW w:w="800" w:type="dxa"/>
          </w:tcPr>
          <w:p w14:paraId="252768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2х950</w:t>
            </w:r>
          </w:p>
        </w:tc>
        <w:tc>
          <w:tcPr>
            <w:tcW w:w="800" w:type="dxa"/>
          </w:tcPr>
          <w:p w14:paraId="73DF5C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354</w:t>
            </w:r>
          </w:p>
        </w:tc>
        <w:tc>
          <w:tcPr>
            <w:tcW w:w="1144" w:type="dxa"/>
          </w:tcPr>
          <w:p w14:paraId="5AF10C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445/5400</w:t>
            </w:r>
          </w:p>
        </w:tc>
        <w:tc>
          <w:tcPr>
            <w:tcW w:w="751" w:type="dxa"/>
          </w:tcPr>
          <w:p w14:paraId="6C8750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13,59</w:t>
            </w:r>
          </w:p>
        </w:tc>
        <w:tc>
          <w:tcPr>
            <w:tcW w:w="751" w:type="dxa"/>
          </w:tcPr>
          <w:p w14:paraId="1E2EE7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1050" w:type="dxa"/>
          </w:tcPr>
          <w:p w14:paraId="086A33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w:t>
            </w:r>
          </w:p>
        </w:tc>
        <w:tc>
          <w:tcPr>
            <w:tcW w:w="1257" w:type="dxa"/>
          </w:tcPr>
          <w:p w14:paraId="6D3476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437" w:type="dxa"/>
          </w:tcPr>
          <w:p w14:paraId="10C229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w:t>
            </w:r>
          </w:p>
        </w:tc>
      </w:tr>
      <w:tr w:rsidR="007D5DF8" w:rsidRPr="00DB5D0D" w14:paraId="1872A9B0" w14:textId="77777777" w:rsidTr="009223E5">
        <w:tc>
          <w:tcPr>
            <w:tcW w:w="1809" w:type="dxa"/>
          </w:tcPr>
          <w:p w14:paraId="504C98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ВИШ-3</w:t>
            </w:r>
          </w:p>
        </w:tc>
        <w:tc>
          <w:tcPr>
            <w:tcW w:w="800" w:type="dxa"/>
          </w:tcPr>
          <w:p w14:paraId="25754B7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Pr>
          <w:p w14:paraId="1FDCB20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Pr>
          <w:p w14:paraId="70A781C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652B709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51" w:type="dxa"/>
          </w:tcPr>
          <w:p w14:paraId="4E8AFF8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51" w:type="dxa"/>
          </w:tcPr>
          <w:p w14:paraId="457A0AD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050" w:type="dxa"/>
          </w:tcPr>
          <w:p w14:paraId="75FE3B9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57" w:type="dxa"/>
          </w:tcPr>
          <w:p w14:paraId="3541AC4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37B337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26619E3" w14:textId="77777777" w:rsidTr="009223E5">
        <w:tc>
          <w:tcPr>
            <w:tcW w:w="1809" w:type="dxa"/>
          </w:tcPr>
          <w:p w14:paraId="01E47A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ДБ-3Б 2М-87Б сер.</w:t>
            </w:r>
          </w:p>
        </w:tc>
        <w:tc>
          <w:tcPr>
            <w:tcW w:w="800" w:type="dxa"/>
          </w:tcPr>
          <w:p w14:paraId="354288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7500</w:t>
            </w:r>
          </w:p>
        </w:tc>
        <w:tc>
          <w:tcPr>
            <w:tcW w:w="800" w:type="dxa"/>
          </w:tcPr>
          <w:p w14:paraId="5473C2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2х950</w:t>
            </w:r>
          </w:p>
        </w:tc>
        <w:tc>
          <w:tcPr>
            <w:tcW w:w="800" w:type="dxa"/>
          </w:tcPr>
          <w:p w14:paraId="7805E2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345</w:t>
            </w:r>
          </w:p>
        </w:tc>
        <w:tc>
          <w:tcPr>
            <w:tcW w:w="1144" w:type="dxa"/>
          </w:tcPr>
          <w:p w14:paraId="14D8F8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439/4900</w:t>
            </w:r>
          </w:p>
        </w:tc>
        <w:tc>
          <w:tcPr>
            <w:tcW w:w="751" w:type="dxa"/>
          </w:tcPr>
          <w:p w14:paraId="62C61A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12,10</w:t>
            </w:r>
          </w:p>
        </w:tc>
        <w:tc>
          <w:tcPr>
            <w:tcW w:w="751" w:type="dxa"/>
          </w:tcPr>
          <w:p w14:paraId="64FD9D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9600</w:t>
            </w:r>
          </w:p>
        </w:tc>
        <w:tc>
          <w:tcPr>
            <w:tcW w:w="1050" w:type="dxa"/>
          </w:tcPr>
          <w:p w14:paraId="708F4E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3800</w:t>
            </w:r>
          </w:p>
        </w:tc>
        <w:tc>
          <w:tcPr>
            <w:tcW w:w="1257" w:type="dxa"/>
          </w:tcPr>
          <w:p w14:paraId="44B319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437" w:type="dxa"/>
          </w:tcPr>
          <w:p w14:paraId="25DE76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пул.</w:t>
            </w:r>
          </w:p>
        </w:tc>
      </w:tr>
      <w:tr w:rsidR="007D5DF8" w:rsidRPr="00DB5D0D" w14:paraId="22E3C7EA" w14:textId="77777777" w:rsidTr="009223E5">
        <w:tc>
          <w:tcPr>
            <w:tcW w:w="1809" w:type="dxa"/>
            <w:tcBorders>
              <w:bottom w:val="single" w:sz="12" w:space="0" w:color="auto"/>
            </w:tcBorders>
          </w:tcPr>
          <w:p w14:paraId="01FC14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ВИШ-3</w:t>
            </w:r>
          </w:p>
        </w:tc>
        <w:tc>
          <w:tcPr>
            <w:tcW w:w="800" w:type="dxa"/>
            <w:tcBorders>
              <w:bottom w:val="single" w:sz="12" w:space="0" w:color="auto"/>
            </w:tcBorders>
          </w:tcPr>
          <w:p w14:paraId="3E9CD05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Borders>
              <w:bottom w:val="single" w:sz="12" w:space="0" w:color="auto"/>
            </w:tcBorders>
          </w:tcPr>
          <w:p w14:paraId="20F2573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00" w:type="dxa"/>
            <w:tcBorders>
              <w:bottom w:val="single" w:sz="12" w:space="0" w:color="auto"/>
            </w:tcBorders>
          </w:tcPr>
          <w:p w14:paraId="0C093BF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Borders>
              <w:bottom w:val="single" w:sz="12" w:space="0" w:color="auto"/>
            </w:tcBorders>
          </w:tcPr>
          <w:p w14:paraId="594D474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51" w:type="dxa"/>
            <w:tcBorders>
              <w:bottom w:val="single" w:sz="12" w:space="0" w:color="auto"/>
            </w:tcBorders>
          </w:tcPr>
          <w:p w14:paraId="04B4F1A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51" w:type="dxa"/>
            <w:tcBorders>
              <w:bottom w:val="single" w:sz="12" w:space="0" w:color="auto"/>
            </w:tcBorders>
          </w:tcPr>
          <w:p w14:paraId="2CA81CC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050" w:type="dxa"/>
            <w:tcBorders>
              <w:bottom w:val="single" w:sz="12" w:space="0" w:color="auto"/>
            </w:tcBorders>
          </w:tcPr>
          <w:p w14:paraId="4864576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57" w:type="dxa"/>
            <w:tcBorders>
              <w:bottom w:val="single" w:sz="12" w:space="0" w:color="auto"/>
            </w:tcBorders>
          </w:tcPr>
          <w:p w14:paraId="4C7A003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Borders>
              <w:bottom w:val="single" w:sz="12" w:space="0" w:color="auto"/>
            </w:tcBorders>
          </w:tcPr>
          <w:p w14:paraId="7F66B96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17791C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Сроки испытания</w:t>
      </w:r>
    </w:p>
    <w:p w14:paraId="1C4DC2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испытания 5 апреля 1940 г. Самолет закончил испытания 7 мая 1940 г.</w:t>
      </w:r>
    </w:p>
    <w:p w14:paraId="6E3D0D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испытания - 33 дня.</w:t>
      </w:r>
    </w:p>
    <w:p w14:paraId="374E8C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них:</w:t>
      </w:r>
    </w:p>
    <w:p w14:paraId="5B78E7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наземные испытания - 4 дня</w:t>
      </w:r>
    </w:p>
    <w:p w14:paraId="48645A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летные испытания - 15 дней</w:t>
      </w:r>
    </w:p>
    <w:p w14:paraId="4CEA66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перестановка моторов и отладка ВМГ - 6 дней</w:t>
      </w:r>
    </w:p>
    <w:p w14:paraId="576C99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ремонт мотора - 2 дня</w:t>
      </w:r>
    </w:p>
    <w:p w14:paraId="7C381D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ремонт самолета - 2 дня</w:t>
      </w:r>
    </w:p>
    <w:p w14:paraId="0FDD17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произведено 32 полета общей продолжительностью 30 час. 20 мин. из них высотных 8 полетов - продолжительностью 18 час. 10 мин.</w:t>
      </w:r>
    </w:p>
    <w:p w14:paraId="2FEA89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3BA2B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ДБ3-Ф М-88 с винтами ВИШ-23, конструкции инженера С.В.И. и производства завода N 39 гос. испытания прошел неудовлетворительно из-за:</w:t>
      </w:r>
    </w:p>
    <w:p w14:paraId="283133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а) Уменьшения скорости полета на 60 км/час, против запроектированной и на 20 км/час по сравнению с опытным самолетом ДБ3-Ф-2М-87 с ВИШ-3</w:t>
      </w:r>
    </w:p>
    <w:p w14:paraId="029064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Уменьшения дальности полета до 3300 км вместо запроектированной 4000 км</w:t>
      </w:r>
    </w:p>
    <w:p w14:paraId="7864B2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недоведенности системы воздушного охлаждения моторов, благодаря чему при температуре наружного воздуха - 10 градусов и ниже не обеспечивается регулировки и сохранение нормального температурного режима головок цилиндров</w:t>
      </w:r>
    </w:p>
    <w:p w14:paraId="4A1D81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недоведенности моторов М-88.</w:t>
      </w:r>
    </w:p>
    <w:p w14:paraId="68FFBE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Предложить гл. конструктору завода N 39 С.В.И. совместно с дирекцией заводов N 18 и N 39 в кратчайший срок:</w:t>
      </w:r>
    </w:p>
    <w:p w14:paraId="362E1C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довести максимальную скорость до запроектированной</w:t>
      </w:r>
    </w:p>
    <w:p w14:paraId="21FDE3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довести винто-моторную группу самолета</w:t>
      </w:r>
    </w:p>
    <w:p w14:paraId="24048D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устранить дефекты, отмеченные в дефектной ведомости</w:t>
      </w:r>
    </w:p>
    <w:p w14:paraId="5DBF0E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после выполнения вышеизложенных пунктов а, б, в предъявить самолет на контрольные испытания в НИИ ГУАС.</w:t>
      </w:r>
    </w:p>
    <w:p w14:paraId="058C4E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Считать мотор М-88 для нормальной эксплуатации недовведенным по надежности, по температурным режимам масла и расходам горючего.</w:t>
      </w:r>
    </w:p>
    <w:p w14:paraId="72A06C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Краткое описание стрелкового вооружения</w:t>
      </w:r>
    </w:p>
    <w:p w14:paraId="0F6A1F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испытываемого серийного самолета ДБ-3Ф 2М-88 N 390204 состоит из 3-х пулеметов ШКАС калибра 7,62 из них:</w:t>
      </w:r>
    </w:p>
    <w:p w14:paraId="754090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на носовой установке НУ ДБ-3Ф</w:t>
      </w:r>
    </w:p>
    <w:p w14:paraId="48F7B7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на турельной установке СУ ДБ-3</w:t>
      </w:r>
    </w:p>
    <w:p w14:paraId="6250A1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на люковой установке типа УЛУ.</w:t>
      </w:r>
    </w:p>
    <w:p w14:paraId="4A4536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серийного самолета ДБ-3Ф 2М-88 N 390204 отличается от опытного самолета ДБ3Ф 2М88 следующим:</w:t>
      </w:r>
    </w:p>
    <w:p w14:paraId="5C36D1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кассетные бомбодержатели ДЕР-21 стальные вместо дюралевых, что дает увеличение веса на 15 кг.</w:t>
      </w:r>
    </w:p>
    <w:p w14:paraId="3E1230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поставлен электросбрасыватель ЭМБР-2 вместо ЭСБР-5.</w:t>
      </w:r>
    </w:p>
    <w:p w14:paraId="5ACAE3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остальном бомбардировочное вооружение такое же как на опытном самолете ДБ-3Ф 2М-88 (3312).</w:t>
      </w:r>
    </w:p>
    <w:p w14:paraId="347B125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7C56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на заводские испытания был передан самолет В.М.П. 100-2 с 2М-105 (2090,133).</w:t>
      </w:r>
    </w:p>
    <w:p w14:paraId="6D19AD5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1CB4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7 мая по 21 мая 1940 проходили совместные испытания 100-2 2М-105 и разбили в катастрофе (2090,234).</w:t>
      </w:r>
    </w:p>
    <w:p w14:paraId="2155065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E029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Алексеев утвердил протокол макетной комиссии по 103. Приказал все изменения по протоколу выполнить на макете и предъявить макет макетной комиссии к 27 апреля. Представить в НИИ ГУАС КА эскизный проект на утверждение не позднее15 мая 1940 (780,11).</w:t>
      </w:r>
    </w:p>
    <w:p w14:paraId="13AC441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2BD09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мая 1940 Зам. Нач. ГУАС КА комдив А.E.Репин, 9 мая 1941 Князев и 27 мая 1941 Нач. ПГУ НКАП Лукин утвердили Отчет о совместных заводских и гос. испытаниях самолета “С” конструкции В.Ф.Болховитинова в варианте 1 с одним М-103П, которые проводились с 23 декабря 1939 по 4 марта 1940 в НИИ ВВС. </w:t>
      </w:r>
    </w:p>
    <w:p w14:paraId="39249F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ви2р Ша...</w:t>
      </w:r>
    </w:p>
    <w:p w14:paraId="4D0E52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 П Кабанов</w:t>
      </w:r>
    </w:p>
    <w:p w14:paraId="397E75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испытаний: испытаниям подвергался 2-х местный экспериментальный опытный с-т “с” конструкции Болховитинова в варианте с одним мотором М-103П и ВИШ-2 на неудирающихся лыжах (мощность 960 ллс на 4000 м)</w:t>
      </w:r>
    </w:p>
    <w:p w14:paraId="437EBE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4000 кг</w:t>
      </w:r>
    </w:p>
    <w:p w14:paraId="706486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у земли 332 км/час, нагрузка 171 кг/м2,</w:t>
      </w:r>
    </w:p>
    <w:p w14:paraId="5B8C80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граница высотности - 4400 м, макс. скорость 400 км/час при весе 4000 и 2155, 2250 и 2350 оборотах, Рк 920</w:t>
      </w:r>
    </w:p>
    <w:p w14:paraId="38280F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135 км/час</w:t>
      </w:r>
    </w:p>
    <w:p w14:paraId="73D608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700 м, пробег 180 м</w:t>
      </w:r>
    </w:p>
    <w:p w14:paraId="750AC8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3364, цт 28% САХ</w:t>
      </w:r>
    </w:p>
    <w:p w14:paraId="39B2EB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Обнаружена тряска мотора, частый отказ свечей, отказ привода манометра</w:t>
      </w:r>
    </w:p>
    <w:p w14:paraId="2004F3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Давление бензина с высотой падает, как и давление масла</w:t>
      </w:r>
    </w:p>
    <w:p w14:paraId="790E66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Система охлаждения работает нормально</w:t>
      </w:r>
    </w:p>
    <w:p w14:paraId="386EA9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Считать целесообразным не дожидаясь окончания испытаний с-та № 2 приступить к подготовке чертежного хозяйства для постройки опытной серии с-тов</w:t>
      </w:r>
    </w:p>
    <w:p w14:paraId="086433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Подписали Филин 10 апреля, Холопцев, Болховитинов 14 апреля 1940 (788).</w:t>
      </w:r>
    </w:p>
    <w:p w14:paraId="0709FA0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CA19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 Начальник ГУАС комдив Алексеев и Военком ГУАС бригадный комиссар Князев 9 мая 1940 года утвердили Отчет о совместных заводских и гос. испытаниях самолета «С» конструкции Болховитинова в варианте с одним мотором М-103п</w:t>
      </w:r>
    </w:p>
    <w:p w14:paraId="7851F0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Шашков</w:t>
      </w:r>
    </w:p>
    <w:p w14:paraId="7A9339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полковник Кабанов</w:t>
      </w:r>
    </w:p>
    <w:p w14:paraId="7D104D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757D7F1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Дать оценку летным качествам самолета в отношении управляемости, устойчивости, взлетно-посадочных свойств и сложности пилотирования.</w:t>
      </w:r>
    </w:p>
    <w:p w14:paraId="6A8131C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механизмов: фаулер, стабилизатора и дифференциального управления рулями направления и высоты.</w:t>
      </w:r>
    </w:p>
    <w:p w14:paraId="795E8CF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летные характеристики самолета в варианте с одним мотором М-103П и винтом ВИШ-2.</w:t>
      </w:r>
    </w:p>
    <w:p w14:paraId="3B5276A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внутренние и внешние давления на капоте мотора.</w:t>
      </w:r>
    </w:p>
    <w:p w14:paraId="659EFB5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Дать оценку схемам водо-масло и бензо систем и оборудованию самолета.</w:t>
      </w:r>
    </w:p>
    <w:p w14:paraId="1F1D69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Испытанию подвергался (2-х местный) экспериментально-опытный самолет «С» конструкции Болховитинова в варианте с одним мотором М-103п и винтом ВИШ-2 на неубирающихся лыжах.</w:t>
      </w:r>
    </w:p>
    <w:p w14:paraId="4673FA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самолет представляет из себя цельнометаллический моноплан с низкорасположенным крылом и двухкилевым хвостом. Мотор расположен впереди фюзеляжа.</w:t>
      </w:r>
    </w:p>
    <w:p w14:paraId="6A50E8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CFF447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полученные в полете на самолете № 1 позволяют приступить к испытанию самолета «С» № 2 с двумя моторами-спаркой и винтами-автоматами конструкции КБ ВВС, вполне обеспечивая безопасность в отношении управляемости, надежности работы испытанных механизмов прочности и вибропрочности до скоростей, достигнутых при испытании самолета № 1.</w:t>
      </w:r>
    </w:p>
    <w:p w14:paraId="27F2036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необходимым не дожидаясь окончания испытания самолета № 2, приступить к подготовке чертежного хозяйства для постройки опытной серии самолетов.</w:t>
      </w:r>
    </w:p>
    <w:p w14:paraId="0A78C0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испытание – 23 декабря 1939 года</w:t>
      </w:r>
    </w:p>
    <w:p w14:paraId="557869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Разрешение на первый вылет получено от наркома Авиапрома – 26 января 1940 года</w:t>
      </w:r>
    </w:p>
    <w:p w14:paraId="077928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вылет произведен – 27 января 1940 года</w:t>
      </w:r>
    </w:p>
    <w:p w14:paraId="4E011C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закончены – 4 марта 1940 года</w:t>
      </w:r>
    </w:p>
    <w:p w14:paraId="1BA325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 38 дней, из них самолет летал – 14 дней</w:t>
      </w:r>
    </w:p>
    <w:p w14:paraId="5CD4CF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полетов – 29</w:t>
      </w:r>
    </w:p>
    <w:p w14:paraId="6B3345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Налет – 12 час. 25 мин. (4529).</w:t>
      </w:r>
    </w:p>
    <w:p w14:paraId="28EDF6E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2669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7 мая по 28 августа 1940 проходили заводские испытания И-200-2 АМ-35А (2090,324).</w:t>
      </w:r>
    </w:p>
    <w:p w14:paraId="78AAC61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7F4C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летчик-ис</w:t>
      </w:r>
      <w:r w:rsidRPr="00DB5D0D">
        <w:rPr>
          <w:rFonts w:ascii="Times New Roman" w:hAnsi="Times New Roman"/>
          <w:color w:val="000000" w:themeColor="text1"/>
          <w:sz w:val="16"/>
          <w:szCs w:val="16"/>
        </w:rPr>
        <w:softHyphen/>
        <w:t>пытатель И.Т.Иващенко после выполнения полетно</w:t>
      </w:r>
      <w:r w:rsidRPr="00DB5D0D">
        <w:rPr>
          <w:rFonts w:ascii="Times New Roman" w:hAnsi="Times New Roman"/>
          <w:color w:val="000000" w:themeColor="text1"/>
          <w:sz w:val="16"/>
          <w:szCs w:val="16"/>
        </w:rPr>
        <w:softHyphen/>
        <w:t>го задания на посадке потерпел аварию на самолете И-200 зав. № 02 АМ—37 из-за отказа мотора. Самолет был разбит и восстановлению не подлежал. Как показало расследование, авария про</w:t>
      </w:r>
      <w:r w:rsidRPr="00DB5D0D">
        <w:rPr>
          <w:rFonts w:ascii="Times New Roman" w:hAnsi="Times New Roman"/>
          <w:color w:val="000000" w:themeColor="text1"/>
          <w:sz w:val="16"/>
          <w:szCs w:val="16"/>
        </w:rPr>
        <w:softHyphen/>
        <w:t>изошла вследствие полной выработки топлива из центропланных баков и несвоевременного переклю</w:t>
      </w:r>
      <w:r w:rsidRPr="00DB5D0D">
        <w:rPr>
          <w:rFonts w:ascii="Times New Roman" w:hAnsi="Times New Roman"/>
          <w:color w:val="000000" w:themeColor="text1"/>
          <w:sz w:val="16"/>
          <w:szCs w:val="16"/>
        </w:rPr>
        <w:softHyphen/>
        <w:t>чения летчиком питания на фюзеляжный бак. Даль</w:t>
      </w:r>
      <w:r w:rsidRPr="00DB5D0D">
        <w:rPr>
          <w:rFonts w:ascii="Times New Roman" w:hAnsi="Times New Roman"/>
          <w:color w:val="000000" w:themeColor="text1"/>
          <w:sz w:val="16"/>
          <w:szCs w:val="16"/>
        </w:rPr>
        <w:softHyphen/>
        <w:t>нейшая отработка винтомоторной группы с двигате</w:t>
      </w:r>
      <w:r w:rsidRPr="00DB5D0D">
        <w:rPr>
          <w:rFonts w:ascii="Times New Roman" w:hAnsi="Times New Roman"/>
          <w:color w:val="000000" w:themeColor="text1"/>
          <w:sz w:val="16"/>
          <w:szCs w:val="16"/>
        </w:rPr>
        <w:softHyphen/>
        <w:t>лем АМ—37 проводилась на истребителе МиГ—3 (9984).</w:t>
      </w:r>
    </w:p>
    <w:p w14:paraId="10A9C8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C76C3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Зам. НКАП Воронин писал письмо № Н-36/714</w:t>
      </w:r>
    </w:p>
    <w:p w14:paraId="533B1E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ГУАС КА КОМДИВУ т. Алексееву</w:t>
      </w:r>
    </w:p>
    <w:p w14:paraId="1E2108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Копия - КОМИТЕТ ОБОРОНЫ при СНК СССР</w:t>
      </w:r>
    </w:p>
    <w:p w14:paraId="746278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КОНТРОЛЕРУ т. НОВИКОВУ</w:t>
      </w:r>
    </w:p>
    <w:p w14:paraId="00A44F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w:t>
      </w:r>
      <w:r w:rsidRPr="00DB5D0D">
        <w:rPr>
          <w:rFonts w:ascii="Times New Roman" w:hAnsi="Times New Roman"/>
          <w:smallCaps/>
          <w:color w:val="000000" w:themeColor="text1"/>
          <w:sz w:val="16"/>
          <w:szCs w:val="16"/>
        </w:rPr>
        <w:t xml:space="preserve">вопросу </w:t>
      </w:r>
      <w:r w:rsidRPr="00DB5D0D">
        <w:rPr>
          <w:rFonts w:ascii="Times New Roman" w:hAnsi="Times New Roman"/>
          <w:color w:val="000000" w:themeColor="text1"/>
          <w:sz w:val="16"/>
          <w:szCs w:val="16"/>
        </w:rPr>
        <w:t>перевооружения самолетов И-16</w:t>
      </w:r>
    </w:p>
    <w:p w14:paraId="3A90BE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Согласно плана на перевооружение И-16, утвержденного Вами и присланного в НКАП для руководства, за март-апрель ме</w:t>
      </w:r>
      <w:r w:rsidRPr="00DB5D0D">
        <w:rPr>
          <w:rFonts w:ascii="Times New Roman" w:hAnsi="Times New Roman"/>
          <w:color w:val="000000" w:themeColor="text1"/>
          <w:sz w:val="16"/>
          <w:szCs w:val="16"/>
        </w:rPr>
        <w:softHyphen/>
        <w:t>сяцы было намечено проведение перевооружения по 7 округам (МВО, ЛВО, КОВО, ЗАКВО, ОДВО, БОВО и КАЛВО) с подачей в эти округа ГУАС КА в течение марта 178 моторов и в апреле 247.</w:t>
      </w:r>
    </w:p>
    <w:p w14:paraId="5DD86A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отгружено, начиная с 24/Ш - 83 мотора и 11.04 еще 15 моторов, причем в округа ЛВО, КОВО, КАЛВО и БОВО не послано ни одного штора.</w:t>
      </w:r>
    </w:p>
    <w:p w14:paraId="527855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МВО выделено 33 мотора, но не дано ни одной машины для перевооружения, а первая подача обещана 03.05 с. г.</w:t>
      </w:r>
    </w:p>
    <w:p w14:paraId="6D6D6C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ЗАКВО послано 15 моторов в период с 24.Ш - 30.03, а в ОДВО - 15 моторов 11.04.</w:t>
      </w:r>
    </w:p>
    <w:p w14:paraId="19E92C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Такое положение с подачей шторов и самолетов в то время, как в указанных округах имеются детали на перевооружение и выделены бригады, срывает всю работу.</w:t>
      </w:r>
    </w:p>
    <w:p w14:paraId="21645E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вмешательства и указания аппарату ГУАС КА необходимость точного выполнения утвержденного Вами плана (10493,167).</w:t>
      </w:r>
    </w:p>
    <w:p w14:paraId="22801F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8370E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 нарком ВМФ флагман флота 2 ранга Кузнецов писал письмо N 1830сс Шахурину.</w:t>
      </w:r>
    </w:p>
    <w:p w14:paraId="6323ED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пересмотром вопроса о постройке тяжелых 4-х моторных самолетов, мною, перед КО, поставлен вопрос о возобновлении на заводе N 30 работ по серийному производству самолетов МТБ-2 и о постройке нового опытного 4-х моторного тяжелого морского бомбардировщика.</w:t>
      </w:r>
    </w:p>
    <w:p w14:paraId="746D92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Копию проекта постановления КО по этому вопросу, прилагаемую при письме, по завизировании прошу Вас направить в КО при СНК.</w:t>
      </w:r>
    </w:p>
    <w:p w14:paraId="2A9703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Копия проекта постановления КО на 2 листах, только адресату (1193,222).</w:t>
      </w:r>
    </w:p>
    <w:p w14:paraId="7E764C3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5781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 постановление № 198сс КО</w:t>
      </w:r>
    </w:p>
    <w:p w14:paraId="07210D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постройке мощного авиационного дизеля АН-4</w:t>
      </w:r>
    </w:p>
    <w:p w14:paraId="1A096F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770F804A" w14:textId="77777777" w:rsidR="00A25AD1" w:rsidRPr="00DB5D0D" w:rsidRDefault="00A25AD1" w:rsidP="00DB5D0D">
      <w:pPr>
        <w:pStyle w:val="24"/>
        <w:widowControl/>
        <w:tabs>
          <w:tab w:val="left" w:pos="360"/>
        </w:tabs>
        <w:rPr>
          <w:color w:val="000000" w:themeColor="text1"/>
        </w:rPr>
      </w:pPr>
      <w:r w:rsidRPr="00DB5D0D">
        <w:rPr>
          <w:color w:val="000000" w:themeColor="text1"/>
        </w:rPr>
        <w:t>Обязать НКАП – Шахурина А.И. построить на заводе № 82 в кооперации с заводами №№ 24, 20, 219, 95, 34, 132, ЦИАМ и Оргоборонпром, мощный авиационный двухтактный дизель АН-4 конструкции ОТБ НКВД со следующими тактико-техническими данными:</w:t>
      </w:r>
    </w:p>
    <w:p w14:paraId="28B99B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 2200 л.с.</w:t>
      </w:r>
    </w:p>
    <w:p w14:paraId="739550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 2000 л.с.</w:t>
      </w:r>
    </w:p>
    <w:p w14:paraId="4248A6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8000 м</w:t>
      </w:r>
    </w:p>
    <w:p w14:paraId="78277B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вес не более – 0,75 кг/л.с.</w:t>
      </w:r>
    </w:p>
    <w:p w14:paraId="1DBB92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топлива не более 185 гр/л.с.час.</w:t>
      </w:r>
    </w:p>
    <w:p w14:paraId="3FFFC19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следующие сроки работы над дизелем АН-4:</w:t>
      </w:r>
    </w:p>
    <w:p w14:paraId="51B2D2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изготовление первых 10-ти экземпляров:</w:t>
      </w:r>
    </w:p>
    <w:p w14:paraId="545413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экземпляра – в декабре 1940 года</w:t>
      </w:r>
    </w:p>
    <w:p w14:paraId="386B4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экземпляра – в марте 1941 года</w:t>
      </w:r>
    </w:p>
    <w:p w14:paraId="05AF12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экземпляра – в мае 1941 года</w:t>
      </w:r>
    </w:p>
    <w:p w14:paraId="286439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экземпляра – в июле 1941 года</w:t>
      </w:r>
    </w:p>
    <w:p w14:paraId="280DD7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проведение 50-ти часовых совместных (НКО и НКАП) испытаний – в июле 1941 года;</w:t>
      </w:r>
    </w:p>
    <w:p w14:paraId="361C32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проведение 100-часовых госиспытаний – в декабре 1941 года.</w:t>
      </w:r>
    </w:p>
    <w:p w14:paraId="72D5DB2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Разрешить НКАП Шахурину А.И. израсходовать на премирование работников, занятых на изготовлении дизеля АН-4 при выполнении всех работ в срок 4000000 рублей …………………</w:t>
      </w:r>
    </w:p>
    <w:p w14:paraId="1146657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НКВД (ОТБ) разработать проект скоростного двухмоторного бомбардировщика дальнего действия под дизель АН-4 и представить его на утверждение КО не позднее июля 1940 года.</w:t>
      </w:r>
    </w:p>
    <w:p w14:paraId="54AEE2C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(завод № 28) спроектировать и изготовить винт изменяемого в полете шага к дизелю АН-4 в количестве 5-ти экземпляров к 1 ноября 1940 года.</w:t>
      </w:r>
    </w:p>
    <w:p w14:paraId="543F3C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18FEAB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Обязать НКАвиапром выделить на заводах № 82 и 24 необхо</w:t>
      </w:r>
      <w:r w:rsidRPr="00DB5D0D">
        <w:rPr>
          <w:rFonts w:ascii="Times New Roman" w:hAnsi="Times New Roman"/>
          <w:color w:val="000000" w:themeColor="text1"/>
          <w:sz w:val="16"/>
          <w:szCs w:val="16"/>
        </w:rPr>
        <w:softHyphen/>
        <w:t>димое помещение для конструкторско-технологического бюро ОТБ-НКВД, работающего над дизелем АН-4 в пополнить в месячный срок состав этого бюро, на время работы над дизелем АН-4 - вольнонаемными конструкторами, технологами, чертежниками и коппровщиками в количестве 80 человек.</w:t>
      </w:r>
    </w:p>
    <w:p w14:paraId="7D1258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Обязать НКВД - тов.Берия Л.П. и НКАвиапром - т. Шахурина А.И. обеспечить полную секретность производства и использования двзеля АН-4, В дальнейшем именовать авиадизель АН-4 - мотором М-20 ССР(7611, 43-45).</w:t>
      </w:r>
    </w:p>
    <w:p w14:paraId="43EA5A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09C22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вышло постановление КО N 198сс "О постройке мощного авиационного дизеля АН-4". Обязали НКАП построить на заводе 82 в кооперации с заводами 24, 20, 219, 95, 34, 132, ЦИАМ. Конструкция ОТБ НКВД, мощность 2200 л.с. Хотели сделать первые два в декабре 1940 и передать на 100 час. гос. испытания в декабре 1941 (1292,5).</w:t>
      </w:r>
    </w:p>
    <w:p w14:paraId="50D7E79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DD9F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вышло постановление КО N 198сс (1296,236), поручившее В.Я.Климову на 16 заводе изготовить дизельный мотор М-20 конструкции ОТБ и провести 50 часовые испытания в июле 1941, а 100 часовые - в декабре 1941 (822).</w:t>
      </w:r>
    </w:p>
    <w:p w14:paraId="2236D1F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2249F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 вышло постановление КО № 198сс</w:t>
      </w:r>
    </w:p>
    <w:p w14:paraId="3A7BB8D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82.</w:t>
      </w:r>
    </w:p>
    <w:p w14:paraId="376F91A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мотор М-20 конструкции ОТБ НКВД.</w:t>
      </w:r>
    </w:p>
    <w:p w14:paraId="4E32D92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2200 л.с.</w:t>
      </w:r>
    </w:p>
    <w:p w14:paraId="0FC19D3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2000 л.с. на высоте 8000 м.</w:t>
      </w:r>
    </w:p>
    <w:p w14:paraId="11B8031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50-часовые совместные испытания в июле 1941 года.</w:t>
      </w:r>
    </w:p>
    <w:p w14:paraId="5B5C771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100-часовые совместные испытания в декабре 1941 года (4048, 4).</w:t>
      </w:r>
    </w:p>
    <w:p w14:paraId="05512AA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5DE5A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состоялось 12 заседание коллегии НКАП:</w:t>
      </w:r>
    </w:p>
    <w:p w14:paraId="0E44C6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Материалы к повышению квалификации ИТР АП (Кузнецов, А.С.Я.).</w:t>
      </w:r>
    </w:p>
    <w:p w14:paraId="7F7305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 ходе строительства и изменениях в плане кап. строительства на 1940 (1182).</w:t>
      </w:r>
    </w:p>
    <w:p w14:paraId="7A99CFC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C610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приказом НКАП Г.А.Мищенко был назначен ли завода 21 (863,157).</w:t>
      </w:r>
    </w:p>
    <w:p w14:paraId="3E80DD7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BC5A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приказом НКАП Н.И.Лаухин был назначен ли завода 22 (863,158).</w:t>
      </w:r>
    </w:p>
    <w:p w14:paraId="04E5AC5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1053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7 мая по 22 июня 1940 года на НИП АВ проходили полигонные испытания осколочных бомб АО-20 опытного суррогатного снаряжения 1939 года, завода № 55</w:t>
      </w:r>
    </w:p>
    <w:p w14:paraId="5F54B9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504CD6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2EDF52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определить:</w:t>
      </w:r>
    </w:p>
    <w:p w14:paraId="48731F8B"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w:t>
      </w:r>
    </w:p>
    <w:p w14:paraId="038E04E5" w14:textId="77777777" w:rsidR="00A25AD1" w:rsidRPr="00DB5D0D" w:rsidRDefault="00A25AD1"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7A5E8028"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действия.</w:t>
      </w:r>
    </w:p>
    <w:p w14:paraId="16677CD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на траектории.</w:t>
      </w:r>
    </w:p>
    <w:p w14:paraId="1B2DE7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B1142F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АО-20, снаряженные АМТ 80/20 и АМН 88/12 набивкой 1939 года завода № 55 по осколочному действию и дроблению корпуса бомбы ВВ в сравнении со штатной бомбой АО-20 дали неудовлетворительные результаты и полигонные испытания не выдержали (7553).</w:t>
      </w:r>
    </w:p>
    <w:p w14:paraId="704293F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4534025D" w14:textId="77777777" w:rsidR="004075DF" w:rsidRPr="00DB5D0D" w:rsidRDefault="004075DF"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bCs/>
          <w:iCs/>
          <w:color w:val="000000" w:themeColor="text1"/>
          <w:sz w:val="16"/>
          <w:szCs w:val="16"/>
        </w:rPr>
        <w:t>7-15 мая 1940 г.</w:t>
      </w:r>
      <w:r w:rsidRPr="00DB5D0D">
        <w:rPr>
          <w:rFonts w:ascii="Times New Roman" w:hAnsi="Times New Roman"/>
          <w:color w:val="000000" w:themeColor="text1"/>
          <w:sz w:val="16"/>
          <w:szCs w:val="16"/>
        </w:rPr>
        <w:t xml:space="preserve"> Химические сборы химизированных звеньев частей ВВС ЗабВО с участием самолетов, приспособленных для использования имеющегося химического оружия. Израсходовано 2,5 тонны иприта. Вывод: </w:t>
      </w:r>
      <w:r w:rsidRPr="00DB5D0D">
        <w:rPr>
          <w:rFonts w:ascii="Times New Roman" w:hAnsi="Times New Roman"/>
          <w:iCs/>
          <w:color w:val="000000" w:themeColor="text1"/>
          <w:sz w:val="16"/>
          <w:szCs w:val="16"/>
        </w:rPr>
        <w:t>«сборы показали мощь химического оружия ВВС» (17133).</w:t>
      </w:r>
    </w:p>
    <w:p w14:paraId="774B7F20" w14:textId="77777777" w:rsidR="004075DF" w:rsidRPr="00DB5D0D" w:rsidRDefault="004075DF" w:rsidP="00DB5D0D">
      <w:pPr>
        <w:shd w:val="clear" w:color="auto" w:fill="FFFFFF"/>
        <w:spacing w:after="0" w:line="240" w:lineRule="auto"/>
        <w:jc w:val="both"/>
        <w:rPr>
          <w:rFonts w:ascii="Times New Roman" w:hAnsi="Times New Roman"/>
          <w:iCs/>
          <w:color w:val="000000" w:themeColor="text1"/>
          <w:sz w:val="16"/>
          <w:szCs w:val="16"/>
        </w:rPr>
      </w:pPr>
    </w:p>
    <w:p w14:paraId="2658EA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Королева ознакомили с постановлением о назначении экспертной комиссии. Он согласился с ее составом и поставленными вопросами (11837).</w:t>
      </w:r>
    </w:p>
    <w:p w14:paraId="3C2B343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7EC14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9CA7DF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84F42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 вышел приказ № 122 НКВ Во исполнение Указа Президиума ВС от 26 апреля 1940 года «О передаче завода скобяных изделий в Загорске НК местпрома РСФСР в систему НКВ» (9185).</w:t>
      </w:r>
    </w:p>
    <w:p w14:paraId="43A9885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E057F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0E9B307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2A007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вышли указы об установлении генеральских и адмиральских званий и дипломатических рангов (3907,360).</w:t>
      </w:r>
    </w:p>
    <w:p w14:paraId="003E16B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8F9437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наркомом обороны СССР вместо К. Ворошилова назначен С. Тимошенко (4962).</w:t>
      </w:r>
    </w:p>
    <w:p w14:paraId="3D9E0AC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310D8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новый нарком обороны С.К.Тимошенко, сменивший К.Е.В. (3891), предложил увеличить число стрелковых дивизий со 117 до 166 - результат успеха немцев в Европе (1015,19).</w:t>
      </w:r>
    </w:p>
    <w:p w14:paraId="684C914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C6E91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 был издан Указ Президиума Верховного Совета СССР о назначении К. Е. Ворошилова заместителем Председателя Совета Народных Комиссаров СССР и председателем Комитета Обороны при СНК СССР, а также о назначении Маршала Советского Союза С. К. Тимошенко народным комиссаром обороны СССР с освобождением его от обязанностей командующего войсками Киевского особого военного округа (Русский архив. Великая Отечественная... Т. 13 (2—1). Док. № 62) (11773).</w:t>
      </w:r>
    </w:p>
    <w:p w14:paraId="18D9A8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124C9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 12.00. Протокольная запись №4 заседания комиссии ГВС"</w:t>
      </w:r>
    </w:p>
    <w:p w14:paraId="2B57B7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 Ворошилов, Буденный, Кулик, Локтионов, Проскуров, Щаденко, Штерн, Мерецков, Воронов, Городовиков, Курдюмов, Смородинов ...***</w:t>
      </w:r>
    </w:p>
    <w:p w14:paraId="5F31E6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Слушали:</w:t>
      </w:r>
    </w:p>
    <w:p w14:paraId="186C04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 xml:space="preserve">На повестке дня стоят вопросы рассмотрения </w:t>
      </w:r>
      <w:r w:rsidRPr="00DB5D0D">
        <w:rPr>
          <w:rFonts w:ascii="Times New Roman" w:hAnsi="Times New Roman"/>
          <w:iCs/>
          <w:color w:val="000000" w:themeColor="text1"/>
          <w:sz w:val="16"/>
          <w:szCs w:val="16"/>
        </w:rPr>
        <w:t>системы инженерного вооружения, горючего и мехтяги для артиллерии и автотранспорт.</w:t>
      </w:r>
    </w:p>
    <w:p w14:paraId="02EBA6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думаю, что мы начнем с системы инженерного вооружения.</w:t>
      </w:r>
    </w:p>
    <w:p w14:paraId="256320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Ковалев: </w:t>
      </w:r>
      <w:r w:rsidRPr="00DB5D0D">
        <w:rPr>
          <w:rFonts w:ascii="Times New Roman" w:hAnsi="Times New Roman"/>
          <w:color w:val="000000" w:themeColor="text1"/>
          <w:sz w:val="16"/>
          <w:szCs w:val="16"/>
        </w:rPr>
        <w:t>Мы не рассматривали кабельного хозяйства и транспортировки средств связи, предлагаю на этом заседании рассмотреть.</w:t>
      </w:r>
    </w:p>
    <w:p w14:paraId="66F16E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Предлагаю возложить эту работу на комиссию.</w:t>
      </w:r>
    </w:p>
    <w:p w14:paraId="571A7A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эту работу возложить на комиссию по выработке проекта постановления по системе вооружения связи, и потом, когда будем принимать постановление, обсудим.</w:t>
      </w:r>
    </w:p>
    <w:p w14:paraId="2DEB6E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Принимается предложение т. Ворошилова.</w:t>
      </w:r>
    </w:p>
    <w:p w14:paraId="3BE8F3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Предоставляю слово т. Петрову.</w:t>
      </w:r>
    </w:p>
    <w:p w14:paraId="72DC44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u w:val="single"/>
        </w:rPr>
        <w:t>Переправочные средства.</w:t>
      </w:r>
    </w:p>
    <w:p w14:paraId="074CFD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Парк «СТ-19» (индивидуальный парк). </w:t>
      </w:r>
      <w:r w:rsidRPr="00DB5D0D">
        <w:rPr>
          <w:rFonts w:ascii="Times New Roman" w:hAnsi="Times New Roman"/>
          <w:color w:val="000000" w:themeColor="text1"/>
          <w:sz w:val="16"/>
          <w:szCs w:val="16"/>
        </w:rPr>
        <w:t>Средство для р. Амура, длина — 1100 м, грузоподъемность— 32 т. Усиленный: длина— 1660 м, грузоподъемность — 60 т, пропускает железнодорожный состав с паровозом «OB» — 22 вагона. Предлагаю оставить на вооружении.</w:t>
      </w:r>
    </w:p>
    <w:p w14:paraId="2FADD8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Ост[авить].</w:t>
      </w:r>
    </w:p>
    <w:p w14:paraId="3B6503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Этот парк может держаться на любой реке.</w:t>
      </w:r>
    </w:p>
    <w:p w14:paraId="2D4BE8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Он не хватает для р. Амура.</w:t>
      </w:r>
    </w:p>
    <w:p w14:paraId="5420AE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Нужно удлинить.</w:t>
      </w:r>
    </w:p>
    <w:p w14:paraId="04C816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Можем перегонять паровоз 32 т.</w:t>
      </w:r>
    </w:p>
    <w:p w14:paraId="0B2061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Сколько весит тяжелый паровоз?</w:t>
      </w:r>
    </w:p>
    <w:p w14:paraId="745815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Не знаю.</w:t>
      </w:r>
    </w:p>
    <w:p w14:paraId="722ADB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Парк «Н-2П» </w:t>
      </w:r>
      <w:r w:rsidRPr="00DB5D0D">
        <w:rPr>
          <w:rFonts w:ascii="Times New Roman" w:hAnsi="Times New Roman"/>
          <w:color w:val="000000" w:themeColor="text1"/>
          <w:sz w:val="16"/>
          <w:szCs w:val="16"/>
        </w:rPr>
        <w:t>для мостов, переправа армейских грузов. Грузоподъемность — 12—16 т, а усиленный — 139 м, грузоподъемность — 30 т. Может наводиться неразрывный мост грузоподъемностью 50 т. Предлагаю оставить на вооружении.</w:t>
      </w:r>
    </w:p>
    <w:p w14:paraId="7141D4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r w:rsidRPr="00DB5D0D">
        <w:rPr>
          <w:rFonts w:ascii="Times New Roman" w:hAnsi="Times New Roman"/>
          <w:iCs/>
          <w:color w:val="000000" w:themeColor="text1"/>
          <w:sz w:val="16"/>
          <w:szCs w:val="16"/>
        </w:rPr>
        <w:t xml:space="preserve">«НЛП» </w:t>
      </w:r>
      <w:r w:rsidRPr="00DB5D0D">
        <w:rPr>
          <w:rFonts w:ascii="Times New Roman" w:hAnsi="Times New Roman"/>
          <w:color w:val="000000" w:themeColor="text1"/>
          <w:sz w:val="16"/>
          <w:szCs w:val="16"/>
        </w:rPr>
        <w:t>— для дивизионных и корпусных грузов, длина — 99 м, ширина — 2,6 м, грузоподъемность — 9 т, усиленный: грузоподъемность — 12 т. Предлагаю оставить на вооружении.</w:t>
      </w:r>
    </w:p>
    <w:p w14:paraId="058022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 xml:space="preserve">«НДП-3» на лодках </w:t>
      </w:r>
      <w:r w:rsidRPr="00DB5D0D">
        <w:rPr>
          <w:rFonts w:ascii="Times New Roman" w:hAnsi="Times New Roman"/>
          <w:color w:val="000000" w:themeColor="text1"/>
          <w:sz w:val="16"/>
          <w:szCs w:val="16"/>
        </w:rPr>
        <w:t>— для наводки мостов под дивизионные и корпусные грузы. Длина — 90 м, ширина — 2,55 м, грузоподъемность — 9 т; усиленный: грузоподъемность — 14 т. Мы предлагаем оставить парк «НДП-3» до тех пор, пока мы через промышленность получим парки «НДП».</w:t>
      </w:r>
    </w:p>
    <w:p w14:paraId="1FC804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Буденный: </w:t>
      </w:r>
      <w:r w:rsidRPr="00DB5D0D">
        <w:rPr>
          <w:rFonts w:ascii="Times New Roman" w:hAnsi="Times New Roman"/>
          <w:color w:val="000000" w:themeColor="text1"/>
          <w:sz w:val="16"/>
          <w:szCs w:val="16"/>
        </w:rPr>
        <w:t>Какова грузоподъемность парка «Н-2П»?</w:t>
      </w:r>
    </w:p>
    <w:p w14:paraId="57527A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16 т.</w:t>
      </w:r>
    </w:p>
    <w:p w14:paraId="12286E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Буденный: </w:t>
      </w:r>
      <w:r w:rsidRPr="00DB5D0D">
        <w:rPr>
          <w:rFonts w:ascii="Times New Roman" w:hAnsi="Times New Roman"/>
          <w:color w:val="000000" w:themeColor="text1"/>
          <w:sz w:val="16"/>
          <w:szCs w:val="16"/>
        </w:rPr>
        <w:t>Маловато. У нас нет парков для пропусков тяжелых танков, армейский парк не может пропустить тяжелых танков.</w:t>
      </w:r>
    </w:p>
    <w:p w14:paraId="342C6C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Мы в этом году разрабатываем парк от 50 до 80 т и пустим в производство в 1941 г.</w:t>
      </w:r>
    </w:p>
    <w:p w14:paraId="2750F4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Буденный: </w:t>
      </w:r>
      <w:r w:rsidRPr="00DB5D0D">
        <w:rPr>
          <w:rFonts w:ascii="Times New Roman" w:hAnsi="Times New Roman"/>
          <w:color w:val="000000" w:themeColor="text1"/>
          <w:sz w:val="16"/>
          <w:szCs w:val="16"/>
        </w:rPr>
        <w:t>Это хорошо.</w:t>
      </w:r>
    </w:p>
    <w:p w14:paraId="67AF3E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Предлагаю парк «НДП-3» снять с производства, а на вооружении пока оставить.</w:t>
      </w:r>
    </w:p>
    <w:p w14:paraId="49068B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Надо упростить шифровку наших переправочных средств, сделать попроще. Подумайте.</w:t>
      </w:r>
    </w:p>
    <w:p w14:paraId="1B352C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 xml:space="preserve">5. </w:t>
      </w:r>
      <w:r w:rsidRPr="00DB5D0D">
        <w:rPr>
          <w:rFonts w:ascii="Times New Roman" w:hAnsi="Times New Roman"/>
          <w:iCs/>
          <w:color w:val="000000" w:themeColor="text1"/>
          <w:sz w:val="16"/>
          <w:szCs w:val="16"/>
        </w:rPr>
        <w:t xml:space="preserve">Лодка «A3» — </w:t>
      </w:r>
      <w:r w:rsidRPr="00DB5D0D">
        <w:rPr>
          <w:rFonts w:ascii="Times New Roman" w:hAnsi="Times New Roman"/>
          <w:color w:val="000000" w:themeColor="text1"/>
          <w:sz w:val="16"/>
          <w:szCs w:val="16"/>
        </w:rPr>
        <w:t>средство стрелкового полка. Предлагаю оставить на вооружении.</w:t>
      </w:r>
    </w:p>
    <w:p w14:paraId="61FE97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w:t>
      </w:r>
      <w:r w:rsidRPr="00DB5D0D">
        <w:rPr>
          <w:rFonts w:ascii="Times New Roman" w:hAnsi="Times New Roman"/>
          <w:iCs/>
          <w:color w:val="000000" w:themeColor="text1"/>
          <w:sz w:val="16"/>
          <w:szCs w:val="16"/>
        </w:rPr>
        <w:t xml:space="preserve">Малонадувная лодка </w:t>
      </w:r>
      <w:r w:rsidRPr="00DB5D0D">
        <w:rPr>
          <w:rFonts w:ascii="Times New Roman" w:hAnsi="Times New Roman"/>
          <w:color w:val="000000" w:themeColor="text1"/>
          <w:sz w:val="16"/>
          <w:szCs w:val="16"/>
        </w:rPr>
        <w:t>— средство разведчастей. Предлагаю оставить на вооружении.</w:t>
      </w:r>
    </w:p>
    <w:p w14:paraId="7F09AF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Разработана </w:t>
      </w:r>
      <w:r w:rsidRPr="00DB5D0D">
        <w:rPr>
          <w:rFonts w:ascii="Times New Roman" w:hAnsi="Times New Roman"/>
          <w:iCs/>
          <w:color w:val="000000" w:themeColor="text1"/>
          <w:sz w:val="16"/>
          <w:szCs w:val="16"/>
        </w:rPr>
        <w:t xml:space="preserve">лодка десантная складная </w:t>
      </w:r>
      <w:r w:rsidRPr="00DB5D0D">
        <w:rPr>
          <w:rFonts w:ascii="Times New Roman" w:hAnsi="Times New Roman"/>
          <w:color w:val="000000" w:themeColor="text1"/>
          <w:sz w:val="16"/>
          <w:szCs w:val="16"/>
        </w:rPr>
        <w:t xml:space="preserve">— из фанеры на 12 чел. </w:t>
      </w: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Вес лодки?</w:t>
      </w:r>
    </w:p>
    <w:p w14:paraId="31AD1D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12 лодок перевозим на машине «ЗИС-5», вес лодок 180 кг.</w:t>
      </w:r>
    </w:p>
    <w:p w14:paraId="5952DF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Воронов: </w:t>
      </w:r>
      <w:r w:rsidRPr="00DB5D0D">
        <w:rPr>
          <w:rFonts w:ascii="Times New Roman" w:hAnsi="Times New Roman"/>
          <w:color w:val="000000" w:themeColor="text1"/>
          <w:sz w:val="16"/>
          <w:szCs w:val="16"/>
        </w:rPr>
        <w:t>Почему мы должны отказаться от лодочного парка?</w:t>
      </w:r>
    </w:p>
    <w:p w14:paraId="5B5B87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На Халхин-Голе опыт показал, что парк не годится, при течении 3 м/с мост рвет, не пропускает корпусной артиллерии, а если заставить всю реку лодками, то не выдерживают стропы — летят. При попадании пуль лодка тонет, мы хотим заменить эти лодки на фанерные. В 1940 г. делаем 32 шт. фанерных лодок.</w:t>
      </w:r>
    </w:p>
    <w:p w14:paraId="615F89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Тов. Воронов, Вас удовлетворяет ответ?</w:t>
      </w:r>
    </w:p>
    <w:p w14:paraId="2923F3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Воронов: </w:t>
      </w:r>
      <w:r w:rsidRPr="00DB5D0D">
        <w:rPr>
          <w:rFonts w:ascii="Times New Roman" w:hAnsi="Times New Roman"/>
          <w:color w:val="000000" w:themeColor="text1"/>
          <w:sz w:val="16"/>
          <w:szCs w:val="16"/>
        </w:rPr>
        <w:t>Нет. Халхин-Гол показал как раз обратное, нужно было переправлять японскую тяжелую артиллерию, захваченную нами, мы на лодках «A3» устроили мост и артиллерию переправили.</w:t>
      </w:r>
    </w:p>
    <w:p w14:paraId="632FC8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Я думаю, что нам необходимо оставить то и другое и использовать в зависимости от театра военных действий.</w:t>
      </w:r>
    </w:p>
    <w:p w14:paraId="3B1F8F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Хренов: </w:t>
      </w:r>
      <w:r w:rsidRPr="00DB5D0D">
        <w:rPr>
          <w:rFonts w:ascii="Times New Roman" w:hAnsi="Times New Roman"/>
          <w:color w:val="000000" w:themeColor="text1"/>
          <w:sz w:val="16"/>
          <w:szCs w:val="16"/>
        </w:rPr>
        <w:t>Нет десантных средств, понтоны нельзя считать десантными средствами, нужно оставить те и другие. В 1935 г. модернизировали и испортили, грузоподъемность не увеличили, а парк утяжелили.</w:t>
      </w:r>
    </w:p>
    <w:p w14:paraId="44C11A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лодки «A3» и все то, что имеется из переправочных] средств, на ближайшие 2—3 года оставить на вооружении.</w:t>
      </w:r>
    </w:p>
    <w:p w14:paraId="3F32F1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 предложение т. Ворошилова.</w:t>
      </w:r>
    </w:p>
    <w:p w14:paraId="2064E2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Достаточно ли у нас в армии понтонных средств?</w:t>
      </w:r>
    </w:p>
    <w:p w14:paraId="5940E5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Мерецков: </w:t>
      </w:r>
      <w:r w:rsidRPr="00DB5D0D">
        <w:rPr>
          <w:rFonts w:ascii="Times New Roman" w:hAnsi="Times New Roman"/>
          <w:color w:val="000000" w:themeColor="text1"/>
          <w:sz w:val="16"/>
          <w:szCs w:val="16"/>
        </w:rPr>
        <w:t>Каждая стрелковая дивизия имеет понтонный парк.</w:t>
      </w:r>
    </w:p>
    <w:p w14:paraId="29AED5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Нам нужно обсудить, нужны ли в дивизии парки? Когда будут обсуждаться организационные вопросы, нужно этот вопрос поставить.</w:t>
      </w:r>
    </w:p>
    <w:p w14:paraId="3351AF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Стрелковая дивизия и стрелковый корпус полностью эти средства имеют. На сегодня мы имеем армейских парков «Н-2П» на Дальнем Востоке — 14 комплектов, внутри — 16 комплектов и заказали 23 комплекта.</w:t>
      </w:r>
    </w:p>
    <w:p w14:paraId="5FC989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Нужно внутри армии переправочные средства перегруппировать.</w:t>
      </w:r>
    </w:p>
    <w:p w14:paraId="51A7DB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Нам нужны будут все более тяжелые парки, пример: «Н-2П» при переправе не выдержал 6-й бригады и этим самым задержал ее для введения в бой 20 августа 1939 г. Пришлось мост усилить путем постановки через реку сплошного ряда лодок за счет снятия одной переправы.</w:t>
      </w:r>
    </w:p>
    <w:p w14:paraId="2FA53C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Значит, неправильно рассчитан сам парк. Нужно все это дело обсудить на комиссии, надо считаться, что все это добро надо возить, а просто сказать — давай тяжелые парки, нельзя. Надо обсудить на комиссии эти замечания.</w:t>
      </w:r>
    </w:p>
    <w:p w14:paraId="711749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u w:val="single"/>
        </w:rPr>
        <w:t>Дорожные средства.</w:t>
      </w:r>
    </w:p>
    <w:p w14:paraId="257E65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Дорожный грейдер </w:t>
      </w:r>
      <w:r w:rsidRPr="00DB5D0D">
        <w:rPr>
          <w:rFonts w:ascii="Times New Roman" w:hAnsi="Times New Roman"/>
          <w:color w:val="000000" w:themeColor="text1"/>
          <w:sz w:val="16"/>
          <w:szCs w:val="16"/>
        </w:rPr>
        <w:t>работает с трактором «ЧТЗ», транспортная скорость — 5 км, рабочая — 1 км. Ручное управление, заменяем гидравлическим давление.</w:t>
      </w:r>
    </w:p>
    <w:p w14:paraId="7D03CE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оставить до испытания нового. Этим грейдером вооружена вся страна. Ведем работы по увеличению скорости. Скорость нового грейдера: транспортная — 22 км и рабочая скорость — 8 км в час. Оставляем существующий тяжелый грейдер потому, что нечем заменить его.</w:t>
      </w:r>
    </w:p>
    <w:p w14:paraId="16064D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Средний грейдер— </w:t>
      </w:r>
      <w:r w:rsidRPr="00DB5D0D">
        <w:rPr>
          <w:rFonts w:ascii="Times New Roman" w:hAnsi="Times New Roman"/>
          <w:color w:val="000000" w:themeColor="text1"/>
          <w:sz w:val="16"/>
          <w:szCs w:val="16"/>
        </w:rPr>
        <w:t>для профилировки дороги с трактором «СТЗНАТИ». Управление ручное, транспортная скорость — 5 км, рабочая — 2,5 км. На финском фронте показал себя хорошо, лучше, чем тяжелый. В иностранных армиях от такого отказались и перешли на автогрейдер. Мы захватили у финнов автогрейдер, у которого лопата между колес. Предлагаю оставить на вооружении и снять его после введения автогрейдера.</w:t>
      </w:r>
    </w:p>
    <w:p w14:paraId="0AE0BE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lastRenderedPageBreak/>
        <w:t xml:space="preserve">Ворошилов: </w:t>
      </w:r>
      <w:r w:rsidRPr="00DB5D0D">
        <w:rPr>
          <w:rFonts w:ascii="Times New Roman" w:hAnsi="Times New Roman"/>
          <w:color w:val="000000" w:themeColor="text1"/>
          <w:sz w:val="16"/>
          <w:szCs w:val="16"/>
        </w:rPr>
        <w:t xml:space="preserve">Какое преимущество автогрейдера? </w:t>
      </w: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 xml:space="preserve">Авто грейдер самоходный, а этот прицепной. </w:t>
      </w: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 xml:space="preserve">Какого веса новый и какая его производительность? </w:t>
      </w: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7 т и 8 км. Преимущество автогрейдера — самоходный, нож расположен впереди колес, это позволяет производить ремонт дороги после бомбардировки.</w:t>
      </w:r>
    </w:p>
    <w:p w14:paraId="6B00A2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Мерецков: </w:t>
      </w:r>
      <w:r w:rsidRPr="00DB5D0D">
        <w:rPr>
          <w:rFonts w:ascii="Times New Roman" w:hAnsi="Times New Roman"/>
          <w:color w:val="000000" w:themeColor="text1"/>
          <w:sz w:val="16"/>
          <w:szCs w:val="16"/>
        </w:rPr>
        <w:t>Нужна гусеничная тяга.</w:t>
      </w:r>
    </w:p>
    <w:p w14:paraId="126AFC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Лебедев: </w:t>
      </w:r>
      <w:r w:rsidRPr="00DB5D0D">
        <w:rPr>
          <w:rFonts w:ascii="Times New Roman" w:hAnsi="Times New Roman"/>
          <w:color w:val="000000" w:themeColor="text1"/>
          <w:sz w:val="16"/>
          <w:szCs w:val="16"/>
        </w:rPr>
        <w:t>У автогрейдера лопата впереди, он специализирован, а грейдер — прицепной. Он может быть использован и для других целей. Нам нужен тот и другой.</w:t>
      </w:r>
    </w:p>
    <w:p w14:paraId="2D6120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Тяжелый грейдер имеет рабочую скорость 5 км и транспортную 22 км/час, это нас может удовлетворить. Такой грейдер разработан и скоро пойдет.</w:t>
      </w:r>
    </w:p>
    <w:p w14:paraId="023B0D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Хренов: </w:t>
      </w:r>
      <w:r w:rsidRPr="00DB5D0D">
        <w:rPr>
          <w:rFonts w:ascii="Times New Roman" w:hAnsi="Times New Roman"/>
          <w:color w:val="000000" w:themeColor="text1"/>
          <w:sz w:val="16"/>
          <w:szCs w:val="16"/>
        </w:rPr>
        <w:t>Я предлагаю средний грейдер совсем снять. На Карельском перешейке его не использовали, это легкая прыгалка — от любой кочки валится. Тяжелый грейдер лучше. Гидравлическое управление тяжелому трактору давать не надо, оставить ручное. Финский автогрейдер имеет нож между колесами и служит исключительно для расчистки дорог (снег и другое), для дорожных работ не годится.</w:t>
      </w:r>
    </w:p>
    <w:p w14:paraId="2E8D82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Замечание т. Хренова правильное. Над всеми этими вопросами нужно заняться комиссии. Нам нужен такой грейдер, который сможет строить дороги заново, у нас таких грейдеров нет. Это серьезный вопрос.</w:t>
      </w:r>
    </w:p>
    <w:p w14:paraId="05DE2E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Антонюк: </w:t>
      </w:r>
      <w:r w:rsidRPr="00DB5D0D">
        <w:rPr>
          <w:rFonts w:ascii="Times New Roman" w:hAnsi="Times New Roman"/>
          <w:color w:val="000000" w:themeColor="text1"/>
          <w:sz w:val="16"/>
          <w:szCs w:val="16"/>
        </w:rPr>
        <w:t>Что у нас имеется для гор?</w:t>
      </w:r>
    </w:p>
    <w:p w14:paraId="3798EC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Хренов: </w:t>
      </w:r>
      <w:r w:rsidRPr="00DB5D0D">
        <w:rPr>
          <w:rFonts w:ascii="Times New Roman" w:hAnsi="Times New Roman"/>
          <w:color w:val="000000" w:themeColor="text1"/>
          <w:sz w:val="16"/>
          <w:szCs w:val="16"/>
        </w:rPr>
        <w:t>Ничего нет.</w:t>
      </w:r>
    </w:p>
    <w:p w14:paraId="00C082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А у итальянцев имеется.</w:t>
      </w:r>
    </w:p>
    <w:p w14:paraId="745B84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Запорожец: </w:t>
      </w:r>
      <w:r w:rsidRPr="00DB5D0D">
        <w:rPr>
          <w:rFonts w:ascii="Times New Roman" w:hAnsi="Times New Roman"/>
          <w:color w:val="000000" w:themeColor="text1"/>
          <w:sz w:val="16"/>
          <w:szCs w:val="16"/>
        </w:rPr>
        <w:t>Мы у себя в армии имели всего лишь три грейдера. Поэтому для очистки дорог использовали ежедневно по 10—12 тыс. красноармейцев.</w:t>
      </w:r>
    </w:p>
    <w:p w14:paraId="75F703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Нужно Лебедеву и Павлову посмотреть, придумать что-либо прицепное. Не обязательно, чтобы сразу давала машина ширину 8 м, пусть хоть один метр. У нас стоят тысячи машин, а дороги забиты снегом и другим. Нужно сделать угольники и использовать наш богатейший машинный парк.</w:t>
      </w:r>
    </w:p>
    <w:p w14:paraId="203E27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Хренов: </w:t>
      </w:r>
      <w:r w:rsidRPr="00DB5D0D">
        <w:rPr>
          <w:rFonts w:ascii="Times New Roman" w:hAnsi="Times New Roman"/>
          <w:color w:val="000000" w:themeColor="text1"/>
          <w:sz w:val="16"/>
          <w:szCs w:val="16"/>
        </w:rPr>
        <w:t>В 7-й армии сами сделали металлический угольник, который работал хорошо.</w:t>
      </w:r>
    </w:p>
    <w:p w14:paraId="0B74AE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Вот-вот, нужно подумать и сделать что-либо попроще, а то у нас все пневматика.</w:t>
      </w:r>
    </w:p>
    <w:p w14:paraId="165250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Лебедев: </w:t>
      </w:r>
      <w:r w:rsidRPr="00DB5D0D">
        <w:rPr>
          <w:rFonts w:ascii="Times New Roman" w:hAnsi="Times New Roman"/>
          <w:color w:val="000000" w:themeColor="text1"/>
          <w:sz w:val="16"/>
          <w:szCs w:val="16"/>
        </w:rPr>
        <w:t>Новый тяжелый грейдер сделан по образцу иностранных, он имеет и пневматику, и ручное управление. Пневматика увеличивает производительность.</w:t>
      </w:r>
    </w:p>
    <w:p w14:paraId="6EE603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Хренов: </w:t>
      </w:r>
      <w:r w:rsidRPr="00DB5D0D">
        <w:rPr>
          <w:rFonts w:ascii="Times New Roman" w:hAnsi="Times New Roman"/>
          <w:color w:val="000000" w:themeColor="text1"/>
          <w:sz w:val="16"/>
          <w:szCs w:val="16"/>
        </w:rPr>
        <w:t>Грейдер дорог со скоростью 8 км/час не строят.</w:t>
      </w:r>
    </w:p>
    <w:p w14:paraId="0917B1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Вы — специалисты — не в курсе дела. Мне рассказывали про американскую машину, при помощи этой машины (12 машин, 40 человек рабочих) в течение одного месяца построено 100 км шоссе, причем шоссе получилось лучше, чем наши выходы из московских улиц. Эта машина имеет оборудование вплоть до покрытия полотна. Мы должны быть новаторами, мы должны заводить свои машины. Народное хозяйство пусть использует наш опыт, а то мы равняемся по народному хозяйству. Условия войны у нас разные, а с дорогами всюду плохо, наша армия оснащена техникой, а инженерное вооружение плохое. К сожалению, т. Петров не знает, что делается за границей, необходимо поручить этим делом заняться комиссии.</w:t>
      </w:r>
    </w:p>
    <w:p w14:paraId="6D0244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 [...]:* </w:t>
      </w:r>
      <w:r w:rsidRPr="00DB5D0D">
        <w:rPr>
          <w:rFonts w:ascii="Times New Roman" w:hAnsi="Times New Roman"/>
          <w:color w:val="000000" w:themeColor="text1"/>
          <w:sz w:val="16"/>
          <w:szCs w:val="16"/>
        </w:rPr>
        <w:t>Среднего грейдера не нужно снимать, он хороший снегоочиститель, ему надо дать хорошую тягу.</w:t>
      </w:r>
    </w:p>
    <w:p w14:paraId="0B0B1F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чтобы более подробно этим занялась комиссия, и она нам доложит.</w:t>
      </w:r>
    </w:p>
    <w:p w14:paraId="44C31C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0C22A5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u w:val="single"/>
        </w:rPr>
        <w:t>Вспомогательные средства.</w:t>
      </w:r>
    </w:p>
    <w:p w14:paraId="282B31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Прицепной каток </w:t>
      </w:r>
      <w:r w:rsidRPr="00DB5D0D">
        <w:rPr>
          <w:rFonts w:ascii="Times New Roman" w:hAnsi="Times New Roman"/>
          <w:color w:val="000000" w:themeColor="text1"/>
          <w:sz w:val="16"/>
          <w:szCs w:val="16"/>
        </w:rPr>
        <w:t>— существующий прицепной каток предлагаю оставить. Моторный каток предлагаю снять с вооружения.</w:t>
      </w:r>
    </w:p>
    <w:p w14:paraId="1C10B8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У нас тыл армии тянется на сотни километров, а потому эти средства использовать вполне можно.</w:t>
      </w:r>
    </w:p>
    <w:p w14:paraId="487BA9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Мехлопата Беккера — </w:t>
      </w:r>
      <w:r w:rsidRPr="00DB5D0D">
        <w:rPr>
          <w:rFonts w:ascii="Times New Roman" w:hAnsi="Times New Roman"/>
          <w:color w:val="000000" w:themeColor="text1"/>
          <w:sz w:val="16"/>
          <w:szCs w:val="16"/>
        </w:rPr>
        <w:t xml:space="preserve">прицепная. Предлагаю оставить на вооружении. Лопата Юкки — лучше лопаты Беккера, также предлагаю оставить на вооружении. </w:t>
      </w:r>
      <w:r w:rsidRPr="00DB5D0D">
        <w:rPr>
          <w:rFonts w:ascii="Times New Roman" w:hAnsi="Times New Roman"/>
          <w:iCs/>
          <w:color w:val="000000" w:themeColor="text1"/>
          <w:sz w:val="16"/>
          <w:szCs w:val="16"/>
        </w:rPr>
        <w:t xml:space="preserve">Кусторез-трактор — </w:t>
      </w:r>
      <w:r w:rsidRPr="00DB5D0D">
        <w:rPr>
          <w:rFonts w:ascii="Times New Roman" w:hAnsi="Times New Roman"/>
          <w:color w:val="000000" w:themeColor="text1"/>
          <w:sz w:val="16"/>
          <w:szCs w:val="16"/>
        </w:rPr>
        <w:t>предлагаю оставить на вооружении.</w:t>
      </w:r>
    </w:p>
    <w:p w14:paraId="4B22AE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Я предлагаю собрать все эти средства на полигоне и предложить комиссии практически посмотреть их в работе, а потом доложить.</w:t>
      </w:r>
    </w:p>
    <w:p w14:paraId="0C9CA3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Комиссия будет работать два месяца. Предложение т. Павлова нецелесообразно.</w:t>
      </w:r>
    </w:p>
    <w:p w14:paraId="702A8F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Предлагаю также оставить на вооружении бульдозер, мельтери, каналокопатель, перфоратор.</w:t>
      </w:r>
    </w:p>
    <w:p w14:paraId="2BD077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Все это хозяйство нужно оставить.</w:t>
      </w:r>
    </w:p>
    <w:p w14:paraId="778DB3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Предлагаю оставить на вооружении: подвижную лесопильную раму производительностью 50 кубометров в 10 часов, продольный станок, моторную пилу.</w:t>
      </w:r>
    </w:p>
    <w:p w14:paraId="1232A1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Буденный: </w:t>
      </w:r>
      <w:r w:rsidRPr="00DB5D0D">
        <w:rPr>
          <w:rFonts w:ascii="Times New Roman" w:hAnsi="Times New Roman"/>
          <w:color w:val="000000" w:themeColor="text1"/>
          <w:sz w:val="16"/>
          <w:szCs w:val="16"/>
        </w:rPr>
        <w:t>Нужно больше иметь моторных пил, их очень мало.</w:t>
      </w:r>
    </w:p>
    <w:p w14:paraId="3B6C96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Предлагаю оставить на вооружении: канатные дороги (имеются только образцы), копры разборные, свайный молоток, копры-лебедки, разборный металлический мост.</w:t>
      </w:r>
    </w:p>
    <w:p w14:paraId="4FE71A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А сколько у Вас этих средств есть? Вы скажите их назначение.</w:t>
      </w:r>
    </w:p>
    <w:p w14:paraId="6FE50C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Канатные дороги применяются в горных условиях, один комплект рассчитан на 2 км грузоподъемностью 500 кг. Имеется один комплект.</w:t>
      </w:r>
    </w:p>
    <w:p w14:paraId="411927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Хренов: </w:t>
      </w:r>
      <w:r w:rsidRPr="00DB5D0D">
        <w:rPr>
          <w:rFonts w:ascii="Times New Roman" w:hAnsi="Times New Roman"/>
          <w:color w:val="000000" w:themeColor="text1"/>
          <w:sz w:val="16"/>
          <w:szCs w:val="16"/>
        </w:rPr>
        <w:t>У канатных дорог стойки не годятся, пролет 50 м мал, благодаря чему в горных условиях дороги поставить нельзя.</w:t>
      </w:r>
    </w:p>
    <w:p w14:paraId="7D0B5F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Мы разработали 5 образцов канатных дорог, которые будут готовы в мае. Пролеты будут 150 м.</w:t>
      </w:r>
    </w:p>
    <w:p w14:paraId="386689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Мерецков, Щаденко: </w:t>
      </w:r>
      <w:r w:rsidRPr="00DB5D0D">
        <w:rPr>
          <w:rFonts w:ascii="Times New Roman" w:hAnsi="Times New Roman"/>
          <w:color w:val="000000" w:themeColor="text1"/>
          <w:sz w:val="16"/>
          <w:szCs w:val="16"/>
        </w:rPr>
        <w:t>В Донбассе десятки лет существуют канатные дороги, а мы их не имеем.</w:t>
      </w:r>
    </w:p>
    <w:p w14:paraId="50AD01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Я эти дороги видел, когда мне было 6 лет, и не только видел, но и ездил. Предлагаю обсудить на комиссии.</w:t>
      </w:r>
    </w:p>
    <w:p w14:paraId="182302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Копрами разборными вооружены саперные и понтонные батальоны. Их назначение — бить сваи и вытягивать сваи. Копровая лебедка имеет вес 500 кг. Разборный металлический мост — имеется два экземпляра.</w:t>
      </w:r>
    </w:p>
    <w:p w14:paraId="122E6E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Какие мосты? Какие пролеты?</w:t>
      </w:r>
    </w:p>
    <w:p w14:paraId="1A6428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Пролет моста — 22 м. Они назначаются для покрытия разрушенных в мосте пролетов. Такие мосты имеются в Германии.</w:t>
      </w:r>
    </w:p>
    <w:p w14:paraId="0F7CA6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Хренов: </w:t>
      </w:r>
      <w:r w:rsidRPr="00DB5D0D">
        <w:rPr>
          <w:rFonts w:ascii="Times New Roman" w:hAnsi="Times New Roman"/>
          <w:color w:val="000000" w:themeColor="text1"/>
          <w:sz w:val="16"/>
          <w:szCs w:val="16"/>
        </w:rPr>
        <w:t>По мостам взята неправильная линия, так как переправочные средства имеют грузоподъемность 15 т и разобранные мосты тоже 15 т. Нужно мосты строить с большей грузоподъемностью. Кировский завод нам построил мост грузоподъемностью 40 т, который возится на 8 автомашинах. В Финляндии такой мост показал себя хорошо.</w:t>
      </w:r>
    </w:p>
    <w:p w14:paraId="3C12C2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Я думаю, замечание т. Хренова правильное. Нужен тяжелый мост.</w:t>
      </w:r>
    </w:p>
    <w:p w14:paraId="36B0A3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Компрессорная станция состоит на вооружении железнодорожных войск, передвижная компрессорная станция — вооружены все инженерные части. Она слишком громоздкая. Мы имеем отдельные образцы. Смонтирована на «ЗИС-5».</w:t>
      </w:r>
    </w:p>
    <w:p w14:paraId="319051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Хренов: </w:t>
      </w:r>
      <w:r w:rsidRPr="00DB5D0D">
        <w:rPr>
          <w:rFonts w:ascii="Times New Roman" w:hAnsi="Times New Roman"/>
          <w:color w:val="000000" w:themeColor="text1"/>
          <w:sz w:val="16"/>
          <w:szCs w:val="16"/>
        </w:rPr>
        <w:t>Я предлагаю копры и свайные молотки дивизионных батальонов взять и передать в парк, а дивизионным батальонам дать электрическую бабу.</w:t>
      </w:r>
    </w:p>
    <w:p w14:paraId="089133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Сугубо специальные вопросы. Передать в комиссию.</w:t>
      </w:r>
    </w:p>
    <w:p w14:paraId="457CC1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u w:val="single"/>
        </w:rPr>
        <w:t>Железнодорожные средства.</w:t>
      </w:r>
    </w:p>
    <w:p w14:paraId="5E099B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Мотовоз «МУ»— </w:t>
      </w:r>
      <w:r w:rsidRPr="00DB5D0D">
        <w:rPr>
          <w:rFonts w:ascii="Times New Roman" w:hAnsi="Times New Roman"/>
          <w:color w:val="000000" w:themeColor="text1"/>
          <w:sz w:val="16"/>
          <w:szCs w:val="16"/>
        </w:rPr>
        <w:t>узкоколейный, четырехосный. Предлагаю оставить на вооружении.</w:t>
      </w:r>
    </w:p>
    <w:p w14:paraId="31B0A3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Паровоз «Т-159»— </w:t>
      </w:r>
      <w:r w:rsidRPr="00DB5D0D">
        <w:rPr>
          <w:rFonts w:ascii="Times New Roman" w:hAnsi="Times New Roman"/>
          <w:color w:val="000000" w:themeColor="text1"/>
          <w:sz w:val="16"/>
          <w:szCs w:val="16"/>
        </w:rPr>
        <w:t>узкоколейный, четырехосный, тоже предлагаю оставить на вооружении.</w:t>
      </w:r>
    </w:p>
    <w:p w14:paraId="60787B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Воронов: </w:t>
      </w:r>
      <w:r w:rsidRPr="00DB5D0D">
        <w:rPr>
          <w:rFonts w:ascii="Times New Roman" w:hAnsi="Times New Roman"/>
          <w:color w:val="000000" w:themeColor="text1"/>
          <w:sz w:val="16"/>
          <w:szCs w:val="16"/>
        </w:rPr>
        <w:t>Каким образом эта техника попала в Инженерное управление?</w:t>
      </w:r>
    </w:p>
    <w:p w14:paraId="0926F7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В 1938 г. Щнженерное] У[праление] Красной Армии передали два железнодорожных парка, склады и рельсы, а научно-исследовательскую работу ведет 3 отдел.</w:t>
      </w:r>
    </w:p>
    <w:p w14:paraId="36F987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Трубецкой: </w:t>
      </w:r>
      <w:r w:rsidRPr="00DB5D0D">
        <w:rPr>
          <w:rFonts w:ascii="Times New Roman" w:hAnsi="Times New Roman"/>
          <w:color w:val="000000" w:themeColor="text1"/>
          <w:sz w:val="16"/>
          <w:szCs w:val="16"/>
        </w:rPr>
        <w:t>Я предлагаю вернуть Управлению ВОСО все железнодорожное хозяйство.</w:t>
      </w:r>
    </w:p>
    <w:p w14:paraId="1DC40B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Из Управления ВОСО сделали канцелярию Генштаба, а не самостоятельную организацию. Предлагаю все эти вопросы просмотреть комиссии.</w:t>
      </w:r>
    </w:p>
    <w:p w14:paraId="04F0E6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u w:val="single"/>
        </w:rPr>
        <w:t>Позиционные средства.</w:t>
      </w:r>
    </w:p>
    <w:p w14:paraId="28C6A7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нас ничего нет, что можно было бы принять на вооружение, имеем только образцы. Фрезерный окопокопатель, траншейный экскаватор, сверлильные установки — все это есть в единственном экземпляре. Ничего больше предложить не могу.</w:t>
      </w:r>
    </w:p>
    <w:p w14:paraId="681C15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Воронов: </w:t>
      </w:r>
      <w:r w:rsidRPr="00DB5D0D">
        <w:rPr>
          <w:rFonts w:ascii="Times New Roman" w:hAnsi="Times New Roman"/>
          <w:color w:val="000000" w:themeColor="text1"/>
          <w:sz w:val="16"/>
          <w:szCs w:val="16"/>
        </w:rPr>
        <w:t>Сидят, разрабатывают, а все это было еще в Мировую войну. Нужно взять людей — за границей.</w:t>
      </w:r>
    </w:p>
    <w:p w14:paraId="186564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Мы же купили в Америке один окопокопатель. Расскажите, что он из себя представляет.</w:t>
      </w:r>
    </w:p>
    <w:p w14:paraId="04CA4D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Окопокопатель типа «Баккей», </w:t>
      </w:r>
      <w:r w:rsidRPr="00DB5D0D">
        <w:rPr>
          <w:rFonts w:ascii="Times New Roman" w:hAnsi="Times New Roman"/>
          <w:color w:val="000000" w:themeColor="text1"/>
          <w:sz w:val="16"/>
          <w:szCs w:val="16"/>
        </w:rPr>
        <w:t>глубина —1,5 м, производительность — 300-500 погонных метров в час.</w:t>
      </w:r>
    </w:p>
    <w:p w14:paraId="600B8E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Не то купили, там было до 2,5 км в час, и полтора метра глубины.</w:t>
      </w:r>
    </w:p>
    <w:p w14:paraId="36659E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Буденный: </w:t>
      </w:r>
      <w:r w:rsidRPr="00DB5D0D">
        <w:rPr>
          <w:rFonts w:ascii="Times New Roman" w:hAnsi="Times New Roman"/>
          <w:color w:val="000000" w:themeColor="text1"/>
          <w:sz w:val="16"/>
          <w:szCs w:val="16"/>
        </w:rPr>
        <w:t>В Академии учат, что окопная производительность равняется 2,5 м.</w:t>
      </w:r>
    </w:p>
    <w:p w14:paraId="737FBA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Вы говорите о своих испытаниях или об американских показателях? Вы не знаете. Нужно разыскать данные об этом типе «Баккей», если Вы не знаете, то кому же известно? Мы покупаем не то, что Вы говорите.</w:t>
      </w:r>
    </w:p>
    <w:p w14:paraId="062DF3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Хренов: У </w:t>
      </w:r>
      <w:r w:rsidRPr="00DB5D0D">
        <w:rPr>
          <w:rFonts w:ascii="Times New Roman" w:hAnsi="Times New Roman"/>
          <w:color w:val="000000" w:themeColor="text1"/>
          <w:sz w:val="16"/>
          <w:szCs w:val="16"/>
        </w:rPr>
        <w:t>нас сейчас есть экскаваторы, которые дают производительность 300 м.</w:t>
      </w:r>
    </w:p>
    <w:p w14:paraId="2BE1B7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Воронов: </w:t>
      </w:r>
      <w:r w:rsidRPr="00DB5D0D">
        <w:rPr>
          <w:rFonts w:ascii="Times New Roman" w:hAnsi="Times New Roman"/>
          <w:color w:val="000000" w:themeColor="text1"/>
          <w:sz w:val="16"/>
          <w:szCs w:val="16"/>
        </w:rPr>
        <w:t>У нас в укрепленных районах нужно сделать паутину, все прорыть, а средств для этого нет.</w:t>
      </w:r>
    </w:p>
    <w:p w14:paraId="0D3B4E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u w:val="single"/>
        </w:rPr>
        <w:t>Подрывные средства.</w:t>
      </w:r>
    </w:p>
    <w:p w14:paraId="374C96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 — в шашках по 450 г;</w:t>
      </w:r>
    </w:p>
    <w:p w14:paraId="1043EF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Бикфордов шнур — огнепроводный;</w:t>
      </w:r>
    </w:p>
    <w:p w14:paraId="194CC3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Детонирующий шнур;</w:t>
      </w:r>
    </w:p>
    <w:p w14:paraId="30F272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Электродетонатор;</w:t>
      </w:r>
    </w:p>
    <w:p w14:paraId="60162E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Подрывные машинки «ПМ-2»;</w:t>
      </w:r>
    </w:p>
    <w:p w14:paraId="4DF983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Приборы.</w:t>
      </w:r>
    </w:p>
    <w:p w14:paraId="7835AF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Мерецков: </w:t>
      </w:r>
      <w:r w:rsidRPr="00DB5D0D">
        <w:rPr>
          <w:rFonts w:ascii="Times New Roman" w:hAnsi="Times New Roman"/>
          <w:color w:val="000000" w:themeColor="text1"/>
          <w:sz w:val="16"/>
          <w:szCs w:val="16"/>
        </w:rPr>
        <w:t>Часовые механизмы.</w:t>
      </w:r>
    </w:p>
    <w:p w14:paraId="3E9D3C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Все эти подрывные средства предлагаю оставить на вооружении.</w:t>
      </w:r>
    </w:p>
    <w:p w14:paraId="311841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Средства полевого водоснабжения.</w:t>
      </w:r>
    </w:p>
    <w:p w14:paraId="0A8A87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Бурильные станки: </w:t>
      </w:r>
      <w:r w:rsidRPr="00DB5D0D">
        <w:rPr>
          <w:rFonts w:ascii="Times New Roman" w:hAnsi="Times New Roman"/>
          <w:color w:val="000000" w:themeColor="text1"/>
          <w:sz w:val="16"/>
          <w:szCs w:val="16"/>
        </w:rPr>
        <w:t>глубина бурения — 75 м, скорость — 15—20 м/сутки, команда — 4—5 человек.</w:t>
      </w:r>
    </w:p>
    <w:p w14:paraId="7F711C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Бурильный станок «АБТВ-100»: </w:t>
      </w:r>
      <w:r w:rsidRPr="00DB5D0D">
        <w:rPr>
          <w:rFonts w:ascii="Times New Roman" w:hAnsi="Times New Roman"/>
          <w:color w:val="000000" w:themeColor="text1"/>
          <w:sz w:val="16"/>
          <w:szCs w:val="16"/>
        </w:rPr>
        <w:t>глубина бурения — 100 м, скорость 5 м/час, команда — 4 чел., для Дальнего Востока и САВО. Имеем 20 экземпляров.</w:t>
      </w:r>
    </w:p>
    <w:p w14:paraId="3167A8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Бурильный станок «АБТВ-50»: </w:t>
      </w:r>
      <w:r w:rsidRPr="00DB5D0D">
        <w:rPr>
          <w:rFonts w:ascii="Times New Roman" w:hAnsi="Times New Roman"/>
          <w:color w:val="000000" w:themeColor="text1"/>
          <w:sz w:val="16"/>
          <w:szCs w:val="16"/>
        </w:rPr>
        <w:t>скорость — 5—6 м/час. Для Западного театра.</w:t>
      </w:r>
    </w:p>
    <w:p w14:paraId="70B208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Бурильный станок «РАСТО»: </w:t>
      </w:r>
      <w:r w:rsidRPr="00DB5D0D">
        <w:rPr>
          <w:rFonts w:ascii="Times New Roman" w:hAnsi="Times New Roman"/>
          <w:color w:val="000000" w:themeColor="text1"/>
          <w:sz w:val="16"/>
          <w:szCs w:val="16"/>
        </w:rPr>
        <w:t>глубина бурения — 240 м, скорость — 4 м/час. На двух машинах «ЗИС», команда — 6 чел. в смену. Находится в процессе испытания на Сев[ерном] Кавказе. Предназначен для ДВК и САВО.</w:t>
      </w:r>
    </w:p>
    <w:p w14:paraId="78F214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Глубинный трубчатый колодец: </w:t>
      </w:r>
      <w:r w:rsidRPr="00DB5D0D">
        <w:rPr>
          <w:rFonts w:ascii="Times New Roman" w:hAnsi="Times New Roman"/>
          <w:color w:val="000000" w:themeColor="text1"/>
          <w:sz w:val="16"/>
          <w:szCs w:val="16"/>
        </w:rPr>
        <w:t>глубина — 30 м, ручной привод. Вес комплекта — 170 кг. Оставить до введения бурильных станков.</w:t>
      </w:r>
    </w:p>
    <w:p w14:paraId="7A0669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«Нортон» — оставить.</w:t>
      </w:r>
    </w:p>
    <w:p w14:paraId="630BF2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Городовиков: </w:t>
      </w:r>
      <w:r w:rsidRPr="00DB5D0D">
        <w:rPr>
          <w:rFonts w:ascii="Times New Roman" w:hAnsi="Times New Roman"/>
          <w:color w:val="000000" w:themeColor="text1"/>
          <w:sz w:val="16"/>
          <w:szCs w:val="16"/>
        </w:rPr>
        <w:t>Можно добавить глубину. Средняя глубина — 30—40 м.</w:t>
      </w:r>
    </w:p>
    <w:p w14:paraId="5C6326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Мы даем на 100 м.</w:t>
      </w:r>
    </w:p>
    <w:p w14:paraId="62BCEB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Городовиков: </w:t>
      </w:r>
      <w:r w:rsidRPr="00DB5D0D">
        <w:rPr>
          <w:rFonts w:ascii="Times New Roman" w:hAnsi="Times New Roman"/>
          <w:color w:val="000000" w:themeColor="text1"/>
          <w:sz w:val="16"/>
          <w:szCs w:val="16"/>
        </w:rPr>
        <w:t>Как мыслится перевозка?</w:t>
      </w:r>
    </w:p>
    <w:p w14:paraId="04AE4A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Хрулев: </w:t>
      </w:r>
      <w:r w:rsidRPr="00DB5D0D">
        <w:rPr>
          <w:rFonts w:ascii="Times New Roman" w:hAnsi="Times New Roman"/>
          <w:color w:val="000000" w:themeColor="text1"/>
          <w:sz w:val="16"/>
          <w:szCs w:val="16"/>
        </w:rPr>
        <w:t>Ес[ть] ли насосы? Достать воду труднее, чем пробурить.</w:t>
      </w:r>
    </w:p>
    <w:p w14:paraId="2D6DBB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Насосы есть. Если мы достигнем скорости бурения, то мы поднимем воду. Есть цистерны — металлические и резиновые.</w:t>
      </w:r>
    </w:p>
    <w:p w14:paraId="65C354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Городовиков: </w:t>
      </w:r>
      <w:r w:rsidRPr="00DB5D0D">
        <w:rPr>
          <w:rFonts w:ascii="Times New Roman" w:hAnsi="Times New Roman"/>
          <w:color w:val="000000" w:themeColor="text1"/>
          <w:sz w:val="16"/>
          <w:szCs w:val="16"/>
        </w:rPr>
        <w:t>На автомашинах возим воду в резиновых цистернах, когда машина не может пройти, наливаем воду в бурдюки.</w:t>
      </w:r>
    </w:p>
    <w:p w14:paraId="117D0E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Достаточно ли мы имеем насосов? И можем ли мы получить их от промышленности в достаточном количестве? Что значит «комплект»? Вы можете одним и тем же буром сделать много колодцев, а насосы для них будут?</w:t>
      </w:r>
    </w:p>
    <w:p w14:paraId="05ADCD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Я не могу доложить, сколько есть подъемных лебедок, но насосов мы не лимитируем.</w:t>
      </w:r>
    </w:p>
    <w:p w14:paraId="77B656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Универсальный носимый фильтр: вес комплекта — 5 кг, пропускная способность — 30 л в час. Вьючный фильтр: производительность — 200 л в час, вес — 270 кг. Водоподъемник, ручной насос, мотопомпа — все эти перечисленные приборы водоснабжения оставить на вооружении. Автоцистерны, резиновые резервуары, мешки, бочки и бурдюки предлагаю оставить на вооружении.</w:t>
      </w:r>
    </w:p>
    <w:p w14:paraId="291AC1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Это у Вас образцы или находятся в массовом производстве?</w:t>
      </w:r>
    </w:p>
    <w:p w14:paraId="02740A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Наша потребность обеспечивается полностью. Предлагаю оставить на вооружении электростанции — «АЭС-1», «АЭС-3», «АЭС-4», «ТЭС», «АЕ-1», «Э-1», агрегаты — «Л-12», «Л-6», «Л-3» для заряжания станций. Получили широкое применение в войну, хорошо показали себя.</w:t>
      </w:r>
    </w:p>
    <w:p w14:paraId="38B8BD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 [...]: </w:t>
      </w:r>
      <w:r w:rsidRPr="00DB5D0D">
        <w:rPr>
          <w:rFonts w:ascii="Times New Roman" w:hAnsi="Times New Roman"/>
          <w:color w:val="000000" w:themeColor="text1"/>
          <w:sz w:val="16"/>
          <w:szCs w:val="16"/>
        </w:rPr>
        <w:t>В сд и сп нет полевых электростанций. От этого больше всего страдает связь, т. к. командиры частей для освещения командных пунктов используют наши зарядные агрегаты.</w:t>
      </w:r>
    </w:p>
    <w:p w14:paraId="225018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Мы имеем 774 шт. электростанций, а общая потребность — 1851 шт. Упирается вопрос в производственную базу.</w:t>
      </w:r>
    </w:p>
    <w:p w14:paraId="75C3AC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Колючая проволока </w:t>
      </w:r>
      <w:r w:rsidRPr="00DB5D0D">
        <w:rPr>
          <w:rFonts w:ascii="Times New Roman" w:hAnsi="Times New Roman"/>
          <w:color w:val="000000" w:themeColor="text1"/>
          <w:sz w:val="16"/>
          <w:szCs w:val="16"/>
        </w:rPr>
        <w:t>— прошу оставить на вооружении.</w:t>
      </w:r>
    </w:p>
    <w:p w14:paraId="6EB15F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С колючей проволокой у нас плохо. У финнов все было завалено проволокой. Мы не умеем ставить проволоку.</w:t>
      </w:r>
    </w:p>
    <w:p w14:paraId="25A365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Мерецков: </w:t>
      </w:r>
      <w:r w:rsidRPr="00DB5D0D">
        <w:rPr>
          <w:rFonts w:ascii="Times New Roman" w:hAnsi="Times New Roman"/>
          <w:color w:val="000000" w:themeColor="text1"/>
          <w:sz w:val="16"/>
          <w:szCs w:val="16"/>
        </w:rPr>
        <w:t>У финнов были проволочные заграждения в 40 рядов с железными кольями.</w:t>
      </w:r>
    </w:p>
    <w:p w14:paraId="087B76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Каковы запасы проволоки?</w:t>
      </w:r>
    </w:p>
    <w:p w14:paraId="03860F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Есть ли у нас металлические колья? Кроме нас никто не применяет деревянных кольев. У нас в УР'ах проволочные заграждения тоже с деревянными кольями, которые выходят из строя на третий год, из-за чего пропадает проволока. Нужно поставить в самые кратчайшие сроки производство металлических кольев.</w:t>
      </w:r>
    </w:p>
    <w:p w14:paraId="490FF3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Этим вопросом занимался Экономсовет. Решено расширить заводы и построить 4 новых завода. Сейчас мы получаем от промышленности 25 % нашей потребности, а с проведением в жизнь намеченных мероприятий Экономсоветом будем получать 30 % нашей потребности.</w:t>
      </w:r>
    </w:p>
    <w:p w14:paraId="03F507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Нам трудно иметь все металлические колья. Нам нужно научиться ставить проволоку и создать механические средства для свертывания проволоки. Не можем допускать, чтобы из-за деревянных кольев портилась проволока. Не обязательно всю проволоку сейчас в мирное время развертывать. Нам нужны железные костыли для проволоки, которая будет расстилаться на земле. Этим должна заняться комиссия. Тов. Хренов, сыграла ли какую-нибудь роль наша малозаметная проволока на войне с финнами?</w:t>
      </w:r>
    </w:p>
    <w:p w14:paraId="6A2F39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Хренов: </w:t>
      </w:r>
      <w:r w:rsidRPr="00DB5D0D">
        <w:rPr>
          <w:rFonts w:ascii="Times New Roman" w:hAnsi="Times New Roman"/>
          <w:color w:val="000000" w:themeColor="text1"/>
          <w:sz w:val="16"/>
          <w:szCs w:val="16"/>
        </w:rPr>
        <w:t>На Кар[ельском] перешейке в зимних условиях малозаметная проволока оказалась непригодной, а летом будет хороша.</w:t>
      </w:r>
    </w:p>
    <w:p w14:paraId="30ABEA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МЗП — вещь чрезвычайно ценная. Она является дополнением к колючей проволоке.</w:t>
      </w:r>
    </w:p>
    <w:p w14:paraId="4E4D67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МЗП мы получаем из Германии, которая нам дает мало. Мы сами катаем проволоки очень мало, в основном привозим из-за границы и вяжем пакеты.</w:t>
      </w:r>
    </w:p>
    <w:p w14:paraId="0A9549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Маскировочные средства.</w:t>
      </w:r>
    </w:p>
    <w:p w14:paraId="1C305A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(Перечисляет все имеющиеся маскировочные средства.)</w:t>
      </w:r>
    </w:p>
    <w:p w14:paraId="060A26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У нас много этих маск[ировочных] средств, но мы не умеем их использовать. Финны нас превосходят в этом. Во время войны финнов мы не видели, они маскировались хорошо. Прямо стыд. Я помню, в 1923 г. у нас была маскировочная школа, нам показывали искусство маскировки в этой школе, и тогда действительно маскировочное дело стояло на должной высоте. Нам тогда показывали батальон, который был замаскирован в лесу. Мы его так и не могли найти, а потом была подана команда, и батальон вырос перед нами.</w:t>
      </w:r>
    </w:p>
    <w:p w14:paraId="4E6081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Во время войны с финнами было распространено неправильное мнение о тех командирах, которые маскировались, их часто называли трусами.</w:t>
      </w:r>
    </w:p>
    <w:p w14:paraId="6742B7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Мы не обучаем людей маскировочному делу. Нужно обучать войска по использованию всех подручных средств для маскировки. Нужно в другом месте обсудить вопрос о восстановлении маскировочной школы, а маск[ировочных] средствах передать в комиссию.</w:t>
      </w:r>
    </w:p>
    <w:p w14:paraId="0590CC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У нас нет саперного танка. До 1938 г. этим делом занималось ИУ Красной Армии, а с 1938 г. — АБТУ. Кто же должен заниматься?</w:t>
      </w:r>
    </w:p>
    <w:p w14:paraId="1EFB31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Раз инженерный танк, то Инженерное управление и должно заниматься.</w:t>
      </w:r>
    </w:p>
    <w:p w14:paraId="25B10D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Я предлагаю этот вопрос передать в комиссию. Тов. Петров, назовите кого выбрать в комиссию.</w:t>
      </w:r>
    </w:p>
    <w:p w14:paraId="144FD9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Смородинов: </w:t>
      </w:r>
      <w:r w:rsidRPr="00DB5D0D">
        <w:rPr>
          <w:rFonts w:ascii="Times New Roman" w:hAnsi="Times New Roman"/>
          <w:color w:val="000000" w:themeColor="text1"/>
          <w:sz w:val="16"/>
          <w:szCs w:val="16"/>
        </w:rPr>
        <w:t>Я предлагаю избрать председателем комиссии т. Мерецкова.</w:t>
      </w:r>
    </w:p>
    <w:p w14:paraId="56584C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Мерецков: </w:t>
      </w:r>
      <w:r w:rsidRPr="00DB5D0D">
        <w:rPr>
          <w:rFonts w:ascii="Times New Roman" w:hAnsi="Times New Roman"/>
          <w:color w:val="000000" w:themeColor="text1"/>
          <w:sz w:val="16"/>
          <w:szCs w:val="16"/>
        </w:rPr>
        <w:t>Я уже состою в одной комиссии.</w:t>
      </w:r>
    </w:p>
    <w:p w14:paraId="147164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включить в комиссию: тт. Антонюка, Петрова, Хренова, Городовикова, Лебедева, Трубецкого, Михальчука, Козлова, Гусева, Хрулева, Иванова П. А.</w:t>
      </w:r>
    </w:p>
    <w:p w14:paraId="5D37BF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железнодорожной технике также должна рассмотреть эта комиссия и предложить нам в проекте постановления отдельным разделом.</w:t>
      </w:r>
    </w:p>
    <w:p w14:paraId="3EB532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Я предлагаю рассмотреть вопрос о стратегическом железнодорожном строительстве.</w:t>
      </w:r>
    </w:p>
    <w:p w14:paraId="485B1D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Этот вопрос выходит за рамки нашей комиссии. Он рассматривается ЦК ВКП(б).</w:t>
      </w:r>
    </w:p>
    <w:p w14:paraId="6A9490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Тогда этот вопрос было бы желательно рассмотреть на Главном военном совете. Я уверяю, что Управление ВОСО не знает, какие у нас на Востоке имеются железные дороги. Железнодорожный корпус не используется.</w:t>
      </w:r>
    </w:p>
    <w:p w14:paraId="60683A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Смородинов: </w:t>
      </w:r>
      <w:r w:rsidRPr="00DB5D0D">
        <w:rPr>
          <w:rFonts w:ascii="Times New Roman" w:hAnsi="Times New Roman"/>
          <w:color w:val="000000" w:themeColor="text1"/>
          <w:sz w:val="16"/>
          <w:szCs w:val="16"/>
        </w:rPr>
        <w:t>Это неверно.</w:t>
      </w:r>
    </w:p>
    <w:p w14:paraId="1992E4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Переходим к обсуждению системы химического вооружения. Слово предоставляется т. Мельникову.</w:t>
      </w:r>
    </w:p>
    <w:p w14:paraId="335DE4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Мельников: Химическое вооружение.</w:t>
      </w:r>
    </w:p>
    <w:p w14:paraId="34242F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Общевойсковой противогаз— </w:t>
      </w:r>
      <w:r w:rsidRPr="00DB5D0D">
        <w:rPr>
          <w:rFonts w:ascii="Times New Roman" w:hAnsi="Times New Roman"/>
          <w:color w:val="000000" w:themeColor="text1"/>
          <w:sz w:val="16"/>
          <w:szCs w:val="16"/>
        </w:rPr>
        <w:t>имеем три типа: один — выпуска до 1938 г., производства 1938 г.</w:t>
      </w:r>
      <w:r w:rsidRPr="00DB5D0D">
        <w:rPr>
          <w:rFonts w:ascii="Times New Roman" w:hAnsi="Times New Roman"/>
          <w:color w:val="000000" w:themeColor="text1"/>
          <w:sz w:val="16"/>
          <w:szCs w:val="16"/>
          <w:vertAlign w:val="superscript"/>
        </w:rPr>
        <w:t>56</w:t>
      </w:r>
      <w:r w:rsidRPr="00DB5D0D">
        <w:rPr>
          <w:rFonts w:ascii="Times New Roman" w:hAnsi="Times New Roman"/>
          <w:color w:val="000000" w:themeColor="text1"/>
          <w:sz w:val="16"/>
          <w:szCs w:val="16"/>
        </w:rPr>
        <w:t xml:space="preserve"> и уменьшенный — производства 1938 г. Первый — защищает 30 мин, второй — [от] 4—5 часов до 12 от всех OB, от угарного газа не защищает; вес первого — 2,5 кг, второго — 2,2 кг. Кроме того, имеется уменьшенный для танковых и авиационных частей, вес — 2 кг, защищает 3 часа.</w:t>
      </w:r>
    </w:p>
    <w:p w14:paraId="6B4939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Иностранные противогазы мощность имеют в 2—3 раза меньшую и не защищают от мышьякового водорода и слабо от синильной кислоты. Вес — 2 кг.</w:t>
      </w:r>
    </w:p>
    <w:p w14:paraId="7333F3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общевойсковой противогаз изготовления 1938 г. постепенно заменить на противогаз уменьшенный нового образца, который сейчас уже изготовляется.</w:t>
      </w:r>
    </w:p>
    <w:p w14:paraId="2B109F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Козлов: </w:t>
      </w:r>
      <w:r w:rsidRPr="00DB5D0D">
        <w:rPr>
          <w:rFonts w:ascii="Times New Roman" w:hAnsi="Times New Roman"/>
          <w:color w:val="000000" w:themeColor="text1"/>
          <w:sz w:val="16"/>
          <w:szCs w:val="16"/>
        </w:rPr>
        <w:t>Какой вес нового противогаза?</w:t>
      </w:r>
    </w:p>
    <w:p w14:paraId="37C03E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Вес нового противогаза 1,8—1,9 кг. Проектируем с весом 1,2—1,3 кг.</w:t>
      </w:r>
    </w:p>
    <w:p w14:paraId="6517BB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обучение войск* в мирных условиях народным комиссаром принято решение использовать отживающие противогазы, а несекретных противогазов не производить. Для УР'ов и других герметизирующих помещений, где много угарного газа, предлагаю принять специальный патрон, вес 500 г, защищает 60 мин.</w:t>
      </w:r>
    </w:p>
    <w:p w14:paraId="5A8B8E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Бумажная накидка </w:t>
      </w:r>
      <w:r w:rsidRPr="00DB5D0D">
        <w:rPr>
          <w:rFonts w:ascii="Times New Roman" w:hAnsi="Times New Roman"/>
          <w:color w:val="000000" w:themeColor="text1"/>
          <w:sz w:val="16"/>
          <w:szCs w:val="16"/>
        </w:rPr>
        <w:t>— защищает от иприта 15—20 мин., вес — 320—450 г. Аналогичные накидки имеют Япония и Германия. Только у японцев прорезиненная и на шелковой основе.</w:t>
      </w:r>
    </w:p>
    <w:p w14:paraId="36D70F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У нас она предназначена в момент, когда поливают OB. Нельзя же каждый раз при появлении авиации одевать и раздевать эту накидку. Она сразу же при частом одевании порвется, а если не одевать при появлении самолетов противника, то можно попасть под OB. Нужна другая прочная накидка, эта не годится. Может быть, нужно иметь меньше количество, но прочнее. В Химическом управлении много всякой ерунды, а хороших вещей мало.</w:t>
      </w:r>
    </w:p>
    <w:p w14:paraId="737B7B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Антонюк: </w:t>
      </w:r>
      <w:r w:rsidRPr="00DB5D0D">
        <w:rPr>
          <w:rFonts w:ascii="Times New Roman" w:hAnsi="Times New Roman"/>
          <w:color w:val="000000" w:themeColor="text1"/>
          <w:sz w:val="16"/>
          <w:szCs w:val="16"/>
        </w:rPr>
        <w:t>Надо пропитать особым веществом обмундирование или создать мазь. Вы, товарищи химики, идете неправильным путем, нужно упростить. Наши общевойсковые командиры все принимают, что им дают, вплоть до собачьих чулков и кошачьих намордников.</w:t>
      </w:r>
    </w:p>
    <w:p w14:paraId="63414F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lastRenderedPageBreak/>
        <w:t xml:space="preserve">Мельников: </w:t>
      </w:r>
      <w:r w:rsidRPr="00DB5D0D">
        <w:rPr>
          <w:rFonts w:ascii="Times New Roman" w:hAnsi="Times New Roman"/>
          <w:color w:val="000000" w:themeColor="text1"/>
          <w:sz w:val="16"/>
          <w:szCs w:val="16"/>
        </w:rPr>
        <w:t>У немцев накидкой служит кусок гофрированной, пропитанной особым веществом бумаги.</w:t>
      </w:r>
    </w:p>
    <w:p w14:paraId="5BA641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обсудить этот вопрос здесь. Вы, т. Штерн, воевали. Одевали Вы эти накидки или нет?</w:t>
      </w:r>
    </w:p>
    <w:p w14:paraId="1427D1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Нет, не одевали, они рассчитаны на один раз.</w:t>
      </w:r>
    </w:p>
    <w:p w14:paraId="569D07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Хрулев: </w:t>
      </w:r>
      <w:r w:rsidRPr="00DB5D0D">
        <w:rPr>
          <w:rFonts w:ascii="Times New Roman" w:hAnsi="Times New Roman"/>
          <w:color w:val="000000" w:themeColor="text1"/>
          <w:sz w:val="16"/>
          <w:szCs w:val="16"/>
        </w:rPr>
        <w:t>Она находится в сумке, но если походить с противогазом месяц, то накидка разотрется в порошок.</w:t>
      </w:r>
    </w:p>
    <w:p w14:paraId="61347C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Пока нужно оставить эту накидку. Не одевали накидок потому, что знали: противник не применит OB.</w:t>
      </w:r>
    </w:p>
    <w:p w14:paraId="35AB82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Положение такое, что с появлением штурмовиков противника войска раз оденут накидку, а противник возьмет и не польет OB, тогда войска больше не будут одевать.</w:t>
      </w:r>
    </w:p>
    <w:p w14:paraId="0FC2CF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Нужно просить правительство дать нам хорошую накидку.</w:t>
      </w:r>
    </w:p>
    <w:p w14:paraId="3F9A33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 </w:t>
      </w:r>
      <w:r w:rsidRPr="00DB5D0D">
        <w:rPr>
          <w:rFonts w:ascii="Times New Roman" w:hAnsi="Times New Roman"/>
          <w:color w:val="000000" w:themeColor="text1"/>
          <w:sz w:val="16"/>
          <w:szCs w:val="16"/>
        </w:rPr>
        <w:t>По-моему, не имеет значения прочность накидки, так как все равно придется после поливки OB бросать.</w:t>
      </w:r>
    </w:p>
    <w:p w14:paraId="19A439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Нет, не все равно. Когда будет прочная накидка, то ее можно несколько раз одевать.</w:t>
      </w:r>
    </w:p>
    <w:p w14:paraId="4C4E53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Ковалев: </w:t>
      </w:r>
      <w:r w:rsidRPr="00DB5D0D">
        <w:rPr>
          <w:rFonts w:ascii="Times New Roman" w:hAnsi="Times New Roman"/>
          <w:color w:val="000000" w:themeColor="text1"/>
          <w:sz w:val="16"/>
          <w:szCs w:val="16"/>
        </w:rPr>
        <w:t>Существующей бумажной накидкой на фронте разжигали костры, а в мирное время часто используют для обвертки. Нужно придумать лучшее средство. Надо продумать вопрос о зонтике.</w:t>
      </w:r>
    </w:p>
    <w:p w14:paraId="73D79D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Антонюк: </w:t>
      </w:r>
      <w:r w:rsidRPr="00DB5D0D">
        <w:rPr>
          <w:rFonts w:ascii="Times New Roman" w:hAnsi="Times New Roman"/>
          <w:color w:val="000000" w:themeColor="text1"/>
          <w:sz w:val="16"/>
          <w:szCs w:val="16"/>
        </w:rPr>
        <w:t>Нужно пропитать плащ-палатку, ее каждый боец имеет.</w:t>
      </w:r>
    </w:p>
    <w:p w14:paraId="31D2B3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Поляков: </w:t>
      </w:r>
      <w:r w:rsidRPr="00DB5D0D">
        <w:rPr>
          <w:rFonts w:ascii="Times New Roman" w:hAnsi="Times New Roman"/>
          <w:color w:val="000000" w:themeColor="text1"/>
          <w:sz w:val="16"/>
          <w:szCs w:val="16"/>
        </w:rPr>
        <w:t>Вы, товарищ нарком, правы. Если накидку протаскать месяц, то она никуда не будет годиться. Нам нужно иметь специальный плащ или пропитать палатку. Смазывать мазями нереально.</w:t>
      </w:r>
    </w:p>
    <w:p w14:paraId="7B3213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w:t>
      </w:r>
      <w:r w:rsidRPr="00DB5D0D">
        <w:rPr>
          <w:rFonts w:ascii="Times New Roman" w:hAnsi="Times New Roman"/>
          <w:color w:val="000000" w:themeColor="text1"/>
          <w:sz w:val="16"/>
          <w:szCs w:val="16"/>
        </w:rPr>
        <w:t>Я против пропитывания палатки. Налет произойдет, и палатку нужно сбрасывать.</w:t>
      </w:r>
    </w:p>
    <w:p w14:paraId="4B1A83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Над этим вопросом надо задуматься. Обсудить на комиссии.</w:t>
      </w:r>
    </w:p>
    <w:p w14:paraId="534216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На первый период нужно дать прочную накидку, а после первой поливки нужно дать бросовые средства.</w:t>
      </w:r>
    </w:p>
    <w:p w14:paraId="2969A6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Мне только что доложили, что член нашей комиссии т. Богомолов 29.05.1940 г.* умер. Прошу почтить память вставанием.</w:t>
      </w:r>
    </w:p>
    <w:p w14:paraId="552467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Хрулев: </w:t>
      </w:r>
      <w:r w:rsidRPr="00DB5D0D">
        <w:rPr>
          <w:rFonts w:ascii="Times New Roman" w:hAnsi="Times New Roman"/>
          <w:color w:val="000000" w:themeColor="text1"/>
          <w:sz w:val="16"/>
          <w:szCs w:val="16"/>
        </w:rPr>
        <w:t>Бумажная палатка прошита нитками. Места швов пропускают OB. Немцы умнее, когда дают кусок бумаги.</w:t>
      </w:r>
    </w:p>
    <w:p w14:paraId="709C75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передать этот вопрос на комиссию.</w:t>
      </w:r>
    </w:p>
    <w:p w14:paraId="3D6112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Защитные олифовые чулки </w:t>
      </w:r>
      <w:r w:rsidRPr="00DB5D0D">
        <w:rPr>
          <w:rFonts w:ascii="Times New Roman" w:hAnsi="Times New Roman"/>
          <w:color w:val="000000" w:themeColor="text1"/>
          <w:sz w:val="16"/>
          <w:szCs w:val="16"/>
        </w:rPr>
        <w:t>защищают до 6 часов. По предложению наркома отработали бумажные чулки, которые будут стоить в 20 раз дешевле, а защитная способность та же.</w:t>
      </w:r>
    </w:p>
    <w:p w14:paraId="50217C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Что — 6 часов — хождение или лежание в чулках?</w:t>
      </w:r>
    </w:p>
    <w:p w14:paraId="2FB3F9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Ходить можно 45 мин. — 1 час. У нас есть японские чулки, они сделаны на шелку.</w:t>
      </w:r>
    </w:p>
    <w:p w14:paraId="267779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Импрегнированное обмундирование и белье. </w:t>
      </w:r>
      <w:r w:rsidRPr="00DB5D0D">
        <w:rPr>
          <w:rFonts w:ascii="Times New Roman" w:hAnsi="Times New Roman"/>
          <w:color w:val="000000" w:themeColor="text1"/>
          <w:sz w:val="16"/>
          <w:szCs w:val="16"/>
        </w:rPr>
        <w:t>Отработана рецептура защиты от 3 до 4 час. От капельных и жидких OB не защищает. Капля проникает через 20—30 мин. Воздухопроницаемость сохраняется на 80—90%. Выдерживает две стирки. База для пропитки узка. Нужно расширить базу. Если обеспечим открытые части тела бойца, то будем иметь неплохое средство защиты.</w:t>
      </w:r>
    </w:p>
    <w:p w14:paraId="508C0A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Сильный ли запах от этого обмундирования?</w:t>
      </w:r>
    </w:p>
    <w:p w14:paraId="27712A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Хрулев: </w:t>
      </w:r>
      <w:r w:rsidRPr="00DB5D0D">
        <w:rPr>
          <w:rFonts w:ascii="Times New Roman" w:hAnsi="Times New Roman"/>
          <w:color w:val="000000" w:themeColor="text1"/>
          <w:sz w:val="16"/>
          <w:szCs w:val="16"/>
        </w:rPr>
        <w:t>Это обмундирование теряет свои защитные свойства через 1—1,5 часа. Ткани импрегнированы, а шинель?</w:t>
      </w:r>
    </w:p>
    <w:p w14:paraId="3B6D3C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Шинель сама задержит. Этот вопрос полностью еще не разрешен, но одно ясно, что не миллионы будут подвергаться поливке. Нужно работать над пропиткой. Запах есть, но нужно добиться, чтобы его не было. Если химики добьются закрытия открытых мест бойца, то будет неплохое средство. Накидки — это не выход из положения. О зонтике вопрос нужно продумать.</w:t>
      </w:r>
    </w:p>
    <w:p w14:paraId="68C8F0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Выходит, нужно зонтик носить с собой.</w:t>
      </w:r>
    </w:p>
    <w:p w14:paraId="7FC8DC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Обязательно. Химию применять будут внезапно. Нужно предусмотреть такие средства, которые бы минимально прикрывали, а не специальные средства, в которых вы сидите как куклы и ждете химического нападения. Неправильно^], т. Хрулев, Ваше мнение о пропитке обмундирования.</w:t>
      </w:r>
    </w:p>
    <w:p w14:paraId="57CD6E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Хрулев абсолютно неправ. Самый верный путь — обмундирование и белье пропитать. Нужно по этому пути идти.</w:t>
      </w:r>
    </w:p>
    <w:p w14:paraId="7F1A3C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Что же, все время во время войны носить это белье?</w:t>
      </w:r>
    </w:p>
    <w:p w14:paraId="2C8295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Нужно поработать над вопросом выветривания OB. Нужно иметь дегазационные средства в батальоне. Комиссии необходимо над этим поработать.</w:t>
      </w:r>
    </w:p>
    <w:p w14:paraId="28A6DC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Куликов: </w:t>
      </w:r>
      <w:r w:rsidRPr="00DB5D0D">
        <w:rPr>
          <w:rFonts w:ascii="Times New Roman" w:hAnsi="Times New Roman"/>
          <w:color w:val="000000" w:themeColor="text1"/>
          <w:sz w:val="16"/>
          <w:szCs w:val="16"/>
        </w:rPr>
        <w:t>В этом белье и обмундировании боец не сможет делать перебежек. Кожа не дышит, легкие и сердце быстро устают. В 1934 г. я сам бегал в этом белье.</w:t>
      </w:r>
    </w:p>
    <w:p w14:paraId="245F5A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Борисов: </w:t>
      </w:r>
      <w:r w:rsidRPr="00DB5D0D">
        <w:rPr>
          <w:rFonts w:ascii="Times New Roman" w:hAnsi="Times New Roman"/>
          <w:color w:val="000000" w:themeColor="text1"/>
          <w:sz w:val="16"/>
          <w:szCs w:val="16"/>
        </w:rPr>
        <w:t>Наши гимнастерки при просматривании в специальное стекло делаются черными пятнами. Не усиливает ли пропитка этих пятен?</w:t>
      </w:r>
    </w:p>
    <w:p w14:paraId="791384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Эти вещи изготовил Ленинградский институт. Они говорили, что при пропитке обмундирование теряет воздухопроницательность на 15— 20%. То, что говорит т. Куликов, это уже страшные вещи.</w:t>
      </w:r>
    </w:p>
    <w:p w14:paraId="7CCE40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Куликов: </w:t>
      </w:r>
      <w:r w:rsidRPr="00DB5D0D">
        <w:rPr>
          <w:rFonts w:ascii="Times New Roman" w:hAnsi="Times New Roman"/>
          <w:color w:val="000000" w:themeColor="text1"/>
          <w:sz w:val="16"/>
          <w:szCs w:val="16"/>
        </w:rPr>
        <w:t>В 1939 г. химкурсы одеты в это белье и обмундирование, из-за чего преподаватели разбегаются.</w:t>
      </w:r>
    </w:p>
    <w:p w14:paraId="0F8D0B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Все эти вопросы нужно обсудить на комиссии, включив туда товарищей, которые сталкивались с этим вопросом.</w:t>
      </w:r>
    </w:p>
    <w:p w14:paraId="30FEEC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Комбинезон олифовый: </w:t>
      </w:r>
      <w:r w:rsidRPr="00DB5D0D">
        <w:rPr>
          <w:rFonts w:ascii="Times New Roman" w:hAnsi="Times New Roman"/>
          <w:color w:val="000000" w:themeColor="text1"/>
          <w:sz w:val="16"/>
          <w:szCs w:val="16"/>
        </w:rPr>
        <w:t>вес — 4 кг, защищает до 4-х час, основан на принципе полной изоляции. Тренированный человек может проработать в нем 2-3 часа.</w:t>
      </w:r>
    </w:p>
    <w:p w14:paraId="3EBE94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Хрулев: </w:t>
      </w:r>
      <w:r w:rsidRPr="00DB5D0D">
        <w:rPr>
          <w:rFonts w:ascii="Times New Roman" w:hAnsi="Times New Roman"/>
          <w:color w:val="000000" w:themeColor="text1"/>
          <w:sz w:val="16"/>
          <w:szCs w:val="16"/>
        </w:rPr>
        <w:t>Сколько нужно этих комплектов?</w:t>
      </w:r>
    </w:p>
    <w:p w14:paraId="3060A2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Я вижу, что Вы напрашиваетесь в эту комиссию, т. Хрулев. Мы Вас включим. Это серьезный вопрос. Передадим этот вопрос на комиссию.</w:t>
      </w:r>
    </w:p>
    <w:p w14:paraId="06488F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Предлагаю оставить на вооружении: сапоги резиновые, перчатки, халат и передник. Все эти предметы для дегазации оружия и местности. Предлагаю принять на вооружение кислородный изоляционный противогаз для работы в ДОТ'ах. В нем можно работать 2 час, вес — около 8 кг.</w:t>
      </w:r>
    </w:p>
    <w:p w14:paraId="28AE70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принять.</w:t>
      </w:r>
    </w:p>
    <w:p w14:paraId="472D8E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39B638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Подводный изоляционный аппарат для работы на глубине 20 м </w:t>
      </w:r>
      <w:r w:rsidRPr="00DB5D0D">
        <w:rPr>
          <w:rFonts w:ascii="Times New Roman" w:hAnsi="Times New Roman"/>
          <w:color w:val="000000" w:themeColor="text1"/>
          <w:sz w:val="16"/>
          <w:szCs w:val="16"/>
        </w:rPr>
        <w:t>продолжительностью 1—2 часа.</w:t>
      </w:r>
    </w:p>
    <w:p w14:paraId="1E9474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Каждый год готовим подводников, а на учете их нет. Этот вопрос придется передать в комиссию, а о подводниках — в другое место.</w:t>
      </w:r>
    </w:p>
    <w:p w14:paraId="403BA2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Предлагаю принять на вооружение унифицированный наземноподводный прибор для работы на глубине 20 м, защищает около двух часов.</w:t>
      </w:r>
    </w:p>
    <w:p w14:paraId="4AE607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Принять.</w:t>
      </w:r>
    </w:p>
    <w:p w14:paraId="75A7B8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принять на вооружение фильтропоглотители для убежищ.</w:t>
      </w:r>
    </w:p>
    <w:p w14:paraId="3E568D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Передать в комиссию.</w:t>
      </w:r>
    </w:p>
    <w:p w14:paraId="19873E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Конский противогаз (влажный). </w:t>
      </w:r>
      <w:r w:rsidRPr="00DB5D0D">
        <w:rPr>
          <w:rFonts w:ascii="Times New Roman" w:hAnsi="Times New Roman"/>
          <w:color w:val="000000" w:themeColor="text1"/>
          <w:sz w:val="16"/>
          <w:szCs w:val="16"/>
        </w:rPr>
        <w:t xml:space="preserve">Предлагаю с производства снять, а на вооружении пока оставить. Сухой конский противогаз предлагаю иметь для обозных лошадей. В дальнейшем его не производить. </w:t>
      </w:r>
      <w:r w:rsidRPr="00DB5D0D">
        <w:rPr>
          <w:rFonts w:ascii="Times New Roman" w:hAnsi="Times New Roman"/>
          <w:iCs/>
          <w:color w:val="000000" w:themeColor="text1"/>
          <w:sz w:val="16"/>
          <w:szCs w:val="16"/>
        </w:rPr>
        <w:t xml:space="preserve">Конский сухой противогаз </w:t>
      </w:r>
      <w:r w:rsidRPr="00DB5D0D">
        <w:rPr>
          <w:rFonts w:ascii="Times New Roman" w:hAnsi="Times New Roman"/>
          <w:color w:val="000000" w:themeColor="text1"/>
          <w:sz w:val="16"/>
          <w:szCs w:val="16"/>
        </w:rPr>
        <w:t>последнего изготовления защищает 3—12 часов, вес — 6 кг, 2 коробки, возится на передней части седла, если нет седла, то вешается на шею. На морде лошади только маска. Предлагаю принять на вооружение. Образцы германского и чехословацкого конского противогаза по мощности уступают этому противогазу.</w:t>
      </w:r>
    </w:p>
    <w:p w14:paraId="74842D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Городовиков: </w:t>
      </w:r>
      <w:r w:rsidRPr="00DB5D0D">
        <w:rPr>
          <w:rFonts w:ascii="Times New Roman" w:hAnsi="Times New Roman"/>
          <w:color w:val="000000" w:themeColor="text1"/>
          <w:sz w:val="16"/>
          <w:szCs w:val="16"/>
        </w:rPr>
        <w:t>Предлагаю принять, лучше нет.</w:t>
      </w:r>
    </w:p>
    <w:p w14:paraId="0DD954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Защитные конские чулки из прорезиненной ткани, </w:t>
      </w:r>
      <w:r w:rsidRPr="00DB5D0D">
        <w:rPr>
          <w:rFonts w:ascii="Times New Roman" w:hAnsi="Times New Roman"/>
          <w:color w:val="000000" w:themeColor="text1"/>
          <w:sz w:val="16"/>
          <w:szCs w:val="16"/>
        </w:rPr>
        <w:t>вес — 1—8 кг, защищают 6 часов.</w:t>
      </w:r>
    </w:p>
    <w:p w14:paraId="658359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Что-либо есть подобное в других армиях?</w:t>
      </w:r>
    </w:p>
    <w:p w14:paraId="7B1C9D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Японцы и немцы имеют.</w:t>
      </w:r>
    </w:p>
    <w:p w14:paraId="13C6B2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Чулки — ерунда. Какая-то глупость. Нужно идти по пути изыскания смазки. Лошадь раз-другой станет и порвет эти чулки.</w:t>
      </w:r>
    </w:p>
    <w:p w14:paraId="48B1E2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Городовиков: </w:t>
      </w:r>
      <w:r w:rsidRPr="00DB5D0D">
        <w:rPr>
          <w:rFonts w:ascii="Times New Roman" w:hAnsi="Times New Roman"/>
          <w:color w:val="000000" w:themeColor="text1"/>
          <w:sz w:val="16"/>
          <w:szCs w:val="16"/>
        </w:rPr>
        <w:t>Мазь имеется.</w:t>
      </w:r>
    </w:p>
    <w:p w14:paraId="6B52BA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Чулки — несерьезное дело. Они на один раз, а потом останемся без защиты.</w:t>
      </w:r>
    </w:p>
    <w:p w14:paraId="5FC9B9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Антонюк: </w:t>
      </w:r>
      <w:r w:rsidRPr="00DB5D0D">
        <w:rPr>
          <w:rFonts w:ascii="Times New Roman" w:hAnsi="Times New Roman"/>
          <w:color w:val="000000" w:themeColor="text1"/>
          <w:sz w:val="16"/>
          <w:szCs w:val="16"/>
        </w:rPr>
        <w:t>Нужно иметь пакет для обмывания.</w:t>
      </w:r>
    </w:p>
    <w:p w14:paraId="58E457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Чулки — настолько большая чепуха, что даже в комиссию передавать неудобно. Нужно придумать какую-нибудь мазь. Передадим в комиссию.</w:t>
      </w:r>
    </w:p>
    <w:p w14:paraId="4AF5BC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Буденный: </w:t>
      </w:r>
      <w:r w:rsidRPr="00DB5D0D">
        <w:rPr>
          <w:rFonts w:ascii="Times New Roman" w:hAnsi="Times New Roman"/>
          <w:color w:val="000000" w:themeColor="text1"/>
          <w:sz w:val="16"/>
          <w:szCs w:val="16"/>
        </w:rPr>
        <w:t>Чулки — чепуха, смазка лучше.</w:t>
      </w:r>
    </w:p>
    <w:p w14:paraId="504795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Сумка химразведчика </w:t>
      </w:r>
      <w:r w:rsidRPr="00DB5D0D">
        <w:rPr>
          <w:rFonts w:ascii="Times New Roman" w:hAnsi="Times New Roman"/>
          <w:color w:val="000000" w:themeColor="text1"/>
          <w:sz w:val="16"/>
          <w:szCs w:val="16"/>
        </w:rPr>
        <w:t>для определения всех известных OB. Предлагаю принять.</w:t>
      </w:r>
    </w:p>
    <w:p w14:paraId="655049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принять на комиссию.</w:t>
      </w:r>
    </w:p>
    <w:p w14:paraId="5413D1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Химавтолаборатория на «ЗИС-5» </w:t>
      </w:r>
      <w:r w:rsidRPr="00DB5D0D">
        <w:rPr>
          <w:rFonts w:ascii="Times New Roman" w:hAnsi="Times New Roman"/>
          <w:color w:val="000000" w:themeColor="text1"/>
          <w:sz w:val="16"/>
          <w:szCs w:val="16"/>
        </w:rPr>
        <w:t>для качественного анализа проб и распознавания даже неизвестных OB. Предлагаю как армейское средство для головных*.</w:t>
      </w:r>
    </w:p>
    <w:p w14:paraId="1764CE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Сколько их есть?</w:t>
      </w:r>
    </w:p>
    <w:p w14:paraId="1147C9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Таких машин имеется 85 шт. Предлагаю принять на вооружение.</w:t>
      </w:r>
    </w:p>
    <w:p w14:paraId="0A0C21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Передать в комиссию.</w:t>
      </w:r>
    </w:p>
    <w:p w14:paraId="0E701D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u w:val="single"/>
        </w:rPr>
        <w:t>Средства дегазации.</w:t>
      </w:r>
    </w:p>
    <w:p w14:paraId="7E2F4E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Хлорная известь — </w:t>
      </w:r>
      <w:r w:rsidRPr="00DB5D0D">
        <w:rPr>
          <w:rFonts w:ascii="Times New Roman" w:hAnsi="Times New Roman"/>
          <w:color w:val="000000" w:themeColor="text1"/>
          <w:sz w:val="16"/>
          <w:szCs w:val="16"/>
        </w:rPr>
        <w:t>неустойчива, комкуется. Предлагаю дальше не развивать, а перейти на гипохлорид кальция — более современное средство.</w:t>
      </w:r>
    </w:p>
    <w:p w14:paraId="77E5C6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Гипохлорид кальция </w:t>
      </w:r>
      <w:r w:rsidRPr="00DB5D0D">
        <w:rPr>
          <w:rFonts w:ascii="Times New Roman" w:hAnsi="Times New Roman"/>
          <w:color w:val="000000" w:themeColor="text1"/>
          <w:sz w:val="16"/>
          <w:szCs w:val="16"/>
        </w:rPr>
        <w:t>применяется в сухом и растворенном виде в спецмашинах. Стоек, не комкуется. Удобен в хранении. Производственная база низка.</w:t>
      </w:r>
    </w:p>
    <w:p w14:paraId="44FED9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просить Правительство об ускорении строительства заводов, так как начатое строительство в 1940 г. законсервировано.</w:t>
      </w:r>
    </w:p>
    <w:p w14:paraId="7FF576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Хрулев: </w:t>
      </w:r>
      <w:r w:rsidRPr="00DB5D0D">
        <w:rPr>
          <w:rFonts w:ascii="Times New Roman" w:hAnsi="Times New Roman"/>
          <w:color w:val="000000" w:themeColor="text1"/>
          <w:sz w:val="16"/>
          <w:szCs w:val="16"/>
        </w:rPr>
        <w:t>Этого дегазатора нужно 4 тыс. т на 1 га.</w:t>
      </w:r>
    </w:p>
    <w:p w14:paraId="06E0D8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lastRenderedPageBreak/>
        <w:t xml:space="preserve">Ворошилов: </w:t>
      </w:r>
      <w:r w:rsidRPr="00DB5D0D">
        <w:rPr>
          <w:rFonts w:ascii="Times New Roman" w:hAnsi="Times New Roman"/>
          <w:color w:val="000000" w:themeColor="text1"/>
          <w:sz w:val="16"/>
          <w:szCs w:val="16"/>
        </w:rPr>
        <w:t>Какой же это дегазатор, раз столько нужно?</w:t>
      </w:r>
    </w:p>
    <w:p w14:paraId="7AE2C9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передать на комиссию.</w:t>
      </w:r>
    </w:p>
    <w:p w14:paraId="695C75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В Японии, Германии и Франции гипохлорид кальция — это основной дегазатор. Жидкий дегазатор хлоромин для дегазации вооружения.</w:t>
      </w:r>
    </w:p>
    <w:p w14:paraId="1B11D3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передать на комиссию.</w:t>
      </w:r>
    </w:p>
    <w:p w14:paraId="15E04E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592AB2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Хлорсурфурис — </w:t>
      </w:r>
      <w:r w:rsidRPr="00DB5D0D">
        <w:rPr>
          <w:rFonts w:ascii="Times New Roman" w:hAnsi="Times New Roman"/>
          <w:color w:val="000000" w:themeColor="text1"/>
          <w:sz w:val="16"/>
          <w:szCs w:val="16"/>
        </w:rPr>
        <w:t>для дегазации местности. Хороший дегазатор. Предлагаю оставить.</w:t>
      </w:r>
    </w:p>
    <w:p w14:paraId="55FE8B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передать на комиссию.</w:t>
      </w:r>
    </w:p>
    <w:p w14:paraId="2148C5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Возимый дегазатор. </w:t>
      </w:r>
      <w:r w:rsidRPr="00DB5D0D">
        <w:rPr>
          <w:rFonts w:ascii="Times New Roman" w:hAnsi="Times New Roman"/>
          <w:color w:val="000000" w:themeColor="text1"/>
          <w:sz w:val="16"/>
          <w:szCs w:val="16"/>
        </w:rPr>
        <w:t>Прибор-тележка. Предлагаю как устаревшее средство с вооружения снять и передать для пунктов ПВО.</w:t>
      </w:r>
    </w:p>
    <w:p w14:paraId="7FC7D1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Поляков: </w:t>
      </w:r>
      <w:r w:rsidRPr="00DB5D0D">
        <w:rPr>
          <w:rFonts w:ascii="Times New Roman" w:hAnsi="Times New Roman"/>
          <w:color w:val="000000" w:themeColor="text1"/>
          <w:sz w:val="16"/>
          <w:szCs w:val="16"/>
        </w:rPr>
        <w:t>Она и для пунктов ПВО не годится.</w:t>
      </w:r>
    </w:p>
    <w:p w14:paraId="2FB48A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снять.</w:t>
      </w:r>
    </w:p>
    <w:p w14:paraId="3C3FA2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705C9C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Ранцевый дегазационный прибор для дегазации матчасти. </w:t>
      </w:r>
      <w:r w:rsidRPr="00DB5D0D">
        <w:rPr>
          <w:rFonts w:ascii="Times New Roman" w:hAnsi="Times New Roman"/>
          <w:color w:val="000000" w:themeColor="text1"/>
          <w:sz w:val="16"/>
          <w:szCs w:val="16"/>
        </w:rPr>
        <w:t>Предлагаю оставить на вооружении.</w:t>
      </w:r>
    </w:p>
    <w:p w14:paraId="2BFD01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Оставить.</w:t>
      </w:r>
    </w:p>
    <w:p w14:paraId="243C9B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Конная дегазационная повозка. </w:t>
      </w:r>
      <w:r w:rsidRPr="00DB5D0D">
        <w:rPr>
          <w:rFonts w:ascii="Times New Roman" w:hAnsi="Times New Roman"/>
          <w:color w:val="000000" w:themeColor="text1"/>
          <w:sz w:val="16"/>
          <w:szCs w:val="16"/>
        </w:rPr>
        <w:t>Предлагаю принять на вооружение.</w:t>
      </w:r>
    </w:p>
    <w:p w14:paraId="4435BD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принять.</w:t>
      </w:r>
    </w:p>
    <w:p w14:paraId="5CC681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465A6F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 xml:space="preserve">Предлагаю оставить на вооружении: </w:t>
      </w:r>
      <w:r w:rsidRPr="00DB5D0D">
        <w:rPr>
          <w:rFonts w:ascii="Times New Roman" w:hAnsi="Times New Roman"/>
          <w:iCs/>
          <w:color w:val="000000" w:themeColor="text1"/>
          <w:sz w:val="16"/>
          <w:szCs w:val="16"/>
        </w:rPr>
        <w:t xml:space="preserve">автомашину-дегазатор </w:t>
      </w:r>
      <w:r w:rsidRPr="00DB5D0D">
        <w:rPr>
          <w:rFonts w:ascii="Times New Roman" w:hAnsi="Times New Roman"/>
          <w:color w:val="000000" w:themeColor="text1"/>
          <w:sz w:val="16"/>
          <w:szCs w:val="16"/>
        </w:rPr>
        <w:t>для дегазации матчасти, которая одновременно может дегазировать 8 объектов.</w:t>
      </w:r>
    </w:p>
    <w:p w14:paraId="168705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Оставить на вооружении.</w:t>
      </w:r>
    </w:p>
    <w:p w14:paraId="54F132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Автоцистерну на шасси «ЗИС-5» </w:t>
      </w:r>
      <w:r w:rsidRPr="00DB5D0D">
        <w:rPr>
          <w:rFonts w:ascii="Times New Roman" w:hAnsi="Times New Roman"/>
          <w:color w:val="000000" w:themeColor="text1"/>
          <w:sz w:val="16"/>
          <w:szCs w:val="16"/>
        </w:rPr>
        <w:t>для дегазации местности и железнодорожного] транспорта. Предлагаю дальнейшее производство прекратить, так как имеем лучшее средство, а пока оставить для химчастей.</w:t>
      </w:r>
    </w:p>
    <w:p w14:paraId="443ADA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принять.</w:t>
      </w:r>
    </w:p>
    <w:p w14:paraId="20DF3F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Машина для дегазации местности </w:t>
      </w:r>
      <w:r w:rsidRPr="00DB5D0D">
        <w:rPr>
          <w:rFonts w:ascii="Times New Roman" w:hAnsi="Times New Roman"/>
          <w:color w:val="000000" w:themeColor="text1"/>
          <w:sz w:val="16"/>
          <w:szCs w:val="16"/>
        </w:rPr>
        <w:t>с производительностью 1-й зарядки 2,7 тыс. кв/м. Назначение — дегазация дорог. Предлагаю оставить на вооружении и перевести ее [в] вездеход.</w:t>
      </w:r>
    </w:p>
    <w:p w14:paraId="2F8551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оставить и установить на вездеходе.</w:t>
      </w:r>
    </w:p>
    <w:p w14:paraId="288D6E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54C51D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Машина для дегазации горячим воздухом и паром. </w:t>
      </w:r>
      <w:r w:rsidRPr="00DB5D0D">
        <w:rPr>
          <w:rFonts w:ascii="Times New Roman" w:hAnsi="Times New Roman"/>
          <w:color w:val="000000" w:themeColor="text1"/>
          <w:sz w:val="16"/>
          <w:szCs w:val="16"/>
        </w:rPr>
        <w:t>Производительность — 150 комплектов обмундирования в сутки. Предлагаю оставить на вооружении, но в дальнейшем сделать более мощную. Мы сейчас разрабатываем с суточной производительностью 300 комплектов обмундирования. В Германии есть машина с производительностью 300 комплектов в 1,5 час.</w:t>
      </w:r>
    </w:p>
    <w:p w14:paraId="291448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передать в комиссию.</w:t>
      </w:r>
    </w:p>
    <w:p w14:paraId="0A3569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Бучильная установка для дегазации и кипячения </w:t>
      </w:r>
      <w:r w:rsidRPr="00DB5D0D">
        <w:rPr>
          <w:rFonts w:ascii="Times New Roman" w:hAnsi="Times New Roman"/>
          <w:color w:val="000000" w:themeColor="text1"/>
          <w:sz w:val="16"/>
          <w:szCs w:val="16"/>
        </w:rPr>
        <w:t>обмундирования и белья.</w:t>
      </w:r>
    </w:p>
    <w:p w14:paraId="3E1454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Для дивизии громоздка и малопроизводительна. Предлагаю передать на комиссию.</w:t>
      </w:r>
    </w:p>
    <w:p w14:paraId="2CE89A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Петров: </w:t>
      </w:r>
      <w:r w:rsidRPr="00DB5D0D">
        <w:rPr>
          <w:rFonts w:ascii="Times New Roman" w:hAnsi="Times New Roman"/>
          <w:color w:val="000000" w:themeColor="text1"/>
          <w:sz w:val="16"/>
          <w:szCs w:val="16"/>
        </w:rPr>
        <w:t>Как мыслят дегазировать окопы?</w:t>
      </w:r>
    </w:p>
    <w:p w14:paraId="726FF0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Только ранцевым прибором.</w:t>
      </w:r>
    </w:p>
    <w:p w14:paraId="4B7454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Химический танк «Т-26» </w:t>
      </w:r>
      <w:r w:rsidRPr="00DB5D0D">
        <w:rPr>
          <w:rFonts w:ascii="Times New Roman" w:hAnsi="Times New Roman"/>
          <w:color w:val="000000" w:themeColor="text1"/>
          <w:sz w:val="16"/>
          <w:szCs w:val="16"/>
        </w:rPr>
        <w:t>предназначается для заражения местности, дымопуска и огнеметания. Предлагаю оставить на вооружении.</w:t>
      </w:r>
    </w:p>
    <w:p w14:paraId="48C9C0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Взамен химтанка нужно сделать химич[еский] прицеп и съемный огнемет.</w:t>
      </w:r>
    </w:p>
    <w:p w14:paraId="7EFC33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Я считаю, что химтанков иметь в таком количестве — это роскошь. Бездействия такого количества танков допустить не можем. Предлагаю специально обсудить этот вопрос на комиссии.</w:t>
      </w:r>
    </w:p>
    <w:p w14:paraId="2C6391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Мерецков: </w:t>
      </w:r>
      <w:r w:rsidRPr="00DB5D0D">
        <w:rPr>
          <w:rFonts w:ascii="Times New Roman" w:hAnsi="Times New Roman"/>
          <w:color w:val="000000" w:themeColor="text1"/>
          <w:sz w:val="16"/>
          <w:szCs w:val="16"/>
        </w:rPr>
        <w:t>Должен быть специальный танк. Огнемет работал на фронте хорошо.</w:t>
      </w:r>
    </w:p>
    <w:p w14:paraId="02E23E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Огнемет — не химтанк. Огнеметным может быть любой танк; нам незачем иметь специальный химический танк.</w:t>
      </w:r>
    </w:p>
    <w:p w14:paraId="3C89D1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Основное назначение этого танка — заражение матчасти и дымопуска, а не огне метание.</w:t>
      </w:r>
    </w:p>
    <w:p w14:paraId="0E3BBB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Немцы и японцы такой роскоши не позволяют — держать тысячи химтанков. Не нужно нам столько химтанков, которые стоят пугалами.</w:t>
      </w:r>
    </w:p>
    <w:p w14:paraId="24A335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Люди, изобретая химтанки, не знали, для чего они изобретали. Если взять химический танк как заражение, то кубатура мала— это затея Фишмана. Нам нужно хорошую БХМ. Огнемет — это не химическое дело. То, что у нас есть химбригады — это недоразумение. Нужно бригады расформировать и создать несколько батальонов с БХМ. Необходимо передать в комиссию.</w:t>
      </w:r>
    </w:p>
    <w:p w14:paraId="243CC1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Тов. Мельников, из двух неудобств нужно меньшее, лучше потерять несколько съемных бачков, чем потерять нам тысячи танков. Продумайте, как танки использовать для химии?</w:t>
      </w:r>
    </w:p>
    <w:p w14:paraId="49D9A7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Химических танков совсем не нужно иметь.</w:t>
      </w:r>
    </w:p>
    <w:p w14:paraId="3DEB32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обсудить этот вопрос на специальной комиссии.</w:t>
      </w:r>
    </w:p>
    <w:p w14:paraId="02FD7E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Мехлис: </w:t>
      </w:r>
      <w:r w:rsidRPr="00DB5D0D">
        <w:rPr>
          <w:rFonts w:ascii="Times New Roman" w:hAnsi="Times New Roman"/>
          <w:color w:val="000000" w:themeColor="text1"/>
          <w:sz w:val="16"/>
          <w:szCs w:val="16"/>
        </w:rPr>
        <w:t>Нельзя допустить, чтобы это разделение труда доводить до абсурда.</w:t>
      </w:r>
    </w:p>
    <w:p w14:paraId="51E3C2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Мерецков: </w:t>
      </w:r>
      <w:r w:rsidRPr="00DB5D0D">
        <w:rPr>
          <w:rFonts w:ascii="Times New Roman" w:hAnsi="Times New Roman"/>
          <w:color w:val="000000" w:themeColor="text1"/>
          <w:sz w:val="16"/>
          <w:szCs w:val="16"/>
        </w:rPr>
        <w:t>В бачках нельзя возить OB, так как истребитель все разольет. Вся особенность, что танк имеет резервуар внутри. Если они не будут в броне, то OB и жидкость огнем все на поле боя будет гореть. Огнеметы показали себя хорошо. Эти танки нужны. Нужно подумать, как водить. Мельников не может доложить как следует.</w:t>
      </w:r>
    </w:p>
    <w:p w14:paraId="299BBB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Я считаю, что можно приспособить каждый танк для огнеметания. Если вы не будете объединять с химией, то задача просто решается.</w:t>
      </w:r>
    </w:p>
    <w:p w14:paraId="566DF3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Уже есть у нас химические прицепы, чего т. Мельников не докладывает. Я настаиваю сделать съемный огнеметный прибор, а не иметь специальных химтанков. Купеческой роскошью иметь такие химтанки. На Т-28 мы имеем съемный прибор. АБТУ берет на себя эту задачу.</w:t>
      </w:r>
    </w:p>
    <w:p w14:paraId="5332F1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 </w:t>
      </w:r>
      <w:r w:rsidRPr="00DB5D0D">
        <w:rPr>
          <w:rFonts w:ascii="Times New Roman" w:hAnsi="Times New Roman"/>
          <w:color w:val="000000" w:themeColor="text1"/>
          <w:sz w:val="16"/>
          <w:szCs w:val="16"/>
        </w:rPr>
        <w:t>Предлагаю создать комиссию для выработки основных тактических требований к применению химсредств.</w:t>
      </w:r>
    </w:p>
    <w:p w14:paraId="645B73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У нас все это есть. Вы не правы. Мы с 1929 г. участвовали в 7 войнах</w:t>
      </w:r>
      <w:r w:rsidRPr="00DB5D0D">
        <w:rPr>
          <w:rFonts w:ascii="Times New Roman" w:hAnsi="Times New Roman"/>
          <w:color w:val="000000" w:themeColor="text1"/>
          <w:sz w:val="16"/>
          <w:szCs w:val="16"/>
          <w:vertAlign w:val="superscript"/>
        </w:rPr>
        <w:t>57</w:t>
      </w:r>
      <w:r w:rsidRPr="00DB5D0D">
        <w:rPr>
          <w:rFonts w:ascii="Times New Roman" w:hAnsi="Times New Roman"/>
          <w:color w:val="000000" w:themeColor="text1"/>
          <w:sz w:val="16"/>
          <w:szCs w:val="16"/>
        </w:rPr>
        <w:t>, но химия ни в одной из этих войн не применялась.</w:t>
      </w:r>
    </w:p>
    <w:p w14:paraId="235BED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Лебедев: </w:t>
      </w:r>
      <w:r w:rsidRPr="00DB5D0D">
        <w:rPr>
          <w:rFonts w:ascii="Times New Roman" w:hAnsi="Times New Roman"/>
          <w:color w:val="000000" w:themeColor="text1"/>
          <w:sz w:val="16"/>
          <w:szCs w:val="16"/>
        </w:rPr>
        <w:t>Не следует химтанк делать, как делали до сих пор, есть химприцеп. На танках нужно ставить огнеметы. Можно съемные при дальности струи огнеметания до 40 м, и при струе больше 50 м нельзя съемные. На новых танках огнеметы сделать.</w:t>
      </w:r>
    </w:p>
    <w:p w14:paraId="18B75D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Предлагаю все остальное обсудить на специальной] комиссии.</w:t>
      </w:r>
    </w:p>
    <w:p w14:paraId="4D9848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661EEA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Желательно, чтобы комиссия обсудила вопрос о ВАПах, авиабомбах, артхимснарядах и химминометах.</w:t>
      </w:r>
    </w:p>
    <w:p w14:paraId="4B1C71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Смородинов: </w:t>
      </w:r>
      <w:r w:rsidRPr="00DB5D0D">
        <w:rPr>
          <w:rFonts w:ascii="Times New Roman" w:hAnsi="Times New Roman"/>
          <w:color w:val="000000" w:themeColor="text1"/>
          <w:sz w:val="16"/>
          <w:szCs w:val="16"/>
        </w:rPr>
        <w:t>Предлагаю комиссию в следующем составе: тт. Штерн, Павлов, Городовиков, Хрулев, Гусев, Мельников, Поляков, Дмитриев, Шумейко, Нагорный, Лебедев, Борисов и Куликов.</w:t>
      </w:r>
    </w:p>
    <w:p w14:paraId="1D2D4A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 комиссии утверждается.</w:t>
      </w:r>
    </w:p>
    <w:p w14:paraId="6D928A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Эта комиссия должна сказать, где и что возить.</w:t>
      </w:r>
    </w:p>
    <w:p w14:paraId="29D335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26B2AB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Перерыв до 19 часов 7 мая 1940 г.</w:t>
      </w:r>
    </w:p>
    <w:p w14:paraId="2F6E91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34891. Оп. 1. Д. 9. Л. 43-69. Подлинник (11773).</w:t>
      </w:r>
    </w:p>
    <w:p w14:paraId="3FDB87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3DC2F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 (утреннее заседание) Протокол № 8 пленарного заседания комиссии ГВС</w:t>
      </w:r>
    </w:p>
    <w:p w14:paraId="111B9B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w:t>
      </w:r>
    </w:p>
    <w:p w14:paraId="6B26E5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  Члены комиссии: тт. </w:t>
      </w:r>
      <w:r w:rsidRPr="00DB5D0D">
        <w:rPr>
          <w:rFonts w:ascii="Times New Roman" w:hAnsi="Times New Roman"/>
          <w:color w:val="000000" w:themeColor="text1"/>
          <w:sz w:val="16"/>
          <w:szCs w:val="16"/>
        </w:rPr>
        <w:t>Ворошилов (председатель), Кулик, Мехлис, Буденный, Мерецков, Штерн, Курдюмов, Смородинов, Павлов, Запорожец, Хрулев, Найденов, Щаденко, Воронов, Никишев, Злобин, Кирпонос, Клич, Козлов, Хренов, Ковалев.</w:t>
      </w:r>
    </w:p>
    <w:p w14:paraId="4E494E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w:t>
      </w:r>
      <w:r w:rsidRPr="00DB5D0D">
        <w:rPr>
          <w:rFonts w:ascii="Times New Roman" w:hAnsi="Times New Roman"/>
          <w:iCs/>
          <w:color w:val="000000" w:themeColor="text1"/>
          <w:sz w:val="16"/>
          <w:szCs w:val="16"/>
        </w:rPr>
        <w:t xml:space="preserve">Приглашенные: </w:t>
      </w:r>
      <w:r w:rsidRPr="00DB5D0D">
        <w:rPr>
          <w:rFonts w:ascii="Times New Roman" w:hAnsi="Times New Roman"/>
          <w:color w:val="000000" w:themeColor="text1"/>
          <w:sz w:val="16"/>
          <w:szCs w:val="16"/>
        </w:rPr>
        <w:t>тт. Проскуров, Борисов, Лапаев, Склизков, Петров, Скассков, Найденов, Муравьев, Мельников, Дмитриев, Лебедев, Михальчук, Куликов, Котов, Ермолин, Антонюк, Поляков, Иванов, Захаров, Гусев, Лебедев, Полянский, Степанов, Коновалов, Селецкий, Артемкин, Добровольский.</w:t>
      </w:r>
    </w:p>
    <w:p w14:paraId="6D42EA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Слушали: </w:t>
      </w: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Доклад начальника Инженерного управления Красной Армии комбрига т. Петрова о системе инженерного вооружения </w:t>
      </w:r>
      <w:r w:rsidRPr="00DB5D0D">
        <w:rPr>
          <w:rFonts w:ascii="Times New Roman" w:hAnsi="Times New Roman"/>
          <w:color w:val="000000" w:themeColor="text1"/>
          <w:sz w:val="16"/>
          <w:szCs w:val="16"/>
        </w:rPr>
        <w:t>(о переправочных, дорожных, вспомогательно-дорожных, лесозаготовительных, мостовых, железнодорожных, позиционных и подрывных средствах; о полевом водоснабжении, об энергетических средствах, о средствах загрязнения и маскировочных средствах).</w:t>
      </w:r>
    </w:p>
    <w:p w14:paraId="3B1C1B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1. Все существующие переправочные средства оставить на вооружении.</w:t>
      </w:r>
    </w:p>
    <w:p w14:paraId="404F23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тем, что состоящий на вооружении армейский парк не может пропускать тяжелых грузов, предложить Инженерному управлению Красной Армии в течение 1940 г. разработать парк для пропуска тяжелых танков грузоподъемностью от 50 до 80 тонн и не позднее 1941 г. пустить его в массовое производство.</w:t>
      </w:r>
    </w:p>
    <w:p w14:paraId="371FFA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Существующие дорожные средства оставить на вооружении. Поскольку до сего времени мы не имеем хороших дорожных средств, предложить Инженерному управлению Красной Армии, используя иностранный опыт, в самое ближайшее время создать такие дорожные машины, которые бы могли строить дороги заново.</w:t>
      </w:r>
    </w:p>
    <w:p w14:paraId="60E84D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Для более подробного рассмотрения остальных средств инженерного вооружения, имеющих сугубо специальное значение и разработки окончательного проекта постановления избрать комиссию в составе: Петрова, Хренова, Антонюка, Городовикова, Лебедева, Трубецкого, Михальчука, Козлова, Гусева, Хрулева и Иванова П. А.</w:t>
      </w:r>
    </w:p>
    <w:p w14:paraId="4AF3DC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Слушали: 2. Доклад начальника Химического управления Красной Армии комбрига т. Мельникова о системе химического вооружения </w:t>
      </w:r>
      <w:r w:rsidRPr="00DB5D0D">
        <w:rPr>
          <w:rFonts w:ascii="Times New Roman" w:hAnsi="Times New Roman"/>
          <w:color w:val="000000" w:themeColor="text1"/>
          <w:sz w:val="16"/>
          <w:szCs w:val="16"/>
        </w:rPr>
        <w:t>(о средствах противохимической защиты, дегазации и химнападения).</w:t>
      </w:r>
    </w:p>
    <w:p w14:paraId="085D64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Постановили: </w:t>
      </w:r>
      <w:r w:rsidRPr="00DB5D0D">
        <w:rPr>
          <w:rFonts w:ascii="Times New Roman" w:hAnsi="Times New Roman"/>
          <w:color w:val="000000" w:themeColor="text1"/>
          <w:sz w:val="16"/>
          <w:szCs w:val="16"/>
        </w:rPr>
        <w:t>Все рассмотренные вопросы еще раз обсудить на специальной комиссии с демонстрацией всех химсредств и составить проект предложения по системе химического вооружения для представления в Комиссию Главного военного совета, для чего создать комиссию в составе: тт. Штерн (председатель), Борисова, Павлова, Мельникова, Городовикова, Куликова, Полякова, Гусева, Лебедева, Дмитриева, Полянского, Нагорного и Хрулева.</w:t>
      </w:r>
    </w:p>
    <w:p w14:paraId="01DAB1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Следующее заседание комиссии назначать на 12.00. 7 мая 1940 г.</w:t>
      </w:r>
    </w:p>
    <w:p w14:paraId="3DE6D0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Председатель </w:t>
      </w:r>
      <w:r w:rsidRPr="00DB5D0D">
        <w:rPr>
          <w:rFonts w:ascii="Times New Roman" w:hAnsi="Times New Roman"/>
          <w:iCs/>
          <w:color w:val="000000" w:themeColor="text1"/>
          <w:sz w:val="16"/>
          <w:szCs w:val="16"/>
        </w:rPr>
        <w:t xml:space="preserve">(Ворошилов)' </w:t>
      </w:r>
      <w:r w:rsidRPr="00DB5D0D">
        <w:rPr>
          <w:rFonts w:ascii="Times New Roman" w:hAnsi="Times New Roman"/>
          <w:color w:val="000000" w:themeColor="text1"/>
          <w:sz w:val="16"/>
          <w:szCs w:val="16"/>
        </w:rPr>
        <w:t>РГВА. Ф. 4. Оп. 14. Д. 2736. Л. 23-24. Подлинник (11773).</w:t>
      </w:r>
    </w:p>
    <w:p w14:paraId="5AC7FE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57C6B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 датирован, составлен</w:t>
      </w:r>
      <w:r w:rsidRPr="00DB5D0D">
        <w:rPr>
          <w:rFonts w:ascii="Times New Roman" w:hAnsi="Times New Roman"/>
          <w:color w:val="000000" w:themeColor="text1"/>
          <w:sz w:val="16"/>
          <w:szCs w:val="16"/>
        </w:rPr>
        <w:softHyphen/>
        <w:t>ный и подписанный начальником штаба Каспийской военной флотилии (КВФ) капитаном 2-го ранга Алексеевым и начальником Разведывательно</w:t>
      </w:r>
      <w:r w:rsidRPr="00DB5D0D">
        <w:rPr>
          <w:rFonts w:ascii="Times New Roman" w:hAnsi="Times New Roman"/>
          <w:color w:val="000000" w:themeColor="text1"/>
          <w:sz w:val="16"/>
          <w:szCs w:val="16"/>
        </w:rPr>
        <w:softHyphen/>
        <w:t>го отдела КВФ капитан-лейтенантом Головко. В нем указывается, что «Кас</w:t>
      </w:r>
      <w:r w:rsidRPr="00DB5D0D">
        <w:rPr>
          <w:rFonts w:ascii="Times New Roman" w:hAnsi="Times New Roman"/>
          <w:color w:val="000000" w:themeColor="text1"/>
          <w:sz w:val="16"/>
          <w:szCs w:val="16"/>
        </w:rPr>
        <w:softHyphen/>
        <w:t>пийский театр может быть превращен в довольно напряженный театр и в самое короткое время» и что «вероятным противником на театре и как глав</w:t>
      </w:r>
      <w:r w:rsidRPr="00DB5D0D">
        <w:rPr>
          <w:rFonts w:ascii="Times New Roman" w:hAnsi="Times New Roman"/>
          <w:color w:val="000000" w:themeColor="text1"/>
          <w:sz w:val="16"/>
          <w:szCs w:val="16"/>
        </w:rPr>
        <w:softHyphen/>
        <w:t>ная сила будет представлена английская и французская авиация» (РГАВМФ. Ф. Р-1877. Оп. 1. Д. 232. Л. 52-53.) (11710,311).</w:t>
      </w:r>
    </w:p>
    <w:p w14:paraId="512CE5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26B58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Приказом НК ВМФ №0256 введено в действие "Временное наставление по боевой деятельности минно-торпедной авиации. Часть 1. Применение торпедного оружия" (НБДМТА-40) (12002).</w:t>
      </w:r>
    </w:p>
    <w:p w14:paraId="2B2A2E6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43AD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 был подготовлен документ разведки ВМФ по Ирану. Материалы подписали начальник штаба Кас</w:t>
      </w:r>
      <w:r w:rsidRPr="00DB5D0D">
        <w:rPr>
          <w:rFonts w:ascii="Times New Roman" w:hAnsi="Times New Roman"/>
          <w:color w:val="000000" w:themeColor="text1"/>
          <w:sz w:val="16"/>
          <w:szCs w:val="16"/>
        </w:rPr>
        <w:softHyphen/>
        <w:t>пийской военной флотилии (КВФ) капитан 2-го ранга Алексеев и началь</w:t>
      </w:r>
      <w:r w:rsidRPr="00DB5D0D">
        <w:rPr>
          <w:rFonts w:ascii="Times New Roman" w:hAnsi="Times New Roman"/>
          <w:color w:val="000000" w:themeColor="text1"/>
          <w:sz w:val="16"/>
          <w:szCs w:val="16"/>
        </w:rPr>
        <w:softHyphen/>
        <w:t>ник Разведывательного отдела КВФ капитан-лейтенант Головко.</w:t>
      </w:r>
    </w:p>
    <w:p w14:paraId="1B514C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Пристальное внимание уделялось аэродромной сети Ирана. Считалось, что он имеет 26 аэродромов и 32 посадочные площадки, причем самые важные аэродромы находятся в районе Тегерана (РГАВМФ.Ф.Р-1877.Оп. 1. Д. 232. Л. 19.). Особо отмечалась способность аэродромов функционировать в любых метеоусловиях. Таким требованиям отвечал только Мехрабад в Тегеране, который мог работать в дождь и зимой (РГАВМФ.Ф.Р-1877.Оп. 1. Д. 232. Л. 21.). Отмечалась слабая техническая оснащенность иранских аэродромов. Так, в Тавризе, где базировался 2-й авиаполк, не было даже телефонной связи (РГАВМФ.Ф.Р-1877.Оп. 1. Д. 232. Л. 23.).</w:t>
      </w:r>
    </w:p>
    <w:p w14:paraId="18F9EA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оценке сил противника на ТВД главное внимание уделялось возмож</w:t>
      </w:r>
      <w:r w:rsidRPr="00DB5D0D">
        <w:rPr>
          <w:rFonts w:ascii="Times New Roman" w:hAnsi="Times New Roman"/>
          <w:color w:val="000000" w:themeColor="text1"/>
          <w:sz w:val="16"/>
          <w:szCs w:val="16"/>
        </w:rPr>
        <w:softHyphen/>
        <w:t>ностям английской авиации: «Авиация, как сухопутная, так и морская, мо</w:t>
      </w:r>
      <w:r w:rsidRPr="00DB5D0D">
        <w:rPr>
          <w:rFonts w:ascii="Times New Roman" w:hAnsi="Times New Roman"/>
          <w:color w:val="000000" w:themeColor="text1"/>
          <w:sz w:val="16"/>
          <w:szCs w:val="16"/>
        </w:rPr>
        <w:softHyphen/>
        <w:t>жет производить действия из аэродромов не только Ирана, но и Ирака, так как тактические данные ныне существующих английских ВВС позволяют осуществлять налеты авиации на Баку непосредственно из иракских аэ</w:t>
      </w:r>
      <w:r w:rsidRPr="00DB5D0D">
        <w:rPr>
          <w:rFonts w:ascii="Times New Roman" w:hAnsi="Times New Roman"/>
          <w:color w:val="000000" w:themeColor="text1"/>
          <w:sz w:val="16"/>
          <w:szCs w:val="16"/>
        </w:rPr>
        <w:softHyphen/>
        <w:t>родромов». Делался вывод, что, «имея скорость, равную самолетам «Блен-хейм», противник может быть над объектом (над Баку) в течение 2,5 - 3 ча</w:t>
      </w:r>
      <w:r w:rsidRPr="00DB5D0D">
        <w:rPr>
          <w:rFonts w:ascii="Times New Roman" w:hAnsi="Times New Roman"/>
          <w:color w:val="000000" w:themeColor="text1"/>
          <w:sz w:val="16"/>
          <w:szCs w:val="16"/>
        </w:rPr>
        <w:softHyphen/>
        <w:t>сов, действуя из Ирака. Значительно усилились силы ВВС Ирана, и имеет</w:t>
      </w:r>
      <w:r w:rsidRPr="00DB5D0D">
        <w:rPr>
          <w:rFonts w:ascii="Times New Roman" w:hAnsi="Times New Roman"/>
          <w:color w:val="000000" w:themeColor="text1"/>
          <w:sz w:val="16"/>
          <w:szCs w:val="16"/>
        </w:rPr>
        <w:softHyphen/>
        <w:t>ся тенденция дальнейшего их усиления... Все эти факты говорят за то, что иранское правительство готовит свою армию и подготавливает плацдарм для действия армий других стран» (РГАВМФ.Ф.Р-1877.Оп. 1. Д. 232. Л. 51-52.). Подчеркивалось, что у Ирана своих ресурсов для войны с СССР недостаточно, но он может быть втянут в войну и действовать совместно с другими странами (РГАВМФ.Ф.Р-1877.Оп. 1. Д. 232. Л. 19.).</w:t>
      </w:r>
    </w:p>
    <w:p w14:paraId="46984E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количество авиации в Иране (по данным 1939 года) оценивалось в 285 самолетов, практически все из них были английского производства. Почти вся авиация - 228 самолетов - была сосредоточена в Тегеране, за ис</w:t>
      </w:r>
      <w:r w:rsidRPr="00DB5D0D">
        <w:rPr>
          <w:rFonts w:ascii="Times New Roman" w:hAnsi="Times New Roman"/>
          <w:color w:val="000000" w:themeColor="text1"/>
          <w:sz w:val="16"/>
          <w:szCs w:val="16"/>
        </w:rPr>
        <w:softHyphen/>
        <w:t>ключением баз Тавриз, Ахваз, Мешхед, где базировались 56 машин. По явно устаревшим данным 1938 года, в Египте, Палестине, Трансиордании, Адене и Ираке находилось около 400 самолетов всех типов. Авторы делали ого</w:t>
      </w:r>
      <w:r w:rsidRPr="00DB5D0D">
        <w:rPr>
          <w:rFonts w:ascii="Times New Roman" w:hAnsi="Times New Roman"/>
          <w:color w:val="000000" w:themeColor="text1"/>
          <w:sz w:val="16"/>
          <w:szCs w:val="16"/>
        </w:rPr>
        <w:softHyphen/>
        <w:t>ворку: «Нужно полагать, что Англия самолетный парк в вышеперечислен</w:t>
      </w:r>
      <w:r w:rsidRPr="00DB5D0D">
        <w:rPr>
          <w:rFonts w:ascii="Times New Roman" w:hAnsi="Times New Roman"/>
          <w:color w:val="000000" w:themeColor="text1"/>
          <w:sz w:val="16"/>
          <w:szCs w:val="16"/>
        </w:rPr>
        <w:softHyphen/>
        <w:t>ных странах за последнее время значительно увеличила» (РГАВМФ.Ф.Р-1877.Оп. 1. Д. 232. Л. 57.).</w:t>
      </w:r>
    </w:p>
    <w:p w14:paraId="5BF932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ни странно, но «Справка по ВВС Турции, Ирана, Ирака и Афганис</w:t>
      </w:r>
      <w:r w:rsidRPr="00DB5D0D">
        <w:rPr>
          <w:rFonts w:ascii="Times New Roman" w:hAnsi="Times New Roman"/>
          <w:color w:val="000000" w:themeColor="text1"/>
          <w:sz w:val="16"/>
          <w:szCs w:val="16"/>
        </w:rPr>
        <w:softHyphen/>
        <w:t>тана», составленная двумя месяцами ранее - 9 марта 1940 года, давала по авиации Ирана более свежие данные - на 15 января 1940 года (а не на 1939 год). Указывалось, что ВВС Ирана состояли из шести полков, три из которых базировались в районе Тегерана (1-й, 5-й, 6-й). Подчеркивалось, что «пра</w:t>
      </w:r>
      <w:r w:rsidRPr="00DB5D0D">
        <w:rPr>
          <w:rFonts w:ascii="Times New Roman" w:hAnsi="Times New Roman"/>
          <w:color w:val="000000" w:themeColor="text1"/>
          <w:sz w:val="16"/>
          <w:szCs w:val="16"/>
        </w:rPr>
        <w:softHyphen/>
        <w:t>вительство Ирана наметило план развертывания ВВС в 1940 году до 10-ти авиаполков». Оценка общего количества машин составляла 645 самолетов, в том числе 352 - в эксплуатации, 173 - в процессе сборки, 120 - закуплены, но не прибыли (РГАВМФ.Ф. Р-61. Оп. 7. Д. 132. Л. 3-4.).</w:t>
      </w:r>
    </w:p>
    <w:p w14:paraId="020AD1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Единственной страной, с которой СССР граничил на юге и чья ави</w:t>
      </w:r>
      <w:r w:rsidRPr="00DB5D0D">
        <w:rPr>
          <w:rFonts w:ascii="Times New Roman" w:hAnsi="Times New Roman"/>
          <w:color w:val="000000" w:themeColor="text1"/>
          <w:sz w:val="16"/>
          <w:szCs w:val="16"/>
        </w:rPr>
        <w:softHyphen/>
        <w:t>ация и базы не вызывали особой озабоченности, был Афганистан. В той же «Справке...» указывалось, что его ВВС «находятся в стадии на</w:t>
      </w:r>
      <w:r w:rsidRPr="00DB5D0D">
        <w:rPr>
          <w:rFonts w:ascii="Times New Roman" w:hAnsi="Times New Roman"/>
          <w:color w:val="000000" w:themeColor="text1"/>
          <w:sz w:val="16"/>
          <w:szCs w:val="16"/>
        </w:rPr>
        <w:softHyphen/>
        <w:t>чального развития» и «состоят из 4-х авиарот, дислокация которых не установлена» (РГАВМФ.Ф. Р-61. Оп. 7. Д. 132. Л. 4.) (11710,318).</w:t>
      </w:r>
    </w:p>
    <w:p w14:paraId="74063B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E33EC80" w14:textId="77777777" w:rsidR="00F47651" w:rsidRPr="00DB5D0D" w:rsidRDefault="00F476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была подготовлена «Таблица тактико-технических данных ВВС Ближнего Востока и объяснительная записка к ней», датированные 7 мая 1940 г., которые подписали начальник штаба Каспийской военной флотилии (КВФ) капитан 2-го ранга Алексеев и начальник Разведывательного отдела КВФ капитан-лейтенант Головко. Согласно этим материалам, советская военно-морская разведка оценивала в 1939 г. численность ВВС Ирана в 285 самолетов. Примечательно, что в их составе все еще учитывались 14 машин советского производства: 4 Р-1 и все десять поставленных Р-5 (18261).</w:t>
      </w:r>
    </w:p>
    <w:p w14:paraId="1904B91A" w14:textId="77777777" w:rsidR="00F47651" w:rsidRPr="00DB5D0D" w:rsidRDefault="00F47651" w:rsidP="00DB5D0D">
      <w:pPr>
        <w:spacing w:after="0" w:line="240" w:lineRule="auto"/>
        <w:jc w:val="both"/>
        <w:rPr>
          <w:rFonts w:ascii="Times New Roman" w:hAnsi="Times New Roman"/>
          <w:color w:val="000000" w:themeColor="text1"/>
          <w:sz w:val="16"/>
          <w:szCs w:val="16"/>
        </w:rPr>
      </w:pPr>
    </w:p>
    <w:p w14:paraId="653DE2AD" w14:textId="77777777" w:rsidR="00F47651" w:rsidRPr="00DB5D0D" w:rsidRDefault="00F476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 датирована «Таблица тактико-технических данных ВВС Ближнего Востока и объяснительная записка к ней», которые подписали начальник штаба Каспийской военной флотилии (КВФ) капитан 2-го ранга Алексеев и начальник Разведывательного отдела КВФ капитан-лейтенант Головко. Согласно этим материалам, советская военно-морская разведка оценивала в 1939 г. численность ВВС Ирана в 285 самолетов. Примечательно, что в их составе все еще учитывались 14 машин советского производства: 4 Р-1 и все десять поставленных Р-5 (18512).</w:t>
      </w:r>
    </w:p>
    <w:p w14:paraId="122DE496" w14:textId="77777777" w:rsidR="00F47651" w:rsidRPr="00DB5D0D" w:rsidRDefault="00F47651" w:rsidP="00DB5D0D">
      <w:pPr>
        <w:spacing w:after="0" w:line="240" w:lineRule="auto"/>
        <w:jc w:val="both"/>
        <w:rPr>
          <w:rFonts w:ascii="Times New Roman" w:hAnsi="Times New Roman"/>
          <w:color w:val="000000" w:themeColor="text1"/>
          <w:sz w:val="16"/>
          <w:szCs w:val="16"/>
        </w:rPr>
      </w:pPr>
    </w:p>
    <w:p w14:paraId="05A70AE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7459695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52C699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в СССР расстрелян бывший министр финансов и путей сообщений Временного правительства, бывший лидер партии кадетов Виктор Некрасов (4962).</w:t>
      </w:r>
    </w:p>
    <w:p w14:paraId="33DB4D9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F3BCF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 Приказом НКВД СССР для руководящего состава РКМ устанавливалось ношение улучшенного обмундирования. Правом на получение обмундирования улучшенного образца обладали начальники и заместители начальников управлений союзных республик, городов Москвы и Ленинграда, начальники управлений автономных республик, краев и областей (10303).</w:t>
      </w:r>
    </w:p>
    <w:p w14:paraId="3484017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390BE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28B207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E697D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английское правительство было обвинено в бездеятельности в связи с немецким вторжением в Норвегию (2244,2).</w:t>
      </w:r>
    </w:p>
    <w:p w14:paraId="0FF5E7A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C3988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5BF3DB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4B0A5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года вышел приказ НКАП, в котором отмечалось:</w:t>
      </w:r>
    </w:p>
    <w:p w14:paraId="27D936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правительства о выпуске самолетов ДБ-ЗФ заводами № 39 и 18 не выполнено... Совершенно нетерпимое положение с выполнением плана, и в первую очередь на ве</w:t>
      </w:r>
      <w:r w:rsidRPr="00DB5D0D">
        <w:rPr>
          <w:rFonts w:ascii="Times New Roman" w:hAnsi="Times New Roman"/>
          <w:color w:val="000000" w:themeColor="text1"/>
          <w:sz w:val="16"/>
          <w:szCs w:val="16"/>
        </w:rPr>
        <w:softHyphen/>
        <w:t>дущем заводе № 39, явилось результатом безответствен</w:t>
      </w:r>
      <w:r w:rsidRPr="00DB5D0D">
        <w:rPr>
          <w:rFonts w:ascii="Times New Roman" w:hAnsi="Times New Roman"/>
          <w:color w:val="000000" w:themeColor="text1"/>
          <w:sz w:val="16"/>
          <w:szCs w:val="16"/>
        </w:rPr>
        <w:softHyphen/>
        <w:t>ного отношения к выполнению государственного задания со стороны директора завода тов. Журавлева и главного кон</w:t>
      </w:r>
      <w:r w:rsidRPr="00DB5D0D">
        <w:rPr>
          <w:rFonts w:ascii="Times New Roman" w:hAnsi="Times New Roman"/>
          <w:color w:val="000000" w:themeColor="text1"/>
          <w:sz w:val="16"/>
          <w:szCs w:val="16"/>
        </w:rPr>
        <w:softHyphen/>
        <w:t>структора тов. Ильюшина. Передав в серийное производ</w:t>
      </w:r>
      <w:r w:rsidRPr="00DB5D0D">
        <w:rPr>
          <w:rFonts w:ascii="Times New Roman" w:hAnsi="Times New Roman"/>
          <w:color w:val="000000" w:themeColor="text1"/>
          <w:sz w:val="16"/>
          <w:szCs w:val="16"/>
        </w:rPr>
        <w:softHyphen/>
        <w:t>ство не оконченную доводками машину, главный конструк</w:t>
      </w:r>
      <w:r w:rsidRPr="00DB5D0D">
        <w:rPr>
          <w:rFonts w:ascii="Times New Roman" w:hAnsi="Times New Roman"/>
          <w:color w:val="000000" w:themeColor="text1"/>
          <w:sz w:val="16"/>
          <w:szCs w:val="16"/>
        </w:rPr>
        <w:softHyphen/>
        <w:t>тор тов. Ильюшин растянул доработку машины на очень длительный срок, и даже в настоящее время нет уверен</w:t>
      </w:r>
      <w:r w:rsidRPr="00DB5D0D">
        <w:rPr>
          <w:rFonts w:ascii="Times New Roman" w:hAnsi="Times New Roman"/>
          <w:color w:val="000000" w:themeColor="text1"/>
          <w:sz w:val="16"/>
          <w:szCs w:val="16"/>
        </w:rPr>
        <w:softHyphen/>
        <w:t>ности в полной ее доработке, так как у руководства заво</w:t>
      </w:r>
      <w:r w:rsidRPr="00DB5D0D">
        <w:rPr>
          <w:rFonts w:ascii="Times New Roman" w:hAnsi="Times New Roman"/>
          <w:color w:val="000000" w:themeColor="text1"/>
          <w:sz w:val="16"/>
          <w:szCs w:val="16"/>
        </w:rPr>
        <w:softHyphen/>
        <w:t>да № 39 и главного конструктора тов. Ильюшина до сих пор нет продуманного, четкого плана по доводке самоле</w:t>
      </w:r>
      <w:r w:rsidRPr="00DB5D0D">
        <w:rPr>
          <w:rFonts w:ascii="Times New Roman" w:hAnsi="Times New Roman"/>
          <w:color w:val="000000" w:themeColor="text1"/>
          <w:sz w:val="16"/>
          <w:szCs w:val="16"/>
        </w:rPr>
        <w:softHyphen/>
        <w:t>та ДБ-ЗФ... Коллегия (имеется в виду Коллегия НКАП) предупредила руководство завода № 39 и главного конструктора тов. Ильюшина и обязала их в бли</w:t>
      </w:r>
      <w:r w:rsidRPr="00DB5D0D">
        <w:rPr>
          <w:rFonts w:ascii="Times New Roman" w:hAnsi="Times New Roman"/>
          <w:color w:val="000000" w:themeColor="text1"/>
          <w:sz w:val="16"/>
          <w:szCs w:val="16"/>
        </w:rPr>
        <w:softHyphen/>
        <w:t>жайшее время принять необходимые меры по исправлению создавшегося положения с доводкой самолета ДБ-ЗФ...» (10745,87).</w:t>
      </w:r>
    </w:p>
    <w:p w14:paraId="530903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34A558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мая 1940 года руководство НКАП в приказе отме</w:t>
      </w:r>
      <w:r w:rsidRPr="00DB5D0D">
        <w:rPr>
          <w:rFonts w:ascii="Times New Roman" w:hAnsi="Times New Roman"/>
          <w:color w:val="0070C0"/>
          <w:sz w:val="16"/>
          <w:szCs w:val="16"/>
        </w:rPr>
        <w:softHyphen/>
        <w:t>чало:</w:t>
      </w:r>
    </w:p>
    <w:p w14:paraId="25C10DA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решение правительства о выпуске само</w:t>
      </w:r>
      <w:r w:rsidRPr="00DB5D0D">
        <w:rPr>
          <w:rFonts w:ascii="Times New Roman" w:hAnsi="Times New Roman"/>
          <w:color w:val="0070C0"/>
          <w:sz w:val="16"/>
          <w:szCs w:val="16"/>
        </w:rPr>
        <w:softHyphen/>
        <w:t>летов ДБ-ЗФ заводами №39 и №18 не выполнено... Совершенно нетерпимое положение с выполнени</w:t>
      </w:r>
      <w:r w:rsidRPr="00DB5D0D">
        <w:rPr>
          <w:rFonts w:ascii="Times New Roman" w:hAnsi="Times New Roman"/>
          <w:color w:val="0070C0"/>
          <w:sz w:val="16"/>
          <w:szCs w:val="16"/>
        </w:rPr>
        <w:softHyphen/>
        <w:t>ем плана, и в первую очередь на ведущем заводе № 39, явилось результатом безответственного от</w:t>
      </w:r>
      <w:r w:rsidRPr="00DB5D0D">
        <w:rPr>
          <w:rFonts w:ascii="Times New Roman" w:hAnsi="Times New Roman"/>
          <w:color w:val="0070C0"/>
          <w:sz w:val="16"/>
          <w:szCs w:val="16"/>
        </w:rPr>
        <w:softHyphen/>
        <w:t>ношения к выполнению государственного зада</w:t>
      </w:r>
      <w:r w:rsidRPr="00DB5D0D">
        <w:rPr>
          <w:rFonts w:ascii="Times New Roman" w:hAnsi="Times New Roman"/>
          <w:color w:val="0070C0"/>
          <w:sz w:val="16"/>
          <w:szCs w:val="16"/>
        </w:rPr>
        <w:softHyphen/>
        <w:t>ния со стороны директора завода тов. Журавлева и главного конструктора тов. Ильюшина. Передав в серийное производство не оконченную доводка</w:t>
      </w:r>
      <w:r w:rsidRPr="00DB5D0D">
        <w:rPr>
          <w:rFonts w:ascii="Times New Roman" w:hAnsi="Times New Roman"/>
          <w:color w:val="0070C0"/>
          <w:sz w:val="16"/>
          <w:szCs w:val="16"/>
        </w:rPr>
        <w:softHyphen/>
        <w:t>ми машину, главный конструктор тов. Ильюшин растянул доработку машины на очень длительный срок, и даже в настоящее время нет уверенности в полной ее доработке, так как у руководства завода № 39 и главного конструктора тов. Ильюшина до сих пор нет продуманного, четкого плана по доводке самолета ДБ-ЗФ... Коллегия (НКАП, — Прим, авт.) предупредила руководство завода № 39 и главного конструктора тов. Ильюшина и обязала их в ближай</w:t>
      </w:r>
      <w:r w:rsidRPr="00DB5D0D">
        <w:rPr>
          <w:rFonts w:ascii="Times New Roman" w:hAnsi="Times New Roman"/>
          <w:color w:val="0070C0"/>
          <w:sz w:val="16"/>
          <w:szCs w:val="16"/>
        </w:rPr>
        <w:softHyphen/>
        <w:t>шее время принять необходимые меры по исправ</w:t>
      </w:r>
      <w:r w:rsidRPr="00DB5D0D">
        <w:rPr>
          <w:rFonts w:ascii="Times New Roman" w:hAnsi="Times New Roman"/>
          <w:color w:val="0070C0"/>
          <w:sz w:val="16"/>
          <w:szCs w:val="16"/>
        </w:rPr>
        <w:softHyphen/>
        <w:t>лению создавшегося положения с доводкой само</w:t>
      </w:r>
      <w:r w:rsidRPr="00DB5D0D">
        <w:rPr>
          <w:rFonts w:ascii="Times New Roman" w:hAnsi="Times New Roman"/>
          <w:color w:val="0070C0"/>
          <w:sz w:val="16"/>
          <w:szCs w:val="16"/>
        </w:rPr>
        <w:softHyphen/>
        <w:t>лета ДБ-ЗФ...» (23188)</w:t>
      </w:r>
    </w:p>
    <w:p w14:paraId="7A360DDE" w14:textId="77777777" w:rsidR="004644FC" w:rsidRPr="00DB5D0D" w:rsidRDefault="004644FC" w:rsidP="00DB5D0D">
      <w:pPr>
        <w:spacing w:after="0" w:line="240" w:lineRule="auto"/>
        <w:jc w:val="both"/>
        <w:rPr>
          <w:rFonts w:ascii="Times New Roman" w:hAnsi="Times New Roman"/>
          <w:color w:val="0070C0"/>
          <w:sz w:val="16"/>
          <w:szCs w:val="16"/>
        </w:rPr>
      </w:pPr>
    </w:p>
    <w:p w14:paraId="2292A4D6" w14:textId="77777777" w:rsidR="004610A4" w:rsidRPr="00DB5D0D" w:rsidRDefault="004610A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мая 1940 года в приказе НКАП № 195с от «О ходе производства самолетов ДБ-3Ф на заводах № 39 и № 18» отмечалось: «Коллегия НКАП по докладам директоров заводов №№ 39 и 18 тов. Журавлева и Шенкмана и главного конструктора тов. Ильюшина констатировала, что решение правительства о выпуске самолетов ДБ-3Ф заводами №№ 39 и 18 не выполнено (план первого квартала 1940 года по этой машине выполнен заводом № 39 на 3,4% и заводом № 18 на 10,4%.)» (21518).</w:t>
      </w:r>
    </w:p>
    <w:p w14:paraId="6ECA6401" w14:textId="77777777" w:rsidR="004610A4" w:rsidRPr="00DB5D0D" w:rsidRDefault="004610A4" w:rsidP="00DB5D0D">
      <w:pPr>
        <w:spacing w:after="0" w:line="240" w:lineRule="auto"/>
        <w:jc w:val="both"/>
        <w:rPr>
          <w:rFonts w:ascii="Times New Roman" w:hAnsi="Times New Roman"/>
          <w:color w:val="0070C0"/>
          <w:sz w:val="16"/>
          <w:szCs w:val="16"/>
        </w:rPr>
      </w:pPr>
    </w:p>
    <w:p w14:paraId="1BC710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работу Ильюшина на коллегии НКАП охарактеризовали как безответственное отношение к государственному заданию. Его обязали немедленно принять все необходимые меры по исправлению создавшегося положения с ДБ-Зф. В июле 1940 г. принимается решение о запуске в производство на заводе №18 бомбардировщика ДБ-240 2М-105 взамен ДБ-Зф. На повестку дня незримо встал вопрос о прекращении серии ДБ-Зф и на заводе №39. Назревали "оргвыводы" и потеря серийных заводов (12020).</w:t>
      </w:r>
    </w:p>
    <w:p w14:paraId="3ED74F2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038B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вышел "грозный" приказ НКАП N 195с "О ходе производства самолетов ДБ-3Ф на заводах 39 и 18 (399,28):</w:t>
      </w:r>
    </w:p>
    <w:p w14:paraId="53FCC7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"Коллегия НКАП по докладам директоров заводов NN 39 и 18 т.т. Журавлева и А.Б.Шенкмана и главного конструктора тов. Ильюшина констатировала, что решение правительства о выпуске самолетов ДБ-3Ф заводами NN 39 и 18 не выполнены (план первого квартала 1940 по этой машине выполнен заводом N 39 на 3.4% и заводом 18 на 10.4%.</w:t>
      </w:r>
    </w:p>
    <w:p w14:paraId="237D7B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нетерпимое положение с выполнением плана и, в первую очередь, на ведущем заводе N 39, явилось результатом безответственного отношения к выполнению государственного задания со стороны директора завода тов. Журавлева и главного конструктора тов. Ильюшина.</w:t>
      </w:r>
    </w:p>
    <w:p w14:paraId="1FF3B6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Передав в серийное производство не оконченную доводками машину, главный конструктор тов. Ильюшин растянул доработку машины на очень длительный срок, и даже в настоящее время нет уверенности в полной ее доработке, так как у руководства завода N 39 и главного конструктора тов. Ильюшина до сих пор нет продуманного, четкого плана по доводке самолета ДБ-3Ф. Коллегия особо отметила невыполнение установленного правительством задания по скоростям.</w:t>
      </w:r>
    </w:p>
    <w:p w14:paraId="63C01E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Вместе с тем со стороны главного конструктора тов. Ильюшина и директора завода тов. Журавлева не было принято должных мер к ускорению передачи самолета ДБ-3Ф на гос. испытания и тем самым допущена затяжка с выявлением всех летных данных машины, причем в такой период, когда заводами изготовлены первые серии и созданы большие производственные заделы.</w:t>
      </w:r>
    </w:p>
    <w:p w14:paraId="5C56EB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Ссылаясь только на дефекты винтомоторной группы (перегрев масла) директор завода N 39 тов. Журавлев и главный конструктор тов. Ильюшин в течение свыше двух месяцев не занимались устранением дефектов самолета и доводкой его, в результате чего машины выводились из сборочного цеха на аэродром с большим количеством дефектов и возвращались обратно в цех, что срывало нормальный ход производства.</w:t>
      </w:r>
    </w:p>
    <w:p w14:paraId="0DA5C4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Выявленные дефекты теплового режима, в связи с постановкой мотора М-88, устранялись недопустимо медленными темпами (свыше двух месяцев).</w:t>
      </w:r>
    </w:p>
    <w:p w14:paraId="2B67C8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Коллегия отметила, что со стороны Третьего и Шестого Главных Управлений не было принято мер к своевременной поставке моторов и винтов для самолета ДБ-3Ф, в результате чего она проходила явно неудовлетворительно, обеспечивая потребности заводов NN 39 и 18 лишь в пределах 50-60%.</w:t>
      </w:r>
    </w:p>
    <w:p w14:paraId="47779E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того, в течение всего первого квартала текущего года заводом N 29 было поставлено заводам NN 39 и 18 около 100 моторов с крупнейшими дефектами, приведшими к замене их на уже облетанных самолетах.</w:t>
      </w:r>
    </w:p>
    <w:p w14:paraId="530C20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Коллегия предупредила руководство завода N 39 и главного конструктора тов. Ильюшина и обязала их в ближайшее время принять необходимые меры по исправлению создавшегося положения с доводкой самолета ДБ-3Ф и мобилизовать технические силы завода на выполнение решений правительства о выпуске этой машины."(399,28).</w:t>
      </w:r>
    </w:p>
    <w:p w14:paraId="133A90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ПРИКАЗЫВАЮ:</w:t>
      </w:r>
    </w:p>
    <w:p w14:paraId="48D1BC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Директорам заводов NN 39 и 18 т.т. Журавлеву и А.Б.Шенкману и главному конструктору тов. Ильюшину обеспечить немедленный и решительный перелом в сдаче самолетов ДБ-3Ф заказчику и создать все условия по выполнению плана второго квартала с покрытием недодела первого квартала.</w:t>
      </w:r>
    </w:p>
    <w:p w14:paraId="31270A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Директорам заводов №№ 39 и 18 организовать: круглосуточ</w:t>
      </w:r>
      <w:r w:rsidRPr="00DB5D0D">
        <w:rPr>
          <w:rFonts w:ascii="Times New Roman" w:hAnsi="Times New Roman"/>
          <w:color w:val="000000" w:themeColor="text1"/>
          <w:sz w:val="16"/>
          <w:szCs w:val="16"/>
        </w:rPr>
        <w:softHyphen/>
        <w:t>ную работу .на летно-испытательных станциях и в аэродромных це</w:t>
      </w:r>
      <w:r w:rsidRPr="00DB5D0D">
        <w:rPr>
          <w:rFonts w:ascii="Times New Roman" w:hAnsi="Times New Roman"/>
          <w:color w:val="000000" w:themeColor="text1"/>
          <w:sz w:val="16"/>
          <w:szCs w:val="16"/>
        </w:rPr>
        <w:softHyphen/>
        <w:t>хах, обеспечив подготовку к полетам и доводки в ночное время, полностью используя на летную работу в дневное время.</w:t>
      </w:r>
    </w:p>
    <w:p w14:paraId="41D6EF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Главному конструктору тов. Ильюшину и директору завода N 39 тов. Журавлеву в целях быстрейшего проведения государственных испытаний самолета ДБ-3Ф с М-88 организовать бригады для немедленного устранения всех выявляющихся в процессе испытаний дефектов, ведя эти работы вне всякой очереди.</w:t>
      </w:r>
    </w:p>
    <w:p w14:paraId="6DB10F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Главному конструктору тов. Ильюшину в течение ближайших 15 дней разработать совместно с конструкторским коллективом завода мероприятия, обеспечивающие достижение скоростей самолета ДБ-3Ф, установленных решением правительства, и предъявить мне свои предложения.</w:t>
      </w:r>
    </w:p>
    <w:p w14:paraId="3CAE5C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Главному конструктору тов. Ильюшину в течение ближайших 15 дней разработать совместно с конструкторским коллективом за</w:t>
      </w:r>
      <w:r w:rsidRPr="00DB5D0D">
        <w:rPr>
          <w:rFonts w:ascii="Times New Roman" w:hAnsi="Times New Roman"/>
          <w:color w:val="000000" w:themeColor="text1"/>
          <w:sz w:val="16"/>
          <w:szCs w:val="16"/>
        </w:rPr>
        <w:softHyphen/>
        <w:t>вода мероприятия, обеспечивающие достижение скоростей самолета ДБ-ЗФ, установленных решением .правительства, и представить мне свои предложения.</w:t>
      </w:r>
    </w:p>
    <w:p w14:paraId="081DAB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Директору завода № 18 тов. Шенкман в течение 10 дней привести в годное для летных испытаний состояние все машины ДБ-ЗФ, выведенные на аэродром. </w:t>
      </w:r>
    </w:p>
    <w:p w14:paraId="755793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Отмечая как совершенно недопустимое явление наличие большого количества простоев на заводе № 18, руководству завода в ближайшее же время ликвидировать причины, выбывающие эти простои.</w:t>
      </w:r>
    </w:p>
    <w:p w14:paraId="3BB442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Начальнику Третьего Главного Управления тов. Лукину организовать на заводах №№ 39 и 18 мощные бригады из квалифи</w:t>
      </w:r>
      <w:r w:rsidRPr="00DB5D0D">
        <w:rPr>
          <w:rFonts w:ascii="Times New Roman" w:hAnsi="Times New Roman"/>
          <w:color w:val="000000" w:themeColor="text1"/>
          <w:sz w:val="16"/>
          <w:szCs w:val="16"/>
        </w:rPr>
        <w:softHyphen/>
        <w:t>цированных работников завода № 29 по устранению всех дефектов моторов и произвести замену всех вышедших из строя цилиндров к моторов.</w:t>
      </w:r>
    </w:p>
    <w:p w14:paraId="0D5EE6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Начальникам Второго, Третьего, Четвертого, Шестого и Восьмого Главных Управлений обеспечить полностью поставку заводам №№ 39 и 18 всех агрегатов- и изделий в точном соответствии с утвержденной программой на первое полугодие 1940 года.</w:t>
      </w:r>
    </w:p>
    <w:p w14:paraId="0CAF0E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Начальнику Шестого Главного Управления и директору комбината № 150 не позднее 20 мая с.г. изготовить несколько видов лопастей для винта "ВИШ-23" с улучшенным КПД.</w:t>
      </w:r>
    </w:p>
    <w:p w14:paraId="32D2CD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Главному конструктору завода N 34 тов. Воронину и главному конструктору завода N 39 тов. Ильюшину разработать, изготовить и провести испытания нескольких образцов маслорадиаторов, позволяющих резко улучшить аэродинамические качества самолета.</w:t>
      </w:r>
    </w:p>
    <w:p w14:paraId="5C1EB7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Моему Заместителю тов. Кузнецову А. И. усилить летную станцию завода № 39 опытными летчиками-испытателями (399,28).</w:t>
      </w:r>
    </w:p>
    <w:p w14:paraId="2185615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4F521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вышел приказ НКАП № 195с, в котром отмечалось:</w:t>
      </w:r>
    </w:p>
    <w:p w14:paraId="1B19AB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"...решение правительства о вы</w:t>
      </w:r>
      <w:r w:rsidRPr="00DB5D0D">
        <w:rPr>
          <w:rFonts w:ascii="Times New Roman" w:hAnsi="Times New Roman"/>
          <w:iCs/>
          <w:color w:val="000000" w:themeColor="text1"/>
          <w:sz w:val="16"/>
          <w:szCs w:val="16"/>
        </w:rPr>
        <w:softHyphen/>
        <w:t>пуске самолетов ДБ-3Ф заводами №№39 и 18 не выполнено... Совер</w:t>
      </w:r>
      <w:r w:rsidRPr="00DB5D0D">
        <w:rPr>
          <w:rFonts w:ascii="Times New Roman" w:hAnsi="Times New Roman"/>
          <w:iCs/>
          <w:color w:val="000000" w:themeColor="text1"/>
          <w:sz w:val="16"/>
          <w:szCs w:val="16"/>
        </w:rPr>
        <w:softHyphen/>
        <w:t>шенно нетерпимое положение с вы</w:t>
      </w:r>
      <w:r w:rsidRPr="00DB5D0D">
        <w:rPr>
          <w:rFonts w:ascii="Times New Roman" w:hAnsi="Times New Roman"/>
          <w:iCs/>
          <w:color w:val="000000" w:themeColor="text1"/>
          <w:sz w:val="16"/>
          <w:szCs w:val="16"/>
        </w:rPr>
        <w:softHyphen/>
        <w:t>полнением плана, и в первую очередь на ведущем заводе No 39, явилось ре</w:t>
      </w:r>
      <w:r w:rsidRPr="00DB5D0D">
        <w:rPr>
          <w:rFonts w:ascii="Times New Roman" w:hAnsi="Times New Roman"/>
          <w:iCs/>
          <w:color w:val="000000" w:themeColor="text1"/>
          <w:sz w:val="16"/>
          <w:szCs w:val="16"/>
        </w:rPr>
        <w:softHyphen/>
        <w:t>зультатом безответственного отноше</w:t>
      </w:r>
      <w:r w:rsidRPr="00DB5D0D">
        <w:rPr>
          <w:rFonts w:ascii="Times New Roman" w:hAnsi="Times New Roman"/>
          <w:iCs/>
          <w:color w:val="000000" w:themeColor="text1"/>
          <w:sz w:val="16"/>
          <w:szCs w:val="16"/>
        </w:rPr>
        <w:softHyphen/>
        <w:t>ния к выполнению государственного задания со стороны директора заво</w:t>
      </w:r>
      <w:r w:rsidRPr="00DB5D0D">
        <w:rPr>
          <w:rFonts w:ascii="Times New Roman" w:hAnsi="Times New Roman"/>
          <w:iCs/>
          <w:color w:val="000000" w:themeColor="text1"/>
          <w:sz w:val="16"/>
          <w:szCs w:val="16"/>
        </w:rPr>
        <w:softHyphen/>
        <w:t>да тов. Журавлева и главного конст</w:t>
      </w:r>
      <w:r w:rsidRPr="00DB5D0D">
        <w:rPr>
          <w:rFonts w:ascii="Times New Roman" w:hAnsi="Times New Roman"/>
          <w:iCs/>
          <w:color w:val="000000" w:themeColor="text1"/>
          <w:sz w:val="16"/>
          <w:szCs w:val="16"/>
        </w:rPr>
        <w:softHyphen/>
        <w:t>руктора тов. Ильюшина. Передав в серийное производство не окончен</w:t>
      </w:r>
      <w:r w:rsidRPr="00DB5D0D">
        <w:rPr>
          <w:rFonts w:ascii="Times New Roman" w:hAnsi="Times New Roman"/>
          <w:iCs/>
          <w:color w:val="000000" w:themeColor="text1"/>
          <w:sz w:val="16"/>
          <w:szCs w:val="16"/>
        </w:rPr>
        <w:softHyphen/>
        <w:t>ную доводками машину, главный кон</w:t>
      </w:r>
      <w:r w:rsidRPr="00DB5D0D">
        <w:rPr>
          <w:rFonts w:ascii="Times New Roman" w:hAnsi="Times New Roman"/>
          <w:iCs/>
          <w:color w:val="000000" w:themeColor="text1"/>
          <w:sz w:val="16"/>
          <w:szCs w:val="16"/>
        </w:rPr>
        <w:softHyphen/>
        <w:t>структор тов. Ильюшин растянул до</w:t>
      </w:r>
      <w:r w:rsidRPr="00DB5D0D">
        <w:rPr>
          <w:rFonts w:ascii="Times New Roman" w:hAnsi="Times New Roman"/>
          <w:iCs/>
          <w:color w:val="000000" w:themeColor="text1"/>
          <w:sz w:val="16"/>
          <w:szCs w:val="16"/>
        </w:rPr>
        <w:softHyphen/>
        <w:t>работку машины на очень длительный срок, и даже в настоящее время нет уверенности в полной ее доработке, так как у руководства завода</w:t>
      </w:r>
      <w:r w:rsidRPr="00DB5D0D">
        <w:rPr>
          <w:rFonts w:ascii="Times New Roman" w:hAnsi="Times New Roman"/>
          <w:color w:val="000000" w:themeColor="text1"/>
          <w:sz w:val="16"/>
          <w:szCs w:val="16"/>
        </w:rPr>
        <w:t xml:space="preserve"> Л/о 39 </w:t>
      </w:r>
      <w:r w:rsidRPr="00DB5D0D">
        <w:rPr>
          <w:rFonts w:ascii="Times New Roman" w:hAnsi="Times New Roman"/>
          <w:iCs/>
          <w:color w:val="000000" w:themeColor="text1"/>
          <w:sz w:val="16"/>
          <w:szCs w:val="16"/>
        </w:rPr>
        <w:t>и главного конструктора тов. Ильюши</w:t>
      </w:r>
      <w:r w:rsidRPr="00DB5D0D">
        <w:rPr>
          <w:rFonts w:ascii="Times New Roman" w:hAnsi="Times New Roman"/>
          <w:iCs/>
          <w:color w:val="000000" w:themeColor="text1"/>
          <w:sz w:val="16"/>
          <w:szCs w:val="16"/>
        </w:rPr>
        <w:softHyphen/>
        <w:t>на до сих пор нет продуманного, чет</w:t>
      </w:r>
      <w:r w:rsidRPr="00DB5D0D">
        <w:rPr>
          <w:rFonts w:ascii="Times New Roman" w:hAnsi="Times New Roman"/>
          <w:iCs/>
          <w:color w:val="000000" w:themeColor="text1"/>
          <w:sz w:val="16"/>
          <w:szCs w:val="16"/>
        </w:rPr>
        <w:softHyphen/>
        <w:t>кого плана по доводке самолета ДБ-3Ф....Коллегия (имеется в виду Кол</w:t>
      </w:r>
      <w:r w:rsidRPr="00DB5D0D">
        <w:rPr>
          <w:rFonts w:ascii="Times New Roman" w:hAnsi="Times New Roman"/>
          <w:iCs/>
          <w:color w:val="000000" w:themeColor="text1"/>
          <w:sz w:val="16"/>
          <w:szCs w:val="16"/>
        </w:rPr>
        <w:softHyphen/>
        <w:t>легия НКАП) предупредила ру</w:t>
      </w:r>
      <w:r w:rsidRPr="00DB5D0D">
        <w:rPr>
          <w:rFonts w:ascii="Times New Roman" w:hAnsi="Times New Roman"/>
          <w:iCs/>
          <w:color w:val="000000" w:themeColor="text1"/>
          <w:sz w:val="16"/>
          <w:szCs w:val="16"/>
        </w:rPr>
        <w:softHyphen/>
        <w:t>ководство завода</w:t>
      </w:r>
      <w:r w:rsidRPr="00DB5D0D">
        <w:rPr>
          <w:rFonts w:ascii="Times New Roman" w:hAnsi="Times New Roman"/>
          <w:color w:val="000000" w:themeColor="text1"/>
          <w:sz w:val="16"/>
          <w:szCs w:val="16"/>
        </w:rPr>
        <w:t xml:space="preserve"> Л/о 39 </w:t>
      </w:r>
      <w:r w:rsidRPr="00DB5D0D">
        <w:rPr>
          <w:rFonts w:ascii="Times New Roman" w:hAnsi="Times New Roman"/>
          <w:iCs/>
          <w:color w:val="000000" w:themeColor="text1"/>
          <w:sz w:val="16"/>
          <w:szCs w:val="16"/>
        </w:rPr>
        <w:t>и главного конструктора тов. Ильюшина и обяза</w:t>
      </w:r>
      <w:r w:rsidRPr="00DB5D0D">
        <w:rPr>
          <w:rFonts w:ascii="Times New Roman" w:hAnsi="Times New Roman"/>
          <w:iCs/>
          <w:color w:val="000000" w:themeColor="text1"/>
          <w:sz w:val="16"/>
          <w:szCs w:val="16"/>
        </w:rPr>
        <w:softHyphen/>
        <w:t>ла их в ближайшее время принять не</w:t>
      </w:r>
      <w:r w:rsidRPr="00DB5D0D">
        <w:rPr>
          <w:rFonts w:ascii="Times New Roman" w:hAnsi="Times New Roman"/>
          <w:iCs/>
          <w:color w:val="000000" w:themeColor="text1"/>
          <w:sz w:val="16"/>
          <w:szCs w:val="16"/>
        </w:rPr>
        <w:softHyphen/>
        <w:t>обходимые меры по исправлению со</w:t>
      </w:r>
      <w:r w:rsidRPr="00DB5D0D">
        <w:rPr>
          <w:rFonts w:ascii="Times New Roman" w:hAnsi="Times New Roman"/>
          <w:iCs/>
          <w:color w:val="000000" w:themeColor="text1"/>
          <w:sz w:val="16"/>
          <w:szCs w:val="16"/>
        </w:rPr>
        <w:softHyphen/>
        <w:t xml:space="preserve">здавшегося положения с доводкой самолета ДБ-3Ф... " </w:t>
      </w:r>
      <w:r w:rsidRPr="00DB5D0D">
        <w:rPr>
          <w:rFonts w:ascii="Times New Roman" w:hAnsi="Times New Roman"/>
          <w:color w:val="000000" w:themeColor="text1"/>
          <w:sz w:val="16"/>
          <w:szCs w:val="16"/>
        </w:rPr>
        <w:t>(6467).</w:t>
      </w:r>
    </w:p>
    <w:p w14:paraId="42C6330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A075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 в приказе по НКАП № 195с по поводу остановки приемки ДБ-3Ф отмечалось: «...решение правительства о выпуске самолетов ДБ-3Ф заводами №39 и 18 не выполнено...</w:t>
      </w:r>
    </w:p>
    <w:p w14:paraId="4ED8CB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нетерпимое положение с выполнением плана и, в первую очередь, на ведущем заводе № 39, явилось результатом безответственного отношения к выполнению государственного задания со стороны директора завода тов. Журавлева и главного конструктора тов. Ильюшина.</w:t>
      </w:r>
    </w:p>
    <w:p w14:paraId="6E04F0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Передав в серийное производство не оконченную доводками машину, главный конструктор тов. Ильюшин растянул доработку машины на очень длительный срок, и даже в настоящее время нет уверенности в полной ее доработке, так как у руководства завода № 39 и главного конструктора тов. Ильюшина до сих пор нет продуманного, четкого плана по доводке самолета ДБ-3Ф.</w:t>
      </w:r>
    </w:p>
    <w:p w14:paraId="4E85A5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Коллегия (имеется в виду Коллегия НКАП} особо отметила невыполнение установленного правительством задания по скоростям.</w:t>
      </w:r>
    </w:p>
    <w:p w14:paraId="782FF1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Вместе с тем со стороны главного конструктора тов. Ильюшина и директора завода тов. Журавлева не было принято должных мер к ускорению передачи самолета ДБ-3Ф на госиспытания...</w:t>
      </w:r>
    </w:p>
    <w:p w14:paraId="6260BB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Ссылаясь только на дефекты винтомоторной группы (перегрев масла), директор завода № 39 тов. Журавлев и главный конструктор тов. Ильюшин в течение свыше двух месяцев не занимались устранением дефектов самолета и доводкой его, в результате чего машины выводились из сборочного цеха на аэродром с большим количеством дефектов и возвращались обратно в цех, что срывало нормальный ход производства...</w:t>
      </w:r>
    </w:p>
    <w:p w14:paraId="3411BC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Коллегия предупредила руководство завода № 39 и главного конструктора тов. Ильюшина и обязала их в ближайшее время принять необходимые меры по исправлению создавшегося положения с доводкой самолета ДБ-3Ф и мобилизовать технические силы завода на выполнение решений правительства о выпуске этой машины...» (9649).</w:t>
      </w:r>
    </w:p>
    <w:p w14:paraId="2773C5D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F7916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мая 1940 вышел приказ НКАП №195с "О ходе производства самолетов ДБ-ЗФ на заводах №39 и №18". В нем отмечалось: "Коллегия НКАП по докладам директоров заводов №№39 и 18 тов. Журавлева и Шенкмаиа и главного конструктора тов. Илыошина констатировала, что решение правительства о выпуске самолетов ДБ-ЗФ </w:t>
      </w:r>
      <w:r w:rsidRPr="00DB5D0D">
        <w:rPr>
          <w:rFonts w:ascii="Times New Roman" w:hAnsi="Times New Roman"/>
          <w:color w:val="000000" w:themeColor="text1"/>
          <w:sz w:val="16"/>
          <w:szCs w:val="16"/>
        </w:rPr>
        <w:lastRenderedPageBreak/>
        <w:t>заводами №№ 39 и 18 не выполнено (план первого квартала 1940 г. по этой машине выполнен заводом №39 на 3,4% и заводом №18 на 10,4%.). Совершенно нетерпимое положение с выполнением плана и, в первую очередь, на ведущем заводе №39, явилось результатом безответственного отношения к выполнению государственного задания со стороны директора завода тов. Журавлева и главного конструктора тов. Илыошина. Передав в серийное производство не оконченную доводками машину, главный конструктор тов. Илыошин растянул доработку машины на очень длительный срок, и даже в настоящее время нет уверенности в полной се доработке, так как у руководства завода №39 и главного конструктора тов. Ильюшина до сих пор нет продуманного, четкого плана по доводке самолета ДБ-ЗФ".</w:t>
      </w:r>
    </w:p>
    <w:p w14:paraId="036221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постепенно избавлялся от "детских болезней", но некоторые принципиальные недостатки все еще не были устранены. Прежде всего это относилось к чрезмерно задней центровке, делавшей ДБ-ЗФ неустойчивым и трудным в пилотировании. По результатам испытаний самолета с серийным №390204 специалисты НИИ ВВС предложили пойти другим путем. Суть его заключалась в смещении назад средней аэродинамической хорды путем небольшого разворота консолей вокруг точки стыка переднего лонжерона (12027).</w:t>
      </w:r>
    </w:p>
    <w:p w14:paraId="66BCFF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AD5E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4 машины с моторами М-87Б прибыли на харьковский аэродром для участия в войсковых испытаниях. Их решили проводить во вновь созданном полку, который получил № 135 (командир - майор Неволин), по номеру Харьковского завода. Авиаторам предстояло определить некоторые важные характеристики ББ-1, поскольку при государственных испытаниях опытной машины с мотором М-88 произошло много поломок, и они остались по сути незавершенными. В частности, требовалось подтвердить практическим потолок самолета, оценить расходы горючего на разных режимах, возможность полетов в сложных метеоусловиях и ночью. Предстояло определить возможность применения под крыльями бомб ФАБ-250 и др.</w:t>
      </w:r>
    </w:p>
    <w:p w14:paraId="450922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Возможно поэтому, к участию в войсковых испытаниях привлекли полк боевого применения НИИ ВВС. До конца месяца 9 доработанных машин с моторами М-88 были приняты военными, еще три таких машины передал из своего состава 135- й бап; началась подготовка к испытаниям. Напряженная работа продолжалась с 10 мая по 20 июня, ее возглавляли от НИИ ВВС военинженер 2 ранга Часовиков, летчики капитан С.М. Коробов и ст. лейтенант Ю. Н. Кругликов, а от 135-го бап - военинженер 3 ранга А.В. Телегин и помощник комполка капитан А.И. Пушкин.</w:t>
      </w:r>
    </w:p>
    <w:p w14:paraId="0A87C0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(616 полетов продолжительностью 157 ч) прошли без аварий и катастроф, хотя происшествий избежать не удалось. При полете на дальность по замкнутому маршруту Харьков - Белгород - Изюм - Харьков на большой высоте замерзли узлы управления, и самолет едва не разбился. Среди основных дефектов отмечались ненадежность двигателя, "замасливание" прицела и нижнего люка штурмана, недостаточные прочность шасси и пневматиков. Нагрузка на рули нарастала неравномерно, и стала излишне большой (по сравнению с опытным самолетом), появились люфты руля высоты, ощущалось сильное трение в элеронах.</w:t>
      </w:r>
    </w:p>
    <w:p w14:paraId="14EED0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в отчете указывалось, что в эксплуатации самолет прост, подход к отдельным агрегатам удобен, ремонт и замена деталей трудностей не представляют. Машина нормально взлетала с нагрузкой 700 кг бомб. "Летчики, имевшие квалификацию ниже средней, пришедшие в часть из летных школ ВВС, осваивают самолет легко и после 20 - 25 вывозных полетов самостоятельно выпускались на ББ- 1". Им нравились хороший обзор вперед и удобная высокая ручка управления. Прибывшие в полк начальник ГУ ВВС генерал П.В. Рычагов и инспектор округа генерал А.В. Беляков после непродолжительного наземного осмотра благополучно совершили на ББ-1 ознакомительный полет.</w:t>
      </w:r>
    </w:p>
    <w:p w14:paraId="28B9C9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же двигатели самолетов нулевой и первой серии работали ненадежно, на режиме набора высоты, например, постоянно перегревались, покрывались выброшенным маслом. Причем бомбардировщики ББ-1 М-88 оказались менее удачными, чем их более ранние собратья с моторами М-87Б. Испытания еще не завершились, когда 16 мая нарком обороны С.К. Тимошенко направил К.Е. Ворошилову письмо, где рассматривал основные результаты проведенной работы. Они звучали так:</w:t>
      </w:r>
    </w:p>
    <w:p w14:paraId="7A6A8D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Необходимый для вооружения самолет ББ-1 с мотором М-88 из-за недоведен- ности винтомоторной группы не может быть допущен для нормальной эксплуатации в строевых частях ВВС.</w:t>
      </w:r>
    </w:p>
    <w:p w14:paraId="64CA99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Медленная работа по внедрению самолета ББ-1 в строевые части... может </w:t>
      </w:r>
    </w:p>
    <w:p w14:paraId="4B678B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привести к устареванию самолета в процессе его испытания и доводки".</w:t>
      </w:r>
    </w:p>
    <w:p w14:paraId="5E6211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заключении по материалам войсковых испытаний, направленных начальнику Первого главного управления ВВС КА генерал-лейтенанту авиации П.И. Пумпу- ру отмечалось:</w:t>
      </w:r>
    </w:p>
    <w:p w14:paraId="735163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конструкции самолеты ББ-1, проходившие войсковые испытания, мало чем отличались от самолета ББ-1, выдержавшего государственные испытания за исключением того, что у серийных самолетов фюзеляж представляет собой деревянный монокок.</w:t>
      </w:r>
    </w:p>
    <w:p w14:paraId="1466D0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ББ-1 М-88 конструкции инженера Сухого продукции завода № 135 представляет собой современный тип самолета с хорошими летно-тактическими данными.</w:t>
      </w:r>
    </w:p>
    <w:p w14:paraId="474788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Положительными качествами самолета являются:</w:t>
      </w:r>
    </w:p>
    <w:p w14:paraId="1E52BF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убирающиеся шасси и костыль;</w:t>
      </w:r>
    </w:p>
    <w:p w14:paraId="6791C7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закрылки с гидравлическим приводом;</w:t>
      </w:r>
    </w:p>
    <w:p w14:paraId="5E918C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винт-автомат;</w:t>
      </w:r>
    </w:p>
    <w:p w14:paraId="10DAA8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надежно действующие тормоза;</w:t>
      </w:r>
    </w:p>
    <w:p w14:paraId="2F884A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подогрев кабин, облегчающий высотные полеты;</w:t>
      </w:r>
    </w:p>
    <w:p w14:paraId="1AAE5D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автокорректор высотного газа;</w:t>
      </w:r>
    </w:p>
    <w:p w14:paraId="2E45F2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крыльевые фары, позволяющие обходиться в исключительных случаях без подсветки прожекторов;</w:t>
      </w:r>
    </w:p>
    <w:p w14:paraId="4C7BEE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новая ночная подсветка приборов;</w:t>
      </w:r>
    </w:p>
    <w:p w14:paraId="498236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наличие большого количества штампованных и литых деталей, облегчающих</w:t>
      </w:r>
    </w:p>
    <w:p w14:paraId="2372B4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на испытаниях Самолет ББ-1 в боевой обстановке может быть использован как:</w:t>
      </w:r>
    </w:p>
    <w:p w14:paraId="028496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ближний бомбардировщик (дневной и ночной) - калибры бомб с ФАБ-50 до ФАБ-250. Нормальная бомбовая нагрузка 400 кг, в перегрузочном варианте 600 кг;</w:t>
      </w:r>
    </w:p>
    <w:p w14:paraId="339EF3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штурмовик - в этом варианте самолет располагает 4 пулеметами LLIKAC, установленными в крыле и 200 кг бомб любого калибра от 2,5 до 25 кг;</w:t>
      </w:r>
    </w:p>
    <w:p w14:paraId="74002E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химическое вооружение самолета состоит из двух ВАП-200, расположенных на наружных подвесках под крылом;</w:t>
      </w:r>
    </w:p>
    <w:p w14:paraId="4603E0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разведчик ближних целей, для чего самолет располагает специальным оборудованием.</w:t>
      </w:r>
    </w:p>
    <w:p w14:paraId="1DC1C0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Самолет ББ-1 М-88 продукции завода № 135 войсковые испытания прошел удовлетворительно" (12028).</w:t>
      </w:r>
    </w:p>
    <w:p w14:paraId="2D01A0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69A2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вышел приказ 11 ГУ НКАП N 12/28:</w:t>
      </w:r>
    </w:p>
    <w:p w14:paraId="198BFA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определения готовности самолета И-153, оборудованного ГК конструкции Щербакова, к первому вылету, назначаю комиссию..." (2031,46).</w:t>
      </w:r>
    </w:p>
    <w:p w14:paraId="2A11ABC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F745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был рассмотрен и принят макет с внесением изменений экспериментального пушечного (2х23 мм) истребителя с М-105ТК с высокорасположенным крылом и толкающим винтом конструкции Беляева (2090,106).</w:t>
      </w:r>
    </w:p>
    <w:p w14:paraId="6322306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A726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в ходе заводских испытаний И-200 А.И.М, которые проходили с 31 марта по 17 августа 1940, на И-200-1 был выполнен полет на определение границ высотности и скорости по высотам (десятый по счету). Потом до 11 мая меняли мотор (2988).</w:t>
      </w:r>
    </w:p>
    <w:p w14:paraId="74705F8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0D3C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закончились заводские испытания И-190 М-88 Н.Н.П. (2096), которые шли с 1 января 1940 (2090,232).</w:t>
      </w:r>
    </w:p>
    <w:p w14:paraId="14DB685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3FB85D" w14:textId="77777777" w:rsidR="004075DF" w:rsidRPr="00DB5D0D" w:rsidRDefault="004075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мая в 1940 году макетная комиссия утвердила окончательный вариант вооружения истребителя </w:t>
      </w:r>
      <w:hyperlink r:id="rId20" w:tgtFrame="_blank" w:history="1">
        <w:r w:rsidRPr="00DB5D0D">
          <w:rPr>
            <w:rFonts w:ascii="Times New Roman" w:hAnsi="Times New Roman"/>
            <w:color w:val="000000" w:themeColor="text1"/>
            <w:sz w:val="16"/>
            <w:szCs w:val="16"/>
          </w:rPr>
          <w:t xml:space="preserve">«ЭОИ» (экспериментальный одномоторный истребитель), </w:t>
        </w:r>
      </w:hyperlink>
      <w:r w:rsidRPr="00DB5D0D">
        <w:rPr>
          <w:rFonts w:ascii="Times New Roman" w:hAnsi="Times New Roman"/>
          <w:color w:val="000000" w:themeColor="text1"/>
          <w:sz w:val="16"/>
          <w:szCs w:val="16"/>
        </w:rPr>
        <w:t>конструктор Беляев: 2 пушки калибром 23 мм и 1 пулемет «ШКАС». Рекомендовали оборудовать складную лестницу для подъема в самолет без использования наземной стремянки и предусмотреть подвеску под крылом 6-8 реактивных снарядов «РС-82». При эвакуации из Москвы его и всю техническую документацию уничтожили (14885).</w:t>
      </w:r>
    </w:p>
    <w:p w14:paraId="679095EF" w14:textId="77777777" w:rsidR="004075DF" w:rsidRPr="00DB5D0D" w:rsidRDefault="004075DF" w:rsidP="00DB5D0D">
      <w:pPr>
        <w:spacing w:after="0" w:line="240" w:lineRule="auto"/>
        <w:jc w:val="both"/>
        <w:rPr>
          <w:rFonts w:ascii="Times New Roman" w:hAnsi="Times New Roman"/>
          <w:color w:val="000000" w:themeColor="text1"/>
          <w:sz w:val="16"/>
          <w:szCs w:val="16"/>
        </w:rPr>
      </w:pPr>
    </w:p>
    <w:p w14:paraId="30D4DCF9" w14:textId="77777777" w:rsidR="00183238" w:rsidRPr="00DB5D0D" w:rsidRDefault="0018323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8 мая 1940 начальник 8-го (лётного) отдела ЦАГИ Ляпидевский писал наркому Шахурину:</w:t>
      </w:r>
    </w:p>
    <w:p w14:paraId="712E0C8D" w14:textId="77777777" w:rsidR="00183238" w:rsidRPr="00DB5D0D" w:rsidRDefault="0018323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«Довожу до Вашего сведения, что срок испытания машины СК ЦАГИ конструктора т. Бисновата М.Р. срывается. Несмотря на то, что после первых полётов выяснился ряд существенных недочётов конструктивного порядка (продольная неустойчивость, перегрев масла), главный конструктор радикальных мер по их устранению не принял. Пытался ощупью решить задачу устранения дефектов, путём многочисленных полётов для проверки своих паллиативных мероприятий.</w:t>
      </w:r>
    </w:p>
    <w:p w14:paraId="0EA48419" w14:textId="77777777" w:rsidR="00183238" w:rsidRPr="00DB5D0D" w:rsidRDefault="0018323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…26/3 лётчиком т. Шияновым было заявлено о несинхронности открытия щитков, что на данном самолёте является особенно недопустимым. Главный конструктор радикальных мер не принял, и 5/5 — 40 г. это явление едва не явилось причиной аварии» </w:t>
      </w:r>
      <w:hyperlink r:id="rId21" w:history="1">
        <w:r w:rsidRPr="00DB5D0D">
          <w:rPr>
            <w:rFonts w:ascii="Times New Roman" w:eastAsia="Times New Roman" w:hAnsi="Times New Roman"/>
            <w:color w:val="000000" w:themeColor="text1"/>
            <w:sz w:val="16"/>
            <w:szCs w:val="16"/>
            <w:lang w:eastAsia="ru-RU"/>
          </w:rPr>
          <w:t>[318]</w:t>
        </w:r>
      </w:hyperlink>
      <w:r w:rsidRPr="00DB5D0D">
        <w:rPr>
          <w:rFonts w:ascii="Times New Roman" w:eastAsia="Times New Roman" w:hAnsi="Times New Roman"/>
          <w:color w:val="000000" w:themeColor="text1"/>
          <w:sz w:val="16"/>
          <w:szCs w:val="16"/>
          <w:lang w:eastAsia="ru-RU"/>
        </w:rPr>
        <w:t xml:space="preserve"> (17489).</w:t>
      </w:r>
    </w:p>
    <w:p w14:paraId="586C64C2" w14:textId="77777777" w:rsidR="00183238" w:rsidRPr="00DB5D0D" w:rsidRDefault="00183238" w:rsidP="00DB5D0D">
      <w:pPr>
        <w:spacing w:after="0" w:line="240" w:lineRule="auto"/>
        <w:jc w:val="both"/>
        <w:rPr>
          <w:rFonts w:ascii="Times New Roman" w:eastAsia="Times New Roman" w:hAnsi="Times New Roman"/>
          <w:color w:val="000000" w:themeColor="text1"/>
          <w:sz w:val="16"/>
          <w:szCs w:val="16"/>
          <w:lang w:eastAsia="ru-RU"/>
        </w:rPr>
      </w:pPr>
    </w:p>
    <w:p w14:paraId="516250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вышел приказ НКАП N 194с "О состоянии работы по внедрению в производство мотора М-88 на заводе 24 (1002,2).</w:t>
      </w:r>
    </w:p>
    <w:p w14:paraId="43BFB8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есть полный бардак.</w:t>
      </w:r>
    </w:p>
    <w:p w14:paraId="2D206F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6361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нар</w:t>
      </w:r>
      <w:r w:rsidRPr="00DB5D0D">
        <w:rPr>
          <w:rFonts w:ascii="Times New Roman" w:hAnsi="Times New Roman"/>
          <w:color w:val="000000" w:themeColor="text1"/>
          <w:sz w:val="16"/>
          <w:szCs w:val="16"/>
        </w:rPr>
        <w:softHyphen/>
        <w:t>ком авиапромышленности А.И.Шахурин ука</w:t>
      </w:r>
      <w:r w:rsidRPr="00DB5D0D">
        <w:rPr>
          <w:rFonts w:ascii="Times New Roman" w:hAnsi="Times New Roman"/>
          <w:color w:val="000000" w:themeColor="text1"/>
          <w:sz w:val="16"/>
          <w:szCs w:val="16"/>
        </w:rPr>
        <w:softHyphen/>
        <w:t>зывал: «Коллегия НКАП, обсудив сообщение дирек</w:t>
      </w:r>
      <w:r w:rsidRPr="00DB5D0D">
        <w:rPr>
          <w:rFonts w:ascii="Times New Roman" w:hAnsi="Times New Roman"/>
          <w:color w:val="000000" w:themeColor="text1"/>
          <w:sz w:val="16"/>
          <w:szCs w:val="16"/>
        </w:rPr>
        <w:softHyphen/>
        <w:t>тора завода № 24 Дубова и главного инженера 3 ГУ Амбросова, отметила, что руководство завода, как прошлое (Соколов, Куинджи), так и нынешнее (Ду</w:t>
      </w:r>
      <w:r w:rsidRPr="00DB5D0D">
        <w:rPr>
          <w:rFonts w:ascii="Times New Roman" w:hAnsi="Times New Roman"/>
          <w:color w:val="000000" w:themeColor="text1"/>
          <w:sz w:val="16"/>
          <w:szCs w:val="16"/>
        </w:rPr>
        <w:softHyphen/>
        <w:t xml:space="preserve">бов, Куинжди), занимают неправильную позицию в отношении </w:t>
      </w:r>
      <w:r w:rsidRPr="00DB5D0D">
        <w:rPr>
          <w:rFonts w:ascii="Times New Roman" w:hAnsi="Times New Roman"/>
          <w:color w:val="000000" w:themeColor="text1"/>
          <w:sz w:val="16"/>
          <w:szCs w:val="16"/>
        </w:rPr>
        <w:lastRenderedPageBreak/>
        <w:t>освоения М—88; они подвергают сомне</w:t>
      </w:r>
      <w:r w:rsidRPr="00DB5D0D">
        <w:rPr>
          <w:rFonts w:ascii="Times New Roman" w:hAnsi="Times New Roman"/>
          <w:color w:val="000000" w:themeColor="text1"/>
          <w:sz w:val="16"/>
          <w:szCs w:val="16"/>
        </w:rPr>
        <w:softHyphen/>
        <w:t>ние правильность решения правительства и демора</w:t>
      </w:r>
      <w:r w:rsidRPr="00DB5D0D">
        <w:rPr>
          <w:rFonts w:ascii="Times New Roman" w:hAnsi="Times New Roman"/>
          <w:color w:val="000000" w:themeColor="text1"/>
          <w:sz w:val="16"/>
          <w:szCs w:val="16"/>
        </w:rPr>
        <w:softHyphen/>
        <w:t>лизуют коллектив завода». Далее нарком потребовал срочно развернуть ра</w:t>
      </w:r>
      <w:r w:rsidRPr="00DB5D0D">
        <w:rPr>
          <w:rFonts w:ascii="Times New Roman" w:hAnsi="Times New Roman"/>
          <w:color w:val="000000" w:themeColor="text1"/>
          <w:sz w:val="16"/>
          <w:szCs w:val="16"/>
        </w:rPr>
        <w:softHyphen/>
        <w:t>боты по М—88, обеспечив оснасткой, инструментом, оборудованием и приспособлением соответствую</w:t>
      </w:r>
      <w:r w:rsidRPr="00DB5D0D">
        <w:rPr>
          <w:rFonts w:ascii="Times New Roman" w:hAnsi="Times New Roman"/>
          <w:color w:val="000000" w:themeColor="text1"/>
          <w:sz w:val="16"/>
          <w:szCs w:val="16"/>
        </w:rPr>
        <w:softHyphen/>
        <w:t>щие цеха, используя опыт завода № 29. Программу в 500 моторов М—88 на 1940 г. оставили в силе, но раз</w:t>
      </w:r>
      <w:r w:rsidRPr="00DB5D0D">
        <w:rPr>
          <w:rFonts w:ascii="Times New Roman" w:hAnsi="Times New Roman"/>
          <w:color w:val="000000" w:themeColor="text1"/>
          <w:sz w:val="16"/>
          <w:szCs w:val="16"/>
        </w:rPr>
        <w:softHyphen/>
        <w:t>решили не выполнять ряд других работ, например по выпуску малой серии АМ—34. Также здесь продол</w:t>
      </w:r>
      <w:r w:rsidRPr="00DB5D0D">
        <w:rPr>
          <w:rFonts w:ascii="Times New Roman" w:hAnsi="Times New Roman"/>
          <w:color w:val="000000" w:themeColor="text1"/>
          <w:sz w:val="16"/>
          <w:szCs w:val="16"/>
        </w:rPr>
        <w:softHyphen/>
        <w:t>жили строить моторы М—62, двигатели ГАМ—35ФН для торпедных катеров и многочисленные запасные узлы и детали (9984).</w:t>
      </w:r>
    </w:p>
    <w:p w14:paraId="0FA3A5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41638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вышел приказ НКАП N 198сс в исполнение постановления КО N 197сс "Об изменении наименований авиационных дизелей" от 5 мая 1940 (1309,119).</w:t>
      </w:r>
    </w:p>
    <w:p w14:paraId="338281F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C161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Нач. Главфанерпрома Вараксин писал письмо № 443с в ГЛАВНЫЙ КОНТРОЛЬ КОМИТЕТА ОБОРОНЫ при СНК СОЮЗА ССР т. АЛИМОВУ.</w:t>
      </w:r>
    </w:p>
    <w:p w14:paraId="05BB25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выполнения постановления К.О. № 77сс от 19/2-40 г.</w:t>
      </w:r>
    </w:p>
    <w:p w14:paraId="778AC0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Настоящим доводим до Вашего сведения,что поставка ПГУ НКАП авиафанеры прекращена из-за отсутствия бакелитовой пленки для клейки авиафанеры и отказа ПГУ в приеме альбуминовой авиафанеры.</w:t>
      </w:r>
    </w:p>
    <w:p w14:paraId="2101B3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Бакелитовой пленки на 1/У-с.г. из 200 тонн по плану, поставлено всего лищь 58 тон, до 01.05-с.г. из-за перебоев в снабжении пропиточной бумагой, а в настоящее время из-за отсутствия спирта.</w:t>
      </w:r>
    </w:p>
    <w:p w14:paraId="594C62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Выработка балинита для нужд ПГУ НКАП на Муромском фанерокомбинате также не производится по причине отсутствия фенола, фондов на который не выделено (10682,6).</w:t>
      </w:r>
    </w:p>
    <w:p w14:paraId="626D26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05B38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Московская студия кинохроники писала НКАП А.И.Ш. письмо:</w:t>
      </w:r>
    </w:p>
    <w:p w14:paraId="1680CE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"ЦСК просит разрешить киносъемку подготовки к предстоящему полету и отлет л и пилотов-героев ССС тт. Байдукова, Нестеренко, Бережного, Дьякова и Кузнецова.</w:t>
      </w:r>
    </w:p>
    <w:p w14:paraId="6679A8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получении Вашего разрешения, состав кинобригады будет нами сообщен дополнительно." (2102,42).</w:t>
      </w:r>
    </w:p>
    <w:p w14:paraId="64467F4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8DA4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 появилась резолюция Ворошилова на письме начальник ГУАС К А Алексеев от 10 апреля по поводу “звена” КБ-29: «Не возражаю, если НКВМФ согласен» (10667).</w:t>
      </w:r>
    </w:p>
    <w:p w14:paraId="77E7F2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83DF4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 по приказу НКАП №201с Саркомбан получил название ГС завод №292 НКАП.</w:t>
      </w:r>
    </w:p>
    <w:p w14:paraId="1BDD98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1941 г. имел филиал- бывший завод №2 Военстроя. Сюда со ст. Кунцево эвакуирован завод №167 НКАП, и филиал передан ему в подчинение для организации производства лыж и в/винтов. </w:t>
      </w:r>
    </w:p>
    <w:p w14:paraId="1F4291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1941 г. на площадку завода №292 1ГУ НКАП эвакуирован завод №165 НКАП и влит в его состав. </w:t>
      </w:r>
    </w:p>
    <w:p w14:paraId="57CC1E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приказу №632 от 6.07.1941 г. на площадку завода №292 была эвакуирована часть завода №115 НКАП гл. конструктора А.С. Яковлева. По приказу №930с/3сф от 28.08.1941 г. на базе этой части образовано ОКБ завода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приказам №999с от 19.09.1941 г. и №12сф от 18.10.1941 г. ОКБ переведено со всем личным составом и оборудованием в Новосибирск на завод №153 НКАП. </w:t>
      </w:r>
    </w:p>
    <w:p w14:paraId="4CAF2F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1991 г. завод был акционирован. </w:t>
      </w:r>
    </w:p>
    <w:p w14:paraId="77D0F6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Директора: (в 1940 г.) - Ф.С. Малахов, (в 1940-1941 г.-) - И.С. Левин, (в 1956 г.) - Б.А. Дубовиков. </w:t>
      </w:r>
    </w:p>
    <w:p w14:paraId="26829F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Ген. директор (на 2004 г.) - А.В. Ермишин. </w:t>
      </w:r>
    </w:p>
    <w:p w14:paraId="7C1EA3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Численность персонала (1.01.2001 г.) - 4450 чел. </w:t>
      </w:r>
    </w:p>
    <w:p w14:paraId="3E80C2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Производство: Р-10 (1938-40) -135, И-28, Як-1 (1940-44), Як-7, Як-3 (1944-46), Як-11 (1946-49), Ла-15 (1949), МиГ-15 (1950-52), Як-15, В-12 (1952-53), Ми-4 (1954), Як-24, Як-25 (1954-55), Як-25М (1955-57), Як-25Р (1957), Як-27 (1957), Як-27В (1958), Як-27Р (1958-62), Як-36, Як-38 (с 1974), Як-40 (1968-81), Як-42, Як-141, Як- 54, Д-41 "Сокол"; ракеты: П-5 (1958-61), В-750В (1958-61), П-5Д (С-5, с 1961), П-6 (с 1961), Х- 58; корпуса гранат РГ-41, Ф-1 (ВОВ); комплектующие для ОК "Буран"; "летающая тарелка" - ЭКИП. </w:t>
      </w:r>
    </w:p>
    <w:p w14:paraId="6CA90C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Саратовский авиационный завод, ЗАО (ЗАО "САЗ") </w:t>
      </w:r>
    </w:p>
    <w:p w14:paraId="2C4BE9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ранее: Саратовский завод комбайнов (СЗК, "Саркомбайн"), ГС Завод №292, Саратовский авиационный завод (САЗ) </w:t>
      </w:r>
    </w:p>
    <w:p w14:paraId="774DC4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410015 г. Саратов, пл. Орджоникидзе, 1, тел. 96-81-01 (10777).</w:t>
      </w:r>
    </w:p>
    <w:p w14:paraId="7D79A4D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B4D9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года зам. председателя НТК при начальнике ВВС военинженер 1 ранга Знаменский писал письмо № 00499551 в КО</w:t>
      </w:r>
    </w:p>
    <w:p w14:paraId="3AFEE7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Препровождаю при сем протокол совещания от 22 апреля 1940 при начальнике ВВС РККА по вопросу пушечного пооружения И-153</w:t>
      </w:r>
    </w:p>
    <w:p w14:paraId="601654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Упомянутое на 5 листах (3375,14).</w:t>
      </w:r>
    </w:p>
    <w:p w14:paraId="53B309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апреля 1940 года протокол совещания у начальника ВВС по вопросу пушечного вооружения И-153</w:t>
      </w:r>
    </w:p>
    <w:p w14:paraId="167713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председательством начальника ГУ ВВС командарм 2 ранга Смушкевич</w:t>
      </w:r>
    </w:p>
    <w:p w14:paraId="712F21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w:t>
      </w:r>
    </w:p>
    <w:p w14:paraId="381279C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комиссар ВВС дивизионный комиссар Агальцов</w:t>
      </w:r>
    </w:p>
    <w:p w14:paraId="37D7CEA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начальника ВВС комкор Гусев</w:t>
      </w:r>
    </w:p>
    <w:p w14:paraId="6D1F5E9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 вооружения Ванников</w:t>
      </w:r>
    </w:p>
    <w:p w14:paraId="677DA29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наркома вооружения Барсуков</w:t>
      </w:r>
    </w:p>
    <w:p w14:paraId="59D3A14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наркома авиапромышленности Воронин</w:t>
      </w:r>
    </w:p>
    <w:p w14:paraId="26DEBE2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начальника ГУАС КА дивинженер Репин</w:t>
      </w:r>
    </w:p>
    <w:p w14:paraId="4A3232E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комиссар ГУАС КА бригадный комиссар Князев</w:t>
      </w:r>
    </w:p>
    <w:p w14:paraId="02D7224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Помощник начальника ГУАС КА дивинженер Сакриер</w:t>
      </w:r>
    </w:p>
    <w:p w14:paraId="124BDD2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Технического управления НКВ Сатель</w:t>
      </w:r>
    </w:p>
    <w:p w14:paraId="036F302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2 управления НКАП Соколов</w:t>
      </w:r>
    </w:p>
    <w:p w14:paraId="5B98227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НИПАВ полковник Шевченко</w:t>
      </w:r>
    </w:p>
    <w:p w14:paraId="766FDDB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комиссар НИПАВ военинженер 2 ранга Щербинин</w:t>
      </w:r>
    </w:p>
    <w:p w14:paraId="3C999A2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1 управления ГУАС КА бригинженер Федоров</w:t>
      </w:r>
    </w:p>
    <w:p w14:paraId="6BBCDBB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3 управления ГУАС КА военинженер 1 ранга Никонов</w:t>
      </w:r>
    </w:p>
    <w:p w14:paraId="4745986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комиссар 3 управления ГУАС КА военинженер 2 ранга Матаев</w:t>
      </w:r>
    </w:p>
    <w:p w14:paraId="53F485C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завода № 1 Поликарпов</w:t>
      </w:r>
    </w:p>
    <w:p w14:paraId="66BC0AE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1 отдела 3 управления ГУАС КА военинженер 1 ранга Пономарев</w:t>
      </w:r>
    </w:p>
    <w:p w14:paraId="56FA952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4 отдела 2 управления ВВС комбриг Платонов</w:t>
      </w:r>
    </w:p>
    <w:p w14:paraId="66381E0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 1 ранга Романов (КО СНК)</w:t>
      </w:r>
    </w:p>
    <w:p w14:paraId="11E5DDB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КО при СНК – Лунин</w:t>
      </w:r>
    </w:p>
    <w:p w14:paraId="3A77C57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ОКБ-15 НКВ Шпитальный</w:t>
      </w:r>
    </w:p>
    <w:p w14:paraId="1FE050F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ОКБ-15 Разгильдеев</w:t>
      </w:r>
    </w:p>
    <w:p w14:paraId="7B8EAD3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инспектор 4 отдела 2 управления ВВС военинженер 1 ранга Бусырев</w:t>
      </w:r>
    </w:p>
    <w:p w14:paraId="2B979AC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НТК ВВС военинженер 1 ранга Залесский</w:t>
      </w:r>
    </w:p>
    <w:p w14:paraId="721A8E80" w14:textId="77777777" w:rsidR="00A25AD1" w:rsidRPr="00DB5D0D" w:rsidRDefault="00A25AD1" w:rsidP="00DB5D0D">
      <w:pPr>
        <w:tabs>
          <w:tab w:val="left" w:pos="72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 О результатах заводских испытаний синхронных пушек ШВАК-20 на самолете И-153</w:t>
      </w:r>
    </w:p>
    <w:p w14:paraId="7FD9B12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3 управления ГУАС КА военинженер 1 ранга Никонов сообщил, что ГУАС считает необходимым провести полные государственные полигонные испытания И-153 с двумя синхронными пушками ШВАК 20 по следующим причинам:</w:t>
      </w:r>
    </w:p>
    <w:p w14:paraId="5D6DC0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заводских испытаниях получен высокий процент задержек;</w:t>
      </w:r>
    </w:p>
    <w:p w14:paraId="5690AC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условия эксплуатации не выявлены, так как во время заводских испытаний самолеты обслуживались большим количеством рабочих и мастеров завода № 1 и ОКБ-15.</w:t>
      </w:r>
    </w:p>
    <w:p w14:paraId="0738A1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подачей на полигонные испытания необходимо:</w:t>
      </w:r>
    </w:p>
    <w:p w14:paraId="22A5C8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устранить все отмеченные дефекты с условием снижения общего процента задержек до 0,3;</w:t>
      </w:r>
    </w:p>
    <w:p w14:paraId="4D0F08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величину угла относа установить не более 90 градусов при 2000 обор./мин.;</w:t>
      </w:r>
    </w:p>
    <w:p w14:paraId="54B2F2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установить заднее шептало для гарантии безопасности от синхронной самопроизвольной стрельбы и от несинхронной самопроизвольной стрельбы, в случае поломки боевого взвода ударника, что повлечет за собою пробитие винта.</w:t>
      </w:r>
    </w:p>
    <w:p w14:paraId="7015527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ОКБ-15 Шпитальный считает, что:</w:t>
      </w:r>
    </w:p>
    <w:p w14:paraId="7D092A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а) синхронные пушки ШВАК-20 потребуются и для новых типов истребителей с моторами воздушного охлаждения;</w:t>
      </w:r>
    </w:p>
    <w:p w14:paraId="63AC41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самопроизвольная несинхронная стрельба не возможна, так как при поломке боевого взвода ударника пушка заклинится и стрельба прекратится; для гарантии от самопроизвольной синхронной стрельбы устанавливается специально предохранитель; поэтому заднее шептало не обязательно;</w:t>
      </w:r>
    </w:p>
    <w:p w14:paraId="624974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угол безопасности достаточен;</w:t>
      </w:r>
    </w:p>
    <w:p w14:paraId="3710FD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большинство задержек происходило по вине установки, которая была изготовлена без учета изменения положения пушки при перестрелке; с требованием снижения задержек до 0,3% согласен;</w:t>
      </w:r>
    </w:p>
    <w:p w14:paraId="21E5C5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пушка проходила полигонные испытания на самолете И-16, поэтому нет необходимости в проведении полигонных испытаний; необходимо провести войсковые испытания и одновременно заказать серию;</w:t>
      </w:r>
    </w:p>
    <w:p w14:paraId="06C4FE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синхронная пушка ШВАК-20 легче крыльевой на 5 кг, тем не менее завод № 2 продолжает выпускать пушки более тяжелые.</w:t>
      </w:r>
    </w:p>
    <w:p w14:paraId="4E63731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комиссар ВВС дивизионный комиссар Агальцов указал, что Поликарпов ранее считал невозможным установку двух БС 12,7 мм на И-153 из-за увеличения веса, а в настоящее время считает возможным установку более тяжелых ШВАК-20.</w:t>
      </w:r>
    </w:p>
    <w:p w14:paraId="58436BA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завода № 1 Поликарпов сообщил, что И-153 к настоящему времени достаточно усилен.</w:t>
      </w:r>
    </w:p>
    <w:p w14:paraId="2D86FE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И-153 с пулеметами ШКАС = 1763 кг</w:t>
      </w:r>
    </w:p>
    <w:p w14:paraId="2ECF0A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И-153 с 2 БС 12,7 мм и 2 ШКАС = 1920 кг</w:t>
      </w:r>
    </w:p>
    <w:p w14:paraId="57BFAB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И-153 с 2 ШВАК 20 мм и 2 ШКАС = 1938 кг</w:t>
      </w:r>
    </w:p>
    <w:p w14:paraId="6F11A7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Ограничение в скорости пикирования не свыше 500 км/час одинаково необходимо, как для И-153 с 2 БС, так и для И-153 с 2-мя ШВАК-20.</w:t>
      </w:r>
    </w:p>
    <w:p w14:paraId="134C1AC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 1 ранга Залесский считает необходимым:</w:t>
      </w:r>
    </w:p>
    <w:p w14:paraId="69ACFE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2 самолета отправить на полигонные испытания для проверки устранения дефектов и снижения процента задержек. Всякое оружие даже валового производства при новой установке всегда проходит все виды испытания в нормальном порядке;</w:t>
      </w:r>
    </w:p>
    <w:p w14:paraId="2CB0CC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1 самолет отправить в НИИ-ГУАС для проведения летно-технических испытаний;</w:t>
      </w:r>
    </w:p>
    <w:p w14:paraId="15A490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одновременно заказать 12-15 самолетов для проведения широких войсковых испытаний.</w:t>
      </w:r>
    </w:p>
    <w:p w14:paraId="653501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w:t>
      </w:r>
    </w:p>
    <w:p w14:paraId="3D9113F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Имеющиеся 3 самолета И-153 по устранении дефектов указанных в отчете заводских испытаний немедленно отправить на войсковые испытания. Одновременно заказать 11 самолетов И-153п, из которых 2 отправить на НИПАВ для проведения полигонных испытаний, а 9 – на войсковые испытания. Полигонные и войсковые испытания проводить по стандартным программам ГУАС нормальным порядком, согласно существующих положений.</w:t>
      </w:r>
    </w:p>
    <w:p w14:paraId="01B7D62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Срочно внедрить в производство облегченную пушку ШВАК-20, обеспечив надежность и безотказность ее работы. Акты испытаний и чертежи представить на утверждение ГУАСу КА.</w:t>
      </w:r>
    </w:p>
    <w:p w14:paraId="04A0685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Ускорить отработку синхронного выстрела (патрон) и более мощного снаряда ШВАК-20 с улучшенными баллистическими данными.</w:t>
      </w:r>
    </w:p>
    <w:p w14:paraId="18CEE1D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целесообразным установку пушек ШВАК-20 на самолетах И-180 и И-185 с последующим проведением всех видов испытаний нормальным порядком.</w:t>
      </w:r>
    </w:p>
    <w:p w14:paraId="53B9D918" w14:textId="77777777" w:rsidR="00A25AD1" w:rsidRPr="00DB5D0D" w:rsidRDefault="00A25AD1" w:rsidP="00DB5D0D">
      <w:pPr>
        <w:tabs>
          <w:tab w:val="left" w:pos="72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w:t>
      </w:r>
    </w:p>
    <w:p w14:paraId="1BCA57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ходе выполнения постановления Правительства по выпуску самолетов И-16 и И-153 с БС 12,7 мм.</w:t>
      </w:r>
    </w:p>
    <w:p w14:paraId="3C9C1E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Заместитель наркома авиапрома Воронин сообщил, что НКВ поставлено некоторое количество пулеметов БС 12,7, которые израсходованы главным образом для установки на опытных машинах. В случае своевременной поставки пулеметов заводы №№ 1 и 21 задания по выпуску самолетов с БС 12,7 мм выполняет.</w:t>
      </w:r>
    </w:p>
    <w:p w14:paraId="4C4440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w:t>
      </w:r>
    </w:p>
    <w:p w14:paraId="716498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необходимым максимально форсировать выпуск пулеметов БС 12,7 мм с тем, чтобы ускорить сдачу самолетов частям ВВС и перевыполнить задание Правительства.</w:t>
      </w:r>
    </w:p>
    <w:p w14:paraId="3B44ED78" w14:textId="77777777" w:rsidR="00A25AD1" w:rsidRPr="00DB5D0D" w:rsidRDefault="00A25AD1" w:rsidP="00DB5D0D">
      <w:pPr>
        <w:tabs>
          <w:tab w:val="left" w:pos="72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w:t>
      </w:r>
    </w:p>
    <w:p w14:paraId="5E56E7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Сообщение Романова из КО о заявлении Шпитального на имя председателя Совнаркома Молотова об отсутствии условий для нормальной работы над авиапушкой 37 мм.</w:t>
      </w:r>
    </w:p>
    <w:p w14:paraId="4708F5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Технического управления НКВ Сатель сообщил, что на совещании с Шпитальным и 3 управлением ГУАС достигнуто необходимое соглашение и во всяком случае, если даже ГУАС не найдет возможным финансировать работу ОКБ-15 по пушке 37 мм, то будет произведено финансирование этой работы НКВ.</w:t>
      </w:r>
    </w:p>
    <w:p w14:paraId="3DBA4E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w:t>
      </w:r>
    </w:p>
    <w:p w14:paraId="2F6809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Принять к сведению заявление Сателя.</w:t>
      </w:r>
    </w:p>
    <w:p w14:paraId="455197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Подписи:</w:t>
      </w:r>
    </w:p>
    <w:p w14:paraId="663B35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апреля 1940 года – председатель совещания начальник ВВС командарм 2 ранга Смушкевич Я.В.</w:t>
      </w:r>
    </w:p>
    <w:p w14:paraId="089373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апреля 1940 года – нарком вооружения Ванников</w:t>
      </w:r>
    </w:p>
    <w:p w14:paraId="1BC28C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апреля 1940 года – зам. начальника ГУАС дивинженер Репин</w:t>
      </w:r>
    </w:p>
    <w:p w14:paraId="118C62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 – зам. наркома авиапрома Воронин (3375,15-19).</w:t>
      </w:r>
    </w:p>
    <w:p w14:paraId="51995F0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DFDAD4" w14:textId="77777777" w:rsidR="004075DF" w:rsidRPr="00DB5D0D" w:rsidRDefault="004075DF"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bCs/>
          <w:iCs/>
          <w:color w:val="000000" w:themeColor="text1"/>
          <w:sz w:val="16"/>
          <w:szCs w:val="16"/>
        </w:rPr>
        <w:t>8 мая-29 июля 1940 г.</w:t>
      </w:r>
      <w:r w:rsidRPr="00DB5D0D">
        <w:rPr>
          <w:rFonts w:ascii="Times New Roman" w:hAnsi="Times New Roman"/>
          <w:color w:val="000000" w:themeColor="text1"/>
          <w:sz w:val="16"/>
          <w:szCs w:val="16"/>
        </w:rPr>
        <w:t xml:space="preserve"> Войсковые испытания химической авиабомбы ХАБ-100 ударного действия в снаряжении НОВ и СОВ на полигоне Шиханы (Саратовская область). В снаряжении синильной кислотой одна ХАБ-100 обеспечивает площадь заражения 5400 м2 (тяжелые и средние поражения). В снаряжении СОВ (смесь зимнего иприта Зайкова и люизита в соотношении 50:50 по объему) одна бомба ХАБ-100 обеспечивает заражение примерно 2000 м2. Авиахимбомба ХАБ-100 ударного действия была рекомендована к постановке на вооружение ВВС РККА: в снаряжении синильной кислоты — для поражения живой силы противника, находящегося на открытой местности и в укрытиях (окопы, щели без прикрытия, танки с открытыми люками); в снаряжении СОВ — для поражения живой силы противника и заражения местности (17133).</w:t>
      </w:r>
    </w:p>
    <w:p w14:paraId="3DDAA279" w14:textId="77777777" w:rsidR="004075DF" w:rsidRPr="00DB5D0D" w:rsidRDefault="004075DF" w:rsidP="00DB5D0D">
      <w:pPr>
        <w:shd w:val="clear" w:color="auto" w:fill="FFFFFF"/>
        <w:spacing w:after="0" w:line="240" w:lineRule="auto"/>
        <w:jc w:val="both"/>
        <w:rPr>
          <w:rFonts w:ascii="Times New Roman" w:hAnsi="Times New Roman"/>
          <w:color w:val="000000" w:themeColor="text1"/>
          <w:sz w:val="16"/>
          <w:szCs w:val="16"/>
        </w:rPr>
      </w:pPr>
    </w:p>
    <w:p w14:paraId="0797E349" w14:textId="77777777" w:rsidR="003834E8" w:rsidRPr="00DB5D0D" w:rsidRDefault="003834E8"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8F72D80" w14:textId="77777777" w:rsidR="003834E8" w:rsidRPr="00DB5D0D" w:rsidRDefault="003834E8" w:rsidP="00DB5D0D">
      <w:pPr>
        <w:spacing w:after="0" w:line="240" w:lineRule="auto"/>
        <w:jc w:val="both"/>
        <w:rPr>
          <w:rFonts w:ascii="Times New Roman" w:hAnsi="Times New Roman"/>
          <w:iCs/>
          <w:color w:val="000000" w:themeColor="text1"/>
          <w:sz w:val="16"/>
          <w:szCs w:val="16"/>
        </w:rPr>
      </w:pPr>
    </w:p>
    <w:p w14:paraId="6D997A5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мая 1940 г. </w:t>
      </w:r>
    </w:p>
    <w:p w14:paraId="33F82D15"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52E65CA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мая 1940 г. </w:t>
      </w:r>
    </w:p>
    <w:p w14:paraId="6A7DBE05"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СО2385 </w:t>
      </w:r>
    </w:p>
    <w:p w14:paraId="74EFC4F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 8 ОТДЕЛА АБТУ КА ВОЕНИНЖЕНЕРУ 1 РАНГА тов. АФОНИНУ</w:t>
      </w:r>
    </w:p>
    <w:p w14:paraId="2D64414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 Москва, Красная пл., 2-й дом НКО</w:t>
      </w:r>
    </w:p>
    <w:p w14:paraId="7A29ED5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этом препровождаем Вам протокол заседания Комиссии по войсковым испытаниям танка Т-34 от 20 и 21 апреля 1940 г. </w:t>
      </w:r>
    </w:p>
    <w:p w14:paraId="35829ED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Приложение: Упомянутое на 10 листах + 2 листа особое мнение представителя завода 183. </w:t>
      </w:r>
    </w:p>
    <w:p w14:paraId="6F1534C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ГЛ. ИНЖ. ЗАВОДА подпись 8/V-40 (МАХОНИН) </w:t>
      </w:r>
    </w:p>
    <w:p w14:paraId="1B960AB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 ГЛ. КОНСТР. подпись А.А. Морозова (КОШКИН)</w:t>
      </w:r>
    </w:p>
    <w:p w14:paraId="6624C08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2 экз. </w:t>
      </w:r>
    </w:p>
    <w:p w14:paraId="2AF9E20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2045 </w:t>
      </w:r>
    </w:p>
    <w:p w14:paraId="4F6176E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5/V-40 г. </w:t>
      </w:r>
    </w:p>
    <w:p w14:paraId="691BF4A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 86</w:t>
      </w:r>
      <w:r w:rsidRPr="00DB5D0D">
        <w:rPr>
          <w:rFonts w:ascii="Times New Roman" w:eastAsia="Times New Roman" w:hAnsi="Times New Roman"/>
          <w:color w:val="000000" w:themeColor="text1"/>
          <w:sz w:val="16"/>
          <w:szCs w:val="16"/>
          <w:lang w:eastAsia="ru-RU"/>
        </w:rPr>
        <w:t xml:space="preserve"> (17619).</w:t>
      </w:r>
    </w:p>
    <w:p w14:paraId="708692D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Сов.Секретно. </w:t>
      </w:r>
    </w:p>
    <w:p w14:paraId="75BC6E4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 СО2385 </w:t>
      </w:r>
    </w:p>
    <w:p w14:paraId="58DFF69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мая 1940 г. Для АБТУ (8 отдел) </w:t>
      </w:r>
    </w:p>
    <w:p w14:paraId="23047D8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ПРОТОКОЛ</w:t>
      </w:r>
    </w:p>
    <w:p w14:paraId="7E50D9D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Заседания Комиссии по войсковым испытаниям танка Т-34</w:t>
      </w:r>
    </w:p>
    <w:p w14:paraId="7EC11A16"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20 и 21 Апреля 1940 г.</w:t>
      </w:r>
    </w:p>
    <w:p w14:paraId="5112C53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Присутствовали: </w:t>
      </w:r>
    </w:p>
    <w:p w14:paraId="582589C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Председатель Комиссии – Полковник ЧЕРНЯЕВ </w:t>
      </w:r>
    </w:p>
    <w:p w14:paraId="33228DB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Члены комиссии: </w:t>
      </w:r>
    </w:p>
    <w:p w14:paraId="4FA3DF87"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Майор ЛУНКИН </w:t>
      </w:r>
    </w:p>
    <w:p w14:paraId="5CC3186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Майор ГЕРКЕВИЧ </w:t>
      </w:r>
    </w:p>
    <w:p w14:paraId="438C29D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Военинженер 3 ранга ГОРЮШКИН </w:t>
      </w:r>
    </w:p>
    <w:p w14:paraId="732F0C8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Военинженер 3 ранга БАЙКОВ </w:t>
      </w:r>
    </w:p>
    <w:p w14:paraId="6F01746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Военинженер 2 ранга ЛИХАЦКИЙ </w:t>
      </w:r>
    </w:p>
    <w:p w14:paraId="25DC9FD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Представитель Главспецмаша МАСАЛЬСКАЯ </w:t>
      </w:r>
    </w:p>
    <w:p w14:paraId="1BEDBD86"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Представитель завода № 183 МОРОЗОВ </w:t>
      </w:r>
    </w:p>
    <w:p w14:paraId="0A8C8829"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Представитель завода № 75 СЛЕПОВ </w:t>
      </w:r>
    </w:p>
    <w:p w14:paraId="4C50558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Представитель СТЗ КОКУШКИН </w:t>
      </w:r>
    </w:p>
    <w:p w14:paraId="40ECE9B7"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СЛУШАЛИ: О внесении конструктивных изменений в танке Т-34. </w:t>
      </w:r>
    </w:p>
    <w:p w14:paraId="5BCEDFA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ПОСТАНОВИЛИ: В результате войсковых и полигонных испытаний танков Т-34 Комиссия считает необходимым внести в конструкцию танка Т-34 следующие изменения: </w:t>
      </w:r>
    </w:p>
    <w:p w14:paraId="2A660EA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 По двигателю.</w:t>
      </w:r>
    </w:p>
    <w:p w14:paraId="284C535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Устранить пробивание газов из под прокладок головок цилиндров. </w:t>
      </w:r>
    </w:p>
    <w:p w14:paraId="1325049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Усилить конструкцию привода масляной помпы, обеспечив надежность в работе. </w:t>
      </w:r>
    </w:p>
    <w:p w14:paraId="0E2D2D15"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Устранить возможность сбивания муфты опережения впрыска топлива. </w:t>
      </w:r>
    </w:p>
    <w:p w14:paraId="7627428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Предусмотреть съемку или разъединение выхлопных труб, не снимая броневого колпака. </w:t>
      </w:r>
    </w:p>
    <w:p w14:paraId="5B2F8B2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 По системе питания и смазки.</w:t>
      </w:r>
    </w:p>
    <w:p w14:paraId="49FA693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Конструкцию топливных и маслобаков сделать более жесткой, устранить течь. </w:t>
      </w:r>
    </w:p>
    <w:p w14:paraId="26A2CA6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Обеспечить соосность заливных отверстий баков с отверстиями к крыше танка. </w:t>
      </w:r>
    </w:p>
    <w:p w14:paraId="4E3BBB7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Медный трубопроводы (трубки компрессора, сливная трубка в картер мотора) заменить на стальные. </w:t>
      </w:r>
    </w:p>
    <w:p w14:paraId="6492B8B6"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Рекомендовать проверить возможность замены всех медных трубопроводов на стальные. </w:t>
      </w:r>
    </w:p>
    <w:p w14:paraId="6BC5161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Поставить перекрывные краны к маслобакам, обеспечив возможность работы на одном баке. </w:t>
      </w:r>
    </w:p>
    <w:p w14:paraId="02ECCFB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Увеличить сечение трубопровода, соединяющего задние топливные баки. Установить перекрывной кран. </w:t>
      </w:r>
    </w:p>
    <w:p w14:paraId="51E8654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Устранить течь в соединениях трубопроводов. Предусмотреть надежное крепление штуцеров. </w:t>
      </w:r>
    </w:p>
    <w:p w14:paraId="5B826CE6"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Масленки МТК заменить на более производительные. </w:t>
      </w:r>
    </w:p>
    <w:p w14:paraId="35989A0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III. Воздухоочиститель.</w:t>
      </w:r>
    </w:p>
    <w:p w14:paraId="3A5AF78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Предусмотреть возможность монтажа и демонтажа воздухоочистителя не снимая моторной крыши. </w:t>
      </w:r>
    </w:p>
    <w:p w14:paraId="4ED609B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IV. Главный фрикцион.</w:t>
      </w:r>
    </w:p>
    <w:p w14:paraId="043ED8D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Главный фрикцион в работе не надежен: по причине коробления дисков. </w:t>
      </w:r>
    </w:p>
    <w:p w14:paraId="7A118E8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надежную работу главного фрикциона в тяжелых дорожных условиях (на длительную передачу максимального крутящего момента) без пробуксовки и коробления дисков. </w:t>
      </w:r>
    </w:p>
    <w:p w14:paraId="0E9532B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Вентиляторы, установленные на танках Т-34 ненадежны. Неоднократно появлялись трещины на лопатках и ободе, что приводило к авариям. Необходимо разработать новый вентилятор. </w:t>
      </w:r>
    </w:p>
    <w:p w14:paraId="0CC6C14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V. Бортовой фрикцион.</w:t>
      </w:r>
    </w:p>
    <w:p w14:paraId="3FF1F99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Улучшить доступ смазки к наружному подшипнику и обеспечить заправку не снимая кормового листа. </w:t>
      </w:r>
    </w:p>
    <w:p w14:paraId="410006A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VI. Ведущее колесо.</w:t>
      </w:r>
    </w:p>
    <w:p w14:paraId="390CA38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Усилить конструкцию колеса за счет утолщения дисков. </w:t>
      </w:r>
    </w:p>
    <w:p w14:paraId="34EAC1A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Обеспечить смену роликов без демонтажа колеса. </w:t>
      </w:r>
    </w:p>
    <w:p w14:paraId="2D14A37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Усилить крепление ведущего колеса на полуоси за счет увеличения диаметра и количества болтов (вместо 4-х – 5 болтов). </w:t>
      </w:r>
    </w:p>
    <w:p w14:paraId="0BD0377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VII. Направляющее колесо (ленивец).</w:t>
      </w:r>
    </w:p>
    <w:p w14:paraId="4DEBC5C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Натяжной механизм на серию устанавливать конструкции маш. №311-11-3 (наружного натяжения). </w:t>
      </w:r>
    </w:p>
    <w:p w14:paraId="690EB04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Накидную шлицевую гайку сделать заодно целое со стержнем. </w:t>
      </w:r>
    </w:p>
    <w:p w14:paraId="738D0627"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VIII. Бортовая передача.</w:t>
      </w:r>
    </w:p>
    <w:p w14:paraId="0432042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взаимозаменяемость крышек бортовой передачи. </w:t>
      </w:r>
    </w:p>
    <w:p w14:paraId="0DD5002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IХ. Подвеска.</w:t>
      </w:r>
    </w:p>
    <w:p w14:paraId="3F73279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надежную работу подвески соответствующим усилением штоков. </w:t>
      </w:r>
    </w:p>
    <w:p w14:paraId="3FC3974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Проверить кинематику работы подвески. </w:t>
      </w:r>
    </w:p>
    <w:p w14:paraId="4D8ECE6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Обеспечить достаточный доступ смазки к наружной втулке балансира. </w:t>
      </w:r>
    </w:p>
    <w:p w14:paraId="7A909F2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Оси поддерживающих колес, шлифовать на по всей длине. </w:t>
      </w:r>
    </w:p>
    <w:p w14:paraId="193595C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Х. Управление.</w:t>
      </w:r>
    </w:p>
    <w:p w14:paraId="37C080A9"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Изменить расположение тяг к подводкам кулисы таким образом, чтобы положение рычага при включении скоростей было по углам, а задний ход в середине. </w:t>
      </w:r>
    </w:p>
    <w:p w14:paraId="6F14AD2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Сместить тяги управления бортовыми фрикционами обеспечив больший зазор между вентиляторами и тягами. </w:t>
      </w:r>
    </w:p>
    <w:p w14:paraId="0743C89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Обеспечить надежный возврат тяги акселератора, при этом усилия не должны превышать 3 кг. </w:t>
      </w:r>
    </w:p>
    <w:p w14:paraId="4E73732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Ставить предохранители, обеспечивающие тяги от подъема вверх под вентилятором. </w:t>
      </w:r>
    </w:p>
    <w:p w14:paraId="3E160D7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ХI. Сиденье водителя.</w:t>
      </w:r>
    </w:p>
    <w:p w14:paraId="6F0E733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Увеличить перемещение сиденья назад на 50 мм. </w:t>
      </w:r>
    </w:p>
    <w:p w14:paraId="186672D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Сиденье радиста – опустить ниже и увеличить регулировку за счет перемещения назад. </w:t>
      </w:r>
    </w:p>
    <w:p w14:paraId="2D50CA79"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Сиденье стрелка и заряжающего. </w:t>
      </w:r>
    </w:p>
    <w:p w14:paraId="0F743D0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Уменьшить размеры сиденья по ширине. </w:t>
      </w:r>
    </w:p>
    <w:p w14:paraId="7957054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Сделать сиденье мягким. </w:t>
      </w:r>
    </w:p>
    <w:p w14:paraId="1A730BD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Обеспечить надежную фиксацию сиденья на кронштейне. </w:t>
      </w:r>
    </w:p>
    <w:p w14:paraId="4A9987F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Изменить конструкцию спинки сиденья с целью увеличения посадочного места. </w:t>
      </w:r>
    </w:p>
    <w:p w14:paraId="7F0251F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ХII. Электрооборудование.</w:t>
      </w:r>
    </w:p>
    <w:p w14:paraId="171064C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Доработать конструкцию стартера, устранить следующие недостатки: </w:t>
      </w:r>
    </w:p>
    <w:p w14:paraId="6AF5EDB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усилить прочность посадочного места под игольчатый подшипник. </w:t>
      </w:r>
    </w:p>
    <w:p w14:paraId="77AE839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устранить заклинивание муфты. </w:t>
      </w:r>
    </w:p>
    <w:p w14:paraId="7CFC05F5"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Усилить механическую прочность шайбы, удерживающей якорь от продольных перемещений. </w:t>
      </w:r>
    </w:p>
    <w:p w14:paraId="6B7D85C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На болтах, соединяющих фрикционные чашки, предусмотреть стопорение. </w:t>
      </w:r>
    </w:p>
    <w:p w14:paraId="49832F2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Устранить попадание масла внутрь фрикциона. </w:t>
      </w:r>
    </w:p>
    <w:p w14:paraId="48B442E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Устранить проникновение масла и горючего на электропровода, проложенные по борту. </w:t>
      </w:r>
    </w:p>
    <w:p w14:paraId="46788FE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Расширить отверстие в перегородке для доступа к блоку защиты предохранителей. </w:t>
      </w:r>
    </w:p>
    <w:p w14:paraId="1A35A34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Провода ВКУ переместить влево по ходу машины. </w:t>
      </w:r>
    </w:p>
    <w:p w14:paraId="16C4C4A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Постель стартера предохранить от смещения. </w:t>
      </w:r>
    </w:p>
    <w:p w14:paraId="15B87AC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Устранить частое перегорание ламп прожектора. </w:t>
      </w:r>
    </w:p>
    <w:p w14:paraId="614A1A46"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XIII. Боеукладка.</w:t>
      </w:r>
    </w:p>
    <w:p w14:paraId="72DED94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Боеукладка предъявленная на опытных образцах непригодна. </w:t>
      </w:r>
    </w:p>
    <w:p w14:paraId="6A43520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w:t>
      </w:r>
    </w:p>
    <w:p w14:paraId="33B009A7"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свободное открывание и закрывание крышек чемоданов. </w:t>
      </w:r>
    </w:p>
    <w:p w14:paraId="036F1D5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Изменить крепление снарядов двумя ремешками обеспечив при этом удобство и быстроту подготовки снаряда к выстрелу. </w:t>
      </w:r>
    </w:p>
    <w:p w14:paraId="58C56BF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Чемоданы должны свободно ставиться и выниматься. </w:t>
      </w:r>
    </w:p>
    <w:p w14:paraId="28CCE3D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Для обеспечения ведения огня из спаренного пулемёта разработать новую укладку дисков (обеспечив удобство доставания их заряжающим). </w:t>
      </w:r>
    </w:p>
    <w:p w14:paraId="574E6109"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XIV. Инструмент.</w:t>
      </w:r>
    </w:p>
    <w:p w14:paraId="74ED889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Предусмотреть для натяжения гусеницы ключ-трещётку. </w:t>
      </w:r>
    </w:p>
    <w:p w14:paraId="579EA98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Разработать комплект инструмента, съемников и приспособлений, необходимых для производства ремонта в полевых условиях. </w:t>
      </w:r>
    </w:p>
    <w:p w14:paraId="7CDB812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Установить два термоса для питьевой воды. </w:t>
      </w:r>
    </w:p>
    <w:p w14:paraId="0BF79E5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Предусмотреть размещение возимого запаса продовольствия и имущества, согласно табеля. </w:t>
      </w:r>
    </w:p>
    <w:p w14:paraId="35819D1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XV. Корпус.</w:t>
      </w:r>
    </w:p>
    <w:p w14:paraId="48751589"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Разработать люк водителя, обеспечивающий возможность посадки и выхода из машины при любом положении башни. </w:t>
      </w:r>
    </w:p>
    <w:p w14:paraId="4EC804D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2) Поставить замок в люке лаза в днище, обеспечив его закрытие снаружи. </w:t>
      </w:r>
    </w:p>
    <w:p w14:paraId="6A6F2876"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В колпаках жалюзи сделать лючки обеспечивающие заправку и контроль масла не снимая колпаков. </w:t>
      </w:r>
    </w:p>
    <w:p w14:paraId="45702E1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Конструкцию угольников под коробкой перемены передач сделать такими, которые бы обеспечивали свободное поворачивание К.П.П., не демонтируя её от бортовых фрикционов. </w:t>
      </w:r>
    </w:p>
    <w:p w14:paraId="7BA48EB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Поперечную перегородку жалюзи сделать откидной. </w:t>
      </w:r>
    </w:p>
    <w:p w14:paraId="7304712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Обеспечить плотное закрывание жалюзи, надежность работы закрывающего механизма и предусмотреть возможность фиксации жалюзи изнутри машины в любом положении. </w:t>
      </w:r>
    </w:p>
    <w:p w14:paraId="0C74C6B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Установить указатель направления и положения угла открытия жалюзи. </w:t>
      </w:r>
    </w:p>
    <w:p w14:paraId="76F76E0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Привод всасывающих жалюзи сделать так, чтобы фиксировать только в положении открыто и закрыто (без промежуточных положений). </w:t>
      </w:r>
    </w:p>
    <w:p w14:paraId="0D4615A9"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Уменьшить величину захода листов во всех замках. </w:t>
      </w:r>
    </w:p>
    <w:p w14:paraId="54B9B09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Внутреннюю сварку корпуса, башни и приварку бонок производить аустенитовыми электродами. Снаружи корпус и башню варить электродами МД. </w:t>
      </w:r>
    </w:p>
    <w:p w14:paraId="72B758A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9) Имеющееся углубление на крыше танка под нишей башни необходимо защитить козырьками. </w:t>
      </w:r>
    </w:p>
    <w:p w14:paraId="7ED1F947"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10) Заменить буксирные рымы крюками, обеспечивающими быстроту и удобство взятия машины на буксир. </w:t>
      </w:r>
    </w:p>
    <w:p w14:paraId="5855128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Кроме того, предусмотреть крюк тракторного типа (Ворошиловец). </w:t>
      </w:r>
    </w:p>
    <w:p w14:paraId="52B58B8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11) Сделать лючок в фальшбортах против соединения бортовых баков. </w:t>
      </w:r>
    </w:p>
    <w:p w14:paraId="19B5BD5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12) Пропустить два сквозных болта в нижней части подковы, предохраняющих от возможности вынимания шаровой установки наружу. </w:t>
      </w:r>
    </w:p>
    <w:p w14:paraId="6C2E690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14) Разработать замок люка над мотором, который должен обеспечить фиксацию закрытия из боевого отделения. </w:t>
      </w:r>
    </w:p>
    <w:p w14:paraId="4B80465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15) Буксирные торосы сделать более надежными – увеличить сечение троса. </w:t>
      </w:r>
    </w:p>
    <w:p w14:paraId="1317BAA6"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16) Крюк стопорящий люк башни необходимо конструктивно изменить, обеспечив закрывание люка, не вылезая из башни наружу. Обеспечить надежное фиксирование крюка. </w:t>
      </w:r>
    </w:p>
    <w:p w14:paraId="10601E8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17) Дополнительное стопорение люка убрать. </w:t>
      </w:r>
    </w:p>
    <w:p w14:paraId="527F67D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18) Усилить крепление и стопорение люка вентиляции. </w:t>
      </w:r>
    </w:p>
    <w:p w14:paraId="7CC0BF8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20) Кормовой лист брони сделать на петлях. </w:t>
      </w:r>
    </w:p>
    <w:p w14:paraId="097FD4D7"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21) Предусмотреть пробку для спуска воды. </w:t>
      </w:r>
    </w:p>
    <w:p w14:paraId="0815044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XVI. Башня.</w:t>
      </w:r>
    </w:p>
    <w:p w14:paraId="2951551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Для обеспечения удобства и свободной работы экипажа, башню необходимо расширить. Расширение башни произвести без изменений корпуса и наклона брони. </w:t>
      </w:r>
    </w:p>
    <w:p w14:paraId="303AD3B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Крепление захватов башни усилить. </w:t>
      </w:r>
    </w:p>
    <w:p w14:paraId="5BD7C979"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На цепочке груши поставить тросик с кольцом для удобного пользования при закрывании отверстия. </w:t>
      </w:r>
    </w:p>
    <w:p w14:paraId="00590C3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Стопор башни из передней части перенести на погон посередине ниши башни и предусмотреть усиление стопорения башни. </w:t>
      </w:r>
    </w:p>
    <w:p w14:paraId="7335501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Улучшить герметичность люка башни за счет более надежного резинового уплотнения. </w:t>
      </w:r>
    </w:p>
    <w:p w14:paraId="5F4FA86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Предусмотреть установку в нише башни пистолета автомата ППД. </w:t>
      </w:r>
    </w:p>
    <w:p w14:paraId="0DFD4CD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Нижний лист башни усилить до 20 мм. </w:t>
      </w:r>
    </w:p>
    <w:p w14:paraId="497AB05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XVII. Вооружение.</w:t>
      </w:r>
    </w:p>
    <w:p w14:paraId="02CD108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Угол возвышения довести до 30° , а угол снижения по ходу машины и на борта до 5°, согласно т.т. требований. </w:t>
      </w:r>
    </w:p>
    <w:p w14:paraId="10006AC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Учитывая уширение башни сместить ПТ-1 влево, обеспечив доступ к установке прицела ТОД. </w:t>
      </w:r>
    </w:p>
    <w:p w14:paraId="7B0D3CA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Окуляры ПТ-1 и ТОД установить в одной плоскости (горизонт. и верт.). </w:t>
      </w:r>
    </w:p>
    <w:p w14:paraId="45DD5DF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Поставить цепь для предохранения ПТ-1 от выпадения. </w:t>
      </w:r>
    </w:p>
    <w:p w14:paraId="586996B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Устранить возможность задевания рук при одновременной работе подъемным и поворотным механизмами (подъемный механизм перенести вправо). </w:t>
      </w:r>
    </w:p>
    <w:p w14:paraId="65C855E7"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Ножной спуск отнести влево (по ходу машины) и опустить ниже. Усилить кронштейн. </w:t>
      </w:r>
    </w:p>
    <w:p w14:paraId="5194742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Для удобства работы экипажа уменьшить габариты гильзоулавливателя и перенести ручной спуск. </w:t>
      </w:r>
    </w:p>
    <w:p w14:paraId="4739ECD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При открывании и закрывании затвора сбивается наводка, устранить возможность сбивания. </w:t>
      </w:r>
    </w:p>
    <w:p w14:paraId="143EDB2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XVIII. Радио.</w:t>
      </w:r>
    </w:p>
    <w:p w14:paraId="4A6B319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Рацию 71-ТК-3 из ниши башни убрать и перенести в носовую часть танка. </w:t>
      </w:r>
    </w:p>
    <w:p w14:paraId="0D5ABC2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XIX. Поворотный механизм.</w:t>
      </w:r>
    </w:p>
    <w:p w14:paraId="6CF0405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вращение башни электромотором при наклонах до 20°. </w:t>
      </w:r>
    </w:p>
    <w:p w14:paraId="57E20BB9"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Обеспечить работу поворотного механизма без пробуксовки фрикциона при углах подъема в 25°. </w:t>
      </w:r>
    </w:p>
    <w:p w14:paraId="15E88D4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Усилие на рукоятке при вращении поворотного механизма от руки при углах наклона башни уменьшить. </w:t>
      </w:r>
    </w:p>
    <w:p w14:paraId="157FB05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ХХ. Смотровые приборы.</w:t>
      </w:r>
    </w:p>
    <w:p w14:paraId="5E9B9B4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Установленные на танке Т-34 смотровые приборы не обеспечивают наблюдение и вождение танка (при закрытых люках). </w:t>
      </w:r>
    </w:p>
    <w:p w14:paraId="12A168D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Смотровые приборы имеют большое мертвое пространство. </w:t>
      </w:r>
    </w:p>
    <w:p w14:paraId="554086E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 зимних условиях не обеспечивают видимости: </w:t>
      </w:r>
    </w:p>
    <w:p w14:paraId="2783401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Прибор заносится снегом и грязью (как у водителя, так и в башне). </w:t>
      </w:r>
    </w:p>
    <w:p w14:paraId="713F018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Запотевание зеркал и стекол приводит к обледенению. </w:t>
      </w:r>
    </w:p>
    <w:p w14:paraId="192AA15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Не предусмотрена очистка от пыли и осадков. </w:t>
      </w:r>
    </w:p>
    <w:p w14:paraId="137B4AE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При стрельбе из пушки защитные стекла у всех приборов лопаются. </w:t>
      </w:r>
    </w:p>
    <w:p w14:paraId="7BF5A61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При обстреле машины по одной стороне башни 37 мм снарядом все зеркала при первом выстреле вышли из строя. </w:t>
      </w:r>
    </w:p>
    <w:p w14:paraId="19F2555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На основании перечисленных недостатков считать конструкцию смотровых приборов непригодной. Разработать новые смотровые приборы с учетом устранения всех перечисленных недостатков. </w:t>
      </w:r>
    </w:p>
    <w:p w14:paraId="00C1BED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Предусмотреть аварийную щель для водителя. </w:t>
      </w:r>
    </w:p>
    <w:p w14:paraId="23C3AAE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XXI. Система воздухопуска.</w:t>
      </w:r>
    </w:p>
    <w:p w14:paraId="247F52F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удобный доступ ко второму воздухо-баллону. </w:t>
      </w:r>
    </w:p>
    <w:p w14:paraId="439F32F9"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Предусмотреть возможность зарядки воздушных баллонов, не вынимая их из машины. </w:t>
      </w:r>
    </w:p>
    <w:p w14:paraId="4D735D1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XXII. Контрольные приборы.</w:t>
      </w:r>
    </w:p>
    <w:p w14:paraId="5DC77A1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Манометр топлива не пригоден – заменить на манометр со шкалой до 2 атмосфер. </w:t>
      </w:r>
    </w:p>
    <w:p w14:paraId="48A4E2A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Устранить резкие перегибы тросов тахометра и спидометра. </w:t>
      </w:r>
    </w:p>
    <w:p w14:paraId="789745D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XXIII. Сервоуправление.</w:t>
      </w:r>
    </w:p>
    <w:p w14:paraId="5E5FB6B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Устранить следующие недостатки. </w:t>
      </w:r>
    </w:p>
    <w:p w14:paraId="18F0F0A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Возможность примерзания клапанов. </w:t>
      </w:r>
    </w:p>
    <w:p w14:paraId="6E4C372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Устранить поломку трубопроводов. </w:t>
      </w:r>
    </w:p>
    <w:p w14:paraId="7CEC341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Упростить регулировку сервоуправления. </w:t>
      </w:r>
    </w:p>
    <w:p w14:paraId="0C968835"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Форсировать установку механического сервоуправления. </w:t>
      </w:r>
    </w:p>
    <w:p w14:paraId="05F421D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Прибор кругового обзора.</w:t>
      </w:r>
    </w:p>
    <w:p w14:paraId="01C3CF2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Прибор кругового обзора данной конструкции непригоден. Разработать новый, обеспечивающий от поражения и дающий круговой обзор. </w:t>
      </w:r>
    </w:p>
    <w:p w14:paraId="4FEE3FD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Разработать и изготовить конструкцию шпор и зимних траков. </w:t>
      </w:r>
    </w:p>
    <w:p w14:paraId="0214EC7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Вентиляция.</w:t>
      </w:r>
    </w:p>
    <w:p w14:paraId="77BF456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Улучшить вентиляцию башни, за счет постановки более мощного вентилятора и дополнительных отверстий в моторной перегородке. </w:t>
      </w:r>
    </w:p>
    <w:p w14:paraId="7FD73E0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ПРЕДСЕДАТЕЛЬ КОМИСИИ ПОЛКОВНИК подпись (ЧЕРНЯЕВ) </w:t>
      </w:r>
    </w:p>
    <w:p w14:paraId="7F73F57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ЧЛЕНЫ КОМИССИИ: </w:t>
      </w:r>
    </w:p>
    <w:p w14:paraId="1E9E10A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МАЙОР подпись (ЛУНКИН) </w:t>
      </w:r>
    </w:p>
    <w:p w14:paraId="30F2D3A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МАЙОР подпись (ГЕРКЕВИЧ) </w:t>
      </w:r>
    </w:p>
    <w:p w14:paraId="6EAF8656"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ВОЕНИНЖЕНЕР 3 РАНГА подпись (ГОРЮШКИН) </w:t>
      </w:r>
    </w:p>
    <w:p w14:paraId="5EC1800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ВОЕНИНЖЕНЕР 3 РАНГА подпись (БАЙКОВ) </w:t>
      </w:r>
    </w:p>
    <w:p w14:paraId="405AB22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ВОЕНИНЖЕНЕР 2 РАНГА подпись (ЛИХАЦКИЙ) </w:t>
      </w:r>
    </w:p>
    <w:p w14:paraId="7271D29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ПРЕДСТ. ГЛАВСПЕЦМАШ см. особое мнение подпись (МАСАЛЬСКАЯ) </w:t>
      </w:r>
    </w:p>
    <w:p w14:paraId="13A9DDA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ПРЕДСТ. З-ДА СТЗ подпись (КОКУШКИН) </w:t>
      </w:r>
    </w:p>
    <w:p w14:paraId="76AA0D7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ПРЕДСТ. З-ДА № 183 подпись 23.IV.40 (МОРОЗОВ) </w:t>
      </w:r>
    </w:p>
    <w:p w14:paraId="74D2687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ПРЕДСТ. ЗАВОДА № 75 подпись (СЛЕПОВ)</w:t>
      </w:r>
    </w:p>
    <w:p w14:paraId="46FF6557"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Отпеч. 4 экз. </w:t>
      </w:r>
    </w:p>
    <w:p w14:paraId="4EDFA407"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Байков </w:t>
      </w:r>
    </w:p>
    <w:p w14:paraId="74A4902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1912 </w:t>
      </w:r>
    </w:p>
    <w:p w14:paraId="683C4DA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22/IV-40 г. </w:t>
      </w:r>
    </w:p>
    <w:p w14:paraId="6C7B5C1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Дописано от руки: </w:t>
      </w:r>
      <w:r w:rsidRPr="00DB5D0D">
        <w:rPr>
          <w:rFonts w:ascii="Times New Roman" w:eastAsia="Times New Roman" w:hAnsi="Times New Roman"/>
          <w:color w:val="000000" w:themeColor="text1"/>
          <w:sz w:val="16"/>
          <w:szCs w:val="16"/>
          <w:lang w:eastAsia="ru-RU"/>
        </w:rPr>
        <w:t xml:space="preserve">«Особое мнение представителя завода № 183 смотри отдельным приложением. подпись А.А. Морозова 23.IV.40» </w:t>
      </w:r>
    </w:p>
    <w:p w14:paraId="53883A6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2C34E0F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 СО2385 </w:t>
      </w:r>
    </w:p>
    <w:p w14:paraId="03A797B6"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 протоколу заседания Комиссии по войсковым испытаниям танка Т-34 от 20 и 21 Апреля 1940 г. </w:t>
      </w:r>
    </w:p>
    <w:p w14:paraId="4F73E02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Особое мнение Представителя завода № 183.</w:t>
      </w:r>
    </w:p>
    <w:p w14:paraId="2B6A48F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разделу 1 §4 </w:t>
      </w:r>
    </w:p>
    <w:p w14:paraId="277E636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принципе конструкция хотя и возможна, но требует проработки нового трубопровода с изменением узлов крепления к корпусу. </w:t>
      </w:r>
    </w:p>
    <w:p w14:paraId="36B761C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разделу IV. </w:t>
      </w:r>
    </w:p>
    <w:p w14:paraId="342F959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Работа главного фрикциона за весь период испытаний машины не показала плохой работы всех деталей фрикциона. Ни одна деталь не вышла из строя. </w:t>
      </w:r>
    </w:p>
    <w:p w14:paraId="208BA55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работе наблюдалось только коробление дисков, причины которого установить ещё не удалось. </w:t>
      </w:r>
    </w:p>
    <w:p w14:paraId="2851E2E1"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разделу VII. </w:t>
      </w:r>
    </w:p>
    <w:p w14:paraId="68798C08"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Предлагаемый комиссией к установке 1-й вариант ленивца, хотя и хорошо работавший на машине, все же нами рекомендован быть не может, по причине его меньшей механической прочности по сравнению с 2-м вариантом ленивца. </w:t>
      </w:r>
    </w:p>
    <w:p w14:paraId="19FDF4E3"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разделу "Радио". </w:t>
      </w:r>
    </w:p>
    <w:p w14:paraId="3EA8641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Существующую рацию 71-ТК-3 перенести в нос танка нельзя, как из условий габаритов, так и из условий предъявляемых требований на установку рации. Это же мнение высказывает и специальная комиссия УС КА (см. протокол). К тому же для установки рации в носу потребуется новое ВКУ, которого в данное время нет, и проработка новой антенны и ее ввода на наклонной части корпуса. </w:t>
      </w:r>
    </w:p>
    <w:p w14:paraId="5D155020"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целом, не отмечая остальных недостатков такой установки рации в носу, рацию 71-ТК-3 перенести в нос танка – нельзя. </w:t>
      </w:r>
    </w:p>
    <w:p w14:paraId="15AFC02F"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разделу "Смотровые приборы". </w:t>
      </w:r>
    </w:p>
    <w:p w14:paraId="126C7569"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Другой конструкции смотровых приборов в данное время завод предложить не может. Заявление комиссии о разработке новых приборов – принимаем к сведению, но окончательное заключение можно дать только после их изготовления и последующего испытания на машине. </w:t>
      </w:r>
    </w:p>
    <w:p w14:paraId="65E108A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разделу "Прибор кругового обзора". </w:t>
      </w:r>
    </w:p>
    <w:p w14:paraId="05168BE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Прибор кругового обзора хотя и не обеспечивает обзора на 360°, но являясь дополнительным прибором наблюдения, целиком удовлетворяет своему назначению. Поскольку комиссия, кроме заключения, что прибор не пригоден, больше ни каких недостатков самого прибора не приводит, а другой конструкции прибора завод не имеет – предложить на программу 1940 г. новую конструкцию смотрового прибора не можем. </w:t>
      </w:r>
    </w:p>
    <w:p w14:paraId="4D02A39E"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разделу XVI. </w:t>
      </w:r>
    </w:p>
    <w:p w14:paraId="794BB7C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Замечания комиссии о расширении башни – не конкретны. Без изменения погона, корпуса и наклона брони можно расширить башню, в зоне расположения экипажа, завод может только на 160 мм по диаметру. Всякое большее расширение башни возможно только с переделками погона, корпуса и самой башни. </w:t>
      </w:r>
    </w:p>
    <w:p w14:paraId="68D6C6F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ПРЕДСТАВИТЕЛЬ ЗАВОДА № 183 НАЧАЛЬНИК 520 подпись 26.IV.40 (МОРОЗОВ)</w:t>
      </w:r>
    </w:p>
    <w:p w14:paraId="129B612D"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4 экз. </w:t>
      </w:r>
    </w:p>
    <w:p w14:paraId="6DEBA95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26/IV-40 г. </w:t>
      </w:r>
    </w:p>
    <w:p w14:paraId="04CCCFC5" w14:textId="77777777" w:rsidR="003834E8" w:rsidRPr="00DB5D0D" w:rsidRDefault="003834E8" w:rsidP="00DB5D0D">
      <w:pPr>
        <w:spacing w:after="0" w:line="240" w:lineRule="auto"/>
        <w:jc w:val="both"/>
        <w:rPr>
          <w:rFonts w:ascii="Times New Roman" w:hAnsi="Times New Roman"/>
          <w:color w:val="000000" w:themeColor="text1"/>
          <w:sz w:val="16"/>
          <w:szCs w:val="16"/>
        </w:rPr>
      </w:pPr>
      <w:r w:rsidRPr="00DB5D0D">
        <w:rPr>
          <w:rFonts w:ascii="Times New Roman" w:eastAsia="Times New Roman" w:hAnsi="Times New Roman"/>
          <w:color w:val="000000" w:themeColor="text1"/>
          <w:sz w:val="16"/>
          <w:szCs w:val="16"/>
          <w:lang w:eastAsia="ru-RU"/>
        </w:rPr>
        <w:t>№ 1959</w:t>
      </w:r>
    </w:p>
    <w:p w14:paraId="404B6599"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листы 87 – 98</w:t>
      </w:r>
      <w:r w:rsidRPr="00DB5D0D">
        <w:rPr>
          <w:rFonts w:ascii="Times New Roman" w:eastAsia="Times New Roman" w:hAnsi="Times New Roman"/>
          <w:color w:val="000000" w:themeColor="text1"/>
          <w:sz w:val="16"/>
          <w:szCs w:val="16"/>
          <w:lang w:eastAsia="ru-RU"/>
        </w:rPr>
        <w:t xml:space="preserve"> (17619).</w:t>
      </w:r>
    </w:p>
    <w:p w14:paraId="27857ECB" w14:textId="77777777" w:rsidR="003834E8" w:rsidRPr="00DB5D0D" w:rsidRDefault="003834E8" w:rsidP="00DB5D0D">
      <w:pPr>
        <w:spacing w:after="0" w:line="240" w:lineRule="auto"/>
        <w:jc w:val="both"/>
        <w:rPr>
          <w:rFonts w:ascii="Times New Roman" w:hAnsi="Times New Roman"/>
          <w:color w:val="000000" w:themeColor="text1"/>
          <w:sz w:val="16"/>
          <w:szCs w:val="16"/>
        </w:rPr>
      </w:pPr>
    </w:p>
    <w:p w14:paraId="475DEDEA" w14:textId="77777777" w:rsidR="003834E8" w:rsidRPr="00DB5D0D" w:rsidRDefault="003834E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мая 1940 г. для утверждения «Отчета по войсковым испытаниям танков Т-34» в народном комиссариате обороны СССР четыре его экземпляра при сопроводительном письме № СО2386 были отправлены главным инженером завода № 183 С.Н. Махониным в АБТУ РККА. В графе отчета «"УТВЕРЖДАЮ" НАРОДНЫЙ КОМИССАР ОБОРОНЫ МАРШАЛ СОВЕТСКОГО СОЮЗА ВОРОШИЛОВ» было оставлено место для подписи К.Е. Ворошилова. Необходимо отметить, что за день до отправления отчетов по войсковым испытаниям танков А-34 с завода № 183 в АБТУ РККА, 7 мая 1940 г., Указом Президиума Верховного Совета СССР на должность народного комиссара обороны СССР вместо К.Е. Ворошилова был назначен С.К. Тимошенко. В пятницу 10 мая 1940 г. четыре экземпляра отчета фельдъегерской почтой были доставлены в Москву в АБТУ РККА. В связи с назначением нового народного комиссара обороны перепечатывать страницу отчета с графой «"УТВЕРЖДАЮ"» не стали, а просто аккуратно стерли фамилию Ворошилов и вписали фамилию Тимошенко. </w:t>
      </w:r>
    </w:p>
    <w:p w14:paraId="797CFE60" w14:textId="77777777" w:rsidR="003834E8" w:rsidRPr="00DB5D0D" w:rsidRDefault="003834E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последний день весны, 31 мая 1940 г., народный комиссар обороны СССР маршал Советского Союза С.К. Тимошенко утвердил «Отчет по войсковым испытаниям танков Т-34», отчету был присвоен номер 012</w:t>
      </w:r>
      <w:r w:rsidR="00AA262B" w:rsidRPr="00DB5D0D">
        <w:rPr>
          <w:rFonts w:ascii="Times New Roman" w:hAnsi="Times New Roman"/>
          <w:color w:val="000000" w:themeColor="text1"/>
          <w:sz w:val="16"/>
          <w:szCs w:val="16"/>
        </w:rPr>
        <w:t xml:space="preserve"> (17619)</w:t>
      </w:r>
      <w:r w:rsidRPr="00DB5D0D">
        <w:rPr>
          <w:rFonts w:ascii="Times New Roman" w:hAnsi="Times New Roman"/>
          <w:color w:val="000000" w:themeColor="text1"/>
          <w:sz w:val="16"/>
          <w:szCs w:val="16"/>
        </w:rPr>
        <w:t xml:space="preserve">. </w:t>
      </w:r>
    </w:p>
    <w:p w14:paraId="4B3796F2"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p>
    <w:p w14:paraId="2EA6955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7BAD7E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5F9C1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мая 1940года Начальник Управления снабжения горючим РККА П.В.Котов, на утреннем заседании Комиссии Главного военного совета Красной армии, заявил: «У нас плохо дело обстоит с обеспечением армии высокооктановым топливом для авиации. На этот счёт в прошлом году было вынесено решение ЦКВКП(б) и КО при СНК, но Наркомнефть его не выполнил» («Зимняя война»: работа над ошибками (апрель—май 1940 г.). Материалы комиссий Главного военного совета Красной Армии по обобщению опыта финской кампании. М.; СПб. 2004. С.259, 456.). </w:t>
      </w:r>
    </w:p>
    <w:p w14:paraId="398D1CE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9BC4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 12.00. Протокольная запись № 5 утреннего заседания комиссии ГВС "</w:t>
      </w:r>
    </w:p>
    <w:p w14:paraId="73CF68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w:t>
      </w:r>
    </w:p>
    <w:p w14:paraId="76F180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Слушали:</w:t>
      </w:r>
    </w:p>
    <w:p w14:paraId="29E76B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 xml:space="preserve">Предлагает заслушать </w:t>
      </w:r>
      <w:r w:rsidRPr="00DB5D0D">
        <w:rPr>
          <w:rFonts w:ascii="Times New Roman" w:hAnsi="Times New Roman"/>
          <w:iCs/>
          <w:color w:val="000000" w:themeColor="text1"/>
          <w:sz w:val="16"/>
          <w:szCs w:val="16"/>
        </w:rPr>
        <w:t>доклад т. Котова о состоянии вопроса обеспечения Красной Армии горючим, смазочным и тарой.</w:t>
      </w:r>
    </w:p>
    <w:p w14:paraId="2E243E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Котов: </w:t>
      </w:r>
      <w:r w:rsidRPr="00DB5D0D">
        <w:rPr>
          <w:rFonts w:ascii="Times New Roman" w:hAnsi="Times New Roman"/>
          <w:color w:val="000000" w:themeColor="text1"/>
          <w:sz w:val="16"/>
          <w:szCs w:val="16"/>
        </w:rPr>
        <w:t>1. У нас плохо дело обстоит с обеспечением армии высокооктановым топливом для авиации. На этот счет в прошлом году было вынесено решение ЦК ВКП(б) и КО при СНК, но Наркомнефть его не выполнил.</w:t>
      </w:r>
    </w:p>
    <w:p w14:paraId="3F7092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Потребность в топливе и маслах для наземных войск удовлетворяется. В мирных условиях весной и во время уборочной кампании потребности урезываются. Мы слабо ведем борьбу за экономию горючего и не используем заменителей. Германия на 80 % своей потребности удовлетворяет синтетическим топливом.</w:t>
      </w:r>
    </w:p>
    <w:p w14:paraId="5CBC33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Вы лучше доложите комиссии, что у Вас за топливо, соответствует ли существующим моторам и что делается Правительством.</w:t>
      </w:r>
    </w:p>
    <w:p w14:paraId="3B12EF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Котов: </w:t>
      </w:r>
      <w:r w:rsidRPr="00DB5D0D">
        <w:rPr>
          <w:rFonts w:ascii="Times New Roman" w:hAnsi="Times New Roman"/>
          <w:color w:val="000000" w:themeColor="text1"/>
          <w:sz w:val="16"/>
          <w:szCs w:val="16"/>
        </w:rPr>
        <w:t>В 1942 г. мы должны получить 30 % нашей потребности высокооктанового топлива. Это топливо удовлетворяет все наши существующие моторы и те, которые запроектированы.</w:t>
      </w:r>
    </w:p>
    <w:p w14:paraId="607C14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Предлагаю просить Правительство принять все меры, чтобы двинуть этот вопрос и отметить в своем постановлении, что Управление [снабжения] горючим Красной Армии плохо контролировало развитие высокооктанового топлива.</w:t>
      </w:r>
    </w:p>
    <w:p w14:paraId="132CCD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Локтионов: </w:t>
      </w:r>
      <w:r w:rsidRPr="00DB5D0D">
        <w:rPr>
          <w:rFonts w:ascii="Times New Roman" w:hAnsi="Times New Roman"/>
          <w:color w:val="000000" w:themeColor="text1"/>
          <w:sz w:val="16"/>
          <w:szCs w:val="16"/>
        </w:rPr>
        <w:t>Моторостроение связано с высокооктановым топливом так, как это топливо снижает большие мощности. Маглобецкая нефть дает октановое топливо 95 % в Баку, где основные ресурсы не дают таких показателей. В Уфу была завезена специальная установка, купленная в Америке, и вот уже два [месяца] прошло, а ее еще Наркомнефть не собрал.</w:t>
      </w:r>
    </w:p>
    <w:p w14:paraId="38DBFE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Развитие дизелестроения должно разрешить остроту с авиационным топливом. Было решено закупить специальную установку в Америке, но в связи с войной нам они теперь не дают. Нужно указать, что решение Правительства не выполняется.</w:t>
      </w:r>
    </w:p>
    <w:p w14:paraId="6AB20B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Гусев: </w:t>
      </w:r>
      <w:r w:rsidRPr="00DB5D0D">
        <w:rPr>
          <w:rFonts w:ascii="Times New Roman" w:hAnsi="Times New Roman"/>
          <w:color w:val="000000" w:themeColor="text1"/>
          <w:sz w:val="16"/>
          <w:szCs w:val="16"/>
        </w:rPr>
        <w:t>Я согласен с т. Локтионовым, масел для авиации тоже нет, а потому нужно решать оба эти вопроса. Нужно увеличивать запасы масел и горючего. Нужно определить какое количество горючего и для какого рода войск хранится на окружных складах.</w:t>
      </w:r>
    </w:p>
    <w:p w14:paraId="4B7DF4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Предлагаю просить Правительство принять все меры, чтобы вопрос о высокооктановом топливе был решен в кратчайшие сроки. Исходя из того, что потребность в высокооктановом топливе не удовлетворяется, а развитие авиации требует высокооктановое топливо, предлагаю авиационные моторы в АБТВойсках в течение двух лет заменить на дизельные.</w:t>
      </w:r>
    </w:p>
    <w:p w14:paraId="3A0B5D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указать УСГ КА, что оно по-настоящему не дралось за развитие высокооктанового топлива. Просить Правительство наладить научно-исследовательскую работу в этой области.</w:t>
      </w:r>
    </w:p>
    <w:p w14:paraId="610DA9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642787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Нужно создать запасы горючего и особенно на Д[альнем] Blocтоке] и обязательно с учетом условий театра военных действий.</w:t>
      </w:r>
    </w:p>
    <w:p w14:paraId="5B7749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Этот вопрос Котовым не подработан. Необходимо предложить комиссии проработать вопрос накопления горючего.</w:t>
      </w:r>
    </w:p>
    <w:p w14:paraId="0A3AC9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lastRenderedPageBreak/>
        <w:t xml:space="preserve">Котов: </w:t>
      </w:r>
      <w:r w:rsidRPr="00DB5D0D">
        <w:rPr>
          <w:rFonts w:ascii="Times New Roman" w:hAnsi="Times New Roman"/>
          <w:color w:val="000000" w:themeColor="text1"/>
          <w:sz w:val="16"/>
          <w:szCs w:val="16"/>
        </w:rPr>
        <w:t>Предлагаю всемерно развивать дизель в авиации и танковых частях. Тоже газогенераторные машины.</w:t>
      </w:r>
    </w:p>
    <w:p w14:paraId="0C4C24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Как заготавливаете чурки и их стоимость?</w:t>
      </w:r>
    </w:p>
    <w:p w14:paraId="60154E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Тов. Акулинин, скажите, какой район изучен с точки зрения применения чурок для газогенераторных машин и какой результат?</w:t>
      </w:r>
    </w:p>
    <w:p w14:paraId="2C6247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Акулинин: </w:t>
      </w:r>
      <w:r w:rsidRPr="00DB5D0D">
        <w:rPr>
          <w:rFonts w:ascii="Times New Roman" w:hAnsi="Times New Roman"/>
          <w:color w:val="000000" w:themeColor="text1"/>
          <w:sz w:val="16"/>
          <w:szCs w:val="16"/>
        </w:rPr>
        <w:t>Этим вопросом не занимались.</w:t>
      </w:r>
    </w:p>
    <w:p w14:paraId="51630C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Моторы в танковых частях должны быть заменены на дизеля в течение 2-х лет. Нужно внедрять газогенераторную машину в северных районах. В СКВО, КОВО, ОдВО, ЗакВО, 1-й арм. гр[уппе] ЗабВО и САВО — этих машин иметь нельзя. Нужно организовать систему заготовок чурок</w:t>
      </w:r>
      <w:r w:rsidRPr="00DB5D0D">
        <w:rPr>
          <w:rFonts w:ascii="Times New Roman" w:hAnsi="Times New Roman"/>
          <w:color w:val="000000" w:themeColor="text1"/>
          <w:sz w:val="16"/>
          <w:szCs w:val="16"/>
          <w:vertAlign w:val="superscript"/>
        </w:rPr>
        <w:t>58</w:t>
      </w:r>
      <w:r w:rsidRPr="00DB5D0D">
        <w:rPr>
          <w:rFonts w:ascii="Times New Roman" w:hAnsi="Times New Roman"/>
          <w:color w:val="000000" w:themeColor="text1"/>
          <w:sz w:val="16"/>
          <w:szCs w:val="16"/>
        </w:rPr>
        <w:t>.</w:t>
      </w:r>
    </w:p>
    <w:p w14:paraId="5FDB1E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Павлов прав. В ЗабВО и 1-й арм. группе на газогенераторные машины переходить не нужно. 1 и 2 армии можно иметь. Нужно создать Главк, который занимался бы заготовкой чурок. Наше УСГ КА этим делом не занимается, нужно сейчас же организовать закладку чурок тысячами тонн.</w:t>
      </w:r>
    </w:p>
    <w:p w14:paraId="743636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Предлагаю принять предложение т. Штерна с добавлением — Управление горючим должно заниматься по-настоящему и продумать систему базисных складов.</w:t>
      </w:r>
    </w:p>
    <w:p w14:paraId="5ECD66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08D8E6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Котов: </w:t>
      </w:r>
      <w:r w:rsidRPr="00DB5D0D">
        <w:rPr>
          <w:rFonts w:ascii="Times New Roman" w:hAnsi="Times New Roman"/>
          <w:color w:val="000000" w:themeColor="text1"/>
          <w:sz w:val="16"/>
          <w:szCs w:val="16"/>
        </w:rPr>
        <w:t>Мы очень плохо обеспечены емкостями. Всего на 30 %.</w:t>
      </w:r>
    </w:p>
    <w:p w14:paraId="041AB4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1. Предлагаю просить Правительство усилить строительство емкостей для нужд обороны.</w:t>
      </w:r>
    </w:p>
    <w:p w14:paraId="0F79C9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Предложить Генштабу: а) пересмотреть план строительства емкостей в соответствии с потребностями по направлениям; б) разработать план завоза на 1940—41 гг.; в) разработать план накопления деревянных чурок.</w:t>
      </w:r>
    </w:p>
    <w:p w14:paraId="4E3847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Просить Правительство: а) обязать наркоматы автотранспорта строить бензоколонки на направлениях по указанию Генштаба; б) обязать Наркомнефть пересмотреть систему строительства, сократив все лишнее вспомогательное строительство.</w:t>
      </w:r>
    </w:p>
    <w:p w14:paraId="6022A8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2C9A37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Котов: </w:t>
      </w:r>
      <w:r w:rsidRPr="00DB5D0D">
        <w:rPr>
          <w:rFonts w:ascii="Times New Roman" w:hAnsi="Times New Roman"/>
          <w:color w:val="000000" w:themeColor="text1"/>
          <w:sz w:val="16"/>
          <w:szCs w:val="16"/>
        </w:rPr>
        <w:t>Ж[елезные] д[ороги] перечисляют тару, имеющуюся на снабжении.</w:t>
      </w:r>
    </w:p>
    <w:p w14:paraId="335BF7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Предлагаю обязать УСГ разработать четкую систему обеспечения войск тарой, установив процентные соотношения автоцистерн, контейнеров и бочек.</w:t>
      </w:r>
    </w:p>
    <w:p w14:paraId="6A2990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Нужно иметь в батальоне бочки и сзади машин прицепы (на зиму сани) армейские средства иметь однотипное и грузоемкое.</w:t>
      </w:r>
    </w:p>
    <w:p w14:paraId="57A772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Просить Правительство прикрепить для армии определенные заводы по обеспечению тарой, как военной продукцией наравне с вооружением.</w:t>
      </w:r>
    </w:p>
    <w:p w14:paraId="4DD07C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выработки проекта постановления предлагаю избрать комиссию в составе: Павлова, Котова, Локтионова, Гусева и Акулинина.</w:t>
      </w:r>
    </w:p>
    <w:p w14:paraId="525370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661A15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Для доклада по автотранспорту </w:t>
      </w:r>
      <w:r w:rsidRPr="00DB5D0D">
        <w:rPr>
          <w:rFonts w:ascii="Times New Roman" w:hAnsi="Times New Roman"/>
          <w:color w:val="000000" w:themeColor="text1"/>
          <w:sz w:val="16"/>
          <w:szCs w:val="16"/>
        </w:rPr>
        <w:t>слово представляется т. Павлову.</w:t>
      </w:r>
    </w:p>
    <w:p w14:paraId="11C22F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Предлагаю легковую машину ГАЗ-A с вооружения снять, заменив ее М-1 или М-2 по мере получения их от промышленности. Легковую машину М-1 оставить на вооружении. Ввести на вооружение поступающую с октября 1940 г. машину М-2 с двумя ведущими осями. ЗИС-101 предлагаю снять с вооружения, оставив ее для окружного и центрального аппарата. Машину М-1 малолитражную, поступающую с производства в июле с.г., внедрить на вооружение от полка и ниже. Грузовую машину ГАЗ-АА, ГАЗААА (трехосная), ЗИС-5, ЗИС-6. (трехосная), предлагаю оставить на вооружении. ЯГ-6 — оставить для строительных и дорожных частей.</w:t>
      </w:r>
    </w:p>
    <w:p w14:paraId="61A396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Предлагаю у легковой машины М-1 и М-2 сделать откидную спинку, чтобы можно было спать.</w:t>
      </w:r>
    </w:p>
    <w:p w14:paraId="5BC769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0C353C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Предлагаю установить один тип машины для всех спецмашин. Такой машиною может быть «Пикап».</w:t>
      </w:r>
    </w:p>
    <w:p w14:paraId="7170CF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0FCED6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1. Грузовую машину ГАЗ-АА оставить на вооружении.</w:t>
      </w:r>
    </w:p>
    <w:p w14:paraId="0D08F3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Грузовую машину ГАЗ-AAA использовать для машин специального назначения и в дальнейшем производство продолжать с тремя осями.</w:t>
      </w:r>
    </w:p>
    <w:p w14:paraId="2B7441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Грузовую машину ЗИС-5 и ЗИС-6 предлагаю оставить.</w:t>
      </w:r>
    </w:p>
    <w:p w14:paraId="25FD52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Газогенераторные машины предлагаю оставить.</w:t>
      </w:r>
    </w:p>
    <w:p w14:paraId="025882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Вездеходы — предлагаю оставить. Предложение принимается.</w:t>
      </w:r>
    </w:p>
    <w:p w14:paraId="189034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Санмашина — неудовлетворительная по качеству. Предлагаю поручить этот вопрос пересмотреть Сан[итарному] управлению]. Пожарные машины и цистерны предлагаю оставить. Автобусы штабные предлагаю снять.</w:t>
      </w:r>
    </w:p>
    <w:p w14:paraId="6F2B1B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Предлагаю оставить имеющиеся автобусы, больше их не производить. Нужно завести специальные] штаб[ные] машины. Автобусы использовать для обслуживания семей в гарнизонах.</w:t>
      </w:r>
    </w:p>
    <w:p w14:paraId="63C89A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Проскуров: </w:t>
      </w:r>
      <w:r w:rsidRPr="00DB5D0D">
        <w:rPr>
          <w:rFonts w:ascii="Times New Roman" w:hAnsi="Times New Roman"/>
          <w:color w:val="000000" w:themeColor="text1"/>
          <w:sz w:val="16"/>
          <w:szCs w:val="16"/>
        </w:rPr>
        <w:t>Нужно автобусы оставить для авиации по обслуживанию аэродромов.</w:t>
      </w:r>
    </w:p>
    <w:p w14:paraId="21E232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Мотоциклов хороших у нас нет. Это заброшенное хозяйство.</w:t>
      </w:r>
    </w:p>
    <w:p w14:paraId="7DC070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Предлагаю просить Правительство создать базу для производства мотоциклов с учетом покрытия потребности армии. Существующие мотоциклы оставить.</w:t>
      </w:r>
    </w:p>
    <w:p w14:paraId="5AB5EA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0FF42C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Трактора — имеем семь типов ЧТЗ — 60, предлагаю оставить до перевооружения тракторами сделанными на базе танка Т-34.</w:t>
      </w:r>
    </w:p>
    <w:p w14:paraId="255E8E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Савченко: </w:t>
      </w:r>
      <w:r w:rsidRPr="00DB5D0D">
        <w:rPr>
          <w:rFonts w:ascii="Times New Roman" w:hAnsi="Times New Roman"/>
          <w:color w:val="000000" w:themeColor="text1"/>
          <w:sz w:val="16"/>
          <w:szCs w:val="16"/>
        </w:rPr>
        <w:t>Нужно чтобы трактор Т-34 имел мощность 25 тонн.</w:t>
      </w:r>
    </w:p>
    <w:p w14:paraId="378D4D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«Коминтерн» с производства снять. На вооружении прошу оставить. СТЗ-2 предлагаю оставить.</w:t>
      </w:r>
    </w:p>
    <w:p w14:paraId="42D44D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Нужен массовый трактор 7—8 тонн. Предлагаю просить Правительство форсировать производство СТЗ-2, увеличивая его скорость и мощность. Генштабу определить потребность его. АБТУ и АУ совместно разработать тормозное крепление и добиться от промышленности, чтобы этот трактор заводился в любых условиях и урегулировать вопрос скоростей.</w:t>
      </w:r>
    </w:p>
    <w:p w14:paraId="65ACB8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2E36AF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СТЗ-5 предлагаю оставить на вооружении, постепенно заменяя его более усовершенствованным.</w:t>
      </w:r>
    </w:p>
    <w:p w14:paraId="02F7A0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СТЗ-3 — постепенно заменять.</w:t>
      </w:r>
    </w:p>
    <w:p w14:paraId="70DE20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ЧТЗ-60 — постепенно заменять.</w:t>
      </w:r>
    </w:p>
    <w:p w14:paraId="14A387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СТ-65 — оставить до массового производства СТ-2.</w:t>
      </w:r>
    </w:p>
    <w:p w14:paraId="608AE1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«Коммунар» — снять с вооружения.</w:t>
      </w:r>
    </w:p>
    <w:p w14:paraId="4B092C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«Комсомолец» — оставить с последующей заменой тракторами, сделанными на базе Т-40.</w:t>
      </w:r>
    </w:p>
    <w:p w14:paraId="3A0076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Воронов: </w:t>
      </w:r>
      <w:r w:rsidRPr="00DB5D0D">
        <w:rPr>
          <w:rFonts w:ascii="Times New Roman" w:hAnsi="Times New Roman"/>
          <w:color w:val="000000" w:themeColor="text1"/>
          <w:sz w:val="16"/>
          <w:szCs w:val="16"/>
        </w:rPr>
        <w:t>Предлагаю все трактора сводить к единому топливу. Предложение принимается.</w:t>
      </w:r>
    </w:p>
    <w:p w14:paraId="3EC51D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Павлов: </w:t>
      </w:r>
      <w:r w:rsidRPr="00DB5D0D">
        <w:rPr>
          <w:rFonts w:ascii="Times New Roman" w:hAnsi="Times New Roman"/>
          <w:color w:val="000000" w:themeColor="text1"/>
          <w:sz w:val="16"/>
          <w:szCs w:val="16"/>
        </w:rPr>
        <w:t>Предлагаю оставить два типа прицепа: а) трехтонный и б) двухтонный.</w:t>
      </w:r>
    </w:p>
    <w:p w14:paraId="2AFAAD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Кулик: </w:t>
      </w:r>
      <w:r w:rsidRPr="00DB5D0D">
        <w:rPr>
          <w:rFonts w:ascii="Times New Roman" w:hAnsi="Times New Roman"/>
          <w:color w:val="000000" w:themeColor="text1"/>
          <w:sz w:val="16"/>
          <w:szCs w:val="16"/>
        </w:rPr>
        <w:t>Я предлагаю выделить комиссию в следующем составе: Савченко, Павлов, Воронов, Алексеев.</w:t>
      </w:r>
    </w:p>
    <w:p w14:paraId="6DD6BB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принимается.</w:t>
      </w:r>
    </w:p>
    <w:p w14:paraId="61F1C7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Следующее заседание 10.5.40. в 12.00, на котором заслушаем предложения комиссий*.</w:t>
      </w:r>
    </w:p>
    <w:p w14:paraId="138AFE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34891. Оп. 1. Д. 9. Л. 70-76. Подлинник с правкой (11773).</w:t>
      </w:r>
    </w:p>
    <w:p w14:paraId="564F9E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78334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 (утреннее заседание) Протокол № 9 пленарного заседания комиссии ГВС</w:t>
      </w:r>
    </w:p>
    <w:p w14:paraId="0F7C87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w:t>
      </w:r>
    </w:p>
    <w:p w14:paraId="377206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  Члены комиссии: </w:t>
      </w:r>
      <w:r w:rsidRPr="00DB5D0D">
        <w:rPr>
          <w:rFonts w:ascii="Times New Roman" w:hAnsi="Times New Roman"/>
          <w:color w:val="000000" w:themeColor="text1"/>
          <w:sz w:val="16"/>
          <w:szCs w:val="16"/>
        </w:rPr>
        <w:t>тт. Кулик (председатель), Мехлис, Мерецков, Штерн, Курдюмов, Смородинов, Павлов, Запорожец, Хрулев, Найденов, Воронов, Никишев, Злобин, Кирпонос, Клич, Буденный, Козлов, Хренов, Ковалев.</w:t>
      </w:r>
    </w:p>
    <w:p w14:paraId="2C611C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 Приглашенные: </w:t>
      </w:r>
      <w:r w:rsidRPr="00DB5D0D">
        <w:rPr>
          <w:rFonts w:ascii="Times New Roman" w:hAnsi="Times New Roman"/>
          <w:color w:val="000000" w:themeColor="text1"/>
          <w:sz w:val="16"/>
          <w:szCs w:val="16"/>
        </w:rPr>
        <w:t>тт. Проскуров, Городовиков, Захаров, Байков, Засосов, Борисов, Лапаев, Склизков, Петров, Найденов, Муравьев, Мельников, Дмитриев, Савченко, Лебедев, Михальчук, Куликов, Котов, Ермолин, Антонюк, Поляков, Мышков, Гусев, Шабалин, Акулинин, Бармас, Лизько, Перешников, Добровольский, Найденов В. И., Трубецкой, Комаров, Сорвин.</w:t>
      </w:r>
    </w:p>
    <w:p w14:paraId="249769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Слушали: Доклад начальника Управления снабжения горючим комдива т. Котова о системе снабжения горюче-смазочными материалами и тарой. Постановили:</w:t>
      </w:r>
    </w:p>
    <w:p w14:paraId="5FB094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Исходя из того, что наша нефтяная промышленность в отношении выработки высокооктанового топлива сильно отстала, а развитие авиации с каждым днем увеличивает потребность в этом виде топлива, считать необходимым просить Правительство:</w:t>
      </w:r>
    </w:p>
    <w:p w14:paraId="145036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обязать Наркомат нефтепромышленности вопрос о высокооктановом топливе разрешить в самые кратчайшие сроки;</w:t>
      </w:r>
    </w:p>
    <w:p w14:paraId="6442EE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связи с острой необходимостью развития производства высокооктанового топлива на высокой технической базе, считать необходимым: в системе Наркомнефти организовать научно-исследовательскую работу с задачей создания высокооктанового топлива, не уступающего по своему качеству заграничному (Америка);</w:t>
      </w:r>
    </w:p>
    <w:p w14:paraId="76D2AD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обязать соответствующие наркоматы в течение ближайших 2-х лет заменить имеющиеся в АБТвойсках авиационные моторы не дизельные и в дальнейшем танков с авиационными моторами не производить.</w:t>
      </w:r>
    </w:p>
    <w:p w14:paraId="0B51A6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целях быстрейшего внедрения газогенераторных машин в народном хозяйстве, считать необходимым организовать заготовки дровяного топлива для этих машин (дровяных чурок) и создании централизованного руководства этим делом. Для чего обязать Наркомнефть создать специальный главк в своей системе по заготовке дровяных чурок, прикрепив к нему соответствующие лесозаготовительные предприятия.</w:t>
      </w:r>
    </w:p>
    <w:p w14:paraId="565FBF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Генеральному штабу определить районы внедрения газогенераторных машин и в соответствии с этим разработать план накопления запасов топлива для газогенераторных машин.</w:t>
      </w:r>
    </w:p>
    <w:p w14:paraId="32508D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4. Вследствие чрезвычайно низкой обеспеченности емкостями для горюче-смазочных материалов Красной Армии (всего 30% потребностей) и неудовлетворительного выполнения планов строительства емкостей в 1938— 39 гг., просить Правительство обязать Наркомнефть усилить строительство емкостей в пунктах по указанию Генерального штаба Красной Армии, пересмотрев систему существующего строительства и сократить все ненужные вспомогательные сооружения к ним.</w:t>
      </w:r>
    </w:p>
    <w:p w14:paraId="5741F6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Наркоматы автотранспорта производить строительство бензоколонок на направлениях по указанию Генерального штаба Красной Армии.</w:t>
      </w:r>
    </w:p>
    <w:p w14:paraId="18889E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Предложить Генеральному штабу Красной Армии совместно с Управлением снабжения горючим Красной Армии:</w:t>
      </w:r>
    </w:p>
    <w:p w14:paraId="4C24FA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пересмотреть план строительства емкостей в соответствии с потребностями в горюче-смазочных материалах по направлениям;</w:t>
      </w:r>
    </w:p>
    <w:p w14:paraId="41A9B6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разработать план завоза горюче-смазочных материалов на 1940 г. и 1941 г. с учетом условий театров военных действий.</w:t>
      </w:r>
    </w:p>
    <w:p w14:paraId="26DC24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В целях наилучшего обеспечения Красной Армии тарой под горючее, просить Правительство обязать соответствующие наркоматы прикрепить для Красной Армии заводы, производящие тару, приравняв заказ по таре ко всем остальным военным заказам.</w:t>
      </w:r>
    </w:p>
    <w:p w14:paraId="666695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Управлению снабжения горючим Красной Армии разработать четкую систему питания горючим частей Красной Армии, установив для войсковых автобатальонов основной тарой — бочки, перевозящиеся на прицепах, а армейские средства иметь однотипные и грузоемкие, прекратив существующую кустарщину в этом деле.</w:t>
      </w:r>
    </w:p>
    <w:p w14:paraId="087E12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Отметить, что Управление снабжения горючим Красной Армии по-настоящему не боролось за развитие базы высокооктанового топлива и налаживание порядка в тарном хозяйстве.</w:t>
      </w:r>
    </w:p>
    <w:p w14:paraId="67A1CE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Для выработки окончательного проекта постановления по системе снабжения горюче-смазочными материалами, избрать редакционную комиссию в составе: тт. Павлова, Котова, Локтионова (председатель), Гусева и Акулинина.</w:t>
      </w:r>
    </w:p>
    <w:p w14:paraId="458394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Слушали: 2. Доклад начальника Управления АБТВ командарма 2-горанга т. Павлова о системе снабжения автотранспортом. Постановили: 1. По легковым автомашинам.</w:t>
      </w:r>
    </w:p>
    <w:p w14:paraId="63E0F2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Легковые автомашины ГАЗ-АА* с вооружения снять, заменив их машинами М-1, а в будущем машинами М-2 с двумя ведущими колесами.</w:t>
      </w:r>
    </w:p>
    <w:p w14:paraId="47B2FD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ЗИС-101 с вооружения снять, оставив их пока только на снабжении центрального и окружных аппаратов.</w:t>
      </w:r>
    </w:p>
    <w:p w14:paraId="38B789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Ввести на вооружение армии малолитражные автомашины.</w:t>
      </w:r>
    </w:p>
    <w:p w14:paraId="741E54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«Пикап» с двумя ведущими колесами оставить на вооружении.</w:t>
      </w:r>
    </w:p>
    <w:p w14:paraId="4A944C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По грузовым и специальным автомашинам.</w:t>
      </w:r>
    </w:p>
    <w:p w14:paraId="364CD4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Автомашины ГАЗ-АА, ГАЗ-AAA, ЗИС-5, ЗИС-6 оставить на вооружении.</w:t>
      </w:r>
    </w:p>
    <w:p w14:paraId="3C707B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ЯГ-6 оставить на вооружении.</w:t>
      </w:r>
    </w:p>
    <w:p w14:paraId="42436E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Предложить Санитарному управлению Красной Армии в кратчайший срок пересмотреть внутреннее оборудование санитарных машин, сделав их более удобными для перевозки раненых.</w:t>
      </w:r>
    </w:p>
    <w:p w14:paraId="2FFBF2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Пожарные машины существующих типов оставить на вооружении.</w:t>
      </w:r>
    </w:p>
    <w:p w14:paraId="6F8C0D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3. По газогенераторным автомашинам.</w:t>
      </w:r>
    </w:p>
    <w:p w14:paraId="6AE82B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 и принять меры к внедрению в армию газогенераторных автомашин в необходимых количествах, обуславливаемых оперативной целесообразностью.</w:t>
      </w:r>
    </w:p>
    <w:p w14:paraId="67E075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4. По вездеходам.</w:t>
      </w:r>
    </w:p>
    <w:p w14:paraId="2916C6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Оставить на вооружении вездеходы ГАЗ-60, ЗИС-22, ЗИС-33.</w:t>
      </w:r>
    </w:p>
    <w:p w14:paraId="69D38C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Разработать новый тип вездехода, обеспечивающий проходимость механизированной артиллерии и мото-мехчастей.</w:t>
      </w:r>
    </w:p>
    <w:p w14:paraId="73BACD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5. По автобусам.</w:t>
      </w:r>
    </w:p>
    <w:p w14:paraId="60732B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Оставить на вооружении существующие типы штабных автомашинавтобусов и сконструировать новый тип штабной машины на вездеходе.</w:t>
      </w:r>
    </w:p>
    <w:p w14:paraId="3D50A4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6. По мотоциклам.</w:t>
      </w:r>
    </w:p>
    <w:p w14:paraId="59B45A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Отметить, что производство по мотоциклостроению у нас слабое. Просить Правительство принять меры к расширению баз мотоциклетного производства.</w:t>
      </w:r>
    </w:p>
    <w:p w14:paraId="77087C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Мотоциклы ИЖ-7 и Л-300 с производства снять.</w:t>
      </w:r>
    </w:p>
    <w:p w14:paraId="1B98C9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Мотоциклы НАТИ оставить в армии до износа.</w:t>
      </w:r>
    </w:p>
    <w:p w14:paraId="4F71E8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Мотоциклы АМ-600 оставить на вооружении и считать их основным типом.</w:t>
      </w:r>
    </w:p>
    <w:p w14:paraId="5FE1F5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Мотоциклы ИЖ-8 оставить на вооружении до поступления в армию мотоцикла Л-8.</w:t>
      </w:r>
    </w:p>
    <w:p w14:paraId="7AA08B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w:t>
      </w:r>
      <w:r w:rsidRPr="00DB5D0D">
        <w:rPr>
          <w:rFonts w:ascii="Times New Roman" w:hAnsi="Times New Roman"/>
          <w:iCs/>
          <w:color w:val="000000" w:themeColor="text1"/>
          <w:sz w:val="16"/>
          <w:szCs w:val="16"/>
        </w:rPr>
        <w:t>По тракторам.</w:t>
      </w:r>
    </w:p>
    <w:p w14:paraId="7C0DC9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Трактор «Ворошиловец» — оставить на вооружении со следующей заменой его новым трактором на базе танка Т-34.</w:t>
      </w:r>
    </w:p>
    <w:p w14:paraId="37FE68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Трактор «Коминтерн» (с производства уже снят) пока оставить в армии, но ввиду того, что армии нужен массовый трактор 7—8 тонн и снятия с производства трактор «Коминтерн»; поручить Генеральному штабу разработать новые тактико-технические требования к массовому трактору, обеспечивающие ему нормальную работу в условиях армии. АБТУ и АУ — установить среднюю скорость нормальной эксплуатации массового трактора и разработать тормозную систему к нему.</w:t>
      </w:r>
    </w:p>
    <w:p w14:paraId="36069B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Трактор СТЗ-5 (транспортный и для перевозки дивизионной артиллерии) оставить на вооружении. Одновременно АБТУ принять меры к разработке нового среднего трактора для дивизионной артиллерии с учетом пуска его на производство в 1941 году.</w:t>
      </w:r>
    </w:p>
    <w:p w14:paraId="36844A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СТЗ-3 (с/х трактор) оставить на вооружении, постепенно заменяя его трактором СТЗ-5.</w:t>
      </w:r>
    </w:p>
    <w:p w14:paraId="0C2194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Трактор СТЗ-50 оставить на производстве, заменив его в будущем трактором СТЗ-65.</w:t>
      </w:r>
    </w:p>
    <w:p w14:paraId="7F423A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Трактор «Сталинец-65» оставить на вооружении до массового поступления тракторов «Сталинец-2».</w:t>
      </w:r>
    </w:p>
    <w:p w14:paraId="2ACBA1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Трактор «Коммунар» с вооружения снять и передать в народное хозяйство. Вместо него использовать трактор СТЗ-5.</w:t>
      </w:r>
    </w:p>
    <w:p w14:paraId="610B63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8) Трактор «Комсомолец» оставить на вооружении с последующей заменой его трактором на базе танка Т-40.</w:t>
      </w:r>
    </w:p>
    <w:p w14:paraId="0CF630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Признать необходимым — перевести все трактора на единое топливо.</w:t>
      </w:r>
    </w:p>
    <w:p w14:paraId="5BAA8F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8. По прицепам.</w:t>
      </w:r>
    </w:p>
    <w:p w14:paraId="395B2C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Констатировать, что производство прицепов у нас развито слабо, благодаря чему прицепов в армии мало. Просить Правительство расширить производство прицепов.</w:t>
      </w:r>
    </w:p>
    <w:p w14:paraId="79B699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Оставить на вооружении только 2 типа прицепов, а именно: в 2 и 3 тонны.</w:t>
      </w:r>
    </w:p>
    <w:p w14:paraId="6D35A4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составления проекта постановления по автотранспорту назначить комиссию в составе: тт. Павлова (председатель), Савченко, Лебедева, Воронова, Алексеева.</w:t>
      </w:r>
    </w:p>
    <w:p w14:paraId="3E0434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Вечер 8-го, день 9 мая предоставить комиссиям для работы по составлению проектов предложений по системам вооружения, которые должны быть представлены к 12 час. 10 мая 1940 г.</w:t>
      </w:r>
    </w:p>
    <w:p w14:paraId="426B1C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Председатель </w:t>
      </w:r>
      <w:r w:rsidRPr="00DB5D0D">
        <w:rPr>
          <w:rFonts w:ascii="Times New Roman" w:hAnsi="Times New Roman"/>
          <w:iCs/>
          <w:color w:val="000000" w:themeColor="text1"/>
          <w:sz w:val="16"/>
          <w:szCs w:val="16"/>
        </w:rPr>
        <w:t>(Кулик)'</w:t>
      </w:r>
    </w:p>
    <w:p w14:paraId="222B8E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4. Оп. 14. Д. 2736. Л. 25-30. Подлинник (11773).</w:t>
      </w:r>
    </w:p>
    <w:p w14:paraId="7BF91F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F364C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 Политбюро ЦК ВКП(б) приняло решение о необходимости "произвести сдачу и приемку дел по НКО", а К.Е.Ворошилову было предложено сдать дела С.К. Тимошенко "в течении не более 10 дней". В тот же день подобное решение принял и СНК СССР. Таким образом "Акт приема наркомата обороны СССР С.К.Тимошенко от К.Е. Ворошилова"был составлен примерно в середине мая 1940 г. (точная дата неизвестна).</w:t>
      </w:r>
    </w:p>
    <w:p w14:paraId="01215F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Он, в какой-то степени, отражает состояние ВВС РККА на данный период, то есть спустя полтора месяца после окончания советско-финляндской войны, из-за которой, собственно, и произошло обновление руководства НКО. В разделе "Состояние родов войск" ВВС РККА рассматриваются сразу вслед за пунктом 1, посвященному пехоте. Данный материал насыщен острыми критическими замечаниями по поводу состояния и развития ВВС и его составляющих компонентов. Фактически, критике подвергалась практически вся существовавшая на то время структура ВВС. </w:t>
      </w:r>
    </w:p>
    <w:p w14:paraId="786165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числе этих замечаний - было отмечено, в частности, отставание в развитии матчасти ВВС за последние три года по сравнению с западными странами, в том числе - отсутствие пикирующих бомбардировщиков, отставание во внедрении современных типов самолетов и крупнокалиберного вооружения; неудовлетворительный количественный и качественный учет самолетов и моторов; недостаточность складов авиамеханического имущества и аэродромной сети; требующая пересмотра организация ВВС и авиабаз, недостаточная подготовленность летно-технического состава; высокая аварийность в авиации184. По прочтении этого документа может сложиться впечатление о кризисном состоянии советской военной авиации в период сразу же после окончания войны с Финляндией. </w:t>
      </w:r>
    </w:p>
    <w:p w14:paraId="4B88EC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 каком же отказе и о каких "мифах о несокрушимой мощи советской авиации" вообще может идти речь? Ведь к моменту подготовки соответствующего Акта не все немецкие самолеты успели даже поступить на испытания в соответствующие НИИ, а знаменитый доклад И.Ф. Петрова еще не стал достоянием советского военно-политического руководства? Впечатления же советских специалистов от первых поездок в Германию, на которых, безусловно, знакомство с немецким авиапромом произвело сильное впечатление, все-так, вряд ли будет справедливо сравнивать с итогами применения ВВС РККА в крупнейшей кампании начала Второй мировой войны, где в качестве противника выступала авиатехника из Великобритании, Италии, Франции. </w:t>
      </w:r>
    </w:p>
    <w:p w14:paraId="5EDF7B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можно сделать вывод, что многие вопросы советско-германских авиационных связей требуют дальнейшего исследования. Вместе с тем необходимо отметить ошибки и просчеты советской технической политики в этот период и постепенно освобождаться от имеющих хождение стереотипов в восприятии как советской авиации, так и авиации ее будущего противника (11684).</w:t>
      </w:r>
    </w:p>
    <w:p w14:paraId="3E8568A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F0DB4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8 мая 1940 г. вышел Приказ с объявлением Указов Президиума Верховного Совета СССР о назначении К.Е. Ворошилова заместителем председателя СНК СССР и председателем Комитета Обороны при СНК СССР, С. К. Тимошенко — Наркомом Обороны СССР № 110.</w:t>
      </w:r>
    </w:p>
    <w:p w14:paraId="6BCAC6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Объявляю Указы Президиума Верховного Совета СССР от 7 мая 1940 г.</w:t>
      </w:r>
    </w:p>
    <w:p w14:paraId="5D352A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 назначении Маршала Советского Союза К. Е. Ворошилова заместителем Председателя Совета Народных Комиссаров СССР и председателем Комитета Обороны при СНК СССР;</w:t>
      </w:r>
    </w:p>
    <w:p w14:paraId="5B9FCA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 назначении Маршала Советского Союза С. К. Тимошенко Народным комиссаром обороны СССР.</w:t>
      </w:r>
    </w:p>
    <w:p w14:paraId="1C37CF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w:t>
      </w:r>
    </w:p>
    <w:p w14:paraId="241FEA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 Президиума Верховного Совета СССР о назначении Маршала Советского Союза К. Е. Ворошилова заместителем Председателя Совета Народных Комиссаров СССР и председателем Комитета Обороны при СНК СССР</w:t>
      </w:r>
    </w:p>
    <w:p w14:paraId="778215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Назначить Маршала Советского Союза Климента Ефремовича Ворошилова заместителем Председателя Совета Народных Комиссаров СССР и председателем Комитета Обороны при Совете Народных Комиссаров СССР с освобождением от обязанностей Народного комиссара обороны СССР.</w:t>
      </w:r>
    </w:p>
    <w:p w14:paraId="547320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Президиума Верховного Совета СССР М. Калинин</w:t>
      </w:r>
    </w:p>
    <w:p w14:paraId="5FB6E2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Президиума Верховного Совета СССР А. Горкин Москва, Кремль. 7 мая 1940 г.</w:t>
      </w:r>
    </w:p>
    <w:p w14:paraId="062017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 Президиума Верховного Совета СССР о назначении Маршала Советского Союза С. К. Тимошенко Народным Комиссаром Обороны СССР</w:t>
      </w:r>
    </w:p>
    <w:p w14:paraId="182A80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Назначить Маршала Советского Союза Семена Константиновича Тимошенко Народным комиссаром обороны СССР с освобождением его от обязанностей командующего Киевским особым военным округом.</w:t>
      </w:r>
    </w:p>
    <w:p w14:paraId="31A0AE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Президиума Верховного Совета СССР М. Калинин</w:t>
      </w:r>
    </w:p>
    <w:p w14:paraId="7C4244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Президиума Верховного Совета СССР А. Горкин</w:t>
      </w:r>
    </w:p>
    <w:p w14:paraId="154AAE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 Кремль. 7 мая 1940 г. (10623).</w:t>
      </w:r>
    </w:p>
    <w:p w14:paraId="6D08DFD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8813A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 вышел Приказ НКО с объявлением Указа Президиума Верховного Совета СССР «Об установлении воинских званий высшего командного состава Красной Армии” № 112.</w:t>
      </w:r>
    </w:p>
    <w:p w14:paraId="60B17E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Объявляю Указ Президиума Верховного Совета СССР от 7 мая 1940 г. «Об установлении воинских званий высшего командного состава Красной Армии».</w:t>
      </w:r>
    </w:p>
    <w:p w14:paraId="145E72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обороты СССР Маршал Советского Союза С. Тимошенко</w:t>
      </w:r>
    </w:p>
    <w:p w14:paraId="064D52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следующие воинские звания высшего командного состава Красной Армии:</w:t>
      </w:r>
    </w:p>
    <w:p w14:paraId="5F6C65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Для общевойсковых командиров:</w:t>
      </w:r>
    </w:p>
    <w:p w14:paraId="5C88FE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Генерал-майор.</w:t>
      </w:r>
    </w:p>
    <w:p w14:paraId="0E89D7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Генерал-лейтенант.</w:t>
      </w:r>
    </w:p>
    <w:p w14:paraId="590A49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Генерал-полковник.</w:t>
      </w:r>
    </w:p>
    <w:p w14:paraId="7AA75C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Генерал армии.</w:t>
      </w:r>
    </w:p>
    <w:p w14:paraId="018745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Маршал Советского Союза.</w:t>
      </w:r>
    </w:p>
    <w:p w14:paraId="3D84C0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Для командиров родов войск</w:t>
      </w:r>
    </w:p>
    <w:p w14:paraId="28CDDC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Артиллерия</w:t>
      </w:r>
    </w:p>
    <w:p w14:paraId="7C9442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Генерал-майор артиллерии.</w:t>
      </w:r>
    </w:p>
    <w:p w14:paraId="5EB6EB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Генерал-лейтенант артиллерии.</w:t>
      </w:r>
    </w:p>
    <w:p w14:paraId="2A7854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Генерал-полковник артиллерии.</w:t>
      </w:r>
    </w:p>
    <w:p w14:paraId="6541F9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Авиация (в том числе морская)</w:t>
      </w:r>
    </w:p>
    <w:p w14:paraId="2F18CA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Генерал-майор авиации.</w:t>
      </w:r>
    </w:p>
    <w:p w14:paraId="651C42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Генерал-лейтенант авиации.</w:t>
      </w:r>
    </w:p>
    <w:p w14:paraId="08397B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Генерал-полковник авиации.</w:t>
      </w:r>
    </w:p>
    <w:p w14:paraId="20427B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Танковые войска</w:t>
      </w:r>
    </w:p>
    <w:p w14:paraId="318957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Генерал-майор танковых войск.</w:t>
      </w:r>
    </w:p>
    <w:p w14:paraId="7CEA42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Генерал-лейтенант танковых войск.</w:t>
      </w:r>
    </w:p>
    <w:p w14:paraId="41F441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Генерал-полковник танковых войск.</w:t>
      </w:r>
    </w:p>
    <w:p w14:paraId="5286F9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Войска связи</w:t>
      </w:r>
    </w:p>
    <w:p w14:paraId="1F1DD9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Генерал-майор войск связи.</w:t>
      </w:r>
    </w:p>
    <w:p w14:paraId="57383E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Генерал-лейтенант войск связи.</w:t>
      </w:r>
    </w:p>
    <w:p w14:paraId="23C639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Генерал-полковник войск связи.</w:t>
      </w:r>
    </w:p>
    <w:p w14:paraId="06A6BB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Инженерные войска</w:t>
      </w:r>
    </w:p>
    <w:p w14:paraId="457A1D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Генерал-майор инженерных войск.</w:t>
      </w:r>
    </w:p>
    <w:p w14:paraId="78BF59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Генерал-лейтенант инженерных войск.</w:t>
      </w:r>
    </w:p>
    <w:p w14:paraId="5FE464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Генерал-полковник инженерных войск.</w:t>
      </w:r>
    </w:p>
    <w:p w14:paraId="57F2BB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Технические войска (химические, железнодорожные, автомобильные, топографические)</w:t>
      </w:r>
    </w:p>
    <w:p w14:paraId="16122F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Генерал-майор технических войск.</w:t>
      </w:r>
    </w:p>
    <w:p w14:paraId="52AA62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Генерал-лейтенант технических войск.</w:t>
      </w:r>
    </w:p>
    <w:p w14:paraId="6D82EC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Генерал-полковник технических войск.</w:t>
      </w:r>
    </w:p>
    <w:p w14:paraId="52B879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Для интендантов:</w:t>
      </w:r>
    </w:p>
    <w:p w14:paraId="0A0957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Генерал-майор интендантской службы.</w:t>
      </w:r>
    </w:p>
    <w:p w14:paraId="236B80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Генерал-лейтенант интендантской службы.</w:t>
      </w:r>
    </w:p>
    <w:p w14:paraId="6E271C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Генерал-полковник интендантской службы.</w:t>
      </w:r>
    </w:p>
    <w:p w14:paraId="6D7418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Президиума Верховного Совета СССР М. Калинин</w:t>
      </w:r>
    </w:p>
    <w:p w14:paraId="19EDD7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Президиума Верховного Совета СССР А. Горкин</w:t>
      </w:r>
    </w:p>
    <w:p w14:paraId="54679C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 Кремль. 7 мая 1940 г. (10622).</w:t>
      </w:r>
    </w:p>
    <w:p w14:paraId="25E3041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20DE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года Политбюро ЦК ВКП(б) приня</w:t>
      </w:r>
      <w:r w:rsidRPr="00DB5D0D">
        <w:rPr>
          <w:rFonts w:ascii="Times New Roman" w:hAnsi="Times New Roman"/>
          <w:color w:val="000000" w:themeColor="text1"/>
          <w:sz w:val="16"/>
          <w:szCs w:val="16"/>
        </w:rPr>
        <w:softHyphen/>
        <w:t>ло решение о необходимости «произвести сдачу и приемку дел по НКО», а К.Е. Ворошилову было предложено сдать дела С.К. Тимошенко «в течение не более 10 дней». В тот же день подобное решение принял и СНК СССР. Таким образом, этот документ был составлен примерно в середине мая 1940 года (точная дата неизвестна). Он в какой-то степени отражает состояние ВВС РККА на данный период, то есть спустя полтора месяца после окончания советско-финляндской войны, из-за которой, собственно, и произошло об</w:t>
      </w:r>
      <w:r w:rsidRPr="00DB5D0D">
        <w:rPr>
          <w:rFonts w:ascii="Times New Roman" w:hAnsi="Times New Roman"/>
          <w:color w:val="000000" w:themeColor="text1"/>
          <w:sz w:val="16"/>
          <w:szCs w:val="16"/>
        </w:rPr>
        <w:softHyphen/>
        <w:t>новление руководства НКО.</w:t>
      </w:r>
    </w:p>
    <w:p w14:paraId="34FD9B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разделе «Состояние родов войск» ВВС РККА рассматриваются сразу вслед за пунктом 1, посвященным пехоте. Данный материал насыщен ос</w:t>
      </w:r>
      <w:r w:rsidRPr="00DB5D0D">
        <w:rPr>
          <w:rFonts w:ascii="Times New Roman" w:hAnsi="Times New Roman"/>
          <w:color w:val="000000" w:themeColor="text1"/>
          <w:sz w:val="16"/>
          <w:szCs w:val="16"/>
        </w:rPr>
        <w:softHyphen/>
        <w:t>трыми критическими замечаниями по поводу состояния и развития ВВС и его составляющих компонентов. Критике подвергалась практически вся су</w:t>
      </w:r>
      <w:r w:rsidRPr="00DB5D0D">
        <w:rPr>
          <w:rFonts w:ascii="Times New Roman" w:hAnsi="Times New Roman"/>
          <w:color w:val="000000" w:themeColor="text1"/>
          <w:sz w:val="16"/>
          <w:szCs w:val="16"/>
        </w:rPr>
        <w:softHyphen/>
        <w:t>ществовавшая на то время структура ВВС. В числе этих замечаний было от</w:t>
      </w:r>
      <w:r w:rsidRPr="00DB5D0D">
        <w:rPr>
          <w:rFonts w:ascii="Times New Roman" w:hAnsi="Times New Roman"/>
          <w:color w:val="000000" w:themeColor="text1"/>
          <w:sz w:val="16"/>
          <w:szCs w:val="16"/>
        </w:rPr>
        <w:softHyphen/>
        <w:t>мечено, в частности, отставание в развитии матчасти ВВС за последние три года по сравнению с западными странами, в том числе отсутствие пикиру</w:t>
      </w:r>
      <w:r w:rsidRPr="00DB5D0D">
        <w:rPr>
          <w:rFonts w:ascii="Times New Roman" w:hAnsi="Times New Roman"/>
          <w:color w:val="000000" w:themeColor="text1"/>
          <w:sz w:val="16"/>
          <w:szCs w:val="16"/>
        </w:rPr>
        <w:softHyphen/>
        <w:t>ющих бомбардировщиков, отставание во внедрении современных типов самолетов и крупнокалиберного вооружения; неудовлетворительный ко</w:t>
      </w:r>
      <w:r w:rsidRPr="00DB5D0D">
        <w:rPr>
          <w:rFonts w:ascii="Times New Roman" w:hAnsi="Times New Roman"/>
          <w:color w:val="000000" w:themeColor="text1"/>
          <w:sz w:val="16"/>
          <w:szCs w:val="16"/>
        </w:rPr>
        <w:softHyphen/>
        <w:t>личественный и качественный учет самолетов и моторов; недостаточность складов авиамеханического имущества и аэродромной сети; требующая пересмотра организация ВВС и авиабаз, недостаточная подготовленность летно-технического состава; высокая аварийность в авиации (Русский архив: Великая Отечественная. Т. 13 (2-1). Приказы народного комиссара обороны СССР. 1937-21 июня 1941 года. С. 302-303.).</w:t>
      </w:r>
    </w:p>
    <w:p w14:paraId="0050A6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прочтении этого документа может сложиться впечатление о кризисном состоянии советской военной авиации в период сразу же после окончания войны с Финляндией. Но следует критически подойти как к самой оценке, так и к выводам, в ней содержащимся. Так, что касается фразы «наркомат обороны (Управление Военно-Воздушных Сил) не проявил достаточной инициативы и настойчивости по внедрению более современных типов самолетов», необходимо отметить, что это был вопрос, который нужно было решать на базе развития технологий, а не на чисто волевых решениях. Авиамоторостроение в СССР на рубеже 1930-х - 1940-х годов, пожалуй, было самым слабым местом в обеспечении быстрого и ус</w:t>
      </w:r>
      <w:r w:rsidRPr="00DB5D0D">
        <w:rPr>
          <w:rFonts w:ascii="Times New Roman" w:hAnsi="Times New Roman"/>
          <w:color w:val="000000" w:themeColor="text1"/>
          <w:sz w:val="16"/>
          <w:szCs w:val="16"/>
        </w:rPr>
        <w:softHyphen/>
        <w:t>пешного развития ВВС РККА.</w:t>
      </w:r>
    </w:p>
    <w:p w14:paraId="3103FE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Относительно тыловых служб, организации ВВС, аэродромной сети можно отметить, что подобные проблемы, во-первых, присутствовали и в ВВС практически всех развитых стран мира, а во-вторых, были ре</w:t>
      </w:r>
      <w:r w:rsidRPr="00DB5D0D">
        <w:rPr>
          <w:rFonts w:ascii="Times New Roman" w:hAnsi="Times New Roman"/>
          <w:color w:val="000000" w:themeColor="text1"/>
          <w:sz w:val="16"/>
          <w:szCs w:val="16"/>
        </w:rPr>
        <w:softHyphen/>
        <w:t>шаемы во многом гораздо проще и быстрее, чем, например, трудоемкое освоение новых технологий, требующее значительных затрат средств и времени.</w:t>
      </w:r>
    </w:p>
    <w:p w14:paraId="013787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следует, что подобная картина, преподнесенная в столь мрачных тонах, была не только объективным отражением собственно со</w:t>
      </w:r>
      <w:r w:rsidRPr="00DB5D0D">
        <w:rPr>
          <w:rFonts w:ascii="Times New Roman" w:hAnsi="Times New Roman"/>
          <w:color w:val="000000" w:themeColor="text1"/>
          <w:sz w:val="16"/>
          <w:szCs w:val="16"/>
        </w:rPr>
        <w:softHyphen/>
        <w:t>стояния советских ВВС, которые, как и ВВС любого государства мира, име</w:t>
      </w:r>
      <w:r w:rsidRPr="00DB5D0D">
        <w:rPr>
          <w:rFonts w:ascii="Times New Roman" w:hAnsi="Times New Roman"/>
          <w:color w:val="000000" w:themeColor="text1"/>
          <w:sz w:val="16"/>
          <w:szCs w:val="16"/>
        </w:rPr>
        <w:softHyphen/>
        <w:t xml:space="preserve">ли свои достоинства и недостатки, но и свидетельством критики и нападок на самого К.Е. Ворошилова, </w:t>
      </w:r>
      <w:r w:rsidRPr="00DB5D0D">
        <w:rPr>
          <w:rFonts w:ascii="Times New Roman" w:hAnsi="Times New Roman"/>
          <w:color w:val="000000" w:themeColor="text1"/>
          <w:sz w:val="16"/>
          <w:szCs w:val="16"/>
        </w:rPr>
        <w:lastRenderedPageBreak/>
        <w:t>снимаемого со своего поста. Отметим, что из проводимых после смещения К.Е. Ворошилова мероприятий некоторые имели отрицательные последствия, а некоторые из тех, в отсутствии кото</w:t>
      </w:r>
      <w:r w:rsidRPr="00DB5D0D">
        <w:rPr>
          <w:rFonts w:ascii="Times New Roman" w:hAnsi="Times New Roman"/>
          <w:color w:val="000000" w:themeColor="text1"/>
          <w:sz w:val="16"/>
          <w:szCs w:val="16"/>
        </w:rPr>
        <w:softHyphen/>
        <w:t>рых он обвинялся, так и не были проведены в жизнь и при новом руководс</w:t>
      </w:r>
      <w:r w:rsidRPr="00DB5D0D">
        <w:rPr>
          <w:rFonts w:ascii="Times New Roman" w:hAnsi="Times New Roman"/>
          <w:color w:val="000000" w:themeColor="text1"/>
          <w:sz w:val="16"/>
          <w:szCs w:val="16"/>
        </w:rPr>
        <w:softHyphen/>
        <w:t>тве НКО.</w:t>
      </w:r>
    </w:p>
    <w:p w14:paraId="4A63BA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 отметить, что еще до сдачи дел К.Е. Ворошилов подготовил до</w:t>
      </w:r>
      <w:r w:rsidRPr="00DB5D0D">
        <w:rPr>
          <w:rFonts w:ascii="Times New Roman" w:hAnsi="Times New Roman"/>
          <w:color w:val="000000" w:themeColor="text1"/>
          <w:sz w:val="16"/>
          <w:szCs w:val="16"/>
        </w:rPr>
        <w:softHyphen/>
        <w:t>клад о боевых действиях против Финляндии для пленума ЦК ВКП(б) 28 мар</w:t>
      </w:r>
      <w:r w:rsidRPr="00DB5D0D">
        <w:rPr>
          <w:rFonts w:ascii="Times New Roman" w:hAnsi="Times New Roman"/>
          <w:color w:val="000000" w:themeColor="text1"/>
          <w:sz w:val="16"/>
          <w:szCs w:val="16"/>
        </w:rPr>
        <w:softHyphen/>
        <w:t>та 1940 года, то есть две недели спустя после окончания войны. В этот до</w:t>
      </w:r>
      <w:r w:rsidRPr="00DB5D0D">
        <w:rPr>
          <w:rFonts w:ascii="Times New Roman" w:hAnsi="Times New Roman"/>
          <w:color w:val="000000" w:themeColor="text1"/>
          <w:sz w:val="16"/>
          <w:szCs w:val="16"/>
        </w:rPr>
        <w:softHyphen/>
        <w:t>клад лично И.В. Сталиным были внесены поправки, которые свидетельство</w:t>
      </w:r>
      <w:r w:rsidRPr="00DB5D0D">
        <w:rPr>
          <w:rFonts w:ascii="Times New Roman" w:hAnsi="Times New Roman"/>
          <w:color w:val="000000" w:themeColor="text1"/>
          <w:sz w:val="16"/>
          <w:szCs w:val="16"/>
        </w:rPr>
        <w:softHyphen/>
        <w:t>вали именно о положительной оценке, данной им ВВС РККА. В частности, в разделе «Слабые стороны финнов», написанном И.В. Сталиным, говорилось следующее:</w:t>
      </w:r>
    </w:p>
    <w:p w14:paraId="6EE612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«3. Авиации у финнов было несравненно меньше, чем у нас.</w:t>
      </w:r>
    </w:p>
    <w:p w14:paraId="0B5C61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5. Финское командование... недооценило силу нашей артиллерии и авиации и силу нашей Красной армии» (</w:t>
      </w:r>
      <w:r w:rsidRPr="00DB5D0D">
        <w:rPr>
          <w:rFonts w:ascii="Times New Roman" w:hAnsi="Times New Roman"/>
          <w:color w:val="000000" w:themeColor="text1"/>
          <w:sz w:val="16"/>
          <w:szCs w:val="16"/>
        </w:rPr>
        <w:t>Цит. по: Неопубликованный доклад наркома обороны СССР К.Е. Ворошилова на пленуме ЦК ВКП(б) 28 марта 1940 года. С. 108.</w:t>
      </w:r>
      <w:r w:rsidRPr="00DB5D0D">
        <w:rPr>
          <w:rFonts w:ascii="Times New Roman" w:hAnsi="Times New Roman"/>
          <w:iCs/>
          <w:color w:val="000000" w:themeColor="text1"/>
          <w:sz w:val="16"/>
          <w:szCs w:val="16"/>
        </w:rPr>
        <w:t>).</w:t>
      </w:r>
    </w:p>
    <w:p w14:paraId="7204A1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КЕ. Ворошилов отмечал: «Перечисляя недочеты, я говорил только о стрелко</w:t>
      </w:r>
      <w:r w:rsidRPr="00DB5D0D">
        <w:rPr>
          <w:rFonts w:ascii="Times New Roman" w:hAnsi="Times New Roman"/>
          <w:color w:val="000000" w:themeColor="text1"/>
          <w:sz w:val="16"/>
          <w:szCs w:val="16"/>
        </w:rPr>
        <w:softHyphen/>
        <w:t>вых войсках. Я... также не говорил о нашей авиации... недочеты этих войск в сравнении со стрелковыми войсками все же меньше, и качественно... иные». «Эти войска росли и развивались за счет лучших людей пехоты. Все это обеспечило вполне нормальную, а во многих случаях вполне хорошую боевую де</w:t>
      </w:r>
      <w:r w:rsidRPr="00DB5D0D">
        <w:rPr>
          <w:rFonts w:ascii="Times New Roman" w:hAnsi="Times New Roman"/>
          <w:color w:val="000000" w:themeColor="text1"/>
          <w:sz w:val="16"/>
          <w:szCs w:val="16"/>
        </w:rPr>
        <w:softHyphen/>
        <w:t>ятельность и нашей артиллерии, и авиации, и танковых, и других войск». «Много и с каждым днем все лучше и лучше действовала наша авиация» (11710,409).</w:t>
      </w:r>
    </w:p>
    <w:p w14:paraId="36C0A4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767E0E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72C472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8B35ED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в Норвегии высадилась польская бригада, прибывшая из Франции (4963 ).</w:t>
      </w:r>
    </w:p>
    <w:p w14:paraId="244A419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FC3DFE7" w14:textId="77777777" w:rsidR="004075DF" w:rsidRPr="00DB5D0D" w:rsidRDefault="004075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в 1940 году британский парламент после яростных дебатов вынес вотум недоверия правительству Н.Чемберлена 281 голосами против 200 (14885).</w:t>
      </w:r>
    </w:p>
    <w:p w14:paraId="28717FC7" w14:textId="77777777" w:rsidR="004075DF" w:rsidRPr="00DB5D0D" w:rsidRDefault="004075DF" w:rsidP="00DB5D0D">
      <w:pPr>
        <w:spacing w:after="0" w:line="240" w:lineRule="auto"/>
        <w:jc w:val="both"/>
        <w:rPr>
          <w:rFonts w:ascii="Times New Roman" w:hAnsi="Times New Roman"/>
          <w:color w:val="000000" w:themeColor="text1"/>
          <w:sz w:val="16"/>
          <w:szCs w:val="16"/>
        </w:rPr>
      </w:pPr>
    </w:p>
    <w:p w14:paraId="253FCD7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BBADFD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B2B2EF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состоялось заседание Техсовета при НИИ ВВС, на котором были определены основные недостатки ББ-22 (Як-2) (4069,37-55).</w:t>
      </w:r>
    </w:p>
    <w:p w14:paraId="72B5F2C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493095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 было подготовлено письмо К.Е.Ворошилову:</w:t>
      </w:r>
    </w:p>
    <w:p w14:paraId="67E3AF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голосовании Вами проекта КО о постройке опытного 2-х моторного морского бомбардировщика конструкции Самсонова, Вами поставлено этому самолету обязательное требование пикирующего бомбардировщика.</w:t>
      </w:r>
    </w:p>
    <w:p w14:paraId="24CB12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НКВМФ - Кузнецов просит снять это требование, как невыполнимое для данного типа самолета по следующим причинам:</w:t>
      </w:r>
    </w:p>
    <w:p w14:paraId="1D9DD7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 расчетном весе, запроектированного самолета в 12 тонн, требование пикирования вызовет утяжеление конструкции на 1,5 тонны, вследствие чего дальность полета сократиться вдвое.</w:t>
      </w:r>
    </w:p>
    <w:p w14:paraId="4B54F8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предназначается для постановки мин и как торпедоносец дальнего действия; мины же и торпеды сбрасываются на горизонтальном полете.</w:t>
      </w:r>
    </w:p>
    <w:p w14:paraId="15C273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Конструкция лодки не позволяет производить бомбометание с пикирования подвешенных под плоскостями бомб.</w:t>
      </w:r>
    </w:p>
    <w:p w14:paraId="5FC2A2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Работы по постройке морского пикирующего бомбардировщика в НКАП ведутся.</w:t>
      </w:r>
    </w:p>
    <w:p w14:paraId="48EEC6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считает возможным согласиться с просьбой Кузнецова Н.Г. (3395,76).</w:t>
      </w:r>
    </w:p>
    <w:p w14:paraId="0B39BBB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E3CD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 на основании проведенных войсковых испытаний было проведено заседание Техсовета при НИИ ВВС.</w:t>
      </w:r>
    </w:p>
    <w:p w14:paraId="7E46D6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Техсовет констатировал, что максимальная скорость самолета снизилась до 515 км/час вместо 567 км/час, время набора 5000 м - 7,7 мин., практический потолок 8900 м дальность полета звеном на высоте 5000 м 630 км и к тому же на самолете выявлено 183 дефекта.</w:t>
      </w:r>
    </w:p>
    <w:p w14:paraId="7E93CE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предъявленном виде самолет без устранения дефектов к эксплуатации в частях ВВС не может быть допущен (3489).</w:t>
      </w:r>
    </w:p>
    <w:p w14:paraId="0766B17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9B3D4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закончились заводские испытания ОКО-6 2М-88 (2090,132).</w:t>
      </w:r>
    </w:p>
    <w:p w14:paraId="52FBD9F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E4D0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 закончились заводские испытания двухмоторного, одноместного пушечного истребителя ОКО-6 2 М-88бр.</w:t>
      </w:r>
    </w:p>
    <w:p w14:paraId="3F22E2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11100 м</w:t>
      </w:r>
    </w:p>
    <w:p w14:paraId="386205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на одном моторе (с убранным шасси) – 4400 м</w:t>
      </w:r>
    </w:p>
    <w:p w14:paraId="2370E4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Vmax нормальная – 700 км</w:t>
      </w:r>
    </w:p>
    <w:p w14:paraId="3D0A85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Vmax с перегрузкой – 1250 км</w:t>
      </w:r>
    </w:p>
    <w:p w14:paraId="579D40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 на Н – 1000 м – 20 сек.</w:t>
      </w:r>
    </w:p>
    <w:p w14:paraId="46BA46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проделаны фигуры: виражи, петли, перевороты, боевые развороты, срывы в штопор. На фигурах самолет ведет себя нормально.</w:t>
      </w:r>
    </w:p>
    <w:p w14:paraId="7335A1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Проверено пикирование до скорости 640 км/час по прибору на Н=4000 м. Поведение нормальное.</w:t>
      </w:r>
    </w:p>
    <w:p w14:paraId="6B79F3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 и посадка просты. Тенденций к разворотам и сваливанию на крыло нет. Управляемость хорошая. Путевая, поперечная, спиральная устойчивость хорошие. Продольная устойчивость на задних центровках (29,8-31,6 САХ) недостаточная. Самолет нейтрален с зажатым управлением. На втором экземпляре этот дефект полностью устраняется путем изменения центровки до 24-28, 5 САХ.</w:t>
      </w:r>
    </w:p>
    <w:p w14:paraId="40923C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отстреляно на земле и в воздухе и работает надежно.</w:t>
      </w:r>
    </w:p>
    <w:p w14:paraId="451C64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так как самолет имеет большую дальность (1250 км), прекрасную защиту летчика и сильный огонь (батарея из пушек ШВАК калибром 20 мм и 1100 снарядов к ним) то даже при Vmax=570 км/час он с моей точки зрения, может отлично справляться со своей основной тактической задачей – борьба с бомбардировщиками. Уже сегодня он будучи равен по силе огня и дальности с "Мессершмитт 110" превышает его по скорости на 50 км/час.</w:t>
      </w:r>
    </w:p>
    <w:p w14:paraId="6D3A9D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главное заключается в том, что все указанные выше данные являются минимальными и не позднее августа 1940 года будут значительно улучшены.</w:t>
      </w:r>
    </w:p>
    <w:p w14:paraId="7CB2A1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на втором экземпляре этого самолета заканчивающегося постройкой в июне 1940 года проделано следующее:</w:t>
      </w:r>
    </w:p>
    <w:p w14:paraId="6BD9E54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Поставлены редукторные моторы М88 (вместо прямых М88, что значительно увеличивает к.п.д. винта.</w:t>
      </w:r>
    </w:p>
    <w:p w14:paraId="213D1E5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Улучшена аэродинамическая форма капотов.</w:t>
      </w:r>
    </w:p>
    <w:p w14:paraId="40C107A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Улучшена аэродинамическая форма фонаря пилота.</w:t>
      </w:r>
    </w:p>
    <w:p w14:paraId="48507A8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Значительно улучшено производственное изготовление и отделка самолета.</w:t>
      </w:r>
    </w:p>
    <w:p w14:paraId="527938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мероприятия полностью гарантируют получение на втором экземпляре с серийными моторами М-88 максимальной скорости не ниже 610 км/час с одновременным улучшением скороподъемности и дальности.</w:t>
      </w:r>
    </w:p>
    <w:p w14:paraId="0F6B0E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установкой на самолет моторов М88/А, что можно сделать не позднее июля 1940 года, максимальная скорость самолета может быть увеличена до 625-630 км/час.</w:t>
      </w:r>
    </w:p>
    <w:p w14:paraId="191712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эти улучшения производства без существенных конструктивных изменений и поэтому безболезненно могут быть осуществлены даже на самолетах запущенных в серию.</w:t>
      </w:r>
    </w:p>
    <w:p w14:paraId="252F4F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Этим не ограничиваются возможности самолета, так как еще в этом году, тоже без крупных переделок возможно осуществить установку моторов М90 при которых V так увеличится до 670-680 км/час.</w:t>
      </w:r>
    </w:p>
    <w:p w14:paraId="230944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работой по увеличению скорости проводятся работы по усилению вооружения.</w:t>
      </w:r>
    </w:p>
    <w:p w14:paraId="35A716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допускает установку следующих вариантов вооружения (кроме установленной пушечной батареи).</w:t>
      </w:r>
    </w:p>
    <w:p w14:paraId="661B53E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Батареи из 4-х пулеметов системы Березина ф=12,7 мм</w:t>
      </w:r>
    </w:p>
    <w:p w14:paraId="416FDBE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Батареи из 8 пулеметов Шкасс ф=7,62 мм</w:t>
      </w:r>
    </w:p>
    <w:p w14:paraId="7B5506B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Батареи из 2-х пушек Таубина калибром 23 мм и двух пулеметов Березина калибром 12,7 мм.</w:t>
      </w:r>
    </w:p>
    <w:p w14:paraId="07EF58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всех вариантах стрелково-артиллерийского вооружения возможна подвеска:</w:t>
      </w:r>
    </w:p>
    <w:p w14:paraId="041E0FD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 РС по 50 кг или</w:t>
      </w:r>
    </w:p>
    <w:p w14:paraId="1052E1C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одной бомбы в 500 кг</w:t>
      </w:r>
    </w:p>
    <w:p w14:paraId="56AC89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самолет может быть использован дополнительно, как пикирующий бомбардировщик и штурмовик.</w:t>
      </w:r>
    </w:p>
    <w:p w14:paraId="341E17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перегрузки возможны потому, что машина имеет Па=15.</w:t>
      </w:r>
    </w:p>
    <w:p w14:paraId="01750F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случае Вашего решения о внедрении этого самолета в серию, считаю необходимым немедленно начать подготовку производства, так как для его серийной постройки необходимо предварительно и заблаговременно решить следующие вопросы:</w:t>
      </w:r>
    </w:p>
    <w:p w14:paraId="02E2907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металлической брони</w:t>
      </w:r>
    </w:p>
    <w:p w14:paraId="48CC922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прозрачной брони</w:t>
      </w:r>
    </w:p>
    <w:p w14:paraId="6B0EAEB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хромансилевых профилей (по стандарту ВИАМ)</w:t>
      </w:r>
    </w:p>
    <w:p w14:paraId="2D52D42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Обеспечение производственной базой по поставке листового электрона и электронного литья (7647, 57-58).</w:t>
      </w:r>
    </w:p>
    <w:p w14:paraId="5DA235F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32FDDF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начались летные испытания второго И-200 (1021,66) c АМ-35А (2090,133) и летал М.Н.Якушин (3549).</w:t>
      </w:r>
    </w:p>
    <w:p w14:paraId="50746B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немцам именно на втором прототипе была достигнута скорость 651 км/час.</w:t>
      </w:r>
    </w:p>
    <w:p w14:paraId="1D5473F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BF19E93" w14:textId="77777777" w:rsidR="00BC07D1" w:rsidRPr="00DB5D0D" w:rsidRDefault="00BC07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совершил пер</w:t>
      </w:r>
      <w:r w:rsidRPr="00DB5D0D">
        <w:rPr>
          <w:rFonts w:ascii="Times New Roman" w:hAnsi="Times New Roman"/>
          <w:color w:val="000000" w:themeColor="text1"/>
          <w:sz w:val="16"/>
          <w:szCs w:val="16"/>
        </w:rPr>
        <w:softHyphen/>
        <w:t>вый вылет второй опытный экземпляр И-200, а 13 мая начались наземные испытания вооружения на третьем экземпляре. Ми</w:t>
      </w:r>
      <w:r w:rsidRPr="00DB5D0D">
        <w:rPr>
          <w:rFonts w:ascii="Times New Roman" w:hAnsi="Times New Roman"/>
          <w:color w:val="000000" w:themeColor="text1"/>
          <w:sz w:val="16"/>
          <w:szCs w:val="16"/>
        </w:rPr>
        <w:softHyphen/>
        <w:t>коян даже сделал попытку выполнить приказ о сдаче И-200 на госиспытания. Но заданный срок 20 мая выдержан не был. Второй и третий экземпляры были предъявлены 10 июня, но приняты не были из-за недоведенности ВМГ (пере</w:t>
      </w:r>
      <w:r w:rsidRPr="00DB5D0D">
        <w:rPr>
          <w:rFonts w:ascii="Times New Roman" w:hAnsi="Times New Roman"/>
          <w:color w:val="000000" w:themeColor="text1"/>
          <w:sz w:val="16"/>
          <w:szCs w:val="16"/>
        </w:rPr>
        <w:softHyphen/>
        <w:t>грев). Тем не менее ритуальное действие было совершено, и далее Микоян спо</w:t>
      </w:r>
      <w:r w:rsidRPr="00DB5D0D">
        <w:rPr>
          <w:rFonts w:ascii="Times New Roman" w:hAnsi="Times New Roman"/>
          <w:color w:val="000000" w:themeColor="text1"/>
          <w:sz w:val="16"/>
          <w:szCs w:val="16"/>
        </w:rPr>
        <w:softHyphen/>
        <w:t>койно продолжил доводку самолета на заводских испытаниях (19734).</w:t>
      </w:r>
    </w:p>
    <w:p w14:paraId="0F5D510F" w14:textId="77777777" w:rsidR="00BC07D1" w:rsidRPr="00DB5D0D" w:rsidRDefault="00BC07D1" w:rsidP="00DB5D0D">
      <w:pPr>
        <w:spacing w:after="0" w:line="240" w:lineRule="auto"/>
        <w:jc w:val="both"/>
        <w:rPr>
          <w:rFonts w:ascii="Times New Roman" w:hAnsi="Times New Roman"/>
          <w:color w:val="000000" w:themeColor="text1"/>
          <w:sz w:val="16"/>
          <w:szCs w:val="16"/>
        </w:rPr>
      </w:pPr>
    </w:p>
    <w:p w14:paraId="09FB76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Якушин облетал второй И-200 № 6102. На "дублере" опробовали 11 вариантов системы охлаждения, и каждый давался тяжело: температура масла достигала 112° С, а воды - 125°. Как указано в документах той поры, кипеть им не давало избыточное давление, вне рубашки охлаждения оно падало, вода резко вскипала, и пар разрывал обечайку радиатора. Добавляли хлопот и не связанные с этим факторы. Например, 12 мая в полете на замер температур воды и масла разрушилась крыльчатка ПЦН, осколки нашли даже в кабине. Нагнетатель заменили к 3 июня, но мотор не заработал, и самолет начал летать только через неделю. Хотя доводка мотоустановки была еще далека до завершения, 24 мая Екатов "привез" на И-200-1 рекорд - 648 км/ч в горизонтальном полете, и это без форсажа! (11938).</w:t>
      </w:r>
    </w:p>
    <w:p w14:paraId="0EF4723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2CF1A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на И-200 была достигнута скорость 651 км/ч. Авторство Н.Н.П. отметили премией и перевели его КБ на другой завод (88,153).</w:t>
      </w:r>
    </w:p>
    <w:p w14:paraId="6E339FA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D80AE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в ходе заводских испытаний И-200 А.И.М, которые проходили с 31 марта по 17 августа 1940, на И-200-2 был выполнен первый вылет (2988).</w:t>
      </w:r>
    </w:p>
    <w:p w14:paraId="5CA5B19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B9B84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М.Н. Якушин совершил первый полет на втором И-200 (11757).</w:t>
      </w:r>
    </w:p>
    <w:p w14:paraId="782EE3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DBABC4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9 мая 1940 Якушин облетал второй И-200 №6102. На «дублере» опробовали 11 ва</w:t>
      </w:r>
      <w:r w:rsidRPr="00DB5D0D">
        <w:rPr>
          <w:rFonts w:ascii="Times New Roman" w:hAnsi="Times New Roman"/>
          <w:color w:val="0070C0"/>
          <w:sz w:val="16"/>
          <w:szCs w:val="16"/>
          <w:lang w:eastAsia="ru-RU" w:bidi="ru-RU"/>
        </w:rPr>
        <w:softHyphen/>
        <w:t>риантов системы охлаждения и каждый давался тяжело: температура масла мо</w:t>
      </w:r>
      <w:r w:rsidRPr="00DB5D0D">
        <w:rPr>
          <w:rFonts w:ascii="Times New Roman" w:hAnsi="Times New Roman"/>
          <w:color w:val="0070C0"/>
          <w:sz w:val="16"/>
          <w:szCs w:val="16"/>
          <w:lang w:eastAsia="ru-RU" w:bidi="ru-RU"/>
        </w:rPr>
        <w:softHyphen/>
        <w:t>гла достигать 112°С, а воды - 125°С, а ки</w:t>
      </w:r>
      <w:r w:rsidRPr="00DB5D0D">
        <w:rPr>
          <w:rFonts w:ascii="Times New Roman" w:hAnsi="Times New Roman"/>
          <w:color w:val="0070C0"/>
          <w:sz w:val="16"/>
          <w:szCs w:val="16"/>
          <w:lang w:eastAsia="ru-RU" w:bidi="ru-RU"/>
        </w:rPr>
        <w:softHyphen/>
        <w:t>петь им не давало избыточное давле</w:t>
      </w:r>
      <w:r w:rsidRPr="00DB5D0D">
        <w:rPr>
          <w:rFonts w:ascii="Times New Roman" w:hAnsi="Times New Roman"/>
          <w:color w:val="0070C0"/>
          <w:sz w:val="16"/>
          <w:szCs w:val="16"/>
          <w:lang w:eastAsia="ru-RU" w:bidi="ru-RU"/>
        </w:rPr>
        <w:softHyphen/>
        <w:t>ние. Вне рубашки охлаждения оно падало, там вода резко вскипала, и пар разрывал обечайку радиатора. Добавляли хлопот и не связанные с этим неприятности, на</w:t>
      </w:r>
      <w:r w:rsidRPr="00DB5D0D">
        <w:rPr>
          <w:rFonts w:ascii="Times New Roman" w:hAnsi="Times New Roman"/>
          <w:color w:val="0070C0"/>
          <w:sz w:val="16"/>
          <w:szCs w:val="16"/>
          <w:lang w:eastAsia="ru-RU" w:bidi="ru-RU"/>
        </w:rPr>
        <w:softHyphen/>
        <w:t>пример 12 мая в полете на замер темпе</w:t>
      </w:r>
      <w:r w:rsidRPr="00DB5D0D">
        <w:rPr>
          <w:rFonts w:ascii="Times New Roman" w:hAnsi="Times New Roman"/>
          <w:color w:val="0070C0"/>
          <w:sz w:val="16"/>
          <w:szCs w:val="16"/>
          <w:lang w:eastAsia="ru-RU" w:bidi="ru-RU"/>
        </w:rPr>
        <w:softHyphen/>
        <w:t>ратур воды и масла разрушилась крыль</w:t>
      </w:r>
      <w:r w:rsidRPr="00DB5D0D">
        <w:rPr>
          <w:rFonts w:ascii="Times New Roman" w:hAnsi="Times New Roman"/>
          <w:color w:val="0070C0"/>
          <w:sz w:val="16"/>
          <w:szCs w:val="16"/>
          <w:lang w:eastAsia="ru-RU" w:bidi="ru-RU"/>
        </w:rPr>
        <w:softHyphen/>
        <w:t>чатка приводного центробежного нагне</w:t>
      </w:r>
      <w:r w:rsidRPr="00DB5D0D">
        <w:rPr>
          <w:rFonts w:ascii="Times New Roman" w:hAnsi="Times New Roman"/>
          <w:color w:val="0070C0"/>
          <w:sz w:val="16"/>
          <w:szCs w:val="16"/>
          <w:lang w:eastAsia="ru-RU" w:bidi="ru-RU"/>
        </w:rPr>
        <w:softHyphen/>
        <w:t>тателя мотора, осколки нашли даже в ка</w:t>
      </w:r>
      <w:r w:rsidRPr="00DB5D0D">
        <w:rPr>
          <w:rFonts w:ascii="Times New Roman" w:hAnsi="Times New Roman"/>
          <w:color w:val="0070C0"/>
          <w:sz w:val="16"/>
          <w:szCs w:val="16"/>
          <w:lang w:eastAsia="ru-RU" w:bidi="ru-RU"/>
        </w:rPr>
        <w:softHyphen/>
        <w:t>бине. ПЦН заменили к 3 июня, но мотор «с ходу» не заработал, и самолет начал летать только через неделю (21696).</w:t>
      </w:r>
    </w:p>
    <w:p w14:paraId="2FD52D2F" w14:textId="77777777" w:rsidR="004644FC" w:rsidRPr="00DB5D0D" w:rsidRDefault="004644FC" w:rsidP="00DB5D0D">
      <w:pPr>
        <w:spacing w:after="0" w:line="240" w:lineRule="auto"/>
        <w:jc w:val="both"/>
        <w:rPr>
          <w:rFonts w:ascii="Times New Roman" w:hAnsi="Times New Roman"/>
          <w:color w:val="0070C0"/>
          <w:sz w:val="16"/>
          <w:szCs w:val="16"/>
        </w:rPr>
      </w:pPr>
    </w:p>
    <w:p w14:paraId="39E6E0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 гл. конструктор завода N 1 Микоян писал письмо N 4546 Шахурину.</w:t>
      </w:r>
    </w:p>
    <w:p w14:paraId="693CC0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Довожу до Вашего сведения, что самолет И-200 N 6102 (2-й опытный экземпляр) 9/V-40 года закончил наземные испытания (рулежка и гонка мотора на земле).</w:t>
      </w:r>
    </w:p>
    <w:p w14:paraId="5AB538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дали удовлетворительные результаты и самолет готов к первому вылету, на что прошу Вашего разрешения.</w:t>
      </w:r>
    </w:p>
    <w:p w14:paraId="754634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Акт комиссии о готовности самолета к вылету прилагается.</w:t>
      </w:r>
    </w:p>
    <w:p w14:paraId="21490D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упомянутое (1193,218).</w:t>
      </w:r>
    </w:p>
    <w:p w14:paraId="0AA35B3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EE72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 первый полет на И-200 № 02 выполнил М.Н.Якушин, а 13 мая на тре</w:t>
      </w:r>
      <w:r w:rsidRPr="00DB5D0D">
        <w:rPr>
          <w:rFonts w:ascii="Times New Roman" w:hAnsi="Times New Roman"/>
          <w:color w:val="000000" w:themeColor="text1"/>
          <w:sz w:val="16"/>
          <w:szCs w:val="16"/>
        </w:rPr>
        <w:softHyphen/>
        <w:t>тьей машине начались наземные испытания стрелко</w:t>
      </w:r>
      <w:r w:rsidRPr="00DB5D0D">
        <w:rPr>
          <w:rFonts w:ascii="Times New Roman" w:hAnsi="Times New Roman"/>
          <w:color w:val="000000" w:themeColor="text1"/>
          <w:sz w:val="16"/>
          <w:szCs w:val="16"/>
        </w:rPr>
        <w:softHyphen/>
        <w:t>вого вооружения с работающим мотором и штатны</w:t>
      </w:r>
      <w:r w:rsidRPr="00DB5D0D">
        <w:rPr>
          <w:rFonts w:ascii="Times New Roman" w:hAnsi="Times New Roman"/>
          <w:color w:val="000000" w:themeColor="text1"/>
          <w:sz w:val="16"/>
          <w:szCs w:val="16"/>
        </w:rPr>
        <w:softHyphen/>
        <w:t>ми синхронизаторами (9984).</w:t>
      </w:r>
    </w:p>
    <w:p w14:paraId="51A46F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C569F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9 мая 1940 года, согласно докладу в КО, заводские испытания И-26-11 были проведены на 80% (на самолете оставалось провести отстрел и доводку вооружения). В докладе также отмечалось, что основным тормозом в проведении испытаний являлись: неудовлетворительная работа мотора М-105, низкое качество покрышек и тормозных колес. Эскалация военных событий в Европе - вторжение немецкого Вермахта 10 мая в Бельгию, Люксембург, Нидерланды, - стала причиной досрочного завершения заводских испытаний (12048).</w:t>
      </w:r>
    </w:p>
    <w:p w14:paraId="1224553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E6D6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с ЦА в Чкаловскую в НИИ ВВС перегнали До-215 (2872,40).</w:t>
      </w:r>
    </w:p>
    <w:p w14:paraId="30B583C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8E3E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один из двух До-215 перегнали на аэродром НИИ ВВС в подмосковную Чкаловскую для летных испытаний. Ведущими по машине были инженер Н. Куликов, летчик К.Долгов и штурман В.Соколов. Другую машину отправили на завод №156, где ее всесторонне изучили и составили техническое описание (9663).</w:t>
      </w:r>
    </w:p>
    <w:p w14:paraId="7206EEE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F06EF87" w14:textId="77777777" w:rsidR="004E4B2C" w:rsidRPr="00DB5D0D" w:rsidRDefault="004E4B2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мая в 1940 году в "Чкаловском" начались летные испытания закупленного в Германии бомбардировщика </w:t>
      </w:r>
      <w:hyperlink r:id="rId22" w:tgtFrame="_blank" w:history="1">
        <w:r w:rsidRPr="00DB5D0D">
          <w:rPr>
            <w:rFonts w:ascii="Times New Roman" w:hAnsi="Times New Roman"/>
            <w:color w:val="000000" w:themeColor="text1"/>
            <w:sz w:val="16"/>
            <w:szCs w:val="16"/>
          </w:rPr>
          <w:t xml:space="preserve">«Do-215». </w:t>
        </w:r>
      </w:hyperlink>
      <w:r w:rsidRPr="00DB5D0D">
        <w:rPr>
          <w:rFonts w:ascii="Times New Roman" w:hAnsi="Times New Roman"/>
          <w:color w:val="000000" w:themeColor="text1"/>
          <w:sz w:val="16"/>
          <w:szCs w:val="16"/>
        </w:rPr>
        <w:t>Ведущими по машине назначили инженера Н.С.Куликова, летчика А.К.Долгова и штурмана Соколова. Do-215 представлял собой цельнометаллический высокоплан классической схемы. Алюминиевые сплавы, электрон и высококачественные стали являлись основными конструкционными материалами самолета. Для улучшения взлетно-посадочных характеристик на крыле располагались закрылки и зависающие элероны. Оперение было двухкилевым, с регулируемым в полете углом установки стабилизатора. С целью уменьшения нагрузок на командные органы управления на рулях направления устанавливались триммеры, а на элеронах и руле высоты - флетнеры. Двухколесное шасси убиралось вместе с хвостовым колесом (14886).</w:t>
      </w:r>
    </w:p>
    <w:p w14:paraId="181FD41B" w14:textId="77777777" w:rsidR="004E4B2C" w:rsidRPr="00DB5D0D" w:rsidRDefault="004E4B2C" w:rsidP="00DB5D0D">
      <w:pPr>
        <w:spacing w:after="0" w:line="240" w:lineRule="auto"/>
        <w:jc w:val="both"/>
        <w:rPr>
          <w:rFonts w:ascii="Times New Roman" w:hAnsi="Times New Roman"/>
          <w:color w:val="000000" w:themeColor="text1"/>
          <w:sz w:val="16"/>
          <w:szCs w:val="16"/>
        </w:rPr>
      </w:pPr>
    </w:p>
    <w:p w14:paraId="79020F0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 позднее 9 мая 1940 г.</w:t>
      </w:r>
    </w:p>
    <w:p w14:paraId="5F08746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Предложения подкомиссии по системе вооружения ВВС Красной Армии'</w:t>
      </w:r>
    </w:p>
    <w:p w14:paraId="6265CDC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Раздел I</w:t>
      </w:r>
    </w:p>
    <w:p w14:paraId="769561D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Типаж самолетов ВВС КА до 1943 г.</w:t>
      </w:r>
    </w:p>
    <w:p w14:paraId="5BD7D85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Истребители:</w:t>
      </w:r>
    </w:p>
    <w:p w14:paraId="02943E7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Скоростной одноместный и одномоторный.</w:t>
      </w:r>
    </w:p>
    <w:p w14:paraId="0C2DAE3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Скоростной двухмоторный.</w:t>
      </w:r>
    </w:p>
    <w:p w14:paraId="4F81D41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Бомбардировщики:</w:t>
      </w:r>
    </w:p>
    <w:p w14:paraId="42B2723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Ближний одномоторный двухместный.</w:t>
      </w:r>
    </w:p>
    <w:p w14:paraId="52D4091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Средний двухмоторный 3—4-местный.</w:t>
      </w:r>
    </w:p>
    <w:p w14:paraId="2B6E574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Дальний двухмоторный 4-местный</w:t>
      </w:r>
    </w:p>
    <w:p w14:paraId="431826E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4-моторный ночной и транспортный 7—8-местный.</w:t>
      </w:r>
    </w:p>
    <w:p w14:paraId="10991E0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Примечание: Ближний и средний бомбардировщики должны быть пикирующими.</w:t>
      </w:r>
    </w:p>
    <w:p w14:paraId="5D2279B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Штурмовики:</w:t>
      </w:r>
    </w:p>
    <w:p w14:paraId="0EA3522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Бронированные одноместные.</w:t>
      </w:r>
    </w:p>
    <w:p w14:paraId="2A931CE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Разведчики:</w:t>
      </w:r>
    </w:p>
    <w:p w14:paraId="68C96E8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выполнения разведки необходимо использовать истребительные и бомбардировочные самолеты, соответственно оборудовав для выполнения разведки эти самолеты.</w:t>
      </w:r>
    </w:p>
    <w:p w14:paraId="12A17D3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Транспортные и санитарные:</w:t>
      </w:r>
    </w:p>
    <w:p w14:paraId="584CA65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Двухмоторные типа «Дуглас».</w:t>
      </w:r>
    </w:p>
    <w:p w14:paraId="0F95C31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Двухмоторные легкие типа «Драгон».</w:t>
      </w:r>
    </w:p>
    <w:p w14:paraId="7F69929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Связи:</w:t>
      </w:r>
    </w:p>
    <w:p w14:paraId="1029407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Типа «Аист», трехместный, с отличным обзором, оборудованные радио.</w:t>
      </w:r>
    </w:p>
    <w:p w14:paraId="1999C82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Корректировщик:</w:t>
      </w:r>
    </w:p>
    <w:p w14:paraId="3BA0543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Трехместный, с отличным обзором и хорошими средствами связи.</w:t>
      </w:r>
    </w:p>
    <w:p w14:paraId="10CC7A5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 хорошим диапазоном скоростей и обязательно со средствами оптического наблюдения.</w:t>
      </w:r>
    </w:p>
    <w:p w14:paraId="0F7ED8D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Учебные и тренировочные:</w:t>
      </w:r>
    </w:p>
    <w:p w14:paraId="10526E0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Первоначального обучения типа У-2, двухместный.</w:t>
      </w:r>
    </w:p>
    <w:p w14:paraId="4553D0E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Учебно-тренировочные 2-местные, одномоторные.</w:t>
      </w:r>
    </w:p>
    <w:p w14:paraId="3B82A11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Учебно-тренировочные одноместные, одномоторные.</w:t>
      </w:r>
    </w:p>
    <w:p w14:paraId="1D69A68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Учебно-тренировочный 2-моторный и 2—3-местный.</w:t>
      </w:r>
    </w:p>
    <w:p w14:paraId="79272A7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Скорость</w:t>
      </w:r>
    </w:p>
    <w:p w14:paraId="6E95F13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1. Истребители:</w:t>
      </w:r>
    </w:p>
    <w:p w14:paraId="0954F73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1940</w:t>
      </w:r>
      <w:r w:rsidRPr="00DB5D0D">
        <w:rPr>
          <w:rFonts w:ascii="Times New Roman" w:hAnsi="Times New Roman"/>
          <w:color w:val="0070C0"/>
          <w:sz w:val="16"/>
          <w:szCs w:val="16"/>
        </w:rPr>
        <w:tab/>
        <w:t>г. — 560—600 км/ч;</w:t>
      </w:r>
    </w:p>
    <w:p w14:paraId="1B9C160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1941</w:t>
      </w:r>
      <w:r w:rsidRPr="00DB5D0D">
        <w:rPr>
          <w:rFonts w:ascii="Times New Roman" w:hAnsi="Times New Roman"/>
          <w:color w:val="0070C0"/>
          <w:sz w:val="16"/>
          <w:szCs w:val="16"/>
        </w:rPr>
        <w:tab/>
        <w:t>г. — 650 км/ч;</w:t>
      </w:r>
    </w:p>
    <w:p w14:paraId="4E04D9D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1942</w:t>
      </w:r>
      <w:r w:rsidRPr="00DB5D0D">
        <w:rPr>
          <w:rFonts w:ascii="Times New Roman" w:hAnsi="Times New Roman"/>
          <w:color w:val="0070C0"/>
          <w:sz w:val="16"/>
          <w:szCs w:val="16"/>
        </w:rPr>
        <w:tab/>
        <w:t>г. — 700 км/ч;</w:t>
      </w:r>
    </w:p>
    <w:p w14:paraId="2B26C14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1943</w:t>
      </w:r>
      <w:r w:rsidRPr="00DB5D0D">
        <w:rPr>
          <w:rFonts w:ascii="Times New Roman" w:hAnsi="Times New Roman"/>
          <w:color w:val="0070C0"/>
          <w:sz w:val="16"/>
          <w:szCs w:val="16"/>
        </w:rPr>
        <w:tab/>
        <w:t>г. — 750 км/ч.</w:t>
      </w:r>
    </w:p>
    <w:p w14:paraId="08D1EAB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Ближние одномоторные бомбардировщики:</w:t>
      </w:r>
    </w:p>
    <w:p w14:paraId="7826E04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1940</w:t>
      </w:r>
      <w:r w:rsidRPr="00DB5D0D">
        <w:rPr>
          <w:rFonts w:ascii="Times New Roman" w:hAnsi="Times New Roman"/>
          <w:color w:val="0070C0"/>
          <w:sz w:val="16"/>
          <w:szCs w:val="16"/>
        </w:rPr>
        <w:tab/>
        <w:t>г.-475-500 км/ч;</w:t>
      </w:r>
    </w:p>
    <w:p w14:paraId="0676BD3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1941</w:t>
      </w:r>
      <w:r w:rsidRPr="00DB5D0D">
        <w:rPr>
          <w:rFonts w:ascii="Times New Roman" w:hAnsi="Times New Roman"/>
          <w:color w:val="0070C0"/>
          <w:sz w:val="16"/>
          <w:szCs w:val="16"/>
        </w:rPr>
        <w:tab/>
        <w:t>г. — 550 км/ч;</w:t>
      </w:r>
    </w:p>
    <w:p w14:paraId="1444B9A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1942</w:t>
      </w:r>
      <w:r w:rsidRPr="00DB5D0D">
        <w:rPr>
          <w:rFonts w:ascii="Times New Roman" w:hAnsi="Times New Roman"/>
          <w:color w:val="0070C0"/>
          <w:sz w:val="16"/>
          <w:szCs w:val="16"/>
        </w:rPr>
        <w:tab/>
        <w:t>г. — 600 км/ч;</w:t>
      </w:r>
    </w:p>
    <w:p w14:paraId="2B93D02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1943</w:t>
      </w:r>
      <w:r w:rsidRPr="00DB5D0D">
        <w:rPr>
          <w:rFonts w:ascii="Times New Roman" w:hAnsi="Times New Roman"/>
          <w:color w:val="0070C0"/>
          <w:sz w:val="16"/>
          <w:szCs w:val="16"/>
        </w:rPr>
        <w:tab/>
        <w:t>г. — 650 км/ч.</w:t>
      </w:r>
    </w:p>
    <w:p w14:paraId="60A54BB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Средние двухмоторные бомбардировщики:</w:t>
      </w:r>
    </w:p>
    <w:p w14:paraId="4057C79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1940</w:t>
      </w:r>
      <w:r w:rsidRPr="00DB5D0D">
        <w:rPr>
          <w:rFonts w:ascii="Times New Roman" w:hAnsi="Times New Roman"/>
          <w:color w:val="0070C0"/>
          <w:sz w:val="16"/>
          <w:szCs w:val="16"/>
        </w:rPr>
        <w:tab/>
        <w:t>г. — 500—550 км/ч;</w:t>
      </w:r>
    </w:p>
    <w:p w14:paraId="0290A03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1941</w:t>
      </w:r>
      <w:r w:rsidRPr="00DB5D0D">
        <w:rPr>
          <w:rFonts w:ascii="Times New Roman" w:hAnsi="Times New Roman"/>
          <w:color w:val="0070C0"/>
          <w:sz w:val="16"/>
          <w:szCs w:val="16"/>
        </w:rPr>
        <w:tab/>
        <w:t>г. — 600 км/ч;</w:t>
      </w:r>
    </w:p>
    <w:p w14:paraId="015FD00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1942</w:t>
      </w:r>
      <w:r w:rsidRPr="00DB5D0D">
        <w:rPr>
          <w:rFonts w:ascii="Times New Roman" w:hAnsi="Times New Roman"/>
          <w:color w:val="0070C0"/>
          <w:sz w:val="16"/>
          <w:szCs w:val="16"/>
        </w:rPr>
        <w:tab/>
        <w:t>г. — 650 км/ч;</w:t>
      </w:r>
    </w:p>
    <w:p w14:paraId="53BB5E4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1943</w:t>
      </w:r>
      <w:r w:rsidRPr="00DB5D0D">
        <w:rPr>
          <w:rFonts w:ascii="Times New Roman" w:hAnsi="Times New Roman"/>
          <w:color w:val="0070C0"/>
          <w:sz w:val="16"/>
          <w:szCs w:val="16"/>
        </w:rPr>
        <w:tab/>
        <w:t>г. — 700 км/ч.</w:t>
      </w:r>
    </w:p>
    <w:p w14:paraId="561D99B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Дальние двухмоторные бомбардировщики:</w:t>
      </w:r>
    </w:p>
    <w:p w14:paraId="489DED5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1940</w:t>
      </w:r>
      <w:r w:rsidRPr="00DB5D0D">
        <w:rPr>
          <w:rFonts w:ascii="Times New Roman" w:hAnsi="Times New Roman"/>
          <w:color w:val="0070C0"/>
          <w:sz w:val="16"/>
          <w:szCs w:val="16"/>
        </w:rPr>
        <w:tab/>
        <w:t>г. - 480-500 км/ч;</w:t>
      </w:r>
    </w:p>
    <w:p w14:paraId="6DA7453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1941</w:t>
      </w:r>
      <w:r w:rsidRPr="00DB5D0D">
        <w:rPr>
          <w:rFonts w:ascii="Times New Roman" w:hAnsi="Times New Roman"/>
          <w:color w:val="0070C0"/>
          <w:sz w:val="16"/>
          <w:szCs w:val="16"/>
        </w:rPr>
        <w:tab/>
        <w:t>г. — 650 км/ч;</w:t>
      </w:r>
    </w:p>
    <w:p w14:paraId="4516958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1942</w:t>
      </w:r>
      <w:r w:rsidRPr="00DB5D0D">
        <w:rPr>
          <w:rFonts w:ascii="Times New Roman" w:hAnsi="Times New Roman"/>
          <w:color w:val="0070C0"/>
          <w:sz w:val="16"/>
          <w:szCs w:val="16"/>
        </w:rPr>
        <w:tab/>
        <w:t>г. — 600 км/ч;</w:t>
      </w:r>
    </w:p>
    <w:p w14:paraId="0E72904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1943</w:t>
      </w:r>
      <w:r w:rsidRPr="00DB5D0D">
        <w:rPr>
          <w:rFonts w:ascii="Times New Roman" w:hAnsi="Times New Roman"/>
          <w:color w:val="0070C0"/>
          <w:sz w:val="16"/>
          <w:szCs w:val="16"/>
        </w:rPr>
        <w:tab/>
        <w:t>г. — 650 км/ч.</w:t>
      </w:r>
    </w:p>
    <w:p w14:paraId="5C164E9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Дальность полета и практический потолок</w:t>
      </w:r>
    </w:p>
    <w:p w14:paraId="5ED192F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истребителей нормальная дальность на 0,9 от максимальной скорости — 800 км, и с перегрузкой — 1100 км.</w:t>
      </w:r>
    </w:p>
    <w:p w14:paraId="28FF78E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ближних одномоторных бомбардировщиков нормальная дальность на 0,9 от максимальной скорости — 1000 км.</w:t>
      </w:r>
    </w:p>
    <w:p w14:paraId="6BCDFCB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средних двухмоторных бомбардировщиков нормальная дальность — 1200 км на 0,9 от максимальной скорости и с перегрузкой — 2000 км (на 0,9 от максимальной скорости).</w:t>
      </w:r>
    </w:p>
    <w:p w14:paraId="586537F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дальних двухмоторных бомбардировщиков нормальная дальность — 5000 км на 0,8 от максимальной скорости.</w:t>
      </w:r>
    </w:p>
    <w:p w14:paraId="3E2215F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штурмовиков нормальная дальность на 0,9 от максимальной скорости — 800 км.</w:t>
      </w:r>
    </w:p>
    <w:p w14:paraId="3CB186E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Практический потолок самолетов кроме штурмовиков и ближних одномоторных бомбардировщиков должен быть:</w:t>
      </w:r>
    </w:p>
    <w:p w14:paraId="01908A5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1940-41 гг, - 10 000-12 000 м;</w:t>
      </w:r>
    </w:p>
    <w:p w14:paraId="2118A15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1942-43 гг. - 12 000-13 000 м.</w:t>
      </w:r>
    </w:p>
    <w:p w14:paraId="48F38AF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Вооружение</w:t>
      </w:r>
    </w:p>
    <w:p w14:paraId="4226CF5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Истребители</w:t>
      </w:r>
    </w:p>
    <w:p w14:paraId="65ED98E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Скоростные одноместные одномоторные:</w:t>
      </w:r>
    </w:p>
    <w:p w14:paraId="670F63E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Вариант 1:</w:t>
      </w:r>
      <w:r w:rsidRPr="00DB5D0D">
        <w:rPr>
          <w:rFonts w:ascii="Times New Roman" w:hAnsi="Times New Roman"/>
          <w:color w:val="0070C0"/>
          <w:sz w:val="16"/>
          <w:szCs w:val="16"/>
        </w:rPr>
        <w:tab/>
        <w:t>2 синхронных пулемета 7,62 мм.</w:t>
      </w:r>
    </w:p>
    <w:p w14:paraId="54797A0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Запас патрон — 1200 шт.</w:t>
      </w:r>
    </w:p>
    <w:p w14:paraId="534B2CD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Одна пушка 23-мм через вал редуктора мотора.</w:t>
      </w:r>
    </w:p>
    <w:p w14:paraId="06042D3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Запас снарядов — 100 шт.</w:t>
      </w:r>
    </w:p>
    <w:p w14:paraId="694678A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Вариант 2:</w:t>
      </w:r>
      <w:r w:rsidRPr="00DB5D0D">
        <w:rPr>
          <w:rFonts w:ascii="Times New Roman" w:hAnsi="Times New Roman"/>
          <w:color w:val="0070C0"/>
          <w:sz w:val="16"/>
          <w:szCs w:val="16"/>
        </w:rPr>
        <w:tab/>
        <w:t>2 синхронных пулемета 7,62 мм.</w:t>
      </w:r>
    </w:p>
    <w:p w14:paraId="4F8FA64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Запас патрон — 1200 шт.</w:t>
      </w:r>
    </w:p>
    <w:p w14:paraId="54EB35E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синхронных пулемета 12,7 мм.</w:t>
      </w:r>
    </w:p>
    <w:p w14:paraId="5E7EE02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Запас патрон — 500 шт.</w:t>
      </w:r>
    </w:p>
    <w:p w14:paraId="4469920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всех самолетах предусматривается съемная установка 8 шт. РС-82.</w:t>
      </w:r>
    </w:p>
    <w:p w14:paraId="2114054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перегрузочном варианте предусматривается подвеска 2 — ФАБ-100 или 4 — ФАБ-50, или 2 — ВАП’ов.</w:t>
      </w:r>
    </w:p>
    <w:p w14:paraId="181BAD3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Скоростные двухмоторные:</w:t>
      </w:r>
    </w:p>
    <w:p w14:paraId="78D00B5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Вариант 1:</w:t>
      </w:r>
      <w:r w:rsidRPr="00DB5D0D">
        <w:rPr>
          <w:rFonts w:ascii="Times New Roman" w:hAnsi="Times New Roman"/>
          <w:color w:val="0070C0"/>
          <w:sz w:val="16"/>
          <w:szCs w:val="16"/>
        </w:rPr>
        <w:tab/>
        <w:t>Две пушки 23-мм.</w:t>
      </w:r>
    </w:p>
    <w:p w14:paraId="604EE61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Запас снарядов — 240 шт.</w:t>
      </w:r>
    </w:p>
    <w:p w14:paraId="4DDDB4B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пулемета 7,62 мм.</w:t>
      </w:r>
    </w:p>
    <w:p w14:paraId="4D6B428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Запас патрон — 2000 шт.</w:t>
      </w:r>
    </w:p>
    <w:p w14:paraId="26E2F6C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Вариант 2:</w:t>
      </w:r>
      <w:r w:rsidRPr="00DB5D0D">
        <w:rPr>
          <w:rFonts w:ascii="Times New Roman" w:hAnsi="Times New Roman"/>
          <w:color w:val="0070C0"/>
          <w:sz w:val="16"/>
          <w:szCs w:val="16"/>
        </w:rPr>
        <w:tab/>
        <w:t>4 пулемета 12,7 мм.</w:t>
      </w:r>
    </w:p>
    <w:p w14:paraId="6C22E93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Запас патрон — 1600 шт.</w:t>
      </w:r>
    </w:p>
    <w:p w14:paraId="1258EB0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пушка 23-мм.</w:t>
      </w:r>
    </w:p>
    <w:p w14:paraId="783D002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Запас снарядов — 120 шт.</w:t>
      </w:r>
    </w:p>
    <w:p w14:paraId="573B89C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всех самолетах предусматривается установка 8 шт. PC-132 мм.</w:t>
      </w:r>
    </w:p>
    <w:p w14:paraId="22212E0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перегрузочном варианте предусматривается подвеска со съемными бомбодержателями 1 — ФАБ-500, или 2 — ФАБ-250, или 4 —</w:t>
      </w:r>
    </w:p>
    <w:p w14:paraId="6DEE6AE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ФАБ-100 для бомбометания с пикирования.</w:t>
      </w:r>
    </w:p>
    <w:p w14:paraId="6E87DC8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Бомбардировщики</w:t>
      </w:r>
    </w:p>
    <w:p w14:paraId="6D244BA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Ближние одномоторные двухместные</w:t>
      </w:r>
    </w:p>
    <w:p w14:paraId="24776EC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Стрелковое вооружение:</w:t>
      </w:r>
    </w:p>
    <w:p w14:paraId="14E1C72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синхронный пулемет 7,62 мм.</w:t>
      </w:r>
    </w:p>
    <w:p w14:paraId="34A1C42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Запас патрон — 600 шт.</w:t>
      </w:r>
    </w:p>
    <w:p w14:paraId="3CEE498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скорострельный пулемет 7,62 мм на турели (3000—3500 выстрелов в минуту).</w:t>
      </w:r>
    </w:p>
    <w:p w14:paraId="1C88BA6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Запас патрон — 1200 шт.</w:t>
      </w:r>
    </w:p>
    <w:p w14:paraId="4464F2B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Бомбардировочное вооружение:</w:t>
      </w:r>
    </w:p>
    <w:p w14:paraId="6FC1224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Нормальная внутренняя бомбовая нагрузка — 400—600 кг.</w:t>
      </w:r>
    </w:p>
    <w:p w14:paraId="5F4C49D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ФАБ-250 — 2 шт. (допускается наружная подвеска).</w:t>
      </w:r>
    </w:p>
    <w:p w14:paraId="0CBAA84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ФАБ-100 — 4 шт.</w:t>
      </w:r>
    </w:p>
    <w:p w14:paraId="6FD6BBC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ФАБ-50 - 8 шт.</w:t>
      </w:r>
    </w:p>
    <w:p w14:paraId="1BEFAC0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АО-25 - 20 шт.</w:t>
      </w:r>
    </w:p>
    <w:p w14:paraId="54A7221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АО-10 — 40 шт.</w:t>
      </w:r>
    </w:p>
    <w:p w14:paraId="2AD3CA3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АО-2,5 - 160 шт.</w:t>
      </w:r>
    </w:p>
    <w:p w14:paraId="1A023FA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ЗАБ-2,5 или ЗАБ-1 — 140—160 шт.</w:t>
      </w:r>
    </w:p>
    <w:p w14:paraId="634FE98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Химическое вооружение:</w:t>
      </w:r>
    </w:p>
    <w:p w14:paraId="0BBF3C1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2-ВАП - 200.</w:t>
      </w:r>
    </w:p>
    <w:p w14:paraId="4271C40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Химические] ампулы диаметром 125 мм или 265 мм (подвешиваются на тех же держателях, что и бомбы АО-2,5 и ЗАБ).</w:t>
      </w:r>
    </w:p>
    <w:p w14:paraId="21793F4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Средний двухмоторный</w:t>
      </w:r>
    </w:p>
    <w:p w14:paraId="437DED6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Стрелковое вооружение:</w:t>
      </w:r>
    </w:p>
    <w:p w14:paraId="510A258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Вперед[и] — 1 пулемет 7,62 мм, патрон — 500 шт. для штурманов.</w:t>
      </w:r>
    </w:p>
    <w:p w14:paraId="0D4E3EA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верхней средней установке — 1 пулемет 12,7 мм, патрон — 400 шт., и в нижней люковой установке — пулемет 7,62 мм с запасом патрон — 600 шт.</w:t>
      </w:r>
    </w:p>
    <w:p w14:paraId="0DC55BC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 таким вооружением иметь 50 % самолетов. На остальных 50 % самолетов вместо пулемета 12,7 мм оставить пулеметную спарку 7,6 мм.</w:t>
      </w:r>
    </w:p>
    <w:p w14:paraId="675E274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Бомбардировочное и химическое вооружение:</w:t>
      </w:r>
    </w:p>
    <w:p w14:paraId="2216782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Нормальная нагрузка — 1000 кг (внутренняя).</w:t>
      </w:r>
    </w:p>
    <w:p w14:paraId="530D7A4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Варианты нагрузки:</w:t>
      </w:r>
    </w:p>
    <w:p w14:paraId="4719533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ФАБ-1000 — 1 шт.</w:t>
      </w:r>
    </w:p>
    <w:p w14:paraId="3199E86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ФАБ-500 — 2 шт.</w:t>
      </w:r>
    </w:p>
    <w:p w14:paraId="7876851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ФАБ-200 — 4 шт.</w:t>
      </w:r>
    </w:p>
    <w:p w14:paraId="75DBFDD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4. ФАБ-100- 10 шт.</w:t>
      </w:r>
    </w:p>
    <w:p w14:paraId="13A54BE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ФАБ-50 — 20 шт.</w:t>
      </w:r>
    </w:p>
    <w:p w14:paraId="475E15C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АО-2,5 — 400 шт.</w:t>
      </w:r>
    </w:p>
    <w:p w14:paraId="7F75DE2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АО-10 — 80 шт.</w:t>
      </w:r>
    </w:p>
    <w:p w14:paraId="67D8C28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Химические] ампулы диаметром 125 мм и диаметром 265 мм.</w:t>
      </w:r>
    </w:p>
    <w:p w14:paraId="01AC9E9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В АП-500 - 2 шт.</w:t>
      </w:r>
    </w:p>
    <w:p w14:paraId="564C30D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Бомбардировщики дальнего действия</w:t>
      </w:r>
    </w:p>
    <w:p w14:paraId="43FA6DD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Экипаж — 4 человека.</w:t>
      </w:r>
    </w:p>
    <w:p w14:paraId="7955AC3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Стрелковое вооружение:</w:t>
      </w:r>
    </w:p>
    <w:p w14:paraId="66BDDB7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пулемета (спарка) 7,62 мм в передней установке для штурмана, запас патрон — 1000 шт.</w:t>
      </w:r>
    </w:p>
    <w:p w14:paraId="1C99DB6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Спарка на верхней и средней установке: 1 к.к. пулемет 12,7 мм, запас патрон — 400 шт. и 1 пулемет 7,62 мм, запас патрон — 1000 шт.</w:t>
      </w:r>
    </w:p>
    <w:p w14:paraId="55837AA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Спарка в люковой установке: 2 пулемета 7,62 мм, запас патрон — 1200 шт.</w:t>
      </w:r>
    </w:p>
    <w:p w14:paraId="3004356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Бомбардировочное вооружение:</w:t>
      </w:r>
    </w:p>
    <w:p w14:paraId="2C816BC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Нормальная бомбовая нагрузка — 1500 кг. Общая емкость бомбодержателей — 2000 кг.</w:t>
      </w:r>
    </w:p>
    <w:p w14:paraId="7C0FEC4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Варианты бомбовой нагрузки (нормальные):</w:t>
      </w:r>
    </w:p>
    <w:p w14:paraId="09E87B3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ФАБ-1000- 1 шт.</w:t>
      </w:r>
    </w:p>
    <w:p w14:paraId="36CAFC8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ФАБ-500 - 3 шт.</w:t>
      </w:r>
    </w:p>
    <w:p w14:paraId="2446152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ФАБ-250 — 6 шт.</w:t>
      </w:r>
    </w:p>
    <w:p w14:paraId="2FA5E0F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БРАБ-320 - 6 шт.</w:t>
      </w:r>
    </w:p>
    <w:p w14:paraId="09B44A3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ФАБ-100 — 15 шт.</w:t>
      </w:r>
    </w:p>
    <w:p w14:paraId="6490A5D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ЗАБ-200 - 30 шт.</w:t>
      </w:r>
    </w:p>
    <w:p w14:paraId="1C37960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ФАБ-50 - 30 шт.</w:t>
      </w:r>
    </w:p>
    <w:p w14:paraId="1B8371B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РРАБ № 2 - 6 шт.</w:t>
      </w:r>
    </w:p>
    <w:p w14:paraId="1CAE7E4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РРАБ № 3 - 6 шт.</w:t>
      </w:r>
    </w:p>
    <w:p w14:paraId="6D2E585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Зажигательные бомбы калибра от 10 до 2,5 кг общим весом до 1000 кг.</w:t>
      </w:r>
    </w:p>
    <w:p w14:paraId="2600859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УХАП-500 — 3 шт.</w:t>
      </w:r>
    </w:p>
    <w:p w14:paraId="7D12708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ВАП-500 - 3 шт.</w:t>
      </w:r>
    </w:p>
    <w:p w14:paraId="477420D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Химические ампулы — 265 мм и 125 мм.</w:t>
      </w:r>
    </w:p>
    <w:p w14:paraId="4D1BE53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Для ночного бомбометания сверх указанных бомб вариантов должны подвешиваться 4 — САБ-50, или 4 — САБ-25 и для пристрелки ОБ — 2 ПАБ-15.</w:t>
      </w:r>
    </w:p>
    <w:p w14:paraId="423643E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Г. Тяжелые бомбардировщики — многомоторные </w:t>
      </w:r>
    </w:p>
    <w:p w14:paraId="36D7E09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Экипаж — 7—8 человек.</w:t>
      </w:r>
    </w:p>
    <w:p w14:paraId="12CFDB5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Стрелковое и пушечное вооружение:</w:t>
      </w:r>
    </w:p>
    <w:p w14:paraId="4B1F8F2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Носовая установка — 7,62 мм пулемет с 750 шт. патронами.</w:t>
      </w:r>
    </w:p>
    <w:p w14:paraId="14C465A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Подфюзеляжная вперед — 7,62 мм пулемет с 750 патронами.</w:t>
      </w:r>
    </w:p>
    <w:p w14:paraId="4D7C62E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Средняя верхняя — 12,7 мм пулемет на турели с 350 патронами.</w:t>
      </w:r>
    </w:p>
    <w:p w14:paraId="37EB0A5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Хвостовая установка — 12,7 мм пулемет БС с ЗКО патронами.</w:t>
      </w:r>
    </w:p>
    <w:p w14:paraId="4EF87DF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Подшассийная установка — 2 7,62 мм пулемета по 750 патрон</w:t>
      </w:r>
    </w:p>
    <w:p w14:paraId="2E04C50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каждый.</w:t>
      </w:r>
    </w:p>
    <w:p w14:paraId="0807205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Бомбардировочное вооружение:</w:t>
      </w:r>
    </w:p>
    <w:p w14:paraId="146F928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Бомбовая нагрузка 2000 кг (внутренняя). Общая емкость 4000 кг.</w:t>
      </w:r>
    </w:p>
    <w:p w14:paraId="1755FDD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Бомбовые варианты:</w:t>
      </w:r>
    </w:p>
    <w:p w14:paraId="58F914E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 ФАБ-1000</w:t>
      </w:r>
    </w:p>
    <w:p w14:paraId="66A3A0E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 ФАБ-500</w:t>
      </w:r>
    </w:p>
    <w:p w14:paraId="2E61C17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—ФАБ-250</w:t>
      </w:r>
    </w:p>
    <w:p w14:paraId="77471D5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 РАБ № 2</w:t>
      </w:r>
    </w:p>
    <w:p w14:paraId="7E3D4DC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 РАБ № 3</w:t>
      </w:r>
    </w:p>
    <w:p w14:paraId="10DE782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 БРАБ-200</w:t>
      </w:r>
    </w:p>
    <w:p w14:paraId="41B36EE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 БРАБ-500</w:t>
      </w:r>
    </w:p>
    <w:p w14:paraId="1BB2FA8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 ФАБ-100</w:t>
      </w:r>
    </w:p>
    <w:p w14:paraId="3C42AA2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80 - ФАБ-50</w:t>
      </w:r>
    </w:p>
    <w:p w14:paraId="64862CC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80 — ЗАБ-50т.г.</w:t>
      </w:r>
    </w:p>
    <w:p w14:paraId="0A6F9D6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ночного бомбометания сверх указанных бомбовых вариантов должны подвешиваться 4 — САБ-50 или 4 — САБ-25.</w:t>
      </w:r>
    </w:p>
    <w:p w14:paraId="76F5BE6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Химическое вооружение:</w:t>
      </w:r>
    </w:p>
    <w:p w14:paraId="4C971EC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 ВАП-1000 или химические] баки емкостью на 2500 л ОБ.</w:t>
      </w:r>
    </w:p>
    <w:p w14:paraId="5C85C27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Хим[ические] ампулы — 125 и 265 [мм].</w:t>
      </w:r>
    </w:p>
    <w:p w14:paraId="128326B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транспортно-десантном варианте самолет должен брать следующую нагрузку: 50 чел. бойцов или груза 4000 кг, а также иметь оборудование на 20 мест для лежания для перевозки больных.</w:t>
      </w:r>
    </w:p>
    <w:p w14:paraId="4C70937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Штурмовики</w:t>
      </w:r>
    </w:p>
    <w:p w14:paraId="15D53DE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Одноместные одномоторные</w:t>
      </w:r>
    </w:p>
    <w:p w14:paraId="30B4975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Стрелковое вооружение:</w:t>
      </w:r>
    </w:p>
    <w:p w14:paraId="1B1DD47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вариант: 4 крыльевых пулемета 7,62 мм, патрон — 4000 шт.,</w:t>
      </w:r>
    </w:p>
    <w:p w14:paraId="626BE0F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пушка 23-мм через вал редуктора, снаряд[ов] — 120 шт.</w:t>
      </w:r>
    </w:p>
    <w:p w14:paraId="5FA275D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вариант: 2 пушки 23-мм крыльевых, снарядов — 240 шт., 2 синхронных пулемета 7,62 мм, патрон — 1500 шт.</w:t>
      </w:r>
    </w:p>
    <w:p w14:paraId="768F9A9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Бомбардировочное и химическое вооружение:</w:t>
      </w:r>
    </w:p>
    <w:p w14:paraId="7E2A526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Нормальный вариант нагрузки — 250 кг (внутренняя).</w:t>
      </w:r>
    </w:p>
    <w:p w14:paraId="38A7C7B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Варианты: 1) АО-25 — 10 шт.</w:t>
      </w:r>
    </w:p>
    <w:p w14:paraId="17A61F1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АО-20 - 10 шт.</w:t>
      </w:r>
    </w:p>
    <w:p w14:paraId="5B0353C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АО-10 — 20 шт.</w:t>
      </w:r>
    </w:p>
    <w:p w14:paraId="29B1C96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АО-2,5 — 100 шт.</w:t>
      </w:r>
    </w:p>
    <w:p w14:paraId="2487E1D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АО-8 - 30 шт.</w:t>
      </w:r>
    </w:p>
    <w:p w14:paraId="0BEFA6C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ФАБ-100-2 шт.</w:t>
      </w:r>
    </w:p>
    <w:p w14:paraId="03DE30E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ФАБ-250 - 1 шт.</w:t>
      </w:r>
    </w:p>
    <w:p w14:paraId="7E06FD7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ВАП-200 — 1 шт. с дополнительным прибором «ЗВ».</w:t>
      </w:r>
    </w:p>
    <w:p w14:paraId="6D3769A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УХАП-250 - 1 шт.</w:t>
      </w:r>
    </w:p>
    <w:p w14:paraId="01DCB27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РС-82- 10 шт.</w:t>
      </w:r>
    </w:p>
    <w:p w14:paraId="0AB82D4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Размещение экипажа на многоместных самолетах должно быть возможно компактным. Летчик и штурман должны быть обязательно расположены в одной кабине с обеспечением непосредственной связи между ними.</w:t>
      </w:r>
    </w:p>
    <w:p w14:paraId="56AD6AF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Считать необходимым все самолеты выпускать с проектированными баками и с заполненными нейтральными газами.</w:t>
      </w:r>
    </w:p>
    <w:p w14:paraId="55ED475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Существующий протектор является недостаточно надежным, а самолеты в противопожарном отношении не гарантируют безопасность полета в боевых условиях.</w:t>
      </w:r>
    </w:p>
    <w:p w14:paraId="0AD7637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Необходимо развернуть исследовательскую работу и испытания по изысканию более надежного протектора, заполнению баков нейтральным газом, устройству противопожарных перегородок и т. д.</w:t>
      </w:r>
    </w:p>
    <w:p w14:paraId="040FE4A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Создание боевых самолетов с герметическими кабинами должно послужить основой для развития сверхвысотной боевой авиации, а также в дальнейшем послужить базой для решения задачи постепенной замены боевых высотных самолетов с открытыми кабинами самолетами с герметическими кабинами. Для этой цели каждый из опытных самолетов истребителей, дальних бомбардировщиков и разведчиков в одном из экземпляров должны строиться с герметической кабиной.</w:t>
      </w:r>
    </w:p>
    <w:p w14:paraId="70C3063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Считать необходимым все самолеты выпускать полностью экранированными и металлизированными.</w:t>
      </w:r>
    </w:p>
    <w:p w14:paraId="04D29DB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Для обеспечения простоты пилотирования боевых самолетов должна быть обеспечена хорошая устойчивость на всех режимах полета.</w:t>
      </w:r>
    </w:p>
    <w:p w14:paraId="1EF9234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Тормозные приспособления на существующих боевых самолетах не удовлетворяют современным требованиям. Необходимо принять решительные меры к доводке тормозных приспособлений с тем, чтобы потребные размеры аэродромов для современных самолетов были максимально сокращены.</w:t>
      </w:r>
    </w:p>
    <w:p w14:paraId="56CA9A8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Раздел II</w:t>
      </w:r>
    </w:p>
    <w:p w14:paraId="3596268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Самолеты, оставляемые на вооружении; самолеты, подлежащие снятию с вооружения и передаче в учебные заведения и ОФИ </w:t>
      </w:r>
    </w:p>
    <w:p w14:paraId="5C51A0F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Самолеты И-153, И-16 [с моторами] М-62 и М-63, СБ, ДБ-3 — оставить на вооружении.</w:t>
      </w:r>
    </w:p>
    <w:p w14:paraId="429961A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Самолеты СБ с моторами М-100 (1378 шт.)’ по мере замены самолетами СБ-2 [с моторами] М-103 передать в вузы и резервные части.</w:t>
      </w:r>
    </w:p>
    <w:p w14:paraId="1144EEE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Самолеты И-16 с [моторами] М-25 двухпулеметные в количестве 1465 [шт.]’’ по мере замены их самолетами И-16 с М-63 обратить на укомплектование школ и резервных частей.</w:t>
      </w:r>
    </w:p>
    <w:p w14:paraId="1C8F0C6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Самолеты И-15-бис в количестве 1882 [шт.] по мере замены их с вооружения истребительных частей снять и обратить на укомплектование вузов, резервных частей и вооружение штурмовых частей.</w:t>
      </w:r>
    </w:p>
    <w:p w14:paraId="36DCCE5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Самолеты Р-5, ССС, P-Зет по мере замены обратить на укомплектование вузов.</w:t>
      </w:r>
    </w:p>
    <w:p w14:paraId="4FE505D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Самолеты ТБ-3 в количестве 606 [шт.], годных для полетов без капитального ремонта, оставить на вооружении как транспортные, остальные использовать на запасные части.</w:t>
      </w:r>
    </w:p>
    <w:p w14:paraId="201F182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Самолеты ДИ-6 в количестве 121 [шт.] оставить на вооружении одного полка в САВО, остальные использовать на запасные части.</w:t>
      </w:r>
    </w:p>
    <w:p w14:paraId="63EF39D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Самолеты ТБ-1 в количестве 66 [шт.] с вооружения снять, годные передать гражданским организациям, остальные — в ОФИ.</w:t>
      </w:r>
    </w:p>
    <w:p w14:paraId="6B8B79A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Самолеты Р-6 в количестве 167 [шт.] с вооружения снять, годные передать в гражданские организации, негодные — в ОФИ.</w:t>
      </w:r>
    </w:p>
    <w:p w14:paraId="60C6AF2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Самолеты Р-10 в количестве 356 [шт.] снять с вооружения и передать в вузы.</w:t>
      </w:r>
    </w:p>
    <w:p w14:paraId="4139F03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В текущем году перейти на выпуск модифицированных самолетов СБ (с моторами М-105, с радиаторами в крыле) со скоростью 485—500 км/ч.</w:t>
      </w:r>
    </w:p>
    <w:p w14:paraId="66C041C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Из числа проходящих испытания опытных самолетов принять в текущем году на вооружение и запустить в серийное производство лучшие по летным характеристикам:</w:t>
      </w:r>
    </w:p>
    <w:p w14:paraId="78A8F93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один тип истребителя с мотором воздушного охлаждения;</w:t>
      </w:r>
    </w:p>
    <w:p w14:paraId="056D7F1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один тип истребителя с мотором жидкостного охлаждения;</w:t>
      </w:r>
    </w:p>
    <w:p w14:paraId="54B21DA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истребитель двухмоторный одноместный;</w:t>
      </w:r>
    </w:p>
    <w:p w14:paraId="502775C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истребитель двухмоторный многоместный;</w:t>
      </w:r>
    </w:p>
    <w:p w14:paraId="14DDB69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один тип двухмоторного дальнего бомбардировщика;</w:t>
      </w:r>
    </w:p>
    <w:p w14:paraId="18B2CF9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ж) один тип пикирующего бомбардировщика;</w:t>
      </w:r>
    </w:p>
    <w:p w14:paraId="1ED3B78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 один тип штурмового бронированного самолета.</w:t>
      </w:r>
    </w:p>
    <w:p w14:paraId="3B350C7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Раздел III</w:t>
      </w:r>
    </w:p>
    <w:p w14:paraId="7D2CEBB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авиационным моторам</w:t>
      </w:r>
    </w:p>
    <w:p w14:paraId="3F5B3F7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Состояние нашего серийного моторостроения на май 1940 г. характеризуется отставанием его от передовых заграничных стран на 1,5—2 года (по основным данным) и значительно меньшим сроком службы, чем у заграничных моторов. Кроме того, даже в пределах этих сроков службы надежность наших моторов М-87 и М-62 — недостаточная.</w:t>
      </w:r>
    </w:p>
    <w:p w14:paraId="2A9F9C3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Моторы М-105 и М-88, внедряемые в настоящее время в серийное производство, и мотор М-63, внедряемый в настоящее время в эксплуатацию, по основным данным практически равноценны заграничным моторам «Даймлер-Бенц ДБ-601», последнему варианту «Пратт—Уитней», «Туин—Осп» и «Райт ДЖИ-205», выпускаемые в серии около 1,5 лет.</w:t>
      </w:r>
    </w:p>
    <w:p w14:paraId="4838C2D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обеспечения надежной работы этих моторов в эксплуатации необходимо устранить у мотора М-63 заклинивание втулки нижней головки главного шатуна, у мотора М-105 выбрасывание масла из картера и падение давления масла на высотах больше расчетной, у мотора М-88 уступы зеркала цилиндров и задир поршней при высоких температурах масла и головок цилиндров, а также доработать карбюраторы этих моторов (у М-88 и М-63 — по автоматике высотного корректора, у М-105 — по узлу поплавковой камеры). Доработку всех этих вопросов необходимо закончить не позднее 1 июля 1940 г.</w:t>
      </w:r>
    </w:p>
    <w:p w14:paraId="4497C2A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Решениями правительства был утвержден план постройки ряда мощных моторов (М-120, М-90, М-71, АМ-36, М-250 и М-300), которые должны были вывести наше моторостроение на уровень заграничного. Но сроки, установленные правительством по этим моторам, промышленностью не выполнены. Дальнейшая затяжка работ по их постройке и доводке может привести к тому, что наше отставание от заграницы по моторам не только не уменьшится, а еще и увеличится.</w:t>
      </w:r>
    </w:p>
    <w:p w14:paraId="0D12F62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Установить следующий типаж бензиновых моторов для ВВС Красной Армии на 1940—1943 гг.:</w:t>
      </w:r>
    </w:p>
    <w:p w14:paraId="2B7B0C1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80—120 л.с. (невысотный) для самолетов первоначального обучения;</w:t>
      </w:r>
    </w:p>
    <w:p w14:paraId="2A8ABB5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200—300 л.с. на высоте 2000—3000 м для тренировочной авиации и самолетов связи;</w:t>
      </w:r>
    </w:p>
    <w:p w14:paraId="274210A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1000—1200 л.с. на высоте 6000—8000 м для серийных истребителей и бомбардировщиков 1941—42 гг.;</w:t>
      </w:r>
    </w:p>
    <w:p w14:paraId="2C8505B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1500—2000 л.с. на высоте 6000—8000 м для серийных истребителей и бомбардировщиков 1941—42 гг.;</w:t>
      </w:r>
    </w:p>
    <w:p w14:paraId="063A43A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2500—3500 л.с. на высоте 8000—10000 м для серийных бомбардировщиков 1942—43 гг.</w:t>
      </w:r>
    </w:p>
    <w:p w14:paraId="0441702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Удельный вес моторов — не более 1,3 кг/л.с. для мощностей 80—120 л.с., не более 0,9 кг/л.с. для мощностей 200—300 л.с. и не более 0,5 кг/л.с. для мощностей 1000 л.с. и выше.</w:t>
      </w:r>
    </w:p>
    <w:p w14:paraId="5D77400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Удельный вес лоб-моторов жидкостного охлаждения для боевой авиации — не более 6 кв см/л.с. для мощности 1000-1500 л.с. и не более 5 кв см/л.с. для мощностей выше 1500 л.с.</w:t>
      </w:r>
    </w:p>
    <w:p w14:paraId="42E06CE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Габаритный диаметр моторов воздушного охлаждения для боевой авиации не более 1300 мм.</w:t>
      </w:r>
    </w:p>
    <w:p w14:paraId="36BE359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Удельный расход топлива на крейсерской мощности для моторов жидкостного охлаждения — не более 230 г/л.с.ч.</w:t>
      </w:r>
    </w:p>
    <w:p w14:paraId="3A1A44E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Удеальный расход топлива на крейсерской мощности для моторов воздушного охлаждения — не более 240 г/л.с.ч.</w:t>
      </w:r>
    </w:p>
    <w:p w14:paraId="1CD35A5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Топливо для моторов с мощностью 80-120 л.с. — автомобильный бензин с октановым числом не более 59.</w:t>
      </w:r>
    </w:p>
    <w:p w14:paraId="733CB8E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Октановое число топлив для моторов с мощностью от л.с. и выше не более 87 для мощностей 200—300 л.с. и не более 93 для мощностей 1000 л.с. и выше.</w:t>
      </w:r>
    </w:p>
    <w:p w14:paraId="7B8F64B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Срок службы моторов между переборками не менее 250 часов для мощностей 1000 л.с. и выше, не менее 300 часов для мощностей 200-300 л.с. и не менее 350 часов для мощностей 80—120 л.с.</w:t>
      </w:r>
    </w:p>
    <w:p w14:paraId="4716B93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Установить следующий типаж авиадизелей для ВВС Красной Армии на 1940—43 гг.:</w:t>
      </w:r>
    </w:p>
    <w:p w14:paraId="4DCD120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80—120 л.с. (не высотный) для самолетов первоначального обучения;</w:t>
      </w:r>
    </w:p>
    <w:p w14:paraId="4F39919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1000—1200 л.с. на высоте 6000—8000 м для серийных дальних бомбардировщиков и транспортных самолетов 1941—42 гг.;</w:t>
      </w:r>
    </w:p>
    <w:p w14:paraId="6E9297F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2000 л.с. на высоте 8000—10000 м для серийных дальних бомбардировщиков 1942—43 гг.</w:t>
      </w:r>
    </w:p>
    <w:p w14:paraId="08DD616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Удельный вес дизеля — не более 1,6 кг/л.с. для мощностей 80—120 л.с. и не более 0,8 кг/л.с. для мощностей 1000 л.с. и выше.</w:t>
      </w:r>
    </w:p>
    <w:p w14:paraId="2FEDC75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Удельный расход топлива на крейсерской мощности — не более 170 г/л.с.ч.</w:t>
      </w:r>
    </w:p>
    <w:p w14:paraId="50052D2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Основными работами по опытным бензиновым моторам на 1940 г. считать моторы: AM-37, АМ-36, М-120, М-170П, М-90, М-89, М-71 и М-300.</w:t>
      </w:r>
    </w:p>
    <w:p w14:paraId="71A2BF4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Просить Комитет Обороны при СНК Союза СССР обязать НКАП обеспечить доводку и удовлетворительное проведение госиспытаний этих моторов, кроме М-300, в 1940 г. и М-300 — к 1 апреля 1941 г. с тем, чтобы начать серийный выпуск этих моторов, кроме М-300, в первом квартале 1941 г. и М-300 — в третьем квартале 1941 г.</w:t>
      </w:r>
    </w:p>
    <w:p w14:paraId="0B91263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Работы по моторам М-88 без редуктора, М-88 и М-65, как не представляющие интереса для ВВС Красной Армии и отвлекающие внимание моторных заводов — прекратить.</w:t>
      </w:r>
    </w:p>
    <w:p w14:paraId="5A74E06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Раздел IV</w:t>
      </w:r>
    </w:p>
    <w:p w14:paraId="50D0CA7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Вооружение и боеприпасы</w:t>
      </w:r>
    </w:p>
    <w:p w14:paraId="74F53B2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Пулеметы калибра 7,62мм. Пулемет «ШКАС» в вариантах турельном, синхронном и крыльевом — оставить на вооружении. Однако, ввиду сложности его в эксплуатации и невозможности устранения в воздухе большинства задержек, формировать отработку и окончание испытаний более простого пулемета со скорострельностью 1800—2000 в/мин.</w:t>
      </w:r>
    </w:p>
    <w:p w14:paraId="7EEA6EC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Пулемет «Ультра-ШКАС, как неосвоенный в течение года в промышленности, с производства снять. Взамен его ввести на вооружение бомбардировочный пулемет «СН», как более простой и надежный, со скорострельностью 2800—3000 выстрелов в минуту. Одновременно с этим разработать синхронный вариант пулемета «СН».</w:t>
      </w:r>
    </w:p>
    <w:p w14:paraId="02A7AF1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Оставить на вооружении существующие типы боеприпасов к пулемету калибра 7,62 мм, а именно:</w:t>
      </w:r>
    </w:p>
    <w:p w14:paraId="75F3E7A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зажигательная пуля ПЗ;</w:t>
      </w:r>
    </w:p>
    <w:p w14:paraId="2909FE2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зажигательная пуля ЗБ-46;</w:t>
      </w:r>
    </w:p>
    <w:p w14:paraId="7F67257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бронебойно-зажигательная пуля Б-32;</w:t>
      </w:r>
    </w:p>
    <w:p w14:paraId="3314E1C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трассирующая пуля Т-46;</w:t>
      </w:r>
    </w:p>
    <w:p w14:paraId="43276FA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обыкновенная пуля.</w:t>
      </w:r>
    </w:p>
    <w:p w14:paraId="5AF449D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2. Пулеметы калибра 12,7мм. Синхронный пулемет Березина считать основным видом крупнокалиберного пулеметного вооружения истребителей.</w:t>
      </w:r>
    </w:p>
    <w:p w14:paraId="68C2937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месячный срок закончить испытания и ввести на вооружение турельный и крыльевой варианты пулемета Березина.</w:t>
      </w:r>
    </w:p>
    <w:p w14:paraId="0B9F9FC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Установить следующие виды боеприпасов к пулемету Березина:</w:t>
      </w:r>
    </w:p>
    <w:p w14:paraId="05C0AE6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разрывная зажигательная пуля МД;</w:t>
      </w:r>
    </w:p>
    <w:p w14:paraId="4BF009A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бронебойно-зажигательная пуля Б-32 и</w:t>
      </w:r>
    </w:p>
    <w:p w14:paraId="52AF09C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бронебойно-зажигательно-трассирующая пуля Б-3.</w:t>
      </w:r>
    </w:p>
    <w:p w14:paraId="20172DC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Поставить вопрос перед Правительством об увеличении заказа на пулю МД.</w:t>
      </w:r>
    </w:p>
    <w:p w14:paraId="3442EE6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Пушки калибра 20—23-мм. Ввиду неудовлетворительности баллистики 20-мм пушек ШВАК и маломощности ее снаряда по сравнению с 20-мм иностранными пушками, — в месячный срок испытать и ввести на вооружение 23-мм пушку из числа трех образцов (Таубина59, Волкова—Ярцева и Салищева—Галкина), находящихся на испытании. 23-мм пушку считать основным видом пушечного вооружения истребителей в вариантах: моторном, крыльевом и фюзеляжном.</w:t>
      </w:r>
    </w:p>
    <w:p w14:paraId="06C09C1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Установить следующие виды боеприпасов 23-мм пушки:</w:t>
      </w:r>
    </w:p>
    <w:p w14:paraId="2631F54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осколочно-зажигательный снаряд;</w:t>
      </w:r>
    </w:p>
    <w:p w14:paraId="659C72F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осколочно-трассирующий снаряд и</w:t>
      </w:r>
    </w:p>
    <w:p w14:paraId="3DF398C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бронебойно-зажигательный снаряд.</w:t>
      </w:r>
    </w:p>
    <w:p w14:paraId="4539718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До внедрения 23-мм пушки 20-[мм] пушку ШВАК оставить на вооружении в крыльевом, моторном и турельном вариантах. Вопрос о внедрении синхронного варианта решить после войсковых испытаний.</w:t>
      </w:r>
    </w:p>
    <w:p w14:paraId="47C4E9F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Пушки калибра 37-мм: Продолжить разработку 37-мм пушки с данными:</w:t>
      </w:r>
    </w:p>
    <w:p w14:paraId="68514D4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вес пушки — 150—160 кг;</w:t>
      </w:r>
    </w:p>
    <w:p w14:paraId="120D6EE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начальная скорость — 910—920 м/сек.</w:t>
      </w:r>
    </w:p>
    <w:p w14:paraId="2863BDC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скорострельность — 200 в/мин.</w:t>
      </w:r>
    </w:p>
    <w:p w14:paraId="15734CF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 снаряда — 0,7 кг.</w:t>
      </w:r>
    </w:p>
    <w:p w14:paraId="035B530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Одновременно разработать вариант 37-мм пушки с начальной скоростью 600—700 м/сек и весом ее не более 90 кг.</w:t>
      </w:r>
    </w:p>
    <w:p w14:paraId="618D041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Ракетные снаряды калибра 82 и 132 мм:</w:t>
      </w:r>
    </w:p>
    <w:p w14:paraId="79E2CA4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осколочно-фугасный снаряд калибра 82 мм считать основным видом крупнокалиберного вооружения истребителей.</w:t>
      </w:r>
    </w:p>
    <w:p w14:paraId="0C781E6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Параллельно разработать и испытать в 1940 г. зажигательный и бронебойный типы снарядов;</w:t>
      </w:r>
    </w:p>
    <w:p w14:paraId="7732357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ракетный осколочно-фугасный снаряд калибра 132 мм установить на вооружении двухмоторных истребителей и ближних бомбардировщиков;</w:t>
      </w:r>
    </w:p>
    <w:p w14:paraId="5C3937D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в качестве первоочередной задачи — закончить в 1940 г. разработку для ввода на вооружение трубки двойного действия (дистанционно-ударной) с установкой из кабины летчика;</w:t>
      </w:r>
    </w:p>
    <w:p w14:paraId="1A1F523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ввести на вооружение для стрельбы PC колиматорный прицел ПАН-2360.</w:t>
      </w:r>
    </w:p>
    <w:p w14:paraId="3EA233D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Стрелковые прицелы: Существующие стрелковые прицелы для неподвижных установок и турелей оставить на вооружении. Вместе с тем подготовить к вводу на вооружение колиматорный прицел с дневной просветкой для стрельбы с подвижных и неподвижных установок для последующей замены прицелов ПАК-1 и ОПТ-1.</w:t>
      </w:r>
    </w:p>
    <w:p w14:paraId="6FAC995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Прицелы бомбометания: Существующие типы бомбардировочных прицелов ОПБ-1 и ОПБ-2 оставить на вооружении. Дополнительно ввести на вооружение:</w:t>
      </w:r>
    </w:p>
    <w:p w14:paraId="4B83D30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для дальних бомбардировщиков синхронный прицел СПБ-21 (по типу СПЕРРИ);</w:t>
      </w:r>
    </w:p>
    <w:p w14:paraId="1B43C2B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для всех типов бомбардировщиков — ночной колиматорный прицел;</w:t>
      </w:r>
    </w:p>
    <w:p w14:paraId="11925E3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для пикирующих бомбардировщиков — колиматорный прицел ПАН-24.</w:t>
      </w:r>
    </w:p>
    <w:p w14:paraId="37346AF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Потребовать от промышленности, как первоочередную задачу, скорейшей разработки синхронного прицела с гировертикалью и гироскопического прицела для бомбометания с пикирования. Одновременно поставить задачу по уменьшению габаритов и упрощению прицела СПБ-21.</w:t>
      </w:r>
    </w:p>
    <w:p w14:paraId="70F89EE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Фугасные авиабомбы:</w:t>
      </w:r>
    </w:p>
    <w:p w14:paraId="0CF4286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установить следующие калибры фугасных бомб: ФАБ-1000, ФАБ-500, ФАБ-250, ФАБ-100, ФАБ-50. Принять соотношение (в штуках) между калибрами ФАБ-100 и ФАБ-50 как 3:1;</w:t>
      </w:r>
    </w:p>
    <w:p w14:paraId="0DBFE63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существующие типы фугасных бомб со взрывателем АПУВ и АВ-1 (для штурмовых действий) оставить на вооружении. Одновременно вести работы по увеличению фугасного действия фугасных бомб;</w:t>
      </w:r>
    </w:p>
    <w:p w14:paraId="15EEC4A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закончить испытания и подготовить к вводу на вооружение в 1940 г. взрыватель многочасового замедления (до 48 часов);</w:t>
      </w:r>
    </w:p>
    <w:p w14:paraId="03FB5F9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разработать мостовую фугасную авиабомбу калибра 250—500 кг;</w:t>
      </w:r>
    </w:p>
    <w:p w14:paraId="5D8ECF5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взрыватели АГП и АДП изъять из войсковых частей и разработать мероприятия по их использованию для учебных целей.</w:t>
      </w:r>
    </w:p>
    <w:p w14:paraId="4AB4176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Осколочные авиабомбы:</w:t>
      </w:r>
    </w:p>
    <w:p w14:paraId="79F21D4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установить следующие калибры осколочных авиабомб: АО-25, АО-10 и АО-2,5 со взрывателем АМ-а. Существующие типы осколочных авиабомб АО-10 и АО-2,5 из сталистого чугуна оставить на вооружении. Одновременно с этим использовать артиллерийские снаряды калибров 45 мм, 76 мм, 107 мм (стальные) и 122 мм (стальные) для переделки их в осколочные авиабомбы АО-2,5, АО-8, АО-20 и АО-25.</w:t>
      </w:r>
    </w:p>
    <w:p w14:paraId="585B529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закончить испытание и ввести в 1940 г. на вооружение для действий по танкам, бронемашинам и артиллерии 25-кг штатную осколочную авиабомбу (АО-25), после ее освоения снять с производства осколочную авиабомбу АО-15.</w:t>
      </w:r>
    </w:p>
    <w:p w14:paraId="427B49A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закончить в 1940 г. разработку и ускорить ввод на вооружение взрывателя с замедлением к осколочным бомбам для штурмового действия;</w:t>
      </w:r>
    </w:p>
    <w:p w14:paraId="0EC6A39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взрыватель АГМ-1 и АГМ-3 использовать только для бомбометания осколочными бомбами из РРАБ, для комплектации химических бомб и для бомбометания цементными бомбами.</w:t>
      </w:r>
    </w:p>
    <w:p w14:paraId="757E38E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Бронебойные и бетонобойные авиабомбы:</w:t>
      </w:r>
    </w:p>
    <w:p w14:paraId="065A1BD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ввести на вооружение для бомбометания с пикирования ракетные бронебойные и бетонобойные бомбы калибров: БРАБ-200 ДС, БРАБ-400 ДС, БРАБ-150ДСи БЕТАБ-600ДС;</w:t>
      </w:r>
    </w:p>
    <w:p w14:paraId="49E9B40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оставить на вооружении существующие типы обыкновенных бронебойных бомб БРАБ-1000 и БРАБ-500.</w:t>
      </w:r>
    </w:p>
    <w:p w14:paraId="25AC7CF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11. Зажигательные авиабомбы. Существующие типы зажигательных авиабомб: </w:t>
      </w:r>
    </w:p>
    <w:p w14:paraId="6542ABF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ЗАБ-1Э, ЗАБ-2,5, ЗАБ-ЮТГ и ЗАБ-50ТГ со взрывателем АГМ-16 и АМ-б оставить на вооружении.</w:t>
      </w:r>
    </w:p>
    <w:p w14:paraId="49CC820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Осветительные авиабомбы. Установить следующие калибры осветительных авиабомб: САБ-15, САБ-25, САБ-50 и ФОТАБ-35 (для ночной фотосъемки). В соответствии с этим:</w:t>
      </w:r>
    </w:p>
    <w:p w14:paraId="45A4B86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САБ-3 с производства снять, а имеющиеся запасы использовать для учебных целей;</w:t>
      </w:r>
    </w:p>
    <w:p w14:paraId="5B4254C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разработать и ввести в 1940 г. на вооружение САБ-50;</w:t>
      </w:r>
    </w:p>
    <w:p w14:paraId="1ABB339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ввести в 1940 г. на вооружение механическую трубку ТМ-24 (на 60 секунд) с ветрянкой;</w:t>
      </w:r>
    </w:p>
    <w:p w14:paraId="1AB6941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продолжить работу по повышению светосилы осветительных авиабомб.</w:t>
      </w:r>
    </w:p>
    <w:p w14:paraId="695B788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Химические авиабомбы и химическое вооружение.</w:t>
      </w:r>
    </w:p>
    <w:p w14:paraId="752C259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Установить следующие калибры химических авиабомб: ХАБ-500, ХАБ-200, ХАБ-100 и однолитровую химическую ампулу.</w:t>
      </w:r>
    </w:p>
    <w:p w14:paraId="39AAFB6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соответствии с этим, имеющиеся в запасах ХАБ-500, ХАБ-200 и ХАБ-25 оставить на вооружении, но ХАБ-25 в производстве прекратить и взамен ввести на вооружение и в производство ХАБ-100. В производстве перейти на изготовление модернизированных ХАБ-500 и ХАБ-200 (с повышенным содержанием ОВ);</w:t>
      </w:r>
    </w:p>
    <w:p w14:paraId="6F7C824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оставить на вооружении следующие типы химических приборов: ВАП-500, ВАП-200 и ВАП-6 и ввести на вооружение УХАП-500;</w:t>
      </w:r>
    </w:p>
    <w:p w14:paraId="169DC28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оставить на вооружении разливочную станцию АРС-6 для наполнения ВАП и ввести на вооружение разливочную станцию для наполнения ампул;</w:t>
      </w:r>
    </w:p>
    <w:p w14:paraId="3D3D1A8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курящуюся ядовито-дымовую бомбу не производить как неудовлетворительную по своим тактико-техническим свойствам. Имеющийся запас использовать.</w:t>
      </w:r>
    </w:p>
    <w:p w14:paraId="6C3054B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Ротативно-рассеивающие авиабомбы (РРАБ).</w:t>
      </w:r>
    </w:p>
    <w:p w14:paraId="152E9A8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Установить следующие типы РРАБ: РРАБ № 2 (вес снаряженной РРАБ — 500 кг), РРАБ № 3 (вес снаряженной РРАБ — 250 кг).</w:t>
      </w:r>
    </w:p>
    <w:p w14:paraId="37EA900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соответствии с этим оставить на вооружении и в производстве РРАБ № 2 и РРАБ № 3. РРАБ № 1 (вес снаряженной РРАБ — 1000 кг) не производить, а имеющийся запас оставить до полного использования.</w:t>
      </w:r>
    </w:p>
    <w:p w14:paraId="3CA4EAE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Форсировать работы по уменьшению габаритов всех типов авиабомб, в том числе и ракетных.</w:t>
      </w:r>
    </w:p>
    <w:p w14:paraId="1DD3C7B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По установкам вооружения на самолетах.</w:t>
      </w:r>
    </w:p>
    <w:p w14:paraId="60A20C6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Ввести на вооружение всех истребителей и штурмовиков пневмоспуска для неподвижных пулеметов и пушек.</w:t>
      </w:r>
    </w:p>
    <w:p w14:paraId="43C393F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Потребовать от промышленности выпуска опытных и серийных моторов с синхронизаторами под принятые на вооружение винты.</w:t>
      </w:r>
    </w:p>
    <w:p w14:paraId="4110CA9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Форсировать разработку синхронизаторов с автоматическим опережением.</w:t>
      </w:r>
    </w:p>
    <w:p w14:paraId="3C39DF5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Форсировать испытания и подготовить к вводу на вооружение турель со спаренными пулеметами ШКАС, одновременно с этим разработать и испытать турельную спаренную установку пулеметов ШКАС и Березина.</w:t>
      </w:r>
    </w:p>
    <w:p w14:paraId="133A2BE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Считать неотъемлемой частью вооружения бомбардировщиков — наличие огневых точек для защиты задней полусферы сверху и снизу.</w:t>
      </w:r>
    </w:p>
    <w:p w14:paraId="39B31D3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6) Потребовать от промышленности разработку стрелковых установок, управляемых на расстоянии.</w:t>
      </w:r>
    </w:p>
    <w:p w14:paraId="2774170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Считать неотъемлемой частью вооружения истребителей — бомбардировочное вооружение, в частности, установить бомбодержатели на истребителе И-16.</w:t>
      </w:r>
    </w:p>
    <w:p w14:paraId="2BA437C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Проектирование бомбардировщиков в отношении максимальной кассетной бомбовой нагрузки производить по количеству замков под ФАБ-50, а по габаритам и прочности по ФАБ-100.</w:t>
      </w:r>
    </w:p>
    <w:p w14:paraId="55FD2ED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Потребовать от промышленности ускорить разработку кассетного держателя для бомбометания с пикирования и наружного держателя с приспособлением для ввода бомбы из плоскости винта.</w:t>
      </w:r>
    </w:p>
    <w:p w14:paraId="6CFA4AD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Форсировать ввод на вооружение кассетных ящиков для мелких осколочных и зажигательных бомб.</w:t>
      </w:r>
    </w:p>
    <w:p w14:paraId="5914F88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Потребовать от промышленности ускорить установку одного пулемета вместо спарки в штурманской кабине СБ и установить прицел для ночного бомбометания (КНПБ-3).</w:t>
      </w:r>
    </w:p>
    <w:p w14:paraId="14906E7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Раздел V</w:t>
      </w:r>
    </w:p>
    <w:p w14:paraId="03EB00B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Спецоборудование самолетов</w:t>
      </w:r>
    </w:p>
    <w:p w14:paraId="6986F70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I. Радиооборудование</w:t>
      </w:r>
    </w:p>
    <w:p w14:paraId="79C0524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Самолетная приемно-передающие радиостанция:</w:t>
      </w:r>
      <w:r w:rsidRPr="00DB5D0D">
        <w:rPr>
          <w:rFonts w:ascii="Times New Roman" w:hAnsi="Times New Roman"/>
          <w:color w:val="0070C0"/>
          <w:sz w:val="16"/>
          <w:szCs w:val="16"/>
        </w:rPr>
        <w:tab/>
        <w:t>Оставить на вооружении с заменой соответственно:</w:t>
      </w:r>
    </w:p>
    <w:p w14:paraId="6221ACE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РСР-бис с приемником УС</w:t>
      </w:r>
      <w:r w:rsidRPr="00DB5D0D">
        <w:rPr>
          <w:rFonts w:ascii="Times New Roman" w:hAnsi="Times New Roman"/>
          <w:color w:val="0070C0"/>
          <w:sz w:val="16"/>
          <w:szCs w:val="16"/>
        </w:rPr>
        <w:tab/>
        <w:t>а) на РСР-1 с приемником УС-2 — с 1941 г.</w:t>
      </w:r>
    </w:p>
    <w:p w14:paraId="40F434C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РСБ с приемником УС</w:t>
      </w:r>
      <w:r w:rsidRPr="00DB5D0D">
        <w:rPr>
          <w:rFonts w:ascii="Times New Roman" w:hAnsi="Times New Roman"/>
          <w:color w:val="0070C0"/>
          <w:sz w:val="16"/>
          <w:szCs w:val="16"/>
        </w:rPr>
        <w:tab/>
        <w:t>б) на РСБ-бис, спаренной с СПУ-З бис — с IV кв. 1940 г.</w:t>
      </w:r>
    </w:p>
    <w:p w14:paraId="7398811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РСИ-3</w:t>
      </w:r>
      <w:r w:rsidRPr="00DB5D0D">
        <w:rPr>
          <w:rFonts w:ascii="Times New Roman" w:hAnsi="Times New Roman"/>
          <w:color w:val="0070C0"/>
          <w:sz w:val="16"/>
          <w:szCs w:val="16"/>
        </w:rPr>
        <w:tab/>
        <w:t>в) на РСИ-4 — с 1941 г.</w:t>
      </w:r>
    </w:p>
    <w:p w14:paraId="3C9E2DC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автономный приемник батарейного питания РСИ-3</w:t>
      </w:r>
      <w:r w:rsidRPr="00DB5D0D">
        <w:rPr>
          <w:rFonts w:ascii="Times New Roman" w:hAnsi="Times New Roman"/>
          <w:color w:val="0070C0"/>
          <w:sz w:val="16"/>
          <w:szCs w:val="16"/>
        </w:rPr>
        <w:tab/>
        <w:t>г) на автономный приемник РСИ-4 — с ГУ кв. 1940 г.</w:t>
      </w:r>
    </w:p>
    <w:p w14:paraId="1B4FB31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опытному строительству</w:t>
      </w:r>
    </w:p>
    <w:p w14:paraId="5B974EB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Самолетная приемно-передающая радиостанция РСР-2 разработки 2-го спецотдела НКВД</w:t>
      </w:r>
      <w:r w:rsidRPr="00DB5D0D">
        <w:rPr>
          <w:rFonts w:ascii="Times New Roman" w:hAnsi="Times New Roman"/>
          <w:color w:val="0070C0"/>
          <w:sz w:val="16"/>
          <w:szCs w:val="16"/>
        </w:rPr>
        <w:tab/>
        <w:t>Провести испытания в 1940 г. и в случае положительных результатов внедрить в серийное производство в 1941 г. для разведывательной и легомбардировочной авиации</w:t>
      </w:r>
    </w:p>
    <w:p w14:paraId="56B424B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Самолетная приемно-передающая радиостанция РСБ-2 разработки 2-го спецотдела НКВД</w:t>
      </w:r>
      <w:r w:rsidRPr="00DB5D0D">
        <w:rPr>
          <w:rFonts w:ascii="Times New Roman" w:hAnsi="Times New Roman"/>
          <w:color w:val="0070C0"/>
          <w:sz w:val="16"/>
          <w:szCs w:val="16"/>
        </w:rPr>
        <w:tab/>
        <w:t>То же для дальнебомбардировочной авиации</w:t>
      </w:r>
    </w:p>
    <w:p w14:paraId="57F05C1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Самолетная приемно-передающая радиостанция РСИ-6 на УКВ для истребителей</w:t>
      </w:r>
      <w:r w:rsidRPr="00DB5D0D">
        <w:rPr>
          <w:rFonts w:ascii="Times New Roman" w:hAnsi="Times New Roman"/>
          <w:color w:val="0070C0"/>
          <w:sz w:val="16"/>
          <w:szCs w:val="16"/>
        </w:rPr>
        <w:tab/>
        <w:t>Изготовить образцы в 1940 г. Провести государственные испытания и войсковые в 1941 г.</w:t>
      </w:r>
    </w:p>
    <w:p w14:paraId="3B09A44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Самолетная приемно-передающая радиостанция РСИ-5 (полностью кварцованная) для истребителей</w:t>
      </w:r>
      <w:r w:rsidRPr="00DB5D0D">
        <w:rPr>
          <w:rFonts w:ascii="Times New Roman" w:hAnsi="Times New Roman"/>
          <w:color w:val="0070C0"/>
          <w:sz w:val="16"/>
          <w:szCs w:val="16"/>
        </w:rPr>
        <w:tab/>
        <w:t>Изготовить образцы, провести государ- ственные и войсковые испытания в 1941 г.</w:t>
      </w:r>
    </w:p>
    <w:p w14:paraId="7BEF8A3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Земная мощная радиостанция для связи между аэродромами т. РА</w:t>
      </w:r>
      <w:r w:rsidRPr="00DB5D0D">
        <w:rPr>
          <w:rFonts w:ascii="Times New Roman" w:hAnsi="Times New Roman"/>
          <w:color w:val="0070C0"/>
          <w:sz w:val="16"/>
          <w:szCs w:val="16"/>
        </w:rPr>
        <w:tab/>
        <w:t>Закончить постройку опытного образца в 1940 г. и начать внедрение серию в 1941 г.</w:t>
      </w:r>
    </w:p>
    <w:p w14:paraId="2F970F3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II. Авиаприборы</w:t>
      </w:r>
    </w:p>
    <w:p w14:paraId="512F8EB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Авиасекстан АС</w:t>
      </w:r>
      <w:r w:rsidRPr="00DB5D0D">
        <w:rPr>
          <w:rFonts w:ascii="Times New Roman" w:hAnsi="Times New Roman"/>
          <w:color w:val="0070C0"/>
          <w:sz w:val="16"/>
          <w:szCs w:val="16"/>
        </w:rPr>
        <w:tab/>
        <w:t>Прекратить с III квартала 1940 г. снабже- ние секстаном самолетов в СБ, оставив АС только на дальних бомбардировщиках с последующей заменой его в 1942 г. на перископический секстан</w:t>
      </w:r>
    </w:p>
    <w:p w14:paraId="2882E53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Опытное строительство</w:t>
      </w:r>
    </w:p>
    <w:p w14:paraId="40A1181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Перископический панорамный авиасекстант</w:t>
      </w:r>
      <w:r w:rsidRPr="00DB5D0D">
        <w:rPr>
          <w:rFonts w:ascii="Times New Roman" w:hAnsi="Times New Roman"/>
          <w:color w:val="0070C0"/>
          <w:sz w:val="16"/>
          <w:szCs w:val="16"/>
        </w:rPr>
        <w:tab/>
        <w:t>Изготовить в 1941 г. по имеющемуся опытному образцу серию для войсковых испытаний. С 1942 г. ввести на вооруже- ние дальнебомбардировочной авиации</w:t>
      </w:r>
    </w:p>
    <w:p w14:paraId="7F254C3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Дистанционный компас в сочленении с задатчиком радиополукомпаса по типу немецкого</w:t>
      </w:r>
      <w:r w:rsidRPr="00DB5D0D">
        <w:rPr>
          <w:rFonts w:ascii="Times New Roman" w:hAnsi="Times New Roman"/>
          <w:color w:val="0070C0"/>
          <w:sz w:val="16"/>
          <w:szCs w:val="16"/>
        </w:rPr>
        <w:tab/>
        <w:t>Изготовить к 1.1.1941 г. опытный обра- зец и ввести на вооружение с 1942 г. для самолетов легкобомбардировочной и дальнебомбардировочной авиации</w:t>
      </w:r>
    </w:p>
    <w:p w14:paraId="54EAE15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Автоштурман</w:t>
      </w:r>
      <w:r w:rsidRPr="00DB5D0D">
        <w:rPr>
          <w:rFonts w:ascii="Times New Roman" w:hAnsi="Times New Roman"/>
          <w:color w:val="0070C0"/>
          <w:sz w:val="16"/>
          <w:szCs w:val="16"/>
        </w:rPr>
        <w:tab/>
        <w:t>Изготовить опытную серию в 1940 г. и провести войсковые испытания в первой половине 1941 г. В случае положительных результатов принять на вооружение тяжелобомбардировочной авиации.</w:t>
      </w:r>
    </w:p>
    <w:p w14:paraId="51D348A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III. Средства радионавигации и системы слепого расчета на посадку</w:t>
      </w:r>
    </w:p>
    <w:p w14:paraId="31961EA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Радиополукомпас РПК-2 (Найка)</w:t>
      </w:r>
      <w:r w:rsidRPr="00DB5D0D">
        <w:rPr>
          <w:rFonts w:ascii="Times New Roman" w:hAnsi="Times New Roman"/>
          <w:color w:val="0070C0"/>
          <w:sz w:val="16"/>
          <w:szCs w:val="16"/>
        </w:rPr>
        <w:tab/>
        <w:t>Оставить на вооружении для бомбарди- ровщиков с последующей заменой в 1941 г. на РПК-2 с радиоотметчиком.</w:t>
      </w:r>
    </w:p>
    <w:p w14:paraId="6722E88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Радиостанция РАФ (ЛАР) в качестве приводной</w:t>
      </w:r>
      <w:r w:rsidRPr="00DB5D0D">
        <w:rPr>
          <w:rFonts w:ascii="Times New Roman" w:hAnsi="Times New Roman"/>
          <w:color w:val="0070C0"/>
          <w:sz w:val="16"/>
          <w:szCs w:val="16"/>
        </w:rPr>
        <w:tab/>
        <w:t>Провести модернизацию в 1940 г. Оста- вить на вооружении с последующей заменой в 1941 г. на приводную аэродромную станцию ПАР</w:t>
      </w:r>
    </w:p>
    <w:p w14:paraId="413F402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Радиомаяк тип 13А-1</w:t>
      </w:r>
      <w:r w:rsidRPr="00DB5D0D">
        <w:rPr>
          <w:rFonts w:ascii="Times New Roman" w:hAnsi="Times New Roman"/>
          <w:color w:val="0070C0"/>
          <w:sz w:val="16"/>
          <w:szCs w:val="16"/>
        </w:rPr>
        <w:tab/>
        <w:t>Провести модернизацию в 1940 г. имею- щихся в ВВС радиомаяков 13А-1 и стро- ящихся. В дальнейшем (1941—42 гг.) за- менить на новый тип радиомаяка. Произ- водство 13А-1 с 1.1. 1941 г. прекратить</w:t>
      </w:r>
    </w:p>
    <w:p w14:paraId="328E2D4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Радиомаяк тип РАМ и РАМД</w:t>
      </w:r>
      <w:r w:rsidRPr="00DB5D0D">
        <w:rPr>
          <w:rFonts w:ascii="Times New Roman" w:hAnsi="Times New Roman"/>
          <w:color w:val="0070C0"/>
          <w:sz w:val="16"/>
          <w:szCs w:val="16"/>
        </w:rPr>
        <w:tab/>
        <w:t>Довести в 1940—41 гг. на имеющихся в ВВС маяках секретный курс. Дальнейшее производство радиомаяков РАМ, РАМД прекратить</w:t>
      </w:r>
    </w:p>
    <w:p w14:paraId="136CE83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Система слепого расчета на посадку тип «Ночь-1»</w:t>
      </w:r>
      <w:r w:rsidRPr="00DB5D0D">
        <w:rPr>
          <w:rFonts w:ascii="Times New Roman" w:hAnsi="Times New Roman"/>
          <w:color w:val="0070C0"/>
          <w:sz w:val="16"/>
          <w:szCs w:val="16"/>
        </w:rPr>
        <w:tab/>
        <w:t>В 1940 г. проверить широкими испытаниями в войсках</w:t>
      </w:r>
    </w:p>
    <w:p w14:paraId="54149E5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опытному строительству</w:t>
      </w:r>
    </w:p>
    <w:p w14:paraId="360BDAE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Радиополукомпас РПК-5 («Чижик»)</w:t>
      </w:r>
      <w:r w:rsidRPr="00DB5D0D">
        <w:rPr>
          <w:rFonts w:ascii="Times New Roman" w:hAnsi="Times New Roman"/>
          <w:color w:val="0070C0"/>
          <w:sz w:val="16"/>
          <w:szCs w:val="16"/>
        </w:rPr>
        <w:tab/>
        <w:t>Испытать образцы в 1940 г. и в случае положительных результатов принять на вооружение всех легких самолетов с 1941 г.</w:t>
      </w:r>
    </w:p>
    <w:p w14:paraId="7FD8D11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7.Подвижной радиомаяк «Колба»</w:t>
      </w:r>
      <w:r w:rsidRPr="00DB5D0D">
        <w:rPr>
          <w:rFonts w:ascii="Times New Roman" w:hAnsi="Times New Roman"/>
          <w:color w:val="0070C0"/>
          <w:sz w:val="16"/>
          <w:szCs w:val="16"/>
        </w:rPr>
        <w:tab/>
        <w:t>Построить опытный образец в 1940 г. и провести испытание. В случае положи- тельных результатов принять на воору- жение с 1941 г.</w:t>
      </w:r>
    </w:p>
    <w:p w14:paraId="3BD93F2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Приводная аэродромная радиостанция ПАР-1</w:t>
      </w:r>
      <w:r w:rsidRPr="00DB5D0D">
        <w:rPr>
          <w:rFonts w:ascii="Times New Roman" w:hAnsi="Times New Roman"/>
          <w:color w:val="0070C0"/>
          <w:sz w:val="16"/>
          <w:szCs w:val="16"/>
        </w:rPr>
        <w:tab/>
        <w:t>Изготовить опытный образец в 1940 г., испытать и внедрить в серию в 1941 г.</w:t>
      </w:r>
    </w:p>
    <w:p w14:paraId="1858D48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Система слепого расчета на посадку СПН-3 с использованием радиополукомпаса, радиоотметчиков и приводной радиостанции</w:t>
      </w:r>
      <w:r w:rsidRPr="00DB5D0D">
        <w:rPr>
          <w:rFonts w:ascii="Times New Roman" w:hAnsi="Times New Roman"/>
          <w:color w:val="0070C0"/>
          <w:sz w:val="16"/>
          <w:szCs w:val="16"/>
        </w:rPr>
        <w:tab/>
        <w:t>Провести в 1940 г. войсковые испытания</w:t>
      </w:r>
    </w:p>
    <w:p w14:paraId="22DED1B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Земная радиопеленгаторная приемно-передающая радиостанция на коротких волнах</w:t>
      </w:r>
      <w:r w:rsidRPr="00DB5D0D">
        <w:rPr>
          <w:rFonts w:ascii="Times New Roman" w:hAnsi="Times New Roman"/>
          <w:color w:val="0070C0"/>
          <w:sz w:val="16"/>
          <w:szCs w:val="16"/>
        </w:rPr>
        <w:tab/>
        <w:t>Провести в 1940 г. испытание закупае- мого в Германии образца сравнительно с имеющимся в ГВФ. В случае положи- тельных результатов построить опытную серию в 1941 г.</w:t>
      </w:r>
    </w:p>
    <w:p w14:paraId="5920C8B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Примечание: Кроме указанных образцов необходимо в интересах ВВС обеспечить:</w:t>
      </w:r>
    </w:p>
    <w:p w14:paraId="59C1609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в 1940 г. создание и доводку стационарного радиомаяка ГВФ без ночных ошибок с возможностью привода по радиополукомпасу;</w:t>
      </w:r>
    </w:p>
    <w:p w14:paraId="6AA32C3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w:t>
      </w:r>
      <w:r w:rsidRPr="00DB5D0D">
        <w:rPr>
          <w:rFonts w:ascii="Times New Roman" w:hAnsi="Times New Roman"/>
          <w:color w:val="0070C0"/>
          <w:sz w:val="16"/>
          <w:szCs w:val="16"/>
        </w:rPr>
        <w:tab/>
        <w:t>в 1941—43 гг. серийное производство и создание сети радиомаяков ГВФ по территории СССР с учетом нужд Военведа (для перебросок и внутренних полетов).</w:t>
      </w:r>
    </w:p>
    <w:p w14:paraId="10E5008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IV Аэрофотоаппараты</w:t>
      </w:r>
    </w:p>
    <w:p w14:paraId="3C51B86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Аэрофотоаппараты для плановой съемки АФА-1, АФА-И, НАФА-19 и для перспективной съемки АФА-27Т</w:t>
      </w:r>
      <w:r w:rsidRPr="00DB5D0D">
        <w:rPr>
          <w:rFonts w:ascii="Times New Roman" w:hAnsi="Times New Roman"/>
          <w:color w:val="0070C0"/>
          <w:sz w:val="16"/>
          <w:szCs w:val="16"/>
        </w:rPr>
        <w:tab/>
        <w:t>Оставить на вооружении с последующей заменой аппарата «АФА-1» на аппарат «АФА-20» с 1941 г.</w:t>
      </w:r>
    </w:p>
    <w:p w14:paraId="261CD35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Аэрофотоаппарат для плановой съемки АФА-Б</w:t>
      </w:r>
      <w:r w:rsidRPr="00DB5D0D">
        <w:rPr>
          <w:rFonts w:ascii="Times New Roman" w:hAnsi="Times New Roman"/>
          <w:color w:val="0070C0"/>
          <w:sz w:val="16"/>
          <w:szCs w:val="16"/>
        </w:rPr>
        <w:tab/>
        <w:t>Принять на вооружение для бомбардировщиков</w:t>
      </w:r>
    </w:p>
    <w:p w14:paraId="3AE55F3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Аэрофотоаппараты старых типов ПОТТЕ-1, —2, -1а, -16 и перспек- тивный АФА-24</w:t>
      </w:r>
      <w:r w:rsidRPr="00DB5D0D">
        <w:rPr>
          <w:rFonts w:ascii="Times New Roman" w:hAnsi="Times New Roman"/>
          <w:color w:val="0070C0"/>
          <w:sz w:val="16"/>
          <w:szCs w:val="16"/>
        </w:rPr>
        <w:tab/>
        <w:t>С вооружения ВВС снять как устаревшие и передать в ОФИ</w:t>
      </w:r>
    </w:p>
    <w:p w14:paraId="0C8399C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опытному строительству</w:t>
      </w:r>
    </w:p>
    <w:p w14:paraId="2FB023D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Аэрофотоаппарат для плановой съемки АФА-30</w:t>
      </w:r>
      <w:r w:rsidRPr="00DB5D0D">
        <w:rPr>
          <w:rFonts w:ascii="Times New Roman" w:hAnsi="Times New Roman"/>
          <w:color w:val="0070C0"/>
          <w:sz w:val="16"/>
          <w:szCs w:val="16"/>
        </w:rPr>
        <w:tab/>
        <w:t>Провести в 1940 г. войсковые испытания</w:t>
      </w:r>
    </w:p>
    <w:p w14:paraId="135CBFB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Аэрофотоаппарат для непрерывной плановой съемки тип «2Щ»</w:t>
      </w:r>
      <w:r w:rsidRPr="00DB5D0D">
        <w:rPr>
          <w:rFonts w:ascii="Times New Roman" w:hAnsi="Times New Roman"/>
          <w:color w:val="0070C0"/>
          <w:sz w:val="16"/>
          <w:szCs w:val="16"/>
        </w:rPr>
        <w:tab/>
        <w:t>Закончить опытный образец и провести испытания в 1940 г. В случае положи- тельных результатов заказать опытную партию в 1941 г.</w:t>
      </w:r>
    </w:p>
    <w:p w14:paraId="683273B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V. Походные фотолаборатории</w:t>
      </w:r>
    </w:p>
    <w:p w14:paraId="728E16D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Походные аэрофотолаборатории двух-машинного и трех-машинного состава на ГАЗ-ЗА</w:t>
      </w:r>
      <w:r w:rsidRPr="00DB5D0D">
        <w:rPr>
          <w:rFonts w:ascii="Times New Roman" w:hAnsi="Times New Roman"/>
          <w:color w:val="0070C0"/>
          <w:sz w:val="16"/>
          <w:szCs w:val="16"/>
        </w:rPr>
        <w:tab/>
        <w:t>Оставить на вооружении</w:t>
      </w:r>
    </w:p>
    <w:p w14:paraId="500EE40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опытному строительству</w:t>
      </w:r>
      <w:r w:rsidRPr="00DB5D0D">
        <w:rPr>
          <w:rFonts w:ascii="Times New Roman" w:hAnsi="Times New Roman"/>
          <w:color w:val="0070C0"/>
          <w:sz w:val="16"/>
          <w:szCs w:val="16"/>
        </w:rPr>
        <w:tab/>
      </w:r>
    </w:p>
    <w:p w14:paraId="664F147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Аэрофотолаборатория подвижная на 5—6 прицепов для фотограмцентра штаба армии на тракторной тяге</w:t>
      </w:r>
      <w:r w:rsidRPr="00DB5D0D">
        <w:rPr>
          <w:rFonts w:ascii="Times New Roman" w:hAnsi="Times New Roman"/>
          <w:color w:val="0070C0"/>
          <w:sz w:val="16"/>
          <w:szCs w:val="16"/>
        </w:rPr>
        <w:tab/>
        <w:t>Изготовить опытные образцы в 1941 г. и провести испытание</w:t>
      </w:r>
    </w:p>
    <w:p w14:paraId="02D037D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Аэрофотолаборатория для фотограмцентра штаба фронта в разборных перевозных домиках</w:t>
      </w:r>
      <w:r w:rsidRPr="00DB5D0D">
        <w:rPr>
          <w:rFonts w:ascii="Times New Roman" w:hAnsi="Times New Roman"/>
          <w:color w:val="0070C0"/>
          <w:sz w:val="16"/>
          <w:szCs w:val="16"/>
        </w:rPr>
        <w:tab/>
        <w:t>Изготовить опытные образцы в 1941 г. и провести испытание</w:t>
      </w:r>
    </w:p>
    <w:p w14:paraId="08FA6E6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Телевизионная самолетная установка типа «Доломит»</w:t>
      </w:r>
      <w:r w:rsidRPr="00DB5D0D">
        <w:rPr>
          <w:rFonts w:ascii="Times New Roman" w:hAnsi="Times New Roman"/>
          <w:color w:val="0070C0"/>
          <w:sz w:val="16"/>
          <w:szCs w:val="16"/>
        </w:rPr>
        <w:tab/>
        <w:t>Изготовить опытный образец в весе не более 80 г в 1941 г. и провести испытание</w:t>
      </w:r>
    </w:p>
    <w:p w14:paraId="0A6A033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Самолетный бильдаппарат для передачи по радио изображения и фотоснимков на землю</w:t>
      </w:r>
      <w:r w:rsidRPr="00DB5D0D">
        <w:rPr>
          <w:rFonts w:ascii="Times New Roman" w:hAnsi="Times New Roman"/>
          <w:color w:val="0070C0"/>
          <w:sz w:val="16"/>
          <w:szCs w:val="16"/>
        </w:rPr>
        <w:tab/>
        <w:t>Изготовить в 1941 г. опытный образец и провести испытание</w:t>
      </w:r>
    </w:p>
    <w:p w14:paraId="200B373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VI. Метеослужба</w:t>
      </w:r>
    </w:p>
    <w:p w14:paraId="6952BB9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Походная метеостанция на шасси</w:t>
      </w:r>
      <w:r w:rsidRPr="00DB5D0D">
        <w:rPr>
          <w:rFonts w:ascii="Times New Roman" w:hAnsi="Times New Roman"/>
          <w:color w:val="0070C0"/>
          <w:sz w:val="16"/>
          <w:szCs w:val="16"/>
        </w:rPr>
        <w:tab/>
        <w:t>Оставить на вооружении ЗИС-5</w:t>
      </w:r>
      <w:r w:rsidRPr="00DB5D0D">
        <w:rPr>
          <w:rFonts w:ascii="Times New Roman" w:hAnsi="Times New Roman"/>
          <w:color w:val="0070C0"/>
          <w:sz w:val="16"/>
          <w:szCs w:val="16"/>
        </w:rPr>
        <w:tab/>
      </w:r>
    </w:p>
    <w:p w14:paraId="25F344A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VII. Прожекторные посадочные и маячные станции</w:t>
      </w:r>
    </w:p>
    <w:p w14:paraId="009EA33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Прожекторная посадочная станция АП-4 и маячно-посадочная станция ПС-6</w:t>
      </w:r>
      <w:r w:rsidRPr="00DB5D0D">
        <w:rPr>
          <w:rFonts w:ascii="Times New Roman" w:hAnsi="Times New Roman"/>
          <w:color w:val="0070C0"/>
          <w:sz w:val="16"/>
          <w:szCs w:val="16"/>
        </w:rPr>
        <w:tab/>
        <w:t>Оставить на вооружении</w:t>
      </w:r>
    </w:p>
    <w:p w14:paraId="60E89DA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Зарядная автомобильная станция АЗС-1 для зарядки аккумулятора</w:t>
      </w:r>
      <w:r w:rsidRPr="00DB5D0D">
        <w:rPr>
          <w:rFonts w:ascii="Times New Roman" w:hAnsi="Times New Roman"/>
          <w:color w:val="0070C0"/>
          <w:sz w:val="16"/>
          <w:szCs w:val="16"/>
        </w:rPr>
        <w:tab/>
        <w:t>Принять на вооружение</w:t>
      </w:r>
    </w:p>
    <w:p w14:paraId="56F497E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Электроагрегат 18-ЗС-1 для зарядки аккумуляторов</w:t>
      </w:r>
      <w:r w:rsidRPr="00DB5D0D">
        <w:rPr>
          <w:rFonts w:ascii="Times New Roman" w:hAnsi="Times New Roman"/>
          <w:color w:val="0070C0"/>
          <w:sz w:val="16"/>
          <w:szCs w:val="16"/>
        </w:rPr>
        <w:tab/>
        <w:t>Оставить на вооружении с последующей заменой 12-квт агрегатами с двигателем ГАЗ в 1941 г.</w:t>
      </w:r>
    </w:p>
    <w:p w14:paraId="0074AA3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Примечание: В интересах ВВС Красной Армии должно быть развито ночное оборудование линии ГВФ по образцам, разработанным к настоящему времени ГВФ и согласованными с ВВС Красной Армии.</w:t>
      </w:r>
    </w:p>
    <w:p w14:paraId="16B2373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VIII. Автопилоты</w:t>
      </w:r>
    </w:p>
    <w:p w14:paraId="4DFD779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Автопилот т. АПГ-1</w:t>
      </w:r>
      <w:r w:rsidRPr="00DB5D0D">
        <w:rPr>
          <w:rFonts w:ascii="Times New Roman" w:hAnsi="Times New Roman"/>
          <w:color w:val="0070C0"/>
          <w:sz w:val="16"/>
          <w:szCs w:val="16"/>
        </w:rPr>
        <w:tab/>
        <w:t>Принять на вооружение с 1940 г. для са- молетов дальней бомбардировочной авиа- ции. Образец прошел войсковые испытания</w:t>
      </w:r>
    </w:p>
    <w:p w14:paraId="0FE2118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2. Автопилот т. АК-1</w:t>
      </w:r>
      <w:r w:rsidRPr="00DB5D0D">
        <w:rPr>
          <w:rFonts w:ascii="Times New Roman" w:hAnsi="Times New Roman"/>
          <w:color w:val="0070C0"/>
          <w:sz w:val="16"/>
          <w:szCs w:val="16"/>
        </w:rPr>
        <w:tab/>
        <w:t>Принять на вооружение с 1941 г. для са- молетов скоростной легкобомбардиро- вочной авиации в случае благоприятных войсковых испытаний в 1940 г.</w:t>
      </w:r>
    </w:p>
    <w:p w14:paraId="6EC6F0E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Опытное строительство</w:t>
      </w:r>
      <w:r w:rsidRPr="00DB5D0D">
        <w:rPr>
          <w:rFonts w:ascii="Times New Roman" w:hAnsi="Times New Roman"/>
          <w:color w:val="0070C0"/>
          <w:sz w:val="16"/>
          <w:szCs w:val="16"/>
        </w:rPr>
        <w:tab/>
      </w:r>
    </w:p>
    <w:p w14:paraId="6113F89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Подвижная поверочная установка для автопилотов АПГ-1 и АК-1 и прочего оборудования для самолетов</w:t>
      </w:r>
      <w:r w:rsidRPr="00DB5D0D">
        <w:rPr>
          <w:rFonts w:ascii="Times New Roman" w:hAnsi="Times New Roman"/>
          <w:color w:val="0070C0"/>
          <w:sz w:val="16"/>
          <w:szCs w:val="16"/>
        </w:rPr>
        <w:tab/>
        <w:t>Изготовить опытный образец в 1941 г.</w:t>
      </w:r>
    </w:p>
    <w:p w14:paraId="5633FD9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IX. Самолетные кислородные приборы</w:t>
      </w:r>
    </w:p>
    <w:p w14:paraId="239449B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Кислородный прибор КПА-1 с кислородной маской открытого типа</w:t>
      </w:r>
      <w:r w:rsidRPr="00DB5D0D">
        <w:rPr>
          <w:rFonts w:ascii="Times New Roman" w:hAnsi="Times New Roman"/>
          <w:color w:val="0070C0"/>
          <w:sz w:val="16"/>
          <w:szCs w:val="16"/>
        </w:rPr>
        <w:tab/>
        <w:t>С вооружения снять</w:t>
      </w:r>
    </w:p>
    <w:p w14:paraId="0ADC023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Кислородный прибор КПА-Збис</w:t>
      </w:r>
      <w:r w:rsidRPr="00DB5D0D">
        <w:rPr>
          <w:rFonts w:ascii="Times New Roman" w:hAnsi="Times New Roman"/>
          <w:color w:val="0070C0"/>
          <w:sz w:val="16"/>
          <w:szCs w:val="16"/>
        </w:rPr>
        <w:tab/>
        <w:t>Оставить на вооружении с последую щей заменой в 1941 г. на прибор в компактном корпусе</w:t>
      </w:r>
    </w:p>
    <w:p w14:paraId="354DB59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Кислородная полумаска ПМ-1 с резиновым морозостойким шлангом</w:t>
      </w:r>
      <w:r w:rsidRPr="00DB5D0D">
        <w:rPr>
          <w:rFonts w:ascii="Times New Roman" w:hAnsi="Times New Roman"/>
          <w:color w:val="0070C0"/>
          <w:sz w:val="16"/>
          <w:szCs w:val="16"/>
        </w:rPr>
        <w:tab/>
        <w:t>Принять на вооружение. Произвести последующую модернизацию в опытной серии на электрообогрев к концу 1940 г.</w:t>
      </w:r>
    </w:p>
    <w:p w14:paraId="013B87B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Кислородный прибор — легочный автомат КПЛ-1</w:t>
      </w:r>
      <w:r w:rsidRPr="00DB5D0D">
        <w:rPr>
          <w:rFonts w:ascii="Times New Roman" w:hAnsi="Times New Roman"/>
          <w:color w:val="0070C0"/>
          <w:sz w:val="16"/>
          <w:szCs w:val="16"/>
        </w:rPr>
        <w:tab/>
        <w:t>Провести войсковые испытания в 1940 г. и в случае положительных результатов ввести на вооружение с 1941 г.</w:t>
      </w:r>
    </w:p>
    <w:p w14:paraId="63D263F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X. Средства по добыче кислорода</w:t>
      </w:r>
    </w:p>
    <w:p w14:paraId="1952484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Жел[езно]дорожная кислородная установка В-3</w:t>
      </w:r>
      <w:r w:rsidRPr="00DB5D0D">
        <w:rPr>
          <w:rFonts w:ascii="Times New Roman" w:hAnsi="Times New Roman"/>
          <w:color w:val="0070C0"/>
          <w:sz w:val="16"/>
          <w:szCs w:val="16"/>
        </w:rPr>
        <w:tab/>
        <w:t>Оставить на вооружении</w:t>
      </w:r>
    </w:p>
    <w:p w14:paraId="04AAFA8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Автомобильная кислородная установка АК-0,5</w:t>
      </w:r>
      <w:r w:rsidRPr="00DB5D0D">
        <w:rPr>
          <w:rFonts w:ascii="Times New Roman" w:hAnsi="Times New Roman"/>
          <w:color w:val="0070C0"/>
          <w:sz w:val="16"/>
          <w:szCs w:val="16"/>
        </w:rPr>
        <w:tab/>
        <w:t>Принять на вооружение</w:t>
      </w:r>
    </w:p>
    <w:p w14:paraId="2E58B0E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Стационарная кислородная установка тип СК-0,5</w:t>
      </w:r>
      <w:r w:rsidRPr="00DB5D0D">
        <w:rPr>
          <w:rFonts w:ascii="Times New Roman" w:hAnsi="Times New Roman"/>
          <w:color w:val="0070C0"/>
          <w:sz w:val="16"/>
          <w:szCs w:val="16"/>
        </w:rPr>
        <w:tab/>
        <w:t>Оставить на вооружении</w:t>
      </w:r>
    </w:p>
    <w:p w14:paraId="1B8774C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опытному строительству</w:t>
      </w:r>
      <w:r w:rsidRPr="00DB5D0D">
        <w:rPr>
          <w:rFonts w:ascii="Times New Roman" w:hAnsi="Times New Roman"/>
          <w:color w:val="0070C0"/>
          <w:sz w:val="16"/>
          <w:szCs w:val="16"/>
        </w:rPr>
        <w:tab/>
      </w:r>
    </w:p>
    <w:p w14:paraId="369878A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Автомобильная кислородная установка — тип АК-25 по методу академика Капицы</w:t>
      </w:r>
      <w:r w:rsidRPr="00DB5D0D">
        <w:rPr>
          <w:rFonts w:ascii="Times New Roman" w:hAnsi="Times New Roman"/>
          <w:color w:val="0070C0"/>
          <w:sz w:val="16"/>
          <w:szCs w:val="16"/>
        </w:rPr>
        <w:tab/>
        <w:t>Построить опытные образцы в 1940 г. и испытать</w:t>
      </w:r>
    </w:p>
    <w:p w14:paraId="1259372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Подвижная кислородная зарядная станция для зарядки баллонов на борту самолета</w:t>
      </w:r>
      <w:r w:rsidRPr="00DB5D0D">
        <w:rPr>
          <w:rFonts w:ascii="Times New Roman" w:hAnsi="Times New Roman"/>
          <w:color w:val="0070C0"/>
          <w:sz w:val="16"/>
          <w:szCs w:val="16"/>
        </w:rPr>
        <w:tab/>
        <w:t>Построить опытные образцы в 1940 г. и испытать</w:t>
      </w:r>
    </w:p>
    <w:p w14:paraId="03A655A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Раздел VI</w:t>
      </w:r>
    </w:p>
    <w:p w14:paraId="1F31744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средствам аэродромной механизации</w:t>
      </w:r>
    </w:p>
    <w:p w14:paraId="4746F55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Средства заправки самолетов.</w:t>
      </w:r>
    </w:p>
    <w:p w14:paraId="083E651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Водомаслозаправщик BM3-38 оставить на вооружении. Необходимо работать над новой конструкцией водомаслозаправщика, в которой предусмотреть:</w:t>
      </w:r>
    </w:p>
    <w:p w14:paraId="5CB816F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повышение температуры нагрева масла 120—150°;</w:t>
      </w:r>
    </w:p>
    <w:p w14:paraId="1D54E64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раздельный нагрев масла и воды;</w:t>
      </w:r>
    </w:p>
    <w:p w14:paraId="5D12291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установку насосов, обеспечивающих подсос воды и масла.</w:t>
      </w:r>
    </w:p>
    <w:p w14:paraId="1CC07E7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Водомаслозаправщик BM3-34 и BM3-35 и водомаслотермос ВМТ-35 снять с производства и снабжения, оставив в эксплуатации в частях до их износа.</w:t>
      </w:r>
    </w:p>
    <w:p w14:paraId="1FC0DD9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Маслозаправщик M3-38 оставить на вооружении.</w:t>
      </w:r>
    </w:p>
    <w:p w14:paraId="4501F0CD"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Бензозаправщик БЗ-35 оставить на вооружении.</w:t>
      </w:r>
    </w:p>
    <w:p w14:paraId="767FC77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Бензозаправщик БЗ-38 оставить на вооружении для истребительной авиации.</w:t>
      </w:r>
    </w:p>
    <w:p w14:paraId="1F149FD0"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Бензозаправщик БЗ-39 изготовить установочную серию для проведения широких войсковых испытаний в 1940 г., для чего необходимо выделить производственную базу.</w:t>
      </w:r>
    </w:p>
    <w:p w14:paraId="7543B83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Съемная бензоцистерна на шасси ЗИС-5 СБЦ — принять на вооружение.</w:t>
      </w:r>
    </w:p>
    <w:p w14:paraId="41FF050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Бензозаправщик БЗ-34 снять с вооружения.</w:t>
      </w:r>
    </w:p>
    <w:p w14:paraId="6F70988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Бензоприцеп Б-35 и съемная бензоцистерна на прицепе — с производства снять, оставив в частях до износа.</w:t>
      </w:r>
    </w:p>
    <w:p w14:paraId="4D97B18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Бензоприцеп на гусеничном ходу к трактору на 4-5 тонн спроектировать и построить опытный образец в 1940 г.</w:t>
      </w:r>
    </w:p>
    <w:p w14:paraId="4F83780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средствам выпуска моторов.</w:t>
      </w:r>
    </w:p>
    <w:p w14:paraId="01A00CB8"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Автостартер АС-2 оставить на вооружении. Автостартер для моторов больших мощностей (1000-1500 л.с.) спроектировать с повышенной проходимостью и построить опытный образец в 1940 г.</w:t>
      </w:r>
    </w:p>
    <w:p w14:paraId="7414AB7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Авиакомпрессорную станцию АКС-2 оставить на вооружении. Авиастартеры на танкетке Т-27 с производства и снабжения снять, а имеющиеся передать обратно в АЮТУ и сдать в ОФИ.</w:t>
      </w:r>
    </w:p>
    <w:p w14:paraId="5802A5A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средствам подогорева моторов.</w:t>
      </w:r>
    </w:p>
    <w:p w14:paraId="789B0B7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Подогореватели ППМ-6, ППБ-2М снять с производства и вооружения.</w:t>
      </w:r>
    </w:p>
    <w:p w14:paraId="6F135C0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Подогреватели ПБММ с мотором М-3 и ПМЖ-2 снять с вооружения. Арктическую подогревательную лампу АПЛ-1 и РП-2 с ручным приводом принять на вооружение, снабдив все самолеты.</w:t>
      </w:r>
    </w:p>
    <w:p w14:paraId="54BE27D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вспомогательным средствам аэродромной службы.</w:t>
      </w:r>
    </w:p>
    <w:p w14:paraId="1E0A94C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Автоводополивщик оставить на вооружении.</w:t>
      </w:r>
    </w:p>
    <w:p w14:paraId="16FB83C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Подвижной подъемный кран ПП-К-35 оставить на вооружении.</w:t>
      </w:r>
    </w:p>
    <w:p w14:paraId="49FBDE3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Подвижной подъемный тракторный кран завода «Январей» на шасси ЗИС-5 ввести на вооружение.</w:t>
      </w:r>
    </w:p>
    <w:p w14:paraId="5E89755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Разборную треногу с талью ввести на вооружение.</w:t>
      </w:r>
    </w:p>
    <w:p w14:paraId="5A66963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Аэросани пассажирские оставить на вооружении. Необходимо заменить воздушный мотор на водяной.</w:t>
      </w:r>
    </w:p>
    <w:p w14:paraId="2C9E9EF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Аэросани санитарные оставить на вооружении, заменив воздушный мотор на водяной.</w:t>
      </w:r>
    </w:p>
    <w:p w14:paraId="5C464146"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Подвижные авиамастерские ПАРМ-1 оставить на вооружении.</w:t>
      </w:r>
    </w:p>
    <w:p w14:paraId="0E4313D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Подвижные авиамастерские ПАРМ-6 принять на вооружение.</w:t>
      </w:r>
    </w:p>
    <w:p w14:paraId="3E5BF64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Необходимо принять на вооружение:</w:t>
      </w:r>
    </w:p>
    <w:p w14:paraId="69046C04"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санитарную автомашину, отвечающую требованиям перевозок раненного летного состава;</w:t>
      </w:r>
    </w:p>
    <w:p w14:paraId="69B0CE4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автобус пассажирский ЗИС-5 для перевозки летного состава — на аэродром;</w:t>
      </w:r>
    </w:p>
    <w:p w14:paraId="3EE7AC6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автобус, приспособленный для штаба, для оперативного пункта полка.</w:t>
      </w:r>
    </w:p>
    <w:p w14:paraId="58CCCC7E"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Председатель авиационной подкомиссии командарм 2-го ранга Смушкевич</w:t>
      </w:r>
    </w:p>
    <w:p w14:paraId="43CDF40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Члены:</w:t>
      </w:r>
    </w:p>
    <w:p w14:paraId="4F16E2B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дивизионный комиссар Агальцов</w:t>
      </w:r>
    </w:p>
    <w:p w14:paraId="3C0384B5"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комкор</w:t>
      </w:r>
      <w:r w:rsidRPr="00DB5D0D">
        <w:rPr>
          <w:rFonts w:ascii="Times New Roman" w:hAnsi="Times New Roman"/>
          <w:color w:val="0070C0"/>
          <w:sz w:val="16"/>
          <w:szCs w:val="16"/>
        </w:rPr>
        <w:tab/>
        <w:t>К. Гусев</w:t>
      </w:r>
    </w:p>
    <w:p w14:paraId="6E06D683"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комкор</w:t>
      </w:r>
      <w:r w:rsidRPr="00DB5D0D">
        <w:rPr>
          <w:rFonts w:ascii="Times New Roman" w:hAnsi="Times New Roman"/>
          <w:color w:val="0070C0"/>
          <w:sz w:val="16"/>
          <w:szCs w:val="16"/>
        </w:rPr>
        <w:tab/>
        <w:t>Рычагов'</w:t>
      </w:r>
    </w:p>
    <w:p w14:paraId="176059B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комкор</w:t>
      </w:r>
      <w:r w:rsidRPr="00DB5D0D">
        <w:rPr>
          <w:rFonts w:ascii="Times New Roman" w:hAnsi="Times New Roman"/>
          <w:color w:val="0070C0"/>
          <w:sz w:val="16"/>
          <w:szCs w:val="16"/>
        </w:rPr>
        <w:tab/>
        <w:t>Птухин</w:t>
      </w:r>
    </w:p>
    <w:p w14:paraId="665EEB0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комдив</w:t>
      </w:r>
      <w:r w:rsidRPr="00DB5D0D">
        <w:rPr>
          <w:rFonts w:ascii="Times New Roman" w:hAnsi="Times New Roman"/>
          <w:color w:val="0070C0"/>
          <w:sz w:val="16"/>
          <w:szCs w:val="16"/>
        </w:rPr>
        <w:tab/>
        <w:t>Алексеев</w:t>
      </w:r>
    </w:p>
    <w:p w14:paraId="626BE0DB"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дивинженер</w:t>
      </w:r>
      <w:r w:rsidRPr="00DB5D0D">
        <w:rPr>
          <w:rFonts w:ascii="Times New Roman" w:hAnsi="Times New Roman"/>
          <w:color w:val="0070C0"/>
          <w:sz w:val="16"/>
          <w:szCs w:val="16"/>
        </w:rPr>
        <w:tab/>
        <w:t>Филин</w:t>
      </w:r>
    </w:p>
    <w:p w14:paraId="5F9E25EC"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дивинженер</w:t>
      </w:r>
      <w:r w:rsidRPr="00DB5D0D">
        <w:rPr>
          <w:rFonts w:ascii="Times New Roman" w:hAnsi="Times New Roman"/>
          <w:color w:val="0070C0"/>
          <w:sz w:val="16"/>
          <w:szCs w:val="16"/>
        </w:rPr>
        <w:tab/>
        <w:t>Сакриер</w:t>
      </w:r>
    </w:p>
    <w:p w14:paraId="5121ABF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комкор</w:t>
      </w:r>
      <w:r w:rsidRPr="00DB5D0D">
        <w:rPr>
          <w:rFonts w:ascii="Times New Roman" w:hAnsi="Times New Roman"/>
          <w:color w:val="0070C0"/>
          <w:sz w:val="16"/>
          <w:szCs w:val="16"/>
        </w:rPr>
        <w:tab/>
        <w:t>Арженухин</w:t>
      </w:r>
    </w:p>
    <w:p w14:paraId="13CE3B42"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бригинженер</w:t>
      </w:r>
      <w:r w:rsidRPr="00DB5D0D">
        <w:rPr>
          <w:rFonts w:ascii="Times New Roman" w:hAnsi="Times New Roman"/>
          <w:color w:val="0070C0"/>
          <w:sz w:val="16"/>
          <w:szCs w:val="16"/>
        </w:rPr>
        <w:tab/>
        <w:t>Левин</w:t>
      </w:r>
    </w:p>
    <w:p w14:paraId="69C40C5F"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ближайшие годы необходимо поступление серийных самолетов на вооружение ВВС Красной Армии со следующими скоростями на высоте 6000—8000 м:</w:t>
      </w:r>
    </w:p>
    <w:p w14:paraId="211B7799"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Датируется по препроводительной записке начальника ВВС Красной Армии Я. В. Смушкевича на бланке Главного управления ВВС Красной армии от 9 мая 1940 г. (Там же, л. 1. Подлинник).</w:t>
      </w:r>
    </w:p>
    <w:p w14:paraId="35C7EF51"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РГВА. Ф. 4. Оп. 14. Д. 2687. Л. 2-34. Подлинник" (20694).</w:t>
      </w:r>
    </w:p>
    <w:p w14:paraId="5234BBE2" w14:textId="77777777" w:rsidR="004644FC" w:rsidRPr="00DB5D0D" w:rsidRDefault="004644FC" w:rsidP="00DB5D0D">
      <w:pPr>
        <w:spacing w:after="0" w:line="240" w:lineRule="auto"/>
        <w:jc w:val="both"/>
        <w:rPr>
          <w:rFonts w:ascii="Times New Roman" w:hAnsi="Times New Roman"/>
          <w:color w:val="0070C0"/>
          <w:sz w:val="16"/>
          <w:szCs w:val="16"/>
        </w:rPr>
      </w:pPr>
    </w:p>
    <w:p w14:paraId="1818BC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Семин писал письмо в КОНТРОЛЬ ПОЛИТБЮРО ЦК ВКП(б) тов. Ч Е Р Н У X А,</w:t>
      </w:r>
    </w:p>
    <w:p w14:paraId="081444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Вашему запросу препровождаю Вам справку об испы</w:t>
      </w:r>
      <w:r w:rsidRPr="00DB5D0D">
        <w:rPr>
          <w:rFonts w:ascii="Times New Roman" w:hAnsi="Times New Roman"/>
          <w:color w:val="000000" w:themeColor="text1"/>
          <w:sz w:val="16"/>
          <w:szCs w:val="16"/>
        </w:rPr>
        <w:softHyphen/>
        <w:t>таниях опытных самолетов и справку по авиамоторам М-88 и М-105.</w:t>
      </w:r>
    </w:p>
    <w:p w14:paraId="0C889D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 упомянутое на "5" листах.</w:t>
      </w:r>
    </w:p>
    <w:p w14:paraId="700E72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контролер Вахрушев подготовил:</w:t>
      </w:r>
    </w:p>
    <w:p w14:paraId="755699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ходе государственных и заводских испытаний опытных самолетов.</w:t>
      </w:r>
    </w:p>
    <w:p w14:paraId="165C24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"100* с 2М-105 (ОТБ НКВД).</w:t>
      </w:r>
    </w:p>
    <w:p w14:paraId="67F85D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630 км/ч на высоте 10000 мт.(по решению КО). Госиспытания самолета должны быть закончены к 10.5.40 г. На 9.5.40 г. испытание проведено на 55%. Снята максимальная ско</w:t>
      </w:r>
      <w:r w:rsidRPr="00DB5D0D">
        <w:rPr>
          <w:rFonts w:ascii="Times New Roman" w:hAnsi="Times New Roman"/>
          <w:color w:val="000000" w:themeColor="text1"/>
          <w:sz w:val="16"/>
          <w:szCs w:val="16"/>
        </w:rPr>
        <w:softHyphen/>
        <w:t>рость 525 км/ч на высоте 6500 мт. Определение скоростей на высотах более 6000 мт. произвести не удалось из-за неудовлетворительной ра</w:t>
      </w:r>
      <w:r w:rsidRPr="00DB5D0D">
        <w:rPr>
          <w:rFonts w:ascii="Times New Roman" w:hAnsi="Times New Roman"/>
          <w:color w:val="000000" w:themeColor="text1"/>
          <w:sz w:val="16"/>
          <w:szCs w:val="16"/>
        </w:rPr>
        <w:softHyphen/>
        <w:t>боты мотора М-105 (выбрасывание масла, перегрев масла, падение давле</w:t>
      </w:r>
      <w:r w:rsidRPr="00DB5D0D">
        <w:rPr>
          <w:rFonts w:ascii="Times New Roman" w:hAnsi="Times New Roman"/>
          <w:color w:val="000000" w:themeColor="text1"/>
          <w:sz w:val="16"/>
          <w:szCs w:val="16"/>
        </w:rPr>
        <w:softHyphen/>
        <w:t>ния в маслосистеме и т.д.). 2-й экземпляр закончен производством с опозданием. 25.4 поступил на испытание в НИИ, при первых же полетах повторяется неудовлетворительная работа винто-моторной группы.</w:t>
      </w:r>
    </w:p>
    <w:p w14:paraId="3E1702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И-28 с М-88. (т. Яценко).</w:t>
      </w:r>
    </w:p>
    <w:p w14:paraId="13CAEA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Максимальная скорость 580-600 км/ч на высоте 11000 мт.(заданная решением КО). Госиспытаяия самолета должны быть закончены к 15.5.40 г. На 9.5.40 г. испытание проведено на 70%. Снята максимальная ско</w:t>
      </w:r>
      <w:r w:rsidRPr="00DB5D0D">
        <w:rPr>
          <w:rFonts w:ascii="Times New Roman" w:hAnsi="Times New Roman"/>
          <w:color w:val="000000" w:themeColor="text1"/>
          <w:sz w:val="16"/>
          <w:szCs w:val="16"/>
        </w:rPr>
        <w:softHyphen/>
        <w:t>рость 565 км/ч.на высоте 7000 мт. Саволет в летном состоянии,закон</w:t>
      </w:r>
      <w:r w:rsidRPr="00DB5D0D">
        <w:rPr>
          <w:rFonts w:ascii="Times New Roman" w:hAnsi="Times New Roman"/>
          <w:color w:val="000000" w:themeColor="text1"/>
          <w:sz w:val="16"/>
          <w:szCs w:val="16"/>
        </w:rPr>
        <w:softHyphen/>
        <w:t>чен отстрел вооружения в тире. Имеется полная возможность закончить испытания в срок.</w:t>
      </w:r>
    </w:p>
    <w:p w14:paraId="6A9F21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ББ-1 с М-88 (т. Сухой).</w:t>
      </w:r>
    </w:p>
    <w:p w14:paraId="75E27E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500 км/ч. на 10000 м. (заданная решением КО). Госиспытания самолета должны быть закончены к 28.4.40 г. Фак</w:t>
      </w:r>
      <w:r w:rsidRPr="00DB5D0D">
        <w:rPr>
          <w:rFonts w:ascii="Times New Roman" w:hAnsi="Times New Roman"/>
          <w:color w:val="000000" w:themeColor="text1"/>
          <w:sz w:val="16"/>
          <w:szCs w:val="16"/>
        </w:rPr>
        <w:softHyphen/>
        <w:t>тически закончены 30.4.40 г. Снята максимальная скорость 467 км/ч на высоте 6600 метр. В процессе испытания самолета выявилась неудов</w:t>
      </w:r>
      <w:r w:rsidRPr="00DB5D0D">
        <w:rPr>
          <w:rFonts w:ascii="Times New Roman" w:hAnsi="Times New Roman"/>
          <w:color w:val="000000" w:themeColor="text1"/>
          <w:sz w:val="16"/>
          <w:szCs w:val="16"/>
        </w:rPr>
        <w:softHyphen/>
        <w:t>летворительная работа винто-моторной группы (мотор М-88). Вдавлен</w:t>
      </w:r>
      <w:r w:rsidRPr="00DB5D0D">
        <w:rPr>
          <w:rFonts w:ascii="Times New Roman" w:hAnsi="Times New Roman"/>
          <w:color w:val="000000" w:themeColor="text1"/>
          <w:sz w:val="16"/>
          <w:szCs w:val="16"/>
        </w:rPr>
        <w:softHyphen/>
        <w:t>ные дефекты предложено устранить на серийных самолетах.</w:t>
      </w:r>
    </w:p>
    <w:p w14:paraId="0D196B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И-180 с М-88 (т. Поликарпов).</w:t>
      </w:r>
    </w:p>
    <w:p w14:paraId="233070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должны быть закончены к 5.5.40 г. На 9.5.40 г. испытания проведены на 85-90% (осталось 7-8 полетов). Подготовка к параду (4 летных дня) и последующая смена мотора оттянули срок окончания испытаний.</w:t>
      </w:r>
    </w:p>
    <w:p w14:paraId="145283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Установку и пробу мотора па земле предполагают закончить 11.5.40 г.</w:t>
      </w:r>
    </w:p>
    <w:p w14:paraId="3C9689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ДБ-240 2М-105 (т. Ермолаев).</w:t>
      </w:r>
    </w:p>
    <w:p w14:paraId="761708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должны быть закончены к 1.7.40 г. Самолет закончен производством. Ведется доводка винтомоторной группы (потекли радиаторы, балансируется винт и т.д.). Предпола</w:t>
      </w:r>
      <w:r w:rsidRPr="00DB5D0D">
        <w:rPr>
          <w:rFonts w:ascii="Times New Roman" w:hAnsi="Times New Roman"/>
          <w:color w:val="000000" w:themeColor="text1"/>
          <w:sz w:val="16"/>
          <w:szCs w:val="16"/>
        </w:rPr>
        <w:softHyphen/>
        <w:t>гается первый полет самолета 11-12.5.40 г.</w:t>
      </w:r>
    </w:p>
    <w:p w14:paraId="6CA3B2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СПБ с 2М-105 (т. Поликарпов).</w:t>
      </w:r>
    </w:p>
    <w:p w14:paraId="5F01B8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долины быть закончены к 5.5.40 г. Предварительно замерена максимальная скорость - 515-520 кл/ч на высоте 4000-5000 мт.</w:t>
      </w:r>
    </w:p>
    <w:p w14:paraId="60186E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потерпел аварию с гибелью экипажа (т.Головин) Сейчас ведутся работы,по улучшению устойчивости и специаль</w:t>
      </w:r>
      <w:r w:rsidRPr="00DB5D0D">
        <w:rPr>
          <w:rFonts w:ascii="Times New Roman" w:hAnsi="Times New Roman"/>
          <w:color w:val="000000" w:themeColor="text1"/>
          <w:sz w:val="16"/>
          <w:szCs w:val="16"/>
        </w:rPr>
        <w:softHyphen/>
        <w:t>но изучается срыв в штопор самолета СПБ.</w:t>
      </w:r>
    </w:p>
    <w:p w14:paraId="244277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ДБ-ЛК 2М-87Б. (т. Беляев).</w:t>
      </w:r>
    </w:p>
    <w:p w14:paraId="24FD00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500 км/ч на высоте 10000 мт.(заданная решением КО). Срок окончания госиспытаний 10.5.40 г. На 9.5.40 г испытание проведено на 50;?. Снята максимальная скорость 477 кл/ч на высоте 5000 мт. Намеченный срок испытания оттянется 10-12 дней из-за многочисленных мелких переделок.</w:t>
      </w:r>
    </w:p>
    <w:p w14:paraId="19193A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БВС - 2И-103 П. (т.Болховитинов).</w:t>
      </w:r>
    </w:p>
    <w:p w14:paraId="77F72E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640 кл/ч на 10000 м. (заданная реше</w:t>
      </w:r>
      <w:r w:rsidRPr="00DB5D0D">
        <w:rPr>
          <w:rFonts w:ascii="Times New Roman" w:hAnsi="Times New Roman"/>
          <w:color w:val="000000" w:themeColor="text1"/>
          <w:sz w:val="16"/>
          <w:szCs w:val="16"/>
        </w:rPr>
        <w:softHyphen/>
        <w:t>нием КО). Срок окончания госиспытаний 15.5.40 г. Испытания за-дерпшваьзтся из-за тряски заднего мотора,плохой работы карбюрато</w:t>
      </w:r>
      <w:r w:rsidRPr="00DB5D0D">
        <w:rPr>
          <w:rFonts w:ascii="Times New Roman" w:hAnsi="Times New Roman"/>
          <w:color w:val="000000" w:themeColor="text1"/>
          <w:sz w:val="16"/>
          <w:szCs w:val="16"/>
        </w:rPr>
        <w:softHyphen/>
        <w:t>ров и переделок, связанных со сменой колес.</w:t>
      </w:r>
    </w:p>
    <w:p w14:paraId="60B653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Замер максимальной скорости не производился.</w:t>
      </w:r>
    </w:p>
    <w:p w14:paraId="4DA942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ОКО-б с 2М-88 (т.Таиров).</w:t>
      </w:r>
    </w:p>
    <w:p w14:paraId="71726E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600-650 кл/ч па высоте 12000 мт. (заданная решением КО). Заводские испытания должны быть законче</w:t>
      </w:r>
      <w:r w:rsidRPr="00DB5D0D">
        <w:rPr>
          <w:rFonts w:ascii="Times New Roman" w:hAnsi="Times New Roman"/>
          <w:color w:val="000000" w:themeColor="text1"/>
          <w:sz w:val="16"/>
          <w:szCs w:val="16"/>
        </w:rPr>
        <w:softHyphen/>
        <w:t>ны к 15.5.40 г.</w:t>
      </w:r>
    </w:p>
    <w:p w14:paraId="4DF4F2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9.5.40 г.испытания проведены на ЭО^.Снята максимальная скорость 572 кл/ч на высоте 7500 мт. Имеются все возможности за</w:t>
      </w:r>
      <w:r w:rsidRPr="00DB5D0D">
        <w:rPr>
          <w:rFonts w:ascii="Times New Roman" w:hAnsi="Times New Roman"/>
          <w:color w:val="000000" w:themeColor="text1"/>
          <w:sz w:val="16"/>
          <w:szCs w:val="16"/>
        </w:rPr>
        <w:softHyphen/>
        <w:t>кончить испытания в срок.</w:t>
      </w:r>
    </w:p>
    <w:p w14:paraId="490E4D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И-26 с М-105 Ст.Яковдев). ^</w:t>
      </w:r>
    </w:p>
    <w:p w14:paraId="44AE0D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должны быть закончены к 10.5.40 г.</w:t>
      </w:r>
    </w:p>
    <w:p w14:paraId="644D14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9.5.40 г. испытание прозедено на 80^. Предварительно за</w:t>
      </w:r>
      <w:r w:rsidRPr="00DB5D0D">
        <w:rPr>
          <w:rFonts w:ascii="Times New Roman" w:hAnsi="Times New Roman"/>
          <w:color w:val="000000" w:themeColor="text1"/>
          <w:sz w:val="16"/>
          <w:szCs w:val="16"/>
        </w:rPr>
        <w:softHyphen/>
        <w:t>мерена максимальная скорость 550-560 кл/ч на высоте 5000 м.</w:t>
      </w:r>
    </w:p>
    <w:p w14:paraId="7C1781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экз.самолета потерпел аварию, при которой погиб т. Пиантковский. 2 экз. самолета находится в летном состоянии. На самолете осталось произвести отстрел и доводку воорунения.</w:t>
      </w:r>
    </w:p>
    <w:p w14:paraId="2CCA75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замечание.</w:t>
      </w:r>
    </w:p>
    <w:p w14:paraId="6E0F2E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Почти на всех самолетах основным тормозом в проведении испытаний является: неудовлетворительная работа моторов М-88 и М-105, низкое качество покрышек и низкое качество тормозных колес (з~д и 120) (10514,10).</w:t>
      </w:r>
    </w:p>
    <w:p w14:paraId="5775DB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F8102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 мая 1940 Нач. отд. Спецслужб НИИ ГУАС КА Данилин и Ком. отдела Сизов утвердили Программу испытания коллекторной экранировки М-105 (1295,164).</w:t>
      </w:r>
    </w:p>
    <w:p w14:paraId="7336D43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77A1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И.Е.Федоров приказом НКАП был назначен ли завода 21 (863,172).</w:t>
      </w:r>
    </w:p>
    <w:p w14:paraId="1D82ABD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0714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Н.П.Баукин приказом НКАП был назначен ли завода 1 (863,176).</w:t>
      </w:r>
    </w:p>
    <w:p w14:paraId="5FB7961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0587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 было письмо на имя начальника ВИАМ от начальника 8-го отдела авиации ВМФ и начальника 2-го отделения этого отдела, где высказывалась тревога по поводу прекращения поступления аэролака «Апал», содержащего алюминиевый порошок: «Одновременно прошу сообщить о причине отсутствия алюминиевого порошка и дальнейших перспективах его получения. Ваше заключение прошу сообщить в самом срочном порядке, так как из-за отсутствия «Апал» остановлен ремонт гидросамолетов как на ремонтном заводе НКАП, так и в реммастерских авиации ВМФ» (Там же. Л. 73.).</w:t>
      </w:r>
    </w:p>
    <w:p w14:paraId="6C3AC4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Начавшаяся Вторая мировая война усугубила и до этого существовавшую определенную зависимость советской авиапромышленности от импорта различных, в том числе и стратегически важных компонентов, необходимых для авиапроизводства. Сыграли свою роль как внешнеполитические обстоятельства, так и возросшая потребность в этих компонентах (11672).</w:t>
      </w:r>
    </w:p>
    <w:p w14:paraId="258926E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A5FB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по 13 мая 1940 года на НИП АВ ВВС проходили контрольные испытания универсальных посадочных шашек оранжевого дыма (УПШ-2).</w:t>
      </w:r>
    </w:p>
    <w:p w14:paraId="0F9FF5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06AB91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EEA1E6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возможные изменения боевых качеств УПШ-2 опытной партии после хранения в складских условиях в течении трех лет.</w:t>
      </w:r>
    </w:p>
    <w:p w14:paraId="769E648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видимость дымволны по дальности от УПШ-2 с самолета и возможность определения направления ветра для посадки самолета.</w:t>
      </w:r>
    </w:p>
    <w:p w14:paraId="3584B2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ECEBE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Универсальные посадочные шашки оранжевого дыма (УПШ) после трехлетнего хранения в складских условиях к работе пригодны (7539).</w:t>
      </w:r>
    </w:p>
    <w:p w14:paraId="1C6746A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0EFE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по 31 мая 1940 года на НИП АВ ВВС проходили полигонные испытания зажигательных авиабомб ЗАБ-Э-1 оп. партии 1, 2 и ЗАБ-10 ТГ оп. партии 1 опытного суррогатного снаряжения завода № 80 изготовления 1940 года</w:t>
      </w:r>
    </w:p>
    <w:p w14:paraId="775532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1A7DDD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Дьячков</w:t>
      </w:r>
    </w:p>
    <w:p w14:paraId="69A9D1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32D7F751" w14:textId="77777777" w:rsidR="00A25AD1" w:rsidRPr="00DB5D0D" w:rsidRDefault="00A25AD1" w:rsidP="00DB5D0D">
      <w:pPr>
        <w:pStyle w:val="24"/>
        <w:widowControl/>
        <w:rPr>
          <w:color w:val="000000" w:themeColor="text1"/>
        </w:rPr>
      </w:pPr>
      <w:r w:rsidRPr="00DB5D0D">
        <w:rPr>
          <w:color w:val="000000" w:themeColor="text1"/>
        </w:rPr>
        <w:t>Испытание имело цель определить:</w:t>
      </w:r>
    </w:p>
    <w:p w14:paraId="2237BF03" w14:textId="77777777" w:rsidR="00A25AD1" w:rsidRPr="00DB5D0D" w:rsidRDefault="00A25AD1" w:rsidP="00DB5D0D">
      <w:pPr>
        <w:pStyle w:val="24"/>
        <w:widowControl/>
        <w:tabs>
          <w:tab w:val="left" w:pos="360"/>
        </w:tabs>
        <w:rPr>
          <w:color w:val="000000" w:themeColor="text1"/>
        </w:rPr>
      </w:pPr>
      <w:r w:rsidRPr="00DB5D0D">
        <w:rPr>
          <w:color w:val="000000" w:themeColor="text1"/>
        </w:rPr>
        <w:t>Зажигательную способность.</w:t>
      </w:r>
    </w:p>
    <w:p w14:paraId="4FA78EBC" w14:textId="77777777" w:rsidR="00A25AD1" w:rsidRPr="00DB5D0D" w:rsidRDefault="00A25AD1" w:rsidP="00DB5D0D">
      <w:pPr>
        <w:pStyle w:val="24"/>
        <w:widowControl/>
        <w:tabs>
          <w:tab w:val="left" w:pos="360"/>
        </w:tabs>
        <w:rPr>
          <w:color w:val="000000" w:themeColor="text1"/>
        </w:rPr>
      </w:pPr>
      <w:r w:rsidRPr="00DB5D0D">
        <w:rPr>
          <w:color w:val="000000" w:themeColor="text1"/>
        </w:rPr>
        <w:t>Полноту и время горения.</w:t>
      </w:r>
    </w:p>
    <w:p w14:paraId="6A1BA86C" w14:textId="77777777" w:rsidR="00A25AD1" w:rsidRPr="00DB5D0D" w:rsidRDefault="00A25AD1" w:rsidP="00DB5D0D">
      <w:pPr>
        <w:pStyle w:val="24"/>
        <w:widowControl/>
        <w:tabs>
          <w:tab w:val="left" w:pos="360"/>
        </w:tabs>
        <w:rPr>
          <w:color w:val="000000" w:themeColor="text1"/>
        </w:rPr>
      </w:pPr>
      <w:r w:rsidRPr="00DB5D0D">
        <w:rPr>
          <w:color w:val="000000" w:themeColor="text1"/>
        </w:rPr>
        <w:t>Интенсивность горения.</w:t>
      </w:r>
    </w:p>
    <w:p w14:paraId="4219272D" w14:textId="77777777" w:rsidR="00A25AD1" w:rsidRPr="00DB5D0D" w:rsidRDefault="00A25AD1" w:rsidP="00DB5D0D">
      <w:pPr>
        <w:pStyle w:val="24"/>
        <w:widowControl/>
        <w:tabs>
          <w:tab w:val="left" w:pos="360"/>
        </w:tabs>
        <w:rPr>
          <w:color w:val="000000" w:themeColor="text1"/>
        </w:rPr>
      </w:pPr>
      <w:r w:rsidRPr="00DB5D0D">
        <w:rPr>
          <w:color w:val="000000" w:themeColor="text1"/>
        </w:rPr>
        <w:t>Проплавляющую способность.</w:t>
      </w:r>
    </w:p>
    <w:p w14:paraId="5A00D16C"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в действии.</w:t>
      </w:r>
    </w:p>
    <w:p w14:paraId="6C6F0189" w14:textId="77777777" w:rsidR="00A25AD1" w:rsidRPr="00DB5D0D" w:rsidRDefault="00A25AD1" w:rsidP="00DB5D0D">
      <w:pPr>
        <w:pStyle w:val="24"/>
        <w:widowControl/>
        <w:tabs>
          <w:tab w:val="left" w:pos="360"/>
        </w:tabs>
        <w:rPr>
          <w:color w:val="000000" w:themeColor="text1"/>
        </w:rPr>
      </w:pPr>
      <w:r w:rsidRPr="00DB5D0D">
        <w:rPr>
          <w:color w:val="000000" w:themeColor="text1"/>
        </w:rPr>
        <w:t>Устойчивость бомб на траектории.</w:t>
      </w:r>
    </w:p>
    <w:p w14:paraId="799AD4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3E2122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ЗАБ-1-Э оп. партии № 1 и ЗАБ-10 ТГ устан. партии № 1 опытного суррогатного снаряжения завода № 80 полигонные испытания не выдержали.</w:t>
      </w:r>
    </w:p>
    <w:p w14:paraId="52DEB0F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ЗАБ-1-Э оп. партии № 2 суррогатного снаряжения по безотказности действия, полноте сгорания и зажигательной способности дали удовлетворительные результаты и полигонные испытания выдержали.</w:t>
      </w:r>
    </w:p>
    <w:p w14:paraId="4436DA6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ЗАБ-10 ТГ с коробчатым стабилизатором уменьшают боевую нагрузку самолета СБ на 25% в сравнении с нагрузкой бомбами с перистыми стабилизаторами (в ведро-кассету входят 3 бомбы с коробчатыми стабилизаторами вместо 4 штук с перистыми), а поэтому НИП АВ считает целесообразным оставить у бомб ЗАБ-10 ТГ прежний перистый стабилизатор (7585).</w:t>
      </w:r>
    </w:p>
    <w:p w14:paraId="07666F6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7FCB7F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 заместитель директора НИИ-3 НКБ военинженер 1 ранга А.Г.Костиков утвердил программу испытаний выдвижной 12-зарядной кассетной установки, смонтированной снизу в центральной части фюзеляжа самолета СПБ. Подробностей этой раз</w:t>
      </w:r>
      <w:r w:rsidRPr="00DB5D0D">
        <w:rPr>
          <w:rFonts w:ascii="Times New Roman" w:hAnsi="Times New Roman"/>
          <w:color w:val="000000" w:themeColor="text1"/>
          <w:sz w:val="16"/>
          <w:szCs w:val="16"/>
        </w:rPr>
        <w:softHyphen/>
        <w:t>работки ведущего конструктора А.П.Павленко не встречается, по ее на</w:t>
      </w:r>
      <w:r w:rsidRPr="00DB5D0D">
        <w:rPr>
          <w:rFonts w:ascii="Times New Roman" w:hAnsi="Times New Roman"/>
          <w:color w:val="000000" w:themeColor="text1"/>
          <w:sz w:val="16"/>
          <w:szCs w:val="16"/>
        </w:rPr>
        <w:softHyphen/>
        <w:t>значение и место расположения блока ракетных орудий на самолете Можно понять из этого документа.</w:t>
      </w:r>
    </w:p>
    <w:p w14:paraId="3CDFAD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требовали определить, возможна ли стрельба снарядами РС-132 из-под фюзеляжа и насколько струя продуктов горения РЗ влияет на обшивку фюзеляжа и узлы крепления кассетной установки. Далее - ис</w:t>
      </w:r>
      <w:r w:rsidRPr="00DB5D0D">
        <w:rPr>
          <w:rFonts w:ascii="Times New Roman" w:hAnsi="Times New Roman"/>
          <w:color w:val="000000" w:themeColor="text1"/>
          <w:sz w:val="16"/>
          <w:szCs w:val="16"/>
        </w:rPr>
        <w:softHyphen/>
        <w:t xml:space="preserve">пытатели должны были определить характер воздействия этой струи на соседние РС в кассете и на крыльчатки взрывателей АГДТ-А, рассеивание траекторий РС-132 при наземной стрельбе по щиту 7x7 м с дистанции 50-75 м сначала одиночными из кассеты с темпом 3-4 </w:t>
      </w:r>
      <w:r w:rsidRPr="00DB5D0D">
        <w:rPr>
          <w:rFonts w:ascii="Times New Roman" w:hAnsi="Times New Roman"/>
          <w:color w:val="000000" w:themeColor="text1"/>
          <w:sz w:val="16"/>
          <w:szCs w:val="16"/>
        </w:rPr>
        <w:lastRenderedPageBreak/>
        <w:t>выстрела в минуту и затем все 12 штук серией в один прием. При получении положительного ре</w:t>
      </w:r>
      <w:r w:rsidRPr="00DB5D0D">
        <w:rPr>
          <w:rFonts w:ascii="Times New Roman" w:hAnsi="Times New Roman"/>
          <w:color w:val="000000" w:themeColor="text1"/>
          <w:sz w:val="16"/>
          <w:szCs w:val="16"/>
        </w:rPr>
        <w:softHyphen/>
        <w:t>зультата допускалось отстрелять боевые РС-132 очередью без задержки.</w:t>
      </w:r>
    </w:p>
    <w:p w14:paraId="6C0EE8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Очевидно, что заводские испытания этой кассетницы началась, но 18 октября 1940 г. директор НИИ-3 НКБ Б.М.Слопимер доложил начальнику 3 отдела 4-го ГУ НКБ Певзнеру: «Ввиду снятия с производства самолета СПБ, мы лишены возможности выполнить предусмотренную этапом №5 объекта 421 работу «Разработка блока РО-132 для самолета СПБ». Прошу разрешения сиять с плана НИИ-3 эту работу» (11402).</w:t>
      </w:r>
    </w:p>
    <w:p w14:paraId="12FD45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96570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 была подготовлена справка:</w:t>
      </w:r>
    </w:p>
    <w:p w14:paraId="639338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и боеприпасы</w:t>
      </w:r>
    </w:p>
    <w:p w14:paraId="21F90A7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1940 году для ВВС по заказам 3 гл. управления ГУАС поставляют вооружение и боеприпасы 166 заводов, из них:</w:t>
      </w:r>
    </w:p>
    <w:p w14:paraId="6A1265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заводов изготовляющих корпуса авиабомб – 101</w:t>
      </w:r>
    </w:p>
    <w:p w14:paraId="5ECF67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заводов снаряжательных – 17</w:t>
      </w:r>
    </w:p>
    <w:p w14:paraId="55C96F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заводов изготовляющих взрыватели – 14</w:t>
      </w:r>
    </w:p>
    <w:p w14:paraId="2BCD33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патронных заводов – 11</w:t>
      </w:r>
    </w:p>
    <w:p w14:paraId="7A4393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заводов, изготавливающих оружие, прицелы и установки – 23</w:t>
      </w:r>
    </w:p>
    <w:p w14:paraId="0D83CB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материальной части и перспективы дальнейшего развития следующие:</w:t>
      </w:r>
    </w:p>
    <w:p w14:paraId="142B6D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Пулеметы 7,62 мм</w:t>
      </w:r>
    </w:p>
    <w:p w14:paraId="611938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Основным пулеметом нормального калибра является пулемет ШКАС с темпом стрельбы 1800 выстрелов в минуту, крыльевого, турельного и синхронного типа. Основной недостаток пулемета – сложность его в эксплуатации и большое количество задержек неустранимых в воздухе.</w:t>
      </w:r>
    </w:p>
    <w:p w14:paraId="1F970C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Пулемет ПВ-1 – синхронный с темпом стрельбы 750 выстрелов в минуту. С производства снят в 1939 году и имеется только на старых самолетах.</w:t>
      </w:r>
    </w:p>
    <w:p w14:paraId="00B680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Дальнейшая работа направлена на отработку более простого и надежного пулемета с темпом стрельбы 1800 выстрелов в минуту. Одновременно с этим подготовлен к вводу на вооружение пулемет СН с темпом стрельбы 2700-3000 выстрелов в минуту.</w:t>
      </w:r>
    </w:p>
    <w:p w14:paraId="746AB6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Крупнокалиберный пулемет 12,7 мм</w:t>
      </w:r>
    </w:p>
    <w:p w14:paraId="3CDFE7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валовом производстве освоен синхронный 12,7 мм пулемет Березина. Частота стрельбы 900 выстрелов в минуту. Вес – 24 кг. По своим данным не уступает современным заграничным образцам. Устанавливается на истребители И-153 и И-16, пока в небольшом количестве.</w:t>
      </w:r>
    </w:p>
    <w:p w14:paraId="74C80F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перспективе должен устанавливаться на все истребители как основное оружие.</w:t>
      </w:r>
    </w:p>
    <w:p w14:paraId="3A12DC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Отработаны и испытываются крыльевой и турельный варианты для штурмовой и бомбардировочной авиации.</w:t>
      </w:r>
    </w:p>
    <w:p w14:paraId="009586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Пушечное вооружение</w:t>
      </w:r>
    </w:p>
    <w:p w14:paraId="036472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ШВАК 20 мм. Имеются крыльевой, турельный и моторный варианты. Крыльевой тип применяется на истребителях, моторный на опытных самолетах. Турельный тип, вследствие громоздкости и большого веса, применения не нашел. По своим баллистическим данным и разрывному действию снаряда, пушка ШВАК неудовлетворительна и должна быть заменена.</w:t>
      </w:r>
    </w:p>
    <w:p w14:paraId="3F87AA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Отработаны и проходят испытания три 23 мм пушки, одна из которых должна быть введена на вооружение как основное оружие пушечных истребителей.</w:t>
      </w:r>
    </w:p>
    <w:p w14:paraId="52A9A3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этим развернуты работы по 37 мм пушкам моторного и фюзеляжного типа.</w:t>
      </w:r>
    </w:p>
    <w:p w14:paraId="50EBE1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Прицелы:</w:t>
      </w:r>
    </w:p>
    <w:p w14:paraId="0430FB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стрелковые коллиматорные прицелы удовлетворяют требованиям воздушного боя);</w:t>
      </w:r>
    </w:p>
    <w:p w14:paraId="663249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бомбардировочные прицелы ОПБ-1 и ОПБ-2 не удовлетворяют требованиям меткости. Необходимо ввести на вооружение автоматический прицел СПБ-21 (типа СПЕРРИ). Внедрить в производство прицел для пикирующих бомбардировщиков.</w:t>
      </w:r>
    </w:p>
    <w:p w14:paraId="324215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Установки:</w:t>
      </w:r>
    </w:p>
    <w:p w14:paraId="2C38B4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стрелковые установки бомбардировщиков, турель МВ-3 и люковая установка МВ-2, внедрены на вооружение в 1940 году и обеспечивают огневую защиту самолетов;</w:t>
      </w:r>
    </w:p>
    <w:p w14:paraId="167501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бомбардировочные установки и химические приборы модернизированы и удовлетворяют требованиям;</w:t>
      </w:r>
    </w:p>
    <w:p w14:paraId="21D447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ведутся работы по установкам пикирующих бомбардировщиков и будут внедрены на вооружение в 1940 году.</w:t>
      </w:r>
    </w:p>
    <w:p w14:paraId="67CECF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Авиабомбы:</w:t>
      </w:r>
    </w:p>
    <w:p w14:paraId="03F594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Имеющиеся на снабжении фугасные и осколочные авиабомбы полностью удовлетворяют требованиям эффективности. Для разрушения укрепленных районов необходимо иметь фугасные бомбы с большой прочностью корпуса.</w:t>
      </w:r>
    </w:p>
    <w:p w14:paraId="7F424C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Зажигательные бомбы показали в зимних условиях недостаточную эффективность. Необходимо вести отработку авиабомб с большей зажигательной способностью в зимних условиях.</w:t>
      </w:r>
    </w:p>
    <w:p w14:paraId="2D6D6A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Взрыватели:</w:t>
      </w:r>
    </w:p>
    <w:p w14:paraId="59AB70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взрыватели АПУВ, АМ и ТМ-4 – действуют безотказно. Необходимо ввести на вооружение взрыватель многочасового замедления и взрыватель для бомбометания с бреющего полета.</w:t>
      </w:r>
    </w:p>
    <w:p w14:paraId="20FA0C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Специальные патроны</w:t>
      </w:r>
    </w:p>
    <w:p w14:paraId="33CA6B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Спецпатроны калибра 7,62 мм действуют удовлетворительно.</w:t>
      </w:r>
    </w:p>
    <w:p w14:paraId="7788AC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патронам калибра 12,7 мм необходимо внедрить в валовое производство патроны с разрывной пулей МД, имеющей небольшую эффективность. По патронам 20 мм – необходимо внедрить на валовое производство взрыватель К-6 как более безопасный и безотказный (7712, 101-106).</w:t>
      </w:r>
    </w:p>
    <w:p w14:paraId="51587F1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B1095DB"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9 мая 1940 был подготовлен финальный отчёт. В нём говорилось:</w:t>
      </w:r>
    </w:p>
    <w:p w14:paraId="5651E01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 Ракетный двигатель НИИ-3, установленный на планер 318-1, создаёт тягу, которая немедленно увеличивает горизонтальную скорость и позволяет набирать высоту, г. е. улучшает кратковременно лётные данные планера.</w:t>
      </w:r>
    </w:p>
    <w:p w14:paraId="1E0F34B7"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 Управление ракетным двигателем следует упростить.</w:t>
      </w:r>
    </w:p>
    <w:p w14:paraId="48662034"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 Вес установки и расход топлива следует уменьшить.</w:t>
      </w:r>
    </w:p>
    <w:p w14:paraId="10EE4EEC"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Для более полной оценки ракетного двигателя и определения целесообразности использования его на планере (или самолёте) необходимо лётные испытания закончить в соответствии с утверждённой программой (она предусматривала не менее пяти полётов с включением двигателя. — Д.С.)» </w:t>
      </w:r>
      <w:hyperlink r:id="rId23" w:history="1">
        <w:r w:rsidRPr="00DB5D0D">
          <w:rPr>
            <w:rFonts w:ascii="Times New Roman" w:eastAsia="Times New Roman" w:hAnsi="Times New Roman"/>
            <w:color w:val="000000" w:themeColor="text1"/>
            <w:sz w:val="16"/>
            <w:szCs w:val="16"/>
            <w:lang w:eastAsia="ru-RU"/>
          </w:rPr>
          <w:t>[277]</w:t>
        </w:r>
      </w:hyperlink>
      <w:r w:rsidRPr="00DB5D0D">
        <w:rPr>
          <w:rFonts w:ascii="Times New Roman" w:eastAsia="Times New Roman" w:hAnsi="Times New Roman"/>
          <w:color w:val="000000" w:themeColor="text1"/>
          <w:sz w:val="16"/>
          <w:szCs w:val="16"/>
          <w:lang w:eastAsia="ru-RU"/>
        </w:rPr>
        <w:t xml:space="preserve"> .</w:t>
      </w:r>
    </w:p>
    <w:p w14:paraId="21567A05"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Но дальнейших работ не проводилось. Да они были и не нужны: эксперименты с 318-1 доказали возможность полёта с ракетным двигателем и значительный потенциал ЖРД для достижения больших скоростей и высот полёта. Осенью 1940 г. ракетоплан перевезли в НИИ-3 и разобрали на части. В августе следующего года, в связи с приближением немцев к Москве и намечавшейся эвакуации, аппарат сожгли (17489).</w:t>
      </w:r>
    </w:p>
    <w:p w14:paraId="0D93D3D5"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p>
    <w:p w14:paraId="7B3246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 начальник 2 управления ГУАС в/инженер ранга Бибиков подготовил справку: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2268"/>
        <w:gridCol w:w="2551"/>
      </w:tblGrid>
      <w:tr w:rsidR="007D5DF8" w:rsidRPr="00DB5D0D" w14:paraId="63CBCD2D" w14:textId="77777777" w:rsidTr="009223E5">
        <w:tc>
          <w:tcPr>
            <w:tcW w:w="2660" w:type="dxa"/>
          </w:tcPr>
          <w:p w14:paraId="52D412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завода</w:t>
            </w:r>
          </w:p>
        </w:tc>
        <w:tc>
          <w:tcPr>
            <w:tcW w:w="2268" w:type="dxa"/>
          </w:tcPr>
          <w:p w14:paraId="2CD875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 расположения</w:t>
            </w:r>
          </w:p>
        </w:tc>
        <w:tc>
          <w:tcPr>
            <w:tcW w:w="2551" w:type="dxa"/>
          </w:tcPr>
          <w:p w14:paraId="071FA3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производит</w:t>
            </w:r>
          </w:p>
        </w:tc>
      </w:tr>
      <w:tr w:rsidR="007D5DF8" w:rsidRPr="00DB5D0D" w14:paraId="5988E6AE" w14:textId="77777777" w:rsidTr="009223E5">
        <w:tc>
          <w:tcPr>
            <w:tcW w:w="2660" w:type="dxa"/>
          </w:tcPr>
          <w:p w14:paraId="1C8B2A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16</w:t>
            </w:r>
          </w:p>
        </w:tc>
        <w:tc>
          <w:tcPr>
            <w:tcW w:w="2268" w:type="dxa"/>
          </w:tcPr>
          <w:p w14:paraId="21F364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Воронеж</w:t>
            </w:r>
          </w:p>
        </w:tc>
        <w:tc>
          <w:tcPr>
            <w:tcW w:w="2551" w:type="dxa"/>
          </w:tcPr>
          <w:p w14:paraId="115088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w:t>
            </w:r>
          </w:p>
        </w:tc>
      </w:tr>
      <w:tr w:rsidR="007D5DF8" w:rsidRPr="00DB5D0D" w14:paraId="5F8A9CFE" w14:textId="77777777" w:rsidTr="009223E5">
        <w:tc>
          <w:tcPr>
            <w:tcW w:w="2660" w:type="dxa"/>
          </w:tcPr>
          <w:p w14:paraId="740687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19</w:t>
            </w:r>
          </w:p>
        </w:tc>
        <w:tc>
          <w:tcPr>
            <w:tcW w:w="2268" w:type="dxa"/>
          </w:tcPr>
          <w:p w14:paraId="39913D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Молотов</w:t>
            </w:r>
          </w:p>
        </w:tc>
        <w:tc>
          <w:tcPr>
            <w:tcW w:w="2551" w:type="dxa"/>
          </w:tcPr>
          <w:p w14:paraId="13F2AA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w:t>
            </w:r>
          </w:p>
        </w:tc>
      </w:tr>
      <w:tr w:rsidR="007D5DF8" w:rsidRPr="00DB5D0D" w14:paraId="4FB0B362" w14:textId="77777777" w:rsidTr="009223E5">
        <w:tc>
          <w:tcPr>
            <w:tcW w:w="2660" w:type="dxa"/>
          </w:tcPr>
          <w:p w14:paraId="63B596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w:t>
            </w:r>
          </w:p>
        </w:tc>
        <w:tc>
          <w:tcPr>
            <w:tcW w:w="2268" w:type="dxa"/>
          </w:tcPr>
          <w:p w14:paraId="485DE7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2551" w:type="dxa"/>
          </w:tcPr>
          <w:p w14:paraId="55844D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w:t>
            </w:r>
          </w:p>
        </w:tc>
      </w:tr>
      <w:tr w:rsidR="007D5DF8" w:rsidRPr="00DB5D0D" w14:paraId="07067E54" w14:textId="77777777" w:rsidTr="009223E5">
        <w:tc>
          <w:tcPr>
            <w:tcW w:w="2660" w:type="dxa"/>
          </w:tcPr>
          <w:p w14:paraId="48DE93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26</w:t>
            </w:r>
          </w:p>
        </w:tc>
        <w:tc>
          <w:tcPr>
            <w:tcW w:w="2268" w:type="dxa"/>
          </w:tcPr>
          <w:p w14:paraId="1DD0CB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Рыбинск</w:t>
            </w:r>
          </w:p>
        </w:tc>
        <w:tc>
          <w:tcPr>
            <w:tcW w:w="2551" w:type="dxa"/>
          </w:tcPr>
          <w:p w14:paraId="6E13C2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w:t>
            </w:r>
          </w:p>
        </w:tc>
      </w:tr>
      <w:tr w:rsidR="007D5DF8" w:rsidRPr="00DB5D0D" w14:paraId="2B6FE4DA" w14:textId="77777777" w:rsidTr="009223E5">
        <w:tc>
          <w:tcPr>
            <w:tcW w:w="2660" w:type="dxa"/>
          </w:tcPr>
          <w:p w14:paraId="1F2907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29</w:t>
            </w:r>
          </w:p>
        </w:tc>
        <w:tc>
          <w:tcPr>
            <w:tcW w:w="2268" w:type="dxa"/>
          </w:tcPr>
          <w:p w14:paraId="041563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Запорожье</w:t>
            </w:r>
          </w:p>
        </w:tc>
        <w:tc>
          <w:tcPr>
            <w:tcW w:w="2551" w:type="dxa"/>
          </w:tcPr>
          <w:p w14:paraId="43944D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w:t>
            </w:r>
          </w:p>
        </w:tc>
      </w:tr>
      <w:tr w:rsidR="007D5DF8" w:rsidRPr="00DB5D0D" w14:paraId="6A67F798" w14:textId="77777777" w:rsidTr="009223E5">
        <w:tc>
          <w:tcPr>
            <w:tcW w:w="2660" w:type="dxa"/>
          </w:tcPr>
          <w:p w14:paraId="7EAB55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27</w:t>
            </w:r>
          </w:p>
        </w:tc>
        <w:tc>
          <w:tcPr>
            <w:tcW w:w="2268" w:type="dxa"/>
          </w:tcPr>
          <w:p w14:paraId="0E0505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Казань</w:t>
            </w:r>
          </w:p>
        </w:tc>
        <w:tc>
          <w:tcPr>
            <w:tcW w:w="2551" w:type="dxa"/>
          </w:tcPr>
          <w:p w14:paraId="71B5E6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Ремонт моторов</w:t>
            </w:r>
          </w:p>
        </w:tc>
      </w:tr>
      <w:tr w:rsidR="007D5DF8" w:rsidRPr="00DB5D0D" w14:paraId="44ABAFBF" w14:textId="77777777" w:rsidTr="009223E5">
        <w:tc>
          <w:tcPr>
            <w:tcW w:w="2660" w:type="dxa"/>
          </w:tcPr>
          <w:p w14:paraId="31926D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«Электросталь»</w:t>
            </w:r>
          </w:p>
        </w:tc>
        <w:tc>
          <w:tcPr>
            <w:tcW w:w="2268" w:type="dxa"/>
          </w:tcPr>
          <w:p w14:paraId="5988DE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Ногинск</w:t>
            </w:r>
          </w:p>
        </w:tc>
        <w:tc>
          <w:tcPr>
            <w:tcW w:w="2551" w:type="dxa"/>
          </w:tcPr>
          <w:p w14:paraId="72D085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Поковки</w:t>
            </w:r>
          </w:p>
        </w:tc>
      </w:tr>
      <w:tr w:rsidR="007D5DF8" w:rsidRPr="00DB5D0D" w14:paraId="364DC57D" w14:textId="77777777" w:rsidTr="009223E5">
        <w:tc>
          <w:tcPr>
            <w:tcW w:w="2660" w:type="dxa"/>
          </w:tcPr>
          <w:p w14:paraId="09820B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219</w:t>
            </w:r>
          </w:p>
        </w:tc>
        <w:tc>
          <w:tcPr>
            <w:tcW w:w="2268" w:type="dxa"/>
          </w:tcPr>
          <w:p w14:paraId="5CEDE0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2551" w:type="dxa"/>
          </w:tcPr>
          <w:p w14:paraId="2CD65A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Цветное литье</w:t>
            </w:r>
          </w:p>
        </w:tc>
      </w:tr>
      <w:tr w:rsidR="007D5DF8" w:rsidRPr="00DB5D0D" w14:paraId="79664564" w14:textId="77777777" w:rsidTr="009223E5">
        <w:tc>
          <w:tcPr>
            <w:tcW w:w="2660" w:type="dxa"/>
          </w:tcPr>
          <w:p w14:paraId="609E2A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79</w:t>
            </w:r>
          </w:p>
        </w:tc>
        <w:tc>
          <w:tcPr>
            <w:tcW w:w="2268" w:type="dxa"/>
          </w:tcPr>
          <w:p w14:paraId="2EC3B0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Днепропетровск</w:t>
            </w:r>
          </w:p>
        </w:tc>
        <w:tc>
          <w:tcPr>
            <w:tcW w:w="2551" w:type="dxa"/>
          </w:tcPr>
          <w:p w14:paraId="244B57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Поковки</w:t>
            </w:r>
          </w:p>
        </w:tc>
      </w:tr>
      <w:tr w:rsidR="007D5DF8" w:rsidRPr="00DB5D0D" w14:paraId="222C9A8D" w14:textId="77777777" w:rsidTr="009223E5">
        <w:tc>
          <w:tcPr>
            <w:tcW w:w="2660" w:type="dxa"/>
          </w:tcPr>
          <w:p w14:paraId="638108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«Большевик»</w:t>
            </w:r>
          </w:p>
        </w:tc>
        <w:tc>
          <w:tcPr>
            <w:tcW w:w="2268" w:type="dxa"/>
          </w:tcPr>
          <w:p w14:paraId="6821F5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Ленинград</w:t>
            </w:r>
          </w:p>
        </w:tc>
        <w:tc>
          <w:tcPr>
            <w:tcW w:w="2551" w:type="dxa"/>
          </w:tcPr>
          <w:p w14:paraId="79D2AC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Поковки</w:t>
            </w:r>
          </w:p>
        </w:tc>
      </w:tr>
      <w:tr w:rsidR="007D5DF8" w:rsidRPr="00DB5D0D" w14:paraId="44ABAF75" w14:textId="77777777" w:rsidTr="009223E5">
        <w:tc>
          <w:tcPr>
            <w:tcW w:w="2660" w:type="dxa"/>
          </w:tcPr>
          <w:p w14:paraId="2431D0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172</w:t>
            </w:r>
          </w:p>
        </w:tc>
        <w:tc>
          <w:tcPr>
            <w:tcW w:w="2268" w:type="dxa"/>
          </w:tcPr>
          <w:p w14:paraId="261641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Молотов</w:t>
            </w:r>
          </w:p>
        </w:tc>
        <w:tc>
          <w:tcPr>
            <w:tcW w:w="2551" w:type="dxa"/>
          </w:tcPr>
          <w:p w14:paraId="3EEA7C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Поковки</w:t>
            </w:r>
          </w:p>
        </w:tc>
      </w:tr>
      <w:tr w:rsidR="007D5DF8" w:rsidRPr="00DB5D0D" w14:paraId="50CC8718" w14:textId="77777777" w:rsidTr="009223E5">
        <w:tc>
          <w:tcPr>
            <w:tcW w:w="2660" w:type="dxa"/>
          </w:tcPr>
          <w:p w14:paraId="0976E9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183</w:t>
            </w:r>
          </w:p>
        </w:tc>
        <w:tc>
          <w:tcPr>
            <w:tcW w:w="2268" w:type="dxa"/>
          </w:tcPr>
          <w:p w14:paraId="31F456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Харьков</w:t>
            </w:r>
          </w:p>
        </w:tc>
        <w:tc>
          <w:tcPr>
            <w:tcW w:w="2551" w:type="dxa"/>
          </w:tcPr>
          <w:p w14:paraId="05A973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Поковки</w:t>
            </w:r>
          </w:p>
        </w:tc>
      </w:tr>
      <w:tr w:rsidR="007D5DF8" w:rsidRPr="00DB5D0D" w14:paraId="72FA6F77" w14:textId="77777777" w:rsidTr="009223E5">
        <w:tc>
          <w:tcPr>
            <w:tcW w:w="2660" w:type="dxa"/>
          </w:tcPr>
          <w:p w14:paraId="516774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Новотрубный</w:t>
            </w:r>
          </w:p>
        </w:tc>
        <w:tc>
          <w:tcPr>
            <w:tcW w:w="2268" w:type="dxa"/>
          </w:tcPr>
          <w:p w14:paraId="08F577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Первоуральск</w:t>
            </w:r>
          </w:p>
        </w:tc>
        <w:tc>
          <w:tcPr>
            <w:tcW w:w="2551" w:type="dxa"/>
          </w:tcPr>
          <w:p w14:paraId="4C04E6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Поковки</w:t>
            </w:r>
          </w:p>
        </w:tc>
      </w:tr>
      <w:tr w:rsidR="007D5DF8" w:rsidRPr="00DB5D0D" w14:paraId="7AB95019" w14:textId="77777777" w:rsidTr="009223E5">
        <w:tc>
          <w:tcPr>
            <w:tcW w:w="2660" w:type="dxa"/>
          </w:tcPr>
          <w:p w14:paraId="0C9313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ЧТЗ</w:t>
            </w:r>
          </w:p>
        </w:tc>
        <w:tc>
          <w:tcPr>
            <w:tcW w:w="2268" w:type="dxa"/>
          </w:tcPr>
          <w:p w14:paraId="016F5F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Челябинск</w:t>
            </w:r>
          </w:p>
        </w:tc>
        <w:tc>
          <w:tcPr>
            <w:tcW w:w="2551" w:type="dxa"/>
          </w:tcPr>
          <w:p w14:paraId="28AFC8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Поковки</w:t>
            </w:r>
          </w:p>
        </w:tc>
      </w:tr>
      <w:tr w:rsidR="007D5DF8" w:rsidRPr="00DB5D0D" w14:paraId="5FAFB6CE" w14:textId="77777777" w:rsidTr="009223E5">
        <w:tc>
          <w:tcPr>
            <w:tcW w:w="2660" w:type="dxa"/>
          </w:tcPr>
          <w:p w14:paraId="3242D2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ГПЗ 1-й и 2-й</w:t>
            </w:r>
          </w:p>
        </w:tc>
        <w:tc>
          <w:tcPr>
            <w:tcW w:w="2268" w:type="dxa"/>
          </w:tcPr>
          <w:p w14:paraId="48A25E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2551" w:type="dxa"/>
          </w:tcPr>
          <w:p w14:paraId="1821B1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Роликошарикоподшипники</w:t>
            </w:r>
          </w:p>
        </w:tc>
      </w:tr>
      <w:tr w:rsidR="007D5DF8" w:rsidRPr="00DB5D0D" w14:paraId="22E8381D" w14:textId="77777777" w:rsidTr="009223E5">
        <w:tc>
          <w:tcPr>
            <w:tcW w:w="2660" w:type="dxa"/>
          </w:tcPr>
          <w:p w14:paraId="7304DD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20</w:t>
            </w:r>
          </w:p>
        </w:tc>
        <w:tc>
          <w:tcPr>
            <w:tcW w:w="2268" w:type="dxa"/>
          </w:tcPr>
          <w:p w14:paraId="1CBD90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2551" w:type="dxa"/>
          </w:tcPr>
          <w:p w14:paraId="2F531F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Помпы, кольца, клапаны</w:t>
            </w:r>
          </w:p>
        </w:tc>
      </w:tr>
      <w:tr w:rsidR="007D5DF8" w:rsidRPr="00DB5D0D" w14:paraId="764C9B32" w14:textId="77777777" w:rsidTr="009223E5">
        <w:tc>
          <w:tcPr>
            <w:tcW w:w="2660" w:type="dxa"/>
          </w:tcPr>
          <w:p w14:paraId="41BD82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Завод № 33</w:t>
            </w:r>
          </w:p>
        </w:tc>
        <w:tc>
          <w:tcPr>
            <w:tcW w:w="2268" w:type="dxa"/>
          </w:tcPr>
          <w:p w14:paraId="1E52E3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2551" w:type="dxa"/>
          </w:tcPr>
          <w:p w14:paraId="6CEDB5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Карбюраторы</w:t>
            </w:r>
          </w:p>
        </w:tc>
      </w:tr>
      <w:tr w:rsidR="007D5DF8" w:rsidRPr="00DB5D0D" w14:paraId="6859E4BB" w14:textId="77777777" w:rsidTr="009223E5">
        <w:tc>
          <w:tcPr>
            <w:tcW w:w="2660" w:type="dxa"/>
          </w:tcPr>
          <w:p w14:paraId="73EAC6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132</w:t>
            </w:r>
          </w:p>
        </w:tc>
        <w:tc>
          <w:tcPr>
            <w:tcW w:w="2268" w:type="dxa"/>
          </w:tcPr>
          <w:p w14:paraId="10C16D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2551" w:type="dxa"/>
          </w:tcPr>
          <w:p w14:paraId="678B5C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Пусковые приспособления и средства подогрева</w:t>
            </w:r>
          </w:p>
        </w:tc>
      </w:tr>
      <w:tr w:rsidR="007D5DF8" w:rsidRPr="00DB5D0D" w14:paraId="2C2D32A3" w14:textId="77777777" w:rsidTr="009223E5">
        <w:tc>
          <w:tcPr>
            <w:tcW w:w="2660" w:type="dxa"/>
          </w:tcPr>
          <w:p w14:paraId="5BA8C1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28</w:t>
            </w:r>
          </w:p>
        </w:tc>
        <w:tc>
          <w:tcPr>
            <w:tcW w:w="2268" w:type="dxa"/>
          </w:tcPr>
          <w:p w14:paraId="74052D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2551" w:type="dxa"/>
          </w:tcPr>
          <w:p w14:paraId="05B281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Металлические винты</w:t>
            </w:r>
          </w:p>
        </w:tc>
      </w:tr>
      <w:tr w:rsidR="007D5DF8" w:rsidRPr="00DB5D0D" w14:paraId="3EC81A54" w14:textId="77777777" w:rsidTr="009223E5">
        <w:tc>
          <w:tcPr>
            <w:tcW w:w="2660" w:type="dxa"/>
          </w:tcPr>
          <w:p w14:paraId="5CFC5C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150</w:t>
            </w:r>
          </w:p>
        </w:tc>
        <w:tc>
          <w:tcPr>
            <w:tcW w:w="2268" w:type="dxa"/>
          </w:tcPr>
          <w:p w14:paraId="5884BA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2551" w:type="dxa"/>
          </w:tcPr>
          <w:p w14:paraId="76F562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Металлические винты</w:t>
            </w:r>
          </w:p>
        </w:tc>
      </w:tr>
      <w:tr w:rsidR="007D5DF8" w:rsidRPr="00DB5D0D" w14:paraId="4A5C6171" w14:textId="77777777" w:rsidTr="009223E5">
        <w:tc>
          <w:tcPr>
            <w:tcW w:w="2660" w:type="dxa"/>
          </w:tcPr>
          <w:p w14:paraId="1DA6EE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АТЭ-1</w:t>
            </w:r>
          </w:p>
        </w:tc>
        <w:tc>
          <w:tcPr>
            <w:tcW w:w="2268" w:type="dxa"/>
          </w:tcPr>
          <w:p w14:paraId="282979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2551" w:type="dxa"/>
          </w:tcPr>
          <w:p w14:paraId="5A13F2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Приборы зажигания</w:t>
            </w:r>
          </w:p>
        </w:tc>
      </w:tr>
      <w:tr w:rsidR="007D5DF8" w:rsidRPr="00DB5D0D" w14:paraId="4B444EF4" w14:textId="77777777" w:rsidTr="009223E5">
        <w:tc>
          <w:tcPr>
            <w:tcW w:w="2660" w:type="dxa"/>
          </w:tcPr>
          <w:p w14:paraId="55130D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95</w:t>
            </w:r>
          </w:p>
        </w:tc>
        <w:tc>
          <w:tcPr>
            <w:tcW w:w="2268" w:type="dxa"/>
          </w:tcPr>
          <w:p w14:paraId="570C3F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Кунцево</w:t>
            </w:r>
          </w:p>
        </w:tc>
        <w:tc>
          <w:tcPr>
            <w:tcW w:w="2551" w:type="dxa"/>
          </w:tcPr>
          <w:p w14:paraId="0BEE2D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Поковки для металлических лопастей</w:t>
            </w:r>
          </w:p>
        </w:tc>
      </w:tr>
      <w:tr w:rsidR="007D5DF8" w:rsidRPr="00DB5D0D" w14:paraId="53EDF8CE" w14:textId="77777777" w:rsidTr="009223E5">
        <w:tc>
          <w:tcPr>
            <w:tcW w:w="2660" w:type="dxa"/>
          </w:tcPr>
          <w:p w14:paraId="1695B5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339</w:t>
            </w:r>
          </w:p>
        </w:tc>
        <w:tc>
          <w:tcPr>
            <w:tcW w:w="2268" w:type="dxa"/>
          </w:tcPr>
          <w:p w14:paraId="086812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Молотов</w:t>
            </w:r>
          </w:p>
        </w:tc>
        <w:tc>
          <w:tcPr>
            <w:tcW w:w="2551" w:type="dxa"/>
          </w:tcPr>
          <w:p w14:paraId="1BACEC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Карбюраторы</w:t>
            </w:r>
          </w:p>
        </w:tc>
      </w:tr>
      <w:tr w:rsidR="007D5DF8" w:rsidRPr="00DB5D0D" w14:paraId="22536750" w14:textId="77777777" w:rsidTr="009223E5">
        <w:tc>
          <w:tcPr>
            <w:tcW w:w="2660" w:type="dxa"/>
          </w:tcPr>
          <w:p w14:paraId="6B6ECA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50</w:t>
            </w:r>
          </w:p>
        </w:tc>
        <w:tc>
          <w:tcPr>
            <w:tcW w:w="2268" w:type="dxa"/>
          </w:tcPr>
          <w:p w14:paraId="146DD8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Пенза</w:t>
            </w:r>
          </w:p>
        </w:tc>
        <w:tc>
          <w:tcPr>
            <w:tcW w:w="2551" w:type="dxa"/>
          </w:tcPr>
          <w:p w14:paraId="5511AE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Авиасвечи</w:t>
            </w:r>
          </w:p>
        </w:tc>
      </w:tr>
      <w:tr w:rsidR="007D5DF8" w:rsidRPr="00DB5D0D" w14:paraId="3011DE55" w14:textId="77777777" w:rsidTr="009223E5">
        <w:tc>
          <w:tcPr>
            <w:tcW w:w="2660" w:type="dxa"/>
          </w:tcPr>
          <w:p w14:paraId="74AF2A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161</w:t>
            </w:r>
          </w:p>
        </w:tc>
        <w:tc>
          <w:tcPr>
            <w:tcW w:w="2268" w:type="dxa"/>
          </w:tcPr>
          <w:p w14:paraId="7F04F4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2551" w:type="dxa"/>
          </w:tcPr>
          <w:p w14:paraId="7C2B9C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Деревянные воздушные винты</w:t>
            </w:r>
          </w:p>
        </w:tc>
      </w:tr>
      <w:tr w:rsidR="007D5DF8" w:rsidRPr="00DB5D0D" w14:paraId="19189FC4" w14:textId="77777777" w:rsidTr="009223E5">
        <w:tc>
          <w:tcPr>
            <w:tcW w:w="2660" w:type="dxa"/>
          </w:tcPr>
          <w:p w14:paraId="388B20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162</w:t>
            </w:r>
          </w:p>
        </w:tc>
        <w:tc>
          <w:tcPr>
            <w:tcW w:w="2268" w:type="dxa"/>
          </w:tcPr>
          <w:p w14:paraId="4C77E0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Ленинград</w:t>
            </w:r>
          </w:p>
        </w:tc>
        <w:tc>
          <w:tcPr>
            <w:tcW w:w="2551" w:type="dxa"/>
          </w:tcPr>
          <w:p w14:paraId="2DF132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Деревянные воздушные винты</w:t>
            </w:r>
          </w:p>
        </w:tc>
      </w:tr>
      <w:tr w:rsidR="007D5DF8" w:rsidRPr="00DB5D0D" w14:paraId="3651A91B" w14:textId="77777777" w:rsidTr="009223E5">
        <w:tc>
          <w:tcPr>
            <w:tcW w:w="2660" w:type="dxa"/>
          </w:tcPr>
          <w:p w14:paraId="60B5F3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168</w:t>
            </w:r>
          </w:p>
        </w:tc>
        <w:tc>
          <w:tcPr>
            <w:tcW w:w="2268" w:type="dxa"/>
          </w:tcPr>
          <w:p w14:paraId="3F5112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Рязань</w:t>
            </w:r>
          </w:p>
        </w:tc>
        <w:tc>
          <w:tcPr>
            <w:tcW w:w="2551" w:type="dxa"/>
          </w:tcPr>
          <w:p w14:paraId="24323C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Деревянные воздушные винты</w:t>
            </w:r>
          </w:p>
        </w:tc>
      </w:tr>
      <w:tr w:rsidR="007D5DF8" w:rsidRPr="00DB5D0D" w14:paraId="634F57BC" w14:textId="77777777" w:rsidTr="009223E5">
        <w:tc>
          <w:tcPr>
            <w:tcW w:w="2660" w:type="dxa"/>
          </w:tcPr>
          <w:p w14:paraId="75D147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Оргоборонпром</w:t>
            </w:r>
          </w:p>
        </w:tc>
        <w:tc>
          <w:tcPr>
            <w:tcW w:w="2268" w:type="dxa"/>
          </w:tcPr>
          <w:p w14:paraId="78AB19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2551" w:type="dxa"/>
          </w:tcPr>
          <w:p w14:paraId="570484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Турбокомпрессоры</w:t>
            </w:r>
          </w:p>
        </w:tc>
      </w:tr>
    </w:tbl>
    <w:p w14:paraId="75E5B9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(7712, 100)</w:t>
      </w:r>
    </w:p>
    <w:p w14:paraId="090F831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3252AA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3E30B7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83B74D3" w14:textId="77777777" w:rsidR="00A25AD1" w:rsidRPr="00DB5D0D" w:rsidRDefault="00A25AD1" w:rsidP="00DB5D0D">
      <w:pPr>
        <w:pStyle w:val="a3"/>
        <w:rPr>
          <w:color w:val="000000" w:themeColor="text1"/>
          <w:lang w:val="ru-RU"/>
        </w:rPr>
      </w:pPr>
      <w:r w:rsidRPr="00DB5D0D">
        <w:rPr>
          <w:color w:val="000000" w:themeColor="text1"/>
          <w:lang w:val="ru-RU"/>
        </w:rPr>
        <w:t>9 мая 1940 был заключен договор на изготовление опытного огнеметного прибора ОП-34, получивший номер 153/сб/35. По этому дого</w:t>
      </w:r>
      <w:r w:rsidRPr="00DB5D0D">
        <w:rPr>
          <w:color w:val="000000" w:themeColor="text1"/>
          <w:lang w:val="ru-RU"/>
        </w:rPr>
        <w:softHyphen/>
        <w:t>вору завод №183 был обязан изготовить и подготовить ОП-34 к по</w:t>
      </w:r>
      <w:r w:rsidRPr="00DB5D0D">
        <w:rPr>
          <w:color w:val="000000" w:themeColor="text1"/>
          <w:lang w:val="ru-RU"/>
        </w:rPr>
        <w:softHyphen/>
        <w:t>лигонным испытаниям не позднее 15 сентября 1940 г. (11900).</w:t>
      </w:r>
    </w:p>
    <w:p w14:paraId="0BFD9D05" w14:textId="77777777" w:rsidR="00A25AD1" w:rsidRPr="00DB5D0D" w:rsidRDefault="00A25AD1" w:rsidP="00DB5D0D">
      <w:pPr>
        <w:pStyle w:val="a3"/>
        <w:rPr>
          <w:color w:val="000000" w:themeColor="text1"/>
          <w:lang w:val="ru-RU"/>
        </w:rPr>
      </w:pPr>
    </w:p>
    <w:p w14:paraId="1B7D7E8B" w14:textId="77777777" w:rsidR="004A0330" w:rsidRPr="00DB5D0D" w:rsidRDefault="004A0330" w:rsidP="00DB5D0D">
      <w:pPr>
        <w:spacing w:after="0" w:line="240" w:lineRule="auto"/>
        <w:jc w:val="both"/>
        <w:rPr>
          <w:rFonts w:ascii="Times New Roman" w:hAnsi="Times New Roman"/>
          <w:color w:val="000000" w:themeColor="text1"/>
          <w:sz w:val="16"/>
          <w:szCs w:val="16"/>
        </w:rPr>
      </w:pPr>
      <w:bookmarkStart w:id="20" w:name="bookmark5"/>
      <w:r w:rsidRPr="00DB5D0D">
        <w:rPr>
          <w:rFonts w:ascii="Times New Roman" w:hAnsi="Times New Roman"/>
          <w:color w:val="000000" w:themeColor="text1"/>
          <w:sz w:val="16"/>
          <w:szCs w:val="16"/>
        </w:rPr>
        <w:t>9 мая 1940 на заводе ДРО прошло совещание по вопросу испытаний доработанных ХП-2. Требова</w:t>
      </w:r>
      <w:r w:rsidRPr="00DB5D0D">
        <w:rPr>
          <w:rFonts w:ascii="Times New Roman" w:hAnsi="Times New Roman"/>
          <w:color w:val="000000" w:themeColor="text1"/>
          <w:sz w:val="16"/>
          <w:szCs w:val="16"/>
        </w:rPr>
        <w:softHyphen/>
        <w:t>лось внести изменения в ходовую часть, усилить рессоры и лыжи (по чертежам завода №37), заменить ленточную буферную пружину для водила на цилиндрическую. Предлагалось использовать запоры дверок и лючков, анало</w:t>
      </w:r>
      <w:r w:rsidRPr="00DB5D0D">
        <w:rPr>
          <w:rFonts w:ascii="Times New Roman" w:hAnsi="Times New Roman"/>
          <w:color w:val="000000" w:themeColor="text1"/>
          <w:sz w:val="16"/>
          <w:szCs w:val="16"/>
        </w:rPr>
        <w:softHyphen/>
        <w:t xml:space="preserve">гичные установленным на бронеавтомобиле БА-20М. который также выпускался заводом </w:t>
      </w:r>
      <w:r w:rsidRPr="00DB5D0D">
        <w:rPr>
          <w:rStyle w:val="8pt0pt0"/>
          <w:rFonts w:ascii="Times New Roman" w:hAnsi="Times New Roman" w:cs="Times New Roman"/>
          <w:color w:val="000000" w:themeColor="text1"/>
          <w:spacing w:val="0"/>
        </w:rPr>
        <w:t>ДРО.</w:t>
      </w:r>
    </w:p>
    <w:p w14:paraId="386C570A"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Представить установочную партию из де</w:t>
      </w:r>
      <w:r w:rsidRPr="00DB5D0D">
        <w:rPr>
          <w:rFonts w:ascii="Times New Roman" w:hAnsi="Times New Roman"/>
          <w:color w:val="000000" w:themeColor="text1"/>
          <w:sz w:val="16"/>
          <w:szCs w:val="16"/>
        </w:rPr>
        <w:softHyphen/>
        <w:t>сяти прицепок ХП-2 следовало уже к 1 июля 1940 г., и, по мнению ХИМУ, завод мог уже с июля приступить к их серийному выпуску. В мае ХИМУ заключило с заводом договор на изготовление десяти ХП-2 установочной пар</w:t>
      </w:r>
      <w:r w:rsidRPr="00DB5D0D">
        <w:rPr>
          <w:rFonts w:ascii="Times New Roman" w:hAnsi="Times New Roman"/>
          <w:color w:val="000000" w:themeColor="text1"/>
          <w:sz w:val="16"/>
          <w:szCs w:val="16"/>
        </w:rPr>
        <w:softHyphen/>
        <w:t>тии, а также доработку к 15 июня опытной при</w:t>
      </w:r>
      <w:r w:rsidRPr="00DB5D0D">
        <w:rPr>
          <w:rFonts w:ascii="Times New Roman" w:hAnsi="Times New Roman"/>
          <w:color w:val="000000" w:themeColor="text1"/>
          <w:sz w:val="16"/>
          <w:szCs w:val="16"/>
        </w:rPr>
        <w:softHyphen/>
        <w:t>цепки, изготовленной еще по договору №73, по чертежам установочной партии.</w:t>
      </w:r>
    </w:p>
    <w:p w14:paraId="2F53EB7B" w14:textId="77777777" w:rsidR="004A0330" w:rsidRPr="00DB5D0D" w:rsidRDefault="004A0330"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В том же месяце составили временную ин</w:t>
      </w:r>
      <w:r w:rsidRPr="00DB5D0D">
        <w:rPr>
          <w:rFonts w:ascii="Times New Roman" w:hAnsi="Times New Roman" w:cs="Times New Roman"/>
          <w:color w:val="000000" w:themeColor="text1"/>
        </w:rPr>
        <w:softHyphen/>
        <w:t>струкцию по уходу за химприцепкой (17480).</w:t>
      </w:r>
      <w:bookmarkEnd w:id="20"/>
    </w:p>
    <w:p w14:paraId="417DA726" w14:textId="77777777" w:rsidR="004A0330" w:rsidRPr="00DB5D0D" w:rsidRDefault="004A0330" w:rsidP="00DB5D0D">
      <w:pPr>
        <w:spacing w:after="0" w:line="240" w:lineRule="auto"/>
        <w:jc w:val="both"/>
        <w:rPr>
          <w:rFonts w:ascii="Times New Roman" w:hAnsi="Times New Roman"/>
          <w:color w:val="000000" w:themeColor="text1"/>
          <w:sz w:val="16"/>
          <w:szCs w:val="16"/>
        </w:rPr>
      </w:pPr>
    </w:p>
    <w:p w14:paraId="0C823200" w14:textId="77777777" w:rsidR="004E4B2C" w:rsidRPr="00DB5D0D" w:rsidRDefault="004E4B2C"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bCs/>
          <w:iCs/>
          <w:color w:val="000000" w:themeColor="text1"/>
          <w:sz w:val="16"/>
          <w:szCs w:val="16"/>
        </w:rPr>
        <w:t>9 мая 1940 г.</w:t>
      </w:r>
      <w:r w:rsidRPr="00DB5D0D">
        <w:rPr>
          <w:rFonts w:ascii="Times New Roman" w:hAnsi="Times New Roman"/>
          <w:color w:val="000000" w:themeColor="text1"/>
          <w:sz w:val="16"/>
          <w:szCs w:val="16"/>
        </w:rPr>
        <w:t> Письмо наркома обороны СССР К.Е.Ворошилова в «Политбюро ЦК ВКП(б), тов.Сталину И.В.; СНК СССР, тов. Молотову В.М.». Маршал сделал вид, что в армии вообще не существуют химические войска, а имеются лишь огнеметные (</w:t>
      </w:r>
      <w:r w:rsidRPr="00DB5D0D">
        <w:rPr>
          <w:rFonts w:ascii="Times New Roman" w:hAnsi="Times New Roman"/>
          <w:iCs/>
          <w:color w:val="000000" w:themeColor="text1"/>
          <w:sz w:val="16"/>
          <w:szCs w:val="16"/>
        </w:rPr>
        <w:t>«Химические огнеметные части в настоящее время состоят из трех танковых огнеметных бригад, двух отдельных огнеметных батальонов и одного опытного огнеметного батальона»</w:t>
      </w:r>
      <w:r w:rsidRPr="00DB5D0D">
        <w:rPr>
          <w:rFonts w:ascii="Times New Roman" w:hAnsi="Times New Roman"/>
          <w:color w:val="000000" w:themeColor="text1"/>
          <w:sz w:val="16"/>
          <w:szCs w:val="16"/>
        </w:rPr>
        <w:t>) и минометные части. Это было ошибкой — огнеметные успехи 1939 года в Монголии вовсе не отменяли химическую мечту И.В.Сталина (17133).</w:t>
      </w:r>
    </w:p>
    <w:p w14:paraId="79C4F1A1" w14:textId="77777777" w:rsidR="004E4B2C" w:rsidRPr="00DB5D0D" w:rsidRDefault="004E4B2C" w:rsidP="00DB5D0D">
      <w:pPr>
        <w:shd w:val="clear" w:color="auto" w:fill="FFFFFF"/>
        <w:spacing w:after="0" w:line="240" w:lineRule="auto"/>
        <w:jc w:val="both"/>
        <w:rPr>
          <w:rFonts w:ascii="Times New Roman" w:hAnsi="Times New Roman"/>
          <w:color w:val="000000" w:themeColor="text1"/>
          <w:sz w:val="16"/>
          <w:szCs w:val="16"/>
        </w:rPr>
      </w:pPr>
    </w:p>
    <w:p w14:paraId="1376A035" w14:textId="77777777" w:rsidR="004E4B2C" w:rsidRPr="00DB5D0D" w:rsidRDefault="004E4B2C"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bCs/>
          <w:iCs/>
          <w:color w:val="000000" w:themeColor="text1"/>
          <w:sz w:val="16"/>
          <w:szCs w:val="16"/>
        </w:rPr>
        <w:t>9-10 мая 1940 г.</w:t>
      </w:r>
      <w:r w:rsidRPr="00DB5D0D">
        <w:rPr>
          <w:rFonts w:ascii="Times New Roman" w:hAnsi="Times New Roman"/>
          <w:color w:val="000000" w:themeColor="text1"/>
          <w:sz w:val="16"/>
          <w:szCs w:val="16"/>
        </w:rPr>
        <w:t xml:space="preserve"> Рассмотрение подкомиссией Комиссии Главного военного совета РККА под председательством генерал-полковника Г.М.Штерна новой системы химического вооружения РККА. Содержала ОВ: иприт, люизит, трихлортриэтиламин, синильная кислота, фосген, дифосген, хлорацетофенон, адамсит, дифенилхлорарсин. Кроме того, рассматривались опытные образцы вязких рецептур СОВ и трифенилстибин (17133).</w:t>
      </w:r>
    </w:p>
    <w:p w14:paraId="48ECC853" w14:textId="77777777" w:rsidR="004E4B2C" w:rsidRPr="00DB5D0D" w:rsidRDefault="004E4B2C" w:rsidP="00DB5D0D">
      <w:pPr>
        <w:shd w:val="clear" w:color="auto" w:fill="FFFFFF"/>
        <w:spacing w:after="0" w:line="240" w:lineRule="auto"/>
        <w:jc w:val="both"/>
        <w:rPr>
          <w:rFonts w:ascii="Times New Roman" w:hAnsi="Times New Roman"/>
          <w:color w:val="000000" w:themeColor="text1"/>
          <w:sz w:val="16"/>
          <w:szCs w:val="16"/>
        </w:rPr>
      </w:pPr>
    </w:p>
    <w:p w14:paraId="3ECE056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00B1ED7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4EF34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 позднее 9 мая 1940 г. Предложения подкомиссии по системе вооружения ВВС Красной Армии (Датируется по препроводительной записке начальника ВВС Красной Армии Я. В. Смушкевича на бланке Главного управления ВВС Красной армии от 9 мая 1940 г. </w:t>
      </w:r>
      <w:r w:rsidRPr="00DB5D0D">
        <w:rPr>
          <w:rFonts w:ascii="Times New Roman" w:hAnsi="Times New Roman"/>
          <w:iCs/>
          <w:color w:val="000000" w:themeColor="text1"/>
          <w:sz w:val="16"/>
          <w:szCs w:val="16"/>
        </w:rPr>
        <w:t>(Там же, л. 1. Подлинник).</w:t>
      </w:r>
    </w:p>
    <w:p w14:paraId="27D08A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I</w:t>
      </w:r>
    </w:p>
    <w:p w14:paraId="064E01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Типаж самолетов ВВС КА до 1943 г.</w:t>
      </w:r>
    </w:p>
    <w:p w14:paraId="798D02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Истребители:</w:t>
      </w:r>
    </w:p>
    <w:p w14:paraId="3197BB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Скоростной одноместный и одномоторный.</w:t>
      </w:r>
    </w:p>
    <w:p w14:paraId="24FA4B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Скоростной двухмоторный.</w:t>
      </w:r>
    </w:p>
    <w:p w14:paraId="312C5A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Бомбардировщики:</w:t>
      </w:r>
    </w:p>
    <w:p w14:paraId="0D8A93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Ближний одномоторный двухместный.</w:t>
      </w:r>
    </w:p>
    <w:p w14:paraId="1845DA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Средний двухмоторный 3—4-местный.</w:t>
      </w:r>
    </w:p>
    <w:p w14:paraId="4AD9FC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Дальний двухмоторный 4-местный</w:t>
      </w:r>
    </w:p>
    <w:p w14:paraId="27C58B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4-моторный ночной и транспортный 7—8-местный. </w:t>
      </w:r>
      <w:r w:rsidRPr="00DB5D0D">
        <w:rPr>
          <w:rFonts w:ascii="Times New Roman" w:hAnsi="Times New Roman"/>
          <w:iCs/>
          <w:color w:val="000000" w:themeColor="text1"/>
          <w:sz w:val="16"/>
          <w:szCs w:val="16"/>
        </w:rPr>
        <w:t xml:space="preserve">Примечание: </w:t>
      </w:r>
      <w:r w:rsidRPr="00DB5D0D">
        <w:rPr>
          <w:rFonts w:ascii="Times New Roman" w:hAnsi="Times New Roman"/>
          <w:color w:val="000000" w:themeColor="text1"/>
          <w:sz w:val="16"/>
          <w:szCs w:val="16"/>
        </w:rPr>
        <w:t>Ближний и средний бомбардировщики должны быть пикирующими.</w:t>
      </w:r>
    </w:p>
    <w:p w14:paraId="60779F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r w:rsidRPr="00DB5D0D">
        <w:rPr>
          <w:rFonts w:ascii="Times New Roman" w:hAnsi="Times New Roman"/>
          <w:iCs/>
          <w:color w:val="000000" w:themeColor="text1"/>
          <w:sz w:val="16"/>
          <w:szCs w:val="16"/>
        </w:rPr>
        <w:t>Штурмовики:</w:t>
      </w:r>
    </w:p>
    <w:p w14:paraId="681D67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Бронированные одноместные.</w:t>
      </w:r>
    </w:p>
    <w:p w14:paraId="4B11BE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Разведчики:</w:t>
      </w:r>
    </w:p>
    <w:p w14:paraId="02C375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выполнения разведки необходимо использовать истребительные и бомбардировочные самолеты, соответственно оборудовав для выполнения разведки эти самолеты.</w:t>
      </w:r>
    </w:p>
    <w:p w14:paraId="1F854C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w:t>
      </w:r>
      <w:r w:rsidRPr="00DB5D0D">
        <w:rPr>
          <w:rFonts w:ascii="Times New Roman" w:hAnsi="Times New Roman"/>
          <w:iCs/>
          <w:color w:val="000000" w:themeColor="text1"/>
          <w:sz w:val="16"/>
          <w:szCs w:val="16"/>
        </w:rPr>
        <w:t>Транспортные и санитарные:</w:t>
      </w:r>
    </w:p>
    <w:p w14:paraId="57D5AE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Двухмоторные типа «Дуглас».</w:t>
      </w:r>
    </w:p>
    <w:p w14:paraId="3B855B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Двухмоторные легкие типа «Драгон».</w:t>
      </w:r>
    </w:p>
    <w:p w14:paraId="061672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w:t>
      </w:r>
      <w:r w:rsidRPr="00DB5D0D">
        <w:rPr>
          <w:rFonts w:ascii="Times New Roman" w:hAnsi="Times New Roman"/>
          <w:iCs/>
          <w:color w:val="000000" w:themeColor="text1"/>
          <w:sz w:val="16"/>
          <w:szCs w:val="16"/>
        </w:rPr>
        <w:t>Связи:</w:t>
      </w:r>
    </w:p>
    <w:p w14:paraId="2639A4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Типа «Аист», трехместный, с отличным обзором, оборудованные радио.</w:t>
      </w:r>
    </w:p>
    <w:p w14:paraId="0C79B2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w:t>
      </w:r>
      <w:r w:rsidRPr="00DB5D0D">
        <w:rPr>
          <w:rFonts w:ascii="Times New Roman" w:hAnsi="Times New Roman"/>
          <w:iCs/>
          <w:color w:val="000000" w:themeColor="text1"/>
          <w:sz w:val="16"/>
          <w:szCs w:val="16"/>
        </w:rPr>
        <w:t>Корректировщик:</w:t>
      </w:r>
    </w:p>
    <w:p w14:paraId="33CD48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Трехместный, с отличным обзором и хорошими средствами связи. С хорошим диапазоном скоростей и обязательно со средствами оптического наблюдения.</w:t>
      </w:r>
    </w:p>
    <w:p w14:paraId="657564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w:t>
      </w:r>
      <w:r w:rsidRPr="00DB5D0D">
        <w:rPr>
          <w:rFonts w:ascii="Times New Roman" w:hAnsi="Times New Roman"/>
          <w:iCs/>
          <w:color w:val="000000" w:themeColor="text1"/>
          <w:sz w:val="16"/>
          <w:szCs w:val="16"/>
        </w:rPr>
        <w:t>Учебные и тренировочные:</w:t>
      </w:r>
    </w:p>
    <w:p w14:paraId="63ABDF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Первоначального обучения типа У-2, двухместный.</w:t>
      </w:r>
    </w:p>
    <w:p w14:paraId="539EDB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Учебно-тренировочные 2-местные, одномоторные.</w:t>
      </w:r>
    </w:p>
    <w:p w14:paraId="1054E9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Учебно-тренировочные одноместные, одномоторные.</w:t>
      </w:r>
    </w:p>
    <w:p w14:paraId="2489B6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Учебно-тренировочный 2-моторный и 2—3-местный.</w:t>
      </w:r>
    </w:p>
    <w:p w14:paraId="5221C6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Скорость</w:t>
      </w:r>
    </w:p>
    <w:p w14:paraId="74BBF7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ближайшие годы необходимо поступление серийных самолетов на вооружение ВВС Красной Армии со следующими скоростями на высоте 6000-8000 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49"/>
        <w:gridCol w:w="590"/>
        <w:gridCol w:w="2520"/>
      </w:tblGrid>
      <w:tr w:rsidR="007D5DF8" w:rsidRPr="00DB5D0D" w14:paraId="4C76B9B0" w14:textId="77777777" w:rsidTr="009223E5">
        <w:trPr>
          <w:cantSplit/>
          <w:trHeight w:val="235"/>
        </w:trPr>
        <w:tc>
          <w:tcPr>
            <w:tcW w:w="1339" w:type="dxa"/>
            <w:gridSpan w:val="2"/>
            <w:tcBorders>
              <w:top w:val="single" w:sz="12" w:space="0" w:color="auto"/>
            </w:tcBorders>
            <w:shd w:val="clear" w:color="auto" w:fill="FFFFFF"/>
          </w:tcPr>
          <w:p w14:paraId="6A24E6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Истребители:</w:t>
            </w:r>
          </w:p>
        </w:tc>
        <w:tc>
          <w:tcPr>
            <w:tcW w:w="2520" w:type="dxa"/>
            <w:tcBorders>
              <w:top w:val="single" w:sz="12" w:space="0" w:color="auto"/>
            </w:tcBorders>
            <w:shd w:val="clear" w:color="auto" w:fill="FFFFFF"/>
          </w:tcPr>
          <w:p w14:paraId="24AE44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098064A" w14:textId="77777777" w:rsidTr="009223E5">
        <w:trPr>
          <w:cantSplit/>
          <w:trHeight w:val="211"/>
        </w:trPr>
        <w:tc>
          <w:tcPr>
            <w:tcW w:w="749" w:type="dxa"/>
            <w:shd w:val="clear" w:color="auto" w:fill="FFFFFF"/>
          </w:tcPr>
          <w:p w14:paraId="01BE69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w:t>
            </w:r>
          </w:p>
        </w:tc>
        <w:tc>
          <w:tcPr>
            <w:tcW w:w="590" w:type="dxa"/>
            <w:shd w:val="clear" w:color="auto" w:fill="FFFFFF"/>
          </w:tcPr>
          <w:p w14:paraId="00E363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560-</w:t>
            </w:r>
          </w:p>
        </w:tc>
        <w:tc>
          <w:tcPr>
            <w:tcW w:w="2520" w:type="dxa"/>
            <w:shd w:val="clear" w:color="auto" w:fill="FFFFFF"/>
          </w:tcPr>
          <w:p w14:paraId="2E5A7D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 км/ч;</w:t>
            </w:r>
          </w:p>
        </w:tc>
      </w:tr>
      <w:tr w:rsidR="007D5DF8" w:rsidRPr="00DB5D0D" w14:paraId="05B06BB8" w14:textId="77777777" w:rsidTr="009223E5">
        <w:trPr>
          <w:cantSplit/>
          <w:trHeight w:val="230"/>
        </w:trPr>
        <w:tc>
          <w:tcPr>
            <w:tcW w:w="749" w:type="dxa"/>
            <w:shd w:val="clear" w:color="auto" w:fill="FFFFFF"/>
          </w:tcPr>
          <w:p w14:paraId="43362B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 г.</w:t>
            </w:r>
          </w:p>
        </w:tc>
        <w:tc>
          <w:tcPr>
            <w:tcW w:w="590" w:type="dxa"/>
            <w:shd w:val="clear" w:color="auto" w:fill="FFFFFF"/>
          </w:tcPr>
          <w:p w14:paraId="10212B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w:t>
            </w:r>
          </w:p>
        </w:tc>
        <w:tc>
          <w:tcPr>
            <w:tcW w:w="2520" w:type="dxa"/>
            <w:shd w:val="clear" w:color="auto" w:fill="FFFFFF"/>
          </w:tcPr>
          <w:p w14:paraId="638F25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r w:rsidR="007D5DF8" w:rsidRPr="00DB5D0D" w14:paraId="12887470" w14:textId="77777777" w:rsidTr="009223E5">
        <w:trPr>
          <w:cantSplit/>
          <w:trHeight w:val="226"/>
        </w:trPr>
        <w:tc>
          <w:tcPr>
            <w:tcW w:w="749" w:type="dxa"/>
            <w:shd w:val="clear" w:color="auto" w:fill="FFFFFF"/>
          </w:tcPr>
          <w:p w14:paraId="5C2136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 г.</w:t>
            </w:r>
          </w:p>
        </w:tc>
        <w:tc>
          <w:tcPr>
            <w:tcW w:w="590" w:type="dxa"/>
            <w:shd w:val="clear" w:color="auto" w:fill="FFFFFF"/>
          </w:tcPr>
          <w:p w14:paraId="0130EE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2520" w:type="dxa"/>
            <w:shd w:val="clear" w:color="auto" w:fill="FFFFFF"/>
          </w:tcPr>
          <w:p w14:paraId="4D4CB3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r w:rsidR="007D5DF8" w:rsidRPr="00DB5D0D" w14:paraId="40BE7CA0" w14:textId="77777777" w:rsidTr="009223E5">
        <w:trPr>
          <w:cantSplit/>
          <w:trHeight w:val="226"/>
        </w:trPr>
        <w:tc>
          <w:tcPr>
            <w:tcW w:w="749" w:type="dxa"/>
            <w:shd w:val="clear" w:color="auto" w:fill="FFFFFF"/>
          </w:tcPr>
          <w:p w14:paraId="17E7A0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1943 г.</w:t>
            </w:r>
          </w:p>
        </w:tc>
        <w:tc>
          <w:tcPr>
            <w:tcW w:w="590" w:type="dxa"/>
            <w:shd w:val="clear" w:color="auto" w:fill="FFFFFF"/>
          </w:tcPr>
          <w:p w14:paraId="2BFB1C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w:t>
            </w:r>
          </w:p>
        </w:tc>
        <w:tc>
          <w:tcPr>
            <w:tcW w:w="2520" w:type="dxa"/>
            <w:shd w:val="clear" w:color="auto" w:fill="FFFFFF"/>
          </w:tcPr>
          <w:p w14:paraId="5B8CB9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r w:rsidR="007D5DF8" w:rsidRPr="00DB5D0D" w14:paraId="675C56CB" w14:textId="77777777" w:rsidTr="009223E5">
        <w:trPr>
          <w:cantSplit/>
          <w:trHeight w:val="240"/>
        </w:trPr>
        <w:tc>
          <w:tcPr>
            <w:tcW w:w="3859" w:type="dxa"/>
            <w:gridSpan w:val="3"/>
            <w:shd w:val="clear" w:color="auto" w:fill="FFFFFF"/>
          </w:tcPr>
          <w:p w14:paraId="66BFCE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Ближние одномоторные бомбардировщики:</w:t>
            </w:r>
          </w:p>
        </w:tc>
      </w:tr>
      <w:tr w:rsidR="007D5DF8" w:rsidRPr="00DB5D0D" w14:paraId="607A45A8" w14:textId="77777777" w:rsidTr="009223E5">
        <w:trPr>
          <w:cantSplit/>
          <w:trHeight w:val="211"/>
        </w:trPr>
        <w:tc>
          <w:tcPr>
            <w:tcW w:w="749" w:type="dxa"/>
            <w:shd w:val="clear" w:color="auto" w:fill="FFFFFF"/>
          </w:tcPr>
          <w:p w14:paraId="5C7A8C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w:t>
            </w:r>
          </w:p>
        </w:tc>
        <w:tc>
          <w:tcPr>
            <w:tcW w:w="590" w:type="dxa"/>
            <w:shd w:val="clear" w:color="auto" w:fill="FFFFFF"/>
          </w:tcPr>
          <w:p w14:paraId="646CF3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c>
          <w:tcPr>
            <w:tcW w:w="2520" w:type="dxa"/>
            <w:shd w:val="clear" w:color="auto" w:fill="FFFFFF"/>
          </w:tcPr>
          <w:p w14:paraId="42D0D4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км/ч;</w:t>
            </w:r>
          </w:p>
        </w:tc>
      </w:tr>
      <w:tr w:rsidR="007D5DF8" w:rsidRPr="00DB5D0D" w14:paraId="73E1A48F" w14:textId="77777777" w:rsidTr="009223E5">
        <w:trPr>
          <w:cantSplit/>
          <w:trHeight w:val="221"/>
        </w:trPr>
        <w:tc>
          <w:tcPr>
            <w:tcW w:w="749" w:type="dxa"/>
            <w:shd w:val="clear" w:color="auto" w:fill="FFFFFF"/>
          </w:tcPr>
          <w:p w14:paraId="4DCF33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 г.</w:t>
            </w:r>
          </w:p>
        </w:tc>
        <w:tc>
          <w:tcPr>
            <w:tcW w:w="590" w:type="dxa"/>
            <w:shd w:val="clear" w:color="auto" w:fill="FFFFFF"/>
          </w:tcPr>
          <w:p w14:paraId="20E708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w:t>
            </w:r>
          </w:p>
        </w:tc>
        <w:tc>
          <w:tcPr>
            <w:tcW w:w="2520" w:type="dxa"/>
            <w:shd w:val="clear" w:color="auto" w:fill="FFFFFF"/>
          </w:tcPr>
          <w:p w14:paraId="5A4714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r w:rsidR="007D5DF8" w:rsidRPr="00DB5D0D" w14:paraId="1691FAB8" w14:textId="77777777" w:rsidTr="009223E5">
        <w:trPr>
          <w:cantSplit/>
          <w:trHeight w:val="230"/>
        </w:trPr>
        <w:tc>
          <w:tcPr>
            <w:tcW w:w="749" w:type="dxa"/>
            <w:shd w:val="clear" w:color="auto" w:fill="FFFFFF"/>
          </w:tcPr>
          <w:p w14:paraId="3272E7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 г.</w:t>
            </w:r>
          </w:p>
        </w:tc>
        <w:tc>
          <w:tcPr>
            <w:tcW w:w="590" w:type="dxa"/>
            <w:shd w:val="clear" w:color="auto" w:fill="FFFFFF"/>
          </w:tcPr>
          <w:p w14:paraId="7D2FB1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2520" w:type="dxa"/>
            <w:shd w:val="clear" w:color="auto" w:fill="FFFFFF"/>
          </w:tcPr>
          <w:p w14:paraId="29BEC4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r w:rsidR="007D5DF8" w:rsidRPr="00DB5D0D" w14:paraId="505A00BE" w14:textId="77777777" w:rsidTr="009223E5">
        <w:trPr>
          <w:cantSplit/>
          <w:trHeight w:val="221"/>
        </w:trPr>
        <w:tc>
          <w:tcPr>
            <w:tcW w:w="749" w:type="dxa"/>
            <w:shd w:val="clear" w:color="auto" w:fill="FFFFFF"/>
          </w:tcPr>
          <w:p w14:paraId="794C28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1943 г.</w:t>
            </w:r>
          </w:p>
        </w:tc>
        <w:tc>
          <w:tcPr>
            <w:tcW w:w="590" w:type="dxa"/>
            <w:shd w:val="clear" w:color="auto" w:fill="FFFFFF"/>
          </w:tcPr>
          <w:p w14:paraId="79B7D7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w:t>
            </w:r>
          </w:p>
        </w:tc>
        <w:tc>
          <w:tcPr>
            <w:tcW w:w="2520" w:type="dxa"/>
            <w:shd w:val="clear" w:color="auto" w:fill="FFFFFF"/>
          </w:tcPr>
          <w:p w14:paraId="1CD91D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r w:rsidR="007D5DF8" w:rsidRPr="00DB5D0D" w14:paraId="23DB9BE6" w14:textId="77777777" w:rsidTr="009223E5">
        <w:trPr>
          <w:cantSplit/>
          <w:trHeight w:val="240"/>
        </w:trPr>
        <w:tc>
          <w:tcPr>
            <w:tcW w:w="3859" w:type="dxa"/>
            <w:gridSpan w:val="3"/>
            <w:shd w:val="clear" w:color="auto" w:fill="FFFFFF"/>
          </w:tcPr>
          <w:p w14:paraId="27DB51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lastRenderedPageBreak/>
              <w:t>Средние двухмоторные бомбардировщики:</w:t>
            </w:r>
          </w:p>
        </w:tc>
      </w:tr>
      <w:tr w:rsidR="007D5DF8" w:rsidRPr="00DB5D0D" w14:paraId="057A0C02" w14:textId="77777777" w:rsidTr="009223E5">
        <w:trPr>
          <w:cantSplit/>
          <w:trHeight w:val="216"/>
        </w:trPr>
        <w:tc>
          <w:tcPr>
            <w:tcW w:w="749" w:type="dxa"/>
            <w:shd w:val="clear" w:color="auto" w:fill="FFFFFF"/>
          </w:tcPr>
          <w:p w14:paraId="3AF891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w:t>
            </w:r>
          </w:p>
        </w:tc>
        <w:tc>
          <w:tcPr>
            <w:tcW w:w="590" w:type="dxa"/>
            <w:shd w:val="clear" w:color="auto" w:fill="FFFFFF"/>
          </w:tcPr>
          <w:p w14:paraId="6CE0CE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520" w:type="dxa"/>
            <w:shd w:val="clear" w:color="auto" w:fill="FFFFFF"/>
          </w:tcPr>
          <w:p w14:paraId="076D41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 км/ч;</w:t>
            </w:r>
          </w:p>
        </w:tc>
      </w:tr>
      <w:tr w:rsidR="007D5DF8" w:rsidRPr="00DB5D0D" w14:paraId="2DC70775" w14:textId="77777777" w:rsidTr="009223E5">
        <w:trPr>
          <w:cantSplit/>
          <w:trHeight w:val="221"/>
        </w:trPr>
        <w:tc>
          <w:tcPr>
            <w:tcW w:w="749" w:type="dxa"/>
            <w:shd w:val="clear" w:color="auto" w:fill="FFFFFF"/>
          </w:tcPr>
          <w:p w14:paraId="362B6D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 г.</w:t>
            </w:r>
          </w:p>
        </w:tc>
        <w:tc>
          <w:tcPr>
            <w:tcW w:w="590" w:type="dxa"/>
            <w:shd w:val="clear" w:color="auto" w:fill="FFFFFF"/>
          </w:tcPr>
          <w:p w14:paraId="3B150A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2520" w:type="dxa"/>
            <w:shd w:val="clear" w:color="auto" w:fill="FFFFFF"/>
          </w:tcPr>
          <w:p w14:paraId="3147E2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r w:rsidR="007D5DF8" w:rsidRPr="00DB5D0D" w14:paraId="5617D2E8" w14:textId="77777777" w:rsidTr="009223E5">
        <w:trPr>
          <w:cantSplit/>
          <w:trHeight w:val="226"/>
        </w:trPr>
        <w:tc>
          <w:tcPr>
            <w:tcW w:w="749" w:type="dxa"/>
            <w:shd w:val="clear" w:color="auto" w:fill="FFFFFF"/>
          </w:tcPr>
          <w:p w14:paraId="4775D7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 г.</w:t>
            </w:r>
          </w:p>
        </w:tc>
        <w:tc>
          <w:tcPr>
            <w:tcW w:w="590" w:type="dxa"/>
            <w:shd w:val="clear" w:color="auto" w:fill="FFFFFF"/>
          </w:tcPr>
          <w:p w14:paraId="0ED4E0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w:t>
            </w:r>
          </w:p>
        </w:tc>
        <w:tc>
          <w:tcPr>
            <w:tcW w:w="2520" w:type="dxa"/>
            <w:shd w:val="clear" w:color="auto" w:fill="FFFFFF"/>
          </w:tcPr>
          <w:p w14:paraId="17B6AD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r w:rsidR="007D5DF8" w:rsidRPr="00DB5D0D" w14:paraId="75ECC319" w14:textId="77777777" w:rsidTr="009223E5">
        <w:trPr>
          <w:cantSplit/>
          <w:trHeight w:val="230"/>
        </w:trPr>
        <w:tc>
          <w:tcPr>
            <w:tcW w:w="749" w:type="dxa"/>
            <w:shd w:val="clear" w:color="auto" w:fill="FFFFFF"/>
          </w:tcPr>
          <w:p w14:paraId="6B02FC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1943 г.</w:t>
            </w:r>
          </w:p>
        </w:tc>
        <w:tc>
          <w:tcPr>
            <w:tcW w:w="590" w:type="dxa"/>
            <w:shd w:val="clear" w:color="auto" w:fill="FFFFFF"/>
          </w:tcPr>
          <w:p w14:paraId="6C9ABB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2520" w:type="dxa"/>
            <w:shd w:val="clear" w:color="auto" w:fill="FFFFFF"/>
          </w:tcPr>
          <w:p w14:paraId="0726C8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r w:rsidR="007D5DF8" w:rsidRPr="00DB5D0D" w14:paraId="4B692B71" w14:textId="77777777" w:rsidTr="009223E5">
        <w:trPr>
          <w:cantSplit/>
          <w:trHeight w:val="235"/>
        </w:trPr>
        <w:tc>
          <w:tcPr>
            <w:tcW w:w="3859" w:type="dxa"/>
            <w:gridSpan w:val="3"/>
            <w:shd w:val="clear" w:color="auto" w:fill="FFFFFF"/>
          </w:tcPr>
          <w:p w14:paraId="17058F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Дальние двухмоторные бомбардировщики:</w:t>
            </w:r>
          </w:p>
        </w:tc>
      </w:tr>
      <w:tr w:rsidR="007D5DF8" w:rsidRPr="00DB5D0D" w14:paraId="5BC2F5BA" w14:textId="77777777" w:rsidTr="009223E5">
        <w:trPr>
          <w:cantSplit/>
          <w:trHeight w:val="211"/>
        </w:trPr>
        <w:tc>
          <w:tcPr>
            <w:tcW w:w="749" w:type="dxa"/>
            <w:shd w:val="clear" w:color="auto" w:fill="FFFFFF"/>
          </w:tcPr>
          <w:p w14:paraId="1CB474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w:t>
            </w:r>
          </w:p>
        </w:tc>
        <w:tc>
          <w:tcPr>
            <w:tcW w:w="590" w:type="dxa"/>
            <w:shd w:val="clear" w:color="auto" w:fill="FFFFFF"/>
          </w:tcPr>
          <w:p w14:paraId="51EDF1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-480-</w:t>
            </w:r>
          </w:p>
        </w:tc>
        <w:tc>
          <w:tcPr>
            <w:tcW w:w="2520" w:type="dxa"/>
            <w:shd w:val="clear" w:color="auto" w:fill="FFFFFF"/>
          </w:tcPr>
          <w:p w14:paraId="30522E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км/ч;</w:t>
            </w:r>
          </w:p>
        </w:tc>
      </w:tr>
      <w:tr w:rsidR="007D5DF8" w:rsidRPr="00DB5D0D" w14:paraId="7A4490F5" w14:textId="77777777" w:rsidTr="009223E5">
        <w:trPr>
          <w:cantSplit/>
          <w:trHeight w:val="226"/>
        </w:trPr>
        <w:tc>
          <w:tcPr>
            <w:tcW w:w="749" w:type="dxa"/>
            <w:shd w:val="clear" w:color="auto" w:fill="FFFFFF"/>
          </w:tcPr>
          <w:p w14:paraId="6159B7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 г.</w:t>
            </w:r>
          </w:p>
        </w:tc>
        <w:tc>
          <w:tcPr>
            <w:tcW w:w="590" w:type="dxa"/>
            <w:shd w:val="clear" w:color="auto" w:fill="FFFFFF"/>
          </w:tcPr>
          <w:p w14:paraId="49F244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w:t>
            </w:r>
          </w:p>
        </w:tc>
        <w:tc>
          <w:tcPr>
            <w:tcW w:w="2520" w:type="dxa"/>
            <w:shd w:val="clear" w:color="auto" w:fill="FFFFFF"/>
          </w:tcPr>
          <w:p w14:paraId="6E2AC7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r w:rsidR="007D5DF8" w:rsidRPr="00DB5D0D" w14:paraId="50E04EA6" w14:textId="77777777" w:rsidTr="009223E5">
        <w:trPr>
          <w:cantSplit/>
          <w:trHeight w:val="226"/>
        </w:trPr>
        <w:tc>
          <w:tcPr>
            <w:tcW w:w="749" w:type="dxa"/>
            <w:shd w:val="clear" w:color="auto" w:fill="FFFFFF"/>
          </w:tcPr>
          <w:p w14:paraId="3379FA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 г.</w:t>
            </w:r>
          </w:p>
        </w:tc>
        <w:tc>
          <w:tcPr>
            <w:tcW w:w="590" w:type="dxa"/>
            <w:shd w:val="clear" w:color="auto" w:fill="FFFFFF"/>
          </w:tcPr>
          <w:p w14:paraId="6984E4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2520" w:type="dxa"/>
            <w:shd w:val="clear" w:color="auto" w:fill="FFFFFF"/>
          </w:tcPr>
          <w:p w14:paraId="2A3511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r w:rsidR="007D5DF8" w:rsidRPr="00DB5D0D" w14:paraId="5F38B122" w14:textId="77777777" w:rsidTr="009223E5">
        <w:trPr>
          <w:cantSplit/>
          <w:trHeight w:val="254"/>
        </w:trPr>
        <w:tc>
          <w:tcPr>
            <w:tcW w:w="749" w:type="dxa"/>
            <w:tcBorders>
              <w:bottom w:val="single" w:sz="12" w:space="0" w:color="auto"/>
            </w:tcBorders>
            <w:shd w:val="clear" w:color="auto" w:fill="FFFFFF"/>
          </w:tcPr>
          <w:p w14:paraId="483620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1943 г.</w:t>
            </w:r>
          </w:p>
        </w:tc>
        <w:tc>
          <w:tcPr>
            <w:tcW w:w="590" w:type="dxa"/>
            <w:tcBorders>
              <w:bottom w:val="single" w:sz="12" w:space="0" w:color="auto"/>
            </w:tcBorders>
            <w:shd w:val="clear" w:color="auto" w:fill="FFFFFF"/>
          </w:tcPr>
          <w:p w14:paraId="5F9170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w:t>
            </w:r>
          </w:p>
        </w:tc>
        <w:tc>
          <w:tcPr>
            <w:tcW w:w="2520" w:type="dxa"/>
            <w:tcBorders>
              <w:bottom w:val="single" w:sz="12" w:space="0" w:color="auto"/>
            </w:tcBorders>
            <w:shd w:val="clear" w:color="auto" w:fill="FFFFFF"/>
          </w:tcPr>
          <w:p w14:paraId="6996F4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w:t>
            </w:r>
          </w:p>
        </w:tc>
      </w:tr>
    </w:tbl>
    <w:p w14:paraId="1CF04C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Дальность полета и практический потолок</w:t>
      </w:r>
    </w:p>
    <w:p w14:paraId="49B1D5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истребителей нормальная дальность на 0,9 от максимальной скорости — 800 км, и с перегрузкой — 1100 км.</w:t>
      </w:r>
    </w:p>
    <w:p w14:paraId="465B8D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ближних одномоторных бомбардировщиков нормальная дальность на 0,9 от максимальной скорости — 1000 км.</w:t>
      </w:r>
    </w:p>
    <w:p w14:paraId="416333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средних двухмоторных бомбардировщиков нормальная дальность — 1200 км на 0,9 от максимальной скорости и с перегрузкой — 2000 км (на 0,9 от максимальной скорости).</w:t>
      </w:r>
    </w:p>
    <w:p w14:paraId="15B985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дальних двухмоторных бомбардировщиков нормальная дальность — 5000 км на 0,8 от максимальной скорости.</w:t>
      </w:r>
    </w:p>
    <w:p w14:paraId="0930B3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штурмовиков нормальная дальность на 0,9 от максимальной скорости — 800 км.</w:t>
      </w:r>
    </w:p>
    <w:p w14:paraId="2C6EDF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самолетов кроме штурмовиков и ближних одномоторных бомбардировщиков должен быть:</w:t>
      </w:r>
    </w:p>
    <w:p w14:paraId="347C0A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1940-41 гг. - 10 000-12 000 м;</w:t>
      </w:r>
    </w:p>
    <w:p w14:paraId="15B7BC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1942-43 гг. - 12 000-13 000 м.</w:t>
      </w:r>
    </w:p>
    <w:p w14:paraId="44C5A7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Вооружение</w:t>
      </w:r>
    </w:p>
    <w:p w14:paraId="6DC143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Истребители</w:t>
      </w:r>
    </w:p>
    <w:p w14:paraId="2A3501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 Скоростные одноместные одномоторные:</w:t>
      </w:r>
    </w:p>
    <w:p w14:paraId="4E8AD1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Вариант 1:     2 </w:t>
      </w:r>
      <w:r w:rsidRPr="00DB5D0D">
        <w:rPr>
          <w:rFonts w:ascii="Times New Roman" w:hAnsi="Times New Roman"/>
          <w:color w:val="000000" w:themeColor="text1"/>
          <w:sz w:val="16"/>
          <w:szCs w:val="16"/>
        </w:rPr>
        <w:t>синхронных пулемета 7,62 мм. Запас патрон — 1200 шт. Одна пушка 23-мм через вал редуктора мотора. Запас снарядов — 100 шт.</w:t>
      </w:r>
    </w:p>
    <w:p w14:paraId="3E95E3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Вариант 2:     2 </w:t>
      </w:r>
      <w:r w:rsidRPr="00DB5D0D">
        <w:rPr>
          <w:rFonts w:ascii="Times New Roman" w:hAnsi="Times New Roman"/>
          <w:color w:val="000000" w:themeColor="text1"/>
          <w:sz w:val="16"/>
          <w:szCs w:val="16"/>
        </w:rPr>
        <w:t>синхронных пулемета 7,62 мм.</w:t>
      </w:r>
    </w:p>
    <w:p w14:paraId="175666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патрон — 1200 шт.</w:t>
      </w:r>
    </w:p>
    <w:p w14:paraId="68AAD1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синхронных пулемета 12,7 мм.</w:t>
      </w:r>
    </w:p>
    <w:p w14:paraId="7C3208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патрон — 500 шт. На всех самолетах предусматривается съемная установка 8 шт. РС-82. В перегрузочном варианте предусматривается подвеска 2 — ФАБ100 или 4 - ФАБ-50, или 2 - ВАП'ов.</w:t>
      </w:r>
    </w:p>
    <w:p w14:paraId="2686EE78"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Б. Скоростные двухмоторные:</w:t>
      </w:r>
    </w:p>
    <w:p w14:paraId="21772B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Вариант 1:    </w:t>
      </w:r>
      <w:r w:rsidRPr="00DB5D0D">
        <w:rPr>
          <w:rFonts w:ascii="Times New Roman" w:hAnsi="Times New Roman"/>
          <w:color w:val="000000" w:themeColor="text1"/>
          <w:sz w:val="16"/>
          <w:szCs w:val="16"/>
        </w:rPr>
        <w:t>Две пушки 23-мм.</w:t>
      </w:r>
    </w:p>
    <w:p w14:paraId="73DE69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снарядов — 240 шт.</w:t>
      </w:r>
    </w:p>
    <w:p w14:paraId="367AFF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пулемета 7,62 мм.</w:t>
      </w:r>
    </w:p>
    <w:p w14:paraId="27B9D7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патрон — 2000 шт.</w:t>
      </w:r>
    </w:p>
    <w:p w14:paraId="1F9416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Вариант 2:     </w:t>
      </w:r>
      <w:r w:rsidRPr="00DB5D0D">
        <w:rPr>
          <w:rFonts w:ascii="Times New Roman" w:hAnsi="Times New Roman"/>
          <w:color w:val="000000" w:themeColor="text1"/>
          <w:sz w:val="16"/>
          <w:szCs w:val="16"/>
        </w:rPr>
        <w:t>4 пулемета 12,7 мм.</w:t>
      </w:r>
    </w:p>
    <w:p w14:paraId="0F24F3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патрон — 1600 шт.</w:t>
      </w:r>
    </w:p>
    <w:p w14:paraId="17AFA5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пушка 23-мм.</w:t>
      </w:r>
    </w:p>
    <w:p w14:paraId="4869C2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снарядов — 120 шт. На всех самолетах предусматривается установка 8 шт. PC-132 мм. В перегрузочном варианте предусматривается подвеска со съемными бомбодержателями 1 — ФАБ-500, или 2 — ФАБ-250, или 4 — ФАБ-100 для бомбометания с пикирования.</w:t>
      </w:r>
    </w:p>
    <w:p w14:paraId="1C4B1D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Бомбардировщики</w:t>
      </w:r>
    </w:p>
    <w:p w14:paraId="08A65A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 Ближние одномоторные двухместные</w:t>
      </w:r>
    </w:p>
    <w:p w14:paraId="70E53E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Стрелковое вооружение:</w:t>
      </w:r>
    </w:p>
    <w:p w14:paraId="25A383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синхронный пулемет 7,62 мм. Запас патрон — 600 шт.</w:t>
      </w:r>
    </w:p>
    <w:p w14:paraId="0D0974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скорострельный пулемет 7,62 мм на турели (3000—3500 выстрелов в минуту). Запас патрон — 1200 шт.</w:t>
      </w:r>
    </w:p>
    <w:p w14:paraId="3EC5D0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Бомбардировочное вооружение:</w:t>
      </w:r>
    </w:p>
    <w:p w14:paraId="45E60F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Нормальная внутренняя бомбовая нагрузка — 400—600 кг.</w:t>
      </w:r>
    </w:p>
    <w:p w14:paraId="25E2BD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ФАБ-250 — 2 шт. (допускается наружная подвеска).</w:t>
      </w:r>
    </w:p>
    <w:p w14:paraId="0688B4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ФАБ-100 —4 шт.</w:t>
      </w:r>
    </w:p>
    <w:p w14:paraId="4587C9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ФАБ-50 - 8 шт.</w:t>
      </w:r>
    </w:p>
    <w:p w14:paraId="055B7A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АО-25 - 20 шт. 5)АО-10-40шт. 6)АО-2,5-160шт.</w:t>
      </w:r>
    </w:p>
    <w:p w14:paraId="217A00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ЗАБ-2,5 или ЗАБ-1 - 140-160 шт.</w:t>
      </w:r>
    </w:p>
    <w:p w14:paraId="60671B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r w:rsidRPr="00DB5D0D">
        <w:rPr>
          <w:rFonts w:ascii="Times New Roman" w:hAnsi="Times New Roman"/>
          <w:iCs/>
          <w:color w:val="000000" w:themeColor="text1"/>
          <w:sz w:val="16"/>
          <w:szCs w:val="16"/>
        </w:rPr>
        <w:t>Химическое вооружение:</w:t>
      </w:r>
    </w:p>
    <w:p w14:paraId="6E8DDF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2-ВАП - 200.</w:t>
      </w:r>
    </w:p>
    <w:p w14:paraId="53B151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Хим[ические] ампулы диаметром 125 мм или 265 мм (подвешиваются на тех же держателях, что и бомбы АО-2,5 и ЗАБ).</w:t>
      </w:r>
    </w:p>
    <w:p w14:paraId="54992C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 Средний двухмоторный </w:t>
      </w: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Стрелковое вооружение:</w:t>
      </w:r>
    </w:p>
    <w:p w14:paraId="133DD1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Вперед[и] — 1 пулемет 7,62 мм, патрон — 500 шт. для штурманов.</w:t>
      </w:r>
    </w:p>
    <w:p w14:paraId="45ADAA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верхней средней установке — 1 пулемет 12,7 мм, патрон — 400 шт., и в нижней люковой установке — пулемет 7,62 мм с запасом патрон — 600 шт.</w:t>
      </w:r>
    </w:p>
    <w:p w14:paraId="325FD3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таким вооружением иметь 50 % самолетов. На остальных 50 % самолетов вместо пулемета 12,7 мм оставить пулеметную спарку7,6мм.</w:t>
      </w:r>
    </w:p>
    <w:p w14:paraId="2130D977"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Бомбардировочное и химическое вооружение:</w:t>
      </w:r>
    </w:p>
    <w:p w14:paraId="6A137D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Нормальная нагрузка — 1000 кг (внутренняя).</w:t>
      </w:r>
    </w:p>
    <w:p w14:paraId="08B324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Варианты нагрузки:</w:t>
      </w:r>
    </w:p>
    <w:p w14:paraId="5B8211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1.ФАБ-1000 —1шт.</w:t>
      </w:r>
    </w:p>
    <w:p w14:paraId="27D9BD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ФАБ-500 — 2 шт.</w:t>
      </w:r>
    </w:p>
    <w:p w14:paraId="673822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ФАБ-200 — 4 шт.</w:t>
      </w:r>
    </w:p>
    <w:p w14:paraId="6F8023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ФАБ-100-10 шт.</w:t>
      </w:r>
    </w:p>
    <w:p w14:paraId="21D9BF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ФАБ-50 - 20 шт.</w:t>
      </w:r>
    </w:p>
    <w:p w14:paraId="3999BF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АО-2,5 — 400 шт. 7.АО-10-80шт.</w:t>
      </w:r>
    </w:p>
    <w:p w14:paraId="5A4288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Хим[ические] ампулы диаметром 125 мм и диаметром 265 мм.</w:t>
      </w:r>
    </w:p>
    <w:p w14:paraId="457D39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ВАП-500 - 2 шт.</w:t>
      </w:r>
    </w:p>
    <w:p w14:paraId="700A36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В. Бомбардировщики дальнего действия</w:t>
      </w:r>
    </w:p>
    <w:p w14:paraId="52DF55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Экипаж — 4 человека.</w:t>
      </w:r>
    </w:p>
    <w:p w14:paraId="5CDDD9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Стрелковое вооружение:</w:t>
      </w:r>
    </w:p>
    <w:p w14:paraId="45FB0E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2 </w:t>
      </w:r>
      <w:r w:rsidRPr="00DB5D0D">
        <w:rPr>
          <w:rFonts w:ascii="Times New Roman" w:hAnsi="Times New Roman"/>
          <w:color w:val="000000" w:themeColor="text1"/>
          <w:sz w:val="16"/>
          <w:szCs w:val="16"/>
        </w:rPr>
        <w:t>пулемета (спарка) 7,62 мм в передней установке для штурмана, запас патрон — 1000 шт.</w:t>
      </w:r>
    </w:p>
    <w:p w14:paraId="4B70FE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Спарка на верхней и средней установке: 1 к.к. пулемет 12,7 мм, запас патрон — 400 шт. и 1 пулемет 7,62 мм, запас патрон — 1000 шт. Спарка в люковой установке: 2 пулемета 7,62 мм, запас патрон — 1200 шт.</w:t>
      </w:r>
    </w:p>
    <w:p w14:paraId="48F02E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Бомбардировочное вооружение:</w:t>
      </w:r>
    </w:p>
    <w:p w14:paraId="414129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Нормальная бомбовая нагрузка — 1500 кг. Общая емкость бомбодержателей — 2000 кг. Варианты бомбовой нагрузки (нормальные): 1.ФАБ-1000-1шт. 2. ФАБ-500 - 3 шт. З.ФАБ-250-6шт. 4. БРАБ-320 - 6 шт. 5.ФАБ-100-15шт.</w:t>
      </w:r>
    </w:p>
    <w:p w14:paraId="7BF4F1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ЗАБ-200 - 30 шт.</w:t>
      </w:r>
    </w:p>
    <w:p w14:paraId="7ED642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ФАБ-50 — 30 шт.</w:t>
      </w:r>
    </w:p>
    <w:p w14:paraId="7CBCC7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РРАБ № 2 - 6 шт.</w:t>
      </w:r>
    </w:p>
    <w:p w14:paraId="71505B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9. РРАБ № 3 - 6 шт.</w:t>
      </w:r>
    </w:p>
    <w:p w14:paraId="32CE23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Зажигательные бомбы калибра от 10 до 2,5 кг общим весом до 1000 кг.</w:t>
      </w:r>
    </w:p>
    <w:p w14:paraId="292583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И.УХАП-500-Зшт.</w:t>
      </w:r>
    </w:p>
    <w:p w14:paraId="1F2BC9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ВАП-500-Зшт.</w:t>
      </w:r>
    </w:p>
    <w:p w14:paraId="6DE54A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Химические ампулы — 265 мм и 125 мм.</w:t>
      </w:r>
    </w:p>
    <w:p w14:paraId="105B16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Для ночного бомбометания сверх указанных бомб вариантов должны подвешиваться 4 — САБ-50, или 4 — САБ-25 и для пристрелки OB — 2 ПАБ-15.</w:t>
      </w:r>
    </w:p>
    <w:p w14:paraId="1173A1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Г. Тяжелые бомбардировщики </w:t>
      </w: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 xml:space="preserve">многомоторные </w:t>
      </w:r>
      <w:r w:rsidRPr="00DB5D0D">
        <w:rPr>
          <w:rFonts w:ascii="Times New Roman" w:hAnsi="Times New Roman"/>
          <w:color w:val="000000" w:themeColor="text1"/>
          <w:sz w:val="16"/>
          <w:szCs w:val="16"/>
        </w:rPr>
        <w:t>Экипаж — 7—8 человек.</w:t>
      </w:r>
    </w:p>
    <w:p w14:paraId="1C0D4C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w:t>
      </w:r>
      <w:r w:rsidRPr="00DB5D0D">
        <w:rPr>
          <w:rFonts w:ascii="Times New Roman" w:hAnsi="Times New Roman"/>
          <w:iCs/>
          <w:color w:val="000000" w:themeColor="text1"/>
          <w:sz w:val="16"/>
          <w:szCs w:val="16"/>
        </w:rPr>
        <w:t>Стрелковое и пушечное вооружение:</w:t>
      </w:r>
    </w:p>
    <w:p w14:paraId="452B54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Носовая установка — 7,62 мм пулемет с 750 шт. патронами.</w:t>
      </w:r>
    </w:p>
    <w:p w14:paraId="2A4391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Подфюзеляжная вперед — 7,62 мм пулемет с 750 патронами.</w:t>
      </w:r>
    </w:p>
    <w:p w14:paraId="7D2E9F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Средняя верхняя — 12,7 мм пулемет на турели с 350 патронами.</w:t>
      </w:r>
    </w:p>
    <w:p w14:paraId="00B8EE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Хвостовая установка — 12,7 мм пулемет БС с ЗКО патронами.</w:t>
      </w:r>
    </w:p>
    <w:p w14:paraId="51B019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Подшассийная установка — 2 7,62 мм пулемета по 750 патрон на каждый.</w:t>
      </w:r>
    </w:p>
    <w:p w14:paraId="6BC7A5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w:t>
      </w:r>
      <w:r w:rsidRPr="00DB5D0D">
        <w:rPr>
          <w:rFonts w:ascii="Times New Roman" w:hAnsi="Times New Roman"/>
          <w:iCs/>
          <w:color w:val="000000" w:themeColor="text1"/>
          <w:sz w:val="16"/>
          <w:szCs w:val="16"/>
        </w:rPr>
        <w:t>Бомбардировочное вооружение:</w:t>
      </w:r>
    </w:p>
    <w:p w14:paraId="652C73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2000 кг (внутренняя). Общая емкость 4000 кг. Бомбовые варианты: 2 —ФАБ-1000          10 — БРАБ-200</w:t>
      </w:r>
    </w:p>
    <w:p w14:paraId="754D89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 ФАБ-500           4 - БРАБ-500</w:t>
      </w:r>
    </w:p>
    <w:p w14:paraId="3A8FCA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 ФАБ-250            20-ФАБ-100</w:t>
      </w:r>
    </w:p>
    <w:p w14:paraId="394A51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 РАБ № 2            80 - ФАБ-50</w:t>
      </w:r>
    </w:p>
    <w:p w14:paraId="732532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 РАБ № 3            80 - ЗАБ-50 т.г.</w:t>
      </w:r>
    </w:p>
    <w:p w14:paraId="7500F0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ночного бомбометания сверх указанных бомбовых вариантов должны подвешиваться 4 — САБ-50 или 4 — САБ-25.</w:t>
      </w:r>
    </w:p>
    <w:p w14:paraId="400EE1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w:t>
      </w:r>
      <w:r w:rsidRPr="00DB5D0D">
        <w:rPr>
          <w:rFonts w:ascii="Times New Roman" w:hAnsi="Times New Roman"/>
          <w:iCs/>
          <w:color w:val="000000" w:themeColor="text1"/>
          <w:sz w:val="16"/>
          <w:szCs w:val="16"/>
        </w:rPr>
        <w:t>Химическое вооружение:</w:t>
      </w:r>
    </w:p>
    <w:p w14:paraId="15E758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 ВАП-1000 или хим[ические] баки емкостью на 2500 л OB. Хим[ические] ампулы — 125 и 265 [мм].</w:t>
      </w:r>
    </w:p>
    <w:p w14:paraId="6735C3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транспортно-десантном варианте самолет должен брать следующую нагрузку: 50 чел. бойцов или груза 4000 кг, а также иметь оборудование на 20 мест для лежания для перевозки больных.</w:t>
      </w:r>
    </w:p>
    <w:p w14:paraId="1499C5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3. Штурмовики</w:t>
      </w:r>
    </w:p>
    <w:p w14:paraId="6A3D0A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 Одноместные одномоторные</w:t>
      </w:r>
    </w:p>
    <w:p w14:paraId="42D2D8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w:t>
      </w:r>
      <w:r w:rsidRPr="00DB5D0D">
        <w:rPr>
          <w:rFonts w:ascii="Times New Roman" w:hAnsi="Times New Roman"/>
          <w:iCs/>
          <w:color w:val="000000" w:themeColor="text1"/>
          <w:sz w:val="16"/>
          <w:szCs w:val="16"/>
        </w:rPr>
        <w:t>Стрелковое вооружение:</w:t>
      </w:r>
    </w:p>
    <w:p w14:paraId="2DD3CA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1 вариант: </w:t>
      </w:r>
      <w:r w:rsidRPr="00DB5D0D">
        <w:rPr>
          <w:rFonts w:ascii="Times New Roman" w:hAnsi="Times New Roman"/>
          <w:color w:val="000000" w:themeColor="text1"/>
          <w:sz w:val="16"/>
          <w:szCs w:val="16"/>
        </w:rPr>
        <w:t>4 крыльевых пулемета 7,62 мм, патрон — 4000 шт.,</w:t>
      </w:r>
    </w:p>
    <w:p w14:paraId="310E3E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пушка 23-мм через вал редуктора, снаряд[ов] — 120 шт.</w:t>
      </w:r>
    </w:p>
    <w:p w14:paraId="0A8BB4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2 вариант: 2 </w:t>
      </w:r>
      <w:r w:rsidRPr="00DB5D0D">
        <w:rPr>
          <w:rFonts w:ascii="Times New Roman" w:hAnsi="Times New Roman"/>
          <w:color w:val="000000" w:themeColor="text1"/>
          <w:sz w:val="16"/>
          <w:szCs w:val="16"/>
        </w:rPr>
        <w:t>пушки 23-мм крыльевых, снарядов — 240 шт., 2 синхронных пулемета 7,62 мм, патрон — 1500 шт.</w:t>
      </w:r>
    </w:p>
    <w:p w14:paraId="2CA152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w:t>
      </w:r>
      <w:r w:rsidRPr="00DB5D0D">
        <w:rPr>
          <w:rFonts w:ascii="Times New Roman" w:hAnsi="Times New Roman"/>
          <w:iCs/>
          <w:color w:val="000000" w:themeColor="text1"/>
          <w:sz w:val="16"/>
          <w:szCs w:val="16"/>
        </w:rPr>
        <w:t xml:space="preserve">Бомбардировочное и химическое вооружение: </w:t>
      </w:r>
      <w:r w:rsidRPr="00DB5D0D">
        <w:rPr>
          <w:rFonts w:ascii="Times New Roman" w:hAnsi="Times New Roman"/>
          <w:color w:val="000000" w:themeColor="text1"/>
          <w:sz w:val="16"/>
          <w:szCs w:val="16"/>
        </w:rPr>
        <w:t>Нормальный вариант нагрузки — 250 кг (внутренняя). Варианты: 1) АО-25 — 10 шт.</w:t>
      </w:r>
    </w:p>
    <w:p w14:paraId="43EAFA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АО-20 - 10 шт. 3)АО-10-20шт.</w:t>
      </w:r>
    </w:p>
    <w:p w14:paraId="28ABD7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АО-2,5 - 100 шт.</w:t>
      </w:r>
    </w:p>
    <w:p w14:paraId="637E46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АО-8 - 30 шт. 6)ФАБ-100-2шт.</w:t>
      </w:r>
    </w:p>
    <w:p w14:paraId="7E67E0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ФАБ-250 - 1 шт.</w:t>
      </w:r>
    </w:p>
    <w:p w14:paraId="7218DA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ВАП-200 — 1 шт. с дополнительным прибором «ЗВ».</w:t>
      </w:r>
    </w:p>
    <w:p w14:paraId="3E8E25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УХАП-250 - 1 шт.</w:t>
      </w:r>
    </w:p>
    <w:p w14:paraId="6E3495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РС-82 - 10 шт.</w:t>
      </w:r>
    </w:p>
    <w:p w14:paraId="72580F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Размещение экипажа на многоместных самолетах должно быть возможно компактным. Летчик и штурман должны быть обязательно расположены в одной кабине с обеспечением непосредственной связи между ними.</w:t>
      </w:r>
    </w:p>
    <w:p w14:paraId="37628C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необходимым все самолеты выпускать с проектированными баками и с заполненными нейтральными газами.</w:t>
      </w:r>
    </w:p>
    <w:p w14:paraId="5AB5F0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Существующий протектор является недостаточно надежным, а самолеты в противопожарном отношении не гарантируют безопасность полета в боевых условиях.</w:t>
      </w:r>
    </w:p>
    <w:p w14:paraId="10CFE0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развернуть исследовательскую работу и испытания по изысканию более надежного протектора, заполнению баков нейтральным газом, устройству противопожарных перегородок и т. д.</w:t>
      </w:r>
    </w:p>
    <w:p w14:paraId="11F039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Создание боевых самолетов с герметическими кабинами должно послужить основой для развития сверхвысотной боевой авиации, а также в дальнейшем послужить базой для решения задачи постепенной замены боевых высотных самолетов с открытыми кабинами самолетами с герметическими кабинами. Для этой цели каждый из опытных самолетов истребителей, дальних бомбардировщиков и разведчиков в одном из экземпляров должны строиться с герметической кабиной.</w:t>
      </w:r>
    </w:p>
    <w:p w14:paraId="47CEFE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необходимым все самолеты выпускать полностью экранированными и металлизированными.</w:t>
      </w:r>
    </w:p>
    <w:p w14:paraId="6B022A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простоты пилотирования боевых самолетов должна быть обеспечена хорошая устойчивость на всех режимах полета.</w:t>
      </w:r>
    </w:p>
    <w:p w14:paraId="4D1BD6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Тормозные приспособления на существующих боевых самолетах не удовлетворяют современным требованиям. Необходимо принять решительные меры к доводке тормозных приспособлений с тем, чтобы потребные размеры аэродромов для современных самолетов были максимально сокращены.</w:t>
      </w:r>
    </w:p>
    <w:p w14:paraId="40132D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II Самолеты, оставляемые на вооружении; самолеты, подлежащие снятию с вооружения и передаче в учебные заведения и ОФИ</w:t>
      </w:r>
    </w:p>
    <w:p w14:paraId="3ABB06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Самолеты И-153, И-16 [с моторами] М-62 и М-63, СБ, ДБ-3 — оставить на вооружении.</w:t>
      </w:r>
    </w:p>
    <w:p w14:paraId="33ED97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Самолеты СБ с моторами М-100 (1378 шт.)* по мере замены самолетами СБ-2 [с моторами] М-103 передать в вузы и резервные части.</w:t>
      </w:r>
    </w:p>
    <w:p w14:paraId="3CEB5F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Самолеты И-16 с [моторами] М-25 двухпулеметные в количестве 1465 [шт.]** по мере замены их самолетами И-16 с М-63 обратить на укомплектование школ и резервных частей.</w:t>
      </w:r>
    </w:p>
    <w:p w14:paraId="2CC084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Самолеты И-15-бис в количестве 1882 [шт.] по мере замены их с вооружения истребительных частей снять и обратить на укомплектование вузов, резервных частей и вооружение штурмовых частей.</w:t>
      </w:r>
    </w:p>
    <w:p w14:paraId="709D45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Самолеты Р-5, ССС, Р-Зет по мере замены обратить на укомплектование вузов.</w:t>
      </w:r>
    </w:p>
    <w:p w14:paraId="5C7805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Самолеты ТБ-3 в количестве 606 [шт.], годных для полетов без капитального ремонта, оставить на вооружении как транспортные, остальные использовать на запасные части.</w:t>
      </w:r>
    </w:p>
    <w:p w14:paraId="038220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Самолеты ДИ-6 в количестве 121 [шт.] оставить на вооружении одного полка в САВО, остальные использовать на запасные части.</w:t>
      </w:r>
    </w:p>
    <w:p w14:paraId="3237B2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Самолеты ТБ-1 в количестве 66 [шт.] с вооружения снять, годные передать гражданским организациям, остальные — в ОФИ.</w:t>
      </w:r>
    </w:p>
    <w:p w14:paraId="1DB821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Самолеты Р-6 в количестве 167 [шт.] с вооружения снять, годные передать в гражданские организации, негодные — в ОФИ.</w:t>
      </w:r>
    </w:p>
    <w:p w14:paraId="3BD8E3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Самолеты Р-10 в количестве 356 [шт.] снять с вооружения и передать в вузы.</w:t>
      </w:r>
    </w:p>
    <w:p w14:paraId="0AAA5D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В текущем году перейти на выпуск модифицированных самолетов СБ (с моторами М-105, с радиаторами в крыле) со скоростью 485—500 км/ч.</w:t>
      </w:r>
    </w:p>
    <w:p w14:paraId="44D54E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Из числа проходящих испытания опытных самолетов принять в текущем году на вооружение и запустить в серийное производство лучшие по летным характеристикам:</w:t>
      </w:r>
    </w:p>
    <w:p w14:paraId="4633A2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один тип истребителя с мотором воздушного охлаждения;</w:t>
      </w:r>
    </w:p>
    <w:p w14:paraId="45F117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один тип истребителя с мотором жидкостного охлаждения;</w:t>
      </w:r>
    </w:p>
    <w:p w14:paraId="4D2A0B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истребитель двухмоторный одноместный;</w:t>
      </w:r>
    </w:p>
    <w:p w14:paraId="61072D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истребитель двухмоторный многоместный;</w:t>
      </w:r>
    </w:p>
    <w:p w14:paraId="6B6A3E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один тип двухмоторного дальнего бомбардировщика;</w:t>
      </w:r>
    </w:p>
    <w:p w14:paraId="65E21B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один тип пикирующего бомбардировщика;</w:t>
      </w:r>
    </w:p>
    <w:p w14:paraId="2E339B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один тип штурмового бронированного самолета.</w:t>
      </w:r>
    </w:p>
    <w:p w14:paraId="0CCE6F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III По авиационным моторам</w:t>
      </w:r>
    </w:p>
    <w:p w14:paraId="66A3B7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Состояние нашего серийного моторостроения на май 1940 г. характеризуется отставанием его от передовых заграничных стран на 1,5—2 года (по основным данным) и значительно меньшим сроком службы, чем у заграничных моторов. Кроме того, даже в пределах этих сроков службы надежность наших моторов М-87 и М-62 — недостаточная.</w:t>
      </w:r>
    </w:p>
    <w:p w14:paraId="31BC0F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Моторы М-105 и М-88, внедряемые в настоящее время в серийное производство, и мотор М-63, внедряемый в настоящее время в эксплуатацию, по основным данным практически равноценны заграничным моторам «Даймлер-Бенц ДБ-601», последнему варианту «Пратт—Уитней», «Туин—Осп» и «Райт ДЖИ-205», выпускаемые в серии около 1,5 лет.</w:t>
      </w:r>
    </w:p>
    <w:p w14:paraId="169DAF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обеспечения надежной работы этих моторов в эксплуатации необходимо устранить у мотора М-63 заклинивание втулки нижней головки главного шатуна, у мотора М-105 выбрасывание масла из картера и падение давления масла на высотах больше расчетной, у мотора М-88 уступы зеркала цилиндров и задир поршней </w:t>
      </w:r>
      <w:r w:rsidRPr="00DB5D0D">
        <w:rPr>
          <w:rFonts w:ascii="Times New Roman" w:hAnsi="Times New Roman"/>
          <w:color w:val="000000" w:themeColor="text1"/>
          <w:sz w:val="16"/>
          <w:szCs w:val="16"/>
        </w:rPr>
        <w:lastRenderedPageBreak/>
        <w:t>при высоких температурах масла и головок цилиндров, а также доработать карбюраторы этих моторов (у М-88 и М-63 — по автоматике высотного корректора, у М-105 — по узлу поплавковой камеры). Доработку всех этих вопросов необходимо закончить не позднее 1 июля 1940 г.</w:t>
      </w:r>
    </w:p>
    <w:p w14:paraId="3A6ED9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Решениями правительства был утвержден план постройки ряда мощных моторов (М-120, М-90, М-71, АМ-36, М-250 и М-300), которые должны были вывести наше моторостроение на уровень заграничного. Но сроки, установленные правительством по этим моторам, промышленностью не выполнены. Дальнейшая затяжка работ по их постройке и доводке может привести к тому, что наше отставание от заграницы по моторам не только не уменьшится, а еще и увеличится.</w:t>
      </w:r>
    </w:p>
    <w:p w14:paraId="49A128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Установить следующий типаж бензиновых моторов для ВВС Красной Армии на 1940—1943 гг.:</w:t>
      </w:r>
    </w:p>
    <w:p w14:paraId="469987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80—120 л.с. (невысотный) для самолетов первоначального обучения;</w:t>
      </w:r>
    </w:p>
    <w:p w14:paraId="0AF08E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200—300 л.с. на высоте 2000—3000 м для тренировочной авиации и самолетов связи;</w:t>
      </w:r>
    </w:p>
    <w:p w14:paraId="498CEE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1000—1200 л.с. на высоте 6000—8000 м для серийных истребителей и бомбардировщиков 1941—42 гг.;</w:t>
      </w:r>
    </w:p>
    <w:p w14:paraId="3E9A53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1500—2000 л.с. на высоте 6000—8000 м для серийных истребителей и бомбардировщиков 1941—42 гг.;</w:t>
      </w:r>
    </w:p>
    <w:p w14:paraId="419060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2500—3500 л.с. на высоте 8000—10000 м для серийных бомбардировщиков 1942—43 гг.</w:t>
      </w:r>
    </w:p>
    <w:p w14:paraId="5ADFCE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вес моторов — не более 1,3 кг/л.с. для мощностей 80—120 л.с, не более 0,9 кг/л.с. для мощностей 200—300 л.с. и не более 0,5 кг/л.с. для мощностей 1000 л.с. и выше.</w:t>
      </w:r>
    </w:p>
    <w:p w14:paraId="57105F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вес лоб-моторов жидкостного охлаждения для боевой авиации — не более 6 кв см/л.с. для мощности 1000-1500 л.с. и не более 5 кв см/л.с. для мощностей выше 1500 л.с.</w:t>
      </w:r>
    </w:p>
    <w:p w14:paraId="2A1D99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Габаритный диаметр моторов воздушного охлаждения для боевой авиации не более 1300 мм.</w:t>
      </w:r>
    </w:p>
    <w:p w14:paraId="4C8566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топлива на крейсерской мощности для моторов жидкостного охлаждения — не более 230 г/л.с.ч.</w:t>
      </w:r>
    </w:p>
    <w:p w14:paraId="34B77A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Удеальный расход топлива на крейсерской мощности для моторов воздушного охлаждения — не более 240 г/л.с.ч.</w:t>
      </w:r>
    </w:p>
    <w:p w14:paraId="7DE659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Топливо для моторов с мощностью 80-120 л.с. — автомобильный бензин с октановым числом не более 59.</w:t>
      </w:r>
    </w:p>
    <w:p w14:paraId="091100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Октановое число топлив для моторов с мощностью от л.с. и выше не более 87 для мощностей 200—300 л.с. и не более 93 для мощностей 1000 л.с. и выше.</w:t>
      </w:r>
    </w:p>
    <w:p w14:paraId="6C5094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службы моторов между переборками не менее 250 часов для мощностей 1000 л.с. и выше, не менее 300 часов для мощностей 200-300 л.с. и не менее 350 часов для мощностей 80—120 л.с.</w:t>
      </w:r>
    </w:p>
    <w:p w14:paraId="6A56E4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Установить следующий типаж авиадизелей для ВВС Красной Армии на 1940—43 гг.:</w:t>
      </w:r>
    </w:p>
    <w:p w14:paraId="2279C3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80—120 л.с. (не высотный) для самолетов первоначального обучения;</w:t>
      </w:r>
    </w:p>
    <w:p w14:paraId="3443D6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1000—1200 л.с. на высоте 6000—8000 м для серийных дальних бомбардировщиков и транспортных самолетов 1941—42 гг.;</w:t>
      </w:r>
    </w:p>
    <w:p w14:paraId="2985D0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2000 л.с. на высоте 8000—10000 м для серийных дальних бомбардировщиков 1942—43 гг.</w:t>
      </w:r>
    </w:p>
    <w:p w14:paraId="0D91A5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вес дизеля — не более 1,6 кг/л.с. для мощностей 80—120 л.с. и не более 0,8 кг/л.с. для мощностей 1000 л.с. и выше.</w:t>
      </w:r>
    </w:p>
    <w:p w14:paraId="279258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топлива на крейсерской мощности — не более 170 г/л.с.ч.</w:t>
      </w:r>
    </w:p>
    <w:p w14:paraId="34582F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Основными работами по опытным бензиновым моторам на 1940 г. считать моторы: АМ-37, АМ-36, М-120, М-170П, М-90, М-89, М-71 и М-300.</w:t>
      </w:r>
    </w:p>
    <w:p w14:paraId="362B1D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Просить Комитет Обороны при СНК Союза СССР обязать НКАП обеспечить доводку и удовлетворительное проведение госиспытаний этих моторов, кроме М-300, в 1940 г. и М-300 — к 1 апреля 1941 г. с тем, чтобы начать серийный выпуск этих моторов, кроме М-300, в первом квартале 1941 г. и М-300 — в третьем квартале 1941 г.</w:t>
      </w:r>
    </w:p>
    <w:p w14:paraId="2F0D18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Работы по моторам М-88 без редуктора, М-88 и М-65, как не представляющие интереса для ВВС Красной Армии и отвлекающие внимание моторных заводов — прекратить.</w:t>
      </w:r>
    </w:p>
    <w:p w14:paraId="24657B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IV Вооружение и боеприпасы</w:t>
      </w:r>
    </w:p>
    <w:p w14:paraId="6450C7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Пулеметы калибра 7,62 мм. </w:t>
      </w:r>
      <w:r w:rsidRPr="00DB5D0D">
        <w:rPr>
          <w:rFonts w:ascii="Times New Roman" w:hAnsi="Times New Roman"/>
          <w:color w:val="000000" w:themeColor="text1"/>
          <w:sz w:val="16"/>
          <w:szCs w:val="16"/>
        </w:rPr>
        <w:t>Пулемет «ШКАС» в вариантах турельном, синхронном и крыльевом — оставить на вооружении. Однако, ввиду сложности его в эксплуатации и невозможности устранения в воздухе большинства задержек, формировать отработку и окончание испытаний более простого пулемета со скорострельностью 1800—2000 в/мин.</w:t>
      </w:r>
    </w:p>
    <w:p w14:paraId="0A0582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 «Ультра-ШКАС, как неосвоенный в течение года в промышленности, с производства снять. Взамен его ввести на вооружение бомбардировочный пулемет «СН», как более простой и надежный, со скорострельностью 2800—3000 выстрелов в минуту. Одновременно с этим разработать синхронный вариант пулемета «СН».</w:t>
      </w:r>
    </w:p>
    <w:p w14:paraId="107442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 существующие типы боеприпасов к пулемету калибра 7,62 мм, а именно:</w:t>
      </w:r>
    </w:p>
    <w:p w14:paraId="573965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зажигательная пуля ПЗ;</w:t>
      </w:r>
    </w:p>
    <w:p w14:paraId="4FF312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зажигательная пуля ЗБ-46;</w:t>
      </w:r>
    </w:p>
    <w:p w14:paraId="3B2537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бронебойно-зажигательная пуля Б-32;</w:t>
      </w:r>
    </w:p>
    <w:p w14:paraId="1DC10C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трассирующая пуля Т-46;</w:t>
      </w:r>
    </w:p>
    <w:p w14:paraId="1206EC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обыкновенная пуля.</w:t>
      </w:r>
    </w:p>
    <w:p w14:paraId="2EAD71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r w:rsidRPr="00DB5D0D">
        <w:rPr>
          <w:rFonts w:ascii="Times New Roman" w:hAnsi="Times New Roman"/>
          <w:iCs/>
          <w:color w:val="000000" w:themeColor="text1"/>
          <w:sz w:val="16"/>
          <w:szCs w:val="16"/>
        </w:rPr>
        <w:t xml:space="preserve">Пулеметы калибра 12,7мм. </w:t>
      </w:r>
      <w:r w:rsidRPr="00DB5D0D">
        <w:rPr>
          <w:rFonts w:ascii="Times New Roman" w:hAnsi="Times New Roman"/>
          <w:color w:val="000000" w:themeColor="text1"/>
          <w:sz w:val="16"/>
          <w:szCs w:val="16"/>
        </w:rPr>
        <w:t>Синхронный пулемет Березина считать основным видом крупнокалиберного пулеметного вооружения истребителей. В месячный срок закончить испытания и ввести на вооружение турельный и крыльевой варианты пулемета Березина.</w:t>
      </w:r>
    </w:p>
    <w:p w14:paraId="4EF1CA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следующие виды боеприпасов к пулемету Березина:</w:t>
      </w:r>
    </w:p>
    <w:p w14:paraId="2CE37B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разрывная зажигательная пуля МД;</w:t>
      </w:r>
    </w:p>
    <w:p w14:paraId="2E0883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бронебойно-зажигательная пуля Б-32 и</w:t>
      </w:r>
    </w:p>
    <w:p w14:paraId="17A402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бронебойно-зажигательно-трассирующая пуля Б-3.</w:t>
      </w:r>
    </w:p>
    <w:p w14:paraId="09FE6E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Поставить вопрос перед Правительством об увеличении заказа на пулю МД.</w:t>
      </w:r>
    </w:p>
    <w:p w14:paraId="00DC99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r w:rsidRPr="00DB5D0D">
        <w:rPr>
          <w:rFonts w:ascii="Times New Roman" w:hAnsi="Times New Roman"/>
          <w:iCs/>
          <w:color w:val="000000" w:themeColor="text1"/>
          <w:sz w:val="16"/>
          <w:szCs w:val="16"/>
        </w:rPr>
        <w:t xml:space="preserve">Пушки калибра 20—23-мм. </w:t>
      </w:r>
      <w:r w:rsidRPr="00DB5D0D">
        <w:rPr>
          <w:rFonts w:ascii="Times New Roman" w:hAnsi="Times New Roman"/>
          <w:color w:val="000000" w:themeColor="text1"/>
          <w:sz w:val="16"/>
          <w:szCs w:val="16"/>
        </w:rPr>
        <w:t>Ввиду неудовлетворительности баллистики 20-мм пушек ШВАК и маломощности ее снаряда по сравнению с 20-мм иностранными пушками, — в месячный срок испытать и ввести на вооружение 23-мм пушку из числа трех образцов (Таубина</w:t>
      </w:r>
      <w:r w:rsidRPr="00DB5D0D">
        <w:rPr>
          <w:rFonts w:ascii="Times New Roman" w:hAnsi="Times New Roman"/>
          <w:color w:val="000000" w:themeColor="text1"/>
          <w:sz w:val="16"/>
          <w:szCs w:val="16"/>
          <w:vertAlign w:val="superscript"/>
        </w:rPr>
        <w:t>59</w:t>
      </w:r>
      <w:r w:rsidRPr="00DB5D0D">
        <w:rPr>
          <w:rFonts w:ascii="Times New Roman" w:hAnsi="Times New Roman"/>
          <w:color w:val="000000" w:themeColor="text1"/>
          <w:sz w:val="16"/>
          <w:szCs w:val="16"/>
        </w:rPr>
        <w:t>, Волкова—Ярцева и Салищева—Галкина), находящихся на испытании. 23-мм пушку считать основным видом пушечного вооружения истребителей в вариантах: моторном, крыльевом и фюзеляжном.</w:t>
      </w:r>
    </w:p>
    <w:p w14:paraId="2A0A4F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следующие виды боеприпасов 23-мм пушки:</w:t>
      </w:r>
    </w:p>
    <w:p w14:paraId="68A612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осколочно-зажигательный снаряд;</w:t>
      </w:r>
    </w:p>
    <w:p w14:paraId="46206F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осколочно-трассирующий снаряд и</w:t>
      </w:r>
    </w:p>
    <w:p w14:paraId="655831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бронебойно-зажигательный снаряд.</w:t>
      </w:r>
    </w:p>
    <w:p w14:paraId="037F54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внедрения 23-мм пушки 20-[мм] пушку ШВАК оставить на вооружении в крыльевом, моторном и турельном вариантах. Вопрос о внедрении синхронного варианта решить после войсковых испытаний.</w:t>
      </w:r>
    </w:p>
    <w:p w14:paraId="46D37D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 xml:space="preserve">Пушки калибра 37-мм: </w:t>
      </w:r>
      <w:r w:rsidRPr="00DB5D0D">
        <w:rPr>
          <w:rFonts w:ascii="Times New Roman" w:hAnsi="Times New Roman"/>
          <w:color w:val="000000" w:themeColor="text1"/>
          <w:sz w:val="16"/>
          <w:szCs w:val="16"/>
        </w:rPr>
        <w:t>Продолжить разработку 37-мм пушки с данными: а) вес пушки — 150—160 кг;</w:t>
      </w:r>
    </w:p>
    <w:p w14:paraId="3A78CC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начальная скорость — 910—920 м/сек. скорострельность — 200 в/мин. вес снаряда — 0,7 кг.</w:t>
      </w:r>
    </w:p>
    <w:p w14:paraId="47484D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разработать вариант 37-мм пушки с начальной скоростью 600—700 м/сек и весом ее не более 90 кг.</w:t>
      </w:r>
    </w:p>
    <w:p w14:paraId="3BD47B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w:t>
      </w:r>
      <w:r w:rsidRPr="00DB5D0D">
        <w:rPr>
          <w:rFonts w:ascii="Times New Roman" w:hAnsi="Times New Roman"/>
          <w:iCs/>
          <w:color w:val="000000" w:themeColor="text1"/>
          <w:sz w:val="16"/>
          <w:szCs w:val="16"/>
        </w:rPr>
        <w:t>Ракетные снаряды калибра 82 и 132 мм:</w:t>
      </w:r>
    </w:p>
    <w:p w14:paraId="619F71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осколочно-фугасный снаряд калибра 82 мм считать основным видом крупнокалиберного вооружения истребителей.</w:t>
      </w:r>
    </w:p>
    <w:p w14:paraId="3CC47F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Параллельно разработать и испытать в 1940 г. зажигательный и бронебойный типы снарядов;</w:t>
      </w:r>
    </w:p>
    <w:p w14:paraId="59552F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ракетный осколочно-фугасный снаряд калибра 132 мм установить на вооружении двухмоторных истребителей и ближних бомбардировщиков;</w:t>
      </w:r>
    </w:p>
    <w:p w14:paraId="340568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 качестве первоочередной задачи — закончить в 1940 г. разработку для ввода на вооружение трубки двойного действия (дистанционно-ударной) с установкой из кабины летчика;</w:t>
      </w:r>
    </w:p>
    <w:p w14:paraId="4E823A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ввести на вооружение для стрельбы PC колиматорныи прицел ПАН-23</w:t>
      </w:r>
      <w:r w:rsidRPr="00DB5D0D">
        <w:rPr>
          <w:rFonts w:ascii="Times New Roman" w:hAnsi="Times New Roman"/>
          <w:color w:val="000000" w:themeColor="text1"/>
          <w:sz w:val="16"/>
          <w:szCs w:val="16"/>
          <w:vertAlign w:val="superscript"/>
        </w:rPr>
        <w:t>60</w:t>
      </w:r>
      <w:r w:rsidRPr="00DB5D0D">
        <w:rPr>
          <w:rFonts w:ascii="Times New Roman" w:hAnsi="Times New Roman"/>
          <w:color w:val="000000" w:themeColor="text1"/>
          <w:sz w:val="16"/>
          <w:szCs w:val="16"/>
        </w:rPr>
        <w:t>.</w:t>
      </w:r>
    </w:p>
    <w:p w14:paraId="7502F5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w:t>
      </w:r>
      <w:r w:rsidRPr="00DB5D0D">
        <w:rPr>
          <w:rFonts w:ascii="Times New Roman" w:hAnsi="Times New Roman"/>
          <w:iCs/>
          <w:color w:val="000000" w:themeColor="text1"/>
          <w:sz w:val="16"/>
          <w:szCs w:val="16"/>
        </w:rPr>
        <w:t xml:space="preserve">Стрелковые прицелы: </w:t>
      </w:r>
      <w:r w:rsidRPr="00DB5D0D">
        <w:rPr>
          <w:rFonts w:ascii="Times New Roman" w:hAnsi="Times New Roman"/>
          <w:color w:val="000000" w:themeColor="text1"/>
          <w:sz w:val="16"/>
          <w:szCs w:val="16"/>
        </w:rPr>
        <w:t>Существующие стрелковые прицелы для неподвижных установок и турелей оставить на вооружении. Вместе с тем подготовить к вводу на вооружение колиматорныи прицел с дневной просветкои для стрельбы с подвижных и неподвижных установок для последующей замены прицелов ПАК-1 и ОПТ-1.</w:t>
      </w:r>
    </w:p>
    <w:p w14:paraId="0D981B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w:t>
      </w:r>
      <w:r w:rsidRPr="00DB5D0D">
        <w:rPr>
          <w:rFonts w:ascii="Times New Roman" w:hAnsi="Times New Roman"/>
          <w:iCs/>
          <w:color w:val="000000" w:themeColor="text1"/>
          <w:sz w:val="16"/>
          <w:szCs w:val="16"/>
        </w:rPr>
        <w:t xml:space="preserve">Прицелы бомбометания: </w:t>
      </w:r>
      <w:r w:rsidRPr="00DB5D0D">
        <w:rPr>
          <w:rFonts w:ascii="Times New Roman" w:hAnsi="Times New Roman"/>
          <w:color w:val="000000" w:themeColor="text1"/>
          <w:sz w:val="16"/>
          <w:szCs w:val="16"/>
        </w:rPr>
        <w:t>Существующие типы бомбардировочных прицелов ОПБ-1 и ОПБ-2 оставить на вооружении. Дополнительно ввести на вооружение:</w:t>
      </w:r>
    </w:p>
    <w:p w14:paraId="1F5F4C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для дальних бомбардировщиков синхронный прицел СПБ-21 (по типу СПЕРРИ);</w:t>
      </w:r>
    </w:p>
    <w:p w14:paraId="25F94D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для всех типов бомбардировщиков — ночной колиматорныи прицел;</w:t>
      </w:r>
    </w:p>
    <w:p w14:paraId="682F94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для пикирующих бомбардировщиков — колиматорныи прицел ПАН-24. Потребовать от промышленности, как первоочередную задачу, скорейшей разработки синхронного прицела с гировертикалью и гироскопического прицела для бомбометания с пикирования. Одновременно поставить задачу по уменьшению габаритов и упрощению прицела СПБ-21.</w:t>
      </w:r>
    </w:p>
    <w:p w14:paraId="0461DC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w:t>
      </w:r>
      <w:r w:rsidRPr="00DB5D0D">
        <w:rPr>
          <w:rFonts w:ascii="Times New Roman" w:hAnsi="Times New Roman"/>
          <w:iCs/>
          <w:color w:val="000000" w:themeColor="text1"/>
          <w:sz w:val="16"/>
          <w:szCs w:val="16"/>
        </w:rPr>
        <w:t>Фугасные авиабомбы:</w:t>
      </w:r>
    </w:p>
    <w:p w14:paraId="395701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установить следующие калибры фугасных бомб: ФАБ-1000, ФАБ-500, ФАБ-250, ФАБ-100, ФАБ-50. Принять соотношение (в штуках) между калибрами ФАБ-100 и ФАБ-50 как 3:1;</w:t>
      </w:r>
    </w:p>
    <w:p w14:paraId="59DEF4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существующие типы фугасных бомб со взрывателем АПУВ и AB-1 (для штурмовых действий) оставить на вооружении. Одновременно вести работы по увеличению фугасного действия фугасных бомб;</w:t>
      </w:r>
    </w:p>
    <w:p w14:paraId="596861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закончить испытания и подготовить к вводу на вооружение в 1940 г. взрыватель многочасового замедления (до 48 часов);</w:t>
      </w:r>
    </w:p>
    <w:p w14:paraId="148286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разработать мостовую фугасную авиабомбу калибра 250—500 кг;</w:t>
      </w:r>
    </w:p>
    <w:p w14:paraId="6E6684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взрыватели АГП и АДП изъять из войсковых частей и разработать мероприятия по их использованию для учебных целей.</w:t>
      </w:r>
    </w:p>
    <w:p w14:paraId="6DFB9D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w:t>
      </w:r>
      <w:r w:rsidRPr="00DB5D0D">
        <w:rPr>
          <w:rFonts w:ascii="Times New Roman" w:hAnsi="Times New Roman"/>
          <w:iCs/>
          <w:color w:val="000000" w:themeColor="text1"/>
          <w:sz w:val="16"/>
          <w:szCs w:val="16"/>
        </w:rPr>
        <w:t>Осколочные авиабомбы:</w:t>
      </w:r>
    </w:p>
    <w:p w14:paraId="68E4CF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установить следующие калибры осколочных авиабомб: АО-25, АО-10 и АО-2,5 со взрывателем АМ-а. Существующие типы осколочных авиабомб АО-10 и АО-2,5 из сталистого чугуна оставить на вооружении. Одновременно с этим использовать артиллерийские снаряды калибров 45 мм, 76 мм, 107 мм (стальные) и 122 мм (стальные) для переделки их в осколочные авиабомбы АО-2,5, АО-8, АО-20 и АО-25.</w:t>
      </w:r>
    </w:p>
    <w:p w14:paraId="2CF296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закончить испытание и ввести в 1940 г. на вооружение для действий по танкам, бронемашинам и артиллерии 25-кг штатную осколочную авиабомбу (АО25), после ее освоения снять с производства осколочную авиабомбу АО-15.</w:t>
      </w:r>
    </w:p>
    <w:p w14:paraId="718341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закончить в 1940 г. разработку и ускорить ввод на вооружение взрывателя с замедлением к осколочным бомбам для штурмового действия;</w:t>
      </w:r>
    </w:p>
    <w:p w14:paraId="5386D9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взрыватель АГМ-1 и АГМ-3 использовать только для бомбометания осколочными бомбами из РРАБ, для комплектации химических бомб и для бомбометания цементными бомбами.</w:t>
      </w:r>
    </w:p>
    <w:p w14:paraId="7744A1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w:t>
      </w:r>
      <w:r w:rsidRPr="00DB5D0D">
        <w:rPr>
          <w:rFonts w:ascii="Times New Roman" w:hAnsi="Times New Roman"/>
          <w:iCs/>
          <w:color w:val="000000" w:themeColor="text1"/>
          <w:sz w:val="16"/>
          <w:szCs w:val="16"/>
        </w:rPr>
        <w:t>Бронебойные и бетонобойные авиабомбы:</w:t>
      </w:r>
    </w:p>
    <w:p w14:paraId="1EF775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ввести на вооружение для бомбометания с пикирования ракетные бронебойные и бетонобойные бомбы калибров: БРАБ-200 ДС, БРАБ-400 ДС, БРАБ-150 ДС и БЕТАБ-600 ДС;</w:t>
      </w:r>
    </w:p>
    <w:p w14:paraId="165F7A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оставить на вооружении существующие типы обыкновенных бронебойных бомб БРАБ-1000 и БРАБ-500.</w:t>
      </w:r>
    </w:p>
    <w:p w14:paraId="67E121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w:t>
      </w:r>
      <w:r w:rsidRPr="00DB5D0D">
        <w:rPr>
          <w:rFonts w:ascii="Times New Roman" w:hAnsi="Times New Roman"/>
          <w:iCs/>
          <w:color w:val="000000" w:themeColor="text1"/>
          <w:sz w:val="16"/>
          <w:szCs w:val="16"/>
        </w:rPr>
        <w:t xml:space="preserve">Зажигательные авиабомбы. </w:t>
      </w:r>
      <w:r w:rsidRPr="00DB5D0D">
        <w:rPr>
          <w:rFonts w:ascii="Times New Roman" w:hAnsi="Times New Roman"/>
          <w:color w:val="000000" w:themeColor="text1"/>
          <w:sz w:val="16"/>
          <w:szCs w:val="16"/>
        </w:rPr>
        <w:t>Существующие типы зажигательных авиабомб: ЗАБ-1Э, ЗАБ-2,5, ЗАБ-ЮТТ и ЗАБ-50ТГ со взрывателем ATM-16 и АМ-б оставить на вооружении.</w:t>
      </w:r>
    </w:p>
    <w:p w14:paraId="42D951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w:t>
      </w:r>
      <w:r w:rsidRPr="00DB5D0D">
        <w:rPr>
          <w:rFonts w:ascii="Times New Roman" w:hAnsi="Times New Roman"/>
          <w:iCs/>
          <w:color w:val="000000" w:themeColor="text1"/>
          <w:sz w:val="16"/>
          <w:szCs w:val="16"/>
        </w:rPr>
        <w:t xml:space="preserve">Осветительные авиабомбы. </w:t>
      </w:r>
      <w:r w:rsidRPr="00DB5D0D">
        <w:rPr>
          <w:rFonts w:ascii="Times New Roman" w:hAnsi="Times New Roman"/>
          <w:color w:val="000000" w:themeColor="text1"/>
          <w:sz w:val="16"/>
          <w:szCs w:val="16"/>
        </w:rPr>
        <w:t>Установить следующие калибры осветительных авиабомб: САБ-15, САБ-25, САБ-50 и ФОТАБ-35 (для ночной фотосъемки). В соответствии с этим:</w:t>
      </w:r>
    </w:p>
    <w:p w14:paraId="261726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САБ-3 с производства снять, а имеющиеся запасы использовать для учебных целей;</w:t>
      </w:r>
    </w:p>
    <w:p w14:paraId="61267E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разработать и ввести в 1940 г. на вооружение САБ-50;</w:t>
      </w:r>
    </w:p>
    <w:p w14:paraId="1CCF8C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ввести в 1940 г. на вооружение механическую трубку ТМ-24 (на 60 секунд) с ветрянкой;</w:t>
      </w:r>
    </w:p>
    <w:p w14:paraId="613BC3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продолжить работу по повышению светосилы осветительных авиабомб.</w:t>
      </w:r>
    </w:p>
    <w:p w14:paraId="4CD0B8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w:t>
      </w:r>
      <w:r w:rsidRPr="00DB5D0D">
        <w:rPr>
          <w:rFonts w:ascii="Times New Roman" w:hAnsi="Times New Roman"/>
          <w:iCs/>
          <w:color w:val="000000" w:themeColor="text1"/>
          <w:sz w:val="16"/>
          <w:szCs w:val="16"/>
        </w:rPr>
        <w:t>Химические авиабомбы и химическое вооружение.</w:t>
      </w:r>
    </w:p>
    <w:p w14:paraId="7E53F7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Установить следующие калибры химических авиабомб: ХАБ-500, ХАБ-200, ХАБ-100 и однолитровую химическую ампулу.</w:t>
      </w:r>
    </w:p>
    <w:p w14:paraId="76583B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этим, имеющиеся в запасах ХАБ-500, ХАБ-200 и ХАБ-25 оставить на вооружении, но ХАБ-25 в производстве прекратить и взамен ввести на вооружение и в производство ХАБ-100. В производстве перейти на изготовление модернизированных ХАБ-500 и ХАБ-200 (с повышенным содержанием OB);</w:t>
      </w:r>
    </w:p>
    <w:p w14:paraId="31E293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оставить на вооружении следующие типы химических приборов: ВАП-500, ВАП-200 и ВАП-6 и ввести на вооружение УХАП-500;</w:t>
      </w:r>
    </w:p>
    <w:p w14:paraId="5C4155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оставить на вооружении разливочную станцию АРС-6 для наполнения ВАЛ и ввести на вооружение разливочную станцию для наполнения ампул;</w:t>
      </w:r>
    </w:p>
    <w:p w14:paraId="5187DA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курящуюся ядовито-дымовую бомбу не производить как неудовлетворительную по своим тактико-техническим свойствам. Имеющийся запас использовать.</w:t>
      </w:r>
    </w:p>
    <w:p w14:paraId="63CC90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w:t>
      </w:r>
      <w:r w:rsidRPr="00DB5D0D">
        <w:rPr>
          <w:rFonts w:ascii="Times New Roman" w:hAnsi="Times New Roman"/>
          <w:iCs/>
          <w:color w:val="000000" w:themeColor="text1"/>
          <w:sz w:val="16"/>
          <w:szCs w:val="16"/>
        </w:rPr>
        <w:t>Ротативно-рассеивающие авиабомбы (РРАБ).</w:t>
      </w:r>
    </w:p>
    <w:p w14:paraId="39CADB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следующие типы РРАБ: РРАБ № 2 (вес снаряженной РРАБ — 500 кг), РРАБ № 3 (вес снаряженной РРАБ — 250 кг).</w:t>
      </w:r>
    </w:p>
    <w:p w14:paraId="364E2C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этим оставить на вооружении и в производстве РРАБ № 2 и РРАБ № 3. РРАБ № 1 (вес снаряженной РРАБ — 1000 кг) не производить, а имеющийся запас оставить до полного использования.</w:t>
      </w:r>
    </w:p>
    <w:p w14:paraId="700510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Форсировать работы по уменьшению габаритов всех типов авиабомб, в том числе и ракетных.</w:t>
      </w:r>
    </w:p>
    <w:p w14:paraId="0D5163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16. </w:t>
      </w:r>
      <w:r w:rsidRPr="00DB5D0D">
        <w:rPr>
          <w:rFonts w:ascii="Times New Roman" w:hAnsi="Times New Roman"/>
          <w:iCs/>
          <w:color w:val="000000" w:themeColor="text1"/>
          <w:sz w:val="16"/>
          <w:szCs w:val="16"/>
        </w:rPr>
        <w:t>По установкам вооружения на самолетах.</w:t>
      </w:r>
    </w:p>
    <w:p w14:paraId="06587E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Ввести на вооружение всех истребителей и штурмовиков пневмоспуска для неподвижных пулеметов и пушек.</w:t>
      </w:r>
    </w:p>
    <w:p w14:paraId="0C03DE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Потребовать от промышленности выпуска опытных и серийных моторов с синхронизаторами под принятые на вооружение винты.</w:t>
      </w:r>
    </w:p>
    <w:p w14:paraId="0B8532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Форсировать разработку синхронизаторов с автоматическим опережением.</w:t>
      </w:r>
    </w:p>
    <w:p w14:paraId="0FEBA4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Форсировать испытания и подготовить к вводу на вооружение турель со спаренными пулеметами ШКАС, одновременно с этим разработать и испытать турельную спаренную установку пулеметов ШКАС и Березина.</w:t>
      </w:r>
    </w:p>
    <w:p w14:paraId="5E17C7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Считать неотъемлемой частью вооружения бомбардировщиков — наличие огневых точек для защиты задней полусферы сверху и снизу.</w:t>
      </w:r>
    </w:p>
    <w:p w14:paraId="514A5B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Потребовать от промышленности разработку стрелковых установок, управляемых на расстоянии.</w:t>
      </w:r>
    </w:p>
    <w:p w14:paraId="2CAA81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Считать неотъемлемой частью вооружения истребителей — бомбардировочное вооружение, в частности, установить бомбодержатели на истребителе И-16.</w:t>
      </w:r>
    </w:p>
    <w:p w14:paraId="24375D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Проектирование бомбардировщиков в отношении максимальной кассетной бомбовой нагрузки производить по количеству замков под ФАБ-50, а по габаритам и прочности по ФАБ-100.</w:t>
      </w:r>
    </w:p>
    <w:p w14:paraId="7B145C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Потребовать от промышленности ускорить разработку кассетного держателя для бомбометания с пикирования и наружного держателя с приспособлением для ввода бомбы из плоскости винта.</w:t>
      </w:r>
    </w:p>
    <w:p w14:paraId="572B8F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Форсировать ввод на вооружение кассетных ящиков для мелких осколочных и зажигательных бомб.</w:t>
      </w:r>
    </w:p>
    <w:p w14:paraId="3D2C24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Потребовать от промышленности ускорить установку одного пулемета вместо спарки в штурманской кабине СБ и установить прицел для ночного бомбометания (КНПБ-3).</w:t>
      </w:r>
    </w:p>
    <w:p w14:paraId="61737D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V Спецоборудование самолетов</w:t>
      </w:r>
    </w:p>
    <w:p w14:paraId="26AA29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I. </w:t>
      </w:r>
      <w:r w:rsidRPr="00DB5D0D">
        <w:rPr>
          <w:rFonts w:ascii="Times New Roman" w:hAnsi="Times New Roman"/>
          <w:iCs/>
          <w:color w:val="000000" w:themeColor="text1"/>
          <w:sz w:val="16"/>
          <w:szCs w:val="16"/>
        </w:rPr>
        <w:t>Радиооборудование'</w:t>
      </w:r>
    </w:p>
    <w:tbl>
      <w:tblPr>
        <w:tblW w:w="0" w:type="auto"/>
        <w:tblInd w:w="40" w:type="dxa"/>
        <w:tblLayout w:type="fixed"/>
        <w:tblCellMar>
          <w:left w:w="40" w:type="dxa"/>
          <w:right w:w="40" w:type="dxa"/>
        </w:tblCellMar>
        <w:tblLook w:val="0000" w:firstRow="0" w:lastRow="0" w:firstColumn="0" w:lastColumn="0" w:noHBand="0" w:noVBand="0"/>
      </w:tblPr>
      <w:tblGrid>
        <w:gridCol w:w="3456"/>
        <w:gridCol w:w="3446"/>
      </w:tblGrid>
      <w:tr w:rsidR="007D5DF8" w:rsidRPr="00DB5D0D" w14:paraId="3977ED40" w14:textId="77777777" w:rsidTr="009223E5">
        <w:trPr>
          <w:cantSplit/>
          <w:trHeight w:val="50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68FB55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Самолетная приемно-передающие радиостанция:</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0D1D55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 с заменой соответственно:</w:t>
            </w:r>
          </w:p>
        </w:tc>
      </w:tr>
      <w:tr w:rsidR="007D5DF8" w:rsidRPr="00DB5D0D" w14:paraId="737332C6" w14:textId="77777777" w:rsidTr="009223E5">
        <w:trPr>
          <w:cantSplit/>
          <w:trHeight w:val="307"/>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48D588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РСР-бис с приемником УС</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42D4A9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РСР-1 с приемником УС-2 — с 1941 г.</w:t>
            </w:r>
          </w:p>
        </w:tc>
      </w:tr>
      <w:tr w:rsidR="007D5DF8" w:rsidRPr="00DB5D0D" w14:paraId="74BAA478" w14:textId="77777777" w:rsidTr="009223E5">
        <w:trPr>
          <w:cantSplit/>
          <w:trHeight w:val="504"/>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56FC0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РСБ с приемником УС</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4B436D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РСБ-бис, спаренной с СПУ-3 бис — с IV кв. 1940 г.</w:t>
            </w:r>
          </w:p>
        </w:tc>
      </w:tr>
      <w:tr w:rsidR="007D5DF8" w:rsidRPr="00DB5D0D" w14:paraId="47AE3CC1" w14:textId="77777777" w:rsidTr="009223E5">
        <w:trPr>
          <w:cantSplit/>
          <w:trHeight w:val="307"/>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374484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РСИ-3</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5A92AA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РСИ-4 — с 1941 г.</w:t>
            </w:r>
          </w:p>
        </w:tc>
      </w:tr>
      <w:tr w:rsidR="007D5DF8" w:rsidRPr="00DB5D0D" w14:paraId="63337CA4" w14:textId="77777777" w:rsidTr="009223E5">
        <w:trPr>
          <w:cantSplit/>
          <w:trHeight w:val="504"/>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025D95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автономный приемник батарейного питания РСИ-3</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5B3389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на автономный приемник РСИ-4 — с IV кв. 1940 г.</w:t>
            </w:r>
          </w:p>
        </w:tc>
      </w:tr>
      <w:tr w:rsidR="007D5DF8" w:rsidRPr="00DB5D0D" w14:paraId="74091F6E" w14:textId="77777777" w:rsidTr="009223E5">
        <w:trPr>
          <w:cantSplit/>
          <w:trHeight w:val="307"/>
        </w:trPr>
        <w:tc>
          <w:tcPr>
            <w:tcW w:w="6902" w:type="dxa"/>
            <w:gridSpan w:val="2"/>
            <w:tcBorders>
              <w:top w:val="single" w:sz="6" w:space="0" w:color="auto"/>
              <w:left w:val="single" w:sz="6" w:space="0" w:color="auto"/>
              <w:bottom w:val="single" w:sz="6" w:space="0" w:color="auto"/>
              <w:right w:val="single" w:sz="6" w:space="0" w:color="auto"/>
            </w:tcBorders>
            <w:shd w:val="clear" w:color="auto" w:fill="FFFFFF"/>
          </w:tcPr>
          <w:p w14:paraId="494195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 опытному строительству</w:t>
            </w:r>
          </w:p>
        </w:tc>
      </w:tr>
      <w:tr w:rsidR="007D5DF8" w:rsidRPr="00DB5D0D" w14:paraId="533E5131" w14:textId="77777777" w:rsidTr="009223E5">
        <w:trPr>
          <w:cantSplit/>
          <w:trHeight w:val="1070"/>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D07C0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2. </w:t>
            </w:r>
            <w:r w:rsidRPr="00DB5D0D">
              <w:rPr>
                <w:rFonts w:ascii="Times New Roman" w:hAnsi="Times New Roman"/>
                <w:color w:val="000000" w:themeColor="text1"/>
                <w:sz w:val="16"/>
                <w:szCs w:val="16"/>
              </w:rPr>
              <w:t>Самолетная приемно-передающая радиостанция РСР-2 разработки 2-го спецотдела НКВД</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4D65BE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испытания в 1940 г. и в случае положительных результатов внедрить в серийное производство в 1941 г. для разведывательной и легомбардировочной авиации</w:t>
            </w:r>
          </w:p>
        </w:tc>
      </w:tr>
      <w:tr w:rsidR="007D5DF8" w:rsidRPr="00DB5D0D" w14:paraId="02AF46F3" w14:textId="77777777" w:rsidTr="009223E5">
        <w:trPr>
          <w:cantSplit/>
          <w:trHeight w:val="68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8BD94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Самолетная приемно-передающая радиостанция РСБ-2 разработки 2-го спецотдела НКВД</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3BE95D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же для дальнебомбардировочной авиации</w:t>
            </w:r>
          </w:p>
        </w:tc>
      </w:tr>
      <w:tr w:rsidR="007D5DF8" w:rsidRPr="00DB5D0D" w14:paraId="64F3C2EF" w14:textId="77777777" w:rsidTr="009223E5">
        <w:trPr>
          <w:cantSplit/>
          <w:trHeight w:val="691"/>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94198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Самолетная приемно-передающая радиостанция РСИ-6 на УКВ для истребителей</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048106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образцы в 1940 г. Провести государственные испытания и войсковые в 1941 г.</w:t>
            </w:r>
          </w:p>
        </w:tc>
      </w:tr>
      <w:tr w:rsidR="007D5DF8" w:rsidRPr="00DB5D0D" w14:paraId="1FE06C32" w14:textId="77777777" w:rsidTr="009223E5">
        <w:trPr>
          <w:cantSplit/>
          <w:trHeight w:val="68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768A28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Самолетная приемно-передающая радиостанция РСИ-5 (полностью кварцованная) для истребителей</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2D5138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образцы, провести государственные и войсковые испытания в 1941 г.</w:t>
            </w:r>
          </w:p>
        </w:tc>
      </w:tr>
      <w:tr w:rsidR="007D5DF8" w:rsidRPr="00DB5D0D" w14:paraId="45C9F455" w14:textId="77777777" w:rsidTr="009223E5">
        <w:trPr>
          <w:cantSplit/>
          <w:trHeight w:val="50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7FA37E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6. Земная мощная радиостанция для связи между аэродромами т. РА</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3E3301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Закончить постройку опытного образца в 1940 г. и начать внедрение серию в 1941 г.</w:t>
            </w:r>
          </w:p>
        </w:tc>
      </w:tr>
    </w:tbl>
    <w:p w14:paraId="6FAF3C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II. </w:t>
      </w:r>
      <w:r w:rsidRPr="00DB5D0D">
        <w:rPr>
          <w:rFonts w:ascii="Times New Roman" w:hAnsi="Times New Roman"/>
          <w:iCs/>
          <w:color w:val="000000" w:themeColor="text1"/>
          <w:sz w:val="16"/>
          <w:szCs w:val="16"/>
        </w:rPr>
        <w:t>Авиаприборы</w:t>
      </w:r>
    </w:p>
    <w:tbl>
      <w:tblPr>
        <w:tblW w:w="0" w:type="auto"/>
        <w:tblInd w:w="40" w:type="dxa"/>
        <w:tblLayout w:type="fixed"/>
        <w:tblCellMar>
          <w:left w:w="40" w:type="dxa"/>
          <w:right w:w="40" w:type="dxa"/>
        </w:tblCellMar>
        <w:tblLook w:val="0000" w:firstRow="0" w:lastRow="0" w:firstColumn="0" w:lastColumn="0" w:noHBand="0" w:noVBand="0"/>
      </w:tblPr>
      <w:tblGrid>
        <w:gridCol w:w="3437"/>
        <w:gridCol w:w="3456"/>
      </w:tblGrid>
      <w:tr w:rsidR="007D5DF8" w:rsidRPr="00DB5D0D" w14:paraId="4FC916F2" w14:textId="77777777" w:rsidTr="009223E5">
        <w:trPr>
          <w:cantSplit/>
          <w:trHeight w:val="1090"/>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30BFD2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Авиасекстан АС</w:t>
            </w:r>
          </w:p>
        </w:tc>
        <w:tc>
          <w:tcPr>
            <w:tcW w:w="3456" w:type="dxa"/>
            <w:tcBorders>
              <w:top w:val="single" w:sz="6" w:space="0" w:color="auto"/>
              <w:left w:val="single" w:sz="6" w:space="0" w:color="auto"/>
              <w:bottom w:val="single" w:sz="6" w:space="0" w:color="auto"/>
              <w:right w:val="single" w:sz="6" w:space="0" w:color="auto"/>
            </w:tcBorders>
            <w:shd w:val="clear" w:color="auto" w:fill="FFFFFF"/>
          </w:tcPr>
          <w:p w14:paraId="4A057E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Прекратить с III квартала 1940 г. снабжение секстаном самолетов в СБ, оставив АС только на дальних бомбардировщиках с последующей заменой его в 1942 г. на перископический секстан</w:t>
            </w:r>
          </w:p>
        </w:tc>
      </w:tr>
      <w:tr w:rsidR="007D5DF8" w:rsidRPr="00DB5D0D" w14:paraId="49A655D6" w14:textId="77777777" w:rsidTr="009223E5">
        <w:trPr>
          <w:cantSplit/>
          <w:trHeight w:val="307"/>
        </w:trPr>
        <w:tc>
          <w:tcPr>
            <w:tcW w:w="6893" w:type="dxa"/>
            <w:gridSpan w:val="2"/>
            <w:tcBorders>
              <w:top w:val="single" w:sz="6" w:space="0" w:color="auto"/>
              <w:left w:val="single" w:sz="6" w:space="0" w:color="auto"/>
              <w:bottom w:val="single" w:sz="6" w:space="0" w:color="auto"/>
              <w:right w:val="single" w:sz="6" w:space="0" w:color="auto"/>
            </w:tcBorders>
            <w:shd w:val="clear" w:color="auto" w:fill="FFFFFF"/>
          </w:tcPr>
          <w:p w14:paraId="708216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Опытное строительство</w:t>
            </w:r>
          </w:p>
        </w:tc>
      </w:tr>
      <w:tr w:rsidR="007D5DF8" w:rsidRPr="00DB5D0D" w14:paraId="745CBA6F" w14:textId="77777777" w:rsidTr="009223E5">
        <w:trPr>
          <w:cantSplit/>
          <w:trHeight w:val="883"/>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0D37E0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2. </w:t>
            </w:r>
            <w:r w:rsidRPr="00DB5D0D">
              <w:rPr>
                <w:rFonts w:ascii="Times New Roman" w:hAnsi="Times New Roman"/>
                <w:color w:val="000000" w:themeColor="text1"/>
                <w:sz w:val="16"/>
                <w:szCs w:val="16"/>
              </w:rPr>
              <w:t>Перископический панорамный авиасекстант</w:t>
            </w:r>
          </w:p>
        </w:tc>
        <w:tc>
          <w:tcPr>
            <w:tcW w:w="3456" w:type="dxa"/>
            <w:tcBorders>
              <w:top w:val="single" w:sz="6" w:space="0" w:color="auto"/>
              <w:left w:val="single" w:sz="6" w:space="0" w:color="auto"/>
              <w:bottom w:val="single" w:sz="6" w:space="0" w:color="auto"/>
              <w:right w:val="single" w:sz="6" w:space="0" w:color="auto"/>
            </w:tcBorders>
            <w:shd w:val="clear" w:color="auto" w:fill="FFFFFF"/>
          </w:tcPr>
          <w:p w14:paraId="339BA0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в 1941 г. по имеющемуся опытному образцу серию для войсковых испытаний. С 1942 г. ввести на вооружение дальнебомбардировочной авиации</w:t>
            </w:r>
          </w:p>
        </w:tc>
      </w:tr>
      <w:tr w:rsidR="007D5DF8" w:rsidRPr="00DB5D0D" w14:paraId="7E63BA9E" w14:textId="77777777" w:rsidTr="009223E5">
        <w:trPr>
          <w:cantSplit/>
          <w:trHeight w:val="883"/>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246917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Дистанционный компас в сочленении с задатчиком радиополукомпаса по типу немецкого</w:t>
            </w:r>
          </w:p>
        </w:tc>
        <w:tc>
          <w:tcPr>
            <w:tcW w:w="3456" w:type="dxa"/>
            <w:tcBorders>
              <w:top w:val="single" w:sz="6" w:space="0" w:color="auto"/>
              <w:left w:val="single" w:sz="6" w:space="0" w:color="auto"/>
              <w:bottom w:val="single" w:sz="6" w:space="0" w:color="auto"/>
              <w:right w:val="single" w:sz="6" w:space="0" w:color="auto"/>
            </w:tcBorders>
            <w:shd w:val="clear" w:color="auto" w:fill="FFFFFF"/>
          </w:tcPr>
          <w:p w14:paraId="6EAD03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к 1.1.1941 г. опытный образец и ввести на вооружение с 1942 г. для самолетов легкобомбардировочной и дальнебомбардировочной авиации</w:t>
            </w:r>
          </w:p>
        </w:tc>
      </w:tr>
      <w:tr w:rsidR="007D5DF8" w:rsidRPr="00DB5D0D" w14:paraId="18763D39" w14:textId="77777777" w:rsidTr="009223E5">
        <w:trPr>
          <w:cantSplit/>
          <w:trHeight w:val="1090"/>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52FB3B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Автоштурман</w:t>
            </w:r>
          </w:p>
        </w:tc>
        <w:tc>
          <w:tcPr>
            <w:tcW w:w="3456" w:type="dxa"/>
            <w:tcBorders>
              <w:top w:val="single" w:sz="6" w:space="0" w:color="auto"/>
              <w:left w:val="single" w:sz="6" w:space="0" w:color="auto"/>
              <w:bottom w:val="single" w:sz="6" w:space="0" w:color="auto"/>
              <w:right w:val="single" w:sz="6" w:space="0" w:color="auto"/>
            </w:tcBorders>
            <w:shd w:val="clear" w:color="auto" w:fill="FFFFFF"/>
          </w:tcPr>
          <w:p w14:paraId="0B1750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опытную серию в 1940 г. и провести войсковые испытания в первой половине 1941 г. В случае положительных результатов принять на вооружение тяжелобомбардировочной авиации.</w:t>
            </w:r>
          </w:p>
        </w:tc>
      </w:tr>
    </w:tbl>
    <w:p w14:paraId="0B1767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III. </w:t>
      </w:r>
      <w:r w:rsidRPr="00DB5D0D">
        <w:rPr>
          <w:rFonts w:ascii="Times New Roman" w:hAnsi="Times New Roman"/>
          <w:iCs/>
          <w:color w:val="000000" w:themeColor="text1"/>
          <w:sz w:val="16"/>
          <w:szCs w:val="16"/>
        </w:rPr>
        <w:t>Средства радионавигации и системы слепого расчета на посадку</w:t>
      </w:r>
    </w:p>
    <w:tbl>
      <w:tblPr>
        <w:tblW w:w="0" w:type="auto"/>
        <w:tblInd w:w="40" w:type="dxa"/>
        <w:tblLayout w:type="fixed"/>
        <w:tblCellMar>
          <w:left w:w="40" w:type="dxa"/>
          <w:right w:w="40" w:type="dxa"/>
        </w:tblCellMar>
        <w:tblLook w:val="0000" w:firstRow="0" w:lastRow="0" w:firstColumn="0" w:lastColumn="0" w:noHBand="0" w:noVBand="0"/>
      </w:tblPr>
      <w:tblGrid>
        <w:gridCol w:w="3437"/>
        <w:gridCol w:w="9"/>
        <w:gridCol w:w="3446"/>
      </w:tblGrid>
      <w:tr w:rsidR="007D5DF8" w:rsidRPr="00DB5D0D" w14:paraId="1C9497ED" w14:textId="77777777" w:rsidTr="009223E5">
        <w:trPr>
          <w:cantSplit/>
          <w:trHeight w:val="706"/>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1BE407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Радиополукомпас РПК-2 (Найка)</w:t>
            </w:r>
          </w:p>
        </w:tc>
        <w:tc>
          <w:tcPr>
            <w:tcW w:w="3451" w:type="dxa"/>
            <w:gridSpan w:val="2"/>
            <w:tcBorders>
              <w:top w:val="single" w:sz="6" w:space="0" w:color="auto"/>
              <w:left w:val="single" w:sz="6" w:space="0" w:color="auto"/>
              <w:bottom w:val="single" w:sz="6" w:space="0" w:color="auto"/>
              <w:right w:val="single" w:sz="6" w:space="0" w:color="auto"/>
            </w:tcBorders>
            <w:shd w:val="clear" w:color="auto" w:fill="FFFFFF"/>
          </w:tcPr>
          <w:p w14:paraId="160017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 для бомбардировщиков с последующей заменой в 1941 г. на РПК-2 с радиоотметчиком.</w:t>
            </w:r>
          </w:p>
        </w:tc>
      </w:tr>
      <w:tr w:rsidR="007D5DF8" w:rsidRPr="00DB5D0D" w14:paraId="4A86CC25" w14:textId="77777777" w:rsidTr="009223E5">
        <w:trPr>
          <w:cantSplit/>
          <w:trHeight w:val="883"/>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0B9523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Радиостанция РАФ (ЛАР) в качестве приводной</w:t>
            </w:r>
          </w:p>
        </w:tc>
        <w:tc>
          <w:tcPr>
            <w:tcW w:w="3451" w:type="dxa"/>
            <w:gridSpan w:val="2"/>
            <w:tcBorders>
              <w:top w:val="single" w:sz="6" w:space="0" w:color="auto"/>
              <w:left w:val="single" w:sz="6" w:space="0" w:color="auto"/>
              <w:bottom w:val="single" w:sz="6" w:space="0" w:color="auto"/>
              <w:right w:val="single" w:sz="6" w:space="0" w:color="auto"/>
            </w:tcBorders>
            <w:shd w:val="clear" w:color="auto" w:fill="FFFFFF"/>
          </w:tcPr>
          <w:p w14:paraId="738B85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модернизацию в 1940 г. Оставить на вооружении с последующей заменой в 1941 г. на приводную аэродромную станцию ПАР</w:t>
            </w:r>
          </w:p>
        </w:tc>
      </w:tr>
      <w:tr w:rsidR="007D5DF8" w:rsidRPr="00DB5D0D" w14:paraId="7D12A177" w14:textId="77777777" w:rsidTr="009223E5">
        <w:trPr>
          <w:cantSplit/>
          <w:trHeight w:val="1070"/>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30527F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Радиомаяк тип 13А-1</w:t>
            </w:r>
          </w:p>
        </w:tc>
        <w:tc>
          <w:tcPr>
            <w:tcW w:w="3451" w:type="dxa"/>
            <w:gridSpan w:val="2"/>
            <w:tcBorders>
              <w:top w:val="single" w:sz="6" w:space="0" w:color="auto"/>
              <w:left w:val="single" w:sz="6" w:space="0" w:color="auto"/>
              <w:bottom w:val="single" w:sz="6" w:space="0" w:color="auto"/>
              <w:right w:val="single" w:sz="6" w:space="0" w:color="auto"/>
            </w:tcBorders>
            <w:shd w:val="clear" w:color="auto" w:fill="FFFFFF"/>
          </w:tcPr>
          <w:p w14:paraId="67E5FC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модернизацию в 1940 г. имеющихся в ВВС радиомаяков 13А-1 и строящихся. В дальнейшем (1941—42 гг.) заменить на новый тип радиомаяка. Производство 13А-1 с 1.1. 1941 г. прекратить</w:t>
            </w:r>
          </w:p>
        </w:tc>
      </w:tr>
      <w:tr w:rsidR="007D5DF8" w:rsidRPr="00DB5D0D" w14:paraId="6C6F3347" w14:textId="77777777" w:rsidTr="009223E5">
        <w:trPr>
          <w:cantSplit/>
          <w:trHeight w:val="883"/>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4EC93C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Радиомаяк тип РАМ и РАМД</w:t>
            </w:r>
          </w:p>
        </w:tc>
        <w:tc>
          <w:tcPr>
            <w:tcW w:w="3451" w:type="dxa"/>
            <w:gridSpan w:val="2"/>
            <w:tcBorders>
              <w:top w:val="single" w:sz="6" w:space="0" w:color="auto"/>
              <w:left w:val="single" w:sz="6" w:space="0" w:color="auto"/>
              <w:bottom w:val="single" w:sz="6" w:space="0" w:color="auto"/>
              <w:right w:val="single" w:sz="6" w:space="0" w:color="auto"/>
            </w:tcBorders>
            <w:shd w:val="clear" w:color="auto" w:fill="FFFFFF"/>
          </w:tcPr>
          <w:p w14:paraId="191C44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Довести в 1940—41 гг. на имеющихся в ВВС маяках секретный курс. Дальнейшее производство радиомаяков РАМ, РАМД прекратить</w:t>
            </w:r>
          </w:p>
        </w:tc>
      </w:tr>
      <w:tr w:rsidR="007D5DF8" w:rsidRPr="00DB5D0D" w14:paraId="6EE4903C" w14:textId="77777777" w:rsidTr="009223E5">
        <w:trPr>
          <w:cantSplit/>
          <w:trHeight w:val="494"/>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010F23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Система слепого расчета на посадку тип «Ночь-1»</w:t>
            </w:r>
          </w:p>
        </w:tc>
        <w:tc>
          <w:tcPr>
            <w:tcW w:w="3451" w:type="dxa"/>
            <w:gridSpan w:val="2"/>
            <w:tcBorders>
              <w:top w:val="single" w:sz="6" w:space="0" w:color="auto"/>
              <w:left w:val="single" w:sz="6" w:space="0" w:color="auto"/>
              <w:bottom w:val="single" w:sz="6" w:space="0" w:color="auto"/>
              <w:right w:val="single" w:sz="6" w:space="0" w:color="auto"/>
            </w:tcBorders>
            <w:shd w:val="clear" w:color="auto" w:fill="FFFFFF"/>
          </w:tcPr>
          <w:p w14:paraId="3CE316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1940 г. проверить широкими испытаниями в войсках</w:t>
            </w:r>
          </w:p>
        </w:tc>
      </w:tr>
      <w:tr w:rsidR="007D5DF8" w:rsidRPr="00DB5D0D" w14:paraId="7558099C" w14:textId="77777777" w:rsidTr="009223E5">
        <w:trPr>
          <w:cantSplit/>
          <w:trHeight w:val="312"/>
        </w:trPr>
        <w:tc>
          <w:tcPr>
            <w:tcW w:w="6888" w:type="dxa"/>
            <w:gridSpan w:val="3"/>
            <w:tcBorders>
              <w:top w:val="single" w:sz="6" w:space="0" w:color="auto"/>
              <w:left w:val="single" w:sz="6" w:space="0" w:color="auto"/>
              <w:bottom w:val="single" w:sz="6" w:space="0" w:color="auto"/>
              <w:right w:val="single" w:sz="6" w:space="0" w:color="auto"/>
            </w:tcBorders>
            <w:shd w:val="clear" w:color="auto" w:fill="FFFFFF"/>
          </w:tcPr>
          <w:p w14:paraId="517E4C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 опытному строительству</w:t>
            </w:r>
          </w:p>
        </w:tc>
      </w:tr>
      <w:tr w:rsidR="007D5DF8" w:rsidRPr="00DB5D0D" w14:paraId="566D1DE7" w14:textId="77777777" w:rsidTr="009223E5">
        <w:trPr>
          <w:cantSplit/>
          <w:trHeight w:val="888"/>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4D7596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Радиополукомпас РПК-5 («Чижик»)</w:t>
            </w:r>
          </w:p>
        </w:tc>
        <w:tc>
          <w:tcPr>
            <w:tcW w:w="3451" w:type="dxa"/>
            <w:gridSpan w:val="2"/>
            <w:tcBorders>
              <w:top w:val="single" w:sz="6" w:space="0" w:color="auto"/>
              <w:left w:val="single" w:sz="6" w:space="0" w:color="auto"/>
              <w:bottom w:val="single" w:sz="6" w:space="0" w:color="auto"/>
              <w:right w:val="single" w:sz="6" w:space="0" w:color="auto"/>
            </w:tcBorders>
            <w:shd w:val="clear" w:color="auto" w:fill="FFFFFF"/>
          </w:tcPr>
          <w:p w14:paraId="331C0E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Испытать образцы в 1940 г. и в случае положительных результатов принять на вооружение всех легких самолетов с 1941 г.</w:t>
            </w:r>
          </w:p>
        </w:tc>
      </w:tr>
      <w:tr w:rsidR="007D5DF8" w:rsidRPr="00DB5D0D" w14:paraId="2AB5204D" w14:textId="77777777" w:rsidTr="009223E5">
        <w:trPr>
          <w:cantSplit/>
          <w:trHeight w:val="888"/>
        </w:trPr>
        <w:tc>
          <w:tcPr>
            <w:tcW w:w="3446" w:type="dxa"/>
            <w:gridSpan w:val="2"/>
            <w:tcBorders>
              <w:top w:val="single" w:sz="6" w:space="0" w:color="auto"/>
              <w:left w:val="single" w:sz="6" w:space="0" w:color="auto"/>
              <w:bottom w:val="single" w:sz="6" w:space="0" w:color="auto"/>
              <w:right w:val="single" w:sz="6" w:space="0" w:color="auto"/>
            </w:tcBorders>
            <w:shd w:val="clear" w:color="auto" w:fill="FFFFFF"/>
          </w:tcPr>
          <w:p w14:paraId="332113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7.Подвижной радиомаяк «Колба»</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16EA04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Построить опытный образец в 1940 г. и провести испытание. В случае положительных результатов принять на вооружение с 1941 г.</w:t>
            </w:r>
          </w:p>
        </w:tc>
      </w:tr>
      <w:tr w:rsidR="007D5DF8" w:rsidRPr="00DB5D0D" w14:paraId="47986B97" w14:textId="77777777" w:rsidTr="009223E5">
        <w:trPr>
          <w:cantSplit/>
          <w:trHeight w:val="504"/>
        </w:trPr>
        <w:tc>
          <w:tcPr>
            <w:tcW w:w="3446" w:type="dxa"/>
            <w:gridSpan w:val="2"/>
            <w:tcBorders>
              <w:top w:val="single" w:sz="6" w:space="0" w:color="auto"/>
              <w:left w:val="single" w:sz="6" w:space="0" w:color="auto"/>
              <w:bottom w:val="single" w:sz="6" w:space="0" w:color="auto"/>
              <w:right w:val="single" w:sz="6" w:space="0" w:color="auto"/>
            </w:tcBorders>
            <w:shd w:val="clear" w:color="auto" w:fill="FFFFFF"/>
          </w:tcPr>
          <w:p w14:paraId="01A4E1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Приводная аэродромная радиостанция ПАР-1</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2D62EF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опытный образец в 1940 г., испытать и внедрить в серию в 1941 г.</w:t>
            </w:r>
          </w:p>
        </w:tc>
      </w:tr>
      <w:tr w:rsidR="007D5DF8" w:rsidRPr="00DB5D0D" w14:paraId="3860AEDA" w14:textId="77777777" w:rsidTr="009223E5">
        <w:trPr>
          <w:cantSplit/>
          <w:trHeight w:val="878"/>
        </w:trPr>
        <w:tc>
          <w:tcPr>
            <w:tcW w:w="3446" w:type="dxa"/>
            <w:gridSpan w:val="2"/>
            <w:tcBorders>
              <w:top w:val="single" w:sz="6" w:space="0" w:color="auto"/>
              <w:left w:val="single" w:sz="6" w:space="0" w:color="auto"/>
              <w:bottom w:val="single" w:sz="6" w:space="0" w:color="auto"/>
              <w:right w:val="single" w:sz="6" w:space="0" w:color="auto"/>
            </w:tcBorders>
            <w:shd w:val="clear" w:color="auto" w:fill="FFFFFF"/>
          </w:tcPr>
          <w:p w14:paraId="3D646C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Система слепого расчета на посадку СПН-3 с использованием радиополукомпаса, радиоотметчиков и приводной радиостанции</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50AA82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в 1940 г. войсковые испытания</w:t>
            </w:r>
          </w:p>
        </w:tc>
      </w:tr>
      <w:tr w:rsidR="007D5DF8" w:rsidRPr="00DB5D0D" w14:paraId="42B16356" w14:textId="77777777" w:rsidTr="009223E5">
        <w:trPr>
          <w:cantSplit/>
          <w:trHeight w:val="1085"/>
        </w:trPr>
        <w:tc>
          <w:tcPr>
            <w:tcW w:w="3446" w:type="dxa"/>
            <w:gridSpan w:val="2"/>
            <w:tcBorders>
              <w:top w:val="single" w:sz="6" w:space="0" w:color="auto"/>
              <w:left w:val="single" w:sz="6" w:space="0" w:color="auto"/>
              <w:bottom w:val="single" w:sz="6" w:space="0" w:color="auto"/>
              <w:right w:val="single" w:sz="6" w:space="0" w:color="auto"/>
            </w:tcBorders>
            <w:shd w:val="clear" w:color="auto" w:fill="FFFFFF"/>
          </w:tcPr>
          <w:p w14:paraId="7020AC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Земная радиопеленгаторная приемно-передающая радиостанция на коротких волнах</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308393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в 1940 г. испытание закупаемого в Германии образца сравнительно с имеющимся в ГВФ. В случае положительных результатов построить опытную серию в 1941 г.</w:t>
            </w:r>
          </w:p>
        </w:tc>
      </w:tr>
    </w:tbl>
    <w:p w14:paraId="2A3CB3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Примечание: </w:t>
      </w:r>
      <w:r w:rsidRPr="00DB5D0D">
        <w:rPr>
          <w:rFonts w:ascii="Times New Roman" w:hAnsi="Times New Roman"/>
          <w:color w:val="000000" w:themeColor="text1"/>
          <w:sz w:val="16"/>
          <w:szCs w:val="16"/>
        </w:rPr>
        <w:t>Кроме указанных образцов необходимо в интересах ВВС обеспечить:</w:t>
      </w:r>
    </w:p>
    <w:p w14:paraId="75AFFC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 1940 г. создание и доводку стационарного радиомаяка ГВФ без ночных ошибок с возможностью привода по радиополукомпасу;</w:t>
      </w:r>
    </w:p>
    <w:p w14:paraId="7B8911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1941—43 гг. серийное производство и создание сети радиомаяков ГВФ по территории СССР с учетом нужд Военведа (для перебросок и внутренних полетов).</w:t>
      </w:r>
    </w:p>
    <w:p w14:paraId="547C15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IV. Аэрофотоаппараты</w:t>
      </w:r>
    </w:p>
    <w:tbl>
      <w:tblPr>
        <w:tblW w:w="0" w:type="auto"/>
        <w:tblInd w:w="40" w:type="dxa"/>
        <w:tblLayout w:type="fixed"/>
        <w:tblCellMar>
          <w:left w:w="40" w:type="dxa"/>
          <w:right w:w="40" w:type="dxa"/>
        </w:tblCellMar>
        <w:tblLook w:val="0000" w:firstRow="0" w:lastRow="0" w:firstColumn="0" w:lastColumn="0" w:noHBand="0" w:noVBand="0"/>
      </w:tblPr>
      <w:tblGrid>
        <w:gridCol w:w="3446"/>
        <w:gridCol w:w="3451"/>
      </w:tblGrid>
      <w:tr w:rsidR="007D5DF8" w:rsidRPr="00DB5D0D" w14:paraId="1733562F" w14:textId="77777777" w:rsidTr="009223E5">
        <w:trPr>
          <w:cantSplit/>
          <w:trHeight w:val="706"/>
        </w:trPr>
        <w:tc>
          <w:tcPr>
            <w:tcW w:w="3446" w:type="dxa"/>
            <w:tcBorders>
              <w:top w:val="single" w:sz="6" w:space="0" w:color="auto"/>
              <w:left w:val="single" w:sz="6" w:space="0" w:color="auto"/>
              <w:bottom w:val="single" w:sz="6" w:space="0" w:color="auto"/>
              <w:right w:val="single" w:sz="6" w:space="0" w:color="auto"/>
            </w:tcBorders>
            <w:shd w:val="clear" w:color="auto" w:fill="FFFFFF"/>
          </w:tcPr>
          <w:p w14:paraId="374CD7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Аэрофотоаппараты для плановой съемки АФА-1, АФА-И, НАФА-19 и для перспективной съемки АФА-27Т</w:t>
            </w:r>
          </w:p>
        </w:tc>
        <w:tc>
          <w:tcPr>
            <w:tcW w:w="3451" w:type="dxa"/>
            <w:tcBorders>
              <w:top w:val="single" w:sz="6" w:space="0" w:color="auto"/>
              <w:left w:val="single" w:sz="6" w:space="0" w:color="auto"/>
              <w:bottom w:val="single" w:sz="6" w:space="0" w:color="auto"/>
              <w:right w:val="single" w:sz="6" w:space="0" w:color="auto"/>
            </w:tcBorders>
            <w:shd w:val="clear" w:color="auto" w:fill="FFFFFF"/>
          </w:tcPr>
          <w:p w14:paraId="19E592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 с последующей заменой аппарата «АФА-1» на аппарат «АФА-20» с 1941 г.</w:t>
            </w:r>
          </w:p>
        </w:tc>
      </w:tr>
      <w:tr w:rsidR="007D5DF8" w:rsidRPr="00DB5D0D" w14:paraId="48929BA8" w14:textId="77777777" w:rsidTr="009223E5">
        <w:trPr>
          <w:cantSplit/>
          <w:trHeight w:val="494"/>
        </w:trPr>
        <w:tc>
          <w:tcPr>
            <w:tcW w:w="3446" w:type="dxa"/>
            <w:tcBorders>
              <w:top w:val="single" w:sz="6" w:space="0" w:color="auto"/>
              <w:left w:val="single" w:sz="6" w:space="0" w:color="auto"/>
              <w:bottom w:val="single" w:sz="6" w:space="0" w:color="auto"/>
              <w:right w:val="single" w:sz="6" w:space="0" w:color="auto"/>
            </w:tcBorders>
            <w:shd w:val="clear" w:color="auto" w:fill="FFFFFF"/>
          </w:tcPr>
          <w:p w14:paraId="277DF6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Аэрофотоаппарат для плановой съемки АФА-Б</w:t>
            </w:r>
          </w:p>
        </w:tc>
        <w:tc>
          <w:tcPr>
            <w:tcW w:w="3451" w:type="dxa"/>
            <w:tcBorders>
              <w:top w:val="single" w:sz="6" w:space="0" w:color="auto"/>
              <w:left w:val="single" w:sz="6" w:space="0" w:color="auto"/>
              <w:bottom w:val="single" w:sz="6" w:space="0" w:color="auto"/>
              <w:right w:val="single" w:sz="6" w:space="0" w:color="auto"/>
            </w:tcBorders>
            <w:shd w:val="clear" w:color="auto" w:fill="FFFFFF"/>
          </w:tcPr>
          <w:p w14:paraId="265FE9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Принять на вооружение для бомбардировщиков</w:t>
            </w:r>
          </w:p>
        </w:tc>
      </w:tr>
      <w:tr w:rsidR="007D5DF8" w:rsidRPr="00DB5D0D" w14:paraId="6E249E4D" w14:textId="77777777" w:rsidTr="009223E5">
        <w:trPr>
          <w:cantSplit/>
          <w:trHeight w:val="696"/>
        </w:trPr>
        <w:tc>
          <w:tcPr>
            <w:tcW w:w="3446" w:type="dxa"/>
            <w:tcBorders>
              <w:top w:val="single" w:sz="6" w:space="0" w:color="auto"/>
              <w:left w:val="single" w:sz="6" w:space="0" w:color="auto"/>
              <w:bottom w:val="single" w:sz="6" w:space="0" w:color="auto"/>
              <w:right w:val="single" w:sz="6" w:space="0" w:color="auto"/>
            </w:tcBorders>
            <w:shd w:val="clear" w:color="auto" w:fill="FFFFFF"/>
          </w:tcPr>
          <w:p w14:paraId="3B6A51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Аэрофотоаппараты старых типов ПОТТЕ-1, —2, -1а, -16 и перспективный АФА-24</w:t>
            </w:r>
          </w:p>
        </w:tc>
        <w:tc>
          <w:tcPr>
            <w:tcW w:w="3451" w:type="dxa"/>
            <w:tcBorders>
              <w:top w:val="single" w:sz="6" w:space="0" w:color="auto"/>
              <w:left w:val="single" w:sz="6" w:space="0" w:color="auto"/>
              <w:bottom w:val="single" w:sz="6" w:space="0" w:color="auto"/>
              <w:right w:val="single" w:sz="6" w:space="0" w:color="auto"/>
            </w:tcBorders>
            <w:shd w:val="clear" w:color="auto" w:fill="FFFFFF"/>
          </w:tcPr>
          <w:p w14:paraId="78C665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вооружения ВВС снять как устаревшие и передать в ОФИ</w:t>
            </w:r>
          </w:p>
        </w:tc>
      </w:tr>
      <w:tr w:rsidR="007D5DF8" w:rsidRPr="00DB5D0D" w14:paraId="7DA3374C" w14:textId="77777777" w:rsidTr="009223E5">
        <w:trPr>
          <w:cantSplit/>
          <w:trHeight w:val="307"/>
        </w:trPr>
        <w:tc>
          <w:tcPr>
            <w:tcW w:w="6897" w:type="dxa"/>
            <w:gridSpan w:val="2"/>
            <w:tcBorders>
              <w:top w:val="single" w:sz="6" w:space="0" w:color="auto"/>
              <w:left w:val="single" w:sz="6" w:space="0" w:color="auto"/>
              <w:bottom w:val="single" w:sz="6" w:space="0" w:color="auto"/>
              <w:right w:val="single" w:sz="6" w:space="0" w:color="auto"/>
            </w:tcBorders>
            <w:shd w:val="clear" w:color="auto" w:fill="FFFFFF"/>
          </w:tcPr>
          <w:p w14:paraId="0DD9F5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 опытному строительству</w:t>
            </w:r>
          </w:p>
        </w:tc>
      </w:tr>
      <w:tr w:rsidR="007D5DF8" w:rsidRPr="00DB5D0D" w14:paraId="390EC38C" w14:textId="77777777" w:rsidTr="009223E5">
        <w:trPr>
          <w:cantSplit/>
          <w:trHeight w:val="504"/>
        </w:trPr>
        <w:tc>
          <w:tcPr>
            <w:tcW w:w="3446" w:type="dxa"/>
            <w:tcBorders>
              <w:top w:val="single" w:sz="6" w:space="0" w:color="auto"/>
              <w:left w:val="single" w:sz="6" w:space="0" w:color="auto"/>
              <w:bottom w:val="single" w:sz="6" w:space="0" w:color="auto"/>
              <w:right w:val="single" w:sz="6" w:space="0" w:color="auto"/>
            </w:tcBorders>
            <w:shd w:val="clear" w:color="auto" w:fill="FFFFFF"/>
          </w:tcPr>
          <w:p w14:paraId="798D59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Аэрофотоаппарат для плановой съемки АФА-30</w:t>
            </w:r>
          </w:p>
        </w:tc>
        <w:tc>
          <w:tcPr>
            <w:tcW w:w="3451" w:type="dxa"/>
            <w:tcBorders>
              <w:top w:val="single" w:sz="6" w:space="0" w:color="auto"/>
              <w:left w:val="single" w:sz="6" w:space="0" w:color="auto"/>
              <w:bottom w:val="single" w:sz="6" w:space="0" w:color="auto"/>
              <w:right w:val="single" w:sz="6" w:space="0" w:color="auto"/>
            </w:tcBorders>
            <w:shd w:val="clear" w:color="auto" w:fill="FFFFFF"/>
          </w:tcPr>
          <w:p w14:paraId="3EB4CC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в 1940 г. войсковые испытания</w:t>
            </w:r>
          </w:p>
        </w:tc>
      </w:tr>
      <w:tr w:rsidR="007D5DF8" w:rsidRPr="00DB5D0D" w14:paraId="053B71F8" w14:textId="77777777" w:rsidTr="009223E5">
        <w:trPr>
          <w:cantSplit/>
          <w:trHeight w:val="893"/>
        </w:trPr>
        <w:tc>
          <w:tcPr>
            <w:tcW w:w="3446" w:type="dxa"/>
            <w:tcBorders>
              <w:top w:val="single" w:sz="6" w:space="0" w:color="auto"/>
              <w:left w:val="single" w:sz="6" w:space="0" w:color="auto"/>
              <w:bottom w:val="single" w:sz="6" w:space="0" w:color="auto"/>
              <w:right w:val="single" w:sz="6" w:space="0" w:color="auto"/>
            </w:tcBorders>
            <w:shd w:val="clear" w:color="auto" w:fill="FFFFFF"/>
          </w:tcPr>
          <w:p w14:paraId="0670AB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Аэрофотоаппарат для непрерывной плановой съемки тип «2Щ»</w:t>
            </w:r>
          </w:p>
        </w:tc>
        <w:tc>
          <w:tcPr>
            <w:tcW w:w="3451" w:type="dxa"/>
            <w:tcBorders>
              <w:top w:val="single" w:sz="6" w:space="0" w:color="auto"/>
              <w:left w:val="single" w:sz="6" w:space="0" w:color="auto"/>
              <w:bottom w:val="single" w:sz="6" w:space="0" w:color="auto"/>
              <w:right w:val="single" w:sz="6" w:space="0" w:color="auto"/>
            </w:tcBorders>
            <w:shd w:val="clear" w:color="auto" w:fill="FFFFFF"/>
          </w:tcPr>
          <w:p w14:paraId="2B6964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Закончить опытный образец и провести испытания в 1940 г. В случае положительных результатов заказать опытную партию в 1941 г.</w:t>
            </w:r>
          </w:p>
        </w:tc>
      </w:tr>
    </w:tbl>
    <w:p w14:paraId="548FDD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V. Походные фотолаборатории</w:t>
      </w:r>
    </w:p>
    <w:tbl>
      <w:tblPr>
        <w:tblW w:w="0" w:type="auto"/>
        <w:tblInd w:w="40" w:type="dxa"/>
        <w:tblLayout w:type="fixed"/>
        <w:tblCellMar>
          <w:left w:w="40" w:type="dxa"/>
          <w:right w:w="40" w:type="dxa"/>
        </w:tblCellMar>
        <w:tblLook w:val="0000" w:firstRow="0" w:lastRow="0" w:firstColumn="0" w:lastColumn="0" w:noHBand="0" w:noVBand="0"/>
      </w:tblPr>
      <w:tblGrid>
        <w:gridCol w:w="3461"/>
        <w:gridCol w:w="3461"/>
      </w:tblGrid>
      <w:tr w:rsidR="007D5DF8" w:rsidRPr="00DB5D0D" w14:paraId="48EC7BF4" w14:textId="77777777" w:rsidTr="009223E5">
        <w:trPr>
          <w:cantSplit/>
          <w:trHeight w:val="686"/>
        </w:trPr>
        <w:tc>
          <w:tcPr>
            <w:tcW w:w="3461" w:type="dxa"/>
            <w:tcBorders>
              <w:top w:val="single" w:sz="6" w:space="0" w:color="auto"/>
              <w:left w:val="single" w:sz="6" w:space="0" w:color="auto"/>
              <w:bottom w:val="single" w:sz="6" w:space="0" w:color="auto"/>
              <w:right w:val="single" w:sz="6" w:space="0" w:color="auto"/>
            </w:tcBorders>
            <w:shd w:val="clear" w:color="auto" w:fill="FFFFFF"/>
          </w:tcPr>
          <w:p w14:paraId="2E214B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Походные аэрофотолаборатории двух-машинного и трех-машинного состава на ГАЗ-ЗА</w:t>
            </w:r>
          </w:p>
        </w:tc>
        <w:tc>
          <w:tcPr>
            <w:tcW w:w="3461" w:type="dxa"/>
            <w:tcBorders>
              <w:top w:val="single" w:sz="6" w:space="0" w:color="auto"/>
              <w:left w:val="single" w:sz="6" w:space="0" w:color="auto"/>
              <w:bottom w:val="single" w:sz="6" w:space="0" w:color="auto"/>
              <w:right w:val="single" w:sz="6" w:space="0" w:color="auto"/>
            </w:tcBorders>
            <w:shd w:val="clear" w:color="auto" w:fill="FFFFFF"/>
          </w:tcPr>
          <w:p w14:paraId="4E6D0F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w:t>
            </w:r>
          </w:p>
        </w:tc>
      </w:tr>
      <w:tr w:rsidR="007D5DF8" w:rsidRPr="00DB5D0D" w14:paraId="70304B02" w14:textId="77777777" w:rsidTr="009223E5">
        <w:trPr>
          <w:cantSplit/>
          <w:trHeight w:val="317"/>
        </w:trPr>
        <w:tc>
          <w:tcPr>
            <w:tcW w:w="6922" w:type="dxa"/>
            <w:gridSpan w:val="2"/>
            <w:tcBorders>
              <w:top w:val="single" w:sz="6" w:space="0" w:color="auto"/>
              <w:left w:val="single" w:sz="6" w:space="0" w:color="auto"/>
              <w:bottom w:val="single" w:sz="6" w:space="0" w:color="auto"/>
              <w:right w:val="single" w:sz="6" w:space="0" w:color="auto"/>
            </w:tcBorders>
            <w:shd w:val="clear" w:color="auto" w:fill="FFFFFF"/>
          </w:tcPr>
          <w:p w14:paraId="335C1F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 опытному строительству</w:t>
            </w:r>
          </w:p>
        </w:tc>
      </w:tr>
      <w:tr w:rsidR="007D5DF8" w:rsidRPr="00DB5D0D" w14:paraId="23EBC682" w14:textId="77777777" w:rsidTr="009223E5">
        <w:trPr>
          <w:cantSplit/>
          <w:trHeight w:val="662"/>
        </w:trPr>
        <w:tc>
          <w:tcPr>
            <w:tcW w:w="3461" w:type="dxa"/>
            <w:tcBorders>
              <w:top w:val="single" w:sz="6" w:space="0" w:color="auto"/>
              <w:left w:val="single" w:sz="6" w:space="0" w:color="auto"/>
              <w:bottom w:val="single" w:sz="6" w:space="0" w:color="auto"/>
              <w:right w:val="single" w:sz="6" w:space="0" w:color="auto"/>
            </w:tcBorders>
            <w:shd w:val="clear" w:color="auto" w:fill="FFFFFF"/>
          </w:tcPr>
          <w:p w14:paraId="07BA74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2. </w:t>
            </w:r>
            <w:r w:rsidRPr="00DB5D0D">
              <w:rPr>
                <w:rFonts w:ascii="Times New Roman" w:hAnsi="Times New Roman"/>
                <w:color w:val="000000" w:themeColor="text1"/>
                <w:sz w:val="16"/>
                <w:szCs w:val="16"/>
              </w:rPr>
              <w:t>Аэрофотолаборатория подвижная на 5—6 прицепов для фотограмцентра штаба армии на тракторной тяге</w:t>
            </w:r>
          </w:p>
        </w:tc>
        <w:tc>
          <w:tcPr>
            <w:tcW w:w="3461" w:type="dxa"/>
            <w:tcBorders>
              <w:top w:val="single" w:sz="6" w:space="0" w:color="auto"/>
              <w:left w:val="single" w:sz="6" w:space="0" w:color="auto"/>
              <w:bottom w:val="single" w:sz="6" w:space="0" w:color="auto"/>
              <w:right w:val="single" w:sz="6" w:space="0" w:color="auto"/>
            </w:tcBorders>
            <w:shd w:val="clear" w:color="auto" w:fill="FFFFFF"/>
          </w:tcPr>
          <w:p w14:paraId="171BE3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опытные образцы в 1941 г. и провести испытание</w:t>
            </w:r>
          </w:p>
        </w:tc>
      </w:tr>
      <w:tr w:rsidR="007D5DF8" w:rsidRPr="00DB5D0D" w14:paraId="68621AB6" w14:textId="77777777" w:rsidTr="009223E5">
        <w:trPr>
          <w:cantSplit/>
          <w:trHeight w:val="667"/>
        </w:trPr>
        <w:tc>
          <w:tcPr>
            <w:tcW w:w="3461" w:type="dxa"/>
            <w:tcBorders>
              <w:top w:val="single" w:sz="6" w:space="0" w:color="auto"/>
              <w:left w:val="single" w:sz="6" w:space="0" w:color="auto"/>
              <w:bottom w:val="single" w:sz="6" w:space="0" w:color="auto"/>
              <w:right w:val="single" w:sz="6" w:space="0" w:color="auto"/>
            </w:tcBorders>
            <w:shd w:val="clear" w:color="auto" w:fill="FFFFFF"/>
          </w:tcPr>
          <w:p w14:paraId="272B32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Аэрофотолаборатория для фотограмцентра штаба фронта в разборных перевозных домиках</w:t>
            </w:r>
          </w:p>
        </w:tc>
        <w:tc>
          <w:tcPr>
            <w:tcW w:w="3461" w:type="dxa"/>
            <w:tcBorders>
              <w:top w:val="single" w:sz="6" w:space="0" w:color="auto"/>
              <w:left w:val="single" w:sz="6" w:space="0" w:color="auto"/>
              <w:bottom w:val="single" w:sz="6" w:space="0" w:color="auto"/>
              <w:right w:val="single" w:sz="6" w:space="0" w:color="auto"/>
            </w:tcBorders>
            <w:shd w:val="clear" w:color="auto" w:fill="FFFFFF"/>
          </w:tcPr>
          <w:p w14:paraId="3F34D1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опытные образцы в 1941 г. и провести испытание</w:t>
            </w:r>
          </w:p>
        </w:tc>
      </w:tr>
      <w:tr w:rsidR="007D5DF8" w:rsidRPr="00DB5D0D" w14:paraId="72BCFCB3" w14:textId="77777777" w:rsidTr="009223E5">
        <w:trPr>
          <w:cantSplit/>
          <w:trHeight w:val="485"/>
        </w:trPr>
        <w:tc>
          <w:tcPr>
            <w:tcW w:w="3461" w:type="dxa"/>
            <w:tcBorders>
              <w:top w:val="single" w:sz="6" w:space="0" w:color="auto"/>
              <w:left w:val="single" w:sz="6" w:space="0" w:color="auto"/>
              <w:bottom w:val="single" w:sz="6" w:space="0" w:color="auto"/>
              <w:right w:val="single" w:sz="6" w:space="0" w:color="auto"/>
            </w:tcBorders>
            <w:shd w:val="clear" w:color="auto" w:fill="FFFFFF"/>
          </w:tcPr>
          <w:p w14:paraId="16A7A5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Телевизионная самолетная установка типа «Доломит»</w:t>
            </w:r>
          </w:p>
        </w:tc>
        <w:tc>
          <w:tcPr>
            <w:tcW w:w="3461" w:type="dxa"/>
            <w:tcBorders>
              <w:top w:val="single" w:sz="6" w:space="0" w:color="auto"/>
              <w:left w:val="single" w:sz="6" w:space="0" w:color="auto"/>
              <w:bottom w:val="single" w:sz="6" w:space="0" w:color="auto"/>
              <w:right w:val="single" w:sz="6" w:space="0" w:color="auto"/>
            </w:tcBorders>
            <w:shd w:val="clear" w:color="auto" w:fill="FFFFFF"/>
          </w:tcPr>
          <w:p w14:paraId="388573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опытный образец в весе не более 80 г в 1941 г. и провести испытание</w:t>
            </w:r>
          </w:p>
        </w:tc>
      </w:tr>
      <w:tr w:rsidR="007D5DF8" w:rsidRPr="00DB5D0D" w14:paraId="1F791746" w14:textId="77777777" w:rsidTr="009223E5">
        <w:trPr>
          <w:cantSplit/>
          <w:trHeight w:val="686"/>
        </w:trPr>
        <w:tc>
          <w:tcPr>
            <w:tcW w:w="3461" w:type="dxa"/>
            <w:tcBorders>
              <w:top w:val="single" w:sz="6" w:space="0" w:color="auto"/>
              <w:left w:val="single" w:sz="6" w:space="0" w:color="auto"/>
              <w:bottom w:val="single" w:sz="6" w:space="0" w:color="auto"/>
              <w:right w:val="single" w:sz="6" w:space="0" w:color="auto"/>
            </w:tcBorders>
            <w:shd w:val="clear" w:color="auto" w:fill="FFFFFF"/>
          </w:tcPr>
          <w:p w14:paraId="573742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Самолетный бильдаппарат для передачи по радио изображения и фотоснимков на землю</w:t>
            </w:r>
          </w:p>
        </w:tc>
        <w:tc>
          <w:tcPr>
            <w:tcW w:w="3461" w:type="dxa"/>
            <w:tcBorders>
              <w:top w:val="single" w:sz="6" w:space="0" w:color="auto"/>
              <w:left w:val="single" w:sz="6" w:space="0" w:color="auto"/>
              <w:bottom w:val="single" w:sz="6" w:space="0" w:color="auto"/>
              <w:right w:val="single" w:sz="6" w:space="0" w:color="auto"/>
            </w:tcBorders>
            <w:shd w:val="clear" w:color="auto" w:fill="FFFFFF"/>
          </w:tcPr>
          <w:p w14:paraId="7DF79E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в 1941 г. опытный образец и провести испытание</w:t>
            </w:r>
          </w:p>
        </w:tc>
      </w:tr>
    </w:tbl>
    <w:p w14:paraId="037EAB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VI. Метеослужба</w:t>
      </w:r>
    </w:p>
    <w:p w14:paraId="2D815E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Походная метеостанция на шасси ЗИС-5</w:t>
      </w:r>
    </w:p>
    <w:p w14:paraId="571868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w:t>
      </w:r>
    </w:p>
    <w:p w14:paraId="5E5ECC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VII. Прожекторные посадочные и маячные станции</w:t>
      </w:r>
    </w:p>
    <w:tbl>
      <w:tblPr>
        <w:tblW w:w="0" w:type="auto"/>
        <w:tblInd w:w="40" w:type="dxa"/>
        <w:tblLayout w:type="fixed"/>
        <w:tblCellMar>
          <w:left w:w="40" w:type="dxa"/>
          <w:right w:w="40" w:type="dxa"/>
        </w:tblCellMar>
        <w:tblLook w:val="0000" w:firstRow="0" w:lastRow="0" w:firstColumn="0" w:lastColumn="0" w:noHBand="0" w:noVBand="0"/>
      </w:tblPr>
      <w:tblGrid>
        <w:gridCol w:w="3456"/>
        <w:gridCol w:w="3446"/>
      </w:tblGrid>
      <w:tr w:rsidR="007D5DF8" w:rsidRPr="00DB5D0D" w14:paraId="526E72EC" w14:textId="77777777" w:rsidTr="009223E5">
        <w:trPr>
          <w:cantSplit/>
          <w:trHeight w:val="485"/>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75D036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Прожекторная посадочная станция АП-4 и маячно-посадочная станция ПС-6</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4FB79F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w:t>
            </w:r>
          </w:p>
        </w:tc>
      </w:tr>
      <w:tr w:rsidR="007D5DF8" w:rsidRPr="00DB5D0D" w14:paraId="7A267D1B" w14:textId="77777777" w:rsidTr="009223E5">
        <w:trPr>
          <w:cantSplit/>
          <w:trHeight w:val="470"/>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723BB2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Зарядная автомобильная станция АЗС-1 для зарядки аккумулятора</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774A58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Принять на вооружение</w:t>
            </w:r>
          </w:p>
        </w:tc>
      </w:tr>
      <w:tr w:rsidR="007D5DF8" w:rsidRPr="00DB5D0D" w14:paraId="53FE7772" w14:textId="77777777" w:rsidTr="009223E5">
        <w:trPr>
          <w:cantSplit/>
          <w:trHeight w:val="667"/>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319A7A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Электроагрегат 18-ЗС-1 для зарядки аккумуляторов</w:t>
            </w:r>
          </w:p>
        </w:tc>
        <w:tc>
          <w:tcPr>
            <w:tcW w:w="3446" w:type="dxa"/>
            <w:tcBorders>
              <w:top w:val="single" w:sz="6" w:space="0" w:color="auto"/>
              <w:left w:val="single" w:sz="6" w:space="0" w:color="auto"/>
              <w:bottom w:val="single" w:sz="6" w:space="0" w:color="auto"/>
              <w:right w:val="single" w:sz="6" w:space="0" w:color="auto"/>
            </w:tcBorders>
            <w:shd w:val="clear" w:color="auto" w:fill="FFFFFF"/>
          </w:tcPr>
          <w:p w14:paraId="0E50FC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 с последующей заменой 12-квт агрегатами с двигателем ГАЗ в 1941 г.</w:t>
            </w:r>
          </w:p>
        </w:tc>
      </w:tr>
    </w:tbl>
    <w:p w14:paraId="643934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Примечание: </w:t>
      </w:r>
      <w:r w:rsidRPr="00DB5D0D">
        <w:rPr>
          <w:rFonts w:ascii="Times New Roman" w:hAnsi="Times New Roman"/>
          <w:color w:val="000000" w:themeColor="text1"/>
          <w:sz w:val="16"/>
          <w:szCs w:val="16"/>
        </w:rPr>
        <w:t>В интересах ВВС Красной Армии должно быть развито ночное оборудование линии ГВФ по образцам, разработанным к настоящему времени ГВФ и согласованными с ВВС Красной Армии.</w:t>
      </w:r>
    </w:p>
    <w:p w14:paraId="01A93F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VIII. Автопилоты</w:t>
      </w:r>
    </w:p>
    <w:tbl>
      <w:tblPr>
        <w:tblW w:w="0" w:type="auto"/>
        <w:tblInd w:w="40" w:type="dxa"/>
        <w:tblLayout w:type="fixed"/>
        <w:tblCellMar>
          <w:left w:w="40" w:type="dxa"/>
          <w:right w:w="40" w:type="dxa"/>
        </w:tblCellMar>
        <w:tblLook w:val="0000" w:firstRow="0" w:lastRow="0" w:firstColumn="0" w:lastColumn="0" w:noHBand="0" w:noVBand="0"/>
      </w:tblPr>
      <w:tblGrid>
        <w:gridCol w:w="3451"/>
        <w:gridCol w:w="3451"/>
      </w:tblGrid>
      <w:tr w:rsidR="007D5DF8" w:rsidRPr="00DB5D0D" w14:paraId="1395C7E4" w14:textId="77777777" w:rsidTr="009223E5">
        <w:trPr>
          <w:cantSplit/>
          <w:trHeight w:val="672"/>
        </w:trPr>
        <w:tc>
          <w:tcPr>
            <w:tcW w:w="3451" w:type="dxa"/>
            <w:tcBorders>
              <w:top w:val="single" w:sz="6" w:space="0" w:color="auto"/>
              <w:left w:val="single" w:sz="6" w:space="0" w:color="auto"/>
              <w:bottom w:val="single" w:sz="6" w:space="0" w:color="auto"/>
              <w:right w:val="single" w:sz="6" w:space="0" w:color="auto"/>
            </w:tcBorders>
            <w:shd w:val="clear" w:color="auto" w:fill="FFFFFF"/>
          </w:tcPr>
          <w:p w14:paraId="54E99F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Автопилот т. АПГ-1</w:t>
            </w:r>
          </w:p>
        </w:tc>
        <w:tc>
          <w:tcPr>
            <w:tcW w:w="3451" w:type="dxa"/>
            <w:tcBorders>
              <w:top w:val="single" w:sz="6" w:space="0" w:color="auto"/>
              <w:left w:val="single" w:sz="6" w:space="0" w:color="auto"/>
              <w:bottom w:val="single" w:sz="6" w:space="0" w:color="auto"/>
              <w:right w:val="single" w:sz="6" w:space="0" w:color="auto"/>
            </w:tcBorders>
            <w:shd w:val="clear" w:color="auto" w:fill="FFFFFF"/>
          </w:tcPr>
          <w:p w14:paraId="219CB3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Принять на вооружение с 1940 г. для самолетов дальней бомбардировочной авиации. Образец прошел войсковые испытания</w:t>
            </w:r>
          </w:p>
        </w:tc>
      </w:tr>
      <w:tr w:rsidR="007D5DF8" w:rsidRPr="00DB5D0D" w14:paraId="45593425" w14:textId="77777777" w:rsidTr="009223E5">
        <w:trPr>
          <w:cantSplit/>
          <w:trHeight w:val="840"/>
        </w:trPr>
        <w:tc>
          <w:tcPr>
            <w:tcW w:w="3451" w:type="dxa"/>
            <w:tcBorders>
              <w:top w:val="single" w:sz="6" w:space="0" w:color="auto"/>
              <w:left w:val="single" w:sz="6" w:space="0" w:color="auto"/>
              <w:bottom w:val="single" w:sz="6" w:space="0" w:color="auto"/>
              <w:right w:val="single" w:sz="6" w:space="0" w:color="auto"/>
            </w:tcBorders>
            <w:shd w:val="clear" w:color="auto" w:fill="FFFFFF"/>
          </w:tcPr>
          <w:p w14:paraId="742232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Автопилот т. АК-1</w:t>
            </w:r>
          </w:p>
        </w:tc>
        <w:tc>
          <w:tcPr>
            <w:tcW w:w="3451" w:type="dxa"/>
            <w:tcBorders>
              <w:top w:val="single" w:sz="6" w:space="0" w:color="auto"/>
              <w:left w:val="single" w:sz="6" w:space="0" w:color="auto"/>
              <w:bottom w:val="single" w:sz="6" w:space="0" w:color="auto"/>
              <w:right w:val="single" w:sz="6" w:space="0" w:color="auto"/>
            </w:tcBorders>
            <w:shd w:val="clear" w:color="auto" w:fill="FFFFFF"/>
          </w:tcPr>
          <w:p w14:paraId="5EF057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Принять на вооружение с 1941 г. для самолетов скоростной легкобомбардировочной авиации в случае благоприятных войсковых испытаний в 1940 г.</w:t>
            </w:r>
          </w:p>
        </w:tc>
      </w:tr>
      <w:tr w:rsidR="007D5DF8" w:rsidRPr="00DB5D0D" w14:paraId="47883170" w14:textId="77777777" w:rsidTr="009223E5">
        <w:trPr>
          <w:cantSplit/>
          <w:trHeight w:val="317"/>
        </w:trPr>
        <w:tc>
          <w:tcPr>
            <w:tcW w:w="6902" w:type="dxa"/>
            <w:gridSpan w:val="2"/>
            <w:tcBorders>
              <w:top w:val="single" w:sz="6" w:space="0" w:color="auto"/>
              <w:left w:val="single" w:sz="6" w:space="0" w:color="auto"/>
              <w:bottom w:val="single" w:sz="6" w:space="0" w:color="auto"/>
              <w:right w:val="single" w:sz="6" w:space="0" w:color="auto"/>
            </w:tcBorders>
            <w:shd w:val="clear" w:color="auto" w:fill="FFFFFF"/>
          </w:tcPr>
          <w:p w14:paraId="0A3252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Опытное строительство</w:t>
            </w:r>
          </w:p>
        </w:tc>
      </w:tr>
      <w:tr w:rsidR="007D5DF8" w:rsidRPr="00DB5D0D" w14:paraId="50A23764" w14:textId="77777777" w:rsidTr="009223E5">
        <w:trPr>
          <w:cantSplit/>
          <w:trHeight w:val="667"/>
        </w:trPr>
        <w:tc>
          <w:tcPr>
            <w:tcW w:w="3451" w:type="dxa"/>
            <w:tcBorders>
              <w:top w:val="single" w:sz="6" w:space="0" w:color="auto"/>
              <w:left w:val="single" w:sz="6" w:space="0" w:color="auto"/>
              <w:bottom w:val="single" w:sz="6" w:space="0" w:color="auto"/>
              <w:right w:val="single" w:sz="6" w:space="0" w:color="auto"/>
            </w:tcBorders>
            <w:shd w:val="clear" w:color="auto" w:fill="FFFFFF"/>
          </w:tcPr>
          <w:p w14:paraId="4EDD77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Подвижная поверочная установка для автопилотов АПГ-1 и АК-1 и прочего оборудования для самолетов</w:t>
            </w:r>
          </w:p>
        </w:tc>
        <w:tc>
          <w:tcPr>
            <w:tcW w:w="3451" w:type="dxa"/>
            <w:tcBorders>
              <w:top w:val="single" w:sz="6" w:space="0" w:color="auto"/>
              <w:left w:val="single" w:sz="6" w:space="0" w:color="auto"/>
              <w:bottom w:val="single" w:sz="6" w:space="0" w:color="auto"/>
              <w:right w:val="single" w:sz="6" w:space="0" w:color="auto"/>
            </w:tcBorders>
            <w:shd w:val="clear" w:color="auto" w:fill="FFFFFF"/>
          </w:tcPr>
          <w:p w14:paraId="213A32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опытный образец в 1941 г.</w:t>
            </w:r>
          </w:p>
        </w:tc>
      </w:tr>
    </w:tbl>
    <w:p w14:paraId="7A33C6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IX. Самолетные кислородные приборы</w:t>
      </w:r>
    </w:p>
    <w:tbl>
      <w:tblPr>
        <w:tblW w:w="0" w:type="auto"/>
        <w:tblInd w:w="40" w:type="dxa"/>
        <w:tblLayout w:type="fixed"/>
        <w:tblCellMar>
          <w:left w:w="40" w:type="dxa"/>
          <w:right w:w="40" w:type="dxa"/>
        </w:tblCellMar>
        <w:tblLook w:val="0000" w:firstRow="0" w:lastRow="0" w:firstColumn="0" w:lastColumn="0" w:noHBand="0" w:noVBand="0"/>
      </w:tblPr>
      <w:tblGrid>
        <w:gridCol w:w="3437"/>
        <w:gridCol w:w="3437"/>
      </w:tblGrid>
      <w:tr w:rsidR="007D5DF8" w:rsidRPr="00DB5D0D" w14:paraId="4AB66CA6" w14:textId="77777777" w:rsidTr="009223E5">
        <w:trPr>
          <w:cantSplit/>
          <w:trHeight w:val="523"/>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2F5402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Кислородный прибор КПА-1 с кислородной маской открытого типа</w:t>
            </w:r>
          </w:p>
        </w:tc>
        <w:tc>
          <w:tcPr>
            <w:tcW w:w="3437" w:type="dxa"/>
            <w:tcBorders>
              <w:top w:val="single" w:sz="6" w:space="0" w:color="auto"/>
              <w:left w:val="single" w:sz="6" w:space="0" w:color="auto"/>
              <w:bottom w:val="single" w:sz="6" w:space="0" w:color="auto"/>
              <w:right w:val="single" w:sz="6" w:space="0" w:color="auto"/>
            </w:tcBorders>
            <w:shd w:val="clear" w:color="auto" w:fill="FFFFFF"/>
          </w:tcPr>
          <w:p w14:paraId="44F6CA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вооружения снять</w:t>
            </w:r>
          </w:p>
        </w:tc>
      </w:tr>
      <w:tr w:rsidR="007D5DF8" w:rsidRPr="00DB5D0D" w14:paraId="5EA9CF83" w14:textId="77777777" w:rsidTr="009223E5">
        <w:trPr>
          <w:cantSplit/>
          <w:trHeight w:val="710"/>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5372E9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Кислородный прибор КПА-Збис</w:t>
            </w:r>
          </w:p>
        </w:tc>
        <w:tc>
          <w:tcPr>
            <w:tcW w:w="3437" w:type="dxa"/>
            <w:tcBorders>
              <w:top w:val="single" w:sz="6" w:space="0" w:color="auto"/>
              <w:left w:val="single" w:sz="6" w:space="0" w:color="auto"/>
              <w:bottom w:val="single" w:sz="6" w:space="0" w:color="auto"/>
              <w:right w:val="single" w:sz="6" w:space="0" w:color="auto"/>
            </w:tcBorders>
            <w:shd w:val="clear" w:color="auto" w:fill="FFFFFF"/>
          </w:tcPr>
          <w:p w14:paraId="7A7111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 с последующей заменой в 1941 г. на прибор в компактном корпусе</w:t>
            </w:r>
          </w:p>
        </w:tc>
      </w:tr>
      <w:tr w:rsidR="007D5DF8" w:rsidRPr="00DB5D0D" w14:paraId="1810FD0F" w14:textId="77777777" w:rsidTr="009223E5">
        <w:trPr>
          <w:cantSplit/>
          <w:trHeight w:val="706"/>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338AAF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Кислородная полумаска ПМ-1 с резиновым морозостойким шлангом</w:t>
            </w:r>
          </w:p>
        </w:tc>
        <w:tc>
          <w:tcPr>
            <w:tcW w:w="3437" w:type="dxa"/>
            <w:tcBorders>
              <w:top w:val="single" w:sz="6" w:space="0" w:color="auto"/>
              <w:left w:val="single" w:sz="6" w:space="0" w:color="auto"/>
              <w:bottom w:val="single" w:sz="6" w:space="0" w:color="auto"/>
              <w:right w:val="single" w:sz="6" w:space="0" w:color="auto"/>
            </w:tcBorders>
            <w:shd w:val="clear" w:color="auto" w:fill="FFFFFF"/>
          </w:tcPr>
          <w:p w14:paraId="6A8C01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Принять на вооружение. Произвести последующую модернизацию в опытной серии на электрообогрев к концу 1940 г.</w:t>
            </w:r>
          </w:p>
        </w:tc>
      </w:tr>
      <w:tr w:rsidR="007D5DF8" w:rsidRPr="00DB5D0D" w14:paraId="119972F9" w14:textId="77777777" w:rsidTr="009223E5">
        <w:trPr>
          <w:cantSplit/>
          <w:trHeight w:val="720"/>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5EC8D7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Кислородный прибор — легочный автомат КПЛ-1</w:t>
            </w:r>
          </w:p>
        </w:tc>
        <w:tc>
          <w:tcPr>
            <w:tcW w:w="3437" w:type="dxa"/>
            <w:tcBorders>
              <w:top w:val="single" w:sz="6" w:space="0" w:color="auto"/>
              <w:left w:val="single" w:sz="6" w:space="0" w:color="auto"/>
              <w:bottom w:val="single" w:sz="6" w:space="0" w:color="auto"/>
              <w:right w:val="single" w:sz="6" w:space="0" w:color="auto"/>
            </w:tcBorders>
            <w:shd w:val="clear" w:color="auto" w:fill="FFFFFF"/>
          </w:tcPr>
          <w:p w14:paraId="5A0BCB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войсковые испытания в 1940 г. и в случае положительных результатов ввести на вооружение с 1941 г.</w:t>
            </w:r>
          </w:p>
        </w:tc>
      </w:tr>
    </w:tbl>
    <w:p w14:paraId="46DC74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X. Средства по добыче кислорода</w:t>
      </w:r>
    </w:p>
    <w:tbl>
      <w:tblPr>
        <w:tblW w:w="0" w:type="auto"/>
        <w:tblInd w:w="40" w:type="dxa"/>
        <w:tblLayout w:type="fixed"/>
        <w:tblCellMar>
          <w:left w:w="40" w:type="dxa"/>
          <w:right w:w="40" w:type="dxa"/>
        </w:tblCellMar>
        <w:tblLook w:val="0000" w:firstRow="0" w:lastRow="0" w:firstColumn="0" w:lastColumn="0" w:noHBand="0" w:noVBand="0"/>
      </w:tblPr>
      <w:tblGrid>
        <w:gridCol w:w="3437"/>
        <w:gridCol w:w="3442"/>
      </w:tblGrid>
      <w:tr w:rsidR="007D5DF8" w:rsidRPr="00DB5D0D" w14:paraId="4CCCC9E5" w14:textId="77777777" w:rsidTr="009223E5">
        <w:trPr>
          <w:cantSplit/>
          <w:trHeight w:val="518"/>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125DF0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Жел[езно]дорожная кислородная установка В-3</w:t>
            </w:r>
          </w:p>
        </w:tc>
        <w:tc>
          <w:tcPr>
            <w:tcW w:w="3442" w:type="dxa"/>
            <w:tcBorders>
              <w:top w:val="single" w:sz="6" w:space="0" w:color="auto"/>
              <w:left w:val="single" w:sz="6" w:space="0" w:color="auto"/>
              <w:bottom w:val="single" w:sz="6" w:space="0" w:color="auto"/>
              <w:right w:val="single" w:sz="6" w:space="0" w:color="auto"/>
            </w:tcBorders>
            <w:shd w:val="clear" w:color="auto" w:fill="FFFFFF"/>
          </w:tcPr>
          <w:p w14:paraId="38EF3B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w:t>
            </w:r>
          </w:p>
        </w:tc>
      </w:tr>
      <w:tr w:rsidR="007D5DF8" w:rsidRPr="00DB5D0D" w14:paraId="2E7C8141" w14:textId="77777777" w:rsidTr="009223E5">
        <w:trPr>
          <w:cantSplit/>
          <w:trHeight w:val="504"/>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676A34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Автомобильная кислородная установка АК-0,5</w:t>
            </w:r>
          </w:p>
        </w:tc>
        <w:tc>
          <w:tcPr>
            <w:tcW w:w="3442" w:type="dxa"/>
            <w:tcBorders>
              <w:top w:val="single" w:sz="6" w:space="0" w:color="auto"/>
              <w:left w:val="single" w:sz="6" w:space="0" w:color="auto"/>
              <w:bottom w:val="single" w:sz="6" w:space="0" w:color="auto"/>
              <w:right w:val="single" w:sz="6" w:space="0" w:color="auto"/>
            </w:tcBorders>
            <w:shd w:val="clear" w:color="auto" w:fill="FFFFFF"/>
          </w:tcPr>
          <w:p w14:paraId="705CAD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Принять на вооружение</w:t>
            </w:r>
          </w:p>
        </w:tc>
      </w:tr>
      <w:tr w:rsidR="007D5DF8" w:rsidRPr="00DB5D0D" w14:paraId="7738D365" w14:textId="77777777" w:rsidTr="009223E5">
        <w:trPr>
          <w:cantSplit/>
          <w:trHeight w:val="514"/>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797756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Стационарная кислородная установка тип СК-0,5</w:t>
            </w:r>
          </w:p>
        </w:tc>
        <w:tc>
          <w:tcPr>
            <w:tcW w:w="3442" w:type="dxa"/>
            <w:tcBorders>
              <w:top w:val="single" w:sz="6" w:space="0" w:color="auto"/>
              <w:left w:val="single" w:sz="6" w:space="0" w:color="auto"/>
              <w:bottom w:val="single" w:sz="6" w:space="0" w:color="auto"/>
              <w:right w:val="single" w:sz="6" w:space="0" w:color="auto"/>
            </w:tcBorders>
            <w:shd w:val="clear" w:color="auto" w:fill="FFFFFF"/>
          </w:tcPr>
          <w:p w14:paraId="72490B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w:t>
            </w:r>
          </w:p>
        </w:tc>
      </w:tr>
      <w:tr w:rsidR="007D5DF8" w:rsidRPr="00DB5D0D" w14:paraId="1EF79B02" w14:textId="77777777" w:rsidTr="009223E5">
        <w:trPr>
          <w:cantSplit/>
          <w:trHeight w:val="331"/>
        </w:trPr>
        <w:tc>
          <w:tcPr>
            <w:tcW w:w="6879" w:type="dxa"/>
            <w:gridSpan w:val="2"/>
            <w:tcBorders>
              <w:top w:val="single" w:sz="6" w:space="0" w:color="auto"/>
              <w:left w:val="single" w:sz="6" w:space="0" w:color="auto"/>
              <w:bottom w:val="single" w:sz="6" w:space="0" w:color="auto"/>
              <w:right w:val="single" w:sz="6" w:space="0" w:color="auto"/>
            </w:tcBorders>
            <w:shd w:val="clear" w:color="auto" w:fill="FFFFFF"/>
          </w:tcPr>
          <w:p w14:paraId="5A12D1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 опытному строительству</w:t>
            </w:r>
          </w:p>
        </w:tc>
      </w:tr>
      <w:tr w:rsidR="007D5DF8" w:rsidRPr="00DB5D0D" w14:paraId="7A26B6C1" w14:textId="77777777" w:rsidTr="009223E5">
        <w:trPr>
          <w:cantSplit/>
          <w:trHeight w:val="710"/>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1C025F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Автомобильная кислородная установка — тип АК-25 по методу академика Капицы</w:t>
            </w:r>
          </w:p>
        </w:tc>
        <w:tc>
          <w:tcPr>
            <w:tcW w:w="3442" w:type="dxa"/>
            <w:tcBorders>
              <w:top w:val="single" w:sz="6" w:space="0" w:color="auto"/>
              <w:left w:val="single" w:sz="6" w:space="0" w:color="auto"/>
              <w:bottom w:val="single" w:sz="6" w:space="0" w:color="auto"/>
              <w:right w:val="single" w:sz="6" w:space="0" w:color="auto"/>
            </w:tcBorders>
            <w:shd w:val="clear" w:color="auto" w:fill="FFFFFF"/>
          </w:tcPr>
          <w:p w14:paraId="221AD3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Построить опытные образцы в 1940 г. и испытать</w:t>
            </w:r>
          </w:p>
        </w:tc>
      </w:tr>
      <w:tr w:rsidR="007D5DF8" w:rsidRPr="00DB5D0D" w14:paraId="767F9486" w14:textId="77777777" w:rsidTr="009223E5">
        <w:trPr>
          <w:cantSplit/>
          <w:trHeight w:val="715"/>
        </w:trPr>
        <w:tc>
          <w:tcPr>
            <w:tcW w:w="3437" w:type="dxa"/>
            <w:tcBorders>
              <w:top w:val="single" w:sz="6" w:space="0" w:color="auto"/>
              <w:left w:val="single" w:sz="6" w:space="0" w:color="auto"/>
              <w:bottom w:val="single" w:sz="6" w:space="0" w:color="auto"/>
              <w:right w:val="single" w:sz="6" w:space="0" w:color="auto"/>
            </w:tcBorders>
            <w:shd w:val="clear" w:color="auto" w:fill="FFFFFF"/>
          </w:tcPr>
          <w:p w14:paraId="3A3E04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Подвижная кислородная зарядная станция для зарядки баллонов на борту самолета</w:t>
            </w:r>
          </w:p>
        </w:tc>
        <w:tc>
          <w:tcPr>
            <w:tcW w:w="3442" w:type="dxa"/>
            <w:tcBorders>
              <w:top w:val="single" w:sz="6" w:space="0" w:color="auto"/>
              <w:left w:val="single" w:sz="6" w:space="0" w:color="auto"/>
              <w:bottom w:val="single" w:sz="6" w:space="0" w:color="auto"/>
              <w:right w:val="single" w:sz="6" w:space="0" w:color="auto"/>
            </w:tcBorders>
            <w:shd w:val="clear" w:color="auto" w:fill="FFFFFF"/>
          </w:tcPr>
          <w:p w14:paraId="782D22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Построить опытные образцы в 1940 г. и испытать</w:t>
            </w:r>
          </w:p>
        </w:tc>
      </w:tr>
    </w:tbl>
    <w:p w14:paraId="1771D0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VI По средствам аэродромной механизации</w:t>
      </w:r>
    </w:p>
    <w:p w14:paraId="044CB6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Средства заправки самолетов.</w:t>
      </w:r>
    </w:p>
    <w:p w14:paraId="0E0F94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Водомаслозаправщик ВМЗ-38 оставить на вооружении. Необходимо работать над новой конструкцией водомаслозаправщика, в которой предусмотреть:</w:t>
      </w:r>
    </w:p>
    <w:p w14:paraId="06CF1A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повышение температуры нагрева масла 120—150°;</w:t>
      </w:r>
    </w:p>
    <w:p w14:paraId="523406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раздельный нагрев масла и воды;</w:t>
      </w:r>
    </w:p>
    <w:p w14:paraId="30EE3C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установку насосов, обеспечивающих подсос воды и масла.</w:t>
      </w:r>
    </w:p>
    <w:p w14:paraId="3E9207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Водомаслозаправщик ВМЗ-34 и ВМЗ-35 и водомаслотермос ВМТ-35 снять с производства и снабжения, оставив в эксплуатации в частях до их износа.</w:t>
      </w:r>
    </w:p>
    <w:p w14:paraId="032F1B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Маслозаправщик МЗ-38 оставить на вооружении.</w:t>
      </w:r>
    </w:p>
    <w:p w14:paraId="412C66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Бензозаправщик БЗ-35 оставить на вооружении.</w:t>
      </w:r>
    </w:p>
    <w:p w14:paraId="5F75A9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Бензозаправщик БЗ-38 оставить на вооружении для истребительной авиации.</w:t>
      </w:r>
    </w:p>
    <w:p w14:paraId="3FFB54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Бензозаправщик БЗ-39 изготовить установочную серию для проведения широких войсковых испытаний в 1940 г., для чего необходимо вьщелить производственную базу.</w:t>
      </w:r>
    </w:p>
    <w:p w14:paraId="27DDCA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Съемная бензоцистерна на шасси ЗИС-5 СБЦ — принять на вооружение.</w:t>
      </w:r>
    </w:p>
    <w:p w14:paraId="02AEFA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Бензозаправщик БЗ-34 снять с вооружения.</w:t>
      </w:r>
    </w:p>
    <w:p w14:paraId="0DD863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Бензоприцеп Б-35 и съемная бензоцистерна на прицепе — с производства снять, оставив в частях до износа.</w:t>
      </w:r>
    </w:p>
    <w:p w14:paraId="417EC3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Бензоприцеп на гусеничном ходу к трактору на 4-5 тонн спроектировать и построить опытный образец в 1940 г.</w:t>
      </w:r>
    </w:p>
    <w:p w14:paraId="371A65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 средствам выпуска моторов.</w:t>
      </w:r>
    </w:p>
    <w:p w14:paraId="0AAA98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Автостартер АС-2 оставить на вооружении. Автостартер для моторов больших мощностей (1000-1500 л.с.) спроектировать с повышенной проходимостью и построить опытный образец в 1940 г.</w:t>
      </w:r>
    </w:p>
    <w:p w14:paraId="4DA72B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Авиакомпрессорную станцию АКС-2 оставить на вооружении. Авиастартеры на танкетке Т-27 с производства и снабжения снять, а имеющиеся передать обратно в АЮТУ и сдать в ОФИ.</w:t>
      </w:r>
    </w:p>
    <w:p w14:paraId="214072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 средствам подогорева моторов.</w:t>
      </w:r>
    </w:p>
    <w:p w14:paraId="408059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Подогореватели ППМ-6, ППБ-2М снять с производства и вооружения. Подогреватели ПБММ с мотором М-3 и ПМЖ-2 снять с вооружения. Арктическую подогревательную лампу АПЛ-1 и РП-2 с ручным приводом принять на вооружение, снабдив все самолеты.</w:t>
      </w:r>
    </w:p>
    <w:p w14:paraId="16F8F3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 вспомогательным средствам аэродромной службы.</w:t>
      </w:r>
    </w:p>
    <w:p w14:paraId="67A74D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Автоводополивщик оставить на вооружении.</w:t>
      </w:r>
    </w:p>
    <w:p w14:paraId="184830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Подвижной подъемный кран ПП-К-35 оставить на вооружении.</w:t>
      </w:r>
    </w:p>
    <w:p w14:paraId="248336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Подвижной подъемный тракторный кран завода «Январец» на шасси ЗИС-5 ввести на вооружение.</w:t>
      </w:r>
    </w:p>
    <w:p w14:paraId="58D0A2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Разборную треногу с талью ввести на вооружение.</w:t>
      </w:r>
    </w:p>
    <w:p w14:paraId="56EE5C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Аэросани пассажирские оставить на вооружении. Необходимо заменить воздушный мотор на водяной.</w:t>
      </w:r>
    </w:p>
    <w:p w14:paraId="11626A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Аэросани санитарные оставить на вооружении, заменив воздушный мотор на водяной.</w:t>
      </w:r>
    </w:p>
    <w:p w14:paraId="07AF41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Подвижные авиамастерские ПАРМ-1 оставить на вооружении.</w:t>
      </w:r>
    </w:p>
    <w:p w14:paraId="697E2F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Подвижные авиамастерские ПАРМ-6 принять на вооружение.</w:t>
      </w:r>
    </w:p>
    <w:p w14:paraId="28E38E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Необходимо принять на вооружение:</w:t>
      </w:r>
    </w:p>
    <w:p w14:paraId="3CD74D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санитарную автомашину, отвечающую требованиям перевозок раненного летного состава;</w:t>
      </w:r>
    </w:p>
    <w:p w14:paraId="2AD0C1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автобус пассажирский ЗИС-5 для перевозки летного состава — на аэродром;</w:t>
      </w:r>
    </w:p>
    <w:p w14:paraId="2592F0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автобус, приспособленный для штаба, для оперативного пункта полка.</w:t>
      </w:r>
    </w:p>
    <w:p w14:paraId="1125CF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авиационной подкомиссии</w:t>
      </w:r>
    </w:p>
    <w:p w14:paraId="72A806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командарм 2-го ранга          </w:t>
      </w:r>
      <w:r w:rsidRPr="00DB5D0D">
        <w:rPr>
          <w:rFonts w:ascii="Times New Roman" w:hAnsi="Times New Roman"/>
          <w:iCs/>
          <w:color w:val="000000" w:themeColor="text1"/>
          <w:sz w:val="16"/>
          <w:szCs w:val="16"/>
        </w:rPr>
        <w:t xml:space="preserve">Смушкевич </w:t>
      </w:r>
      <w:r w:rsidRPr="00DB5D0D">
        <w:rPr>
          <w:rFonts w:ascii="Times New Roman" w:hAnsi="Times New Roman"/>
          <w:color w:val="000000" w:themeColor="text1"/>
          <w:sz w:val="16"/>
          <w:szCs w:val="16"/>
        </w:rPr>
        <w:t>Члены:</w:t>
      </w:r>
    </w:p>
    <w:p w14:paraId="3300F4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дивизионный комиссар      </w:t>
      </w:r>
      <w:r w:rsidRPr="00DB5D0D">
        <w:rPr>
          <w:rFonts w:ascii="Times New Roman" w:hAnsi="Times New Roman"/>
          <w:iCs/>
          <w:color w:val="000000" w:themeColor="text1"/>
          <w:sz w:val="16"/>
          <w:szCs w:val="16"/>
        </w:rPr>
        <w:t>Агальцов</w:t>
      </w:r>
    </w:p>
    <w:p w14:paraId="46B7DA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комкор                                    </w:t>
      </w:r>
      <w:r w:rsidRPr="00DB5D0D">
        <w:rPr>
          <w:rFonts w:ascii="Times New Roman" w:hAnsi="Times New Roman"/>
          <w:iCs/>
          <w:color w:val="000000" w:themeColor="text1"/>
          <w:sz w:val="16"/>
          <w:szCs w:val="16"/>
        </w:rPr>
        <w:t>К. Гусев</w:t>
      </w:r>
    </w:p>
    <w:p w14:paraId="1650F2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комкор                                    </w:t>
      </w:r>
      <w:r w:rsidRPr="00DB5D0D">
        <w:rPr>
          <w:rFonts w:ascii="Times New Roman" w:hAnsi="Times New Roman"/>
          <w:iCs/>
          <w:color w:val="000000" w:themeColor="text1"/>
          <w:sz w:val="16"/>
          <w:szCs w:val="16"/>
        </w:rPr>
        <w:t>Рычагов"</w:t>
      </w:r>
    </w:p>
    <w:p w14:paraId="3A660D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комкор                                    </w:t>
      </w:r>
      <w:r w:rsidRPr="00DB5D0D">
        <w:rPr>
          <w:rFonts w:ascii="Times New Roman" w:hAnsi="Times New Roman"/>
          <w:iCs/>
          <w:color w:val="000000" w:themeColor="text1"/>
          <w:sz w:val="16"/>
          <w:szCs w:val="16"/>
        </w:rPr>
        <w:t>Птухин</w:t>
      </w:r>
    </w:p>
    <w:p w14:paraId="782080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комдив                                    </w:t>
      </w:r>
      <w:r w:rsidRPr="00DB5D0D">
        <w:rPr>
          <w:rFonts w:ascii="Times New Roman" w:hAnsi="Times New Roman"/>
          <w:iCs/>
          <w:color w:val="000000" w:themeColor="text1"/>
          <w:sz w:val="16"/>
          <w:szCs w:val="16"/>
        </w:rPr>
        <w:t>Алексеев</w:t>
      </w:r>
    </w:p>
    <w:p w14:paraId="11E9C8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дивинженер                           </w:t>
      </w:r>
      <w:r w:rsidRPr="00DB5D0D">
        <w:rPr>
          <w:rFonts w:ascii="Times New Roman" w:hAnsi="Times New Roman"/>
          <w:iCs/>
          <w:color w:val="000000" w:themeColor="text1"/>
          <w:sz w:val="16"/>
          <w:szCs w:val="16"/>
        </w:rPr>
        <w:t>Филин'</w:t>
      </w:r>
    </w:p>
    <w:p w14:paraId="50B9F6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дивинженер                           </w:t>
      </w:r>
      <w:r w:rsidRPr="00DB5D0D">
        <w:rPr>
          <w:rFonts w:ascii="Times New Roman" w:hAnsi="Times New Roman"/>
          <w:iCs/>
          <w:color w:val="000000" w:themeColor="text1"/>
          <w:sz w:val="16"/>
          <w:szCs w:val="16"/>
        </w:rPr>
        <w:t>Сакриер</w:t>
      </w:r>
    </w:p>
    <w:p w14:paraId="09213A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комкор                                    </w:t>
      </w:r>
      <w:r w:rsidRPr="00DB5D0D">
        <w:rPr>
          <w:rFonts w:ascii="Times New Roman" w:hAnsi="Times New Roman"/>
          <w:iCs/>
          <w:color w:val="000000" w:themeColor="text1"/>
          <w:sz w:val="16"/>
          <w:szCs w:val="16"/>
        </w:rPr>
        <w:t>Арженухин</w:t>
      </w:r>
    </w:p>
    <w:p w14:paraId="5AC92C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бригинженер                         </w:t>
      </w:r>
      <w:r w:rsidRPr="00DB5D0D">
        <w:rPr>
          <w:rFonts w:ascii="Times New Roman" w:hAnsi="Times New Roman"/>
          <w:iCs/>
          <w:color w:val="000000" w:themeColor="text1"/>
          <w:sz w:val="16"/>
          <w:szCs w:val="16"/>
        </w:rPr>
        <w:t>Левин'</w:t>
      </w:r>
    </w:p>
    <w:p w14:paraId="72C48E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4. Оп. 14. Д. 2687. Л. 2-34. Подлинник" (11773).</w:t>
      </w:r>
    </w:p>
    <w:p w14:paraId="79A9AB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Другим интересным проектом была попытка приспособить к ДБ-3 облегченный вариант телевизионной установки "Доломит", созданной в НИИ-8 на основе американской разработки для ТБ-3. Самолет получил бы возможность транслировать в штаб картинку обстановки на поле боя. Но, видимо, до испытаний дело не дошло (12021).</w:t>
      </w:r>
    </w:p>
    <w:p w14:paraId="7D198131"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567E21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НКО К.Е.В. писал записку в ПБ ЦК ВКП(б) И.В.С. и в СНК В.М.М.: “Организация и численность КА в развернутом виде по всем родам войск были рассмотрены и утверждены КО 1 декабря 1939 (постановление КО N 433cc). Однако, развернувшиеся военные действия с белофинами не дали возможности осуществить принятого правительством решения. В связи с войной с белофинами были произведены новые формирования... авиации... и увеличение численности КА.</w:t>
      </w:r>
    </w:p>
    <w:p w14:paraId="3FD8DA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разделе ВВС:</w:t>
      </w:r>
    </w:p>
    <w:p w14:paraId="7D4C3B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ВВС постановлением КО 1939 N 433сс была установлена 230000 человек. Постановлением КО от 26 февраля с.г. N 97сс со дня формирования новых авиационных полков эта численность была увеличена на 31210 чел. и постановлением КО от 11 марта N 139 для подготовки кадров летно-технического состава было разрешено увеличить численность еще на 30711 чел.</w:t>
      </w:r>
    </w:p>
    <w:p w14:paraId="70A501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общая численность ВВС составляет 291210 чел.</w:t>
      </w:r>
    </w:p>
    <w:p w14:paraId="05428F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фактически в частях ВВС состоит 298271 чел., в т.ч. военно-учебные заведения - 103646 чел.</w:t>
      </w:r>
    </w:p>
    <w:p w14:paraId="659586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Предлагается ВВС оставить в численности, утвержденной правительством - 291210 чел.” (4134).</w:t>
      </w:r>
    </w:p>
    <w:p w14:paraId="345869D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E1AFB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31F631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62A22A2" w14:textId="77777777" w:rsidR="00A25AD1" w:rsidRPr="00DB5D0D" w:rsidRDefault="00A25AD1" w:rsidP="00DB5D0D">
      <w:pPr>
        <w:pStyle w:val="a3"/>
        <w:rPr>
          <w:color w:val="000000" w:themeColor="text1"/>
          <w:lang w:val="ru-RU"/>
        </w:rPr>
      </w:pPr>
      <w:r w:rsidRPr="00DB5D0D">
        <w:rPr>
          <w:color w:val="000000" w:themeColor="text1"/>
          <w:lang w:val="ru-RU"/>
        </w:rPr>
        <w:lastRenderedPageBreak/>
        <w:t>9 мая 1940 г. на полигоне Мариупольского завода состоялось испытание обстрелом носовой части Т-34 и дало положительные результаты: комиссия признала прочность свар</w:t>
      </w:r>
      <w:r w:rsidRPr="00DB5D0D">
        <w:rPr>
          <w:color w:val="000000" w:themeColor="text1"/>
          <w:lang w:val="ru-RU"/>
        </w:rPr>
        <w:softHyphen/>
        <w:t>ного соединения удовлетворительной. Первоначальный вариант крыши над моторным отделением (деталь 34.29.057) также не приняли на производство: в целях упрощения изготовления эта деталь была разделена на пять частей (34.29.849 - лист крыши над мотором, 34.29.850 - лист крыши над мотором правый, 34.29.851 - лист крыши над мотором левый и две стыковые план</w:t>
      </w:r>
      <w:r w:rsidRPr="00DB5D0D">
        <w:rPr>
          <w:color w:val="000000" w:themeColor="text1"/>
          <w:lang w:val="ru-RU"/>
        </w:rPr>
        <w:softHyphen/>
        <w:t>ки - детали 34.29.852).</w:t>
      </w:r>
    </w:p>
    <w:p w14:paraId="697F6542" w14:textId="77777777" w:rsidR="00A25AD1" w:rsidRPr="00DB5D0D" w:rsidRDefault="00A25AD1" w:rsidP="00DB5D0D">
      <w:pPr>
        <w:pStyle w:val="2210"/>
        <w:shd w:val="clear" w:color="auto" w:fill="auto"/>
        <w:spacing w:line="240" w:lineRule="auto"/>
        <w:rPr>
          <w:rFonts w:ascii="Times New Roman" w:hAnsi="Times New Roman" w:cs="Times New Roman"/>
          <w:i w:val="0"/>
          <w:iCs w:val="0"/>
          <w:noProof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Таким образом, компромисс между Мариупольским заводом и заводом №183 в вопросах конструкции бронедеталей на установоч</w:t>
      </w:r>
      <w:r w:rsidRPr="00DB5D0D">
        <w:rPr>
          <w:rFonts w:ascii="Times New Roman" w:hAnsi="Times New Roman" w:cs="Times New Roman"/>
          <w:i w:val="0"/>
          <w:iCs w:val="0"/>
          <w:color w:val="000000" w:themeColor="text1"/>
          <w:spacing w:val="0"/>
          <w:sz w:val="16"/>
          <w:szCs w:val="16"/>
          <w:lang w:val="ru-RU"/>
        </w:rPr>
        <w:softHyphen/>
        <w:t>ную серию был достигнут. Однако эти меры все же не могли обеспе</w:t>
      </w:r>
      <w:r w:rsidRPr="00DB5D0D">
        <w:rPr>
          <w:rFonts w:ascii="Times New Roman" w:hAnsi="Times New Roman" w:cs="Times New Roman"/>
          <w:i w:val="0"/>
          <w:iCs w:val="0"/>
          <w:color w:val="000000" w:themeColor="text1"/>
          <w:spacing w:val="0"/>
          <w:sz w:val="16"/>
          <w:szCs w:val="16"/>
          <w:lang w:val="ru-RU"/>
        </w:rPr>
        <w:softHyphen/>
        <w:t>чить массового выпуска брони для Т-34</w:t>
      </w:r>
      <w:r w:rsidRPr="00DB5D0D">
        <w:rPr>
          <w:rFonts w:ascii="Times New Roman" w:hAnsi="Times New Roman" w:cs="Times New Roman"/>
          <w:i w:val="0"/>
          <w:iCs w:val="0"/>
          <w:noProof w:val="0"/>
          <w:color w:val="000000" w:themeColor="text1"/>
          <w:spacing w:val="0"/>
          <w:sz w:val="16"/>
          <w:szCs w:val="16"/>
          <w:lang w:val="ru-RU"/>
        </w:rPr>
        <w:t xml:space="preserve"> (11899)</w:t>
      </w:r>
      <w:r w:rsidRPr="00DB5D0D">
        <w:rPr>
          <w:rFonts w:ascii="Times New Roman" w:hAnsi="Times New Roman" w:cs="Times New Roman"/>
          <w:i w:val="0"/>
          <w:iCs w:val="0"/>
          <w:color w:val="000000" w:themeColor="text1"/>
          <w:spacing w:val="0"/>
          <w:sz w:val="16"/>
          <w:szCs w:val="16"/>
          <w:lang w:val="ru-RU"/>
        </w:rPr>
        <w:t>.</w:t>
      </w:r>
    </w:p>
    <w:p w14:paraId="575C8EF5" w14:textId="77777777" w:rsidR="00A25AD1" w:rsidRPr="00DB5D0D" w:rsidRDefault="00A25AD1" w:rsidP="00DB5D0D">
      <w:pPr>
        <w:pStyle w:val="2210"/>
        <w:shd w:val="clear" w:color="auto" w:fill="auto"/>
        <w:spacing w:line="240" w:lineRule="auto"/>
        <w:rPr>
          <w:rFonts w:ascii="Times New Roman" w:hAnsi="Times New Roman" w:cs="Times New Roman"/>
          <w:i w:val="0"/>
          <w:iCs w:val="0"/>
          <w:noProof w:val="0"/>
          <w:color w:val="000000" w:themeColor="text1"/>
          <w:spacing w:val="0"/>
          <w:sz w:val="16"/>
          <w:szCs w:val="16"/>
          <w:lang w:val="ru-RU"/>
        </w:rPr>
      </w:pPr>
    </w:p>
    <w:p w14:paraId="14E542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 конструкторское бюро завода № 183 заключило с военно-химическим управлением Красной Армии договор на разработку установки огнемета в Т-34. Предполагалось установить огнемет вместо пулемета в лобовом листе корпуса тридцатьчетверки. По плану предполагалось закончить изготовление, монтаж и испытание огнемета на танке Т-34 к декабрю 1940 года, но сделать это не удалось, о чем 30 декабря 1940 года главный инженер завода № 183 Махонин уведомил начальника БТУ ГАБТУ КА:</w:t>
      </w:r>
    </w:p>
    <w:p w14:paraId="3A264F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«Договор за № 153/сб/35 от 9/У-40 г., заключенный с б. ХИМУ КА на изготовление огнеметного прибора, испытанием его на машине А-34 и ремонт машины и прибора после испытания, не может быть закончен в 1940 году.</w:t>
      </w:r>
    </w:p>
    <w:p w14:paraId="6AB414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настоящего времени нами проведены следующие работы:</w:t>
      </w:r>
    </w:p>
    <w:p w14:paraId="1989C7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r w:rsidRPr="00DB5D0D">
        <w:rPr>
          <w:rFonts w:ascii="Times New Roman" w:hAnsi="Times New Roman"/>
          <w:color w:val="000000" w:themeColor="text1"/>
          <w:sz w:val="16"/>
          <w:szCs w:val="16"/>
        </w:rPr>
        <w:tab/>
        <w:t>Разработка технического проекта и выпуска рабочих чертежей.</w:t>
      </w:r>
    </w:p>
    <w:p w14:paraId="55BC27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r w:rsidRPr="00DB5D0D">
        <w:rPr>
          <w:rFonts w:ascii="Times New Roman" w:hAnsi="Times New Roman"/>
          <w:color w:val="000000" w:themeColor="text1"/>
          <w:sz w:val="16"/>
          <w:szCs w:val="16"/>
        </w:rPr>
        <w:tab/>
        <w:t>Изготовление прибора, монтаж его на машине.</w:t>
      </w:r>
    </w:p>
    <w:p w14:paraId="2E3EAC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r w:rsidRPr="00DB5D0D">
        <w:rPr>
          <w:rFonts w:ascii="Times New Roman" w:hAnsi="Times New Roman"/>
          <w:color w:val="000000" w:themeColor="text1"/>
          <w:sz w:val="16"/>
          <w:szCs w:val="16"/>
        </w:rPr>
        <w:tab/>
        <w:t>Подготовлена машина с прибором для испытания.</w:t>
      </w:r>
    </w:p>
    <w:p w14:paraId="357C8B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Телеграммой от 28/ХП вызван Ваш представитель для участия в заводских испытаниях.</w:t>
      </w:r>
    </w:p>
    <w:p w14:paraId="0602E5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Причинами невыполнения договора явились следующие обстоятельства:</w:t>
      </w:r>
    </w:p>
    <w:p w14:paraId="381D30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r w:rsidRPr="00DB5D0D">
        <w:rPr>
          <w:rFonts w:ascii="Times New Roman" w:hAnsi="Times New Roman"/>
          <w:color w:val="000000" w:themeColor="text1"/>
          <w:sz w:val="16"/>
          <w:szCs w:val="16"/>
        </w:rPr>
        <w:tab/>
        <w:t>Вызванный телеграммой от 12/У1-40 г. представитель ХИМУ для консультации при разработке прибора явился через месяц.</w:t>
      </w:r>
    </w:p>
    <w:p w14:paraId="52E149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r w:rsidRPr="00DB5D0D">
        <w:rPr>
          <w:rFonts w:ascii="Times New Roman" w:hAnsi="Times New Roman"/>
          <w:color w:val="000000" w:themeColor="text1"/>
          <w:sz w:val="16"/>
          <w:szCs w:val="16"/>
        </w:rPr>
        <w:tab/>
        <w:t>Позднее получение заключения по проекту прибора.</w:t>
      </w:r>
    </w:p>
    <w:p w14:paraId="27C1CF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изложенного просим действие договора на изготовление огнеметного прибора продлить до 1/1У-41 года» (12217).</w:t>
      </w:r>
    </w:p>
    <w:p w14:paraId="5148980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8FE2F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 Проект постановления ГВС по системе стрелкового вооружения Красной Армии</w:t>
      </w:r>
    </w:p>
    <w:p w14:paraId="7A6290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VI. Боеприпасы стрелкового оружия"</w:t>
      </w:r>
    </w:p>
    <w:p w14:paraId="324F63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1)Оставить на вооружении Красной Армии следующие боеприпасы стрелкового оружия:</w:t>
      </w:r>
    </w:p>
    <w:tbl>
      <w:tblPr>
        <w:tblW w:w="0" w:type="auto"/>
        <w:tblInd w:w="40" w:type="dxa"/>
        <w:tblLayout w:type="fixed"/>
        <w:tblCellMar>
          <w:left w:w="40" w:type="dxa"/>
          <w:right w:w="40" w:type="dxa"/>
        </w:tblCellMar>
        <w:tblLook w:val="0000" w:firstRow="0" w:lastRow="0" w:firstColumn="0" w:lastColumn="0" w:noHBand="0" w:noVBand="0"/>
      </w:tblPr>
      <w:tblGrid>
        <w:gridCol w:w="298"/>
        <w:gridCol w:w="1310"/>
        <w:gridCol w:w="499"/>
        <w:gridCol w:w="859"/>
        <w:gridCol w:w="682"/>
        <w:gridCol w:w="854"/>
        <w:gridCol w:w="859"/>
        <w:gridCol w:w="1565"/>
      </w:tblGrid>
      <w:tr w:rsidR="007D5DF8" w:rsidRPr="00DB5D0D" w14:paraId="4F1EDCC3" w14:textId="77777777" w:rsidTr="009223E5">
        <w:trPr>
          <w:cantSplit/>
          <w:trHeight w:val="1176"/>
        </w:trPr>
        <w:tc>
          <w:tcPr>
            <w:tcW w:w="298" w:type="dxa"/>
            <w:tcBorders>
              <w:top w:val="single" w:sz="6" w:space="0" w:color="auto"/>
              <w:left w:val="single" w:sz="6" w:space="0" w:color="auto"/>
              <w:bottom w:val="single" w:sz="6" w:space="0" w:color="auto"/>
              <w:right w:val="single" w:sz="6" w:space="0" w:color="auto"/>
            </w:tcBorders>
            <w:shd w:val="clear" w:color="auto" w:fill="FFFFFF"/>
          </w:tcPr>
          <w:p w14:paraId="2AB5C5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A6CB1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6EACB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патрона</w:t>
            </w:r>
          </w:p>
          <w:p w14:paraId="087D22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граммах</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439780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Начальпая</w:t>
            </w:r>
          </w:p>
          <w:p w14:paraId="263943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p w14:paraId="7DCE7D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пули в м/с</w:t>
            </w:r>
          </w:p>
          <w:p w14:paraId="75A502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(V-25)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6567E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w:t>
            </w:r>
          </w:p>
          <w:p w14:paraId="4F38DF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давл. порох, газов в</w:t>
            </w:r>
          </w:p>
          <w:p w14:paraId="53EC28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кан.</w:t>
            </w:r>
          </w:p>
          <w:p w14:paraId="25D03F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ствола в</w:t>
            </w:r>
          </w:p>
          <w:p w14:paraId="412938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кг/см</w:t>
            </w:r>
            <w:r w:rsidRPr="00DB5D0D">
              <w:rPr>
                <w:rFonts w:ascii="Times New Roman" w:hAnsi="Times New Roman"/>
                <w:color w:val="000000" w:themeColor="text1"/>
                <w:sz w:val="16"/>
                <w:szCs w:val="16"/>
                <w:vertAlign w:val="superscript"/>
              </w:rPr>
              <w:t>г</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57BC5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5851FB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5C2694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w:t>
            </w:r>
          </w:p>
        </w:tc>
      </w:tr>
      <w:tr w:rsidR="007D5DF8" w:rsidRPr="00DB5D0D" w14:paraId="3F1DE817" w14:textId="77777777" w:rsidTr="009223E5">
        <w:trPr>
          <w:cantSplit/>
          <w:trHeight w:val="869"/>
        </w:trPr>
        <w:tc>
          <w:tcPr>
            <w:tcW w:w="298" w:type="dxa"/>
            <w:tcBorders>
              <w:top w:val="single" w:sz="6" w:space="0" w:color="auto"/>
              <w:left w:val="single" w:sz="6" w:space="0" w:color="auto"/>
              <w:bottom w:val="single" w:sz="6" w:space="0" w:color="auto"/>
              <w:right w:val="single" w:sz="6" w:space="0" w:color="auto"/>
            </w:tcBorders>
            <w:shd w:val="clear" w:color="auto" w:fill="FFFFFF"/>
          </w:tcPr>
          <w:p w14:paraId="6E080D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5F591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7,62 мм патроны с легкой пулей</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8DD0C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532A4C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840-855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8C4F5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56F81D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w:t>
            </w:r>
          </w:p>
          <w:p w14:paraId="079FE8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1C954E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26FDDF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746B6C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свинец</w:t>
            </w:r>
          </w:p>
          <w:p w14:paraId="582D5B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сурьма</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5F14E1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живой силы и материальной части при стрельбе из всех видов оружия</w:t>
            </w:r>
          </w:p>
        </w:tc>
      </w:tr>
      <w:tr w:rsidR="007D5DF8" w:rsidRPr="00DB5D0D" w14:paraId="518DB24B" w14:textId="77777777" w:rsidTr="009223E5">
        <w:trPr>
          <w:cantSplit/>
          <w:trHeight w:val="1022"/>
        </w:trPr>
        <w:tc>
          <w:tcPr>
            <w:tcW w:w="298" w:type="dxa"/>
            <w:tcBorders>
              <w:top w:val="single" w:sz="6" w:space="0" w:color="auto"/>
              <w:left w:val="single" w:sz="6" w:space="0" w:color="auto"/>
              <w:bottom w:val="single" w:sz="6" w:space="0" w:color="auto"/>
              <w:right w:val="single" w:sz="6" w:space="0" w:color="auto"/>
            </w:tcBorders>
            <w:shd w:val="clear" w:color="auto" w:fill="FFFFFF"/>
          </w:tcPr>
          <w:p w14:paraId="795D9C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74D05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7,62 мм патроны с тяжелой пулей</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00D326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3F6707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77-790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E8576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124D0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w:t>
            </w:r>
          </w:p>
          <w:p w14:paraId="4C66AD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1A1919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50018A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662937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свинец</w:t>
            </w:r>
          </w:p>
          <w:p w14:paraId="565019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сурьма</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59F61B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живой силы и материальной части при стрельбе из станковых и ручных пулеметов</w:t>
            </w:r>
          </w:p>
        </w:tc>
      </w:tr>
      <w:tr w:rsidR="007D5DF8" w:rsidRPr="00DB5D0D" w14:paraId="759C80C2" w14:textId="77777777" w:rsidTr="009223E5">
        <w:trPr>
          <w:cantSplit/>
          <w:trHeight w:val="864"/>
        </w:trPr>
        <w:tc>
          <w:tcPr>
            <w:tcW w:w="298" w:type="dxa"/>
            <w:tcBorders>
              <w:top w:val="single" w:sz="6" w:space="0" w:color="auto"/>
              <w:left w:val="single" w:sz="6" w:space="0" w:color="auto"/>
              <w:bottom w:val="single" w:sz="6" w:space="0" w:color="auto"/>
              <w:right w:val="single" w:sz="6" w:space="0" w:color="auto"/>
            </w:tcBorders>
            <w:shd w:val="clear" w:color="auto" w:fill="FFFFFF"/>
          </w:tcPr>
          <w:p w14:paraId="43FDCE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7AF342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7,62 мм патроны с бронебойнозажигательной пулей</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615E17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71AA86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840-855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5E8C0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3D21B2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w:t>
            </w:r>
          </w:p>
          <w:p w14:paraId="50C5DF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52183E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0732A8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3D7D86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свинец,</w:t>
            </w:r>
          </w:p>
          <w:p w14:paraId="139084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A435E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целей, защищенных броней и зажжения горючего за броней легкого типа</w:t>
            </w:r>
          </w:p>
        </w:tc>
      </w:tr>
      <w:tr w:rsidR="007D5DF8" w:rsidRPr="00DB5D0D" w14:paraId="195CA591" w14:textId="77777777" w:rsidTr="009223E5">
        <w:trPr>
          <w:cantSplit/>
          <w:trHeight w:val="1176"/>
        </w:trPr>
        <w:tc>
          <w:tcPr>
            <w:tcW w:w="298" w:type="dxa"/>
            <w:tcBorders>
              <w:top w:val="single" w:sz="6" w:space="0" w:color="auto"/>
              <w:left w:val="single" w:sz="6" w:space="0" w:color="auto"/>
              <w:bottom w:val="single" w:sz="6" w:space="0" w:color="auto"/>
              <w:right w:val="single" w:sz="6" w:space="0" w:color="auto"/>
            </w:tcBorders>
            <w:shd w:val="clear" w:color="auto" w:fill="FFFFFF"/>
          </w:tcPr>
          <w:p w14:paraId="10047F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79090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7,62 мм патроны с зажигательной пулей</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200781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23,3</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5B0AFE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800-815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FC5A5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C586B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w:t>
            </w:r>
          </w:p>
          <w:p w14:paraId="172BD5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07BD07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79E7DD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 свинец зажигательный состав</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F1951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зажигания легко воспламеняющихся материалов, для борьбы с авиацелями и корректировки стрельбы по местности</w:t>
            </w:r>
          </w:p>
        </w:tc>
      </w:tr>
      <w:tr w:rsidR="007D5DF8" w:rsidRPr="00DB5D0D" w14:paraId="128A29E3" w14:textId="77777777" w:rsidTr="009223E5">
        <w:trPr>
          <w:cantSplit/>
          <w:trHeight w:val="864"/>
        </w:trPr>
        <w:tc>
          <w:tcPr>
            <w:tcW w:w="298" w:type="dxa"/>
            <w:tcBorders>
              <w:top w:val="single" w:sz="6" w:space="0" w:color="auto"/>
              <w:left w:val="single" w:sz="6" w:space="0" w:color="auto"/>
              <w:bottom w:val="single" w:sz="6" w:space="0" w:color="auto"/>
              <w:right w:val="single" w:sz="6" w:space="0" w:color="auto"/>
            </w:tcBorders>
            <w:shd w:val="clear" w:color="auto" w:fill="FFFFFF"/>
          </w:tcPr>
          <w:p w14:paraId="124861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7DD608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7,62 мм патроны с трассирующей пулей с трассой, видимой в дневных условиях</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713B3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69E8E6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800-815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6D431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357A23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w:t>
            </w:r>
          </w:p>
          <w:p w14:paraId="29BC68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3C03FD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002CA9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 трассирующий состав</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C5FCE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корректировки стрельбы при стрельбе из автоматического оружия</w:t>
            </w:r>
          </w:p>
        </w:tc>
      </w:tr>
      <w:tr w:rsidR="007D5DF8" w:rsidRPr="00DB5D0D" w14:paraId="37F460CF" w14:textId="77777777" w:rsidTr="009223E5">
        <w:trPr>
          <w:cantSplit/>
          <w:trHeight w:val="581"/>
        </w:trPr>
        <w:tc>
          <w:tcPr>
            <w:tcW w:w="298" w:type="dxa"/>
            <w:tcBorders>
              <w:top w:val="single" w:sz="6" w:space="0" w:color="auto"/>
              <w:left w:val="single" w:sz="6" w:space="0" w:color="auto"/>
              <w:bottom w:val="single" w:sz="6" w:space="0" w:color="auto"/>
              <w:right w:val="single" w:sz="6" w:space="0" w:color="auto"/>
            </w:tcBorders>
            <w:shd w:val="clear" w:color="auto" w:fill="FFFFFF"/>
          </w:tcPr>
          <w:p w14:paraId="59759E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04C18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7,62 мм патроны с разрывной пулей</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259F8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60AED8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840-855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EAF39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34A76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w:t>
            </w:r>
          </w:p>
          <w:p w14:paraId="2AA72E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6ABDEE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1378C3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 свинец</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1B0207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живой силы и материальной части</w:t>
            </w:r>
          </w:p>
        </w:tc>
      </w:tr>
      <w:tr w:rsidR="007D5DF8" w:rsidRPr="00DB5D0D" w14:paraId="57F55CE1" w14:textId="77777777" w:rsidTr="009223E5">
        <w:trPr>
          <w:cantSplit/>
          <w:trHeight w:val="562"/>
        </w:trPr>
        <w:tc>
          <w:tcPr>
            <w:tcW w:w="293" w:type="dxa"/>
            <w:tcBorders>
              <w:top w:val="single" w:sz="6" w:space="0" w:color="auto"/>
              <w:left w:val="single" w:sz="6" w:space="0" w:color="auto"/>
              <w:bottom w:val="single" w:sz="6" w:space="0" w:color="auto"/>
              <w:right w:val="single" w:sz="6" w:space="0" w:color="auto"/>
            </w:tcBorders>
            <w:shd w:val="clear" w:color="auto" w:fill="FFFFFF"/>
          </w:tcPr>
          <w:p w14:paraId="3532AF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7484AF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7,62 мм патроны к револьверу Наган</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213D4E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47F3EC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265-285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3D6E6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64AE3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520310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5AA5AA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свинец</w:t>
            </w:r>
          </w:p>
          <w:p w14:paraId="209479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сурьма</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7AFD06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живой силы</w:t>
            </w:r>
          </w:p>
        </w:tc>
      </w:tr>
      <w:tr w:rsidR="007D5DF8" w:rsidRPr="00DB5D0D" w14:paraId="1363BC0F" w14:textId="77777777" w:rsidTr="009223E5">
        <w:trPr>
          <w:cantSplit/>
          <w:trHeight w:val="562"/>
        </w:trPr>
        <w:tc>
          <w:tcPr>
            <w:tcW w:w="293" w:type="dxa"/>
            <w:tcBorders>
              <w:top w:val="single" w:sz="6" w:space="0" w:color="auto"/>
              <w:left w:val="single" w:sz="6" w:space="0" w:color="auto"/>
              <w:bottom w:val="single" w:sz="6" w:space="0" w:color="auto"/>
              <w:right w:val="single" w:sz="6" w:space="0" w:color="auto"/>
            </w:tcBorders>
            <w:shd w:val="clear" w:color="auto" w:fill="FFFFFF"/>
          </w:tcPr>
          <w:p w14:paraId="7AF91B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1A874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7,62 мм патрон к пистолету TT иППД</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768832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61F7C1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420-450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8B413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2F4A37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4D329D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29D991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свинец</w:t>
            </w:r>
          </w:p>
          <w:p w14:paraId="1ABA7B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сурьма</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7F2A43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живой силы</w:t>
            </w:r>
          </w:p>
        </w:tc>
      </w:tr>
      <w:tr w:rsidR="007D5DF8" w:rsidRPr="00DB5D0D" w14:paraId="3915694E" w14:textId="77777777" w:rsidTr="009223E5">
        <w:trPr>
          <w:cantSplit/>
          <w:trHeight w:val="562"/>
        </w:trPr>
        <w:tc>
          <w:tcPr>
            <w:tcW w:w="293" w:type="dxa"/>
            <w:tcBorders>
              <w:top w:val="single" w:sz="6" w:space="0" w:color="auto"/>
              <w:left w:val="single" w:sz="6" w:space="0" w:color="auto"/>
              <w:bottom w:val="single" w:sz="6" w:space="0" w:color="auto"/>
              <w:right w:val="single" w:sz="6" w:space="0" w:color="auto"/>
            </w:tcBorders>
            <w:shd w:val="clear" w:color="auto" w:fill="FFFFFF"/>
          </w:tcPr>
          <w:p w14:paraId="743247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7DB4D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 мм патроны с бронебойной пулей</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43449A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39E033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825-840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932B8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59E91C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 сталь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5EFF7C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w:t>
            </w:r>
          </w:p>
          <w:p w14:paraId="0A63F3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свинец,</w:t>
            </w:r>
          </w:p>
          <w:p w14:paraId="377BC1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1CC63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авиацелей</w:t>
            </w:r>
          </w:p>
        </w:tc>
      </w:tr>
      <w:tr w:rsidR="007D5DF8" w:rsidRPr="00DB5D0D" w14:paraId="63151358" w14:textId="77777777" w:rsidTr="009223E5">
        <w:trPr>
          <w:cantSplit/>
          <w:trHeight w:val="1022"/>
        </w:trPr>
        <w:tc>
          <w:tcPr>
            <w:tcW w:w="293" w:type="dxa"/>
            <w:tcBorders>
              <w:top w:val="single" w:sz="6" w:space="0" w:color="auto"/>
              <w:left w:val="single" w:sz="6" w:space="0" w:color="auto"/>
              <w:bottom w:val="single" w:sz="6" w:space="0" w:color="auto"/>
              <w:right w:val="single" w:sz="6" w:space="0" w:color="auto"/>
            </w:tcBorders>
            <w:shd w:val="clear" w:color="auto" w:fill="FFFFFF"/>
          </w:tcPr>
          <w:p w14:paraId="057599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B9AE7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 мм патроны с бронебойнозажигательной пулей</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50BE6D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347685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845-860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1F3A9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3BB1B1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 сталь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2AECC7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 свинец, сталь, зажигательный состав</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58B2EC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авиацелей и зажжения легких горючих защищенных броней</w:t>
            </w:r>
          </w:p>
        </w:tc>
      </w:tr>
      <w:tr w:rsidR="007D5DF8" w:rsidRPr="00DB5D0D" w14:paraId="22D17897" w14:textId="77777777" w:rsidTr="009223E5">
        <w:trPr>
          <w:cantSplit/>
          <w:trHeight w:val="874"/>
        </w:trPr>
        <w:tc>
          <w:tcPr>
            <w:tcW w:w="293" w:type="dxa"/>
            <w:tcBorders>
              <w:top w:val="single" w:sz="6" w:space="0" w:color="auto"/>
              <w:left w:val="single" w:sz="6" w:space="0" w:color="auto"/>
              <w:bottom w:val="single" w:sz="6" w:space="0" w:color="auto"/>
              <w:right w:val="single" w:sz="6" w:space="0" w:color="auto"/>
            </w:tcBorders>
            <w:shd w:val="clear" w:color="auto" w:fill="FFFFFF"/>
          </w:tcPr>
          <w:p w14:paraId="3A93F2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11.</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58BDC4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 мм патроны с пулей мгновенного действия</w:t>
            </w:r>
          </w:p>
          <w:p w14:paraId="0329E4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м-д</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792D4B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59AE55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845-860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00CB3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5260B7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 сталь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636DF4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 сталь, взрывчатое вещество</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0C4735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авиацелей и зажжения легких горючих.</w:t>
            </w:r>
          </w:p>
        </w:tc>
      </w:tr>
      <w:tr w:rsidR="007D5DF8" w:rsidRPr="00DB5D0D" w14:paraId="04832E18" w14:textId="77777777" w:rsidTr="009223E5">
        <w:trPr>
          <w:cantSplit/>
          <w:trHeight w:val="1018"/>
        </w:trPr>
        <w:tc>
          <w:tcPr>
            <w:tcW w:w="293" w:type="dxa"/>
            <w:tcBorders>
              <w:top w:val="single" w:sz="6" w:space="0" w:color="auto"/>
              <w:left w:val="single" w:sz="6" w:space="0" w:color="auto"/>
              <w:bottom w:val="single" w:sz="6" w:space="0" w:color="auto"/>
              <w:right w:val="single" w:sz="6" w:space="0" w:color="auto"/>
            </w:tcBorders>
            <w:shd w:val="clear" w:color="auto" w:fill="FFFFFF"/>
          </w:tcPr>
          <w:p w14:paraId="590C0B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3E13B5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 мм патроны с трассирующей пулей, видимой в дневных условиях.</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1522DD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759F04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830-845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08037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01E796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 сталь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2C816B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 свинец, сталь, трассирующий состав</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7C131E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корректировки стрельбы</w:t>
            </w:r>
          </w:p>
        </w:tc>
      </w:tr>
      <w:tr w:rsidR="007D5DF8" w:rsidRPr="00DB5D0D" w14:paraId="3F7064FA" w14:textId="77777777" w:rsidTr="009223E5">
        <w:trPr>
          <w:cantSplit/>
          <w:trHeight w:val="1022"/>
        </w:trPr>
        <w:tc>
          <w:tcPr>
            <w:tcW w:w="293" w:type="dxa"/>
            <w:tcBorders>
              <w:top w:val="single" w:sz="6" w:space="0" w:color="auto"/>
              <w:left w:val="single" w:sz="6" w:space="0" w:color="auto"/>
              <w:bottom w:val="single" w:sz="6" w:space="0" w:color="auto"/>
              <w:right w:val="single" w:sz="6" w:space="0" w:color="auto"/>
            </w:tcBorders>
            <w:shd w:val="clear" w:color="auto" w:fill="FFFFFF"/>
          </w:tcPr>
          <w:p w14:paraId="378BF0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EA227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 мм патроны с бронебойнозажигательной пулей</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7DDF39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77ADA7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980-995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C0109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2EE613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 сталь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4B769B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 свинец, сталь, зажигательный состав</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02B7D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бронецелей среднего типа.</w:t>
            </w:r>
          </w:p>
        </w:tc>
      </w:tr>
      <w:tr w:rsidR="007D5DF8" w:rsidRPr="00DB5D0D" w14:paraId="4D6C8723" w14:textId="77777777" w:rsidTr="009223E5">
        <w:trPr>
          <w:cantSplit/>
          <w:trHeight w:val="576"/>
        </w:trPr>
        <w:tc>
          <w:tcPr>
            <w:tcW w:w="293" w:type="dxa"/>
            <w:tcBorders>
              <w:top w:val="single" w:sz="6" w:space="0" w:color="auto"/>
              <w:left w:val="single" w:sz="6" w:space="0" w:color="auto"/>
              <w:bottom w:val="single" w:sz="6" w:space="0" w:color="auto"/>
              <w:right w:val="single" w:sz="6" w:space="0" w:color="auto"/>
            </w:tcBorders>
            <w:shd w:val="clear" w:color="auto" w:fill="FFFFFF"/>
          </w:tcPr>
          <w:p w14:paraId="55DEA0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58B340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7,65 мм патрон к среднему пистолету «Маузер»</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6FCAC9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5192AE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270-300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034641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394CD3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Латунь</w:t>
            </w:r>
          </w:p>
        </w:tc>
        <w:tc>
          <w:tcPr>
            <w:tcW w:w="859" w:type="dxa"/>
            <w:tcBorders>
              <w:top w:val="single" w:sz="6" w:space="0" w:color="auto"/>
              <w:left w:val="single" w:sz="6" w:space="0" w:color="auto"/>
              <w:bottom w:val="single" w:sz="6" w:space="0" w:color="auto"/>
              <w:right w:val="single" w:sz="6" w:space="0" w:color="auto"/>
            </w:tcBorders>
            <w:shd w:val="clear" w:color="auto" w:fill="FFFFFF"/>
          </w:tcPr>
          <w:p w14:paraId="534A63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Биметалл, свинец</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67D765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живой силы.</w:t>
            </w:r>
          </w:p>
        </w:tc>
      </w:tr>
    </w:tbl>
    <w:p w14:paraId="578923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Просить Комитет Обороны при СНК СССР* ввести на вооружение Красной Армии: 7,62 мм патроны с бронебойно-зажигательной пулей с сердечником из твердых сплавов. Бронепробиваемость пуль: 15-мм броню на дистанции 200 метров и 10-мм броню 500 метров при стрельбе из винтовки и пулеметов.</w:t>
      </w:r>
    </w:p>
    <w:p w14:paraId="431491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Кдокументу приложена подлинная препроводительная записка от 9 мая 1940 г. за № 683047 на имя зам. народного комиссара обороны СССР Кулика Г. И.: «Представляю для рассмотрения в комиссии Главного военного совета проект системы стрелкового вооружения Красной Армии по боеприпасам стрелкового оружия. </w:t>
      </w:r>
      <w:r w:rsidRPr="00DB5D0D">
        <w:rPr>
          <w:rFonts w:ascii="Times New Roman" w:hAnsi="Times New Roman"/>
          <w:iCs/>
          <w:color w:val="000000" w:themeColor="text1"/>
          <w:sz w:val="16"/>
          <w:szCs w:val="16"/>
        </w:rPr>
        <w:t xml:space="preserve">Приложение: </w:t>
      </w:r>
      <w:r w:rsidRPr="00DB5D0D">
        <w:rPr>
          <w:rFonts w:ascii="Times New Roman" w:hAnsi="Times New Roman"/>
          <w:color w:val="000000" w:themeColor="text1"/>
          <w:sz w:val="16"/>
          <w:szCs w:val="16"/>
        </w:rPr>
        <w:t xml:space="preserve">Проект на 3-х листах. Начальник Управления стрелкового вооружения Красной Армии бригинженер </w:t>
      </w:r>
      <w:r w:rsidRPr="00DB5D0D">
        <w:rPr>
          <w:rFonts w:ascii="Times New Roman" w:hAnsi="Times New Roman"/>
          <w:iCs/>
          <w:color w:val="000000" w:themeColor="text1"/>
          <w:sz w:val="16"/>
          <w:szCs w:val="16"/>
        </w:rPr>
        <w:t xml:space="preserve">Склизков. </w:t>
      </w:r>
      <w:r w:rsidRPr="00DB5D0D">
        <w:rPr>
          <w:rFonts w:ascii="Times New Roman" w:hAnsi="Times New Roman"/>
          <w:color w:val="000000" w:themeColor="text1"/>
          <w:sz w:val="16"/>
          <w:szCs w:val="16"/>
        </w:rPr>
        <w:t xml:space="preserve">Вр. Военком Управления стрелкового вооружения КА интендант 2-го ранга </w:t>
      </w:r>
      <w:r w:rsidRPr="00DB5D0D">
        <w:rPr>
          <w:rFonts w:ascii="Times New Roman" w:hAnsi="Times New Roman"/>
          <w:iCs/>
          <w:color w:val="000000" w:themeColor="text1"/>
          <w:sz w:val="16"/>
          <w:szCs w:val="16"/>
        </w:rPr>
        <w:t>Толмачев».</w:t>
      </w:r>
    </w:p>
    <w:p w14:paraId="070CD2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Склизков Толмачев" </w:t>
      </w:r>
      <w:r w:rsidRPr="00DB5D0D">
        <w:rPr>
          <w:rFonts w:ascii="Times New Roman" w:hAnsi="Times New Roman"/>
          <w:color w:val="000000" w:themeColor="text1"/>
          <w:sz w:val="16"/>
          <w:szCs w:val="16"/>
        </w:rPr>
        <w:t>РГВА. Ф. 4. Оп. 14. Д. 2687. Л. 101-104. Подлинник (11773).</w:t>
      </w:r>
    </w:p>
    <w:p w14:paraId="11E1FC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5936B6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38C960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364602F" w14:textId="77777777" w:rsidR="004E4B2C" w:rsidRPr="00DB5D0D" w:rsidRDefault="004E4B2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в 1940 году в полете произошло разрушение конструкции фюзеляжа за кабиной английского истребителя-бомбардировщика «Hawker Typhoon» (лопнула не только обшивка, но и некоторые детали каркаса). Пилоту Люкэсу удалось благополучно сесть, хотя самолет был готов переломиться. За храбрость испытателя наградили медалью, а самолет отдали на срочную доработку. По мнению некоторых специалистов, причиной явилось новое оперение, смонтированное без соответствующего усиления хвостовой части фюзеляжа (14886).</w:t>
      </w:r>
    </w:p>
    <w:p w14:paraId="1CCADC85" w14:textId="77777777" w:rsidR="004E4B2C" w:rsidRPr="00DB5D0D" w:rsidRDefault="004E4B2C" w:rsidP="00DB5D0D">
      <w:pPr>
        <w:spacing w:after="0" w:line="240" w:lineRule="auto"/>
        <w:jc w:val="both"/>
        <w:rPr>
          <w:rFonts w:ascii="Times New Roman" w:hAnsi="Times New Roman"/>
          <w:color w:val="000000" w:themeColor="text1"/>
          <w:sz w:val="16"/>
          <w:szCs w:val="16"/>
        </w:rPr>
      </w:pPr>
    </w:p>
    <w:p w14:paraId="2D7A8DF2" w14:textId="77777777" w:rsidR="004E4B2C" w:rsidRPr="00DB5D0D" w:rsidRDefault="004E4B2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в 1940 году в Великобритании начата мобилизация возрастов 1904-1913 гг (14886).</w:t>
      </w:r>
    </w:p>
    <w:p w14:paraId="51A43629" w14:textId="77777777" w:rsidR="004E4B2C" w:rsidRPr="00DB5D0D" w:rsidRDefault="004E4B2C" w:rsidP="00DB5D0D">
      <w:pPr>
        <w:spacing w:after="0" w:line="240" w:lineRule="auto"/>
        <w:jc w:val="both"/>
        <w:rPr>
          <w:rFonts w:ascii="Times New Roman" w:hAnsi="Times New Roman"/>
          <w:color w:val="000000" w:themeColor="text1"/>
          <w:sz w:val="16"/>
          <w:szCs w:val="16"/>
        </w:rPr>
      </w:pPr>
    </w:p>
    <w:p w14:paraId="23BE94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RAF начала бомбардировки Германии (3481).</w:t>
      </w:r>
    </w:p>
    <w:p w14:paraId="614238F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906D2B" w14:textId="77777777" w:rsidR="004E4B2C" w:rsidRPr="00DB5D0D" w:rsidRDefault="004E4B2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в 1940 году RAF начинает ночную бомбардировку Германии (14886).</w:t>
      </w:r>
    </w:p>
    <w:p w14:paraId="73B8D3C0" w14:textId="77777777" w:rsidR="004E4B2C" w:rsidRPr="00DB5D0D" w:rsidRDefault="004E4B2C" w:rsidP="00DB5D0D">
      <w:pPr>
        <w:spacing w:after="0" w:line="240" w:lineRule="auto"/>
        <w:jc w:val="both"/>
        <w:rPr>
          <w:rFonts w:ascii="Times New Roman" w:hAnsi="Times New Roman"/>
          <w:color w:val="000000" w:themeColor="text1"/>
          <w:sz w:val="16"/>
          <w:szCs w:val="16"/>
        </w:rPr>
      </w:pPr>
    </w:p>
    <w:p w14:paraId="14A051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Румыния отдала себя под немецкую защиту (3481).</w:t>
      </w:r>
    </w:p>
    <w:p w14:paraId="655ECDF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10E490"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9th, 1940: Hitler orders Fall Gelb (Operation Yellow), the great offensive in the West, to begin at 5:35 a.m. CET the next day. The French submarine Doris is sunk by U-9 (Oblt. Luth) off the Dutch coast (3819).</w:t>
      </w:r>
    </w:p>
    <w:p w14:paraId="001D1BA5"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7BA26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А.Г. отдал приказ о начале в 5:35 10 мая Желтой операции - наступления на западе. У-9 потопила французскую п/л Дорис у побережья Голландии (3819).</w:t>
      </w:r>
    </w:p>
    <w:p w14:paraId="3B5CB8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131E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May 9-10 Germany invaded Belgium, Luxembourg, and the Netherlands (1223).</w:t>
      </w:r>
    </w:p>
    <w:p w14:paraId="4B7946D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9E88A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10 May 1940 Blitzkrieg begins: Hitler invades Holland, Belgium and Luxembourg (270).</w:t>
      </w:r>
    </w:p>
    <w:p w14:paraId="0AEE635D"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666AC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 мая 1940 Германия вторглась в Бельгию, Люксембург и Голландию и начался блицкриг (270;1223).</w:t>
      </w:r>
    </w:p>
    <w:p w14:paraId="5BFBEE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EDE395" w14:textId="77777777" w:rsidR="004E4B2C" w:rsidRPr="00DB5D0D" w:rsidRDefault="004E4B2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в 1940 году введение немецкими властями оккупационной валюты в Дании и Норвегии (14886).</w:t>
      </w:r>
    </w:p>
    <w:p w14:paraId="4340A8CA" w14:textId="77777777" w:rsidR="004E4B2C" w:rsidRPr="00DB5D0D" w:rsidRDefault="004E4B2C" w:rsidP="00DB5D0D">
      <w:pPr>
        <w:spacing w:after="0" w:line="240" w:lineRule="auto"/>
        <w:jc w:val="both"/>
        <w:rPr>
          <w:rFonts w:ascii="Times New Roman" w:hAnsi="Times New Roman"/>
          <w:color w:val="000000" w:themeColor="text1"/>
          <w:sz w:val="16"/>
          <w:szCs w:val="16"/>
        </w:rPr>
      </w:pPr>
    </w:p>
    <w:p w14:paraId="2298295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27603C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47B02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мая по 20 июня 1940 проходили войсковые испытания ББ-1 в 135 полку. Их возглавляли от НИИ ВВС - военинженер 2-го ранга С.Н.Часовиков, летчики капитан С.М.Коробов и ст. лейтенант Ю.Н.Кругликов, а от 135-го бап - военинженер 3-го ранга А.В.Телегин и помощник командира полка капитан А.И.Пушкин. Авиаторам полка, возглавляемого майором Неволиным, предстояло определить некоторые важные характеристики ББ-1 М-88, поскольку в ходе государственных испытаний опытной машины произошло много поломок, и они остались, по сути, незавершенными. В частности, требовалось подтвердить практический потолок самолета, оценить расходы горючего на разных режимах, проверить возможность полетов в сложных метеоусловиях и ночью. Предстояло также определить возможность применения бомб ФАБ-250 с подкрыльевых держателей (5360).</w:t>
      </w:r>
    </w:p>
    <w:p w14:paraId="3E1E4D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прошли удовлетворительно, хотя не обошлось без происшествий. Так, при полете на дальность по маршруту Харьков - Белгород -Изюм - Харьков на большой высоте на самолете замерзли узлы управления и едва не произошла катастрофа. Кроме того, высотные полеты выявили некачественную окраску самолета - краска шелушилась и отваливалась с передней кромки крьша и стабилизатора. Среди основных дефектов бомбардировщика отмечались ненадежность двигателя, замасливание прицела и нижнего люка штурмана, недостаточная прочность стоек шасси и пневматиков. Нагрузка на рули нарастала неравномерно и оказалась излишне большой (по сравнению с опытным самолетом), появились люфты и трение в узлах подвески рулей высоты и элеронов.</w:t>
      </w:r>
    </w:p>
    <w:p w14:paraId="2B8BD1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в отчете отмечалось, что в экспуата-ции самолет прост, подход к различным отдельным агрегатам удобен, ремонт и замена деталей трудностей не представляют. Машина свободно взлетала с грунтовой полосы при нагрузке 700 кг бомб. «Летчики, имевшие квалификацию ниже средней, пришедшие в часть из летных школ ВВС, осваивают самолет легко и после 20-25 вывозных полетов самостоятельно выпускались на ББ-1», - говорилось в отчете по войсковым испытаниям. Летчики остались довольны хорошим обзором вперед из кабины и удобной высокой ручкой управления. Прибывшие в полк начальник ГУ ВВС П.В.Рычагов и инспектор по технике пилотирования одного из военных округов А.В.Беляков после непродолжительного наземного осмотра благополучно совершили на ББ-1 ознакомительный полет. Прошедшие весной в 135-м бап войсковые испытания Су-2 выявили 28 серьезных дефектов машины. Военные потребовали утеплить коки винтов для работы на больших высотах, устранить перекосы в подвижной части фонаря, а также ликвидировать течи смеси в амортстойках шасси и бензина из дренажной магистрали на пикировании. Главному конструктору предложили как можно скорее разработать систему заполнения бензобаков нейтральными газами по мере выработки горючего и вырезать люк в капоте мотора для обеспечения разогрева двигателя от паяльной лампы АПЛ-1 (5360).</w:t>
      </w:r>
    </w:p>
    <w:p w14:paraId="2DF3722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6F31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мая по 20 июня 1940 работу по войсковым испытаниям ББ-1 возглавляли от НИИ ВВС военинженер 2 ранга Часовиков, летчики капитан С.М. Коробов и ст. лейтенант Ю. Н. Кругликов, а от 135-го бап - военинженер 3 ранга А.В. Телегин и помощник комполка капитан А.И. Пушкин.</w:t>
      </w:r>
    </w:p>
    <w:p w14:paraId="17BCE5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Войсковые испытания (616 полетов продолжительностью 157 ч) прошли без аварий и катастроф, хотя происшествий избежать не удалось. При полете на дальность по замкнутому маршруту Харьков - Белгород - Изюм - Харьков на большой высоте замерзли узлы управления, и самолет едва не разбился. Среди основных дефектов </w:t>
      </w:r>
      <w:r w:rsidRPr="00DB5D0D">
        <w:rPr>
          <w:rFonts w:ascii="Times New Roman" w:hAnsi="Times New Roman"/>
          <w:color w:val="000000" w:themeColor="text1"/>
          <w:sz w:val="16"/>
          <w:szCs w:val="16"/>
        </w:rPr>
        <w:lastRenderedPageBreak/>
        <w:t>отмечались ненадежность двигателя, "замасливание" прицела и нижнего люка штурмана, недостаточные прочность шасси и пневматиков. Нагрузка на рули нарастала неравномерно, и стала излишне большой (по сравнению с опытным самолетом), появились люфты руля высоты, ощущалось сильное трение в элеронах.</w:t>
      </w:r>
    </w:p>
    <w:p w14:paraId="44CDA9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в отчете указывалось, что в эксплуатации самолет прост, подход к отдельным агрегатам удобен, ремонт и замена деталей трудностей не представляют. Машина нормально взлетала с нагрузкой 700 кг бомб. "Летчики, имевшие квалификацию ниже средней, пришедшие в часть из летных школ ВВС, осваивают самолет легко и после 20 - 25 вывозных полетов самостоятельно выпускались на ББ- 1". Им нравились хороший обзор вперед и удобная высокая ручка управления. Прибывшие в полк начальник ГУ ВВС генерал П.В. Рычагов и инспектор округа генерал А.В. Беляков после непродолжительного наземного осмотра благополучно совершили на ББ-1 ознакомительный полет.</w:t>
      </w:r>
    </w:p>
    <w:p w14:paraId="20F0B0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же двигатели самолетов нулевой и первой серии работали ненадежно, на режиме набора высоты, например, постоянно перегревались, покрывались выброшенным маслом. Причем бомбардировщики ББ-1 М-88 оказались менее удачными, чем их более ранние собратья с моторами М-87Б. Испытания еще не завершились, когда 16 мая нарком обороны С.К. Тимошенко направил К.Е. Ворошилову письмо, где рассматривал основные результаты проведенной работы. Они звучали так:</w:t>
      </w:r>
    </w:p>
    <w:p w14:paraId="4CBC38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Необходимый для вооружения самолет ББ-1 с мотором М-88 из-за недоведен- ности винтомоторной группы не может быть допущен для нормальной эксплуатации в строевых частях ВВС.</w:t>
      </w:r>
    </w:p>
    <w:p w14:paraId="6BCC0E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Медленная работа по внедрению самолета ББ-1 в строевые части... может </w:t>
      </w:r>
    </w:p>
    <w:p w14:paraId="0E5410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привести к устареванию самолета в процессе его испытания и доводки".</w:t>
      </w:r>
    </w:p>
    <w:p w14:paraId="49F693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заключении по материалам войсковых испытаний, направленных начальнику Первого главного управления ВВС КА генерал-лейтенанту авиации П.И. Пумпу- ру отмечалось:</w:t>
      </w:r>
    </w:p>
    <w:p w14:paraId="139714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конструкции самолеты ББ-1, проходившие войсковые испытания, мало чем отличались от самолета ББ-1, выдержавшего государственные испытания за исключением того, что у серийных самолетов фюзеляж представляет собой деревянный монокок.</w:t>
      </w:r>
    </w:p>
    <w:p w14:paraId="25FBD9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ББ-1 М-88 конструкции инженера Сухого продукции завода № 135 представляет собой современный тип самолета с хорошими летно-тактическими данными.</w:t>
      </w:r>
    </w:p>
    <w:p w14:paraId="49D809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Положительными качествами самолета являются:</w:t>
      </w:r>
    </w:p>
    <w:p w14:paraId="7FF4D0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убирающиеся шасси и костыль;</w:t>
      </w:r>
    </w:p>
    <w:p w14:paraId="6DEEC4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закрылки с гидравлическим приводом;</w:t>
      </w:r>
    </w:p>
    <w:p w14:paraId="7BF021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винт-автомат;</w:t>
      </w:r>
    </w:p>
    <w:p w14:paraId="4639F7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надежно действующие тормоза;</w:t>
      </w:r>
    </w:p>
    <w:p w14:paraId="38D193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подогрев кабин, облегчающий высотные полеты;</w:t>
      </w:r>
    </w:p>
    <w:p w14:paraId="5B109A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автокорректор высотного газа;</w:t>
      </w:r>
    </w:p>
    <w:p w14:paraId="26F0EC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крыльевые фары, позволяющие обходиться в исключительных случаях без подсветки прожекторов;</w:t>
      </w:r>
    </w:p>
    <w:p w14:paraId="039CD1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новая ночная подсветка приборов;</w:t>
      </w:r>
    </w:p>
    <w:p w14:paraId="321130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наличие большого количества штампованных и литых деталей, облегчающих</w:t>
      </w:r>
    </w:p>
    <w:p w14:paraId="5884E5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на испытаниях Самолет ББ-1 в боевой обстановке может быть использован как:</w:t>
      </w:r>
    </w:p>
    <w:p w14:paraId="7D77FA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ближний бомбардировщик (дневной и ночной) - калибры бомб с ФАБ-50 до ФАБ-250. Нормальная бомбовая нагрузка 400 кг, в перегрузочном варианте 600 кг;</w:t>
      </w:r>
    </w:p>
    <w:p w14:paraId="7EE0F0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штурмовик - в этом варианте самолет располагает 4 пулеметами LLIKAC, установленными в крыле и 200 кг бомб любого калибра от 2,5 до 25 кг;</w:t>
      </w:r>
    </w:p>
    <w:p w14:paraId="168362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химическое вооружение самолета состоит из двух ВАП-200, расположенных на наружных подвесках под крылом;</w:t>
      </w:r>
    </w:p>
    <w:p w14:paraId="496CB4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разведчик ближних целей, для чего самолет располагает специальным оборудованием.</w:t>
      </w:r>
    </w:p>
    <w:p w14:paraId="6A443B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Самолет ББ-1 М-88 продукции завода № 135 войсковые испытания прошел удовлетворительно" (12028).</w:t>
      </w:r>
    </w:p>
    <w:p w14:paraId="56AE62F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17CBDC" w14:textId="77777777" w:rsidR="00917013" w:rsidRPr="00DB5D0D" w:rsidRDefault="0091701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мая в 1940 году проведены войсковые испытания в 135-ом бомбардировочном авиационном полку первых 16-ти машин </w:t>
      </w:r>
      <w:hyperlink r:id="rId24" w:tgtFrame="_blank" w:history="1">
        <w:r w:rsidRPr="00DB5D0D">
          <w:rPr>
            <w:rFonts w:ascii="Times New Roman" w:hAnsi="Times New Roman"/>
            <w:color w:val="000000" w:themeColor="text1"/>
            <w:sz w:val="16"/>
            <w:szCs w:val="16"/>
          </w:rPr>
          <w:t>«ББ-1».</w:t>
        </w:r>
      </w:hyperlink>
    </w:p>
    <w:p w14:paraId="5AF4BC38" w14:textId="77777777" w:rsidR="00917013" w:rsidRPr="00DB5D0D" w:rsidRDefault="00917013" w:rsidP="00DB5D0D">
      <w:pPr>
        <w:spacing w:after="0" w:line="240" w:lineRule="auto"/>
        <w:jc w:val="both"/>
        <w:rPr>
          <w:rFonts w:ascii="Times New Roman" w:hAnsi="Times New Roman"/>
          <w:color w:val="000000" w:themeColor="text1"/>
          <w:sz w:val="16"/>
          <w:szCs w:val="16"/>
        </w:rPr>
      </w:pPr>
    </w:p>
    <w:p w14:paraId="79E58F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Нарком авиационной промышленности А.И.Шахурин обратился с письмом к И.В.Сталину:</w:t>
      </w:r>
    </w:p>
    <w:p w14:paraId="76C1F5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 (Народный омиссариат обороны) прекратил приемку самолетов ДБ-3Ф..., мотивируя тем, что машины не отвечают заданиям, заказанным в постановлении Правительства. Прошу Вас дать указание НКО о приемке на вооружение этих машин... впредь до утверждения результатов государственных испытаний улучшенного образца данного лолета» (9528).</w:t>
      </w:r>
    </w:p>
    <w:p w14:paraId="09F1870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D6F4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нарком Шахурин обратился лично к Сталину с просьбой принимать ДБ-3М с М-88 как есть &lt;до утверждения результатов госиспытаний улучшенного образца данного самолета&gt;. Не выбрасывать же было бомбардировщики, которых собрали уже немало (7494).</w:t>
      </w:r>
    </w:p>
    <w:p w14:paraId="7E7F4E4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4EB42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А.И.Ш. писал И.В.С., К.Е.В. и В.М.М. письмо "Постановление КО от 29 июля 1939 N 226сс обязывало завод 39 и ГК С.В.И. спроектировать и построить модернизированный ДБ-3Ф с 2М-88 со следующими основными характеристиками: макс. скорость 485 км/час, дальность 4000 км с бомбовой нагрузкой 1000 кг. Срок предъявления на гос. испытания - 1 сентября 1939 (1295,4).</w:t>
      </w:r>
    </w:p>
    <w:p w14:paraId="0052C0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39 изготовил самолет, но ввиду отсутствия в тот период отработанных и прошедших гос. испытания двигателя М-88 сдал самолет на гос. испытания с М-87. Самолет с этими моторами прошел гос. испытания, показав скорость 445 км/час, но температурный режим масла ВМГ оказался неудовлетворительным, что потребовало установки дополнительных радиаторов и, как следствие, привело к понижению скорости. На это имеется постановление Военного Совета ВВС N 44сс от 1 октября 1939 (1295,4).</w:t>
      </w:r>
    </w:p>
    <w:p w14:paraId="01C1E3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окончания гос. испытаний мотора М-88 (ноябрь 1939) в декабре 1039 на этот же самолет был установлен вместо мотора М87 мотор М-88.</w:t>
      </w:r>
    </w:p>
    <w:p w14:paraId="064F02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Дальнейшие испытания самолетов ДБ-3Ф уже с моторами М-88 показали неудовлетворительный режим ВМГ и подтвердили необходимость установки дополнительных масляных радиаторов.</w:t>
      </w:r>
    </w:p>
    <w:p w14:paraId="201C1A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было выполнено и в настоящее время самолет прошел испытания в НИИ ГУАС.</w:t>
      </w:r>
    </w:p>
    <w:p w14:paraId="712AB1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испытаний самолет показал пониженные данные: скорость 425 км/час и дальность 3200 км (1295,4).</w:t>
      </w:r>
    </w:p>
    <w:p w14:paraId="0DF552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самолета меньше расчетной по следующим основным причинам (1295,4):</w:t>
      </w:r>
    </w:p>
    <w:p w14:paraId="1769A1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М-88 потребовал установки дополнительно 2 радиаторов, что увеличило лобовое сопротивление;</w:t>
      </w:r>
    </w:p>
    <w:p w14:paraId="4A5B33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Винт для полного снятия мощности на расчетной высоте не подобран;</w:t>
      </w:r>
    </w:p>
    <w:p w14:paraId="27E29B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самолете по последним требованиям ГУАС установлена наружная радиоустановка Чайка и жесткая антенна к ней, что также увеличило сопротивление;</w:t>
      </w:r>
    </w:p>
    <w:p w14:paraId="3B7095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остальном самолет изготовлен в соответствии с ТУ.</w:t>
      </w:r>
    </w:p>
    <w:p w14:paraId="692952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ГК С.В.И. и завод 39 в настоящее время проводят следующие мероприятия, направленные на увеличение скорости ДБ-3Ф с М-88:</w:t>
      </w:r>
    </w:p>
    <w:p w14:paraId="714258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Разрабатывается и изготавливается установка маслорадиаторов в крыле;</w:t>
      </w:r>
    </w:p>
    <w:p w14:paraId="194ACD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Проводится работа по подбору лопастей винта;</w:t>
      </w:r>
    </w:p>
    <w:p w14:paraId="65C5B8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Разрабатывается конструкция убирающегося костыля.</w:t>
      </w:r>
    </w:p>
    <w:p w14:paraId="6D4D1C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на котором проведены эти работы, будет сдан на гос. испытания не позднее 1 июля 1940.</w:t>
      </w:r>
    </w:p>
    <w:p w14:paraId="4241AB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решением о строительстве модернизированного самолета КО свои постановлением N 236 от 29 июля 1939 обязал НКАП начать серийный выпуск на заводах 18 и 39 с 4 кв. 1939 и полностью перевести эти заводы на выпуск модернизированных самолетов с января 1940.</w:t>
      </w:r>
    </w:p>
    <w:p w14:paraId="6C50B4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одновременно с постройкой опытных экземпляров было развернуто производство на 2-х указанных заводах и в настоящее время завод 39 имеет на аэродроме облетанных 60 машин и сданных ГУАС 13 шт. Завод 18 имеет готовых на аэродроме 160 шт. и сданных ГУАС 124 шт., кроме развернутых на этих заводах заделов.</w:t>
      </w:r>
    </w:p>
    <w:p w14:paraId="6F3482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 прекратил приемку самолетов ДБ-3Ф на заводах 18 и 39, имеющих в серийной постройке только указанный тип, мотивируя тем, что машины не отвечают данным, заказанным в постановлении Правительства.</w:t>
      </w:r>
    </w:p>
    <w:p w14:paraId="4C7595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дать указание НКО о приемке на вооружение этих машин на заводах 39 и 18 впредь до утверждения результатов гос. испытаний улучшенного образца данного самолета (1295,4).</w:t>
      </w:r>
    </w:p>
    <w:p w14:paraId="55EA08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E62F4B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 закончились гос. испытания опытного самолета «100» 2М-105 с 2ТК-2 и герметическими кабинами, которые проходили с 11 апреля 1940 (6894).</w:t>
      </w:r>
    </w:p>
    <w:p w14:paraId="055379B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E71E5E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1 ранга Марков</w:t>
      </w:r>
    </w:p>
    <w:p w14:paraId="228EC3F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Стефановский</w:t>
      </w:r>
    </w:p>
    <w:p w14:paraId="5A01835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штурман майор Никитин</w:t>
      </w:r>
    </w:p>
    <w:p w14:paraId="0719B1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FC5BFB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Произвести первый вылет.</w:t>
      </w:r>
    </w:p>
    <w:p w14:paraId="6059821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Произвести заводские испытания.</w:t>
      </w:r>
    </w:p>
    <w:p w14:paraId="64E06A52"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Определить летные свойства самолета.</w:t>
      </w:r>
    </w:p>
    <w:p w14:paraId="105BADF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летно-технические данные самолета.</w:t>
      </w:r>
    </w:p>
    <w:p w14:paraId="282CF4C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представляет собой цельнометаллический свободнонесущий низкоплан с убирающимися в полете шасси и костылем.</w:t>
      </w:r>
    </w:p>
    <w:p w14:paraId="5FB85F2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Хвостовое оперение свободнонесущее. Вертикальное оперение двухкилевое.</w:t>
      </w:r>
    </w:p>
    <w:p w14:paraId="3F27064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состоит из трех человек, размещенных в двух герметических кабинах.</w:t>
      </w:r>
    </w:p>
    <w:p w14:paraId="5727B01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Первая кабина является кабиной летчика. В ней сосредоточено управление самолетом, винто-моторной группой, огнем носовой батареи, системой уборки и выпуска шасси, щитками и другими агрегатами.</w:t>
      </w:r>
    </w:p>
    <w:p w14:paraId="289B89A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Вторая кабина является кабиной штурмана и стрелка радиста.</w:t>
      </w:r>
    </w:p>
    <w:p w14:paraId="71FD561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Рабочее место штурмана, кроме специального штурманского управления, имеет управление самолетом. Во второй кабине установлен кран и насос аварийного гидравлического выпуска шасси. Рабочее место штурмана оборудовано прицелом для сбрасывания бомб.</w:t>
      </w:r>
    </w:p>
    <w:p w14:paraId="1EDD6D1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рабочего места радиста предусмотрено управление радиостанцией и дистанционное управление хвостовой огневой точкой, но на данном самолете хвостовая огневая точка не установлена, так к моменту производства самолета она не была сделана.</w:t>
      </w:r>
    </w:p>
    <w:p w14:paraId="2FAE6A5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513154E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Стрелково-пушечное вооружение самолета состоит из носовой батареи и хвостовой огневой точки с дистанционным управлением.</w:t>
      </w:r>
    </w:p>
    <w:p w14:paraId="6C940E7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батарея имеет две 20 мм пушки Швак с ящиками для снарядов емкостью 300 снарядов на каждую пушку и два 7,62 мм пулемета Шкас с ящиками для патрон емкостью 900 шт. патрон на каждый пулемет.</w:t>
      </w:r>
    </w:p>
    <w:p w14:paraId="06FAF90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Хвостовая огневая точка предусматривает установку в заднем коке самолета одного пулемета Шкас с ящиком для патрон емкостью 700 шт.</w:t>
      </w:r>
    </w:p>
    <w:p w14:paraId="6530D55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предназначено для поражения воздушных целей и состоит из кассет для артснарядов установленных в фюзеляжном люке. Внешняя подвеска предусматривает подвеску бомб 2х100 или 2х250, или 2х500.</w:t>
      </w:r>
    </w:p>
    <w:p w14:paraId="1D763DB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облегчения транспортировки самолета по ж/д он разбирается на девять самостоятельных агрегатов.</w:t>
      </w:r>
    </w:p>
    <w:p w14:paraId="5C2B0CD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Сравнительная таблица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985"/>
        <w:gridCol w:w="2067"/>
        <w:gridCol w:w="1790"/>
        <w:gridCol w:w="1671"/>
      </w:tblGrid>
      <w:tr w:rsidR="007D5DF8" w:rsidRPr="00DB5D0D" w14:paraId="73B85BDD" w14:textId="77777777" w:rsidTr="009223E5">
        <w:tc>
          <w:tcPr>
            <w:tcW w:w="3085" w:type="dxa"/>
          </w:tcPr>
          <w:p w14:paraId="7A979E9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Название самолета</w:t>
            </w:r>
          </w:p>
        </w:tc>
        <w:tc>
          <w:tcPr>
            <w:tcW w:w="1985" w:type="dxa"/>
          </w:tcPr>
          <w:p w14:paraId="25ACF46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«100» опытный</w:t>
            </w:r>
          </w:p>
        </w:tc>
        <w:tc>
          <w:tcPr>
            <w:tcW w:w="2067" w:type="dxa"/>
          </w:tcPr>
          <w:p w14:paraId="772A027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ВИТ-2 опытный</w:t>
            </w:r>
          </w:p>
        </w:tc>
        <w:tc>
          <w:tcPr>
            <w:tcW w:w="1790" w:type="dxa"/>
          </w:tcPr>
          <w:p w14:paraId="21AE702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ББ-22 серийный</w:t>
            </w:r>
          </w:p>
        </w:tc>
        <w:tc>
          <w:tcPr>
            <w:tcW w:w="1671" w:type="dxa"/>
          </w:tcPr>
          <w:p w14:paraId="3C11034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Мессершмидт 110 по данным НИИ</w:t>
            </w:r>
          </w:p>
        </w:tc>
      </w:tr>
      <w:tr w:rsidR="007D5DF8" w:rsidRPr="00DB5D0D" w14:paraId="1F47DA92" w14:textId="77777777" w:rsidTr="009223E5">
        <w:tc>
          <w:tcPr>
            <w:tcW w:w="3085" w:type="dxa"/>
          </w:tcPr>
          <w:p w14:paraId="02A924A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w:t>
            </w:r>
          </w:p>
        </w:tc>
        <w:tc>
          <w:tcPr>
            <w:tcW w:w="1985" w:type="dxa"/>
          </w:tcPr>
          <w:p w14:paraId="2DEFB56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5887</w:t>
            </w:r>
          </w:p>
        </w:tc>
        <w:tc>
          <w:tcPr>
            <w:tcW w:w="2067" w:type="dxa"/>
          </w:tcPr>
          <w:p w14:paraId="600F9DC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4604</w:t>
            </w:r>
          </w:p>
        </w:tc>
        <w:tc>
          <w:tcPr>
            <w:tcW w:w="1790" w:type="dxa"/>
          </w:tcPr>
          <w:p w14:paraId="5225500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4414</w:t>
            </w:r>
          </w:p>
        </w:tc>
        <w:tc>
          <w:tcPr>
            <w:tcW w:w="1671" w:type="dxa"/>
          </w:tcPr>
          <w:p w14:paraId="7C7B3FB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5020</w:t>
            </w:r>
          </w:p>
        </w:tc>
      </w:tr>
      <w:tr w:rsidR="007D5DF8" w:rsidRPr="00DB5D0D" w14:paraId="5CDACEFE" w14:textId="77777777" w:rsidTr="009223E5">
        <w:tc>
          <w:tcPr>
            <w:tcW w:w="3085" w:type="dxa"/>
          </w:tcPr>
          <w:p w14:paraId="2298E86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нормального варианта</w:t>
            </w:r>
          </w:p>
        </w:tc>
        <w:tc>
          <w:tcPr>
            <w:tcW w:w="1985" w:type="dxa"/>
          </w:tcPr>
          <w:p w14:paraId="5F17CD2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7200</w:t>
            </w:r>
          </w:p>
        </w:tc>
        <w:tc>
          <w:tcPr>
            <w:tcW w:w="2067" w:type="dxa"/>
          </w:tcPr>
          <w:p w14:paraId="2F26D51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6400</w:t>
            </w:r>
          </w:p>
        </w:tc>
        <w:tc>
          <w:tcPr>
            <w:tcW w:w="1790" w:type="dxa"/>
          </w:tcPr>
          <w:p w14:paraId="7FC9D7D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5380</w:t>
            </w:r>
          </w:p>
        </w:tc>
        <w:tc>
          <w:tcPr>
            <w:tcW w:w="1671" w:type="dxa"/>
          </w:tcPr>
          <w:p w14:paraId="7D69BF3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6530</w:t>
            </w:r>
          </w:p>
        </w:tc>
      </w:tr>
      <w:tr w:rsidR="007D5DF8" w:rsidRPr="00DB5D0D" w14:paraId="245AA6F9" w14:textId="77777777" w:rsidTr="009223E5">
        <w:tc>
          <w:tcPr>
            <w:tcW w:w="3085" w:type="dxa"/>
          </w:tcPr>
          <w:p w14:paraId="5143D0E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перегрузочного варианта</w:t>
            </w:r>
          </w:p>
        </w:tc>
        <w:tc>
          <w:tcPr>
            <w:tcW w:w="1985" w:type="dxa"/>
          </w:tcPr>
          <w:p w14:paraId="31B1CD3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2067" w:type="dxa"/>
          </w:tcPr>
          <w:p w14:paraId="0D1B742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7500</w:t>
            </w:r>
          </w:p>
        </w:tc>
        <w:tc>
          <w:tcPr>
            <w:tcW w:w="1790" w:type="dxa"/>
          </w:tcPr>
          <w:p w14:paraId="7143D19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5585</w:t>
            </w:r>
          </w:p>
        </w:tc>
        <w:tc>
          <w:tcPr>
            <w:tcW w:w="1671" w:type="dxa"/>
          </w:tcPr>
          <w:p w14:paraId="51CC440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6750</w:t>
            </w:r>
          </w:p>
        </w:tc>
      </w:tr>
      <w:tr w:rsidR="007D5DF8" w:rsidRPr="00DB5D0D" w14:paraId="68A3D5C3" w14:textId="77777777" w:rsidTr="009223E5">
        <w:tc>
          <w:tcPr>
            <w:tcW w:w="3085" w:type="dxa"/>
          </w:tcPr>
          <w:p w14:paraId="44C45D8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w:t>
            </w:r>
          </w:p>
        </w:tc>
        <w:tc>
          <w:tcPr>
            <w:tcW w:w="1985" w:type="dxa"/>
          </w:tcPr>
          <w:p w14:paraId="3C459B7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17,15</w:t>
            </w:r>
          </w:p>
        </w:tc>
        <w:tc>
          <w:tcPr>
            <w:tcW w:w="2067" w:type="dxa"/>
          </w:tcPr>
          <w:p w14:paraId="5569719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w:t>
            </w:r>
          </w:p>
        </w:tc>
        <w:tc>
          <w:tcPr>
            <w:tcW w:w="1790" w:type="dxa"/>
          </w:tcPr>
          <w:p w14:paraId="49371CB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671" w:type="dxa"/>
          </w:tcPr>
          <w:p w14:paraId="6254C20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16,1</w:t>
            </w:r>
          </w:p>
        </w:tc>
      </w:tr>
      <w:tr w:rsidR="007D5DF8" w:rsidRPr="00DB5D0D" w14:paraId="2C778404" w14:textId="77777777" w:rsidTr="009223E5">
        <w:tc>
          <w:tcPr>
            <w:tcW w:w="3085" w:type="dxa"/>
          </w:tcPr>
          <w:p w14:paraId="704C908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w:t>
            </w:r>
          </w:p>
        </w:tc>
        <w:tc>
          <w:tcPr>
            <w:tcW w:w="1985" w:type="dxa"/>
          </w:tcPr>
          <w:p w14:paraId="44515A1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12,69</w:t>
            </w:r>
          </w:p>
        </w:tc>
        <w:tc>
          <w:tcPr>
            <w:tcW w:w="2067" w:type="dxa"/>
          </w:tcPr>
          <w:p w14:paraId="7FFA167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w:t>
            </w:r>
          </w:p>
        </w:tc>
        <w:tc>
          <w:tcPr>
            <w:tcW w:w="1790" w:type="dxa"/>
          </w:tcPr>
          <w:p w14:paraId="383CEBE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671" w:type="dxa"/>
          </w:tcPr>
          <w:p w14:paraId="143410D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12,07</w:t>
            </w:r>
          </w:p>
        </w:tc>
      </w:tr>
      <w:tr w:rsidR="007D5DF8" w:rsidRPr="00DB5D0D" w14:paraId="47B22986" w14:textId="77777777" w:rsidTr="009223E5">
        <w:tc>
          <w:tcPr>
            <w:tcW w:w="3085" w:type="dxa"/>
          </w:tcPr>
          <w:p w14:paraId="00105AD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c>
          <w:tcPr>
            <w:tcW w:w="1985" w:type="dxa"/>
          </w:tcPr>
          <w:p w14:paraId="0E7A4F6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067" w:type="dxa"/>
          </w:tcPr>
          <w:p w14:paraId="05445BE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790" w:type="dxa"/>
          </w:tcPr>
          <w:p w14:paraId="2A86E41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671" w:type="dxa"/>
          </w:tcPr>
          <w:p w14:paraId="13E8091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595DEF98" w14:textId="77777777" w:rsidTr="009223E5">
        <w:tc>
          <w:tcPr>
            <w:tcW w:w="3085" w:type="dxa"/>
          </w:tcPr>
          <w:p w14:paraId="18EFD5E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w:t>
            </w:r>
          </w:p>
        </w:tc>
        <w:tc>
          <w:tcPr>
            <w:tcW w:w="1985" w:type="dxa"/>
          </w:tcPr>
          <w:p w14:paraId="43EE62D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 Шкас</w:t>
            </w:r>
          </w:p>
          <w:p w14:paraId="2B530DC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 Швак</w:t>
            </w:r>
          </w:p>
        </w:tc>
        <w:tc>
          <w:tcPr>
            <w:tcW w:w="2067" w:type="dxa"/>
          </w:tcPr>
          <w:p w14:paraId="2C454BB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 Швак</w:t>
            </w:r>
          </w:p>
        </w:tc>
        <w:tc>
          <w:tcPr>
            <w:tcW w:w="1790" w:type="dxa"/>
          </w:tcPr>
          <w:p w14:paraId="79756D1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 Шкас</w:t>
            </w:r>
          </w:p>
        </w:tc>
        <w:tc>
          <w:tcPr>
            <w:tcW w:w="1671" w:type="dxa"/>
          </w:tcPr>
          <w:p w14:paraId="28E6D02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пулеметов</w:t>
            </w:r>
          </w:p>
          <w:p w14:paraId="39CBC55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w:t>
            </w:r>
          </w:p>
        </w:tc>
      </w:tr>
      <w:tr w:rsidR="007D5DF8" w:rsidRPr="00DB5D0D" w14:paraId="4FFF9372" w14:textId="77777777" w:rsidTr="009223E5">
        <w:tc>
          <w:tcPr>
            <w:tcW w:w="3085" w:type="dxa"/>
          </w:tcPr>
          <w:p w14:paraId="03BD906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Бомбовое вооружение</w:t>
            </w:r>
          </w:p>
        </w:tc>
        <w:tc>
          <w:tcPr>
            <w:tcW w:w="1985" w:type="dxa"/>
          </w:tcPr>
          <w:p w14:paraId="1A58C43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2х250</w:t>
            </w:r>
          </w:p>
          <w:p w14:paraId="5A6D1A5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2х500</w:t>
            </w:r>
          </w:p>
          <w:p w14:paraId="2697A48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внешнее</w:t>
            </w:r>
          </w:p>
        </w:tc>
        <w:tc>
          <w:tcPr>
            <w:tcW w:w="2067" w:type="dxa"/>
          </w:tcPr>
          <w:p w14:paraId="2290196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кг внутри фюзеляжа</w:t>
            </w:r>
          </w:p>
          <w:p w14:paraId="0D2C358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 кг – внешняя подвеска</w:t>
            </w:r>
          </w:p>
        </w:tc>
        <w:tc>
          <w:tcPr>
            <w:tcW w:w="1790" w:type="dxa"/>
          </w:tcPr>
          <w:p w14:paraId="740E481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 кг – внутри</w:t>
            </w:r>
          </w:p>
          <w:p w14:paraId="62F0A89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 кг – снаружи</w:t>
            </w:r>
          </w:p>
        </w:tc>
        <w:tc>
          <w:tcPr>
            <w:tcW w:w="1671" w:type="dxa"/>
          </w:tcPr>
          <w:p w14:paraId="457FB99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Нет</w:t>
            </w:r>
          </w:p>
        </w:tc>
      </w:tr>
      <w:tr w:rsidR="007D5DF8" w:rsidRPr="00DB5D0D" w14:paraId="187C9624" w14:textId="77777777" w:rsidTr="009223E5">
        <w:tc>
          <w:tcPr>
            <w:tcW w:w="3085" w:type="dxa"/>
          </w:tcPr>
          <w:p w14:paraId="1AC8621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границе высотности</w:t>
            </w:r>
          </w:p>
        </w:tc>
        <w:tc>
          <w:tcPr>
            <w:tcW w:w="1985" w:type="dxa"/>
          </w:tcPr>
          <w:p w14:paraId="1467F8D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515/4500</w:t>
            </w:r>
          </w:p>
        </w:tc>
        <w:tc>
          <w:tcPr>
            <w:tcW w:w="2067" w:type="dxa"/>
          </w:tcPr>
          <w:p w14:paraId="73C29DA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500/4600</w:t>
            </w:r>
          </w:p>
        </w:tc>
        <w:tc>
          <w:tcPr>
            <w:tcW w:w="1790" w:type="dxa"/>
          </w:tcPr>
          <w:p w14:paraId="0C2632E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515/5200</w:t>
            </w:r>
          </w:p>
        </w:tc>
        <w:tc>
          <w:tcPr>
            <w:tcW w:w="1671" w:type="dxa"/>
          </w:tcPr>
          <w:p w14:paraId="307BCD3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526/4600</w:t>
            </w:r>
          </w:p>
        </w:tc>
      </w:tr>
      <w:tr w:rsidR="007D5DF8" w:rsidRPr="00DB5D0D" w14:paraId="7D8317B7" w14:textId="77777777" w:rsidTr="009223E5">
        <w:tc>
          <w:tcPr>
            <w:tcW w:w="3085" w:type="dxa"/>
          </w:tcPr>
          <w:p w14:paraId="7E98B0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Н=6000 м</w:t>
            </w:r>
          </w:p>
        </w:tc>
        <w:tc>
          <w:tcPr>
            <w:tcW w:w="1985" w:type="dxa"/>
          </w:tcPr>
          <w:p w14:paraId="42C2A9F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535</w:t>
            </w:r>
          </w:p>
        </w:tc>
        <w:tc>
          <w:tcPr>
            <w:tcW w:w="2067" w:type="dxa"/>
          </w:tcPr>
          <w:p w14:paraId="41005E1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487</w:t>
            </w:r>
          </w:p>
        </w:tc>
        <w:tc>
          <w:tcPr>
            <w:tcW w:w="1790" w:type="dxa"/>
          </w:tcPr>
          <w:p w14:paraId="4626C35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505</w:t>
            </w:r>
          </w:p>
        </w:tc>
        <w:tc>
          <w:tcPr>
            <w:tcW w:w="1671" w:type="dxa"/>
          </w:tcPr>
          <w:p w14:paraId="5820CD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514</w:t>
            </w:r>
          </w:p>
        </w:tc>
      </w:tr>
      <w:tr w:rsidR="007D5DF8" w:rsidRPr="00DB5D0D" w14:paraId="32229812" w14:textId="77777777" w:rsidTr="009223E5">
        <w:tc>
          <w:tcPr>
            <w:tcW w:w="3085" w:type="dxa"/>
          </w:tcPr>
          <w:p w14:paraId="2931D22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горизонтальная скорость у земли</w:t>
            </w:r>
          </w:p>
        </w:tc>
        <w:tc>
          <w:tcPr>
            <w:tcW w:w="1985" w:type="dxa"/>
          </w:tcPr>
          <w:p w14:paraId="7758C43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w:t>
            </w:r>
          </w:p>
        </w:tc>
        <w:tc>
          <w:tcPr>
            <w:tcW w:w="2067" w:type="dxa"/>
          </w:tcPr>
          <w:p w14:paraId="236C50D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446</w:t>
            </w:r>
          </w:p>
        </w:tc>
        <w:tc>
          <w:tcPr>
            <w:tcW w:w="1790" w:type="dxa"/>
          </w:tcPr>
          <w:p w14:paraId="0D66207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w:t>
            </w:r>
          </w:p>
        </w:tc>
        <w:tc>
          <w:tcPr>
            <w:tcW w:w="1671" w:type="dxa"/>
          </w:tcPr>
          <w:p w14:paraId="21F7952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443</w:t>
            </w:r>
          </w:p>
        </w:tc>
      </w:tr>
    </w:tbl>
    <w:p w14:paraId="7430B14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p w14:paraId="0B0D8FE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испытания 20 декабря 1939 года. Первый вылет произведен 22 декабря 1939 года.</w:t>
      </w:r>
    </w:p>
    <w:p w14:paraId="2255DFF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22 по 30 декабря 1939 года выполнено два полета.</w:t>
      </w:r>
    </w:p>
    <w:p w14:paraId="537ED5A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29 января 1940 года по 18 февраля 1940 года производились полеты и текущая работа по обеспечению полетов и доводка самолета.</w:t>
      </w:r>
    </w:p>
    <w:p w14:paraId="43D78BB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марта 1940 года произведен полет для уборки лыж в воздухе.</w:t>
      </w:r>
    </w:p>
    <w:p w14:paraId="3F16A9D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за время заводских испытаний с 20 декабря 1939 года по 10 апреля 1940 года полеты производились в течение 11 дней, произведено 23 полета с налетом 6 час. 55 мин.</w:t>
      </w:r>
    </w:p>
    <w:p w14:paraId="637F75B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w:t>
      </w:r>
    </w:p>
    <w:p w14:paraId="2BD33BE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Начаты 11 апреля 1940 года по спецпрограмме</w:t>
      </w:r>
    </w:p>
    <w:p w14:paraId="61ACF72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Окончены 10 мая 1940 года</w:t>
      </w:r>
    </w:p>
    <w:p w14:paraId="4391CFB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первом опытном самолете произведено 34 полета с налетом 12 час. 48 мин.</w:t>
      </w:r>
    </w:p>
    <w:p w14:paraId="4BDB26D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«дублер» – 2 полета с налетом 37 мин.</w:t>
      </w:r>
    </w:p>
    <w:p w14:paraId="316E64F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3235308"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удачное разрешение проблемы создания вооруженного герметического самолета требует дальнейшей работы по изучению, накоплению боевого опыта по работе на высотах свыше 9000 м. Необходимо построить опытную серию самолетов «100» с двумя моторами М-105, снабженных двумя ТК-2 по макету, утвержденному ГУАС от 5 марта 1940 года с устранением отмеченных дефектов, с улучшением обзора у летчика и штурмана (6894).</w:t>
      </w:r>
    </w:p>
    <w:p w14:paraId="2D353FC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p w14:paraId="6EDDC3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закончились гос. испытания 1 экз. самолета 100 2М105 с 2хТК-2 и герметической кабиной, которые начались 11 апреля 1940 (705). Всего за время гос. испытаний выполнили 34 полета и налетали 13:25. Несмотря на то, что испытание было не самым удачным в отчете написали: "Самолет 100 представляет собой наиболее удачное разрешение проблемы создания вооруженной машины с ГК. Необходимо построить опытную серию самолетов 100..." В заключении также написано: "...В целях использования высокой аэродинамики 100 целесообразно создание на его базе ПБ без ГК. Необходимо построить опытную серию. Макет этого самолета предъявить на утверждение к 1 июня 1940..." Я.Смушкевич написал резолюцию: "Акт утверждается с внесением поправки в заключение: "Самолет 100 в пикирующем варианте признать целесообразным для серийной постройки" (2475,6).</w:t>
      </w:r>
    </w:p>
    <w:p w14:paraId="4C97C9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100 2М-105 был сдан на гос. испытания 31 декабря 1939 (2090,140).</w:t>
      </w:r>
    </w:p>
    <w:p w14:paraId="760FE7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 данные, что для ускорения испытаний 100 подключили и дублер 100 - построенный 2-й экз., который отличался внутренней подвеской бомб. Именно на втором летал л Хрипков и ш Перевалов и именно на нем порубили детсад Химкомбината и 18-летнюю девушку-воспитателя и разбили машину из-за капота так, что она и не восстанавливалась (2475,6).</w:t>
      </w:r>
    </w:p>
    <w:p w14:paraId="5B2298C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4C08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 закончились гос. испытания опытного самолета «100» 2М-105 с 2ТК-2 и герметическими кабинами, которые проходили с 11 апреля 1940</w:t>
      </w:r>
    </w:p>
    <w:p w14:paraId="54F67E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F6FA0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1 ранга Марков</w:t>
      </w:r>
    </w:p>
    <w:p w14:paraId="486223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Стефановский</w:t>
      </w:r>
    </w:p>
    <w:p w14:paraId="77EDC8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832AAD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первый вылет.</w:t>
      </w:r>
    </w:p>
    <w:p w14:paraId="4AD03B1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Произвести заводские испытания.</w:t>
      </w:r>
    </w:p>
    <w:p w14:paraId="3177C47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летные свойства самолета.</w:t>
      </w:r>
    </w:p>
    <w:p w14:paraId="5AB9AEC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летно-технические данные самолета.</w:t>
      </w:r>
    </w:p>
    <w:p w14:paraId="2073BB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«100», спроектированный Особым техбюро и построенный на заводе № 156 является новой оригинальной конструкцией.</w:t>
      </w:r>
    </w:p>
    <w:p w14:paraId="12EFCC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представляет собой цельнометаллический свободнонесущий низкоплан с убирающимися в полете шасси и костылем.</w:t>
      </w:r>
    </w:p>
    <w:p w14:paraId="148D92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Хвостовое оперение свободнонесущее. Вертикальное оперение двухкилевое.</w:t>
      </w:r>
    </w:p>
    <w:p w14:paraId="163162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состоит из трех человек, размещенных в двух герметических кабинах, в которых поддерживается до высоты 10000 м постоянное давление.</w:t>
      </w:r>
    </w:p>
    <w:p w14:paraId="7FA403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Стрелково-пушечное вооружение самолета состоит из носовой батареи и хвостовой огневой точки с дистанционным управлением.</w:t>
      </w:r>
    </w:p>
    <w:p w14:paraId="521EB8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батарея имеет две 20 мм пушки ШВАК с ящиками для снарядов емкостью 300 снарядов на каждую пушку и два 7,62 мм пулемета ШКАС с ящиками для патрон емкостью 900 штук патрон на каждый пулемет.</w:t>
      </w:r>
    </w:p>
    <w:p w14:paraId="7FAAFD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Хвостовая огневая точка предусматривает установку в заднем коке самолета одного пулемета ШКАС с ящиком для патрон емкостью 700 штук (хвостовая точка на испытываемом самолете не установлена).</w:t>
      </w:r>
    </w:p>
    <w:p w14:paraId="5DD777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предназначено для поражения воздушных целей и состоит из кассет для артснарядов, установленных в фюзеляжном люке. Внешняя подвеска бомб предусматривает подвеску бомб 2х100 или 2х250 или 2х500.</w:t>
      </w:r>
    </w:p>
    <w:p w14:paraId="2DFEA5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заводские испытания самолет поступил 20 декабря 1939 года. Первый полет произведен 22 декабря 1939 года.</w:t>
      </w:r>
    </w:p>
    <w:p w14:paraId="1D169A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за время заводских испытаний с 20 декабря 1939 года по 10 апреля 1940 самолет летал в течение 11 дней, за эти дни произведено 23 полета с налетом 6 час. 55 мин.</w:t>
      </w:r>
    </w:p>
    <w:p w14:paraId="07381C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начаты 11 апреля 1940 года по специальной программе.</w:t>
      </w:r>
    </w:p>
    <w:p w14:paraId="0EA5D7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Окончены 10 мая 1940 года.</w:t>
      </w:r>
    </w:p>
    <w:p w14:paraId="0B44A7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первом опытном самолете произведено 34 полета с налетом 12 час. 48 мин., на самолете «Дублер» произведено 2 полета с налетом 37 мин.</w:t>
      </w:r>
    </w:p>
    <w:p w14:paraId="63CCD0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356FAA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удачное разрешение проблемы создания вооруженного герметического самолета требует дальнейшей работы по изучению, накоплению боевого опыта по работе на высотах свыше 9000 м. Необходимо построить опытную серию самолетов «100» с двумя моторами М-105, снабженных двумя ТК-2 по макету, утвержденному ГУАС от 5 марта 1940 года с устранением отмеченных дефектов с улучшением обзора у летчика и штурмана.</w:t>
      </w:r>
    </w:p>
    <w:p w14:paraId="7ADB011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использования высокой аэродинамики самолета 2100» и создания на его базе массового пикирующего бомбардировщика без герметических кабин с максимальной скоростью на высоте 5000 м не ниже 550 км/час с бомбовой нагрузкой внутри самолета 600 кг и снаружи 1000 кг (2х500 кг или 4х250 кг) необходимо построить опытную серию.</w:t>
      </w:r>
    </w:p>
    <w:p w14:paraId="3EC64F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этого самолета предъявить на утверждение к 1 июня 1940 года (4400).</w:t>
      </w:r>
    </w:p>
    <w:p w14:paraId="58DA965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C5CC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закончились гос. испытания опытного самолета 100 2М-105 с 2ТК-2 и гермокабинами, которые проходили с 22 декабря 1939, в т.ч. собственно гоc. испытания шли с 11 апреля 1940 10 мая 1940. Отв. исполнители: ви ви1р Марков и вл Стефановский.</w:t>
      </w:r>
    </w:p>
    <w:p w14:paraId="434B44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испытаний:</w:t>
      </w:r>
    </w:p>
    <w:p w14:paraId="399B28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заводские испытания - самолет поступил на испытания 20 декабря 1939. Первый полет был выполнен 22 декабря 1939.</w:t>
      </w:r>
    </w:p>
    <w:p w14:paraId="106A50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22 декабря по 30 декабря 1939 проводилась доводка ВМГ и было выполнено 2 полета. 30 декабря в 3-м полете выплавились коренные подшипники и мотор остановился в полете.</w:t>
      </w:r>
    </w:p>
    <w:p w14:paraId="5998C7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31 декабря по 28 января 1940 производилась замена моторов и другие работы.</w:t>
      </w:r>
    </w:p>
    <w:p w14:paraId="55231A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29 января по 18 февраля 1940 производились полеты и текущая работа по обеспечению полетов и доводки самолета.</w:t>
      </w:r>
    </w:p>
    <w:p w14:paraId="3EB339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 февраля по 10 марта 1940 производилась установка убирающихся в полете лыж, заменялась механическая система аварийного выпуска шасси на гидравлическую.</w:t>
      </w:r>
    </w:p>
    <w:p w14:paraId="7CBC85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марта 1940 был произведен полет для уборки лыж в воздухе, лыжи убрались, но не выпустились, посадка была проведена с убранными лыжами.</w:t>
      </w:r>
    </w:p>
    <w:p w14:paraId="675668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за время заводских испытаний с 10 декабря 1939 по 10 апреля 1940 самолет находился в доводках и ремонтах 122 суток. Полеты производились в течение 11 дней и за это время произвели 23 полета, налетав 6:55.</w:t>
      </w:r>
    </w:p>
    <w:p w14:paraId="78F11D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Гос. испытания</w:t>
      </w:r>
    </w:p>
    <w:p w14:paraId="551113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Начаты 11 апреля 1940 по специальной программе и окончены 10 мая 1940.</w:t>
      </w:r>
    </w:p>
    <w:p w14:paraId="0B184B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программе требовалось провести на первом опытном самолета 22 полета с налетом 12:30, а на дублере - 22 полета с налетом 12:20.</w:t>
      </w:r>
    </w:p>
    <w:p w14:paraId="3E27B8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действительности произведено:</w:t>
      </w:r>
    </w:p>
    <w:p w14:paraId="14D7F1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1-м опытном - 34 полета с налетом 12:48</w:t>
      </w:r>
    </w:p>
    <w:p w14:paraId="3B65B8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2-м - 2 с налетом 9:37 (2946).</w:t>
      </w:r>
    </w:p>
    <w:p w14:paraId="485830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A3668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необходимо построить опытную серию самолетов 100 с 2М-105, снабженных двумя ТК-2 по макету, утвержденному ГУАС от 5 марта 1940 с устранением отмеченных дефектов, улучшением обзора у л и ш.</w:t>
      </w:r>
    </w:p>
    <w:p w14:paraId="1441FA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Строящийся самолет 100 должен обладать проектными скоростями, иметь доведенную ВМГ, герметику и полное вооружение.</w:t>
      </w:r>
    </w:p>
    <w:p w14:paraId="4239F3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целях использования высокой аэродинамики самолета 100 и создания на его базе массового пикирующего бомбардировщика без ГК, с макс. скоростью на 5000 м не менее 550 км/час с бомбовой нагрузкой внутри самолета 600 кг и снаружи 1000 кг (2х500 или 4х250) необходимо построить опытную серию.</w:t>
      </w:r>
    </w:p>
    <w:p w14:paraId="4446C6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этого самолета предъявить на утверждение к 1 июля 1940.</w:t>
      </w:r>
    </w:p>
    <w:p w14:paraId="6A358B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Для ускорения отработки 100 в варианте ПБ, обязать завод 156 восстановить аварийный самолет 100 дублер и внести в него необходимые изменения, согласно утвержденного макета самолета 100 в варианте ПБ и предъявить на гос. испытания в НИИ ГУАС к 1 сентября 1940.</w:t>
      </w:r>
    </w:p>
    <w:p w14:paraId="2341D8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Установленные на самолете 100 М-105 оказались недовведенными. В силу этого определить полные полетные данные самолета было нельзя (2946).</w:t>
      </w:r>
    </w:p>
    <w:p w14:paraId="301D43D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C10F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завершились испытания ПБ-100, а уже 23 июня было принято решение о запуске самолёта в серийное производство на заводах №22 и №39 им.Менжинского в Москве.</w:t>
      </w:r>
    </w:p>
    <w:p w14:paraId="228E1D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Первоначально конструкторам очень хотелось оставить в новой машине, получившей название ПБ-100, главные изюминки прототипа - герметичную кабину экипажа и турбонагнетатели на моторах. Был прорисован вариант с двумя гермокабинами - передней для пилота и задней для штурмана и стрелка- радиста. У штурмана предусматривались дублирующее управление и основные приборы на случай гибели или тяжелого ранения летчика.</w:t>
      </w:r>
    </w:p>
    <w:p w14:paraId="41079B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Неподвижное направленное вперед вооружение должно было состоять либо из четырех пулеметов IIIKAC, либо из двух пушек ШBAK и двух пулеметов IJIKAC (на опытной машине был реализован второй вариант). Подвижная установка у стрелка была задумана с дистанционным управлением и перископическим прицелом (на опытной машине ее не было). Планировалась нормальная бомбовая нагрузка массой 600 кг, размещавшаяся в бомбоотсеке центроплана, еще 400 кг бомб можно было подвесить снаружи при ближних полетах.</w:t>
      </w:r>
    </w:p>
    <w:p w14:paraId="5BDB8C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Поскольку основной зоной боевых действий для пикирующего бомбардировщика являлись малые и средние высоты, конструкторы довольно быстро отказались от всех атрибутов высотного самолета. Опытный самолет ПБ-100 имел традиционный вид. Гермокабины отсутствовали, а на моторах М-105Р вместо турбонагнетателей стояли обычные нагнетатели с приводом от самого двигателя.</w:t>
      </w:r>
    </w:p>
    <w:p w14:paraId="109CFD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имел цельнометаллическую конструкцию и был выполнен по схеме свободно- несущего низкоплана. Конструкция фюзеляжа, разработанная А. И. Путиловым, по типу приближалась к монококу. Толстая, в среднем 1,5-2 мм, обшивка и редкие, через 0,5 м, шпангоуты. Стрингеров для подкрепления обшивки Г1е-2 не имел, стояли только лонжероны. Фюзеляж круглого сечения для технологичности выполнили составным из нескольких усеченных конусов - от середины до хвостовой законцовки. Конструкция фюзеляжа была предельно проста и рациональна.</w:t>
      </w:r>
    </w:p>
    <w:p w14:paraId="71BBB3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фюзеляжа составляла 12,6 м. В носовой его части находилась внизу остекленная плоская поверхность для обеспечения обзора вниз летчику и штурману, который сидел за летчиком со сдвигом вправо.</w:t>
      </w:r>
    </w:p>
    <w:p w14:paraId="48E9D7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резко отличалось по конструкции от фюзеляжа. Оно состояло из центроплана и консолей. Каркас имел густой набор стрингеров, подкрепляющих сравнительно тонкую обшивку (ее толщина составляла в разных местах от 0,6 до 0,8 мм). Полки лонжеронов образовывали стальные тавры, стенки набирались из листового дюраля, нервюры штамповались из листа с облегчающими отверстиями и малкованными полками.</w:t>
      </w:r>
    </w:p>
    <w:p w14:paraId="4DFE5F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поперечного V центроплана был нулевым, консолей - 7 по задней кромке. Че- тырехсекционные закрылки типа "Шренк" опускались на 45° (при слегка опущенных закрылках разбег не превышал 590 м). Элероны имели внутреннюю компенсацию.</w:t>
      </w:r>
    </w:p>
    <w:p w14:paraId="32AF70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нижней поверхности консолей устанавливались решетчатые воздушные тормоза, сваренные из стальных труб. Они выпускались по команде автомата и благодаря им допускалось пикирование под углом до 70° без боязни превысить допустимую по прочности планера скорость.</w:t>
      </w:r>
    </w:p>
    <w:p w14:paraId="0F68B9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имел убирающееся трехопорное шасси с хвостовым колесом. В зимнее время могло устанавливаться лыжное шасси.</w:t>
      </w:r>
    </w:p>
    <w:p w14:paraId="3F9B3C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Силовая установка состояла из двух поршневых V-оразных 12-цилиндровых редук- торных двигателей жидкостного охлаждения М-105Р конструкции В.Я.Климова с трехлопастными металлическими винтами изменяемого шага ВИШ-61Б. Водорадиаторы размещались в крыле по обе стороны от каждого двигателя. Маслорадиаторы размещались непосредственно под двигателями. Топливо размещалось в протектированных баках.</w:t>
      </w:r>
    </w:p>
    <w:p w14:paraId="4177C0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обороны самолет имел два неподвижных пулемета ШКАС в носу, огонь из которых вел летчик, целясь по коллиматорному прицелу. Штурман мог использовать ограниченно подвижный пулемет IIIKAC в шкворневой турели, закрываемой в полете секцией фонаря. Арсенал дополняли два пулемета LLIKAC у стрел ка-радиста, один из которых находился в люковой установке, а второй мог перекидываться с борта на борт.</w:t>
      </w:r>
    </w:p>
    <w:p w14:paraId="2A1B85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Полный комплект рабочих чертежей завод №22 получил от ОКБ с задержкой - лишь в июле 1940 г. Это затягивало изготовление оснастки и только к концу года был построен первый пикировщик. Отработка чертежей и подготовка производства шли параллельно, что не могло не вызвать большого количества ошибок. Как отметил в своем докладе ГОКО нарком Шахурин, "за неудовлетворительную работу по выпуску самолетов руководство завода №39 и ряда его цехов было обновлено" (12037).</w:t>
      </w:r>
    </w:p>
    <w:p w14:paraId="7CD7B82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C127BA" w14:textId="77777777" w:rsidR="00917013" w:rsidRPr="00DB5D0D" w:rsidRDefault="0091701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10 мая в 1940 году закончились Государственные испытания </w:t>
      </w:r>
      <w:hyperlink r:id="rId25" w:tgtFrame="_blank" w:history="1">
        <w:r w:rsidRPr="00DB5D0D">
          <w:rPr>
            <w:rFonts w:ascii="Times New Roman" w:hAnsi="Times New Roman"/>
            <w:color w:val="000000" w:themeColor="text1"/>
            <w:sz w:val="16"/>
            <w:szCs w:val="16"/>
          </w:rPr>
          <w:t xml:space="preserve">"сотки" («Пе-2»), </w:t>
        </w:r>
      </w:hyperlink>
      <w:r w:rsidRPr="00DB5D0D">
        <w:rPr>
          <w:rFonts w:ascii="Times New Roman" w:hAnsi="Times New Roman"/>
          <w:color w:val="000000" w:themeColor="text1"/>
          <w:sz w:val="16"/>
          <w:szCs w:val="16"/>
        </w:rPr>
        <w:t>созданного в ЦКБ-29 НКВД В.М.Петляковым, а 23 июня 1940 года самолет был принят к серийному производству. Серийный самолет имел некоторые отличия. Наиболее заметной внешней переменой было смещение вперед кабины пилота. За пилотом, чуть справа, находилось место штурмана. Носовая часть снизу была остеклена, что позволяло вести прицеливание при бомбометании. Штурман имел стрелявший назад пулемет ШКАС на шкворневой установке. За задней кромкой крыла находилось место стрелка-радиста, управлявшего подфюзеляжной "кинжальной" установкой ШКАС. Опытный образец-эталон серийной машины так и не был построен (точнее, его построили, но "задним числом") - берегли время в напряженной обстановке надвигавшейся войны. Официальные государственные испытания пикировщика прошли лишь в январе-феврале 1941 года. 23 июня 1940 г. на Московском заводе № 22 запущен в серию и к концу года изготовлен первый самолет. 1 мая 1941 г. на воздушном параде над Красной площадью пролетел уже полк «Пе-2» (14887).</w:t>
      </w:r>
    </w:p>
    <w:p w14:paraId="5F1E102A" w14:textId="77777777" w:rsidR="00917013" w:rsidRPr="00DB5D0D" w:rsidRDefault="00917013" w:rsidP="00DB5D0D">
      <w:pPr>
        <w:spacing w:after="0" w:line="240" w:lineRule="auto"/>
        <w:jc w:val="both"/>
        <w:rPr>
          <w:rFonts w:ascii="Times New Roman" w:hAnsi="Times New Roman"/>
          <w:color w:val="000000" w:themeColor="text1"/>
          <w:sz w:val="16"/>
          <w:szCs w:val="16"/>
        </w:rPr>
      </w:pPr>
    </w:p>
    <w:p w14:paraId="1F5F16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по 25 мая 1940 года в НИИ ВВС проходили полигонные испытания подвесной кассеты на самолете И-153 "Ш" конструкции завода № 1</w:t>
      </w:r>
    </w:p>
    <w:p w14:paraId="1DE9D8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2F1D19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Ефимов</w:t>
      </w:r>
    </w:p>
    <w:p w14:paraId="0A79A7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80CFEF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Безотказность работы кассеты при сбрасывании бомб и прочность ее в воздухе.</w:t>
      </w:r>
    </w:p>
    <w:p w14:paraId="259D439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Удобство эксплуатации кассеты и загрузки ее бомбами.</w:t>
      </w:r>
    </w:p>
    <w:p w14:paraId="1D378C6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загружаемых бомб и варианты бомбовых загрузок.</w:t>
      </w:r>
    </w:p>
    <w:p w14:paraId="7712A90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рассеивания АБ при бомбометании из кассет.</w:t>
      </w:r>
    </w:p>
    <w:p w14:paraId="21EC632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Целесообразность применения подобного типа кассет на самолетах И-153 "Ш".</w:t>
      </w:r>
    </w:p>
    <w:p w14:paraId="04A51D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D677A6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Подвесная кассета для самолета И-153 завода № 1 по безотказности действия и по рассеиванию бомб при бомбометании по площадям испытание выдержала (7403).</w:t>
      </w:r>
    </w:p>
    <w:p w14:paraId="15D0838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7B52F3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 вышли «Предложения совещания инженеров действующих армий на Финляндском фронте по устранению дефектов, выяв</w:t>
      </w:r>
      <w:r w:rsidRPr="00DB5D0D">
        <w:rPr>
          <w:rFonts w:ascii="Times New Roman" w:hAnsi="Times New Roman"/>
          <w:color w:val="000000" w:themeColor="text1"/>
          <w:sz w:val="16"/>
          <w:szCs w:val="16"/>
        </w:rPr>
        <w:softHyphen/>
        <w:t>ленных на самолетах, моторах, вооружении и спецоборудовании, на основе опыта эксплуатации материальной части в боевых условиях», утвержденные начальником ВВС КА генерал-лейтенантом авиации Смушкевичем и военко</w:t>
      </w:r>
      <w:r w:rsidRPr="00DB5D0D">
        <w:rPr>
          <w:rFonts w:ascii="Times New Roman" w:hAnsi="Times New Roman"/>
          <w:color w:val="000000" w:themeColor="text1"/>
          <w:sz w:val="16"/>
          <w:szCs w:val="16"/>
        </w:rPr>
        <w:softHyphen/>
        <w:t>мом ВВС КА дивизионным комиссаром Агальцовым (РГАВМФ.Ф.Р-б1.Оп.7.Д. 105.Л.). В до</w:t>
      </w:r>
      <w:r w:rsidRPr="00DB5D0D">
        <w:rPr>
          <w:rFonts w:ascii="Times New Roman" w:hAnsi="Times New Roman"/>
          <w:color w:val="000000" w:themeColor="text1"/>
          <w:sz w:val="16"/>
          <w:szCs w:val="16"/>
        </w:rPr>
        <w:softHyphen/>
        <w:t>кументе содержалось следующее важное положение: «Создать заводы, изго</w:t>
      </w:r>
      <w:r w:rsidRPr="00DB5D0D">
        <w:rPr>
          <w:rFonts w:ascii="Times New Roman" w:hAnsi="Times New Roman"/>
          <w:color w:val="000000" w:themeColor="text1"/>
          <w:sz w:val="16"/>
          <w:szCs w:val="16"/>
        </w:rPr>
        <w:softHyphen/>
        <w:t>товляющие запасные части для самолетов, снятых с производства, но эксплуа</w:t>
      </w:r>
      <w:r w:rsidRPr="00DB5D0D">
        <w:rPr>
          <w:rFonts w:ascii="Times New Roman" w:hAnsi="Times New Roman"/>
          <w:color w:val="000000" w:themeColor="text1"/>
          <w:sz w:val="16"/>
          <w:szCs w:val="16"/>
        </w:rPr>
        <w:softHyphen/>
        <w:t>тирующихся в частях (И-16 тип 5, И-15 бис и тд.)» (РГАВМФ.Ф.Р-б1.Оп.7.Д. 105. Л. 92) (11710,422).</w:t>
      </w:r>
    </w:p>
    <w:p w14:paraId="385D72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408088A" w14:textId="77777777" w:rsidR="003834E8" w:rsidRPr="00DB5D0D" w:rsidRDefault="003834E8"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10 мая 1940 были закончены последние чертежи И-185 М-90, о чем свидетельствует бумага, полученная из НКАП контрольными органами Комитета Обороны:</w:t>
      </w:r>
    </w:p>
    <w:p w14:paraId="733C7956" w14:textId="77777777" w:rsidR="003834E8" w:rsidRPr="00DB5D0D" w:rsidRDefault="003834E8"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«Согласно Вашего запроса направляю справки о состоянии работ по опытным самолетам И-282, И-21, И-207, И-185, ЗОИ и И-135 (т.е. в основном по истребителям, заданным Постановлениями КО от 4 марта 1940 г.)...</w:t>
      </w:r>
    </w:p>
    <w:p w14:paraId="7207C4F6"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Самолет строится в 5 экз. В постройке опытных экз. принимают участие серийные цеха завода 1...</w:t>
      </w:r>
    </w:p>
    <w:p w14:paraId="2F1C00C9"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Чертежи закончены изготовлением 10 мая с. г. и спущены в производство.</w:t>
      </w:r>
    </w:p>
    <w:p w14:paraId="6056FCC1"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Для статиспытаний изготовлены все агрегаты. Фюзеляж с центропланом, шасси и хвостовое оперение поданы в статлабораторию, где проводится установка и подготовка к испытаниям.</w:t>
      </w:r>
    </w:p>
    <w:p w14:paraId="042B5ADF"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Для отработки ВМГ в трубе построен макет с работающей ВМГ</w:t>
      </w:r>
    </w:p>
    <w:p w14:paraId="0E49DFED"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данное время производятся доводочные работы по постройке и заканчивается сборка кока воздушного винта. Завод 29 задерживает испытание винта на стенде.</w:t>
      </w:r>
    </w:p>
    <w:p w14:paraId="43204271"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Готовность летных экземпляров</w:t>
      </w:r>
    </w:p>
    <w:p w14:paraId="47A1BD7F"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На 1-ю летную машину - все агрегаты изготовлены и поступили на общую сборку самолета, кроме консолей крыла.</w:t>
      </w:r>
    </w:p>
    <w:p w14:paraId="22EF7FD0"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Сборку кроме установки мотора намечено закончить 10 июня.</w:t>
      </w:r>
    </w:p>
    <w:p w14:paraId="59071DC3"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Подача мотора задерживается заводом 29.</w:t>
      </w:r>
    </w:p>
    <w:p w14:paraId="010D9B75"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На 2-ю летную машину - все агрегаты находятся в стапельной сборке.</w:t>
      </w:r>
    </w:p>
    <w:p w14:paraId="02119446"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Срок окончания сборки, без установки мотора - намечен на 25 июня с. г.</w:t>
      </w:r>
    </w:p>
    <w:p w14:paraId="777200D1"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На 3-й и 4-й экз. самолета изготовлены все детали, кроме центроплана, консолей крыла и оперения.</w:t>
      </w:r>
    </w:p>
    <w:p w14:paraId="6B9650E3"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На 5-й экз. самолета запущены в производство детали.</w:t>
      </w:r>
    </w:p>
    <w:p w14:paraId="00AA08D5"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Мероприятия:</w:t>
      </w:r>
    </w:p>
    <w:p w14:paraId="16218A4E"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1. Для ускорения проведения стендовых испытаний мотора и обеспечения опытных самолетов моторами М-90, заказать в Гэрмании требуемые подшипники, из-за которых задерживаются испытания моторов и подача на летную машину И-185.</w:t>
      </w:r>
    </w:p>
    <w:p w14:paraId="1FC38B49"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2. Заводу 29 подать мотор М-90 к 10 июня с. г.</w:t>
      </w:r>
    </w:p>
    <w:p w14:paraId="2BC3304C" w14:textId="77777777" w:rsidR="003834E8" w:rsidRPr="00DB5D0D" w:rsidRDefault="003834E8" w:rsidP="00DB5D0D">
      <w:pPr>
        <w:pStyle w:val="ae"/>
        <w:shd w:val="clear" w:color="auto" w:fill="FFFFFF"/>
        <w:spacing w:before="0" w:after="0"/>
        <w:jc w:val="both"/>
        <w:rPr>
          <w:color w:val="000000" w:themeColor="text1"/>
          <w:sz w:val="16"/>
          <w:szCs w:val="16"/>
        </w:rPr>
      </w:pPr>
      <w:r w:rsidRPr="00DB5D0D">
        <w:rPr>
          <w:color w:val="000000" w:themeColor="text1"/>
          <w:sz w:val="16"/>
          <w:szCs w:val="16"/>
        </w:rPr>
        <w:t>3. Усилить контроль со стороны диспетчерского аппарата завода за выполнением работ по самолету» (17735).</w:t>
      </w:r>
    </w:p>
    <w:p w14:paraId="7A209B5A" w14:textId="77777777" w:rsidR="003834E8" w:rsidRPr="00DB5D0D" w:rsidRDefault="003834E8" w:rsidP="00DB5D0D">
      <w:pPr>
        <w:spacing w:after="0" w:line="240" w:lineRule="auto"/>
        <w:jc w:val="both"/>
        <w:rPr>
          <w:rFonts w:ascii="Times New Roman" w:eastAsia="Times New Roman" w:hAnsi="Times New Roman"/>
          <w:color w:val="000000" w:themeColor="text1"/>
          <w:sz w:val="16"/>
          <w:szCs w:val="16"/>
          <w:lang w:eastAsia="ru-RU"/>
        </w:rPr>
      </w:pPr>
    </w:p>
    <w:p w14:paraId="4FF4B5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в ходе заводских испытаний И-200 А.И.М, которые проходили с 31 марта по 17 августа 1940, на И-200-2 был выполнен ознакомительный полет (2988).</w:t>
      </w:r>
    </w:p>
    <w:p w14:paraId="79EABEA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A21D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закончились заводские испытания И-26-2 (198,34) с М-105П (2090,132), которые проходили с 1 марта 1940 (2090,232).</w:t>
      </w:r>
    </w:p>
    <w:p w14:paraId="0F59A1D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CA156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10 мая 1940 г. заводские испытания И-26-2 были завершены. Перед передачей на государственные испытания самолет прошел цикл доработок. Чтобы улучшить работу нагнетателя, в который попадал горячий воздух выходящий из маслорадиатора, его воздухозаборник вынесли из-под фюзеляжа в переднюю часть зализа правого полукрыла. Возможно, были и другие изменения, связанные с установкой и доводкой вооружения, поскольку вес конструкции возрос до 2214 кг. Чтобы сохранить полетный вес в пределах полученного на заводских испытаниях, пришлось уменьшить запас бензина и масла на 26 кг. Боекомплект урезали на 10 снарядов для пушки, и с 650 до 380 патронов на каждый пулемет. Полетный вес стал 2691,2 кг, но подтвердить полученные на заводских испытаниях скорости не удалось. На госиспытаниях И-26-11 развил только скорость 585,5 км/ч на высоте 4800 м. После испытаний фюзеляж самолета был использован заводом № 115 для переоборудования в Як-3-2 (12048).</w:t>
      </w:r>
    </w:p>
    <w:p w14:paraId="548E663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F4A8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вышел приказ 11 ГУ НКАП N 15:</w:t>
      </w:r>
    </w:p>
    <w:p w14:paraId="45EB19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определения готовности самолета И-105 конструкции П.О.С. к летным заводским испытаниям создать комиссию..." (2031,30).</w:t>
      </w:r>
    </w:p>
    <w:p w14:paraId="6744D64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DDC9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были закончены и полностью переданы в производство чертежи И-185 М-90 (2090,103).</w:t>
      </w:r>
    </w:p>
    <w:p w14:paraId="159831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5 апреля 1940</w:t>
      </w:r>
    </w:p>
    <w:p w14:paraId="0AC0777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4B2E6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А.E.Репин утвердил ТТТ к одноместному истребителю плана опытного строительства 1940-1941 гг.</w:t>
      </w:r>
    </w:p>
    <w:p w14:paraId="2E4DC5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ТТТ к одноместному истребительному с-ту составлены в 2- частях:</w:t>
      </w:r>
    </w:p>
    <w:p w14:paraId="78A571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Первая часть - индивидуальная для каждого ыервь проектируемого с-та</w:t>
      </w:r>
    </w:p>
    <w:p w14:paraId="7DF8E0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Вторая часть - содержит Общие требования ко квсем с—там данного типа</w:t>
      </w:r>
    </w:p>
    <w:p w14:paraId="4FC4CC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Общие ТТТ являются обобщением опыта эксплуатации, испытания и изучения конструкторских материалов, оборудования отечественных и иностранных с-тов в ВВС КА</w:t>
      </w:r>
    </w:p>
    <w:p w14:paraId="4BEC97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 2</w:t>
      </w:r>
    </w:p>
    <w:p w14:paraId="4E7B4D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общих требований, составленных на основе большого опыта, значительно сокращает процесс доводки с-тов, облегчит внедрение с-тов в серийное производство, облегчит освоение и боевое применение новой матчасти в ВВС КА</w:t>
      </w:r>
    </w:p>
    <w:p w14:paraId="6B572E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организации, проектирующие одноместные истребительные с-ты, обязаны выполнять общие требования к этому типу с-та.</w:t>
      </w:r>
    </w:p>
    <w:p w14:paraId="0AAC9D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Рекомендации об изменении или снятии отдельных требований принимаются макетной комиссией и утвержаются Нач. и В/комом ГУАС КА</w:t>
      </w:r>
    </w:p>
    <w:p w14:paraId="1B2189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требования к полетным качествам</w:t>
      </w:r>
    </w:p>
    <w:p w14:paraId="70B4AB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требования к конструкции с-та (крыльев, фюзеляжа, кабины, управления)</w:t>
      </w:r>
    </w:p>
    <w:p w14:paraId="5E3290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требования к конструкции ВМГ, вооружению, к бомбардировочным установкам</w:t>
      </w:r>
    </w:p>
    <w:p w14:paraId="54D8E7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требования спецоборудованию (металлизациия, экранировка)</w:t>
      </w:r>
    </w:p>
    <w:p w14:paraId="202777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требования к радиооборудованию, электрооборудованию, кислородному оборудованию, фотооборудованию, аптечке</w:t>
      </w:r>
    </w:p>
    <w:p w14:paraId="253201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требования к документации (эскизный проект и т.п.)</w:t>
      </w:r>
    </w:p>
    <w:p w14:paraId="0A6493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требования к макету</w:t>
      </w:r>
    </w:p>
    <w:p w14:paraId="4F6A93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Макет с-та предъявляется после утверждения заключения по эскизному проекту (на макете д.б. учтены замечания к эскизному проекту)</w:t>
      </w:r>
    </w:p>
    <w:p w14:paraId="46AE07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Докуиментация включает и Отчет по заводским испытаниям (789).</w:t>
      </w:r>
    </w:p>
    <w:p w14:paraId="1D56A0C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F6261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в ходе гос. испытаний ПС-84 в военных вариантах - транспортном, десантном и санитарном, которые проходили в НИИ ВВС с 11 мая по 29 июня 1940 машина была перегнана на аэродром НИИ ВВС (2923).</w:t>
      </w:r>
    </w:p>
    <w:p w14:paraId="1C3DDE5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867F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по 20 мая 1940 в НИИ ВВС проходили испытания До-215. Выявили существенные отклонения реальных характеристик от рекламных (в т.ч. по скорости от 30 км/час у земли до 50 км/час на высоте 4500 м (2872,40).</w:t>
      </w:r>
    </w:p>
    <w:p w14:paraId="1ED1575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0FCF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по 20 мая 1940 в НИИ ВВС проходили испытания До-215, ходе которых выявилось практически полное несоответствие рекламных характеристик полученным в реальных условиях при полетном весе 8620 кг. Достаточно сказать, что максимальная скорость у земли оказалась меньше на 30 км/ч, а на высоте 4500 - на 50 км/ч. Время набора высоты 3000 м было не 5,2 мин., а 6,2.</w:t>
      </w:r>
    </w:p>
    <w:p w14:paraId="599D7A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общему мнению летчиков, До-215 оказался прост в пилотировании, обладал отличным обзором. Его оборудование для слепых и ночных полетов позволяло эксплуатировать в любое время суток и сложных метеоусловиях.</w:t>
      </w:r>
    </w:p>
    <w:p w14:paraId="097CFB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Винтомоторная группа работала отлично. Особая похвала относилась к флюгерным воздушным винтам, отсутствовавших на отечественных самолетах. Перевод винта во флюгерное положение в случае остановки одного мотора увеличивало скорость примерно на 20 км/ч, по сравнению с авторотирующим винтом, и допускался полет на высотах до 2000 м.</w:t>
      </w:r>
    </w:p>
    <w:p w14:paraId="1AC7DA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допускал виражи с креном до 60°. На высоте 1400 м на выполнение правого виража затрачивалось 33 сек, что почти в два раза больше, чем у истребителя.</w:t>
      </w:r>
    </w:p>
    <w:p w14:paraId="0020AF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Триммер руля поворота позволял полностью снимать нагрузку на ногу, допуская полет на одном моторе с брошенным ножным управлением. При этом самолет легко разворачивался в обе стороны с креном 15-20°.</w:t>
      </w:r>
    </w:p>
    <w:p w14:paraId="0108FF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Отмечалась надежная работа системы уборки и выпуска щитков и шасси. А сосредоточение всего экипажа вместе позволяло вести непосредственную связь друг с другом и, в случае чего, оказать взаимопомощь.</w:t>
      </w:r>
    </w:p>
    <w:p w14:paraId="514AD9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машины относительно трех осей на всех режимах горизонтального полета, набора высоты и планирования была отличная. Посадка на До-215 была простая. Он хорошо садился на три точки и сохранял направление движения на пробеге.</w:t>
      </w:r>
    </w:p>
    <w:p w14:paraId="3F74E3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Застекленная носовая часть фюзеляжа способствовала превосходному обзору вперед, вниз, в стороны и назад. В отчете по летным испытаниям отмечалось, в частности: «При наличии хорошего обзора и совместном расположении всего экипажа противник может быть быстро обнаружен и весь состав экипажа извещен моментально».</w:t>
      </w:r>
    </w:p>
    <w:p w14:paraId="0249AC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Воздушные бои бомбардировщика с истребителями И-16 и И-153, проведенные в ходе испытаний, показали, что «Использование оружия передней огневой точки возможно при атаках только спереди, прямо по курсу, или сверху под углом не более 209, а также спереди справа и спереди слева под углами не более 15-20°. Невозможна стрельба при атаках спереди снизу.</w:t>
      </w:r>
    </w:p>
    <w:p w14:paraId="5F6A96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Взаимодействие огня при атаках в передней полусфере передней и задней огневых точек самолета невозможно. При выходе истребителя из атаки к хвосту (...) До-215 возможна кратковременная стрельба из верхней задней или люковой установки.</w:t>
      </w:r>
    </w:p>
    <w:p w14:paraId="171D29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Использование оружия верхней, задней и люковой огневых точек возможно при всех атаках в задней полусфере. Однако обстрел ограничен... При атаках одиночного (...) До-215 наиболее уязвимыми и не обороняемыми секторами являются:</w:t>
      </w:r>
    </w:p>
    <w:p w14:paraId="54D7E6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спереди - полностью левый нижний сектор и справа сверху и снизу под углами более 20°.</w:t>
      </w:r>
    </w:p>
    <w:p w14:paraId="79A7DE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сзади - непосредственно под хвостом от стабилизатора и ниже до 25-30°. В указанных секторах атакующий истребитель не может быть обстрелян ни одной из стрелковых установок.</w:t>
      </w:r>
    </w:p>
    <w:p w14:paraId="37FD1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Благодаря размещению летчика в передней кабине и в непосредственной близости от штурмана, наличию отличного обзора вперед и специального визира, условия наводки самолета на цель, для бомбометания отличные.</w:t>
      </w:r>
    </w:p>
    <w:p w14:paraId="03DA02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До-215 с успехом может выполнять разведывательные задачи, как визуальным способом, так и с применением аэрофотосъемки.</w:t>
      </w:r>
    </w:p>
    <w:p w14:paraId="5DA880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штурманских задач (...) обеспечено хорошим аэронавигационным оборудованием...»</w:t>
      </w:r>
    </w:p>
    <w:p w14:paraId="246123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следует из отчета по результатам летных испытаний бомбардировщика, особое внимание заслуживали и рекомендовались для применения на отечественных самолетах моторы с непосредственным впрыском топлива, автоматическими дозировкой подачи топлива и включением нагнетателя, имевшие хорошую приемистость, простое управление и меньший расход горючего. К тому же, перевернутые двигатели обеспечивали хороший обзор и удобную компоновку винтомоторной группы.</w:t>
      </w:r>
    </w:p>
    <w:p w14:paraId="3DAAB4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обнаружилось, что рекламные данные о самолете, предоставленные фирмой «Дорнье», сильно завышены. Так, например, скорость у земли в действительности оказалась ниже на 20 км/ч, а на высоте - почти на 40 км/ч. Больше времени тратилось и на набор высоты.</w:t>
      </w:r>
    </w:p>
    <w:p w14:paraId="58D1CD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завершения испытаний До-215 иногда привлекался для оценок тактических свойств отечественных самолетов, но больше он находился на земле (9663).</w:t>
      </w:r>
    </w:p>
    <w:p w14:paraId="03C931F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C2F68A"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10 мая 1940 г. для оборудования двигателем «Юпитер» производства заводов Шкода в Варшаве (некоторое количество таких двигателей пере</w:t>
      </w:r>
      <w:r w:rsidRPr="00DB5D0D">
        <w:rPr>
          <w:rFonts w:ascii="Times New Roman" w:hAnsi="Times New Roman"/>
          <w:color w:val="0070C0"/>
          <w:sz w:val="16"/>
          <w:szCs w:val="16"/>
          <w:lang w:eastAsia="ru-RU" w:bidi="ru-RU"/>
        </w:rPr>
        <w:softHyphen/>
        <w:t>дали ГВФ после присоединения восточной части Польши в 1939 г.) выбрали Сталь-3 Л-1244, вы</w:t>
      </w:r>
      <w:r w:rsidRPr="00DB5D0D">
        <w:rPr>
          <w:rFonts w:ascii="Times New Roman" w:hAnsi="Times New Roman"/>
          <w:color w:val="0070C0"/>
          <w:sz w:val="16"/>
          <w:szCs w:val="16"/>
          <w:lang w:eastAsia="ru-RU" w:bidi="ru-RU"/>
        </w:rPr>
        <w:softHyphen/>
        <w:t>пущенный заводом №81 Самолет к этому моменту налетал 827 часов, имел два капитальных ремон</w:t>
      </w:r>
      <w:r w:rsidRPr="00DB5D0D">
        <w:rPr>
          <w:rFonts w:ascii="Times New Roman" w:hAnsi="Times New Roman"/>
          <w:color w:val="0070C0"/>
          <w:sz w:val="16"/>
          <w:szCs w:val="16"/>
          <w:lang w:eastAsia="ru-RU" w:bidi="ru-RU"/>
        </w:rPr>
        <w:softHyphen/>
        <w:t>та. Польский двигатель «Юпитер</w:t>
      </w:r>
      <w:r w:rsidRPr="00DB5D0D">
        <w:rPr>
          <w:rFonts w:ascii="Times New Roman" w:hAnsi="Times New Roman"/>
          <w:color w:val="0070C0"/>
          <w:sz w:val="16"/>
          <w:szCs w:val="16"/>
          <w:lang w:bidi="en-US"/>
        </w:rPr>
        <w:t>-</w:t>
      </w:r>
      <w:r w:rsidRPr="00DB5D0D">
        <w:rPr>
          <w:rFonts w:ascii="Times New Roman" w:hAnsi="Times New Roman"/>
          <w:color w:val="0070C0"/>
          <w:sz w:val="16"/>
          <w:szCs w:val="16"/>
          <w:lang w:val="en-US" w:bidi="en-US"/>
        </w:rPr>
        <w:t>VII</w:t>
      </w:r>
      <w:r w:rsidRPr="00DB5D0D">
        <w:rPr>
          <w:rFonts w:ascii="Times New Roman" w:hAnsi="Times New Roman"/>
          <w:color w:val="0070C0"/>
          <w:sz w:val="16"/>
          <w:szCs w:val="16"/>
          <w:lang w:bidi="en-US"/>
        </w:rPr>
        <w:t xml:space="preserve">» </w:t>
      </w:r>
      <w:r w:rsidRPr="00DB5D0D">
        <w:rPr>
          <w:rFonts w:ascii="Times New Roman" w:hAnsi="Times New Roman"/>
          <w:color w:val="0070C0"/>
          <w:sz w:val="16"/>
          <w:szCs w:val="16"/>
          <w:lang w:eastAsia="ru-RU" w:bidi="ru-RU"/>
        </w:rPr>
        <w:t>выпуска 1 июля 1933 г. был снабжен деревянным воздушным винтом «Икар» ди</w:t>
      </w:r>
      <w:r w:rsidRPr="00DB5D0D">
        <w:rPr>
          <w:rFonts w:ascii="Times New Roman" w:hAnsi="Times New Roman"/>
          <w:color w:val="0070C0"/>
          <w:sz w:val="16"/>
          <w:szCs w:val="16"/>
          <w:lang w:eastAsia="ru-RU" w:bidi="ru-RU"/>
        </w:rPr>
        <w:softHyphen/>
        <w:t>аметром 2,82 метра. Заявленная в формуляре макси</w:t>
      </w:r>
      <w:r w:rsidRPr="00DB5D0D">
        <w:rPr>
          <w:rFonts w:ascii="Times New Roman" w:hAnsi="Times New Roman"/>
          <w:color w:val="0070C0"/>
          <w:sz w:val="16"/>
          <w:szCs w:val="16"/>
          <w:lang w:eastAsia="ru-RU" w:bidi="ru-RU"/>
        </w:rPr>
        <w:softHyphen/>
        <w:t>мальная мощность двигателя составляла 550 л.с., номи</w:t>
      </w:r>
      <w:r w:rsidRPr="00DB5D0D">
        <w:rPr>
          <w:rFonts w:ascii="Times New Roman" w:hAnsi="Times New Roman"/>
          <w:color w:val="0070C0"/>
          <w:sz w:val="16"/>
          <w:szCs w:val="16"/>
          <w:lang w:eastAsia="ru-RU" w:bidi="ru-RU"/>
        </w:rPr>
        <w:softHyphen/>
        <w:t>нальная - 487 л.с. Переоборудованный Сталь-3 Л-1244 с двигателем «Юпитер» проходил испытания в НИИ ГВФ в декабре 1940 года. Отличительной особенностью являлись отсутствие кольца Тауненда и выхлопного коллектора. По</w:t>
      </w:r>
      <w:r w:rsidRPr="00DB5D0D">
        <w:rPr>
          <w:rFonts w:ascii="Times New Roman" w:hAnsi="Times New Roman"/>
          <w:color w:val="0070C0"/>
          <w:sz w:val="16"/>
          <w:szCs w:val="16"/>
          <w:lang w:eastAsia="ru-RU" w:bidi="ru-RU"/>
        </w:rPr>
        <w:softHyphen/>
        <w:t>летный вес самолета составил 2820 кг (пустой 1717 кг), максимальная скорость 196 км/ч, потолок 5740 м, длина разбега — 270-280 м, полетная центровка 31,3-33,9% САХ. Согласно отчета по испытаниям последовало реше</w:t>
      </w:r>
      <w:r w:rsidRPr="00DB5D0D">
        <w:rPr>
          <w:rFonts w:ascii="Times New Roman" w:hAnsi="Times New Roman"/>
          <w:color w:val="0070C0"/>
          <w:sz w:val="16"/>
          <w:szCs w:val="16"/>
          <w:lang w:eastAsia="ru-RU" w:bidi="ru-RU"/>
        </w:rPr>
        <w:softHyphen/>
        <w:t>ние об установке двигателей «Юпитер</w:t>
      </w:r>
      <w:r w:rsidRPr="00DB5D0D">
        <w:rPr>
          <w:rFonts w:ascii="Times New Roman" w:hAnsi="Times New Roman"/>
          <w:color w:val="0070C0"/>
          <w:sz w:val="16"/>
          <w:szCs w:val="16"/>
          <w:lang w:bidi="en-US"/>
        </w:rPr>
        <w:t>-</w:t>
      </w:r>
      <w:r w:rsidRPr="00DB5D0D">
        <w:rPr>
          <w:rFonts w:ascii="Times New Roman" w:hAnsi="Times New Roman"/>
          <w:color w:val="0070C0"/>
          <w:sz w:val="16"/>
          <w:szCs w:val="16"/>
          <w:lang w:val="en-US" w:bidi="en-US"/>
        </w:rPr>
        <w:t>VII</w:t>
      </w:r>
      <w:r w:rsidRPr="00DB5D0D">
        <w:rPr>
          <w:rFonts w:ascii="Times New Roman" w:hAnsi="Times New Roman"/>
          <w:color w:val="0070C0"/>
          <w:sz w:val="16"/>
          <w:szCs w:val="16"/>
          <w:lang w:bidi="en-US"/>
        </w:rPr>
        <w:t xml:space="preserve">» </w:t>
      </w:r>
      <w:r w:rsidRPr="00DB5D0D">
        <w:rPr>
          <w:rFonts w:ascii="Times New Roman" w:hAnsi="Times New Roman"/>
          <w:color w:val="0070C0"/>
          <w:sz w:val="16"/>
          <w:szCs w:val="16"/>
          <w:lang w:eastAsia="ru-RU" w:bidi="ru-RU"/>
        </w:rPr>
        <w:t>на другие Сталь- 3. Точное количество полученных «Юпитеров» неизвестно, однако в конце 1940 г. в ГВФ насчитывалось четыре Сталь-3 с польскими двигателями (20365).</w:t>
      </w:r>
    </w:p>
    <w:p w14:paraId="6378DBC8" w14:textId="77777777" w:rsidR="004644FC" w:rsidRPr="00DB5D0D" w:rsidRDefault="004644FC" w:rsidP="00DB5D0D">
      <w:pPr>
        <w:shd w:val="clear" w:color="auto" w:fill="FFFFFF"/>
        <w:spacing w:after="0" w:line="240" w:lineRule="auto"/>
        <w:jc w:val="both"/>
        <w:rPr>
          <w:rFonts w:ascii="Times New Roman" w:hAnsi="Times New Roman"/>
          <w:color w:val="0070C0"/>
          <w:sz w:val="16"/>
          <w:szCs w:val="16"/>
        </w:rPr>
      </w:pPr>
    </w:p>
    <w:p w14:paraId="588E7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 начальником ВВС КА генерал-лейтенантом авиации Смушкевичем и военкомом ВВС КА дивизионным комиссаром Агальцовым были утверждены подготовленные по итогам боев «Предложения совещания инженеров действующих армий на Финляндском фронте по устранению дефектов, выявленных на самолетах, моторах, вооружении и спецоборудовании, на основе опыта эксплуатации материальной части в боевых условиях» (РГАВМФ. Ф. Р-61. Оп. 7. Д. 105. Л. 1а.). В «Предложениях по истребительным самолетам и моторам», в частности, указывалось: «При конструировании и модификации самолетов необходимо учитывать все конструктивно-производственные дефекты и недостатки, имевшие место на старых конструкциях, чтобы не переносить их в таких огромных количествах на новые машины» (Там же. Л. 91.). Были отмечены, в частности, следующие недостатки основных советских истребителей в вооружении: «Самолет И-153... Стрелковое вооружение, как истребителя, маломощно» (Там же. Л. 102-103.), И-16 (тип 10) – «быстро нарушается пристрелка» (Там же. Л. 108.), пулемет ШКАС – «мала живучесть ствола (2000 – 2500 выстр.)». По последнему замечанию были сделаны примечательные предложения – улучшить качество стали или дать нужный запас ствола (Там же. Л. 122.). Подверглись критике прицелы ОПБ-1 и 2 для бомбардировщиков, которые «имели проблемы с ночным бомбометанием» (Там же. Л. 129.). Также критиковалось авиаприборное оборудование (Там же. Л. 132-134.). Все это говорило не только о серьезных проблемах ВВС, но также и недостатках в работе отечественного авиапрома (11672).</w:t>
      </w:r>
    </w:p>
    <w:p w14:paraId="6CE608C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EB66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вышел приказ НКАП N 205с во изменение приказа N 197с от 29 июля 1939 и ответственным за подбор топлива и смазочного, проведение всех лабораторных испытаний, за заправку самолета горючим и смазочным вместо Каламацкого ст и ЦИАМ Зелезняк." (2102,21).</w:t>
      </w:r>
    </w:p>
    <w:p w14:paraId="14CAFCB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4E57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на заводе № 289 в присутствии: Зам. ГК з-да № 289 т. Фельснер Е.О., Представителя ЦИАМ ст. И т. Ливермана И.М., ст. И ЛИС з-да № 289 Сергеева В.Г., борт механика з-да № 289 т. Семчурина М.М. и и представителя завода № 26 механи</w:t>
      </w:r>
      <w:r w:rsidRPr="00DB5D0D">
        <w:rPr>
          <w:rFonts w:ascii="Times New Roman" w:hAnsi="Times New Roman"/>
          <w:color w:val="000000" w:themeColor="text1"/>
          <w:sz w:val="16"/>
          <w:szCs w:val="16"/>
        </w:rPr>
        <w:softHyphen/>
        <w:t>ка т. Новодерова И.А. в том, что при испытании мотера М-105П № 954-1, стенда самолета М</w:t>
      </w:r>
      <w:r w:rsidRPr="00DB5D0D">
        <w:rPr>
          <w:rFonts w:ascii="Times New Roman" w:hAnsi="Times New Roman"/>
          <w:smallCaps/>
          <w:color w:val="000000" w:themeColor="text1"/>
          <w:sz w:val="16"/>
          <w:szCs w:val="16"/>
        </w:rPr>
        <w:t xml:space="preserve"> 3</w:t>
      </w:r>
      <w:r w:rsidRPr="00DB5D0D">
        <w:rPr>
          <w:rFonts w:ascii="Times New Roman" w:hAnsi="Times New Roman"/>
          <w:color w:val="000000" w:themeColor="text1"/>
          <w:sz w:val="16"/>
          <w:szCs w:val="16"/>
        </w:rPr>
        <w:t xml:space="preserve">30 по программе ЦИАМ пункт 1У (проверка надежности работы мотора и турбокомпрессорной установки) на 45-й минуте первого </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часа третьего этапа в первом правом цилиндре мотора сгорел выпускной клапан, два куска которого выбросило через выхлопной коллектор наружу.</w:t>
      </w:r>
    </w:p>
    <w:p w14:paraId="3A8F9E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об этом был составлен акт (874,14).</w:t>
      </w:r>
    </w:p>
    <w:p w14:paraId="32CEBC4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1B00B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6F8048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3D3E1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 начальник ОТБ обратился в ГАУ с просьбой изготовить не одну, а две опытные 203-мм гаубицы БЛ-39 и ГАУ дало согласие (3861).</w:t>
      </w:r>
    </w:p>
    <w:p w14:paraId="026F85A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B671E07"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мая 1940 года Артуправление окончательно установило индекс 85-мм зенитной пушки - "52-П-365". </w:t>
      </w:r>
    </w:p>
    <w:p w14:paraId="0DF7BB87"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5 июля 1940 года Артком срочно приказал собрать четыре 85-мм зенитные пушки и отправить на испытания в Евпаторию, для чего завод № 8 должен снять с 76-мм пушек обр. 1938 г. стволы и заменить их на 85-мм. </w:t>
      </w:r>
    </w:p>
    <w:p w14:paraId="73E1F15D"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Производство 52-К велось исключительно на завдое №8 им. Калинина, который до зимы 1941-42 гг. располагался в деревне Подлипки (Подмосковье), а затем был эвакуирован в г.Свердловск. В 1940 году цена одного орудия 52-К составляла 118 тыс. руб. </w:t>
      </w:r>
    </w:p>
    <w:p w14:paraId="3DF56ABE"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22 июня 1941 года в войсках имелось 2630 орудий 52-К. В годы войны 676 орудий было передано в ВМФ. </w:t>
      </w:r>
    </w:p>
    <w:p w14:paraId="0B0CD71D"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Тактико-техничесике характеристики:</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919"/>
        <w:gridCol w:w="799"/>
      </w:tblGrid>
      <w:tr w:rsidR="007D5DF8" w:rsidRPr="00DB5D0D" w14:paraId="44D27200"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A53015"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Калибр,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2401E"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r>
      <w:tr w:rsidR="007D5DF8" w:rsidRPr="00DB5D0D" w14:paraId="4C46E676"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C3F31"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ствола, клб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128CC"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55,2</w:t>
            </w:r>
          </w:p>
        </w:tc>
      </w:tr>
      <w:tr w:rsidR="007D5DF8" w:rsidRPr="00DB5D0D" w14:paraId="65C672D9"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041A3A"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Масса орудия в боевом положении,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F0959"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4300-4900</w:t>
            </w:r>
          </w:p>
        </w:tc>
      </w:tr>
      <w:tr w:rsidR="007D5DF8" w:rsidRPr="00DB5D0D" w14:paraId="1B9E2F2D"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30CEAB"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Масса откатных частей,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535D0"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940</w:t>
            </w:r>
          </w:p>
        </w:tc>
      </w:tr>
      <w:tr w:rsidR="007D5DF8" w:rsidRPr="00DB5D0D" w14:paraId="63C0F4C1"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84972F"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Углы ВН,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8A4A3"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+84</w:t>
            </w:r>
          </w:p>
        </w:tc>
      </w:tr>
      <w:tr w:rsidR="007D5DF8" w:rsidRPr="00DB5D0D" w14:paraId="13DDE86D"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A6D65"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Угол ГН,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3C15C"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r>
      <w:tr w:rsidR="007D5DF8" w:rsidRPr="00DB5D0D" w14:paraId="68FDAB7B"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2A56C5"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Начальная скорость снаряда, 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F8DBF"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r>
      <w:tr w:rsidR="007D5DF8" w:rsidRPr="00DB5D0D" w14:paraId="0B58D47D"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A87861"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Скорострельность, выстр/мин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F1440"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r>
      <w:tr w:rsidR="007D5DF8" w:rsidRPr="00DB5D0D" w14:paraId="183F0203"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C6ED6"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Время перевода в боевое положние, мин.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5071F"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3688E836"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3CE716"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возки по шоссе, км/ч</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A0118"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r>
      <w:tr w:rsidR="007D5DF8" w:rsidRPr="00DB5D0D" w14:paraId="4CF1141A"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412813"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Расчет, чел.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B2D2F"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r>
    </w:tbl>
    <w:p w14:paraId="579D13D8"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(17356).</w:t>
      </w:r>
    </w:p>
    <w:p w14:paraId="400F1C9C" w14:textId="77777777" w:rsidR="00951261" w:rsidRPr="00DB5D0D" w:rsidRDefault="00951261" w:rsidP="00DB5D0D">
      <w:pPr>
        <w:spacing w:after="0" w:line="240" w:lineRule="auto"/>
        <w:jc w:val="both"/>
        <w:rPr>
          <w:rFonts w:ascii="Times New Roman" w:hAnsi="Times New Roman"/>
          <w:color w:val="000000" w:themeColor="text1"/>
          <w:sz w:val="16"/>
          <w:szCs w:val="16"/>
        </w:rPr>
      </w:pPr>
    </w:p>
    <w:p w14:paraId="140BC3F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мая 1940 г. А. Д. Каллистратовым был утвержден Тематический план отдела Главного Конструктора на 1940 г., который вобрал в себя опытные и серийные работы двух КБ – минометного и артиллерийского.</w:t>
      </w:r>
    </w:p>
    <w:p w14:paraId="22698957"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План работ отдела материальной части и минометного отдела Специального конструкторского бюро №4 завода№7 на март 1940 г. (по опытным работам)</w:t>
      </w:r>
    </w:p>
    <w:tbl>
      <w:tblPr>
        <w:tblW w:w="0" w:type="auto"/>
        <w:tblInd w:w="-113" w:type="dxa"/>
        <w:tblBorders>
          <w:top w:val="nil"/>
          <w:left w:val="nil"/>
          <w:bottom w:val="nil"/>
          <w:right w:val="nil"/>
        </w:tblBorders>
        <w:tblLayout w:type="fixed"/>
        <w:tblLook w:val="0000" w:firstRow="0" w:lastRow="0" w:firstColumn="0" w:lastColumn="0" w:noHBand="0" w:noVBand="0"/>
      </w:tblPr>
      <w:tblGrid>
        <w:gridCol w:w="534"/>
        <w:gridCol w:w="2835"/>
        <w:gridCol w:w="3591"/>
        <w:gridCol w:w="2320"/>
      </w:tblGrid>
      <w:tr w:rsidR="004644FC" w:rsidRPr="00DB5D0D" w14:paraId="78956B05" w14:textId="77777777" w:rsidTr="007609C9">
        <w:trPr>
          <w:trHeight w:val="385"/>
        </w:trPr>
        <w:tc>
          <w:tcPr>
            <w:tcW w:w="534" w:type="dxa"/>
            <w:tcBorders>
              <w:top w:val="single" w:sz="4" w:space="0" w:color="auto"/>
              <w:left w:val="single" w:sz="4" w:space="0" w:color="auto"/>
              <w:bottom w:val="single" w:sz="4" w:space="0" w:color="auto"/>
              <w:right w:val="single" w:sz="4" w:space="0" w:color="auto"/>
            </w:tcBorders>
          </w:tcPr>
          <w:p w14:paraId="45C68155" w14:textId="77777777" w:rsidR="004644FC" w:rsidRPr="00DB5D0D" w:rsidRDefault="004644FC" w:rsidP="00DB5D0D">
            <w:pPr>
              <w:spacing w:after="0" w:line="240" w:lineRule="auto"/>
              <w:jc w:val="both"/>
              <w:rPr>
                <w:rFonts w:ascii="Times New Roman" w:hAnsi="Times New Roman"/>
                <w:color w:val="0070C0"/>
                <w:sz w:val="16"/>
                <w:szCs w:val="16"/>
              </w:rPr>
            </w:pPr>
          </w:p>
        </w:tc>
        <w:tc>
          <w:tcPr>
            <w:tcW w:w="2835" w:type="dxa"/>
            <w:tcBorders>
              <w:top w:val="single" w:sz="4" w:space="0" w:color="auto"/>
              <w:left w:val="single" w:sz="4" w:space="0" w:color="auto"/>
              <w:bottom w:val="single" w:sz="4" w:space="0" w:color="auto"/>
              <w:right w:val="single" w:sz="4" w:space="0" w:color="auto"/>
            </w:tcBorders>
          </w:tcPr>
          <w:p w14:paraId="6B5C7297"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Тема</w:t>
            </w:r>
          </w:p>
        </w:tc>
        <w:tc>
          <w:tcPr>
            <w:tcW w:w="3591" w:type="dxa"/>
            <w:tcBorders>
              <w:top w:val="single" w:sz="4" w:space="0" w:color="auto"/>
              <w:left w:val="single" w:sz="4" w:space="0" w:color="auto"/>
              <w:bottom w:val="single" w:sz="4" w:space="0" w:color="auto"/>
              <w:right w:val="single" w:sz="4" w:space="0" w:color="auto"/>
            </w:tcBorders>
          </w:tcPr>
          <w:p w14:paraId="54A50D74"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Элементы работ </w:t>
            </w:r>
          </w:p>
        </w:tc>
        <w:tc>
          <w:tcPr>
            <w:tcW w:w="2320" w:type="dxa"/>
            <w:tcBorders>
              <w:top w:val="single" w:sz="4" w:space="0" w:color="auto"/>
              <w:left w:val="single" w:sz="4" w:space="0" w:color="auto"/>
              <w:bottom w:val="single" w:sz="4" w:space="0" w:color="auto"/>
              <w:right w:val="single" w:sz="4" w:space="0" w:color="auto"/>
            </w:tcBorders>
          </w:tcPr>
          <w:p w14:paraId="5B020C0E"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Срок выполнения </w:t>
            </w:r>
          </w:p>
        </w:tc>
      </w:tr>
      <w:tr w:rsidR="004644FC" w:rsidRPr="00DB5D0D" w14:paraId="79675AEA" w14:textId="77777777" w:rsidTr="007609C9">
        <w:trPr>
          <w:trHeight w:val="385"/>
        </w:trPr>
        <w:tc>
          <w:tcPr>
            <w:tcW w:w="534" w:type="dxa"/>
            <w:tcBorders>
              <w:top w:val="single" w:sz="4" w:space="0" w:color="auto"/>
              <w:left w:val="single" w:sz="4" w:space="0" w:color="auto"/>
              <w:bottom w:val="single" w:sz="4" w:space="0" w:color="auto"/>
              <w:right w:val="single" w:sz="4" w:space="0" w:color="auto"/>
            </w:tcBorders>
          </w:tcPr>
          <w:p w14:paraId="17379B46"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 </w:t>
            </w:r>
          </w:p>
        </w:tc>
        <w:tc>
          <w:tcPr>
            <w:tcW w:w="2835" w:type="dxa"/>
            <w:tcBorders>
              <w:top w:val="single" w:sz="4" w:space="0" w:color="auto"/>
              <w:left w:val="single" w:sz="4" w:space="0" w:color="auto"/>
              <w:bottom w:val="single" w:sz="4" w:space="0" w:color="auto"/>
              <w:right w:val="single" w:sz="4" w:space="0" w:color="auto"/>
            </w:tcBorders>
          </w:tcPr>
          <w:p w14:paraId="4B4C9B07"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Транспортные средства для минометов </w:t>
            </w:r>
          </w:p>
        </w:tc>
        <w:tc>
          <w:tcPr>
            <w:tcW w:w="3591" w:type="dxa"/>
            <w:tcBorders>
              <w:top w:val="single" w:sz="4" w:space="0" w:color="auto"/>
              <w:left w:val="single" w:sz="4" w:space="0" w:color="auto"/>
              <w:bottom w:val="single" w:sz="4" w:space="0" w:color="auto"/>
              <w:right w:val="single" w:sz="4" w:space="0" w:color="auto"/>
            </w:tcBorders>
          </w:tcPr>
          <w:p w14:paraId="54E44A23"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 Образец </w:t>
            </w:r>
          </w:p>
          <w:p w14:paraId="54FCFE73"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 Чертежи </w:t>
            </w:r>
          </w:p>
        </w:tc>
        <w:tc>
          <w:tcPr>
            <w:tcW w:w="2320" w:type="dxa"/>
            <w:tcBorders>
              <w:top w:val="single" w:sz="4" w:space="0" w:color="auto"/>
              <w:left w:val="single" w:sz="4" w:space="0" w:color="auto"/>
              <w:bottom w:val="single" w:sz="4" w:space="0" w:color="auto"/>
              <w:right w:val="single" w:sz="4" w:space="0" w:color="auto"/>
            </w:tcBorders>
          </w:tcPr>
          <w:p w14:paraId="08BA6489"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10.03 </w:t>
            </w:r>
          </w:p>
          <w:p w14:paraId="71AF9EAE"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15.03. </w:t>
            </w:r>
          </w:p>
        </w:tc>
      </w:tr>
      <w:tr w:rsidR="004644FC" w:rsidRPr="00DB5D0D" w14:paraId="2E94FD4B" w14:textId="77777777" w:rsidTr="007609C9">
        <w:trPr>
          <w:trHeight w:val="2041"/>
        </w:trPr>
        <w:tc>
          <w:tcPr>
            <w:tcW w:w="534" w:type="dxa"/>
            <w:tcBorders>
              <w:top w:val="single" w:sz="4" w:space="0" w:color="auto"/>
              <w:left w:val="single" w:sz="4" w:space="0" w:color="auto"/>
              <w:bottom w:val="single" w:sz="4" w:space="0" w:color="auto"/>
              <w:right w:val="single" w:sz="4" w:space="0" w:color="auto"/>
            </w:tcBorders>
          </w:tcPr>
          <w:p w14:paraId="0D17BDD2"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 </w:t>
            </w:r>
          </w:p>
        </w:tc>
        <w:tc>
          <w:tcPr>
            <w:tcW w:w="2835" w:type="dxa"/>
            <w:tcBorders>
              <w:top w:val="single" w:sz="4" w:space="0" w:color="auto"/>
              <w:left w:val="single" w:sz="4" w:space="0" w:color="auto"/>
              <w:bottom w:val="single" w:sz="4" w:space="0" w:color="auto"/>
              <w:right w:val="single" w:sz="4" w:space="0" w:color="auto"/>
            </w:tcBorders>
          </w:tcPr>
          <w:p w14:paraId="62D9C9AC"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Морской миномет шточный </w:t>
            </w:r>
          </w:p>
        </w:tc>
        <w:tc>
          <w:tcPr>
            <w:tcW w:w="3591" w:type="dxa"/>
            <w:tcBorders>
              <w:top w:val="single" w:sz="4" w:space="0" w:color="auto"/>
              <w:left w:val="single" w:sz="4" w:space="0" w:color="auto"/>
              <w:bottom w:val="single" w:sz="4" w:space="0" w:color="auto"/>
              <w:right w:val="single" w:sz="4" w:space="0" w:color="auto"/>
            </w:tcBorders>
          </w:tcPr>
          <w:p w14:paraId="581AC804"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 Рабочие чертежи загрузочной тележки; </w:t>
            </w:r>
          </w:p>
          <w:p w14:paraId="167816F3"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 Рабочие чертежи электрооборудования; </w:t>
            </w:r>
          </w:p>
          <w:p w14:paraId="1815256C"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3. Расчеты к техническому проекту; </w:t>
            </w:r>
          </w:p>
          <w:p w14:paraId="7E495C19"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4. Поверка калек по казеннику по плите; </w:t>
            </w:r>
          </w:p>
          <w:p w14:paraId="5F5F304E"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5. Описание; </w:t>
            </w:r>
          </w:p>
          <w:p w14:paraId="61CCF8AD"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6. ТУ; </w:t>
            </w:r>
          </w:p>
          <w:p w14:paraId="0F6CE49C"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7. Технический проект полностью; </w:t>
            </w:r>
          </w:p>
          <w:p w14:paraId="5F8AED64"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8. Общие виды; </w:t>
            </w:r>
          </w:p>
          <w:p w14:paraId="6FC2026C"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9. Отработка чертежей при изготовлении </w:t>
            </w:r>
          </w:p>
        </w:tc>
        <w:tc>
          <w:tcPr>
            <w:tcW w:w="2320" w:type="dxa"/>
            <w:tcBorders>
              <w:top w:val="single" w:sz="4" w:space="0" w:color="auto"/>
              <w:left w:val="single" w:sz="4" w:space="0" w:color="auto"/>
              <w:bottom w:val="single" w:sz="4" w:space="0" w:color="auto"/>
              <w:right w:val="single" w:sz="4" w:space="0" w:color="auto"/>
            </w:tcBorders>
          </w:tcPr>
          <w:p w14:paraId="00E3D50F"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15.03 </w:t>
            </w:r>
          </w:p>
          <w:p w14:paraId="3F71629C"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20.03 </w:t>
            </w:r>
          </w:p>
          <w:p w14:paraId="7BE0E36B"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15.03 </w:t>
            </w:r>
          </w:p>
          <w:p w14:paraId="7D8188FD"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15.03 </w:t>
            </w:r>
          </w:p>
          <w:p w14:paraId="6D713B55"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15.03 </w:t>
            </w:r>
          </w:p>
          <w:p w14:paraId="2BFE1B99"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15.03 </w:t>
            </w:r>
          </w:p>
          <w:p w14:paraId="4E758FD4"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20.03 </w:t>
            </w:r>
          </w:p>
          <w:p w14:paraId="0F1B8A4A"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15.03 </w:t>
            </w:r>
          </w:p>
        </w:tc>
      </w:tr>
      <w:tr w:rsidR="004644FC" w:rsidRPr="00DB5D0D" w14:paraId="105F8168" w14:textId="77777777" w:rsidTr="007609C9">
        <w:trPr>
          <w:trHeight w:val="1627"/>
        </w:trPr>
        <w:tc>
          <w:tcPr>
            <w:tcW w:w="534" w:type="dxa"/>
            <w:tcBorders>
              <w:top w:val="single" w:sz="4" w:space="0" w:color="auto"/>
              <w:left w:val="single" w:sz="4" w:space="0" w:color="auto"/>
              <w:bottom w:val="single" w:sz="4" w:space="0" w:color="auto"/>
              <w:right w:val="single" w:sz="4" w:space="0" w:color="auto"/>
            </w:tcBorders>
          </w:tcPr>
          <w:p w14:paraId="24C5F9DE"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3. </w:t>
            </w:r>
          </w:p>
        </w:tc>
        <w:tc>
          <w:tcPr>
            <w:tcW w:w="2835" w:type="dxa"/>
            <w:tcBorders>
              <w:top w:val="single" w:sz="4" w:space="0" w:color="auto"/>
              <w:left w:val="single" w:sz="4" w:space="0" w:color="auto"/>
              <w:bottom w:val="single" w:sz="4" w:space="0" w:color="auto"/>
              <w:right w:val="single" w:sz="4" w:space="0" w:color="auto"/>
            </w:tcBorders>
          </w:tcPr>
          <w:p w14:paraId="5A0F8866"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160-мм миномет </w:t>
            </w:r>
          </w:p>
        </w:tc>
        <w:tc>
          <w:tcPr>
            <w:tcW w:w="3591" w:type="dxa"/>
            <w:tcBorders>
              <w:top w:val="single" w:sz="4" w:space="0" w:color="auto"/>
              <w:left w:val="single" w:sz="4" w:space="0" w:color="auto"/>
              <w:bottom w:val="single" w:sz="4" w:space="0" w:color="auto"/>
              <w:right w:val="single" w:sz="4" w:space="0" w:color="auto"/>
            </w:tcBorders>
          </w:tcPr>
          <w:p w14:paraId="20F08739"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 Оформление калек: </w:t>
            </w:r>
          </w:p>
          <w:p w14:paraId="46806B33"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ствол – казенник; </w:t>
            </w:r>
          </w:p>
          <w:p w14:paraId="479D6708"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подъемный механизм; </w:t>
            </w:r>
          </w:p>
          <w:p w14:paraId="7C868022"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амортизатор; </w:t>
            </w:r>
          </w:p>
          <w:p w14:paraId="4EEE9D93"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горизонтирующий механизм; </w:t>
            </w:r>
          </w:p>
          <w:p w14:paraId="331FE8BE"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плита; </w:t>
            </w:r>
          </w:p>
          <w:p w14:paraId="6A30A0C8"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кран; </w:t>
            </w:r>
          </w:p>
          <w:p w14:paraId="6694F7BD"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поворотный механизм; </w:t>
            </w:r>
          </w:p>
          <w:p w14:paraId="7BF0FAC1"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хомут; </w:t>
            </w:r>
          </w:p>
          <w:p w14:paraId="66D0A9EF"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принадлежность. </w:t>
            </w:r>
          </w:p>
          <w:p w14:paraId="6E141E59"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 Составление описания и инструкции сборки </w:t>
            </w:r>
          </w:p>
        </w:tc>
        <w:tc>
          <w:tcPr>
            <w:tcW w:w="2320" w:type="dxa"/>
            <w:tcBorders>
              <w:top w:val="single" w:sz="4" w:space="0" w:color="auto"/>
              <w:left w:val="single" w:sz="4" w:space="0" w:color="auto"/>
              <w:bottom w:val="single" w:sz="4" w:space="0" w:color="auto"/>
              <w:right w:val="single" w:sz="4" w:space="0" w:color="auto"/>
            </w:tcBorders>
          </w:tcPr>
          <w:p w14:paraId="14DD2516"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20.03 </w:t>
            </w:r>
          </w:p>
          <w:p w14:paraId="02E46E13"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20.03. </w:t>
            </w:r>
          </w:p>
        </w:tc>
      </w:tr>
      <w:tr w:rsidR="004644FC" w:rsidRPr="00DB5D0D" w14:paraId="36F5E67A" w14:textId="77777777" w:rsidTr="007609C9">
        <w:trPr>
          <w:trHeight w:val="666"/>
        </w:trPr>
        <w:tc>
          <w:tcPr>
            <w:tcW w:w="534" w:type="dxa"/>
            <w:tcBorders>
              <w:top w:val="single" w:sz="4" w:space="0" w:color="auto"/>
              <w:left w:val="single" w:sz="4" w:space="0" w:color="auto"/>
              <w:bottom w:val="single" w:sz="4" w:space="0" w:color="auto"/>
              <w:right w:val="single" w:sz="4" w:space="0" w:color="auto"/>
            </w:tcBorders>
          </w:tcPr>
          <w:p w14:paraId="3AF43698"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3. </w:t>
            </w:r>
          </w:p>
        </w:tc>
        <w:tc>
          <w:tcPr>
            <w:tcW w:w="2835" w:type="dxa"/>
            <w:tcBorders>
              <w:top w:val="single" w:sz="4" w:space="0" w:color="auto"/>
              <w:left w:val="single" w:sz="4" w:space="0" w:color="auto"/>
              <w:bottom w:val="single" w:sz="4" w:space="0" w:color="auto"/>
              <w:right w:val="single" w:sz="4" w:space="0" w:color="auto"/>
            </w:tcBorders>
          </w:tcPr>
          <w:p w14:paraId="45DF3E75"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Морской миномет специального типа </w:t>
            </w:r>
          </w:p>
        </w:tc>
        <w:tc>
          <w:tcPr>
            <w:tcW w:w="3591" w:type="dxa"/>
            <w:tcBorders>
              <w:top w:val="single" w:sz="4" w:space="0" w:color="auto"/>
              <w:left w:val="single" w:sz="4" w:space="0" w:color="auto"/>
              <w:bottom w:val="single" w:sz="4" w:space="0" w:color="auto"/>
              <w:right w:val="single" w:sz="4" w:space="0" w:color="auto"/>
            </w:tcBorders>
          </w:tcPr>
          <w:p w14:paraId="206BF528"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 Выбор калибра и схемы выстрела; </w:t>
            </w:r>
          </w:p>
          <w:p w14:paraId="68A8D386"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 Баллистический расчет (предварительный); </w:t>
            </w:r>
          </w:p>
          <w:p w14:paraId="2FC7AD46"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3. Основные схемы </w:t>
            </w:r>
          </w:p>
          <w:p w14:paraId="1A4F17FF"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p>
        </w:tc>
        <w:tc>
          <w:tcPr>
            <w:tcW w:w="2320" w:type="dxa"/>
            <w:tcBorders>
              <w:top w:val="single" w:sz="4" w:space="0" w:color="auto"/>
              <w:left w:val="single" w:sz="4" w:space="0" w:color="auto"/>
              <w:bottom w:val="single" w:sz="4" w:space="0" w:color="auto"/>
              <w:right w:val="single" w:sz="4" w:space="0" w:color="auto"/>
            </w:tcBorders>
          </w:tcPr>
          <w:p w14:paraId="675842A3"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01.04 </w:t>
            </w:r>
          </w:p>
          <w:p w14:paraId="40015F7A"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01.04 </w:t>
            </w:r>
          </w:p>
          <w:p w14:paraId="0FB89341"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01.04 </w:t>
            </w:r>
          </w:p>
        </w:tc>
      </w:tr>
      <w:tr w:rsidR="004644FC" w:rsidRPr="00DB5D0D" w14:paraId="4CFA1455" w14:textId="77777777" w:rsidTr="007609C9">
        <w:trPr>
          <w:trHeight w:val="247"/>
        </w:trPr>
        <w:tc>
          <w:tcPr>
            <w:tcW w:w="534" w:type="dxa"/>
            <w:tcBorders>
              <w:top w:val="single" w:sz="4" w:space="0" w:color="auto"/>
              <w:left w:val="single" w:sz="4" w:space="0" w:color="auto"/>
              <w:bottom w:val="single" w:sz="4" w:space="0" w:color="auto"/>
              <w:right w:val="single" w:sz="4" w:space="0" w:color="auto"/>
            </w:tcBorders>
          </w:tcPr>
          <w:p w14:paraId="1297A333"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4. </w:t>
            </w:r>
          </w:p>
        </w:tc>
        <w:tc>
          <w:tcPr>
            <w:tcW w:w="2835" w:type="dxa"/>
            <w:tcBorders>
              <w:top w:val="single" w:sz="4" w:space="0" w:color="auto"/>
              <w:left w:val="single" w:sz="4" w:space="0" w:color="auto"/>
              <w:bottom w:val="single" w:sz="4" w:space="0" w:color="auto"/>
              <w:right w:val="single" w:sz="4" w:space="0" w:color="auto"/>
            </w:tcBorders>
          </w:tcPr>
          <w:p w14:paraId="5E5C9CF0"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120-мм, 107-мм и 50-мм минометы </w:t>
            </w:r>
          </w:p>
        </w:tc>
        <w:tc>
          <w:tcPr>
            <w:tcW w:w="3591" w:type="dxa"/>
            <w:tcBorders>
              <w:top w:val="single" w:sz="4" w:space="0" w:color="auto"/>
              <w:left w:val="single" w:sz="4" w:space="0" w:color="auto"/>
              <w:bottom w:val="single" w:sz="4" w:space="0" w:color="auto"/>
              <w:right w:val="single" w:sz="4" w:space="0" w:color="auto"/>
            </w:tcBorders>
          </w:tcPr>
          <w:p w14:paraId="21FD92FC"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Составление картотеки по минометам </w:t>
            </w:r>
          </w:p>
        </w:tc>
        <w:tc>
          <w:tcPr>
            <w:tcW w:w="2320" w:type="dxa"/>
            <w:tcBorders>
              <w:top w:val="single" w:sz="4" w:space="0" w:color="auto"/>
              <w:left w:val="single" w:sz="4" w:space="0" w:color="auto"/>
              <w:bottom w:val="single" w:sz="4" w:space="0" w:color="auto"/>
              <w:right w:val="single" w:sz="4" w:space="0" w:color="auto"/>
            </w:tcBorders>
          </w:tcPr>
          <w:p w14:paraId="17FC8153"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15.03 </w:t>
            </w:r>
          </w:p>
        </w:tc>
      </w:tr>
      <w:tr w:rsidR="004644FC" w:rsidRPr="00DB5D0D" w14:paraId="68C18272" w14:textId="77777777" w:rsidTr="007609C9">
        <w:trPr>
          <w:trHeight w:val="109"/>
        </w:trPr>
        <w:tc>
          <w:tcPr>
            <w:tcW w:w="534" w:type="dxa"/>
            <w:tcBorders>
              <w:top w:val="single" w:sz="4" w:space="0" w:color="auto"/>
              <w:left w:val="single" w:sz="4" w:space="0" w:color="auto"/>
              <w:bottom w:val="single" w:sz="4" w:space="0" w:color="auto"/>
              <w:right w:val="single" w:sz="4" w:space="0" w:color="auto"/>
            </w:tcBorders>
          </w:tcPr>
          <w:p w14:paraId="30EAF026"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5. </w:t>
            </w:r>
          </w:p>
        </w:tc>
        <w:tc>
          <w:tcPr>
            <w:tcW w:w="2835" w:type="dxa"/>
            <w:tcBorders>
              <w:top w:val="single" w:sz="4" w:space="0" w:color="auto"/>
              <w:left w:val="single" w:sz="4" w:space="0" w:color="auto"/>
              <w:bottom w:val="single" w:sz="4" w:space="0" w:color="auto"/>
              <w:right w:val="single" w:sz="4" w:space="0" w:color="auto"/>
            </w:tcBorders>
          </w:tcPr>
          <w:p w14:paraId="400BB187"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82-мм БМ </w:t>
            </w:r>
          </w:p>
        </w:tc>
        <w:tc>
          <w:tcPr>
            <w:tcW w:w="3591" w:type="dxa"/>
            <w:tcBorders>
              <w:top w:val="single" w:sz="4" w:space="0" w:color="auto"/>
              <w:left w:val="single" w:sz="4" w:space="0" w:color="auto"/>
              <w:bottom w:val="single" w:sz="4" w:space="0" w:color="auto"/>
              <w:right w:val="single" w:sz="4" w:space="0" w:color="auto"/>
            </w:tcBorders>
          </w:tcPr>
          <w:p w14:paraId="1BA66C13"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Модернизация </w:t>
            </w:r>
          </w:p>
        </w:tc>
        <w:tc>
          <w:tcPr>
            <w:tcW w:w="2320" w:type="dxa"/>
            <w:tcBorders>
              <w:top w:val="single" w:sz="4" w:space="0" w:color="auto"/>
              <w:left w:val="single" w:sz="4" w:space="0" w:color="auto"/>
              <w:bottom w:val="single" w:sz="4" w:space="0" w:color="auto"/>
              <w:right w:val="single" w:sz="4" w:space="0" w:color="auto"/>
            </w:tcBorders>
          </w:tcPr>
          <w:p w14:paraId="5A8CDB2F" w14:textId="77777777" w:rsidR="004644FC" w:rsidRPr="00DB5D0D" w:rsidRDefault="004644FC"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01.04 </w:t>
            </w:r>
          </w:p>
        </w:tc>
      </w:tr>
    </w:tbl>
    <w:p w14:paraId="62B65097" w14:textId="77777777" w:rsidR="004644FC" w:rsidRPr="00DB5D0D" w:rsidRDefault="004644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(20074)</w:t>
      </w:r>
    </w:p>
    <w:p w14:paraId="073E9065" w14:textId="77777777" w:rsidR="004644FC" w:rsidRPr="00DB5D0D" w:rsidRDefault="004644FC" w:rsidP="00DB5D0D">
      <w:pPr>
        <w:spacing w:after="0" w:line="240" w:lineRule="auto"/>
        <w:jc w:val="both"/>
        <w:rPr>
          <w:rFonts w:ascii="Times New Roman" w:hAnsi="Times New Roman"/>
          <w:color w:val="0070C0"/>
          <w:sz w:val="16"/>
          <w:szCs w:val="16"/>
        </w:rPr>
      </w:pPr>
    </w:p>
    <w:p w14:paraId="1EC97007" w14:textId="77777777" w:rsidR="00917013" w:rsidRPr="00DB5D0D" w:rsidRDefault="0091701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в 1940 году образовано ФГУП «60-й арсенал» Минобороны Российской Федерации. ФГУП «60-й арсенал» Минобороны Российской Федерации - старейший российский арсенал. Свою биографию он начал 10 мая 1940 года Калужским артскладом. Но судя по сохранившимся архивным документам, Калуга и прилегающие к городу земли были отнесены к военному ведомству еще в 1807 году, когда в Русской армии было принято «Положение о содержании запасных парков». Здесь размещались артиллерийские парки, военные склады, отводились большие участки для конских выпасов, были отстроены лагеря для пехотных полков. Именно здесь с 8 августа до конца сентября 1915 года проходил в 189-м запасном батальоне первичную военную подготовку будущий Маршал Советского Союза Георгий Константинович Жуков. После 1917 года именовался просто Калужским артскладом, а к 1941 году значился как склад № 66. С началом Великой Отечественной арсенал пережил трудные времена: эвакуацию, жизнь на колесах, возвращение на пепелище в Калугу… Деятельность части стала коренным образом меняться в послевоенные годы. Все хранившиеся здесь боеприпасы были отправлены на другие базы, а в Калугу стали поступать совсем другие грузы: воздухоплавательная техника, ЗИП к артиллерийским и минометным системам, радиолокационные системы для восстановительного ремонта или хранения. В 1960 году часть получает статус с новыми функциями, новым штатом и новым наименованием: «60-й артиллерийский арсенал ГРАУ». Его главная задача - восстановительный ремонт радиолокационной техники и ЗРК. В 2002 году «60-й арсенал» за большой вклад в укрепление обороноспособности страны получает высокую награду - Почетную грамоту Президента Российской Федерации (14887).</w:t>
      </w:r>
    </w:p>
    <w:p w14:paraId="30DB90D7" w14:textId="77777777" w:rsidR="00917013" w:rsidRPr="00DB5D0D" w:rsidRDefault="00917013" w:rsidP="00DB5D0D">
      <w:pPr>
        <w:spacing w:after="0" w:line="240" w:lineRule="auto"/>
        <w:jc w:val="both"/>
        <w:rPr>
          <w:rFonts w:ascii="Times New Roman" w:hAnsi="Times New Roman"/>
          <w:color w:val="000000" w:themeColor="text1"/>
          <w:sz w:val="16"/>
          <w:szCs w:val="16"/>
        </w:rPr>
      </w:pPr>
    </w:p>
    <w:p w14:paraId="03B0DC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Проект постановления ГВС о системе бронетанкового вооружения'"</w:t>
      </w:r>
    </w:p>
    <w:p w14:paraId="330170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Система бронетанкового вооружения Красной Армии""</w:t>
      </w:r>
    </w:p>
    <w:p w14:paraId="59433E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Главный военный совет постановляет: </w:t>
      </w:r>
      <w:r w:rsidRPr="00DB5D0D">
        <w:rPr>
          <w:rFonts w:ascii="Times New Roman" w:hAnsi="Times New Roman"/>
          <w:iCs/>
          <w:color w:val="000000" w:themeColor="text1"/>
          <w:sz w:val="16"/>
          <w:szCs w:val="16"/>
        </w:rPr>
        <w:t>Оставить на вооружении Красной Армии:</w:t>
      </w:r>
    </w:p>
    <w:p w14:paraId="03B11A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I. Танки</w:t>
      </w:r>
    </w:p>
    <w:p w14:paraId="3C4017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 Тяжелый танк «KB» </w:t>
      </w:r>
      <w:r w:rsidRPr="00DB5D0D">
        <w:rPr>
          <w:rFonts w:ascii="Times New Roman" w:hAnsi="Times New Roman"/>
          <w:color w:val="000000" w:themeColor="text1"/>
          <w:sz w:val="16"/>
          <w:szCs w:val="16"/>
        </w:rPr>
        <w:t>— непробиваемый 3-х дм бронебойным снарядом на всех дистанциях, с основными тактико-техническими данными:</w:t>
      </w:r>
    </w:p>
    <w:p w14:paraId="01DAC8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Тип гусеничный.</w:t>
      </w:r>
    </w:p>
    <w:p w14:paraId="415954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Броня — 75-мм.</w:t>
      </w:r>
    </w:p>
    <w:p w14:paraId="1AFF26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 — дизель В-2, 650-700 л. с.</w:t>
      </w:r>
    </w:p>
    <w:p w14:paraId="4975F4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Вооружение — пушка М-10 152-мм и 2 пулемета ДТ или пушка Л-11 76-мм и 2 пулемета ДТ.</w:t>
      </w:r>
    </w:p>
    <w:p w14:paraId="4D28AB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5. Скорость — до 35 км/час.</w:t>
      </w:r>
    </w:p>
    <w:p w14:paraId="2C5280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Запас хода — до 250 км.</w:t>
      </w:r>
    </w:p>
    <w:p w14:paraId="7429E9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Общий вес — 40—46 т.</w:t>
      </w:r>
    </w:p>
    <w:p w14:paraId="06DEA4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Б. Средний танк Т-34— </w:t>
      </w:r>
      <w:r w:rsidRPr="00DB5D0D">
        <w:rPr>
          <w:rFonts w:ascii="Times New Roman" w:hAnsi="Times New Roman"/>
          <w:color w:val="000000" w:themeColor="text1"/>
          <w:sz w:val="16"/>
          <w:szCs w:val="16"/>
        </w:rPr>
        <w:t>непробиваемый 37—45-мм пушкой на все дистанции, с основными тактико-техническими данными:</w:t>
      </w:r>
    </w:p>
    <w:p w14:paraId="26659A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Тип — гусеничный.</w:t>
      </w:r>
    </w:p>
    <w:p w14:paraId="22E8D4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Броня — 45-мм.</w:t>
      </w:r>
    </w:p>
    <w:p w14:paraId="591AA7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 — дизель В-2 500 л. с.</w:t>
      </w:r>
    </w:p>
    <w:p w14:paraId="6EABB5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Вооружение — пушка типа Л-11 76-мм и 3 пулемета ДТ.</w:t>
      </w:r>
    </w:p>
    <w:p w14:paraId="4C6C72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Скорость до 45 км/час.</w:t>
      </w:r>
    </w:p>
    <w:p w14:paraId="7778CB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Запас хода — 400—450 км.</w:t>
      </w:r>
    </w:p>
    <w:p w14:paraId="703495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Общий вес — 26 т.</w:t>
      </w:r>
    </w:p>
    <w:p w14:paraId="2C5DC4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В. Плавающий танк Т-40— </w:t>
      </w:r>
      <w:r w:rsidRPr="00DB5D0D">
        <w:rPr>
          <w:rFonts w:ascii="Times New Roman" w:hAnsi="Times New Roman"/>
          <w:color w:val="000000" w:themeColor="text1"/>
          <w:sz w:val="16"/>
          <w:szCs w:val="16"/>
        </w:rPr>
        <w:t>непробиваемый нормальный бронебойный пулей на все дистанции, с основными тактико-техническими данными:</w:t>
      </w:r>
    </w:p>
    <w:p w14:paraId="244E92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Тип — гусеничный.</w:t>
      </w:r>
    </w:p>
    <w:p w14:paraId="7569B6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Броня— 15мм.</w:t>
      </w:r>
    </w:p>
    <w:p w14:paraId="738ED8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 - «ДОДЖ» 85 л. с.</w:t>
      </w:r>
    </w:p>
    <w:p w14:paraId="4A1008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Вооружение — крупно-калиберный пулемет ДК, спаренный с пулеметом ДТ.</w:t>
      </w:r>
    </w:p>
    <w:p w14:paraId="642251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Скорость на гусеницах 45—50 км/час, на плаву 7—8 км/час.</w:t>
      </w:r>
    </w:p>
    <w:p w14:paraId="13A2DD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Запас хода 200—250 км.</w:t>
      </w:r>
    </w:p>
    <w:p w14:paraId="6A0C67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Общий вес — 5,2 т.</w:t>
      </w:r>
    </w:p>
    <w:p w14:paraId="78F557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Плавающие танки Т-37 и Т-38 с производства снять, оставив на вооружении Красной Армии до полного износа, обеспечив их запасными частями.</w:t>
      </w:r>
    </w:p>
    <w:p w14:paraId="7737AF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Т. Танк сопровождения пехоты Т-26, </w:t>
      </w:r>
      <w:r w:rsidRPr="00DB5D0D">
        <w:rPr>
          <w:rFonts w:ascii="Times New Roman" w:hAnsi="Times New Roman"/>
          <w:color w:val="000000" w:themeColor="text1"/>
          <w:sz w:val="16"/>
          <w:szCs w:val="16"/>
        </w:rPr>
        <w:t>с последующей заменой новым танком сопровождения пехоты с основными тактико-техническими данными:</w:t>
      </w:r>
    </w:p>
    <w:p w14:paraId="2E48CD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Тип-гусеничный.</w:t>
      </w:r>
    </w:p>
    <w:p w14:paraId="3A0B49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Броня — 45 мм (непробиваемая на все дистанции орудиями системы ПТО).</w:t>
      </w:r>
    </w:p>
    <w:p w14:paraId="5E115C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 — дизель.</w:t>
      </w:r>
    </w:p>
    <w:p w14:paraId="5B09D5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Вооружение — 45-мм пушка и 2 пулемета ДТ.</w:t>
      </w:r>
    </w:p>
    <w:p w14:paraId="234DC7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Скорость — 25—30 км/час.</w:t>
      </w:r>
    </w:p>
    <w:p w14:paraId="79F72A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Запас хода — 250—300 км.</w:t>
      </w:r>
    </w:p>
    <w:p w14:paraId="1A3152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Общий.вес — не выше 13 т.</w:t>
      </w:r>
    </w:p>
    <w:p w14:paraId="712413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выпуском нового танка сопровождения пехоты, в серию, танк Т-26 — с производства снять, обеспечив существующий парк запасными частями.</w:t>
      </w:r>
    </w:p>
    <w:p w14:paraId="1011FF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Д. </w:t>
      </w:r>
      <w:r w:rsidRPr="00DB5D0D">
        <w:rPr>
          <w:rFonts w:ascii="Times New Roman" w:hAnsi="Times New Roman"/>
          <w:color w:val="000000" w:themeColor="text1"/>
          <w:sz w:val="16"/>
          <w:szCs w:val="16"/>
        </w:rPr>
        <w:t xml:space="preserve">С выпуском танка Т-34 в серию, танк БТ-7 с дизелем с производства </w:t>
      </w:r>
      <w:r w:rsidRPr="00DB5D0D">
        <w:rPr>
          <w:rFonts w:ascii="Times New Roman" w:hAnsi="Times New Roman"/>
          <w:iCs/>
          <w:color w:val="000000" w:themeColor="text1"/>
          <w:sz w:val="16"/>
          <w:szCs w:val="16"/>
        </w:rPr>
        <w:t>снять.</w:t>
      </w:r>
    </w:p>
    <w:p w14:paraId="1D9010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течение 2-х лет существующий парк БТ-2-5-7 модернизировать, заменив моторы М-5 и М-17 на мотор В-2 (дизель).</w:t>
      </w:r>
    </w:p>
    <w:p w14:paraId="3ADD95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Парк танков БТ обеспечить необходимым количеством запасных частей. </w:t>
      </w:r>
      <w:r w:rsidRPr="00DB5D0D">
        <w:rPr>
          <w:rFonts w:ascii="Times New Roman" w:hAnsi="Times New Roman"/>
          <w:iCs/>
          <w:color w:val="000000" w:themeColor="text1"/>
          <w:sz w:val="16"/>
          <w:szCs w:val="16"/>
        </w:rPr>
        <w:t xml:space="preserve">Е. Танк Т-35, </w:t>
      </w:r>
      <w:r w:rsidRPr="00DB5D0D">
        <w:rPr>
          <w:rFonts w:ascii="Times New Roman" w:hAnsi="Times New Roman"/>
          <w:color w:val="000000" w:themeColor="text1"/>
          <w:sz w:val="16"/>
          <w:szCs w:val="16"/>
        </w:rPr>
        <w:t>снятый с производства — оставить на вооружении Красной Армии до полного износа.</w:t>
      </w:r>
    </w:p>
    <w:p w14:paraId="61AC98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Существующий парк танков Т-35 обеспечить необходимым количеством запасных частей. </w:t>
      </w:r>
      <w:r w:rsidRPr="00DB5D0D">
        <w:rPr>
          <w:rFonts w:ascii="Times New Roman" w:hAnsi="Times New Roman"/>
          <w:iCs/>
          <w:color w:val="000000" w:themeColor="text1"/>
          <w:sz w:val="16"/>
          <w:szCs w:val="16"/>
        </w:rPr>
        <w:t xml:space="preserve">Ж. Танк Т-28— </w:t>
      </w:r>
      <w:r w:rsidRPr="00DB5D0D">
        <w:rPr>
          <w:rFonts w:ascii="Times New Roman" w:hAnsi="Times New Roman"/>
          <w:color w:val="000000" w:themeColor="text1"/>
          <w:sz w:val="16"/>
          <w:szCs w:val="16"/>
        </w:rPr>
        <w:t xml:space="preserve">с производства </w:t>
      </w:r>
      <w:r w:rsidRPr="00DB5D0D">
        <w:rPr>
          <w:rFonts w:ascii="Times New Roman" w:hAnsi="Times New Roman"/>
          <w:iCs/>
          <w:color w:val="000000" w:themeColor="text1"/>
          <w:sz w:val="16"/>
          <w:szCs w:val="16"/>
        </w:rPr>
        <w:t>снять.</w:t>
      </w:r>
    </w:p>
    <w:p w14:paraId="356517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Существующий парк танков Т-28 оставить на вооружение Красной Армии, обеспечив необходимым количеством запасных частей.</w:t>
      </w:r>
    </w:p>
    <w:p w14:paraId="02514D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Поручить Автобронетанковому управлению Красной Армии проработать вопрос дополнительного бронирования танков Т-28 до 30 мм (экран).</w:t>
      </w:r>
    </w:p>
    <w:p w14:paraId="04144E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Заменить на танках Т-28 моторы М-17 на моторы В-2 (дизель). </w:t>
      </w:r>
      <w:r w:rsidRPr="00DB5D0D">
        <w:rPr>
          <w:rFonts w:ascii="Times New Roman" w:hAnsi="Times New Roman"/>
          <w:iCs/>
          <w:color w:val="000000" w:themeColor="text1"/>
          <w:sz w:val="16"/>
          <w:szCs w:val="16"/>
        </w:rPr>
        <w:t>Снять с вооружения Красной Армии:</w:t>
      </w:r>
    </w:p>
    <w:p w14:paraId="1A0601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I.  Танки:</w:t>
      </w:r>
    </w:p>
    <w:p w14:paraId="736D22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 xml:space="preserve">Танк Т-27— </w:t>
      </w:r>
      <w:r w:rsidRPr="00DB5D0D">
        <w:rPr>
          <w:rFonts w:ascii="Times New Roman" w:hAnsi="Times New Roman"/>
          <w:color w:val="000000" w:themeColor="text1"/>
          <w:sz w:val="16"/>
          <w:szCs w:val="16"/>
        </w:rPr>
        <w:t>снятый с производства.</w:t>
      </w:r>
    </w:p>
    <w:p w14:paraId="3CDD38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Наличный парк этих танков использовать для охраны складов, аэродромов, коммуникаций и других военных объектов. Включив их отдельными подразделениями состав караульных и дорожно-эксплуатационных частей (ДЭПы).</w:t>
      </w:r>
    </w:p>
    <w:p w14:paraId="0DBE18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Бронеавтомобили</w:t>
      </w:r>
    </w:p>
    <w:p w14:paraId="50ACDB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Оставить на вооружении Красной Армии: А. Средние бронеавтомобили:</w:t>
      </w:r>
    </w:p>
    <w:p w14:paraId="127CDD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Бронеавтомобили БА-6, вооруженные одной пушкой 45-мм и 2 пулемета ДТ.</w:t>
      </w:r>
    </w:p>
    <w:p w14:paraId="5B3ADA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Бронеавтомобиля БА-10 — вооруженные одной пушкой 45-мм и 2 пулеметами ДТ.</w:t>
      </w:r>
    </w:p>
    <w:p w14:paraId="7BCC19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Бронеавтомобили БА-11 — вооруженные одной пушкой 45-мм и 2 пулеметами ДТ.</w:t>
      </w:r>
    </w:p>
    <w:p w14:paraId="600DBC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Б. Легкие бронеавтомобили:</w:t>
      </w:r>
    </w:p>
    <w:p w14:paraId="0A0B1F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Легкие бронеавтомобили БА-20 — вооруженные одним пулеметом ДТ. </w:t>
      </w:r>
      <w:r w:rsidRPr="00DB5D0D">
        <w:rPr>
          <w:rFonts w:ascii="Times New Roman" w:hAnsi="Times New Roman"/>
          <w:iCs/>
          <w:color w:val="000000" w:themeColor="text1"/>
          <w:sz w:val="16"/>
          <w:szCs w:val="16"/>
        </w:rPr>
        <w:t>Снять с производства Красной Армии:</w:t>
      </w:r>
    </w:p>
    <w:p w14:paraId="67D45E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II. Бронеавтомобили:</w:t>
      </w:r>
    </w:p>
    <w:p w14:paraId="593EFB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Бронеавтомобиль ФАИ.</w:t>
      </w:r>
    </w:p>
    <w:p w14:paraId="603C08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Бронеавтомобиль БАИ.</w:t>
      </w:r>
    </w:p>
    <w:p w14:paraId="7A0E9C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Бронеавтомобиль Д-8.</w:t>
      </w:r>
    </w:p>
    <w:p w14:paraId="1DA3B9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Бронеавтомобиль Д-12.</w:t>
      </w:r>
    </w:p>
    <w:p w14:paraId="2CFFE7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Бронеавтомобиль Д-13.</w:t>
      </w:r>
    </w:p>
    <w:p w14:paraId="705336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Бронеавтомобиль БА-3.</w:t>
      </w:r>
    </w:p>
    <w:p w14:paraId="436777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Бронеавтомобиль БА-27.</w:t>
      </w:r>
    </w:p>
    <w:p w14:paraId="7370B0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последующей реализацией через ОФИ.</w:t>
      </w:r>
    </w:p>
    <w:p w14:paraId="453A17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Бронепоезда</w:t>
      </w:r>
    </w:p>
    <w:p w14:paraId="60AD5A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 Красной Армии существующие типы легких [и] тяжелых бронепоездов и бронеавтомобилей на железнодорожном ходу. Бронепоездное хозяйство из ведения АБТУ КА — изъять, передав его в введение начальника Управления военных сообщений Красной Армии.</w:t>
      </w:r>
    </w:p>
    <w:p w14:paraId="757758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охраны узлов, станций и перегонов Автобронетанковому управлению КА совместно с Артиллерийским управлением КА разработать новый тип бронепоездов и мото-броневагонов, для постановки их на производство и принятия на вооружение Красной Армии. 1. В целях еще большего усиления бронирования и вооружения танков, поручить Автобронеатанковому управлению Красной Армии разработать конструкцию и изготовить танк прорыва УР, вооруженного не менее 6 дм пушкой с броней 110-120 мм, вес не свыше 65—75 тонн. Со скоростью хода до 25 км., с дизель-мотором.</w:t>
      </w:r>
    </w:p>
    <w:p w14:paraId="7E9541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Поручить Автобронетанковому управлению Красной Армии вести разработки по улучшению обзорности из всех видов танков.</w:t>
      </w:r>
    </w:p>
    <w:p w14:paraId="3F10E7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Автобронетанковому управлению Красной Армии в кратчайший срок отработать и поставить на производство съемную огнеметную аппаратуру, с возможностью монтировать ее по мере надобности на любом типе танков в полевых условиях.</w:t>
      </w:r>
    </w:p>
    <w:p w14:paraId="068E88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Внедрить на все танковое вооружение Красной Армии дизель-мотор*.</w:t>
      </w:r>
    </w:p>
    <w:p w14:paraId="2520E0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 31811. Оп. 2. Д. 1107. Л. 201-205. Копия, экз. № 2. (11773).</w:t>
      </w:r>
    </w:p>
    <w:p w14:paraId="794DA1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22CA8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Проект постановления ГВС о системе автотракторного вооружения"</w:t>
      </w:r>
    </w:p>
    <w:p w14:paraId="764D7F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Система автотракторного вооружения Красной Армии"'</w:t>
      </w:r>
    </w:p>
    <w:p w14:paraId="162703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Главный Военный совет </w:t>
      </w:r>
      <w:r w:rsidRPr="00DB5D0D">
        <w:rPr>
          <w:rFonts w:ascii="Times New Roman" w:hAnsi="Times New Roman"/>
          <w:iCs/>
          <w:color w:val="000000" w:themeColor="text1"/>
          <w:sz w:val="16"/>
          <w:szCs w:val="16"/>
        </w:rPr>
        <w:t>постановляет: Оставить на вооружении Красной Армии:</w:t>
      </w:r>
    </w:p>
    <w:p w14:paraId="71C703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I. По легковым и полугрузовым автомобилям</w:t>
      </w:r>
    </w:p>
    <w:p w14:paraId="7AE445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Легковой автомобиль М-1 с последующей заменой на ГАЗ-61 с двумя ведущими осями.</w:t>
      </w:r>
    </w:p>
    <w:p w14:paraId="2245A1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Легковой малолитражный автомобиль производства завода «КИМ».</w:t>
      </w:r>
    </w:p>
    <w:p w14:paraId="645860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Существующий парк легковых автомобилей ЗИС-101 сохранить с использованием его в центральном аппарате, штабах округов и армий.</w:t>
      </w:r>
    </w:p>
    <w:p w14:paraId="2D6DD7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Полугрузовой автомобиль «Пикап М-1» с последующей заменой на «Пикап» с обеими ведущими осями.</w:t>
      </w:r>
    </w:p>
    <w:p w14:paraId="69EFD0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Снять с вооружения Красной Армии:</w:t>
      </w:r>
    </w:p>
    <w:p w14:paraId="301F1B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 легковым и полугрузовым автомобилям</w:t>
      </w:r>
    </w:p>
    <w:p w14:paraId="345F11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Легковой автомобиль ГАЗ-А.</w:t>
      </w:r>
    </w:p>
    <w:p w14:paraId="3E332F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Полугрузовой автомобиль «Пикап ГАЗ-А»</w:t>
      </w:r>
    </w:p>
    <w:p w14:paraId="4CADDF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народное хозяйство передать по мере замены новыми, а машины совершенно изношенные реализовать через ОФИ.</w:t>
      </w:r>
    </w:p>
    <w:p w14:paraId="4555B9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По грузовым автомобилям</w:t>
      </w:r>
    </w:p>
    <w:p w14:paraId="04BEF1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Оставить на вооружении Красной Армии:</w:t>
      </w:r>
    </w:p>
    <w:p w14:paraId="2C3B66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Полуторатонный грузовой автомобиль ГАЗ-АА с последующей заменой на 2-х тонный грузовой автомобиль с двумя ведущими осями ГАЗ-63 и стандартным 2-х тонным автомобилем ГАЗ-51.</w:t>
      </w:r>
    </w:p>
    <w:p w14:paraId="7DCF3C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Двухтонный грузовой 3-х осный автомобиль ГАЗ-ЗА, с последующей заменой на 3-х тонный грузовой автомобиль с тремя ведущими осями ГАЗ-33.</w:t>
      </w:r>
    </w:p>
    <w:p w14:paraId="124B60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Трехтонный грузовой автомобиль ЗИС-5 с последующей заменой на 3-х тонный грузовой автомобиль с двумя ведущими осями — ЗИС-32 и стандартный 5-ти тонный автомобиль ЗИС-15.</w:t>
      </w:r>
    </w:p>
    <w:p w14:paraId="70BC28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Трехтонный грузовой автомобиль ЗИС-6, с заменой на 5-ти тонный грузовой автомобиль с тремя ведущими осями ЗИС-6К.</w:t>
      </w:r>
    </w:p>
    <w:p w14:paraId="7D740F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5-ти тонный грузовик автомобиль ЯГ-6, с последующей заменой на большегрузные автомобили 10—12 тонн Ярославского автозавода.</w:t>
      </w:r>
    </w:p>
    <w:p w14:paraId="687967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Существующий парк вездеходов «В» и «ВЗ» — сохранить. Поручить начальнику Управления Военно-технического снабжения Красной Армии разработать и предложить на вооружение моторизованных частей Красной Армии новый вездеход более совершенной конструкции.</w:t>
      </w:r>
    </w:p>
    <w:p w14:paraId="148C6E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Существующий парк грузовых автомобилей с приспособлением повышенной проходимости ЗИС-33 в дальнейшем с производства снять.</w:t>
      </w:r>
    </w:p>
    <w:p w14:paraId="6A82DB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Генеральному штабу определить, в каких районах и округах внедрить:</w:t>
      </w:r>
    </w:p>
    <w:p w14:paraId="392401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Грузовые газогенераторные автомобили ГАЗ-14 и ГАЗ-42.</w:t>
      </w:r>
    </w:p>
    <w:p w14:paraId="35548E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Грузовые газогенераторные автомобили ЗИС-13 и ЗИС-21.</w:t>
      </w:r>
    </w:p>
    <w:p w14:paraId="07DE00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соответствии с этим Генеральному штабу КА и производить приписку материальной части из народного хозяйства. </w:t>
      </w:r>
      <w:r w:rsidRPr="00DB5D0D">
        <w:rPr>
          <w:rFonts w:ascii="Times New Roman" w:hAnsi="Times New Roman"/>
          <w:iCs/>
          <w:color w:val="000000" w:themeColor="text1"/>
          <w:sz w:val="16"/>
          <w:szCs w:val="16"/>
        </w:rPr>
        <w:t>Ш. По мотоциклам Оставить на вооружении Красной Армии:</w:t>
      </w:r>
    </w:p>
    <w:p w14:paraId="6AD840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Мотоцикл марки АМ-600 (литрах 600 куб. сант.)</w:t>
      </w:r>
    </w:p>
    <w:p w14:paraId="054270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Мотоцикл марки Л-8 (литрах 350 куб. сант.)</w:t>
      </w:r>
    </w:p>
    <w:p w14:paraId="60D333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Мотоцикл марки ИЖ-8 (литрах 350 куб. сант.) </w:t>
      </w:r>
      <w:r w:rsidRPr="00DB5D0D">
        <w:rPr>
          <w:rFonts w:ascii="Times New Roman" w:hAnsi="Times New Roman"/>
          <w:iCs/>
          <w:color w:val="000000" w:themeColor="text1"/>
          <w:sz w:val="16"/>
          <w:szCs w:val="16"/>
        </w:rPr>
        <w:t>Снять с вооружения Красной Армии:</w:t>
      </w:r>
    </w:p>
    <w:p w14:paraId="216B3C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Мотоцикл марки Л-300 — 1200</w:t>
      </w:r>
    </w:p>
    <w:p w14:paraId="29F8BD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Мотоцикл марки ИЖ-7 — 900</w:t>
      </w:r>
    </w:p>
    <w:p w14:paraId="46886E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Мотоцикл марки ПМЗ-А-750-850 с последующей реализацией через ОФИ.</w:t>
      </w:r>
    </w:p>
    <w:p w14:paraId="7AF92F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IV. По тракторам</w:t>
      </w:r>
    </w:p>
    <w:p w14:paraId="44AD08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Оставить на вооружении Красной Армии:</w:t>
      </w:r>
    </w:p>
    <w:p w14:paraId="3D223B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Трактор «Ворошиловец» для артиллерии большой мощности, с последующей заменой более совершенным трактором на базе танка Т-34.</w:t>
      </w:r>
    </w:p>
    <w:p w14:paraId="6542CC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Тракторный «Коминтерн» для тяжелой артиллерии с последующей заменой на СТ-2.</w:t>
      </w:r>
    </w:p>
    <w:p w14:paraId="4EB606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Трактор ЧТЗ-65 для тяжелой артиллерии с последующей заменой трактором СТ-2. Трактор СТ-2 усовершенствовать, увеличив мощность и тяговые усилия.</w:t>
      </w:r>
    </w:p>
    <w:p w14:paraId="382A9F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Трактор СТЗ-5 для дивизионной легкой артиллерии с последующей заменой на СТЗ-5 дизельный.</w:t>
      </w:r>
    </w:p>
    <w:p w14:paraId="5646C7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Трактор «Комсомолец» бронированный — для батальонной и полковой артиллерии с последующей заменой на более совершенный на базе танка Т-40.</w:t>
      </w:r>
    </w:p>
    <w:p w14:paraId="746EC8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Снять с вооружении Красной Армии:</w:t>
      </w:r>
    </w:p>
    <w:p w14:paraId="59172D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Трактор «Коммунар» — 1500</w:t>
      </w:r>
    </w:p>
    <w:p w14:paraId="694164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Трактор ЧТЗ-60 — 5336 (лигроиновый).</w:t>
      </w:r>
    </w:p>
    <w:p w14:paraId="0CAB04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Трактор «СТЗ-3» — 7144.</w:t>
      </w:r>
    </w:p>
    <w:p w14:paraId="17DD68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Трактора газогенераторные СТЗ-ЗГ и ЧТЗ-65Г — 1025.</w:t>
      </w:r>
    </w:p>
    <w:p w14:paraId="2403E8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Перечисленные трактора сдавать в народное хозяйство по мере замены их соответственно тракторами ЧТЗ-65, CT-2 и СТЗ-5.</w:t>
      </w:r>
    </w:p>
    <w:p w14:paraId="44E8C1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всех выпускаемых тракторах установить компрессора для пневматического торможения.</w:t>
      </w:r>
    </w:p>
    <w:p w14:paraId="304633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Тракторах всех марок выпускать в народное хозяйство и армию в комплекте со шпорами противоскольжения. </w:t>
      </w:r>
      <w:r w:rsidRPr="00DB5D0D">
        <w:rPr>
          <w:rFonts w:ascii="Times New Roman" w:hAnsi="Times New Roman"/>
          <w:iCs/>
          <w:color w:val="000000" w:themeColor="text1"/>
          <w:sz w:val="16"/>
          <w:szCs w:val="16"/>
        </w:rPr>
        <w:t>V. По прицепам Оставить на вооружении Красной Армии:</w:t>
      </w:r>
    </w:p>
    <w:p w14:paraId="103F3D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Двухтонный 2-х осный прицеп 2АП-37.</w:t>
      </w:r>
    </w:p>
    <w:p w14:paraId="651CEB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Трехтонный 2-х осный прицеп ПЗ.</w:t>
      </w:r>
    </w:p>
    <w:p w14:paraId="219202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Одноосный прицеп «Комсомолец» грузоподъемностью 0,78 тонны.</w:t>
      </w:r>
    </w:p>
    <w:p w14:paraId="797ED0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Одноосный прицеп для длинномерных грузов, грузоподъемность 3 тонны.</w:t>
      </w:r>
    </w:p>
    <w:p w14:paraId="1103CE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Оставить в армии на укомплектование до полного износа:</w:t>
      </w:r>
    </w:p>
    <w:p w14:paraId="5A1A5F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Двухтонный двухосный прицеп РП-2.</w:t>
      </w:r>
    </w:p>
    <w:p w14:paraId="40D3BA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Четырехтонный двухосный прицеп РП-4.</w:t>
      </w:r>
    </w:p>
    <w:p w14:paraId="15AE07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Пятитонный двухосный прицеп П-26-А, Б и др.</w:t>
      </w:r>
    </w:p>
    <w:p w14:paraId="5059BC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мере выхода из строя заменять, нового заказа не делать.</w:t>
      </w:r>
    </w:p>
    <w:p w14:paraId="1D98E4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Поставить вопрос перед Комитетом Обороны о производстве прицепов в СССР в соответствии с настоящим постановлением.</w:t>
      </w:r>
    </w:p>
    <w:p w14:paraId="0D7B6F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Просить Комитет обороны обязать автомобильное и тракторные заводы выпускать грузовые автомашины и трактора для народного хозяйства в комплекте с прицепом 2—3 тонны, начиная с 1941 г.</w:t>
      </w:r>
    </w:p>
    <w:p w14:paraId="5370B8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Поручить АБТУ до 15 июля отработать основную номенклатуру по запчастям и после утверждения заказывать только то, что действительно необходимо*.</w:t>
      </w:r>
    </w:p>
    <w:p w14:paraId="265543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 31811. Оп. 2. Д. 1107. Л. 206-209. Копия, экз. № 2 (11773).</w:t>
      </w:r>
    </w:p>
    <w:p w14:paraId="301C99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432A2AC" w14:textId="77777777" w:rsidR="00BC07D1" w:rsidRPr="00DB5D0D" w:rsidRDefault="00BC07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руководство Советского Союза рассматривало вопрос о приобретении у немецких фирм, находящихся в Голландии, портового и докового оборудования, а именно: фирма «ДЕ-Шильде» – плав. мастерская; фирма «Гюсто» – 150 тонный плавающий кран (стоимость – 930.000 гульденов) и 250-тонный кран (1.538.000 гульденов); фирма «Вершуре» – 5 буксиров (стоимость 766.000 гульденов каждый) [Там же, л. 149] (18259).</w:t>
      </w:r>
    </w:p>
    <w:p w14:paraId="3597900E" w14:textId="77777777" w:rsidR="00BC07D1" w:rsidRPr="00DB5D0D" w:rsidRDefault="00BC07D1" w:rsidP="00DB5D0D">
      <w:pPr>
        <w:spacing w:after="0" w:line="240" w:lineRule="auto"/>
        <w:jc w:val="both"/>
        <w:rPr>
          <w:rFonts w:ascii="Times New Roman" w:hAnsi="Times New Roman"/>
          <w:color w:val="000000" w:themeColor="text1"/>
          <w:sz w:val="16"/>
          <w:szCs w:val="16"/>
        </w:rPr>
      </w:pPr>
    </w:p>
    <w:p w14:paraId="127E2E53" w14:textId="77777777" w:rsidR="00BC07D1" w:rsidRPr="00DB5D0D" w:rsidRDefault="00BC07D1" w:rsidP="00DB5D0D">
      <w:pPr>
        <w:shd w:val="clear" w:color="auto" w:fill="FFFFFF"/>
        <w:spacing w:after="0" w:line="240" w:lineRule="auto"/>
        <w:jc w:val="both"/>
        <w:rPr>
          <w:rFonts w:ascii="Times New Roman" w:hAnsi="Times New Roman"/>
          <w:i/>
          <w:color w:val="000000" w:themeColor="text1"/>
          <w:sz w:val="16"/>
          <w:szCs w:val="16"/>
        </w:rPr>
      </w:pPr>
      <w:r w:rsidRPr="00DB5D0D">
        <w:rPr>
          <w:rFonts w:ascii="Times New Roman" w:hAnsi="Times New Roman"/>
          <w:i/>
          <w:color w:val="000000" w:themeColor="text1"/>
          <w:sz w:val="16"/>
          <w:szCs w:val="16"/>
        </w:rPr>
        <w:t>Армия:</w:t>
      </w:r>
    </w:p>
    <w:p w14:paraId="0DC3D356" w14:textId="77777777" w:rsidR="00BC07D1" w:rsidRPr="00DB5D0D" w:rsidRDefault="00BC07D1" w:rsidP="00DB5D0D">
      <w:pPr>
        <w:shd w:val="clear" w:color="auto" w:fill="FFFFFF"/>
        <w:spacing w:after="0" w:line="240" w:lineRule="auto"/>
        <w:jc w:val="both"/>
        <w:rPr>
          <w:rFonts w:ascii="Times New Roman" w:hAnsi="Times New Roman"/>
          <w:i/>
          <w:color w:val="000000" w:themeColor="text1"/>
          <w:sz w:val="16"/>
          <w:szCs w:val="16"/>
        </w:rPr>
      </w:pPr>
    </w:p>
    <w:p w14:paraId="3367BA16" w14:textId="77777777" w:rsidR="0047286B" w:rsidRPr="00DB5D0D" w:rsidRDefault="0047286B" w:rsidP="00DB5D0D">
      <w:pPr>
        <w:pStyle w:val="ae"/>
        <w:spacing w:before="0" w:after="0"/>
        <w:jc w:val="both"/>
        <w:rPr>
          <w:color w:val="000000" w:themeColor="text1"/>
          <w:sz w:val="16"/>
          <w:szCs w:val="16"/>
        </w:rPr>
      </w:pPr>
      <w:r w:rsidRPr="00DB5D0D">
        <w:rPr>
          <w:color w:val="000000" w:themeColor="text1"/>
          <w:sz w:val="16"/>
          <w:szCs w:val="16"/>
        </w:rPr>
        <w:t>10 мая 1940 началось немецкое наступление во Франции, а уже 27 числа того же месяца наркомом обороны Тимошенко и Начальником Генштаба Шапошниковым Сталину и Молотову был представлен проект организации механизированных корпусов и танковых дивизий. В состав корпуса должны были входить две танковые и одна моторизованная дивизии. Для обеспечения наступательных действий корпуса или при отражении контратак противника считалось желательным придавать танковому корпусу не менее одной авиабригады в составе двух бомбардировочных и одного истребительного авиаполков. Всего предлагалось сформировать шесть управлений танковых корпусов и 12 танковых дивизий, разумеется, не с нуля — на них предполагалось «пустить» уже существующие части, как танковые, так и кавалерию с пехотой. Этот проект был «в целом» одобрен руководством страны, при этом число создаваемых танковых корпусов было увеличено до восьми, плюс две отдельные танковые дивизии. Окончательно проект создания уже механизированного корпуса нового типа был утвержден Совнаркомом 6 июля 1940 г.</w:t>
      </w:r>
    </w:p>
    <w:p w14:paraId="2D5ABF67" w14:textId="77777777" w:rsidR="0047286B" w:rsidRPr="00DB5D0D" w:rsidRDefault="0047286B" w:rsidP="00DB5D0D">
      <w:pPr>
        <w:pStyle w:val="ae"/>
        <w:spacing w:before="0" w:after="0"/>
        <w:jc w:val="both"/>
        <w:rPr>
          <w:color w:val="000000" w:themeColor="text1"/>
          <w:sz w:val="16"/>
          <w:szCs w:val="16"/>
        </w:rPr>
      </w:pPr>
      <w:r w:rsidRPr="00DB5D0D">
        <w:rPr>
          <w:color w:val="000000" w:themeColor="text1"/>
          <w:sz w:val="16"/>
          <w:szCs w:val="16"/>
        </w:rPr>
        <w:t>После этого в создании новых соединений наступила пауза, вызванная как необходимостью реализации уже утвержденных планов, так и переключением внимания командования РККА на «освободительные походы» лета 1940-го. Вновь к теме создания новых мехсоединений в наркомате обороны вернулись уже осенью (12624).</w:t>
      </w:r>
    </w:p>
    <w:p w14:paraId="0D6D8AFE" w14:textId="77777777" w:rsidR="0047286B" w:rsidRPr="00DB5D0D" w:rsidRDefault="0047286B" w:rsidP="00DB5D0D">
      <w:pPr>
        <w:pStyle w:val="ae"/>
        <w:spacing w:before="0" w:after="0"/>
        <w:jc w:val="both"/>
        <w:rPr>
          <w:color w:val="000000" w:themeColor="text1"/>
          <w:sz w:val="16"/>
          <w:szCs w:val="16"/>
        </w:rPr>
      </w:pPr>
    </w:p>
    <w:p w14:paraId="2C8F52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Доклад начальника Политического управления Красной Армии Л. 3. Мехлиса о военной идеологии'</w:t>
      </w:r>
    </w:p>
    <w:p w14:paraId="114A8A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вопросах военной идеологии мы оказались достаточно беззаботными. В работе давила повседневная текучка, процветал эмпиризм.</w:t>
      </w:r>
    </w:p>
    <w:p w14:paraId="73AEF2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Товарищ Сталин в своей речи на военном совещании в Кремле" поставил перед нами во всю ширь вопросы военной идеологии и вскрыл ряд вопиющих ошибок и промахов.</w:t>
      </w:r>
    </w:p>
    <w:p w14:paraId="19A217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указаний товарища Сталина"* нам необходимо сделать серьезный поворот в сторону военной идеологии. Самая революционная партия в мире должна иметь самую передовую военную идеологию. Нам, военному отряду партии большевиков, не к лицу больше терпеть то отставание в области военной идеологии, которое имеет место.</w:t>
      </w:r>
    </w:p>
    <w:p w14:paraId="7A5EB6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Свое выступление я построил на основе известных вам указаний товарища Сталина и моих бесед по вопросам военной идеологии с народным комиссаром т. Тимошенко.</w:t>
      </w:r>
    </w:p>
    <w:p w14:paraId="1E9EEB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 собой разумеется, что моя первоначальная — я сказал бы, черновая, — наметка по вопросам военной идеологии нуждается в серьезном обсуждении и критике.</w:t>
      </w:r>
    </w:p>
    <w:p w14:paraId="51CB63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Вопросы военной идеологии, если их грубо расчленить, складываются из двух частей диалектически единого целого: а) это вопросы нашей военной доктрины и б) вопросы воспитания армии в широком смысле этого слова.</w:t>
      </w:r>
    </w:p>
    <w:p w14:paraId="02A623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Товарищ Сталин выставил тезис — не возводить в культ опыта гражданской войны, покончить с этим культом. Из этого тезиса вытекает очень многое.</w:t>
      </w:r>
    </w:p>
    <w:p w14:paraId="3AB0C3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Современная большая война, которая может быть навязана капиталистическим миром Советскому Союзу, потребует максимального напряжения всех людских сил и материальных средств нашей страны. Эту будущую войну вплоть до последних лет многие командиры Красной Армии представляли себе как сумму чисто маневренных операций, характеризующихся высокой подвижностью, действиями на флангах и в тылу противника, организацией оперативного охвата, обхода и окружения. Такие товарищи исходили из </w:t>
      </w:r>
      <w:r w:rsidRPr="00DB5D0D">
        <w:rPr>
          <w:rFonts w:ascii="Times New Roman" w:hAnsi="Times New Roman"/>
          <w:iCs/>
          <w:color w:val="000000" w:themeColor="text1"/>
          <w:sz w:val="16"/>
          <w:szCs w:val="16"/>
        </w:rPr>
        <w:t xml:space="preserve">механического </w:t>
      </w:r>
      <w:r w:rsidRPr="00DB5D0D">
        <w:rPr>
          <w:rFonts w:ascii="Times New Roman" w:hAnsi="Times New Roman"/>
          <w:color w:val="000000" w:themeColor="text1"/>
          <w:sz w:val="16"/>
          <w:szCs w:val="16"/>
        </w:rPr>
        <w:t xml:space="preserve">перенесения на будущее опыта гражданской войны в СССР, которая, в силу специфических условий (широкие </w:t>
      </w:r>
      <w:r w:rsidRPr="00DB5D0D">
        <w:rPr>
          <w:rFonts w:ascii="Times New Roman" w:hAnsi="Times New Roman"/>
          <w:color w:val="000000" w:themeColor="text1"/>
          <w:sz w:val="16"/>
          <w:szCs w:val="16"/>
        </w:rPr>
        <w:lastRenderedPageBreak/>
        <w:t>фронты, относительная малочисленность войск, слабость техники, огромная непосредственная роль политических факторов в ходе боев и операций и т. д.), действительно носила почти исключительно маневренный характер.</w:t>
      </w:r>
    </w:p>
    <w:p w14:paraId="2A490F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установки на маневренную войну вырастали и основные положения уставов Красной Армии (в частности, ПУ-36 и проект ПУ-39), оперативнотактические нормы и практика боевой подготовки. Личный состав воспитывался в духе высоких темпов наступления, что фактически вело к пренебрежению огнем противника. Взаимодействие родов войск строилось исходя из расчета на минимальное время артиллерийской подготовки, на легкость преодоления танками оборонительной полосы противника, на возможность изолированных действий танков в глубине неприятельской обороны, в полном отрыве от своей пехоты.</w:t>
      </w:r>
    </w:p>
    <w:p w14:paraId="4FEB01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Теория и практика прорыва укрепленных районов, а также действий в позиционных условиях, в войсках и военных академиях почти не отрабатывались. Культивировалось преувеличенное, неверное представление о боевых возможностях пехоты и конницы, особенно, в наступлении, что приводило к игнорированию артиллерии (метод «ускоренной атаки»), минометов и других средств боевой техники.</w:t>
      </w:r>
    </w:p>
    <w:p w14:paraId="05B366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Такие взгляды и навыки безоговорочно царили в Красной Армии вплоть до 1938 г. В дальнейшем мы получили некоторый опыт войны в Испании, имели боевые действия на озере Хасан и на реке Халхин-Гол, которые частично показали силу современной обороны, продемонстрировали на ряде примеров действительные условия использования родов войск и роль техники, особенно артиллерии. Особенно это ярко сказалось на реке ХалхинГол. Этот опыт нашел лишь слабое отражение в боевой подготовке Красной Армии и в новых проектах уставов (отмена танков ДД, снижение уставных норм темпов наступления, удлинение времени артиллерийской подготовки и т. д.). Несколько большее внимание стали уделять и действиям в позиционных условиях. Однако некоторые товарищи, забывая об ограниченном характере и сравнительно небольших масштабах нового опыта, ударились в противоположную крайность, рассматривая будущую войну как исключительно позиционную.</w:t>
      </w:r>
    </w:p>
    <w:p w14:paraId="4E819F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События в Западной Белоруссии и Западной Украине вновь вызвали усиление теории </w:t>
      </w:r>
      <w:r w:rsidRPr="00DB5D0D">
        <w:rPr>
          <w:rFonts w:ascii="Times New Roman" w:hAnsi="Times New Roman"/>
          <w:iCs/>
          <w:color w:val="000000" w:themeColor="text1"/>
          <w:sz w:val="16"/>
          <w:szCs w:val="16"/>
        </w:rPr>
        <w:t xml:space="preserve">примата маневренных действий, </w:t>
      </w:r>
      <w:r w:rsidRPr="00DB5D0D">
        <w:rPr>
          <w:rFonts w:ascii="Times New Roman" w:hAnsi="Times New Roman"/>
          <w:color w:val="000000" w:themeColor="text1"/>
          <w:sz w:val="16"/>
          <w:szCs w:val="16"/>
        </w:rPr>
        <w:t>а быстрый разгром Польши германской армией, явившийся результатом суммы различных военных, политических и экономических причин, способствовал росту подобных настроений.</w:t>
      </w:r>
    </w:p>
    <w:p w14:paraId="5DD174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Война с Финляндией была первым после гражданской войны 1918— 20 гг. боевым столкновением, в котором наша еще молодая и по существу необстрелянная армия, столкнулась с современными средствами и условиями ведения операции и позиционного боя.</w:t>
      </w:r>
    </w:p>
    <w:p w14:paraId="478175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ходе войны Красная Армия доказала свою преданность Родине, советскому народу и партии, проявила высокую боеспособность. Она победила не только белофиннов, но и их учителей из армий передовых стран капиталистической Европы. Но война с Финляндией в то же время показала, что наша Красная Армия не была еще до этого вполне современной армией. Наш командный состав не учитывал всей специфики боя и операций в условиях высокого насыщения обеих сторон техникой, а также не был подготовлен к прорыву укрепленных районов, и к боям в позиционных условиях. Наша армия была слабо натренирована в боевых действиях зимой. Только теперь, получив опыт войны в Финляндии, Красная Армия </w:t>
      </w:r>
      <w:r w:rsidRPr="00DB5D0D">
        <w:rPr>
          <w:rFonts w:ascii="Times New Roman" w:hAnsi="Times New Roman"/>
          <w:iCs/>
          <w:color w:val="000000" w:themeColor="text1"/>
          <w:sz w:val="16"/>
          <w:szCs w:val="16"/>
        </w:rPr>
        <w:t xml:space="preserve">становится </w:t>
      </w:r>
      <w:r w:rsidRPr="00DB5D0D">
        <w:rPr>
          <w:rFonts w:ascii="Times New Roman" w:hAnsi="Times New Roman"/>
          <w:color w:val="000000" w:themeColor="text1"/>
          <w:sz w:val="16"/>
          <w:szCs w:val="16"/>
        </w:rPr>
        <w:t>на рельсы современной армии, как это убедительно доказал нам товарищ Сталин.</w:t>
      </w:r>
    </w:p>
    <w:p w14:paraId="4C84E7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Война в Финляндии со всей очевидностью вскрыла ряд существенных недочетов в области воспитания нашей Красной Армии. Уровень подготовки командного состава, уровень представлений командиров и бойцов о войне и бое оказался не вполне отвечающим действительным требованиям и реальным условиям современности. Это привело к отдельным неудачам и излишним потерям, вскрыло в ряде случаев низкую тактическую и стрелковую подготовку войск, неподготовленность некоторых командиров и начальников к управлению войсками в современном сложном бою и их неумение правильно использовать технические средства борьбы. Обнаружился также ряд вопиющих недочетов и промахов в содержании пропаганды и агитации.</w:t>
      </w:r>
    </w:p>
    <w:p w14:paraId="21B777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Основными причинами этих отрицательных моментов, несомненно, являются:</w:t>
      </w:r>
    </w:p>
    <w:p w14:paraId="166AFD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Низкая военная культура армейских кадров и вытекающее отсюда искаженное представление о характере современной войны и неправильное понимание советской военной доктрины.</w:t>
      </w:r>
    </w:p>
    <w:p w14:paraId="217DCC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Ложные установки в деле воспитания и пропаганды в Красной Армии (лозунги: непобедимость Красной Армии; армия героев; страна героев и страна патриотов; теория абсолютного технического превосходства Красной Армии, неправильное освещение интернациональных задач и т. д.).</w:t>
      </w:r>
    </w:p>
    <w:p w14:paraId="7223F1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Слабость военно-научной работы в армии и стране, забвение уроков прошлого и, в частности, опыта старой русской армии, пренебрежение к изучению военной теории и культ опыта гражданской войны, тогда как этот опыт не всегда можно применить к условиям современной войны.</w:t>
      </w:r>
    </w:p>
    <w:p w14:paraId="67F1FE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Красная Армия, как и всякая армия, есть инструмент войны. Весь личный состав Красной Армии должен воспитываться в мирное время исходя из общей цели — подготовки к войне. Наша война с капиталистическим миром будет войной справедливой, прогрессивной. Красная Армия будет действовать активно, добиваясь полного разгрома и сокрушения врага, перенося боевые действия на территорию противника. В соответствии с этим надо воспитать весь личный состав армии и всю нашу страну в том духе, что всякая война, которую поведет армия социализма, будет войной прогрессивной, будет самой справедливой из всех войн, которые когда-либо были. На этот счет у Ленина недвусмысленно сказано: «Это была бы война за социализм, за освобождение других народов от буржуазии. Энгельс был совершенно прав, когда в своем письме к Каутскому от 12 сентября 1882 года прямо признавал возможность «оборонительных войн» уже </w:t>
      </w:r>
      <w:r w:rsidRPr="00DB5D0D">
        <w:rPr>
          <w:rFonts w:ascii="Times New Roman" w:hAnsi="Times New Roman"/>
          <w:iCs/>
          <w:color w:val="000000" w:themeColor="text1"/>
          <w:sz w:val="16"/>
          <w:szCs w:val="16"/>
        </w:rPr>
        <w:t xml:space="preserve">победившего </w:t>
      </w:r>
      <w:r w:rsidRPr="00DB5D0D">
        <w:rPr>
          <w:rFonts w:ascii="Times New Roman" w:hAnsi="Times New Roman"/>
          <w:color w:val="000000" w:themeColor="text1"/>
          <w:sz w:val="16"/>
          <w:szCs w:val="16"/>
        </w:rPr>
        <w:t>социализма. Он имел в виду именно оборону победившего пролетариата против буржуазии других стран» (Ленин, том XIX, с. 325)*.</w:t>
      </w:r>
    </w:p>
    <w:p w14:paraId="49BB54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 второе высказывание товарища Ленина: «Победивший пролетариат этой страны, экспроприировав капиталистов и организовав у себя социалистическое производство, встал бы </w:t>
      </w:r>
      <w:r w:rsidRPr="00DB5D0D">
        <w:rPr>
          <w:rFonts w:ascii="Times New Roman" w:hAnsi="Times New Roman"/>
          <w:iCs/>
          <w:color w:val="000000" w:themeColor="text1"/>
          <w:sz w:val="16"/>
          <w:szCs w:val="16"/>
        </w:rPr>
        <w:t xml:space="preserve">против </w:t>
      </w:r>
      <w:r w:rsidRPr="00DB5D0D">
        <w:rPr>
          <w:rFonts w:ascii="Times New Roman" w:hAnsi="Times New Roman"/>
          <w:color w:val="000000" w:themeColor="text1"/>
          <w:sz w:val="16"/>
          <w:szCs w:val="16"/>
        </w:rPr>
        <w:t>остального, капиталистического мира, привлекая к себе угнетенные классы других стран, поднимая в них восстание против капиталистов, выступая в случае необходимости даже с военной силой против эксплуататорских классов и их государств» (Ленин, том XVIII, с. 232-233)*.</w:t>
      </w:r>
    </w:p>
    <w:p w14:paraId="32A29A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Речь идет об активном действии победившего пролетариата и трудящихся капиталистических стран против буржуазии, о таком активном действии, когда инициатором справедливой войны выступит наше государство и его Рабоче-Крестьянская Красная Армия. В этом духе нам нужно воспитывать нашу Красную армию и весь пролетариат, чтобы все знали, что всякая наша война, где бы она ни происходила, является войной прогрессивной и справедливой.</w:t>
      </w:r>
    </w:p>
    <w:p w14:paraId="230D6C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тех войнах, которые нам придется вести, в зависимости от конкретного театра или района, от реального противника и ряда других условий, могут возникнуть и развиваться как маневренные, так и позиционные формы. Не исключена возможность, что позиционная и маневренная формы войны возникнут одновременно на одном и том же театре войны, а тем более на разных. У нас имеются театры войны, которые отличаются друг от друга очень резко, например, север и Закавказье. Примером, когда в общих рамках времени могут сочетаться те и другие формы, служит </w:t>
      </w:r>
      <w:r w:rsidRPr="00DB5D0D">
        <w:rPr>
          <w:rFonts w:ascii="Times New Roman" w:hAnsi="Times New Roman"/>
          <w:iCs/>
          <w:color w:val="000000" w:themeColor="text1"/>
          <w:sz w:val="16"/>
          <w:szCs w:val="16"/>
        </w:rPr>
        <w:t xml:space="preserve">вторая </w:t>
      </w:r>
      <w:r w:rsidRPr="00DB5D0D">
        <w:rPr>
          <w:rFonts w:ascii="Times New Roman" w:hAnsi="Times New Roman"/>
          <w:color w:val="000000" w:themeColor="text1"/>
          <w:sz w:val="16"/>
          <w:szCs w:val="16"/>
        </w:rPr>
        <w:t>империалистическая война в Европе. Военные действия германской армии в Польше начались, развивались и закончились, как чисто маневренные. В то же время на франко-германской границе с первых дней войны возник позиционный фронт, и обе стороны стоят друг против друга уже много месяцев, не решаясь на операции прорыва</w:t>
      </w:r>
      <w:r w:rsidRPr="00DB5D0D">
        <w:rPr>
          <w:rFonts w:ascii="Times New Roman" w:hAnsi="Times New Roman"/>
          <w:color w:val="000000" w:themeColor="text1"/>
          <w:sz w:val="16"/>
          <w:szCs w:val="16"/>
          <w:vertAlign w:val="superscript"/>
        </w:rPr>
        <w:t>62</w:t>
      </w:r>
      <w:r w:rsidRPr="00DB5D0D">
        <w:rPr>
          <w:rFonts w:ascii="Times New Roman" w:hAnsi="Times New Roman"/>
          <w:color w:val="000000" w:themeColor="text1"/>
          <w:sz w:val="16"/>
          <w:szCs w:val="16"/>
        </w:rPr>
        <w:t>. Действия в Норвегии в апреле 1940 г.</w:t>
      </w:r>
      <w:r w:rsidRPr="00DB5D0D">
        <w:rPr>
          <w:rFonts w:ascii="Times New Roman" w:hAnsi="Times New Roman"/>
          <w:color w:val="000000" w:themeColor="text1"/>
          <w:sz w:val="16"/>
          <w:szCs w:val="16"/>
          <w:vertAlign w:val="superscript"/>
        </w:rPr>
        <w:t>63</w:t>
      </w:r>
      <w:r w:rsidRPr="00DB5D0D">
        <w:rPr>
          <w:rFonts w:ascii="Times New Roman" w:hAnsi="Times New Roman"/>
          <w:color w:val="000000" w:themeColor="text1"/>
          <w:sz w:val="16"/>
          <w:szCs w:val="16"/>
        </w:rPr>
        <w:t xml:space="preserve"> были следствием широко задуманного маневренного плана и начали развиваться, как маневренные. Однако на отдельных участках возникали очаги позиционной борьбы в Норвегии.</w:t>
      </w:r>
    </w:p>
    <w:p w14:paraId="550562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Нельзя противопоставлять одни формы другим, ибо следует всегда помнить об их </w:t>
      </w:r>
      <w:r w:rsidRPr="00DB5D0D">
        <w:rPr>
          <w:rFonts w:ascii="Times New Roman" w:hAnsi="Times New Roman"/>
          <w:iCs/>
          <w:color w:val="000000" w:themeColor="text1"/>
          <w:sz w:val="16"/>
          <w:szCs w:val="16"/>
        </w:rPr>
        <w:t xml:space="preserve">диалектическом </w:t>
      </w:r>
      <w:r w:rsidRPr="00DB5D0D">
        <w:rPr>
          <w:rFonts w:ascii="Times New Roman" w:hAnsi="Times New Roman"/>
          <w:color w:val="000000" w:themeColor="text1"/>
          <w:sz w:val="16"/>
          <w:szCs w:val="16"/>
        </w:rPr>
        <w:t>единстве. Надо помнить указание товарища Сталина о том, что «искусство ведения войны в современных условиях состоит в том, чтобы, овладев всеми формами войны и всеми достижениями науки в этой области, разумно их использовать, умело сочетать их или своевременно принимать ту или иную из этих форм, в зависимости от обстановки» (Сталин. К вопросу о стратегии и тактике русских коммунистов. «Коммунистическая революция», № 7 (46), 1923 г., с. 17).</w:t>
      </w:r>
    </w:p>
    <w:p w14:paraId="4A95E9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Нужно учить и воспитывать Красную Армию так, чтобы она в одинаковой степени была подготовлена — и технически, и морально — как к маневренным, так и к позиционным формам борьбы, к прорыву укрепленной полосы противника.</w:t>
      </w:r>
    </w:p>
    <w:p w14:paraId="7422B7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отдать себе отчет и знать, чем мы на сегодня болеем — увлечением примата маневренной войны и недопонимаем борьбы за прорыв современных оборонительных сооружений типа линии Мажино, Зигфрида и им подобных.</w:t>
      </w:r>
    </w:p>
    <w:p w14:paraId="72DD4B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можно говорить о главной опасности сегодня в вопросах военной доктрины, то главной нашей опасностью является недооценка трудностей маневренной войны. Проявляется также и недооценка трудностей прорыва укрепленной полосы.</w:t>
      </w:r>
    </w:p>
    <w:p w14:paraId="2EB39A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Из назначения и характера Красной Армии, как армии социалистического государства, вытекают и основы ее оперативного искусства и тактики. Как правило, Красная Армия будет наступать, применяя все виды наступления, включительно до прорыва долговременных укрепленных полос, и во всех случаях стремясь к полному уничтожению противника и захвату его материальных средств борьбы путем окружения. Именно таким способом Красная Армия прорвала считавшуюся неприступной «линию Маннергейма», разгромила белофиннов и этим доказала на деле свою наступательную силу. Именно таким же путем, путем решительного наступления, была достигнута победа над японо-манчьжурскими захватчиками на реке ХалхинГол. Но активный, наступательный характер оперативно-тактической доктрины Красной Армии отнюдь не исключает возможности и целесообразности как обороны, так даже и временного отступления — в тех случаях, когда последнее необходимо и целесообразно. Надо учитывать конкретную обстановку и когда нужно — уметь отступать, а когда нужно — наступать. Ленин неоднократно указывал, что даже наша партия переживала временные поражения и принуждена была отступать и, отступая, маневрировать. «Нельзя победить, — говорил Ленин, — не научившись правильному наступлению и правильному отступлению» (Ленин, том XXV, с. 177).</w:t>
      </w:r>
    </w:p>
    <w:p w14:paraId="3B4766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Забвение этого правила ведет к пренебрежению законами наступления, которое может быть успешно лишь тогда, «...когда люди не ограничиваются огульным продвижением вперед, а стараются вместе с тем закрепить захваченные позиции, </w:t>
      </w:r>
      <w:r w:rsidRPr="00DB5D0D">
        <w:rPr>
          <w:rFonts w:ascii="Times New Roman" w:hAnsi="Times New Roman"/>
          <w:iCs/>
          <w:color w:val="000000" w:themeColor="text1"/>
          <w:sz w:val="16"/>
          <w:szCs w:val="16"/>
        </w:rPr>
        <w:t xml:space="preserve">перегруппировать </w:t>
      </w:r>
      <w:r w:rsidRPr="00DB5D0D">
        <w:rPr>
          <w:rFonts w:ascii="Times New Roman" w:hAnsi="Times New Roman"/>
          <w:color w:val="000000" w:themeColor="text1"/>
          <w:sz w:val="16"/>
          <w:szCs w:val="16"/>
        </w:rPr>
        <w:t xml:space="preserve">свои силы сообразно с изменившейся обстановкой, </w:t>
      </w:r>
      <w:r w:rsidRPr="00DB5D0D">
        <w:rPr>
          <w:rFonts w:ascii="Times New Roman" w:hAnsi="Times New Roman"/>
          <w:iCs/>
          <w:color w:val="000000" w:themeColor="text1"/>
          <w:sz w:val="16"/>
          <w:szCs w:val="16"/>
        </w:rPr>
        <w:t xml:space="preserve">подтянуть </w:t>
      </w:r>
      <w:r w:rsidRPr="00DB5D0D">
        <w:rPr>
          <w:rFonts w:ascii="Times New Roman" w:hAnsi="Times New Roman"/>
          <w:color w:val="000000" w:themeColor="text1"/>
          <w:sz w:val="16"/>
          <w:szCs w:val="16"/>
        </w:rPr>
        <w:t xml:space="preserve">тылы, </w:t>
      </w:r>
      <w:r w:rsidRPr="00DB5D0D">
        <w:rPr>
          <w:rFonts w:ascii="Times New Roman" w:hAnsi="Times New Roman"/>
          <w:iCs/>
          <w:color w:val="000000" w:themeColor="text1"/>
          <w:sz w:val="16"/>
          <w:szCs w:val="16"/>
        </w:rPr>
        <w:t xml:space="preserve">подвести резервы»' </w:t>
      </w:r>
      <w:r w:rsidRPr="00DB5D0D">
        <w:rPr>
          <w:rFonts w:ascii="Times New Roman" w:hAnsi="Times New Roman"/>
          <w:color w:val="000000" w:themeColor="text1"/>
          <w:sz w:val="16"/>
          <w:szCs w:val="16"/>
        </w:rPr>
        <w:t xml:space="preserve">(Сталин. Вопросы ленинизма. Издание 10е, стр. 336). </w:t>
      </w:r>
      <w:r w:rsidRPr="00DB5D0D">
        <w:rPr>
          <w:rFonts w:ascii="Times New Roman" w:hAnsi="Times New Roman"/>
          <w:iCs/>
          <w:color w:val="000000" w:themeColor="text1"/>
          <w:sz w:val="16"/>
          <w:szCs w:val="16"/>
        </w:rPr>
        <w:t xml:space="preserve">Только </w:t>
      </w:r>
      <w:r w:rsidRPr="00DB5D0D">
        <w:rPr>
          <w:rFonts w:ascii="Times New Roman" w:hAnsi="Times New Roman"/>
          <w:color w:val="000000" w:themeColor="text1"/>
          <w:sz w:val="16"/>
          <w:szCs w:val="16"/>
        </w:rPr>
        <w:t>это помогает избежать неожиданностей и отдельных прорывов, «...от которых не гарантировано ни одно наступление» (Сталин, там же).</w:t>
      </w:r>
    </w:p>
    <w:p w14:paraId="3D267C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Этими законами стратегии и тактики фактически пренебрегают. Организованный отход, организованное отступление на отдельных участках стали считать позором. Боевой устав пехоты прямо ориентирует командиров на бессмысленные жертвы, указывая, что «никакие потери не могут вынудить роту прекратить выполнение боевой задачи, даже если в ней осталось только несколько человек» (БУП-40, ч. II, стр. 7).</w:t>
      </w:r>
    </w:p>
    <w:p w14:paraId="089432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Очевидно, что с теорией огульного наступления надо решительно и быстро покончить, ибо она ведет к зазнайству, шапкозакидательству и однобокости в подготовке армии.</w:t>
      </w:r>
    </w:p>
    <w:p w14:paraId="385494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5. Для того чтобы легче достичь победы малой кровью, Красная Армия должна воспитываться в духе умелого сочетания и содружества родов войск. Нам необходимо отбросить однобокое увлечение одним родом войск в ущерб другим, что в недалеком прошлом привело нас к явному отставанию основной силы современного боя — пехоты, к ее недовооруженности и штатной численной слабости. Эти ошибки мы чувствовали во время боев у Хасана и на Халхин-Голе, и это чувствовалось во время финского похода.</w:t>
      </w:r>
    </w:p>
    <w:p w14:paraId="1FCA26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помнить и неуклонно выполнять указание товарища Сталина о том, что «формы организации армий, роды их и виды войск приспособляются обычно к формам и способам ведения войны. С изменением последних меняются первые. При маневренной войне дело решает часто массовая кавалерия. При позиционной войне, наоборот, кавалерия либо не играет никакой роли, либо — второстепенную роль: тяжелая артиллерия и авиация, газы и танки решают все. Задача военного искусства состоит в том, чтобы обеспечить за собой все роды войск, довести их до совершенства и умело сочетать их действия» (Сталин. К вопросу о стратегии и тактике русских коммунистов. «Коммунистическая революция», № 7(46). 1923 г., с. 15).</w:t>
      </w:r>
    </w:p>
    <w:p w14:paraId="2926EB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этого положения, Красная Армия должна прежде всего высоко поднять престиж своей пехоты, обеспечить ей действительно ведущее место среди прочих родов войск. В то же время следует уделить значительно большее внимание артиллерии — этому «богу войны», не забывая наших задач и по развитию других технических родов войск.</w:t>
      </w:r>
    </w:p>
    <w:p w14:paraId="551545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У нас широко пропагандировался тезис о непобедимости нашей Красной Армии, но история не знает непобедимых армий. Войны прошлого показывают нам, что даже армии, которые десятилетиями одерживали блестящие победы, в известных случаях не только терпели неудачи и поражения, но даже и вовсе рассыпались и переставали существовать. Такая участь, например, постигла армию Наполеона, которая в течение почти двух десятков лет держала под солдатским сапогом всю Европу. Можно также сослаться на японскую армию, которая дважды была бита нашей Красной Армией на отдельных участках*.</w:t>
      </w:r>
    </w:p>
    <w:p w14:paraId="2C1B9E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Война — это уравнение со многими неизвестными; уже одно это опровергает тезис о непобедимости. Армию, безусловно, необходимо воспитывать, чтобы она была уверена в своих силах. Армии надо прививать </w:t>
      </w:r>
      <w:r w:rsidRPr="00DB5D0D">
        <w:rPr>
          <w:rFonts w:ascii="Times New Roman" w:hAnsi="Times New Roman"/>
          <w:iCs/>
          <w:color w:val="000000" w:themeColor="text1"/>
          <w:sz w:val="16"/>
          <w:szCs w:val="16"/>
        </w:rPr>
        <w:t xml:space="preserve">дух уверенности </w:t>
      </w:r>
      <w:r w:rsidRPr="00DB5D0D">
        <w:rPr>
          <w:rFonts w:ascii="Times New Roman" w:hAnsi="Times New Roman"/>
          <w:color w:val="000000" w:themeColor="text1"/>
          <w:sz w:val="16"/>
          <w:szCs w:val="16"/>
        </w:rPr>
        <w:t xml:space="preserve">в свою мощь, но не в смысле хвастовства. Хвастовство о непобедимости приносит вред армии. Между тем в уставах Красной Армии и во всей системе пропаганды и агитации ложное понимание непобедимости Красной Армии нашло самое широкое отражение. Так, проект Полевого устава 1939 г. прямо указывает, что Красная Армия </w:t>
      </w:r>
      <w:r w:rsidRPr="00DB5D0D">
        <w:rPr>
          <w:rFonts w:ascii="Times New Roman" w:hAnsi="Times New Roman"/>
          <w:iCs/>
          <w:color w:val="000000" w:themeColor="text1"/>
          <w:sz w:val="16"/>
          <w:szCs w:val="16"/>
        </w:rPr>
        <w:t xml:space="preserve">«....существует как непобедимая, всесокрушающая сила. Такой она является, такой она всегда будет» </w:t>
      </w:r>
      <w:r w:rsidRPr="00DB5D0D">
        <w:rPr>
          <w:rFonts w:ascii="Times New Roman" w:hAnsi="Times New Roman"/>
          <w:color w:val="000000" w:themeColor="text1"/>
          <w:sz w:val="16"/>
          <w:szCs w:val="16"/>
        </w:rPr>
        <w:t>(ст. 1).</w:t>
      </w:r>
    </w:p>
    <w:p w14:paraId="3A90FD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вредные тенденции довольно широко проявились во время боев у озера Хасан и на реке Халхин-Гол. Особенно остро они сказались также в первый период войны в Финляндии, и за них нам пришлось платить лишней кровью.</w:t>
      </w:r>
    </w:p>
    <w:p w14:paraId="6755D0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Разговоры о непобедимости ведут людей к зазнайству, верхоглядству и пренебрежению военным искусством, а также отдельным поражениям и временным неудачам.</w:t>
      </w:r>
    </w:p>
    <w:p w14:paraId="623168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Неправильно освещаются также интернациональные задачи Красной Армии. В печатной и устной пропаганде на первый план выдвигается тезис об освободительной роли нашей армии. Интернациональные задачи излишне подчеркиваются и в проекте Полевого устава, где сказано, что «Красная</w:t>
      </w:r>
    </w:p>
    <w:p w14:paraId="1C75C5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Армия вступит на территорию нашего врага, как освободительница угнетенных и порабощенных» (ПУ-39, с. 4).</w:t>
      </w:r>
    </w:p>
    <w:p w14:paraId="6D198E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Конечно, во всех случаях, мы, вступив на территорию противника, будем в роли освободителей трудящихся от эксплуататорских классов. Но в практической работе нельзя швыряться лозунгами вообще. Я считаю, что давать такой лозунг в Полевом уставе Красной Армии не нужно. Каждый лозунг должен иметь свое место и свое время. Между тем лозунг об интернациональных задачах Красной Армии сплошь да рядом дается вне времени, без учета условий и без учета того, к кому апеллируют.</w:t>
      </w:r>
    </w:p>
    <w:p w14:paraId="0883B2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первом этапе боевых операций на Халхин-Голе в основу пропаганды был положен лозунг выполнения договора о взаимопомощи с МНР и помощи дружественному монгольскому народу. Этот лозунг оказался малопонятным для красноармейцев, особенно призванных из запаса. Многие не понимали, почему мы заключили договор с МНР. В ходе боев была внесена поправка. Было широко разъяснено, что МНР — это ключ к нашим границам, и что «защищая границы МНР, Красная Армия обороняет территорию Советского Союза от Байкала до Владивостока, препятствует Японии превратить МНР в плацдарм для войны против СССР». Этот лозунг оказался понятным для красноармейцев и командиров. Они поняли значение этой войны для защиты нашей родины, поняли, что они должны выполнять военную присягу.</w:t>
      </w:r>
    </w:p>
    <w:p w14:paraId="3F6E69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Аналогичная ошибка была допущена и в первый период войны с белофиннами, в особенности с правительством Куусинена. Незадачливые политработники механически усвоили лозунг об интернациональных задачах Красной Армии, об освобождении финского народа и обращались с этим лозунгом одинаково как к финскому населению и солдатам, так и к своим войскам. Не учитывали того, что если финскому солдату можно и нужно говорить о том, что Красная Армия несет ему освобождение, то для наших красноармейцев этот лозунг не всегда будет понятен и близок. Там же, </w:t>
      </w:r>
      <w:r w:rsidRPr="00DB5D0D">
        <w:rPr>
          <w:rFonts w:ascii="Times New Roman" w:hAnsi="Times New Roman"/>
          <w:iCs/>
          <w:color w:val="000000" w:themeColor="text1"/>
          <w:sz w:val="16"/>
          <w:szCs w:val="16"/>
        </w:rPr>
        <w:t xml:space="preserve">на </w:t>
      </w:r>
      <w:r w:rsidRPr="00DB5D0D">
        <w:rPr>
          <w:rFonts w:ascii="Times New Roman" w:hAnsi="Times New Roman"/>
          <w:color w:val="000000" w:themeColor="text1"/>
          <w:sz w:val="16"/>
          <w:szCs w:val="16"/>
        </w:rPr>
        <w:t>финском фронте, выходила газета под названием «За коммунизм». Это название я изменил, так как для беспартийных товарищей оно может быть не всегда понятным.</w:t>
      </w:r>
    </w:p>
    <w:p w14:paraId="09BF87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речи товарища Молотова было сказано о том, что Красная Армия ведет войну за безопасность города Ленинграда и наших северо-западных границ, ведет войну за то, чтобы уничтожить военный плацдарм, который готовили противники Советского Союза</w:t>
      </w:r>
      <w:r w:rsidRPr="00DB5D0D">
        <w:rPr>
          <w:rFonts w:ascii="Times New Roman" w:hAnsi="Times New Roman"/>
          <w:color w:val="000000" w:themeColor="text1"/>
          <w:sz w:val="16"/>
          <w:szCs w:val="16"/>
          <w:vertAlign w:val="superscript"/>
        </w:rPr>
        <w:t>64</w:t>
      </w:r>
      <w:r w:rsidRPr="00DB5D0D">
        <w:rPr>
          <w:rFonts w:ascii="Times New Roman" w:hAnsi="Times New Roman"/>
          <w:color w:val="000000" w:themeColor="text1"/>
          <w:sz w:val="16"/>
          <w:szCs w:val="16"/>
        </w:rPr>
        <w:t>. Когда этот правильный лозунг, данный ЦК и Правительством, вновь был подтвержден нашими политработниками, он придал гораздо больший смысл и действенность нашей пропаганде. Этот лозунг был понятным для всего личного состава.</w:t>
      </w:r>
    </w:p>
    <w:p w14:paraId="13BB84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примеры показывают, что наши политработники часто подходят к этим вопросам по-школьному. Усвоив из книг общее и безусловно правильное положение о том, что наша армия является освободительницей трудящихся капиталистических стран, они еще не умеют применять теорию в жизни, вести пропаганду и давать лозунги, исходя из конкретной обстановки.</w:t>
      </w:r>
    </w:p>
    <w:p w14:paraId="1BC46D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Пропаганда технической мощи Красной Армии также была направлена по ложному и вредному пути шапкозакидательства. Бесспорен факт, что наша армия, благодаря сталинским пятилеткам, обладает первоклассной военной техникой, и наши войсковые соединения по количеству и мощи огневых средств превосходят соответствующие соединения армий вероятных противников. Но это еще не означает, что наши технические войска всегда будут иметь преимущество. Огульная, хвастливая пропаганда технической мощи, огульное сравнение веса наших залпов и бомб с весом залпов других армий затушевывают имеющиеся пробелы в области вооружения и ведут к самоуспокоению. Такая пропаганда воспитывает вредный взгляд, что успех, якобы, может решить простое количественное превосходство огня без учета его качества и роли отдельных видов оружия (артиллерия, минометы, ППД*) в конкретных условиях боевой обстановки. Такая пропаганда абсолютного технического превосходства ведет к самоуспокоенности и затушевывает наши серьезные недостатки в области вооружений, а также приводит к недооценке врага.</w:t>
      </w:r>
    </w:p>
    <w:p w14:paraId="59A44F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Проповедуя техническое превосходство Красной Армии, наши уставы, а вслед за ними и вся система пропаганды в то же время неправильно ориентируют войска на необходимость экономии боеприпасов. Так, проект Полевого устава 1939 г. говорит: «Насыщенность войск артиллерией и автоматическим оружием вызывает большой расход боеприпасов. Поэтому весь личный состав РККА должен бережно относиться к каждому снаряду и каждому патрону и умело использовать их в бою» (ст. 21).</w:t>
      </w:r>
    </w:p>
    <w:p w14:paraId="0F8886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требование неправильно. Экономия боеприпасов не является самоцелью. Нужно научиться целесообразно расходовать снаряды и патроны, т. е. метко стрелять как по видимой цели, так и по площадям. Но сама по себе экономия огнеприпасов во время войны нам не нужна. Более того, она вредна, ибо, как показал опыт войны в Финляндии, способствует увеличению потерь с нашей стороны. Необходимо внушить личному составу Красной Армии, всем командирам и красноармейцам, что чем больше снарядов, патронов и мин будет метко выпущено по врагу, тем меньшей кровью наших бойцов будет достигнута победа. Поэтому неправильный лозунг «Экономить снаряды и патроны» должен быть снят и заменен другим лозунгом: «Победа малой кровью достигается выпуском наибольшего количества снарядов и патронов на головы врага».</w:t>
      </w:r>
    </w:p>
    <w:p w14:paraId="03AC38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Грубо ошибочна наша пропаганда, что наша Красная Армия состоит сплошь из грамотных людей. Призывы молодняка в САВО и ЗАКВО показали, что красноармейцы — узбеки, таджики, армяне, грузины и других национальностей — не владеют даже русским языком. Буржуазные националисты основательно поработали, чтобы вытравить изучение русского языка в национальных республиках. С точки зрения армии боец, не владеющий русским языком, больше чем неграмотный, ибо с ним разговаривать нельзя. А между тем у нас поторопились прокричать о ликвидации неграмотности и стали изгонять из частей преподавание русского языка.</w:t>
      </w:r>
    </w:p>
    <w:p w14:paraId="00FFF4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Возвращаюсь к вопросу о культе опыта гражданской войны. Этот культ потащил нас назад особенно в области военной мысли и военной теории. Современные условия боя и операции в корне отличаются от условий гражданской войны. В то время Красная Армия и ее противники почти не имели мощной артиллерии, танков, авиации, минометов, автоматического оружия. В массовом масштабе эти технические средства борьбы вовсе не применялись. Насыщенность фронтов живой силой и техникой была ничтожной. Управление войсками было примитивным, разведка и штабная служба — слабыми.</w:t>
      </w:r>
    </w:p>
    <w:p w14:paraId="765FD4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 товарищи, которые возносят опыт гражданской войны, не понимают и не могут понять современной войны, пренебрегают техникой, недооценивают роль артиллерии, не умеют пользоваться новейшими средствами борьбы. Следовательно, они не усвоили указаний Энгельса о зависимости организации и тактики армии от экономических условий, уровня производства, качества людей и техники и забывают, что «введение технических усовершенствований каждый раз почти насильно вело за собою изменения и даже целые перевороты в способе ведения войны, часто, к тому же, против воли военного начальства» (Энгельс. Избранные военные произведения, т. 1, с. 11).</w:t>
      </w:r>
    </w:p>
    <w:p w14:paraId="5575DB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годы сталинских пятилеток наша армия настолько технически перевооружилась, что мы можем смело сказать, что у нас произошла подлинная техническая революция. Забвение этого положения неизбежно ведет военных руководителей к отставанию, поощряет недостаток военной культуры и способствует застою военной мысли.</w:t>
      </w:r>
    </w:p>
    <w:p w14:paraId="25628D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гражданской войны, конечно, должен изучаться, а ее героические традиции — прививаться в Красной Армии. Но культ этого опыта неизбежно ведет к копированию того, что было характерно для другой эпохи, в качественно иных условиях. Применение опыта гражданской войны в современных боевых условиях было бы, безусловно, ошибочным.</w:t>
      </w:r>
    </w:p>
    <w:p w14:paraId="50E964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Слепое преклонение перед опытом гражданской войны мешает выдвижению молодых, способных командиров, понимающих условия современного боя, хорошо владеющих военной техникой и военным искусством. Линия на выдвижение и назначение на высшие должности только участников гражданской войны должна быть осуждена. Нельзя, наконец, забывать, что чем дальше, тем больше суживается наш выбор из участников гражданской войны. Талантливые молодые кадры, которые, по выражению товарища Сталина, виноваты лишь в том, что родились после гражданской войны, надо смело выдвигать на руководящие посты.</w:t>
      </w:r>
    </w:p>
    <w:p w14:paraId="24B9B1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Военно-научная работа в Красной Армии резко отстает от требований, предъявляемых к передовой советской науке. Военная мысль скована, ее развитие не поощряется и потому она костенеет. Авторы книг и статей по вопросам военной теории чувствуют себя связанными, и боятся уклониться от уставов, хотя некоторые из них требуют переработки и исправлений. Военные журналы и газета «Красная звезда» ограничиваются популяризацией, и подчас плохой, уставных положений, не ставят новых, острых и принципиальных вопросов. Дискуссия в военной печати отсутствует, живой мысли и творческого обмена мнениями нет.</w:t>
      </w:r>
    </w:p>
    <w:p w14:paraId="02ED42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полном загоне находится дело иностранной военной мысли и иностранных языков. Плохо переводится иностранная военная литература. Даже официальные материалы первой мировой империалистической войны до сих пор полностью не изданы. Слабо изучается военная история, в особенности русская. У нас проводится неправильное охаивание старой армии, а между тем мы имели таких замечательных генералов царской армии, как Суворов, Кутузов, Багратион, которые останутся всегда в памяти народа как великие русские полководцы и которых чтит Красная Армия, унаследовавшая лучшие боевые традиции русского солдата. Эти выдающиеся полководцы забыты, их военное искусство не показано в литературе и остается неизвестным командному составу.</w:t>
      </w:r>
    </w:p>
    <w:p w14:paraId="63162B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Суворовский музей в Ленинграде ликвидирован, а его богатейшие фонды, переданные в Артиллерийский исторический музей РККА, фактически не используются. Красная Армия не имеет Центрального военного музея и самостоятельной центральной военной библиотеки. Музейные и военные библиотечные фонды разбросаны и недоступны для широкого пользования. В забвении находятся материалы центральных и местных военных архивов. Пользование ими неосновательно ограничено, а сами архивы целиком переданы в НКВД</w:t>
      </w:r>
      <w:r w:rsidRPr="00DB5D0D">
        <w:rPr>
          <w:rFonts w:ascii="Times New Roman" w:hAnsi="Times New Roman"/>
          <w:color w:val="000000" w:themeColor="text1"/>
          <w:sz w:val="16"/>
          <w:szCs w:val="16"/>
          <w:vertAlign w:val="superscript"/>
        </w:rPr>
        <w:t>65</w:t>
      </w:r>
      <w:r w:rsidRPr="00DB5D0D">
        <w:rPr>
          <w:rFonts w:ascii="Times New Roman" w:hAnsi="Times New Roman"/>
          <w:color w:val="000000" w:themeColor="text1"/>
          <w:sz w:val="16"/>
          <w:szCs w:val="16"/>
        </w:rPr>
        <w:t>, и их научная работа оторвана от Генерального штаба и Центральных управлений НКО. Военно-исторический отдел Генштаба работает совершенно неудовлетворительно и не выполняет задач организатора пропаганды военно-исторических знаний в толще армии. Все это приводит к игнорированию конкретного исторического опыта, а между тем самый лучший учитель — это история.</w:t>
      </w:r>
    </w:p>
    <w:p w14:paraId="6497E2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Вступая в войну с Финляндией, наш основной командный состав не знал, что Россия в XVIII—XIX вв. четыре раза воевала на этом театре, и том числе и зимой (Северная война 1700—1721 гг., войны Елизаветы, Екатерины II и война 1808—1809 гг.). Эти войны, особенно война 1808—1809 гг., дали опыт, во многом поучительный и для армии, но даже и для военных академий, в том числе и академии Генштаба. Мы имеем, пусть небольшой, опыт войны у озера Хасан, на реке Халхин-Гол, а также опыт похода на Западную Украину и Западную Белоруссию, но он неизвестен нашему начальствующему составу. Материалы об этих боях лежат под спудом в Генеральном штабе.</w:t>
      </w:r>
    </w:p>
    <w:p w14:paraId="31E687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Материалы, издаваемые Разведывательным управлением, освещающие и обобщающие новейший боевой опыт (войны в Абиссинии, Испании, германо-польская и война в Европе), излишне засекречены, скучны и широким кругам военных читателей просто неизвестны.</w:t>
      </w:r>
    </w:p>
    <w:p w14:paraId="73F1F6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помнить указание Ленина, что марксизм не догма, а руководство к действию. Точно также и военная наука не должна носить характер догмы и обязана быть руководством к живому действию. Закостенелость военной мысли не к лицу большевикам. Самая передовая революционная партия в мире должна иметь передовую военную науку.</w:t>
      </w:r>
    </w:p>
    <w:p w14:paraId="247D6B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Совершенно неудовлетворительно поставлено изучение армий вероятных противников и возможных театров военных действий, а имеющиеся разведывательные данные слишком засекречены и не делаются достоянием начальствующего состава.</w:t>
      </w:r>
    </w:p>
    <w:p w14:paraId="7AA2EF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Глубоко вкоренился вредный предрассудок, что, якобы, население стран, вступающих в войну с СССР, неизбежно, и чуть ли не поголовно, восстанет и будет переходить на сторону Красной Армии, что рабочие и крестьяне будут нас встречать с цветами*. Это ложное убеждение вырастает из незнания действительной обстановки в сопредельных странах. Война в Финляндии показала, что мы не вели политической разведки в северных районах и поэтому не знали, с какими лозунгами идти к этому населению и как вести работу среди него. Мы часто обходились с крестьянами как с рабочим классом, а оказывается, что этот крестьянин крупный кулак, шюцкоровец, и он реагирует по-своему. Столкновение с действительностью размагничивает нашего бойца и командира, привыкшего рассматривать население зарубежных стран с общей — поверхностной точки зрения. Нам нужно знать, чем живет и интересуется население той или иной страны.</w:t>
      </w:r>
    </w:p>
    <w:p w14:paraId="57D8E0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сказать, что в области политического изучения противника мы сделали не одну ошибку и имеем небольшие достижения по работе среди войск и населения противника. Лишь в начале 1939 г. были введены редакции газет на иностранных языках, но они еще далеко не отвечают требованиям, ибо не обладают литераторами, достаточно хорошо знающими язык, быт, историю и культуру соответствующих стран. Если хочешь как следует разгромить противника, надо как следует его знать. Надо этим делом серьезно заняться. В отношении армий малых сопредельных с Советским Союзом стран у наших командиров и политработников заметно пренебрежение и высокомерность. Эта недооценка вооруженных сил малых стран неправильна и вредна, ибо, когда эти малые страны выступят на стороне крупных империалистических держав против СССР, они сумеют притянуть на себя значительные силы Красной Армии, если мы будем их недооценивать и не будем знать их театра и методов войны. Следовательно, надо внимательно изучать и знать слабые и сильные стороны всех армий сопредельных стран, в том числе и малых.</w:t>
      </w:r>
    </w:p>
    <w:p w14:paraId="361758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Однобокое культивирование тезиса о непобедимости Красной Армии, шаблон в пропаганде героизма, зазнайство и шапкозакидательство снижают воспитание красноармейцев. Военная пропаганда среди населения также исходит преимущественно из культа, опыта и традиций гражданской войны. Забываются требования, предъявляемые к глубокому тылу в условиях современной войны. В нашей пропаганде не учитывается, что в армию идет молодежь, не закаленная трудом, не имеющая сурового жизненного опыта. Наша страна дает красноармейцев во все возрастающем количестве, но это не те люди, которые вливались в армию прежде. Я лично знаю, что такое солдат старой армии — он был закален суровыми условиями своей жизни, он гнул горб у помещика и всячески им эксплуатировался. Сейчас в армию идут молодые люди с десятилетним образованием, но не имеющие жизненного опыта. Они часто не знают, что такое лопата, не знают, как косить, не знают самого элементарного, они не переносили тяжести жизни.</w:t>
      </w:r>
    </w:p>
    <w:p w14:paraId="38A5D0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нами стоит очень сложный вопрос, что сделать, чтобы приходящая в армию молодежь была бы натренирована на физической работе до армии. Нам нужно немедленно обратить внимание на физическую культуру молодежи.</w:t>
      </w:r>
    </w:p>
    <w:p w14:paraId="4C326F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Когда мы призываем в армию новое пополнение, мы почти не говорим, что наш красноармеец должен быть готовым к некоторым лишениям и трудностям походной жизни. Часто лакируют действительность, изображают Красную Армию, как какой-то университет.</w:t>
      </w:r>
    </w:p>
    <w:p w14:paraId="45EF5C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гражданских журналах и газетах военная пропаганда находится на задворках, и мы плохо занимаемся военизацией населения.</w:t>
      </w:r>
    </w:p>
    <w:p w14:paraId="0AB01B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Военные отделы партийных комитетов мало уделяют внимания идеологической подготовке населения к войне, плохо занимаются военизацией населения, не заботятся о постоянном совершенствовании военных знаний коммунистов и комсомольцев.</w:t>
      </w:r>
    </w:p>
    <w:p w14:paraId="2112CF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Нам нужно подумать и над тем, чтобы совершенствовать военные знания начсостава запаса. Нужно нацеливать людей на военную переподготовку. Почему нельзя время от времени собирать запас и вести с ним занятия?</w:t>
      </w:r>
    </w:p>
    <w:p w14:paraId="69A6AC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у нас в армии, а также, пожалуй, и в стране, спорт находится в загоне. В армии инспекция физкультуры занимается фокусами, а серьезной подготовки в армии не ведет. Лыжное дело, к нашему стыду, оказалось у нас на задворках, тогда как оно может и должно стать нашим родным спортом. То же и со стрелковым делом.</w:t>
      </w:r>
    </w:p>
    <w:p w14:paraId="3A434E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нам необходимо для поднятия военной идеологии и военной науки на уровень требований современной войны?</w:t>
      </w:r>
    </w:p>
    <w:p w14:paraId="433A27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этого нужно, прежде всего, ликвидировать болтовню о непобедимости Красной Армии, ликвидировать зазнайство, верхоглядство и шапкозакидательство. Нам нужно прекратить разговоры о том, что Красная Армия непобедима, а больше говорить о том, что мы должны многому учиться, чтобы идти вперед. Хвастовство сейчас чувствуется в кадрах нашей армии. Нам необходимо отказаться от топтания военной мысли на ступени военного искусства эпохи гражданской войны и переключить ее на изучение и обобщение более широкого опыта, начиная от первой империалистической войны и до современных войн. В условиях ведения войн многое изменилось, а поэтому и наши требования, а также и задачи, должны быть обновленными. Нужно гибче, быстрее делать выводы из того нового, что вносит в военное дело современность, и немедленно претворять эти выводы в жизнь, как в области усовершенствования техники, так и развития тактики и оперативного искусства.</w:t>
      </w:r>
    </w:p>
    <w:p w14:paraId="290B94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по-новому подходить к подбору кадров на руководящие посты в армии. Мерилом для выдвижения кадров надо сделать степень понимания командиром условий современной войны, а также сделать все необходимые выводы из постановления партии и Правительства о введении звания генералов. Командир должен быть полновластным, волевым командиром, способным со всей ответственностью и знанием дела решать задачи, к которым он призван, а не плестись в хвосте событий или за плечами комиссара.</w:t>
      </w:r>
    </w:p>
    <w:p w14:paraId="3C51A0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повысить военную культуру наших командных кадров, в особенности наших общевойсковых командиров, которые обязаны знать общевойсковой бой, артиллерию, авиацию, танки, минометы, автоматическое оружие, — все, что есть на вооружении, и правильно руководить их использованием.</w:t>
      </w:r>
    </w:p>
    <w:p w14:paraId="228761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Вся учеба и вся жизнь Красной Армии должна быть построена применительно к условиям боевой обстановки. Надо научить этому командиров, надо, чтобы командиры не ленились пойти в поле, в лес, помня, что боеспособность армии куется в мирное время. Маневры надо проводить и зимой. Только летними маневрами мы не можем ограничиться, ибо придется воевать не только летом, но и в стужу. Надо отбросить обывательское отношение к учебе, когда, исходя из чувства ложной жалости к людям, боятся вывести часть для занятий в поле, в период морозов или дождей. Наоборот, надо всячески повышать физическое воспитание личного состава, развивать у бойцов и командиров силу, ловкость, сноровку, воинственность, тренируя их в разнообразных метеорологических условиях.</w:t>
      </w:r>
    </w:p>
    <w:p w14:paraId="3EBA60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Всеми мерами прививать личному составу Красной Армии воинский дух, воспитывать его на положительных примерах истории русской армии, ее традициях и стойкости ее солдат.</w:t>
      </w:r>
    </w:p>
    <w:p w14:paraId="0F0EE2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Изжить широко развитый в армии либерализм в отношении к людям, нарушающим уставные положения и воинскую дисциплину.</w:t>
      </w:r>
    </w:p>
    <w:p w14:paraId="4915A8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вводить в степень культа положение, что Красная Армия должна всегда и всюду только наступать.</w:t>
      </w:r>
    </w:p>
    <w:p w14:paraId="5EEAD4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Не следует считать отступление в соответствующих условиях позором. Нужно учить людей не только искусству наступления, но и организованному отступлению, когда этого требует обстановка. В то же время следует обучать войска активной обороне, ибо принцип пассивной обороны несовместим с современной армией. Мы знаем случай, когда 163-я стрелковая дивизия выручала 54-ю и потеряла людей в несколько раз больше. Поэтому нужно решительно повести борьбу против пассивной обороны.</w:t>
      </w:r>
    </w:p>
    <w:p w14:paraId="71D420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Ликвидировать упрощенчество в воспитании командного состава армии. До настоящего времени обучение командного состава носит школьнический характер, в силу чего убивается самостоятельность и инициатива. Воспитательная работа страдает шаблоном и схематизмом. Командиры не знают и не изучают иностранных языков, что является большой помехой в деле повышения их культурного уровня. А ведь, по-настоящему, наш командир должен знать русский, японский и немецкий языки. Знание иностранных языков должно соприкасаться с его продвижением по службе. У нас с переводчиками просто позорное положение. Сейчас нам нужно эти вопросы поставить, обсудить их так, чтобы не возвращаться к ним еще раз.</w:t>
      </w:r>
    </w:p>
    <w:p w14:paraId="7201DE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того чтобы иметь грамотного и культурного командира, необходимо обучение и воспитание направить на то, чтобы воспитывать у начальствующего состава командирскую этику и мораль, честь и достоинство, любовь к военному делу и своей части. Необходимо воспитывать четкого, организованного в работе командира, не теряющего ни минуты учебного времени. Необходимо повести борьбу с ложным демократизмом, который подрывает основу дисциплины. Необходимо добиться, чтобы решение о генералах было правильно понято, и чтобы мы воспитали полновластного, волевого командира.</w:t>
      </w:r>
    </w:p>
    <w:p w14:paraId="4CD113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Основой основ воспитания командного состава должно быть глубокое изучение истории ВКП(б), военной истории, широкое освоение военной литературы.</w:t>
      </w:r>
    </w:p>
    <w:p w14:paraId="0BF3FE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Особо стоит вопрос о чести, этике, морали и правдивости. Эти вопросы чести, морали, отношения к жене и проч. должны быть отработанными. Мы очень часто уверяем себя в том, что если человек является коммунистом, то он, якобы, делает все хорошо, и мы забываем о его проверке. Нам нужно сказать, что воспитание царских офицеров было поставлено так, что они никогда не валялись в канавах. Они пили и гуляли, но делали все закрыто, и это не было достоянием масс. У нас же сейчас очень часто бывают открытые пьянки, и часто за это командир или красноармеец не несет наказания.</w:t>
      </w:r>
    </w:p>
    <w:p w14:paraId="2A6F6A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Пропаганда в Красной Армии не должна ограничиваться только теорией и историей большевистской партии. Было ошибкой то, что мы увлеклись только пропагандой «Краткого курса истории ВКП(б)» и забыли пропаганду, обязывающую реагировать на все. Пропаганда военной культуры и знаний еще не стала неотъемлемой частью всей воспитательной работы в Красной Армии. Необходимо помочь начальствующему составу изучить военную историю, освоить специальную и военно-историческую литературу, в совершенстве овладеть военным искусством.</w:t>
      </w:r>
    </w:p>
    <w:p w14:paraId="0F556F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Пропаганда военной культуры и военных знаний должна исходить из специфических особенностей родов войск (пехота, авиация, танки, артиллерия, конница), воспитывать начсостав в духе неуклонного выполнения уставов и приказов и толкать к постоянному усовершенствованию.</w:t>
      </w:r>
    </w:p>
    <w:p w14:paraId="5BA3EB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Нужно прекратить неправильное освещение интернациональных задач Красной Армии и разъяснить личному составу, что наша главная и основная задача — это активная защита Советского Союза.</w:t>
      </w:r>
    </w:p>
    <w:p w14:paraId="3A9151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Создать в системе Генерального штаба авторитетный отдел по исследованию опыта войн; передать ему функции существующего военно-исторического отдела и Разведывательного управления РККА (последнего — в части разработки опыта современных войн), а также руководство научно-исследовательской работой Академии Генерального штаба и Военной академии имени Фрунзе, ведение военными архивами, музеями, центральной военной библиотекой.</w:t>
      </w:r>
    </w:p>
    <w:p w14:paraId="73E9BE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Создать в Москве Военно-научное общество с филиалами в центрах наиболее крупных военных округов. В организациях этого общества систематически проводить научные конференции, (общевойсковые, и по родам войск), ставить доклады и лекции, организовывать диспуты в частях и ДКА, обсуждать новые вопросы военного искусства. Привлечь к активной работе в обществе кафедры военных академий, превратив их в подлинные научно-исследовательские центры.</w:t>
      </w:r>
    </w:p>
    <w:p w14:paraId="694612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Укрепить руководство и аппарат редакции газеты НКО «Красная звезда» кадрами командного состава и квалифицированными военно-научными работниками. Считать необходимым, чтобы ответственные редакторы (или их заместители) центральной и окружных военных газет были лицами командного состава. Ввести в газете «Красная звезда» дискуссионный отдел.</w:t>
      </w:r>
    </w:p>
    <w:p w14:paraId="40455B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Укрепить Государственное военное издательство НКО квалифицированным руководством и военно-научными кадрами. Организовать Редакционно-издательский совет из представителей центральных управлений НКО, Военно-научного общества и военных академий.</w:t>
      </w:r>
    </w:p>
    <w:p w14:paraId="3FC563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что литература издается явно недостаточными тиражами, и часто издаются ненужные вещи в ущерб тому, что могло бы принести пользу для воспитания армии, — дать четкую программу для работы Воениздата.</w:t>
      </w:r>
    </w:p>
    <w:p w14:paraId="127FF6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Разработать и издать «Библиотеку командира» и «Библиотеку младшего командира» применительно к родам войск и разным категориям начальствующего состава.</w:t>
      </w:r>
    </w:p>
    <w:p w14:paraId="523221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Усилить издание переводной военной литературы, особенно об опыте современных войн.</w:t>
      </w:r>
    </w:p>
    <w:p w14:paraId="68446E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Перестроить работу военных журналов. Во всех журналах создать работоспособные редакционные коллегии и ввести штатных ответственных редакторов. Пересмотреть состав работников редакций, укрепив их квалифицированными военно-научными кадрами</w:t>
      </w:r>
      <w:r w:rsidRPr="00DB5D0D">
        <w:rPr>
          <w:rFonts w:ascii="Times New Roman" w:hAnsi="Times New Roman"/>
          <w:color w:val="000000" w:themeColor="text1"/>
          <w:sz w:val="16"/>
          <w:szCs w:val="16"/>
          <w:vertAlign w:val="superscript"/>
        </w:rPr>
        <w:t>66</w:t>
      </w:r>
      <w:r w:rsidRPr="00DB5D0D">
        <w:rPr>
          <w:rFonts w:ascii="Times New Roman" w:hAnsi="Times New Roman"/>
          <w:color w:val="000000" w:themeColor="text1"/>
          <w:sz w:val="16"/>
          <w:szCs w:val="16"/>
        </w:rPr>
        <w:t>.</w:t>
      </w:r>
    </w:p>
    <w:p w14:paraId="244968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Снять с военных журналов гриф «Орган Народного Комиссариата Обороны» (или соответствующего Управления НКО), что превращает их в официоз и мешает им смело ставить на своих страницах новые, дискуссионные вопросы. Журнал «Военная мысль» сделать целиком дискуссионным; в остальных журналах ввести дискуссионные отделы, не забывая, однако, что армия не дискуссионный клуб и что журналы обязаны широко пропагандировать уставные положения. Популяризировать на страницах журналов литературу, передающую опыт современных войн.</w:t>
      </w:r>
    </w:p>
    <w:p w14:paraId="2F305F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Создать Центральную военную библиотеку НКО на базе Военного отдела библиотеки им. Ленина.</w:t>
      </w:r>
    </w:p>
    <w:p w14:paraId="6DCC70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Организовать Центральный военный музей, включив в него музей Красной Армии ЦДКА.</w:t>
      </w:r>
    </w:p>
    <w:p w14:paraId="570828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необходимым организацию массового, популярного военного журнала, рассчитанного на широкие круги молодежи.</w:t>
      </w:r>
    </w:p>
    <w:p w14:paraId="6F0484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объединения деятельности общественных организаций (профсоюзы, комсомол, Осоавиахим, спортивные общества, печать, кино, радио, театр) в области военной пропаганды среди населения считать целесообразным создание отдела военной пропаганды в составе Управления пропаганды и агитации ЦК ВКП(б).</w:t>
      </w:r>
    </w:p>
    <w:p w14:paraId="1B53F3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Современная война требует образованного в военном отношении, культурного и высококвалифицированного командира, а также развитого, хорошо подготовленного и владеющего военной техникой красноармейца.</w:t>
      </w:r>
    </w:p>
    <w:p w14:paraId="7EBC24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Красная Армия обладает отличной техникой и замечательными людьми. В этом смысле она уже передовая. Надо сделать ее передовой также и в отношении военной науки и военной культуры. Это одно из главных условий для достижения победы в будущих войнах малой кровью.</w:t>
      </w:r>
    </w:p>
    <w:p w14:paraId="12DFDB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9. Оп. 36. Д. 4252. Л. 114а—154.</w:t>
      </w:r>
    </w:p>
    <w:p w14:paraId="30E734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Опуб.: </w:t>
      </w:r>
      <w:r w:rsidRPr="00DB5D0D">
        <w:rPr>
          <w:rFonts w:ascii="Times New Roman" w:hAnsi="Times New Roman"/>
          <w:color w:val="000000" w:themeColor="text1"/>
          <w:sz w:val="16"/>
          <w:szCs w:val="16"/>
        </w:rPr>
        <w:t>Исторический архив. 1997. № 5—6. С. 82—99 (11773).</w:t>
      </w:r>
    </w:p>
    <w:p w14:paraId="30C751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993EC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вышел приказ НКО "О боевой и политической подготовке войск на летний период 1940 (356,82).</w:t>
      </w:r>
    </w:p>
    <w:p w14:paraId="6ADB2DC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777BD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03D7A80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355C6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В.М.М. в телеграмме германскому руководству в связи с началом германского наступления в Бельгии, Голландии и Люксембурге пожелал немецким войскам успеха (1348,244).</w:t>
      </w:r>
    </w:p>
    <w:p w14:paraId="0CB93B9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2EAB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в день наступления на Западе немецких войск, Рейно звонил Черчилю, чтобы сообщить о готовности Вейгана бомбить Баку с 15 мая, а собственно сами англичане вплоть до нападения Германии на СССР не исключали возможности ударов по Баку с целью не использования советской нефти Германией (3154).</w:t>
      </w:r>
    </w:p>
    <w:p w14:paraId="4E78087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E927E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4AB9F2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7049E69"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мая в 1940 году совершил свой пробный полет первый прототип немецкого дальнего бомбардировщика </w:t>
      </w:r>
      <w:hyperlink r:id="rId26" w:tgtFrame="_blank" w:history="1">
        <w:r w:rsidRPr="00DB5D0D">
          <w:rPr>
            <w:rFonts w:ascii="Times New Roman" w:hAnsi="Times New Roman"/>
            <w:color w:val="000000" w:themeColor="text1"/>
            <w:sz w:val="16"/>
            <w:szCs w:val="16"/>
          </w:rPr>
          <w:t>«Ar-240» (14887).</w:t>
        </w:r>
      </w:hyperlink>
    </w:p>
    <w:p w14:paraId="373E11CA"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674F348C" w14:textId="77777777" w:rsidR="00127595" w:rsidRPr="00DB5D0D" w:rsidRDefault="0012759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мая 1940 - Cовершил свой пробный полет первый прототип тяжёлого истребителя, пикировщика и разведчика Ar-240 (22507).</w:t>
      </w:r>
    </w:p>
    <w:p w14:paraId="649FBE64" w14:textId="77777777" w:rsidR="00127595" w:rsidRPr="00DB5D0D" w:rsidRDefault="00127595" w:rsidP="00DB5D0D">
      <w:pPr>
        <w:shd w:val="clear" w:color="auto" w:fill="FFFFFF"/>
        <w:spacing w:after="0" w:line="240" w:lineRule="auto"/>
        <w:jc w:val="both"/>
        <w:rPr>
          <w:rFonts w:ascii="Times New Roman" w:hAnsi="Times New Roman"/>
          <w:color w:val="0070C0"/>
          <w:sz w:val="16"/>
          <w:szCs w:val="16"/>
        </w:rPr>
      </w:pPr>
    </w:p>
    <w:p w14:paraId="5F57F2DE" w14:textId="77777777" w:rsidR="00127595" w:rsidRPr="00DB5D0D" w:rsidRDefault="0012759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мая 1940 Германия вторгается во Францию, Нидерланды, Бельгию и Люксембург. Десантники снова играют ключевую роль. Немецкая авиация стала сюрпризом самолетов Advanced Air Force Королевских ВВС, но наносит только легкий ущерб. Тридцать три Бленхейма атаковали немецкий транспортный самолет и другие цели в Нидерландах, потеряв три самолета. В полдень 32 Fairey Battles атаковали немецкие наземные силы в Люксембурге, потеряв 13 самолетов, сбитых, а остальные повреждеными; второй налет 32 Battles привел к потере еще 10 самолетов. В течение дня ВВС Нидерландов теряют примерно половину своих самолетов, а ВВС Бельгии - примерно четверть своих самолетов, в общей сложности более 100 самолетов; Франция теряет четыре из своих 879 боеготовых самолетов, уничтоженных на земле и 30 поврежденных, в то время как Королевские ВВС теряют шесть уничтоженных и 12 выведенных из строя самолетов из 384 развернутых во Франции. Голландские и бельгийские самолеты и зенитнная артиллерия сбивают 230 немецких самолетов, в том числе большинство транспортных из Германии. Германия уничтожаетяет более 44 самолетов французских и британских войск над Францией. Немцы впервые используют десантные планеры в действии в битве Эбен-Эмаэль когда 41 ДФС 230 планеров каждый из которых нес десять солдат отцепляются от Junkers Ju 52. Десять планеров приземляются на покрытую травой крышу крепости. Всего через двадцать минут после приземления немцы нейтрализовали крепость ценой шести убитых и двадцати раненых (20795).</w:t>
      </w:r>
    </w:p>
    <w:p w14:paraId="4C0D281B" w14:textId="77777777" w:rsidR="00127595" w:rsidRPr="00DB5D0D" w:rsidRDefault="00127595" w:rsidP="00DB5D0D">
      <w:pPr>
        <w:spacing w:after="0" w:line="240" w:lineRule="auto"/>
        <w:jc w:val="both"/>
        <w:rPr>
          <w:rFonts w:ascii="Times New Roman" w:hAnsi="Times New Roman"/>
          <w:color w:val="0070C0"/>
          <w:sz w:val="16"/>
          <w:szCs w:val="16"/>
        </w:rPr>
      </w:pPr>
    </w:p>
    <w:p w14:paraId="2FC87E82" w14:textId="77777777" w:rsidR="00127595" w:rsidRPr="00DB5D0D" w:rsidRDefault="0012759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мая 1940 - Четыреста вооруженных немецких десантников высадились из сорока одного планера DFS 230 у бельгийского форта Эбен-Эмаель и захватили его. Позднее, уже на острове Крит, немецкие "коммандос" выпрыгивали из дверей планеров DFS 230, чтобы обеспечить посадку транспортных самолетов с тяжелым вооружением. В этот день Германия силами 135 дивизий вторгается в Бельгию, Нидерланды и Люксембург. Начало французской кампании вермахта, завершившейся разгромом французской армии и оккупацией значительной части Франции (22507).</w:t>
      </w:r>
    </w:p>
    <w:p w14:paraId="39AA0DE1" w14:textId="77777777" w:rsidR="00127595" w:rsidRPr="00DB5D0D" w:rsidRDefault="00127595" w:rsidP="00DB5D0D">
      <w:pPr>
        <w:spacing w:after="0" w:line="240" w:lineRule="auto"/>
        <w:jc w:val="both"/>
        <w:rPr>
          <w:rFonts w:ascii="Times New Roman" w:hAnsi="Times New Roman"/>
          <w:color w:val="0070C0"/>
          <w:sz w:val="16"/>
          <w:szCs w:val="16"/>
        </w:rPr>
      </w:pPr>
    </w:p>
    <w:p w14:paraId="4BE3439C" w14:textId="77777777" w:rsidR="00127595" w:rsidRPr="00DB5D0D" w:rsidRDefault="0012759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10 мая 1940 года первые бомбовые удары выполнили Амио 143 из 22-й, 34-й, 38-й и 63-й бомбардиро</w:t>
      </w:r>
      <w:r w:rsidRPr="00DB5D0D">
        <w:rPr>
          <w:rFonts w:ascii="Times New Roman" w:hAnsi="Times New Roman"/>
          <w:color w:val="0070C0"/>
          <w:sz w:val="16"/>
          <w:szCs w:val="16"/>
          <w:lang w:eastAsia="ru-RU" w:bidi="ru-RU"/>
        </w:rPr>
        <w:softHyphen/>
        <w:t>вочных групп, действуя почти всегда ночью. А всего до капи</w:t>
      </w:r>
      <w:r w:rsidRPr="00DB5D0D">
        <w:rPr>
          <w:rFonts w:ascii="Times New Roman" w:hAnsi="Times New Roman"/>
          <w:color w:val="0070C0"/>
          <w:sz w:val="16"/>
          <w:szCs w:val="16"/>
          <w:lang w:eastAsia="ru-RU" w:bidi="ru-RU"/>
        </w:rPr>
        <w:softHyphen/>
        <w:t>туляции они успели израсхо</w:t>
      </w:r>
      <w:r w:rsidRPr="00DB5D0D">
        <w:rPr>
          <w:rFonts w:ascii="Times New Roman" w:hAnsi="Times New Roman"/>
          <w:color w:val="0070C0"/>
          <w:sz w:val="16"/>
          <w:szCs w:val="16"/>
          <w:lang w:eastAsia="ru-RU" w:bidi="ru-RU"/>
        </w:rPr>
        <w:softHyphen/>
        <w:t xml:space="preserve">довать лишь 528 т бомб. Части, вооруженные М.В. </w:t>
      </w:r>
      <w:r w:rsidRPr="00DB5D0D">
        <w:rPr>
          <w:rFonts w:ascii="Times New Roman" w:hAnsi="Times New Roman"/>
          <w:color w:val="0070C0"/>
          <w:sz w:val="16"/>
          <w:szCs w:val="16"/>
          <w:lang w:bidi="en-US"/>
        </w:rPr>
        <w:t>210</w:t>
      </w:r>
      <w:r w:rsidRPr="00DB5D0D">
        <w:rPr>
          <w:rFonts w:ascii="Times New Roman" w:hAnsi="Times New Roman"/>
          <w:color w:val="0070C0"/>
          <w:sz w:val="16"/>
          <w:szCs w:val="16"/>
          <w:lang w:val="en-US" w:bidi="en-US"/>
        </w:rPr>
        <w:t>BN</w:t>
      </w:r>
      <w:r w:rsidRPr="00DB5D0D">
        <w:rPr>
          <w:rFonts w:ascii="Times New Roman" w:hAnsi="Times New Roman"/>
          <w:color w:val="0070C0"/>
          <w:sz w:val="16"/>
          <w:szCs w:val="16"/>
          <w:lang w:bidi="en-US"/>
        </w:rPr>
        <w:t xml:space="preserve">4 </w:t>
      </w:r>
      <w:r w:rsidRPr="00DB5D0D">
        <w:rPr>
          <w:rFonts w:ascii="Times New Roman" w:hAnsi="Times New Roman"/>
          <w:color w:val="0070C0"/>
          <w:sz w:val="16"/>
          <w:szCs w:val="16"/>
          <w:lang w:eastAsia="ru-RU" w:bidi="ru-RU"/>
        </w:rPr>
        <w:t xml:space="preserve">и </w:t>
      </w:r>
      <w:r w:rsidRPr="00DB5D0D">
        <w:rPr>
          <w:rFonts w:ascii="Times New Roman" w:hAnsi="Times New Roman"/>
          <w:color w:val="0070C0"/>
          <w:sz w:val="16"/>
          <w:szCs w:val="16"/>
          <w:lang w:val="en-US" w:bidi="en-US"/>
        </w:rPr>
        <w:t>BN</w:t>
      </w:r>
      <w:r w:rsidRPr="00DB5D0D">
        <w:rPr>
          <w:rFonts w:ascii="Times New Roman" w:hAnsi="Times New Roman"/>
          <w:color w:val="0070C0"/>
          <w:sz w:val="16"/>
          <w:szCs w:val="16"/>
          <w:lang w:bidi="en-US"/>
        </w:rPr>
        <w:t xml:space="preserve">5, </w:t>
      </w:r>
      <w:r w:rsidRPr="00DB5D0D">
        <w:rPr>
          <w:rFonts w:ascii="Times New Roman" w:hAnsi="Times New Roman"/>
          <w:color w:val="0070C0"/>
          <w:sz w:val="16"/>
          <w:szCs w:val="16"/>
          <w:lang w:eastAsia="ru-RU" w:bidi="ru-RU"/>
        </w:rPr>
        <w:t>также отработали слабо. Попытки летать днем привели к большим потерям, и остатки бомбардировочной авиации были либо выведены из зоны активных боевых действий на юг Франции, либо перебро</w:t>
      </w:r>
      <w:r w:rsidRPr="00DB5D0D">
        <w:rPr>
          <w:rFonts w:ascii="Times New Roman" w:hAnsi="Times New Roman"/>
          <w:color w:val="0070C0"/>
          <w:sz w:val="16"/>
          <w:szCs w:val="16"/>
          <w:lang w:eastAsia="ru-RU" w:bidi="ru-RU"/>
        </w:rPr>
        <w:softHyphen/>
        <w:t>шены в Северную Африку для действий против итальянцев, да и там они летали только но</w:t>
      </w:r>
      <w:r w:rsidRPr="00DB5D0D">
        <w:rPr>
          <w:rFonts w:ascii="Times New Roman" w:hAnsi="Times New Roman"/>
          <w:color w:val="0070C0"/>
          <w:sz w:val="16"/>
          <w:szCs w:val="16"/>
          <w:lang w:eastAsia="ru-RU" w:bidi="ru-RU"/>
        </w:rPr>
        <w:softHyphen/>
        <w:t>чью без особых результатов (22797).</w:t>
      </w:r>
    </w:p>
    <w:p w14:paraId="68A58D76" w14:textId="77777777" w:rsidR="00127595" w:rsidRPr="00DB5D0D" w:rsidRDefault="00127595" w:rsidP="00DB5D0D">
      <w:pPr>
        <w:spacing w:after="0" w:line="240" w:lineRule="auto"/>
        <w:jc w:val="both"/>
        <w:rPr>
          <w:rFonts w:ascii="Times New Roman" w:hAnsi="Times New Roman"/>
          <w:color w:val="0070C0"/>
          <w:sz w:val="16"/>
          <w:szCs w:val="16"/>
        </w:rPr>
      </w:pPr>
    </w:p>
    <w:p w14:paraId="3230E73F" w14:textId="77777777" w:rsidR="00127595" w:rsidRPr="00DB5D0D" w:rsidRDefault="0012759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 10 мая 1940 года у Голландии было лишь 9 исправных бомбардировщиков T.V, которые были сосредоточены на аэ</w:t>
      </w:r>
      <w:r w:rsidRPr="00DB5D0D">
        <w:rPr>
          <w:rFonts w:ascii="Times New Roman" w:hAnsi="Times New Roman"/>
          <w:color w:val="0070C0"/>
          <w:sz w:val="16"/>
          <w:szCs w:val="16"/>
        </w:rPr>
        <w:softHyphen/>
        <w:t>родроме Шипхол, примыкавшему к территории завода «Фоккер» в Амс</w:t>
      </w:r>
      <w:r w:rsidRPr="00DB5D0D">
        <w:rPr>
          <w:rFonts w:ascii="Times New Roman" w:hAnsi="Times New Roman"/>
          <w:color w:val="0070C0"/>
          <w:sz w:val="16"/>
          <w:szCs w:val="16"/>
        </w:rPr>
        <w:softHyphen/>
        <w:t>тердаме. Утром экипажи были подня</w:t>
      </w:r>
      <w:r w:rsidRPr="00DB5D0D">
        <w:rPr>
          <w:rFonts w:ascii="Times New Roman" w:hAnsi="Times New Roman"/>
          <w:color w:val="0070C0"/>
          <w:sz w:val="16"/>
          <w:szCs w:val="16"/>
        </w:rPr>
        <w:softHyphen/>
        <w:t>ты по тревоге бомбить немцев, когда над Шипхолом появилась первая пара Не 111. Их бомбы накрыли один T.V, но остальные восемь все же взлетели. Они атаковали первую пару, а когда по</w:t>
      </w:r>
      <w:r w:rsidRPr="00DB5D0D">
        <w:rPr>
          <w:rFonts w:ascii="Times New Roman" w:hAnsi="Times New Roman"/>
          <w:color w:val="0070C0"/>
          <w:sz w:val="16"/>
          <w:szCs w:val="16"/>
        </w:rPr>
        <w:softHyphen/>
        <w:t>дошли следующие, «дали прикурить» и им. Немцы, не ждав сопротивления, не смогли организовать оборону, и два Не 111 устремились к земле, голландцы же без потерь разлетелись по соседним базам на случай повторного налета на Шипхол. При этом один T.V был разбит на посадке, у другого пришлось ста</w:t>
      </w:r>
      <w:r w:rsidRPr="00DB5D0D">
        <w:rPr>
          <w:rFonts w:ascii="Times New Roman" w:hAnsi="Times New Roman"/>
          <w:color w:val="0070C0"/>
          <w:sz w:val="16"/>
          <w:szCs w:val="16"/>
        </w:rPr>
        <w:softHyphen/>
        <w:t>вить в ремонт мотор, а третий получил серьезные повреждения от своих же зениток, сесть смог, но на следующий день погиб при бомбежке аэродрома. В Шипхол вернулся один T.V. Он получил приказ бомбить Ju 52, высаживавших десант прямо на стадионе в пригороде Гааги Окенбург. По радиограмме экипа</w:t>
      </w:r>
      <w:r w:rsidRPr="00DB5D0D">
        <w:rPr>
          <w:rFonts w:ascii="Times New Roman" w:hAnsi="Times New Roman"/>
          <w:color w:val="0070C0"/>
          <w:sz w:val="16"/>
          <w:szCs w:val="16"/>
        </w:rPr>
        <w:softHyphen/>
        <w:t>жа сброшенные две 100-кг и четыре 50- кг бомбы попали в самую гущу самоле</w:t>
      </w:r>
      <w:r w:rsidRPr="00DB5D0D">
        <w:rPr>
          <w:rFonts w:ascii="Times New Roman" w:hAnsi="Times New Roman"/>
          <w:color w:val="0070C0"/>
          <w:sz w:val="16"/>
          <w:szCs w:val="16"/>
        </w:rPr>
        <w:softHyphen/>
        <w:t>тов, и несколько из них загорелись. Но на обратном пути голландец был сбит Мессершмиттами -109.</w:t>
      </w:r>
    </w:p>
    <w:p w14:paraId="19242DA3" w14:textId="77777777" w:rsidR="00127595" w:rsidRPr="00DB5D0D" w:rsidRDefault="0012759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Три T.V, приземлившиеся в Руйгенхоеке, через полчаса снова были в воз</w:t>
      </w:r>
      <w:r w:rsidRPr="00DB5D0D">
        <w:rPr>
          <w:rFonts w:ascii="Times New Roman" w:hAnsi="Times New Roman"/>
          <w:color w:val="0070C0"/>
          <w:sz w:val="16"/>
          <w:szCs w:val="16"/>
        </w:rPr>
        <w:softHyphen/>
        <w:t>духе. Их тоже направили на Окенбург. С одного захода они сбросили бомбы и доложили, что все остальные «юнкер- сы» горят, но связи с Гаагой не было, и проверить их слова было невозможно. Да и не до того было: надо было бомбить десант, высаживавшийся на аэродроме Ваалхавенн. Но на пути к цели группу перехватили «мессеры», разогнавшие эскорт (7 истребителей Фоккер D.XXI) и сбившие два бомбардировщика.</w:t>
      </w:r>
    </w:p>
    <w:p w14:paraId="1BF78036" w14:textId="77777777" w:rsidR="00127595" w:rsidRPr="00DB5D0D" w:rsidRDefault="0012759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 вечеру 10 мая осталось два ис</w:t>
      </w:r>
      <w:r w:rsidRPr="00DB5D0D">
        <w:rPr>
          <w:rFonts w:ascii="Times New Roman" w:hAnsi="Times New Roman"/>
          <w:color w:val="0070C0"/>
          <w:sz w:val="16"/>
          <w:szCs w:val="16"/>
        </w:rPr>
        <w:softHyphen/>
        <w:t>правных T.V, утром им подвесили по 8 «полусоток» и отправили бомбить мост через Маас, но ни одна бомба в цель не попала — бросали «с горизонта», с вы</w:t>
      </w:r>
      <w:r w:rsidRPr="00DB5D0D">
        <w:rPr>
          <w:rFonts w:ascii="Times New Roman" w:hAnsi="Times New Roman"/>
          <w:color w:val="0070C0"/>
          <w:sz w:val="16"/>
          <w:szCs w:val="16"/>
        </w:rPr>
        <w:softHyphen/>
        <w:t>соты 1000 м. В повторном вылете реши</w:t>
      </w:r>
      <w:r w:rsidRPr="00DB5D0D">
        <w:rPr>
          <w:rFonts w:ascii="Times New Roman" w:hAnsi="Times New Roman"/>
          <w:color w:val="0070C0"/>
          <w:sz w:val="16"/>
          <w:szCs w:val="16"/>
        </w:rPr>
        <w:softHyphen/>
        <w:t>ли спикировать, но снова неудачно, а на обратном пути голландцев ждали 12 Bf 110. В жестоком бою один T.V был сбит, но и немцы потеряли одного.</w:t>
      </w:r>
    </w:p>
    <w:p w14:paraId="00FE61BA" w14:textId="77777777" w:rsidR="00127595" w:rsidRPr="00DB5D0D" w:rsidRDefault="0012759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Итак, к 11 мая в голландских ВВС в Европе остался всего один бомбар</w:t>
      </w:r>
      <w:r w:rsidRPr="00DB5D0D">
        <w:rPr>
          <w:rFonts w:ascii="Times New Roman" w:hAnsi="Times New Roman"/>
          <w:color w:val="0070C0"/>
          <w:sz w:val="16"/>
          <w:szCs w:val="16"/>
        </w:rPr>
        <w:softHyphen/>
        <w:t>дировщик (22810).</w:t>
      </w:r>
    </w:p>
    <w:p w14:paraId="39F7C256" w14:textId="77777777" w:rsidR="00127595" w:rsidRPr="00DB5D0D" w:rsidRDefault="00127595" w:rsidP="00DB5D0D">
      <w:pPr>
        <w:spacing w:after="0" w:line="240" w:lineRule="auto"/>
        <w:jc w:val="both"/>
        <w:rPr>
          <w:rFonts w:ascii="Times New Roman" w:hAnsi="Times New Roman"/>
          <w:color w:val="0070C0"/>
          <w:sz w:val="16"/>
          <w:szCs w:val="16"/>
        </w:rPr>
      </w:pPr>
    </w:p>
    <w:p w14:paraId="633D3E9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18-я немецкая армия вторглась на территорию Бельгии и Нидерландов (4963 ).</w:t>
      </w:r>
    </w:p>
    <w:p w14:paraId="3F96CFE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7B3328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батальон 1-го немецкого парашютного полка высадился на голландском аэродроме Ваалхавен и захватил его (4963 ).</w:t>
      </w:r>
    </w:p>
    <w:p w14:paraId="50A63BC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4515B1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в районе бельгийского форта Эбен-Эмаеля (18 орудий, 1220 чел.) высадились 2 батальона 1-го немецкого парашютного полка (11 офицеров и 427 унтер-офицеров и рядовых), группа из 85 немецких десантников под командованием обер-лейтенанта Рудольфа Витцига начала штурм (4963 ).</w:t>
      </w:r>
    </w:p>
    <w:p w14:paraId="101FD0C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F9A2DB4"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в 1940 году отряд немецкого спецназа (84 бойца) под руководством Рудольфа Витцига (реально: фельдфебель Венгель) взял штурмом хорошо укрепленный стратегический бельгийский форт Эбен-Эмаель (в 20 км к северу от Льежа). Эта крепость размерами 800 на 900 метров, построенная по последнему слову современной техники, считалась неприступной. Гарнизон форта составлял более 1200 человек, имевших многочисленные орудия и пулеметы. Немцы готовились к штурму около года, в строжайшей тайне отрабатывая высадку на бывших укреплениях чешской оборонительной линии и макетах форта. Вооружение десантников состояло из легкого стрелкового оружия, огнеметов, ручных гранат и зарядов, имеющих кумулятивный эффект. Атака с воздуха ранним утром была для бельгийцев полной неожиданностью. Десантные планеры садились прямо на территории форта. Немцы нейтрализовали находящихся вне казематов солдат противника, а остальных блокировали в казематах. После десантники стали методично уничтожать казематы. В течение первого часа форт потерял до 70 % огневой мощи, но часть укреплений держалась до 11 часов утра следующего дня, когда был вывешен белый флаг. Потери гарнизона составили 69 человек убитыми и 40 ранеными. После этой операции в мире распространился слух о наличии у немцев «секретного оружия» невероятной мощности и эффективности. Фашистская пропаганда использовала этот слух в информационной войне вплоть до конца Третьего рейха (14887).</w:t>
      </w:r>
    </w:p>
    <w:p w14:paraId="48D81514"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24AD6D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ранним утром с аэродрома Остхейм, Германия, взлетели 11 Ю-52 с планерами ОР5-230 на буксирах. Вслед за ними взлетели три группы транс</w:t>
      </w:r>
      <w:r w:rsidRPr="00DB5D0D">
        <w:rPr>
          <w:rFonts w:ascii="Times New Roman" w:hAnsi="Times New Roman"/>
          <w:color w:val="000000" w:themeColor="text1"/>
          <w:sz w:val="16"/>
          <w:szCs w:val="16"/>
        </w:rPr>
        <w:softHyphen/>
        <w:t>портных ии-52 с парашютистами на борту. Три группы парашютистов должны были захватить три моста че</w:t>
      </w:r>
      <w:r w:rsidRPr="00DB5D0D">
        <w:rPr>
          <w:rFonts w:ascii="Times New Roman" w:hAnsi="Times New Roman"/>
          <w:color w:val="000000" w:themeColor="text1"/>
          <w:sz w:val="16"/>
          <w:szCs w:val="16"/>
        </w:rPr>
        <w:softHyphen/>
        <w:t>рез канал Альберта, а планерный десант должен был нейтрализовать форт Эбен Эмейл.</w:t>
      </w:r>
    </w:p>
    <w:p w14:paraId="2C3E05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11 взлетевших планеров 9 сели на территории форта в 4.15 утра. Планер командира десанта сорвался с буксира и сел на территории Гер</w:t>
      </w:r>
      <w:r w:rsidRPr="00DB5D0D">
        <w:rPr>
          <w:rFonts w:ascii="Times New Roman" w:hAnsi="Times New Roman"/>
          <w:color w:val="000000" w:themeColor="text1"/>
          <w:sz w:val="16"/>
          <w:szCs w:val="16"/>
        </w:rPr>
        <w:softHyphen/>
        <w:t>мании. Позже он был подобран специально высланным буксировщиком Ю-52 и достав</w:t>
      </w:r>
      <w:r w:rsidRPr="00DB5D0D">
        <w:rPr>
          <w:rFonts w:ascii="Times New Roman" w:hAnsi="Times New Roman"/>
          <w:color w:val="000000" w:themeColor="text1"/>
          <w:sz w:val="16"/>
          <w:szCs w:val="16"/>
        </w:rPr>
        <w:softHyphen/>
        <w:t>лен в район операции. Еще один планер сел вдали от форта. Семьдесят десантников, вооруженных легким стрелковым оружием и новейшими инженерными кумулятивными зарядами (12,5 и 50 кг весом), несмотря на потерю командира, начали выполнение бое</w:t>
      </w:r>
      <w:r w:rsidRPr="00DB5D0D">
        <w:rPr>
          <w:rFonts w:ascii="Times New Roman" w:hAnsi="Times New Roman"/>
          <w:color w:val="000000" w:themeColor="text1"/>
          <w:sz w:val="16"/>
          <w:szCs w:val="16"/>
        </w:rPr>
        <w:softHyphen/>
        <w:t>вой задачи. С помощью зарядов десантники вывели из строя почти всю артиллерия фор</w:t>
      </w:r>
      <w:r w:rsidRPr="00DB5D0D">
        <w:rPr>
          <w:rFonts w:ascii="Times New Roman" w:hAnsi="Times New Roman"/>
          <w:color w:val="000000" w:themeColor="text1"/>
          <w:sz w:val="16"/>
          <w:szCs w:val="16"/>
        </w:rPr>
        <w:softHyphen/>
        <w:t>та, а автоматным огнем блокировали выхо</w:t>
      </w:r>
      <w:r w:rsidRPr="00DB5D0D">
        <w:rPr>
          <w:rFonts w:ascii="Times New Roman" w:hAnsi="Times New Roman"/>
          <w:color w:val="000000" w:themeColor="text1"/>
          <w:sz w:val="16"/>
          <w:szCs w:val="16"/>
        </w:rPr>
        <w:softHyphen/>
        <w:t>ды.</w:t>
      </w:r>
    </w:p>
    <w:p w14:paraId="627862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расположенный в южной части форта бронеколпак не был уничтожен ни ку</w:t>
      </w:r>
      <w:r w:rsidRPr="00DB5D0D">
        <w:rPr>
          <w:rFonts w:ascii="Times New Roman" w:hAnsi="Times New Roman"/>
          <w:color w:val="000000" w:themeColor="text1"/>
          <w:sz w:val="16"/>
          <w:szCs w:val="16"/>
        </w:rPr>
        <w:softHyphen/>
        <w:t>мулятивными зарядами, ни пикирующими бомбардировщиками и вел огонь в направ</w:t>
      </w:r>
      <w:r w:rsidRPr="00DB5D0D">
        <w:rPr>
          <w:rFonts w:ascii="Times New Roman" w:hAnsi="Times New Roman"/>
          <w:color w:val="000000" w:themeColor="text1"/>
          <w:sz w:val="16"/>
          <w:szCs w:val="16"/>
        </w:rPr>
        <w:softHyphen/>
        <w:t>лении Канне, вплоть до окончательного па</w:t>
      </w:r>
      <w:r w:rsidRPr="00DB5D0D">
        <w:rPr>
          <w:rFonts w:ascii="Times New Roman" w:hAnsi="Times New Roman"/>
          <w:color w:val="000000" w:themeColor="text1"/>
          <w:sz w:val="16"/>
          <w:szCs w:val="16"/>
        </w:rPr>
        <w:softHyphen/>
        <w:t>дения форта. По-видимому, это единствен</w:t>
      </w:r>
      <w:r w:rsidRPr="00DB5D0D">
        <w:rPr>
          <w:rFonts w:ascii="Times New Roman" w:hAnsi="Times New Roman"/>
          <w:color w:val="000000" w:themeColor="text1"/>
          <w:sz w:val="16"/>
          <w:szCs w:val="16"/>
        </w:rPr>
        <w:softHyphen/>
        <w:t>ный героический эпизод в истории бель</w:t>
      </w:r>
      <w:r w:rsidRPr="00DB5D0D">
        <w:rPr>
          <w:rFonts w:ascii="Times New Roman" w:hAnsi="Times New Roman"/>
          <w:color w:val="000000" w:themeColor="text1"/>
          <w:sz w:val="16"/>
          <w:szCs w:val="16"/>
        </w:rPr>
        <w:softHyphen/>
        <w:t>гийской армии во Вторую мировую войну. Основную часть боевых задач немцы выпол</w:t>
      </w:r>
      <w:r w:rsidRPr="00DB5D0D">
        <w:rPr>
          <w:rFonts w:ascii="Times New Roman" w:hAnsi="Times New Roman"/>
          <w:color w:val="000000" w:themeColor="text1"/>
          <w:sz w:val="16"/>
          <w:szCs w:val="16"/>
        </w:rPr>
        <w:softHyphen/>
        <w:t>нили в течение 20 минут после высадки.</w:t>
      </w:r>
    </w:p>
    <w:p w14:paraId="3F5832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следующий день десантники полу</w:t>
      </w:r>
      <w:r w:rsidRPr="00DB5D0D">
        <w:rPr>
          <w:rFonts w:ascii="Times New Roman" w:hAnsi="Times New Roman"/>
          <w:color w:val="000000" w:themeColor="text1"/>
          <w:sz w:val="16"/>
          <w:szCs w:val="16"/>
        </w:rPr>
        <w:softHyphen/>
        <w:t>чили подкрепление из батальона саперов, прибывшего по суше, по захваченным мо</w:t>
      </w:r>
      <w:r w:rsidRPr="00DB5D0D">
        <w:rPr>
          <w:rFonts w:ascii="Times New Roman" w:hAnsi="Times New Roman"/>
          <w:color w:val="000000" w:themeColor="text1"/>
          <w:sz w:val="16"/>
          <w:szCs w:val="16"/>
        </w:rPr>
        <w:softHyphen/>
        <w:t>стам, который и завершил разгром форта. Гарнизон почти в 700 человек вынужден был капитулировать. Немецкие потери состави</w:t>
      </w:r>
      <w:r w:rsidRPr="00DB5D0D">
        <w:rPr>
          <w:rFonts w:ascii="Times New Roman" w:hAnsi="Times New Roman"/>
          <w:color w:val="000000" w:themeColor="text1"/>
          <w:sz w:val="16"/>
          <w:szCs w:val="16"/>
        </w:rPr>
        <w:softHyphen/>
        <w:t>ли 6 убитых и 15 раненых, потери обороняв</w:t>
      </w:r>
      <w:r w:rsidRPr="00DB5D0D">
        <w:rPr>
          <w:rFonts w:ascii="Times New Roman" w:hAnsi="Times New Roman"/>
          <w:color w:val="000000" w:themeColor="text1"/>
          <w:sz w:val="16"/>
          <w:szCs w:val="16"/>
        </w:rPr>
        <w:softHyphen/>
        <w:t>шихся — 23 убитых и 59 раненых.</w:t>
      </w:r>
    </w:p>
    <w:p w14:paraId="35A379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высадкой на форт па</w:t>
      </w:r>
      <w:r w:rsidRPr="00DB5D0D">
        <w:rPr>
          <w:rFonts w:ascii="Times New Roman" w:hAnsi="Times New Roman"/>
          <w:color w:val="000000" w:themeColor="text1"/>
          <w:sz w:val="16"/>
          <w:szCs w:val="16"/>
        </w:rPr>
        <w:softHyphen/>
        <w:t>рашютисты высадились возле мостов через канал Альберта и захватили их (12300).</w:t>
      </w:r>
    </w:p>
    <w:p w14:paraId="5B7A5A4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E64A0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германские войска вторглась в Бельгию, Люксембург, Нидерланды (перед этим немецкая авиация совершила налет на немецкий город Фрейбург, приписав это бельгийско-голландским ВВС) (4962).</w:t>
      </w:r>
    </w:p>
    <w:p w14:paraId="40B1FE0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76A26B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голландская противовоздушная оборона нанесла крупное поражение частям 22-й немецкой воздушно-десантной дивизии, пытавшимся десантироваться с воздуха в районе Гааги (4963).</w:t>
      </w:r>
    </w:p>
    <w:p w14:paraId="0E5CC0E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76055A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подразделения 7-й немецкой авиадесантной дивизии под командованием капитана Прагера на 12 гидросамолетах приводнились на реке Вааль и захватили голландский мост Мурдейк (4963 ).</w:t>
      </w:r>
    </w:p>
    <w:p w14:paraId="65C1A57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0F5342C"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в 1940 году гитлеровские войска вторгаются в нейтральные страны: Бельгию, Люксембург и Нидерланды. Голландия будет захвачена уже 15 мая, а Бельгия, которой пытались помочь англичане и французы, – 28. Нападению, как и в случае с Польшей, предшествовала очередная провокация: в ночь на 10 мая был совершен воздушный налет на один из университетских городов Германии – Фрайбург. Налет был совершен 51-й эскадрильей Люфтваффе под командованием Иозефа Камхубера (14887).</w:t>
      </w:r>
    </w:p>
    <w:p w14:paraId="69DF5E70"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3936E274"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мая в 1940 году четыреста вооруженных десантников высадились из сорока одного планера </w:t>
      </w:r>
      <w:hyperlink r:id="rId27" w:tgtFrame="_blank" w:history="1">
        <w:r w:rsidRPr="00DB5D0D">
          <w:rPr>
            <w:rFonts w:ascii="Times New Roman" w:hAnsi="Times New Roman"/>
            <w:color w:val="000000" w:themeColor="text1"/>
            <w:sz w:val="16"/>
            <w:szCs w:val="16"/>
          </w:rPr>
          <w:t xml:space="preserve">«DFS 230» </w:t>
        </w:r>
      </w:hyperlink>
      <w:r w:rsidRPr="00DB5D0D">
        <w:rPr>
          <w:rFonts w:ascii="Times New Roman" w:hAnsi="Times New Roman"/>
          <w:color w:val="000000" w:themeColor="text1"/>
          <w:sz w:val="16"/>
          <w:szCs w:val="16"/>
        </w:rPr>
        <w:t>у бельгийского форта Эбен-Абель и захватили его. Позднее , уже на острове Крит, немецкие "коммандос" выпрыгивали из дверей планеров DFS 230, чтобы обеспечить посадку транспортных самолетов с тяжелым вооружением (14887).</w:t>
      </w:r>
    </w:p>
    <w:p w14:paraId="099A47F9"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7EC7C809"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в 1940 году в ходе операции «Маастрихт» переодетые в форму военнослужащих голландской армии служащие 3-й роты «Учебного строительного батальона особого назначения-800» приступают к захвату стратегических мостов и переправ на бельгийско-голландской границе. Группы захвата абвера выдвигаются к резиденции королевы в Гааге, блокируют министерства и армейские штаб-квартиры (14887).</w:t>
      </w:r>
    </w:p>
    <w:p w14:paraId="51520465"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527F6BB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рота немецкого диверсионного полка ''Бранденбург'' под командованием лейтенанта Вальтера захватила голландский железнодорожный мост в Геннепе (4963 ).</w:t>
      </w:r>
    </w:p>
    <w:p w14:paraId="7D54EB5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DD5D6A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lastRenderedPageBreak/>
        <w:t>May 10th. 1940: At 5:35 a.m. CET, the Wehrmacht begins Operation Yellow, the invasion of Holland, Belgium and Luxemburg, employing Heeresgruppe A (von Rundstedt) and B (von Bock), with Heeresgruppe C (von Leeb) in reserve. The attacking forces comprise 10 armored, 5 motorized, and 75 infantry divisions. The 3 Panzerkorps - XIX. (Guderian), XX. (Hoth) and XLI. (Reinhardt) - field 2,445 tanks, most of which are of the light Marks I, II, 35(t) and 38(t) type, against 3,373 French and British tanks. In his Order of the Day, Hitler declares, "Soldiers of the Western Front! The battle which is beginning today will decide the fate of the German nation for the next thousand years. Go forward now and do your duty!" Airborne troops seize airfields and strategic bridges near Amsterdam and Rotterdam in Holland. The Luftwaffe, using hundreds of level and dive bombers, attacks Allied airfields, troop assembly areas and rear communications. In Britain, Prime Minister ("Hitler missed the bus!" - in Norway, that is) resigns and is replaced by the First Lord of the Admiralty, Winston Churchill, who forms a coalition government with the Labour and Liberal parties (3819).</w:t>
      </w:r>
    </w:p>
    <w:p w14:paraId="4F98A15B"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2D72ED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в 5:35 Вермахт начал Желтую операцию, вторжение в Голландию, Бельгию и Люксембург (3819).</w:t>
      </w:r>
    </w:p>
    <w:p w14:paraId="2D20B2C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77CB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Германия в 3 час. 30 мин. (340,9) вторглась в Голландию и 14 голландская армия сдалась. Через час бомбили Ротердам. Пошли во Францию (24,148). Немцы нанесли удар по 100 аэродромам Голландии, Бельгии и Северной Франции на глубину 400 км (278,403). В 4 час. 30 мин. сбросили парашютистов и в 5 час. 35 мин. наступление начали сухопутные войска (340,9).</w:t>
      </w:r>
    </w:p>
    <w:p w14:paraId="40D3FCD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F9819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6А группы Б фон Бока захватила бельгийский форт Эьен Эмаеэль на канале Альберт, построенный в 1932 и считавшийся неприступным. Использовали штурмовые планеры типа DFS230, которые буксировали Ю-52. Высадилось всего 85 чел. в 5:20 и в 12:00 11 мая крепость капитулировала (2144,3).</w:t>
      </w:r>
    </w:p>
    <w:p w14:paraId="2922A8D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B2F726"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Бельгии пришлось пожалеть о своей осторожности и все-таки обратиться за помощью к Франции и Великобритании. В этот день правительства Бельгии, Люксембурга и Нидерландов получили германские ноты, в которых они извещались об уже начавшемся продвижении германских войск на их территорию. По просьбе бельгийского правительства франко-британские войска вступили в Бельгию.</w:t>
      </w:r>
    </w:p>
    <w:p w14:paraId="39C04080"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своей стороны германские войска, заняв ряд стратегически важных пунктов на нидерландской территории, прошли практически без потерь через юго-восточные районы Бельгии и к 12 мая вышли к французской границе, обойдя "линию Мажино", которой отводилась роль главного рубежа французской обороны против Германии. Франко-британские войска в составе двух групп армий занимали рубеж обороны от Ла-Манша до швейцарской границы. Прорвав линию обороны у Седана, германские войска разрезали фронт союзников и вынудили их к отступлению. Одновременно начался отход союзников из Бельгии (3871).</w:t>
      </w:r>
    </w:p>
    <w:p w14:paraId="1F774438"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3D80EA64"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10 мая 1940 г., когда части вермахта перешли границу первой республики, в войсках было 52 автожира LeO С-30 (лицензионный вариант) и еще восемь машин имел флот. Французские аппараты не сумели сыграть значительной роли в боевых действиях, но несколько С-30 патрулировали над Ла-Маншем до конца мая 1940 г. Королевские ВВС Великобритании выделили средства на постройку пяти автожиров Сиерва С-40 нового поколения с так называемым «прыгающим» стартом. На С-40 летчик перед взлетом раскручивал от двигателя ротор, затем увеличивал шаг лопастей и автожир «подпрыгивал» на месте. В верхней точке «прыжка» шаг убирался и, наклонив винт вперед, автожир с небольшим проседанием уходил в полет. Пять С-40 успешно эксплуатировались в качестве связных аппаратов в Британском экспедиционном корпусе во Франции, но все они были потеряны при эвакуации из Дюнкера в 1940 г. Оставшиеся в Англии С-30 с непосредственным управлением втулкой были мобилизованы для калибровки локаторов. Сформированная для этой цели отдельная автожирная эскадрилья из пятнадцати С-30 просуществовала до конца войны (11860).</w:t>
      </w:r>
    </w:p>
    <w:p w14:paraId="15ACD433"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225562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голландцы открыли дамбы, но не помогло (2244,3).</w:t>
      </w:r>
    </w:p>
    <w:p w14:paraId="40A3196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1371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немецкая авиация силами 400 б нанесла массированный удар по 72 аэродромам, совершив 1000 с.в. Успехи - скромные. Французы сбили 49, а англичане - 42. У Франции на 1 мая было 1070 MS.406, 491, MB.151 и MB.152, 206 Y.75, 44 C.714, 65 D.520. На границе было 522 французских и, 60 английских, 52 голландских, 57 бельгийских и против 1016 Bf 109E-1 T-3 и 248 Bf 110 (4409,20).</w:t>
      </w:r>
    </w:p>
    <w:p w14:paraId="20FD804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2DCE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в первый день „блицкрига“ на Западе люфтваффе нанесло удар по 47 французским аэродромам. Геббельс объявил тогда о фантастическом успехе этой операции, а советские историки, с чувством глубокого облегчения, повторяли эту брехню шесть десятилетий подряд. На самом же деле, французы в первый день потеряли на земле 20 (двадцать) боевых самолетов, и еще 40 было повреждено [А. C. Степанов. Пиррова победа люфтваффе на Западе // „История авиации“.– 2000.– № 3.]. Перед началом „второго генерального наступления“, 3 июня 1940 г., немцы нанесли еще один массированный удар по аэродромам французских ВВС. Результат: 16 самолетов уничтожено и 7 повреждено на земле, 32 сбито в ходе завязавшихся над аэродромами воздушных боев. Еще более красноречиво выглядят цифры потерь английской авиации в ходе майских боев над Францией. За первые шесть дней Королевские ВВС потеряли 74 истребителя в воздухе и только 4 на земле. За следующие два дня англичане потеряли 28 „Харрикейнов“ в воздухе – и ни одного на аэродромах [А. C. Степанов. Пиррова победа люфтваффе на Западе // „История авиации“.– 2000.– № 3.] (11678).</w:t>
      </w:r>
    </w:p>
    <w:p w14:paraId="50624C4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146102" w14:textId="77777777" w:rsidR="00A25AD1" w:rsidRPr="00DB5D0D" w:rsidRDefault="00A25AD1" w:rsidP="00DB5D0D">
      <w:pPr>
        <w:pStyle w:val="a3"/>
        <w:tabs>
          <w:tab w:val="left" w:pos="11199"/>
        </w:tabs>
        <w:rPr>
          <w:color w:val="000000" w:themeColor="text1"/>
          <w:lang w:val="ru-RU"/>
        </w:rPr>
      </w:pPr>
      <w:r w:rsidRPr="00DB5D0D">
        <w:rPr>
          <w:color w:val="000000" w:themeColor="text1"/>
          <w:lang w:val="ru-RU"/>
        </w:rPr>
        <w:t>По состоянию на 10 мая 1940 в составе Люфтваффе действо</w:t>
      </w:r>
      <w:r w:rsidRPr="00DB5D0D">
        <w:rPr>
          <w:color w:val="000000" w:themeColor="text1"/>
          <w:lang w:val="ru-RU"/>
        </w:rPr>
        <w:softHyphen/>
        <w:t>вало только одно боевое подразделе</w:t>
      </w:r>
      <w:r w:rsidRPr="00DB5D0D">
        <w:rPr>
          <w:color w:val="000000" w:themeColor="text1"/>
          <w:lang w:val="ru-RU"/>
        </w:rPr>
        <w:softHyphen/>
        <w:t>ние, летавшее на Hs 123 - инструктор</w:t>
      </w:r>
      <w:r w:rsidRPr="00DB5D0D">
        <w:rPr>
          <w:color w:val="000000" w:themeColor="text1"/>
          <w:lang w:val="ru-RU"/>
        </w:rPr>
        <w:softHyphen/>
        <w:t>ская группа II(Schlacht)/LG 2 имела в своем составе 45 боеспособных машин этого типа...(6269).</w:t>
      </w:r>
    </w:p>
    <w:p w14:paraId="36DA6C2F" w14:textId="77777777" w:rsidR="00A25AD1" w:rsidRPr="00DB5D0D" w:rsidRDefault="00A25AD1" w:rsidP="00DB5D0D">
      <w:pPr>
        <w:pStyle w:val="a3"/>
        <w:tabs>
          <w:tab w:val="left" w:pos="11199"/>
        </w:tabs>
        <w:rPr>
          <w:color w:val="000000" w:themeColor="text1"/>
          <w:lang w:val="ru-RU"/>
        </w:rPr>
      </w:pPr>
    </w:p>
    <w:p w14:paraId="74751479"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в 1940 году голландская противовоздушная оборона нанесла крупное поражение частям 22-й немецкой воздушно-десантной дивизии, пытавшимся десантироваться с воздуха в районе Гааги (14887).</w:t>
      </w:r>
    </w:p>
    <w:p w14:paraId="4A9F5826"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5E057CC0" w14:textId="77777777" w:rsidR="002B1DF4" w:rsidRPr="00DB5D0D" w:rsidRDefault="002B1DF4" w:rsidP="00DB5D0D">
      <w:pPr>
        <w:pStyle w:val="28"/>
        <w:shd w:val="clear" w:color="auto" w:fill="auto"/>
        <w:spacing w:before="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С 10 мая по 30 июня 1940 г. во время нападения на Францию, Бельгию и Голландию Германия потеряла  2073 самолета и в том числе  376 Ме-109!  И это притом, что французскую авиацию по программе проиграть «войну» заранее подставляли под разгром (15738).</w:t>
      </w:r>
    </w:p>
    <w:p w14:paraId="138FAE84" w14:textId="77777777" w:rsidR="002B1DF4" w:rsidRPr="00DB5D0D" w:rsidRDefault="002B1DF4" w:rsidP="00DB5D0D">
      <w:pPr>
        <w:pStyle w:val="28"/>
        <w:shd w:val="clear" w:color="auto" w:fill="auto"/>
        <w:spacing w:before="0" w:line="240" w:lineRule="auto"/>
        <w:jc w:val="both"/>
        <w:rPr>
          <w:rFonts w:ascii="Times New Roman" w:hAnsi="Times New Roman" w:cs="Times New Roman"/>
          <w:color w:val="000000" w:themeColor="text1"/>
          <w:sz w:val="16"/>
          <w:szCs w:val="16"/>
        </w:rPr>
      </w:pPr>
    </w:p>
    <w:p w14:paraId="0A26AC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мая по 30 июня 1940 г.</w:t>
      </w:r>
    </w:p>
    <w:p w14:paraId="08B3E3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89 (Немецкий историк Олаф Гройлер приводит более подробную разбивку потерь на категории личного состава. Сообщаемые им общие итоги - 6611 человек- практически не отличаются от при</w:t>
      </w:r>
      <w:r w:rsidRPr="00DB5D0D">
        <w:rPr>
          <w:rFonts w:ascii="Times New Roman" w:hAnsi="Times New Roman"/>
          <w:color w:val="000000" w:themeColor="text1"/>
          <w:sz w:val="16"/>
          <w:szCs w:val="16"/>
        </w:rPr>
        <w:softHyphen/>
        <w:t>водимых в таблице. Но он конкретизирует потери летного состава непосредственно на фронте. Они составили 3008 человек, в том числе 1852 убитых и пропавших без вести. Еще 319 человек было по</w:t>
      </w:r>
      <w:r w:rsidRPr="00DB5D0D">
        <w:rPr>
          <w:rFonts w:ascii="Times New Roman" w:hAnsi="Times New Roman"/>
          <w:color w:val="000000" w:themeColor="text1"/>
          <w:sz w:val="16"/>
          <w:szCs w:val="16"/>
        </w:rPr>
        <w:softHyphen/>
        <w:t>теряно над Германией и в учебных частях (в том числе -180 убитых и пропавших без вести). Потери парашютно-десантных войск составили 1209 человек, в том числе 290 убитых. Пропавших без вести парашютистов было 439, что говорит о гибели многих из них непосредственно в транспортных са</w:t>
      </w:r>
      <w:r w:rsidRPr="00DB5D0D">
        <w:rPr>
          <w:rFonts w:ascii="Times New Roman" w:hAnsi="Times New Roman"/>
          <w:color w:val="000000" w:themeColor="text1"/>
          <w:sz w:val="16"/>
          <w:szCs w:val="16"/>
        </w:rPr>
        <w:softHyphen/>
        <w:t>молетах. 1927 человек потеряли части зенитной артиллерии, из них 470 - убитыми и пропавшими без вести, что свидетельствует о большой боевой нагрузке за весь период кампании. Анализ данных О. Гройлера и сравнение его информации с материалами Ф. Хана позволяет сделать предположение, что последний объединил в одну категорию как непосредственно пилотов, так и парашютистов).</w:t>
      </w:r>
    </w:p>
    <w:p w14:paraId="781EC5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Итоговые потери личного состава люфтваффе в период Кампании на Западе с 10 мая по 30 июня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41"/>
        <w:gridCol w:w="1073"/>
        <w:gridCol w:w="1231"/>
        <w:gridCol w:w="1080"/>
        <w:gridCol w:w="1073"/>
      </w:tblGrid>
      <w:tr w:rsidR="007D5DF8" w:rsidRPr="00DB5D0D" w14:paraId="192E6E78" w14:textId="77777777" w:rsidTr="009223E5">
        <w:trPr>
          <w:trHeight w:val="547"/>
        </w:trPr>
        <w:tc>
          <w:tcPr>
            <w:tcW w:w="2441" w:type="dxa"/>
            <w:tcBorders>
              <w:top w:val="single" w:sz="12" w:space="0" w:color="auto"/>
            </w:tcBorders>
          </w:tcPr>
          <w:p w14:paraId="4F89F5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Категории личного состава</w:t>
            </w:r>
          </w:p>
        </w:tc>
        <w:tc>
          <w:tcPr>
            <w:tcW w:w="1073" w:type="dxa"/>
            <w:tcBorders>
              <w:top w:val="single" w:sz="12" w:space="0" w:color="auto"/>
            </w:tcBorders>
          </w:tcPr>
          <w:p w14:paraId="7A96E5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Убиты</w:t>
            </w:r>
          </w:p>
        </w:tc>
        <w:tc>
          <w:tcPr>
            <w:tcW w:w="1231" w:type="dxa"/>
            <w:tcBorders>
              <w:top w:val="single" w:sz="12" w:space="0" w:color="auto"/>
            </w:tcBorders>
          </w:tcPr>
          <w:p w14:paraId="09E77F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Пропало без вести</w:t>
            </w:r>
          </w:p>
        </w:tc>
        <w:tc>
          <w:tcPr>
            <w:tcW w:w="1080" w:type="dxa"/>
            <w:tcBorders>
              <w:top w:val="single" w:sz="12" w:space="0" w:color="auto"/>
            </w:tcBorders>
          </w:tcPr>
          <w:p w14:paraId="111D05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Ранено</w:t>
            </w:r>
          </w:p>
        </w:tc>
        <w:tc>
          <w:tcPr>
            <w:tcW w:w="1073" w:type="dxa"/>
            <w:tcBorders>
              <w:top w:val="single" w:sz="12" w:space="0" w:color="auto"/>
            </w:tcBorders>
          </w:tcPr>
          <w:p w14:paraId="217178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r>
      <w:tr w:rsidR="007D5DF8" w:rsidRPr="00DB5D0D" w14:paraId="29F3D83F" w14:textId="77777777" w:rsidTr="009223E5">
        <w:trPr>
          <w:trHeight w:val="569"/>
        </w:trPr>
        <w:tc>
          <w:tcPr>
            <w:tcW w:w="2441" w:type="dxa"/>
          </w:tcPr>
          <w:p w14:paraId="2550B6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Летный состав / В том числе офицеры</w:t>
            </w:r>
          </w:p>
        </w:tc>
        <w:tc>
          <w:tcPr>
            <w:tcW w:w="1073" w:type="dxa"/>
          </w:tcPr>
          <w:p w14:paraId="246BB7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1092/136</w:t>
            </w:r>
          </w:p>
        </w:tc>
        <w:tc>
          <w:tcPr>
            <w:tcW w:w="1231" w:type="dxa"/>
          </w:tcPr>
          <w:p w14:paraId="536F2A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1930/339</w:t>
            </w:r>
          </w:p>
        </w:tc>
        <w:tc>
          <w:tcPr>
            <w:tcW w:w="1080" w:type="dxa"/>
          </w:tcPr>
          <w:p w14:paraId="6AD043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1395/205</w:t>
            </w:r>
          </w:p>
        </w:tc>
        <w:tc>
          <w:tcPr>
            <w:tcW w:w="1073" w:type="dxa"/>
          </w:tcPr>
          <w:p w14:paraId="52B5F7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4417/680</w:t>
            </w:r>
          </w:p>
        </w:tc>
      </w:tr>
      <w:tr w:rsidR="007D5DF8" w:rsidRPr="00DB5D0D" w14:paraId="5AC8E29B" w14:textId="77777777" w:rsidTr="009223E5">
        <w:trPr>
          <w:trHeight w:val="454"/>
        </w:trPr>
        <w:tc>
          <w:tcPr>
            <w:tcW w:w="2441" w:type="dxa"/>
          </w:tcPr>
          <w:p w14:paraId="0ABBAA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Остальные категории/ В том числе офицеры</w:t>
            </w:r>
          </w:p>
        </w:tc>
        <w:tc>
          <w:tcPr>
            <w:tcW w:w="1073" w:type="dxa"/>
          </w:tcPr>
          <w:p w14:paraId="5C83F5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630/33</w:t>
            </w:r>
          </w:p>
        </w:tc>
        <w:tc>
          <w:tcPr>
            <w:tcW w:w="1231" w:type="dxa"/>
          </w:tcPr>
          <w:p w14:paraId="4D6554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104/3</w:t>
            </w:r>
          </w:p>
        </w:tc>
        <w:tc>
          <w:tcPr>
            <w:tcW w:w="1080" w:type="dxa"/>
          </w:tcPr>
          <w:p w14:paraId="436587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1502/80</w:t>
            </w:r>
          </w:p>
        </w:tc>
        <w:tc>
          <w:tcPr>
            <w:tcW w:w="1073" w:type="dxa"/>
          </w:tcPr>
          <w:p w14:paraId="2905B3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2236/116</w:t>
            </w:r>
          </w:p>
        </w:tc>
      </w:tr>
      <w:tr w:rsidR="007D5DF8" w:rsidRPr="00DB5D0D" w14:paraId="5BF0AA1F" w14:textId="77777777" w:rsidTr="009223E5">
        <w:trPr>
          <w:trHeight w:val="526"/>
        </w:trPr>
        <w:tc>
          <w:tcPr>
            <w:tcW w:w="2441" w:type="dxa"/>
            <w:tcBorders>
              <w:bottom w:val="single" w:sz="12" w:space="0" w:color="auto"/>
            </w:tcBorders>
          </w:tcPr>
          <w:p w14:paraId="67AA3A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категории/ В том числе офицеры</w:t>
            </w:r>
          </w:p>
        </w:tc>
        <w:tc>
          <w:tcPr>
            <w:tcW w:w="1073" w:type="dxa"/>
            <w:tcBorders>
              <w:bottom w:val="single" w:sz="12" w:space="0" w:color="auto"/>
            </w:tcBorders>
          </w:tcPr>
          <w:p w14:paraId="088804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1722/169</w:t>
            </w:r>
          </w:p>
        </w:tc>
        <w:tc>
          <w:tcPr>
            <w:tcW w:w="1231" w:type="dxa"/>
            <w:tcBorders>
              <w:bottom w:val="single" w:sz="12" w:space="0" w:color="auto"/>
            </w:tcBorders>
          </w:tcPr>
          <w:p w14:paraId="65276F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2034/342</w:t>
            </w:r>
          </w:p>
        </w:tc>
        <w:tc>
          <w:tcPr>
            <w:tcW w:w="1080" w:type="dxa"/>
            <w:tcBorders>
              <w:bottom w:val="single" w:sz="12" w:space="0" w:color="auto"/>
            </w:tcBorders>
          </w:tcPr>
          <w:p w14:paraId="34DE42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2897/285</w:t>
            </w:r>
          </w:p>
        </w:tc>
        <w:tc>
          <w:tcPr>
            <w:tcW w:w="1073" w:type="dxa"/>
            <w:tcBorders>
              <w:bottom w:val="single" w:sz="12" w:space="0" w:color="auto"/>
            </w:tcBorders>
          </w:tcPr>
          <w:p w14:paraId="4DBCB8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6653/796</w:t>
            </w:r>
          </w:p>
        </w:tc>
      </w:tr>
    </w:tbl>
    <w:p w14:paraId="3ABB42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(11710,530).</w:t>
      </w:r>
    </w:p>
    <w:p w14:paraId="3CFF71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90.</w:t>
      </w:r>
    </w:p>
    <w:p w14:paraId="2EA45F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Общие и безвозвратные потери люфтваффе в самолетах с начала кампании на Западе до конца июня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06"/>
        <w:gridCol w:w="1706"/>
        <w:gridCol w:w="1706"/>
        <w:gridCol w:w="1771"/>
      </w:tblGrid>
      <w:tr w:rsidR="007D5DF8" w:rsidRPr="00DB5D0D" w14:paraId="1C7418B8" w14:textId="77777777" w:rsidTr="009223E5">
        <w:trPr>
          <w:trHeight w:val="922"/>
        </w:trPr>
        <w:tc>
          <w:tcPr>
            <w:tcW w:w="1706" w:type="dxa"/>
            <w:tcBorders>
              <w:top w:val="single" w:sz="12" w:space="0" w:color="auto"/>
            </w:tcBorders>
          </w:tcPr>
          <w:p w14:paraId="72FB05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Типы машин</w:t>
            </w:r>
          </w:p>
          <w:p w14:paraId="231944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06" w:type="dxa"/>
            <w:tcBorders>
              <w:top w:val="single" w:sz="12" w:space="0" w:color="auto"/>
            </w:tcBorders>
          </w:tcPr>
          <w:p w14:paraId="1B6255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Общие потери/ Безвозвратные</w:t>
            </w:r>
          </w:p>
          <w:p w14:paraId="266687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06" w:type="dxa"/>
            <w:tcBorders>
              <w:top w:val="single" w:sz="12" w:space="0" w:color="auto"/>
            </w:tcBorders>
          </w:tcPr>
          <w:p w14:paraId="4658E7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Потери с 10 по 31 мая Общие/ Безвозвратные</w:t>
            </w:r>
          </w:p>
          <w:p w14:paraId="5BB7EB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71" w:type="dxa"/>
            <w:tcBorders>
              <w:top w:val="single" w:sz="12" w:space="0" w:color="auto"/>
            </w:tcBorders>
          </w:tcPr>
          <w:p w14:paraId="39D39C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Потери с 1 по 30 июня Общие/ Безвозвратные</w:t>
            </w:r>
          </w:p>
          <w:p w14:paraId="061631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4DD7BCE" w14:textId="77777777" w:rsidTr="009223E5">
        <w:trPr>
          <w:trHeight w:val="922"/>
        </w:trPr>
        <w:tc>
          <w:tcPr>
            <w:tcW w:w="1706" w:type="dxa"/>
          </w:tcPr>
          <w:p w14:paraId="2CE4FB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Бомбардировщики</w:t>
            </w:r>
          </w:p>
        </w:tc>
        <w:tc>
          <w:tcPr>
            <w:tcW w:w="1706" w:type="dxa"/>
          </w:tcPr>
          <w:p w14:paraId="6798C5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691/477</w:t>
            </w:r>
          </w:p>
        </w:tc>
        <w:tc>
          <w:tcPr>
            <w:tcW w:w="1706" w:type="dxa"/>
          </w:tcPr>
          <w:p w14:paraId="6AF04B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512/350</w:t>
            </w:r>
          </w:p>
        </w:tc>
        <w:tc>
          <w:tcPr>
            <w:tcW w:w="1771" w:type="dxa"/>
          </w:tcPr>
          <w:p w14:paraId="1F7D4C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179/127</w:t>
            </w:r>
          </w:p>
        </w:tc>
      </w:tr>
      <w:tr w:rsidR="007D5DF8" w:rsidRPr="00DB5D0D" w14:paraId="5F4E80FB" w14:textId="77777777" w:rsidTr="009223E5">
        <w:trPr>
          <w:trHeight w:val="922"/>
        </w:trPr>
        <w:tc>
          <w:tcPr>
            <w:tcW w:w="1706" w:type="dxa"/>
          </w:tcPr>
          <w:p w14:paraId="5FE359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Пикирующие бомбардировщики</w:t>
            </w:r>
          </w:p>
        </w:tc>
        <w:tc>
          <w:tcPr>
            <w:tcW w:w="1706" w:type="dxa"/>
          </w:tcPr>
          <w:p w14:paraId="2FDCA2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164/123</w:t>
            </w:r>
          </w:p>
        </w:tc>
        <w:tc>
          <w:tcPr>
            <w:tcW w:w="1706" w:type="dxa"/>
          </w:tcPr>
          <w:p w14:paraId="3E5C04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106/75</w:t>
            </w:r>
          </w:p>
        </w:tc>
        <w:tc>
          <w:tcPr>
            <w:tcW w:w="1771" w:type="dxa"/>
          </w:tcPr>
          <w:p w14:paraId="6B1352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58/48</w:t>
            </w:r>
          </w:p>
        </w:tc>
      </w:tr>
      <w:tr w:rsidR="007D5DF8" w:rsidRPr="00DB5D0D" w14:paraId="7078EB71" w14:textId="77777777" w:rsidTr="009223E5">
        <w:trPr>
          <w:trHeight w:val="922"/>
        </w:trPr>
        <w:tc>
          <w:tcPr>
            <w:tcW w:w="1706" w:type="dxa"/>
          </w:tcPr>
          <w:p w14:paraId="61B705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Штурмовики</w:t>
            </w:r>
          </w:p>
        </w:tc>
        <w:tc>
          <w:tcPr>
            <w:tcW w:w="1706" w:type="dxa"/>
          </w:tcPr>
          <w:p w14:paraId="45575A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19/5</w:t>
            </w:r>
          </w:p>
        </w:tc>
        <w:tc>
          <w:tcPr>
            <w:tcW w:w="1706" w:type="dxa"/>
          </w:tcPr>
          <w:p w14:paraId="432559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w:t>
            </w:r>
          </w:p>
        </w:tc>
        <w:tc>
          <w:tcPr>
            <w:tcW w:w="1771" w:type="dxa"/>
          </w:tcPr>
          <w:p w14:paraId="0AEAE5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w:t>
            </w:r>
          </w:p>
        </w:tc>
      </w:tr>
      <w:tr w:rsidR="007D5DF8" w:rsidRPr="00DB5D0D" w14:paraId="2A547E4B" w14:textId="77777777" w:rsidTr="009223E5">
        <w:trPr>
          <w:trHeight w:val="922"/>
        </w:trPr>
        <w:tc>
          <w:tcPr>
            <w:tcW w:w="1706" w:type="dxa"/>
          </w:tcPr>
          <w:p w14:paraId="69ED3B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Одномоторные истребители </w:t>
            </w:r>
          </w:p>
        </w:tc>
        <w:tc>
          <w:tcPr>
            <w:tcW w:w="1706" w:type="dxa"/>
          </w:tcPr>
          <w:p w14:paraId="4D1425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376/250 </w:t>
            </w:r>
          </w:p>
        </w:tc>
        <w:tc>
          <w:tcPr>
            <w:tcW w:w="1706" w:type="dxa"/>
          </w:tcPr>
          <w:p w14:paraId="18F4BB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209/136</w:t>
            </w:r>
          </w:p>
        </w:tc>
        <w:tc>
          <w:tcPr>
            <w:tcW w:w="1771" w:type="dxa"/>
          </w:tcPr>
          <w:p w14:paraId="7FD85C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167/114</w:t>
            </w:r>
          </w:p>
        </w:tc>
      </w:tr>
      <w:tr w:rsidR="007D5DF8" w:rsidRPr="00DB5D0D" w14:paraId="23EF0BA2" w14:textId="77777777" w:rsidTr="009223E5">
        <w:trPr>
          <w:trHeight w:val="922"/>
        </w:trPr>
        <w:tc>
          <w:tcPr>
            <w:tcW w:w="1706" w:type="dxa"/>
          </w:tcPr>
          <w:p w14:paraId="067DBE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Двухмоторные истребители</w:t>
            </w:r>
          </w:p>
        </w:tc>
        <w:tc>
          <w:tcPr>
            <w:tcW w:w="1706" w:type="dxa"/>
          </w:tcPr>
          <w:p w14:paraId="20F71B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171/121</w:t>
            </w:r>
          </w:p>
        </w:tc>
        <w:tc>
          <w:tcPr>
            <w:tcW w:w="1706" w:type="dxa"/>
          </w:tcPr>
          <w:p w14:paraId="42F7F6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118/79</w:t>
            </w:r>
          </w:p>
        </w:tc>
        <w:tc>
          <w:tcPr>
            <w:tcW w:w="1771" w:type="dxa"/>
          </w:tcPr>
          <w:p w14:paraId="3DACA9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53/42</w:t>
            </w:r>
          </w:p>
        </w:tc>
      </w:tr>
      <w:tr w:rsidR="007D5DF8" w:rsidRPr="00DB5D0D" w14:paraId="158D44A0" w14:textId="77777777" w:rsidTr="009223E5">
        <w:trPr>
          <w:trHeight w:val="922"/>
        </w:trPr>
        <w:tc>
          <w:tcPr>
            <w:tcW w:w="1706" w:type="dxa"/>
          </w:tcPr>
          <w:p w14:paraId="249E1C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Ближние разведчики</w:t>
            </w:r>
          </w:p>
        </w:tc>
        <w:tc>
          <w:tcPr>
            <w:tcW w:w="1706" w:type="dxa"/>
          </w:tcPr>
          <w:p w14:paraId="60C83F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190/124</w:t>
            </w:r>
          </w:p>
        </w:tc>
        <w:tc>
          <w:tcPr>
            <w:tcW w:w="1706" w:type="dxa"/>
          </w:tcPr>
          <w:p w14:paraId="7D42CD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151/96</w:t>
            </w:r>
          </w:p>
        </w:tc>
        <w:tc>
          <w:tcPr>
            <w:tcW w:w="1771" w:type="dxa"/>
          </w:tcPr>
          <w:p w14:paraId="06E18A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39/28</w:t>
            </w:r>
          </w:p>
        </w:tc>
      </w:tr>
      <w:tr w:rsidR="007D5DF8" w:rsidRPr="00DB5D0D" w14:paraId="16219B6C" w14:textId="77777777" w:rsidTr="009223E5">
        <w:trPr>
          <w:trHeight w:val="922"/>
        </w:trPr>
        <w:tc>
          <w:tcPr>
            <w:tcW w:w="1706" w:type="dxa"/>
          </w:tcPr>
          <w:p w14:paraId="678E7C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Дальние разведчики</w:t>
            </w:r>
          </w:p>
        </w:tc>
        <w:tc>
          <w:tcPr>
            <w:tcW w:w="1706" w:type="dxa"/>
          </w:tcPr>
          <w:p w14:paraId="603F94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134/87</w:t>
            </w:r>
          </w:p>
        </w:tc>
        <w:tc>
          <w:tcPr>
            <w:tcW w:w="1706" w:type="dxa"/>
          </w:tcPr>
          <w:p w14:paraId="0238B7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98/67</w:t>
            </w:r>
          </w:p>
        </w:tc>
        <w:tc>
          <w:tcPr>
            <w:tcW w:w="1771" w:type="dxa"/>
          </w:tcPr>
          <w:p w14:paraId="54F6AB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36/20</w:t>
            </w:r>
          </w:p>
        </w:tc>
      </w:tr>
      <w:tr w:rsidR="007D5DF8" w:rsidRPr="00DB5D0D" w14:paraId="24643FED" w14:textId="77777777" w:rsidTr="009223E5">
        <w:trPr>
          <w:trHeight w:val="922"/>
        </w:trPr>
        <w:tc>
          <w:tcPr>
            <w:tcW w:w="1706" w:type="dxa"/>
          </w:tcPr>
          <w:p w14:paraId="225447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Транспортные</w:t>
            </w:r>
          </w:p>
        </w:tc>
        <w:tc>
          <w:tcPr>
            <w:tcW w:w="1706" w:type="dxa"/>
          </w:tcPr>
          <w:p w14:paraId="16429F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214/140</w:t>
            </w:r>
          </w:p>
        </w:tc>
        <w:tc>
          <w:tcPr>
            <w:tcW w:w="1706" w:type="dxa"/>
          </w:tcPr>
          <w:p w14:paraId="14EA7D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188/122</w:t>
            </w:r>
          </w:p>
        </w:tc>
        <w:tc>
          <w:tcPr>
            <w:tcW w:w="1771" w:type="dxa"/>
          </w:tcPr>
          <w:p w14:paraId="02D0EE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26/18</w:t>
            </w:r>
          </w:p>
        </w:tc>
      </w:tr>
      <w:tr w:rsidR="007D5DF8" w:rsidRPr="00DB5D0D" w14:paraId="4FB6AE2F" w14:textId="77777777" w:rsidTr="009223E5">
        <w:trPr>
          <w:trHeight w:val="922"/>
        </w:trPr>
        <w:tc>
          <w:tcPr>
            <w:tcW w:w="1706" w:type="dxa"/>
          </w:tcPr>
          <w:p w14:paraId="34F52A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связи</w:t>
            </w:r>
          </w:p>
        </w:tc>
        <w:tc>
          <w:tcPr>
            <w:tcW w:w="1706" w:type="dxa"/>
          </w:tcPr>
          <w:p w14:paraId="3C6AC6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65/33</w:t>
            </w:r>
          </w:p>
        </w:tc>
        <w:tc>
          <w:tcPr>
            <w:tcW w:w="1706" w:type="dxa"/>
          </w:tcPr>
          <w:p w14:paraId="67541A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54/26</w:t>
            </w:r>
          </w:p>
        </w:tc>
        <w:tc>
          <w:tcPr>
            <w:tcW w:w="1771" w:type="dxa"/>
          </w:tcPr>
          <w:p w14:paraId="2085FF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11/7</w:t>
            </w:r>
          </w:p>
        </w:tc>
      </w:tr>
      <w:tr w:rsidR="007D5DF8" w:rsidRPr="00DB5D0D" w14:paraId="48917F53" w14:textId="77777777" w:rsidTr="009223E5">
        <w:trPr>
          <w:trHeight w:val="922"/>
        </w:trPr>
        <w:tc>
          <w:tcPr>
            <w:tcW w:w="1706" w:type="dxa"/>
          </w:tcPr>
          <w:p w14:paraId="2E4531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Морские</w:t>
            </w:r>
          </w:p>
        </w:tc>
        <w:tc>
          <w:tcPr>
            <w:tcW w:w="1706" w:type="dxa"/>
          </w:tcPr>
          <w:p w14:paraId="2F8A6D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43/37</w:t>
            </w:r>
          </w:p>
        </w:tc>
        <w:tc>
          <w:tcPr>
            <w:tcW w:w="1706" w:type="dxa"/>
          </w:tcPr>
          <w:p w14:paraId="6C9C5B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26/25</w:t>
            </w:r>
          </w:p>
        </w:tc>
        <w:tc>
          <w:tcPr>
            <w:tcW w:w="1771" w:type="dxa"/>
          </w:tcPr>
          <w:p w14:paraId="45722F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17/12</w:t>
            </w:r>
          </w:p>
        </w:tc>
      </w:tr>
      <w:tr w:rsidR="007D5DF8" w:rsidRPr="00DB5D0D" w14:paraId="1D7D2666" w14:textId="77777777" w:rsidTr="009223E5">
        <w:trPr>
          <w:trHeight w:val="922"/>
        </w:trPr>
        <w:tc>
          <w:tcPr>
            <w:tcW w:w="1706" w:type="dxa"/>
          </w:tcPr>
          <w:p w14:paraId="10CE65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Прочие типы</w:t>
            </w:r>
          </w:p>
        </w:tc>
        <w:tc>
          <w:tcPr>
            <w:tcW w:w="1706" w:type="dxa"/>
          </w:tcPr>
          <w:p w14:paraId="590A4B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6/4</w:t>
            </w:r>
          </w:p>
        </w:tc>
        <w:tc>
          <w:tcPr>
            <w:tcW w:w="1706" w:type="dxa"/>
          </w:tcPr>
          <w:p w14:paraId="7B0037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w:t>
            </w:r>
          </w:p>
        </w:tc>
        <w:tc>
          <w:tcPr>
            <w:tcW w:w="1771" w:type="dxa"/>
          </w:tcPr>
          <w:p w14:paraId="5268E7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w:t>
            </w:r>
          </w:p>
        </w:tc>
      </w:tr>
      <w:tr w:rsidR="007D5DF8" w:rsidRPr="00DB5D0D" w14:paraId="0249D8B2" w14:textId="77777777" w:rsidTr="009223E5">
        <w:trPr>
          <w:trHeight w:val="922"/>
        </w:trPr>
        <w:tc>
          <w:tcPr>
            <w:tcW w:w="1706" w:type="dxa"/>
            <w:tcBorders>
              <w:bottom w:val="single" w:sz="12" w:space="0" w:color="auto"/>
            </w:tcBorders>
          </w:tcPr>
          <w:p w14:paraId="6536D2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типы</w:t>
            </w:r>
          </w:p>
        </w:tc>
        <w:tc>
          <w:tcPr>
            <w:tcW w:w="1706" w:type="dxa"/>
            <w:tcBorders>
              <w:bottom w:val="single" w:sz="12" w:space="0" w:color="auto"/>
            </w:tcBorders>
          </w:tcPr>
          <w:p w14:paraId="0343A6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2073/1401</w:t>
            </w:r>
          </w:p>
        </w:tc>
        <w:tc>
          <w:tcPr>
            <w:tcW w:w="1706" w:type="dxa"/>
            <w:tcBorders>
              <w:bottom w:val="single" w:sz="12" w:space="0" w:color="auto"/>
            </w:tcBorders>
          </w:tcPr>
          <w:p w14:paraId="555FE3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1470/978</w:t>
            </w:r>
          </w:p>
        </w:tc>
        <w:tc>
          <w:tcPr>
            <w:tcW w:w="1771" w:type="dxa"/>
            <w:tcBorders>
              <w:bottom w:val="single" w:sz="12" w:space="0" w:color="auto"/>
            </w:tcBorders>
          </w:tcPr>
          <w:p w14:paraId="5AA836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603/423</w:t>
            </w:r>
          </w:p>
        </w:tc>
      </w:tr>
    </w:tbl>
    <w:p w14:paraId="660ACF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(11710,530).</w:t>
      </w:r>
    </w:p>
    <w:p w14:paraId="47D39D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C3F02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91.</w:t>
      </w:r>
    </w:p>
    <w:p w14:paraId="384746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Потери люфтваффе в самолетах в мае-июне 1940 г. и их причины (В числителе указаны безвозвратные потери, в знаменателе - количество поврежденных самолетов)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56"/>
        <w:gridCol w:w="1022"/>
        <w:gridCol w:w="1181"/>
        <w:gridCol w:w="756"/>
        <w:gridCol w:w="936"/>
        <w:gridCol w:w="1820"/>
      </w:tblGrid>
      <w:tr w:rsidR="007D5DF8" w:rsidRPr="00DB5D0D" w14:paraId="51CA0BE1" w14:textId="77777777" w:rsidTr="009223E5">
        <w:trPr>
          <w:trHeight w:val="922"/>
        </w:trPr>
        <w:tc>
          <w:tcPr>
            <w:tcW w:w="1656" w:type="dxa"/>
            <w:tcBorders>
              <w:top w:val="single" w:sz="12" w:space="0" w:color="auto"/>
            </w:tcBorders>
          </w:tcPr>
          <w:p w14:paraId="2158DA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Типы машин</w:t>
            </w:r>
          </w:p>
        </w:tc>
        <w:tc>
          <w:tcPr>
            <w:tcW w:w="1022" w:type="dxa"/>
            <w:tcBorders>
              <w:top w:val="single" w:sz="12" w:space="0" w:color="auto"/>
            </w:tcBorders>
          </w:tcPr>
          <w:p w14:paraId="68C5A9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самолетов встроюнию на 4 мая 1940 г.</w:t>
            </w:r>
          </w:p>
        </w:tc>
        <w:tc>
          <w:tcPr>
            <w:tcW w:w="1937" w:type="dxa"/>
            <w:gridSpan w:val="2"/>
            <w:tcBorders>
              <w:top w:val="single" w:sz="12" w:space="0" w:color="auto"/>
            </w:tcBorders>
          </w:tcPr>
          <w:p w14:paraId="021658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Потеряно в результате боевых действий</w:t>
            </w:r>
          </w:p>
        </w:tc>
        <w:tc>
          <w:tcPr>
            <w:tcW w:w="936" w:type="dxa"/>
            <w:tcBorders>
              <w:top w:val="single" w:sz="12" w:space="0" w:color="auto"/>
            </w:tcBorders>
          </w:tcPr>
          <w:p w14:paraId="2E5D46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Потери авиатех</w:t>
            </w:r>
            <w:r w:rsidRPr="00DB5D0D">
              <w:rPr>
                <w:rFonts w:ascii="Times New Roman" w:hAnsi="Times New Roman"/>
                <w:color w:val="000000" w:themeColor="text1"/>
                <w:sz w:val="16"/>
                <w:szCs w:val="16"/>
              </w:rPr>
              <w:softHyphen/>
              <w:t>ники,сящие от боевых действий</w:t>
            </w:r>
          </w:p>
        </w:tc>
        <w:tc>
          <w:tcPr>
            <w:tcW w:w="1820" w:type="dxa"/>
            <w:tcBorders>
              <w:top w:val="single" w:sz="12" w:space="0" w:color="auto"/>
            </w:tcBorders>
          </w:tcPr>
          <w:p w14:paraId="4B59DE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Итоговые потери (в скобках указан процент потерь от имевшихся машин)</w:t>
            </w:r>
          </w:p>
        </w:tc>
      </w:tr>
      <w:tr w:rsidR="007D5DF8" w:rsidRPr="00DB5D0D" w14:paraId="69CFCA58" w14:textId="77777777" w:rsidTr="009223E5">
        <w:trPr>
          <w:trHeight w:val="850"/>
        </w:trPr>
        <w:tc>
          <w:tcPr>
            <w:tcW w:w="1656" w:type="dxa"/>
          </w:tcPr>
          <w:p w14:paraId="4F36922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022" w:type="dxa"/>
          </w:tcPr>
          <w:p w14:paraId="7B91ACB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81" w:type="dxa"/>
          </w:tcPr>
          <w:p w14:paraId="1E9C04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воздей</w:t>
            </w:r>
            <w:r w:rsidRPr="00DB5D0D">
              <w:rPr>
                <w:rFonts w:ascii="Times New Roman" w:hAnsi="Times New Roman"/>
                <w:color w:val="000000" w:themeColor="text1"/>
                <w:sz w:val="16"/>
                <w:szCs w:val="16"/>
              </w:rPr>
              <w:softHyphen/>
              <w:t>ствия противника</w:t>
            </w:r>
          </w:p>
        </w:tc>
        <w:tc>
          <w:tcPr>
            <w:tcW w:w="756" w:type="dxa"/>
          </w:tcPr>
          <w:p w14:paraId="627042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Прочие причи</w:t>
            </w:r>
            <w:r w:rsidRPr="00DB5D0D">
              <w:rPr>
                <w:rFonts w:ascii="Times New Roman" w:hAnsi="Times New Roman"/>
                <w:color w:val="000000" w:themeColor="text1"/>
                <w:sz w:val="16"/>
                <w:szCs w:val="16"/>
              </w:rPr>
              <w:softHyphen/>
              <w:t>ны</w:t>
            </w:r>
          </w:p>
        </w:tc>
        <w:tc>
          <w:tcPr>
            <w:tcW w:w="936" w:type="dxa"/>
          </w:tcPr>
          <w:p w14:paraId="07C34E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820" w:type="dxa"/>
          </w:tcPr>
          <w:p w14:paraId="6A94CE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A6211A2" w14:textId="77777777" w:rsidTr="009223E5">
        <w:trPr>
          <w:trHeight w:val="576"/>
        </w:trPr>
        <w:tc>
          <w:tcPr>
            <w:tcW w:w="1656" w:type="dxa"/>
          </w:tcPr>
          <w:p w14:paraId="639293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Бомбардировщики</w:t>
            </w:r>
          </w:p>
        </w:tc>
        <w:tc>
          <w:tcPr>
            <w:tcW w:w="1022" w:type="dxa"/>
          </w:tcPr>
          <w:p w14:paraId="0937F1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1758</w:t>
            </w:r>
          </w:p>
        </w:tc>
        <w:tc>
          <w:tcPr>
            <w:tcW w:w="1181" w:type="dxa"/>
          </w:tcPr>
          <w:p w14:paraId="422813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438/116</w:t>
            </w:r>
          </w:p>
        </w:tc>
        <w:tc>
          <w:tcPr>
            <w:tcW w:w="756" w:type="dxa"/>
          </w:tcPr>
          <w:p w14:paraId="1676BA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53/47</w:t>
            </w:r>
          </w:p>
        </w:tc>
        <w:tc>
          <w:tcPr>
            <w:tcW w:w="936" w:type="dxa"/>
          </w:tcPr>
          <w:p w14:paraId="63DE2B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30/40</w:t>
            </w:r>
          </w:p>
        </w:tc>
        <w:tc>
          <w:tcPr>
            <w:tcW w:w="1820" w:type="dxa"/>
          </w:tcPr>
          <w:p w14:paraId="5D4AD1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521 (30%)/ 203(11%)</w:t>
            </w:r>
          </w:p>
        </w:tc>
      </w:tr>
      <w:tr w:rsidR="007D5DF8" w:rsidRPr="00DB5D0D" w14:paraId="140C155B" w14:textId="77777777" w:rsidTr="009223E5">
        <w:trPr>
          <w:trHeight w:val="511"/>
        </w:trPr>
        <w:tc>
          <w:tcPr>
            <w:tcW w:w="1656" w:type="dxa"/>
          </w:tcPr>
          <w:p w14:paraId="3F4B41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Пикирующие бомбардировщики</w:t>
            </w:r>
          </w:p>
        </w:tc>
        <w:tc>
          <w:tcPr>
            <w:tcW w:w="1022" w:type="dxa"/>
          </w:tcPr>
          <w:p w14:paraId="451BC6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417</w:t>
            </w:r>
          </w:p>
        </w:tc>
        <w:tc>
          <w:tcPr>
            <w:tcW w:w="1181" w:type="dxa"/>
          </w:tcPr>
          <w:p w14:paraId="5589CD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89/20</w:t>
            </w:r>
          </w:p>
        </w:tc>
        <w:tc>
          <w:tcPr>
            <w:tcW w:w="756" w:type="dxa"/>
          </w:tcPr>
          <w:p w14:paraId="22A3F7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24/7</w:t>
            </w:r>
          </w:p>
        </w:tc>
        <w:tc>
          <w:tcPr>
            <w:tcW w:w="936" w:type="dxa"/>
          </w:tcPr>
          <w:p w14:paraId="0747D2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w:t>
            </w:r>
          </w:p>
        </w:tc>
        <w:tc>
          <w:tcPr>
            <w:tcW w:w="1820" w:type="dxa"/>
          </w:tcPr>
          <w:p w14:paraId="695244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122(30%)/ 28(6%)</w:t>
            </w:r>
          </w:p>
        </w:tc>
      </w:tr>
      <w:tr w:rsidR="007D5DF8" w:rsidRPr="00DB5D0D" w14:paraId="6EF5EDCB" w14:textId="77777777" w:rsidTr="009223E5">
        <w:trPr>
          <w:trHeight w:val="562"/>
        </w:trPr>
        <w:tc>
          <w:tcPr>
            <w:tcW w:w="1656" w:type="dxa"/>
          </w:tcPr>
          <w:p w14:paraId="2E9C11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Одномоторные истребители</w:t>
            </w:r>
          </w:p>
        </w:tc>
        <w:tc>
          <w:tcPr>
            <w:tcW w:w="1022" w:type="dxa"/>
          </w:tcPr>
          <w:p w14:paraId="3456A7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1369</w:t>
            </w:r>
          </w:p>
        </w:tc>
        <w:tc>
          <w:tcPr>
            <w:tcW w:w="1181" w:type="dxa"/>
          </w:tcPr>
          <w:p w14:paraId="7B6C2A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169/33</w:t>
            </w:r>
          </w:p>
        </w:tc>
        <w:tc>
          <w:tcPr>
            <w:tcW w:w="756" w:type="dxa"/>
          </w:tcPr>
          <w:p w14:paraId="7FAB7F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66/92</w:t>
            </w:r>
          </w:p>
        </w:tc>
        <w:tc>
          <w:tcPr>
            <w:tcW w:w="936" w:type="dxa"/>
          </w:tcPr>
          <w:p w14:paraId="71449A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22/25</w:t>
            </w:r>
          </w:p>
        </w:tc>
        <w:tc>
          <w:tcPr>
            <w:tcW w:w="1820" w:type="dxa"/>
          </w:tcPr>
          <w:p w14:paraId="6FE2E8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 (19%)/ 150(11%)</w:t>
            </w:r>
          </w:p>
        </w:tc>
      </w:tr>
      <w:tr w:rsidR="007D5DF8" w:rsidRPr="00DB5D0D" w14:paraId="02044AEA" w14:textId="77777777" w:rsidTr="009223E5">
        <w:trPr>
          <w:trHeight w:val="569"/>
        </w:trPr>
        <w:tc>
          <w:tcPr>
            <w:tcW w:w="1656" w:type="dxa"/>
          </w:tcPr>
          <w:p w14:paraId="6BB064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Двухмоторные истребители</w:t>
            </w:r>
          </w:p>
        </w:tc>
        <w:tc>
          <w:tcPr>
            <w:tcW w:w="1022" w:type="dxa"/>
          </w:tcPr>
          <w:p w14:paraId="6903E8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367</w:t>
            </w:r>
          </w:p>
        </w:tc>
        <w:tc>
          <w:tcPr>
            <w:tcW w:w="1181" w:type="dxa"/>
          </w:tcPr>
          <w:p w14:paraId="55F7DE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90/20</w:t>
            </w:r>
          </w:p>
        </w:tc>
        <w:tc>
          <w:tcPr>
            <w:tcW w:w="756" w:type="dxa"/>
          </w:tcPr>
          <w:p w14:paraId="21175D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16/6</w:t>
            </w:r>
          </w:p>
        </w:tc>
        <w:tc>
          <w:tcPr>
            <w:tcW w:w="936" w:type="dxa"/>
          </w:tcPr>
          <w:p w14:paraId="18728B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820" w:type="dxa"/>
          </w:tcPr>
          <w:p w14:paraId="7D56B2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110(30%)/ 29(8%)</w:t>
            </w:r>
          </w:p>
        </w:tc>
      </w:tr>
      <w:tr w:rsidR="007D5DF8" w:rsidRPr="00DB5D0D" w14:paraId="7D2DFFD8" w14:textId="77777777" w:rsidTr="009223E5">
        <w:trPr>
          <w:trHeight w:val="310"/>
        </w:trPr>
        <w:tc>
          <w:tcPr>
            <w:tcW w:w="1656" w:type="dxa"/>
          </w:tcPr>
          <w:p w14:paraId="79BA93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Ближние разведчики</w:t>
            </w:r>
          </w:p>
        </w:tc>
        <w:tc>
          <w:tcPr>
            <w:tcW w:w="1022" w:type="dxa"/>
          </w:tcPr>
          <w:p w14:paraId="05A656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345</w:t>
            </w:r>
          </w:p>
        </w:tc>
        <w:tc>
          <w:tcPr>
            <w:tcW w:w="1181" w:type="dxa"/>
          </w:tcPr>
          <w:p w14:paraId="594B5B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67/13</w:t>
            </w:r>
          </w:p>
        </w:tc>
        <w:tc>
          <w:tcPr>
            <w:tcW w:w="756" w:type="dxa"/>
          </w:tcPr>
          <w:p w14:paraId="3B0B3F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w:t>
            </w:r>
          </w:p>
        </w:tc>
        <w:tc>
          <w:tcPr>
            <w:tcW w:w="936" w:type="dxa"/>
          </w:tcPr>
          <w:p w14:paraId="398EC8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w:t>
            </w:r>
          </w:p>
        </w:tc>
        <w:tc>
          <w:tcPr>
            <w:tcW w:w="1820" w:type="dxa"/>
          </w:tcPr>
          <w:p w14:paraId="35A7B0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 (23%)/ 18(5%)</w:t>
            </w:r>
          </w:p>
        </w:tc>
      </w:tr>
      <w:tr w:rsidR="007D5DF8" w:rsidRPr="00DB5D0D" w14:paraId="1DA3E96D" w14:textId="77777777" w:rsidTr="009223E5">
        <w:trPr>
          <w:trHeight w:val="569"/>
        </w:trPr>
        <w:tc>
          <w:tcPr>
            <w:tcW w:w="1656" w:type="dxa"/>
          </w:tcPr>
          <w:p w14:paraId="68BCF8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Дальние разведчики</w:t>
            </w:r>
          </w:p>
        </w:tc>
        <w:tc>
          <w:tcPr>
            <w:tcW w:w="1022" w:type="dxa"/>
          </w:tcPr>
          <w:p w14:paraId="349FE4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321</w:t>
            </w:r>
          </w:p>
        </w:tc>
        <w:tc>
          <w:tcPr>
            <w:tcW w:w="1181" w:type="dxa"/>
          </w:tcPr>
          <w:p w14:paraId="750F9F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68/12</w:t>
            </w:r>
          </w:p>
        </w:tc>
        <w:tc>
          <w:tcPr>
            <w:tcW w:w="756" w:type="dxa"/>
          </w:tcPr>
          <w:p w14:paraId="73775B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18/8</w:t>
            </w:r>
          </w:p>
        </w:tc>
        <w:tc>
          <w:tcPr>
            <w:tcW w:w="936" w:type="dxa"/>
          </w:tcPr>
          <w:p w14:paraId="450AC3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1820" w:type="dxa"/>
          </w:tcPr>
          <w:p w14:paraId="48F297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 (27%)/ 21 (7%)</w:t>
            </w:r>
          </w:p>
        </w:tc>
      </w:tr>
      <w:tr w:rsidR="007D5DF8" w:rsidRPr="00DB5D0D" w14:paraId="03239661" w14:textId="77777777" w:rsidTr="009223E5">
        <w:trPr>
          <w:trHeight w:val="569"/>
        </w:trPr>
        <w:tc>
          <w:tcPr>
            <w:tcW w:w="1656" w:type="dxa"/>
          </w:tcPr>
          <w:p w14:paraId="343EBC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Транспортные</w:t>
            </w:r>
          </w:p>
        </w:tc>
        <w:tc>
          <w:tcPr>
            <w:tcW w:w="1022" w:type="dxa"/>
          </w:tcPr>
          <w:p w14:paraId="65DC47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531</w:t>
            </w:r>
          </w:p>
        </w:tc>
        <w:tc>
          <w:tcPr>
            <w:tcW w:w="1181" w:type="dxa"/>
          </w:tcPr>
          <w:p w14:paraId="4EA553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188/8</w:t>
            </w:r>
          </w:p>
        </w:tc>
        <w:tc>
          <w:tcPr>
            <w:tcW w:w="756" w:type="dxa"/>
          </w:tcPr>
          <w:p w14:paraId="377BE1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18/14</w:t>
            </w:r>
          </w:p>
        </w:tc>
        <w:tc>
          <w:tcPr>
            <w:tcW w:w="936" w:type="dxa"/>
          </w:tcPr>
          <w:p w14:paraId="268EF5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1820" w:type="dxa"/>
          </w:tcPr>
          <w:p w14:paraId="556E4A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213(40%)/ 27 (5%)</w:t>
            </w:r>
          </w:p>
        </w:tc>
      </w:tr>
      <w:tr w:rsidR="007D5DF8" w:rsidRPr="00DB5D0D" w14:paraId="6C6CF1B0" w14:textId="77777777" w:rsidTr="009223E5">
        <w:trPr>
          <w:trHeight w:val="562"/>
        </w:trPr>
        <w:tc>
          <w:tcPr>
            <w:tcW w:w="1656" w:type="dxa"/>
          </w:tcPr>
          <w:p w14:paraId="074CB6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Морские</w:t>
            </w:r>
          </w:p>
        </w:tc>
        <w:tc>
          <w:tcPr>
            <w:tcW w:w="1022" w:type="dxa"/>
          </w:tcPr>
          <w:p w14:paraId="251136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241</w:t>
            </w:r>
          </w:p>
        </w:tc>
        <w:tc>
          <w:tcPr>
            <w:tcW w:w="1181" w:type="dxa"/>
          </w:tcPr>
          <w:p w14:paraId="206E40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w:t>
            </w:r>
          </w:p>
        </w:tc>
        <w:tc>
          <w:tcPr>
            <w:tcW w:w="756" w:type="dxa"/>
          </w:tcPr>
          <w:p w14:paraId="409EFB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w:t>
            </w:r>
          </w:p>
        </w:tc>
        <w:tc>
          <w:tcPr>
            <w:tcW w:w="936" w:type="dxa"/>
          </w:tcPr>
          <w:p w14:paraId="2E1602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1820" w:type="dxa"/>
          </w:tcPr>
          <w:p w14:paraId="1D6951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39(16%)/ 12(5%)</w:t>
            </w:r>
          </w:p>
        </w:tc>
      </w:tr>
      <w:tr w:rsidR="007D5DF8" w:rsidRPr="00DB5D0D" w14:paraId="49AA1206" w14:textId="77777777" w:rsidTr="009223E5">
        <w:trPr>
          <w:trHeight w:val="634"/>
        </w:trPr>
        <w:tc>
          <w:tcPr>
            <w:tcW w:w="1656" w:type="dxa"/>
            <w:tcBorders>
              <w:bottom w:val="single" w:sz="12" w:space="0" w:color="auto"/>
            </w:tcBorders>
          </w:tcPr>
          <w:p w14:paraId="2A80DE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типы</w:t>
            </w:r>
          </w:p>
        </w:tc>
        <w:tc>
          <w:tcPr>
            <w:tcW w:w="1022" w:type="dxa"/>
            <w:tcBorders>
              <w:bottom w:val="single" w:sz="12" w:space="0" w:color="auto"/>
            </w:tcBorders>
          </w:tcPr>
          <w:p w14:paraId="2CDA49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5439</w:t>
            </w:r>
          </w:p>
        </w:tc>
        <w:tc>
          <w:tcPr>
            <w:tcW w:w="1181" w:type="dxa"/>
            <w:tcBorders>
              <w:bottom w:val="single" w:sz="12" w:space="0" w:color="auto"/>
            </w:tcBorders>
          </w:tcPr>
          <w:p w14:paraId="4D4201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1129/225</w:t>
            </w:r>
          </w:p>
        </w:tc>
        <w:tc>
          <w:tcPr>
            <w:tcW w:w="756" w:type="dxa"/>
            <w:tcBorders>
              <w:bottom w:val="single" w:sz="12" w:space="0" w:color="auto"/>
            </w:tcBorders>
          </w:tcPr>
          <w:p w14:paraId="784FA4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216/183</w:t>
            </w:r>
          </w:p>
        </w:tc>
        <w:tc>
          <w:tcPr>
            <w:tcW w:w="936" w:type="dxa"/>
            <w:tcBorders>
              <w:bottom w:val="single" w:sz="12" w:space="0" w:color="auto"/>
            </w:tcBorders>
          </w:tcPr>
          <w:p w14:paraId="2277FA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83/80</w:t>
            </w:r>
          </w:p>
        </w:tc>
        <w:tc>
          <w:tcPr>
            <w:tcW w:w="1820" w:type="dxa"/>
            <w:tcBorders>
              <w:bottom w:val="single" w:sz="12" w:space="0" w:color="auto"/>
            </w:tcBorders>
          </w:tcPr>
          <w:p w14:paraId="6FD7EC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1428(28%)/ 488(8%)</w:t>
            </w:r>
          </w:p>
        </w:tc>
      </w:tr>
    </w:tbl>
    <w:p w14:paraId="1C8251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(11710,530).</w:t>
      </w:r>
    </w:p>
    <w:p w14:paraId="4E89660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81C606F"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в 1940 году 18-я немецкая армия вторглась на территорию Бельгии и Нидерландов (14887).</w:t>
      </w:r>
    </w:p>
    <w:p w14:paraId="43AC2AC9"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3EF23E28"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в 1940 году (10-15 мая) нидерландская полиция арестовала и интернировала во Францию 30 тысяч человек, подозреваемых в шпионаже в пользу Германии. Убито на месте 70 человек (14887).</w:t>
      </w:r>
    </w:p>
    <w:p w14:paraId="6E4755E7"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41B762CC"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в 1940 году в Нидерландской Индии интернировано несколько тысяч подданных Германии (14887).</w:t>
      </w:r>
    </w:p>
    <w:p w14:paraId="33560AE5"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06ECC46B"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10 May 1940 No-confidence vote in the Commons, Chamberlain resigns and Churchill becomes Prime Minister (270).</w:t>
      </w:r>
    </w:p>
    <w:p w14:paraId="4437EC73"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076DE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вотум недоверия в английской Палате Представителей привел к тому, что Чемберлен подал в отставку, а У.Черчиль стал Премьер Министром (270).</w:t>
      </w:r>
    </w:p>
    <w:p w14:paraId="5B4B757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E52AC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Черчилль стал премьер министром Англии. Полностью дискредитировавший себя Чемберлен ушел в отставку (4963 ).</w:t>
      </w:r>
    </w:p>
    <w:p w14:paraId="0AA7972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A5F3C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после скандальных слушаний в британском парламенте Н.Чемберлен был вынужден уйти в отставку. Новое правительство возглавил У.Черчиль - сторонник энергичного противодействия германской опасности. Его приход к власти обозначил в британской политике зримый рубеж. Однако время подготовки к борьбе против Германии было во многом упущено (3871).</w:t>
      </w:r>
    </w:p>
    <w:p w14:paraId="129AA8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249A598"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в 1940 году Звонок Рейно Черчиллю, он сообщил о готовности Вейгана бомбить Баку с 15 мая (14887).</w:t>
      </w:r>
    </w:p>
    <w:p w14:paraId="6E62A71C"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59B1D6C7"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в Великобритании началось формирование отрядов добровольцев для местной обороны (3907,222).</w:t>
      </w:r>
    </w:p>
    <w:p w14:paraId="16898901"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3559B6BE"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в 1940 году в Великобритании формируются отряды добровольцев местной обороны (позже переименованы в войска местной обороны) (14887).</w:t>
      </w:r>
    </w:p>
    <w:p w14:paraId="4DC46686"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029DF1CF" w14:textId="77777777" w:rsidR="002B1DF4" w:rsidRPr="00DB5D0D" w:rsidRDefault="002B1DF4"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10 1940 British occupation of Iceland announced in London (1223).</w:t>
      </w:r>
    </w:p>
    <w:p w14:paraId="00523E7C" w14:textId="77777777" w:rsidR="002B1DF4" w:rsidRPr="00DB5D0D" w:rsidRDefault="002B1DF4" w:rsidP="00DB5D0D">
      <w:pPr>
        <w:spacing w:after="0" w:line="240" w:lineRule="auto"/>
        <w:jc w:val="both"/>
        <w:rPr>
          <w:rFonts w:ascii="Times New Roman" w:hAnsi="Times New Roman"/>
          <w:color w:val="000000" w:themeColor="text1"/>
          <w:sz w:val="16"/>
          <w:szCs w:val="16"/>
          <w:lang w:val="en-US"/>
        </w:rPr>
      </w:pPr>
    </w:p>
    <w:p w14:paraId="6E33DBEF"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в Лондоне была объявлена британская оккупация Исландии (1223).</w:t>
      </w:r>
    </w:p>
    <w:p w14:paraId="56895C33"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6EA2EE43" w14:textId="77777777" w:rsidR="002B1DF4" w:rsidRPr="00DB5D0D" w:rsidRDefault="002B1DF4"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Англия оккупировала Исландию (4962).</w:t>
      </w:r>
    </w:p>
    <w:p w14:paraId="7B9B6318" w14:textId="77777777" w:rsidR="002B1DF4" w:rsidRPr="00DB5D0D" w:rsidRDefault="002B1DF4" w:rsidP="00DB5D0D">
      <w:pPr>
        <w:tabs>
          <w:tab w:val="left" w:pos="11199"/>
        </w:tabs>
        <w:spacing w:after="0" w:line="240" w:lineRule="auto"/>
        <w:jc w:val="both"/>
        <w:rPr>
          <w:rFonts w:ascii="Times New Roman" w:hAnsi="Times New Roman"/>
          <w:color w:val="000000" w:themeColor="text1"/>
          <w:sz w:val="16"/>
          <w:szCs w:val="16"/>
        </w:rPr>
      </w:pPr>
    </w:p>
    <w:p w14:paraId="13357925"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 Германия начала активные военные действия против Франции. Гитлер выбрал день, когда в Англии шла «смена караула» — премьер-министр Чемберлен уступал место премьер-министру Черчиллю. На один день Англия осталась без власти – и в этот день был нанесен удар. Общее планирование операции выполнил генерал Вальтер Браухич, основная роль в кампании принадлежала 19-й танковой группе генерала Гейнца Гудериана. Французскими силами командовал генерал Морис Гамелен, но разгадать окончательный замысел немцев оказался не способен. По «плану Д» Гамелен хотел либо отсидеться за линией «Мажино», либо выдвигаться на помощь Голландии и Бельгии, но война началась вовсе не там и вовсе не так, как он планировал. За 7 дней танковые силы Германии путем безостановочного наступления по центру фронта через Арденны достигли крупных успехов. В правительстве Франции царила паника (17398).</w:t>
      </w:r>
    </w:p>
    <w:p w14:paraId="057549CD"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7F9CEA47" w14:textId="77777777" w:rsidR="00706D5D" w:rsidRPr="00DB5D0D" w:rsidRDefault="00706D5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мая 1940 Экзюпери начинает реально воевать. Его эскадрилья переводится под Париж, 22 мая он ведет разведку на Аррасом. После взятия Парижа 14 июня у правительства Франции «опустились руки» и Петен просит мира. 17 июня 1940 г. эскадрилья 2/33 перелетает в Алжир. Экзюпери оставляет военную службу и 6 августа возвращается в Марсель. Он едет в Париж, занятый немцами, посещает Виши (17398).</w:t>
      </w:r>
    </w:p>
    <w:p w14:paraId="41D49776" w14:textId="77777777" w:rsidR="00706D5D" w:rsidRPr="00DB5D0D" w:rsidRDefault="00706D5D" w:rsidP="00DB5D0D">
      <w:pPr>
        <w:spacing w:after="0" w:line="240" w:lineRule="auto"/>
        <w:jc w:val="both"/>
        <w:rPr>
          <w:rFonts w:ascii="Times New Roman" w:hAnsi="Times New Roman"/>
          <w:color w:val="000000" w:themeColor="text1"/>
          <w:sz w:val="16"/>
          <w:szCs w:val="16"/>
        </w:rPr>
      </w:pPr>
    </w:p>
    <w:p w14:paraId="13C3527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73FC62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4A254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через четыре дня после заседания Технического совета НИИ ВВС, начальник ГУАС КА комдив П.А.Алексеев утвердил отчет о проведении государственных испытаний БШ-2 № 2 со следующей резолюцией: «Самолет БШ-2 (бронированный штурмовик) государственные испытания прошел удовлетворительно. Может быть использован в ВВС КА в качестве штурмовика-бомбардировщика ближнего действия при условии устранения недостатков».</w:t>
      </w:r>
    </w:p>
    <w:p w14:paraId="128287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отметить, что руководство ВВС КА, ясно сознавая все негативные последствия из-за отсутствия на вооружении ВВС в течение примерно 15 лет специального самолета-штурмовика, проявило особое внимание к самолету БШ-2 и всячески старалось помочь С. В. Ильюшину (9649).</w:t>
      </w:r>
    </w:p>
    <w:p w14:paraId="349509C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A3D2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через четыре дня после заседания Технического совета НИИ ВВС начальник ГУАС КА комдив П.А.Алексеев утвердил отчет о проведении государ</w:t>
      </w:r>
      <w:r w:rsidRPr="00DB5D0D">
        <w:rPr>
          <w:rFonts w:ascii="Times New Roman" w:hAnsi="Times New Roman"/>
          <w:color w:val="000000" w:themeColor="text1"/>
          <w:sz w:val="16"/>
          <w:szCs w:val="16"/>
        </w:rPr>
        <w:softHyphen/>
        <w:t>ственных испытаний БШ-2 № 2 со сле</w:t>
      </w:r>
      <w:r w:rsidRPr="00DB5D0D">
        <w:rPr>
          <w:rFonts w:ascii="Times New Roman" w:hAnsi="Times New Roman"/>
          <w:color w:val="000000" w:themeColor="text1"/>
          <w:sz w:val="16"/>
          <w:szCs w:val="16"/>
        </w:rPr>
        <w:softHyphen/>
        <w:t>дующей резолюцией:</w:t>
      </w:r>
    </w:p>
    <w:p w14:paraId="2BDC05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"Самолет БШ-2 (бронированный штурмовик) государственные испыта</w:t>
      </w:r>
      <w:r w:rsidRPr="00DB5D0D">
        <w:rPr>
          <w:rFonts w:ascii="Times New Roman" w:hAnsi="Times New Roman"/>
          <w:iCs/>
          <w:color w:val="000000" w:themeColor="text1"/>
          <w:sz w:val="16"/>
          <w:szCs w:val="16"/>
        </w:rPr>
        <w:softHyphen/>
        <w:t>ния прошел удовлетворительно. Мо</w:t>
      </w:r>
      <w:r w:rsidRPr="00DB5D0D">
        <w:rPr>
          <w:rFonts w:ascii="Times New Roman" w:hAnsi="Times New Roman"/>
          <w:iCs/>
          <w:color w:val="000000" w:themeColor="text1"/>
          <w:sz w:val="16"/>
          <w:szCs w:val="16"/>
        </w:rPr>
        <w:softHyphen/>
        <w:t>жет быть использован в ВВС КА в ка</w:t>
      </w:r>
      <w:r w:rsidRPr="00DB5D0D">
        <w:rPr>
          <w:rFonts w:ascii="Times New Roman" w:hAnsi="Times New Roman"/>
          <w:iCs/>
          <w:color w:val="000000" w:themeColor="text1"/>
          <w:sz w:val="16"/>
          <w:szCs w:val="16"/>
        </w:rPr>
        <w:softHyphen/>
        <w:t>честве штурмовика-бомбардировщи</w:t>
      </w:r>
      <w:r w:rsidRPr="00DB5D0D">
        <w:rPr>
          <w:rFonts w:ascii="Times New Roman" w:hAnsi="Times New Roman"/>
          <w:iCs/>
          <w:color w:val="000000" w:themeColor="text1"/>
          <w:sz w:val="16"/>
          <w:szCs w:val="16"/>
        </w:rPr>
        <w:softHyphen/>
        <w:t>ка ближнего действия при условии устранения недостатков"</w:t>
      </w:r>
      <w:r w:rsidRPr="00DB5D0D">
        <w:rPr>
          <w:rFonts w:ascii="Times New Roman" w:hAnsi="Times New Roman"/>
          <w:color w:val="000000" w:themeColor="text1"/>
          <w:sz w:val="16"/>
          <w:szCs w:val="16"/>
        </w:rPr>
        <w:t xml:space="preserve"> (6467).</w:t>
      </w:r>
    </w:p>
    <w:p w14:paraId="32BF7A5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6C56A7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вышел приказ НИИ ВВС № 080</w:t>
      </w:r>
    </w:p>
    <w:p w14:paraId="0E934C8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производстве облета самолета БШ-2 АМ-35 (6891, 152).</w:t>
      </w:r>
    </w:p>
    <w:p w14:paraId="43EB881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DD1E6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Техсовет при НИИ ВВС (на техсовете были председатель - дивизионный инженер Филин А.М., член - комкор Гусев К.М. в присутствии бригадного инженера С.В.И. и его зама - Мальцева Я.И.; докладчики: вед. инженер в/п 1 р Куликов Н.С., вед л/испытатель м-р Долгов А.К. и штурман-испытатель м-р Соколов И.Д.) в результате осмотра самолета и изучения данных испытаний пришли к следующему выводу (467):</w:t>
      </w:r>
    </w:p>
    <w:p w14:paraId="387643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"Самолет БШ-2 с мотором АМ-35 является единственным типом хорошо бронированного самолета с достаточно мощным вооружением и имеющим перспективу дальнейшего развития. В связи с этим самолет представляет определенный интерес для использования его в ВВС в качестве штурмовика-бомбардировщика ближнего действия." (467).</w:t>
      </w:r>
    </w:p>
    <w:p w14:paraId="2C13D1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было отмечено, что самолет имел недочеты:</w:t>
      </w:r>
    </w:p>
    <w:p w14:paraId="0F60FC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недостаточную продольную устойчивость и управляемость;</w:t>
      </w:r>
    </w:p>
    <w:p w14:paraId="16C281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недостаточный обзор вперед для летчика и штурмана;</w:t>
      </w:r>
    </w:p>
    <w:p w14:paraId="3EE09A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недоведенность мотора АМ-35</w:t>
      </w:r>
    </w:p>
    <w:p w14:paraId="498BF7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недостаточная дальность полета (467).</w:t>
      </w:r>
    </w:p>
    <w:p w14:paraId="19AD60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Протокол N 1 заседания Техсовета НИИ ВВС</w:t>
      </w:r>
    </w:p>
    <w:p w14:paraId="2B5D60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строился по плану опытного строительства 1938 г. и должен был быть предъявлен на испытания в декабре 1938. Самолет был предъявлен на гос. испытания с опозданием на 1 год 3 месяца (703).</w:t>
      </w:r>
    </w:p>
    <w:p w14:paraId="38483A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БШ-2 АМ-35 является единственным типом хорошо бронированного самолета с достаточно мощным вооружением и имеет перспективы дальнейшего развития в отношении повышения летных данных, увеличения мощности стрелково-пушечного вооружения, увеличения дальности полета и некоторого улучшения летных свойств.</w:t>
      </w:r>
    </w:p>
    <w:p w14:paraId="45ED3D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этим самолет БШ-2 АМ-35 представляет определенный интерес для использования его в ВВС КА в качестве штурмовика-бомбардировщика ближнего действия (703).</w:t>
      </w:r>
    </w:p>
    <w:p w14:paraId="395A26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имеет недостатки, из которых основными являются следующие:</w:t>
      </w:r>
    </w:p>
    <w:p w14:paraId="529667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Недостаточная продольная устойчивость (недопускается полет с брошенной ручкой);</w:t>
      </w:r>
    </w:p>
    <w:p w14:paraId="6F15AC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Недостаточна управляемость самолета, создаются большие нагрузки на управление элеронами;</w:t>
      </w:r>
    </w:p>
    <w:p w14:paraId="2D99AF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Недостаточен обзор для летчика и штурмана вперед;</w:t>
      </w:r>
    </w:p>
    <w:p w14:paraId="7C0052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Недоведенность неподвижных (крыльевых) стрелковых установок;</w:t>
      </w:r>
    </w:p>
    <w:p w14:paraId="336D96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Недоведенность мотора АМ-35;</w:t>
      </w:r>
    </w:p>
    <w:p w14:paraId="0E3145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Недостаточная дальность полета (703).</w:t>
      </w:r>
    </w:p>
    <w:p w14:paraId="133FED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Просить Наркома Обороны о заказе серии самолетов БШ-2 АМ-35 в количестве, необходимом для вооружения одного штурмового полка ВВС КА для проведения войсковых испытаний с целью освоения тактики боевого применения самолетов подобного типа. На самолетах этой серии должны быть обязательно выполнены следующие доводки:</w:t>
      </w:r>
    </w:p>
    <w:p w14:paraId="167744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улучшение управляемости и продольной устойчивости самолета...;</w:t>
      </w:r>
    </w:p>
    <w:p w14:paraId="787B79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доводки мотора (устранение явления переобогащения смеси на планировании с закрытым газом, вызывающее отказ в работе мотора при даче газа после планирования);</w:t>
      </w:r>
    </w:p>
    <w:p w14:paraId="340417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установка дополнительного бензобака с наполнением нейтральным газом, емкостью 200 л.</w:t>
      </w:r>
    </w:p>
    <w:p w14:paraId="1C04CC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изготовления войсковой серии и предъявления на гос. испытания установить 1 декабря 1940 г. (703).</w:t>
      </w:r>
    </w:p>
    <w:p w14:paraId="7F1411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Предложить Гл. конструктору завода 39 бриг. инженеру тов. Ильюшину на втором опытном экземпляре самолета БШ-2 N 1 устранить все выявленные при гос. испытаниях недочеты, установить на нем мотор АМ-38, установить дополнительный бензобак, улучшить продольную устойчивость самолета (крылу придать стрельчатое очертание) и увеличить площадь стабилизатора, улучшить обзор летчика и штурмана вперед, улучшить управляемость путем доводки элеронов и флетнеров на них и представить самолет на повторные испытания к 15 июля 1940 (703);</w:t>
      </w:r>
    </w:p>
    <w:p w14:paraId="3FE841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 БШ-2 АМ-35 N 2 продолжить гос. испытания вооружения вперед - 2 пушки и 2 пулемета и предъявить на гос. испытания в НИИ ВВС к 1 июля 1940. Тогда же проверить надежность работы системы охлаждения воды и масла при высокой температуре" (703).</w:t>
      </w:r>
    </w:p>
    <w:p w14:paraId="4C2716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Подписали: Филин и Гусев (703).</w:t>
      </w:r>
    </w:p>
    <w:p w14:paraId="12890F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Очень странный текст, не соответствующий тексту, на который в письме от 6 июня отвечал С.В.И.</w:t>
      </w:r>
    </w:p>
    <w:p w14:paraId="2F2D830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0874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под председательством начальника НПП ВВС дивизионного инженера А.П. Филина состоялось заседание Технического совета института, на котором в присутствии С. В. Ильюшина и его заместителя Я. И. Мальцева были заслушаны доклады ведущего инженера И. С. Куликова, ведущего летчика-испытателя майора А.К. Долгова и штурмана-испытателя майора И.Д. Соколова о результатах проведения испытаний БШ-2 N 2 (ЦКЬ-55 N 2). В выводах Технического совета отмечалось:</w:t>
      </w:r>
    </w:p>
    <w:p w14:paraId="5F6319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своим полетным свойствам БШ-2 достаточно прост, особенностей, отличающих его от других самолетов такого типа (ББ-1, Р-10), не имеет, взлет и посадка просты, на взлете и пробеге самолет устойчива</w:t>
      </w:r>
    </w:p>
    <w:p w14:paraId="77E64C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бомбовое и стрелковое вооружение по своему объему соответствует требованиями</w:t>
      </w:r>
    </w:p>
    <w:p w14:paraId="590063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пилотажно-навигационные приборы, приборы ВМГ и кислородное оборудования по своему объему полностью, а электрооборудование в основном, соответствуют тактическому назначению самолета</w:t>
      </w:r>
    </w:p>
    <w:p w14:paraId="7EFA76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конструктивном отношении самолет выполнен хорошо, основные агрегаты конструкции самолета, шасси, управление самолетом и мотором надежны и при испытании действовали безотказно."</w:t>
      </w:r>
    </w:p>
    <w:p w14:paraId="69A489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указывалось, что самолет предъявлен на гос. испытания с опозданием на год и три месяца, и не вполне соответствует ТТТ к нему. Такую мягкую формулировку военные выбрали, чтобы морально поддержать Ильюшина. Строго говоря, основные данные самолета БШ-2 с полетным весом 4725 кг (существенно меньшим нормального по ТТТ) были значительно хуже предусмотренных заданием (см. таблицу) (3845).</w:t>
      </w:r>
    </w:p>
    <w:p w14:paraId="682982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БШ-2, из-за падения давления масла у мотора АМ-35 на высотах более 6000 м и падения давления бензина вследствие недостаточной мощности бензопомпы, на испытаниях не определялся (3845).</w:t>
      </w:r>
    </w:p>
    <w:p w14:paraId="1B9066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мотор АМ-35 № 116 показал плохую приемистость из-за неудовлетворительной работы регулятора и НИЗКУЮ эксплуатационную надежность - в ходе испытаний была проведена его замена (3845).</w:t>
      </w:r>
    </w:p>
    <w:p w14:paraId="0DAA1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Недостатки новой машины порождались, в основном, низкой тяговооруженностью и чрезмерно задней центровкой. При этом отмечалось, что при заданном ТТТ полетном весе удельные характеристики машины будут еще хуже, время набора высоты 5000 м составит не менее 12-13 минут (вместо 8-9 но заданию), а требуемая максимальная скорость у земли может быть достигнута только при использовании более мощного мотора (3845).</w:t>
      </w:r>
    </w:p>
    <w:p w14:paraId="51AEF7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этой связи Техсовет рекомендовал осуществить установку на самолет более мощного (при том же весе и габаритах, что и АМ-35) невысотного мотора АМ-38 с максимальной мощностью у земли 1625 л. с., собранного 24-м заводом в сентябре 1939-го и находившимся в то время на стадии опытно-доводочных работ (3845).</w:t>
      </w:r>
    </w:p>
    <w:p w14:paraId="40475C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недостатков, перечисленных выше, Техсовет в качестве основных выделил еще и такие: неудовлетворительный обзор для членов экипажа, недостаточная защита летчика спереди, недоведенность крыльевых пулеметных установок, отсутствие предусмотренной ТТТ приемопередающей радиостанции (3845).</w:t>
      </w:r>
    </w:p>
    <w:p w14:paraId="0CB275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Госкомиссия дала положительный отзыв: " Самолет БШ-2 является единственным типом хорошо 6ронированного самолета с достаточно мощным вооружением, имеющим перспектива дальнейшего развития, и представляет определенный интерес для использования его в ВВС РККА в качестве штурмовика-бомбардировщика ближнего действия при условии устранения основных недостатков". Госкомиссия указала на необходимость постройки небольшой серии штурмовиков БШ-2 с мотором АМ-35 "...в количестве, достаточным для формирования одного штурмового авиаполка" для проведения войсковых испытаний. Машины войсковой серии требовалось предъявить па гос. испытания не позднее 1 декабря 1941 г. Кроме того, Ильюшину предлагалось: произвести отстрел одного бронекорпуса для определения его пулестойкости; на БШ-2.№ 1 установить мотор АМ-38 и не позже 15 июня 1940 г. предъявить самолет на гос. испытания, а на самолете БШ-2 № 2 вместо 4-х крыльевых ШКАСов установить две 23-мм пушки МИ-6 ОКБ-16 и два ШКАСа, и к 1 июля 1940 г. передать его на гос. испытания в НИИ ВВС РККА (3845).</w:t>
      </w:r>
    </w:p>
    <w:p w14:paraId="3549116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E78C5C" w14:textId="77777777" w:rsidR="0047286B" w:rsidRPr="00DB5D0D" w:rsidRDefault="0047286B"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11 мая 1920 уже через четыре дня после заседания Технического совета НИИ ВВС начальник ГУАС РККА комдив П.А. Алексеев утвердил отчет о проведении государственных испытаний БШ-2 № 2 со следующей резолюцией: «Самолет БШ-2 (бронированный штурмовик) государственные испытания прошел удовлетворительно. Может быть использован в ВВС РККА в качестве штур</w:t>
      </w:r>
      <w:r w:rsidRPr="00DB5D0D">
        <w:rPr>
          <w:rFonts w:ascii="Times New Roman" w:eastAsia="Times New Roman" w:hAnsi="Times New Roman"/>
          <w:color w:val="0070C0"/>
          <w:sz w:val="16"/>
          <w:szCs w:val="16"/>
        </w:rPr>
        <w:softHyphen/>
        <w:t>мовика-бомбардировщика ближнего действия при условии устранения не</w:t>
      </w:r>
      <w:r w:rsidRPr="00DB5D0D">
        <w:rPr>
          <w:rFonts w:ascii="Times New Roman" w:eastAsia="Times New Roman" w:hAnsi="Times New Roman"/>
          <w:color w:val="0070C0"/>
          <w:sz w:val="16"/>
          <w:szCs w:val="16"/>
        </w:rPr>
        <w:softHyphen/>
        <w:t>достатков» (20186).</w:t>
      </w:r>
    </w:p>
    <w:p w14:paraId="19008D6D" w14:textId="77777777" w:rsidR="0047286B" w:rsidRPr="00DB5D0D" w:rsidRDefault="0047286B" w:rsidP="00DB5D0D">
      <w:pPr>
        <w:shd w:val="clear" w:color="auto" w:fill="FFFFFF"/>
        <w:spacing w:after="0" w:line="240" w:lineRule="auto"/>
        <w:jc w:val="both"/>
        <w:rPr>
          <w:rFonts w:ascii="Times New Roman" w:hAnsi="Times New Roman"/>
          <w:color w:val="0070C0"/>
          <w:sz w:val="16"/>
          <w:szCs w:val="16"/>
        </w:rPr>
      </w:pPr>
    </w:p>
    <w:p w14:paraId="4F2DB7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закончились совместные 50 часовые испытания АМ-35А производства 24 завода на станке, которые проходили с 17 апреля 1940 (801).</w:t>
      </w:r>
    </w:p>
    <w:p w14:paraId="27F7823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4BE2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начальник 6 управления ГУС в/инженер 1 ранга Мезинов и и.о. военного комиссара 6 управления ГУАС ст. батальонный комиссар Архипов писали письмо N 542553 начальнику ГУАС комдиву Алексееву.</w:t>
      </w:r>
    </w:p>
    <w:p w14:paraId="4348DC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частей ВВС 1 Ока на завод N 116 поступают самолеты тип ДБ-3 с моторами М-85 выпуска 1937 г. и имеют налет от 80 до 100 часов.</w:t>
      </w:r>
    </w:p>
    <w:p w14:paraId="5D4837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донесению ст. военпреда на заводе N 116 все самолеты, поступающие в ремонт находятся в хорошем состоянии, но командование I армии требует модернизации этих самолетов.... (2980,13-15).</w:t>
      </w:r>
    </w:p>
    <w:p w14:paraId="367A1D0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B97C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НКАП А.И.Ш. писал письмо N 1202сс/от ЦК ВКП(б) И.В.С., КО при СНК К.Е.В. и Пред. СНК В.М.М.:</w:t>
      </w:r>
    </w:p>
    <w:p w14:paraId="37DCA4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при СНК N 226сс от 29 июля 1939 обязывало завод 39 и ГК С.В.И. спроектировать и построить модернизированный ДБ ДБ-3Ф с 2М-88 со следующими основными данными: макс. скорость - 485 км/час, дальность 4000 км, бомбовая нагрузка - 1000 кг. Срок предъявления на гос. испытания был 1 сентября 1939.</w:t>
      </w:r>
    </w:p>
    <w:p w14:paraId="269B10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39 изготовил самолет, но ввиду отсутствия в тот период отработанных и прошедших гос. испытания М-88, сдал на гос. испытания с М-87.</w:t>
      </w:r>
    </w:p>
    <w:p w14:paraId="25D9BF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этим мотором прошел гос. испытания, показав скорость 445 км/час, но температурный режим масла ВМГ показал неудовлетворительные результаты, что потребовало установки дополнительных радиаторов и, как следствие, снижение скорости. На это имеется постановление Военсовета ВВС КА N 44сс от 1 октября 1939.</w:t>
      </w:r>
    </w:p>
    <w:p w14:paraId="2DA15C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окончания гос. испытаний М-88 (ноябрь 1939) в декабре на этот же самолет был установлен вместо М-87 - М-88.</w:t>
      </w:r>
    </w:p>
    <w:p w14:paraId="225E84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Дальнейшие испытания ДБ-3Ф уже с моторами М-88 опять показали неудовлетворительные режимы ВМГ и подтвердили необходимость постановки дополнительных маслорадиаторов.</w:t>
      </w:r>
    </w:p>
    <w:p w14:paraId="1EFFF2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было выполнено и в настоящее время самолет прошел испытания в НИИ ГУАС КА.</w:t>
      </w:r>
    </w:p>
    <w:p w14:paraId="5C1481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испытаний самолет показал пониженные данные: скорость 425 км/час и дальность 3200 км.</w:t>
      </w:r>
    </w:p>
    <w:p w14:paraId="19BD5D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самолета меньше расчетной по следующим причинам:</w:t>
      </w:r>
    </w:p>
    <w:p w14:paraId="10C6F4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М-88 потребовал установки дополнительно двух радиаторов на самолете, что увеличило лобовое сопротивление крыла.</w:t>
      </w:r>
    </w:p>
    <w:p w14:paraId="3BAB21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Винт для полного снятия мощности М-88 на рассчитанной высоте не подобран</w:t>
      </w:r>
    </w:p>
    <w:p w14:paraId="2F2037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самолет по последним требованиям ГУАС КА установлена наружная радиоустановка Чайка и жесткая антенна к ней, что также увеличивает сопротивление самолета</w:t>
      </w:r>
    </w:p>
    <w:p w14:paraId="02002D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остальном самолет изготовлен в соответствии с ТТ</w:t>
      </w:r>
    </w:p>
    <w:p w14:paraId="5BD056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ГК С.В.И. и завод 39 в настоящее время проводят следующие мероприятия, направленные на увеличение скорости ДБ-3Ф 2М-88:</w:t>
      </w:r>
    </w:p>
    <w:p w14:paraId="629095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Разрабатывается и изготавливается установка маслорадиатора в крыле.</w:t>
      </w:r>
    </w:p>
    <w:p w14:paraId="5FB3E5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Проводится работа по подбору лопастей винта с наибольшим КПД</w:t>
      </w:r>
    </w:p>
    <w:p w14:paraId="138972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Разрабатывается конструкция убирающегося костыля и ряд других мероприятий по улучшению обтекаемости самолета.</w:t>
      </w:r>
    </w:p>
    <w:p w14:paraId="1AF196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на котором будут проведены эти работы, будет сдан на гос. испытания не позднее 1 декабря с.г.</w:t>
      </w:r>
    </w:p>
    <w:p w14:paraId="4126EF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решением о строительстве модифицированного самолета КО постановлением N 236 от 29 июля 1936 обязал НКАП серийный выпуск на заводах 18 и 39 с 4 кв. 1939 и полностью перевести эти заводы на выпуск модифицированных самолетов с января 1940.</w:t>
      </w:r>
    </w:p>
    <w:p w14:paraId="0DC20D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одновременно с постройкой опытных экземпляров было развернуто производство на двух указанных заводах и в настоящее время завод 39 уже имеет на аэродроме облетанных 60 машин и сданных ГУАС КА 13, а 18 завод - 160 и 124, кроме развернутых на этих заводах заделов.</w:t>
      </w:r>
    </w:p>
    <w:p w14:paraId="688C06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 прекратил приемку ДБ-3Ф на 18 и 39, имеющих в серийном производстве только указанный тип, мотивируя тем, что машина не отвечает данным, указанным в постановлении Правительства.</w:t>
      </w:r>
    </w:p>
    <w:p w14:paraId="5ED57B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дать указание НКО о приемке на вооружение этих машин на заводах 39 и 18, впредь до утверждения результатов гос. испытаний улучшенного образца данного самолета." (1295,6).</w:t>
      </w:r>
    </w:p>
    <w:p w14:paraId="3EE9524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8075F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Шахурин писал письмо № 1202сс/ОГ председателю СНК Молотову В.М.</w:t>
      </w:r>
    </w:p>
    <w:p w14:paraId="6DF29F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от 29 июля 1939 года за № 226сс обязывало завод № 39 и гл. конструктора С.В.И. спроектировать и построить модернизированный дальний бомбардировщик ДБ-3Ф с двумя моторами М-88 со следующими основными характеристиками: максимальная скорость 485 км/час, дальность 4000 км с бомбовой нагрузкой в 1000 кг. Срок предъявления на госиспытания был установлен 1 сентября 1939 года.</w:t>
      </w:r>
    </w:p>
    <w:p w14:paraId="0FEFFA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39 изготовил самолет, но ввиду отсутствия в тот период отработанных и прошедших госиспытания моторов М-88, сдал самолет на госиспытания с моторами М-87.</w:t>
      </w:r>
    </w:p>
    <w:p w14:paraId="046097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этим мотором прошел госиспытания, показав скорость 445 м/час, но температурный режим масла винтомоторной группы показал неудовлетворительные результаты, что требовало постановки дополнительных радиаторов и как следствие, понижение скорости. На это имеется постановление Военного совета ВВС за № 44сс от 1 октября 1939 года.</w:t>
      </w:r>
    </w:p>
    <w:p w14:paraId="08B088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окончания госиспытаний мотора М-88 (ноябрь 1939 года), в декабре на этот же самолет был установлен вместо мотора М-87, мотор М-88.</w:t>
      </w:r>
    </w:p>
    <w:p w14:paraId="777671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Дальнейшие испытания самолетов ДБ3-Ф уже с моторами М-88 опять показали неудовлетворительные режимы винтомоторной группы и подтвердили необходимость постановки дополнительных масляных радиаторов.</w:t>
      </w:r>
    </w:p>
    <w:p w14:paraId="15E028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было выполнено и в настоящее время самолет прошел испытания в НИИ ГУАС.</w:t>
      </w:r>
    </w:p>
    <w:p w14:paraId="5381AB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испытаний самолет показал пониженные данные: скорость 425 км/час и дальность 3200 км.</w:t>
      </w:r>
    </w:p>
    <w:p w14:paraId="3090CF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самолета меньше против расчетной по следующим основным причинам:</w:t>
      </w:r>
    </w:p>
    <w:p w14:paraId="3E70F45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М-88 потребовал установки дополнительно двух радиаторов на самолете, что увеличило лобовое сопротивление крыла.</w:t>
      </w:r>
    </w:p>
    <w:p w14:paraId="0E5A6C4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для полного снятия мощностей мотора М-88 на расчетной высоте не подобран.</w:t>
      </w:r>
    </w:p>
    <w:p w14:paraId="3DF7810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 по последним требованиям ГУАС установлена наружная радиоустановка "Чайка" и жесткая антенна к ней, что также увеличивает лобовое сопротивление самолета.</w:t>
      </w:r>
    </w:p>
    <w:p w14:paraId="5B1DE9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остальном самолет изготовлен в соответствии с техническими требованиями.</w:t>
      </w:r>
    </w:p>
    <w:p w14:paraId="258337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машины С.В.И. и завод № 39 в настоящее время проводят следующие мероприятия, направленные на увеличение скорости самолета ДБ-3Ф с моторами М-88:</w:t>
      </w:r>
    </w:p>
    <w:p w14:paraId="35EA5DD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Разрабатывается и изготовляется установка маслорадиаторов в крыле.</w:t>
      </w:r>
    </w:p>
    <w:p w14:paraId="7B1E328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Проводится работа по подбору лопастей винта с наиболее выгодным коэффициентом полезного действия.</w:t>
      </w:r>
    </w:p>
    <w:p w14:paraId="50846A4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Разрабатывается конструкция убирающегося костыля и ряд других мероприятий по улучшению обтекаемости самолета.</w:t>
      </w:r>
    </w:p>
    <w:p w14:paraId="02EF44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на котором будут проведены эти работы, будет сдан на госиспытания не позднее 1 июля 1940 года.</w:t>
      </w:r>
    </w:p>
    <w:p w14:paraId="30300A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решением о строительстве модифицированного самолета КО своим постановлением № 236 от 29 июля 1939 года обязал НКАП начать серийный выпуск на заводах №№ 18 и 39 с четвертого квартала 1939 года и полностью перевести эти заводы на выпуск модифицированных самолетов с января 1940 года.</w:t>
      </w:r>
    </w:p>
    <w:p w14:paraId="3E060A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одновременно с постройкой опытных экземпляров было развернуто производство на двух указанных заводах и в настоящее время завод № 39 уже имеет на аэродроме облетанных 60 машин и сданных ГУАС 13 штук, завод № 18 имеет готовых на аэродроме 160 штук и сданных ГУАС 124 штуки, кроме развернутых на этих заводах заделов.</w:t>
      </w:r>
    </w:p>
    <w:p w14:paraId="08CF90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 прекратил приемку самолетов ДБ-3Ф на заводах №№ 18 и 39, имеющих в серийной постройке только указанный тип, мотивируя тем, что машина не отвечает данным, указанным в постановлении Правительства.</w:t>
      </w:r>
    </w:p>
    <w:p w14:paraId="1DF1D5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дать указания НКО о приемке на вооружение этих машин на заводах №№ 39 и 18, впредь до утверждения результатов госиспытаний улучшенного образца данного самолета (7625, 153-155).</w:t>
      </w:r>
    </w:p>
    <w:p w14:paraId="619FD85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3C6B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А Шахурин писал письмо № 1202сс/ОГ председателю СНК Молотову В.М.</w:t>
      </w:r>
    </w:p>
    <w:p w14:paraId="44FB00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от 29 июля 1939 года за № 226сс обязывало завод № 39 и гл. конструктора С.В.И. спроектировать и построить модернизированный дальний бомбардировщик ДБ-3Ф с двумя моторами М-88 со следующими основными характеристиками: максимальная скорость 485 км/час; дальность 4000 км с бомбовой нагрузкой в 1000 кг. Срок предъявления на госиспытания был установлен 1 сентября 1939 года.</w:t>
      </w:r>
    </w:p>
    <w:p w14:paraId="6C4540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39 изготовил самолет, но ввиду отсутствия в тот период отработанных и прошедших госиспытания моторов М-88, сдал самолет на госиспытания с моторами М-87.</w:t>
      </w:r>
    </w:p>
    <w:p w14:paraId="37BB45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этим мотором прошел госиспытания, показав скорость 445 км/час, но температурный режим масла винтомоторной группы показал неудовлетворительные результаты, что требовало постановки дополнительных радиаторов и как следствие, понижение скорости. На это имеется постановление Военного Совета ВВС за № 44сс от 1 октября 1939 года.</w:t>
      </w:r>
    </w:p>
    <w:p w14:paraId="266538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окончания госиспытаний мотора М-88 (ноябрь 1939 года) в декабре на этот же самолет был установлен вместо мотора М-87, мотор М-88.</w:t>
      </w:r>
    </w:p>
    <w:p w14:paraId="1431B4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Дальнейшие испытания самолетов ДБ3-Ф уже с моторами М-88 опять показали неудовлетворительные режимы винтомоторной группы и подтвердили необходимость постановки дополнительных масляных радиаторов.</w:t>
      </w:r>
    </w:p>
    <w:p w14:paraId="51E6F1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было выполнено и в настоящее время, самолет прошел испытания в НИИ ГУАС.</w:t>
      </w:r>
    </w:p>
    <w:p w14:paraId="23C831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испытаний самолет показал пониженные данные: скорость 425 км/час и дальность 3200 км.</w:t>
      </w:r>
    </w:p>
    <w:p w14:paraId="522376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самолета меньше против расчетной по следующим основным причинам:</w:t>
      </w:r>
    </w:p>
    <w:p w14:paraId="3572B96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Мотор М-88 потребовал установки дополнительно двух радиаторов на самолете, что увеличило лобовое сопротивление крыла.</w:t>
      </w:r>
    </w:p>
    <w:p w14:paraId="0D3FE21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для полного снятия мощности мотора М-88 на расчетной высоте, не подобран.</w:t>
      </w:r>
    </w:p>
    <w:p w14:paraId="66D04F6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 по последним требованиям ГУАС установлена наружная радиоустановка «Чайка» и жесткая антенна к ней, что также увеличивает лобовое сопротивление самолета.</w:t>
      </w:r>
    </w:p>
    <w:p w14:paraId="60825F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остальном самолет изготовлен в соответствии с техническими требованиями.</w:t>
      </w:r>
    </w:p>
    <w:p w14:paraId="048590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машины С.В.И. и завод № 39 в настоящее время проводят следующие мероприятия, направленные на увеличение скорости самолета ДБ3-Ф с моторами М-88:</w:t>
      </w:r>
    </w:p>
    <w:p w14:paraId="1317881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Разрабатывается и изготовляется установка маслорадиаторов в крыле.</w:t>
      </w:r>
    </w:p>
    <w:p w14:paraId="08CC6F7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Проводится работа по подбору лопастей винта с наиболее выгодным коэффициентом полезного действия.</w:t>
      </w:r>
    </w:p>
    <w:p w14:paraId="25DDCA6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Разрабатывается конструкция убирающегося костыля и ряд других мероприятий по улучшению обтекаемости самолета.</w:t>
      </w:r>
    </w:p>
    <w:p w14:paraId="48ABA4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на котором будут проведены эти работы, будет сдан на госиспытания не позднее 1 июля 1940 года.</w:t>
      </w:r>
    </w:p>
    <w:p w14:paraId="7BCE86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решением о строительстве модифицированного самолета КО своим постановлением № 236 от 29 июля 1939 года обязал НКАП начать серийный выпуск на заводах №№ 18 и 39 с IV квартала 1939 года и полностью перевести эти заводы на выпуск модифицированных самолетов с января 1940 года.</w:t>
      </w:r>
    </w:p>
    <w:p w14:paraId="3D1014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одновременно с постройкой опытных экземпляров было развернуто производство на 2-х указанных заводах и в настоящее время завод № 39 уже имеет на аэродроме облетанных 60 машин и сданных ГУАС – 13 штук, завод № 18 имеет готовых на аэродроме 160 штук и сданных ГУАС – 124 штуки, кроме развернутых на этих заводах заделов.</w:t>
      </w:r>
    </w:p>
    <w:p w14:paraId="2CE1D6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 прекратил приемку самолетов ДБ-3Ф на заводах №№ 18 и 39, имеющих в серийной постройке только указанный тип, мотивируя тем, что машина не отвечает данным, указанным в Постановлении Правительства.</w:t>
      </w:r>
    </w:p>
    <w:p w14:paraId="6EE4B3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дать указания Наркомату обороны о приемке на вооружение этих машин на заводах №№ 39 и 18, впредь до утверждения результатов госиспытаний улучшенного образца данного самолета (7709, 354-356).</w:t>
      </w:r>
    </w:p>
    <w:p w14:paraId="56BCCCC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09C3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начальник НИИ ГУАС дивинженер Филин и военком НИИ ГУАС полковой комиссар Холопцев писали письмо № 1/0405 начальнику ГУАС комдиву Алексееву</w:t>
      </w:r>
    </w:p>
    <w:p w14:paraId="25A71F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сих пор срок окончания испытаний по самолету ДБ-ЛК 2М-87 конструкции инженера Беляева приказом не установлен.</w:t>
      </w:r>
    </w:p>
    <w:p w14:paraId="1779C6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для испытания на колесах должен был быть выведен на аэродром 13 апреля 1940 года, фактически же был выведен 27 апреля 1940 года.</w:t>
      </w:r>
    </w:p>
    <w:p w14:paraId="35BDBD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что самолет ДБЛК не проходил никаких заводских испытаний, считаю необходимым установить срок окончания испытаний самолета 28 мая 1940 года (7712, 77).</w:t>
      </w:r>
    </w:p>
    <w:p w14:paraId="4B0E698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F3D4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1040 А.И.Ш. писал письмо N 1209сс/ог И.В.С.:</w:t>
      </w:r>
    </w:p>
    <w:p w14:paraId="5F24BA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Посылаю Вам проекты постановления КО при СНК СССР:</w:t>
      </w:r>
    </w:p>
    <w:p w14:paraId="1F0959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 восстановлении производства на заводе 124 ТБ-7 и проектировании нового ТБ-8</w:t>
      </w:r>
    </w:p>
    <w:p w14:paraId="44CDB5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 постановке производства И-26 конструкции А.С.Я. на заводе 301." (1295,264).</w:t>
      </w:r>
    </w:p>
    <w:p w14:paraId="22C8DA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ТБ-8 - это с М-120 (525 км/час, 3500 км) или М-40Ф (550 км/час, 4500 км) со сроком выхода на заводские - 1 мая 1941 и директором завода 124 пока был И.И.Штейнберг (1295,263).</w:t>
      </w:r>
    </w:p>
    <w:p w14:paraId="0E6025D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987BE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вышел приказ НИИ ВВС № 082</w:t>
      </w:r>
    </w:p>
    <w:p w14:paraId="09D61BB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опытного самолета СБ РК 2М-105 (6891, 153).</w:t>
      </w:r>
    </w:p>
    <w:p w14:paraId="75F3252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BE567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11 по 15 мая 1940 года проходили гос. испытания опытного самолета СБ-РК 2М-105 конструктора Архангельского</w:t>
      </w:r>
    </w:p>
    <w:p w14:paraId="7AB77F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CAC15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1 ранга Ефимов</w:t>
      </w:r>
    </w:p>
    <w:p w14:paraId="20C4B7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полковник Кабанов</w:t>
      </w:r>
    </w:p>
    <w:p w14:paraId="35B87A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5 дней</w:t>
      </w:r>
    </w:p>
    <w:p w14:paraId="014850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4 дня</w:t>
      </w:r>
    </w:p>
    <w:p w14:paraId="4E3270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Проведено полетов – 10</w:t>
      </w:r>
    </w:p>
    <w:p w14:paraId="000986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Часов налета – 7 час. 25 мин.</w:t>
      </w:r>
    </w:p>
    <w:p w14:paraId="0883FD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4A8D9CC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летных характеристик самолета.</w:t>
      </w:r>
    </w:p>
    <w:p w14:paraId="35C4532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Проверка работы винто-моторной группы с новыми моторами и радиаторами в крыле.</w:t>
      </w:r>
    </w:p>
    <w:p w14:paraId="47B602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СБ-РК (№ 2/281) имеет следующие основные изменения по сравнению с самолетами СБ 221-й серии:</w:t>
      </w:r>
    </w:p>
    <w:p w14:paraId="2C90056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Установлено уменьшенное крыло (на 7,7 м кв.) по типу самолета ММН с переделками для размещения радиатора в крыле.</w:t>
      </w:r>
    </w:p>
    <w:p w14:paraId="2C2C004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Уменьшено вертикальное оперение и увеличена площадь посадочных щитков по типу ММН.</w:t>
      </w:r>
    </w:p>
    <w:p w14:paraId="2F12B48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Радиаторы водяные и водомасляные размещены в специальных тоннелях внутри крыла – на левом крыле сотовый водорадиатор блочной конструкции (водяной и водомасляный радиаторы в одном агрегате), на правом крыле ребристый водорадиатор и отдельный водомасляный радиатор. Оба радиатора до этого испытаний не проходили и установлены на самолете впервые.</w:t>
      </w:r>
    </w:p>
    <w:p w14:paraId="7BA45CA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новые моторные рамы и новые капоты.</w:t>
      </w:r>
    </w:p>
    <w:p w14:paraId="6B82988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Всасывающие патрубки расположены снизу под капотом по типу ММН, но с улучшенной формой канала.</w:t>
      </w:r>
    </w:p>
    <w:p w14:paraId="0C225F9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Новые выхлопные коллекторы.</w:t>
      </w:r>
    </w:p>
    <w:p w14:paraId="1DBAEB8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Фонарь пилота сделан утопленным в закрытом положении (заподлицо с поверхностью фюзеляжа).</w:t>
      </w:r>
    </w:p>
    <w:p w14:paraId="26EA0CD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установлены опытные моторы М-105 с опытными винтами ВИШ-22Е и РПО-Р2.</w:t>
      </w:r>
    </w:p>
    <w:p w14:paraId="7BFC089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установкой радиаторов на крыле уменьшена емкость бензобаков на 340 литров (250 кг).</w:t>
      </w:r>
    </w:p>
    <w:p w14:paraId="0EE2A3A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предъявлен на испытания без турелей МВ-3 и МВ-2 и без наружных балок для подвески бомб. Конструктор Архангельский представил чертежи поднимающегося колпака в Ф-3 и размещения замков для наружных бомбодержателей внутри крыла, разработанные им для модернизации самолетов СБ во II половине 1940 года.</w:t>
      </w:r>
    </w:p>
    <w:p w14:paraId="27AD485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Клепка впотай выполнена только на передней кромке крыла.</w:t>
      </w:r>
    </w:p>
    <w:p w14:paraId="3DBDD3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Консоли крыла производственно выполнены неудовлетворительно; имеют значительную волнистость поверхности.</w:t>
      </w:r>
    </w:p>
    <w:p w14:paraId="366AAC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56E855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СБ-РК 2М-105 показал максимальную скорость 480 км/час, что на 35 км/час выше серийных самолетов СБ 221-й серии без турелей МВ-3 и МВ-2, причем пилотажные качества самолета незначительно отличаются от СБ.</w:t>
      </w:r>
    </w:p>
    <w:p w14:paraId="6BFE526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Предложить заводу № 22:</w:t>
      </w:r>
    </w:p>
    <w:p w14:paraId="16AC97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июля 1940 года предъявить на гос. испытания эталон, изготовленный на базе самолета СБ-РК, а также немедленно приступить к изготовлению серии самолетов в количестве 15 штук для войсковых испытаний (4480).</w:t>
      </w:r>
    </w:p>
    <w:p w14:paraId="763758C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5662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с 11 по 16 мая 1940 г. самолет СБ-РК № 2/281 проходил госиспытания в НИИ ВВС КА. Ведущим инженером по испытаниям был вое-нинженер 2-го ранга Ефимов, ведущим летчиком - полковник А. И. Кабанов. Было совершено 10 полетов с общим налетом 7 часов 25 минут. Облет самолета выполнили капитан Хрипков. майор П. М. Стефановский, капитан А. К. Долгов, бригадный инженер Щербаков и майор Соколов.</w:t>
      </w:r>
    </w:p>
    <w:p w14:paraId="411455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основным изменениям в конструкции самолета СБ-РК, УПОМЯНУТЫМ выше, следует добавить, что в левом крыле помещался сотовый радиатор блочной конструкции (водяной и водо-масляный радиаторы в одном агрегате). В правом крыле - ребристый водо-радиатор и отдельно водомасляный радиатор. Всасывающий патрубок стоял под капотом по типу самолета ММН, но с улучшенной формой канала. Были поставлены новые выхлопные коллектора. новая моторама и новые капоты. Фонарь пилота сделан утопленным в закрытом положении. В связи с установкой радиаторов в крыле уменьшена емкость бензобаков на 340 л (на 250 кг). Благодаря улучшенной аэродинамике машины это практически не сказалось на дальности полетов.</w:t>
      </w:r>
    </w:p>
    <w:p w14:paraId="441925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Самолет был предъявлен на госиспытания без турелей МВ-3 и МВ-2 и без наружных балок для подвески бомб. Архангельский представил лишь чертежи их установки на СБ-РК. Клепка впотай выполнялась только по передней кромке крыла. Консоли крыла были неудовлетворительного качества - на поверхности имелись значительные ВЫПУКЛОСТИ, ВОГНУТОСТИ и т.д. При полетном весе 6300 кг были получены следующие летные данные: максимальная скорость у земли 41 1 км/ч. на расчетной высоте 4700 м - 480 км/ч. Время набора высоты 5000 м - 8,55 мин. практический потолок - 10100 м. По сравнению с серийными (СБ 221-й серии) </w:t>
      </w:r>
      <w:r w:rsidRPr="00DB5D0D">
        <w:rPr>
          <w:rFonts w:ascii="Times New Roman" w:hAnsi="Times New Roman"/>
          <w:color w:val="000000" w:themeColor="text1"/>
          <w:sz w:val="16"/>
          <w:szCs w:val="16"/>
        </w:rPr>
        <w:lastRenderedPageBreak/>
        <w:t>прирост максимальной скорости составил 33 км/ч, а по сравнению с самолетом ММН 2М-105 - 22 км/ч. Это достигалось за счет более удачного размещения радиаторов и более лучшего капотирования моторов. Отмечалось. что у СБ-РК получено снижение веса конструкции на 270 кг, из них за счет крыла - 110 кг, моторамы и капотов -на 87 кг и водорадиаторов - на 70 кг.</w:t>
      </w:r>
    </w:p>
    <w:p w14:paraId="13B787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по испытаниям указывалось:</w:t>
      </w:r>
    </w:p>
    <w:p w14:paraId="02DD00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предъявлен в недоведенном виде - без задних стрелковых точек. без замков наружной подвески, с разными радиаторами в консолях с уменьшенным запасом топлива и без системы нейтрального газа. следует добавить - и с плохим качеством изготовления, и поэтому не может рассматриваться как образец для серии.</w:t>
      </w:r>
    </w:p>
    <w:p w14:paraId="735E2E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выше. следует добавить, что основные идеи путей совершенствования СБ подтвердились.</w:t>
      </w:r>
    </w:p>
    <w:p w14:paraId="7F22FE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...Полетные качества в основном как у обычных СБ, но по технике пилотирования отличается.</w:t>
      </w:r>
    </w:p>
    <w:p w14:paraId="7C7D79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...Температурный режим следует проверить дополнительно.</w:t>
      </w:r>
    </w:p>
    <w:p w14:paraId="749917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...Новые моторамы обеспечивают лучшее и более аэродинамичное капотирование моторов, лучший подход к карбюраторам и возможность снятия нижней крышки картера. Однако отмечается недостаточная вибростойкость капота.</w:t>
      </w:r>
    </w:p>
    <w:p w14:paraId="3031E8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не проходило статиспытания.</w:t>
      </w:r>
    </w:p>
    <w:p w14:paraId="05A26A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июля 1940 г. приступить к изготовлению серии в количестве 15 шт. самолетов СБ-РК.</w:t>
      </w:r>
    </w:p>
    <w:p w14:paraId="42E1E1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 представить эталон самолета".</w:t>
      </w:r>
    </w:p>
    <w:p w14:paraId="6E9CA5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Фонарь пилота отличается тем, что его сдвижная часть в закрытом положении устанавливалась заподлицо с обводами фюзеляжа. Следовательно, устранялась ступенька в 30-45 мм по всему поперечному сечению фонаря. Как следствие, исключалось задувание потока в кабину во время полета. Для сдвигания сдвижной части фонаря использовались рейки, искривленные в двух плоскостях. Благодаря этому фонарь свободно проходил во внутреннюю часть фюзеляжа и легко закрывался и открывался на земле и в воздухе.</w:t>
      </w:r>
    </w:p>
    <w:p w14:paraId="0A7AD4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Консоли крыла изготовлялись по типу ММН. Поперечное V крыла было увеличено с 6° 20' до 6° 50', а "стрель-чатость" - с 8° 25' до 12° 30'. На правой консоли от разъема до 6-й нервюры в специальном тоннеле был установлен пластинчатый водорадиатор с выходом за вторым лонжероном на верхнюю поверхность крыла. На выходе поставлены жалюзи, которые можно регулировать штурвалом из кабины летчика. На левой консоли - сотовый радиатор в таком же тоннеле, имеющий специальный отсек для охлаждения масла. Два разных радиатора стояли для того, чтобы оценить, какой эффективнее. Охлаждающая поверхность у пластинчатого радиатора была больше.</w:t>
      </w:r>
    </w:p>
    <w:p w14:paraId="25462B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 шасси был таким же, как на серийном самолете СБ, только наружные обводы его были несколько сужены в связи с уменьшением обводов капота мотора.</w:t>
      </w:r>
    </w:p>
    <w:p w14:paraId="10089D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 мотора значительно сужен и имел удобообтекаемую форму. Обшивка капота состояла из 5-ти легкосъем-ных крышек, обеспечивающих хороший подход к мотору.</w:t>
      </w:r>
    </w:p>
    <w:p w14:paraId="35862E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Моторная рама - новая сварная из хромансилевых труб. Всасывающий патрубок размещался снизу под капотом мотора и имел улучшенную форму внутреннего канала. Кроме того, для уменьшения сопротивления патрубок имел обтекатель.</w:t>
      </w:r>
    </w:p>
    <w:p w14:paraId="77C49D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Известно, что был построен второй экземпляр СБ-РК № 2/282, но на официальные испытания он не предъявлялся (9655).</w:t>
      </w:r>
    </w:p>
    <w:p w14:paraId="4CE7E7F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7BBDF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с 11 по 16 мая 1940 г. самолет СБ-РК № 2/281 проходил госиспытания в НИИ ВВС КА. Самолет был предъявлен без турелей МВ-3 и МВ-2 и без наружных держателей для подвески бомб. Клепка впотай выполнялась только по передней кромке крыла. Облет самолета выполнили капитан А. Хрипков, майор П.М. Стефановский, капитан А.К. Долгов, бригадный инженер Щербаков и майор Соколов. При полетной массе 6300 кг были получены следующие летные данные: максимальная скорость у земли 411 км/ч, на расчетной высоте 4700 м - 480 км/ч. Время набора высоты 5000 м - 8,55 мин, практический потолок - 10100 м. По сравнению с серийными СБ 221-й серии прирост максимальной скорости составил 33 км/ч, а по сравнению с самолетом ММН 2 М -105 - 22 км/ч. В выводах по испытаниям указывалось: "Максимальная скорость выше; следует добавить, что основные идеи путей совершенствования СБ подтвердились...Полетные качества в основном как у обычных СБ, но по технике пилотирования отличается... Новые моторамы обеспечивают лучшее и более аэродинамичное капотирование моторов, лучший подход к карбюраторам и возможность снятия нижней крышки картера" (12042).</w:t>
      </w:r>
    </w:p>
    <w:p w14:paraId="7D7DF91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CA32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11 по 15 мая 1940 г. в НИН ВВС проходили испытания СБ-РК (радиаторы-крыло или СБ с радиаторами, размешенными в крыле). Летали ведущий летчик-испытатель полковник Кабанов, летчики облета: Стефановский. Хрипков. Долгов, Щербаков. Соколов. В протоколе испытании обстоятельно перечислялись все изменения, внесенные в СБ-РК: крыло тина ММН с установкой водорадиаторов в консолях. На машине № 2/281 в леквом крыле стоял сотовый радиатор, а в правом - опытный пластинчатый. Поток воздуха через них регулировали жалюзи на выходных окнах каналов. Емкость крыльевых топливных баков в связи с установкой радиаторов уменьшилась на 340 л, в сравнении с 405 л на СБ. Площадь вертикального оперения уменьшилась на 0.32 м-, поперечное V крыльев было увеличено с 6'20' до 6"50'. Вопреки укоренившемуся мнению, горизонтальное оперение не уменьшалось. Фонарь пилота установлен заподлицо с фюзеляжем, для его подъема над гаргротом направляющий рельс оборудован специальным уступом (9286,27).</w:t>
      </w:r>
    </w:p>
    <w:p w14:paraId="3BFFA9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проведении государственных испытаний СБ-РК № 2/281 с полетным весом 6300 кг развивал у земли скорость 411 км ч. на высоте 4700 метров - 480 км/ч. Время набора высоты 5000 м составило 8.55 мин., практический погодок 10100 м. В отношении летных качеств модифицированного СБ указывалось, что особых отличий в технике пилотирования нет, несколько возросла скорость отрыва и планирования при посадке. Отмечалось запаздывание реакции на отклонение элеронов. Самолет испытывался без турелей (верхней МВ-3 и люковой МВ-2), был недоведен и не мог рассматриваться как эталон для серийного производства. Предлагалось на основе СБ-РК к 1 нюля 1940 г. подготовить эталон для производства и построить войсковую серию в количестве 15 экземпляров. В качестве последующих изменений была предложена носовая часть Ф-1, испытанная на ММН и новый, уменьшенный по высоте колпак для турели МВ-3. Со всеми улучшениями рассчитывали получить самолет с максимальной скоростью порядка 500 км/ч (8286,27).</w:t>
      </w:r>
    </w:p>
    <w:p w14:paraId="5A1171A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432E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с 11 по 15 мая 1940 г. для подтверждения полученных результатов новый самолет, уже под обозначением СБ-РК (СБ - Радиаторы-Крыло), передали для испытаний в НИИ ВВС. Полеты состоялись Ведущим летчиком-испытателем являлся полковник Кабанов, летчиками облета стали Стефановский, Хрипков, Долгов, Щербаков, Соколов.</w:t>
      </w:r>
    </w:p>
    <w:p w14:paraId="2E4A7C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результаты полетного тестирования были следующими: СБ-РК №2/281 с полетным весом 6300 кг развивал у земли скорость 411 км/ч, на высоте 4700 метров - 480 км/ч. Время набора высоты 5000 м составило 8,55 мин., практический потолок 10,10 км. Особых отличий в технике пилотирования у нового СБ летчики не обнаружили, однако отметили возросшие скорость отрыва на взлете и скорость планирования при посадке, а также запоздалую реакцию самолета на отклонение элеронов.</w:t>
      </w:r>
    </w:p>
    <w:p w14:paraId="7A9C8A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подчеркивалось, что самолет испытывался без турелей МВ-3 и люковой МВ-2, в целом далек от совершенства и в предъявленном виде не может рассматриваться как эталон для серийного производства. Предлагалось на основе данного СБ-РК к 1 июля 1940 г. подготовить усовершенствованный эталон для производства.</w:t>
      </w:r>
    </w:p>
    <w:p w14:paraId="626EB2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числе дополнительных изменений предлагалось установить кабину штурмана (Ф-1) как у самолета М М Н и новый, уменьшенный по высоте колпак (экран) для турели МВ-3. С такими улучшениями имелись полные основания получить самолет с максимальной скоростью порядка 500 км/ч.</w:t>
      </w:r>
    </w:p>
    <w:p w14:paraId="4BC588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дальнейшем СБ-РК предполагалось использовать как пикирующий бомбардировщик, оснащенный подкрыльевыми, выпускаемыми тормозными решетками и автоматом выхода из пикирования. Впервые эти приспособления установили на СБ №1/281 - полеты на пикирование велись в период с 27 июля по 11 августа 1940 г.</w:t>
      </w:r>
    </w:p>
    <w:p w14:paraId="74141F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Первые три самолета, на которых реализовали все вышеперечисленные изменения были изготовлены во второй половине августа 1940 г.</w:t>
      </w:r>
    </w:p>
    <w:p w14:paraId="4316C2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отличия этих СБ-РК от выпускаемых стандартных СБ 201-й серии и его конструктивные особенности достойны более подробного описания:</w:t>
      </w:r>
    </w:p>
    <w:p w14:paraId="5B301C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уменьшено по размаху на 2,3 м и по площади на 8,5 м2. При этом площадь элеронов уменьшилась с 2,317 м2 до 1,686 м2. Для снижения посадочной скорости площадь центропланного посадочного щитка увеличена.</w:t>
      </w:r>
    </w:p>
    <w:p w14:paraId="5FC584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Двигатели прикрыты капотами обтекаемой формы с минимальным поперечным сечением. На машинах первых серий на внутренней стороне капотов, т.е. со стороны летчика, устанавливались по два прибора контроля работы винтомоторной группы.</w:t>
      </w:r>
    </w:p>
    <w:p w14:paraId="378866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Пластинчатые радиаторы водяного охлаждения двигателей установлены внутри отъемной части крыла с размещением воздухозаборников в их передней кромке. Регулирование потока охлаждающего воздуха осуществлялось подвижными створками, размещенными на верхней поверхности крыла. В связи с установкой радиаторов емкость крыльевых топливных баков уменьшилась до 330 литров по сравнению с 405 литрами на СБ.</w:t>
      </w:r>
    </w:p>
    <w:p w14:paraId="06D74B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Участок обшивки верхней части фюзеляжа в районе центроплана в пространстве между шпангоутами №4 и №8 выполнен в виде отсека, выклеенного из балинитовой фанеры. Этот отсек, называемый "горбушкой", собирался отдельно и устанавливался на основной каркас в собранном виде. Под "горбушкой" размещалась рамка антенны радиополукомпаса.</w:t>
      </w:r>
    </w:p>
    <w:p w14:paraId="0C8941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снижения скорости на пикировании, под отъемными частями крыла расположены тормозные решетки, выполненные из стальных груб, имеющих овальное сечение. При вводе в пикирование, после открытия крана воздушной системы, тормозные решетки отклонялись в положение, перпендикулярное потоку. О выпуске решеток летчику сигнализировали механические указатели - "солдатики", выходящие из обшивки крыла в районе между 10-й и 11-й нервюрами. Ввод в пикирование осуществлялся одновременным отклонением вверх триммеров рулей высоты. При нажатии кнопки сброса бомб или дублирующей командной кнопки, триммеры возвращались в первоначальное положение.</w:t>
      </w:r>
    </w:p>
    <w:p w14:paraId="08A798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Передняя часть фюзеляжа СБ-РК полностью измененной конструкции, с увеличенным обзором летчику и штурману, с обеспечением непосредственной связи между ними (т.е. летчик и штурман могли обмениваться жестами или передавать что-либо друг другу). Летчик сдвинут влево для получения обзора вперед при заходе на пикирование через остекление штурманской кабины, его приборная доска в основном сгруппирована в правой части кабины. Фонарь летчика открывается назад с подъемом вверх. У штурмана значительно увеличена площадь остекления и установлено второе управление со складывающимся штурвалом.</w:t>
      </w:r>
    </w:p>
    <w:p w14:paraId="209620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стрелковая установка типа "НУ" (в ряде документов называется НУ-ДБ-ЗФ, т.к. разрабатывалась для новой модификации бомбардировщика ДБ-ЗФ) имеет один пулемет Ш КАС с запасом патронов 500 шт. Пулемет ШКАС в этой установке монтировался в специальной шаровой головке, т.н. "яблоке", позволяющем вести обстрел вперед в конусе 50°. Питание пулемета осуществлялось по гибкому рукаву из патронного яшика на правом борту штурманской кабины.</w:t>
      </w:r>
    </w:p>
    <w:p w14:paraId="3A7C6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Верхняя кормовая пулеметная установка конструкции Торопова с обстрелом только задней полусферы получила обозначение ТСС-1 (турель скоростного самолета), оборудована коллиматорным прицелом К-8Т, имеет запас патронов 1000 шт. Турель представляла собой полукольцо (сектор), по которому передвигалась каретка с головкой пулемета. В походном положении пулемет устанавливался по левому борту, в фонаре имелся небольшой вырез для такого положения. Верхний фонарь, т.н. "черепаха", при стрельбе отодвигался на роликах по рельсам назад и частично поднимался вверх для защиты стрелка от набегающего воздушного потока. Обстрел из ТСС-1 можно было вести на 90° влево и вправо, вверх на 60°, вниз на 30°.</w:t>
      </w:r>
    </w:p>
    <w:p w14:paraId="51FA23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обороны нижней полусферы на СБ-РК установлена убираемая турель МВ-2 с пулеметом ШКАС, с прицелом ОП-2Л, с запасом патронов 600 шт. МВ-2 устанавливалась на специальной раме (люльке), которая в походном положении поднималась вверх. В центральной части рамы, в районе рукоятки пулемета имелся копир-ограничитель, препятствующий попаданию при стрельбе в свое костыльное колесо. При переводе МВ-2 в боевое положение раскрывались две нижние застекленные створки, поеле чего пулемет вместе с люлькой опускался наружу. Прицельная стрельба из МВ-2 позволяла вести огонь по 30° в стороны, по вертикали от 4-5° до 55°.</w:t>
      </w:r>
    </w:p>
    <w:p w14:paraId="0437F3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сбрасывания бомб калибра 250 кг или 500 кг под центропланом СБ-РК были оборудованы новые держатели НП-1. Бомбы крепились в районе центра тяжести за один центральный замок и дополнительно фиксировались при помощи боковых упоров.</w:t>
      </w:r>
    </w:p>
    <w:p w14:paraId="71872F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осуществления прицеливания у штурмана устанавливался прицел НКПБ-3 (для бомбометания ночью и на малых высотах) и прицел ОПБ-1М. У летчика устанавливался коллиматорный прицел ПБП-1, предназначенный для бомбометания с пикирования.</w:t>
      </w:r>
    </w:p>
    <w:p w14:paraId="6A29D2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указанные изменения с осени 1940 г. начали осуществляться на серийных самолетах. Государственные испытания одного из первых СБ-РК, в котором окончательно оформились все новинки конструкции и оборудования, велись вплоть до декабря 1940 г., когда последовало решение об его переименовании в Ар-2 (Архангельский- второй). Именно под этим обозначением машина фигурировала в заголовке отчета по проведенным испытаниям, однако в тексте самолет по прежнему определялся как СБ-РК.</w:t>
      </w:r>
    </w:p>
    <w:p w14:paraId="616CFF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итоговых материала отчета говорилось, что СБ-РК по своим летно-тактическим данным значительно лучше серийного самолета СБ, но по скорости отстает от современных иностранных и отечественных двухмоторных бомбардировщиков (под последними понимались СПБ, ББ-22 и, прежде всего Пе-2, показавший максимальную полетную скорость 540 км/ч).</w:t>
      </w:r>
    </w:p>
    <w:p w14:paraId="2D84D2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СБ-РК при полетном весе 6600 кг на высоте 4700 м составила 475 км/ч вместо заданной максимальной скорости 490 км/ч.</w:t>
      </w:r>
    </w:p>
    <w:p w14:paraId="5B8E80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и потолок удовлетворяют тактико-техническим требованиям к средним бомбардировщикам. Практический потолок самолета при нормальном полетном весе 6600 кг равен 10000 м., при полетном весе 7100 кг с четырьмя ФАБ-250 на наружной подвеске потолок составил 9000 м. Время набора высоты 5000 м при полетном весе 6600 кг составило 7,1 мин., при полетном весе 7100 кг - 9,3 мин.</w:t>
      </w:r>
    </w:p>
    <w:p w14:paraId="04E6A1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на взлете с полетным весом 7100 кг составляла 340 метров (12027).</w:t>
      </w:r>
    </w:p>
    <w:p w14:paraId="1EDA03A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C9D5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Нач. штаба 1 отдела НИИ ГУАС КА Марин-Федоров направил Зам. наркома А.С.Я. и копию КО Лешукову Заключение по эскизному проекту самолета СДБ-18 с 2М-120 конструкции завода 18 для сведения (на 33 л.) (2054,2).</w:t>
      </w:r>
    </w:p>
    <w:p w14:paraId="56201BB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D528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в ходе заводских испытаний И-200 А.И.М, которые проходили с 31 марта по 17 августа 1940, на И-200-2 был выполнен ознакомительный полет и уборка шасси (2988).</w:t>
      </w:r>
    </w:p>
    <w:p w14:paraId="1480C17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8A1C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на И-180-3 установили третий по счету мотор выпуска февраля 1940 года (9979).</w:t>
      </w:r>
    </w:p>
    <w:p w14:paraId="0F7A6E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6FFBE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 нарком авиапромышленности А.И. Шахурин представил в КО при СНК проект постановления о развертывании серийного производства истребителя И-26. 13 мая главный конструктор самолета был вызван в Кремль, где участвовал в обсуждении этого вопроса. С исправлениями, внесенными И В. Сталиным и В.М. Молотовым (увеличена цифра выпуска самолетов И-26 заводом № 301 в 1941 году с 600 до 800 машин и снято задание на 1942 год в 1000 самолетов), проект был передан 14 мая членам КО для голосования и 16 мая 1940 г. принят (постановление № 206сс) (12048).</w:t>
      </w:r>
    </w:p>
    <w:p w14:paraId="7C4DDD4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F00EDD"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мая 1940 года нарком авиапромышленности А.И. Шахурин представил в Комитет обороны проект постановления о развертывании серийного производства яковлевского истребителя И-26… на заводе № 301 (23183).</w:t>
      </w:r>
    </w:p>
    <w:p w14:paraId="1176F6C0" w14:textId="77777777" w:rsidR="0047286B" w:rsidRPr="00DB5D0D" w:rsidRDefault="0047286B" w:rsidP="00DB5D0D">
      <w:pPr>
        <w:spacing w:after="0" w:line="240" w:lineRule="auto"/>
        <w:jc w:val="both"/>
        <w:rPr>
          <w:rFonts w:ascii="Times New Roman" w:hAnsi="Times New Roman"/>
          <w:color w:val="0070C0"/>
          <w:sz w:val="16"/>
          <w:szCs w:val="16"/>
        </w:rPr>
      </w:pPr>
    </w:p>
    <w:p w14:paraId="522EB4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11 мая по 29 июня 1940 проходили гос. испытания ПС-84 2хМ-62 (Ли-2) в транспортном, десантном и санитарном вариантах (796,35).</w:t>
      </w:r>
    </w:p>
    <w:p w14:paraId="64D245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гос. испытания в НИИ ВВС проводила одна из первых машин ПС-84, переоборудованная в транспортно-десантную. Летали ли Предейн, ши Марин-Федоров и и Паузер. В состав оборудования входил кран на 850 кг и дверь размером 1.65 на 1.52, открывающаяся вверх. Была возможность переоборудования в санитарный. Можно было перевозить пушки П-45, П-76 или 25 десантников. При необходимости - 30 чел., а при радиусе действия 500 км - 2400 кг. (1168,18).</w:t>
      </w:r>
    </w:p>
    <w:p w14:paraId="71CE2C2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80FF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11 мая по 29 июня 1940 в НИИ ВВС проходили гос. испытания ПС-84 в транспортном, десантном и санитарном вариантах. Отв. исполнители: ви ви1р Паузер, вл к Предейн (2923).</w:t>
      </w:r>
    </w:p>
    <w:p w14:paraId="28DD87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55A463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Определить ЛТД в вариантах:</w:t>
      </w:r>
    </w:p>
    <w:p w14:paraId="1E7C18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транспортном с внутренней и внешней нагрузками;</w:t>
      </w:r>
    </w:p>
    <w:p w14:paraId="19C67C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санитарном;</w:t>
      </w:r>
    </w:p>
    <w:p w14:paraId="6EAC3C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десантном</w:t>
      </w:r>
    </w:p>
    <w:p w14:paraId="609011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Проверить соответствие всех вариантов ТТТ и установить возможность принятия на вооружение ВВС</w:t>
      </w:r>
    </w:p>
    <w:p w14:paraId="120417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испытаний:</w:t>
      </w:r>
    </w:p>
    <w:p w14:paraId="421600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Пс-84 - пассажирский постройки 84 завода, переоборудованный заводом для решения следующих задач:</w:t>
      </w:r>
    </w:p>
    <w:p w14:paraId="6113FF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перевозке грузов внутри и снаружи с возможностью сбрасывания на парашютах</w:t>
      </w:r>
    </w:p>
    <w:p w14:paraId="574354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сбрасыванию парашютного десанта и</w:t>
      </w:r>
    </w:p>
    <w:p w14:paraId="4D1A14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перевозке больных и раненых</w:t>
      </w:r>
    </w:p>
    <w:p w14:paraId="7C9016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Пассажирский ПС-84 самолет ПС-84 проходил зимние и летние испытания в НИИ ВВС с 3 сентября по 17 декабря 1939, с производством 166 полетов продолжительностью 73:45 (2923).</w:t>
      </w:r>
    </w:p>
    <w:p w14:paraId="3EAB2E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ПС-84 в вариантах: 1. транспортном ПС-84-к, 2. десантном - ПС-84-д и 3. санитарном - ПС-84-и прошел на заводе 84 только земные испытания и совершил пробные полеты в транспортном варианте с внутренней загрузкой.</w:t>
      </w:r>
    </w:p>
    <w:p w14:paraId="482FDB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десантного варианта и транспортного с внешней загрузкой проведены совместно с заводскими испытаниями.</w:t>
      </w:r>
    </w:p>
    <w:p w14:paraId="6EF239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не предусмотрено (2923).</w:t>
      </w:r>
    </w:p>
    <w:p w14:paraId="5D95499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3592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11 мая по 29 июня 1940 года проходили гос. испытания самолета ПС-84 в транспортном, десантном и санитарном вариантах</w:t>
      </w:r>
    </w:p>
    <w:p w14:paraId="7938A4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D06CB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1 ранга Паузер</w:t>
      </w:r>
    </w:p>
    <w:p w14:paraId="58C416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капитан Предейн</w:t>
      </w:r>
    </w:p>
    <w:p w14:paraId="75AA1A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9CD03A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летно-тактические данные самолета в варианте:</w:t>
      </w:r>
    </w:p>
    <w:p w14:paraId="69131F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транспортном с внутренней и внешней загрузками;</w:t>
      </w:r>
    </w:p>
    <w:p w14:paraId="1D9A09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санитарном;</w:t>
      </w:r>
    </w:p>
    <w:p w14:paraId="39783C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десантном.</w:t>
      </w:r>
    </w:p>
    <w:p w14:paraId="54BE40D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соответствие всех вариантов тактико-техническим требованиям и установить возможность принятия самолета на вооружение ВВС.</w:t>
      </w:r>
    </w:p>
    <w:p w14:paraId="21CAB5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Пассажирский самолет ПС-84 проходил земные и летные испытания в НИИ ГВФ с 3 сентября по 17 декабря 1939 года с производством 166 полетов продолжительностью 73 час. 45 мин.</w:t>
      </w:r>
    </w:p>
    <w:p w14:paraId="789457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цельнометаллический моноплан с низкорасположенным крылом, оборудован двумя моторами М-62-ИР. Предъявленный самолет разнится от пассажирского только внутренним оборудованием пассажирской кабины и вырезом грузовой двери в левом борту.</w:t>
      </w:r>
    </w:p>
    <w:p w14:paraId="6DE835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на самолете не предусмотрено.</w:t>
      </w:r>
    </w:p>
    <w:p w14:paraId="004AB1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самолета производились в НИИ ВВС с 11 мая по 29 июня 1940 года. Во время испытаний проведено 56 полетов продолжительностью 34 часа 42 минуты.</w:t>
      </w:r>
    </w:p>
    <w:p w14:paraId="4C964F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D7EDBE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ПС-84-К и И, т.е. в военных вариантах:</w:t>
      </w:r>
    </w:p>
    <w:p w14:paraId="46C83D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транспортном;</w:t>
      </w:r>
    </w:p>
    <w:p w14:paraId="0AF9F9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санитарном;</w:t>
      </w:r>
    </w:p>
    <w:p w14:paraId="32D97F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десантном,</w:t>
      </w:r>
    </w:p>
    <w:p w14:paraId="5CF2B7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прошел гос. испытания удовлетворительно и рекомендуется к принятию на вооружение ВВС.</w:t>
      </w:r>
    </w:p>
    <w:p w14:paraId="666DE5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768"/>
        <w:gridCol w:w="1784"/>
      </w:tblGrid>
      <w:tr w:rsidR="007D5DF8" w:rsidRPr="00DB5D0D" w14:paraId="0C022763" w14:textId="77777777" w:rsidTr="009223E5">
        <w:tc>
          <w:tcPr>
            <w:tcW w:w="2214" w:type="dxa"/>
          </w:tcPr>
          <w:p w14:paraId="20FCD2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5832" w:type="dxa"/>
          </w:tcPr>
          <w:p w14:paraId="1E16D2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работ</w:t>
            </w:r>
          </w:p>
        </w:tc>
        <w:tc>
          <w:tcPr>
            <w:tcW w:w="768" w:type="dxa"/>
          </w:tcPr>
          <w:p w14:paraId="6C9632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 полетов</w:t>
            </w:r>
          </w:p>
        </w:tc>
        <w:tc>
          <w:tcPr>
            <w:tcW w:w="1784" w:type="dxa"/>
          </w:tcPr>
          <w:p w14:paraId="590ABD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r>
      <w:tr w:rsidR="007D5DF8" w:rsidRPr="00DB5D0D" w14:paraId="292FE8AB" w14:textId="77777777" w:rsidTr="009223E5">
        <w:tc>
          <w:tcPr>
            <w:tcW w:w="2214" w:type="dxa"/>
          </w:tcPr>
          <w:p w14:paraId="49ADA7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w:t>
            </w:r>
          </w:p>
        </w:tc>
        <w:tc>
          <w:tcPr>
            <w:tcW w:w="5832" w:type="dxa"/>
          </w:tcPr>
          <w:p w14:paraId="260A5A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Перегонка самолета с завода на аэродром НИИ ВВС</w:t>
            </w:r>
          </w:p>
        </w:tc>
        <w:tc>
          <w:tcPr>
            <w:tcW w:w="768" w:type="dxa"/>
          </w:tcPr>
          <w:p w14:paraId="7641BF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534C17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25F9CE6A" w14:textId="77777777" w:rsidTr="009223E5">
        <w:tc>
          <w:tcPr>
            <w:tcW w:w="2214" w:type="dxa"/>
          </w:tcPr>
          <w:p w14:paraId="2DFDB2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w:t>
            </w:r>
          </w:p>
        </w:tc>
        <w:tc>
          <w:tcPr>
            <w:tcW w:w="5832" w:type="dxa"/>
          </w:tcPr>
          <w:p w14:paraId="78AE07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Тренировка летчика</w:t>
            </w:r>
          </w:p>
        </w:tc>
        <w:tc>
          <w:tcPr>
            <w:tcW w:w="768" w:type="dxa"/>
          </w:tcPr>
          <w:p w14:paraId="475201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784" w:type="dxa"/>
          </w:tcPr>
          <w:p w14:paraId="301EBB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0-35</w:t>
            </w:r>
          </w:p>
        </w:tc>
      </w:tr>
      <w:tr w:rsidR="007D5DF8" w:rsidRPr="00DB5D0D" w14:paraId="1BD02A6F" w14:textId="77777777" w:rsidTr="009223E5">
        <w:tc>
          <w:tcPr>
            <w:tcW w:w="2214" w:type="dxa"/>
          </w:tcPr>
          <w:p w14:paraId="7B708E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5832" w:type="dxa"/>
          </w:tcPr>
          <w:p w14:paraId="280FF8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с грузом</w:t>
            </w:r>
          </w:p>
        </w:tc>
        <w:tc>
          <w:tcPr>
            <w:tcW w:w="768" w:type="dxa"/>
          </w:tcPr>
          <w:p w14:paraId="07CFD3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4AF7B4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0-37</w:t>
            </w:r>
          </w:p>
        </w:tc>
      </w:tr>
      <w:tr w:rsidR="007D5DF8" w:rsidRPr="00DB5D0D" w14:paraId="18308077" w14:textId="77777777" w:rsidTr="009223E5">
        <w:tc>
          <w:tcPr>
            <w:tcW w:w="2214" w:type="dxa"/>
          </w:tcPr>
          <w:p w14:paraId="1BF8B0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w:t>
            </w:r>
          </w:p>
        </w:tc>
        <w:tc>
          <w:tcPr>
            <w:tcW w:w="5832" w:type="dxa"/>
          </w:tcPr>
          <w:p w14:paraId="2E961A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г. Рязань и обратно</w:t>
            </w:r>
          </w:p>
        </w:tc>
        <w:tc>
          <w:tcPr>
            <w:tcW w:w="768" w:type="dxa"/>
          </w:tcPr>
          <w:p w14:paraId="4F872B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0FAA6D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tc>
      </w:tr>
      <w:tr w:rsidR="007D5DF8" w:rsidRPr="00DB5D0D" w14:paraId="0AAAF430" w14:textId="77777777" w:rsidTr="009223E5">
        <w:tc>
          <w:tcPr>
            <w:tcW w:w="2214" w:type="dxa"/>
          </w:tcPr>
          <w:p w14:paraId="17BD06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5832" w:type="dxa"/>
          </w:tcPr>
          <w:p w14:paraId="499C5E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границы высотности мотора</w:t>
            </w:r>
          </w:p>
        </w:tc>
        <w:tc>
          <w:tcPr>
            <w:tcW w:w="768" w:type="dxa"/>
          </w:tcPr>
          <w:p w14:paraId="0ED21F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2E1F87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r>
      <w:tr w:rsidR="007D5DF8" w:rsidRPr="00DB5D0D" w14:paraId="2C354C04" w14:textId="77777777" w:rsidTr="009223E5">
        <w:tc>
          <w:tcPr>
            <w:tcW w:w="2214" w:type="dxa"/>
          </w:tcPr>
          <w:p w14:paraId="5B6687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года</w:t>
            </w:r>
          </w:p>
        </w:tc>
        <w:tc>
          <w:tcPr>
            <w:tcW w:w="5832" w:type="dxa"/>
          </w:tcPr>
          <w:p w14:paraId="0779EC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tc>
        <w:tc>
          <w:tcPr>
            <w:tcW w:w="768" w:type="dxa"/>
          </w:tcPr>
          <w:p w14:paraId="6B6D6E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6022A5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r>
      <w:tr w:rsidR="007D5DF8" w:rsidRPr="00DB5D0D" w14:paraId="5244FFA9" w14:textId="77777777" w:rsidTr="009223E5">
        <w:tc>
          <w:tcPr>
            <w:tcW w:w="2214" w:type="dxa"/>
          </w:tcPr>
          <w:p w14:paraId="13B207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w:t>
            </w:r>
          </w:p>
        </w:tc>
        <w:tc>
          <w:tcPr>
            <w:tcW w:w="5832" w:type="dxa"/>
          </w:tcPr>
          <w:p w14:paraId="2FDF2E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моторов</w:t>
            </w:r>
          </w:p>
        </w:tc>
        <w:tc>
          <w:tcPr>
            <w:tcW w:w="768" w:type="dxa"/>
          </w:tcPr>
          <w:p w14:paraId="201A26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264F7B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r>
      <w:tr w:rsidR="007D5DF8" w:rsidRPr="00DB5D0D" w14:paraId="32E8883A" w14:textId="77777777" w:rsidTr="009223E5">
        <w:tc>
          <w:tcPr>
            <w:tcW w:w="2214" w:type="dxa"/>
          </w:tcPr>
          <w:p w14:paraId="3C10CB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года</w:t>
            </w:r>
          </w:p>
        </w:tc>
        <w:tc>
          <w:tcPr>
            <w:tcW w:w="5832" w:type="dxa"/>
          </w:tcPr>
          <w:p w14:paraId="6B6AA6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на Центральный аэродром и обратно</w:t>
            </w:r>
          </w:p>
        </w:tc>
        <w:tc>
          <w:tcPr>
            <w:tcW w:w="768" w:type="dxa"/>
          </w:tcPr>
          <w:p w14:paraId="75945A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575A01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1D3A5176" w14:textId="77777777" w:rsidTr="009223E5">
        <w:tc>
          <w:tcPr>
            <w:tcW w:w="2214" w:type="dxa"/>
          </w:tcPr>
          <w:p w14:paraId="1DBEED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5832" w:type="dxa"/>
          </w:tcPr>
          <w:p w14:paraId="40B34F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на уборку и выпуск шасси</w:t>
            </w:r>
          </w:p>
        </w:tc>
        <w:tc>
          <w:tcPr>
            <w:tcW w:w="768" w:type="dxa"/>
          </w:tcPr>
          <w:p w14:paraId="39F3C0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572764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r>
      <w:tr w:rsidR="007D5DF8" w:rsidRPr="00DB5D0D" w14:paraId="6A1D0B83" w14:textId="77777777" w:rsidTr="009223E5">
        <w:tc>
          <w:tcPr>
            <w:tcW w:w="2214" w:type="dxa"/>
          </w:tcPr>
          <w:p w14:paraId="6153EA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года</w:t>
            </w:r>
          </w:p>
        </w:tc>
        <w:tc>
          <w:tcPr>
            <w:tcW w:w="5832" w:type="dxa"/>
          </w:tcPr>
          <w:p w14:paraId="6B4B46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Растряска ПДББ-100</w:t>
            </w:r>
          </w:p>
        </w:tc>
        <w:tc>
          <w:tcPr>
            <w:tcW w:w="768" w:type="dxa"/>
          </w:tcPr>
          <w:p w14:paraId="41D665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784" w:type="dxa"/>
          </w:tcPr>
          <w:p w14:paraId="590D30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r>
      <w:tr w:rsidR="007D5DF8" w:rsidRPr="00DB5D0D" w14:paraId="1A638526" w14:textId="77777777" w:rsidTr="009223E5">
        <w:tc>
          <w:tcPr>
            <w:tcW w:w="2214" w:type="dxa"/>
          </w:tcPr>
          <w:p w14:paraId="774F83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года</w:t>
            </w:r>
          </w:p>
        </w:tc>
        <w:tc>
          <w:tcPr>
            <w:tcW w:w="5832" w:type="dxa"/>
          </w:tcPr>
          <w:p w14:paraId="4082CF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и сбрасывание ПДББ-100</w:t>
            </w:r>
          </w:p>
        </w:tc>
        <w:tc>
          <w:tcPr>
            <w:tcW w:w="768" w:type="dxa"/>
          </w:tcPr>
          <w:p w14:paraId="755901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729A09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w:t>
            </w:r>
          </w:p>
        </w:tc>
      </w:tr>
      <w:tr w:rsidR="007D5DF8" w:rsidRPr="00DB5D0D" w14:paraId="4E014140" w14:textId="77777777" w:rsidTr="009223E5">
        <w:tc>
          <w:tcPr>
            <w:tcW w:w="2214" w:type="dxa"/>
          </w:tcPr>
          <w:p w14:paraId="76F7C2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w:t>
            </w:r>
          </w:p>
        </w:tc>
        <w:tc>
          <w:tcPr>
            <w:tcW w:w="5832" w:type="dxa"/>
          </w:tcPr>
          <w:p w14:paraId="19FBA4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Растряска ПДББ-250</w:t>
            </w:r>
          </w:p>
        </w:tc>
        <w:tc>
          <w:tcPr>
            <w:tcW w:w="768" w:type="dxa"/>
          </w:tcPr>
          <w:p w14:paraId="65D351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784" w:type="dxa"/>
          </w:tcPr>
          <w:p w14:paraId="76DE6C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116656DD" w14:textId="77777777" w:rsidTr="009223E5">
        <w:tc>
          <w:tcPr>
            <w:tcW w:w="2214" w:type="dxa"/>
          </w:tcPr>
          <w:p w14:paraId="21311E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w:t>
            </w:r>
          </w:p>
        </w:tc>
        <w:tc>
          <w:tcPr>
            <w:tcW w:w="5832" w:type="dxa"/>
          </w:tcPr>
          <w:p w14:paraId="7468FD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ПДББ-250</w:t>
            </w:r>
          </w:p>
        </w:tc>
        <w:tc>
          <w:tcPr>
            <w:tcW w:w="768" w:type="dxa"/>
          </w:tcPr>
          <w:p w14:paraId="7ADEC4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4F15C6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r>
      <w:tr w:rsidR="007D5DF8" w:rsidRPr="00DB5D0D" w14:paraId="1B54009C" w14:textId="77777777" w:rsidTr="009223E5">
        <w:tc>
          <w:tcPr>
            <w:tcW w:w="2214" w:type="dxa"/>
          </w:tcPr>
          <w:p w14:paraId="1E1F27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832" w:type="dxa"/>
          </w:tcPr>
          <w:p w14:paraId="2C4174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 подвеской ПДББ-400</w:t>
            </w:r>
          </w:p>
        </w:tc>
        <w:tc>
          <w:tcPr>
            <w:tcW w:w="768" w:type="dxa"/>
          </w:tcPr>
          <w:p w14:paraId="6615D7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784" w:type="dxa"/>
          </w:tcPr>
          <w:p w14:paraId="6EE9D3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7D23157F" w14:textId="77777777" w:rsidTr="009223E5">
        <w:tc>
          <w:tcPr>
            <w:tcW w:w="2214" w:type="dxa"/>
          </w:tcPr>
          <w:p w14:paraId="00A81F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832" w:type="dxa"/>
          </w:tcPr>
          <w:p w14:paraId="4CDA33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ПДББ-400</w:t>
            </w:r>
          </w:p>
        </w:tc>
        <w:tc>
          <w:tcPr>
            <w:tcW w:w="768" w:type="dxa"/>
          </w:tcPr>
          <w:p w14:paraId="69EEF3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0F063B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r>
      <w:tr w:rsidR="007D5DF8" w:rsidRPr="00DB5D0D" w14:paraId="28EC7D3B" w14:textId="77777777" w:rsidTr="009223E5">
        <w:tc>
          <w:tcPr>
            <w:tcW w:w="2214" w:type="dxa"/>
          </w:tcPr>
          <w:p w14:paraId="45FC92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832" w:type="dxa"/>
          </w:tcPr>
          <w:p w14:paraId="059AE7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Растряска П-45</w:t>
            </w:r>
          </w:p>
        </w:tc>
        <w:tc>
          <w:tcPr>
            <w:tcW w:w="768" w:type="dxa"/>
          </w:tcPr>
          <w:p w14:paraId="22A285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4FF5EF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r>
      <w:tr w:rsidR="007D5DF8" w:rsidRPr="00DB5D0D" w14:paraId="18CEF355" w14:textId="77777777" w:rsidTr="009223E5">
        <w:tc>
          <w:tcPr>
            <w:tcW w:w="2214" w:type="dxa"/>
          </w:tcPr>
          <w:p w14:paraId="138D0D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832" w:type="dxa"/>
          </w:tcPr>
          <w:p w14:paraId="255E56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Загрузка П-76 и растряска</w:t>
            </w:r>
          </w:p>
        </w:tc>
        <w:tc>
          <w:tcPr>
            <w:tcW w:w="768" w:type="dxa"/>
          </w:tcPr>
          <w:p w14:paraId="2F2205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47440D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0-25</w:t>
            </w:r>
          </w:p>
        </w:tc>
      </w:tr>
      <w:tr w:rsidR="007D5DF8" w:rsidRPr="00DB5D0D" w14:paraId="7450BAE3" w14:textId="77777777" w:rsidTr="009223E5">
        <w:tc>
          <w:tcPr>
            <w:tcW w:w="2214" w:type="dxa"/>
          </w:tcPr>
          <w:p w14:paraId="5659D3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5832" w:type="dxa"/>
          </w:tcPr>
          <w:p w14:paraId="4F065F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Километраж</w:t>
            </w:r>
          </w:p>
        </w:tc>
        <w:tc>
          <w:tcPr>
            <w:tcW w:w="768" w:type="dxa"/>
          </w:tcPr>
          <w:p w14:paraId="429427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48C623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r>
      <w:tr w:rsidR="007D5DF8" w:rsidRPr="00DB5D0D" w14:paraId="3FC988B1" w14:textId="77777777" w:rsidTr="009223E5">
        <w:tc>
          <w:tcPr>
            <w:tcW w:w="2214" w:type="dxa"/>
          </w:tcPr>
          <w:p w14:paraId="581E7E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5832" w:type="dxa"/>
          </w:tcPr>
          <w:p w14:paraId="24E959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tc>
        <w:tc>
          <w:tcPr>
            <w:tcW w:w="768" w:type="dxa"/>
          </w:tcPr>
          <w:p w14:paraId="271BC7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784" w:type="dxa"/>
          </w:tcPr>
          <w:p w14:paraId="6FB64D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0-55</w:t>
            </w:r>
          </w:p>
        </w:tc>
      </w:tr>
      <w:tr w:rsidR="007D5DF8" w:rsidRPr="00DB5D0D" w14:paraId="7643D19F" w14:textId="77777777" w:rsidTr="009223E5">
        <w:tc>
          <w:tcPr>
            <w:tcW w:w="2214" w:type="dxa"/>
          </w:tcPr>
          <w:p w14:paraId="318DB4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w:t>
            </w:r>
          </w:p>
        </w:tc>
        <w:tc>
          <w:tcPr>
            <w:tcW w:w="5832" w:type="dxa"/>
          </w:tcPr>
          <w:p w14:paraId="2463FF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Выпрыгивание инструкторов</w:t>
            </w:r>
          </w:p>
        </w:tc>
        <w:tc>
          <w:tcPr>
            <w:tcW w:w="768" w:type="dxa"/>
          </w:tcPr>
          <w:p w14:paraId="2B5B61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6BAA10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r>
      <w:tr w:rsidR="007D5DF8" w:rsidRPr="00DB5D0D" w14:paraId="75DB1C1E" w14:textId="77777777" w:rsidTr="009223E5">
        <w:tc>
          <w:tcPr>
            <w:tcW w:w="2214" w:type="dxa"/>
          </w:tcPr>
          <w:p w14:paraId="22CDC6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5832" w:type="dxa"/>
          </w:tcPr>
          <w:p w14:paraId="4B3F8C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в д. Реблицы (ЛВО)</w:t>
            </w:r>
          </w:p>
        </w:tc>
        <w:tc>
          <w:tcPr>
            <w:tcW w:w="768" w:type="dxa"/>
          </w:tcPr>
          <w:p w14:paraId="5FF111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3E44F0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r>
      <w:tr w:rsidR="007D5DF8" w:rsidRPr="00DB5D0D" w14:paraId="79C65766" w14:textId="77777777" w:rsidTr="009223E5">
        <w:tc>
          <w:tcPr>
            <w:tcW w:w="2214" w:type="dxa"/>
          </w:tcPr>
          <w:p w14:paraId="71D2A6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5832" w:type="dxa"/>
          </w:tcPr>
          <w:p w14:paraId="3942DE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десанта</w:t>
            </w:r>
          </w:p>
        </w:tc>
        <w:tc>
          <w:tcPr>
            <w:tcW w:w="768" w:type="dxa"/>
          </w:tcPr>
          <w:p w14:paraId="555D7D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7E9A1F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0-50</w:t>
            </w:r>
          </w:p>
        </w:tc>
      </w:tr>
      <w:tr w:rsidR="007D5DF8" w:rsidRPr="00DB5D0D" w14:paraId="4597EC3D" w14:textId="77777777" w:rsidTr="009223E5">
        <w:tc>
          <w:tcPr>
            <w:tcW w:w="2214" w:type="dxa"/>
          </w:tcPr>
          <w:p w14:paraId="4913E1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832" w:type="dxa"/>
          </w:tcPr>
          <w:p w14:paraId="1AC6CE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десанта</w:t>
            </w:r>
          </w:p>
        </w:tc>
        <w:tc>
          <w:tcPr>
            <w:tcW w:w="768" w:type="dxa"/>
          </w:tcPr>
          <w:p w14:paraId="57DE4E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784" w:type="dxa"/>
          </w:tcPr>
          <w:p w14:paraId="066E03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r>
      <w:tr w:rsidR="007D5DF8" w:rsidRPr="00DB5D0D" w14:paraId="33DDB68A" w14:textId="77777777" w:rsidTr="009223E5">
        <w:tc>
          <w:tcPr>
            <w:tcW w:w="2214" w:type="dxa"/>
          </w:tcPr>
          <w:p w14:paraId="704EB2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832" w:type="dxa"/>
          </w:tcPr>
          <w:p w14:paraId="1628B0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Реблицы-Сольцы для зарядки горючим</w:t>
            </w:r>
          </w:p>
        </w:tc>
        <w:tc>
          <w:tcPr>
            <w:tcW w:w="768" w:type="dxa"/>
          </w:tcPr>
          <w:p w14:paraId="32020D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13D029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w:t>
            </w:r>
          </w:p>
        </w:tc>
      </w:tr>
      <w:tr w:rsidR="007D5DF8" w:rsidRPr="00DB5D0D" w14:paraId="06DAE017" w14:textId="77777777" w:rsidTr="009223E5">
        <w:tc>
          <w:tcPr>
            <w:tcW w:w="2214" w:type="dxa"/>
          </w:tcPr>
          <w:p w14:paraId="5BB08A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832" w:type="dxa"/>
          </w:tcPr>
          <w:p w14:paraId="1EB1A3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Перелет Сольцы-Чкаловская </w:t>
            </w:r>
          </w:p>
        </w:tc>
        <w:tc>
          <w:tcPr>
            <w:tcW w:w="768" w:type="dxa"/>
          </w:tcPr>
          <w:p w14:paraId="1FCB3C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52EDC6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r>
      <w:tr w:rsidR="007D5DF8" w:rsidRPr="00DB5D0D" w14:paraId="6BD7C2D3" w14:textId="77777777" w:rsidTr="009223E5">
        <w:tc>
          <w:tcPr>
            <w:tcW w:w="2214" w:type="dxa"/>
          </w:tcPr>
          <w:p w14:paraId="15D382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w:t>
            </w:r>
          </w:p>
        </w:tc>
        <w:tc>
          <w:tcPr>
            <w:tcW w:w="5832" w:type="dxa"/>
          </w:tcPr>
          <w:p w14:paraId="6E3814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санитарном варианте</w:t>
            </w:r>
          </w:p>
        </w:tc>
        <w:tc>
          <w:tcPr>
            <w:tcW w:w="768" w:type="dxa"/>
          </w:tcPr>
          <w:p w14:paraId="786E07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301D37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0-45</w:t>
            </w:r>
          </w:p>
        </w:tc>
      </w:tr>
      <w:tr w:rsidR="007D5DF8" w:rsidRPr="00DB5D0D" w14:paraId="0508D1ED" w14:textId="77777777" w:rsidTr="009223E5">
        <w:tc>
          <w:tcPr>
            <w:tcW w:w="2214" w:type="dxa"/>
          </w:tcPr>
          <w:p w14:paraId="4F5A05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5832" w:type="dxa"/>
          </w:tcPr>
          <w:p w14:paraId="4B8FDC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Контрольный полет на скороподъемность с внутренней загрузкой</w:t>
            </w:r>
          </w:p>
        </w:tc>
        <w:tc>
          <w:tcPr>
            <w:tcW w:w="768" w:type="dxa"/>
          </w:tcPr>
          <w:p w14:paraId="69139E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30A6AB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r>
      <w:tr w:rsidR="007D5DF8" w:rsidRPr="00DB5D0D" w14:paraId="1D27A07B" w14:textId="77777777" w:rsidTr="009223E5">
        <w:tc>
          <w:tcPr>
            <w:tcW w:w="2214" w:type="dxa"/>
          </w:tcPr>
          <w:p w14:paraId="3E6A1A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5832" w:type="dxa"/>
          </w:tcPr>
          <w:p w14:paraId="0799FD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Контрольный полет с наружной загрузкой</w:t>
            </w:r>
          </w:p>
        </w:tc>
        <w:tc>
          <w:tcPr>
            <w:tcW w:w="768" w:type="dxa"/>
          </w:tcPr>
          <w:p w14:paraId="39A3D9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5DD3B0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r>
      <w:tr w:rsidR="007D5DF8" w:rsidRPr="00DB5D0D" w14:paraId="7B543B99" w14:textId="77777777" w:rsidTr="009223E5">
        <w:tc>
          <w:tcPr>
            <w:tcW w:w="2214" w:type="dxa"/>
          </w:tcPr>
          <w:p w14:paraId="144451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года</w:t>
            </w:r>
          </w:p>
        </w:tc>
        <w:tc>
          <w:tcPr>
            <w:tcW w:w="5832" w:type="dxa"/>
          </w:tcPr>
          <w:p w14:paraId="1BE6F6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Рыбинск и обратно</w:t>
            </w:r>
          </w:p>
        </w:tc>
        <w:tc>
          <w:tcPr>
            <w:tcW w:w="768" w:type="dxa"/>
          </w:tcPr>
          <w:p w14:paraId="069814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134FE6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r>
      <w:tr w:rsidR="007D5DF8" w:rsidRPr="00DB5D0D" w14:paraId="15663D82" w14:textId="77777777" w:rsidTr="009223E5">
        <w:tc>
          <w:tcPr>
            <w:tcW w:w="2214" w:type="dxa"/>
          </w:tcPr>
          <w:p w14:paraId="697F53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года</w:t>
            </w:r>
          </w:p>
        </w:tc>
        <w:tc>
          <w:tcPr>
            <w:tcW w:w="5832" w:type="dxa"/>
          </w:tcPr>
          <w:p w14:paraId="54AD2D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(летчик Нюхтиков)</w:t>
            </w:r>
          </w:p>
        </w:tc>
        <w:tc>
          <w:tcPr>
            <w:tcW w:w="768" w:type="dxa"/>
          </w:tcPr>
          <w:p w14:paraId="12A68D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1A8903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r>
      <w:tr w:rsidR="007D5DF8" w:rsidRPr="00DB5D0D" w14:paraId="16F73CDE" w14:textId="77777777" w:rsidTr="009223E5">
        <w:tc>
          <w:tcPr>
            <w:tcW w:w="2214" w:type="dxa"/>
          </w:tcPr>
          <w:p w14:paraId="0E5260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5832" w:type="dxa"/>
          </w:tcPr>
          <w:p w14:paraId="0943175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68" w:type="dxa"/>
          </w:tcPr>
          <w:p w14:paraId="6DE274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w:t>
            </w:r>
          </w:p>
        </w:tc>
        <w:tc>
          <w:tcPr>
            <w:tcW w:w="1784" w:type="dxa"/>
          </w:tcPr>
          <w:p w14:paraId="23A549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34-42 (4605)</w:t>
            </w:r>
          </w:p>
        </w:tc>
      </w:tr>
    </w:tbl>
    <w:p w14:paraId="25E6E1B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6E3E37" w14:textId="77777777" w:rsidR="00A25AD1" w:rsidRPr="00DB5D0D" w:rsidRDefault="00A25AD1" w:rsidP="00DB5D0D">
      <w:pPr>
        <w:pStyle w:val="24"/>
        <w:widowControl/>
        <w:rPr>
          <w:color w:val="000000" w:themeColor="text1"/>
        </w:rPr>
      </w:pPr>
      <w:r w:rsidRPr="00DB5D0D">
        <w:rPr>
          <w:color w:val="000000" w:themeColor="text1"/>
        </w:rPr>
        <w:t>С 11 мая по 29 июня 1940 года в НИИ ВВС проходили гос. испытания самолета ПС-84 в транспортном, десантном и санитарном вариантах</w:t>
      </w:r>
    </w:p>
    <w:p w14:paraId="11558CD0" w14:textId="77777777" w:rsidR="00A25AD1" w:rsidRPr="00DB5D0D" w:rsidRDefault="00A25AD1" w:rsidP="00DB5D0D">
      <w:pPr>
        <w:pStyle w:val="24"/>
        <w:widowControl/>
        <w:rPr>
          <w:color w:val="000000" w:themeColor="text1"/>
        </w:rPr>
      </w:pPr>
      <w:r w:rsidRPr="00DB5D0D">
        <w:rPr>
          <w:color w:val="000000" w:themeColor="text1"/>
        </w:rPr>
        <w:t>Отв. исполнители:</w:t>
      </w:r>
    </w:p>
    <w:p w14:paraId="1A07D052" w14:textId="77777777" w:rsidR="00A25AD1" w:rsidRPr="00DB5D0D" w:rsidRDefault="00A25AD1" w:rsidP="00DB5D0D">
      <w:pPr>
        <w:pStyle w:val="24"/>
        <w:widowControl/>
        <w:rPr>
          <w:color w:val="000000" w:themeColor="text1"/>
        </w:rPr>
      </w:pPr>
      <w:r w:rsidRPr="00DB5D0D">
        <w:rPr>
          <w:color w:val="000000" w:themeColor="text1"/>
        </w:rPr>
        <w:t>Вед. инженер в/инженер 1 ранга Паузер</w:t>
      </w:r>
    </w:p>
    <w:p w14:paraId="38CF9B94" w14:textId="77777777" w:rsidR="00A25AD1" w:rsidRPr="00DB5D0D" w:rsidRDefault="00A25AD1" w:rsidP="00DB5D0D">
      <w:pPr>
        <w:pStyle w:val="24"/>
        <w:widowControl/>
        <w:rPr>
          <w:color w:val="000000" w:themeColor="text1"/>
        </w:rPr>
      </w:pPr>
      <w:r w:rsidRPr="00DB5D0D">
        <w:rPr>
          <w:color w:val="000000" w:themeColor="text1"/>
        </w:rPr>
        <w:t>Вед. летчик капитан Предейн</w:t>
      </w:r>
    </w:p>
    <w:p w14:paraId="0F9042AD" w14:textId="77777777" w:rsidR="00A25AD1" w:rsidRPr="00DB5D0D" w:rsidRDefault="00A25AD1" w:rsidP="00DB5D0D">
      <w:pPr>
        <w:pStyle w:val="24"/>
        <w:widowControl/>
        <w:rPr>
          <w:color w:val="000000" w:themeColor="text1"/>
        </w:rPr>
      </w:pPr>
      <w:r w:rsidRPr="00DB5D0D">
        <w:rPr>
          <w:color w:val="000000" w:themeColor="text1"/>
        </w:rPr>
        <w:t>Цель испытаний</w:t>
      </w:r>
    </w:p>
    <w:p w14:paraId="2C5AAC62" w14:textId="77777777" w:rsidR="00A25AD1" w:rsidRPr="00DB5D0D" w:rsidRDefault="00A25AD1" w:rsidP="00DB5D0D">
      <w:pPr>
        <w:pStyle w:val="24"/>
        <w:widowControl/>
        <w:tabs>
          <w:tab w:val="left" w:pos="360"/>
        </w:tabs>
        <w:rPr>
          <w:color w:val="000000" w:themeColor="text1"/>
        </w:rPr>
      </w:pPr>
      <w:r w:rsidRPr="00DB5D0D">
        <w:rPr>
          <w:color w:val="000000" w:themeColor="text1"/>
        </w:rPr>
        <w:t>Определить летно-тактические данные самолета в варианте:</w:t>
      </w:r>
    </w:p>
    <w:p w14:paraId="2D93F4A8" w14:textId="77777777" w:rsidR="00A25AD1" w:rsidRPr="00DB5D0D" w:rsidRDefault="00A25AD1" w:rsidP="00DB5D0D">
      <w:pPr>
        <w:pStyle w:val="24"/>
        <w:widowControl/>
        <w:rPr>
          <w:color w:val="000000" w:themeColor="text1"/>
        </w:rPr>
      </w:pPr>
      <w:r w:rsidRPr="00DB5D0D">
        <w:rPr>
          <w:color w:val="000000" w:themeColor="text1"/>
        </w:rPr>
        <w:t>а) транспортном с внутренней и внешней загрузками;</w:t>
      </w:r>
    </w:p>
    <w:p w14:paraId="201DAEB2" w14:textId="77777777" w:rsidR="00A25AD1" w:rsidRPr="00DB5D0D" w:rsidRDefault="00A25AD1" w:rsidP="00DB5D0D">
      <w:pPr>
        <w:pStyle w:val="24"/>
        <w:widowControl/>
        <w:rPr>
          <w:color w:val="000000" w:themeColor="text1"/>
        </w:rPr>
      </w:pPr>
      <w:r w:rsidRPr="00DB5D0D">
        <w:rPr>
          <w:color w:val="000000" w:themeColor="text1"/>
        </w:rPr>
        <w:t>б) санитарном;</w:t>
      </w:r>
    </w:p>
    <w:p w14:paraId="2DC39817" w14:textId="77777777" w:rsidR="00A25AD1" w:rsidRPr="00DB5D0D" w:rsidRDefault="00A25AD1" w:rsidP="00DB5D0D">
      <w:pPr>
        <w:pStyle w:val="24"/>
        <w:widowControl/>
        <w:rPr>
          <w:color w:val="000000" w:themeColor="text1"/>
        </w:rPr>
      </w:pPr>
      <w:r w:rsidRPr="00DB5D0D">
        <w:rPr>
          <w:color w:val="000000" w:themeColor="text1"/>
        </w:rPr>
        <w:t>в) десантном</w:t>
      </w:r>
    </w:p>
    <w:p w14:paraId="43AE7163" w14:textId="77777777" w:rsidR="00A25AD1" w:rsidRPr="00DB5D0D" w:rsidRDefault="00A25AD1" w:rsidP="00DB5D0D">
      <w:pPr>
        <w:pStyle w:val="24"/>
        <w:widowControl/>
        <w:tabs>
          <w:tab w:val="left" w:pos="360"/>
        </w:tabs>
        <w:rPr>
          <w:color w:val="000000" w:themeColor="text1"/>
        </w:rPr>
      </w:pPr>
      <w:r w:rsidRPr="00DB5D0D">
        <w:rPr>
          <w:color w:val="000000" w:themeColor="text1"/>
        </w:rPr>
        <w:t>Проверить соответствие всех вариантов тактико-техническим требованиям и установить возможность принятия самолета на вооружение ВВС.</w:t>
      </w:r>
    </w:p>
    <w:p w14:paraId="1640C44D" w14:textId="77777777" w:rsidR="00A25AD1" w:rsidRPr="00DB5D0D" w:rsidRDefault="00A25AD1" w:rsidP="00DB5D0D">
      <w:pPr>
        <w:pStyle w:val="24"/>
        <w:widowControl/>
        <w:rPr>
          <w:color w:val="000000" w:themeColor="text1"/>
        </w:rPr>
      </w:pPr>
      <w:r w:rsidRPr="00DB5D0D">
        <w:rPr>
          <w:color w:val="000000" w:themeColor="text1"/>
        </w:rPr>
        <w:t>Пассажирский самолет ПС-84 проходил земные и летные испытания в НИИ ГВФ с 3 сентября по 17 декабря 1939 года с производством 166 полетов продолжительностью 73 часа 45 минут.</w:t>
      </w:r>
    </w:p>
    <w:p w14:paraId="4DB76F93" w14:textId="77777777" w:rsidR="00A25AD1" w:rsidRPr="00DB5D0D" w:rsidRDefault="00A25AD1" w:rsidP="00DB5D0D">
      <w:pPr>
        <w:pStyle w:val="24"/>
        <w:widowControl/>
        <w:rPr>
          <w:color w:val="000000" w:themeColor="text1"/>
        </w:rPr>
      </w:pPr>
      <w:r w:rsidRPr="00DB5D0D">
        <w:rPr>
          <w:color w:val="000000" w:themeColor="text1"/>
        </w:rPr>
        <w:t>Самолет цельнометаллический моноплан с низкорасположенным крылом, оборудован двумя моторами М-62-ИР мощностью 820 л.с. Представленный самолет разнится от пассажирского только внутренним оборудованием пассажирской кабины и вырезом грузовой двери в левом борту.</w:t>
      </w:r>
    </w:p>
    <w:p w14:paraId="11403DAF" w14:textId="77777777" w:rsidR="00A25AD1" w:rsidRPr="00DB5D0D" w:rsidRDefault="00A25AD1" w:rsidP="00DB5D0D">
      <w:pPr>
        <w:pStyle w:val="24"/>
        <w:widowControl/>
        <w:rPr>
          <w:color w:val="000000" w:themeColor="text1"/>
        </w:rPr>
      </w:pPr>
      <w:r w:rsidRPr="00DB5D0D">
        <w:rPr>
          <w:color w:val="000000" w:themeColor="text1"/>
        </w:rPr>
        <w:t>Вооружение на самолете не предусмотрено.</w:t>
      </w:r>
    </w:p>
    <w:p w14:paraId="688B2FE6" w14:textId="77777777" w:rsidR="00A25AD1" w:rsidRPr="00DB5D0D" w:rsidRDefault="00A25AD1" w:rsidP="00DB5D0D">
      <w:pPr>
        <w:pStyle w:val="24"/>
        <w:widowControl/>
        <w:rPr>
          <w:color w:val="000000" w:themeColor="text1"/>
        </w:rPr>
      </w:pPr>
      <w:r w:rsidRPr="00DB5D0D">
        <w:rPr>
          <w:color w:val="000000" w:themeColor="text1"/>
        </w:rPr>
        <w:t>Госиспытания самолета ПС-84 в транспортном, десантном и санитарном вариантах производились в НИИ ВВС с 11 мая по 29 июня 1940 года. Во время испытаний произведено 56 полетов продолжительностью 34 часа 42 минуты.</w:t>
      </w:r>
    </w:p>
    <w:p w14:paraId="3EB975C7" w14:textId="77777777" w:rsidR="00A25AD1" w:rsidRPr="00DB5D0D" w:rsidRDefault="00A25AD1" w:rsidP="00DB5D0D">
      <w:pPr>
        <w:pStyle w:val="24"/>
        <w:widowControl/>
        <w:rPr>
          <w:color w:val="000000" w:themeColor="text1"/>
        </w:rPr>
      </w:pPr>
      <w:r w:rsidRPr="00DB5D0D">
        <w:rPr>
          <w:color w:val="000000" w:themeColor="text1"/>
        </w:rPr>
        <w:t>Заключение</w:t>
      </w:r>
    </w:p>
    <w:p w14:paraId="6BE82A5B" w14:textId="77777777" w:rsidR="00A25AD1" w:rsidRPr="00DB5D0D" w:rsidRDefault="00A25AD1" w:rsidP="00DB5D0D">
      <w:pPr>
        <w:pStyle w:val="24"/>
        <w:widowControl/>
        <w:rPr>
          <w:color w:val="000000" w:themeColor="text1"/>
        </w:rPr>
      </w:pPr>
      <w:r w:rsidRPr="00DB5D0D">
        <w:rPr>
          <w:color w:val="000000" w:themeColor="text1"/>
        </w:rPr>
        <w:t>Самолет ПС-84 в военных вариантах:</w:t>
      </w:r>
    </w:p>
    <w:p w14:paraId="44ADE7CF" w14:textId="77777777" w:rsidR="00A25AD1" w:rsidRPr="00DB5D0D" w:rsidRDefault="00A25AD1" w:rsidP="00DB5D0D">
      <w:pPr>
        <w:pStyle w:val="24"/>
        <w:widowControl/>
        <w:rPr>
          <w:color w:val="000000" w:themeColor="text1"/>
        </w:rPr>
      </w:pPr>
      <w:r w:rsidRPr="00DB5D0D">
        <w:rPr>
          <w:color w:val="000000" w:themeColor="text1"/>
        </w:rPr>
        <w:t>а) транспортном;</w:t>
      </w:r>
    </w:p>
    <w:p w14:paraId="5EA2C8B0" w14:textId="77777777" w:rsidR="00A25AD1" w:rsidRPr="00DB5D0D" w:rsidRDefault="00A25AD1" w:rsidP="00DB5D0D">
      <w:pPr>
        <w:pStyle w:val="24"/>
        <w:widowControl/>
        <w:rPr>
          <w:color w:val="000000" w:themeColor="text1"/>
        </w:rPr>
      </w:pPr>
      <w:r w:rsidRPr="00DB5D0D">
        <w:rPr>
          <w:color w:val="000000" w:themeColor="text1"/>
        </w:rPr>
        <w:t>б) санитарном;</w:t>
      </w:r>
    </w:p>
    <w:p w14:paraId="25F9F5A2" w14:textId="77777777" w:rsidR="00A25AD1" w:rsidRPr="00DB5D0D" w:rsidRDefault="00A25AD1" w:rsidP="00DB5D0D">
      <w:pPr>
        <w:pStyle w:val="24"/>
        <w:widowControl/>
        <w:rPr>
          <w:color w:val="000000" w:themeColor="text1"/>
        </w:rPr>
      </w:pPr>
      <w:r w:rsidRPr="00DB5D0D">
        <w:rPr>
          <w:color w:val="000000" w:themeColor="text1"/>
        </w:rPr>
        <w:t>в) десантном</w:t>
      </w:r>
    </w:p>
    <w:p w14:paraId="01511EB3" w14:textId="77777777" w:rsidR="00A25AD1" w:rsidRPr="00DB5D0D" w:rsidRDefault="00A25AD1" w:rsidP="00DB5D0D">
      <w:pPr>
        <w:pStyle w:val="24"/>
        <w:widowControl/>
        <w:rPr>
          <w:color w:val="000000" w:themeColor="text1"/>
        </w:rPr>
      </w:pPr>
      <w:r w:rsidRPr="00DB5D0D">
        <w:rPr>
          <w:color w:val="000000" w:themeColor="text1"/>
        </w:rPr>
        <w:t>прошел госиспытания удовлетворительно и рекомендуется к принятию на вооружение ВВС.</w:t>
      </w:r>
    </w:p>
    <w:p w14:paraId="20135A26" w14:textId="77777777" w:rsidR="00A25AD1" w:rsidRPr="00DB5D0D" w:rsidRDefault="00A25AD1" w:rsidP="00DB5D0D">
      <w:pPr>
        <w:pStyle w:val="24"/>
        <w:widowControl/>
        <w:rPr>
          <w:color w:val="000000" w:themeColor="text1"/>
        </w:rPr>
      </w:pPr>
      <w:r w:rsidRPr="00DB5D0D">
        <w:rPr>
          <w:color w:val="000000" w:themeColor="text1"/>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5812"/>
        <w:gridCol w:w="1843"/>
      </w:tblGrid>
      <w:tr w:rsidR="007D5DF8" w:rsidRPr="00DB5D0D" w14:paraId="50C22BDD" w14:textId="77777777" w:rsidTr="009223E5">
        <w:tc>
          <w:tcPr>
            <w:tcW w:w="2376" w:type="dxa"/>
          </w:tcPr>
          <w:p w14:paraId="21762239" w14:textId="77777777" w:rsidR="00A25AD1" w:rsidRPr="00DB5D0D" w:rsidRDefault="00A25AD1" w:rsidP="00DB5D0D">
            <w:pPr>
              <w:pStyle w:val="24"/>
              <w:widowControl/>
              <w:rPr>
                <w:color w:val="000000" w:themeColor="text1"/>
              </w:rPr>
            </w:pPr>
            <w:r w:rsidRPr="00DB5D0D">
              <w:rPr>
                <w:color w:val="000000" w:themeColor="text1"/>
              </w:rPr>
              <w:t>Дата</w:t>
            </w:r>
          </w:p>
        </w:tc>
        <w:tc>
          <w:tcPr>
            <w:tcW w:w="5812" w:type="dxa"/>
          </w:tcPr>
          <w:p w14:paraId="4C0BAF73" w14:textId="77777777" w:rsidR="00A25AD1" w:rsidRPr="00DB5D0D" w:rsidRDefault="00A25AD1" w:rsidP="00DB5D0D">
            <w:pPr>
              <w:pStyle w:val="24"/>
              <w:widowControl/>
              <w:rPr>
                <w:color w:val="000000" w:themeColor="text1"/>
              </w:rPr>
            </w:pPr>
            <w:r w:rsidRPr="00DB5D0D">
              <w:rPr>
                <w:color w:val="000000" w:themeColor="text1"/>
              </w:rPr>
              <w:t>Выполняемая работа</w:t>
            </w:r>
          </w:p>
        </w:tc>
        <w:tc>
          <w:tcPr>
            <w:tcW w:w="1843" w:type="dxa"/>
          </w:tcPr>
          <w:p w14:paraId="77569C96" w14:textId="77777777" w:rsidR="00A25AD1" w:rsidRPr="00DB5D0D" w:rsidRDefault="00A25AD1" w:rsidP="00DB5D0D">
            <w:pPr>
              <w:pStyle w:val="24"/>
              <w:widowControl/>
              <w:rPr>
                <w:color w:val="000000" w:themeColor="text1"/>
              </w:rPr>
            </w:pPr>
            <w:r w:rsidRPr="00DB5D0D">
              <w:rPr>
                <w:color w:val="000000" w:themeColor="text1"/>
              </w:rPr>
              <w:t>Продолжительность</w:t>
            </w:r>
          </w:p>
        </w:tc>
      </w:tr>
      <w:tr w:rsidR="007D5DF8" w:rsidRPr="00DB5D0D" w14:paraId="5501907A" w14:textId="77777777" w:rsidTr="009223E5">
        <w:tc>
          <w:tcPr>
            <w:tcW w:w="2376" w:type="dxa"/>
          </w:tcPr>
          <w:p w14:paraId="4419A36A" w14:textId="77777777" w:rsidR="00A25AD1" w:rsidRPr="00DB5D0D" w:rsidRDefault="00A25AD1" w:rsidP="00DB5D0D">
            <w:pPr>
              <w:pStyle w:val="24"/>
              <w:widowControl/>
              <w:rPr>
                <w:color w:val="000000" w:themeColor="text1"/>
              </w:rPr>
            </w:pPr>
            <w:r w:rsidRPr="00DB5D0D">
              <w:rPr>
                <w:color w:val="000000" w:themeColor="text1"/>
              </w:rPr>
              <w:t>10 мая 1940 года</w:t>
            </w:r>
          </w:p>
        </w:tc>
        <w:tc>
          <w:tcPr>
            <w:tcW w:w="5812" w:type="dxa"/>
          </w:tcPr>
          <w:p w14:paraId="269EE317" w14:textId="77777777" w:rsidR="00A25AD1" w:rsidRPr="00DB5D0D" w:rsidRDefault="00A25AD1" w:rsidP="00DB5D0D">
            <w:pPr>
              <w:pStyle w:val="24"/>
              <w:widowControl/>
              <w:rPr>
                <w:color w:val="000000" w:themeColor="text1"/>
              </w:rPr>
            </w:pPr>
            <w:r w:rsidRPr="00DB5D0D">
              <w:rPr>
                <w:color w:val="000000" w:themeColor="text1"/>
              </w:rPr>
              <w:t>Перегонка самолета с завода на аэродром</w:t>
            </w:r>
          </w:p>
        </w:tc>
        <w:tc>
          <w:tcPr>
            <w:tcW w:w="1843" w:type="dxa"/>
          </w:tcPr>
          <w:p w14:paraId="387AAB12" w14:textId="77777777" w:rsidR="00A25AD1" w:rsidRPr="00DB5D0D" w:rsidRDefault="00A25AD1" w:rsidP="00DB5D0D">
            <w:pPr>
              <w:pStyle w:val="24"/>
              <w:widowControl/>
              <w:rPr>
                <w:color w:val="000000" w:themeColor="text1"/>
              </w:rPr>
            </w:pPr>
            <w:r w:rsidRPr="00DB5D0D">
              <w:rPr>
                <w:color w:val="000000" w:themeColor="text1"/>
              </w:rPr>
              <w:t>40 мин.</w:t>
            </w:r>
          </w:p>
        </w:tc>
      </w:tr>
      <w:tr w:rsidR="007D5DF8" w:rsidRPr="00DB5D0D" w14:paraId="5F4BE656" w14:textId="77777777" w:rsidTr="009223E5">
        <w:tc>
          <w:tcPr>
            <w:tcW w:w="2376" w:type="dxa"/>
          </w:tcPr>
          <w:p w14:paraId="38108857" w14:textId="77777777" w:rsidR="00A25AD1" w:rsidRPr="00DB5D0D" w:rsidRDefault="00A25AD1" w:rsidP="00DB5D0D">
            <w:pPr>
              <w:pStyle w:val="24"/>
              <w:widowControl/>
              <w:rPr>
                <w:color w:val="000000" w:themeColor="text1"/>
              </w:rPr>
            </w:pPr>
            <w:r w:rsidRPr="00DB5D0D">
              <w:rPr>
                <w:color w:val="000000" w:themeColor="text1"/>
              </w:rPr>
              <w:t>13 мая 1940 года</w:t>
            </w:r>
          </w:p>
        </w:tc>
        <w:tc>
          <w:tcPr>
            <w:tcW w:w="5812" w:type="dxa"/>
          </w:tcPr>
          <w:p w14:paraId="6D4B3A49" w14:textId="77777777" w:rsidR="00A25AD1" w:rsidRPr="00DB5D0D" w:rsidRDefault="00A25AD1" w:rsidP="00DB5D0D">
            <w:pPr>
              <w:pStyle w:val="24"/>
              <w:widowControl/>
              <w:rPr>
                <w:color w:val="000000" w:themeColor="text1"/>
              </w:rPr>
            </w:pPr>
            <w:r w:rsidRPr="00DB5D0D">
              <w:rPr>
                <w:color w:val="000000" w:themeColor="text1"/>
              </w:rPr>
              <w:t>Тренировка летчика</w:t>
            </w:r>
          </w:p>
        </w:tc>
        <w:tc>
          <w:tcPr>
            <w:tcW w:w="1843" w:type="dxa"/>
          </w:tcPr>
          <w:p w14:paraId="7A07E3B3" w14:textId="77777777" w:rsidR="00A25AD1" w:rsidRPr="00DB5D0D" w:rsidRDefault="00A25AD1" w:rsidP="00DB5D0D">
            <w:pPr>
              <w:pStyle w:val="24"/>
              <w:widowControl/>
              <w:rPr>
                <w:color w:val="000000" w:themeColor="text1"/>
              </w:rPr>
            </w:pPr>
            <w:r w:rsidRPr="00DB5D0D">
              <w:rPr>
                <w:color w:val="000000" w:themeColor="text1"/>
              </w:rPr>
              <w:t>4 полета</w:t>
            </w:r>
          </w:p>
          <w:p w14:paraId="1BB73A7F" w14:textId="77777777" w:rsidR="00A25AD1" w:rsidRPr="00DB5D0D" w:rsidRDefault="00A25AD1" w:rsidP="00DB5D0D">
            <w:pPr>
              <w:pStyle w:val="24"/>
              <w:widowControl/>
              <w:rPr>
                <w:color w:val="000000" w:themeColor="text1"/>
              </w:rPr>
            </w:pPr>
            <w:r w:rsidRPr="00DB5D0D">
              <w:rPr>
                <w:color w:val="000000" w:themeColor="text1"/>
              </w:rPr>
              <w:t>35 мин.</w:t>
            </w:r>
          </w:p>
        </w:tc>
      </w:tr>
      <w:tr w:rsidR="007D5DF8" w:rsidRPr="00DB5D0D" w14:paraId="3269D684" w14:textId="77777777" w:rsidTr="009223E5">
        <w:tc>
          <w:tcPr>
            <w:tcW w:w="2376" w:type="dxa"/>
          </w:tcPr>
          <w:p w14:paraId="7DD06707" w14:textId="77777777" w:rsidR="00A25AD1" w:rsidRPr="00DB5D0D" w:rsidRDefault="00A25AD1" w:rsidP="00DB5D0D">
            <w:pPr>
              <w:pStyle w:val="24"/>
              <w:widowControl/>
              <w:rPr>
                <w:color w:val="000000" w:themeColor="text1"/>
              </w:rPr>
            </w:pPr>
            <w:r w:rsidRPr="00DB5D0D">
              <w:rPr>
                <w:color w:val="000000" w:themeColor="text1"/>
              </w:rPr>
              <w:t>16 мая 1940 года</w:t>
            </w:r>
          </w:p>
        </w:tc>
        <w:tc>
          <w:tcPr>
            <w:tcW w:w="5812" w:type="dxa"/>
          </w:tcPr>
          <w:p w14:paraId="3F0D6610" w14:textId="77777777" w:rsidR="00A25AD1" w:rsidRPr="00DB5D0D" w:rsidRDefault="00A25AD1" w:rsidP="00DB5D0D">
            <w:pPr>
              <w:pStyle w:val="24"/>
              <w:widowControl/>
              <w:rPr>
                <w:color w:val="000000" w:themeColor="text1"/>
              </w:rPr>
            </w:pPr>
            <w:r w:rsidRPr="00DB5D0D">
              <w:rPr>
                <w:color w:val="000000" w:themeColor="text1"/>
              </w:rPr>
              <w:t>Тренировочный полет с грузом</w:t>
            </w:r>
          </w:p>
        </w:tc>
        <w:tc>
          <w:tcPr>
            <w:tcW w:w="1843" w:type="dxa"/>
          </w:tcPr>
          <w:p w14:paraId="00114AA9" w14:textId="77777777" w:rsidR="00A25AD1" w:rsidRPr="00DB5D0D" w:rsidRDefault="00A25AD1" w:rsidP="00DB5D0D">
            <w:pPr>
              <w:pStyle w:val="24"/>
              <w:widowControl/>
              <w:rPr>
                <w:color w:val="000000" w:themeColor="text1"/>
              </w:rPr>
            </w:pPr>
            <w:r w:rsidRPr="00DB5D0D">
              <w:rPr>
                <w:color w:val="000000" w:themeColor="text1"/>
              </w:rPr>
              <w:t>37 мин.</w:t>
            </w:r>
          </w:p>
        </w:tc>
      </w:tr>
      <w:tr w:rsidR="007D5DF8" w:rsidRPr="00DB5D0D" w14:paraId="45614C48" w14:textId="77777777" w:rsidTr="009223E5">
        <w:tc>
          <w:tcPr>
            <w:tcW w:w="2376" w:type="dxa"/>
          </w:tcPr>
          <w:p w14:paraId="2157445F" w14:textId="77777777" w:rsidR="00A25AD1" w:rsidRPr="00DB5D0D" w:rsidRDefault="00A25AD1" w:rsidP="00DB5D0D">
            <w:pPr>
              <w:pStyle w:val="24"/>
              <w:widowControl/>
              <w:rPr>
                <w:color w:val="000000" w:themeColor="text1"/>
              </w:rPr>
            </w:pPr>
            <w:r w:rsidRPr="00DB5D0D">
              <w:rPr>
                <w:color w:val="000000" w:themeColor="text1"/>
              </w:rPr>
              <w:t>19 мая 1940 года</w:t>
            </w:r>
          </w:p>
        </w:tc>
        <w:tc>
          <w:tcPr>
            <w:tcW w:w="5812" w:type="dxa"/>
          </w:tcPr>
          <w:p w14:paraId="2BE6BD64" w14:textId="77777777" w:rsidR="00A25AD1" w:rsidRPr="00DB5D0D" w:rsidRDefault="00A25AD1" w:rsidP="00DB5D0D">
            <w:pPr>
              <w:pStyle w:val="24"/>
              <w:widowControl/>
              <w:rPr>
                <w:color w:val="000000" w:themeColor="text1"/>
              </w:rPr>
            </w:pPr>
            <w:r w:rsidRPr="00DB5D0D">
              <w:rPr>
                <w:color w:val="000000" w:themeColor="text1"/>
              </w:rPr>
              <w:t>Полет в Рязань и обратно</w:t>
            </w:r>
          </w:p>
        </w:tc>
        <w:tc>
          <w:tcPr>
            <w:tcW w:w="1843" w:type="dxa"/>
          </w:tcPr>
          <w:p w14:paraId="4DFC66BD" w14:textId="77777777" w:rsidR="00A25AD1" w:rsidRPr="00DB5D0D" w:rsidRDefault="00A25AD1" w:rsidP="00DB5D0D">
            <w:pPr>
              <w:pStyle w:val="24"/>
              <w:widowControl/>
              <w:rPr>
                <w:color w:val="000000" w:themeColor="text1"/>
              </w:rPr>
            </w:pPr>
            <w:r w:rsidRPr="00DB5D0D">
              <w:rPr>
                <w:color w:val="000000" w:themeColor="text1"/>
              </w:rPr>
              <w:t>2 полета</w:t>
            </w:r>
          </w:p>
          <w:p w14:paraId="66FE5073" w14:textId="77777777" w:rsidR="00A25AD1" w:rsidRPr="00DB5D0D" w:rsidRDefault="00A25AD1" w:rsidP="00DB5D0D">
            <w:pPr>
              <w:pStyle w:val="24"/>
              <w:widowControl/>
              <w:rPr>
                <w:color w:val="000000" w:themeColor="text1"/>
              </w:rPr>
            </w:pPr>
            <w:r w:rsidRPr="00DB5D0D">
              <w:rPr>
                <w:color w:val="000000" w:themeColor="text1"/>
              </w:rPr>
              <w:t>2 часа 10 мин.</w:t>
            </w:r>
          </w:p>
        </w:tc>
      </w:tr>
      <w:tr w:rsidR="007D5DF8" w:rsidRPr="00DB5D0D" w14:paraId="09B8B118" w14:textId="77777777" w:rsidTr="009223E5">
        <w:tc>
          <w:tcPr>
            <w:tcW w:w="2376" w:type="dxa"/>
          </w:tcPr>
          <w:p w14:paraId="40B82D57" w14:textId="77777777" w:rsidR="00A25AD1" w:rsidRPr="00DB5D0D" w:rsidRDefault="00A25AD1" w:rsidP="00DB5D0D">
            <w:pPr>
              <w:pStyle w:val="24"/>
              <w:widowControl/>
              <w:rPr>
                <w:color w:val="000000" w:themeColor="text1"/>
              </w:rPr>
            </w:pPr>
            <w:r w:rsidRPr="00DB5D0D">
              <w:rPr>
                <w:color w:val="000000" w:themeColor="text1"/>
              </w:rPr>
              <w:t>20 мая 1940 года</w:t>
            </w:r>
          </w:p>
        </w:tc>
        <w:tc>
          <w:tcPr>
            <w:tcW w:w="5812" w:type="dxa"/>
          </w:tcPr>
          <w:p w14:paraId="74B02B82" w14:textId="77777777" w:rsidR="00A25AD1" w:rsidRPr="00DB5D0D" w:rsidRDefault="00A25AD1" w:rsidP="00DB5D0D">
            <w:pPr>
              <w:pStyle w:val="24"/>
              <w:widowControl/>
              <w:rPr>
                <w:color w:val="000000" w:themeColor="text1"/>
              </w:rPr>
            </w:pPr>
            <w:r w:rsidRPr="00DB5D0D">
              <w:rPr>
                <w:color w:val="000000" w:themeColor="text1"/>
              </w:rPr>
              <w:t>Полет на определение границы высотности мотора</w:t>
            </w:r>
          </w:p>
        </w:tc>
        <w:tc>
          <w:tcPr>
            <w:tcW w:w="1843" w:type="dxa"/>
          </w:tcPr>
          <w:p w14:paraId="25821051" w14:textId="77777777" w:rsidR="00A25AD1" w:rsidRPr="00DB5D0D" w:rsidRDefault="00A25AD1" w:rsidP="00DB5D0D">
            <w:pPr>
              <w:pStyle w:val="24"/>
              <w:widowControl/>
              <w:rPr>
                <w:color w:val="000000" w:themeColor="text1"/>
              </w:rPr>
            </w:pPr>
            <w:r w:rsidRPr="00DB5D0D">
              <w:rPr>
                <w:color w:val="000000" w:themeColor="text1"/>
              </w:rPr>
              <w:t>1 час. 10 мин.</w:t>
            </w:r>
          </w:p>
        </w:tc>
      </w:tr>
      <w:tr w:rsidR="007D5DF8" w:rsidRPr="00DB5D0D" w14:paraId="590DEC78" w14:textId="77777777" w:rsidTr="009223E5">
        <w:tc>
          <w:tcPr>
            <w:tcW w:w="2376" w:type="dxa"/>
          </w:tcPr>
          <w:p w14:paraId="0D6EAC01" w14:textId="77777777" w:rsidR="00A25AD1" w:rsidRPr="00DB5D0D" w:rsidRDefault="00A25AD1" w:rsidP="00DB5D0D">
            <w:pPr>
              <w:pStyle w:val="24"/>
              <w:widowControl/>
              <w:rPr>
                <w:color w:val="000000" w:themeColor="text1"/>
              </w:rPr>
            </w:pPr>
            <w:r w:rsidRPr="00DB5D0D">
              <w:rPr>
                <w:color w:val="000000" w:themeColor="text1"/>
              </w:rPr>
              <w:t>21 мая 1940 года</w:t>
            </w:r>
          </w:p>
        </w:tc>
        <w:tc>
          <w:tcPr>
            <w:tcW w:w="5812" w:type="dxa"/>
          </w:tcPr>
          <w:p w14:paraId="69C9645F" w14:textId="77777777" w:rsidR="00A25AD1" w:rsidRPr="00DB5D0D" w:rsidRDefault="00A25AD1" w:rsidP="00DB5D0D">
            <w:pPr>
              <w:pStyle w:val="24"/>
              <w:widowControl/>
              <w:rPr>
                <w:color w:val="000000" w:themeColor="text1"/>
              </w:rPr>
            </w:pPr>
            <w:r w:rsidRPr="00DB5D0D">
              <w:rPr>
                <w:color w:val="000000" w:themeColor="text1"/>
              </w:rPr>
              <w:t>Полет на скороподъемность</w:t>
            </w:r>
          </w:p>
        </w:tc>
        <w:tc>
          <w:tcPr>
            <w:tcW w:w="1843" w:type="dxa"/>
          </w:tcPr>
          <w:p w14:paraId="6E1C91B0" w14:textId="77777777" w:rsidR="00A25AD1" w:rsidRPr="00DB5D0D" w:rsidRDefault="00A25AD1" w:rsidP="00DB5D0D">
            <w:pPr>
              <w:pStyle w:val="24"/>
              <w:widowControl/>
              <w:rPr>
                <w:color w:val="000000" w:themeColor="text1"/>
              </w:rPr>
            </w:pPr>
            <w:r w:rsidRPr="00DB5D0D">
              <w:rPr>
                <w:color w:val="000000" w:themeColor="text1"/>
              </w:rPr>
              <w:t>1 час 40 мин.</w:t>
            </w:r>
          </w:p>
        </w:tc>
      </w:tr>
      <w:tr w:rsidR="007D5DF8" w:rsidRPr="00DB5D0D" w14:paraId="4BF40869" w14:textId="77777777" w:rsidTr="009223E5">
        <w:tc>
          <w:tcPr>
            <w:tcW w:w="2376" w:type="dxa"/>
          </w:tcPr>
          <w:p w14:paraId="0635A837" w14:textId="77777777" w:rsidR="00A25AD1" w:rsidRPr="00DB5D0D" w:rsidRDefault="00A25AD1" w:rsidP="00DB5D0D">
            <w:pPr>
              <w:pStyle w:val="24"/>
              <w:widowControl/>
              <w:rPr>
                <w:color w:val="000000" w:themeColor="text1"/>
              </w:rPr>
            </w:pPr>
            <w:r w:rsidRPr="00DB5D0D">
              <w:rPr>
                <w:color w:val="000000" w:themeColor="text1"/>
              </w:rPr>
              <w:lastRenderedPageBreak/>
              <w:t>29 мая 1940 года</w:t>
            </w:r>
          </w:p>
        </w:tc>
        <w:tc>
          <w:tcPr>
            <w:tcW w:w="5812" w:type="dxa"/>
          </w:tcPr>
          <w:p w14:paraId="5382F9AE" w14:textId="77777777" w:rsidR="00A25AD1" w:rsidRPr="00DB5D0D" w:rsidRDefault="00A25AD1" w:rsidP="00DB5D0D">
            <w:pPr>
              <w:pStyle w:val="24"/>
              <w:widowControl/>
              <w:rPr>
                <w:color w:val="000000" w:themeColor="text1"/>
              </w:rPr>
            </w:pPr>
            <w:r w:rsidRPr="00DB5D0D">
              <w:rPr>
                <w:color w:val="000000" w:themeColor="text1"/>
              </w:rPr>
              <w:t>Пробный полет после аварии</w:t>
            </w:r>
          </w:p>
        </w:tc>
        <w:tc>
          <w:tcPr>
            <w:tcW w:w="1843" w:type="dxa"/>
          </w:tcPr>
          <w:p w14:paraId="62B16EC9" w14:textId="77777777" w:rsidR="00A25AD1" w:rsidRPr="00DB5D0D" w:rsidRDefault="00A25AD1" w:rsidP="00DB5D0D">
            <w:pPr>
              <w:pStyle w:val="24"/>
              <w:widowControl/>
              <w:rPr>
                <w:color w:val="000000" w:themeColor="text1"/>
              </w:rPr>
            </w:pPr>
            <w:r w:rsidRPr="00DB5D0D">
              <w:rPr>
                <w:color w:val="000000" w:themeColor="text1"/>
              </w:rPr>
              <w:t>30 мин.</w:t>
            </w:r>
          </w:p>
        </w:tc>
      </w:tr>
      <w:tr w:rsidR="007D5DF8" w:rsidRPr="00DB5D0D" w14:paraId="53E87980" w14:textId="77777777" w:rsidTr="009223E5">
        <w:tc>
          <w:tcPr>
            <w:tcW w:w="2376" w:type="dxa"/>
          </w:tcPr>
          <w:p w14:paraId="6BF3737E" w14:textId="77777777" w:rsidR="00A25AD1" w:rsidRPr="00DB5D0D" w:rsidRDefault="00A25AD1" w:rsidP="00DB5D0D">
            <w:pPr>
              <w:pStyle w:val="24"/>
              <w:widowControl/>
              <w:rPr>
                <w:color w:val="000000" w:themeColor="text1"/>
              </w:rPr>
            </w:pPr>
            <w:r w:rsidRPr="00DB5D0D">
              <w:rPr>
                <w:color w:val="000000" w:themeColor="text1"/>
              </w:rPr>
              <w:t>31 мая 1940 года</w:t>
            </w:r>
          </w:p>
        </w:tc>
        <w:tc>
          <w:tcPr>
            <w:tcW w:w="5812" w:type="dxa"/>
          </w:tcPr>
          <w:p w14:paraId="75A29052" w14:textId="77777777" w:rsidR="00A25AD1" w:rsidRPr="00DB5D0D" w:rsidRDefault="00A25AD1" w:rsidP="00DB5D0D">
            <w:pPr>
              <w:pStyle w:val="24"/>
              <w:widowControl/>
              <w:rPr>
                <w:color w:val="000000" w:themeColor="text1"/>
              </w:rPr>
            </w:pPr>
            <w:r w:rsidRPr="00DB5D0D">
              <w:rPr>
                <w:color w:val="000000" w:themeColor="text1"/>
              </w:rPr>
              <w:t>Полет на Центральный аэродром и обратно</w:t>
            </w:r>
          </w:p>
        </w:tc>
        <w:tc>
          <w:tcPr>
            <w:tcW w:w="1843" w:type="dxa"/>
          </w:tcPr>
          <w:p w14:paraId="78879B30" w14:textId="77777777" w:rsidR="00A25AD1" w:rsidRPr="00DB5D0D" w:rsidRDefault="00A25AD1" w:rsidP="00DB5D0D">
            <w:pPr>
              <w:pStyle w:val="24"/>
              <w:widowControl/>
              <w:rPr>
                <w:color w:val="000000" w:themeColor="text1"/>
              </w:rPr>
            </w:pPr>
            <w:r w:rsidRPr="00DB5D0D">
              <w:rPr>
                <w:color w:val="000000" w:themeColor="text1"/>
              </w:rPr>
              <w:t>2 полета</w:t>
            </w:r>
          </w:p>
          <w:p w14:paraId="055974F4" w14:textId="77777777" w:rsidR="00A25AD1" w:rsidRPr="00DB5D0D" w:rsidRDefault="00A25AD1" w:rsidP="00DB5D0D">
            <w:pPr>
              <w:pStyle w:val="24"/>
              <w:widowControl/>
              <w:rPr>
                <w:color w:val="000000" w:themeColor="text1"/>
              </w:rPr>
            </w:pPr>
            <w:r w:rsidRPr="00DB5D0D">
              <w:rPr>
                <w:color w:val="000000" w:themeColor="text1"/>
              </w:rPr>
              <w:t>40 мин.</w:t>
            </w:r>
          </w:p>
        </w:tc>
      </w:tr>
      <w:tr w:rsidR="007D5DF8" w:rsidRPr="00DB5D0D" w14:paraId="07788ECD" w14:textId="77777777" w:rsidTr="009223E5">
        <w:tc>
          <w:tcPr>
            <w:tcW w:w="2376" w:type="dxa"/>
          </w:tcPr>
          <w:p w14:paraId="1889FA92" w14:textId="77777777" w:rsidR="00A25AD1" w:rsidRPr="00DB5D0D" w:rsidRDefault="00A25AD1" w:rsidP="00DB5D0D">
            <w:pPr>
              <w:pStyle w:val="24"/>
              <w:widowControl/>
              <w:rPr>
                <w:color w:val="000000" w:themeColor="text1"/>
              </w:rPr>
            </w:pPr>
            <w:r w:rsidRPr="00DB5D0D">
              <w:rPr>
                <w:color w:val="000000" w:themeColor="text1"/>
              </w:rPr>
              <w:t>3 июня 1940 года</w:t>
            </w:r>
          </w:p>
        </w:tc>
        <w:tc>
          <w:tcPr>
            <w:tcW w:w="5812" w:type="dxa"/>
          </w:tcPr>
          <w:p w14:paraId="005E6911" w14:textId="77777777" w:rsidR="00A25AD1" w:rsidRPr="00DB5D0D" w:rsidRDefault="00A25AD1" w:rsidP="00DB5D0D">
            <w:pPr>
              <w:pStyle w:val="24"/>
              <w:widowControl/>
              <w:rPr>
                <w:color w:val="000000" w:themeColor="text1"/>
              </w:rPr>
            </w:pPr>
            <w:r w:rsidRPr="00DB5D0D">
              <w:rPr>
                <w:color w:val="000000" w:themeColor="text1"/>
              </w:rPr>
              <w:t>Пробный полет на уборку и выпуск шасси</w:t>
            </w:r>
          </w:p>
        </w:tc>
        <w:tc>
          <w:tcPr>
            <w:tcW w:w="1843" w:type="dxa"/>
          </w:tcPr>
          <w:p w14:paraId="40F1633A" w14:textId="77777777" w:rsidR="00A25AD1" w:rsidRPr="00DB5D0D" w:rsidRDefault="00A25AD1" w:rsidP="00DB5D0D">
            <w:pPr>
              <w:pStyle w:val="24"/>
              <w:widowControl/>
              <w:rPr>
                <w:color w:val="000000" w:themeColor="text1"/>
              </w:rPr>
            </w:pPr>
            <w:r w:rsidRPr="00DB5D0D">
              <w:rPr>
                <w:color w:val="000000" w:themeColor="text1"/>
              </w:rPr>
              <w:t>20 мин.</w:t>
            </w:r>
          </w:p>
        </w:tc>
      </w:tr>
      <w:tr w:rsidR="007D5DF8" w:rsidRPr="00DB5D0D" w14:paraId="5A07D077" w14:textId="77777777" w:rsidTr="009223E5">
        <w:tc>
          <w:tcPr>
            <w:tcW w:w="2376" w:type="dxa"/>
          </w:tcPr>
          <w:p w14:paraId="370B1176" w14:textId="77777777" w:rsidR="00A25AD1" w:rsidRPr="00DB5D0D" w:rsidRDefault="00A25AD1" w:rsidP="00DB5D0D">
            <w:pPr>
              <w:pStyle w:val="24"/>
              <w:widowControl/>
              <w:rPr>
                <w:color w:val="000000" w:themeColor="text1"/>
              </w:rPr>
            </w:pPr>
            <w:r w:rsidRPr="00DB5D0D">
              <w:rPr>
                <w:color w:val="000000" w:themeColor="text1"/>
              </w:rPr>
              <w:t>6 июня 1940 года</w:t>
            </w:r>
          </w:p>
        </w:tc>
        <w:tc>
          <w:tcPr>
            <w:tcW w:w="5812" w:type="dxa"/>
          </w:tcPr>
          <w:p w14:paraId="3EA99E2E" w14:textId="77777777" w:rsidR="00A25AD1" w:rsidRPr="00DB5D0D" w:rsidRDefault="00A25AD1" w:rsidP="00DB5D0D">
            <w:pPr>
              <w:pStyle w:val="24"/>
              <w:widowControl/>
              <w:rPr>
                <w:color w:val="000000" w:themeColor="text1"/>
              </w:rPr>
            </w:pPr>
            <w:r w:rsidRPr="00DB5D0D">
              <w:rPr>
                <w:color w:val="000000" w:themeColor="text1"/>
              </w:rPr>
              <w:t>Растряска ПДББ-100</w:t>
            </w:r>
          </w:p>
        </w:tc>
        <w:tc>
          <w:tcPr>
            <w:tcW w:w="1843" w:type="dxa"/>
          </w:tcPr>
          <w:p w14:paraId="0C261B0A" w14:textId="77777777" w:rsidR="00A25AD1" w:rsidRPr="00DB5D0D" w:rsidRDefault="00A25AD1" w:rsidP="00DB5D0D">
            <w:pPr>
              <w:pStyle w:val="24"/>
              <w:widowControl/>
              <w:rPr>
                <w:color w:val="000000" w:themeColor="text1"/>
              </w:rPr>
            </w:pPr>
            <w:r w:rsidRPr="00DB5D0D">
              <w:rPr>
                <w:color w:val="000000" w:themeColor="text1"/>
              </w:rPr>
              <w:t>3 полета</w:t>
            </w:r>
          </w:p>
          <w:p w14:paraId="2CE7F752" w14:textId="77777777" w:rsidR="00A25AD1" w:rsidRPr="00DB5D0D" w:rsidRDefault="00A25AD1" w:rsidP="00DB5D0D">
            <w:pPr>
              <w:pStyle w:val="24"/>
              <w:widowControl/>
              <w:rPr>
                <w:color w:val="000000" w:themeColor="text1"/>
              </w:rPr>
            </w:pPr>
            <w:r w:rsidRPr="00DB5D0D">
              <w:rPr>
                <w:color w:val="000000" w:themeColor="text1"/>
              </w:rPr>
              <w:t>1 час. 00 мин.</w:t>
            </w:r>
          </w:p>
        </w:tc>
      </w:tr>
      <w:tr w:rsidR="007D5DF8" w:rsidRPr="00DB5D0D" w14:paraId="2334D667" w14:textId="77777777" w:rsidTr="009223E5">
        <w:tc>
          <w:tcPr>
            <w:tcW w:w="2376" w:type="dxa"/>
          </w:tcPr>
          <w:p w14:paraId="78D55099" w14:textId="77777777" w:rsidR="00A25AD1" w:rsidRPr="00DB5D0D" w:rsidRDefault="00A25AD1" w:rsidP="00DB5D0D">
            <w:pPr>
              <w:pStyle w:val="24"/>
              <w:widowControl/>
              <w:rPr>
                <w:color w:val="000000" w:themeColor="text1"/>
              </w:rPr>
            </w:pPr>
            <w:r w:rsidRPr="00DB5D0D">
              <w:rPr>
                <w:color w:val="000000" w:themeColor="text1"/>
              </w:rPr>
              <w:t>6 июня 1940 года</w:t>
            </w:r>
          </w:p>
        </w:tc>
        <w:tc>
          <w:tcPr>
            <w:tcW w:w="5812" w:type="dxa"/>
          </w:tcPr>
          <w:p w14:paraId="2A8208F3" w14:textId="77777777" w:rsidR="00A25AD1" w:rsidRPr="00DB5D0D" w:rsidRDefault="00A25AD1" w:rsidP="00DB5D0D">
            <w:pPr>
              <w:pStyle w:val="24"/>
              <w:widowControl/>
              <w:rPr>
                <w:color w:val="000000" w:themeColor="text1"/>
              </w:rPr>
            </w:pPr>
            <w:r w:rsidRPr="00DB5D0D">
              <w:rPr>
                <w:color w:val="000000" w:themeColor="text1"/>
              </w:rPr>
              <w:t>Скороподъемность и сбрасывание ПДББ-100</w:t>
            </w:r>
          </w:p>
        </w:tc>
        <w:tc>
          <w:tcPr>
            <w:tcW w:w="1843" w:type="dxa"/>
          </w:tcPr>
          <w:p w14:paraId="599E266C" w14:textId="77777777" w:rsidR="00A25AD1" w:rsidRPr="00DB5D0D" w:rsidRDefault="00A25AD1" w:rsidP="00DB5D0D">
            <w:pPr>
              <w:pStyle w:val="24"/>
              <w:widowControl/>
              <w:rPr>
                <w:color w:val="000000" w:themeColor="text1"/>
              </w:rPr>
            </w:pPr>
            <w:r w:rsidRPr="00DB5D0D">
              <w:rPr>
                <w:color w:val="000000" w:themeColor="text1"/>
              </w:rPr>
              <w:t>2 полета 2 час. 05 мин.</w:t>
            </w:r>
          </w:p>
        </w:tc>
      </w:tr>
      <w:tr w:rsidR="007D5DF8" w:rsidRPr="00DB5D0D" w14:paraId="398D8B4F" w14:textId="77777777" w:rsidTr="009223E5">
        <w:tc>
          <w:tcPr>
            <w:tcW w:w="2376" w:type="dxa"/>
          </w:tcPr>
          <w:p w14:paraId="3D11E6BD" w14:textId="77777777" w:rsidR="00A25AD1" w:rsidRPr="00DB5D0D" w:rsidRDefault="00A25AD1" w:rsidP="00DB5D0D">
            <w:pPr>
              <w:pStyle w:val="24"/>
              <w:widowControl/>
              <w:rPr>
                <w:color w:val="000000" w:themeColor="text1"/>
              </w:rPr>
            </w:pPr>
            <w:r w:rsidRPr="00DB5D0D">
              <w:rPr>
                <w:color w:val="000000" w:themeColor="text1"/>
              </w:rPr>
              <w:t>9 июня 1940 года</w:t>
            </w:r>
          </w:p>
        </w:tc>
        <w:tc>
          <w:tcPr>
            <w:tcW w:w="5812" w:type="dxa"/>
          </w:tcPr>
          <w:p w14:paraId="72CDB8C6" w14:textId="77777777" w:rsidR="00A25AD1" w:rsidRPr="00DB5D0D" w:rsidRDefault="00A25AD1" w:rsidP="00DB5D0D">
            <w:pPr>
              <w:pStyle w:val="24"/>
              <w:widowControl/>
              <w:rPr>
                <w:color w:val="000000" w:themeColor="text1"/>
              </w:rPr>
            </w:pPr>
            <w:r w:rsidRPr="00DB5D0D">
              <w:rPr>
                <w:color w:val="000000" w:themeColor="text1"/>
              </w:rPr>
              <w:t>Растряска ПДББ-250</w:t>
            </w:r>
          </w:p>
        </w:tc>
        <w:tc>
          <w:tcPr>
            <w:tcW w:w="1843" w:type="dxa"/>
          </w:tcPr>
          <w:p w14:paraId="59367525" w14:textId="77777777" w:rsidR="00A25AD1" w:rsidRPr="00DB5D0D" w:rsidRDefault="00A25AD1" w:rsidP="00DB5D0D">
            <w:pPr>
              <w:pStyle w:val="24"/>
              <w:widowControl/>
              <w:rPr>
                <w:color w:val="000000" w:themeColor="text1"/>
              </w:rPr>
            </w:pPr>
            <w:r w:rsidRPr="00DB5D0D">
              <w:rPr>
                <w:color w:val="000000" w:themeColor="text1"/>
              </w:rPr>
              <w:t>3 полета</w:t>
            </w:r>
          </w:p>
          <w:p w14:paraId="1938F7F7" w14:textId="77777777" w:rsidR="00A25AD1" w:rsidRPr="00DB5D0D" w:rsidRDefault="00A25AD1" w:rsidP="00DB5D0D">
            <w:pPr>
              <w:pStyle w:val="24"/>
              <w:widowControl/>
              <w:rPr>
                <w:color w:val="000000" w:themeColor="text1"/>
              </w:rPr>
            </w:pPr>
            <w:r w:rsidRPr="00DB5D0D">
              <w:rPr>
                <w:color w:val="000000" w:themeColor="text1"/>
              </w:rPr>
              <w:t>40 мин.</w:t>
            </w:r>
          </w:p>
        </w:tc>
      </w:tr>
      <w:tr w:rsidR="007D5DF8" w:rsidRPr="00DB5D0D" w14:paraId="0B5BB3A9" w14:textId="77777777" w:rsidTr="009223E5">
        <w:tc>
          <w:tcPr>
            <w:tcW w:w="2376" w:type="dxa"/>
          </w:tcPr>
          <w:p w14:paraId="0626219B" w14:textId="77777777" w:rsidR="00A25AD1" w:rsidRPr="00DB5D0D" w:rsidRDefault="00A25AD1" w:rsidP="00DB5D0D">
            <w:pPr>
              <w:pStyle w:val="24"/>
              <w:widowControl/>
              <w:rPr>
                <w:color w:val="000000" w:themeColor="text1"/>
              </w:rPr>
            </w:pPr>
            <w:r w:rsidRPr="00DB5D0D">
              <w:rPr>
                <w:color w:val="000000" w:themeColor="text1"/>
              </w:rPr>
              <w:t>9 июня 1940 года</w:t>
            </w:r>
          </w:p>
        </w:tc>
        <w:tc>
          <w:tcPr>
            <w:tcW w:w="5812" w:type="dxa"/>
          </w:tcPr>
          <w:p w14:paraId="7FE3EADB" w14:textId="77777777" w:rsidR="00A25AD1" w:rsidRPr="00DB5D0D" w:rsidRDefault="00A25AD1" w:rsidP="00DB5D0D">
            <w:pPr>
              <w:pStyle w:val="24"/>
              <w:widowControl/>
              <w:rPr>
                <w:color w:val="000000" w:themeColor="text1"/>
              </w:rPr>
            </w:pPr>
            <w:r w:rsidRPr="00DB5D0D">
              <w:rPr>
                <w:color w:val="000000" w:themeColor="text1"/>
              </w:rPr>
              <w:t>Сбрасывание ПДББ-250</w:t>
            </w:r>
          </w:p>
        </w:tc>
        <w:tc>
          <w:tcPr>
            <w:tcW w:w="1843" w:type="dxa"/>
          </w:tcPr>
          <w:p w14:paraId="65B5D28F" w14:textId="77777777" w:rsidR="00A25AD1" w:rsidRPr="00DB5D0D" w:rsidRDefault="00A25AD1" w:rsidP="00DB5D0D">
            <w:pPr>
              <w:pStyle w:val="24"/>
              <w:widowControl/>
              <w:rPr>
                <w:color w:val="000000" w:themeColor="text1"/>
              </w:rPr>
            </w:pPr>
            <w:r w:rsidRPr="00DB5D0D">
              <w:rPr>
                <w:color w:val="000000" w:themeColor="text1"/>
              </w:rPr>
              <w:t>20 мин.</w:t>
            </w:r>
          </w:p>
        </w:tc>
      </w:tr>
      <w:tr w:rsidR="007D5DF8" w:rsidRPr="00DB5D0D" w14:paraId="560C66B9" w14:textId="77777777" w:rsidTr="009223E5">
        <w:tc>
          <w:tcPr>
            <w:tcW w:w="2376" w:type="dxa"/>
          </w:tcPr>
          <w:p w14:paraId="58080999" w14:textId="77777777" w:rsidR="00A25AD1" w:rsidRPr="00DB5D0D" w:rsidRDefault="00A25AD1" w:rsidP="00DB5D0D">
            <w:pPr>
              <w:pStyle w:val="24"/>
              <w:widowControl/>
              <w:rPr>
                <w:color w:val="000000" w:themeColor="text1"/>
              </w:rPr>
            </w:pPr>
            <w:r w:rsidRPr="00DB5D0D">
              <w:rPr>
                <w:color w:val="000000" w:themeColor="text1"/>
              </w:rPr>
              <w:t>10 июня 1940 года</w:t>
            </w:r>
          </w:p>
        </w:tc>
        <w:tc>
          <w:tcPr>
            <w:tcW w:w="5812" w:type="dxa"/>
          </w:tcPr>
          <w:p w14:paraId="47651D0E" w14:textId="77777777" w:rsidR="00A25AD1" w:rsidRPr="00DB5D0D" w:rsidRDefault="00A25AD1" w:rsidP="00DB5D0D">
            <w:pPr>
              <w:pStyle w:val="24"/>
              <w:widowControl/>
              <w:rPr>
                <w:color w:val="000000" w:themeColor="text1"/>
              </w:rPr>
            </w:pPr>
            <w:r w:rsidRPr="00DB5D0D">
              <w:rPr>
                <w:color w:val="000000" w:themeColor="text1"/>
              </w:rPr>
              <w:t>Определение взлетно-посадочных свойств с подвеской ПДББ-400</w:t>
            </w:r>
          </w:p>
        </w:tc>
        <w:tc>
          <w:tcPr>
            <w:tcW w:w="1843" w:type="dxa"/>
          </w:tcPr>
          <w:p w14:paraId="0D188033" w14:textId="77777777" w:rsidR="00A25AD1" w:rsidRPr="00DB5D0D" w:rsidRDefault="00A25AD1" w:rsidP="00DB5D0D">
            <w:pPr>
              <w:pStyle w:val="24"/>
              <w:widowControl/>
              <w:rPr>
                <w:color w:val="000000" w:themeColor="text1"/>
              </w:rPr>
            </w:pPr>
            <w:r w:rsidRPr="00DB5D0D">
              <w:rPr>
                <w:color w:val="000000" w:themeColor="text1"/>
              </w:rPr>
              <w:t>4 полета</w:t>
            </w:r>
          </w:p>
          <w:p w14:paraId="7FFADD65" w14:textId="77777777" w:rsidR="00A25AD1" w:rsidRPr="00DB5D0D" w:rsidRDefault="00A25AD1" w:rsidP="00DB5D0D">
            <w:pPr>
              <w:pStyle w:val="24"/>
              <w:widowControl/>
              <w:rPr>
                <w:color w:val="000000" w:themeColor="text1"/>
              </w:rPr>
            </w:pPr>
            <w:r w:rsidRPr="00DB5D0D">
              <w:rPr>
                <w:color w:val="000000" w:themeColor="text1"/>
              </w:rPr>
              <w:t>40 мин.</w:t>
            </w:r>
          </w:p>
        </w:tc>
      </w:tr>
      <w:tr w:rsidR="007D5DF8" w:rsidRPr="00DB5D0D" w14:paraId="04401B9B" w14:textId="77777777" w:rsidTr="009223E5">
        <w:tc>
          <w:tcPr>
            <w:tcW w:w="2376" w:type="dxa"/>
          </w:tcPr>
          <w:p w14:paraId="34CDAAF0" w14:textId="77777777" w:rsidR="00A25AD1" w:rsidRPr="00DB5D0D" w:rsidRDefault="00A25AD1" w:rsidP="00DB5D0D">
            <w:pPr>
              <w:pStyle w:val="24"/>
              <w:widowControl/>
              <w:rPr>
                <w:color w:val="000000" w:themeColor="text1"/>
              </w:rPr>
            </w:pPr>
            <w:r w:rsidRPr="00DB5D0D">
              <w:rPr>
                <w:color w:val="000000" w:themeColor="text1"/>
              </w:rPr>
              <w:t>10 июня 1940 года</w:t>
            </w:r>
          </w:p>
        </w:tc>
        <w:tc>
          <w:tcPr>
            <w:tcW w:w="5812" w:type="dxa"/>
          </w:tcPr>
          <w:p w14:paraId="512389F6" w14:textId="77777777" w:rsidR="00A25AD1" w:rsidRPr="00DB5D0D" w:rsidRDefault="00A25AD1" w:rsidP="00DB5D0D">
            <w:pPr>
              <w:pStyle w:val="24"/>
              <w:widowControl/>
              <w:rPr>
                <w:color w:val="000000" w:themeColor="text1"/>
              </w:rPr>
            </w:pPr>
            <w:r w:rsidRPr="00DB5D0D">
              <w:rPr>
                <w:color w:val="000000" w:themeColor="text1"/>
              </w:rPr>
              <w:t>Сбрасывание ПДББ-400</w:t>
            </w:r>
          </w:p>
        </w:tc>
        <w:tc>
          <w:tcPr>
            <w:tcW w:w="1843" w:type="dxa"/>
          </w:tcPr>
          <w:p w14:paraId="5B7074DD" w14:textId="77777777" w:rsidR="00A25AD1" w:rsidRPr="00DB5D0D" w:rsidRDefault="00A25AD1" w:rsidP="00DB5D0D">
            <w:pPr>
              <w:pStyle w:val="24"/>
              <w:widowControl/>
              <w:rPr>
                <w:color w:val="000000" w:themeColor="text1"/>
              </w:rPr>
            </w:pPr>
            <w:r w:rsidRPr="00DB5D0D">
              <w:rPr>
                <w:color w:val="000000" w:themeColor="text1"/>
              </w:rPr>
              <w:t>20 мин.</w:t>
            </w:r>
          </w:p>
        </w:tc>
      </w:tr>
      <w:tr w:rsidR="007D5DF8" w:rsidRPr="00DB5D0D" w14:paraId="2451AA49" w14:textId="77777777" w:rsidTr="009223E5">
        <w:tc>
          <w:tcPr>
            <w:tcW w:w="2376" w:type="dxa"/>
          </w:tcPr>
          <w:p w14:paraId="2A6FAA34" w14:textId="77777777" w:rsidR="00A25AD1" w:rsidRPr="00DB5D0D" w:rsidRDefault="00A25AD1" w:rsidP="00DB5D0D">
            <w:pPr>
              <w:pStyle w:val="24"/>
              <w:widowControl/>
              <w:rPr>
                <w:color w:val="000000" w:themeColor="text1"/>
              </w:rPr>
            </w:pPr>
            <w:r w:rsidRPr="00DB5D0D">
              <w:rPr>
                <w:color w:val="000000" w:themeColor="text1"/>
              </w:rPr>
              <w:t>10 июня 1940 года</w:t>
            </w:r>
          </w:p>
        </w:tc>
        <w:tc>
          <w:tcPr>
            <w:tcW w:w="5812" w:type="dxa"/>
          </w:tcPr>
          <w:p w14:paraId="18E15CC4" w14:textId="77777777" w:rsidR="00A25AD1" w:rsidRPr="00DB5D0D" w:rsidRDefault="00A25AD1" w:rsidP="00DB5D0D">
            <w:pPr>
              <w:pStyle w:val="24"/>
              <w:widowControl/>
              <w:rPr>
                <w:color w:val="000000" w:themeColor="text1"/>
              </w:rPr>
            </w:pPr>
            <w:r w:rsidRPr="00DB5D0D">
              <w:rPr>
                <w:color w:val="000000" w:themeColor="text1"/>
              </w:rPr>
              <w:t>Растряска П-45</w:t>
            </w:r>
          </w:p>
        </w:tc>
        <w:tc>
          <w:tcPr>
            <w:tcW w:w="1843" w:type="dxa"/>
          </w:tcPr>
          <w:p w14:paraId="18B096CF" w14:textId="77777777" w:rsidR="00A25AD1" w:rsidRPr="00DB5D0D" w:rsidRDefault="00A25AD1" w:rsidP="00DB5D0D">
            <w:pPr>
              <w:pStyle w:val="24"/>
              <w:widowControl/>
              <w:rPr>
                <w:color w:val="000000" w:themeColor="text1"/>
              </w:rPr>
            </w:pPr>
            <w:r w:rsidRPr="00DB5D0D">
              <w:rPr>
                <w:color w:val="000000" w:themeColor="text1"/>
              </w:rPr>
              <w:t>2 полета</w:t>
            </w:r>
          </w:p>
          <w:p w14:paraId="4996413D" w14:textId="77777777" w:rsidR="00A25AD1" w:rsidRPr="00DB5D0D" w:rsidRDefault="00A25AD1" w:rsidP="00DB5D0D">
            <w:pPr>
              <w:pStyle w:val="24"/>
              <w:widowControl/>
              <w:rPr>
                <w:color w:val="000000" w:themeColor="text1"/>
              </w:rPr>
            </w:pPr>
            <w:r w:rsidRPr="00DB5D0D">
              <w:rPr>
                <w:color w:val="000000" w:themeColor="text1"/>
              </w:rPr>
              <w:t>20 мин.</w:t>
            </w:r>
          </w:p>
        </w:tc>
      </w:tr>
      <w:tr w:rsidR="007D5DF8" w:rsidRPr="00DB5D0D" w14:paraId="64802ECF" w14:textId="77777777" w:rsidTr="009223E5">
        <w:tc>
          <w:tcPr>
            <w:tcW w:w="2376" w:type="dxa"/>
          </w:tcPr>
          <w:p w14:paraId="6BFE8649" w14:textId="77777777" w:rsidR="00A25AD1" w:rsidRPr="00DB5D0D" w:rsidRDefault="00A25AD1" w:rsidP="00DB5D0D">
            <w:pPr>
              <w:pStyle w:val="24"/>
              <w:widowControl/>
              <w:rPr>
                <w:color w:val="000000" w:themeColor="text1"/>
              </w:rPr>
            </w:pPr>
            <w:r w:rsidRPr="00DB5D0D">
              <w:rPr>
                <w:color w:val="000000" w:themeColor="text1"/>
              </w:rPr>
              <w:t>10 июня 1940 года</w:t>
            </w:r>
          </w:p>
        </w:tc>
        <w:tc>
          <w:tcPr>
            <w:tcW w:w="5812" w:type="dxa"/>
          </w:tcPr>
          <w:p w14:paraId="1E72A192" w14:textId="77777777" w:rsidR="00A25AD1" w:rsidRPr="00DB5D0D" w:rsidRDefault="00A25AD1" w:rsidP="00DB5D0D">
            <w:pPr>
              <w:pStyle w:val="24"/>
              <w:widowControl/>
              <w:rPr>
                <w:color w:val="000000" w:themeColor="text1"/>
              </w:rPr>
            </w:pPr>
            <w:r w:rsidRPr="00DB5D0D">
              <w:rPr>
                <w:color w:val="000000" w:themeColor="text1"/>
              </w:rPr>
              <w:t>Загрузка П-76 и растряска</w:t>
            </w:r>
          </w:p>
        </w:tc>
        <w:tc>
          <w:tcPr>
            <w:tcW w:w="1843" w:type="dxa"/>
          </w:tcPr>
          <w:p w14:paraId="2EAD2C0A" w14:textId="77777777" w:rsidR="00A25AD1" w:rsidRPr="00DB5D0D" w:rsidRDefault="00A25AD1" w:rsidP="00DB5D0D">
            <w:pPr>
              <w:pStyle w:val="24"/>
              <w:widowControl/>
              <w:rPr>
                <w:color w:val="000000" w:themeColor="text1"/>
              </w:rPr>
            </w:pPr>
            <w:r w:rsidRPr="00DB5D0D">
              <w:rPr>
                <w:color w:val="000000" w:themeColor="text1"/>
              </w:rPr>
              <w:t>2 полета</w:t>
            </w:r>
          </w:p>
          <w:p w14:paraId="447F58D8" w14:textId="77777777" w:rsidR="00A25AD1" w:rsidRPr="00DB5D0D" w:rsidRDefault="00A25AD1" w:rsidP="00DB5D0D">
            <w:pPr>
              <w:pStyle w:val="24"/>
              <w:widowControl/>
              <w:rPr>
                <w:color w:val="000000" w:themeColor="text1"/>
              </w:rPr>
            </w:pPr>
            <w:r w:rsidRPr="00DB5D0D">
              <w:rPr>
                <w:color w:val="000000" w:themeColor="text1"/>
              </w:rPr>
              <w:t>25 мин.</w:t>
            </w:r>
          </w:p>
        </w:tc>
      </w:tr>
      <w:tr w:rsidR="007D5DF8" w:rsidRPr="00DB5D0D" w14:paraId="553AB4D0" w14:textId="77777777" w:rsidTr="009223E5">
        <w:tc>
          <w:tcPr>
            <w:tcW w:w="2376" w:type="dxa"/>
          </w:tcPr>
          <w:p w14:paraId="24909AF6" w14:textId="77777777" w:rsidR="00A25AD1" w:rsidRPr="00DB5D0D" w:rsidRDefault="00A25AD1" w:rsidP="00DB5D0D">
            <w:pPr>
              <w:pStyle w:val="24"/>
              <w:widowControl/>
              <w:rPr>
                <w:color w:val="000000" w:themeColor="text1"/>
              </w:rPr>
            </w:pPr>
            <w:r w:rsidRPr="00DB5D0D">
              <w:rPr>
                <w:color w:val="000000" w:themeColor="text1"/>
              </w:rPr>
              <w:t>11 июня 1940 года</w:t>
            </w:r>
          </w:p>
        </w:tc>
        <w:tc>
          <w:tcPr>
            <w:tcW w:w="5812" w:type="dxa"/>
          </w:tcPr>
          <w:p w14:paraId="5A958816" w14:textId="77777777" w:rsidR="00A25AD1" w:rsidRPr="00DB5D0D" w:rsidRDefault="00A25AD1" w:rsidP="00DB5D0D">
            <w:pPr>
              <w:pStyle w:val="24"/>
              <w:widowControl/>
              <w:rPr>
                <w:color w:val="000000" w:themeColor="text1"/>
              </w:rPr>
            </w:pPr>
            <w:r w:rsidRPr="00DB5D0D">
              <w:rPr>
                <w:color w:val="000000" w:themeColor="text1"/>
              </w:rPr>
              <w:t>Километраж</w:t>
            </w:r>
          </w:p>
        </w:tc>
        <w:tc>
          <w:tcPr>
            <w:tcW w:w="1843" w:type="dxa"/>
          </w:tcPr>
          <w:p w14:paraId="3592A117" w14:textId="77777777" w:rsidR="00A25AD1" w:rsidRPr="00DB5D0D" w:rsidRDefault="00A25AD1" w:rsidP="00DB5D0D">
            <w:pPr>
              <w:pStyle w:val="24"/>
              <w:widowControl/>
              <w:rPr>
                <w:color w:val="000000" w:themeColor="text1"/>
              </w:rPr>
            </w:pPr>
            <w:r w:rsidRPr="00DB5D0D">
              <w:rPr>
                <w:color w:val="000000" w:themeColor="text1"/>
              </w:rPr>
              <w:t>1 час. 10 мин.</w:t>
            </w:r>
          </w:p>
        </w:tc>
      </w:tr>
      <w:tr w:rsidR="007D5DF8" w:rsidRPr="00DB5D0D" w14:paraId="75DDD9BD" w14:textId="77777777" w:rsidTr="009223E5">
        <w:tc>
          <w:tcPr>
            <w:tcW w:w="2376" w:type="dxa"/>
          </w:tcPr>
          <w:p w14:paraId="48377803" w14:textId="77777777" w:rsidR="00A25AD1" w:rsidRPr="00DB5D0D" w:rsidRDefault="00A25AD1" w:rsidP="00DB5D0D">
            <w:pPr>
              <w:pStyle w:val="24"/>
              <w:widowControl/>
              <w:rPr>
                <w:color w:val="000000" w:themeColor="text1"/>
              </w:rPr>
            </w:pPr>
            <w:r w:rsidRPr="00DB5D0D">
              <w:rPr>
                <w:color w:val="000000" w:themeColor="text1"/>
              </w:rPr>
              <w:t>11 июня 1940 года</w:t>
            </w:r>
          </w:p>
        </w:tc>
        <w:tc>
          <w:tcPr>
            <w:tcW w:w="5812" w:type="dxa"/>
          </w:tcPr>
          <w:p w14:paraId="1303ECE0" w14:textId="77777777" w:rsidR="00A25AD1" w:rsidRPr="00DB5D0D" w:rsidRDefault="00A25AD1" w:rsidP="00DB5D0D">
            <w:pPr>
              <w:pStyle w:val="24"/>
              <w:widowControl/>
              <w:rPr>
                <w:color w:val="000000" w:themeColor="text1"/>
              </w:rPr>
            </w:pPr>
            <w:r w:rsidRPr="00DB5D0D">
              <w:rPr>
                <w:color w:val="000000" w:themeColor="text1"/>
              </w:rPr>
              <w:t>Определение взлетно-посадочных свойств</w:t>
            </w:r>
          </w:p>
        </w:tc>
        <w:tc>
          <w:tcPr>
            <w:tcW w:w="1843" w:type="dxa"/>
          </w:tcPr>
          <w:p w14:paraId="18A3026D" w14:textId="77777777" w:rsidR="00A25AD1" w:rsidRPr="00DB5D0D" w:rsidRDefault="00A25AD1" w:rsidP="00DB5D0D">
            <w:pPr>
              <w:pStyle w:val="24"/>
              <w:widowControl/>
              <w:rPr>
                <w:color w:val="000000" w:themeColor="text1"/>
              </w:rPr>
            </w:pPr>
            <w:r w:rsidRPr="00DB5D0D">
              <w:rPr>
                <w:color w:val="000000" w:themeColor="text1"/>
              </w:rPr>
              <w:t>5 полетов</w:t>
            </w:r>
          </w:p>
          <w:p w14:paraId="40A0DA27" w14:textId="77777777" w:rsidR="00A25AD1" w:rsidRPr="00DB5D0D" w:rsidRDefault="00A25AD1" w:rsidP="00DB5D0D">
            <w:pPr>
              <w:pStyle w:val="24"/>
              <w:widowControl/>
              <w:rPr>
                <w:color w:val="000000" w:themeColor="text1"/>
              </w:rPr>
            </w:pPr>
            <w:r w:rsidRPr="00DB5D0D">
              <w:rPr>
                <w:color w:val="000000" w:themeColor="text1"/>
              </w:rPr>
              <w:t>55 мин.</w:t>
            </w:r>
          </w:p>
        </w:tc>
      </w:tr>
      <w:tr w:rsidR="007D5DF8" w:rsidRPr="00DB5D0D" w14:paraId="2F2804E1" w14:textId="77777777" w:rsidTr="009223E5">
        <w:tc>
          <w:tcPr>
            <w:tcW w:w="2376" w:type="dxa"/>
          </w:tcPr>
          <w:p w14:paraId="5AF7241D" w14:textId="77777777" w:rsidR="00A25AD1" w:rsidRPr="00DB5D0D" w:rsidRDefault="00A25AD1" w:rsidP="00DB5D0D">
            <w:pPr>
              <w:pStyle w:val="24"/>
              <w:widowControl/>
              <w:rPr>
                <w:color w:val="000000" w:themeColor="text1"/>
              </w:rPr>
            </w:pPr>
            <w:r w:rsidRPr="00DB5D0D">
              <w:rPr>
                <w:color w:val="000000" w:themeColor="text1"/>
              </w:rPr>
              <w:t>13 июня 1940 года</w:t>
            </w:r>
          </w:p>
        </w:tc>
        <w:tc>
          <w:tcPr>
            <w:tcW w:w="5812" w:type="dxa"/>
          </w:tcPr>
          <w:p w14:paraId="5631617F" w14:textId="77777777" w:rsidR="00A25AD1" w:rsidRPr="00DB5D0D" w:rsidRDefault="00A25AD1" w:rsidP="00DB5D0D">
            <w:pPr>
              <w:pStyle w:val="24"/>
              <w:widowControl/>
              <w:rPr>
                <w:color w:val="000000" w:themeColor="text1"/>
              </w:rPr>
            </w:pPr>
            <w:r w:rsidRPr="00DB5D0D">
              <w:rPr>
                <w:color w:val="000000" w:themeColor="text1"/>
              </w:rPr>
              <w:t>Выпрыгивание инструкторов</w:t>
            </w:r>
          </w:p>
        </w:tc>
        <w:tc>
          <w:tcPr>
            <w:tcW w:w="1843" w:type="dxa"/>
          </w:tcPr>
          <w:p w14:paraId="3F7633BB" w14:textId="77777777" w:rsidR="00A25AD1" w:rsidRPr="00DB5D0D" w:rsidRDefault="00A25AD1" w:rsidP="00DB5D0D">
            <w:pPr>
              <w:pStyle w:val="24"/>
              <w:widowControl/>
              <w:rPr>
                <w:color w:val="000000" w:themeColor="text1"/>
              </w:rPr>
            </w:pPr>
            <w:r w:rsidRPr="00DB5D0D">
              <w:rPr>
                <w:color w:val="000000" w:themeColor="text1"/>
              </w:rPr>
              <w:t>2 полета</w:t>
            </w:r>
          </w:p>
          <w:p w14:paraId="34AB6AAB" w14:textId="77777777" w:rsidR="00A25AD1" w:rsidRPr="00DB5D0D" w:rsidRDefault="00A25AD1" w:rsidP="00DB5D0D">
            <w:pPr>
              <w:pStyle w:val="24"/>
              <w:widowControl/>
              <w:rPr>
                <w:color w:val="000000" w:themeColor="text1"/>
              </w:rPr>
            </w:pPr>
            <w:r w:rsidRPr="00DB5D0D">
              <w:rPr>
                <w:color w:val="000000" w:themeColor="text1"/>
              </w:rPr>
              <w:t>1 час. 20 мин.</w:t>
            </w:r>
          </w:p>
        </w:tc>
      </w:tr>
      <w:tr w:rsidR="007D5DF8" w:rsidRPr="00DB5D0D" w14:paraId="54DD1985" w14:textId="77777777" w:rsidTr="009223E5">
        <w:tc>
          <w:tcPr>
            <w:tcW w:w="2376" w:type="dxa"/>
          </w:tcPr>
          <w:p w14:paraId="2D4FEEA7" w14:textId="77777777" w:rsidR="00A25AD1" w:rsidRPr="00DB5D0D" w:rsidRDefault="00A25AD1" w:rsidP="00DB5D0D">
            <w:pPr>
              <w:pStyle w:val="24"/>
              <w:widowControl/>
              <w:rPr>
                <w:color w:val="000000" w:themeColor="text1"/>
              </w:rPr>
            </w:pPr>
            <w:r w:rsidRPr="00DB5D0D">
              <w:rPr>
                <w:color w:val="000000" w:themeColor="text1"/>
              </w:rPr>
              <w:t>17 июня 1940 года</w:t>
            </w:r>
          </w:p>
        </w:tc>
        <w:tc>
          <w:tcPr>
            <w:tcW w:w="5812" w:type="dxa"/>
          </w:tcPr>
          <w:p w14:paraId="6E833802" w14:textId="77777777" w:rsidR="00A25AD1" w:rsidRPr="00DB5D0D" w:rsidRDefault="00A25AD1" w:rsidP="00DB5D0D">
            <w:pPr>
              <w:pStyle w:val="24"/>
              <w:widowControl/>
              <w:rPr>
                <w:color w:val="000000" w:themeColor="text1"/>
              </w:rPr>
            </w:pPr>
            <w:r w:rsidRPr="00DB5D0D">
              <w:rPr>
                <w:color w:val="000000" w:themeColor="text1"/>
              </w:rPr>
              <w:t>Перелет в д. Реблицы ЛВО</w:t>
            </w:r>
          </w:p>
        </w:tc>
        <w:tc>
          <w:tcPr>
            <w:tcW w:w="1843" w:type="dxa"/>
          </w:tcPr>
          <w:p w14:paraId="3B089F89" w14:textId="77777777" w:rsidR="00A25AD1" w:rsidRPr="00DB5D0D" w:rsidRDefault="00A25AD1" w:rsidP="00DB5D0D">
            <w:pPr>
              <w:pStyle w:val="24"/>
              <w:widowControl/>
              <w:rPr>
                <w:color w:val="000000" w:themeColor="text1"/>
              </w:rPr>
            </w:pPr>
            <w:r w:rsidRPr="00DB5D0D">
              <w:rPr>
                <w:color w:val="000000" w:themeColor="text1"/>
              </w:rPr>
              <w:t>2 час. 30 мин.</w:t>
            </w:r>
          </w:p>
        </w:tc>
      </w:tr>
      <w:tr w:rsidR="007D5DF8" w:rsidRPr="00DB5D0D" w14:paraId="77E2BB45" w14:textId="77777777" w:rsidTr="009223E5">
        <w:tc>
          <w:tcPr>
            <w:tcW w:w="2376" w:type="dxa"/>
          </w:tcPr>
          <w:p w14:paraId="4128D97C" w14:textId="77777777" w:rsidR="00A25AD1" w:rsidRPr="00DB5D0D" w:rsidRDefault="00A25AD1" w:rsidP="00DB5D0D">
            <w:pPr>
              <w:pStyle w:val="24"/>
              <w:widowControl/>
              <w:rPr>
                <w:color w:val="000000" w:themeColor="text1"/>
              </w:rPr>
            </w:pPr>
            <w:r w:rsidRPr="00DB5D0D">
              <w:rPr>
                <w:color w:val="000000" w:themeColor="text1"/>
              </w:rPr>
              <w:t>17 июня 1940 года</w:t>
            </w:r>
          </w:p>
        </w:tc>
        <w:tc>
          <w:tcPr>
            <w:tcW w:w="5812" w:type="dxa"/>
          </w:tcPr>
          <w:p w14:paraId="572C3F8A" w14:textId="77777777" w:rsidR="00A25AD1" w:rsidRPr="00DB5D0D" w:rsidRDefault="00A25AD1" w:rsidP="00DB5D0D">
            <w:pPr>
              <w:pStyle w:val="24"/>
              <w:widowControl/>
              <w:rPr>
                <w:color w:val="000000" w:themeColor="text1"/>
              </w:rPr>
            </w:pPr>
            <w:r w:rsidRPr="00DB5D0D">
              <w:rPr>
                <w:color w:val="000000" w:themeColor="text1"/>
              </w:rPr>
              <w:t>Сбрасывание десанта</w:t>
            </w:r>
          </w:p>
        </w:tc>
        <w:tc>
          <w:tcPr>
            <w:tcW w:w="1843" w:type="dxa"/>
          </w:tcPr>
          <w:p w14:paraId="578E74A3" w14:textId="77777777" w:rsidR="00A25AD1" w:rsidRPr="00DB5D0D" w:rsidRDefault="00A25AD1" w:rsidP="00DB5D0D">
            <w:pPr>
              <w:pStyle w:val="24"/>
              <w:widowControl/>
              <w:rPr>
                <w:color w:val="000000" w:themeColor="text1"/>
              </w:rPr>
            </w:pPr>
            <w:r w:rsidRPr="00DB5D0D">
              <w:rPr>
                <w:color w:val="000000" w:themeColor="text1"/>
              </w:rPr>
              <w:t>2 полета</w:t>
            </w:r>
          </w:p>
          <w:p w14:paraId="0F1D7373" w14:textId="77777777" w:rsidR="00A25AD1" w:rsidRPr="00DB5D0D" w:rsidRDefault="00A25AD1" w:rsidP="00DB5D0D">
            <w:pPr>
              <w:pStyle w:val="24"/>
              <w:widowControl/>
              <w:rPr>
                <w:color w:val="000000" w:themeColor="text1"/>
              </w:rPr>
            </w:pPr>
            <w:r w:rsidRPr="00DB5D0D">
              <w:rPr>
                <w:color w:val="000000" w:themeColor="text1"/>
              </w:rPr>
              <w:t>50 мин.</w:t>
            </w:r>
          </w:p>
        </w:tc>
      </w:tr>
      <w:tr w:rsidR="007D5DF8" w:rsidRPr="00DB5D0D" w14:paraId="2F543E31" w14:textId="77777777" w:rsidTr="009223E5">
        <w:tc>
          <w:tcPr>
            <w:tcW w:w="2376" w:type="dxa"/>
          </w:tcPr>
          <w:p w14:paraId="5037449F" w14:textId="77777777" w:rsidR="00A25AD1" w:rsidRPr="00DB5D0D" w:rsidRDefault="00A25AD1" w:rsidP="00DB5D0D">
            <w:pPr>
              <w:pStyle w:val="24"/>
              <w:widowControl/>
              <w:rPr>
                <w:color w:val="000000" w:themeColor="text1"/>
              </w:rPr>
            </w:pPr>
            <w:r w:rsidRPr="00DB5D0D">
              <w:rPr>
                <w:color w:val="000000" w:themeColor="text1"/>
              </w:rPr>
              <w:t>18 июня 1940 года</w:t>
            </w:r>
          </w:p>
        </w:tc>
        <w:tc>
          <w:tcPr>
            <w:tcW w:w="5812" w:type="dxa"/>
          </w:tcPr>
          <w:p w14:paraId="735059A8" w14:textId="77777777" w:rsidR="00A25AD1" w:rsidRPr="00DB5D0D" w:rsidRDefault="00A25AD1" w:rsidP="00DB5D0D">
            <w:pPr>
              <w:pStyle w:val="24"/>
              <w:widowControl/>
              <w:rPr>
                <w:color w:val="000000" w:themeColor="text1"/>
              </w:rPr>
            </w:pPr>
            <w:r w:rsidRPr="00DB5D0D">
              <w:rPr>
                <w:color w:val="000000" w:themeColor="text1"/>
              </w:rPr>
              <w:t>Сбрасывание десанта</w:t>
            </w:r>
          </w:p>
        </w:tc>
        <w:tc>
          <w:tcPr>
            <w:tcW w:w="1843" w:type="dxa"/>
          </w:tcPr>
          <w:p w14:paraId="6C8C7053" w14:textId="77777777" w:rsidR="00A25AD1" w:rsidRPr="00DB5D0D" w:rsidRDefault="00A25AD1" w:rsidP="00DB5D0D">
            <w:pPr>
              <w:pStyle w:val="24"/>
              <w:widowControl/>
              <w:rPr>
                <w:color w:val="000000" w:themeColor="text1"/>
              </w:rPr>
            </w:pPr>
            <w:r w:rsidRPr="00DB5D0D">
              <w:rPr>
                <w:color w:val="000000" w:themeColor="text1"/>
              </w:rPr>
              <w:t>5 полетов</w:t>
            </w:r>
          </w:p>
          <w:p w14:paraId="62BE0860" w14:textId="77777777" w:rsidR="00A25AD1" w:rsidRPr="00DB5D0D" w:rsidRDefault="00A25AD1" w:rsidP="00DB5D0D">
            <w:pPr>
              <w:pStyle w:val="24"/>
              <w:widowControl/>
              <w:rPr>
                <w:color w:val="000000" w:themeColor="text1"/>
              </w:rPr>
            </w:pPr>
            <w:r w:rsidRPr="00DB5D0D">
              <w:rPr>
                <w:color w:val="000000" w:themeColor="text1"/>
              </w:rPr>
              <w:t>1 час. 20 мин.</w:t>
            </w:r>
          </w:p>
        </w:tc>
      </w:tr>
      <w:tr w:rsidR="007D5DF8" w:rsidRPr="00DB5D0D" w14:paraId="06C9F290" w14:textId="77777777" w:rsidTr="009223E5">
        <w:tc>
          <w:tcPr>
            <w:tcW w:w="2376" w:type="dxa"/>
          </w:tcPr>
          <w:p w14:paraId="4DE2A62E" w14:textId="77777777" w:rsidR="00A25AD1" w:rsidRPr="00DB5D0D" w:rsidRDefault="00A25AD1" w:rsidP="00DB5D0D">
            <w:pPr>
              <w:pStyle w:val="24"/>
              <w:widowControl/>
              <w:rPr>
                <w:color w:val="000000" w:themeColor="text1"/>
              </w:rPr>
            </w:pPr>
            <w:r w:rsidRPr="00DB5D0D">
              <w:rPr>
                <w:color w:val="000000" w:themeColor="text1"/>
              </w:rPr>
              <w:t>18 июня 1940 года</w:t>
            </w:r>
          </w:p>
        </w:tc>
        <w:tc>
          <w:tcPr>
            <w:tcW w:w="5812" w:type="dxa"/>
          </w:tcPr>
          <w:p w14:paraId="0B0E1E63" w14:textId="77777777" w:rsidR="00A25AD1" w:rsidRPr="00DB5D0D" w:rsidRDefault="00A25AD1" w:rsidP="00DB5D0D">
            <w:pPr>
              <w:pStyle w:val="24"/>
              <w:widowControl/>
              <w:rPr>
                <w:color w:val="000000" w:themeColor="text1"/>
              </w:rPr>
            </w:pPr>
            <w:r w:rsidRPr="00DB5D0D">
              <w:rPr>
                <w:color w:val="000000" w:themeColor="text1"/>
              </w:rPr>
              <w:t>Перелет Реблицы-Сольцы для зарядки горючим</w:t>
            </w:r>
          </w:p>
        </w:tc>
        <w:tc>
          <w:tcPr>
            <w:tcW w:w="1843" w:type="dxa"/>
          </w:tcPr>
          <w:p w14:paraId="37B0701E" w14:textId="77777777" w:rsidR="00A25AD1" w:rsidRPr="00DB5D0D" w:rsidRDefault="00A25AD1" w:rsidP="00DB5D0D">
            <w:pPr>
              <w:pStyle w:val="24"/>
              <w:widowControl/>
              <w:rPr>
                <w:color w:val="000000" w:themeColor="text1"/>
              </w:rPr>
            </w:pPr>
            <w:r w:rsidRPr="00DB5D0D">
              <w:rPr>
                <w:color w:val="000000" w:themeColor="text1"/>
              </w:rPr>
              <w:t>10 мин.</w:t>
            </w:r>
          </w:p>
        </w:tc>
      </w:tr>
      <w:tr w:rsidR="007D5DF8" w:rsidRPr="00DB5D0D" w14:paraId="78F076C6" w14:textId="77777777" w:rsidTr="009223E5">
        <w:tc>
          <w:tcPr>
            <w:tcW w:w="2376" w:type="dxa"/>
          </w:tcPr>
          <w:p w14:paraId="0C6B329E" w14:textId="77777777" w:rsidR="00A25AD1" w:rsidRPr="00DB5D0D" w:rsidRDefault="00A25AD1" w:rsidP="00DB5D0D">
            <w:pPr>
              <w:pStyle w:val="24"/>
              <w:widowControl/>
              <w:rPr>
                <w:color w:val="000000" w:themeColor="text1"/>
              </w:rPr>
            </w:pPr>
            <w:r w:rsidRPr="00DB5D0D">
              <w:rPr>
                <w:color w:val="000000" w:themeColor="text1"/>
              </w:rPr>
              <w:t>18 июня 1940 года</w:t>
            </w:r>
          </w:p>
        </w:tc>
        <w:tc>
          <w:tcPr>
            <w:tcW w:w="5812" w:type="dxa"/>
          </w:tcPr>
          <w:p w14:paraId="078182A3" w14:textId="77777777" w:rsidR="00A25AD1" w:rsidRPr="00DB5D0D" w:rsidRDefault="00A25AD1" w:rsidP="00DB5D0D">
            <w:pPr>
              <w:pStyle w:val="24"/>
              <w:widowControl/>
              <w:rPr>
                <w:color w:val="000000" w:themeColor="text1"/>
              </w:rPr>
            </w:pPr>
            <w:r w:rsidRPr="00DB5D0D">
              <w:rPr>
                <w:color w:val="000000" w:themeColor="text1"/>
              </w:rPr>
              <w:t>Перелет Сольцы-Чкаловская</w:t>
            </w:r>
          </w:p>
        </w:tc>
        <w:tc>
          <w:tcPr>
            <w:tcW w:w="1843" w:type="dxa"/>
          </w:tcPr>
          <w:p w14:paraId="0E7D5347" w14:textId="77777777" w:rsidR="00A25AD1" w:rsidRPr="00DB5D0D" w:rsidRDefault="00A25AD1" w:rsidP="00DB5D0D">
            <w:pPr>
              <w:pStyle w:val="24"/>
              <w:widowControl/>
              <w:rPr>
                <w:color w:val="000000" w:themeColor="text1"/>
              </w:rPr>
            </w:pPr>
            <w:r w:rsidRPr="00DB5D0D">
              <w:rPr>
                <w:color w:val="000000" w:themeColor="text1"/>
              </w:rPr>
              <w:t>2 часа</w:t>
            </w:r>
          </w:p>
        </w:tc>
      </w:tr>
      <w:tr w:rsidR="007D5DF8" w:rsidRPr="00DB5D0D" w14:paraId="4851DAE9" w14:textId="77777777" w:rsidTr="009223E5">
        <w:tc>
          <w:tcPr>
            <w:tcW w:w="2376" w:type="dxa"/>
          </w:tcPr>
          <w:p w14:paraId="3C097BAC" w14:textId="77777777" w:rsidR="00A25AD1" w:rsidRPr="00DB5D0D" w:rsidRDefault="00A25AD1" w:rsidP="00DB5D0D">
            <w:pPr>
              <w:pStyle w:val="24"/>
              <w:widowControl/>
              <w:rPr>
                <w:color w:val="000000" w:themeColor="text1"/>
              </w:rPr>
            </w:pPr>
            <w:r w:rsidRPr="00DB5D0D">
              <w:rPr>
                <w:color w:val="000000" w:themeColor="text1"/>
              </w:rPr>
              <w:t>21 июня 1940 года</w:t>
            </w:r>
          </w:p>
        </w:tc>
        <w:tc>
          <w:tcPr>
            <w:tcW w:w="5812" w:type="dxa"/>
          </w:tcPr>
          <w:p w14:paraId="52DA4522" w14:textId="77777777" w:rsidR="00A25AD1" w:rsidRPr="00DB5D0D" w:rsidRDefault="00A25AD1" w:rsidP="00DB5D0D">
            <w:pPr>
              <w:pStyle w:val="24"/>
              <w:widowControl/>
              <w:rPr>
                <w:color w:val="000000" w:themeColor="text1"/>
              </w:rPr>
            </w:pPr>
            <w:r w:rsidRPr="00DB5D0D">
              <w:rPr>
                <w:color w:val="000000" w:themeColor="text1"/>
              </w:rPr>
              <w:t>Полет в санитарном варианте</w:t>
            </w:r>
          </w:p>
        </w:tc>
        <w:tc>
          <w:tcPr>
            <w:tcW w:w="1843" w:type="dxa"/>
          </w:tcPr>
          <w:p w14:paraId="1A9B066A" w14:textId="77777777" w:rsidR="00A25AD1" w:rsidRPr="00DB5D0D" w:rsidRDefault="00A25AD1" w:rsidP="00DB5D0D">
            <w:pPr>
              <w:pStyle w:val="24"/>
              <w:widowControl/>
              <w:rPr>
                <w:color w:val="000000" w:themeColor="text1"/>
              </w:rPr>
            </w:pPr>
            <w:r w:rsidRPr="00DB5D0D">
              <w:rPr>
                <w:color w:val="000000" w:themeColor="text1"/>
              </w:rPr>
              <w:t>45 мин.</w:t>
            </w:r>
          </w:p>
        </w:tc>
      </w:tr>
      <w:tr w:rsidR="007D5DF8" w:rsidRPr="00DB5D0D" w14:paraId="1AB1227F" w14:textId="77777777" w:rsidTr="009223E5">
        <w:tc>
          <w:tcPr>
            <w:tcW w:w="2376" w:type="dxa"/>
          </w:tcPr>
          <w:p w14:paraId="074804A6" w14:textId="77777777" w:rsidR="00A25AD1" w:rsidRPr="00DB5D0D" w:rsidRDefault="00A25AD1" w:rsidP="00DB5D0D">
            <w:pPr>
              <w:pStyle w:val="24"/>
              <w:widowControl/>
              <w:rPr>
                <w:color w:val="000000" w:themeColor="text1"/>
              </w:rPr>
            </w:pPr>
            <w:r w:rsidRPr="00DB5D0D">
              <w:rPr>
                <w:color w:val="000000" w:themeColor="text1"/>
              </w:rPr>
              <w:t>25 июня 1940 года</w:t>
            </w:r>
          </w:p>
        </w:tc>
        <w:tc>
          <w:tcPr>
            <w:tcW w:w="5812" w:type="dxa"/>
          </w:tcPr>
          <w:p w14:paraId="70E70C46" w14:textId="77777777" w:rsidR="00A25AD1" w:rsidRPr="00DB5D0D" w:rsidRDefault="00A25AD1" w:rsidP="00DB5D0D">
            <w:pPr>
              <w:pStyle w:val="24"/>
              <w:widowControl/>
              <w:rPr>
                <w:color w:val="000000" w:themeColor="text1"/>
              </w:rPr>
            </w:pPr>
            <w:r w:rsidRPr="00DB5D0D">
              <w:rPr>
                <w:color w:val="000000" w:themeColor="text1"/>
              </w:rPr>
              <w:t>Контрольный полет на скороподъемность с внутренней загрузкой</w:t>
            </w:r>
          </w:p>
        </w:tc>
        <w:tc>
          <w:tcPr>
            <w:tcW w:w="1843" w:type="dxa"/>
          </w:tcPr>
          <w:p w14:paraId="6ACECD91" w14:textId="77777777" w:rsidR="00A25AD1" w:rsidRPr="00DB5D0D" w:rsidRDefault="00A25AD1" w:rsidP="00DB5D0D">
            <w:pPr>
              <w:pStyle w:val="24"/>
              <w:widowControl/>
              <w:rPr>
                <w:color w:val="000000" w:themeColor="text1"/>
              </w:rPr>
            </w:pPr>
            <w:r w:rsidRPr="00DB5D0D">
              <w:rPr>
                <w:color w:val="000000" w:themeColor="text1"/>
              </w:rPr>
              <w:t>2 часа</w:t>
            </w:r>
          </w:p>
        </w:tc>
      </w:tr>
      <w:tr w:rsidR="007D5DF8" w:rsidRPr="00DB5D0D" w14:paraId="3D0852FC" w14:textId="77777777" w:rsidTr="009223E5">
        <w:tc>
          <w:tcPr>
            <w:tcW w:w="2376" w:type="dxa"/>
          </w:tcPr>
          <w:p w14:paraId="18852E7E" w14:textId="77777777" w:rsidR="00A25AD1" w:rsidRPr="00DB5D0D" w:rsidRDefault="00A25AD1" w:rsidP="00DB5D0D">
            <w:pPr>
              <w:pStyle w:val="24"/>
              <w:widowControl/>
              <w:rPr>
                <w:color w:val="000000" w:themeColor="text1"/>
              </w:rPr>
            </w:pPr>
            <w:r w:rsidRPr="00DB5D0D">
              <w:rPr>
                <w:color w:val="000000" w:themeColor="text1"/>
              </w:rPr>
              <w:t>27 июня 1940 года</w:t>
            </w:r>
          </w:p>
        </w:tc>
        <w:tc>
          <w:tcPr>
            <w:tcW w:w="5812" w:type="dxa"/>
          </w:tcPr>
          <w:p w14:paraId="48554EC5" w14:textId="77777777" w:rsidR="00A25AD1" w:rsidRPr="00DB5D0D" w:rsidRDefault="00A25AD1" w:rsidP="00DB5D0D">
            <w:pPr>
              <w:pStyle w:val="24"/>
              <w:widowControl/>
              <w:rPr>
                <w:color w:val="000000" w:themeColor="text1"/>
              </w:rPr>
            </w:pPr>
            <w:r w:rsidRPr="00DB5D0D">
              <w:rPr>
                <w:color w:val="000000" w:themeColor="text1"/>
              </w:rPr>
              <w:t>Контрольный полет с наружной загрузкой</w:t>
            </w:r>
          </w:p>
        </w:tc>
        <w:tc>
          <w:tcPr>
            <w:tcW w:w="1843" w:type="dxa"/>
          </w:tcPr>
          <w:p w14:paraId="0BBBC1D9" w14:textId="77777777" w:rsidR="00A25AD1" w:rsidRPr="00DB5D0D" w:rsidRDefault="00A25AD1" w:rsidP="00DB5D0D">
            <w:pPr>
              <w:pStyle w:val="24"/>
              <w:widowControl/>
              <w:rPr>
                <w:color w:val="000000" w:themeColor="text1"/>
              </w:rPr>
            </w:pPr>
            <w:r w:rsidRPr="00DB5D0D">
              <w:rPr>
                <w:color w:val="000000" w:themeColor="text1"/>
              </w:rPr>
              <w:t>1 час. 40 мин.</w:t>
            </w:r>
          </w:p>
        </w:tc>
      </w:tr>
      <w:tr w:rsidR="007D5DF8" w:rsidRPr="00DB5D0D" w14:paraId="4308D90B" w14:textId="77777777" w:rsidTr="009223E5">
        <w:tc>
          <w:tcPr>
            <w:tcW w:w="2376" w:type="dxa"/>
          </w:tcPr>
          <w:p w14:paraId="03646D62" w14:textId="77777777" w:rsidR="00A25AD1" w:rsidRPr="00DB5D0D" w:rsidRDefault="00A25AD1" w:rsidP="00DB5D0D">
            <w:pPr>
              <w:pStyle w:val="24"/>
              <w:widowControl/>
              <w:rPr>
                <w:color w:val="000000" w:themeColor="text1"/>
              </w:rPr>
            </w:pPr>
            <w:r w:rsidRPr="00DB5D0D">
              <w:rPr>
                <w:color w:val="000000" w:themeColor="text1"/>
              </w:rPr>
              <w:t>28 июня 1940 года</w:t>
            </w:r>
          </w:p>
        </w:tc>
        <w:tc>
          <w:tcPr>
            <w:tcW w:w="5812" w:type="dxa"/>
          </w:tcPr>
          <w:p w14:paraId="3EC5084A" w14:textId="77777777" w:rsidR="00A25AD1" w:rsidRPr="00DB5D0D" w:rsidRDefault="00A25AD1" w:rsidP="00DB5D0D">
            <w:pPr>
              <w:pStyle w:val="24"/>
              <w:widowControl/>
              <w:rPr>
                <w:color w:val="000000" w:themeColor="text1"/>
              </w:rPr>
            </w:pPr>
            <w:r w:rsidRPr="00DB5D0D">
              <w:rPr>
                <w:color w:val="000000" w:themeColor="text1"/>
              </w:rPr>
              <w:t>Полет в Рыбинск и обратно</w:t>
            </w:r>
          </w:p>
        </w:tc>
        <w:tc>
          <w:tcPr>
            <w:tcW w:w="1843" w:type="dxa"/>
          </w:tcPr>
          <w:p w14:paraId="27DBE7DC" w14:textId="77777777" w:rsidR="00A25AD1" w:rsidRPr="00DB5D0D" w:rsidRDefault="00A25AD1" w:rsidP="00DB5D0D">
            <w:pPr>
              <w:pStyle w:val="24"/>
              <w:widowControl/>
              <w:rPr>
                <w:color w:val="000000" w:themeColor="text1"/>
              </w:rPr>
            </w:pPr>
            <w:r w:rsidRPr="00DB5D0D">
              <w:rPr>
                <w:color w:val="000000" w:themeColor="text1"/>
              </w:rPr>
              <w:t>2 полета</w:t>
            </w:r>
          </w:p>
          <w:p w14:paraId="3A5AA8C1" w14:textId="77777777" w:rsidR="00A25AD1" w:rsidRPr="00DB5D0D" w:rsidRDefault="00A25AD1" w:rsidP="00DB5D0D">
            <w:pPr>
              <w:pStyle w:val="24"/>
              <w:widowControl/>
              <w:rPr>
                <w:color w:val="000000" w:themeColor="text1"/>
              </w:rPr>
            </w:pPr>
            <w:r w:rsidRPr="00DB5D0D">
              <w:rPr>
                <w:color w:val="000000" w:themeColor="text1"/>
              </w:rPr>
              <w:t>2 часа 20 мин.</w:t>
            </w:r>
          </w:p>
        </w:tc>
      </w:tr>
      <w:tr w:rsidR="007D5DF8" w:rsidRPr="00DB5D0D" w14:paraId="52DE2183" w14:textId="77777777" w:rsidTr="009223E5">
        <w:tc>
          <w:tcPr>
            <w:tcW w:w="2376" w:type="dxa"/>
          </w:tcPr>
          <w:p w14:paraId="457B482C" w14:textId="77777777" w:rsidR="00A25AD1" w:rsidRPr="00DB5D0D" w:rsidRDefault="00A25AD1" w:rsidP="00DB5D0D">
            <w:pPr>
              <w:pStyle w:val="24"/>
              <w:widowControl/>
              <w:rPr>
                <w:color w:val="000000" w:themeColor="text1"/>
              </w:rPr>
            </w:pPr>
            <w:r w:rsidRPr="00DB5D0D">
              <w:rPr>
                <w:color w:val="000000" w:themeColor="text1"/>
              </w:rPr>
              <w:t>29 июня 1940 года</w:t>
            </w:r>
          </w:p>
        </w:tc>
        <w:tc>
          <w:tcPr>
            <w:tcW w:w="5812" w:type="dxa"/>
          </w:tcPr>
          <w:p w14:paraId="258C9D46" w14:textId="77777777" w:rsidR="00A25AD1" w:rsidRPr="00DB5D0D" w:rsidRDefault="00A25AD1" w:rsidP="00DB5D0D">
            <w:pPr>
              <w:pStyle w:val="24"/>
              <w:widowControl/>
              <w:rPr>
                <w:color w:val="000000" w:themeColor="text1"/>
              </w:rPr>
            </w:pPr>
            <w:r w:rsidRPr="00DB5D0D">
              <w:rPr>
                <w:color w:val="000000" w:themeColor="text1"/>
              </w:rPr>
              <w:t>Полет на скороподъемность (летчик Нюхтиков)</w:t>
            </w:r>
          </w:p>
        </w:tc>
        <w:tc>
          <w:tcPr>
            <w:tcW w:w="1843" w:type="dxa"/>
          </w:tcPr>
          <w:p w14:paraId="1E7A3F61" w14:textId="77777777" w:rsidR="00A25AD1" w:rsidRPr="00DB5D0D" w:rsidRDefault="00A25AD1" w:rsidP="00DB5D0D">
            <w:pPr>
              <w:pStyle w:val="24"/>
              <w:widowControl/>
              <w:rPr>
                <w:color w:val="000000" w:themeColor="text1"/>
              </w:rPr>
            </w:pPr>
            <w:r w:rsidRPr="00DB5D0D">
              <w:rPr>
                <w:color w:val="000000" w:themeColor="text1"/>
              </w:rPr>
              <w:t>2 часа 30 мин.</w:t>
            </w:r>
          </w:p>
        </w:tc>
      </w:tr>
      <w:tr w:rsidR="007D5DF8" w:rsidRPr="00DB5D0D" w14:paraId="0341FB2E" w14:textId="77777777" w:rsidTr="009223E5">
        <w:tc>
          <w:tcPr>
            <w:tcW w:w="2376" w:type="dxa"/>
          </w:tcPr>
          <w:p w14:paraId="2EB87E0D" w14:textId="77777777" w:rsidR="00A25AD1" w:rsidRPr="00DB5D0D" w:rsidRDefault="00A25AD1" w:rsidP="00DB5D0D">
            <w:pPr>
              <w:pStyle w:val="24"/>
              <w:widowControl/>
              <w:rPr>
                <w:color w:val="000000" w:themeColor="text1"/>
              </w:rPr>
            </w:pPr>
          </w:p>
        </w:tc>
        <w:tc>
          <w:tcPr>
            <w:tcW w:w="5812" w:type="dxa"/>
          </w:tcPr>
          <w:p w14:paraId="76C87BEE" w14:textId="77777777" w:rsidR="00A25AD1" w:rsidRPr="00DB5D0D" w:rsidRDefault="00A25AD1" w:rsidP="00DB5D0D">
            <w:pPr>
              <w:pStyle w:val="24"/>
              <w:widowControl/>
              <w:rPr>
                <w:color w:val="000000" w:themeColor="text1"/>
              </w:rPr>
            </w:pPr>
            <w:r w:rsidRPr="00DB5D0D">
              <w:rPr>
                <w:color w:val="000000" w:themeColor="text1"/>
              </w:rPr>
              <w:t>ВСЕГО</w:t>
            </w:r>
          </w:p>
        </w:tc>
        <w:tc>
          <w:tcPr>
            <w:tcW w:w="1843" w:type="dxa"/>
          </w:tcPr>
          <w:p w14:paraId="0447570B" w14:textId="77777777" w:rsidR="00A25AD1" w:rsidRPr="00DB5D0D" w:rsidRDefault="00A25AD1" w:rsidP="00DB5D0D">
            <w:pPr>
              <w:pStyle w:val="24"/>
              <w:widowControl/>
              <w:rPr>
                <w:color w:val="000000" w:themeColor="text1"/>
              </w:rPr>
            </w:pPr>
            <w:r w:rsidRPr="00DB5D0D">
              <w:rPr>
                <w:color w:val="000000" w:themeColor="text1"/>
              </w:rPr>
              <w:t>56 полетов</w:t>
            </w:r>
          </w:p>
          <w:p w14:paraId="3FE304F5" w14:textId="77777777" w:rsidR="00A25AD1" w:rsidRPr="00DB5D0D" w:rsidRDefault="00A25AD1" w:rsidP="00DB5D0D">
            <w:pPr>
              <w:pStyle w:val="24"/>
              <w:widowControl/>
              <w:rPr>
                <w:color w:val="000000" w:themeColor="text1"/>
              </w:rPr>
            </w:pPr>
            <w:r w:rsidRPr="00DB5D0D">
              <w:rPr>
                <w:color w:val="000000" w:themeColor="text1"/>
              </w:rPr>
              <w:t>34 часа 42 мин.</w:t>
            </w:r>
          </w:p>
        </w:tc>
      </w:tr>
    </w:tbl>
    <w:p w14:paraId="154DD4D4" w14:textId="77777777" w:rsidR="00A25AD1" w:rsidRPr="00DB5D0D" w:rsidRDefault="00A25AD1" w:rsidP="00DB5D0D">
      <w:pPr>
        <w:pStyle w:val="24"/>
        <w:widowControl/>
        <w:rPr>
          <w:color w:val="000000" w:themeColor="text1"/>
        </w:rPr>
      </w:pPr>
      <w:r w:rsidRPr="00DB5D0D">
        <w:rPr>
          <w:color w:val="000000" w:themeColor="text1"/>
        </w:rPr>
        <w:t>(7758)</w:t>
      </w:r>
    </w:p>
    <w:p w14:paraId="65EA769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ED3C0A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вышел приказ НИИ ВВС № 093</w:t>
      </w:r>
    </w:p>
    <w:p w14:paraId="4C931CB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Специальные гос. испытания двухмоторного многоместного истребителя «Мессершмидт Ме-110» с мотором ДВ-601 (6891, 180).</w:t>
      </w:r>
    </w:p>
    <w:p w14:paraId="42C2568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47F3B8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Начальник НИИ ГУАС дивинженер Филин и Военком НИИ ГУАС полковой комиссар Холопцев утвердили Заключение по эскизному проекту самолета ПВС-46 конструкции Белоподляского авиазавода (бывш. Польша) (6602).</w:t>
      </w:r>
    </w:p>
    <w:p w14:paraId="101BC83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w:t>
      </w:r>
    </w:p>
    <w:p w14:paraId="14DCD0D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ПВС-46 с мотором Гном-Рон предназначался для использования в качестве истребителя (в ВВС бывш. Польши).</w:t>
      </w:r>
    </w:p>
    <w:p w14:paraId="76442F9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ПВС-46 – одноместный, одномоторный моноплан с низкораположенным крылом, убирающимися шасси и хвостовым колесом, мотором воздушного охлаждения Гном-Рон.</w:t>
      </w:r>
    </w:p>
    <w:p w14:paraId="30E317F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131A28B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w:t>
      </w:r>
    </w:p>
    <w:p w14:paraId="6D995FE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пулемета образца 1938 года польские, размещены в крыльях попарно на расстоянии 2000 мм от оси фюзеляжа. Запас патронов по 300 штук на каждый.</w:t>
      </w:r>
    </w:p>
    <w:p w14:paraId="3001162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w:t>
      </w:r>
    </w:p>
    <w:p w14:paraId="34BCC6E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авиабомбы по 25 кг каждая подвешиваются под крыльями.</w:t>
      </w:r>
    </w:p>
    <w:p w14:paraId="4926ED0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560C57D"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Схема истребителя ПВС-46 является нормальной схемой, которая не имеет отличия от существующих схем отечественных истребителей (6602).</w:t>
      </w:r>
    </w:p>
    <w:p w14:paraId="1C854E5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p w14:paraId="411B11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Начальник НИИ ГУАС дивинженер Филин и Военком НИИ ГУАС полковой комиссар Холопцев утвердили Заключение по эскизному проекту самолета ПВС-46 конструкции Белоподляского авиазавода (бывш. Польша).</w:t>
      </w:r>
    </w:p>
    <w:p w14:paraId="4689E0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w:t>
      </w:r>
    </w:p>
    <w:p w14:paraId="32716B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ПВС-46 с мотором Гном-Рон предназначался для использования в качестве истребителя (в ВВС бывш. Польши).</w:t>
      </w:r>
    </w:p>
    <w:p w14:paraId="4426FF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ПВС-46 – одноместный, одномоторный моноплан с низкораположенным крылом, убирающимися шасси и хвостовым колесом, мотором воздушного охлаждения Гном-Рон.</w:t>
      </w:r>
    </w:p>
    <w:p w14:paraId="272EDF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4C51DC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w:t>
      </w:r>
    </w:p>
    <w:p w14:paraId="7B95F2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пулемета образца 1938 года польские, размещены в крыльях попарно на расстоянии 2000 мм от оси фюзеляжа. Запас патронов по 300 штук на каждый.</w:t>
      </w:r>
    </w:p>
    <w:p w14:paraId="42916A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w:t>
      </w:r>
    </w:p>
    <w:p w14:paraId="5FAA1F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авиабомбы по 25 кг каждая подвешиваются под крыльями.</w:t>
      </w:r>
    </w:p>
    <w:p w14:paraId="1C9556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81D7D5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Схема истребителя ПВС-46 является нормальной схемой, которая не имеет отличия от существующих схем отечественных истребителей (4562).</w:t>
      </w:r>
    </w:p>
    <w:p w14:paraId="0E5EBF5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63DE1C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А.М.Тер-Маркорян приказом НКАП был назначен ГИ завода 292 (863,168).</w:t>
      </w:r>
    </w:p>
    <w:p w14:paraId="5B04D6C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B010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закончились заводские испытания на заводе № 24 мотора АМ-35, которые проходил с 17 апреля, а с с 13 мая по 25 мая 1940 приходили совместные 50-часовые испытания.</w:t>
      </w:r>
    </w:p>
    <w:p w14:paraId="747C46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 27 мая 1940 НКАП А.И.Шахурин (26) и НКО Тимошенко (27) подписали Акт утверждения выводов и заключения по совместным (НКО и НКАП) 50 часовым испытаниям на станке мотора АМ-35А пр-ва завода № 24</w:t>
      </w:r>
    </w:p>
    <w:p w14:paraId="5EA71A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о совместных 50 часовых испытаниях на станке АМ-35А производства завода 24.</w:t>
      </w:r>
    </w:p>
    <w:p w14:paraId="4BA1CC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по совместным испытаниям:</w:t>
      </w:r>
    </w:p>
    <w:p w14:paraId="192503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ви1р К.В.Кукушкин</w:t>
      </w:r>
    </w:p>
    <w:p w14:paraId="3C0D8A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 ви2р В.А.Черников, ви2р М.П.Кочетков, ви2р А.И.Суворов, зам ГК завода № 24 В.А.Чернышев, отв. конструктор завода № 24 М.Р.Флисский, гл. инспектор ОКБ завода № 24 С.А.Марзаев</w:t>
      </w:r>
    </w:p>
    <w:p w14:paraId="6E771D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6AADB1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соответствие основных данных мотора АМ-35А ТТТ и надежность конструкции мотора и агрегатов 50 испытаниями</w:t>
      </w:r>
    </w:p>
    <w:p w14:paraId="247AAC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Краткие рез-ты совместных (НКО и НКАП) испытаний на станке мотора АМ-35А</w:t>
      </w:r>
    </w:p>
    <w:p w14:paraId="112C47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АМ-35А производства з-да № 24 совместные 50 часовые испытания прошел удовлетворительно.</w:t>
      </w:r>
    </w:p>
    <w:p w14:paraId="6AC60E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мощности и высотности мотор АМ-35А соответствует ТТТ</w:t>
      </w:r>
    </w:p>
    <w:p w14:paraId="4B1E01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Всего мотор наработал 80 :36, из них на режиме 54:32</w:t>
      </w:r>
    </w:p>
    <w:p w14:paraId="592A5B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Основные недостатками мотора АМ-35А являются</w:t>
      </w:r>
    </w:p>
    <w:p w14:paraId="491210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 отсутствие доведенного карбюратора, обеспечивающего мотору нормальное питание на всех его положениях при работе на с-те истребителе и обеспечивающего гарантийный расход топлива без использования высотного корректора</w:t>
      </w:r>
    </w:p>
    <w:p w14:paraId="550B72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недостаточная надежность и конструктивные недоработки всасывающих патрубков</w:t>
      </w:r>
    </w:p>
    <w:p w14:paraId="3327AB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недостаточное охлаждение масла, ограничивающее потолок с-та</w:t>
      </w:r>
    </w:p>
    <w:p w14:paraId="13D9B3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21C8A5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АМ-35А совместные 50-часовые ГИ прошел удовлетворительно.</w:t>
      </w:r>
    </w:p>
    <w:p w14:paraId="298A6A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Некоторые основные данные, полученные при испытаниях, отличающиеся от данных, указанных в предъявлении мотора на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2634"/>
        <w:gridCol w:w="2634"/>
        <w:gridCol w:w="2634"/>
        <w:gridCol w:w="2634"/>
      </w:tblGrid>
      <w:tr w:rsidR="007D5DF8" w:rsidRPr="00DB5D0D" w14:paraId="6E79F935" w14:textId="77777777" w:rsidTr="009223E5">
        <w:tc>
          <w:tcPr>
            <w:tcW w:w="675" w:type="dxa"/>
            <w:tcBorders>
              <w:top w:val="single" w:sz="12" w:space="0" w:color="auto"/>
            </w:tcBorders>
          </w:tcPr>
          <w:p w14:paraId="3E2CFD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2634" w:type="dxa"/>
            <w:tcBorders>
              <w:top w:val="single" w:sz="12" w:space="0" w:color="auto"/>
            </w:tcBorders>
          </w:tcPr>
          <w:p w14:paraId="5F0F47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 мотора, по параметрам, имеющим расхождения</w:t>
            </w:r>
          </w:p>
        </w:tc>
        <w:tc>
          <w:tcPr>
            <w:tcW w:w="2634" w:type="dxa"/>
            <w:tcBorders>
              <w:top w:val="single" w:sz="12" w:space="0" w:color="auto"/>
            </w:tcBorders>
          </w:tcPr>
          <w:p w14:paraId="682D4B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Получено по испытаниям</w:t>
            </w:r>
          </w:p>
        </w:tc>
        <w:tc>
          <w:tcPr>
            <w:tcW w:w="2634" w:type="dxa"/>
            <w:tcBorders>
              <w:top w:val="single" w:sz="12" w:space="0" w:color="auto"/>
            </w:tcBorders>
          </w:tcPr>
          <w:p w14:paraId="2CAE95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предхявлению на испытания</w:t>
            </w:r>
          </w:p>
        </w:tc>
        <w:tc>
          <w:tcPr>
            <w:tcW w:w="2634" w:type="dxa"/>
            <w:tcBorders>
              <w:top w:val="single" w:sz="12" w:space="0" w:color="auto"/>
            </w:tcBorders>
          </w:tcPr>
          <w:p w14:paraId="40B4AD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ТТТ</w:t>
            </w:r>
          </w:p>
        </w:tc>
      </w:tr>
      <w:tr w:rsidR="007D5DF8" w:rsidRPr="00DB5D0D" w14:paraId="29AC2727" w14:textId="77777777" w:rsidTr="009223E5">
        <w:tc>
          <w:tcPr>
            <w:tcW w:w="675" w:type="dxa"/>
          </w:tcPr>
          <w:p w14:paraId="585A66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634" w:type="dxa"/>
          </w:tcPr>
          <w:p w14:paraId="1F1688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 вес</w:t>
            </w:r>
          </w:p>
        </w:tc>
        <w:tc>
          <w:tcPr>
            <w:tcW w:w="2634" w:type="dxa"/>
          </w:tcPr>
          <w:p w14:paraId="3E7DB5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2634" w:type="dxa"/>
          </w:tcPr>
          <w:p w14:paraId="77AC27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820</w:t>
            </w:r>
          </w:p>
        </w:tc>
        <w:tc>
          <w:tcPr>
            <w:tcW w:w="2634" w:type="dxa"/>
          </w:tcPr>
          <w:p w14:paraId="2272D0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780</w:t>
            </w:r>
          </w:p>
        </w:tc>
      </w:tr>
      <w:tr w:rsidR="007D5DF8" w:rsidRPr="00DB5D0D" w14:paraId="20A221F5" w14:textId="77777777" w:rsidTr="009223E5">
        <w:tc>
          <w:tcPr>
            <w:tcW w:w="675" w:type="dxa"/>
          </w:tcPr>
          <w:p w14:paraId="4C66DF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634" w:type="dxa"/>
          </w:tcPr>
          <w:p w14:paraId="219283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Высотность при номинальной мощности и Рк 1090 в м</w:t>
            </w:r>
          </w:p>
        </w:tc>
        <w:tc>
          <w:tcPr>
            <w:tcW w:w="2634" w:type="dxa"/>
          </w:tcPr>
          <w:p w14:paraId="0CC760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6300</w:t>
            </w:r>
          </w:p>
        </w:tc>
        <w:tc>
          <w:tcPr>
            <w:tcW w:w="2634" w:type="dxa"/>
          </w:tcPr>
          <w:p w14:paraId="57BCD2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2634" w:type="dxa"/>
          </w:tcPr>
          <w:p w14:paraId="01F49F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r>
      <w:tr w:rsidR="007D5DF8" w:rsidRPr="00DB5D0D" w14:paraId="680AA9C1" w14:textId="77777777" w:rsidTr="009223E5">
        <w:tc>
          <w:tcPr>
            <w:tcW w:w="675" w:type="dxa"/>
          </w:tcPr>
          <w:p w14:paraId="06FD82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634" w:type="dxa"/>
          </w:tcPr>
          <w:p w14:paraId="4679F4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топлива на номинальном режиме г/лс/час</w:t>
            </w:r>
          </w:p>
        </w:tc>
        <w:tc>
          <w:tcPr>
            <w:tcW w:w="2634" w:type="dxa"/>
          </w:tcPr>
          <w:p w14:paraId="4F99BE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284</w:t>
            </w:r>
          </w:p>
        </w:tc>
        <w:tc>
          <w:tcPr>
            <w:tcW w:w="2634" w:type="dxa"/>
          </w:tcPr>
          <w:p w14:paraId="58362D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2634" w:type="dxa"/>
          </w:tcPr>
          <w:p w14:paraId="3188CC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260-270</w:t>
            </w:r>
          </w:p>
        </w:tc>
      </w:tr>
      <w:tr w:rsidR="007D5DF8" w:rsidRPr="00DB5D0D" w14:paraId="736C5C04" w14:textId="77777777" w:rsidTr="009223E5">
        <w:tc>
          <w:tcPr>
            <w:tcW w:w="675" w:type="dxa"/>
            <w:tcBorders>
              <w:bottom w:val="single" w:sz="12" w:space="0" w:color="auto"/>
            </w:tcBorders>
          </w:tcPr>
          <w:p w14:paraId="7C1F46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634" w:type="dxa"/>
            <w:tcBorders>
              <w:bottom w:val="single" w:sz="12" w:space="0" w:color="auto"/>
            </w:tcBorders>
          </w:tcPr>
          <w:p w14:paraId="56E734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Карбюратор</w:t>
            </w:r>
          </w:p>
        </w:tc>
        <w:tc>
          <w:tcPr>
            <w:tcW w:w="2634" w:type="dxa"/>
            <w:tcBorders>
              <w:bottom w:val="single" w:sz="12" w:space="0" w:color="auto"/>
            </w:tcBorders>
          </w:tcPr>
          <w:p w14:paraId="7ED475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автокорректора</w:t>
            </w:r>
          </w:p>
        </w:tc>
        <w:tc>
          <w:tcPr>
            <w:tcW w:w="2634" w:type="dxa"/>
            <w:tcBorders>
              <w:bottom w:val="single" w:sz="12" w:space="0" w:color="auto"/>
            </w:tcBorders>
          </w:tcPr>
          <w:p w14:paraId="37BF9D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автокорректора</w:t>
            </w:r>
          </w:p>
        </w:tc>
        <w:tc>
          <w:tcPr>
            <w:tcW w:w="2634" w:type="dxa"/>
            <w:tcBorders>
              <w:bottom w:val="single" w:sz="12" w:space="0" w:color="auto"/>
            </w:tcBorders>
          </w:tcPr>
          <w:p w14:paraId="4D05D2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автокорректором</w:t>
            </w:r>
          </w:p>
        </w:tc>
      </w:tr>
    </w:tbl>
    <w:p w14:paraId="1F1307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мотора завышен на 60 кг (8%), частичное завышение веса (20-30 кг) относится за счет унификации деталей с АМ-37 (коленвал, шатуны, нагнетатель).</w:t>
      </w:r>
    </w:p>
    <w:p w14:paraId="38008D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имеет следующие основные конструкционные особенности</w:t>
      </w:r>
    </w:p>
    <w:p w14:paraId="083F57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выходе воздуха из нагнетателя вместо вместо обычно дроссельной заслонки установлен поворотный направляющий аппарат (л-ка Политковского). При дросселирования воздуха этим направляющим аппаратом на земле и на высотах ниже расчетной высоты достигается увеличение эффективной мощности. На земле оно достигает 800-100 кг.</w:t>
      </w:r>
    </w:p>
    <w:p w14:paraId="0113A5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мотор работает с охлаждением водой под давлением при темперетуре на входе в 110-120 гр. Поавышение температуры охлаждающей жидкости улучшает аэродинамику с-та (уменьшается лобовое сопротивление от радиатора, уменьшается вес охлаждающей системы</w:t>
      </w:r>
    </w:p>
    <w:p w14:paraId="69BDF9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мотор АМ-35А конструктивно аналогичен и полностью взаимозаменям по всем кзлам с мотором АМ-37 за исключением:</w:t>
      </w:r>
    </w:p>
    <w:p w14:paraId="38211D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АМ-35А не имеет водовоздушного радиатора для охлаждения воздуха за нагнетателем, вместо него установлена проставка</w:t>
      </w:r>
    </w:p>
    <w:p w14:paraId="696AE6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 имеет дополнительного водяного насоса для этого радиатора</w:t>
      </w:r>
    </w:p>
    <w:p w14:paraId="452531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диаметр крыльчатки 275 мм, вместо 285 мм у АМ-37</w:t>
      </w:r>
    </w:p>
    <w:p w14:paraId="3EDC31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из изложенного в п. В) видно, что мотор АМ-35А может быть легко переделан на мотор АМ-37, который имеет большую мощность. </w:t>
      </w:r>
    </w:p>
    <w:p w14:paraId="20690D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Дефект карбюратора К-35А - не обеспечивает гарантированные данные удульных расходов топлива и не обеспечивает нормального питания мотора на всех эволюциях с-та. Карбюратор имеет течи из-под уплотнительных прокладок и заедание жиклера в разьбе при замене и т.д.</w:t>
      </w:r>
    </w:p>
    <w:p w14:paraId="7927DA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Сводная таблица основных мощных современных авиамоторов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874"/>
        <w:gridCol w:w="536"/>
        <w:gridCol w:w="575"/>
        <w:gridCol w:w="638"/>
        <w:gridCol w:w="527"/>
        <w:gridCol w:w="527"/>
        <w:gridCol w:w="527"/>
        <w:gridCol w:w="560"/>
        <w:gridCol w:w="524"/>
        <w:gridCol w:w="647"/>
        <w:gridCol w:w="570"/>
        <w:gridCol w:w="570"/>
        <w:gridCol w:w="554"/>
        <w:gridCol w:w="573"/>
        <w:gridCol w:w="572"/>
        <w:gridCol w:w="572"/>
        <w:gridCol w:w="396"/>
        <w:gridCol w:w="416"/>
        <w:gridCol w:w="374"/>
      </w:tblGrid>
      <w:tr w:rsidR="007D5DF8" w:rsidRPr="00DB5D0D" w14:paraId="2FD320E1" w14:textId="77777777" w:rsidTr="009223E5">
        <w:tc>
          <w:tcPr>
            <w:tcW w:w="675" w:type="dxa"/>
            <w:tcBorders>
              <w:top w:val="single" w:sz="12" w:space="0" w:color="auto"/>
            </w:tcBorders>
          </w:tcPr>
          <w:p w14:paraId="09012A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Обозначение мотора</w:t>
            </w:r>
          </w:p>
        </w:tc>
        <w:tc>
          <w:tcPr>
            <w:tcW w:w="874" w:type="dxa"/>
            <w:tcBorders>
              <w:top w:val="single" w:sz="12" w:space="0" w:color="auto"/>
            </w:tcBorders>
          </w:tcPr>
          <w:p w14:paraId="0CB66D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мотора</w:t>
            </w:r>
          </w:p>
        </w:tc>
        <w:tc>
          <w:tcPr>
            <w:tcW w:w="536" w:type="dxa"/>
            <w:tcBorders>
              <w:top w:val="single" w:sz="12" w:space="0" w:color="auto"/>
            </w:tcBorders>
          </w:tcPr>
          <w:p w14:paraId="4D8112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нагнетателя л.с.</w:t>
            </w:r>
          </w:p>
        </w:tc>
        <w:tc>
          <w:tcPr>
            <w:tcW w:w="575" w:type="dxa"/>
            <w:tcBorders>
              <w:top w:val="single" w:sz="12" w:space="0" w:color="auto"/>
            </w:tcBorders>
          </w:tcPr>
          <w:p w14:paraId="6BBB7F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Номинальный наддев</w:t>
            </w:r>
          </w:p>
        </w:tc>
        <w:tc>
          <w:tcPr>
            <w:tcW w:w="638" w:type="dxa"/>
            <w:tcBorders>
              <w:top w:val="single" w:sz="12" w:space="0" w:color="auto"/>
            </w:tcBorders>
          </w:tcPr>
          <w:p w14:paraId="131D8F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w:t>
            </w:r>
          </w:p>
        </w:tc>
        <w:tc>
          <w:tcPr>
            <w:tcW w:w="527" w:type="dxa"/>
            <w:tcBorders>
              <w:top w:val="single" w:sz="12" w:space="0" w:color="auto"/>
            </w:tcBorders>
          </w:tcPr>
          <w:p w14:paraId="700D52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Лоб</w:t>
            </w:r>
          </w:p>
        </w:tc>
        <w:tc>
          <w:tcPr>
            <w:tcW w:w="527" w:type="dxa"/>
            <w:tcBorders>
              <w:top w:val="single" w:sz="12" w:space="0" w:color="auto"/>
            </w:tcBorders>
          </w:tcPr>
          <w:p w14:paraId="4A2AB6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Степень сжатия</w:t>
            </w:r>
          </w:p>
        </w:tc>
        <w:tc>
          <w:tcPr>
            <w:tcW w:w="527" w:type="dxa"/>
            <w:tcBorders>
              <w:top w:val="single" w:sz="12" w:space="0" w:color="auto"/>
            </w:tcBorders>
          </w:tcPr>
          <w:p w14:paraId="639627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Литраж</w:t>
            </w:r>
          </w:p>
        </w:tc>
        <w:tc>
          <w:tcPr>
            <w:tcW w:w="560" w:type="dxa"/>
            <w:tcBorders>
              <w:top w:val="single" w:sz="12" w:space="0" w:color="auto"/>
            </w:tcBorders>
          </w:tcPr>
          <w:p w14:paraId="127438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высотность</w:t>
            </w:r>
          </w:p>
        </w:tc>
        <w:tc>
          <w:tcPr>
            <w:tcW w:w="524" w:type="dxa"/>
            <w:tcBorders>
              <w:top w:val="single" w:sz="12" w:space="0" w:color="auto"/>
            </w:tcBorders>
          </w:tcPr>
          <w:p w14:paraId="0FB1EC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нагнетателя</w:t>
            </w:r>
          </w:p>
        </w:tc>
        <w:tc>
          <w:tcPr>
            <w:tcW w:w="647" w:type="dxa"/>
            <w:tcBorders>
              <w:top w:val="single" w:sz="12" w:space="0" w:color="auto"/>
            </w:tcBorders>
          </w:tcPr>
          <w:p w14:paraId="37D080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Высотная мощность</w:t>
            </w:r>
          </w:p>
        </w:tc>
        <w:tc>
          <w:tcPr>
            <w:tcW w:w="570" w:type="dxa"/>
            <w:tcBorders>
              <w:top w:val="single" w:sz="12" w:space="0" w:color="auto"/>
            </w:tcBorders>
          </w:tcPr>
          <w:p w14:paraId="54DB09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на земле</w:t>
            </w:r>
          </w:p>
        </w:tc>
        <w:tc>
          <w:tcPr>
            <w:tcW w:w="570" w:type="dxa"/>
            <w:tcBorders>
              <w:top w:val="single" w:sz="12" w:space="0" w:color="auto"/>
            </w:tcBorders>
          </w:tcPr>
          <w:p w14:paraId="72044B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w:t>
            </w:r>
          </w:p>
        </w:tc>
        <w:tc>
          <w:tcPr>
            <w:tcW w:w="554" w:type="dxa"/>
            <w:tcBorders>
              <w:top w:val="single" w:sz="12" w:space="0" w:color="auto"/>
            </w:tcBorders>
          </w:tcPr>
          <w:p w14:paraId="29E25E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на 6000м</w:t>
            </w:r>
          </w:p>
        </w:tc>
        <w:tc>
          <w:tcPr>
            <w:tcW w:w="573" w:type="dxa"/>
            <w:tcBorders>
              <w:top w:val="single" w:sz="12" w:space="0" w:color="auto"/>
            </w:tcBorders>
          </w:tcPr>
          <w:p w14:paraId="6C40E7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w:t>
            </w:r>
          </w:p>
        </w:tc>
        <w:tc>
          <w:tcPr>
            <w:tcW w:w="572" w:type="dxa"/>
            <w:tcBorders>
              <w:top w:val="single" w:sz="12" w:space="0" w:color="auto"/>
            </w:tcBorders>
          </w:tcPr>
          <w:p w14:paraId="10FF2F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номинальный</w:t>
            </w:r>
          </w:p>
        </w:tc>
        <w:tc>
          <w:tcPr>
            <w:tcW w:w="572" w:type="dxa"/>
            <w:tcBorders>
              <w:top w:val="single" w:sz="12" w:space="0" w:color="auto"/>
            </w:tcBorders>
          </w:tcPr>
          <w:p w14:paraId="28C6E0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расхож эксплуатационный</w:t>
            </w:r>
          </w:p>
        </w:tc>
        <w:tc>
          <w:tcPr>
            <w:tcW w:w="396" w:type="dxa"/>
            <w:tcBorders>
              <w:top w:val="single" w:sz="12" w:space="0" w:color="auto"/>
            </w:tcBorders>
          </w:tcPr>
          <w:p w14:paraId="70AF24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Октяновое число</w:t>
            </w:r>
          </w:p>
        </w:tc>
        <w:tc>
          <w:tcPr>
            <w:tcW w:w="416" w:type="dxa"/>
            <w:tcBorders>
              <w:top w:val="single" w:sz="12" w:space="0" w:color="auto"/>
            </w:tcBorders>
          </w:tcPr>
          <w:p w14:paraId="0A091B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Особенности мотора</w:t>
            </w:r>
          </w:p>
        </w:tc>
        <w:tc>
          <w:tcPr>
            <w:tcW w:w="374" w:type="dxa"/>
            <w:tcBorders>
              <w:top w:val="single" w:sz="12" w:space="0" w:color="auto"/>
            </w:tcBorders>
          </w:tcPr>
          <w:p w14:paraId="1A6BAC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мотора</w:t>
            </w:r>
          </w:p>
        </w:tc>
      </w:tr>
      <w:tr w:rsidR="007D5DF8" w:rsidRPr="00DB5D0D" w14:paraId="10E8111E" w14:textId="77777777" w:rsidTr="009223E5">
        <w:tc>
          <w:tcPr>
            <w:tcW w:w="675" w:type="dxa"/>
          </w:tcPr>
          <w:p w14:paraId="51A130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Даймлер-Бенц 601А</w:t>
            </w:r>
          </w:p>
        </w:tc>
        <w:tc>
          <w:tcPr>
            <w:tcW w:w="874" w:type="dxa"/>
          </w:tcPr>
          <w:p w14:paraId="2FE0CD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У-образный 12 цилиндров перевернутый</w:t>
            </w:r>
          </w:p>
        </w:tc>
        <w:tc>
          <w:tcPr>
            <w:tcW w:w="536" w:type="dxa"/>
          </w:tcPr>
          <w:p w14:paraId="5E376E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575" w:type="dxa"/>
          </w:tcPr>
          <w:p w14:paraId="0FA851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965</w:t>
            </w:r>
          </w:p>
        </w:tc>
        <w:tc>
          <w:tcPr>
            <w:tcW w:w="638" w:type="dxa"/>
          </w:tcPr>
          <w:p w14:paraId="475999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590</w:t>
            </w:r>
          </w:p>
        </w:tc>
        <w:tc>
          <w:tcPr>
            <w:tcW w:w="527" w:type="dxa"/>
          </w:tcPr>
          <w:p w14:paraId="536573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0,911</w:t>
            </w:r>
          </w:p>
        </w:tc>
        <w:tc>
          <w:tcPr>
            <w:tcW w:w="527" w:type="dxa"/>
          </w:tcPr>
          <w:p w14:paraId="76171E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6FF883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33,9</w:t>
            </w:r>
          </w:p>
        </w:tc>
        <w:tc>
          <w:tcPr>
            <w:tcW w:w="560" w:type="dxa"/>
          </w:tcPr>
          <w:p w14:paraId="2BCCA4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3700</w:t>
            </w:r>
          </w:p>
        </w:tc>
        <w:tc>
          <w:tcPr>
            <w:tcW w:w="524" w:type="dxa"/>
          </w:tcPr>
          <w:p w14:paraId="64C106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5C1834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70" w:type="dxa"/>
          </w:tcPr>
          <w:p w14:paraId="279D99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640708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1175</w:t>
            </w:r>
          </w:p>
        </w:tc>
        <w:tc>
          <w:tcPr>
            <w:tcW w:w="554" w:type="dxa"/>
          </w:tcPr>
          <w:p w14:paraId="7CD3A9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0,79</w:t>
            </w:r>
          </w:p>
        </w:tc>
        <w:tc>
          <w:tcPr>
            <w:tcW w:w="573" w:type="dxa"/>
          </w:tcPr>
          <w:p w14:paraId="5F18C8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810</w:t>
            </w:r>
          </w:p>
        </w:tc>
        <w:tc>
          <w:tcPr>
            <w:tcW w:w="572" w:type="dxa"/>
          </w:tcPr>
          <w:p w14:paraId="54C3EB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572" w:type="dxa"/>
          </w:tcPr>
          <w:p w14:paraId="7B2955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396" w:type="dxa"/>
          </w:tcPr>
          <w:p w14:paraId="7BC226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w:t>
            </w:r>
          </w:p>
        </w:tc>
        <w:tc>
          <w:tcPr>
            <w:tcW w:w="416" w:type="dxa"/>
          </w:tcPr>
          <w:p w14:paraId="624557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192A90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4E6BB2B4" w14:textId="77777777" w:rsidTr="009223E5">
        <w:tc>
          <w:tcPr>
            <w:tcW w:w="675" w:type="dxa"/>
          </w:tcPr>
          <w:p w14:paraId="31E558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Даймлер-Бенц 601форсир.</w:t>
            </w:r>
          </w:p>
        </w:tc>
        <w:tc>
          <w:tcPr>
            <w:tcW w:w="874" w:type="dxa"/>
          </w:tcPr>
          <w:p w14:paraId="4674C3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У-образный 12 цилиндров перевернутый</w:t>
            </w:r>
          </w:p>
        </w:tc>
        <w:tc>
          <w:tcPr>
            <w:tcW w:w="536" w:type="dxa"/>
          </w:tcPr>
          <w:p w14:paraId="088E99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575" w:type="dxa"/>
          </w:tcPr>
          <w:p w14:paraId="61AD05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38" w:type="dxa"/>
          </w:tcPr>
          <w:p w14:paraId="45A608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w:t>
            </w:r>
          </w:p>
        </w:tc>
        <w:tc>
          <w:tcPr>
            <w:tcW w:w="527" w:type="dxa"/>
          </w:tcPr>
          <w:p w14:paraId="0DA6A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0,91</w:t>
            </w:r>
          </w:p>
        </w:tc>
        <w:tc>
          <w:tcPr>
            <w:tcW w:w="527" w:type="dxa"/>
          </w:tcPr>
          <w:p w14:paraId="4DCF49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27" w:type="dxa"/>
          </w:tcPr>
          <w:p w14:paraId="244EC7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33,9</w:t>
            </w:r>
          </w:p>
        </w:tc>
        <w:tc>
          <w:tcPr>
            <w:tcW w:w="560" w:type="dxa"/>
          </w:tcPr>
          <w:p w14:paraId="7D4E93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524" w:type="dxa"/>
          </w:tcPr>
          <w:p w14:paraId="4A7238E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47" w:type="dxa"/>
          </w:tcPr>
          <w:p w14:paraId="1AFE28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236EFD8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74004C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54" w:type="dxa"/>
          </w:tcPr>
          <w:p w14:paraId="4A7C0B4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Pr>
          <w:p w14:paraId="13C96C7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3152407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3B7FA9B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2B9D8EF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5682854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683EDB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w:t>
            </w:r>
          </w:p>
        </w:tc>
      </w:tr>
      <w:tr w:rsidR="007D5DF8" w:rsidRPr="00DB5D0D" w14:paraId="253ACF9D" w14:textId="77777777" w:rsidTr="009223E5">
        <w:tc>
          <w:tcPr>
            <w:tcW w:w="675" w:type="dxa"/>
          </w:tcPr>
          <w:p w14:paraId="14B37D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М-71</w:t>
            </w:r>
          </w:p>
        </w:tc>
        <w:tc>
          <w:tcPr>
            <w:tcW w:w="874" w:type="dxa"/>
          </w:tcPr>
          <w:p w14:paraId="44DAF1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рядная звезда 18 цилиндров</w:t>
            </w:r>
          </w:p>
        </w:tc>
        <w:tc>
          <w:tcPr>
            <w:tcW w:w="536" w:type="dxa"/>
          </w:tcPr>
          <w:p w14:paraId="1E81D9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w:t>
            </w:r>
          </w:p>
        </w:tc>
        <w:tc>
          <w:tcPr>
            <w:tcW w:w="575" w:type="dxa"/>
          </w:tcPr>
          <w:p w14:paraId="767215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638" w:type="dxa"/>
          </w:tcPr>
          <w:p w14:paraId="11C120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527" w:type="dxa"/>
          </w:tcPr>
          <w:p w14:paraId="38FE7B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527" w:type="dxa"/>
          </w:tcPr>
          <w:p w14:paraId="15D5F3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527" w:type="dxa"/>
          </w:tcPr>
          <w:p w14:paraId="4BDE55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59,6</w:t>
            </w:r>
          </w:p>
        </w:tc>
        <w:tc>
          <w:tcPr>
            <w:tcW w:w="560" w:type="dxa"/>
          </w:tcPr>
          <w:p w14:paraId="2B76345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70C24E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695C02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w:t>
            </w:r>
          </w:p>
        </w:tc>
        <w:tc>
          <w:tcPr>
            <w:tcW w:w="570" w:type="dxa"/>
          </w:tcPr>
          <w:p w14:paraId="09C72F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39702A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554" w:type="dxa"/>
          </w:tcPr>
          <w:p w14:paraId="1F1C0B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0,78</w:t>
            </w:r>
          </w:p>
        </w:tc>
        <w:tc>
          <w:tcPr>
            <w:tcW w:w="573" w:type="dxa"/>
          </w:tcPr>
          <w:p w14:paraId="11E6B0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1480</w:t>
            </w:r>
          </w:p>
        </w:tc>
        <w:tc>
          <w:tcPr>
            <w:tcW w:w="572" w:type="dxa"/>
          </w:tcPr>
          <w:p w14:paraId="5A09D8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305/335</w:t>
            </w:r>
          </w:p>
        </w:tc>
        <w:tc>
          <w:tcPr>
            <w:tcW w:w="572" w:type="dxa"/>
          </w:tcPr>
          <w:p w14:paraId="46CD11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290/310</w:t>
            </w:r>
          </w:p>
        </w:tc>
        <w:tc>
          <w:tcPr>
            <w:tcW w:w="396" w:type="dxa"/>
          </w:tcPr>
          <w:p w14:paraId="441A78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468E64B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5FBB08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w:t>
            </w:r>
          </w:p>
        </w:tc>
      </w:tr>
      <w:tr w:rsidR="007D5DF8" w:rsidRPr="00DB5D0D" w14:paraId="02EBABAE" w14:textId="77777777" w:rsidTr="009223E5">
        <w:tc>
          <w:tcPr>
            <w:tcW w:w="675" w:type="dxa"/>
          </w:tcPr>
          <w:p w14:paraId="5C3B78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М-120</w:t>
            </w:r>
          </w:p>
        </w:tc>
        <w:tc>
          <w:tcPr>
            <w:tcW w:w="874" w:type="dxa"/>
          </w:tcPr>
          <w:p w14:paraId="709438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Y-образный</w:t>
            </w:r>
          </w:p>
        </w:tc>
        <w:tc>
          <w:tcPr>
            <w:tcW w:w="536" w:type="dxa"/>
          </w:tcPr>
          <w:p w14:paraId="01564B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c>
          <w:tcPr>
            <w:tcW w:w="575" w:type="dxa"/>
          </w:tcPr>
          <w:p w14:paraId="6694B5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638" w:type="dxa"/>
          </w:tcPr>
          <w:p w14:paraId="72097C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527" w:type="dxa"/>
          </w:tcPr>
          <w:p w14:paraId="710834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0,97</w:t>
            </w:r>
          </w:p>
        </w:tc>
        <w:tc>
          <w:tcPr>
            <w:tcW w:w="527" w:type="dxa"/>
          </w:tcPr>
          <w:p w14:paraId="62D6DD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6806C9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52,8</w:t>
            </w:r>
          </w:p>
        </w:tc>
        <w:tc>
          <w:tcPr>
            <w:tcW w:w="560" w:type="dxa"/>
          </w:tcPr>
          <w:p w14:paraId="675CB7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524" w:type="dxa"/>
          </w:tcPr>
          <w:p w14:paraId="6AE7E6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5D905E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067470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3C0C30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1800</w:t>
            </w:r>
          </w:p>
        </w:tc>
        <w:tc>
          <w:tcPr>
            <w:tcW w:w="554" w:type="dxa"/>
          </w:tcPr>
          <w:p w14:paraId="3AAD3D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w:t>
            </w:r>
          </w:p>
        </w:tc>
        <w:tc>
          <w:tcPr>
            <w:tcW w:w="573" w:type="dxa"/>
          </w:tcPr>
          <w:p w14:paraId="232698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2" w:type="dxa"/>
          </w:tcPr>
          <w:p w14:paraId="1AB1CD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300/315</w:t>
            </w:r>
          </w:p>
        </w:tc>
        <w:tc>
          <w:tcPr>
            <w:tcW w:w="572" w:type="dxa"/>
          </w:tcPr>
          <w:p w14:paraId="322C8E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396" w:type="dxa"/>
          </w:tcPr>
          <w:p w14:paraId="726CAC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4E15E0B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385A7F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доводке</w:t>
            </w:r>
          </w:p>
        </w:tc>
      </w:tr>
      <w:tr w:rsidR="007D5DF8" w:rsidRPr="00DB5D0D" w14:paraId="63B27C1D" w14:textId="77777777" w:rsidTr="009223E5">
        <w:tc>
          <w:tcPr>
            <w:tcW w:w="675" w:type="dxa"/>
          </w:tcPr>
          <w:p w14:paraId="2625E5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М-81</w:t>
            </w:r>
          </w:p>
        </w:tc>
        <w:tc>
          <w:tcPr>
            <w:tcW w:w="874" w:type="dxa"/>
          </w:tcPr>
          <w:p w14:paraId="16D823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воздушного 2-х рядный 14 цилиндров</w:t>
            </w:r>
          </w:p>
        </w:tc>
        <w:tc>
          <w:tcPr>
            <w:tcW w:w="536" w:type="dxa"/>
          </w:tcPr>
          <w:p w14:paraId="7CD26F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575" w:type="dxa"/>
          </w:tcPr>
          <w:p w14:paraId="3014CF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638" w:type="dxa"/>
          </w:tcPr>
          <w:p w14:paraId="295A93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527" w:type="dxa"/>
          </w:tcPr>
          <w:p w14:paraId="12E055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527" w:type="dxa"/>
          </w:tcPr>
          <w:p w14:paraId="4341A5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w:t>
            </w:r>
          </w:p>
        </w:tc>
        <w:tc>
          <w:tcPr>
            <w:tcW w:w="527" w:type="dxa"/>
          </w:tcPr>
          <w:p w14:paraId="487DD3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46,3</w:t>
            </w:r>
          </w:p>
        </w:tc>
        <w:tc>
          <w:tcPr>
            <w:tcW w:w="560" w:type="dxa"/>
          </w:tcPr>
          <w:p w14:paraId="1E329C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5250</w:t>
            </w:r>
          </w:p>
        </w:tc>
        <w:tc>
          <w:tcPr>
            <w:tcW w:w="524" w:type="dxa"/>
          </w:tcPr>
          <w:p w14:paraId="169BD3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72FCCE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w:t>
            </w:r>
          </w:p>
        </w:tc>
        <w:tc>
          <w:tcPr>
            <w:tcW w:w="570" w:type="dxa"/>
          </w:tcPr>
          <w:p w14:paraId="677A90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w:t>
            </w:r>
          </w:p>
        </w:tc>
        <w:tc>
          <w:tcPr>
            <w:tcW w:w="570" w:type="dxa"/>
          </w:tcPr>
          <w:p w14:paraId="641045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c>
          <w:tcPr>
            <w:tcW w:w="554" w:type="dxa"/>
          </w:tcPr>
          <w:p w14:paraId="5F3432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0,76</w:t>
            </w:r>
          </w:p>
        </w:tc>
        <w:tc>
          <w:tcPr>
            <w:tcW w:w="573" w:type="dxa"/>
          </w:tcPr>
          <w:p w14:paraId="7072B0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1180</w:t>
            </w:r>
          </w:p>
        </w:tc>
        <w:tc>
          <w:tcPr>
            <w:tcW w:w="572" w:type="dxa"/>
          </w:tcPr>
          <w:p w14:paraId="7AF508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305/325</w:t>
            </w:r>
          </w:p>
        </w:tc>
        <w:tc>
          <w:tcPr>
            <w:tcW w:w="572" w:type="dxa"/>
          </w:tcPr>
          <w:p w14:paraId="255BBA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290/310</w:t>
            </w:r>
          </w:p>
        </w:tc>
        <w:tc>
          <w:tcPr>
            <w:tcW w:w="396" w:type="dxa"/>
          </w:tcPr>
          <w:p w14:paraId="4B1399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49E9ADF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24C2E4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w:t>
            </w:r>
          </w:p>
        </w:tc>
      </w:tr>
      <w:tr w:rsidR="007D5DF8" w:rsidRPr="00DB5D0D" w14:paraId="48B5697E" w14:textId="77777777" w:rsidTr="009223E5">
        <w:tc>
          <w:tcPr>
            <w:tcW w:w="675" w:type="dxa"/>
          </w:tcPr>
          <w:p w14:paraId="51505E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М-90</w:t>
            </w:r>
          </w:p>
        </w:tc>
        <w:tc>
          <w:tcPr>
            <w:tcW w:w="874" w:type="dxa"/>
          </w:tcPr>
          <w:p w14:paraId="134F82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2-х рядная звезда 18 </w:t>
            </w:r>
            <w:r w:rsidRPr="00DB5D0D">
              <w:rPr>
                <w:rFonts w:ascii="Times New Roman" w:hAnsi="Times New Roman"/>
                <w:color w:val="000000" w:themeColor="text1"/>
                <w:sz w:val="16"/>
                <w:szCs w:val="16"/>
              </w:rPr>
              <w:lastRenderedPageBreak/>
              <w:t>цилиндров</w:t>
            </w:r>
          </w:p>
        </w:tc>
        <w:tc>
          <w:tcPr>
            <w:tcW w:w="536" w:type="dxa"/>
          </w:tcPr>
          <w:p w14:paraId="6C5517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405</w:t>
            </w:r>
          </w:p>
        </w:tc>
        <w:tc>
          <w:tcPr>
            <w:tcW w:w="575" w:type="dxa"/>
          </w:tcPr>
          <w:p w14:paraId="1760CB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638" w:type="dxa"/>
          </w:tcPr>
          <w:p w14:paraId="775B4A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527" w:type="dxa"/>
          </w:tcPr>
          <w:p w14:paraId="04451B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w:t>
            </w:r>
          </w:p>
        </w:tc>
        <w:tc>
          <w:tcPr>
            <w:tcW w:w="527" w:type="dxa"/>
          </w:tcPr>
          <w:p w14:paraId="6A3B62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w:t>
            </w:r>
          </w:p>
        </w:tc>
        <w:tc>
          <w:tcPr>
            <w:tcW w:w="527" w:type="dxa"/>
          </w:tcPr>
          <w:p w14:paraId="033E79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49,5</w:t>
            </w:r>
          </w:p>
        </w:tc>
        <w:tc>
          <w:tcPr>
            <w:tcW w:w="560" w:type="dxa"/>
          </w:tcPr>
          <w:p w14:paraId="0ED39B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524" w:type="dxa"/>
          </w:tcPr>
          <w:p w14:paraId="66F777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w:t>
            </w:r>
            <w:r w:rsidRPr="00DB5D0D">
              <w:rPr>
                <w:rFonts w:ascii="Times New Roman" w:hAnsi="Times New Roman"/>
                <w:color w:val="000000" w:themeColor="text1"/>
                <w:sz w:val="16"/>
                <w:szCs w:val="16"/>
              </w:rPr>
              <w:lastRenderedPageBreak/>
              <w:t>ростной</w:t>
            </w:r>
          </w:p>
        </w:tc>
        <w:tc>
          <w:tcPr>
            <w:tcW w:w="647" w:type="dxa"/>
          </w:tcPr>
          <w:p w14:paraId="3EA9F8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1500</w:t>
            </w:r>
          </w:p>
        </w:tc>
        <w:tc>
          <w:tcPr>
            <w:tcW w:w="570" w:type="dxa"/>
          </w:tcPr>
          <w:p w14:paraId="19B32E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0A07BB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1750</w:t>
            </w:r>
          </w:p>
        </w:tc>
        <w:tc>
          <w:tcPr>
            <w:tcW w:w="554" w:type="dxa"/>
          </w:tcPr>
          <w:p w14:paraId="65B4AD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0,59</w:t>
            </w:r>
          </w:p>
        </w:tc>
        <w:tc>
          <w:tcPr>
            <w:tcW w:w="573" w:type="dxa"/>
          </w:tcPr>
          <w:p w14:paraId="5F6E2E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2" w:type="dxa"/>
          </w:tcPr>
          <w:p w14:paraId="20F7E0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300/315</w:t>
            </w:r>
          </w:p>
        </w:tc>
        <w:tc>
          <w:tcPr>
            <w:tcW w:w="572" w:type="dxa"/>
          </w:tcPr>
          <w:p w14:paraId="607793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396" w:type="dxa"/>
          </w:tcPr>
          <w:p w14:paraId="665DBC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3518CA3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131286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w:t>
            </w:r>
            <w:r w:rsidRPr="00DB5D0D">
              <w:rPr>
                <w:rFonts w:ascii="Times New Roman" w:hAnsi="Times New Roman"/>
                <w:color w:val="000000" w:themeColor="text1"/>
                <w:sz w:val="16"/>
                <w:szCs w:val="16"/>
              </w:rPr>
              <w:lastRenderedPageBreak/>
              <w:t>тный</w:t>
            </w:r>
          </w:p>
        </w:tc>
      </w:tr>
      <w:tr w:rsidR="007D5DF8" w:rsidRPr="00DB5D0D" w14:paraId="7B0D246B" w14:textId="77777777" w:rsidTr="009223E5">
        <w:tc>
          <w:tcPr>
            <w:tcW w:w="675" w:type="dxa"/>
          </w:tcPr>
          <w:p w14:paraId="729CE6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М-105</w:t>
            </w:r>
          </w:p>
        </w:tc>
        <w:tc>
          <w:tcPr>
            <w:tcW w:w="874" w:type="dxa"/>
          </w:tcPr>
          <w:p w14:paraId="0847AE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40F8E8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c>
          <w:tcPr>
            <w:tcW w:w="575" w:type="dxa"/>
          </w:tcPr>
          <w:p w14:paraId="27FE16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638" w:type="dxa"/>
          </w:tcPr>
          <w:p w14:paraId="59B6FB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570</w:t>
            </w:r>
          </w:p>
        </w:tc>
        <w:tc>
          <w:tcPr>
            <w:tcW w:w="527" w:type="dxa"/>
          </w:tcPr>
          <w:p w14:paraId="5BCEBB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0,73</w:t>
            </w:r>
          </w:p>
        </w:tc>
        <w:tc>
          <w:tcPr>
            <w:tcW w:w="527" w:type="dxa"/>
          </w:tcPr>
          <w:p w14:paraId="24F342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23519C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560" w:type="dxa"/>
          </w:tcPr>
          <w:p w14:paraId="0CFECF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524" w:type="dxa"/>
          </w:tcPr>
          <w:p w14:paraId="266379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512E0E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6EE823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70" w:type="dxa"/>
          </w:tcPr>
          <w:p w14:paraId="5AA1ED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54" w:type="dxa"/>
          </w:tcPr>
          <w:p w14:paraId="1123CF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0,71</w:t>
            </w:r>
          </w:p>
        </w:tc>
        <w:tc>
          <w:tcPr>
            <w:tcW w:w="573" w:type="dxa"/>
          </w:tcPr>
          <w:p w14:paraId="25E8F7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572" w:type="dxa"/>
          </w:tcPr>
          <w:p w14:paraId="7567AF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572" w:type="dxa"/>
          </w:tcPr>
          <w:p w14:paraId="25C23C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245/260</w:t>
            </w:r>
          </w:p>
        </w:tc>
        <w:tc>
          <w:tcPr>
            <w:tcW w:w="396" w:type="dxa"/>
          </w:tcPr>
          <w:p w14:paraId="278662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6981FB1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3A8AD4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138CAC79" w14:textId="77777777" w:rsidTr="009223E5">
        <w:tc>
          <w:tcPr>
            <w:tcW w:w="675" w:type="dxa"/>
          </w:tcPr>
          <w:p w14:paraId="423B12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М-35</w:t>
            </w:r>
          </w:p>
        </w:tc>
        <w:tc>
          <w:tcPr>
            <w:tcW w:w="874" w:type="dxa"/>
          </w:tcPr>
          <w:p w14:paraId="6F44C5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3C635E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575" w:type="dxa"/>
          </w:tcPr>
          <w:p w14:paraId="4B3F32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w:t>
            </w:r>
          </w:p>
        </w:tc>
        <w:tc>
          <w:tcPr>
            <w:tcW w:w="638" w:type="dxa"/>
          </w:tcPr>
          <w:p w14:paraId="5285F8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c>
          <w:tcPr>
            <w:tcW w:w="527" w:type="dxa"/>
          </w:tcPr>
          <w:p w14:paraId="789AE7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0,95</w:t>
            </w:r>
          </w:p>
        </w:tc>
        <w:tc>
          <w:tcPr>
            <w:tcW w:w="527" w:type="dxa"/>
          </w:tcPr>
          <w:p w14:paraId="69BD1C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17064A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44,7</w:t>
            </w:r>
          </w:p>
        </w:tc>
        <w:tc>
          <w:tcPr>
            <w:tcW w:w="560" w:type="dxa"/>
          </w:tcPr>
          <w:p w14:paraId="67699C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c>
          <w:tcPr>
            <w:tcW w:w="524" w:type="dxa"/>
          </w:tcPr>
          <w:p w14:paraId="59A262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45A9BA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1B54EC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1130</w:t>
            </w:r>
          </w:p>
        </w:tc>
        <w:tc>
          <w:tcPr>
            <w:tcW w:w="570" w:type="dxa"/>
          </w:tcPr>
          <w:p w14:paraId="23F95D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3085AF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0,81</w:t>
            </w:r>
          </w:p>
        </w:tc>
        <w:tc>
          <w:tcPr>
            <w:tcW w:w="573" w:type="dxa"/>
          </w:tcPr>
          <w:p w14:paraId="13AD88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980</w:t>
            </w:r>
          </w:p>
        </w:tc>
        <w:tc>
          <w:tcPr>
            <w:tcW w:w="572" w:type="dxa"/>
          </w:tcPr>
          <w:p w14:paraId="0361FC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572" w:type="dxa"/>
          </w:tcPr>
          <w:p w14:paraId="612F83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245/260</w:t>
            </w:r>
          </w:p>
        </w:tc>
        <w:tc>
          <w:tcPr>
            <w:tcW w:w="396" w:type="dxa"/>
          </w:tcPr>
          <w:p w14:paraId="76DC78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416" w:type="dxa"/>
          </w:tcPr>
          <w:p w14:paraId="02FAD30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6B7F73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6BB171D8" w14:textId="77777777" w:rsidTr="009223E5">
        <w:tc>
          <w:tcPr>
            <w:tcW w:w="675" w:type="dxa"/>
          </w:tcPr>
          <w:p w14:paraId="16C157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tc>
        <w:tc>
          <w:tcPr>
            <w:tcW w:w="874" w:type="dxa"/>
          </w:tcPr>
          <w:p w14:paraId="124996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2C1B5B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w:t>
            </w:r>
          </w:p>
        </w:tc>
        <w:tc>
          <w:tcPr>
            <w:tcW w:w="575" w:type="dxa"/>
          </w:tcPr>
          <w:p w14:paraId="30813B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1060</w:t>
            </w:r>
          </w:p>
        </w:tc>
        <w:tc>
          <w:tcPr>
            <w:tcW w:w="638" w:type="dxa"/>
          </w:tcPr>
          <w:p w14:paraId="68D06F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527" w:type="dxa"/>
          </w:tcPr>
          <w:p w14:paraId="1F554B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0,98</w:t>
            </w:r>
          </w:p>
        </w:tc>
        <w:tc>
          <w:tcPr>
            <w:tcW w:w="527" w:type="dxa"/>
          </w:tcPr>
          <w:p w14:paraId="262EB8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697280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41,6</w:t>
            </w:r>
          </w:p>
        </w:tc>
        <w:tc>
          <w:tcPr>
            <w:tcW w:w="560" w:type="dxa"/>
          </w:tcPr>
          <w:p w14:paraId="68AD3E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6200</w:t>
            </w:r>
          </w:p>
        </w:tc>
        <w:tc>
          <w:tcPr>
            <w:tcW w:w="524" w:type="dxa"/>
          </w:tcPr>
          <w:p w14:paraId="59497E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739490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258671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70" w:type="dxa"/>
          </w:tcPr>
          <w:p w14:paraId="31B99E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38F677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w:t>
            </w:r>
          </w:p>
        </w:tc>
        <w:tc>
          <w:tcPr>
            <w:tcW w:w="573" w:type="dxa"/>
          </w:tcPr>
          <w:p w14:paraId="625317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1240</w:t>
            </w:r>
          </w:p>
        </w:tc>
        <w:tc>
          <w:tcPr>
            <w:tcW w:w="572" w:type="dxa"/>
          </w:tcPr>
          <w:p w14:paraId="28C23D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572" w:type="dxa"/>
          </w:tcPr>
          <w:p w14:paraId="3EBFEA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396" w:type="dxa"/>
          </w:tcPr>
          <w:p w14:paraId="63A02E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w:t>
            </w:r>
          </w:p>
        </w:tc>
        <w:tc>
          <w:tcPr>
            <w:tcW w:w="416" w:type="dxa"/>
          </w:tcPr>
          <w:p w14:paraId="131CA8F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4D8B15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 50 час</w:t>
            </w:r>
          </w:p>
        </w:tc>
      </w:tr>
      <w:tr w:rsidR="007D5DF8" w:rsidRPr="00DB5D0D" w14:paraId="0CCAB630" w14:textId="77777777" w:rsidTr="009223E5">
        <w:tc>
          <w:tcPr>
            <w:tcW w:w="675" w:type="dxa"/>
          </w:tcPr>
          <w:p w14:paraId="11696B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АМ-37</w:t>
            </w:r>
          </w:p>
        </w:tc>
        <w:tc>
          <w:tcPr>
            <w:tcW w:w="874" w:type="dxa"/>
          </w:tcPr>
          <w:p w14:paraId="144617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6011C1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430</w:t>
            </w:r>
          </w:p>
        </w:tc>
        <w:tc>
          <w:tcPr>
            <w:tcW w:w="575" w:type="dxa"/>
          </w:tcPr>
          <w:p w14:paraId="242DF8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1210</w:t>
            </w:r>
          </w:p>
        </w:tc>
        <w:tc>
          <w:tcPr>
            <w:tcW w:w="638" w:type="dxa"/>
          </w:tcPr>
          <w:p w14:paraId="12ABD5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527" w:type="dxa"/>
          </w:tcPr>
          <w:p w14:paraId="653153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0,98</w:t>
            </w:r>
          </w:p>
        </w:tc>
        <w:tc>
          <w:tcPr>
            <w:tcW w:w="527" w:type="dxa"/>
          </w:tcPr>
          <w:p w14:paraId="305B11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30AB36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41,6</w:t>
            </w:r>
          </w:p>
        </w:tc>
        <w:tc>
          <w:tcPr>
            <w:tcW w:w="560" w:type="dxa"/>
          </w:tcPr>
          <w:p w14:paraId="334B78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6300</w:t>
            </w:r>
          </w:p>
        </w:tc>
        <w:tc>
          <w:tcPr>
            <w:tcW w:w="524" w:type="dxa"/>
          </w:tcPr>
          <w:p w14:paraId="7158D4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77EB94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70" w:type="dxa"/>
          </w:tcPr>
          <w:p w14:paraId="23A542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1250</w:t>
            </w:r>
          </w:p>
        </w:tc>
        <w:tc>
          <w:tcPr>
            <w:tcW w:w="570" w:type="dxa"/>
          </w:tcPr>
          <w:p w14:paraId="15FFF9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54" w:type="dxa"/>
          </w:tcPr>
          <w:p w14:paraId="181D27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0,61</w:t>
            </w:r>
          </w:p>
        </w:tc>
        <w:tc>
          <w:tcPr>
            <w:tcW w:w="573" w:type="dxa"/>
          </w:tcPr>
          <w:p w14:paraId="3188B5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1460</w:t>
            </w:r>
          </w:p>
        </w:tc>
        <w:tc>
          <w:tcPr>
            <w:tcW w:w="572" w:type="dxa"/>
          </w:tcPr>
          <w:p w14:paraId="64A9AC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572" w:type="dxa"/>
          </w:tcPr>
          <w:p w14:paraId="5C4D7E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396" w:type="dxa"/>
          </w:tcPr>
          <w:p w14:paraId="23F166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w:t>
            </w:r>
          </w:p>
        </w:tc>
        <w:tc>
          <w:tcPr>
            <w:tcW w:w="416" w:type="dxa"/>
          </w:tcPr>
          <w:p w14:paraId="7EE58DF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478322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 50 час</w:t>
            </w:r>
          </w:p>
        </w:tc>
      </w:tr>
      <w:tr w:rsidR="007D5DF8" w:rsidRPr="00DB5D0D" w14:paraId="56D6C5B8" w14:textId="77777777" w:rsidTr="009223E5">
        <w:tc>
          <w:tcPr>
            <w:tcW w:w="675" w:type="dxa"/>
          </w:tcPr>
          <w:p w14:paraId="57BC05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210ВА</w:t>
            </w:r>
          </w:p>
        </w:tc>
        <w:tc>
          <w:tcPr>
            <w:tcW w:w="874" w:type="dxa"/>
          </w:tcPr>
          <w:p w14:paraId="6338B7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Pr>
          <w:p w14:paraId="11E9BA5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Pr>
          <w:p w14:paraId="4E9E521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Pr>
          <w:p w14:paraId="2ABFA52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152EB0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3B48B71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6FA5F89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Pr>
          <w:p w14:paraId="4D3F0BB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06B0D7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494CE9C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26B1F45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13F6FD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0562407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Pr>
          <w:p w14:paraId="254EBAE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58648B2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243A43B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6A4464F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5CE285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79308E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521B4AA0" w14:textId="77777777" w:rsidTr="009223E5">
        <w:tc>
          <w:tcPr>
            <w:tcW w:w="675" w:type="dxa"/>
          </w:tcPr>
          <w:p w14:paraId="086C17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211LF</w:t>
            </w:r>
          </w:p>
        </w:tc>
        <w:tc>
          <w:tcPr>
            <w:tcW w:w="874" w:type="dxa"/>
          </w:tcPr>
          <w:p w14:paraId="35C148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Pr>
          <w:p w14:paraId="52FE911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Pr>
          <w:p w14:paraId="0B116CF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Pr>
          <w:p w14:paraId="368DDD0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7B65303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73F732D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6D66A7B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Pr>
          <w:p w14:paraId="163C0AB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1872F6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0D6B44A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67361BF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21DC27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15D3FB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0?68</w:t>
            </w:r>
          </w:p>
        </w:tc>
        <w:tc>
          <w:tcPr>
            <w:tcW w:w="573" w:type="dxa"/>
          </w:tcPr>
          <w:p w14:paraId="005B20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940</w:t>
            </w:r>
          </w:p>
        </w:tc>
        <w:tc>
          <w:tcPr>
            <w:tcW w:w="572" w:type="dxa"/>
          </w:tcPr>
          <w:p w14:paraId="4303E5F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079A703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4ACF4E9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0E06A6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302337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5B9F5A56" w14:textId="77777777" w:rsidTr="009223E5">
        <w:tc>
          <w:tcPr>
            <w:tcW w:w="675" w:type="dxa"/>
            <w:tcBorders>
              <w:bottom w:val="single" w:sz="12" w:space="0" w:color="auto"/>
            </w:tcBorders>
          </w:tcPr>
          <w:p w14:paraId="7C0ABC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210G</w:t>
            </w:r>
          </w:p>
        </w:tc>
        <w:tc>
          <w:tcPr>
            <w:tcW w:w="874" w:type="dxa"/>
            <w:tcBorders>
              <w:bottom w:val="single" w:sz="12" w:space="0" w:color="auto"/>
            </w:tcBorders>
          </w:tcPr>
          <w:p w14:paraId="42DF4B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Borders>
              <w:bottom w:val="single" w:sz="12" w:space="0" w:color="auto"/>
            </w:tcBorders>
          </w:tcPr>
          <w:p w14:paraId="0B6BB1D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Borders>
              <w:bottom w:val="single" w:sz="12" w:space="0" w:color="auto"/>
            </w:tcBorders>
          </w:tcPr>
          <w:p w14:paraId="3D92720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Borders>
              <w:bottom w:val="single" w:sz="12" w:space="0" w:color="auto"/>
            </w:tcBorders>
          </w:tcPr>
          <w:p w14:paraId="362E3A9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268B3D0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46B00A0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6A7DB75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Borders>
              <w:bottom w:val="single" w:sz="12" w:space="0" w:color="auto"/>
            </w:tcBorders>
          </w:tcPr>
          <w:p w14:paraId="73F0382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Borders>
              <w:bottom w:val="single" w:sz="12" w:space="0" w:color="auto"/>
            </w:tcBorders>
          </w:tcPr>
          <w:p w14:paraId="61A855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Borders>
              <w:bottom w:val="single" w:sz="12" w:space="0" w:color="auto"/>
            </w:tcBorders>
          </w:tcPr>
          <w:p w14:paraId="11DBE4A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Borders>
              <w:bottom w:val="single" w:sz="12" w:space="0" w:color="auto"/>
            </w:tcBorders>
          </w:tcPr>
          <w:p w14:paraId="3BDF911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Borders>
              <w:bottom w:val="single" w:sz="12" w:space="0" w:color="auto"/>
            </w:tcBorders>
          </w:tcPr>
          <w:p w14:paraId="0ACD0E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554" w:type="dxa"/>
            <w:tcBorders>
              <w:bottom w:val="single" w:sz="12" w:space="0" w:color="auto"/>
            </w:tcBorders>
          </w:tcPr>
          <w:p w14:paraId="77A19AA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Borders>
              <w:bottom w:val="single" w:sz="12" w:space="0" w:color="auto"/>
            </w:tcBorders>
          </w:tcPr>
          <w:p w14:paraId="0DB7223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Borders>
              <w:bottom w:val="single" w:sz="12" w:space="0" w:color="auto"/>
            </w:tcBorders>
          </w:tcPr>
          <w:p w14:paraId="45A90D5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Borders>
              <w:bottom w:val="single" w:sz="12" w:space="0" w:color="auto"/>
            </w:tcBorders>
          </w:tcPr>
          <w:p w14:paraId="0172CA7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Borders>
              <w:bottom w:val="single" w:sz="12" w:space="0" w:color="auto"/>
            </w:tcBorders>
          </w:tcPr>
          <w:p w14:paraId="2BCEA9C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Borders>
              <w:bottom w:val="single" w:sz="12" w:space="0" w:color="auto"/>
            </w:tcBorders>
          </w:tcPr>
          <w:p w14:paraId="3253E9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Borders>
              <w:bottom w:val="single" w:sz="12" w:space="0" w:color="auto"/>
            </w:tcBorders>
          </w:tcPr>
          <w:p w14:paraId="583746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bl>
    <w:p w14:paraId="0B5984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(801,1).</w:t>
      </w:r>
    </w:p>
    <w:p w14:paraId="0440453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AAFB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начальник 3 управления ГУАС военинженер 1 ранга Никонов и военный комиссар 3 управления ГУАС военный инженер 2 ранга Матаев</w:t>
      </w:r>
    </w:p>
    <w:p w14:paraId="2A91B9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Утверждаю:</w:t>
      </w:r>
    </w:p>
    <w:p w14:paraId="337AE4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начальник ГУАС комдив Алексеев и военный комиссар ГУАС бригадный комиссар Князев</w:t>
      </w:r>
    </w:p>
    <w:p w14:paraId="0CA639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Тактико-технические требования на 37 мм автоматическую авиационную пушку большой мощности</w:t>
      </w:r>
    </w:p>
    <w:p w14:paraId="5FFC5DA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мм пушка большой мощности предназначается для неподвижной установки на специальные пушечные скоростные самолеты, т.е. для стрельбы через втулку винта, для установки в фюзеляже, в крыле самолета и т.п.</w:t>
      </w:r>
    </w:p>
    <w:p w14:paraId="6FA0A20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пушки вместе с магазином без патронов или приемником патронов, с противооткатным устройством, пневмоперезарядкой и установкой на моторе – не более 200 кг.</w:t>
      </w:r>
    </w:p>
    <w:p w14:paraId="0075F89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Начальная скорость снаряда 870-900 м/сек.</w:t>
      </w:r>
    </w:p>
    <w:p w14:paraId="48CF468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снаряда 0,7 кг (по чертежу АУ РККА).</w:t>
      </w:r>
    </w:p>
    <w:p w14:paraId="52D151F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 стрельбы не менее 200 выстр./мин.</w:t>
      </w:r>
    </w:p>
    <w:p w14:paraId="4341E9B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Питание должно обеспечивать непрерывный огонь не менее чем на 50 выстрелов. Для моторной пушки не менее 25 патронов.</w:t>
      </w:r>
    </w:p>
    <w:p w14:paraId="52AEDBE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быть правого и левого питания.</w:t>
      </w:r>
    </w:p>
    <w:p w14:paraId="19380EE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Усиление на цапфах при выстреле не должно превышать 1300 кг без применения дульного тормоза.</w:t>
      </w:r>
    </w:p>
    <w:p w14:paraId="169FAA4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Живучесть пушки должна быть в пределах 3000-4000 выстрелов, а живучесть отдельных мелких деталей, идущих в запас (защелки, второстепенные оси, шпильки и т.п.) должна быть не менее 750-1000 выстрелов.</w:t>
      </w:r>
    </w:p>
    <w:p w14:paraId="065425C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иметь пневматическую перезарядку и пневматический или электрический спуск, позволяющие летчику управлять стрельбой пушки в полете из кабины летчика.</w:t>
      </w:r>
    </w:p>
    <w:p w14:paraId="653A482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Габариты пушки должны позволять удобно разместить ее в самолете, не нарушая аэродинамических качеств современного самолета.</w:t>
      </w:r>
    </w:p>
    <w:p w14:paraId="07EE68C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быть совершенно безопасной при уходе и при стрельбе.</w:t>
      </w:r>
    </w:p>
    <w:p w14:paraId="6036F3C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безотказно работать при всех углах возвышения от – 65 градусов до + 50 градусов.</w:t>
      </w:r>
    </w:p>
    <w:p w14:paraId="373431A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не должна иметь задержек неустранимых в воздухе перезаряжанием. Задержки устранимые в воздухе перезаряжением, допускаются не более 0,5%.</w:t>
      </w:r>
    </w:p>
    <w:p w14:paraId="6861AB4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допускать безотказную стрельбу без чистки не менее 100 выстрелов.</w:t>
      </w:r>
    </w:p>
    <w:p w14:paraId="05F3E9C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допускать безотказную стрельбу в воздухе и на земле очередью в 15 патронов.</w:t>
      </w:r>
    </w:p>
    <w:p w14:paraId="795C593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безотказно работать на высоте до 10000 метров (3375,28-29).</w:t>
      </w:r>
    </w:p>
    <w:p w14:paraId="66D7C90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7F4906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 было письмо Заместителю наркома боеприпасов Хрепкову от исполняющего обязанности начальника 4-го ГУ НКБ Березина: «Для проведения ряда работ по исследованию кучности РС разработки НИИ-3 необходима площадка на софринском КИАП размером 100x300 м. На ней будут созданы: стационарные установки, оборудованные аппаратурой, дающей возможность фотографировать снаряд в полете. В выделении такой площадки заместителем начальника бюро комплектации тов. Григоровичем отказано. Прошу Вашего решения по данному вопросу» (11402).</w:t>
      </w:r>
    </w:p>
    <w:p w14:paraId="2F9AF6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6FEE93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C46A38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CFC27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в спешном порядке закончили дополнительные испытания пушки Л-11, установленной в танк Т-28, которые шли с 3 мая. В своих выводах комиссия, проводившая испытания, сообщала, что противооткатные устройства и спусковой механизм по своей конструкции не обеспечивают надежной работы, а полуавтоматика является сложной в эксплуатации. Вывод был категоричен: «Комиссия считает, что пушкой Л-11 вооружать танки нельзя».</w:t>
      </w:r>
    </w:p>
    <w:p w14:paraId="108E6D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Ознакомившись с этим документом, начальник АБТУ КА Д. Павлов сообшал в наркомат обороны:</w:t>
      </w:r>
    </w:p>
    <w:p w14:paraId="42FC9C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были проведены испытания улучшенного образца пушки Л-11, которые выяснили, что Л-11 не является надежной, не позволит вести стрельбу при угле снижения менее 10 градусов, весьма капризна и сложна в эксплуатации...</w:t>
      </w:r>
    </w:p>
    <w:p w14:paraId="6FFA45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До момента готовности системы Ф-32 считаю возможным устанавливать в танки Л-11 как временные, с последующей заменой их пушками Ф-32, запретив стрельбу из Л-11 под углами снижения больше 10 градусов» (12217).</w:t>
      </w:r>
    </w:p>
    <w:p w14:paraId="6F40B05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432D7E3" w14:textId="77777777" w:rsidR="0047286B" w:rsidRPr="00DB5D0D" w:rsidRDefault="0047286B"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мая 1940 г. на рассмотрение ГВС был представлен проект постановления о системе химического вооружения РККА, согласно которому химические минометные батальоны должны были быть перевооружены «минометами калибра 107 и 120-мм, принятыми на вооружение Красной Армии, имея в виду в дальнейшем вооружить эти батальоны, как армейское средство усиления, минометами более крупных калибров. Для минометов 82-мм, 107-мм и 120-мм, а также для более крупных калибров иметь в боекомплекте химические мины».</w:t>
      </w:r>
    </w:p>
    <w:p w14:paraId="2D90C36F"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Таким образом, была намечена крупномасштабная работа по увеличению объемов выпуска минометно-минного вооружения, расширению его номенклатуры и развитию соответствующих тематик в части научно-исследовательских разработок. На этом фоне ситуация, сложившая на головном предприятии по разработке и выпуску минометного вооружения, указанного в вышеупомянутых постановлениях ГВС РККА, - машиностроительном заводе №7, явно диссонировала с намеченными планами. (20074).</w:t>
      </w:r>
    </w:p>
    <w:p w14:paraId="25A633FF" w14:textId="77777777" w:rsidR="0047286B" w:rsidRPr="00DB5D0D" w:rsidRDefault="0047286B" w:rsidP="00DB5D0D">
      <w:pPr>
        <w:spacing w:after="0" w:line="240" w:lineRule="auto"/>
        <w:jc w:val="both"/>
        <w:rPr>
          <w:rFonts w:ascii="Times New Roman" w:hAnsi="Times New Roman"/>
          <w:color w:val="0070C0"/>
          <w:sz w:val="16"/>
          <w:szCs w:val="16"/>
        </w:rPr>
      </w:pPr>
    </w:p>
    <w:p w14:paraId="742579BA"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мая 1940 г. было подготовлено препроводительное письмо (записка) за № 0051/598038 ссна имя народного комиссара обороны Союза ССР Маршала Советского Союза С. К. Тимошенко:</w:t>
      </w:r>
    </w:p>
    <w:p w14:paraId="5CBBC855"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 сем представляю на утверждение Главного военного совета акт химической подкомиссии Главного военного совета с проектом постановления по системе химического вооружения Химического управления Красной Армии. Подкомиссия также просмотрела артиллерийское и авиационное химическое вооружение и одобрила их, проекты постановлений по этим вопросам представляют соответствующие Управления. Приложение: Акт комиссии с материалом по химическому вооружению на 13 листах. Начальник Химического управления Красной Армии комбриг Мельников, военком Химического управления Красной Армии полковой комиссар Дмитриев».</w:t>
      </w:r>
    </w:p>
    <w:p w14:paraId="2B015725"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Проект постановления ГВС о системе химического вооружения</w:t>
      </w:r>
    </w:p>
    <w:p w14:paraId="6D79005A"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w:t>
      </w:r>
      <w:r w:rsidRPr="00DB5D0D">
        <w:rPr>
          <w:rFonts w:ascii="Times New Roman" w:hAnsi="Times New Roman"/>
          <w:color w:val="0070C0"/>
          <w:sz w:val="16"/>
          <w:szCs w:val="16"/>
        </w:rPr>
        <w:tab/>
        <w:t>мая 1940 г.*</w:t>
      </w:r>
    </w:p>
    <w:p w14:paraId="560F7BB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Акт</w:t>
      </w:r>
    </w:p>
    <w:p w14:paraId="2B09575F"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9—10 мая 1940 г. химическая подкомиссия комиссии Главного военного совета под председательством командарма 2-го ранга Штерн в составе членов:</w:t>
      </w:r>
    </w:p>
    <w:p w14:paraId="2069AD15"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Начальника Химического управления комбрига Мельникова</w:t>
      </w:r>
    </w:p>
    <w:p w14:paraId="1121C2BE"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Военного комиссара Химического управления, полкового комиссара Дмитриева</w:t>
      </w:r>
    </w:p>
    <w:p w14:paraId="5738AAC5"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Начальника Автобронетанкового управления, командарма 2-го ранга Павлова</w:t>
      </w:r>
    </w:p>
    <w:p w14:paraId="33FC26CD"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Комиссара Автобронетанкового управления, дивизионного комиссара Куликова</w:t>
      </w:r>
    </w:p>
    <w:p w14:paraId="6B695B24"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Инспектора кавалерии, командарма 2-го ранга Городовикова</w:t>
      </w:r>
    </w:p>
    <w:p w14:paraId="43DA57A8"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Начальника Управления военно-технического снабжения, дивинженера Лебедева</w:t>
      </w:r>
    </w:p>
    <w:p w14:paraId="2A61B14F"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Начальника Снабжения Красной Армии, корпусного комиссара Хрулева</w:t>
      </w:r>
    </w:p>
    <w:p w14:paraId="00DBDF0C"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Зам. начальника Управления ВВС комкора Гусева</w:t>
      </w:r>
    </w:p>
    <w:p w14:paraId="0E087D72"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Начальника Управления ПВО, комдива Полякова</w:t>
      </w:r>
    </w:p>
    <w:p w14:paraId="76C126B9"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Начальника Минометного управления, полковника Борисова</w:t>
      </w:r>
    </w:p>
    <w:p w14:paraId="6AF78845"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Пом. начальника 5 отдела Генерального штаба, комбрига Шкуренкова</w:t>
      </w:r>
    </w:p>
    <w:p w14:paraId="3533A771"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Пом. начальника Химического управления, полковника Полянского</w:t>
      </w:r>
    </w:p>
    <w:p w14:paraId="19AB74F1"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Начальника отдела Инженерного управления, полковника Нагорного"</w:t>
      </w:r>
    </w:p>
    <w:p w14:paraId="61B201B0"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Начальника Артиллерийского управления комдива Савченко</w:t>
      </w:r>
    </w:p>
    <w:p w14:paraId="04F7A95D"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Рассмотрев систему и состояние химического вооружения Красной Армии на 1940 г., предлагает на утверждение Главного военного совета при сем прилагаемый проект постановления.</w:t>
      </w:r>
    </w:p>
    <w:p w14:paraId="2C2901E5"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проект постановления Главного военного совета на 12 листах.</w:t>
      </w:r>
    </w:p>
    <w:p w14:paraId="3C3A6F01"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Председатель комиссии Герой Советского Союза командарм ранга Штерн</w:t>
      </w:r>
    </w:p>
    <w:p w14:paraId="28C157C6"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Члены:</w:t>
      </w:r>
    </w:p>
    <w:p w14:paraId="1C511BAD"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 Химического управления Красной Армии комбриг Мельников</w:t>
      </w:r>
    </w:p>
    <w:p w14:paraId="6E9F8008"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Военный комиссар Химического управления Красной Армии полковой комиссар Дмитриев</w:t>
      </w:r>
    </w:p>
    <w:p w14:paraId="77FF97FB"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 Автобронетанкового управления Красной Армии Герой Советского Союза командарм 2-го ранга Павлов</w:t>
      </w:r>
    </w:p>
    <w:p w14:paraId="237679BD"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Военный комиссар Автобронетанкового управления Красной Армии дивизионный комиссар Куликов</w:t>
      </w:r>
    </w:p>
    <w:p w14:paraId="1328FD6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Инспектор кавалерии Красной Армии командарм 2-го ранга Городовиков'</w:t>
      </w:r>
    </w:p>
    <w:p w14:paraId="268D7B82"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 Управления военно-технического снабжения Красной Армии дивинженер Лебедев</w:t>
      </w:r>
    </w:p>
    <w:p w14:paraId="1CC7FB14"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 Снабжения Красной Армии корпусной комиссар Хрулева</w:t>
      </w:r>
    </w:p>
    <w:p w14:paraId="3EF7E15E"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Зам. начальника Управления ВВС Красной Армии Муратов"</w:t>
      </w:r>
    </w:p>
    <w:p w14:paraId="468DA858"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 Управления ПВО Красной Армии комдив Поляков</w:t>
      </w:r>
    </w:p>
    <w:p w14:paraId="437FFF9A"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 Минометного управления Красной Армии полковник Борисов</w:t>
      </w:r>
    </w:p>
    <w:p w14:paraId="207D834D"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Зам. начальника 5 отдела Генерального штаба Красной Армии комбриг Шкуренков</w:t>
      </w:r>
    </w:p>
    <w:p w14:paraId="0A22D7F9"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Пом. начальника Химического управления Красной Армии полковник Полянский</w:t>
      </w:r>
    </w:p>
    <w:p w14:paraId="75C42B5E"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Начальника 2 отдела Инженерного управления Красной Армии полковник Нагорный</w:t>
      </w:r>
    </w:p>
    <w:p w14:paraId="01C0B308"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Начальника Артиллерийского управления Красной Армии комдив Савченко</w:t>
      </w:r>
    </w:p>
    <w:p w14:paraId="58A0F360"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Постановление Главного военного совета</w:t>
      </w:r>
    </w:p>
    <w:p w14:paraId="31A58FEE"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Одобрить состоящие на вооружении (21 объект) и принять на вооружение Красной Армии (41 объект) средства военно-химического вооружения согласно приложению № 1.</w:t>
      </w:r>
    </w:p>
    <w:p w14:paraId="378F771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Утвердить разработку новых опытных и проектируемых образцов химического вооружения согласно приложению № 2.</w:t>
      </w:r>
    </w:p>
    <w:p w14:paraId="15D7F709"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Констатировать наличие в Красной Армии опасной недооценки вероятности применения химических средств в будущей войне и, как следствие этого, слабую боевую подготовку войск Красной Армии в химическом отношении, недостаточное внимание принятию на вооружение и внедрению в производство химических средств вооружения.</w:t>
      </w:r>
    </w:p>
    <w:p w14:paraId="192CD3A9"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Индивидуальные средства противохимической защиты войск.</w:t>
      </w:r>
    </w:p>
    <w:p w14:paraId="67C0C77E"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Все части в 1940 г. перевооружаются противогазом БС МТ-4, который по своим качествам стоит выше имеющихся у нас иностранных образцов.</w:t>
      </w:r>
    </w:p>
    <w:p w14:paraId="69B22974"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 1 августа 1940 г. предъявить на утверждение Главного военного совета соответствующий образец противогаза меньшего габарита и веса, без снижения защитной мощности по сравнению с противогазом БС МТ-4.</w:t>
      </w:r>
    </w:p>
    <w:p w14:paraId="72ED2A91"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Одновременно продолжать работу над увеличением защитной мощности противогаза.</w:t>
      </w:r>
    </w:p>
    <w:p w14:paraId="0F86FE4E"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Бумажные накидки для бойцов являются приемлемыми по своей защитной мощности, производственной базе, сырью и стоимости. Большим недостатком их является непрочность. Обязать Химическое] управление] в срочном порядке разработать и принять меры к внедрению в производство более прочных индивидуальных средств защиты от поливки на основе армированной бумаги (на нитяной основе). Отработать армейскую плащпалатку для защиты от СОВ, представив Главному военному совету образцы для принятия на вооружение к 1.8.40 г.</w:t>
      </w:r>
    </w:p>
    <w:p w14:paraId="48D6B31A"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Импрегнированное обмундирование — одно из важных средств защиты бойца, не вышло за пределы опытных образцов. Надлежит продолжать с ним опыты, с учетом необходимости избежать повышения утомляемости бойца этим обмундированием.</w:t>
      </w:r>
    </w:p>
    <w:p w14:paraId="6FA1D232"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Начальнику Химического] управления] Красной Армии совместно с начальником пехоты Красной Армии к 1.8.40 г. провести войсковые испытания и на их основе доложить Главному военному совету свои предложения по импрегнированному обмундированию.</w:t>
      </w:r>
    </w:p>
    <w:p w14:paraId="2E09BBA1"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Химическому управлению Красной Армии разработать защитную мазь от СОВ для людей и конского состава и доложить о рецептурах к 1.8.40 г. Главному военному совету.</w:t>
      </w:r>
    </w:p>
    <w:p w14:paraId="466FE5E1"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д) Принятая в Красной Армии защитная одежда от ОВ по своей мощности удовлетворительна, но крупным ее недостатком является трудность пребывания в ней при боевой работе, значительный вес и значительная стоимость. </w:t>
      </w:r>
    </w:p>
    <w:p w14:paraId="4DD2D32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Химическому] управлению] добиться уменьшения веса защитной одежды, сохраняя прочность. Считать целесообразным вместо защитных комбинезонов иметь на снабжении защитные куртки и брюки. Образцы облегченной защитной одежды представить на утверждение Главного военного совета к 1.8.40 г.</w:t>
      </w:r>
    </w:p>
    <w:p w14:paraId="2BFABCDC"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Средства защиты коня.</w:t>
      </w:r>
    </w:p>
    <w:p w14:paraId="4D2C00EA"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 средств защиты коня имеется два образца сухого конского противогаза:</w:t>
      </w:r>
    </w:p>
    <w:p w14:paraId="2C2BE54E"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КСПФ-1, передаваемый в 1940 г. на валовое производство.</w:t>
      </w:r>
    </w:p>
    <w:p w14:paraId="2B08A21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б) КСП-6 — освоенный производством.</w:t>
      </w:r>
    </w:p>
    <w:p w14:paraId="053E8A59"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Защита ног коня и кожи отсутствует.</w:t>
      </w:r>
    </w:p>
    <w:p w14:paraId="4B4E2AD5"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Основным образцом конского противогаза считать КСПФ-1, в дальнейшем работать над его усовершенствованием. Химическому] управлению] Красной Армии к 1.8.40 г. разработать и представить на утверждение Главного военного совета образец бумажных гетр для защиты ног коня.</w:t>
      </w:r>
    </w:p>
    <w:p w14:paraId="10CE178E"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защите кожи коня ограничиться использованием конского противохимического пакета.</w:t>
      </w:r>
    </w:p>
    <w:p w14:paraId="4D6A64D2"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Коллективные средства защиты.</w:t>
      </w:r>
    </w:p>
    <w:p w14:paraId="05AABC0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Увеличить мощность фильтровентиляционных установок с производительностью до 300 куб. метров/час, с мощностью до суток, не увеличивая габарита установки. Разработать предфильтры для защиты от пыли и улучшить приборы предупреждения (индикация).</w:t>
      </w:r>
    </w:p>
    <w:p w14:paraId="01FB6BE7"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Средства дегазации.</w:t>
      </w:r>
    </w:p>
    <w:p w14:paraId="256721DC"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Форсировать освоение промышленностью гипохлорита кальция и его солей, как основного дегазатора для дегазации местности. Расширить производственную базу жидких дегазаторов.</w:t>
      </w:r>
    </w:p>
    <w:p w14:paraId="008ABD76"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Дегазационные машины и приборы для дегазации вооружения и матчасти (АДМ, КДП, РДП) по своей конструкции и мощности отвечают своему назначению. Увеличить их производство до полного обеспечения армии.</w:t>
      </w:r>
    </w:p>
    <w:p w14:paraId="6592F56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частичной дегазации вооружения и материальной части совместно с заинтересованными Управлениями (АБТУ, АУ и др.) разработать в 1940 г. образец индивидуального дегазационного пакета и к 1.8.40 г. доложить Главному военному совету.</w:t>
      </w:r>
    </w:p>
    <w:p w14:paraId="51DCC689"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Средства хим. нападения.</w:t>
      </w:r>
    </w:p>
    <w:p w14:paraId="1DB94678"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Самым энергичным образом продолжать работу по поискам новых ОВ, расширить производственную базу по люизиту и перейти к производству в Красной Армии иприта на крекинг-газе.</w:t>
      </w:r>
    </w:p>
    <w:p w14:paraId="67D1351F"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Отмечая недооценку и полную недостаточность средств газо-волнового нападения, обязать Хим[ическое] управление] отработать и представить к 1.8.40 г. на утверждение Главного военного совета образцы приборов (тары, баллонов, газометов, и др. аппаратуры) для целей газопуска.</w:t>
      </w:r>
    </w:p>
    <w:p w14:paraId="5FEFC3B2"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Также особо срочно отработать применение туманов из СОВ.</w:t>
      </w:r>
    </w:p>
    <w:p w14:paraId="0C3370EA"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Разработанный образец хим. прицепки передать на валовое производство.</w:t>
      </w:r>
    </w:p>
    <w:p w14:paraId="2C7F6E0B"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Хим. прицепками вооружить линейные танковые части. В танковой бригаде иметь одну роту, вооруженную хим. прицепками.</w:t>
      </w:r>
    </w:p>
    <w:p w14:paraId="2FAD55D8"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Огнеметный огонь и маскирующий нейтральный дым, как не являющиеся боевыми химическими веществами, не считать средствами химической войны.</w:t>
      </w:r>
    </w:p>
    <w:p w14:paraId="27C2FBA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Огнеметание и маскирующий нейтральный дым должны найти самое широкое применение в действиях Красной Армии.</w:t>
      </w:r>
    </w:p>
    <w:p w14:paraId="7E3C7095"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целях более широкого применения огнеметания необходимо: а) разработать съемный огнеметный прибор, монтируемый на любой танк по мере надобности; б) на танках сделать приспособления для съемных огнеметных приборов.</w:t>
      </w:r>
    </w:p>
    <w:p w14:paraId="6FB7F232"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Разработку приспособлений и приборов возложить на АБТУ Красной Армии.</w:t>
      </w:r>
    </w:p>
    <w:p w14:paraId="7ED361EB"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Химическому управлению Красной Армии совместно с начальником пехоты Красной Армии разработать ранцевые огнеметы и к 1.8.40 г. доложить Главному военному совету.</w:t>
      </w:r>
    </w:p>
    <w:p w14:paraId="0E607B05"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Химические минометные батальоны переименовать в минометные батальоны и передать их из ведения Химического управления общевойсковому командованию. Считать необходимым перевооружить в 1940 г. все минометные батальоны минометами калибра 107 и 120-мм, принятыми на вооружение Красной Армии, имея в виду в дальнейшем вооружить эти батальоны, как армейское средство усиления, минометами более крупных калибров.</w:t>
      </w:r>
    </w:p>
    <w:p w14:paraId="265C3207"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минометов 82-мм, 107-мм и 120-мм, а также для более крупных калибров иметь в боекомплекте химические мины.</w:t>
      </w:r>
    </w:p>
    <w:p w14:paraId="39F80DC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Минометному управлению и ХИМУ не позднее 1.7.40 г. представить на утверждение Главного военного совета образцы этих мин. </w:t>
      </w:r>
    </w:p>
    <w:p w14:paraId="7C34B5CC"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Обязать Химическое управление Красной Армии отработать ручные химические гранаты и образцы доложить на утверждение Главного военного совета к 15.VI.40 г.</w:t>
      </w:r>
    </w:p>
    <w:p w14:paraId="0D2F49A6"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Все самолеты И-16 дооборудовать выливными авиационными приборами (ВАПами).</w:t>
      </w:r>
    </w:p>
    <w:p w14:paraId="6A292691"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Главному управлению авиационного снабжения Красной Армии провести опыты с авиахимбомбами из сталистого чугуна и к 1.7.40 г. о результатах доложить Главному военному совету.</w:t>
      </w:r>
    </w:p>
    <w:p w14:paraId="47B96A88"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В производстве и накоплении химических и осколочно-химических снарядов, мин и авиахимбомб принять следующий порядок:</w:t>
      </w:r>
    </w:p>
    <w:p w14:paraId="2F38C5CA"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В мирное время для химических выстрелов изготовлять только корпуса, из них залитые отравляющим веществом иметь по снарядам и минам не более 5 %, по авиахимбомбам 10 %, на случай возникновения необходимости срочного применения. Остальные корпуса хранить в неснаряженном виде при снаряжательных химических заводах.</w:t>
      </w:r>
    </w:p>
    <w:p w14:paraId="30089CD1"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Для обеспечения возможной необходимости массового применения в военное время подготовить в мирное время достаточную производственную базу по корпусам химических снарядов, мин и бомб и снаряжение их.</w:t>
      </w:r>
    </w:p>
    <w:p w14:paraId="5574CDE0"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В отдаленных округах иметь запасы ОВ и оболочек и предусмотреть снаряжение их на месте.</w:t>
      </w:r>
    </w:p>
    <w:p w14:paraId="7D0ADCF1"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Генеральному штабу Красной Армии к 1.6.40 г. специально доложить Главному военному совету план практических мероприятий по срочному осуществлению этого решения.</w:t>
      </w:r>
    </w:p>
    <w:p w14:paraId="24CB103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Генеральному штабу Красной Армии установить процентное соотношение снаряжения СОВ и НОВ артхимснарядов, хим. бомб и авиахимбомб.</w:t>
      </w:r>
    </w:p>
    <w:p w14:paraId="1D3937BE"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Констатировать слабую работу разведывательных органов по добыванию сведений по состоянию средств химического вооружения, особенно по БХВ, в иностранных армиях. Разведывательному управлению Красной Армии считать одной из главных своих задач разведку рецептов новых ОВ.</w:t>
      </w:r>
    </w:p>
    <w:p w14:paraId="371C24E1"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Обязать начальника Химического управления Красной Армии наблюдать за состоянием и развитием химического вооружения авиации, артиллерии, минометных, автобронетанковых и других войск. Начальникам соответствующих центральных управлений разработку средств химического вооружения проводить согласованно с начальником Химического управления Красной Армии.</w:t>
      </w:r>
    </w:p>
    <w:p w14:paraId="4DBF8FB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Председатель комиссии Главного военного совета Штерн</w:t>
      </w:r>
    </w:p>
    <w:p w14:paraId="48F89633"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Члены:</w:t>
      </w:r>
      <w:r w:rsidRPr="00DB5D0D">
        <w:rPr>
          <w:rFonts w:ascii="Times New Roman" w:hAnsi="Times New Roman"/>
          <w:color w:val="0070C0"/>
          <w:sz w:val="16"/>
          <w:szCs w:val="16"/>
        </w:rPr>
        <w:tab/>
        <w:t>Д. Павлов</w:t>
      </w:r>
    </w:p>
    <w:p w14:paraId="03A70A02"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Хрулев</w:t>
      </w:r>
    </w:p>
    <w:p w14:paraId="3A379C49"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Поляков</w:t>
      </w:r>
    </w:p>
    <w:p w14:paraId="027360C9"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Лебедев 11.5.1940 г.</w:t>
      </w:r>
    </w:p>
    <w:p w14:paraId="1F549E58"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Нагорный</w:t>
      </w:r>
    </w:p>
    <w:p w14:paraId="0C4B469A"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Шкуренное</w:t>
      </w:r>
    </w:p>
    <w:p w14:paraId="3EE04801"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Муратов</w:t>
      </w:r>
    </w:p>
    <w:p w14:paraId="3D3721D5"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Савченко 11.5.40 г.</w:t>
      </w:r>
    </w:p>
    <w:p w14:paraId="0719CF8F"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Мельников"</w:t>
      </w:r>
    </w:p>
    <w:p w14:paraId="043C5900" w14:textId="77777777" w:rsidR="0047286B" w:rsidRPr="00DB5D0D" w:rsidRDefault="0047286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РГВА. Ф. 4. Оп. 14. Д. 2687. Л. 105-109 об. Подлинник (21077).</w:t>
      </w:r>
    </w:p>
    <w:p w14:paraId="1A2F0362" w14:textId="77777777" w:rsidR="0047286B" w:rsidRPr="00DB5D0D" w:rsidRDefault="0047286B" w:rsidP="00DB5D0D">
      <w:pPr>
        <w:spacing w:after="0" w:line="240" w:lineRule="auto"/>
        <w:jc w:val="both"/>
        <w:rPr>
          <w:rFonts w:ascii="Times New Roman" w:hAnsi="Times New Roman"/>
          <w:color w:val="0070C0"/>
          <w:sz w:val="16"/>
          <w:szCs w:val="16"/>
        </w:rPr>
      </w:pPr>
    </w:p>
    <w:p w14:paraId="1FBA3467"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11-12 мая и 15 мая 1940 г. прош</w:t>
      </w:r>
      <w:r w:rsidRPr="00DB5D0D">
        <w:rPr>
          <w:rFonts w:ascii="Times New Roman" w:hAnsi="Times New Roman"/>
          <w:color w:val="000000" w:themeColor="text1"/>
          <w:sz w:val="16"/>
          <w:szCs w:val="16"/>
        </w:rPr>
        <w:softHyphen/>
        <w:t>ли первые полигонные испытания (с нача</w:t>
      </w:r>
      <w:r w:rsidRPr="00DB5D0D">
        <w:rPr>
          <w:rFonts w:ascii="Times New Roman" w:hAnsi="Times New Roman"/>
          <w:color w:val="000000" w:themeColor="text1"/>
          <w:sz w:val="16"/>
          <w:szCs w:val="16"/>
        </w:rPr>
        <w:softHyphen/>
        <w:t>ла выпуска КВ) на НИ полигоне АБТУ КА.  Танки КВ №У-4с «большой» башней и №У-7 с «малой» башней, вооруженный 76-мм пушкой (Л-11), из-за на</w:t>
      </w:r>
      <w:r w:rsidRPr="00DB5D0D">
        <w:rPr>
          <w:rFonts w:ascii="Times New Roman" w:hAnsi="Times New Roman"/>
          <w:color w:val="000000" w:themeColor="text1"/>
          <w:sz w:val="16"/>
          <w:szCs w:val="16"/>
        </w:rPr>
        <w:softHyphen/>
        <w:t>личия большого количества дефектов прошли всего 77 и 113 км соответственно.</w:t>
      </w:r>
    </w:p>
    <w:p w14:paraId="457926D0"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обоих танках в результате неудов</w:t>
      </w:r>
      <w:r w:rsidRPr="00DB5D0D">
        <w:rPr>
          <w:rFonts w:ascii="Times New Roman" w:hAnsi="Times New Roman"/>
          <w:color w:val="000000" w:themeColor="text1"/>
          <w:sz w:val="16"/>
          <w:szCs w:val="16"/>
        </w:rPr>
        <w:softHyphen/>
        <w:t>летворительной работы системы охлажде</w:t>
      </w:r>
      <w:r w:rsidRPr="00DB5D0D">
        <w:rPr>
          <w:rFonts w:ascii="Times New Roman" w:hAnsi="Times New Roman"/>
          <w:color w:val="000000" w:themeColor="text1"/>
          <w:sz w:val="16"/>
          <w:szCs w:val="16"/>
        </w:rPr>
        <w:softHyphen/>
        <w:t>ния температура воды и масла доходила до 120°С, вызывая перегрев двигателя. Низ</w:t>
      </w:r>
      <w:r w:rsidRPr="00DB5D0D">
        <w:rPr>
          <w:rFonts w:ascii="Times New Roman" w:hAnsi="Times New Roman"/>
          <w:color w:val="000000" w:themeColor="text1"/>
          <w:sz w:val="16"/>
          <w:szCs w:val="16"/>
        </w:rPr>
        <w:softHyphen/>
        <w:t>кая эффективность работы воздухоочистите</w:t>
      </w:r>
      <w:r w:rsidRPr="00DB5D0D">
        <w:rPr>
          <w:rFonts w:ascii="Times New Roman" w:hAnsi="Times New Roman"/>
          <w:color w:val="000000" w:themeColor="text1"/>
          <w:sz w:val="16"/>
          <w:szCs w:val="16"/>
        </w:rPr>
        <w:softHyphen/>
        <w:t>ля привела к быстрому забиванию его пылью, пробуксовка главного сцепления к выходу его из строя. Особо отмечалось неудобное раз</w:t>
      </w:r>
      <w:r w:rsidRPr="00DB5D0D">
        <w:rPr>
          <w:rFonts w:ascii="Times New Roman" w:hAnsi="Times New Roman"/>
          <w:color w:val="000000" w:themeColor="text1"/>
          <w:sz w:val="16"/>
          <w:szCs w:val="16"/>
        </w:rPr>
        <w:softHyphen/>
        <w:t>мещение системы вооружения и боеуклад- ки. Вызвала серьезные нарекания компонов</w:t>
      </w:r>
      <w:r w:rsidRPr="00DB5D0D">
        <w:rPr>
          <w:rFonts w:ascii="Times New Roman" w:hAnsi="Times New Roman"/>
          <w:color w:val="000000" w:themeColor="text1"/>
          <w:sz w:val="16"/>
          <w:szCs w:val="16"/>
        </w:rPr>
        <w:softHyphen/>
        <w:t>ка места механика-водителя. Отсутствие ре</w:t>
      </w:r>
      <w:r w:rsidRPr="00DB5D0D">
        <w:rPr>
          <w:rFonts w:ascii="Times New Roman" w:hAnsi="Times New Roman"/>
          <w:color w:val="000000" w:themeColor="text1"/>
          <w:sz w:val="16"/>
          <w:szCs w:val="16"/>
        </w:rPr>
        <w:softHyphen/>
        <w:t>гулировки сиденья и неудачное расположе</w:t>
      </w:r>
      <w:r w:rsidRPr="00DB5D0D">
        <w:rPr>
          <w:rFonts w:ascii="Times New Roman" w:hAnsi="Times New Roman"/>
          <w:color w:val="000000" w:themeColor="text1"/>
          <w:sz w:val="16"/>
          <w:szCs w:val="16"/>
        </w:rPr>
        <w:softHyphen/>
        <w:t>ние рычагов управления приводили к тому, что при движении танка с закрытыми люками механик-водитель упирался лицом в смотро</w:t>
      </w:r>
      <w:r w:rsidRPr="00DB5D0D">
        <w:rPr>
          <w:rFonts w:ascii="Times New Roman" w:hAnsi="Times New Roman"/>
          <w:color w:val="000000" w:themeColor="text1"/>
          <w:sz w:val="16"/>
          <w:szCs w:val="16"/>
        </w:rPr>
        <w:softHyphen/>
        <w:t>вой прибор.</w:t>
      </w:r>
    </w:p>
    <w:p w14:paraId="53D2D9C5"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152,4-мм гаубицы на танке КВ №У-4 повлекла за собой увеличение его бое</w:t>
      </w:r>
      <w:r w:rsidRPr="00DB5D0D">
        <w:rPr>
          <w:rFonts w:ascii="Times New Roman" w:hAnsi="Times New Roman"/>
          <w:color w:val="000000" w:themeColor="text1"/>
          <w:sz w:val="16"/>
          <w:szCs w:val="16"/>
        </w:rPr>
        <w:softHyphen/>
        <w:t>вой массы на 10 т. При низкой степени отра</w:t>
      </w:r>
      <w:r w:rsidRPr="00DB5D0D">
        <w:rPr>
          <w:rFonts w:ascii="Times New Roman" w:hAnsi="Times New Roman"/>
          <w:color w:val="000000" w:themeColor="text1"/>
          <w:sz w:val="16"/>
          <w:szCs w:val="16"/>
        </w:rPr>
        <w:softHyphen/>
        <w:t>ботанности базового шасси это не могло не отразиться на его работоспособности. Кро</w:t>
      </w:r>
      <w:r w:rsidRPr="00DB5D0D">
        <w:rPr>
          <w:rFonts w:ascii="Times New Roman" w:hAnsi="Times New Roman"/>
          <w:color w:val="000000" w:themeColor="text1"/>
          <w:sz w:val="16"/>
          <w:szCs w:val="16"/>
        </w:rPr>
        <w:softHyphen/>
        <w:t>ме того, условия работы экипажа в боевом от</w:t>
      </w:r>
      <w:r w:rsidRPr="00DB5D0D">
        <w:rPr>
          <w:rFonts w:ascii="Times New Roman" w:hAnsi="Times New Roman"/>
          <w:color w:val="000000" w:themeColor="text1"/>
          <w:sz w:val="16"/>
          <w:szCs w:val="16"/>
        </w:rPr>
        <w:softHyphen/>
        <w:t>делении танка, оснащенного 152,4-мм гау</w:t>
      </w:r>
      <w:r w:rsidRPr="00DB5D0D">
        <w:rPr>
          <w:rFonts w:ascii="Times New Roman" w:hAnsi="Times New Roman"/>
          <w:color w:val="000000" w:themeColor="text1"/>
          <w:sz w:val="16"/>
          <w:szCs w:val="16"/>
        </w:rPr>
        <w:softHyphen/>
        <w:t>бицей с выстрелами раздельного заряжания (с массой бетонобойного и морского фугасно</w:t>
      </w:r>
      <w:r w:rsidRPr="00DB5D0D">
        <w:rPr>
          <w:rFonts w:ascii="Times New Roman" w:hAnsi="Times New Roman"/>
          <w:color w:val="000000" w:themeColor="text1"/>
          <w:sz w:val="16"/>
          <w:szCs w:val="16"/>
        </w:rPr>
        <w:softHyphen/>
        <w:t>го снарядов, соответственно, 40 и 51 кг) вызва</w:t>
      </w:r>
      <w:r w:rsidRPr="00DB5D0D">
        <w:rPr>
          <w:rFonts w:ascii="Times New Roman" w:hAnsi="Times New Roman"/>
          <w:color w:val="000000" w:themeColor="text1"/>
          <w:sz w:val="16"/>
          <w:szCs w:val="16"/>
        </w:rPr>
        <w:softHyphen/>
        <w:t>ли немало нареканий. По мнению специалис</w:t>
      </w:r>
      <w:r w:rsidRPr="00DB5D0D">
        <w:rPr>
          <w:rFonts w:ascii="Times New Roman" w:hAnsi="Times New Roman"/>
          <w:color w:val="000000" w:themeColor="text1"/>
          <w:sz w:val="16"/>
          <w:szCs w:val="16"/>
        </w:rPr>
        <w:softHyphen/>
        <w:t>тов полигона, требовалось кардинально пе</w:t>
      </w:r>
      <w:r w:rsidRPr="00DB5D0D">
        <w:rPr>
          <w:rFonts w:ascii="Times New Roman" w:hAnsi="Times New Roman"/>
          <w:color w:val="000000" w:themeColor="text1"/>
          <w:sz w:val="16"/>
          <w:szCs w:val="16"/>
        </w:rPr>
        <w:softHyphen/>
        <w:t>ресмотреть конструкцию «большой» башни. В результате оба танка не прошли полигонных испытаний и были отправлены на завод для устранения дефектов (15767).</w:t>
      </w:r>
    </w:p>
    <w:p w14:paraId="5AF93D19"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26A9BC7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58AF75D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E48D927"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11 мая 1940 расположенный на спорной территории монгольский пограничный пост был атакован маньчжурской кавалерией. Еще один бой между пограничными частями произошел 14 мая.</w:t>
      </w:r>
    </w:p>
    <w:p w14:paraId="2BBF8669"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 xml:space="preserve">20 мая в бой вступили уже армейские части — стрелковый взвод из состава стрелково-пулеметного батальона 11-й танковой бригады и два эскадрона 6-й кавдивизии монгольской армии переправились на восточный берег реки Халхин-Гол. К вечеру следующего дня японско-маньчжурские части были вытеснены со спорной </w:t>
      </w:r>
      <w:r w:rsidRPr="00DB5D0D">
        <w:rPr>
          <w:color w:val="000000" w:themeColor="text1"/>
          <w:sz w:val="16"/>
          <w:szCs w:val="16"/>
        </w:rPr>
        <w:lastRenderedPageBreak/>
        <w:t>территории</w:t>
      </w:r>
      <w:hyperlink r:id="rId28" w:anchor="n_249" w:history="1">
        <w:r w:rsidRPr="00DB5D0D">
          <w:rPr>
            <w:rStyle w:val="a5"/>
            <w:color w:val="000000" w:themeColor="text1"/>
            <w:sz w:val="16"/>
            <w:szCs w:val="16"/>
          </w:rPr>
          <w:t>[249]</w:t>
        </w:r>
      </w:hyperlink>
      <w:r w:rsidRPr="00DB5D0D">
        <w:rPr>
          <w:color w:val="000000" w:themeColor="text1"/>
          <w:sz w:val="16"/>
          <w:szCs w:val="16"/>
        </w:rPr>
        <w:t xml:space="preserve"> в Маньчжурию.</w:t>
      </w:r>
    </w:p>
    <w:p w14:paraId="6D942A6E"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К этому моменту подтянутые в район конфликта советско-монгольские части насчитывали около 2300 человек (из них 1257 монголов), 28 орудий, 13 танков и 39 бронемашин. Командовал ими прибывший из Улан-Батора полковник Ивенков.</w:t>
      </w:r>
    </w:p>
    <w:p w14:paraId="682CB851"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Свой ход сделали и японцы. 27 мая против советско-монгольских частей был направлен отряд полковника Ямагато — 1618 японцев и 464 маньчжура, 7 орудий и 10 танков, — получивший приказ атаковать и уничтожить части противника на восточном берегу реки Халхин-Гол.</w:t>
      </w:r>
    </w:p>
    <w:p w14:paraId="16A7ED18"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Как и советские, так и японские командиры практически ничего не знали о силах противника и его намерениях. В результате бои 28–29 мая можно сравнить с лобовым столкновением двух верблюжьих караванов — или, говоря военной терминологией: «советские и японские части действовали отдельными подразделениями, часто без связи между собой и вышестоящим командованием». В первой половине дня 28 мая японцам удалось потеснить стоявшие в центре части монгольской 6-й кавдивизии и занимавшую правый фланг роту стрелково-пулеметного батальона. К середине дня бой шел уже в 2–3 километрах от переправы через реку. Тяжелое положение изменилось только вечером, когда к месту сражения начали прибывать подразделения 149-го стрелкового полка. Однако контратака «с ходу» большого эффекта не дала — взаимодействие между частями было плохое. С наступлением же темноты управление потерялось окончательно — ночной бой части вели сами по себе.</w:t>
      </w:r>
    </w:p>
    <w:p w14:paraId="433F7A40"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Бои затихли к вечеру 29 мая. Полковник Ивенков отдал приказ об отходе на западный берег реки Халхин-Гол. Схожее указание получил и командовавший японским отрядом полковник Ямагато.</w:t>
      </w:r>
    </w:p>
    <w:p w14:paraId="7541BC7E"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С точки зрения нашего интереса к танковым войскам РККА первый этап конфликта ничем особо не примечателен. Советской стороной в этих боях использовались легкие Т-37 и 5 огнеметных ХТ-26, японской — несколько малых танков типа 94 «ТК», по западной классификации скорее бывших пулеметными танкетками. Однако тот факт, что, по сути, «проигравшими» признали себя обе стороны, стоит отметить и запомнить (12624).</w:t>
      </w:r>
    </w:p>
    <w:p w14:paraId="75E92668" w14:textId="77777777" w:rsidR="00A25AD1" w:rsidRPr="00DB5D0D" w:rsidRDefault="00A25AD1" w:rsidP="00DB5D0D">
      <w:pPr>
        <w:pStyle w:val="ae"/>
        <w:spacing w:before="0" w:after="0"/>
        <w:jc w:val="both"/>
        <w:rPr>
          <w:color w:val="000000" w:themeColor="text1"/>
          <w:sz w:val="16"/>
          <w:szCs w:val="16"/>
        </w:rPr>
      </w:pPr>
    </w:p>
    <w:p w14:paraId="0C734E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мая 1940 г. Проект постановления ГВС о системе химического вооружения (Датируется по препроводительной записке за № 0051/598038 ее от 11 мая 1940 г.: на имя народного комиссара обороны Союза ССР Маршала Советского Союза С. К. Тимошенко: «При сем представляю на утверждение Главного военного совета акт химической подкомиссии Главного военного совета с проектом постановления по системе химического вооружения Химического управления Красной Армии. Подкомиссия также просмотрела артиллерийское и авиационное химическое вооружение и одобрила их, проекты постановлений по этим вопросам представляют соответствующие Управления. Приложение: Акт комиссии с материалом по химическому вооружению на 13 листах. Начальник Химического управления Красной Армии комбриг </w:t>
      </w:r>
      <w:r w:rsidRPr="00DB5D0D">
        <w:rPr>
          <w:rFonts w:ascii="Times New Roman" w:hAnsi="Times New Roman"/>
          <w:iCs/>
          <w:color w:val="000000" w:themeColor="text1"/>
          <w:sz w:val="16"/>
          <w:szCs w:val="16"/>
        </w:rPr>
        <w:t xml:space="preserve">Мельников, </w:t>
      </w:r>
      <w:r w:rsidRPr="00DB5D0D">
        <w:rPr>
          <w:rFonts w:ascii="Times New Roman" w:hAnsi="Times New Roman"/>
          <w:color w:val="000000" w:themeColor="text1"/>
          <w:sz w:val="16"/>
          <w:szCs w:val="16"/>
        </w:rPr>
        <w:t xml:space="preserve">военком Химического управления Красной Армии полковой комиссар </w:t>
      </w:r>
      <w:r w:rsidRPr="00DB5D0D">
        <w:rPr>
          <w:rFonts w:ascii="Times New Roman" w:hAnsi="Times New Roman"/>
          <w:iCs/>
          <w:color w:val="000000" w:themeColor="text1"/>
          <w:sz w:val="16"/>
          <w:szCs w:val="16"/>
        </w:rPr>
        <w:t xml:space="preserve">Дмитриев». </w:t>
      </w:r>
      <w:r w:rsidRPr="00DB5D0D">
        <w:rPr>
          <w:rFonts w:ascii="Times New Roman" w:hAnsi="Times New Roman"/>
          <w:color w:val="000000" w:themeColor="text1"/>
          <w:sz w:val="16"/>
          <w:szCs w:val="16"/>
        </w:rPr>
        <w:t>В авторской подписи фамилия дается как Нагарный)</w:t>
      </w:r>
    </w:p>
    <w:p w14:paraId="3E9F31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Акт </w:t>
      </w:r>
      <w:r w:rsidRPr="00DB5D0D">
        <w:rPr>
          <w:rFonts w:ascii="Times New Roman" w:hAnsi="Times New Roman"/>
          <w:color w:val="000000" w:themeColor="text1"/>
          <w:sz w:val="16"/>
          <w:szCs w:val="16"/>
        </w:rPr>
        <w:t xml:space="preserve">9—10 мая 1940 г. химическая подкомиссия комиссии Главного военного совета под председательством командарма 2-го ранга </w:t>
      </w: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 xml:space="preserve">в составе членов: Начальника Химического управления комбрига </w:t>
      </w:r>
      <w:r w:rsidRPr="00DB5D0D">
        <w:rPr>
          <w:rFonts w:ascii="Times New Roman" w:hAnsi="Times New Roman"/>
          <w:iCs/>
          <w:color w:val="000000" w:themeColor="text1"/>
          <w:sz w:val="16"/>
          <w:szCs w:val="16"/>
        </w:rPr>
        <w:t xml:space="preserve">Мельникова </w:t>
      </w:r>
      <w:r w:rsidRPr="00DB5D0D">
        <w:rPr>
          <w:rFonts w:ascii="Times New Roman" w:hAnsi="Times New Roman"/>
          <w:color w:val="000000" w:themeColor="text1"/>
          <w:sz w:val="16"/>
          <w:szCs w:val="16"/>
        </w:rPr>
        <w:t xml:space="preserve">Военного комиссара Химического управления, полкового комиссара </w:t>
      </w:r>
      <w:r w:rsidRPr="00DB5D0D">
        <w:rPr>
          <w:rFonts w:ascii="Times New Roman" w:hAnsi="Times New Roman"/>
          <w:iCs/>
          <w:color w:val="000000" w:themeColor="text1"/>
          <w:sz w:val="16"/>
          <w:szCs w:val="16"/>
        </w:rPr>
        <w:t>Дмитриева</w:t>
      </w:r>
    </w:p>
    <w:p w14:paraId="7C2880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Начальника Автобронетанкового управления, командарма 2-го ранга </w:t>
      </w:r>
      <w:r w:rsidRPr="00DB5D0D">
        <w:rPr>
          <w:rFonts w:ascii="Times New Roman" w:hAnsi="Times New Roman"/>
          <w:iCs/>
          <w:color w:val="000000" w:themeColor="text1"/>
          <w:sz w:val="16"/>
          <w:szCs w:val="16"/>
        </w:rPr>
        <w:t>Павлова</w:t>
      </w:r>
    </w:p>
    <w:p w14:paraId="38DC7F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Комиссара Автобронетанкового управления, дивизионного комиссара </w:t>
      </w:r>
      <w:r w:rsidRPr="00DB5D0D">
        <w:rPr>
          <w:rFonts w:ascii="Times New Roman" w:hAnsi="Times New Roman"/>
          <w:iCs/>
          <w:color w:val="000000" w:themeColor="text1"/>
          <w:sz w:val="16"/>
          <w:szCs w:val="16"/>
        </w:rPr>
        <w:t>Куликова</w:t>
      </w:r>
    </w:p>
    <w:p w14:paraId="7E20B6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Инспектора кавалерии, командарма 2-го ранга </w:t>
      </w:r>
      <w:r w:rsidRPr="00DB5D0D">
        <w:rPr>
          <w:rFonts w:ascii="Times New Roman" w:hAnsi="Times New Roman"/>
          <w:iCs/>
          <w:color w:val="000000" w:themeColor="text1"/>
          <w:sz w:val="16"/>
          <w:szCs w:val="16"/>
        </w:rPr>
        <w:t xml:space="preserve">Городовикова </w:t>
      </w:r>
      <w:r w:rsidRPr="00DB5D0D">
        <w:rPr>
          <w:rFonts w:ascii="Times New Roman" w:hAnsi="Times New Roman"/>
          <w:color w:val="000000" w:themeColor="text1"/>
          <w:sz w:val="16"/>
          <w:szCs w:val="16"/>
        </w:rPr>
        <w:t xml:space="preserve">Начальника Управления военно-технического снабжения, дивинженера </w:t>
      </w:r>
      <w:r w:rsidRPr="00DB5D0D">
        <w:rPr>
          <w:rFonts w:ascii="Times New Roman" w:hAnsi="Times New Roman"/>
          <w:iCs/>
          <w:color w:val="000000" w:themeColor="text1"/>
          <w:sz w:val="16"/>
          <w:szCs w:val="16"/>
        </w:rPr>
        <w:t>Лебедева</w:t>
      </w:r>
    </w:p>
    <w:p w14:paraId="481613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Начальника Снабжения Красной Армии, корпусного комиссара Лрулева Зам. начальника Управления ВВС комкора </w:t>
      </w:r>
      <w:r w:rsidRPr="00DB5D0D">
        <w:rPr>
          <w:rFonts w:ascii="Times New Roman" w:hAnsi="Times New Roman"/>
          <w:iCs/>
          <w:color w:val="000000" w:themeColor="text1"/>
          <w:sz w:val="16"/>
          <w:szCs w:val="16"/>
        </w:rPr>
        <w:t xml:space="preserve">Гусева </w:t>
      </w:r>
      <w:r w:rsidRPr="00DB5D0D">
        <w:rPr>
          <w:rFonts w:ascii="Times New Roman" w:hAnsi="Times New Roman"/>
          <w:color w:val="000000" w:themeColor="text1"/>
          <w:sz w:val="16"/>
          <w:szCs w:val="16"/>
        </w:rPr>
        <w:t xml:space="preserve">Начальника Управления ПВО, комдива </w:t>
      </w:r>
      <w:r w:rsidRPr="00DB5D0D">
        <w:rPr>
          <w:rFonts w:ascii="Times New Roman" w:hAnsi="Times New Roman"/>
          <w:iCs/>
          <w:color w:val="000000" w:themeColor="text1"/>
          <w:sz w:val="16"/>
          <w:szCs w:val="16"/>
        </w:rPr>
        <w:t xml:space="preserve">Полякова </w:t>
      </w:r>
      <w:r w:rsidRPr="00DB5D0D">
        <w:rPr>
          <w:rFonts w:ascii="Times New Roman" w:hAnsi="Times New Roman"/>
          <w:color w:val="000000" w:themeColor="text1"/>
          <w:sz w:val="16"/>
          <w:szCs w:val="16"/>
        </w:rPr>
        <w:t xml:space="preserve">Начальника Минометного управления, полковника </w:t>
      </w:r>
      <w:r w:rsidRPr="00DB5D0D">
        <w:rPr>
          <w:rFonts w:ascii="Times New Roman" w:hAnsi="Times New Roman"/>
          <w:iCs/>
          <w:color w:val="000000" w:themeColor="text1"/>
          <w:sz w:val="16"/>
          <w:szCs w:val="16"/>
        </w:rPr>
        <w:t xml:space="preserve">Борисова </w:t>
      </w:r>
      <w:r w:rsidRPr="00DB5D0D">
        <w:rPr>
          <w:rFonts w:ascii="Times New Roman" w:hAnsi="Times New Roman"/>
          <w:color w:val="000000" w:themeColor="text1"/>
          <w:sz w:val="16"/>
          <w:szCs w:val="16"/>
        </w:rPr>
        <w:t xml:space="preserve">Пом. начальника 5 отдела Генерального штаба, комбрига </w:t>
      </w:r>
      <w:r w:rsidRPr="00DB5D0D">
        <w:rPr>
          <w:rFonts w:ascii="Times New Roman" w:hAnsi="Times New Roman"/>
          <w:iCs/>
          <w:color w:val="000000" w:themeColor="text1"/>
          <w:sz w:val="16"/>
          <w:szCs w:val="16"/>
        </w:rPr>
        <w:t xml:space="preserve">Шкуренкова </w:t>
      </w:r>
      <w:r w:rsidRPr="00DB5D0D">
        <w:rPr>
          <w:rFonts w:ascii="Times New Roman" w:hAnsi="Times New Roman"/>
          <w:color w:val="000000" w:themeColor="text1"/>
          <w:sz w:val="16"/>
          <w:szCs w:val="16"/>
        </w:rPr>
        <w:t xml:space="preserve">Пом. начальника Химического управления, полковника </w:t>
      </w:r>
      <w:r w:rsidRPr="00DB5D0D">
        <w:rPr>
          <w:rFonts w:ascii="Times New Roman" w:hAnsi="Times New Roman"/>
          <w:iCs/>
          <w:color w:val="000000" w:themeColor="text1"/>
          <w:sz w:val="16"/>
          <w:szCs w:val="16"/>
        </w:rPr>
        <w:t xml:space="preserve">Полянского </w:t>
      </w:r>
      <w:r w:rsidRPr="00DB5D0D">
        <w:rPr>
          <w:rFonts w:ascii="Times New Roman" w:hAnsi="Times New Roman"/>
          <w:color w:val="000000" w:themeColor="text1"/>
          <w:sz w:val="16"/>
          <w:szCs w:val="16"/>
        </w:rPr>
        <w:t xml:space="preserve">Начальника отдела Инженерного управления, полковника </w:t>
      </w:r>
      <w:r w:rsidRPr="00DB5D0D">
        <w:rPr>
          <w:rFonts w:ascii="Times New Roman" w:hAnsi="Times New Roman"/>
          <w:iCs/>
          <w:color w:val="000000" w:themeColor="text1"/>
          <w:sz w:val="16"/>
          <w:szCs w:val="16"/>
        </w:rPr>
        <w:t xml:space="preserve">Нагорного" </w:t>
      </w:r>
      <w:r w:rsidRPr="00DB5D0D">
        <w:rPr>
          <w:rFonts w:ascii="Times New Roman" w:hAnsi="Times New Roman"/>
          <w:color w:val="000000" w:themeColor="text1"/>
          <w:sz w:val="16"/>
          <w:szCs w:val="16"/>
        </w:rPr>
        <w:t xml:space="preserve">Начальника Артиллерийского управления комдива </w:t>
      </w:r>
      <w:r w:rsidRPr="00DB5D0D">
        <w:rPr>
          <w:rFonts w:ascii="Times New Roman" w:hAnsi="Times New Roman"/>
          <w:iCs/>
          <w:color w:val="000000" w:themeColor="text1"/>
          <w:sz w:val="16"/>
          <w:szCs w:val="16"/>
        </w:rPr>
        <w:t>Савченко</w:t>
      </w:r>
    </w:p>
    <w:p w14:paraId="11E80C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Рассмотрев систему и состояние химического вооружения Красной Армии на 1940 г., предлагает на утверждение Главного военного совета при сем прилагаемый проект постановления.</w:t>
      </w:r>
    </w:p>
    <w:p w14:paraId="0E3F5F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Приложение: </w:t>
      </w:r>
      <w:r w:rsidRPr="00DB5D0D">
        <w:rPr>
          <w:rFonts w:ascii="Times New Roman" w:hAnsi="Times New Roman"/>
          <w:color w:val="000000" w:themeColor="text1"/>
          <w:sz w:val="16"/>
          <w:szCs w:val="16"/>
        </w:rPr>
        <w:t>проект постановления Главного военного совета на 12 листах.</w:t>
      </w:r>
    </w:p>
    <w:p w14:paraId="3036DB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Председатель комиссии Герой Советского Союза командарм ранга </w:t>
      </w:r>
      <w:r w:rsidRPr="00DB5D0D">
        <w:rPr>
          <w:rFonts w:ascii="Times New Roman" w:hAnsi="Times New Roman"/>
          <w:iCs/>
          <w:color w:val="000000" w:themeColor="text1"/>
          <w:sz w:val="16"/>
          <w:szCs w:val="16"/>
        </w:rPr>
        <w:t>Штерн</w:t>
      </w:r>
    </w:p>
    <w:p w14:paraId="439418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w:t>
      </w:r>
    </w:p>
    <w:p w14:paraId="237950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Химического управления Красной Армии</w:t>
      </w:r>
    </w:p>
    <w:p w14:paraId="00020A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комбриг </w:t>
      </w:r>
      <w:r w:rsidRPr="00DB5D0D">
        <w:rPr>
          <w:rFonts w:ascii="Times New Roman" w:hAnsi="Times New Roman"/>
          <w:iCs/>
          <w:color w:val="000000" w:themeColor="text1"/>
          <w:sz w:val="16"/>
          <w:szCs w:val="16"/>
        </w:rPr>
        <w:t>Мельников</w:t>
      </w:r>
    </w:p>
    <w:p w14:paraId="695D68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Военный комиссар Химического управления Красной Армии полковой комиссар </w:t>
      </w:r>
      <w:r w:rsidRPr="00DB5D0D">
        <w:rPr>
          <w:rFonts w:ascii="Times New Roman" w:hAnsi="Times New Roman"/>
          <w:iCs/>
          <w:color w:val="000000" w:themeColor="text1"/>
          <w:sz w:val="16"/>
          <w:szCs w:val="16"/>
        </w:rPr>
        <w:t>Дмитриев</w:t>
      </w:r>
    </w:p>
    <w:p w14:paraId="3F8567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Автобронетанкового управления Красной Армии Герой Советского Союза командарм 2-го ранга </w:t>
      </w:r>
      <w:r w:rsidRPr="00DB5D0D">
        <w:rPr>
          <w:rFonts w:ascii="Times New Roman" w:hAnsi="Times New Roman"/>
          <w:iCs/>
          <w:color w:val="000000" w:themeColor="text1"/>
          <w:sz w:val="16"/>
          <w:szCs w:val="16"/>
        </w:rPr>
        <w:t>Павлов</w:t>
      </w:r>
    </w:p>
    <w:p w14:paraId="7BD4F9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Военный комиссар Автобронетанкового управления Красной Армии дивизионный комиссар </w:t>
      </w:r>
      <w:r w:rsidRPr="00DB5D0D">
        <w:rPr>
          <w:rFonts w:ascii="Times New Roman" w:hAnsi="Times New Roman"/>
          <w:iCs/>
          <w:color w:val="000000" w:themeColor="text1"/>
          <w:sz w:val="16"/>
          <w:szCs w:val="16"/>
        </w:rPr>
        <w:t>Куликов</w:t>
      </w:r>
    </w:p>
    <w:p w14:paraId="347950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Инспектор кавалерии Красной Армии командарм 2-го ранга </w:t>
      </w:r>
      <w:r w:rsidRPr="00DB5D0D">
        <w:rPr>
          <w:rFonts w:ascii="Times New Roman" w:hAnsi="Times New Roman"/>
          <w:iCs/>
          <w:color w:val="000000" w:themeColor="text1"/>
          <w:sz w:val="16"/>
          <w:szCs w:val="16"/>
        </w:rPr>
        <w:t>Городовиков"</w:t>
      </w:r>
    </w:p>
    <w:p w14:paraId="2D1BF0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Управления военно-технического снабжения Красной Армии дивинженер </w:t>
      </w:r>
      <w:r w:rsidRPr="00DB5D0D">
        <w:rPr>
          <w:rFonts w:ascii="Times New Roman" w:hAnsi="Times New Roman"/>
          <w:iCs/>
          <w:color w:val="000000" w:themeColor="text1"/>
          <w:sz w:val="16"/>
          <w:szCs w:val="16"/>
        </w:rPr>
        <w:t>Лебедев</w:t>
      </w:r>
    </w:p>
    <w:p w14:paraId="23D416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Снабжения Красной Армии корпусной комиссар </w:t>
      </w:r>
      <w:r w:rsidRPr="00DB5D0D">
        <w:rPr>
          <w:rFonts w:ascii="Times New Roman" w:hAnsi="Times New Roman"/>
          <w:iCs/>
          <w:color w:val="000000" w:themeColor="text1"/>
          <w:sz w:val="16"/>
          <w:szCs w:val="16"/>
        </w:rPr>
        <w:t>Хрулева</w:t>
      </w:r>
    </w:p>
    <w:p w14:paraId="1A689F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Зам. начальника Управления ВВС Красной Армии </w:t>
      </w:r>
      <w:r w:rsidRPr="00DB5D0D">
        <w:rPr>
          <w:rFonts w:ascii="Times New Roman" w:hAnsi="Times New Roman"/>
          <w:iCs/>
          <w:color w:val="000000" w:themeColor="text1"/>
          <w:sz w:val="16"/>
          <w:szCs w:val="16"/>
        </w:rPr>
        <w:t>Муратов"</w:t>
      </w:r>
    </w:p>
    <w:p w14:paraId="3AB80F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Управления ПВО Красной Армии комдив </w:t>
      </w:r>
      <w:r w:rsidRPr="00DB5D0D">
        <w:rPr>
          <w:rFonts w:ascii="Times New Roman" w:hAnsi="Times New Roman"/>
          <w:iCs/>
          <w:color w:val="000000" w:themeColor="text1"/>
          <w:sz w:val="16"/>
          <w:szCs w:val="16"/>
        </w:rPr>
        <w:t>Поляков</w:t>
      </w:r>
    </w:p>
    <w:p w14:paraId="4247EB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Минометного управления Красной Армии полковник </w:t>
      </w:r>
      <w:r w:rsidRPr="00DB5D0D">
        <w:rPr>
          <w:rFonts w:ascii="Times New Roman" w:hAnsi="Times New Roman"/>
          <w:iCs/>
          <w:color w:val="000000" w:themeColor="text1"/>
          <w:sz w:val="16"/>
          <w:szCs w:val="16"/>
        </w:rPr>
        <w:t>Борисов"'</w:t>
      </w:r>
    </w:p>
    <w:p w14:paraId="5C1B2B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Зам. начальника 5 отдела Генерального штаба Красной Армии комбриг </w:t>
      </w:r>
      <w:r w:rsidRPr="00DB5D0D">
        <w:rPr>
          <w:rFonts w:ascii="Times New Roman" w:hAnsi="Times New Roman"/>
          <w:iCs/>
          <w:color w:val="000000" w:themeColor="text1"/>
          <w:sz w:val="16"/>
          <w:szCs w:val="16"/>
        </w:rPr>
        <w:t>Шкуренков</w:t>
      </w:r>
    </w:p>
    <w:p w14:paraId="195A62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Пом. начальника Химического управления Красной Армии полковник </w:t>
      </w:r>
      <w:r w:rsidRPr="00DB5D0D">
        <w:rPr>
          <w:rFonts w:ascii="Times New Roman" w:hAnsi="Times New Roman"/>
          <w:iCs/>
          <w:color w:val="000000" w:themeColor="text1"/>
          <w:sz w:val="16"/>
          <w:szCs w:val="16"/>
        </w:rPr>
        <w:t>Полянский</w:t>
      </w:r>
    </w:p>
    <w:p w14:paraId="3B8E17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Начальника 2 отдела Инженерного управления Красной Армии полковник </w:t>
      </w:r>
      <w:r w:rsidRPr="00DB5D0D">
        <w:rPr>
          <w:rFonts w:ascii="Times New Roman" w:hAnsi="Times New Roman"/>
          <w:iCs/>
          <w:color w:val="000000" w:themeColor="text1"/>
          <w:sz w:val="16"/>
          <w:szCs w:val="16"/>
        </w:rPr>
        <w:t>Нагорный</w:t>
      </w:r>
    </w:p>
    <w:p w14:paraId="552E94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Начальника Артиллерийского управления Красной Армии комдив </w:t>
      </w:r>
      <w:r w:rsidRPr="00DB5D0D">
        <w:rPr>
          <w:rFonts w:ascii="Times New Roman" w:hAnsi="Times New Roman"/>
          <w:iCs/>
          <w:color w:val="000000" w:themeColor="text1"/>
          <w:sz w:val="16"/>
          <w:szCs w:val="16"/>
        </w:rPr>
        <w:t>Савченко</w:t>
      </w:r>
    </w:p>
    <w:p w14:paraId="7704A2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Постановление Главного военного совета'</w:t>
      </w:r>
    </w:p>
    <w:p w14:paraId="07D1A6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Одобрить состоящие на вооружении (21 объект) и принять на вооружение Красной Армии (41 объект) средства военно-химического вооружения согласно приложению № 1.</w:t>
      </w:r>
    </w:p>
    <w:p w14:paraId="10DC26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Утвердить разработку новых опытных и проектируемых образцов химического вооружения согласно приложению № 2.</w:t>
      </w:r>
    </w:p>
    <w:p w14:paraId="68AE84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Констатировать наличие в Красной Армии опасной недооценки вероятности применения химических средств в будущей войне и, как следствие этого, слабую боевую подготовку войск Красной Армии в химическом отношении, недостаточное внимание принятию на вооружение и внедрению в производство химических средств вооружения.</w:t>
      </w:r>
    </w:p>
    <w:p w14:paraId="0A0D6B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r w:rsidRPr="00DB5D0D">
        <w:rPr>
          <w:rFonts w:ascii="Times New Roman" w:hAnsi="Times New Roman"/>
          <w:iCs/>
          <w:color w:val="000000" w:themeColor="text1"/>
          <w:sz w:val="16"/>
          <w:szCs w:val="16"/>
        </w:rPr>
        <w:t>Индивидуальные средства противохимической защиты войск.</w:t>
      </w:r>
    </w:p>
    <w:p w14:paraId="3FD27F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Все части в 1940 г. перевооружаются противогазом БС МТ-4, который по своим качествам стоит выше имеющихся у нас иностранных образцов.</w:t>
      </w:r>
    </w:p>
    <w:p w14:paraId="09777D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августа 1940 г. предъявить на утверждение Главного военного совета соответствующий образец противогаза меньшего габарита и веса, без снижения защитной мощности по сравнению с противогазом БС МТ-4.</w:t>
      </w:r>
    </w:p>
    <w:p w14:paraId="48068B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продолжать работу над увеличением защитной мощности противогаза.</w:t>
      </w:r>
    </w:p>
    <w:p w14:paraId="3E3238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Бумажные накидки для бойцов являются приемлемыми по своей защитной мощности, производственной базе, сырью и стоимости. Большим недостатком их является непрочность. Обязать Хим[ическое] управление] в срочном порядке разработать и принять меры к внедрению в производство более прочных индивидуальных средств защиты от поливки на основе армированной бумаги (на нитяной основе). Отработать армейскую плащпалатку для защиты от СОВ, представив Главному военному совету образцы для принятия на вооружение к 1.8.40 г.</w:t>
      </w:r>
    </w:p>
    <w:p w14:paraId="279ED1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Импрегнированное обмундирование — одно из важных средств защиты бойца, не вышло за пределы опытных образцов. Надлежит продолжать с ним опыты, с учетом необходимости избежать повышения утомляемости бойца этим обмундированием.</w:t>
      </w:r>
    </w:p>
    <w:p w14:paraId="12D335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Хим[ического] управления] Красной Армии совместно с начальником пехоты Красной Армии к 1.8.40 г. провести войсковые испытания и на их основе доложить Главному военному совету свои предложения по импрегнированному обмундированию.</w:t>
      </w:r>
    </w:p>
    <w:p w14:paraId="4BC5CE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Химическому управлению Красной Армии разработать защитную мазь от СОВ для людей и конского состава и доложить о рецептурах к 1.8.40 г. Главному военному совету.</w:t>
      </w:r>
    </w:p>
    <w:p w14:paraId="7E846A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Принятая в Красной Армии защитная одежда от OB по своей мощности удовлетворительна, но крупным ее недостатком является трудность пребывания в ней при боевой работе, значительный вес и значительная стоимость. Химическому] управлению] добиться уменьшения веса защитной одежды, сохраняя прочность. Считать целесообразным вместо защитных комбинезонов иметь на снабжении защитные куртки и брюки. Образцы облегченной защитной одежды представить на утверждение Главного военного совета к 1.8.40 г.</w:t>
      </w:r>
    </w:p>
    <w:p w14:paraId="3903C5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w:t>
      </w:r>
      <w:r w:rsidRPr="00DB5D0D">
        <w:rPr>
          <w:rFonts w:ascii="Times New Roman" w:hAnsi="Times New Roman"/>
          <w:iCs/>
          <w:color w:val="000000" w:themeColor="text1"/>
          <w:sz w:val="16"/>
          <w:szCs w:val="16"/>
        </w:rPr>
        <w:t>Средства защиты коня.</w:t>
      </w:r>
    </w:p>
    <w:p w14:paraId="60AA48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средств защиты коня имеется два образца сухого конского противогаза:</w:t>
      </w:r>
    </w:p>
    <w:p w14:paraId="7F9A0E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КСПФ-1, передаваемый в 1940 г. на валовое производство.</w:t>
      </w:r>
    </w:p>
    <w:p w14:paraId="541837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КСП-6 — освоенный производством. Защита ног коня и кожи отсутствует.</w:t>
      </w:r>
    </w:p>
    <w:p w14:paraId="402620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 образцом конского противогаза считать КСПФ-1, в дальнейшем работать над его усовершенствованием. Хим[ическому] управлению] Красной Армии к 1.8.40 г. разработать и представить на утверждение Главного военного совета образец бумажных гетр для защиты ног коня.</w:t>
      </w:r>
    </w:p>
    <w:p w14:paraId="11B762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защите кожи коня ограничиться использованием конского противохимического пакета.</w:t>
      </w:r>
    </w:p>
    <w:p w14:paraId="4345AF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w:t>
      </w:r>
      <w:r w:rsidRPr="00DB5D0D">
        <w:rPr>
          <w:rFonts w:ascii="Times New Roman" w:hAnsi="Times New Roman"/>
          <w:iCs/>
          <w:color w:val="000000" w:themeColor="text1"/>
          <w:sz w:val="16"/>
          <w:szCs w:val="16"/>
        </w:rPr>
        <w:t>Коллективные средства защиты.</w:t>
      </w:r>
    </w:p>
    <w:p w14:paraId="63743F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Увеличить мощность фильтровентиляционных установок с производительностью до 300 куб. метров/час, с мощностью до суток, не увеличивая габарита установки. Разработать предфильтры для защиты от пыли и улучшить приборы предупреждения (индикация).</w:t>
      </w:r>
    </w:p>
    <w:p w14:paraId="7DB126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w:t>
      </w:r>
      <w:r w:rsidRPr="00DB5D0D">
        <w:rPr>
          <w:rFonts w:ascii="Times New Roman" w:hAnsi="Times New Roman"/>
          <w:iCs/>
          <w:color w:val="000000" w:themeColor="text1"/>
          <w:sz w:val="16"/>
          <w:szCs w:val="16"/>
        </w:rPr>
        <w:t>Средства дегазации.</w:t>
      </w:r>
    </w:p>
    <w:p w14:paraId="101B7B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Форсировать освоение промышленностью гипохлорита кальция и его солей, как основного дегазатора для дегазации местности. Расширить производственную базу жидких дегазаторов.</w:t>
      </w:r>
    </w:p>
    <w:p w14:paraId="0966C3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Дегазационные машины и приборы для дегазации вооружения и матчасти (АДМ, КДП, РДП) по своей конструкции и мощности отвечают своему назначению. Увеличить их производство до полного обеспечения армии.</w:t>
      </w:r>
    </w:p>
    <w:p w14:paraId="465C39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частичной дегазации вооружения и материальной части совместно с заинтересованными Управлениями (АБТУ, АУ и др.) разработать в 1940 г. образец индивидуального дегазационного пакета и к 1.8.40 г. доложить Главному военному совету.</w:t>
      </w:r>
    </w:p>
    <w:p w14:paraId="5B065F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w:t>
      </w:r>
      <w:r w:rsidRPr="00DB5D0D">
        <w:rPr>
          <w:rFonts w:ascii="Times New Roman" w:hAnsi="Times New Roman"/>
          <w:iCs/>
          <w:color w:val="000000" w:themeColor="text1"/>
          <w:sz w:val="16"/>
          <w:szCs w:val="16"/>
        </w:rPr>
        <w:t>Средства хим. нападения.</w:t>
      </w:r>
    </w:p>
    <w:p w14:paraId="1E9603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Самым энергичным образом продолжать работу по поискам новых OB, расширить производственную базу по люизиту и перейти к производству в Красной Армии иприта на крекинг-газе.</w:t>
      </w:r>
    </w:p>
    <w:p w14:paraId="7C0D6E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Отмечая недооценку и полную недостаточность средств газо-волнового нападения, обязать Хим[ическое] управление] отработать и представить к 1.8.40 г. на утверждение Главного военного совета образцы приборов (тары, баллонов, газометов, и др. аппаратуры) для целей газопуска.</w:t>
      </w:r>
    </w:p>
    <w:p w14:paraId="2A5A7C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Также особо срочно отработать применение туманов из СОВ.</w:t>
      </w:r>
    </w:p>
    <w:p w14:paraId="6C7345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Разработанный образец хим. прицепки передать на валовое производство. Хим. прицепками вооружить линейные танковые части. В танковой бригаде иметь одну роту, вооруженную хим. прицепками.</w:t>
      </w:r>
    </w:p>
    <w:p w14:paraId="1D4B93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Огнеметный огонь и маскирующий нейтральный дым, как не являющиеся боевыми химическими веществами, не считать средствами химической войны.</w:t>
      </w:r>
    </w:p>
    <w:p w14:paraId="7768CD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Огнеметание и маскирующий нейтральный дым должны найти самое широкое применение в действиях Красной Армии.</w:t>
      </w:r>
    </w:p>
    <w:p w14:paraId="0A9B18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более широкого применения огнеметания необходимо: а) разработать съемный огнеметный прибор, монтируемый на любой танк по мере надобности; б) на танках сделать приспособления для съемных огнеметных приборов.</w:t>
      </w:r>
    </w:p>
    <w:p w14:paraId="7AFFAF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Разработку приспособлений и приборов возложить на АБТУ Красной Армии.</w:t>
      </w:r>
    </w:p>
    <w:p w14:paraId="3DEA08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Химическому управлению Красной Армии совместно с начальником пехоты Красной Армии разработать ранцевые огнеметы и к 1.8.40 г. доложить Главному военному совету.</w:t>
      </w:r>
    </w:p>
    <w:p w14:paraId="56425A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Химические минометные батальоны переименовать в минометные батальоны и передать их из ведения Химического управления общевойсковому командованию. Считать необходимым перевооружить в 1940 г. все минометные батальоны минометами калибра 107 и 120-мм, принятыми на вооружение Красной Армии, имея в виду в дальнейшем вооружить эти батальоны, как армейское средство усиления, минометами более крупных калибров.</w:t>
      </w:r>
    </w:p>
    <w:p w14:paraId="4A871F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минометов 82-мм, 107-мм и 120-мм, а также для более крупных калибров иметь в боекомплекте химические мины.</w:t>
      </w:r>
    </w:p>
    <w:p w14:paraId="3CE2FB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Минометному управлению и ХИМУ не позднее 1.7.40 г. представить на утверждение Главного военного совета образцы этих мин.</w:t>
      </w:r>
    </w:p>
    <w:p w14:paraId="6AD798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Обязать Химическое управление Красной Армии отработать ручные химические гранаты и образцы доложить на утверждение Главного военного совета к 15.VI.40 г.</w:t>
      </w:r>
    </w:p>
    <w:p w14:paraId="6C0E8E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Все самолеты И-16 дооборудовать выливными авиационными приборами (ВАПами).</w:t>
      </w:r>
    </w:p>
    <w:p w14:paraId="056B5F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Главному управлению авиационного снабжения Красной Армии провести опыты с авиахимбомбами из сталистого чугуна и к 1.7.40 г. о результатах доложить Главному военному совету.</w:t>
      </w:r>
    </w:p>
    <w:p w14:paraId="0328C0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В производстве и накоплении химических и осколочно-химических снарядов, мин и авиахимбомб принять следующий порядок:</w:t>
      </w:r>
    </w:p>
    <w:p w14:paraId="4D5C4A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 мирное время для химических выстрелов изготовлять только корпуса, из них залитые отравляющим веществом иметь по снарядам и минам не более 5 %, по авиахимбомбам 10 %, на случай возникновения необходимости срочного применения. Остальные корпуса хранить в неснаряженном виде при снаряжательных химических заводах.</w:t>
      </w:r>
    </w:p>
    <w:p w14:paraId="68A4D3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Для обеспечения возможной необходимости массового применения в военное время подготовить в мирное время достаточную производственную базу по корпусам химических снарядов, мин и бомб и снаряжение их.</w:t>
      </w:r>
    </w:p>
    <w:p w14:paraId="1662E7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 отдаленных округах иметь запасы OB и оболочек и предусмотреть снаряжение их на месте.</w:t>
      </w:r>
    </w:p>
    <w:p w14:paraId="6B4EF0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Генеральному штабу Красной Армии к 1.6.40 г. специально доложить Главному военному совету план практических мероприятий по срочному осуществлению этого решения.</w:t>
      </w:r>
    </w:p>
    <w:p w14:paraId="4E5CD0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Генеральному штабу Красной Армии установить процентное соотношение снаряжения СОВ и НОВ артхимснарядов, хим. бомб и авиахимбомб.</w:t>
      </w:r>
    </w:p>
    <w:p w14:paraId="59BBC4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Констатировать слабую работу разведывательных органов по добыванию сведений по состоянию средств химического вооружения, особенно по БХВ, в иностранных армиях. Разведывательному управлению Красной Армии считать одной из главных своих задач разведку рецептов новых OB.</w:t>
      </w:r>
    </w:p>
    <w:p w14:paraId="135DA0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Обязать начальника Химического управления Красной Армии наблюдать за состоянием и развитием химического вооружения авиации, артиллерии, минометных, автобронетанковых и других войск. Начальникам соответствующих центральных управлений разработку средств химического вооружения проводить согласованно с начальником Химического управления Красной Армии*.</w:t>
      </w:r>
    </w:p>
    <w:p w14:paraId="09DEB2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Председатель комиссии Главного военного совета </w:t>
      </w:r>
      <w:r w:rsidRPr="00DB5D0D">
        <w:rPr>
          <w:rFonts w:ascii="Times New Roman" w:hAnsi="Times New Roman"/>
          <w:iCs/>
          <w:color w:val="000000" w:themeColor="text1"/>
          <w:sz w:val="16"/>
          <w:szCs w:val="16"/>
        </w:rPr>
        <w:t xml:space="preserve">Штерн </w:t>
      </w:r>
      <w:r w:rsidRPr="00DB5D0D">
        <w:rPr>
          <w:rFonts w:ascii="Times New Roman" w:hAnsi="Times New Roman"/>
          <w:color w:val="000000" w:themeColor="text1"/>
          <w:sz w:val="16"/>
          <w:szCs w:val="16"/>
        </w:rPr>
        <w:t>Члены:</w:t>
      </w:r>
    </w:p>
    <w:p w14:paraId="3F6496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Д. Павлов</w:t>
      </w:r>
    </w:p>
    <w:p w14:paraId="10F6FE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Хрулев</w:t>
      </w:r>
    </w:p>
    <w:p w14:paraId="6E9E2A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Поляков</w:t>
      </w:r>
    </w:p>
    <w:p w14:paraId="44CAB1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Лебедев </w:t>
      </w:r>
      <w:r w:rsidRPr="00DB5D0D">
        <w:rPr>
          <w:rFonts w:ascii="Times New Roman" w:hAnsi="Times New Roman"/>
          <w:color w:val="000000" w:themeColor="text1"/>
          <w:sz w:val="16"/>
          <w:szCs w:val="16"/>
        </w:rPr>
        <w:t>11.5.1940 г.</w:t>
      </w:r>
    </w:p>
    <w:p w14:paraId="2F121F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Нагорный</w:t>
      </w:r>
    </w:p>
    <w:p w14:paraId="655C56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Шкуренков</w:t>
      </w:r>
    </w:p>
    <w:p w14:paraId="225EB7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Муратов</w:t>
      </w:r>
    </w:p>
    <w:p w14:paraId="26B81D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Савченко </w:t>
      </w:r>
      <w:r w:rsidRPr="00DB5D0D">
        <w:rPr>
          <w:rFonts w:ascii="Times New Roman" w:hAnsi="Times New Roman"/>
          <w:color w:val="000000" w:themeColor="text1"/>
          <w:sz w:val="16"/>
          <w:szCs w:val="16"/>
        </w:rPr>
        <w:t>11.5.40 г.</w:t>
      </w:r>
    </w:p>
    <w:p w14:paraId="0046A7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Мельников"</w:t>
      </w:r>
    </w:p>
    <w:p w14:paraId="318FA4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4. Оп. 14. Д. 2687. Л. 105-109 об. Подлинник (11773).</w:t>
      </w:r>
    </w:p>
    <w:p w14:paraId="6EB23CA4"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46CD44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 Предложения по докладу начальника Управления снабжения горючим комдива т. Котова"</w:t>
      </w:r>
    </w:p>
    <w:p w14:paraId="4BCCDC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Положение с выработкой нефтепромышленного высокооктанового авиагорючего продолжает оставаться неудовлетворительным. Современные авиационные моторы требуют горючее с октановым числом 95. Моторы, запроектированные к выпуску в 1941 г., будут требовать горючее с октановым числом 100. Нефтяная промышленность производит лишь 300 тонн в месяц авиабензина марки Б-95 (с Зсм</w:t>
      </w:r>
      <w:r w:rsidRPr="00DB5D0D">
        <w:rPr>
          <w:rFonts w:ascii="Times New Roman" w:hAnsi="Times New Roman"/>
          <w:color w:val="000000" w:themeColor="text1"/>
          <w:sz w:val="16"/>
          <w:szCs w:val="16"/>
          <w:vertAlign w:val="superscript"/>
        </w:rPr>
        <w:t>3</w:t>
      </w:r>
      <w:r w:rsidRPr="00DB5D0D">
        <w:rPr>
          <w:rFonts w:ascii="Times New Roman" w:hAnsi="Times New Roman"/>
          <w:color w:val="000000" w:themeColor="text1"/>
          <w:sz w:val="16"/>
          <w:szCs w:val="16"/>
        </w:rPr>
        <w:t>ТЭСа), что не обеспечивает накопления необходимых запасов.</w:t>
      </w:r>
    </w:p>
    <w:p w14:paraId="0D2B42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Правительства по развитию производства высокооктановых авиатоплив (№ 304сс 1939 г.) Наркомнефтью не выполнено.</w:t>
      </w:r>
    </w:p>
    <w:p w14:paraId="4FA6A0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Наркомнефть не поставляет в достаточном количестве для Красной Армии танкового крекинг-бензина (КБ-70), что приводило к напряженному положению обеспечения операций в Финляндии.</w:t>
      </w:r>
    </w:p>
    <w:p w14:paraId="467796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Просить Правительство об увеличении производства бензина КБ-70 в соответствии с потребностью Красной Армии.</w:t>
      </w:r>
    </w:p>
    <w:p w14:paraId="74C3A2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Особенно остро стоит вопрос с производством селективных авиамасел, которые на сегодняшний день являются основным видом масел, годным для применения на современных авиадвигателях. Потребности Красной Армии удовлетворяются лишь на 60—70% за счет выработки маломощных, технически несовершенных установок (Владимирский завод в Москве и завод им. Менделеева в Ярославле). Мощный завод авиамасел № 3 в Грозном до сих пор не введен в строй, несмотря на ряд решений Правительства, что не дает возможности накопить необходимое количество авиамасел на военное время.</w:t>
      </w:r>
    </w:p>
    <w:p w14:paraId="102F6A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Производство газогенераторного топлива (древесные чурки, уголь, торф, соломенные брикеты и т. п.) до сих пор не налажено, что тормозит внедрение в эксплуатацию газогенераторных машин, как в народном хозяйстве, так и в РККА.</w:t>
      </w:r>
    </w:p>
    <w:p w14:paraId="061D8D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всемерной экономии жидкого горючего и получения дополнительных ресурсов его для боевых машин просить Правительство об организации производства газогенераторного топлива в размерах удовлетворяющих нужды народного хозяйства и РККА.</w:t>
      </w:r>
    </w:p>
    <w:p w14:paraId="36D8A8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УСГ Красной Армии организовать отделение по газогенераторному топливу.</w:t>
      </w:r>
    </w:p>
    <w:p w14:paraId="30BEBC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 связи с предстоящим широким внедрением в течение ближайших 2— 3 лет дизельмоторов для танковых войск, дающих значительную экономию в потреблении светлых горючих, просить Правительство форсировать производство дизельного топлива для удовлетворения растущей текущей потребности и накопления необходимых запасов на военное время.</w:t>
      </w:r>
    </w:p>
    <w:p w14:paraId="2053D7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6. Для проверки качества авиатоплива Красной Армии — во всех военных округах (окружных лабораторий ГСМ) установить двигатели ВОКЕШ для определения октановых чисел горючего, для чего УСГ КА возбудить ходатайство о закупке заграницей не менее 15 двигателей ВОКЕШ. Просить Правительство обязать НКАП или Наркомсредмаш до конца 1940 г. освоить промышленное производство двигателей типа ВОКЕШ.</w:t>
      </w:r>
    </w:p>
    <w:p w14:paraId="4B6DA3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Для ведения научно-испытательной, опытной работы и контроля за качественной стороной производства авиатоплив и авиамасел в стране создать военный научно-испытательный институт ГСМ.</w:t>
      </w:r>
    </w:p>
    <w:p w14:paraId="4832C5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ВВС Красной Армии, АБТУ совместно с ГУАС КА и УСГ КА установить жесткие нормы расхода смазочных масел, имея в виду сокращение норм расхода масел, доведя их до 4,5—5% от расхода горючего.</w:t>
      </w:r>
    </w:p>
    <w:p w14:paraId="5EDEBF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Обязать УСГ КА совместно с АБТУ и ГУАС КА организовать в 1940 г. сбор и регенерацию отработанных масел, для чего закупить в Наркомнефти не менее 70 штук регенерационных установок.</w:t>
      </w:r>
    </w:p>
    <w:p w14:paraId="22700A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С целью внедрения новейших образцов заграничной техники по регенерации отработанных масел — разрешить УСГ КА закупить за границей 2 установки по регенерации</w:t>
      </w:r>
      <w:r w:rsidRPr="00DB5D0D">
        <w:rPr>
          <w:rFonts w:ascii="Times New Roman" w:hAnsi="Times New Roman"/>
          <w:color w:val="000000" w:themeColor="text1"/>
          <w:sz w:val="16"/>
          <w:szCs w:val="16"/>
        </w:rPr>
        <w:t>'.</w:t>
      </w:r>
    </w:p>
    <w:p w14:paraId="3F40C5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w:t>
      </w:r>
      <w:r w:rsidRPr="00DB5D0D">
        <w:rPr>
          <w:rFonts w:ascii="Times New Roman" w:hAnsi="Times New Roman"/>
          <w:iCs/>
          <w:color w:val="000000" w:themeColor="text1"/>
          <w:sz w:val="16"/>
          <w:szCs w:val="16"/>
        </w:rPr>
        <w:t xml:space="preserve">Тара, заправочная и мерная посуда. </w:t>
      </w:r>
      <w:r w:rsidRPr="00DB5D0D">
        <w:rPr>
          <w:rFonts w:ascii="Times New Roman" w:hAnsi="Times New Roman"/>
          <w:color w:val="000000" w:themeColor="text1"/>
          <w:sz w:val="16"/>
          <w:szCs w:val="16"/>
        </w:rPr>
        <w:t>Оставить на вооружении Красной Армии:</w:t>
      </w:r>
    </w:p>
    <w:p w14:paraId="32ECD1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Цистерны 15, 17, 25, и 50 м</w:t>
      </w:r>
      <w:r w:rsidRPr="00DB5D0D">
        <w:rPr>
          <w:rFonts w:ascii="Times New Roman" w:hAnsi="Times New Roman"/>
          <w:color w:val="000000" w:themeColor="text1"/>
          <w:sz w:val="16"/>
          <w:szCs w:val="16"/>
          <w:vertAlign w:val="superscript"/>
        </w:rPr>
        <w:t>3</w:t>
      </w:r>
      <w:r w:rsidRPr="00DB5D0D">
        <w:rPr>
          <w:rFonts w:ascii="Times New Roman" w:hAnsi="Times New Roman"/>
          <w:color w:val="000000" w:themeColor="text1"/>
          <w:sz w:val="16"/>
          <w:szCs w:val="16"/>
        </w:rPr>
        <w:t>, контейнеры КП-2, бочки оцинкованные и железные емкостью 250 литров, бидоны бензиновые и масляные емкостью в 20 и 10 литров, воронки, ведра мерные, водомаслогрейки Гончарова.</w:t>
      </w:r>
    </w:p>
    <w:p w14:paraId="423D19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Контейнеры КЦ-6 ввиду их ограниченного применения, громоздкости, малой емкости снять с производства в 1940 г., заменив их в плане заказов цистернами 15—17м</w:t>
      </w:r>
      <w:r w:rsidRPr="00DB5D0D">
        <w:rPr>
          <w:rFonts w:ascii="Times New Roman" w:hAnsi="Times New Roman"/>
          <w:color w:val="000000" w:themeColor="text1"/>
          <w:sz w:val="16"/>
          <w:szCs w:val="16"/>
          <w:vertAlign w:val="superscript"/>
        </w:rPr>
        <w:t>3</w:t>
      </w:r>
      <w:r w:rsidRPr="00DB5D0D">
        <w:rPr>
          <w:rFonts w:ascii="Times New Roman" w:hAnsi="Times New Roman"/>
          <w:color w:val="000000" w:themeColor="text1"/>
          <w:sz w:val="16"/>
          <w:szCs w:val="16"/>
        </w:rPr>
        <w:t>.</w:t>
      </w:r>
    </w:p>
    <w:p w14:paraId="3D0EF9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Ходатайствовать перед Правительством о переводе заказа НКО (цистерны, бочки, бидоны, контейнеры КП-2, водомаслогрейки Гончарова) из балансовой продукции в разряд военных текущих заказов «ВТЗ». Восстановить производство контейнеров КП-2 емкостью 1,2 т на Мордовщинском заводе.</w:t>
      </w:r>
    </w:p>
    <w:p w14:paraId="028F6C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w:t>
      </w:r>
      <w:r w:rsidRPr="00DB5D0D">
        <w:rPr>
          <w:rFonts w:ascii="Times New Roman" w:hAnsi="Times New Roman"/>
          <w:iCs/>
          <w:color w:val="000000" w:themeColor="text1"/>
          <w:sz w:val="16"/>
          <w:szCs w:val="16"/>
        </w:rPr>
        <w:t>Средства заправки и перекачки и транспортировки ГСМ.</w:t>
      </w:r>
    </w:p>
    <w:p w14:paraId="534BD8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Оставить на вооружении Красной Армии:</w:t>
      </w:r>
    </w:p>
    <w:p w14:paraId="1FB2A7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Бензоперекачечные станции ГАЗ-АА с насосом ЦД-10 и 4АД-90, бензомотопомпы Л-6/2, ручные бензиновые и маслораздаточные насосы, коллектора (трубопровод) дл. 1,5 км, бензозаправщики и автоцистерны на шасси ЗИС-5, водомаслозаправщики на шасси ЗИС-6, бензостойкие тиоколовые шланги, раздаточные краны «OK».</w:t>
      </w:r>
    </w:p>
    <w:p w14:paraId="23CAEB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Отметить резкий недостаток средств транспортировки и заправки горючего, что создает трудности в подаче горюче-смазочных материалов от станций снабжения до войсковых частей и приводит к большим потерям горючего.</w:t>
      </w:r>
    </w:p>
    <w:p w14:paraId="3AB3DC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I.IV.40 г. обеспеченность РККА в %% составляет:</w:t>
      </w:r>
    </w:p>
    <w:p w14:paraId="212776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автоцистернами                                  на 32</w:t>
      </w:r>
    </w:p>
    <w:p w14:paraId="02058F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водомаслозаправщиками                 на 32</w:t>
      </w:r>
    </w:p>
    <w:p w14:paraId="2A55A9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бензомотопомпами Л-6/2                на 39</w:t>
      </w:r>
    </w:p>
    <w:p w14:paraId="334DA0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бензоперекачечными станциями  на 54</w:t>
      </w:r>
    </w:p>
    <w:p w14:paraId="441467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ручными насосами                             на 23</w:t>
      </w:r>
    </w:p>
    <w:p w14:paraId="5DE31B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коренного улучшения создавшегося положения необходимо расширять производство средств транспортировки и заправки горючего, для чего:</w:t>
      </w:r>
    </w:p>
    <w:p w14:paraId="6CAA9B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ходатайствовать перед Правительством о расширении производства ручных бензиновых насосов на заводах: «Красный Факел», «Знамя Труда», «Красная Звезда» и восстановлении производства ручных бензиновых насосов на заводе «Красный Октябрь» Наркомата автотранспорта РСФСР, с переводом их из балансовой продукции в разряд военных текущих заказов «ВТЗ»;</w:t>
      </w:r>
    </w:p>
    <w:p w14:paraId="682A2E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ручные бензиновые насосы с 1941 г. передать в номенклатуру заготовок УСГ КА, изъяв фонды на них из ИУ и КЭУ КА;</w:t>
      </w:r>
    </w:p>
    <w:p w14:paraId="353753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ходатайствовать перед Правительством о расширении баз производства бензоперекачечных станций типа ЦД-10 на заводах: № 5 Главтекстильмаша, Московском заводе автопожарных машин, бензозаправщиков и автоцистерн на заводах «Промет» и заводе им. Медведева;</w:t>
      </w:r>
    </w:p>
    <w:p w14:paraId="268DBD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просить Правительство о восстановлении производства бензозаправщиков, автоцистерн, водомаслозаправщиков на заводах: Подольском, Мордовщинском и «Январское Восстание», и окончании освоения Новоторжского завода в течение III квартала 1940 г., обратив его целиком на производство автоцистерн для НКО (УСГ КА) в 1941 г.;</w:t>
      </w:r>
    </w:p>
    <w:p w14:paraId="26A765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просить Правительство о выделении специальной производственной базы для изготовления бензоцистерн на прицепе, с годовой мощностью до 2000 шт.;</w:t>
      </w:r>
    </w:p>
    <w:p w14:paraId="7EE992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ввести на вооружение армейскую авторемонтную мастерскую по типу «Б» для ремонта вооружения службы снабжения горючим;</w:t>
      </w:r>
    </w:p>
    <w:p w14:paraId="61B0DA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ж)разрешить закупить за границей:</w:t>
      </w:r>
    </w:p>
    <w:p w14:paraId="58B189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бензомаслоперекачечный агрегат, смонтированный на автомашине и работающий от двигателя автомашины — 1 шт.;</w:t>
      </w:r>
    </w:p>
    <w:p w14:paraId="2DFEE6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бензомасломотопомпу, смонтированную на прицепе автомашины и работающую от индивидуального двигателя внутрен. сгорания — 1 шт.;</w:t>
      </w:r>
    </w:p>
    <w:p w14:paraId="26E6C5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автоцистерну емк[остью] 8 тонн с механическим (от двигателя машины) и ручным насосами — 1 шт.;</w:t>
      </w:r>
    </w:p>
    <w:p w14:paraId="7E427E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бензоморозостойкий шланг (гибкий неметаллический) — 100 м;</w:t>
      </w:r>
    </w:p>
    <w:p w14:paraId="57FC5A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металлический гибкий шланг — 100 м;</w:t>
      </w:r>
    </w:p>
    <w:p w14:paraId="07327F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маслосчетчик повышенной точности — 2 шт.;</w:t>
      </w:r>
    </w:p>
    <w:p w14:paraId="373ED1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бензосчетчики — 2 шт.;</w:t>
      </w:r>
    </w:p>
    <w:p w14:paraId="7FEAC1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—стационарную заправочную бензоколонку для стационарных складов ГСМ-1 шт.:</w:t>
      </w:r>
    </w:p>
    <w:p w14:paraId="6C01A6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передвижную заправочную бензоколонку для головных складов ГСМ - 1 шт.</w:t>
      </w:r>
    </w:p>
    <w:p w14:paraId="165A7D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раздаточный кран автоматический — 2 шт.</w:t>
      </w:r>
    </w:p>
    <w:p w14:paraId="289682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Учитывая возросшее значение снабжения войск горючим, также оперативность и сложность его, считать необходимым выделить из системы ВТС КА службу снабжения горючим, подчинив ее народному комиссару обороны и военным советам округов и армий.</w:t>
      </w:r>
    </w:p>
    <w:p w14:paraId="312941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В связи с возросшими потребностями в горючем и его многосортности считать необходимым иметь начальников снабжения горючим в стрелковых и кавалерийских корпусах и дивизиях мотомеханизированных и авиационных соединениях и частях и артиллерийских полках РГК на мехтяге.</w:t>
      </w:r>
    </w:p>
    <w:p w14:paraId="16B8D9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Ввести во все действующие штаты полевых управлений ОСГ армий штат №02/23.</w:t>
      </w:r>
    </w:p>
    <w:p w14:paraId="4C7C74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Армейские средства подвоза горючего (автобаты, автороты) подчинить во всех отношениях начальникам ОСГ армий и фронтов.</w:t>
      </w:r>
    </w:p>
    <w:p w14:paraId="5D9A38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В мирное время содержать кадры головных складов — начальника склада и начальника механизации, на которых возложить разработку мобплана склада, контроль за припиской и изучением личного состава, контроль за сохранением техники склада и проведение учебных сборов.</w:t>
      </w:r>
    </w:p>
    <w:p w14:paraId="007D8B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Формирование ремонтно-восстановительных отрядов по восстановлению складов исключить из схемы развертывания, возлагаемое на НКНП.</w:t>
      </w:r>
    </w:p>
    <w:p w14:paraId="6B657B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Сформировать центральные и окружные (армейские) мастерские по ремонту и восстановлению имущества службы снабжения горючим.</w:t>
      </w:r>
    </w:p>
    <w:p w14:paraId="2F3D6B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Ввести в штаты УСГ КА отдел и в штаты ОСГ округов (армий) отделения по ремонту и эксплуатации техники службы снабжения горючим.</w:t>
      </w:r>
    </w:p>
    <w:p w14:paraId="626437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Снабжение горючим в военное время производить по схеме центр — фронт через распределительные станции фронта, фронт — армия через распределительные станции армии.</w:t>
      </w:r>
    </w:p>
    <w:p w14:paraId="39B5EA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В мирное время УСГ КА, с утверждением Генштаба, установить ориентировочные пункты фронтовых и армейских распредстанций, соответственно оборудованных емкостями под горючее, хранилищами под тарные масла и материальными складами, имеющих достаточное количество обгонных путей и тупиков.</w:t>
      </w:r>
    </w:p>
    <w:p w14:paraId="12EC95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В целях создания маневренных запасов горючего в распоряжении фронтового командования, построить склады горючего емкостью до 25 000 тонн.</w:t>
      </w:r>
    </w:p>
    <w:p w14:paraId="194267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Просить Правительство обязать НКПС предусмотреть увеличение парка ж.д. цистерн, а также цистерн термических и малых с нижним сливом до размеров необходимых для обеспечения потребностей в военное время.</w:t>
      </w:r>
    </w:p>
    <w:p w14:paraId="238563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С началом военных операций придавать в распоряжение ОСГ фронтов по 20 шт. большегрузных цистерн для организации ж. д. «вертушек».</w:t>
      </w:r>
    </w:p>
    <w:p w14:paraId="4F51E4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Довести емкость головного склада до 800 т, соответственно увеличив штат склада, имея в виду его круглосуточную работу.</w:t>
      </w:r>
    </w:p>
    <w:p w14:paraId="13B990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Поручить Генеральному штабу КА произвести проверку мобилизационной готовности нефтяной промышленности.</w:t>
      </w:r>
    </w:p>
    <w:p w14:paraId="50DAD7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Просить Комитет Обороны пересмотреть дислокацию количество и сортность запасов горючего УТР в соответствии с планами Генерального штаба КА.</w:t>
      </w:r>
    </w:p>
    <w:p w14:paraId="767B7C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Генштабу Красной Армии установить план хранения мобзапасов ГСМ по сортам по каждому складу к 1 июля 1940 г., избегая, по возможности, многосортности на отдельных складах.</w:t>
      </w:r>
    </w:p>
    <w:p w14:paraId="7A5B9C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Дислокацию и емкости подлежащие строительству гражданских нефтебаз устанавливать согласно требованиям Генштаба.</w:t>
      </w:r>
    </w:p>
    <w:p w14:paraId="27931C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Считать необходимым, начиная с 1940 г. строить базисные склады для МЗ емкостью не ниже 2000 тонн.</w:t>
      </w:r>
    </w:p>
    <w:p w14:paraId="51C4DD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В плане строительства 1941 г. предусмотреть в первую очередь расширение уже существующих и строящихся сейчас мелких складов.</w:t>
      </w:r>
    </w:p>
    <w:p w14:paraId="08719E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 Для развертывания в военное время складов горючего временного упрощенного типа по 500 т каждый заготовить их типовые комплекты в количестве и по дислокации определяемой ГШ КА.</w:t>
      </w:r>
    </w:p>
    <w:p w14:paraId="09EB1C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 В районах вероятных фронтов, обязать Главнефтесбыт построить разливочные масла, определив пункты и производительность их по заданию Генштаба Красной Армии.</w:t>
      </w:r>
    </w:p>
    <w:p w14:paraId="1BA5C7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 В мирное время существующие нефтебазы Главнефтесбыта подготовить к требованиям эксплуатации во время войны.</w:t>
      </w:r>
    </w:p>
    <w:p w14:paraId="41E3D7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35. Просить Правительство обязать Наркомат автомобильного транспорта РСФСР построить раздаточные бензоколонки на шоссейных и грунтовых дорогах по указанию Генштаба КА.</w:t>
      </w:r>
    </w:p>
    <w:p w14:paraId="5CCF9E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 В целях удешевления и сокращения сроков строительства, начиная с 1941 г., центральные и фронтовые базы горючего строить большой емкостью, надземного типа и с развитием ж. д. путей*.</w:t>
      </w:r>
    </w:p>
    <w:p w14:paraId="23F2DE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Локтионов 11.5.40. Котов 11.5.40 г." </w:t>
      </w:r>
      <w:r w:rsidRPr="00DB5D0D">
        <w:rPr>
          <w:rFonts w:ascii="Times New Roman" w:hAnsi="Times New Roman"/>
          <w:color w:val="000000" w:themeColor="text1"/>
          <w:sz w:val="16"/>
          <w:szCs w:val="16"/>
        </w:rPr>
        <w:t>РГВА. Ф. 4. Оп. 14. Д. 2687. Л. 119-125. Подлинник (11773).</w:t>
      </w:r>
    </w:p>
    <w:p w14:paraId="374779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C1F60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 № 0/1105 Предложения начальника Управления ПВО РККА комдива Я. К. Полякова о подготовке войск к противовоздушной обороне</w:t>
      </w:r>
    </w:p>
    <w:p w14:paraId="6ACB07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Командарму 2-го ранга т. Грендалю</w:t>
      </w:r>
    </w:p>
    <w:p w14:paraId="09EBEC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Комиссию рассмотреть вопрос о подготовке войск к противовоздушной обороны, так как до сего времени при подготовке бойца, подразделения, части и соединения этому вопросу не уделяется должного внимания.</w:t>
      </w:r>
    </w:p>
    <w:p w14:paraId="3AD168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Боевые действия в Финляндии показали, что наши войска по мероприятиям ПВО совершенно не подготовлены, последнее может привести к тяжелым последствиям.</w:t>
      </w:r>
    </w:p>
    <w:p w14:paraId="0EB4E9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крайне необходимым дать указания войскам при всех тактических выходах в поле, начиная от одиночного обучения бойца и кончая учениями и маневрами соединений, и тыловым органам по серьезному отрабатывать мероприятия ПВО, как то:</w:t>
      </w:r>
    </w:p>
    <w:p w14:paraId="4D6A0E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расчленение, маскировку, светомаскировку, организацию противопожарной, медико-санитарной и ветеринарной защиты;</w:t>
      </w:r>
    </w:p>
    <w:p w14:paraId="78C1AD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организацию войсковой службы ВНОС и оповещения войск и тыловых учреждений;</w:t>
      </w:r>
    </w:p>
    <w:p w14:paraId="392C0E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использование ружейно-пулеметного огня против штурмующих и пикирующих самолетов и тактически грамотному использованию зенитной артиллерии;</w:t>
      </w:r>
    </w:p>
    <w:p w14:paraId="6A4695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умению опознать свои самолеты;</w:t>
      </w:r>
    </w:p>
    <w:p w14:paraId="30F1DB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умению занизить своим самолетам авиабоевой порядок*.</w:t>
      </w:r>
    </w:p>
    <w:p w14:paraId="497989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всех проводимых учениях обязательно выделять самолеты нападения, которые имитировали бы пулеметный обстрел, бомбежку и поливку отравляющими веществами, как войск, так и их органов управления и тыловых учреждений.</w:t>
      </w:r>
    </w:p>
    <w:p w14:paraId="56906F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Каждый боец и командир обязан знать и всегда применять мероприятия ПВО.</w:t>
      </w:r>
    </w:p>
    <w:p w14:paraId="7E254B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управления ПВО Красной Армии</w:t>
      </w:r>
    </w:p>
    <w:p w14:paraId="77D3FA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комдив </w:t>
      </w:r>
      <w:r w:rsidRPr="00DB5D0D">
        <w:rPr>
          <w:rFonts w:ascii="Times New Roman" w:hAnsi="Times New Roman"/>
          <w:iCs/>
          <w:color w:val="000000" w:themeColor="text1"/>
          <w:sz w:val="16"/>
          <w:szCs w:val="16"/>
        </w:rPr>
        <w:t>Поляков</w:t>
      </w:r>
    </w:p>
    <w:p w14:paraId="1A2F30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 34891. Оп. 1. Д. 12. Л. 132-132 об. Подлинник (11773).</w:t>
      </w:r>
    </w:p>
    <w:p w14:paraId="1F61DC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857F3D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3131F29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4347E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было открытое письмо Троцкого. Прямой призыв к вооруженному восстанию и физическому устранению "Сталина и его камарильи". Пора точить ледоруб, подумал Сталин. У Троцкого 4-й Интернационал с представителями от 11 стран. К тому времени документы «оппозиции Троцкого» издавались на 15 языках, на нее работали 32 печатных издания в 16 странах. А в СССР вовсю действовало неслабое троцкистское подполье, состоявшее не из прекраснодушных болтунов, а большей частью из людей решительных, с большим опытом по части кровопролития. Троцкий сотрудничал с немцами, англичанами и американцами. Кроме того, он лично передал сотруднику американского консульства в Мехико список мексиканских изданий, политических деятелей, профсоюзных активистов и государственных служащих, связанных с компартией сталинской ориентации, а также список известных Троцкому советских агентов в Мексике. Всего пять дней спустя секретарь Троцкого передал в консульство новую записку, в которой подробно освещалась деятельность в Мексике нью</w:t>
      </w:r>
      <w:r w:rsidRPr="00DB5D0D">
        <w:rPr>
          <w:rFonts w:ascii="Times New Roman" w:hAnsi="Times New Roman"/>
          <w:color w:val="000000" w:themeColor="text1"/>
          <w:sz w:val="16"/>
          <w:szCs w:val="16"/>
        </w:rPr>
        <w:noBreakHyphen/>
        <w:t>йоркского резидента НКВД Энрике Мартинеса Рики. Троцкий готовил еще один список советских агентов, действующих в Мексике, США и Франции (который янки получили уже после его смерти). Как его не мочить? Всенепременно валить. "Троцкий,  или как вы  его именуете  в  ваших делах, "Старик", должен быть устранен в течение  года, прежде  чем  разразится неминуемая война. Без устранения Троцкого,  как  показывает  испанский  опыт,  мы  не  можем  быть уверены,  в  случае нападения империалистов на  Советский Союз,  в поддержке наших союзников по международному коммунистическому движению. Им будет очень трудно  выполнить  свой  интернациональный  долг  по   дестабилизации  тылов противника, развернуть партизанскую войну". Такие слова сказал Сталин Берии и Судоплатову (12629).</w:t>
      </w:r>
    </w:p>
    <w:p w14:paraId="4CDC063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E81359"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в 1940 году Л.Троцкий опубликовал «Письмо советским рабочим» (14888).</w:t>
      </w:r>
    </w:p>
    <w:p w14:paraId="753B1838"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771D02D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F0304E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1DF7260"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Боинг представил военным эскизный проект бомбардировщика "Модель 345" - прообраза В-29 (1051,11).</w:t>
      </w:r>
    </w:p>
    <w:p w14:paraId="143394A9"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2BB90672"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11–12 мая (ночь) 1940 британские бомбардировщики препятствуют передвижению войск германской армии - 37 Хэндли Пейдж Хэмпденс и Армстронг Уитворт Уитли бомбят автомобильные и железнодорожные узлы возле Менхенгладбаха. Три британских бомбардировщика потеряны (20795).</w:t>
      </w:r>
    </w:p>
    <w:p w14:paraId="74391409" w14:textId="77777777" w:rsidR="006E7D37" w:rsidRPr="00DB5D0D" w:rsidRDefault="006E7D37" w:rsidP="00DB5D0D">
      <w:pPr>
        <w:spacing w:after="0" w:line="240" w:lineRule="auto"/>
        <w:jc w:val="both"/>
        <w:rPr>
          <w:rFonts w:ascii="Times New Roman" w:hAnsi="Times New Roman"/>
          <w:color w:val="0070C0"/>
          <w:sz w:val="16"/>
          <w:szCs w:val="16"/>
        </w:rPr>
      </w:pPr>
    </w:p>
    <w:p w14:paraId="19DACB53"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в 1940 году после массированных бомбовых ударов немцев в голландской авиации остается всего 12 самолетов (14888).</w:t>
      </w:r>
    </w:p>
    <w:p w14:paraId="79B6DDE8"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776BF44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голландскими войсками сорвана попытка немецких десантников захватить в Гааге королеву Нидерландов Вильгельмину (4962).</w:t>
      </w:r>
    </w:p>
    <w:p w14:paraId="03884B4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EBB93EB"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в 1940 году подразделения 1-го немецкого парашютного полка вынудили капитулировать гарнизон бельгийского форта Эбен-Эмаель; потери немцев, участвовавших в штурме: 6 чел. убитыми и 15 ранеными, потери бельгийцев: 23 чел. убито и 59 ранено (14888).</w:t>
      </w:r>
    </w:p>
    <w:p w14:paraId="1D2664A8"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64F0430B"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в 1940 году английские войска оккупировали голландские острова Кюрасао и Аруба в Вест-Индии и установили свой протекторат над этими территориями (14888).</w:t>
      </w:r>
    </w:p>
    <w:p w14:paraId="7048D7CE"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358BFFB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подразделения 1-го немецкого парашютного полка вынудили капитулировать гарнизон бельгийского форта Эбен-Эмаель; потери немцев, участвовавших в штурме: 6 чел. убитыми и 15 ранеными, потери бельгийцев: 23 чел. убито и 59 ранено (4963 ).</w:t>
      </w:r>
    </w:p>
    <w:p w14:paraId="56DE998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4B5904A"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11th, 1940: In the West, German troops occupy the Duchy of Luxemburg. A glider-borne parachute detachment of 1.Fallschirmjager-Rgt. led by Hptm. Koch and Lt. Witzig capture the "impregnable" Belgian border fortress of Eben-Emael (3819).</w:t>
      </w:r>
    </w:p>
    <w:p w14:paraId="346D271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5A81B7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немецкие войска оккупировали герцогство Люксембург. Планерно-парашютное подразделение 1 парашютного полка под командованием п Коха и л Витцига захватило непреступную крепость Эбен Эмануэль на бельгийской границе (3819).</w:t>
      </w:r>
    </w:p>
    <w:p w14:paraId="3D5A7C8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367E1D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части 7-й французской армии заняли голландский город Бреда (4963 ).</w:t>
      </w:r>
    </w:p>
    <w:p w14:paraId="5350DC8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0295A4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английские войска оккупировали голландские острова Кюрасао и Аруба в Вест-Индии (4962).</w:t>
      </w:r>
    </w:p>
    <w:p w14:paraId="2D78F57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46E8FE2" w14:textId="77777777" w:rsidR="002B1DF4" w:rsidRPr="00DB5D0D" w:rsidRDefault="002B1DF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в 1940 году правительство Швейцарии объявило о начале всеобщей мобилизации (14888).</w:t>
      </w:r>
    </w:p>
    <w:p w14:paraId="709291E9" w14:textId="77777777" w:rsidR="002B1DF4" w:rsidRPr="00DB5D0D" w:rsidRDefault="002B1DF4" w:rsidP="00DB5D0D">
      <w:pPr>
        <w:spacing w:after="0" w:line="240" w:lineRule="auto"/>
        <w:jc w:val="both"/>
        <w:rPr>
          <w:rFonts w:ascii="Times New Roman" w:hAnsi="Times New Roman"/>
          <w:color w:val="000000" w:themeColor="text1"/>
          <w:sz w:val="16"/>
          <w:szCs w:val="16"/>
        </w:rPr>
      </w:pPr>
    </w:p>
    <w:p w14:paraId="41F49C6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021899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1A936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на ББ-22 с М-105 была достигнута скорость 574 км/час (2483,51).</w:t>
      </w:r>
    </w:p>
    <w:p w14:paraId="539FD73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0FE7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в ходе заводских испытаний И-200 А.И.М, которые проходили с 31 марта по 17 августа 1940, на И-200-2 был выполнен полет на определение температурных режимов ВМГ. Не выполнили задание. Потом до 7 июня ремонтировали (2988).</w:t>
      </w:r>
    </w:p>
    <w:p w14:paraId="1B2BE1A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D7CC2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12 мая по 3 июня 1940 И-200-2 был на ремонте в связи с поломкой крыльчатки нагнетателя, однако из-за неполадок с новым мотором испытания смогли продолжить только 11 июня 1940 (3481).</w:t>
      </w:r>
    </w:p>
    <w:p w14:paraId="362E16C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2D0C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12 мая 1940 в ходе заводских испытаний И-200 А.И.М, которые проходили с 31 марта по 17 августа 1940, на И-200-1 был выполнен контрольный полет на новом моторе и полет на определение границ высотности (11 и 12 по счету) (2988).</w:t>
      </w:r>
    </w:p>
    <w:p w14:paraId="584E81D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D793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в полете на замер температур воды и масла на И-200-2 разрушилась крыльчатка ПЦН, осколки нашли даже в кабине. Нагнетатель заменили к 3 июня, но мотор не заработал, и самолет начал летать только через неделю. Хотя доводка мотоустановки была еще далека до завершения, 24 мая Екатов "привез" на И-200-1 рекорд - 648 км/ч в горизонтальном полете, и это без форсажа! (11938).</w:t>
      </w:r>
    </w:p>
    <w:p w14:paraId="2749691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5204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вышло постановление КО N 200сс о ТБ-7 (АНТ-42) (1000,3).</w:t>
      </w:r>
    </w:p>
    <w:p w14:paraId="53725F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это постановление называлось "Об организации производства авиамоторов М-30 и М-40 в 1940-1941" (1296,7):</w:t>
      </w:r>
    </w:p>
    <w:p w14:paraId="65C110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3AAF8F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Организовать в 1940 производство моторов М-40 на Харьковском Тракторном заводе в кооперации с заводом 75 Наркомсредмаша и Кировским заводом Наркомтяжмаша (г. Ленинград) (1296,7).</w:t>
      </w:r>
    </w:p>
    <w:p w14:paraId="7C0DC1B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CEB8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3398E5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Обязать НКАП:</w:t>
      </w:r>
    </w:p>
    <w:p w14:paraId="0B9695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изменить профиль новостроящегося авиамоторного завода N 338 (Уфа) с мотора М-88 на мотор М-40 (1296,7).</w:t>
      </w:r>
    </w:p>
    <w:p w14:paraId="2AF35C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третьим данным постановление говорило и о самолете ДБ-240, который д.б. построен и сдан на гос. испытания, согласно постановлению к 1 октября 1940 (2090,166).</w:t>
      </w:r>
    </w:p>
    <w:p w14:paraId="552C6E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 в постановлении упоминались ТБ-7 4хМ-40 и ТБ-7 4М-30, а также ДБ-240 с 2М-30 (1296,13).</w:t>
      </w:r>
    </w:p>
    <w:p w14:paraId="2490511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84E1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на заводские испытания был передан МДР-6 2М-63 (2090,133) и в тот же день машина выполнила первый полет (2090,184). Заводские испытания шли до 5 июня 1940 (2090,232).</w:t>
      </w:r>
    </w:p>
    <w:p w14:paraId="37C1A5D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ACCB33"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12 мая 1940 вышло Постановление Комитета обороны при СНК СССР № 200сс "Об организации производства авиамоторов М-30 и М-40 в 1940-1941 гг." с приложениями (21899).</w:t>
      </w:r>
    </w:p>
    <w:p w14:paraId="34FC23BE" w14:textId="77777777" w:rsidR="006E7D37" w:rsidRPr="00DB5D0D" w:rsidRDefault="006E7D37" w:rsidP="00DB5D0D">
      <w:pPr>
        <w:spacing w:after="0" w:line="240" w:lineRule="auto"/>
        <w:jc w:val="both"/>
        <w:rPr>
          <w:rFonts w:ascii="Times New Roman" w:hAnsi="Times New Roman"/>
          <w:color w:val="0070C0"/>
          <w:sz w:val="16"/>
          <w:szCs w:val="16"/>
        </w:rPr>
      </w:pPr>
    </w:p>
    <w:p w14:paraId="1B05252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года вышло постановление КО № 200сс</w:t>
      </w:r>
    </w:p>
    <w:p w14:paraId="2F6EBAB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82.</w:t>
      </w:r>
    </w:p>
    <w:p w14:paraId="45FD896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мотор М-30.</w:t>
      </w:r>
    </w:p>
    <w:p w14:paraId="2A8DBBA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1500 л.с.</w:t>
      </w:r>
    </w:p>
    <w:p w14:paraId="1A64606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1250 л.с. на высоте 6000 м.</w:t>
      </w:r>
    </w:p>
    <w:p w14:paraId="17D29FB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100-часовые гос. испытания в августе 1940 года.</w:t>
      </w:r>
    </w:p>
    <w:p w14:paraId="0645081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Организовать в 1940 году производство моторов М-40 на Харьковском тракторном заводе в кооперации с заводом № 75 НКСМ и Кировском заводе НКТП (4048, 4).</w:t>
      </w:r>
    </w:p>
    <w:p w14:paraId="21543C7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79F65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года вышло постановление № 200сс КО Об организации производства авиамоторов М-30 и М-40 в 1940-41 г.г.</w:t>
      </w:r>
    </w:p>
    <w:p w14:paraId="7909F2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0D99C6E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Организовать в 1940 году производство моторов М-40 на Харьковском тракторном заводе в кооперации с заводом № 75 Наркомсредмаша и Кировском заводе Наркомтяжмаша (Ленинград), а также моторов М-30 на заводе № 82 Наркомавиапрома.</w:t>
      </w:r>
    </w:p>
    <w:p w14:paraId="5F6F944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на 1940 и 1941 г.г. следующую программу и производственные мощности из расчета двухсменной работы по выпуску моторов М-40 и М-30:</w:t>
      </w:r>
    </w:p>
    <w:p w14:paraId="56977E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75 – в кооперации с ХТЗ (НКСМ) по мотору М-40 программу 1940 года – 50 штук; построить при ХТЗ механо-сборочный цех, которому определить в кооперации с заводом № 75 программу 1941 года – 1500 штук, а мощность на 1 апреля 1941 года – 2000 штук.</w:t>
      </w:r>
    </w:p>
    <w:p w14:paraId="0CE625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Кировскому заводу Наркомтяжмаша – по мотору М-40 программу 1940 года – 50 штук, программу 1941 года – 1500 штук, мощность на 1 апреля 1941 года – 2000 штук;</w:t>
      </w:r>
    </w:p>
    <w:p w14:paraId="7448D1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82 Наркомавиапрома – по мотору М-30 программу 1940 года – 50 штук, программу 1941 года – 600 штук и мощность на 1 апреля 1941 года – 1000 штук.</w:t>
      </w:r>
    </w:p>
    <w:p w14:paraId="2898345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Наркомавиапром – Шахурина А.И. обеспечить установку моторов М-30 и М-40 производства Наркомавиапрома М-40 на самолеты ТБ-7 и М-30 на самолеты ТБ-7 и ДБ-240, а также проведение их заводских испытаний и предъявление на госиспытания этих самолетов в следующие сроки:</w:t>
      </w:r>
    </w:p>
    <w:p w14:paraId="721DE3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 с 4М-40 – к 1 сентября 1940 года</w:t>
      </w:r>
    </w:p>
    <w:p w14:paraId="7FA4C8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 с 4М-30 – к 15 декабря 1940 года</w:t>
      </w:r>
    </w:p>
    <w:p w14:paraId="6FA129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с 2М-30 – к 1 октября 1940 года</w:t>
      </w:r>
    </w:p>
    <w:p w14:paraId="14BCB0B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Наркомавиапром завод № 82 изготовить новый мотор М-30 со следующими тактико-техническими данными:</w:t>
      </w:r>
    </w:p>
    <w:p w14:paraId="25D47E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 1500 л.с.</w:t>
      </w:r>
    </w:p>
    <w:p w14:paraId="63FC3D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 1250 л.с.</w:t>
      </w:r>
    </w:p>
    <w:p w14:paraId="5EC8D4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p w14:paraId="59851D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провести его испытание в следующие сроки:</w:t>
      </w:r>
    </w:p>
    <w:p w14:paraId="62D747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два первых мотора М-30 поставить на заводские испытания в мае 1940 года;</w:t>
      </w:r>
    </w:p>
    <w:p w14:paraId="77ED5D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довести ресурс работы мотора М-30 до 100 часов и провести его госиспытания в августе 1940 года.</w:t>
      </w:r>
    </w:p>
    <w:p w14:paraId="68198A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………………………………………..(7595, 59-65).</w:t>
      </w:r>
    </w:p>
    <w:p w14:paraId="36E4666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38BB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г. заводу № 82 была определена предварительная программа выпуска: 1940 г. — 50 моторов, 1941 г. — 600, а в перспективе — 1000 авиади</w:t>
      </w:r>
      <w:r w:rsidRPr="00DB5D0D">
        <w:rPr>
          <w:rFonts w:ascii="Times New Roman" w:hAnsi="Times New Roman"/>
          <w:color w:val="000000" w:themeColor="text1"/>
          <w:sz w:val="16"/>
          <w:szCs w:val="16"/>
        </w:rPr>
        <w:softHyphen/>
        <w:t xml:space="preserve">зелей в год. Однако уже 23 июня 1940 г. было решено, что столь мощный (а значит, большой) завод в Москве уместить будет затруднительно, поэтому перспективную мощность предприятия было решено ограничить цифрой 200 моторов в год (ГА РФ. Ф. 8007.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xml:space="preserve"> 1. Д. 25. Л. 167). Впрочем, на 19 сентября 1940 г. еще ни один новый цех этого предприятия не был введён в эксплуатацию (ГА РФ. Ф. 8007.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xml:space="preserve"> 1. Д. 25. Л. 104.), поэтому запланированный дефицит авиадизелей не должен вызывать удивления (12011).</w:t>
      </w:r>
    </w:p>
    <w:p w14:paraId="6288BCF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C77EA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A524B0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214D8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12 по 15 мая 1940 г. опытная система механического сервоуправле</w:t>
      </w:r>
      <w:r w:rsidRPr="00DB5D0D">
        <w:rPr>
          <w:rFonts w:ascii="Times New Roman" w:hAnsi="Times New Roman"/>
          <w:color w:val="000000" w:themeColor="text1"/>
          <w:sz w:val="16"/>
          <w:szCs w:val="16"/>
        </w:rPr>
        <w:softHyphen/>
        <w:t>ния была смонтирована на машину №311 -18-3 (опыт</w:t>
      </w:r>
      <w:r w:rsidRPr="00DB5D0D">
        <w:rPr>
          <w:rFonts w:ascii="Times New Roman" w:hAnsi="Times New Roman"/>
          <w:color w:val="000000" w:themeColor="text1"/>
          <w:sz w:val="16"/>
          <w:szCs w:val="16"/>
        </w:rPr>
        <w:softHyphen/>
        <w:t>ный «Танк №2») и прошла испытания За время испытаний танк прошел 278 км по песочным и грунтовым дорогам. Управля</w:t>
      </w:r>
      <w:r w:rsidRPr="00DB5D0D">
        <w:rPr>
          <w:rFonts w:ascii="Times New Roman" w:hAnsi="Times New Roman"/>
          <w:color w:val="000000" w:themeColor="text1"/>
          <w:sz w:val="16"/>
          <w:szCs w:val="16"/>
        </w:rPr>
        <w:softHyphen/>
        <w:t>ли машиной опытные водители цеха 530 И.Г. Битен- ский и Н.Ф. Носик. Ниже приведем результаты, по</w:t>
      </w:r>
      <w:r w:rsidRPr="00DB5D0D">
        <w:rPr>
          <w:rFonts w:ascii="Times New Roman" w:hAnsi="Times New Roman"/>
          <w:color w:val="000000" w:themeColor="text1"/>
          <w:sz w:val="16"/>
          <w:szCs w:val="16"/>
        </w:rPr>
        <w:softHyphen/>
        <w:t xml:space="preserve">лученные в ходе испытаний, и выводы, отраженные в </w:t>
      </w:r>
      <w:r w:rsidRPr="00DB5D0D">
        <w:rPr>
          <w:rFonts w:ascii="Times New Roman" w:hAnsi="Times New Roman"/>
          <w:color w:val="000000" w:themeColor="text1"/>
          <w:sz w:val="16"/>
          <w:szCs w:val="16"/>
          <w:lang w:val="en-US"/>
        </w:rPr>
        <w:t>A</w:t>
      </w:r>
      <w:r w:rsidRPr="00DB5D0D">
        <w:rPr>
          <w:rFonts w:ascii="Times New Roman" w:hAnsi="Times New Roman"/>
          <w:color w:val="000000" w:themeColor="text1"/>
          <w:sz w:val="16"/>
          <w:szCs w:val="16"/>
        </w:rPr>
        <w:t>кт</w:t>
      </w:r>
      <w:r w:rsidRPr="00DB5D0D">
        <w:rPr>
          <w:rFonts w:ascii="Times New Roman" w:hAnsi="Times New Roman"/>
          <w:color w:val="000000" w:themeColor="text1"/>
          <w:sz w:val="16"/>
          <w:szCs w:val="16"/>
          <w:lang w:val="en-US"/>
        </w:rPr>
        <w:t>e</w:t>
      </w:r>
      <w:r w:rsidRPr="00DB5D0D">
        <w:rPr>
          <w:rFonts w:ascii="Times New Roman" w:hAnsi="Times New Roman"/>
          <w:color w:val="000000" w:themeColor="text1"/>
          <w:sz w:val="16"/>
          <w:szCs w:val="16"/>
        </w:rPr>
        <w:t xml:space="preserve"> №013 от 15 мая 1940 г.:</w:t>
      </w:r>
    </w:p>
    <w:p w14:paraId="64CE3671"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 результате испытаний заметных дефектов в ра</w:t>
      </w:r>
      <w:r w:rsidRPr="00DB5D0D">
        <w:rPr>
          <w:b w:val="0"/>
          <w:bCs w:val="0"/>
          <w:i w:val="0"/>
          <w:iCs w:val="0"/>
          <w:color w:val="000000" w:themeColor="text1"/>
          <w:sz w:val="16"/>
          <w:szCs w:val="16"/>
          <w:lang w:val="ru-RU"/>
        </w:rPr>
        <w:softHyphen/>
        <w:t>боте механического сервоуправления не наблюда</w:t>
      </w:r>
      <w:r w:rsidRPr="00DB5D0D">
        <w:rPr>
          <w:b w:val="0"/>
          <w:bCs w:val="0"/>
          <w:i w:val="0"/>
          <w:iCs w:val="0"/>
          <w:color w:val="000000" w:themeColor="text1"/>
          <w:sz w:val="16"/>
          <w:szCs w:val="16"/>
          <w:lang w:val="ru-RU"/>
        </w:rPr>
        <w:softHyphen/>
        <w:t>лось. По мнению всех участников испытаний, кото</w:t>
      </w:r>
      <w:r w:rsidRPr="00DB5D0D">
        <w:rPr>
          <w:b w:val="0"/>
          <w:bCs w:val="0"/>
          <w:i w:val="0"/>
          <w:iCs w:val="0"/>
          <w:color w:val="000000" w:themeColor="text1"/>
          <w:sz w:val="16"/>
          <w:szCs w:val="16"/>
          <w:lang w:val="ru-RU"/>
        </w:rPr>
        <w:softHyphen/>
        <w:t>рые непосредственно управляли машиной, и в част</w:t>
      </w:r>
      <w:r w:rsidRPr="00DB5D0D">
        <w:rPr>
          <w:b w:val="0"/>
          <w:bCs w:val="0"/>
          <w:i w:val="0"/>
          <w:iCs w:val="0"/>
          <w:color w:val="000000" w:themeColor="text1"/>
          <w:sz w:val="16"/>
          <w:szCs w:val="16"/>
          <w:lang w:val="ru-RU"/>
        </w:rPr>
        <w:softHyphen/>
        <w:t>ности, опытных водителей спецмашин, предлагаемая конструкция механического сервопривода на маш. А-34, не требует особого навыка (или выучки) для пользования им при управлении машиной, не вызы</w:t>
      </w:r>
      <w:r w:rsidRPr="00DB5D0D">
        <w:rPr>
          <w:b w:val="0"/>
          <w:bCs w:val="0"/>
          <w:i w:val="0"/>
          <w:iCs w:val="0"/>
          <w:color w:val="000000" w:themeColor="text1"/>
          <w:sz w:val="16"/>
          <w:szCs w:val="16"/>
          <w:lang w:val="ru-RU"/>
        </w:rPr>
        <w:softHyphen/>
        <w:t>вает заметной усталости в процессе вождения, не тре</w:t>
      </w:r>
      <w:r w:rsidRPr="00DB5D0D">
        <w:rPr>
          <w:b w:val="0"/>
          <w:bCs w:val="0"/>
          <w:i w:val="0"/>
          <w:iCs w:val="0"/>
          <w:color w:val="000000" w:themeColor="text1"/>
          <w:sz w:val="16"/>
          <w:szCs w:val="16"/>
          <w:lang w:val="ru-RU"/>
        </w:rPr>
        <w:softHyphen/>
        <w:t>бует особых регулировок и сложного ухода. Замеры усилий, прилагаемых к рычагам борт, фрикционов, с помощью динамометра, при разворотах машины на</w:t>
      </w:r>
    </w:p>
    <w:p w14:paraId="560B848F"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360°, на 1 и 2-й передачах, на сухом грунте и песке, дали следующие результаты:</w:t>
      </w:r>
    </w:p>
    <w:p w14:paraId="12E9574A" w14:textId="77777777" w:rsidR="00A25AD1" w:rsidRPr="00DB5D0D" w:rsidRDefault="00A25AD1" w:rsidP="00DB5D0D">
      <w:pPr>
        <w:pStyle w:val="201"/>
        <w:shd w:val="clear" w:color="auto" w:fill="auto"/>
        <w:tabs>
          <w:tab w:val="left" w:pos="483"/>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1.На сухом грунте :</w:t>
      </w:r>
    </w:p>
    <w:p w14:paraId="1CC67698" w14:textId="77777777" w:rsidR="00A25AD1" w:rsidRPr="00DB5D0D" w:rsidRDefault="00A25AD1" w:rsidP="00DB5D0D">
      <w:pPr>
        <w:pStyle w:val="201"/>
        <w:shd w:val="clear" w:color="auto" w:fill="auto"/>
        <w:tabs>
          <w:tab w:val="left" w:pos="50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а)На 1-й передаче на месте - 18-24 кгр (разворот на 360°)</w:t>
      </w:r>
    </w:p>
    <w:p w14:paraId="04C06E5A" w14:textId="77777777" w:rsidR="00A25AD1" w:rsidRPr="00DB5D0D" w:rsidRDefault="00A25AD1" w:rsidP="00DB5D0D">
      <w:pPr>
        <w:pStyle w:val="201"/>
        <w:shd w:val="clear" w:color="auto" w:fill="auto"/>
        <w:tabs>
          <w:tab w:val="left" w:pos="78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б)На 2-й передаче с минимальным радиу</w:t>
      </w:r>
      <w:r w:rsidRPr="00DB5D0D">
        <w:rPr>
          <w:b w:val="0"/>
          <w:bCs w:val="0"/>
          <w:i w:val="0"/>
          <w:iCs w:val="0"/>
          <w:color w:val="000000" w:themeColor="text1"/>
          <w:sz w:val="16"/>
          <w:szCs w:val="16"/>
          <w:lang w:val="ru-RU"/>
        </w:rPr>
        <w:softHyphen/>
        <w:t>сом - 16-22 кгр (разворот на 360°)</w:t>
      </w:r>
    </w:p>
    <w:p w14:paraId="655630F5" w14:textId="77777777" w:rsidR="00A25AD1" w:rsidRPr="00DB5D0D" w:rsidRDefault="00A25AD1" w:rsidP="00DB5D0D">
      <w:pPr>
        <w:pStyle w:val="201"/>
        <w:shd w:val="clear" w:color="auto" w:fill="auto"/>
        <w:tabs>
          <w:tab w:val="left" w:pos="203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2.На неглубоком песке:</w:t>
      </w:r>
    </w:p>
    <w:p w14:paraId="36A12509" w14:textId="77777777" w:rsidR="00A25AD1" w:rsidRPr="00DB5D0D" w:rsidRDefault="00A25AD1" w:rsidP="00DB5D0D">
      <w:pPr>
        <w:pStyle w:val="201"/>
        <w:shd w:val="clear" w:color="auto" w:fill="auto"/>
        <w:tabs>
          <w:tab w:val="left" w:pos="204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а)На 1-й передаче на месте - 18-30 кгр (разворот на 360°)</w:t>
      </w:r>
    </w:p>
    <w:p w14:paraId="5F1691AD" w14:textId="77777777" w:rsidR="00A25AD1" w:rsidRPr="00DB5D0D" w:rsidRDefault="00A25AD1" w:rsidP="00DB5D0D">
      <w:pPr>
        <w:pStyle w:val="201"/>
        <w:shd w:val="clear" w:color="auto" w:fill="auto"/>
        <w:tabs>
          <w:tab w:val="left" w:pos="50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б)На 2-й передаче с минимальным радиу</w:t>
      </w:r>
      <w:r w:rsidRPr="00DB5D0D">
        <w:rPr>
          <w:b w:val="0"/>
          <w:bCs w:val="0"/>
          <w:i w:val="0"/>
          <w:iCs w:val="0"/>
          <w:color w:val="000000" w:themeColor="text1"/>
          <w:sz w:val="16"/>
          <w:szCs w:val="16"/>
          <w:lang w:val="ru-RU"/>
        </w:rPr>
        <w:softHyphen/>
        <w:t>сом - 20-30 кгр (разворот на 360°)</w:t>
      </w:r>
    </w:p>
    <w:p w14:paraId="7FDF77A8"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Во время движения машины на 3-й и 4-й передачах, усилия, прикладываемые к рычагам борт, фрикционов при поворотах не превыша</w:t>
      </w:r>
      <w:r w:rsidRPr="00DB5D0D">
        <w:rPr>
          <w:b w:val="0"/>
          <w:bCs w:val="0"/>
          <w:i w:val="0"/>
          <w:iCs w:val="0"/>
          <w:color w:val="000000" w:themeColor="text1"/>
          <w:sz w:val="16"/>
          <w:szCs w:val="16"/>
          <w:lang w:val="ru-RU"/>
        </w:rPr>
        <w:softHyphen/>
        <w:t>ли 15 кгр.</w:t>
      </w:r>
    </w:p>
    <w:p w14:paraId="3AFE51C1"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rStyle w:val="206"/>
          <w:rFonts w:ascii="Times New Roman" w:hAnsi="Times New Roman" w:cs="Times New Roman"/>
          <w:bCs/>
          <w:iCs/>
          <w:color w:val="000000" w:themeColor="text1"/>
          <w:lang w:val="ru-RU"/>
        </w:rPr>
        <w:t>Выводы комиссии.</w:t>
      </w:r>
      <w:r w:rsidRPr="00DB5D0D">
        <w:rPr>
          <w:b w:val="0"/>
          <w:bCs w:val="0"/>
          <w:i w:val="0"/>
          <w:iCs w:val="0"/>
          <w:color w:val="000000" w:themeColor="text1"/>
          <w:sz w:val="16"/>
          <w:szCs w:val="16"/>
          <w:lang w:val="ru-RU"/>
        </w:rPr>
        <w:t>1. Исходя из данных, полученных в про</w:t>
      </w:r>
      <w:r w:rsidRPr="00DB5D0D">
        <w:rPr>
          <w:b w:val="0"/>
          <w:bCs w:val="0"/>
          <w:i w:val="0"/>
          <w:iCs w:val="0"/>
          <w:color w:val="000000" w:themeColor="text1"/>
          <w:sz w:val="16"/>
          <w:szCs w:val="16"/>
          <w:lang w:val="ru-RU"/>
        </w:rPr>
        <w:softHyphen/>
        <w:t>цессе испытаний, комиссия считает целесо</w:t>
      </w:r>
      <w:r w:rsidRPr="00DB5D0D">
        <w:rPr>
          <w:b w:val="0"/>
          <w:bCs w:val="0"/>
          <w:i w:val="0"/>
          <w:iCs w:val="0"/>
          <w:color w:val="000000" w:themeColor="text1"/>
          <w:sz w:val="16"/>
          <w:szCs w:val="16"/>
          <w:lang w:val="ru-RU"/>
        </w:rPr>
        <w:softHyphen/>
        <w:t>образным ввести в серийное производство предлагаемую т. Васильевым конструкцию ме</w:t>
      </w:r>
      <w:r w:rsidRPr="00DB5D0D">
        <w:rPr>
          <w:b w:val="0"/>
          <w:bCs w:val="0"/>
          <w:i w:val="0"/>
          <w:iCs w:val="0"/>
          <w:color w:val="000000" w:themeColor="text1"/>
          <w:sz w:val="16"/>
          <w:szCs w:val="16"/>
          <w:lang w:val="ru-RU"/>
        </w:rPr>
        <w:softHyphen/>
        <w:t>ханического сервоуправления для маш. «А-34», как принципиально отвечающую предъявляе</w:t>
      </w:r>
      <w:r w:rsidRPr="00DB5D0D">
        <w:rPr>
          <w:b w:val="0"/>
          <w:bCs w:val="0"/>
          <w:i w:val="0"/>
          <w:iCs w:val="0"/>
          <w:color w:val="000000" w:themeColor="text1"/>
          <w:sz w:val="16"/>
          <w:szCs w:val="16"/>
          <w:lang w:val="ru-RU"/>
        </w:rPr>
        <w:softHyphen/>
        <w:t>мым ей требованиям (взамен пневматического сервоуправления) и имеющую ряд преимуществ перед пневматическим сервоуправ- лением, а именно:</w:t>
      </w:r>
    </w:p>
    <w:p w14:paraId="49933E57" w14:textId="77777777" w:rsidR="00A25AD1" w:rsidRPr="00DB5D0D" w:rsidRDefault="00A25AD1" w:rsidP="00DB5D0D">
      <w:pPr>
        <w:pStyle w:val="201"/>
        <w:shd w:val="clear" w:color="auto" w:fill="auto"/>
        <w:tabs>
          <w:tab w:val="left" w:pos="51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а)Простое в изготовлении.</w:t>
      </w:r>
    </w:p>
    <w:p w14:paraId="30CB78A8" w14:textId="77777777" w:rsidR="00A25AD1" w:rsidRPr="00DB5D0D" w:rsidRDefault="00A25AD1" w:rsidP="00DB5D0D">
      <w:pPr>
        <w:pStyle w:val="201"/>
        <w:shd w:val="clear" w:color="auto" w:fill="auto"/>
        <w:tabs>
          <w:tab w:val="left" w:pos="517"/>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lastRenderedPageBreak/>
        <w:t>б)Не требует сложного ухода при эксплоатации.</w:t>
      </w:r>
    </w:p>
    <w:p w14:paraId="08E091D6" w14:textId="77777777" w:rsidR="00A25AD1" w:rsidRPr="00DB5D0D" w:rsidRDefault="00A25AD1" w:rsidP="00DB5D0D">
      <w:pPr>
        <w:pStyle w:val="201"/>
        <w:shd w:val="clear" w:color="auto" w:fill="auto"/>
        <w:tabs>
          <w:tab w:val="left" w:pos="53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в)Не требует особых навыков от водителя в управлении машиной.</w:t>
      </w:r>
    </w:p>
    <w:p w14:paraId="2A477930" w14:textId="77777777" w:rsidR="00A25AD1" w:rsidRPr="00DB5D0D" w:rsidRDefault="00A25AD1" w:rsidP="00DB5D0D">
      <w:pPr>
        <w:pStyle w:val="201"/>
        <w:shd w:val="clear" w:color="auto" w:fill="auto"/>
        <w:tabs>
          <w:tab w:val="left" w:pos="47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г)Не вызывает заметной усталости у водителя во время вожде</w:t>
      </w:r>
      <w:r w:rsidRPr="00DB5D0D">
        <w:rPr>
          <w:b w:val="0"/>
          <w:bCs w:val="0"/>
          <w:i w:val="0"/>
          <w:iCs w:val="0"/>
          <w:color w:val="000000" w:themeColor="text1"/>
          <w:sz w:val="16"/>
          <w:szCs w:val="16"/>
          <w:lang w:val="ru-RU"/>
        </w:rPr>
        <w:softHyphen/>
        <w:t>ния машины.</w:t>
      </w:r>
    </w:p>
    <w:p w14:paraId="1300F3FE" w14:textId="77777777" w:rsidR="00A25AD1" w:rsidRPr="00DB5D0D" w:rsidRDefault="00A25AD1" w:rsidP="00DB5D0D">
      <w:pPr>
        <w:pStyle w:val="201"/>
        <w:shd w:val="clear" w:color="auto" w:fill="auto"/>
        <w:tabs>
          <w:tab w:val="left" w:pos="51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2.Комиссия считает необходимым оборудовать первую опыт</w:t>
      </w:r>
      <w:r w:rsidRPr="00DB5D0D">
        <w:rPr>
          <w:b w:val="0"/>
          <w:bCs w:val="0"/>
          <w:i w:val="0"/>
          <w:iCs w:val="0"/>
          <w:color w:val="000000" w:themeColor="text1"/>
          <w:sz w:val="16"/>
          <w:szCs w:val="16"/>
          <w:lang w:val="ru-RU"/>
        </w:rPr>
        <w:softHyphen/>
        <w:t>ную партию машин «А-34» механическим сервоуправлением, испы</w:t>
      </w:r>
      <w:r w:rsidRPr="00DB5D0D">
        <w:rPr>
          <w:b w:val="0"/>
          <w:bCs w:val="0"/>
          <w:i w:val="0"/>
          <w:iCs w:val="0"/>
          <w:color w:val="000000" w:themeColor="text1"/>
          <w:sz w:val="16"/>
          <w:szCs w:val="16"/>
          <w:lang w:val="ru-RU"/>
        </w:rPr>
        <w:softHyphen/>
        <w:t>танной конструкции, взамен пневматического.</w:t>
      </w:r>
    </w:p>
    <w:p w14:paraId="269D0AAD" w14:textId="77777777" w:rsidR="00A25AD1" w:rsidRPr="00DB5D0D" w:rsidRDefault="00A25AD1" w:rsidP="00DB5D0D">
      <w:pPr>
        <w:pStyle w:val="201"/>
        <w:shd w:val="clear" w:color="auto" w:fill="auto"/>
        <w:tabs>
          <w:tab w:val="left" w:pos="49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3.В процессе окончательного оформления чертежей механичес</w:t>
      </w:r>
      <w:r w:rsidRPr="00DB5D0D">
        <w:rPr>
          <w:b w:val="0"/>
          <w:bCs w:val="0"/>
          <w:i w:val="0"/>
          <w:iCs w:val="0"/>
          <w:color w:val="000000" w:themeColor="text1"/>
          <w:sz w:val="16"/>
          <w:szCs w:val="16"/>
          <w:lang w:val="ru-RU"/>
        </w:rPr>
        <w:softHyphen/>
        <w:t>кого сервопривода для серийного производства, бюро 520 предус</w:t>
      </w:r>
      <w:r w:rsidRPr="00DB5D0D">
        <w:rPr>
          <w:b w:val="0"/>
          <w:bCs w:val="0"/>
          <w:i w:val="0"/>
          <w:iCs w:val="0"/>
          <w:color w:val="000000" w:themeColor="text1"/>
          <w:sz w:val="16"/>
          <w:szCs w:val="16"/>
          <w:lang w:val="ru-RU"/>
        </w:rPr>
        <w:softHyphen/>
        <w:t>мотреть максимально возможную прочность и износоустойчивость деталей для обеспечения надежной работы механизма на машине.</w:t>
      </w:r>
    </w:p>
    <w:p w14:paraId="71AF598C" w14:textId="77777777" w:rsidR="00A25AD1" w:rsidRPr="00DB5D0D" w:rsidRDefault="00A25AD1" w:rsidP="00DB5D0D">
      <w:pPr>
        <w:pStyle w:val="201"/>
        <w:shd w:val="clear" w:color="auto" w:fill="auto"/>
        <w:tabs>
          <w:tab w:val="left" w:pos="49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4.Кроме указанного, комиссия считает необходимым цеху 540 произвести испытание одного-двух комплектов сервомеханизма на гарантийный километраж.</w:t>
      </w:r>
      <w:r w:rsidRPr="00DB5D0D">
        <w:rPr>
          <w:rStyle w:val="20140pt59"/>
          <w:rFonts w:ascii="Times New Roman" w:hAnsi="Times New Roman" w:cs="Times New Roman"/>
          <w:bCs/>
          <w:iCs/>
          <w:color w:val="000000" w:themeColor="text1"/>
          <w:spacing w:val="0"/>
          <w:lang w:val="ru-RU"/>
        </w:rPr>
        <w:t>[</w:t>
      </w:r>
      <w:r w:rsidRPr="00DB5D0D">
        <w:rPr>
          <w:b w:val="0"/>
          <w:bCs w:val="0"/>
          <w:i w:val="0"/>
          <w:iCs w:val="0"/>
          <w:color w:val="000000" w:themeColor="text1"/>
          <w:sz w:val="16"/>
          <w:szCs w:val="16"/>
          <w:lang w:val="ru-RU"/>
        </w:rPr>
        <w:t xml:space="preserve">РГВА. Ф.31811. </w:t>
      </w:r>
      <w:r w:rsidRPr="00DB5D0D">
        <w:rPr>
          <w:b w:val="0"/>
          <w:bCs w:val="0"/>
          <w:i w:val="0"/>
          <w:iCs w:val="0"/>
          <w:noProof w:val="0"/>
          <w:color w:val="000000" w:themeColor="text1"/>
          <w:sz w:val="16"/>
          <w:szCs w:val="16"/>
        </w:rPr>
        <w:t>On</w:t>
      </w:r>
      <w:r w:rsidRPr="00DB5D0D">
        <w:rPr>
          <w:b w:val="0"/>
          <w:bCs w:val="0"/>
          <w:i w:val="0"/>
          <w:iCs w:val="0"/>
          <w:noProof w:val="0"/>
          <w:color w:val="000000" w:themeColor="text1"/>
          <w:sz w:val="16"/>
          <w:szCs w:val="16"/>
          <w:lang w:val="ru-RU"/>
        </w:rPr>
        <w:t>.</w:t>
      </w:r>
      <w:r w:rsidRPr="00DB5D0D">
        <w:rPr>
          <w:b w:val="0"/>
          <w:bCs w:val="0"/>
          <w:i w:val="0"/>
          <w:iCs w:val="0"/>
          <w:color w:val="000000" w:themeColor="text1"/>
          <w:sz w:val="16"/>
          <w:szCs w:val="16"/>
          <w:lang w:val="ru-RU"/>
        </w:rPr>
        <w:t>2. Д. 1181. Л. 106-107.</w:t>
      </w:r>
      <w:r w:rsidRPr="00DB5D0D">
        <w:rPr>
          <w:rStyle w:val="20140pt59"/>
          <w:rFonts w:ascii="Times New Roman" w:hAnsi="Times New Roman" w:cs="Times New Roman"/>
          <w:bCs/>
          <w:iCs/>
          <w:color w:val="000000" w:themeColor="text1"/>
          <w:spacing w:val="0"/>
          <w:lang w:val="ru-RU"/>
        </w:rPr>
        <w:t>]</w:t>
      </w:r>
    </w:p>
    <w:p w14:paraId="6F0B53BB"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При сем препровождаем один экземпляр акта №0013 от 15/5-40 г. по результатам испытания механического сервоп</w:t>
      </w:r>
      <w:r w:rsidRPr="00DB5D0D">
        <w:rPr>
          <w:b w:val="0"/>
          <w:bCs w:val="0"/>
          <w:i w:val="0"/>
          <w:iCs w:val="0"/>
          <w:color w:val="000000" w:themeColor="text1"/>
          <w:sz w:val="16"/>
          <w:szCs w:val="16"/>
          <w:lang w:val="ru-RU"/>
        </w:rPr>
        <w:softHyphen/>
        <w:t>ривода на танке «Т-34». Испытания производились на дис</w:t>
      </w:r>
      <w:r w:rsidRPr="00DB5D0D">
        <w:rPr>
          <w:b w:val="0"/>
          <w:bCs w:val="0"/>
          <w:i w:val="0"/>
          <w:iCs w:val="0"/>
          <w:color w:val="000000" w:themeColor="text1"/>
          <w:sz w:val="16"/>
          <w:szCs w:val="16"/>
          <w:lang w:val="ru-RU"/>
        </w:rPr>
        <w:softHyphen/>
        <w:t>танции в 278 км и дали положительные результаты. На осно</w:t>
      </w:r>
      <w:r w:rsidRPr="00DB5D0D">
        <w:rPr>
          <w:b w:val="0"/>
          <w:bCs w:val="0"/>
          <w:i w:val="0"/>
          <w:iCs w:val="0"/>
          <w:color w:val="000000" w:themeColor="text1"/>
          <w:sz w:val="16"/>
          <w:szCs w:val="16"/>
          <w:lang w:val="ru-RU"/>
        </w:rPr>
        <w:softHyphen/>
        <w:t>вании полученных данных, з-дом им. Коминтерна принято решение ввести конструкцию механического сервопривода (предложенную конструктором завода т. Васильевым П.П.) в серийное производство для танков «Т-34», взамен пневма</w:t>
      </w:r>
      <w:r w:rsidRPr="00DB5D0D">
        <w:rPr>
          <w:b w:val="0"/>
          <w:bCs w:val="0"/>
          <w:i w:val="0"/>
          <w:iCs w:val="0"/>
          <w:color w:val="000000" w:themeColor="text1"/>
          <w:sz w:val="16"/>
          <w:szCs w:val="16"/>
          <w:lang w:val="ru-RU"/>
        </w:rPr>
        <w:softHyphen/>
        <w:t>тического сервопривода, ранее установленного на опытных образцах машин «Т-34».</w:t>
      </w:r>
    </w:p>
    <w:p w14:paraId="20982126" w14:textId="77777777" w:rsidR="00A25AD1" w:rsidRPr="00DB5D0D" w:rsidRDefault="00A25AD1" w:rsidP="00DB5D0D">
      <w:pPr>
        <w:pStyle w:val="a3"/>
        <w:rPr>
          <w:rStyle w:val="MSMincho"/>
          <w:rFonts w:ascii="Times New Roman" w:hAnsi="Times New Roman" w:cs="Times New Roman"/>
          <w:color w:val="000000" w:themeColor="text1"/>
          <w:spacing w:val="0"/>
          <w:lang w:val="ru-RU"/>
        </w:rPr>
      </w:pPr>
      <w:r w:rsidRPr="00DB5D0D">
        <w:rPr>
          <w:rStyle w:val="140pt58"/>
          <w:rFonts w:ascii="Times New Roman" w:hAnsi="Times New Roman" w:cs="Times New Roman"/>
          <w:i w:val="0"/>
          <w:iCs w:val="0"/>
          <w:color w:val="000000" w:themeColor="text1"/>
          <w:lang w:val="ru-RU"/>
        </w:rPr>
        <w:t>Зам. Директора гл. инженер з-да им. Коминтерна/МАХОНИН</w:t>
      </w:r>
      <w:r w:rsidRPr="00DB5D0D">
        <w:rPr>
          <w:rStyle w:val="140pt58"/>
          <w:rFonts w:ascii="Times New Roman" w:hAnsi="Times New Roman" w:cs="Times New Roman"/>
          <w:i w:val="0"/>
          <w:color w:val="000000" w:themeColor="text1"/>
          <w:lang w:val="ru-RU"/>
        </w:rPr>
        <w:t>/.</w:t>
      </w:r>
      <w:r w:rsidRPr="00DB5D0D">
        <w:rPr>
          <w:rStyle w:val="MSMincho"/>
          <w:rFonts w:ascii="Times New Roman" w:hAnsi="Times New Roman" w:cs="Times New Roman"/>
          <w:color w:val="000000" w:themeColor="text1"/>
          <w:spacing w:val="0"/>
          <w:lang w:val="ru-RU"/>
        </w:rPr>
        <w:t xml:space="preserve"> [</w:t>
      </w:r>
      <w:r w:rsidRPr="00DB5D0D">
        <w:rPr>
          <w:color w:val="000000" w:themeColor="text1"/>
          <w:lang w:val="ru-RU"/>
        </w:rPr>
        <w:t xml:space="preserve">РГВА Ф.31811. </w:t>
      </w:r>
      <w:r w:rsidRPr="00DB5D0D">
        <w:rPr>
          <w:color w:val="000000" w:themeColor="text1"/>
        </w:rPr>
        <w:t>On</w:t>
      </w:r>
      <w:r w:rsidRPr="00DB5D0D">
        <w:rPr>
          <w:color w:val="000000" w:themeColor="text1"/>
          <w:lang w:val="ru-RU"/>
        </w:rPr>
        <w:t>.2. Д. 1181. Л. 105.</w:t>
      </w:r>
      <w:r w:rsidRPr="00DB5D0D">
        <w:rPr>
          <w:rStyle w:val="MSMincho"/>
          <w:rFonts w:ascii="Times New Roman" w:hAnsi="Times New Roman" w:cs="Times New Roman"/>
          <w:color w:val="000000" w:themeColor="text1"/>
          <w:spacing w:val="0"/>
          <w:lang w:val="ru-RU"/>
        </w:rPr>
        <w:t>] (11904).</w:t>
      </w:r>
    </w:p>
    <w:p w14:paraId="073C7E28" w14:textId="77777777" w:rsidR="00A25AD1" w:rsidRPr="00DB5D0D" w:rsidRDefault="00A25AD1" w:rsidP="00DB5D0D">
      <w:pPr>
        <w:pStyle w:val="a3"/>
        <w:rPr>
          <w:rStyle w:val="MSMincho"/>
          <w:rFonts w:ascii="Times New Roman" w:hAnsi="Times New Roman" w:cs="Times New Roman"/>
          <w:color w:val="000000" w:themeColor="text1"/>
          <w:spacing w:val="0"/>
          <w:lang w:val="ru-RU"/>
        </w:rPr>
      </w:pPr>
    </w:p>
    <w:p w14:paraId="36C085B8" w14:textId="77777777" w:rsidR="00A25AD1" w:rsidRPr="00DB5D0D" w:rsidRDefault="00A25AD1" w:rsidP="00DB5D0D">
      <w:pPr>
        <w:pStyle w:val="201"/>
        <w:shd w:val="clear" w:color="auto" w:fill="auto"/>
        <w:spacing w:before="0" w:line="240" w:lineRule="auto"/>
        <w:rPr>
          <w:rStyle w:val="20130pt57"/>
          <w:rFonts w:ascii="Times New Roman" w:hAnsi="Times New Roman" w:cs="Times New Roman"/>
          <w:bCs/>
          <w:iCs/>
          <w:noProof w:val="0"/>
          <w:color w:val="000000" w:themeColor="text1"/>
          <w:spacing w:val="0"/>
          <w:lang w:val="ru-RU"/>
        </w:rPr>
      </w:pPr>
      <w:r w:rsidRPr="00DB5D0D">
        <w:rPr>
          <w:rStyle w:val="20130pt57"/>
          <w:rFonts w:ascii="Times New Roman" w:hAnsi="Times New Roman" w:cs="Times New Roman"/>
          <w:bCs/>
          <w:iCs/>
          <w:noProof w:val="0"/>
          <w:color w:val="000000" w:themeColor="text1"/>
          <w:spacing w:val="0"/>
          <w:lang w:val="ru-RU"/>
        </w:rPr>
        <w:t>С</w:t>
      </w:r>
      <w:r w:rsidRPr="00DB5D0D">
        <w:rPr>
          <w:rStyle w:val="20130pt57"/>
          <w:rFonts w:ascii="Times New Roman" w:hAnsi="Times New Roman" w:cs="Times New Roman"/>
          <w:bCs/>
          <w:iCs/>
          <w:color w:val="000000" w:themeColor="text1"/>
          <w:spacing w:val="0"/>
          <w:lang w:val="ru-RU"/>
        </w:rPr>
        <w:t xml:space="preserve"> 12 по 17 мая 1940 г. </w:t>
      </w:r>
      <w:r w:rsidRPr="00DB5D0D">
        <w:rPr>
          <w:rStyle w:val="20130pt57"/>
          <w:rFonts w:ascii="Times New Roman" w:hAnsi="Times New Roman" w:cs="Times New Roman"/>
          <w:bCs/>
          <w:iCs/>
          <w:noProof w:val="0"/>
          <w:color w:val="000000" w:themeColor="text1"/>
          <w:spacing w:val="0"/>
          <w:lang w:val="ru-RU"/>
        </w:rPr>
        <w:t xml:space="preserve">состоялись испытания </w:t>
      </w:r>
      <w:r w:rsidRPr="00DB5D0D">
        <w:rPr>
          <w:rStyle w:val="20130pt57"/>
          <w:rFonts w:ascii="Times New Roman" w:hAnsi="Times New Roman" w:cs="Times New Roman"/>
          <w:bCs/>
          <w:iCs/>
          <w:color w:val="000000" w:themeColor="text1"/>
          <w:spacing w:val="0"/>
          <w:lang w:val="ru-RU"/>
        </w:rPr>
        <w:t xml:space="preserve">литых траков </w:t>
      </w:r>
      <w:r w:rsidRPr="00DB5D0D">
        <w:rPr>
          <w:rStyle w:val="20130pt57"/>
          <w:rFonts w:ascii="Times New Roman" w:hAnsi="Times New Roman" w:cs="Times New Roman"/>
          <w:bCs/>
          <w:iCs/>
          <w:noProof w:val="0"/>
          <w:color w:val="000000" w:themeColor="text1"/>
          <w:spacing w:val="0"/>
          <w:lang w:val="ru-RU"/>
        </w:rPr>
        <w:t xml:space="preserve">Т-34 </w:t>
      </w:r>
      <w:r w:rsidRPr="00DB5D0D">
        <w:rPr>
          <w:rStyle w:val="20130pt57"/>
          <w:rFonts w:ascii="Times New Roman" w:hAnsi="Times New Roman" w:cs="Times New Roman"/>
          <w:bCs/>
          <w:iCs/>
          <w:color w:val="000000" w:themeColor="text1"/>
          <w:spacing w:val="0"/>
          <w:lang w:val="ru-RU"/>
        </w:rPr>
        <w:t>по утвержденной программе и включали в себя как лабора</w:t>
      </w:r>
      <w:r w:rsidRPr="00DB5D0D">
        <w:rPr>
          <w:rStyle w:val="20130pt57"/>
          <w:rFonts w:ascii="Times New Roman" w:hAnsi="Times New Roman" w:cs="Times New Roman"/>
          <w:bCs/>
          <w:iCs/>
          <w:color w:val="000000" w:themeColor="text1"/>
          <w:spacing w:val="0"/>
          <w:lang w:val="ru-RU"/>
        </w:rPr>
        <w:softHyphen/>
        <w:t>торные, так и ходовые испытания. Основной целью испытаний явля</w:t>
      </w:r>
      <w:r w:rsidRPr="00DB5D0D">
        <w:rPr>
          <w:rStyle w:val="20130pt57"/>
          <w:rFonts w:ascii="Times New Roman" w:hAnsi="Times New Roman" w:cs="Times New Roman"/>
          <w:bCs/>
          <w:iCs/>
          <w:color w:val="000000" w:themeColor="text1"/>
          <w:spacing w:val="0"/>
          <w:lang w:val="ru-RU"/>
        </w:rPr>
        <w:softHyphen/>
        <w:t>лось определение пригодности литых гусеничных лент из стали Гат</w:t>
      </w:r>
      <w:r w:rsidRPr="00DB5D0D">
        <w:rPr>
          <w:rStyle w:val="20130pt57"/>
          <w:rFonts w:ascii="Times New Roman" w:hAnsi="Times New Roman" w:cs="Times New Roman"/>
          <w:bCs/>
          <w:iCs/>
          <w:color w:val="000000" w:themeColor="text1"/>
          <w:spacing w:val="0"/>
          <w:lang w:val="ru-RU"/>
        </w:rPr>
        <w:softHyphen/>
        <w:t>фильда к эксплуатации на танке Т-34.</w:t>
      </w:r>
    </w:p>
    <w:p w14:paraId="12D6BEBC" w14:textId="77777777" w:rsidR="00A25AD1" w:rsidRPr="00DB5D0D" w:rsidRDefault="00A25AD1" w:rsidP="00DB5D0D">
      <w:pPr>
        <w:pStyle w:val="201"/>
        <w:shd w:val="clear" w:color="auto" w:fill="auto"/>
        <w:spacing w:before="0" w:line="240" w:lineRule="auto"/>
        <w:rPr>
          <w:rStyle w:val="20130pt57"/>
          <w:rFonts w:ascii="Times New Roman" w:hAnsi="Times New Roman" w:cs="Times New Roman"/>
          <w:bCs/>
          <w:iCs/>
          <w:noProof w:val="0"/>
          <w:color w:val="000000" w:themeColor="text1"/>
          <w:spacing w:val="0"/>
          <w:lang w:val="ru-RU"/>
        </w:rPr>
      </w:pPr>
      <w:r w:rsidRPr="00DB5D0D">
        <w:rPr>
          <w:rStyle w:val="20130pt57"/>
          <w:rFonts w:ascii="Times New Roman" w:hAnsi="Times New Roman" w:cs="Times New Roman"/>
          <w:bCs/>
          <w:iCs/>
          <w:color w:val="000000" w:themeColor="text1"/>
          <w:spacing w:val="0"/>
          <w:lang w:val="ru-RU"/>
        </w:rPr>
        <w:t>Приведем выписки из Отчета №014 Бюро «540» от 21 мая 1940 г. «По испытаниям литых гусенич</w:t>
      </w:r>
      <w:r w:rsidRPr="00DB5D0D">
        <w:rPr>
          <w:rStyle w:val="20130pt57"/>
          <w:rFonts w:ascii="Times New Roman" w:hAnsi="Times New Roman" w:cs="Times New Roman"/>
          <w:bCs/>
          <w:iCs/>
          <w:color w:val="000000" w:themeColor="text1"/>
          <w:spacing w:val="0"/>
          <w:lang w:val="ru-RU"/>
        </w:rPr>
        <w:softHyphen/>
        <w:t>ных лент из стали Гатфильда на танке А-34»:</w:t>
      </w:r>
    </w:p>
    <w:p w14:paraId="535FF26F"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rStyle w:val="205"/>
          <w:rFonts w:ascii="Times New Roman" w:hAnsi="Times New Roman" w:cs="Times New Roman"/>
          <w:bCs/>
          <w:iCs/>
          <w:color w:val="000000" w:themeColor="text1"/>
          <w:lang w:val="ru-RU"/>
        </w:rPr>
        <w:t>ХАРАКТЕРИСТИКА</w:t>
      </w:r>
      <w:r w:rsidRPr="00DB5D0D">
        <w:rPr>
          <w:b w:val="0"/>
          <w:bCs w:val="0"/>
          <w:i w:val="0"/>
          <w:iCs w:val="0"/>
          <w:color w:val="000000" w:themeColor="text1"/>
          <w:sz w:val="16"/>
          <w:szCs w:val="16"/>
          <w:lang w:val="ru-RU"/>
        </w:rPr>
        <w:t>Гусеничные ленты собраны из траков закрашенных зеленой крас</w:t>
      </w:r>
      <w:r w:rsidRPr="00DB5D0D">
        <w:rPr>
          <w:b w:val="0"/>
          <w:bCs w:val="0"/>
          <w:i w:val="0"/>
          <w:iCs w:val="0"/>
          <w:color w:val="000000" w:themeColor="text1"/>
          <w:sz w:val="16"/>
          <w:szCs w:val="16"/>
          <w:lang w:val="ru-RU"/>
        </w:rPr>
        <w:softHyphen/>
        <w:t>кой с тремя штампами ОТК, которые, по мнению завода изготовите</w:t>
      </w:r>
      <w:r w:rsidRPr="00DB5D0D">
        <w:rPr>
          <w:b w:val="0"/>
          <w:bCs w:val="0"/>
          <w:i w:val="0"/>
          <w:iCs w:val="0"/>
          <w:color w:val="000000" w:themeColor="text1"/>
          <w:sz w:val="16"/>
          <w:szCs w:val="16"/>
          <w:lang w:val="ru-RU"/>
        </w:rPr>
        <w:softHyphen/>
        <w:t>ля (СТЗ им. Дзержинского), являются лучшими из присланной партии траков. Литые траки гусеничных лент (детали 34-44-004 и 34-44-005) с шагом 167 мм и шириной 550 мм отличаются от существующих (штампованных материал сталь хромансиль) тем, что опытные траки отлиты из стали Гэтфильда. Литые траки гусеничных лент механи</w:t>
      </w:r>
      <w:r w:rsidRPr="00DB5D0D">
        <w:rPr>
          <w:b w:val="0"/>
          <w:bCs w:val="0"/>
          <w:i w:val="0"/>
          <w:iCs w:val="0"/>
          <w:color w:val="000000" w:themeColor="text1"/>
          <w:sz w:val="16"/>
          <w:szCs w:val="16"/>
          <w:lang w:val="ru-RU"/>
        </w:rPr>
        <w:softHyphen/>
        <w:t>ческой обработки не подвергались.</w:t>
      </w:r>
    </w:p>
    <w:p w14:paraId="22E478BF"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При осмотре траков были обнаружены трещины внутри гребня, от усадки материала при остывании, мелкие раковины у подножия поч- возацеповиупроушинна 103 траках из комплекта гус. лент (148 шт.). Из траков с указанными дефектами собраны 2 гусеничные ленты по 74 трака в каждой. Пальцы изготовлены из материала ст. 40СХдиа</w:t>
      </w:r>
      <w:r w:rsidRPr="00DB5D0D">
        <w:rPr>
          <w:b w:val="0"/>
          <w:bCs w:val="0"/>
          <w:i w:val="0"/>
          <w:iCs w:val="0"/>
          <w:color w:val="000000" w:themeColor="text1"/>
          <w:sz w:val="16"/>
          <w:szCs w:val="16"/>
          <w:lang w:val="ru-RU"/>
        </w:rPr>
        <w:softHyphen/>
        <w:t xml:space="preserve">метром 18-0.2 мм, </w:t>
      </w:r>
      <w:r w:rsidRPr="00DB5D0D">
        <w:rPr>
          <w:b w:val="0"/>
          <w:bCs w:val="0"/>
          <w:i w:val="0"/>
          <w:iCs w:val="0"/>
          <w:noProof w:val="0"/>
          <w:color w:val="000000" w:themeColor="text1"/>
          <w:sz w:val="16"/>
          <w:szCs w:val="16"/>
        </w:rPr>
        <w:t>L</w:t>
      </w:r>
      <w:r w:rsidRPr="00DB5D0D">
        <w:rPr>
          <w:b w:val="0"/>
          <w:bCs w:val="0"/>
          <w:i w:val="0"/>
          <w:iCs w:val="0"/>
          <w:noProof w:val="0"/>
          <w:color w:val="000000" w:themeColor="text1"/>
          <w:sz w:val="16"/>
          <w:szCs w:val="16"/>
          <w:lang w:val="ru-RU"/>
        </w:rPr>
        <w:t xml:space="preserve">=262 </w:t>
      </w:r>
      <w:r w:rsidRPr="00DB5D0D">
        <w:rPr>
          <w:b w:val="0"/>
          <w:bCs w:val="0"/>
          <w:i w:val="0"/>
          <w:iCs w:val="0"/>
          <w:color w:val="000000" w:themeColor="text1"/>
          <w:sz w:val="16"/>
          <w:szCs w:val="16"/>
          <w:lang w:val="ru-RU"/>
        </w:rPr>
        <w:t>- 1.5 мм (ставятся по 2 шт. на трак).</w:t>
      </w:r>
    </w:p>
    <w:p w14:paraId="31F90ADC"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При сборке обнаружено, что заусенцы от литья на проушинах, в углах пазов для проушин и перекосы траков не позволяют соеди</w:t>
      </w:r>
      <w:r w:rsidRPr="00DB5D0D">
        <w:rPr>
          <w:b w:val="0"/>
          <w:bCs w:val="0"/>
          <w:i w:val="0"/>
          <w:iCs w:val="0"/>
          <w:color w:val="000000" w:themeColor="text1"/>
          <w:sz w:val="16"/>
          <w:szCs w:val="16"/>
          <w:lang w:val="ru-RU"/>
        </w:rPr>
        <w:softHyphen/>
        <w:t>нить их пальцами, а если и возможно соединить, то не обеспечится относительное проворачивание траков. Заусенцы от литья на про</w:t>
      </w:r>
      <w:r w:rsidRPr="00DB5D0D">
        <w:rPr>
          <w:b w:val="0"/>
          <w:bCs w:val="0"/>
          <w:i w:val="0"/>
          <w:iCs w:val="0"/>
          <w:color w:val="000000" w:themeColor="text1"/>
          <w:sz w:val="16"/>
          <w:szCs w:val="16"/>
          <w:lang w:val="ru-RU"/>
        </w:rPr>
        <w:softHyphen/>
        <w:t>ушинах и боковые кромки проушин были сточены на наждачном то</w:t>
      </w:r>
      <w:r w:rsidRPr="00DB5D0D">
        <w:rPr>
          <w:b w:val="0"/>
          <w:bCs w:val="0"/>
          <w:i w:val="0"/>
          <w:iCs w:val="0"/>
          <w:color w:val="000000" w:themeColor="text1"/>
          <w:sz w:val="16"/>
          <w:szCs w:val="16"/>
          <w:lang w:val="ru-RU"/>
        </w:rPr>
        <w:softHyphen/>
        <w:t>чиле и только путем индивидуальной подгонки каждого трака в от</w:t>
      </w:r>
      <w:r w:rsidRPr="00DB5D0D">
        <w:rPr>
          <w:b w:val="0"/>
          <w:bCs w:val="0"/>
          <w:i w:val="0"/>
          <w:iCs w:val="0"/>
          <w:color w:val="000000" w:themeColor="text1"/>
          <w:sz w:val="16"/>
          <w:szCs w:val="16"/>
          <w:lang w:val="ru-RU"/>
        </w:rPr>
        <w:softHyphen/>
        <w:t>дельности были собраны гусеничные ленты.</w:t>
      </w:r>
    </w:p>
    <w:p w14:paraId="3A225ABC" w14:textId="77777777" w:rsidR="00A25AD1" w:rsidRPr="00DB5D0D" w:rsidRDefault="00A25AD1" w:rsidP="00DB5D0D">
      <w:pPr>
        <w:pStyle w:val="201"/>
        <w:shd w:val="clear" w:color="auto" w:fill="auto"/>
        <w:spacing w:before="0" w:line="240" w:lineRule="auto"/>
        <w:rPr>
          <w:b w:val="0"/>
          <w:i w:val="0"/>
          <w:iCs w:val="0"/>
          <w:color w:val="000000" w:themeColor="text1"/>
          <w:sz w:val="16"/>
          <w:szCs w:val="16"/>
          <w:lang w:val="ru-RU"/>
        </w:rPr>
      </w:pPr>
      <w:r w:rsidRPr="00DB5D0D">
        <w:rPr>
          <w:rStyle w:val="205"/>
          <w:rFonts w:ascii="Times New Roman" w:hAnsi="Times New Roman" w:cs="Times New Roman"/>
          <w:bCs/>
          <w:iCs/>
          <w:color w:val="000000" w:themeColor="text1"/>
        </w:rPr>
        <w:t>IV</w:t>
      </w:r>
      <w:r w:rsidRPr="00DB5D0D">
        <w:rPr>
          <w:rStyle w:val="205"/>
          <w:rFonts w:ascii="Times New Roman" w:hAnsi="Times New Roman" w:cs="Times New Roman"/>
          <w:bCs/>
          <w:iCs/>
          <w:color w:val="000000" w:themeColor="text1"/>
          <w:lang w:val="ru-RU"/>
        </w:rPr>
        <w:t>. Объем проведенных работ и результаты испытаний а) Лабораторные испытания.</w:t>
      </w:r>
    </w:p>
    <w:p w14:paraId="52FFBCB5"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 Произведено динамическое испытание траков гусеничных лент на копре (ударом) при весе бабы копра 0,5 тонны при переменной высоте падения.</w:t>
      </w:r>
    </w:p>
    <w:p w14:paraId="37F74080"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Траки перед испытанием устанавливались на двух опорах с рас</w:t>
      </w:r>
      <w:r w:rsidRPr="00DB5D0D">
        <w:rPr>
          <w:b w:val="0"/>
          <w:bCs w:val="0"/>
          <w:i w:val="0"/>
          <w:iCs w:val="0"/>
          <w:color w:val="000000" w:themeColor="text1"/>
          <w:sz w:val="16"/>
          <w:szCs w:val="16"/>
          <w:lang w:val="ru-RU"/>
        </w:rPr>
        <w:softHyphen/>
        <w:t>стоянием между ними - 400-450 мм. Траки с гребнем устанавлива</w:t>
      </w:r>
      <w:r w:rsidRPr="00DB5D0D">
        <w:rPr>
          <w:b w:val="0"/>
          <w:bCs w:val="0"/>
          <w:i w:val="0"/>
          <w:iCs w:val="0"/>
          <w:color w:val="000000" w:themeColor="text1"/>
          <w:sz w:val="16"/>
          <w:szCs w:val="16"/>
          <w:lang w:val="ru-RU"/>
        </w:rPr>
        <w:softHyphen/>
        <w:t>лись гребнем вверх, причем удар бабы воспринимался вершиной гребня. Плоские траки устанавливались беговой дорожкой вверх. Углы изгиба траков после удара замерялись с обоих сторон.</w:t>
      </w:r>
    </w:p>
    <w:p w14:paraId="237232B0"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Результаты испытаний.</w:t>
      </w:r>
    </w:p>
    <w:p w14:paraId="6F0F48A6" w14:textId="77777777" w:rsidR="00A25AD1" w:rsidRPr="00DB5D0D" w:rsidRDefault="00A25AD1" w:rsidP="00DB5D0D">
      <w:pPr>
        <w:pStyle w:val="201"/>
        <w:shd w:val="clear" w:color="auto" w:fill="auto"/>
        <w:tabs>
          <w:tab w:val="left" w:pos="48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1)Штампованный трак - плоский (из хромансиля)</w:t>
      </w:r>
    </w:p>
    <w:p w14:paraId="386309C8" w14:textId="77777777" w:rsidR="00A25AD1" w:rsidRPr="00DB5D0D" w:rsidRDefault="00A25AD1" w:rsidP="00DB5D0D">
      <w:pPr>
        <w:pStyle w:val="201"/>
        <w:shd w:val="clear" w:color="auto" w:fill="auto"/>
        <w:tabs>
          <w:tab w:val="left" w:pos="486"/>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а)Высота падения бабы Н = 2 мт. - трак согнут на 10°, следов трещин нет.</w:t>
      </w:r>
    </w:p>
    <w:p w14:paraId="4A7B12B3" w14:textId="77777777" w:rsidR="00A25AD1" w:rsidRPr="00DB5D0D" w:rsidRDefault="00A25AD1" w:rsidP="00DB5D0D">
      <w:pPr>
        <w:pStyle w:val="201"/>
        <w:shd w:val="clear" w:color="auto" w:fill="auto"/>
        <w:tabs>
          <w:tab w:val="left" w:pos="50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б)Н=3,5 мт. - трак лопнул на 2 части по середине при изгибе на угол - 25°.</w:t>
      </w:r>
    </w:p>
    <w:p w14:paraId="6E893D15" w14:textId="77777777" w:rsidR="00A25AD1" w:rsidRPr="00DB5D0D" w:rsidRDefault="00A25AD1" w:rsidP="00DB5D0D">
      <w:pPr>
        <w:pStyle w:val="201"/>
        <w:shd w:val="clear" w:color="auto" w:fill="auto"/>
        <w:tabs>
          <w:tab w:val="left" w:pos="49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2)Литой трак - плоский (сталь Гэтфильда)</w:t>
      </w:r>
    </w:p>
    <w:p w14:paraId="21F94997" w14:textId="77777777" w:rsidR="00A25AD1" w:rsidRPr="00DB5D0D" w:rsidRDefault="00A25AD1" w:rsidP="00DB5D0D">
      <w:pPr>
        <w:pStyle w:val="201"/>
        <w:shd w:val="clear" w:color="auto" w:fill="auto"/>
        <w:tabs>
          <w:tab w:val="left" w:pos="507"/>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а)Н=2мт. - трак согнут на угле 20-30°, следов трещин нет.</w:t>
      </w:r>
    </w:p>
    <w:p w14:paraId="7388DC2D" w14:textId="77777777" w:rsidR="00A25AD1" w:rsidRPr="00DB5D0D" w:rsidRDefault="00A25AD1" w:rsidP="00DB5D0D">
      <w:pPr>
        <w:pStyle w:val="201"/>
        <w:shd w:val="clear" w:color="auto" w:fill="auto"/>
        <w:tabs>
          <w:tab w:val="left" w:pos="51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 = 3,5 мт. - трак согнут на угле 30-40°, следов трещин нет.</w:t>
      </w:r>
    </w:p>
    <w:p w14:paraId="64739EA2" w14:textId="77777777" w:rsidR="00A25AD1" w:rsidRPr="00DB5D0D" w:rsidRDefault="00A25AD1" w:rsidP="00DB5D0D">
      <w:pPr>
        <w:pStyle w:val="201"/>
        <w:shd w:val="clear" w:color="auto" w:fill="auto"/>
        <w:tabs>
          <w:tab w:val="left" w:pos="50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в)Н = 6 мт. - трак согнут на угле 30-45°, трещина-разрыв на почвозацепе глубиной 25 мм.</w:t>
      </w:r>
    </w:p>
    <w:p w14:paraId="4299A975" w14:textId="77777777" w:rsidR="00A25AD1" w:rsidRPr="00DB5D0D" w:rsidRDefault="00A25AD1" w:rsidP="00DB5D0D">
      <w:pPr>
        <w:pStyle w:val="201"/>
        <w:shd w:val="clear" w:color="auto" w:fill="auto"/>
        <w:tabs>
          <w:tab w:val="left" w:pos="51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3)Штампованный трак с гребнем (из хромансиля)</w:t>
      </w:r>
    </w:p>
    <w:p w14:paraId="1C06C9F8" w14:textId="77777777" w:rsidR="00A25AD1" w:rsidRPr="00DB5D0D" w:rsidRDefault="00A25AD1" w:rsidP="00DB5D0D">
      <w:pPr>
        <w:pStyle w:val="201"/>
        <w:shd w:val="clear" w:color="auto" w:fill="auto"/>
        <w:tabs>
          <w:tab w:val="left" w:pos="51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а)Н = 2мт. - трак согнут на угле 15°, следов трещин нет.</w:t>
      </w:r>
    </w:p>
    <w:p w14:paraId="4B7EE81D" w14:textId="77777777" w:rsidR="00A25AD1" w:rsidRPr="00DB5D0D" w:rsidRDefault="00A25AD1" w:rsidP="00DB5D0D">
      <w:pPr>
        <w:pStyle w:val="201"/>
        <w:shd w:val="clear" w:color="auto" w:fill="auto"/>
        <w:tabs>
          <w:tab w:val="left" w:pos="514"/>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 = 4 мт. - трак согнут на угле 20-25°, трещина-разрыв на почвозацепе глубиной 25 мм.</w:t>
      </w:r>
    </w:p>
    <w:p w14:paraId="5E9B8324" w14:textId="77777777" w:rsidR="00A25AD1" w:rsidRPr="00DB5D0D" w:rsidRDefault="00A25AD1" w:rsidP="00DB5D0D">
      <w:pPr>
        <w:pStyle w:val="201"/>
        <w:shd w:val="clear" w:color="auto" w:fill="auto"/>
        <w:tabs>
          <w:tab w:val="left" w:pos="49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в)Н=6 мт.- трак согнут с одной стороны на угол 60°, трещина- разрыву гребня, выходящая на плицу с одной стороны на 10 мм, ас другой стороны на 40 мм.</w:t>
      </w:r>
    </w:p>
    <w:p w14:paraId="0F02D76B" w14:textId="77777777" w:rsidR="00A25AD1" w:rsidRPr="00DB5D0D" w:rsidRDefault="00A25AD1" w:rsidP="00DB5D0D">
      <w:pPr>
        <w:pStyle w:val="201"/>
        <w:shd w:val="clear" w:color="auto" w:fill="auto"/>
        <w:tabs>
          <w:tab w:val="left" w:pos="50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4)Литой трак с гребнем (сталь Гэтфильда)</w:t>
      </w:r>
    </w:p>
    <w:p w14:paraId="7B0EE774" w14:textId="77777777" w:rsidR="00A25AD1" w:rsidRPr="00DB5D0D" w:rsidRDefault="00A25AD1" w:rsidP="00DB5D0D">
      <w:pPr>
        <w:pStyle w:val="201"/>
        <w:shd w:val="clear" w:color="auto" w:fill="auto"/>
        <w:tabs>
          <w:tab w:val="left" w:pos="48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а)Н=2 мт. - трак согнут на угле 30°, трещин нет, смята средняя проушина и вершина гребня.</w:t>
      </w:r>
    </w:p>
    <w:p w14:paraId="05D24734" w14:textId="77777777" w:rsidR="00A25AD1" w:rsidRPr="00DB5D0D" w:rsidRDefault="00A25AD1" w:rsidP="00DB5D0D">
      <w:pPr>
        <w:pStyle w:val="201"/>
        <w:shd w:val="clear" w:color="auto" w:fill="auto"/>
        <w:tabs>
          <w:tab w:val="left" w:pos="50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 = 4 мт. - трак согнут на угле 35°, следов трещин нет, смята и погнута вершина гребня.</w:t>
      </w:r>
    </w:p>
    <w:p w14:paraId="6F024551" w14:textId="77777777" w:rsidR="00A25AD1" w:rsidRPr="00DB5D0D" w:rsidRDefault="00A25AD1" w:rsidP="00DB5D0D">
      <w:pPr>
        <w:pStyle w:val="201"/>
        <w:shd w:val="clear" w:color="auto" w:fill="auto"/>
        <w:tabs>
          <w:tab w:val="left" w:pos="514"/>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в)Н = 6 мт. - трак согнут на угле 30* заметное удлинение (вытяжка) почвозацепа, смята средняя проушина и согнута вер</w:t>
      </w:r>
      <w:r w:rsidRPr="00DB5D0D">
        <w:rPr>
          <w:b w:val="0"/>
          <w:bCs w:val="0"/>
          <w:i w:val="0"/>
          <w:iCs w:val="0"/>
          <w:color w:val="000000" w:themeColor="text1"/>
          <w:sz w:val="16"/>
          <w:szCs w:val="16"/>
          <w:lang w:val="ru-RU"/>
        </w:rPr>
        <w:softHyphen/>
        <w:t>шина гребня.</w:t>
      </w:r>
    </w:p>
    <w:p w14:paraId="452A33CE"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Данные по испытаниям на копре говорят за то, что литые траки из стали Гэтфильда по вязкости лучше чем штампованные из стали Хромансиль.</w:t>
      </w:r>
    </w:p>
    <w:p w14:paraId="7F123794"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 Произведено статическое испытание траков на изгиб под прессом.</w:t>
      </w:r>
    </w:p>
    <w:p w14:paraId="78EB2F7C"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Траки устанавливались на одну опору по центру. В верхней упор</w:t>
      </w:r>
      <w:r w:rsidRPr="00DB5D0D">
        <w:rPr>
          <w:b w:val="0"/>
          <w:bCs w:val="0"/>
          <w:i w:val="0"/>
          <w:iCs w:val="0"/>
          <w:color w:val="000000" w:themeColor="text1"/>
          <w:sz w:val="16"/>
          <w:szCs w:val="16"/>
          <w:lang w:val="ru-RU"/>
        </w:rPr>
        <w:softHyphen/>
        <w:t>ной части были установлены две опоры, расстояние между которы</w:t>
      </w:r>
      <w:r w:rsidRPr="00DB5D0D">
        <w:rPr>
          <w:b w:val="0"/>
          <w:bCs w:val="0"/>
          <w:i w:val="0"/>
          <w:iCs w:val="0"/>
          <w:color w:val="000000" w:themeColor="text1"/>
          <w:sz w:val="16"/>
          <w:szCs w:val="16"/>
          <w:lang w:val="ru-RU"/>
        </w:rPr>
        <w:softHyphen/>
        <w:t>ми равно 440 мм.</w:t>
      </w:r>
    </w:p>
    <w:p w14:paraId="718998A9"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rPr>
      </w:pPr>
      <w:r w:rsidRPr="00DB5D0D">
        <w:rPr>
          <w:b w:val="0"/>
          <w:bCs w:val="0"/>
          <w:i w:val="0"/>
          <w:iCs w:val="0"/>
          <w:color w:val="000000" w:themeColor="text1"/>
          <w:sz w:val="16"/>
          <w:szCs w:val="16"/>
          <w:lang w:val="ru-RU"/>
        </w:rPr>
        <w:t>Траки устанавливались на опоры так, что изгиб происходил в сторону почвозацепа - аналогично действию сил на изгиб траковустановленных на танке. Испытаниям на изгиб подвергались только плоские траки, т.к. на существующем прессе в лаборатории невоз</w:t>
      </w:r>
      <w:r w:rsidRPr="00DB5D0D">
        <w:rPr>
          <w:b w:val="0"/>
          <w:bCs w:val="0"/>
          <w:i w:val="0"/>
          <w:iCs w:val="0"/>
          <w:color w:val="000000" w:themeColor="text1"/>
          <w:sz w:val="16"/>
          <w:szCs w:val="16"/>
          <w:lang w:val="ru-RU"/>
        </w:rPr>
        <w:softHyphen/>
        <w:t xml:space="preserve">можно было установить гребневые траки. </w:t>
      </w:r>
      <w:r w:rsidRPr="00DB5D0D">
        <w:rPr>
          <w:b w:val="0"/>
          <w:bCs w:val="0"/>
          <w:i w:val="0"/>
          <w:iCs w:val="0"/>
          <w:color w:val="000000" w:themeColor="text1"/>
          <w:sz w:val="16"/>
          <w:szCs w:val="16"/>
        </w:rPr>
        <w:t>Результаты испытаний: см. в таблице №1.</w:t>
      </w:r>
    </w:p>
    <w:p w14:paraId="46B28BE5" w14:textId="77777777" w:rsidR="00A25AD1" w:rsidRPr="00DB5D0D" w:rsidRDefault="00A25AD1" w:rsidP="00DB5D0D">
      <w:pPr>
        <w:pStyle w:val="210"/>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Таблица №1</w:t>
      </w:r>
    </w:p>
    <w:tbl>
      <w:tblPr>
        <w:tblW w:w="0" w:type="auto"/>
        <w:tblInd w:w="8" w:type="dxa"/>
        <w:tblLayout w:type="fixed"/>
        <w:tblCellMar>
          <w:left w:w="0" w:type="dxa"/>
          <w:right w:w="0" w:type="dxa"/>
        </w:tblCellMar>
        <w:tblLook w:val="0000" w:firstRow="0" w:lastRow="0" w:firstColumn="0" w:lastColumn="0" w:noHBand="0" w:noVBand="0"/>
      </w:tblPr>
      <w:tblGrid>
        <w:gridCol w:w="1699"/>
        <w:gridCol w:w="965"/>
        <w:gridCol w:w="811"/>
        <w:gridCol w:w="1589"/>
      </w:tblGrid>
      <w:tr w:rsidR="007D5DF8" w:rsidRPr="00DB5D0D" w14:paraId="526370A5" w14:textId="77777777" w:rsidTr="009223E5">
        <w:trPr>
          <w:trHeight w:val="389"/>
        </w:trPr>
        <w:tc>
          <w:tcPr>
            <w:tcW w:w="1699" w:type="dxa"/>
            <w:tcBorders>
              <w:top w:val="single" w:sz="6" w:space="0" w:color="auto"/>
              <w:left w:val="single" w:sz="6" w:space="0" w:color="auto"/>
              <w:bottom w:val="single" w:sz="6" w:space="0" w:color="auto"/>
              <w:right w:val="single" w:sz="6" w:space="0" w:color="auto"/>
            </w:tcBorders>
            <w:shd w:val="clear" w:color="auto" w:fill="FFFFFF"/>
          </w:tcPr>
          <w:p w14:paraId="4AADBDD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Наименование трака</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0657A471"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Нагрузка в кг.</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B4C284A"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Угол изгиба</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63B28349"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Примечание</w:t>
            </w:r>
          </w:p>
        </w:tc>
      </w:tr>
      <w:tr w:rsidR="007D5DF8" w:rsidRPr="00DB5D0D" w14:paraId="58E1F817" w14:textId="77777777" w:rsidTr="009223E5">
        <w:trPr>
          <w:trHeight w:val="379"/>
        </w:trPr>
        <w:tc>
          <w:tcPr>
            <w:tcW w:w="1699" w:type="dxa"/>
            <w:tcBorders>
              <w:top w:val="single" w:sz="6" w:space="0" w:color="auto"/>
              <w:left w:val="single" w:sz="6" w:space="0" w:color="auto"/>
              <w:bottom w:val="nil"/>
              <w:right w:val="single" w:sz="6" w:space="0" w:color="auto"/>
            </w:tcBorders>
            <w:shd w:val="clear" w:color="auto" w:fill="FFFFFF"/>
          </w:tcPr>
          <w:p w14:paraId="4BE53DB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lang w:val="ru-RU"/>
              </w:rPr>
            </w:pPr>
            <w:r w:rsidRPr="00DB5D0D">
              <w:rPr>
                <w:rFonts w:ascii="Times New Roman" w:hAnsi="Times New Roman" w:cs="Times New Roman"/>
                <w:i w:val="0"/>
                <w:iCs w:val="0"/>
                <w:color w:val="000000" w:themeColor="text1"/>
                <w:spacing w:val="0"/>
                <w:lang w:val="ru-RU"/>
              </w:rPr>
              <w:t>Штампованный плоский трак (сталь Хромансиль)</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347D4BCE"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15600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45D1EBC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45°</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214E6E1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Трещина посередине почвозацепа</w:t>
            </w:r>
          </w:p>
        </w:tc>
      </w:tr>
      <w:tr w:rsidR="007D5DF8" w:rsidRPr="00DB5D0D" w14:paraId="4C5B865D" w14:textId="77777777" w:rsidTr="009223E5">
        <w:trPr>
          <w:trHeight w:val="197"/>
        </w:trPr>
        <w:tc>
          <w:tcPr>
            <w:tcW w:w="1699" w:type="dxa"/>
            <w:tcBorders>
              <w:top w:val="nil"/>
              <w:left w:val="single" w:sz="6" w:space="0" w:color="auto"/>
              <w:bottom w:val="nil"/>
              <w:right w:val="single" w:sz="6" w:space="0" w:color="auto"/>
            </w:tcBorders>
            <w:shd w:val="clear" w:color="auto" w:fill="FFFFFF"/>
          </w:tcPr>
          <w:p w14:paraId="6FF769BD"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01A05A4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20600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7FB3BE0A"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30°</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2D8E6F9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 нет</w:t>
            </w:r>
          </w:p>
        </w:tc>
      </w:tr>
      <w:tr w:rsidR="007D5DF8" w:rsidRPr="00DB5D0D" w14:paraId="2C6495A0" w14:textId="77777777" w:rsidTr="009223E5">
        <w:trPr>
          <w:trHeight w:val="192"/>
        </w:trPr>
        <w:tc>
          <w:tcPr>
            <w:tcW w:w="1699" w:type="dxa"/>
            <w:tcBorders>
              <w:top w:val="nil"/>
              <w:left w:val="single" w:sz="6" w:space="0" w:color="auto"/>
              <w:bottom w:val="single" w:sz="6" w:space="0" w:color="auto"/>
              <w:right w:val="single" w:sz="6" w:space="0" w:color="auto"/>
            </w:tcBorders>
            <w:shd w:val="clear" w:color="auto" w:fill="FFFFFF"/>
          </w:tcPr>
          <w:p w14:paraId="6E3E7274"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6CB9AFB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21600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A970F1F"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30°</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002BD3AF"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 нет</w:t>
            </w:r>
          </w:p>
        </w:tc>
      </w:tr>
      <w:tr w:rsidR="007D5DF8" w:rsidRPr="00DB5D0D" w14:paraId="2AA83502" w14:textId="77777777" w:rsidTr="009223E5">
        <w:trPr>
          <w:trHeight w:val="379"/>
        </w:trPr>
        <w:tc>
          <w:tcPr>
            <w:tcW w:w="1699" w:type="dxa"/>
            <w:tcBorders>
              <w:top w:val="single" w:sz="6" w:space="0" w:color="auto"/>
              <w:left w:val="single" w:sz="6" w:space="0" w:color="auto"/>
              <w:bottom w:val="nil"/>
              <w:right w:val="single" w:sz="6" w:space="0" w:color="auto"/>
            </w:tcBorders>
            <w:shd w:val="clear" w:color="auto" w:fill="FFFFFF"/>
          </w:tcPr>
          <w:p w14:paraId="29CCE5AF"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lang w:val="ru-RU"/>
              </w:rPr>
            </w:pPr>
            <w:r w:rsidRPr="00DB5D0D">
              <w:rPr>
                <w:rFonts w:ascii="Times New Roman" w:hAnsi="Times New Roman" w:cs="Times New Roman"/>
                <w:i w:val="0"/>
                <w:iCs w:val="0"/>
                <w:color w:val="000000" w:themeColor="text1"/>
                <w:spacing w:val="0"/>
                <w:lang w:val="ru-RU"/>
              </w:rPr>
              <w:t>Плоский литой трак из стали Гэтфипьда</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3494222C"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8800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31EFC34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45°</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56237E11"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Трещина посередине почвозацепа</w:t>
            </w:r>
          </w:p>
        </w:tc>
      </w:tr>
      <w:tr w:rsidR="007D5DF8" w:rsidRPr="00DB5D0D" w14:paraId="3A07017B" w14:textId="77777777" w:rsidTr="009223E5">
        <w:trPr>
          <w:trHeight w:val="192"/>
        </w:trPr>
        <w:tc>
          <w:tcPr>
            <w:tcW w:w="1699" w:type="dxa"/>
            <w:tcBorders>
              <w:top w:val="nil"/>
              <w:left w:val="single" w:sz="6" w:space="0" w:color="auto"/>
              <w:bottom w:val="nil"/>
              <w:right w:val="single" w:sz="6" w:space="0" w:color="auto"/>
            </w:tcBorders>
            <w:shd w:val="clear" w:color="auto" w:fill="FFFFFF"/>
          </w:tcPr>
          <w:p w14:paraId="1206579C"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85BB2E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10200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10EAD00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45°</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1B3ACE3F"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 нет</w:t>
            </w:r>
          </w:p>
        </w:tc>
      </w:tr>
      <w:tr w:rsidR="007D5DF8" w:rsidRPr="00DB5D0D" w14:paraId="5BD6DD36" w14:textId="77777777" w:rsidTr="009223E5">
        <w:trPr>
          <w:trHeight w:val="211"/>
        </w:trPr>
        <w:tc>
          <w:tcPr>
            <w:tcW w:w="1699" w:type="dxa"/>
            <w:tcBorders>
              <w:top w:val="nil"/>
              <w:left w:val="single" w:sz="6" w:space="0" w:color="auto"/>
              <w:bottom w:val="single" w:sz="6" w:space="0" w:color="auto"/>
              <w:right w:val="single" w:sz="6" w:space="0" w:color="auto"/>
            </w:tcBorders>
            <w:shd w:val="clear" w:color="auto" w:fill="FFFFFF"/>
          </w:tcPr>
          <w:p w14:paraId="39D0A72C"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4AA1482"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9600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5BE18AAE"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Ж</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76920BAD"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 нет</w:t>
            </w:r>
          </w:p>
        </w:tc>
      </w:tr>
    </w:tbl>
    <w:p w14:paraId="5CF15A13"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Данная таблица показывает, что литые траки из стали Гатфильда при меньшей нагрузке дают больший угол и при этом дефекты такие же как и у штампованных траков при большей нагрузке и при мень</w:t>
      </w:r>
      <w:r w:rsidRPr="00DB5D0D">
        <w:rPr>
          <w:b w:val="0"/>
          <w:bCs w:val="0"/>
          <w:i w:val="0"/>
          <w:iCs w:val="0"/>
          <w:color w:val="000000" w:themeColor="text1"/>
          <w:sz w:val="16"/>
          <w:szCs w:val="16"/>
          <w:lang w:val="ru-RU"/>
        </w:rPr>
        <w:softHyphen/>
        <w:t>ших углах изгибов.</w:t>
      </w:r>
    </w:p>
    <w:p w14:paraId="3219759A" w14:textId="77777777" w:rsidR="00A25AD1" w:rsidRPr="00DB5D0D" w:rsidRDefault="00A25AD1" w:rsidP="00DB5D0D">
      <w:pPr>
        <w:pStyle w:val="201"/>
        <w:shd w:val="clear" w:color="auto" w:fill="auto"/>
        <w:spacing w:before="0" w:line="240" w:lineRule="auto"/>
        <w:rPr>
          <w:b w:val="0"/>
          <w:i w:val="0"/>
          <w:iCs w:val="0"/>
          <w:color w:val="000000" w:themeColor="text1"/>
          <w:sz w:val="16"/>
          <w:szCs w:val="16"/>
          <w:lang w:val="ru-RU"/>
        </w:rPr>
      </w:pPr>
      <w:r w:rsidRPr="00DB5D0D">
        <w:rPr>
          <w:rStyle w:val="204"/>
          <w:rFonts w:ascii="Times New Roman" w:hAnsi="Times New Roman" w:cs="Times New Roman"/>
          <w:bCs/>
          <w:iCs/>
          <w:color w:val="000000" w:themeColor="text1"/>
          <w:lang w:val="ru-RU"/>
        </w:rPr>
        <w:t>б) Ходовые испытания.</w:t>
      </w:r>
    </w:p>
    <w:p w14:paraId="15C1619A" w14:textId="77777777" w:rsidR="00A25AD1" w:rsidRPr="00DB5D0D" w:rsidRDefault="00A25AD1" w:rsidP="00DB5D0D">
      <w:pPr>
        <w:pStyle w:val="201"/>
        <w:shd w:val="clear" w:color="auto" w:fill="auto"/>
        <w:tabs>
          <w:tab w:val="left" w:pos="55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1.Комплект литых гусеничных лент, собранных из траков ст. Гатфильда был смонтирован на танк А-34 №311-18-3 и за пе</w:t>
      </w:r>
      <w:r w:rsidRPr="00DB5D0D">
        <w:rPr>
          <w:b w:val="0"/>
          <w:bCs w:val="0"/>
          <w:i w:val="0"/>
          <w:iCs w:val="0"/>
          <w:color w:val="000000" w:themeColor="text1"/>
          <w:sz w:val="16"/>
          <w:szCs w:val="16"/>
          <w:lang w:val="ru-RU"/>
        </w:rPr>
        <w:softHyphen/>
        <w:t xml:space="preserve">риод с </w:t>
      </w:r>
      <w:r w:rsidRPr="00DB5D0D">
        <w:rPr>
          <w:b w:val="0"/>
          <w:bCs w:val="0"/>
          <w:i w:val="0"/>
          <w:iCs w:val="0"/>
          <w:noProof w:val="0"/>
          <w:color w:val="000000" w:themeColor="text1"/>
          <w:sz w:val="16"/>
          <w:szCs w:val="16"/>
          <w:lang w:val="ru-RU"/>
        </w:rPr>
        <w:t>12/</w:t>
      </w:r>
      <w:r w:rsidRPr="00DB5D0D">
        <w:rPr>
          <w:b w:val="0"/>
          <w:bCs w:val="0"/>
          <w:i w:val="0"/>
          <w:iCs w:val="0"/>
          <w:noProof w:val="0"/>
          <w:color w:val="000000" w:themeColor="text1"/>
          <w:sz w:val="16"/>
          <w:szCs w:val="16"/>
        </w:rPr>
        <w:t>V</w:t>
      </w:r>
      <w:r w:rsidRPr="00DB5D0D">
        <w:rPr>
          <w:b w:val="0"/>
          <w:bCs w:val="0"/>
          <w:i w:val="0"/>
          <w:iCs w:val="0"/>
          <w:noProof w:val="0"/>
          <w:color w:val="000000" w:themeColor="text1"/>
          <w:sz w:val="16"/>
          <w:szCs w:val="16"/>
          <w:lang w:val="ru-RU"/>
        </w:rPr>
        <w:t xml:space="preserve">-40 </w:t>
      </w:r>
      <w:r w:rsidRPr="00DB5D0D">
        <w:rPr>
          <w:b w:val="0"/>
          <w:bCs w:val="0"/>
          <w:i w:val="0"/>
          <w:iCs w:val="0"/>
          <w:color w:val="000000" w:themeColor="text1"/>
          <w:sz w:val="16"/>
          <w:szCs w:val="16"/>
          <w:lang w:val="ru-RU"/>
        </w:rPr>
        <w:t>по 1</w:t>
      </w:r>
      <w:r w:rsidRPr="00DB5D0D">
        <w:rPr>
          <w:b w:val="0"/>
          <w:bCs w:val="0"/>
          <w:i w:val="0"/>
          <w:iCs w:val="0"/>
          <w:noProof w:val="0"/>
          <w:color w:val="000000" w:themeColor="text1"/>
          <w:sz w:val="16"/>
          <w:szCs w:val="16"/>
          <w:lang w:val="ru-RU"/>
        </w:rPr>
        <w:t>7/</w:t>
      </w:r>
      <w:r w:rsidRPr="00DB5D0D">
        <w:rPr>
          <w:b w:val="0"/>
          <w:bCs w:val="0"/>
          <w:i w:val="0"/>
          <w:iCs w:val="0"/>
          <w:noProof w:val="0"/>
          <w:color w:val="000000" w:themeColor="text1"/>
          <w:sz w:val="16"/>
          <w:szCs w:val="16"/>
        </w:rPr>
        <w:t>V</w:t>
      </w:r>
      <w:r w:rsidRPr="00DB5D0D">
        <w:rPr>
          <w:b w:val="0"/>
          <w:bCs w:val="0"/>
          <w:i w:val="0"/>
          <w:iCs w:val="0"/>
          <w:noProof w:val="0"/>
          <w:color w:val="000000" w:themeColor="text1"/>
          <w:sz w:val="16"/>
          <w:szCs w:val="16"/>
          <w:lang w:val="ru-RU"/>
        </w:rPr>
        <w:t xml:space="preserve">-40 </w:t>
      </w:r>
      <w:r w:rsidRPr="00DB5D0D">
        <w:rPr>
          <w:b w:val="0"/>
          <w:bCs w:val="0"/>
          <w:i w:val="0"/>
          <w:iCs w:val="0"/>
          <w:color w:val="000000" w:themeColor="text1"/>
          <w:sz w:val="16"/>
          <w:szCs w:val="16"/>
          <w:lang w:val="ru-RU"/>
        </w:rPr>
        <w:t>г. прошел 417 км., из них: по грунтовой дороге - 195 км., по песчаной дороге - 80 км и по булыжному шоссе - 142 км. Средняя скорость чистого движения за время испытаний была по грунтовой дороге - 22,9 км/час и 37 км/час по булыжному шоссе.</w:t>
      </w:r>
    </w:p>
    <w:p w14:paraId="36C9FD74" w14:textId="77777777" w:rsidR="00A25AD1" w:rsidRPr="00DB5D0D" w:rsidRDefault="00A25AD1" w:rsidP="00DB5D0D">
      <w:pPr>
        <w:pStyle w:val="201"/>
        <w:shd w:val="clear" w:color="auto" w:fill="auto"/>
        <w:tabs>
          <w:tab w:val="left" w:pos="514"/>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2.За пройденный километраж имело место: сработка закле</w:t>
      </w:r>
      <w:r w:rsidRPr="00DB5D0D">
        <w:rPr>
          <w:b w:val="0"/>
          <w:bCs w:val="0"/>
          <w:i w:val="0"/>
          <w:iCs w:val="0"/>
          <w:color w:val="000000" w:themeColor="text1"/>
          <w:sz w:val="16"/>
          <w:szCs w:val="16"/>
          <w:lang w:val="ru-RU"/>
        </w:rPr>
        <w:softHyphen/>
        <w:t>пок и утеря их на 50%, выход пальцев из проушин (2 случая в начале испытаний, первый на 61 км, второй на 120 км пути). Вы</w:t>
      </w:r>
      <w:r w:rsidRPr="00DB5D0D">
        <w:rPr>
          <w:b w:val="0"/>
          <w:bCs w:val="0"/>
          <w:i w:val="0"/>
          <w:iCs w:val="0"/>
          <w:color w:val="000000" w:themeColor="text1"/>
          <w:sz w:val="16"/>
          <w:szCs w:val="16"/>
          <w:lang w:val="ru-RU"/>
        </w:rPr>
        <w:softHyphen/>
        <w:t>ход пальцев из проушин объясняется тем, что палец еще не при</w:t>
      </w:r>
      <w:r w:rsidRPr="00DB5D0D">
        <w:rPr>
          <w:b w:val="0"/>
          <w:bCs w:val="0"/>
          <w:i w:val="0"/>
          <w:iCs w:val="0"/>
          <w:color w:val="000000" w:themeColor="text1"/>
          <w:sz w:val="16"/>
          <w:szCs w:val="16"/>
          <w:lang w:val="ru-RU"/>
        </w:rPr>
        <w:softHyphen/>
        <w:t>работался по месту благодаря большим зазорам в отверстиях проушин для пальца (Ф18 + 1,0 мм, а палец Ф18 - 0,12 мм). Кроме этого производилась 3 раза подтяжка гусеничных лент.</w:t>
      </w:r>
    </w:p>
    <w:p w14:paraId="7E0D20EE" w14:textId="77777777" w:rsidR="00A25AD1" w:rsidRPr="00DB5D0D" w:rsidRDefault="00A25AD1" w:rsidP="00DB5D0D">
      <w:pPr>
        <w:pStyle w:val="201"/>
        <w:shd w:val="clear" w:color="auto" w:fill="auto"/>
        <w:tabs>
          <w:tab w:val="left" w:pos="48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3.Гусеничные ленты из литых траков подвергались специспыта</w:t>
      </w:r>
      <w:r w:rsidRPr="00DB5D0D">
        <w:rPr>
          <w:b w:val="0"/>
          <w:bCs w:val="0"/>
          <w:i w:val="0"/>
          <w:iCs w:val="0"/>
          <w:color w:val="000000" w:themeColor="text1"/>
          <w:sz w:val="16"/>
          <w:szCs w:val="16"/>
          <w:lang w:val="ru-RU"/>
        </w:rPr>
        <w:softHyphen/>
        <w:t>ниям на булыжном шоссе, которые заключались в следующем:</w:t>
      </w:r>
    </w:p>
    <w:p w14:paraId="58B549D6" w14:textId="77777777" w:rsidR="00A25AD1" w:rsidRPr="00DB5D0D" w:rsidRDefault="00A25AD1" w:rsidP="00DB5D0D">
      <w:pPr>
        <w:pStyle w:val="201"/>
        <w:shd w:val="clear" w:color="auto" w:fill="auto"/>
        <w:tabs>
          <w:tab w:val="left" w:pos="414"/>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а)Движение танка по булыжному шоссе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 xml:space="preserve"> передаче при 1700- 1800 об/мин коленвала мотора.</w:t>
      </w:r>
    </w:p>
    <w:p w14:paraId="3DDE8EDA" w14:textId="77777777" w:rsidR="00A25AD1" w:rsidRPr="00DB5D0D" w:rsidRDefault="00A25AD1" w:rsidP="00DB5D0D">
      <w:pPr>
        <w:pStyle w:val="201"/>
        <w:shd w:val="clear" w:color="auto" w:fill="auto"/>
        <w:tabs>
          <w:tab w:val="left" w:pos="50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б)3 торможения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 xml:space="preserve"> передаче при 1700-1800 об/мин коленва</w:t>
      </w:r>
      <w:r w:rsidRPr="00DB5D0D">
        <w:rPr>
          <w:b w:val="0"/>
          <w:bCs w:val="0"/>
          <w:i w:val="0"/>
          <w:iCs w:val="0"/>
          <w:color w:val="000000" w:themeColor="text1"/>
          <w:sz w:val="16"/>
          <w:szCs w:val="16"/>
          <w:lang w:val="ru-RU"/>
        </w:rPr>
        <w:softHyphen/>
        <w:t>ла мотора.</w:t>
      </w:r>
    </w:p>
    <w:p w14:paraId="1E1B218E" w14:textId="77777777" w:rsidR="00A25AD1" w:rsidRPr="00DB5D0D" w:rsidRDefault="00A25AD1" w:rsidP="00DB5D0D">
      <w:pPr>
        <w:pStyle w:val="201"/>
        <w:shd w:val="clear" w:color="auto" w:fill="auto"/>
        <w:tabs>
          <w:tab w:val="left" w:pos="463"/>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в)Движение танка по камням (булыжник).</w:t>
      </w:r>
    </w:p>
    <w:p w14:paraId="11E30EB1"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При движении танка по булыжному шоссе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 xml:space="preserve"> передаче при 1700-1800 об/мин коленвала мотора была выдержана скорость 36-37км/час - танк прошел 111 км. Дефектов в пути по гусеничным лентам не обнаружено, за исключением утери шплинтов пальцев.</w:t>
      </w:r>
    </w:p>
    <w:p w14:paraId="4EB7686D"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Торможение:</w:t>
      </w:r>
    </w:p>
    <w:p w14:paraId="6D2E0C6A" w14:textId="77777777" w:rsidR="00A25AD1" w:rsidRPr="00DB5D0D" w:rsidRDefault="00A25AD1" w:rsidP="00DB5D0D">
      <w:pPr>
        <w:pStyle w:val="201"/>
        <w:shd w:val="clear" w:color="auto" w:fill="auto"/>
        <w:tabs>
          <w:tab w:val="left" w:pos="50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При 1600 об/мин коленвала мотора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 xml:space="preserve"> передаче с разгона 300-350 метров было произведено торможение - путь торможения 7 метров, при этом дефектов не обнаружено.</w:t>
      </w:r>
    </w:p>
    <w:p w14:paraId="1A9F3127" w14:textId="77777777" w:rsidR="00A25AD1" w:rsidRPr="00DB5D0D" w:rsidRDefault="00A25AD1" w:rsidP="00DB5D0D">
      <w:pPr>
        <w:pStyle w:val="201"/>
        <w:shd w:val="clear" w:color="auto" w:fill="auto"/>
        <w:tabs>
          <w:tab w:val="left" w:pos="49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lastRenderedPageBreak/>
        <w:t xml:space="preserve">Разгон 360-400метров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передаче при 1800 об/мин колен</w:t>
      </w:r>
      <w:r w:rsidRPr="00DB5D0D">
        <w:rPr>
          <w:b w:val="0"/>
          <w:bCs w:val="0"/>
          <w:i w:val="0"/>
          <w:iCs w:val="0"/>
          <w:color w:val="000000" w:themeColor="text1"/>
          <w:sz w:val="16"/>
          <w:szCs w:val="16"/>
          <w:lang w:val="ru-RU"/>
        </w:rPr>
        <w:softHyphen/>
        <w:t>вала мотора произведено торможение - путь торможения 12 мет</w:t>
      </w:r>
      <w:r w:rsidRPr="00DB5D0D">
        <w:rPr>
          <w:b w:val="0"/>
          <w:bCs w:val="0"/>
          <w:i w:val="0"/>
          <w:iCs w:val="0"/>
          <w:color w:val="000000" w:themeColor="text1"/>
          <w:sz w:val="16"/>
          <w:szCs w:val="16"/>
          <w:lang w:val="ru-RU"/>
        </w:rPr>
        <w:softHyphen/>
        <w:t>ров за время 4 секунды. Дефектов не обнаружено.</w:t>
      </w:r>
    </w:p>
    <w:p w14:paraId="682D5558" w14:textId="77777777" w:rsidR="00A25AD1" w:rsidRPr="00DB5D0D" w:rsidRDefault="00A25AD1" w:rsidP="00DB5D0D">
      <w:pPr>
        <w:pStyle w:val="201"/>
        <w:shd w:val="clear" w:color="auto" w:fill="auto"/>
        <w:tabs>
          <w:tab w:val="left" w:pos="49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Разгон250-300метров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передаче при 1800 об/мин колен</w:t>
      </w:r>
      <w:r w:rsidRPr="00DB5D0D">
        <w:rPr>
          <w:b w:val="0"/>
          <w:bCs w:val="0"/>
          <w:i w:val="0"/>
          <w:iCs w:val="0"/>
          <w:color w:val="000000" w:themeColor="text1"/>
          <w:sz w:val="16"/>
          <w:szCs w:val="16"/>
          <w:lang w:val="ru-RU"/>
        </w:rPr>
        <w:softHyphen/>
        <w:t>вала мотора произведено торможение - путь торможения 12 мет</w:t>
      </w:r>
      <w:r w:rsidRPr="00DB5D0D">
        <w:rPr>
          <w:b w:val="0"/>
          <w:bCs w:val="0"/>
          <w:i w:val="0"/>
          <w:iCs w:val="0"/>
          <w:color w:val="000000" w:themeColor="text1"/>
          <w:sz w:val="16"/>
          <w:szCs w:val="16"/>
          <w:lang w:val="ru-RU"/>
        </w:rPr>
        <w:softHyphen/>
        <w:t>ров за время 5 секунд. Дефектов не обнаружено.</w:t>
      </w:r>
    </w:p>
    <w:p w14:paraId="2E30094E"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После пройденного километража и специспытаний гусеничные ленты были сняты с танка и произведен тщательный осмотр правой гусеничной ленты, при этом было обнаружено отсутствие шплинте на - 50%. Гусеничная лента была разобрана, и каждый трак в от</w:t>
      </w:r>
      <w:r w:rsidRPr="00DB5D0D">
        <w:rPr>
          <w:b w:val="0"/>
          <w:bCs w:val="0"/>
          <w:i w:val="0"/>
          <w:iCs w:val="0"/>
          <w:color w:val="000000" w:themeColor="text1"/>
          <w:sz w:val="16"/>
          <w:szCs w:val="16"/>
          <w:lang w:val="ru-RU"/>
        </w:rPr>
        <w:softHyphen/>
        <w:t>дельности был осмотрен через лупу.</w:t>
      </w:r>
    </w:p>
    <w:p w14:paraId="03E1C43D" w14:textId="77777777" w:rsidR="00A25AD1" w:rsidRPr="00DB5D0D" w:rsidRDefault="00A25AD1" w:rsidP="00DB5D0D">
      <w:pPr>
        <w:pStyle w:val="201"/>
        <w:shd w:val="clear" w:color="auto" w:fill="auto"/>
        <w:spacing w:before="0" w:line="240" w:lineRule="auto"/>
        <w:rPr>
          <w:b w:val="0"/>
          <w:i w:val="0"/>
          <w:iCs w:val="0"/>
          <w:color w:val="000000" w:themeColor="text1"/>
          <w:sz w:val="16"/>
          <w:szCs w:val="16"/>
          <w:lang w:val="ru-RU"/>
        </w:rPr>
      </w:pPr>
      <w:r w:rsidRPr="00DB5D0D">
        <w:rPr>
          <w:rStyle w:val="204"/>
          <w:rFonts w:ascii="Times New Roman" w:hAnsi="Times New Roman" w:cs="Times New Roman"/>
          <w:bCs/>
          <w:iCs/>
          <w:color w:val="000000" w:themeColor="text1"/>
          <w:lang w:val="ru-RU"/>
        </w:rPr>
        <w:t>Результаты осмотра:</w:t>
      </w:r>
    </w:p>
    <w:p w14:paraId="073215E8" w14:textId="77777777" w:rsidR="00A25AD1" w:rsidRPr="00DB5D0D" w:rsidRDefault="00A25AD1" w:rsidP="00DB5D0D">
      <w:pPr>
        <w:pStyle w:val="201"/>
        <w:shd w:val="clear" w:color="auto" w:fill="auto"/>
        <w:tabs>
          <w:tab w:val="left" w:pos="49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1)Плоские траки трещин от ударов и эксплоатации по булыжно</w:t>
      </w:r>
      <w:r w:rsidRPr="00DB5D0D">
        <w:rPr>
          <w:b w:val="0"/>
          <w:bCs w:val="0"/>
          <w:i w:val="0"/>
          <w:iCs w:val="0"/>
          <w:color w:val="000000" w:themeColor="text1"/>
          <w:sz w:val="16"/>
          <w:szCs w:val="16"/>
          <w:lang w:val="ru-RU"/>
        </w:rPr>
        <w:softHyphen/>
        <w:t>му шоссе, а также механических повреждений не имеют.</w:t>
      </w:r>
    </w:p>
    <w:p w14:paraId="277F0C2C" w14:textId="77777777" w:rsidR="00A25AD1" w:rsidRPr="00DB5D0D" w:rsidRDefault="00A25AD1" w:rsidP="00DB5D0D">
      <w:pPr>
        <w:pStyle w:val="201"/>
        <w:shd w:val="clear" w:color="auto" w:fill="auto"/>
        <w:tabs>
          <w:tab w:val="left" w:pos="48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2)Гребневые траки, из количества просмотренных 37 штук, имеют следующие:</w:t>
      </w:r>
    </w:p>
    <w:p w14:paraId="5002B1E0" w14:textId="77777777" w:rsidR="00A25AD1" w:rsidRPr="00DB5D0D" w:rsidRDefault="00A25AD1" w:rsidP="00DB5D0D">
      <w:pPr>
        <w:pStyle w:val="201"/>
        <w:shd w:val="clear" w:color="auto" w:fill="auto"/>
        <w:spacing w:before="0" w:line="240" w:lineRule="auto"/>
        <w:rPr>
          <w:b w:val="0"/>
          <w:i w:val="0"/>
          <w:iCs w:val="0"/>
          <w:noProof w:val="0"/>
          <w:color w:val="000000" w:themeColor="text1"/>
          <w:sz w:val="16"/>
          <w:szCs w:val="16"/>
          <w:lang w:val="ru-RU"/>
        </w:rPr>
      </w:pPr>
      <w:r w:rsidRPr="00DB5D0D">
        <w:rPr>
          <w:b w:val="0"/>
          <w:bCs w:val="0"/>
          <w:i w:val="0"/>
          <w:iCs w:val="0"/>
          <w:color w:val="000000" w:themeColor="text1"/>
          <w:sz w:val="16"/>
          <w:szCs w:val="16"/>
          <w:lang w:val="ru-RU"/>
        </w:rPr>
        <w:t>а) 6 шт. трещин и повреждений не имеют.</w:t>
      </w:r>
    </w:p>
    <w:p w14:paraId="126EB991"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б)29 шт. - имеют трещины на беговой дорожке у подножия гребня, со стороны соприкосновения гребня с роликом гусеничного колеса (со стороны почвозацепа), размером от 10 мм до 40 мм.</w:t>
      </w:r>
    </w:p>
    <w:p w14:paraId="3CD1A553" w14:textId="77777777" w:rsidR="00A25AD1" w:rsidRPr="00DB5D0D" w:rsidRDefault="00A25AD1" w:rsidP="00DB5D0D">
      <w:pPr>
        <w:pStyle w:val="201"/>
        <w:shd w:val="clear" w:color="auto" w:fill="auto"/>
        <w:tabs>
          <w:tab w:val="left" w:pos="48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в)2 шт. - имеют сквозные трещины до середины.</w:t>
      </w:r>
    </w:p>
    <w:p w14:paraId="51C03D17"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Трещины у подножия гребня во всех просмотренных траках име</w:t>
      </w:r>
      <w:r w:rsidRPr="00DB5D0D">
        <w:rPr>
          <w:b w:val="0"/>
          <w:bCs w:val="0"/>
          <w:i w:val="0"/>
          <w:iCs w:val="0"/>
          <w:color w:val="000000" w:themeColor="text1"/>
          <w:sz w:val="16"/>
          <w:szCs w:val="16"/>
          <w:lang w:val="ru-RU"/>
        </w:rPr>
        <w:softHyphen/>
        <w:t>ют один и тот же характер - это значит, что гребневой трак имеет слабое место у подножия гребня, которое необходимо усилить (кон</w:t>
      </w:r>
      <w:r w:rsidRPr="00DB5D0D">
        <w:rPr>
          <w:b w:val="0"/>
          <w:bCs w:val="0"/>
          <w:i w:val="0"/>
          <w:iCs w:val="0"/>
          <w:color w:val="000000" w:themeColor="text1"/>
          <w:sz w:val="16"/>
          <w:szCs w:val="16"/>
          <w:lang w:val="ru-RU"/>
        </w:rPr>
        <w:softHyphen/>
        <w:t>структивный дефект), см. эскиз.</w:t>
      </w:r>
    </w:p>
    <w:p w14:paraId="56F47053"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Для сравнения были подвергнуты наружному осмотру штампо</w:t>
      </w:r>
      <w:r w:rsidRPr="00DB5D0D">
        <w:rPr>
          <w:b w:val="0"/>
          <w:bCs w:val="0"/>
          <w:i w:val="0"/>
          <w:iCs w:val="0"/>
          <w:color w:val="000000" w:themeColor="text1"/>
          <w:sz w:val="16"/>
          <w:szCs w:val="16"/>
          <w:lang w:val="ru-RU"/>
        </w:rPr>
        <w:softHyphen/>
        <w:t>ванные траки гусеничных лент, прошедшие 3131 км, при этом была обнаружена только одна трещина размером 15-20 мм на 1-м траке у гребня из просмотренных 40 шт. траков.</w:t>
      </w:r>
    </w:p>
    <w:p w14:paraId="7A85F93D"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5. Проведен замер пальцев и проушин литых траков, результаты замеров следующие:</w:t>
      </w:r>
    </w:p>
    <w:tbl>
      <w:tblPr>
        <w:tblW w:w="0" w:type="auto"/>
        <w:tblInd w:w="8" w:type="dxa"/>
        <w:tblLayout w:type="fixed"/>
        <w:tblCellMar>
          <w:left w:w="0" w:type="dxa"/>
          <w:right w:w="0" w:type="dxa"/>
        </w:tblCellMar>
        <w:tblLook w:val="0000" w:firstRow="0" w:lastRow="0" w:firstColumn="0" w:lastColumn="0" w:noHBand="0" w:noVBand="0"/>
      </w:tblPr>
      <w:tblGrid>
        <w:gridCol w:w="442"/>
        <w:gridCol w:w="1757"/>
        <w:gridCol w:w="715"/>
        <w:gridCol w:w="710"/>
        <w:gridCol w:w="715"/>
        <w:gridCol w:w="725"/>
      </w:tblGrid>
      <w:tr w:rsidR="007D5DF8" w:rsidRPr="00DB5D0D" w14:paraId="79FF9E6D" w14:textId="77777777" w:rsidTr="009223E5">
        <w:trPr>
          <w:trHeight w:val="576"/>
        </w:trPr>
        <w:tc>
          <w:tcPr>
            <w:tcW w:w="442" w:type="dxa"/>
            <w:tcBorders>
              <w:top w:val="single" w:sz="6" w:space="0" w:color="auto"/>
              <w:left w:val="single" w:sz="6" w:space="0" w:color="auto"/>
              <w:bottom w:val="single" w:sz="6" w:space="0" w:color="auto"/>
              <w:right w:val="single" w:sz="6" w:space="0" w:color="auto"/>
            </w:tcBorders>
            <w:shd w:val="clear" w:color="auto" w:fill="FFFFFF"/>
          </w:tcPr>
          <w:p w14:paraId="00B7983E" w14:textId="77777777" w:rsidR="00A25AD1" w:rsidRPr="00DB5D0D" w:rsidRDefault="00A25AD1" w:rsidP="00DB5D0D">
            <w:pPr>
              <w:pStyle w:val="261"/>
              <w:shd w:val="clear" w:color="auto" w:fill="auto"/>
              <w:spacing w:line="240" w:lineRule="auto"/>
              <w:jc w:val="both"/>
              <w:rPr>
                <w:rFonts w:ascii="Times New Roman" w:hAnsi="Times New Roman" w:cs="Times New Roman"/>
                <w:b w:val="0"/>
                <w:bCs w:val="0"/>
                <w:color w:val="000000" w:themeColor="text1"/>
                <w:sz w:val="16"/>
                <w:szCs w:val="16"/>
              </w:rPr>
            </w:pPr>
            <w:r w:rsidRPr="00DB5D0D">
              <w:rPr>
                <w:rFonts w:ascii="Times New Roman" w:hAnsi="Times New Roman" w:cs="Times New Roman"/>
                <w:b w:val="0"/>
                <w:bCs w:val="0"/>
                <w:color w:val="000000" w:themeColor="text1"/>
                <w:sz w:val="16"/>
                <w:szCs w:val="16"/>
              </w:rPr>
              <w:t>№№</w:t>
            </w:r>
          </w:p>
          <w:p w14:paraId="1E58386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п.п.</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14:paraId="39786B89"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Наименование</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5BC23AE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Пройден км</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45598C4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Средний износ в мм</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17673EA9"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Макс, износ в мм</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6EDB9C14"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Примеч.</w:t>
            </w:r>
          </w:p>
        </w:tc>
      </w:tr>
      <w:tr w:rsidR="007D5DF8" w:rsidRPr="00DB5D0D" w14:paraId="74AC806E" w14:textId="77777777" w:rsidTr="009223E5">
        <w:trPr>
          <w:trHeight w:val="379"/>
        </w:trPr>
        <w:tc>
          <w:tcPr>
            <w:tcW w:w="442" w:type="dxa"/>
            <w:tcBorders>
              <w:top w:val="single" w:sz="6" w:space="0" w:color="auto"/>
              <w:left w:val="single" w:sz="6" w:space="0" w:color="auto"/>
              <w:bottom w:val="single" w:sz="6" w:space="0" w:color="auto"/>
              <w:right w:val="single" w:sz="6" w:space="0" w:color="auto"/>
            </w:tcBorders>
            <w:shd w:val="clear" w:color="auto" w:fill="FFFFFF"/>
          </w:tcPr>
          <w:p w14:paraId="5E6DC2D7"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14:paraId="33D8AD1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Пальцы литой гусеничной ленты</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1A741B6D"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417</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734CEB8D"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0,25</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68F580F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0,48</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2D60C68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1D067CE" w14:textId="77777777" w:rsidTr="009223E5">
        <w:trPr>
          <w:trHeight w:val="379"/>
        </w:trPr>
        <w:tc>
          <w:tcPr>
            <w:tcW w:w="442" w:type="dxa"/>
            <w:tcBorders>
              <w:top w:val="single" w:sz="6" w:space="0" w:color="auto"/>
              <w:left w:val="single" w:sz="6" w:space="0" w:color="auto"/>
              <w:bottom w:val="single" w:sz="6" w:space="0" w:color="auto"/>
              <w:right w:val="single" w:sz="6" w:space="0" w:color="auto"/>
            </w:tcBorders>
            <w:shd w:val="clear" w:color="auto" w:fill="FFFFFF"/>
          </w:tcPr>
          <w:p w14:paraId="18C7EAEF"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14:paraId="488C86C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Проушины литой гусеничной ленты</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521A48DE"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417</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556A53AD"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0.34</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6B18E451"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0,62</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34FBFAC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058907B" w14:textId="77777777" w:rsidTr="009223E5">
        <w:trPr>
          <w:trHeight w:val="374"/>
        </w:trPr>
        <w:tc>
          <w:tcPr>
            <w:tcW w:w="442" w:type="dxa"/>
            <w:tcBorders>
              <w:top w:val="single" w:sz="6" w:space="0" w:color="auto"/>
              <w:left w:val="single" w:sz="6" w:space="0" w:color="auto"/>
              <w:bottom w:val="single" w:sz="6" w:space="0" w:color="auto"/>
              <w:right w:val="single" w:sz="6" w:space="0" w:color="auto"/>
            </w:tcBorders>
            <w:shd w:val="clear" w:color="auto" w:fill="FFFFFF"/>
          </w:tcPr>
          <w:p w14:paraId="732B168F"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14:paraId="570D6C27"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Пальцы штампованной гусеничной ленты</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38FAE5EA"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3131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0C53225E"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1,2</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6C5A3A4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1.34</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5C799BB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873F160" w14:textId="77777777" w:rsidTr="009223E5">
        <w:trPr>
          <w:trHeight w:val="581"/>
        </w:trPr>
        <w:tc>
          <w:tcPr>
            <w:tcW w:w="442" w:type="dxa"/>
            <w:tcBorders>
              <w:top w:val="single" w:sz="6" w:space="0" w:color="auto"/>
              <w:left w:val="single" w:sz="6" w:space="0" w:color="auto"/>
              <w:bottom w:val="single" w:sz="6" w:space="0" w:color="auto"/>
              <w:right w:val="single" w:sz="6" w:space="0" w:color="auto"/>
            </w:tcBorders>
            <w:shd w:val="clear" w:color="auto" w:fill="FFFFFF"/>
          </w:tcPr>
          <w:p w14:paraId="20AB8AF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14:paraId="6FFED5C2"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Проушины штампованной гусеничной ленты</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1E5B5DE1"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3131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322D318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1,22</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0AD1785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1,34</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210142F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22FFC752"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Данная таблица средних износов пальцев и проушин характери</w:t>
      </w:r>
      <w:r w:rsidRPr="00DB5D0D">
        <w:rPr>
          <w:b w:val="0"/>
          <w:bCs w:val="0"/>
          <w:i w:val="0"/>
          <w:iCs w:val="0"/>
          <w:color w:val="000000" w:themeColor="text1"/>
          <w:sz w:val="16"/>
          <w:szCs w:val="16"/>
          <w:lang w:val="ru-RU"/>
        </w:rPr>
        <w:softHyphen/>
        <w:t>зует то, что пальцы литых гусеничных лент срабатываются меньше, чем проушины траков, а пальцы штампованных гусеничных лент сра</w:t>
      </w:r>
      <w:r w:rsidRPr="00DB5D0D">
        <w:rPr>
          <w:b w:val="0"/>
          <w:bCs w:val="0"/>
          <w:i w:val="0"/>
          <w:iCs w:val="0"/>
          <w:color w:val="000000" w:themeColor="text1"/>
          <w:sz w:val="16"/>
          <w:szCs w:val="16"/>
          <w:lang w:val="ru-RU"/>
        </w:rPr>
        <w:softHyphen/>
        <w:t>батываются также как и проушины траков. Большой износ проушин литых траков из ст. Гатфильда против пальцев является недостат</w:t>
      </w:r>
      <w:r w:rsidRPr="00DB5D0D">
        <w:rPr>
          <w:b w:val="0"/>
          <w:bCs w:val="0"/>
          <w:i w:val="0"/>
          <w:iCs w:val="0"/>
          <w:color w:val="000000" w:themeColor="text1"/>
          <w:sz w:val="16"/>
          <w:szCs w:val="16"/>
          <w:lang w:val="ru-RU"/>
        </w:rPr>
        <w:softHyphen/>
        <w:t>ком гусеничных лент, т.к. при восстановлении гусеничных лент же</w:t>
      </w:r>
      <w:r w:rsidRPr="00DB5D0D">
        <w:rPr>
          <w:b w:val="0"/>
          <w:bCs w:val="0"/>
          <w:i w:val="0"/>
          <w:iCs w:val="0"/>
          <w:color w:val="000000" w:themeColor="text1"/>
          <w:sz w:val="16"/>
          <w:szCs w:val="16"/>
          <w:lang w:val="ru-RU"/>
        </w:rPr>
        <w:softHyphen/>
        <w:t>лательно заменять пальцы, а не траки.</w:t>
      </w:r>
    </w:p>
    <w:p w14:paraId="498E474A"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rStyle w:val="203"/>
          <w:rFonts w:ascii="Times New Roman" w:cs="Times New Roman"/>
          <w:bCs/>
          <w:iCs/>
          <w:color w:val="000000" w:themeColor="text1"/>
          <w:sz w:val="16"/>
          <w:szCs w:val="16"/>
          <w:lang w:val="ru-RU"/>
        </w:rPr>
        <w:t>ПРИМЕЧАНИЕ</w:t>
      </w:r>
      <w:r w:rsidRPr="00DB5D0D">
        <w:rPr>
          <w:b w:val="0"/>
          <w:bCs w:val="0"/>
          <w:i w:val="0"/>
          <w:iCs w:val="0"/>
          <w:color w:val="000000" w:themeColor="text1"/>
          <w:sz w:val="16"/>
          <w:szCs w:val="16"/>
          <w:lang w:val="ru-RU"/>
        </w:rPr>
        <w:t>: Данные по износу пальцев и проушин как литой гусеничной ленты из ст. Гэтфильда, так и штампованной из ст. Хро</w:t>
      </w:r>
      <w:r w:rsidRPr="00DB5D0D">
        <w:rPr>
          <w:b w:val="0"/>
          <w:bCs w:val="0"/>
          <w:i w:val="0"/>
          <w:iCs w:val="0"/>
          <w:color w:val="000000" w:themeColor="text1"/>
          <w:sz w:val="16"/>
          <w:szCs w:val="16"/>
          <w:lang w:val="ru-RU"/>
        </w:rPr>
        <w:softHyphen/>
        <w:t>мансиль, нельзя рассматривать как окончательные, т.к. штампован</w:t>
      </w:r>
      <w:r w:rsidRPr="00DB5D0D">
        <w:rPr>
          <w:b w:val="0"/>
          <w:bCs w:val="0"/>
          <w:i w:val="0"/>
          <w:iCs w:val="0"/>
          <w:color w:val="000000" w:themeColor="text1"/>
          <w:sz w:val="16"/>
          <w:szCs w:val="16"/>
          <w:lang w:val="ru-RU"/>
        </w:rPr>
        <w:softHyphen/>
        <w:t>ные траки испытывались в зимних условиях, а литые в летних.</w:t>
      </w:r>
    </w:p>
    <w:p w14:paraId="7251CC0E"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Выводы</w:t>
      </w:r>
    </w:p>
    <w:p w14:paraId="470E1DB0"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Проведенные испытания показали, что машина, оборудованная гусеничными лентами из литых траков стали Гэтфильда за все вре</w:t>
      </w:r>
      <w:r w:rsidRPr="00DB5D0D">
        <w:rPr>
          <w:b w:val="0"/>
          <w:bCs w:val="0"/>
          <w:i w:val="0"/>
          <w:iCs w:val="0"/>
          <w:color w:val="000000" w:themeColor="text1"/>
          <w:sz w:val="16"/>
          <w:szCs w:val="16"/>
          <w:lang w:val="ru-RU"/>
        </w:rPr>
        <w:softHyphen/>
        <w:t>мя испытания (417км) остановок и аварий по вине гусеничных лент не имела. Работа литой гусеницы на машине проходила нормально, без заклиниваний, соскакиваний и прочих дефектов, и в основном, была аналогична работе штампованной гусеницы.</w:t>
      </w:r>
    </w:p>
    <w:p w14:paraId="0395B24C"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Результаты сборки и испытаний литой гусеницы выявили необ</w:t>
      </w:r>
      <w:r w:rsidRPr="00DB5D0D">
        <w:rPr>
          <w:b w:val="0"/>
          <w:bCs w:val="0"/>
          <w:i w:val="0"/>
          <w:iCs w:val="0"/>
          <w:color w:val="000000" w:themeColor="text1"/>
          <w:sz w:val="16"/>
          <w:szCs w:val="16"/>
          <w:lang w:val="ru-RU"/>
        </w:rPr>
        <w:softHyphen/>
        <w:t>ходимость проведения следующих мероприятий:</w:t>
      </w:r>
    </w:p>
    <w:p w14:paraId="20E5BA6B" w14:textId="77777777" w:rsidR="00A25AD1" w:rsidRPr="00DB5D0D" w:rsidRDefault="00A25AD1" w:rsidP="00DB5D0D">
      <w:pPr>
        <w:pStyle w:val="201"/>
        <w:shd w:val="clear" w:color="auto" w:fill="auto"/>
        <w:tabs>
          <w:tab w:val="left" w:pos="476"/>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1Устранение литейных пороков траков (трещины и крупные раковины).</w:t>
      </w:r>
    </w:p>
    <w:p w14:paraId="282D662D" w14:textId="77777777" w:rsidR="00A25AD1" w:rsidRPr="00DB5D0D" w:rsidRDefault="00A25AD1" w:rsidP="00DB5D0D">
      <w:pPr>
        <w:pStyle w:val="201"/>
        <w:shd w:val="clear" w:color="auto" w:fill="auto"/>
        <w:tabs>
          <w:tab w:val="left" w:pos="44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2Получение более чистых отливок, обеспечивающих нормаль</w:t>
      </w:r>
      <w:r w:rsidRPr="00DB5D0D">
        <w:rPr>
          <w:b w:val="0"/>
          <w:bCs w:val="0"/>
          <w:i w:val="0"/>
          <w:iCs w:val="0"/>
          <w:color w:val="000000" w:themeColor="text1"/>
          <w:sz w:val="16"/>
          <w:szCs w:val="16"/>
          <w:lang w:val="ru-RU"/>
        </w:rPr>
        <w:softHyphen/>
        <w:t>ное сопряжение траков в проушинах и свободное их относительное проворачивание на пальцах, без индивидуальной подгонки траков, которая имела место при сборке испытываемой гусеницы.</w:t>
      </w:r>
    </w:p>
    <w:p w14:paraId="70B594E0" w14:textId="77777777" w:rsidR="00A25AD1" w:rsidRPr="00DB5D0D" w:rsidRDefault="00A25AD1" w:rsidP="00DB5D0D">
      <w:pPr>
        <w:pStyle w:val="201"/>
        <w:shd w:val="clear" w:color="auto" w:fill="auto"/>
        <w:tabs>
          <w:tab w:val="left" w:pos="43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3Обеспечение чистоты отверстий проушин траков для лучшей приработки пальцев.</w:t>
      </w:r>
    </w:p>
    <w:p w14:paraId="011D4EFD" w14:textId="77777777" w:rsidR="00A25AD1" w:rsidRPr="00DB5D0D" w:rsidRDefault="00A25AD1" w:rsidP="00DB5D0D">
      <w:pPr>
        <w:pStyle w:val="201"/>
        <w:shd w:val="clear" w:color="auto" w:fill="auto"/>
        <w:tabs>
          <w:tab w:val="left" w:pos="47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4Проведение усиления гребневого трака у подножия гребня для исключения появления трещин в указанных местах.</w:t>
      </w:r>
    </w:p>
    <w:p w14:paraId="5C6BEBE4"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Считаем, что проведенные испытания подтвердили полную воз</w:t>
      </w:r>
      <w:r w:rsidRPr="00DB5D0D">
        <w:rPr>
          <w:b w:val="0"/>
          <w:bCs w:val="0"/>
          <w:i w:val="0"/>
          <w:iCs w:val="0"/>
          <w:color w:val="000000" w:themeColor="text1"/>
          <w:sz w:val="16"/>
          <w:szCs w:val="16"/>
          <w:lang w:val="ru-RU"/>
        </w:rPr>
        <w:softHyphen/>
        <w:t>можность применения на маш. «А-34» литой гусеницы из ст. Гат</w:t>
      </w:r>
      <w:r w:rsidRPr="00DB5D0D">
        <w:rPr>
          <w:b w:val="0"/>
          <w:bCs w:val="0"/>
          <w:i w:val="0"/>
          <w:iCs w:val="0"/>
          <w:color w:val="000000" w:themeColor="text1"/>
          <w:sz w:val="16"/>
          <w:szCs w:val="16"/>
          <w:lang w:val="ru-RU"/>
        </w:rPr>
        <w:softHyphen/>
        <w:t>фильда взамен штампованной и с приведением вышеперечислен</w:t>
      </w:r>
      <w:r w:rsidRPr="00DB5D0D">
        <w:rPr>
          <w:b w:val="0"/>
          <w:bCs w:val="0"/>
          <w:i w:val="0"/>
          <w:iCs w:val="0"/>
          <w:color w:val="000000" w:themeColor="text1"/>
          <w:sz w:val="16"/>
          <w:szCs w:val="16"/>
          <w:lang w:val="ru-RU"/>
        </w:rPr>
        <w:softHyphen/>
        <w:t>ных мероприятий литая гусеница будет пригодна для эксплоатации на машине «А-34». Литая гусеница, как не требующая механической обработки и дорогостоящего штамповочного оборудования, являет</w:t>
      </w:r>
      <w:r w:rsidRPr="00DB5D0D">
        <w:rPr>
          <w:b w:val="0"/>
          <w:bCs w:val="0"/>
          <w:i w:val="0"/>
          <w:iCs w:val="0"/>
          <w:color w:val="000000" w:themeColor="text1"/>
          <w:sz w:val="16"/>
          <w:szCs w:val="16"/>
          <w:lang w:val="ru-RU"/>
        </w:rPr>
        <w:softHyphen/>
        <w:t>ся нетрудоемкой в изготовлении и экономически выгодной.</w:t>
      </w:r>
    </w:p>
    <w:p w14:paraId="33457B92"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Что же касается срока службы литой гусеницы, то для дачи окончательного заключения необходимо гусеницу, изготовленную с учетом всех указанных мероприятий, подвергнуть испытаниям на гарантийный километраж в летних условиях. Одновременно считаем необходимым, про</w:t>
      </w:r>
      <w:r w:rsidRPr="00DB5D0D">
        <w:rPr>
          <w:b w:val="0"/>
          <w:bCs w:val="0"/>
          <w:i w:val="0"/>
          <w:iCs w:val="0"/>
          <w:color w:val="000000" w:themeColor="text1"/>
          <w:sz w:val="16"/>
          <w:szCs w:val="16"/>
          <w:lang w:val="ru-RU"/>
        </w:rPr>
        <w:softHyphen/>
        <w:t>должать испытания первой гусеницы, прошедшей 417 км, до ее окончательного износа, согласно имеющий</w:t>
      </w:r>
      <w:r w:rsidRPr="00DB5D0D">
        <w:rPr>
          <w:b w:val="0"/>
          <w:bCs w:val="0"/>
          <w:i w:val="0"/>
          <w:iCs w:val="0"/>
          <w:color w:val="000000" w:themeColor="text1"/>
          <w:sz w:val="16"/>
          <w:szCs w:val="16"/>
          <w:lang w:val="ru-RU"/>
        </w:rPr>
        <w:softHyphen/>
        <w:t>ся программы, для опреде</w:t>
      </w:r>
      <w:r w:rsidRPr="00DB5D0D">
        <w:rPr>
          <w:b w:val="0"/>
          <w:bCs w:val="0"/>
          <w:i w:val="0"/>
          <w:iCs w:val="0"/>
          <w:color w:val="000000" w:themeColor="text1"/>
          <w:sz w:val="16"/>
          <w:szCs w:val="16"/>
          <w:lang w:val="ru-RU"/>
        </w:rPr>
        <w:softHyphen/>
        <w:t>ления влияния выявленных дефектов на работоспособ</w:t>
      </w:r>
      <w:r w:rsidRPr="00DB5D0D">
        <w:rPr>
          <w:b w:val="0"/>
          <w:bCs w:val="0"/>
          <w:i w:val="0"/>
          <w:iCs w:val="0"/>
          <w:color w:val="000000" w:themeColor="text1"/>
          <w:sz w:val="16"/>
          <w:szCs w:val="16"/>
          <w:lang w:val="ru-RU"/>
        </w:rPr>
        <w:softHyphen/>
        <w:t>ность гусеницы.</w:t>
      </w:r>
      <w:r w:rsidRPr="00DB5D0D">
        <w:rPr>
          <w:rStyle w:val="20120pt56"/>
          <w:rFonts w:ascii="Times New Roman" w:hAnsi="Times New Roman" w:cs="Times New Roman"/>
          <w:bCs/>
          <w:iCs/>
          <w:color w:val="000000" w:themeColor="text1"/>
          <w:spacing w:val="0"/>
          <w:lang w:val="ru-RU"/>
        </w:rPr>
        <w:t xml:space="preserve"> [</w:t>
      </w:r>
      <w:r w:rsidRPr="00DB5D0D">
        <w:rPr>
          <w:b w:val="0"/>
          <w:bCs w:val="0"/>
          <w:i w:val="0"/>
          <w:iCs w:val="0"/>
          <w:color w:val="000000" w:themeColor="text1"/>
          <w:sz w:val="16"/>
          <w:szCs w:val="16"/>
          <w:lang w:val="ru-RU"/>
        </w:rPr>
        <w:t>РГВА. Ф.31811. Оп.2. Д. 1181. Л. 119-126.</w:t>
      </w:r>
      <w:r w:rsidRPr="00DB5D0D">
        <w:rPr>
          <w:rStyle w:val="20120pt56"/>
          <w:rFonts w:ascii="Times New Roman" w:hAnsi="Times New Roman" w:cs="Times New Roman"/>
          <w:bCs/>
          <w:iCs/>
          <w:color w:val="000000" w:themeColor="text1"/>
          <w:spacing w:val="0"/>
          <w:lang w:val="ru-RU"/>
        </w:rPr>
        <w:t>]</w:t>
      </w:r>
      <w:r w:rsidRPr="00DB5D0D">
        <w:rPr>
          <w:rStyle w:val="20120pt56"/>
          <w:rFonts w:ascii="Times New Roman" w:hAnsi="Times New Roman" w:cs="Times New Roman"/>
          <w:bCs/>
          <w:iCs/>
          <w:noProof w:val="0"/>
          <w:color w:val="000000" w:themeColor="text1"/>
          <w:spacing w:val="0"/>
          <w:lang w:val="ru-RU"/>
        </w:rPr>
        <w:t xml:space="preserve"> (11904).</w:t>
      </w:r>
    </w:p>
    <w:p w14:paraId="0BA26B01" w14:textId="77777777" w:rsidR="00A25AD1" w:rsidRPr="00DB5D0D" w:rsidRDefault="00A25AD1" w:rsidP="00DB5D0D">
      <w:pPr>
        <w:pStyle w:val="a3"/>
        <w:rPr>
          <w:color w:val="000000" w:themeColor="text1"/>
          <w:lang w:val="ru-RU"/>
        </w:rPr>
      </w:pPr>
    </w:p>
    <w:p w14:paraId="70EFCC78"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период с 12 по 15 мая 1940 г. на танке А-34 № 311-18-3 были произведены предварительные испытания механического сервопривода. За время испытаний танком было пройдено 278 км по песчаным и грунтовым дорогам. При этом усилия, прилагаемые механиком-водителем к рычагам управления бортовыми фрикционами, замеренные с помощью динамометра, при разворотах танка на 360° не превышали 24 кгс на сухом грунте и 30 кгс на неглубоком песке. Во время движения танка на 3-й и 4-й передачах усилия, прилагаемые к рычагам управления бортовыми фрикционами при поворотах, не превышали 15 кгс. По итогам испытаний механическая система сервоприводов управления конструкции П.П. Васильева получила положительную оценку и была рекомендована для установки в танк Т-34. </w:t>
      </w:r>
    </w:p>
    <w:p w14:paraId="3A83FFE5"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После завершения войсковых испытаний оба танка А-34 не были «отправлены на покой», а широко использовались в опытно-экспериментальном отделе «500» для отработки ряда тем опытно-конструкторских работ (ОКР), проводимых заводом № 183. </w:t>
      </w:r>
    </w:p>
    <w:p w14:paraId="74FCC809"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Первой из ОКР, проведенной с участием танка А-34, была проверка надежности работы механической (вместо пневматического) системы сервоприводов управления бортовыми фрикционами и тормозами. Опытные работы по замене пневматического сервопривода на механический проводились заводом № 183 по требованию АБТУ РККА на основании результатов войсковых испытаний танков А-34. </w:t>
      </w:r>
    </w:p>
    <w:p w14:paraId="2092E4ED"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Механическая система сервоприводов управления была разработана конструктором КБ-520 П.П. Васильевым и установлена на танке А-34 № 311-18-3. Учитывая срочность работ, монтаж механического сервопривода на эту машину был произведен в опытном цехе «540» отдела «500» без надлежащего оформления чертежей, под непосредственным руководством П.П. Васильева. В отличие от пневматической системы сервоприводов, в механической системе уменьшение усилий, прилагаемых механиком-водителем к рычагам управления бортовыми фрикционами во время движения танка, было достигнуто за счет взаимодействия системы рычагов и вспомогательных пружин. Сервопривод действовал при выключении бортовых фрикционов и при затяжке тормозных лент рычагами. Кроме того, за счет </w:t>
      </w:r>
    </w:p>
    <w:p w14:paraId="3E65220D"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изменения установки возвратных пружин в приводе, было снижено усилие, прилагаемое к педали горного тормоза при торможении. </w:t>
      </w:r>
    </w:p>
    <w:p w14:paraId="48D83147"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После завершения предварительных испытаний, 21 мая 1940 г., заместитель директора завода № 183 С.Н. Махонин сообщил в АБТУ РККА и Главспецмаш НКСМ о том, что заводом принято решение о вводе механической системы сервоприводов управления в серийное производство. Испытания механической системы сервоприводов управления на гарантийный километраж были продолжены сотрудниками отдела «500» в июне 1940 г., в том числе и на второй опытной машине – танке А-34 № 311-11-3. </w:t>
      </w:r>
    </w:p>
    <w:p w14:paraId="28E7417E"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Отметим, что фактически установка механической системы сервоприводов управления конструкции П.П. Васильева на серийные танки Т-34 началась в конце лета 1940 г., а машины установочной серии были оснащены пневматическими сервоприводами. </w:t>
      </w:r>
    </w:p>
    <w:p w14:paraId="4AC84A4D"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тот же день, 21 мая 1940 г., когда С.Н. Махонин сообщил в Москву о результатах испытания механической системы сервоприводов управления, в Харькове на заводе № 183 был составлен отчет ещё по одной исследовательской работе, также проведенной на танке А-34 № 311-18-3. Параллельно с испытанием механической системы сервоприводов управления, на этой машине были проведены испытания опытных литых траков, изготовленных на Сталинградском тракторном заводе (СТЗ). Эти испытания проводилась опытным цехом «540» на основании распоряжения директора завода № 183 Ю.Е. Максарева от 6 марта 1940 г. и письма директора СТЗ Ф.Д. Благова. </w:t>
      </w:r>
    </w:p>
    <w:p w14:paraId="00D7496A"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Испытания проводились в целях определения пригодности опытных литых траков из стали Гадфильда для эксплуатации на танке Т-34. Необходимо отметить, что опытные литые траки отличались от штампованных траков, установленных на танках А-34, только способом изготовления и маркой стали. Штампованные траки были изготовлены из стали марки хромансиль, а опытные – из стали Гадфильда. Эта сталь, названная по фамилии английского металлурга, предложившего её, обладала высоким сопротивлением износу при больших давлениях и ударных нагрузках. Необходимость замены штампованных траков литыми траками была вызвана </w:t>
      </w:r>
      <w:r w:rsidRPr="00DB5D0D">
        <w:rPr>
          <w:rFonts w:ascii="Times New Roman" w:hAnsi="Times New Roman"/>
          <w:color w:val="000000" w:themeColor="text1"/>
          <w:sz w:val="16"/>
          <w:szCs w:val="16"/>
        </w:rPr>
        <w:lastRenderedPageBreak/>
        <w:t xml:space="preserve">тем, что способ изготовления траков методом литья был более технологичным по сравнению с горячей штамповкой и наиболее приемлемым для массового производства. </w:t>
      </w:r>
    </w:p>
    <w:p w14:paraId="5E280806"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Перед началом испытаний специалистами цеха «540» был произведен тщательный осмотр полученной с СТЗ партии литых опытных траков, по результатам которого для сборки двух гусениц было отобрано 148 наиболее качественных траков (74 с гребнем и 74 без гребня). В итоге комплект опытных гусениц был установлен на танк А-34 № 311-18-3, который в период с 12 по 17 мая 1940 г. прошел на них 417 км, в том числе: по грунтовой дороге – 195 км, по песчаной дороге – 80 км и по булыжному шоссе – 142 км. При этом средняя скорость движения по грунтовой дороге составила 22,9 км/ч., а при движении танка по булыжному шоссе на четвертой передаче – 36 – 37 км/ч. Дефектов в работе гусениц во время пробеговых испытаний обнаружено не было, за исключением потери шплинтов на 50 % пальцев. В отчете по испытанию литых траков производства СТЗ, получившем порядковый номер 014 было отмечено: </w:t>
      </w:r>
    </w:p>
    <w:p w14:paraId="40C8C7F1" w14:textId="77777777" w:rsidR="000A2006" w:rsidRPr="00DB5D0D" w:rsidRDefault="000A200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«Проведенные испытания показали, что машина, оборудованная гусеничными лентами из литых траков стали Гатфильда за все время испытания (417 км) остановок и аварий по вине гусеничных лент не имела. Работа литой гусеницы на машине проходила нормально, без заклиниваний, соскакиваний и прочих дефектов, и в основном, была аналогична работе штампованной гусеницы. </w:t>
      </w:r>
    </w:p>
    <w:p w14:paraId="71AB2DDB" w14:textId="77777777" w:rsidR="000A2006" w:rsidRPr="00DB5D0D" w:rsidRDefault="000A200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Результаты сборки и испытаний литой гусеницы выявили необходимость проведения следующих мероприятий: </w:t>
      </w:r>
    </w:p>
    <w:p w14:paraId="4F0B2B6F" w14:textId="77777777" w:rsidR="000A2006" w:rsidRPr="00DB5D0D" w:rsidRDefault="000A200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 Устранение литейных пороков траков (трещины и крупные раковины). </w:t>
      </w:r>
    </w:p>
    <w:p w14:paraId="7A8E2B58" w14:textId="77777777" w:rsidR="000A2006" w:rsidRPr="00DB5D0D" w:rsidRDefault="000A200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 Получение более чистых отливок, обеспечивающих нормальное сопряжение траков в проушинах и свободное их относительное проворачивание на пальцах, без индивидуальной подгонки траков, которая имела место при сборке испытываемой гусеницы. </w:t>
      </w:r>
    </w:p>
    <w:p w14:paraId="3B21CFFF" w14:textId="77777777" w:rsidR="000A2006" w:rsidRPr="00DB5D0D" w:rsidRDefault="000A200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 Обеспечение чистоты отверстий проушин траков для лучшей приработки пальцев. </w:t>
      </w:r>
    </w:p>
    <w:p w14:paraId="1B353B63" w14:textId="77777777" w:rsidR="000A2006" w:rsidRPr="00DB5D0D" w:rsidRDefault="000A200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 Проведение усиления гребневого трака у подножия гребня для исключения появления трещин в указанных местах. </w:t>
      </w:r>
    </w:p>
    <w:p w14:paraId="6433FEF5" w14:textId="77777777" w:rsidR="000A2006" w:rsidRPr="00DB5D0D" w:rsidRDefault="000A200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Считаем, что проведенные испытания подтвердили полную возможность применения на маш. "А-34" литой гусеницы из ст. Гатфильда взамен штампованной и с приведением вышеперечисленных мероприятий литая гусеница будет пригодна для эксплуатации на машине "А-34". </w:t>
      </w:r>
    </w:p>
    <w:p w14:paraId="39C8ED79" w14:textId="77777777" w:rsidR="000A2006" w:rsidRPr="00DB5D0D" w:rsidRDefault="000A200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Литая гусеница, как не требующая механической обработки и дорогостоящего штамповочного оборудования, является нетрудоемкой в изготовлении и экономически выгодной. </w:t>
      </w:r>
    </w:p>
    <w:p w14:paraId="6C4B0715"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Что же касается срока службы литой гусеницы, то для дачи окончательного заключения необходимо гусеницу, изготовленную с учетом всех указанных мероприятий, подвергнуть испытаниям на гарантийный километраж в летних условиях. Одновременно считаем необходимым, продолжать испытания первой гусеницы, прошедшей 417 км, до ее окончательного износа, согласно имеющийся программы, для определения влияния выявленных дефектов на работоспособность гусеницы».</w:t>
      </w:r>
      <w:r w:rsidRPr="00DB5D0D">
        <w:rPr>
          <w:rFonts w:ascii="Times New Roman" w:hAnsi="Times New Roman"/>
          <w:color w:val="000000" w:themeColor="text1"/>
          <w:sz w:val="16"/>
          <w:szCs w:val="16"/>
        </w:rPr>
        <w:t xml:space="preserve"> </w:t>
      </w:r>
    </w:p>
    <w:p w14:paraId="155B9F73" w14:textId="77777777" w:rsidR="000A2006" w:rsidRPr="00DB5D0D" w:rsidRDefault="000A2006" w:rsidP="00DB5D0D">
      <w:pPr>
        <w:pStyle w:val="ae"/>
        <w:spacing w:before="0" w:after="0"/>
        <w:jc w:val="both"/>
        <w:rPr>
          <w:color w:val="000000" w:themeColor="text1"/>
          <w:sz w:val="16"/>
          <w:szCs w:val="16"/>
        </w:rPr>
      </w:pPr>
      <w:r w:rsidRPr="00DB5D0D">
        <w:rPr>
          <w:bCs/>
          <w:color w:val="000000" w:themeColor="text1"/>
          <w:sz w:val="16"/>
          <w:szCs w:val="16"/>
        </w:rPr>
        <w:t>[РГВА. Ф. 31811. Оп. 2. Д. 1181 Л. 126]</w:t>
      </w:r>
    </w:p>
    <w:p w14:paraId="7700CB20"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Отчет № 014 был окончательно оформлен и подписан в самом конце мая 1940 г., и 3 июня с препроводительными письмами № СО2854 отправлен с завода № 183 в АБТУ РККА и Главспецмаш НКСМ для принятия решения о вводе литых траков в серийное производство. Изучив результаты испытаний литых траков, 29 июня 1940 г. начальник 8-го отдела АБТУ РККА военинженер 1 ранга С.А. Афонин направил начальнику Главспецмаша НКСМ СССР Г.С. Суреняну письмо № 74005с следующего содержания: </w:t>
      </w:r>
    </w:p>
    <w:p w14:paraId="747D8E59" w14:textId="77777777" w:rsidR="000A2006" w:rsidRPr="00DB5D0D" w:rsidRDefault="000A200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«Хотя предварительные испытания литой гусеницы дали ряд положительных результатов, но несмотря на это окончательного вывода о введении на серийное производство сделать нельзя, так как пройденный километраж за время испытаний (417 км) недостаточен. </w:t>
      </w:r>
    </w:p>
    <w:p w14:paraId="0FCAD2C3"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АБТУ КА считает необходимым испытываемый образец литой гусеницы подвергнуть испытанию до полного износа. Необходимо устранить указанные в отчете недоработки по тракам и изготовить 2 комплекта этой гусеницы, которые подвергнуть испытанию на гарантийный километраж на танках, предъявленных госкомиссии для испытания двигателя М-250».</w:t>
      </w:r>
      <w:r w:rsidRPr="00DB5D0D">
        <w:rPr>
          <w:rFonts w:ascii="Times New Roman" w:hAnsi="Times New Roman"/>
          <w:color w:val="000000" w:themeColor="text1"/>
          <w:sz w:val="16"/>
          <w:szCs w:val="16"/>
        </w:rPr>
        <w:t xml:space="preserve"> </w:t>
      </w:r>
    </w:p>
    <w:p w14:paraId="73044200" w14:textId="77777777" w:rsidR="000A2006" w:rsidRPr="00DB5D0D" w:rsidRDefault="000A2006" w:rsidP="00DB5D0D">
      <w:pPr>
        <w:pStyle w:val="ae"/>
        <w:spacing w:before="0" w:after="0"/>
        <w:jc w:val="both"/>
        <w:rPr>
          <w:color w:val="000000" w:themeColor="text1"/>
          <w:sz w:val="16"/>
          <w:szCs w:val="16"/>
        </w:rPr>
      </w:pPr>
      <w:r w:rsidRPr="00DB5D0D">
        <w:rPr>
          <w:bCs/>
          <w:color w:val="000000" w:themeColor="text1"/>
          <w:sz w:val="16"/>
          <w:szCs w:val="16"/>
        </w:rPr>
        <w:t>[РГВА. Ф.31811. Оп. 2. Д. 1181. Л 117]</w:t>
      </w:r>
    </w:p>
    <w:p w14:paraId="0564FEED" w14:textId="77777777" w:rsidR="000A2006" w:rsidRPr="00DB5D0D" w:rsidRDefault="000A20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Ход дальнейших событий показал, что во время испытаний литых траков, проведенных одновременно с государственными испытаниями дизеля М-250 в августе – сентябре 1940 г., все траки бездефектно проработали до 600 – 700 км, а часть из них выдержала испытание на дистанции вдвое большей. Однако, из-за недостаточного гарантийного срока службы, литые траки, так и небыли утверждены руководством АБТУ РККА на серийное производство. Но исходя из экономических и технологических факторов, а так же надежды на то, что СТЗ удастся в кратчайшие сроки улучшить качество литых траков и добиться требуемых показателей по гарантийному ресурсу (до 2000 км), в 1940 г. на серийные танки Т-34 устанавливались именно они, вместо утвержденных АБТУ РККА штампованных (17625). </w:t>
      </w:r>
    </w:p>
    <w:p w14:paraId="0E948691" w14:textId="77777777" w:rsidR="000A2006" w:rsidRPr="00DB5D0D" w:rsidRDefault="000A2006" w:rsidP="00DB5D0D">
      <w:pPr>
        <w:spacing w:after="0" w:line="240" w:lineRule="auto"/>
        <w:jc w:val="both"/>
        <w:rPr>
          <w:rFonts w:ascii="Times New Roman" w:eastAsia="Times New Roman" w:hAnsi="Times New Roman"/>
          <w:color w:val="000000" w:themeColor="text1"/>
          <w:sz w:val="16"/>
          <w:szCs w:val="16"/>
          <w:lang w:eastAsia="ru-RU"/>
        </w:rPr>
      </w:pPr>
    </w:p>
    <w:p w14:paraId="72FB328D" w14:textId="77777777" w:rsidR="00C55F46" w:rsidRPr="00DB5D0D" w:rsidRDefault="00C55F4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период с 12 по 15 мая 1940 г. в отделе «500» были произведены предварительные испытания механической системы сервоприводов управления, установленной на опытном танке А-34 № 311-18-3. Испытания проводились при непосредственном участии П.П. Васильева комиссией, в состав которой вошли: исследователь бюро «540» И.С. Томашпольский, военные представители АБТУ РККА на заводе № 183 капитан П.Ф. Русаков и военинженер 3 ранга П.П. Байков, а также механики-водители цеха «530» И.Г. Битенский и Н.Ф. Носик. В </w:t>
      </w:r>
      <w:hyperlink r:id="rId29" w:tgtFrame="_blank" w:history="1">
        <w:r w:rsidRPr="00DB5D0D">
          <w:rPr>
            <w:rStyle w:val="a5"/>
            <w:rFonts w:ascii="Times New Roman" w:hAnsi="Times New Roman"/>
            <w:color w:val="000000" w:themeColor="text1"/>
            <w:sz w:val="16"/>
            <w:szCs w:val="16"/>
          </w:rPr>
          <w:t>акте № 013</w:t>
        </w:r>
      </w:hyperlink>
      <w:r w:rsidRPr="00DB5D0D">
        <w:rPr>
          <w:rFonts w:ascii="Times New Roman" w:hAnsi="Times New Roman"/>
          <w:color w:val="000000" w:themeColor="text1"/>
          <w:sz w:val="16"/>
          <w:szCs w:val="16"/>
        </w:rPr>
        <w:t xml:space="preserve">, составленном комиссией 15 мая 1940 г. было отмечено: </w:t>
      </w:r>
    </w:p>
    <w:p w14:paraId="29CF4F2C" w14:textId="77777777" w:rsidR="00C55F46" w:rsidRPr="00DB5D0D" w:rsidRDefault="00C55F46"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«В результате испытаний заметных дефектов в работе механического сервоуправления не наблюдалось. По мнению всех участников испытаний, которые непосредственно управляли машиной, и в частности, опытных водителей спецмашин, предлагаемая конструкция механического сервопривода на маш. А-34, не требует особого навыка (или выучки) для пользования им при управлении машиной, не вызывает заметной усталости в процессе вождения, не требует особых регулировок и сложного ухода»</w:t>
      </w:r>
      <w:r w:rsidRPr="00DB5D0D">
        <w:rPr>
          <w:rFonts w:ascii="Times New Roman" w:hAnsi="Times New Roman"/>
          <w:color w:val="000000" w:themeColor="text1"/>
          <w:sz w:val="16"/>
          <w:szCs w:val="16"/>
        </w:rPr>
        <w:t xml:space="preserve">. </w:t>
      </w:r>
    </w:p>
    <w:p w14:paraId="111D1FE2" w14:textId="77777777" w:rsidR="00C55F46" w:rsidRPr="00DB5D0D" w:rsidRDefault="00C55F46" w:rsidP="00DB5D0D">
      <w:pPr>
        <w:pStyle w:val="ae"/>
        <w:spacing w:before="0" w:after="0"/>
        <w:jc w:val="both"/>
        <w:rPr>
          <w:color w:val="000000" w:themeColor="text1"/>
          <w:sz w:val="16"/>
          <w:szCs w:val="16"/>
        </w:rPr>
      </w:pPr>
      <w:r w:rsidRPr="00DB5D0D">
        <w:rPr>
          <w:bCs/>
          <w:color w:val="000000" w:themeColor="text1"/>
          <w:sz w:val="16"/>
          <w:szCs w:val="16"/>
        </w:rPr>
        <w:t>[РГВА. Ф. 31811. Оп. 2. Д. 1181. Л. 106]</w:t>
      </w:r>
    </w:p>
    <w:p w14:paraId="255CCCDD" w14:textId="77777777" w:rsidR="00C55F46" w:rsidRPr="00DB5D0D" w:rsidRDefault="00C55F46"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hAnsi="Times New Roman"/>
          <w:color w:val="000000" w:themeColor="text1"/>
          <w:sz w:val="16"/>
          <w:szCs w:val="16"/>
        </w:rPr>
        <w:t>Усилия, прилагаемые механиком-водителем к рычагам управления бортовыми фрикционами при разворотах танка на 360° на 1-й и 2-й передачах, не превышали 24 кгс на сухом грунте и 30 кгс на неглубоком песке. Во время движения танка на 3-й и 4-й передачах прилагаемые при поворотах усилия не превышали 15 кгс. По итогам испытаний комиссией были сделаны следующие выводы:</w:t>
      </w:r>
    </w:p>
    <w:p w14:paraId="742BF0C1" w14:textId="77777777" w:rsidR="00C55F46" w:rsidRPr="00DB5D0D" w:rsidRDefault="00C55F4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Исходя из данных, полученных в процессе испытаний, комиссия считает целесообразным ввести в серийное производство предлагаемую т. Васильевым конструкцию механического сервоуправления для маш. "А-34", как принципиально отвечающую предъявляемым ей требованиям (взамен пневматического сервоуправления) и имеющую ряд преимуществ перед пневматическим сервоуправлением, а именно: </w:t>
      </w:r>
    </w:p>
    <w:p w14:paraId="54C01E56" w14:textId="77777777" w:rsidR="00C55F46" w:rsidRPr="00DB5D0D" w:rsidRDefault="00C55F4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а) Простое в изготовлении. </w:t>
      </w:r>
    </w:p>
    <w:p w14:paraId="6958BDC1" w14:textId="77777777" w:rsidR="00C55F46" w:rsidRPr="00DB5D0D" w:rsidRDefault="00C55F4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б) Не требует сложного ухода при эксплоатации. </w:t>
      </w:r>
    </w:p>
    <w:p w14:paraId="0C748044" w14:textId="77777777" w:rsidR="00C55F46" w:rsidRPr="00DB5D0D" w:rsidRDefault="00C55F4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 Не требует особых навыков от водителя в управлении машиной. </w:t>
      </w:r>
    </w:p>
    <w:p w14:paraId="6C695A70" w14:textId="77777777" w:rsidR="00C55F46" w:rsidRPr="00DB5D0D" w:rsidRDefault="00C55F4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г) Не вызывает заметной усталости у водителя во время вождения машины. </w:t>
      </w:r>
    </w:p>
    <w:p w14:paraId="20BF5B33" w14:textId="77777777" w:rsidR="00C55F46" w:rsidRPr="00DB5D0D" w:rsidRDefault="00C55F4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Комиссия считает необходимым оборудовать первую опытную партию машин "А-34" механическим сервоуправлением, испытанной конструкции, взамен пневматического. </w:t>
      </w:r>
    </w:p>
    <w:p w14:paraId="681A6534" w14:textId="77777777" w:rsidR="00C55F46" w:rsidRPr="00DB5D0D" w:rsidRDefault="00C55F4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В процессе окончательного оформления чертежей механического сервопривода для серийного производства, бюро 520 предусмотреть максимально возможную прочность и износоустойчивость деталей для обеспечения надежной работы механизма на машине. </w:t>
      </w:r>
    </w:p>
    <w:p w14:paraId="57A96623" w14:textId="77777777" w:rsidR="00C55F46" w:rsidRPr="00DB5D0D" w:rsidRDefault="00C55F46"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4. Кроме указанного, комиссия считает необходимым цеху 540 произвести испытание одного-двух комплектов сервомеханизма на гарантийный километраж»</w:t>
      </w:r>
      <w:r w:rsidRPr="00DB5D0D">
        <w:rPr>
          <w:rFonts w:ascii="Times New Roman" w:hAnsi="Times New Roman"/>
          <w:color w:val="000000" w:themeColor="text1"/>
          <w:sz w:val="16"/>
          <w:szCs w:val="16"/>
        </w:rPr>
        <w:t xml:space="preserve">. </w:t>
      </w:r>
    </w:p>
    <w:p w14:paraId="18C03C49" w14:textId="77777777" w:rsidR="00416B4A" w:rsidRPr="00DB5D0D" w:rsidRDefault="00C55F46" w:rsidP="00DB5D0D">
      <w:pPr>
        <w:pStyle w:val="ae"/>
        <w:spacing w:before="0" w:after="0"/>
        <w:jc w:val="both"/>
        <w:rPr>
          <w:bCs/>
          <w:color w:val="000000" w:themeColor="text1"/>
          <w:sz w:val="16"/>
          <w:szCs w:val="16"/>
        </w:rPr>
      </w:pPr>
      <w:r w:rsidRPr="00DB5D0D">
        <w:rPr>
          <w:bCs/>
          <w:color w:val="000000" w:themeColor="text1"/>
          <w:sz w:val="16"/>
          <w:szCs w:val="16"/>
        </w:rPr>
        <w:t>[РГВА. Ф. 31811. Оп. 2. Д. 1181. Л. 107]</w:t>
      </w:r>
      <w:r w:rsidR="00416B4A" w:rsidRPr="00DB5D0D">
        <w:rPr>
          <w:bCs/>
          <w:color w:val="000000" w:themeColor="text1"/>
          <w:sz w:val="16"/>
          <w:szCs w:val="16"/>
        </w:rPr>
        <w:t>.</w:t>
      </w:r>
    </w:p>
    <w:p w14:paraId="21D581C1" w14:textId="77777777" w:rsidR="00C55F46" w:rsidRPr="00DB5D0D" w:rsidRDefault="00416B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работе механической системы сервоприводов управления была дана высокая оценка, и она была рекомендована к монтажу на танки Т-34 установочной партии. Решение о замене на танках Т-34 установочной партии пневматической системы сервоприводов управления на механическую систему конструкции П.П. Васильева было одобрено в АБТУ РККА, о чем начальник 8-го отдела АБТУ РККА военинженер 1 ранга С.А. Афонин сообщил директору завода № 183 Ю.Е. Максареву в письме № 73413с. В июне 1940 г. испытания механической системы сервоприводов управления были продолжены, теперь она испытывалась на гарантийный километраж. Забегая вперед, скажем, что установка механической системы сервоприводов управления на серийные танки Т-34 началась только в конце лета 1940 г., машины же установочной партии были оборудованы пневматической системой</w:t>
      </w:r>
      <w:r w:rsidR="00C55F46" w:rsidRPr="00DB5D0D">
        <w:rPr>
          <w:rFonts w:ascii="Times New Roman" w:hAnsi="Times New Roman"/>
          <w:bCs/>
          <w:color w:val="000000" w:themeColor="text1"/>
          <w:sz w:val="16"/>
          <w:szCs w:val="16"/>
        </w:rPr>
        <w:t xml:space="preserve"> (18076)</w:t>
      </w:r>
    </w:p>
    <w:p w14:paraId="16DF9CA9" w14:textId="77777777" w:rsidR="00C55F46" w:rsidRPr="00DB5D0D" w:rsidRDefault="00C55F46" w:rsidP="00DB5D0D">
      <w:pPr>
        <w:pStyle w:val="a3"/>
        <w:rPr>
          <w:color w:val="000000" w:themeColor="text1"/>
          <w:lang w:val="ru-RU"/>
        </w:rPr>
      </w:pPr>
    </w:p>
    <w:p w14:paraId="1B89C72E" w14:textId="77777777" w:rsidR="00907B25" w:rsidRPr="00DB5D0D" w:rsidRDefault="00907B2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период с 12 по 17 мая 1940 г. одновременно с испытанием механической системы сервоприводов управления на этой машине были проведены испытания литых траков, изготовленных на Сталинградском тракторном заводе. Данная работа проводилась цехом «540» отдела «500» на основании распоряжения директора завода № 183 Ю.Е. Максарева от 6 марта 1940 г. Целью испытаний являлось определение пригодности к эксплуатации на танке Т-34 литых траков, изготовленных из стали Гадфильда, взамен штампованных, установленных на двух танках А-34. </w:t>
      </w:r>
    </w:p>
    <w:p w14:paraId="0FAAE3A4" w14:textId="77777777" w:rsidR="00907B25" w:rsidRPr="00DB5D0D" w:rsidRDefault="00907B2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hAnsi="Times New Roman"/>
          <w:color w:val="000000" w:themeColor="text1"/>
          <w:sz w:val="16"/>
          <w:szCs w:val="16"/>
        </w:rPr>
        <w:t>Необходимо отметить, что литые траки с гребнем (деталь 34.44.004) и без гребня (деталь 34.44.005) отличались от штампованных траков (соответственно детали 34.44.001 и 34.44.002) только способом изготовления и маркой стали. Штампованные траки для двух опытных образцов танка Т-34 – танков А-34 были изготовлены методом горячей штамповки из стали марки хромансиль, а траки, отлитые на СТЗ – из стали Гадфильда. Эта сталь, названная в честь английского металлурга, разработавшего её, обладала высоким сопротивлением износу при больших давлениях и ударных нагрузках. Необходимость замены штампованных траков литыми была вызвана тем, что процесс изготовления траков методом литья был более технологичным по сравнению с горячей штамповкой, и наиболее подходящим для массового производства на СТЗ (18076).</w:t>
      </w:r>
    </w:p>
    <w:p w14:paraId="29EBB956" w14:textId="77777777" w:rsidR="00907B25" w:rsidRPr="00DB5D0D" w:rsidRDefault="00907B25" w:rsidP="00DB5D0D">
      <w:pPr>
        <w:pStyle w:val="a3"/>
        <w:rPr>
          <w:color w:val="000000" w:themeColor="text1"/>
          <w:lang w:val="ru-RU"/>
        </w:rPr>
      </w:pPr>
    </w:p>
    <w:p w14:paraId="5331D8E8" w14:textId="77777777" w:rsidR="000015EF" w:rsidRPr="00DB5D0D" w:rsidRDefault="000015EF" w:rsidP="00DB5D0D">
      <w:pPr>
        <w:pStyle w:val="a3"/>
        <w:rPr>
          <w:color w:val="000000" w:themeColor="text1"/>
          <w:lang w:val="ru-RU"/>
        </w:rPr>
      </w:pPr>
      <w:r w:rsidRPr="00DB5D0D">
        <w:rPr>
          <w:color w:val="000000" w:themeColor="text1"/>
          <w:lang w:val="ru-RU"/>
        </w:rPr>
        <w:t>12 мая 1940 года состоялось открытие Рембазы № 77. К этому времени были отремонтированы 5 танков и 2 трактора.</w:t>
      </w:r>
    </w:p>
    <w:p w14:paraId="3A5B0CC1" w14:textId="77777777" w:rsidR="000015EF" w:rsidRPr="00DB5D0D" w:rsidRDefault="000015EF" w:rsidP="00DB5D0D">
      <w:pPr>
        <w:pStyle w:val="a3"/>
        <w:rPr>
          <w:color w:val="000000" w:themeColor="text1"/>
          <w:lang w:val="ru-RU"/>
        </w:rPr>
      </w:pPr>
      <w:r w:rsidRPr="00DB5D0D">
        <w:rPr>
          <w:color w:val="000000" w:themeColor="text1"/>
          <w:lang w:val="ru-RU"/>
        </w:rPr>
        <w:lastRenderedPageBreak/>
        <w:t>В середине 1936 года Военный Совет АБТУ Красной Армии принял решение о строительстве Ремонтной базы № 77 на Дальнем Востоке в г.Ворошилов (Название Уссурийска в 1935-1957 гг).</w:t>
      </w:r>
    </w:p>
    <w:p w14:paraId="52052519" w14:textId="77777777" w:rsidR="000015EF" w:rsidRPr="00DB5D0D" w:rsidRDefault="000015EF" w:rsidP="00DB5D0D">
      <w:pPr>
        <w:pStyle w:val="a3"/>
        <w:rPr>
          <w:color w:val="000000" w:themeColor="text1"/>
          <w:lang w:val="ru-RU"/>
        </w:rPr>
      </w:pPr>
      <w:r w:rsidRPr="00DB5D0D">
        <w:rPr>
          <w:color w:val="000000" w:themeColor="text1"/>
          <w:lang w:val="ru-RU"/>
        </w:rPr>
        <w:t>Для размещения промышленной площадки Рембазы № 77 была выбрана юго-восточная окраина города – пустырь, примыкающий к территории «Сахарного комбината».</w:t>
      </w:r>
    </w:p>
    <w:p w14:paraId="2A6D19E2" w14:textId="77777777" w:rsidR="000015EF" w:rsidRPr="00DB5D0D" w:rsidRDefault="000015EF" w:rsidP="00DB5D0D">
      <w:pPr>
        <w:pStyle w:val="a3"/>
        <w:rPr>
          <w:color w:val="000000" w:themeColor="text1"/>
          <w:lang w:val="ru-RU"/>
        </w:rPr>
      </w:pPr>
      <w:r w:rsidRPr="00DB5D0D">
        <w:rPr>
          <w:color w:val="000000" w:themeColor="text1"/>
          <w:lang w:val="ru-RU"/>
        </w:rPr>
        <w:t>Проектированием занимался Ленинградский проектный институт «Спецпроект», который уже в 1936 году выдал первую чертежно-техническую документацию. Рабочим проектированием занимался Военпроект ВСУ 1 ОКА.</w:t>
      </w:r>
    </w:p>
    <w:p w14:paraId="3686B8DC" w14:textId="77777777" w:rsidR="000015EF" w:rsidRPr="00DB5D0D" w:rsidRDefault="000015EF" w:rsidP="00DB5D0D">
      <w:pPr>
        <w:pStyle w:val="a3"/>
        <w:rPr>
          <w:color w:val="000000" w:themeColor="text1"/>
          <w:lang w:val="ru-RU"/>
        </w:rPr>
      </w:pPr>
      <w:r w:rsidRPr="00DB5D0D">
        <w:rPr>
          <w:color w:val="000000" w:themeColor="text1"/>
          <w:lang w:val="ru-RU"/>
        </w:rPr>
        <w:t>В сентябре 1937 года военные строители ОКА уложили первые кубометры бетона для фундаментов промышленных зданий и инженерных сооружений.</w:t>
      </w:r>
    </w:p>
    <w:p w14:paraId="696EADE1" w14:textId="77777777" w:rsidR="000015EF" w:rsidRPr="00DB5D0D" w:rsidRDefault="000015EF" w:rsidP="00DB5D0D">
      <w:pPr>
        <w:pStyle w:val="a3"/>
        <w:rPr>
          <w:color w:val="000000" w:themeColor="text1"/>
          <w:lang w:val="ru-RU"/>
        </w:rPr>
      </w:pPr>
      <w:r w:rsidRPr="00DB5D0D">
        <w:rPr>
          <w:color w:val="000000" w:themeColor="text1"/>
          <w:lang w:val="ru-RU"/>
        </w:rPr>
        <w:t xml:space="preserve">Начальником строящейся Рембазы № 77 в мае 1939 года был назначен военный инженер </w:t>
      </w:r>
      <w:r w:rsidRPr="00DB5D0D">
        <w:rPr>
          <w:color w:val="000000" w:themeColor="text1"/>
        </w:rPr>
        <w:t>II</w:t>
      </w:r>
      <w:r w:rsidRPr="00DB5D0D">
        <w:rPr>
          <w:color w:val="000000" w:themeColor="text1"/>
          <w:lang w:val="ru-RU"/>
        </w:rPr>
        <w:t xml:space="preserve"> ранга Шапкин Иван Михайлович.</w:t>
      </w:r>
    </w:p>
    <w:p w14:paraId="56118866" w14:textId="77777777" w:rsidR="000015EF" w:rsidRPr="00DB5D0D" w:rsidRDefault="000015EF" w:rsidP="00DB5D0D">
      <w:pPr>
        <w:pStyle w:val="a3"/>
        <w:rPr>
          <w:color w:val="000000" w:themeColor="text1"/>
          <w:lang w:val="ru-RU"/>
        </w:rPr>
      </w:pPr>
      <w:r w:rsidRPr="00DB5D0D">
        <w:rPr>
          <w:color w:val="000000" w:themeColor="text1"/>
          <w:lang w:val="ru-RU"/>
        </w:rPr>
        <w:t>Приказом начальника Рембазы №77 от 7.01. 1940 года были определены структурные подразделения и назначены начальники цехов:</w:t>
      </w:r>
    </w:p>
    <w:p w14:paraId="79AA8DF6" w14:textId="77777777" w:rsidR="000015EF" w:rsidRPr="00DB5D0D" w:rsidRDefault="000015EF" w:rsidP="00DB5D0D">
      <w:pPr>
        <w:pStyle w:val="a3"/>
        <w:rPr>
          <w:color w:val="000000" w:themeColor="text1"/>
          <w:lang w:val="ru-RU"/>
        </w:rPr>
      </w:pPr>
      <w:r w:rsidRPr="00DB5D0D">
        <w:rPr>
          <w:color w:val="000000" w:themeColor="text1"/>
          <w:lang w:val="ru-RU"/>
        </w:rPr>
        <w:t>- цех №1 – демонтажно-монтажный – начальник Ломако.</w:t>
      </w:r>
    </w:p>
    <w:p w14:paraId="1F151F90" w14:textId="77777777" w:rsidR="000015EF" w:rsidRPr="00DB5D0D" w:rsidRDefault="000015EF" w:rsidP="00DB5D0D">
      <w:pPr>
        <w:pStyle w:val="a3"/>
        <w:rPr>
          <w:color w:val="000000" w:themeColor="text1"/>
          <w:lang w:val="ru-RU"/>
        </w:rPr>
      </w:pPr>
      <w:r w:rsidRPr="00DB5D0D">
        <w:rPr>
          <w:color w:val="000000" w:themeColor="text1"/>
          <w:lang w:val="ru-RU"/>
        </w:rPr>
        <w:t>- цех № 2 – механический - начальник Оксман.</w:t>
      </w:r>
    </w:p>
    <w:p w14:paraId="0868A145" w14:textId="77777777" w:rsidR="000015EF" w:rsidRPr="00DB5D0D" w:rsidRDefault="000015EF" w:rsidP="00DB5D0D">
      <w:pPr>
        <w:pStyle w:val="a3"/>
        <w:rPr>
          <w:color w:val="000000" w:themeColor="text1"/>
          <w:lang w:val="ru-RU"/>
        </w:rPr>
      </w:pPr>
      <w:r w:rsidRPr="00DB5D0D">
        <w:rPr>
          <w:color w:val="000000" w:themeColor="text1"/>
          <w:lang w:val="ru-RU"/>
        </w:rPr>
        <w:t>- цех № 3 – моторно-агрегатный - начальник Бешенко.</w:t>
      </w:r>
    </w:p>
    <w:p w14:paraId="30FF9242" w14:textId="77777777" w:rsidR="000015EF" w:rsidRPr="00DB5D0D" w:rsidRDefault="000015EF" w:rsidP="00DB5D0D">
      <w:pPr>
        <w:pStyle w:val="a3"/>
        <w:rPr>
          <w:color w:val="000000" w:themeColor="text1"/>
          <w:lang w:val="ru-RU"/>
        </w:rPr>
      </w:pPr>
      <w:r w:rsidRPr="00DB5D0D">
        <w:rPr>
          <w:color w:val="000000" w:themeColor="text1"/>
          <w:lang w:val="ru-RU"/>
        </w:rPr>
        <w:t>- цех № 4 – электроцех - начальник Гладышев.</w:t>
      </w:r>
    </w:p>
    <w:p w14:paraId="579ABEAC" w14:textId="77777777" w:rsidR="000015EF" w:rsidRPr="00DB5D0D" w:rsidRDefault="000015EF" w:rsidP="00DB5D0D">
      <w:pPr>
        <w:pStyle w:val="a3"/>
        <w:rPr>
          <w:color w:val="000000" w:themeColor="text1"/>
          <w:lang w:val="ru-RU"/>
        </w:rPr>
      </w:pPr>
      <w:r w:rsidRPr="00DB5D0D">
        <w:rPr>
          <w:color w:val="000000" w:themeColor="text1"/>
          <w:lang w:val="ru-RU"/>
        </w:rPr>
        <w:t>- цех № 5 – ремонтно-механический – начальник Коломеец.</w:t>
      </w:r>
    </w:p>
    <w:p w14:paraId="6691BE60" w14:textId="77777777" w:rsidR="000015EF" w:rsidRPr="00DB5D0D" w:rsidRDefault="000015EF" w:rsidP="00DB5D0D">
      <w:pPr>
        <w:pStyle w:val="a3"/>
        <w:rPr>
          <w:color w:val="000000" w:themeColor="text1"/>
          <w:lang w:val="ru-RU"/>
        </w:rPr>
      </w:pPr>
      <w:r w:rsidRPr="00DB5D0D">
        <w:rPr>
          <w:color w:val="000000" w:themeColor="text1"/>
          <w:lang w:val="ru-RU"/>
        </w:rPr>
        <w:t>В марте 1940 года был сдан под монтаж технологического оборудования корпус № «А» (разборка и сборка танков, тракторов и танковых моторов).</w:t>
      </w:r>
    </w:p>
    <w:p w14:paraId="00414651" w14:textId="77777777" w:rsidR="000015EF" w:rsidRPr="00DB5D0D" w:rsidRDefault="000015EF" w:rsidP="00DB5D0D">
      <w:pPr>
        <w:pStyle w:val="a3"/>
        <w:rPr>
          <w:color w:val="000000" w:themeColor="text1"/>
          <w:lang w:val="ru-RU"/>
        </w:rPr>
      </w:pPr>
      <w:r w:rsidRPr="00DB5D0D">
        <w:rPr>
          <w:color w:val="000000" w:themeColor="text1"/>
          <w:lang w:val="ru-RU"/>
        </w:rPr>
        <w:t>Одновременно с монтажам оборудования были поданы на ремонт первые танки и трактора.</w:t>
      </w:r>
    </w:p>
    <w:p w14:paraId="633331F1" w14:textId="77777777" w:rsidR="000015EF" w:rsidRPr="00DB5D0D" w:rsidRDefault="000015EF" w:rsidP="00DB5D0D">
      <w:pPr>
        <w:pStyle w:val="a3"/>
        <w:rPr>
          <w:color w:val="000000" w:themeColor="text1"/>
          <w:lang w:val="ru-RU"/>
        </w:rPr>
      </w:pPr>
      <w:r w:rsidRPr="00DB5D0D">
        <w:rPr>
          <w:color w:val="000000" w:themeColor="text1"/>
          <w:lang w:val="ru-RU"/>
        </w:rPr>
        <w:t>Митинг открыл комиссар Рембазы № 77 батальонный комиссар Александр Степанович Зазимко.</w:t>
      </w:r>
    </w:p>
    <w:p w14:paraId="3E0FE450" w14:textId="77777777" w:rsidR="000015EF" w:rsidRPr="00DB5D0D" w:rsidRDefault="000015EF" w:rsidP="00DB5D0D">
      <w:pPr>
        <w:pStyle w:val="a3"/>
        <w:rPr>
          <w:color w:val="000000" w:themeColor="text1"/>
          <w:lang w:val="ru-RU"/>
        </w:rPr>
      </w:pPr>
      <w:r w:rsidRPr="00DB5D0D">
        <w:rPr>
          <w:color w:val="000000" w:themeColor="text1"/>
          <w:lang w:val="ru-RU"/>
        </w:rPr>
        <w:t>При подходе первого танка к «северным» воротам командующий 1 ОКА М.М. Попов разрезал ленточку и первые отремонтированные танки и трактора вышли из стен корпуса № 1. Звуки оркестра соправождали колонну машин. Рембаза № 77 выдала первую продукцию и вступила в строй действующих.</w:t>
      </w:r>
    </w:p>
    <w:p w14:paraId="02B6994C" w14:textId="77777777" w:rsidR="000015EF" w:rsidRPr="00DB5D0D" w:rsidRDefault="000015EF" w:rsidP="00DB5D0D">
      <w:pPr>
        <w:pStyle w:val="a3"/>
        <w:rPr>
          <w:color w:val="000000" w:themeColor="text1"/>
          <w:lang w:val="ru-RU"/>
        </w:rPr>
      </w:pPr>
      <w:r w:rsidRPr="00DB5D0D">
        <w:rPr>
          <w:color w:val="000000" w:themeColor="text1"/>
          <w:lang w:val="ru-RU"/>
        </w:rPr>
        <w:t>В 1946 году в соответствии с директивой Штаба Приморского военного округа № 01/0500 от 4.04. 1946 г. 77 бронетанковый ремонтный завод переименован в 229 ремонтную базу (17406).</w:t>
      </w:r>
    </w:p>
    <w:p w14:paraId="3223AFFC" w14:textId="77777777" w:rsidR="000015EF" w:rsidRPr="00DB5D0D" w:rsidRDefault="000015EF" w:rsidP="00DB5D0D">
      <w:pPr>
        <w:pStyle w:val="a3"/>
        <w:rPr>
          <w:color w:val="000000" w:themeColor="text1"/>
          <w:lang w:val="ru-RU"/>
        </w:rPr>
      </w:pPr>
    </w:p>
    <w:p w14:paraId="1E2312F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29A817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C658A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г. Проект постановления ГВС о системе инженерного вооружения</w:t>
      </w:r>
    </w:p>
    <w:p w14:paraId="1E8D62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Акт работы подкомиссии комиссии Главного военного совета при Народном комиссаре обороны Союза ССР'</w:t>
      </w:r>
    </w:p>
    <w:p w14:paraId="310032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Подкомиссия под председательством начальника пехоты Красной Армии комкора т. Антонюка, в составе членов: командарма 2-го ранга т. Городовикова А. И.", комкора т. Трубецкого, комкора т. Козлова, дивинженера т. Лебедева, комдива т. Гусева, комбрига т. Петрова, корпусного комиссара т. Хрулева, комбрига т. Хренова, полкового комиссара т. Михальчука и комбрига т. Иванова в течение 9—11 мая 1940 г. провела работу по пересмотру средств инженерного вооружения (осмотр техники 9.5. 1940 г. в НИИИТ Красной Армии, работа в Москве) и свои выводы и предложения изложила в проекте постановления Главного военного совета при Народном комиссаре обороны, при сем прилагаемом на 13 листах, и представила на утверждение.</w:t>
      </w:r>
    </w:p>
    <w:tbl>
      <w:tblPr>
        <w:tblW w:w="0" w:type="auto"/>
        <w:tblInd w:w="40" w:type="dxa"/>
        <w:tblLayout w:type="fixed"/>
        <w:tblCellMar>
          <w:left w:w="40" w:type="dxa"/>
          <w:right w:w="40" w:type="dxa"/>
        </w:tblCellMar>
        <w:tblLook w:val="0000" w:firstRow="0" w:lastRow="0" w:firstColumn="0" w:lastColumn="0" w:noHBand="0" w:noVBand="0"/>
      </w:tblPr>
      <w:tblGrid>
        <w:gridCol w:w="2237"/>
        <w:gridCol w:w="1373"/>
      </w:tblGrid>
      <w:tr w:rsidR="007D5DF8" w:rsidRPr="00DB5D0D" w14:paraId="1BC9717E" w14:textId="77777777" w:rsidTr="009223E5">
        <w:trPr>
          <w:cantSplit/>
          <w:trHeight w:val="230"/>
        </w:trPr>
        <w:tc>
          <w:tcPr>
            <w:tcW w:w="3610" w:type="dxa"/>
            <w:gridSpan w:val="2"/>
            <w:tcBorders>
              <w:top w:val="nil"/>
              <w:left w:val="nil"/>
              <w:bottom w:val="nil"/>
              <w:right w:val="nil"/>
            </w:tcBorders>
            <w:shd w:val="clear" w:color="auto" w:fill="FFFFFF"/>
          </w:tcPr>
          <w:p w14:paraId="6FA804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подкомиссии</w:t>
            </w:r>
          </w:p>
        </w:tc>
      </w:tr>
      <w:tr w:rsidR="007D5DF8" w:rsidRPr="00DB5D0D" w14:paraId="4CC9D401" w14:textId="77777777" w:rsidTr="009223E5">
        <w:trPr>
          <w:cantSplit/>
          <w:trHeight w:val="226"/>
        </w:trPr>
        <w:tc>
          <w:tcPr>
            <w:tcW w:w="2237" w:type="dxa"/>
            <w:tcBorders>
              <w:top w:val="nil"/>
              <w:left w:val="nil"/>
              <w:bottom w:val="nil"/>
              <w:right w:val="nil"/>
            </w:tcBorders>
            <w:shd w:val="clear" w:color="auto" w:fill="FFFFFF"/>
          </w:tcPr>
          <w:p w14:paraId="1A13AB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комкор</w:t>
            </w:r>
          </w:p>
        </w:tc>
        <w:tc>
          <w:tcPr>
            <w:tcW w:w="1373" w:type="dxa"/>
            <w:tcBorders>
              <w:top w:val="nil"/>
              <w:left w:val="nil"/>
              <w:bottom w:val="nil"/>
              <w:right w:val="nil"/>
            </w:tcBorders>
            <w:shd w:val="clear" w:color="auto" w:fill="FFFFFF"/>
          </w:tcPr>
          <w:p w14:paraId="7F9D33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Антонюк</w:t>
            </w:r>
          </w:p>
        </w:tc>
      </w:tr>
      <w:tr w:rsidR="007D5DF8" w:rsidRPr="00DB5D0D" w14:paraId="5265F0EB" w14:textId="77777777" w:rsidTr="009223E5">
        <w:trPr>
          <w:cantSplit/>
          <w:trHeight w:val="226"/>
        </w:trPr>
        <w:tc>
          <w:tcPr>
            <w:tcW w:w="2237" w:type="dxa"/>
            <w:tcBorders>
              <w:top w:val="nil"/>
              <w:left w:val="nil"/>
              <w:bottom w:val="nil"/>
              <w:right w:val="nil"/>
            </w:tcBorders>
            <w:shd w:val="clear" w:color="auto" w:fill="FFFFFF"/>
          </w:tcPr>
          <w:p w14:paraId="75D6FF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 подкомиссии:</w:t>
            </w:r>
          </w:p>
        </w:tc>
        <w:tc>
          <w:tcPr>
            <w:tcW w:w="1373" w:type="dxa"/>
            <w:tcBorders>
              <w:top w:val="nil"/>
              <w:left w:val="nil"/>
              <w:bottom w:val="nil"/>
              <w:right w:val="nil"/>
            </w:tcBorders>
            <w:shd w:val="clear" w:color="auto" w:fill="FFFFFF"/>
          </w:tcPr>
          <w:p w14:paraId="540B59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417BC952" w14:textId="77777777" w:rsidTr="009223E5">
        <w:trPr>
          <w:cantSplit/>
          <w:trHeight w:val="235"/>
        </w:trPr>
        <w:tc>
          <w:tcPr>
            <w:tcW w:w="2237" w:type="dxa"/>
            <w:tcBorders>
              <w:top w:val="nil"/>
              <w:left w:val="nil"/>
              <w:bottom w:val="nil"/>
              <w:right w:val="nil"/>
            </w:tcBorders>
            <w:shd w:val="clear" w:color="auto" w:fill="FFFFFF"/>
          </w:tcPr>
          <w:p w14:paraId="2BD843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командарм 2-го ранга</w:t>
            </w:r>
          </w:p>
        </w:tc>
        <w:tc>
          <w:tcPr>
            <w:tcW w:w="1373" w:type="dxa"/>
            <w:tcBorders>
              <w:top w:val="nil"/>
              <w:left w:val="nil"/>
              <w:bottom w:val="nil"/>
              <w:right w:val="nil"/>
            </w:tcBorders>
            <w:shd w:val="clear" w:color="auto" w:fill="FFFFFF"/>
          </w:tcPr>
          <w:p w14:paraId="229822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Городовиков</w:t>
            </w:r>
          </w:p>
        </w:tc>
      </w:tr>
      <w:tr w:rsidR="007D5DF8" w:rsidRPr="00DB5D0D" w14:paraId="6FF10A78" w14:textId="77777777" w:rsidTr="009223E5">
        <w:trPr>
          <w:cantSplit/>
          <w:trHeight w:val="226"/>
        </w:trPr>
        <w:tc>
          <w:tcPr>
            <w:tcW w:w="2237" w:type="dxa"/>
            <w:tcBorders>
              <w:top w:val="nil"/>
              <w:left w:val="nil"/>
              <w:bottom w:val="nil"/>
              <w:right w:val="nil"/>
            </w:tcBorders>
            <w:shd w:val="clear" w:color="auto" w:fill="FFFFFF"/>
          </w:tcPr>
          <w:p w14:paraId="44E727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комкор</w:t>
            </w:r>
          </w:p>
        </w:tc>
        <w:tc>
          <w:tcPr>
            <w:tcW w:w="1373" w:type="dxa"/>
            <w:tcBorders>
              <w:top w:val="nil"/>
              <w:left w:val="nil"/>
              <w:bottom w:val="nil"/>
              <w:right w:val="nil"/>
            </w:tcBorders>
            <w:shd w:val="clear" w:color="auto" w:fill="FFFFFF"/>
          </w:tcPr>
          <w:p w14:paraId="72D4FC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Трубецкой</w:t>
            </w:r>
          </w:p>
        </w:tc>
      </w:tr>
      <w:tr w:rsidR="007D5DF8" w:rsidRPr="00DB5D0D" w14:paraId="2DECDDB0" w14:textId="77777777" w:rsidTr="009223E5">
        <w:trPr>
          <w:cantSplit/>
          <w:trHeight w:val="221"/>
        </w:trPr>
        <w:tc>
          <w:tcPr>
            <w:tcW w:w="2237" w:type="dxa"/>
            <w:tcBorders>
              <w:top w:val="nil"/>
              <w:left w:val="nil"/>
              <w:bottom w:val="nil"/>
              <w:right w:val="nil"/>
            </w:tcBorders>
            <w:shd w:val="clear" w:color="auto" w:fill="FFFFFF"/>
          </w:tcPr>
          <w:p w14:paraId="0D2B8A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комкор</w:t>
            </w:r>
          </w:p>
        </w:tc>
        <w:tc>
          <w:tcPr>
            <w:tcW w:w="1373" w:type="dxa"/>
            <w:tcBorders>
              <w:top w:val="nil"/>
              <w:left w:val="nil"/>
              <w:bottom w:val="nil"/>
              <w:right w:val="nil"/>
            </w:tcBorders>
            <w:shd w:val="clear" w:color="auto" w:fill="FFFFFF"/>
          </w:tcPr>
          <w:p w14:paraId="5A774D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Козлов</w:t>
            </w:r>
          </w:p>
        </w:tc>
      </w:tr>
      <w:tr w:rsidR="007D5DF8" w:rsidRPr="00DB5D0D" w14:paraId="54715025" w14:textId="77777777" w:rsidTr="009223E5">
        <w:trPr>
          <w:cantSplit/>
          <w:trHeight w:val="235"/>
        </w:trPr>
        <w:tc>
          <w:tcPr>
            <w:tcW w:w="2237" w:type="dxa"/>
            <w:tcBorders>
              <w:top w:val="nil"/>
              <w:left w:val="nil"/>
              <w:bottom w:val="nil"/>
              <w:right w:val="nil"/>
            </w:tcBorders>
            <w:shd w:val="clear" w:color="auto" w:fill="FFFFFF"/>
          </w:tcPr>
          <w:p w14:paraId="730186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дивинженер</w:t>
            </w:r>
          </w:p>
        </w:tc>
        <w:tc>
          <w:tcPr>
            <w:tcW w:w="1373" w:type="dxa"/>
            <w:tcBorders>
              <w:top w:val="nil"/>
              <w:left w:val="nil"/>
              <w:bottom w:val="nil"/>
              <w:right w:val="nil"/>
            </w:tcBorders>
            <w:shd w:val="clear" w:color="auto" w:fill="FFFFFF"/>
          </w:tcPr>
          <w:p w14:paraId="1CA3D6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Лебедев</w:t>
            </w:r>
          </w:p>
        </w:tc>
      </w:tr>
      <w:tr w:rsidR="007D5DF8" w:rsidRPr="00DB5D0D" w14:paraId="39056E67" w14:textId="77777777" w:rsidTr="009223E5">
        <w:trPr>
          <w:cantSplit/>
          <w:trHeight w:val="216"/>
        </w:trPr>
        <w:tc>
          <w:tcPr>
            <w:tcW w:w="2237" w:type="dxa"/>
            <w:tcBorders>
              <w:top w:val="nil"/>
              <w:left w:val="nil"/>
              <w:bottom w:val="nil"/>
              <w:right w:val="nil"/>
            </w:tcBorders>
            <w:shd w:val="clear" w:color="auto" w:fill="FFFFFF"/>
          </w:tcPr>
          <w:p w14:paraId="1A1C8C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полковой комиссар</w:t>
            </w:r>
          </w:p>
        </w:tc>
        <w:tc>
          <w:tcPr>
            <w:tcW w:w="1373" w:type="dxa"/>
            <w:tcBorders>
              <w:top w:val="nil"/>
              <w:left w:val="nil"/>
              <w:bottom w:val="nil"/>
              <w:right w:val="nil"/>
            </w:tcBorders>
            <w:shd w:val="clear" w:color="auto" w:fill="FFFFFF"/>
          </w:tcPr>
          <w:p w14:paraId="544A14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Михальчук</w:t>
            </w:r>
          </w:p>
        </w:tc>
      </w:tr>
      <w:tr w:rsidR="007D5DF8" w:rsidRPr="00DB5D0D" w14:paraId="6300B090" w14:textId="77777777" w:rsidTr="009223E5">
        <w:trPr>
          <w:cantSplit/>
          <w:trHeight w:val="226"/>
        </w:trPr>
        <w:tc>
          <w:tcPr>
            <w:tcW w:w="2237" w:type="dxa"/>
            <w:tcBorders>
              <w:top w:val="nil"/>
              <w:left w:val="nil"/>
              <w:bottom w:val="nil"/>
              <w:right w:val="nil"/>
            </w:tcBorders>
            <w:shd w:val="clear" w:color="auto" w:fill="FFFFFF"/>
          </w:tcPr>
          <w:p w14:paraId="206935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комбриг</w:t>
            </w:r>
          </w:p>
        </w:tc>
        <w:tc>
          <w:tcPr>
            <w:tcW w:w="1373" w:type="dxa"/>
            <w:tcBorders>
              <w:top w:val="nil"/>
              <w:left w:val="nil"/>
              <w:bottom w:val="nil"/>
              <w:right w:val="nil"/>
            </w:tcBorders>
            <w:shd w:val="clear" w:color="auto" w:fill="FFFFFF"/>
          </w:tcPr>
          <w:p w14:paraId="7F25AA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Петров</w:t>
            </w:r>
          </w:p>
        </w:tc>
      </w:tr>
      <w:tr w:rsidR="007D5DF8" w:rsidRPr="00DB5D0D" w14:paraId="620EDBB8" w14:textId="77777777" w:rsidTr="009223E5">
        <w:trPr>
          <w:cantSplit/>
          <w:trHeight w:val="240"/>
        </w:trPr>
        <w:tc>
          <w:tcPr>
            <w:tcW w:w="2237" w:type="dxa"/>
            <w:tcBorders>
              <w:top w:val="nil"/>
              <w:left w:val="nil"/>
              <w:bottom w:val="nil"/>
              <w:right w:val="nil"/>
            </w:tcBorders>
            <w:shd w:val="clear" w:color="auto" w:fill="FFFFFF"/>
          </w:tcPr>
          <w:p w14:paraId="2C826C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комкор</w:t>
            </w:r>
          </w:p>
        </w:tc>
        <w:tc>
          <w:tcPr>
            <w:tcW w:w="1373" w:type="dxa"/>
            <w:tcBorders>
              <w:top w:val="nil"/>
              <w:left w:val="nil"/>
              <w:bottom w:val="nil"/>
              <w:right w:val="nil"/>
            </w:tcBorders>
            <w:shd w:val="clear" w:color="auto" w:fill="FFFFFF"/>
          </w:tcPr>
          <w:p w14:paraId="2284F7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Гусев</w:t>
            </w:r>
          </w:p>
        </w:tc>
      </w:tr>
      <w:tr w:rsidR="007D5DF8" w:rsidRPr="00DB5D0D" w14:paraId="70996B68" w14:textId="77777777" w:rsidTr="009223E5">
        <w:trPr>
          <w:cantSplit/>
          <w:trHeight w:val="211"/>
        </w:trPr>
        <w:tc>
          <w:tcPr>
            <w:tcW w:w="2237" w:type="dxa"/>
            <w:tcBorders>
              <w:top w:val="nil"/>
              <w:left w:val="nil"/>
              <w:bottom w:val="nil"/>
              <w:right w:val="nil"/>
            </w:tcBorders>
            <w:shd w:val="clear" w:color="auto" w:fill="FFFFFF"/>
          </w:tcPr>
          <w:p w14:paraId="6F1010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корпусной комиссар</w:t>
            </w:r>
          </w:p>
        </w:tc>
        <w:tc>
          <w:tcPr>
            <w:tcW w:w="1373" w:type="dxa"/>
            <w:tcBorders>
              <w:top w:val="nil"/>
              <w:left w:val="nil"/>
              <w:bottom w:val="nil"/>
              <w:right w:val="nil"/>
            </w:tcBorders>
            <w:shd w:val="clear" w:color="auto" w:fill="FFFFFF"/>
          </w:tcPr>
          <w:p w14:paraId="5664B5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Хрулев</w:t>
            </w:r>
          </w:p>
        </w:tc>
      </w:tr>
      <w:tr w:rsidR="007D5DF8" w:rsidRPr="00DB5D0D" w14:paraId="7846C0BD" w14:textId="77777777" w:rsidTr="009223E5">
        <w:trPr>
          <w:cantSplit/>
          <w:trHeight w:val="221"/>
        </w:trPr>
        <w:tc>
          <w:tcPr>
            <w:tcW w:w="2237" w:type="dxa"/>
            <w:tcBorders>
              <w:top w:val="nil"/>
              <w:left w:val="nil"/>
              <w:bottom w:val="nil"/>
              <w:right w:val="nil"/>
            </w:tcBorders>
            <w:shd w:val="clear" w:color="auto" w:fill="FFFFFF"/>
          </w:tcPr>
          <w:p w14:paraId="48BA67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комбриг</w:t>
            </w:r>
          </w:p>
        </w:tc>
        <w:tc>
          <w:tcPr>
            <w:tcW w:w="1373" w:type="dxa"/>
            <w:tcBorders>
              <w:top w:val="nil"/>
              <w:left w:val="nil"/>
              <w:bottom w:val="nil"/>
              <w:right w:val="nil"/>
            </w:tcBorders>
            <w:shd w:val="clear" w:color="auto" w:fill="FFFFFF"/>
          </w:tcPr>
          <w:p w14:paraId="3218B0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Иванов</w:t>
            </w:r>
          </w:p>
        </w:tc>
      </w:tr>
      <w:tr w:rsidR="007D5DF8" w:rsidRPr="00DB5D0D" w14:paraId="5E145E4B" w14:textId="77777777" w:rsidTr="009223E5">
        <w:trPr>
          <w:cantSplit/>
          <w:trHeight w:val="240"/>
        </w:trPr>
        <w:tc>
          <w:tcPr>
            <w:tcW w:w="2237" w:type="dxa"/>
            <w:tcBorders>
              <w:top w:val="nil"/>
              <w:left w:val="nil"/>
              <w:bottom w:val="nil"/>
              <w:right w:val="nil"/>
            </w:tcBorders>
            <w:shd w:val="clear" w:color="auto" w:fill="FFFFFF"/>
          </w:tcPr>
          <w:p w14:paraId="4D5D0F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комбриг</w:t>
            </w:r>
          </w:p>
        </w:tc>
        <w:tc>
          <w:tcPr>
            <w:tcW w:w="1373" w:type="dxa"/>
            <w:tcBorders>
              <w:top w:val="nil"/>
              <w:left w:val="nil"/>
              <w:bottom w:val="nil"/>
              <w:right w:val="nil"/>
            </w:tcBorders>
            <w:shd w:val="clear" w:color="auto" w:fill="FFFFFF"/>
          </w:tcPr>
          <w:p w14:paraId="06253F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Хренов</w:t>
            </w:r>
          </w:p>
        </w:tc>
      </w:tr>
    </w:tbl>
    <w:p w14:paraId="4E7242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w:t>
      </w:r>
    </w:p>
    <w:p w14:paraId="106D3D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Постановление Главного военного совета при народном комиссаре обороны Союза ССР'"</w:t>
      </w:r>
    </w:p>
    <w:p w14:paraId="49D789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Обеспеченность Красной Армии основными видами инженерных средств находится на низком уровне и выражается: по дорожным средствам — 50%; энергетическим средствам — 40%, моторным пилам — 27%; автофильтрам — 37%, резиновой таре — 40%, маскировочным средствам — 25—30% (по схеме 1939 г.).</w:t>
      </w:r>
    </w:p>
    <w:p w14:paraId="6CBA2B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ряду машин инженерное вооружение отстало от некоторых заграничных образцов по их производительности и транспортным скоростям (дорожные машины и лесозаготовительные средства).</w:t>
      </w:r>
    </w:p>
    <w:p w14:paraId="3D289A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Основным недостатком в производстве инженерной техники — слабость действующей промышленной базы по важнейшим средствам инженерного вооружения (переправочные средства, энергетика, дорожные машины, экскаваторы, лесозаготовительные и маскировочные средства), что отрицательно сказывается на оснащении армии инженерными средствами как в качественном, так и в количественном отношении.</w:t>
      </w:r>
    </w:p>
    <w:p w14:paraId="59B17B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Переправочные средства</w:t>
      </w:r>
    </w:p>
    <w:p w14:paraId="08E3CA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Оставить на вооружении:</w:t>
      </w:r>
    </w:p>
    <w:p w14:paraId="25D806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Тяжелый парк самоходных понтонов (СП-19), грузоподъемностью 32—90 тонн.</w:t>
      </w:r>
    </w:p>
    <w:p w14:paraId="6B80B0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Понтонный парк «Н2П» (с комплектами автомашин) грузоподъемностью 12—30 тонн.</w:t>
      </w:r>
    </w:p>
    <w:p w14:paraId="430F92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Легкий парк «НЛП» (с комплектом автомашин) грузоподъемностью 9—14 тонн.</w:t>
      </w:r>
    </w:p>
    <w:p w14:paraId="476186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Модернизированный парк на лодках А-3 (МдПА-3), с комплектом автомашин (с 1941 г. с производства снять, на вооружении оставить впредь до полной замены парками НЛП).</w:t>
      </w:r>
    </w:p>
    <w:p w14:paraId="036968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Лодку А-3 (с 1941 г. с производства снять, на вооружении оставить, перейти на постепенную замену лодками из бакелизированной фанеры).</w:t>
      </w:r>
    </w:p>
    <w:p w14:paraId="7DD6EE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Лодку А-3 горную (облегчить).</w:t>
      </w:r>
    </w:p>
    <w:p w14:paraId="398DDE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Труднозатопляемое имущество «ТЗИ» (возить в дивизионном парке).</w:t>
      </w:r>
    </w:p>
    <w:p w14:paraId="1299BA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Лодку малую надувную «ЛМН» (с 1941 г. с производства снять, на вооружении оставить, перейти на изготовление малых лодок из фанеры).</w:t>
      </w:r>
    </w:p>
    <w:p w14:paraId="2E8964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Плавательный костюм «ПК» — каркасный (все остальные с производства снять, на вооружении оставить).</w:t>
      </w:r>
    </w:p>
    <w:p w14:paraId="67D647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Катер буксирный моторный (БМК-70).</w:t>
      </w:r>
    </w:p>
    <w:p w14:paraId="2272A8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Забортный двигатель СЗ-20.</w:t>
      </w:r>
    </w:p>
    <w:p w14:paraId="23B090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Забортный двигатель СЗ-10.</w:t>
      </w:r>
    </w:p>
    <w:p w14:paraId="479DE3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Тяжелые водолазные станции (армейское средство).</w:t>
      </w:r>
    </w:p>
    <w:p w14:paraId="0F2798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Инженерному управлению Красной Армии в 1940 г.:</w:t>
      </w:r>
    </w:p>
    <w:p w14:paraId="7D0BEE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Разработать тяжелый механизированный понтонный парк грузоподъемностью 60—120 тонн.</w:t>
      </w:r>
    </w:p>
    <w:p w14:paraId="4DC064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Изготовить десантные лодки из бакелизированной фанеры на 2 и 12 человек.</w:t>
      </w:r>
    </w:p>
    <w:p w14:paraId="68CBD7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Увеличить размещение в промышленности заказов на парки.</w:t>
      </w:r>
    </w:p>
    <w:p w14:paraId="6F12CA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III. Просить Правительство:</w:t>
      </w:r>
    </w:p>
    <w:p w14:paraId="3EECB3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1)Выделить Мордовщинский судомостовой завод № 342 как основную базу для производства переправочных парков.</w:t>
      </w:r>
    </w:p>
    <w:p w14:paraId="19A1CD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НКХПром увеличить производство бакелитового лака и выделить Инженерному управлению Красной Армии в 1940 г. дополнительный фонд в количестве 40 тонн для производства лодок и понтонов.</w:t>
      </w:r>
    </w:p>
    <w:p w14:paraId="6F4B70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Энергетические средства</w:t>
      </w:r>
    </w:p>
    <w:p w14:paraId="3C26F7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Оставить на вооружении:</w:t>
      </w:r>
    </w:p>
    <w:p w14:paraId="3E01FF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Зарядно-осветительную электростанцию кабельную АЗС-1 мощностью 3 кВт (ввести в штат батальонов связи дивизий и корпусов, для освещения командных пунктов).</w:t>
      </w:r>
    </w:p>
    <w:p w14:paraId="6DB22C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Силовую электростанцию АЭС-3 мощностью 12 кВт.</w:t>
      </w:r>
    </w:p>
    <w:p w14:paraId="676EAE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Силовую электростанцию АЭС-4 мощностью 24 кВт (корпусное и выше средство).</w:t>
      </w:r>
    </w:p>
    <w:p w14:paraId="1C28B3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Электростанцию для электризации препятствий АЭ-1 мощностью 24 кВт.</w:t>
      </w:r>
    </w:p>
    <w:p w14:paraId="607811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Трансформаторную подстанцию ТП-75/5 мощностью 75 ква* напряжением 6000/230 вольт, увеличив количество провода до 1000 м.</w:t>
      </w:r>
    </w:p>
    <w:p w14:paraId="7932D8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Зарядно-осветительный агрегат АД-12/3 мощностью 6 кВт.</w:t>
      </w:r>
    </w:p>
    <w:p w14:paraId="2EB793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Зарядно-осветительный агрегат АЛ-6/2 мощностью 3 кВт.</w:t>
      </w:r>
    </w:p>
    <w:p w14:paraId="539D76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Зарядно-осветительный агрегат АЛ-3/2 мощностью 1,5 кВт.</w:t>
      </w:r>
    </w:p>
    <w:p w14:paraId="5AE1C2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Зарядно-осветительный агрегат В-3 мощностью 1,5 кВт.</w:t>
      </w:r>
    </w:p>
    <w:p w14:paraId="21F904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Установку для освещения командных пунктов «АКП».</w:t>
      </w:r>
    </w:p>
    <w:p w14:paraId="69216C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Подводный фонарь «ПФ-1».</w:t>
      </w:r>
    </w:p>
    <w:p w14:paraId="424CD2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Аккумуляторный фонарь.</w:t>
      </w:r>
    </w:p>
    <w:p w14:paraId="183C19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Осветительная ручная станция «ДРП-13» (для санитарной части полка). //. </w:t>
      </w:r>
      <w:r w:rsidRPr="00DB5D0D">
        <w:rPr>
          <w:rFonts w:ascii="Times New Roman" w:hAnsi="Times New Roman"/>
          <w:iCs/>
          <w:color w:val="000000" w:themeColor="text1"/>
          <w:sz w:val="16"/>
          <w:szCs w:val="16"/>
        </w:rPr>
        <w:t>Инженерному управлению Красной Армии разработать в 1940 г.:</w:t>
      </w:r>
    </w:p>
    <w:p w14:paraId="54AD58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Агрегат переменного тока 7,5 ква для замены агрегата АЛ-6/2 в станции АЗС-1, а также как самостоятельного агрегата для других ЦУ НКО и с начала 1941 г. пустить в серийное производство с мотором «КИМ» (полковое и дивизионное средство).</w:t>
      </w:r>
    </w:p>
    <w:p w14:paraId="1926CA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Прицепной агрегат переменного тока 12 ква для замены им агрегатной машины станции АЗС-3 и как самостоятельного агрегата для других ЦУ НКО.</w:t>
      </w:r>
    </w:p>
    <w:p w14:paraId="00358B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Вьючный агрегат переменного тока 1,5 квт для горнострелковых частей.</w:t>
      </w:r>
    </w:p>
    <w:p w14:paraId="2141AF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Окончательно отработать изготовляемый в этом году опытный образец установки для электризации почвы, воды и проволочных препятствий.</w:t>
      </w:r>
    </w:p>
    <w:p w14:paraId="70018A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 xml:space="preserve">Просить Правительство </w:t>
      </w:r>
      <w:r w:rsidRPr="00DB5D0D">
        <w:rPr>
          <w:rFonts w:ascii="Times New Roman" w:hAnsi="Times New Roman"/>
          <w:color w:val="000000" w:themeColor="text1"/>
          <w:sz w:val="16"/>
          <w:szCs w:val="16"/>
        </w:rPr>
        <w:t>о расширении производственной базы для резкого увеличения выпуска силовых и осветительных электростанций и маломощных агрегатов.</w:t>
      </w:r>
    </w:p>
    <w:p w14:paraId="062019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Дорожно-строительные средства</w:t>
      </w:r>
    </w:p>
    <w:p w14:paraId="188B96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Оставить на вооружении:</w:t>
      </w:r>
    </w:p>
    <w:p w14:paraId="3E0D5D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Грейдер тяжелый прицепной тракторный с ручным и отдельно с гидравлическим управлением.</w:t>
      </w:r>
    </w:p>
    <w:p w14:paraId="21C6A6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Грейдер средний прицепной тракторный с ручным и отдельно с гидравлическим управлением.</w:t>
      </w:r>
    </w:p>
    <w:p w14:paraId="5CDFC6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Лопату механическую (скрепер) прицепную тракторную емкостью от 1 до 8 м</w:t>
      </w:r>
      <w:r w:rsidRPr="00DB5D0D">
        <w:rPr>
          <w:rFonts w:ascii="Times New Roman" w:hAnsi="Times New Roman"/>
          <w:color w:val="000000" w:themeColor="text1"/>
          <w:sz w:val="16"/>
          <w:szCs w:val="16"/>
          <w:vertAlign w:val="superscript"/>
        </w:rPr>
        <w:t>3</w:t>
      </w:r>
      <w:r w:rsidRPr="00DB5D0D">
        <w:rPr>
          <w:rFonts w:ascii="Times New Roman" w:hAnsi="Times New Roman"/>
          <w:color w:val="000000" w:themeColor="text1"/>
          <w:sz w:val="16"/>
          <w:szCs w:val="16"/>
        </w:rPr>
        <w:t xml:space="preserve"> с ручным и отдельно с гидравлическим управлением.</w:t>
      </w:r>
    </w:p>
    <w:p w14:paraId="0FD21B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Бульдозер тракторный с гидравлическим управлением (последний образец).</w:t>
      </w:r>
    </w:p>
    <w:p w14:paraId="0A70CB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Кусторез тракторный с ручным и отдельно с гидравлическим управлением.</w:t>
      </w:r>
    </w:p>
    <w:p w14:paraId="24474B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Каток прицепной тракторный (на пневматике).</w:t>
      </w:r>
    </w:p>
    <w:p w14:paraId="5E2705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Риппер тракторный с ручным и отдельно с гидравлическим управлением (с откидными зубьями).</w:t>
      </w:r>
    </w:p>
    <w:p w14:paraId="1A1731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Снегоочиститель тракторный с ручным и отдельно с гидравлическим управлением.</w:t>
      </w:r>
    </w:p>
    <w:p w14:paraId="06C7E2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Ментенер.</w:t>
      </w:r>
    </w:p>
    <w:p w14:paraId="3D4342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Комплект 123 принадлежностей для дорожных работ.</w:t>
      </w:r>
    </w:p>
    <w:p w14:paraId="585099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Каток моторный 5 тонн (с инженерных и саперных частей снять, оставив на вооружении аэродромных батальонов и ДЭПов).</w:t>
      </w:r>
    </w:p>
    <w:p w14:paraId="27186D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Снегоочиститель автомобильный. //. </w:t>
      </w:r>
      <w:r w:rsidRPr="00DB5D0D">
        <w:rPr>
          <w:rFonts w:ascii="Times New Roman" w:hAnsi="Times New Roman"/>
          <w:iCs/>
          <w:color w:val="000000" w:themeColor="text1"/>
          <w:sz w:val="16"/>
          <w:szCs w:val="16"/>
        </w:rPr>
        <w:t>Снять с вооружений:</w:t>
      </w:r>
    </w:p>
    <w:p w14:paraId="6F1AD8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Канавокопатель прицепной тракторный одноотвальный.</w:t>
      </w:r>
    </w:p>
    <w:p w14:paraId="740263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Машины корчевальные.</w:t>
      </w:r>
    </w:p>
    <w:p w14:paraId="1AB03B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1У. </w:t>
      </w:r>
      <w:r w:rsidRPr="00DB5D0D">
        <w:rPr>
          <w:rFonts w:ascii="Times New Roman" w:hAnsi="Times New Roman"/>
          <w:iCs/>
          <w:color w:val="000000" w:themeColor="text1"/>
          <w:sz w:val="16"/>
          <w:szCs w:val="16"/>
        </w:rPr>
        <w:t xml:space="preserve">Инженерному управлению Красной Армии провести к 1.6.40. </w:t>
      </w:r>
      <w:r w:rsidRPr="00DB5D0D">
        <w:rPr>
          <w:rFonts w:ascii="Times New Roman" w:hAnsi="Times New Roman"/>
          <w:color w:val="000000" w:themeColor="text1"/>
          <w:sz w:val="16"/>
          <w:szCs w:val="16"/>
        </w:rPr>
        <w:t xml:space="preserve">полигонные и войсковые испытания специального грейдера типа «СПГ», после чего в 1940 г. приступить немедленно к серийному производству. </w:t>
      </w:r>
      <w:r w:rsidRPr="00DB5D0D">
        <w:rPr>
          <w:rFonts w:ascii="Times New Roman" w:hAnsi="Times New Roman"/>
          <w:iCs/>
          <w:color w:val="000000" w:themeColor="text1"/>
          <w:sz w:val="16"/>
          <w:szCs w:val="16"/>
        </w:rPr>
        <w:t>IV. Просить Правительство обязать:</w:t>
      </w:r>
    </w:p>
    <w:p w14:paraId="75F056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НКОМ и НКПС ускорить выпуск образца механической лопаты емкостью 4,5 м</w:t>
      </w:r>
      <w:r w:rsidRPr="00DB5D0D">
        <w:rPr>
          <w:rFonts w:ascii="Times New Roman" w:hAnsi="Times New Roman"/>
          <w:color w:val="000000" w:themeColor="text1"/>
          <w:sz w:val="16"/>
          <w:szCs w:val="16"/>
          <w:vertAlign w:val="superscript"/>
        </w:rPr>
        <w:t>3</w:t>
      </w:r>
      <w:r w:rsidRPr="00DB5D0D">
        <w:rPr>
          <w:rFonts w:ascii="Times New Roman" w:hAnsi="Times New Roman"/>
          <w:color w:val="000000" w:themeColor="text1"/>
          <w:sz w:val="16"/>
          <w:szCs w:val="16"/>
        </w:rPr>
        <w:t xml:space="preserve"> и с 1941 г. приступить, к серийному выпуску. Мостостроительные средства</w:t>
      </w:r>
    </w:p>
    <w:p w14:paraId="202486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Оставить на вооружении:</w:t>
      </w:r>
    </w:p>
    <w:p w14:paraId="34591D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Копер разборный металлический со свайным молотом и копровой лебедкой с двигателем. Инженерному управлению Красной Армии к 15 мая 1941 г. отработать один разборный металлический копер с дизельмолотом и один образец с электромотором. Лесозаготовительные средства /. </w:t>
      </w:r>
      <w:r w:rsidRPr="00DB5D0D">
        <w:rPr>
          <w:rFonts w:ascii="Times New Roman" w:hAnsi="Times New Roman"/>
          <w:iCs/>
          <w:color w:val="000000" w:themeColor="text1"/>
          <w:sz w:val="16"/>
          <w:szCs w:val="16"/>
        </w:rPr>
        <w:t>Оставить на вооружении:</w:t>
      </w:r>
    </w:p>
    <w:p w14:paraId="59D229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Пилу бензино-моторную.</w:t>
      </w:r>
    </w:p>
    <w:p w14:paraId="6E88BA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Станок лесопильный разборный круглопильный с выводом мощности от автомобиля ЗИС-5, с последующим переводом на вездеходный автомобиль.</w:t>
      </w:r>
    </w:p>
    <w:p w14:paraId="0E67E7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Раму лесопильную передвижную.</w:t>
      </w:r>
    </w:p>
    <w:p w14:paraId="431B28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Приспособление для тракторной трелевки леса.</w:t>
      </w:r>
    </w:p>
    <w:p w14:paraId="03F5F0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Путь монорельсовый подвесной. //. </w:t>
      </w:r>
      <w:r w:rsidRPr="00DB5D0D">
        <w:rPr>
          <w:rFonts w:ascii="Times New Roman" w:hAnsi="Times New Roman"/>
          <w:iCs/>
          <w:color w:val="000000" w:themeColor="text1"/>
          <w:sz w:val="16"/>
          <w:szCs w:val="16"/>
        </w:rPr>
        <w:t>Снять с вооружения:</w:t>
      </w:r>
    </w:p>
    <w:p w14:paraId="0D0957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Лесотаску тракторную для трелевки бревен. ///. </w:t>
      </w:r>
      <w:r w:rsidRPr="00DB5D0D">
        <w:rPr>
          <w:rFonts w:ascii="Times New Roman" w:hAnsi="Times New Roman"/>
          <w:iCs/>
          <w:color w:val="000000" w:themeColor="text1"/>
          <w:sz w:val="16"/>
          <w:szCs w:val="16"/>
        </w:rPr>
        <w:t xml:space="preserve">Просить Правительство </w:t>
      </w:r>
      <w:r w:rsidRPr="00DB5D0D">
        <w:rPr>
          <w:rFonts w:ascii="Times New Roman" w:hAnsi="Times New Roman"/>
          <w:color w:val="000000" w:themeColor="text1"/>
          <w:sz w:val="16"/>
          <w:szCs w:val="16"/>
        </w:rPr>
        <w:t>обязать НКОМ к 1.7.40 г. выпустить опытный образец переносной установки для инженерных работ, состоящей из двигателя мощностью 1,2-1,5 HP и комплекта инструмента (поперечная и дисковая пила, сверло по дереву и металлу и долбежник) и в 1940 г. пустить в серийное производство.</w:t>
      </w:r>
    </w:p>
    <w:p w14:paraId="3A60A1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Пневматические средства</w:t>
      </w:r>
    </w:p>
    <w:p w14:paraId="28319E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Оставить на вооружении:</w:t>
      </w:r>
    </w:p>
    <w:p w14:paraId="12A029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Компрессорную станцию. Модернизированную компрессорную станцию с автомобиля снять и поставить на прицепку на пневматическом ходу (иметь в корпусе и выше).</w:t>
      </w:r>
    </w:p>
    <w:p w14:paraId="25540D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Снять с вооружения:</w:t>
      </w:r>
    </w:p>
    <w:p w14:paraId="249F53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Пневмоинструмент старых образцов выпуска до 1938 г. включительно.</w:t>
      </w:r>
    </w:p>
    <w:p w14:paraId="0F630C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III. Инженерному управлению Красной армии в 1940 г. </w:t>
      </w:r>
      <w:r w:rsidRPr="00DB5D0D">
        <w:rPr>
          <w:rFonts w:ascii="Times New Roman" w:hAnsi="Times New Roman"/>
          <w:color w:val="000000" w:themeColor="text1"/>
          <w:sz w:val="16"/>
          <w:szCs w:val="16"/>
        </w:rPr>
        <w:t>закончить все испытания мостосборной машины «МСМ».</w:t>
      </w:r>
    </w:p>
    <w:p w14:paraId="65E18C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IV. Просить Правительство обязать:</w:t>
      </w:r>
    </w:p>
    <w:p w14:paraId="18E3FD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Для горнодорожных работ НКОМ разработать к 15 июля образец мотоперфоратора и в 1940 г. приступить к серийному выпуску.</w:t>
      </w:r>
    </w:p>
    <w:p w14:paraId="7D728E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НКВооружения немедленно восстановить производство буравов по дереву для пневмомашин.</w:t>
      </w:r>
    </w:p>
    <w:p w14:paraId="2EC79D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Средства полевого водоснабжения /. </w:t>
      </w:r>
      <w:r w:rsidRPr="00DB5D0D">
        <w:rPr>
          <w:rFonts w:ascii="Times New Roman" w:hAnsi="Times New Roman"/>
          <w:iCs/>
          <w:color w:val="000000" w:themeColor="text1"/>
          <w:sz w:val="16"/>
          <w:szCs w:val="16"/>
        </w:rPr>
        <w:t>Оставить на вооружении:</w:t>
      </w:r>
    </w:p>
    <w:p w14:paraId="3AEA05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Автоводоцистерны металлические емкостью 2500 литров.</w:t>
      </w:r>
    </w:p>
    <w:p w14:paraId="3EE9EB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Автофильтровальные станции АФС-5000.</w:t>
      </w:r>
    </w:p>
    <w:p w14:paraId="2EF062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Ячеисто-ленточные водоподъемники с ручными и механическим приводом.</w:t>
      </w:r>
    </w:p>
    <w:p w14:paraId="5704C4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Насосы «Красный Факел» № 4.</w:t>
      </w:r>
    </w:p>
    <w:p w14:paraId="6CF938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Мотопомпы.</w:t>
      </w:r>
    </w:p>
    <w:p w14:paraId="3003D2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Носимый фильтр «УНФ-ЗО».</w:t>
      </w:r>
    </w:p>
    <w:p w14:paraId="1DA7D4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Вьючный фильтр.</w:t>
      </w:r>
    </w:p>
    <w:p w14:paraId="4A8394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Буровой станок ударного действия УА-75.</w:t>
      </w:r>
    </w:p>
    <w:p w14:paraId="34D25D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Резервуары мягкие емкостью 6000 литров.</w:t>
      </w:r>
    </w:p>
    <w:p w14:paraId="054E88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Резервуары мягкие емкостью 1000 литров.</w:t>
      </w:r>
    </w:p>
    <w:p w14:paraId="30D6A2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Мягкая автоводоцистерна емкостью 1200 литров.</w:t>
      </w:r>
    </w:p>
    <w:p w14:paraId="35226E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Мешки-бочки емкостью 100 литров.</w:t>
      </w:r>
    </w:p>
    <w:p w14:paraId="04FC50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Бурдюки ранцевые емкостью 12,5 литров.</w:t>
      </w:r>
    </w:p>
    <w:p w14:paraId="5EAE78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Буровой станок вращательного типа АВБ-100.</w:t>
      </w:r>
    </w:p>
    <w:p w14:paraId="66422C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Мелкотрубчатый колодец.</w:t>
      </w:r>
    </w:p>
    <w:p w14:paraId="13BAA6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Глубокотрубчатый колодец (с производства снять, на вооружении оставить).</w:t>
      </w:r>
    </w:p>
    <w:p w14:paraId="7A98084A"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Снять с вооружения:</w:t>
      </w:r>
    </w:p>
    <w:p w14:paraId="358304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Фильтр-повозку.</w:t>
      </w:r>
    </w:p>
    <w:p w14:paraId="7E5E16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Инженерному управлению Красной Армии:</w:t>
      </w:r>
    </w:p>
    <w:p w14:paraId="7A99EC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Закончить в 1940 г. отработку бурового станка АБГ-50.</w:t>
      </w:r>
    </w:p>
    <w:p w14:paraId="7E1B86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Разработать и ввести на снабжение Красной Армии тканевые фильтры, бескольевые резервуары и брезентовую тару для транспортировки воды.</w:t>
      </w:r>
    </w:p>
    <w:p w14:paraId="010EF0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Разработать и ввести на снабжение Красной Армии передвижную установку для опреснения горько-соленых вод.</w:t>
      </w:r>
    </w:p>
    <w:p w14:paraId="353C17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1940 г. всесторонне испытать автонасос и с 1941 г. организовать серийное производство.</w:t>
      </w:r>
    </w:p>
    <w:p w14:paraId="5D6D87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IV. Просить Правительство </w:t>
      </w:r>
      <w:r w:rsidRPr="00DB5D0D">
        <w:rPr>
          <w:rFonts w:ascii="Times New Roman" w:hAnsi="Times New Roman"/>
          <w:color w:val="000000" w:themeColor="text1"/>
          <w:sz w:val="16"/>
          <w:szCs w:val="16"/>
        </w:rPr>
        <w:t>обязать НКОМ увеличить ежегодный выпуск автофильтровальных станций АФС-5000 до 100 шт.; автоводоцистерн металлических — до 200 шт. и организовать производство буровых станков скоростного бурения типа «АВБ-100», обеспечив их ежегодный выпуск по 30 комплектов начиная с 1941 г.</w:t>
      </w:r>
    </w:p>
    <w:p w14:paraId="4DF25B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Взрывчатые вещества и средства воспламенения</w:t>
      </w:r>
    </w:p>
    <w:p w14:paraId="65B1C9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Оставить на вооружении:</w:t>
      </w:r>
    </w:p>
    <w:p w14:paraId="7082FB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Тол (тротил) прессованными шашками по 400,200 и 75 гр.</w:t>
      </w:r>
    </w:p>
    <w:p w14:paraId="6C013B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Аммониты патронированные и порошком.</w:t>
      </w:r>
    </w:p>
    <w:p w14:paraId="064D2D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Шнур бикфордов асфальтированный.</w:t>
      </w:r>
    </w:p>
    <w:p w14:paraId="59C52B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Шнур бикфордов гуттаперчевый.</w:t>
      </w:r>
    </w:p>
    <w:p w14:paraId="7C2686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Фитиль.</w:t>
      </w:r>
    </w:p>
    <w:p w14:paraId="6CFF77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Детонирующий шнур.</w:t>
      </w:r>
    </w:p>
    <w:p w14:paraId="1F9F53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Капсюли детонаторы № 8 (TAT № 8).</w:t>
      </w:r>
    </w:p>
    <w:p w14:paraId="3E4242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Электродетонаторы мгновенного действия.</w:t>
      </w:r>
    </w:p>
    <w:p w14:paraId="0EF3E5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Электродетонаторы замедленного действия.</w:t>
      </w:r>
    </w:p>
    <w:p w14:paraId="3DAC6A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Подрывная машинка «ПМ-1».</w:t>
      </w:r>
    </w:p>
    <w:p w14:paraId="1A7072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Подрывная машинка «ПМ-2».</w:t>
      </w:r>
    </w:p>
    <w:p w14:paraId="66DE70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Омметр большой «ЛМВ».</w:t>
      </w:r>
    </w:p>
    <w:p w14:paraId="7E969D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Омметр малый (карманный) «OK».</w:t>
      </w:r>
    </w:p>
    <w:p w14:paraId="7314F3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Саперный проводник.</w:t>
      </w:r>
    </w:p>
    <w:p w14:paraId="05CDD9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Комплект № 61 — подрывное имущество кавалерийских частей.</w:t>
      </w:r>
    </w:p>
    <w:p w14:paraId="451FD9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16) Комплект № 63 — приборы и инструмент для подрывных работ. //. </w:t>
      </w:r>
      <w:r w:rsidRPr="00DB5D0D">
        <w:rPr>
          <w:rFonts w:ascii="Times New Roman" w:hAnsi="Times New Roman"/>
          <w:iCs/>
          <w:color w:val="000000" w:themeColor="text1"/>
          <w:sz w:val="16"/>
          <w:szCs w:val="16"/>
        </w:rPr>
        <w:t xml:space="preserve">Инженерному управлению Красной Армии </w:t>
      </w:r>
      <w:r w:rsidRPr="00DB5D0D">
        <w:rPr>
          <w:rFonts w:ascii="Times New Roman" w:hAnsi="Times New Roman"/>
          <w:color w:val="000000" w:themeColor="text1"/>
          <w:sz w:val="16"/>
          <w:szCs w:val="16"/>
        </w:rPr>
        <w:t>к 1.6.40 г. разработать и доложить Главному венному совету о количестве и типах, размерах и формах толовых шашек для производства различных подрывных работ.</w:t>
      </w:r>
    </w:p>
    <w:p w14:paraId="71EDB6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Мастерской инструмент</w:t>
      </w:r>
    </w:p>
    <w:p w14:paraId="478FAB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Из существующих комплектов снять с вооружения:</w:t>
      </w:r>
    </w:p>
    <w:p w14:paraId="6DB0E5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Комплект № 3 (им дополняется комплект № 2).</w:t>
      </w:r>
    </w:p>
    <w:p w14:paraId="36722A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Комплект № 8 (им дополняется комплект № 7).</w:t>
      </w:r>
    </w:p>
    <w:p w14:paraId="54E331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Комплект № 10 — для одного кузнеца.</w:t>
      </w:r>
    </w:p>
    <w:p w14:paraId="2AF7BD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Комплект № 12 — токарный инструмент по металлу.</w:t>
      </w:r>
    </w:p>
    <w:p w14:paraId="7D387C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Комплект № 14 — медницкий и жестянический инструмент.</w:t>
      </w:r>
    </w:p>
    <w:p w14:paraId="7B0347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Комплект № 21 — инструмент для котельщика и клепальщика.</w:t>
      </w:r>
    </w:p>
    <w:p w14:paraId="47DB69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Комплект № 34 — инструмент для малярных работ.</w:t>
      </w:r>
    </w:p>
    <w:p w14:paraId="476AFF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Шанцевый инструмент</w:t>
      </w:r>
    </w:p>
    <w:p w14:paraId="6ECC83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Оставить на вооружении:</w:t>
      </w:r>
    </w:p>
    <w:p w14:paraId="36EE94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Кирко-мотыги легкие.</w:t>
      </w:r>
    </w:p>
    <w:p w14:paraId="79C519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Кирко-мотыги тяжелые.</w:t>
      </w:r>
    </w:p>
    <w:p w14:paraId="196EF8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Ломы обыкновенные</w:t>
      </w:r>
    </w:p>
    <w:p w14:paraId="51383E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Ломы лапчатые.</w:t>
      </w:r>
    </w:p>
    <w:p w14:paraId="75B216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Лопаты саперные.</w:t>
      </w:r>
    </w:p>
    <w:p w14:paraId="4C217D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Лопаты малые с заостренным концом (остальные с производства снять, на вооружении оставить).</w:t>
      </w:r>
    </w:p>
    <w:p w14:paraId="3BCFFF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Пилы поперечные, длина 1 м.</w:t>
      </w:r>
    </w:p>
    <w:p w14:paraId="358FBB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Пилы поперечные, длина 1,5 м.</w:t>
      </w:r>
    </w:p>
    <w:p w14:paraId="661263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Топоры военные с гвоздодером (остальные с производства снять, на вооружении оставить).</w:t>
      </w:r>
    </w:p>
    <w:p w14:paraId="6A81F0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Топоры плотничные № 3.</w:t>
      </w:r>
    </w:p>
    <w:p w14:paraId="15F3C4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Пилы продольные.</w:t>
      </w:r>
    </w:p>
    <w:p w14:paraId="43BABB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Топоры лесорубные.</w:t>
      </w:r>
    </w:p>
    <w:p w14:paraId="6DC0E1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Средства инженерной противохимической защиты</w:t>
      </w:r>
    </w:p>
    <w:p w14:paraId="1B9DB3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Оставить на вооружении:</w:t>
      </w:r>
    </w:p>
    <w:p w14:paraId="0BE950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Малые полевые фильтровентиляционные установки «ФВУ» с вентилятором КП-4-А модернизированным.</w:t>
      </w:r>
    </w:p>
    <w:p w14:paraId="10D2A8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Большие полевые фильтровентиляционные установки «ФВУ» с вентилятором КП-4-А модернизированным.</w:t>
      </w:r>
    </w:p>
    <w:p w14:paraId="7C8F9D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Средства заграждения и оборудования местности</w:t>
      </w:r>
    </w:p>
    <w:p w14:paraId="2C8B47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Оставить на вооружении:</w:t>
      </w:r>
    </w:p>
    <w:p w14:paraId="7634EF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Канавокопатель плужный, двухотвальный тракторный прицепной с гидравлическим управлением (с ручным управлением с производства снять, на вооружения оставить).</w:t>
      </w:r>
    </w:p>
    <w:p w14:paraId="67CAFC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Проволока колючая однопрядная круглоплющенного сечения.</w:t>
      </w:r>
    </w:p>
    <w:p w14:paraId="713594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Малозаметные препятствия «МЗП».</w:t>
      </w:r>
    </w:p>
    <w:p w14:paraId="2F8D3C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Ножницы для резки колючей проволоки ручные длиной 380 мм и 670 мм.</w:t>
      </w:r>
    </w:p>
    <w:p w14:paraId="586049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Печи окопные.</w:t>
      </w:r>
    </w:p>
    <w:p w14:paraId="00E20D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Мешки земленосные.</w:t>
      </w:r>
    </w:p>
    <w:p w14:paraId="7B1A3B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Инженерному управлению Красной Армии в 1940 г. отработать:</w:t>
      </w:r>
    </w:p>
    <w:p w14:paraId="387230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Металлические колья для колючей проволоки.</w:t>
      </w:r>
    </w:p>
    <w:p w14:paraId="0FB2F3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Мешки земленосные бумажные.</w:t>
      </w:r>
    </w:p>
    <w:p w14:paraId="5F3EE6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Комплект инженерной разведки.</w:t>
      </w:r>
    </w:p>
    <w:p w14:paraId="0B2DA6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Срочно произвести опыты и всесторонние испытания фрезерного окопокопателя «ФОК», а также отработать и испытать образец шпуровой машины «САМ-3» и к 1.8.40 г. доложить Главному военному совету о вводе их на вооружение.</w:t>
      </w:r>
    </w:p>
    <w:p w14:paraId="714A20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 xml:space="preserve">Просить Правительство </w:t>
      </w:r>
      <w:r w:rsidRPr="00DB5D0D">
        <w:rPr>
          <w:rFonts w:ascii="Times New Roman" w:hAnsi="Times New Roman"/>
          <w:color w:val="000000" w:themeColor="text1"/>
          <w:sz w:val="16"/>
          <w:szCs w:val="16"/>
        </w:rPr>
        <w:t>обязать НКОМ обеспечить выпуск образца многоковшевого роторного экскаватора типа «Баккей» и до 1.1.41 г. изготовить опытную партию в количестве 10 штук.</w:t>
      </w:r>
    </w:p>
    <w:p w14:paraId="43C97A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Подъемно-транспортные средства</w:t>
      </w:r>
    </w:p>
    <w:p w14:paraId="23625A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Оставить на вооружении:</w:t>
      </w:r>
    </w:p>
    <w:p w14:paraId="0F3249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Кран на автомобиле ЗИС-6 грузоподъемностью до 3 тонн.</w:t>
      </w:r>
    </w:p>
    <w:p w14:paraId="173E77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Лебедку моторную двухбарабанную с двигателем Л-6/2.</w:t>
      </w:r>
    </w:p>
    <w:p w14:paraId="5272D2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Ремонтные средства</w:t>
      </w:r>
    </w:p>
    <w:p w14:paraId="1A12E3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Оставить на вооружении:</w:t>
      </w:r>
    </w:p>
    <w:p w14:paraId="61A04D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автомобильную подвижную инженерную мастерскую «АПРИМ» на</w:t>
      </w:r>
    </w:p>
    <w:p w14:paraId="5DD15D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автомашине ЗИС-5.</w:t>
      </w:r>
    </w:p>
    <w:p w14:paraId="440D83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Маскировочные средства</w:t>
      </w:r>
    </w:p>
    <w:p w14:paraId="557997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Оставить на вооружении:</w:t>
      </w:r>
    </w:p>
    <w:p w14:paraId="34A826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Масккостюм летний мочальный и камуфлированный.</w:t>
      </w:r>
    </w:p>
    <w:p w14:paraId="31D168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Масккостюм зимний различной камуфляции.</w:t>
      </w:r>
    </w:p>
    <w:p w14:paraId="49AAA5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Сетку для стрелка.</w:t>
      </w:r>
    </w:p>
    <w:p w14:paraId="329606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Маски артиллерийские типа А, Б, Г, Е.</w:t>
      </w:r>
    </w:p>
    <w:p w14:paraId="4089D4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Покрытия маскировочные «2-Т», «3-Т».</w:t>
      </w:r>
    </w:p>
    <w:p w14:paraId="02A7A7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Универсальную горизонтальную маску.</w:t>
      </w:r>
    </w:p>
    <w:p w14:paraId="74C359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Маскировочные сети № 4, 5.</w:t>
      </w:r>
    </w:p>
    <w:p w14:paraId="055447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Краскомет «Красный Факел»</w:t>
      </w:r>
    </w:p>
    <w:p w14:paraId="0D348C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Комплект для маскировочных работ № № 41,42,43,45, 47,48.</w:t>
      </w:r>
    </w:p>
    <w:p w14:paraId="340CC7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Маски самолетные БП-1 и БП-2.</w:t>
      </w:r>
    </w:p>
    <w:p w14:paraId="694157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Очки-светофильтр.</w:t>
      </w:r>
    </w:p>
    <w:p w14:paraId="0ACD2A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w:t>
      </w:r>
      <w:r w:rsidRPr="00DB5D0D">
        <w:rPr>
          <w:rFonts w:ascii="Times New Roman" w:hAnsi="Times New Roman"/>
          <w:iCs/>
          <w:color w:val="000000" w:themeColor="text1"/>
          <w:sz w:val="16"/>
          <w:szCs w:val="16"/>
        </w:rPr>
        <w:t>Снять с вооружения:</w:t>
      </w:r>
    </w:p>
    <w:p w14:paraId="7BF42D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Маску для стрелка (заменяется сеткой).</w:t>
      </w:r>
    </w:p>
    <w:p w14:paraId="6174D1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Маску пулеметную (заменяется сеткой).</w:t>
      </w:r>
    </w:p>
    <w:p w14:paraId="59A89F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Маскхалат зимний (заменяется маскостюмом).</w:t>
      </w:r>
    </w:p>
    <w:p w14:paraId="350DA4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Маскхалат летний (заменяется маскостюмом).</w:t>
      </w:r>
    </w:p>
    <w:p w14:paraId="67686C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111. </w:t>
      </w:r>
      <w:r w:rsidRPr="00DB5D0D">
        <w:rPr>
          <w:rFonts w:ascii="Times New Roman" w:hAnsi="Times New Roman"/>
          <w:iCs/>
          <w:color w:val="000000" w:themeColor="text1"/>
          <w:sz w:val="16"/>
          <w:szCs w:val="16"/>
        </w:rPr>
        <w:t>Инженерному управлению Красной Армии в 1940 г. разработать и заказать опытные образцы:</w:t>
      </w:r>
    </w:p>
    <w:p w14:paraId="2C0881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Малярно-техническую станцию на прицепке.</w:t>
      </w:r>
    </w:p>
    <w:p w14:paraId="5D6D68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Плоскостные макеты самолетов.</w:t>
      </w:r>
    </w:p>
    <w:p w14:paraId="495A0B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Маски для зенитных орудий.</w:t>
      </w:r>
    </w:p>
    <w:p w14:paraId="1E8028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Сетку для станкового пулемета.</w:t>
      </w:r>
    </w:p>
    <w:p w14:paraId="359A9E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Инженерному управлению Красной Армии в 1940 г. изготовить опытные образцы:</w:t>
      </w:r>
    </w:p>
    <w:p w14:paraId="07BADA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Перекидных и висячих мостов длиной от 30 до 120 м.</w:t>
      </w:r>
    </w:p>
    <w:p w14:paraId="265BB7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Пешеходный (стрелки в колонне по одному с дистанцией 2 м).</w:t>
      </w:r>
    </w:p>
    <w:p w14:paraId="27AC28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Легкий для конной тяги грузоподъемностью 2 т.</w:t>
      </w:r>
    </w:p>
    <w:p w14:paraId="128F78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Тяжелый грузоподъемностью от 5 до 9 т.</w:t>
      </w:r>
    </w:p>
    <w:p w14:paraId="24FCB1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Канатные дороги с максимальным пролетом 500 м и подъемностью 250-500 кг.</w:t>
      </w:r>
    </w:p>
    <w:p w14:paraId="0D376E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Разработать комплект машин по механизации дорожных работ в горных условиях.</w:t>
      </w:r>
    </w:p>
    <w:p w14:paraId="22A30F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Разработать комплект оборудования и инструмента механизации подземно-минных и подводно-минных работ.</w:t>
      </w:r>
    </w:p>
    <w:p w14:paraId="64848E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Главного военного совета</w:t>
      </w:r>
    </w:p>
    <w:p w14:paraId="4C505B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w:t>
      </w:r>
    </w:p>
    <w:p w14:paraId="41C3B1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Маршал Советского Союза </w:t>
      </w:r>
      <w:r w:rsidRPr="00DB5D0D">
        <w:rPr>
          <w:rFonts w:ascii="Times New Roman" w:hAnsi="Times New Roman"/>
          <w:iCs/>
          <w:color w:val="000000" w:themeColor="text1"/>
          <w:sz w:val="16"/>
          <w:szCs w:val="16"/>
        </w:rPr>
        <w:t>{Тимошенко)'</w:t>
      </w:r>
    </w:p>
    <w:p w14:paraId="0B8669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4. Оп. 14. Д. 2687. Л. 44-57. Подлинник (11773).</w:t>
      </w:r>
    </w:p>
    <w:p w14:paraId="3E88D0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1C0EDC6" w14:textId="77777777" w:rsidR="005212F7"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016E8FB6" w14:textId="77777777" w:rsidR="005212F7" w:rsidRPr="00DB5D0D" w:rsidRDefault="005212F7" w:rsidP="00DB5D0D">
      <w:pPr>
        <w:spacing w:after="0" w:line="240" w:lineRule="auto"/>
        <w:jc w:val="both"/>
        <w:rPr>
          <w:rFonts w:ascii="Times New Roman" w:hAnsi="Times New Roman"/>
          <w:iCs/>
          <w:color w:val="000000" w:themeColor="text1"/>
          <w:sz w:val="16"/>
          <w:szCs w:val="16"/>
        </w:rPr>
      </w:pPr>
    </w:p>
    <w:p w14:paraId="098BF73D" w14:textId="77777777" w:rsidR="005212F7" w:rsidRPr="00DB5D0D" w:rsidRDefault="005212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в 1940 году Лев Троцкий и его сторонники приняли «Манифест об империалистической войне и пролетарской революции», в котором открыто провозгласили: «Подготовка революционного свержения московских правителей является одной из главных задач IV Интернационала» (14889).</w:t>
      </w:r>
    </w:p>
    <w:p w14:paraId="59988287" w14:textId="77777777" w:rsidR="005212F7" w:rsidRPr="00DB5D0D" w:rsidRDefault="005212F7" w:rsidP="00DB5D0D">
      <w:pPr>
        <w:spacing w:after="0" w:line="240" w:lineRule="auto"/>
        <w:jc w:val="both"/>
        <w:rPr>
          <w:rFonts w:ascii="Times New Roman" w:hAnsi="Times New Roman"/>
          <w:color w:val="000000" w:themeColor="text1"/>
          <w:sz w:val="16"/>
          <w:szCs w:val="16"/>
        </w:rPr>
      </w:pPr>
    </w:p>
    <w:p w14:paraId="4AD45031"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E15538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3330358" w14:textId="77777777" w:rsidR="005212F7" w:rsidRPr="00DB5D0D" w:rsidRDefault="005212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мая в 1940 году из сборочного цеха в Брашове выкатили, а лётчик-испытатель Ион Милу поднял в воздух первый серийный экземпляр румынского истребителя </w:t>
      </w:r>
      <w:hyperlink r:id="rId30" w:tgtFrame="_blank" w:history="1">
        <w:r w:rsidRPr="00DB5D0D">
          <w:rPr>
            <w:rFonts w:ascii="Times New Roman" w:hAnsi="Times New Roman"/>
            <w:color w:val="000000" w:themeColor="text1"/>
            <w:sz w:val="16"/>
            <w:szCs w:val="16"/>
          </w:rPr>
          <w:t xml:space="preserve">«IAR-80» </w:t>
        </w:r>
      </w:hyperlink>
      <w:r w:rsidRPr="00DB5D0D">
        <w:rPr>
          <w:rFonts w:ascii="Times New Roman" w:hAnsi="Times New Roman"/>
          <w:color w:val="000000" w:themeColor="text1"/>
          <w:sz w:val="16"/>
          <w:szCs w:val="16"/>
        </w:rPr>
        <w:t>№1 (разработчик: «IAR», Румыния)</w:t>
      </w:r>
    </w:p>
    <w:p w14:paraId="77140681" w14:textId="77777777" w:rsidR="005212F7" w:rsidRPr="00DB5D0D" w:rsidRDefault="005212F7" w:rsidP="00DB5D0D">
      <w:pPr>
        <w:spacing w:after="0" w:line="240" w:lineRule="auto"/>
        <w:jc w:val="both"/>
        <w:rPr>
          <w:rFonts w:ascii="Times New Roman" w:hAnsi="Times New Roman"/>
          <w:color w:val="000000" w:themeColor="text1"/>
          <w:sz w:val="16"/>
          <w:szCs w:val="16"/>
        </w:rPr>
      </w:pPr>
    </w:p>
    <w:p w14:paraId="15DDC11B"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мая 1940 - В ночь на 12 мая состоялся первый массированный ночной налёт англичан на Германию. 36 британских бомбардировщиков «Уитли» и «Хэмпдэм» безнаказанно сбросили бомбы на город Мёнхенгладбах (22505).</w:t>
      </w:r>
    </w:p>
    <w:p w14:paraId="7745DE61" w14:textId="77777777" w:rsidR="006E7D37" w:rsidRPr="00DB5D0D" w:rsidRDefault="006E7D37" w:rsidP="00DB5D0D">
      <w:pPr>
        <w:spacing w:after="0" w:line="240" w:lineRule="auto"/>
        <w:jc w:val="both"/>
        <w:rPr>
          <w:rFonts w:ascii="Times New Roman" w:hAnsi="Times New Roman"/>
          <w:color w:val="0070C0"/>
          <w:sz w:val="16"/>
          <w:szCs w:val="16"/>
        </w:rPr>
      </w:pPr>
    </w:p>
    <w:p w14:paraId="564A84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немецкие войска вышли к французской границе, обойдя "линию Мажино", которой отводилась роль главного рубежа французской обороны против Германии. Франко-британские войска в составе двух групп армий занимали рубеж обороны от Ла-Манша до швейцарской границы. Прорвав линию обороны у Седана, германские войска разрезали фронт союзников и вынудили их к отступлению. Одновременно начался отход союзников из Бельгии (3871).</w:t>
      </w:r>
    </w:p>
    <w:p w14:paraId="03C0F2D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318058" w14:textId="77777777" w:rsidR="005212F7" w:rsidRPr="00DB5D0D" w:rsidRDefault="005212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в 1940 году гитлеровская Германия начала вторжение во Францию. 1-я и 10-я немецкие танковые дивизии захватили французский город Седан (14889).</w:t>
      </w:r>
    </w:p>
    <w:p w14:paraId="32158011" w14:textId="77777777" w:rsidR="005212F7" w:rsidRPr="00DB5D0D" w:rsidRDefault="005212F7" w:rsidP="00DB5D0D">
      <w:pPr>
        <w:spacing w:after="0" w:line="240" w:lineRule="auto"/>
        <w:jc w:val="both"/>
        <w:rPr>
          <w:rFonts w:ascii="Times New Roman" w:hAnsi="Times New Roman"/>
          <w:color w:val="000000" w:themeColor="text1"/>
          <w:sz w:val="16"/>
          <w:szCs w:val="16"/>
        </w:rPr>
      </w:pPr>
    </w:p>
    <w:p w14:paraId="7DDEEC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начался немецкий блицкриг против Франции и немцы пересекли реку Muesse (2100).</w:t>
      </w:r>
    </w:p>
    <w:p w14:paraId="6C2ACD9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1EEA5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фашистские войска вторглись во Францию (4962), 1-я и 10-я немецкие танковые дивизии захватили французский город Седан (4963 ).</w:t>
      </w:r>
    </w:p>
    <w:p w14:paraId="5A119BA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08DDD90"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12th, 1940: In the West, French forces withdraw behind the Meuse river between Dinant and Sedan (3819).</w:t>
      </w:r>
    </w:p>
    <w:p w14:paraId="0D79D37A"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15B2B4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французские войска отошли за р Меуз между Динантом и Седаном (3819).</w:t>
      </w:r>
    </w:p>
    <w:p w14:paraId="03B1600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BE1DE6"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12 May 1940 German bombers destroy Brussels (270).</w:t>
      </w:r>
    </w:p>
    <w:p w14:paraId="068DD83A"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AACCA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немецкие бомбардировщики уничтожили Брюссель (270).</w:t>
      </w:r>
    </w:p>
    <w:p w14:paraId="21D2985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2B51B2" w14:textId="77777777" w:rsidR="005212F7" w:rsidRPr="00DB5D0D" w:rsidRDefault="005212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в 1940 году ночью 11/12 мая 1940 года состоялся первый массированный ночной налёт англичан на Германию. Тридцать семь английских бомбардировщиков безнаказанно сбросили бомбы на город Мёнхенгладбах</w:t>
      </w:r>
    </w:p>
    <w:p w14:paraId="43E9D874" w14:textId="77777777" w:rsidR="005212F7" w:rsidRPr="00DB5D0D" w:rsidRDefault="005212F7" w:rsidP="00DB5D0D">
      <w:pPr>
        <w:spacing w:after="0" w:line="240" w:lineRule="auto"/>
        <w:jc w:val="both"/>
        <w:rPr>
          <w:rFonts w:ascii="Times New Roman" w:hAnsi="Times New Roman"/>
          <w:color w:val="000000" w:themeColor="text1"/>
          <w:sz w:val="16"/>
          <w:szCs w:val="16"/>
        </w:rPr>
      </w:pPr>
    </w:p>
    <w:p w14:paraId="7D21BC3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23EA7A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8B1AB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 Начальник ГУАС генерал-лейтенант авиации Алексеев и Военком ГУАС бригадный комиссар Князев 15 мая 1940 года утвердили Отчет по гос. испытаниям самолета ББ-1 с мотором М-88 (опытный экземпляр).</w:t>
      </w:r>
    </w:p>
    <w:p w14:paraId="231D4D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363EC6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Синельников</w:t>
      </w:r>
    </w:p>
    <w:p w14:paraId="2146A8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Покровский</w:t>
      </w:r>
    </w:p>
    <w:p w14:paraId="2EAB1C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57AB38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летных характеристик с мотором М-88 и сравнение их с данными, полученными с мотором М-87А.</w:t>
      </w:r>
    </w:p>
    <w:p w14:paraId="7F467B0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Замеры расходов горючего и поверка дальности.</w:t>
      </w:r>
    </w:p>
    <w:p w14:paraId="4DEB1A9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винто-моторной группы с мотором М-88.</w:t>
      </w:r>
    </w:p>
    <w:p w14:paraId="4F687C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самолет ББ-1 М-88 конструкции Сухого является модификацией самолета «ИВАНОВ» М87А, прошедшего гос. испытания в НИИ ГУАС в 1939 году.</w:t>
      </w:r>
    </w:p>
    <w:p w14:paraId="767982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самолет ББ-1 М-88 одномоторный двухместный цельнометаллический моноплан с низкорасположенным крылом (серийные самолеты выпускаются смешанной конструкции – деревянный фюзеляж и металлические крылья).</w:t>
      </w:r>
    </w:p>
    <w:p w14:paraId="2E8828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имеет убирающиеся шасси и хвостовое колесо, щитки-закрылки и тормозные колеса.</w:t>
      </w:r>
    </w:p>
    <w:p w14:paraId="3896D0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0CB89F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Нормальная бомбовая нагрузка 400 кг, перегрузочный вариант – 600 кг.</w:t>
      </w:r>
    </w:p>
    <w:p w14:paraId="21D07E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размещены в грузовом отсеке.</w:t>
      </w:r>
    </w:p>
    <w:p w14:paraId="5687BE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Химическое вооружение состоит из 2-х ВАП-200, расположенных на наружных подвесках под крылом.</w:t>
      </w:r>
    </w:p>
    <w:p w14:paraId="3093EF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w:t>
      </w:r>
    </w:p>
    <w:p w14:paraId="3666C38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подвижный пулемет Шкас на вращающейся экранированной турели с запасом патрон 1500 штук.</w:t>
      </w:r>
    </w:p>
    <w:p w14:paraId="1F674F9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Четыре крыльевых пулемета Шкас с запасом патрон по 850 штук на пулемет (полная емкость патронного ящика) для варианта штурмовика.</w:t>
      </w:r>
    </w:p>
    <w:p w14:paraId="5964DC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с 20 ноября 1939 года по 30 апреля 1940 года на опытном самолете ББ-1 было заменено три мотора М-88 (испытания закончены на четвертом моторе, на котором в последнем полете была обнаружена стружка в маслофильтре).</w:t>
      </w:r>
    </w:p>
    <w:p w14:paraId="0D6DC3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6EDE00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Необходимый для вооружения ВВС самолет ББ-1 с мотором М-88, из-за недоведенности винто-моторной группы не может быть допущен для нормальной эксплуатации в строевых частях ВВС.</w:t>
      </w:r>
    </w:p>
    <w:p w14:paraId="2EB8E4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5760"/>
      </w:tblGrid>
      <w:tr w:rsidR="007D5DF8" w:rsidRPr="00DB5D0D" w14:paraId="0086375B" w14:textId="77777777" w:rsidTr="009223E5">
        <w:tc>
          <w:tcPr>
            <w:tcW w:w="3024" w:type="dxa"/>
            <w:tcBorders>
              <w:top w:val="single" w:sz="12" w:space="0" w:color="auto"/>
            </w:tcBorders>
          </w:tcPr>
          <w:p w14:paraId="06221E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5760" w:type="dxa"/>
            <w:tcBorders>
              <w:top w:val="single" w:sz="12" w:space="0" w:color="auto"/>
            </w:tcBorders>
          </w:tcPr>
          <w:p w14:paraId="65F4EF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12F35930" w14:textId="77777777" w:rsidTr="009223E5">
        <w:tc>
          <w:tcPr>
            <w:tcW w:w="3024" w:type="dxa"/>
          </w:tcPr>
          <w:p w14:paraId="38064F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января 1940 года</w:t>
            </w:r>
          </w:p>
        </w:tc>
        <w:tc>
          <w:tcPr>
            <w:tcW w:w="5760" w:type="dxa"/>
          </w:tcPr>
          <w:p w14:paraId="651C8A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установлен на лыжи. Сделаны два полета на пробу лыж.</w:t>
            </w:r>
          </w:p>
        </w:tc>
      </w:tr>
      <w:tr w:rsidR="007D5DF8" w:rsidRPr="00DB5D0D" w14:paraId="0FD424AC" w14:textId="77777777" w:rsidTr="009223E5">
        <w:tc>
          <w:tcPr>
            <w:tcW w:w="3024" w:type="dxa"/>
          </w:tcPr>
          <w:p w14:paraId="1CB141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14 февраля 1940 года</w:t>
            </w:r>
          </w:p>
        </w:tc>
        <w:tc>
          <w:tcPr>
            <w:tcW w:w="5760" w:type="dxa"/>
          </w:tcPr>
          <w:p w14:paraId="57270A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испытание лыж и замер разбега и пробега. Сделано 15 полетов.</w:t>
            </w:r>
          </w:p>
        </w:tc>
      </w:tr>
      <w:tr w:rsidR="007D5DF8" w:rsidRPr="00DB5D0D" w14:paraId="22F48D49" w14:textId="77777777" w:rsidTr="009223E5">
        <w:tc>
          <w:tcPr>
            <w:tcW w:w="3024" w:type="dxa"/>
          </w:tcPr>
          <w:p w14:paraId="588F81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февраля 1940 года</w:t>
            </w:r>
          </w:p>
        </w:tc>
        <w:tc>
          <w:tcPr>
            <w:tcW w:w="5760" w:type="dxa"/>
          </w:tcPr>
          <w:p w14:paraId="1465DD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границы высотности.</w:t>
            </w:r>
          </w:p>
        </w:tc>
      </w:tr>
      <w:tr w:rsidR="007D5DF8" w:rsidRPr="00DB5D0D" w14:paraId="7F01645E" w14:textId="77777777" w:rsidTr="009223E5">
        <w:tc>
          <w:tcPr>
            <w:tcW w:w="3024" w:type="dxa"/>
          </w:tcPr>
          <w:p w14:paraId="1ADCDF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февраля 1940 года</w:t>
            </w:r>
          </w:p>
        </w:tc>
        <w:tc>
          <w:tcPr>
            <w:tcW w:w="5760" w:type="dxa"/>
          </w:tcPr>
          <w:p w14:paraId="2678AF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проверку работы винтомоторной группы.</w:t>
            </w:r>
          </w:p>
        </w:tc>
      </w:tr>
      <w:tr w:rsidR="007D5DF8" w:rsidRPr="00DB5D0D" w14:paraId="000C73B8" w14:textId="77777777" w:rsidTr="009223E5">
        <w:tc>
          <w:tcPr>
            <w:tcW w:w="3024" w:type="dxa"/>
          </w:tcPr>
          <w:p w14:paraId="73746B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февраля 1940 года</w:t>
            </w:r>
          </w:p>
        </w:tc>
        <w:tc>
          <w:tcPr>
            <w:tcW w:w="5760" w:type="dxa"/>
          </w:tcPr>
          <w:p w14:paraId="544BEE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Полет на определение границы высотности. </w:t>
            </w:r>
          </w:p>
        </w:tc>
      </w:tr>
      <w:tr w:rsidR="007D5DF8" w:rsidRPr="00DB5D0D" w14:paraId="2FF47A93" w14:textId="77777777" w:rsidTr="009223E5">
        <w:tc>
          <w:tcPr>
            <w:tcW w:w="3024" w:type="dxa"/>
          </w:tcPr>
          <w:p w14:paraId="78C006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марта 1940 года</w:t>
            </w:r>
          </w:p>
        </w:tc>
        <w:tc>
          <w:tcPr>
            <w:tcW w:w="5760" w:type="dxa"/>
          </w:tcPr>
          <w:p w14:paraId="79B501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пробу винтомоторной группы.</w:t>
            </w:r>
          </w:p>
        </w:tc>
      </w:tr>
      <w:tr w:rsidR="007D5DF8" w:rsidRPr="00DB5D0D" w14:paraId="6BC0E6FD" w14:textId="77777777" w:rsidTr="009223E5">
        <w:tc>
          <w:tcPr>
            <w:tcW w:w="3024" w:type="dxa"/>
          </w:tcPr>
          <w:p w14:paraId="510F32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марта 1940 года</w:t>
            </w:r>
          </w:p>
        </w:tc>
        <w:tc>
          <w:tcPr>
            <w:tcW w:w="5760" w:type="dxa"/>
          </w:tcPr>
          <w:p w14:paraId="4F2223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испытание ВАПов. Сделано 5 полетов.</w:t>
            </w:r>
          </w:p>
        </w:tc>
      </w:tr>
      <w:tr w:rsidR="007D5DF8" w:rsidRPr="00DB5D0D" w14:paraId="029AE1C8" w14:textId="77777777" w:rsidTr="009223E5">
        <w:tc>
          <w:tcPr>
            <w:tcW w:w="3024" w:type="dxa"/>
          </w:tcPr>
          <w:p w14:paraId="626A6B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марта 1940 года</w:t>
            </w:r>
          </w:p>
        </w:tc>
        <w:tc>
          <w:tcPr>
            <w:tcW w:w="5760" w:type="dxa"/>
          </w:tcPr>
          <w:p w14:paraId="2797B8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Сделан полет на определение границы высотности.</w:t>
            </w:r>
          </w:p>
        </w:tc>
      </w:tr>
      <w:tr w:rsidR="007D5DF8" w:rsidRPr="00DB5D0D" w14:paraId="2CF0CE38" w14:textId="77777777" w:rsidTr="009223E5">
        <w:tc>
          <w:tcPr>
            <w:tcW w:w="3024" w:type="dxa"/>
          </w:tcPr>
          <w:p w14:paraId="0AD468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апреля 1940 года</w:t>
            </w:r>
          </w:p>
        </w:tc>
        <w:tc>
          <w:tcPr>
            <w:tcW w:w="5760" w:type="dxa"/>
          </w:tcPr>
          <w:p w14:paraId="11C0CF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пробу винтомоторной группы.</w:t>
            </w:r>
          </w:p>
        </w:tc>
      </w:tr>
      <w:tr w:rsidR="007D5DF8" w:rsidRPr="00DB5D0D" w14:paraId="77D02180" w14:textId="77777777" w:rsidTr="009223E5">
        <w:tc>
          <w:tcPr>
            <w:tcW w:w="3024" w:type="dxa"/>
          </w:tcPr>
          <w:p w14:paraId="2D2414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апреля 1940 года</w:t>
            </w:r>
          </w:p>
        </w:tc>
        <w:tc>
          <w:tcPr>
            <w:tcW w:w="5760" w:type="dxa"/>
          </w:tcPr>
          <w:p w14:paraId="5C2E50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скоростей по высотам Н=1000 м и Н=2000 м.</w:t>
            </w:r>
          </w:p>
        </w:tc>
      </w:tr>
      <w:tr w:rsidR="007D5DF8" w:rsidRPr="00DB5D0D" w14:paraId="4B639AD6" w14:textId="77777777" w:rsidTr="009223E5">
        <w:tc>
          <w:tcPr>
            <w:tcW w:w="3024" w:type="dxa"/>
          </w:tcPr>
          <w:p w14:paraId="06A220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апреля 1940 года</w:t>
            </w:r>
          </w:p>
        </w:tc>
        <w:tc>
          <w:tcPr>
            <w:tcW w:w="5760" w:type="dxa"/>
          </w:tcPr>
          <w:p w14:paraId="14D85C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границы высотности.</w:t>
            </w:r>
          </w:p>
        </w:tc>
      </w:tr>
      <w:tr w:rsidR="007D5DF8" w:rsidRPr="00DB5D0D" w14:paraId="10CF3B07" w14:textId="77777777" w:rsidTr="009223E5">
        <w:tc>
          <w:tcPr>
            <w:tcW w:w="3024" w:type="dxa"/>
          </w:tcPr>
          <w:p w14:paraId="4737E9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апреля 1940 года</w:t>
            </w:r>
          </w:p>
        </w:tc>
        <w:tc>
          <w:tcPr>
            <w:tcW w:w="5760" w:type="dxa"/>
          </w:tcPr>
          <w:p w14:paraId="46F71A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w:t>
            </w:r>
          </w:p>
        </w:tc>
      </w:tr>
      <w:tr w:rsidR="007D5DF8" w:rsidRPr="00DB5D0D" w14:paraId="5097C39D" w14:textId="77777777" w:rsidTr="009223E5">
        <w:tc>
          <w:tcPr>
            <w:tcW w:w="3024" w:type="dxa"/>
          </w:tcPr>
          <w:p w14:paraId="791836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апреля 1940 года</w:t>
            </w:r>
          </w:p>
        </w:tc>
        <w:tc>
          <w:tcPr>
            <w:tcW w:w="5760" w:type="dxa"/>
          </w:tcPr>
          <w:p w14:paraId="30F8B7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tc>
      </w:tr>
      <w:tr w:rsidR="007D5DF8" w:rsidRPr="00DB5D0D" w14:paraId="1A1E6434" w14:textId="77777777" w:rsidTr="009223E5">
        <w:tc>
          <w:tcPr>
            <w:tcW w:w="3024" w:type="dxa"/>
          </w:tcPr>
          <w:p w14:paraId="693833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апреля 1940 года</w:t>
            </w:r>
          </w:p>
        </w:tc>
        <w:tc>
          <w:tcPr>
            <w:tcW w:w="5760" w:type="dxa"/>
          </w:tcPr>
          <w:p w14:paraId="2C1AC5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tc>
      </w:tr>
      <w:tr w:rsidR="007D5DF8" w:rsidRPr="00DB5D0D" w14:paraId="3A1EC3E6" w14:textId="77777777" w:rsidTr="009223E5">
        <w:tc>
          <w:tcPr>
            <w:tcW w:w="3024" w:type="dxa"/>
          </w:tcPr>
          <w:p w14:paraId="1AF6D7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апреля 1940 года</w:t>
            </w:r>
          </w:p>
        </w:tc>
        <w:tc>
          <w:tcPr>
            <w:tcW w:w="5760" w:type="dxa"/>
          </w:tcPr>
          <w:p w14:paraId="0AA369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tc>
      </w:tr>
      <w:tr w:rsidR="007D5DF8" w:rsidRPr="00DB5D0D" w14:paraId="7901F239" w14:textId="77777777" w:rsidTr="009223E5">
        <w:tc>
          <w:tcPr>
            <w:tcW w:w="3024" w:type="dxa"/>
          </w:tcPr>
          <w:p w14:paraId="494E34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апреля 1940 года</w:t>
            </w:r>
          </w:p>
        </w:tc>
        <w:tc>
          <w:tcPr>
            <w:tcW w:w="5760" w:type="dxa"/>
          </w:tcPr>
          <w:p w14:paraId="582E08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пробу ВМГ.</w:t>
            </w:r>
          </w:p>
        </w:tc>
      </w:tr>
      <w:tr w:rsidR="007D5DF8" w:rsidRPr="00DB5D0D" w14:paraId="0FF4E8E1" w14:textId="77777777" w:rsidTr="009223E5">
        <w:tc>
          <w:tcPr>
            <w:tcW w:w="3024" w:type="dxa"/>
          </w:tcPr>
          <w:p w14:paraId="5AB67D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апреля 1940 года</w:t>
            </w:r>
          </w:p>
        </w:tc>
        <w:tc>
          <w:tcPr>
            <w:tcW w:w="5760" w:type="dxa"/>
          </w:tcPr>
          <w:p w14:paraId="25E652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границы высотности.</w:t>
            </w:r>
          </w:p>
        </w:tc>
      </w:tr>
      <w:tr w:rsidR="007D5DF8" w:rsidRPr="00DB5D0D" w14:paraId="07445DFB" w14:textId="77777777" w:rsidTr="009223E5">
        <w:tc>
          <w:tcPr>
            <w:tcW w:w="3024" w:type="dxa"/>
          </w:tcPr>
          <w:p w14:paraId="4196CB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апреля 1940 года</w:t>
            </w:r>
          </w:p>
        </w:tc>
        <w:tc>
          <w:tcPr>
            <w:tcW w:w="5760" w:type="dxa"/>
          </w:tcPr>
          <w:p w14:paraId="511AAB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r>
      <w:tr w:rsidR="007D5DF8" w:rsidRPr="00DB5D0D" w14:paraId="5BB0820C" w14:textId="77777777" w:rsidTr="009223E5">
        <w:tc>
          <w:tcPr>
            <w:tcW w:w="3024" w:type="dxa"/>
          </w:tcPr>
          <w:p w14:paraId="64D616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апреля 1940 года</w:t>
            </w:r>
          </w:p>
        </w:tc>
        <w:tc>
          <w:tcPr>
            <w:tcW w:w="5760" w:type="dxa"/>
          </w:tcPr>
          <w:p w14:paraId="042D5F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r>
      <w:tr w:rsidR="007D5DF8" w:rsidRPr="00DB5D0D" w14:paraId="33E71B4C" w14:textId="77777777" w:rsidTr="009223E5">
        <w:tc>
          <w:tcPr>
            <w:tcW w:w="3024" w:type="dxa"/>
          </w:tcPr>
          <w:p w14:paraId="1D79EB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апреля 1940 года</w:t>
            </w:r>
          </w:p>
        </w:tc>
        <w:tc>
          <w:tcPr>
            <w:tcW w:w="5760" w:type="dxa"/>
          </w:tcPr>
          <w:p w14:paraId="694FC2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r>
      <w:tr w:rsidR="007D5DF8" w:rsidRPr="00DB5D0D" w14:paraId="7A37B1FF" w14:textId="77777777" w:rsidTr="009223E5">
        <w:tc>
          <w:tcPr>
            <w:tcW w:w="3024" w:type="dxa"/>
            <w:tcBorders>
              <w:bottom w:val="single" w:sz="12" w:space="0" w:color="auto"/>
            </w:tcBorders>
          </w:tcPr>
          <w:p w14:paraId="440F13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апреля 1940 года</w:t>
            </w:r>
          </w:p>
        </w:tc>
        <w:tc>
          <w:tcPr>
            <w:tcW w:w="5760" w:type="dxa"/>
            <w:tcBorders>
              <w:bottom w:val="single" w:sz="12" w:space="0" w:color="auto"/>
            </w:tcBorders>
          </w:tcPr>
          <w:p w14:paraId="1168BD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скоростей по высотам Н=5400 м.</w:t>
            </w:r>
          </w:p>
        </w:tc>
      </w:tr>
    </w:tbl>
    <w:p w14:paraId="45B474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(4604).</w:t>
      </w:r>
    </w:p>
    <w:p w14:paraId="36EDFAF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2C21D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 Начальник ГУАС комдив Алексеев и Военком ГУАС бригадный комиссар Князев 15 мая 1940 г. утвердили Отчет по гос. испытаниям самолета ББ-1 с мотором М-88 (опытный экземпляр).</w:t>
      </w:r>
    </w:p>
    <w:p w14:paraId="4BF7E7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081D1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Синельников</w:t>
      </w:r>
    </w:p>
    <w:p w14:paraId="0F5DF3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Покровский</w:t>
      </w:r>
    </w:p>
    <w:p w14:paraId="224C3B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61A4B0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Снятие летных характеристик с мотором М-88 и сравнение их с данными, полученными с мотором М-87А.</w:t>
      </w:r>
    </w:p>
    <w:p w14:paraId="0609AC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Замеры расходов горючего и проверка дальности.</w:t>
      </w:r>
    </w:p>
    <w:p w14:paraId="3C2D68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Оценка винто-моторной группы с мотором М-88.</w:t>
      </w:r>
    </w:p>
    <w:p w14:paraId="3512AB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самолет ББ-1 М-88 конструкции Сухого является модификацией самолета Иванов М-87А, прошедшего гос. испытания в НИИ ГУАС в 1939 г.</w:t>
      </w:r>
    </w:p>
    <w:p w14:paraId="284803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с 20 ноября 1939 г. по 30 апреля 1940 г. на опытном самолете ББ-1 было заменено три мотора М-88 (испытания закончены на четвертом моторе, на котором в последнем полете была обнаружена стружка в маслофильтре).</w:t>
      </w:r>
    </w:p>
    <w:p w14:paraId="6DBC97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71794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Необходимый для вооружения ВВС самолет ББ-1 с мотором М-88, из-за недоведенности винто-моторной группы не может быть допущен для нормальной эксплуатации в строевых частях ВВС (3396).</w:t>
      </w:r>
    </w:p>
    <w:p w14:paraId="5EAA7E0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DB18A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 Начальник ГУАС генерал-лейтенант авиации Алексеев и Военком ГУАС бригадный комиссар Князев 15 мая 1940 года утвердили Отчет по войсковым испытаниям десяти самолетов ББ-22 выпущенных заводом № 1 (первая серия).</w:t>
      </w:r>
    </w:p>
    <w:p w14:paraId="2F2737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завода № 1 Екатов</w:t>
      </w:r>
    </w:p>
    <w:p w14:paraId="0E7DF0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проходили с 13 февраля по 24 апреля 1940.</w:t>
      </w:r>
    </w:p>
    <w:p w14:paraId="108BCE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Выполнили 507 полетов и налетали 207:13</w:t>
      </w:r>
    </w:p>
    <w:p w14:paraId="5E8493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5386 кг</w:t>
      </w:r>
    </w:p>
    <w:p w14:paraId="1F176D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ЦТ 30,2 САХ</w:t>
      </w:r>
    </w:p>
    <w:p w14:paraId="60D638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4043,5 кг</w:t>
      </w:r>
    </w:p>
    <w:p w14:paraId="1546F1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ЦТ 22,68%</w:t>
      </w:r>
    </w:p>
    <w:p w14:paraId="5DBAB8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скрорость 439 у земли и 515 на 500 м</w:t>
      </w:r>
    </w:p>
    <w:p w14:paraId="5F49DB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8900 м</w:t>
      </w:r>
    </w:p>
    <w:p w14:paraId="2F7842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420 м</w:t>
      </w:r>
    </w:p>
    <w:p w14:paraId="339395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300-320 м</w:t>
      </w:r>
    </w:p>
    <w:p w14:paraId="3FD680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испытания прошел неудовлетворительно</w:t>
      </w:r>
    </w:p>
    <w:p w14:paraId="23004B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разрушение колес</w:t>
      </w:r>
    </w:p>
    <w:p w14:paraId="5D6382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разрушение болтов крепления мотора к подмоторной раме</w:t>
      </w:r>
    </w:p>
    <w:p w14:paraId="4D8925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недостаточная прочность костыля (узла замка)</w:t>
      </w:r>
    </w:p>
    <w:p w14:paraId="216E6F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незакрывание бомболюков</w:t>
      </w:r>
    </w:p>
    <w:p w14:paraId="24C554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необеспеченность защиты задней п/с</w:t>
      </w:r>
    </w:p>
    <w:p w14:paraId="414326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отсутствует фотоаппаратура</w:t>
      </w:r>
    </w:p>
    <w:p w14:paraId="481C0F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недостаточна дальность (720,16).</w:t>
      </w:r>
    </w:p>
    <w:p w14:paraId="777A078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F7F29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 Начальник ГУАС генерал-лейтенант авиации Алексеев и Военком ГУАС бригадный комиссар Князев 15 мая 1940 года утвердили Отчет по войсковым испытаниям десяти самолетов ББ-22 выпущенных заводом № 1 (первая серия).</w:t>
      </w:r>
    </w:p>
    <w:p w14:paraId="6C705E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2DF4617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тактические особенности самолета и его боевое применение.</w:t>
      </w:r>
    </w:p>
    <w:p w14:paraId="134CAF3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конструктивные, эксплуатационные и производственные недостатки самолета, вооружения и специального оборудования.</w:t>
      </w:r>
    </w:p>
    <w:p w14:paraId="7FE96F7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надежность и безотказность в работе стрелкового и бомбардировочного вооружения.</w:t>
      </w:r>
    </w:p>
    <w:p w14:paraId="39654C4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Уточнить данные, полученные в процессе гос. испытаний опытного самолета (скорости по высотам, скороподъемность, потолок, дальность, маневренность, управляемость).</w:t>
      </w:r>
    </w:p>
    <w:p w14:paraId="7E2CB80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материалов испытаний составить летную и эксплуатационную инструкцию.</w:t>
      </w:r>
    </w:p>
    <w:p w14:paraId="149CDC2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соответствие предъявленного самолета, вооружения и спецоборудования тактико-техническим требованиям.</w:t>
      </w:r>
    </w:p>
    <w:p w14:paraId="60B5B3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войсковые испытания поступили 9 самолетов ББ-22 (с убирающимися в полете шасси в зимнем варианте) первой серии завода № 1 за №№ 1001, 1003, 1004, 1006, 1007, 1008, 1009, 1010 и 1011.</w:t>
      </w:r>
    </w:p>
    <w:p w14:paraId="35C498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своему назначению самолеты являются ближними бомбардировщиками.</w:t>
      </w:r>
    </w:p>
    <w:p w14:paraId="5217E4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самолетах установлено вооружение:</w:t>
      </w:r>
    </w:p>
    <w:p w14:paraId="799328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 передняя точка один пулемет ШКАС калибра 7,62 мм с запасом патрон 500 штук. Задняя точка предусматривает установку одного пулемета Шкас с запасом патрон 1000 штук.</w:t>
      </w:r>
    </w:p>
    <w:p w14:paraId="1D79EF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 предусматривает подвеску в бомбоотсеках на кассеты КД-1 и КД-2 бомб калибром АО-8 – 20 штук, АО-10 – 20 штук, АО-15 – 20 штук, АО-20 – 20 шт., АО-25 – 10 шт., ФАБ-50 – 4 штуки, ФАБ-100 – 4 штуки.</w:t>
      </w:r>
    </w:p>
    <w:p w14:paraId="69E93D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наружная подвеска (2 замка) допускает подвеску ФАБ-50 – 2 штуки или ФАБ-100 – 2 штуки.</w:t>
      </w:r>
    </w:p>
    <w:p w14:paraId="33DE13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Наружная подвеска идет в перегрузочном варианте.</w:t>
      </w:r>
    </w:p>
    <w:p w14:paraId="69A9F7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ББ-22 в предъявленном варианте гос. испытаний не проходил.</w:t>
      </w:r>
    </w:p>
    <w:p w14:paraId="388FE3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31645D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ББ-22 с 2М-103 производства завода № 1 в предъявленном на войсковые испытания виде испытания прошли неудовлетворительно (4560).</w:t>
      </w:r>
    </w:p>
    <w:p w14:paraId="08821B6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02611CA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 Начальник ГУАС генерал-лейтенант авиации Алексеев и Военком ГУАС бригадный комиссар Князев 15 мая 1940 года утвердили Отчет по войсковым испытаниям десяти самолетов ББ-22 выпущенных заводом № 1 (первая серия) (6600).</w:t>
      </w:r>
    </w:p>
    <w:p w14:paraId="6294F6E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07D1722B"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тактические особенности самолета и его боевое применение.</w:t>
      </w:r>
    </w:p>
    <w:p w14:paraId="0915823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конструктивные, эксплуатационные и производственные недостатки самолета, вооружения и специального оборудования.</w:t>
      </w:r>
    </w:p>
    <w:p w14:paraId="19311A0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надежность и безотказность в работе стрелкового и бомбардировочного вооружения.</w:t>
      </w:r>
    </w:p>
    <w:p w14:paraId="0BBF375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Уточнить данные, полученные в процессе гос. испытаний опытного самолета (скорости по высотам, скороподъемность, потолок, дальность, маневренность, управляемость).</w:t>
      </w:r>
    </w:p>
    <w:p w14:paraId="41B9AC3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материалов испытаний составить летную и эксплуатационную инструкцию.</w:t>
      </w:r>
    </w:p>
    <w:p w14:paraId="0B107DA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соответствие предъявленного самолета, вооружения и спецоборудования тактико-техническим требованиям.</w:t>
      </w:r>
    </w:p>
    <w:p w14:paraId="12B0D73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войсковые испытания поступили 9 самолетов ББ-22 (с убирающимися в полете шасси в зимнем варианте) первой серии завода № 1 за №№ 1001, 1003, 1004, 1006, 1007, 1008, 1009, 1010 и 1011.</w:t>
      </w:r>
    </w:p>
    <w:p w14:paraId="253E371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своему назначению самолеты являются ближними бомбардировщиками.</w:t>
      </w:r>
    </w:p>
    <w:p w14:paraId="5ED572A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самолетах установлено вооружение:</w:t>
      </w:r>
    </w:p>
    <w:p w14:paraId="3D9D75E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 передняя точка один пулемет ШКАС калибра 7,62 мм с запасом патрон 500 штук. Задняя точка предусматривает установку одного пулемета Шкас с запасом патрон 1000 штук.</w:t>
      </w:r>
    </w:p>
    <w:p w14:paraId="5CC1AA1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 предусматривает подвеску в бомбоотсеках на кассеты КД-1 и КД-2 бомб калибром АО-8 – 20 штук, АО-10 – 20 штук, АО-15 – 20 штук, АО-20 – 20 шт., АО-25 – 10 шт., ФАБ-50 – 4 штуки, ФАБ-100 – 4 штуки.</w:t>
      </w:r>
    </w:p>
    <w:p w14:paraId="0CA7EA0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наружная подвеска (2 замка) допускает подвеску ФАБ-50 – 2 штуки или ФАБ-100 – 2 штуки.</w:t>
      </w:r>
    </w:p>
    <w:p w14:paraId="20CA2A6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Наружная подвеска идет в перегрузочном варианте.</w:t>
      </w:r>
    </w:p>
    <w:p w14:paraId="06C9375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ББ-22 в предъявленном варианте гос. испытаний не проходил.</w:t>
      </w:r>
    </w:p>
    <w:p w14:paraId="705CC57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211582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ББ-22 с 2М-103 производства завода № 1 в предъявленном на войсковые испытания виде испытания прошли неудовлетворительно (6600).</w:t>
      </w:r>
    </w:p>
    <w:p w14:paraId="5E6FA0DD"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p w14:paraId="7B7B302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 вышел приказ НИИ ВВС № 084</w:t>
      </w:r>
    </w:p>
    <w:p w14:paraId="3FF40BC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самолета С-42 4АМ-34ФРНб постройки завода № 124 (6891, 158).</w:t>
      </w:r>
    </w:p>
    <w:p w14:paraId="1074E4F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F8125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 начальник Штаба НИИ ГУАС бригинженер Щербаков писал письмо № 00570 начальнику ГУАС комдиву Алексееву</w:t>
      </w:r>
    </w:p>
    <w:p w14:paraId="487C58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по самолету ТБ-7 4АМ34ФРНВ с ЦН</w:t>
      </w:r>
    </w:p>
    <w:p w14:paraId="654EFFD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Летно-тактические данные с нормальным весом самолета 24000 кг.</w:t>
      </w:r>
    </w:p>
    <w:p w14:paraId="22BB0C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8600 м с ВИШ-24 – 440 км/час</w:t>
      </w:r>
    </w:p>
    <w:p w14:paraId="7CCF89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без закрылков – 110 км/час</w:t>
      </w:r>
    </w:p>
    <w:p w14:paraId="40CD26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5000 м – 16,3 мин.</w:t>
      </w:r>
    </w:p>
    <w:p w14:paraId="193805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8000 м – 27,8 мин.</w:t>
      </w:r>
    </w:p>
    <w:p w14:paraId="153213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11250 м</w:t>
      </w:r>
    </w:p>
    <w:p w14:paraId="3D1E47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при нормальном весе 24000 кг на 0,8 максимальной скорости с 2000 кг бомб – 1300 км</w:t>
      </w:r>
    </w:p>
    <w:p w14:paraId="4D9F77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в перегрузочном варианте с весом в 32000 кг с 2000 кг бомб – 3700 км</w:t>
      </w:r>
    </w:p>
    <w:p w14:paraId="79C5C2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 10 человек</w:t>
      </w:r>
    </w:p>
    <w:p w14:paraId="32CC664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w:t>
      </w:r>
    </w:p>
    <w:p w14:paraId="667CDD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Стрелково-пушечное.</w:t>
      </w:r>
    </w:p>
    <w:p w14:paraId="5F3D0AD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Носовой вращающейся башни со спаркой пулеметов Шкас с запасом патрон 1600 штук.</w:t>
      </w:r>
    </w:p>
    <w:p w14:paraId="43D4D21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Кормовой башни со спаркой пулеметов Шкас и запасом патрон 1600 штук.</w:t>
      </w:r>
    </w:p>
    <w:p w14:paraId="568D625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 подшассийных установок с 1-м пулеметом Шкас и запасом патрон 800 штук каждая, с обстрелом нижней полусферы и назад и вбок.</w:t>
      </w:r>
    </w:p>
    <w:p w14:paraId="0903CD6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Кинжальной установки с пулеметом Шкас с запасом патрон 800 штук обстрел вниз и вперед.</w:t>
      </w:r>
    </w:p>
    <w:p w14:paraId="71EC8C3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Пушечной турели ТАТ под пушку Швак калибра 20 мм запас снарядов 200 штук и обстрелом верхней полусферы.</w:t>
      </w:r>
    </w:p>
    <w:p w14:paraId="1ACAF3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Максимальная бомбовая нагрузка.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410"/>
        <w:gridCol w:w="2410"/>
        <w:gridCol w:w="2693"/>
      </w:tblGrid>
      <w:tr w:rsidR="007D5DF8" w:rsidRPr="00DB5D0D" w14:paraId="1C0C5853" w14:textId="77777777" w:rsidTr="009223E5">
        <w:tc>
          <w:tcPr>
            <w:tcW w:w="2376" w:type="dxa"/>
          </w:tcPr>
          <w:p w14:paraId="76DD8C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w:t>
            </w:r>
          </w:p>
        </w:tc>
        <w:tc>
          <w:tcPr>
            <w:tcW w:w="2410" w:type="dxa"/>
          </w:tcPr>
          <w:p w14:paraId="2C54C9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Общий вес</w:t>
            </w:r>
          </w:p>
        </w:tc>
        <w:tc>
          <w:tcPr>
            <w:tcW w:w="2410" w:type="dxa"/>
          </w:tcPr>
          <w:p w14:paraId="4BB821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них в фюзеляже</w:t>
            </w:r>
          </w:p>
        </w:tc>
        <w:tc>
          <w:tcPr>
            <w:tcW w:w="2693" w:type="dxa"/>
          </w:tcPr>
          <w:p w14:paraId="71F9ED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Наружная подвеска</w:t>
            </w:r>
          </w:p>
        </w:tc>
      </w:tr>
      <w:tr w:rsidR="007D5DF8" w:rsidRPr="00DB5D0D" w14:paraId="62BCFEA4" w14:textId="77777777" w:rsidTr="009223E5">
        <w:tc>
          <w:tcPr>
            <w:tcW w:w="2376" w:type="dxa"/>
          </w:tcPr>
          <w:p w14:paraId="20A529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4х1000</w:t>
            </w:r>
          </w:p>
        </w:tc>
        <w:tc>
          <w:tcPr>
            <w:tcW w:w="2410" w:type="dxa"/>
          </w:tcPr>
          <w:p w14:paraId="7B3869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2410" w:type="dxa"/>
          </w:tcPr>
          <w:p w14:paraId="3E250A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2х1000</w:t>
            </w:r>
          </w:p>
        </w:tc>
        <w:tc>
          <w:tcPr>
            <w:tcW w:w="2693" w:type="dxa"/>
          </w:tcPr>
          <w:p w14:paraId="2E21D3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2х1000</w:t>
            </w:r>
          </w:p>
        </w:tc>
      </w:tr>
      <w:tr w:rsidR="007D5DF8" w:rsidRPr="00DB5D0D" w14:paraId="7196BADE" w14:textId="77777777" w:rsidTr="009223E5">
        <w:tc>
          <w:tcPr>
            <w:tcW w:w="2376" w:type="dxa"/>
          </w:tcPr>
          <w:p w14:paraId="0781CB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6х500</w:t>
            </w:r>
          </w:p>
        </w:tc>
        <w:tc>
          <w:tcPr>
            <w:tcW w:w="2410" w:type="dxa"/>
          </w:tcPr>
          <w:p w14:paraId="196A77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2410" w:type="dxa"/>
          </w:tcPr>
          <w:p w14:paraId="24869B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4х500</w:t>
            </w:r>
          </w:p>
        </w:tc>
        <w:tc>
          <w:tcPr>
            <w:tcW w:w="2693" w:type="dxa"/>
          </w:tcPr>
          <w:p w14:paraId="5B0F35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2х500</w:t>
            </w:r>
          </w:p>
        </w:tc>
      </w:tr>
      <w:tr w:rsidR="007D5DF8" w:rsidRPr="00DB5D0D" w14:paraId="0E4AA902" w14:textId="77777777" w:rsidTr="009223E5">
        <w:tc>
          <w:tcPr>
            <w:tcW w:w="2376" w:type="dxa"/>
          </w:tcPr>
          <w:p w14:paraId="3E8BCA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12х250</w:t>
            </w:r>
          </w:p>
        </w:tc>
        <w:tc>
          <w:tcPr>
            <w:tcW w:w="2410" w:type="dxa"/>
          </w:tcPr>
          <w:p w14:paraId="13F52F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2410" w:type="dxa"/>
          </w:tcPr>
          <w:p w14:paraId="40296B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8х250</w:t>
            </w:r>
          </w:p>
        </w:tc>
        <w:tc>
          <w:tcPr>
            <w:tcW w:w="2693" w:type="dxa"/>
          </w:tcPr>
          <w:p w14:paraId="100AED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4х250</w:t>
            </w:r>
          </w:p>
        </w:tc>
      </w:tr>
      <w:tr w:rsidR="007D5DF8" w:rsidRPr="00DB5D0D" w14:paraId="6351AD87" w14:textId="77777777" w:rsidTr="009223E5">
        <w:tc>
          <w:tcPr>
            <w:tcW w:w="2376" w:type="dxa"/>
          </w:tcPr>
          <w:p w14:paraId="614266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40х100</w:t>
            </w:r>
          </w:p>
        </w:tc>
        <w:tc>
          <w:tcPr>
            <w:tcW w:w="2410" w:type="dxa"/>
          </w:tcPr>
          <w:p w14:paraId="4B6ACA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2410" w:type="dxa"/>
          </w:tcPr>
          <w:p w14:paraId="5AF9AC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24х100</w:t>
            </w:r>
          </w:p>
        </w:tc>
        <w:tc>
          <w:tcPr>
            <w:tcW w:w="2693" w:type="dxa"/>
          </w:tcPr>
          <w:p w14:paraId="375C19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16х100</w:t>
            </w:r>
          </w:p>
        </w:tc>
      </w:tr>
    </w:tbl>
    <w:p w14:paraId="4F7B104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Десантно-транспортный вариант самолета.</w:t>
      </w:r>
    </w:p>
    <w:p w14:paraId="3F2C2D6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самолета ТБ-7 построена и испытана транспортно-десантная кабина, расположенная под бомбовым отсеком.</w:t>
      </w:r>
    </w:p>
    <w:p w14:paraId="1CD709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воздушного десанта, кроме основного экипажа самолета – 10 человек, можно поднять 45 вооруженных бойцов-парашютистов, из них в десантной кабине – 14 человек и в самолете 31 человек.</w:t>
      </w:r>
    </w:p>
    <w:p w14:paraId="00863E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посадочного десанта, кроме основного экипажа самолета 10 человек, можно перевезти 60 вооруженных бойцов, из них 18 в десантной кабине и 42 – в самолете.</w:t>
      </w:r>
    </w:p>
    <w:p w14:paraId="3908989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самолета ТБ-7 спроектирована подвеска для тяжелых грузов до 4-х тонн, позволяющая транспортировать авиамоторы, воздушные винты, боеприпасы, автомашины, легкие танки и др. грузы.</w:t>
      </w:r>
    </w:p>
    <w:p w14:paraId="19D21D4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перевозки бойцов и грузов самолет ТБ-7 можно использовать для переброски горючего и масла. Емкость бензобаков самолета ТБ-7 12400 литров позволяет отдать до 9000 литров бензина, что дает возможность зарядить бензином и маслом до 30 истребителей. Вместо бомб имеется возможность, используя их замки и перевезти дополнительно в подвесных баках – 2000 литров.</w:t>
      </w:r>
    </w:p>
    <w:p w14:paraId="2CBA75A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Перспектива.</w:t>
      </w:r>
    </w:p>
    <w:p w14:paraId="084146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ТБ-7 в дальнейшем может быть модифицирован под моторы АМ-37, вооружение конусными установками и улучшением аэродинамики.</w:t>
      </w:r>
    </w:p>
    <w:p w14:paraId="4B485E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при этом может быть доведена до 500 км/час.</w:t>
      </w:r>
    </w:p>
    <w:p w14:paraId="324C394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Прохождение испытаний самолета ТБ-7 4АМ34ФРН с ЦН.</w:t>
      </w:r>
    </w:p>
    <w:p w14:paraId="313DAFC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начат проектированием на заводе № 156 1 января 1936 года.</w:t>
      </w:r>
    </w:p>
    <w:p w14:paraId="268E645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предъявлен 2 февраля 1936 года. Вторично макет утвержден 8 апреля 1936 года.</w:t>
      </w:r>
    </w:p>
    <w:p w14:paraId="3FABB2F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считая с момента первого вылета, начаты 25 декабря 1936 года. Первый этап заводских испытаний окончен 20 марта 1937 года.</w:t>
      </w:r>
    </w:p>
    <w:p w14:paraId="38FDC6B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7ABDF0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63C77A5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27 января 1938 года по 14 февраля 1938 года проходил испытания в зимних условиях с неубирающимися лыжами.</w:t>
      </w:r>
    </w:p>
    <w:p w14:paraId="76AD0C6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67C0EE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6F9C017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июля 1938 года по 28 декабря 1938 года проходил госиспытания 2-й экземпляр самолета.</w:t>
      </w:r>
    </w:p>
    <w:p w14:paraId="4EF067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77BD9C7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40294E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Внедрение в серию принять после освоения заводом № 124 серийной постройки нормального варианта.</w:t>
      </w:r>
    </w:p>
    <w:p w14:paraId="0BC70E6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I квартале 1940 года поступило на госиспытания два самолета серийной постройки с АМ34ФРН ЦН.</w:t>
      </w:r>
    </w:p>
    <w:p w14:paraId="6E8079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51CFAAB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6D5E8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13 мая 1940 А.С.Я. был вызван в Кремль, где участвовал в обсуждении вопроса серии И-26. С исправлениями, внесенными И В. Сталиным и В.М. Молотовым (увеличена цифра выпуска самолетов И-26 заводом № 301 в 1941 году с 600 до 800 машин и снято задание на 1942 год в 1000 самолетов), проект был передан 14 мая членам КО для голосования и 16 мая 1940 г. принят (постановление № 206сс) (12048).</w:t>
      </w:r>
    </w:p>
    <w:p w14:paraId="7756BFB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06B3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закончились гос. испытания И-207-2 с М-62 (2090,132).</w:t>
      </w:r>
    </w:p>
    <w:p w14:paraId="5A1FB52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7623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 закончились гос. испытания серийного самолета И-153 М-62 № 6566 с винтом АВ-1 на штопор на лыжах и на колесах, которые проходили с 29 февраля 1940</w:t>
      </w:r>
    </w:p>
    <w:p w14:paraId="0846D4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204C17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1 ранга Никитченко</w:t>
      </w:r>
    </w:p>
    <w:p w14:paraId="222F18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по испытанию на лыжах ст. лейтенант Кубышкин</w:t>
      </w:r>
    </w:p>
    <w:p w14:paraId="03DD98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по испытанию на колесах капитан Прошаков</w:t>
      </w:r>
    </w:p>
    <w:p w14:paraId="673B6E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6DFD8FC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степень безопасности выполнения штопора на самолете И-153 М-62 с винтом АВ-1.</w:t>
      </w:r>
    </w:p>
    <w:p w14:paraId="3382B02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поведение самолета при вводе в штопор в зависимости от количественной и качественной дачи рулей.</w:t>
      </w:r>
    </w:p>
    <w:p w14:paraId="37AD55D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наиболее эффективный способ вывода самолета из штопора в зависимости от количественной и качественной дачи рулей, по методу изложенному в книге «Штопор самолета» – Филина и Петрова.</w:t>
      </w:r>
    </w:p>
    <w:p w14:paraId="0FC2C20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параметры ввода в штопор, самого штопора и вывода из него: скорость ввода, потерю высоты за один виток, время одного витка, скорость по прибору, потерю высоты за время пикирования после вывода из штопора и скорость при выводе самолета из штопора.</w:t>
      </w:r>
    </w:p>
    <w:p w14:paraId="3D99F4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633DC4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Штопор на самолете И-153 с мотором М-62, винтом АВ-1 и с запасом горючего 150 кг при строгом выполнении «Инструкции по производству штопора» безопасен.</w:t>
      </w:r>
    </w:p>
    <w:p w14:paraId="1E9675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испытание 29 февраля 1940 года</w:t>
      </w:r>
    </w:p>
    <w:p w14:paraId="0D36A8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закончил испытания 13 мая 1940 года</w:t>
      </w:r>
    </w:p>
    <w:p w14:paraId="04E3ED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 75 дней, из них летные испытания – 11 дней</w:t>
      </w:r>
    </w:p>
    <w:p w14:paraId="370D3D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p w14:paraId="11EAB2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21 декабря по 1 марта 1940 года проходил гос. испытание.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8647"/>
      </w:tblGrid>
      <w:tr w:rsidR="007D5DF8" w:rsidRPr="00DB5D0D" w14:paraId="1FEA9D29" w14:textId="77777777" w:rsidTr="009223E5">
        <w:tc>
          <w:tcPr>
            <w:tcW w:w="1809" w:type="dxa"/>
            <w:tcBorders>
              <w:top w:val="single" w:sz="12" w:space="0" w:color="auto"/>
            </w:tcBorders>
          </w:tcPr>
          <w:p w14:paraId="73CD94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марта 1940 года</w:t>
            </w:r>
          </w:p>
        </w:tc>
        <w:tc>
          <w:tcPr>
            <w:tcW w:w="8647" w:type="dxa"/>
            <w:tcBorders>
              <w:top w:val="single" w:sz="12" w:space="0" w:color="auto"/>
            </w:tcBorders>
          </w:tcPr>
          <w:p w14:paraId="30CC12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w:t>
            </w:r>
          </w:p>
        </w:tc>
      </w:tr>
      <w:tr w:rsidR="007D5DF8" w:rsidRPr="00DB5D0D" w14:paraId="54FAB97E" w14:textId="77777777" w:rsidTr="009223E5">
        <w:tc>
          <w:tcPr>
            <w:tcW w:w="1809" w:type="dxa"/>
          </w:tcPr>
          <w:p w14:paraId="069BFA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марта 1940 года</w:t>
            </w:r>
          </w:p>
        </w:tc>
        <w:tc>
          <w:tcPr>
            <w:tcW w:w="8647" w:type="dxa"/>
          </w:tcPr>
          <w:p w14:paraId="28D380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определение взлетно-посадочных свойств – 9 посадок</w:t>
            </w:r>
          </w:p>
        </w:tc>
      </w:tr>
      <w:tr w:rsidR="007D5DF8" w:rsidRPr="00DB5D0D" w14:paraId="4E2B5A2C" w14:textId="77777777" w:rsidTr="009223E5">
        <w:tc>
          <w:tcPr>
            <w:tcW w:w="1809" w:type="dxa"/>
          </w:tcPr>
          <w:p w14:paraId="31AAED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марта 1940 года</w:t>
            </w:r>
          </w:p>
        </w:tc>
        <w:tc>
          <w:tcPr>
            <w:tcW w:w="8647" w:type="dxa"/>
          </w:tcPr>
          <w:p w14:paraId="05594E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срыв в штопор</w:t>
            </w:r>
          </w:p>
        </w:tc>
      </w:tr>
      <w:tr w:rsidR="007D5DF8" w:rsidRPr="00DB5D0D" w14:paraId="46A5FCBB" w14:textId="77777777" w:rsidTr="009223E5">
        <w:tc>
          <w:tcPr>
            <w:tcW w:w="1809" w:type="dxa"/>
          </w:tcPr>
          <w:p w14:paraId="702F2D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марта 1940 года</w:t>
            </w:r>
          </w:p>
        </w:tc>
        <w:tc>
          <w:tcPr>
            <w:tcW w:w="8647" w:type="dxa"/>
          </w:tcPr>
          <w:p w14:paraId="5CEB36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штопор</w:t>
            </w:r>
          </w:p>
        </w:tc>
      </w:tr>
      <w:tr w:rsidR="007D5DF8" w:rsidRPr="00DB5D0D" w14:paraId="31C094AB" w14:textId="77777777" w:rsidTr="009223E5">
        <w:tc>
          <w:tcPr>
            <w:tcW w:w="1809" w:type="dxa"/>
          </w:tcPr>
          <w:p w14:paraId="68DD70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марта 1940 года</w:t>
            </w:r>
          </w:p>
        </w:tc>
        <w:tc>
          <w:tcPr>
            <w:tcW w:w="8647" w:type="dxa"/>
          </w:tcPr>
          <w:p w14:paraId="122BB4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штопор</w:t>
            </w:r>
          </w:p>
        </w:tc>
      </w:tr>
      <w:tr w:rsidR="007D5DF8" w:rsidRPr="00DB5D0D" w14:paraId="5470149A" w14:textId="77777777" w:rsidTr="009223E5">
        <w:tc>
          <w:tcPr>
            <w:tcW w:w="1809" w:type="dxa"/>
          </w:tcPr>
          <w:p w14:paraId="441422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марта 1940 года</w:t>
            </w:r>
          </w:p>
        </w:tc>
        <w:tc>
          <w:tcPr>
            <w:tcW w:w="8647" w:type="dxa"/>
          </w:tcPr>
          <w:p w14:paraId="538946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Ночные полеты – сделано 11 посадок (летчики Стефановский, Кубышкин, Николаев, Прошаков)</w:t>
            </w:r>
          </w:p>
        </w:tc>
      </w:tr>
      <w:tr w:rsidR="007D5DF8" w:rsidRPr="00DB5D0D" w14:paraId="74335DB0" w14:textId="77777777" w:rsidTr="009223E5">
        <w:tc>
          <w:tcPr>
            <w:tcW w:w="1809" w:type="dxa"/>
          </w:tcPr>
          <w:p w14:paraId="6AD338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марта 1940 года</w:t>
            </w:r>
          </w:p>
        </w:tc>
        <w:tc>
          <w:tcPr>
            <w:tcW w:w="8647" w:type="dxa"/>
          </w:tcPr>
          <w:p w14:paraId="441852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штопор</w:t>
            </w:r>
          </w:p>
        </w:tc>
      </w:tr>
      <w:tr w:rsidR="007D5DF8" w:rsidRPr="00DB5D0D" w14:paraId="3782A99A" w14:textId="77777777" w:rsidTr="009223E5">
        <w:tc>
          <w:tcPr>
            <w:tcW w:w="1809" w:type="dxa"/>
          </w:tcPr>
          <w:p w14:paraId="719E1D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марта 1940 года</w:t>
            </w:r>
          </w:p>
        </w:tc>
        <w:tc>
          <w:tcPr>
            <w:tcW w:w="8647" w:type="dxa"/>
          </w:tcPr>
          <w:p w14:paraId="59D410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Перестановка на колеса</w:t>
            </w:r>
          </w:p>
        </w:tc>
      </w:tr>
      <w:tr w:rsidR="007D5DF8" w:rsidRPr="00DB5D0D" w14:paraId="593F3D69" w14:textId="77777777" w:rsidTr="009223E5">
        <w:tc>
          <w:tcPr>
            <w:tcW w:w="1809" w:type="dxa"/>
          </w:tcPr>
          <w:p w14:paraId="2AB138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апреля 1940 года</w:t>
            </w:r>
          </w:p>
        </w:tc>
        <w:tc>
          <w:tcPr>
            <w:tcW w:w="8647" w:type="dxa"/>
          </w:tcPr>
          <w:p w14:paraId="6BE207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и полет на штопор</w:t>
            </w:r>
          </w:p>
        </w:tc>
      </w:tr>
      <w:tr w:rsidR="007D5DF8" w:rsidRPr="00DB5D0D" w14:paraId="581F0A5D" w14:textId="77777777" w:rsidTr="009223E5">
        <w:tc>
          <w:tcPr>
            <w:tcW w:w="1809" w:type="dxa"/>
          </w:tcPr>
          <w:p w14:paraId="6A23CB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w:t>
            </w:r>
          </w:p>
        </w:tc>
        <w:tc>
          <w:tcPr>
            <w:tcW w:w="8647" w:type="dxa"/>
          </w:tcPr>
          <w:p w14:paraId="7A4585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Контрольный полет после замены цилиндра</w:t>
            </w:r>
          </w:p>
        </w:tc>
      </w:tr>
      <w:tr w:rsidR="007D5DF8" w:rsidRPr="00DB5D0D" w14:paraId="1D5F267A" w14:textId="77777777" w:rsidTr="009223E5">
        <w:tc>
          <w:tcPr>
            <w:tcW w:w="1809" w:type="dxa"/>
          </w:tcPr>
          <w:p w14:paraId="39DD78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года</w:t>
            </w:r>
          </w:p>
        </w:tc>
        <w:tc>
          <w:tcPr>
            <w:tcW w:w="8647" w:type="dxa"/>
          </w:tcPr>
          <w:p w14:paraId="006AD4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штопор</w:t>
            </w:r>
          </w:p>
        </w:tc>
      </w:tr>
      <w:tr w:rsidR="007D5DF8" w:rsidRPr="00DB5D0D" w14:paraId="085CCE0A" w14:textId="77777777" w:rsidTr="009223E5">
        <w:tc>
          <w:tcPr>
            <w:tcW w:w="1809" w:type="dxa"/>
          </w:tcPr>
          <w:p w14:paraId="6653D9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w:t>
            </w:r>
          </w:p>
        </w:tc>
        <w:tc>
          <w:tcPr>
            <w:tcW w:w="8647" w:type="dxa"/>
          </w:tcPr>
          <w:p w14:paraId="39B8FA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штопор</w:t>
            </w:r>
          </w:p>
        </w:tc>
      </w:tr>
      <w:tr w:rsidR="007D5DF8" w:rsidRPr="00DB5D0D" w14:paraId="39F5F044" w14:textId="77777777" w:rsidTr="009223E5">
        <w:tc>
          <w:tcPr>
            <w:tcW w:w="1809" w:type="dxa"/>
          </w:tcPr>
          <w:p w14:paraId="6B5913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w:t>
            </w:r>
          </w:p>
        </w:tc>
        <w:tc>
          <w:tcPr>
            <w:tcW w:w="8647" w:type="dxa"/>
          </w:tcPr>
          <w:p w14:paraId="535D36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штопор и облет летчиком Кубышкиным</w:t>
            </w:r>
          </w:p>
        </w:tc>
      </w:tr>
      <w:tr w:rsidR="007D5DF8" w:rsidRPr="00DB5D0D" w14:paraId="2EA036DC" w14:textId="77777777" w:rsidTr="009223E5">
        <w:tc>
          <w:tcPr>
            <w:tcW w:w="1809" w:type="dxa"/>
            <w:tcBorders>
              <w:bottom w:val="single" w:sz="12" w:space="0" w:color="auto"/>
            </w:tcBorders>
          </w:tcPr>
          <w:p w14:paraId="2B0F26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w:t>
            </w:r>
          </w:p>
        </w:tc>
        <w:tc>
          <w:tcPr>
            <w:tcW w:w="8647" w:type="dxa"/>
            <w:tcBorders>
              <w:bottom w:val="single" w:sz="12" w:space="0" w:color="auto"/>
            </w:tcBorders>
          </w:tcPr>
          <w:p w14:paraId="7F34FB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летчиком Максимовым</w:t>
            </w:r>
          </w:p>
        </w:tc>
      </w:tr>
    </w:tbl>
    <w:p w14:paraId="536570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(4486).</w:t>
      </w:r>
    </w:p>
    <w:p w14:paraId="75AB5B7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DFE2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капитан Прошаков закончил испытания на штопор на «Чайке» № 6566, которые 29 февраля 1940 начал летчик Кубышкин. Опробовав все возможные варианты поведения самолета в воздухе летчики определили: «Вывод из штопора производится энергичной дачей рулей в следующей последовательности: сначала дается нога до отказа против штопора и, через полвитка - виток (по времени 1-2 секунды), ручка от себя за нейтральное положение. Элероны нейтральны. Малейшее отклонение от этого правила влечет к большим запаздываниям на выходе». В заключении указывалось, что при строгом выполнении «Инструкции» штопор безопасен. Предлагалось разрешить пилотам строевых частей производить тренировку на штопор до 2-х витков (6592).</w:t>
      </w:r>
    </w:p>
    <w:p w14:paraId="2CF6C5B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0C57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капитан Прошаков закончил испытания "Чайки" №6566на штопор, которые начал летчик Кубышкин 29 февраля. Опробовав все возможные варианты поведения самолета в воздухе, летчики определили: "Вывод из штопора производится энергичной дачей рулей в следующей последовательности: сначала дается нога до отказа против штопора и через полвитка - виток (по времени 1-2 секунды) ручка от себя за нейтральное положение. Элероны нейтральны. Малейшее отклонение от этого правила влечет к большим запаздываниям на выходе". В заключении было сказано, что при строгом выполнении "Инструкции" штопор безопасен. Предлагалось разрешить пилотам строевых частей производить тренировку на штопор до 2-х витков.</w:t>
      </w:r>
    </w:p>
    <w:p w14:paraId="7E8C38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Через непродолжительный промежуток времени "Инструкция" была опробована при испытаниях И-153, оснащенного двигателем М-63. На самолете №8019 летали на штопор в июне-июле 1940 г. летчики Жуков, Супрун, Кубышкин, Ларюшкин. По результатам этих полетов было сделано заключение, что И-153 с мотором М-63 при строгом следовании инструкции имеет возможность безопасного выхода из штопора, с запаздыванием от одного до 1,75 витка после любого числа выполненных ранее витков. Хотя испытываемая машина за счет установки тяжелого двигателя имела более переднюю центровку, улучшения штопорных характеристик при этом отмечено не было. Методика ввода и вывода данного самолета признавалась одинаковой с методикой для самолета И-153 с М-62: "Самолет И-153 с мотором М-63, винтом АВ-1 вполне пригоден для производства тренировочных полетов на штопор в войсковых частях на высоте не ниже 5000 метров".</w:t>
      </w:r>
    </w:p>
    <w:p w14:paraId="6470B4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этом штопорные испытания собственно, и закончилась. Все как будто было соблюдено: недостатки определены, как с ними бороться - оговорено. Однако даже много лет спустя старые пилоты при упоминании о штопоре на "Чайке" сокрушенно качали головами и добавляли: "Не хотела выходить..."</w:t>
      </w:r>
    </w:p>
    <w:p w14:paraId="52DB2B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заключение истории со штопором уместно отметить некоторые особенности пилотирования И-153. Уже на рулении пилоту приходилось из-за недостаточного обзора передвигаться "змейкой", энергично работая педалями ножного управления. На взлете И-153 хорошо держал направление, отрывался легко, был возможен взлет без подъема хвоста. На хорошо сбалансированных самолетах можно было летать с "брошенной" ручкой управления. Ввиду хорошей поперечной устойчивости в вираж И-153 входил вяло, при этом в вираже был устойчив и не боялся перетягивания ручки. При потере скорости сваливался на крыло с опусканием носа (то есть в штопор не стремился). Происходило это на скоростях, меньше чем посадочная, так как на посадке тенденций к сваливанию пилоты не отмечали. Пикировал И-153 устойчиво, скорость набирал медленно. При превышении значения скорости 430 км/ч отмечалась тряска хвостового оперения. При эксплуатации на колесах самолет требовалось сажать на "три точки", при несоблюдении этого условия он имел тенденцию к прыжкам за счет жесткой амортизации. Задувание в кабине оценивалось как небольшое, однако полет без очков считался невозможным. Недостатком являлось отсутствие противопожарной перегородки между пилотом и топливным баком (12014).</w:t>
      </w:r>
    </w:p>
    <w:p w14:paraId="3D27F57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010A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 зам. председателя НТК при начальнике ВВС военинженер 1 ранга Знаменский писал письмо № 499557 в КО</w:t>
      </w:r>
    </w:p>
    <w:p w14:paraId="5FFA18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протоколе совещания от 22 апреля 1940 года при начальнике ВВС по вопросу пушечного вооружения, посланном Вам 8 мая 1940 года за № 00499556 на стр. 3 пункт 4, прошу исправить опечатку: вес И-153 с 4 пулеметами ШКАС не 1763 кг, а 1863 кг (3375,13).</w:t>
      </w:r>
    </w:p>
    <w:p w14:paraId="1880ED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1690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 Начальник ГУАС комдив Алексеев и Военком ГУАС бригадный комиссар Князев</w:t>
      </w:r>
    </w:p>
    <w:p w14:paraId="6DB1E2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13 мая 1940 начались наземные испытания И-200-3, но полностью машина была собрана только 1 июня 1940 (3549). Начали с испытаний стрелкового оружия. Машина имела металлические консоли и фару ФС-155 вместо факелов (4415,31).</w:t>
      </w:r>
    </w:p>
    <w:p w14:paraId="5C475ED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337E32"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13 мая 1940 первый полет И-200-1 на дальность за</w:t>
      </w:r>
      <w:r w:rsidRPr="00DB5D0D">
        <w:rPr>
          <w:rFonts w:ascii="Times New Roman" w:hAnsi="Times New Roman"/>
          <w:color w:val="0070C0"/>
          <w:sz w:val="16"/>
          <w:szCs w:val="16"/>
          <w:lang w:eastAsia="ru-RU" w:bidi="ru-RU"/>
        </w:rPr>
        <w:softHyphen/>
        <w:t>кончился неудачно. Через день попытку снова пришлось прервать из-за перегрева масла. Лишь 16 мая 1940 г. после дора</w:t>
      </w:r>
      <w:r w:rsidRPr="00DB5D0D">
        <w:rPr>
          <w:rFonts w:ascii="Times New Roman" w:hAnsi="Times New Roman"/>
          <w:color w:val="0070C0"/>
          <w:sz w:val="16"/>
          <w:szCs w:val="16"/>
          <w:lang w:eastAsia="ru-RU" w:bidi="ru-RU"/>
        </w:rPr>
        <w:softHyphen/>
        <w:t>ботки радиаторов слетали нормально, причем и на дальность, и на скорость по высотам. Но 17-го снова произошло ЧП - на показе высшего пилотажа из-за неу</w:t>
      </w:r>
      <w:r w:rsidRPr="00DB5D0D">
        <w:rPr>
          <w:rFonts w:ascii="Times New Roman" w:hAnsi="Times New Roman"/>
          <w:color w:val="0070C0"/>
          <w:sz w:val="16"/>
          <w:szCs w:val="16"/>
          <w:lang w:eastAsia="ru-RU" w:bidi="ru-RU"/>
        </w:rPr>
        <w:softHyphen/>
        <w:t>дачной конструкции поплавка карбюра</w:t>
      </w:r>
      <w:r w:rsidRPr="00DB5D0D">
        <w:rPr>
          <w:rFonts w:ascii="Times New Roman" w:hAnsi="Times New Roman"/>
          <w:color w:val="0070C0"/>
          <w:sz w:val="16"/>
          <w:szCs w:val="16"/>
          <w:lang w:eastAsia="ru-RU" w:bidi="ru-RU"/>
        </w:rPr>
        <w:softHyphen/>
        <w:t>тора К-35 остановился мотор (21686).</w:t>
      </w:r>
    </w:p>
    <w:p w14:paraId="2A7D0BB9" w14:textId="77777777" w:rsidR="006E7D37" w:rsidRPr="00DB5D0D" w:rsidRDefault="006E7D37" w:rsidP="00DB5D0D">
      <w:pPr>
        <w:spacing w:after="0" w:line="240" w:lineRule="auto"/>
        <w:jc w:val="both"/>
        <w:rPr>
          <w:rFonts w:ascii="Times New Roman" w:hAnsi="Times New Roman"/>
          <w:color w:val="0070C0"/>
          <w:sz w:val="16"/>
          <w:szCs w:val="16"/>
        </w:rPr>
      </w:pPr>
    </w:p>
    <w:p w14:paraId="390E14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13 мая на тре</w:t>
      </w:r>
      <w:r w:rsidRPr="00DB5D0D">
        <w:rPr>
          <w:rFonts w:ascii="Times New Roman" w:hAnsi="Times New Roman"/>
          <w:color w:val="000000" w:themeColor="text1"/>
          <w:sz w:val="16"/>
          <w:szCs w:val="16"/>
        </w:rPr>
        <w:softHyphen/>
        <w:t>тьей машине И-200 № 03 начались наземные испытания стрелко</w:t>
      </w:r>
      <w:r w:rsidRPr="00DB5D0D">
        <w:rPr>
          <w:rFonts w:ascii="Times New Roman" w:hAnsi="Times New Roman"/>
          <w:color w:val="000000" w:themeColor="text1"/>
          <w:sz w:val="16"/>
          <w:szCs w:val="16"/>
        </w:rPr>
        <w:softHyphen/>
        <w:t>вого вооружения с работающим мотором и штатны</w:t>
      </w:r>
      <w:r w:rsidRPr="00DB5D0D">
        <w:rPr>
          <w:rFonts w:ascii="Times New Roman" w:hAnsi="Times New Roman"/>
          <w:color w:val="000000" w:themeColor="text1"/>
          <w:sz w:val="16"/>
          <w:szCs w:val="16"/>
        </w:rPr>
        <w:softHyphen/>
        <w:t>ми синхронизаторами. Опытный И—200 зав. № 03 несколько отличался от своих предшественников — он имел металлические консоли крыла (9984).</w:t>
      </w:r>
    </w:p>
    <w:p w14:paraId="6C2CCE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DED3F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на третьем прототипе И-200 нача</w:t>
      </w:r>
      <w:r w:rsidRPr="00DB5D0D">
        <w:rPr>
          <w:rFonts w:ascii="Times New Roman" w:hAnsi="Times New Roman"/>
          <w:color w:val="000000" w:themeColor="text1"/>
          <w:sz w:val="16"/>
          <w:szCs w:val="16"/>
        </w:rPr>
        <w:softHyphen/>
        <w:t>лись наземные испытания стрелко</w:t>
      </w:r>
      <w:r w:rsidRPr="00DB5D0D">
        <w:rPr>
          <w:rFonts w:ascii="Times New Roman" w:hAnsi="Times New Roman"/>
          <w:color w:val="000000" w:themeColor="text1"/>
          <w:sz w:val="16"/>
          <w:szCs w:val="16"/>
        </w:rPr>
        <w:softHyphen/>
        <w:t>вого вооружения с работающим мотором и штатными синхрониза</w:t>
      </w:r>
      <w:r w:rsidRPr="00DB5D0D">
        <w:rPr>
          <w:rFonts w:ascii="Times New Roman" w:hAnsi="Times New Roman"/>
          <w:color w:val="000000" w:themeColor="text1"/>
          <w:sz w:val="16"/>
          <w:szCs w:val="16"/>
        </w:rPr>
        <w:softHyphen/>
        <w:t>торами, хотя самолёт был полнос</w:t>
      </w:r>
      <w:r w:rsidRPr="00DB5D0D">
        <w:rPr>
          <w:rFonts w:ascii="Times New Roman" w:hAnsi="Times New Roman"/>
          <w:color w:val="000000" w:themeColor="text1"/>
          <w:sz w:val="16"/>
          <w:szCs w:val="16"/>
        </w:rPr>
        <w:softHyphen/>
        <w:t>тью собран лишь 1 июня. А 6 июня М.И. Марцелюк совершил на нём первый вылет (11757).</w:t>
      </w:r>
    </w:p>
    <w:p w14:paraId="61BA42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1A4C5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полет И-200 на километраж закончился неудачно. Через день полет снова пришлось прервать из-за перегрева масла. Лишь 16 мая после доработки радиаторов слетали нормально, причем и на дальность, и на скорость по высотам. Но 17-го снова ЧП - на показе высшего пилотажа из-за неудачной конструкции поплавка карбюратора К-35 остановился мотор. При вынужденной посадке произошла незначительная авария, и на ремонт потеряли 3 дня. Тем не менее, 1 мая И-26, И-301 и И-200 красиво пронеслись над Красной площадью в строю воздушного парада (11938).</w:t>
      </w:r>
    </w:p>
    <w:p w14:paraId="69397A7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1C258F" w14:textId="77777777" w:rsidR="005212F7" w:rsidRPr="00DB5D0D" w:rsidRDefault="005212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мая в 1940 году на третьей экземпляре истребителя </w:t>
      </w:r>
      <w:hyperlink r:id="rId31" w:tgtFrame="_blank" w:history="1">
        <w:r w:rsidRPr="00DB5D0D">
          <w:rPr>
            <w:rFonts w:ascii="Times New Roman" w:hAnsi="Times New Roman"/>
            <w:color w:val="000000" w:themeColor="text1"/>
            <w:sz w:val="16"/>
            <w:szCs w:val="16"/>
          </w:rPr>
          <w:t xml:space="preserve">«И-200» </w:t>
        </w:r>
      </w:hyperlink>
      <w:r w:rsidRPr="00DB5D0D">
        <w:rPr>
          <w:rFonts w:ascii="Times New Roman" w:hAnsi="Times New Roman"/>
          <w:color w:val="000000" w:themeColor="text1"/>
          <w:sz w:val="16"/>
          <w:szCs w:val="16"/>
        </w:rPr>
        <w:t>№03, ОКБ Микояна, Гуревича начались наземные испытания стрелкового вооружения с работающим мотором и штатными синхронизаторами. Самолёт окончательно собранный в начале июня несколько отличался от своих предшественников - он имел металлические консоли, а вместо факелодержателей «НГ-12» установили фару «ФС-155» (14890).</w:t>
      </w:r>
    </w:p>
    <w:p w14:paraId="1BD9C23B" w14:textId="77777777" w:rsidR="005212F7" w:rsidRPr="00DB5D0D" w:rsidRDefault="005212F7" w:rsidP="00DB5D0D">
      <w:pPr>
        <w:spacing w:after="0" w:line="240" w:lineRule="auto"/>
        <w:jc w:val="both"/>
        <w:rPr>
          <w:rFonts w:ascii="Times New Roman" w:hAnsi="Times New Roman"/>
          <w:color w:val="000000" w:themeColor="text1"/>
          <w:sz w:val="16"/>
          <w:szCs w:val="16"/>
        </w:rPr>
      </w:pPr>
    </w:p>
    <w:p w14:paraId="0BFD1EC3"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начались наземные испытания вооружения на третьем экземпляре И-201. Ми</w:t>
      </w:r>
      <w:r w:rsidRPr="00DB5D0D">
        <w:rPr>
          <w:rFonts w:ascii="Times New Roman" w:hAnsi="Times New Roman"/>
          <w:color w:val="000000" w:themeColor="text1"/>
          <w:sz w:val="16"/>
          <w:szCs w:val="16"/>
        </w:rPr>
        <w:softHyphen/>
        <w:t>коян даже сделал попытку выполнить приказ о сдаче И-200 на госиспытания. Но заданный срок 20 мая выдержан не был. Второй и третий экземпляры были предъявлены 10 июня, но приняты не были из-за недоведенности ВМГ (пере</w:t>
      </w:r>
      <w:r w:rsidRPr="00DB5D0D">
        <w:rPr>
          <w:rFonts w:ascii="Times New Roman" w:hAnsi="Times New Roman"/>
          <w:color w:val="000000" w:themeColor="text1"/>
          <w:sz w:val="16"/>
          <w:szCs w:val="16"/>
        </w:rPr>
        <w:softHyphen/>
        <w:t>грев). Тем не менее ритуальное действие было совершено, и далее Микоян спо</w:t>
      </w:r>
      <w:r w:rsidRPr="00DB5D0D">
        <w:rPr>
          <w:rFonts w:ascii="Times New Roman" w:hAnsi="Times New Roman"/>
          <w:color w:val="000000" w:themeColor="text1"/>
          <w:sz w:val="16"/>
          <w:szCs w:val="16"/>
        </w:rPr>
        <w:softHyphen/>
        <w:t>койно продолжил доводку самолета на заводских испытаниях (19734).</w:t>
      </w:r>
    </w:p>
    <w:p w14:paraId="0891E3B4" w14:textId="77777777" w:rsidR="007E4048" w:rsidRPr="00DB5D0D" w:rsidRDefault="007E4048" w:rsidP="00DB5D0D">
      <w:pPr>
        <w:spacing w:after="0" w:line="240" w:lineRule="auto"/>
        <w:jc w:val="both"/>
        <w:rPr>
          <w:rFonts w:ascii="Times New Roman" w:hAnsi="Times New Roman"/>
          <w:color w:val="000000" w:themeColor="text1"/>
          <w:sz w:val="16"/>
          <w:szCs w:val="16"/>
        </w:rPr>
      </w:pPr>
    </w:p>
    <w:p w14:paraId="5FD92118" w14:textId="77777777" w:rsidR="005212F7" w:rsidRPr="00DB5D0D" w:rsidRDefault="005212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мая в 1940 году начались первые пробежки </w:t>
      </w:r>
      <w:hyperlink r:id="rId32" w:tgtFrame="_blank" w:history="1">
        <w:r w:rsidRPr="00DB5D0D">
          <w:rPr>
            <w:rFonts w:ascii="Times New Roman" w:hAnsi="Times New Roman"/>
            <w:color w:val="000000" w:themeColor="text1"/>
            <w:sz w:val="16"/>
            <w:szCs w:val="16"/>
          </w:rPr>
          <w:t xml:space="preserve">«МБР-7» </w:t>
        </w:r>
      </w:hyperlink>
      <w:r w:rsidRPr="00DB5D0D">
        <w:rPr>
          <w:rFonts w:ascii="Times New Roman" w:hAnsi="Times New Roman"/>
          <w:color w:val="000000" w:themeColor="text1"/>
          <w:sz w:val="16"/>
          <w:szCs w:val="16"/>
        </w:rPr>
        <w:t>для выявления степени продольной устойчивости самолета. Теперь «МБР-7» глиссировал вполне устойчиво. Однако крен на левое крыло из-за реактивного момента воздушного винта остался. Для уравновешивания самолета, в носок концевого отсека правого крыла был заделан свинцовый балласт весом 15,2 кг. Для погашения реактивного момента на малых скоростях, правый подкрыльевой поплавок был поднят вверх относительно левого поплавка на 0,15 м (14890).</w:t>
      </w:r>
    </w:p>
    <w:p w14:paraId="27D7721B" w14:textId="77777777" w:rsidR="005212F7" w:rsidRPr="00DB5D0D" w:rsidRDefault="005212F7" w:rsidP="00DB5D0D">
      <w:pPr>
        <w:spacing w:after="0" w:line="240" w:lineRule="auto"/>
        <w:jc w:val="both"/>
        <w:rPr>
          <w:rFonts w:ascii="Times New Roman" w:hAnsi="Times New Roman"/>
          <w:color w:val="000000" w:themeColor="text1"/>
          <w:sz w:val="16"/>
          <w:szCs w:val="16"/>
        </w:rPr>
      </w:pPr>
    </w:p>
    <w:p w14:paraId="0F414E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Ст. Контролер КО А.Солдатов писал записку № 479сс в ЦК ВКП(б) т. ЛИСТКОВУ:</w:t>
      </w:r>
    </w:p>
    <w:p w14:paraId="5762C7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Направляю Вам справку о состоянии и работе ГКАС КА в 2-х экз. (10493,241).</w:t>
      </w:r>
    </w:p>
    <w:p w14:paraId="0389C8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У А С К.А.</w:t>
      </w:r>
    </w:p>
    <w:p w14:paraId="57D585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Главное Управление Авиационного Снабжения Красной Армии сформировано по утвержденным штатам Народным Комиссариатом Обороны в нояйбре месяце 1939 года в следующем составе: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7D5DF8" w:rsidRPr="00DB5D0D" w14:paraId="18B61A7D" w14:textId="77777777" w:rsidTr="009223E5">
        <w:tc>
          <w:tcPr>
            <w:tcW w:w="3757" w:type="dxa"/>
            <w:tcBorders>
              <w:top w:val="single" w:sz="12" w:space="0" w:color="auto"/>
            </w:tcBorders>
          </w:tcPr>
          <w:p w14:paraId="3582233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57" w:type="dxa"/>
            <w:tcBorders>
              <w:top w:val="single" w:sz="12" w:space="0" w:color="auto"/>
            </w:tcBorders>
          </w:tcPr>
          <w:p w14:paraId="5C8DA2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w:t>
            </w:r>
          </w:p>
        </w:tc>
        <w:tc>
          <w:tcPr>
            <w:tcW w:w="3757" w:type="dxa"/>
            <w:tcBorders>
              <w:top w:val="single" w:sz="12" w:space="0" w:color="auto"/>
            </w:tcBorders>
          </w:tcPr>
          <w:p w14:paraId="409E6C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w:t>
            </w:r>
          </w:p>
        </w:tc>
      </w:tr>
      <w:tr w:rsidR="007D5DF8" w:rsidRPr="00DB5D0D" w14:paraId="18D47F51" w14:textId="77777777" w:rsidTr="009223E5">
        <w:tc>
          <w:tcPr>
            <w:tcW w:w="3757" w:type="dxa"/>
          </w:tcPr>
          <w:p w14:paraId="1D22DD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ГУАС КА (центральный аппарат)</w:t>
            </w:r>
          </w:p>
        </w:tc>
        <w:tc>
          <w:tcPr>
            <w:tcW w:w="3757" w:type="dxa"/>
          </w:tcPr>
          <w:p w14:paraId="5D9E9B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328</w:t>
            </w:r>
          </w:p>
        </w:tc>
        <w:tc>
          <w:tcPr>
            <w:tcW w:w="3757" w:type="dxa"/>
          </w:tcPr>
          <w:p w14:paraId="28C7EC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184</w:t>
            </w:r>
          </w:p>
        </w:tc>
      </w:tr>
      <w:tr w:rsidR="007D5DF8" w:rsidRPr="00DB5D0D" w14:paraId="3210A156" w14:textId="77777777" w:rsidTr="009223E5">
        <w:tc>
          <w:tcPr>
            <w:tcW w:w="3757" w:type="dxa"/>
          </w:tcPr>
          <w:p w14:paraId="2B2510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НИИ ГУАС</w:t>
            </w:r>
          </w:p>
        </w:tc>
        <w:tc>
          <w:tcPr>
            <w:tcW w:w="3757" w:type="dxa"/>
          </w:tcPr>
          <w:p w14:paraId="47E99E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2023</w:t>
            </w:r>
          </w:p>
        </w:tc>
        <w:tc>
          <w:tcPr>
            <w:tcW w:w="3757" w:type="dxa"/>
          </w:tcPr>
          <w:p w14:paraId="686627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894</w:t>
            </w:r>
          </w:p>
        </w:tc>
      </w:tr>
      <w:tr w:rsidR="007D5DF8" w:rsidRPr="00DB5D0D" w14:paraId="54C694AA" w14:textId="77777777" w:rsidTr="009223E5">
        <w:tc>
          <w:tcPr>
            <w:tcW w:w="3757" w:type="dxa"/>
          </w:tcPr>
          <w:p w14:paraId="430A21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НИПАВ ГУАС</w:t>
            </w:r>
          </w:p>
        </w:tc>
        <w:tc>
          <w:tcPr>
            <w:tcW w:w="3757" w:type="dxa"/>
          </w:tcPr>
          <w:p w14:paraId="76C293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473</w:t>
            </w:r>
          </w:p>
        </w:tc>
        <w:tc>
          <w:tcPr>
            <w:tcW w:w="3757" w:type="dxa"/>
          </w:tcPr>
          <w:p w14:paraId="21910D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r>
      <w:tr w:rsidR="007D5DF8" w:rsidRPr="00DB5D0D" w14:paraId="41ADECB4" w14:textId="77777777" w:rsidTr="009223E5">
        <w:tc>
          <w:tcPr>
            <w:tcW w:w="3757" w:type="dxa"/>
          </w:tcPr>
          <w:p w14:paraId="614230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Аппарат военной приемки</w:t>
            </w:r>
          </w:p>
        </w:tc>
        <w:tc>
          <w:tcPr>
            <w:tcW w:w="3757" w:type="dxa"/>
          </w:tcPr>
          <w:p w14:paraId="43478F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1434</w:t>
            </w:r>
          </w:p>
        </w:tc>
        <w:tc>
          <w:tcPr>
            <w:tcW w:w="3757" w:type="dxa"/>
          </w:tcPr>
          <w:p w14:paraId="2B56F2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1068</w:t>
            </w:r>
          </w:p>
        </w:tc>
      </w:tr>
      <w:tr w:rsidR="007D5DF8" w:rsidRPr="00DB5D0D" w14:paraId="1468E982" w14:textId="77777777" w:rsidTr="009223E5">
        <w:tc>
          <w:tcPr>
            <w:tcW w:w="3757" w:type="dxa"/>
          </w:tcPr>
          <w:p w14:paraId="485E98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Склады ГУАС и мастерские</w:t>
            </w:r>
          </w:p>
        </w:tc>
        <w:tc>
          <w:tcPr>
            <w:tcW w:w="3757" w:type="dxa"/>
          </w:tcPr>
          <w:p w14:paraId="7016AB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538</w:t>
            </w:r>
          </w:p>
        </w:tc>
        <w:tc>
          <w:tcPr>
            <w:tcW w:w="3757" w:type="dxa"/>
          </w:tcPr>
          <w:p w14:paraId="30C519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1866</w:t>
            </w:r>
          </w:p>
        </w:tc>
      </w:tr>
      <w:tr w:rsidR="007D5DF8" w:rsidRPr="00DB5D0D" w14:paraId="452BEB7B" w14:textId="77777777" w:rsidTr="009223E5">
        <w:tc>
          <w:tcPr>
            <w:tcW w:w="3757" w:type="dxa"/>
          </w:tcPr>
          <w:p w14:paraId="17D2D2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Центральный аэродром</w:t>
            </w:r>
          </w:p>
        </w:tc>
        <w:tc>
          <w:tcPr>
            <w:tcW w:w="3757" w:type="dxa"/>
          </w:tcPr>
          <w:p w14:paraId="0DEB13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173</w:t>
            </w:r>
          </w:p>
        </w:tc>
        <w:tc>
          <w:tcPr>
            <w:tcW w:w="3757" w:type="dxa"/>
          </w:tcPr>
          <w:p w14:paraId="0E6148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w:t>
            </w:r>
          </w:p>
        </w:tc>
      </w:tr>
      <w:tr w:rsidR="007D5DF8" w:rsidRPr="00DB5D0D" w14:paraId="3BC44F2C" w14:textId="77777777" w:rsidTr="009223E5">
        <w:tc>
          <w:tcPr>
            <w:tcW w:w="3757" w:type="dxa"/>
            <w:tcBorders>
              <w:bottom w:val="single" w:sz="12" w:space="0" w:color="auto"/>
            </w:tcBorders>
          </w:tcPr>
          <w:p w14:paraId="40F5A0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3757" w:type="dxa"/>
            <w:tcBorders>
              <w:bottom w:val="single" w:sz="12" w:space="0" w:color="auto"/>
            </w:tcBorders>
          </w:tcPr>
          <w:p w14:paraId="2A28BCD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57" w:type="dxa"/>
            <w:tcBorders>
              <w:bottom w:val="single" w:sz="12" w:space="0" w:color="auto"/>
            </w:tcBorders>
          </w:tcPr>
          <w:p w14:paraId="77E232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9279</w:t>
            </w:r>
          </w:p>
        </w:tc>
      </w:tr>
    </w:tbl>
    <w:p w14:paraId="751E1D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Начальствующий и командный состав, за редким исключением подобран хорошо и соответствует своему назначению.</w:t>
      </w:r>
    </w:p>
    <w:p w14:paraId="1F5811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 военной приемки в своем большинстве молодой. Особо слабым звеном являются старшие военные представители, вследствие малого опыта работы и особо сложных условий приемки продукции.</w:t>
      </w:r>
    </w:p>
    <w:p w14:paraId="109AE0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Задачи перел ГУАС КА в основном разработаны и ясны, но утвержденного положеппя о ГУАС, где были бы указаны разграничения в работе между ГУАС КА и ГУВВС КА и их функции не имеется. Проект положения представлен Народному Комиссару еще в декабре месяце З9 г., но до сих пор не утвержден. При существующеем положении ГУАС отстранен от руководства окружными и войсковыми складами и роль его по существу свелась к раздаточным функциям.</w:t>
      </w:r>
    </w:p>
    <w:p w14:paraId="20A837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на сегодня ГУАС КА выполняет следующие функции:</w:t>
      </w:r>
    </w:p>
    <w:p w14:paraId="7059F6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Разработка м составление систем вооружения ВВС.</w:t>
      </w:r>
    </w:p>
    <w:p w14:paraId="465F7E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Составление тактико-технический требований на все предметы авиационного вооружения.</w:t>
      </w:r>
    </w:p>
    <w:p w14:paraId="5875B0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Дача заказов и прием продукции от Промышленности</w:t>
      </w:r>
    </w:p>
    <w:p w14:paraId="35F349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smallCaps/>
          <w:color w:val="000000" w:themeColor="text1"/>
          <w:sz w:val="16"/>
          <w:szCs w:val="16"/>
        </w:rPr>
        <w:t xml:space="preserve">4. </w:t>
      </w:r>
      <w:r w:rsidRPr="00DB5D0D">
        <w:rPr>
          <w:rFonts w:ascii="Times New Roman" w:hAnsi="Times New Roman"/>
          <w:color w:val="000000" w:themeColor="text1"/>
          <w:sz w:val="16"/>
          <w:szCs w:val="16"/>
        </w:rPr>
        <w:t>Снабжение частей ВВС, учет и хранение имущества в центральных схладах ГУАС КА.</w:t>
      </w:r>
    </w:p>
    <w:p w14:paraId="514CB1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отчетный период ГУАС КА сумел найти правильное разре</w:t>
      </w:r>
      <w:r w:rsidRPr="00DB5D0D">
        <w:rPr>
          <w:rFonts w:ascii="Times New Roman" w:hAnsi="Times New Roman"/>
          <w:color w:val="000000" w:themeColor="text1"/>
          <w:sz w:val="16"/>
          <w:szCs w:val="16"/>
        </w:rPr>
        <w:softHyphen/>
        <w:t>шение всех вышеуказанных вопросов и поставил перед промышленностью задачи по обеспечению и выпуску скоростных самолетов, мощных моторов, вооружеяния и т.п.</w:t>
      </w:r>
    </w:p>
    <w:p w14:paraId="064812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Состоящие на вооружении ВВС действующие самолеты по своим качествам уступают заграничным. Заказанные па 1940 г. самолеты: СБ-М-103, ДБ-3Ф М88 по сравнению с заграничными серийными бомбардировщиками Дорнье-215 (Германия), Амио-351 (Франция), Бристоль-Бленхейм (Англия) уступают им по скорости от 30 до 60 км/час и т.д.</w:t>
      </w:r>
    </w:p>
    <w:p w14:paraId="15E7B5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нашего моторостроения к настоящему времени в сравнении с передовымм заграничными странами, характеризуется общим отставанием на полтора-два года. Одпотипные моторы по своим техническим данным М-105 и М-88 с моторами Даймлер-Бенц-601 и Твин Уосп находятся в производстве около 1-2 лег, однако, получили подтверждения надежности в массовой эксплоатации. Сроки службы большинства наших моторов между персборками ниже, чем у заграничных. В среднем мы имеем 150 часов, заграничные - 300 часов.</w:t>
      </w:r>
    </w:p>
    <w:p w14:paraId="752574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части разработки системы вооружения и составления тактико-технических требований к предметам авиационного вооружения на сегодня дело обстоит не совсем благополучно. В силу того, что функции работ меяду ГУАС и ГУВВС не уточнены и что до сего времени не отработаны распорядительные функции между ГУАС и ГУВВС в вопросах авиционного вооружения и материально-технического снабжения - единого руководства в системе авиационного вооружения нет. Часто бывает, что перед промышленностью ставятся задачи одновременно двумя указанной организациями без взаимных увязок, чем затрудняют промышленность излишниии и противоречивыми требованиями.</w:t>
      </w:r>
    </w:p>
    <w:p w14:paraId="38E2B4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Заказы на предметы вооржуния в зтом году сделаны своевременно. Качество договоров, по сравнению с прошлым годом, значителъно повысилось. П самолетам, моторам и другим видам злачительно снизились расценки на единицу изделтя. Так, например:</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46"/>
        <w:gridCol w:w="1651"/>
        <w:gridCol w:w="1786"/>
        <w:gridCol w:w="1824"/>
      </w:tblGrid>
      <w:tr w:rsidR="007D5DF8" w:rsidRPr="00DB5D0D" w14:paraId="717A7ABF" w14:textId="77777777" w:rsidTr="009223E5">
        <w:trPr>
          <w:trHeight w:val="480"/>
        </w:trPr>
        <w:tc>
          <w:tcPr>
            <w:tcW w:w="1546" w:type="dxa"/>
            <w:tcBorders>
              <w:top w:val="single" w:sz="12" w:space="0" w:color="auto"/>
            </w:tcBorders>
          </w:tcPr>
          <w:p w14:paraId="6C3C03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1651" w:type="dxa"/>
            <w:tcBorders>
              <w:top w:val="single" w:sz="12" w:space="0" w:color="auto"/>
            </w:tcBorders>
          </w:tcPr>
          <w:p w14:paraId="555E83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Цена 1939 г.</w:t>
            </w:r>
          </w:p>
        </w:tc>
        <w:tc>
          <w:tcPr>
            <w:tcW w:w="1786" w:type="dxa"/>
            <w:tcBorders>
              <w:top w:val="single" w:sz="12" w:space="0" w:color="auto"/>
            </w:tcBorders>
          </w:tcPr>
          <w:p w14:paraId="25EA0B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Цена 1940 г.</w:t>
            </w:r>
          </w:p>
        </w:tc>
        <w:tc>
          <w:tcPr>
            <w:tcW w:w="1824" w:type="dxa"/>
            <w:tcBorders>
              <w:top w:val="single" w:sz="12" w:space="0" w:color="auto"/>
            </w:tcBorders>
          </w:tcPr>
          <w:p w14:paraId="1EBA70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789224BF" w14:textId="77777777" w:rsidTr="009223E5">
        <w:trPr>
          <w:trHeight w:val="480"/>
        </w:trPr>
        <w:tc>
          <w:tcPr>
            <w:tcW w:w="1546" w:type="dxa"/>
          </w:tcPr>
          <w:p w14:paraId="02C3DD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И-153</w:t>
            </w:r>
          </w:p>
        </w:tc>
        <w:tc>
          <w:tcPr>
            <w:tcW w:w="1651" w:type="dxa"/>
          </w:tcPr>
          <w:p w14:paraId="2F1882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 т.р.</w:t>
            </w:r>
          </w:p>
        </w:tc>
        <w:tc>
          <w:tcPr>
            <w:tcW w:w="1786" w:type="dxa"/>
          </w:tcPr>
          <w:p w14:paraId="5A4246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 т.р.</w:t>
            </w:r>
          </w:p>
        </w:tc>
        <w:tc>
          <w:tcPr>
            <w:tcW w:w="1824" w:type="dxa"/>
          </w:tcPr>
          <w:p w14:paraId="3B9C5C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 № 1</w:t>
            </w:r>
          </w:p>
        </w:tc>
      </w:tr>
      <w:tr w:rsidR="007D5DF8" w:rsidRPr="00DB5D0D" w14:paraId="4B36C04C" w14:textId="77777777" w:rsidTr="009223E5">
        <w:trPr>
          <w:trHeight w:val="653"/>
        </w:trPr>
        <w:tc>
          <w:tcPr>
            <w:tcW w:w="1546" w:type="dxa"/>
          </w:tcPr>
          <w:p w14:paraId="1998B6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И-16</w:t>
            </w:r>
          </w:p>
        </w:tc>
        <w:tc>
          <w:tcPr>
            <w:tcW w:w="1651" w:type="dxa"/>
          </w:tcPr>
          <w:p w14:paraId="129315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137</w:t>
            </w:r>
          </w:p>
        </w:tc>
        <w:tc>
          <w:tcPr>
            <w:tcW w:w="1786" w:type="dxa"/>
          </w:tcPr>
          <w:p w14:paraId="2F9F43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1824" w:type="dxa"/>
          </w:tcPr>
          <w:p w14:paraId="0BE780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 № 21</w:t>
            </w:r>
          </w:p>
        </w:tc>
      </w:tr>
      <w:tr w:rsidR="007D5DF8" w:rsidRPr="00DB5D0D" w14:paraId="77D36DA3" w14:textId="77777777" w:rsidTr="009223E5">
        <w:trPr>
          <w:trHeight w:val="653"/>
        </w:trPr>
        <w:tc>
          <w:tcPr>
            <w:tcW w:w="1546" w:type="dxa"/>
          </w:tcPr>
          <w:p w14:paraId="0E7BF0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СБ</w:t>
            </w:r>
          </w:p>
        </w:tc>
        <w:tc>
          <w:tcPr>
            <w:tcW w:w="1651" w:type="dxa"/>
          </w:tcPr>
          <w:p w14:paraId="43BD0D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318</w:t>
            </w:r>
          </w:p>
        </w:tc>
        <w:tc>
          <w:tcPr>
            <w:tcW w:w="1786" w:type="dxa"/>
          </w:tcPr>
          <w:p w14:paraId="46B0A6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258</w:t>
            </w:r>
          </w:p>
        </w:tc>
        <w:tc>
          <w:tcPr>
            <w:tcW w:w="1824" w:type="dxa"/>
          </w:tcPr>
          <w:p w14:paraId="01ECE3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 № 22</w:t>
            </w:r>
          </w:p>
        </w:tc>
      </w:tr>
      <w:tr w:rsidR="007D5DF8" w:rsidRPr="00DB5D0D" w14:paraId="450A489C" w14:textId="77777777" w:rsidTr="009223E5">
        <w:trPr>
          <w:trHeight w:val="701"/>
        </w:trPr>
        <w:tc>
          <w:tcPr>
            <w:tcW w:w="1546" w:type="dxa"/>
          </w:tcPr>
          <w:p w14:paraId="05220C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ДБ3</w:t>
            </w:r>
          </w:p>
        </w:tc>
        <w:tc>
          <w:tcPr>
            <w:tcW w:w="1651" w:type="dxa"/>
          </w:tcPr>
          <w:p w14:paraId="065734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c>
          <w:tcPr>
            <w:tcW w:w="1786" w:type="dxa"/>
          </w:tcPr>
          <w:p w14:paraId="5A80EA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540</w:t>
            </w:r>
          </w:p>
        </w:tc>
        <w:tc>
          <w:tcPr>
            <w:tcW w:w="1824" w:type="dxa"/>
          </w:tcPr>
          <w:p w14:paraId="1EB29B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 № 39</w:t>
            </w:r>
          </w:p>
        </w:tc>
      </w:tr>
      <w:tr w:rsidR="007D5DF8" w:rsidRPr="00DB5D0D" w14:paraId="4CDAF603" w14:textId="77777777" w:rsidTr="009223E5">
        <w:trPr>
          <w:trHeight w:val="701"/>
        </w:trPr>
        <w:tc>
          <w:tcPr>
            <w:tcW w:w="1546" w:type="dxa"/>
          </w:tcPr>
          <w:p w14:paraId="369054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Мотор М-63</w:t>
            </w:r>
          </w:p>
        </w:tc>
        <w:tc>
          <w:tcPr>
            <w:tcW w:w="1651" w:type="dxa"/>
          </w:tcPr>
          <w:p w14:paraId="5A0965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w:t>
            </w:r>
          </w:p>
        </w:tc>
        <w:tc>
          <w:tcPr>
            <w:tcW w:w="1786" w:type="dxa"/>
          </w:tcPr>
          <w:p w14:paraId="3580AD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w:t>
            </w:r>
          </w:p>
        </w:tc>
        <w:tc>
          <w:tcPr>
            <w:tcW w:w="1824" w:type="dxa"/>
          </w:tcPr>
          <w:p w14:paraId="247C3A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 № 19</w:t>
            </w:r>
          </w:p>
        </w:tc>
      </w:tr>
      <w:tr w:rsidR="007D5DF8" w:rsidRPr="00DB5D0D" w14:paraId="485065F5" w14:textId="77777777" w:rsidTr="009223E5">
        <w:trPr>
          <w:trHeight w:val="1094"/>
        </w:trPr>
        <w:tc>
          <w:tcPr>
            <w:tcW w:w="1546" w:type="dxa"/>
            <w:tcBorders>
              <w:bottom w:val="single" w:sz="12" w:space="0" w:color="auto"/>
            </w:tcBorders>
          </w:tcPr>
          <w:p w14:paraId="071CBF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М-103</w:t>
            </w:r>
          </w:p>
        </w:tc>
        <w:tc>
          <w:tcPr>
            <w:tcW w:w="1651" w:type="dxa"/>
            <w:tcBorders>
              <w:bottom w:val="single" w:sz="12" w:space="0" w:color="auto"/>
            </w:tcBorders>
          </w:tcPr>
          <w:p w14:paraId="74F27A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1786" w:type="dxa"/>
            <w:tcBorders>
              <w:bottom w:val="single" w:sz="12" w:space="0" w:color="auto"/>
            </w:tcBorders>
          </w:tcPr>
          <w:p w14:paraId="154B0B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1824" w:type="dxa"/>
            <w:tcBorders>
              <w:bottom w:val="single" w:sz="12" w:space="0" w:color="auto"/>
            </w:tcBorders>
          </w:tcPr>
          <w:p w14:paraId="7B034A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 № 26</w:t>
            </w:r>
          </w:p>
        </w:tc>
      </w:tr>
    </w:tbl>
    <w:p w14:paraId="4F6434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же в полной мере работа по снижению цен на продукцию в достаточной мере еще не развернута. Заводы НКАП производят огромный брах, который целиком засчитывается ценами на продукцию. Так, например:</w:t>
      </w:r>
    </w:p>
    <w:p w14:paraId="523964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 (НКАП) за 1939 г. имел брак на 22 млн. руб В 1-м квартале 1940 г. брак достигает около 6-ти млн. руб. Брак по отдельным деталям в механических цехах достигает 60%;</w:t>
      </w:r>
    </w:p>
    <w:p w14:paraId="7ECE43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26 имеет от 35 до 38% брака ло литью;</w:t>
      </w:r>
    </w:p>
    <w:p w14:paraId="49F2E0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29 имеет до 80% брака ло коленчатым валам.</w:t>
      </w:r>
    </w:p>
    <w:p w14:paraId="059489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бы ГУАС сумел выявить через свой военпредовский аппа</w:t>
      </w:r>
      <w:r w:rsidRPr="00DB5D0D">
        <w:rPr>
          <w:rFonts w:ascii="Times New Roman" w:hAnsi="Times New Roman"/>
          <w:color w:val="000000" w:themeColor="text1"/>
          <w:sz w:val="16"/>
          <w:szCs w:val="16"/>
        </w:rPr>
        <w:softHyphen/>
        <w:t>рат по всем заводам такие безобразия и цифрами доказал, что цены на изделия,запрашиваемые НКАПом, не обоснованы, можно быть уверенным, что борьба за снижение цен была бы еще более эффективной.</w:t>
      </w:r>
    </w:p>
    <w:p w14:paraId="2E707E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Заказы на запчасти, имущество и материалы проводились без точного учета наличия их на складах и в частях; в салу чего за</w:t>
      </w:r>
      <w:r w:rsidRPr="00DB5D0D">
        <w:rPr>
          <w:rFonts w:ascii="Times New Roman" w:hAnsi="Times New Roman"/>
          <w:color w:val="000000" w:themeColor="text1"/>
          <w:sz w:val="16"/>
          <w:szCs w:val="16"/>
        </w:rPr>
        <w:softHyphen/>
        <w:t>казывалось излишннее и ненужное для ВВС имущество (см. ниже данные по проверке складов).</w:t>
      </w:r>
    </w:p>
    <w:p w14:paraId="2CBDDA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Имелись случаи некомплектных заказов, так например: на складе № 1 (Балашиха) в течении 3-х лет стоят без использова</w:t>
      </w:r>
      <w:r w:rsidRPr="00DB5D0D">
        <w:rPr>
          <w:rFonts w:ascii="Times New Roman" w:hAnsi="Times New Roman"/>
          <w:color w:val="000000" w:themeColor="text1"/>
          <w:sz w:val="16"/>
          <w:szCs w:val="16"/>
        </w:rPr>
        <w:softHyphen/>
        <w:t>ния фотолаборатория 3-х машинного состава (ГАЗ-1А) около 100 машин, которые не уткомплектованы специальными приборами.</w:t>
      </w:r>
    </w:p>
    <w:p w14:paraId="0A75A5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Учет и отчетность по ГУАС по основным позициям (самолеты, моторы) поставлен хорошо; второстепенные виды вооружения и материалы слабо учитываются, о наличии их в строевых частях даннных в ГУАС нет.</w:t>
      </w:r>
    </w:p>
    <w:p w14:paraId="5E6CD9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Сведения о поломках, авариях, катастрофах в ГУАС не поступа</w:t>
      </w:r>
      <w:r w:rsidRPr="00DB5D0D">
        <w:rPr>
          <w:rFonts w:ascii="Times New Roman" w:hAnsi="Times New Roman"/>
          <w:color w:val="000000" w:themeColor="text1"/>
          <w:sz w:val="16"/>
          <w:szCs w:val="16"/>
        </w:rPr>
        <w:softHyphen/>
        <w:t>ют.</w:t>
      </w:r>
    </w:p>
    <w:p w14:paraId="10E6F5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эксплоатируется материалъная часть, какх расходуются в строевых частях запчасти и материалы ГУАС не знает. В действительности авиационное имущество и матераалы бесхозяйственно расходуются на местах, расхищаются. Варварское отношение к имуще</w:t>
      </w:r>
      <w:r w:rsidRPr="00DB5D0D">
        <w:rPr>
          <w:rFonts w:ascii="Times New Roman" w:hAnsi="Times New Roman"/>
          <w:color w:val="000000" w:themeColor="text1"/>
          <w:sz w:val="16"/>
          <w:szCs w:val="16"/>
        </w:rPr>
        <w:softHyphen/>
        <w:t>ству, грапичащее с преступлением - имеется, к сожалении, во мно</w:t>
      </w:r>
      <w:r w:rsidRPr="00DB5D0D">
        <w:rPr>
          <w:rFonts w:ascii="Times New Roman" w:hAnsi="Times New Roman"/>
          <w:color w:val="000000" w:themeColor="text1"/>
          <w:sz w:val="16"/>
          <w:szCs w:val="16"/>
        </w:rPr>
        <w:softHyphen/>
        <w:t>гих строевых частях ВВС. Так, например:</w:t>
      </w:r>
    </w:p>
    <w:p w14:paraId="0767BF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Председатель комиссии ГУАС КА т. СЫРОВАТКИН в специальном акте от 09.04.40 г. отмечает, что после перебазирования истребителъной группы Полковника ТАТАНАШВИЛИ в другое иесто, на на аэродроме были оставлены в разбросанном виде в больших количест</w:t>
      </w:r>
      <w:r w:rsidRPr="00DB5D0D">
        <w:rPr>
          <w:rFonts w:ascii="Times New Roman" w:hAnsi="Times New Roman"/>
          <w:color w:val="000000" w:themeColor="text1"/>
          <w:sz w:val="16"/>
          <w:szCs w:val="16"/>
        </w:rPr>
        <w:softHyphen/>
        <w:t>вах звенья ШКАС, авиасвечи, трубч, печи подогрева, железные бочки, аварийный самолет И-153, баллоны, радиаторы и т.п.</w:t>
      </w:r>
    </w:p>
    <w:p w14:paraId="3223B2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Поднейшее отсутствие учета наличия имущества по частям; разбрасывание труб, коллекторов и др. ценного имущества на аэродромах - 106 АБ и 136 АБ.</w:t>
      </w:r>
    </w:p>
    <w:p w14:paraId="1E8234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всему гарнизону 135 авиабазы, обслугживающей 18 СИП и 2-й ЛАЛ; у всех под'ездах общежитий была разбросана тара от авиа</w:t>
      </w:r>
      <w:r w:rsidRPr="00DB5D0D">
        <w:rPr>
          <w:rFonts w:ascii="Times New Roman" w:hAnsi="Times New Roman"/>
          <w:color w:val="000000" w:themeColor="text1"/>
          <w:sz w:val="16"/>
          <w:szCs w:val="16"/>
        </w:rPr>
        <w:softHyphen/>
        <w:t>бомб для топки печей.</w:t>
      </w:r>
    </w:p>
    <w:p w14:paraId="042518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территории разбросаны бочки, валяются баллоны, Вместе с двумя разбитыми самолетами СБ сваленными безобразно в снегу в ку</w:t>
      </w:r>
      <w:r w:rsidRPr="00DB5D0D">
        <w:rPr>
          <w:rFonts w:ascii="Times New Roman" w:hAnsi="Times New Roman"/>
          <w:color w:val="000000" w:themeColor="text1"/>
          <w:sz w:val="16"/>
          <w:szCs w:val="16"/>
        </w:rPr>
        <w:softHyphen/>
        <w:t>чу - без разделки, лежит новая кабина СБ, лыжа. Баллоны углекислоти, кислородные баллоны, новые тележки и др.</w:t>
      </w:r>
    </w:p>
    <w:p w14:paraId="1E22EB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Аэродром завален бомбовой тарой, там же в перемешку в снегу валяется: авиафанера, авиасвечи, шплинты, проволока, цинки, дюралевые и хромомолибденовые заклепки, шланги, асбест, шасси самолета СБ и др).</w:t>
      </w:r>
    </w:p>
    <w:p w14:paraId="3CAC26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Многочисленные другие акты, имеющиеся в ГУАС, подтверадают, что всюду во всех частях и подразделениях ВВС, особенно в период военных действий, наблюдается бесхозяйственное, бескультурное отно</w:t>
      </w:r>
      <w:r w:rsidRPr="00DB5D0D">
        <w:rPr>
          <w:rFonts w:ascii="Times New Roman" w:hAnsi="Times New Roman"/>
          <w:color w:val="000000" w:themeColor="text1"/>
          <w:sz w:val="16"/>
          <w:szCs w:val="16"/>
        </w:rPr>
        <w:softHyphen/>
        <w:t>шение к использованию и хранению материалъных ценностей.</w:t>
      </w:r>
    </w:p>
    <w:p w14:paraId="333AB8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Действующий самолетный парк не обеспечен запасными моторами, по нормам недостает более 4000 моторов..Ходовых запчастей тахже недостает. Сплошь и рядом части ВВС жалуются на отсутствие тех или иных деталей и агрегатов, в то зе время как склады ВВС и ГУАС завалены старыми непригодными изделиями.</w:t>
      </w:r>
    </w:p>
    <w:p w14:paraId="6EBE18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Несоответствие в заказах на запчасти и их использовании полу</w:t>
      </w:r>
      <w:r w:rsidRPr="00DB5D0D">
        <w:rPr>
          <w:rFonts w:ascii="Times New Roman" w:hAnsi="Times New Roman"/>
          <w:color w:val="000000" w:themeColor="text1"/>
          <w:sz w:val="16"/>
          <w:szCs w:val="16"/>
        </w:rPr>
        <w:softHyphen/>
        <w:t>чилось потому, что на сегодня еще не разработаны уточненные нормы потребностей на запчасти; не изучен как следует опыт эксилоатации самолетов и моторов в частях. Заказы на запчасти и материалы дают</w:t>
      </w:r>
      <w:r w:rsidRPr="00DB5D0D">
        <w:rPr>
          <w:rFonts w:ascii="Times New Roman" w:hAnsi="Times New Roman"/>
          <w:color w:val="000000" w:themeColor="text1"/>
          <w:sz w:val="16"/>
          <w:szCs w:val="16"/>
        </w:rPr>
        <w:softHyphen/>
        <w:t>ся промышленности без серьезной подработки и проверки.</w:t>
      </w:r>
    </w:p>
    <w:p w14:paraId="0DB80F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хранения авиационного имущества в системе ГУАС нмеются: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1313"/>
      </w:tblGrid>
      <w:tr w:rsidR="007D5DF8" w:rsidRPr="00DB5D0D" w14:paraId="2F35245B" w14:textId="77777777" w:rsidTr="009223E5">
        <w:tc>
          <w:tcPr>
            <w:tcW w:w="5635" w:type="dxa"/>
            <w:tcBorders>
              <w:top w:val="single" w:sz="12" w:space="0" w:color="auto"/>
            </w:tcBorders>
            <w:shd w:val="clear" w:color="auto" w:fill="FFFFFF"/>
          </w:tcPr>
          <w:p w14:paraId="693C67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действующих саладов - авиатехнических</w:t>
            </w:r>
          </w:p>
        </w:tc>
        <w:tc>
          <w:tcPr>
            <w:tcW w:w="1313" w:type="dxa"/>
            <w:tcBorders>
              <w:top w:val="single" w:sz="12" w:space="0" w:color="auto"/>
            </w:tcBorders>
            <w:shd w:val="clear" w:color="auto" w:fill="FFFFFF"/>
          </w:tcPr>
          <w:p w14:paraId="4D5ACB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r>
      <w:tr w:rsidR="007D5DF8" w:rsidRPr="00DB5D0D" w14:paraId="3E867911" w14:textId="77777777" w:rsidTr="009223E5">
        <w:tc>
          <w:tcPr>
            <w:tcW w:w="5635" w:type="dxa"/>
            <w:shd w:val="clear" w:color="auto" w:fill="FFFFFF"/>
          </w:tcPr>
          <w:p w14:paraId="24C08E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 -для боеприпасов</w:t>
            </w:r>
          </w:p>
        </w:tc>
        <w:tc>
          <w:tcPr>
            <w:tcW w:w="1313" w:type="dxa"/>
            <w:shd w:val="clear" w:color="auto" w:fill="FFFFFF"/>
          </w:tcPr>
          <w:p w14:paraId="0A24BD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r>
      <w:tr w:rsidR="007D5DF8" w:rsidRPr="00DB5D0D" w14:paraId="5B306205" w14:textId="77777777" w:rsidTr="009223E5">
        <w:tc>
          <w:tcPr>
            <w:tcW w:w="5635" w:type="dxa"/>
            <w:shd w:val="clear" w:color="auto" w:fill="FFFFFF"/>
          </w:tcPr>
          <w:p w14:paraId="47DF69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 - для проч.имущества</w:t>
            </w:r>
          </w:p>
        </w:tc>
        <w:tc>
          <w:tcPr>
            <w:tcW w:w="1313" w:type="dxa"/>
            <w:shd w:val="clear" w:color="auto" w:fill="FFFFFF"/>
          </w:tcPr>
          <w:p w14:paraId="60DB61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r>
      <w:tr w:rsidR="007D5DF8" w:rsidRPr="00DB5D0D" w14:paraId="1B6455BF" w14:textId="77777777" w:rsidTr="009223E5">
        <w:tc>
          <w:tcPr>
            <w:tcW w:w="5635" w:type="dxa"/>
            <w:tcBorders>
              <w:bottom w:val="single" w:sz="12" w:space="0" w:color="auto"/>
            </w:tcBorders>
            <w:shd w:val="clear" w:color="auto" w:fill="FFFFFF"/>
          </w:tcPr>
          <w:p w14:paraId="6A2D49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313" w:type="dxa"/>
            <w:tcBorders>
              <w:bottom w:val="single" w:sz="12" w:space="0" w:color="auto"/>
            </w:tcBorders>
            <w:shd w:val="clear" w:color="auto" w:fill="FFFFFF"/>
          </w:tcPr>
          <w:p w14:paraId="666DBF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r>
    </w:tbl>
    <w:p w14:paraId="733A49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Степень обеспеченности складскими площадями характеризует</w:t>
      </w:r>
      <w:r w:rsidRPr="00DB5D0D">
        <w:rPr>
          <w:rFonts w:ascii="Times New Roman" w:hAnsi="Times New Roman"/>
          <w:color w:val="000000" w:themeColor="text1"/>
          <w:sz w:val="16"/>
          <w:szCs w:val="16"/>
        </w:rPr>
        <w:softHyphen/>
        <w:t>ся следующей таблицей: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39"/>
        <w:gridCol w:w="1046"/>
        <w:gridCol w:w="864"/>
        <w:gridCol w:w="874"/>
        <w:gridCol w:w="1181"/>
        <w:gridCol w:w="960"/>
      </w:tblGrid>
      <w:tr w:rsidR="007D5DF8" w:rsidRPr="00DB5D0D" w14:paraId="795371F2" w14:textId="77777777" w:rsidTr="009223E5">
        <w:trPr>
          <w:trHeight w:val="806"/>
        </w:trPr>
        <w:tc>
          <w:tcPr>
            <w:tcW w:w="1939" w:type="dxa"/>
            <w:tcBorders>
              <w:top w:val="single" w:sz="12" w:space="0" w:color="auto"/>
            </w:tcBorders>
          </w:tcPr>
          <w:p w14:paraId="1E1A91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1046" w:type="dxa"/>
            <w:tcBorders>
              <w:top w:val="single" w:sz="12" w:space="0" w:color="auto"/>
            </w:tcBorders>
          </w:tcPr>
          <w:p w14:paraId="7C5EBB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Наличие емкостей</w:t>
            </w:r>
          </w:p>
        </w:tc>
        <w:tc>
          <w:tcPr>
            <w:tcW w:w="864" w:type="dxa"/>
            <w:tcBorders>
              <w:top w:val="single" w:sz="12" w:space="0" w:color="auto"/>
            </w:tcBorders>
          </w:tcPr>
          <w:p w14:paraId="593D80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Войдёт в строй на 1.1.1941 г.</w:t>
            </w:r>
          </w:p>
        </w:tc>
        <w:tc>
          <w:tcPr>
            <w:tcW w:w="874" w:type="dxa"/>
            <w:tcBorders>
              <w:top w:val="single" w:sz="12" w:space="0" w:color="auto"/>
            </w:tcBorders>
          </w:tcPr>
          <w:p w14:paraId="27872C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Всего на 1.1.1941 Г. </w:t>
            </w:r>
          </w:p>
        </w:tc>
        <w:tc>
          <w:tcPr>
            <w:tcW w:w="1181" w:type="dxa"/>
            <w:tcBorders>
              <w:top w:val="single" w:sz="12" w:space="0" w:color="auto"/>
            </w:tcBorders>
          </w:tcPr>
          <w:p w14:paraId="07CEC3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Предпола</w:t>
            </w:r>
            <w:r w:rsidRPr="00DB5D0D">
              <w:rPr>
                <w:rFonts w:ascii="Times New Roman" w:hAnsi="Times New Roman"/>
                <w:color w:val="000000" w:themeColor="text1"/>
                <w:sz w:val="16"/>
                <w:szCs w:val="16"/>
              </w:rPr>
              <w:softHyphen/>
              <w:t>гаемая загрузка на 1.1.41. г.</w:t>
            </w:r>
          </w:p>
        </w:tc>
        <w:tc>
          <w:tcPr>
            <w:tcW w:w="960" w:type="dxa"/>
            <w:tcBorders>
              <w:top w:val="single" w:sz="12" w:space="0" w:color="auto"/>
            </w:tcBorders>
          </w:tcPr>
          <w:p w14:paraId="223228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Недостает складСКИХ площадей</w:t>
            </w:r>
          </w:p>
        </w:tc>
      </w:tr>
      <w:tr w:rsidR="007D5DF8" w:rsidRPr="00DB5D0D" w14:paraId="325D1B11" w14:textId="77777777" w:rsidTr="009223E5">
        <w:trPr>
          <w:trHeight w:val="653"/>
        </w:trPr>
        <w:tc>
          <w:tcPr>
            <w:tcW w:w="1939" w:type="dxa"/>
          </w:tcPr>
          <w:p w14:paraId="114743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Авиалаущество</w:t>
            </w:r>
          </w:p>
        </w:tc>
        <w:tc>
          <w:tcPr>
            <w:tcW w:w="1046" w:type="dxa"/>
          </w:tcPr>
          <w:p w14:paraId="75EED5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12800</w:t>
            </w:r>
          </w:p>
        </w:tc>
        <w:tc>
          <w:tcPr>
            <w:tcW w:w="864" w:type="dxa"/>
          </w:tcPr>
          <w:p w14:paraId="667F27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874" w:type="dxa"/>
          </w:tcPr>
          <w:p w14:paraId="371805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14000</w:t>
            </w:r>
          </w:p>
        </w:tc>
        <w:tc>
          <w:tcPr>
            <w:tcW w:w="1181" w:type="dxa"/>
          </w:tcPr>
          <w:p w14:paraId="2FA7DE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29000</w:t>
            </w:r>
          </w:p>
        </w:tc>
        <w:tc>
          <w:tcPr>
            <w:tcW w:w="960" w:type="dxa"/>
          </w:tcPr>
          <w:p w14:paraId="5605AA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15000</w:t>
            </w:r>
          </w:p>
        </w:tc>
      </w:tr>
      <w:tr w:rsidR="007D5DF8" w:rsidRPr="00DB5D0D" w14:paraId="1BB883D9" w14:textId="77777777" w:rsidTr="009223E5">
        <w:trPr>
          <w:trHeight w:val="211"/>
        </w:trPr>
        <w:tc>
          <w:tcPr>
            <w:tcW w:w="1939" w:type="dxa"/>
          </w:tcPr>
          <w:p w14:paraId="38E43B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Боеприпасы</w:t>
            </w:r>
          </w:p>
        </w:tc>
        <w:tc>
          <w:tcPr>
            <w:tcW w:w="1046" w:type="dxa"/>
          </w:tcPr>
          <w:p w14:paraId="26DB20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15400</w:t>
            </w:r>
          </w:p>
        </w:tc>
        <w:tc>
          <w:tcPr>
            <w:tcW w:w="864" w:type="dxa"/>
          </w:tcPr>
          <w:p w14:paraId="3F702E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c>
          <w:tcPr>
            <w:tcW w:w="874" w:type="dxa"/>
          </w:tcPr>
          <w:p w14:paraId="4DC637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17000</w:t>
            </w:r>
          </w:p>
        </w:tc>
        <w:tc>
          <w:tcPr>
            <w:tcW w:w="1181" w:type="dxa"/>
          </w:tcPr>
          <w:p w14:paraId="484598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38000</w:t>
            </w:r>
          </w:p>
        </w:tc>
        <w:tc>
          <w:tcPr>
            <w:tcW w:w="960" w:type="dxa"/>
          </w:tcPr>
          <w:p w14:paraId="310805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21000</w:t>
            </w:r>
          </w:p>
        </w:tc>
      </w:tr>
      <w:tr w:rsidR="007D5DF8" w:rsidRPr="00DB5D0D" w14:paraId="44890991" w14:textId="77777777" w:rsidTr="009223E5">
        <w:trPr>
          <w:trHeight w:val="547"/>
        </w:trPr>
        <w:tc>
          <w:tcPr>
            <w:tcW w:w="1939" w:type="dxa"/>
            <w:tcBorders>
              <w:bottom w:val="single" w:sz="12" w:space="0" w:color="auto"/>
            </w:tcBorders>
          </w:tcPr>
          <w:p w14:paraId="10A6E7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046" w:type="dxa"/>
            <w:tcBorders>
              <w:bottom w:val="single" w:sz="12" w:space="0" w:color="auto"/>
            </w:tcBorders>
          </w:tcPr>
          <w:p w14:paraId="6E1211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28200</w:t>
            </w:r>
          </w:p>
        </w:tc>
        <w:tc>
          <w:tcPr>
            <w:tcW w:w="864" w:type="dxa"/>
            <w:tcBorders>
              <w:bottom w:val="single" w:sz="12" w:space="0" w:color="auto"/>
            </w:tcBorders>
          </w:tcPr>
          <w:p w14:paraId="463013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874" w:type="dxa"/>
            <w:tcBorders>
              <w:bottom w:val="single" w:sz="12" w:space="0" w:color="auto"/>
            </w:tcBorders>
          </w:tcPr>
          <w:p w14:paraId="3D63D2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31000</w:t>
            </w:r>
          </w:p>
        </w:tc>
        <w:tc>
          <w:tcPr>
            <w:tcW w:w="1181" w:type="dxa"/>
            <w:tcBorders>
              <w:bottom w:val="single" w:sz="12" w:space="0" w:color="auto"/>
            </w:tcBorders>
          </w:tcPr>
          <w:p w14:paraId="398381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67000</w:t>
            </w:r>
          </w:p>
        </w:tc>
        <w:tc>
          <w:tcPr>
            <w:tcW w:w="960" w:type="dxa"/>
            <w:tcBorders>
              <w:bottom w:val="single" w:sz="12" w:space="0" w:color="auto"/>
            </w:tcBorders>
          </w:tcPr>
          <w:p w14:paraId="0519A9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36000</w:t>
            </w:r>
          </w:p>
        </w:tc>
      </w:tr>
    </w:tbl>
    <w:p w14:paraId="5840C6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уже в текущем году ГУАС вынужден будет хранить дорогостоящее имущество на открытом воздухе.</w:t>
      </w:r>
    </w:p>
    <w:p w14:paraId="48110F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хранения военного имущества и материалов на складах ГУАС установлено, что учет и использование его поставлены неудовлетворительно. На склаадах ГУАС годами лежат сотни вагонов негодного, а тахже морально устаревшего военного имущества и материалов ненужных ГУАС, но крайне крайне необходимых для нужд народного хозяйства. Тах, например:</w:t>
      </w:r>
    </w:p>
    <w:p w14:paraId="51818D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складах ГУАС в теченле ряда лет хранится огромное коли</w:t>
      </w:r>
      <w:r w:rsidRPr="00DB5D0D">
        <w:rPr>
          <w:rFonts w:ascii="Times New Roman" w:hAnsi="Times New Roman"/>
          <w:color w:val="000000" w:themeColor="text1"/>
          <w:sz w:val="16"/>
          <w:szCs w:val="16"/>
        </w:rPr>
        <w:softHyphen/>
        <w:t>чество имущества без своевременного освежения. На складе № 1 имеется 123 вагона негодного имущества, в том числе 26 вагонов запчастей самолетов и моторов устаревшего типа, 15 вагонов резиновых изделий - неходовых и негодных, 10 вагонов аэронавигацион</w:t>
      </w:r>
      <w:r w:rsidRPr="00DB5D0D">
        <w:rPr>
          <w:rFonts w:ascii="Times New Roman" w:hAnsi="Times New Roman"/>
          <w:color w:val="000000" w:themeColor="text1"/>
          <w:sz w:val="16"/>
          <w:szCs w:val="16"/>
        </w:rPr>
        <w:softHyphen/>
        <w:t>ных и других точных приборов, которые от длительного хранения приходят в негодность - все это бесцельно занимает тысячи квадратных метров складской площади, в то вреая, как моторы М-88 и М-62 и запчасти к ним лежат аз-за отсутствия свободных мест, на открытом воздухе.</w:t>
      </w:r>
    </w:p>
    <w:p w14:paraId="720DA8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складе № 15 хранится годами без всякого яспользования больше 12 вагонов запчастей к самолетам Р-ЗЕТ, И-15, Р-3 и др.снятых с вооружения, 5 вагонов эвиарезины, 42 тыс. метров электропровода, фотоииущества - 35 тонн, свыше 112000 метров кинопленки и другое ценное имущество.</w:t>
      </w:r>
    </w:p>
    <w:p w14:paraId="10F5FE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складе № 309 (г. Нежин) хранятся материалы, ненужные для ВВС округа: красной меди свыше 40 тоня; ферро-силиция и ферро</w:t>
      </w:r>
      <w:r w:rsidRPr="00DB5D0D">
        <w:rPr>
          <w:rFonts w:ascii="Times New Roman" w:hAnsi="Times New Roman"/>
          <w:color w:val="000000" w:themeColor="text1"/>
          <w:sz w:val="16"/>
          <w:szCs w:val="16"/>
        </w:rPr>
        <w:softHyphen/>
        <w:t>хрома 12 тонн; железного купороса 12 тонн; листового свинца 5 тонн; резины разной - неходовой более 3-х вагонов.</w:t>
      </w:r>
    </w:p>
    <w:p w14:paraId="483067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складе № 310 (г. Смоленск) - хранятся без использования 6500 метров ленточных пил.</w:t>
      </w:r>
    </w:p>
    <w:p w14:paraId="040D3F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складе № 8 (г. Сызрань) хранится без всякого использования 5300 метров кожаного приводного ремня, устаревшие свечи ЗМГ - 16500 шт., медно-асбестовые прокладка 125000 шт. и другое ценное имущество.</w:t>
      </w:r>
    </w:p>
    <w:p w14:paraId="0B39F2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ГУАС КА на протяжении двадцати лет своего существования проделал большую работу по выращиванию высококвалифицированных авиационных кадров, испытанию новой материальной части и внедрению ее в строй.</w:t>
      </w:r>
    </w:p>
    <w:p w14:paraId="49190B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1939-40 г.г. проведена важная работа по боевому применении (бомбометание с пикированию, фоторазведывательная служба, радиона</w:t>
      </w:r>
      <w:r w:rsidRPr="00DB5D0D">
        <w:rPr>
          <w:rFonts w:ascii="Times New Roman" w:hAnsi="Times New Roman"/>
          <w:color w:val="000000" w:themeColor="text1"/>
          <w:sz w:val="16"/>
          <w:szCs w:val="16"/>
        </w:rPr>
        <w:softHyphen/>
        <w:t>вигация, обучение слепому полету), успешно проверенные в боевых условиях на финляндском фронте.</w:t>
      </w:r>
    </w:p>
    <w:p w14:paraId="60DE79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Крупнейшим недостатком в работе НИИ является низкое качество госиспытаний самолетов и моторов и безответственность выводов и заключений по ним.</w:t>
      </w:r>
    </w:p>
    <w:p w14:paraId="51EF73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Так,например:</w:t>
      </w:r>
    </w:p>
    <w:p w14:paraId="6A2883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Самолет ДБЗФ с 2М87 прошел госиспытания удовлетворительно в сентябре мес. 1939 г. с рекомендацией запуска в сернйное производство. При запуске в серию вяывились крупные дефекты этого самолета, в результате чего заводы № 18 и 39 в 1-м квартале НКО продукции не сдали.</w:t>
      </w:r>
    </w:p>
    <w:p w14:paraId="2F4EAC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по госиспытаниям самолета ББ-1 и БШ также расплывчаты и не дают ясного ответа.</w:t>
      </w:r>
    </w:p>
    <w:p w14:paraId="782C47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настояло на запуске в серию системы наполнензя бензобаков отработанными газами, которая при проверке на финляндском фронте показала неудовлетворительные результаты.</w:t>
      </w:r>
    </w:p>
    <w:p w14:paraId="55AD56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Двух-тормозные колеса 900х300-370 были испытаны НИИ и рекомен</w:t>
      </w:r>
      <w:r w:rsidRPr="00DB5D0D">
        <w:rPr>
          <w:rFonts w:ascii="Times New Roman" w:hAnsi="Times New Roman"/>
          <w:color w:val="000000" w:themeColor="text1"/>
          <w:sz w:val="16"/>
          <w:szCs w:val="16"/>
        </w:rPr>
        <w:softHyphen/>
        <w:t>дованы в серийное производство. При первых же полетах на заводах НКАП эти колеса показали неудовлетворительные результаты.</w:t>
      </w:r>
    </w:p>
    <w:p w14:paraId="75E78A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М-62 и М-63 госиспытания прошли удовлетворительно. При установке этих моторов на санолеты выявилась их абсолютная ненадежность в работе.</w:t>
      </w:r>
    </w:p>
    <w:p w14:paraId="4EC3D6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М-88 и М-105 госиспытания такяе прошли удовлетворитель</w:t>
      </w:r>
      <w:r w:rsidRPr="00DB5D0D">
        <w:rPr>
          <w:rFonts w:ascii="Times New Roman" w:hAnsi="Times New Roman"/>
          <w:color w:val="000000" w:themeColor="text1"/>
          <w:sz w:val="16"/>
          <w:szCs w:val="16"/>
        </w:rPr>
        <w:softHyphen/>
        <w:t>но, но до сих пор остаются неиадежными в работе.</w:t>
      </w:r>
    </w:p>
    <w:p w14:paraId="4A1251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Общевойсковая и производственная дисциплина в НИИ ГУАС КА сто</w:t>
      </w:r>
      <w:r w:rsidRPr="00DB5D0D">
        <w:rPr>
          <w:rFonts w:ascii="Times New Roman" w:hAnsi="Times New Roman"/>
          <w:color w:val="000000" w:themeColor="text1"/>
          <w:sz w:val="16"/>
          <w:szCs w:val="16"/>
        </w:rPr>
        <w:softHyphen/>
        <w:t>ят на низком уровне. Служебные помещения находятся в запущенном состоянии.</w:t>
      </w:r>
    </w:p>
    <w:p w14:paraId="3BC5D0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2EE5AD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Функции ГУАС КА на сегодня точно не определены. </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Положение о работе ГУАС отсутствует, в силу чего нет точного разграничения обязанностей между ГУАС КА а ГУВВС КА по вопросам разработка системы вооружения, составления тактико-технических требования испытаний материальной частя и принятия ее на вооружение.</w:t>
      </w:r>
    </w:p>
    <w:p w14:paraId="3C38A6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Система снабжения от цептра до периферии не организована. Округа и части по вопросам материального снабжения часто обращаются не в ГУАС, а в ГУВВС. Были случаи, когда ГУВВС вместо того, чтобы требовать от ГУАС непосредственно сам проводил заказы и оформлял их через КО. (Средства механизации аэродромной службы, постановле</w:t>
      </w:r>
      <w:r w:rsidRPr="00DB5D0D">
        <w:rPr>
          <w:rFonts w:ascii="Times New Roman" w:hAnsi="Times New Roman"/>
          <w:color w:val="000000" w:themeColor="text1"/>
          <w:sz w:val="16"/>
          <w:szCs w:val="16"/>
        </w:rPr>
        <w:softHyphen/>
        <w:t>ние КО № 90), не поставив даже в известность ГУАС КА, который этот заказ так же подготовил, но более тщательно.</w:t>
      </w:r>
    </w:p>
    <w:p w14:paraId="64507F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ГУАС КА не является полным хозяином всех материальных ценностей, которые он заказывает и распределяет; оторван от окру</w:t>
      </w:r>
      <w:r w:rsidRPr="00DB5D0D">
        <w:rPr>
          <w:rFonts w:ascii="Times New Roman" w:hAnsi="Times New Roman"/>
          <w:color w:val="000000" w:themeColor="text1"/>
          <w:sz w:val="16"/>
          <w:szCs w:val="16"/>
        </w:rPr>
        <w:softHyphen/>
        <w:t>гов и частей; не занимается на местах учетом, хранением, рациональным использованием материальной части и т.д.</w:t>
      </w:r>
    </w:p>
    <w:p w14:paraId="7F36A1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Имеется целый ряд случаев, когда округа и части распоряжений ГУАС КА по матерзально-техническому снабжению не выполняют (нап</w:t>
      </w:r>
      <w:r w:rsidRPr="00DB5D0D">
        <w:rPr>
          <w:rFonts w:ascii="Times New Roman" w:hAnsi="Times New Roman"/>
          <w:color w:val="000000" w:themeColor="text1"/>
          <w:sz w:val="16"/>
          <w:szCs w:val="16"/>
        </w:rPr>
        <w:softHyphen/>
        <w:t>ример: ГУАС ЗА направил в 13-ю армию Комдиву ПОЛУНИНУ несколько автомашин своим ходом; по дороге эти азтомашины были отобраны по распоряжению комкора т. ПТУХИНА для нужд авиационных частей).</w:t>
      </w:r>
    </w:p>
    <w:p w14:paraId="6DD0C2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Полного учета всего авиаимущества ГУАС не имеет. Сведеная о наличии материальной части, ее убыли, живучести, соответствия и т.п. в ГУАС не поступают. В итоге ГУАС не является центральным органом по руководству снабжепием ВВС и по материальному обеспе</w:t>
      </w:r>
      <w:r w:rsidRPr="00DB5D0D">
        <w:rPr>
          <w:rFonts w:ascii="Times New Roman" w:hAnsi="Times New Roman"/>
          <w:color w:val="000000" w:themeColor="text1"/>
          <w:sz w:val="16"/>
          <w:szCs w:val="16"/>
        </w:rPr>
        <w:softHyphen/>
        <w:t>чению снабжения и роль его свелась к раздаточным функциям.</w:t>
      </w:r>
    </w:p>
    <w:p w14:paraId="7CC8AC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Наличие на вооружении ВВС большого количества различных типов самолетов (около 20) затрудняет систему планирования и снаб</w:t>
      </w:r>
      <w:r w:rsidRPr="00DB5D0D">
        <w:rPr>
          <w:rFonts w:ascii="Times New Roman" w:hAnsi="Times New Roman"/>
          <w:color w:val="000000" w:themeColor="text1"/>
          <w:sz w:val="16"/>
          <w:szCs w:val="16"/>
        </w:rPr>
        <w:softHyphen/>
        <w:t>жения запасными частями и агрегатами. Совершенно отсутствуют нор</w:t>
      </w:r>
      <w:r w:rsidRPr="00DB5D0D">
        <w:rPr>
          <w:rFonts w:ascii="Times New Roman" w:hAnsi="Times New Roman"/>
          <w:color w:val="000000" w:themeColor="text1"/>
          <w:sz w:val="16"/>
          <w:szCs w:val="16"/>
        </w:rPr>
        <w:softHyphen/>
        <w:t>мы расхода на запасные часта к самолетам и моторам, в результате чего планы заказов для промышленности составляются, как правило, ориентировочно.</w:t>
      </w:r>
    </w:p>
    <w:p w14:paraId="398DB1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ВВС в прошлом не требовал от промышденности выпуска стан</w:t>
      </w:r>
      <w:r w:rsidRPr="00DB5D0D">
        <w:rPr>
          <w:rFonts w:ascii="Times New Roman" w:hAnsi="Times New Roman"/>
          <w:color w:val="000000" w:themeColor="text1"/>
          <w:sz w:val="16"/>
          <w:szCs w:val="16"/>
        </w:rPr>
        <w:softHyphen/>
        <w:t>дартных и взаимозаменяемых деталей и узлов к самолетам и моторам, в силу чего усложнялось снабжение и ремонт самолетов и моторов, что является одной из причин затоваривания неходовых запчастей на складах.</w:t>
      </w:r>
    </w:p>
    <w:p w14:paraId="0BDEFB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Низков качество заключений НИИ по госаспытаяиям самолетов, моторов и агрегатов является результатом технической беспринцнпности и желания руководства НИИ не портить отношнгтя с промышленностью и главными конструкторамя. Необходимо снять руководство НИИ (ФИЛИНА, ХОЛОПЦЕВА) и усилить моторный и колесный отделы.</w:t>
      </w:r>
    </w:p>
    <w:p w14:paraId="045A97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НИИ и НИПАВ ГУАС не имеют утверждениях планов научно-исслеловательских и испытателъных работ яз 1940 год. Представленные ГУАС в марте мес.с.г. в НКО проекты указанных планов до сих пор не утверждены.</w:t>
      </w:r>
    </w:p>
    <w:p w14:paraId="227B98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Р Е Д Л О Ж Е Н И Я</w:t>
      </w:r>
    </w:p>
    <w:p w14:paraId="7A9A4A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НКО немедленно утвердить положение о работе ГУАС КА и строго разграничить права и обязанности между ГУАС КА а ГУВВС КА.</w:t>
      </w:r>
    </w:p>
    <w:p w14:paraId="0C2BC2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целях улучшения руководства, взаимных увязок и повседнев</w:t>
      </w:r>
      <w:r w:rsidRPr="00DB5D0D">
        <w:rPr>
          <w:rFonts w:ascii="Times New Roman" w:hAnsi="Times New Roman"/>
          <w:color w:val="000000" w:themeColor="text1"/>
          <w:sz w:val="16"/>
          <w:szCs w:val="16"/>
        </w:rPr>
        <w:softHyphen/>
        <w:t>ного наблюдения за работой ГУАС и ГУВВС предлозить Народному Комиссару Обороны выделнть одного из своих заместетелей на работу по авиации, подчинив ему непосредственно указанные управления.</w:t>
      </w:r>
    </w:p>
    <w:p w14:paraId="05C5B5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Для полного и всестороннего учета авиаимущнества и правиль</w:t>
      </w:r>
      <w:r w:rsidRPr="00DB5D0D">
        <w:rPr>
          <w:rFonts w:ascii="Times New Roman" w:hAnsi="Times New Roman"/>
          <w:color w:val="000000" w:themeColor="text1"/>
          <w:sz w:val="16"/>
          <w:szCs w:val="16"/>
        </w:rPr>
        <w:softHyphen/>
        <w:t>ного его расходования, подчинить ГУАС'у в техническом отношении командуниих округов ВВС, все окрушые склады и базы.</w:t>
      </w:r>
    </w:p>
    <w:p w14:paraId="0CC0B3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ГУАС в 3-х месячаный срок:</w:t>
      </w:r>
    </w:p>
    <w:p w14:paraId="57C482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произвести переучет всего имущества, находящегося на центральных, окружных и войсковых складах и реализовать все ненужное имущество непосредственно заинтересоанным Наркоматам оборон</w:t>
      </w:r>
      <w:r w:rsidRPr="00DB5D0D">
        <w:rPr>
          <w:rFonts w:ascii="Times New Roman" w:hAnsi="Times New Roman"/>
          <w:color w:val="000000" w:themeColor="text1"/>
          <w:sz w:val="16"/>
          <w:szCs w:val="16"/>
        </w:rPr>
        <w:softHyphen/>
        <w:t>ной промышленнсти.</w:t>
      </w:r>
    </w:p>
    <w:p w14:paraId="28DD2F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(Впредь при очередных заказах ГУАС обязан представлять ведомости наличия соответствующего имущесгва на складах и обоснование требуемых заказов).</w:t>
      </w:r>
    </w:p>
    <w:p w14:paraId="486E6C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Разработать в текущей году новые нормы запчастей и материалов ко всем видаи вооружения и сроки хранения ах на складах;</w:t>
      </w:r>
    </w:p>
    <w:p w14:paraId="4F353A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организовать в пределах утвержденных штатов техническую инспекцию по проверке правильности затребования, расходования и использования авиационного имущества.</w:t>
      </w:r>
    </w:p>
    <w:p w14:paraId="48009E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Предложить НКО:</w:t>
      </w:r>
    </w:p>
    <w:p w14:paraId="5AD5FA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Утвердить титул и точки строительства по складам на 1940 год с иемедленным отпуском средств (план строательства находится в Генштабе).</w:t>
      </w:r>
    </w:p>
    <w:p w14:paraId="5DEB31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Разработать перспективный план строительства складов на ближайшие 2-3 года, обратив особое внимание на обеспечение следующих округов: ЗакВО, СдВО, САВО.СевВО, ОрВО, УрВО.</w:t>
      </w:r>
    </w:p>
    <w:p w14:paraId="22C727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Форсировать начатое строительство складов ст. Белая (склад № 3). ст.Зедая, г. Пенза (склад № 76) и Калуга.</w:t>
      </w:r>
    </w:p>
    <w:p w14:paraId="4D492B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Проработать и утвердить на военное время систему работы тылов (до настоящего времени этот вопрос считается неразрешенным) (10493,122).</w:t>
      </w:r>
    </w:p>
    <w:p w14:paraId="0B25140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7E40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13 по 23 мая 1940 в НИИ ВВС А.И.Филин, Холопин, А.И.Кабанов, П.М.Стефановский и др. испытывали Ме-110 с ДБ-601А. Я.В.Смушкевич утвердил в июне 1940 (718).</w:t>
      </w:r>
    </w:p>
    <w:p w14:paraId="0E855C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Тараканов</w:t>
      </w:r>
    </w:p>
    <w:p w14:paraId="2D4371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Николаев</w:t>
      </w:r>
    </w:p>
    <w:p w14:paraId="0F5BFB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б/т вт1р Жулев</w:t>
      </w:r>
    </w:p>
    <w:p w14:paraId="56DD0A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Пономарев</w:t>
      </w:r>
    </w:p>
    <w:p w14:paraId="78EF0B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вооружению Рюмин</w:t>
      </w:r>
    </w:p>
    <w:p w14:paraId="05A679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Самозванцев</w:t>
      </w:r>
    </w:p>
    <w:p w14:paraId="5E9D30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АверьяновСализов</w:t>
      </w:r>
    </w:p>
    <w:p w14:paraId="4F5E7B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 облета Филин, Холопин, Кабанов, Стефаненко, Никашин, Долгов, Хрипин, Кубышкин, Шапорев</w:t>
      </w:r>
    </w:p>
    <w:p w14:paraId="76BBA6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проходили 13-23 мая</w:t>
      </w:r>
    </w:p>
    <w:p w14:paraId="17DF9F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530 км/час на 4600 (данные фирмы), 525 км/час на 4600 (наши данные) (718).</w:t>
      </w:r>
    </w:p>
    <w:p w14:paraId="78E6196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6A6B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Протокол № 16. Заседание ПБ за 9-26 мая 1940 г.</w:t>
      </w:r>
    </w:p>
    <w:p w14:paraId="4398AB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13.5.40 г.</w:t>
      </w:r>
    </w:p>
    <w:p w14:paraId="5307BE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63. Вопрос КО. Об организации производства авиамоторов.</w:t>
      </w:r>
    </w:p>
    <w:p w14:paraId="6B1A3D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15.5.40 г.</w:t>
      </w:r>
    </w:p>
    <w:p w14:paraId="68C921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90. Об организации серийного производства самолета И-26 конструкции Яковлева на заводе № 301.</w:t>
      </w:r>
    </w:p>
    <w:p w14:paraId="0719D8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22.5.40 г.</w:t>
      </w:r>
    </w:p>
    <w:p w14:paraId="0589CC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179. О самолетах. Изменение окраски самолетов.</w:t>
      </w:r>
    </w:p>
    <w:p w14:paraId="1278BA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25.5.40 г.</w:t>
      </w:r>
    </w:p>
    <w:p w14:paraId="3C8FF2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194. Вопрос КО. О производстве четырехмоторных дальних бомбардировщиков; о постройке новых авиационных моторов; об организации производства самолетов.</w:t>
      </w:r>
    </w:p>
    <w:p w14:paraId="795A63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 xml:space="preserve">26. 5. 40 г. </w:t>
      </w:r>
      <w:r w:rsidRPr="00DB5D0D">
        <w:rPr>
          <w:rFonts w:ascii="Times New Roman" w:hAnsi="Times New Roman"/>
          <w:color w:val="000000" w:themeColor="text1"/>
          <w:sz w:val="16"/>
          <w:szCs w:val="16"/>
        </w:rPr>
        <w:t>П. 210. Вопрос КО. О производстве четырехмоторных дальних бомбардировщиков (11773).</w:t>
      </w:r>
    </w:p>
    <w:p w14:paraId="1BB353E4"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49A610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13 по 25 мая 1940 проходили совместные 50-часовые испытания мотора АМ-35, а с С 17 апреля по 11 мая 1940 мотор проходил заводские испытания на заводе № 24.</w:t>
      </w:r>
    </w:p>
    <w:p w14:paraId="02C440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 27 мая 1940 НКАП А.И.Шахурин (26) и НКО Тимошенко (27) подписали Акт утверждения выводов и заключения по совместным (НКО и НКАП) 50 часовым испытаниям на станке мотора АМ-35А пр-ва завода № 24</w:t>
      </w:r>
    </w:p>
    <w:p w14:paraId="3DE6DD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о совместных 50 часовых испытаниях на станке АМ-35А производства завода 24.</w:t>
      </w:r>
    </w:p>
    <w:p w14:paraId="5CC763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Комиссия по совместным испытаниям:</w:t>
      </w:r>
    </w:p>
    <w:p w14:paraId="683A41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ви1р К.В.Кукушкин</w:t>
      </w:r>
    </w:p>
    <w:p w14:paraId="1DF041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 ви2р В.А.Черников, ви2р М.П.Кочетков, ви2р А.И.Суворов, зам ГК завода № 24 В.А.Чернышев, отв. конструктор завода № 24 М.Р.Флисский, гл. инспектор ОКБ завода № 24 С.А.Марзаев</w:t>
      </w:r>
    </w:p>
    <w:p w14:paraId="24FBFF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28721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соответствие основных данных мотора АМ-35А ТТТ и надежность конструкции мотора и агрегатов 50 испытаниями</w:t>
      </w:r>
    </w:p>
    <w:p w14:paraId="452F73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Краткие рез-ты совместных (НКО и НКАП) испытаний на станке мотора АМ-35А</w:t>
      </w:r>
    </w:p>
    <w:p w14:paraId="48747C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АМ-35А производства з-да № 24 совместные 50 часовые испытания прошел удовлетворительно.</w:t>
      </w:r>
    </w:p>
    <w:p w14:paraId="37DEC1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мощности и высотности мотор АМ-35А соответствует ТТТ</w:t>
      </w:r>
    </w:p>
    <w:p w14:paraId="77C072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Всего мотор наработал 80 :36, из них на режиме 54:32</w:t>
      </w:r>
    </w:p>
    <w:p w14:paraId="2CF4DD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Основные недостатками мотора АМ-35А являются</w:t>
      </w:r>
    </w:p>
    <w:p w14:paraId="48D526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 отсутствие доведенного карбюратора, обеспечивающего мотору нормальное питание на всех его положениях при работе на с-те истребителе и обеспечивающего гарантийный расход топлива без использования высотного корректора</w:t>
      </w:r>
    </w:p>
    <w:p w14:paraId="343D01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недостаточная надежность и конструктивные недоработки всасывающих патрубков</w:t>
      </w:r>
    </w:p>
    <w:p w14:paraId="237DAB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недостаточное охлаждение масла, ограничивающее потолок с-та</w:t>
      </w:r>
    </w:p>
    <w:p w14:paraId="272CA9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775E58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АМ-35А совместные 50-часовые ГИ прошел удовлетворительно.</w:t>
      </w:r>
    </w:p>
    <w:p w14:paraId="79826F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Некоторые основные данные, полученные при испытаниях, отличающиеся от данных, указанных в предъявлении мотора на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2634"/>
        <w:gridCol w:w="2634"/>
        <w:gridCol w:w="2634"/>
        <w:gridCol w:w="2634"/>
      </w:tblGrid>
      <w:tr w:rsidR="007D5DF8" w:rsidRPr="00DB5D0D" w14:paraId="4978FF1B" w14:textId="77777777" w:rsidTr="009223E5">
        <w:tc>
          <w:tcPr>
            <w:tcW w:w="675" w:type="dxa"/>
            <w:tcBorders>
              <w:top w:val="single" w:sz="12" w:space="0" w:color="auto"/>
            </w:tcBorders>
          </w:tcPr>
          <w:p w14:paraId="1BF185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2634" w:type="dxa"/>
            <w:tcBorders>
              <w:top w:val="single" w:sz="12" w:space="0" w:color="auto"/>
            </w:tcBorders>
          </w:tcPr>
          <w:p w14:paraId="1BA69D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 мотора, по параметрам, имеющим расхождения</w:t>
            </w:r>
          </w:p>
        </w:tc>
        <w:tc>
          <w:tcPr>
            <w:tcW w:w="2634" w:type="dxa"/>
            <w:tcBorders>
              <w:top w:val="single" w:sz="12" w:space="0" w:color="auto"/>
            </w:tcBorders>
          </w:tcPr>
          <w:p w14:paraId="61F43E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Получено по испытаниям</w:t>
            </w:r>
          </w:p>
        </w:tc>
        <w:tc>
          <w:tcPr>
            <w:tcW w:w="2634" w:type="dxa"/>
            <w:tcBorders>
              <w:top w:val="single" w:sz="12" w:space="0" w:color="auto"/>
            </w:tcBorders>
          </w:tcPr>
          <w:p w14:paraId="720594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предхявлению на испытания</w:t>
            </w:r>
          </w:p>
        </w:tc>
        <w:tc>
          <w:tcPr>
            <w:tcW w:w="2634" w:type="dxa"/>
            <w:tcBorders>
              <w:top w:val="single" w:sz="12" w:space="0" w:color="auto"/>
            </w:tcBorders>
          </w:tcPr>
          <w:p w14:paraId="5B222F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ТТТ</w:t>
            </w:r>
          </w:p>
        </w:tc>
      </w:tr>
      <w:tr w:rsidR="007D5DF8" w:rsidRPr="00DB5D0D" w14:paraId="0E6B6CEE" w14:textId="77777777" w:rsidTr="009223E5">
        <w:tc>
          <w:tcPr>
            <w:tcW w:w="675" w:type="dxa"/>
          </w:tcPr>
          <w:p w14:paraId="41DF91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634" w:type="dxa"/>
          </w:tcPr>
          <w:p w14:paraId="38D4AB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 вес</w:t>
            </w:r>
          </w:p>
        </w:tc>
        <w:tc>
          <w:tcPr>
            <w:tcW w:w="2634" w:type="dxa"/>
          </w:tcPr>
          <w:p w14:paraId="51B4F6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2634" w:type="dxa"/>
          </w:tcPr>
          <w:p w14:paraId="26669E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820</w:t>
            </w:r>
          </w:p>
        </w:tc>
        <w:tc>
          <w:tcPr>
            <w:tcW w:w="2634" w:type="dxa"/>
          </w:tcPr>
          <w:p w14:paraId="49CE67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780</w:t>
            </w:r>
          </w:p>
        </w:tc>
      </w:tr>
      <w:tr w:rsidR="007D5DF8" w:rsidRPr="00DB5D0D" w14:paraId="0257CCD5" w14:textId="77777777" w:rsidTr="009223E5">
        <w:tc>
          <w:tcPr>
            <w:tcW w:w="675" w:type="dxa"/>
          </w:tcPr>
          <w:p w14:paraId="4A3E92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634" w:type="dxa"/>
          </w:tcPr>
          <w:p w14:paraId="5D7C4B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Высотность при номинальной мощности и Рк 1090 в м</w:t>
            </w:r>
          </w:p>
        </w:tc>
        <w:tc>
          <w:tcPr>
            <w:tcW w:w="2634" w:type="dxa"/>
          </w:tcPr>
          <w:p w14:paraId="045CFF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6300</w:t>
            </w:r>
          </w:p>
        </w:tc>
        <w:tc>
          <w:tcPr>
            <w:tcW w:w="2634" w:type="dxa"/>
          </w:tcPr>
          <w:p w14:paraId="7EC578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2634" w:type="dxa"/>
          </w:tcPr>
          <w:p w14:paraId="78A8E4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r>
      <w:tr w:rsidR="007D5DF8" w:rsidRPr="00DB5D0D" w14:paraId="708C969B" w14:textId="77777777" w:rsidTr="009223E5">
        <w:tc>
          <w:tcPr>
            <w:tcW w:w="675" w:type="dxa"/>
          </w:tcPr>
          <w:p w14:paraId="7D59C0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634" w:type="dxa"/>
          </w:tcPr>
          <w:p w14:paraId="77482A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топлива на номинальном режиме г/лс/час</w:t>
            </w:r>
          </w:p>
        </w:tc>
        <w:tc>
          <w:tcPr>
            <w:tcW w:w="2634" w:type="dxa"/>
          </w:tcPr>
          <w:p w14:paraId="26A220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284</w:t>
            </w:r>
          </w:p>
        </w:tc>
        <w:tc>
          <w:tcPr>
            <w:tcW w:w="2634" w:type="dxa"/>
          </w:tcPr>
          <w:p w14:paraId="34B862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2634" w:type="dxa"/>
          </w:tcPr>
          <w:p w14:paraId="20A18C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260-270</w:t>
            </w:r>
          </w:p>
        </w:tc>
      </w:tr>
      <w:tr w:rsidR="007D5DF8" w:rsidRPr="00DB5D0D" w14:paraId="283A464B" w14:textId="77777777" w:rsidTr="009223E5">
        <w:tc>
          <w:tcPr>
            <w:tcW w:w="675" w:type="dxa"/>
            <w:tcBorders>
              <w:bottom w:val="single" w:sz="12" w:space="0" w:color="auto"/>
            </w:tcBorders>
          </w:tcPr>
          <w:p w14:paraId="5C7AB1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634" w:type="dxa"/>
            <w:tcBorders>
              <w:bottom w:val="single" w:sz="12" w:space="0" w:color="auto"/>
            </w:tcBorders>
          </w:tcPr>
          <w:p w14:paraId="6A0576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Карбюратор</w:t>
            </w:r>
          </w:p>
        </w:tc>
        <w:tc>
          <w:tcPr>
            <w:tcW w:w="2634" w:type="dxa"/>
            <w:tcBorders>
              <w:bottom w:val="single" w:sz="12" w:space="0" w:color="auto"/>
            </w:tcBorders>
          </w:tcPr>
          <w:p w14:paraId="6EB012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автокорректора</w:t>
            </w:r>
          </w:p>
        </w:tc>
        <w:tc>
          <w:tcPr>
            <w:tcW w:w="2634" w:type="dxa"/>
            <w:tcBorders>
              <w:bottom w:val="single" w:sz="12" w:space="0" w:color="auto"/>
            </w:tcBorders>
          </w:tcPr>
          <w:p w14:paraId="73B71F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автокорректора</w:t>
            </w:r>
          </w:p>
        </w:tc>
        <w:tc>
          <w:tcPr>
            <w:tcW w:w="2634" w:type="dxa"/>
            <w:tcBorders>
              <w:bottom w:val="single" w:sz="12" w:space="0" w:color="auto"/>
            </w:tcBorders>
          </w:tcPr>
          <w:p w14:paraId="534F67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автокорректором</w:t>
            </w:r>
          </w:p>
        </w:tc>
      </w:tr>
    </w:tbl>
    <w:p w14:paraId="5EA77E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мотора завышен на 60 кг (8%), частичное завышение веса (20-30 кг) относится за счет унификации деталей с АМ-37 (коленвал, шатуны, нагнетатель).</w:t>
      </w:r>
    </w:p>
    <w:p w14:paraId="5ABAD9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имеет следующие основные конструкционные особенности</w:t>
      </w:r>
    </w:p>
    <w:p w14:paraId="4D32F4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выходе воздуха из нагнетателя вместо вместо обычно дроссельной заслонки установлен поворотный направляющий аппарат (л-ка Политковского). При дросселирования воздуха этим направляющим аппаратом на земле и на высотах ниже расчетной высоты достигается увеличение эффективной мощности. На земле оно достигает 800-100 кг.</w:t>
      </w:r>
    </w:p>
    <w:p w14:paraId="36D004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мотор работает с охлаждением водой под давлением при темперетуре на входе в 110-120 гр. Поавышение температуры охлаждающей жидкости улучшает аэродинамику с-та (уменьшается лобовое сопротивление от радиатора, уменьшается вес охлаждающей системы</w:t>
      </w:r>
    </w:p>
    <w:p w14:paraId="653DFC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мотор АМ-35А конструктивно аналогичен и полностью взаимозаменям по всем кзлам с мотором АМ-37 за исключением:</w:t>
      </w:r>
    </w:p>
    <w:p w14:paraId="15FAA1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АМ-35А не имеет водовоздушного радиатора для охлаждения воздуха за нагнетателем, вместо него установлена проставка</w:t>
      </w:r>
    </w:p>
    <w:p w14:paraId="4B049A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 имеет дополнительного водяного насоса для этого радиатора</w:t>
      </w:r>
    </w:p>
    <w:p w14:paraId="0AAAD1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диаметр крыльчатки 275 мм, вместо 285 мм у АМ-37</w:t>
      </w:r>
    </w:p>
    <w:p w14:paraId="563786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из изложенного в п. В) видно, что мотор АМ-35А может быть легко переделан на мотор АМ-37, который имеет большую мощность. </w:t>
      </w:r>
    </w:p>
    <w:p w14:paraId="2B1E14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Дефект карбюратора К-35А - не обеспечивает гарантированные данные удульных расходов топлива и не обеспечивает нормального питания мотора на всех эволюциях с-та. Карбюратор имеет течи из-под уплотнительных прокладок и заедание жиклера в разьбе при замене и т.д.</w:t>
      </w:r>
    </w:p>
    <w:p w14:paraId="3C16E7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Сводная таблица основных мощных современных авиамоторов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874"/>
        <w:gridCol w:w="536"/>
        <w:gridCol w:w="575"/>
        <w:gridCol w:w="638"/>
        <w:gridCol w:w="527"/>
        <w:gridCol w:w="527"/>
        <w:gridCol w:w="527"/>
        <w:gridCol w:w="560"/>
        <w:gridCol w:w="524"/>
        <w:gridCol w:w="647"/>
        <w:gridCol w:w="570"/>
        <w:gridCol w:w="570"/>
        <w:gridCol w:w="554"/>
        <w:gridCol w:w="573"/>
        <w:gridCol w:w="572"/>
        <w:gridCol w:w="572"/>
        <w:gridCol w:w="396"/>
        <w:gridCol w:w="416"/>
        <w:gridCol w:w="374"/>
      </w:tblGrid>
      <w:tr w:rsidR="007D5DF8" w:rsidRPr="00DB5D0D" w14:paraId="1929F1E3" w14:textId="77777777" w:rsidTr="009223E5">
        <w:tc>
          <w:tcPr>
            <w:tcW w:w="675" w:type="dxa"/>
            <w:tcBorders>
              <w:top w:val="single" w:sz="12" w:space="0" w:color="auto"/>
            </w:tcBorders>
          </w:tcPr>
          <w:p w14:paraId="55B634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Обозначение мотора</w:t>
            </w:r>
          </w:p>
        </w:tc>
        <w:tc>
          <w:tcPr>
            <w:tcW w:w="874" w:type="dxa"/>
            <w:tcBorders>
              <w:top w:val="single" w:sz="12" w:space="0" w:color="auto"/>
            </w:tcBorders>
          </w:tcPr>
          <w:p w14:paraId="49FD4D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мотора</w:t>
            </w:r>
          </w:p>
        </w:tc>
        <w:tc>
          <w:tcPr>
            <w:tcW w:w="536" w:type="dxa"/>
            <w:tcBorders>
              <w:top w:val="single" w:sz="12" w:space="0" w:color="auto"/>
            </w:tcBorders>
          </w:tcPr>
          <w:p w14:paraId="159185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нагнетателя л.с.</w:t>
            </w:r>
          </w:p>
        </w:tc>
        <w:tc>
          <w:tcPr>
            <w:tcW w:w="575" w:type="dxa"/>
            <w:tcBorders>
              <w:top w:val="single" w:sz="12" w:space="0" w:color="auto"/>
            </w:tcBorders>
          </w:tcPr>
          <w:p w14:paraId="0ACAC7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Номинальный наддев</w:t>
            </w:r>
          </w:p>
        </w:tc>
        <w:tc>
          <w:tcPr>
            <w:tcW w:w="638" w:type="dxa"/>
            <w:tcBorders>
              <w:top w:val="single" w:sz="12" w:space="0" w:color="auto"/>
            </w:tcBorders>
          </w:tcPr>
          <w:p w14:paraId="20482E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w:t>
            </w:r>
          </w:p>
        </w:tc>
        <w:tc>
          <w:tcPr>
            <w:tcW w:w="527" w:type="dxa"/>
            <w:tcBorders>
              <w:top w:val="single" w:sz="12" w:space="0" w:color="auto"/>
            </w:tcBorders>
          </w:tcPr>
          <w:p w14:paraId="0C3AB7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Лоб</w:t>
            </w:r>
          </w:p>
        </w:tc>
        <w:tc>
          <w:tcPr>
            <w:tcW w:w="527" w:type="dxa"/>
            <w:tcBorders>
              <w:top w:val="single" w:sz="12" w:space="0" w:color="auto"/>
            </w:tcBorders>
          </w:tcPr>
          <w:p w14:paraId="439E23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Степень сжатия</w:t>
            </w:r>
          </w:p>
        </w:tc>
        <w:tc>
          <w:tcPr>
            <w:tcW w:w="527" w:type="dxa"/>
            <w:tcBorders>
              <w:top w:val="single" w:sz="12" w:space="0" w:color="auto"/>
            </w:tcBorders>
          </w:tcPr>
          <w:p w14:paraId="24B698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Литраж</w:t>
            </w:r>
          </w:p>
        </w:tc>
        <w:tc>
          <w:tcPr>
            <w:tcW w:w="560" w:type="dxa"/>
            <w:tcBorders>
              <w:top w:val="single" w:sz="12" w:space="0" w:color="auto"/>
            </w:tcBorders>
          </w:tcPr>
          <w:p w14:paraId="0BFECB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высотность</w:t>
            </w:r>
          </w:p>
        </w:tc>
        <w:tc>
          <w:tcPr>
            <w:tcW w:w="524" w:type="dxa"/>
            <w:tcBorders>
              <w:top w:val="single" w:sz="12" w:space="0" w:color="auto"/>
            </w:tcBorders>
          </w:tcPr>
          <w:p w14:paraId="48D47F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нагнетателя</w:t>
            </w:r>
          </w:p>
        </w:tc>
        <w:tc>
          <w:tcPr>
            <w:tcW w:w="647" w:type="dxa"/>
            <w:tcBorders>
              <w:top w:val="single" w:sz="12" w:space="0" w:color="auto"/>
            </w:tcBorders>
          </w:tcPr>
          <w:p w14:paraId="1B3D53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Высотная мощность</w:t>
            </w:r>
          </w:p>
        </w:tc>
        <w:tc>
          <w:tcPr>
            <w:tcW w:w="570" w:type="dxa"/>
            <w:tcBorders>
              <w:top w:val="single" w:sz="12" w:space="0" w:color="auto"/>
            </w:tcBorders>
          </w:tcPr>
          <w:p w14:paraId="1AC9DC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на земле</w:t>
            </w:r>
          </w:p>
        </w:tc>
        <w:tc>
          <w:tcPr>
            <w:tcW w:w="570" w:type="dxa"/>
            <w:tcBorders>
              <w:top w:val="single" w:sz="12" w:space="0" w:color="auto"/>
            </w:tcBorders>
          </w:tcPr>
          <w:p w14:paraId="4D23C5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w:t>
            </w:r>
          </w:p>
        </w:tc>
        <w:tc>
          <w:tcPr>
            <w:tcW w:w="554" w:type="dxa"/>
            <w:tcBorders>
              <w:top w:val="single" w:sz="12" w:space="0" w:color="auto"/>
            </w:tcBorders>
          </w:tcPr>
          <w:p w14:paraId="70597B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на 6000м</w:t>
            </w:r>
          </w:p>
        </w:tc>
        <w:tc>
          <w:tcPr>
            <w:tcW w:w="573" w:type="dxa"/>
            <w:tcBorders>
              <w:top w:val="single" w:sz="12" w:space="0" w:color="auto"/>
            </w:tcBorders>
          </w:tcPr>
          <w:p w14:paraId="33DB31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w:t>
            </w:r>
          </w:p>
        </w:tc>
        <w:tc>
          <w:tcPr>
            <w:tcW w:w="572" w:type="dxa"/>
            <w:tcBorders>
              <w:top w:val="single" w:sz="12" w:space="0" w:color="auto"/>
            </w:tcBorders>
          </w:tcPr>
          <w:p w14:paraId="7B0F8B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номинальный</w:t>
            </w:r>
          </w:p>
        </w:tc>
        <w:tc>
          <w:tcPr>
            <w:tcW w:w="572" w:type="dxa"/>
            <w:tcBorders>
              <w:top w:val="single" w:sz="12" w:space="0" w:color="auto"/>
            </w:tcBorders>
          </w:tcPr>
          <w:p w14:paraId="1E7332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расхож эксплуатационный</w:t>
            </w:r>
          </w:p>
        </w:tc>
        <w:tc>
          <w:tcPr>
            <w:tcW w:w="396" w:type="dxa"/>
            <w:tcBorders>
              <w:top w:val="single" w:sz="12" w:space="0" w:color="auto"/>
            </w:tcBorders>
          </w:tcPr>
          <w:p w14:paraId="446562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Октяновое число</w:t>
            </w:r>
          </w:p>
        </w:tc>
        <w:tc>
          <w:tcPr>
            <w:tcW w:w="416" w:type="dxa"/>
            <w:tcBorders>
              <w:top w:val="single" w:sz="12" w:space="0" w:color="auto"/>
            </w:tcBorders>
          </w:tcPr>
          <w:p w14:paraId="008431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Особенности мотора</w:t>
            </w:r>
          </w:p>
        </w:tc>
        <w:tc>
          <w:tcPr>
            <w:tcW w:w="374" w:type="dxa"/>
            <w:tcBorders>
              <w:top w:val="single" w:sz="12" w:space="0" w:color="auto"/>
            </w:tcBorders>
          </w:tcPr>
          <w:p w14:paraId="6A7EAF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мотора</w:t>
            </w:r>
          </w:p>
        </w:tc>
      </w:tr>
      <w:tr w:rsidR="007D5DF8" w:rsidRPr="00DB5D0D" w14:paraId="4DFD8FEA" w14:textId="77777777" w:rsidTr="009223E5">
        <w:tc>
          <w:tcPr>
            <w:tcW w:w="675" w:type="dxa"/>
          </w:tcPr>
          <w:p w14:paraId="79313D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Даймлер-Бенц 601А</w:t>
            </w:r>
          </w:p>
        </w:tc>
        <w:tc>
          <w:tcPr>
            <w:tcW w:w="874" w:type="dxa"/>
          </w:tcPr>
          <w:p w14:paraId="711D8F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У-образный 12 цилиндров перевернутый</w:t>
            </w:r>
          </w:p>
        </w:tc>
        <w:tc>
          <w:tcPr>
            <w:tcW w:w="536" w:type="dxa"/>
          </w:tcPr>
          <w:p w14:paraId="16174F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575" w:type="dxa"/>
          </w:tcPr>
          <w:p w14:paraId="1753F8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965</w:t>
            </w:r>
          </w:p>
        </w:tc>
        <w:tc>
          <w:tcPr>
            <w:tcW w:w="638" w:type="dxa"/>
          </w:tcPr>
          <w:p w14:paraId="0B83EC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590</w:t>
            </w:r>
          </w:p>
        </w:tc>
        <w:tc>
          <w:tcPr>
            <w:tcW w:w="527" w:type="dxa"/>
          </w:tcPr>
          <w:p w14:paraId="5F07AA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0,911</w:t>
            </w:r>
          </w:p>
        </w:tc>
        <w:tc>
          <w:tcPr>
            <w:tcW w:w="527" w:type="dxa"/>
          </w:tcPr>
          <w:p w14:paraId="44156C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04F722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33,9</w:t>
            </w:r>
          </w:p>
        </w:tc>
        <w:tc>
          <w:tcPr>
            <w:tcW w:w="560" w:type="dxa"/>
          </w:tcPr>
          <w:p w14:paraId="17FD34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3700</w:t>
            </w:r>
          </w:p>
        </w:tc>
        <w:tc>
          <w:tcPr>
            <w:tcW w:w="524" w:type="dxa"/>
          </w:tcPr>
          <w:p w14:paraId="67CAA2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63BFDF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70" w:type="dxa"/>
          </w:tcPr>
          <w:p w14:paraId="52FA62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6A9A8D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1175</w:t>
            </w:r>
          </w:p>
        </w:tc>
        <w:tc>
          <w:tcPr>
            <w:tcW w:w="554" w:type="dxa"/>
          </w:tcPr>
          <w:p w14:paraId="46428D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0,79</w:t>
            </w:r>
          </w:p>
        </w:tc>
        <w:tc>
          <w:tcPr>
            <w:tcW w:w="573" w:type="dxa"/>
          </w:tcPr>
          <w:p w14:paraId="023CD0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810</w:t>
            </w:r>
          </w:p>
        </w:tc>
        <w:tc>
          <w:tcPr>
            <w:tcW w:w="572" w:type="dxa"/>
          </w:tcPr>
          <w:p w14:paraId="722826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572" w:type="dxa"/>
          </w:tcPr>
          <w:p w14:paraId="095D00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396" w:type="dxa"/>
          </w:tcPr>
          <w:p w14:paraId="4FD95A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w:t>
            </w:r>
          </w:p>
        </w:tc>
        <w:tc>
          <w:tcPr>
            <w:tcW w:w="416" w:type="dxa"/>
          </w:tcPr>
          <w:p w14:paraId="607A92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595C88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6D7875A9" w14:textId="77777777" w:rsidTr="009223E5">
        <w:tc>
          <w:tcPr>
            <w:tcW w:w="675" w:type="dxa"/>
          </w:tcPr>
          <w:p w14:paraId="1386D7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Даймлер-Бенц 601форсир.</w:t>
            </w:r>
          </w:p>
        </w:tc>
        <w:tc>
          <w:tcPr>
            <w:tcW w:w="874" w:type="dxa"/>
          </w:tcPr>
          <w:p w14:paraId="36F6EB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У-образный 12 цилиндров перевернутый</w:t>
            </w:r>
          </w:p>
        </w:tc>
        <w:tc>
          <w:tcPr>
            <w:tcW w:w="536" w:type="dxa"/>
          </w:tcPr>
          <w:p w14:paraId="39A7B7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575" w:type="dxa"/>
          </w:tcPr>
          <w:p w14:paraId="7227E6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38" w:type="dxa"/>
          </w:tcPr>
          <w:p w14:paraId="7FC604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w:t>
            </w:r>
          </w:p>
        </w:tc>
        <w:tc>
          <w:tcPr>
            <w:tcW w:w="527" w:type="dxa"/>
          </w:tcPr>
          <w:p w14:paraId="6AAD2D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0,91</w:t>
            </w:r>
          </w:p>
        </w:tc>
        <w:tc>
          <w:tcPr>
            <w:tcW w:w="527" w:type="dxa"/>
          </w:tcPr>
          <w:p w14:paraId="10B354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27" w:type="dxa"/>
          </w:tcPr>
          <w:p w14:paraId="4ABCD5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33,9</w:t>
            </w:r>
          </w:p>
        </w:tc>
        <w:tc>
          <w:tcPr>
            <w:tcW w:w="560" w:type="dxa"/>
          </w:tcPr>
          <w:p w14:paraId="496652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524" w:type="dxa"/>
          </w:tcPr>
          <w:p w14:paraId="756BC46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47" w:type="dxa"/>
          </w:tcPr>
          <w:p w14:paraId="425B13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3B0A5B4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175D40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54" w:type="dxa"/>
          </w:tcPr>
          <w:p w14:paraId="6F761E8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Pr>
          <w:p w14:paraId="217E0D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7BEB80F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14BE9C2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6F7A69A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4633F67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528258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w:t>
            </w:r>
          </w:p>
        </w:tc>
      </w:tr>
      <w:tr w:rsidR="007D5DF8" w:rsidRPr="00DB5D0D" w14:paraId="692A8C6F" w14:textId="77777777" w:rsidTr="009223E5">
        <w:tc>
          <w:tcPr>
            <w:tcW w:w="675" w:type="dxa"/>
          </w:tcPr>
          <w:p w14:paraId="4146C2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М-71</w:t>
            </w:r>
          </w:p>
        </w:tc>
        <w:tc>
          <w:tcPr>
            <w:tcW w:w="874" w:type="dxa"/>
          </w:tcPr>
          <w:p w14:paraId="5293A3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рядная звезда 18 цилиндров</w:t>
            </w:r>
          </w:p>
        </w:tc>
        <w:tc>
          <w:tcPr>
            <w:tcW w:w="536" w:type="dxa"/>
          </w:tcPr>
          <w:p w14:paraId="04E68C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w:t>
            </w:r>
          </w:p>
        </w:tc>
        <w:tc>
          <w:tcPr>
            <w:tcW w:w="575" w:type="dxa"/>
          </w:tcPr>
          <w:p w14:paraId="1BB342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638" w:type="dxa"/>
          </w:tcPr>
          <w:p w14:paraId="470ECA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527" w:type="dxa"/>
          </w:tcPr>
          <w:p w14:paraId="1D69AF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527" w:type="dxa"/>
          </w:tcPr>
          <w:p w14:paraId="7A6CB8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527" w:type="dxa"/>
          </w:tcPr>
          <w:p w14:paraId="37DF6A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59,6</w:t>
            </w:r>
          </w:p>
        </w:tc>
        <w:tc>
          <w:tcPr>
            <w:tcW w:w="560" w:type="dxa"/>
          </w:tcPr>
          <w:p w14:paraId="10F36B6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656B44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5F2067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w:t>
            </w:r>
          </w:p>
        </w:tc>
        <w:tc>
          <w:tcPr>
            <w:tcW w:w="570" w:type="dxa"/>
          </w:tcPr>
          <w:p w14:paraId="792D5D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5C6D9B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554" w:type="dxa"/>
          </w:tcPr>
          <w:p w14:paraId="73F204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0,78</w:t>
            </w:r>
          </w:p>
        </w:tc>
        <w:tc>
          <w:tcPr>
            <w:tcW w:w="573" w:type="dxa"/>
          </w:tcPr>
          <w:p w14:paraId="2692BF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1480</w:t>
            </w:r>
          </w:p>
        </w:tc>
        <w:tc>
          <w:tcPr>
            <w:tcW w:w="572" w:type="dxa"/>
          </w:tcPr>
          <w:p w14:paraId="66D76A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305/335</w:t>
            </w:r>
          </w:p>
        </w:tc>
        <w:tc>
          <w:tcPr>
            <w:tcW w:w="572" w:type="dxa"/>
          </w:tcPr>
          <w:p w14:paraId="711A11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290/310</w:t>
            </w:r>
          </w:p>
        </w:tc>
        <w:tc>
          <w:tcPr>
            <w:tcW w:w="396" w:type="dxa"/>
          </w:tcPr>
          <w:p w14:paraId="102E1A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53C2ECA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77FE12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w:t>
            </w:r>
          </w:p>
        </w:tc>
      </w:tr>
      <w:tr w:rsidR="007D5DF8" w:rsidRPr="00DB5D0D" w14:paraId="7BBBF193" w14:textId="77777777" w:rsidTr="009223E5">
        <w:tc>
          <w:tcPr>
            <w:tcW w:w="675" w:type="dxa"/>
          </w:tcPr>
          <w:p w14:paraId="205A5E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М-120</w:t>
            </w:r>
          </w:p>
        </w:tc>
        <w:tc>
          <w:tcPr>
            <w:tcW w:w="874" w:type="dxa"/>
          </w:tcPr>
          <w:p w14:paraId="45DB0A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Y-образный</w:t>
            </w:r>
          </w:p>
        </w:tc>
        <w:tc>
          <w:tcPr>
            <w:tcW w:w="536" w:type="dxa"/>
          </w:tcPr>
          <w:p w14:paraId="7F31DF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c>
          <w:tcPr>
            <w:tcW w:w="575" w:type="dxa"/>
          </w:tcPr>
          <w:p w14:paraId="3748D4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638" w:type="dxa"/>
          </w:tcPr>
          <w:p w14:paraId="00127C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527" w:type="dxa"/>
          </w:tcPr>
          <w:p w14:paraId="603F54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0,97</w:t>
            </w:r>
          </w:p>
        </w:tc>
        <w:tc>
          <w:tcPr>
            <w:tcW w:w="527" w:type="dxa"/>
          </w:tcPr>
          <w:p w14:paraId="7895D0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267476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52,8</w:t>
            </w:r>
          </w:p>
        </w:tc>
        <w:tc>
          <w:tcPr>
            <w:tcW w:w="560" w:type="dxa"/>
          </w:tcPr>
          <w:p w14:paraId="5CEC9F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524" w:type="dxa"/>
          </w:tcPr>
          <w:p w14:paraId="7CA73F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372AFB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06F536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08365A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1800</w:t>
            </w:r>
          </w:p>
        </w:tc>
        <w:tc>
          <w:tcPr>
            <w:tcW w:w="554" w:type="dxa"/>
          </w:tcPr>
          <w:p w14:paraId="283600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w:t>
            </w:r>
          </w:p>
        </w:tc>
        <w:tc>
          <w:tcPr>
            <w:tcW w:w="573" w:type="dxa"/>
          </w:tcPr>
          <w:p w14:paraId="3AAE96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2" w:type="dxa"/>
          </w:tcPr>
          <w:p w14:paraId="56C30C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300/315</w:t>
            </w:r>
          </w:p>
        </w:tc>
        <w:tc>
          <w:tcPr>
            <w:tcW w:w="572" w:type="dxa"/>
          </w:tcPr>
          <w:p w14:paraId="13B78C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396" w:type="dxa"/>
          </w:tcPr>
          <w:p w14:paraId="038B00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06A6FAB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4EED2B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доводке</w:t>
            </w:r>
          </w:p>
        </w:tc>
      </w:tr>
      <w:tr w:rsidR="007D5DF8" w:rsidRPr="00DB5D0D" w14:paraId="084CB8A1" w14:textId="77777777" w:rsidTr="009223E5">
        <w:tc>
          <w:tcPr>
            <w:tcW w:w="675" w:type="dxa"/>
          </w:tcPr>
          <w:p w14:paraId="742F8E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М-81</w:t>
            </w:r>
          </w:p>
        </w:tc>
        <w:tc>
          <w:tcPr>
            <w:tcW w:w="874" w:type="dxa"/>
          </w:tcPr>
          <w:p w14:paraId="5F7EDA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воздушного 2-х рядный </w:t>
            </w:r>
            <w:r w:rsidRPr="00DB5D0D">
              <w:rPr>
                <w:rFonts w:ascii="Times New Roman" w:hAnsi="Times New Roman"/>
                <w:color w:val="000000" w:themeColor="text1"/>
                <w:sz w:val="16"/>
                <w:szCs w:val="16"/>
              </w:rPr>
              <w:lastRenderedPageBreak/>
              <w:t>14 цилиндров</w:t>
            </w:r>
          </w:p>
        </w:tc>
        <w:tc>
          <w:tcPr>
            <w:tcW w:w="536" w:type="dxa"/>
          </w:tcPr>
          <w:p w14:paraId="208D72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240</w:t>
            </w:r>
          </w:p>
        </w:tc>
        <w:tc>
          <w:tcPr>
            <w:tcW w:w="575" w:type="dxa"/>
          </w:tcPr>
          <w:p w14:paraId="6D6574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638" w:type="dxa"/>
          </w:tcPr>
          <w:p w14:paraId="68266A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527" w:type="dxa"/>
          </w:tcPr>
          <w:p w14:paraId="24DC9B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527" w:type="dxa"/>
          </w:tcPr>
          <w:p w14:paraId="3E4B69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w:t>
            </w:r>
          </w:p>
        </w:tc>
        <w:tc>
          <w:tcPr>
            <w:tcW w:w="527" w:type="dxa"/>
          </w:tcPr>
          <w:p w14:paraId="6E0E96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46,3</w:t>
            </w:r>
          </w:p>
        </w:tc>
        <w:tc>
          <w:tcPr>
            <w:tcW w:w="560" w:type="dxa"/>
          </w:tcPr>
          <w:p w14:paraId="40A5EF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5250</w:t>
            </w:r>
          </w:p>
        </w:tc>
        <w:tc>
          <w:tcPr>
            <w:tcW w:w="524" w:type="dxa"/>
          </w:tcPr>
          <w:p w14:paraId="38DC70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w:t>
            </w:r>
            <w:r w:rsidRPr="00DB5D0D">
              <w:rPr>
                <w:rFonts w:ascii="Times New Roman" w:hAnsi="Times New Roman"/>
                <w:color w:val="000000" w:themeColor="text1"/>
                <w:sz w:val="16"/>
                <w:szCs w:val="16"/>
              </w:rPr>
              <w:lastRenderedPageBreak/>
              <w:t>ростной</w:t>
            </w:r>
          </w:p>
        </w:tc>
        <w:tc>
          <w:tcPr>
            <w:tcW w:w="647" w:type="dxa"/>
          </w:tcPr>
          <w:p w14:paraId="7BD743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1300</w:t>
            </w:r>
          </w:p>
        </w:tc>
        <w:tc>
          <w:tcPr>
            <w:tcW w:w="570" w:type="dxa"/>
          </w:tcPr>
          <w:p w14:paraId="0C526E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w:t>
            </w:r>
          </w:p>
        </w:tc>
        <w:tc>
          <w:tcPr>
            <w:tcW w:w="570" w:type="dxa"/>
          </w:tcPr>
          <w:p w14:paraId="517113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c>
          <w:tcPr>
            <w:tcW w:w="554" w:type="dxa"/>
          </w:tcPr>
          <w:p w14:paraId="7A08C0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0,76</w:t>
            </w:r>
          </w:p>
        </w:tc>
        <w:tc>
          <w:tcPr>
            <w:tcW w:w="573" w:type="dxa"/>
          </w:tcPr>
          <w:p w14:paraId="3CC332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1180</w:t>
            </w:r>
          </w:p>
        </w:tc>
        <w:tc>
          <w:tcPr>
            <w:tcW w:w="572" w:type="dxa"/>
          </w:tcPr>
          <w:p w14:paraId="276349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305/325</w:t>
            </w:r>
          </w:p>
        </w:tc>
        <w:tc>
          <w:tcPr>
            <w:tcW w:w="572" w:type="dxa"/>
          </w:tcPr>
          <w:p w14:paraId="2700EE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290/310</w:t>
            </w:r>
          </w:p>
        </w:tc>
        <w:tc>
          <w:tcPr>
            <w:tcW w:w="396" w:type="dxa"/>
          </w:tcPr>
          <w:p w14:paraId="69DD20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633D379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3E8B7D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w:t>
            </w:r>
          </w:p>
        </w:tc>
      </w:tr>
      <w:tr w:rsidR="007D5DF8" w:rsidRPr="00DB5D0D" w14:paraId="32956A0B" w14:textId="77777777" w:rsidTr="009223E5">
        <w:tc>
          <w:tcPr>
            <w:tcW w:w="675" w:type="dxa"/>
          </w:tcPr>
          <w:p w14:paraId="0253B7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М-90</w:t>
            </w:r>
          </w:p>
        </w:tc>
        <w:tc>
          <w:tcPr>
            <w:tcW w:w="874" w:type="dxa"/>
          </w:tcPr>
          <w:p w14:paraId="60A821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рядная звезда 18 цилиндров</w:t>
            </w:r>
          </w:p>
        </w:tc>
        <w:tc>
          <w:tcPr>
            <w:tcW w:w="536" w:type="dxa"/>
          </w:tcPr>
          <w:p w14:paraId="2D06F8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405</w:t>
            </w:r>
          </w:p>
        </w:tc>
        <w:tc>
          <w:tcPr>
            <w:tcW w:w="575" w:type="dxa"/>
          </w:tcPr>
          <w:p w14:paraId="7F74A4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638" w:type="dxa"/>
          </w:tcPr>
          <w:p w14:paraId="38E4BD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527" w:type="dxa"/>
          </w:tcPr>
          <w:p w14:paraId="3A59BD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w:t>
            </w:r>
          </w:p>
        </w:tc>
        <w:tc>
          <w:tcPr>
            <w:tcW w:w="527" w:type="dxa"/>
          </w:tcPr>
          <w:p w14:paraId="1FB748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w:t>
            </w:r>
          </w:p>
        </w:tc>
        <w:tc>
          <w:tcPr>
            <w:tcW w:w="527" w:type="dxa"/>
          </w:tcPr>
          <w:p w14:paraId="55701A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49,5</w:t>
            </w:r>
          </w:p>
        </w:tc>
        <w:tc>
          <w:tcPr>
            <w:tcW w:w="560" w:type="dxa"/>
          </w:tcPr>
          <w:p w14:paraId="48B234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524" w:type="dxa"/>
          </w:tcPr>
          <w:p w14:paraId="779D33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64BACE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6D8F4C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2D7F36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1750</w:t>
            </w:r>
          </w:p>
        </w:tc>
        <w:tc>
          <w:tcPr>
            <w:tcW w:w="554" w:type="dxa"/>
          </w:tcPr>
          <w:p w14:paraId="045944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0,59</w:t>
            </w:r>
          </w:p>
        </w:tc>
        <w:tc>
          <w:tcPr>
            <w:tcW w:w="573" w:type="dxa"/>
          </w:tcPr>
          <w:p w14:paraId="6FA10C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2" w:type="dxa"/>
          </w:tcPr>
          <w:p w14:paraId="105E5E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300/315</w:t>
            </w:r>
          </w:p>
        </w:tc>
        <w:tc>
          <w:tcPr>
            <w:tcW w:w="572" w:type="dxa"/>
          </w:tcPr>
          <w:p w14:paraId="0F6375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396" w:type="dxa"/>
          </w:tcPr>
          <w:p w14:paraId="759FC1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0CCD9F6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47696D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w:t>
            </w:r>
          </w:p>
        </w:tc>
      </w:tr>
      <w:tr w:rsidR="007D5DF8" w:rsidRPr="00DB5D0D" w14:paraId="55C79B3E" w14:textId="77777777" w:rsidTr="009223E5">
        <w:tc>
          <w:tcPr>
            <w:tcW w:w="675" w:type="dxa"/>
          </w:tcPr>
          <w:p w14:paraId="2911F8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874" w:type="dxa"/>
          </w:tcPr>
          <w:p w14:paraId="318A0F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18882C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c>
          <w:tcPr>
            <w:tcW w:w="575" w:type="dxa"/>
          </w:tcPr>
          <w:p w14:paraId="3B2B7C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638" w:type="dxa"/>
          </w:tcPr>
          <w:p w14:paraId="0E61A2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570</w:t>
            </w:r>
          </w:p>
        </w:tc>
        <w:tc>
          <w:tcPr>
            <w:tcW w:w="527" w:type="dxa"/>
          </w:tcPr>
          <w:p w14:paraId="52B1F9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0,73</w:t>
            </w:r>
          </w:p>
        </w:tc>
        <w:tc>
          <w:tcPr>
            <w:tcW w:w="527" w:type="dxa"/>
          </w:tcPr>
          <w:p w14:paraId="10B083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5EC1A9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560" w:type="dxa"/>
          </w:tcPr>
          <w:p w14:paraId="467E8F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524" w:type="dxa"/>
          </w:tcPr>
          <w:p w14:paraId="00620A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4C2926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61C59D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70" w:type="dxa"/>
          </w:tcPr>
          <w:p w14:paraId="754545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54" w:type="dxa"/>
          </w:tcPr>
          <w:p w14:paraId="7D827E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0,71</w:t>
            </w:r>
          </w:p>
        </w:tc>
        <w:tc>
          <w:tcPr>
            <w:tcW w:w="573" w:type="dxa"/>
          </w:tcPr>
          <w:p w14:paraId="12377D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572" w:type="dxa"/>
          </w:tcPr>
          <w:p w14:paraId="75C325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572" w:type="dxa"/>
          </w:tcPr>
          <w:p w14:paraId="5A75B6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245/260</w:t>
            </w:r>
          </w:p>
        </w:tc>
        <w:tc>
          <w:tcPr>
            <w:tcW w:w="396" w:type="dxa"/>
          </w:tcPr>
          <w:p w14:paraId="70F9F6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4064313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5EC20F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3F97C609" w14:textId="77777777" w:rsidTr="009223E5">
        <w:tc>
          <w:tcPr>
            <w:tcW w:w="675" w:type="dxa"/>
          </w:tcPr>
          <w:p w14:paraId="659B84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М-35</w:t>
            </w:r>
          </w:p>
        </w:tc>
        <w:tc>
          <w:tcPr>
            <w:tcW w:w="874" w:type="dxa"/>
          </w:tcPr>
          <w:p w14:paraId="1A3AAA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57B3EC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575" w:type="dxa"/>
          </w:tcPr>
          <w:p w14:paraId="2C8E33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w:t>
            </w:r>
          </w:p>
        </w:tc>
        <w:tc>
          <w:tcPr>
            <w:tcW w:w="638" w:type="dxa"/>
          </w:tcPr>
          <w:p w14:paraId="664967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c>
          <w:tcPr>
            <w:tcW w:w="527" w:type="dxa"/>
          </w:tcPr>
          <w:p w14:paraId="29142A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0,95</w:t>
            </w:r>
          </w:p>
        </w:tc>
        <w:tc>
          <w:tcPr>
            <w:tcW w:w="527" w:type="dxa"/>
          </w:tcPr>
          <w:p w14:paraId="05B27F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2BDFB3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44,7</w:t>
            </w:r>
          </w:p>
        </w:tc>
        <w:tc>
          <w:tcPr>
            <w:tcW w:w="560" w:type="dxa"/>
          </w:tcPr>
          <w:p w14:paraId="3FF03F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c>
          <w:tcPr>
            <w:tcW w:w="524" w:type="dxa"/>
          </w:tcPr>
          <w:p w14:paraId="7EBD96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4A40DA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350725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1130</w:t>
            </w:r>
          </w:p>
        </w:tc>
        <w:tc>
          <w:tcPr>
            <w:tcW w:w="570" w:type="dxa"/>
          </w:tcPr>
          <w:p w14:paraId="6E4378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2D6282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0,81</w:t>
            </w:r>
          </w:p>
        </w:tc>
        <w:tc>
          <w:tcPr>
            <w:tcW w:w="573" w:type="dxa"/>
          </w:tcPr>
          <w:p w14:paraId="372F0C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980</w:t>
            </w:r>
          </w:p>
        </w:tc>
        <w:tc>
          <w:tcPr>
            <w:tcW w:w="572" w:type="dxa"/>
          </w:tcPr>
          <w:p w14:paraId="230B4C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572" w:type="dxa"/>
          </w:tcPr>
          <w:p w14:paraId="038E01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245/260</w:t>
            </w:r>
          </w:p>
        </w:tc>
        <w:tc>
          <w:tcPr>
            <w:tcW w:w="396" w:type="dxa"/>
          </w:tcPr>
          <w:p w14:paraId="79E251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416" w:type="dxa"/>
          </w:tcPr>
          <w:p w14:paraId="7A6972D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3A67EA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1531E0E2" w14:textId="77777777" w:rsidTr="009223E5">
        <w:tc>
          <w:tcPr>
            <w:tcW w:w="675" w:type="dxa"/>
          </w:tcPr>
          <w:p w14:paraId="3C951A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tc>
        <w:tc>
          <w:tcPr>
            <w:tcW w:w="874" w:type="dxa"/>
          </w:tcPr>
          <w:p w14:paraId="3F29EC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46533B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w:t>
            </w:r>
          </w:p>
        </w:tc>
        <w:tc>
          <w:tcPr>
            <w:tcW w:w="575" w:type="dxa"/>
          </w:tcPr>
          <w:p w14:paraId="02197F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1060</w:t>
            </w:r>
          </w:p>
        </w:tc>
        <w:tc>
          <w:tcPr>
            <w:tcW w:w="638" w:type="dxa"/>
          </w:tcPr>
          <w:p w14:paraId="273D69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527" w:type="dxa"/>
          </w:tcPr>
          <w:p w14:paraId="7A036F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0,98</w:t>
            </w:r>
          </w:p>
        </w:tc>
        <w:tc>
          <w:tcPr>
            <w:tcW w:w="527" w:type="dxa"/>
          </w:tcPr>
          <w:p w14:paraId="70C8CD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62823C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41,6</w:t>
            </w:r>
          </w:p>
        </w:tc>
        <w:tc>
          <w:tcPr>
            <w:tcW w:w="560" w:type="dxa"/>
          </w:tcPr>
          <w:p w14:paraId="3961FB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6200</w:t>
            </w:r>
          </w:p>
        </w:tc>
        <w:tc>
          <w:tcPr>
            <w:tcW w:w="524" w:type="dxa"/>
          </w:tcPr>
          <w:p w14:paraId="7EE719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02DD34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7B26F1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70" w:type="dxa"/>
          </w:tcPr>
          <w:p w14:paraId="2013FE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3A082F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w:t>
            </w:r>
          </w:p>
        </w:tc>
        <w:tc>
          <w:tcPr>
            <w:tcW w:w="573" w:type="dxa"/>
          </w:tcPr>
          <w:p w14:paraId="671A89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1240</w:t>
            </w:r>
          </w:p>
        </w:tc>
        <w:tc>
          <w:tcPr>
            <w:tcW w:w="572" w:type="dxa"/>
          </w:tcPr>
          <w:p w14:paraId="002CB6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572" w:type="dxa"/>
          </w:tcPr>
          <w:p w14:paraId="4E5AB0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396" w:type="dxa"/>
          </w:tcPr>
          <w:p w14:paraId="083D29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w:t>
            </w:r>
          </w:p>
        </w:tc>
        <w:tc>
          <w:tcPr>
            <w:tcW w:w="416" w:type="dxa"/>
          </w:tcPr>
          <w:p w14:paraId="2D60710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67DC9A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 50 час</w:t>
            </w:r>
          </w:p>
        </w:tc>
      </w:tr>
      <w:tr w:rsidR="007D5DF8" w:rsidRPr="00DB5D0D" w14:paraId="6DE7DCDD" w14:textId="77777777" w:rsidTr="009223E5">
        <w:tc>
          <w:tcPr>
            <w:tcW w:w="675" w:type="dxa"/>
          </w:tcPr>
          <w:p w14:paraId="358CE7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АМ-37</w:t>
            </w:r>
          </w:p>
        </w:tc>
        <w:tc>
          <w:tcPr>
            <w:tcW w:w="874" w:type="dxa"/>
          </w:tcPr>
          <w:p w14:paraId="79A6DD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1182B8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430</w:t>
            </w:r>
          </w:p>
        </w:tc>
        <w:tc>
          <w:tcPr>
            <w:tcW w:w="575" w:type="dxa"/>
          </w:tcPr>
          <w:p w14:paraId="5EE4D9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1210</w:t>
            </w:r>
          </w:p>
        </w:tc>
        <w:tc>
          <w:tcPr>
            <w:tcW w:w="638" w:type="dxa"/>
          </w:tcPr>
          <w:p w14:paraId="0C6D96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527" w:type="dxa"/>
          </w:tcPr>
          <w:p w14:paraId="6330BB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0,98</w:t>
            </w:r>
          </w:p>
        </w:tc>
        <w:tc>
          <w:tcPr>
            <w:tcW w:w="527" w:type="dxa"/>
          </w:tcPr>
          <w:p w14:paraId="5F859B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23B7B1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41,6</w:t>
            </w:r>
          </w:p>
        </w:tc>
        <w:tc>
          <w:tcPr>
            <w:tcW w:w="560" w:type="dxa"/>
          </w:tcPr>
          <w:p w14:paraId="593123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6300</w:t>
            </w:r>
          </w:p>
        </w:tc>
        <w:tc>
          <w:tcPr>
            <w:tcW w:w="524" w:type="dxa"/>
          </w:tcPr>
          <w:p w14:paraId="4D3314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3B9E56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70" w:type="dxa"/>
          </w:tcPr>
          <w:p w14:paraId="446F94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1250</w:t>
            </w:r>
          </w:p>
        </w:tc>
        <w:tc>
          <w:tcPr>
            <w:tcW w:w="570" w:type="dxa"/>
          </w:tcPr>
          <w:p w14:paraId="0798E7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54" w:type="dxa"/>
          </w:tcPr>
          <w:p w14:paraId="0FF9B7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0,61</w:t>
            </w:r>
          </w:p>
        </w:tc>
        <w:tc>
          <w:tcPr>
            <w:tcW w:w="573" w:type="dxa"/>
          </w:tcPr>
          <w:p w14:paraId="79F0E2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1460</w:t>
            </w:r>
          </w:p>
        </w:tc>
        <w:tc>
          <w:tcPr>
            <w:tcW w:w="572" w:type="dxa"/>
          </w:tcPr>
          <w:p w14:paraId="293D04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572" w:type="dxa"/>
          </w:tcPr>
          <w:p w14:paraId="24F184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396" w:type="dxa"/>
          </w:tcPr>
          <w:p w14:paraId="606F75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w:t>
            </w:r>
          </w:p>
        </w:tc>
        <w:tc>
          <w:tcPr>
            <w:tcW w:w="416" w:type="dxa"/>
          </w:tcPr>
          <w:p w14:paraId="2F00111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309C0E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 50 час</w:t>
            </w:r>
          </w:p>
        </w:tc>
      </w:tr>
      <w:tr w:rsidR="007D5DF8" w:rsidRPr="00DB5D0D" w14:paraId="77ED5639" w14:textId="77777777" w:rsidTr="009223E5">
        <w:tc>
          <w:tcPr>
            <w:tcW w:w="675" w:type="dxa"/>
          </w:tcPr>
          <w:p w14:paraId="731104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210ВА</w:t>
            </w:r>
          </w:p>
        </w:tc>
        <w:tc>
          <w:tcPr>
            <w:tcW w:w="874" w:type="dxa"/>
          </w:tcPr>
          <w:p w14:paraId="6EEED9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Pr>
          <w:p w14:paraId="5C0EF84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Pr>
          <w:p w14:paraId="4556AC2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Pr>
          <w:p w14:paraId="29174C8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7DDEBFC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656F7FF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018C342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Pr>
          <w:p w14:paraId="7ABA138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4F8B63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317FB0E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0AB3093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1175D8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70FDA09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Pr>
          <w:p w14:paraId="4D05F75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78EF0A5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056C92D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314AC11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1BDE47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396BCE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57D92731" w14:textId="77777777" w:rsidTr="009223E5">
        <w:tc>
          <w:tcPr>
            <w:tcW w:w="675" w:type="dxa"/>
          </w:tcPr>
          <w:p w14:paraId="6711AE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211LF</w:t>
            </w:r>
          </w:p>
        </w:tc>
        <w:tc>
          <w:tcPr>
            <w:tcW w:w="874" w:type="dxa"/>
          </w:tcPr>
          <w:p w14:paraId="2C6191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Pr>
          <w:p w14:paraId="3627972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Pr>
          <w:p w14:paraId="27DF52A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Pr>
          <w:p w14:paraId="3D73423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09C0E90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48B8038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566C8AB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Pr>
          <w:p w14:paraId="1D136B0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0CFE84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1B3D47B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18F5215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0F0D6C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111334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0?68</w:t>
            </w:r>
          </w:p>
        </w:tc>
        <w:tc>
          <w:tcPr>
            <w:tcW w:w="573" w:type="dxa"/>
          </w:tcPr>
          <w:p w14:paraId="28DFAD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940</w:t>
            </w:r>
          </w:p>
        </w:tc>
        <w:tc>
          <w:tcPr>
            <w:tcW w:w="572" w:type="dxa"/>
          </w:tcPr>
          <w:p w14:paraId="2813799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0E2D23E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74C6FA4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107D74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37F1F1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36E3A986" w14:textId="77777777" w:rsidTr="009223E5">
        <w:tc>
          <w:tcPr>
            <w:tcW w:w="675" w:type="dxa"/>
            <w:tcBorders>
              <w:bottom w:val="single" w:sz="12" w:space="0" w:color="auto"/>
            </w:tcBorders>
          </w:tcPr>
          <w:p w14:paraId="40C176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210G</w:t>
            </w:r>
          </w:p>
        </w:tc>
        <w:tc>
          <w:tcPr>
            <w:tcW w:w="874" w:type="dxa"/>
            <w:tcBorders>
              <w:bottom w:val="single" w:sz="12" w:space="0" w:color="auto"/>
            </w:tcBorders>
          </w:tcPr>
          <w:p w14:paraId="58EE64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Borders>
              <w:bottom w:val="single" w:sz="12" w:space="0" w:color="auto"/>
            </w:tcBorders>
          </w:tcPr>
          <w:p w14:paraId="4C927BC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Borders>
              <w:bottom w:val="single" w:sz="12" w:space="0" w:color="auto"/>
            </w:tcBorders>
          </w:tcPr>
          <w:p w14:paraId="2AA490F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Borders>
              <w:bottom w:val="single" w:sz="12" w:space="0" w:color="auto"/>
            </w:tcBorders>
          </w:tcPr>
          <w:p w14:paraId="065A024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4615967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453A09B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5E931A4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Borders>
              <w:bottom w:val="single" w:sz="12" w:space="0" w:color="auto"/>
            </w:tcBorders>
          </w:tcPr>
          <w:p w14:paraId="4C62FD9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Borders>
              <w:bottom w:val="single" w:sz="12" w:space="0" w:color="auto"/>
            </w:tcBorders>
          </w:tcPr>
          <w:p w14:paraId="0CA84D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Borders>
              <w:bottom w:val="single" w:sz="12" w:space="0" w:color="auto"/>
            </w:tcBorders>
          </w:tcPr>
          <w:p w14:paraId="2FA8423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Borders>
              <w:bottom w:val="single" w:sz="12" w:space="0" w:color="auto"/>
            </w:tcBorders>
          </w:tcPr>
          <w:p w14:paraId="65018AD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Borders>
              <w:bottom w:val="single" w:sz="12" w:space="0" w:color="auto"/>
            </w:tcBorders>
          </w:tcPr>
          <w:p w14:paraId="0737C6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554" w:type="dxa"/>
            <w:tcBorders>
              <w:bottom w:val="single" w:sz="12" w:space="0" w:color="auto"/>
            </w:tcBorders>
          </w:tcPr>
          <w:p w14:paraId="01B79A2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Borders>
              <w:bottom w:val="single" w:sz="12" w:space="0" w:color="auto"/>
            </w:tcBorders>
          </w:tcPr>
          <w:p w14:paraId="7BA29C2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Borders>
              <w:bottom w:val="single" w:sz="12" w:space="0" w:color="auto"/>
            </w:tcBorders>
          </w:tcPr>
          <w:p w14:paraId="284E061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Borders>
              <w:bottom w:val="single" w:sz="12" w:space="0" w:color="auto"/>
            </w:tcBorders>
          </w:tcPr>
          <w:p w14:paraId="544BD96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Borders>
              <w:bottom w:val="single" w:sz="12" w:space="0" w:color="auto"/>
            </w:tcBorders>
          </w:tcPr>
          <w:p w14:paraId="7CDFF75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Borders>
              <w:bottom w:val="single" w:sz="12" w:space="0" w:color="auto"/>
            </w:tcBorders>
          </w:tcPr>
          <w:p w14:paraId="3721BE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Borders>
              <w:bottom w:val="single" w:sz="12" w:space="0" w:color="auto"/>
            </w:tcBorders>
          </w:tcPr>
          <w:p w14:paraId="24A05B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bl>
    <w:p w14:paraId="56EB59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(801,1).</w:t>
      </w:r>
    </w:p>
    <w:p w14:paraId="1DE71BD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24E3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Авиаконструктор, полковник запаса П.И.Гроховский писал письмо Вознесенскому:</w:t>
      </w:r>
    </w:p>
    <w:p w14:paraId="1047B6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Уважаемый тов. ВОЗНЕСЕНСКИЙ !</w:t>
      </w:r>
    </w:p>
    <w:p w14:paraId="2A365B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Вам из секретариата И.В.СТАЛИНА поступило мое письмо, адресованное Иосифу Виссарионовичу, с приложением альбома. Мне из Вашего секретариата со</w:t>
      </w:r>
      <w:r w:rsidRPr="00DB5D0D">
        <w:rPr>
          <w:rFonts w:ascii="Times New Roman" w:hAnsi="Times New Roman"/>
          <w:color w:val="000000" w:themeColor="text1"/>
          <w:sz w:val="16"/>
          <w:szCs w:val="16"/>
        </w:rPr>
        <w:softHyphen/>
        <w:t>общили, что Вами дано распоряжение об организации Комиссии по линии Наркоморфлота.</w:t>
      </w:r>
    </w:p>
    <w:p w14:paraId="024E6D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Выражаю Вам глубокую благодарность за быстрое продвижение этого дела,но считаю своим долгом доба</w:t>
      </w:r>
      <w:r w:rsidRPr="00DB5D0D">
        <w:rPr>
          <w:rFonts w:ascii="Times New Roman" w:hAnsi="Times New Roman"/>
          <w:color w:val="000000" w:themeColor="text1"/>
          <w:sz w:val="16"/>
          <w:szCs w:val="16"/>
        </w:rPr>
        <w:softHyphen/>
        <w:t>вить следующее: кроме военно-морских вопросов, мое письмо к Иосифу Виссарионовичу подымало и другие во</w:t>
      </w:r>
      <w:r w:rsidRPr="00DB5D0D">
        <w:rPr>
          <w:rFonts w:ascii="Times New Roman" w:hAnsi="Times New Roman"/>
          <w:color w:val="000000" w:themeColor="text1"/>
          <w:sz w:val="16"/>
          <w:szCs w:val="16"/>
        </w:rPr>
        <w:softHyphen/>
        <w:t>просы и сейчас, в связи с последними военными дейст</w:t>
      </w:r>
      <w:r w:rsidRPr="00DB5D0D">
        <w:rPr>
          <w:rFonts w:ascii="Times New Roman" w:hAnsi="Times New Roman"/>
          <w:color w:val="000000" w:themeColor="text1"/>
          <w:sz w:val="16"/>
          <w:szCs w:val="16"/>
        </w:rPr>
        <w:softHyphen/>
        <w:t>виями Германии в Бельгии и Голландии - особенно на</w:t>
      </w:r>
      <w:r w:rsidRPr="00DB5D0D">
        <w:rPr>
          <w:rFonts w:ascii="Times New Roman" w:hAnsi="Times New Roman"/>
          <w:color w:val="000000" w:themeColor="text1"/>
          <w:sz w:val="16"/>
          <w:szCs w:val="16"/>
        </w:rPr>
        <w:softHyphen/>
        <w:t>сущно и ярко стоит вопрос о парашютном десанте.</w:t>
      </w:r>
    </w:p>
    <w:p w14:paraId="15BBCD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Вопросами парашютного десанта я занимаюсь с 1929 года и, в свое время, являлся единственным у нас,</w:t>
      </w:r>
    </w:p>
    <w:p w14:paraId="60C829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Красной Армии специалистом по техническому оснащению.</w:t>
      </w:r>
    </w:p>
    <w:p w14:paraId="79F4CC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руководил специальным институтом -("Экспери</w:t>
      </w:r>
      <w:r w:rsidRPr="00DB5D0D">
        <w:rPr>
          <w:rFonts w:ascii="Times New Roman" w:hAnsi="Times New Roman"/>
          <w:color w:val="000000" w:themeColor="text1"/>
          <w:sz w:val="16"/>
          <w:szCs w:val="16"/>
        </w:rPr>
        <w:softHyphen/>
        <w:t>ментальный Институт Наркомтяжпрома*), задачей которого было внедрение ряда моих изобретений по парашютно-десантному делу.</w:t>
      </w:r>
    </w:p>
    <w:p w14:paraId="3F5D3D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проработал в этом Институте около сорока изобрений, принятых на снабжение Красной Армии.</w:t>
      </w:r>
    </w:p>
    <w:p w14:paraId="7718AE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могу предъявить Вам ряд протоколов и отчетов Государственных Комиссий, одобрявших эти изобретения. Эти изобретения разрешают вопросы сбрасывания лодского состава, грузов, продовольствия, боеприпасов и т.д.</w:t>
      </w:r>
    </w:p>
    <w:p w14:paraId="08E853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этот Институт не существует. Он был ликвидирован в 1937 году происками вредителей.</w:t>
      </w:r>
    </w:p>
    <w:p w14:paraId="53EA89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Никакой базы, работающей в этом направлении сейчас не имеется. Объекты эти постоянно снимаются со снабжения только из-за того,что нет организации, которая бн занималась их реконструкцией применительно к новым самолетам.</w:t>
      </w:r>
    </w:p>
    <w:p w14:paraId="67AF41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 разом, парашютное дело, инициатором ко</w:t>
      </w:r>
      <w:r w:rsidRPr="00DB5D0D">
        <w:rPr>
          <w:rFonts w:ascii="Times New Roman" w:hAnsi="Times New Roman"/>
          <w:color w:val="000000" w:themeColor="text1"/>
          <w:sz w:val="16"/>
          <w:szCs w:val="16"/>
        </w:rPr>
        <w:softHyphen/>
        <w:t>торого в мировом масштабе была наша Страна, в на</w:t>
      </w:r>
      <w:r w:rsidRPr="00DB5D0D">
        <w:rPr>
          <w:rFonts w:ascii="Times New Roman" w:hAnsi="Times New Roman"/>
          <w:color w:val="000000" w:themeColor="text1"/>
          <w:sz w:val="16"/>
          <w:szCs w:val="16"/>
        </w:rPr>
        <w:softHyphen/>
        <w:t>стоящее время - не двигается вперед.</w:t>
      </w:r>
    </w:p>
    <w:p w14:paraId="495E8B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Очень прошу Вас обратить особое внимание на вопрос парашютного десанта и дать мне возможность предоставить мои соображения и объяснения Комиссии, которая должна, по моему, включать не одних только специалистов военно-морского флота, а рассматривать вопросы более широко, в общевоенном масштабе.</w:t>
      </w:r>
    </w:p>
    <w:p w14:paraId="4B13CA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надеюсь, что весь мой долголетний опыт по во</w:t>
      </w:r>
      <w:r w:rsidRPr="00DB5D0D">
        <w:rPr>
          <w:rFonts w:ascii="Times New Roman" w:hAnsi="Times New Roman"/>
          <w:color w:val="000000" w:themeColor="text1"/>
          <w:sz w:val="16"/>
          <w:szCs w:val="16"/>
        </w:rPr>
        <w:softHyphen/>
        <w:t>енно-оборонной работе, который отражен в моем архиве (фотоснимки, чертежи, расчеты, заключения, протоко</w:t>
      </w:r>
      <w:r w:rsidRPr="00DB5D0D">
        <w:rPr>
          <w:rFonts w:ascii="Times New Roman" w:hAnsi="Times New Roman"/>
          <w:color w:val="000000" w:themeColor="text1"/>
          <w:sz w:val="16"/>
          <w:szCs w:val="16"/>
        </w:rPr>
        <w:softHyphen/>
        <w:t>лы и т.д.), будет использован и обсужден авторитет</w:t>
      </w:r>
      <w:r w:rsidRPr="00DB5D0D">
        <w:rPr>
          <w:rFonts w:ascii="Times New Roman" w:hAnsi="Times New Roman"/>
          <w:color w:val="000000" w:themeColor="text1"/>
          <w:sz w:val="16"/>
          <w:szCs w:val="16"/>
        </w:rPr>
        <w:softHyphen/>
        <w:t>ными лицами.</w:t>
      </w:r>
    </w:p>
    <w:p w14:paraId="514EE7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ожидании ответа </w:t>
      </w:r>
    </w:p>
    <w:p w14:paraId="5B0992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 Колхозная пл., д. 14/7, кв. 54 тел. К-49-26 (10516,20).</w:t>
      </w:r>
    </w:p>
    <w:p w14:paraId="19332C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B4B42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 на НИП АВ ВВС проходили контрольные испытания универсальных посадочных шашек оранжевого дыма (УПШ-2), которые начались 9 мая 1940.</w:t>
      </w:r>
    </w:p>
    <w:p w14:paraId="714F0D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00B9CC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2DF3BC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возможные изменения боевых качеств УПШ-2 опытной партии после хранения в складских условиях в течении трех лет.</w:t>
      </w:r>
    </w:p>
    <w:p w14:paraId="790515A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видимость дымволны по дальности от УПШ-2 с самолета и возможность определения направления ветра для посадки самолета.</w:t>
      </w:r>
    </w:p>
    <w:p w14:paraId="531CEE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7E36E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Универсальные посадочные шашки оранжевого дыма (УПШ) после трехлетнего хранения в складских условиях к работе пригодны (7539).</w:t>
      </w:r>
    </w:p>
    <w:p w14:paraId="0B1B078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6FB62A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lastRenderedPageBreak/>
        <w:t>Другие оборонные отрасли:</w:t>
      </w:r>
    </w:p>
    <w:p w14:paraId="1503D65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F429A40"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13 мая 1940 было Письмо в НКСМ и в от 4-го отдела АБТУ</w:t>
      </w:r>
    </w:p>
    <w:p w14:paraId="49247080"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Заместителю наркома среднего машиностроения Горегляду</w:t>
      </w:r>
    </w:p>
    <w:p w14:paraId="15FCC3E2"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копии директору СТЗ Благову</w:t>
      </w:r>
    </w:p>
    <w:p w14:paraId="1CF35F5D"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директору завода № 183 Маскареву.</w:t>
      </w:r>
    </w:p>
    <w:p w14:paraId="3F9E375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Сообщаю, что чертежи и технологические условия танка Т-34, утвержденные АБТУ во второй половине апреля 1940 г. на заводе № 183 для серийного производства в 1940 г., являются для СТЗ эталоном для подготовки производства и выпуска установочной партии Т-34 в 1940 г.</w:t>
      </w:r>
    </w:p>
    <w:p w14:paraId="33BE0C87"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Прошу : 1. Запретить СТЗ производить какие-либо изменения деталей, узлов, агрегатов и материала, нарушающие прочность и взаимозаменяемость танка Т-34. </w:t>
      </w:r>
    </w:p>
    <w:p w14:paraId="1CF35D8E"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2. Предупредить СТЗ, что ведущим заводом по Т-34 является завод № 183 НКСМ, и все изменения конструктивного и технологического порядка не нарушающие взаимозаменяемости и прочности Т-34 СТЗ необходимо согласовывать с заводом № 183 и вводить их на серийное производство только после утверждения АБТУ. </w:t>
      </w:r>
    </w:p>
    <w:p w14:paraId="3F58C124"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Начальник АБТУ Пугачев </w:t>
      </w:r>
    </w:p>
    <w:p w14:paraId="4AF65087"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Военный комиссар АБТУ Дивизионный комиссар Куликов</w:t>
      </w:r>
    </w:p>
    <w:p w14:paraId="667C2BB3"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13 мая 1940 года (11450).</w:t>
      </w:r>
    </w:p>
    <w:p w14:paraId="44A55801"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162E00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 автобронетанковое управление направили на СТЗ письмо, в котором сообщалось, что чертежи и технические условия танка Т-34, утвержденные АБТУ во второй половине апреля на заводе № 183 для серийного производства в 1940 году, являются эталоном для подготовки изготовления и выпуска установочной партии Т-34 и для Сталинградского тракторного. Кроме того, в этом документе говорилось следующее:</w:t>
      </w:r>
    </w:p>
    <w:p w14:paraId="7DD106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Запретить СТЗ производить какие-либо изменения деталей, узлов, агрегатов и материала, нарушающие прочность и взаимозаменяемость танка Т-34.</w:t>
      </w:r>
    </w:p>
    <w:p w14:paraId="56F1E7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Предупредить СТЗ, что ведущим по Т-34 является завод № 183 НКСМ, и все изменения конструктивного и технологического порядка не нарушающие прочность и взаимозаменяемость Т-34 СТЗ, необходимо согласовывать с заводом № 183 и вводить их на серийное производство только после утверждения АБТУ» (12217).</w:t>
      </w:r>
    </w:p>
    <w:p w14:paraId="1955DAD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BA501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3FA03DB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16CF69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в западных областях Украины и Белоруссии созданы отделы НКВД по борьбе с бандитизмом (4962).</w:t>
      </w:r>
    </w:p>
    <w:p w14:paraId="4C3BE50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0CE1AE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DEB01A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BAB7FE4" w14:textId="77777777" w:rsidR="005212F7" w:rsidRPr="00DB5D0D" w:rsidRDefault="005212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первый полет совершил вертолет Сикорского VS-300 (3481).</w:t>
      </w:r>
    </w:p>
    <w:p w14:paraId="2D564364" w14:textId="77777777" w:rsidR="005212F7" w:rsidRPr="00DB5D0D" w:rsidRDefault="005212F7" w:rsidP="00DB5D0D">
      <w:pPr>
        <w:spacing w:after="0" w:line="240" w:lineRule="auto"/>
        <w:jc w:val="both"/>
        <w:rPr>
          <w:rFonts w:ascii="Times New Roman" w:hAnsi="Times New Roman"/>
          <w:color w:val="000000" w:themeColor="text1"/>
          <w:sz w:val="16"/>
          <w:szCs w:val="16"/>
        </w:rPr>
      </w:pPr>
    </w:p>
    <w:p w14:paraId="61642D04" w14:textId="77777777" w:rsidR="005212F7" w:rsidRPr="00DB5D0D" w:rsidRDefault="005212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в 1940 году первый официальный полет совершает вертолет «Воут-Сикорский» «VS-300» («S-46»). В сентябре 1939 г. была закончена постройка вертолета «VS-300», который имел необычный вид: фюзеляж не был обтянут даже полотном, летчик сидел на маленьком кресле спереди двигателя "Лайкоминг" мощностью 65 л.с (14890).</w:t>
      </w:r>
    </w:p>
    <w:p w14:paraId="5B1FDC8D" w14:textId="77777777" w:rsidR="005212F7" w:rsidRPr="00DB5D0D" w:rsidRDefault="005212F7" w:rsidP="00DB5D0D">
      <w:pPr>
        <w:spacing w:after="0" w:line="240" w:lineRule="auto"/>
        <w:jc w:val="both"/>
        <w:rPr>
          <w:rFonts w:ascii="Times New Roman" w:hAnsi="Times New Roman"/>
          <w:color w:val="000000" w:themeColor="text1"/>
          <w:sz w:val="16"/>
          <w:szCs w:val="16"/>
        </w:rPr>
      </w:pPr>
    </w:p>
    <w:p w14:paraId="30D27BCA"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мая 1940 Sikorsky VS-300, который совершивший первый полет в прошлом году, совершает первый полет без привязи (20795).</w:t>
      </w:r>
    </w:p>
    <w:p w14:paraId="15E3B054" w14:textId="77777777" w:rsidR="006E7D37" w:rsidRPr="00DB5D0D" w:rsidRDefault="006E7D37" w:rsidP="00DB5D0D">
      <w:pPr>
        <w:spacing w:after="0" w:line="240" w:lineRule="auto"/>
        <w:jc w:val="both"/>
        <w:rPr>
          <w:rFonts w:ascii="Times New Roman" w:hAnsi="Times New Roman"/>
          <w:color w:val="0070C0"/>
          <w:sz w:val="16"/>
          <w:szCs w:val="16"/>
        </w:rPr>
      </w:pPr>
    </w:p>
    <w:p w14:paraId="3462FC62" w14:textId="77777777" w:rsidR="006E7D37" w:rsidRPr="00DB5D0D" w:rsidRDefault="006E7D3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мая в 1940 году впервые взлетел американский истребитель </w:t>
      </w:r>
      <w:hyperlink r:id="rId33" w:tgtFrame="_blank" w:history="1">
        <w:r w:rsidRPr="00DB5D0D">
          <w:rPr>
            <w:rFonts w:ascii="Times New Roman" w:hAnsi="Times New Roman"/>
            <w:color w:val="000000" w:themeColor="text1"/>
            <w:sz w:val="16"/>
            <w:szCs w:val="16"/>
          </w:rPr>
          <w:t xml:space="preserve">«XFL-1». </w:t>
        </w:r>
      </w:hyperlink>
      <w:r w:rsidRPr="00DB5D0D">
        <w:rPr>
          <w:rFonts w:ascii="Times New Roman" w:hAnsi="Times New Roman"/>
          <w:color w:val="000000" w:themeColor="text1"/>
          <w:sz w:val="16"/>
          <w:szCs w:val="16"/>
        </w:rPr>
        <w:t xml:space="preserve">С самого начала испытаний возникли трудности с двигателем, а затем и с шасси. Это привело к тому, что фирма - разработчик в декабре 1941 года должна была забрать прототип и провести на нем значительные усовершенствования. Но к тому времени стало ясно, что ''Корсар'' по всем показателям находится на голову выше своих конкурентов, поэтому работы над </w:t>
      </w:r>
      <w:hyperlink r:id="rId34" w:tgtFrame="_blank" w:history="1">
        <w:r w:rsidRPr="00DB5D0D">
          <w:rPr>
            <w:rFonts w:ascii="Times New Roman" w:hAnsi="Times New Roman"/>
            <w:color w:val="000000" w:themeColor="text1"/>
            <w:sz w:val="16"/>
            <w:szCs w:val="16"/>
          </w:rPr>
          <w:t xml:space="preserve">''Аэробонитой'' </w:t>
        </w:r>
      </w:hyperlink>
      <w:r w:rsidRPr="00DB5D0D">
        <w:rPr>
          <w:rFonts w:ascii="Times New Roman" w:hAnsi="Times New Roman"/>
          <w:color w:val="000000" w:themeColor="text1"/>
          <w:sz w:val="16"/>
          <w:szCs w:val="16"/>
        </w:rPr>
        <w:t>больше не возобновлялись (14890).</w:t>
      </w:r>
    </w:p>
    <w:p w14:paraId="547913F1" w14:textId="77777777" w:rsidR="006E7D37" w:rsidRPr="00DB5D0D" w:rsidRDefault="006E7D37" w:rsidP="00DB5D0D">
      <w:pPr>
        <w:spacing w:after="0" w:line="240" w:lineRule="auto"/>
        <w:jc w:val="both"/>
        <w:rPr>
          <w:rFonts w:ascii="Times New Roman" w:hAnsi="Times New Roman"/>
          <w:color w:val="000000" w:themeColor="text1"/>
          <w:sz w:val="16"/>
          <w:szCs w:val="16"/>
        </w:rPr>
      </w:pPr>
    </w:p>
    <w:p w14:paraId="5AF045FB"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13 мая 1940 выполнил первый полет Bell XFL-1 Airabonita (20795). </w:t>
      </w:r>
    </w:p>
    <w:p w14:paraId="4EB98241" w14:textId="77777777" w:rsidR="006E7D37" w:rsidRPr="00DB5D0D" w:rsidRDefault="006E7D37" w:rsidP="00DB5D0D">
      <w:pPr>
        <w:spacing w:after="0" w:line="240" w:lineRule="auto"/>
        <w:jc w:val="both"/>
        <w:rPr>
          <w:rFonts w:ascii="Times New Roman" w:hAnsi="Times New Roman"/>
          <w:color w:val="0070C0"/>
          <w:sz w:val="16"/>
          <w:szCs w:val="16"/>
        </w:rPr>
      </w:pPr>
    </w:p>
    <w:p w14:paraId="3DC6C9CF"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мая 1940 года — первый полёт опытного палубного истребителя Bell XFL-1 Airabonita.</w:t>
      </w:r>
    </w:p>
    <w:p w14:paraId="0E38EE02"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январе 1938 года ВМФ США выпустил спецификацию на лёгкий палубный истребитель для замены устаревших бипланов. Свои проекты представили Bell, Brewster, Curtiss, Grumman и Vought-Sikorksy. В число троих победителей, наряду с Grumman XF5F-1 Skyrocket и Vought XF4U-1 Corsair, вошёл и самолёт от Bell.</w:t>
      </w:r>
    </w:p>
    <w:p w14:paraId="390F741B"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XFL-1 внешне был очень похож на истребитель P-39 Airacobra, который разрабатывался в то же время. Главное отличие было в шасси. У «Кобры» третья стойка стойка была носовой, а у XFL-1 — хвостовой с тормозным крюком. Вооружили новый истребитель 2 × 7,62 мм пулемётами + 1 × 12,7 мм пулемётом или 37 мм пушкой.</w:t>
      </w:r>
    </w:p>
    <w:p w14:paraId="20E5FE30"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Проект откровенно провалился. Первые два полёта закончились авариями, а испытание на авианосце самолёт не выдержал из-за проблем с двигателем и шасси. ВМФ решили, что такой истребитель им не подходит, и проект закрыли. Единственный построенный Bell XFL-1 Airabonita стал наземной мишенью для испытания оружия и был уничтожен (22300).</w:t>
      </w:r>
    </w:p>
    <w:p w14:paraId="32552AC4" w14:textId="77777777" w:rsidR="006E7D37" w:rsidRPr="00DB5D0D" w:rsidRDefault="006E7D37" w:rsidP="00DB5D0D">
      <w:pPr>
        <w:spacing w:after="0" w:line="240" w:lineRule="auto"/>
        <w:jc w:val="both"/>
        <w:rPr>
          <w:rFonts w:ascii="Times New Roman" w:hAnsi="Times New Roman"/>
          <w:color w:val="0070C0"/>
          <w:sz w:val="16"/>
          <w:szCs w:val="16"/>
        </w:rPr>
      </w:pPr>
    </w:p>
    <w:p w14:paraId="085664F1"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мая 1940 года фирма Bell вывела на летные испытания свой XFL-1 под красивым названием Airabonita. Первый полет произошел случайно, во время скоростной пробежки. Машину подхватило ветром, а пилот Брайан Спаркс (Brian Sparks) решил не предпринимать никаких действий и начал набирать высоту. В воздухе сразу возникли проблемы. На высоте около 100 метров в крыле внезапно открылись отсеки с надувными мешками, обеспечивающими плавучесть самолета при посадке на воду. Мешки стали автоматически надуваться и, естественно, оторвались. Затем начала неуклонно расти температура двигателя — эта болезнь передалась XFL-1 по наследству от P-39. В последующих, более удачных, полетах пилотам не понравилась плохая устойчивость истребителя по курсу и неудовлетворительная продольная балансировка. Инженеры предложили флоту исправить продольную балансировку временной установкой груза в носовой части, но получили категорический отказ. Попытки улучшить положение увеличением площади хвостового оперения ощутимых результатов не дали. Наследник самого скоростного самолета армии США показал на испытаниях всего 518,1 км/ч. С такими «достижениями» и целым букетом недостатков XFL-1 исключили из списков претендентов на победу с позорной формулировкой: «непригоден в качестве палубного самолета». Контракт с фирмой Bell был аннулирован (22903).</w:t>
      </w:r>
    </w:p>
    <w:p w14:paraId="756B2CD1" w14:textId="77777777" w:rsidR="006E7D37" w:rsidRPr="00DB5D0D" w:rsidRDefault="006E7D37" w:rsidP="00DB5D0D">
      <w:pPr>
        <w:spacing w:after="0" w:line="240" w:lineRule="auto"/>
        <w:jc w:val="both"/>
        <w:rPr>
          <w:rFonts w:ascii="Times New Roman" w:hAnsi="Times New Roman"/>
          <w:color w:val="0070C0"/>
          <w:sz w:val="16"/>
          <w:szCs w:val="16"/>
        </w:rPr>
      </w:pPr>
    </w:p>
    <w:p w14:paraId="705CEEDA" w14:textId="77777777" w:rsidR="005212F7" w:rsidRPr="00DB5D0D" w:rsidRDefault="005212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мая в 1940 году состоялся первый полет самолета </w:t>
      </w:r>
      <w:hyperlink r:id="rId35" w:tgtFrame="_blank" w:history="1">
        <w:r w:rsidRPr="00DB5D0D">
          <w:rPr>
            <w:rFonts w:ascii="Times New Roman" w:hAnsi="Times New Roman"/>
            <w:color w:val="000000" w:themeColor="text1"/>
            <w:sz w:val="16"/>
            <w:szCs w:val="16"/>
          </w:rPr>
          <w:t xml:space="preserve">«General Aircraft» «G.A.L.38». </w:t>
        </w:r>
      </w:hyperlink>
      <w:r w:rsidRPr="00DB5D0D">
        <w:rPr>
          <w:rFonts w:ascii="Times New Roman" w:hAnsi="Times New Roman"/>
          <w:color w:val="000000" w:themeColor="text1"/>
          <w:sz w:val="16"/>
          <w:szCs w:val="16"/>
        </w:rPr>
        <w:t>Выбрали схему цельнодеревянного полутораплана, нижнее крыло по размаху составляло одну треть от верхнего. G.A.L.38 имел обычное хвостовое оперение с рулями высоты и направления, неубирающееся трехопорное шасси и четыре двигателя «Pobjoy Niagara» III (предполагалось установить на серийном образце – «Pobjoy Niagara» V), установленных в гондолах на передней кромке складывающегося верхнего крыла. Экипаж состоял из пилота, располагавшегося в закрытой кабине в верхней части фюзеляжа перед крылом, наблюдателя в носу самолета и радиста, размещавшегося позади и ниже пилота (14890).</w:t>
      </w:r>
    </w:p>
    <w:p w14:paraId="38441509" w14:textId="77777777" w:rsidR="005212F7" w:rsidRPr="00DB5D0D" w:rsidRDefault="005212F7" w:rsidP="00DB5D0D">
      <w:pPr>
        <w:spacing w:after="0" w:line="240" w:lineRule="auto"/>
        <w:jc w:val="both"/>
        <w:rPr>
          <w:rFonts w:ascii="Times New Roman" w:hAnsi="Times New Roman"/>
          <w:color w:val="000000" w:themeColor="text1"/>
          <w:sz w:val="16"/>
          <w:szCs w:val="16"/>
        </w:rPr>
      </w:pPr>
    </w:p>
    <w:p w14:paraId="3508B4E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голландская королева Вильгельмина в связи с наступлением фашистов бежала в Англию (4962).</w:t>
      </w:r>
    </w:p>
    <w:p w14:paraId="2A116D7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9A257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к Нидерландов эмигрировала в Англию. Были опасения, что немцы попытаются ее отбить (2244,3).</w:t>
      </w:r>
    </w:p>
    <w:p w14:paraId="6407D78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E470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У.Черчиль выступил со своей первой речью (2244,3).</w:t>
      </w:r>
    </w:p>
    <w:p w14:paraId="25CCD28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B5086A" w14:textId="77777777" w:rsidR="005212F7" w:rsidRPr="00DB5D0D" w:rsidRDefault="005212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в 1940 году прозвучала знаменитая речь только что избранного премьер-министром Великобритании У.Черчилля о том, что он «не обещает ничего, кроме крови, труда, слез и пота»</w:t>
      </w:r>
    </w:p>
    <w:p w14:paraId="6510AB03" w14:textId="77777777" w:rsidR="005212F7" w:rsidRPr="00DB5D0D" w:rsidRDefault="005212F7" w:rsidP="00DB5D0D">
      <w:pPr>
        <w:spacing w:after="0" w:line="240" w:lineRule="auto"/>
        <w:jc w:val="both"/>
        <w:rPr>
          <w:rFonts w:ascii="Times New Roman" w:hAnsi="Times New Roman"/>
          <w:color w:val="000000" w:themeColor="text1"/>
          <w:sz w:val="16"/>
          <w:szCs w:val="16"/>
        </w:rPr>
      </w:pPr>
    </w:p>
    <w:p w14:paraId="4B7D907E" w14:textId="77777777" w:rsidR="00A25AD1" w:rsidRPr="00DB5D0D" w:rsidRDefault="005212F7"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r w:rsidR="00A25AD1" w:rsidRPr="00DB5D0D">
        <w:rPr>
          <w:rFonts w:ascii="Times New Roman" w:hAnsi="Times New Roman"/>
          <w:color w:val="000000" w:themeColor="text1"/>
          <w:sz w:val="16"/>
          <w:szCs w:val="16"/>
        </w:rPr>
        <w:t>3 мая 1940 только что избранный премьер-министр Англии Уинстон Черчилль заявил в парламенте, что «не обещает ничего, кроме крови, труда, слез и пота» (4962).</w:t>
      </w:r>
    </w:p>
    <w:p w14:paraId="2B1D1C0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6C8DB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в районе г. Нарвика была предпринята попытка повторной высадки франко-британского десанта, но она так же не принесла искомого успеха (3871).</w:t>
      </w:r>
    </w:p>
    <w:p w14:paraId="32952A3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F80BA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 xml:space="preserve">May 13th, 1940: Supported by waves of Luftwaffe Stuka dive-bombers, the two German Panzerkorps of Heeresgruppe B emerge from the Ardennes forests, advance to the Meuse and establish bridgeheads across the river, tearing a 50-mile gap in the French defenses between Dinant and Sedan. 7.Pz.Div. (Rommel) is the first division across. In the House of Commons, the new prime minister Churchill promises nothing but "blood, toil, tears and sweat." </w:t>
      </w:r>
      <w:r w:rsidRPr="00DB5D0D">
        <w:rPr>
          <w:rFonts w:ascii="Times New Roman" w:hAnsi="Times New Roman"/>
          <w:color w:val="000000" w:themeColor="text1"/>
          <w:sz w:val="16"/>
          <w:szCs w:val="16"/>
        </w:rPr>
        <w:t>(3819).</w:t>
      </w:r>
    </w:p>
    <w:p w14:paraId="286F32A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F83D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13 мая 1940 при поддержке пикирующих бомбардировщиков два немецких танковых корпуса группы Б прорвались через Арденские леса, вышли к Меус и установили переправу, прорвал 50 мильную брешь во французской обороне между Динантом и Седаном. Первым форсировала реку 7ТД под командованием Роммеля (3819).</w:t>
      </w:r>
    </w:p>
    <w:p w14:paraId="6A6A1C6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D082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немецкие войска прорвали фронт у Седана (2443,416).</w:t>
      </w:r>
    </w:p>
    <w:p w14:paraId="71291FE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B92473" w14:textId="77777777" w:rsidR="005212F7" w:rsidRPr="00DB5D0D" w:rsidRDefault="005212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в 1940 году танковая группа фон Клейста форсировала реку Маас близ Седана, вторжение немецкой армии во Францию (14890).</w:t>
      </w:r>
    </w:p>
    <w:p w14:paraId="46B839A7" w14:textId="77777777" w:rsidR="005212F7" w:rsidRPr="00DB5D0D" w:rsidRDefault="005212F7" w:rsidP="00DB5D0D">
      <w:pPr>
        <w:spacing w:after="0" w:line="240" w:lineRule="auto"/>
        <w:jc w:val="both"/>
        <w:rPr>
          <w:rFonts w:ascii="Times New Roman" w:hAnsi="Times New Roman"/>
          <w:color w:val="000000" w:themeColor="text1"/>
          <w:sz w:val="16"/>
          <w:szCs w:val="16"/>
        </w:rPr>
      </w:pPr>
    </w:p>
    <w:p w14:paraId="2488886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4E5648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F4E87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директор завода 156 Ленкин и ГК Кочеригин писали Зам. наркома А.С.Я. письмо N 1112с с просьбой распоряжения ЦАГИ об исследовании ВМГ с центральным входом охлаждающего воздуха на ОПБ с М-90 и помощи в разработке тормозных щитков для ограничения скорости пикирования (2062,37).</w:t>
      </w:r>
    </w:p>
    <w:p w14:paraId="52A0E3A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4A72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директор завода 156 Ленкин и ГК Кочеригин писали Зам. наркома А.С.Я. письмо N 1114с с просьбой распоряжения заводу 29 поставить заводу 156 (КБ-17) макетного мотора М-90, одного мотора для стендовых испытаний ВМГ, необходимого 1 июня с сокращенным ресурсом и 2-х моторов на летные машины... (2062,39).</w:t>
      </w:r>
    </w:p>
    <w:p w14:paraId="200E19B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FDE6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 директор завода №15б Ленкин и Кочеригин направили заместителю наркома авиапромышленности Яковлеву сразу три письма:</w:t>
      </w:r>
    </w:p>
    <w:p w14:paraId="429065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первом письме они просили дать задание ЦАГИ на исследование винтомоторной группы с центральным входом охлаждающего воздуха на самолете ОПБ М-90 и распоряжения об оказании заводу №156 помощи в разработке тормозных щитков для снижения скорости пикирования.</w:t>
      </w:r>
    </w:p>
    <w:p w14:paraId="3880A0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втором - о выдаче 6 ГУ НКАП распоряжения об изготовлении для самолета ОПБ М-90 реверсивного винта и двух винтов АВ-5 диаметром 3,25 м.</w:t>
      </w:r>
    </w:p>
    <w:p w14:paraId="39A3AC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третьем - просили дать распоряжение заводу № 29 о немедленной сборке и высылке в адрес завода № 156 макетного мотора М-90, одного мотора к 1 июня для стендовых испытаний винтомоторной группы и двух моторов для летных испытаний (одного не позже 1 июля и второго - не позже 1 сентября) (9649).</w:t>
      </w:r>
    </w:p>
    <w:p w14:paraId="570E772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FDE9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14 мая 1940 в ЦАГИ для продувки находилась ВМГ ОПБ Кочеригина с центральным входом охлаждающего мотор воздуха (9649).</w:t>
      </w:r>
    </w:p>
    <w:p w14:paraId="08017CD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1EBE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вышло постановление Комитета Обороны, обязавшее принимать с заводов серийные ДБ-3Ф с максимальной скоростью 425 км/час и дальностью полета 3200 км. Этим же документом С.В.Ильюшину и серийному заводу предписывалось к 1 июля 1940 г. предъявить на государственные испытания самолет с летно-техническими данными, соответствующими указанным в постановлении от 31 мая 1939 г. (9528).</w:t>
      </w:r>
    </w:p>
    <w:p w14:paraId="026D442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4DB45D5" w14:textId="77777777" w:rsidR="00DD468E" w:rsidRPr="00DB5D0D" w:rsidRDefault="00DD468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в 1940 году вышло постановление КО № 201сс:</w:t>
      </w:r>
    </w:p>
    <w:p w14:paraId="5B12DDC9" w14:textId="77777777" w:rsidR="00DD468E" w:rsidRPr="00DB5D0D" w:rsidRDefault="00DD468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НКО, впредь до утверждения результатов госиспытаний самолета «ДБ-3Ф» с мотором «М-88» принимать с заводов №39 и №18 НКАП самолеты «ДБ-3Ф» с «2М-88» с пониженными данными: с макс, скоростью 425 км/ч и дальностью не менее 3200 км;</w:t>
      </w:r>
    </w:p>
    <w:p w14:paraId="7DD35DF4" w14:textId="77777777" w:rsidR="00DD468E" w:rsidRPr="00DB5D0D" w:rsidRDefault="00DD468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НКАП самолет «ДБ-3Ф» с «2М-88» с ЛТД, обусловленными постановлением КО от 29 июля 1939 года № 226, предъявить на госиспытания не позднее 1 июля 1940 года (14891).</w:t>
      </w:r>
    </w:p>
    <w:p w14:paraId="30C85619" w14:textId="77777777" w:rsidR="00DD468E" w:rsidRPr="00DB5D0D" w:rsidRDefault="00DD468E" w:rsidP="00DB5D0D">
      <w:pPr>
        <w:spacing w:after="0" w:line="240" w:lineRule="auto"/>
        <w:jc w:val="both"/>
        <w:rPr>
          <w:rFonts w:ascii="Times New Roman" w:hAnsi="Times New Roman"/>
          <w:color w:val="000000" w:themeColor="text1"/>
          <w:sz w:val="16"/>
          <w:szCs w:val="16"/>
        </w:rPr>
      </w:pPr>
    </w:p>
    <w:p w14:paraId="4B77AAC0" w14:textId="77777777" w:rsidR="006E7D37" w:rsidRPr="00DB5D0D" w:rsidRDefault="006E7D37"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14 мая 1940 вышло Постановление Комитета обороны при СНК СССР № 201сс "О самолетах ДБ-ЗФ" (21900).</w:t>
      </w:r>
    </w:p>
    <w:p w14:paraId="48DE7392" w14:textId="77777777" w:rsidR="006E7D37" w:rsidRPr="00DB5D0D" w:rsidRDefault="006E7D37" w:rsidP="00DB5D0D">
      <w:pPr>
        <w:shd w:val="clear" w:color="auto" w:fill="FFFFFF"/>
        <w:spacing w:after="0" w:line="240" w:lineRule="auto"/>
        <w:jc w:val="both"/>
        <w:rPr>
          <w:rFonts w:ascii="Times New Roman" w:hAnsi="Times New Roman"/>
          <w:color w:val="0070C0"/>
          <w:sz w:val="16"/>
          <w:szCs w:val="16"/>
        </w:rPr>
      </w:pPr>
    </w:p>
    <w:p w14:paraId="109BCB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вышло постановление КО N 201сс "О самолетах ДБ-3Ф"</w:t>
      </w:r>
    </w:p>
    <w:p w14:paraId="43E1C0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46AE7C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НКО, впредь до утверждения результатов гос. испытаний самолета ДБ-3Ф с мотором М-88 принимать с заводов 39 и 18 НКАП самолеты ДБ-3Ф 2М-88 с пониженными данными: с макс. скоростью 425 км/час и дальностью не менее 3200 км;</w:t>
      </w:r>
    </w:p>
    <w:p w14:paraId="2EEDCF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НКАП самолет ДБ-3Ф с 2М-88 с ЛТД, обусловленными постановлением КО от 29 июля 1939 N 226 предъявить на гос. испытания не позднее 1 июля 1940 (1295,7).</w:t>
      </w:r>
    </w:p>
    <w:p w14:paraId="7449880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F409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года вышло постановление № 201сс КО О самолетах ДБ-3Ф</w:t>
      </w:r>
    </w:p>
    <w:p w14:paraId="041E2E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14DC504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НКО, впредь до утверждения результатов госиспытаний самолета ДБ-3Ф с моторами М-88, принимать с заводов №№ 39 и 18 Наркомавиапрома самолеты ДБ-3Ф с 2М-88 с пониженными данными: с максимальной скоростью не менее 425 км/час и дальностью не менее 3200 км.</w:t>
      </w:r>
    </w:p>
    <w:p w14:paraId="6301692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Наркомавиапром самолет ДБ-3Ф с 2М-88 с летно-техническими данными, обусловленными постановлением КО от 29 июля 1939 года за № 226, предъявить на госиспытания не позднее 1 июля 1940 года (7595, 72).</w:t>
      </w:r>
    </w:p>
    <w:p w14:paraId="482C969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719A4E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постановление Комитета обороны обязало ВВС принимать &lt;самолеты ДБ-3Ф 2М-88 с пониженными данными...&gt; (7494).</w:t>
      </w:r>
    </w:p>
    <w:p w14:paraId="47CA81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же постановление требовало от Ильюшина к 1 июля выставить на испытания усовершенствованный образец. В качестве такового опять выступил самолет №390204, уже с комплектом из МВ-2 и МВ-3. Новое вооружение одобрили, хотя установка МВ-3 увеличила расход бензина ни много ни мало - на 15%. По оценке экипажа неубирающееся хвостовое колесо уменьшало углы обстрела на 6°-7°. Впоследствии это стало причиной разработки варианта с убирающейся стойкой. Мотоустановка оставалась прежней (7494).</w:t>
      </w:r>
    </w:p>
    <w:p w14:paraId="3EE5154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6D8F97" w14:textId="77777777" w:rsidR="00DD468E" w:rsidRPr="00DB5D0D" w:rsidRDefault="00DD468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мая в 1940 году первый полет дальнего бомбардировщика </w:t>
      </w:r>
      <w:hyperlink r:id="rId36" w:tgtFrame="_blank" w:history="1">
        <w:r w:rsidRPr="00DB5D0D">
          <w:rPr>
            <w:rFonts w:ascii="Times New Roman" w:hAnsi="Times New Roman"/>
            <w:color w:val="000000" w:themeColor="text1"/>
            <w:sz w:val="16"/>
            <w:szCs w:val="16"/>
          </w:rPr>
          <w:t xml:space="preserve">«ДБ-240» </w:t>
        </w:r>
      </w:hyperlink>
      <w:r w:rsidRPr="00DB5D0D">
        <w:rPr>
          <w:rFonts w:ascii="Times New Roman" w:hAnsi="Times New Roman"/>
          <w:color w:val="000000" w:themeColor="text1"/>
          <w:sz w:val="16"/>
          <w:szCs w:val="16"/>
        </w:rPr>
        <w:t>ОКБ В.Г.Ермолаева (прототип «Ер-2»), экипаж Н.П.Шебанова. В соответствии с приказом заместителя наркома авиапромышленности А.С.Яковлева от 3 мая, на заводе №240 приступила к работе межведомственная комиссия, давшая "добро" на первый вылет. В результате ошибки, допущенной при определении центровки, самолет летел "задрав нос", с очень большим углом атаки, но опытному пилоту удалось благополучно завершить полет. В ходе заводских испытаний самолет совершил еще около 30 вылетов и продемонстрировал неплохие летные данные (14891).</w:t>
      </w:r>
    </w:p>
    <w:p w14:paraId="072A9569" w14:textId="77777777" w:rsidR="00DD468E" w:rsidRPr="00DB5D0D" w:rsidRDefault="00DD468E" w:rsidP="00DB5D0D">
      <w:pPr>
        <w:spacing w:after="0" w:line="240" w:lineRule="auto"/>
        <w:jc w:val="both"/>
        <w:rPr>
          <w:rFonts w:ascii="Times New Roman" w:hAnsi="Times New Roman"/>
          <w:color w:val="000000" w:themeColor="text1"/>
          <w:sz w:val="16"/>
          <w:szCs w:val="16"/>
        </w:rPr>
      </w:pPr>
    </w:p>
    <w:p w14:paraId="730AF5E8" w14:textId="77777777" w:rsidR="006E7D37" w:rsidRPr="00DB5D0D" w:rsidRDefault="006E7D37"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14 мая 1940 года состоялся первый полет ДБ-240. Его выполнил Н.П. Шебанов с Центрального аэродрома. Заводские испыта</w:t>
      </w:r>
      <w:r w:rsidRPr="00DB5D0D">
        <w:rPr>
          <w:rFonts w:ascii="Times New Roman" w:hAnsi="Times New Roman"/>
          <w:color w:val="0070C0"/>
          <w:sz w:val="16"/>
          <w:szCs w:val="16"/>
          <w:lang w:eastAsia="ru-RU" w:bidi="ru-RU"/>
        </w:rPr>
        <w:softHyphen/>
        <w:t>ния, начавшиеся в этот день, шли до 1 июня 1940 года, после этого машину по указанию И.В. Сталина передали на подготовку к пере</w:t>
      </w:r>
      <w:r w:rsidRPr="00DB5D0D">
        <w:rPr>
          <w:rFonts w:ascii="Times New Roman" w:hAnsi="Times New Roman"/>
          <w:color w:val="0070C0"/>
          <w:sz w:val="16"/>
          <w:szCs w:val="16"/>
          <w:lang w:eastAsia="ru-RU" w:bidi="ru-RU"/>
        </w:rPr>
        <w:softHyphen/>
        <w:t>лету на дальность. В ходе заводских испыта</w:t>
      </w:r>
      <w:r w:rsidRPr="00DB5D0D">
        <w:rPr>
          <w:rFonts w:ascii="Times New Roman" w:hAnsi="Times New Roman"/>
          <w:color w:val="0070C0"/>
          <w:sz w:val="16"/>
          <w:szCs w:val="16"/>
          <w:lang w:eastAsia="ru-RU" w:bidi="ru-RU"/>
        </w:rPr>
        <w:softHyphen/>
        <w:t>ний на ДБ-240 выполнили около трех десят</w:t>
      </w:r>
      <w:r w:rsidRPr="00DB5D0D">
        <w:rPr>
          <w:rFonts w:ascii="Times New Roman" w:hAnsi="Times New Roman"/>
          <w:color w:val="0070C0"/>
          <w:sz w:val="16"/>
          <w:szCs w:val="16"/>
          <w:lang w:eastAsia="ru-RU" w:bidi="ru-RU"/>
        </w:rPr>
        <w:softHyphen/>
        <w:t>ков полетов (21406).</w:t>
      </w:r>
    </w:p>
    <w:p w14:paraId="0688C6FC" w14:textId="77777777" w:rsidR="006E7D37" w:rsidRPr="00DB5D0D" w:rsidRDefault="006E7D37" w:rsidP="00DB5D0D">
      <w:pPr>
        <w:spacing w:after="0" w:line="240" w:lineRule="auto"/>
        <w:jc w:val="both"/>
        <w:rPr>
          <w:rFonts w:ascii="Times New Roman" w:hAnsi="Times New Roman"/>
          <w:color w:val="0070C0"/>
          <w:sz w:val="16"/>
          <w:szCs w:val="16"/>
        </w:rPr>
      </w:pPr>
    </w:p>
    <w:p w14:paraId="07B292DF" w14:textId="77777777" w:rsidR="00DD468E" w:rsidRPr="00DB5D0D" w:rsidRDefault="00DD468E" w:rsidP="00DB5D0D">
      <w:pPr>
        <w:pStyle w:val="a3"/>
        <w:rPr>
          <w:color w:val="000000" w:themeColor="text1"/>
          <w:lang w:val="ru-RU"/>
        </w:rPr>
      </w:pPr>
      <w:r w:rsidRPr="00DB5D0D">
        <w:rPr>
          <w:color w:val="000000" w:themeColor="text1"/>
          <w:lang w:val="ru-RU"/>
        </w:rPr>
        <w:t>14 мая 1940 г. экипаж Н.П. Шебанова впервые поднял машину в воздух. Заводские и государствен</w:t>
      </w:r>
      <w:r w:rsidRPr="00DB5D0D">
        <w:rPr>
          <w:color w:val="000000" w:themeColor="text1"/>
          <w:lang w:val="ru-RU"/>
        </w:rPr>
        <w:softHyphen/>
        <w:t>ные испытания самолёта ДБ-240 показали, что на</w:t>
      </w:r>
      <w:r w:rsidRPr="00DB5D0D">
        <w:rPr>
          <w:color w:val="000000" w:themeColor="text1"/>
          <w:lang w:val="ru-RU"/>
        </w:rPr>
        <w:softHyphen/>
        <w:t>ряду с неплохими значениями максимальной ско</w:t>
      </w:r>
      <w:r w:rsidRPr="00DB5D0D">
        <w:rPr>
          <w:color w:val="000000" w:themeColor="text1"/>
          <w:lang w:val="ru-RU"/>
        </w:rPr>
        <w:softHyphen/>
        <w:t>рости и дальности самолёт имел неудовлетвори</w:t>
      </w:r>
      <w:r w:rsidRPr="00DB5D0D">
        <w:rPr>
          <w:color w:val="000000" w:themeColor="text1"/>
          <w:lang w:val="ru-RU"/>
        </w:rPr>
        <w:softHyphen/>
        <w:t>тельную продольную и недостаточную поперечную устойчивость в сочетании с большими нагрузками на органы управления. Кроме того, недостаточная мощность двигателей М-105 чрезмерно увеличива</w:t>
      </w:r>
      <w:r w:rsidRPr="00DB5D0D">
        <w:rPr>
          <w:color w:val="000000" w:themeColor="text1"/>
          <w:lang w:val="ru-RU"/>
        </w:rPr>
        <w:softHyphen/>
        <w:t>ла длину разбега.</w:t>
      </w:r>
    </w:p>
    <w:p w14:paraId="68B9318D" w14:textId="77777777" w:rsidR="00DD468E" w:rsidRPr="00DB5D0D" w:rsidRDefault="00DD468E" w:rsidP="00DB5D0D">
      <w:pPr>
        <w:pStyle w:val="a3"/>
        <w:rPr>
          <w:color w:val="000000" w:themeColor="text1"/>
          <w:lang w:val="ru-RU"/>
        </w:rPr>
      </w:pPr>
      <w:r w:rsidRPr="00DB5D0D">
        <w:rPr>
          <w:color w:val="000000" w:themeColor="text1"/>
          <w:lang w:val="ru-RU"/>
        </w:rPr>
        <w:t>Однако максимальная бомбовая нагрузка в 4000 кг в совокупности с приемлемыми лётными характери</w:t>
      </w:r>
      <w:r w:rsidRPr="00DB5D0D">
        <w:rPr>
          <w:color w:val="000000" w:themeColor="text1"/>
          <w:lang w:val="ru-RU"/>
        </w:rPr>
        <w:softHyphen/>
        <w:t>стиками способствовали принятию ДБ-240 (с дека</w:t>
      </w:r>
      <w:r w:rsidRPr="00DB5D0D">
        <w:rPr>
          <w:color w:val="000000" w:themeColor="text1"/>
          <w:lang w:val="ru-RU"/>
        </w:rPr>
        <w:softHyphen/>
        <w:t>бря 1940 г. — Ер-2) на вооружение. Серийный выпуск Ер-2 2М-105 развернули в 1940 г. на Воро</w:t>
      </w:r>
      <w:r w:rsidRPr="00DB5D0D">
        <w:rPr>
          <w:color w:val="000000" w:themeColor="text1"/>
          <w:lang w:val="ru-RU"/>
        </w:rPr>
        <w:softHyphen/>
        <w:t xml:space="preserve">нежском авиазаводе </w:t>
      </w:r>
      <w:r w:rsidRPr="00DB5D0D">
        <w:rPr>
          <w:color w:val="000000" w:themeColor="text1"/>
        </w:rPr>
        <w:t>N</w:t>
      </w:r>
      <w:r w:rsidRPr="00DB5D0D">
        <w:rPr>
          <w:color w:val="000000" w:themeColor="text1"/>
          <w:lang w:val="ru-RU"/>
        </w:rPr>
        <w:t>918, он продолжался до сере</w:t>
      </w:r>
      <w:r w:rsidRPr="00DB5D0D">
        <w:rPr>
          <w:color w:val="000000" w:themeColor="text1"/>
          <w:lang w:val="ru-RU"/>
        </w:rPr>
        <w:softHyphen/>
        <w:t>дины сентября 1941 г. Построили 70 экземпляров (15810).</w:t>
      </w:r>
    </w:p>
    <w:p w14:paraId="23AEE570" w14:textId="77777777" w:rsidR="00DD468E" w:rsidRPr="00DB5D0D" w:rsidRDefault="00DD468E" w:rsidP="00DB5D0D">
      <w:pPr>
        <w:pStyle w:val="a3"/>
        <w:rPr>
          <w:color w:val="000000" w:themeColor="text1"/>
          <w:lang w:val="ru-RU"/>
        </w:rPr>
      </w:pPr>
    </w:p>
    <w:p w14:paraId="07A4AC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Алексеев утвердил Отчет войсковых испытаниях 10 ББ-22 завода 1., проведенных с 13 февраля по 24 апреля 1940 (720).</w:t>
      </w:r>
    </w:p>
    <w:p w14:paraId="5385969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EE73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состоялся первый полет ДБ-240. Выполнил Н.П.Шебанов с ЦА (218,21). Заводские испытания этой машины с 2М-105, начавшиеся в этот день (2090,133), шли до октября 1940 (4,276), а по другим данным по 1 июня 1940, т.к. после этого машину передали на подготовку к перелету на 4000 км по указанию И.В.С. (2090,147). В ходе заводских испытаний выполнили около 30 полетов (3322,8).</w:t>
      </w:r>
    </w:p>
    <w:p w14:paraId="44CDDC6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8D5F2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года вышел приказ НИИ ВВС № 083</w:t>
      </w:r>
    </w:p>
    <w:p w14:paraId="5287CE5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самолета И-153 № 6566 на колесах с мотором М-62 (6891, 156).</w:t>
      </w:r>
    </w:p>
    <w:p w14:paraId="3F04509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393F7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14 по 20 мая 1940 года проходили испытанию серийного самолета И-153 № 6566 с мотором М-62 и винтом АВ-1 (на колесах).</w:t>
      </w:r>
    </w:p>
    <w:p w14:paraId="7E809E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275AD3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3 ранга Алексеенко</w:t>
      </w:r>
    </w:p>
    <w:p w14:paraId="627C72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Вед. летчик – в/инженер 2 ранга Максимов</w:t>
      </w:r>
    </w:p>
    <w:p w14:paraId="5B3261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6DB25C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летных характеристик самолета И-153 М-62 на колесах.</w:t>
      </w:r>
    </w:p>
    <w:p w14:paraId="104653D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самолета.</w:t>
      </w:r>
    </w:p>
    <w:p w14:paraId="750BFAB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теплового режима мотора на всех режимах полета в летных условиях.</w:t>
      </w:r>
    </w:p>
    <w:p w14:paraId="679DDF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проходил испытания на колесах в НИИ ГУАС в конце 1939 года, которые были прерваны из-за ухудшения погоды и увеличения снежного покрова.</w:t>
      </w:r>
    </w:p>
    <w:p w14:paraId="2E8696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14 по 20 мая были продолжены летные испытания самолета И-153 № 6566 (на колесах).</w:t>
      </w:r>
    </w:p>
    <w:p w14:paraId="7C3A94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E66BA7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Повторный замер максимальных горизонтальных скоростей самолета И-153 М-62 № 6566 с убранными шасси на колесах показал, что хорошее состояние поверхностной отделки самолета и тщательная подгонка капотов и обтекателей дает увеличение максимальной скорости самолета на 13 км/час по сравнению с самолетом И-153 М-62 АВ-1 № 6062, проходившим испытания в НИИ осенью 1939 года и имевший плохую поверхностную отделку.</w:t>
      </w:r>
    </w:p>
    <w:p w14:paraId="760D41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930"/>
      </w:tblGrid>
      <w:tr w:rsidR="007D5DF8" w:rsidRPr="00DB5D0D" w14:paraId="2846AFD8" w14:textId="77777777" w:rsidTr="009223E5">
        <w:tc>
          <w:tcPr>
            <w:tcW w:w="1668" w:type="dxa"/>
            <w:tcBorders>
              <w:top w:val="single" w:sz="12" w:space="0" w:color="auto"/>
            </w:tcBorders>
          </w:tcPr>
          <w:p w14:paraId="758A27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w:t>
            </w:r>
          </w:p>
        </w:tc>
        <w:tc>
          <w:tcPr>
            <w:tcW w:w="8930" w:type="dxa"/>
            <w:tcBorders>
              <w:top w:val="single" w:sz="12" w:space="0" w:color="auto"/>
            </w:tcBorders>
          </w:tcPr>
          <w:p w14:paraId="50109C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два полета на скороподъемность и скорость по высотам (Н=5000 м и Н=8000 м)</w:t>
            </w:r>
          </w:p>
        </w:tc>
      </w:tr>
      <w:tr w:rsidR="007D5DF8" w:rsidRPr="00DB5D0D" w14:paraId="739EFD6A" w14:textId="77777777" w:rsidTr="009223E5">
        <w:tc>
          <w:tcPr>
            <w:tcW w:w="1668" w:type="dxa"/>
          </w:tcPr>
          <w:p w14:paraId="3AD4C9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8930" w:type="dxa"/>
          </w:tcPr>
          <w:p w14:paraId="10464A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r>
      <w:tr w:rsidR="007D5DF8" w:rsidRPr="00DB5D0D" w14:paraId="572F0E2A" w14:textId="77777777" w:rsidTr="009223E5">
        <w:tc>
          <w:tcPr>
            <w:tcW w:w="1668" w:type="dxa"/>
          </w:tcPr>
          <w:p w14:paraId="356CB7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8930" w:type="dxa"/>
          </w:tcPr>
          <w:p w14:paraId="26C7B9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температурного режима ВМГ</w:t>
            </w:r>
          </w:p>
        </w:tc>
      </w:tr>
      <w:tr w:rsidR="007D5DF8" w:rsidRPr="00DB5D0D" w14:paraId="0F287B21" w14:textId="77777777" w:rsidTr="009223E5">
        <w:tc>
          <w:tcPr>
            <w:tcW w:w="1668" w:type="dxa"/>
          </w:tcPr>
          <w:p w14:paraId="433F39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w:t>
            </w:r>
          </w:p>
        </w:tc>
        <w:tc>
          <w:tcPr>
            <w:tcW w:w="8930" w:type="dxa"/>
          </w:tcPr>
          <w:p w14:paraId="6B8602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температурного режима ВМГ и замера максимальных горизонтальных скоростей на некоторых высотах</w:t>
            </w:r>
          </w:p>
        </w:tc>
      </w:tr>
      <w:tr w:rsidR="007D5DF8" w:rsidRPr="00DB5D0D" w14:paraId="36FA2B49" w14:textId="77777777" w:rsidTr="009223E5">
        <w:tc>
          <w:tcPr>
            <w:tcW w:w="1668" w:type="dxa"/>
            <w:tcBorders>
              <w:bottom w:val="single" w:sz="12" w:space="0" w:color="auto"/>
            </w:tcBorders>
          </w:tcPr>
          <w:p w14:paraId="1F0866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8930" w:type="dxa"/>
            <w:tcBorders>
              <w:bottom w:val="single" w:sz="12" w:space="0" w:color="auto"/>
            </w:tcBorders>
          </w:tcPr>
          <w:p w14:paraId="20494C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взлетно-посадочных свойств самолета. Произведено три тренировочных полета и 8 для выполнения задания.</w:t>
            </w:r>
          </w:p>
        </w:tc>
      </w:tr>
    </w:tbl>
    <w:p w14:paraId="365B6A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самолет находился на испытании 7 дней, из которых полетных – 4 дня (4485).</w:t>
      </w:r>
    </w:p>
    <w:p w14:paraId="6C055EA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0DBE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закончились гос. испытания И-28 М-88Р (2090,132).</w:t>
      </w:r>
    </w:p>
    <w:p w14:paraId="1B619C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C297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А.И.Ш. писал письмо N 1216сс/ог Зав. особым отделом ЦК ВКП(б) А.Н.Поскребышеву:</w:t>
      </w:r>
    </w:p>
    <w:p w14:paraId="6648EF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"Посылаю для голосования проект постановления КО при СНК "Об организации серийного производства И-26".</w:t>
      </w:r>
    </w:p>
    <w:p w14:paraId="170B53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Внесенные поправки не меняют последующего текста.</w:t>
      </w:r>
    </w:p>
    <w:p w14:paraId="289FA4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Можно голосовать в этой редакции с внесенными поправками т. И.В.Сталиным и т В.М.М. (1295,265).</w:t>
      </w:r>
    </w:p>
    <w:p w14:paraId="0F67871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B52F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в ходе заводских испытаний И-200 А.И.М, которые проходили с 31 марта по 17 августа 1940, на И-200-1 был выполнен неудачный полет на километраж (13 по счету) (2988).</w:t>
      </w:r>
    </w:p>
    <w:p w14:paraId="6EF8A8A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6A60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закончились заводские испытания И-301 М-105П (2090,132).</w:t>
      </w:r>
    </w:p>
    <w:p w14:paraId="0FF7005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D523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начались заводские испытания первого ИС М-63 В.В.Шевченко и В.В.Никитина (2090,147).</w:t>
      </w:r>
    </w:p>
    <w:p w14:paraId="38CB8E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заводские испытания начались 29 мая 1940 (2090,140).</w:t>
      </w:r>
    </w:p>
    <w:p w14:paraId="74399B7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7AFBF4B"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мая 1940 г. началась передачи ИС на заводские испытания, которые в связи с экспериментальным характером конструкции должны были начаться только после получения разрешения НКАП и НИИ ВВС по результатам проверки КД и машины. Но при проведении проверки КД самолета перед ЗИ было установлено, что устойчивость самолета проверялась лишь при углах атаки +4…+16 град., а при меньших устойчивость нейтральная при центровке 27,5% САХ. Фактическая центровка оказалась 30% САХ и было рекомендовано установить балансировочный груз – в противном случае считалось невозможным обеспечить устойчивость самолета даже с «зажатой» РУС (а по нормам требовалась устойчивость с брошенной свободной РУС). Комиссия рекомендовала выполнить серию подлетов, чтобы оценить устойчивость самолета на отрыве.</w:t>
      </w:r>
    </w:p>
    <w:p w14:paraId="2C4A85A0"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28.05.40 г. самолет был передан на ЗИ, которые проводились на базе ЛИИ НКАП Раменское. Ведущим летчиком был назначен летчик-испытатель ЛИИ Кулешов, а ведущим инженером по испытаниям – Ф.И. Ежов.   Испытания начались на 9,5 месяца позже утвержденного срока и для их ускорения было разрешено сразу подключить специалистов НИИ ВВС КА.   29.05.40 г. первый полет на самолете выполнил летчик-испытатель ЛИИ Кулешов. Видимо, он не совершал рекомендованных подлетов или провел их по очень короткой программе. Взлет, полет по кругу и посадка прошли без замечаний. Уборка шасси и нижнего крыла в этом полете не проводились.   В дальнейшем ведущим летчиком на ЗИ самолета ИС был назначен Г.М. Шиянов, также участвовал летчик-инженер Гринчик, а летчиком облета был С.П. Супрун (23125).</w:t>
      </w:r>
    </w:p>
    <w:p w14:paraId="41F51BD3" w14:textId="77777777" w:rsidR="006E7D37" w:rsidRPr="00DB5D0D" w:rsidRDefault="006E7D37" w:rsidP="00DB5D0D">
      <w:pPr>
        <w:spacing w:after="0" w:line="240" w:lineRule="auto"/>
        <w:jc w:val="both"/>
        <w:rPr>
          <w:rFonts w:ascii="Times New Roman" w:hAnsi="Times New Roman"/>
          <w:color w:val="0070C0"/>
          <w:sz w:val="16"/>
          <w:szCs w:val="16"/>
        </w:rPr>
      </w:pPr>
    </w:p>
    <w:p w14:paraId="610DDB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вышел приказ НКАП N 207с по передаче самолета МДР-7 Самсонова на заводские испытания с окончанием 15 июля 1940 (1174).</w:t>
      </w:r>
    </w:p>
    <w:p w14:paraId="6B9786C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5C9A57" w14:textId="77777777" w:rsidR="006E7D37" w:rsidRPr="00DB5D0D" w:rsidRDefault="006E7D37"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14 мая 1940 г. в Комитет Обороны при Совнаркоме СССР («тов. Лешукову») был направлен доклад о состоянии Военно</w:t>
      </w:r>
      <w:r w:rsidRPr="00DB5D0D">
        <w:rPr>
          <w:rFonts w:ascii="Times New Roman" w:eastAsia="Times New Roman" w:hAnsi="Times New Roman"/>
          <w:color w:val="0070C0"/>
          <w:sz w:val="16"/>
          <w:szCs w:val="16"/>
          <w:lang w:eastAsia="ru-RU"/>
        </w:rPr>
        <w:noBreakHyphen/>
        <w:t>Воздушных Сил СССР. В нем, в частности, отмечалось отставание по скоростям наших серийных самолетов от самолетов передовых капиталистических стран: по истребителям – на 50–70 км/час, по бомбардировщикам – на 30–60 км/час. Анализировались и причины этого отставания: «Основным тормозом в развитии наших самолетов является мотор. Здесь наша отсталость от передовых капиталистических стран очень велика. Моторы М</w:t>
      </w:r>
      <w:r w:rsidRPr="00DB5D0D">
        <w:rPr>
          <w:rFonts w:ascii="Times New Roman" w:eastAsia="Times New Roman" w:hAnsi="Times New Roman"/>
          <w:color w:val="0070C0"/>
          <w:sz w:val="16"/>
          <w:szCs w:val="16"/>
          <w:lang w:eastAsia="ru-RU"/>
        </w:rPr>
        <w:noBreakHyphen/>
        <w:t>63, М</w:t>
      </w:r>
      <w:r w:rsidRPr="00DB5D0D">
        <w:rPr>
          <w:rFonts w:ascii="Times New Roman" w:eastAsia="Times New Roman" w:hAnsi="Times New Roman"/>
          <w:color w:val="0070C0"/>
          <w:sz w:val="16"/>
          <w:szCs w:val="16"/>
          <w:lang w:eastAsia="ru-RU"/>
        </w:rPr>
        <w:noBreakHyphen/>
        <w:t>88 и М</w:t>
      </w:r>
      <w:r w:rsidRPr="00DB5D0D">
        <w:rPr>
          <w:rFonts w:ascii="Times New Roman" w:eastAsia="Times New Roman" w:hAnsi="Times New Roman"/>
          <w:color w:val="0070C0"/>
          <w:sz w:val="16"/>
          <w:szCs w:val="16"/>
          <w:lang w:eastAsia="ru-RU"/>
        </w:rPr>
        <w:noBreakHyphen/>
        <w:t>105, которые поступают в серийное производство с большим количеством дефектов, ненадежны в полетах, часто отказывают, срок работы этих моторов очень небольшой. Наши хорошо отделанные самолеты с моторами одинаковой мощности с немецкими DB.601 дают все</w:t>
      </w:r>
      <w:r w:rsidRPr="00DB5D0D">
        <w:rPr>
          <w:rFonts w:ascii="Times New Roman" w:eastAsia="Times New Roman" w:hAnsi="Times New Roman"/>
          <w:color w:val="0070C0"/>
          <w:sz w:val="16"/>
          <w:szCs w:val="16"/>
          <w:lang w:eastAsia="ru-RU"/>
        </w:rPr>
        <w:noBreakHyphen/>
        <w:t>таки меньшую скорость только потому, что мы до сего времени не имеем хорошего винта» (20307).</w:t>
      </w:r>
    </w:p>
    <w:p w14:paraId="3799EB79" w14:textId="77777777" w:rsidR="006E7D37" w:rsidRPr="00DB5D0D" w:rsidRDefault="006E7D37" w:rsidP="00DB5D0D">
      <w:pPr>
        <w:shd w:val="clear" w:color="auto" w:fill="FFFFFF"/>
        <w:spacing w:after="0" w:line="240" w:lineRule="auto"/>
        <w:jc w:val="both"/>
        <w:rPr>
          <w:rFonts w:ascii="Times New Roman" w:hAnsi="Times New Roman"/>
          <w:color w:val="0070C0"/>
          <w:sz w:val="16"/>
          <w:szCs w:val="16"/>
        </w:rPr>
      </w:pPr>
    </w:p>
    <w:p w14:paraId="2F1B9E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(66,213) 1940 Я.В.Смушкевич - начальник ВВС и военный комиссар ВВС Ф.А.Агальцов писали записку в ПУ РККА - чл. ЦК ВКП(б) Л.З.Мехлису (505,139), что основным тормозом в развитии наших самолетов является мотор и отсталость от передовых в этой области очень велика. М-63, М-88, М-105 - еще не надежны и имеют много дефектов (173,199).</w:t>
      </w:r>
    </w:p>
    <w:p w14:paraId="518B0D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"Просим ЦК ВКП(б) срочно принять меры по улучшению наших моторов и винтов, иначе скорости наших самолетов в ближайшее время могут еще больше отстать от заграничных" (505,139).</w:t>
      </w:r>
    </w:p>
    <w:p w14:paraId="5E8250A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5CBE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 Командование ВВС (Смушкевич, Агальцов) писали в ЦК ВКП(б): «Основным тормозом в развитии наших самолетов яв</w:t>
      </w:r>
      <w:r w:rsidRPr="00DB5D0D">
        <w:rPr>
          <w:rFonts w:ascii="Times New Roman" w:hAnsi="Times New Roman"/>
          <w:color w:val="000000" w:themeColor="text1"/>
          <w:sz w:val="16"/>
          <w:szCs w:val="16"/>
        </w:rPr>
        <w:softHyphen/>
        <w:t>ляется мотор. Здесь наша отсталость от передовых капи</w:t>
      </w:r>
      <w:r w:rsidRPr="00DB5D0D">
        <w:rPr>
          <w:rFonts w:ascii="Times New Roman" w:hAnsi="Times New Roman"/>
          <w:color w:val="000000" w:themeColor="text1"/>
          <w:sz w:val="16"/>
          <w:szCs w:val="16"/>
        </w:rPr>
        <w:softHyphen/>
        <w:t>талистических стран очень велика. Моторы М-63, М-88, М-105, которые поступают в серийное производство с большим количеством дефектов, ненадежны в полетах, часто отказывают, срок работы этих моторов очень не</w:t>
      </w:r>
      <w:r w:rsidRPr="00DB5D0D">
        <w:rPr>
          <w:rFonts w:ascii="Times New Roman" w:hAnsi="Times New Roman"/>
          <w:color w:val="000000" w:themeColor="text1"/>
          <w:sz w:val="16"/>
          <w:szCs w:val="16"/>
        </w:rPr>
        <w:softHyphen/>
        <w:t>большой... До сего времени мы не имеем хорошего винта... Мы просим ЦК ВКП(б) срочно принять меры по улучшению наших моторов и винтов, иначе скоро</w:t>
      </w:r>
      <w:r w:rsidRPr="00DB5D0D">
        <w:rPr>
          <w:rFonts w:ascii="Times New Roman" w:hAnsi="Times New Roman"/>
          <w:color w:val="000000" w:themeColor="text1"/>
          <w:sz w:val="16"/>
          <w:szCs w:val="16"/>
        </w:rPr>
        <w:softHyphen/>
        <w:t>сти наших самолетов в ближайшее время могут еще больше отстать от заграничных» (10667).</w:t>
      </w:r>
    </w:p>
    <w:p w14:paraId="290913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C2BE1C3"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 начальник ВВС Красной Армии командарм II ранга Смушкевич и военный комиссар ВВС КА дивизионный комиссар Агальцов направили в Комитет Обороны при СНК СССР "Доклад о состоянии Военных воздушных сил Красной Армии". В нем, в частности, говорилось: "Основным тормозом в развитии наших самолетов является мотор. Здесь наша отсталость от передовых капиталистических стран очень велика. Моторы М 63, М 88 и М 105, которые поступают в серийное производство, с большим количеством дефектов, часто отказывают, срок работы этих моторов небольшой" (19534).</w:t>
      </w:r>
    </w:p>
    <w:p w14:paraId="1A80D719" w14:textId="77777777" w:rsidR="007E4048" w:rsidRPr="00DB5D0D" w:rsidRDefault="007E4048" w:rsidP="00DB5D0D">
      <w:pPr>
        <w:spacing w:after="0" w:line="240" w:lineRule="auto"/>
        <w:jc w:val="both"/>
        <w:rPr>
          <w:rFonts w:ascii="Times New Roman" w:hAnsi="Times New Roman"/>
          <w:color w:val="000000" w:themeColor="text1"/>
          <w:sz w:val="16"/>
          <w:szCs w:val="16"/>
        </w:rPr>
      </w:pPr>
    </w:p>
    <w:p w14:paraId="5BC8AB1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года вышел приказ № 133 НКВ</w:t>
      </w:r>
    </w:p>
    <w:p w14:paraId="3C5805A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Государственному Ленинградскому металлическому заводу (ЛМЗ) им. И.В. Сталина присвоить номер 371 (6242, 136).</w:t>
      </w:r>
    </w:p>
    <w:p w14:paraId="17DE3E1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40027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мая 1940 года Начальник ВИАМ А.Т. Туманов сообщал в рапорте наркому А.И. Шахурину, что, согласно постановлениям Комитета Обороны при СНК СССР и приказам наркомата авиационной промышленности, «нам было поручено изготовить из волокнистого материала целый ряд объектов и наладить серийный выпуск подвесных бензобаков емкостью 100 литров на опытном заводе ВИАМ для снабжения действующей армии Ленинградского Военного Округа. Сообщаю, что задание Правительства и Ваше задание выполнено досрочно. Изготовлены методом штамповки баки емкостью 50 литров, 100 литров (для самолета И-153), 93 литра (для самолета И-16), 375 литров (для самолета СБ). Изготовлен методом литья из бумажной массы подвесной бак емкостью 100 литров. Все вышеуказанные баки прошли государственные испытания». Также сообщалось, что на опытном заводе Всесоюзного института авиационных материалов досрочно к 25 апреля 1940 года было изготовлено 9400 штук подвесных бензобаков из волокнистых материалов. А.Т. Туманов подчеркивал, что «указанные баки с успехом применялись на фронте борьбы </w:t>
      </w:r>
      <w:r w:rsidRPr="00DB5D0D">
        <w:rPr>
          <w:rFonts w:ascii="Times New Roman" w:hAnsi="Times New Roman"/>
          <w:color w:val="000000" w:themeColor="text1"/>
          <w:sz w:val="16"/>
          <w:szCs w:val="16"/>
        </w:rPr>
        <w:lastRenderedPageBreak/>
        <w:t>с белофиннами, давая возможность значительно увеличить радиус действия истребителей и этим поднять боеспособность авиации» (Там же. Ф. Р-124. Оп. 1-6. Д. 66. Л. 42-43.) (11672).</w:t>
      </w:r>
    </w:p>
    <w:p w14:paraId="54EFE0D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90FF8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2A7C81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6E482DE"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мая 1940 г. вышел приказ НКСМ № 104с, согласно которому ГАЗ должен был изготовить и сдать на полигонные испы</w:t>
      </w:r>
      <w:r w:rsidRPr="00DB5D0D">
        <w:rPr>
          <w:rFonts w:ascii="Times New Roman" w:hAnsi="Times New Roman"/>
          <w:color w:val="0070C0"/>
          <w:sz w:val="16"/>
          <w:szCs w:val="16"/>
        </w:rPr>
        <w:softHyphen/>
        <w:t>тания к 1.11.40 2 бронеавтомобиля ЛБ-НАТИ (ЛБ-62) на базе ГАЗ-62 (22518).</w:t>
      </w:r>
    </w:p>
    <w:p w14:paraId="577D2DED" w14:textId="77777777" w:rsidR="006E7D37" w:rsidRPr="00DB5D0D" w:rsidRDefault="006E7D37" w:rsidP="00DB5D0D">
      <w:pPr>
        <w:spacing w:after="0" w:line="240" w:lineRule="auto"/>
        <w:jc w:val="both"/>
        <w:rPr>
          <w:rFonts w:ascii="Times New Roman" w:hAnsi="Times New Roman"/>
          <w:color w:val="0070C0"/>
          <w:sz w:val="16"/>
          <w:szCs w:val="16"/>
        </w:rPr>
      </w:pPr>
    </w:p>
    <w:p w14:paraId="79B30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года была подготовлена справка:</w:t>
      </w:r>
    </w:p>
    <w:p w14:paraId="654D1F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Загорский новостроящийся завод скобяных изделий (ныне № 367) (9185).</w:t>
      </w:r>
    </w:p>
    <w:p w14:paraId="5AC625D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EA58C3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3000997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20BED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мая 1940 года в «Докладе о состоянии военных воздушных сил Красной армии» начальника ВВС Я.В.Смушкевича и военкома ВВС Ф.А.Агальцова за №466215, который был адресован Начальнику Политуправления РККА Л.З.Мехлису отмечалось: «Положение с горючим остаётся напряжённым, потребностей для ВВС на год войны промышленность не обеспечивает. Особенно тяжёлым остаётся вопрос с высокооктановым топливом, учитывая, что почти все ВВС в 1940—41 годах перейдут на высокооктановое топливо, а промышленность даже сейчас на период с 1.5.40 по 1.1.41 обеспечивает ВВС этим видом топлива на 17,5проц. (требуется 92тысячи тонн, выделяется 16тыс. тонн)» (РГВА). Ф. 29. Оп.46. Д. 340. Л. 21.). </w:t>
      </w:r>
    </w:p>
    <w:p w14:paraId="3E900E7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788A40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00A945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0E98CA0" w14:textId="77777777" w:rsidR="00EA5A39" w:rsidRPr="00DB5D0D" w:rsidRDefault="00EA5A3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мая в 1940 году первый полет самолета французского легкого истребителя </w:t>
      </w:r>
      <w:hyperlink r:id="rId37" w:tgtFrame="_blank" w:history="1">
        <w:r w:rsidRPr="00DB5D0D">
          <w:rPr>
            <w:rFonts w:ascii="Times New Roman" w:hAnsi="Times New Roman"/>
            <w:color w:val="000000" w:themeColor="text1"/>
            <w:sz w:val="16"/>
            <w:szCs w:val="16"/>
          </w:rPr>
          <w:t xml:space="preserve">«VG-36». </w:t>
        </w:r>
      </w:hyperlink>
      <w:r w:rsidRPr="00DB5D0D">
        <w:rPr>
          <w:rFonts w:ascii="Times New Roman" w:hAnsi="Times New Roman"/>
          <w:color w:val="000000" w:themeColor="text1"/>
          <w:sz w:val="16"/>
          <w:szCs w:val="16"/>
        </w:rPr>
        <w:t>«VG-36» - легкий истребитель, разработанный французской фирмой l'Arsenal. Самолет является дальнейшим развитием семейства «VG-30». На нем был установлен двенадцатицилиндровый поршневой двигатель «Hispano-Suiza» «12Y-51» мощностью 1000 л.с. Летные испытания прошли успешно и было принято решение строить самолет в серии. Однако военные действия 1940 года помешали этим планам (14891).</w:t>
      </w:r>
    </w:p>
    <w:p w14:paraId="1AC48063" w14:textId="77777777" w:rsidR="00EA5A39" w:rsidRPr="00DB5D0D" w:rsidRDefault="00EA5A39" w:rsidP="00DB5D0D">
      <w:pPr>
        <w:spacing w:after="0" w:line="240" w:lineRule="auto"/>
        <w:jc w:val="both"/>
        <w:rPr>
          <w:rFonts w:ascii="Times New Roman" w:hAnsi="Times New Roman"/>
          <w:color w:val="000000" w:themeColor="text1"/>
          <w:sz w:val="16"/>
          <w:szCs w:val="16"/>
        </w:rPr>
      </w:pPr>
    </w:p>
    <w:p w14:paraId="27DA2FB8"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мая 1940 года днем остатки двух бомбардировочных авиагрупп ВВС Франции, 34-и и 38-й, были брошены на уничтожение мостов в районе Седана, по которым шли на запад немецкие танки. Для устаревших «Амио» 143 дневное бомбометание по такой цели с высоты 800 м было верной смертью.</w:t>
      </w:r>
    </w:p>
    <w:p w14:paraId="78656A8D"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Даже истребительный эскорт, редкость в те трагические для Франции дни, не спас их. Четыре «Амио» были сбиты, все остальные получили тяжелые повреждения и, не выполнив задачу, сели кто где. Эта акция стала символом беспомощности Франции, а ведь она в 30-х годах считалась лидером в боевой авиации (22796).</w:t>
      </w:r>
    </w:p>
    <w:p w14:paraId="65B592B7" w14:textId="77777777" w:rsidR="006E7D37" w:rsidRPr="00DB5D0D" w:rsidRDefault="006E7D37" w:rsidP="00DB5D0D">
      <w:pPr>
        <w:spacing w:after="0" w:line="240" w:lineRule="auto"/>
        <w:jc w:val="both"/>
        <w:rPr>
          <w:rFonts w:ascii="Times New Roman" w:hAnsi="Times New Roman"/>
          <w:color w:val="0070C0"/>
          <w:sz w:val="16"/>
          <w:szCs w:val="16"/>
        </w:rPr>
      </w:pPr>
    </w:p>
    <w:p w14:paraId="01CA5B1D"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мая 1940 союзники теряют 110 самолетов - 70 British Fairey и Bristol Бленхеймов и сорок французских самолетов в катастрофической попытке бомбить мосты через реку Маас . Пятьдесят три немецких бомбардировщика Heinkel He 111 сбросили почти 100 тонн бомб на Роттердам в Нидерландах. В результате нападения погибло около 1000 человек, разрушено 20 000 зданий и 78 000 человек остались без крова (20795).</w:t>
      </w:r>
    </w:p>
    <w:p w14:paraId="4B1618D6" w14:textId="77777777" w:rsidR="006E7D37" w:rsidRPr="00DB5D0D" w:rsidRDefault="006E7D37" w:rsidP="00DB5D0D">
      <w:pPr>
        <w:spacing w:after="0" w:line="240" w:lineRule="auto"/>
        <w:jc w:val="both"/>
        <w:rPr>
          <w:rFonts w:ascii="Times New Roman" w:hAnsi="Times New Roman"/>
          <w:color w:val="0070C0"/>
          <w:sz w:val="16"/>
          <w:szCs w:val="16"/>
        </w:rPr>
      </w:pPr>
    </w:p>
    <w:p w14:paraId="1DFC7D14"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мая 1940 - авианалёт, осуществленный люфтваффе 14 мая 1940 года во время голландской операции, которая, в свою очередь, являлась частью французской кампании 1940 г.</w:t>
      </w:r>
    </w:p>
    <w:p w14:paraId="7A5727E0"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Нападение на Голландию началось 10 мая. Немцы надеялись, что сломят сопротивление голландцев в один день, однако голландские войска оказывали более упорное сопротивление, чем предполагалось ранее. Немцы запланировали нападение на город на 14 мая. Целью авианалёта являлась поддержка немецких подразделений, сражающихся в городе, и принуждение Голландии к капитуляции.</w:t>
      </w:r>
    </w:p>
    <w:p w14:paraId="7CA1C4BE"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Командующий немецкими войсками генерал Ханс Шмидт выставил голландцам ультиматум, сообщив им о планируемой бомбардировке Роттердама. Голландцы приняли ультиматум и бомбардировка была отменена. Тем не менее 50-60 бомбардировщиков He-111 из ста якобы не успели получить сигнал, информирующий об отмене атаки.</w:t>
      </w:r>
    </w:p>
    <w:p w14:paraId="65059D57"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Бомбардировщики сбросили около 97 тонн бомб, в основном на центр города, уничтожая всё на площади в приблизительно 2,5 км², что привело к многочисленным пожарам и вызвало гибель около тысячи жителей. Эта бомбардировка стала последним этапом голландской операции вермахта: Голландия не имела возможности защититься от атак с воздуха и после оценки ситуации и получения немецкого ультиматума о возможной бомбардировке других городов капитулировала в тот же день.</w:t>
      </w:r>
    </w:p>
    <w:p w14:paraId="2371F73C" w14:textId="77777777" w:rsidR="006E7D37" w:rsidRPr="00DB5D0D" w:rsidRDefault="006E7D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Бомбардировка Роттердама привела к изменению британской политики и стратегии. До того времени Великобритания избегала бомбардировок Германии, хотя и признавала, что в случае продолжения немецких атак на гражданские цели британская политика поменяется. На следующий день после бомбардировки Роттердама, в ночь с 15 на 16 мая, британские королевские ВВС совершили первый (ночной) налёт на Рурскую область (22502).</w:t>
      </w:r>
    </w:p>
    <w:p w14:paraId="66269076" w14:textId="77777777" w:rsidR="006E7D37" w:rsidRPr="00DB5D0D" w:rsidRDefault="006E7D37" w:rsidP="00DB5D0D">
      <w:pPr>
        <w:spacing w:after="0" w:line="240" w:lineRule="auto"/>
        <w:jc w:val="both"/>
        <w:rPr>
          <w:rFonts w:ascii="Times New Roman" w:hAnsi="Times New Roman"/>
          <w:color w:val="0070C0"/>
          <w:sz w:val="16"/>
          <w:szCs w:val="16"/>
        </w:rPr>
      </w:pPr>
    </w:p>
    <w:p w14:paraId="7F7E1A8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немецкие танки генерала Гудериана прорвали французскую оборону в Арденнах и захватили Роттердам (4962).</w:t>
      </w:r>
    </w:p>
    <w:p w14:paraId="23CC73B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580EEDA" w14:textId="77777777" w:rsidR="00EA5A39" w:rsidRPr="00DB5D0D" w:rsidRDefault="00EA5A39"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14 мая в 1940 году немецко-фашистская авиация в ходе варварской бомбардировки полностью разрушила город Роттердам (Нидерланды). Погиблиболеетысячичеловек</w:t>
      </w:r>
      <w:r w:rsidRPr="00DB5D0D">
        <w:rPr>
          <w:rFonts w:ascii="Times New Roman" w:hAnsi="Times New Roman"/>
          <w:color w:val="000000" w:themeColor="text1"/>
          <w:sz w:val="16"/>
          <w:szCs w:val="16"/>
          <w:lang w:val="en-US"/>
        </w:rPr>
        <w:t xml:space="preserve"> (14891).</w:t>
      </w:r>
    </w:p>
    <w:p w14:paraId="6E580F30" w14:textId="77777777" w:rsidR="00EA5A39" w:rsidRPr="00DB5D0D" w:rsidRDefault="00EA5A39" w:rsidP="00DB5D0D">
      <w:pPr>
        <w:spacing w:after="0" w:line="240" w:lineRule="auto"/>
        <w:jc w:val="both"/>
        <w:rPr>
          <w:rFonts w:ascii="Times New Roman" w:hAnsi="Times New Roman"/>
          <w:color w:val="000000" w:themeColor="text1"/>
          <w:sz w:val="16"/>
          <w:szCs w:val="16"/>
          <w:lang w:val="en-US"/>
        </w:rPr>
      </w:pPr>
    </w:p>
    <w:p w14:paraId="434B972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14th, 1940: In the West, 60 Luftwaffe He-111 bombers not having received the countermanding order attack besieged Rotterdam, devastating the center of the city. British and French aircraft are unsuccessful in destroying the German-built bridges across the Meuse; 50 bombers are shot down by AA fire (3819).</w:t>
      </w:r>
    </w:p>
    <w:p w14:paraId="45F2909A"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5A251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60 Не-111 не встретив сопротивления атаковали Ротердам и уничтожили центр города. Британская и французская авиация не смогли уничтожить немецкие переправы через Меус. ЗА сбила 50 бомбардировщиков (3819).</w:t>
      </w:r>
    </w:p>
    <w:p w14:paraId="3F1198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0896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немецкие бомбардировщики уничтожили центр Ротердама и 30 тыс. чел. погибло (2244,3), как говорили вначале, но на самом деле оказалось 800 (2240).</w:t>
      </w:r>
    </w:p>
    <w:p w14:paraId="617D9D0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FE83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Нидерланды сдались Германии (2100).</w:t>
      </w:r>
    </w:p>
    <w:p w14:paraId="010274D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49C8E1" w14:textId="77777777" w:rsidR="00EA5A39" w:rsidRPr="00DB5D0D" w:rsidRDefault="00EA5A3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в 1940 году Голландия капитулирует спустя 5 дней после начала Германией войны на западном фронте (14891).</w:t>
      </w:r>
    </w:p>
    <w:p w14:paraId="67AC38FA" w14:textId="77777777" w:rsidR="00EA5A39" w:rsidRPr="00DB5D0D" w:rsidRDefault="00EA5A39" w:rsidP="00DB5D0D">
      <w:pPr>
        <w:spacing w:after="0" w:line="240" w:lineRule="auto"/>
        <w:jc w:val="both"/>
        <w:rPr>
          <w:rFonts w:ascii="Times New Roman" w:hAnsi="Times New Roman"/>
          <w:color w:val="000000" w:themeColor="text1"/>
          <w:sz w:val="16"/>
          <w:szCs w:val="16"/>
        </w:rPr>
      </w:pPr>
    </w:p>
    <w:p w14:paraId="5512C0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немецкая армия вторглась во Францию (2244,3).</w:t>
      </w:r>
    </w:p>
    <w:p w14:paraId="4B80832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34C3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14-23 мая 1940 германские войска прорвали оборону под Седаном и продвигались к побережью Ла-Манша, сумев рассечь французскую армию на две группировки (3907,223).</w:t>
      </w:r>
    </w:p>
    <w:p w14:paraId="2F2F109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9C93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авиация союзников пыталась уничтожить переправы через Meuse, но потеряв 100 бомбардировщиков так и не смогли (2240).</w:t>
      </w:r>
    </w:p>
    <w:p w14:paraId="00C8E32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BF02CB" w14:textId="77777777" w:rsidR="00EA5A39" w:rsidRPr="00DB5D0D" w:rsidRDefault="00EA5A3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в 1940 году избрание Черчилля премьером Англии (14891).</w:t>
      </w:r>
    </w:p>
    <w:p w14:paraId="7BDB055A" w14:textId="77777777" w:rsidR="00EA5A39" w:rsidRPr="00DB5D0D" w:rsidRDefault="00EA5A39" w:rsidP="00DB5D0D">
      <w:pPr>
        <w:spacing w:after="0" w:line="240" w:lineRule="auto"/>
        <w:jc w:val="both"/>
        <w:rPr>
          <w:rFonts w:ascii="Times New Roman" w:hAnsi="Times New Roman"/>
          <w:color w:val="000000" w:themeColor="text1"/>
          <w:sz w:val="16"/>
          <w:szCs w:val="16"/>
        </w:rPr>
      </w:pPr>
    </w:p>
    <w:p w14:paraId="1C6950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министром АП Англии был назначен лорд Бивенбрук (2240).</w:t>
      </w:r>
    </w:p>
    <w:p w14:paraId="0F489D7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CCD269" w14:textId="77777777" w:rsidR="00EA5A39" w:rsidRPr="00DB5D0D" w:rsidRDefault="00EA5A3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в 1940 году создание отрядов гражданской обороны в Англии (14891).</w:t>
      </w:r>
    </w:p>
    <w:p w14:paraId="1FB10899" w14:textId="77777777" w:rsidR="00EA5A39" w:rsidRPr="00DB5D0D" w:rsidRDefault="00EA5A39" w:rsidP="00DB5D0D">
      <w:pPr>
        <w:spacing w:after="0" w:line="240" w:lineRule="auto"/>
        <w:jc w:val="both"/>
        <w:rPr>
          <w:rFonts w:ascii="Times New Roman" w:hAnsi="Times New Roman"/>
          <w:color w:val="000000" w:themeColor="text1"/>
          <w:sz w:val="16"/>
          <w:szCs w:val="16"/>
        </w:rPr>
      </w:pPr>
    </w:p>
    <w:p w14:paraId="65A39232" w14:textId="77777777" w:rsidR="00EA5A39" w:rsidRPr="00DB5D0D" w:rsidRDefault="00EA5A3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в 1940 году Томас Эдвард Годвин (Великобритания) проехал 120 805 км за 365 дней, делая в среднем по 330,96 км в день. За 500 дней, к 14 мая 1940 г. он проехал 160 934 км (14891).</w:t>
      </w:r>
    </w:p>
    <w:p w14:paraId="4F2C8658" w14:textId="77777777" w:rsidR="00EA5A39" w:rsidRPr="00DB5D0D" w:rsidRDefault="00EA5A39" w:rsidP="00DB5D0D">
      <w:pPr>
        <w:spacing w:after="0" w:line="240" w:lineRule="auto"/>
        <w:jc w:val="both"/>
        <w:rPr>
          <w:rFonts w:ascii="Times New Roman" w:hAnsi="Times New Roman"/>
          <w:color w:val="000000" w:themeColor="text1"/>
          <w:sz w:val="16"/>
          <w:szCs w:val="16"/>
        </w:rPr>
      </w:pPr>
    </w:p>
    <w:p w14:paraId="7A2AB34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32DD9A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102E0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начальник ГУАС РККА комдив Алексеев утвер</w:t>
      </w:r>
      <w:r w:rsidRPr="00DB5D0D">
        <w:rPr>
          <w:rFonts w:ascii="Times New Roman" w:hAnsi="Times New Roman"/>
          <w:color w:val="000000" w:themeColor="text1"/>
          <w:sz w:val="16"/>
          <w:szCs w:val="16"/>
        </w:rPr>
        <w:softHyphen/>
        <w:t>дил отчет о проведении гос. испытаний БШ-2 № 2 с резолюцией: “Само</w:t>
      </w:r>
      <w:r w:rsidRPr="00DB5D0D">
        <w:rPr>
          <w:rFonts w:ascii="Times New Roman" w:hAnsi="Times New Roman"/>
          <w:color w:val="000000" w:themeColor="text1"/>
          <w:sz w:val="16"/>
          <w:szCs w:val="16"/>
        </w:rPr>
        <w:softHyphen/>
        <w:t>лет БШ-2 (бронированный штурмовик) государственные испытания прошел удовлетворительно. Может быть исполь</w:t>
      </w:r>
      <w:r w:rsidRPr="00DB5D0D">
        <w:rPr>
          <w:rFonts w:ascii="Times New Roman" w:hAnsi="Times New Roman"/>
          <w:color w:val="000000" w:themeColor="text1"/>
          <w:sz w:val="16"/>
          <w:szCs w:val="16"/>
        </w:rPr>
        <w:softHyphen/>
        <w:t>зован в ВВС КА в качестве штурмовика-бомбардировщика ближнего действия при условии устранения недостатков” (4140).</w:t>
      </w:r>
    </w:p>
    <w:p w14:paraId="065C7E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состоялось заседание технического совета при НИИ ГУАС (Протокол N 1) по вопросу о результатах гос. испытаний самолета БШ-2 АМ-35 конструкции С.В.И.</w:t>
      </w:r>
    </w:p>
    <w:p w14:paraId="256301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Техсовет при НИИ ГУАС под председательством дивинженера Филина в присутствии гл. конструктора завода N 39 С.В.И. и заместителя гл. конструктора инженера Мальцева произвел осмотр самолета БШ-2 АМ-35, прошедшего гос. испытания и заслушал доклад ведущего инженера НИИ ГУАС военинженера 1 ранга Куликова и содоклады летчика-испытателя майора Долгова и штурмана-испытателя майора Соколова о результатах гос. испытаний самолета БШ-2 АМ-35.</w:t>
      </w:r>
    </w:p>
    <w:p w14:paraId="623715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БШ-2 строился по плану опытного строительства 1938 года и должен был быть предъявлен на испытания в декабре 1938 г.</w:t>
      </w:r>
    </w:p>
    <w:p w14:paraId="7646D0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предъявлен на гос. испытания с опаданием на 1 год и 3 месяца.</w:t>
      </w:r>
    </w:p>
    <w:p w14:paraId="15CA20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осмотра самолета и проверки результатов испытаний, изложенных в отчете по гос. испытаниям, Техсовет приходит к следующим выводам:</w:t>
      </w:r>
    </w:p>
    <w:p w14:paraId="0659AA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БШ-2 АМ-35 является единственным типом хорошо бронированного самолета с достаточно мощным бомбардировочным и химическим воружением и имеет перспективы дальнейшего развития в отношении повышения летных данных, увеличения мощности стрелково-артиллерийского вооружения, увеличения дальности полета и некоторого улучшения полетных свойств. В связи с этим самолет БШ-2 Ам-35 представляет определенный интерес для использования его в ВВС в качестве штурмовика ближнего действия.</w:t>
      </w:r>
    </w:p>
    <w:p w14:paraId="38E329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БШ-2 АМ-35 имеет недочеты, из которых основными являются следующие:</w:t>
      </w:r>
    </w:p>
    <w:p w14:paraId="7DC7EE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Недостаточная продольная устойчивость, не допускающая полета с брошенным управлением.</w:t>
      </w:r>
    </w:p>
    <w:p w14:paraId="7A1EFB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Недостаточная управляемость, создающая большие нагрузки на управление элеронами.</w:t>
      </w:r>
    </w:p>
    <w:p w14:paraId="11A6A0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Недостаточный обзор для летчика и штурмана вперед.</w:t>
      </w:r>
    </w:p>
    <w:p w14:paraId="406473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Недоведенность неподвижных (крыльевых) стрелковых установок.</w:t>
      </w:r>
    </w:p>
    <w:p w14:paraId="68ADC9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Недоведенность мотора АМ-35.</w:t>
      </w:r>
    </w:p>
    <w:p w14:paraId="6E072C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Недостаточная дальность полета.</w:t>
      </w:r>
    </w:p>
    <w:p w14:paraId="244F75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Просить наркома Обороны о заказе серии самолетов БШ-2 АМ-35 в количестве необходимом для вооружения одного штурмового полка ВВС для проведения войсковых испытаний с целью освоения тактики боевого применения самолетов подобного типа.</w:t>
      </w:r>
    </w:p>
    <w:p w14:paraId="175A35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самолетах этой серии должны быть обязательно выполнены следующие доводки:</w:t>
      </w:r>
    </w:p>
    <w:p w14:paraId="7ACD6A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Улучшение управляемости самолета и продольной устойчивости.</w:t>
      </w:r>
    </w:p>
    <w:p w14:paraId="357704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Улучшение обзора для летчика и штурмана за счет доводки козырька летчика и установки прозрачной брони между летчиком и штурманом.</w:t>
      </w:r>
    </w:p>
    <w:p w14:paraId="31FC0B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Доводки крыльевых стрелковых установок.</w:t>
      </w:r>
    </w:p>
    <w:p w14:paraId="2D4F9B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Доводка мотора АМ-35 в отношении обеспечения нормальных давлений бензина и масла на высотах и особенно, устранения явления переобогащения мотора при планировании с зарытым газом, вызывающего отказы в работе мотора при даче газа после планирования.</w:t>
      </w:r>
    </w:p>
    <w:p w14:paraId="6205F4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Установка дополнительного бензинового бака с наполнением нейтральным газом, вызывающего отказы в работе мотора при даче газа после планирования.</w:t>
      </w:r>
    </w:p>
    <w:p w14:paraId="197FB5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установления войсковой серии и предъявления ее на гос. испытания установить - 1 декабря 1940 г.</w:t>
      </w:r>
    </w:p>
    <w:p w14:paraId="5373DA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предложить гл. конструктору завода N 39 бригинженеру С.В.И. на втором опытном экземпляре самолета БШ-2 N 1 устранить все выявленные при гос. испытаниях недочеты, установить на нем мотор АМ-38, установить дополнительный бензиновый бак, улучшить продольную устойчивость самолета путем изменения схемы расположения крыла (придать крылу стрельчатое очертание) и увеличения площади стабилизатора, улучшить обзор вперед для летчика и штурмана, улучшить управляемость самолета путем доводки элеронов и флетнеров на них и предъявить самолет на поверочные испытания к 15 июня 1940 г.</w:t>
      </w:r>
    </w:p>
    <w:p w14:paraId="1E8EAB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 самолет БШ-2 АМ-35 N 2, прошедший гос. испытания установить вооружение вперед 2 пушки и 2 пулемета и предъявить на испытания в НИИ ГУАС к 1 июля 1940 г. тогда же проверить надежность работы систем охлаждения воды и масла при высоких температурах наружного воздуха.</w:t>
      </w:r>
    </w:p>
    <w:p w14:paraId="624DF1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этих испытаний направить этот самолет на химический полигон для детальной отработки и выбора основного варианта химического вооружения (3357,24-27).</w:t>
      </w:r>
    </w:p>
    <w:p w14:paraId="6340319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BC05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начальник ГУАС КА комдив П. А. Алексеев утвердил отчет со следующей на БШ-2 резолюцией: "Самолет БШ-2 (бронированный штурмовик) государственные испытания прошел удовлетворительно. Может быть использован в ВВС КА в качестве штурмовика-бомбардировщика ближнего действия при условии устранения недостатков" (12020).</w:t>
      </w:r>
    </w:p>
    <w:p w14:paraId="3839C11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B21023" w14:textId="77777777" w:rsidR="00214DEE" w:rsidRPr="00DB5D0D" w:rsidRDefault="00214DEE"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15 мая 1940 начальник ГУАС КА комдив Алексеев утвердил отчет о госиспытаниях БШ-2 со следующей резолюцией: «Самолет БШ-2 (бомбар</w:t>
      </w:r>
      <w:r w:rsidRPr="00DB5D0D">
        <w:rPr>
          <w:rFonts w:ascii="Times New Roman" w:hAnsi="Times New Roman" w:cs="Times New Roman"/>
          <w:color w:val="000000" w:themeColor="text1"/>
          <w:sz w:val="16"/>
          <w:szCs w:val="16"/>
        </w:rPr>
        <w:softHyphen/>
        <w:t>дировщик-штурмовик) государственные испытания прошел удовлетворительно. Может быть использован в ВВС КА в качестве штурмовика-бомбардировщика ближнего действия при условии устране</w:t>
      </w:r>
      <w:r w:rsidRPr="00DB5D0D">
        <w:rPr>
          <w:rFonts w:ascii="Times New Roman" w:hAnsi="Times New Roman" w:cs="Times New Roman"/>
          <w:color w:val="000000" w:themeColor="text1"/>
          <w:sz w:val="16"/>
          <w:szCs w:val="16"/>
        </w:rPr>
        <w:softHyphen/>
        <w:t>ния недостатков» (19087).</w:t>
      </w:r>
    </w:p>
    <w:p w14:paraId="3C21D4B3" w14:textId="77777777" w:rsidR="00214DEE" w:rsidRPr="00DB5D0D" w:rsidRDefault="00214DEE"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78E9A3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 нарком Обороны маршал Тимошенко писал письмо N 16456с зам. председателя СНК, председателю КО Ворошилову.</w:t>
      </w:r>
    </w:p>
    <w:p w14:paraId="36335D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Техсовет при НИИ ГУАС рассмотрев результаты испытаний самолета БШ-2 АМ-35 конструктора С.В.И. вынес заключение о постройке 65 самолетов БШ-2 АМ-35. для вооружения одного штурмового полка.</w:t>
      </w:r>
    </w:p>
    <w:p w14:paraId="6B90B0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испытании самолета БШ-2 АМ-35 выявлены серьезные летно-технические недостатки самолета из которых основными являются:</w:t>
      </w:r>
    </w:p>
    <w:p w14:paraId="28D55B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Заниженная скорость самолета (У земли 350 км/час. На границе высотности - 422 км/час).</w:t>
      </w:r>
    </w:p>
    <w:p w14:paraId="1C3146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Недостаточная дальность полета (618 км).</w:t>
      </w:r>
    </w:p>
    <w:p w14:paraId="2966F4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Неудовлетворительный обзор вперед для летчика и штурмана.</w:t>
      </w:r>
    </w:p>
    <w:p w14:paraId="6DCEE6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Недостаточная продольная устойчивость самолета.</w:t>
      </w:r>
    </w:p>
    <w:p w14:paraId="356295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Недостаточная маневренность и управляемость вследствие большого веса.</w:t>
      </w:r>
    </w:p>
    <w:p w14:paraId="221636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Недоведенность мотора АМ-35.</w:t>
      </w:r>
    </w:p>
    <w:p w14:paraId="493FDA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Недоведенность неподвижных (крыльевых) стреловых установок.</w:t>
      </w:r>
    </w:p>
    <w:p w14:paraId="31A52D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что строить 65 самолетов БШ-2 АМ-35 до устранения указанных дефектов нецелесообразно, а достаточно построить лишь опытную серию для войсковых испытаний в количестве 10-15 самолетов, на которых устранить указанные дефекты и выявить окончательно боевую пригодность самолета БШ-2 АМ-35.</w:t>
      </w:r>
    </w:p>
    <w:p w14:paraId="28C04C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докладываю, что в настоящее время находится в производстве опытный самолет БШ-М-71 аналогичного класса конструктора Сухого, расчетные данные которого выше, чем у самолета БШ-2, а именно: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2D095B51" w14:textId="77777777" w:rsidTr="009223E5">
        <w:tc>
          <w:tcPr>
            <w:tcW w:w="5749" w:type="dxa"/>
            <w:tcBorders>
              <w:top w:val="single" w:sz="12" w:space="0" w:color="auto"/>
            </w:tcBorders>
          </w:tcPr>
          <w:p w14:paraId="744F7F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Скорость у земли </w:t>
            </w:r>
          </w:p>
        </w:tc>
        <w:tc>
          <w:tcPr>
            <w:tcW w:w="5749" w:type="dxa"/>
            <w:tcBorders>
              <w:top w:val="single" w:sz="12" w:space="0" w:color="auto"/>
            </w:tcBorders>
          </w:tcPr>
          <w:p w14:paraId="28DC78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510 км/час</w:t>
            </w:r>
          </w:p>
        </w:tc>
      </w:tr>
      <w:tr w:rsidR="007D5DF8" w:rsidRPr="00DB5D0D" w14:paraId="12A8840F" w14:textId="77777777" w:rsidTr="009223E5">
        <w:tc>
          <w:tcPr>
            <w:tcW w:w="5749" w:type="dxa"/>
          </w:tcPr>
          <w:p w14:paraId="5B00FE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w:t>
            </w:r>
          </w:p>
        </w:tc>
        <w:tc>
          <w:tcPr>
            <w:tcW w:w="5749" w:type="dxa"/>
          </w:tcPr>
          <w:p w14:paraId="503815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км</w:t>
            </w:r>
          </w:p>
        </w:tc>
      </w:tr>
      <w:tr w:rsidR="007D5DF8" w:rsidRPr="00DB5D0D" w14:paraId="4C40F1E4" w14:textId="77777777" w:rsidTr="009223E5">
        <w:tc>
          <w:tcPr>
            <w:tcW w:w="5749" w:type="dxa"/>
          </w:tcPr>
          <w:p w14:paraId="65DEE4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при перегрузке</w:t>
            </w:r>
          </w:p>
        </w:tc>
        <w:tc>
          <w:tcPr>
            <w:tcW w:w="5749" w:type="dxa"/>
          </w:tcPr>
          <w:p w14:paraId="32E668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 км</w:t>
            </w:r>
          </w:p>
        </w:tc>
      </w:tr>
      <w:tr w:rsidR="007D5DF8" w:rsidRPr="00DB5D0D" w14:paraId="520261DB" w14:textId="77777777" w:rsidTr="009223E5">
        <w:tc>
          <w:tcPr>
            <w:tcW w:w="5749" w:type="dxa"/>
          </w:tcPr>
          <w:p w14:paraId="728C9E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стрелковое</w:t>
            </w:r>
          </w:p>
        </w:tc>
        <w:tc>
          <w:tcPr>
            <w:tcW w:w="5749" w:type="dxa"/>
          </w:tcPr>
          <w:p w14:paraId="17B9E7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пулемета 7,62 мм</w:t>
            </w:r>
          </w:p>
        </w:tc>
      </w:tr>
      <w:tr w:rsidR="007D5DF8" w:rsidRPr="00DB5D0D" w14:paraId="23B2F6F5" w14:textId="77777777" w:rsidTr="009223E5">
        <w:tc>
          <w:tcPr>
            <w:tcW w:w="5749" w:type="dxa"/>
            <w:tcBorders>
              <w:bottom w:val="single" w:sz="12" w:space="0" w:color="auto"/>
            </w:tcBorders>
          </w:tcPr>
          <w:p w14:paraId="4070FF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бомбардировочное</w:t>
            </w:r>
          </w:p>
        </w:tc>
        <w:tc>
          <w:tcPr>
            <w:tcW w:w="5749" w:type="dxa"/>
            <w:tcBorders>
              <w:bottom w:val="single" w:sz="12" w:space="0" w:color="auto"/>
            </w:tcBorders>
          </w:tcPr>
          <w:p w14:paraId="4A0E5A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120-200 кг</w:t>
            </w:r>
          </w:p>
        </w:tc>
      </w:tr>
    </w:tbl>
    <w:p w14:paraId="23B8E4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самолета должен быть предъявлен на гос. испытания 15 ноября 1940 г. (3357,22-23).</w:t>
      </w:r>
    </w:p>
    <w:p w14:paraId="0728B7B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1D4B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15 мая по 15 августа 1940 проводились работы по устранению недостатков, отмеченных в ходе гос. испытаний (кроме обзора) ЦКБ-55. При этом, добиться безотказной работы двигателя так и не удалось, в связи с чем, самолет возвратили на завод для замены АМ-35 на АМ-38 (187,8).</w:t>
      </w:r>
    </w:p>
    <w:p w14:paraId="3EE00A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Непосредственно после окончания гос. испытаний начинается тот самый таинственный момент в судьбе Ил-2, когда было принято пресловутое решение о переделке машины в одноместную. По видимому, мнение о машине у военных уже проявилось, но оформлено оно еще не было и отчет о гос. испытаниях был утвержден только 15 мая 1940, в то время как некоторые события произошли еще до этого момента, момента утверждения, в ходе которого замечания военных по результатам испытаний приобрели официальную силу.</w:t>
      </w:r>
    </w:p>
    <w:p w14:paraId="33F5CA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Известно, что Отчет об испытаниях подписали л-и майор А.К.Долгов и ведущий инженер Н.С.Куликов и он был утвержден 15 мая 1940 начальником ГУАСКА комдивом Алексеевым. В отчете говорилось: "Самолет БШ-2 (бронированный штурмовик) государственные испытания прошел удовлетворительно. Может быть использован ВВС КА в качестве штурмовика-бомбардировщика ближнего действия при условии устранения основных недостатков" (172,193).</w:t>
      </w:r>
    </w:p>
    <w:p w14:paraId="777427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отчета по гос. испытаниям (703):</w:t>
      </w:r>
    </w:p>
    <w:p w14:paraId="3E23C6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увеличить максимальную скорость путем установки более мощного невысотного мотора АМ-38, имеющего те же весовые данные и габариты, что и мотор АМ-35;</w:t>
      </w:r>
    </w:p>
    <w:p w14:paraId="7D7C8F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улучшить продольную устойчивость самолета путем придания крылу стрельчатого очертания и увеличения площади стабилизатора;</w:t>
      </w:r>
    </w:p>
    <w:p w14:paraId="2EA005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улучшить обзор вперед для летчика и штурмана;</w:t>
      </w:r>
    </w:p>
    <w:p w14:paraId="4C04FD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улучшить управляемость путем доводки элеронов и триммеров на них;</w:t>
      </w:r>
    </w:p>
    <w:p w14:paraId="767950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усилить вооружение для стрельбы вперед (установить вместо двух пулеметов две пушки." (703,26).</w:t>
      </w:r>
    </w:p>
    <w:p w14:paraId="271D84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Представить на гос. испытания в НИИ ВВС к 1 июля 1940 и проверить надежность работы системы охлаждения воды и масла при высоких температурах" (703,26).</w:t>
      </w:r>
    </w:p>
    <w:p w14:paraId="327C1B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E41F4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самолет прошел удовлетворительно;</w:t>
      </w:r>
    </w:p>
    <w:p w14:paraId="2352E1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может быть использован в качестве штурмовика-бомбардировщика ближнего действия при условии устранения основных недостатков" (703).</w:t>
      </w:r>
    </w:p>
    <w:p w14:paraId="3D94DA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Подписали: Филин и Холоп... (703).</w:t>
      </w:r>
    </w:p>
    <w:p w14:paraId="129BD74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9F68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 Тимошенко в письме на имя председателя Совнаркома и од</w:t>
      </w:r>
      <w:r w:rsidRPr="00DB5D0D">
        <w:rPr>
          <w:rFonts w:ascii="Times New Roman" w:hAnsi="Times New Roman"/>
          <w:color w:val="000000" w:themeColor="text1"/>
          <w:sz w:val="16"/>
          <w:szCs w:val="16"/>
        </w:rPr>
        <w:softHyphen/>
        <w:t>новременно председателя Комитета обороны при СНК маршала К. Е. Во</w:t>
      </w:r>
      <w:r w:rsidRPr="00DB5D0D">
        <w:rPr>
          <w:rFonts w:ascii="Times New Roman" w:hAnsi="Times New Roman"/>
          <w:color w:val="000000" w:themeColor="text1"/>
          <w:sz w:val="16"/>
          <w:szCs w:val="16"/>
        </w:rPr>
        <w:softHyphen/>
        <w:t>рошилова по поводу войсковой се</w:t>
      </w:r>
      <w:r w:rsidRPr="00DB5D0D">
        <w:rPr>
          <w:rFonts w:ascii="Times New Roman" w:hAnsi="Times New Roman"/>
          <w:color w:val="000000" w:themeColor="text1"/>
          <w:sz w:val="16"/>
          <w:szCs w:val="16"/>
        </w:rPr>
        <w:softHyphen/>
        <w:t>рии БШ-2 писал: “...Технический Совет НИИ ВВС КА вынес решение о постройке 65 самолетов БШ-2 АМ-35 для вооруже</w:t>
      </w:r>
      <w:r w:rsidRPr="00DB5D0D">
        <w:rPr>
          <w:rFonts w:ascii="Times New Roman" w:hAnsi="Times New Roman"/>
          <w:color w:val="000000" w:themeColor="text1"/>
          <w:sz w:val="16"/>
          <w:szCs w:val="16"/>
        </w:rPr>
        <w:softHyphen/>
        <w:t>ния одного штурмового авиаполка... При испытаниях самолета БШ-2 АМ-35 бы</w:t>
      </w:r>
      <w:r w:rsidRPr="00DB5D0D">
        <w:rPr>
          <w:rFonts w:ascii="Times New Roman" w:hAnsi="Times New Roman"/>
          <w:color w:val="000000" w:themeColor="text1"/>
          <w:sz w:val="16"/>
          <w:szCs w:val="16"/>
        </w:rPr>
        <w:softHyphen/>
        <w:t>ли выявлены серьезные летно-технические недостатки...</w:t>
      </w:r>
    </w:p>
    <w:p w14:paraId="2169CA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что строить 65 самолетов БШ-2 АМ-35 до устранения указанных недостатков нецелесообразно, а доста</w:t>
      </w:r>
      <w:r w:rsidRPr="00DB5D0D">
        <w:rPr>
          <w:rFonts w:ascii="Times New Roman" w:hAnsi="Times New Roman"/>
          <w:color w:val="000000" w:themeColor="text1"/>
          <w:sz w:val="16"/>
          <w:szCs w:val="16"/>
        </w:rPr>
        <w:softHyphen/>
        <w:t>точно построить опытную серию для войсковых испытаний в количестве 10-15 самолетов, на которых устра</w:t>
      </w:r>
      <w:r w:rsidRPr="00DB5D0D">
        <w:rPr>
          <w:rFonts w:ascii="Times New Roman" w:hAnsi="Times New Roman"/>
          <w:color w:val="000000" w:themeColor="text1"/>
          <w:sz w:val="16"/>
          <w:szCs w:val="16"/>
        </w:rPr>
        <w:softHyphen/>
        <w:t>нить указанные дефекты и выявить окончательную боевую пригодность само</w:t>
      </w:r>
      <w:r w:rsidRPr="00DB5D0D">
        <w:rPr>
          <w:rFonts w:ascii="Times New Roman" w:hAnsi="Times New Roman"/>
          <w:color w:val="000000" w:themeColor="text1"/>
          <w:sz w:val="16"/>
          <w:szCs w:val="16"/>
        </w:rPr>
        <w:softHyphen/>
        <w:t>лета БШ-2 АМ-35 (4140).</w:t>
      </w:r>
    </w:p>
    <w:p w14:paraId="728759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докладываю, что в настоя</w:t>
      </w:r>
      <w:r w:rsidRPr="00DB5D0D">
        <w:rPr>
          <w:rFonts w:ascii="Times New Roman" w:hAnsi="Times New Roman"/>
          <w:color w:val="000000" w:themeColor="text1"/>
          <w:sz w:val="16"/>
          <w:szCs w:val="16"/>
        </w:rPr>
        <w:softHyphen/>
        <w:t>щее время находится в производстве опытный самолет БШ-М-71 аналогично</w:t>
      </w:r>
      <w:r w:rsidRPr="00DB5D0D">
        <w:rPr>
          <w:rFonts w:ascii="Times New Roman" w:hAnsi="Times New Roman"/>
          <w:color w:val="000000" w:themeColor="text1"/>
          <w:sz w:val="16"/>
          <w:szCs w:val="16"/>
        </w:rPr>
        <w:softHyphen/>
        <w:t>го класса конструктора Сухого, расчет</w:t>
      </w:r>
      <w:r w:rsidRPr="00DB5D0D">
        <w:rPr>
          <w:rFonts w:ascii="Times New Roman" w:hAnsi="Times New Roman"/>
          <w:color w:val="000000" w:themeColor="text1"/>
          <w:sz w:val="16"/>
          <w:szCs w:val="16"/>
        </w:rPr>
        <w:softHyphen/>
        <w:t>ные данные у которого выше, чем у само</w:t>
      </w:r>
      <w:r w:rsidRPr="00DB5D0D">
        <w:rPr>
          <w:rFonts w:ascii="Times New Roman" w:hAnsi="Times New Roman"/>
          <w:color w:val="000000" w:themeColor="text1"/>
          <w:sz w:val="16"/>
          <w:szCs w:val="16"/>
        </w:rPr>
        <w:softHyphen/>
        <w:t>летаБШ-2, а именно: скорость у земли -510 км/час, дальность нормальная -800 км, при перегрузке - 1200 км, 4 пуле</w:t>
      </w:r>
      <w:r w:rsidRPr="00DB5D0D">
        <w:rPr>
          <w:rFonts w:ascii="Times New Roman" w:hAnsi="Times New Roman"/>
          <w:color w:val="000000" w:themeColor="text1"/>
          <w:sz w:val="16"/>
          <w:szCs w:val="16"/>
        </w:rPr>
        <w:softHyphen/>
        <w:t>мета 7,62 мм, бомб 120-200 кг. Первый экземпляр должен быть предъявлен на Гос. испытания 15.11.40 г... Прошу Вашего решения” (4140).</w:t>
      </w:r>
    </w:p>
    <w:p w14:paraId="4D7D281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7807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мая 1940 г., на БШ-2 № 1 полным ходом велись работы по устранению недо</w:t>
      </w:r>
      <w:r w:rsidRPr="00DB5D0D">
        <w:rPr>
          <w:rFonts w:ascii="Times New Roman" w:hAnsi="Times New Roman"/>
          <w:color w:val="000000" w:themeColor="text1"/>
          <w:sz w:val="16"/>
          <w:szCs w:val="16"/>
        </w:rPr>
        <w:softHyphen/>
        <w:t>статков (4140).</w:t>
      </w:r>
    </w:p>
    <w:p w14:paraId="78CDFAD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1DA6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15 мая 1940 на БШ-2 № 1 полным ходом велись рабо</w:t>
      </w:r>
      <w:r w:rsidRPr="00DB5D0D">
        <w:rPr>
          <w:rFonts w:ascii="Times New Roman" w:hAnsi="Times New Roman"/>
          <w:color w:val="000000" w:themeColor="text1"/>
          <w:sz w:val="16"/>
          <w:szCs w:val="16"/>
        </w:rPr>
        <w:softHyphen/>
        <w:t>ты по устранению недостатков, отмечен</w:t>
      </w:r>
      <w:r w:rsidRPr="00DB5D0D">
        <w:rPr>
          <w:rFonts w:ascii="Times New Roman" w:hAnsi="Times New Roman"/>
          <w:color w:val="000000" w:themeColor="text1"/>
          <w:sz w:val="16"/>
          <w:szCs w:val="16"/>
        </w:rPr>
        <w:softHyphen/>
        <w:t>ных Государственной комиссией (6467).</w:t>
      </w:r>
    </w:p>
    <w:p w14:paraId="3998FC2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0E57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Начиная с 15 мая 1940 г., на БШ-2 № 1 полным ходом велись работы по устранению недостатков, отмеченных Государственной комиссией (9649).</w:t>
      </w:r>
    </w:p>
    <w:p w14:paraId="6A3658D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FA1B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вышло постановление КО N 202сс "О составе Правительственной комиссии по проведению гос. испытаний мотора М-81". Там было:</w:t>
      </w:r>
    </w:p>
    <w:p w14:paraId="330195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А.И.Ш. закончить летные испытания мотора М-81 на самолете ДБ-3Ф (начатые на заводе 39 НЕАП с 30 марта 1940) и доложить КО при ВНК о результатах не позднее 1 июня 1940" (1295,17).</w:t>
      </w:r>
    </w:p>
    <w:p w14:paraId="5EE33FA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0EE8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Протокол № 16. Заседание ПБ за 9-26 мая 1940 г.</w:t>
      </w:r>
    </w:p>
    <w:p w14:paraId="09F3AA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13.5.40 г.</w:t>
      </w:r>
    </w:p>
    <w:p w14:paraId="63E084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63. Вопрос КО. Об организации производства авиамоторов.</w:t>
      </w:r>
    </w:p>
    <w:p w14:paraId="374DF5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15.5.40 г.</w:t>
      </w:r>
    </w:p>
    <w:p w14:paraId="44D1F7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 90. Об организации серийного производства самолета И-26 конструкции Яковлева на заводе № 301*. </w:t>
      </w:r>
      <w:r w:rsidRPr="00DB5D0D">
        <w:rPr>
          <w:rFonts w:ascii="Times New Roman" w:hAnsi="Times New Roman"/>
          <w:color w:val="000000" w:themeColor="text1"/>
          <w:sz w:val="16"/>
          <w:szCs w:val="16"/>
          <w:u w:val="single"/>
        </w:rPr>
        <w:t>22.5.40 г.</w:t>
      </w:r>
    </w:p>
    <w:p w14:paraId="461ECA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179. О самолетах. Изменение окраски самолетов.</w:t>
      </w:r>
    </w:p>
    <w:p w14:paraId="26541B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25.5.40 г.</w:t>
      </w:r>
    </w:p>
    <w:p w14:paraId="03B21C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194. Вопрос КО. О производстве четырехмоторных дальних бомбардировщиков; о постройке новых авиационных моторов; об организации производства самолетов.</w:t>
      </w:r>
    </w:p>
    <w:p w14:paraId="62FE6B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 xml:space="preserve">26. 5. 40 г. </w:t>
      </w:r>
      <w:r w:rsidRPr="00DB5D0D">
        <w:rPr>
          <w:rFonts w:ascii="Times New Roman" w:hAnsi="Times New Roman"/>
          <w:color w:val="000000" w:themeColor="text1"/>
          <w:sz w:val="16"/>
          <w:szCs w:val="16"/>
        </w:rPr>
        <w:t>П. 210. Вопрос КО. О производстве четырехмоторных дальних бомбардировщиков (11773).</w:t>
      </w:r>
    </w:p>
    <w:p w14:paraId="555F6D0E"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48E79D29" w14:textId="77777777" w:rsidR="00105B0F" w:rsidRPr="00DB5D0D" w:rsidRDefault="00105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в 1940 году, летчик из ЛИИ НКАП Шилев перегнал самолет «Ер-2» с дизелями «М-40Ф» в Раменское на испытательный аэродром института. Здесь она оказалась в компании "дальних родственников" – «ТБ-7» с дизельными моторами «М-30» (зав. №4227) и «М-40Ф» (зав. №4225). Все дизельные самолеты летали нечасто в основном из-за выявившейся низкой надежности турбокомпрессоров, у которых то и дело рассыпались подшипники и "летели" лопатки. Не минула чаша сия и «Ер-2»: в конце мая оба его мотора вышли из строя и были отправлены на завод-изготовитель (14892).</w:t>
      </w:r>
    </w:p>
    <w:p w14:paraId="7884F705" w14:textId="77777777" w:rsidR="00105B0F" w:rsidRPr="00DB5D0D" w:rsidRDefault="00105B0F" w:rsidP="00DB5D0D">
      <w:pPr>
        <w:spacing w:after="0" w:line="240" w:lineRule="auto"/>
        <w:jc w:val="both"/>
        <w:rPr>
          <w:rFonts w:ascii="Times New Roman" w:hAnsi="Times New Roman"/>
          <w:color w:val="000000" w:themeColor="text1"/>
          <w:sz w:val="16"/>
          <w:szCs w:val="16"/>
        </w:rPr>
      </w:pPr>
    </w:p>
    <w:p w14:paraId="200585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 Постановлением КО N 206сс завод 301 в 1940 г. должен был выпустить не 25, а 100 самолетов с подготовкой производства к 1941 г. на выпуск 800 самолетов (3353).</w:t>
      </w:r>
    </w:p>
    <w:p w14:paraId="0EEB2DF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4E44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 начальник ГУАС КА комдив П.А.Алексеев в письме на имя наркома Обороны маршала С.К.Тимошенко предлагал запустить в серийное производство самолет "100" в пикирующем варианте. Алексеева поддержал и начальник УВВС КА командарм 2-го ранга Я. В. Смушкевич (9655).</w:t>
      </w:r>
    </w:p>
    <w:p w14:paraId="28B711C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3236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 утвердили Отчет по войсковым испытаниям десяти самолетов ББ-22, выпущенных заводом N 1 (первая серия).</w:t>
      </w:r>
    </w:p>
    <w:p w14:paraId="2B55DE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841DE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тактические особенности самолета и его боевое применение.</w:t>
      </w:r>
    </w:p>
    <w:p w14:paraId="320C25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конструктивные, эксплуатационные и производственные недостатки самолета, вооружения и специального оборудования.</w:t>
      </w:r>
    </w:p>
    <w:p w14:paraId="16F821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надежность и безотказность в работе стрелкового и бомбардировочного вооружения.</w:t>
      </w:r>
    </w:p>
    <w:p w14:paraId="48338B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Уточнить данные, полученные в процессе гос. испытаний опытного самолета (скорости по высотам, скороподъемность, потолок, дальность, маневренность, управляемость).</w:t>
      </w:r>
    </w:p>
    <w:p w14:paraId="7C731C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материалов испытаний составить летную и эксплуатационную инструкции.</w:t>
      </w:r>
    </w:p>
    <w:p w14:paraId="67156D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соответствие предъявленного самолета, вооружения и спецоборудования тактико-техническим требованиям.</w:t>
      </w:r>
    </w:p>
    <w:p w14:paraId="3C1DE3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войсковые испытания поступили 9 самолетов ББ-22 (с убирающимися в полете шасси в зимнем варианте) первой серии завода N 1 за NN 1001, 1003, 1004, 1006, 1007, 1008, 1009, 1010 и 1011.</w:t>
      </w:r>
    </w:p>
    <w:p w14:paraId="61BB50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на войсковые испытания были переданы заводом N 1 без заводских испытаний и контрольно-сдаточных полетов со значительным количеством дефектов как по самолету, так и по винто-моторной группе, стрелково-бомбардировочному вооружению и специальному оборудованию.</w:t>
      </w:r>
    </w:p>
    <w:p w14:paraId="6A0B45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D6A3F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ББ-22 с 2М-103 производства завода N 1 в предъявленном на войсковые испытания виде - испытания прошли неудовлетворительно ввиду наличия дефектов, затрудняющих боевое применение и нормальную эксплуатацию, неудовлетворительную обороноспособность и дефекты, опасные для полетов (3864).15 мая 1940 в ходе заводских испытаний И-200 А.И.М, которые проходили с 31 марта по 17 августа 1940, на И-200-1 были выполнены контрольный полет и полет на километраж (14 и 15 по счету). Грелось масло (2988).</w:t>
      </w:r>
    </w:p>
    <w:p w14:paraId="001B44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17D1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 бывш. ГУАС письмом N было возбуждено ходатайство перед наркомом обороны маршалом Тимошенко и перед КО о прекращении производства самолетов ББ-22 ввиду их непригодности к эксплуатации в частях ВВС с оставлением задела для доводки самолета (3489).</w:t>
      </w:r>
    </w:p>
    <w:p w14:paraId="79DC70E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6A08FC" w14:textId="77777777" w:rsidR="00E45651" w:rsidRPr="00DB5D0D" w:rsidRDefault="00E45651"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мая 1940 был утвержден отчет по войсковым испыта</w:t>
      </w:r>
      <w:r w:rsidRPr="00DB5D0D">
        <w:rPr>
          <w:rFonts w:ascii="Times New Roman" w:hAnsi="Times New Roman"/>
          <w:color w:val="0070C0"/>
          <w:sz w:val="16"/>
          <w:szCs w:val="16"/>
        </w:rPr>
        <w:softHyphen/>
        <w:t>ниям ББ-22. Выводы на 10 листах выглядели если не как приговор, то уж точно как наставление по кардинальной переделке ББ-22. Заключение было короче, но начиналось с такого пункта:</w:t>
      </w:r>
      <w:r w:rsidRPr="00DB5D0D">
        <w:rPr>
          <w:rStyle w:val="aff6"/>
          <w:rFonts w:ascii="Times New Roman" w:hAnsi="Times New Roman" w:cs="Times New Roman"/>
          <w:color w:val="0070C0"/>
        </w:rPr>
        <w:t xml:space="preserve"> </w:t>
      </w:r>
      <w:r w:rsidRPr="00DB5D0D">
        <w:rPr>
          <w:rStyle w:val="aff6"/>
          <w:rFonts w:ascii="Times New Roman" w:hAnsi="Times New Roman" w:cs="Times New Roman"/>
          <w:i w:val="0"/>
          <w:iCs w:val="0"/>
          <w:color w:val="0070C0"/>
        </w:rPr>
        <w:t>«Самолеты ББ-22 с 2М-103 производства завода №1 в предъявленном на испытания виде - испы</w:t>
      </w:r>
      <w:r w:rsidRPr="00DB5D0D">
        <w:rPr>
          <w:rStyle w:val="aff6"/>
          <w:rFonts w:ascii="Times New Roman" w:hAnsi="Times New Roman" w:cs="Times New Roman"/>
          <w:i w:val="0"/>
          <w:iCs w:val="0"/>
          <w:color w:val="0070C0"/>
        </w:rPr>
        <w:softHyphen/>
        <w:t>тания прошли неудовлетворительно, ввиду наличия дефектов, затрудняющих боевое применение и нормальную эксплоатацию, неудовлетворительную обороноспособ</w:t>
      </w:r>
      <w:r w:rsidRPr="00DB5D0D">
        <w:rPr>
          <w:rStyle w:val="aff6"/>
          <w:rFonts w:ascii="Times New Roman" w:hAnsi="Times New Roman" w:cs="Times New Roman"/>
          <w:i w:val="0"/>
          <w:iCs w:val="0"/>
          <w:color w:val="0070C0"/>
        </w:rPr>
        <w:softHyphen/>
        <w:t>ность и дефекты, опасные для полета».</w:t>
      </w:r>
      <w:r w:rsidRPr="00DB5D0D">
        <w:rPr>
          <w:rFonts w:ascii="Times New Roman" w:hAnsi="Times New Roman"/>
          <w:color w:val="0070C0"/>
          <w:sz w:val="16"/>
          <w:szCs w:val="16"/>
        </w:rPr>
        <w:t xml:space="preserve"> В соответствии с постановлением 224 от 25 мая про</w:t>
      </w:r>
      <w:r w:rsidRPr="00DB5D0D">
        <w:rPr>
          <w:rFonts w:ascii="Times New Roman" w:hAnsi="Times New Roman"/>
          <w:color w:val="0070C0"/>
          <w:sz w:val="16"/>
          <w:szCs w:val="16"/>
        </w:rPr>
        <w:softHyphen/>
        <w:t>изводство самолета ББ-22 на заводе №1 пре</w:t>
      </w:r>
      <w:r w:rsidRPr="00DB5D0D">
        <w:rPr>
          <w:rFonts w:ascii="Times New Roman" w:hAnsi="Times New Roman"/>
          <w:color w:val="0070C0"/>
          <w:sz w:val="16"/>
          <w:szCs w:val="16"/>
        </w:rPr>
        <w:softHyphen/>
        <w:t>кращалось. Заводу в 1940 году надлежало изготовить и сдать ВВС из имеющегося заде</w:t>
      </w:r>
      <w:r w:rsidRPr="00DB5D0D">
        <w:rPr>
          <w:rFonts w:ascii="Times New Roman" w:hAnsi="Times New Roman"/>
          <w:color w:val="0070C0"/>
          <w:sz w:val="16"/>
          <w:szCs w:val="16"/>
        </w:rPr>
        <w:softHyphen/>
        <w:t>ла 100 самолетов ББ-22, остальной задел и оснастку следовало передать на завод №81 (19867).</w:t>
      </w:r>
    </w:p>
    <w:p w14:paraId="7AE77666" w14:textId="77777777" w:rsidR="00E45651" w:rsidRPr="00DB5D0D" w:rsidRDefault="00E45651" w:rsidP="00DB5D0D">
      <w:pPr>
        <w:shd w:val="clear" w:color="auto" w:fill="FFFFFF"/>
        <w:spacing w:after="0" w:line="240" w:lineRule="auto"/>
        <w:jc w:val="both"/>
        <w:rPr>
          <w:rFonts w:ascii="Times New Roman" w:hAnsi="Times New Roman"/>
          <w:color w:val="0070C0"/>
          <w:sz w:val="16"/>
          <w:szCs w:val="16"/>
        </w:rPr>
      </w:pPr>
    </w:p>
    <w:p w14:paraId="18E3F1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 начальник ГУАС КА Алексеев написал наркому обороны Тимошенко о том, что надо «перейти на СБ-РК, но не сокращать программу по СПБ» (10667).</w:t>
      </w:r>
    </w:p>
    <w:p w14:paraId="7BB7CC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532EF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мая 1940 г. в НИН ВВС закончились испытания СБ-РК (радиаторы-крыло или СБ с радиаторами, размешенными в крыле), которые проходили с 11 мая. Летали ведущий летчик-испытатель полковник Кабанов, летчики облета: Стефановский. Хрипков. Долгов, Щербаков. Соколов. В протоколе испытании обстоятельно перечислялись все изменения, внесенные в СБ-РК: крыло тина ММН с установкой водорадиаторов в консолях. На машине № 2/281 в леквом крыле стоял сотовый радиатор, а в правом - опытный пластинчатый. Поток воздуха через них регулировали жалюзи на выходных окнах каналов. Емкость крыльевых топливных баков в связи с установкой радиаторов уменьшилась на 340 л, в сравнении с 405 л на СБ. Площадь вертикального оперения уменьшилась на 0.32 м-, поперечное V крыльев </w:t>
      </w:r>
      <w:r w:rsidRPr="00DB5D0D">
        <w:rPr>
          <w:rFonts w:ascii="Times New Roman" w:hAnsi="Times New Roman"/>
          <w:color w:val="000000" w:themeColor="text1"/>
          <w:sz w:val="16"/>
          <w:szCs w:val="16"/>
        </w:rPr>
        <w:lastRenderedPageBreak/>
        <w:t>было увеличено с 6'20' до 6"50'. Вопреки укоренившемуся мнению, горизонтальное оперение не уменьшалось. Фонарь пилота установлен заподлицо с фюзеляжем, для его подъема над гаргротом направляющий рельс оборудован специальным уступом (9286,27).</w:t>
      </w:r>
    </w:p>
    <w:p w14:paraId="1E110F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проведении государственных испытаний СБ-РК № 2/281 с полетным весом 6300 кг развивал у земли скорость 411 км ч. на высоте 4700 метров - 480 км/ч. Время набора высоты 5000 м составило 8.55 мин., практический погодок 10100 м. В отношении летных качеств модифицированного СБ указывалось, что особых отличий в технике пилотирования нет, несколько возросла скорость отрыва и планирования при посадке. Отмечалось запаздывание реакции на отклонение элеронов. Самолет испытывался без турелей (верхней МВ-3 и люковой МВ-2), был недоведен и не мог рассматриваться как эталон для серийного производства. Предлагалось на основе СБ-РК к 1 нюля 1940 г. подготовить эталон для производства и построить войсковую серию в количестве 15 экземпляров. В качестве последующих изменений была предложена носовая часть Ф-1, испытанная на ММН и новый, уменьшенный по высоте колпак для турели МВ-3. Со всеми улучшениями рассчитывали получить самолет с максимальной скоростью порядка 500 км/ч (8286,27).</w:t>
      </w:r>
    </w:p>
    <w:p w14:paraId="0F9D520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611A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 закончились гос. испытания опытного самолета СБ-РК 2М-105 конструктора Архангельского, которые проходили с 11 мая 1940</w:t>
      </w:r>
    </w:p>
    <w:p w14:paraId="25307A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4FE89D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1 ранга Ефимов</w:t>
      </w:r>
    </w:p>
    <w:p w14:paraId="29F4FB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полковник Кабанов</w:t>
      </w:r>
    </w:p>
    <w:p w14:paraId="365DF2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5 дней</w:t>
      </w:r>
    </w:p>
    <w:p w14:paraId="4D3FB9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4 дня</w:t>
      </w:r>
    </w:p>
    <w:p w14:paraId="20C83B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Проведено полетов – 10</w:t>
      </w:r>
    </w:p>
    <w:p w14:paraId="3CA351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Часов налета – 7 час. 25 мин.</w:t>
      </w:r>
    </w:p>
    <w:p w14:paraId="606810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360DAD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летных характеристик самолета.</w:t>
      </w:r>
    </w:p>
    <w:p w14:paraId="05B8E3B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Проверка работы винто-моторной группы с новыми моторами и радиаторами в крыле.</w:t>
      </w:r>
    </w:p>
    <w:p w14:paraId="2103D8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СБ-РК (№ 2/281) имеет следующие основные изменения по сравнению с самолетами СБ 221-й серии:</w:t>
      </w:r>
    </w:p>
    <w:p w14:paraId="2BA36EC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Установлено уменьшенное крыло (на 7,7 м кв.) по типу самолета ММН с переделками для размещения радиатора в крыле.</w:t>
      </w:r>
    </w:p>
    <w:p w14:paraId="37DD8FA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Уменьшено вертикальное оперение и увеличена площадь посадочных щитков по типу ММН.</w:t>
      </w:r>
    </w:p>
    <w:p w14:paraId="49DBC3F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Радиаторы водяные и водомасляные размещены в специальных тоннелях внутри крыла – на левом крыле сотовый водорадиатор блочной конструкции (водяной и водомасляный радиаторы в одном агрегате), на правом крыле ребристый водорадиатор и отдельный водомасляный радиатор. Оба радиатора до этого испытаний не проходили и установлены на самолете впервые.</w:t>
      </w:r>
    </w:p>
    <w:p w14:paraId="0EF9C89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новые моторные рамы и новые капоты.</w:t>
      </w:r>
    </w:p>
    <w:p w14:paraId="1F90942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Всасывающие патрубки расположены снизу под капотом по типу ММН, но с улучшенной формой канала.</w:t>
      </w:r>
    </w:p>
    <w:p w14:paraId="08918E5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Новые выхлопные коллекторы.</w:t>
      </w:r>
    </w:p>
    <w:p w14:paraId="530D789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Фонарь пилота сделан утопленным в закрытом положении (заподлицо с поверхностью фюзеляжа).</w:t>
      </w:r>
    </w:p>
    <w:p w14:paraId="46D8176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установлены опытные моторы М-105 с опытными винтами ВИШ-22Е и РПО-Р2.</w:t>
      </w:r>
    </w:p>
    <w:p w14:paraId="6B07203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установкой радиаторов на крыле уменьшена емкость бензобаков на 340 литров (250 кг).</w:t>
      </w:r>
    </w:p>
    <w:p w14:paraId="0B6AB3B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предъявлен на испытания без турелей МВ-3 и МВ-2 и без наружных балок для подвески бомб. Конструктор Архангельский представил чертежи поднимающегося колпака в Ф-3 и размещения замков для наружных бомбодержателей внутри крыла, разработанные им для модернизации самолетов СБ во II половине 1940 года.</w:t>
      </w:r>
    </w:p>
    <w:p w14:paraId="177E65D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Клепка впотай выполнена только на передней кромке крыла.</w:t>
      </w:r>
    </w:p>
    <w:p w14:paraId="671630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Консоли крыла производственно выполнены неудовлетворительно; имеют значительную волнистость поверхности.</w:t>
      </w:r>
    </w:p>
    <w:p w14:paraId="594672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EB2C55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СБ-РК 2М-105 показал максимальную скорость 480 км/час, что на 35 км/час выше серийных самолетов СБ 221-й серии без турелей МВ-3 и МВ-2, причем пилотажные качества самолета незначительно отличаются от СБ.</w:t>
      </w:r>
    </w:p>
    <w:p w14:paraId="2B4A322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Предложить заводу № 22:</w:t>
      </w:r>
    </w:p>
    <w:p w14:paraId="587343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июля 1940 года предъявить на гос. испытания эталон, изготовленный на базе самолета СБ-РК, а также немедленно приступить к изготовлению серии самолетов в количестве 15 штук для войсковых испытаний (4480).</w:t>
      </w:r>
    </w:p>
    <w:p w14:paraId="58F9576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9B3D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закончились гос. испытания СБ-РК2-М105 (АНТ-40) ВИШ-22, которые проходили со 2 мая 1940 (790,11).</w:t>
      </w:r>
    </w:p>
    <w:p w14:paraId="0E84B04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36B11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начались испытания самолета СБ 2М105 ТК-2 и к 5 сентября сделали 12 полетов (2056,129).</w:t>
      </w:r>
    </w:p>
    <w:p w14:paraId="0D78D16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04FA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 начальник ГУАС комдив Алексеев и военный комиссар ГУАС бригадный комиссар Князев писали письмо № 501596 маршалу Тимошенко</w:t>
      </w:r>
    </w:p>
    <w:p w14:paraId="2CFFB5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заводом № 22 (конструктором Архангельским) изготовлен модифицированный самолет СБ-РК, давший при заводских испытаниях 492 км/час на высоте 4700 м или на 45-50 км/час больше чем выпускаемые в настоящее время серийные самолеты.</w:t>
      </w:r>
    </w:p>
    <w:p w14:paraId="68D529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модифицированном самолете установлены моторы М-105, уменьшено крыло с установкой в нем водяных радиаторов, изменена носовая часть самолета «Ф-1».</w:t>
      </w:r>
    </w:p>
    <w:p w14:paraId="54B463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значительный прирост скоростей путем небольшой сравнительно переделки самолета СБ, считаю целесообразным обязать завод № 22 перейти со второго полугодия 1940 года на выпуск модифицированных самолетов СБ-РК без сокращения, однако, программы выпуска самолетов СПБ Поликарпова.</w:t>
      </w:r>
    </w:p>
    <w:p w14:paraId="275E9E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ходатайства перед КО (7709, 358).</w:t>
      </w:r>
    </w:p>
    <w:p w14:paraId="73E644B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E7E9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нач. ГУАС КА Алексеев в письме НКО Тимошенко отмечал, что надо "перейти на СБ-РК, но не сокращать программу по СПБ..."</w:t>
      </w:r>
    </w:p>
    <w:p w14:paraId="52E9D1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мая по 15 августа 1940 в Энгельс кой авиашколе начались войсковые испытания УТ-3 и машинами А.С.Я. уколмплектовали 1-й отряд 2-й эскадрильи к л Кулишин. В отличии от головного не было вооружения, был усилен костыль, изменены выхлопные патрубки и не было двери между кабинами (2200,29).</w:t>
      </w:r>
    </w:p>
    <w:p w14:paraId="6F0D2C8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735F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 Начальник ГУАС КА комдив П.А. Алексеев в письме наркому обороны маршалу С.К. Тимошенко предложил запустить в серийное производство самолет "100" в пикирующем варианте. Алексеева поддержал и начальник УВВС КА командарм 2-го ранга Я.В. Смушкевич. 4 июня 1940 г. на совещании у наркома авиапромышленности А.И. Шахурина было сформулировано решение: "Считать целесообразным поставить в серию самолет "100 с 2М-105" конструкции ОТБ НКВД в варианте пикирующего бомбардировщика без гермокабин и турбокомпрессоров".</w:t>
      </w:r>
    </w:p>
    <w:p w14:paraId="5023FE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для подстраховки ПБ-100 в соответствии с решением правительства Приказом по НКАП № 317 от 27 июня 1940 г. "директору завода № 81 тов. Климовицкому и начальнику конструкторского отдела тов. Курбала" приказывалось "к 18 августа выпустить на заводские испытания модификацию ББ-22 в качестве пикирующего бомбардировщика и разведчика с моторами М-105". Максимальная скорость самолета ББ-22ПБ (другое обозначение БПБ-22) на высоте 4800-5000 м устанавливалась равной 570 км/ч, а нормальная бомбовая нагрузка должна была состоять из двух ФАБ-250 на наружной подвеске или четырех ФАБ-100 внутри фюзеляжа (12042).</w:t>
      </w:r>
    </w:p>
    <w:p w14:paraId="0FDED3E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73B3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мая по 27 сентября 1940 проходили заводские испытания ДБ-240 2М-105 (2090,232).</w:t>
      </w:r>
    </w:p>
    <w:p w14:paraId="5BB8835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9399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мая по 28 октября 1940 г. проходили испытания И-153ТК №6506. Истребитель испытывался как с работающими турбокомпрессорами, так и с выключенными при различных значениях давле</w:t>
      </w:r>
      <w:r w:rsidRPr="00DB5D0D">
        <w:rPr>
          <w:rFonts w:ascii="Times New Roman" w:hAnsi="Times New Roman"/>
          <w:color w:val="000000" w:themeColor="text1"/>
          <w:sz w:val="16"/>
          <w:szCs w:val="16"/>
        </w:rPr>
        <w:softHyphen/>
        <w:t>ния наддува (Рк). В отчете об испытаниях отмечалось, что поперечное сечение капота немного увеличилось, однако главным недостатком является понижение КПД винта АВ-1 с ростом высоты. Турбокомпрессоры ТК-1 работали хорошо и надежно. Никаких практических рекомендаций по результа</w:t>
      </w:r>
      <w:r w:rsidRPr="00DB5D0D">
        <w:rPr>
          <w:rFonts w:ascii="Times New Roman" w:hAnsi="Times New Roman"/>
          <w:color w:val="000000" w:themeColor="text1"/>
          <w:sz w:val="16"/>
          <w:szCs w:val="16"/>
        </w:rPr>
        <w:softHyphen/>
        <w:t>там испытаний не последовало, так как еще раньше, 30 августа 1940 г., Совет Труда и Обороны принял решение прекратить выпуск ТК-1, поскольку «И-153 и И-16 схо</w:t>
      </w:r>
      <w:r w:rsidRPr="00DB5D0D">
        <w:rPr>
          <w:rFonts w:ascii="Times New Roman" w:hAnsi="Times New Roman"/>
          <w:color w:val="000000" w:themeColor="text1"/>
          <w:sz w:val="16"/>
          <w:szCs w:val="16"/>
        </w:rPr>
        <w:softHyphen/>
        <w:t>дят с производства» (10667).</w:t>
      </w:r>
    </w:p>
    <w:p w14:paraId="498482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B9994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15 мая по 5 июня 1940 в ходе заводских испытаний И-200 А.И.М, которые проходили с 31 марта по 17 августа 1940, на И-200-3 проводился отстрел машины в тире, окончание достройки и наземные испытания (2988).</w:t>
      </w:r>
    </w:p>
    <w:p w14:paraId="4DE144F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207A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А.И.Жуков выполнил первый полет на И-200 улучшенном, который стал МиГ-3 (563,23).</w:t>
      </w:r>
    </w:p>
    <w:p w14:paraId="3711CD4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FBDE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закончились гос. испытания второго И-28 В.П.Яценко, которые начались 20 апреля 1940. Оказался недоведен, но запустили в серию в Саратове (4,72).</w:t>
      </w:r>
    </w:p>
    <w:p w14:paraId="198A1A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 другим данным, гос. испытания И-28 шли с 17 февраля 1940 (2090,234).</w:t>
      </w:r>
    </w:p>
    <w:p w14:paraId="6225F93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D646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А.И.Ш. писал Нач. ГУАСК Алексееву письмо N 2151 о принятии на испытания И-301 с 23 мм мотор-пушкой и 2хУБ (1193).</w:t>
      </w:r>
    </w:p>
    <w:p w14:paraId="6848C02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0145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закончились заводские испытания И-301 М-105П С.А.Л., которые шли с 13 марта 1940 (2090,232).</w:t>
      </w:r>
    </w:p>
    <w:p w14:paraId="2DC3FC1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2AAC0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завершились заводские испытания первого экз. ОКО-6 с 2хМ-88 и из-за неудовлетворительных результатов на гос. испытания не передавался (822).</w:t>
      </w:r>
    </w:p>
    <w:p w14:paraId="7BA590D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B216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15 мая по 1 октября 1940 проходили заводские испытания И-26-3 М-105П (2090,234).</w:t>
      </w:r>
    </w:p>
    <w:p w14:paraId="602134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EB170D1"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мая 1940 вышло Постановление Политбюро ЦК ВКП(б) "Об организации серийного производства самолета “И-26” конструкции т. Яковлева на заводе № 301" (пр. № 16/16-оп за 10 - 26 мая 1940 г., п. 90)</w:t>
      </w:r>
    </w:p>
    <w:p w14:paraId="4841BC98"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 организации серийного производства самолета "И-26 конструкции т.Яковлева на з’1ВОдё~Т~301.</w:t>
      </w:r>
    </w:p>
    <w:p w14:paraId="1CECF5AD"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Утвердить следующее решение К.О.:</w:t>
      </w:r>
    </w:p>
    <w:p w14:paraId="4999BB40"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целях организации серийного производства самолета И-26 конструкции т. Яковлева, Комитет Обороны при СНК Сою</w:t>
      </w:r>
      <w:r w:rsidRPr="00DB5D0D">
        <w:rPr>
          <w:rFonts w:ascii="Times New Roman" w:hAnsi="Times New Roman"/>
          <w:color w:val="0070C0"/>
          <w:sz w:val="16"/>
          <w:szCs w:val="16"/>
        </w:rPr>
        <w:softHyphen/>
        <w:t>за ССР постановляет:</w:t>
      </w:r>
    </w:p>
    <w:p w14:paraId="29B15214"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1.Обязать НКАП т. Шахурина А.И. и директора завода № 301 тов. Эскина обеспечить подготовку завода для серийно</w:t>
      </w:r>
      <w:r w:rsidRPr="00DB5D0D">
        <w:rPr>
          <w:rFonts w:ascii="Times New Roman" w:hAnsi="Times New Roman"/>
          <w:color w:val="0070C0"/>
          <w:sz w:val="16"/>
          <w:szCs w:val="16"/>
        </w:rPr>
        <w:softHyphen/>
        <w:t>го производства самолета И-26, обеспечив выпуск их в коли</w:t>
      </w:r>
      <w:r w:rsidRPr="00DB5D0D">
        <w:rPr>
          <w:rFonts w:ascii="Times New Roman" w:hAnsi="Times New Roman"/>
          <w:color w:val="0070C0"/>
          <w:sz w:val="16"/>
          <w:szCs w:val="16"/>
        </w:rPr>
        <w:softHyphen/>
        <w:t>чествах :</w:t>
      </w:r>
    </w:p>
    <w:p w14:paraId="12A69C37"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1940 году - 100 штук</w:t>
      </w:r>
    </w:p>
    <w:p w14:paraId="1CC3A062"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1941 году - 800 штук.</w:t>
      </w:r>
    </w:p>
    <w:p w14:paraId="17EC7E23"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2.Для обеспечения выполнения установленной программы, обязать:</w:t>
      </w:r>
    </w:p>
    <w:p w14:paraId="66AFB079"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Экономсовет при СНК СССР выделить дополнительно сверх фондов НКАП в 1940 году 150 штук металлорежущих стан</w:t>
      </w:r>
      <w:r w:rsidRPr="00DB5D0D">
        <w:rPr>
          <w:rFonts w:ascii="Times New Roman" w:hAnsi="Times New Roman"/>
          <w:color w:val="0070C0"/>
          <w:sz w:val="16"/>
          <w:szCs w:val="16"/>
        </w:rPr>
        <w:softHyphen/>
        <w:t>ков по спесификации НКАП, из коих: в третьем квартале 80 станков и в четвертом квартале 70 станков.</w:t>
      </w:r>
    </w:p>
    <w:p w14:paraId="7D11EECA"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Наркомфин СССР тов. Зверева выделить заводу № 301 из резервного фонда СНК СССР дополнительно 9,0 млн. рублей на приобретение оборудования и окончание строительства сбо</w:t>
      </w:r>
      <w:r w:rsidRPr="00DB5D0D">
        <w:rPr>
          <w:rFonts w:ascii="Times New Roman" w:hAnsi="Times New Roman"/>
          <w:color w:val="0070C0"/>
          <w:sz w:val="16"/>
          <w:szCs w:val="16"/>
        </w:rPr>
        <w:softHyphen/>
        <w:t>рочного корпуса, кузницы, ангара, стандартных домов и дру</w:t>
      </w:r>
      <w:r w:rsidRPr="00DB5D0D">
        <w:rPr>
          <w:rFonts w:ascii="Times New Roman" w:hAnsi="Times New Roman"/>
          <w:color w:val="0070C0"/>
          <w:sz w:val="16"/>
          <w:szCs w:val="16"/>
        </w:rPr>
        <w:softHyphen/>
        <w:t>гих об"ектов, а также для постановки серийного производст</w:t>
      </w:r>
      <w:r w:rsidRPr="00DB5D0D">
        <w:rPr>
          <w:rFonts w:ascii="Times New Roman" w:hAnsi="Times New Roman"/>
          <w:color w:val="0070C0"/>
          <w:sz w:val="16"/>
          <w:szCs w:val="16"/>
        </w:rPr>
        <w:softHyphen/>
        <w:t>ва 4,0 млн. рублей.</w:t>
      </w:r>
    </w:p>
    <w:p w14:paraId="3402BD9C"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Госплан СССР выделить фонды на строительные мате</w:t>
      </w:r>
      <w:r w:rsidRPr="00DB5D0D">
        <w:rPr>
          <w:rFonts w:ascii="Times New Roman" w:hAnsi="Times New Roman"/>
          <w:color w:val="0070C0"/>
          <w:sz w:val="16"/>
          <w:szCs w:val="16"/>
        </w:rPr>
        <w:softHyphen/>
        <w:t>риалы, сантехническое оборудование и электроматериалы по спесификациям и срокам НКАП.</w:t>
      </w:r>
    </w:p>
    <w:p w14:paraId="6830D7D2"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НКЛес СССР выделить заводу № 301 в 1940 году пять стандартных домов, в 1941 году пятнадцать стандартных домов.</w:t>
      </w:r>
    </w:p>
    <w:p w14:paraId="34D47E70"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Мосоолисполком произнести прирезку земельного уча</w:t>
      </w:r>
      <w:r w:rsidRPr="00DB5D0D">
        <w:rPr>
          <w:rFonts w:ascii="Times New Roman" w:hAnsi="Times New Roman"/>
          <w:color w:val="0070C0"/>
          <w:sz w:val="16"/>
          <w:szCs w:val="16"/>
        </w:rPr>
        <w:softHyphen/>
        <w:t>стка заводу № 301 от территории ЦНИИМОД и НКЛеса СССР (30 метров но ширине и 250 метров по длине) для устройства до</w:t>
      </w:r>
      <w:r w:rsidRPr="00DB5D0D">
        <w:rPr>
          <w:rFonts w:ascii="Times New Roman" w:hAnsi="Times New Roman"/>
          <w:color w:val="0070C0"/>
          <w:sz w:val="16"/>
          <w:szCs w:val="16"/>
        </w:rPr>
        <w:softHyphen/>
        <w:t>роги для транспортировки самолетов на аэродром, в соответ</w:t>
      </w:r>
      <w:r w:rsidRPr="00DB5D0D">
        <w:rPr>
          <w:rFonts w:ascii="Times New Roman" w:hAnsi="Times New Roman"/>
          <w:color w:val="0070C0"/>
          <w:sz w:val="16"/>
          <w:szCs w:val="16"/>
        </w:rPr>
        <w:softHyphen/>
        <w:t>ствии с планировкой завода № 301, а также отвести участок для строительства 15 стандартных домов.</w:t>
      </w:r>
    </w:p>
    <w:p w14:paraId="57035EC9"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е) Коммунальный банк СССР выделить заводу № 301 ссуду в размере 500 тыс. рублей на индивидуальное жилстроительство для рабочих и ИТР завода, из них в 1940 году 200 тысяч руб</w:t>
      </w:r>
      <w:r w:rsidRPr="00DB5D0D">
        <w:rPr>
          <w:rFonts w:ascii="Times New Roman" w:hAnsi="Times New Roman"/>
          <w:color w:val="0070C0"/>
          <w:sz w:val="16"/>
          <w:szCs w:val="16"/>
        </w:rPr>
        <w:softHyphen/>
        <w:t>лей и в 1941 году 300 тысяч рублей.</w:t>
      </w:r>
    </w:p>
    <w:p w14:paraId="37582587"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ж) НКЧермет обеспечить изготовление в третьем квартале 1940 года на заводе "Электросталь” штамповок для завода 301 по спесификации НКАП.</w:t>
      </w:r>
    </w:p>
    <w:p w14:paraId="4BA48415"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 Наркомфин СССР тов. Зверева выделить из резервного фонда СНК СССР НКАП под отчет в распоряжение Народного Ко</w:t>
      </w:r>
      <w:r w:rsidRPr="00DB5D0D">
        <w:rPr>
          <w:rFonts w:ascii="Times New Roman" w:hAnsi="Times New Roman"/>
          <w:color w:val="0070C0"/>
          <w:sz w:val="16"/>
          <w:szCs w:val="16"/>
        </w:rPr>
        <w:softHyphen/>
        <w:t>миссара для премирования рабочих, ИТР за освоение произ</w:t>
      </w:r>
      <w:r w:rsidRPr="00DB5D0D">
        <w:rPr>
          <w:rFonts w:ascii="Times New Roman" w:hAnsi="Times New Roman"/>
          <w:color w:val="0070C0"/>
          <w:sz w:val="16"/>
          <w:szCs w:val="16"/>
        </w:rPr>
        <w:softHyphen/>
        <w:t>водства и выполнение программы по выпуску самолетов И-26 в 1940 году - 3,0 млн. рублей".</w:t>
      </w:r>
    </w:p>
    <w:p w14:paraId="016C03E2"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Выписки посланы:</w:t>
      </w:r>
    </w:p>
    <w:p w14:paraId="27DD97F2"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т.т.Шахурину.Пугаеву - все;</w:t>
      </w:r>
    </w:p>
    <w:p w14:paraId="7B1AE425"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Звереву - б,е,з; Вознесенскому - в;</w:t>
      </w:r>
    </w:p>
    <w:p w14:paraId="51AF64DA" w14:textId="77777777" w:rsidR="00F32FB5" w:rsidRPr="00DB5D0D" w:rsidRDefault="00F32FB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Сергееву - г,д; Тарасову - дМеркулову – ж (21901).</w:t>
      </w:r>
    </w:p>
    <w:p w14:paraId="50BCD5BD" w14:textId="77777777" w:rsidR="00F32FB5" w:rsidRPr="00DB5D0D" w:rsidRDefault="00F32FB5" w:rsidP="00DB5D0D">
      <w:pPr>
        <w:spacing w:after="0" w:line="240" w:lineRule="auto"/>
        <w:jc w:val="both"/>
        <w:rPr>
          <w:rFonts w:ascii="Times New Roman" w:hAnsi="Times New Roman"/>
          <w:color w:val="0070C0"/>
          <w:sz w:val="16"/>
          <w:szCs w:val="16"/>
        </w:rPr>
      </w:pPr>
    </w:p>
    <w:p w14:paraId="74E03D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в Контрольном листе учета выполнения постановления КО СНК СССР № 106сс от 4 марта 1940 г. представителем КО СНК СССР - контролером Вахрушевым была сделана запись:</w:t>
      </w:r>
    </w:p>
    <w:p w14:paraId="59A5F9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И-21 Пашинина</w:t>
      </w:r>
    </w:p>
    <w:p w14:paraId="4F72D4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Закончен эскизный проект. Предъявлен и утвержден макет. Приступлено к разработке рабочих чертежей.</w:t>
      </w:r>
    </w:p>
    <w:p w14:paraId="034516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этап выполнен в срок (май 1940), премия еще не выплачена.</w:t>
      </w:r>
    </w:p>
    <w:p w14:paraId="0C86C7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Угрозы срыва правительственных сроков - нет (10395,36).</w:t>
      </w:r>
    </w:p>
    <w:p w14:paraId="29ADB29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A924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 произошла катастрофа И-153 № 6923 М-62. На приемке самолета от завода во время выполнения фигур самолет сор</w:t>
      </w:r>
      <w:r w:rsidRPr="00DB5D0D">
        <w:rPr>
          <w:rFonts w:ascii="Times New Roman" w:hAnsi="Times New Roman"/>
          <w:color w:val="000000" w:themeColor="text1"/>
          <w:sz w:val="16"/>
          <w:szCs w:val="16"/>
        </w:rPr>
        <w:softHyphen/>
        <w:t>вался в правый штопор, во время которого остановился мотор. Комиссия сделала вывод, что работа по выводу самолета из штопора не доведена до конца, и отметила недостатки раздела по выводу из штопора в существую</w:t>
      </w:r>
      <w:r w:rsidRPr="00DB5D0D">
        <w:rPr>
          <w:rFonts w:ascii="Times New Roman" w:hAnsi="Times New Roman"/>
          <w:color w:val="000000" w:themeColor="text1"/>
          <w:sz w:val="16"/>
          <w:szCs w:val="16"/>
        </w:rPr>
        <w:softHyphen/>
        <w:t>щей инструкции: «Инструкция эта в случае ее выполнения может привести к несчастному случаю» (Самарский филиал РГАНТД.Ф.Р-217. Оп. 1-6. Д. 26. Л. 15- 15 об.) (11710,424).</w:t>
      </w:r>
    </w:p>
    <w:p w14:paraId="7EF416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505BF44" w14:textId="77777777" w:rsidR="00EA5A39" w:rsidRPr="00DB5D0D" w:rsidRDefault="00EA5A3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мая по 28 октября 1940 г. проходили испытания И-153ТК № 6506. Истреби</w:t>
      </w:r>
      <w:r w:rsidRPr="00DB5D0D">
        <w:rPr>
          <w:rFonts w:ascii="Times New Roman" w:hAnsi="Times New Roman"/>
          <w:color w:val="000000" w:themeColor="text1"/>
          <w:sz w:val="16"/>
          <w:szCs w:val="16"/>
        </w:rPr>
        <w:softHyphen/>
        <w:t>тель испытывался как с работающими турбокомпрессорами, так и с выключен</w:t>
      </w:r>
      <w:r w:rsidRPr="00DB5D0D">
        <w:rPr>
          <w:rFonts w:ascii="Times New Roman" w:hAnsi="Times New Roman"/>
          <w:color w:val="000000" w:themeColor="text1"/>
          <w:sz w:val="16"/>
          <w:szCs w:val="16"/>
        </w:rPr>
        <w:softHyphen/>
        <w:t>ными при различных значениях давле</w:t>
      </w:r>
      <w:r w:rsidRPr="00DB5D0D">
        <w:rPr>
          <w:rFonts w:ascii="Times New Roman" w:hAnsi="Times New Roman"/>
          <w:color w:val="000000" w:themeColor="text1"/>
          <w:sz w:val="16"/>
          <w:szCs w:val="16"/>
        </w:rPr>
        <w:softHyphen/>
        <w:t>ния наддува. В отчёте об испытаниях от</w:t>
      </w:r>
      <w:r w:rsidRPr="00DB5D0D">
        <w:rPr>
          <w:rFonts w:ascii="Times New Roman" w:hAnsi="Times New Roman"/>
          <w:color w:val="000000" w:themeColor="text1"/>
          <w:sz w:val="16"/>
          <w:szCs w:val="16"/>
        </w:rPr>
        <w:softHyphen/>
        <w:t>мечалось, что поперечное сечение ка</w:t>
      </w:r>
      <w:r w:rsidRPr="00DB5D0D">
        <w:rPr>
          <w:rFonts w:ascii="Times New Roman" w:hAnsi="Times New Roman"/>
          <w:color w:val="000000" w:themeColor="text1"/>
          <w:sz w:val="16"/>
          <w:szCs w:val="16"/>
        </w:rPr>
        <w:softHyphen/>
        <w:t>пота немного увеличилось, однако глав</w:t>
      </w:r>
      <w:r w:rsidRPr="00DB5D0D">
        <w:rPr>
          <w:rFonts w:ascii="Times New Roman" w:hAnsi="Times New Roman"/>
          <w:color w:val="000000" w:themeColor="text1"/>
          <w:sz w:val="16"/>
          <w:szCs w:val="16"/>
        </w:rPr>
        <w:softHyphen/>
        <w:t>ным недостатком является понижение КГЩ винта АВ-1 с ростом высоты. Тур</w:t>
      </w:r>
      <w:r w:rsidRPr="00DB5D0D">
        <w:rPr>
          <w:rFonts w:ascii="Times New Roman" w:hAnsi="Times New Roman"/>
          <w:color w:val="000000" w:themeColor="text1"/>
          <w:sz w:val="16"/>
          <w:szCs w:val="16"/>
        </w:rPr>
        <w:softHyphen/>
        <w:t xml:space="preserve">бокомпрессоры ТК-1 работали хорошо </w:t>
      </w:r>
      <w:r w:rsidRPr="00DB5D0D">
        <w:rPr>
          <w:rStyle w:val="8pt0pt"/>
          <w:rFonts w:ascii="Times New Roman" w:hAnsi="Times New Roman" w:cs="Times New Roman"/>
          <w:b w:val="0"/>
          <w:color w:val="000000" w:themeColor="text1"/>
          <w:spacing w:val="0"/>
        </w:rPr>
        <w:t>и</w:t>
      </w:r>
      <w:r w:rsidRPr="00DB5D0D">
        <w:rPr>
          <w:rFonts w:ascii="Times New Roman" w:hAnsi="Times New Roman"/>
          <w:color w:val="000000" w:themeColor="text1"/>
          <w:sz w:val="16"/>
          <w:szCs w:val="16"/>
        </w:rPr>
        <w:t xml:space="preserve"> надежно...</w:t>
      </w:r>
    </w:p>
    <w:p w14:paraId="7887969A" w14:textId="77777777" w:rsidR="00EA5A39" w:rsidRPr="00DB5D0D" w:rsidRDefault="00EA5A3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Никаких практических рекомендаций по результатам испытаний не последовало, так как ещё раньше, 30 августа 1940 г., Совет Труда и Обороны принял реше</w:t>
      </w:r>
      <w:r w:rsidRPr="00DB5D0D">
        <w:rPr>
          <w:rFonts w:ascii="Times New Roman" w:hAnsi="Times New Roman"/>
          <w:color w:val="000000" w:themeColor="text1"/>
          <w:sz w:val="16"/>
          <w:szCs w:val="16"/>
        </w:rPr>
        <w:softHyphen/>
        <w:t>ние прекратить выпуск ТК-1, поскольку «И-153 и И-16 сходят с производства»...(15805).</w:t>
      </w:r>
    </w:p>
    <w:p w14:paraId="04A97860" w14:textId="77777777" w:rsidR="00EA5A39" w:rsidRPr="00DB5D0D" w:rsidRDefault="00EA5A39" w:rsidP="00DB5D0D">
      <w:pPr>
        <w:spacing w:after="0" w:line="240" w:lineRule="auto"/>
        <w:jc w:val="both"/>
        <w:rPr>
          <w:rFonts w:ascii="Times New Roman" w:hAnsi="Times New Roman"/>
          <w:color w:val="000000" w:themeColor="text1"/>
          <w:sz w:val="16"/>
          <w:szCs w:val="16"/>
        </w:rPr>
      </w:pPr>
    </w:p>
    <w:p w14:paraId="747BBA09" w14:textId="77777777" w:rsidR="00F83219" w:rsidRPr="00DB5D0D" w:rsidRDefault="00F83219"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15 мая 1940 закончилис в установленный срок государственные испытания И-28 с мотором М-88 и полетной массой 2730 кг. И-28 показал максимальную скорость 439 км/ч у земли и 566 км/ч на высоте 7000 м. Правда, замер скоростей осуществляли с открытым фонарем, демонтировав подвижную створку, что естественно привело к снижению их максимальных показателей. Также истребитель проверили на пикировании до скорости 750 км/ч. Высоту 5000 м машина набирала за 6,0 мин, а 8000 м - за 10,6 мин. Практический потолок составлял 10800 м, время его набора - 28,3 мин. Дальность полета на скорости 0,9 от максимальной соответствовала 450 км. Разбег самолета на форсажном режиме без применения закрылков составил 325 м, а пробег с применением тормозов и выпущенными закрылками - 370 м. Вираж на высоте 1000 м машина выполняла за 26 с.</w:t>
      </w:r>
    </w:p>
    <w:p w14:paraId="499CF031" w14:textId="77777777" w:rsidR="00F83219" w:rsidRPr="00DB5D0D" w:rsidRDefault="00F83219"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Взлетно-посадочные свойства И-28 имели ряд особенностей. На разбеге его разворачивало вправо из-за влияния винта левого вращения. Для предотвращения этого летчику требовалось дать обратную ногу на 3/4 хода. На разбеге при недостаточно поднятом хвосте машина имела тенденцию к прыжкам. Сам разбег был продолжительным в силу большой нагрузки на крыло равной 164,5 кг/м</w:t>
      </w:r>
      <w:r w:rsidRPr="00DB5D0D">
        <w:rPr>
          <w:rFonts w:ascii="Times New Roman" w:eastAsia="Times New Roman" w:hAnsi="Times New Roman"/>
          <w:color w:val="000000" w:themeColor="text1"/>
          <w:sz w:val="16"/>
          <w:szCs w:val="16"/>
          <w:vertAlign w:val="superscript"/>
          <w:lang w:eastAsia="ru-RU"/>
        </w:rPr>
        <w:t>2</w:t>
      </w:r>
      <w:r w:rsidRPr="00DB5D0D">
        <w:rPr>
          <w:rFonts w:ascii="Times New Roman" w:eastAsia="Times New Roman" w:hAnsi="Times New Roman"/>
          <w:color w:val="000000" w:themeColor="text1"/>
          <w:sz w:val="16"/>
          <w:szCs w:val="16"/>
          <w:lang w:eastAsia="ru-RU"/>
        </w:rPr>
        <w:t>. На посадке требовалась низкая подводка самолета. После выравнивания он сам опускал хвост и садился на три точки. При этом ручку следовало недобирать, так как при ее перетягивании И-28 мог свалиться на крыло. На рулежке, разбеге, подъеме и посадке обзор из кабины пилота вперед оценивался как неудовлетворительный из-за длинного носа машины. Однако в горизонтальном полете, на фигурах и виражах обзор был хороший.</w:t>
      </w:r>
    </w:p>
    <w:p w14:paraId="24B76AA2" w14:textId="77777777" w:rsidR="00F83219" w:rsidRPr="00DB5D0D" w:rsidRDefault="00F83219"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Пожалуй, самым основным недостатком, на который сетовали военные, являлась неудовлетворительная устойчивость самолета, в связи с чем полет с брошенной ручкой был невозможен. В тактическом отношении основным недостатком истребителя И-28 считалась плохая маневренность. В связи с этим военные рекомендовали увеличить поперечное V крыла, а также площадь вертикального и горизонтального оперения, о чем говорилось еще в отчете по испытаниям первой опытной машины. Правда, на серийных самолетах указанные рекомендации были уже учтены (17738).</w:t>
      </w:r>
    </w:p>
    <w:p w14:paraId="2B8292BC" w14:textId="77777777" w:rsidR="00F83219" w:rsidRPr="00DB5D0D" w:rsidRDefault="00F83219" w:rsidP="00DB5D0D">
      <w:pPr>
        <w:spacing w:after="0" w:line="240" w:lineRule="auto"/>
        <w:jc w:val="both"/>
        <w:rPr>
          <w:rFonts w:ascii="Times New Roman" w:hAnsi="Times New Roman"/>
          <w:color w:val="000000" w:themeColor="text1"/>
          <w:sz w:val="16"/>
          <w:szCs w:val="16"/>
        </w:rPr>
      </w:pPr>
    </w:p>
    <w:p w14:paraId="4B43ED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проводились гос. испытания АНТ-35 с М-62ИР, которые шли с 23 октября 1939 (1076,493).</w:t>
      </w:r>
    </w:p>
    <w:p w14:paraId="07FBDC2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38F5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 закончилис госиспытания в НИИ ГВФ первой из 7 серийных ПС-35, сданных заводом №22 в 1939-40 гг., ПС-35 СССР-Л2487, которая испытывалась летчиками А.И.Кокиным и Б.К.Кондратьевым в НИИ ГВФ с 23 октября 1939 г. В числе других заданий летали по маршруту Москва-Киев, весь полет со средней скоростью занимал 3 часа. В выводах испытаний указыва</w:t>
      </w:r>
      <w:r w:rsidRPr="00DB5D0D">
        <w:rPr>
          <w:rFonts w:ascii="Times New Roman" w:hAnsi="Times New Roman"/>
          <w:color w:val="000000" w:themeColor="text1"/>
          <w:sz w:val="16"/>
          <w:szCs w:val="16"/>
        </w:rPr>
        <w:softHyphen/>
        <w:t>лось, что самолет находится на уровне современных требований, обладает хо</w:t>
      </w:r>
      <w:r w:rsidRPr="00DB5D0D">
        <w:rPr>
          <w:rFonts w:ascii="Times New Roman" w:hAnsi="Times New Roman"/>
          <w:color w:val="000000" w:themeColor="text1"/>
          <w:sz w:val="16"/>
          <w:szCs w:val="16"/>
        </w:rPr>
        <w:softHyphen/>
        <w:t>рошей устойчивостью на всех режимах полета. При эксплуатационном диапа</w:t>
      </w:r>
      <w:r w:rsidRPr="00DB5D0D">
        <w:rPr>
          <w:rFonts w:ascii="Times New Roman" w:hAnsi="Times New Roman"/>
          <w:color w:val="000000" w:themeColor="text1"/>
          <w:sz w:val="16"/>
          <w:szCs w:val="16"/>
        </w:rPr>
        <w:softHyphen/>
        <w:t>зоне полетных центровок 24,5-28,5% САХ для повышения устойчивости са</w:t>
      </w:r>
      <w:r w:rsidRPr="00DB5D0D">
        <w:rPr>
          <w:rFonts w:ascii="Times New Roman" w:hAnsi="Times New Roman"/>
          <w:color w:val="000000" w:themeColor="text1"/>
          <w:sz w:val="16"/>
          <w:szCs w:val="16"/>
        </w:rPr>
        <w:softHyphen/>
        <w:t>молета обязательна загрузка заднего багажника с грузом не менее 200 кг. Среди недостатков называлась недоста</w:t>
      </w:r>
      <w:r w:rsidRPr="00DB5D0D">
        <w:rPr>
          <w:rFonts w:ascii="Times New Roman" w:hAnsi="Times New Roman"/>
          <w:color w:val="000000" w:themeColor="text1"/>
          <w:sz w:val="16"/>
          <w:szCs w:val="16"/>
        </w:rPr>
        <w:softHyphen/>
        <w:t>точная прочность шасси, до проведения доводки амортизационных стоек были разрешены полеты с ограничением по</w:t>
      </w:r>
      <w:r w:rsidRPr="00DB5D0D">
        <w:rPr>
          <w:rFonts w:ascii="Times New Roman" w:hAnsi="Times New Roman"/>
          <w:color w:val="000000" w:themeColor="text1"/>
          <w:sz w:val="16"/>
          <w:szCs w:val="16"/>
        </w:rPr>
        <w:softHyphen/>
        <w:t>летного веса для взлета 7100 кг, для по</w:t>
      </w:r>
      <w:r w:rsidRPr="00DB5D0D">
        <w:rPr>
          <w:rFonts w:ascii="Times New Roman" w:hAnsi="Times New Roman"/>
          <w:color w:val="000000" w:themeColor="text1"/>
          <w:sz w:val="16"/>
          <w:szCs w:val="16"/>
        </w:rPr>
        <w:softHyphen/>
        <w:t>садки — 7000 кг (10698).</w:t>
      </w:r>
    </w:p>
    <w:p w14:paraId="783D269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CFEE3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мая по 15 августа 1940 года проходили войсковые испытания самолетов УТ-3 с двумя моторами МВ-6 конструкции инженера Яковлева, производства завода № 301</w:t>
      </w:r>
    </w:p>
    <w:p w14:paraId="3975DA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Отв. исполнитель:</w:t>
      </w:r>
    </w:p>
    <w:p w14:paraId="795424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Лысков</w:t>
      </w:r>
    </w:p>
    <w:p w14:paraId="2BFCA4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6470C1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качество самолета УТ-3 как учебного для двухмоторных самолетов, условия работы инструктора-летчика и курсанта-летчика.</w:t>
      </w:r>
    </w:p>
    <w:p w14:paraId="3EA8B15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время необходимое для обучения курсантов-летчиков на самолете УТ-3, окончивших самолеты У-2 и Р-5, а также только У-2 или УТ-2.</w:t>
      </w:r>
    </w:p>
    <w:p w14:paraId="68A92E2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продолжительность обучения курсанта-летчика на самолете УТ-3 для перехода на самолете СБ и быстроту освоения техники пилотирования на самолете СБ.</w:t>
      </w:r>
    </w:p>
    <w:p w14:paraId="3D5C613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возможность самостоятельного вылета на самолете СБ курсантов-летчиков, окончивших курс обучения на самолете УТ-3.</w:t>
      </w:r>
    </w:p>
    <w:p w14:paraId="1C09522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Дать оценку летно-пилотажным качествам самолета УТ-3.</w:t>
      </w:r>
    </w:p>
    <w:p w14:paraId="2CA20C6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устранение заводом и качество устранения конструктивных и производственных дефектов, выявленных при гос. испытаниях головного серийного самолета и выявить новые дефекты.</w:t>
      </w:r>
    </w:p>
    <w:p w14:paraId="5FC25130" w14:textId="77777777" w:rsidR="00A25AD1" w:rsidRPr="00DB5D0D" w:rsidRDefault="00A25AD1" w:rsidP="00DB5D0D">
      <w:pPr>
        <w:pStyle w:val="a3"/>
        <w:widowControl/>
        <w:rPr>
          <w:color w:val="000000" w:themeColor="text1"/>
          <w:lang w:val="ru-RU"/>
        </w:rPr>
      </w:pPr>
      <w:r w:rsidRPr="00DB5D0D">
        <w:rPr>
          <w:color w:val="000000" w:themeColor="text1"/>
          <w:lang w:val="ru-RU"/>
        </w:rPr>
        <w:t>Установить практически межремонтные ресурсы самолета и мотора и основных агрегатов.</w:t>
      </w:r>
    </w:p>
    <w:p w14:paraId="3CB177C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Дать анализ эксплуатационным качествам самолета УТ-3.</w:t>
      </w:r>
    </w:p>
    <w:p w14:paraId="7F4BEE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испытании находились 9 самолетов УТ-3 с двумя моторами МВ-6, производства завода № 301 за №№ 102, 103, 201, 202, 203, 204, 301, 302 и 303.</w:t>
      </w:r>
    </w:p>
    <w:p w14:paraId="1F0482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УТ-3 моноплан, смешанной конструкции, с убирающимися в полете шасси, крыло деревянное, состоит из трех частей: центроплана и консолей. Фюзеляж металлический.</w:t>
      </w:r>
    </w:p>
    <w:p w14:paraId="0B0ADB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предъявленные на войсковые испытания отличаются от головного серийного следующим:</w:t>
      </w:r>
    </w:p>
    <w:p w14:paraId="3A9BEDD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переоборудован только для вывозного варианта, для чего снято все вооружение.</w:t>
      </w:r>
    </w:p>
    <w:p w14:paraId="0AFF722D" w14:textId="77777777" w:rsidR="00A25AD1" w:rsidRPr="00DB5D0D" w:rsidRDefault="00A25AD1" w:rsidP="00DB5D0D">
      <w:pPr>
        <w:pStyle w:val="a3"/>
        <w:widowControl/>
        <w:rPr>
          <w:color w:val="000000" w:themeColor="text1"/>
          <w:lang w:val="ru-RU"/>
        </w:rPr>
      </w:pPr>
      <w:r w:rsidRPr="00DB5D0D">
        <w:rPr>
          <w:color w:val="000000" w:themeColor="text1"/>
          <w:lang w:val="ru-RU"/>
        </w:rPr>
        <w:t>…………………..</w:t>
      </w:r>
    </w:p>
    <w:p w14:paraId="04CBD6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мая по 15 августа 1940 года самолеты выходили в полеты 54 дня. Всего налет на 9 самолетов 436 час. 49 мин.</w:t>
      </w:r>
    </w:p>
    <w:p w14:paraId="1AF0E8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Средний налет на все самолеты в 1 летный день – 8 час. 50 мин.</w:t>
      </w:r>
    </w:p>
    <w:p w14:paraId="27148E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число полетов на все самолеты – 2270.</w:t>
      </w:r>
    </w:p>
    <w:p w14:paraId="5AA420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Среднее число полетов на все самолеты за 1 летный день – 42 полета.</w:t>
      </w:r>
    </w:p>
    <w:p w14:paraId="6578EF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Среднее число полетов на один самолет за 1 летный день – 4,7 полета.</w:t>
      </w:r>
    </w:p>
    <w:p w14:paraId="6B92DC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C34A4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УТ-3 2МВ-6 конструкции инженера Яковлева в предъявленном варианте войсковые испытания не выдержали (4603).</w:t>
      </w:r>
    </w:p>
    <w:p w14:paraId="0AA65D5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1C1B98" w14:textId="77777777" w:rsidR="00EE5E60" w:rsidRPr="00DB5D0D" w:rsidRDefault="00EE5E60" w:rsidP="00DB5D0D">
      <w:pPr>
        <w:shd w:val="clear" w:color="auto" w:fill="FFFFFF"/>
        <w:spacing w:after="0" w:line="240" w:lineRule="auto"/>
        <w:jc w:val="both"/>
        <w:rPr>
          <w:rFonts w:ascii="Times New Roman" w:hAnsi="Times New Roman"/>
          <w:color w:val="0070C0"/>
          <w:sz w:val="16"/>
          <w:szCs w:val="16"/>
        </w:rPr>
      </w:pPr>
      <w:r w:rsidRPr="00DB5D0D">
        <w:rPr>
          <w:rStyle w:val="731"/>
          <w:rFonts w:ascii="Times New Roman" w:hAnsi="Times New Roman" w:cs="Times New Roman"/>
          <w:color w:val="0070C0"/>
          <w:sz w:val="16"/>
          <w:szCs w:val="16"/>
        </w:rPr>
        <w:t>С 15 мая по 15 августа 1940 года на базе Энгельского военного авиационного училища проходили вой</w:t>
      </w:r>
      <w:r w:rsidRPr="00DB5D0D">
        <w:rPr>
          <w:rStyle w:val="731"/>
          <w:rFonts w:ascii="Times New Roman" w:hAnsi="Times New Roman" w:cs="Times New Roman"/>
          <w:color w:val="0070C0"/>
          <w:sz w:val="16"/>
          <w:szCs w:val="16"/>
        </w:rPr>
        <w:softHyphen/>
        <w:t>сковые испытания УТ-3. Туда перегнали почти весь имеющийся флот УТ-3 - девять машин, которые передали во вторую эскадрилью капитана Терекова. В первом отряде эскадрильи, которым командовал стар</w:t>
      </w:r>
      <w:r w:rsidRPr="00DB5D0D">
        <w:rPr>
          <w:rStyle w:val="731"/>
          <w:rFonts w:ascii="Times New Roman" w:hAnsi="Times New Roman" w:cs="Times New Roman"/>
          <w:color w:val="0070C0"/>
          <w:sz w:val="16"/>
          <w:szCs w:val="16"/>
        </w:rPr>
        <w:softHyphen/>
        <w:t>ший лейтенант Кулишев, первое звено старше</w:t>
      </w:r>
      <w:r w:rsidRPr="00DB5D0D">
        <w:rPr>
          <w:rStyle w:val="731"/>
          <w:rFonts w:ascii="Times New Roman" w:hAnsi="Times New Roman" w:cs="Times New Roman"/>
          <w:color w:val="0070C0"/>
          <w:sz w:val="16"/>
          <w:szCs w:val="16"/>
        </w:rPr>
        <w:softHyphen/>
        <w:t>го лейтенанта Андрющина получило четыре самолета второй серии (301201, 301202, 301203, 301204) и первую машину третьей серии № 301301. Второму звену старшего лей</w:t>
      </w:r>
      <w:r w:rsidRPr="00DB5D0D">
        <w:rPr>
          <w:rStyle w:val="731"/>
          <w:rFonts w:ascii="Times New Roman" w:hAnsi="Times New Roman" w:cs="Times New Roman"/>
          <w:color w:val="0070C0"/>
          <w:sz w:val="16"/>
          <w:szCs w:val="16"/>
        </w:rPr>
        <w:softHyphen/>
        <w:t>тенанта Потлова достались четыре самолета первой и третьей серий (301102, 301103, 301303, 301304). Помимо специалистов учи</w:t>
      </w:r>
      <w:r w:rsidRPr="00DB5D0D">
        <w:rPr>
          <w:rStyle w:val="731"/>
          <w:rFonts w:ascii="Times New Roman" w:hAnsi="Times New Roman" w:cs="Times New Roman"/>
          <w:color w:val="0070C0"/>
          <w:sz w:val="16"/>
          <w:szCs w:val="16"/>
        </w:rPr>
        <w:softHyphen/>
        <w:t>лища, от НИИ ВВС в испытаниях принимали участие воениженеры 2-го ранга Чернявский и Лысков. Они были назначены ответственны</w:t>
      </w:r>
      <w:r w:rsidRPr="00DB5D0D">
        <w:rPr>
          <w:rStyle w:val="731"/>
          <w:rFonts w:ascii="Times New Roman" w:hAnsi="Times New Roman" w:cs="Times New Roman"/>
          <w:color w:val="0070C0"/>
          <w:sz w:val="16"/>
          <w:szCs w:val="16"/>
        </w:rPr>
        <w:softHyphen/>
        <w:t>ми исполнителями по войсковым испытаниям МВ-6 и самолета соответственно.</w:t>
      </w:r>
    </w:p>
    <w:p w14:paraId="1E5B706F" w14:textId="77777777" w:rsidR="00EE5E60" w:rsidRPr="00DB5D0D" w:rsidRDefault="00EE5E60" w:rsidP="00DB5D0D">
      <w:pPr>
        <w:spacing w:after="0" w:line="240" w:lineRule="auto"/>
        <w:jc w:val="both"/>
        <w:rPr>
          <w:rFonts w:ascii="Times New Roman" w:hAnsi="Times New Roman"/>
          <w:color w:val="0070C0"/>
          <w:sz w:val="16"/>
          <w:szCs w:val="16"/>
        </w:rPr>
      </w:pPr>
      <w:r w:rsidRPr="00DB5D0D">
        <w:rPr>
          <w:rStyle w:val="741"/>
          <w:rFonts w:ascii="Times New Roman" w:hAnsi="Times New Roman" w:cs="Times New Roman"/>
          <w:color w:val="0070C0"/>
          <w:sz w:val="16"/>
          <w:szCs w:val="16"/>
          <w:lang w:val="ru-RU"/>
        </w:rPr>
        <w:t>За 54 летных дня было выполнено 2270 полетов. Общий налет составил 436 часов 49 минут. Цифры вроде бы солидные, но если разделить их на весь парк, то окажется, что самолеты летали меньше часа в летный день. Машины пришли с завода очень сырыми. Реальная исправность не превышала трети списочного состава, правда, не все самолеты были одинаково плохи, более половины вылетов, точнее - 1218 совершили УТ-3 №№ 301203, 301301 и 301302. Зато самолет 301303 поставил печальный рекорд - четыре вынужденных посадки из-за отказа моторов.</w:t>
      </w:r>
    </w:p>
    <w:p w14:paraId="34F5207A" w14:textId="77777777" w:rsidR="00EE5E60" w:rsidRPr="00DB5D0D" w:rsidRDefault="00EE5E60" w:rsidP="00DB5D0D">
      <w:pPr>
        <w:spacing w:after="0" w:line="240" w:lineRule="auto"/>
        <w:jc w:val="both"/>
        <w:rPr>
          <w:rFonts w:ascii="Times New Roman" w:hAnsi="Times New Roman"/>
          <w:color w:val="0070C0"/>
          <w:sz w:val="16"/>
          <w:szCs w:val="16"/>
        </w:rPr>
      </w:pPr>
      <w:r w:rsidRPr="00DB5D0D">
        <w:rPr>
          <w:rStyle w:val="741"/>
          <w:rFonts w:ascii="Times New Roman" w:hAnsi="Times New Roman" w:cs="Times New Roman"/>
          <w:color w:val="0070C0"/>
          <w:sz w:val="16"/>
          <w:szCs w:val="16"/>
          <w:lang w:val="ru-RU"/>
        </w:rPr>
        <w:t>Инструкторский состав училища карди</w:t>
      </w:r>
      <w:r w:rsidRPr="00DB5D0D">
        <w:rPr>
          <w:rStyle w:val="741"/>
          <w:rFonts w:ascii="Times New Roman" w:hAnsi="Times New Roman" w:cs="Times New Roman"/>
          <w:color w:val="0070C0"/>
          <w:sz w:val="16"/>
          <w:szCs w:val="16"/>
          <w:lang w:val="ru-RU"/>
        </w:rPr>
        <w:softHyphen/>
        <w:t>нально разошелся в оценке эргономичности самолета с испытателями. То ли ростом и комплекцией они были крупнее, то ли их мне</w:t>
      </w:r>
      <w:r w:rsidRPr="00DB5D0D">
        <w:rPr>
          <w:rStyle w:val="741"/>
          <w:rFonts w:ascii="Times New Roman" w:hAnsi="Times New Roman" w:cs="Times New Roman"/>
          <w:color w:val="0070C0"/>
          <w:sz w:val="16"/>
          <w:szCs w:val="16"/>
          <w:lang w:val="ru-RU"/>
        </w:rPr>
        <w:softHyphen/>
        <w:t>ние сложилось в сравнении УТ-3 с бомбарди</w:t>
      </w:r>
      <w:r w:rsidRPr="00DB5D0D">
        <w:rPr>
          <w:rStyle w:val="741"/>
          <w:rFonts w:ascii="Times New Roman" w:hAnsi="Times New Roman" w:cs="Times New Roman"/>
          <w:color w:val="0070C0"/>
          <w:sz w:val="16"/>
          <w:szCs w:val="16"/>
          <w:lang w:val="ru-RU"/>
        </w:rPr>
        <w:softHyphen/>
        <w:t>ровщиком СБ, тогда как летчики НИИ ВВС, если так можно сказать, выводили «средне</w:t>
      </w:r>
      <w:r w:rsidRPr="00DB5D0D">
        <w:rPr>
          <w:rStyle w:val="741"/>
          <w:rFonts w:ascii="Times New Roman" w:hAnsi="Times New Roman" w:cs="Times New Roman"/>
          <w:color w:val="0070C0"/>
          <w:sz w:val="16"/>
          <w:szCs w:val="16"/>
          <w:lang w:val="ru-RU"/>
        </w:rPr>
        <w:softHyphen/>
        <w:t>арифметическое» из сопоставления разных типов самолетов. Так или иначе, переднюю кабину забраковали. На взлете и посадке пилот бился головой о верхнюю часть карка</w:t>
      </w:r>
      <w:r w:rsidRPr="00DB5D0D">
        <w:rPr>
          <w:rStyle w:val="741"/>
          <w:rFonts w:ascii="Times New Roman" w:hAnsi="Times New Roman" w:cs="Times New Roman"/>
          <w:color w:val="0070C0"/>
          <w:sz w:val="16"/>
          <w:szCs w:val="16"/>
          <w:lang w:val="ru-RU"/>
        </w:rPr>
        <w:softHyphen/>
        <w:t>са, поэтому приходилось сидеть согнувшись. Педали управления были сдвинуты влево относительно сиденья и расположены настолько далеко, что даже человек среднего роста не мог полностью дать правую ногу. Отсутствие вентиляции приводило к тому, что уже при +10 градусов «за бортом» в кабине становилось душно. Из-за отсутствия форто</w:t>
      </w:r>
      <w:r w:rsidRPr="00DB5D0D">
        <w:rPr>
          <w:rStyle w:val="741"/>
          <w:rFonts w:ascii="Times New Roman" w:hAnsi="Times New Roman" w:cs="Times New Roman"/>
          <w:color w:val="0070C0"/>
          <w:sz w:val="16"/>
          <w:szCs w:val="16"/>
          <w:lang w:val="ru-RU"/>
        </w:rPr>
        <w:softHyphen/>
        <w:t>чек обзор задней полусферы был затруднен. Аварийный люк не хотел сбрасываться. Немало претензий было и ко второй кабине. Сиденье посчитали тесным и расположенным слишком близко к левому борту, из-за чего было трудно пользоваться рычагом выпуска шасси и управлять триммерами, кроме того, обзор при полете с правым кругом оказался неудовлетворителен. Форточки в кабине тоже не было, а посадка была возможна толь</w:t>
      </w:r>
      <w:r w:rsidRPr="00DB5D0D">
        <w:rPr>
          <w:rStyle w:val="741"/>
          <w:rFonts w:ascii="Times New Roman" w:hAnsi="Times New Roman" w:cs="Times New Roman"/>
          <w:color w:val="0070C0"/>
          <w:sz w:val="16"/>
          <w:szCs w:val="16"/>
          <w:lang w:val="ru-RU"/>
        </w:rPr>
        <w:softHyphen/>
        <w:t>ко с открытым фонарем - переплет козырька заслонял обзор.</w:t>
      </w:r>
    </w:p>
    <w:p w14:paraId="3AEBAD1B" w14:textId="77777777" w:rsidR="00EE5E60" w:rsidRPr="00DB5D0D" w:rsidRDefault="00EE5E60" w:rsidP="00DB5D0D">
      <w:pPr>
        <w:shd w:val="clear" w:color="auto" w:fill="FFFFFF"/>
        <w:spacing w:after="0" w:line="240" w:lineRule="auto"/>
        <w:jc w:val="both"/>
        <w:rPr>
          <w:rFonts w:ascii="Times New Roman" w:hAnsi="Times New Roman"/>
          <w:color w:val="0070C0"/>
          <w:sz w:val="16"/>
          <w:szCs w:val="16"/>
        </w:rPr>
      </w:pPr>
      <w:r w:rsidRPr="00DB5D0D">
        <w:rPr>
          <w:rStyle w:val="741"/>
          <w:rFonts w:ascii="Times New Roman" w:hAnsi="Times New Roman" w:cs="Times New Roman"/>
          <w:color w:val="0070C0"/>
          <w:sz w:val="16"/>
          <w:szCs w:val="16"/>
          <w:lang w:val="ru-RU"/>
        </w:rPr>
        <w:t>Оценка технического персонала оказа</w:t>
      </w:r>
      <w:r w:rsidRPr="00DB5D0D">
        <w:rPr>
          <w:rStyle w:val="741"/>
          <w:rFonts w:ascii="Times New Roman" w:hAnsi="Times New Roman" w:cs="Times New Roman"/>
          <w:color w:val="0070C0"/>
          <w:sz w:val="16"/>
          <w:szCs w:val="16"/>
          <w:lang w:val="ru-RU"/>
        </w:rPr>
        <w:softHyphen/>
        <w:t>лась значительно выше, хотя в отчете и при</w:t>
      </w:r>
      <w:r w:rsidRPr="00DB5D0D">
        <w:rPr>
          <w:rStyle w:val="741"/>
          <w:rFonts w:ascii="Times New Roman" w:hAnsi="Times New Roman" w:cs="Times New Roman"/>
          <w:color w:val="0070C0"/>
          <w:sz w:val="16"/>
          <w:szCs w:val="16"/>
          <w:lang w:val="ru-RU"/>
        </w:rPr>
        <w:softHyphen/>
        <w:t>сутствовали слова о неудобстве подхода ко многим агрегатам, что, правда, объяснялось в основном отсутствием специнструмента, который завод № 301, так сказать, «забыл» изготовить. Техсостав, ранее обслуживавший бомбардировщики СБ, изучил самолет менее чем за две недели. В ходе испытаний под</w:t>
      </w:r>
      <w:r w:rsidRPr="00DB5D0D">
        <w:rPr>
          <w:rStyle w:val="741"/>
          <w:rFonts w:ascii="Times New Roman" w:hAnsi="Times New Roman" w:cs="Times New Roman"/>
          <w:color w:val="0070C0"/>
          <w:sz w:val="16"/>
          <w:szCs w:val="16"/>
          <w:lang w:val="ru-RU"/>
        </w:rPr>
        <w:softHyphen/>
        <w:t>твердилось, что машину в аэродромных усло</w:t>
      </w:r>
      <w:r w:rsidRPr="00DB5D0D">
        <w:rPr>
          <w:rStyle w:val="741"/>
          <w:rFonts w:ascii="Times New Roman" w:hAnsi="Times New Roman" w:cs="Times New Roman"/>
          <w:color w:val="0070C0"/>
          <w:sz w:val="16"/>
          <w:szCs w:val="16"/>
          <w:lang w:val="ru-RU"/>
        </w:rPr>
        <w:softHyphen/>
        <w:t>виях вполне могут обслуживать моторист и техник. В таком составе они могли даже заме</w:t>
      </w:r>
      <w:r w:rsidRPr="00DB5D0D">
        <w:rPr>
          <w:rStyle w:val="741"/>
          <w:rFonts w:ascii="Times New Roman" w:hAnsi="Times New Roman" w:cs="Times New Roman"/>
          <w:color w:val="0070C0"/>
          <w:sz w:val="16"/>
          <w:szCs w:val="16"/>
          <w:lang w:val="ru-RU"/>
        </w:rPr>
        <w:softHyphen/>
        <w:t>нить мотор. Узким местом, несмотря на новую конструкцию колес завода № 120, оставалась их замена - она занимала 3 часа.</w:t>
      </w:r>
    </w:p>
    <w:p w14:paraId="7E5CB4E7" w14:textId="77777777" w:rsidR="00EE5E60" w:rsidRPr="00DB5D0D" w:rsidRDefault="00EE5E60" w:rsidP="00DB5D0D">
      <w:pPr>
        <w:spacing w:after="0" w:line="240" w:lineRule="auto"/>
        <w:jc w:val="both"/>
        <w:rPr>
          <w:rFonts w:ascii="Times New Roman" w:hAnsi="Times New Roman"/>
          <w:color w:val="0070C0"/>
          <w:sz w:val="16"/>
          <w:szCs w:val="16"/>
        </w:rPr>
      </w:pPr>
      <w:r w:rsidRPr="00DB5D0D">
        <w:rPr>
          <w:rStyle w:val="750"/>
          <w:rFonts w:ascii="Times New Roman" w:hAnsi="Times New Roman" w:cs="Times New Roman"/>
          <w:color w:val="0070C0"/>
          <w:sz w:val="16"/>
          <w:szCs w:val="16"/>
        </w:rPr>
        <w:t>Неплохая эксплуатационная техноло</w:t>
      </w:r>
      <w:r w:rsidRPr="00DB5D0D">
        <w:rPr>
          <w:rStyle w:val="750"/>
          <w:rFonts w:ascii="Times New Roman" w:hAnsi="Times New Roman" w:cs="Times New Roman"/>
          <w:color w:val="0070C0"/>
          <w:sz w:val="16"/>
          <w:szCs w:val="16"/>
        </w:rPr>
        <w:softHyphen/>
        <w:t>гичность самолета никак не спасала от появления дефектов, многие из которых носили массовый характер. Текли аморти</w:t>
      </w:r>
      <w:r w:rsidRPr="00DB5D0D">
        <w:rPr>
          <w:rStyle w:val="750"/>
          <w:rFonts w:ascii="Times New Roman" w:hAnsi="Times New Roman" w:cs="Times New Roman"/>
          <w:color w:val="0070C0"/>
          <w:sz w:val="16"/>
          <w:szCs w:val="16"/>
        </w:rPr>
        <w:softHyphen/>
        <w:t>заторы стоек шасси, оказались недостаточ</w:t>
      </w:r>
      <w:r w:rsidRPr="00DB5D0D">
        <w:rPr>
          <w:rStyle w:val="750"/>
          <w:rFonts w:ascii="Times New Roman" w:hAnsi="Times New Roman" w:cs="Times New Roman"/>
          <w:color w:val="0070C0"/>
          <w:sz w:val="16"/>
          <w:szCs w:val="16"/>
        </w:rPr>
        <w:softHyphen/>
        <w:t>но прочными и гнулись вилки штока косты</w:t>
      </w:r>
      <w:r w:rsidRPr="00DB5D0D">
        <w:rPr>
          <w:rStyle w:val="750"/>
          <w:rFonts w:ascii="Times New Roman" w:hAnsi="Times New Roman" w:cs="Times New Roman"/>
          <w:color w:val="0070C0"/>
          <w:sz w:val="16"/>
          <w:szCs w:val="16"/>
        </w:rPr>
        <w:softHyphen/>
        <w:t>ля, замасливались тормозные диски, много</w:t>
      </w:r>
      <w:r w:rsidRPr="00DB5D0D">
        <w:rPr>
          <w:rStyle w:val="750"/>
          <w:rFonts w:ascii="Times New Roman" w:hAnsi="Times New Roman" w:cs="Times New Roman"/>
          <w:color w:val="0070C0"/>
          <w:sz w:val="16"/>
          <w:szCs w:val="16"/>
        </w:rPr>
        <w:softHyphen/>
        <w:t>кратно обрывались трубки от баллона сжа</w:t>
      </w:r>
      <w:r w:rsidRPr="00DB5D0D">
        <w:rPr>
          <w:rStyle w:val="750"/>
          <w:rFonts w:ascii="Times New Roman" w:hAnsi="Times New Roman" w:cs="Times New Roman"/>
          <w:color w:val="0070C0"/>
          <w:sz w:val="16"/>
          <w:szCs w:val="16"/>
        </w:rPr>
        <w:softHyphen/>
        <w:t>того воздуха. Отдельную проблему пред</w:t>
      </w:r>
      <w:r w:rsidRPr="00DB5D0D">
        <w:rPr>
          <w:rStyle w:val="750"/>
          <w:rFonts w:ascii="Times New Roman" w:hAnsi="Times New Roman" w:cs="Times New Roman"/>
          <w:color w:val="0070C0"/>
          <w:sz w:val="16"/>
          <w:szCs w:val="16"/>
        </w:rPr>
        <w:softHyphen/>
        <w:t>ставляло смещение практически на всех самолетах топливных баков к оси самолета, в некоторых случаях доходившее до 36 мм. В управлении рулем высоты на нескольких машинах обнаружили износ бронзовых подшипников поперечной трубы штурвала и выкрашивание шарикоподшипников оси хвостовой качалки, но самую сложную заковыку преподнесло управление рулем поворота. Из-за ассиметричной установки роликов и больших углов перегиба, тросы служили до полного износа всего около 20 часов, и за время испытаний были заменены 27 раз!</w:t>
      </w:r>
    </w:p>
    <w:p w14:paraId="459508CA" w14:textId="77777777" w:rsidR="00EE5E60" w:rsidRPr="00DB5D0D" w:rsidRDefault="00EE5E60" w:rsidP="00DB5D0D">
      <w:pPr>
        <w:spacing w:after="0" w:line="240" w:lineRule="auto"/>
        <w:jc w:val="both"/>
        <w:rPr>
          <w:rFonts w:ascii="Times New Roman" w:hAnsi="Times New Roman"/>
          <w:color w:val="0070C0"/>
          <w:sz w:val="16"/>
          <w:szCs w:val="16"/>
        </w:rPr>
      </w:pPr>
      <w:r w:rsidRPr="00DB5D0D">
        <w:rPr>
          <w:rStyle w:val="750"/>
          <w:rFonts w:ascii="Times New Roman" w:hAnsi="Times New Roman" w:cs="Times New Roman"/>
          <w:color w:val="0070C0"/>
          <w:sz w:val="16"/>
          <w:szCs w:val="16"/>
        </w:rPr>
        <w:t>Вместе с самолетом войсковые испытания проходили и моторы МВ-6. Они отличались от базового «Рено» достаточно большим чис</w:t>
      </w:r>
      <w:r w:rsidRPr="00DB5D0D">
        <w:rPr>
          <w:rStyle w:val="750"/>
          <w:rFonts w:ascii="Times New Roman" w:hAnsi="Times New Roman" w:cs="Times New Roman"/>
          <w:color w:val="0070C0"/>
          <w:sz w:val="16"/>
          <w:szCs w:val="16"/>
        </w:rPr>
        <w:softHyphen/>
        <w:t>лом доработок, направленных на унифика</w:t>
      </w:r>
      <w:r w:rsidRPr="00DB5D0D">
        <w:rPr>
          <w:rStyle w:val="750"/>
          <w:rFonts w:ascii="Times New Roman" w:hAnsi="Times New Roman" w:cs="Times New Roman"/>
          <w:color w:val="0070C0"/>
          <w:sz w:val="16"/>
          <w:szCs w:val="16"/>
        </w:rPr>
        <w:softHyphen/>
        <w:t>цию с МВ-4 и МВ-12. Вместе с тем, на них стояли многие импортные агрегаты. Магнето, свечи, бензонасосы, регуляторы наддува и частично карбюраторы были французские. Общеизвестно, лучшее - враг хорошего. Недоведенные моторы сами по себе препод</w:t>
      </w:r>
      <w:r w:rsidRPr="00DB5D0D">
        <w:rPr>
          <w:rStyle w:val="750"/>
          <w:rFonts w:ascii="Times New Roman" w:hAnsi="Times New Roman" w:cs="Times New Roman"/>
          <w:color w:val="0070C0"/>
          <w:sz w:val="16"/>
          <w:szCs w:val="16"/>
        </w:rPr>
        <w:softHyphen/>
        <w:t>носили сюрпризы, а вместе с детскими болез</w:t>
      </w:r>
      <w:r w:rsidRPr="00DB5D0D">
        <w:rPr>
          <w:rStyle w:val="750"/>
          <w:rFonts w:ascii="Times New Roman" w:hAnsi="Times New Roman" w:cs="Times New Roman"/>
          <w:color w:val="0070C0"/>
          <w:sz w:val="16"/>
          <w:szCs w:val="16"/>
        </w:rPr>
        <w:softHyphen/>
        <w:t>нями остальных систем ВМГ букет дефектов просто затмил проблемы планера и его систем.</w:t>
      </w:r>
    </w:p>
    <w:p w14:paraId="017F056D" w14:textId="77777777" w:rsidR="00EE5E60" w:rsidRPr="00DB5D0D" w:rsidRDefault="00EE5E60" w:rsidP="00DB5D0D">
      <w:pPr>
        <w:spacing w:after="0" w:line="240" w:lineRule="auto"/>
        <w:jc w:val="both"/>
        <w:rPr>
          <w:rFonts w:ascii="Times New Roman" w:hAnsi="Times New Roman"/>
          <w:color w:val="0070C0"/>
          <w:sz w:val="16"/>
          <w:szCs w:val="16"/>
        </w:rPr>
      </w:pPr>
      <w:r w:rsidRPr="00DB5D0D">
        <w:rPr>
          <w:rStyle w:val="750"/>
          <w:rFonts w:ascii="Times New Roman" w:hAnsi="Times New Roman" w:cs="Times New Roman"/>
          <w:color w:val="0070C0"/>
          <w:sz w:val="16"/>
          <w:szCs w:val="16"/>
        </w:rPr>
        <w:t>В приволжской степи температура возду</w:t>
      </w:r>
      <w:r w:rsidRPr="00DB5D0D">
        <w:rPr>
          <w:rStyle w:val="750"/>
          <w:rFonts w:ascii="Times New Roman" w:hAnsi="Times New Roman" w:cs="Times New Roman"/>
          <w:color w:val="0070C0"/>
          <w:sz w:val="16"/>
          <w:szCs w:val="16"/>
        </w:rPr>
        <w:softHyphen/>
        <w:t>ха оказалась несколько выше, чем летом 1939-го года в Подмосковье. Летали в основ</w:t>
      </w:r>
      <w:r w:rsidRPr="00DB5D0D">
        <w:rPr>
          <w:rStyle w:val="750"/>
          <w:rFonts w:ascii="Times New Roman" w:hAnsi="Times New Roman" w:cs="Times New Roman"/>
          <w:color w:val="0070C0"/>
          <w:sz w:val="16"/>
          <w:szCs w:val="16"/>
        </w:rPr>
        <w:softHyphen/>
        <w:t>ном конвейером, и температура масла дохо</w:t>
      </w:r>
      <w:r w:rsidRPr="00DB5D0D">
        <w:rPr>
          <w:rStyle w:val="750"/>
          <w:rFonts w:ascii="Times New Roman" w:hAnsi="Times New Roman" w:cs="Times New Roman"/>
          <w:color w:val="0070C0"/>
          <w:sz w:val="16"/>
          <w:szCs w:val="16"/>
        </w:rPr>
        <w:softHyphen/>
        <w:t>дила до 115 градусов Цельсия. Четырехдюй</w:t>
      </w:r>
      <w:r w:rsidRPr="00DB5D0D">
        <w:rPr>
          <w:rStyle w:val="750"/>
          <w:rFonts w:ascii="Times New Roman" w:hAnsi="Times New Roman" w:cs="Times New Roman"/>
          <w:color w:val="0070C0"/>
          <w:sz w:val="16"/>
          <w:szCs w:val="16"/>
        </w:rPr>
        <w:softHyphen/>
        <w:t>мовые радиаторы не справлялись. В качестве эксперимента на одном самолете смонтиро</w:t>
      </w:r>
      <w:r w:rsidRPr="00DB5D0D">
        <w:rPr>
          <w:rStyle w:val="750"/>
          <w:rFonts w:ascii="Times New Roman" w:hAnsi="Times New Roman" w:cs="Times New Roman"/>
          <w:color w:val="0070C0"/>
          <w:sz w:val="16"/>
          <w:szCs w:val="16"/>
        </w:rPr>
        <w:softHyphen/>
        <w:t>вали шестидюймовый - температура масла снизилась примерно на 25 градусов. Не лучше дело обстояло с охлаждением мото</w:t>
      </w:r>
      <w:r w:rsidRPr="00DB5D0D">
        <w:rPr>
          <w:rStyle w:val="750"/>
          <w:rFonts w:ascii="Times New Roman" w:hAnsi="Times New Roman" w:cs="Times New Roman"/>
          <w:color w:val="0070C0"/>
          <w:sz w:val="16"/>
          <w:szCs w:val="16"/>
        </w:rPr>
        <w:softHyphen/>
        <w:t>ров. Головки цилиндров постоянно перегре</w:t>
      </w:r>
      <w:r w:rsidRPr="00DB5D0D">
        <w:rPr>
          <w:rStyle w:val="750"/>
          <w:rFonts w:ascii="Times New Roman" w:hAnsi="Times New Roman" w:cs="Times New Roman"/>
          <w:color w:val="0070C0"/>
          <w:sz w:val="16"/>
          <w:szCs w:val="16"/>
        </w:rPr>
        <w:softHyphen/>
        <w:t>вались до 280-300 градусов при верхнем допустимом пределе в 260. Площади оребре- ния цилиндров не хватало. Невысокое каче</w:t>
      </w:r>
      <w:r w:rsidRPr="00DB5D0D">
        <w:rPr>
          <w:rStyle w:val="750"/>
          <w:rFonts w:ascii="Times New Roman" w:hAnsi="Times New Roman" w:cs="Times New Roman"/>
          <w:color w:val="0070C0"/>
          <w:sz w:val="16"/>
          <w:szCs w:val="16"/>
        </w:rPr>
        <w:softHyphen/>
        <w:t>ство изготовления моторов и работа на запредельных режимах приводили уже за 25</w:t>
      </w:r>
      <w:r w:rsidRPr="00DB5D0D">
        <w:rPr>
          <w:rStyle w:val="750"/>
          <w:rFonts w:ascii="Times New Roman" w:hAnsi="Times New Roman" w:cs="Times New Roman"/>
          <w:color w:val="0070C0"/>
          <w:sz w:val="16"/>
          <w:szCs w:val="16"/>
        </w:rPr>
        <w:softHyphen/>
        <w:t>30 часов работы к износу гильз цилиндров и поршневых колец до 0,5 мм при заводском допуске в 0,19 мм. Из-за этого начиналось интенсивное забрызгивание свечей маслом.</w:t>
      </w:r>
    </w:p>
    <w:p w14:paraId="00FFEA7D" w14:textId="77777777" w:rsidR="00EE5E60" w:rsidRPr="00DB5D0D" w:rsidRDefault="00EE5E60" w:rsidP="00DB5D0D">
      <w:pPr>
        <w:spacing w:after="0" w:line="240" w:lineRule="auto"/>
        <w:jc w:val="both"/>
        <w:rPr>
          <w:rFonts w:ascii="Times New Roman" w:hAnsi="Times New Roman"/>
          <w:color w:val="0070C0"/>
          <w:sz w:val="16"/>
          <w:szCs w:val="16"/>
        </w:rPr>
      </w:pPr>
      <w:r w:rsidRPr="00DB5D0D">
        <w:rPr>
          <w:rStyle w:val="750"/>
          <w:rFonts w:ascii="Times New Roman" w:hAnsi="Times New Roman" w:cs="Times New Roman"/>
          <w:color w:val="0070C0"/>
          <w:sz w:val="16"/>
          <w:szCs w:val="16"/>
        </w:rPr>
        <w:t>Система управления двигателями была полужесткого типа - часть проводки была тросовая с боуденовской оболочкой, что часто приводило к рассогласованию положе</w:t>
      </w:r>
      <w:r w:rsidRPr="00DB5D0D">
        <w:rPr>
          <w:rStyle w:val="750"/>
          <w:rFonts w:ascii="Times New Roman" w:hAnsi="Times New Roman" w:cs="Times New Roman"/>
          <w:color w:val="0070C0"/>
          <w:sz w:val="16"/>
          <w:szCs w:val="16"/>
        </w:rPr>
        <w:softHyphen/>
        <w:t>ния сектора газа и дроссельной заслонки. Сходные проблемы были в управлении пожарными и стоп-кранами. Количество дефектов на девяти самолетах отряда пора</w:t>
      </w:r>
      <w:r w:rsidRPr="00DB5D0D">
        <w:rPr>
          <w:rStyle w:val="750"/>
          <w:rFonts w:ascii="Times New Roman" w:hAnsi="Times New Roman" w:cs="Times New Roman"/>
          <w:color w:val="0070C0"/>
          <w:sz w:val="16"/>
          <w:szCs w:val="16"/>
        </w:rPr>
        <w:softHyphen/>
        <w:t>жало инженерно-технический персонал, привыкший к достаточно доведенному СБ. Так, выбивание масла и газов в сопряжении головки с цилиндром произошло 21 раз, обрыв сливных масляных трубок - 30, полом</w:t>
      </w:r>
      <w:r w:rsidRPr="00DB5D0D">
        <w:rPr>
          <w:rStyle w:val="750"/>
          <w:rFonts w:ascii="Times New Roman" w:hAnsi="Times New Roman" w:cs="Times New Roman"/>
          <w:color w:val="0070C0"/>
          <w:sz w:val="16"/>
          <w:szCs w:val="16"/>
        </w:rPr>
        <w:softHyphen/>
        <w:t>ка гибкого валика счетчика оборотов - 36. На этом фоне к 10 случаям обрыва и заедания тросов пожарных кранов можно добавить только частицу «всего». Трагизм проблем</w:t>
      </w:r>
    </w:p>
    <w:p w14:paraId="74D36040" w14:textId="77777777" w:rsidR="00EE5E60" w:rsidRPr="00DB5D0D" w:rsidRDefault="00EE5E60" w:rsidP="00DB5D0D">
      <w:pPr>
        <w:shd w:val="clear" w:color="auto" w:fill="FFFFFF"/>
        <w:spacing w:after="0" w:line="240" w:lineRule="auto"/>
        <w:jc w:val="both"/>
        <w:rPr>
          <w:rFonts w:ascii="Times New Roman" w:hAnsi="Times New Roman"/>
          <w:color w:val="0070C0"/>
          <w:sz w:val="16"/>
          <w:szCs w:val="16"/>
        </w:rPr>
      </w:pPr>
      <w:r w:rsidRPr="00DB5D0D">
        <w:rPr>
          <w:rStyle w:val="750"/>
          <w:rFonts w:ascii="Times New Roman" w:hAnsi="Times New Roman" w:cs="Times New Roman"/>
          <w:color w:val="0070C0"/>
          <w:sz w:val="16"/>
          <w:szCs w:val="16"/>
        </w:rPr>
        <w:t>ВМГ усиливался тем, что дефекты носили не только массовый, но и повторяющийся харак</w:t>
      </w:r>
      <w:r w:rsidRPr="00DB5D0D">
        <w:rPr>
          <w:rStyle w:val="750"/>
          <w:rFonts w:ascii="Times New Roman" w:hAnsi="Times New Roman" w:cs="Times New Roman"/>
          <w:color w:val="0070C0"/>
          <w:sz w:val="16"/>
          <w:szCs w:val="16"/>
        </w:rPr>
        <w:softHyphen/>
        <w:t>тер. Стоит заметить, что по планеру такой был всего один - в управлении рулем направле</w:t>
      </w:r>
      <w:r w:rsidRPr="00DB5D0D">
        <w:rPr>
          <w:rStyle w:val="750"/>
          <w:rFonts w:ascii="Times New Roman" w:hAnsi="Times New Roman" w:cs="Times New Roman"/>
          <w:color w:val="0070C0"/>
          <w:sz w:val="16"/>
          <w:szCs w:val="16"/>
        </w:rPr>
        <w:softHyphen/>
        <w:t>ния. За время испытаний по вине моторов произошло восемь вынужденных посадок и один прерванный взлет. Девять моторов при</w:t>
      </w:r>
      <w:r w:rsidRPr="00DB5D0D">
        <w:rPr>
          <w:rStyle w:val="750"/>
          <w:rFonts w:ascii="Times New Roman" w:hAnsi="Times New Roman" w:cs="Times New Roman"/>
          <w:color w:val="0070C0"/>
          <w:sz w:val="16"/>
          <w:szCs w:val="16"/>
        </w:rPr>
        <w:softHyphen/>
        <w:t>шлось заменить. Причем, всего замен было 14, то есть, некоторые моторы снимали не один раз. Только два мотора отработали на испытаниях весь назначенный ресурс в 100 часов. Мотоустановке явно требовалась серьезная доводка.</w:t>
      </w:r>
    </w:p>
    <w:p w14:paraId="6C206E58" w14:textId="77777777" w:rsidR="00EE5E60" w:rsidRPr="00DB5D0D" w:rsidRDefault="00EE5E60" w:rsidP="00DB5D0D">
      <w:pPr>
        <w:spacing w:after="0" w:line="240" w:lineRule="auto"/>
        <w:jc w:val="both"/>
        <w:rPr>
          <w:rFonts w:ascii="Times New Roman" w:hAnsi="Times New Roman"/>
          <w:color w:val="0070C0"/>
          <w:sz w:val="16"/>
          <w:szCs w:val="16"/>
        </w:rPr>
      </w:pPr>
      <w:r w:rsidRPr="00DB5D0D">
        <w:rPr>
          <w:rStyle w:val="750"/>
          <w:rFonts w:ascii="Times New Roman" w:hAnsi="Times New Roman" w:cs="Times New Roman"/>
          <w:color w:val="0070C0"/>
          <w:sz w:val="16"/>
          <w:szCs w:val="16"/>
        </w:rPr>
        <w:t>Назначение самолета накладывало осо</w:t>
      </w:r>
      <w:r w:rsidRPr="00DB5D0D">
        <w:rPr>
          <w:rStyle w:val="750"/>
          <w:rFonts w:ascii="Times New Roman" w:hAnsi="Times New Roman" w:cs="Times New Roman"/>
          <w:color w:val="0070C0"/>
          <w:sz w:val="16"/>
          <w:szCs w:val="16"/>
        </w:rPr>
        <w:softHyphen/>
        <w:t>бый отпечаток на его летно-тактическую оценку. Опытный летчик может приспосо</w:t>
      </w:r>
      <w:r w:rsidRPr="00DB5D0D">
        <w:rPr>
          <w:rStyle w:val="750"/>
          <w:rFonts w:ascii="Times New Roman" w:hAnsi="Times New Roman" w:cs="Times New Roman"/>
          <w:color w:val="0070C0"/>
          <w:sz w:val="16"/>
          <w:szCs w:val="16"/>
        </w:rPr>
        <w:softHyphen/>
        <w:t>биться к почти любым особенностям машины, но курсанта сначала надо научить летать пра</w:t>
      </w:r>
      <w:r w:rsidRPr="00DB5D0D">
        <w:rPr>
          <w:rStyle w:val="750"/>
          <w:rFonts w:ascii="Times New Roman" w:hAnsi="Times New Roman" w:cs="Times New Roman"/>
          <w:color w:val="0070C0"/>
          <w:sz w:val="16"/>
          <w:szCs w:val="16"/>
        </w:rPr>
        <w:softHyphen/>
        <w:t>вильно, а УТ-3 такой возможности не давал. Уже с освоения руления обучаемые начинали приобретать вредные навыки. Из-за люфтов секторов газа самолет на разворотах при</w:t>
      </w:r>
      <w:r w:rsidRPr="00DB5D0D">
        <w:rPr>
          <w:rStyle w:val="750"/>
          <w:rFonts w:ascii="Times New Roman" w:hAnsi="Times New Roman" w:cs="Times New Roman"/>
          <w:color w:val="0070C0"/>
          <w:sz w:val="16"/>
          <w:szCs w:val="16"/>
        </w:rPr>
        <w:softHyphen/>
        <w:t>обретал большую инерцию. По этой же при</w:t>
      </w:r>
      <w:r w:rsidRPr="00DB5D0D">
        <w:rPr>
          <w:rStyle w:val="750"/>
          <w:rFonts w:ascii="Times New Roman" w:hAnsi="Times New Roman" w:cs="Times New Roman"/>
          <w:color w:val="0070C0"/>
          <w:sz w:val="16"/>
          <w:szCs w:val="16"/>
        </w:rPr>
        <w:softHyphen/>
        <w:t>чине трудно было выдерживать направление в первой половине разбега, пока руль направ</w:t>
      </w:r>
      <w:r w:rsidRPr="00DB5D0D">
        <w:rPr>
          <w:rStyle w:val="750"/>
          <w:rFonts w:ascii="Times New Roman" w:hAnsi="Times New Roman" w:cs="Times New Roman"/>
          <w:color w:val="0070C0"/>
          <w:sz w:val="16"/>
          <w:szCs w:val="16"/>
        </w:rPr>
        <w:softHyphen/>
        <w:t>ления был малоэффективен. Курсанту прихо</w:t>
      </w:r>
      <w:r w:rsidRPr="00DB5D0D">
        <w:rPr>
          <w:rStyle w:val="750"/>
          <w:rFonts w:ascii="Times New Roman" w:hAnsi="Times New Roman" w:cs="Times New Roman"/>
          <w:color w:val="0070C0"/>
          <w:sz w:val="16"/>
          <w:szCs w:val="16"/>
        </w:rPr>
        <w:softHyphen/>
        <w:t>дилось привыкать к излишне резкой работе газом. Самолет имел нулевой угол установки крыла относительно строительной горизонта</w:t>
      </w:r>
      <w:r w:rsidRPr="00DB5D0D">
        <w:rPr>
          <w:rStyle w:val="750"/>
          <w:rFonts w:ascii="Times New Roman" w:hAnsi="Times New Roman" w:cs="Times New Roman"/>
          <w:color w:val="0070C0"/>
          <w:sz w:val="16"/>
          <w:szCs w:val="16"/>
        </w:rPr>
        <w:softHyphen/>
        <w:t>ли, и взлет происходил с полуопущенным хво</w:t>
      </w:r>
      <w:r w:rsidRPr="00DB5D0D">
        <w:rPr>
          <w:rStyle w:val="750"/>
          <w:rFonts w:ascii="Times New Roman" w:hAnsi="Times New Roman" w:cs="Times New Roman"/>
          <w:color w:val="0070C0"/>
          <w:sz w:val="16"/>
          <w:szCs w:val="16"/>
        </w:rPr>
        <w:softHyphen/>
        <w:t>стом. Как уже было сказано, УТ-3 имел про</w:t>
      </w:r>
      <w:r w:rsidRPr="00DB5D0D">
        <w:rPr>
          <w:rStyle w:val="750"/>
          <w:rFonts w:ascii="Times New Roman" w:hAnsi="Times New Roman" w:cs="Times New Roman"/>
          <w:color w:val="0070C0"/>
          <w:sz w:val="16"/>
          <w:szCs w:val="16"/>
        </w:rPr>
        <w:softHyphen/>
        <w:t>блемы с охлаждением моторов, соответствен</w:t>
      </w:r>
      <w:r w:rsidRPr="00DB5D0D">
        <w:rPr>
          <w:rStyle w:val="750"/>
          <w:rFonts w:ascii="Times New Roman" w:hAnsi="Times New Roman" w:cs="Times New Roman"/>
          <w:color w:val="0070C0"/>
          <w:sz w:val="16"/>
          <w:szCs w:val="16"/>
        </w:rPr>
        <w:softHyphen/>
        <w:t>но, при наружной температуре более 20 гра</w:t>
      </w:r>
      <w:r w:rsidRPr="00DB5D0D">
        <w:rPr>
          <w:rStyle w:val="750"/>
          <w:rFonts w:ascii="Times New Roman" w:hAnsi="Times New Roman" w:cs="Times New Roman"/>
          <w:color w:val="0070C0"/>
          <w:sz w:val="16"/>
          <w:szCs w:val="16"/>
        </w:rPr>
        <w:softHyphen/>
        <w:t>дусов нормальный набор высоты был затруд</w:t>
      </w:r>
      <w:r w:rsidRPr="00DB5D0D">
        <w:rPr>
          <w:rStyle w:val="750"/>
          <w:rFonts w:ascii="Times New Roman" w:hAnsi="Times New Roman" w:cs="Times New Roman"/>
          <w:color w:val="0070C0"/>
          <w:sz w:val="16"/>
          <w:szCs w:val="16"/>
        </w:rPr>
        <w:softHyphen/>
        <w:t>нителен. Горизонтальным полет курсантам был доступен только в штиль. Малый запас продольной устойчивости и неудовлетвори</w:t>
      </w:r>
      <w:r w:rsidRPr="00DB5D0D">
        <w:rPr>
          <w:rStyle w:val="750"/>
          <w:rFonts w:ascii="Times New Roman" w:hAnsi="Times New Roman" w:cs="Times New Roman"/>
          <w:color w:val="0070C0"/>
          <w:sz w:val="16"/>
          <w:szCs w:val="16"/>
        </w:rPr>
        <w:softHyphen/>
        <w:t>тельная боковая устойчивость делали полет в болтанку доступным лишь пилотам выше средней квалификации. При заходе на посад</w:t>
      </w:r>
      <w:r w:rsidRPr="00DB5D0D">
        <w:rPr>
          <w:rStyle w:val="750"/>
          <w:rFonts w:ascii="Times New Roman" w:hAnsi="Times New Roman" w:cs="Times New Roman"/>
          <w:color w:val="0070C0"/>
          <w:sz w:val="16"/>
          <w:szCs w:val="16"/>
        </w:rPr>
        <w:softHyphen/>
        <w:t>ку выпуск щитков делал глиссаду гораздо более крутой, чем у бомбардировщика СБ, причем, в такой конфигурации самолет мог лететь только со снижением, то есть уйти на второй круг было невозможно. Проблемы бафтинга тоже никуда не делись. Вибрации хвостового оперения возникали при скольже</w:t>
      </w:r>
      <w:r w:rsidRPr="00DB5D0D">
        <w:rPr>
          <w:rStyle w:val="750"/>
          <w:rFonts w:ascii="Times New Roman" w:hAnsi="Times New Roman" w:cs="Times New Roman"/>
          <w:color w:val="0070C0"/>
          <w:sz w:val="16"/>
          <w:szCs w:val="16"/>
        </w:rPr>
        <w:softHyphen/>
        <w:t>нии с креном более 30 градусов и парашюти</w:t>
      </w:r>
      <w:r w:rsidRPr="00DB5D0D">
        <w:rPr>
          <w:rStyle w:val="750"/>
          <w:rFonts w:ascii="Times New Roman" w:hAnsi="Times New Roman" w:cs="Times New Roman"/>
          <w:color w:val="0070C0"/>
          <w:sz w:val="16"/>
          <w:szCs w:val="16"/>
        </w:rPr>
        <w:softHyphen/>
        <w:t>ровании на скорости около 120 км/ч.</w:t>
      </w:r>
    </w:p>
    <w:p w14:paraId="333617A3" w14:textId="77777777" w:rsidR="00EE5E60" w:rsidRPr="00DB5D0D" w:rsidRDefault="00EE5E60" w:rsidP="00DB5D0D">
      <w:pPr>
        <w:spacing w:after="0" w:line="240" w:lineRule="auto"/>
        <w:jc w:val="both"/>
        <w:rPr>
          <w:rFonts w:ascii="Times New Roman" w:hAnsi="Times New Roman"/>
          <w:color w:val="0070C0"/>
          <w:sz w:val="16"/>
          <w:szCs w:val="16"/>
        </w:rPr>
      </w:pPr>
      <w:r w:rsidRPr="00DB5D0D">
        <w:rPr>
          <w:rStyle w:val="761"/>
          <w:rFonts w:ascii="Times New Roman" w:hAnsi="Times New Roman" w:cs="Times New Roman"/>
          <w:color w:val="0070C0"/>
          <w:sz w:val="16"/>
          <w:szCs w:val="16"/>
        </w:rPr>
        <w:lastRenderedPageBreak/>
        <w:t>Причин для негативного отношения к самолету в училище было предостаточно не только на уровне техников и летчиков. В ред</w:t>
      </w:r>
      <w:r w:rsidRPr="00DB5D0D">
        <w:rPr>
          <w:rStyle w:val="761"/>
          <w:rFonts w:ascii="Times New Roman" w:hAnsi="Times New Roman" w:cs="Times New Roman"/>
          <w:color w:val="0070C0"/>
          <w:sz w:val="16"/>
          <w:szCs w:val="16"/>
        </w:rPr>
        <w:softHyphen/>
        <w:t>кий летный день в воздух могли подняться более четырех машин. Начальству в спешном порядке пришлось кроить программу обуче</w:t>
      </w:r>
      <w:r w:rsidRPr="00DB5D0D">
        <w:rPr>
          <w:rStyle w:val="761"/>
          <w:rFonts w:ascii="Times New Roman" w:hAnsi="Times New Roman" w:cs="Times New Roman"/>
          <w:color w:val="0070C0"/>
          <w:sz w:val="16"/>
          <w:szCs w:val="16"/>
        </w:rPr>
        <w:softHyphen/>
        <w:t>ния и переводить половину из шести групп курсантов на другие типы самолетов. Темп обучения оставлял желать лучшего. Группы на Р-6 обгоняли курсантов на УТ-3. Выводы напрашивались сами собой. Заключение, подписанное, в том числе, и начальником училища полковником Багаевым гласило, что самолеты УТ-3 2МВ-6 конструкции инженера Яковлева в предъявленном варианте войско</w:t>
      </w:r>
      <w:r w:rsidRPr="00DB5D0D">
        <w:rPr>
          <w:rStyle w:val="761"/>
          <w:rFonts w:ascii="Times New Roman" w:hAnsi="Times New Roman" w:cs="Times New Roman"/>
          <w:color w:val="0070C0"/>
          <w:sz w:val="16"/>
          <w:szCs w:val="16"/>
        </w:rPr>
        <w:softHyphen/>
        <w:t xml:space="preserve">вые испытания не выдержали. Предлагалось либо ускорить доводку, либо построить новый самолет, ориентируясь на немецкий </w:t>
      </w:r>
      <w:r w:rsidRPr="00DB5D0D">
        <w:rPr>
          <w:rStyle w:val="761"/>
          <w:rFonts w:ascii="Times New Roman" w:hAnsi="Times New Roman" w:cs="Times New Roman"/>
          <w:color w:val="0070C0"/>
          <w:sz w:val="16"/>
          <w:szCs w:val="16"/>
          <w:lang w:val="en-US"/>
        </w:rPr>
        <w:t>FW</w:t>
      </w:r>
      <w:r w:rsidRPr="00DB5D0D">
        <w:rPr>
          <w:rStyle w:val="761"/>
          <w:rFonts w:ascii="Times New Roman" w:hAnsi="Times New Roman" w:cs="Times New Roman"/>
          <w:color w:val="0070C0"/>
          <w:sz w:val="16"/>
          <w:szCs w:val="16"/>
        </w:rPr>
        <w:t>-58. Одну лазейку в тесте заключения оставили, правда, трудно сказать, что за ней стояло - государственный подход или настойчивое желание местного начальства избавиться от девяти ненужных машин. Третьим пунктом было предложено имею</w:t>
      </w:r>
      <w:r w:rsidRPr="00DB5D0D">
        <w:rPr>
          <w:rStyle w:val="761"/>
          <w:rFonts w:ascii="Times New Roman" w:hAnsi="Times New Roman" w:cs="Times New Roman"/>
          <w:color w:val="0070C0"/>
          <w:sz w:val="16"/>
          <w:szCs w:val="16"/>
        </w:rPr>
        <w:softHyphen/>
        <w:t>щиеся самолеты переоборудовать под трени</w:t>
      </w:r>
      <w:r w:rsidRPr="00DB5D0D">
        <w:rPr>
          <w:rStyle w:val="761"/>
          <w:rFonts w:ascii="Times New Roman" w:hAnsi="Times New Roman" w:cs="Times New Roman"/>
          <w:color w:val="0070C0"/>
          <w:sz w:val="16"/>
          <w:szCs w:val="16"/>
        </w:rPr>
        <w:softHyphen/>
        <w:t>ровочные для школ штурманов, для чего снять второе управление, поставить РПК, СПУ и пятку под прицел ОПБ-2, восстановить переднюю стрелковую точку. В Ленинграде экземпляр отчета получил только военпред завода № 47 (19939).</w:t>
      </w:r>
    </w:p>
    <w:p w14:paraId="3D3590D2" w14:textId="77777777" w:rsidR="00EE5E60" w:rsidRPr="00DB5D0D" w:rsidRDefault="00EE5E60" w:rsidP="00DB5D0D">
      <w:pPr>
        <w:shd w:val="clear" w:color="auto" w:fill="FFFFFF"/>
        <w:spacing w:after="0" w:line="240" w:lineRule="auto"/>
        <w:jc w:val="both"/>
        <w:rPr>
          <w:rFonts w:ascii="Times New Roman" w:hAnsi="Times New Roman"/>
          <w:color w:val="0070C0"/>
          <w:sz w:val="16"/>
          <w:szCs w:val="16"/>
        </w:rPr>
      </w:pPr>
    </w:p>
    <w:p w14:paraId="2B57104C"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15 мая 1940 г. Секретный отдел Научно-исследовательского Химического института (НИХИ) РККА направил письмо на имя директора Всесоюзного института авиационных материалов (ВИАМ) за подписями зам.начальника НИХИ и начальника секретного отдела института военинженера 3-го ранга Кондратьева. В нем сообщалось: "Направляю вам образец польского авиационного клея и его анализ для изучения и возможного использования в Вашей работе". К письму прилагалась банка с клеем и анализ №8 на одном листе "Испытание польского авиационного клея", который был подписан начальником 1-го отдела НИХИ РККА военинженером 2-го ранга Рулиным и научным сотрудником Ю.Н.Дагаевой. Последняя вместе с лаборантом Кузьминовой произвела анализ клея в марте 1940 г. Эти материалы 25 мая 1940 г. передавались зам.начальника 9-й лаборатории ВИАМ Чеботаревскому (11465).</w:t>
      </w:r>
    </w:p>
    <w:p w14:paraId="4618F09A"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45D318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 секретный отдел Научно-исследовательского Химического института (НИХИ) РККА направил письмо на имя директора Всесоюзного института авиационных материалов (ВИАМ) за подписями замначальника НИХИ и начальника секретного отдела института военинженера 3-го ранга Кондратьева. В нем сообщалось: «Направляю вам образец польского авиационного клея и его анализ для изучения и возможного использования в Вашей работе». К письму прилагалась банка с клеем и анализ №8 на одном листе «Испытание польского авиационного клея», который был подписан начальником 1-го отдела НИХИ РККА военинженером 2-го ранга Рулиным и научным сотрудником Ю.Н. Дагаевой. Последняя вместе с лаборантом Кузьминовой произвела анализ клея в марте 1940 года. Эти материалы 25 мая 1940 года передавались замначальника 9-й лаборатории ВИАМ Чеботаревскому (Там же. Ф. Р-124. Д. 86. Л. 54.) (11672).</w:t>
      </w:r>
    </w:p>
    <w:p w14:paraId="4E55C34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B30B8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вышел приказ НКАП N 213сс по мотору М-20 (1283) во исполнение постановления КО N 198сс, которое вышло 7 мая 1940 "О постройке мощного авиационного дизеля АН-4". Обязали НКАП построить на заводе 82 в кооперации с заводами 24, 20, 219, 95, 34, 132, ЦИАМ. Конструкция ОТБ НКВД, мощность 2200 л.с. Хотели сделать первые два в декабре 1940 и передать на 100 час. гос. испытания в декабре 1941 (1292,5).</w:t>
      </w:r>
    </w:p>
    <w:p w14:paraId="272DA98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CD3D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был готов к испытаниям М-82 (737,4).</w:t>
      </w:r>
    </w:p>
    <w:p w14:paraId="65BCCD0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FA4485" w14:textId="77777777" w:rsidR="00EE5E60" w:rsidRPr="00DB5D0D" w:rsidRDefault="00EE5E60"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15 мая 1940 вышло Постановление Комитета обороны при СНК СССР № 205сс "О строительстве авиаремонтных мастерских в системе НКО и НКВМФ для ремонта материальной части ВВС в мирное и военное время" с приложениями (21902).</w:t>
      </w:r>
    </w:p>
    <w:p w14:paraId="6D234E99" w14:textId="77777777" w:rsidR="00EE5E60" w:rsidRPr="00DB5D0D" w:rsidRDefault="00EE5E60" w:rsidP="00DB5D0D">
      <w:pPr>
        <w:shd w:val="clear" w:color="auto" w:fill="FFFFFF"/>
        <w:spacing w:after="0" w:line="240" w:lineRule="auto"/>
        <w:jc w:val="both"/>
        <w:rPr>
          <w:rFonts w:ascii="Times New Roman" w:hAnsi="Times New Roman"/>
          <w:color w:val="0070C0"/>
          <w:sz w:val="16"/>
          <w:szCs w:val="16"/>
        </w:rPr>
      </w:pPr>
    </w:p>
    <w:p w14:paraId="1711B5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Ст. Контролер КО Солдатов подписал:</w:t>
      </w:r>
    </w:p>
    <w:p w14:paraId="1D6AA9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ЗАМЕЧАНИЯ по ДОКЛАДУ тов. АЛЕКСЕЕВА О РАБОТЕ И СОСТОЯНИИ ГУАС КА.</w:t>
      </w:r>
    </w:p>
    <w:p w14:paraId="1FF8AA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Отсутствует положение о правах и обязанностях ГУАС КА, на сегодня нет точного разграничения обязанностей между ГУАС'ом и ГУВВС'ом; часто ГУВВС вмешивается без необходимой надобности в дела ГУАС и этим мешает делу.</w:t>
      </w:r>
    </w:p>
    <w:p w14:paraId="21BD1C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Например: 1) Средства механизация аэродромной службы были заказаны ГУВВС помимо ГУАС и оформлены решением КО № 90. Необходимости в этом не было.т.к. ГУАС более тщательно готовил этот вопрос.</w:t>
      </w:r>
    </w:p>
    <w:p w14:paraId="6F0092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Распоряжением Нач-ка Штаба ВВС КА за № 486173сс от 25.4.40 г. ремонтные мастерские авиаполков и бри</w:t>
      </w:r>
      <w:r w:rsidRPr="00DB5D0D">
        <w:rPr>
          <w:rFonts w:ascii="Times New Roman" w:hAnsi="Times New Roman"/>
          <w:color w:val="000000" w:themeColor="text1"/>
          <w:sz w:val="16"/>
          <w:szCs w:val="16"/>
        </w:rPr>
        <w:softHyphen/>
        <w:t>гад подчинены н-ку тыла ВВС округа, который ГУАС'у че подчинен. ГУАС же целиком и полностью ведает вопросами ремонта и все ремонтныее базы должны были быть ему подчинены.</w:t>
      </w:r>
    </w:p>
    <w:p w14:paraId="040D7A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ГУВВС не ведет испытаний авиационных об'ектов, тем не менее Н-к ГУВВС издал 11.5.40 г. приказ, без согласования с ГУАС, о производстве испытаний радиоприборов.</w:t>
      </w:r>
    </w:p>
    <w:p w14:paraId="14319A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Самолеты, состоящие на вооружении ВВС (истребители И-16;И-153; бомбардировщики: СБ; ДБ-3) по своим скоростям устучаат соответствуощим заграничным самолетам: Мессершмит; Хейнкель; Дорнье-215: Бристоль-Блейхейм от 30 до 60 клм/час.</w:t>
      </w:r>
    </w:p>
    <w:p w14:paraId="4E0700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Моторн, состоящие на вооружени ВВС (М-103; М-62; М-63; М-88 и др.) уступают иностранным по своим качественным показателям. Мощность наших лучших моторов не превышает 1100 л.с., тогда как однотипные заграничные мотори (Геркулес. Твин-Хорнет и др.) имеют мощность 1300-1400 л.с.</w:t>
      </w:r>
    </w:p>
    <w:p w14:paraId="7DAE67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Литровал мощность наших моторов не превышает 31 л.с./литр, тогда как английский мотор "Деггер-8" имеет 55 л.с/литр.</w:t>
      </w:r>
    </w:p>
    <w:p w14:paraId="26C031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работы наших авиамоторов не превышает 100-150 часов, в то время, как серийные заграничные моторы работают до первой переборки 300 а более часов.</w:t>
      </w:r>
    </w:p>
    <w:p w14:paraId="363F94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вооружении самолетов резко отстали по крупнокалиберному оружию. С 1938 г. выпускаются самолеты И-16 с крыльевыми неполно</w:t>
      </w:r>
      <w:r w:rsidRPr="00DB5D0D">
        <w:rPr>
          <w:rFonts w:ascii="Times New Roman" w:hAnsi="Times New Roman"/>
          <w:color w:val="000000" w:themeColor="text1"/>
          <w:sz w:val="16"/>
          <w:szCs w:val="16"/>
        </w:rPr>
        <w:softHyphen/>
        <w:t>ценными пушками 20 мм ДВАК (лучших 20 мм пулек не имеется). В дан</w:t>
      </w:r>
      <w:r w:rsidRPr="00DB5D0D">
        <w:rPr>
          <w:rFonts w:ascii="Times New Roman" w:hAnsi="Times New Roman"/>
          <w:color w:val="000000" w:themeColor="text1"/>
          <w:sz w:val="16"/>
          <w:szCs w:val="16"/>
        </w:rPr>
        <w:softHyphen/>
        <w:t>ное время проходит госиспытание пушка в 23 мм.</w:t>
      </w:r>
    </w:p>
    <w:p w14:paraId="403DDC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Операция в Финляндии показали, что наши бомбардировщики имеют слабую огневую защиту. Необходимо было перевооружить самоле</w:t>
      </w:r>
      <w:r w:rsidRPr="00DB5D0D">
        <w:rPr>
          <w:rFonts w:ascii="Times New Roman" w:hAnsi="Times New Roman"/>
          <w:color w:val="000000" w:themeColor="text1"/>
          <w:sz w:val="16"/>
          <w:szCs w:val="16"/>
        </w:rPr>
        <w:softHyphen/>
        <w:t>ты СБ и ДЗ-3 на новые пулеметные установки МВ-3 и МВ-2.</w:t>
      </w:r>
    </w:p>
    <w:p w14:paraId="204B0A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Промышленностъ (НКАП) в срок выполнила заказы по МВ-3 и МВ-2, но ГУАС и ГУВВС не смогли своевременно все их установить на самолеты. По имеющимся сведениям, еще не установлено свыше 400 установок.</w:t>
      </w:r>
    </w:p>
    <w:p w14:paraId="79EAD5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Система снабжения от центра до периферии не организована. ГУАС не занимается на местах учетом, хранением, рацаональным использованием материальной части и не несет за это ответственности.</w:t>
      </w:r>
    </w:p>
    <w:p w14:paraId="411DFB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Действующий самолетный парк не обеспечен запасными моторами, по нормам недостает 4000 моторов. Части ВВС жалуются на отсутствие ходовых запчастей.</w:t>
      </w:r>
    </w:p>
    <w:p w14:paraId="3650E5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Центральные и окружные склады и авиабазы завалены старыми непригодными изделиями и материалами. Соттся вагонов неходового имущества лежат годами без всякого употребления.</w:t>
      </w:r>
    </w:p>
    <w:p w14:paraId="589166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Особо отстающим участком работы в системе ГУАС является работа НИИ. Качество испытания и заключений работников НИИ по госиспытаниям самолетов, моторов а др. приборов очень низкое. Руководство, нежелая портить отношения с промышленностью а главными конструкторами,часто дает удовлетворительную оценку испытанным об'ектам, при явных дефеутах и непригодности их.</w:t>
      </w:r>
    </w:p>
    <w:p w14:paraId="5D1244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Например: </w:t>
      </w:r>
    </w:p>
    <w:p w14:paraId="20E730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М-105 - госиспытания прошел в апреле 40 г. и лолучил удоялетворительнуо оценку, имея следующие дефекты: забрасывание масла из суфлера (случаи на "100" и "СЗ"); выливание бензина из поплавковой камеры на малых оборотах (были 5 случаев пожара в воздухе); падение давления масла на больших высотах</w:t>
      </w:r>
    </w:p>
    <w:p w14:paraId="603B08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w:t>
      </w:r>
      <w:r w:rsidRPr="00DB5D0D">
        <w:rPr>
          <w:rFonts w:ascii="Times New Roman" w:hAnsi="Times New Roman"/>
          <w:smallCaps/>
          <w:color w:val="000000" w:themeColor="text1"/>
          <w:sz w:val="16"/>
          <w:szCs w:val="16"/>
        </w:rPr>
        <w:t xml:space="preserve">отор М-88 </w:t>
      </w:r>
      <w:r w:rsidRPr="00DB5D0D">
        <w:rPr>
          <w:rFonts w:ascii="Times New Roman" w:hAnsi="Times New Roman"/>
          <w:color w:val="000000" w:themeColor="text1"/>
          <w:sz w:val="16"/>
          <w:szCs w:val="16"/>
        </w:rPr>
        <w:t>- госмспытания прошел в октябре мес. 39 г. и получил удовлетворительную оценку, имея следующие дефекты: задир поршней; поломка суппорта коромысла; переполнение картера маслом при повышенных температурах масла (падение мощности при этом доходят до 6%); недоработан карбюратор.</w:t>
      </w:r>
    </w:p>
    <w:p w14:paraId="53C56E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Моторы М-62 и М-63 НИИ испытывал два раза. В первый раз дал удовлетворительную оценку, во второй раз неудовлетворительную.</w:t>
      </w:r>
    </w:p>
    <w:p w14:paraId="581A24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Самолет ДБЗФ прошел госиспытания в сентябре 39 г. Признан пригодным для принятия на вооружение. В действительности сааолет оказался конструктивно недоработанным и программа по енму в 1 кв. с.г.бы</w:t>
      </w:r>
      <w:r w:rsidRPr="00DB5D0D">
        <w:rPr>
          <w:rFonts w:ascii="Times New Roman" w:hAnsi="Times New Roman"/>
          <w:color w:val="000000" w:themeColor="text1"/>
          <w:sz w:val="16"/>
          <w:szCs w:val="16"/>
        </w:rPr>
        <w:softHyphen/>
        <w:t>ла сорвана (дефекты самолета: складнвание ног шасси пря посадке; поломки колодок в тормозных ко</w:t>
      </w:r>
      <w:r w:rsidRPr="00DB5D0D">
        <w:rPr>
          <w:rFonts w:ascii="Times New Roman" w:hAnsi="Times New Roman"/>
          <w:color w:val="000000" w:themeColor="text1"/>
          <w:sz w:val="16"/>
          <w:szCs w:val="16"/>
        </w:rPr>
        <w:softHyphen/>
        <w:t>лесах; перегрев масла,- вследстзяе плохого качества и монтажа маслорадиатора).</w:t>
      </w:r>
    </w:p>
    <w:p w14:paraId="7E02EA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Самолет БШ - прзнан НИИ пригодным для запуска в серию 50-60 саиолетов. Сачолет имеет следующие дефекты: плохой обзор летчика и штурмана; не отработана крыльевая пулеметная установка; плохая устойчивость и управляемость самолета; не провере</w:t>
      </w:r>
      <w:r w:rsidRPr="00DB5D0D">
        <w:rPr>
          <w:rFonts w:ascii="Times New Roman" w:hAnsi="Times New Roman"/>
          <w:color w:val="000000" w:themeColor="text1"/>
          <w:sz w:val="16"/>
          <w:szCs w:val="16"/>
        </w:rPr>
        <w:softHyphen/>
        <w:t>на броня на пулестойкостъ.</w:t>
      </w:r>
    </w:p>
    <w:p w14:paraId="50DC87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Во всех частях и подразделенлях ВВС, особенно в период военных дейстзий, наблюдаются массовые случаи бесхозяйственного, бескультурного отношения к ислользованию и хранению авиаимущеетва и материалов (см. приложение) (10493,140).</w:t>
      </w:r>
    </w:p>
    <w:p w14:paraId="374E88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AE362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на НИП АВ закончились контрольные испытания осколочных авиабомб АО-2,5 сталистого чугуна (литье) снаряженных смесью К-2 (ТНТ+ДНН 80/20) методом раздельного снаряжения, которые проходили с 9 апреля 1940.</w:t>
      </w:r>
    </w:p>
    <w:p w14:paraId="60480C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472183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6BC269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определить:</w:t>
      </w:r>
    </w:p>
    <w:p w14:paraId="1C4B1449"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бомбы.</w:t>
      </w:r>
    </w:p>
    <w:p w14:paraId="0755FC14" w14:textId="77777777" w:rsidR="00A25AD1" w:rsidRPr="00DB5D0D" w:rsidRDefault="00A25AD1"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08B450A7"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в действии.</w:t>
      </w:r>
    </w:p>
    <w:p w14:paraId="0886D1CA" w14:textId="77777777" w:rsidR="00A25AD1" w:rsidRPr="00DB5D0D" w:rsidRDefault="00A25AD1" w:rsidP="00DB5D0D">
      <w:pPr>
        <w:pStyle w:val="24"/>
        <w:widowControl/>
        <w:tabs>
          <w:tab w:val="left" w:pos="360"/>
        </w:tabs>
        <w:rPr>
          <w:color w:val="000000" w:themeColor="text1"/>
        </w:rPr>
      </w:pPr>
      <w:r w:rsidRPr="00DB5D0D">
        <w:rPr>
          <w:color w:val="000000" w:themeColor="text1"/>
        </w:rPr>
        <w:lastRenderedPageBreak/>
        <w:t>Устойчивость бомб на траектории.</w:t>
      </w:r>
    </w:p>
    <w:p w14:paraId="372AF1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58FC5C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АО-2,5 сталистого чугуна (литье) снаряженные смесью К-2 (ТНТ+ДНН 80/20) методом раздельного снаряжения по осколочному действию, рациональному дроблению корпуса бомбы взрывчатым веществом, по безотказности действия и устойчивости на траектории дали удовлетворительные результаты и поэтому контрольные испытания выдержали (7549).</w:t>
      </w:r>
    </w:p>
    <w:p w14:paraId="77A30B0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44EA09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 закончились полигонные испытания ампул диаметром 260 мм со взрывателями конструкции завода № 145 на самолете СБ, которые проходили с 10 апреля 1940</w:t>
      </w:r>
    </w:p>
    <w:p w14:paraId="617CED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10BB45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4 отделения опытного отдела НИП АВ ГУАС Комарницкий</w:t>
      </w:r>
    </w:p>
    <w:p w14:paraId="7B657D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F8BFD4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боевые, эксплуатационные и конструктивные качества ампул диаметром 260 мм со взрывателями.</w:t>
      </w:r>
    </w:p>
    <w:p w14:paraId="388050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DA6CC5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Ампулы диаметром 260 мм со взрывателями полигонные испытания выдержали (7819).</w:t>
      </w:r>
    </w:p>
    <w:p w14:paraId="72FAD3D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1B9EBB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мая по 5 сентября 1940 на СБ с моторами М-105ТК-2 выполнили 12 полетов. Тогда же на скоростях 190-270 км/ч дал себя знать бафтинг - вибрация хвостового оперения, исчезавшая на большей скорости, хотя высокочастотная тряска органов управления оставалась. Возможной причиной ее стало возмущение воздушного потока за крылом газами, истекавшими из выхлопных устройств турбокомпрессоров. Это предположение отчасти подтвердилось после отклонения закрылков на 5-6°, но полностью устранить вибрацию так и не удалось (6409).</w:t>
      </w:r>
    </w:p>
    <w:p w14:paraId="3389EF7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DB557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15 мая 1940 количество поставленных Германией самолётов возросло до 23. 5 июня были получены ещё два «Хейнкеля-100». В конце мая немцы переправили в Ленинград недостроенный крейсер «Лютцов» (11208).</w:t>
      </w:r>
    </w:p>
    <w:p w14:paraId="40EC2DC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A46982" w14:textId="77777777" w:rsidR="00214DEE" w:rsidRPr="00DB5D0D" w:rsidRDefault="00214DE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15 мая 1940 количество поставленных Германией самолётов возросло до 23. 5 июня были получены ещё два «Хейнкеля-100». В конце мая немцы переправили в Ленинград недостроенный крейсер «Лютцов» [597] (18279).</w:t>
      </w:r>
    </w:p>
    <w:p w14:paraId="217067A3" w14:textId="77777777" w:rsidR="00214DEE" w:rsidRPr="00DB5D0D" w:rsidRDefault="00214DEE" w:rsidP="00DB5D0D">
      <w:pPr>
        <w:spacing w:after="0" w:line="240" w:lineRule="auto"/>
        <w:jc w:val="both"/>
        <w:rPr>
          <w:rFonts w:ascii="Times New Roman" w:hAnsi="Times New Roman"/>
          <w:color w:val="000000" w:themeColor="text1"/>
          <w:sz w:val="16"/>
          <w:szCs w:val="16"/>
        </w:rPr>
      </w:pPr>
    </w:p>
    <w:p w14:paraId="70448F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 заместитель начальника НИИ-3 НКБ военинженера 1 ранга А.Г.Костиков писал письмо главному инженеру 4-го ГУ НКБ военинженеру 1 ранга Березину, начальнику НИПАВ ВВС полков</w:t>
      </w:r>
      <w:r w:rsidRPr="00DB5D0D">
        <w:rPr>
          <w:rFonts w:ascii="Times New Roman" w:hAnsi="Times New Roman"/>
          <w:color w:val="000000" w:themeColor="text1"/>
          <w:sz w:val="16"/>
          <w:szCs w:val="16"/>
        </w:rPr>
        <w:softHyphen/>
        <w:t>нику Г.М.Шевченко, начальнику 1 отдела 3-го управления ГУАС КА бригадному инженеру М.П.Пономареву, начальнику 7 отдела УА ВМФ военинженеру 1 ранга Захарченко, начальнику 6 отделения 3 отдела ЧУ КА военинженеру 1 ранга В.В.Аборенкову.</w:t>
      </w:r>
    </w:p>
    <w:p w14:paraId="114830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договору с ГУАС КА, в 1939 г. НИИ-3 обязан спроектировать и отработать РОФС-82 и РОФС-132. В соответствии с ТТТ, ракетная часть должна дробиться на полезные осколки. На заводских испытаниях НИИ-3 и полигонных, проведенных на НИПАВ, обнаружено обычное и общее для РС данной схемы явление, то есть, тонкостенная часть ка</w:t>
      </w:r>
      <w:r w:rsidRPr="00DB5D0D">
        <w:rPr>
          <w:rFonts w:ascii="Times New Roman" w:hAnsi="Times New Roman"/>
          <w:color w:val="000000" w:themeColor="text1"/>
          <w:sz w:val="16"/>
          <w:szCs w:val="16"/>
        </w:rPr>
        <w:softHyphen/>
        <w:t>меры не разрывалась. Остаток составлял 30% от общего веса металла РС. Это обстоятельство служило причиной для НИПАВ признавать РС не выдержавшими полигонные испытания, невзирая на то, что все остальные характеристики весьма положительно отличали конструкцию 1939 г. от образцов 1938 г.</w:t>
      </w:r>
    </w:p>
    <w:p w14:paraId="196AD4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1939 г. и весь предыдущий достаточно убедительно показывает, что при сохранении уже установившейся принципиальной схемы РС не</w:t>
      </w:r>
      <w:r w:rsidRPr="00DB5D0D">
        <w:rPr>
          <w:rFonts w:ascii="Times New Roman" w:hAnsi="Times New Roman"/>
          <w:color w:val="000000" w:themeColor="text1"/>
          <w:sz w:val="16"/>
          <w:szCs w:val="16"/>
        </w:rPr>
        <w:softHyphen/>
        <w:t>возможно решить положительно поставленную задачу. Таким образом, возникает необходимость как можно скорее решить вопрос о выборе принципиального направления для разрешения поставленной задачи. По моему мнению, в настоящее время мы располагаем двумя способами: принципиально изменить схему РС или сохранить старую схему, но мак</w:t>
      </w:r>
      <w:r w:rsidRPr="00DB5D0D">
        <w:rPr>
          <w:rFonts w:ascii="Times New Roman" w:hAnsi="Times New Roman"/>
          <w:color w:val="000000" w:themeColor="text1"/>
          <w:sz w:val="16"/>
          <w:szCs w:val="16"/>
        </w:rPr>
        <w:softHyphen/>
        <w:t>симально облегчить ракетную часть РС.</w:t>
      </w:r>
    </w:p>
    <w:p w14:paraId="3258B8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Изменив схему РС с целью рационального решения, придется сде</w:t>
      </w:r>
      <w:r w:rsidRPr="00DB5D0D">
        <w:rPr>
          <w:rFonts w:ascii="Times New Roman" w:hAnsi="Times New Roman"/>
          <w:color w:val="000000" w:themeColor="text1"/>
          <w:sz w:val="16"/>
          <w:szCs w:val="16"/>
        </w:rPr>
        <w:softHyphen/>
        <w:t>лать толстостенную ракетную камеру, иначе эффективность осколоч-ности будет низкой. Утолщение стенок камеры отразится на измене</w:t>
      </w:r>
      <w:r w:rsidRPr="00DB5D0D">
        <w:rPr>
          <w:rFonts w:ascii="Times New Roman" w:hAnsi="Times New Roman"/>
          <w:color w:val="000000" w:themeColor="text1"/>
          <w:sz w:val="16"/>
          <w:szCs w:val="16"/>
        </w:rPr>
        <w:softHyphen/>
        <w:t>нии веса в сторону его увеличения и перераспределении масс относи</w:t>
      </w:r>
      <w:r w:rsidRPr="00DB5D0D">
        <w:rPr>
          <w:rFonts w:ascii="Times New Roman" w:hAnsi="Times New Roman"/>
          <w:color w:val="000000" w:themeColor="text1"/>
          <w:sz w:val="16"/>
          <w:szCs w:val="16"/>
        </w:rPr>
        <w:softHyphen/>
        <w:t>тельно центра тяжести. В итоге получим уменьшение максимальной скорости, что крайне невыгодно при скоростях современных самоле</w:t>
      </w:r>
      <w:r w:rsidRPr="00DB5D0D">
        <w:rPr>
          <w:rFonts w:ascii="Times New Roman" w:hAnsi="Times New Roman"/>
          <w:color w:val="000000" w:themeColor="text1"/>
          <w:sz w:val="16"/>
          <w:szCs w:val="16"/>
        </w:rPr>
        <w:softHyphen/>
        <w:t>тов. Центр тяжести резко переместится назад, что отразится на момен</w:t>
      </w:r>
      <w:r w:rsidRPr="00DB5D0D">
        <w:rPr>
          <w:rFonts w:ascii="Times New Roman" w:hAnsi="Times New Roman"/>
          <w:color w:val="000000" w:themeColor="text1"/>
          <w:sz w:val="16"/>
          <w:szCs w:val="16"/>
        </w:rPr>
        <w:softHyphen/>
        <w:t>те устойчивости РС в полете и, в лучшем случае, для сохранения преж</w:t>
      </w:r>
      <w:r w:rsidRPr="00DB5D0D">
        <w:rPr>
          <w:rFonts w:ascii="Times New Roman" w:hAnsi="Times New Roman"/>
          <w:color w:val="000000" w:themeColor="text1"/>
          <w:sz w:val="16"/>
          <w:szCs w:val="16"/>
        </w:rPr>
        <w:softHyphen/>
        <w:t>ней величины рассеивания мы будем вынуждены увеличить размах оперения. Таким образом, первый путь хотя и заманчив, но чреват по</w:t>
      </w:r>
      <w:r w:rsidRPr="00DB5D0D">
        <w:rPr>
          <w:rFonts w:ascii="Times New Roman" w:hAnsi="Times New Roman"/>
          <w:color w:val="000000" w:themeColor="text1"/>
          <w:sz w:val="16"/>
          <w:szCs w:val="16"/>
        </w:rPr>
        <w:softHyphen/>
        <w:t>следствиями ограниченной скорости как следствие изменения соот</w:t>
      </w:r>
      <w:r w:rsidRPr="00DB5D0D">
        <w:rPr>
          <w:rFonts w:ascii="Times New Roman" w:hAnsi="Times New Roman"/>
          <w:color w:val="000000" w:themeColor="text1"/>
          <w:sz w:val="16"/>
          <w:szCs w:val="16"/>
        </w:rPr>
        <w:softHyphen/>
        <w:t>ношения весов, возрастания аэродинамических потерь в результате Увеличения габаритов, которые отразятся на аэродинамических харак</w:t>
      </w:r>
      <w:r w:rsidRPr="00DB5D0D">
        <w:rPr>
          <w:rFonts w:ascii="Times New Roman" w:hAnsi="Times New Roman"/>
          <w:color w:val="000000" w:themeColor="text1"/>
          <w:sz w:val="16"/>
          <w:szCs w:val="16"/>
        </w:rPr>
        <w:softHyphen/>
        <w:t>теристиках самолета, не говоря уже о производственных и эксплуата</w:t>
      </w:r>
      <w:r w:rsidRPr="00DB5D0D">
        <w:rPr>
          <w:rFonts w:ascii="Times New Roman" w:hAnsi="Times New Roman"/>
          <w:color w:val="000000" w:themeColor="text1"/>
          <w:sz w:val="16"/>
          <w:szCs w:val="16"/>
        </w:rPr>
        <w:softHyphen/>
        <w:t>ционных недостатках.</w:t>
      </w:r>
    </w:p>
    <w:p w14:paraId="10B191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путь, по моему убеждению, более рационален:</w:t>
      </w:r>
    </w:p>
    <w:p w14:paraId="072D6E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Нет оснований настаивать на том, что РЗ не будет нормально го</w:t>
      </w:r>
      <w:r w:rsidRPr="00DB5D0D">
        <w:rPr>
          <w:rFonts w:ascii="Times New Roman" w:hAnsi="Times New Roman"/>
          <w:color w:val="000000" w:themeColor="text1"/>
          <w:sz w:val="16"/>
          <w:szCs w:val="16"/>
        </w:rPr>
        <w:softHyphen/>
        <w:t>реть в требуемом интервале начальных температур при максимальном Давлении в ракетной камере 250-270 кг/см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Можно утверждать, что без какого-либо вмешательства в рецептуру пороха и ощутимого уменьше</w:t>
      </w:r>
      <w:r w:rsidRPr="00DB5D0D">
        <w:rPr>
          <w:rFonts w:ascii="Times New Roman" w:hAnsi="Times New Roman"/>
          <w:color w:val="000000" w:themeColor="text1"/>
          <w:sz w:val="16"/>
          <w:szCs w:val="16"/>
        </w:rPr>
        <w:softHyphen/>
        <w:t>ния кпд ракеты максимальное давление можно уменьшить на 30-35% обеспечением соответствующих газодинамических условий движения продуктов сгорания по камере и через диафрагму и исключения влияния газовой динамики на процесс горения;</w:t>
      </w:r>
    </w:p>
    <w:p w14:paraId="74E61C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Опыт показал, что конструкция РЧ неравнопрочна. Та ее часть которая не дробится и является предметом обсуждения, на 60-80% боль</w:t>
      </w:r>
      <w:r w:rsidRPr="00DB5D0D">
        <w:rPr>
          <w:rFonts w:ascii="Times New Roman" w:hAnsi="Times New Roman"/>
          <w:color w:val="000000" w:themeColor="text1"/>
          <w:sz w:val="16"/>
          <w:szCs w:val="16"/>
        </w:rPr>
        <w:softHyphen/>
        <w:t>ше, чем места сочленения с головной частью и крышкой-соплом. Путем пересмотра конструкции и простых мероприятий (дополнения к конца^ цилиндра колец жесткости) можно достичь равнопрочности, а, следова</w:t>
      </w:r>
      <w:r w:rsidRPr="00DB5D0D">
        <w:rPr>
          <w:rFonts w:ascii="Times New Roman" w:hAnsi="Times New Roman"/>
          <w:color w:val="000000" w:themeColor="text1"/>
          <w:sz w:val="16"/>
          <w:szCs w:val="16"/>
        </w:rPr>
        <w:softHyphen/>
        <w:t>тельно, и уменьшения веса;</w:t>
      </w:r>
    </w:p>
    <w:p w14:paraId="3AD051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Возможно пересмотреть механические качества металла конст</w:t>
      </w:r>
      <w:r w:rsidRPr="00DB5D0D">
        <w:rPr>
          <w:rFonts w:ascii="Times New Roman" w:hAnsi="Times New Roman"/>
          <w:color w:val="000000" w:themeColor="text1"/>
          <w:sz w:val="16"/>
          <w:szCs w:val="16"/>
        </w:rPr>
        <w:softHyphen/>
        <w:t>рукции только цилиндрической части камеры в сторону увеличения ос-кол очности;</w:t>
      </w:r>
    </w:p>
    <w:p w14:paraId="64DD4A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Существующие нормы прочности необходимо пересмотреть в сто</w:t>
      </w:r>
      <w:r w:rsidRPr="00DB5D0D">
        <w:rPr>
          <w:rFonts w:ascii="Times New Roman" w:hAnsi="Times New Roman"/>
          <w:color w:val="000000" w:themeColor="text1"/>
          <w:sz w:val="16"/>
          <w:szCs w:val="16"/>
        </w:rPr>
        <w:softHyphen/>
        <w:t>рону их уменьшения, допустив остаточные деформации в цилиндриче</w:t>
      </w:r>
      <w:r w:rsidRPr="00DB5D0D">
        <w:rPr>
          <w:rFonts w:ascii="Times New Roman" w:hAnsi="Times New Roman"/>
          <w:color w:val="000000" w:themeColor="text1"/>
          <w:sz w:val="16"/>
          <w:szCs w:val="16"/>
        </w:rPr>
        <w:softHyphen/>
        <w:t>ской части, не влекущие за собой последствий, что недопустимо в маши</w:t>
      </w:r>
      <w:r w:rsidRPr="00DB5D0D">
        <w:rPr>
          <w:rFonts w:ascii="Times New Roman" w:hAnsi="Times New Roman"/>
          <w:color w:val="000000" w:themeColor="text1"/>
          <w:sz w:val="16"/>
          <w:szCs w:val="16"/>
        </w:rPr>
        <w:softHyphen/>
        <w:t>нах и артсистемах.</w:t>
      </w:r>
    </w:p>
    <w:p w14:paraId="187963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мы имеем значительные возможности существенно</w:t>
      </w:r>
      <w:r w:rsidRPr="00DB5D0D">
        <w:rPr>
          <w:rFonts w:ascii="Times New Roman" w:hAnsi="Times New Roman"/>
          <w:color w:val="000000" w:themeColor="text1"/>
          <w:sz w:val="16"/>
          <w:szCs w:val="16"/>
        </w:rPr>
        <w:softHyphen/>
        <w:t>го сокращения массы металла, не участвующего в осколочном действии, одновременно улучшив общие боевые качества РС уже установившейся схемы расположения БЧ и РЧ. Пересмотр схемы осколочных РС проти</w:t>
      </w:r>
      <w:r w:rsidRPr="00DB5D0D">
        <w:rPr>
          <w:rFonts w:ascii="Times New Roman" w:hAnsi="Times New Roman"/>
          <w:color w:val="000000" w:themeColor="text1"/>
          <w:sz w:val="16"/>
          <w:szCs w:val="16"/>
        </w:rPr>
        <w:softHyphen/>
        <w:t>воречит требованиям стандартизации РЧ независимо от их назначения, то есть, используется ли она для осколочных, химических, бронебойных, осветительных, сигнальных и т.п. назначений РС. Идя по пути дальней</w:t>
      </w:r>
      <w:r w:rsidRPr="00DB5D0D">
        <w:rPr>
          <w:rFonts w:ascii="Times New Roman" w:hAnsi="Times New Roman"/>
          <w:color w:val="000000" w:themeColor="text1"/>
          <w:sz w:val="16"/>
          <w:szCs w:val="16"/>
        </w:rPr>
        <w:softHyphen/>
        <w:t>шего изучения и управления процессом сгорания, усовершенствования конструкции РЗ, камер, вмешательства в рецептуру пороха, имеется воз</w:t>
      </w:r>
      <w:r w:rsidRPr="00DB5D0D">
        <w:rPr>
          <w:rFonts w:ascii="Times New Roman" w:hAnsi="Times New Roman"/>
          <w:color w:val="000000" w:themeColor="text1"/>
          <w:sz w:val="16"/>
          <w:szCs w:val="16"/>
        </w:rPr>
        <w:softHyphen/>
        <w:t>можность снижать требования, предъявляемые к прочности РС и РАБ всех назначений...».</w:t>
      </w:r>
    </w:p>
    <w:p w14:paraId="03FCC0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 что же, браво, товарищ Костиков! Политически он отстоял отече</w:t>
      </w:r>
      <w:r w:rsidRPr="00DB5D0D">
        <w:rPr>
          <w:rFonts w:ascii="Times New Roman" w:hAnsi="Times New Roman"/>
          <w:color w:val="000000" w:themeColor="text1"/>
          <w:sz w:val="16"/>
          <w:szCs w:val="16"/>
        </w:rPr>
        <w:softHyphen/>
        <w:t>ственную модульную схему реактивных боеприпасов. И если это письмо он действительно продиктовал сам без подсказок в виде докладных запи</w:t>
      </w:r>
      <w:r w:rsidRPr="00DB5D0D">
        <w:rPr>
          <w:rFonts w:ascii="Times New Roman" w:hAnsi="Times New Roman"/>
          <w:color w:val="000000" w:themeColor="text1"/>
          <w:sz w:val="16"/>
          <w:szCs w:val="16"/>
        </w:rPr>
        <w:softHyphen/>
        <w:t>сок от специалистов по внутренней, и внешней баллистике, а также по бризантности и технологов, то как главный инженер НИИ-3 НКБ. он вполне состоялся.</w:t>
      </w:r>
    </w:p>
    <w:p w14:paraId="126B99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Эксперты по зенитной артиллерии утверждают, что в этот период наиболее эффективной для поражения самолетов считалась укоро</w:t>
      </w:r>
      <w:r w:rsidRPr="00DB5D0D">
        <w:rPr>
          <w:rFonts w:ascii="Times New Roman" w:hAnsi="Times New Roman"/>
          <w:color w:val="000000" w:themeColor="text1"/>
          <w:sz w:val="16"/>
          <w:szCs w:val="16"/>
        </w:rPr>
        <w:softHyphen/>
        <w:t>ченная стержневая шрапнель А.А.Гартца (с накидками). Наряду с этой шрапнелью, зенитчики использовали и артснаряды с удлинен</w:t>
      </w:r>
      <w:r w:rsidRPr="00DB5D0D">
        <w:rPr>
          <w:rFonts w:ascii="Times New Roman" w:hAnsi="Times New Roman"/>
          <w:color w:val="000000" w:themeColor="text1"/>
          <w:sz w:val="16"/>
          <w:szCs w:val="16"/>
        </w:rPr>
        <w:softHyphen/>
        <w:t>ной стержневой шрапнелью Розенберга. Там боевые поражающие элементы изготавливали из отрезков тонких стальных труб различ</w:t>
      </w:r>
      <w:r w:rsidRPr="00DB5D0D">
        <w:rPr>
          <w:rFonts w:ascii="Times New Roman" w:hAnsi="Times New Roman"/>
          <w:color w:val="000000" w:themeColor="text1"/>
          <w:sz w:val="16"/>
          <w:szCs w:val="16"/>
        </w:rPr>
        <w:softHyphen/>
        <w:t>ной длины, залитых свинцом. Считалось, что различный радиус их разлета создаст более равномерное осколочное поле. Между тем на вооружение ракетно-осколочные снаряды с БЧ шрапнельного типа в довоенный период не поступили. Видимо, посчитали, что промахнувшись снарядом, лучше оставить какой-то процент вероятности поражения цели на проходе, чем откровенно промазать всем зарядом шрапнели (11402).</w:t>
      </w:r>
    </w:p>
    <w:p w14:paraId="44F18F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208DB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 на имя начальника НИПАВ ГУАС КА полковника Г.М.Шевченко от начальника 3 управления ГУАС КА военинженера 1 Ранга Никонова поступило письмо следующего содержания: «Имеющи</w:t>
      </w:r>
      <w:r w:rsidRPr="00DB5D0D">
        <w:rPr>
          <w:rFonts w:ascii="Times New Roman" w:hAnsi="Times New Roman"/>
          <w:color w:val="000000" w:themeColor="text1"/>
          <w:sz w:val="16"/>
          <w:szCs w:val="16"/>
        </w:rPr>
        <w:softHyphen/>
        <w:t>еся на полигоне РЗС-82 в количестве 199 штук включите в план испыта</w:t>
      </w:r>
      <w:r w:rsidRPr="00DB5D0D">
        <w:rPr>
          <w:rFonts w:ascii="Times New Roman" w:hAnsi="Times New Roman"/>
          <w:color w:val="000000" w:themeColor="text1"/>
          <w:sz w:val="16"/>
          <w:szCs w:val="16"/>
        </w:rPr>
        <w:softHyphen/>
        <w:t>нии на июнь сего года. Испытания проведите по стандартной программе без присутствия представителей промышленности по имеющимся у Вас ТТТ. Не совсем понятно, об РЗС-82 какой модели шла речь и этом послании. Возможно, это были снаряды модели 113600. Хотя, отсутствие разработчиком могло свидетельствовать и о тривиальных испытаниях РЗС-82 модели 3-00502. перес на ряженных в 1940 г. (11402).</w:t>
      </w:r>
    </w:p>
    <w:p w14:paraId="28E172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BE9676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431D7C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730C298" w14:textId="77777777" w:rsidR="00470B93" w:rsidRPr="00DB5D0D" w:rsidRDefault="00470B9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состоянию на 15 мая 1940 г. для первых двух машин заводом были изготовлены практически все детали. Из </w:t>
      </w:r>
      <w:hyperlink r:id="rId38" w:tgtFrame="_blank" w:history="1">
        <w:r w:rsidRPr="00DB5D0D">
          <w:rPr>
            <w:rStyle w:val="a5"/>
            <w:rFonts w:ascii="Times New Roman" w:hAnsi="Times New Roman"/>
            <w:color w:val="000000" w:themeColor="text1"/>
            <w:sz w:val="16"/>
            <w:szCs w:val="16"/>
          </w:rPr>
          <w:t>оперативной сводки</w:t>
        </w:r>
      </w:hyperlink>
      <w:r w:rsidRPr="00DB5D0D">
        <w:rPr>
          <w:rFonts w:ascii="Times New Roman" w:hAnsi="Times New Roman"/>
          <w:color w:val="000000" w:themeColor="text1"/>
          <w:sz w:val="16"/>
          <w:szCs w:val="16"/>
        </w:rPr>
        <w:t xml:space="preserve"> старшего военного представителя АБТУ РККА на заводе № 183 военинженер 2 ранга Д.М. Козырева от 18 мая 1940 г.: </w:t>
      </w:r>
    </w:p>
    <w:p w14:paraId="64A60314"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Чертежи и технологические процессы полностью спущены в производство. </w:t>
      </w:r>
    </w:p>
    <w:p w14:paraId="4FD10981"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Изготовление деталей: из общего числа 2362 наименований изготовлено 1716 наименований, причем на первые две машины детали изготовлены полностью за исключением нескольких наименований, которые сейчас изготавливаются взамен брака (кольца выключения) и кроме того нет нескольких наименований покупных деталей, из них подшипники и стартеры еще не поступили на завод. </w:t>
      </w:r>
    </w:p>
    <w:p w14:paraId="216681A4"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lastRenderedPageBreak/>
        <w:t xml:space="preserve">На первую машину уже собрано ряд агрегатов (коробка перемены передач, радиаторы, тормозные ленты и т.д.) остальные агрегаты собираются. Корпус первой машины поступит на сборку к 20/V-40г. </w:t>
      </w:r>
    </w:p>
    <w:p w14:paraId="74883A01"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Обеспечение всей серии: </w:t>
      </w:r>
    </w:p>
    <w:p w14:paraId="292638DE"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Имеется на 15/V-40 г.: </w:t>
      </w:r>
    </w:p>
    <w:p w14:paraId="3A6063E8"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Моторов – 5 шт. </w:t>
      </w:r>
    </w:p>
    <w:p w14:paraId="1EE58B28"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Радиаторов обеспечено заготовкой на 5 комплектов, на остальные – заготовки находятся в пути на завод. </w:t>
      </w:r>
    </w:p>
    <w:p w14:paraId="67184922"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Коробки перемены передач имеются на 2 машины собранные, заготовка и детали имеются на всю серию. </w:t>
      </w:r>
    </w:p>
    <w:p w14:paraId="29BA81C2"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Баки имеются готовые на две машины, остальные изготавливаются. </w:t>
      </w:r>
    </w:p>
    <w:p w14:paraId="7310B23C"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5. Главный фрикцион и бортовые – детали изготовлены на 10 комплектов – из-за отсутствия колец выключения не собираются (кольца будут готовы 17/V-40 г.). </w:t>
      </w:r>
    </w:p>
    <w:p w14:paraId="6292A1EE"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6. Тормозные ленты имеются на всю серию. </w:t>
      </w:r>
    </w:p>
    <w:p w14:paraId="2E5B044C" w14:textId="77777777" w:rsidR="00470B93" w:rsidRPr="00DB5D0D" w:rsidRDefault="00470B93"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 остальным группам детали частично находятся в обработке, остальные уже изготовлены. Ввиду того, что необходимое время на изготовление некоторых приспособлений и калибров очень большое, то многие детали приходится обрабатывать без наличия соответствующих приспособлений и калибров, что приводит к большому проценту брака и к отступлению от чертежей по механической обработке»</w:t>
      </w:r>
      <w:r w:rsidRPr="00DB5D0D">
        <w:rPr>
          <w:rFonts w:ascii="Times New Roman" w:hAnsi="Times New Roman"/>
          <w:color w:val="000000" w:themeColor="text1"/>
          <w:sz w:val="16"/>
          <w:szCs w:val="16"/>
        </w:rPr>
        <w:t xml:space="preserve">. </w:t>
      </w:r>
    </w:p>
    <w:p w14:paraId="74C0B378" w14:textId="77777777" w:rsidR="00470B93" w:rsidRPr="00DB5D0D" w:rsidRDefault="00470B93" w:rsidP="00DB5D0D">
      <w:pPr>
        <w:pStyle w:val="ae"/>
        <w:spacing w:before="0" w:after="0"/>
        <w:jc w:val="both"/>
        <w:rPr>
          <w:bCs/>
          <w:color w:val="000000" w:themeColor="text1"/>
          <w:sz w:val="16"/>
          <w:szCs w:val="16"/>
        </w:rPr>
      </w:pPr>
      <w:r w:rsidRPr="00DB5D0D">
        <w:rPr>
          <w:bCs/>
          <w:color w:val="000000" w:themeColor="text1"/>
          <w:sz w:val="16"/>
          <w:szCs w:val="16"/>
        </w:rPr>
        <w:t>[РГВА. Ф. 31811. Оп. 2. Д. 1181. Л. 116] (18076).</w:t>
      </w:r>
    </w:p>
    <w:p w14:paraId="1FB1F6F6" w14:textId="77777777" w:rsidR="00470B93" w:rsidRPr="00DB5D0D" w:rsidRDefault="00470B93" w:rsidP="00DB5D0D">
      <w:pPr>
        <w:pStyle w:val="ae"/>
        <w:spacing w:before="0" w:after="0"/>
        <w:jc w:val="both"/>
        <w:rPr>
          <w:color w:val="000000" w:themeColor="text1"/>
          <w:sz w:val="16"/>
          <w:szCs w:val="16"/>
        </w:rPr>
      </w:pPr>
    </w:p>
    <w:p w14:paraId="095BF24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w:t>
      </w:r>
    </w:p>
    <w:p w14:paraId="276AE03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РГВА Фонд 31811 Опись 3 Дело 2108 листы 2 – 20 </w:t>
      </w:r>
    </w:p>
    <w:p w14:paraId="4A279370"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6B500F2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Экз. № 2 </w:t>
      </w:r>
    </w:p>
    <w:p w14:paraId="7961E803"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"УТВЕРЖДАЮ" </w:t>
      </w:r>
    </w:p>
    <w:p w14:paraId="3C0EB8BF"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АВТО-БРОНЕТАНКОВОГО УПРАВЛЕНИЯ КРАСНОЙ АРМИИ </w:t>
      </w:r>
    </w:p>
    <w:p w14:paraId="1BD24264"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КОМАНДАРМ II РАНГА подпись (ПАВЛОВ) </w:t>
      </w:r>
    </w:p>
    <w:p w14:paraId="6C49C95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Июня 1940 г. </w:t>
      </w:r>
    </w:p>
    <w:p w14:paraId="65BE3F0F"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"УТВЕРЖДАЮ" </w:t>
      </w:r>
    </w:p>
    <w:p w14:paraId="4E8619A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ВОЕННЫЙ КОМИССАР АВТО-БРОНЕТАНКОВОГО УПРАВЛЕНИЯ КРАСНОЙ АРМИИ </w:t>
      </w:r>
    </w:p>
    <w:p w14:paraId="099341DD"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ДИВИЗИОННЫЙ КОМИССАР подпись (КУЛИКОВ) </w:t>
      </w:r>
    </w:p>
    <w:p w14:paraId="71526A1D"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Июня 1940 г. </w:t>
      </w:r>
    </w:p>
    <w:p w14:paraId="01BDC88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"УТВЕРЖДАЮ" </w:t>
      </w:r>
    </w:p>
    <w:p w14:paraId="68C2D5C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УПРАВЛЕНИЯ СВЯЗИ КРАСНОЙ АРМИИ </w:t>
      </w:r>
    </w:p>
    <w:p w14:paraId="158F50D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КОМДИВ подпись (НАЙДЕНОВ) </w:t>
      </w:r>
    </w:p>
    <w:p w14:paraId="361D1F0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мая 1940 года </w:t>
      </w:r>
    </w:p>
    <w:p w14:paraId="163BF7A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"УТВЕРЖДАЮ" </w:t>
      </w:r>
    </w:p>
    <w:p w14:paraId="1597BC2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ВОЕННЫЙ КОМИССАР УПРАВЛЕНИЯ СВЯЗИ КРАСНОЙ АРМИИ </w:t>
      </w:r>
    </w:p>
    <w:p w14:paraId="7919BD6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БРИГАДНЫЙ КОМИССАР подпись (МУРАВЬЕВ) </w:t>
      </w:r>
    </w:p>
    <w:p w14:paraId="6B8493E0"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мая 1940 г. </w:t>
      </w:r>
    </w:p>
    <w:p w14:paraId="5829E8B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ЗАКЛЮЧИТЕЛЬНЫЙ АКТ</w:t>
      </w:r>
    </w:p>
    <w:p w14:paraId="5AD0B2E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ПОЛИГОННЫМ ИСПЫТАНИЯМ ОБРАЗЦОВ ТАНКОВОЙ РАДИОСТАНЦИИ</w:t>
      </w:r>
    </w:p>
    <w:p w14:paraId="136D2C2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ТИПА КРСТБ ЗАВОДА № 203</w:t>
      </w:r>
    </w:p>
    <w:p w14:paraId="5E42B56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мая 1940 г. </w:t>
      </w:r>
    </w:p>
    <w:p w14:paraId="4035C180"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НИАБТ ПОЛИГОН АБТУ К.А.</w:t>
      </w:r>
    </w:p>
    <w:p w14:paraId="694D353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5 по 17 мая 1940 г. на основании приказа Начальника Автобронетанкового Управления К.А. и Начальника Управления Связи К.А. от 28 апреля 1940 г. за № 022/016 комиссия в составе: </w:t>
      </w:r>
    </w:p>
    <w:p w14:paraId="51FFB0D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ПРЕДСЕДАТЕЛЯ КОМИССИИ: ПОЛКОВНИКА тов. СУЛЕЙКОВА К.Ф. </w:t>
      </w:r>
    </w:p>
    <w:p w14:paraId="5930CA00"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ЧЛЕНОВ КОМИССИИ: </w:t>
      </w:r>
    </w:p>
    <w:p w14:paraId="3FC2594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Начальника лаборатории 1-го отдела НИИСТ К.А. Военинженера 1 ранга тов. ОРЛОВА Н.А. </w:t>
      </w:r>
    </w:p>
    <w:p w14:paraId="1DE825F4"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Пом. Начальника 3 отдела УС КА Капитана тов. Кривошеева П.М. </w:t>
      </w:r>
    </w:p>
    <w:p w14:paraId="6E04D2B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Ст. инженера 4 отделения 4 отдела АБТУ КА Военинженера 3 ранга тов. Очеретенко И.И. </w:t>
      </w:r>
    </w:p>
    <w:p w14:paraId="4A147E7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Пом. Начальника 3 отделения 2 отдела АБТУ КА Майора тов. Леонова К.И. </w:t>
      </w:r>
    </w:p>
    <w:p w14:paraId="0F454A5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Начальника 2-го отделения 4 отдела НИАБТ полигона АБТУ КА Военинженера 2 ранга Малявина И.М. </w:t>
      </w:r>
    </w:p>
    <w:p w14:paraId="7040D52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Представителя завода № 203 НКЭП ведущего инженера по рации КРСТБ тов. Гальперина Е.Р. </w:t>
      </w:r>
    </w:p>
    <w:p w14:paraId="023DF6D7"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Представителя НИИ-20 НКЭП Начальника лаборатории тов. Фин А.А. </w:t>
      </w:r>
    </w:p>
    <w:p w14:paraId="1E33361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Представителя Главспецмаша НКСМ старшего инженера 3 отдела тов. Тихонова Н.Ф. </w:t>
      </w:r>
    </w:p>
    <w:p w14:paraId="2DAF4C6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Представителя Кировского завода – конструктора тов. Меренкова С.Н. </w:t>
      </w:r>
    </w:p>
    <w:p w14:paraId="3913DF4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Представителя завода № 174 инженера тов. Журик Н.Д. </w:t>
      </w:r>
    </w:p>
    <w:p w14:paraId="4A6A171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Представителя завода № 183 Зав. лабораторией тов. Семененко. </w:t>
      </w:r>
    </w:p>
    <w:p w14:paraId="630494D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Представителя завода № 37 – инженера-конструктора тов. Ютт Е.М. </w:t>
      </w:r>
    </w:p>
    <w:p w14:paraId="41CEBA8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Провела полигонные испытания образцов танковой радиостанции типа КРСТБ, изготовленной заводом № 203. </w:t>
      </w:r>
    </w:p>
    <w:p w14:paraId="32D665E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ОБЪЕКТ ИСПЫТАНИЙ.</w:t>
      </w:r>
    </w:p>
    <w:p w14:paraId="6610CDE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Два комплекта образца танковой радиостанции типа КРСТБ разработки завода № 203 Народного Комиссариата Электропромышленности СССР. Образец КРСТБ прошел заводские испытания с 5 по 27 апреля 1940 года. </w:t>
      </w:r>
    </w:p>
    <w:p w14:paraId="2DB7CF1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Передатчик образца рации работает на 15 стабилизированных кварцем фиксированных волнах №№ 150, 152, 160, 170, 188, 190, 192, 200, 202, 210, 220, 230, 238, 240. </w:t>
      </w:r>
    </w:p>
    <w:p w14:paraId="7F916E3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Приемник образца рации работает на таких же стабилизированных кварцем фиксированных волнах. Кроме того, приемник рации имеет плавный диапазон для связи с радиостанциями, передатчики которых работают без кварцевой стабилизации. </w:t>
      </w:r>
    </w:p>
    <w:p w14:paraId="093E164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Органы настройки частоты приемника на плавном диапазоне – 1 ручка. </w:t>
      </w:r>
    </w:p>
    <w:p w14:paraId="2DE9D45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Органы настройки частоты приемника – на кварцованном диапазоне – отсутствуют. </w:t>
      </w:r>
    </w:p>
    <w:p w14:paraId="7E842E6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ОРГАНЫ НАСТРОЙКИ ЧАСТОТЫ ПЕРЕДАТЧИКА ПРИ ПЕРЕХОДЕ С РАБОЧЕЙ ВОЛНЫ НА ЗАПАСНУЮ – ОТСУТСТВУЮТ. </w:t>
      </w:r>
    </w:p>
    <w:p w14:paraId="2FF4F79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ОРГАНЫ ПРЕДВАРИТЕЛЬНОЙ НАСТРОЙКИ ЧАСТОТЫ ПЕРЕДАТЧИКА НА ОДНУ ЗАДАННУЮ ВОЛНУ – 1 РУЧКА. </w:t>
      </w:r>
    </w:p>
    <w:p w14:paraId="63CC25E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ПРОЦЕССЕ ВЕДЕНИЯ РАДИОСВЯЗИ ПРИ КВАРЦОВАННОМ ДИАПАЗОНЕ ОРГАНОВ УПРАВЛЕНИЯ РАЦИЕЙ – 1: НАГРУДНЫЙ ПЕРЕКЛЮЧАТЕЛЬ ПЕРЕХОДА С ПРИЕМА НА ПЕРЕДАЧУ. </w:t>
      </w:r>
    </w:p>
    <w:p w14:paraId="29D760B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ПИТАНИЕ РАЦИИ от бортовой сети танка. Потребление энергии от бортовой сети при работе на передачу 180 ватт (15 А.×12в.); при работе на прием – 60 ватт (5 А.×12в.). </w:t>
      </w:r>
    </w:p>
    <w:p w14:paraId="46A63D1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Рация смонтирована на общей резиновой амортизации в трех съемных укладках (приемник, передатчик и агрегат питания). </w:t>
      </w:r>
    </w:p>
    <w:p w14:paraId="7282C22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Вес образца рации (рабочий комплект) в алюминиевых кожухах – 25 кг. </w:t>
      </w:r>
    </w:p>
    <w:p w14:paraId="1D5EEC0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Габариты рации – 31 кб. дцм. </w:t>
      </w:r>
    </w:p>
    <w:p w14:paraId="5D9148E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РАЦИЯ РАБОТАЕТ НА ШТЫРЕВУЮ АНТЕННУ ВЫСОТОЙ ОТ 0,5 мт. ДО 4-х МЕТРОВ, В ЗАВИСИМОСТИ ОТ НЕОБХОДИМЫХ ДАЛЬНОСТЕЙ РАДИОСВЯЗИ. </w:t>
      </w:r>
    </w:p>
    <w:p w14:paraId="29A735B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ЦЕЛЬ ИСПЫТАНИЙ.</w:t>
      </w:r>
    </w:p>
    <w:p w14:paraId="0EC3845F"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Установить дальности устойчивой надежной радиосвязи между бронеобъектами, обеспечиваемые образцами рации типа КРСТБ при штыревой антенне различной высоты, на различной местности и в различное время суток на стоянке и на ходу. </w:t>
      </w:r>
    </w:p>
    <w:p w14:paraId="7DB9E56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Установить степень надежности радиосвязи между рацией типа КРСТБ и рациями, работающими без кварцевой стабилизации (71-ТК, 5-АК-1). </w:t>
      </w:r>
    </w:p>
    <w:p w14:paraId="5FA2D020"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Установить степень удобства размещения рации типа КРСТБ в бронеобъектах разных типов (А-7, Т-26, Т-40, БА-20 и БА-10). </w:t>
      </w:r>
    </w:p>
    <w:p w14:paraId="0417338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Дать сравнительную характеристику эксплоатационных и конструктивных данных образцов рации типа КРСТБ с рациями 71-ТК-1 и 71-ТК-3. </w:t>
      </w:r>
    </w:p>
    <w:p w14:paraId="09202B4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УСЛОВИЯ ИСПЫТАНИЙ.</w:t>
      </w:r>
    </w:p>
    <w:p w14:paraId="3228A127"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Полигонные испытания образцов рации типа КРСТБ проводились с 7 по 17 мая 1940 года на НИАБТ полигоне АБТУ К.А. </w:t>
      </w:r>
    </w:p>
    <w:p w14:paraId="5BBB19A7"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Полевые испытания на связь проводились на танках типа А-7 и Т-26. </w:t>
      </w:r>
    </w:p>
    <w:p w14:paraId="33D3F64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Размещение рации КРСТБ проводилось на бронеобъектах: А-7, Т-26, Т-40, БА-20 и БА-10. </w:t>
      </w:r>
    </w:p>
    <w:p w14:paraId="659B0C9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определения дальностей связи в дневное время было проведено 5 полевых выездов. </w:t>
      </w:r>
    </w:p>
    <w:p w14:paraId="083F6CD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определения дальностей связи в ночных условиях был проведен 1 полевой выезд. </w:t>
      </w:r>
    </w:p>
    <w:p w14:paraId="043FB92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определения связи рации КРСТБ с рациями 71-ТК-1 и 5 АК-1 было проведено 2 выезда. </w:t>
      </w:r>
    </w:p>
    <w:p w14:paraId="1BAF758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определения дальности кодовой связи с телекодом ТК-12 – 1 выезд. </w:t>
      </w:r>
    </w:p>
    <w:p w14:paraId="353C536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Испытания проводились в районе г. Кубинка – Одинцово – г. Звенигород – Симбухово – ст. Дорохово. </w:t>
      </w:r>
    </w:p>
    <w:p w14:paraId="6659237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Местность в районе испытаний пересеченная: большие лесные массивы, речки, болотистые участки, спуски, подъемы, несколько телефонно-телеграфных магистралей, железнодорожные линии и много местных телефонных линий. </w:t>
      </w:r>
    </w:p>
    <w:p w14:paraId="04B3304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Погода в период испытаний: сухая, теплая, без осадков. Температура днем +20˚ +25˚С. Ночью +10˚ +15˚С. </w:t>
      </w:r>
    </w:p>
    <w:p w14:paraId="6950D52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Дороги: асфальт, булыжник, проселок, поле, пашня. </w:t>
      </w:r>
    </w:p>
    <w:p w14:paraId="5D0E61E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Скорости хода – до 25 – 30 км/час. </w:t>
      </w:r>
    </w:p>
    <w:p w14:paraId="0BCEDD3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период испытаний с утра до 14 – 15 часов атмосферные помехи незначительные. С 15 – 16 часов атмосферные помехи 13 и 15.V достигали значительной силы. Периодически были значительные помехи со стороны посторонних телеграфных радиостанций. В период ночных испытаний 10.V – очень сильные атмосферные помехи и помехи от телеграфных раций. </w:t>
      </w:r>
    </w:p>
    <w:p w14:paraId="1A09825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Основная работа на передачу проводилась при применении ларингофона. Проверена также телеграфная связь. Основные волны связи №№ 150, 152 и 240. Проверена связь на всех остальных волнах диапазона. </w:t>
      </w:r>
    </w:p>
    <w:p w14:paraId="79D9102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качестве антенны была применена серийная танковая штыревая антенна типа АШТ с разными высотами: 1 мт., 2 мт., 3 мт. и 4 мт. Кроме того, была проведена связь при работе рации на один амортизатор антенны АШТ, а также на амортизатор с наставленной на него проволочной метелкой. </w:t>
      </w:r>
    </w:p>
    <w:p w14:paraId="174D80E3"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Прием производился на нормальные головные телефоны с антишумовыми заглушками авиационного типа. Передача осуществлялась при помощи ларингофонов также авиационного типа, смонтированных на ремешках в шлеме. </w:t>
      </w:r>
    </w:p>
    <w:p w14:paraId="13563A57"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Проверка связи производилась путем передачи служебных кодированных переговоров и кратких радиограмм. </w:t>
      </w:r>
    </w:p>
    <w:p w14:paraId="6E08E61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РЕЗУЛЬТАТЫ ИСПЫТАНИЙ.</w:t>
      </w:r>
    </w:p>
    <w:p w14:paraId="666FA29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РЕЗУЛЬТАТЕ ПРОВЕДЕННЫХ ПОЛИГОННЫХ ИСПЫТАНИЙ БЫЛИ УСТАНОВЛЕНЫ СЛЕДУЮЩИЕ ДАЛЬНОСТИ СВЯЗИ И ЭКСПЛУАТАЦИОННЫЕ ДАННЫЕ РАЦИИ КРСТБ: </w:t>
      </w:r>
    </w:p>
    <w:p w14:paraId="63BDA1D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При работе в условиях сухой, теплой погоды, в пересеченной местности с наличием больших лесных участков, населенных пунктов, спусков и подъемов, отдельных болотистых участков, нескольких телефонно-телеграфных магистралей и железных дорог и большого количества местных телефонных линий, на разных дорогах (проселочная, полевая, булыжник) радиостанция тип КРСТБ при работе с однотипной рацией обеспечивает следующие дальности устойчивой, надежной радиосвязи при работе ларингофоном при посторонних электрических помехах среднего уровня: </w:t>
      </w:r>
    </w:p>
    <w:p w14:paraId="7CF7BD20"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 ДНЕВНОЕ ВРЕМЯ (до 18 – 20 часов). </w:t>
      </w:r>
    </w:p>
    <w:p w14:paraId="471F8204"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При работе на штырь 4 метра </w:t>
      </w:r>
    </w:p>
    <w:p w14:paraId="1ECBA40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ходу обоих машин 25 – 30 км. </w:t>
      </w:r>
    </w:p>
    <w:p w14:paraId="055F77F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стоянке 40 – 45 км. </w:t>
      </w:r>
    </w:p>
    <w:p w14:paraId="3A89B15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При работе на штырь 3 метра </w:t>
      </w:r>
    </w:p>
    <w:p w14:paraId="4F645CE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стоянке 30 – 35 км. </w:t>
      </w:r>
    </w:p>
    <w:p w14:paraId="584DA42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ходу 18 – 20 км. </w:t>
      </w:r>
    </w:p>
    <w:p w14:paraId="35A00F0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При работе на штырь 2 метра </w:t>
      </w:r>
    </w:p>
    <w:p w14:paraId="586DD16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стоянке 20 – 25 км. </w:t>
      </w:r>
    </w:p>
    <w:p w14:paraId="0807C71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ходу 13 – 15 км. </w:t>
      </w:r>
    </w:p>
    <w:p w14:paraId="2D6DB9A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При работе на штырь 1 метр </w:t>
      </w:r>
    </w:p>
    <w:p w14:paraId="65786F5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стоянке 8 – 9 км. </w:t>
      </w:r>
    </w:p>
    <w:p w14:paraId="585472D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ходу 5 – 6 км. </w:t>
      </w:r>
    </w:p>
    <w:p w14:paraId="3AC65CD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При работе на амортизатор с металлической метелкой наверху </w:t>
      </w:r>
    </w:p>
    <w:p w14:paraId="66E4DA4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стоянке 7 – 8 км. </w:t>
      </w:r>
    </w:p>
    <w:p w14:paraId="7495DF4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ходу 4 – 5 км. </w:t>
      </w:r>
    </w:p>
    <w:p w14:paraId="34A2B32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 При работе на амортизатор антенны </w:t>
      </w:r>
    </w:p>
    <w:p w14:paraId="60C0BB3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стоянке до 500 мт. </w:t>
      </w:r>
    </w:p>
    <w:p w14:paraId="5CDAD5BD"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В НОЧНОЕ ВРЕМЯ (с 0 до 5.00) </w:t>
      </w:r>
    </w:p>
    <w:p w14:paraId="5246ACA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При работе на штырь 4 метра </w:t>
      </w:r>
    </w:p>
    <w:p w14:paraId="7C5B035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стоянке 23 – 25 км. </w:t>
      </w:r>
    </w:p>
    <w:p w14:paraId="4A9D38E4"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ходу 13 – 15 км. </w:t>
      </w:r>
    </w:p>
    <w:p w14:paraId="0C9C538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1. При благоприятных условиях местности приведенные дальности могут повышаться. Так, при испытаниях 9.V при штыре 4 мт. была получена дальность связи на стоянке до 60 км. и на ходу по полю до 40 км. </w:t>
      </w:r>
    </w:p>
    <w:p w14:paraId="643D2D9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Дальность телеграфной работы практически одинакова с дальностью работы ларингофоном. </w:t>
      </w:r>
    </w:p>
    <w:p w14:paraId="1A0A177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На плавном диапазоне приемника дальности связи те же, но с меньшим запасом громкости. </w:t>
      </w:r>
    </w:p>
    <w:p w14:paraId="10336A3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На ходу танка, особенно А-7, по сухому асфальтированному шоссе в летнее время, в следствие возникающих электрических помех от электризации ходовой части танка, дальность связи на ходу сильно понижается (в 1,5 – 2 раза). </w:t>
      </w:r>
    </w:p>
    <w:p w14:paraId="1F7E204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Проведенные полигонные испытания показали, что рация типа КРСТБ обеспечивает полную возможность поддержания связи с рациями, передатчики которых работают без кварцевой стабилизации, что достигается путем использования плавного диапазона приемника КРСТБ, имеющего одну ручку настройки этого диапазона. Так в процессе испытаний 11 и 14 мая была получена надежная двухсторонняя связь телефоном рации КРСТБ с рацией 71-ТК-1 до расстояния 15 км. и с рацией 5-АК-1 до расстояния 18 км. Эти дальности связи не являются предельными, но сверх указанных расстояний радиосвязь не проверялась. </w:t>
      </w:r>
    </w:p>
    <w:p w14:paraId="44A970B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Рация типа КРСТБ, имея сравнительно с 71-ТК-1 небольшие габариты (31 кб. дцм. против 100 кб. дцм.) и практически полное отсутствие дополнительного электрического монтажа при установке ее в бронеобъекты (включение двух проводов против 22 проводов у 71-ТК-1 и 16 проводов у 71-ТК-3) размещается в бронеобъектах и снимается с них в течение 15 – 20 мин. против нескольких часов, потребных для рации 71-ТК-1. Небольшие габариты рации обеспечивают возможность увеличения боеприпасов бронеобъекта. </w:t>
      </w:r>
    </w:p>
    <w:p w14:paraId="3356721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Положительным качеством рации КРСТБ является также небольшой, сравнительно с 71-ТК-1, вес (порядка 30 кг. против 85 – 90 кг.), что особенно важно для таких бронеобъектов как БА-20, БА-10 и Т-40. </w:t>
      </w:r>
    </w:p>
    <w:p w14:paraId="166423D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Возможность, кроме компоновки рации КРСТБ в одном общем агрегате, и раздельного размещения ее основных элементов (с придачей дополнительной амортизации) облегчает размещение рации в бронеобъектах с весьма ограниченными габаритами, как например, в машине Т-40, что установлено комиссией практически на этой машине. </w:t>
      </w:r>
    </w:p>
    <w:p w14:paraId="1ABED0A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 процессе полигонных испытаний проанализированы, кроме приведенных выше (вес, габариты, монтаж, установка и снятие), также и следующие данные рации КРСТБ сравнительно с рацией 71-ТК-1: </w:t>
      </w:r>
    </w:p>
    <w:p w14:paraId="2556AA2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Рация КРСТБ обеспечивает полную возможность работы при штыре любой высоты в пределах антенны типа АШТ, с соответствующим изменением дальности связи (см. п.1). Рация 71-ТК-1 и 71-ТК-3 позволяют в основном работать только при штыре высотой 4 метра. При изменении длины штыря у рации 71-ТК-1 может быть нарушено перекрытие диапазона. </w:t>
      </w:r>
    </w:p>
    <w:p w14:paraId="08CB333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Питание рации КРСТБ полностью осуществляется от бортовой сети танка без придачи дополнительных источников питания в виде щелочного аккумулятора (71-ТК-3) и кроме того сухих батарей (71-ТК-1). При работе на передачу рация КРСТБ потребляет от бортовой сети 180 ватт против 195 ватт (рация 71-ТК-1) и 220 ватт (рация 71-ТК-3). Однако при работе на прием рация КРСТБ потребляет 60 ватт, что в 2,4 раза больше чем у рации 71-ТК-3. </w:t>
      </w:r>
    </w:p>
    <w:p w14:paraId="7678F85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Рация КБСТБ очень проста в эксплоатации: при работе на кварцованном диапазоне и при неизменной антенне отсутствует необходимость какой-либо подстройки рации в процессе радиосвязи независимо от изменения расстояния между корреспондентами и от продолжительности радиосвязи. Все управление рацией сводится к переходу, по мере надобности, с приема на передачу при помощи нагрудного переключателя. </w:t>
      </w:r>
    </w:p>
    <w:p w14:paraId="19DCB56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управления рацией не требуется квалификация связиста и предварительной продолжительной тренировки. От оператора требуется лишь соблюдение элементарных правил: </w:t>
      </w:r>
    </w:p>
    <w:p w14:paraId="4328952D"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 произносить при работе на передачу передаваемые слова ровным нормальным голосом, не торопясь и не проглатывая букв и слогов; </w:t>
      </w:r>
    </w:p>
    <w:p w14:paraId="06EFA7E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периодически следить за исправностью передатчика по контрольной лампочке и за исправностью приемника по контрольной лампочке и по наличию нормального шума в головных телефонах; </w:t>
      </w:r>
    </w:p>
    <w:p w14:paraId="330835F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в). уметь переключать переключатель приемника или передатчика или обоих вместе в случае требования корреспондента о переходе на другую волну. </w:t>
      </w:r>
    </w:p>
    <w:p w14:paraId="5D0BD6D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этом при вхождении в связь не требуется предварительной и кропотливой работы по налаживанию этой связи в виде настройки рукояток и их периодической подстройки в процессе связи. У рации КРСТБ надежная связь в пределах допустимой дальности получается автоматически, если принимающий корреспондент имеет телефоны на ушах и слушает на надлежащей волне связи. </w:t>
      </w:r>
    </w:p>
    <w:p w14:paraId="2A3CFAB3"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Наличие ларингофона в рации КРСТБ (вместо микрофона) освобождает руки оператора при работе на передачу, не стесняя таким образом боевую работу командира танка. что имеет место при применении микрофона. </w:t>
      </w:r>
    </w:p>
    <w:p w14:paraId="006A78A7"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радиосвязи по рации 71-ТК-1 все отмеченные моменты значительно сложнее и нередко являются причиной отсутствия радиосвязи. Эффективная работа на рации 71-ТК-1 возможна только после внимательной и продолжительной практической тренировки оператора по управлению рацией и по практической радиосвязи. Переход с приема не передачу занимает 2 – 3 сек. и осуществляется нагрудным переключателем. </w:t>
      </w:r>
    </w:p>
    <w:p w14:paraId="0FA3470F"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организации радиосетей, состоящих из нескольких (иногда – многих) раций, рация КРСТБ на кварцованном диапазоне автоматически обеспечивает надежную взаимную радиосвязь корреспондентов без какой-либо подстройки одного корреспондента на другого. Все корреспонденты при вставлении кварцевого стабилизатора на заданную волну связи сразу все включаются в установленную сеть связи. Успех радиосвязи дальше решает только дисциплина работы. </w:t>
      </w:r>
    </w:p>
    <w:p w14:paraId="05E9BA4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рации 71-ТК-1 после предварительной настройки радиосеть связи практически удается установить лишь одностороннюю: от одного передающего корреспондента к остальным принимающим. При смене передающего корреспондента, что всегда возможно в бою, радиосвязь в большинстве случаев будет нарушена. При работе в радиосети передача от подчиненного (принимающего) корреспондента к начальнику (передающему) практически в большинстве случаев будет бесцельной. Все эти данные определяются имеющимся у рации с плавным диапазоном расхождением в их градуировке волн, изменяющейся в зависимости от времени и условий эксплоатации рации. </w:t>
      </w:r>
    </w:p>
    <w:p w14:paraId="729B309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рации КРСТБ обеспечена при работе на кварцованном диапазоне возможность предельно простого и быстрого (2 – 3 сек.) перехода с одной из двух волн на другую, а следовательно и переход с одного направления связи на другое простым поворотом переключателя без нарушения надежности радиосвязи. Это одинаково легко осуществляется и на стоянке и на ходу. При рации 71-ТК-1 на стоянке это сопряжено с трудностями и с последующей работой по налаживанию радиосвязи, а на ходу практически невозможно. </w:t>
      </w:r>
    </w:p>
    <w:p w14:paraId="46A49C7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работе на плавном диапазоне приемника рации КРСТБ вхождение в связь также значительно проще, чем на рации 71-ТК-1, благодаря наличию только одной ручки настройки вместо 4-х (у 71-ТК-1) и приближается к условиям, обеспечиваемым современными одноручечными войсковыми приемниками с плавной настройкой, и в некоторой степени с теми же недостатками, которые были описаны выше. </w:t>
      </w:r>
    </w:p>
    <w:p w14:paraId="34133D8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 процессе испытаний были зафиксированы следующие случаи отказа в работе кварцевых стабилизаторов: </w:t>
      </w:r>
    </w:p>
    <w:p w14:paraId="612D062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кварцевый стабилизатор на волну № 150 передатчика рации комплекта № 1 при полевых испытаниях 7.V давал неустойчивую генерацию передатчика и поэтому был снят с работы. Связь пришлось перевести на кварц. волну № 152. </w:t>
      </w:r>
    </w:p>
    <w:p w14:paraId="17525F17"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при полевых испытаниях 9.V было обнаружено, что связь на кварцованном диапазоне на волне № 200 отсутствует. Исследование в лаборатории показало, что причиной этого является изменение частоты кварцевого стабилизатора на волну № 200 передатчика рации комплекта № 2. </w:t>
      </w:r>
    </w:p>
    <w:p w14:paraId="4E16A310"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при полевых испытаниях 15.V эта волна была проверена снова с тем же результатом. </w:t>
      </w:r>
    </w:p>
    <w:p w14:paraId="557A6F0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Кроме того, при полевых испытаниях 15.V было обнаружено, что кварцевый стабилизатор на волну № 152 передатчика рации комплекта № 1 обеспечивал периодически (3 – 4 раза) возникновение генерации передатчика лишь с задержкой после момента включения передатчика на передачу. Задержка наблюдалась от 1 – 2 сек. до 15 – 20 сек. В дальнейшем работа стабилизатора на волну № 152 наладилась. С работы он снят не был, но отмеченные факты свидетельствуют о возможности его отказа при дальнейшей работе. </w:t>
      </w:r>
    </w:p>
    <w:p w14:paraId="5501838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Рация КРСТБ обеспечивает возможность ведения кодовой связи через прибор ТК-12 на расстоянии 13 км. на ходу машин и на расстоянии 16 – 18 км на стоянке машин. </w:t>
      </w:r>
    </w:p>
    <w:p w14:paraId="361FD02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Рация КРСТБ обеспечивает возможность работы по радиосвязи при работе через танковое переговорное устройство типа ТПУ-3. При этом, в целях перевода внутренней связи в танке на тот же ларингофон, который придан рации, необходимо питание ТПУ с 6 вольт перевести на 12 вольт. </w:t>
      </w:r>
    </w:p>
    <w:p w14:paraId="7D81102D"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B568E6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РАДИОСТАНЦИЯ ТИПА КРСТБ, ПРЕДЛОЖЕННАЯ И РАЗРАБОТАННАЯ НИИ-20 В ВИДЕ ПЕРВОНАЧАЛЬНОГО ОПЫТНОГО ОБРАЗЦА И КОНСТРУКТИВНО ПЕРЕРАБОТАННАЯ НА ЗАВОДА № 203 В ВИДЕ ОКОНЧАТЕЛЬНОГО ОБРАЗЦА, ОБЕСПЕЧИВАЕТ НАДЕЖНУЮ РАДИОСВЯЗЬ В УСЛОВИЯХ РАБОТЫ ТАНКОВЫХ ЧАСТЕЙ И ПОДРАЗДЕЛЕНИЙ. ПРИ ШТЫРЕ 4 МЕТРА НА СТОЯНКЕ ДО 40 – 45 КМ И НА ХОДУ ОБОИХ МАШИН ДО 25 – 30 КМ В УСЛОВИЯХ ПЕРЕСЕЧЕННОЙ МЕСТНОСТИ И В ЛЮБОЕ ВРЕМЯ ГОДА. </w:t>
      </w:r>
    </w:p>
    <w:p w14:paraId="22A1C93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наиболее тяжелых условиях – в ночное время, летом, рация тип КРСТБ обеспечивает надежную радиосвязь до 23 – 25 км на стоянке и 13 – 15 км на ходу. </w:t>
      </w:r>
    </w:p>
    <w:p w14:paraId="33B19EA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Рация КРСТБ обеспечивает на линиях и в сетях радиосвязи возможность весьма быстрого вхождения в связь любого количества бронеобъектов без предварительной кропотливой и демаскирующей работы по организации сети связи с и предварительной настройки, как это имеет место при рациях 71-ТК-1 и 71-ТК-3. </w:t>
      </w:r>
    </w:p>
    <w:p w14:paraId="4020F5D7"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Рация обеспечивает возможность работы при штыре АШТ любой высоты. </w:t>
      </w:r>
    </w:p>
    <w:p w14:paraId="4B840C47"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Рация КРСТБ обеспечивает возможность одновременной надежной работы в двух сетях (вверх и вниз) благодаря весьма простому переходу и быстрому переходу с одной волны на другую. Кроме того приемник на плавном диапазоне одновременно может работать в третьей радиосети (взаимодействие, соседи и т.д.). Этот диапазон обеспечивает возможность связи КРСТБ с рациями плавного диапазона. </w:t>
      </w:r>
    </w:p>
    <w:p w14:paraId="23D7CB1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Рация КРСТБ очень проста в эксплоатации, может управляться бойцом – не связистом без его предварительной и продолжительной тренировки. </w:t>
      </w:r>
    </w:p>
    <w:p w14:paraId="2897469D"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Рация КРСТБ легко размещается в бронеобъектах разных типов, и имея значительно уменьшенные габариты по сравнению со старой рацией типа 71-ТК-1, освобождает в бронеобъекте значительное место для укладки боеприпасов. Установка заново рации КРСТБ на бронеобъекте и ее снятие занимает время не более 20 мин. (3 точки крепления по старым отверстиям). </w:t>
      </w:r>
    </w:p>
    <w:p w14:paraId="4E7CC84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Установленная на бронеобъекте рация КРСТБ не требует для сохранности снятия, независимо от времени года (жара, мороз, сырость). </w:t>
      </w:r>
    </w:p>
    <w:p w14:paraId="241C446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Основными деталями, обеспечивающими нормальную работу рации КРСТБ, являются кварцевые стабилизаторы передатчика и приемника рации. Поэтому полигонная комиссия особенно подчеркивает отдельные случаи отказа в работе этих стабилизаторов и требует от промышленности детального исследования этих фактов и принятия самых эффективных мер, устраняющих эти дефекты и гарантирующих полную безотказность работы стабилизаторов. </w:t>
      </w:r>
    </w:p>
    <w:p w14:paraId="6B79F45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Комиссия считает целесообразным и обязательным: комплектовать рации КРСТБ танковыми шлемами заделанными телефонами и антишумовыми заглушками авиационного типа. В шлеме на ремешках должен быть смонтирован ларингофон. От применения микрофона на рации КРСТБ комиссия считает возможным отказаться. </w:t>
      </w:r>
    </w:p>
    <w:p w14:paraId="40A0B42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Комиссия считает нецелесообразным придавать к рации КРСТБ прибор кодовой связи типа ТК-12 в том виде, в котором он был предъявлен на испытания, т.к. использование его в бронеобъекте снижает дальность на 30 – 40% , усложняет управление рацией, монтаж, увеличивает габариты и тем самым усложнят боевую работу командира машины. Сама же рация КРСТБ без ТК-12, управляемая только одним переключателем, вполне обеспечивает достаточно надежную связь, что позволяет сильно сократить время работы на передачу. </w:t>
      </w:r>
    </w:p>
    <w:p w14:paraId="702B4B1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Комиссия считает целесообразным для связи в низших танковых подразделениях срочно разработать специализированную телекодовую рацию, так как кодовая связь, принципиально разработанная в НИИСТ КА в АБТ войсках, обеспечивает простое управление в низовых подразделениях. </w:t>
      </w:r>
    </w:p>
    <w:p w14:paraId="47ECFA9D"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В процессе испытаний рация КРСТБ выявила прочность конструкции, пройдя без механических повреждений по разным дорогам 425 км на машине Т-26 и 857 км на машине А-7. </w:t>
      </w:r>
    </w:p>
    <w:p w14:paraId="69572EAD"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Для обеспечения возможности применения рации КРСТБ на бронеобъектах с 6-ти вольтовой бортовой сетью (Т-40, БА-10, БА-20 и др.) необходимо срочно перевести эту бортовую сеть на 12 вольт, потребные для питания рации КРСТБ. </w:t>
      </w:r>
    </w:p>
    <w:p w14:paraId="50A6944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В целях наиболее полного подавления электрических помех радиоприему от системы электрооборудования бронеобъектов разных типов необходимо реле-регуляторы в них снабжать фильтрами, как это выполняется на машинах А-7. </w:t>
      </w:r>
    </w:p>
    <w:p w14:paraId="2193B4E0"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Комиссия считает необходимым в комплектацию опытной партии рации КРСТБ внести металлическую метелку для обеспечения возможности радиосвязи при работе рации без штыря. </w:t>
      </w:r>
    </w:p>
    <w:p w14:paraId="3A8EAE9F"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ВЫВОДЫ.</w:t>
      </w:r>
    </w:p>
    <w:p w14:paraId="0ECDDAE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Танковую рацию типа КРСТБ, по устранении в опытной партии всех конструктивных недочетов, отмеченных Комиссией по полигонным испытаниям и предложенных заводом № 203, - допустить к войсковым испытаниям. </w:t>
      </w:r>
    </w:p>
    <w:p w14:paraId="0A53EB9F"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КОМИССИИ ПОЛКОВНИК: подпись (Сулейков)</w:t>
      </w:r>
    </w:p>
    <w:p w14:paraId="5082F77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ЧЛЕНЫ КОМИССИИ: </w:t>
      </w:r>
    </w:p>
    <w:p w14:paraId="4B5CA61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ЛАБОРАТОРИИ 1-го Отдела НИИСТ КА Военинженер 1-го ранга подпись (Орлов) </w:t>
      </w:r>
    </w:p>
    <w:p w14:paraId="3C5C7E9F"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ПОМ. НАЧАЛЬНИКА 3 ОТД. УС КА КАПИТАН: подпись (Кривошеев) </w:t>
      </w:r>
    </w:p>
    <w:p w14:paraId="4372716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Ст. ИНЖЕНЕР 4 ОТДЕЛЕНИЯ 4 ОТДЕЛА АБТУ КА Военинженер 3 ранга подпись (Очеретенко) </w:t>
      </w:r>
    </w:p>
    <w:p w14:paraId="1876505F"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Пом. НАЧ. 3 ОТДЕЛЕНИЯ 2 ОТДЕЛА АБТУ КА МАЙОР: подпись (Леонов) </w:t>
      </w:r>
    </w:p>
    <w:p w14:paraId="0DF603F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2 ОТДЕЛЕНИЯ 4 ОТД. НИАБТ ПОЛИГОНА АБТУ КА Военинженер 2 ранга подпись (Малявин) </w:t>
      </w:r>
    </w:p>
    <w:p w14:paraId="3202B7B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Представитель з-да № 203 НКЭП – ВЕДУЩИЙ ИНЖЕНЕР ПО РАЦИИ КРСТБ: подпись (Гальперин) </w:t>
      </w:r>
    </w:p>
    <w:p w14:paraId="2D4F3FB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Представитель НИИ-20 НКЭП НАЧАЛЬНИК ЛАБОРАТОРИИ подпись (Фин) </w:t>
      </w:r>
    </w:p>
    <w:p w14:paraId="544C7E4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ПРЕДСТАВИТЕЛЬ ГЛАВСПЕЦМАША НКСМ СТ. ИНЖЕНЕР 3 ОТДЕЛ подпись (Тихонов) </w:t>
      </w:r>
    </w:p>
    <w:p w14:paraId="1595ADCF"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Представитель Кировского з-да ИНЖЕНЕР-КОНСТРУКТОР подпись (Меренков) </w:t>
      </w:r>
    </w:p>
    <w:p w14:paraId="2A39984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Представитель з-да № 174 ИНЖЕНЕР (Журик) </w:t>
      </w:r>
    </w:p>
    <w:p w14:paraId="7E936023"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Представитель з-да № 183 ЗАВ. ЛАБОРАТОРИЕЙ подпись (Семененко) </w:t>
      </w:r>
    </w:p>
    <w:p w14:paraId="76DC0D1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Представитель з-да № 37 ИНЖЕНЕР-КОНСТРУКТОР подпись (Ютт)</w:t>
      </w:r>
    </w:p>
    <w:p w14:paraId="72EECDE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 ВОСЕМЬ экз. </w:t>
      </w:r>
    </w:p>
    <w:p w14:paraId="4E5DC05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 УС КА </w:t>
      </w:r>
    </w:p>
    <w:p w14:paraId="7DA927C4"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 АБТУ КА </w:t>
      </w:r>
    </w:p>
    <w:p w14:paraId="5D6779B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 НИИСТ </w:t>
      </w:r>
    </w:p>
    <w:p w14:paraId="65B4864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 Главспецмаш НКСМ </w:t>
      </w:r>
    </w:p>
    <w:p w14:paraId="5990C2E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 Гл. Упр. Наркомэлпром СССР </w:t>
      </w:r>
    </w:p>
    <w:p w14:paraId="2192526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 Завод № 203 </w:t>
      </w:r>
    </w:p>
    <w:p w14:paraId="05708A5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 НИИ-20 </w:t>
      </w:r>
    </w:p>
    <w:p w14:paraId="49772F2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 НИП АБТУ КА </w:t>
      </w:r>
    </w:p>
    <w:p w14:paraId="7C58A9F4"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48 ТС </w:t>
      </w:r>
    </w:p>
    <w:p w14:paraId="707CFE1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РГВА Фонд 31811 Опись 3 Дело 2108 листы 1 – 1а </w:t>
      </w:r>
    </w:p>
    <w:p w14:paraId="062C62F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6FDE6B6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Экз. № 2 </w:t>
      </w:r>
    </w:p>
    <w:p w14:paraId="42CA88E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"УТВЕРЖДАЮ" </w:t>
      </w:r>
    </w:p>
    <w:p w14:paraId="6EF230B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АВТО-БРОНЕТАНКОВОГО УПРАВЛЕНИЯ КРАСНОЙ АРМИИ </w:t>
      </w:r>
    </w:p>
    <w:p w14:paraId="5C44154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Командарм 2-го ранга подпись (Павлов) </w:t>
      </w:r>
    </w:p>
    <w:p w14:paraId="3AF035C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Июня 1940 г. </w:t>
      </w:r>
    </w:p>
    <w:p w14:paraId="2C4B107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"УТВЕРЖДАЮ" </w:t>
      </w:r>
    </w:p>
    <w:p w14:paraId="56C39FE3"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ВОЕННЫЙ КОМИССАР АВТО-БРОНЕТАНКОВОГО УПРАВЛЕНИЯ КРАСНОЙ АРМИИ </w:t>
      </w:r>
    </w:p>
    <w:p w14:paraId="29D9AE91"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Дивизионный комиссар подпись (Куликов) </w:t>
      </w:r>
    </w:p>
    <w:p w14:paraId="1F0AC81F"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Июня 1940 г. </w:t>
      </w:r>
    </w:p>
    <w:p w14:paraId="7BABFFC3"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"УТВЕРЖДАЮ" </w:t>
      </w:r>
    </w:p>
    <w:p w14:paraId="107FC604"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УПРАВЛЕНИЯ СВЯЗИ КРАСНОЙ АРМИИ </w:t>
      </w:r>
    </w:p>
    <w:p w14:paraId="10DC49C5"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Комдив подпись (Найденов) </w:t>
      </w:r>
    </w:p>
    <w:p w14:paraId="6E06B486"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мая 1940 года </w:t>
      </w:r>
    </w:p>
    <w:p w14:paraId="12486E1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"УТВЕРЖДАЮ" </w:t>
      </w:r>
    </w:p>
    <w:p w14:paraId="7FB45A7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ВОЕННЫЙ КОМИССАР УПРАВЛЕНИЯ СВЯЗИ КРАСНОЙ АРМИИ </w:t>
      </w:r>
    </w:p>
    <w:p w14:paraId="44FF9FEF"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Бригадный комиссар подпись (Муравьев) </w:t>
      </w:r>
    </w:p>
    <w:p w14:paraId="1DA774DC"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"___" мая 1940 г. </w:t>
      </w:r>
    </w:p>
    <w:p w14:paraId="3C3AD804"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87DDEDB"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заключениями и выводами комиссии по Полигонным испытаниям радиостанции типа КРСТБ согласен. </w:t>
      </w:r>
    </w:p>
    <w:p w14:paraId="4FDB4363"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Наиболее ответственными элементами в данной радиостанции являются кварцевые блоки, от устойчивой работы которых зависит боеспособность этой аппаратуры. </w:t>
      </w:r>
    </w:p>
    <w:p w14:paraId="29B4FFEA"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акте комиссии сказано, что эта радиостанция позволяет без предварительной настройки вступить в связную радиосеть любому количеству радиостанций. Такое утверждение комиссии не могло быть проверено на имеющихся только 2-х радиостанциях и будет справедливо только при одном условии, если промышленность сумеет обеспечить массовый выпуск кварцевых блоков, которые были бы полностью взаимозаменяемы и по своей частоте точно совпадали как с передающими, так и приемными устройствами. Заводу № 203 необходимо серьезно отнестись к этому вопросу, обратив особое внимание на недопустимость изменения частоты кварцевых пластин от изменения (в результате старения материалов) емкостей схемы монтажа приемника и передатчика. </w:t>
      </w:r>
    </w:p>
    <w:p w14:paraId="1FCA6A68"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Выдвинутый комиссией вопрос о целесообразности разработки "радиостанции-телекод" для огневого управления внутри танковой роты заслуживает внимания, ибо такое решение может обеспечить управление автобронетанковыми соединениями. В этом случае радиостанция типа КРСТБ будет использоваться только для связи К-ра роты с вышестоящими начальниками. </w:t>
      </w:r>
    </w:p>
    <w:p w14:paraId="3360ECAD"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 целях обеспечения возможности применения рации типа КРСТБ на бронемашинах, необходимо перевести электрооборудование последних на напряжение вместо 6-ти на 12 вольт. </w:t>
      </w:r>
    </w:p>
    <w:p w14:paraId="28647AF9"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НИСТ КА Военинженер 1-го ранга подпись (Агафонов) </w:t>
      </w:r>
    </w:p>
    <w:p w14:paraId="31CE58EE"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ВОЕННЫЙ КОМИССАР НИСТ КА Батальонный комиссар подпись (Гарбуз) </w:t>
      </w:r>
    </w:p>
    <w:p w14:paraId="54367E52" w14:textId="77777777" w:rsidR="007E4048" w:rsidRPr="00DB5D0D" w:rsidRDefault="007E404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НАЧАЛЬНИКА НИСТ КА Военинженер 1-го ранга подпись 22.V-40 (Цариченко) (18169).</w:t>
      </w:r>
    </w:p>
    <w:p w14:paraId="49990427" w14:textId="77777777" w:rsidR="007E4048" w:rsidRPr="00DB5D0D" w:rsidRDefault="007E4048" w:rsidP="00DB5D0D">
      <w:pPr>
        <w:spacing w:after="0" w:line="240" w:lineRule="auto"/>
        <w:jc w:val="both"/>
        <w:rPr>
          <w:rFonts w:ascii="Times New Roman" w:hAnsi="Times New Roman"/>
          <w:color w:val="000000" w:themeColor="text1"/>
          <w:sz w:val="16"/>
          <w:szCs w:val="16"/>
        </w:rPr>
      </w:pPr>
    </w:p>
    <w:p w14:paraId="0E4129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 был подготовлен акт по испытаниям опытной системы механического сервоуправле</w:t>
      </w:r>
      <w:r w:rsidRPr="00DB5D0D">
        <w:rPr>
          <w:rFonts w:ascii="Times New Roman" w:hAnsi="Times New Roman"/>
          <w:color w:val="000000" w:themeColor="text1"/>
          <w:sz w:val="16"/>
          <w:szCs w:val="16"/>
        </w:rPr>
        <w:softHyphen/>
        <w:t>ния, которая была смонтирована на машину №311 -18-3 (опыт</w:t>
      </w:r>
      <w:r w:rsidRPr="00DB5D0D">
        <w:rPr>
          <w:rFonts w:ascii="Times New Roman" w:hAnsi="Times New Roman"/>
          <w:color w:val="000000" w:themeColor="text1"/>
          <w:sz w:val="16"/>
          <w:szCs w:val="16"/>
        </w:rPr>
        <w:softHyphen/>
        <w:t>ный «Танк №2») и прошла испытания с 12 по 15 мая 1940 г.:</w:t>
      </w:r>
    </w:p>
    <w:p w14:paraId="74DD4693"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 результате испытаний заметных дефектов в ра</w:t>
      </w:r>
      <w:r w:rsidRPr="00DB5D0D">
        <w:rPr>
          <w:b w:val="0"/>
          <w:bCs w:val="0"/>
          <w:i w:val="0"/>
          <w:iCs w:val="0"/>
          <w:color w:val="000000" w:themeColor="text1"/>
          <w:sz w:val="16"/>
          <w:szCs w:val="16"/>
          <w:lang w:val="ru-RU"/>
        </w:rPr>
        <w:softHyphen/>
        <w:t>боте механического сервоуправления не наблюда</w:t>
      </w:r>
      <w:r w:rsidRPr="00DB5D0D">
        <w:rPr>
          <w:b w:val="0"/>
          <w:bCs w:val="0"/>
          <w:i w:val="0"/>
          <w:iCs w:val="0"/>
          <w:color w:val="000000" w:themeColor="text1"/>
          <w:sz w:val="16"/>
          <w:szCs w:val="16"/>
          <w:lang w:val="ru-RU"/>
        </w:rPr>
        <w:softHyphen/>
        <w:t>лось. По мнению всех участников испытаний, кото</w:t>
      </w:r>
      <w:r w:rsidRPr="00DB5D0D">
        <w:rPr>
          <w:b w:val="0"/>
          <w:bCs w:val="0"/>
          <w:i w:val="0"/>
          <w:iCs w:val="0"/>
          <w:color w:val="000000" w:themeColor="text1"/>
          <w:sz w:val="16"/>
          <w:szCs w:val="16"/>
          <w:lang w:val="ru-RU"/>
        </w:rPr>
        <w:softHyphen/>
        <w:t>рые непосредственно управляли машиной, и в част</w:t>
      </w:r>
      <w:r w:rsidRPr="00DB5D0D">
        <w:rPr>
          <w:b w:val="0"/>
          <w:bCs w:val="0"/>
          <w:i w:val="0"/>
          <w:iCs w:val="0"/>
          <w:color w:val="000000" w:themeColor="text1"/>
          <w:sz w:val="16"/>
          <w:szCs w:val="16"/>
          <w:lang w:val="ru-RU"/>
        </w:rPr>
        <w:softHyphen/>
        <w:t>ности, опытных водителей спецмашин, предлагаемая конструкция механического сервопривода на маш. А-34, не требует особого навыка (или выучки) для пользования им при управлении машиной, не вызы</w:t>
      </w:r>
      <w:r w:rsidRPr="00DB5D0D">
        <w:rPr>
          <w:b w:val="0"/>
          <w:bCs w:val="0"/>
          <w:i w:val="0"/>
          <w:iCs w:val="0"/>
          <w:color w:val="000000" w:themeColor="text1"/>
          <w:sz w:val="16"/>
          <w:szCs w:val="16"/>
          <w:lang w:val="ru-RU"/>
        </w:rPr>
        <w:softHyphen/>
        <w:t>вает заметной усталости в процессе вождения, не тре</w:t>
      </w:r>
      <w:r w:rsidRPr="00DB5D0D">
        <w:rPr>
          <w:b w:val="0"/>
          <w:bCs w:val="0"/>
          <w:i w:val="0"/>
          <w:iCs w:val="0"/>
          <w:color w:val="000000" w:themeColor="text1"/>
          <w:sz w:val="16"/>
          <w:szCs w:val="16"/>
          <w:lang w:val="ru-RU"/>
        </w:rPr>
        <w:softHyphen/>
        <w:t>бует особых регулировок и сложного ухода. Замеры усилий, прилагаемых к рычагам борт, фрикционов, с помощью динамометра, при разворотах машины на</w:t>
      </w:r>
    </w:p>
    <w:p w14:paraId="67E97B86"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360°, на 1 и 2-й передачах, на сухом грунте и песке, дали следующие результаты:</w:t>
      </w:r>
    </w:p>
    <w:p w14:paraId="0334A2EB" w14:textId="77777777" w:rsidR="00A25AD1" w:rsidRPr="00DB5D0D" w:rsidRDefault="00A25AD1" w:rsidP="00DB5D0D">
      <w:pPr>
        <w:pStyle w:val="201"/>
        <w:shd w:val="clear" w:color="auto" w:fill="auto"/>
        <w:tabs>
          <w:tab w:val="left" w:pos="483"/>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1.На сухом грунте :</w:t>
      </w:r>
    </w:p>
    <w:p w14:paraId="155ABFAE" w14:textId="77777777" w:rsidR="00A25AD1" w:rsidRPr="00DB5D0D" w:rsidRDefault="00A25AD1" w:rsidP="00DB5D0D">
      <w:pPr>
        <w:pStyle w:val="201"/>
        <w:shd w:val="clear" w:color="auto" w:fill="auto"/>
        <w:tabs>
          <w:tab w:val="left" w:pos="50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а)На 1-й передаче на месте - 18-24 кгр (разворот на 360°)</w:t>
      </w:r>
    </w:p>
    <w:p w14:paraId="5578336E" w14:textId="77777777" w:rsidR="00A25AD1" w:rsidRPr="00DB5D0D" w:rsidRDefault="00A25AD1" w:rsidP="00DB5D0D">
      <w:pPr>
        <w:pStyle w:val="201"/>
        <w:shd w:val="clear" w:color="auto" w:fill="auto"/>
        <w:tabs>
          <w:tab w:val="left" w:pos="78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б)На 2-й передаче с минимальным радиу</w:t>
      </w:r>
      <w:r w:rsidRPr="00DB5D0D">
        <w:rPr>
          <w:b w:val="0"/>
          <w:bCs w:val="0"/>
          <w:i w:val="0"/>
          <w:iCs w:val="0"/>
          <w:color w:val="000000" w:themeColor="text1"/>
          <w:sz w:val="16"/>
          <w:szCs w:val="16"/>
          <w:lang w:val="ru-RU"/>
        </w:rPr>
        <w:softHyphen/>
        <w:t>сом - 16-22 кгр (разворот на 360°)</w:t>
      </w:r>
    </w:p>
    <w:p w14:paraId="7F59DCCC" w14:textId="77777777" w:rsidR="00A25AD1" w:rsidRPr="00DB5D0D" w:rsidRDefault="00A25AD1" w:rsidP="00DB5D0D">
      <w:pPr>
        <w:pStyle w:val="201"/>
        <w:shd w:val="clear" w:color="auto" w:fill="auto"/>
        <w:tabs>
          <w:tab w:val="left" w:pos="203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2.На неглубоком песке:</w:t>
      </w:r>
    </w:p>
    <w:p w14:paraId="35787625" w14:textId="77777777" w:rsidR="00A25AD1" w:rsidRPr="00DB5D0D" w:rsidRDefault="00A25AD1" w:rsidP="00DB5D0D">
      <w:pPr>
        <w:pStyle w:val="201"/>
        <w:shd w:val="clear" w:color="auto" w:fill="auto"/>
        <w:tabs>
          <w:tab w:val="left" w:pos="204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а)На 1-й передаче на месте - 18-30 кгр (разворот на 360°)</w:t>
      </w:r>
    </w:p>
    <w:p w14:paraId="695942FB" w14:textId="77777777" w:rsidR="00A25AD1" w:rsidRPr="00DB5D0D" w:rsidRDefault="00A25AD1" w:rsidP="00DB5D0D">
      <w:pPr>
        <w:pStyle w:val="201"/>
        <w:shd w:val="clear" w:color="auto" w:fill="auto"/>
        <w:tabs>
          <w:tab w:val="left" w:pos="50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б)На 2-й передаче с минимальным радиу</w:t>
      </w:r>
      <w:r w:rsidRPr="00DB5D0D">
        <w:rPr>
          <w:b w:val="0"/>
          <w:bCs w:val="0"/>
          <w:i w:val="0"/>
          <w:iCs w:val="0"/>
          <w:color w:val="000000" w:themeColor="text1"/>
          <w:sz w:val="16"/>
          <w:szCs w:val="16"/>
          <w:lang w:val="ru-RU"/>
        </w:rPr>
        <w:softHyphen/>
        <w:t>сом - 20-30 кгр (разворот на 360°)</w:t>
      </w:r>
    </w:p>
    <w:p w14:paraId="206B7359"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Во время движения машины на 3-й и 4-й передачах, усилия, прикладываемые к рычагам борт, фрикционов при поворотах не превыша</w:t>
      </w:r>
      <w:r w:rsidRPr="00DB5D0D">
        <w:rPr>
          <w:b w:val="0"/>
          <w:bCs w:val="0"/>
          <w:i w:val="0"/>
          <w:iCs w:val="0"/>
          <w:color w:val="000000" w:themeColor="text1"/>
          <w:sz w:val="16"/>
          <w:szCs w:val="16"/>
          <w:lang w:val="ru-RU"/>
        </w:rPr>
        <w:softHyphen/>
        <w:t>ли 15 кгр.</w:t>
      </w:r>
    </w:p>
    <w:p w14:paraId="5534E0D7" w14:textId="77777777" w:rsidR="00470B93" w:rsidRPr="00DB5D0D" w:rsidRDefault="00A25AD1" w:rsidP="00DB5D0D">
      <w:pPr>
        <w:pStyle w:val="201"/>
        <w:shd w:val="clear" w:color="auto" w:fill="auto"/>
        <w:spacing w:before="0" w:line="240" w:lineRule="auto"/>
        <w:rPr>
          <w:rStyle w:val="206"/>
          <w:rFonts w:ascii="Times New Roman" w:hAnsi="Times New Roman" w:cs="Times New Roman"/>
          <w:bCs/>
          <w:iCs/>
          <w:color w:val="000000" w:themeColor="text1"/>
          <w:lang w:val="ru-RU"/>
        </w:rPr>
      </w:pPr>
      <w:r w:rsidRPr="00DB5D0D">
        <w:rPr>
          <w:rStyle w:val="206"/>
          <w:rFonts w:ascii="Times New Roman" w:hAnsi="Times New Roman" w:cs="Times New Roman"/>
          <w:bCs/>
          <w:iCs/>
          <w:color w:val="000000" w:themeColor="text1"/>
          <w:lang w:val="ru-RU"/>
        </w:rPr>
        <w:t>Выводы комиссии.</w:t>
      </w:r>
    </w:p>
    <w:p w14:paraId="68A28B31"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 Исходя из данных, полученных в про</w:t>
      </w:r>
      <w:r w:rsidRPr="00DB5D0D">
        <w:rPr>
          <w:b w:val="0"/>
          <w:bCs w:val="0"/>
          <w:i w:val="0"/>
          <w:iCs w:val="0"/>
          <w:color w:val="000000" w:themeColor="text1"/>
          <w:sz w:val="16"/>
          <w:szCs w:val="16"/>
          <w:lang w:val="ru-RU"/>
        </w:rPr>
        <w:softHyphen/>
        <w:t>цессе испытаний, комиссия считает целесо</w:t>
      </w:r>
      <w:r w:rsidRPr="00DB5D0D">
        <w:rPr>
          <w:b w:val="0"/>
          <w:bCs w:val="0"/>
          <w:i w:val="0"/>
          <w:iCs w:val="0"/>
          <w:color w:val="000000" w:themeColor="text1"/>
          <w:sz w:val="16"/>
          <w:szCs w:val="16"/>
          <w:lang w:val="ru-RU"/>
        </w:rPr>
        <w:softHyphen/>
        <w:t>образным ввести в серийное производство предлагаемую т. Васильевым конструкцию ме</w:t>
      </w:r>
      <w:r w:rsidRPr="00DB5D0D">
        <w:rPr>
          <w:b w:val="0"/>
          <w:bCs w:val="0"/>
          <w:i w:val="0"/>
          <w:iCs w:val="0"/>
          <w:color w:val="000000" w:themeColor="text1"/>
          <w:sz w:val="16"/>
          <w:szCs w:val="16"/>
          <w:lang w:val="ru-RU"/>
        </w:rPr>
        <w:softHyphen/>
        <w:t>ханического сервоуправления для маш. «А-34», как принципиально отвечающую предъявляе</w:t>
      </w:r>
      <w:r w:rsidRPr="00DB5D0D">
        <w:rPr>
          <w:b w:val="0"/>
          <w:bCs w:val="0"/>
          <w:i w:val="0"/>
          <w:iCs w:val="0"/>
          <w:color w:val="000000" w:themeColor="text1"/>
          <w:sz w:val="16"/>
          <w:szCs w:val="16"/>
          <w:lang w:val="ru-RU"/>
        </w:rPr>
        <w:softHyphen/>
        <w:t>мым ей требованиям (взамен пневматического сервоуправления) и имеющую ряд преимуществ перед пневматическим сервоуправ- лением, а именно:</w:t>
      </w:r>
    </w:p>
    <w:p w14:paraId="3EC2D701" w14:textId="77777777" w:rsidR="00A25AD1" w:rsidRPr="00DB5D0D" w:rsidRDefault="00A25AD1" w:rsidP="00DB5D0D">
      <w:pPr>
        <w:pStyle w:val="201"/>
        <w:shd w:val="clear" w:color="auto" w:fill="auto"/>
        <w:tabs>
          <w:tab w:val="left" w:pos="51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а)Простое в изготовлении.</w:t>
      </w:r>
    </w:p>
    <w:p w14:paraId="53BF1309" w14:textId="77777777" w:rsidR="00A25AD1" w:rsidRPr="00DB5D0D" w:rsidRDefault="00A25AD1" w:rsidP="00DB5D0D">
      <w:pPr>
        <w:pStyle w:val="201"/>
        <w:shd w:val="clear" w:color="auto" w:fill="auto"/>
        <w:tabs>
          <w:tab w:val="left" w:pos="517"/>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б)Не требует сложного ухода при эксплоатации.</w:t>
      </w:r>
    </w:p>
    <w:p w14:paraId="644A19A8" w14:textId="77777777" w:rsidR="00A25AD1" w:rsidRPr="00DB5D0D" w:rsidRDefault="00A25AD1" w:rsidP="00DB5D0D">
      <w:pPr>
        <w:pStyle w:val="201"/>
        <w:shd w:val="clear" w:color="auto" w:fill="auto"/>
        <w:tabs>
          <w:tab w:val="left" w:pos="53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в)Не требует особых навыков от водителя в управлении машиной.</w:t>
      </w:r>
    </w:p>
    <w:p w14:paraId="09C736A0" w14:textId="77777777" w:rsidR="00A25AD1" w:rsidRPr="00DB5D0D" w:rsidRDefault="00A25AD1" w:rsidP="00DB5D0D">
      <w:pPr>
        <w:pStyle w:val="201"/>
        <w:shd w:val="clear" w:color="auto" w:fill="auto"/>
        <w:tabs>
          <w:tab w:val="left" w:pos="47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г)Не вызывает заметной усталости у водителя во время вожде</w:t>
      </w:r>
      <w:r w:rsidRPr="00DB5D0D">
        <w:rPr>
          <w:b w:val="0"/>
          <w:bCs w:val="0"/>
          <w:i w:val="0"/>
          <w:iCs w:val="0"/>
          <w:color w:val="000000" w:themeColor="text1"/>
          <w:sz w:val="16"/>
          <w:szCs w:val="16"/>
          <w:lang w:val="ru-RU"/>
        </w:rPr>
        <w:softHyphen/>
        <w:t>ния машины.</w:t>
      </w:r>
    </w:p>
    <w:p w14:paraId="3A873D84" w14:textId="77777777" w:rsidR="00A25AD1" w:rsidRPr="00DB5D0D" w:rsidRDefault="00A25AD1" w:rsidP="00DB5D0D">
      <w:pPr>
        <w:pStyle w:val="201"/>
        <w:shd w:val="clear" w:color="auto" w:fill="auto"/>
        <w:tabs>
          <w:tab w:val="left" w:pos="51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2.Комиссия считает необходимым оборудовать первую опыт</w:t>
      </w:r>
      <w:r w:rsidRPr="00DB5D0D">
        <w:rPr>
          <w:b w:val="0"/>
          <w:bCs w:val="0"/>
          <w:i w:val="0"/>
          <w:iCs w:val="0"/>
          <w:color w:val="000000" w:themeColor="text1"/>
          <w:sz w:val="16"/>
          <w:szCs w:val="16"/>
          <w:lang w:val="ru-RU"/>
        </w:rPr>
        <w:softHyphen/>
        <w:t>ную партию машин «А-34» механическим сервоуправлением, испы</w:t>
      </w:r>
      <w:r w:rsidRPr="00DB5D0D">
        <w:rPr>
          <w:b w:val="0"/>
          <w:bCs w:val="0"/>
          <w:i w:val="0"/>
          <w:iCs w:val="0"/>
          <w:color w:val="000000" w:themeColor="text1"/>
          <w:sz w:val="16"/>
          <w:szCs w:val="16"/>
          <w:lang w:val="ru-RU"/>
        </w:rPr>
        <w:softHyphen/>
        <w:t>танной конструкции, взамен пневматического.</w:t>
      </w:r>
    </w:p>
    <w:p w14:paraId="714FBCED" w14:textId="77777777" w:rsidR="00A25AD1" w:rsidRPr="00DB5D0D" w:rsidRDefault="00A25AD1" w:rsidP="00DB5D0D">
      <w:pPr>
        <w:pStyle w:val="201"/>
        <w:shd w:val="clear" w:color="auto" w:fill="auto"/>
        <w:tabs>
          <w:tab w:val="left" w:pos="49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3.В процессе окончательного оформления чертежей механичес</w:t>
      </w:r>
      <w:r w:rsidRPr="00DB5D0D">
        <w:rPr>
          <w:b w:val="0"/>
          <w:bCs w:val="0"/>
          <w:i w:val="0"/>
          <w:iCs w:val="0"/>
          <w:color w:val="000000" w:themeColor="text1"/>
          <w:sz w:val="16"/>
          <w:szCs w:val="16"/>
          <w:lang w:val="ru-RU"/>
        </w:rPr>
        <w:softHyphen/>
        <w:t>кого сервопривода для серийного производства, бюро 520 предус</w:t>
      </w:r>
      <w:r w:rsidRPr="00DB5D0D">
        <w:rPr>
          <w:b w:val="0"/>
          <w:bCs w:val="0"/>
          <w:i w:val="0"/>
          <w:iCs w:val="0"/>
          <w:color w:val="000000" w:themeColor="text1"/>
          <w:sz w:val="16"/>
          <w:szCs w:val="16"/>
          <w:lang w:val="ru-RU"/>
        </w:rPr>
        <w:softHyphen/>
        <w:t>мотреть максимально возможную прочность и износоустойчивость деталей для обеспечения надежной работы механизма на машине.</w:t>
      </w:r>
    </w:p>
    <w:p w14:paraId="1B0FD759" w14:textId="77777777" w:rsidR="00A25AD1" w:rsidRPr="00DB5D0D" w:rsidRDefault="00A25AD1" w:rsidP="00DB5D0D">
      <w:pPr>
        <w:pStyle w:val="201"/>
        <w:shd w:val="clear" w:color="auto" w:fill="auto"/>
        <w:tabs>
          <w:tab w:val="left" w:pos="49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4.Кроме указанного, комиссия считает необходимым цеху 540 произвести испытание одного-двух комплектов сервомеханизма на гарантийный километраж.</w:t>
      </w:r>
      <w:r w:rsidRPr="00DB5D0D">
        <w:rPr>
          <w:rStyle w:val="20140pt59"/>
          <w:rFonts w:ascii="Times New Roman" w:hAnsi="Times New Roman" w:cs="Times New Roman"/>
          <w:bCs/>
          <w:iCs/>
          <w:color w:val="000000" w:themeColor="text1"/>
          <w:spacing w:val="0"/>
          <w:lang w:val="ru-RU"/>
        </w:rPr>
        <w:t>[</w:t>
      </w:r>
      <w:r w:rsidRPr="00DB5D0D">
        <w:rPr>
          <w:b w:val="0"/>
          <w:bCs w:val="0"/>
          <w:i w:val="0"/>
          <w:iCs w:val="0"/>
          <w:color w:val="000000" w:themeColor="text1"/>
          <w:sz w:val="16"/>
          <w:szCs w:val="16"/>
          <w:lang w:val="ru-RU"/>
        </w:rPr>
        <w:t xml:space="preserve">РГВА. Ф.31811. </w:t>
      </w:r>
      <w:r w:rsidRPr="00DB5D0D">
        <w:rPr>
          <w:b w:val="0"/>
          <w:bCs w:val="0"/>
          <w:i w:val="0"/>
          <w:iCs w:val="0"/>
          <w:noProof w:val="0"/>
          <w:color w:val="000000" w:themeColor="text1"/>
          <w:sz w:val="16"/>
          <w:szCs w:val="16"/>
        </w:rPr>
        <w:t>On</w:t>
      </w:r>
      <w:r w:rsidRPr="00DB5D0D">
        <w:rPr>
          <w:b w:val="0"/>
          <w:bCs w:val="0"/>
          <w:i w:val="0"/>
          <w:iCs w:val="0"/>
          <w:noProof w:val="0"/>
          <w:color w:val="000000" w:themeColor="text1"/>
          <w:sz w:val="16"/>
          <w:szCs w:val="16"/>
          <w:lang w:val="ru-RU"/>
        </w:rPr>
        <w:t>.</w:t>
      </w:r>
      <w:r w:rsidRPr="00DB5D0D">
        <w:rPr>
          <w:b w:val="0"/>
          <w:bCs w:val="0"/>
          <w:i w:val="0"/>
          <w:iCs w:val="0"/>
          <w:color w:val="000000" w:themeColor="text1"/>
          <w:sz w:val="16"/>
          <w:szCs w:val="16"/>
          <w:lang w:val="ru-RU"/>
        </w:rPr>
        <w:t>2. Д. 1181. Л. 106-107.</w:t>
      </w:r>
      <w:r w:rsidRPr="00DB5D0D">
        <w:rPr>
          <w:rStyle w:val="20140pt59"/>
          <w:rFonts w:ascii="Times New Roman" w:hAnsi="Times New Roman" w:cs="Times New Roman"/>
          <w:bCs/>
          <w:iCs/>
          <w:color w:val="000000" w:themeColor="text1"/>
          <w:spacing w:val="0"/>
          <w:lang w:val="ru-RU"/>
        </w:rPr>
        <w:t>]</w:t>
      </w:r>
    </w:p>
    <w:p w14:paraId="49C51F90"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При сем препровождаем один экземпляр акта №0013 от 15/5-40 г. по результатам испытания механического сервоп</w:t>
      </w:r>
      <w:r w:rsidRPr="00DB5D0D">
        <w:rPr>
          <w:b w:val="0"/>
          <w:bCs w:val="0"/>
          <w:i w:val="0"/>
          <w:iCs w:val="0"/>
          <w:color w:val="000000" w:themeColor="text1"/>
          <w:sz w:val="16"/>
          <w:szCs w:val="16"/>
          <w:lang w:val="ru-RU"/>
        </w:rPr>
        <w:softHyphen/>
        <w:t>ривода на танке «Т-34». Испытания производились на дис</w:t>
      </w:r>
      <w:r w:rsidRPr="00DB5D0D">
        <w:rPr>
          <w:b w:val="0"/>
          <w:bCs w:val="0"/>
          <w:i w:val="0"/>
          <w:iCs w:val="0"/>
          <w:color w:val="000000" w:themeColor="text1"/>
          <w:sz w:val="16"/>
          <w:szCs w:val="16"/>
          <w:lang w:val="ru-RU"/>
        </w:rPr>
        <w:softHyphen/>
        <w:t>танции в 278 км и дали положительные результаты. На осно</w:t>
      </w:r>
      <w:r w:rsidRPr="00DB5D0D">
        <w:rPr>
          <w:b w:val="0"/>
          <w:bCs w:val="0"/>
          <w:i w:val="0"/>
          <w:iCs w:val="0"/>
          <w:color w:val="000000" w:themeColor="text1"/>
          <w:sz w:val="16"/>
          <w:szCs w:val="16"/>
          <w:lang w:val="ru-RU"/>
        </w:rPr>
        <w:softHyphen/>
        <w:t>вании полученных данных, з-дом им. Коминтерна принято решение ввести конструкцию механического сервопривода (предложенную конструктором завода т. Васильевым П.П.) в серийное производство для танков «Т-34», взамен пневма</w:t>
      </w:r>
      <w:r w:rsidRPr="00DB5D0D">
        <w:rPr>
          <w:b w:val="0"/>
          <w:bCs w:val="0"/>
          <w:i w:val="0"/>
          <w:iCs w:val="0"/>
          <w:color w:val="000000" w:themeColor="text1"/>
          <w:sz w:val="16"/>
          <w:szCs w:val="16"/>
          <w:lang w:val="ru-RU"/>
        </w:rPr>
        <w:softHyphen/>
        <w:t>тического сервопривода, ранее установленного на опытных образцах машин «Т-34».</w:t>
      </w:r>
    </w:p>
    <w:p w14:paraId="2A58B3ED" w14:textId="77777777" w:rsidR="00A25AD1" w:rsidRPr="00DB5D0D" w:rsidRDefault="00A25AD1" w:rsidP="00DB5D0D">
      <w:pPr>
        <w:pStyle w:val="a3"/>
        <w:rPr>
          <w:rStyle w:val="MSMincho"/>
          <w:rFonts w:ascii="Times New Roman" w:hAnsi="Times New Roman" w:cs="Times New Roman"/>
          <w:color w:val="000000" w:themeColor="text1"/>
          <w:spacing w:val="0"/>
          <w:lang w:val="ru-RU"/>
        </w:rPr>
      </w:pPr>
      <w:r w:rsidRPr="00DB5D0D">
        <w:rPr>
          <w:rStyle w:val="140pt58"/>
          <w:rFonts w:ascii="Times New Roman" w:hAnsi="Times New Roman" w:cs="Times New Roman"/>
          <w:i w:val="0"/>
          <w:iCs w:val="0"/>
          <w:color w:val="000000" w:themeColor="text1"/>
          <w:lang w:val="ru-RU"/>
        </w:rPr>
        <w:lastRenderedPageBreak/>
        <w:t>Зам. Директора гл. инженер з-да им. Коминтерна/МАХОНИН</w:t>
      </w:r>
      <w:r w:rsidRPr="00DB5D0D">
        <w:rPr>
          <w:rStyle w:val="140pt58"/>
          <w:rFonts w:ascii="Times New Roman" w:hAnsi="Times New Roman" w:cs="Times New Roman"/>
          <w:i w:val="0"/>
          <w:color w:val="000000" w:themeColor="text1"/>
          <w:lang w:val="ru-RU"/>
        </w:rPr>
        <w:t>/.</w:t>
      </w:r>
      <w:r w:rsidRPr="00DB5D0D">
        <w:rPr>
          <w:rStyle w:val="MSMincho"/>
          <w:rFonts w:ascii="Times New Roman" w:hAnsi="Times New Roman" w:cs="Times New Roman"/>
          <w:color w:val="000000" w:themeColor="text1"/>
          <w:spacing w:val="0"/>
          <w:lang w:val="ru-RU"/>
        </w:rPr>
        <w:t xml:space="preserve"> [</w:t>
      </w:r>
      <w:r w:rsidRPr="00DB5D0D">
        <w:rPr>
          <w:color w:val="000000" w:themeColor="text1"/>
          <w:lang w:val="ru-RU"/>
        </w:rPr>
        <w:t xml:space="preserve">РГВА Ф.31811. </w:t>
      </w:r>
      <w:r w:rsidRPr="00DB5D0D">
        <w:rPr>
          <w:color w:val="000000" w:themeColor="text1"/>
        </w:rPr>
        <w:t>On</w:t>
      </w:r>
      <w:r w:rsidRPr="00DB5D0D">
        <w:rPr>
          <w:color w:val="000000" w:themeColor="text1"/>
          <w:lang w:val="ru-RU"/>
        </w:rPr>
        <w:t>.2. Д. 1181. Л. 105.</w:t>
      </w:r>
      <w:r w:rsidRPr="00DB5D0D">
        <w:rPr>
          <w:rStyle w:val="MSMincho"/>
          <w:rFonts w:ascii="Times New Roman" w:hAnsi="Times New Roman" w:cs="Times New Roman"/>
          <w:color w:val="000000" w:themeColor="text1"/>
          <w:spacing w:val="0"/>
          <w:lang w:val="ru-RU"/>
        </w:rPr>
        <w:t>] (11904).</w:t>
      </w:r>
    </w:p>
    <w:p w14:paraId="27FB520E" w14:textId="77777777" w:rsidR="00A25AD1" w:rsidRPr="00DB5D0D" w:rsidRDefault="00A25AD1" w:rsidP="00DB5D0D">
      <w:pPr>
        <w:pStyle w:val="a3"/>
        <w:rPr>
          <w:rStyle w:val="MSMincho"/>
          <w:rFonts w:ascii="Times New Roman" w:hAnsi="Times New Roman" w:cs="Times New Roman"/>
          <w:color w:val="000000" w:themeColor="text1"/>
          <w:spacing w:val="0"/>
          <w:lang w:val="ru-RU"/>
        </w:rPr>
      </w:pPr>
    </w:p>
    <w:p w14:paraId="6F87BD72" w14:textId="77777777" w:rsidR="008A2FB4"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57BC0DD" w14:textId="77777777" w:rsidR="008A2FB4" w:rsidRPr="00DB5D0D" w:rsidRDefault="008A2FB4" w:rsidP="00DB5D0D">
      <w:pPr>
        <w:spacing w:after="0" w:line="240" w:lineRule="auto"/>
        <w:jc w:val="both"/>
        <w:rPr>
          <w:rFonts w:ascii="Times New Roman" w:hAnsi="Times New Roman"/>
          <w:iCs/>
          <w:color w:val="000000" w:themeColor="text1"/>
          <w:sz w:val="16"/>
          <w:szCs w:val="16"/>
        </w:rPr>
      </w:pPr>
    </w:p>
    <w:p w14:paraId="37A2C144" w14:textId="77777777" w:rsidR="00106B42" w:rsidRPr="00DB5D0D" w:rsidRDefault="00106B42"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 xml:space="preserve">15 мая 1940: Протокол заседания Политбюро ЦК ВКП(б) номер 16 </w:t>
      </w:r>
      <w:r w:rsidRPr="00DB5D0D">
        <w:rPr>
          <w:rFonts w:ascii="Times New Roman" w:eastAsia="Times New Roman" w:hAnsi="Times New Roman"/>
          <w:color w:val="000000" w:themeColor="text1"/>
          <w:sz w:val="16"/>
          <w:szCs w:val="16"/>
          <w:lang w:eastAsia="ru-RU"/>
        </w:rPr>
        <w:t>от 19.05.40</w:t>
      </w:r>
      <w:r w:rsidRPr="00DB5D0D">
        <w:rPr>
          <w:rFonts w:ascii="Times New Roman" w:eastAsia="Times New Roman" w:hAnsi="Times New Roman"/>
          <w:bCs/>
          <w:color w:val="000000" w:themeColor="text1"/>
          <w:sz w:val="16"/>
          <w:szCs w:val="16"/>
          <w:lang w:eastAsia="ru-RU"/>
        </w:rPr>
        <w:t xml:space="preserve"> п.146 «Вопрос Наркомата военно-морского флота» от 15.5.40, пр. 35, п. 172)</w:t>
      </w:r>
    </w:p>
    <w:p w14:paraId="79DD2584" w14:textId="77777777" w:rsidR="00106B42" w:rsidRPr="00DB5D0D" w:rsidRDefault="00106B42"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 Разрешить Наркомату военно-морского флота принимать демобилизованных красноармейцев и краснофлотцев на работу по строительству военных объектов, расположенных на территории Эстонии и Латвии.</w:t>
      </w:r>
    </w:p>
    <w:p w14:paraId="33F534A9" w14:textId="77777777" w:rsidR="00106B42" w:rsidRPr="00DB5D0D" w:rsidRDefault="00106B42"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2. Разрешить комиссии ЦК ВКП(б) по выездам за границу оформлять принимаемых на работу демобилизованных красноармейцев и краснофлотцев без вызова в СССР.»</w:t>
      </w:r>
      <w:r w:rsidR="008A2FB4" w:rsidRPr="00DB5D0D">
        <w:rPr>
          <w:rFonts w:ascii="Times New Roman" w:eastAsia="Times New Roman" w:hAnsi="Times New Roman"/>
          <w:bCs/>
          <w:color w:val="000000" w:themeColor="text1"/>
          <w:sz w:val="16"/>
          <w:szCs w:val="16"/>
          <w:lang w:eastAsia="ru-RU"/>
        </w:rPr>
        <w:t xml:space="preserve"> (17398).</w:t>
      </w:r>
    </w:p>
    <w:p w14:paraId="60F20D09" w14:textId="77777777" w:rsidR="00106B42" w:rsidRPr="00DB5D0D" w:rsidRDefault="00106B42" w:rsidP="00DB5D0D">
      <w:pPr>
        <w:pStyle w:val="a3"/>
        <w:rPr>
          <w:rStyle w:val="MSMincho"/>
          <w:rFonts w:ascii="Times New Roman" w:hAnsi="Times New Roman" w:cs="Times New Roman"/>
          <w:color w:val="000000" w:themeColor="text1"/>
          <w:spacing w:val="0"/>
          <w:lang w:val="ru-RU"/>
        </w:rPr>
      </w:pPr>
    </w:p>
    <w:p w14:paraId="40EB03B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2FA371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420E66B" w14:textId="77777777" w:rsidR="00105B0F" w:rsidRPr="00DB5D0D" w:rsidRDefault="00105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в 1940 году лорд Бивербрук, тогдашний министр авиационной промышленности Великобритании, объявил о решении сосредоточиться на производстве пяти типов самолетов, признанных наиболее важными. Это были "Спитфайр", "Харрикейн", "Бленхейм", "Уитли" и "Веллингтон". Как мы видим, перспективные "Тайфун", и "Торнадо" в их число не попали (14892).</w:t>
      </w:r>
    </w:p>
    <w:p w14:paraId="1D346805" w14:textId="77777777" w:rsidR="00105B0F" w:rsidRPr="00DB5D0D" w:rsidRDefault="00105B0F" w:rsidP="00DB5D0D">
      <w:pPr>
        <w:spacing w:after="0" w:line="240" w:lineRule="auto"/>
        <w:jc w:val="both"/>
        <w:rPr>
          <w:rFonts w:ascii="Times New Roman" w:hAnsi="Times New Roman"/>
          <w:color w:val="000000" w:themeColor="text1"/>
          <w:sz w:val="16"/>
          <w:szCs w:val="16"/>
        </w:rPr>
      </w:pPr>
    </w:p>
    <w:p w14:paraId="7E8756CA" w14:textId="77777777" w:rsidR="00105B0F" w:rsidRPr="00DB5D0D" w:rsidRDefault="00105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мая в 1940 году предъявили на испытания модифицированный вариант французского штурмовика </w:t>
      </w:r>
      <w:hyperlink r:id="rId39" w:tgtFrame="_blank" w:history="1">
        <w:r w:rsidRPr="00DB5D0D">
          <w:rPr>
            <w:rFonts w:ascii="Times New Roman" w:hAnsi="Times New Roman"/>
            <w:color w:val="000000" w:themeColor="text1"/>
            <w:sz w:val="16"/>
            <w:szCs w:val="16"/>
          </w:rPr>
          <w:t xml:space="preserve">«NC.600.01», </w:t>
        </w:r>
      </w:hyperlink>
      <w:r w:rsidRPr="00DB5D0D">
        <w:rPr>
          <w:rFonts w:ascii="Times New Roman" w:hAnsi="Times New Roman"/>
          <w:color w:val="000000" w:themeColor="text1"/>
          <w:sz w:val="16"/>
          <w:szCs w:val="16"/>
        </w:rPr>
        <w:t>переделанного из тяжелого истребителя «NC-220». Коренные изменения коснулись только состава вооружения, которое заметно усилили. Теперь в передней части фюзеляжа размещались две 20-мм пушки и два 7,5-мм пулемета, а для защиты хвоста установили ещё одну 20-мм пушку «HS-404» на турели. Никакого дополнительного бронирования жизненно важных узлов и агрегатов не устанавливалось. Однако планам не суждено было сбыться, поскольку через несколько недель французская армия капитулировала. Работы по штурмовику «NC.600» были полностью прекращены и более не возобновлялись (14892).</w:t>
      </w:r>
    </w:p>
    <w:p w14:paraId="29196E75" w14:textId="77777777" w:rsidR="00105B0F" w:rsidRPr="00DB5D0D" w:rsidRDefault="00105B0F" w:rsidP="00DB5D0D">
      <w:pPr>
        <w:spacing w:after="0" w:line="240" w:lineRule="auto"/>
        <w:jc w:val="both"/>
        <w:rPr>
          <w:rFonts w:ascii="Times New Roman" w:hAnsi="Times New Roman"/>
          <w:color w:val="000000" w:themeColor="text1"/>
          <w:sz w:val="16"/>
          <w:szCs w:val="16"/>
        </w:rPr>
      </w:pPr>
    </w:p>
    <w:p w14:paraId="4FAF47B5" w14:textId="77777777" w:rsidR="00105B0F" w:rsidRPr="00DB5D0D" w:rsidRDefault="00105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в 1940 году на совещании в Райт Филд, комиссия определила победителей в конкурсе сверхсовременного истребителя-перехватчика с высокими летными характеристиками фирмы «Vultee» - с самолетом «V-84» (в будущем – «ХР-54»), «</w:t>
      </w:r>
      <w:r w:rsidRPr="00DB5D0D">
        <w:rPr>
          <w:rFonts w:ascii="Times New Roman" w:hAnsi="Times New Roman"/>
          <w:color w:val="000000" w:themeColor="text1"/>
          <w:sz w:val="16"/>
          <w:szCs w:val="16"/>
          <w:lang w:val="en-US"/>
        </w:rPr>
        <w:t>Curtiss</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Wrighte</w:t>
      </w:r>
      <w:r w:rsidRPr="00DB5D0D">
        <w:rPr>
          <w:rFonts w:ascii="Times New Roman" w:hAnsi="Times New Roman"/>
          <w:color w:val="000000" w:themeColor="text1"/>
          <w:sz w:val="16"/>
          <w:szCs w:val="16"/>
        </w:rPr>
        <w:t>» - «</w:t>
      </w:r>
      <w:r w:rsidRPr="00DB5D0D">
        <w:rPr>
          <w:rFonts w:ascii="Times New Roman" w:hAnsi="Times New Roman"/>
          <w:color w:val="000000" w:themeColor="text1"/>
          <w:sz w:val="16"/>
          <w:szCs w:val="16"/>
          <w:lang w:val="en-US"/>
        </w:rPr>
        <w:t>CW</w:t>
      </w:r>
      <w:r w:rsidRPr="00DB5D0D">
        <w:rPr>
          <w:rFonts w:ascii="Times New Roman" w:hAnsi="Times New Roman"/>
          <w:color w:val="000000" w:themeColor="text1"/>
          <w:sz w:val="16"/>
          <w:szCs w:val="16"/>
        </w:rPr>
        <w:t>-24</w:t>
      </w:r>
      <w:r w:rsidRPr="00DB5D0D">
        <w:rPr>
          <w:rFonts w:ascii="Times New Roman" w:hAnsi="Times New Roman"/>
          <w:color w:val="000000" w:themeColor="text1"/>
          <w:sz w:val="16"/>
          <w:szCs w:val="16"/>
          <w:lang w:val="en-US"/>
        </w:rPr>
        <w:t>B</w:t>
      </w:r>
      <w:r w:rsidRPr="00DB5D0D">
        <w:rPr>
          <w:rFonts w:ascii="Times New Roman" w:hAnsi="Times New Roman"/>
          <w:color w:val="000000" w:themeColor="text1"/>
          <w:sz w:val="16"/>
          <w:szCs w:val="16"/>
        </w:rPr>
        <w:t>» («ХР-55») и «</w:t>
      </w:r>
      <w:r w:rsidRPr="00DB5D0D">
        <w:rPr>
          <w:rFonts w:ascii="Times New Roman" w:hAnsi="Times New Roman"/>
          <w:color w:val="000000" w:themeColor="text1"/>
          <w:sz w:val="16"/>
          <w:szCs w:val="16"/>
          <w:lang w:val="en-US"/>
        </w:rPr>
        <w:t>Northrop</w:t>
      </w:r>
      <w:r w:rsidRPr="00DB5D0D">
        <w:rPr>
          <w:rFonts w:ascii="Times New Roman" w:hAnsi="Times New Roman"/>
          <w:color w:val="000000" w:themeColor="text1"/>
          <w:sz w:val="16"/>
          <w:szCs w:val="16"/>
        </w:rPr>
        <w:t>» - «</w:t>
      </w:r>
      <w:r w:rsidRPr="00DB5D0D">
        <w:rPr>
          <w:rFonts w:ascii="Times New Roman" w:hAnsi="Times New Roman"/>
          <w:color w:val="000000" w:themeColor="text1"/>
          <w:sz w:val="16"/>
          <w:szCs w:val="16"/>
          <w:lang w:val="en-US"/>
        </w:rPr>
        <w:t>N</w:t>
      </w:r>
      <w:r w:rsidRPr="00DB5D0D">
        <w:rPr>
          <w:rFonts w:ascii="Times New Roman" w:hAnsi="Times New Roman"/>
          <w:color w:val="000000" w:themeColor="text1"/>
          <w:sz w:val="16"/>
          <w:szCs w:val="16"/>
        </w:rPr>
        <w:t>-2</w:t>
      </w:r>
      <w:r w:rsidRPr="00DB5D0D">
        <w:rPr>
          <w:rFonts w:ascii="Times New Roman" w:hAnsi="Times New Roman"/>
          <w:color w:val="000000" w:themeColor="text1"/>
          <w:sz w:val="16"/>
          <w:szCs w:val="16"/>
          <w:lang w:val="en-US"/>
        </w:rPr>
        <w:t>B</w:t>
      </w:r>
      <w:r w:rsidRPr="00DB5D0D">
        <w:rPr>
          <w:rFonts w:ascii="Times New Roman" w:hAnsi="Times New Roman"/>
          <w:color w:val="000000" w:themeColor="text1"/>
          <w:sz w:val="16"/>
          <w:szCs w:val="16"/>
        </w:rPr>
        <w:t>» («ХР-56»). В конце 1930-х годов в недрах ВВС США зародилась идея создания сверхсовременного истребителя-перехватчика с высокими летными характеристиками. 27 ноября 1939-го была выпущена спецификация (технические требования), которая и послужила базой для объявления конкурса на лучший проект. Заинтересованные фирмы были ознакомлены с его условиями 18 декабря 1939-го. Вряд ли инициаторы конкурса могли предполагать, что его итогом станет появление на свет нескольких самых необычных поршневых истребителей в США. По сути эти самолеты стали "лебединой песней" американской винтовой истребительной авиации. Высокие требования, предъявленные к новому самолету, заставили конструкторов использовать самые нестандартные компоновочные и конструктивные решения. Всего в конкурсе приняли участие тринадцать фирм, в адрес технической комиссии ВВС поступило 25 аванпроектов (14892).</w:t>
      </w:r>
    </w:p>
    <w:p w14:paraId="125ED65B" w14:textId="77777777" w:rsidR="00105B0F" w:rsidRPr="00DB5D0D" w:rsidRDefault="00105B0F" w:rsidP="00DB5D0D">
      <w:pPr>
        <w:spacing w:after="0" w:line="240" w:lineRule="auto"/>
        <w:jc w:val="both"/>
        <w:rPr>
          <w:rFonts w:ascii="Times New Roman" w:hAnsi="Times New Roman"/>
          <w:color w:val="000000" w:themeColor="text1"/>
          <w:sz w:val="16"/>
          <w:szCs w:val="16"/>
        </w:rPr>
      </w:pPr>
    </w:p>
    <w:p w14:paraId="5B520E3D" w14:textId="77777777" w:rsidR="00105B0F" w:rsidRPr="00DB5D0D" w:rsidRDefault="00105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мая в 1940 году В.Мессершмитт официально представил в Министерство авиации (RLM) проект нового истребителя </w:t>
      </w:r>
      <w:hyperlink r:id="rId40" w:tgtFrame="_blank" w:history="1">
        <w:r w:rsidRPr="00DB5D0D">
          <w:rPr>
            <w:rFonts w:ascii="Times New Roman" w:hAnsi="Times New Roman"/>
            <w:color w:val="000000" w:themeColor="text1"/>
            <w:sz w:val="16"/>
            <w:szCs w:val="16"/>
          </w:rPr>
          <w:t xml:space="preserve">«Р 1065». </w:t>
        </w:r>
      </w:hyperlink>
      <w:r w:rsidRPr="00DB5D0D">
        <w:rPr>
          <w:rFonts w:ascii="Times New Roman" w:hAnsi="Times New Roman"/>
          <w:color w:val="000000" w:themeColor="text1"/>
          <w:sz w:val="16"/>
          <w:szCs w:val="16"/>
        </w:rPr>
        <w:t>Проект самолета (в будущем «Ме-262») переделали и вновь представили Техническому департаменту. Двигатель «Р 3302», получивший официальное обозначение «BMW 003», оказался большим по диаметру, и, как следствие, его установка в корне крыла стала не возможной. К тому же двигатели «Р 3302» оказались тяжелее, чем планировалось, и для сохранения распределения весов и центровки машины необходимо было отодвинуть концовки крыльев назад. Предлагался больший по размерам самолет с установкой двигателей в крыло где-то на четверти размаха. Фюзеляж треугольного сечения представлял собой цельнометаллический полумонокок с работающей обшивкой. Крыло цельнометаллической конструкции с одним лонжероном имело прямую стреловидность сразу за двигательными гондолами. Главный лонжерон имел небольшую стреловидность на центроплане. Консоли имели еще большую стреловидность и сужение и несли автоматические предкрылки и элероны по типу Фриза. Основные стойки шасси убирались к линии симметрии самолета под фюзеляж, а хвостовое колесо - назад. Вооружение, сконцентрированное в поднятом до оси машины носу, состояло из трех 30-мм пушек «МК 108». Фюзеляж теперь имел длину 10,46 м, а размах крыльев составлял 12,35 м. Hовый проект был принят Техническим департаментом в начале июля 1940 года (14892).</w:t>
      </w:r>
    </w:p>
    <w:p w14:paraId="75F9284D" w14:textId="77777777" w:rsidR="00105B0F" w:rsidRPr="00DB5D0D" w:rsidRDefault="00105B0F" w:rsidP="00DB5D0D">
      <w:pPr>
        <w:spacing w:after="0" w:line="240" w:lineRule="auto"/>
        <w:jc w:val="both"/>
        <w:rPr>
          <w:rFonts w:ascii="Times New Roman" w:hAnsi="Times New Roman"/>
          <w:color w:val="000000" w:themeColor="text1"/>
          <w:sz w:val="16"/>
          <w:szCs w:val="16"/>
        </w:rPr>
      </w:pPr>
    </w:p>
    <w:p w14:paraId="728C129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15th, 1940: In the West, the German XX.Panzerkorps (Hoth) repels a counter-attack by French armored forces, destroying 125 out of 175 tanks. An attack by 6.Armee (von Reichenau) against the Dyle line in Belgium is repulsed. After the fall of Rotterdam the Dutch Army surrenders (10,000 casualties). In Paris, panic breaks out over reports of a German breakthrough at Sedan; thousands of civilians leave the city for the west and south of the country, clogging the roads for Allied military traffic which is attacked by Luftwaffe bombers and fighter bombers. RAF Bomber Command (Peirse) begins a strategic air offensive against targets inside Germany by attacking industrial installations in the Ruhr, but with minimal effect (3819).</w:t>
      </w:r>
    </w:p>
    <w:p w14:paraId="02B35953"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1BD7CFD1" w14:textId="77777777" w:rsidR="00E45651" w:rsidRPr="00DB5D0D" w:rsidRDefault="00E4565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мая 1940 во время британских операций по эвакуации из голландских портов немецкие пикирующие бомбардировщики атакуют британский эсминец HMS Valentine, который выброшен на берег и потерпел крушение в устье Шельды (20795).</w:t>
      </w:r>
    </w:p>
    <w:p w14:paraId="414C5207" w14:textId="77777777" w:rsidR="00E45651" w:rsidRPr="00DB5D0D" w:rsidRDefault="00E45651" w:rsidP="00DB5D0D">
      <w:pPr>
        <w:spacing w:after="0" w:line="240" w:lineRule="auto"/>
        <w:jc w:val="both"/>
        <w:rPr>
          <w:rFonts w:ascii="Times New Roman" w:hAnsi="Times New Roman"/>
          <w:color w:val="0070C0"/>
          <w:sz w:val="16"/>
          <w:szCs w:val="16"/>
        </w:rPr>
      </w:pPr>
    </w:p>
    <w:p w14:paraId="27F3ACDD" w14:textId="77777777" w:rsidR="00E45651" w:rsidRPr="00DB5D0D" w:rsidRDefault="00E4565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15–16 мая (ночь) 1940 Командование бомбардировщиков Королевских ВВС проводит свой первый стратегический бомбардировочный налет во время Второй мировой войны: 99 бомбардировщиков « Хэмпден», «Уитли» и « Виккерс Веллингтон » наносят удары по немецким целям в Рурской долине. Один британский бомбардировщик потерян (20795).</w:t>
      </w:r>
    </w:p>
    <w:p w14:paraId="4A3B575A" w14:textId="77777777" w:rsidR="00E45651" w:rsidRPr="00DB5D0D" w:rsidRDefault="00E45651" w:rsidP="00DB5D0D">
      <w:pPr>
        <w:spacing w:after="0" w:line="240" w:lineRule="auto"/>
        <w:jc w:val="both"/>
        <w:rPr>
          <w:rFonts w:ascii="Times New Roman" w:hAnsi="Times New Roman"/>
          <w:color w:val="0070C0"/>
          <w:sz w:val="16"/>
          <w:szCs w:val="16"/>
        </w:rPr>
      </w:pPr>
    </w:p>
    <w:p w14:paraId="357666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22ТК отбил французскую контратаку, уничтожив 125 из 175 танков. Атака 6А на Диль была отбита. Голландская армия сдалась после падения Роттердама. В Париже после известия го прорыве под Седаном началась паника. Тысячи горожан покинули город и устремились на юг и запад, забив дороги для военных перевозок, постоянно подвергаемых атакам немецкой авиации. Командование Королевских ВВС начало стратегическое воздушное наступление против целей в промышленных районах Рура в Германии, но с минимальным эффектом (3819).</w:t>
      </w:r>
    </w:p>
    <w:p w14:paraId="1A46E97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771D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капитулировала голландская армия. Правительство Нидерландов, отказавшееся санкционировать эту капитуляцию, бежало в Лондон, чтобы продолжить борьбу с Германией из голландских колоний (3871).</w:t>
      </w:r>
    </w:p>
    <w:p w14:paraId="4DBD05F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9AF6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May 1940 Dutch army surrenders (270).</w:t>
      </w:r>
    </w:p>
    <w:p w14:paraId="3EE6CCF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5140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Голландская армия капитулировала (270).</w:t>
      </w:r>
    </w:p>
    <w:p w14:paraId="4332868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45EAE07" w14:textId="77777777" w:rsidR="00105B0F" w:rsidRPr="00DB5D0D" w:rsidRDefault="00105B0F" w:rsidP="00DB5D0D">
      <w:pPr>
        <w:tabs>
          <w:tab w:val="left" w:pos="11199"/>
        </w:tabs>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 xml:space="preserve">15 </w:t>
      </w:r>
      <w:r w:rsidRPr="00DB5D0D">
        <w:rPr>
          <w:rFonts w:ascii="Times New Roman" w:hAnsi="Times New Roman"/>
          <w:color w:val="000000" w:themeColor="text1"/>
          <w:sz w:val="16"/>
          <w:szCs w:val="16"/>
        </w:rPr>
        <w:t>мая</w:t>
      </w:r>
      <w:r w:rsidRPr="00DB5D0D">
        <w:rPr>
          <w:rFonts w:ascii="Times New Roman" w:hAnsi="Times New Roman"/>
          <w:color w:val="000000" w:themeColor="text1"/>
          <w:sz w:val="16"/>
          <w:szCs w:val="16"/>
          <w:lang w:val="en-US"/>
        </w:rPr>
        <w:t xml:space="preserve"> 1940 </w:t>
      </w:r>
      <w:r w:rsidRPr="00DB5D0D">
        <w:rPr>
          <w:rFonts w:ascii="Times New Roman" w:hAnsi="Times New Roman"/>
          <w:color w:val="000000" w:themeColor="text1"/>
          <w:sz w:val="16"/>
          <w:szCs w:val="16"/>
        </w:rPr>
        <w:t>немцамкапитулировалаГолландия</w:t>
      </w:r>
      <w:r w:rsidRPr="00DB5D0D">
        <w:rPr>
          <w:rFonts w:ascii="Times New Roman" w:hAnsi="Times New Roman"/>
          <w:color w:val="000000" w:themeColor="text1"/>
          <w:sz w:val="16"/>
          <w:szCs w:val="16"/>
          <w:lang w:val="en-US"/>
        </w:rPr>
        <w:t xml:space="preserve"> (4962).</w:t>
      </w:r>
    </w:p>
    <w:p w14:paraId="3F46E7A2" w14:textId="77777777" w:rsidR="00105B0F" w:rsidRPr="00DB5D0D" w:rsidRDefault="00105B0F" w:rsidP="00DB5D0D">
      <w:pPr>
        <w:tabs>
          <w:tab w:val="left" w:pos="11199"/>
        </w:tabs>
        <w:spacing w:after="0" w:line="240" w:lineRule="auto"/>
        <w:jc w:val="both"/>
        <w:rPr>
          <w:rFonts w:ascii="Times New Roman" w:hAnsi="Times New Roman"/>
          <w:color w:val="000000" w:themeColor="text1"/>
          <w:sz w:val="16"/>
          <w:szCs w:val="16"/>
          <w:lang w:val="en-US"/>
        </w:rPr>
      </w:pPr>
    </w:p>
    <w:p w14:paraId="1E310852"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15 May 1940 German break-through on the Meuse in France (270).</w:t>
      </w:r>
    </w:p>
    <w:p w14:paraId="5A18FCCB"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BA6CA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немецкая армия вторглась во Францию форсировав Meuse (270).</w:t>
      </w:r>
    </w:p>
    <w:p w14:paraId="18BDA4E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6D3599" w14:textId="77777777" w:rsidR="00105B0F" w:rsidRPr="00DB5D0D" w:rsidRDefault="00105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в 1940 году в Париже после известия о прорыве немцев под Седаном началась паника. Тысячи горожан покинули город и устремились на юг и запад, забив дороги, необходимые для военных перевозок, постоянно подвергаемых атакам немецкой авиации. Командование Королевских ВВС начало стратегическое воздушное наступление против целей в промышленных районах Рура в Германии, но достигнутый эффект был минимален (14892).</w:t>
      </w:r>
    </w:p>
    <w:p w14:paraId="7EAE0113" w14:textId="77777777" w:rsidR="00105B0F" w:rsidRPr="00DB5D0D" w:rsidRDefault="00105B0F" w:rsidP="00DB5D0D">
      <w:pPr>
        <w:spacing w:after="0" w:line="240" w:lineRule="auto"/>
        <w:jc w:val="both"/>
        <w:rPr>
          <w:rFonts w:ascii="Times New Roman" w:hAnsi="Times New Roman"/>
          <w:color w:val="000000" w:themeColor="text1"/>
          <w:sz w:val="16"/>
          <w:szCs w:val="16"/>
        </w:rPr>
      </w:pPr>
    </w:p>
    <w:p w14:paraId="746C3594"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 xml:space="preserve">15 мая 1940 Англия отказалась отправить больше истребителей во Францию </w:t>
      </w:r>
      <w:r w:rsidRPr="00DB5D0D">
        <w:rPr>
          <w:rFonts w:ascii="Times New Roman" w:hAnsi="Times New Roman"/>
          <w:color w:val="000000" w:themeColor="text1"/>
          <w:sz w:val="16"/>
          <w:szCs w:val="16"/>
          <w:lang w:val="en-US"/>
        </w:rPr>
        <w:t>(2240).</w:t>
      </w:r>
    </w:p>
    <w:p w14:paraId="76505C62"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3F511EB"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15-16 1940 First large-scale RAF raids on German industrial targets when 93 bombers attacked objectives in the Ruhr (1038).</w:t>
      </w:r>
    </w:p>
    <w:p w14:paraId="6BBD10A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4F34BD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15-16 мая 1940 состоялся первый большой налет британской авиации на немецкие промышленные объекты и в районе Рура бомбило 93 машины (1038).</w:t>
      </w:r>
    </w:p>
    <w:p w14:paraId="3566C5E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2C2E7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в США в продаже появились нейлоновые чулки. Все компании-производители согласились начать продажу в один день (3263,240).</w:t>
      </w:r>
    </w:p>
    <w:p w14:paraId="4A29263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ABEE4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15 мая 1940 в США в продаже впервые появились нейлоновые чулки (4962).</w:t>
      </w:r>
    </w:p>
    <w:p w14:paraId="09E14C5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33AC667" w14:textId="77777777" w:rsidR="00EA5A39" w:rsidRPr="00DB5D0D" w:rsidRDefault="00EA5A3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в 1940 году в США в продаже появляются нейлоновые чулки. Все компании, производившие их, согласились начать продажу нового товара в один день, так как понимали, что спрос будет высоким из-за меньшей цены и, если так можно выразиться, большей прозрачности, чем у шелковых (14892).</w:t>
      </w:r>
    </w:p>
    <w:p w14:paraId="20DA2F9E" w14:textId="77777777" w:rsidR="00EA5A39" w:rsidRPr="00DB5D0D" w:rsidRDefault="00EA5A39" w:rsidP="00DB5D0D">
      <w:pPr>
        <w:spacing w:after="0" w:line="240" w:lineRule="auto"/>
        <w:jc w:val="both"/>
        <w:rPr>
          <w:rFonts w:ascii="Times New Roman" w:hAnsi="Times New Roman"/>
          <w:color w:val="000000" w:themeColor="text1"/>
          <w:sz w:val="16"/>
          <w:szCs w:val="16"/>
        </w:rPr>
      </w:pPr>
    </w:p>
    <w:p w14:paraId="6D617DD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02578D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899EB48" w14:textId="77777777" w:rsidR="00214DEE" w:rsidRPr="00DB5D0D" w:rsidRDefault="00214DEE"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 середине мая 1940 Наркомат авиапромыш</w:t>
      </w:r>
      <w:r w:rsidRPr="00DB5D0D">
        <w:rPr>
          <w:rFonts w:ascii="Times New Roman" w:hAnsi="Times New Roman" w:cs="Times New Roman"/>
          <w:color w:val="000000" w:themeColor="text1"/>
          <w:sz w:val="16"/>
          <w:szCs w:val="16"/>
        </w:rPr>
        <w:softHyphen/>
        <w:t>ленности довольно долго не мог опреде</w:t>
      </w:r>
      <w:r w:rsidRPr="00DB5D0D">
        <w:rPr>
          <w:rFonts w:ascii="Times New Roman" w:hAnsi="Times New Roman" w:cs="Times New Roman"/>
          <w:color w:val="000000" w:themeColor="text1"/>
          <w:sz w:val="16"/>
          <w:szCs w:val="16"/>
        </w:rPr>
        <w:softHyphen/>
        <w:t>литься с заводом, на котором можно было бы строить БШ-2 войсковой серии. Дело в том, что речь шла всего лишь о постройке 65 или 10-15 машин для проведения войсковых испытаний. Это обстоятельство для руководства НКАП имело принципи</w:t>
      </w:r>
      <w:r w:rsidRPr="00DB5D0D">
        <w:rPr>
          <w:rFonts w:ascii="Times New Roman" w:hAnsi="Times New Roman" w:cs="Times New Roman"/>
          <w:color w:val="000000" w:themeColor="text1"/>
          <w:sz w:val="16"/>
          <w:szCs w:val="16"/>
        </w:rPr>
        <w:softHyphen/>
        <w:t>альное значение. Наркомату было трудно найти завод со свободными производ</w:t>
      </w:r>
      <w:r w:rsidRPr="00DB5D0D">
        <w:rPr>
          <w:rFonts w:ascii="Times New Roman" w:hAnsi="Times New Roman" w:cs="Times New Roman"/>
          <w:color w:val="000000" w:themeColor="text1"/>
          <w:sz w:val="16"/>
          <w:szCs w:val="16"/>
        </w:rPr>
        <w:softHyphen/>
        <w:t>ственными мощностями и разместить там заказ на изготовление небольшой партии самолета, еще не принятого на вооружение ВВС КА. Возможности советской авиапромышленности все же не были безграничными. Заводы были загружены выпуском серийных образцов и освоением производства новых типов самолетов, принятых на вооружение. При этом в случае постановки БШ-2 на вооружение завод должен был быстро развернуть его массовый выпуск. В то же время производство БШ-2 требовало довольно сложной кооперации заводов. Так, поблизости от самолетостроительного завода необходимо было иметь мощное металлургическое и машиностроительное производства для варки броневой стали, проката листов из нее, изготовления деталей и сборки бронекорпусов. Кроме того, выпуск даже малой серии самолета предполагал непременное устранение всех выявленных в ходе государственных испытаний недостатков БШ-2 и подго</w:t>
      </w:r>
      <w:r w:rsidRPr="00DB5D0D">
        <w:rPr>
          <w:rFonts w:ascii="Times New Roman" w:hAnsi="Times New Roman" w:cs="Times New Roman"/>
          <w:color w:val="000000" w:themeColor="text1"/>
          <w:sz w:val="16"/>
          <w:szCs w:val="16"/>
        </w:rPr>
        <w:softHyphen/>
        <w:t>товку для серийного завода необходимой конструкторско-технологической доку</w:t>
      </w:r>
      <w:r w:rsidRPr="00DB5D0D">
        <w:rPr>
          <w:rFonts w:ascii="Times New Roman" w:hAnsi="Times New Roman" w:cs="Times New Roman"/>
          <w:color w:val="000000" w:themeColor="text1"/>
          <w:sz w:val="16"/>
          <w:szCs w:val="16"/>
        </w:rPr>
        <w:softHyphen/>
        <w:t>ментации.</w:t>
      </w:r>
    </w:p>
    <w:p w14:paraId="53E409D0" w14:textId="77777777" w:rsidR="00214DEE" w:rsidRPr="00DB5D0D" w:rsidRDefault="00214DE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Здесь следует понимать, что для на</w:t>
      </w:r>
      <w:r w:rsidRPr="00DB5D0D">
        <w:rPr>
          <w:rFonts w:ascii="Times New Roman" w:hAnsi="Times New Roman"/>
          <w:color w:val="000000" w:themeColor="text1"/>
          <w:sz w:val="16"/>
          <w:szCs w:val="16"/>
        </w:rPr>
        <w:softHyphen/>
        <w:t>ркома Шахурина работы по штурмовику БШ-2 не стояли в ряду приоритетных задач Наркомата. В первую очередь с него спрашивали за внедрение в серию бомбардировщика ДБ-Зф и поставленных на снабжение ВВС КА боевых самолетов нового типа.</w:t>
      </w:r>
    </w:p>
    <w:p w14:paraId="6E59568A" w14:textId="77777777" w:rsidR="00214DEE" w:rsidRPr="00DB5D0D" w:rsidRDefault="00214DEE"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Что касается ДБ-Зф, то по плану перевооружения ВВС КА к концу 1940 г. на самолетах этого типа предполагалось сформировать 11 дальнебомбардировоч- ных полков, из них 7 - в первой половине года. Для этого требовалось 682 самоле</w:t>
      </w:r>
      <w:r w:rsidRPr="00DB5D0D">
        <w:rPr>
          <w:rFonts w:ascii="Times New Roman" w:hAnsi="Times New Roman" w:cs="Times New Roman"/>
          <w:color w:val="000000" w:themeColor="text1"/>
          <w:sz w:val="16"/>
          <w:szCs w:val="16"/>
        </w:rPr>
        <w:softHyphen/>
        <w:t>тов ДБ-Зф. В дополнение к этому только в 1-м квартале на ДБ-Зф рассчитывали перевооружить 10 уже имеющихся полков «дальников». Это еще 620 машин. В то же время объем недопоставки в ВВС ильюшинских бомбардировщиков на 15 марта составил 711 самолетов.</w:t>
      </w:r>
    </w:p>
    <w:p w14:paraId="7459CE23" w14:textId="77777777" w:rsidR="00214DEE" w:rsidRPr="00DB5D0D" w:rsidRDefault="00214DEE"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Учитывая колебания НКАП и данное Ильюшиным обещание устранить все отмеченные в акте государственных испытаний недостатки самолета, а также повысить его летные и боевые качества по требованиям ВВС, военные взялись помогать Ильюшину (19087).</w:t>
      </w:r>
    </w:p>
    <w:p w14:paraId="34460509" w14:textId="77777777" w:rsidR="00214DEE" w:rsidRPr="00DB5D0D" w:rsidRDefault="00214DEE"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7D3BE8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мая заводами НКАП было изготовлено всего 20 машин ББ-1 (из них пять с двигателями М-87Б, а остальные с новыми М-88) и еще 7 находились в сборке. Установка более мощного мотора ничего не дала самолету с точки зрения повышения летно-тактических характеристик (скорости на высоте остались на уровне 460 - 468 км/ч), но расходы горячего возросли примерно на треть, надежность работы винтомоторной группы снизилась, температурные режимы не позволяли осуществлять нормальную эксплуатацию двигателей. Казалось бы, надлежало сосредоточить усилия на устранение этих недостатков (12028).</w:t>
      </w:r>
    </w:p>
    <w:p w14:paraId="7E54A76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CB8A17" w14:textId="77777777" w:rsidR="00EE5E60" w:rsidRPr="00DB5D0D" w:rsidRDefault="00EE5E60"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 середине мая 1940 испытания И301 в том объеме, который позволило текущее положение дел, завершились (23193).</w:t>
      </w:r>
    </w:p>
    <w:p w14:paraId="467D58EA" w14:textId="77777777" w:rsidR="00EE5E60" w:rsidRPr="00DB5D0D" w:rsidRDefault="00EE5E60" w:rsidP="00DB5D0D">
      <w:pPr>
        <w:shd w:val="clear" w:color="auto" w:fill="FFFFFF"/>
        <w:spacing w:after="0" w:line="240" w:lineRule="auto"/>
        <w:jc w:val="both"/>
        <w:rPr>
          <w:rFonts w:ascii="Times New Roman" w:hAnsi="Times New Roman"/>
          <w:color w:val="0070C0"/>
          <w:sz w:val="16"/>
          <w:szCs w:val="16"/>
        </w:rPr>
      </w:pPr>
    </w:p>
    <w:p w14:paraId="10A83B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мая 1940 начался облет машин И-180-3, привезенных из Горького в Москву. Предполагалась широкая программа с привлечением заводских летчиков и испытателей НИИ ВВС (3203,15).</w:t>
      </w:r>
    </w:p>
    <w:p w14:paraId="20F5A55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D509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мая 1940 в Москве начался облет истребителей И-180С, привезенных из Горького. Предполагалась широкая программа испытаний с привлечением заводских летчиков и испытателей НИИ ВВС (9979).</w:t>
      </w:r>
    </w:p>
    <w:p w14:paraId="29D72F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F4BF5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середины мая 1940 начались рулежечные испытания 2-го МБР-7 (МС-8), доделанного (1049,98).</w:t>
      </w:r>
    </w:p>
    <w:p w14:paraId="6005F12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F0267A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A4F216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8C114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мая 1940, когда на заводе № 174 шла внутризаводская защита проекта Т-126 было обращено особое внимание на большой вес машины, доходивший до 16-17 т и более, вместо 13 т, заданных техусловиями АБТУ, а также на слож</w:t>
      </w:r>
      <w:r w:rsidRPr="00DB5D0D">
        <w:rPr>
          <w:rFonts w:ascii="Times New Roman" w:hAnsi="Times New Roman"/>
          <w:color w:val="000000" w:themeColor="text1"/>
          <w:sz w:val="16"/>
          <w:szCs w:val="16"/>
        </w:rPr>
        <w:softHyphen/>
        <w:t>ность моторно-трансмиссионной группы. Чтобы избежать возможных трудностей, директор завода № 174 Маркин дал указание КБ параллельно с работами над Т-126 проработать вопрос о максимально легком варианте машины СП при сохранении остальных 111 АБТУ. Таким образом было открыто эскизное проектирование танка «127», и ответственным за него был назначен инже</w:t>
      </w:r>
      <w:r w:rsidRPr="00DB5D0D">
        <w:rPr>
          <w:rFonts w:ascii="Times New Roman" w:hAnsi="Times New Roman"/>
          <w:color w:val="000000" w:themeColor="text1"/>
          <w:sz w:val="16"/>
          <w:szCs w:val="16"/>
        </w:rPr>
        <w:softHyphen/>
        <w:t>нер-конструктор Голтвянский, от двигательного отдела в проекте был занят молодой инженер Макаров. Они разра</w:t>
      </w:r>
      <w:r w:rsidRPr="00DB5D0D">
        <w:rPr>
          <w:rFonts w:ascii="Times New Roman" w:hAnsi="Times New Roman"/>
          <w:color w:val="000000" w:themeColor="text1"/>
          <w:sz w:val="16"/>
          <w:szCs w:val="16"/>
        </w:rPr>
        <w:softHyphen/>
        <w:t>ботали проект танка на с двигателем № 744 и облегченной подвеской на трех парах торсионов с балансирами. Корпус по форме был выбран подобным Т-26-1, от него же заим</w:t>
      </w:r>
      <w:r w:rsidRPr="00DB5D0D">
        <w:rPr>
          <w:rFonts w:ascii="Times New Roman" w:hAnsi="Times New Roman"/>
          <w:color w:val="000000" w:themeColor="text1"/>
          <w:sz w:val="16"/>
          <w:szCs w:val="16"/>
        </w:rPr>
        <w:softHyphen/>
        <w:t>ствовались КПП, бортредукторы и прочие механизмы. Собственно получился танк 126-1 с сильно ужатым корпу</w:t>
      </w:r>
      <w:r w:rsidRPr="00DB5D0D">
        <w:rPr>
          <w:rFonts w:ascii="Times New Roman" w:hAnsi="Times New Roman"/>
          <w:color w:val="000000" w:themeColor="text1"/>
          <w:sz w:val="16"/>
          <w:szCs w:val="16"/>
        </w:rPr>
        <w:softHyphen/>
        <w:t>сом и броней 30—45 мм, установленной под наклоном. Молодые конструкторы, конечно же, горели желанием, чтобы их заметили, и потому всячески старались показать свою работу. Им не было понятно, почему к проекту все от</w:t>
      </w:r>
      <w:r w:rsidRPr="00DB5D0D">
        <w:rPr>
          <w:rFonts w:ascii="Times New Roman" w:hAnsi="Times New Roman"/>
          <w:color w:val="000000" w:themeColor="text1"/>
          <w:sz w:val="16"/>
          <w:szCs w:val="16"/>
        </w:rPr>
        <w:softHyphen/>
        <w:t>носятся столь невнимательно. Ведь они, казалось бы, вы</w:t>
      </w:r>
      <w:r w:rsidRPr="00DB5D0D">
        <w:rPr>
          <w:rFonts w:ascii="Times New Roman" w:hAnsi="Times New Roman"/>
          <w:color w:val="000000" w:themeColor="text1"/>
          <w:sz w:val="16"/>
          <w:szCs w:val="16"/>
        </w:rPr>
        <w:softHyphen/>
        <w:t>полняли все условия АБТУ, и даже лучше. Вес их машины не превышал 12,5 т, броня — 30—45 мм, габариты даже чуть меньшие, чем у Т-26-1 (при чуть большей базе), в полтора раза больший расчетный радиус действия. Но главное - бо</w:t>
      </w:r>
      <w:r w:rsidRPr="00DB5D0D">
        <w:rPr>
          <w:rFonts w:ascii="Times New Roman" w:hAnsi="Times New Roman"/>
          <w:color w:val="000000" w:themeColor="text1"/>
          <w:sz w:val="16"/>
          <w:szCs w:val="16"/>
        </w:rPr>
        <w:softHyphen/>
        <w:t>лее высокие динамические качества и даже большая расчетная просторность боевого отделения! Правда, все это были расчетные данные при принятой мощности двигате</w:t>
      </w:r>
      <w:r w:rsidRPr="00DB5D0D">
        <w:rPr>
          <w:rFonts w:ascii="Times New Roman" w:hAnsi="Times New Roman"/>
          <w:color w:val="000000" w:themeColor="text1"/>
          <w:sz w:val="16"/>
          <w:szCs w:val="16"/>
        </w:rPr>
        <w:softHyphen/>
        <w:t>ля № 744 в 200—220 л.с., полученной на стенде на одном опытном экземпляре. И, по мнению авторов, эту мощность можно было поднять без наддува до 250 л.с. Но проект не рассматривался ни на каком официальном совещании, хоть был предметом неоднократного обсужде</w:t>
      </w:r>
      <w:r w:rsidRPr="00DB5D0D">
        <w:rPr>
          <w:rFonts w:ascii="Times New Roman" w:hAnsi="Times New Roman"/>
          <w:color w:val="000000" w:themeColor="text1"/>
          <w:sz w:val="16"/>
          <w:szCs w:val="16"/>
        </w:rPr>
        <w:softHyphen/>
        <w:t>ния с привлечением работников АБТУ — членов макетной комиссии, и это очень обижало авторов изделия. Разработчики не понимали, почему завод в лице главно</w:t>
      </w:r>
      <w:r w:rsidRPr="00DB5D0D">
        <w:rPr>
          <w:rFonts w:ascii="Times New Roman" w:hAnsi="Times New Roman"/>
          <w:color w:val="000000" w:themeColor="text1"/>
          <w:sz w:val="16"/>
          <w:szCs w:val="16"/>
        </w:rPr>
        <w:softHyphen/>
        <w:t>го инженера Засовенко отказался от форсирования выпуска рабочих чертежей и изготовления опытного образца, моти</w:t>
      </w:r>
      <w:r w:rsidRPr="00DB5D0D">
        <w:rPr>
          <w:rFonts w:ascii="Times New Roman" w:hAnsi="Times New Roman"/>
          <w:color w:val="000000" w:themeColor="text1"/>
          <w:sz w:val="16"/>
          <w:szCs w:val="16"/>
        </w:rPr>
        <w:softHyphen/>
        <w:t>вируя якобы загрузкой работами по проекту «126». Голтвянский считал, что проектные работы по «126» уже закончены и все силы должны быть обязательно брошены на его дети</w:t>
      </w:r>
      <w:r w:rsidRPr="00DB5D0D">
        <w:rPr>
          <w:rFonts w:ascii="Times New Roman" w:hAnsi="Times New Roman"/>
          <w:color w:val="000000" w:themeColor="text1"/>
          <w:sz w:val="16"/>
          <w:szCs w:val="16"/>
        </w:rPr>
        <w:softHyphen/>
        <w:t>ще, и потому настоятельно просил и требовал, чтобы все ру</w:t>
      </w:r>
      <w:r w:rsidRPr="00DB5D0D">
        <w:rPr>
          <w:rFonts w:ascii="Times New Roman" w:hAnsi="Times New Roman"/>
          <w:color w:val="000000" w:themeColor="text1"/>
          <w:sz w:val="16"/>
          <w:szCs w:val="16"/>
        </w:rPr>
        <w:softHyphen/>
        <w:t>ководящие органы помогли ему и не дали столь нужной ма</w:t>
      </w:r>
      <w:r w:rsidRPr="00DB5D0D">
        <w:rPr>
          <w:rFonts w:ascii="Times New Roman" w:hAnsi="Times New Roman"/>
          <w:color w:val="000000" w:themeColor="text1"/>
          <w:sz w:val="16"/>
          <w:szCs w:val="16"/>
        </w:rPr>
        <w:softHyphen/>
        <w:t>шине «погибнуть в волоките». Он вдруг забыл, что его маши</w:t>
      </w:r>
      <w:r w:rsidRPr="00DB5D0D">
        <w:rPr>
          <w:rFonts w:ascii="Times New Roman" w:hAnsi="Times New Roman"/>
          <w:color w:val="000000" w:themeColor="text1"/>
          <w:sz w:val="16"/>
          <w:szCs w:val="16"/>
        </w:rPr>
        <w:softHyphen/>
        <w:t>на подвешена на вдвое меньшем числе торсионов, чем Т-126, и уже это вызывало большие вопросы по ее нормальной ра</w:t>
      </w:r>
      <w:r w:rsidRPr="00DB5D0D">
        <w:rPr>
          <w:rFonts w:ascii="Times New Roman" w:hAnsi="Times New Roman"/>
          <w:color w:val="000000" w:themeColor="text1"/>
          <w:sz w:val="16"/>
          <w:szCs w:val="16"/>
        </w:rPr>
        <w:softHyphen/>
        <w:t>ботоспособности. Макаров же не учитывал, что из трех дизе</w:t>
      </w:r>
      <w:r w:rsidRPr="00DB5D0D">
        <w:rPr>
          <w:rFonts w:ascii="Times New Roman" w:hAnsi="Times New Roman"/>
          <w:color w:val="000000" w:themeColor="text1"/>
          <w:sz w:val="16"/>
          <w:szCs w:val="16"/>
        </w:rPr>
        <w:softHyphen/>
        <w:t>лей N° 744</w:t>
      </w:r>
      <w:r w:rsidRPr="00DB5D0D">
        <w:rPr>
          <w:rFonts w:ascii="Times New Roman" w:hAnsi="Times New Roman"/>
          <w:color w:val="000000" w:themeColor="text1"/>
          <w:sz w:val="16"/>
          <w:szCs w:val="16"/>
          <w:vertAlign w:val="subscript"/>
        </w:rPr>
        <w:t>;</w:t>
      </w:r>
      <w:r w:rsidRPr="00DB5D0D">
        <w:rPr>
          <w:rFonts w:ascii="Times New Roman" w:hAnsi="Times New Roman"/>
          <w:color w:val="000000" w:themeColor="text1"/>
          <w:sz w:val="16"/>
          <w:szCs w:val="16"/>
        </w:rPr>
        <w:t xml:space="preserve"> стоящих на стенде, лишь один кратковременно показал мощность 200 л.с., после чего успешно сломался. Остальные же два двигателя не показали даже и планировав</w:t>
      </w:r>
      <w:r w:rsidRPr="00DB5D0D">
        <w:rPr>
          <w:rFonts w:ascii="Times New Roman" w:hAnsi="Times New Roman"/>
          <w:color w:val="000000" w:themeColor="text1"/>
          <w:sz w:val="16"/>
          <w:szCs w:val="16"/>
        </w:rPr>
        <w:softHyphen/>
        <w:t>шиеся 180 л.с., но соответственно 140 и 155 л.с., а с такими показателями танк «127» уже был весьма посредственным. Пытаясь «найти управу на бюрократов», молодые инже</w:t>
      </w:r>
      <w:r w:rsidRPr="00DB5D0D">
        <w:rPr>
          <w:rFonts w:ascii="Times New Roman" w:hAnsi="Times New Roman"/>
          <w:color w:val="000000" w:themeColor="text1"/>
          <w:sz w:val="16"/>
          <w:szCs w:val="16"/>
        </w:rPr>
        <w:softHyphen/>
        <w:t>неры написали жалобу в виде письма председателю Комите</w:t>
      </w:r>
      <w:r w:rsidRPr="00DB5D0D">
        <w:rPr>
          <w:rFonts w:ascii="Times New Roman" w:hAnsi="Times New Roman"/>
          <w:color w:val="000000" w:themeColor="text1"/>
          <w:sz w:val="16"/>
          <w:szCs w:val="16"/>
        </w:rPr>
        <w:softHyphen/>
        <w:t>та Обороны К.Ворошилову, начальнику ГБТУ Я.Федоренко и замнаркома Среднего машиностроения В. Гореляду. Письмо вызвало моментальную реакцию (10782).</w:t>
      </w:r>
    </w:p>
    <w:p w14:paraId="323F59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35533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мая 1940 г. АБТУ отправило в адрес заместителя народного комиссара среднего машиностроения АА Горегляда и директоров СТЗ и завода №183 письмо, подтверж</w:t>
      </w:r>
      <w:r w:rsidRPr="00DB5D0D">
        <w:rPr>
          <w:rFonts w:ascii="Times New Roman" w:hAnsi="Times New Roman"/>
          <w:color w:val="000000" w:themeColor="text1"/>
          <w:sz w:val="16"/>
          <w:szCs w:val="16"/>
        </w:rPr>
        <w:softHyphen/>
        <w:t>дающее, что все изменения в конструкцию Т-34 должны вноситься только при условии согласования их с заводом №183 и АБТУ:</w:t>
      </w:r>
    </w:p>
    <w:p w14:paraId="369974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Сообщаю, что чертежи и ТУ танка Т-34, утвержденные АБГУКА во второй половине апреля с.г. на заводе № 183 для серийного производства в 1940 г. являются для Сталинградского Тракторного завода эталоном для подготовки производства и выпуска установочной партии танка Т-34 в 1940 г.</w:t>
      </w:r>
    </w:p>
    <w:p w14:paraId="381572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w:t>
      </w:r>
    </w:p>
    <w:p w14:paraId="29E731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Запретить Сталинградскому Тракторному заводу про</w:t>
      </w:r>
      <w:r w:rsidRPr="00DB5D0D">
        <w:rPr>
          <w:rFonts w:ascii="Times New Roman" w:hAnsi="Times New Roman"/>
          <w:color w:val="000000" w:themeColor="text1"/>
          <w:sz w:val="16"/>
          <w:szCs w:val="16"/>
        </w:rPr>
        <w:softHyphen/>
        <w:t>изводить какие-либо конструктивные изменения деталей, узлов, аг</w:t>
      </w:r>
      <w:r w:rsidRPr="00DB5D0D">
        <w:rPr>
          <w:rFonts w:ascii="Times New Roman" w:hAnsi="Times New Roman"/>
          <w:color w:val="000000" w:themeColor="text1"/>
          <w:sz w:val="16"/>
          <w:szCs w:val="16"/>
        </w:rPr>
        <w:softHyphen/>
        <w:t>регатов и материала, нарушающие прочность и взаимозаменяемость танка Т-34.</w:t>
      </w:r>
    </w:p>
    <w:p w14:paraId="2554DE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Предупредить СТЗ, чю ведущим заводом по танку Т-34 являет</w:t>
      </w:r>
      <w:r w:rsidRPr="00DB5D0D">
        <w:rPr>
          <w:rFonts w:ascii="Times New Roman" w:hAnsi="Times New Roman"/>
          <w:color w:val="000000" w:themeColor="text1"/>
          <w:sz w:val="16"/>
          <w:szCs w:val="16"/>
        </w:rPr>
        <w:softHyphen/>
        <w:t>ся завод НКСМ и все изменения конструктивного и технологического порядка не нарушающие взаимозаменяемости и прочности танка Т- 34 СТЗ необходимо согласовывать с заводом №183 НКСМ и вводить их на серийное производство только после утверждения АБТУ КА</w:t>
      </w:r>
    </w:p>
    <w:p w14:paraId="43E076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АБТУ КР. АРМИИ КОМАНДАРМ 2 РАНГА ПАВЛОВ</w:t>
      </w:r>
    </w:p>
    <w:p w14:paraId="153A7F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КОМИССАР АБТУ КР. АРМИИ ДИВИЗИОННЫЙ КОМИССАР КУЛИКОВ (за Павлова Д.Г. письмо подписал заместитель начальника АБТУ комбриг В.П. Пуганов [6] (11901).</w:t>
      </w:r>
    </w:p>
    <w:p w14:paraId="004C43B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8CE3E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мая 1940 руководству предприятий, задействованных в программе по Т-34, был озвучен новый предварительный план, со</w:t>
      </w:r>
      <w:r w:rsidRPr="00DB5D0D">
        <w:rPr>
          <w:rFonts w:ascii="Times New Roman" w:hAnsi="Times New Roman"/>
          <w:color w:val="000000" w:themeColor="text1"/>
          <w:sz w:val="16"/>
          <w:szCs w:val="16"/>
        </w:rPr>
        <w:softHyphen/>
        <w:t>гласно которому завод № 183 должен был изготовить и сдать в 1940 г. 500, а СТЗ -100 танков Т-34. Для реализации этого плана по линии Главспецмаша и НКСП руководству этих предприятий было предло</w:t>
      </w:r>
      <w:r w:rsidRPr="00DB5D0D">
        <w:rPr>
          <w:rFonts w:ascii="Times New Roman" w:hAnsi="Times New Roman"/>
          <w:color w:val="000000" w:themeColor="text1"/>
          <w:sz w:val="16"/>
          <w:szCs w:val="16"/>
        </w:rPr>
        <w:softHyphen/>
        <w:t>жено составить перечень необходимых мероприятий, благодаря ко</w:t>
      </w:r>
      <w:r w:rsidRPr="00DB5D0D">
        <w:rPr>
          <w:rFonts w:ascii="Times New Roman" w:hAnsi="Times New Roman"/>
          <w:color w:val="000000" w:themeColor="text1"/>
          <w:sz w:val="16"/>
          <w:szCs w:val="16"/>
        </w:rPr>
        <w:softHyphen/>
        <w:t>торым они смогли бы обеспечить увеличение выпуска Т-34 в крат</w:t>
      </w:r>
      <w:r w:rsidRPr="00DB5D0D">
        <w:rPr>
          <w:rFonts w:ascii="Times New Roman" w:hAnsi="Times New Roman"/>
          <w:color w:val="000000" w:themeColor="text1"/>
          <w:sz w:val="16"/>
          <w:szCs w:val="16"/>
        </w:rPr>
        <w:softHyphen/>
        <w:t>чайшие сроки. АБТУ, в свою очередь, обязал военных представите</w:t>
      </w:r>
      <w:r w:rsidRPr="00DB5D0D">
        <w:rPr>
          <w:rFonts w:ascii="Times New Roman" w:hAnsi="Times New Roman"/>
          <w:color w:val="000000" w:themeColor="text1"/>
          <w:sz w:val="16"/>
          <w:szCs w:val="16"/>
        </w:rPr>
        <w:softHyphen/>
        <w:t>лей на заводах до конца мая представить свои предложения и сооб</w:t>
      </w:r>
      <w:r w:rsidRPr="00DB5D0D">
        <w:rPr>
          <w:rFonts w:ascii="Times New Roman" w:hAnsi="Times New Roman"/>
          <w:color w:val="000000" w:themeColor="text1"/>
          <w:sz w:val="16"/>
          <w:szCs w:val="16"/>
        </w:rPr>
        <w:softHyphen/>
        <w:t>ражения по данному вопросу. Представляют несомненный интерес отчеты военпредов, характеризующие состояние производства тан</w:t>
      </w:r>
      <w:r w:rsidRPr="00DB5D0D">
        <w:rPr>
          <w:rFonts w:ascii="Times New Roman" w:hAnsi="Times New Roman"/>
          <w:color w:val="000000" w:themeColor="text1"/>
          <w:sz w:val="16"/>
          <w:szCs w:val="16"/>
        </w:rPr>
        <w:softHyphen/>
        <w:t>ка Т-34 на основных заводах на конец мая 1940 г.</w:t>
      </w:r>
    </w:p>
    <w:p w14:paraId="6B4D67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№183</w:t>
      </w:r>
    </w:p>
    <w:p w14:paraId="138A12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ПОДГОТОВКИ ПРОИЗВОДСТВА К СЕРИЙНОМУ ВЫПУСКУ ТАНКА «А-34».</w:t>
      </w:r>
    </w:p>
    <w:p w14:paraId="32F4D9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II. Подготовка к серийному выпуску А-34 по увеличенной программе.</w:t>
      </w:r>
    </w:p>
    <w:p w14:paraId="765529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Окончательный переход к массовому выпуску А-34 завод может совершить с 1 августа. В течение июня-июля м-ца завод должен закончить выпуск А-7м. За этот же период завод должен проверить серийную технологию изготовления А-34, для чего зап</w:t>
      </w:r>
      <w:r w:rsidRPr="00DB5D0D">
        <w:rPr>
          <w:rFonts w:ascii="Times New Roman" w:hAnsi="Times New Roman"/>
          <w:color w:val="000000" w:themeColor="text1"/>
          <w:sz w:val="16"/>
          <w:szCs w:val="16"/>
        </w:rPr>
        <w:softHyphen/>
        <w:t>ланирован выпуск 20-ти штук А-34 по серийной технологии (на конвейере).</w:t>
      </w:r>
    </w:p>
    <w:p w14:paraId="3C3549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заканчивается подготовка технологии к серийному выпуску А-34. В настоящее время около 10% деталей, из общего наименования, запущены в производство.</w:t>
      </w:r>
    </w:p>
    <w:p w14:paraId="635FF0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Необходимые мероприятия для обеспечения выпуска А-34.</w:t>
      </w:r>
    </w:p>
    <w:p w14:paraId="72A63E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 в состоянии выполнить увеличенную программу при условии выполнения следующих мероприятий:</w:t>
      </w:r>
    </w:p>
    <w:p w14:paraId="6EBD12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Немедленно будет развернут строительство по реконструк</w:t>
      </w:r>
      <w:r w:rsidRPr="00DB5D0D">
        <w:rPr>
          <w:rFonts w:ascii="Times New Roman" w:hAnsi="Times New Roman"/>
          <w:color w:val="000000" w:themeColor="text1"/>
          <w:sz w:val="16"/>
          <w:szCs w:val="16"/>
        </w:rPr>
        <w:softHyphen/>
        <w:t>ции отдельных цехов в нужных темпах. Разрешено бессметное стро</w:t>
      </w:r>
      <w:r w:rsidRPr="00DB5D0D">
        <w:rPr>
          <w:rFonts w:ascii="Times New Roman" w:hAnsi="Times New Roman"/>
          <w:color w:val="000000" w:themeColor="text1"/>
          <w:sz w:val="16"/>
          <w:szCs w:val="16"/>
        </w:rPr>
        <w:softHyphen/>
        <w:t>ительство. Обеспечить фондами и материалами это строительство.</w:t>
      </w:r>
    </w:p>
    <w:p w14:paraId="666F66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Коренным образом улучшено снабжение завода металлом как для окончания программы по А-7м, так и для соз/^ния задела и нор</w:t>
      </w:r>
      <w:r w:rsidRPr="00DB5D0D">
        <w:rPr>
          <w:rFonts w:ascii="Times New Roman" w:hAnsi="Times New Roman"/>
          <w:color w:val="000000" w:themeColor="text1"/>
          <w:sz w:val="16"/>
          <w:szCs w:val="16"/>
        </w:rPr>
        <w:softHyphen/>
        <w:t>мальной работы з-да по выпуску А-34 по увеличенному заданию.</w:t>
      </w:r>
    </w:p>
    <w:p w14:paraId="5AB727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Улучшена работа кооперирующих заводов (з-д 75 дизель В-2; ЗЭМ - электрооборудование; ХГЗ - заготовки и т.д.) и привлечены по линии кооперации новые заводы входящие в систему НКСМ.</w:t>
      </w:r>
    </w:p>
    <w:p w14:paraId="3F731C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Разгрузить завод от громоздкой номенклатуры запчастей. В настоящее время завод изготавливает запчасти: А-2-5, А-7-7м, Т-35.</w:t>
      </w:r>
    </w:p>
    <w:p w14:paraId="3E29E8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Отдел “500” завода (в настоящее время опытно-экспериментальные базы завода) превратить в отдел изготовляющий детали А-34. Для чего разгрузил, этот отдел от всех заказов не связанных с танкостроением.</w:t>
      </w:r>
    </w:p>
    <w:p w14:paraId="68DA69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Удовлетворить заявку завода 183 на необходимое оборудова - ние в связи с увеличением программы по А-34.</w:t>
      </w:r>
    </w:p>
    <w:p w14:paraId="1E1C87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Военпред АБТУ КА Военинженер 2 ранга - (Козырев). [8] (11901).</w:t>
      </w:r>
    </w:p>
    <w:p w14:paraId="478DAE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МАРИУПОЛЬСКИЙ ЗАВОД.</w:t>
      </w:r>
    </w:p>
    <w:p w14:paraId="21683B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РАЗВЕРТЫВАНИИ ПРОИЗВОДСТВА БОРОНЕДЕГАЛЕЙ А-34 НА ЗАВОДЕ им. ИЛЬИЧА.</w:t>
      </w:r>
    </w:p>
    <w:p w14:paraId="36C04D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программе 1940года.</w:t>
      </w:r>
    </w:p>
    <w:p w14:paraId="0A6C44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Гоафик выпуска деталей необходимо установить следующий: июнь - 35, июль - 50, август - 80, сентябрь - 120, октябрь ~ 125, ноябрь - 160, декабрь - 180.</w:t>
      </w:r>
    </w:p>
    <w:p w14:paraId="768E10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график весьма напряженный и может быть выполнен при проведении следующих мероприятий:</w:t>
      </w:r>
    </w:p>
    <w:p w14:paraId="431F3C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обеспечению металлом: Расходный коэффициент от слит</w:t>
      </w:r>
      <w:r w:rsidRPr="00DB5D0D">
        <w:rPr>
          <w:rFonts w:ascii="Times New Roman" w:hAnsi="Times New Roman"/>
          <w:color w:val="000000" w:themeColor="text1"/>
          <w:sz w:val="16"/>
          <w:szCs w:val="16"/>
        </w:rPr>
        <w:softHyphen/>
        <w:t>ка к детали сейчас 7-8. На 1-н комплект идет I плавка - 70 т, что задалживает 18 часов мартеновской печи. Для выпуска 160 комп</w:t>
      </w:r>
      <w:r w:rsidRPr="00DB5D0D">
        <w:rPr>
          <w:rFonts w:ascii="Times New Roman" w:hAnsi="Times New Roman"/>
          <w:color w:val="000000" w:themeColor="text1"/>
          <w:sz w:val="16"/>
          <w:szCs w:val="16"/>
        </w:rPr>
        <w:softHyphen/>
        <w:t>лектов необходимо 160х 18/24= 120суток или 45 печей.</w:t>
      </w:r>
    </w:p>
    <w:p w14:paraId="204DF9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w:t>
      </w:r>
    </w:p>
    <w:p w14:paraId="6A7369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Организовать выплавку стали МЗ-2, помимо печи №13 и 15 (цех №9) также в печах Мартеновского цеха № 1. Для того цех надлежаще оборудовать.</w:t>
      </w:r>
    </w:p>
    <w:p w14:paraId="68B3C3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Привлечь к выплавке стали МЗ-2 Таганрогский завод им. Анд</w:t>
      </w:r>
      <w:r w:rsidRPr="00DB5D0D">
        <w:rPr>
          <w:rFonts w:ascii="Times New Roman" w:hAnsi="Times New Roman"/>
          <w:color w:val="000000" w:themeColor="text1"/>
          <w:sz w:val="16"/>
          <w:szCs w:val="16"/>
        </w:rPr>
        <w:softHyphen/>
        <w:t>реева.</w:t>
      </w:r>
    </w:p>
    <w:p w14:paraId="535553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Снизить расходный коэффициент до 5-6 за счет лучшего рас</w:t>
      </w:r>
      <w:r w:rsidRPr="00DB5D0D">
        <w:rPr>
          <w:rFonts w:ascii="Times New Roman" w:hAnsi="Times New Roman"/>
          <w:color w:val="000000" w:themeColor="text1"/>
          <w:sz w:val="16"/>
          <w:szCs w:val="16"/>
        </w:rPr>
        <w:softHyphen/>
        <w:t>кроя и уменьшения брака по качеству металла.</w:t>
      </w:r>
    </w:p>
    <w:p w14:paraId="0B8071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Решительно улучшить обеспечение з-да изложницами.</w:t>
      </w:r>
    </w:p>
    <w:p w14:paraId="598F18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прокату: Необходимо прокатить 160 х 70 = 11200 тн. в месяц. При переходе на составной нос вместо штампованного весь прокат будет выполнен станом №1 (цех № 6), производительность которого около 16, ООО тн. при прокате углеродистой и судостали.</w:t>
      </w:r>
    </w:p>
    <w:p w14:paraId="61A297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w:t>
      </w:r>
    </w:p>
    <w:p w14:paraId="3590AA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Снять полностью со стана № I программу по углеродистой и марганцевистой сталям и передать на другие заводы.</w:t>
      </w:r>
    </w:p>
    <w:p w14:paraId="09F9D6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Установить у прокатного стана № 1 дополнительный кран 50 тн.</w:t>
      </w:r>
    </w:p>
    <w:p w14:paraId="509B8B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Построить дополнительно 1-ну подогревательную печь для подогрева холодных слитков.</w:t>
      </w:r>
    </w:p>
    <w:p w14:paraId="7A34CB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отпуску листов. Отпуск 1 плавки листов с загрузкой погруз</w:t>
      </w:r>
      <w:r w:rsidRPr="00DB5D0D">
        <w:rPr>
          <w:rFonts w:ascii="Times New Roman" w:hAnsi="Times New Roman"/>
          <w:color w:val="000000" w:themeColor="text1"/>
          <w:sz w:val="16"/>
          <w:szCs w:val="16"/>
        </w:rPr>
        <w:softHyphen/>
        <w:t>кой задалживает 1 сутки отжигательной печи. В сутки необходимо 160/30 = 5-6 плавок, т.е. 5-6 отжигательных печей.</w:t>
      </w:r>
    </w:p>
    <w:p w14:paraId="567F13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w:t>
      </w:r>
    </w:p>
    <w:p w14:paraId="64261E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Занял, полностью печи №17, 18, 19 для от</w:t>
      </w:r>
      <w:r w:rsidRPr="00DB5D0D">
        <w:rPr>
          <w:rFonts w:ascii="Times New Roman" w:hAnsi="Times New Roman"/>
          <w:color w:val="000000" w:themeColor="text1"/>
          <w:sz w:val="16"/>
          <w:szCs w:val="16"/>
        </w:rPr>
        <w:softHyphen/>
        <w:t>жига листов. Эти печи сейчас частично заняты морскими плитами.</w:t>
      </w:r>
    </w:p>
    <w:p w14:paraId="256E9A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Изыскать и выделить еще 3 печи из числа печей цеха 8, цеха *П» - прессового, и цеха «Т» - нового термического для отжига (вы</w:t>
      </w:r>
      <w:r w:rsidRPr="00DB5D0D">
        <w:rPr>
          <w:rFonts w:ascii="Times New Roman" w:hAnsi="Times New Roman"/>
          <w:color w:val="000000" w:themeColor="text1"/>
          <w:sz w:val="16"/>
          <w:szCs w:val="16"/>
        </w:rPr>
        <w:softHyphen/>
        <w:t>сокого отпуска) листов.</w:t>
      </w:r>
    </w:p>
    <w:p w14:paraId="1F208E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испытаниям: Для контрроля необходимого количества стали должно быть по существующим Тех.условиям испытано ежесуточно 160x6/25 = 40 плит.</w:t>
      </w:r>
    </w:p>
    <w:p w14:paraId="3F0F2F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w:t>
      </w:r>
    </w:p>
    <w:p w14:paraId="44A811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 двухмесячный срок построить новый броневой тир по имеющемуся готовому проекту.</w:t>
      </w:r>
    </w:p>
    <w:p w14:paraId="7EAC79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Значительно ускорить методы приемки и испытаний.</w:t>
      </w:r>
    </w:p>
    <w:p w14:paraId="39AD16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 штамповке: Прессового оборудования на з-де совершенно недостаточно, имеется:</w:t>
      </w:r>
    </w:p>
    <w:p w14:paraId="403AB0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пресса по 450 тн.; 1 пресс по 3000 тн.; 1 пресс по 8000 тн.; 1 ковочный по 15000 тн.</w:t>
      </w:r>
    </w:p>
    <w:p w14:paraId="26A21F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Пресса 3000, 8000 и 15000 загружены производством судовой брони.</w:t>
      </w:r>
    </w:p>
    <w:p w14:paraId="3495F2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w:t>
      </w:r>
    </w:p>
    <w:p w14:paraId="77823C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Проверить возможность штамповки на 15000 прессе. Освободить в необходимой мере пресса от программы по морс</w:t>
      </w:r>
      <w:r w:rsidRPr="00DB5D0D">
        <w:rPr>
          <w:rFonts w:ascii="Times New Roman" w:hAnsi="Times New Roman"/>
          <w:color w:val="000000" w:themeColor="text1"/>
          <w:sz w:val="16"/>
          <w:szCs w:val="16"/>
        </w:rPr>
        <w:softHyphen/>
        <w:t>кой броне.</w:t>
      </w:r>
    </w:p>
    <w:p w14:paraId="5A5512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 1-го Ноября установить име</w:t>
      </w:r>
      <w:r w:rsidRPr="00DB5D0D">
        <w:rPr>
          <w:rFonts w:ascii="Times New Roman" w:hAnsi="Times New Roman"/>
          <w:color w:val="000000" w:themeColor="text1"/>
          <w:sz w:val="16"/>
          <w:szCs w:val="16"/>
        </w:rPr>
        <w:softHyphen/>
        <w:t>ющийся на складе завсща штамповоч</w:t>
      </w:r>
      <w:r w:rsidRPr="00DB5D0D">
        <w:rPr>
          <w:rFonts w:ascii="Times New Roman" w:hAnsi="Times New Roman"/>
          <w:color w:val="000000" w:themeColor="text1"/>
          <w:sz w:val="16"/>
          <w:szCs w:val="16"/>
        </w:rPr>
        <w:softHyphen/>
        <w:t>ный пресс •Шкода" - 2000 тн., обеспе</w:t>
      </w:r>
      <w:r w:rsidRPr="00DB5D0D">
        <w:rPr>
          <w:rFonts w:ascii="Times New Roman" w:hAnsi="Times New Roman"/>
          <w:color w:val="000000" w:themeColor="text1"/>
          <w:sz w:val="16"/>
          <w:szCs w:val="16"/>
        </w:rPr>
        <w:softHyphen/>
        <w:t>чив к 1 августа подачу электрооборудо</w:t>
      </w:r>
      <w:r w:rsidRPr="00DB5D0D">
        <w:rPr>
          <w:rFonts w:ascii="Times New Roman" w:hAnsi="Times New Roman"/>
          <w:color w:val="000000" w:themeColor="text1"/>
          <w:sz w:val="16"/>
          <w:szCs w:val="16"/>
        </w:rPr>
        <w:softHyphen/>
        <w:t>вания заводом ХЭМЗ.</w:t>
      </w:r>
    </w:p>
    <w:p w14:paraId="0CC560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Передать штамповку башенных деталей на часть программы Сталинг</w:t>
      </w:r>
      <w:r w:rsidRPr="00DB5D0D">
        <w:rPr>
          <w:rFonts w:ascii="Times New Roman" w:hAnsi="Times New Roman"/>
          <w:color w:val="000000" w:themeColor="text1"/>
          <w:sz w:val="16"/>
          <w:szCs w:val="16"/>
        </w:rPr>
        <w:softHyphen/>
        <w:t>радскому заводу №264.</w:t>
      </w:r>
    </w:p>
    <w:p w14:paraId="0B2069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 течение июня изготовить опыт</w:t>
      </w:r>
      <w:r w:rsidRPr="00DB5D0D">
        <w:rPr>
          <w:rFonts w:ascii="Times New Roman" w:hAnsi="Times New Roman"/>
          <w:color w:val="000000" w:themeColor="text1"/>
          <w:sz w:val="16"/>
          <w:szCs w:val="16"/>
        </w:rPr>
        <w:softHyphen/>
        <w:t>ную партию (5 шт.) литых башен и при</w:t>
      </w:r>
      <w:r w:rsidRPr="00DB5D0D">
        <w:rPr>
          <w:rFonts w:ascii="Times New Roman" w:hAnsi="Times New Roman"/>
          <w:color w:val="000000" w:themeColor="text1"/>
          <w:sz w:val="16"/>
          <w:szCs w:val="16"/>
        </w:rPr>
        <w:softHyphen/>
        <w:t>нять по ним окончательное решение.</w:t>
      </w:r>
    </w:p>
    <w:p w14:paraId="75766E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Срочно установить з-ды с хоро</w:t>
      </w:r>
      <w:r w:rsidRPr="00DB5D0D">
        <w:rPr>
          <w:rFonts w:ascii="Times New Roman" w:hAnsi="Times New Roman"/>
          <w:color w:val="000000" w:themeColor="text1"/>
          <w:sz w:val="16"/>
          <w:szCs w:val="16"/>
        </w:rPr>
        <w:softHyphen/>
        <w:t>шими сталелитейными цехами для от</w:t>
      </w:r>
      <w:r w:rsidRPr="00DB5D0D">
        <w:rPr>
          <w:rFonts w:ascii="Times New Roman" w:hAnsi="Times New Roman"/>
          <w:color w:val="000000" w:themeColor="text1"/>
          <w:sz w:val="16"/>
          <w:szCs w:val="16"/>
        </w:rPr>
        <w:softHyphen/>
        <w:t>ливки башен, вставки носа и кормы. Такими з-ми помимо з-да им. Ильича могут быть; 183, СТЗ, завод им. Андре</w:t>
      </w:r>
      <w:r w:rsidRPr="00DB5D0D">
        <w:rPr>
          <w:rFonts w:ascii="Times New Roman" w:hAnsi="Times New Roman"/>
          <w:color w:val="000000" w:themeColor="text1"/>
          <w:sz w:val="16"/>
          <w:szCs w:val="16"/>
        </w:rPr>
        <w:softHyphen/>
        <w:t>ева в г. Сталинграде, з-д Карла Либк- нехта в Днепропетровске, Запорож- сталь, ХГЗ.</w:t>
      </w:r>
    </w:p>
    <w:p w14:paraId="5B741F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Утвердить на серию составной нос с литой балкой.</w:t>
      </w:r>
    </w:p>
    <w:p w14:paraId="10DDE3D6" w14:textId="77777777" w:rsidR="00A25AD1" w:rsidRPr="00DB5D0D" w:rsidRDefault="00A25AD1" w:rsidP="00DB5D0D">
      <w:pPr>
        <w:pStyle w:val="512"/>
        <w:shd w:val="clear" w:color="auto" w:fill="auto"/>
        <w:spacing w:line="240" w:lineRule="auto"/>
        <w:jc w:val="both"/>
        <w:rPr>
          <w:rStyle w:val="5113"/>
          <w:rFonts w:ascii="Times New Roman" w:hAnsi="Times New Roman" w:cs="Times New Roman"/>
          <w:iCs/>
          <w:color w:val="000000" w:themeColor="text1"/>
        </w:rPr>
      </w:pPr>
      <w:r w:rsidRPr="00DB5D0D">
        <w:rPr>
          <w:rStyle w:val="5116"/>
          <w:rFonts w:ascii="Times New Roman" w:hAnsi="Times New Roman" w:cs="Times New Roman"/>
          <w:iCs/>
          <w:color w:val="000000" w:themeColor="text1"/>
        </w:rPr>
        <w:t xml:space="preserve">6. </w:t>
      </w:r>
      <w:r w:rsidRPr="00DB5D0D">
        <w:rPr>
          <w:rStyle w:val="5113"/>
          <w:rFonts w:ascii="Times New Roman" w:hAnsi="Times New Roman" w:cs="Times New Roman"/>
          <w:iCs/>
          <w:color w:val="000000" w:themeColor="text1"/>
        </w:rPr>
        <w:t>По термообработке:</w:t>
      </w:r>
    </w:p>
    <w:p w14:paraId="2B7A4955" w14:textId="77777777" w:rsidR="00A25AD1" w:rsidRPr="00DB5D0D" w:rsidRDefault="00A25AD1" w:rsidP="00DB5D0D">
      <w:pPr>
        <w:pStyle w:val="512"/>
        <w:shd w:val="clear" w:color="auto" w:fill="auto"/>
        <w:spacing w:line="240" w:lineRule="auto"/>
        <w:jc w:val="both"/>
        <w:rPr>
          <w:rStyle w:val="5113"/>
          <w:rFonts w:ascii="Times New Roman" w:hAnsi="Times New Roman" w:cs="Times New Roman"/>
          <w:iCs/>
          <w:color w:val="000000" w:themeColor="text1"/>
        </w:rPr>
      </w:pPr>
      <w:r w:rsidRPr="00DB5D0D">
        <w:rPr>
          <w:rStyle w:val="5113"/>
          <w:rFonts w:ascii="Times New Roman" w:hAnsi="Times New Roman" w:cs="Times New Roman"/>
          <w:iCs/>
          <w:color w:val="000000" w:themeColor="text1"/>
        </w:rPr>
        <w:t>НЕОБХО</w:t>
      </w:r>
      <w:r w:rsidRPr="00DB5D0D">
        <w:rPr>
          <w:rStyle w:val="5113"/>
          <w:rFonts w:ascii="Times New Roman" w:hAnsi="Times New Roman" w:cs="Times New Roman"/>
          <w:iCs/>
          <w:color w:val="000000" w:themeColor="text1"/>
        </w:rPr>
        <w:softHyphen/>
        <w:t>ДИМО:</w:t>
      </w:r>
    </w:p>
    <w:p w14:paraId="0D5C0B63"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17"/>
          <w:rFonts w:ascii="Times New Roman" w:hAnsi="Times New Roman" w:cs="Times New Roman"/>
          <w:iCs/>
          <w:color w:val="000000" w:themeColor="text1"/>
        </w:rPr>
        <w:t xml:space="preserve">а) </w:t>
      </w:r>
      <w:r w:rsidRPr="00DB5D0D">
        <w:rPr>
          <w:rStyle w:val="5116"/>
          <w:rFonts w:ascii="Times New Roman" w:hAnsi="Times New Roman" w:cs="Times New Roman"/>
          <w:iCs/>
          <w:color w:val="000000" w:themeColor="text1"/>
        </w:rPr>
        <w:t xml:space="preserve">Удлинить печи </w:t>
      </w:r>
      <w:r w:rsidRPr="00DB5D0D">
        <w:rPr>
          <w:rStyle w:val="5117"/>
          <w:rFonts w:ascii="Times New Roman" w:hAnsi="Times New Roman" w:cs="Times New Roman"/>
          <w:iCs/>
          <w:color w:val="000000" w:themeColor="text1"/>
        </w:rPr>
        <w:t>на термоуча</w:t>
      </w:r>
      <w:r w:rsidRPr="00DB5D0D">
        <w:rPr>
          <w:rStyle w:val="5117"/>
          <w:rFonts w:ascii="Times New Roman" w:hAnsi="Times New Roman" w:cs="Times New Roman"/>
          <w:iCs/>
          <w:color w:val="000000" w:themeColor="text1"/>
        </w:rPr>
        <w:softHyphen/>
      </w:r>
      <w:r w:rsidRPr="00DB5D0D">
        <w:rPr>
          <w:rStyle w:val="5106"/>
          <w:rFonts w:ascii="Times New Roman" w:hAnsi="Times New Roman" w:cs="Times New Roman"/>
          <w:iCs/>
          <w:color w:val="000000" w:themeColor="text1"/>
        </w:rPr>
        <w:t>стке цеха №6 и новые печи в железо-котельном.</w:t>
      </w:r>
    </w:p>
    <w:p w14:paraId="1F2D8FB6"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б) Построить дополнительно 4-5 пе</w:t>
      </w:r>
      <w:r w:rsidRPr="00DB5D0D">
        <w:rPr>
          <w:rStyle w:val="5106"/>
          <w:rFonts w:ascii="Times New Roman" w:hAnsi="Times New Roman" w:cs="Times New Roman"/>
          <w:iCs/>
          <w:color w:val="000000" w:themeColor="text1"/>
        </w:rPr>
        <w:softHyphen/>
        <w:t>чей на новых площадях железо-котель</w:t>
      </w:r>
      <w:r w:rsidRPr="00DB5D0D">
        <w:rPr>
          <w:rStyle w:val="5106"/>
          <w:rFonts w:ascii="Times New Roman" w:hAnsi="Times New Roman" w:cs="Times New Roman"/>
          <w:iCs/>
          <w:color w:val="000000" w:themeColor="text1"/>
        </w:rPr>
        <w:softHyphen/>
        <w:t>ного цеха и необходимые ванны.</w:t>
      </w:r>
    </w:p>
    <w:p w14:paraId="31EEFC2E" w14:textId="77777777" w:rsidR="00A25AD1" w:rsidRPr="00DB5D0D" w:rsidRDefault="00A25AD1" w:rsidP="00DB5D0D">
      <w:pPr>
        <w:pStyle w:val="512"/>
        <w:shd w:val="clear" w:color="auto" w:fill="auto"/>
        <w:tabs>
          <w:tab w:val="left" w:pos="473"/>
        </w:tabs>
        <w:spacing w:line="240" w:lineRule="auto"/>
        <w:jc w:val="both"/>
        <w:rPr>
          <w:rFonts w:ascii="Times New Roman" w:hAnsi="Times New Roman" w:cs="Times New Roman"/>
          <w:i w:val="0"/>
          <w:iCs w:val="0"/>
          <w:color w:val="000000" w:themeColor="text1"/>
          <w:sz w:val="16"/>
          <w:szCs w:val="16"/>
        </w:rPr>
      </w:pPr>
      <w:r w:rsidRPr="00DB5D0D">
        <w:rPr>
          <w:rStyle w:val="5104"/>
          <w:rFonts w:ascii="Times New Roman" w:hAnsi="Times New Roman" w:cs="Times New Roman"/>
          <w:color w:val="000000" w:themeColor="text1"/>
        </w:rPr>
        <w:t xml:space="preserve">7. </w:t>
      </w:r>
      <w:r w:rsidRPr="00DB5D0D">
        <w:rPr>
          <w:rStyle w:val="5104"/>
          <w:rFonts w:ascii="Times New Roman" w:hAnsi="Times New Roman" w:cs="Times New Roman"/>
          <w:iCs/>
          <w:color w:val="000000" w:themeColor="text1"/>
        </w:rPr>
        <w:t>По Мех. Обработке.</w:t>
      </w:r>
    </w:p>
    <w:p w14:paraId="384D39FE"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Имеются расчеты на выпуск 50-55</w:t>
      </w:r>
    </w:p>
    <w:p w14:paraId="05B6917B"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комплектов в месяц. Исходя из этих рас</w:t>
      </w:r>
      <w:r w:rsidRPr="00DB5D0D">
        <w:rPr>
          <w:rStyle w:val="5106"/>
          <w:rFonts w:ascii="Times New Roman" w:hAnsi="Times New Roman" w:cs="Times New Roman"/>
          <w:iCs/>
          <w:color w:val="000000" w:themeColor="text1"/>
        </w:rPr>
        <w:softHyphen/>
        <w:t>четов в пересчете на новое задание, т.е.навыпуск 160 комплектов необходимодополнительно большое число станков,а именно: около 90 штук при изготовле</w:t>
      </w:r>
      <w:r w:rsidRPr="00DB5D0D">
        <w:rPr>
          <w:rStyle w:val="5106"/>
          <w:rFonts w:ascii="Times New Roman" w:hAnsi="Times New Roman" w:cs="Times New Roman"/>
          <w:iCs/>
          <w:color w:val="000000" w:themeColor="text1"/>
        </w:rPr>
        <w:softHyphen/>
        <w:t>нии на заводе им. Ильича только дета</w:t>
      </w:r>
      <w:r w:rsidRPr="00DB5D0D">
        <w:rPr>
          <w:rStyle w:val="5106"/>
          <w:rFonts w:ascii="Times New Roman" w:hAnsi="Times New Roman" w:cs="Times New Roman"/>
          <w:iCs/>
          <w:color w:val="000000" w:themeColor="text1"/>
        </w:rPr>
        <w:softHyphen/>
        <w:t>лей корпуса и около 150 шт. при изго</w:t>
      </w:r>
      <w:r w:rsidRPr="00DB5D0D">
        <w:rPr>
          <w:rStyle w:val="5106"/>
          <w:rFonts w:ascii="Times New Roman" w:hAnsi="Times New Roman" w:cs="Times New Roman"/>
          <w:iCs/>
          <w:color w:val="000000" w:themeColor="text1"/>
        </w:rPr>
        <w:softHyphen/>
        <w:t>товлении корпусов и башен.</w:t>
      </w:r>
    </w:p>
    <w:p w14:paraId="47F7C4BF"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Часть этих станков могут быть ком</w:t>
      </w:r>
      <w:r w:rsidRPr="00DB5D0D">
        <w:rPr>
          <w:rStyle w:val="5106"/>
          <w:rFonts w:ascii="Times New Roman" w:hAnsi="Times New Roman" w:cs="Times New Roman"/>
          <w:iCs/>
          <w:color w:val="000000" w:themeColor="text1"/>
        </w:rPr>
        <w:softHyphen/>
        <w:t>пенсированы за счет использованиястанков цеха 8 и цеха «М» - нового ме</w:t>
      </w:r>
      <w:r w:rsidRPr="00DB5D0D">
        <w:rPr>
          <w:rStyle w:val="5106"/>
          <w:rFonts w:ascii="Times New Roman" w:hAnsi="Times New Roman" w:cs="Times New Roman"/>
          <w:iCs/>
          <w:color w:val="000000" w:themeColor="text1"/>
        </w:rPr>
        <w:softHyphen/>
        <w:t>ханического, ныне загружен судовойпрограммой.</w:t>
      </w:r>
    </w:p>
    <w:p w14:paraId="07439B8C" w14:textId="77777777" w:rsidR="00A25AD1" w:rsidRPr="00DB5D0D" w:rsidRDefault="00A25AD1" w:rsidP="00DB5D0D">
      <w:pPr>
        <w:pStyle w:val="512"/>
        <w:shd w:val="clear" w:color="auto" w:fill="auto"/>
        <w:spacing w:line="240" w:lineRule="auto"/>
        <w:jc w:val="both"/>
        <w:rPr>
          <w:rStyle w:val="5104"/>
          <w:rFonts w:ascii="Times New Roman" w:hAnsi="Times New Roman" w:cs="Times New Roman"/>
          <w:iCs/>
          <w:color w:val="000000" w:themeColor="text1"/>
        </w:rPr>
      </w:pPr>
      <w:r w:rsidRPr="00DB5D0D">
        <w:rPr>
          <w:rStyle w:val="5104"/>
          <w:rFonts w:ascii="Times New Roman" w:hAnsi="Times New Roman" w:cs="Times New Roman"/>
          <w:iCs/>
          <w:color w:val="000000" w:themeColor="text1"/>
        </w:rPr>
        <w:t>НЕОБХОДИМО:</w:t>
      </w:r>
    </w:p>
    <w:p w14:paraId="47B2FA43"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а) Выделить необ</w:t>
      </w:r>
      <w:r w:rsidRPr="00DB5D0D">
        <w:rPr>
          <w:rStyle w:val="5106"/>
          <w:rFonts w:ascii="Times New Roman" w:hAnsi="Times New Roman" w:cs="Times New Roman"/>
          <w:iCs/>
          <w:color w:val="000000" w:themeColor="text1"/>
        </w:rPr>
        <w:softHyphen/>
        <w:t>ходимое число станков в цехе 8 и цехе«М» для производства на них деталейА-34.</w:t>
      </w:r>
    </w:p>
    <w:p w14:paraId="3837C338" w14:textId="77777777" w:rsidR="00A25AD1" w:rsidRPr="00DB5D0D" w:rsidRDefault="00A25AD1" w:rsidP="00DB5D0D">
      <w:pPr>
        <w:pStyle w:val="512"/>
        <w:shd w:val="clear" w:color="auto" w:fill="auto"/>
        <w:tabs>
          <w:tab w:val="left" w:pos="490"/>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б) Дополнить Мариупольскому з-дустанков около 80 шт. Ведомость необ</w:t>
      </w:r>
      <w:r w:rsidRPr="00DB5D0D">
        <w:rPr>
          <w:rStyle w:val="5106"/>
          <w:rFonts w:ascii="Times New Roman" w:hAnsi="Times New Roman" w:cs="Times New Roman"/>
          <w:iCs/>
          <w:color w:val="000000" w:themeColor="text1"/>
        </w:rPr>
        <w:softHyphen/>
        <w:t>ходимого оборудования д.б. дополни</w:t>
      </w:r>
      <w:r w:rsidRPr="00DB5D0D">
        <w:rPr>
          <w:rStyle w:val="5106"/>
          <w:rFonts w:ascii="Times New Roman" w:hAnsi="Times New Roman" w:cs="Times New Roman"/>
          <w:iCs/>
          <w:color w:val="000000" w:themeColor="text1"/>
        </w:rPr>
        <w:softHyphen/>
        <w:t>тельно проработана.</w:t>
      </w:r>
    </w:p>
    <w:p w14:paraId="4E48FDE1" w14:textId="77777777" w:rsidR="00A25AD1" w:rsidRPr="00DB5D0D" w:rsidRDefault="00A25AD1" w:rsidP="00DB5D0D">
      <w:pPr>
        <w:pStyle w:val="512"/>
        <w:shd w:val="clear" w:color="auto" w:fill="auto"/>
        <w:tabs>
          <w:tab w:val="left" w:pos="505"/>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в) В двух недельный срок полностью очистить площади желе</w:t>
      </w:r>
      <w:r w:rsidRPr="00DB5D0D">
        <w:rPr>
          <w:rStyle w:val="5106"/>
          <w:rFonts w:ascii="Times New Roman" w:hAnsi="Times New Roman" w:cs="Times New Roman"/>
          <w:iCs/>
          <w:color w:val="000000" w:themeColor="text1"/>
        </w:rPr>
        <w:softHyphen/>
        <w:t>зо-котельного цеха и развернуть на них в первую очередь огне-резные участки и постройку новых пристроек согласно имеюще</w:t>
      </w:r>
      <w:r w:rsidRPr="00DB5D0D">
        <w:rPr>
          <w:rStyle w:val="5106"/>
          <w:rFonts w:ascii="Times New Roman" w:hAnsi="Times New Roman" w:cs="Times New Roman"/>
          <w:iCs/>
          <w:color w:val="000000" w:themeColor="text1"/>
        </w:rPr>
        <w:softHyphen/>
        <w:t>муся проекту.</w:t>
      </w:r>
    </w:p>
    <w:p w14:paraId="614085F7" w14:textId="77777777" w:rsidR="00A25AD1" w:rsidRPr="00DB5D0D" w:rsidRDefault="00A25AD1" w:rsidP="00DB5D0D">
      <w:pPr>
        <w:pStyle w:val="512"/>
        <w:shd w:val="clear" w:color="auto" w:fill="auto"/>
        <w:tabs>
          <w:tab w:val="left" w:pos="471"/>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г) Проработать возможность использования площадей старо труб</w:t>
      </w:r>
      <w:r w:rsidRPr="00DB5D0D">
        <w:rPr>
          <w:rStyle w:val="5106"/>
          <w:rFonts w:ascii="Times New Roman" w:hAnsi="Times New Roman" w:cs="Times New Roman"/>
          <w:iCs/>
          <w:color w:val="000000" w:themeColor="text1"/>
        </w:rPr>
        <w:softHyphen/>
        <w:t>ного цеха, занятых ныне производством деталей Инженерного Уп</w:t>
      </w:r>
      <w:r w:rsidRPr="00DB5D0D">
        <w:rPr>
          <w:rStyle w:val="5106"/>
          <w:rFonts w:ascii="Times New Roman" w:hAnsi="Times New Roman" w:cs="Times New Roman"/>
          <w:iCs/>
          <w:color w:val="000000" w:themeColor="text1"/>
        </w:rPr>
        <w:softHyphen/>
        <w:t>равления КА.</w:t>
      </w:r>
    </w:p>
    <w:p w14:paraId="03603DC9" w14:textId="77777777" w:rsidR="00A25AD1" w:rsidRPr="00DB5D0D" w:rsidRDefault="00A25AD1" w:rsidP="00DB5D0D">
      <w:pPr>
        <w:pStyle w:val="512"/>
        <w:shd w:val="clear" w:color="auto" w:fill="auto"/>
        <w:tabs>
          <w:tab w:val="left" w:pos="510"/>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д) Перенести в железо-котельный цех часть вальцев и огнерез-ные участки, и на освобождающихся площадях установить дополни</w:t>
      </w:r>
      <w:r w:rsidRPr="00DB5D0D">
        <w:rPr>
          <w:rStyle w:val="5106"/>
          <w:rFonts w:ascii="Times New Roman" w:hAnsi="Times New Roman" w:cs="Times New Roman"/>
          <w:iCs/>
          <w:color w:val="000000" w:themeColor="text1"/>
        </w:rPr>
        <w:softHyphen/>
        <w:t>тельное механическое оборудование.</w:t>
      </w:r>
    </w:p>
    <w:p w14:paraId="1E2EEE76" w14:textId="77777777" w:rsidR="00A25AD1" w:rsidRPr="00DB5D0D" w:rsidRDefault="00A25AD1" w:rsidP="00DB5D0D">
      <w:pPr>
        <w:pStyle w:val="512"/>
        <w:shd w:val="clear" w:color="auto" w:fill="auto"/>
        <w:tabs>
          <w:tab w:val="left" w:pos="490"/>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е) Запроектировать и в двухмесячный срок закончить постройкупристроек при цехе №5.</w:t>
      </w:r>
    </w:p>
    <w:p w14:paraId="097EDF51" w14:textId="77777777" w:rsidR="00A25AD1" w:rsidRPr="00DB5D0D" w:rsidRDefault="00A25AD1" w:rsidP="00DB5D0D">
      <w:pPr>
        <w:pStyle w:val="512"/>
        <w:shd w:val="clear" w:color="auto" w:fill="auto"/>
        <w:tabs>
          <w:tab w:val="left" w:pos="482"/>
        </w:tabs>
        <w:spacing w:line="240" w:lineRule="auto"/>
        <w:jc w:val="both"/>
        <w:rPr>
          <w:rFonts w:ascii="Times New Roman" w:hAnsi="Times New Roman" w:cs="Times New Roman"/>
          <w:i w:val="0"/>
          <w:iCs w:val="0"/>
          <w:color w:val="000000" w:themeColor="text1"/>
          <w:sz w:val="16"/>
          <w:szCs w:val="16"/>
        </w:rPr>
      </w:pPr>
      <w:r w:rsidRPr="00DB5D0D">
        <w:rPr>
          <w:rStyle w:val="5104"/>
          <w:rFonts w:ascii="Times New Roman" w:hAnsi="Times New Roman" w:cs="Times New Roman"/>
          <w:color w:val="000000" w:themeColor="text1"/>
        </w:rPr>
        <w:t xml:space="preserve">8. </w:t>
      </w:r>
      <w:r w:rsidRPr="00DB5D0D">
        <w:rPr>
          <w:rStyle w:val="5104"/>
          <w:rFonts w:ascii="Times New Roman" w:hAnsi="Times New Roman" w:cs="Times New Roman"/>
          <w:iCs/>
          <w:color w:val="000000" w:themeColor="text1"/>
        </w:rPr>
        <w:t>По организационным вопросам. НЕОБХОДИМО:</w:t>
      </w:r>
    </w:p>
    <w:p w14:paraId="6349CD9D" w14:textId="77777777" w:rsidR="00A25AD1" w:rsidRPr="00DB5D0D" w:rsidRDefault="00A25AD1" w:rsidP="00DB5D0D">
      <w:pPr>
        <w:pStyle w:val="512"/>
        <w:shd w:val="clear" w:color="auto" w:fill="auto"/>
        <w:tabs>
          <w:tab w:val="left" w:pos="519"/>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а) Назначить в системе Заводоуправления завода им. Ильичаспециального помощника Гл. Инженера по танковому производству.</w:t>
      </w:r>
    </w:p>
    <w:p w14:paraId="2161D9CD" w14:textId="77777777" w:rsidR="00A25AD1" w:rsidRPr="00DB5D0D" w:rsidRDefault="00A25AD1" w:rsidP="00DB5D0D">
      <w:pPr>
        <w:pStyle w:val="512"/>
        <w:shd w:val="clear" w:color="auto" w:fill="auto"/>
        <w:tabs>
          <w:tab w:val="left" w:pos="510"/>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б) Произвести рабочим доплату за апрель и май за освоение,т.к. в эти месяцы, несмотря на выполнение заданий по А-34, у рабо</w:t>
      </w:r>
      <w:r w:rsidRPr="00DB5D0D">
        <w:rPr>
          <w:rStyle w:val="5106"/>
          <w:rFonts w:ascii="Times New Roman" w:hAnsi="Times New Roman" w:cs="Times New Roman"/>
          <w:iCs/>
          <w:color w:val="000000" w:themeColor="text1"/>
        </w:rPr>
        <w:softHyphen/>
        <w:t>чих сильно снизились заработки.</w:t>
      </w:r>
    </w:p>
    <w:p w14:paraId="41ED582D" w14:textId="77777777" w:rsidR="00A25AD1" w:rsidRPr="00DB5D0D" w:rsidRDefault="00A25AD1" w:rsidP="00DB5D0D">
      <w:pPr>
        <w:pStyle w:val="512"/>
        <w:shd w:val="clear" w:color="auto" w:fill="auto"/>
        <w:tabs>
          <w:tab w:val="left" w:pos="500"/>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в) Распространить на танковые цеха Марзавода им. Ильича по</w:t>
      </w:r>
      <w:r w:rsidRPr="00DB5D0D">
        <w:rPr>
          <w:rStyle w:val="5106"/>
          <w:rFonts w:ascii="Times New Roman" w:hAnsi="Times New Roman" w:cs="Times New Roman"/>
          <w:iCs/>
          <w:color w:val="000000" w:themeColor="text1"/>
        </w:rPr>
        <w:softHyphen/>
        <w:t>становление правительства «О повышении норм мастера".</w:t>
      </w:r>
    </w:p>
    <w:p w14:paraId="495C93DC"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4"/>
          <w:rFonts w:ascii="Times New Roman" w:hAnsi="Times New Roman" w:cs="Times New Roman"/>
          <w:iCs/>
          <w:color w:val="000000" w:themeColor="text1"/>
        </w:rPr>
        <w:t>По програ</w:t>
      </w:r>
      <w:r w:rsidRPr="00DB5D0D">
        <w:rPr>
          <w:rStyle w:val="5106"/>
          <w:rFonts w:ascii="Times New Roman" w:hAnsi="Times New Roman" w:cs="Times New Roman"/>
          <w:iCs/>
          <w:color w:val="000000" w:themeColor="text1"/>
        </w:rPr>
        <w:t>мме 1941 года.</w:t>
      </w:r>
    </w:p>
    <w:p w14:paraId="7FA12CC5"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4"/>
          <w:rFonts w:ascii="Times New Roman" w:hAnsi="Times New Roman" w:cs="Times New Roman"/>
          <w:iCs/>
          <w:color w:val="000000" w:themeColor="text1"/>
        </w:rPr>
        <w:t>По обеспечению металлом.</w:t>
      </w:r>
    </w:p>
    <w:p w14:paraId="653F7734"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Необходимо 5500:12</w:t>
      </w:r>
      <w:r w:rsidRPr="00DB5D0D">
        <w:rPr>
          <w:rStyle w:val="5103"/>
          <w:rFonts w:ascii="Times New Roman" w:hAnsi="Times New Roman" w:cs="Times New Roman"/>
          <w:iCs/>
          <w:color w:val="000000" w:themeColor="text1"/>
        </w:rPr>
        <w:t>=</w:t>
      </w:r>
      <w:r w:rsidRPr="00DB5D0D">
        <w:rPr>
          <w:rStyle w:val="5106"/>
          <w:rFonts w:ascii="Times New Roman" w:hAnsi="Times New Roman" w:cs="Times New Roman"/>
          <w:iCs/>
          <w:color w:val="000000" w:themeColor="text1"/>
        </w:rPr>
        <w:t>460 комплектов в месяц, даже при расхо</w:t>
      </w:r>
      <w:r w:rsidRPr="00DB5D0D">
        <w:rPr>
          <w:rStyle w:val="5106"/>
          <w:rFonts w:ascii="Times New Roman" w:hAnsi="Times New Roman" w:cs="Times New Roman"/>
          <w:iCs/>
          <w:color w:val="000000" w:themeColor="text1"/>
        </w:rPr>
        <w:softHyphen/>
        <w:t>де коэф. 5, т.е. на 1-н комплект 45 тн. слипсов на месячную програм</w:t>
      </w:r>
      <w:r w:rsidRPr="00DB5D0D">
        <w:rPr>
          <w:rStyle w:val="5106"/>
          <w:rFonts w:ascii="Times New Roman" w:hAnsi="Times New Roman" w:cs="Times New Roman"/>
          <w:iCs/>
          <w:color w:val="000000" w:themeColor="text1"/>
        </w:rPr>
        <w:softHyphen/>
        <w:t>му необходимо 460 х 45 = 21700 т. или при среднем весе плавки70 т. и продолжительности плавки 12 часов (твердая закалка), необ</w:t>
      </w:r>
      <w:r w:rsidRPr="00DB5D0D">
        <w:rPr>
          <w:rStyle w:val="5106"/>
          <w:rFonts w:ascii="Times New Roman" w:hAnsi="Times New Roman" w:cs="Times New Roman"/>
          <w:iCs/>
          <w:color w:val="000000" w:themeColor="text1"/>
        </w:rPr>
        <w:softHyphen/>
        <w:t>ходимо 21700х 12/70 х24- 155суткопечей или 5 с лишним марте</w:t>
      </w:r>
      <w:r w:rsidRPr="00DB5D0D">
        <w:rPr>
          <w:rStyle w:val="5106"/>
          <w:rFonts w:ascii="Times New Roman" w:hAnsi="Times New Roman" w:cs="Times New Roman"/>
          <w:iCs/>
          <w:color w:val="000000" w:themeColor="text1"/>
        </w:rPr>
        <w:softHyphen/>
        <w:t>новских печей.</w:t>
      </w:r>
    </w:p>
    <w:p w14:paraId="4ECCE69F" w14:textId="77777777" w:rsidR="00A25AD1" w:rsidRPr="00DB5D0D" w:rsidRDefault="00A25AD1" w:rsidP="00DB5D0D">
      <w:pPr>
        <w:pStyle w:val="513"/>
        <w:shd w:val="clear" w:color="auto" w:fill="auto"/>
        <w:spacing w:line="240" w:lineRule="auto"/>
        <w:rPr>
          <w:i w:val="0"/>
          <w:iCs w:val="0"/>
          <w:color w:val="000000" w:themeColor="text1"/>
          <w:lang w:val="ru-RU"/>
        </w:rPr>
      </w:pPr>
      <w:r w:rsidRPr="00DB5D0D">
        <w:rPr>
          <w:i w:val="0"/>
          <w:color w:val="000000" w:themeColor="text1"/>
          <w:lang w:val="ru-RU"/>
        </w:rPr>
        <w:t>Такое количество печей имеется в цехе 9, но они заняты произ</w:t>
      </w:r>
      <w:r w:rsidRPr="00DB5D0D">
        <w:rPr>
          <w:i w:val="0"/>
          <w:color w:val="000000" w:themeColor="text1"/>
          <w:lang w:val="ru-RU"/>
        </w:rPr>
        <w:softHyphen/>
        <w:t>водством стали для морской брони.</w:t>
      </w:r>
    </w:p>
    <w:p w14:paraId="25B84EB6"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4"/>
          <w:rFonts w:ascii="Times New Roman" w:hAnsi="Times New Roman" w:cs="Times New Roman"/>
          <w:iCs/>
          <w:color w:val="000000" w:themeColor="text1"/>
        </w:rPr>
        <w:t>НЕОБХОДИМО:</w:t>
      </w:r>
      <w:r w:rsidRPr="00DB5D0D">
        <w:rPr>
          <w:rStyle w:val="5106"/>
          <w:rFonts w:ascii="Times New Roman" w:hAnsi="Times New Roman" w:cs="Times New Roman"/>
          <w:iCs/>
          <w:color w:val="000000" w:themeColor="text1"/>
        </w:rPr>
        <w:t xml:space="preserve"> а) Либо развернуть производство танковой бро</w:t>
      </w:r>
      <w:r w:rsidRPr="00DB5D0D">
        <w:rPr>
          <w:rStyle w:val="5106"/>
          <w:rFonts w:ascii="Times New Roman" w:hAnsi="Times New Roman" w:cs="Times New Roman"/>
          <w:iCs/>
          <w:color w:val="000000" w:themeColor="text1"/>
        </w:rPr>
        <w:softHyphen/>
        <w:t>ни в цехе 9, либо конструировать цех № 1 для выпуска качественнойстали МЗ-2.</w:t>
      </w:r>
    </w:p>
    <w:p w14:paraId="2AB053A4"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lastRenderedPageBreak/>
        <w:t>б) Развернуть выплавку стали МЗ-2 на заводе им. Андреева сподачей листов на завод им. Ильича.</w:t>
      </w:r>
    </w:p>
    <w:p w14:paraId="498584E8"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4"/>
          <w:rFonts w:ascii="Times New Roman" w:hAnsi="Times New Roman" w:cs="Times New Roman"/>
          <w:iCs/>
          <w:color w:val="000000" w:themeColor="text1"/>
        </w:rPr>
        <w:t>По изготовлению деталей.</w:t>
      </w:r>
      <w:r w:rsidRPr="00DB5D0D">
        <w:rPr>
          <w:rStyle w:val="5106"/>
          <w:rFonts w:ascii="Times New Roman" w:hAnsi="Times New Roman" w:cs="Times New Roman"/>
          <w:iCs/>
          <w:color w:val="000000" w:themeColor="text1"/>
        </w:rPr>
        <w:t xml:space="preserve"> Без расширения производственнойбазы программа 1941 года выполнена не будет.</w:t>
      </w:r>
    </w:p>
    <w:p w14:paraId="22489951"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4"/>
          <w:rFonts w:ascii="Times New Roman" w:hAnsi="Times New Roman" w:cs="Times New Roman"/>
          <w:iCs/>
          <w:color w:val="000000" w:themeColor="text1"/>
        </w:rPr>
        <w:t>НЕОБХОДИМО:</w:t>
      </w:r>
      <w:r w:rsidRPr="00DB5D0D">
        <w:rPr>
          <w:rStyle w:val="5106"/>
          <w:rFonts w:ascii="Times New Roman" w:hAnsi="Times New Roman" w:cs="Times New Roman"/>
          <w:iCs/>
          <w:color w:val="000000" w:themeColor="text1"/>
        </w:rPr>
        <w:t xml:space="preserve"> а) Немедленно приступить к стройке и в течение1940года закончить стройку цехов танковой брони: механического,термического и прессового.</w:t>
      </w:r>
    </w:p>
    <w:p w14:paraId="562E7484" w14:textId="77777777" w:rsidR="00A25AD1" w:rsidRPr="00DB5D0D" w:rsidRDefault="00A25AD1" w:rsidP="00DB5D0D">
      <w:pPr>
        <w:pStyle w:val="512"/>
        <w:shd w:val="clear" w:color="auto" w:fill="auto"/>
        <w:tabs>
          <w:tab w:val="left" w:pos="495"/>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б) Обследовать заводы Днепропетровска, Сталино, Таганрога (вчастностиКр. Котельщика) для развертывания дополнительной базымех. обработки.</w:t>
      </w:r>
    </w:p>
    <w:p w14:paraId="4F38DFB7" w14:textId="77777777" w:rsidR="00A25AD1" w:rsidRPr="00DB5D0D" w:rsidRDefault="00A25AD1" w:rsidP="00DB5D0D">
      <w:pPr>
        <w:pStyle w:val="512"/>
        <w:shd w:val="clear" w:color="auto" w:fill="auto"/>
        <w:tabs>
          <w:tab w:val="left" w:pos="486"/>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в) Развернуть производство литых деталей башен, носа и кормына нескольких заводах из числа указанных выше в п. д. 5.</w:t>
      </w:r>
    </w:p>
    <w:p w14:paraId="53EB61AC"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4"/>
          <w:rFonts w:ascii="Times New Roman" w:hAnsi="Times New Roman" w:cs="Times New Roman"/>
          <w:iCs/>
          <w:color w:val="000000" w:themeColor="text1"/>
        </w:rPr>
        <w:t>ПО ЛИНИИ АБТУ.</w:t>
      </w:r>
      <w:r w:rsidRPr="00DB5D0D">
        <w:rPr>
          <w:rStyle w:val="5106"/>
          <w:rFonts w:ascii="Times New Roman" w:hAnsi="Times New Roman" w:cs="Times New Roman"/>
          <w:iCs/>
          <w:color w:val="000000" w:themeColor="text1"/>
        </w:rPr>
        <w:t xml:space="preserve"> необходимо принять следующие срочные ре</w:t>
      </w:r>
      <w:r w:rsidRPr="00DB5D0D">
        <w:rPr>
          <w:rStyle w:val="5106"/>
          <w:rFonts w:ascii="Times New Roman" w:hAnsi="Times New Roman" w:cs="Times New Roman"/>
          <w:iCs/>
          <w:color w:val="000000" w:themeColor="text1"/>
        </w:rPr>
        <w:softHyphen/>
        <w:t>шения:</w:t>
      </w:r>
    </w:p>
    <w:p w14:paraId="080ED66F" w14:textId="77777777" w:rsidR="00A25AD1" w:rsidRPr="00DB5D0D" w:rsidRDefault="00A25AD1" w:rsidP="00DB5D0D">
      <w:pPr>
        <w:pStyle w:val="512"/>
        <w:shd w:val="clear" w:color="auto" w:fill="auto"/>
        <w:tabs>
          <w:tab w:val="left" w:pos="514"/>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color w:val="000000" w:themeColor="text1"/>
        </w:rPr>
        <w:t xml:space="preserve">1) </w:t>
      </w:r>
      <w:r w:rsidRPr="00DB5D0D">
        <w:rPr>
          <w:rStyle w:val="5106"/>
          <w:rFonts w:ascii="Times New Roman" w:hAnsi="Times New Roman" w:cs="Times New Roman"/>
          <w:iCs/>
          <w:color w:val="000000" w:themeColor="text1"/>
        </w:rPr>
        <w:t>Испытать обстрелом машину А-34, т.к. многие узлы не прове</w:t>
      </w:r>
      <w:r w:rsidRPr="00DB5D0D">
        <w:rPr>
          <w:rStyle w:val="5106"/>
          <w:rFonts w:ascii="Times New Roman" w:hAnsi="Times New Roman" w:cs="Times New Roman"/>
          <w:iCs/>
          <w:color w:val="000000" w:themeColor="text1"/>
        </w:rPr>
        <w:softHyphen/>
        <w:t>рены. Потребовать от завода 183 улучшить сварку и применить аус-тенитовые электроды.</w:t>
      </w:r>
    </w:p>
    <w:p w14:paraId="3C4516B9" w14:textId="77777777" w:rsidR="00A25AD1" w:rsidRPr="00DB5D0D" w:rsidRDefault="00A25AD1" w:rsidP="00DB5D0D">
      <w:pPr>
        <w:pStyle w:val="513"/>
        <w:shd w:val="clear" w:color="auto" w:fill="auto"/>
        <w:tabs>
          <w:tab w:val="left" w:pos="495"/>
        </w:tabs>
        <w:spacing w:line="240" w:lineRule="auto"/>
        <w:rPr>
          <w:i w:val="0"/>
          <w:iCs w:val="0"/>
          <w:color w:val="000000" w:themeColor="text1"/>
          <w:lang w:val="ru-RU"/>
        </w:rPr>
      </w:pPr>
      <w:r w:rsidRPr="00DB5D0D">
        <w:rPr>
          <w:i w:val="0"/>
          <w:iCs w:val="0"/>
          <w:color w:val="000000" w:themeColor="text1"/>
          <w:lang w:val="ru-RU"/>
        </w:rPr>
        <w:t>2)</w:t>
      </w:r>
      <w:r w:rsidRPr="00DB5D0D">
        <w:rPr>
          <w:i w:val="0"/>
          <w:color w:val="000000" w:themeColor="text1"/>
          <w:lang w:val="ru-RU"/>
        </w:rPr>
        <w:t>Утвердил, чертежи литого носа (литая балка и катаные листы)на программу 3-го квартала.</w:t>
      </w:r>
    </w:p>
    <w:p w14:paraId="41858C1A" w14:textId="77777777" w:rsidR="00A25AD1" w:rsidRPr="00DB5D0D" w:rsidRDefault="00A25AD1" w:rsidP="00DB5D0D">
      <w:pPr>
        <w:pStyle w:val="512"/>
        <w:shd w:val="clear" w:color="auto" w:fill="auto"/>
        <w:tabs>
          <w:tab w:val="left" w:pos="486"/>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color w:val="000000" w:themeColor="text1"/>
        </w:rPr>
        <w:t xml:space="preserve">3) </w:t>
      </w:r>
      <w:r w:rsidRPr="00DB5D0D">
        <w:rPr>
          <w:rStyle w:val="5106"/>
          <w:rFonts w:ascii="Times New Roman" w:hAnsi="Times New Roman" w:cs="Times New Roman"/>
          <w:iCs/>
          <w:color w:val="000000" w:themeColor="text1"/>
        </w:rPr>
        <w:t>Утвердить на выпуск июня-июля чертежи на башню ныне име</w:t>
      </w:r>
      <w:r w:rsidRPr="00DB5D0D">
        <w:rPr>
          <w:rStyle w:val="5106"/>
          <w:rFonts w:ascii="Times New Roman" w:hAnsi="Times New Roman" w:cs="Times New Roman"/>
          <w:iCs/>
          <w:color w:val="000000" w:themeColor="text1"/>
        </w:rPr>
        <w:softHyphen/>
        <w:t>ющиеся в производстве и потребовать у з-да 183 разработки черте</w:t>
      </w:r>
      <w:r w:rsidRPr="00DB5D0D">
        <w:rPr>
          <w:rStyle w:val="5106"/>
          <w:rFonts w:ascii="Times New Roman" w:hAnsi="Times New Roman" w:cs="Times New Roman"/>
          <w:iCs/>
          <w:color w:val="000000" w:themeColor="text1"/>
        </w:rPr>
        <w:softHyphen/>
        <w:t>жей приемлемых для изготовления.</w:t>
      </w:r>
    </w:p>
    <w:p w14:paraId="3B5C9391" w14:textId="77777777" w:rsidR="00A25AD1" w:rsidRPr="00DB5D0D" w:rsidRDefault="00A25AD1" w:rsidP="00DB5D0D">
      <w:pPr>
        <w:pStyle w:val="512"/>
        <w:shd w:val="clear" w:color="auto" w:fill="auto"/>
        <w:tabs>
          <w:tab w:val="left" w:pos="495"/>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color w:val="000000" w:themeColor="text1"/>
        </w:rPr>
        <w:t xml:space="preserve">4) </w:t>
      </w:r>
      <w:r w:rsidRPr="00DB5D0D">
        <w:rPr>
          <w:rStyle w:val="5106"/>
          <w:rFonts w:ascii="Times New Roman" w:hAnsi="Times New Roman" w:cs="Times New Roman"/>
          <w:iCs/>
          <w:color w:val="000000" w:themeColor="text1"/>
        </w:rPr>
        <w:t>Усилить штат приемки на 3-де им. Ильича на 5 человек — тех</w:t>
      </w:r>
      <w:r w:rsidRPr="00DB5D0D">
        <w:rPr>
          <w:rStyle w:val="5106"/>
          <w:rFonts w:ascii="Times New Roman" w:hAnsi="Times New Roman" w:cs="Times New Roman"/>
          <w:iCs/>
          <w:color w:val="000000" w:themeColor="text1"/>
        </w:rPr>
        <w:softHyphen/>
        <w:t>ников, по сравнению с последними установленными штатами(14 человек).</w:t>
      </w:r>
    </w:p>
    <w:p w14:paraId="6995FE82" w14:textId="77777777" w:rsidR="00A25AD1" w:rsidRPr="00DB5D0D" w:rsidRDefault="00A25AD1" w:rsidP="00DB5D0D">
      <w:pPr>
        <w:pStyle w:val="512"/>
        <w:shd w:val="clear" w:color="auto" w:fill="auto"/>
        <w:tabs>
          <w:tab w:val="left" w:pos="492"/>
        </w:tabs>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color w:val="000000" w:themeColor="text1"/>
        </w:rPr>
        <w:t xml:space="preserve">5) </w:t>
      </w:r>
      <w:r w:rsidRPr="00DB5D0D">
        <w:rPr>
          <w:rStyle w:val="5106"/>
          <w:rFonts w:ascii="Times New Roman" w:hAnsi="Times New Roman" w:cs="Times New Roman"/>
          <w:iCs/>
          <w:color w:val="000000" w:themeColor="text1"/>
        </w:rPr>
        <w:t>Значительно упростить методы приемки и испытаний.Ст. Военпреда АБТУ КАВоенинженер 2 ранга- (Зухер).</w:t>
      </w:r>
      <w:r w:rsidRPr="00DB5D0D">
        <w:rPr>
          <w:rStyle w:val="58485pt69580pt120"/>
          <w:rFonts w:ascii="Times New Roman" w:hAnsi="Times New Roman" w:cs="Times New Roman"/>
          <w:iCs/>
          <w:color w:val="000000" w:themeColor="text1"/>
          <w:spacing w:val="0"/>
          <w:sz w:val="16"/>
          <w:szCs w:val="16"/>
        </w:rPr>
        <w:t xml:space="preserve"> [9]</w:t>
      </w:r>
    </w:p>
    <w:p w14:paraId="3A51C374" w14:textId="77777777" w:rsidR="00A25AD1" w:rsidRPr="00DB5D0D" w:rsidRDefault="00A25AD1" w:rsidP="00DB5D0D">
      <w:pPr>
        <w:pStyle w:val="513"/>
        <w:shd w:val="clear" w:color="auto" w:fill="auto"/>
        <w:spacing w:line="240" w:lineRule="auto"/>
        <w:rPr>
          <w:i w:val="0"/>
          <w:iCs w:val="0"/>
          <w:color w:val="000000" w:themeColor="text1"/>
          <w:lang w:val="ru-RU"/>
        </w:rPr>
      </w:pPr>
      <w:r w:rsidRPr="00DB5D0D">
        <w:rPr>
          <w:rStyle w:val="521"/>
          <w:rFonts w:ascii="Times New Roman" w:hAnsi="Times New Roman" w:cs="Times New Roman"/>
          <w:color w:val="000000" w:themeColor="text1"/>
          <w:lang w:val="ru-RU"/>
        </w:rPr>
        <w:t>ЗАВОД СТЗ.</w:t>
      </w:r>
    </w:p>
    <w:p w14:paraId="6DC40723"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Вопрос возможности изготовления в 1940 г. 100 шт. Т-34 и под-го товки производства к серийному выпуску в 1941 году Сталинград</w:t>
      </w:r>
      <w:r w:rsidRPr="00DB5D0D">
        <w:rPr>
          <w:rStyle w:val="5106"/>
          <w:rFonts w:ascii="Times New Roman" w:hAnsi="Times New Roman" w:cs="Times New Roman"/>
          <w:iCs/>
          <w:color w:val="000000" w:themeColor="text1"/>
        </w:rPr>
        <w:softHyphen/>
        <w:t>ским Тракторным заведом им. Дзержинского сообщаю:</w:t>
      </w:r>
    </w:p>
    <w:p w14:paraId="1452CD4B"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По технической оснащенности СТЗ располагает всеми возмож</w:t>
      </w:r>
      <w:r w:rsidRPr="00DB5D0D">
        <w:rPr>
          <w:rStyle w:val="5106"/>
          <w:rFonts w:ascii="Times New Roman" w:hAnsi="Times New Roman" w:cs="Times New Roman"/>
          <w:iCs/>
          <w:color w:val="000000" w:themeColor="text1"/>
        </w:rPr>
        <w:softHyphen/>
        <w:t>ностями выполнения задания в 1940 году 100 шт. «Т-34" и подгото</w:t>
      </w:r>
      <w:r w:rsidRPr="00DB5D0D">
        <w:rPr>
          <w:rStyle w:val="5106"/>
          <w:rFonts w:ascii="Times New Roman" w:hAnsi="Times New Roman" w:cs="Times New Roman"/>
          <w:iCs/>
          <w:color w:val="000000" w:themeColor="text1"/>
        </w:rPr>
        <w:softHyphen/>
        <w:t>вить производство к серийному выпуску танков в 1941 поду.</w:t>
      </w:r>
    </w:p>
    <w:p w14:paraId="479A6839"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Чертежами 183 завода СТЗ обеспечен полностью, за исключе</w:t>
      </w:r>
      <w:r w:rsidRPr="00DB5D0D">
        <w:rPr>
          <w:rStyle w:val="5106"/>
          <w:rFonts w:ascii="Times New Roman" w:hAnsi="Times New Roman" w:cs="Times New Roman"/>
          <w:iCs/>
          <w:color w:val="000000" w:themeColor="text1"/>
        </w:rPr>
        <w:softHyphen/>
        <w:t>нием башни.</w:t>
      </w:r>
    </w:p>
    <w:p w14:paraId="099D3278"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Технологический процесс на детали мех. обработки разработан.Из 906деталей 450деталей не требуют особых средств производ</w:t>
      </w:r>
      <w:r w:rsidRPr="00DB5D0D">
        <w:rPr>
          <w:rStyle w:val="5106"/>
          <w:rFonts w:ascii="Times New Roman" w:hAnsi="Times New Roman" w:cs="Times New Roman"/>
          <w:iCs/>
          <w:color w:val="000000" w:themeColor="text1"/>
        </w:rPr>
        <w:softHyphen/>
        <w:t>ства и в июне месяце будут запущены в производство.</w:t>
      </w:r>
    </w:p>
    <w:p w14:paraId="6EA5DE50"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Потребные средства производства на 456 деталей составляют800шт., запроектировано425приспособлений, изготовлено 40 при</w:t>
      </w:r>
      <w:r w:rsidRPr="00DB5D0D">
        <w:rPr>
          <w:rStyle w:val="5106"/>
          <w:rFonts w:ascii="Times New Roman" w:hAnsi="Times New Roman" w:cs="Times New Roman"/>
          <w:iCs/>
          <w:color w:val="000000" w:themeColor="text1"/>
        </w:rPr>
        <w:softHyphen/>
        <w:t>способлений. Оставшиеся средства производства будут законченыпроектированием к 15 июля 40 г.</w:t>
      </w:r>
    </w:p>
    <w:p w14:paraId="6C4E9028"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6"/>
          <w:rFonts w:ascii="Times New Roman" w:hAnsi="Times New Roman" w:cs="Times New Roman"/>
          <w:iCs/>
          <w:color w:val="000000" w:themeColor="text1"/>
        </w:rPr>
        <w:t>Общая потребность в первоочередном оборудовании для меха</w:t>
      </w:r>
      <w:r w:rsidRPr="00DB5D0D">
        <w:rPr>
          <w:rStyle w:val="5106"/>
          <w:rFonts w:ascii="Times New Roman" w:hAnsi="Times New Roman" w:cs="Times New Roman"/>
          <w:iCs/>
          <w:color w:val="000000" w:themeColor="text1"/>
        </w:rPr>
        <w:softHyphen/>
        <w:t>нического выражается в 298 станках. Цех имеет в наличии 143 стан</w:t>
      </w:r>
      <w:r w:rsidRPr="00DB5D0D">
        <w:rPr>
          <w:rStyle w:val="5106"/>
          <w:rFonts w:ascii="Times New Roman" w:hAnsi="Times New Roman" w:cs="Times New Roman"/>
          <w:iCs/>
          <w:color w:val="000000" w:themeColor="text1"/>
        </w:rPr>
        <w:softHyphen/>
        <w:t>ка. Получено 13 станков, занаряжено 56 станков. Требуется допол</w:t>
      </w:r>
      <w:r w:rsidRPr="00DB5D0D">
        <w:rPr>
          <w:rStyle w:val="5106"/>
          <w:rFonts w:ascii="Times New Roman" w:hAnsi="Times New Roman" w:cs="Times New Roman"/>
          <w:iCs/>
          <w:color w:val="000000" w:themeColor="text1"/>
        </w:rPr>
        <w:softHyphen/>
        <w:t>нительно к занаряженным 86 станков.</w:t>
      </w:r>
    </w:p>
    <w:p w14:paraId="1CFD3A5B"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iCs/>
          <w:color w:val="000000" w:themeColor="text1"/>
        </w:rPr>
        <w:t>Оборудование первой очереди может быть расположено в су</w:t>
      </w:r>
      <w:r w:rsidRPr="00DB5D0D">
        <w:rPr>
          <w:rStyle w:val="5101"/>
          <w:rFonts w:ascii="Times New Roman" w:hAnsi="Times New Roman" w:cs="Times New Roman"/>
          <w:iCs/>
          <w:color w:val="000000" w:themeColor="text1"/>
        </w:rPr>
        <w:softHyphen/>
        <w:t>ществующих габаритах цеха т.е. на площади сборки, в виду возмож</w:t>
      </w:r>
      <w:r w:rsidRPr="00DB5D0D">
        <w:rPr>
          <w:rStyle w:val="5101"/>
          <w:rFonts w:ascii="Times New Roman" w:hAnsi="Times New Roman" w:cs="Times New Roman"/>
          <w:iCs/>
          <w:color w:val="000000" w:themeColor="text1"/>
        </w:rPr>
        <w:softHyphen/>
        <w:t>ности с августа месяца начать эксплуатацию вновь построенного сбо-рочно-сдаточного цеха, для этого необходимо:</w:t>
      </w:r>
    </w:p>
    <w:p w14:paraId="39B47739"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iCs/>
          <w:color w:val="000000" w:themeColor="text1"/>
        </w:rPr>
        <w:t>1. Освободить спец. механо-сборочный цех от не танковых зака</w:t>
      </w:r>
      <w:r w:rsidRPr="00DB5D0D">
        <w:rPr>
          <w:rStyle w:val="5101"/>
          <w:rFonts w:ascii="Times New Roman" w:hAnsi="Times New Roman" w:cs="Times New Roman"/>
          <w:iCs/>
          <w:color w:val="000000" w:themeColor="text1"/>
        </w:rPr>
        <w:softHyphen/>
        <w:t>зов как-m изготовление и сборка мотобуров, тракторов, узлов по Т-26 для 174 з-да, к 15 июня 40 года.</w:t>
      </w:r>
    </w:p>
    <w:p w14:paraId="5B4E8818"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iCs/>
          <w:color w:val="000000" w:themeColor="text1"/>
        </w:rPr>
        <w:t>В целях форсирования производства с августа месяца 40 года вколичестве 20- ти машин в месяц необходимо уменьшить программупо тракторам на 35%-40%, это даст возможность:</w:t>
      </w:r>
    </w:p>
    <w:p w14:paraId="6EC7D802" w14:textId="77777777" w:rsidR="00A25AD1" w:rsidRPr="00DB5D0D" w:rsidRDefault="00A25AD1" w:rsidP="00DB5D0D">
      <w:pPr>
        <w:pStyle w:val="512"/>
        <w:shd w:val="clear" w:color="auto" w:fill="auto"/>
        <w:tabs>
          <w:tab w:val="left" w:pos="529"/>
        </w:tabs>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color w:val="000000" w:themeColor="text1"/>
        </w:rPr>
        <w:t xml:space="preserve">1) </w:t>
      </w:r>
      <w:r w:rsidRPr="00DB5D0D">
        <w:rPr>
          <w:rStyle w:val="5101"/>
          <w:rFonts w:ascii="Times New Roman" w:hAnsi="Times New Roman" w:cs="Times New Roman"/>
          <w:iCs/>
          <w:color w:val="000000" w:themeColor="text1"/>
        </w:rPr>
        <w:t>Перебросить из механических цехов тракторного корпуса вспец.мех. цех300-400 квалифицированных станочников.</w:t>
      </w:r>
    </w:p>
    <w:p w14:paraId="03B6B606" w14:textId="77777777" w:rsidR="00A25AD1" w:rsidRPr="00DB5D0D" w:rsidRDefault="00A25AD1" w:rsidP="00DB5D0D">
      <w:pPr>
        <w:pStyle w:val="512"/>
        <w:shd w:val="clear" w:color="auto" w:fill="auto"/>
        <w:tabs>
          <w:tab w:val="left" w:pos="502"/>
        </w:tabs>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color w:val="000000" w:themeColor="text1"/>
        </w:rPr>
        <w:t xml:space="preserve">2) </w:t>
      </w:r>
      <w:r w:rsidRPr="00DB5D0D">
        <w:rPr>
          <w:rStyle w:val="5101"/>
          <w:rFonts w:ascii="Times New Roman" w:hAnsi="Times New Roman" w:cs="Times New Roman"/>
          <w:iCs/>
          <w:color w:val="000000" w:themeColor="text1"/>
        </w:rPr>
        <w:t>Освободить 40-50универсальных станков для М.С.Ц.</w:t>
      </w:r>
    </w:p>
    <w:p w14:paraId="1371A9DF" w14:textId="77777777" w:rsidR="00A25AD1" w:rsidRPr="00DB5D0D" w:rsidRDefault="00A25AD1" w:rsidP="00DB5D0D">
      <w:pPr>
        <w:pStyle w:val="512"/>
        <w:shd w:val="clear" w:color="auto" w:fill="auto"/>
        <w:tabs>
          <w:tab w:val="left" w:pos="471"/>
        </w:tabs>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color w:val="000000" w:themeColor="text1"/>
        </w:rPr>
        <w:t xml:space="preserve">3) </w:t>
      </w:r>
      <w:r w:rsidRPr="00DB5D0D">
        <w:rPr>
          <w:rStyle w:val="5101"/>
          <w:rFonts w:ascii="Times New Roman" w:hAnsi="Times New Roman" w:cs="Times New Roman"/>
          <w:iCs/>
          <w:color w:val="000000" w:themeColor="text1"/>
        </w:rPr>
        <w:t>Даст возможность в инструментальном, модельном цехах из</w:t>
      </w:r>
      <w:r w:rsidRPr="00DB5D0D">
        <w:rPr>
          <w:rStyle w:val="5101"/>
          <w:rFonts w:ascii="Times New Roman" w:hAnsi="Times New Roman" w:cs="Times New Roman"/>
          <w:iCs/>
          <w:color w:val="000000" w:themeColor="text1"/>
        </w:rPr>
        <w:softHyphen/>
        <w:t>готовить инструментарий только для Т-34.</w:t>
      </w:r>
    </w:p>
    <w:p w14:paraId="0A8E9181" w14:textId="77777777" w:rsidR="00A25AD1" w:rsidRPr="00DB5D0D" w:rsidRDefault="00A25AD1" w:rsidP="00DB5D0D">
      <w:pPr>
        <w:pStyle w:val="512"/>
        <w:shd w:val="clear" w:color="auto" w:fill="auto"/>
        <w:tabs>
          <w:tab w:val="left" w:pos="500"/>
        </w:tabs>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color w:val="000000" w:themeColor="text1"/>
        </w:rPr>
        <w:t xml:space="preserve">4) </w:t>
      </w:r>
      <w:r w:rsidRPr="00DB5D0D">
        <w:rPr>
          <w:rStyle w:val="5101"/>
          <w:rFonts w:ascii="Times New Roman" w:hAnsi="Times New Roman" w:cs="Times New Roman"/>
          <w:iCs/>
          <w:color w:val="000000" w:themeColor="text1"/>
        </w:rPr>
        <w:t>Освободить рабочих заготовительных цехов на производствопоковок литья, холодной штамповки для машин Т-34, так как набор3000 рабочих для программы по выпуску 20-ти машин в месяц не</w:t>
      </w:r>
      <w:r w:rsidRPr="00DB5D0D">
        <w:rPr>
          <w:rStyle w:val="5101"/>
          <w:rFonts w:ascii="Times New Roman" w:hAnsi="Times New Roman" w:cs="Times New Roman"/>
          <w:iCs/>
          <w:color w:val="000000" w:themeColor="text1"/>
        </w:rPr>
        <w:softHyphen/>
        <w:t>возможен из-за отсутствия резервной жилищной площади.</w:t>
      </w:r>
    </w:p>
    <w:p w14:paraId="1A70ABE7"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iCs/>
          <w:color w:val="000000" w:themeColor="text1"/>
        </w:rPr>
        <w:t>Необходимо дать через Наркомстрой распоряжение 14-му стро</w:t>
      </w:r>
      <w:r w:rsidRPr="00DB5D0D">
        <w:rPr>
          <w:rStyle w:val="5101"/>
          <w:rFonts w:ascii="Times New Roman" w:hAnsi="Times New Roman" w:cs="Times New Roman"/>
          <w:iCs/>
          <w:color w:val="000000" w:themeColor="text1"/>
        </w:rPr>
        <w:softHyphen/>
        <w:t>ительному тресту о форсировании строительных работ в первуюочередь по Т-34 с выполнением работ по расширению мех.сбороч. -цеха на длину 96 метров к 15 августа 40 г. и закончить строительствосборо-сдаточного в августе 40 г., закончить подкрановые пути и са</w:t>
      </w:r>
      <w:r w:rsidRPr="00DB5D0D">
        <w:rPr>
          <w:rStyle w:val="5101"/>
          <w:rFonts w:ascii="Times New Roman" w:hAnsi="Times New Roman" w:cs="Times New Roman"/>
          <w:iCs/>
          <w:color w:val="000000" w:themeColor="text1"/>
        </w:rPr>
        <w:softHyphen/>
        <w:t>мотаски, установить конвейер и 3 тридцати тонных крана.</w:t>
      </w:r>
    </w:p>
    <w:p w14:paraId="6F7F6C92"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iCs/>
          <w:color w:val="000000" w:themeColor="text1"/>
        </w:rPr>
        <w:t>Для обеспечения изготовления в металле 800 приспособлений,500 штампов, режущего инструмента, мерительного инструментанеобходимо:</w:t>
      </w:r>
    </w:p>
    <w:p w14:paraId="06750AF6" w14:textId="77777777" w:rsidR="00A25AD1" w:rsidRPr="00DB5D0D" w:rsidRDefault="00A25AD1" w:rsidP="00DB5D0D">
      <w:pPr>
        <w:pStyle w:val="512"/>
        <w:shd w:val="clear" w:color="auto" w:fill="auto"/>
        <w:tabs>
          <w:tab w:val="left" w:pos="510"/>
        </w:tabs>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color w:val="000000" w:themeColor="text1"/>
        </w:rPr>
        <w:t xml:space="preserve">1) </w:t>
      </w:r>
      <w:r w:rsidRPr="00DB5D0D">
        <w:rPr>
          <w:rStyle w:val="5101"/>
          <w:rFonts w:ascii="Times New Roman" w:hAnsi="Times New Roman" w:cs="Times New Roman"/>
          <w:iCs/>
          <w:color w:val="000000" w:themeColor="text1"/>
        </w:rPr>
        <w:t>Выделить для инструментального цеха материальные фондына быстрорежущую сталь 15 тонн.</w:t>
      </w:r>
    </w:p>
    <w:p w14:paraId="533244D3" w14:textId="77777777" w:rsidR="00A25AD1" w:rsidRPr="00DB5D0D" w:rsidRDefault="00A25AD1" w:rsidP="00DB5D0D">
      <w:pPr>
        <w:pStyle w:val="512"/>
        <w:shd w:val="clear" w:color="auto" w:fill="auto"/>
        <w:tabs>
          <w:tab w:val="left" w:pos="500"/>
        </w:tabs>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color w:val="000000" w:themeColor="text1"/>
        </w:rPr>
        <w:t xml:space="preserve">2) </w:t>
      </w:r>
      <w:r w:rsidRPr="00DB5D0D">
        <w:rPr>
          <w:rStyle w:val="5101"/>
          <w:rFonts w:ascii="Times New Roman" w:hAnsi="Times New Roman" w:cs="Times New Roman"/>
          <w:iCs/>
          <w:color w:val="000000" w:themeColor="text1"/>
        </w:rPr>
        <w:t>По победиту фонды увеличить на 500 кг. Для изжития массо</w:t>
      </w:r>
      <w:r w:rsidRPr="00DB5D0D">
        <w:rPr>
          <w:rStyle w:val="5101"/>
          <w:rFonts w:ascii="Times New Roman" w:hAnsi="Times New Roman" w:cs="Times New Roman"/>
          <w:iCs/>
          <w:color w:val="000000" w:themeColor="text1"/>
        </w:rPr>
        <w:softHyphen/>
        <w:t>вой текучести рабсилы из СТЗ на соседние номерные заводы, необ</w:t>
      </w:r>
      <w:r w:rsidRPr="00DB5D0D">
        <w:rPr>
          <w:rStyle w:val="5101"/>
          <w:rFonts w:ascii="Times New Roman" w:hAnsi="Times New Roman" w:cs="Times New Roman"/>
          <w:iCs/>
          <w:color w:val="000000" w:themeColor="text1"/>
        </w:rPr>
        <w:softHyphen/>
        <w:t>ходимо добиться закрытого распределителя.</w:t>
      </w:r>
    </w:p>
    <w:p w14:paraId="4A873B1A"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iCs/>
          <w:color w:val="000000" w:themeColor="text1"/>
        </w:rPr>
        <w:t>Все расчеты и мероприятия по всем цехам обеспечивают изго</w:t>
      </w:r>
      <w:r w:rsidRPr="00DB5D0D">
        <w:rPr>
          <w:rStyle w:val="5101"/>
          <w:rFonts w:ascii="Times New Roman" w:hAnsi="Times New Roman" w:cs="Times New Roman"/>
          <w:iCs/>
          <w:color w:val="000000" w:themeColor="text1"/>
        </w:rPr>
        <w:softHyphen/>
        <w:t>товление машин в 1940 году, начиная выпуск с августа м-ца 40 гсщав количестве 20-25 машин в месяц, но для этого необходимо под</w:t>
      </w:r>
      <w:r w:rsidRPr="00DB5D0D">
        <w:rPr>
          <w:rStyle w:val="5101"/>
          <w:rFonts w:ascii="Times New Roman" w:hAnsi="Times New Roman" w:cs="Times New Roman"/>
          <w:iCs/>
          <w:color w:val="000000" w:themeColor="text1"/>
        </w:rPr>
        <w:softHyphen/>
        <w:t>нять производственную дисциплину, которая в настоящее время на</w:t>
      </w:r>
      <w:r w:rsidRPr="00DB5D0D">
        <w:rPr>
          <w:rStyle w:val="5101"/>
          <w:rFonts w:ascii="Times New Roman" w:hAnsi="Times New Roman" w:cs="Times New Roman"/>
          <w:iCs/>
          <w:color w:val="000000" w:themeColor="text1"/>
        </w:rPr>
        <w:softHyphen/>
        <w:t>ходится на низком уровне.</w:t>
      </w:r>
    </w:p>
    <w:p w14:paraId="40F3363A"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iCs/>
          <w:color w:val="000000" w:themeColor="text1"/>
        </w:rPr>
        <w:t>Директор СТЗ тов. БЛАГОВ на протяжении 20 месяцев своегоруководства не сумел поднять производственную техническую дис</w:t>
      </w:r>
      <w:r w:rsidRPr="00DB5D0D">
        <w:rPr>
          <w:rStyle w:val="5101"/>
          <w:rFonts w:ascii="Times New Roman" w:hAnsi="Times New Roman" w:cs="Times New Roman"/>
          <w:iCs/>
          <w:color w:val="000000" w:themeColor="text1"/>
        </w:rPr>
        <w:softHyphen/>
        <w:t>циплину на должную высоту, имеют мест не выполнения приказов.Начальникам цехов невыполнения задания по оборонным заказампроходят безнаказанно. Невыполнение заказа по танкам Т-26 в 1939году исключительно вина дирекции СТЗ.</w:t>
      </w:r>
    </w:p>
    <w:p w14:paraId="4D742A7B"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iCs/>
          <w:color w:val="000000" w:themeColor="text1"/>
        </w:rPr>
        <w:t>Стиль руководства в настоящее время не изменился.</w:t>
      </w:r>
    </w:p>
    <w:p w14:paraId="7C8EA199"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iCs/>
          <w:color w:val="000000" w:themeColor="text1"/>
        </w:rPr>
        <w:t>Военный представитель АБТУ КА Военинженер2 ранга-(Левин).</w:t>
      </w:r>
      <w:r w:rsidRPr="00DB5D0D">
        <w:rPr>
          <w:rStyle w:val="58475pt68570pt119"/>
          <w:rFonts w:ascii="Times New Roman" w:hAnsi="Times New Roman" w:cs="Times New Roman"/>
          <w:iCs/>
          <w:color w:val="000000" w:themeColor="text1"/>
          <w:spacing w:val="0"/>
          <w:sz w:val="16"/>
          <w:szCs w:val="16"/>
        </w:rPr>
        <w:t xml:space="preserve"> [10]</w:t>
      </w:r>
    </w:p>
    <w:p w14:paraId="06DA6086"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98"/>
          <w:rFonts w:ascii="Times New Roman" w:hAnsi="Times New Roman" w:cs="Times New Roman"/>
          <w:iCs/>
          <w:color w:val="000000" w:themeColor="text1"/>
        </w:rPr>
        <w:t>КРАСНОАРМЕЙСКАЯ СУДОВЕРФЬ.</w:t>
      </w:r>
    </w:p>
    <w:p w14:paraId="02B5A490"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98"/>
          <w:rFonts w:ascii="Times New Roman" w:hAnsi="Times New Roman" w:cs="Times New Roman"/>
          <w:iCs/>
          <w:color w:val="000000" w:themeColor="text1"/>
        </w:rPr>
        <w:t>ПО ВОПРОСУ ИЗГОТОВЛЕНИЯ КОРПУСОВ А-34</w:t>
      </w:r>
      <w:r w:rsidRPr="00DB5D0D">
        <w:rPr>
          <w:rStyle w:val="5101"/>
          <w:rFonts w:ascii="Times New Roman" w:hAnsi="Times New Roman" w:cs="Times New Roman"/>
          <w:iCs/>
          <w:color w:val="000000" w:themeColor="text1"/>
        </w:rPr>
        <w:t>В 19</w:t>
      </w:r>
      <w:r w:rsidRPr="00DB5D0D">
        <w:rPr>
          <w:rStyle w:val="598"/>
          <w:rFonts w:ascii="Times New Roman" w:hAnsi="Times New Roman" w:cs="Times New Roman"/>
          <w:iCs/>
          <w:color w:val="000000" w:themeColor="text1"/>
        </w:rPr>
        <w:t>40 ГОДУ НА З</w:t>
      </w:r>
      <w:r w:rsidRPr="00DB5D0D">
        <w:rPr>
          <w:rStyle w:val="5101"/>
          <w:rFonts w:ascii="Times New Roman" w:hAnsi="Times New Roman" w:cs="Times New Roman"/>
          <w:iCs/>
          <w:color w:val="000000" w:themeColor="text1"/>
        </w:rPr>
        <w:t>А</w:t>
      </w:r>
      <w:r w:rsidRPr="00DB5D0D">
        <w:rPr>
          <w:rStyle w:val="598"/>
          <w:rFonts w:ascii="Times New Roman" w:hAnsi="Times New Roman" w:cs="Times New Roman"/>
          <w:iCs/>
          <w:color w:val="000000" w:themeColor="text1"/>
        </w:rPr>
        <w:t>ВОДЕ №264</w:t>
      </w:r>
    </w:p>
    <w:p w14:paraId="0D76DE6A"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iCs/>
          <w:color w:val="000000" w:themeColor="text1"/>
        </w:rPr>
        <w:t>Завод №264 в настоящее время к производству корпусов и ба</w:t>
      </w:r>
      <w:r w:rsidRPr="00DB5D0D">
        <w:rPr>
          <w:rStyle w:val="5101"/>
          <w:rFonts w:ascii="Times New Roman" w:hAnsi="Times New Roman" w:cs="Times New Roman"/>
          <w:iCs/>
          <w:color w:val="000000" w:themeColor="text1"/>
        </w:rPr>
        <w:softHyphen/>
        <w:t>шен А-34 не готов. На заводе нет инструментального цеха, нет свое -го снарядного полигона, грузоподъемность мостовых кранов в сбо</w:t>
      </w:r>
      <w:r w:rsidRPr="00DB5D0D">
        <w:rPr>
          <w:rStyle w:val="5101"/>
          <w:rFonts w:ascii="Times New Roman" w:hAnsi="Times New Roman" w:cs="Times New Roman"/>
          <w:iCs/>
          <w:color w:val="000000" w:themeColor="text1"/>
        </w:rPr>
        <w:softHyphen/>
        <w:t>рочном цехе равна 3 тоннам.</w:t>
      </w:r>
    </w:p>
    <w:p w14:paraId="243F4188" w14:textId="77777777" w:rsidR="00A25AD1" w:rsidRPr="00DB5D0D" w:rsidRDefault="00A25AD1"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Style w:val="5101"/>
          <w:rFonts w:ascii="Times New Roman" w:hAnsi="Times New Roman" w:cs="Times New Roman"/>
          <w:iCs/>
          <w:color w:val="000000" w:themeColor="text1"/>
        </w:rPr>
        <w:t>По наличию оборудования завод в состоянии обрабатывать пол</w:t>
      </w:r>
      <w:r w:rsidRPr="00DB5D0D">
        <w:rPr>
          <w:rStyle w:val="5101"/>
          <w:rFonts w:ascii="Times New Roman" w:hAnsi="Times New Roman" w:cs="Times New Roman"/>
          <w:iCs/>
          <w:color w:val="000000" w:themeColor="text1"/>
        </w:rPr>
        <w:softHyphen/>
        <w:t>ностью все детали корпуса и башни, кроме очень крупных деталей -борт, нос и наклонный лист ниши корпуса. Может производить сборкубашен.</w:t>
      </w:r>
    </w:p>
    <w:p w14:paraId="29C1D1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завода такова, что он смог бы собрать во 11-м полуго</w:t>
      </w:r>
      <w:r w:rsidRPr="00DB5D0D">
        <w:rPr>
          <w:rFonts w:ascii="Times New Roman" w:hAnsi="Times New Roman"/>
          <w:color w:val="000000" w:themeColor="text1"/>
          <w:sz w:val="16"/>
          <w:szCs w:val="16"/>
        </w:rPr>
        <w:softHyphen/>
        <w:t>дии 1940 года, при снятии всех других заказов из цехов бронетанко</w:t>
      </w:r>
      <w:r w:rsidRPr="00DB5D0D">
        <w:rPr>
          <w:rFonts w:ascii="Times New Roman" w:hAnsi="Times New Roman"/>
          <w:color w:val="000000" w:themeColor="text1"/>
          <w:sz w:val="16"/>
          <w:szCs w:val="16"/>
        </w:rPr>
        <w:softHyphen/>
        <w:t>вого производства -100-120 башен и обработать 80-100комплектов деталей корпуса россыпью. С учетом имеющихся на заводе заказов и при оказании помощи (обеспечение инструменюм, штампами, кооперация по полигону) завод может во 2-м полугодии 1940 года собрать до 50 башен.</w:t>
      </w:r>
    </w:p>
    <w:p w14:paraId="0B94C5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возможности изготовления на заводе №2644000ком</w:t>
      </w:r>
      <w:r w:rsidRPr="00DB5D0D">
        <w:rPr>
          <w:rFonts w:ascii="Times New Roman" w:hAnsi="Times New Roman"/>
          <w:color w:val="000000" w:themeColor="text1"/>
          <w:sz w:val="16"/>
          <w:szCs w:val="16"/>
        </w:rPr>
        <w:softHyphen/>
        <w:t>плектов корпусов и башен машины А-34 работниками завода уже прорабатывался. Согласно их разработке, для выполнения этой задачи необходимо вложить в строительство завода 320 млн. руб</w:t>
      </w:r>
      <w:r w:rsidRPr="00DB5D0D">
        <w:rPr>
          <w:rFonts w:ascii="Times New Roman" w:hAnsi="Times New Roman"/>
          <w:color w:val="000000" w:themeColor="text1"/>
          <w:sz w:val="16"/>
          <w:szCs w:val="16"/>
        </w:rPr>
        <w:softHyphen/>
        <w:t>лей капиталовложений. При этом варианте судостроение на заво</w:t>
      </w:r>
      <w:r w:rsidRPr="00DB5D0D">
        <w:rPr>
          <w:rFonts w:ascii="Times New Roman" w:hAnsi="Times New Roman"/>
          <w:color w:val="000000" w:themeColor="text1"/>
          <w:sz w:val="16"/>
          <w:szCs w:val="16"/>
        </w:rPr>
        <w:softHyphen/>
        <w:t>де сохраняется.</w:t>
      </w:r>
    </w:p>
    <w:p w14:paraId="657A72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темп строительства 1940 года увеличить в 5 раз, тодля реализации вышеуказанного варианта потребуется 3-4 года. Та</w:t>
      </w:r>
      <w:r w:rsidRPr="00DB5D0D">
        <w:rPr>
          <w:rFonts w:ascii="Times New Roman" w:hAnsi="Times New Roman"/>
          <w:color w:val="000000" w:themeColor="text1"/>
          <w:sz w:val="16"/>
          <w:szCs w:val="16"/>
        </w:rPr>
        <w:softHyphen/>
        <w:t>ким образом, заводской вариант является неприемлемым, ибо он не обеспечивает выполнения поставленной задачи выпуска 3500 комплектов корпусов и башен машин А-34 в 1941 году.</w:t>
      </w:r>
    </w:p>
    <w:p w14:paraId="25991A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реализации поставленной Вами задачи, необходимо судостроение на время реконструкции завода прекратить, а цеха и оборудование, занятое сейчас под судостроение, исполь</w:t>
      </w:r>
      <w:r w:rsidRPr="00DB5D0D">
        <w:rPr>
          <w:rFonts w:ascii="Times New Roman" w:hAnsi="Times New Roman"/>
          <w:color w:val="000000" w:themeColor="text1"/>
          <w:sz w:val="16"/>
          <w:szCs w:val="16"/>
        </w:rPr>
        <w:softHyphen/>
        <w:t>зовать для бронетанкового производства. При этом варианте не</w:t>
      </w:r>
      <w:r w:rsidRPr="00DB5D0D">
        <w:rPr>
          <w:rFonts w:ascii="Times New Roman" w:hAnsi="Times New Roman"/>
          <w:color w:val="000000" w:themeColor="text1"/>
          <w:sz w:val="16"/>
          <w:szCs w:val="16"/>
        </w:rPr>
        <w:softHyphen/>
        <w:t>обходимо:</w:t>
      </w:r>
    </w:p>
    <w:p w14:paraId="7DAD2A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производства вырезки деталей корпуса и башен - до</w:t>
      </w:r>
      <w:r w:rsidRPr="00DB5D0D">
        <w:rPr>
          <w:rFonts w:ascii="Times New Roman" w:hAnsi="Times New Roman"/>
          <w:color w:val="000000" w:themeColor="text1"/>
          <w:sz w:val="16"/>
          <w:szCs w:val="16"/>
        </w:rPr>
        <w:softHyphen/>
        <w:t>строить заготовительный цех №110 (стены и крыши этого корпу</w:t>
      </w:r>
      <w:r w:rsidRPr="00DB5D0D">
        <w:rPr>
          <w:rFonts w:ascii="Times New Roman" w:hAnsi="Times New Roman"/>
          <w:color w:val="000000" w:themeColor="text1"/>
          <w:sz w:val="16"/>
          <w:szCs w:val="16"/>
        </w:rPr>
        <w:softHyphen/>
        <w:t>са уже имеются).</w:t>
      </w:r>
    </w:p>
    <w:p w14:paraId="774A6B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механической обработки деталей - использовать ныне действующий цех № 140, дополнительно к цеху № 140 использо</w:t>
      </w:r>
      <w:r w:rsidRPr="00DB5D0D">
        <w:rPr>
          <w:rFonts w:ascii="Times New Roman" w:hAnsi="Times New Roman"/>
          <w:color w:val="000000" w:themeColor="text1"/>
          <w:sz w:val="16"/>
          <w:szCs w:val="16"/>
        </w:rPr>
        <w:softHyphen/>
        <w:t>вать цех судомеханический и под механический цех занять пло</w:t>
      </w:r>
      <w:r w:rsidRPr="00DB5D0D">
        <w:rPr>
          <w:rFonts w:ascii="Times New Roman" w:hAnsi="Times New Roman"/>
          <w:color w:val="000000" w:themeColor="text1"/>
          <w:sz w:val="16"/>
          <w:szCs w:val="16"/>
        </w:rPr>
        <w:softHyphen/>
        <w:t>щадь ныне действующего сборочного цеха, где установить более крупные станки.</w:t>
      </w:r>
    </w:p>
    <w:p w14:paraId="7D0D48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термической обработки и правки прямых деталей - до</w:t>
      </w:r>
      <w:r w:rsidRPr="00DB5D0D">
        <w:rPr>
          <w:rFonts w:ascii="Times New Roman" w:hAnsi="Times New Roman"/>
          <w:color w:val="000000" w:themeColor="text1"/>
          <w:sz w:val="16"/>
          <w:szCs w:val="16"/>
        </w:rPr>
        <w:softHyphen/>
        <w:t>полнительно к ныне действующему цеху № 150 достроить оконча</w:t>
      </w:r>
      <w:r w:rsidRPr="00DB5D0D">
        <w:rPr>
          <w:rFonts w:ascii="Times New Roman" w:hAnsi="Times New Roman"/>
          <w:color w:val="000000" w:themeColor="text1"/>
          <w:sz w:val="16"/>
          <w:szCs w:val="16"/>
        </w:rPr>
        <w:softHyphen/>
        <w:t>тельно цех № 120, где установить печи с выдвижными подинами длиной 6 метров с закалочными баками к ним и вальцы для прав</w:t>
      </w:r>
      <w:r w:rsidRPr="00DB5D0D">
        <w:rPr>
          <w:rFonts w:ascii="Times New Roman" w:hAnsi="Times New Roman"/>
          <w:color w:val="000000" w:themeColor="text1"/>
          <w:sz w:val="16"/>
          <w:szCs w:val="16"/>
        </w:rPr>
        <w:softHyphen/>
        <w:t>ки каленой брони.</w:t>
      </w:r>
    </w:p>
    <w:p w14:paraId="01B4AA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штамповки и правки гнутых деталей - установить в цехе № 130 дополнительно 2-3 пресса мощностью до 3000 т.</w:t>
      </w:r>
    </w:p>
    <w:p w14:paraId="0AF0A1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испытания деталей на полигоне - на первое время коо</w:t>
      </w:r>
      <w:r w:rsidRPr="00DB5D0D">
        <w:rPr>
          <w:rFonts w:ascii="Times New Roman" w:hAnsi="Times New Roman"/>
          <w:color w:val="000000" w:themeColor="text1"/>
          <w:sz w:val="16"/>
          <w:szCs w:val="16"/>
        </w:rPr>
        <w:softHyphen/>
        <w:t>перироваться снарядным полигоном з-да •Красный Октябрь» и одновременно вести строительство своего снарядного полигона.</w:t>
      </w:r>
    </w:p>
    <w:p w14:paraId="4C72F3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сборки и сварки корпусов - использовать и оборудо</w:t>
      </w:r>
      <w:r w:rsidRPr="00DB5D0D">
        <w:rPr>
          <w:rFonts w:ascii="Times New Roman" w:hAnsi="Times New Roman"/>
          <w:color w:val="000000" w:themeColor="text1"/>
          <w:sz w:val="16"/>
          <w:szCs w:val="16"/>
        </w:rPr>
        <w:softHyphen/>
        <w:t>вать ныне действующий судозаготовительный цех.</w:t>
      </w:r>
    </w:p>
    <w:p w14:paraId="70FEB0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сборки и сварки башен - использовать и оборудовать судосборочные стапеля, где имеются колонны и мостовые краны.</w:t>
      </w:r>
    </w:p>
    <w:p w14:paraId="75D7A7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Железными деталями, литьем и поковками кооперировать</w:t>
      </w:r>
      <w:r w:rsidRPr="00DB5D0D">
        <w:rPr>
          <w:rFonts w:ascii="Times New Roman" w:hAnsi="Times New Roman"/>
          <w:color w:val="000000" w:themeColor="text1"/>
          <w:sz w:val="16"/>
          <w:szCs w:val="16"/>
        </w:rPr>
        <w:softHyphen/>
        <w:t>ся с заводом СТЗ им. Дзержинского.</w:t>
      </w:r>
    </w:p>
    <w:p w14:paraId="6D366E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Инструментальный цех предусмотрено пустить в эксплоа- тацию в 1940 году.</w:t>
      </w:r>
    </w:p>
    <w:p w14:paraId="5C26D6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итоге объем работы выражается в следующем:</w:t>
      </w:r>
    </w:p>
    <w:p w14:paraId="58FD31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Выстроить и оборудовать один цех для сборки башен, для чего использовать судосборочные стапеля, где имеются подкра</w:t>
      </w:r>
      <w:r w:rsidRPr="00DB5D0D">
        <w:rPr>
          <w:rFonts w:ascii="Times New Roman" w:hAnsi="Times New Roman"/>
          <w:color w:val="000000" w:themeColor="text1"/>
          <w:sz w:val="16"/>
          <w:szCs w:val="16"/>
        </w:rPr>
        <w:softHyphen/>
        <w:t>новые колонны и мостовые краны.</w:t>
      </w:r>
    </w:p>
    <w:p w14:paraId="045FBD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Приобрести и установить 12-15 расточных станков, для ра</w:t>
      </w:r>
      <w:r w:rsidRPr="00DB5D0D">
        <w:rPr>
          <w:rFonts w:ascii="Times New Roman" w:hAnsi="Times New Roman"/>
          <w:color w:val="000000" w:themeColor="text1"/>
          <w:sz w:val="16"/>
          <w:szCs w:val="16"/>
        </w:rPr>
        <w:softHyphen/>
        <w:t>сточки бортов корпуса.</w:t>
      </w:r>
    </w:p>
    <w:p w14:paraId="68063E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Приобрести и установить 4-5 строгальных станков с длиной стола L=6 метров.</w:t>
      </w:r>
    </w:p>
    <w:p w14:paraId="5299D6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Приобрести и установить 2-3 пресса мощностью в3000 тонн.</w:t>
      </w:r>
    </w:p>
    <w:p w14:paraId="72D61A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Приобрести и установить 3-4 печи с выдвижной подиной длиной 6 м. и закалочные баки к ним.</w:t>
      </w:r>
    </w:p>
    <w:p w14:paraId="1AB754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Приобрести и установить 3-4 мощных вальцев, для правки каленых деталей толщиной 45 мм.</w:t>
      </w:r>
    </w:p>
    <w:p w14:paraId="063AC4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Усилить подкрановые колонны в судозаготоеительном цехе и заменить 3-х тонные краны на краны 10-15 тонн.</w:t>
      </w:r>
    </w:p>
    <w:p w14:paraId="17944D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Военпреда АБТУ КА Военинженер 2 ранга - (Морозов). [11] (11901).</w:t>
      </w:r>
    </w:p>
    <w:p w14:paraId="2F6E7C1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9AA471" w14:textId="77777777" w:rsidR="00A25AD1" w:rsidRPr="00DB5D0D" w:rsidRDefault="00A25AD1"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lastRenderedPageBreak/>
        <w:t>В середине мая 1940, после ознакомления с ре</w:t>
      </w:r>
      <w:r w:rsidRPr="00DB5D0D">
        <w:rPr>
          <w:rFonts w:ascii="Times New Roman" w:cs="Times New Roman"/>
          <w:color w:val="000000" w:themeColor="text1"/>
          <w:spacing w:val="0"/>
          <w:sz w:val="16"/>
          <w:szCs w:val="16"/>
        </w:rPr>
        <w:softHyphen/>
        <w:t>зультатами работы межведомственной комиссии на Кировском за</w:t>
      </w:r>
      <w:r w:rsidRPr="00DB5D0D">
        <w:rPr>
          <w:rFonts w:ascii="Times New Roman" w:cs="Times New Roman"/>
          <w:color w:val="000000" w:themeColor="text1"/>
          <w:spacing w:val="0"/>
          <w:sz w:val="16"/>
          <w:szCs w:val="16"/>
        </w:rPr>
        <w:softHyphen/>
        <w:t>воде руководство завода № 92 разослало в вышестоящие инстан</w:t>
      </w:r>
      <w:r w:rsidRPr="00DB5D0D">
        <w:rPr>
          <w:rFonts w:ascii="Times New Roman" w:cs="Times New Roman"/>
          <w:color w:val="000000" w:themeColor="text1"/>
          <w:spacing w:val="0"/>
          <w:sz w:val="16"/>
          <w:szCs w:val="16"/>
        </w:rPr>
        <w:softHyphen/>
        <w:t>ции письмо, в котором подвергло сомнению сделанные комисси</w:t>
      </w:r>
      <w:r w:rsidRPr="00DB5D0D">
        <w:rPr>
          <w:rFonts w:ascii="Times New Roman" w:cs="Times New Roman"/>
          <w:color w:val="000000" w:themeColor="text1"/>
          <w:spacing w:val="0"/>
          <w:sz w:val="16"/>
          <w:szCs w:val="16"/>
        </w:rPr>
        <w:softHyphen/>
        <w:t>ей выводы и оценку, данную системам Л-11 и Ф-32.</w:t>
      </w:r>
    </w:p>
    <w:p w14:paraId="13A35E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эскизы во все адреса.</w:t>
      </w:r>
    </w:p>
    <w:p w14:paraId="7D5D66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завода Чмутов Главный конструктор Военинженер 2-го ранга Грабин.</w:t>
      </w:r>
      <w:r w:rsidRPr="00DB5D0D">
        <w:rPr>
          <w:rStyle w:val="115pt29115pt8109112SimHei2Arial12pt11ptMSMincho12pt"/>
          <w:rFonts w:ascii="Times New Roman" w:hAnsi="Times New Roman" w:cs="Times New Roman"/>
          <w:color w:val="000000" w:themeColor="text1"/>
          <w:spacing w:val="0"/>
          <w:sz w:val="16"/>
          <w:szCs w:val="16"/>
        </w:rPr>
        <w:t>[</w:t>
      </w:r>
      <w:r w:rsidRPr="00DB5D0D">
        <w:rPr>
          <w:rFonts w:ascii="Times New Roman" w:hAnsi="Times New Roman"/>
          <w:color w:val="000000" w:themeColor="text1"/>
          <w:sz w:val="16"/>
          <w:szCs w:val="16"/>
        </w:rPr>
        <w:t xml:space="preserve">РГВА. Ф.31811.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.2. Д.978. Л.89-91.</w:t>
      </w:r>
      <w:r w:rsidRPr="00DB5D0D">
        <w:rPr>
          <w:rStyle w:val="115pt29115pt8109112SimHei2Arial12pt11ptMSMincho12pt"/>
          <w:rFonts w:ascii="Times New Roman" w:hAnsi="Times New Roman" w:cs="Times New Roman"/>
          <w:color w:val="000000" w:themeColor="text1"/>
          <w:spacing w:val="0"/>
          <w:sz w:val="16"/>
          <w:szCs w:val="16"/>
        </w:rPr>
        <w:t>] (11940). (11940).</w:t>
      </w:r>
    </w:p>
    <w:p w14:paraId="032F6E25" w14:textId="77777777" w:rsidR="00A25AD1" w:rsidRPr="00DB5D0D" w:rsidRDefault="00A25AD1" w:rsidP="00DB5D0D">
      <w:pPr>
        <w:pStyle w:val="34"/>
        <w:shd w:val="clear" w:color="auto" w:fill="auto"/>
        <w:spacing w:line="240" w:lineRule="auto"/>
        <w:jc w:val="both"/>
        <w:rPr>
          <w:rFonts w:ascii="Times New Roman" w:cs="Times New Roman"/>
          <w:color w:val="000000" w:themeColor="text1"/>
          <w:spacing w:val="0"/>
          <w:sz w:val="16"/>
          <w:szCs w:val="16"/>
        </w:rPr>
      </w:pPr>
    </w:p>
    <w:p w14:paraId="4DA12F5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3BA3369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F7313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мая 1940 был подписан Акт приема Наркомата Обороны СССР С. К. Тимошенко от К. Е. Ворошилова</w:t>
      </w:r>
    </w:p>
    <w:p w14:paraId="7CBF25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Акт</w:t>
      </w:r>
    </w:p>
    <w:p w14:paraId="4C0DCA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исполнение Постановления СНК СССР от 8 мая 1940 г. за № 690 при приеме Наркомата обороны т. Тимошенко от т. Ворошилова в присутствии тт. Жданова, Маленкова и Вознесенского заслушаны доклады начальников центральных управлений и установлено следующее:</w:t>
      </w:r>
    </w:p>
    <w:p w14:paraId="48283D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Организация и структура центрального аппарата</w:t>
      </w:r>
    </w:p>
    <w:p w14:paraId="4AD327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Действующее положение о Наркомате обороны, утвержденное Правительством в 1934 году, устарело, не соответствует существующей структуре и не отражает современных задач, возложенных на Наркомат обороны. Вновь созданные управления: Главное управление Красной Армии, Управление военно-технического снабжения, Управление снабжения, Управление продовольственного, обозного и вещевого снабжения, Управление стрелкового и минометного вооружений, Управление высших военно-учебных заведений, Управление снабжения горючим и Управление начальника пехоты — существуют по временным положениям. Структура других управлений (Генштаб, Артуправление, Управление связи, Строительно-квартирное управление, Управление ВВС и Инспекции) изменена, причем положения об этих изменениях не утверждены.</w:t>
      </w:r>
    </w:p>
    <w:p w14:paraId="21AB03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наличии 34 самостоятельных управлений и отделов и недостаточно четком распределении обязанностей между заместителями Наркома часто имела место задержка в разрешении вопросов в управлениях НКО. [299]</w:t>
      </w:r>
    </w:p>
    <w:p w14:paraId="38BB7E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армии имеется до 1080 наименований действующих уставов, наставлений и руководств. Основные уставы — Полевой службы, Внутренней службы, Дисциплинарный и некоторые боевые уставы родов войск устарели и требуют коренной переработки. Отсутствуют: наставление по вождению крупных войсковых соединений (армий), наставление по атаке и обороне укрепленных районов и наставление для действий войск в горах.</w:t>
      </w:r>
    </w:p>
    <w:p w14:paraId="0BE411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Большинство войсковых частей существуют по временным штатам, не утвержденным Народным комиссаром. Штатное и табельное хозяйство запущено. Около 1400 штатов и табелей, по которым войска живут и снабжаются, никем не утверждены и изданы для руководства как временные.</w:t>
      </w:r>
    </w:p>
    <w:p w14:paraId="478FEC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Вопросы военного законодательства и систематизации приказов Наркома обороны не налажены. Имеется много приказов, требующих отмены или переработки как устаревших и затрудняющих руководство войсками.</w:t>
      </w:r>
    </w:p>
    <w:p w14:paraId="777ADB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Контроль за исполнением отданных приказов и решений Правительства был организован недостаточно. Не было живого действенного руководства обучением войск. Проверка на местах как система не проводилась и заменялась получением бумажных отчетов.</w:t>
      </w:r>
    </w:p>
    <w:p w14:paraId="3F51A4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Оперативная подготовка</w:t>
      </w:r>
    </w:p>
    <w:p w14:paraId="3A1216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 моменту приема и сдачи Наркомата обороны оперативного плана войны не было, не разработаны и отсутствуют оперативные планы, как общий, так и частные.</w:t>
      </w:r>
    </w:p>
    <w:p w14:paraId="62F218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Генштаб не имеет данных о состоянии прикрытия границ. Решения военных советов округов, армий и фронта по этому вопросу Генштабу неизвестны.</w:t>
      </w:r>
    </w:p>
    <w:p w14:paraId="7C9FF1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Руководство оперативной подготовкой высшего начсостава и штабов выражалось лишь в планировании ее и даче директив. С 1938 года Народный комиссар обороны и Генеральный штаб сами занятий с высшим начсоставом и штабами не проводили. Контроль за оперативной подготовкой в округах почти отсутствовал. Наркомат обороны отстает в разработке вопросов оперативного использования войск в современной войне.</w:t>
      </w:r>
    </w:p>
    <w:p w14:paraId="1EFFB4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Подготовка театров военных действий к войне во всех отношениях крайне слаба. В результате этого:</w:t>
      </w:r>
    </w:p>
    <w:p w14:paraId="52AA61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ВОСО не проявило должной маневренности в деле использования наличных железнодорожных средств для войсковых перевозок.</w:t>
      </w:r>
    </w:p>
    <w:p w14:paraId="6D5E3B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Положения об управлении железными дорогами на театре войны, четко определяющего функции органов НКПС и органов ВОСО, а также порядок перевозок, нет.</w:t>
      </w:r>
    </w:p>
    <w:p w14:paraId="532F0C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Строительство шоссейных дорог идет медленно и ведется многими организациями (Гуждор, Главдорупр, Гулаг НКВД), что приводит к распылению сил и средств и отсутствию общего плана дорстроительства.</w:t>
      </w:r>
    </w:p>
    <w:p w14:paraId="4F027D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Строительство связи по линии НКС сильно отстает, а по линии НКО в 1940 г. сорвано совершенно вследствие позднего представления Генштабом и Управлением связи заявок на строительные материалы и неотпуска таковых. Каблирование и использование уплотненных бронзовых проводов ведется в крайне ограниченном размере.</w:t>
      </w:r>
    </w:p>
    <w:p w14:paraId="2D8B16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 аэродромном отношении крайне слабо подготовлена территория Западной Белоруссии, Западной Украины, ОдВО и ЗакВО.</w:t>
      </w:r>
    </w:p>
    <w:p w14:paraId="4BF4A7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Ясного и четкого плана подготовки театров в инженерном отношении, вытекающего из оперативного плана, нет. Основные рубежи и вся система инженерной подготовки не определены.</w:t>
      </w:r>
    </w:p>
    <w:p w14:paraId="03BE6A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Директивы, утверждающей план строительства УР на 1940 г., округам к моменту приема Наркрмата не дано.</w:t>
      </w:r>
    </w:p>
    <w:p w14:paraId="3B1AB5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Система предполья окончательно не разработана, и в округах этот вопрос решается по-разному.</w:t>
      </w:r>
    </w:p>
    <w:p w14:paraId="0AAF61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Вопросы вооружения вновь создаваемых укрепленных районов требуют [300] быстрейшего разрешения, в первую очередь новых У Ров на западной границе.</w:t>
      </w:r>
    </w:p>
    <w:p w14:paraId="053C67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В топографическом отношении театры военных действий подготовлены далеко недостаточно и потребность войск в картах не обеспечена.</w:t>
      </w:r>
    </w:p>
    <w:p w14:paraId="795031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Укомплектование и устройство войск</w:t>
      </w:r>
    </w:p>
    <w:p w14:paraId="14942F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Точно установленной фактической численности Красной Армии в момент приема Наркомат не имеет. Учет личного состава по вине Главного Управления Красной Армии находится в исключительно запущенном состоянии.</w:t>
      </w:r>
    </w:p>
    <w:p w14:paraId="13F92A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Личный состав войск состоял из кадрового и приписного состава; план увольнения приписного состава находится в процессе разработки.</w:t>
      </w:r>
    </w:p>
    <w:p w14:paraId="58CE0E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Положение о прохождении службы рядового и младшего начсостава, изданное в 1931 году, устарело, для руководства непригодно, и никто им не пользуется. Нового положения, определяющего порядок прохождения службы, не составлено.</w:t>
      </w:r>
    </w:p>
    <w:p w14:paraId="740A96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устройству войск — нет положений об управлении частями (полками), соединениями (дивизиями и бригадами). Положение о войсковом хозяйстве устарело и требует переработки. Не разработано положение о полевом управлении войск.</w:t>
      </w:r>
    </w:p>
    <w:p w14:paraId="552F13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Мобилизационная подготовка</w:t>
      </w:r>
    </w:p>
    <w:p w14:paraId="0A15DF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связи с войной и значительным передислоцированном войск мобилизационный план нарушен. Нового мобилизационного плана Наркомат обороны не имеет.</w:t>
      </w:r>
    </w:p>
    <w:p w14:paraId="042487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Мероприятия по отмобилизованию распорядительным порядком не закончены разработкой.</w:t>
      </w:r>
    </w:p>
    <w:p w14:paraId="086B72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Наркомат обороны не устранил еще следующие недостатки мобилизационного плана, вскрытие при проведении частичной мобилизации в сентябре 1939 года:</w:t>
      </w:r>
    </w:p>
    <w:p w14:paraId="1D26C4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крайняя запущенность учета военнообязанных запаса, т. к. переучет не проводился с 1927 года;</w:t>
      </w:r>
    </w:p>
    <w:p w14:paraId="735205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отсутствие единого учета военнообязанных и существование обособленного специального учета железнодорожников, водного транспорта и НКВД;</w:t>
      </w:r>
    </w:p>
    <w:p w14:paraId="2CB7E4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слабость и неналаженность работы военкоматов;</w:t>
      </w:r>
    </w:p>
    <w:p w14:paraId="25B394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отсутствие очередности в отмобилизовании частей, что привело к перегрузке первых дней мобилизации;</w:t>
      </w:r>
    </w:p>
    <w:p w14:paraId="754255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нереальность планов размещения войск при отмобилизовании;</w:t>
      </w:r>
    </w:p>
    <w:p w14:paraId="0CD675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нереальность плана снабжения обмундированием при мобилизации;</w:t>
      </w:r>
    </w:p>
    <w:p w14:paraId="1A7207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неравномерность подъема по мобилизации военнообязанных, конского состава и автотранспорта;</w:t>
      </w:r>
    </w:p>
    <w:p w14:paraId="23A109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отсутствие твердо установленного порядка в бронировании рабочей силы на военное время;</w:t>
      </w:r>
    </w:p>
    <w:p w14:paraId="73FC13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нереальность и неудовлетворительное состояние учета лошадей, повозок, упряжи и автотранспорта.</w:t>
      </w:r>
    </w:p>
    <w:p w14:paraId="2885DC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числе военнообязанных запаса состоит 3 155 000 необученных людей. Плана обучения их Наркомат обороны не имеет. В числе обученного состава состоят на учете военнообязанные запаса с недостаточной подготовкой и по ряду специальностей, мобилизационная потребность в специалистах не покрывается. Плана переобучения специалистов и переподготовки слабо обученного состава Наркомат обороны также не имеет. [301]</w:t>
      </w:r>
    </w:p>
    <w:p w14:paraId="3279B4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Наставления по мобилизационной работе в войсках и военкоматах, признанные устаревшими, не переработаны.</w:t>
      </w:r>
    </w:p>
    <w:p w14:paraId="020816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кадров</w:t>
      </w:r>
    </w:p>
    <w:p w14:paraId="0B4927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моменту приема Наркомата обороны армия имела значительный некомплект начсостава, особенно в пехоте, достигающий 21 % к штатной численности на 1 мая 1940 г.</w:t>
      </w:r>
    </w:p>
    <w:p w14:paraId="106C0D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Установлено, что ежегодные выпуски из военных училищ не обеспечивали создания необходимых резервов для роста армии и образования запасов.</w:t>
      </w:r>
    </w:p>
    <w:p w14:paraId="1C43F2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Качество подготовки командного состава низкое, особенно в звене взвод — рота, в котором до 68% имеют лишь краткосрочную 6-месячную подготовку курса младшего лейтенанта.</w:t>
      </w:r>
    </w:p>
    <w:p w14:paraId="75BEE3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комсостава в военных училищах поставлена неудовлетворительно вследствие недоброкачественности программ, неорганизованности занятий, недостаточной загрузки учебного времени и особенно слабой полевой практической выучки. Усовершенствование командного состава кадра должным образом не организовано. Недостатком программ подготовки командиров в военно-учебных заведениях является: проведение занятий преимущественно в классах, недостаточность полевых занятий, насыщение программ общими предметами в ущерб военным.</w:t>
      </w:r>
    </w:p>
    <w:p w14:paraId="3730A7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вопросах присвоения военных званий нет твердо установившейся системы и в ряде случаев имела место кампанейщина. Этому способствовало отсутствие периодического аттестования начсостава. Существующий порядок аттестования не выявляет деловых качеств командира и работы командира по боевой подготовке своей части. Происходит это потому, что командный состав в значительной мере устранился от дела аттестования и подбора кадров, которое зачастую проводилось политорганами.</w:t>
      </w:r>
    </w:p>
    <w:p w14:paraId="608AEE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Учет начсостава поставлен неудовлетворительно и не отражает командного состава, имеющего боевой опыт. Кандидатские списки отсутствуют.</w:t>
      </w:r>
    </w:p>
    <w:p w14:paraId="4CEB72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назначении командного состава Управление кадров недостаточно привлекало начальников соответствующих родов войск и служб.</w:t>
      </w:r>
    </w:p>
    <w:p w14:paraId="7F934F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Нормы пополнения начсостава на военное время не разработаны. Учет и подготовка начсостава запаса находятся в неудовлетворительном состоянии.</w:t>
      </w:r>
    </w:p>
    <w:p w14:paraId="51623B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Плана подготовки и пополнения комсостава запаса для полного отмобили-зования армии по военному времени не было.</w:t>
      </w:r>
    </w:p>
    <w:p w14:paraId="4080A6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Боевая подготовка войск</w:t>
      </w:r>
    </w:p>
    <w:p w14:paraId="22829C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Главнейшими недостатками в подготовке войск являются:</w:t>
      </w:r>
    </w:p>
    <w:p w14:paraId="07B34C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Низкая подготовка среднего командного состава в звене рота — взвод и особенно слабая подготовка младшего начальствующего состава.</w:t>
      </w:r>
    </w:p>
    <w:p w14:paraId="049646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Слабая тактическая подготовка во всех видах боя и разведки, особенно мелких подразделений.</w:t>
      </w:r>
    </w:p>
    <w:p w14:paraId="142D3A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Неудовлетворительная практическая полевая выучка войск и неумение ими выполнять то, что требуется в условиях боевой обстановки.</w:t>
      </w:r>
    </w:p>
    <w:p w14:paraId="261E0F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Крайне слабая выучка родов войск по взаимодействию на поле боя: пехота не умеет прижиматься к огневому валу и отрываться от него, артиллерия не умеет поддерживать танки, авиация не умеет взаимодействовать с наземными войсками.</w:t>
      </w:r>
    </w:p>
    <w:p w14:paraId="6A4DB5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Войска не обучены лыжному делу.</w:t>
      </w:r>
    </w:p>
    <w:p w14:paraId="424716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Применение маскировки отработано слабо.</w:t>
      </w:r>
    </w:p>
    <w:p w14:paraId="3C3391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 войсках не отработано управление огнем. [302]</w:t>
      </w:r>
    </w:p>
    <w:p w14:paraId="215980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Войска не обучены атаке укрепленных районов, устройству и преодолению заграждений и форсированию рек.</w:t>
      </w:r>
    </w:p>
    <w:p w14:paraId="01B1E5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Причинами этого являются:</w:t>
      </w:r>
    </w:p>
    <w:p w14:paraId="20C4B8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Неправильное обучение и воспитание войск.</w:t>
      </w:r>
    </w:p>
    <w:p w14:paraId="35DC3A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боевой подготовке войск допускается много условностей, войска не тренируются в обстановке, приближенной к боевой действительности, применительно к требованиям театров военных действий.</w:t>
      </w:r>
    </w:p>
    <w:p w14:paraId="5CAFB3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Широкое применение системы условностей в обучении и воспитании войск создало в войсках неправильное представление о суровой действительности войны.</w:t>
      </w:r>
    </w:p>
    <w:p w14:paraId="5B8CAE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Войска мало обучаются в поле практическому выполнению всего необходимого для боя. Недостаточно воспитывается и прививается выносливость, физическая закалка и стремление выполнить приказ беспрекословно, точно и быстро, несмотря ни на какие трудности и преодолевая их.</w:t>
      </w:r>
    </w:p>
    <w:p w14:paraId="3F12C0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Вместо этого зачастую допускается ложный демократизм, подрыв авторитета командира.</w:t>
      </w:r>
    </w:p>
    <w:p w14:paraId="4D6753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Неправильно построены программы и планы боевой подготовки, приводящие к тому, что рода войск занимаются изолированно, периоды обучения и боевые стрельбы их тождественных подразделений не совпадают по времени и недостаточно обеспечиваются материально.</w:t>
      </w:r>
    </w:p>
    <w:p w14:paraId="0FF8BB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родов войск</w:t>
      </w:r>
    </w:p>
    <w:p w14:paraId="544CE9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Пехота:</w:t>
      </w:r>
    </w:p>
    <w:p w14:paraId="259D2A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вопросам организации, вооружения и подготовки пехоты не уделено должного внимания;</w:t>
      </w:r>
    </w:p>
    <w:p w14:paraId="197E9E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пехота подготовлена слабее всех других родов войск;</w:t>
      </w:r>
    </w:p>
    <w:p w14:paraId="298D09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накопление подготовленного запаса пехоты недостаточно;</w:t>
      </w:r>
    </w:p>
    <w:p w14:paraId="22BC1A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командный состав пехоты плохо подготовлен и имеет большой некомплект;</w:t>
      </w:r>
    </w:p>
    <w:p w14:paraId="253ECA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пехотное вооружение отстает от современных требований боя и не обеспечено минометами и автоматами.</w:t>
      </w:r>
    </w:p>
    <w:p w14:paraId="74E46E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Военно-воздушные силы.</w:t>
      </w:r>
    </w:p>
    <w:p w14:paraId="7A6F0B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Материальная часть ВВС Красной Армии в своем развитии за последние три года отстает по скоростям, дальностям, мощностям моторов и вооружению самолетов от авиации передовых армий других стран. Наркомат обороны (Управление Военно-Воздуш-ных Сил) не проявил достаточной инициативы и настойчивости по внедрению более современных типов самолетов. Управление Военно-Воздушных Сил не определяло направления развития военной авиации. По этой причине ВВС не имеют пикирующих бомбардировщиков и отстают во внедрении современных типов самолетов. По вооружению отстает внедрение крупнокалиберного оружия.</w:t>
      </w:r>
    </w:p>
    <w:p w14:paraId="110A85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Отработка новых образцов самолетов, испытание и доводка их проходят крайне медленно.</w:t>
      </w:r>
    </w:p>
    <w:p w14:paraId="5BA2B1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учета самолетов и моторов неудовлетворительное, а качественный учет совершенно не организован и не ведется.</w:t>
      </w:r>
    </w:p>
    <w:p w14:paraId="0B6E82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Склады авиамеханического имущества недостаточны и не удовлетворяют потребности авиационных частей.</w:t>
      </w:r>
    </w:p>
    <w:p w14:paraId="299FDF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Аэродромная сеть недостаточна и не обеспечивает нормальной работы авиачастей, и развитие ее отстает от роста военно-воздушных сил.</w:t>
      </w:r>
    </w:p>
    <w:p w14:paraId="753D1C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Организация военно-воздушных сил, в связи со значительным ростом авиации, устарела и требует пересмотра и объединения в более крупные авиационные соединения (дивизии).</w:t>
      </w:r>
    </w:p>
    <w:p w14:paraId="448733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Существующая организация авиабаз не обеспечивает обслуживания передовых оперативных аэродромов и содержания их в рабочем состоянии в течение круглого года.</w:t>
      </w:r>
    </w:p>
    <w:p w14:paraId="11D54A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Летно-технический состав недостаточно подготовлен в бомбометании, в полетах в сложных метеорологических условиях и в стрельбе.</w:t>
      </w:r>
    </w:p>
    <w:p w14:paraId="3E8FAA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Авиационные школы выпускают слабых летчиков, обученных главным образом на старой материальной части, [303] и вследствие этого молодых летчиков приходится переучивать в частях.</w:t>
      </w:r>
    </w:p>
    <w:p w14:paraId="28867A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Вопросы прохождения службы летно-техническим составом не отработаны, в результате чего с 1938 года существует неправильное положение, когда красноармейцы действительной военной службы после годичного обучения в школах младших специалистов выпускаются по категории среднего начальствующего состава. Несмотря на большой некомплект штурманов, подготовка их не организована.</w:t>
      </w:r>
    </w:p>
    <w:p w14:paraId="4A19A2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Аварийность и катастрофы в авиации продолжают оставаться высокими вследствие слабой подготовки летного состава, незнания им материальной части, низкой дисциплинированности, неорганизованности летной работы и безответственности командиров частей и бригад за происшедшие аварии и катастрофы.</w:t>
      </w:r>
    </w:p>
    <w:p w14:paraId="546B03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Авиадесантные части не получили должного развития.</w:t>
      </w:r>
    </w:p>
    <w:p w14:paraId="288252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Организация воздушно-десантных частей (маломощные бригады) отстает от современных требований и требует пересмотра в сторону создания более сильных соединений и развития парашютного дела.</w:t>
      </w:r>
    </w:p>
    <w:p w14:paraId="2AB107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Существующая двойственность подчинения — по линии УБП (боевая подготовка) и по линии ВВС (снабжение специмуществом и обеспечение самолетами) отрицательно сказывается на управлении и боевой подготовке авиадесантных частей.</w:t>
      </w:r>
    </w:p>
    <w:p w14:paraId="648159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Автобронетанковые войска.</w:t>
      </w:r>
    </w:p>
    <w:p w14:paraId="514278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танковых частей в своем развитии отстает от современных требований вследствие того, что современные толстобронные танки внедрены на вооружение с опозданием.</w:t>
      </w:r>
    </w:p>
    <w:p w14:paraId="7E038D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использовании танковых частей организация взаимодействия с другими родами войск в достаточной степени не отработана.</w:t>
      </w:r>
    </w:p>
    <w:p w14:paraId="69618C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Ремонт автобронемашин при наличии достаточной ремонтной базы затягивается.</w:t>
      </w:r>
    </w:p>
    <w:p w14:paraId="5E61ED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Существующие ремонтные комплекты как по количеству, так и по своей спецификации составлены неудачно. Наиболее ходовые части в них изготовлены в малых количествах и не обеспечивают потребности.</w:t>
      </w:r>
    </w:p>
    <w:p w14:paraId="6DE05C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Вопросы организации текущего и среднего ремонта боевых машин в полевых условиях разрешены неправильно. По существующему порядку предусматривается отправка боевых машин для ремонта в тыловые мастерские, что задерживает ремонт и не обеспечивает своевременный ввод их в строй.</w:t>
      </w:r>
    </w:p>
    <w:p w14:paraId="535ACB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Эксплуатация существующего автомобильного и тракторного парка поставлена неудовлетворительно, вследствие чего в армии имеется большое количество машин, требующих ремонта.</w:t>
      </w:r>
    </w:p>
    <w:p w14:paraId="5D33D1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Существующий тракторный парк недостаточен и не обеспечивает полностью подъема материальной части артиллерии на мехтяге.</w:t>
      </w:r>
    </w:p>
    <w:p w14:paraId="280596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Артиллерия.</w:t>
      </w:r>
    </w:p>
    <w:p w14:paraId="7973EF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тем что делу организации и подготовки артиллерийских частей было уделено достаточное внимание, наличие материальной части артиллерии по средним и мелким калибрам обеспечивает развертывание артиллерийских частей, но отстает по крупным калибрам и зенитной артиллерии. Особенно недостаточна обеспеченность наиболее крупными калибрами — 203 мм и выше.</w:t>
      </w:r>
    </w:p>
    <w:p w14:paraId="6FB704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боеприпасам — потребность армии по средним системам обеспечивается недостаточно. Специальные артиллерийские выстрелы (бронебойные, зажигательные, а также выстрелы для зенитной артиллерии) имеются в крайне недостаточном количестве.</w:t>
      </w:r>
    </w:p>
    <w:p w14:paraId="5B467C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Приборами управления, биноклями артиллерия обеспечена недостаточно.</w:t>
      </w:r>
    </w:p>
    <w:p w14:paraId="3A2055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Наличие хранилищ не обеспечивает полностью хранение имеющихся запасов. Организация складского хозяйства поставлена неудовлетворительно. К моменту приема из-за недостатка хранилищ и загруженности складов ненужными [304] материалами находилось на открытом воздухе большое количество боеприпасов и вооружения.</w:t>
      </w:r>
    </w:p>
    <w:p w14:paraId="0588DB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Стрелковое вооружение.</w:t>
      </w:r>
    </w:p>
    <w:p w14:paraId="6E6681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Внедрение современных образцов стрелкового вооружения (пистолеты-пулеметы и самозарядная винтовка) Наркоматом обороны производится с опозданием и крайне медленно.</w:t>
      </w:r>
    </w:p>
    <w:p w14:paraId="6D7C2C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количеству винтовок мобилизационная потребность развернутой армии обеспечивается без учета убыли винтовок и для новых формирований во время войны.</w:t>
      </w:r>
    </w:p>
    <w:p w14:paraId="4FB707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Минно-минометное вооружение.</w:t>
      </w:r>
    </w:p>
    <w:p w14:paraId="3B953A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Наркоматом обороны не придавалось значения минно-минометному вооружению. В результате Красная Армия оказалась не обеспеченной минометами и не подготовленной к их использованию.</w:t>
      </w:r>
    </w:p>
    <w:p w14:paraId="66FEEC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моменту приема Наркомата Красная Армия минометами полностью еще не обеспечена. В частях имеется большой некомплект минометов, а минометы крупных калибров существуют только в образцах.</w:t>
      </w:r>
    </w:p>
    <w:p w14:paraId="5CC0CC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неотработанными остаются вопросы использования и применения пехотных и противотанковых мин. Производство и изготовление этих мин не организовано, и имеются только опытные образцы.</w:t>
      </w:r>
    </w:p>
    <w:p w14:paraId="6B6EEE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Инженерные войска.</w:t>
      </w:r>
    </w:p>
    <w:p w14:paraId="19CFD9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своей организации и вооружению отстают от общего развития других родов войск.</w:t>
      </w:r>
    </w:p>
    <w:p w14:paraId="55C7A0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Обеспеченность существующих инженерных частей основными видами инженерного вооружения слабая. Новейшие средства инженерной техники: око-покопатели, средства глубокого бурения, новые дорожные машины — имеются только в образцах и не внедрены на вооружение инжнерных войск.</w:t>
      </w:r>
    </w:p>
    <w:p w14:paraId="66752A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Переправочные средства по количеству недостаточны, особенно по тяжелым паркам.</w:t>
      </w:r>
    </w:p>
    <w:p w14:paraId="37E262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Исключительно низка обеспеченность инженерных войск по колючей проволоке.</w:t>
      </w:r>
    </w:p>
    <w:p w14:paraId="02E296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подготовке и в вооружении войск не получили развития и выпали такие коренные вопросы, как вопросы преодоления У Ров, заграждения и разграждения, особенно минного.</w:t>
      </w:r>
    </w:p>
    <w:p w14:paraId="49B23E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Войска связи.</w:t>
      </w:r>
    </w:p>
    <w:p w14:paraId="561FF8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на своем вооружении имеют много устаревших типов телеграфно-телефонных аппаратов и радиосредств. Внедрение новых средств радиотехники проходит крайне медленно и в недостаточных размерах. Войска плохо обеспечены почти по всем видам имущества связи.</w:t>
      </w:r>
    </w:p>
    <w:p w14:paraId="238BF4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Большим недостатком войск связи является отсутствие быстродействующих и засекречивающих приборов.</w:t>
      </w:r>
    </w:p>
    <w:p w14:paraId="4B3760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Существующее отставание в развитии техники связи и нечеткость организации связи привели к тому, что во время похода в Западную Украину и Западную Белоруссию, а также во время войны с белофиннами войска связи не имели устойчивой и непрерывно действующей связи.</w:t>
      </w:r>
    </w:p>
    <w:p w14:paraId="267C0B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Химические войска.</w:t>
      </w:r>
    </w:p>
    <w:p w14:paraId="7FCEFA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Внимание к химическому оружию в Наркомате обороны ослаблено.</w:t>
      </w:r>
    </w:p>
    <w:p w14:paraId="426A6A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Существующие дегазационые средства не обеспечивают по своему количеству и качеству предъявляемые к ним требования. Дегазационные машины, состоящие на вооружении (АРС и АХИ-5), малопроходимы, а из дегазаторов существует только хлорная известь.</w:t>
      </w:r>
    </w:p>
    <w:p w14:paraId="0775A2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Химическая подготовка войск поставлена неудовлетворительно, что объясняется недооценкой значения химических средств нападения со стороны общевойсковых командиров.</w:t>
      </w:r>
    </w:p>
    <w:p w14:paraId="46EF37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Научно-исследовательская работа по развитию химического вооружения [305]</w:t>
      </w:r>
    </w:p>
    <w:p w14:paraId="62206E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поставлена слабо, а разработанные новые образцы внедряются в армии медленно.</w:t>
      </w:r>
    </w:p>
    <w:p w14:paraId="112AD1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Конница.</w:t>
      </w:r>
    </w:p>
    <w:p w14:paraId="32B8A5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и вооружение конницы удовлетворительные. Отмечается слабость и недоработанность организации горнокавалерийских частей.</w:t>
      </w:r>
    </w:p>
    <w:p w14:paraId="70C4C3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разведывательной работы</w:t>
      </w:r>
    </w:p>
    <w:p w14:paraId="479E81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Организация разведки является одним из наиболее слабых участков в работе Наркомата обороны. Организованной разведки и систематического поступления данных об иностранных армиях не имеется.</w:t>
      </w:r>
    </w:p>
    <w:p w14:paraId="26CE2F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 Разведывательного управления не связана с работой Генерального штаба. Наркомат обороны не имеет в лице Разведывательного управления органа, обеспечивающего Красную Армию данными об организации, состоянии, вооружении, подготовке к развертыванию иностранных армий. К моменту приема Наркомат обороны такими разведывательными данными не располагает. Театры военных действий и их подготовка не изучены.</w:t>
      </w:r>
    </w:p>
    <w:p w14:paraId="4F013C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Противовоздушная оборона</w:t>
      </w:r>
    </w:p>
    <w:p w14:paraId="7D7651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Противовоздушная оборона войск и охраняемых пунктов находится в состоянии полной запущенности. Существующее состояние ПВО не отвечает современным требованиям.</w:t>
      </w:r>
    </w:p>
    <w:p w14:paraId="3F17A8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Вооружению активных средств ПВО зенитной артиллерии не уделялось достаточного внимания. Совершенно недостаточна обеспеченность приборами управления зенитной артиллерии. Дальномеры, состоящие на вооружении, не обеспечивают стрельбу на высотах более 6,2 км, а приборы ПУАЗО несовершенны.</w:t>
      </w:r>
    </w:p>
    <w:p w14:paraId="09B9E5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зенитных частей неудовлетворительная, и тренировка их ведется с устарелыми типами самолетов. Нет практики с современными самолетами.</w:t>
      </w:r>
    </w:p>
    <w:p w14:paraId="3BB463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Слабо развиты прожекторные части, не все объекты обеспечены прожекторами, и вследствие этого имеющаяся в них зенитная артиллерия способна отражать воздушного противника только днем.</w:t>
      </w:r>
    </w:p>
    <w:p w14:paraId="124E3E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Служба ВНОС плохо организована, слабо подготовлена, плохо вооружена и не обеспечивает своевременного обнаружения самолетов противника и оповещения. Радиоперехватывающие средства (РУС и РЕДУТ) имеются только в отдельных образцах. Нет ясности, кому подчиняется служба ВНОС — командующему ВВС или отделу ПВО.</w:t>
      </w:r>
    </w:p>
    <w:p w14:paraId="5EB008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Наркоматом обороны к моменту приема не было выполнено постановление Правительства о введении в приграничных округах помощников командующего войсками по ПВО.</w:t>
      </w:r>
    </w:p>
    <w:p w14:paraId="2239D6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Руководство Наркомата обороны работой местных пунктов ПВО неудовлетворительное и слабое.</w:t>
      </w:r>
    </w:p>
    <w:p w14:paraId="1FE1C0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существующем состоянии руководства и организации ПВО должная защита от воздушного нападения не обеспечивается.</w:t>
      </w:r>
    </w:p>
    <w:p w14:paraId="32AE14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Устройство и служба тыла</w:t>
      </w:r>
    </w:p>
    <w:p w14:paraId="5B46C4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Руководство организацией тыла и тыловой подготовкой начальствующего состава и тыловых учреждений слабое. За последние два года в армии не было ни одного специального тылового учения, не было учебных сборов командиров службы тыла. Хотя приказом Наркома требовалось ни одного учения без отработки тыла не проводить, но фактически в некоторых частях учения с тылом не проводились. Устав тыла засекречен, и комначсостав его не знает. Устав требует переработки.</w:t>
      </w:r>
    </w:p>
    <w:p w14:paraId="44DCEC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Территории, отошедшие к СССР в 1939/40 гг., в отношении устройства тыла не подготовлены.</w:t>
      </w:r>
    </w:p>
    <w:p w14:paraId="6A674E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Мобилизационная заявка 1937/38 гг. устарела и требует переработки.</w:t>
      </w:r>
    </w:p>
    <w:p w14:paraId="18496D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План вооружения и снабжения на 1940 год в округа до сих пор по вине ГУКа не спущен, что не дает возможности отработать обеспеченность войск на мирное и военное время.</w:t>
      </w:r>
    </w:p>
    <w:p w14:paraId="5403FC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Учет количественный и качественный в центральных довольствующих управлениях поставлен плохо и не дает возможности правильно определить обеспеченность войск.</w:t>
      </w:r>
    </w:p>
    <w:p w14:paraId="380311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Мобфонды продфуража, израсходованные в зимний период 1940 г., не восстановлены, а на Камчатке, Сахалине и в МНР они вовсе отсутствуют. Дислокация мобфондов требует коренного пересмотра.</w:t>
      </w:r>
    </w:p>
    <w:p w14:paraId="68D0F7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Финансовые сметы на первый месяц войны устарели, непригодны и требуют переработки.</w:t>
      </w:r>
    </w:p>
    <w:p w14:paraId="33BEFC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Военно-хозяйственное снабжение</w:t>
      </w:r>
    </w:p>
    <w:p w14:paraId="40EB13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СНК СССР и ЦК ВКП(б) от 9 августа 1935 г. по приведению войскового хозяйства и всего дела военно-хозяйственного снабжения армии в образцовый порядок не выполнено.</w:t>
      </w:r>
    </w:p>
    <w:p w14:paraId="154A6A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Войсковое хозяйство продолжает оставаться в запущенном состоянии. Учет и отчетность по имуществу не налажены. В боевых операциях 1939/40 г. армейский и войсковой тыл работали неудовлетворительно.</w:t>
      </w:r>
    </w:p>
    <w:p w14:paraId="62E683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Организация и система снабжения.</w:t>
      </w:r>
    </w:p>
    <w:p w14:paraId="4052B5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Организация и система обозно-вещевого и продовольственного снабжения и квартирного обеспечения КА мирного времени совершенно не были приспособлены на военное время.</w:t>
      </w:r>
    </w:p>
    <w:p w14:paraId="3FFF8A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Введенные в 1936 г. помощники старшин рот и ротные писаря вскоре были сокращены. Вновь они восстанавливаются лишь с конца 1939 года, когда учет имущества был запутан во всех низовых звеньях.</w:t>
      </w:r>
    </w:p>
    <w:p w14:paraId="49816E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Действующие нормы снабжения, особенно вещевым имуществом, устарели или негодны, и при пересмотре их есть полная возможность навести экономию.</w:t>
      </w:r>
    </w:p>
    <w:p w14:paraId="057B09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вопросам снабжения и ведения хозяйства войска руководствуются большим количеством приказов НКО, вышедших за истекшие два десятилетия. Большое количество частей, особенно из числа сформированных за последние годы, этих приказов не имеют.</w:t>
      </w:r>
    </w:p>
    <w:p w14:paraId="5C3639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Нет положения о правах, обязанностях и персональной ответственности командиров частей и соединений за хозяйственное состояние части, за утрату, порчу, разбазаривание и незаконное использование государственных средств.</w:t>
      </w:r>
    </w:p>
    <w:p w14:paraId="274F8C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Продовольственное снабжение армии. Текущее снабжение войск продовольствием и фуражом проходит без перебоев. Имеющиеся в войсках неснижаемые переходящие запасы продфуража обеспечивают всю армию по основным продуктам на 15—30 дней.</w:t>
      </w:r>
    </w:p>
    <w:p w14:paraId="31C424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Наркомат обороны и промышленность не были подготовлены к войне для изготовления сухарей и концентратов. Упродснаб и Генштаб недооценили значения этих продуктов на снабжении армии.</w:t>
      </w:r>
    </w:p>
    <w:p w14:paraId="4CA703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частях нет должного порядка в расходовании, учете и отчетности продовольствия и фуража.</w:t>
      </w:r>
    </w:p>
    <w:p w14:paraId="3E4D62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Вещевое снабжение Красной Армии.</w:t>
      </w:r>
    </w:p>
    <w:p w14:paraId="39D605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Войска не были своевременно обеспечены вещевым имуществом по зимнему плану 1939/40 г. [307]</w:t>
      </w:r>
    </w:p>
    <w:p w14:paraId="62AE79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Отпуск обмундирования частям затянулся до января 1940 года. Вопросы обеспечения теплыми вещами (ушанки, перчатки, валенки) не были проработаны и не ставились своевременно Наркоматом обороны.</w:t>
      </w:r>
    </w:p>
    <w:p w14:paraId="5A6EFE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войны показал, что военные советы и начснабы округов не знают действительной обеспеченности и потребностей частей в вещевом имуществе. Поэтому части отправлялись на фронт необеспеченными или обеспеченными сверх нормы по преувеличенным заявкам и бросали имущество при выступлении.</w:t>
      </w:r>
    </w:p>
    <w:p w14:paraId="6F28EA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Хранение обмундирования и обуви в окружных складах и особенно в складах частей поставлено неудовлетворительно.</w:t>
      </w:r>
    </w:p>
    <w:p w14:paraId="0FC66F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Обезличка в пользовании бельем после стирки и недостаточная требовательность командного состава к сбережению красноармейцами обмундирования, белья и обуви приводит к излишним расходам и преждевременному износу обмундирования и белья и снижению общего воинского вида.</w:t>
      </w:r>
    </w:p>
    <w:p w14:paraId="4AADBE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Учет имущества запущен. В период больших учебных сборов во многих частях имущество НЗ было смешано с имуществом текущего довольствия. За время войны с Финляндией в учете наличия обозно-вещевого имущества в частях и довольствующих управлениях происходила путаница. Учет по приказу НКО № 12 — 1940 г. в войсках еще не заведен.</w:t>
      </w:r>
    </w:p>
    <w:p w14:paraId="0678EC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Банно-прачечное обслуживание очень усложнено и требует упорядочения.</w:t>
      </w:r>
    </w:p>
    <w:p w14:paraId="681136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Обозно-хозяйственное снабжение Красной Армии.</w:t>
      </w:r>
    </w:p>
    <w:p w14:paraId="77742A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Обеспечение колесным обозом армии находится в тяжелом состоянии. Производство колесного обоза систематически уменьшается.</w:t>
      </w:r>
    </w:p>
    <w:p w14:paraId="3E9B40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СНК и ЦК ВКП(б) 1935г. о создании фонда «Обороне — повозка с упряжью» не выполнено. Управление обозно-хозяйственного снабжения и ГУК не контролировали и не добивались создания этого фонда.</w:t>
      </w:r>
    </w:p>
    <w:p w14:paraId="651217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Внедрение в шорно-седельном и др. производствах кожзаменителей (постановление СНК № 039 — 35 г.) проводится слабо.</w:t>
      </w:r>
    </w:p>
    <w:p w14:paraId="021E21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 и хранение обозно-хозяйственного имущества в ряде частей поставлено плохо.</w:t>
      </w:r>
    </w:p>
    <w:p w14:paraId="58EDF0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Вопросы снабжения горючим</w:t>
      </w:r>
    </w:p>
    <w:p w14:paraId="3B3652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Запасы горючего крайне низки.</w:t>
      </w:r>
    </w:p>
    <w:p w14:paraId="2E08A1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бензоемкостей выполнено в совершенно недостаточных размерах вследствие систематического невыполнения Наркомстроем и другими строительными организациями плана строительства бензоскладов.</w:t>
      </w:r>
    </w:p>
    <w:p w14:paraId="1C3A5E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Войска исключительно слабо обеспечены тарой под горючее на военное время.</w:t>
      </w:r>
    </w:p>
    <w:p w14:paraId="06581D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Транспортировка горючего с баз снабжения в места потребления крайне затруднена из-за недостатка тары и средств перевозки и заправки. Вероятные театры военных действий не имеют в достаточном количестве баз горючего, особенно для авиации.</w:t>
      </w:r>
    </w:p>
    <w:p w14:paraId="7D6571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Отмечается отсутствие бережного отношения к сбору и регенерации отработанных масел. Так, например, из авиамасел, полученных в 1939 году, было собрано и сдано на регенерацию только 2331 тонна, что составляет 30% подлежащего сдаче на регенерацию.</w:t>
      </w:r>
    </w:p>
    <w:p w14:paraId="37B33C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Борьба за экономное расходование горючего ведется слабо, вследствие чего имеется перерасход горючего по мирному времени.</w:t>
      </w:r>
    </w:p>
    <w:p w14:paraId="7219C9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политическому управлению</w:t>
      </w:r>
    </w:p>
    <w:p w14:paraId="6251EE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Наиболее крупным недостатком политической работы в армии является то, что эта работа не была органически связана с задачами боевой подготовки, укрепления дисциплины в армии и поднятия авторитета командного состава.</w:t>
      </w:r>
    </w:p>
    <w:p w14:paraId="7C36DD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Кадры руководящего политсостава недостаточно пополнялись выросшими молодыми политработниками.</w:t>
      </w:r>
    </w:p>
    <w:p w14:paraId="5FD837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Большая часть политсостава армии не имеет достаточной военной подготовки. Политуправление не определило, какими военными знаниями должен обладать политсостав разных степеней, и до последнего времени не организовало военной подготовки всего политсостава.</w:t>
      </w:r>
    </w:p>
    <w:p w14:paraId="04C57D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программе Военно-политической академии на военные дисциплины времени отведено недостаточно.</w:t>
      </w:r>
    </w:p>
    <w:p w14:paraId="276077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Указание Всеармейского совещания политработников 1938 г., утвержденное ЦК ВКП(б), о ликвидации в двухмесячный срок «вридства» в политсоставе Политуправление не выполнило.</w:t>
      </w:r>
    </w:p>
    <w:p w14:paraId="3AD533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Политуправление с 1938 г. не выполняет установленный порядок ежегодного делового и политического аттестования политсостава и подменило его получением справок формального характера.</w:t>
      </w:r>
    </w:p>
    <w:p w14:paraId="20350C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Аттестованием кадров политсостава запаса Политуправление не занималось. Приписка политсостава запаса в связи с войной была нарушена, однако Политуправление недопустимо задерживает пересмотр приписки политсостава запаса и внесение в нее необходимых изменений.</w:t>
      </w:r>
    </w:p>
    <w:p w14:paraId="2E3D71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 армии на 1.1.40 г. имелось кандидатов партии с просроченным стажем 64 797 человек, из них с 8-летним кандидатским стажем — 3135 человек и с 10-летним стажем — 226 человек.</w:t>
      </w:r>
    </w:p>
    <w:p w14:paraId="063FFA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Политуправление нарушает установленный ЦК ВКП(б) порядок выдачи в 10-дневный срок партдокументов принятым в ВКП(б) и затягивает эту выдачу на срок до года. До сих пор не выдано еще 9166 партбилетов и 16 729 кандидатских карточек. Политуправление нарушило трехмесячный срок отчетности и не отчиталось перед ЦК ВКП(б) за 211 000 выданных партдокументов.</w:t>
      </w:r>
    </w:p>
    <w:p w14:paraId="5F7AFB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 политзанятиях с красноармейцами и начсоставом Политуправление упускало изучение сопредельных стран и их армий.</w:t>
      </w:r>
    </w:p>
    <w:p w14:paraId="0C1759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Политуправление не уделяло достаточного внимания работе среди войск и населения противника.</w:t>
      </w:r>
    </w:p>
    <w:p w14:paraId="76DDAB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В директиве об осенней проверке политзанятий 1939 года Политуправление предложило оценку их производить по группам, причем давать оценку всей группе «отлично», если в группе имеется не менее 25% отличных, 35% хороших, 30% посредственных и не более 10% плохих оценок. Такое указание по существу неправильное и толкает на путь снижения требований.</w:t>
      </w:r>
    </w:p>
    <w:p w14:paraId="311966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По решению ЦК ВКП(б) в Политуправлении создано отделение по кадрам Осоавиахима. Это отделение по Осоавиахиму почти ничего не делает и привлекается Политуправлением для выполнения других работ.</w:t>
      </w:r>
    </w:p>
    <w:p w14:paraId="36799B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Санитарная служба</w:t>
      </w:r>
    </w:p>
    <w:p w14:paraId="726013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Санитарная служба в Красной Армии, как показал опыт войны с белофиннами, оказалась недостаточно подготовленной. По вине Санитарного управления не хватало медицинских кадров, особенно хирургов, там, где они больше всего требовались.</w:t>
      </w:r>
    </w:p>
    <w:p w14:paraId="6AEAB3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Полевая подготовка медсостава кадра и запаса, особенно по вопросам военно-полевой хирургии, организации и тактики санитарной службы, оказалась неудовлетворительной. [309]</w:t>
      </w:r>
    </w:p>
    <w:p w14:paraId="48E345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Вопросы эвакуации раненых с учетом своевременного возвращения легкораненых в строй требуют переработки.</w:t>
      </w:r>
    </w:p>
    <w:p w14:paraId="51DCC3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Крупнейшим недостатком работы Санитарного управления во время советско-финляндской войны было то, что оно стояло в стороне от дела захоронения убитых на поле боя.</w:t>
      </w:r>
    </w:p>
    <w:p w14:paraId="1D331C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Установленные нормы освежения медимушества не всегда соблюдались.</w:t>
      </w:r>
    </w:p>
    <w:p w14:paraId="4CE365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Военно-учебные заведения</w:t>
      </w:r>
    </w:p>
    <w:p w14:paraId="4ABF27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Сеть высших военно-учебных заведений состоит из 16 военных академий и 10 военных факультетов, 132 сухопутных военных училищ и школ, 52 авиационных и авиатех'нических училищ и школ, находящихся в ведении Управления высших военно-учебных заведений, Управления военно-учебных заведений и Управления военно-учебных заведений ВВС.</w:t>
      </w:r>
    </w:p>
    <w:p w14:paraId="226050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Крупным недостатком программ военных академий является то, что в этих программах отводится мало времени специальным дисциплинам, что отражается на качестве подготовки.</w:t>
      </w:r>
    </w:p>
    <w:p w14:paraId="64024E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Новыми образцами вооружения военные академии и военные училища обеспечены недостаточно. В военных академиях и военных училищах отмечается низкая требовательность, имеет место завышение оценок.</w:t>
      </w:r>
    </w:p>
    <w:p w14:paraId="4787F4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слушателей в военных академиях и курсантов в военных училищах имеет ряд существенных недостатков, из коих главными являются:</w:t>
      </w:r>
    </w:p>
    <w:p w14:paraId="45C0AB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недостаточное знание материальной части;</w:t>
      </w:r>
    </w:p>
    <w:p w14:paraId="0B7DD7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недостаточность практических навыков;</w:t>
      </w:r>
    </w:p>
    <w:p w14:paraId="75C343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слабое знание иностранных языков.</w:t>
      </w:r>
    </w:p>
    <w:p w14:paraId="5F08C6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Военное изобретательство</w:t>
      </w:r>
    </w:p>
    <w:p w14:paraId="6EBC96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Военное изобретательство, выделенное в самостоятельный отдел Наркомата обороны, оторвано от управлений, ведающих вопросами вооружения и технического снабжения. Вследствие этого ценные изобретения задерживаются внедрением в армию и своевременно не реализуются.</w:t>
      </w:r>
    </w:p>
    <w:p w14:paraId="53F6D5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Отдел изобретений занимается только рассмотрением поступающих изобретений, не имея возможности самостоятельно реализовать их.</w:t>
      </w:r>
    </w:p>
    <w:p w14:paraId="3F6083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Управления НКО по своей специальности не уделяют должного внимания поступающим изобретательским предложениям.</w:t>
      </w:r>
    </w:p>
    <w:p w14:paraId="74A25B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управлению военного издательства</w:t>
      </w:r>
    </w:p>
    <w:p w14:paraId="13A7F9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плане выпуска книг Воениздатом необходимо предусмотреть издание литературы по таким актуальным вопросам боевой подготовки армии, как-то: по общей тактике, тактике мелких подразделений, службе штабов, службе тыла и по армиям сопредельных с нами стран, а также справочной литературы для начсостава специальных родов войск.</w:t>
      </w:r>
    </w:p>
    <w:p w14:paraId="2E092E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Аппарат Воениздата требует укрепления как путем освобождения его от негодных работников, так и пополнения квалифицированными военно-редакторскими кадрами.</w:t>
      </w:r>
    </w:p>
    <w:p w14:paraId="31411E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Должна быть ликвидирована практика растранжиривания средств на всякого рода авансы авторам за ненаписанные труды и гонорары за недоброкачественные рукописи.</w:t>
      </w:r>
    </w:p>
    <w:p w14:paraId="2A2DA4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Ведомость наличия основных видов вооружения по состоянию на 1 мая 1940 г. [310]</w:t>
      </w:r>
    </w:p>
    <w:p w14:paraId="3411FA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сдал — К. Ворошилов</w:t>
      </w:r>
    </w:p>
    <w:p w14:paraId="30C1E3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принял — С. Тимошенко</w:t>
      </w:r>
    </w:p>
    <w:p w14:paraId="194431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Участвовали при сдаче и приеме —</w:t>
      </w:r>
    </w:p>
    <w:p w14:paraId="681AB7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Жданов</w:t>
      </w:r>
    </w:p>
    <w:p w14:paraId="640B46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Маленков</w:t>
      </w:r>
    </w:p>
    <w:p w14:paraId="1FA58A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Вознесенский (10562).</w:t>
      </w:r>
    </w:p>
    <w:p w14:paraId="2CC94D5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A87E56"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8037584" w14:textId="77777777" w:rsidR="00470B93" w:rsidRPr="00DB5D0D" w:rsidRDefault="00470B93" w:rsidP="00DB5D0D">
      <w:pPr>
        <w:spacing w:after="0" w:line="240" w:lineRule="auto"/>
        <w:jc w:val="both"/>
        <w:rPr>
          <w:rFonts w:ascii="Times New Roman" w:hAnsi="Times New Roman"/>
          <w:iCs/>
          <w:color w:val="000000" w:themeColor="text1"/>
          <w:sz w:val="16"/>
          <w:szCs w:val="16"/>
        </w:rPr>
      </w:pPr>
    </w:p>
    <w:p w14:paraId="37C045B6" w14:textId="77777777" w:rsidR="00470B93" w:rsidRPr="00DB5D0D" w:rsidRDefault="00470B9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первой половине мая 1940 четыре экземпляра отчета по войсковым испытаниям А-34 и протокол комиссии от 20-21 апреля 1940 г. поступили на рассмотрение в АБТУ РККА. После всестороннего изучения представленных материалов, 20 мая 1940 г. начальник АБТУ РККА Д.Г. Павлов направил на утверждение народному комиссару обороны СССР С.К. Тимошенко с препроводительным письмом № 73034с первый экземпляр отчёта. Относительно вопросов, изложенных А.А. Морозовым и Р.Е. Соркиным в особых мнениях к отчету, Д.Г. Павлов доложил следующее: </w:t>
      </w:r>
    </w:p>
    <w:p w14:paraId="663F1B3A"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Расширение башни на 160 мм, без переделки погона башни и корпуса, предложенное заводом № 183 мною утверждено. С увеличением высоты башни не согласен, т.к. это ведет к увеличению цели для противника, а надобности в этом нет, ибо угол склонения –5° вперед и по бортам обеспечен. </w:t>
      </w:r>
    </w:p>
    <w:p w14:paraId="1E045E2F"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С унификацией качающихся частей орудия с танками другого класса не согласен, т.к. это приведет к увеличению веса танка Т-34. </w:t>
      </w:r>
    </w:p>
    <w:p w14:paraId="289DE9F2"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По работе главного фрикциона разногласий по существу нет, т.к. завод сам признал, что причины коробления дисков установить еще не удалось. Коробление же дисков является существенным дефектом. </w:t>
      </w:r>
    </w:p>
    <w:p w14:paraId="4D24BD95"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Ленивец </w:t>
      </w:r>
      <w:r w:rsidRPr="00DB5D0D">
        <w:rPr>
          <w:rFonts w:ascii="Times New Roman" w:hAnsi="Times New Roman"/>
          <w:color w:val="000000" w:themeColor="text1"/>
          <w:sz w:val="16"/>
          <w:szCs w:val="16"/>
        </w:rPr>
        <w:t>[механизм натяжения гусеницы]</w:t>
      </w:r>
      <w:r w:rsidRPr="00DB5D0D">
        <w:rPr>
          <w:rFonts w:ascii="Times New Roman" w:hAnsi="Times New Roman"/>
          <w:iCs/>
          <w:color w:val="000000" w:themeColor="text1"/>
          <w:sz w:val="16"/>
          <w:szCs w:val="16"/>
        </w:rPr>
        <w:t xml:space="preserve"> мною утвержден по второму варианту, с внутренним регулированием натяжения гусеницы, как наиболее прочный и защищенный от поражений. </w:t>
      </w:r>
    </w:p>
    <w:p w14:paraId="1589E0B6"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5. Установку рации настаиваю перенести в носовую часть танка, дабы освободить командира танка для ведения боя. В носовой части танка предусмотрено место радиста-стрелка. </w:t>
      </w:r>
    </w:p>
    <w:p w14:paraId="657E68F4"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6. Конструкцию смотровых приборов настаиваю переделать за счет применения металлических зеркал и триплекса. </w:t>
      </w:r>
    </w:p>
    <w:p w14:paraId="3D8D3361"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7. Прибор кругового обзора на 1940 год утвердил в том виде, как он представлен на опытных образцах. </w:t>
      </w:r>
    </w:p>
    <w:p w14:paraId="6CF8E8CD"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 первых числах июня с/г завод № 183 изготовит опытную партию (10 шт.) танков Т-34 по чертежам опытного образца. </w:t>
      </w:r>
    </w:p>
    <w:p w14:paraId="2407F523" w14:textId="77777777" w:rsidR="00470B93" w:rsidRPr="00DB5D0D" w:rsidRDefault="00470B9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Мною дано разрешение заводам Мариупольскому (по броне) и № 183 на изготовление еще 10 танков Т-34 по чертежам опытного образца, дабы тщательней отработать технологию производства к серийному выпуску. </w:t>
      </w:r>
    </w:p>
    <w:p w14:paraId="60541282" w14:textId="77777777" w:rsidR="00470B93" w:rsidRPr="00DB5D0D" w:rsidRDefault="00470B93"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Отчет Комиссии по войсковым испытаниям и мои решения прошу утвердить»</w:t>
      </w:r>
      <w:r w:rsidRPr="00DB5D0D">
        <w:rPr>
          <w:rFonts w:ascii="Times New Roman" w:hAnsi="Times New Roman"/>
          <w:color w:val="000000" w:themeColor="text1"/>
          <w:sz w:val="16"/>
          <w:szCs w:val="16"/>
        </w:rPr>
        <w:t xml:space="preserve">. </w:t>
      </w:r>
    </w:p>
    <w:p w14:paraId="1456FA6B" w14:textId="77777777" w:rsidR="00470B93" w:rsidRPr="00DB5D0D" w:rsidRDefault="00470B93" w:rsidP="00DB5D0D">
      <w:pPr>
        <w:pStyle w:val="ae"/>
        <w:spacing w:before="0" w:after="0"/>
        <w:jc w:val="both"/>
        <w:rPr>
          <w:color w:val="000000" w:themeColor="text1"/>
          <w:sz w:val="16"/>
          <w:szCs w:val="16"/>
        </w:rPr>
      </w:pPr>
      <w:r w:rsidRPr="00DB5D0D">
        <w:rPr>
          <w:bCs/>
          <w:color w:val="000000" w:themeColor="text1"/>
          <w:sz w:val="16"/>
          <w:szCs w:val="16"/>
        </w:rPr>
        <w:t>[РГВА. Ф. 31811. Оп. 2. Д. 1181. Л. 85] (18-76).</w:t>
      </w:r>
    </w:p>
    <w:p w14:paraId="67D191A4" w14:textId="77777777" w:rsidR="00470B93" w:rsidRPr="00DB5D0D" w:rsidRDefault="00470B93" w:rsidP="00DB5D0D">
      <w:pPr>
        <w:spacing w:after="0" w:line="240" w:lineRule="auto"/>
        <w:jc w:val="both"/>
        <w:rPr>
          <w:rFonts w:ascii="Times New Roman" w:hAnsi="Times New Roman"/>
          <w:color w:val="000000" w:themeColor="text1"/>
          <w:sz w:val="16"/>
          <w:szCs w:val="16"/>
        </w:rPr>
      </w:pPr>
    </w:p>
    <w:p w14:paraId="6DCD385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4F638F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4F354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 С.К.Тимошенко в своем письме № 10057 на имя заместителя Председателя Совета Народных комиссаров СССР и председателя Комитета обороны при СНК маршала К.Е.Ворошилова по поводу войсковой серии БШ-2 писал следующее:</w:t>
      </w:r>
    </w:p>
    <w:p w14:paraId="25F738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Совет при НИИ ГУАС Красной Армии рассмотрев результаты испытаний самолета БШ-2 АМ-35 конструктора т. Ильюшина, вынес заключение о постройке 65 самолетов БШ-2 АМ-35 для вооружения одного штурмового авиаполка. При испытаниях самолета БШ-2 АМ-35 выявлены серьезные летно-техничес-кие недостатки самолета, из которых основными являются:</w:t>
      </w:r>
    </w:p>
    <w:p w14:paraId="1840E3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Заниженная скорость (у земли - 350 км/час, на границе высотности - 422 км/час).</w:t>
      </w:r>
    </w:p>
    <w:p w14:paraId="0C52FF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Недостаточная дальность полета (618 к. ).</w:t>
      </w:r>
    </w:p>
    <w:p w14:paraId="672D31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Неудовлетворительный обзор вперед для летчика и штурмана.</w:t>
      </w:r>
    </w:p>
    <w:p w14:paraId="4BDFFB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Недостаточная продольная устойчивость самолета.</w:t>
      </w:r>
    </w:p>
    <w:p w14:paraId="6ACAD6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Недостаточная маневренность и управляемость вследствие большого веса.</w:t>
      </w:r>
    </w:p>
    <w:p w14:paraId="0284E1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Недоведенность мотора АМ-35.</w:t>
      </w:r>
    </w:p>
    <w:p w14:paraId="3ED2FD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Недоведенность неподвижных (крыльевых) стрелковых установок.</w:t>
      </w:r>
    </w:p>
    <w:p w14:paraId="3F65F5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что строить 65 самолетов БШ-2 АМ-35 до устранения указанных недостатков нецелесообразно, а достаточно построить лишь опытную серию для войсковых испытаний в количестве 10-15 самолетов, на которых устран итьу казанные дефекты и выявить окончательную боевую пригодность самолета БШ-2 АМ-35.</w:t>
      </w:r>
    </w:p>
    <w:p w14:paraId="458A06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докладываю, что в настоящее время находится в производстве опытный самолет БШ-М-71 аналогичного класса конструктора Сухого (Постановлением КО №107 от 4 марта 1940 г. П.О.Сухому поручалась постройка одноместного бронированного штурмовика с мотором М-71), расчетные данные которого выше, чем у самолета БШ-2, а именно:</w:t>
      </w:r>
    </w:p>
    <w:p w14:paraId="5B2D11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у земли -510 км/час.</w:t>
      </w:r>
    </w:p>
    <w:p w14:paraId="6AFB98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- 800 клм.</w:t>
      </w:r>
    </w:p>
    <w:p w14:paraId="5103D4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при перегрузке - 1200 клм. Вооружение стрелковое - 4 пулемета 7,62 мм.</w:t>
      </w:r>
    </w:p>
    <w:p w14:paraId="1AFC26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бомбардировочн. - 120-200 кг.</w:t>
      </w:r>
    </w:p>
    <w:p w14:paraId="566BC9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должен быть предъявлен на госиспытания 15 ноября 1940 года.</w:t>
      </w:r>
    </w:p>
    <w:p w14:paraId="001DE5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решения» (9649).</w:t>
      </w:r>
    </w:p>
    <w:p w14:paraId="15F9591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DB33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 нарком обороны маршал С.К.Тимошенко в своем письме № 10057 на имя заместителя Председателя Совета На</w:t>
      </w:r>
      <w:r w:rsidRPr="00DB5D0D">
        <w:rPr>
          <w:rFonts w:ascii="Times New Roman" w:hAnsi="Times New Roman"/>
          <w:color w:val="000000" w:themeColor="text1"/>
          <w:sz w:val="16"/>
          <w:szCs w:val="16"/>
        </w:rPr>
        <w:softHyphen/>
        <w:t>родных комиссаров СССР и председателя КО при СНК маршала К.Е.Вороши</w:t>
      </w:r>
      <w:r w:rsidRPr="00DB5D0D">
        <w:rPr>
          <w:rFonts w:ascii="Times New Roman" w:hAnsi="Times New Roman"/>
          <w:color w:val="000000" w:themeColor="text1"/>
          <w:sz w:val="16"/>
          <w:szCs w:val="16"/>
        </w:rPr>
        <w:softHyphen/>
        <w:t>лова по поводу войсковой серии БШ-2 писал следующее:</w:t>
      </w:r>
    </w:p>
    <w:p w14:paraId="094DD8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"Технический Совет при НИИ ГУАС Красной Армии, рассмотрев результа</w:t>
      </w:r>
      <w:r w:rsidRPr="00DB5D0D">
        <w:rPr>
          <w:rFonts w:ascii="Times New Roman" w:hAnsi="Times New Roman"/>
          <w:iCs/>
          <w:color w:val="000000" w:themeColor="text1"/>
          <w:sz w:val="16"/>
          <w:szCs w:val="16"/>
        </w:rPr>
        <w:softHyphen/>
        <w:t>ты испытаний самолета БШ-2 АМ-35 конструктора т. Ильюшина, вынес зак</w:t>
      </w:r>
      <w:r w:rsidRPr="00DB5D0D">
        <w:rPr>
          <w:rFonts w:ascii="Times New Roman" w:hAnsi="Times New Roman"/>
          <w:iCs/>
          <w:color w:val="000000" w:themeColor="text1"/>
          <w:sz w:val="16"/>
          <w:szCs w:val="16"/>
        </w:rPr>
        <w:softHyphen/>
        <w:t>лючение о постройке 65 самолетов БШ-2 АМ-35 для вооружения одного штурмового авиаполка. При испыта</w:t>
      </w:r>
      <w:r w:rsidRPr="00DB5D0D">
        <w:rPr>
          <w:rFonts w:ascii="Times New Roman" w:hAnsi="Times New Roman"/>
          <w:iCs/>
          <w:color w:val="000000" w:themeColor="text1"/>
          <w:sz w:val="16"/>
          <w:szCs w:val="16"/>
        </w:rPr>
        <w:softHyphen/>
        <w:t>ниях самолета БШ-2 АМ-35 выявлены серьезные летно-технические недо</w:t>
      </w:r>
      <w:r w:rsidRPr="00DB5D0D">
        <w:rPr>
          <w:rFonts w:ascii="Times New Roman" w:hAnsi="Times New Roman"/>
          <w:iCs/>
          <w:color w:val="000000" w:themeColor="text1"/>
          <w:sz w:val="16"/>
          <w:szCs w:val="16"/>
        </w:rPr>
        <w:softHyphen/>
        <w:t>статки самолета... Считаю, что строить 65 самолетов БШ-2 АМ-35... нецеле</w:t>
      </w:r>
      <w:r w:rsidRPr="00DB5D0D">
        <w:rPr>
          <w:rFonts w:ascii="Times New Roman" w:hAnsi="Times New Roman"/>
          <w:iCs/>
          <w:color w:val="000000" w:themeColor="text1"/>
          <w:sz w:val="16"/>
          <w:szCs w:val="16"/>
        </w:rPr>
        <w:softHyphen/>
        <w:t>сообразно, а достаточно построить лишь опытную серию для войсковых испытаний в количестве 10-15 само</w:t>
      </w:r>
      <w:r w:rsidRPr="00DB5D0D">
        <w:rPr>
          <w:rFonts w:ascii="Times New Roman" w:hAnsi="Times New Roman"/>
          <w:iCs/>
          <w:color w:val="000000" w:themeColor="text1"/>
          <w:sz w:val="16"/>
          <w:szCs w:val="16"/>
        </w:rPr>
        <w:softHyphen/>
        <w:t>летов, на которых устранить...дефек</w:t>
      </w:r>
      <w:r w:rsidRPr="00DB5D0D">
        <w:rPr>
          <w:rFonts w:ascii="Times New Roman" w:hAnsi="Times New Roman"/>
          <w:iCs/>
          <w:color w:val="000000" w:themeColor="text1"/>
          <w:sz w:val="16"/>
          <w:szCs w:val="16"/>
        </w:rPr>
        <w:softHyphen/>
        <w:t>ты и выявить окончательную боевую пригодность самолета БШ-2 АМ-35. При этом докладываю, что в настоя</w:t>
      </w:r>
      <w:r w:rsidRPr="00DB5D0D">
        <w:rPr>
          <w:rFonts w:ascii="Times New Roman" w:hAnsi="Times New Roman"/>
          <w:iCs/>
          <w:color w:val="000000" w:themeColor="text1"/>
          <w:sz w:val="16"/>
          <w:szCs w:val="16"/>
        </w:rPr>
        <w:softHyphen/>
        <w:t>щее время находится в производстве опытный самолет БШ-М-71 аналогич</w:t>
      </w:r>
      <w:r w:rsidRPr="00DB5D0D">
        <w:rPr>
          <w:rFonts w:ascii="Times New Roman" w:hAnsi="Times New Roman"/>
          <w:iCs/>
          <w:color w:val="000000" w:themeColor="text1"/>
          <w:sz w:val="16"/>
          <w:szCs w:val="16"/>
        </w:rPr>
        <w:softHyphen/>
        <w:t>ного класса конструктора Сухого (По</w:t>
      </w:r>
      <w:r w:rsidRPr="00DB5D0D">
        <w:rPr>
          <w:rFonts w:ascii="Times New Roman" w:hAnsi="Times New Roman"/>
          <w:iCs/>
          <w:color w:val="000000" w:themeColor="text1"/>
          <w:sz w:val="16"/>
          <w:szCs w:val="16"/>
        </w:rPr>
        <w:softHyphen/>
        <w:t>становлением КО</w:t>
      </w:r>
      <w:r w:rsidRPr="00DB5D0D">
        <w:rPr>
          <w:rFonts w:ascii="Times New Roman" w:hAnsi="Times New Roman"/>
          <w:color w:val="000000" w:themeColor="text1"/>
          <w:sz w:val="16"/>
          <w:szCs w:val="16"/>
        </w:rPr>
        <w:t xml:space="preserve"> Л/о </w:t>
      </w:r>
      <w:r w:rsidRPr="00DB5D0D">
        <w:rPr>
          <w:rFonts w:ascii="Times New Roman" w:hAnsi="Times New Roman"/>
          <w:iCs/>
          <w:color w:val="000000" w:themeColor="text1"/>
          <w:sz w:val="16"/>
          <w:szCs w:val="16"/>
        </w:rPr>
        <w:t>107 от 04.03.40 г. П. О. Сухому поручалась постройка од</w:t>
      </w:r>
      <w:r w:rsidRPr="00DB5D0D">
        <w:rPr>
          <w:rFonts w:ascii="Times New Roman" w:hAnsi="Times New Roman"/>
          <w:iCs/>
          <w:color w:val="000000" w:themeColor="text1"/>
          <w:sz w:val="16"/>
          <w:szCs w:val="16"/>
        </w:rPr>
        <w:softHyphen/>
        <w:t>номестного бронированного штурмо</w:t>
      </w:r>
      <w:r w:rsidRPr="00DB5D0D">
        <w:rPr>
          <w:rFonts w:ascii="Times New Roman" w:hAnsi="Times New Roman"/>
          <w:iCs/>
          <w:color w:val="000000" w:themeColor="text1"/>
          <w:sz w:val="16"/>
          <w:szCs w:val="16"/>
        </w:rPr>
        <w:softHyphen/>
        <w:t>вика с мотором М-71 -</w:t>
      </w:r>
      <w:r w:rsidRPr="00DB5D0D">
        <w:rPr>
          <w:rFonts w:ascii="Times New Roman" w:hAnsi="Times New Roman"/>
          <w:bCs/>
          <w:iCs/>
          <w:color w:val="000000" w:themeColor="text1"/>
          <w:sz w:val="16"/>
          <w:szCs w:val="16"/>
        </w:rPr>
        <w:t xml:space="preserve"> авт.),</w:t>
      </w:r>
      <w:r w:rsidRPr="00DB5D0D">
        <w:rPr>
          <w:rFonts w:ascii="Times New Roman" w:hAnsi="Times New Roman"/>
          <w:iCs/>
          <w:color w:val="000000" w:themeColor="text1"/>
          <w:sz w:val="16"/>
          <w:szCs w:val="16"/>
        </w:rPr>
        <w:t xml:space="preserve"> расчет</w:t>
      </w:r>
      <w:r w:rsidRPr="00DB5D0D">
        <w:rPr>
          <w:rFonts w:ascii="Times New Roman" w:hAnsi="Times New Roman"/>
          <w:iCs/>
          <w:color w:val="000000" w:themeColor="text1"/>
          <w:sz w:val="16"/>
          <w:szCs w:val="16"/>
        </w:rPr>
        <w:softHyphen/>
        <w:t>ные данные которого выше, чем у са</w:t>
      </w:r>
      <w:r w:rsidRPr="00DB5D0D">
        <w:rPr>
          <w:rFonts w:ascii="Times New Roman" w:hAnsi="Times New Roman"/>
          <w:iCs/>
          <w:color w:val="000000" w:themeColor="text1"/>
          <w:sz w:val="16"/>
          <w:szCs w:val="16"/>
        </w:rPr>
        <w:softHyphen/>
        <w:t>молета БШ-2... Первый экземпляр должен быть предъявлен на гос. испытания 15 ноября 1940 года. Прошу Ва</w:t>
      </w:r>
      <w:r w:rsidRPr="00DB5D0D">
        <w:rPr>
          <w:rFonts w:ascii="Times New Roman" w:hAnsi="Times New Roman"/>
          <w:iCs/>
          <w:color w:val="000000" w:themeColor="text1"/>
          <w:sz w:val="16"/>
          <w:szCs w:val="16"/>
        </w:rPr>
        <w:softHyphen/>
        <w:t>шего решения"</w:t>
      </w:r>
      <w:r w:rsidRPr="00DB5D0D">
        <w:rPr>
          <w:rFonts w:ascii="Times New Roman" w:hAnsi="Times New Roman"/>
          <w:color w:val="000000" w:themeColor="text1"/>
          <w:sz w:val="16"/>
          <w:szCs w:val="16"/>
        </w:rPr>
        <w:t xml:space="preserve"> (6467).</w:t>
      </w:r>
    </w:p>
    <w:p w14:paraId="0A82D2A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D6F8DB" w14:textId="77777777" w:rsidR="00472C06" w:rsidRPr="00DB5D0D" w:rsidRDefault="00472C06"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16 мая 1940 нарком обороны маршал С.К.Тимошенко в своем письме на имя заместителя председателя Совета Народных комиссаров СССР и председателя Комитета Обороны мар</w:t>
      </w:r>
      <w:r w:rsidRPr="00DB5D0D">
        <w:rPr>
          <w:rStyle w:val="174"/>
          <w:rFonts w:ascii="Times New Roman" w:hAnsi="Times New Roman" w:cs="Times New Roman"/>
          <w:i w:val="0"/>
          <w:color w:val="000000" w:themeColor="text1"/>
          <w:sz w:val="16"/>
          <w:szCs w:val="16"/>
        </w:rPr>
        <w:softHyphen/>
        <w:t>шала Ворошилова по поводу войсковой серии БШ-2 писал следующее:«</w:t>
      </w:r>
      <w:r w:rsidRPr="00DB5D0D">
        <w:rPr>
          <w:rFonts w:ascii="Times New Roman" w:hAnsi="Times New Roman"/>
          <w:color w:val="000000" w:themeColor="text1"/>
          <w:sz w:val="16"/>
          <w:szCs w:val="16"/>
        </w:rPr>
        <w:t>Техниче</w:t>
      </w:r>
      <w:r w:rsidRPr="00DB5D0D">
        <w:rPr>
          <w:rFonts w:ascii="Times New Roman" w:hAnsi="Times New Roman"/>
          <w:color w:val="000000" w:themeColor="text1"/>
          <w:sz w:val="16"/>
          <w:szCs w:val="16"/>
        </w:rPr>
        <w:softHyphen/>
        <w:t>ский Совет при НИИ ГУАС Красной Армии, рассмотрев результаты испытаний самолета БШ-2 АМ-35 конструктора т. Ильюшина, вынес заключение о постройке 65 самолетов БШ-2 АМ-35 для вооружения одного штурмового авиаполка. При испытаниях самолета БШ-2 АМ-35 выявлены серьезные летно-технические недостатки самолета, из которых основными являются:</w:t>
      </w:r>
    </w:p>
    <w:p w14:paraId="6D15C673" w14:textId="77777777" w:rsidR="00472C06" w:rsidRPr="00DB5D0D" w:rsidRDefault="00472C06" w:rsidP="00DB5D0D">
      <w:pPr>
        <w:tabs>
          <w:tab w:val="left" w:pos="48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Заниженная скорость (у земли - 350 км/час, на границе высотности - 422 км/час).</w:t>
      </w:r>
    </w:p>
    <w:p w14:paraId="776B1479" w14:textId="77777777" w:rsidR="00472C06" w:rsidRPr="00DB5D0D" w:rsidRDefault="00472C06" w:rsidP="00DB5D0D">
      <w:pPr>
        <w:tabs>
          <w:tab w:val="left" w:pos="48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Недостаточная дальность полета (618 к.).</w:t>
      </w:r>
    </w:p>
    <w:p w14:paraId="61FD58F8" w14:textId="77777777" w:rsidR="00472C06" w:rsidRPr="00DB5D0D" w:rsidRDefault="00472C06" w:rsidP="00DB5D0D">
      <w:pPr>
        <w:tabs>
          <w:tab w:val="left" w:pos="48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Неудовлетворительный обзор вперед для летчика и штурмана.</w:t>
      </w:r>
    </w:p>
    <w:p w14:paraId="4F4B1B67" w14:textId="77777777" w:rsidR="00472C06" w:rsidRPr="00DB5D0D" w:rsidRDefault="00472C06" w:rsidP="00DB5D0D">
      <w:pPr>
        <w:tabs>
          <w:tab w:val="left" w:pos="48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Недостаточная продольная устой</w:t>
      </w:r>
      <w:r w:rsidRPr="00DB5D0D">
        <w:rPr>
          <w:rFonts w:ascii="Times New Roman" w:hAnsi="Times New Roman"/>
          <w:color w:val="000000" w:themeColor="text1"/>
          <w:sz w:val="16"/>
          <w:szCs w:val="16"/>
        </w:rPr>
        <w:softHyphen/>
        <w:t>чивость самолета.</w:t>
      </w:r>
    </w:p>
    <w:p w14:paraId="0F671B2F" w14:textId="77777777" w:rsidR="00472C06" w:rsidRPr="00DB5D0D" w:rsidRDefault="00472C06" w:rsidP="00DB5D0D">
      <w:pPr>
        <w:tabs>
          <w:tab w:val="left" w:pos="4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Недостаточная маневренность и управляемость вследствие большого веса.</w:t>
      </w:r>
    </w:p>
    <w:p w14:paraId="018A889C" w14:textId="77777777" w:rsidR="00472C06" w:rsidRPr="00DB5D0D" w:rsidRDefault="00472C06" w:rsidP="00DB5D0D">
      <w:pPr>
        <w:tabs>
          <w:tab w:val="left" w:pos="48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Недоведенность мотора АМ-35.</w:t>
      </w:r>
    </w:p>
    <w:p w14:paraId="3AA7746E" w14:textId="77777777" w:rsidR="00472C06" w:rsidRPr="00DB5D0D" w:rsidRDefault="00472C06" w:rsidP="00DB5D0D">
      <w:pPr>
        <w:tabs>
          <w:tab w:val="left" w:pos="48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Недоведенность неподвижных (крыльевых) стрелковых установок.</w:t>
      </w:r>
    </w:p>
    <w:p w14:paraId="452A7CCC" w14:textId="77777777" w:rsidR="00472C06" w:rsidRPr="00DB5D0D" w:rsidRDefault="00472C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Считаю, что строить 65 самолетов БШ-2 АМ-35 до устранения указанных недостатков нецелесообразно, а доста</w:t>
      </w:r>
      <w:r w:rsidRPr="00DB5D0D">
        <w:rPr>
          <w:rFonts w:ascii="Times New Roman" w:hAnsi="Times New Roman"/>
          <w:color w:val="000000" w:themeColor="text1"/>
          <w:sz w:val="16"/>
          <w:szCs w:val="16"/>
        </w:rPr>
        <w:softHyphen/>
        <w:t>точно построить лишь опытную серию для войсковых испытаний в количестве 10-15 самолетов, на которых устранить указанные дефекты и выявить оконча</w:t>
      </w:r>
      <w:r w:rsidRPr="00DB5D0D">
        <w:rPr>
          <w:rFonts w:ascii="Times New Roman" w:hAnsi="Times New Roman"/>
          <w:color w:val="000000" w:themeColor="text1"/>
          <w:sz w:val="16"/>
          <w:szCs w:val="16"/>
        </w:rPr>
        <w:softHyphen/>
        <w:t>тельную боевую пригодность самолета БШ-2 АМ-35.</w:t>
      </w:r>
    </w:p>
    <w:p w14:paraId="0A028570" w14:textId="77777777" w:rsidR="00472C06" w:rsidRPr="00DB5D0D" w:rsidRDefault="00472C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докладываю, что в насто</w:t>
      </w:r>
      <w:r w:rsidRPr="00DB5D0D">
        <w:rPr>
          <w:rFonts w:ascii="Times New Roman" w:hAnsi="Times New Roman"/>
          <w:color w:val="000000" w:themeColor="text1"/>
          <w:sz w:val="16"/>
          <w:szCs w:val="16"/>
        </w:rPr>
        <w:softHyphen/>
        <w:t>ящее время находится в производстве опытный самолет БШ-М-71 аналогичного класса конструктора т. Сухого, расчетные данные которого выше, чем у самолета БШ-2, а именно:</w:t>
      </w:r>
    </w:p>
    <w:p w14:paraId="1DC5DFAC" w14:textId="77777777" w:rsidR="00472C06" w:rsidRPr="00DB5D0D" w:rsidRDefault="00472C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у земли -510 км/час.</w:t>
      </w:r>
    </w:p>
    <w:p w14:paraId="4B2295FC" w14:textId="77777777" w:rsidR="00472C06" w:rsidRPr="00DB5D0D" w:rsidRDefault="00472C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- 800 клм.</w:t>
      </w:r>
    </w:p>
    <w:p w14:paraId="08E0CFD9" w14:textId="77777777" w:rsidR="00472C06" w:rsidRPr="00DB5D0D" w:rsidRDefault="00472C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при перегрузке -1200 клм.</w:t>
      </w:r>
    </w:p>
    <w:p w14:paraId="33926F81" w14:textId="77777777" w:rsidR="00472C06" w:rsidRPr="00DB5D0D" w:rsidRDefault="00472C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стрелковое - 4 пулемета 7,62 мм</w:t>
      </w:r>
    </w:p>
    <w:p w14:paraId="13CC8022" w14:textId="77777777" w:rsidR="00472C06" w:rsidRPr="00DB5D0D" w:rsidRDefault="00472C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бомбардировочн. -120-200 кг.</w:t>
      </w:r>
    </w:p>
    <w:p w14:paraId="275C4AC8" w14:textId="77777777" w:rsidR="00472C06" w:rsidRPr="00DB5D0D" w:rsidRDefault="00472C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самолета должен быть предъявлен на госиспытания 15 ноября 1940 г.</w:t>
      </w:r>
    </w:p>
    <w:p w14:paraId="1AAD9780" w14:textId="77777777" w:rsidR="00472C06" w:rsidRPr="00DB5D0D" w:rsidRDefault="00472C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решения» (19087).</w:t>
      </w:r>
    </w:p>
    <w:p w14:paraId="1099CFDC" w14:textId="77777777" w:rsidR="00472C06" w:rsidRPr="00DB5D0D" w:rsidRDefault="00472C06" w:rsidP="00DB5D0D">
      <w:pPr>
        <w:spacing w:after="0" w:line="240" w:lineRule="auto"/>
        <w:jc w:val="both"/>
        <w:rPr>
          <w:rFonts w:ascii="Times New Roman" w:hAnsi="Times New Roman"/>
          <w:color w:val="000000" w:themeColor="text1"/>
          <w:sz w:val="16"/>
          <w:szCs w:val="16"/>
        </w:rPr>
      </w:pPr>
    </w:p>
    <w:p w14:paraId="08D34E71" w14:textId="77777777" w:rsidR="00AA5B6A" w:rsidRPr="00DB5D0D" w:rsidRDefault="00AA5B6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в докладной записке от председателю Комитета обороны маршалу Ворошилову Тимошенко писал: "Технический Совет при НИИ ГУАС Красной Армии, рассмотрев результаты испытаний самолета БШ-2 АМ-35 конструктора т. Ильюшина, вынес заключение о постройке 65 самолетов БШ-2 АМ-35 для вооружения одного штурмового авиаполка. При испытаниях самолета БШ-2 АМ-35 выявлены серьезные летно-технические недостатки самолета, из которых основными являются:</w:t>
      </w:r>
    </w:p>
    <w:p w14:paraId="2D750D5C" w14:textId="77777777" w:rsidR="00AA5B6A" w:rsidRPr="00DB5D0D" w:rsidRDefault="00AA5B6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Заниженная скорость (у земли - 350 км/час, на границе высотности - 422 км/час).</w:t>
      </w:r>
    </w:p>
    <w:p w14:paraId="7E8E40C2" w14:textId="77777777" w:rsidR="00AA5B6A" w:rsidRPr="00DB5D0D" w:rsidRDefault="00AA5B6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Недостаточная дальность полета (618 км).</w:t>
      </w:r>
    </w:p>
    <w:p w14:paraId="3257577A" w14:textId="77777777" w:rsidR="00AA5B6A" w:rsidRPr="00DB5D0D" w:rsidRDefault="00AA5B6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Неудовлетворительный обзор вперед для летчика и штурмана.</w:t>
      </w:r>
    </w:p>
    <w:p w14:paraId="5BC3A6AE" w14:textId="77777777" w:rsidR="00AA5B6A" w:rsidRPr="00DB5D0D" w:rsidRDefault="00AA5B6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Недостаточная продольная устойчивость самолета.</w:t>
      </w:r>
    </w:p>
    <w:p w14:paraId="7BDE465C" w14:textId="77777777" w:rsidR="00AA5B6A" w:rsidRPr="00DB5D0D" w:rsidRDefault="00AA5B6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Недостаточная маневренность и управляемость вследствие большого веса.</w:t>
      </w:r>
    </w:p>
    <w:p w14:paraId="193E3FDE" w14:textId="77777777" w:rsidR="00AA5B6A" w:rsidRPr="00DB5D0D" w:rsidRDefault="00AA5B6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Недоведенность мотора АМ-35.</w:t>
      </w:r>
    </w:p>
    <w:p w14:paraId="0424F8A6" w14:textId="77777777" w:rsidR="00AA5B6A" w:rsidRPr="00DB5D0D" w:rsidRDefault="00AA5B6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Недоведенность неподвижных (крыльевых) стрелковых установок.</w:t>
      </w:r>
    </w:p>
    <w:p w14:paraId="1963B958" w14:textId="77777777" w:rsidR="00AA5B6A" w:rsidRPr="00DB5D0D" w:rsidRDefault="00AA5B6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что строить 65 самолетов БШ-2 АМ-35 до устранения указанных недостатков нецелесообразно, а достаточно построить лишь опытную серию для войсковых испытаний в количестве 10-15 самолетов, на которых устранить указанные дефекты и выявить окончательную боевую пригодность самолета БШ-2 АМ-35... Прошу Вашего решения" (12020).</w:t>
      </w:r>
    </w:p>
    <w:p w14:paraId="21CA31EC" w14:textId="77777777" w:rsidR="00AA5B6A" w:rsidRPr="00DB5D0D" w:rsidRDefault="00AA5B6A" w:rsidP="00DB5D0D">
      <w:pPr>
        <w:spacing w:after="0" w:line="240" w:lineRule="auto"/>
        <w:jc w:val="both"/>
        <w:rPr>
          <w:rFonts w:ascii="Times New Roman" w:hAnsi="Times New Roman"/>
          <w:color w:val="000000" w:themeColor="text1"/>
          <w:sz w:val="16"/>
          <w:szCs w:val="16"/>
        </w:rPr>
      </w:pPr>
    </w:p>
    <w:p w14:paraId="77C7F3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 Тимошенко писал письмо N 16457с Ворошилову.</w:t>
      </w:r>
    </w:p>
    <w:p w14:paraId="4CE4BB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Совет при НИИ ГУАС рассмотрев отчет по гос. испытаниям самолета ББ-1 с мотором М-88 конструкции Сухого вынес заключение:</w:t>
      </w:r>
    </w:p>
    <w:p w14:paraId="7DFE2F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Необходимый для вооружения ВВС самолет ББ-1 с мотором М-88 из-за недоведенности винтомоторной группы не может быть допущен для нормальной эксплуатации в строевых частях ВВС.</w:t>
      </w:r>
    </w:p>
    <w:p w14:paraId="1B770D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Медленная работа по внедрению самолета ББ-1 в строевые части ВВС из-за недоведенности винтомоторной группы может привести к устареванию самолета в процессе его производства и доводки.</w:t>
      </w:r>
    </w:p>
    <w:p w14:paraId="4153C6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15-е мая 1940 г. заводами НКАП всего изготовлено: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52F0059C" w14:textId="77777777" w:rsidTr="009223E5">
        <w:tc>
          <w:tcPr>
            <w:tcW w:w="5749" w:type="dxa"/>
            <w:tcBorders>
              <w:top w:val="single" w:sz="12" w:space="0" w:color="auto"/>
            </w:tcBorders>
          </w:tcPr>
          <w:p w14:paraId="45FD13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Самолетов ББ-1 с </w:t>
            </w:r>
          </w:p>
        </w:tc>
        <w:tc>
          <w:tcPr>
            <w:tcW w:w="5749" w:type="dxa"/>
            <w:tcBorders>
              <w:top w:val="single" w:sz="12" w:space="0" w:color="auto"/>
            </w:tcBorders>
          </w:tcPr>
          <w:p w14:paraId="18ECE3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М-87Б - 5 </w:t>
            </w:r>
          </w:p>
        </w:tc>
      </w:tr>
      <w:tr w:rsidR="007D5DF8" w:rsidRPr="00DB5D0D" w14:paraId="3736033C" w14:textId="77777777" w:rsidTr="009223E5">
        <w:tc>
          <w:tcPr>
            <w:tcW w:w="5749" w:type="dxa"/>
          </w:tcPr>
          <w:p w14:paraId="5D1412B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49" w:type="dxa"/>
          </w:tcPr>
          <w:p w14:paraId="661E65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М-88 - 15</w:t>
            </w:r>
          </w:p>
        </w:tc>
      </w:tr>
      <w:tr w:rsidR="007D5DF8" w:rsidRPr="00DB5D0D" w14:paraId="7DC1E84C" w14:textId="77777777" w:rsidTr="009223E5">
        <w:tc>
          <w:tcPr>
            <w:tcW w:w="5749" w:type="dxa"/>
            <w:tcBorders>
              <w:bottom w:val="single" w:sz="12" w:space="0" w:color="auto"/>
            </w:tcBorders>
          </w:tcPr>
          <w:p w14:paraId="2E26E0A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24842D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находится в сборке - 7</w:t>
            </w:r>
          </w:p>
        </w:tc>
      </w:tr>
    </w:tbl>
    <w:p w14:paraId="12F9A6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Основными дефектами самолета ББ-1 с М-88 являются:</w:t>
      </w:r>
    </w:p>
    <w:p w14:paraId="0E8364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Ненадежность мотора М-88.</w:t>
      </w:r>
    </w:p>
    <w:p w14:paraId="61C096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Неотработанность винтомоторной группы по температурным режимам.</w:t>
      </w:r>
    </w:p>
    <w:p w14:paraId="3451D3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Установка более мощного мотора М-88 вместо мотора М-87 себя не оправдала, максимальные скорости самолета остались без изменения (468 км/час), а расходы горючего увеличились до 35%.</w:t>
      </w:r>
    </w:p>
    <w:p w14:paraId="421F0D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необходимым:</w:t>
      </w:r>
    </w:p>
    <w:p w14:paraId="3C505C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До полной доведенности винтомоторной группы с мотором М-88, выпуск самолетов ББ-1 производить с мотором М-87.</w:t>
      </w:r>
    </w:p>
    <w:p w14:paraId="71EA88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ББ-1 с мотором М-87 прошел удовлетворительно гос. испытания в НИИ ГУАС в апреле 1939 г.</w:t>
      </w:r>
    </w:p>
    <w:p w14:paraId="4D7AA0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НКАП к 1 июля 1940 г.:</w:t>
      </w:r>
    </w:p>
    <w:p w14:paraId="7473C0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Довести мотор М-88 до надежного в эксплуатации состояния со сроком службы не менее 100 часов.</w:t>
      </w:r>
    </w:p>
    <w:p w14:paraId="17AFC7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Довести винтомоторную группу самолета ББ-1 с М-88 по температурным режимам.</w:t>
      </w:r>
    </w:p>
    <w:p w14:paraId="4D8677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Довести скорости самолета ББ-1 с М-88 до расчетных (500 км/час) (3444,7-8).</w:t>
      </w:r>
    </w:p>
    <w:p w14:paraId="3A9A0A6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B2B8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Зам. наркома Хруничев писал Нач. ГУАС Алексееву письмо N 2993 (1305,253).</w:t>
      </w:r>
    </w:p>
    <w:p w14:paraId="346D5A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126 не сдаются готовые самолеты ДБ-3, т.к. военпред отказывается принимать их без новых турельных установок МВ-2 и МВ-3, РПК Чайка и хвостовой огневой защиты.</w:t>
      </w:r>
    </w:p>
    <w:p w14:paraId="62442A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что согласно договорных обязательств завод 126 должен был сдать в 1 кв. 50 самолетов по старым условиям, со старыми турелями и компасом, а сдал лишь 18, при наличии значительного задела, а также считаясь с тем, что новые турели МВ-2 и МВ-3 с полукомпас Чайка стали выпускаться лишь с апреля 1940 и отправленные количества еще не поступили на завод 126, прошу Вашего телеграфного распоряжения военпреду завода 126 принять еще 40 самолетов ДБ-3 по условиям приемки первых 18 шт. в 1 кв. 1940 (1305,253).</w:t>
      </w:r>
    </w:p>
    <w:p w14:paraId="6C10026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393D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 Начальник НИИ ГУАС дивинженер Филин и Военком НИИ ГУАС полковой комиссар Холопцев утвердили Отчет по сравнительным испытаниям двух самолетов ББ-22 с 2М-103 №№ 1003 и 1033</w:t>
      </w:r>
    </w:p>
    <w:p w14:paraId="57EFA8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2024DC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Холопов</w:t>
      </w:r>
    </w:p>
    <w:p w14:paraId="413CC2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Летчики-испытатели капитаны Шеварев и Сыроегин</w:t>
      </w:r>
    </w:p>
    <w:p w14:paraId="5306FD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E33920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Снять сравнительные характеристики самолетов с удлиненными и расширенными воздушными каналами для водо- и маслорадиаторов.</w:t>
      </w:r>
    </w:p>
    <w:p w14:paraId="2B77342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разницу в температурных режимах винтомоторных групп этих же самолетов.</w:t>
      </w:r>
    </w:p>
    <w:p w14:paraId="171862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1D85F5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на самолет 1033 дополнительного маслорадиатора 8 дюймов не улучшила, а ухудшила работу системы и не вызывается необходимостью (4532).</w:t>
      </w:r>
    </w:p>
    <w:p w14:paraId="372339A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682E2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 Начальник ГУАС комдив Алексеев и Военком ГУАС бригадный комиссар Князев утвердили Тактико-технические требования к самолету пикирующему бомбардировщику «ФБ» с двумя моторами (6622).</w:t>
      </w:r>
    </w:p>
    <w:p w14:paraId="00BEC67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Часть I</w:t>
      </w:r>
    </w:p>
    <w:p w14:paraId="31D07D3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Строящая организация – завод № 156</w:t>
      </w:r>
    </w:p>
    <w:p w14:paraId="2660E42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самолета</w:t>
      </w:r>
    </w:p>
    <w:p w14:paraId="6E1E69F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r w:rsidRPr="00DB5D0D">
        <w:rPr>
          <w:rFonts w:ascii="Times New Roman" w:hAnsi="Times New Roman"/>
          <w:color w:val="000000" w:themeColor="text1"/>
          <w:sz w:val="16"/>
          <w:szCs w:val="16"/>
        </w:rPr>
        <w:tab/>
        <w:t>Самолет «ФБ» предназначается для бомбардирования с больших и средних высот с пикирующего полета:</w:t>
      </w:r>
    </w:p>
    <w:p w14:paraId="1FD472ED" w14:textId="77777777" w:rsidR="00A25AD1" w:rsidRPr="00DB5D0D" w:rsidRDefault="00A25AD1" w:rsidP="00DB5D0D">
      <w:pPr>
        <w:pStyle w:val="a3"/>
        <w:widowControl/>
        <w:tabs>
          <w:tab w:val="left" w:pos="360"/>
          <w:tab w:val="left" w:pos="11199"/>
        </w:tabs>
        <w:rPr>
          <w:color w:val="000000" w:themeColor="text1"/>
          <w:lang w:val="ru-RU"/>
        </w:rPr>
      </w:pPr>
      <w:r w:rsidRPr="00DB5D0D">
        <w:rPr>
          <w:color w:val="000000" w:themeColor="text1"/>
          <w:lang w:val="ru-RU"/>
        </w:rPr>
        <w:t>1.1.</w:t>
      </w:r>
      <w:r w:rsidRPr="00DB5D0D">
        <w:rPr>
          <w:color w:val="000000" w:themeColor="text1"/>
          <w:lang w:val="ru-RU"/>
        </w:rPr>
        <w:tab/>
        <w:t>Особо важных военных и промышленных сооружений.</w:t>
      </w:r>
    </w:p>
    <w:p w14:paraId="3449BAE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r w:rsidRPr="00DB5D0D">
        <w:rPr>
          <w:rFonts w:ascii="Times New Roman" w:hAnsi="Times New Roman"/>
          <w:color w:val="000000" w:themeColor="text1"/>
          <w:sz w:val="16"/>
          <w:szCs w:val="16"/>
        </w:rPr>
        <w:tab/>
        <w:t>Ж/д путей и сооружений.</w:t>
      </w:r>
    </w:p>
    <w:p w14:paraId="0B93EA5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r w:rsidRPr="00DB5D0D">
        <w:rPr>
          <w:rFonts w:ascii="Times New Roman" w:hAnsi="Times New Roman"/>
          <w:color w:val="000000" w:themeColor="text1"/>
          <w:sz w:val="16"/>
          <w:szCs w:val="16"/>
        </w:rPr>
        <w:tab/>
        <w:t>Стоянок самолетов на земле.</w:t>
      </w:r>
    </w:p>
    <w:p w14:paraId="4492BF5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r w:rsidRPr="00DB5D0D">
        <w:rPr>
          <w:rFonts w:ascii="Times New Roman" w:hAnsi="Times New Roman"/>
          <w:color w:val="000000" w:themeColor="text1"/>
          <w:sz w:val="16"/>
          <w:szCs w:val="16"/>
        </w:rPr>
        <w:tab/>
        <w:t>Военных кораблей всех классов и типов.</w:t>
      </w:r>
    </w:p>
    <w:p w14:paraId="4CC32001"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r w:rsidRPr="00DB5D0D">
        <w:rPr>
          <w:rFonts w:ascii="Times New Roman" w:hAnsi="Times New Roman"/>
          <w:color w:val="000000" w:themeColor="text1"/>
          <w:sz w:val="16"/>
          <w:szCs w:val="16"/>
        </w:rPr>
        <w:tab/>
        <w:t>Портовых сооружений и баз флота.</w:t>
      </w:r>
    </w:p>
    <w:p w14:paraId="74AFB76D"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r w:rsidRPr="00DB5D0D">
        <w:rPr>
          <w:rFonts w:ascii="Times New Roman" w:hAnsi="Times New Roman"/>
          <w:color w:val="000000" w:themeColor="text1"/>
          <w:sz w:val="16"/>
          <w:szCs w:val="16"/>
        </w:rPr>
        <w:tab/>
        <w:t>Живой силы противника в местах ее скопления.</w:t>
      </w:r>
    </w:p>
    <w:p w14:paraId="141CD47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тактические требования</w:t>
      </w:r>
    </w:p>
    <w:p w14:paraId="310FF3C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«ФБ» должен обладать способностью длительного пикирования с больших высот на самых больших, доступных в настоящее время скоростях.</w:t>
      </w:r>
    </w:p>
    <w:p w14:paraId="4C091B7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Самолет «ФБ» должен обладать грузоподъемностью, обеспечивающей возможность его снаряжения разнообразными калибрами и типами бомб: от тяжелых, большого пробивного действия и большой разрушающей силы для поражения особо прочных объектов до малых и очень малых весов – для массового поражения авиации на земле и живой силы.</w:t>
      </w:r>
    </w:p>
    <w:p w14:paraId="146FD18B"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«ФБ» должен обладать дальностью действия, обеспечивающей достижение целей, находящихся во фронтовой зоне и в ее тылу, с достаточной для их поражения бомбовой нагрузкой.</w:t>
      </w:r>
    </w:p>
    <w:p w14:paraId="20C67A2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«ФБ» должен обладать мощной огневой защитой, обеспечивающей полную боевую независимость при проведении бомбардировочных операций.</w:t>
      </w:r>
    </w:p>
    <w:p w14:paraId="79489D3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«ФБ» должен обладать системой броневой защиты, предохраняющей весь экипаж от поражения при стрельбе противника из пулеметов с хвоста самолета «ФБ».</w:t>
      </w:r>
    </w:p>
    <w:p w14:paraId="71C3C3D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«ФБ» должен давать возможность использования его как нормального бомбардировщика для обычного бомбардирования с горизонтального полета.</w:t>
      </w:r>
    </w:p>
    <w:p w14:paraId="7E3CAA9A" w14:textId="77777777" w:rsidR="00A25AD1" w:rsidRPr="00DB5D0D" w:rsidRDefault="00A25AD1" w:rsidP="00DB5D0D">
      <w:pPr>
        <w:pStyle w:val="a3"/>
        <w:widowControl/>
        <w:tabs>
          <w:tab w:val="left" w:pos="360"/>
          <w:tab w:val="left" w:pos="11199"/>
        </w:tabs>
        <w:rPr>
          <w:color w:val="000000" w:themeColor="text1"/>
          <w:lang w:val="ru-RU"/>
        </w:rPr>
      </w:pPr>
      <w:r w:rsidRPr="00DB5D0D">
        <w:rPr>
          <w:color w:val="000000" w:themeColor="text1"/>
          <w:lang w:val="ru-RU"/>
        </w:rPr>
        <w:t>Должно быть обеспечено действие на различных высотах до практического потолка включительно, как днем, так и ночью и в сложных метеорологических условиях.</w:t>
      </w:r>
    </w:p>
    <w:p w14:paraId="7869C942" w14:textId="77777777" w:rsidR="00A25AD1" w:rsidRPr="00DB5D0D" w:rsidRDefault="00A25AD1" w:rsidP="00DB5D0D">
      <w:pPr>
        <w:pStyle w:val="a3"/>
        <w:widowControl/>
        <w:tabs>
          <w:tab w:val="left" w:pos="360"/>
          <w:tab w:val="left" w:pos="11199"/>
        </w:tabs>
        <w:rPr>
          <w:color w:val="000000" w:themeColor="text1"/>
          <w:lang w:val="ru-RU"/>
        </w:rPr>
      </w:pPr>
      <w:r w:rsidRPr="00DB5D0D">
        <w:rPr>
          <w:color w:val="000000" w:themeColor="text1"/>
          <w:lang w:val="ru-RU"/>
        </w:rPr>
        <w:t>Самолет должен иметь отличный обзор для летчика в передней полусфере, особенно в ее нижней части, обеспечивающий выход на цель, определение начала пикирования и прицеливания для бомбометания. Обеспечение обзора летчику поверх капота вперед-вниз.</w:t>
      </w:r>
    </w:p>
    <w:p w14:paraId="0D5AD7C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Обзор у штурмана должен обеспечивать удобство выполнения общей и длительной ориентировки, вывод на цель для бомбометания с пикирования и выполнения бомбометания с горизонтального полета.</w:t>
      </w:r>
    </w:p>
    <w:p w14:paraId="7115797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телефонной связи должна быть обеспечена зрительная связь летчика со штурманом.</w:t>
      </w:r>
    </w:p>
    <w:p w14:paraId="5FE1813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Наводка на цель, прицеливание и сбрасывание бомб на пикирующем полете осуществляется летчиком, на горизонтальном полете – штурманом.</w:t>
      </w:r>
    </w:p>
    <w:p w14:paraId="6927747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Должна быть обеспечена возможность наблюдения за положением бомб в полете хотя бы одним из лиц экипажа.</w:t>
      </w:r>
    </w:p>
    <w:p w14:paraId="29AD119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Обеспечение высокой живучести самолета в условиях боевых: частичное бронирование экипажа, установка протектированных масляных и бензиновых баков с заполнением последних их нейтральным газом, установка антиобледенителей.</w:t>
      </w:r>
    </w:p>
    <w:p w14:paraId="6F88A572"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Обеспечение удобства входа в кабины самолета и покидание их в аварийном случае, а также в случае посадки самолета при убранном шасси.</w:t>
      </w:r>
    </w:p>
    <w:p w14:paraId="683FED3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Летно-тактические данные самолета</w:t>
      </w:r>
    </w:p>
    <w:p w14:paraId="777C38E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ФБ должен обладать следующими летными характеристиками: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211"/>
        <w:gridCol w:w="1347"/>
        <w:gridCol w:w="1347"/>
        <w:gridCol w:w="2551"/>
      </w:tblGrid>
      <w:tr w:rsidR="007D5DF8" w:rsidRPr="00DB5D0D" w14:paraId="2FEEA39D" w14:textId="77777777" w:rsidTr="009223E5">
        <w:tc>
          <w:tcPr>
            <w:tcW w:w="5211" w:type="dxa"/>
          </w:tcPr>
          <w:p w14:paraId="73A02BF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347" w:type="dxa"/>
          </w:tcPr>
          <w:p w14:paraId="62C4981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реактивн. выхлопами ОТБ</w:t>
            </w:r>
          </w:p>
        </w:tc>
        <w:tc>
          <w:tcPr>
            <w:tcW w:w="1347" w:type="dxa"/>
          </w:tcPr>
          <w:p w14:paraId="2B0BD56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турбокомпрес. ТК-2</w:t>
            </w:r>
          </w:p>
        </w:tc>
        <w:tc>
          <w:tcPr>
            <w:tcW w:w="2551" w:type="dxa"/>
          </w:tcPr>
          <w:p w14:paraId="000737A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Единица измерения</w:t>
            </w:r>
          </w:p>
        </w:tc>
      </w:tr>
      <w:tr w:rsidR="007D5DF8" w:rsidRPr="00DB5D0D" w14:paraId="2340AFE8" w14:textId="77777777" w:rsidTr="009223E5">
        <w:tc>
          <w:tcPr>
            <w:tcW w:w="5211" w:type="dxa"/>
          </w:tcPr>
          <w:p w14:paraId="71077C6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горизонтальная скорость на высоте</w:t>
            </w:r>
          </w:p>
          <w:p w14:paraId="473B5B2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 м</w:t>
            </w:r>
          </w:p>
          <w:p w14:paraId="4B24866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 м</w:t>
            </w:r>
          </w:p>
          <w:p w14:paraId="5345608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 м</w:t>
            </w:r>
          </w:p>
        </w:tc>
        <w:tc>
          <w:tcPr>
            <w:tcW w:w="1347" w:type="dxa"/>
          </w:tcPr>
          <w:p w14:paraId="27951AF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E37921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550-590</w:t>
            </w:r>
          </w:p>
          <w:p w14:paraId="54EBCC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630-670</w:t>
            </w:r>
          </w:p>
          <w:p w14:paraId="751BBB0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347" w:type="dxa"/>
          </w:tcPr>
          <w:p w14:paraId="43E288A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4A166C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1EF0C0A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600-650</w:t>
            </w:r>
          </w:p>
          <w:p w14:paraId="151B90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700-740</w:t>
            </w:r>
          </w:p>
        </w:tc>
        <w:tc>
          <w:tcPr>
            <w:tcW w:w="2551" w:type="dxa"/>
          </w:tcPr>
          <w:p w14:paraId="5D8DC80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км/час </w:t>
            </w:r>
          </w:p>
        </w:tc>
      </w:tr>
      <w:tr w:rsidR="007D5DF8" w:rsidRPr="00DB5D0D" w14:paraId="1BE09C39" w14:textId="77777777" w:rsidTr="009223E5">
        <w:tc>
          <w:tcPr>
            <w:tcW w:w="5211" w:type="dxa"/>
          </w:tcPr>
          <w:p w14:paraId="03A9239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Крейсерская скорость</w:t>
            </w:r>
          </w:p>
        </w:tc>
        <w:tc>
          <w:tcPr>
            <w:tcW w:w="1347" w:type="dxa"/>
          </w:tcPr>
          <w:p w14:paraId="0AC5FB5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400-500</w:t>
            </w:r>
          </w:p>
        </w:tc>
        <w:tc>
          <w:tcPr>
            <w:tcW w:w="1347" w:type="dxa"/>
          </w:tcPr>
          <w:p w14:paraId="6848230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450-550</w:t>
            </w:r>
          </w:p>
        </w:tc>
        <w:tc>
          <w:tcPr>
            <w:tcW w:w="2551" w:type="dxa"/>
          </w:tcPr>
          <w:p w14:paraId="3273B48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км/час </w:t>
            </w:r>
          </w:p>
        </w:tc>
      </w:tr>
      <w:tr w:rsidR="007D5DF8" w:rsidRPr="00DB5D0D" w14:paraId="6D1326C3" w14:textId="77777777" w:rsidTr="009223E5">
        <w:tc>
          <w:tcPr>
            <w:tcW w:w="5211" w:type="dxa"/>
          </w:tcPr>
          <w:p w14:paraId="12D5E4A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w:t>
            </w:r>
          </w:p>
        </w:tc>
        <w:tc>
          <w:tcPr>
            <w:tcW w:w="1347" w:type="dxa"/>
          </w:tcPr>
          <w:p w14:paraId="32B1285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1347" w:type="dxa"/>
          </w:tcPr>
          <w:p w14:paraId="516482D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2551" w:type="dxa"/>
          </w:tcPr>
          <w:p w14:paraId="17FD578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км/час </w:t>
            </w:r>
          </w:p>
        </w:tc>
      </w:tr>
      <w:tr w:rsidR="007D5DF8" w:rsidRPr="00DB5D0D" w14:paraId="30597A72" w14:textId="77777777" w:rsidTr="009223E5">
        <w:tc>
          <w:tcPr>
            <w:tcW w:w="5211" w:type="dxa"/>
          </w:tcPr>
          <w:p w14:paraId="12C2EF7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w:t>
            </w:r>
          </w:p>
        </w:tc>
        <w:tc>
          <w:tcPr>
            <w:tcW w:w="1347" w:type="dxa"/>
          </w:tcPr>
          <w:p w14:paraId="5B688B6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11000-12000</w:t>
            </w:r>
          </w:p>
        </w:tc>
        <w:tc>
          <w:tcPr>
            <w:tcW w:w="1347" w:type="dxa"/>
          </w:tcPr>
          <w:p w14:paraId="54B8E7F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13000-14000</w:t>
            </w:r>
          </w:p>
        </w:tc>
        <w:tc>
          <w:tcPr>
            <w:tcW w:w="2551" w:type="dxa"/>
          </w:tcPr>
          <w:p w14:paraId="54A746F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 </w:t>
            </w:r>
          </w:p>
        </w:tc>
      </w:tr>
      <w:tr w:rsidR="007D5DF8" w:rsidRPr="00DB5D0D" w14:paraId="695B6704" w14:textId="77777777" w:rsidTr="009223E5">
        <w:tc>
          <w:tcPr>
            <w:tcW w:w="5211" w:type="dxa"/>
          </w:tcPr>
          <w:p w14:paraId="73BB3AA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высоту 5000 м</w:t>
            </w:r>
          </w:p>
        </w:tc>
        <w:tc>
          <w:tcPr>
            <w:tcW w:w="1347" w:type="dxa"/>
          </w:tcPr>
          <w:p w14:paraId="70C637A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4,5-6</w:t>
            </w:r>
          </w:p>
        </w:tc>
        <w:tc>
          <w:tcPr>
            <w:tcW w:w="1347" w:type="dxa"/>
          </w:tcPr>
          <w:p w14:paraId="7F525FA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4,5-6</w:t>
            </w:r>
          </w:p>
        </w:tc>
        <w:tc>
          <w:tcPr>
            <w:tcW w:w="2551" w:type="dxa"/>
          </w:tcPr>
          <w:p w14:paraId="162D77D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мин. </w:t>
            </w:r>
          </w:p>
        </w:tc>
      </w:tr>
      <w:tr w:rsidR="007D5DF8" w:rsidRPr="00DB5D0D" w14:paraId="0B2951EB" w14:textId="77777777" w:rsidTr="009223E5">
        <w:tc>
          <w:tcPr>
            <w:tcW w:w="5211" w:type="dxa"/>
          </w:tcPr>
          <w:p w14:paraId="728C049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при бомбовой нагрузке 1000 кг на скорости 0,9 Vmax</w:t>
            </w:r>
          </w:p>
        </w:tc>
        <w:tc>
          <w:tcPr>
            <w:tcW w:w="1347" w:type="dxa"/>
          </w:tcPr>
          <w:p w14:paraId="009892D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347" w:type="dxa"/>
          </w:tcPr>
          <w:p w14:paraId="7845D2F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551" w:type="dxa"/>
          </w:tcPr>
          <w:p w14:paraId="29BB228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км </w:t>
            </w:r>
          </w:p>
        </w:tc>
      </w:tr>
      <w:tr w:rsidR="007D5DF8" w:rsidRPr="00DB5D0D" w14:paraId="0D307AC0" w14:textId="77777777" w:rsidTr="009223E5">
        <w:tc>
          <w:tcPr>
            <w:tcW w:w="5211" w:type="dxa"/>
          </w:tcPr>
          <w:p w14:paraId="4B385DE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максимальная при бомбовой нагрузке 1000 кг</w:t>
            </w:r>
          </w:p>
        </w:tc>
        <w:tc>
          <w:tcPr>
            <w:tcW w:w="1347" w:type="dxa"/>
          </w:tcPr>
          <w:p w14:paraId="4C77C70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1347" w:type="dxa"/>
          </w:tcPr>
          <w:p w14:paraId="2A1B3C6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2551" w:type="dxa"/>
          </w:tcPr>
          <w:p w14:paraId="71E8DB4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км </w:t>
            </w:r>
          </w:p>
        </w:tc>
      </w:tr>
      <w:tr w:rsidR="007D5DF8" w:rsidRPr="00DB5D0D" w14:paraId="2F68C424" w14:textId="77777777" w:rsidTr="009223E5">
        <w:tc>
          <w:tcPr>
            <w:tcW w:w="5211" w:type="dxa"/>
          </w:tcPr>
          <w:p w14:paraId="17E1D05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Емкость баков предусматривает максимальная дальность для отдельных стратегических рейсов при бомбовой нагрузке 1000 кг</w:t>
            </w:r>
          </w:p>
        </w:tc>
        <w:tc>
          <w:tcPr>
            <w:tcW w:w="1347" w:type="dxa"/>
          </w:tcPr>
          <w:p w14:paraId="4D01B8F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w:t>
            </w:r>
          </w:p>
        </w:tc>
        <w:tc>
          <w:tcPr>
            <w:tcW w:w="1347" w:type="dxa"/>
          </w:tcPr>
          <w:p w14:paraId="56210FF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w:t>
            </w:r>
          </w:p>
        </w:tc>
        <w:tc>
          <w:tcPr>
            <w:tcW w:w="2551" w:type="dxa"/>
          </w:tcPr>
          <w:p w14:paraId="4D6ED18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w:t>
            </w:r>
          </w:p>
        </w:tc>
      </w:tr>
      <w:tr w:rsidR="007D5DF8" w:rsidRPr="00DB5D0D" w14:paraId="7F695052" w14:textId="77777777" w:rsidTr="009223E5">
        <w:tc>
          <w:tcPr>
            <w:tcW w:w="5211" w:type="dxa"/>
          </w:tcPr>
          <w:p w14:paraId="6139775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нормальная</w:t>
            </w:r>
          </w:p>
        </w:tc>
        <w:tc>
          <w:tcPr>
            <w:tcW w:w="1347" w:type="dxa"/>
          </w:tcPr>
          <w:p w14:paraId="74A40B6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347" w:type="dxa"/>
          </w:tcPr>
          <w:p w14:paraId="5456ADE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551" w:type="dxa"/>
          </w:tcPr>
          <w:p w14:paraId="1C5B8E2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кг </w:t>
            </w:r>
          </w:p>
        </w:tc>
      </w:tr>
      <w:tr w:rsidR="007D5DF8" w:rsidRPr="00DB5D0D" w14:paraId="7DB469BF" w14:textId="77777777" w:rsidTr="009223E5">
        <w:tc>
          <w:tcPr>
            <w:tcW w:w="5211" w:type="dxa"/>
          </w:tcPr>
          <w:p w14:paraId="063B580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максимальная</w:t>
            </w:r>
          </w:p>
        </w:tc>
        <w:tc>
          <w:tcPr>
            <w:tcW w:w="1347" w:type="dxa"/>
          </w:tcPr>
          <w:p w14:paraId="2DAD7A6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347" w:type="dxa"/>
          </w:tcPr>
          <w:p w14:paraId="733CDA0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2551" w:type="dxa"/>
          </w:tcPr>
          <w:p w14:paraId="0084B22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кг </w:t>
            </w:r>
          </w:p>
        </w:tc>
      </w:tr>
      <w:tr w:rsidR="007D5DF8" w:rsidRPr="00DB5D0D" w14:paraId="194AB946" w14:textId="77777777" w:rsidTr="009223E5">
        <w:tc>
          <w:tcPr>
            <w:tcW w:w="5211" w:type="dxa"/>
          </w:tcPr>
          <w:p w14:paraId="0D49B8D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при пикировании</w:t>
            </w:r>
          </w:p>
        </w:tc>
        <w:tc>
          <w:tcPr>
            <w:tcW w:w="1347" w:type="dxa"/>
          </w:tcPr>
          <w:p w14:paraId="6044665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1347" w:type="dxa"/>
          </w:tcPr>
          <w:p w14:paraId="3B181DA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2551" w:type="dxa"/>
          </w:tcPr>
          <w:p w14:paraId="27378DE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км/час </w:t>
            </w:r>
          </w:p>
        </w:tc>
      </w:tr>
      <w:tr w:rsidR="007D5DF8" w:rsidRPr="00DB5D0D" w14:paraId="24B2B081" w14:textId="77777777" w:rsidTr="009223E5">
        <w:tc>
          <w:tcPr>
            <w:tcW w:w="5211" w:type="dxa"/>
          </w:tcPr>
          <w:p w14:paraId="62B25F4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Продолжительность полета на боевом курсе на максимальной скорости пикирования</w:t>
            </w:r>
          </w:p>
        </w:tc>
        <w:tc>
          <w:tcPr>
            <w:tcW w:w="1347" w:type="dxa"/>
          </w:tcPr>
          <w:p w14:paraId="6FFF525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7-12</w:t>
            </w:r>
          </w:p>
        </w:tc>
        <w:tc>
          <w:tcPr>
            <w:tcW w:w="1347" w:type="dxa"/>
          </w:tcPr>
          <w:p w14:paraId="310671A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7-12</w:t>
            </w:r>
          </w:p>
        </w:tc>
        <w:tc>
          <w:tcPr>
            <w:tcW w:w="2551" w:type="dxa"/>
          </w:tcPr>
          <w:p w14:paraId="5F42E75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 </w:t>
            </w:r>
          </w:p>
        </w:tc>
      </w:tr>
    </w:tbl>
    <w:p w14:paraId="762A16E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w:t>
      </w:r>
    </w:p>
    <w:p w14:paraId="47BDBE8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штурман, он же стрелок из верхней огневой точки; радист он же стрелок из нижней огневой точки.</w:t>
      </w:r>
    </w:p>
    <w:p w14:paraId="554287B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Броневая защита экипажа</w:t>
      </w:r>
    </w:p>
    <w:p w14:paraId="745D9FC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должен быть защищен броней от возможного поражения сзади.</w:t>
      </w:r>
    </w:p>
    <w:p w14:paraId="46C7210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Броня рассчитывается на защиту от бронебойных пуль калибра 7,62 мм с дистанции 100 м.</w:t>
      </w:r>
    </w:p>
    <w:p w14:paraId="604C03DB"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защиты стрелка из верхней задней установки ОТБ НКВД изготовляется специальная экспериментальная пулеметная установка с броневым щитом из прозрачной брони.</w:t>
      </w:r>
    </w:p>
    <w:p w14:paraId="5F3CC65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Схема броневой защиты экипажа самолета и толщины брони уточняется при предъявлении макета самолета.</w:t>
      </w:r>
    </w:p>
    <w:p w14:paraId="3992EDD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w:t>
      </w:r>
    </w:p>
    <w:p w14:paraId="54BC692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w:t>
      </w:r>
    </w:p>
    <w:p w14:paraId="5B1B525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самолета «ФБ» должно допускать следующие варианты бомбовой нагрузки: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1022"/>
        <w:gridCol w:w="962"/>
        <w:gridCol w:w="1089"/>
        <w:gridCol w:w="835"/>
        <w:gridCol w:w="911"/>
        <w:gridCol w:w="851"/>
        <w:gridCol w:w="994"/>
      </w:tblGrid>
      <w:tr w:rsidR="007D5DF8" w:rsidRPr="00DB5D0D" w14:paraId="19B5372E" w14:textId="77777777" w:rsidTr="009223E5">
        <w:tc>
          <w:tcPr>
            <w:tcW w:w="3936" w:type="dxa"/>
            <w:tcBorders>
              <w:top w:val="single" w:sz="12" w:space="0" w:color="auto"/>
            </w:tcBorders>
          </w:tcPr>
          <w:p w14:paraId="4232A48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Типы и калибры бомб</w:t>
            </w:r>
          </w:p>
        </w:tc>
        <w:tc>
          <w:tcPr>
            <w:tcW w:w="1022" w:type="dxa"/>
            <w:tcBorders>
              <w:top w:val="single" w:sz="12" w:space="0" w:color="auto"/>
            </w:tcBorders>
          </w:tcPr>
          <w:p w14:paraId="2BDEAF7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Нормальная нагрузка</w:t>
            </w:r>
          </w:p>
        </w:tc>
        <w:tc>
          <w:tcPr>
            <w:tcW w:w="962" w:type="dxa"/>
            <w:tcBorders>
              <w:top w:val="single" w:sz="12" w:space="0" w:color="auto"/>
            </w:tcBorders>
          </w:tcPr>
          <w:p w14:paraId="18FEAC6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1089" w:type="dxa"/>
            <w:tcBorders>
              <w:top w:val="single" w:sz="12" w:space="0" w:color="auto"/>
            </w:tcBorders>
          </w:tcPr>
          <w:p w14:paraId="7D2866B2"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835" w:type="dxa"/>
            <w:tcBorders>
              <w:top w:val="single" w:sz="12" w:space="0" w:color="auto"/>
            </w:tcBorders>
          </w:tcPr>
          <w:p w14:paraId="11F8A9D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нагрузка</w:t>
            </w:r>
          </w:p>
        </w:tc>
        <w:tc>
          <w:tcPr>
            <w:tcW w:w="911" w:type="dxa"/>
            <w:tcBorders>
              <w:top w:val="single" w:sz="12" w:space="0" w:color="auto"/>
            </w:tcBorders>
          </w:tcPr>
          <w:p w14:paraId="0B9925A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851" w:type="dxa"/>
            <w:tcBorders>
              <w:top w:val="single" w:sz="12" w:space="0" w:color="auto"/>
            </w:tcBorders>
          </w:tcPr>
          <w:p w14:paraId="0D47460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94" w:type="dxa"/>
            <w:tcBorders>
              <w:top w:val="single" w:sz="12" w:space="0" w:color="auto"/>
            </w:tcBorders>
          </w:tcPr>
          <w:p w14:paraId="025533E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r>
      <w:tr w:rsidR="007D5DF8" w:rsidRPr="00DB5D0D" w14:paraId="65E8BAC7" w14:textId="77777777" w:rsidTr="009223E5">
        <w:tc>
          <w:tcPr>
            <w:tcW w:w="3936" w:type="dxa"/>
          </w:tcPr>
          <w:p w14:paraId="5812A8C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1022" w:type="dxa"/>
          </w:tcPr>
          <w:p w14:paraId="5EE15BDD"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бомб. Отсеке</w:t>
            </w:r>
          </w:p>
        </w:tc>
        <w:tc>
          <w:tcPr>
            <w:tcW w:w="962" w:type="dxa"/>
          </w:tcPr>
          <w:p w14:paraId="068E266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089" w:type="dxa"/>
          </w:tcPr>
          <w:p w14:paraId="1662D25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835" w:type="dxa"/>
          </w:tcPr>
          <w:p w14:paraId="682D416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бомб отсеке.</w:t>
            </w:r>
          </w:p>
        </w:tc>
        <w:tc>
          <w:tcPr>
            <w:tcW w:w="911" w:type="dxa"/>
          </w:tcPr>
          <w:p w14:paraId="2B3303C8"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крыл.</w:t>
            </w:r>
          </w:p>
        </w:tc>
        <w:tc>
          <w:tcPr>
            <w:tcW w:w="851" w:type="dxa"/>
          </w:tcPr>
          <w:p w14:paraId="5F24D0B1"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994" w:type="dxa"/>
          </w:tcPr>
          <w:p w14:paraId="2267099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r>
      <w:tr w:rsidR="007D5DF8" w:rsidRPr="00DB5D0D" w14:paraId="58C66E98" w14:textId="77777777" w:rsidTr="009223E5">
        <w:tc>
          <w:tcPr>
            <w:tcW w:w="3936" w:type="dxa"/>
          </w:tcPr>
          <w:p w14:paraId="2C524FF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1022" w:type="dxa"/>
          </w:tcPr>
          <w:p w14:paraId="6CD2913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62" w:type="dxa"/>
          </w:tcPr>
          <w:p w14:paraId="651AE18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w:t>
            </w:r>
          </w:p>
        </w:tc>
        <w:tc>
          <w:tcPr>
            <w:tcW w:w="1089" w:type="dxa"/>
          </w:tcPr>
          <w:p w14:paraId="534B929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w:t>
            </w:r>
          </w:p>
        </w:tc>
        <w:tc>
          <w:tcPr>
            <w:tcW w:w="835" w:type="dxa"/>
          </w:tcPr>
          <w:p w14:paraId="1543D02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w:t>
            </w:r>
          </w:p>
        </w:tc>
        <w:tc>
          <w:tcPr>
            <w:tcW w:w="911" w:type="dxa"/>
          </w:tcPr>
          <w:p w14:paraId="6595101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w:t>
            </w:r>
          </w:p>
        </w:tc>
        <w:tc>
          <w:tcPr>
            <w:tcW w:w="851" w:type="dxa"/>
          </w:tcPr>
          <w:p w14:paraId="2297AE88"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w:t>
            </w:r>
          </w:p>
        </w:tc>
        <w:tc>
          <w:tcPr>
            <w:tcW w:w="994" w:type="dxa"/>
          </w:tcPr>
          <w:p w14:paraId="300F5F4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w:t>
            </w:r>
          </w:p>
        </w:tc>
      </w:tr>
      <w:tr w:rsidR="007D5DF8" w:rsidRPr="00DB5D0D" w14:paraId="41BC1934" w14:textId="77777777" w:rsidTr="009223E5">
        <w:tc>
          <w:tcPr>
            <w:tcW w:w="3936" w:type="dxa"/>
          </w:tcPr>
          <w:p w14:paraId="4F8DB49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Фугасные бомбы «ФАБ»</w:t>
            </w:r>
          </w:p>
        </w:tc>
        <w:tc>
          <w:tcPr>
            <w:tcW w:w="1022" w:type="dxa"/>
          </w:tcPr>
          <w:p w14:paraId="0A55792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62" w:type="dxa"/>
          </w:tcPr>
          <w:p w14:paraId="0C16339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1089" w:type="dxa"/>
          </w:tcPr>
          <w:p w14:paraId="4AC556C8"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835" w:type="dxa"/>
          </w:tcPr>
          <w:p w14:paraId="0F9F225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11" w:type="dxa"/>
          </w:tcPr>
          <w:p w14:paraId="66F4CB0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851" w:type="dxa"/>
          </w:tcPr>
          <w:p w14:paraId="581DB591"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94" w:type="dxa"/>
          </w:tcPr>
          <w:p w14:paraId="06CB5658"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r>
      <w:tr w:rsidR="007D5DF8" w:rsidRPr="00DB5D0D" w14:paraId="6810E6EF" w14:textId="77777777" w:rsidTr="009223E5">
        <w:tc>
          <w:tcPr>
            <w:tcW w:w="3936" w:type="dxa"/>
          </w:tcPr>
          <w:p w14:paraId="681FB24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ФАБ-1000</w:t>
            </w:r>
          </w:p>
        </w:tc>
        <w:tc>
          <w:tcPr>
            <w:tcW w:w="1022" w:type="dxa"/>
          </w:tcPr>
          <w:p w14:paraId="2308796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2" w:type="dxa"/>
          </w:tcPr>
          <w:p w14:paraId="17267C8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89" w:type="dxa"/>
          </w:tcPr>
          <w:p w14:paraId="3A83F02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835" w:type="dxa"/>
          </w:tcPr>
          <w:p w14:paraId="72A1E3D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1" w:type="dxa"/>
          </w:tcPr>
          <w:p w14:paraId="47AE5B6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51" w:type="dxa"/>
          </w:tcPr>
          <w:p w14:paraId="06F4CC4B"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4" w:type="dxa"/>
          </w:tcPr>
          <w:p w14:paraId="784E1F3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789AB27D" w14:textId="77777777" w:rsidTr="009223E5">
        <w:tc>
          <w:tcPr>
            <w:tcW w:w="3936" w:type="dxa"/>
          </w:tcPr>
          <w:p w14:paraId="6B784A3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ФАБ-500</w:t>
            </w:r>
          </w:p>
        </w:tc>
        <w:tc>
          <w:tcPr>
            <w:tcW w:w="1022" w:type="dxa"/>
          </w:tcPr>
          <w:p w14:paraId="00C3452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2" w:type="dxa"/>
          </w:tcPr>
          <w:p w14:paraId="5E4156C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89" w:type="dxa"/>
          </w:tcPr>
          <w:p w14:paraId="0BAA765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835" w:type="dxa"/>
          </w:tcPr>
          <w:p w14:paraId="258BDF4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11" w:type="dxa"/>
          </w:tcPr>
          <w:p w14:paraId="020236B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51" w:type="dxa"/>
          </w:tcPr>
          <w:p w14:paraId="29F99E4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94" w:type="dxa"/>
          </w:tcPr>
          <w:p w14:paraId="68394861"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3EA23F82" w14:textId="77777777" w:rsidTr="009223E5">
        <w:tc>
          <w:tcPr>
            <w:tcW w:w="3936" w:type="dxa"/>
          </w:tcPr>
          <w:p w14:paraId="61BE4BE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ФАБ-250</w:t>
            </w:r>
          </w:p>
        </w:tc>
        <w:tc>
          <w:tcPr>
            <w:tcW w:w="1022" w:type="dxa"/>
          </w:tcPr>
          <w:p w14:paraId="5C73161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62" w:type="dxa"/>
          </w:tcPr>
          <w:p w14:paraId="46225DA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089" w:type="dxa"/>
          </w:tcPr>
          <w:p w14:paraId="2F6F6A1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835" w:type="dxa"/>
          </w:tcPr>
          <w:p w14:paraId="6046DF4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11" w:type="dxa"/>
          </w:tcPr>
          <w:p w14:paraId="19F1AE72"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51" w:type="dxa"/>
          </w:tcPr>
          <w:p w14:paraId="67BE0F9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994" w:type="dxa"/>
          </w:tcPr>
          <w:p w14:paraId="016945A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06EA0573" w14:textId="77777777" w:rsidTr="009223E5">
        <w:tc>
          <w:tcPr>
            <w:tcW w:w="3936" w:type="dxa"/>
          </w:tcPr>
          <w:p w14:paraId="716B334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ФАБ-100</w:t>
            </w:r>
          </w:p>
        </w:tc>
        <w:tc>
          <w:tcPr>
            <w:tcW w:w="1022" w:type="dxa"/>
          </w:tcPr>
          <w:p w14:paraId="389AC99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962" w:type="dxa"/>
          </w:tcPr>
          <w:p w14:paraId="25347282"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1089" w:type="dxa"/>
          </w:tcPr>
          <w:p w14:paraId="6819B818"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835" w:type="dxa"/>
          </w:tcPr>
          <w:p w14:paraId="3DB86CE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911" w:type="dxa"/>
          </w:tcPr>
          <w:p w14:paraId="6735A66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1" w:type="dxa"/>
          </w:tcPr>
          <w:p w14:paraId="103D1C1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994" w:type="dxa"/>
          </w:tcPr>
          <w:p w14:paraId="136AE54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r>
      <w:tr w:rsidR="007D5DF8" w:rsidRPr="00DB5D0D" w14:paraId="2A2A404D" w14:textId="77777777" w:rsidTr="009223E5">
        <w:tc>
          <w:tcPr>
            <w:tcW w:w="3936" w:type="dxa"/>
          </w:tcPr>
          <w:p w14:paraId="5ADFB28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Существующие бронебойные бомбы «БРАБ»</w:t>
            </w:r>
          </w:p>
        </w:tc>
        <w:tc>
          <w:tcPr>
            <w:tcW w:w="1022" w:type="dxa"/>
          </w:tcPr>
          <w:p w14:paraId="52D146F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62" w:type="dxa"/>
          </w:tcPr>
          <w:p w14:paraId="419BCAEB"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1089" w:type="dxa"/>
          </w:tcPr>
          <w:p w14:paraId="10C46FC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835" w:type="dxa"/>
          </w:tcPr>
          <w:p w14:paraId="5B00763D"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11" w:type="dxa"/>
          </w:tcPr>
          <w:p w14:paraId="3BC4D94D"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851" w:type="dxa"/>
          </w:tcPr>
          <w:p w14:paraId="09D1425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94" w:type="dxa"/>
          </w:tcPr>
          <w:p w14:paraId="3BEA64C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r>
      <w:tr w:rsidR="007D5DF8" w:rsidRPr="00DB5D0D" w14:paraId="5439E0E8" w14:textId="77777777" w:rsidTr="009223E5">
        <w:tc>
          <w:tcPr>
            <w:tcW w:w="3936" w:type="dxa"/>
          </w:tcPr>
          <w:p w14:paraId="31F1A16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БРАБ-1000</w:t>
            </w:r>
          </w:p>
        </w:tc>
        <w:tc>
          <w:tcPr>
            <w:tcW w:w="1022" w:type="dxa"/>
          </w:tcPr>
          <w:p w14:paraId="1DCA386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2" w:type="dxa"/>
          </w:tcPr>
          <w:p w14:paraId="71E17EA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89" w:type="dxa"/>
          </w:tcPr>
          <w:p w14:paraId="72C5E82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835" w:type="dxa"/>
          </w:tcPr>
          <w:p w14:paraId="2D68CFB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1" w:type="dxa"/>
          </w:tcPr>
          <w:p w14:paraId="28F4FFA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51" w:type="dxa"/>
          </w:tcPr>
          <w:p w14:paraId="59FFE27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4" w:type="dxa"/>
          </w:tcPr>
          <w:p w14:paraId="48A099D2"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2F877C55" w14:textId="77777777" w:rsidTr="009223E5">
        <w:tc>
          <w:tcPr>
            <w:tcW w:w="3936" w:type="dxa"/>
          </w:tcPr>
          <w:p w14:paraId="4B76196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БРАБ-500</w:t>
            </w:r>
          </w:p>
        </w:tc>
        <w:tc>
          <w:tcPr>
            <w:tcW w:w="1022" w:type="dxa"/>
          </w:tcPr>
          <w:p w14:paraId="0CB90DDD"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2" w:type="dxa"/>
          </w:tcPr>
          <w:p w14:paraId="3255866B"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89" w:type="dxa"/>
          </w:tcPr>
          <w:p w14:paraId="1612740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835" w:type="dxa"/>
          </w:tcPr>
          <w:p w14:paraId="5CF97952"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11" w:type="dxa"/>
          </w:tcPr>
          <w:p w14:paraId="69B01DA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51" w:type="dxa"/>
          </w:tcPr>
          <w:p w14:paraId="246E417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94" w:type="dxa"/>
          </w:tcPr>
          <w:p w14:paraId="34D376F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7BF839DF" w14:textId="77777777" w:rsidTr="009223E5">
        <w:tc>
          <w:tcPr>
            <w:tcW w:w="3936" w:type="dxa"/>
          </w:tcPr>
          <w:p w14:paraId="7BB98ED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БРАБ-220</w:t>
            </w:r>
          </w:p>
        </w:tc>
        <w:tc>
          <w:tcPr>
            <w:tcW w:w="1022" w:type="dxa"/>
          </w:tcPr>
          <w:p w14:paraId="18AA80C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62" w:type="dxa"/>
          </w:tcPr>
          <w:p w14:paraId="601B8A6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089" w:type="dxa"/>
          </w:tcPr>
          <w:p w14:paraId="1B99035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880</w:t>
            </w:r>
          </w:p>
        </w:tc>
        <w:tc>
          <w:tcPr>
            <w:tcW w:w="835" w:type="dxa"/>
          </w:tcPr>
          <w:p w14:paraId="5821A80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11" w:type="dxa"/>
          </w:tcPr>
          <w:p w14:paraId="1E37C75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51" w:type="dxa"/>
          </w:tcPr>
          <w:p w14:paraId="5CE75AA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994" w:type="dxa"/>
          </w:tcPr>
          <w:p w14:paraId="328D90C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1320</w:t>
            </w:r>
          </w:p>
        </w:tc>
      </w:tr>
      <w:tr w:rsidR="007D5DF8" w:rsidRPr="00DB5D0D" w14:paraId="39F33CED" w14:textId="77777777" w:rsidTr="009223E5">
        <w:tc>
          <w:tcPr>
            <w:tcW w:w="3936" w:type="dxa"/>
          </w:tcPr>
          <w:p w14:paraId="7CD10B7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Существующие осколочные бомбы «АО»</w:t>
            </w:r>
          </w:p>
        </w:tc>
        <w:tc>
          <w:tcPr>
            <w:tcW w:w="1022" w:type="dxa"/>
          </w:tcPr>
          <w:p w14:paraId="7AB1739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62" w:type="dxa"/>
          </w:tcPr>
          <w:p w14:paraId="04AD9F2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1089" w:type="dxa"/>
          </w:tcPr>
          <w:p w14:paraId="13BFC03D"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835" w:type="dxa"/>
          </w:tcPr>
          <w:p w14:paraId="3E3E9D8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11" w:type="dxa"/>
          </w:tcPr>
          <w:p w14:paraId="032F2FAD"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851" w:type="dxa"/>
          </w:tcPr>
          <w:p w14:paraId="4444A03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94" w:type="dxa"/>
          </w:tcPr>
          <w:p w14:paraId="17C349C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r>
      <w:tr w:rsidR="007D5DF8" w:rsidRPr="00DB5D0D" w14:paraId="633BE4D9" w14:textId="77777777" w:rsidTr="009223E5">
        <w:tc>
          <w:tcPr>
            <w:tcW w:w="3936" w:type="dxa"/>
          </w:tcPr>
          <w:p w14:paraId="437528D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АО-10</w:t>
            </w:r>
          </w:p>
        </w:tc>
        <w:tc>
          <w:tcPr>
            <w:tcW w:w="1022" w:type="dxa"/>
          </w:tcPr>
          <w:p w14:paraId="00AB8FC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w:t>
            </w:r>
          </w:p>
        </w:tc>
        <w:tc>
          <w:tcPr>
            <w:tcW w:w="962" w:type="dxa"/>
          </w:tcPr>
          <w:p w14:paraId="50B875F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w:t>
            </w:r>
          </w:p>
        </w:tc>
        <w:tc>
          <w:tcPr>
            <w:tcW w:w="1089" w:type="dxa"/>
          </w:tcPr>
          <w:p w14:paraId="4F91DA3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c>
          <w:tcPr>
            <w:tcW w:w="835" w:type="dxa"/>
          </w:tcPr>
          <w:p w14:paraId="296E8891"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w:t>
            </w:r>
          </w:p>
        </w:tc>
        <w:tc>
          <w:tcPr>
            <w:tcW w:w="911" w:type="dxa"/>
          </w:tcPr>
          <w:p w14:paraId="1079E8D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1" w:type="dxa"/>
          </w:tcPr>
          <w:p w14:paraId="2FE527A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w:t>
            </w:r>
          </w:p>
        </w:tc>
        <w:tc>
          <w:tcPr>
            <w:tcW w:w="994" w:type="dxa"/>
          </w:tcPr>
          <w:p w14:paraId="052E7B4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2202100A" w14:textId="77777777" w:rsidTr="009223E5">
        <w:tc>
          <w:tcPr>
            <w:tcW w:w="3936" w:type="dxa"/>
          </w:tcPr>
          <w:p w14:paraId="0BC7506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АО-2,5</w:t>
            </w:r>
          </w:p>
        </w:tc>
        <w:tc>
          <w:tcPr>
            <w:tcW w:w="1022" w:type="dxa"/>
          </w:tcPr>
          <w:p w14:paraId="7864EED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381</w:t>
            </w:r>
          </w:p>
        </w:tc>
        <w:tc>
          <w:tcPr>
            <w:tcW w:w="962" w:type="dxa"/>
          </w:tcPr>
          <w:p w14:paraId="532A888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381</w:t>
            </w:r>
          </w:p>
        </w:tc>
        <w:tc>
          <w:tcPr>
            <w:tcW w:w="1089" w:type="dxa"/>
          </w:tcPr>
          <w:p w14:paraId="21C3F99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952.5</w:t>
            </w:r>
          </w:p>
        </w:tc>
        <w:tc>
          <w:tcPr>
            <w:tcW w:w="835" w:type="dxa"/>
          </w:tcPr>
          <w:p w14:paraId="764B9E5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w:t>
            </w:r>
          </w:p>
        </w:tc>
        <w:tc>
          <w:tcPr>
            <w:tcW w:w="911" w:type="dxa"/>
          </w:tcPr>
          <w:p w14:paraId="4E06C3E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1" w:type="dxa"/>
          </w:tcPr>
          <w:p w14:paraId="749558D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w:t>
            </w:r>
          </w:p>
        </w:tc>
        <w:tc>
          <w:tcPr>
            <w:tcW w:w="994" w:type="dxa"/>
          </w:tcPr>
          <w:p w14:paraId="207E229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1270</w:t>
            </w:r>
          </w:p>
        </w:tc>
      </w:tr>
      <w:tr w:rsidR="007D5DF8" w:rsidRPr="00DB5D0D" w14:paraId="08B9E202" w14:textId="77777777" w:rsidTr="009223E5">
        <w:tc>
          <w:tcPr>
            <w:tcW w:w="3936" w:type="dxa"/>
          </w:tcPr>
          <w:p w14:paraId="442E1BE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Существующие бронебойные бомбы с дополнительной скоростью «БРАБ-ДС»</w:t>
            </w:r>
          </w:p>
        </w:tc>
        <w:tc>
          <w:tcPr>
            <w:tcW w:w="1022" w:type="dxa"/>
          </w:tcPr>
          <w:p w14:paraId="37F1900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62" w:type="dxa"/>
          </w:tcPr>
          <w:p w14:paraId="492F93AB"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1089" w:type="dxa"/>
          </w:tcPr>
          <w:p w14:paraId="4140DE4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835" w:type="dxa"/>
          </w:tcPr>
          <w:p w14:paraId="709B93B1"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11" w:type="dxa"/>
          </w:tcPr>
          <w:p w14:paraId="1B7DE7F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851" w:type="dxa"/>
          </w:tcPr>
          <w:p w14:paraId="4838892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c>
          <w:tcPr>
            <w:tcW w:w="994" w:type="dxa"/>
          </w:tcPr>
          <w:p w14:paraId="3BF3881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tc>
      </w:tr>
      <w:tr w:rsidR="007D5DF8" w:rsidRPr="00DB5D0D" w14:paraId="57574C0B" w14:textId="77777777" w:rsidTr="009223E5">
        <w:tc>
          <w:tcPr>
            <w:tcW w:w="3936" w:type="dxa"/>
          </w:tcPr>
          <w:p w14:paraId="5E202AE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БРАБ-ДС-800</w:t>
            </w:r>
          </w:p>
        </w:tc>
        <w:tc>
          <w:tcPr>
            <w:tcW w:w="1022" w:type="dxa"/>
          </w:tcPr>
          <w:p w14:paraId="131B11B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2" w:type="dxa"/>
          </w:tcPr>
          <w:p w14:paraId="1083C15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89" w:type="dxa"/>
          </w:tcPr>
          <w:p w14:paraId="299C3BD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835" w:type="dxa"/>
          </w:tcPr>
          <w:p w14:paraId="69B03A6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1" w:type="dxa"/>
          </w:tcPr>
          <w:p w14:paraId="28BEAF4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51" w:type="dxa"/>
          </w:tcPr>
          <w:p w14:paraId="365739C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4" w:type="dxa"/>
          </w:tcPr>
          <w:p w14:paraId="4B50018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r>
      <w:tr w:rsidR="007D5DF8" w:rsidRPr="00DB5D0D" w14:paraId="230EC3F2" w14:textId="77777777" w:rsidTr="009223E5">
        <w:tc>
          <w:tcPr>
            <w:tcW w:w="3936" w:type="dxa"/>
          </w:tcPr>
          <w:p w14:paraId="4B0D1E1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БРАБ-ДС-500</w:t>
            </w:r>
          </w:p>
        </w:tc>
        <w:tc>
          <w:tcPr>
            <w:tcW w:w="1022" w:type="dxa"/>
          </w:tcPr>
          <w:p w14:paraId="5147EE8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2" w:type="dxa"/>
          </w:tcPr>
          <w:p w14:paraId="4F96CE9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89" w:type="dxa"/>
          </w:tcPr>
          <w:p w14:paraId="67815CD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835" w:type="dxa"/>
          </w:tcPr>
          <w:p w14:paraId="68D45F7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11" w:type="dxa"/>
          </w:tcPr>
          <w:p w14:paraId="365FB951"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51" w:type="dxa"/>
          </w:tcPr>
          <w:p w14:paraId="115524C8"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94" w:type="dxa"/>
          </w:tcPr>
          <w:p w14:paraId="0A70C3A8"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387BA518" w14:textId="77777777" w:rsidTr="009223E5">
        <w:tc>
          <w:tcPr>
            <w:tcW w:w="3936" w:type="dxa"/>
            <w:tcBorders>
              <w:bottom w:val="single" w:sz="12" w:space="0" w:color="auto"/>
            </w:tcBorders>
          </w:tcPr>
          <w:p w14:paraId="087FF26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БРАБ-ДС-200</w:t>
            </w:r>
          </w:p>
        </w:tc>
        <w:tc>
          <w:tcPr>
            <w:tcW w:w="1022" w:type="dxa"/>
            <w:tcBorders>
              <w:bottom w:val="single" w:sz="12" w:space="0" w:color="auto"/>
            </w:tcBorders>
          </w:tcPr>
          <w:p w14:paraId="2F8445C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2" w:type="dxa"/>
            <w:tcBorders>
              <w:bottom w:val="single" w:sz="12" w:space="0" w:color="auto"/>
            </w:tcBorders>
          </w:tcPr>
          <w:p w14:paraId="007662CD"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089" w:type="dxa"/>
            <w:tcBorders>
              <w:bottom w:val="single" w:sz="12" w:space="0" w:color="auto"/>
            </w:tcBorders>
          </w:tcPr>
          <w:p w14:paraId="58B9151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835" w:type="dxa"/>
            <w:tcBorders>
              <w:bottom w:val="single" w:sz="12" w:space="0" w:color="auto"/>
            </w:tcBorders>
          </w:tcPr>
          <w:p w14:paraId="4F6AB2D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11" w:type="dxa"/>
            <w:tcBorders>
              <w:bottom w:val="single" w:sz="12" w:space="0" w:color="auto"/>
            </w:tcBorders>
          </w:tcPr>
          <w:p w14:paraId="4B5B390B"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51" w:type="dxa"/>
            <w:tcBorders>
              <w:bottom w:val="single" w:sz="12" w:space="0" w:color="auto"/>
            </w:tcBorders>
          </w:tcPr>
          <w:p w14:paraId="05A8468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94" w:type="dxa"/>
            <w:tcBorders>
              <w:bottom w:val="single" w:sz="12" w:space="0" w:color="auto"/>
            </w:tcBorders>
          </w:tcPr>
          <w:p w14:paraId="23A628E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r>
    </w:tbl>
    <w:p w14:paraId="7A7963A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Стрелковое вооружение</w:t>
      </w:r>
    </w:p>
    <w:p w14:paraId="1DF0167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должен быть оборудован тремя огневыми точками:</w:t>
      </w:r>
    </w:p>
    <w:p w14:paraId="1E9BB51E" w14:textId="77777777" w:rsidR="00A25AD1" w:rsidRPr="00DB5D0D" w:rsidRDefault="00A25AD1" w:rsidP="00DB5D0D">
      <w:pPr>
        <w:numPr>
          <w:ilvl w:val="0"/>
          <w:numId w:val="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обороны в передней полусфере;</w:t>
      </w:r>
    </w:p>
    <w:p w14:paraId="56801577" w14:textId="77777777" w:rsidR="00A25AD1" w:rsidRPr="00DB5D0D" w:rsidRDefault="00A25AD1" w:rsidP="00DB5D0D">
      <w:pPr>
        <w:numPr>
          <w:ilvl w:val="0"/>
          <w:numId w:val="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обороны в верхней части задней полусферы;</w:t>
      </w:r>
    </w:p>
    <w:p w14:paraId="0AC460B5" w14:textId="77777777" w:rsidR="00A25AD1" w:rsidRPr="00DB5D0D" w:rsidRDefault="00A25AD1" w:rsidP="00DB5D0D">
      <w:pPr>
        <w:numPr>
          <w:ilvl w:val="0"/>
          <w:numId w:val="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обороны в нижней части задней полусферы.</w:t>
      </w:r>
    </w:p>
    <w:p w14:paraId="2ABEB781"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Вооружение огневых точек самолета должно быть следующим:</w:t>
      </w:r>
    </w:p>
    <w:p w14:paraId="719288BB" w14:textId="77777777" w:rsidR="00A25AD1" w:rsidRPr="00DB5D0D" w:rsidRDefault="00A25AD1" w:rsidP="00DB5D0D">
      <w:pPr>
        <w:numPr>
          <w:ilvl w:val="0"/>
          <w:numId w:val="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Передняя огневая точка.</w:t>
      </w:r>
    </w:p>
    <w:p w14:paraId="1D9468F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4 пулемета Шкас калибра 7,62 мм с запасом патрон 750-1000 шт. на каждый пулемет, установленные в носу фюзеляжа, два из указанных пулеметов должны быть легкосъемными.</w:t>
      </w:r>
    </w:p>
    <w:p w14:paraId="618BAF7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Две пушки калибра 23 мм с запасом снарядов по 100 шт. на каждую пушку, установленные в центроплане самолета на плоскости ометаемой винтами. Пушки должны быть легкосъемными.</w:t>
      </w:r>
    </w:p>
    <w:p w14:paraId="46D712A4" w14:textId="77777777" w:rsidR="00A25AD1" w:rsidRPr="00DB5D0D" w:rsidRDefault="00A25AD1" w:rsidP="00DB5D0D">
      <w:pPr>
        <w:pStyle w:val="a3"/>
        <w:widowControl/>
        <w:numPr>
          <w:ilvl w:val="0"/>
          <w:numId w:val="2"/>
        </w:numPr>
        <w:tabs>
          <w:tab w:val="left" w:pos="360"/>
          <w:tab w:val="left" w:pos="11199"/>
        </w:tabs>
        <w:ind w:left="0" w:firstLine="0"/>
        <w:rPr>
          <w:color w:val="000000" w:themeColor="text1"/>
          <w:lang w:val="ru-RU"/>
        </w:rPr>
      </w:pPr>
      <w:r w:rsidRPr="00DB5D0D">
        <w:rPr>
          <w:color w:val="000000" w:themeColor="text1"/>
          <w:lang w:val="ru-RU"/>
        </w:rPr>
        <w:t>Задняя верхняя огневая точка – 1 пулемет Шкас с емкостью патронного ящика на 1000 шт. патронов.</w:t>
      </w:r>
    </w:p>
    <w:p w14:paraId="43F2F013" w14:textId="77777777" w:rsidR="00A25AD1" w:rsidRPr="00DB5D0D" w:rsidRDefault="00A25AD1" w:rsidP="00DB5D0D">
      <w:pPr>
        <w:pStyle w:val="a3"/>
        <w:widowControl/>
        <w:numPr>
          <w:ilvl w:val="0"/>
          <w:numId w:val="2"/>
        </w:numPr>
        <w:tabs>
          <w:tab w:val="left" w:pos="360"/>
          <w:tab w:val="left" w:pos="11199"/>
        </w:tabs>
        <w:ind w:left="0" w:firstLine="0"/>
        <w:rPr>
          <w:color w:val="000000" w:themeColor="text1"/>
          <w:lang w:val="ru-RU"/>
        </w:rPr>
      </w:pPr>
      <w:r w:rsidRPr="00DB5D0D">
        <w:rPr>
          <w:color w:val="000000" w:themeColor="text1"/>
          <w:lang w:val="ru-RU"/>
        </w:rPr>
        <w:t>Задняя нижняя огневая точка – 1 пулемет Шкас с емкостью патронного ящика на 500-750 шт. патронов.</w:t>
      </w:r>
    </w:p>
    <w:p w14:paraId="59F0E237" w14:textId="77777777" w:rsidR="00A25AD1" w:rsidRPr="00DB5D0D" w:rsidRDefault="00A25AD1" w:rsidP="00DB5D0D">
      <w:pPr>
        <w:pStyle w:val="a3"/>
        <w:widowControl/>
        <w:numPr>
          <w:ilvl w:val="0"/>
          <w:numId w:val="2"/>
        </w:numPr>
        <w:tabs>
          <w:tab w:val="left" w:pos="360"/>
          <w:tab w:val="left" w:pos="11199"/>
        </w:tabs>
        <w:ind w:left="0" w:firstLine="0"/>
        <w:rPr>
          <w:color w:val="000000" w:themeColor="text1"/>
          <w:lang w:val="ru-RU"/>
        </w:rPr>
      </w:pPr>
      <w:r w:rsidRPr="00DB5D0D">
        <w:rPr>
          <w:color w:val="000000" w:themeColor="text1"/>
          <w:lang w:val="ru-RU"/>
        </w:rPr>
        <w:t>Самолет должен предоставлять возможность установки в задней верхней огневой точке 12,7 мм крупнокалиберный пулемет Березина с запасом патрон 400 шт. (6622).</w:t>
      </w:r>
    </w:p>
    <w:p w14:paraId="0923459B" w14:textId="77777777" w:rsidR="00A25AD1" w:rsidRPr="00DB5D0D" w:rsidRDefault="00A25AD1" w:rsidP="00DB5D0D">
      <w:pPr>
        <w:pStyle w:val="a3"/>
        <w:widowControl/>
        <w:tabs>
          <w:tab w:val="left" w:pos="360"/>
          <w:tab w:val="left" w:pos="11199"/>
        </w:tabs>
        <w:rPr>
          <w:color w:val="000000" w:themeColor="text1"/>
          <w:lang w:val="ru-RU"/>
        </w:rPr>
      </w:pPr>
    </w:p>
    <w:p w14:paraId="2931F4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Алексеев и Князев утверждили ТТТ к ФБ (Ту-2) (ч. 1).</w:t>
      </w:r>
    </w:p>
    <w:p w14:paraId="7C89E7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- 3 чел.</w:t>
      </w:r>
    </w:p>
    <w:p w14:paraId="5191FA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Макетная комиссия состоялась 21 апреля 1940</w:t>
      </w:r>
    </w:p>
    <w:p w14:paraId="683992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РПК-2, авиагоризонт, АГП, гирополукомпас ГМШ-3, РСБ-бис, СПУ-3</w:t>
      </w:r>
    </w:p>
    <w:p w14:paraId="03B84B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до 90 гр.</w:t>
      </w:r>
    </w:p>
    <w:p w14:paraId="503DAE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предназначен для бомбометания с больших и средних высот с пикирования</w:t>
      </w:r>
    </w:p>
    <w:p w14:paraId="695D65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550-590 км/час, посадочная - 125</w:t>
      </w:r>
    </w:p>
    <w:p w14:paraId="3F0544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11000-12000 м</w:t>
      </w:r>
    </w:p>
    <w:p w14:paraId="481335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1000/3500 км с 1000 кг бомб</w:t>
      </w:r>
    </w:p>
    <w:p w14:paraId="2400D9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1000/2000</w:t>
      </w:r>
    </w:p>
    <w:p w14:paraId="4FA858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- 200-300 м, пробег - 300 м (728).</w:t>
      </w:r>
    </w:p>
    <w:p w14:paraId="0856823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CDE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 были сформулированы тактико-технические требования к самолету ФБ (фронтовой бомбардировщик). При этом требования по нормальной и максимальной бомбовой нагрузке были снижены (соответственно 1000 и 2000 кг). Кроме того, снято требование о размещении внутри бомбоотсека бомбы калибра 1000 кг, нормальная дальность полета установлена равной 1000 км (вместо 1500 км), а максимальная - 2000 км (вместо 4000 км). Такова оказалась цена отказа от «четырехмоторности». По предложению группы А.Н.Туполева проектировались два варианта самолета ФБ: первый - с реактивными выхлопными патрубками, а второй - с турбокомпрессорами. Максимальная скорость полета первого варианта машины на высоте 7000 м по расчетам составляла 630-670 км/ч, его практический потолок - 11.000-12.000 м. В варианте с турбокомпрессорами максимальная скорость полета на высоте 12.000 м ожидалась на уровне 700-740 км/ч, а практический потолок - 13.000-14.000 м. Оборонительное вооружение должно было включать: впереди в носу четыре пулемета ШКАС, либо два пулемета ШКАС в носу и две пушки калибра 23 мм в центроплане, на верхней и нижней оборонительных турелях - по одному подвижному пулемету ШКАС. Примерно при таких же тактико-технических требованиях была задана разработка самолета ПБ 2М-120 (также без гер-мокабин и турбокомпрессоров) конструкторскому коллективу И.Ф. Незваля на заводе №22 (4536).</w:t>
      </w:r>
    </w:p>
    <w:p w14:paraId="6C5081C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906B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 задним числом утвердили Тактико-технические требования к ФБ А.Н.Т. (Ту-2). В них были приняты далеко не все положения протокола совещания 1 февраля. Предусматривалась постройка трех опытных образцов, причем всех - с М-120. Два первых комплектовались М-120 с реактивными патрубками, третий - М-120ТК с турбонад- дувом. В состав оборонительного вооружения входили один пулемет ШКАС для защиты от атаки сзади- сверху и второй - в люковой установке снизу. Почему Ультра-ШКАС заменили на менее скорострельные пулеметы ШКАС? Первые просто не смогли довести до требуемого уровня надежности и поэтому сняли с серийного производства; на вооружение их так и не приняли (11988).</w:t>
      </w:r>
    </w:p>
    <w:p w14:paraId="2A6FE8C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428C77" w14:textId="77777777" w:rsidR="00BE44A8" w:rsidRPr="00DB5D0D" w:rsidRDefault="00BE44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мая</w:t>
      </w:r>
      <w:r w:rsidRPr="00DB5D0D">
        <w:rPr>
          <w:rFonts w:ascii="Times New Roman" w:hAnsi="Times New Roman"/>
          <w:color w:val="000000" w:themeColor="text1"/>
          <w:sz w:val="16"/>
          <w:szCs w:val="16"/>
        </w:rPr>
        <w:t xml:space="preserve"> в 1940 году начальник ГУАС КА комдив Алексеев подписал "Тактико-технические требования к пикирующему бомбардировщику </w:t>
      </w:r>
      <w:hyperlink r:id="rId41" w:tgtFrame="_blank" w:history="1">
        <w:r w:rsidRPr="00DB5D0D">
          <w:rPr>
            <w:rFonts w:ascii="Times New Roman" w:hAnsi="Times New Roman"/>
            <w:color w:val="000000" w:themeColor="text1"/>
            <w:sz w:val="16"/>
            <w:szCs w:val="16"/>
          </w:rPr>
          <w:t xml:space="preserve">«ФБ» («103») , «АНТ-58» </w:t>
        </w:r>
      </w:hyperlink>
      <w:r w:rsidRPr="00DB5D0D">
        <w:rPr>
          <w:rFonts w:ascii="Times New Roman" w:hAnsi="Times New Roman"/>
          <w:color w:val="000000" w:themeColor="text1"/>
          <w:sz w:val="16"/>
          <w:szCs w:val="16"/>
        </w:rPr>
        <w:t>с двумя моторами" (14893).</w:t>
      </w:r>
    </w:p>
    <w:p w14:paraId="6E13671A" w14:textId="77777777" w:rsidR="00BE44A8" w:rsidRPr="00DB5D0D" w:rsidRDefault="00BE44A8" w:rsidP="00DB5D0D">
      <w:pPr>
        <w:spacing w:after="0" w:line="240" w:lineRule="auto"/>
        <w:jc w:val="both"/>
        <w:rPr>
          <w:rFonts w:ascii="Times New Roman" w:hAnsi="Times New Roman"/>
          <w:color w:val="000000" w:themeColor="text1"/>
          <w:sz w:val="16"/>
          <w:szCs w:val="16"/>
        </w:rPr>
      </w:pPr>
    </w:p>
    <w:p w14:paraId="46B52ABC" w14:textId="77777777" w:rsidR="00AA5B6A" w:rsidRPr="00DB5D0D" w:rsidRDefault="00AA5B6A"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16 мая 1940 г. задним числом утвердили Тактико-технические требования к ФБ. В них были приняты далеко не все положения протокола совещания 1 февраля. Предусматривалась постройка трех опытных образцов, причем всех - с М-120. Два первых комплектовались М-120 с реактивными патрубками, тре</w:t>
      </w:r>
      <w:r w:rsidRPr="00DB5D0D">
        <w:rPr>
          <w:rFonts w:ascii="Times New Roman" w:hAnsi="Times New Roman"/>
          <w:color w:val="0070C0"/>
          <w:sz w:val="16"/>
          <w:szCs w:val="16"/>
          <w:lang w:eastAsia="ru-RU" w:bidi="ru-RU"/>
        </w:rPr>
        <w:softHyphen/>
        <w:t>тий - М-120ТК с турбонаддувом. В состав оборонительного вооружения входили один пулемет ШКАС для защиты от атаки сзади-сверху и второй - в люковой уста</w:t>
      </w:r>
      <w:r w:rsidRPr="00DB5D0D">
        <w:rPr>
          <w:rFonts w:ascii="Times New Roman" w:hAnsi="Times New Roman"/>
          <w:color w:val="0070C0"/>
          <w:sz w:val="16"/>
          <w:szCs w:val="16"/>
          <w:lang w:eastAsia="ru-RU" w:bidi="ru-RU"/>
        </w:rPr>
        <w:softHyphen/>
        <w:t>новке снизу. Почему Ультра-ШКАС заме</w:t>
      </w:r>
      <w:r w:rsidRPr="00DB5D0D">
        <w:rPr>
          <w:rFonts w:ascii="Times New Roman" w:hAnsi="Times New Roman"/>
          <w:color w:val="0070C0"/>
          <w:sz w:val="16"/>
          <w:szCs w:val="16"/>
          <w:lang w:eastAsia="ru-RU" w:bidi="ru-RU"/>
        </w:rPr>
        <w:softHyphen/>
        <w:t>нили на менее скорострельные пулеметы ШКАС? Первые просто не смогли довести до требуемого уровня надежности и по</w:t>
      </w:r>
      <w:r w:rsidRPr="00DB5D0D">
        <w:rPr>
          <w:rFonts w:ascii="Times New Roman" w:hAnsi="Times New Roman"/>
          <w:color w:val="0070C0"/>
          <w:sz w:val="16"/>
          <w:szCs w:val="16"/>
          <w:lang w:eastAsia="ru-RU" w:bidi="ru-RU"/>
        </w:rPr>
        <w:softHyphen/>
        <w:t>этому сняли с серийного производства; на вооружение их так и не приняли (21061).</w:t>
      </w:r>
    </w:p>
    <w:p w14:paraId="2F353FE5" w14:textId="77777777" w:rsidR="00AA5B6A" w:rsidRPr="00DB5D0D" w:rsidRDefault="00AA5B6A" w:rsidP="00DB5D0D">
      <w:pPr>
        <w:spacing w:after="0" w:line="240" w:lineRule="auto"/>
        <w:jc w:val="both"/>
        <w:rPr>
          <w:rFonts w:ascii="Times New Roman" w:hAnsi="Times New Roman"/>
          <w:color w:val="0070C0"/>
          <w:sz w:val="16"/>
          <w:szCs w:val="16"/>
        </w:rPr>
      </w:pPr>
    </w:p>
    <w:p w14:paraId="7967414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 вышел приказ НИИ ВВС № 085</w:t>
      </w:r>
    </w:p>
    <w:p w14:paraId="09407CA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производстве облета самолета «100» 2М-105 с 2ТК (6891, 161).</w:t>
      </w:r>
    </w:p>
    <w:p w14:paraId="09FA617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578F8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16 мая по 25 июня 1940 года проходили испытаниям самолета СБ 2М-103А № 1/286 эталона первого полугодия 1940 года</w:t>
      </w:r>
    </w:p>
    <w:p w14:paraId="6CF283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2EB9F1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Мальцев</w:t>
      </w:r>
    </w:p>
    <w:p w14:paraId="2E7E45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Стадник</w:t>
      </w:r>
    </w:p>
    <w:p w14:paraId="3D4F4F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41 день</w:t>
      </w:r>
    </w:p>
    <w:p w14:paraId="2696A2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11 дней</w:t>
      </w:r>
    </w:p>
    <w:p w14:paraId="7BDC00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Проведено полетов – 49</w:t>
      </w:r>
    </w:p>
    <w:p w14:paraId="421729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Часов налета – 24 час. 35 мин.</w:t>
      </w:r>
    </w:p>
    <w:p w14:paraId="0D9C8D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49FB46A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летные данные самолета.</w:t>
      </w:r>
    </w:p>
    <w:p w14:paraId="47D1652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винто-моторной группы, оборудования и вооружения.</w:t>
      </w:r>
    </w:p>
    <w:p w14:paraId="472375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 2М-103А № 1/286 с винтами ВИШ-22 представлен на основании заключения НИИ ВВС по испытаниям эталона самолета СБ первой половины 1940 года № 1/257. Самолет представлен 15 мая 1940 года вместо указанного в заключении срока – 25 апреля 1940 года. Все требования к эталону самолета СБ первой половины 1940 года не выполненные на самолете № 1/257 на данном самолете № 1/286 выполнены.</w:t>
      </w:r>
    </w:p>
    <w:p w14:paraId="36641B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97CBCB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самолет СБ 2М103А № 1/286 эталоном служить не может из-за большого количества дефектов и недоделок в произведенных изменениях на самолете (4477).</w:t>
      </w:r>
    </w:p>
    <w:p w14:paraId="0160F1C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7F2840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завод 22 представил соображения о самолете СБ-РК в серийном выпуске (1165).</w:t>
      </w:r>
    </w:p>
    <w:p w14:paraId="4646F1F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BD5524" w14:textId="77777777" w:rsidR="00BE44A8" w:rsidRPr="00DB5D0D" w:rsidRDefault="00BE44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мая</w:t>
      </w:r>
      <w:r w:rsidRPr="00DB5D0D">
        <w:rPr>
          <w:rFonts w:ascii="Times New Roman" w:hAnsi="Times New Roman"/>
          <w:color w:val="000000" w:themeColor="text1"/>
          <w:sz w:val="16"/>
          <w:szCs w:val="16"/>
        </w:rPr>
        <w:t xml:space="preserve"> в 1940 году завершились (с 11 мая) госиспытания в НИИ ВВС КА самолета </w:t>
      </w:r>
      <w:hyperlink r:id="rId42" w:tgtFrame="_blank" w:history="1">
        <w:r w:rsidRPr="00DB5D0D">
          <w:rPr>
            <w:rFonts w:ascii="Times New Roman" w:hAnsi="Times New Roman"/>
            <w:color w:val="000000" w:themeColor="text1"/>
            <w:sz w:val="16"/>
            <w:szCs w:val="16"/>
          </w:rPr>
          <w:t xml:space="preserve">«СБ-РК» </w:t>
        </w:r>
      </w:hyperlink>
      <w:r w:rsidRPr="00DB5D0D">
        <w:rPr>
          <w:rFonts w:ascii="Times New Roman" w:hAnsi="Times New Roman"/>
          <w:color w:val="000000" w:themeColor="text1"/>
          <w:sz w:val="16"/>
          <w:szCs w:val="16"/>
        </w:rPr>
        <w:t>N2/281. Ведущим инженером по испытаниям был военинженер 2-го ранга Ефимов, ведущим летчиком - полковник А.И.Кабанов. Было совершено 10 полетов с общим налетом 7 часов 25 минут. Облет самолета выполнили капитан Хрипков, майор П.М.Стефановский, капитан А.К.Долгов, бригадный инженер Щербаков и майор Соколов (14893).</w:t>
      </w:r>
    </w:p>
    <w:p w14:paraId="3C7819B3" w14:textId="77777777" w:rsidR="00BE44A8" w:rsidRPr="00DB5D0D" w:rsidRDefault="00BE44A8" w:rsidP="00DB5D0D">
      <w:pPr>
        <w:spacing w:after="0" w:line="240" w:lineRule="auto"/>
        <w:jc w:val="both"/>
        <w:rPr>
          <w:rFonts w:ascii="Times New Roman" w:hAnsi="Times New Roman"/>
          <w:color w:val="000000" w:themeColor="text1"/>
          <w:sz w:val="16"/>
          <w:szCs w:val="16"/>
        </w:rPr>
      </w:pPr>
    </w:p>
    <w:p w14:paraId="667EB6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Дир. завода 22 Окулов и ГК А.А.А. писали письмо N 5288с:</w:t>
      </w:r>
    </w:p>
    <w:p w14:paraId="2636C6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 дали указание нашему заводу смонтировать на 10 самолетах СБ ТК-2 изготовления завода 26. Во исполнение этого завод 22 выполнил на одной из машин СБ точную макетную установку ТК-2, которая позволяет сделать следующее заключение:</w:t>
      </w:r>
    </w:p>
    <w:p w14:paraId="1E6872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установка ТК завода 26 на правом моторе получается удовлетворительной</w:t>
      </w:r>
    </w:p>
    <w:p w14:paraId="27F816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установка ТК-2 на левом моторе получается неудовлетворительной, т.к. улитка ТК не позволяет сделать установку ТК симметричной и в силу этого холодные трубы налезают одна на другую...</w:t>
      </w:r>
    </w:p>
    <w:p w14:paraId="739464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Макетная установка ТК-2 была дважды предъявлена комиссии из представителей ГУАС КА, НИИ ВВС, завода 22 и завода 26 и протоколами от 25 апреля и 27 апреля она признала установку ТК на левом моторе неудовлетворительной и для серии неприемлемой (кроме пред. завода 26)...(1165).</w:t>
      </w:r>
    </w:p>
    <w:p w14:paraId="1ED9C96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0F40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16 мая 1940 года N 1940 года c письмом N 5317с А.А.К. направил Соображения о самолете СБ-РК в серийном выпуске:</w:t>
      </w:r>
    </w:p>
    <w:p w14:paraId="781F5D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отдел завода N 22 подготовляет машину СБ-РК для серийного производства в следующем виде:</w:t>
      </w:r>
    </w:p>
    <w:p w14:paraId="665BFA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Отъемные части крыла уменьшенной площади (на 7,7 кв. м) по типу самолета "ММН". В обоих крыльях монтируются водорадиаторы трубчато-ребристого типа в специальных тоннелях с жалюзи на выходе для регулировки температур (см. прилагаемый чертеж).</w:t>
      </w:r>
    </w:p>
    <w:p w14:paraId="71AF38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Тормозные щитки на ц-не и отъемах увеличенной площади (по "ММН").</w:t>
      </w:r>
    </w:p>
    <w:p w14:paraId="6A0BA2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Вертикальное оперение несколько уменьшено по высоте (по "ММН").</w:t>
      </w:r>
    </w:p>
    <w:p w14:paraId="5B695F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Штурманская кабина (тоже по типу самолета ММН) значительно расширенная по габаритам и заостренная впереди со вторым управлением и улучшенной связью с летчиком. (Описание передней стрелковой точки на этой кабине см. ниже).</w:t>
      </w:r>
    </w:p>
    <w:p w14:paraId="747570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Ввиду переноса радиатора в крыло самолета, винтомоторная группа делается значительно более суженная и обтекаемой по сравнению с серийной машиной "Н".</w:t>
      </w:r>
    </w:p>
    <w:p w14:paraId="585F5F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Капоты сделаны легкосъемными на замках Ферри и обеспечивают полный доступ ко всем частям мотора.</w:t>
      </w:r>
    </w:p>
    <w:p w14:paraId="5DD8CF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Всасывающий патрубок направлен вниз.</w:t>
      </w:r>
    </w:p>
    <w:p w14:paraId="619EB9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Выхлопные коллектора упрощенной конструкции и более обтекаемой формы.</w:t>
      </w:r>
    </w:p>
    <w:p w14:paraId="214116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Моторама сварной конструкции легче по весу и тоже более простая в производстве.</w:t>
      </w:r>
    </w:p>
    <w:p w14:paraId="590C53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Механизм управления наружной подвеской по принципу работы ничем не отличается от существующего механизма за исключением того, что на нем не будет переключателя с бомб на химию и обратно. такое переключение в этом механизме осуществляется автоматически.</w:t>
      </w:r>
    </w:p>
    <w:p w14:paraId="48EA76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Замок "актив-пассив" составляет одно целое с механизмом управления наружной подвеской.</w:t>
      </w:r>
    </w:p>
    <w:p w14:paraId="65D526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изменение наружного держателя, вся система управления сбрасывания бомб, как электрическая так и механическая, остается без изменения.</w:t>
      </w:r>
    </w:p>
    <w:p w14:paraId="3D44F2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Подъем груза на наружный держатель осуществляется с помощью лебедки, укрепленного также как и на существующих серийных машинах на вилке шасси.</w:t>
      </w:r>
    </w:p>
    <w:p w14:paraId="191057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В связи с изменением штурманской кабины (см. пункт 4), носовая установка будет иметь один пулемет, установленный на яблоке с конусным обстрелом по типу машины ДБ-3. для данной установки используются детали яблока и стабилизированного прицела, идущие в настоящее время в серийном производстве на заводе N 32. Запас патронов 500-600 штук угол обстрела тот же, что и на ДБ-3.</w:t>
      </w:r>
    </w:p>
    <w:p w14:paraId="22FE85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Учитывая, что существующий фонарь на МВ-3 задней стрелковой точки очень резко выделяется из габаритов самолета и тем самым отрицательно влияет на скорость машины для самолета СБ-РК на ту же турель МВ-3 сконструирован новый фонарь, складывающийся в полете, как это показано на прилагаемом чертеже. Этот фонарь даже и в боевом положении будет более аэродинамичен чем фонарь МВ-3.</w:t>
      </w:r>
    </w:p>
    <w:p w14:paraId="194C64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Изменение фонаря не потребует изменения самой турели МВ-3 за исключением следующих деталей:</w:t>
      </w:r>
    </w:p>
    <w:p w14:paraId="22C64B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Патрубок входа ленты в головку питания пулемета делается новый.</w:t>
      </w:r>
    </w:p>
    <w:p w14:paraId="2C40BA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Вместо существующего одного патронного ящика на 1000 патронов, делается два ящика общей емкостью 1100-1200 патронов.</w:t>
      </w:r>
    </w:p>
    <w:p w14:paraId="4A4CFB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На самолете СБ-РК устанавливается убирающаяся, откидывающаяся люковая установка МВ-2.</w:t>
      </w:r>
    </w:p>
    <w:p w14:paraId="0651F5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радио-полукомпас "Чайка" устанавливается в фюзеляже (центроплан), так как это было выполнено на машине СБ N 8/204.</w:t>
      </w:r>
    </w:p>
    <w:p w14:paraId="114F3C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Для улучшения обтекаемости клепку всего самолета крайне желательно вести впотай, что безусловно даст прирост в скорости.</w:t>
      </w:r>
    </w:p>
    <w:p w14:paraId="27CCCB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для облегчения веса желательно делать рули высоты и поворота с полотняной обшивкой (по изготовленным и испытанным образцам). (Гл. конструктор з-да 22 Архангельский) (1165).</w:t>
      </w:r>
    </w:p>
    <w:p w14:paraId="76B1758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F630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 закончились госиспытания в НИИ ВВС КА самолета СБ-РК № 2/281, которые проходили с с 11 мая. Ведущим инженером по испытаниям был вое-нинженер 2-го ранга Ефимов, ведущим летчиком - полковник А. И. Кабанов. Было совершено 10 полетов с общим налетом 7 часов 25 минут. Облет самолета выполнили капитан Хрипков. майор П. М. Стефановский, капитан А. К. Долгов, бригадный инженер Щербаков и майор Соколов.</w:t>
      </w:r>
    </w:p>
    <w:p w14:paraId="4FC0DE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основным изменениям в конструкции самолета СБ-РК, УПОМЯНУТЫМ выше, следует добавить, что в левом крыле помещался сотовый радиатор блочной конструкции (водяной и водо-масляный радиаторы в одном агрегате). В правом крыле - ребристый водо-радиатор и отдельно водомасляный радиатор. Всасывающий патрубок стоял под капотом по типу самолета ММН, но с улучшенной формой канала. Были поставлены новые выхлопные коллектора. новая моторама и новые капоты. Фонарь пилота сделан утопленным в закрытом положении. В связи с установкой радиаторов в крыле уменьшена емкость бензобаков на 340 л (на 250 кг). Благодаря улучшенной аэродинамике машины это практически не сказалось на дальности полетов.</w:t>
      </w:r>
    </w:p>
    <w:p w14:paraId="3536EA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был предъявлен на госиспытания без турелей МВ-3 и МВ-2 и без наружных балок для подвески бомб. Архангельский представил лишь чертежи их установки на СБ-РК. Клепка впотай выполнялась только по передней кромке крыла. Консоли крыла были неудовлетворительного качества - на поверхности имелись значительные ВЫПУКЛОСТИ, ВОГНУТОСТИ и т.д. При полетном весе 6300 кг были получены следующие летные данные: максимальная скорость у земли 41 1 км/ч. на расчетной высоте 4700 м - 480 км/ч. Время набора высоты 5000 м - 8,55 мин. практический потолок - 10100 м. По сравнению с серийными (СБ 221-й серии) прирост максимальной скорости составил 33 км/ч, а по сравнению с самолетом ММН 2М-105 - 22 км/ч. Это достигалось за счет более удачного размещения радиаторов и более лучшего капотирования моторов. Отмечалось. что у СБ-РК получено снижение веса конструкции на 270 кг, из них за счет крыла - 110 кг, моторамы и капотов -на 87 кг и водорадиаторов - на 70 кг.</w:t>
      </w:r>
    </w:p>
    <w:p w14:paraId="16D2B7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по испытаниям указывалось:</w:t>
      </w:r>
    </w:p>
    <w:p w14:paraId="2CE564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предъявлен в недоведенном виде - без задних стрелковых точек. без замков наружной подвески, с разными радиаторами в консолях с уменьшенным запасом топлива и без системы нейтрального газа. следует добавить - и с плохим качеством изготовления, и поэтому не может рассматриваться как образец для серии.</w:t>
      </w:r>
    </w:p>
    <w:p w14:paraId="7740A4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выше. следует добавить, что основные идеи путей совершенствования СБ подтвердились.</w:t>
      </w:r>
    </w:p>
    <w:p w14:paraId="05EA3B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...Полетные качества в основном как у обычных СБ, но по технике пилотирования отличается.</w:t>
      </w:r>
    </w:p>
    <w:p w14:paraId="05F057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...Температурный режим следует проверить дополнительно.</w:t>
      </w:r>
    </w:p>
    <w:p w14:paraId="706055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...Новые моторамы обеспечивают лучшее и более аэродинамичное капотирование моторов, лучший подход к карбюраторам и возможность снятия нижней крышки картера. Однако отмечается недостаточная вибростойкость капота.</w:t>
      </w:r>
    </w:p>
    <w:p w14:paraId="3AC1A3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не проходило статиспытания.</w:t>
      </w:r>
    </w:p>
    <w:p w14:paraId="31A797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июля 1940 г. приступить к изготовлению серии в количестве 15 шт. самолетов СБ-РК.</w:t>
      </w:r>
    </w:p>
    <w:p w14:paraId="057513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 представить эталон самолета".</w:t>
      </w:r>
    </w:p>
    <w:p w14:paraId="7770D6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Фонарь пилота отличается тем, что его сдвижная часть в закрытом положении устанавливалась заподлицо с обводами фюзеляжа. Следовательно, устранялась ступенька в 30-45 мм по всему поперечному сечению фонаря. Как следствие, исключалось задувание потока в кабину во время полета. Для сдвигания сдвижной части фонаря использовались рейки, искривленные в двух плоскостях. Благодаря этому фонарь свободно проходил во внутреннюю часть фюзеляжа и легко закрывался и открывался на земле и в воздухе.</w:t>
      </w:r>
    </w:p>
    <w:p w14:paraId="3EEFE1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Консоли крыла изготовлялись по типу ММН. Поперечное V крыла было увеличено с 6° 20' до 6° 50', а "стрель-чатость" - с 8° 25' до 12° 30'. На правой консоли от разъема до 6-й нервюры в специальном тоннеле был установлен пластинчатый водорадиатор с выходом за вторым лонжероном на верхнюю поверхность крыла. На выходе поставлены жалюзи, которые можно регулировать штурвалом из кабины летчика. На левой консоли - сотовый радиатор в таком же тоннеле, имеющий специальный отсек для охлаждения масла. Два разных радиатора стояли для того, чтобы оценить, какой эффективнее. Охлаждающая поверхность у пластинчатого радиатора была больше.</w:t>
      </w:r>
    </w:p>
    <w:p w14:paraId="139F91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 шасси был таким же, как на серийном самолете СБ, только наружные обводы его были несколько сужены в связи с уменьшением обводов капота мотора.</w:t>
      </w:r>
    </w:p>
    <w:p w14:paraId="6B8DC2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 мотора значительно сужен и имел удобообтекаемую форму. Обшивка капота состояла из 5-ти легкосъем-ных крышек, обеспечивающих хороший подход к мотору.</w:t>
      </w:r>
    </w:p>
    <w:p w14:paraId="3879C2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Моторная рама - новая сварная из хромансилевых труб. Всасывающий патрубок размещался снизу под капотом мотора и имел улучшенную форму внутреннего канала. Кроме того, для уменьшения сопротивления патрубок имел обтекатель.</w:t>
      </w:r>
    </w:p>
    <w:p w14:paraId="322B3C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Известно, что был построен второй экземпляр СБ-РК № 2/282, но на официальные испытания он не предъявлялся (9655).</w:t>
      </w:r>
    </w:p>
    <w:p w14:paraId="3FBBE67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68459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у Б.Кудрина на СПБ N 2/1 в полете отлетело ушко триммера левого руля направления и с трудом сел на ЦА (1365,5).</w:t>
      </w:r>
    </w:p>
    <w:p w14:paraId="3E79355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FFA5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 летчик Кудрин на СПБ № 2-0 из-за производст</w:t>
      </w:r>
      <w:r w:rsidRPr="00DB5D0D">
        <w:rPr>
          <w:rFonts w:ascii="Times New Roman" w:hAnsi="Times New Roman"/>
          <w:color w:val="000000" w:themeColor="text1"/>
          <w:sz w:val="16"/>
          <w:szCs w:val="16"/>
        </w:rPr>
        <w:softHyphen/>
        <w:t>венного дефекта попал в аварию: отлетело ушко трим</w:t>
      </w:r>
      <w:r w:rsidRPr="00DB5D0D">
        <w:rPr>
          <w:rFonts w:ascii="Times New Roman" w:hAnsi="Times New Roman"/>
          <w:color w:val="000000" w:themeColor="text1"/>
          <w:sz w:val="16"/>
          <w:szCs w:val="16"/>
        </w:rPr>
        <w:softHyphen/>
        <w:t>мера левого руля направления. Кудрин с трудом погасил скорость и произвел посадку на Центральном аэродроме. После этого начальник ГУАС КА в новом письме наркому обороны стал ратовать за запуск в производст</w:t>
      </w:r>
      <w:r w:rsidRPr="00DB5D0D">
        <w:rPr>
          <w:rFonts w:ascii="Times New Roman" w:hAnsi="Times New Roman"/>
          <w:color w:val="000000" w:themeColor="text1"/>
          <w:sz w:val="16"/>
          <w:szCs w:val="16"/>
        </w:rPr>
        <w:softHyphen/>
        <w:t>во самолет «100», прекратив выпуск СПБ. Позже об этом же Смушкевич писал наркому авиапромышленно</w:t>
      </w:r>
      <w:r w:rsidRPr="00DB5D0D">
        <w:rPr>
          <w:rFonts w:ascii="Times New Roman" w:hAnsi="Times New Roman"/>
          <w:color w:val="000000" w:themeColor="text1"/>
          <w:sz w:val="16"/>
          <w:szCs w:val="16"/>
        </w:rPr>
        <w:softHyphen/>
        <w:t>сти Шахурину.</w:t>
      </w:r>
    </w:p>
    <w:p w14:paraId="4C7D96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участь самолета уже была решена, но испытания пока продолжались. 27 мая М.А.Липкин вы</w:t>
      </w:r>
      <w:r w:rsidRPr="00DB5D0D">
        <w:rPr>
          <w:rFonts w:ascii="Times New Roman" w:hAnsi="Times New Roman"/>
          <w:color w:val="000000" w:themeColor="text1"/>
          <w:sz w:val="16"/>
          <w:szCs w:val="16"/>
        </w:rPr>
        <w:softHyphen/>
        <w:t>летел на СПБ № 3-1. На высоте 2000 м упало давление масла правого двигателя. Выключив его, Липкин пошел на посадку на аэродром завода № 22, заполненный се</w:t>
      </w:r>
      <w:r w:rsidRPr="00DB5D0D">
        <w:rPr>
          <w:rFonts w:ascii="Times New Roman" w:hAnsi="Times New Roman"/>
          <w:color w:val="000000" w:themeColor="text1"/>
          <w:sz w:val="16"/>
          <w:szCs w:val="16"/>
        </w:rPr>
        <w:softHyphen/>
        <w:t>рийной продукцией - бомбардировщиками СБ. Немно</w:t>
      </w:r>
      <w:r w:rsidRPr="00DB5D0D">
        <w:rPr>
          <w:rFonts w:ascii="Times New Roman" w:hAnsi="Times New Roman"/>
          <w:color w:val="000000" w:themeColor="text1"/>
          <w:sz w:val="16"/>
          <w:szCs w:val="16"/>
        </w:rPr>
        <w:softHyphen/>
        <w:t>го недотянув до начала посадочной полосы, Липкин задел стабилизатором винт СБ. Самолет ударился о зем</w:t>
      </w:r>
      <w:r w:rsidRPr="00DB5D0D">
        <w:rPr>
          <w:rFonts w:ascii="Times New Roman" w:hAnsi="Times New Roman"/>
          <w:color w:val="000000" w:themeColor="text1"/>
          <w:sz w:val="16"/>
          <w:szCs w:val="16"/>
        </w:rPr>
        <w:softHyphen/>
        <w:t>лю, подпрыгнул, снес шасси и упал. Экипаж остался жив (10667).</w:t>
      </w:r>
    </w:p>
    <w:p w14:paraId="08F6A19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A24A5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16 мая 1940 года вышел приказ НИИ ВВС № 094</w:t>
      </w:r>
    </w:p>
    <w:p w14:paraId="050ACAB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двухмоторного пикирующего бомбардировщика Ю-88 (6891, 184).</w:t>
      </w:r>
    </w:p>
    <w:p w14:paraId="0A0EAF1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06091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в ходе заводских испытаний И-200 А.И.М, которые проходили с 31 марта по 17 августа 1940, на И-200-1 был выполнен полет на километраж и снятие скоростей по высотам (16 по счету) (2988).</w:t>
      </w:r>
    </w:p>
    <w:p w14:paraId="43BE7EE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FFB59E"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16 мая 1940 г. после дора</w:t>
      </w:r>
      <w:r w:rsidRPr="00DB5D0D">
        <w:rPr>
          <w:rFonts w:ascii="Times New Roman" w:hAnsi="Times New Roman"/>
          <w:color w:val="0070C0"/>
          <w:sz w:val="16"/>
          <w:szCs w:val="16"/>
          <w:lang w:eastAsia="ru-RU" w:bidi="ru-RU"/>
        </w:rPr>
        <w:softHyphen/>
        <w:t>ботки радиаторов на И-200-1 слетали нормально, причем и на дальность, и на скорость по высотам. Но 17-го снова произошло ЧП - на показе высшего пилотажа из-за неу</w:t>
      </w:r>
      <w:r w:rsidRPr="00DB5D0D">
        <w:rPr>
          <w:rFonts w:ascii="Times New Roman" w:hAnsi="Times New Roman"/>
          <w:color w:val="0070C0"/>
          <w:sz w:val="16"/>
          <w:szCs w:val="16"/>
          <w:lang w:eastAsia="ru-RU" w:bidi="ru-RU"/>
        </w:rPr>
        <w:softHyphen/>
        <w:t>дачной конструкции поплавка карбюра</w:t>
      </w:r>
      <w:r w:rsidRPr="00DB5D0D">
        <w:rPr>
          <w:rFonts w:ascii="Times New Roman" w:hAnsi="Times New Roman"/>
          <w:color w:val="0070C0"/>
          <w:sz w:val="16"/>
          <w:szCs w:val="16"/>
          <w:lang w:eastAsia="ru-RU" w:bidi="ru-RU"/>
        </w:rPr>
        <w:softHyphen/>
        <w:t>тора К-35 остановился мотор (21686).</w:t>
      </w:r>
    </w:p>
    <w:p w14:paraId="6DE759C5" w14:textId="77777777" w:rsidR="00AA5B6A" w:rsidRPr="00DB5D0D" w:rsidRDefault="00AA5B6A" w:rsidP="00DB5D0D">
      <w:pPr>
        <w:spacing w:after="0" w:line="240" w:lineRule="auto"/>
        <w:jc w:val="both"/>
        <w:rPr>
          <w:rFonts w:ascii="Times New Roman" w:hAnsi="Times New Roman"/>
          <w:color w:val="0070C0"/>
          <w:sz w:val="16"/>
          <w:szCs w:val="16"/>
        </w:rPr>
      </w:pPr>
    </w:p>
    <w:p w14:paraId="25CBAABE"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мая 1940 года было подписано постановление № 206сс «Об организации серийного производства самолета И-26 конструкции Яковлева на заводе № 301». «Триумвират» был вынужден искать союзников на стороне, и вскоре действительно нашли, причем, в буквальном смысле на той стороне, точнее – на другом конце Ленинградского шоссе, на которое выходили окна заводоуправления 301-го завода. Руководство ленинградского авиазавода № 23, к слову, не менее пригодного к производству яковлевского истребителя, с пониманием отнеслось к предложению организации серийного производства И-301 на их предприятии. Члены «триумвирата» обратились в ГУАС КА и, видимо, с учетом письма А.И. Шахурина, нашли там понимание (23183).</w:t>
      </w:r>
    </w:p>
    <w:p w14:paraId="11621504" w14:textId="77777777" w:rsidR="00AA5B6A" w:rsidRPr="00DB5D0D" w:rsidRDefault="00AA5B6A" w:rsidP="00DB5D0D">
      <w:pPr>
        <w:spacing w:after="0" w:line="240" w:lineRule="auto"/>
        <w:jc w:val="both"/>
        <w:rPr>
          <w:rFonts w:ascii="Times New Roman" w:hAnsi="Times New Roman"/>
          <w:color w:val="0070C0"/>
          <w:sz w:val="16"/>
          <w:szCs w:val="16"/>
        </w:rPr>
      </w:pPr>
    </w:p>
    <w:p w14:paraId="7ACCF3B2"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16 мая 1940 вышло Постановление Комитета обороны при СНК СССР № 206сс "Об организации серийного производства самолета И-26 конструкции тов. Яковлева на заводе № 301"</w:t>
      </w:r>
    </w:p>
    <w:p w14:paraId="23ADEB2D"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целях организации серийного производства самолета И-26 конструкции т. Яковлева, Комитет Обороны при СНК Сою</w:t>
      </w:r>
      <w:r w:rsidRPr="00DB5D0D">
        <w:rPr>
          <w:rFonts w:ascii="Times New Roman" w:hAnsi="Times New Roman"/>
          <w:color w:val="0070C0"/>
          <w:sz w:val="16"/>
          <w:szCs w:val="16"/>
        </w:rPr>
        <w:softHyphen/>
        <w:t>за ССР постановляет:</w:t>
      </w:r>
    </w:p>
    <w:p w14:paraId="6223EC65"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1.Обязать НКАП т. Шахурина А.И. и директора завода № 301 тов. Эскина обеспечить подготовку завода для серийно</w:t>
      </w:r>
      <w:r w:rsidRPr="00DB5D0D">
        <w:rPr>
          <w:rFonts w:ascii="Times New Roman" w:hAnsi="Times New Roman"/>
          <w:color w:val="0070C0"/>
          <w:sz w:val="16"/>
          <w:szCs w:val="16"/>
        </w:rPr>
        <w:softHyphen/>
        <w:t>го производства самолета И-26, обеспечив выпуск их в коли</w:t>
      </w:r>
      <w:r w:rsidRPr="00DB5D0D">
        <w:rPr>
          <w:rFonts w:ascii="Times New Roman" w:hAnsi="Times New Roman"/>
          <w:color w:val="0070C0"/>
          <w:sz w:val="16"/>
          <w:szCs w:val="16"/>
        </w:rPr>
        <w:softHyphen/>
        <w:t>чествах :</w:t>
      </w:r>
    </w:p>
    <w:p w14:paraId="1730D0BC"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1940 году - 100 штук</w:t>
      </w:r>
    </w:p>
    <w:p w14:paraId="46C4814E"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1941 году - 800 штук.</w:t>
      </w:r>
    </w:p>
    <w:p w14:paraId="7BA17256"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2.Для обеспечения выполнения установленной программы, обязать:</w:t>
      </w:r>
    </w:p>
    <w:p w14:paraId="7BAC47BF"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Экономсовет при СНК СССР выделить дополнительно сверх фондов НКАП в 1940 году 150 штук металлорежущих стан</w:t>
      </w:r>
      <w:r w:rsidRPr="00DB5D0D">
        <w:rPr>
          <w:rFonts w:ascii="Times New Roman" w:hAnsi="Times New Roman"/>
          <w:color w:val="0070C0"/>
          <w:sz w:val="16"/>
          <w:szCs w:val="16"/>
        </w:rPr>
        <w:softHyphen/>
        <w:t>ков по спесификации НКАП, из коих: в третьем квартале 80 станков и в четвертом квартале 70 станков.</w:t>
      </w:r>
    </w:p>
    <w:p w14:paraId="1B4969FE"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Наркомфин СССР тов. Зверева выделить заводу № 301 из резервного фонда СНК СССР дополнительно 9,0 млн. рублей на приобретение оборудования и окончание строительства сбо</w:t>
      </w:r>
      <w:r w:rsidRPr="00DB5D0D">
        <w:rPr>
          <w:rFonts w:ascii="Times New Roman" w:hAnsi="Times New Roman"/>
          <w:color w:val="0070C0"/>
          <w:sz w:val="16"/>
          <w:szCs w:val="16"/>
        </w:rPr>
        <w:softHyphen/>
        <w:t>рочного корпуса, кузницы, ангара, стандартных домов и дру</w:t>
      </w:r>
      <w:r w:rsidRPr="00DB5D0D">
        <w:rPr>
          <w:rFonts w:ascii="Times New Roman" w:hAnsi="Times New Roman"/>
          <w:color w:val="0070C0"/>
          <w:sz w:val="16"/>
          <w:szCs w:val="16"/>
        </w:rPr>
        <w:softHyphen/>
        <w:t>гих об"ектов, а также для постановки серийного производст</w:t>
      </w:r>
      <w:r w:rsidRPr="00DB5D0D">
        <w:rPr>
          <w:rFonts w:ascii="Times New Roman" w:hAnsi="Times New Roman"/>
          <w:color w:val="0070C0"/>
          <w:sz w:val="16"/>
          <w:szCs w:val="16"/>
        </w:rPr>
        <w:softHyphen/>
        <w:t>ва 4,0 млн. рублей.</w:t>
      </w:r>
    </w:p>
    <w:p w14:paraId="6A73F5A2"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Госплан СССР выделить фонды на строительные мате</w:t>
      </w:r>
      <w:r w:rsidRPr="00DB5D0D">
        <w:rPr>
          <w:rFonts w:ascii="Times New Roman" w:hAnsi="Times New Roman"/>
          <w:color w:val="0070C0"/>
          <w:sz w:val="16"/>
          <w:szCs w:val="16"/>
        </w:rPr>
        <w:softHyphen/>
        <w:t>риалы, сантехническое оборудование и электроматериалы по спесификациям и срокам НКАП.</w:t>
      </w:r>
    </w:p>
    <w:p w14:paraId="7DA3492D"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НКЛес СССР выделить заводу № 301 в 1940 году пять стандартных домов, в 1941 году пятнадцать стандартных домов.</w:t>
      </w:r>
    </w:p>
    <w:p w14:paraId="7C3B30D1"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Мосоолисполком произнести прирезку земельного уча</w:t>
      </w:r>
      <w:r w:rsidRPr="00DB5D0D">
        <w:rPr>
          <w:rFonts w:ascii="Times New Roman" w:hAnsi="Times New Roman"/>
          <w:color w:val="0070C0"/>
          <w:sz w:val="16"/>
          <w:szCs w:val="16"/>
        </w:rPr>
        <w:softHyphen/>
        <w:t>стка заводу № 301 от территории ЦНИИМОД и НКЛеса СССР (30 метров но ширине и 250 метров по длине) для устройства до</w:t>
      </w:r>
      <w:r w:rsidRPr="00DB5D0D">
        <w:rPr>
          <w:rFonts w:ascii="Times New Roman" w:hAnsi="Times New Roman"/>
          <w:color w:val="0070C0"/>
          <w:sz w:val="16"/>
          <w:szCs w:val="16"/>
        </w:rPr>
        <w:softHyphen/>
        <w:t>роги для транспортировки самолетов на аэродром, в соответ</w:t>
      </w:r>
      <w:r w:rsidRPr="00DB5D0D">
        <w:rPr>
          <w:rFonts w:ascii="Times New Roman" w:hAnsi="Times New Roman"/>
          <w:color w:val="0070C0"/>
          <w:sz w:val="16"/>
          <w:szCs w:val="16"/>
        </w:rPr>
        <w:softHyphen/>
        <w:t>ствии с планировкой завода № 301, а также отвести участок для строительства 15 стандартных домов.</w:t>
      </w:r>
    </w:p>
    <w:p w14:paraId="05CCAA4E"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е) Коммунальный банк СССР выделить заводу № 301 ссуду в размере 500 тыс. рублей на индивидуальное жилстроительство для рабочих и ИТР завода, из них в 1940 году 200 тысяч руб</w:t>
      </w:r>
      <w:r w:rsidRPr="00DB5D0D">
        <w:rPr>
          <w:rFonts w:ascii="Times New Roman" w:hAnsi="Times New Roman"/>
          <w:color w:val="0070C0"/>
          <w:sz w:val="16"/>
          <w:szCs w:val="16"/>
        </w:rPr>
        <w:softHyphen/>
        <w:t>лей и в 1941 году 300 тысяч рублей.</w:t>
      </w:r>
    </w:p>
    <w:p w14:paraId="17AE26DD"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ж) НКЧермет обеспечить изготовление в третьем квартале 1940 года на заводе "Электросталь” штамповок для завода 301 по спесификации НКАП.</w:t>
      </w:r>
    </w:p>
    <w:p w14:paraId="0F15AC6D"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 Наркомфин СССР тов. Зверева выделить из резервного фонда СНК СССР НКАП под отчет в распоряжение Народного Ко</w:t>
      </w:r>
      <w:r w:rsidRPr="00DB5D0D">
        <w:rPr>
          <w:rFonts w:ascii="Times New Roman" w:hAnsi="Times New Roman"/>
          <w:color w:val="0070C0"/>
          <w:sz w:val="16"/>
          <w:szCs w:val="16"/>
        </w:rPr>
        <w:softHyphen/>
        <w:t>миссара для премирования рабочих, ИТР за освоение произ</w:t>
      </w:r>
      <w:r w:rsidRPr="00DB5D0D">
        <w:rPr>
          <w:rFonts w:ascii="Times New Roman" w:hAnsi="Times New Roman"/>
          <w:color w:val="0070C0"/>
          <w:sz w:val="16"/>
          <w:szCs w:val="16"/>
        </w:rPr>
        <w:softHyphen/>
        <w:t>водства и выполнение программы по выпуску самолетов И-26 в 1940 году - 3,0 млн. рублей" (21903).</w:t>
      </w:r>
    </w:p>
    <w:p w14:paraId="4D8497A8" w14:textId="77777777" w:rsidR="00AA5B6A" w:rsidRPr="00DB5D0D" w:rsidRDefault="00AA5B6A" w:rsidP="00DB5D0D">
      <w:pPr>
        <w:spacing w:after="0" w:line="240" w:lineRule="auto"/>
        <w:jc w:val="both"/>
        <w:rPr>
          <w:rFonts w:ascii="Times New Roman" w:hAnsi="Times New Roman"/>
          <w:color w:val="0070C0"/>
          <w:sz w:val="16"/>
          <w:szCs w:val="16"/>
        </w:rPr>
      </w:pPr>
    </w:p>
    <w:p w14:paraId="7E1792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 вышло постановление № 206сс КО Об организации серийного производства самолета И-26 конструкции Яковлева на заводе № 301</w:t>
      </w:r>
    </w:p>
    <w:p w14:paraId="696A7A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организации серийного производства самолета И-26 конструкции Яковлева, КО постановляет:</w:t>
      </w:r>
    </w:p>
    <w:p w14:paraId="34E0282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Наркомавиапром Шахурина А.И. и директора завода № 301 Эскина обеспечить подготовку завода для серийного производства самолета И-26, обеспечив выпуск их в количествах:</w:t>
      </w:r>
    </w:p>
    <w:p w14:paraId="1670A6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1940 году – 100 штук</w:t>
      </w:r>
    </w:p>
    <w:p w14:paraId="7AAF4F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 году – 800 штук (7595, 77-78).</w:t>
      </w:r>
    </w:p>
    <w:p w14:paraId="32781F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Для обеспечения выполнения установленной программы обязать:</w:t>
      </w:r>
    </w:p>
    <w:p w14:paraId="45660E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Норкомфин СССР т. Зверева выделить заводу № 301 из резервного фонда СНК СССР дополнительно 9 млн. руб. На приобретение оборудования и окончания строительства сборочного корпуса, кузницв, ангара, стандартных домов и других объектов, а также для постановки серийного производства 4 млн. руб.</w:t>
      </w:r>
    </w:p>
    <w:p w14:paraId="7742FA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Госплан СССР выделить фонды на строительные материалы, сантехническое оборудование и электроматериалы по спецификации и срокам Наркомавиапрома.</w:t>
      </w:r>
    </w:p>
    <w:p w14:paraId="5F9B86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Наркомлес СССР выделить заводу № 301 в 1940 г. 5 стандартных домов, а в 1941 - 15 стандартных домов.</w:t>
      </w:r>
    </w:p>
    <w:p w14:paraId="6C7362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Мособлисполком произвести прирезку земельного участка заводу № 301 от территории ЦНИИМОДа НКЛеса СССР (30 метров по ширине и 250 метров по длине) для устройства дороги для транспортировки самолетов на аэродром, в соответствии с планировкой завода № 301, а также отвести участок для строительства 15 стандартных домов.</w:t>
      </w:r>
    </w:p>
    <w:p w14:paraId="219267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Коммунальный банк СССР выделить заводу № 301 ссуду в размере 500 тыс. руб. На индивидуальное жилстроительство для рабочих и ИТР, из них в 1940 г. 200 тыс. и в 1941 300 тыс. </w:t>
      </w:r>
    </w:p>
    <w:p w14:paraId="08A6E1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Наркомчермет обеспечить изготовление в Ш кв.1940 г.на эаводе “Электросталь" штамповод для завода № 301 по спецификации Наркомавиапрома.</w:t>
      </w:r>
    </w:p>
    <w:p w14:paraId="052B73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Наркомфин СССР т. ЗВЕРЕВУ выделить из резервного фонда СНК СССР Наркомавиапрому под отчет в распоряжение Народного Комиссара для премирования рабочих, ИТР за освоение производства в выполнение программы по выпуску самолетов И-26 в 1940 г. -3,0 млн. рублей.</w:t>
      </w:r>
    </w:p>
    <w:p w14:paraId="6F053D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Экономсовету при СНК Союза ССР выделить дополнительно сверх фондов Наркомавиапрома в 1940 г. 150 штук металлорежущих станков по спецификации Наркомавиапрома, из коих в Ш квартале 80 станков и в 1У квартале - 70 станков (10395).</w:t>
      </w:r>
    </w:p>
    <w:p w14:paraId="3725CCD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305E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вышло постановление КО N 206 "Об организации серийного выпуска самолета И-26 конструкции А.С.Я." КО постановило:</w:t>
      </w:r>
    </w:p>
    <w:p w14:paraId="1A9A9B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А.И.Ш. и директора завода 301 Эскина обеспечить подготовку завода для серийного производства самолета И-26, обеспечив выпуск их в количестве: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7E03F8E6" w14:textId="77777777" w:rsidTr="009223E5">
        <w:tc>
          <w:tcPr>
            <w:tcW w:w="5749" w:type="dxa"/>
            <w:tcBorders>
              <w:top w:val="single" w:sz="12" w:space="0" w:color="auto"/>
            </w:tcBorders>
          </w:tcPr>
          <w:p w14:paraId="3844AB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1940</w:t>
            </w:r>
          </w:p>
        </w:tc>
        <w:tc>
          <w:tcPr>
            <w:tcW w:w="5749" w:type="dxa"/>
            <w:tcBorders>
              <w:top w:val="single" w:sz="12" w:space="0" w:color="auto"/>
            </w:tcBorders>
          </w:tcPr>
          <w:p w14:paraId="3D72F3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r>
      <w:tr w:rsidR="007D5DF8" w:rsidRPr="00DB5D0D" w14:paraId="0A86628E" w14:textId="77777777" w:rsidTr="009223E5">
        <w:tc>
          <w:tcPr>
            <w:tcW w:w="5749" w:type="dxa"/>
            <w:tcBorders>
              <w:bottom w:val="single" w:sz="12" w:space="0" w:color="auto"/>
            </w:tcBorders>
          </w:tcPr>
          <w:p w14:paraId="797085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1941</w:t>
            </w:r>
          </w:p>
        </w:tc>
        <w:tc>
          <w:tcPr>
            <w:tcW w:w="5749" w:type="dxa"/>
            <w:tcBorders>
              <w:bottom w:val="single" w:sz="12" w:space="0" w:color="auto"/>
            </w:tcBorders>
          </w:tcPr>
          <w:p w14:paraId="6CC988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Ворошилов, Сафонов (1295,18).</w:t>
            </w:r>
          </w:p>
        </w:tc>
      </w:tr>
    </w:tbl>
    <w:p w14:paraId="607FA3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A2C0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постановлением Правительства Як-1 был запущен в массовое производство на 301 заводе в Москве (65,45).</w:t>
      </w:r>
    </w:p>
    <w:p w14:paraId="4DB329E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5A8B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после доработки радиаторов на И-200 слетали нормально, причем и на дальность, и на скорость по высотам. Но 17-го снова ЧП - на показе высшего пилотажа из-за неудачной конструкции поплавка карбюратора К-35 остановился мотор. При вынужденной посадке произошла незначительная авария, и на ремонт потеряли 3 дня. Тем не менее, 1 мая И-26, И-301 и И-200 красиво пронеслись над Красной площадью в строю воздушного парада (11938).</w:t>
      </w:r>
    </w:p>
    <w:p w14:paraId="45949A2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E9D7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 закончились специальные испытаниях по снятию летных характеристик на самолете И-16 М-62, переделанного с типа «10» на тип «18» по технологии завода № 21 (с убирающимися шасси), которые проходили с 26 апреля 1940</w:t>
      </w:r>
    </w:p>
    <w:p w14:paraId="55F593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4930BF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Кочетков</w:t>
      </w:r>
    </w:p>
    <w:p w14:paraId="6E27D5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0933720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летных характеристик самолета И-16 с мотором М-62 с убирающимися шасси на колесах и В.Ф.Ш.</w:t>
      </w:r>
    </w:p>
    <w:p w14:paraId="15A9DEF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Проверка температурного режима мотора в летних условиях.</w:t>
      </w:r>
    </w:p>
    <w:p w14:paraId="30DA95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специспытаний проведено 23 полета с налетом 10 час. 30 мин.</w:t>
      </w:r>
    </w:p>
    <w:p w14:paraId="4C95C5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8C10A8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Специспытания самолета И-16 М-62 подтверждают целесообразность переделки самолета И-16 с типа “10” на тип “18” при условии устранения всех дефектов, выявленных при гос. испытаниях данного самолета на лыжах.</w:t>
      </w:r>
    </w:p>
    <w:p w14:paraId="10BDA8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p w14:paraId="56E4A7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26 апреля 1940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8789"/>
      </w:tblGrid>
      <w:tr w:rsidR="007D5DF8" w:rsidRPr="00DB5D0D" w14:paraId="7CA4F824" w14:textId="77777777" w:rsidTr="009223E5">
        <w:tc>
          <w:tcPr>
            <w:tcW w:w="1809" w:type="dxa"/>
            <w:tcBorders>
              <w:top w:val="single" w:sz="12" w:space="0" w:color="auto"/>
            </w:tcBorders>
          </w:tcPr>
          <w:p w14:paraId="1CF617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26 апреля 1940 года</w:t>
            </w:r>
          </w:p>
        </w:tc>
        <w:tc>
          <w:tcPr>
            <w:tcW w:w="8789" w:type="dxa"/>
            <w:tcBorders>
              <w:top w:val="single" w:sz="12" w:space="0" w:color="auto"/>
            </w:tcBorders>
          </w:tcPr>
          <w:p w14:paraId="280255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4 полета на проверку работы приборов в воздухе и проверку уборки шасси</w:t>
            </w:r>
          </w:p>
        </w:tc>
      </w:tr>
      <w:tr w:rsidR="007D5DF8" w:rsidRPr="00DB5D0D" w14:paraId="59D02D2B" w14:textId="77777777" w:rsidTr="009223E5">
        <w:tc>
          <w:tcPr>
            <w:tcW w:w="1809" w:type="dxa"/>
          </w:tcPr>
          <w:p w14:paraId="5FD07C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апреля 1940 года</w:t>
            </w:r>
          </w:p>
        </w:tc>
        <w:tc>
          <w:tcPr>
            <w:tcW w:w="8789" w:type="dxa"/>
          </w:tcPr>
          <w:p w14:paraId="5C4EE5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два полета на определение границ высотности мотора и определение наивыгоднейшей точки переключения скоростей</w:t>
            </w:r>
          </w:p>
        </w:tc>
      </w:tr>
      <w:tr w:rsidR="007D5DF8" w:rsidRPr="00DB5D0D" w14:paraId="2184FC51" w14:textId="77777777" w:rsidTr="009223E5">
        <w:tc>
          <w:tcPr>
            <w:tcW w:w="1809" w:type="dxa"/>
          </w:tcPr>
          <w:p w14:paraId="2261BC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апреля 1940 года</w:t>
            </w:r>
          </w:p>
        </w:tc>
        <w:tc>
          <w:tcPr>
            <w:tcW w:w="8789" w:type="dxa"/>
          </w:tcPr>
          <w:p w14:paraId="1A8CAA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один полет на определение границ высотности мотора</w:t>
            </w:r>
          </w:p>
        </w:tc>
      </w:tr>
      <w:tr w:rsidR="007D5DF8" w:rsidRPr="00DB5D0D" w14:paraId="355C061F" w14:textId="77777777" w:rsidTr="009223E5">
        <w:tc>
          <w:tcPr>
            <w:tcW w:w="1809" w:type="dxa"/>
          </w:tcPr>
          <w:p w14:paraId="05D083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года</w:t>
            </w:r>
          </w:p>
        </w:tc>
        <w:tc>
          <w:tcPr>
            <w:tcW w:w="8789" w:type="dxa"/>
          </w:tcPr>
          <w:p w14:paraId="2B45F1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2 полета на скороподъемность и десять полетов на замер взлетно-посадочных свойств</w:t>
            </w:r>
          </w:p>
        </w:tc>
      </w:tr>
      <w:tr w:rsidR="007D5DF8" w:rsidRPr="00DB5D0D" w14:paraId="0C15CD8A" w14:textId="77777777" w:rsidTr="009223E5">
        <w:tc>
          <w:tcPr>
            <w:tcW w:w="1809" w:type="dxa"/>
          </w:tcPr>
          <w:p w14:paraId="2663A9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w:t>
            </w:r>
          </w:p>
        </w:tc>
        <w:tc>
          <w:tcPr>
            <w:tcW w:w="8789" w:type="dxa"/>
          </w:tcPr>
          <w:p w14:paraId="586A96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2 полета на маневренность</w:t>
            </w:r>
          </w:p>
        </w:tc>
      </w:tr>
      <w:tr w:rsidR="007D5DF8" w:rsidRPr="00DB5D0D" w14:paraId="4941C291" w14:textId="77777777" w:rsidTr="009223E5">
        <w:tc>
          <w:tcPr>
            <w:tcW w:w="1809" w:type="dxa"/>
          </w:tcPr>
          <w:p w14:paraId="3B7AE3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w:t>
            </w:r>
          </w:p>
        </w:tc>
        <w:tc>
          <w:tcPr>
            <w:tcW w:w="8789" w:type="dxa"/>
          </w:tcPr>
          <w:p w14:paraId="7471B5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 один полет на скороподъемность</w:t>
            </w:r>
          </w:p>
        </w:tc>
      </w:tr>
      <w:tr w:rsidR="007D5DF8" w:rsidRPr="00DB5D0D" w14:paraId="4BF44F69" w14:textId="77777777" w:rsidTr="009223E5">
        <w:tc>
          <w:tcPr>
            <w:tcW w:w="1809" w:type="dxa"/>
          </w:tcPr>
          <w:p w14:paraId="7AD208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w:t>
            </w:r>
          </w:p>
        </w:tc>
        <w:tc>
          <w:tcPr>
            <w:tcW w:w="8789" w:type="dxa"/>
          </w:tcPr>
          <w:p w14:paraId="669DB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2 полета на скороподъемность до Н=5000 м</w:t>
            </w:r>
          </w:p>
        </w:tc>
      </w:tr>
      <w:tr w:rsidR="007D5DF8" w:rsidRPr="00DB5D0D" w14:paraId="1CD80D2D" w14:textId="77777777" w:rsidTr="009223E5">
        <w:tc>
          <w:tcPr>
            <w:tcW w:w="1809" w:type="dxa"/>
          </w:tcPr>
          <w:p w14:paraId="769753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года</w:t>
            </w:r>
          </w:p>
        </w:tc>
        <w:tc>
          <w:tcPr>
            <w:tcW w:w="8789" w:type="dxa"/>
          </w:tcPr>
          <w:p w14:paraId="2672CA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 один полет на километраж и один полет на сопровождение самолета И-16 М-63 и засечка фигур</w:t>
            </w:r>
          </w:p>
        </w:tc>
      </w:tr>
      <w:tr w:rsidR="007D5DF8" w:rsidRPr="00DB5D0D" w14:paraId="4CB74620" w14:textId="77777777" w:rsidTr="009223E5">
        <w:tc>
          <w:tcPr>
            <w:tcW w:w="1809" w:type="dxa"/>
            <w:tcBorders>
              <w:bottom w:val="single" w:sz="12" w:space="0" w:color="auto"/>
            </w:tcBorders>
          </w:tcPr>
          <w:p w14:paraId="277E35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8789" w:type="dxa"/>
            <w:tcBorders>
              <w:bottom w:val="single" w:sz="12" w:space="0" w:color="auto"/>
            </w:tcBorders>
          </w:tcPr>
          <w:p w14:paraId="2FD300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до потолка</w:t>
            </w:r>
          </w:p>
        </w:tc>
      </w:tr>
    </w:tbl>
    <w:p w14:paraId="2E0A16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(4431).</w:t>
      </w:r>
    </w:p>
    <w:p w14:paraId="5406C8F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35968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 Решением Правительства за № 206сс программа завода № 301 на 1941 год была установлена в количестве 800 самолетов. Для обеспечения программы потребовалось значительно увеличить мощность завода, что частично и было сделано в течение 1940 года (9321).</w:t>
      </w:r>
    </w:p>
    <w:p w14:paraId="37FD7C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A30B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 Павел Осипович обратился в НКАП с просьбой заказать для опытного отдела 135-го завода два двигателя М-90 с удлинением вала мотора на 350-400 мм. В письме начальнику 11-го ГУ Шишкину Сухой докладывал по этому поводу: «Необходимое удлинение 300-400 мм должно обеспечить возможность установки капота сильно вытянутого вперед. Обычный капот на мотор с нормальным носком не может быть применен на самолете со скоростью 650-700 км/час, так как местные сверхзвуковые скорости приводят к увеличению лобовых сопротивлений в несколько раз» (6406).</w:t>
      </w:r>
    </w:p>
    <w:p w14:paraId="140B4C9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8724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тренировочный полет с грузом продолжительностью 0:37 (2923).</w:t>
      </w:r>
    </w:p>
    <w:p w14:paraId="2B992A3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F686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в Контрольном листе учета выполнения постановления КО СНК СССР № 117сс от 4 марта 1940 г. представителем КО СНК СССР - контролером Вахрушевым была сделана запись:</w:t>
      </w:r>
    </w:p>
    <w:p w14:paraId="6595D7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Аист О.К.А.</w:t>
      </w:r>
    </w:p>
    <w:p w14:paraId="408671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Ведется разработка рабочих чертежей. Запросил у НКАП (Шишкина) более точных сведений к 25 мая 1940 (10395,50).</w:t>
      </w:r>
    </w:p>
    <w:p w14:paraId="00CB9A9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F70C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Ст. Контролер КО А.Солдатов писал письмо № 486сс ЦК ВКП(б) т. ЛИСТКОВУ:</w:t>
      </w:r>
    </w:p>
    <w:p w14:paraId="299F66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Направляю Вам два экземпляра замечаний по докладной записке т. Алекскква о о состоянии и работе ГКАС КА. (10493,139).</w:t>
      </w:r>
    </w:p>
    <w:p w14:paraId="633A65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ЗАМЕЧАНИЯ по ДОКЛАДУ тов. АЛЕКСЕЕВА О РАБОТЕ И СОСТОЯНИИ ГУАС КА.</w:t>
      </w:r>
    </w:p>
    <w:p w14:paraId="524AF7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Отсутствует положение о правах и обязанностях ГУАС КА, на сегодня нет точного разграничения обязанностей между ГУАС'ом и ГУВВС'ом; часто ГУВВС вмешивается без необходимой надобности в дела ГУАС и этим мешает делу.</w:t>
      </w:r>
    </w:p>
    <w:p w14:paraId="20F718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Например: 1) Средства механизация аэродромной службы были заказаны ГУВВС помимо ГУАС и оформлены решением КО № 90. Необходимости в этом не было.т.к. ГУАС более тщательно готовил этот вопрос.</w:t>
      </w:r>
    </w:p>
    <w:p w14:paraId="4266A3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Распоряжением Нач-ка Штаба ВВС КА за № 486173сс от 25.4.40 г. ремонтные мастерские авиаполков и бри</w:t>
      </w:r>
      <w:r w:rsidRPr="00DB5D0D">
        <w:rPr>
          <w:rFonts w:ascii="Times New Roman" w:hAnsi="Times New Roman"/>
          <w:color w:val="000000" w:themeColor="text1"/>
          <w:sz w:val="16"/>
          <w:szCs w:val="16"/>
        </w:rPr>
        <w:softHyphen/>
        <w:t>гад подчинены н-ку тыла ВВС округа, который ГУАС'у че подчинен. ГУАС же целиком и полностью ведает вопросами ремонта и все ремонтныее базы должны были быть ему подчинены.</w:t>
      </w:r>
    </w:p>
    <w:p w14:paraId="76A2FC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ГУВВС не ведет испытаний авиационных об'ектов, тем не менее Н-к ГУВВС издал 11.5.40 г. приказ, без согласования с ГУАС, о производстве испытаний радиоприборов.</w:t>
      </w:r>
    </w:p>
    <w:p w14:paraId="65C9C2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Самолеты, состоящие на вооружении ВВС (истребители И-16;И-153; бомбардировщики: СБ; ДБ-3) по своим скоростям устучаат соответствуощим заграничным самолетам: Мессершмит; Хейнкель; Дорнье-215: Бристоль-Блейхейм от 30 до 60 клм/час.</w:t>
      </w:r>
    </w:p>
    <w:p w14:paraId="082E19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Моторн, состоящие на вооружени ВВС (М-103; М-62; М-63; М-88 и др.) уступают иностранным по своим качественным показателям. Мощность наших лучших моторов не превышает 1100 л.с., тогда как однотипные заграничные мотори (Геркулес. Твин-Хорнет и др.) имеют мощность 1300-1400 л.с.</w:t>
      </w:r>
    </w:p>
    <w:p w14:paraId="6BA252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Литровал мощность наших моторов не превышает 31 л.с./литр, тогда как английский мотор "Деггер-8" имеет 55 л.с/литр.</w:t>
      </w:r>
    </w:p>
    <w:p w14:paraId="4D3D38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работы наших авиамоторов не превышает 100-150 часов, в то время, как серийные заграничные моторы работают до первой переборки 300 а более часов.</w:t>
      </w:r>
    </w:p>
    <w:p w14:paraId="40B549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вооружении самолетов резко отстали по крупнокалиберному оружию. С 1938 г. выпускаются самолеты И-16 с крыльевыми неполно</w:t>
      </w:r>
      <w:r w:rsidRPr="00DB5D0D">
        <w:rPr>
          <w:rFonts w:ascii="Times New Roman" w:hAnsi="Times New Roman"/>
          <w:color w:val="000000" w:themeColor="text1"/>
          <w:sz w:val="16"/>
          <w:szCs w:val="16"/>
        </w:rPr>
        <w:softHyphen/>
        <w:t>ценными пушками 20 мм ДВАК (лучших 20 мм пулек не имеется). В дан</w:t>
      </w:r>
      <w:r w:rsidRPr="00DB5D0D">
        <w:rPr>
          <w:rFonts w:ascii="Times New Roman" w:hAnsi="Times New Roman"/>
          <w:color w:val="000000" w:themeColor="text1"/>
          <w:sz w:val="16"/>
          <w:szCs w:val="16"/>
        </w:rPr>
        <w:softHyphen/>
        <w:t>ное время проходит госиспытание пушка в 23 мм.</w:t>
      </w:r>
    </w:p>
    <w:p w14:paraId="05D753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Операция в Финляндии показали, что наши бомбардировщики имеют слабую огневую защиту. Необходимо было перевооружить самоле</w:t>
      </w:r>
      <w:r w:rsidRPr="00DB5D0D">
        <w:rPr>
          <w:rFonts w:ascii="Times New Roman" w:hAnsi="Times New Roman"/>
          <w:color w:val="000000" w:themeColor="text1"/>
          <w:sz w:val="16"/>
          <w:szCs w:val="16"/>
        </w:rPr>
        <w:softHyphen/>
        <w:t>ты СБ и ДЗ-3 на новые пулеметные установки МВ-3 и МВ-2.</w:t>
      </w:r>
    </w:p>
    <w:p w14:paraId="30AEFC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Промышленностъ (НКАП) в срок выполнила заказы по МВ-3 и МВ-2, но ГУАС и ГУВВС не смогли своевременно все их установить на самолеты. По имеющимся сведениям, еще не установлено свыше 400 установок.</w:t>
      </w:r>
    </w:p>
    <w:p w14:paraId="44255E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Система снабжения от центра до периферии не организована. ГУАС не занимается на местах учетом, хранением, рацаональным использованием материальной части и не несет за это ответственности.</w:t>
      </w:r>
    </w:p>
    <w:p w14:paraId="6896E6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Действующий самолетный парк не обеспечен запасными моторами, по нормам недостает 4000 моторов. Части ВВС жалуются на отсутствие ходовых запчастей.</w:t>
      </w:r>
    </w:p>
    <w:p w14:paraId="001C6A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Центральные и окружные склады и авиабазы завалены старыми непригодными изделиями и материалами. Соттся вагонов неходового имущества лежат годами без всякого употребления.</w:t>
      </w:r>
    </w:p>
    <w:p w14:paraId="5D33EF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Особо отстающим участком работы в системе ГУАС является работа НИИ. Качество испытания и заключений работников НИИ по госиспытаниям самолетов, моторов а др. приборов очень низкое. Руководство, нежелая портить отношения с промышленностью а главными конструкторами,часто дает удовлетворительную оценку испытанным об'ектам, при явных дефеутах и непригодности их.</w:t>
      </w:r>
    </w:p>
    <w:p w14:paraId="2C802D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Например: </w:t>
      </w:r>
    </w:p>
    <w:p w14:paraId="4C4C3C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М-105 - госиспытания прошел в апреле 40 г. и лолучил удоялетворительнуо оценку, имея следующие дефекты: забрасывание масла из суфлера (случаи на "100" и "СЗ"); выливание бензина из поплавковой камеры на малых оборотах (были 5 случаев пожара в воздухе); падение давления масла на больших высотах</w:t>
      </w:r>
    </w:p>
    <w:p w14:paraId="23C6A8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w:t>
      </w:r>
      <w:r w:rsidRPr="00DB5D0D">
        <w:rPr>
          <w:rFonts w:ascii="Times New Roman" w:hAnsi="Times New Roman"/>
          <w:smallCaps/>
          <w:color w:val="000000" w:themeColor="text1"/>
          <w:sz w:val="16"/>
          <w:szCs w:val="16"/>
        </w:rPr>
        <w:t xml:space="preserve">отор М-88 </w:t>
      </w:r>
      <w:r w:rsidRPr="00DB5D0D">
        <w:rPr>
          <w:rFonts w:ascii="Times New Roman" w:hAnsi="Times New Roman"/>
          <w:color w:val="000000" w:themeColor="text1"/>
          <w:sz w:val="16"/>
          <w:szCs w:val="16"/>
        </w:rPr>
        <w:t>- госмспытания прошел в октябре мес. 39 г. и получил удовлетворительную оценку, имея следующие дефекты: задир поршней; поломка суппорта коромысла; переполнение картера маслом при повышенных температурах масла (падение мощности при этом доходят до 6%); недоработан карбюратор.</w:t>
      </w:r>
    </w:p>
    <w:p w14:paraId="17419A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Моторы М-62 и М-63 НИИ испытывал два раза. В первый раз дал удовлетворительную оценку, во второй раз неудовлетворительную.</w:t>
      </w:r>
    </w:p>
    <w:p w14:paraId="4AD261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Самолет ДБЗФ прошел госиспытания в сентябре 39 г. Признан пригодным для принятия на вооружение. В действительности сааолет оказался конструктивно недоработанным и программа по енму в 1 кв. с.г.бы</w:t>
      </w:r>
      <w:r w:rsidRPr="00DB5D0D">
        <w:rPr>
          <w:rFonts w:ascii="Times New Roman" w:hAnsi="Times New Roman"/>
          <w:color w:val="000000" w:themeColor="text1"/>
          <w:sz w:val="16"/>
          <w:szCs w:val="16"/>
        </w:rPr>
        <w:softHyphen/>
        <w:t>ла сорвана (дефекты самолета: складнвание ног шасси пря посадке; поломки колодок в тормозных ко</w:t>
      </w:r>
      <w:r w:rsidRPr="00DB5D0D">
        <w:rPr>
          <w:rFonts w:ascii="Times New Roman" w:hAnsi="Times New Roman"/>
          <w:color w:val="000000" w:themeColor="text1"/>
          <w:sz w:val="16"/>
          <w:szCs w:val="16"/>
        </w:rPr>
        <w:softHyphen/>
        <w:t>лесах; перегрев масла,- вследстзяе плохого качества и монтажа маслорадиатора).</w:t>
      </w:r>
    </w:p>
    <w:p w14:paraId="03F7E1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Самолет БШ - прзнан НИИ пригодным для запуска в серию 50-60 саиолетов. Сачолет имеет следующие дефекты: плохой обзор летчика и штурмана; не отработана крыльевая пулеметная установка; плохая устойчивость и управляемость самолета; не провере</w:t>
      </w:r>
      <w:r w:rsidRPr="00DB5D0D">
        <w:rPr>
          <w:rFonts w:ascii="Times New Roman" w:hAnsi="Times New Roman"/>
          <w:color w:val="000000" w:themeColor="text1"/>
          <w:sz w:val="16"/>
          <w:szCs w:val="16"/>
        </w:rPr>
        <w:softHyphen/>
        <w:t>на броня на пулестойкостъ.</w:t>
      </w:r>
    </w:p>
    <w:p w14:paraId="5785B7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Во всех частях и подразделенлях ВВС, особенно в период военных дейстзий, наблюдаются массовые случаи бесхозяйственного, бескультурного отношения к ислользованию и хранению авиаимущеетва и материалов (см. приложение) (10493,140).</w:t>
      </w:r>
    </w:p>
    <w:p w14:paraId="3FED53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EABA710" w14:textId="77777777" w:rsidR="00BE44A8" w:rsidRPr="00DB5D0D" w:rsidRDefault="00BE44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мая</w:t>
      </w:r>
      <w:r w:rsidRPr="00DB5D0D">
        <w:rPr>
          <w:rFonts w:ascii="Times New Roman" w:hAnsi="Times New Roman"/>
          <w:color w:val="000000" w:themeColor="text1"/>
          <w:sz w:val="16"/>
          <w:szCs w:val="16"/>
        </w:rPr>
        <w:t xml:space="preserve"> в 1940 году в поселке (ныне – город) Ланхденпохья организован завод по производству фанеры (ныне – ООО «Лахденпохский фанерный комбинат «Бумэкс») (14893).</w:t>
      </w:r>
    </w:p>
    <w:p w14:paraId="6A34CBEE" w14:textId="77777777" w:rsidR="00BE44A8" w:rsidRPr="00DB5D0D" w:rsidRDefault="00BE44A8" w:rsidP="00DB5D0D">
      <w:pPr>
        <w:spacing w:after="0" w:line="240" w:lineRule="auto"/>
        <w:jc w:val="both"/>
        <w:rPr>
          <w:rFonts w:ascii="Times New Roman" w:hAnsi="Times New Roman"/>
          <w:color w:val="000000" w:themeColor="text1"/>
          <w:sz w:val="16"/>
          <w:szCs w:val="16"/>
        </w:rPr>
      </w:pPr>
    </w:p>
    <w:p w14:paraId="06804F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управление Граждвоздухофлота в Иркутске открыло регулярную скоростную магистраль Иркутск-Москва, обслуживаемую самолетами ПС-84. Время полета 16 часов (11884).</w:t>
      </w:r>
    </w:p>
    <w:p w14:paraId="03717DD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F4D5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 вышел приказ НКО №0022 о проведении с 1 июня на ЦХП в Вольске войсковых испытаний ХАБ-100, ХАБ-200М, ХАБ-500М ударного действия, снаряженные НОВ, ХАБ-100 ударного действия снаряженные СОВ и вязкими ОВ, ХАБ-200М, ХАБ-500М дистанционного действия снаряженные СОВ, ХАРП-500 (разового прибора) дистанционного действия снаряженный стойкими ОВ и гранулированным фосфором, ЗАРП-500 зажигательного прибора дистанционного действия снаряженный термитными шарами (7313, 12).</w:t>
      </w:r>
    </w:p>
    <w:p w14:paraId="52B824C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D66AD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16 мая 1940 Нарком Морозов постановляет Дайбога арестовать, и на этот раз ВОЕНПРОКУРОР Райцис уже не возражает, даёт отбой и санкционирует Постановление. </w:t>
      </w:r>
    </w:p>
    <w:p w14:paraId="672CE3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«Постановление ВП 66 ск отменить; Дело возвратить в НКВД и Дайбога снова допросить по существу; после чего дело с новым обвинительным заключением направить на рассмотрение ОСО. Обвиняемого же ДАЙБОГА предложить немедленно заключить под стражу»</w:t>
      </w:r>
      <w:r w:rsidRPr="00DB5D0D">
        <w:rPr>
          <w:rFonts w:ascii="Times New Roman" w:hAnsi="Times New Roman"/>
          <w:color w:val="000000" w:themeColor="text1"/>
          <w:sz w:val="16"/>
          <w:szCs w:val="16"/>
        </w:rPr>
        <w:t xml:space="preserve">. </w:t>
      </w:r>
    </w:p>
    <w:p w14:paraId="401603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Краснодарский край уходит телеграмма об этапировании в Казань находящегося на отдыхе в санатории НКУП инженера Наркомата Авиапромышленности Дайбога.</w:t>
      </w:r>
    </w:p>
    <w:p w14:paraId="279916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следующий день выписан ордер сотруднику Сочинского отдела НКВД на производство обыска и ареста по адресу санатория… (12724).</w:t>
      </w:r>
    </w:p>
    <w:p w14:paraId="36F5FF3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4BD20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5C4CDC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0B55459"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мая 1940 была Докладная записка заместителя наркома обороны СССР Г. И. Кулика председателю Комитета обороны при СНК СССР К. Е. Ворошилову о снабжении Красной армии пистолетами-пулеметами</w:t>
      </w:r>
    </w:p>
    <w:p w14:paraId="7771CE9E"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вопросу: Снабжения Красной Армии  пистолетами- пулеметами.</w:t>
      </w:r>
    </w:p>
    <w:p w14:paraId="64108001"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Для вооружения стр. и кав. дивизий Красной Армии </w:t>
      </w:r>
      <w:r w:rsidRPr="00DB5D0D">
        <w:rPr>
          <w:rFonts w:ascii="Times New Roman" w:hAnsi="Times New Roman"/>
          <w:noProof/>
          <w:color w:val="0070C0"/>
          <w:sz w:val="16"/>
          <w:szCs w:val="16"/>
        </w:rPr>
        <mc:AlternateContent>
          <mc:Choice Requires="wps">
            <w:drawing>
              <wp:anchor distT="0" distB="0" distL="114300" distR="114300" simplePos="0" relativeHeight="251659264" behindDoc="0" locked="0" layoutInCell="1" allowOverlap="1" wp14:anchorId="0A8B034C" wp14:editId="120A2672">
                <wp:simplePos x="0" y="0"/>
                <wp:positionH relativeFrom="page">
                  <wp:posOffset>7596505</wp:posOffset>
                </wp:positionH>
                <wp:positionV relativeFrom="paragraph">
                  <wp:posOffset>406400</wp:posOffset>
                </wp:positionV>
                <wp:extent cx="1013460" cy="312420"/>
                <wp:effectExtent l="0" t="0" r="0" b="0"/>
                <wp:wrapSquare wrapText="left"/>
                <wp:docPr id="7" name="Shape 7"/>
                <wp:cNvGraphicFramePr/>
                <a:graphic xmlns:a="http://schemas.openxmlformats.org/drawingml/2006/main">
                  <a:graphicData uri="http://schemas.microsoft.com/office/word/2010/wordprocessingShape">
                    <wps:wsp>
                      <wps:cNvSpPr txBox="1"/>
                      <wps:spPr>
                        <a:xfrm>
                          <a:off x="0" y="0"/>
                          <a:ext cx="1013460" cy="312420"/>
                        </a:xfrm>
                        <a:prstGeom prst="rect">
                          <a:avLst/>
                        </a:prstGeom>
                        <a:noFill/>
                      </wps:spPr>
                      <wps:txbx>
                        <w:txbxContent>
                          <w:p w14:paraId="7FCE99E1" w14:textId="77777777" w:rsidR="00AA5B6A" w:rsidRDefault="00AA5B6A" w:rsidP="00AA5B6A">
                            <w:pPr>
                              <w:spacing w:line="314" w:lineRule="auto"/>
                            </w:pPr>
                            <w:r>
                              <w:rPr>
                                <w:color w:val="000000"/>
                                <w:lang w:eastAsia="ru-RU" w:bidi="ru-RU"/>
                              </w:rPr>
                              <w:t>-.</w:t>
                            </w:r>
                          </w:p>
                        </w:txbxContent>
                      </wps:txbx>
                      <wps:bodyPr lIns="0" tIns="0" rIns="0" bIns="0"/>
                    </wps:wsp>
                  </a:graphicData>
                </a:graphic>
              </wp:anchor>
            </w:drawing>
          </mc:Choice>
          <mc:Fallback>
            <w:pict>
              <v:shapetype w14:anchorId="0A8B034C" id="_x0000_t202" coordsize="21600,21600" o:spt="202" path="m,l,21600r21600,l21600,xe">
                <v:stroke joinstyle="miter"/>
                <v:path gradientshapeok="t" o:connecttype="rect"/>
              </v:shapetype>
              <v:shape id="Shape 7" o:spid="_x0000_s1026" type="#_x0000_t202" style="position:absolute;left:0;text-align:left;margin-left:598.15pt;margin-top:32pt;width:79.8pt;height:24.6pt;z-index:25165926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" filled="f" stroked="f">
                <v:textbox inset="0,0,0,0">
                  <w:txbxContent>
                    <w:p w14:paraId="7FCE99E1" w14:textId="77777777" w:rsidR="00AA5B6A" w:rsidRDefault="00AA5B6A" w:rsidP="00AA5B6A">
                      <w:pPr>
                        <w:spacing w:line="314" w:lineRule="auto"/>
                      </w:pPr>
                      <w:r>
                        <w:rPr>
                          <w:color w:val="000000"/>
                          <w:lang w:eastAsia="ru-RU" w:bidi="ru-RU"/>
                        </w:rPr>
                        <w:t>-.</w:t>
                      </w:r>
                    </w:p>
                  </w:txbxContent>
                </v:textbox>
                <w10:wrap type="square" side="left" anchorx="page"/>
              </v:shape>
            </w:pict>
          </mc:Fallback>
        </mc:AlternateContent>
      </w:r>
      <w:r w:rsidRPr="00DB5D0D">
        <w:rPr>
          <w:rFonts w:ascii="Times New Roman" w:hAnsi="Times New Roman"/>
          <w:color w:val="0070C0"/>
          <w:sz w:val="16"/>
          <w:szCs w:val="16"/>
        </w:rPr>
        <w:t>7,62 мм пистолетами-пулеметами по нормам установленым Глав</w:t>
      </w:r>
      <w:r w:rsidRPr="00DB5D0D">
        <w:rPr>
          <w:rFonts w:ascii="Times New Roman" w:hAnsi="Times New Roman"/>
          <w:color w:val="0070C0"/>
          <w:sz w:val="16"/>
          <w:szCs w:val="16"/>
        </w:rPr>
        <w:softHyphen/>
        <w:t>ным Военным Советом 13 апреля 1940 года состава ) потребуется:</w:t>
      </w:r>
    </w:p>
    <w:p w14:paraId="680B82E6"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7,62 мм пистолетов-пулеметов - 148.000 штук</w:t>
      </w:r>
    </w:p>
    <w:p w14:paraId="1CA997E9"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7,62 мм пистолетных патронов - 828,8 млн. штук</w:t>
      </w:r>
    </w:p>
    <w:p w14:paraId="31357DC4"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Постановлением Комитета Обороны при СНК СССР за № 442 сс,16 сс и 160сс определен заказ пистолетов-пулеме</w:t>
      </w:r>
      <w:r w:rsidRPr="00DB5D0D">
        <w:rPr>
          <w:rFonts w:ascii="Times New Roman" w:hAnsi="Times New Roman"/>
          <w:color w:val="0070C0"/>
          <w:sz w:val="16"/>
          <w:szCs w:val="16"/>
        </w:rPr>
        <w:softHyphen/>
        <w:t>тов на П квартал 1940 г. в 23.000 шт. Получено нами от промышленности в 1 квартале - 16.000 шт.</w:t>
      </w:r>
    </w:p>
    <w:p w14:paraId="6C26A3EA"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Недостает для покрытия указанной потребности армии109.000 пистолетов-пулеметов.</w:t>
      </w:r>
    </w:p>
    <w:p w14:paraId="216B2E70"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Заказ 7,62 мм пистолетных патронов на 1940 год со</w:t>
      </w:r>
      <w:r w:rsidRPr="00DB5D0D">
        <w:rPr>
          <w:rFonts w:ascii="Times New Roman" w:hAnsi="Times New Roman"/>
          <w:color w:val="0070C0"/>
          <w:sz w:val="16"/>
          <w:szCs w:val="16"/>
        </w:rPr>
        <w:softHyphen/>
        <w:t>ставляет 120 млн.штук.</w:t>
      </w:r>
    </w:p>
    <w:p w14:paraId="27E13DDB"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Учитывая мощность заводов НКВ, полагаю возможным удовлетворить потребности армии в течение текущего года для чего прошу:</w:t>
      </w:r>
    </w:p>
    <w:p w14:paraId="070EB2C2"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Обязать НКВ во П, Ш и 1У кварталах 1940 г. изготовить и сдать 7,62 мм пистолетов-пулеметов - 132.000 шт. с постав</w:t>
      </w:r>
      <w:r w:rsidRPr="00DB5D0D">
        <w:rPr>
          <w:rFonts w:ascii="Times New Roman" w:hAnsi="Times New Roman"/>
          <w:color w:val="0070C0"/>
          <w:sz w:val="16"/>
          <w:szCs w:val="16"/>
        </w:rPr>
        <w:softHyphen/>
        <w:t>кой во втором квартале 39.000 штук.</w:t>
      </w:r>
    </w:p>
    <w:p w14:paraId="59EC78CB"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Увеличить программу НКВ по поставке в 1940 году 7,62 мм пистолетных патронов на 708 млн. штук с поставкой во П-м квартале - 150 млн. штук.</w:t>
      </w:r>
    </w:p>
    <w:p w14:paraId="5FE2E60D"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Проект постановления Комитета Обороны при СНК СССР прилагаю (21904).</w:t>
      </w:r>
    </w:p>
    <w:p w14:paraId="1EA0668D" w14:textId="77777777" w:rsidR="00AA5B6A" w:rsidRPr="00DB5D0D" w:rsidRDefault="00AA5B6A" w:rsidP="00DB5D0D">
      <w:pPr>
        <w:spacing w:after="0" w:line="240" w:lineRule="auto"/>
        <w:jc w:val="both"/>
        <w:rPr>
          <w:rFonts w:ascii="Times New Roman" w:hAnsi="Times New Roman"/>
          <w:color w:val="0070C0"/>
          <w:sz w:val="16"/>
          <w:szCs w:val="16"/>
        </w:rPr>
      </w:pPr>
    </w:p>
    <w:p w14:paraId="1A171B78" w14:textId="77777777" w:rsidR="00A25AD1" w:rsidRPr="00DB5D0D" w:rsidRDefault="00A25AD1" w:rsidP="00DB5D0D">
      <w:pPr>
        <w:pStyle w:val="a3"/>
        <w:rPr>
          <w:color w:val="000000" w:themeColor="text1"/>
          <w:lang w:val="ru-RU"/>
        </w:rPr>
      </w:pPr>
      <w:r w:rsidRPr="00DB5D0D">
        <w:rPr>
          <w:color w:val="000000" w:themeColor="text1"/>
          <w:lang w:val="ru-RU"/>
        </w:rPr>
        <w:t>В период с 16 по 20 мая 1940 г. на полигоне Мариуполь</w:t>
      </w:r>
      <w:r w:rsidRPr="00DB5D0D">
        <w:rPr>
          <w:color w:val="000000" w:themeColor="text1"/>
          <w:lang w:val="ru-RU"/>
        </w:rPr>
        <w:softHyphen/>
        <w:t>ского завода им. Ильича состоялись первые полигонные испытания опытного носового узла с литой бал</w:t>
      </w:r>
      <w:r w:rsidRPr="00DB5D0D">
        <w:rPr>
          <w:color w:val="000000" w:themeColor="text1"/>
          <w:lang w:val="ru-RU"/>
        </w:rPr>
        <w:softHyphen/>
        <w:t>кой состоялись. На испытаниях присутствовали: старший во</w:t>
      </w:r>
      <w:r w:rsidRPr="00DB5D0D">
        <w:rPr>
          <w:color w:val="000000" w:themeColor="text1"/>
          <w:lang w:val="ru-RU"/>
        </w:rPr>
        <w:softHyphen/>
        <w:t>енпред АБТУ на заводе им. Ильича Г.И. Зухер, заместитель начальника исследовательской лаборатории Г.И. Капырин, заместитель начальни</w:t>
      </w:r>
      <w:r w:rsidRPr="00DB5D0D">
        <w:rPr>
          <w:color w:val="000000" w:themeColor="text1"/>
          <w:lang w:val="ru-RU"/>
        </w:rPr>
        <w:softHyphen/>
        <w:t>ка цеха №5 Г.Ф. Заседский, начальник 6 отдела НИИ-48 М.Я. Гераси</w:t>
      </w:r>
      <w:r w:rsidRPr="00DB5D0D">
        <w:rPr>
          <w:color w:val="000000" w:themeColor="text1"/>
          <w:lang w:val="ru-RU"/>
        </w:rPr>
        <w:softHyphen/>
        <w:t>мов и старший инженер 2 отдела НИИ-48 Б.К. Василевский.</w:t>
      </w:r>
    </w:p>
    <w:p w14:paraId="03858BDC" w14:textId="77777777" w:rsidR="00A25AD1" w:rsidRPr="00DB5D0D" w:rsidRDefault="00A25AD1" w:rsidP="00DB5D0D">
      <w:pPr>
        <w:pStyle w:val="a3"/>
        <w:rPr>
          <w:color w:val="000000" w:themeColor="text1"/>
          <w:lang w:val="ru-RU"/>
        </w:rPr>
      </w:pPr>
      <w:r w:rsidRPr="00DB5D0D">
        <w:rPr>
          <w:color w:val="000000" w:themeColor="text1"/>
          <w:lang w:val="ru-RU"/>
        </w:rPr>
        <w:t>Комиссии предстояло оценить бронестойкостъ литой балки и мест гужонных и сварных соединений при обстреле снарядами калибра 37 и 45 мм, а также проверить характер поражений всего узла при попадании 76-мм бронебойного снаряда.</w:t>
      </w:r>
    </w:p>
    <w:p w14:paraId="3553326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РЕЗУЛЬТАТЫ ПОЛИГОННЫХ ИСПЫТАНИЙ КОМБИНИРОВАННОГО НОСОВОГО УЗЛА.</w:t>
      </w:r>
    </w:p>
    <w:p w14:paraId="53C1EEE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Style w:val="125"/>
          <w:rFonts w:ascii="Times New Roman" w:hAnsi="Times New Roman" w:cs="Times New Roman"/>
          <w:color w:val="000000" w:themeColor="text1"/>
          <w:lang w:val="ru-RU"/>
        </w:rPr>
        <w:t>По 37 мм бронебойному снаряду.</w:t>
      </w:r>
    </w:p>
    <w:p w14:paraId="51F6674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Испытания носового узла производилось 37 мм бронебойными снарядами чертеж 3882 под углом 0° и в рабочем положении носо</w:t>
      </w:r>
      <w:r w:rsidRPr="00DB5D0D">
        <w:rPr>
          <w:rFonts w:ascii="Times New Roman" w:hAnsi="Times New Roman" w:cs="Times New Roman"/>
          <w:i w:val="0"/>
          <w:iCs w:val="0"/>
          <w:color w:val="000000" w:themeColor="text1"/>
          <w:lang w:val="ru-RU"/>
        </w:rPr>
        <w:softHyphen/>
        <w:t>вой детали (угол 60°).</w:t>
      </w:r>
    </w:p>
    <w:p w14:paraId="74E44549"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В результате испытаний носового узла, главным образом в мес</w:t>
      </w:r>
      <w:r w:rsidRPr="00DB5D0D">
        <w:rPr>
          <w:rFonts w:ascii="Times New Roman" w:hAnsi="Times New Roman" w:cs="Times New Roman"/>
          <w:i w:val="0"/>
          <w:iCs w:val="0"/>
          <w:color w:val="000000" w:themeColor="text1"/>
          <w:lang w:val="ru-RU"/>
        </w:rPr>
        <w:softHyphen/>
        <w:t>тах стыка лигой детали с катаной, было найдено, что только при обстреле по нормали, с максимальной скоростью, 37 мм бронебой</w:t>
      </w:r>
      <w:r w:rsidRPr="00DB5D0D">
        <w:rPr>
          <w:rFonts w:ascii="Times New Roman" w:hAnsi="Times New Roman" w:cs="Times New Roman"/>
          <w:i w:val="0"/>
          <w:iCs w:val="0"/>
          <w:color w:val="000000" w:themeColor="text1"/>
          <w:lang w:val="ru-RU"/>
        </w:rPr>
        <w:softHyphen/>
        <w:t>ный снаряд в этих местах узла может вызвать нарушение тыльной прочности и небольшие местные разрушения сварного шва. Под уг</w:t>
      </w:r>
      <w:r w:rsidRPr="00DB5D0D">
        <w:rPr>
          <w:rFonts w:ascii="Times New Roman" w:hAnsi="Times New Roman" w:cs="Times New Roman"/>
          <w:i w:val="0"/>
          <w:iCs w:val="0"/>
          <w:color w:val="000000" w:themeColor="text1"/>
          <w:lang w:val="ru-RU"/>
        </w:rPr>
        <w:softHyphen/>
        <w:t>лом обстрела 60°, бронебойный снаряд 37 мм калибра или рикоше</w:t>
      </w:r>
      <w:r w:rsidRPr="00DB5D0D">
        <w:rPr>
          <w:rFonts w:ascii="Times New Roman" w:hAnsi="Times New Roman" w:cs="Times New Roman"/>
          <w:i w:val="0"/>
          <w:iCs w:val="0"/>
          <w:color w:val="000000" w:themeColor="text1"/>
          <w:lang w:val="ru-RU"/>
        </w:rPr>
        <w:softHyphen/>
        <w:t>тирует, или в лучшем случае производит небольшие выбоины на лицевой стороне, без каких-либо следов с тыльной поверхности.</w:t>
      </w:r>
    </w:p>
    <w:p w14:paraId="7442FA7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Style w:val="125"/>
          <w:rFonts w:ascii="Times New Roman" w:hAnsi="Times New Roman" w:cs="Times New Roman"/>
          <w:color w:val="000000" w:themeColor="text1"/>
          <w:lang w:val="ru-RU"/>
        </w:rPr>
        <w:t>По 45 мм бронебойному снаряду.</w:t>
      </w:r>
    </w:p>
    <w:p w14:paraId="488F149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Обстрел носового узла 45 мм бронебойным снарядом произво</w:t>
      </w:r>
      <w:r w:rsidRPr="00DB5D0D">
        <w:rPr>
          <w:rFonts w:ascii="Times New Roman" w:hAnsi="Times New Roman" w:cs="Times New Roman"/>
          <w:i w:val="0"/>
          <w:iCs w:val="0"/>
          <w:color w:val="000000" w:themeColor="text1"/>
          <w:lang w:val="ru-RU"/>
        </w:rPr>
        <w:softHyphen/>
        <w:t>дился как в рабочем положении (угол 60°), так и под углами 30° и 0°. Испытание во всех случаях производилось со штатными скоростями (750-770 м/с).</w:t>
      </w:r>
    </w:p>
    <w:p w14:paraId="34151C8D"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При испытании по нормали, в местах попадания снаряда между гужонами наблюдались подрывы пробки и небольшие разрушения сварного шва в виде трещин.</w:t>
      </w:r>
    </w:p>
    <w:p w14:paraId="28F51C3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При испытании под углом 30°, во всех случаях не наблюдалось нарушения тыльной прочности узла, за исключением местных тре</w:t>
      </w:r>
      <w:r w:rsidRPr="00DB5D0D">
        <w:rPr>
          <w:rFonts w:ascii="Times New Roman" w:hAnsi="Times New Roman" w:cs="Times New Roman"/>
          <w:i w:val="0"/>
          <w:iCs w:val="0"/>
          <w:color w:val="000000" w:themeColor="text1"/>
          <w:lang w:val="ru-RU"/>
        </w:rPr>
        <w:softHyphen/>
        <w:t>щин сварного шва в месте поражения.</w:t>
      </w:r>
    </w:p>
    <w:p w14:paraId="5E47953C"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При испытании под углом 60° -45 мм снаряд, как и снаряд 37мм калибра, или рикошетирует, или производит небольшие разруше</w:t>
      </w:r>
      <w:r w:rsidRPr="00DB5D0D">
        <w:rPr>
          <w:rFonts w:ascii="Times New Roman" w:hAnsi="Times New Roman" w:cs="Times New Roman"/>
          <w:i w:val="0"/>
          <w:iCs w:val="0"/>
          <w:color w:val="000000" w:themeColor="text1"/>
          <w:lang w:val="ru-RU"/>
        </w:rPr>
        <w:softHyphen/>
        <w:t>ния на лицевой стороне, без каких-либо последствий для тыльной стороны.</w:t>
      </w:r>
    </w:p>
    <w:p w14:paraId="7B350E49"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Style w:val="124"/>
          <w:rFonts w:ascii="Times New Roman" w:hAnsi="Times New Roman" w:cs="Times New Roman"/>
          <w:color w:val="000000" w:themeColor="text1"/>
          <w:lang w:val="ru-RU"/>
        </w:rPr>
        <w:t>По 76 мм бронебойному снаряду.</w:t>
      </w:r>
    </w:p>
    <w:p w14:paraId="3D72118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Испытания 76 мм бронебойным снарядом преследовало глав</w:t>
      </w:r>
      <w:r w:rsidRPr="00DB5D0D">
        <w:rPr>
          <w:rFonts w:ascii="Times New Roman" w:hAnsi="Times New Roman" w:cs="Times New Roman"/>
          <w:i w:val="0"/>
          <w:iCs w:val="0"/>
          <w:color w:val="000000" w:themeColor="text1"/>
          <w:lang w:val="ru-RU"/>
        </w:rPr>
        <w:softHyphen/>
        <w:t>ным образом проверку прочности гужонных и сварных соединений всего комбинированного узла в целом. Несмотря на жесткость ис</w:t>
      </w:r>
      <w:r w:rsidRPr="00DB5D0D">
        <w:rPr>
          <w:rFonts w:ascii="Times New Roman" w:hAnsi="Times New Roman" w:cs="Times New Roman"/>
          <w:i w:val="0"/>
          <w:iCs w:val="0"/>
          <w:color w:val="000000" w:themeColor="text1"/>
          <w:lang w:val="ru-RU"/>
        </w:rPr>
        <w:softHyphen/>
        <w:t>пытаний (испытание 76 мм снарядом производилось последним, пос</w:t>
      </w:r>
      <w:r w:rsidRPr="00DB5D0D">
        <w:rPr>
          <w:rFonts w:ascii="Times New Roman" w:hAnsi="Times New Roman" w:cs="Times New Roman"/>
          <w:i w:val="0"/>
          <w:iCs w:val="0"/>
          <w:color w:val="000000" w:themeColor="text1"/>
          <w:lang w:val="ru-RU"/>
        </w:rPr>
        <w:softHyphen/>
        <w:t>ле испытания носового узла снарядами 37 и 45 мм калибров) носо</w:t>
      </w:r>
      <w:r w:rsidRPr="00DB5D0D">
        <w:rPr>
          <w:rFonts w:ascii="Times New Roman" w:hAnsi="Times New Roman" w:cs="Times New Roman"/>
          <w:i w:val="0"/>
          <w:iCs w:val="0"/>
          <w:color w:val="000000" w:themeColor="text1"/>
          <w:lang w:val="ru-RU"/>
        </w:rPr>
        <w:softHyphen/>
        <w:t>вой узел показал вполне удовлетворительные результаты.</w:t>
      </w:r>
    </w:p>
    <w:p w14:paraId="5C16A654"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При скорости снаряда 569 м/с в носовую деталь (под углом близким к нормали) последняя дала небольшую выбоину без выпучины с тыла и относительно небольшую трещину сварного шва. Второй снаряд при скорости 620 м/с под углом 60° (по месту сварки) срикошетировал и вызвал в катаной 45 мм детали высо</w:t>
      </w:r>
      <w:r w:rsidRPr="00DB5D0D">
        <w:rPr>
          <w:rFonts w:ascii="Times New Roman" w:hAnsi="Times New Roman" w:cs="Times New Roman"/>
          <w:i w:val="0"/>
          <w:iCs w:val="0"/>
          <w:color w:val="000000" w:themeColor="text1"/>
          <w:lang w:val="ru-RU"/>
        </w:rPr>
        <w:softHyphen/>
        <w:t>кой твердости откол около 180 мм в диаметре, т.е. менее 3-х ка</w:t>
      </w:r>
      <w:r w:rsidRPr="00DB5D0D">
        <w:rPr>
          <w:rFonts w:ascii="Times New Roman" w:hAnsi="Times New Roman" w:cs="Times New Roman"/>
          <w:i w:val="0"/>
          <w:iCs w:val="0"/>
          <w:color w:val="000000" w:themeColor="text1"/>
          <w:lang w:val="ru-RU"/>
        </w:rPr>
        <w:softHyphen/>
        <w:t>либров.</w:t>
      </w:r>
      <w:r w:rsidRPr="00DB5D0D">
        <w:rPr>
          <w:rStyle w:val="12SimHei7pt12"/>
          <w:rFonts w:ascii="Times New Roman" w:eastAsia="Calibri" w:hAnsi="Times New Roman" w:cs="Times New Roman"/>
          <w:color w:val="000000" w:themeColor="text1"/>
          <w:sz w:val="16"/>
          <w:szCs w:val="16"/>
          <w:lang w:val="ru-RU"/>
        </w:rPr>
        <w:t xml:space="preserve"> [</w:t>
      </w:r>
      <w:r w:rsidRPr="00DB5D0D">
        <w:rPr>
          <w:rFonts w:ascii="Times New Roman" w:hAnsi="Times New Roman" w:cs="Times New Roman"/>
          <w:i w:val="0"/>
          <w:iCs w:val="0"/>
          <w:color w:val="000000" w:themeColor="text1"/>
          <w:lang w:val="ru-RU"/>
        </w:rPr>
        <w:t>РГВА. Ф.31811. Оп.2. Д. 1176. Л. 163-164.</w:t>
      </w:r>
      <w:r w:rsidRPr="00DB5D0D">
        <w:rPr>
          <w:rStyle w:val="12SimHei7pt12"/>
          <w:rFonts w:ascii="Times New Roman" w:eastAsia="Calibri" w:hAnsi="Times New Roman" w:cs="Times New Roman"/>
          <w:color w:val="000000" w:themeColor="text1"/>
          <w:sz w:val="16"/>
          <w:szCs w:val="16"/>
          <w:lang w:val="ru-RU"/>
        </w:rPr>
        <w:t>]</w:t>
      </w:r>
    </w:p>
    <w:p w14:paraId="6BF7D940" w14:textId="77777777" w:rsidR="00A25AD1" w:rsidRPr="00DB5D0D" w:rsidRDefault="00A25AD1" w:rsidP="00DB5D0D">
      <w:pPr>
        <w:pStyle w:val="a3"/>
        <w:rPr>
          <w:color w:val="000000" w:themeColor="text1"/>
          <w:lang w:val="ru-RU"/>
        </w:rPr>
      </w:pPr>
      <w:r w:rsidRPr="00DB5D0D">
        <w:rPr>
          <w:color w:val="000000" w:themeColor="text1"/>
          <w:lang w:val="ru-RU"/>
        </w:rPr>
        <w:t>Данные по срабатываемое™ бронебойных снарядов также ока</w:t>
      </w:r>
      <w:r w:rsidRPr="00DB5D0D">
        <w:rPr>
          <w:color w:val="000000" w:themeColor="text1"/>
          <w:lang w:val="ru-RU"/>
        </w:rPr>
        <w:softHyphen/>
        <w:t>зались удовлетворительными: корпуса 37- и 45-мм снарядов во всех случаях были либо со вскрытыми полостями, либо в осколках. На основании полученных результатов комиссия сделала следующие ыводы:</w:t>
      </w:r>
    </w:p>
    <w:p w14:paraId="1E566C4E"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Общее заключение о стойкости комбинированного носового узла.</w:t>
      </w:r>
    </w:p>
    <w:p w14:paraId="7485B025"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Комбинированный носовой узел в рабочем положении и под углом 30° надежно выдерживает - без нарушения прочнос</w:t>
      </w:r>
      <w:r w:rsidRPr="00DB5D0D">
        <w:rPr>
          <w:rFonts w:ascii="Times New Roman" w:hAnsi="Times New Roman" w:cs="Times New Roman"/>
          <w:i w:val="0"/>
          <w:iCs w:val="0"/>
          <w:color w:val="000000" w:themeColor="text1"/>
          <w:lang w:val="ru-RU"/>
        </w:rPr>
        <w:softHyphen/>
        <w:t>ти - удар 37 и 45 мм бронебойных снарядов при максимальных скоростях.</w:t>
      </w:r>
    </w:p>
    <w:p w14:paraId="47C3640B"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При обстреле под углом 0° комбинированный носовой узел по</w:t>
      </w:r>
      <w:r w:rsidRPr="00DB5D0D">
        <w:rPr>
          <w:rFonts w:ascii="Times New Roman" w:hAnsi="Times New Roman" w:cs="Times New Roman"/>
          <w:i w:val="0"/>
          <w:iCs w:val="0"/>
          <w:color w:val="000000" w:themeColor="text1"/>
          <w:lang w:val="ru-RU"/>
        </w:rPr>
        <w:softHyphen/>
        <w:t>ражается этими снарядами при штатных скоростях последних толь</w:t>
      </w:r>
      <w:r w:rsidRPr="00DB5D0D">
        <w:rPr>
          <w:rFonts w:ascii="Times New Roman" w:hAnsi="Times New Roman" w:cs="Times New Roman"/>
          <w:i w:val="0"/>
          <w:iCs w:val="0"/>
          <w:color w:val="000000" w:themeColor="text1"/>
          <w:lang w:val="ru-RU"/>
        </w:rPr>
        <w:softHyphen/>
        <w:t>ко в зоне гужонных и сварных соединений. Причем характер наблюда</w:t>
      </w:r>
      <w:r w:rsidRPr="00DB5D0D">
        <w:rPr>
          <w:rFonts w:ascii="Times New Roman" w:hAnsi="Times New Roman" w:cs="Times New Roman"/>
          <w:i w:val="0"/>
          <w:iCs w:val="0"/>
          <w:color w:val="000000" w:themeColor="text1"/>
          <w:lang w:val="ru-RU"/>
        </w:rPr>
        <w:softHyphen/>
        <w:t>емых поражений узла при этом - надрыв пробки не на полную ок</w:t>
      </w:r>
      <w:r w:rsidRPr="00DB5D0D">
        <w:rPr>
          <w:rFonts w:ascii="Times New Roman" w:hAnsi="Times New Roman" w:cs="Times New Roman"/>
          <w:i w:val="0"/>
          <w:iCs w:val="0"/>
          <w:color w:val="000000" w:themeColor="text1"/>
          <w:lang w:val="ru-RU"/>
        </w:rPr>
        <w:softHyphen/>
        <w:t>ружность, трещины на выпучине - нужно охарактеризовать как бе</w:t>
      </w:r>
      <w:r w:rsidRPr="00DB5D0D">
        <w:rPr>
          <w:rFonts w:ascii="Times New Roman" w:hAnsi="Times New Roman" w:cs="Times New Roman"/>
          <w:i w:val="0"/>
          <w:iCs w:val="0"/>
          <w:color w:val="000000" w:themeColor="text1"/>
          <w:lang w:val="ru-RU"/>
        </w:rPr>
        <w:softHyphen/>
        <w:t>зопасные поражения.</w:t>
      </w:r>
    </w:p>
    <w:p w14:paraId="2DE1C35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Учитывая, что в действительных условиях службы комбиниро</w:t>
      </w:r>
      <w:r w:rsidRPr="00DB5D0D">
        <w:rPr>
          <w:rFonts w:ascii="Times New Roman" w:hAnsi="Times New Roman" w:cs="Times New Roman"/>
          <w:i w:val="0"/>
          <w:iCs w:val="0"/>
          <w:color w:val="000000" w:themeColor="text1"/>
          <w:lang w:val="ru-RU"/>
        </w:rPr>
        <w:softHyphen/>
        <w:t>ванного носового узла на машине попадания в зону гуженных и свар</w:t>
      </w:r>
      <w:r w:rsidRPr="00DB5D0D">
        <w:rPr>
          <w:rFonts w:ascii="Times New Roman" w:hAnsi="Times New Roman" w:cs="Times New Roman"/>
          <w:i w:val="0"/>
          <w:iCs w:val="0"/>
          <w:color w:val="000000" w:themeColor="text1"/>
          <w:lang w:val="ru-RU"/>
        </w:rPr>
        <w:softHyphen/>
        <w:t>ных соединений по нормали маловероятны (возможны при подъеме или спуске танка под углом 60°) следует признать, что практически, при иных углах подъема танка, комбинированный носовой узел прак</w:t>
      </w:r>
      <w:r w:rsidRPr="00DB5D0D">
        <w:rPr>
          <w:rFonts w:ascii="Times New Roman" w:hAnsi="Times New Roman" w:cs="Times New Roman"/>
          <w:i w:val="0"/>
          <w:iCs w:val="0"/>
          <w:color w:val="000000" w:themeColor="text1"/>
          <w:lang w:val="ru-RU"/>
        </w:rPr>
        <w:softHyphen/>
        <w:t>тически не будет поражаться бронебойными снарядами 37 и 45 мм калибров даже при стрельбе в упор. В отношении 76 мм бронебой</w:t>
      </w:r>
      <w:r w:rsidRPr="00DB5D0D">
        <w:rPr>
          <w:rFonts w:ascii="Times New Roman" w:hAnsi="Times New Roman" w:cs="Times New Roman"/>
          <w:i w:val="0"/>
          <w:iCs w:val="0"/>
          <w:color w:val="000000" w:themeColor="text1"/>
          <w:lang w:val="ru-RU"/>
        </w:rPr>
        <w:softHyphen/>
        <w:t>ного снаряда, испытания которым проводились факультативно, стой</w:t>
      </w:r>
      <w:r w:rsidRPr="00DB5D0D">
        <w:rPr>
          <w:rFonts w:ascii="Times New Roman" w:hAnsi="Times New Roman" w:cs="Times New Roman"/>
          <w:i w:val="0"/>
          <w:iCs w:val="0"/>
          <w:color w:val="000000" w:themeColor="text1"/>
          <w:lang w:val="ru-RU"/>
        </w:rPr>
        <w:softHyphen/>
        <w:t>кость и характер поражения литой носовой детали следует считать удовлетворительной.</w:t>
      </w:r>
    </w:p>
    <w:p w14:paraId="491026DE"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Надежность гужонных и сварных соединений узла.</w:t>
      </w:r>
    </w:p>
    <w:p w14:paraId="0BAFDDF4"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noProof w:val="0"/>
          <w:color w:val="000000" w:themeColor="text1"/>
          <w:lang w:val="ru-RU"/>
        </w:rPr>
      </w:pPr>
      <w:r w:rsidRPr="00DB5D0D">
        <w:rPr>
          <w:rFonts w:ascii="Times New Roman" w:hAnsi="Times New Roman" w:cs="Times New Roman"/>
          <w:i w:val="0"/>
          <w:iCs w:val="0"/>
          <w:color w:val="000000" w:themeColor="text1"/>
          <w:lang w:val="ru-RU"/>
        </w:rPr>
        <w:t>Снарядные испытания комбинированного носового узла, в основ</w:t>
      </w:r>
      <w:r w:rsidRPr="00DB5D0D">
        <w:rPr>
          <w:rFonts w:ascii="Times New Roman" w:hAnsi="Times New Roman" w:cs="Times New Roman"/>
          <w:i w:val="0"/>
          <w:iCs w:val="0"/>
          <w:color w:val="000000" w:themeColor="text1"/>
          <w:lang w:val="ru-RU"/>
        </w:rPr>
        <w:softHyphen/>
        <w:t>ном сводящиеся к испытанию гужонных и сварных соединений снаря</w:t>
      </w:r>
      <w:r w:rsidRPr="00DB5D0D">
        <w:rPr>
          <w:rFonts w:ascii="Times New Roman" w:hAnsi="Times New Roman" w:cs="Times New Roman"/>
          <w:i w:val="0"/>
          <w:iCs w:val="0"/>
          <w:color w:val="000000" w:themeColor="text1"/>
          <w:lang w:val="ru-RU"/>
        </w:rPr>
        <w:softHyphen/>
        <w:t>дами различных калибров и под разными углами показали удовлетво</w:t>
      </w:r>
      <w:r w:rsidRPr="00DB5D0D">
        <w:rPr>
          <w:rFonts w:ascii="Times New Roman" w:hAnsi="Times New Roman" w:cs="Times New Roman"/>
          <w:i w:val="0"/>
          <w:iCs w:val="0"/>
          <w:color w:val="000000" w:themeColor="text1"/>
          <w:lang w:val="ru-RU"/>
        </w:rPr>
        <w:softHyphen/>
        <w:t>рительные результаты. Носовой узел выдержал 24 выстрела, без зна</w:t>
      </w:r>
      <w:r w:rsidRPr="00DB5D0D">
        <w:rPr>
          <w:rFonts w:ascii="Times New Roman" w:hAnsi="Times New Roman" w:cs="Times New Roman"/>
          <w:i w:val="0"/>
          <w:iCs w:val="0"/>
          <w:color w:val="000000" w:themeColor="text1"/>
          <w:lang w:val="ru-RU"/>
        </w:rPr>
        <w:softHyphen/>
        <w:t>чительных повреждений в местах гужонных и сварных соединений.</w:t>
      </w:r>
    </w:p>
    <w:p w14:paraId="74E2A22B"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Style w:val="124"/>
          <w:rFonts w:ascii="Times New Roman" w:hAnsi="Times New Roman" w:cs="Times New Roman"/>
          <w:color w:val="000000" w:themeColor="text1"/>
          <w:lang w:val="ru-RU"/>
        </w:rPr>
        <w:t>ВЫВОДЫ</w:t>
      </w:r>
    </w:p>
    <w:p w14:paraId="3574453B"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На основании результатов испытания комбинированного носо</w:t>
      </w:r>
      <w:r w:rsidRPr="00DB5D0D">
        <w:rPr>
          <w:rFonts w:ascii="Times New Roman" w:hAnsi="Times New Roman" w:cs="Times New Roman"/>
          <w:i w:val="0"/>
          <w:iCs w:val="0"/>
          <w:color w:val="000000" w:themeColor="text1"/>
          <w:lang w:val="ru-RU"/>
        </w:rPr>
        <w:softHyphen/>
        <w:t>вого узла машины А-34, изготовленного из стали марки И-8С (МЗ-2) следует заключить:</w:t>
      </w:r>
    </w:p>
    <w:p w14:paraId="4890BAC8" w14:textId="77777777" w:rsidR="00A25AD1" w:rsidRPr="00DB5D0D" w:rsidRDefault="00A25AD1" w:rsidP="00DB5D0D">
      <w:pPr>
        <w:pStyle w:val="1210"/>
        <w:shd w:val="clear" w:color="auto" w:fill="auto"/>
        <w:tabs>
          <w:tab w:val="left" w:pos="50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1)По стойкости против 37 и 45 мм бронебойных снарядов, ком</w:t>
      </w:r>
      <w:r w:rsidRPr="00DB5D0D">
        <w:rPr>
          <w:rFonts w:ascii="Times New Roman" w:hAnsi="Times New Roman" w:cs="Times New Roman"/>
          <w:i w:val="0"/>
          <w:iCs w:val="0"/>
          <w:color w:val="000000" w:themeColor="text1"/>
          <w:lang w:val="ru-RU"/>
        </w:rPr>
        <w:softHyphen/>
        <w:t>бинированный носовой узел не пробивается (в рабочем положении) снарядами этих калибров, при максимальных скоростях последних.</w:t>
      </w:r>
    </w:p>
    <w:p w14:paraId="735A5608" w14:textId="77777777" w:rsidR="00A25AD1" w:rsidRPr="00DB5D0D" w:rsidRDefault="00A25AD1" w:rsidP="00DB5D0D">
      <w:pPr>
        <w:pStyle w:val="1210"/>
        <w:shd w:val="clear" w:color="auto" w:fill="auto"/>
        <w:tabs>
          <w:tab w:val="left" w:pos="495"/>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2)При испытании бронебойным снарядом 76 мм калибра литая носовая деталь в высокоотпущенном состоянии показала удовлет</w:t>
      </w:r>
      <w:r w:rsidRPr="00DB5D0D">
        <w:rPr>
          <w:rFonts w:ascii="Times New Roman" w:hAnsi="Times New Roman" w:cs="Times New Roman"/>
          <w:i w:val="0"/>
          <w:iCs w:val="0"/>
          <w:color w:val="000000" w:themeColor="text1"/>
          <w:lang w:val="ru-RU"/>
        </w:rPr>
        <w:softHyphen/>
        <w:t>ворительные результаты, как по стойкости против этого калибра, так и по характеру поражений.</w:t>
      </w:r>
    </w:p>
    <w:p w14:paraId="6BA366C4" w14:textId="77777777" w:rsidR="00A25AD1" w:rsidRPr="00DB5D0D" w:rsidRDefault="00A25AD1" w:rsidP="00DB5D0D">
      <w:pPr>
        <w:pStyle w:val="1210"/>
        <w:shd w:val="clear" w:color="auto" w:fill="auto"/>
        <w:tabs>
          <w:tab w:val="left" w:pos="495"/>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3)Гужонные и сварные соединения катаных деталей с литой - по результатам снарядных испытаний также вполне удовлетворительны. Во всех случаях попадания снаряда в гужоны или место сварки не вызывали каких-либо разрушений, выходящих за зону деформации.</w:t>
      </w:r>
    </w:p>
    <w:p w14:paraId="76AA62C3" w14:textId="77777777" w:rsidR="00A25AD1" w:rsidRPr="00DB5D0D" w:rsidRDefault="00A25AD1" w:rsidP="00DB5D0D">
      <w:pPr>
        <w:pStyle w:val="1210"/>
        <w:shd w:val="clear" w:color="auto" w:fill="auto"/>
        <w:tabs>
          <w:tab w:val="left" w:pos="486"/>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4)Срабатываемость корпусов бронебойных снарядов 37и 45 мм калибров удовлетворительная.</w:t>
      </w:r>
    </w:p>
    <w:p w14:paraId="019BD2E5" w14:textId="77777777" w:rsidR="00A25AD1" w:rsidRPr="00DB5D0D" w:rsidRDefault="00A25AD1" w:rsidP="00DB5D0D">
      <w:pPr>
        <w:pStyle w:val="1210"/>
        <w:shd w:val="clear" w:color="auto" w:fill="auto"/>
        <w:tabs>
          <w:tab w:val="left" w:pos="529"/>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5)Применение комбинированного носового узла для машины А-34 взамен штампованного в значительной степени разгружает прес</w:t>
      </w:r>
      <w:r w:rsidRPr="00DB5D0D">
        <w:rPr>
          <w:rFonts w:ascii="Times New Roman" w:hAnsi="Times New Roman" w:cs="Times New Roman"/>
          <w:i w:val="0"/>
          <w:iCs w:val="0"/>
          <w:color w:val="000000" w:themeColor="text1"/>
          <w:lang w:val="ru-RU"/>
        </w:rPr>
        <w:softHyphen/>
        <w:t>совое хозяйство завода, не снижая стойкости узла.</w:t>
      </w:r>
    </w:p>
    <w:p w14:paraId="51F65F00"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Style w:val="124"/>
          <w:rFonts w:ascii="Times New Roman" w:hAnsi="Times New Roman" w:cs="Times New Roman"/>
          <w:color w:val="000000" w:themeColor="text1"/>
          <w:lang w:val="ru-RU"/>
        </w:rPr>
        <w:t>ЗАКЛЮЧЕНИЕ</w:t>
      </w:r>
    </w:p>
    <w:p w14:paraId="73A76B99"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В целях быстрейшей реализации в производстве комбинирован</w:t>
      </w:r>
      <w:r w:rsidRPr="00DB5D0D">
        <w:rPr>
          <w:rFonts w:ascii="Times New Roman" w:hAnsi="Times New Roman" w:cs="Times New Roman"/>
          <w:i w:val="0"/>
          <w:iCs w:val="0"/>
          <w:color w:val="000000" w:themeColor="text1"/>
          <w:lang w:val="ru-RU"/>
        </w:rPr>
        <w:softHyphen/>
        <w:t>ного носового узла, взамен принятого в настоящее время штампо</w:t>
      </w:r>
      <w:r w:rsidRPr="00DB5D0D">
        <w:rPr>
          <w:rFonts w:ascii="Times New Roman" w:hAnsi="Times New Roman" w:cs="Times New Roman"/>
          <w:i w:val="0"/>
          <w:iCs w:val="0"/>
          <w:color w:val="000000" w:themeColor="text1"/>
          <w:lang w:val="ru-RU"/>
        </w:rPr>
        <w:softHyphen/>
        <w:t>ванного, считать целесообразным:</w:t>
      </w:r>
    </w:p>
    <w:p w14:paraId="78D7C7C3" w14:textId="77777777" w:rsidR="00A25AD1" w:rsidRPr="00DB5D0D" w:rsidRDefault="00A25AD1" w:rsidP="00DB5D0D">
      <w:pPr>
        <w:pStyle w:val="1210"/>
        <w:shd w:val="clear" w:color="auto" w:fill="auto"/>
        <w:tabs>
          <w:tab w:val="left" w:pos="50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1)Изготовить установочную партию в 10- 15 шт. комбинирован</w:t>
      </w:r>
      <w:r w:rsidRPr="00DB5D0D">
        <w:rPr>
          <w:rFonts w:ascii="Times New Roman" w:hAnsi="Times New Roman" w:cs="Times New Roman"/>
          <w:i w:val="0"/>
          <w:iCs w:val="0"/>
          <w:color w:val="000000" w:themeColor="text1"/>
          <w:lang w:val="ru-RU"/>
        </w:rPr>
        <w:softHyphen/>
        <w:t>ных узлов и установить их на корпуса.</w:t>
      </w:r>
    </w:p>
    <w:p w14:paraId="0917755C" w14:textId="77777777" w:rsidR="00A25AD1" w:rsidRPr="00DB5D0D" w:rsidRDefault="00A25AD1" w:rsidP="00DB5D0D">
      <w:pPr>
        <w:pStyle w:val="1210"/>
        <w:shd w:val="clear" w:color="auto" w:fill="auto"/>
        <w:tabs>
          <w:tab w:val="left" w:pos="49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2)Провести параллельные снарядные испытания штампованно</w:t>
      </w:r>
      <w:r w:rsidRPr="00DB5D0D">
        <w:rPr>
          <w:rFonts w:ascii="Times New Roman" w:hAnsi="Times New Roman" w:cs="Times New Roman"/>
          <w:i w:val="0"/>
          <w:iCs w:val="0"/>
          <w:color w:val="000000" w:themeColor="text1"/>
          <w:lang w:val="ru-RU"/>
        </w:rPr>
        <w:softHyphen/>
        <w:t>го и комбинированного узлов, в целях сравнения их стойкости.</w:t>
      </w:r>
    </w:p>
    <w:p w14:paraId="63FE0517" w14:textId="77777777" w:rsidR="00A25AD1" w:rsidRPr="00DB5D0D" w:rsidRDefault="00A25AD1" w:rsidP="00DB5D0D">
      <w:pPr>
        <w:pStyle w:val="1210"/>
        <w:shd w:val="clear" w:color="auto" w:fill="auto"/>
        <w:tabs>
          <w:tab w:val="left" w:pos="524"/>
        </w:tabs>
        <w:spacing w:before="0" w:line="240" w:lineRule="auto"/>
        <w:rPr>
          <w:rStyle w:val="1240pt24"/>
          <w:rFonts w:ascii="Times New Roman" w:hAnsi="Times New Roman" w:cs="Times New Roman"/>
          <w:noProof w:val="0"/>
          <w:color w:val="000000" w:themeColor="text1"/>
          <w:spacing w:val="0"/>
          <w:lang w:val="ru-RU"/>
        </w:rPr>
      </w:pPr>
      <w:r w:rsidRPr="00DB5D0D">
        <w:rPr>
          <w:rFonts w:ascii="Times New Roman" w:hAnsi="Times New Roman" w:cs="Times New Roman"/>
          <w:i w:val="0"/>
          <w:iCs w:val="0"/>
          <w:color w:val="000000" w:themeColor="text1"/>
          <w:lang w:val="ru-RU"/>
        </w:rPr>
        <w:t>3)При подтверждении положительных результатов перевести производство штампованной носовой детали машины А-34 целиком на комбинированный носовой узел.</w:t>
      </w:r>
      <w:r w:rsidRPr="00DB5D0D">
        <w:rPr>
          <w:rStyle w:val="1240pt24"/>
          <w:rFonts w:ascii="Times New Roman" w:hAnsi="Times New Roman" w:cs="Times New Roman"/>
          <w:color w:val="000000" w:themeColor="text1"/>
          <w:spacing w:val="0"/>
          <w:lang w:val="ru-RU"/>
        </w:rPr>
        <w:t xml:space="preserve"> [</w:t>
      </w:r>
      <w:r w:rsidRPr="00DB5D0D">
        <w:rPr>
          <w:rFonts w:ascii="Times New Roman" w:hAnsi="Times New Roman" w:cs="Times New Roman"/>
          <w:i w:val="0"/>
          <w:iCs w:val="0"/>
          <w:color w:val="000000" w:themeColor="text1"/>
          <w:lang w:val="ru-RU"/>
        </w:rPr>
        <w:t>РГВА. Ф.31811. Оп.2. Д. 1176. Л. 164-165.</w:t>
      </w:r>
      <w:r w:rsidRPr="00DB5D0D">
        <w:rPr>
          <w:rStyle w:val="1240pt24"/>
          <w:rFonts w:ascii="Times New Roman" w:hAnsi="Times New Roman" w:cs="Times New Roman"/>
          <w:color w:val="000000" w:themeColor="text1"/>
          <w:spacing w:val="0"/>
          <w:lang w:val="ru-RU"/>
        </w:rPr>
        <w:t>]</w:t>
      </w:r>
      <w:r w:rsidRPr="00DB5D0D">
        <w:rPr>
          <w:rStyle w:val="1240pt24"/>
          <w:rFonts w:ascii="Times New Roman" w:hAnsi="Times New Roman" w:cs="Times New Roman"/>
          <w:noProof w:val="0"/>
          <w:color w:val="000000" w:themeColor="text1"/>
          <w:spacing w:val="0"/>
          <w:lang w:val="ru-RU"/>
        </w:rPr>
        <w:t xml:space="preserve"> (11903).</w:t>
      </w:r>
    </w:p>
    <w:p w14:paraId="231625D0" w14:textId="77777777" w:rsidR="00A25AD1" w:rsidRPr="00DB5D0D" w:rsidRDefault="00A25AD1" w:rsidP="00DB5D0D">
      <w:pPr>
        <w:pStyle w:val="1210"/>
        <w:shd w:val="clear" w:color="auto" w:fill="auto"/>
        <w:tabs>
          <w:tab w:val="left" w:pos="524"/>
        </w:tabs>
        <w:spacing w:before="0" w:line="240" w:lineRule="auto"/>
        <w:rPr>
          <w:rFonts w:ascii="Times New Roman" w:hAnsi="Times New Roman" w:cs="Times New Roman"/>
          <w:i w:val="0"/>
          <w:iCs w:val="0"/>
          <w:color w:val="000000" w:themeColor="text1"/>
          <w:lang w:val="ru-RU"/>
        </w:rPr>
      </w:pPr>
    </w:p>
    <w:p w14:paraId="23B569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16 мая 1940 года начальник автобронетанкового управления Красной Армии командарм 2-го ранга Д. Павлов направил на имя Маршала Советского Союза Кулика, в то время заместителя народного комиссара обороны, письмо следующего содержания:</w:t>
      </w:r>
    </w:p>
    <w:p w14:paraId="01AEF490"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color w:val="000000" w:themeColor="text1"/>
          <w:sz w:val="16"/>
          <w:szCs w:val="16"/>
        </w:rPr>
        <w:t>"</w:t>
      </w:r>
      <w:r w:rsidRPr="00DB5D0D">
        <w:rPr>
          <w:rFonts w:ascii="Times New Roman" w:hAnsi="Times New Roman"/>
          <w:iCs/>
          <w:color w:val="000000" w:themeColor="text1"/>
          <w:sz w:val="16"/>
          <w:szCs w:val="16"/>
        </w:rPr>
        <w:t>Докладываю о бронепоездах Красной Армии.</w:t>
      </w:r>
    </w:p>
    <w:p w14:paraId="2FE8E4E5"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w:t>
      </w:r>
    </w:p>
    <w:p w14:paraId="14A201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8. Железнодорожные мины (</w:t>
      </w:r>
      <w:r w:rsidRPr="00DB5D0D">
        <w:rPr>
          <w:rFonts w:ascii="Times New Roman" w:hAnsi="Times New Roman"/>
          <w:bCs/>
          <w:iCs/>
          <w:color w:val="000000" w:themeColor="text1"/>
          <w:sz w:val="16"/>
          <w:szCs w:val="16"/>
        </w:rPr>
        <w:t>ЖДТ-3</w:t>
      </w:r>
      <w:r w:rsidRPr="00DB5D0D">
        <w:rPr>
          <w:rFonts w:ascii="Times New Roman" w:hAnsi="Times New Roman"/>
          <w:iCs/>
          <w:color w:val="000000" w:themeColor="text1"/>
          <w:sz w:val="16"/>
          <w:szCs w:val="16"/>
        </w:rPr>
        <w:t xml:space="preserve">) - снаряды на железнодорожных тележках - </w:t>
      </w:r>
      <w:r w:rsidRPr="00DB5D0D">
        <w:rPr>
          <w:rFonts w:ascii="Times New Roman" w:hAnsi="Times New Roman"/>
          <w:bCs/>
          <w:iCs/>
          <w:color w:val="000000" w:themeColor="text1"/>
          <w:sz w:val="16"/>
          <w:szCs w:val="16"/>
        </w:rPr>
        <w:t>как не оправдывающие своего назначения в современных условиях боя снять с вооружения.</w:t>
      </w:r>
    </w:p>
    <w:p w14:paraId="2631D9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началу Великой Отечественной в РККА еще имелось 26 таких торпед. 10 в КОВО, 4 в СКВО, и 12 на Дальнем Востоке (РГВА, ф. 31811, оп. 2, д. 1195.). Сведений о боевом применении нет (12694).</w:t>
      </w:r>
    </w:p>
    <w:p w14:paraId="61734C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CE31947"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мая 1940 года начальник Автобронетанкового управления РККА Д. Павлова направил заместителю Наркома обороны докладную записку «О бронепоездах Красной Армии». Как следует из докладной записки, всего на май 1940 года на вооружении РККА имелось 28 легких бронепоездов (по штату 33) и 13 тяжелых бронепоездов (по штату 14). В том числе:</w:t>
      </w:r>
    </w:p>
    <w:p w14:paraId="7F4D7E8C"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а) бронеплощадки легкие — имелось 16 бронеплощадок ПЛ-37 (постройки 1939–1940 годов) с 76-мм пушками образца 1902/30 года, и толщиной брони в 20 мм. Более ранних бронеплощадок ПЛ-35 насчитывалось 38 штук. Они вооружались 76-мм пушками образца 1902 года, броня — «в различных комбинациях сталь и броневая сталь, соответствующая по пулестойкости 13–15-мм броне. Опыт модернизации (доведение пулестойкости до 20 мм и смена артсистем) показал нерентабельность этой работы. Изготовление нов Павлова Павлова ых бронеплощадок обходится дешевле, чем модернизация». Кроме того, имелось 14 штук бронеплощадок «постройки 1930–1932 годов на ходовых частях типа «Фокс-Арбель», имеющие </w:t>
      </w:r>
      <w:r w:rsidRPr="00DB5D0D">
        <w:rPr>
          <w:rFonts w:ascii="Times New Roman" w:hAnsi="Times New Roman"/>
          <w:color w:val="0070C0"/>
          <w:sz w:val="16"/>
          <w:szCs w:val="16"/>
        </w:rPr>
        <w:noBreakHyphen/>
        <w:t>76-мм пушки образца 1902 года. Броневой корпус состоит из двойных листов 9-мм котельной стали с прокладкой между ними дерева (дерево сгнило). Внутренняя связь отсутствует. Орудийные башни часто заедают… ходовая часть перегружена… Подвижной состав на тележках «Фокс-Арбель» признан негодным к эксплуатации и изъят из товарного парка ж.-д. сети. На этом основании бронеплощадки на тележках «Фокс-Арбель» НКПС с 1939 года не ремонтируются. Эти бронеплощадки фактически не являются боевыми и не могут быть учебными»;</w:t>
      </w:r>
    </w:p>
    <w:p w14:paraId="5AFCC52E"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б) бронеплощадки тяжелые — постройки 1930–1934 годов в количестве 26 штук. Каждая вооружена одной 107-мм пушкой образца 1910/30 года и пятью пулеметами «максим». «В связи со снятием с вооружения 107-мм пушки обр. 1910 года тяжелые бронеплощадки должны быть перевооружены, но по конструкции корпусов и башен, состоянию брони (хуже, чем на старых легких бронеплощадках), внутреннему оборудованию — модернизировать их нецелесообразно»; </w:t>
      </w:r>
    </w:p>
    <w:p w14:paraId="2E256D86"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бронепаровозы — использовались типовые паровозы серии Ов выпуска 1900–1906 годов (максимальная скорость — 45 км/ч, броня — 10 мм). На тот момент 16 бронепаровозов ранней бронировки 1930–1934 годов «по состоянию броневых корпусов, электротелеграфного и прочего оборудования» требовали «перебронировки в заводских условиях». С учетом того, что продолжительность разбронирования, капитального ремонта паровоза и его бронирования заново занимала период от шести месяцев до одного года, а резервных бронепаровозов не имелось, «безлошадные» бронепоезда длительное время простаивали.</w:t>
      </w:r>
    </w:p>
    <w:p w14:paraId="6CE77229"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Согласно мобилизационного плана, утвержденного в 1940 году, в случае начала широкомасштабных военных действий завод «Красный Профинтерн» должен был изготовить 70 бронепаровозов типа ПР-35 и 140 бронеплощадок — 100 легких ПЛ-37 и 40 тяжелых ПТ-38. Предполагалось подключить к этому и другие предприятия.</w:t>
      </w:r>
    </w:p>
    <w:p w14:paraId="06138FDA"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том же письме Д. Павлова изложены и тогдашние взгляды руководства РККА на боевое применение и круг задач, возлагаемых на бронепоезда:</w:t>
      </w:r>
    </w:p>
    <w:p w14:paraId="37824289"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Определить тактическое применение существующих бронепоездов в общей системе вооруженных сил Красной Армии, изложив параграф 390 полевого устава (проект 1939 года) в следующей редакции: «Бронепоезда обладают мощным артиллерийским и пулеметным вооружением, броневой защитой, постоянной боевой готовностью и быстротой передвижения. Они являются в общевойсковом бою действенным средством поражения живой силы, технических и огневых сил противника в районе железной дороги. Только зависимость бронепоездов от железной дороги ограничивает их применение в общевойсковом бою».</w:t>
      </w:r>
    </w:p>
    <w:p w14:paraId="1B3F5F48"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Задачи, возлагаемые на бронепоезда, являются:</w:t>
      </w:r>
    </w:p>
    <w:p w14:paraId="69371B01"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в содействии пехоте и коннице в бою (особенно в обороне) путем поражения войск противника;</w:t>
      </w:r>
    </w:p>
    <w:p w14:paraId="0213EB01"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в захвате совместно с десантом узлов и пунктов (станций, мостов) важных в оперативном отношении и удержание их до подхода своих войск;</w:t>
      </w:r>
    </w:p>
    <w:p w14:paraId="512B3F95"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в охране важных станций, железнодорожных сооружений, перегонов и побережья;</w:t>
      </w:r>
    </w:p>
    <w:p w14:paraId="03331625"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в сопровождении наиболее важных воинских эшелонов». (22744).</w:t>
      </w:r>
    </w:p>
    <w:p w14:paraId="59E539D8" w14:textId="77777777" w:rsidR="00AA5B6A" w:rsidRPr="00DB5D0D" w:rsidRDefault="00AA5B6A" w:rsidP="00DB5D0D">
      <w:pPr>
        <w:spacing w:after="0" w:line="240" w:lineRule="auto"/>
        <w:jc w:val="both"/>
        <w:rPr>
          <w:rFonts w:ascii="Times New Roman" w:hAnsi="Times New Roman"/>
          <w:color w:val="0070C0"/>
          <w:sz w:val="16"/>
          <w:szCs w:val="16"/>
        </w:rPr>
      </w:pPr>
    </w:p>
    <w:p w14:paraId="1F3EAB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 Научно-исследовательский институт связи (НИИС), созданный 6 августа 1929 г. постановлением Совета Народных Комиссаров СССР на базе Центральной лаборатории связи при Наркомате почт и телеграфов СССР был . переименован в Центральный научно-исследовательский институт связи (ЦНИИС). В 1941 - 1944 гг. находился в эвакуации в г. Алма-Ате (12102).</w:t>
      </w:r>
    </w:p>
    <w:p w14:paraId="4236B9D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885670B" w14:textId="77777777" w:rsidR="00E233AB" w:rsidRPr="00DB5D0D" w:rsidRDefault="00E233A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Газета "Московский транспортник" сообщала: "Всеобщее внимание на Всесоюзной сельскохозяйственной выставке будет привлекать выставленная в павильоне "Механизация" первая советская малолитражка КИМ-10'. Машина предназначена для массового индивидуального владельца, но она с таким же успехом может быть использована на колхозных и совхозных полях агрономом, бригадиром, врачом" (18701).</w:t>
      </w:r>
    </w:p>
    <w:p w14:paraId="40CEF254" w14:textId="77777777" w:rsidR="00E233AB" w:rsidRPr="00DB5D0D" w:rsidRDefault="00E233AB" w:rsidP="00DB5D0D">
      <w:pPr>
        <w:spacing w:after="0" w:line="240" w:lineRule="auto"/>
        <w:jc w:val="both"/>
        <w:rPr>
          <w:rFonts w:ascii="Times New Roman" w:hAnsi="Times New Roman"/>
          <w:color w:val="000000" w:themeColor="text1"/>
          <w:sz w:val="16"/>
          <w:szCs w:val="16"/>
        </w:rPr>
      </w:pPr>
    </w:p>
    <w:p w14:paraId="5E33587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72D649F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1E056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м Тимошенко издал приказ N 120, который ставил задачу: "Учить войска только тому, что нужно на войне, и только так, как делается на войне" Не менее 30% учебного времени д.б.б. ночным (2536,113).</w:t>
      </w:r>
    </w:p>
    <w:p w14:paraId="3652424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C6A7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 вышел приказ НКО О боевой и политической подготовке войск в летний период 1940 учебного года № 120.</w:t>
      </w:r>
    </w:p>
    <w:p w14:paraId="3C1EE6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войны на Карело-Финском театре выявил крупнейшие недочеты в боевом обучении и воспитании армии.</w:t>
      </w:r>
    </w:p>
    <w:p w14:paraId="088107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Воинская дисциплина не стояла на должной высоте. В отдельных случаях состояние дисциплины не обеспечивало твердого выполнения войсками поставленных им боевых задач.</w:t>
      </w:r>
    </w:p>
    <w:p w14:paraId="5900C8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Войска не были подготовлены к боевым действиям в сложных условиях, в частности к позиционной войне, к прорыву УР, к действиям в суровых условиях зимы и в лесу.</w:t>
      </w:r>
    </w:p>
    <w:p w14:paraId="0E23EE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Взаимодействие родов войск в бою, особенно в звене рота — батарея, батальон-дивизион, являлось наиболее узким местом.</w:t>
      </w:r>
    </w:p>
    <w:p w14:paraId="138983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причиной плохого взаимодействия между родами войск было слабое знание командным составом боевых свойств и возможностей других родов войск.</w:t>
      </w:r>
    </w:p>
    <w:p w14:paraId="1D7C0A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Пехота вышла на войну наименее подготовленной из всех родов войск: она не умела вести ближний бой, борьбу в траншеях, не умела использовать результаты артиллерийского огня и обеспечивать свое наступление огнем станковых пулеметов, минометов, батальонной и полковой артиллерии.</w:t>
      </w:r>
    </w:p>
    <w:p w14:paraId="3A98C2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Артиллерия, танки и другие рода войск также имели ряд недочетов в своей боевой выучке, особенно в вопросах взаимодействия с пехотой и обеспечения ее успеха в бою.</w:t>
      </w:r>
    </w:p>
    <w:p w14:paraId="116D3E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боевой подготовке воздушных сил резко выявилось неумение осуществлять взаимодействие с наземными войсками, неподготовленность к полетам в сложных условиях и низкое качество бомбометания, особенно по узким целям.</w:t>
      </w:r>
    </w:p>
    <w:p w14:paraId="270AFC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командного состава не отвечала современным боевым требованиям.</w:t>
      </w:r>
    </w:p>
    <w:p w14:paraId="6B845E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Командиры не командовали своими подразделениями, не держали крепко в руках подчиненных, теряясь в общей массе бойцов.</w:t>
      </w:r>
    </w:p>
    <w:p w14:paraId="501F16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Авторитет комсостава в среднем и младшем звене невысок. Требовательность комсостава низка. Командиры порой преступно терпимо относились к нарушениям дисциплины, к пререканиям подчиненных, а иногда и к прямым неисполнениям приказов.</w:t>
      </w:r>
    </w:p>
    <w:p w14:paraId="53B136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слабым звеном являлись командиры рот, взводов и отделений, не имеющие, как правило, необходимой подготовки, командирских навыков и служебного опыта.</w:t>
      </w:r>
    </w:p>
    <w:p w14:paraId="509041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Старший и высший комсостав слабо организовал взаимодействие, плохо использовал штабы, неумело ставил задачи артиллерии, танкам и особенно авиации.</w:t>
      </w:r>
    </w:p>
    <w:p w14:paraId="493DC0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Командный состав запаса был подготовлен исключительно плохо и часто совершенно не мог выполнять свои обязанности.</w:t>
      </w:r>
    </w:p>
    <w:p w14:paraId="6108BF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Штабы по своей организации, подбору и подготовке кадров, материально-техническому оснащению не соответствовали предъявляемым к ним требованиям: они работали неорганизованно, беспланово и безынициативно, средства связи использовали плохо, и особенно радио. Информация была плохая. Донесения запаздывали, составлялись небрежно, не отражали действительного положения на фронте. Иногда в донесениях и докладах имела место прямая ложь. Скрытым управлением пренебрегали.</w:t>
      </w:r>
    </w:p>
    <w:p w14:paraId="27BA4C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Командные пункты организовывались и несли службу плохо, неумело переходили с одного места на другое.</w:t>
      </w:r>
    </w:p>
    <w:p w14:paraId="3121A3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Боевой опыт не изучался и не использовался. Штабы слабо занимались подготовкой войск к предстоящим действиям.</w:t>
      </w:r>
    </w:p>
    <w:p w14:paraId="7292DA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Управление войсками характеризовалось поспешностью, непродуманностью, отсутствием изучения и анализа обстановки, предвидения последующего развития событий и подготовки к ним. Часто имело место излишнее вмешательство старших начальников в работу младших. Старшие начальники, увлекаясь отдельными эпизодами, упускали управление частью или соединением в целом.</w:t>
      </w:r>
    </w:p>
    <w:p w14:paraId="06C524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Разведывательная служба организовывалась и выполнялась крайне неудовлетворительно. Разведорганы войсковых штабов, разведывательные подразделения частей и соединений были подготовлены плохо. Войска неумело вели разведку в условиях леса, зимы и укрепленной полосы противника, не умели брать пленных.</w:t>
      </w:r>
    </w:p>
    <w:p w14:paraId="541090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всех родах войск особенно плохо была поставлена служба наблюдения.</w:t>
      </w:r>
    </w:p>
    <w:p w14:paraId="1A9399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Командование и штабы всех степеней плохо организовали и неумело руководили работой тыла. Дисциплина в тылу отсутствовала. Порядка на дорогах, особенно в войсковом тылу, не было.</w:t>
      </w:r>
    </w:p>
    <w:p w14:paraId="2B6A1F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Организация помощи раненым была нетерпимо плохой и несвоевременной.</w:t>
      </w:r>
    </w:p>
    <w:p w14:paraId="2145C0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Войска не были обучены переездам по железным дорогам.</w:t>
      </w:r>
    </w:p>
    <w:p w14:paraId="0BE724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эти недочеты в подготовке армии к войне явились в основном результатом неправильного воинского воспитания бойца и командира, ориентировавшихся на легкую победу над слабым врагом и неверной системой боевого обучения, не приучавшей войска к суровым условиям современной войны.</w:t>
      </w:r>
    </w:p>
    <w:p w14:paraId="3D6F01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задачи подготовки войск</w:t>
      </w:r>
    </w:p>
    <w:p w14:paraId="66AA0E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Воспитание войск построить на основе следующих положений: Успех и разгром врага в современном бою могут быть достигнуты только в том случае, когда каждый командир и боец все свои силы будут отдавать строгому и неуклонному выполнению военной присяги. Когда они будут ясно понимать, что победа малой кровью достигается только в результате совместных усилий всех родов войск, правильного и полного использования мощной техники; когда командир и боец будут всегда исполнены порыва бить врага и готовы к упорному преодолению всех трудностей современного боя.</w:t>
      </w:r>
    </w:p>
    <w:p w14:paraId="25030A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Боевую подготовку войск организовать и проводить, исходя из основной задачи — всегда быть в полной боевой готовности.</w:t>
      </w:r>
    </w:p>
    <w:p w14:paraId="00ADF5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Обучение войск приблизить к условиям боевой действительности.</w:t>
      </w:r>
    </w:p>
    <w:p w14:paraId="2C9FA4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Резко повысить тактическую подготовку войск. Тактическую подготовку проводить в сложных условиях, приучая войска действовать днем и ночью, в любую погоду, переносить длительное физическое напряжение, умело маневрировать на разнообразной местности, преодолевая искусственные и естественные препятствия, быстро зарываться в землю и отражать внезапные нападения противника.</w:t>
      </w:r>
    </w:p>
    <w:p w14:paraId="03890B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Всем родам войск полностью овладеть положенным им программным объемом, охватив плановой учебой весь личный состав.</w:t>
      </w:r>
    </w:p>
    <w:p w14:paraId="3B7E82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Каждый боец должен ловко, сноровисто владеть оружием, лопатой и своим специальным делом.</w:t>
      </w:r>
    </w:p>
    <w:p w14:paraId="7F51B2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 основу подготовки подразделения, части и соединения положить приобретение прочных навыков взаимодействия как внутри подразделения и части, так и с другими родами войск, и особенно с артиллерией, танками и авиацией.</w:t>
      </w:r>
    </w:p>
    <w:p w14:paraId="7C3A41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Продолжать совершенствование огневой подготовки бойцов и командного состава, особенно в стрельбе из ручного пулемета и личного оружия.</w:t>
      </w:r>
    </w:p>
    <w:p w14:paraId="61EAEE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Общевойсковым командирам изучить боевые свойства родов войск, умело ставить им задачи, организовывать и поддерживать взаимодействие с ними во всех видах боя.</w:t>
      </w:r>
    </w:p>
    <w:p w14:paraId="0CC86F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Всю жизнь армии построить на строгом соблюдении требований воинской дисциплины, безусловном и точном выполнении приказов и уставов.</w:t>
      </w:r>
    </w:p>
    <w:p w14:paraId="006BA2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учебе и быту всемерно повысить требовательность начальствующего состава к себе и подчиненным.</w:t>
      </w:r>
    </w:p>
    <w:p w14:paraId="3C3C56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Повторение приказаний и распоряжений и немедленное их выполнение с должным старанием и решительностью должно стать привычкой каждого бойца и командира. Начальствующему составу и штабам проверку исполнения всех распоряжений сделать законом в системе воспитания.</w:t>
      </w:r>
    </w:p>
    <w:p w14:paraId="71BD30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Планирование</w:t>
      </w:r>
    </w:p>
    <w:p w14:paraId="01ECEC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Летний период обучения 1940 года начать 15 мая и закончить 30 сентября. Установить:</w:t>
      </w:r>
    </w:p>
    <w:p w14:paraId="793734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23 учебных дня в месяц (из них для автобронетанковых войск, артиллерии на мехтяге и частей, имеющих на вооружении автотранспорт, — один парковый день).</w:t>
      </w:r>
    </w:p>
    <w:p w14:paraId="55F3FA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Продолжительность учебного дня:</w:t>
      </w:r>
    </w:p>
    <w:p w14:paraId="0BE28B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красноармейцев и курсантов полковых школ и учебных подразделений:</w:t>
      </w:r>
    </w:p>
    <w:p w14:paraId="0D17B3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коннице и артиллерии на конной тяге — 8 часов;</w:t>
      </w:r>
    </w:p>
    <w:p w14:paraId="615471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автобронетанковых войсках и частях на автотранспорте и мех-тяге — 9 часов;</w:t>
      </w:r>
    </w:p>
    <w:p w14:paraId="7F82CA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пехоте и остальных родах войск — 10 часов.</w:t>
      </w:r>
    </w:p>
    <w:p w14:paraId="579DBB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учебный день включить все виды занятий, в том числе политинформацию и стрелковый тренаж.</w:t>
      </w:r>
    </w:p>
    <w:p w14:paraId="592385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Предвыходной учебный день на два часа меньше.</w:t>
      </w:r>
    </w:p>
    <w:p w14:paraId="42C517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Курсантов полковых школ младшего комсостава в стрелковых частях выпустить к 1 июня.</w:t>
      </w:r>
    </w:p>
    <w:p w14:paraId="1E1702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июня полковые школы вновь укомплектовать в основном красноармейцами, имеющими боевой опыт.</w:t>
      </w:r>
    </w:p>
    <w:p w14:paraId="73C6AF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Подготовку их проводить по шестимесячной программе полковых школ, соответственно сократив объем за счет усвоенного в период начального обучения.</w:t>
      </w:r>
    </w:p>
    <w:p w14:paraId="28504F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Обучение курсантов полковых школ и учебных подразделений других родов войск продолжать до 30 сентября. При необходимости замещения вакантных должностей к 15 июня выпустить лучших курсантов.</w:t>
      </w:r>
    </w:p>
    <w:p w14:paraId="2BFD64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Подготовку подразделений закончить:</w:t>
      </w:r>
    </w:p>
    <w:p w14:paraId="3317A8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орудие, экипаж — к 1.6;</w:t>
      </w:r>
    </w:p>
    <w:p w14:paraId="2D9613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отделение пехоты (кавалерии), артвзвод — к 15.6;</w:t>
      </w:r>
    </w:p>
    <w:p w14:paraId="716D37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батарея — к 15.7;</w:t>
      </w:r>
    </w:p>
    <w:p w14:paraId="05FC94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взвод пехоты, конницы и др. — к 25.7;</w:t>
      </w:r>
    </w:p>
    <w:p w14:paraId="45C797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рота, эскадрон — к 15.8;</w:t>
      </w:r>
    </w:p>
    <w:p w14:paraId="150624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батальон, кавполк, артдивизион и артгруппа — к 1.9.</w:t>
      </w:r>
    </w:p>
    <w:p w14:paraId="27A49D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 месяц отвести на дополнительную тренировку батальона, полковые и дивизионные учения и инспекторские смотры.</w:t>
      </w:r>
    </w:p>
    <w:p w14:paraId="713E8C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Общевойсковая подготовка</w:t>
      </w:r>
    </w:p>
    <w:p w14:paraId="078E26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 летний период 1940 года отработать:</w:t>
      </w:r>
    </w:p>
    <w:p w14:paraId="737A47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атаку и оборону УР стрелковым полком;</w:t>
      </w:r>
    </w:p>
    <w:p w14:paraId="351884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наступательный бой (усиленных сп, кп, сд, кд) с преодолением полосы заграждений;</w:t>
      </w:r>
    </w:p>
    <w:p w14:paraId="089E3C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преодоление крупных водных преград (усиленных сп, кп, сд, кд);</w:t>
      </w:r>
    </w:p>
    <w:p w14:paraId="3991EB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оборонительный бой с устройством полосы заграждения;</w:t>
      </w:r>
    </w:p>
    <w:p w14:paraId="2E08AD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действия конницы и танковых войск на фланге и при вводе в прорыв (кд, тбр, на фоне усиленного кк).</w:t>
      </w:r>
    </w:p>
    <w:p w14:paraId="1DE726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Отработку общевойсковых тем осуществлять на:</w:t>
      </w:r>
    </w:p>
    <w:p w14:paraId="47B82B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полевых поездках командного и начальствующего состава;</w:t>
      </w:r>
    </w:p>
    <w:p w14:paraId="7F59A8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командно-штбных выходах в поле со средствами связи, с обозначением отдельными машинами танковых и авиационных частей, соединений и тыла;</w:t>
      </w:r>
    </w:p>
    <w:p w14:paraId="2D99C2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общевойсковых учениях и маневрах.</w:t>
      </w:r>
    </w:p>
    <w:p w14:paraId="7EC0C0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Отрабатывать взаимодействие всех родов войск, обязательно изучать вопросы материального обеспечения войск, организацию и управление тылом.</w:t>
      </w:r>
    </w:p>
    <w:p w14:paraId="43B2FE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 проведении общевойсковых учений руководствоваться следующим:</w:t>
      </w:r>
    </w:p>
    <w:p w14:paraId="44D595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учению должна предшествовать соответствующая подготовка командного и начальствующего состава и штабов по данной теме в порядке командирской учебы;</w:t>
      </w:r>
    </w:p>
    <w:p w14:paraId="50E457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учения обязательно привлекать специальные и технические части, хотя бы обозначенные, для чего военным советам округов (армий) эти части (авиацию, танки, артиллерию усиления, химические, инженерные, армейской связи и др.) приписать к определенным стрелковым и кавалерийским соединениям;</w:t>
      </w:r>
    </w:p>
    <w:p w14:paraId="62EC2D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общевойсковых учениях обязательно иметь развернутый и по-боевому работающий тыл;</w:t>
      </w:r>
    </w:p>
    <w:p w14:paraId="199CF5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учениях продолжать совершенствование одиночного бойца и мелких подразделений.</w:t>
      </w:r>
    </w:p>
    <w:p w14:paraId="357305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Общевойсковые учения в летний период проводить подвижными лагерями с длительностью 6 — 10 суток.</w:t>
      </w:r>
    </w:p>
    <w:p w14:paraId="18A944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Часть учений должна быть проведена с подъемом частей (соединений) по тревоге.</w:t>
      </w:r>
    </w:p>
    <w:p w14:paraId="30B4A3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Войсковые части, расположенные в горной местности, учить исключительно в горах.</w:t>
      </w:r>
    </w:p>
    <w:p w14:paraId="1CF74B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Не менее 30% всего времени на тактическую подготовку войск, командного состава и штабов использовать для отработки боевых действий ночью.</w:t>
      </w:r>
    </w:p>
    <w:p w14:paraId="56212D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Добиться отличного знания и выполнения техники ведения разведки всеми разведывательными органами и подразделениями, особенно разведки укрепленных позиций и разведки боем.</w:t>
      </w:r>
    </w:p>
    <w:p w14:paraId="51E549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Командиров и штабы научить правильной постановке задач разведорганам и умению управлять ими.</w:t>
      </w:r>
    </w:p>
    <w:p w14:paraId="644A9E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Подготовка штабов</w:t>
      </w:r>
    </w:p>
    <w:p w14:paraId="1DAE2E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Подготовка штаба составляет прямую обязанность командира. Каждый командир, начиная с командира батальона, к началу общих учений обязан подготовить свой штаб как орган управления в целом.</w:t>
      </w:r>
    </w:p>
    <w:p w14:paraId="3E285A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Штабную техническую подготовку проводить в часы штабных тренировок, на которую отводить в каждом штабе не менее 2-х часов в шестидневку.</w:t>
      </w:r>
    </w:p>
    <w:p w14:paraId="2D171F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Командно-штабные учения проводить вне зависимости от выходов штабов на учения с войсками:</w:t>
      </w:r>
    </w:p>
    <w:p w14:paraId="6B2408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со штабами батальонов (дивизионов) — 2 раза в месяц;</w:t>
      </w:r>
    </w:p>
    <w:p w14:paraId="6065E6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со штабами частей и соединений — 1 раз в месяц.</w:t>
      </w:r>
    </w:p>
    <w:p w14:paraId="403FB6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Продолжительность учений:</w:t>
      </w:r>
    </w:p>
    <w:p w14:paraId="6749AA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батальона (дивизиона, танкового батальона) — не менее суток;</w:t>
      </w:r>
    </w:p>
    <w:p w14:paraId="101C65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полка и соединений — 2 — 3 суток.</w:t>
      </w:r>
    </w:p>
    <w:p w14:paraId="2C661F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Штабы специальных частей (артиллерии, танков, авиации) для практического изучения взаимодействия привлекать на совместные учения с общевойсковыми штабами.</w:t>
      </w:r>
    </w:p>
    <w:p w14:paraId="64D048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Командно-штабному общевойсковому учению должно в обязательном порядке предшествовать учение штабов специальных частей.</w:t>
      </w:r>
    </w:p>
    <w:p w14:paraId="2584CC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Добиться полного овладения СУВ. Строго взыскивать за каждую попытку открытых переговоров.</w:t>
      </w:r>
    </w:p>
    <w:p w14:paraId="729D1B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Совершенствование подготовки начальствующего состава</w:t>
      </w:r>
    </w:p>
    <w:p w14:paraId="1038C7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Совершенствование подготовки командного состава в войсках проводить по занимаемой должности, добиваясь отличного выполнения каждым своих обязанностей.</w:t>
      </w:r>
    </w:p>
    <w:p w14:paraId="6D390A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Основой подготовки является отличное знание и умелое применение на практике уставов и наставлений.</w:t>
      </w:r>
    </w:p>
    <w:p w14:paraId="4066D6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Повысить ответственность младшего командного состава за подготовку своих подразделений и закрепить его на занимаемых должностях, запретив всякие откомандирования и перемещения.</w:t>
      </w:r>
    </w:p>
    <w:p w14:paraId="4447DF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Качество руководства командного состава подготовкой своих частей и подразделений в первую очередь расценивать в зависимости от умения командиров командовать своими подразделениями, особенно в звене рота — взвод — отделение.</w:t>
      </w:r>
    </w:p>
    <w:p w14:paraId="14544F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Основным методом совершенствования начальствующего состава является его самостоятельная работа над собой.</w:t>
      </w:r>
    </w:p>
    <w:p w14:paraId="016AF9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этого разгрузить командный состав от всех заданий, не связанных с исполнением прямых обязанностей, обеспечив ему необходимое время для самостоятельной работы.</w:t>
      </w:r>
    </w:p>
    <w:p w14:paraId="7FE13D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Командирские занятия проводить только по важнейшим вопросам, направляющим весь ход боевой подготовки подразделения и части и в порядке контроля самостоятельной работы командира:</w:t>
      </w:r>
    </w:p>
    <w:p w14:paraId="7EFEEA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 высшим, старшим и средним командным и начальствующим составом два полных дня в месяц;</w:t>
      </w:r>
    </w:p>
    <w:p w14:paraId="1467A2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 младшим командным составом один раз в шестидневку в течение 4-х часов, сверх политзанятий.</w:t>
      </w:r>
    </w:p>
    <w:p w14:paraId="66D454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 командирские занятия включить:</w:t>
      </w:r>
    </w:p>
    <w:p w14:paraId="7AB27C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марксистско-ленинскую подготовку;</w:t>
      </w:r>
    </w:p>
    <w:p w14:paraId="2C6E00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тактическую подготовку;</w:t>
      </w:r>
    </w:p>
    <w:p w14:paraId="1320DD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стрелковую или специальную подготовку, изучение материальной части, состоящей на вооружении, и овладение СУВ;</w:t>
      </w:r>
    </w:p>
    <w:p w14:paraId="6ED611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инструктивные занятия.</w:t>
      </w:r>
    </w:p>
    <w:p w14:paraId="255E25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Политсостав, имеющий военную подготовку, обучать в командовании в масштабе своих частей и подразделений. Не имеющих военной подготовки обучать на ступень ниже.</w:t>
      </w:r>
    </w:p>
    <w:p w14:paraId="27DEAD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Для углубления знаний, обмена боевым опытом и всемерного оживления военной мысли под ответственность начальников штабов в частях и соединениях организовать доклады и рефераты с целью свободного обмена мнений, проводить беседы по материалам последних войн, технике и тактике иностранных армий, а также по вождению войск.</w:t>
      </w:r>
    </w:p>
    <w:p w14:paraId="24AD46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Пехота</w:t>
      </w:r>
    </w:p>
    <w:p w14:paraId="267225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основу подготовки пехоты положить овладение ближним боем каждым бойцом и подразделением. Обучить всех бойцов быстрой ориентировке на местности, искусному пользованию лопатой, стремительным коротким перебежкам, переползанию, маскировке, умелому сочетанию огня и движения на поле боя, решительному штыковому удару и производству меткого прицельного выстрела.</w:t>
      </w:r>
    </w:p>
    <w:p w14:paraId="04022D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Приучить бойцов и подразделения немедленно окапываться на всех остановках, вторые эшелоны — развивать окопы, сделанные впереди идущими, доводя их до полного профиля.</w:t>
      </w:r>
    </w:p>
    <w:p w14:paraId="6288BF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все подразделения должны быть обучены умению штурмовать укрепленные позиции полевого типа и долговременные, вести бой в лесу, горах и на речных преградах.</w:t>
      </w:r>
    </w:p>
    <w:p w14:paraId="3318D4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стрелковых подразделениях и частях все боевые действия, особенно наступление и атака, должны быть отработаны и в условиях ночи.</w:t>
      </w:r>
    </w:p>
    <w:p w14:paraId="5A8D49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45-мм и полковую артиллерию обучить сопровождению пехоты во все периоды боя. Она неотступно должна следовать с пехотой, расстреливая огневые точки противника прямой наводкой.</w:t>
      </w:r>
    </w:p>
    <w:p w14:paraId="7941EB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Пехоту научить движению за огневым валом, прижимаясь к нему на допустимую разрывами снарядов дистанцию (200 м).</w:t>
      </w:r>
    </w:p>
    <w:p w14:paraId="70FD60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Тщательно обучать бойцов, командиров и подразделения искусному ведению разведки и умелому выполнению задач по охранению и непрерывному наблюдению в бою.</w:t>
      </w:r>
    </w:p>
    <w:p w14:paraId="436009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Всей системой обучения постоянно воспитывать в бойце и командире смелость, активность и решительность при выполнении своих боевых задач и стремление к постоянному взаимодействию с соседями ч огневыми средствами.</w:t>
      </w:r>
    </w:p>
    <w:p w14:paraId="566C5F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если потребует обстановка, каждый боец, командир, подразделение и часть должны уметь действовать совершенно самостоятельно, со всей решительностью и упорством добиваясь выполнения задачи и уничтожения противника.</w:t>
      </w:r>
    </w:p>
    <w:p w14:paraId="169929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Научить командный состав и подразделения противодействовать окружению путем тщательной разведки, решительных, смелых ударов во фланг и тыл обходящему противнику.</w:t>
      </w:r>
    </w:p>
    <w:p w14:paraId="0CE029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Учить командный состав и подразделения умело выходить из окружения и самим окружать противника.</w:t>
      </w:r>
    </w:p>
    <w:p w14:paraId="0E9232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На всех тактических учениях тренировать бойцов и подразделения в навыках драться в окопах и ходах сообщения как в наступательном бою, так и в обороне.</w:t>
      </w:r>
    </w:p>
    <w:p w14:paraId="199AE8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Добиться обязательного обозначения пехотой достигнутого положения по парольным сигналам своих самолетов.</w:t>
      </w:r>
    </w:p>
    <w:p w14:paraId="66DFB4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Огневая подготовка</w:t>
      </w:r>
    </w:p>
    <w:p w14:paraId="2F1915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огневой подготовке упор сделать на проведение всех видов боевых стрельб и особенно на тактические учения с боевой стрельбой подразделений.</w:t>
      </w:r>
    </w:p>
    <w:p w14:paraId="70685A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Командный состав, соответственно должностям, научить быстрому и правильному построению системы огня в наступлении и обороне, разработке плана огня, обеспечивающего быстрое сосредоточение и перенос огня всех средств подразделения.</w:t>
      </w:r>
    </w:p>
    <w:p w14:paraId="6E55BF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этим научить все категории командного состава и бойцов подаче, принятию сигналов для вызова и прекращения огня и непрерывному наблюдению за ними.</w:t>
      </w:r>
    </w:p>
    <w:p w14:paraId="6A8F89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 Минометные подразделения</w:t>
      </w:r>
    </w:p>
    <w:p w14:paraId="1F889E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Минометным расчетам и подразделениям привить практические навыки в действиях, добившись автоматизма в ведении огня, для непосредственной поддержки пехоты и сопровождения ее на любой местности.</w:t>
      </w:r>
    </w:p>
    <w:p w14:paraId="573AF6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Командный состав минометных подразделений и начальников минометов научить во всех случаях обстановки и поддерживать прочное взаимодействие со станковыми пулеметами и огнем стрелковых подразделений.</w:t>
      </w:r>
    </w:p>
    <w:p w14:paraId="0C0625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Научить минометный расчет находиться в постоянной готовности подавить препятствующие продвижению пехоты живую силу противника и его огневые средства как при их открытом расположении, так и находящиеся в укрытиях.</w:t>
      </w:r>
    </w:p>
    <w:p w14:paraId="62D5E2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Научить минометные расчеты и подразделения:</w:t>
      </w:r>
    </w:p>
    <w:p w14:paraId="424DA2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умело и быстро разрушать искусственные препятствия и отдельные оборонительные сооружения;</w:t>
      </w:r>
    </w:p>
    <w:p w14:paraId="377228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ни при каких обстоятельствах не терять связи с поддерживаемой пехотой;</w:t>
      </w:r>
    </w:p>
    <w:p w14:paraId="318DCA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быстро и скрытно занимать огневые позиции и наблюдательные пункты, обеспечивая безотказную поддержку пехоте.</w:t>
      </w:r>
    </w:p>
    <w:p w14:paraId="27A0A5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VIII. Конница</w:t>
      </w:r>
    </w:p>
    <w:p w14:paraId="58FAA3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Отработать организацию, обеспечение и действия усиленных кавалерийских соединений и на флангах при развитии прорыва и в тылу противника во взаимодействии с танками, пехотой и авиацией.</w:t>
      </w:r>
    </w:p>
    <w:p w14:paraId="225C6A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w:t>
      </w:r>
    </w:p>
    <w:p w14:paraId="4E7680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два командно-штабных учения корпусов и отдельных дивизий со штабами ск и сд, танковой бригады и авиационных соединений;</w:t>
      </w:r>
    </w:p>
    <w:p w14:paraId="333F3E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два совместных учения (одно при действии конницы на фланге и одно при вводе в прорыв) кавалерийских корпусов и отдельных кд с ск и сд, танковой бригадой, авиацией, инженерными и химическими частями.</w:t>
      </w:r>
    </w:p>
    <w:p w14:paraId="1C5097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Подготовить конницу к совершению длительных и форсированных дневных и ночных маршей, особенно в лесисто-болотистой, горной, пустынной местности, и к преодолению речных преград. Тренировать командный состав в искусстве вождения подразделений, частей и соединений конницы, особенно в условиях ночи и труднопроходимой местности.</w:t>
      </w:r>
    </w:p>
    <w:p w14:paraId="5ACAF4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Подготовить подразделения и части к ведению ближнего боя. Отработать технику действий в пешем и конном строю, быстроту перехода от одного вида действий к другому и умелому сочетанию их.</w:t>
      </w:r>
    </w:p>
    <w:p w14:paraId="3705F0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IX. Артиллерия</w:t>
      </w:r>
    </w:p>
    <w:p w14:paraId="79E2D1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Тактическая подготовка</w:t>
      </w:r>
    </w:p>
    <w:p w14:paraId="0D9EA5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Практически отработать взаимодействие с пехотой (танками, конницей) в наступлении и обороне в звене рота — батарея, батальон — дивизион, полк — артгруппа.</w:t>
      </w:r>
    </w:p>
    <w:p w14:paraId="1A34DB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 концу летнего периода подготовить артиллерию всех видов к длительным артподготовкам и сопровождению атак пехоты (конницы) с танками гибко управляемым массированным огнем и огнем отдельных орудий прямой наводкой с открытых позиций.</w:t>
      </w:r>
    </w:p>
    <w:p w14:paraId="78D240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Зенитной артиллерии научиться взаимодействовать с истребительной авиацией и прожзвуком.</w:t>
      </w:r>
    </w:p>
    <w:p w14:paraId="34FADA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Привить практические навыки командирам, штабам, органам артразведки всех видов в организации и проведении разведки предполий, укрепленных полос и УР противника, наблюдения на пересеченной и лесисто-болотистой местности.</w:t>
      </w:r>
    </w:p>
    <w:p w14:paraId="168A9C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Научить скрытности действий, инженерному оборудованию боевых порядков артиллерии и маскировке их от наземного и воздушного противника.</w:t>
      </w:r>
    </w:p>
    <w:p w14:paraId="5EB20E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Научиться бесперебойно питать артиллерию боевыми выстрелами, для чего в каждой части провести не менее трех дивизионных и двух полковых тыловых учений.</w:t>
      </w:r>
    </w:p>
    <w:p w14:paraId="6FDF60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Отработать ПХО боевых порядков артиллерии, ведение огня в условиях ночи, пониженной видимости и задымления ОП и НП.</w:t>
      </w:r>
    </w:p>
    <w:p w14:paraId="6772F7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Штабы полков АРГК привлекать на учения общевойсковых штабов. Со штабами НАК и НАД ежемесячно проводить по одному учению со средствами связи.</w:t>
      </w:r>
    </w:p>
    <w:p w14:paraId="408834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Стрелково-артиллерийская подготовка</w:t>
      </w:r>
    </w:p>
    <w:p w14:paraId="4456C9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Наземной артиллерии продолжать совершенствоваться в ударной и дистанционной стрельбе на средних и предельных дальностях по знакам наблюдения, с большим смещением, широко применяя переносы огня полевыми способами и подготовку исходных данных для стрельбы по карте, приборам и без них.</w:t>
      </w:r>
    </w:p>
    <w:p w14:paraId="508D0B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Дивизионной, корпусной артиллерии и АРГК, кроме того, хорошо знать стрельбу с полной подготовкой и по измеренным отклонениям.</w:t>
      </w:r>
    </w:p>
    <w:p w14:paraId="4DF63A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Научиться разрушать оборонительные сооружения и препятствия с закрытых и открытых позиций.</w:t>
      </w:r>
    </w:p>
    <w:p w14:paraId="7A2277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стрельбе по невидимым целям, по артиллерийским позициям противника в совершенстве научиться стрелять по площадям.</w:t>
      </w:r>
    </w:p>
    <w:p w14:paraId="17451D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Продолжать совершенствоваться в стрельбе прямой наводкой по движущимся целям и на самооборону.</w:t>
      </w:r>
    </w:p>
    <w:p w14:paraId="517857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Корпусной артиллерии и пушечным полкам АРГК отработать стрельбы по ненаблюдаемым целям с применением АИР и воздушного наблюдения.</w:t>
      </w:r>
    </w:p>
    <w:p w14:paraId="10B0C4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Зенитной артиллерии научиться поражать скоростные самолеты на высотах до 8000 метров, ненаблюдаемые воздушные цели и цели, применяющие маневр. Уметь отражать атаки пехоты (конницы) и мотовойск.</w:t>
      </w:r>
    </w:p>
    <w:p w14:paraId="686B50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Техническая подготовка</w:t>
      </w:r>
    </w:p>
    <w:p w14:paraId="7805AB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Всему личному составу научиться приводить в боевую готовность, отлично сберегать, культурно эксплуатировать и применять в боевой обстановке материальную часть артиллерии, боеприпасы, приборы и средства механической тяги.</w:t>
      </w:r>
    </w:p>
    <w:p w14:paraId="0C8FEC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Организовать автотракторную, парковую службы.</w:t>
      </w:r>
    </w:p>
    <w:p w14:paraId="087625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Конная подготовка</w:t>
      </w:r>
    </w:p>
    <w:p w14:paraId="378A46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артиллерии на конной тяге всему начсоставу, младшим командирам и бойцам ликвидировать немощь в езде на различных аллюрах, по пересеченной местности с преодолением различных препятствий.</w:t>
      </w:r>
    </w:p>
    <w:p w14:paraId="4EB68E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Широко практиковать конно-орудийные, взводные и батарейные строевые учения.</w:t>
      </w:r>
    </w:p>
    <w:p w14:paraId="4C8858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Обратить особое внимание на уход и сбережение конского состава в полевых условиях и при длительных маршах.</w:t>
      </w:r>
    </w:p>
    <w:p w14:paraId="25AA6C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 Автобронетанковые войска</w:t>
      </w:r>
    </w:p>
    <w:p w14:paraId="161F49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Продолжать совершенствование в совместных действиях танков с пехотой, конницей, артиллерией и авиацией, а также в управлении во всех видах боя.</w:t>
      </w:r>
    </w:p>
    <w:p w14:paraId="4963FB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Выработать твердую маршевую дисциплину, научиться совершать марши без перерывов в движении.</w:t>
      </w:r>
    </w:p>
    <w:p w14:paraId="1BBA78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Научить войска эвакуации танков с поля боя и производству ремонта в полевых условиях.</w:t>
      </w:r>
    </w:p>
    <w:p w14:paraId="5BA16B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Командному составу и штабам добиваться получения и умело изучать данные разведки о противнике и местности, овладеть организацией работы тыла.</w:t>
      </w:r>
    </w:p>
    <w:p w14:paraId="5A9B8D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Научить:</w:t>
      </w:r>
    </w:p>
    <w:p w14:paraId="1C84C4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командный состав эшелонировать боевые порядки танков в глубину;</w:t>
      </w:r>
    </w:p>
    <w:p w14:paraId="2C6F8C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подразделения вторых эшелонов поддерживать и сопровождать огнем бой первых эшелонов.</w:t>
      </w:r>
    </w:p>
    <w:p w14:paraId="4E66E4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Тренировать экипажи и взводы в наблюдении за боем соседних танков и оказании им помощи своим огнем, не дожидаясь воздействия артиллерии и пехоты.</w:t>
      </w:r>
    </w:p>
    <w:p w14:paraId="5C5EC3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Изучить способы самостоятельного преодоления эскарпов, контрэскарпов, траншей, надолбов и болотистых участков. Для этого каждому танковому батальону провести на машинах учебно-боевого парка по одному показному ротному учению.</w:t>
      </w:r>
    </w:p>
    <w:p w14:paraId="3A8736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Тренировку в преодолении противотанковых препятствий проводить на общевойсковых учениях.</w:t>
      </w:r>
    </w:p>
    <w:p w14:paraId="704838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Начальствующему составу и командирам башен, командирских машин знать имеющуюся на вооружении радиостанцию, уметь войти в связь микрофоном, найти и устранить простейшие неисправности.</w:t>
      </w:r>
    </w:p>
    <w:p w14:paraId="1DB5EB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Отвести на каждую машину боевого парка 40 моточасов, учебно-боевого парка — 250 моточасов, считая с 1.1. 40 г.</w:t>
      </w:r>
    </w:p>
    <w:p w14:paraId="6710C2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Весь парк содержать в полной боевой готовности.</w:t>
      </w:r>
    </w:p>
    <w:p w14:paraId="090E77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 Военно-Воздушные Силы</w:t>
      </w:r>
    </w:p>
    <w:p w14:paraId="0B0112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Особое внимание обратить на дальнейшую отработку взаимодействия ВВС с наземными войсками, привлекая их на учения и маневры. На все командно-штабные учения наземных войск выводить штабы частей ВВС в полном составе. Конкретно руководить разведывательной и артиллерийской авиацией по их специальному назначению.</w:t>
      </w:r>
    </w:p>
    <w:p w14:paraId="432389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Основная задача всех видов авиации — овладеть самолетовождением и боевыми действиями в сложных условиях: в облаках, в темную ночь, на низких высотах при плохой погоде и на полный радиус действия.</w:t>
      </w:r>
    </w:p>
    <w:p w14:paraId="45650A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каждом полку бомбардировочной и истребительной авиации подготовить не менее одной эскадрильи для полетов в сложных условиях и ночью.</w:t>
      </w:r>
    </w:p>
    <w:p w14:paraId="50510F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Всю бомбардировочную авиацию учить бомбометанию по узким целям, со средних и малых высот.</w:t>
      </w:r>
    </w:p>
    <w:p w14:paraId="50CF0E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Истребительная авиация. Главная задача — групповое ведение воздушного боя на всех высотах. Кроме того, овладеть:</w:t>
      </w:r>
    </w:p>
    <w:p w14:paraId="326E58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прицельным бомбометанием с пикирования;</w:t>
      </w:r>
    </w:p>
    <w:p w14:paraId="4E44C9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воздушной разведкой, а отдельным экипажам — фотографированием;</w:t>
      </w:r>
    </w:p>
    <w:p w14:paraId="3FE8F4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стрельбой по малым точечным целям.</w:t>
      </w:r>
    </w:p>
    <w:p w14:paraId="66EEA2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Разведывательная авиация. Овладеть фотографированием площадей со средних и больших высот как одиночным самолетом, так и группой. Ввести обучение фотографированию ночью.</w:t>
      </w:r>
    </w:p>
    <w:p w14:paraId="6BCF6B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Бомбардировочную и истребительную авиацию, расположенную вблизи морей, обучать: длительным полетам над морем вне видимости берегов, ведению воздушного боя и нападению на морские объекты.</w:t>
      </w:r>
    </w:p>
    <w:p w14:paraId="0F5892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Продолжать отработку взаимодействия всех видов авиации между собой и особенно между истребительной и бомбардировочной авиацией.</w:t>
      </w:r>
    </w:p>
    <w:p w14:paraId="53FF06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Авиационные базы учить маневру в условиях частой смены аэродромов и обеспечению боевой работы авиационных частей в отрыве от железных дорог.</w:t>
      </w:r>
    </w:p>
    <w:p w14:paraId="79991F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Авиацию в летний период вывести в лагеря на полевые площадки.</w:t>
      </w:r>
    </w:p>
    <w:p w14:paraId="0252DE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В каждом округе организовать один окружной полигон, на котором установить объемные мишени (танки, паровозы, ж.-д. участки, мосты и т.д.).</w:t>
      </w:r>
    </w:p>
    <w:p w14:paraId="4036AA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XII. Войска связи</w:t>
      </w:r>
    </w:p>
    <w:p w14:paraId="0C4488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Подготовку частей и подразделений связи вести исключительно практическим путем на местности, с реальными средствами связи, развертываемости на действительных расстояниях, дублируя их, добиваясь во всех случаях бесперебойной связи.</w:t>
      </w:r>
    </w:p>
    <w:p w14:paraId="3C3535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занятия проводить в условиях усложненной обстановки (помехи, искусственные повреждения и т. д.), с устройством и оборудованием узлов связи в блиндажах и щелях, с мерами маскировки как объектов связи, так и самих работ. Научить части связи охранять и оборонять узлы и станции от внезапных нападений противника.</w:t>
      </w:r>
    </w:p>
    <w:p w14:paraId="605E90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Начальствующему составу связи:</w:t>
      </w:r>
    </w:p>
    <w:p w14:paraId="26D1EF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освоить тактику своего рода войск и овладеть методом организации связи во всех видах боя;</w:t>
      </w:r>
    </w:p>
    <w:p w14:paraId="5EE0B6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особое внимание уделить организации связи взаимодействия;</w:t>
      </w:r>
    </w:p>
    <w:p w14:paraId="6DD6FB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средний начсостав практически тренировать в выполнении обязанностей дежурного по связи, начальника узла связи и начальника направления связи;</w:t>
      </w:r>
    </w:p>
    <w:p w14:paraId="6B7CBB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совершенствовать знания по технике связи своей части в соответствии со своей специальностью. К концу года сдать нормативы по работе на аппаратах и станциях; </w:t>
      </w:r>
    </w:p>
    <w:p w14:paraId="2B3678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обратить особое внимание на оборудование и эксплуатацию узлов связи (испытание, переключение проводов, составление обходных направлений, источники питания, трансляционные и усилительные устройства, защитные устройства и измерения земель).</w:t>
      </w:r>
    </w:p>
    <w:p w14:paraId="63AD90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Повысить станционно-эксплуатационную службу в подготовке всех специалистов и добиться четкого ведения станционной отчетности, высокой специальной дисциплины, маскировки своей работы и умения оборудовать станции в инженерном отношении.</w:t>
      </w:r>
    </w:p>
    <w:p w14:paraId="148F0C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Радистам:</w:t>
      </w:r>
    </w:p>
    <w:p w14:paraId="4EEAC1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быстро и точно принимать и передавать оперативные документы при сильных помехах и слабой слышимости;</w:t>
      </w:r>
    </w:p>
    <w:p w14:paraId="1F1F91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градуировать радиостанции, уходить от помех и быстро переходить на запасные волны;</w:t>
      </w:r>
    </w:p>
    <w:p w14:paraId="1915DA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работать радиосигналами, групповыми позывными, маневрировать паролями и переходить из одной сети в другую.</w:t>
      </w:r>
    </w:p>
    <w:p w14:paraId="7668EB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Телеграфистам:</w:t>
      </w:r>
    </w:p>
    <w:p w14:paraId="321103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уметь пользоваться военной терминологией;</w:t>
      </w:r>
    </w:p>
    <w:p w14:paraId="51C29C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принимать вслед передачу и обеспечивать ведение переговоров командования.</w:t>
      </w:r>
    </w:p>
    <w:p w14:paraId="31FBD2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6. Телефонистам:</w:t>
      </w:r>
    </w:p>
    <w:p w14:paraId="24C6F1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быстро и без искажений передавать и принимать оперативные телефонограммы в условиях слабой слышимости;</w:t>
      </w:r>
    </w:p>
    <w:p w14:paraId="7F270C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уметь работать на простейших светосигнальных приборах.</w:t>
      </w:r>
    </w:p>
    <w:p w14:paraId="181C2F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Линейным подразделениям:</w:t>
      </w:r>
    </w:p>
    <w:p w14:paraId="0C5D68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быстро наводить и строить телеграфно-телефонные линии большой протяженности в условиях пересеченной местности и вне дорог;</w:t>
      </w:r>
    </w:p>
    <w:p w14:paraId="7691C9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поддерживать в исправности наведенные и построенные линии, особенно в передовой зоне.</w:t>
      </w:r>
    </w:p>
    <w:p w14:paraId="51DD4C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Вожатым собак:</w:t>
      </w:r>
    </w:p>
    <w:p w14:paraId="31CCCB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прокладывать линии связи с использованием усилителя следа;</w:t>
      </w:r>
    </w:p>
    <w:p w14:paraId="189A6C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поддерживать связь собаками в масштабе стрелкового батальона во всех видах боя и на всю глубину, независимо от времени суток.</w:t>
      </w:r>
    </w:p>
    <w:p w14:paraId="773913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Голубеводам:</w:t>
      </w:r>
    </w:p>
    <w:p w14:paraId="63AFB2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обслуживать посты односторонней и двусторонней связи.</w:t>
      </w:r>
    </w:p>
    <w:p w14:paraId="665944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XIII. Инженерная подготовка</w:t>
      </w:r>
    </w:p>
    <w:p w14:paraId="09931E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Всем родам войск практически научиться:</w:t>
      </w:r>
    </w:p>
    <w:p w14:paraId="6C1268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Умело и быстро окапываться под огнем противника.</w:t>
      </w:r>
    </w:p>
    <w:p w14:paraId="194108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Разведывать укрепления противника и преодолевать заграждения.</w:t>
      </w:r>
    </w:p>
    <w:p w14:paraId="6EE13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Устраивать и разрушать противопехотные препятствия.</w:t>
      </w:r>
    </w:p>
    <w:p w14:paraId="50277F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Укреплять оборонительные районы.</w:t>
      </w:r>
    </w:p>
    <w:p w14:paraId="1648E1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Использовать инженерные средства при штурме и блокировке долговременных и деревоземляных сооружений.</w:t>
      </w:r>
    </w:p>
    <w:p w14:paraId="04F2BC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Форсировать водные преграды на табельных и подручных средствах. П. Инженерным войскам, кроме того, отработать:</w:t>
      </w:r>
    </w:p>
    <w:p w14:paraId="6F440B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Разведку и преодоление взрывных заграждений и электризованных препятствий.</w:t>
      </w:r>
    </w:p>
    <w:p w14:paraId="2067F3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Устройство минных полей и сюрпризов и преодоление их, маскировка оборонительных сооружений и работ, эскарпирование местности.</w:t>
      </w:r>
    </w:p>
    <w:p w14:paraId="4F0279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Ускоренную постройку дорог и мостов.</w:t>
      </w:r>
    </w:p>
    <w:p w14:paraId="2CF4D5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Технику производства подземно-минных работ и тактику минной борьбы.</w:t>
      </w:r>
    </w:p>
    <w:p w14:paraId="47B7BD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Устройство и оборудование КП и НП.</w:t>
      </w:r>
    </w:p>
    <w:p w14:paraId="6EF35F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практической отработки специальных видов подготовки и овладения техникой инженерные части в период с 15 мая по 1 августа свести в специальные лагеря.</w:t>
      </w:r>
    </w:p>
    <w:p w14:paraId="09B3B9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В каждой стрелковой дивизии оборудовать по одному учебному городку для обучения штурму и блокировке ДОТ.</w:t>
      </w:r>
    </w:p>
    <w:p w14:paraId="4EE6EC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Инженерного управления разработать и разослать в войска стандартный план учебного штурмового городка.</w:t>
      </w:r>
    </w:p>
    <w:p w14:paraId="0C137A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XIV. Химическая подготовка</w:t>
      </w:r>
    </w:p>
    <w:p w14:paraId="624E5F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Химическая подготовка всех родов войск</w:t>
      </w:r>
    </w:p>
    <w:p w14:paraId="73C2FD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Научить войска умело пользоваться индивидуальными средствами противохимической защиты.</w:t>
      </w:r>
    </w:p>
    <w:p w14:paraId="1A8357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Научить разведывательные подразделения вести войсковую химическую разведку во всех видах боя.</w:t>
      </w:r>
    </w:p>
    <w:p w14:paraId="3BC3F1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Провести в каждой части по одному показательному учению с боевыми СОВ по преодолению УЗ; в каждой роте — по дегазации оружия и материальной части с учебными СОВ.</w:t>
      </w:r>
    </w:p>
    <w:p w14:paraId="671D5D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Провести в каждом лагерном сборе по одному показному учению батареи с боевой стрельбой дымовыми снарядами по ослеплению огневых точек и наблюдательных пунктов противника.</w:t>
      </w:r>
    </w:p>
    <w:p w14:paraId="6C9574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Химические войска</w:t>
      </w:r>
    </w:p>
    <w:p w14:paraId="3C9456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Химическим частям отработать:</w:t>
      </w:r>
    </w:p>
    <w:p w14:paraId="21D0D1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прикрытие маскирующими дымами боевого порядка стрелкового полка при наступлении в предполье укрепленной полосы и атаке переднего края;</w:t>
      </w:r>
    </w:p>
    <w:p w14:paraId="63114F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уничтожение противника и его огневых средств огнеметанием при атаке переднего края укрепленной полосы и в глубине обороны. 2. Подразделениям противохимической обороны стрелковых и кавалерийских частей и соединений:</w:t>
      </w:r>
    </w:p>
    <w:p w14:paraId="2A2B7C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проделывать проходы в полосе инженерно-химических заграждений во взаимодействии с инженерными частями;</w:t>
      </w:r>
    </w:p>
    <w:p w14:paraId="6153A7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прикрывать маскирующим дымом переправы войск через водные преграды, пункты сосредоточения войск и тыловые объекты.</w:t>
      </w:r>
    </w:p>
    <w:p w14:paraId="615DBA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XV. Противовоздушная оборона</w:t>
      </w:r>
    </w:p>
    <w:p w14:paraId="63C538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Всем родам войск</w:t>
      </w:r>
    </w:p>
    <w:p w14:paraId="201143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Отработать технику наблюдения и оповещения о воздушном противнике.</w:t>
      </w:r>
    </w:p>
    <w:p w14:paraId="516693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Подготовить в каждом подразделении стрелков по воздушным целям из винтовок и пулеметов.</w:t>
      </w:r>
    </w:p>
    <w:p w14:paraId="67407F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всех занятиях и учениях тренировать войска в расчленении, рассредоточении, использовании укрытий и маскировке.</w:t>
      </w:r>
    </w:p>
    <w:p w14:paraId="307895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Для пунктов и объектов ПВО</w:t>
      </w:r>
    </w:p>
    <w:p w14:paraId="1D0245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Повысить оперативно-тактическую подготовку авиазенитной обороны, полностью отработав взаимодействие всех сил и средств системы ПВО пунктов, в первую очередь по обеспечению зенитной артиллерии и истребительной авиации в дневных и ночных условиях.</w:t>
      </w:r>
    </w:p>
    <w:p w14:paraId="7B3D11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Частям ВНОС овладеть техникой обнаружения и опознавания самолетов на предельных высотах днем и ночью. Полностью отработать наведение своей истребительной авиации на авиацию противника в дневных и ночных условиях. Освоить технику автоматической сигнализации ВНОС и радиосредств.</w:t>
      </w:r>
    </w:p>
    <w:p w14:paraId="70DC27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Зенитно-пулеметным частям продолжать совершенствование огневой подготовки по воздушным целям, обратив особое внимание на отработку обороны объектов ПВО в ночных условиях; овладеть групповым огнем по скоростным самолетам.</w:t>
      </w:r>
    </w:p>
    <w:p w14:paraId="48DA1F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Зенитно-прожекторным частям отработать поимку, освещение и сопровождение целей при обеспечении зенитной артиллерии и истребительной авиации по нескольким целям, по скоростным самолетам на высотах до 6000 метров.</w:t>
      </w:r>
    </w:p>
    <w:p w14:paraId="72FF46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Частям аэростатов заграждения освоить технику подъема аэростатов заграждения на их потолок в различных метеорологических условиях, днем и ночью. Отработать боевое применение аэростатов в составе дивизиона в общей системе авиазенитной обороны.</w:t>
      </w:r>
    </w:p>
    <w:p w14:paraId="464B53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Частям и штабам МПВО отработать управление силами и средствами при ликвидации очагов поражения в дневных и ночных условиях, обратив особое внимание на взаимодействие подразделений всех специальностей в сложных очагах поражения.</w:t>
      </w:r>
    </w:p>
    <w:p w14:paraId="52C799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XVI. Перевозки по железным дорогам, подготовка железнодорожных войск и органов ВОСО</w:t>
      </w:r>
    </w:p>
    <w:p w14:paraId="4E5885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всех родов войск</w:t>
      </w:r>
    </w:p>
    <w:p w14:paraId="35152C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каждой войсковой части построить в натуральную величину макеты платформы и крытого вагона для систематической тренировки в погрузке, размещении и креплении материальной части.</w:t>
      </w:r>
    </w:p>
    <w:p w14:paraId="0862D9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Железнодорожные войска</w:t>
      </w:r>
    </w:p>
    <w:p w14:paraId="533B36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каждой железнодорожной части иметь в полной готовности все основные команды для разминирования, восстановления, перешивки и эксплуатации железнодорожных участков. Совершенствование специалистов производить в сложных условиях работы в дневное и ночное время.</w:t>
      </w:r>
    </w:p>
    <w:p w14:paraId="21B371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период лагерного сбора производить комплексную работу всех команд, тренируя войска:</w:t>
      </w:r>
    </w:p>
    <w:p w14:paraId="7C0BB4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разминировании железных дорог и устройств на них заграждений;</w:t>
      </w:r>
    </w:p>
    <w:p w14:paraId="682525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скоростной укладке верхнего строения пути;</w:t>
      </w:r>
    </w:p>
    <w:p w14:paraId="741881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перешивке железных дорог с европейской колеи на союзную;</w:t>
      </w:r>
    </w:p>
    <w:p w14:paraId="6B3129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скоростной постройке временных опор и мостов;</w:t>
      </w:r>
    </w:p>
    <w:p w14:paraId="580ECF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сборке и разборке военно-разборных мостов;</w:t>
      </w:r>
    </w:p>
    <w:p w14:paraId="4B3B55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восстановлении железнодорожной связи и временного водоснабжения;</w:t>
      </w:r>
    </w:p>
    <w:p w14:paraId="3E489D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эксплуатации железнодорожных участков протяжением в 30 — 50 км.</w:t>
      </w:r>
    </w:p>
    <w:p w14:paraId="02C651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Личному составу освоить, по роду своей специальности, производственные нормы и мощность механизмов и агрегатов, состоящих на вооружении железнодорожных войск.</w:t>
      </w:r>
    </w:p>
    <w:p w14:paraId="0D2362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Научить войска охранять и оборонять места работ своими силами и средствами и уничтожать прорвавшиеся группы противника.</w:t>
      </w:r>
    </w:p>
    <w:p w14:paraId="219486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Органы военных сообщений</w:t>
      </w:r>
    </w:p>
    <w:p w14:paraId="59EAD2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Начальствующему составу органов военных сообщений изучить эксплуатационные возможности, техническое состояние и оснащение своей сети железных дорог, участков, узлов и станций, технику и приемы погрузки и выгрузки материальной части всех родов войск на неподготовленных местах и перегонах.</w:t>
      </w:r>
    </w:p>
    <w:p w14:paraId="20ACD5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Тренировать личный состав линейных и полевых органов военных сообщений в управлении воинскими перевозками.</w:t>
      </w:r>
    </w:p>
    <w:p w14:paraId="219381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XVII. Укрепленные районы</w:t>
      </w:r>
    </w:p>
    <w:p w14:paraId="32C8C1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Отработать темы:</w:t>
      </w:r>
    </w:p>
    <w:p w14:paraId="5AA7D5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оборона опорного пункта (ротного района) и узла обороны (батальонного района) до подхода полевых войск;</w:t>
      </w:r>
    </w:p>
    <w:p w14:paraId="73C6EB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 оборона УР войсками укрепленного района;</w:t>
      </w:r>
    </w:p>
    <w:p w14:paraId="314901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оборона усиленного стрелкового батальона в УР и контратака стрелковым батальоном прорвавшегося противника с деблокировкой;</w:t>
      </w:r>
    </w:p>
    <w:p w14:paraId="58D62E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оборона участка УР: стрелковым полком — 2 учения, стрелковой дивизии — 2 учения. 50% всех учений провести в условиях ночи, задымления и длительного воздействия ОВ.</w:t>
      </w:r>
    </w:p>
    <w:p w14:paraId="2BBAEE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Подготовка начсостава</w:t>
      </w:r>
    </w:p>
    <w:p w14:paraId="3D6AFC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Отработать:</w:t>
      </w:r>
    </w:p>
    <w:p w14:paraId="4C5F5D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управление боем дота и группой дотов полевых войск и во взаимодействии с полевыми войсками;</w:t>
      </w:r>
    </w:p>
    <w:p w14:paraId="019FB8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разведку, боевое обеспечение, ведение боя перед передним краем и в глубине обороны УР и эвакуацию больных и раненых во время боя.</w:t>
      </w:r>
    </w:p>
    <w:p w14:paraId="677503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Изучить:</w:t>
      </w:r>
    </w:p>
    <w:p w14:paraId="0F03D9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эксплуатацию внутреннего оборудования сооружений и порядок его восстановления;</w:t>
      </w:r>
    </w:p>
    <w:p w14:paraId="21AF80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схему связи своего района обороны и скрытое управление войсками в УР;</w:t>
      </w:r>
    </w:p>
    <w:p w14:paraId="64E23A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работу тыла УР.</w:t>
      </w:r>
    </w:p>
    <w:p w14:paraId="55F46F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XVIII. Санитарная служба</w:t>
      </w:r>
    </w:p>
    <w:p w14:paraId="1D60B1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Рядовому составу — овладеть пользованием перевязочными и противохимическими пакетами в любых условиях (лежа, ночью).</w:t>
      </w:r>
    </w:p>
    <w:p w14:paraId="2193D0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Начальствующему составу — овладеть эвакуацией с поля боя убитых и раненых.</w:t>
      </w:r>
    </w:p>
    <w:p w14:paraId="3EA2B8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Медицинскому составу — повысить полевую выучку в организации работы санитарных подразделений и хирургическую подготовку.</w:t>
      </w:r>
    </w:p>
    <w:p w14:paraId="038559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Занятия по санитарной подготовке рядового, начальствующего и медицинского состава планировать, руководствуясь существующими программами.</w:t>
      </w:r>
    </w:p>
    <w:p w14:paraId="2DD238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Категорически запрещаю проводить какие бы то ни было учения без развертывания санитарных подразделений и вывода условно пораженных в бою.</w:t>
      </w:r>
    </w:p>
    <w:p w14:paraId="74CE87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XIX. Военные академии</w:t>
      </w:r>
    </w:p>
    <w:p w14:paraId="322F37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Закончить организационное укрепление кафедр.</w:t>
      </w:r>
    </w:p>
    <w:p w14:paraId="587B57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Повысить качество обучения и требовательность профессорско-преподавательского состава к слушателям. Внести в программы обучения по военным и военно-специальным дисциплинам опыт последних войн.</w:t>
      </w:r>
    </w:p>
    <w:p w14:paraId="0EC99F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Обеспечить научно-исследовательскую работу кафедр по исследованию тактических форм современного боя и разработке требований к современному вооружению.</w:t>
      </w:r>
    </w:p>
    <w:p w14:paraId="67EB1D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лаборатории оборудовать по-современному.</w:t>
      </w:r>
    </w:p>
    <w:p w14:paraId="41D176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Генеральному штабу Красной Армии к 1.8.40 г установить для военных академий и факультетов номенклатуру специальностей, по которым должна проходить боевая подготовка командира и военного инженера, и указать объем программных требований по тактике, тылу, военной истории и военной географии.</w:t>
      </w:r>
    </w:p>
    <w:p w14:paraId="1BC3F1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XX. Военные училища</w:t>
      </w:r>
    </w:p>
    <w:p w14:paraId="470F87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Вся система обучения и воспитания курсантов должна основываться на строжайшем выполнении требований уставов и наставлений Красной Армии и обеспечить подготовку культурного, в совершенстве владеющего теорией и практикой военного дела, высоко дисциплинированного, с развитой командирской волей, решительного, смелого и преданного своей Родине командира взвода.</w:t>
      </w:r>
    </w:p>
    <w:p w14:paraId="39CA55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Военным училищам готовить командиров, в совершенстве владеющих приемами современного боя и особенно тактикой и техникой ведения ближнего боя.</w:t>
      </w:r>
    </w:p>
    <w:p w14:paraId="2242F7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Курсантов воспитывать и обучать управлению боевым порядком в тесном взаимодействии с поддерживающими и приданными огневыми средствами.</w:t>
      </w:r>
    </w:p>
    <w:p w14:paraId="7E16E0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Поднять уровень огневой подготовки на высшую ступень как в производстве меткого выстрела, так и управлении огнем подразделений в бою.</w:t>
      </w:r>
    </w:p>
    <w:p w14:paraId="4EB814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Каждый выпускаемый из училища командир должен в совершенстве знать материальную часть оружия своего подразделения, отлично стрелять, организовывать взаимодействие стрелковых подразделений, автоматического оружия, минометов и артиллерии.</w:t>
      </w:r>
    </w:p>
    <w:p w14:paraId="06F8CB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Научить курсанта организовывать и образцово проводить занятия по любому виду боевой подготовки.</w:t>
      </w:r>
    </w:p>
    <w:p w14:paraId="119EE2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Обеспечить непрерывное совершенствование методических навыков начальствующего состава.</w:t>
      </w:r>
    </w:p>
    <w:p w14:paraId="175739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Проведение командирских занятий должно основываться на полном и глубоком изучении боевого опыта Красной Армии и его практическом преломлении при обучении курсантов.</w:t>
      </w:r>
    </w:p>
    <w:p w14:paraId="083C3D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XXI. Подготовка начальствующего состава запаса</w:t>
      </w:r>
    </w:p>
    <w:p w14:paraId="0A1D49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Обеспечить воспитание и обучение культурного, имеющего прочные практические навыки в командовании, знающего уставы и наставления, дисциплинированного командира.</w:t>
      </w:r>
    </w:p>
    <w:p w14:paraId="20878F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Командир запаса должен быть подготовлен для умелого выполнения своей должности в любых условиях обстановки. Командиров запаса пехоты, кроме того, научить действовать в условиях позиционной войны, атаковать доты, устанавливать и разрушать инженерные препятствия.</w:t>
      </w:r>
    </w:p>
    <w:p w14:paraId="0B9042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Каждого командира запаса научить лично в совершенстве пользоваться всеми средствами вооружения, находящимися в его подразделении, метко стрелять и отлично управлять огнем.</w:t>
      </w:r>
    </w:p>
    <w:p w14:paraId="384D58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Военным советам округов проверить соответствие кадров командного состава и материальное оснащение КУКСЗов, обеспечив им выполнение их задач.</w:t>
      </w:r>
    </w:p>
    <w:p w14:paraId="0A46F5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XXII. Смотры, контроль и ответственность за боевую подготовку войск</w:t>
      </w:r>
    </w:p>
    <w:p w14:paraId="5F4A61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Требую от всего начальствующего состава, и в первую очередь от командиров частей, соединений и военных советов округов (армий), руководству боевой подготовкой и контролю за ее проведением уделять большую часть своего служебного времени.</w:t>
      </w:r>
    </w:p>
    <w:p w14:paraId="438986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Для повышения ответственности за боевую подготовку и обеспечения планового контроля установить обязательное проведение смотров боевой подготовки.</w:t>
      </w:r>
    </w:p>
    <w:p w14:paraId="0E09AE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Смотры проводить по окончании обучения подразделения, части, соединения.</w:t>
      </w:r>
    </w:p>
    <w:p w14:paraId="2483C8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Итоговые инспекторские смотры боевой подготовки провести в сентябре 1940 г. объединенными комиссиями по моему назначению.</w:t>
      </w:r>
    </w:p>
    <w:p w14:paraId="6EB3F6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Инспекторскому смотру подвергаются:</w:t>
      </w:r>
    </w:p>
    <w:p w14:paraId="08F98B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 соединении — все части соединения, штабы, службы и тылы;</w:t>
      </w:r>
    </w:p>
    <w:p w14:paraId="685FE6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части — учебное подразделение, не менее 1/3 основных подразделений, все специальные подразделения, штаб и органы тыла; г) в подразделении — весь личный состав (100%).</w:t>
      </w:r>
    </w:p>
    <w:p w14:paraId="4209455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B69C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 программу инспекторских смотров входит проверка политической, тактической, огневой, технической и строевой подготовки в объеме программы за период обучения подразделения, части, соединения.</w:t>
      </w:r>
    </w:p>
    <w:p w14:paraId="10A1E8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Качество боевой подготовки и боеготовность подразделений и частей должны лечь в основу аттестования и прохождения службы командным и политическим составом.</w:t>
      </w:r>
    </w:p>
    <w:p w14:paraId="2E6FD7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Настоящий приказ изучить всему начсоставу, до командира роты включительно.</w:t>
      </w:r>
    </w:p>
    <w:p w14:paraId="139ED8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 (10621).</w:t>
      </w:r>
    </w:p>
    <w:p w14:paraId="4FE7699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CA150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29490B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880B616" w14:textId="77777777" w:rsidR="00BE44A8" w:rsidRPr="00DB5D0D" w:rsidRDefault="00BE44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мая</w:t>
      </w:r>
      <w:r w:rsidRPr="00DB5D0D">
        <w:rPr>
          <w:rFonts w:ascii="Times New Roman" w:hAnsi="Times New Roman"/>
          <w:color w:val="000000" w:themeColor="text1"/>
          <w:sz w:val="16"/>
          <w:szCs w:val="16"/>
        </w:rPr>
        <w:t xml:space="preserve"> в 1940 году премьер-министр Великобритании Уинстон Черчилль прилетает в Париж; немцы в это время находятся уже в 60 милях западнее Седана и стремительно продвигаются вперед, не встречая почти никакого сопротивления. Черчилль спрашивает у командующего союзными войсками французского генерала Гамелена: "Где стратегические резервы?" Гамелен отвечвет: "Нет никаких". Черчилль потом напишет: "Я был поражен. Это было неслыханно, чтобы великая армия, подвергнувшаяся нападению, не держала никаких войск в резерве". Это окажется сюрпризом и для Гитлера, правда, приятным; ведь он дважды заколебался во время этого наступления (14893).</w:t>
      </w:r>
    </w:p>
    <w:p w14:paraId="2CD662A1" w14:textId="77777777" w:rsidR="00BE44A8" w:rsidRPr="00DB5D0D" w:rsidRDefault="00BE44A8" w:rsidP="00DB5D0D">
      <w:pPr>
        <w:spacing w:after="0" w:line="240" w:lineRule="auto"/>
        <w:jc w:val="both"/>
        <w:rPr>
          <w:rFonts w:ascii="Times New Roman" w:hAnsi="Times New Roman"/>
          <w:color w:val="000000" w:themeColor="text1"/>
          <w:sz w:val="16"/>
          <w:szCs w:val="16"/>
        </w:rPr>
      </w:pPr>
    </w:p>
    <w:p w14:paraId="37927EE6" w14:textId="77777777" w:rsidR="00BE44A8" w:rsidRPr="00DB5D0D" w:rsidRDefault="00BE44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мая</w:t>
      </w:r>
      <w:r w:rsidRPr="00DB5D0D">
        <w:rPr>
          <w:rFonts w:ascii="Times New Roman" w:hAnsi="Times New Roman"/>
          <w:color w:val="000000" w:themeColor="text1"/>
          <w:sz w:val="16"/>
          <w:szCs w:val="16"/>
        </w:rPr>
        <w:t xml:space="preserve"> в 1940 году на 16 мая бомбардировочные соединения англичан общим количеством в 99 самолетов совершили налет на железнодорожные узлы и индустриальные центры Рура, Туман сделал прожекторы ПВО бесполезными, и зенитные батареи не смогли оказать противодействия английским бомбардировщикам. В то же время обычные истребительные части немецкой ПВО оказались неподготовлены к отражению ночных атак. Для этого требовались особые подразделения ночных истребителей с совершенно иными тактикой перехвата и способами взаимодействия с наземными службами. Руководство Люфтваффе начало спешно создавать новые подразделения ночных истребителей, способных воспрепятствовать ночным налетам английских бомбардировщиков (14893).</w:t>
      </w:r>
    </w:p>
    <w:p w14:paraId="0A1B112E" w14:textId="77777777" w:rsidR="00BE44A8" w:rsidRPr="00DB5D0D" w:rsidRDefault="00BE44A8" w:rsidP="00DB5D0D">
      <w:pPr>
        <w:spacing w:after="0" w:line="240" w:lineRule="auto"/>
        <w:jc w:val="both"/>
        <w:rPr>
          <w:rFonts w:ascii="Times New Roman" w:hAnsi="Times New Roman"/>
          <w:color w:val="000000" w:themeColor="text1"/>
          <w:sz w:val="16"/>
          <w:szCs w:val="16"/>
        </w:rPr>
      </w:pPr>
    </w:p>
    <w:p w14:paraId="4B6EBA19" w14:textId="77777777" w:rsidR="00BE44A8" w:rsidRPr="00DB5D0D" w:rsidRDefault="00BE44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мая</w:t>
      </w:r>
      <w:r w:rsidRPr="00DB5D0D">
        <w:rPr>
          <w:rFonts w:ascii="Times New Roman" w:hAnsi="Times New Roman"/>
          <w:color w:val="000000" w:themeColor="text1"/>
          <w:sz w:val="16"/>
          <w:szCs w:val="16"/>
        </w:rPr>
        <w:t xml:space="preserve"> в 1940 году началась подготовка к эвакуации французского правительства из Парижа. У.Черчилль посетил Париж и обнаружил, что непосредственная опасность французской столице миновала, и распоряжение об эвакуации правительства отменено (14893).</w:t>
      </w:r>
    </w:p>
    <w:p w14:paraId="71E6273F" w14:textId="77777777" w:rsidR="00BE44A8" w:rsidRPr="00DB5D0D" w:rsidRDefault="00BE44A8" w:rsidP="00DB5D0D">
      <w:pPr>
        <w:spacing w:after="0" w:line="240" w:lineRule="auto"/>
        <w:jc w:val="both"/>
        <w:rPr>
          <w:rFonts w:ascii="Times New Roman" w:hAnsi="Times New Roman"/>
          <w:color w:val="000000" w:themeColor="text1"/>
          <w:sz w:val="16"/>
          <w:szCs w:val="16"/>
        </w:rPr>
      </w:pPr>
    </w:p>
    <w:p w14:paraId="257C97B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16th, 1940: Troops of the German 6.Armee break through the Allied Dyle line in Belgium (3819).</w:t>
      </w:r>
    </w:p>
    <w:p w14:paraId="37D6379B"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01FF8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части 6А прорвались через линию обороны союзников в Диле в Бельгии (3819).</w:t>
      </w:r>
    </w:p>
    <w:p w14:paraId="557F7E2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718834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16 May 1940 British Admirality closes the Mediterranean to merchant shipping (270).</w:t>
      </w:r>
    </w:p>
    <w:p w14:paraId="22710918"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6576B0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Британское адмиралтейство закрыло Средиземное море для торгового судоходства (270).</w:t>
      </w:r>
    </w:p>
    <w:p w14:paraId="155BA6E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1EF389" w14:textId="77777777" w:rsidR="00BE44A8" w:rsidRPr="00DB5D0D" w:rsidRDefault="00BE44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мая</w:t>
      </w:r>
      <w:r w:rsidRPr="00DB5D0D">
        <w:rPr>
          <w:rFonts w:ascii="Times New Roman" w:hAnsi="Times New Roman"/>
          <w:color w:val="000000" w:themeColor="text1"/>
          <w:sz w:val="16"/>
          <w:szCs w:val="16"/>
        </w:rPr>
        <w:t xml:space="preserve"> в 1940 году британское адмиралтейство объявило о закрытии Средиземного моря для торгового судоходства (14893).</w:t>
      </w:r>
    </w:p>
    <w:p w14:paraId="5671C621" w14:textId="77777777" w:rsidR="00BE44A8" w:rsidRPr="00DB5D0D" w:rsidRDefault="00BE44A8" w:rsidP="00DB5D0D">
      <w:pPr>
        <w:spacing w:after="0" w:line="240" w:lineRule="auto"/>
        <w:jc w:val="both"/>
        <w:rPr>
          <w:rFonts w:ascii="Times New Roman" w:hAnsi="Times New Roman"/>
          <w:color w:val="000000" w:themeColor="text1"/>
          <w:sz w:val="16"/>
          <w:szCs w:val="16"/>
        </w:rPr>
      </w:pPr>
    </w:p>
    <w:p w14:paraId="65CAC776" w14:textId="77777777" w:rsidR="00BE44A8" w:rsidRPr="00DB5D0D" w:rsidRDefault="00BE44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мая</w:t>
      </w:r>
      <w:r w:rsidRPr="00DB5D0D">
        <w:rPr>
          <w:rFonts w:ascii="Times New Roman" w:hAnsi="Times New Roman"/>
          <w:color w:val="000000" w:themeColor="text1"/>
          <w:sz w:val="16"/>
          <w:szCs w:val="16"/>
        </w:rPr>
        <w:t xml:space="preserve"> в 1940 году в Великобритании интернировано более 3 тысяч подданных Германии (14893).</w:t>
      </w:r>
    </w:p>
    <w:p w14:paraId="2F52F427" w14:textId="77777777" w:rsidR="00BE44A8" w:rsidRPr="00DB5D0D" w:rsidRDefault="00BE44A8" w:rsidP="00DB5D0D">
      <w:pPr>
        <w:spacing w:after="0" w:line="240" w:lineRule="auto"/>
        <w:jc w:val="both"/>
        <w:rPr>
          <w:rFonts w:ascii="Times New Roman" w:hAnsi="Times New Roman"/>
          <w:color w:val="000000" w:themeColor="text1"/>
          <w:sz w:val="16"/>
          <w:szCs w:val="16"/>
        </w:rPr>
      </w:pPr>
    </w:p>
    <w:p w14:paraId="1C6D40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Президент Рузвельт запросил 1100 млн. долл. на национальную оборону (1051,11) и хотел производить 50 тыс. самолетов в год (2255).</w:t>
      </w:r>
    </w:p>
    <w:p w14:paraId="264D81A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736D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два тяжелых французских танка B-1bis BBC 3-й DCR под командованием Малагути и Биллота, атакуя г Стонн, уничтожили много пехоты и немецких 13 танков (два PzKpfwIV и 11 PzKpfwIII) (3570).</w:t>
      </w:r>
    </w:p>
    <w:p w14:paraId="154D3F3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800A0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E0EC7C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813E1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17 мая по 20 июня 1940 проходили войсковые испытания самолетов ББ-1 с мотором М-88</w:t>
      </w:r>
    </w:p>
    <w:p w14:paraId="4DD04F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4B91E5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2 ранга Часовиков</w:t>
      </w:r>
    </w:p>
    <w:p w14:paraId="3728E4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самолета ББ-1 с мотором М-88 проводились на Харьковском аэродроме.</w:t>
      </w:r>
    </w:p>
    <w:p w14:paraId="36D7A6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на самолетах ББ-1 произведено 616 полетов при общем налете 157 часов.</w:t>
      </w:r>
    </w:p>
    <w:p w14:paraId="0A0BA3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B91718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ББ-1 М-88 продукции завода № 135 войсковые испытания прошел удовлетворительно (4384).</w:t>
      </w:r>
    </w:p>
    <w:p w14:paraId="15BDA65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27A3C834" w14:textId="77777777" w:rsidR="00B97F49" w:rsidRPr="00DB5D0D" w:rsidRDefault="00B97F49"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С 17 мая по 20 июня 1940 г. на аэродроме в Харькове начались войсковые испытания шести самолетов ББ-1 с моторами М-88, взятых из установочной и 1-й серий В них принял участие летный и технический состав 135-го ббап и полка боевого применения НИИ ВВС, из которых сформировали отдельную испытательную группу. Всего выполнили 616 полетов с общим налетом 157 часов (19102).</w:t>
      </w:r>
    </w:p>
    <w:p w14:paraId="51442FE2" w14:textId="77777777" w:rsidR="00B97F49" w:rsidRPr="00DB5D0D" w:rsidRDefault="00B97F49" w:rsidP="00DB5D0D">
      <w:pPr>
        <w:pStyle w:val="27"/>
        <w:shd w:val="clear" w:color="auto" w:fill="auto"/>
        <w:spacing w:after="0" w:line="240" w:lineRule="auto"/>
        <w:ind w:firstLine="0"/>
        <w:rPr>
          <w:rFonts w:ascii="Times New Roman" w:cs="Times New Roman"/>
          <w:color w:val="000000" w:themeColor="text1"/>
          <w:spacing w:val="0"/>
        </w:rPr>
      </w:pPr>
    </w:p>
    <w:p w14:paraId="3FEDC5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17 мая по 20 июня 1940 проходили войсковые испытания ББ-1 М-88. Отв. исполнители: ви ви2р Часовиков и ком. летной группы к Пушкин. Порядок проведения испытаний:</w:t>
      </w:r>
    </w:p>
    <w:p w14:paraId="1FBA9A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Войсковые испытания ББ-1 М-88 проводились на Харьковском аэродроме летно-техническим составом 135 авиаполка и полка боевого применения НИИ ВВС.</w:t>
      </w:r>
    </w:p>
    <w:p w14:paraId="54D135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Испытания проводились с 17 мая по 20 июня 1940</w:t>
      </w:r>
    </w:p>
    <w:p w14:paraId="78F24B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испытания были начаты с М-87, но в связи с приказом Нач. ГУАС таковые были сданы в 135 авиаполк и с завода 135 19 мая были получены 3 машины с М-88. также 2 самолета были получены из 135 полка.</w:t>
      </w:r>
    </w:p>
    <w:p w14:paraId="023FB3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испытания по программе были начаты 10 мая и закончены 20 июня 1940</w:t>
      </w:r>
    </w:p>
    <w:p w14:paraId="60C87B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Всего на ББ-1 произведено 616 полетов при объеме налета 157 час.</w:t>
      </w:r>
    </w:p>
    <w:p w14:paraId="0627FE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Испытания проведены без аварий и катастроф</w:t>
      </w:r>
    </w:p>
    <w:p w14:paraId="4750B6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Все самолеты, проходившие войсковые испытания, после небольшого обычного текущего ремонта и устранения дефектов, опасных для полета, сданы в 135 авиаполк для дальнейшей нормальной эксплуатации</w:t>
      </w:r>
    </w:p>
    <w:p w14:paraId="7E8019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испытаний: Войсковые испытания ББ-1 М-88 производились на 6 самолетах, 0 и 1 серии с М-88.</w:t>
      </w:r>
    </w:p>
    <w:p w14:paraId="135D3C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конструкции ББ-1, проходившие войсковые испытания, мало чем отличались от ББ-1, проходившего гос. испытания, за исключением того, что у серийных самолетов фюзеляж представляет собой деревянный монокок (2942).</w:t>
      </w:r>
    </w:p>
    <w:p w14:paraId="7AF9016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B700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17 мая 1940 на Харьковском аэродро</w:t>
      </w:r>
      <w:r w:rsidRPr="00DB5D0D">
        <w:rPr>
          <w:rFonts w:ascii="Times New Roman" w:hAnsi="Times New Roman"/>
          <w:color w:val="000000" w:themeColor="text1"/>
          <w:sz w:val="16"/>
          <w:szCs w:val="16"/>
        </w:rPr>
        <w:softHyphen/>
        <w:t>ме начались войсковые испытания шести самолетов ББ-1 с М-88 нуле</w:t>
      </w:r>
      <w:r w:rsidRPr="00DB5D0D">
        <w:rPr>
          <w:rFonts w:ascii="Times New Roman" w:hAnsi="Times New Roman"/>
          <w:color w:val="000000" w:themeColor="text1"/>
          <w:sz w:val="16"/>
          <w:szCs w:val="16"/>
        </w:rPr>
        <w:softHyphen/>
        <w:t>вой и первой серии. В испытаниях принял участие летно-технический состав 135 авиационного полка ВВС КА и полка боевого применения НИИ ГУАС КА, сведенный в отдельную испытательную группу. Испытания проводились в период с 17 мая по 20 июня 1940 года. Всего было вы</w:t>
      </w:r>
      <w:r w:rsidRPr="00DB5D0D">
        <w:rPr>
          <w:rFonts w:ascii="Times New Roman" w:hAnsi="Times New Roman"/>
          <w:color w:val="000000" w:themeColor="text1"/>
          <w:sz w:val="16"/>
          <w:szCs w:val="16"/>
        </w:rPr>
        <w:softHyphen/>
        <w:t>полнено 616 полетов с общим нале</w:t>
      </w:r>
      <w:r w:rsidRPr="00DB5D0D">
        <w:rPr>
          <w:rFonts w:ascii="Times New Roman" w:hAnsi="Times New Roman"/>
          <w:color w:val="000000" w:themeColor="text1"/>
          <w:sz w:val="16"/>
          <w:szCs w:val="16"/>
        </w:rPr>
        <w:softHyphen/>
        <w:t>том 157 часов (11849).</w:t>
      </w:r>
    </w:p>
    <w:p w14:paraId="308D428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3D88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А.И.Шахуриным был утвержден Акт о совместных 50 часовые испытаниях на станке мотора АМ-35А, которые состоялись с 17 апреля по 11 мая (839).</w:t>
      </w:r>
    </w:p>
    <w:p w14:paraId="71B74D2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01717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Самолет Украина был выпущен в воздух по 26 июня 1940 совершил 20 полетов (1313,88).</w:t>
      </w:r>
    </w:p>
    <w:p w14:paraId="30FD9B4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3A54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в Контрольном листе учета выполнения постановления КО СНК СССР № 109сс от 4 марта 1940 г. представителем КО СНК СССР - контролером Вахрушевым была сделана запись:</w:t>
      </w:r>
    </w:p>
    <w:p w14:paraId="34B824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моторный средний бомбардировщик с 2хМ-120 А.П.Голубкова СБ-30</w:t>
      </w:r>
    </w:p>
    <w:p w14:paraId="176147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находится в стадии эскизного проектирования и изготовления макета. Опасений в срыве сроков нет (10395,38).</w:t>
      </w:r>
    </w:p>
    <w:p w14:paraId="0A13B48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00EC3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года вышел приказ НИИ ВВС № 088</w:t>
      </w:r>
    </w:p>
    <w:p w14:paraId="0B73DA8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самолета СБ 2М103А № 1/286 с ВИШ-22 эталона первого полугодия 1940 года (6891, 164).</w:t>
      </w:r>
    </w:p>
    <w:p w14:paraId="7692EB8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D631B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ЦАГИ выдал заключение по флаттеру на 500-600 км/час по СПБ Н.Н.П. - не более 500 из-за несбалансированности элеронов и решили добавить груз (1365,6).</w:t>
      </w:r>
    </w:p>
    <w:p w14:paraId="5E1FD5A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5526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в ходе заводских испытаний И-200 А.И.М, которые проходили с 31 марта по 17 августа 1940, на И-200-1 был выполнен показательный полет (17 по счету). До 20 мая ремонтировали (2988).</w:t>
      </w:r>
    </w:p>
    <w:p w14:paraId="0BBDDE2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E00AF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в ходе испытаний И-200 снова ЧП - на показе высшего пилотажа из-за неудачной конструкции поплавка карбюратора К-35 остановился мотор. При вынужденной посадке произошла незначительная авария, и на ремонт потеряли 3 дня. Тем не менее, 1 мая И-26, И-301 и И-200 красиво пронеслись над Красной площадью в строю воздушного парада (11938).</w:t>
      </w:r>
    </w:p>
    <w:p w14:paraId="4B54BF9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476C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Горбунов, Лавочкин, Гудков и директор завода № 301 Эскин направили наркому Шахурину письмо, в котором говорилось, что по предварительным данным максимальная скорость на высоте 4000 м получилась 580 - 585 км/ч; разбег при использовании щитков - 255 - 280 м, а пробег - 200 - 220 м (посадочная скорость 120 км/ч). Также сообщалось, что устойчивость самолета хорошая, в пилотировании он прост. Посадка вполне доступна летчику средней квалификации. Уже установленное вооружение из пушки МП-6 и двух пулеметов БС могло быть дополнено восемью реактивными снарядами РС-82 и двумя пулеметами ШКАС.</w:t>
      </w:r>
    </w:p>
    <w:p w14:paraId="082BD0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самом деле картина была не столь радужной. Постоянно сталкивались с перегревом воды и масла. Во время испытаний дважды заменяли двигатель. Гидросмесь подтекала. Нагрузки на рулях оказались очень велики. Но в целом результат сочли удовлетворительным (11983).</w:t>
      </w:r>
    </w:p>
    <w:p w14:paraId="13D9E69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96FA3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директор завода Саркомбайн писал письмо N 1540 о сохранении на заводе единого КО, так как молодые специалисты не хотят заниматься ничем другим "вплоть до увольнения" (1165).</w:t>
      </w:r>
    </w:p>
    <w:p w14:paraId="3AEA74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 ничего себе, а говорят строго было.</w:t>
      </w:r>
    </w:p>
    <w:p w14:paraId="4F859F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в ходе заводских испытаний И-200 МиГ был обнаружен дефект карбюратора К-35 мотора М-35А А.А.М. - непригодность к фигурным полетам. Дефект был вызван неправильным расположением поплавка и был известен давно - еще 5 мая (1295).</w:t>
      </w:r>
    </w:p>
    <w:p w14:paraId="545475F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3DCF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года Семичастнов писал письмо N 4546/КО НКАП - Шахурину А.И. и НКО ГУАС - Алексееву:</w:t>
      </w:r>
    </w:p>
    <w:p w14:paraId="2960AE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указанию Председателю Совета по Оборонной промышленности при СНК Союза Вознесенского Н.А., направляю Вам письмо летчика-испытателя полковника Степанчонок, прошу дать ваше заключение к 25 мая 1940 г.</w:t>
      </w:r>
    </w:p>
    <w:p w14:paraId="7D1F71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Приложение: упомянутое на 2 лист. (Секретарь Оборонпрома Семичастнов).</w:t>
      </w:r>
    </w:p>
    <w:p w14:paraId="3A54F2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Товарищ Сталин!</w:t>
      </w:r>
    </w:p>
    <w:p w14:paraId="67EB4A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Обращаюсь к Вашему заступничеству, как к вождю и другу летчиков. Прошу вас, если найдется время, ознакомиться с моим письмом.</w:t>
      </w:r>
    </w:p>
    <w:p w14:paraId="48A03F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Вернувшись с фронта, куда я добровольно поехал, чтобы лучше изучить самолет ДБ-3 и лучше бороться за качество на заводе N 39, я полетал на самолетах "Ф" и потребовал вместе с коллективом военного представительства проведения очень важных доделок.</w:t>
      </w:r>
    </w:p>
    <w:p w14:paraId="46A0E8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противодействие директора завода Журавлева, 22.III.с.г. эти требования были приняты при вмешательстве зам. наркома авиационной промышленности, Воронина и зам. нач. ГУАС дивинженера Репина.</w:t>
      </w:r>
    </w:p>
    <w:p w14:paraId="2602DC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Вполне возможно, что эта обстановка некоторым образом повлияла на происшедший 25.III. инцидент между мной и Наркомом авиапромышленности Шахуриным.</w:t>
      </w:r>
    </w:p>
    <w:p w14:paraId="56E20C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наряду с основной работой на заводе в качестве военпреда летчика-испытателя я дал согласие по просьбе конструкторов Горбунова, Гудкова и Лавочкина на испытание нового истребителя. Моя кандидатура была согласована с наркомом авиапромышленности и моим командованием в лице Репина.</w:t>
      </w:r>
    </w:p>
    <w:p w14:paraId="390078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 19.III., когда я приступил к земным испытаниям, до 25.III. - эти испытания проводились и вместе с этим выявились важные дефекты, которые параллельно устранялись. Часть из них зафиксирована лично мной в специальном журнале конструкторов 19.III. и 23.III. Эти дефекты представляли опасность и устранение их было абсолютно необходимым условием для первого полета машины. Свою подпись на акте комиссии о готовности с-та к вылету я мог бы дать только тогда, когда все было бы исправлено.</w:t>
      </w:r>
    </w:p>
    <w:p w14:paraId="620EC8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выходной день я был на заводе, но с-т не был подготовлен и испытание было решено перенести по готовности в 13 ч. 25.III., примерно через полчаса после моего прихода за мной зашел ведущий инженер и доложил, что с-т подготовлен и можно проверить. За самолетом стояла группа людей. Я подошел и поздоровался. Это были: директор завода Журавлев, Воронин, инженер Макиенко и незнакомый мне (как потом я узнал Шахурин), который резким, повышенным тоном набросился на меня, обвиняя в общественной работе в рабочее время, в задержке машины и заявляя, что можно летать. Я был буквально поражен таким совершенно неосновательным обвинением и возмутившись ответил: "Если вы считаете, что можно летать - летите сами".</w:t>
      </w:r>
    </w:p>
    <w:p w14:paraId="6C22A6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Разговор продолжался буквально 1,5-2 минуты и закончился распоряжением незнакомого товарища тов. Журавлеву отстранить меня от полетов, хотя я являюсь летчиком другого наркомата.</w:t>
      </w:r>
    </w:p>
    <w:p w14:paraId="085EB2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Свидетелем этого инцидента в/инженер 3 ранга Котов. Уже после, уходя от самолета я сообразил, что неизвестный, по-видимому, нарком Авиапрома. Я пожалел о случившемся, так как хотя я был вызван на нетактичность самим Шахуриным, но не сдержал себя и допустил резкий же ответ.</w:t>
      </w:r>
    </w:p>
    <w:p w14:paraId="33EBD3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не мог согласиться с тем, чтобы на меня, пошедшего на встречу Наркомату авиапрома и проявившего максимум внимания к подготовке с-та к вылету, кричали и обвиняли в очевидных нелепостях.</w:t>
      </w:r>
    </w:p>
    <w:p w14:paraId="791121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Существует специальная инструкция о выпуске опытного с-та в воздух. разрешение дает на вылет только сам Нарком, после представления акта комиссии о готовности самолета.</w:t>
      </w:r>
    </w:p>
    <w:p w14:paraId="214279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этом акте моей подписи, подписи летчика не было и Шахурин должен был прежде всего поинтересоваться и узнать почему это так.</w:t>
      </w:r>
    </w:p>
    <w:p w14:paraId="0E3036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История гибели Чкалова достаточно поучительна.</w:t>
      </w:r>
    </w:p>
    <w:p w14:paraId="6AB417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немедленно после отстранения меня, Шахурин приказал заводскому летчику Федорову испытывать машину.</w:t>
      </w:r>
    </w:p>
    <w:p w14:paraId="19EF50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Тот сделав небольшую пробежку заявил, что готов к вылету и расписался в акте. Человек на истребителях современных не летал, материальную часть не изучал. Подобное отношение характеризует недооценку сложной техники и пренебрежение элементарными правилами и мерами предосторожности.</w:t>
      </w:r>
    </w:p>
    <w:p w14:paraId="0CDDC8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Федоров помимо Шахурина принятыми мерами от испытаний с-та был отставлен.</w:t>
      </w:r>
    </w:p>
    <w:p w14:paraId="33658E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Шахурин используя свое положение в ЦК ВКП(б) и изложив неверно происшедшее, оказал давление на мое командование и последнее предпринимает против меня ряд репрессивных мер.</w:t>
      </w:r>
    </w:p>
    <w:p w14:paraId="5A109E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считаю, что не может быть произвола в нашей стране. Карать нужно за то, что на самом деле было.</w:t>
      </w:r>
    </w:p>
    <w:p w14:paraId="4AA22F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Учитывая создавшееся положение и что опытная машина стоит без летчика, я решил пойти к Шахурину, как член партии для выяснения вопроса.</w:t>
      </w:r>
    </w:p>
    <w:p w14:paraId="4B09DC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Шахурин отказался меня принять.</w:t>
      </w:r>
    </w:p>
    <w:p w14:paraId="545355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решить, так ли я виноват, как это стараются изобразить. И правильны ли те репрессии, которые наметились против меня?</w:t>
      </w:r>
    </w:p>
    <w:p w14:paraId="1C1319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отдает ли это пережитками прошлого в сознании людей, которые еще проявляются у некоторых ответственных товарищей?</w:t>
      </w:r>
    </w:p>
    <w:p w14:paraId="23C3E9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Всегда готовый выполнить любое Ваше задание. (Летчик-испытатель В. Степанчонок) (1165).</w:t>
      </w:r>
    </w:p>
    <w:p w14:paraId="2DDEF19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CE6CC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года начальник ГУАС комдив Алексеев и военный комиссар ГУАС бригадный комиссар Князев писали письмо № 501601 зам. наркома авиапромышленности Яковлеву</w:t>
      </w:r>
    </w:p>
    <w:p w14:paraId="1D2EF0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конструкции Болховитинова задерживается испытанием вследствие выхода из строя мотора и отсутствия колес.</w:t>
      </w:r>
    </w:p>
    <w:p w14:paraId="2CC4C0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И-26 конструкции Яковлева до сих пор не испытан на пикировании, не летал выше 6000 м, не проверен на штопор, вооружение на земле не отработано. Носок крыла не отвечает нормам прочности.</w:t>
      </w:r>
    </w:p>
    <w:p w14:paraId="132010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Задерживается также испытание самолетов конструкции Горбунова и Гуревича.</w:t>
      </w:r>
    </w:p>
    <w:p w14:paraId="502C8B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Доделки самолета ДБЛК заводом № 156 выполняются крайне медленно.</w:t>
      </w:r>
    </w:p>
    <w:p w14:paraId="57E8C3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Сообщая об изложенном, прошу принять меры к ускорению доработки и испытаний, особенно в части обеспечения моторами и рабочей силой.</w:t>
      </w:r>
    </w:p>
    <w:p w14:paraId="1797ED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прошу ускорить начало постройки дублера ББ конструкции Грушина (7709, 362).</w:t>
      </w:r>
    </w:p>
    <w:p w14:paraId="3A860E3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DC44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вышло:</w:t>
      </w:r>
    </w:p>
    <w:p w14:paraId="7434FC29" w14:textId="77777777" w:rsidR="00A25AD1" w:rsidRPr="00DB5D0D" w:rsidRDefault="00A25AD1" w:rsidP="00DB5D0D">
      <w:pPr>
        <w:tabs>
          <w:tab w:val="left" w:pos="1577"/>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 658/71с суженного заседания Президиума ВСЕКОМПРОМСОВЕТА</w:t>
      </w:r>
    </w:p>
    <w:p w14:paraId="2FBAA7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изменение Постановлений Президиума Всекомпромсовета за № 84 от 23/Х1-39 и № 155/38с от 14 февраля 1940 Президиум Всекомпромсовета</w:t>
      </w:r>
      <w:r w:rsidRPr="00DB5D0D">
        <w:rPr>
          <w:rFonts w:ascii="Times New Roman" w:hAnsi="Times New Roman"/>
          <w:smallCaps/>
          <w:color w:val="000000" w:themeColor="text1"/>
          <w:sz w:val="16"/>
          <w:szCs w:val="16"/>
        </w:rPr>
        <w:t xml:space="preserve"> ПОСТАНОВЛЯЕТ:</w:t>
      </w:r>
    </w:p>
    <w:p w14:paraId="26CA2D9C" w14:textId="77777777" w:rsidR="00A25AD1" w:rsidRPr="00DB5D0D" w:rsidRDefault="00A25AD1" w:rsidP="00DB5D0D">
      <w:pPr>
        <w:tabs>
          <w:tab w:val="left" w:pos="473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Освободить Леноблпромсовет от поставки бензобаков по гг. Ленинграду и Пскову.</w:t>
      </w:r>
    </w:p>
    <w:p w14:paraId="354477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Предложить Президиуму Мосгорпромсовета /т. РУБИНЧИК/ прекратить изготовление штамптованных бензобаков и переключить пвоизвадство артели “Модуль” на выпуск бензобаков клееных из бумаги в количестве по 500 шт. как во П квартале, так м во П полугодии в сроки по согласовании с НКО.</w:t>
      </w:r>
    </w:p>
    <w:p w14:paraId="1EB16A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Белкопромсовет т. Морголина, Укрпромсовет тов. Филиппова, Крымпромсовет т. Светланова,</w:t>
      </w:r>
      <w:r w:rsidRPr="00DB5D0D">
        <w:rPr>
          <w:rFonts w:ascii="Times New Roman" w:hAnsi="Times New Roman"/>
          <w:smallCaps/>
          <w:color w:val="000000" w:themeColor="text1"/>
          <w:sz w:val="16"/>
          <w:szCs w:val="16"/>
        </w:rPr>
        <w:t xml:space="preserve"> Ростовский</w:t>
      </w:r>
      <w:r w:rsidRPr="00DB5D0D">
        <w:rPr>
          <w:rFonts w:ascii="Times New Roman" w:hAnsi="Times New Roman"/>
          <w:color w:val="000000" w:themeColor="text1"/>
          <w:sz w:val="16"/>
          <w:szCs w:val="16"/>
        </w:rPr>
        <w:t>Промсовет - т. Агапитова, Азербайджанский промсовет т. Касумова, освоить производство клееных из бумаги бензобаков в районах Витебска, Гомеля, Киева, Одессы, Симферополя, Ростова н/Д и Баку с выпуском их единовременно во П-м квартале по 500 шт. в каждой точке и во П-м полугодии в сроки, согласованные с НКО.</w:t>
      </w:r>
    </w:p>
    <w:p w14:paraId="1745A04C" w14:textId="77777777" w:rsidR="00A25AD1" w:rsidRPr="00DB5D0D" w:rsidRDefault="00A25AD1" w:rsidP="00DB5D0D">
      <w:pPr>
        <w:tabs>
          <w:tab w:val="left" w:pos="45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остающееся время по выполнении задания по бензобакам П квартала и П-го полугодия перевести производство артелей на выполнение гражданской продукции с сохранением оборудования и кадров для немедленного максимального развертывания производства бензобаков в условиях военного времени.</w:t>
      </w:r>
    </w:p>
    <w:p w14:paraId="652339EE" w14:textId="77777777" w:rsidR="00A25AD1" w:rsidRPr="00DB5D0D" w:rsidRDefault="00A25AD1" w:rsidP="00DB5D0D">
      <w:pPr>
        <w:tabs>
          <w:tab w:val="left" w:pos="56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председателей президиумов промсоветов, привлекаемых к организации производства бензобаков в порядке проверки мобилизационной готовности ежегодно производить выпуск бензобаков 2 раза в год по 500 шт. в каждой точке, в сроки, согласованные с НКО.</w:t>
      </w:r>
    </w:p>
    <w:p w14:paraId="137253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Всекопромметаллссюз тов. Непомнящего освоить кв. производство подвесных хомутов и опорных плоскостей бензобаков /по ранее спущенным чертежам/ с выпуском во П кв. 1940г. 10.000 тыс. комплектов и во П полугодии 5000 тыс. комплектов для следующих наркоматов: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474"/>
        <w:gridCol w:w="963"/>
        <w:gridCol w:w="1240"/>
      </w:tblGrid>
      <w:tr w:rsidR="007D5DF8" w:rsidRPr="00DB5D0D" w14:paraId="1487CF44" w14:textId="77777777" w:rsidTr="009223E5">
        <w:tc>
          <w:tcPr>
            <w:tcW w:w="534" w:type="dxa"/>
            <w:tcBorders>
              <w:top w:val="single" w:sz="12" w:space="0" w:color="auto"/>
            </w:tcBorders>
          </w:tcPr>
          <w:p w14:paraId="2403C2F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474" w:type="dxa"/>
            <w:tcBorders>
              <w:top w:val="single" w:sz="12" w:space="0" w:color="auto"/>
            </w:tcBorders>
          </w:tcPr>
          <w:p w14:paraId="3F5C66B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63" w:type="dxa"/>
            <w:tcBorders>
              <w:top w:val="single" w:sz="12" w:space="0" w:color="auto"/>
            </w:tcBorders>
          </w:tcPr>
          <w:p w14:paraId="56DE19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кв.</w:t>
            </w:r>
          </w:p>
        </w:tc>
        <w:tc>
          <w:tcPr>
            <w:tcW w:w="1240" w:type="dxa"/>
            <w:tcBorders>
              <w:top w:val="single" w:sz="12" w:space="0" w:color="auto"/>
            </w:tcBorders>
          </w:tcPr>
          <w:p w14:paraId="218C0A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Полугодие</w:t>
            </w:r>
          </w:p>
        </w:tc>
      </w:tr>
      <w:tr w:rsidR="007D5DF8" w:rsidRPr="00DB5D0D" w14:paraId="61669D96" w14:textId="77777777" w:rsidTr="009223E5">
        <w:tc>
          <w:tcPr>
            <w:tcW w:w="534" w:type="dxa"/>
          </w:tcPr>
          <w:p w14:paraId="392727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474" w:type="dxa"/>
          </w:tcPr>
          <w:p w14:paraId="2E1B15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Наркомлес -Ленинград</w:t>
            </w:r>
          </w:p>
        </w:tc>
        <w:tc>
          <w:tcPr>
            <w:tcW w:w="963" w:type="dxa"/>
          </w:tcPr>
          <w:p w14:paraId="6017A4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3000 </w:t>
            </w:r>
          </w:p>
        </w:tc>
        <w:tc>
          <w:tcPr>
            <w:tcW w:w="1240" w:type="dxa"/>
          </w:tcPr>
          <w:p w14:paraId="060DFB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090AB05B" w14:textId="77777777" w:rsidTr="009223E5">
        <w:tc>
          <w:tcPr>
            <w:tcW w:w="534" w:type="dxa"/>
          </w:tcPr>
          <w:p w14:paraId="38B863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474" w:type="dxa"/>
          </w:tcPr>
          <w:p w14:paraId="14CD0C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Наркомлес - ДВК</w:t>
            </w:r>
          </w:p>
        </w:tc>
        <w:tc>
          <w:tcPr>
            <w:tcW w:w="963" w:type="dxa"/>
          </w:tcPr>
          <w:p w14:paraId="197680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2000 </w:t>
            </w:r>
          </w:p>
        </w:tc>
        <w:tc>
          <w:tcPr>
            <w:tcW w:w="1240" w:type="dxa"/>
          </w:tcPr>
          <w:p w14:paraId="723226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49FDB588" w14:textId="77777777" w:rsidTr="009223E5">
        <w:tc>
          <w:tcPr>
            <w:tcW w:w="534" w:type="dxa"/>
          </w:tcPr>
          <w:p w14:paraId="7A1C37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474" w:type="dxa"/>
          </w:tcPr>
          <w:p w14:paraId="277AA2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Наркомпищепром - Ленинград</w:t>
            </w:r>
          </w:p>
        </w:tc>
        <w:tc>
          <w:tcPr>
            <w:tcW w:w="963" w:type="dxa"/>
          </w:tcPr>
          <w:p w14:paraId="26A8DD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1240" w:type="dxa"/>
          </w:tcPr>
          <w:p w14:paraId="37581A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2C9293A3" w14:textId="77777777" w:rsidTr="009223E5">
        <w:tc>
          <w:tcPr>
            <w:tcW w:w="534" w:type="dxa"/>
          </w:tcPr>
          <w:p w14:paraId="252A07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474" w:type="dxa"/>
          </w:tcPr>
          <w:p w14:paraId="585F9B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Наркомпищепром - Москва</w:t>
            </w:r>
          </w:p>
        </w:tc>
        <w:tc>
          <w:tcPr>
            <w:tcW w:w="963" w:type="dxa"/>
          </w:tcPr>
          <w:p w14:paraId="66E917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1240" w:type="dxa"/>
          </w:tcPr>
          <w:p w14:paraId="1736CE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1DD7B860" w14:textId="77777777" w:rsidTr="009223E5">
        <w:tc>
          <w:tcPr>
            <w:tcW w:w="534" w:type="dxa"/>
          </w:tcPr>
          <w:p w14:paraId="0E36A4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474" w:type="dxa"/>
          </w:tcPr>
          <w:p w14:paraId="615BB0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Мосгорпромсовет</w:t>
            </w:r>
          </w:p>
        </w:tc>
        <w:tc>
          <w:tcPr>
            <w:tcW w:w="963" w:type="dxa"/>
          </w:tcPr>
          <w:p w14:paraId="159A41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1240" w:type="dxa"/>
          </w:tcPr>
          <w:p w14:paraId="59CCB8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4915E052" w14:textId="77777777" w:rsidTr="009223E5">
        <w:tc>
          <w:tcPr>
            <w:tcW w:w="534" w:type="dxa"/>
          </w:tcPr>
          <w:p w14:paraId="77C8F7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2474" w:type="dxa"/>
          </w:tcPr>
          <w:p w14:paraId="73CE54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Белкомпромсовет</w:t>
            </w:r>
          </w:p>
        </w:tc>
        <w:tc>
          <w:tcPr>
            <w:tcW w:w="963" w:type="dxa"/>
          </w:tcPr>
          <w:p w14:paraId="4D8B04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240" w:type="dxa"/>
          </w:tcPr>
          <w:p w14:paraId="692B9C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4DDD22E" w14:textId="77777777" w:rsidTr="009223E5">
        <w:tc>
          <w:tcPr>
            <w:tcW w:w="534" w:type="dxa"/>
          </w:tcPr>
          <w:p w14:paraId="674B95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2474" w:type="dxa"/>
          </w:tcPr>
          <w:p w14:paraId="59C2E9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Укрпромсовет</w:t>
            </w:r>
          </w:p>
        </w:tc>
        <w:tc>
          <w:tcPr>
            <w:tcW w:w="963" w:type="dxa"/>
          </w:tcPr>
          <w:p w14:paraId="2588B0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240" w:type="dxa"/>
          </w:tcPr>
          <w:p w14:paraId="07EC07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B4F164A" w14:textId="77777777" w:rsidTr="009223E5">
        <w:tc>
          <w:tcPr>
            <w:tcW w:w="534" w:type="dxa"/>
          </w:tcPr>
          <w:p w14:paraId="4CD4D2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2474" w:type="dxa"/>
          </w:tcPr>
          <w:p w14:paraId="1B91D8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Ростовский Промсовет</w:t>
            </w:r>
          </w:p>
        </w:tc>
        <w:tc>
          <w:tcPr>
            <w:tcW w:w="963" w:type="dxa"/>
          </w:tcPr>
          <w:p w14:paraId="453179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1240" w:type="dxa"/>
          </w:tcPr>
          <w:p w14:paraId="161C6B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E8F04B9" w14:textId="77777777" w:rsidTr="009223E5">
        <w:tc>
          <w:tcPr>
            <w:tcW w:w="534" w:type="dxa"/>
          </w:tcPr>
          <w:p w14:paraId="0416F0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2474" w:type="dxa"/>
          </w:tcPr>
          <w:p w14:paraId="7F103E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Азпромсовет</w:t>
            </w:r>
          </w:p>
        </w:tc>
        <w:tc>
          <w:tcPr>
            <w:tcW w:w="963" w:type="dxa"/>
          </w:tcPr>
          <w:p w14:paraId="2D28AA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1240" w:type="dxa"/>
          </w:tcPr>
          <w:p w14:paraId="0C2A51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8BA0F9F" w14:textId="77777777" w:rsidTr="009223E5">
        <w:tc>
          <w:tcPr>
            <w:tcW w:w="534" w:type="dxa"/>
            <w:tcBorders>
              <w:bottom w:val="single" w:sz="12" w:space="0" w:color="auto"/>
            </w:tcBorders>
          </w:tcPr>
          <w:p w14:paraId="5FB4FC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2474" w:type="dxa"/>
            <w:tcBorders>
              <w:bottom w:val="single" w:sz="12" w:space="0" w:color="auto"/>
            </w:tcBorders>
          </w:tcPr>
          <w:p w14:paraId="3D387B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Крымпромсовет</w:t>
            </w:r>
          </w:p>
        </w:tc>
        <w:tc>
          <w:tcPr>
            <w:tcW w:w="963" w:type="dxa"/>
            <w:tcBorders>
              <w:bottom w:val="single" w:sz="12" w:space="0" w:color="auto"/>
            </w:tcBorders>
          </w:tcPr>
          <w:p w14:paraId="3AF68D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1240" w:type="dxa"/>
            <w:tcBorders>
              <w:bottom w:val="single" w:sz="12" w:space="0" w:color="auto"/>
            </w:tcBorders>
          </w:tcPr>
          <w:p w14:paraId="1F9601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74F622C5" w14:textId="77777777" w:rsidR="00A25AD1" w:rsidRPr="00DB5D0D" w:rsidRDefault="00A25AD1" w:rsidP="00DB5D0D">
      <w:pPr>
        <w:tabs>
          <w:tab w:val="left" w:pos="460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Обязать Укрпромсовет т. Филиппова освоить в 1940 г. проиводство подвесных хомутов и опорных плоскостей для бензобаков с выпуском во П полугодии 1940 года 3000 комплектов для следующих промсоветов:</w:t>
      </w:r>
    </w:p>
    <w:p w14:paraId="21A0E1DE" w14:textId="77777777" w:rsidR="00A25AD1" w:rsidRPr="00DB5D0D" w:rsidRDefault="00A25AD1" w:rsidP="00DB5D0D">
      <w:pPr>
        <w:tabs>
          <w:tab w:val="left" w:pos="35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Белкопромсовет - 1000</w:t>
      </w:r>
    </w:p>
    <w:p w14:paraId="3405D6B1" w14:textId="77777777" w:rsidR="00A25AD1" w:rsidRPr="00DB5D0D" w:rsidRDefault="00A25AD1" w:rsidP="00DB5D0D">
      <w:pPr>
        <w:tabs>
          <w:tab w:val="left" w:pos="36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Укрпромсовет - 1000</w:t>
      </w:r>
    </w:p>
    <w:p w14:paraId="5F0A245B" w14:textId="77777777" w:rsidR="00A25AD1" w:rsidRPr="00DB5D0D" w:rsidRDefault="00A25AD1" w:rsidP="00DB5D0D">
      <w:pPr>
        <w:tabs>
          <w:tab w:val="left" w:pos="36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Ростовский промсовет - 500</w:t>
      </w:r>
    </w:p>
    <w:p w14:paraId="2321B205" w14:textId="77777777" w:rsidR="00A25AD1" w:rsidRPr="00DB5D0D" w:rsidRDefault="00A25AD1" w:rsidP="00DB5D0D">
      <w:pPr>
        <w:tabs>
          <w:tab w:val="left" w:pos="36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Азпромсовет - 500</w:t>
      </w:r>
    </w:p>
    <w:p w14:paraId="5EB720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5. Крымпромсовет - 500</w:t>
      </w:r>
    </w:p>
    <w:p w14:paraId="3255F3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Обязать Мосгорпромсовет</w:t>
      </w:r>
      <w:r w:rsidRPr="00DB5D0D">
        <w:rPr>
          <w:rFonts w:ascii="Times New Roman" w:hAnsi="Times New Roman"/>
          <w:smallCaps/>
          <w:color w:val="000000" w:themeColor="text1"/>
          <w:sz w:val="16"/>
          <w:szCs w:val="16"/>
        </w:rPr>
        <w:t xml:space="preserve"> изготовить</w:t>
      </w:r>
      <w:r w:rsidRPr="00DB5D0D">
        <w:rPr>
          <w:rFonts w:ascii="Times New Roman" w:hAnsi="Times New Roman"/>
          <w:color w:val="000000" w:themeColor="text1"/>
          <w:sz w:val="16"/>
          <w:szCs w:val="16"/>
        </w:rPr>
        <w:t xml:space="preserve"> следующее количество картонной арматуры для бензобаков.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093"/>
        <w:gridCol w:w="2093"/>
      </w:tblGrid>
      <w:tr w:rsidR="007D5DF8" w:rsidRPr="00DB5D0D" w14:paraId="7126D2F9" w14:textId="77777777" w:rsidTr="009223E5">
        <w:tc>
          <w:tcPr>
            <w:tcW w:w="2093" w:type="dxa"/>
            <w:tcBorders>
              <w:top w:val="single" w:sz="12" w:space="0" w:color="auto"/>
            </w:tcBorders>
          </w:tcPr>
          <w:p w14:paraId="265D39B8"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p>
        </w:tc>
        <w:tc>
          <w:tcPr>
            <w:tcW w:w="2093" w:type="dxa"/>
            <w:tcBorders>
              <w:top w:val="single" w:sz="12" w:space="0" w:color="auto"/>
            </w:tcBorders>
          </w:tcPr>
          <w:p w14:paraId="617BFD91"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кв.</w:t>
            </w:r>
          </w:p>
        </w:tc>
        <w:tc>
          <w:tcPr>
            <w:tcW w:w="2093" w:type="dxa"/>
            <w:tcBorders>
              <w:top w:val="single" w:sz="12" w:space="0" w:color="auto"/>
            </w:tcBorders>
          </w:tcPr>
          <w:p w14:paraId="6CBB8694"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полугодие</w:t>
            </w:r>
          </w:p>
        </w:tc>
      </w:tr>
      <w:tr w:rsidR="007D5DF8" w:rsidRPr="00DB5D0D" w14:paraId="34BF51DA" w14:textId="77777777" w:rsidTr="009223E5">
        <w:tc>
          <w:tcPr>
            <w:tcW w:w="2093" w:type="dxa"/>
          </w:tcPr>
          <w:p w14:paraId="79789A5B"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НКПищепрому</w:t>
            </w:r>
          </w:p>
        </w:tc>
        <w:tc>
          <w:tcPr>
            <w:tcW w:w="2093" w:type="dxa"/>
          </w:tcPr>
          <w:p w14:paraId="22C697A9"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093" w:type="dxa"/>
          </w:tcPr>
          <w:p w14:paraId="37B4F8F3"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054B53A4" w14:textId="77777777" w:rsidTr="009223E5">
        <w:tc>
          <w:tcPr>
            <w:tcW w:w="2093" w:type="dxa"/>
          </w:tcPr>
          <w:p w14:paraId="2AB3EE4A" w14:textId="77777777" w:rsidR="00A25AD1" w:rsidRPr="00DB5D0D" w:rsidRDefault="00A25AD1" w:rsidP="00DB5D0D">
            <w:pPr>
              <w:tabs>
                <w:tab w:val="left" w:pos="36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НКЛес - ДВК</w:t>
            </w:r>
          </w:p>
        </w:tc>
        <w:tc>
          <w:tcPr>
            <w:tcW w:w="2093" w:type="dxa"/>
          </w:tcPr>
          <w:p w14:paraId="53C95B68" w14:textId="77777777" w:rsidR="00A25AD1" w:rsidRPr="00DB5D0D" w:rsidRDefault="00A25AD1" w:rsidP="00DB5D0D">
            <w:pPr>
              <w:tabs>
                <w:tab w:val="left" w:pos="36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2093" w:type="dxa"/>
          </w:tcPr>
          <w:p w14:paraId="6EC48C68" w14:textId="77777777" w:rsidR="00A25AD1" w:rsidRPr="00DB5D0D" w:rsidRDefault="00A25AD1" w:rsidP="00DB5D0D">
            <w:pPr>
              <w:tabs>
                <w:tab w:val="left" w:pos="36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356CA965" w14:textId="77777777" w:rsidTr="009223E5">
        <w:tc>
          <w:tcPr>
            <w:tcW w:w="2093" w:type="dxa"/>
          </w:tcPr>
          <w:p w14:paraId="35D476BF" w14:textId="77777777" w:rsidR="00A25AD1" w:rsidRPr="00DB5D0D" w:rsidRDefault="00A25AD1" w:rsidP="00DB5D0D">
            <w:pPr>
              <w:tabs>
                <w:tab w:val="left" w:pos="34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Мосгорпромсовет</w:t>
            </w:r>
          </w:p>
        </w:tc>
        <w:tc>
          <w:tcPr>
            <w:tcW w:w="2093" w:type="dxa"/>
          </w:tcPr>
          <w:p w14:paraId="32DC51C2" w14:textId="77777777" w:rsidR="00A25AD1" w:rsidRPr="00DB5D0D" w:rsidRDefault="00A25AD1" w:rsidP="00DB5D0D">
            <w:pPr>
              <w:tabs>
                <w:tab w:val="left" w:pos="34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093" w:type="dxa"/>
          </w:tcPr>
          <w:p w14:paraId="4939472F" w14:textId="77777777" w:rsidR="00A25AD1" w:rsidRPr="00DB5D0D" w:rsidRDefault="00A25AD1" w:rsidP="00DB5D0D">
            <w:pPr>
              <w:tabs>
                <w:tab w:val="left" w:pos="34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1A6DE1A3" w14:textId="77777777" w:rsidTr="009223E5">
        <w:tc>
          <w:tcPr>
            <w:tcW w:w="2093" w:type="dxa"/>
          </w:tcPr>
          <w:p w14:paraId="24AB60EF" w14:textId="77777777" w:rsidR="00A25AD1" w:rsidRPr="00DB5D0D" w:rsidRDefault="00A25AD1" w:rsidP="00DB5D0D">
            <w:pPr>
              <w:tabs>
                <w:tab w:val="left" w:pos="34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Азпромсовет</w:t>
            </w:r>
          </w:p>
        </w:tc>
        <w:tc>
          <w:tcPr>
            <w:tcW w:w="2093" w:type="dxa"/>
          </w:tcPr>
          <w:p w14:paraId="5DB2711C" w14:textId="77777777" w:rsidR="00A25AD1" w:rsidRPr="00DB5D0D" w:rsidRDefault="00A25AD1" w:rsidP="00DB5D0D">
            <w:pPr>
              <w:tabs>
                <w:tab w:val="left" w:pos="34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093" w:type="dxa"/>
          </w:tcPr>
          <w:p w14:paraId="21AA3988" w14:textId="77777777" w:rsidR="00A25AD1" w:rsidRPr="00DB5D0D" w:rsidRDefault="00A25AD1" w:rsidP="00DB5D0D">
            <w:pPr>
              <w:tabs>
                <w:tab w:val="left" w:pos="34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29ABE2D" w14:textId="77777777" w:rsidTr="009223E5">
        <w:tc>
          <w:tcPr>
            <w:tcW w:w="2093" w:type="dxa"/>
          </w:tcPr>
          <w:p w14:paraId="0475EB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Р</w:t>
            </w:r>
            <w:r w:rsidRPr="00DB5D0D">
              <w:rPr>
                <w:rFonts w:ascii="Times New Roman" w:hAnsi="Times New Roman"/>
                <w:smallCaps/>
                <w:color w:val="000000" w:themeColor="text1"/>
                <w:sz w:val="16"/>
                <w:szCs w:val="16"/>
              </w:rPr>
              <w:t>остовский</w:t>
            </w:r>
            <w:r w:rsidRPr="00DB5D0D">
              <w:rPr>
                <w:rFonts w:ascii="Times New Roman" w:hAnsi="Times New Roman"/>
                <w:color w:val="000000" w:themeColor="text1"/>
                <w:sz w:val="16"/>
                <w:szCs w:val="16"/>
              </w:rPr>
              <w:t xml:space="preserve"> промсовет</w:t>
            </w:r>
          </w:p>
        </w:tc>
        <w:tc>
          <w:tcPr>
            <w:tcW w:w="2093" w:type="dxa"/>
          </w:tcPr>
          <w:p w14:paraId="3AE308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093" w:type="dxa"/>
          </w:tcPr>
          <w:p w14:paraId="32D00D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64E635C" w14:textId="77777777" w:rsidTr="009223E5">
        <w:tc>
          <w:tcPr>
            <w:tcW w:w="2093" w:type="dxa"/>
          </w:tcPr>
          <w:p w14:paraId="357EAC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Укрпромсовет</w:t>
            </w:r>
          </w:p>
        </w:tc>
        <w:tc>
          <w:tcPr>
            <w:tcW w:w="2093" w:type="dxa"/>
          </w:tcPr>
          <w:p w14:paraId="57AF50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093" w:type="dxa"/>
          </w:tcPr>
          <w:p w14:paraId="7BAA7B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246B8EF" w14:textId="77777777" w:rsidTr="009223E5">
        <w:tc>
          <w:tcPr>
            <w:tcW w:w="2093" w:type="dxa"/>
            <w:tcBorders>
              <w:bottom w:val="single" w:sz="12" w:space="0" w:color="auto"/>
            </w:tcBorders>
          </w:tcPr>
          <w:p w14:paraId="18469B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Крымпромсовет</w:t>
            </w:r>
          </w:p>
        </w:tc>
        <w:tc>
          <w:tcPr>
            <w:tcW w:w="2093" w:type="dxa"/>
            <w:tcBorders>
              <w:bottom w:val="single" w:sz="12" w:space="0" w:color="auto"/>
            </w:tcBorders>
          </w:tcPr>
          <w:p w14:paraId="67B58C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093" w:type="dxa"/>
            <w:tcBorders>
              <w:bottom w:val="single" w:sz="12" w:space="0" w:color="auto"/>
            </w:tcBorders>
          </w:tcPr>
          <w:p w14:paraId="3AE445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4E319E16" w14:textId="77777777" w:rsidR="00A25AD1" w:rsidRPr="00DB5D0D" w:rsidRDefault="00A25AD1" w:rsidP="00DB5D0D">
      <w:pPr>
        <w:tabs>
          <w:tab w:val="left" w:pos="318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Обязать Леноблпромсовет изготовить следующее количество картонной арматуры: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093"/>
        <w:gridCol w:w="2093"/>
      </w:tblGrid>
      <w:tr w:rsidR="007D5DF8" w:rsidRPr="00DB5D0D" w14:paraId="76864A89" w14:textId="77777777" w:rsidTr="009223E5">
        <w:tc>
          <w:tcPr>
            <w:tcW w:w="2093" w:type="dxa"/>
            <w:tcBorders>
              <w:top w:val="single" w:sz="12" w:space="0" w:color="auto"/>
            </w:tcBorders>
          </w:tcPr>
          <w:p w14:paraId="608A9618"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p>
        </w:tc>
        <w:tc>
          <w:tcPr>
            <w:tcW w:w="2093" w:type="dxa"/>
            <w:tcBorders>
              <w:top w:val="single" w:sz="12" w:space="0" w:color="auto"/>
            </w:tcBorders>
          </w:tcPr>
          <w:p w14:paraId="3FAD0A55"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кв.</w:t>
            </w:r>
          </w:p>
        </w:tc>
        <w:tc>
          <w:tcPr>
            <w:tcW w:w="2093" w:type="dxa"/>
            <w:tcBorders>
              <w:top w:val="single" w:sz="12" w:space="0" w:color="auto"/>
            </w:tcBorders>
          </w:tcPr>
          <w:p w14:paraId="6C724321"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полугодие</w:t>
            </w:r>
          </w:p>
        </w:tc>
      </w:tr>
      <w:tr w:rsidR="007D5DF8" w:rsidRPr="00DB5D0D" w14:paraId="2AEAA570" w14:textId="77777777" w:rsidTr="009223E5">
        <w:tc>
          <w:tcPr>
            <w:tcW w:w="2093" w:type="dxa"/>
          </w:tcPr>
          <w:p w14:paraId="18E66C39"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НКПищепрому</w:t>
            </w:r>
          </w:p>
        </w:tc>
        <w:tc>
          <w:tcPr>
            <w:tcW w:w="2093" w:type="dxa"/>
          </w:tcPr>
          <w:p w14:paraId="5AD28353"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093" w:type="dxa"/>
          </w:tcPr>
          <w:p w14:paraId="5904DEF8" w14:textId="77777777" w:rsidR="00A25AD1" w:rsidRPr="00DB5D0D" w:rsidRDefault="00A25AD1" w:rsidP="00DB5D0D">
            <w:pPr>
              <w:keepNext/>
              <w:keepLines/>
              <w:tabs>
                <w:tab w:val="left" w:pos="35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23F5B9AE" w14:textId="77777777" w:rsidTr="009223E5">
        <w:tc>
          <w:tcPr>
            <w:tcW w:w="2093" w:type="dxa"/>
          </w:tcPr>
          <w:p w14:paraId="06D98F42" w14:textId="77777777" w:rsidR="00A25AD1" w:rsidRPr="00DB5D0D" w:rsidRDefault="00A25AD1" w:rsidP="00DB5D0D">
            <w:pPr>
              <w:tabs>
                <w:tab w:val="left" w:pos="36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НКЛес - Ленинград</w:t>
            </w:r>
          </w:p>
        </w:tc>
        <w:tc>
          <w:tcPr>
            <w:tcW w:w="2093" w:type="dxa"/>
          </w:tcPr>
          <w:p w14:paraId="63599B16" w14:textId="77777777" w:rsidR="00A25AD1" w:rsidRPr="00DB5D0D" w:rsidRDefault="00A25AD1" w:rsidP="00DB5D0D">
            <w:pPr>
              <w:tabs>
                <w:tab w:val="left" w:pos="36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2093" w:type="dxa"/>
          </w:tcPr>
          <w:p w14:paraId="7F9F7919" w14:textId="77777777" w:rsidR="00A25AD1" w:rsidRPr="00DB5D0D" w:rsidRDefault="00A25AD1" w:rsidP="00DB5D0D">
            <w:pPr>
              <w:tabs>
                <w:tab w:val="left" w:pos="36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3D9EC024" w14:textId="77777777" w:rsidTr="009223E5">
        <w:tc>
          <w:tcPr>
            <w:tcW w:w="2093" w:type="dxa"/>
            <w:tcBorders>
              <w:bottom w:val="single" w:sz="12" w:space="0" w:color="auto"/>
            </w:tcBorders>
          </w:tcPr>
          <w:p w14:paraId="24E11CF5" w14:textId="77777777" w:rsidR="00A25AD1" w:rsidRPr="00DB5D0D" w:rsidRDefault="00A25AD1" w:rsidP="00DB5D0D">
            <w:pPr>
              <w:tabs>
                <w:tab w:val="left" w:pos="34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Белкомпромсовет</w:t>
            </w:r>
          </w:p>
        </w:tc>
        <w:tc>
          <w:tcPr>
            <w:tcW w:w="2093" w:type="dxa"/>
            <w:tcBorders>
              <w:bottom w:val="single" w:sz="12" w:space="0" w:color="auto"/>
            </w:tcBorders>
          </w:tcPr>
          <w:p w14:paraId="6B20A730" w14:textId="77777777" w:rsidR="00A25AD1" w:rsidRPr="00DB5D0D" w:rsidRDefault="00A25AD1" w:rsidP="00DB5D0D">
            <w:pPr>
              <w:tabs>
                <w:tab w:val="left" w:pos="34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093" w:type="dxa"/>
            <w:tcBorders>
              <w:bottom w:val="single" w:sz="12" w:space="0" w:color="auto"/>
            </w:tcBorders>
          </w:tcPr>
          <w:p w14:paraId="5EBAC184" w14:textId="77777777" w:rsidR="00A25AD1" w:rsidRPr="00DB5D0D" w:rsidRDefault="00A25AD1" w:rsidP="00DB5D0D">
            <w:pPr>
              <w:tabs>
                <w:tab w:val="left" w:pos="34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bl>
    <w:p w14:paraId="0E3E01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Обязать Укрпромсовет освоить в своей системе производство картонной арматуры для бензобаков с поставкой во П-м полуго</w:t>
      </w:r>
      <w:r w:rsidRPr="00DB5D0D">
        <w:rPr>
          <w:rFonts w:ascii="Times New Roman" w:hAnsi="Times New Roman"/>
          <w:color w:val="000000" w:themeColor="text1"/>
          <w:sz w:val="16"/>
          <w:szCs w:val="16"/>
        </w:rPr>
        <w:softHyphen/>
        <w:t>дии:</w:t>
      </w:r>
    </w:p>
    <w:p w14:paraId="7BBCAB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Азкомпромсовету - 500</w:t>
      </w:r>
    </w:p>
    <w:p w14:paraId="100431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Ростовскому Промсовету - 500</w:t>
      </w:r>
    </w:p>
    <w:p w14:paraId="0BE0E4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Крымпромсовету - 500</w:t>
      </w:r>
    </w:p>
    <w:p w14:paraId="4DA01E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Укрпромсовету - 1000</w:t>
      </w:r>
    </w:p>
    <w:p w14:paraId="12D1F0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Обязать Военный Отдел ВКПС обеспечить все промсоветы необходимой технической документацией</w:t>
      </w:r>
    </w:p>
    <w:p w14:paraId="1B0942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Обязать В.О. ВКПС вызвать и ознакомить необходимое количество инженерно-технического персонала промсоветов и артелей с производством клееных из бумаги бензобаков.</w:t>
      </w:r>
    </w:p>
    <w:p w14:paraId="4D38E131" w14:textId="77777777" w:rsidR="00A25AD1" w:rsidRPr="00DB5D0D" w:rsidRDefault="00A25AD1" w:rsidP="00DB5D0D">
      <w:pPr>
        <w:tabs>
          <w:tab w:val="left" w:pos="552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Предложить-Военному Отделу Всекомпромсовета г Щелкову совместно с Металлосоюзом и Главснабом обеспечить представление к 1-1У-с. г. заявок на необходимые материалы в оборудование.</w:t>
      </w:r>
    </w:p>
    <w:p w14:paraId="1A23EC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Предложить т.Зелкову обеспечить систематический. контроль за выполнением настоящего решения информируя Президиум I раз в декаду (10106).</w:t>
      </w:r>
    </w:p>
    <w:p w14:paraId="6F27FF84"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p>
    <w:p w14:paraId="6C8259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вышел приказ НКАП N 219с об улучшении работы КБ N 32 и развитии работ по авиационному вооружению. На заводе закреплялось три конструкторских бюро (400,53):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3833"/>
      </w:tblGrid>
      <w:tr w:rsidR="007D5DF8" w:rsidRPr="00DB5D0D" w14:paraId="27083B0E" w14:textId="77777777" w:rsidTr="009223E5">
        <w:tc>
          <w:tcPr>
            <w:tcW w:w="3833" w:type="dxa"/>
            <w:tcBorders>
              <w:top w:val="single" w:sz="12" w:space="0" w:color="auto"/>
            </w:tcBorders>
          </w:tcPr>
          <w:p w14:paraId="5FA6AE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КБ N 1</w:t>
            </w:r>
          </w:p>
        </w:tc>
        <w:tc>
          <w:tcPr>
            <w:tcW w:w="3833" w:type="dxa"/>
            <w:tcBorders>
              <w:top w:val="single" w:sz="12" w:space="0" w:color="auto"/>
            </w:tcBorders>
          </w:tcPr>
          <w:p w14:paraId="18725B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ГК Шульгин А.И.</w:t>
            </w:r>
          </w:p>
        </w:tc>
        <w:tc>
          <w:tcPr>
            <w:tcW w:w="3833" w:type="dxa"/>
            <w:tcBorders>
              <w:top w:val="single" w:sz="12" w:space="0" w:color="auto"/>
            </w:tcBorders>
          </w:tcPr>
          <w:p w14:paraId="762C92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бомбардировочно-торпедное вооружение;</w:t>
            </w:r>
          </w:p>
        </w:tc>
      </w:tr>
      <w:tr w:rsidR="007D5DF8" w:rsidRPr="00DB5D0D" w14:paraId="0F088643" w14:textId="77777777" w:rsidTr="009223E5">
        <w:tc>
          <w:tcPr>
            <w:tcW w:w="3833" w:type="dxa"/>
          </w:tcPr>
          <w:p w14:paraId="01CE62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КБ N 2</w:t>
            </w:r>
          </w:p>
        </w:tc>
        <w:tc>
          <w:tcPr>
            <w:tcW w:w="3833" w:type="dxa"/>
          </w:tcPr>
          <w:p w14:paraId="65AC51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ГК Шибанов И.П.</w:t>
            </w:r>
          </w:p>
        </w:tc>
        <w:tc>
          <w:tcPr>
            <w:tcW w:w="3833" w:type="dxa"/>
          </w:tcPr>
          <w:p w14:paraId="1EBE8B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артвооружение и неподвижные установки</w:t>
            </w:r>
          </w:p>
        </w:tc>
      </w:tr>
      <w:tr w:rsidR="007D5DF8" w:rsidRPr="00DB5D0D" w14:paraId="7D15605B" w14:textId="77777777" w:rsidTr="009223E5">
        <w:tc>
          <w:tcPr>
            <w:tcW w:w="3833" w:type="dxa"/>
            <w:tcBorders>
              <w:bottom w:val="single" w:sz="12" w:space="0" w:color="auto"/>
            </w:tcBorders>
          </w:tcPr>
          <w:p w14:paraId="55137E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КБ N 3</w:t>
            </w:r>
          </w:p>
        </w:tc>
        <w:tc>
          <w:tcPr>
            <w:tcW w:w="3833" w:type="dxa"/>
            <w:tcBorders>
              <w:bottom w:val="single" w:sz="12" w:space="0" w:color="auto"/>
            </w:tcBorders>
          </w:tcPr>
          <w:p w14:paraId="67DC42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ГК Можаровский Г.М.</w:t>
            </w:r>
          </w:p>
        </w:tc>
        <w:tc>
          <w:tcPr>
            <w:tcW w:w="3833" w:type="dxa"/>
            <w:tcBorders>
              <w:bottom w:val="single" w:sz="12" w:space="0" w:color="auto"/>
            </w:tcBorders>
          </w:tcPr>
          <w:p w14:paraId="07FFD8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стрелковые подвижные установки.</w:t>
            </w:r>
          </w:p>
        </w:tc>
      </w:tr>
    </w:tbl>
    <w:p w14:paraId="381E88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 Торопова в полном составе вливалось в КБ Шибанова (400,31).</w:t>
      </w:r>
    </w:p>
    <w:p w14:paraId="067049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улучшения работы конструкторских бюро завода № 32 и развития опытных работ по авиационному вооружению ПРИКАЗЫВАЮ:</w:t>
      </w:r>
    </w:p>
    <w:p w14:paraId="1CC345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1</w:t>
      </w:r>
    </w:p>
    <w:p w14:paraId="0A4E02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Закрепить на заводе № 32 три конструкторских бюро: одно по бомбардировочно-торпедному вооружению, одно по артиллерийскому вооружению и одно по стрелковому воору жению.</w:t>
      </w:r>
    </w:p>
    <w:p w14:paraId="6DCAD7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2</w:t>
      </w:r>
    </w:p>
    <w:p w14:paraId="19B3C2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Административно-хозяйственное, планово-производственно техническое руководство по опытным работам на заводе № 32 возложить на заместителя директора по опыт</w:t>
      </w:r>
      <w:r w:rsidRPr="00DB5D0D">
        <w:rPr>
          <w:rFonts w:ascii="Times New Roman" w:hAnsi="Times New Roman"/>
          <w:color w:val="000000" w:themeColor="text1"/>
          <w:sz w:val="16"/>
          <w:szCs w:val="16"/>
        </w:rPr>
        <w:softHyphen/>
        <w:t>ному производству.</w:t>
      </w:r>
    </w:p>
    <w:p w14:paraId="202E15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Заместителю директора по опытному производству подчинить непосредственно всех главных конструкторов и опытное производство.</w:t>
      </w:r>
    </w:p>
    <w:p w14:paraId="22EDCE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3</w:t>
      </w:r>
    </w:p>
    <w:p w14:paraId="180ACA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Утвердить следующие конструкторские бюро на за</w:t>
      </w:r>
      <w:r w:rsidRPr="00DB5D0D">
        <w:rPr>
          <w:rFonts w:ascii="Times New Roman" w:hAnsi="Times New Roman"/>
          <w:color w:val="000000" w:themeColor="text1"/>
          <w:sz w:val="16"/>
          <w:szCs w:val="16"/>
        </w:rPr>
        <w:softHyphen/>
        <w:t>воде № 32:</w:t>
      </w:r>
    </w:p>
    <w:p w14:paraId="710ED3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Конструкторское бюро № I - главный конструктор тов.ШУЛЬГИН А.И.</w:t>
      </w:r>
    </w:p>
    <w:p w14:paraId="60CCF3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Профиль конструктор. бюро - бомбардировочно-торпедное вооружение.</w:t>
      </w:r>
    </w:p>
    <w:p w14:paraId="319848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Конструкторское бюро № 2 - главный конструктор тов.ШИБАНОВ И.П.</w:t>
      </w:r>
    </w:p>
    <w:p w14:paraId="3A15C4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Профиль конструктор. бюро - артиллерийское вооружение и неподвижные установки.</w:t>
      </w:r>
    </w:p>
    <w:p w14:paraId="70245B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Конструкторское бюро № 3 - главный конструктор тов. МОЖАРОВСКИЙ Г.М.</w:t>
      </w:r>
    </w:p>
    <w:p w14:paraId="3DD64A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Профиль конструктор.бюро '- стрелковые подвижные установки.</w:t>
      </w:r>
    </w:p>
    <w:p w14:paraId="60E5F8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4</w:t>
      </w:r>
    </w:p>
    <w:p w14:paraId="717B28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Конструкторское бюро тов. ТОРОПОВА влить в полном составе и с работами утвержденными по плану 1940. года в конструкторское бюро № 2 (гл. конструктор тов. ШИБАНОВ)</w:t>
      </w:r>
    </w:p>
    <w:p w14:paraId="1CD38C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5</w:t>
      </w:r>
    </w:p>
    <w:p w14:paraId="7AD216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Заместителем директора по опытным работам наз</w:t>
      </w:r>
      <w:r w:rsidRPr="00DB5D0D">
        <w:rPr>
          <w:rFonts w:ascii="Times New Roman" w:hAnsi="Times New Roman"/>
          <w:color w:val="000000" w:themeColor="text1"/>
          <w:sz w:val="16"/>
          <w:szCs w:val="16"/>
        </w:rPr>
        <w:softHyphen/>
        <w:t>начить тов. ТОРОПОВА И.И.</w:t>
      </w:r>
    </w:p>
    <w:p w14:paraId="68A77B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6</w:t>
      </w:r>
    </w:p>
    <w:p w14:paraId="7C4082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2-го Главного Управления проработать систему оплаты в опытном отделе на заводе и представить мне на утверждение в месячный срок.</w:t>
      </w:r>
    </w:p>
    <w:p w14:paraId="51DE1C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7</w:t>
      </w:r>
    </w:p>
    <w:p w14:paraId="50F309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Освободить тов.ТЕРЕХОВА И.Г. от занимаемой долж</w:t>
      </w:r>
      <w:r w:rsidRPr="00DB5D0D">
        <w:rPr>
          <w:rFonts w:ascii="Times New Roman" w:hAnsi="Times New Roman"/>
          <w:color w:val="000000" w:themeColor="text1"/>
          <w:sz w:val="16"/>
          <w:szCs w:val="16"/>
        </w:rPr>
        <w:softHyphen/>
        <w:t>ности пом.директора по опытным работам (как не обеспечившего нормальную работу опытного отдела - вычеркнуто)</w:t>
      </w:r>
    </w:p>
    <w:p w14:paraId="16BCAA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8</w:t>
      </w:r>
    </w:p>
    <w:p w14:paraId="5EEBBA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Моему заместителю тов. ХРУНИЧЕВУ выделить в распоряжение опытного отдела завода № 32 в третьем квартале отдну машину Пикап - выеркнуто (400,31)</w:t>
      </w:r>
    </w:p>
    <w:p w14:paraId="1463BD4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604F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 Приказом НКАП № 219с в составе ОКО завода № 32 закреплены три КБ (кроме КБ И.П. Шебанова, переведенного на завод № 487 НКАП). По приказу 7ГУ НКАП № 11/13 от 13.03.1941 г. ОКО был реорганизован, и три КБ под руководством тех же гл. конструкторов выделились в самостоятельные организации. Начальник ОКО (-03.1941 г.)- Б.К. Соколов (11982).</w:t>
      </w:r>
    </w:p>
    <w:p w14:paraId="76DFD96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4A52D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вышло Постановление № 658/71с Суженного заседания Президиума ВСЕКОПРОМСОВЕТА.</w:t>
      </w:r>
    </w:p>
    <w:p w14:paraId="4FD507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изменение постановлений Президиума Всекопромсовета за № 84с от 23/11-39 г. и № 155/38сс от 14 февраля 1940 Президиум Всекопромсовета ПОСТАНОВЛЯЕТ:</w:t>
      </w:r>
    </w:p>
    <w:p w14:paraId="3A8618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Освободять Леноблпромсовет от поставка бензобаков по гг. Ленинграду и Пскову.</w:t>
      </w:r>
    </w:p>
    <w:p w14:paraId="45688B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Предложить Президиуму Мосгорпромсовета (тов. РУБИНЧИК) прекратить изготовление штампованных бензобаков и переключить производство артели "Модуль" на выпуск бензобаков клееных из бумаги в количестве по 500 шт. как во П квартале, так и во 2-м полугодии в сроки по согласовании с НКО.</w:t>
      </w:r>
    </w:p>
    <w:p w14:paraId="56B103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Белкопромсовет т. Марголина, Укрпромсовет тов. ФИЛИППОВА, Крымпромсовет т. СВЕТЛАНОВА, Ростовский Промсовет т. АГАПИТОВА, Азербайджанский промоозет т. КАСУМОВА, освоить производство клеевых из бумаги бензобаков в районах Витебска, Гомеля, Киева, Одессы, Симферополя, Ростова н/Дону и Баку с выпуском единовременно по 500 шт. в каждой точке во 2-м квартале, во 2-м полугодии 1940 сроки согласовать с НКО.</w:t>
      </w:r>
    </w:p>
    <w:p w14:paraId="5FD7E6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оставшееся время по выполнении задания по бензобакам П кзартала и 2-го полугодия перевести производство артелей на выполнение гражданской продукции с сохранением оборудования, кадров для немэдленного максимального развертывания производства бензобаков в условиях военного вре мени.</w:t>
      </w:r>
    </w:p>
    <w:p w14:paraId="78B68F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председателей президиумов промсоветов, привлекаемых к организации производства бензобаков в порядке проверки мобилизационной готовности ежегодно производить выпуск бензобаков 2 раза в год по 500 шт. в каждой точке, в сроки, согласованные с НКО.</w:t>
      </w:r>
    </w:p>
    <w:p w14:paraId="0E9A5E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Обязать Всвкопромметаллсоюз тов. Непомнящего освоить в 1 кв. производство подвесных хомутов и опорных плоскостей бензобаков (по ранее спущенным чертежам) с выпуском во 2 кв. 1940 г. 10.000 тыс. комплектов и во П полугодия 5000 тыс. комплектов для следующих наркоматов и промсоветов: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7D5DF8" w:rsidRPr="00DB5D0D" w14:paraId="7EC7A53E" w14:textId="77777777" w:rsidTr="009223E5">
        <w:tc>
          <w:tcPr>
            <w:tcW w:w="3757" w:type="dxa"/>
            <w:tcBorders>
              <w:top w:val="single" w:sz="12" w:space="0" w:color="auto"/>
            </w:tcBorders>
          </w:tcPr>
          <w:p w14:paraId="532670A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57" w:type="dxa"/>
            <w:tcBorders>
              <w:top w:val="single" w:sz="12" w:space="0" w:color="auto"/>
            </w:tcBorders>
          </w:tcPr>
          <w:p w14:paraId="04BD12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кварт.</w:t>
            </w:r>
          </w:p>
        </w:tc>
        <w:tc>
          <w:tcPr>
            <w:tcW w:w="3757" w:type="dxa"/>
            <w:tcBorders>
              <w:top w:val="single" w:sz="12" w:space="0" w:color="auto"/>
            </w:tcBorders>
          </w:tcPr>
          <w:p w14:paraId="647BDC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полугодие.</w:t>
            </w:r>
          </w:p>
        </w:tc>
      </w:tr>
      <w:tr w:rsidR="007D5DF8" w:rsidRPr="00DB5D0D" w14:paraId="1B197AD1" w14:textId="77777777" w:rsidTr="009223E5">
        <w:tc>
          <w:tcPr>
            <w:tcW w:w="3757" w:type="dxa"/>
          </w:tcPr>
          <w:p w14:paraId="4C1B2D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Наркомлес - Ленинград</w:t>
            </w:r>
          </w:p>
        </w:tc>
        <w:tc>
          <w:tcPr>
            <w:tcW w:w="3757" w:type="dxa"/>
          </w:tcPr>
          <w:p w14:paraId="49BE38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3757" w:type="dxa"/>
          </w:tcPr>
          <w:p w14:paraId="217B87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2E6AEFF8" w14:textId="77777777" w:rsidTr="009223E5">
        <w:tc>
          <w:tcPr>
            <w:tcW w:w="3757" w:type="dxa"/>
          </w:tcPr>
          <w:p w14:paraId="3B896B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Наркомлес - ДВК</w:t>
            </w:r>
          </w:p>
        </w:tc>
        <w:tc>
          <w:tcPr>
            <w:tcW w:w="3757" w:type="dxa"/>
          </w:tcPr>
          <w:p w14:paraId="21FB98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3757" w:type="dxa"/>
          </w:tcPr>
          <w:p w14:paraId="4C2123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5C6489DC" w14:textId="77777777" w:rsidTr="009223E5">
        <w:tc>
          <w:tcPr>
            <w:tcW w:w="3757" w:type="dxa"/>
          </w:tcPr>
          <w:p w14:paraId="5784C6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Наркомпищепром - Ленинград</w:t>
            </w:r>
          </w:p>
        </w:tc>
        <w:tc>
          <w:tcPr>
            <w:tcW w:w="3757" w:type="dxa"/>
          </w:tcPr>
          <w:p w14:paraId="1BC0DC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3757" w:type="dxa"/>
          </w:tcPr>
          <w:p w14:paraId="50E42B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0E40A1DB" w14:textId="77777777" w:rsidTr="009223E5">
        <w:tc>
          <w:tcPr>
            <w:tcW w:w="3757" w:type="dxa"/>
          </w:tcPr>
          <w:p w14:paraId="1809B3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Наркомпищепром - Москва</w:t>
            </w:r>
          </w:p>
        </w:tc>
        <w:tc>
          <w:tcPr>
            <w:tcW w:w="3757" w:type="dxa"/>
          </w:tcPr>
          <w:p w14:paraId="472537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3757" w:type="dxa"/>
          </w:tcPr>
          <w:p w14:paraId="79D8D3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7221B09D" w14:textId="77777777" w:rsidTr="009223E5">
        <w:tc>
          <w:tcPr>
            <w:tcW w:w="3757" w:type="dxa"/>
          </w:tcPr>
          <w:p w14:paraId="608E03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Мосгорпромсовет</w:t>
            </w:r>
          </w:p>
        </w:tc>
        <w:tc>
          <w:tcPr>
            <w:tcW w:w="3757" w:type="dxa"/>
          </w:tcPr>
          <w:p w14:paraId="431923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3757" w:type="dxa"/>
          </w:tcPr>
          <w:p w14:paraId="366595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16D8FDF6" w14:textId="77777777" w:rsidTr="009223E5">
        <w:tc>
          <w:tcPr>
            <w:tcW w:w="3757" w:type="dxa"/>
          </w:tcPr>
          <w:p w14:paraId="11815E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Белкопромсовет</w:t>
            </w:r>
          </w:p>
        </w:tc>
        <w:tc>
          <w:tcPr>
            <w:tcW w:w="3757" w:type="dxa"/>
          </w:tcPr>
          <w:p w14:paraId="2B081C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3757" w:type="dxa"/>
          </w:tcPr>
          <w:p w14:paraId="712AED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30C83C74" w14:textId="77777777" w:rsidTr="009223E5">
        <w:tc>
          <w:tcPr>
            <w:tcW w:w="3757" w:type="dxa"/>
          </w:tcPr>
          <w:p w14:paraId="1D9385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Укопромсовет</w:t>
            </w:r>
          </w:p>
        </w:tc>
        <w:tc>
          <w:tcPr>
            <w:tcW w:w="3757" w:type="dxa"/>
          </w:tcPr>
          <w:p w14:paraId="3F7690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3757" w:type="dxa"/>
          </w:tcPr>
          <w:p w14:paraId="42A436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0B303422" w14:textId="77777777" w:rsidTr="009223E5">
        <w:tc>
          <w:tcPr>
            <w:tcW w:w="3757" w:type="dxa"/>
          </w:tcPr>
          <w:p w14:paraId="0CC3ED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Ростовский промсовет</w:t>
            </w:r>
          </w:p>
        </w:tc>
        <w:tc>
          <w:tcPr>
            <w:tcW w:w="3757" w:type="dxa"/>
          </w:tcPr>
          <w:p w14:paraId="537F27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3757" w:type="dxa"/>
          </w:tcPr>
          <w:p w14:paraId="501686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5F6D8510" w14:textId="77777777" w:rsidTr="009223E5">
        <w:tc>
          <w:tcPr>
            <w:tcW w:w="3757" w:type="dxa"/>
          </w:tcPr>
          <w:p w14:paraId="534CAD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Азпромсовет</w:t>
            </w:r>
          </w:p>
        </w:tc>
        <w:tc>
          <w:tcPr>
            <w:tcW w:w="3757" w:type="dxa"/>
          </w:tcPr>
          <w:p w14:paraId="3FB1AD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3757" w:type="dxa"/>
          </w:tcPr>
          <w:p w14:paraId="1E5289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01C61BF4" w14:textId="77777777" w:rsidTr="009223E5">
        <w:tc>
          <w:tcPr>
            <w:tcW w:w="3757" w:type="dxa"/>
            <w:tcBorders>
              <w:bottom w:val="single" w:sz="12" w:space="0" w:color="auto"/>
            </w:tcBorders>
          </w:tcPr>
          <w:p w14:paraId="079698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Крымпромсовет</w:t>
            </w:r>
          </w:p>
        </w:tc>
        <w:tc>
          <w:tcPr>
            <w:tcW w:w="3757" w:type="dxa"/>
            <w:tcBorders>
              <w:bottom w:val="single" w:sz="12" w:space="0" w:color="auto"/>
            </w:tcBorders>
          </w:tcPr>
          <w:p w14:paraId="37631A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3757" w:type="dxa"/>
            <w:tcBorders>
              <w:bottom w:val="single" w:sz="12" w:space="0" w:color="auto"/>
            </w:tcBorders>
          </w:tcPr>
          <w:p w14:paraId="700B6F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bl>
    <w:p w14:paraId="282B16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....(10106,32).</w:t>
      </w:r>
    </w:p>
    <w:p w14:paraId="1807B1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A3FFF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 Приказом НКАП № 219с в составе ОКО завода № 32 закреплены три КБ (кроме КБ И.П. Шебанова, переведенного на завод № 487 НКАП). По приказу 7ГУ НКАП № 11/13 от 13.03.1941 г. ОКО был реорганизован, и три КБ под руководством тех же гл. конструкторов выделились в самостоятельные организации.</w:t>
      </w:r>
    </w:p>
    <w:p w14:paraId="043E4C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ОКО (03.1941 г.)- Б.К. Соколов.</w:t>
      </w:r>
    </w:p>
    <w:p w14:paraId="6505FC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КБ-1 завода № 32 НКАП (ОКБ-1-32) гл. конструктора А.И. Шульгина </w:t>
      </w:r>
    </w:p>
    <w:p w14:paraId="31C53D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1936 г. бригада № 13 КОСОС ЦАГИ под руководством А.И. Шульгина переведена на завод № 32 как бригада, затем КБ-1 по вооружению в составе ОКО. По приказу 7ГУ НКАП № 11/13 от 13.03.1941 г. преобразовано в самостоятельное КБ-1 при заводе № 32 НКАП.</w:t>
      </w:r>
    </w:p>
    <w:p w14:paraId="76DFFD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 над установками РС-82 и РС-132, разработка замков Дер-19п, Дер-20п, Дер-21п, кассет для зажигательных бомб.</w:t>
      </w:r>
    </w:p>
    <w:p w14:paraId="09FF45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7ГУ НКАП № 32/35 от 13.10.41 г. КБ-1 эвакуировано вместе с заводом в Киров. Шульгин стал гл. конструктором ОКБ-32, действовавшим до 08.1944 г. По приказу № 146с от 21.02.1942 г. часть ОКБ-1 (33 чел.) была переведена в Москву в состав ОКБ завода № 43 НКАП.</w:t>
      </w:r>
    </w:p>
    <w:p w14:paraId="212BE0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(1938-41 г.-)- А.И. Шульгин.</w:t>
      </w:r>
    </w:p>
    <w:p w14:paraId="2B4441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конструктора (03.1941 г.)- Б.К. Соколов.</w:t>
      </w:r>
    </w:p>
    <w:p w14:paraId="74933C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КБ-2 завода № 32 НКАП, КБ-2 (ОКБ-2-32) при заводе № 32 НКАП Г.М. Можаровского и И.В. Веневидова </w:t>
      </w:r>
    </w:p>
    <w:p w14:paraId="4F84CD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Конструкторский коллектив по разработке унифицированных пулеметных установок и пушечных батарей переведен в 1936 г. из ВВА им. Н.Е. Жуковского на завод № 32. До 03.1941 г. – это КБ-4 в составе ОКО. По приказу 7ГУ НКАП № 11/13 от 13.03.1941 г. преобразовано в самостоятельное КБ-2 при заводе № 32 НКАП.</w:t>
      </w:r>
    </w:p>
    <w:p w14:paraId="34CD4B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Работы по подвижным стрелковым установкам: МВ-3 и МВ-5 под 12,7-мм пулемёт для Су-2; под Б-12,7 для ТБ-7; турели ТАТ-УБ для Ер-2; турели под ШКАС для Пе-2. </w:t>
      </w:r>
    </w:p>
    <w:p w14:paraId="42C4DC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1940 г. Можаровским и Веневидовым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НКАП № 309с от 10.04.1941 г. было организовано отдельное КБ завода № 32.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153DD6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электрифицированию установок вооружения. Объединенное ОКБ вскоре перевели с завода № 266 в отдельное помещение в Кирове. </w:t>
      </w:r>
    </w:p>
    <w:p w14:paraId="00681C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ОКБ-266 в соответствии с приказом НКАП № 272с от 6.05.1943 г. переведено из Кирова в Москву на территорию вновь образованного завода № 140 НКАП (ранее филиал завода № 266 НКАП) и где на базе ОКБ-266 и КБ-2 завода № 32 образовано единое ОКБ-140 по электроавтоматике управления самолетом, моторами и вооружением. </w:t>
      </w:r>
    </w:p>
    <w:p w14:paraId="350CA5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Оставшаяся часть оборудования и личного состава опытного цеха передана КБ-3 гл. конструктора И.И. Торопова (г. Киров) и ОКБ завода № 43 (г. Москва).</w:t>
      </w:r>
    </w:p>
    <w:p w14:paraId="412526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(1938-43 г.)- Г.М. Можаровский.</w:t>
      </w:r>
    </w:p>
    <w:p w14:paraId="494A07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(1938-43 г.)- И.В. Веневидов.</w:t>
      </w:r>
    </w:p>
    <w:p w14:paraId="381EEE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КБ-3 завода № 32 НКАП гл. конструктора И.П. Шебанова </w:t>
      </w:r>
    </w:p>
    <w:p w14:paraId="15B866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1936 г. бригада № 12 КОСОС ЦАГИ по артиллерийско-стрелковым установкам И.П. Шебанова переведена на завод № 32.</w:t>
      </w:r>
    </w:p>
    <w:p w14:paraId="5E507A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Работы по артиллерийскому вооружению и неподвижным стрелковым установкам. </w:t>
      </w:r>
    </w:p>
    <w:p w14:paraId="508767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280сс от 10.06.1940 г. на заводе им. КПГ, переведенном из НКОМ в НКАП (далее это- завод № 487 НКАП им. КПГ), был образован Опытный отдел по проектированию и изготовлению опытных образцов установок стрелкового вооружения. В этот отдел в полном составе переведено КБ-3 И.П. Шебанова, а также некоторое количество личного состава и оборудования завода № 32. Далее это ОКБ действовало при заводе № 487.</w:t>
      </w:r>
    </w:p>
    <w:p w14:paraId="75A9D2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(1938-40 г.)- И.П. Шебанова.</w:t>
      </w:r>
    </w:p>
    <w:p w14:paraId="0EEBFA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КБ-4 завода № 32 НКАП, КБ-3, ОКБ-3-32 при заводе № 32, ОКБ-32 НКАП гл. конструктора И.И. Торопова</w:t>
      </w:r>
    </w:p>
    <w:p w14:paraId="0E0893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Москва; г. Киров</w:t>
      </w:r>
    </w:p>
    <w:p w14:paraId="7A153C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Небольшое КБ по прицелам для стрелковых установок начало работу на заводе раньше других, в середине 1930-х г. По приказу № 219с от 17.05.1940 г. КБ-4 И.И. Торопова планировалось влить в состав КБ-3 И.П. Шебанова, но последнее вскоре было переведено на завод № 487. </w:t>
      </w:r>
    </w:p>
    <w:p w14:paraId="1BAD4B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03.1941 г. КБ-4 находилось в составе ОКО завода № 32. По приказу 7ГУ НКАП № 11/13 от 13.03.1941 г. преобразовано в самостоятельное КБ-3 при заводе № 32 НКАП.</w:t>
      </w:r>
    </w:p>
    <w:p w14:paraId="623D62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Разрабатывались прицелы, турели под 12,7-мм пулеметы БТ для Пе-2 и «103».</w:t>
      </w:r>
    </w:p>
    <w:p w14:paraId="680221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878сс от 20.08.1941 г. КБ-3 со всем личным составом, документацией и материалами эвакуировано на завод № 481 в Сызрань.</w:t>
      </w:r>
    </w:p>
    <w:p w14:paraId="34DEB0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Далее (на 10.1942 г. и 03.1943 г.) И.И. Торопов- гл. конструктор ОКБ-3 завода № 32 (возможно, КБ сразу эвакуировалось на завод № 32).</w:t>
      </w:r>
    </w:p>
    <w:p w14:paraId="5E1CF3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272с от 6.05.1943 г. часть оборудования и личного состава опытного цеха ОКБ-2 Можаровского и Веневидова передана в ОКБ-3. Далее ОКБ-3 существовало просто как заводское ОКБ-32 НКАП.</w:t>
      </w:r>
    </w:p>
    <w:p w14:paraId="17C4A3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484с от 3.08.1944 г.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6DC812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(1938-44 г.)- И.И. Торопов.</w:t>
      </w:r>
    </w:p>
    <w:p w14:paraId="2F83D6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ОКБ гл. конструктора А.А. Архангельского на заводе № 32 НКАП </w:t>
      </w:r>
    </w:p>
    <w:p w14:paraId="6FBFE7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Личный состав КБ (89 чел.) переведены с завода № 22 на завод № 32, а все материалы и имущество КБ оставлены на заводе № 22.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301D98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823с от 9.08.1941 г. основная часть коллектива ОКБ А.А. Архангельского со всем имуществом и тех. документацией переведена на завод № 156 НКАП (10776).</w:t>
      </w:r>
    </w:p>
    <w:p w14:paraId="7A7F0C1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70091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17 по 22 мая 1940 года на НИП АВ ВВС проходили заводские испытания выливного авиационного прибора (ВАП-6м) модернизированного заводом "ВУЛКАН"</w:t>
      </w:r>
    </w:p>
    <w:p w14:paraId="6BDE65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ст. инженер 4 отделения Оптыного отдела НИП АВ ГУАС в/инженер 2 ранга Рублев</w:t>
      </w:r>
    </w:p>
    <w:p w14:paraId="4DDABF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5BEC2F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прочность паука (задняя подвесная точка) и безотказность действия запорного механизма.</w:t>
      </w:r>
    </w:p>
    <w:p w14:paraId="0EF742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EAFE9B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заводом "ВУЛКАН" модернизированный серийный ВАП-6м заводские испытания выдержал (7614).</w:t>
      </w:r>
    </w:p>
    <w:p w14:paraId="7DA4E3A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39BE21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Фирсаев писал А.И.Ш. докладную справку № 2280 о стр-ве з-да № 129 в Улан-Уде (1165, 226).</w:t>
      </w:r>
    </w:p>
    <w:p w14:paraId="4E1A451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D94A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пом. нач. секретариата наркома Фирсанов писал А.И.Ш. докладную справку N 2280 о строительстве в Улан-Уде завода 129 (1165).</w:t>
      </w:r>
    </w:p>
    <w:p w14:paraId="0B0D590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1DA45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E371B1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31707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17 мая 1940 была начата линейная эксплуатация 130 местного глиссера Экспресс В.А.Гартвига по маршруту Сочи-Сухуми-Сочи, который проходил 135 км. за 1:55 - 38 узлов. За навигацию прошел 22000 км и перевез 18.5 тыс. пассажиров (1216,24).</w:t>
      </w:r>
    </w:p>
    <w:p w14:paraId="458CE0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 обшит гетинаксом. В.А.Г. хорошо знал Щербакова</w:t>
      </w:r>
    </w:p>
    <w:p w14:paraId="48969B6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4D4E26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05FFAD9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CB452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 Предложения подкомисии по военно-техническому оснащению железнодорожных войск</w:t>
      </w:r>
    </w:p>
    <w:p w14:paraId="6CCBED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Акт работы подкомиссии по военно-техническому оснащению железнодорожных войск комиссии Главного военного совета при Народном комиссаре обороны Союза ССР</w:t>
      </w:r>
    </w:p>
    <w:p w14:paraId="666809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Подкомиссия под председательством Начальника пехоты Красной Армии — комкора т. Антонюка М. А., в составе членов: командарма 2-го ранга т. Городовикова А. И.*, комкора т. Трубецкого Н. И., комкора т. Козлова, дивинженера т. Лебедева И. А., комдива т. Гусева, комбрига т. Петрова, корпусного комиссара т. Хрулева А. В. комбрига т. Хренова, полкового комиссара т. Михальчука и комбрига т. Иванова провела работу по пересмотру средств оснащения железнодорожным имуществом железнодорожных войск Красной Армии и свои выводы и предложения изложила в проекте постановления Главного военного совета при Народном комиссаре обороны, при сем прилагаемом на «9» листах и представляемым на утверждение.</w:t>
      </w:r>
    </w:p>
    <w:tbl>
      <w:tblPr>
        <w:tblW w:w="0" w:type="auto"/>
        <w:tblInd w:w="40" w:type="dxa"/>
        <w:tblLayout w:type="fixed"/>
        <w:tblCellMar>
          <w:left w:w="40" w:type="dxa"/>
          <w:right w:w="40" w:type="dxa"/>
        </w:tblCellMar>
        <w:tblLook w:val="0000" w:firstRow="0" w:lastRow="0" w:firstColumn="0" w:lastColumn="0" w:noHBand="0" w:noVBand="0"/>
      </w:tblPr>
      <w:tblGrid>
        <w:gridCol w:w="2342"/>
        <w:gridCol w:w="1402"/>
      </w:tblGrid>
      <w:tr w:rsidR="007D5DF8" w:rsidRPr="00DB5D0D" w14:paraId="52422C95" w14:textId="77777777" w:rsidTr="009223E5">
        <w:trPr>
          <w:cantSplit/>
          <w:trHeight w:val="235"/>
        </w:trPr>
        <w:tc>
          <w:tcPr>
            <w:tcW w:w="2342" w:type="dxa"/>
            <w:tcBorders>
              <w:top w:val="nil"/>
              <w:left w:val="nil"/>
              <w:bottom w:val="nil"/>
              <w:right w:val="nil"/>
            </w:tcBorders>
            <w:shd w:val="clear" w:color="auto" w:fill="FFFFFF"/>
          </w:tcPr>
          <w:p w14:paraId="40501F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комиссии</w:t>
            </w:r>
          </w:p>
        </w:tc>
        <w:tc>
          <w:tcPr>
            <w:tcW w:w="1402" w:type="dxa"/>
            <w:tcBorders>
              <w:top w:val="nil"/>
              <w:left w:val="nil"/>
              <w:bottom w:val="nil"/>
              <w:right w:val="nil"/>
            </w:tcBorders>
            <w:shd w:val="clear" w:color="auto" w:fill="FFFFFF"/>
          </w:tcPr>
          <w:p w14:paraId="5CD77F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A84DAE4" w14:textId="77777777" w:rsidTr="009223E5">
        <w:trPr>
          <w:cantSplit/>
          <w:trHeight w:val="221"/>
        </w:trPr>
        <w:tc>
          <w:tcPr>
            <w:tcW w:w="2342" w:type="dxa"/>
            <w:tcBorders>
              <w:top w:val="nil"/>
              <w:left w:val="nil"/>
              <w:bottom w:val="nil"/>
              <w:right w:val="nil"/>
            </w:tcBorders>
            <w:shd w:val="clear" w:color="auto" w:fill="FFFFFF"/>
          </w:tcPr>
          <w:p w14:paraId="4FB531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комкор</w:t>
            </w:r>
          </w:p>
        </w:tc>
        <w:tc>
          <w:tcPr>
            <w:tcW w:w="1402" w:type="dxa"/>
            <w:tcBorders>
              <w:top w:val="nil"/>
              <w:left w:val="nil"/>
              <w:bottom w:val="nil"/>
              <w:right w:val="nil"/>
            </w:tcBorders>
            <w:shd w:val="clear" w:color="auto" w:fill="FFFFFF"/>
          </w:tcPr>
          <w:p w14:paraId="754B72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Антонюк</w:t>
            </w:r>
          </w:p>
        </w:tc>
      </w:tr>
      <w:tr w:rsidR="007D5DF8" w:rsidRPr="00DB5D0D" w14:paraId="7433E696" w14:textId="77777777" w:rsidTr="009223E5">
        <w:trPr>
          <w:cantSplit/>
          <w:trHeight w:val="230"/>
        </w:trPr>
        <w:tc>
          <w:tcPr>
            <w:tcW w:w="2342" w:type="dxa"/>
            <w:tcBorders>
              <w:top w:val="nil"/>
              <w:left w:val="nil"/>
              <w:bottom w:val="nil"/>
              <w:right w:val="nil"/>
            </w:tcBorders>
            <w:shd w:val="clear" w:color="auto" w:fill="FFFFFF"/>
          </w:tcPr>
          <w:p w14:paraId="05CE53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w:t>
            </w:r>
          </w:p>
        </w:tc>
        <w:tc>
          <w:tcPr>
            <w:tcW w:w="1402" w:type="dxa"/>
            <w:tcBorders>
              <w:top w:val="nil"/>
              <w:left w:val="nil"/>
              <w:bottom w:val="nil"/>
              <w:right w:val="nil"/>
            </w:tcBorders>
            <w:shd w:val="clear" w:color="auto" w:fill="FFFFFF"/>
          </w:tcPr>
          <w:p w14:paraId="57585E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86F75C3" w14:textId="77777777" w:rsidTr="009223E5">
        <w:trPr>
          <w:cantSplit/>
          <w:trHeight w:val="235"/>
        </w:trPr>
        <w:tc>
          <w:tcPr>
            <w:tcW w:w="2342" w:type="dxa"/>
            <w:tcBorders>
              <w:top w:val="nil"/>
              <w:left w:val="nil"/>
              <w:bottom w:val="nil"/>
              <w:right w:val="nil"/>
            </w:tcBorders>
            <w:shd w:val="clear" w:color="auto" w:fill="FFFFFF"/>
          </w:tcPr>
          <w:p w14:paraId="0621F1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командарм 2-го ранга</w:t>
            </w:r>
          </w:p>
        </w:tc>
        <w:tc>
          <w:tcPr>
            <w:tcW w:w="1402" w:type="dxa"/>
            <w:tcBorders>
              <w:top w:val="nil"/>
              <w:left w:val="nil"/>
              <w:bottom w:val="nil"/>
              <w:right w:val="nil"/>
            </w:tcBorders>
            <w:shd w:val="clear" w:color="auto" w:fill="FFFFFF"/>
          </w:tcPr>
          <w:p w14:paraId="5F4D6D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Городовиков</w:t>
            </w:r>
          </w:p>
        </w:tc>
      </w:tr>
      <w:tr w:rsidR="007D5DF8" w:rsidRPr="00DB5D0D" w14:paraId="73338924" w14:textId="77777777" w:rsidTr="009223E5">
        <w:trPr>
          <w:cantSplit/>
          <w:trHeight w:val="216"/>
        </w:trPr>
        <w:tc>
          <w:tcPr>
            <w:tcW w:w="2342" w:type="dxa"/>
            <w:tcBorders>
              <w:top w:val="nil"/>
              <w:left w:val="nil"/>
              <w:bottom w:val="nil"/>
              <w:right w:val="nil"/>
            </w:tcBorders>
            <w:shd w:val="clear" w:color="auto" w:fill="FFFFFF"/>
          </w:tcPr>
          <w:p w14:paraId="270589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комкор</w:t>
            </w:r>
          </w:p>
        </w:tc>
        <w:tc>
          <w:tcPr>
            <w:tcW w:w="1402" w:type="dxa"/>
            <w:tcBorders>
              <w:top w:val="nil"/>
              <w:left w:val="nil"/>
              <w:bottom w:val="nil"/>
              <w:right w:val="nil"/>
            </w:tcBorders>
            <w:shd w:val="clear" w:color="auto" w:fill="FFFFFF"/>
          </w:tcPr>
          <w:p w14:paraId="1A7E1D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Трубецкой</w:t>
            </w:r>
          </w:p>
        </w:tc>
      </w:tr>
      <w:tr w:rsidR="007D5DF8" w:rsidRPr="00DB5D0D" w14:paraId="3EBC2F5F" w14:textId="77777777" w:rsidTr="009223E5">
        <w:trPr>
          <w:cantSplit/>
          <w:trHeight w:val="226"/>
        </w:trPr>
        <w:tc>
          <w:tcPr>
            <w:tcW w:w="2342" w:type="dxa"/>
            <w:tcBorders>
              <w:top w:val="nil"/>
              <w:left w:val="nil"/>
              <w:bottom w:val="nil"/>
              <w:right w:val="nil"/>
            </w:tcBorders>
            <w:shd w:val="clear" w:color="auto" w:fill="FFFFFF"/>
          </w:tcPr>
          <w:p w14:paraId="1B2112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комкор</w:t>
            </w:r>
          </w:p>
        </w:tc>
        <w:tc>
          <w:tcPr>
            <w:tcW w:w="1402" w:type="dxa"/>
            <w:tcBorders>
              <w:top w:val="nil"/>
              <w:left w:val="nil"/>
              <w:bottom w:val="nil"/>
              <w:right w:val="nil"/>
            </w:tcBorders>
            <w:shd w:val="clear" w:color="auto" w:fill="FFFFFF"/>
          </w:tcPr>
          <w:p w14:paraId="5EDC26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Козлов"</w:t>
            </w:r>
          </w:p>
        </w:tc>
      </w:tr>
      <w:tr w:rsidR="007D5DF8" w:rsidRPr="00DB5D0D" w14:paraId="6346DAAE" w14:textId="77777777" w:rsidTr="009223E5">
        <w:trPr>
          <w:cantSplit/>
          <w:trHeight w:val="226"/>
        </w:trPr>
        <w:tc>
          <w:tcPr>
            <w:tcW w:w="2342" w:type="dxa"/>
            <w:tcBorders>
              <w:top w:val="nil"/>
              <w:left w:val="nil"/>
              <w:bottom w:val="nil"/>
              <w:right w:val="nil"/>
            </w:tcBorders>
            <w:shd w:val="clear" w:color="auto" w:fill="FFFFFF"/>
          </w:tcPr>
          <w:p w14:paraId="547213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дивинженер</w:t>
            </w:r>
          </w:p>
        </w:tc>
        <w:tc>
          <w:tcPr>
            <w:tcW w:w="1402" w:type="dxa"/>
            <w:tcBorders>
              <w:top w:val="nil"/>
              <w:left w:val="nil"/>
              <w:bottom w:val="nil"/>
              <w:right w:val="nil"/>
            </w:tcBorders>
            <w:shd w:val="clear" w:color="auto" w:fill="FFFFFF"/>
          </w:tcPr>
          <w:p w14:paraId="375C19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Лебедев'"</w:t>
            </w:r>
          </w:p>
        </w:tc>
      </w:tr>
      <w:tr w:rsidR="007D5DF8" w:rsidRPr="00DB5D0D" w14:paraId="31257ED5" w14:textId="77777777" w:rsidTr="009223E5">
        <w:trPr>
          <w:cantSplit/>
          <w:trHeight w:val="221"/>
        </w:trPr>
        <w:tc>
          <w:tcPr>
            <w:tcW w:w="2342" w:type="dxa"/>
            <w:tcBorders>
              <w:top w:val="nil"/>
              <w:left w:val="nil"/>
              <w:bottom w:val="nil"/>
              <w:right w:val="nil"/>
            </w:tcBorders>
            <w:shd w:val="clear" w:color="auto" w:fill="FFFFFF"/>
          </w:tcPr>
          <w:p w14:paraId="30403E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комдив</w:t>
            </w:r>
          </w:p>
        </w:tc>
        <w:tc>
          <w:tcPr>
            <w:tcW w:w="1402" w:type="dxa"/>
            <w:tcBorders>
              <w:top w:val="nil"/>
              <w:left w:val="nil"/>
              <w:bottom w:val="nil"/>
              <w:right w:val="nil"/>
            </w:tcBorders>
            <w:shd w:val="clear" w:color="auto" w:fill="FFFFFF"/>
          </w:tcPr>
          <w:p w14:paraId="2BB3F0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Гусев"</w:t>
            </w:r>
          </w:p>
        </w:tc>
      </w:tr>
      <w:tr w:rsidR="007D5DF8" w:rsidRPr="00DB5D0D" w14:paraId="2854CD77" w14:textId="77777777" w:rsidTr="009223E5">
        <w:trPr>
          <w:cantSplit/>
          <w:trHeight w:val="240"/>
        </w:trPr>
        <w:tc>
          <w:tcPr>
            <w:tcW w:w="2342" w:type="dxa"/>
            <w:tcBorders>
              <w:top w:val="nil"/>
              <w:left w:val="nil"/>
              <w:bottom w:val="nil"/>
              <w:right w:val="nil"/>
            </w:tcBorders>
            <w:shd w:val="clear" w:color="auto" w:fill="FFFFFF"/>
          </w:tcPr>
          <w:p w14:paraId="067F84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комбриг</w:t>
            </w:r>
          </w:p>
        </w:tc>
        <w:tc>
          <w:tcPr>
            <w:tcW w:w="1402" w:type="dxa"/>
            <w:tcBorders>
              <w:top w:val="nil"/>
              <w:left w:val="nil"/>
              <w:bottom w:val="nil"/>
              <w:right w:val="nil"/>
            </w:tcBorders>
            <w:shd w:val="clear" w:color="auto" w:fill="FFFFFF"/>
          </w:tcPr>
          <w:p w14:paraId="650FC0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Петров"</w:t>
            </w:r>
          </w:p>
        </w:tc>
      </w:tr>
      <w:tr w:rsidR="007D5DF8" w:rsidRPr="00DB5D0D" w14:paraId="0095F816" w14:textId="77777777" w:rsidTr="009223E5">
        <w:trPr>
          <w:cantSplit/>
          <w:trHeight w:val="211"/>
        </w:trPr>
        <w:tc>
          <w:tcPr>
            <w:tcW w:w="2342" w:type="dxa"/>
            <w:tcBorders>
              <w:top w:val="nil"/>
              <w:left w:val="nil"/>
              <w:bottom w:val="nil"/>
              <w:right w:val="nil"/>
            </w:tcBorders>
            <w:shd w:val="clear" w:color="auto" w:fill="FFFFFF"/>
          </w:tcPr>
          <w:p w14:paraId="585B21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корпусной комиссар</w:t>
            </w:r>
          </w:p>
        </w:tc>
        <w:tc>
          <w:tcPr>
            <w:tcW w:w="1402" w:type="dxa"/>
            <w:tcBorders>
              <w:top w:val="nil"/>
              <w:left w:val="nil"/>
              <w:bottom w:val="nil"/>
              <w:right w:val="nil"/>
            </w:tcBorders>
            <w:shd w:val="clear" w:color="auto" w:fill="FFFFFF"/>
          </w:tcPr>
          <w:p w14:paraId="3B2E76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Хрулев"</w:t>
            </w:r>
          </w:p>
        </w:tc>
      </w:tr>
      <w:tr w:rsidR="007D5DF8" w:rsidRPr="00DB5D0D" w14:paraId="70419FEF" w14:textId="77777777" w:rsidTr="009223E5">
        <w:trPr>
          <w:cantSplit/>
          <w:trHeight w:val="230"/>
        </w:trPr>
        <w:tc>
          <w:tcPr>
            <w:tcW w:w="2342" w:type="dxa"/>
            <w:tcBorders>
              <w:top w:val="nil"/>
              <w:left w:val="nil"/>
              <w:bottom w:val="nil"/>
              <w:right w:val="nil"/>
            </w:tcBorders>
            <w:shd w:val="clear" w:color="auto" w:fill="FFFFFF"/>
          </w:tcPr>
          <w:p w14:paraId="145B13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комбриг</w:t>
            </w:r>
          </w:p>
        </w:tc>
        <w:tc>
          <w:tcPr>
            <w:tcW w:w="1402" w:type="dxa"/>
            <w:tcBorders>
              <w:top w:val="nil"/>
              <w:left w:val="nil"/>
              <w:bottom w:val="nil"/>
              <w:right w:val="nil"/>
            </w:tcBorders>
            <w:shd w:val="clear" w:color="auto" w:fill="FFFFFF"/>
          </w:tcPr>
          <w:p w14:paraId="04F96F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Хренов"</w:t>
            </w:r>
          </w:p>
        </w:tc>
      </w:tr>
      <w:tr w:rsidR="007D5DF8" w:rsidRPr="00DB5D0D" w14:paraId="59952D95" w14:textId="77777777" w:rsidTr="009223E5">
        <w:trPr>
          <w:cantSplit/>
          <w:trHeight w:val="221"/>
        </w:trPr>
        <w:tc>
          <w:tcPr>
            <w:tcW w:w="2342" w:type="dxa"/>
            <w:tcBorders>
              <w:top w:val="nil"/>
              <w:left w:val="nil"/>
              <w:bottom w:val="nil"/>
              <w:right w:val="nil"/>
            </w:tcBorders>
            <w:shd w:val="clear" w:color="auto" w:fill="FFFFFF"/>
          </w:tcPr>
          <w:p w14:paraId="20A181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полковой комиссар</w:t>
            </w:r>
          </w:p>
        </w:tc>
        <w:tc>
          <w:tcPr>
            <w:tcW w:w="1402" w:type="dxa"/>
            <w:tcBorders>
              <w:top w:val="nil"/>
              <w:left w:val="nil"/>
              <w:bottom w:val="nil"/>
              <w:right w:val="nil"/>
            </w:tcBorders>
            <w:shd w:val="clear" w:color="auto" w:fill="FFFFFF"/>
          </w:tcPr>
          <w:p w14:paraId="6EEB72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И. Михальчук</w:t>
            </w:r>
          </w:p>
        </w:tc>
      </w:tr>
      <w:tr w:rsidR="007D5DF8" w:rsidRPr="00DB5D0D" w14:paraId="6F9C2DCB" w14:textId="77777777" w:rsidTr="009223E5">
        <w:trPr>
          <w:cantSplit/>
          <w:trHeight w:val="230"/>
        </w:trPr>
        <w:tc>
          <w:tcPr>
            <w:tcW w:w="2342" w:type="dxa"/>
            <w:tcBorders>
              <w:top w:val="nil"/>
              <w:left w:val="nil"/>
              <w:bottom w:val="nil"/>
              <w:right w:val="nil"/>
            </w:tcBorders>
            <w:shd w:val="clear" w:color="auto" w:fill="FFFFFF"/>
          </w:tcPr>
          <w:p w14:paraId="4B02A2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комбриг</w:t>
            </w:r>
          </w:p>
        </w:tc>
        <w:tc>
          <w:tcPr>
            <w:tcW w:w="1402" w:type="dxa"/>
            <w:tcBorders>
              <w:top w:val="nil"/>
              <w:left w:val="nil"/>
              <w:bottom w:val="nil"/>
              <w:right w:val="nil"/>
            </w:tcBorders>
            <w:shd w:val="clear" w:color="auto" w:fill="FFFFFF"/>
          </w:tcPr>
          <w:p w14:paraId="3F16FA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Иванов</w:t>
            </w:r>
          </w:p>
        </w:tc>
      </w:tr>
    </w:tbl>
    <w:p w14:paraId="5595A8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Постановление Главного Военного Совета при народном комиссаре обороны Союза ССР'</w:t>
      </w:r>
    </w:p>
    <w:p w14:paraId="696481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Обеспеченность железнодорожных войск Красной Армии основными видами технического оснащения, а также состояние самой техники находится на недостаточном уровне и выражается (по данным схемы 1939 г.): по подъемным приспособлениям — 25%, имуществу для восстановления железнодорожных мостов — 50%, имуществу для временного водоснабжения — 80%, мастерским — 25%, железнодорожному имуществу 80%, энергетическими средствами — 25% и средствами механизации работ — 50%.</w:t>
      </w:r>
    </w:p>
    <w:p w14:paraId="4FC82A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Снабжение Красной Армии всеми видами железнодорожного имущества и центральные железнодорожные парки с 1.7.40 г. передать из Инженерного управления Красной Армии в Управление военных сообщений Генерального штаба Красной Армии с соответствующим личным составом, как из Инженерного управления Красной Армии, так и из инженерных отделов округов.</w:t>
      </w:r>
    </w:p>
    <w:p w14:paraId="4D14EE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Снабжение железнодорожных войск остальными видами военно-технического имущества оставить на общих основаниях за соответствующими центральными довольствующими управлениями Красной Армии.</w:t>
      </w:r>
    </w:p>
    <w:p w14:paraId="3715A7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Организовать в БОВО, КОВО, ЗакВО и ЗабВО окружные и в МВО межокружные склады железнодорожного и военно-технического имущества для железнодорожных войск с ремонтными мастерскими.</w:t>
      </w:r>
    </w:p>
    <w:p w14:paraId="54D1A4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Квартирно-эксплуатационного управления Красной Армии предоставить дополнительную смету на их строительство и сдать в эксплуатацию указанные склады к 1 декабря 1940 г., а мастерские к 1 июля 1941 г.</w:t>
      </w:r>
    </w:p>
    <w:p w14:paraId="09AC38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Организовать к 1 августа 1940 г. в ЗабВО один центральный парк узкоколейных полевых железных дорог с ремонтными мастерскими.</w:t>
      </w:r>
    </w:p>
    <w:p w14:paraId="2F0C9C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Квартирно-эксплуатационного управления Красной Армии представить дополнительную смету на строительство парка и сдать его в эксплуатацию к 1 января 1941 г., а мастерские к 1 июля 1941 года.</w:t>
      </w:r>
    </w:p>
    <w:p w14:paraId="11E7DC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начальника Военно-технического снабжения и Артиллерийского управления Красной Армии к 1 января 1941 г. довести обеспечение неприкосновенных запасов железнодорожных частей до 100% потребности.</w:t>
      </w:r>
    </w:p>
    <w:p w14:paraId="0709DD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Обязать начальника Военно-технического снабжения Красной Армии — обеспечить удовлетворение полной ежегодной потребности железнодорожных войск и военно-полевых узкоколейных железных дорог в запасных частях для войскового ремонта моторов мотовозов, автодрезин и других автотракторных агрегатов, а также обеспечить производство среднего и капитального ремонта этих моторов в мастерских АБТУ Красной Армии на общих основаниях ремонта автотракторного парка Красной Армии.</w:t>
      </w:r>
    </w:p>
    <w:p w14:paraId="207992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Провести следующие мероприятия по оснащению железнодорожных войск техникой:</w:t>
      </w:r>
    </w:p>
    <w:p w14:paraId="72E8BA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Подъемные приспособления</w:t>
      </w:r>
    </w:p>
    <w:p w14:paraId="65592C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Оставить на вооружении:</w:t>
      </w:r>
    </w:p>
    <w:p w14:paraId="2901D9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домкраты гидравлические «Перпетуум», грузоподъемностью 150— 200 т (для мостовых частей);</w:t>
      </w:r>
    </w:p>
    <w:p w14:paraId="471414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домкраты гидравлические обыкновенные, грузоподъемностью 100, 150 и 200 тонн;</w:t>
      </w:r>
    </w:p>
    <w:p w14:paraId="686ED3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кран на железнодорожном ходу, грузоподъемностью: 45 т (бригадные средства и мостовых частей);</w:t>
      </w:r>
    </w:p>
    <w:p w14:paraId="7EA7D2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кран на железнодорожном ходу 15 т (бригадные средства и мостовых частей).</w:t>
      </w:r>
    </w:p>
    <w:p w14:paraId="073682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Ввести на вооружение, имеющиеся на производстве в промышленности:</w:t>
      </w:r>
    </w:p>
    <w:p w14:paraId="5130C2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кран гусеничный, грузоподъемностью 5 т;</w:t>
      </w:r>
    </w:p>
    <w:p w14:paraId="56AB00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пневмогидравлические домкраты батарейные.</w:t>
      </w:r>
    </w:p>
    <w:p w14:paraId="793A8C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3. Просить Правительство:</w:t>
      </w:r>
    </w:p>
    <w:p w14:paraId="563BBF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Наркомсредмаш увеличить производство кранов гусеничных, грузоподъемностью 5 т и создать в 1940 г. опытный образец крана гусеничного грузоподъемностью 7 т;</w:t>
      </w:r>
    </w:p>
    <w:p w14:paraId="4D38EA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Средства механизации работ</w:t>
      </w:r>
    </w:p>
    <w:p w14:paraId="1B8B9C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Ввести на вооружение:</w:t>
      </w:r>
    </w:p>
    <w:p w14:paraId="55F1AD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путеукладчики нормальной колеи (для ж. д. бригад);</w:t>
      </w:r>
    </w:p>
    <w:p w14:paraId="33AA34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механизированный рельсоукладчик ВТА;</w:t>
      </w:r>
    </w:p>
    <w:p w14:paraId="23A5CB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Начальника Военно-технического снабжения Красной Армии обеспечить в 1940 г. табельную потребность жел.дор. войск средствами механизации работ по постройке постоянной телеграфно-телефонной линии (бурильные машины БИ-9, краны столбосоставы и машины для размотки и сварки проводов).</w:t>
      </w:r>
    </w:p>
    <w:p w14:paraId="2A7865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Просить Правительство:</w:t>
      </w:r>
    </w:p>
    <w:p w14:paraId="67CCD7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Наркомат электропромышленности создать в 1940 г. опытные образцы высокочастотного электроинструмента для путевых и мостовых работ, а также соответствующие агрегаты для их питания (переменного тока);</w:t>
      </w:r>
    </w:p>
    <w:p w14:paraId="386846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проектные организации Наркоммаша создать в текущем году опытный образец машины для срезки балластного слоя;</w:t>
      </w:r>
    </w:p>
    <w:p w14:paraId="136DEB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организовать в текущем году широкий и закрытый конкурс на проект путеукладчиков нормальной и узкой колеи, на что отпустить соответствующие средства.</w:t>
      </w:r>
    </w:p>
    <w:p w14:paraId="7AEF20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Подвижные средства и подвижные мастерские</w:t>
      </w:r>
    </w:p>
    <w:p w14:paraId="42B61A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Оставить на вооружении:</w:t>
      </w:r>
    </w:p>
    <w:p w14:paraId="5F2E66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дрезины моторные (нормальной и узкой колеи);</w:t>
      </w:r>
    </w:p>
    <w:p w14:paraId="121F93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дрезины моторные съемные (нормальной и узкой колеи);</w:t>
      </w:r>
    </w:p>
    <w:p w14:paraId="605AE1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подвижные мастерские на ж.д. ходу (для ж. д. бригад).</w:t>
      </w:r>
    </w:p>
    <w:p w14:paraId="199B06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Ввести на вооружение:</w:t>
      </w:r>
    </w:p>
    <w:p w14:paraId="6B4744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паровозы типа 0</w:t>
      </w:r>
      <w:r w:rsidRPr="00DB5D0D">
        <w:rPr>
          <w:rFonts w:ascii="Times New Roman" w:hAnsi="Times New Roman"/>
          <w:color w:val="000000" w:themeColor="text1"/>
          <w:sz w:val="16"/>
          <w:szCs w:val="16"/>
          <w:vertAlign w:val="superscript"/>
        </w:rPr>
        <w:t>В</w:t>
      </w:r>
      <w:r w:rsidRPr="00DB5D0D">
        <w:rPr>
          <w:rFonts w:ascii="Times New Roman" w:hAnsi="Times New Roman"/>
          <w:color w:val="000000" w:themeColor="text1"/>
          <w:sz w:val="16"/>
          <w:szCs w:val="16"/>
        </w:rPr>
        <w:t>;</w:t>
      </w:r>
    </w:p>
    <w:p w14:paraId="282B4A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мотовозы нормальной колеи;</w:t>
      </w:r>
    </w:p>
    <w:p w14:paraId="1FC6AE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платформы железнодорожные нормальной колеи;</w:t>
      </w:r>
    </w:p>
    <w:p w14:paraId="242BA7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мастерские на автоходу для ремонта жел.дор. имущества и для производства восстановительных работ.</w:t>
      </w:r>
    </w:p>
    <w:p w14:paraId="39D588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3.  Снять с вооружения:</w:t>
      </w:r>
    </w:p>
    <w:p w14:paraId="4FE2CE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дрезины велосипедные;</w:t>
      </w:r>
    </w:p>
    <w:p w14:paraId="4B19C8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нивелир-автомат.</w:t>
      </w:r>
    </w:p>
    <w:p w14:paraId="3735EC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4. Просить Правительство:</w:t>
      </w:r>
    </w:p>
    <w:p w14:paraId="2AC834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проектные и производственные организации НКПС смонтировать и изготовить в 1940 г. опытную серию схемных дрезин типа СП с закрытым обтекаемым кузовом в количестве 10 штук (нормальной и узкой колеи).</w:t>
      </w:r>
    </w:p>
    <w:p w14:paraId="5D8685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Узкоколейное железнодорожное имущество</w:t>
      </w:r>
    </w:p>
    <w:p w14:paraId="0CBE5E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Оставить на вооружении:</w:t>
      </w:r>
    </w:p>
    <w:p w14:paraId="7E4D32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паровозы типа 159;</w:t>
      </w:r>
    </w:p>
    <w:p w14:paraId="72A651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мотовозы типа 0-2-0 и 0-2+2-0;</w:t>
      </w:r>
    </w:p>
    <w:p w14:paraId="71A02B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рельсы узкой колеи типа 11 и 18 кг, в пог. метре;</w:t>
      </w:r>
    </w:p>
    <w:p w14:paraId="28A1B8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шпалы и скрепления существующего типа;</w:t>
      </w:r>
    </w:p>
    <w:p w14:paraId="5F3746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подвижной состав узкой колеи существующего типа для военно-полевых жел. дорог;</w:t>
      </w:r>
    </w:p>
    <w:p w14:paraId="668836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Ввести на вооружение:</w:t>
      </w:r>
    </w:p>
    <w:p w14:paraId="12A724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звеньевые узкоколейные военно-полевые жел. дороги на металлических шпалах, колеи 750 мм из рельс 11 и 18 кг в погонном метре;</w:t>
      </w:r>
    </w:p>
    <w:p w14:paraId="313BBA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звенья на металлических шпалах колеи 500 мм для вагонет «Коппеля», из рельс 7 кг в пог. метре.</w:t>
      </w:r>
    </w:p>
    <w:p w14:paraId="5B5C1A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3. Просить Правительство:</w:t>
      </w:r>
    </w:p>
    <w:p w14:paraId="7779FA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Наркомат черной металлургии освоить в текущем году массовое производство металлических узкоколейных шпал, сдать НКО в 1940 г. — не менее 150 000 шт.</w:t>
      </w:r>
    </w:p>
    <w:p w14:paraId="1D9C60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Наркоммаш организовать базы по сборке звеньев узкоколейных военно-полевых железных дорог, а также узкоколейных звеньев колеи 500 мм и изготовить в текущем году для НКО — 100 км звеньевого жел. дор. пути из рельс типа 11 кг в пог. метре и 5 км звеньевого пути колеи 500 мм.</w:t>
      </w:r>
    </w:p>
    <w:p w14:paraId="132E88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Наркомат угольной промышленности возобновить производство на Торецком заводе узкоколейных стрелочных переводов из рельс типа 11 и 18 кг в пог. метре и сдать НКО в 1940 г. 1000 шт. таких переводов;</w:t>
      </w:r>
    </w:p>
    <w:p w14:paraId="7B2949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научно-исследовательские организации НКПС разработать в текущем году новый тип звеньевого узкоколейного железнодорожного пути, обеспечивающего использование при перевозках полной грузоподъемности подвижного ж.д. состава;</w:t>
      </w:r>
    </w:p>
    <w:p w14:paraId="79EF18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проектные организации НКПС создать в текущем году для военно-полевых жел. дорог:</w:t>
      </w:r>
    </w:p>
    <w:p w14:paraId="648E79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мотовоз с тяжелым топливом и газогенератором;</w:t>
      </w:r>
    </w:p>
    <w:p w14:paraId="48C5A8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паровоз по тактико-техническим требованиям Управления военных сообщений Красной Армии.</w:t>
      </w:r>
    </w:p>
    <w:p w14:paraId="61ECA7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Имущество для мостовых работ</w:t>
      </w:r>
    </w:p>
    <w:p w14:paraId="4EE05C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Оставить на вооружении:</w:t>
      </w:r>
    </w:p>
    <w:p w14:paraId="1049EB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копры паровые с бабой «Арциша»;</w:t>
      </w:r>
    </w:p>
    <w:p w14:paraId="7EE9D1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копры «Треугольник».</w:t>
      </w:r>
    </w:p>
    <w:p w14:paraId="6B03DF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Ввести на вооружение:</w:t>
      </w:r>
    </w:p>
    <w:p w14:paraId="0EAD2C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имеющиеся на производстве в промышленности гусеничные прицепы тракторные, грузоподъемностью в 5 и 10 тонн;</w:t>
      </w:r>
    </w:p>
    <w:p w14:paraId="249924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военно-разборные мостовые пролетные строения, типов «БРМ-38», «СРМ-38», «МРИ-38» и «ПРМ-38».</w:t>
      </w:r>
    </w:p>
    <w:p w14:paraId="221449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3. Просить Правительство:</w:t>
      </w:r>
    </w:p>
    <w:p w14:paraId="7F48B4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проектные организации НКПС создать серию опытных образцов разборных копров с горизонтальным котлом на автоходу;</w:t>
      </w:r>
    </w:p>
    <w:p w14:paraId="235446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объявить закрытый конкурс на проект военно-разборных металлических мостов, разборных опор нормальной и узкой колеи и отпустить для этого соответствующие средства;</w:t>
      </w:r>
    </w:p>
    <w:p w14:paraId="7311EE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Наркомат черной металлургии и соответствующие научноисследовательские организации разработать новый состав сталей для облегчения конструкций военно-разборных мостов;</w:t>
      </w:r>
    </w:p>
    <w:p w14:paraId="11E608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«ЭПРОН» изготовить и сдать НКО в текущем году 25 комплектов аппаратуры и принадлежностей для подводной резки металлов.</w:t>
      </w:r>
    </w:p>
    <w:p w14:paraId="40DAE4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Имущество для постройки и эксплуатации железных дорог</w:t>
      </w:r>
    </w:p>
    <w:p w14:paraId="28817A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Оставить на вооружении:</w:t>
      </w:r>
    </w:p>
    <w:p w14:paraId="0A4A6E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r w:rsidRPr="00DB5D0D">
        <w:rPr>
          <w:rFonts w:ascii="Times New Roman" w:hAnsi="Times New Roman"/>
          <w:bCs/>
          <w:color w:val="000000" w:themeColor="text1"/>
          <w:sz w:val="16"/>
          <w:szCs w:val="16"/>
        </w:rPr>
        <w:t xml:space="preserve">) </w:t>
      </w:r>
      <w:r w:rsidRPr="00DB5D0D">
        <w:rPr>
          <w:rFonts w:ascii="Times New Roman" w:hAnsi="Times New Roman"/>
          <w:color w:val="000000" w:themeColor="text1"/>
          <w:sz w:val="16"/>
          <w:szCs w:val="16"/>
        </w:rPr>
        <w:t>грейдеры-элеваторы (для жел.дор. бригад);</w:t>
      </w:r>
    </w:p>
    <w:p w14:paraId="648388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ломы лапчатые для норм, колеи весом 8 кг;</w:t>
      </w:r>
    </w:p>
    <w:p w14:paraId="2529F0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ломы лапчатые для узкой колеи;</w:t>
      </w:r>
    </w:p>
    <w:p w14:paraId="5505D6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молотки костыльные с череньями;</w:t>
      </w:r>
    </w:p>
    <w:p w14:paraId="5BF3BA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приборы для разгонки зазоров (ударные и винтовые);</w:t>
      </w:r>
    </w:p>
    <w:p w14:paraId="303E01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прессы для выпрямления и изгибания рельсов;</w:t>
      </w:r>
    </w:p>
    <w:p w14:paraId="55DC83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переводы стрелочные «Ломов» правые и левые;</w:t>
      </w:r>
    </w:p>
    <w:p w14:paraId="07A1BB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путеразрушитель системы «Червяк»;</w:t>
      </w:r>
    </w:p>
    <w:p w14:paraId="6292C4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путеизмерительная тележка системы Долгова;</w:t>
      </w:r>
    </w:p>
    <w:p w14:paraId="338F4B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станки для сверления дыр в шпалах 6-шпиндельные;</w:t>
      </w:r>
    </w:p>
    <w:p w14:paraId="1B4D92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станки ручные для сверления дыр в рельсах;</w:t>
      </w:r>
    </w:p>
    <w:p w14:paraId="09EAD2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станки ручные для распиловки рельсов;</w:t>
      </w:r>
    </w:p>
    <w:p w14:paraId="10A5D6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станки моторные для распиловки рельсов;</w:t>
      </w:r>
    </w:p>
    <w:p w14:paraId="452D04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транспортеры роликовые на 16 сцепов (оставить на вооружении, с производства снять);</w:t>
      </w:r>
    </w:p>
    <w:p w14:paraId="6B0AFB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шаблоны для поверки расстояния между рельсами нормальной колеи;</w:t>
      </w:r>
    </w:p>
    <w:p w14:paraId="1F69DA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то же заграничной колеи;</w:t>
      </w:r>
    </w:p>
    <w:p w14:paraId="3AE31A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шаблоны для измерения превышения наружного рельса нормальной колеи;</w:t>
      </w:r>
    </w:p>
    <w:p w14:paraId="358A13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шаблоны для зарубки шпал;</w:t>
      </w:r>
    </w:p>
    <w:p w14:paraId="0D23D4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шаблоны раздвижные контрольные нормальной колеи;</w:t>
      </w:r>
    </w:p>
    <w:p w14:paraId="329894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шаблон «Эталон» (контрольный).</w:t>
      </w:r>
    </w:p>
    <w:p w14:paraId="227514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Просить Правительство:</w:t>
      </w:r>
    </w:p>
    <w:p w14:paraId="009DD2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проектные организации НКПС создать высокопроизводительный моторный торцовый ключ для шурупов заграничной колеи;</w:t>
      </w:r>
    </w:p>
    <w:p w14:paraId="419C5D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проектные организации НКПС создать удобное, надежное и простое временное крепление рельсов в стыках и между собой, заменяющее при укладке пути, накладки и болты.</w:t>
      </w:r>
    </w:p>
    <w:p w14:paraId="26BBF3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Наркомчермет (по Главспецстали) освоить производство качественных ножовочных полотен к моторным станкам для распиловки рельс и в 1940 г. сдать НКО 10 000 штук.</w:t>
      </w:r>
    </w:p>
    <w:p w14:paraId="1370F9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Наркомат вооружений возобновить производство на Тульском заводе сверл к шпалосверлильным станкам и сдать в НКО в 1940 г. 6000 штук.</w:t>
      </w:r>
    </w:p>
    <w:p w14:paraId="701351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Электротехнические средства</w:t>
      </w:r>
    </w:p>
    <w:p w14:paraId="30387F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iCs/>
          <w:color w:val="000000" w:themeColor="text1"/>
          <w:sz w:val="16"/>
          <w:szCs w:val="16"/>
        </w:rPr>
        <w:t>Ввести на вооружение:</w:t>
      </w:r>
    </w:p>
    <w:p w14:paraId="027D41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электростанции С8С-28 КВА, производства Калужского завода;</w:t>
      </w:r>
    </w:p>
    <w:p w14:paraId="1A3582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железнодорожные электростанции ЖЭС-4,5 КВА (пост, тока);</w:t>
      </w:r>
    </w:p>
    <w:p w14:paraId="11D700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электростанции Ж8С-100 КВА на жел. дор. ходу. </w:t>
      </w:r>
      <w:r w:rsidRPr="00DB5D0D">
        <w:rPr>
          <w:rFonts w:ascii="Times New Roman" w:hAnsi="Times New Roman"/>
          <w:iCs/>
          <w:color w:val="000000" w:themeColor="text1"/>
          <w:sz w:val="16"/>
          <w:szCs w:val="16"/>
        </w:rPr>
        <w:t>III. Просить Правительство:</w:t>
      </w:r>
    </w:p>
    <w:p w14:paraId="002EBF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Всесоюзный электротехнических институт разработать проекты и изготовить опытный образец электро-костылезабивателей. Подрывные средства</w:t>
      </w:r>
    </w:p>
    <w:p w14:paraId="1C7EF6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Минометно-минное управление Красной Армии разработать, испытать и ввести на вооружение к 1.8.40 г. железнодорожные мины замедленного действия.</w:t>
      </w:r>
    </w:p>
    <w:p w14:paraId="4DCFE0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w:t>
      </w:r>
    </w:p>
    <w:p w14:paraId="3AF12D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комкор                                    </w:t>
      </w:r>
      <w:r w:rsidRPr="00DB5D0D">
        <w:rPr>
          <w:rFonts w:ascii="Times New Roman" w:hAnsi="Times New Roman"/>
          <w:iCs/>
          <w:color w:val="000000" w:themeColor="text1"/>
          <w:sz w:val="16"/>
          <w:szCs w:val="16"/>
        </w:rPr>
        <w:t>Антонюк</w:t>
      </w:r>
    </w:p>
    <w:p w14:paraId="517DF7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w:t>
      </w:r>
    </w:p>
    <w:p w14:paraId="689B83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Городовиков </w:t>
      </w:r>
      <w:r w:rsidRPr="00DB5D0D">
        <w:rPr>
          <w:rFonts w:ascii="Times New Roman" w:hAnsi="Times New Roman"/>
          <w:color w:val="000000" w:themeColor="text1"/>
          <w:sz w:val="16"/>
          <w:szCs w:val="16"/>
        </w:rPr>
        <w:t xml:space="preserve">комкор                                     </w:t>
      </w:r>
      <w:r w:rsidRPr="00DB5D0D">
        <w:rPr>
          <w:rFonts w:ascii="Times New Roman" w:hAnsi="Times New Roman"/>
          <w:iCs/>
          <w:color w:val="000000" w:themeColor="text1"/>
          <w:sz w:val="16"/>
          <w:szCs w:val="16"/>
        </w:rPr>
        <w:t>Трубецкой</w:t>
      </w:r>
    </w:p>
    <w:p w14:paraId="30FF5D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комбриг                                  </w:t>
      </w:r>
      <w:r w:rsidRPr="00DB5D0D">
        <w:rPr>
          <w:rFonts w:ascii="Times New Roman" w:hAnsi="Times New Roman"/>
          <w:iCs/>
          <w:color w:val="000000" w:themeColor="text1"/>
          <w:sz w:val="16"/>
          <w:szCs w:val="16"/>
        </w:rPr>
        <w:t>Иванов</w:t>
      </w:r>
    </w:p>
    <w:p w14:paraId="4FAFA797"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lastRenderedPageBreak/>
        <w:t>И. Михальчук (11773).</w:t>
      </w:r>
    </w:p>
    <w:p w14:paraId="20BD1DE7"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1230FCC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C5E8B0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62A3B53"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17–18 мая (ночь) 1940 72 британских бомбардировщика атакуют Бремен , Кельн и Гамбург , в результате чего не менее 47 человек погибли и 127 получили ранения в Бремене и Гамбурге (20795).</w:t>
      </w:r>
    </w:p>
    <w:p w14:paraId="6D32AAE7" w14:textId="77777777" w:rsidR="00AA5B6A" w:rsidRPr="00DB5D0D" w:rsidRDefault="00AA5B6A" w:rsidP="00DB5D0D">
      <w:pPr>
        <w:spacing w:after="0" w:line="240" w:lineRule="auto"/>
        <w:jc w:val="both"/>
        <w:rPr>
          <w:rFonts w:ascii="Times New Roman" w:hAnsi="Times New Roman"/>
          <w:color w:val="0070C0"/>
          <w:sz w:val="16"/>
          <w:szCs w:val="16"/>
        </w:rPr>
      </w:pPr>
    </w:p>
    <w:p w14:paraId="520772FD" w14:textId="0B462A7D"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 xml:space="preserve">17 </w:t>
      </w:r>
      <w:r w:rsidRPr="00DB5D0D">
        <w:rPr>
          <w:rFonts w:ascii="Times New Roman" w:hAnsi="Times New Roman"/>
          <w:color w:val="000000" w:themeColor="text1"/>
          <w:sz w:val="16"/>
          <w:szCs w:val="16"/>
        </w:rPr>
        <w:t>мая</w:t>
      </w:r>
      <w:r w:rsidRPr="00DB5D0D">
        <w:rPr>
          <w:rFonts w:ascii="Times New Roman" w:hAnsi="Times New Roman"/>
          <w:color w:val="000000" w:themeColor="text1"/>
          <w:sz w:val="16"/>
          <w:szCs w:val="16"/>
          <w:lang w:val="en-US"/>
        </w:rPr>
        <w:t xml:space="preserve"> 1940 </w:t>
      </w:r>
      <w:r w:rsidRPr="00DB5D0D">
        <w:rPr>
          <w:rFonts w:ascii="Times New Roman" w:hAnsi="Times New Roman"/>
          <w:color w:val="000000" w:themeColor="text1"/>
          <w:sz w:val="16"/>
          <w:szCs w:val="16"/>
        </w:rPr>
        <w:t>фашисты</w:t>
      </w:r>
      <w:r w:rsidR="00AA5B6A" w:rsidRPr="00DB5D0D">
        <w:rPr>
          <w:rFonts w:ascii="Times New Roman" w:hAnsi="Times New Roman"/>
          <w:color w:val="000000" w:themeColor="text1"/>
          <w:sz w:val="16"/>
          <w:szCs w:val="16"/>
        </w:rPr>
        <w:t xml:space="preserve"> </w:t>
      </w:r>
      <w:r w:rsidRPr="00DB5D0D">
        <w:rPr>
          <w:rFonts w:ascii="Times New Roman" w:hAnsi="Times New Roman"/>
          <w:color w:val="000000" w:themeColor="text1"/>
          <w:sz w:val="16"/>
          <w:szCs w:val="16"/>
        </w:rPr>
        <w:t>захватили</w:t>
      </w:r>
      <w:r w:rsidR="00AA5B6A" w:rsidRPr="00DB5D0D">
        <w:rPr>
          <w:rFonts w:ascii="Times New Roman" w:hAnsi="Times New Roman"/>
          <w:color w:val="000000" w:themeColor="text1"/>
          <w:sz w:val="16"/>
          <w:szCs w:val="16"/>
        </w:rPr>
        <w:t xml:space="preserve"> </w:t>
      </w:r>
      <w:r w:rsidRPr="00DB5D0D">
        <w:rPr>
          <w:rFonts w:ascii="Times New Roman" w:hAnsi="Times New Roman"/>
          <w:color w:val="000000" w:themeColor="text1"/>
          <w:sz w:val="16"/>
          <w:szCs w:val="16"/>
        </w:rPr>
        <w:t>Брюссель</w:t>
      </w:r>
      <w:r w:rsidRPr="00DB5D0D">
        <w:rPr>
          <w:rFonts w:ascii="Times New Roman" w:hAnsi="Times New Roman"/>
          <w:color w:val="000000" w:themeColor="text1"/>
          <w:sz w:val="16"/>
          <w:szCs w:val="16"/>
          <w:lang w:val="en-US"/>
        </w:rPr>
        <w:t xml:space="preserve"> (4962).</w:t>
      </w:r>
    </w:p>
    <w:p w14:paraId="02D334A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lang w:val="en-US"/>
        </w:rPr>
      </w:pPr>
    </w:p>
    <w:p w14:paraId="7B976485"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17th, 1940: In the West, troops of 6.Armee occupy Brussels. French prime minister Pierre Laval is replaced by Paul Reynaud who forms a new government (3819).</w:t>
      </w:r>
    </w:p>
    <w:p w14:paraId="79F84690"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44B80A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Германия оккупировала Брюссель и начала вторжение во Францию (2100).</w:t>
      </w:r>
    </w:p>
    <w:p w14:paraId="6364C6C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2A3774" w14:textId="77777777" w:rsidR="00511740" w:rsidRPr="00DB5D0D" w:rsidRDefault="0051174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 силами германской армии «А» Вальтера фон Рейхенау занята столица Бельгии Брюссель, танки шли от Брюсселя по парижской дороге. В этот же день французы не выдержали налетов немецкой авиации и на лодках эвакуировались со стратегического острова Вальхерен – базы снабжения в устье Шельды у Антверпена, при отступлении убит генерал Делоран – командир 60-й дивизии. 18 мая 1940 г. немцами заняты Камбре, Сен-Кантен, Перонн, до Парижа осталось 120-130 км (17398).</w:t>
      </w:r>
    </w:p>
    <w:p w14:paraId="6A9E2658" w14:textId="77777777" w:rsidR="00511740" w:rsidRPr="00DB5D0D" w:rsidRDefault="00511740" w:rsidP="00DB5D0D">
      <w:pPr>
        <w:spacing w:after="0" w:line="240" w:lineRule="auto"/>
        <w:jc w:val="both"/>
        <w:rPr>
          <w:rFonts w:ascii="Times New Roman" w:hAnsi="Times New Roman"/>
          <w:color w:val="000000" w:themeColor="text1"/>
          <w:sz w:val="16"/>
          <w:szCs w:val="16"/>
        </w:rPr>
      </w:pPr>
    </w:p>
    <w:p w14:paraId="5031E991" w14:textId="77777777" w:rsidR="00F97243" w:rsidRPr="00DB5D0D" w:rsidRDefault="00F9724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вернувшись в Лондон</w:t>
      </w:r>
      <w:r w:rsidRPr="00DB5D0D">
        <w:rPr>
          <w:rFonts w:ascii="Times New Roman" w:hAnsi="Times New Roman"/>
          <w:bCs/>
          <w:color w:val="000000" w:themeColor="text1"/>
          <w:sz w:val="16"/>
          <w:szCs w:val="16"/>
        </w:rPr>
        <w:t xml:space="preserve">, Черчилль создал специальный комитет. Ему было поручено разработать тактику Англии на случай, если Франция капитулирует и Англия останется одна.Вскоре стало ясно, что целью вермахта был вовсе не Париж, а устье Соммы и берег Ла-Манша. Немцы намеревались окружить передовые части французов и британский экспедиционный корпус, направленные в Бельгию, и взять их в плотное кольцо. </w:t>
      </w:r>
      <w:r w:rsidRPr="00DB5D0D">
        <w:rPr>
          <w:rFonts w:ascii="Times New Roman" w:hAnsi="Times New Roman"/>
          <w:color w:val="000000" w:themeColor="text1"/>
          <w:sz w:val="16"/>
          <w:szCs w:val="16"/>
        </w:rPr>
        <w:t>19 мая</w:t>
      </w:r>
      <w:r w:rsidRPr="00DB5D0D">
        <w:rPr>
          <w:rFonts w:ascii="Times New Roman" w:hAnsi="Times New Roman"/>
          <w:bCs/>
          <w:color w:val="000000" w:themeColor="text1"/>
          <w:sz w:val="16"/>
          <w:szCs w:val="16"/>
        </w:rPr>
        <w:t xml:space="preserve"> командир британского корпуса генерал Горт решил отступить к побережью и убраться восвояси. Вскоре разногласия между французами и англичанами обострились как по поводу ведения боевых действий и, в частности, возможного мира с Муссолини, так и по поводу эвакуации из Дюнкерка, начавшейся 27 мая (17398).</w:t>
      </w:r>
    </w:p>
    <w:p w14:paraId="25DA3339" w14:textId="77777777" w:rsidR="00F97243" w:rsidRPr="00DB5D0D" w:rsidRDefault="00F97243" w:rsidP="00DB5D0D">
      <w:pPr>
        <w:spacing w:after="0" w:line="240" w:lineRule="auto"/>
        <w:jc w:val="both"/>
        <w:rPr>
          <w:rFonts w:ascii="Times New Roman" w:hAnsi="Times New Roman"/>
          <w:color w:val="000000" w:themeColor="text1"/>
          <w:sz w:val="16"/>
          <w:szCs w:val="16"/>
        </w:rPr>
      </w:pPr>
    </w:p>
    <w:p w14:paraId="3EEBD97D" w14:textId="77777777" w:rsidR="00511740" w:rsidRPr="00DB5D0D" w:rsidRDefault="00511740"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color w:val="000000" w:themeColor="text1"/>
          <w:sz w:val="16"/>
          <w:szCs w:val="16"/>
        </w:rPr>
        <w:t>17 мая</w:t>
      </w:r>
      <w:r w:rsidRPr="00DB5D0D">
        <w:rPr>
          <w:rFonts w:ascii="Times New Roman" w:hAnsi="Times New Roman"/>
          <w:bCs/>
          <w:color w:val="000000" w:themeColor="text1"/>
          <w:sz w:val="16"/>
          <w:szCs w:val="16"/>
        </w:rPr>
        <w:t xml:space="preserve"> и 10 июня 1940 г. в речах Рузвельта выдвинута программа «национальной обороны». Затем она была дополнена законопроектом об ассигновании 4 млрд. долл. на строительство «флота двух океанов». Общие ассигнования на военные цели в 1940 г. достигли 17,7 млрд. долл. Конгресс принял также билль об увеличении армии с 280 тыс. до 1200 тыс. человек (17398).</w:t>
      </w:r>
    </w:p>
    <w:p w14:paraId="79036AB2" w14:textId="77777777" w:rsidR="00511740" w:rsidRPr="00DB5D0D" w:rsidRDefault="00511740" w:rsidP="00DB5D0D">
      <w:pPr>
        <w:spacing w:after="0" w:line="240" w:lineRule="auto"/>
        <w:jc w:val="both"/>
        <w:rPr>
          <w:rFonts w:ascii="Times New Roman" w:hAnsi="Times New Roman"/>
          <w:iCs/>
          <w:color w:val="000000" w:themeColor="text1"/>
          <w:sz w:val="16"/>
          <w:szCs w:val="16"/>
        </w:rPr>
      </w:pPr>
    </w:p>
    <w:p w14:paraId="13212A2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A5AB47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4CA30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Секретным отделом завода 39 НКАП был получен Акт N 05:</w:t>
      </w:r>
    </w:p>
    <w:p w14:paraId="5BA2D9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закончены заводские летные испытания тренировочного самолета ЦКБ-30 Н2 N 2817 с двумя моторами М-87Б N 1308 и 1310 построенного заводом 39 согласно приказа по НКАП N 197с за 1939.</w:t>
      </w:r>
    </w:p>
    <w:p w14:paraId="1177A3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построен для размещения в нем экипажа из 3-х чел.: 1-го л, 2-го л-радиста и ш и оборудован аппаратурой, бензо и маслобаками для выполнения дальних тренировочных полетов.</w:t>
      </w:r>
    </w:p>
    <w:p w14:paraId="35C5BD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данных технических документов - паспортов как на детали, полученные с заводов-поставщиков, так и на изготовленные цехами завода, а также согласно заключения л-и Н.К.Федорова и инструктора ВВС кап. М.Д.Крюкова самолет годен для передачи экипажу для проведения тренировочных полетов согласно программе, утвержденной НК А.И.Ш.</w:t>
      </w:r>
    </w:p>
    <w:p w14:paraId="7DF852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Дефектов, препятствующих выполнению полетов, на самолете нет.</w:t>
      </w:r>
    </w:p>
    <w:p w14:paraId="3A85A8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ЛИС Грязнов</w:t>
      </w:r>
    </w:p>
    <w:p w14:paraId="349286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 Федоров</w:t>
      </w:r>
    </w:p>
    <w:p w14:paraId="744515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Петров</w:t>
      </w:r>
    </w:p>
    <w:p w14:paraId="194F1A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констр.-мастер Соколов</w:t>
      </w:r>
    </w:p>
    <w:p w14:paraId="0AAE8C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Борт механик Николаевский (2102,43).</w:t>
      </w:r>
    </w:p>
    <w:p w14:paraId="654A10C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72D7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Климов представил зам. наркома П.А.Воронину проект постановления об установке программы выпуска И-28 на Саркомбайне (1165).</w:t>
      </w:r>
    </w:p>
    <w:p w14:paraId="01C3D84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4BC0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завершился второй этап гос. испытаний И-180-3, на котором было усиленное вооружение: 2х12.7 БС и 2хШКАС в одной батареи и капотом с юбкой (2495,15).</w:t>
      </w:r>
    </w:p>
    <w:p w14:paraId="62186FA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7FC9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закончились заводские испытания третьего опытного экземпляра И-180-3. Хотя М-88 недодавал мощности, и полеты проходили с неубираемым костылем, была получена максимальная скорость 575 км/час на высоте 6900 метров. При устранении недостатков, более качественном воздушном винте и тщательной окраске самолета можно было получить максимальную скорость 600 км/час и даже более. Летчик Уляхин, проводивший испытания, сравнивал новый самолет с И-16, отмечая при этом его большую устойчивость на всех режимах и при выполнении фигур пилотажа. Одновременно высказывались замечания и пожелания. В частности, еще во время зимних полетов было решено установить закрывающийся фонарь кабины пилота (3203,10).</w:t>
      </w:r>
    </w:p>
    <w:p w14:paraId="67672A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И-180 проходили в два этапа. Первый этап, с 10 февраля до середины марта 1940 года, проходил на лыжах. Второй этап, с 23 апреля по 18 мая 1940 - на колесах и с закрытым фонарем. В связи с ранее произошедшими печальными событиями, целью заводских испытаний поначалу было "выявление безопасности полетов на самолетах данной конструкции", а затем уже определение летных и маневренных характеристик. В процессе заводских испытаний довели механизмы уборки лыж и костыля, установили новый, 9-дюймовый маслорадиатор, повысили эффективность всасывающего патрубка карбюратора (высотность увеличилась на 750 метров), отрегулировали вооружение, на бортах фюзеляжа в районе выхлопного коллектора установили листы из жаропрочной стали. За время испытаний сменили два двигателя М-88, на заключительном этапе, 11 мая, установили третий по счету мотор, выпуска февраля 1940 года. Передавая самолет для испытаний в НИИ ВВС, летчик Уляхин записал: "Продольная устойчивость при центровке 28 нейтральная. При более передней - хорошая. Поперечная устойчивость и устойчивость пути хорошая. Необходимо ввести стреловидность крыла (имелось ввиду - ввести стреловидность по передней кромке для получения более передней центровки)" (3203,10).</w:t>
      </w:r>
    </w:p>
    <w:p w14:paraId="7BDB806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DB1E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г. летчик Давыдов с наблюдателем Ерышевым летали на ДИТ для наблюдения за штопором самолета И—180 (10547).</w:t>
      </w:r>
    </w:p>
    <w:p w14:paraId="2732ED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7CEB1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г. лётчик Давыдов с на</w:t>
      </w:r>
      <w:r w:rsidRPr="00DB5D0D">
        <w:rPr>
          <w:rFonts w:ascii="Times New Roman" w:hAnsi="Times New Roman"/>
          <w:color w:val="000000" w:themeColor="text1"/>
          <w:sz w:val="16"/>
          <w:szCs w:val="16"/>
        </w:rPr>
        <w:softHyphen/>
        <w:t>блюдателем Ерышевым летали на ДИТ для наблюдения за проведением штопо</w:t>
      </w:r>
      <w:r w:rsidRPr="00DB5D0D">
        <w:rPr>
          <w:rFonts w:ascii="Times New Roman" w:hAnsi="Times New Roman"/>
          <w:color w:val="000000" w:themeColor="text1"/>
          <w:sz w:val="16"/>
          <w:szCs w:val="16"/>
        </w:rPr>
        <w:softHyphen/>
        <w:t>ра опытного истребителя И-180 (12294).</w:t>
      </w:r>
    </w:p>
    <w:p w14:paraId="7F797F9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2060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г. летчик Давыдов с наблюдателем Ерышевым летали на ДИТе для наблюдения за проведением штопора опытного истребителя И-180. Другие два экземпляра в 1940 г. позднее направили в войска. Известно, что два ДИТ использовались в качестве разведчиков и корректировщиков артиллерийского огня на Южном фронте в районе Новороссийска в 1942-43 гг. Окрашены, согласно воспоминаниям очевидцев, были мелкими пятнами песочного цвета (12014).</w:t>
      </w:r>
    </w:p>
    <w:p w14:paraId="3C33503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79952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всего за неделю до неприятности с машиной №25212, закончились заводские ис</w:t>
      </w:r>
      <w:r w:rsidRPr="00DB5D0D">
        <w:rPr>
          <w:rFonts w:ascii="Times New Roman" w:hAnsi="Times New Roman"/>
          <w:color w:val="000000" w:themeColor="text1"/>
          <w:sz w:val="16"/>
          <w:szCs w:val="16"/>
        </w:rPr>
        <w:softHyphen/>
        <w:t>пытания третьего опытного экземпляра. Хотя М-88 недодавал мощности и полеты проходи</w:t>
      </w:r>
      <w:r w:rsidRPr="00DB5D0D">
        <w:rPr>
          <w:rFonts w:ascii="Times New Roman" w:hAnsi="Times New Roman"/>
          <w:color w:val="000000" w:themeColor="text1"/>
          <w:sz w:val="16"/>
          <w:szCs w:val="16"/>
        </w:rPr>
        <w:softHyphen/>
        <w:t>ли с неубираемым костылем, была получена максимальная скорость 575 км/ч на высоте 6900 метров. При устранении замеченных не</w:t>
      </w:r>
      <w:r w:rsidRPr="00DB5D0D">
        <w:rPr>
          <w:rFonts w:ascii="Times New Roman" w:hAnsi="Times New Roman"/>
          <w:color w:val="000000" w:themeColor="text1"/>
          <w:sz w:val="16"/>
          <w:szCs w:val="16"/>
        </w:rPr>
        <w:softHyphen/>
        <w:t>достатков, более качественном воздушном винте и тщательной покраске самолета можно было получить 600 км/ч и даже более. Летчик Уляхин, проводивший испытания, сравнивал новый самолет с И-16, отмечая при этом его большую устойчивость на всех режимах. Одно</w:t>
      </w:r>
      <w:r w:rsidRPr="00DB5D0D">
        <w:rPr>
          <w:rFonts w:ascii="Times New Roman" w:hAnsi="Times New Roman"/>
          <w:color w:val="000000" w:themeColor="text1"/>
          <w:sz w:val="16"/>
          <w:szCs w:val="16"/>
        </w:rPr>
        <w:softHyphen/>
        <w:t>временно имелись замечания и пожелания. В частности, еще во время зимних полетов было решено установить закрывающийся фонарь кабины пилота (9979).</w:t>
      </w:r>
    </w:p>
    <w:p w14:paraId="6FFA2B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B63CC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И-180-3 закончился второй этап заводских испытаний И-180-3 на колесах и с закры</w:t>
      </w:r>
      <w:r w:rsidRPr="00DB5D0D">
        <w:rPr>
          <w:rFonts w:ascii="Times New Roman" w:hAnsi="Times New Roman"/>
          <w:color w:val="000000" w:themeColor="text1"/>
          <w:sz w:val="16"/>
          <w:szCs w:val="16"/>
        </w:rPr>
        <w:softHyphen/>
        <w:t>тым фонарем, который проходил с 23 апреля. В связи с ранее произошедши</w:t>
      </w:r>
      <w:r w:rsidRPr="00DB5D0D">
        <w:rPr>
          <w:rFonts w:ascii="Times New Roman" w:hAnsi="Times New Roman"/>
          <w:color w:val="000000" w:themeColor="text1"/>
          <w:sz w:val="16"/>
          <w:szCs w:val="16"/>
        </w:rPr>
        <w:softHyphen/>
        <w:t>ми печальными событиями целью заводских испытаний поначалу было лишь «выявление безопасности полетов на самолетах данной конструкции», а затем уже выявление летных и маневренных характеристик. В процессе завод</w:t>
      </w:r>
      <w:r w:rsidRPr="00DB5D0D">
        <w:rPr>
          <w:rFonts w:ascii="Times New Roman" w:hAnsi="Times New Roman"/>
          <w:color w:val="000000" w:themeColor="text1"/>
          <w:sz w:val="16"/>
          <w:szCs w:val="16"/>
        </w:rPr>
        <w:softHyphen/>
        <w:t>ских испытаний довели механизм выпуска-уборки лыж и костыля, установили новый цилин</w:t>
      </w:r>
      <w:r w:rsidRPr="00DB5D0D">
        <w:rPr>
          <w:rFonts w:ascii="Times New Roman" w:hAnsi="Times New Roman"/>
          <w:color w:val="000000" w:themeColor="text1"/>
          <w:sz w:val="16"/>
          <w:szCs w:val="16"/>
        </w:rPr>
        <w:softHyphen/>
        <w:t>дрический маслорадиатор диаметром 9 дюй</w:t>
      </w:r>
      <w:r w:rsidRPr="00DB5D0D">
        <w:rPr>
          <w:rFonts w:ascii="Times New Roman" w:hAnsi="Times New Roman"/>
          <w:color w:val="000000" w:themeColor="text1"/>
          <w:sz w:val="16"/>
          <w:szCs w:val="16"/>
        </w:rPr>
        <w:softHyphen/>
        <w:t>мов (2,54 х 9=228,6 мм), повысили эффектив</w:t>
      </w:r>
      <w:r w:rsidRPr="00DB5D0D">
        <w:rPr>
          <w:rFonts w:ascii="Times New Roman" w:hAnsi="Times New Roman"/>
          <w:color w:val="000000" w:themeColor="text1"/>
          <w:sz w:val="16"/>
          <w:szCs w:val="16"/>
        </w:rPr>
        <w:softHyphen/>
        <w:t>ность всасывающего патрубка карбюратора (высотность двигателя при этом увеличилась на 750 метров), отрегулировали вооружение, а на бортах фюзеляжа в районе выхлопного коллектора установили листы из жаропрочной стали. За время испытаний сменили два дви</w:t>
      </w:r>
      <w:r w:rsidRPr="00DB5D0D">
        <w:rPr>
          <w:rFonts w:ascii="Times New Roman" w:hAnsi="Times New Roman"/>
          <w:color w:val="000000" w:themeColor="text1"/>
          <w:sz w:val="16"/>
          <w:szCs w:val="16"/>
        </w:rPr>
        <w:softHyphen/>
        <w:t xml:space="preserve">гателя М-88. На заключительном этапе, 11 мая, установили третий по счету мотор выпуска февраля 1940 года. Передавая самолет </w:t>
      </w:r>
      <w:r w:rsidRPr="00DB5D0D">
        <w:rPr>
          <w:rFonts w:ascii="Times New Roman" w:hAnsi="Times New Roman"/>
          <w:color w:val="000000" w:themeColor="text1"/>
          <w:sz w:val="16"/>
          <w:szCs w:val="16"/>
        </w:rPr>
        <w:lastRenderedPageBreak/>
        <w:t xml:space="preserve">для испытаний в НИИ ВВС, летчикУляхин записал: </w:t>
      </w:r>
      <w:r w:rsidRPr="00DB5D0D">
        <w:rPr>
          <w:rFonts w:ascii="Times New Roman" w:hAnsi="Times New Roman"/>
          <w:iCs/>
          <w:color w:val="000000" w:themeColor="text1"/>
          <w:sz w:val="16"/>
          <w:szCs w:val="16"/>
        </w:rPr>
        <w:t xml:space="preserve">«Продольная устойчивость при центровке 28 нейтральная. При более передней - хорошая. Поперечная устойчивость и устойчивость пути хорошая. Необходимо ввести стреловидность крыла </w:t>
      </w:r>
      <w:r w:rsidRPr="00DB5D0D">
        <w:rPr>
          <w:rFonts w:ascii="Times New Roman" w:hAnsi="Times New Roman"/>
          <w:color w:val="000000" w:themeColor="text1"/>
          <w:sz w:val="16"/>
          <w:szCs w:val="16"/>
        </w:rPr>
        <w:t>(имелось в виду - «отогнуть» консоли крыла назад для получения более передней центровки)» (9979).</w:t>
      </w:r>
    </w:p>
    <w:p w14:paraId="6EAF05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B8408A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34DC71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9DC7D72" w14:textId="77777777" w:rsidR="00A25AD1" w:rsidRPr="00DB5D0D" w:rsidRDefault="00A25AD1" w:rsidP="00DB5D0D">
      <w:pPr>
        <w:pStyle w:val="a3"/>
        <w:rPr>
          <w:color w:val="000000" w:themeColor="text1"/>
          <w:lang w:val="ru-RU"/>
        </w:rPr>
      </w:pPr>
      <w:r w:rsidRPr="00DB5D0D">
        <w:rPr>
          <w:color w:val="000000" w:themeColor="text1"/>
          <w:lang w:val="ru-RU"/>
        </w:rPr>
        <w:t>18 мая 1940:</w:t>
      </w:r>
    </w:p>
    <w:p w14:paraId="1AC57D6C" w14:textId="77777777" w:rsidR="00A25AD1" w:rsidRPr="00DB5D0D" w:rsidRDefault="00A25AD1"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НАЧАЛЬНИКУ 8 ОТДЕЛА АБТУКА ВОЕНИНЖЕНЕРУ I РАНГА тов. АФОНИНУ</w:t>
      </w:r>
    </w:p>
    <w:p w14:paraId="25694737" w14:textId="77777777" w:rsidR="00A25AD1" w:rsidRPr="00DB5D0D" w:rsidRDefault="00A25AD1"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color w:val="000000" w:themeColor="text1"/>
          <w:sz w:val="16"/>
          <w:szCs w:val="16"/>
        </w:rPr>
        <w:t xml:space="preserve">СВОДКА </w:t>
      </w:r>
      <w:r w:rsidRPr="00DB5D0D">
        <w:rPr>
          <w:rStyle w:val="105pt0pt"/>
          <w:rFonts w:ascii="Times New Roman" w:hAnsi="Times New Roman" w:cs="Times New Roman"/>
          <w:color w:val="000000" w:themeColor="text1"/>
          <w:sz w:val="16"/>
          <w:szCs w:val="16"/>
        </w:rPr>
        <w:t xml:space="preserve"> №228с </w:t>
      </w:r>
      <w:r w:rsidRPr="00DB5D0D">
        <w:rPr>
          <w:rFonts w:ascii="Times New Roman" w:hAnsi="Times New Roman" w:cs="Times New Roman"/>
          <w:i w:val="0"/>
          <w:color w:val="000000" w:themeColor="text1"/>
          <w:sz w:val="16"/>
          <w:szCs w:val="16"/>
        </w:rPr>
        <w:t>СОСТОЯНИЯ РАБОТ ПО ОПЫТНОЙ СЕРИИ МАШИН «34</w:t>
      </w:r>
      <w:r w:rsidRPr="00DB5D0D">
        <w:rPr>
          <w:rFonts w:ascii="Times New Roman" w:hAnsi="Times New Roman" w:cs="Times New Roman"/>
          <w:i w:val="0"/>
          <w:iCs w:val="0"/>
          <w:color w:val="000000" w:themeColor="text1"/>
          <w:sz w:val="16"/>
          <w:szCs w:val="16"/>
        </w:rPr>
        <w:t xml:space="preserve">» </w:t>
      </w:r>
      <w:r w:rsidRPr="00DB5D0D">
        <w:rPr>
          <w:rFonts w:ascii="Times New Roman" w:hAnsi="Times New Roman" w:cs="Times New Roman"/>
          <w:i w:val="0"/>
          <w:color w:val="000000" w:themeColor="text1"/>
          <w:sz w:val="16"/>
          <w:szCs w:val="16"/>
        </w:rPr>
        <w:t>НА 15 МАЯ 1940 г.</w:t>
      </w:r>
    </w:p>
    <w:p w14:paraId="52DDDE8C" w14:textId="77777777" w:rsidR="00A25AD1" w:rsidRPr="00DB5D0D" w:rsidRDefault="00A25AD1" w:rsidP="00DB5D0D">
      <w:pPr>
        <w:pStyle w:val="212"/>
        <w:shd w:val="clear" w:color="auto" w:fill="auto"/>
        <w:tabs>
          <w:tab w:val="left" w:pos="767"/>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1. Чертежи и технологические процессы полностью спущены в производство.</w:t>
      </w:r>
    </w:p>
    <w:p w14:paraId="24AF8B56" w14:textId="77777777" w:rsidR="00A25AD1" w:rsidRPr="00DB5D0D" w:rsidRDefault="00A25AD1" w:rsidP="00DB5D0D">
      <w:pPr>
        <w:pStyle w:val="212"/>
        <w:shd w:val="clear" w:color="auto" w:fill="auto"/>
        <w:tabs>
          <w:tab w:val="left" w:pos="760"/>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2. Изготовление деталей: из общего числа 2362 наименований изготовлено 1716 наименований, причем на первые две машины детали изготовлены полностью за исключением нескольких наиме</w:t>
      </w:r>
      <w:r w:rsidRPr="00DB5D0D">
        <w:rPr>
          <w:rFonts w:ascii="Times New Roman" w:hAnsi="Times New Roman" w:cs="Times New Roman"/>
          <w:i w:val="0"/>
          <w:iCs w:val="0"/>
          <w:color w:val="000000" w:themeColor="text1"/>
          <w:sz w:val="16"/>
          <w:szCs w:val="16"/>
        </w:rPr>
        <w:softHyphen/>
        <w:t>нований, которые сейчас изготавливаются взамен брака (кольца вык</w:t>
      </w:r>
      <w:r w:rsidRPr="00DB5D0D">
        <w:rPr>
          <w:rFonts w:ascii="Times New Roman" w:hAnsi="Times New Roman" w:cs="Times New Roman"/>
          <w:i w:val="0"/>
          <w:iCs w:val="0"/>
          <w:color w:val="000000" w:themeColor="text1"/>
          <w:sz w:val="16"/>
          <w:szCs w:val="16"/>
        </w:rPr>
        <w:softHyphen/>
        <w:t>лючения) и кроме того нет нескольких наименований покупных де</w:t>
      </w:r>
      <w:r w:rsidRPr="00DB5D0D">
        <w:rPr>
          <w:rFonts w:ascii="Times New Roman" w:hAnsi="Times New Roman" w:cs="Times New Roman"/>
          <w:i w:val="0"/>
          <w:iCs w:val="0"/>
          <w:color w:val="000000" w:themeColor="text1"/>
          <w:sz w:val="16"/>
          <w:szCs w:val="16"/>
        </w:rPr>
        <w:softHyphen/>
        <w:t>талей, из них подшипники и стартеры еще не поступили на завод.</w:t>
      </w:r>
    </w:p>
    <w:p w14:paraId="7D8119FC" w14:textId="77777777" w:rsidR="00A25AD1" w:rsidRPr="00DB5D0D" w:rsidRDefault="00A25AD1"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На первую машину уже собрано ряд агрегатов (коробка пере</w:t>
      </w:r>
      <w:r w:rsidRPr="00DB5D0D">
        <w:rPr>
          <w:rFonts w:ascii="Times New Roman" w:hAnsi="Times New Roman" w:cs="Times New Roman"/>
          <w:i w:val="0"/>
          <w:iCs w:val="0"/>
          <w:color w:val="000000" w:themeColor="text1"/>
          <w:sz w:val="16"/>
          <w:szCs w:val="16"/>
        </w:rPr>
        <w:softHyphen/>
        <w:t>мены передач, радиаторы, тормозные ленты и т.д.) остальные аг</w:t>
      </w:r>
      <w:r w:rsidRPr="00DB5D0D">
        <w:rPr>
          <w:rFonts w:ascii="Times New Roman" w:hAnsi="Times New Roman" w:cs="Times New Roman"/>
          <w:i w:val="0"/>
          <w:iCs w:val="0"/>
          <w:color w:val="000000" w:themeColor="text1"/>
          <w:sz w:val="16"/>
          <w:szCs w:val="16"/>
        </w:rPr>
        <w:softHyphen/>
        <w:t>регаты собираются. Корпус первой машины поступит на сборку к 20/V-40 г.</w:t>
      </w:r>
    </w:p>
    <w:p w14:paraId="5CCEDE25" w14:textId="77777777" w:rsidR="00A25AD1" w:rsidRPr="00DB5D0D" w:rsidRDefault="00A25AD1"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color w:val="000000" w:themeColor="text1"/>
          <w:sz w:val="16"/>
          <w:szCs w:val="16"/>
        </w:rPr>
        <w:t>Обеспечение всей серии:</w:t>
      </w:r>
    </w:p>
    <w:p w14:paraId="072D0630" w14:textId="77777777" w:rsidR="00A25AD1" w:rsidRPr="00DB5D0D" w:rsidRDefault="00A25AD1"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Имеется на 15/V-40r.:</w:t>
      </w:r>
    </w:p>
    <w:p w14:paraId="6553239F" w14:textId="77777777" w:rsidR="00A25AD1" w:rsidRPr="00DB5D0D" w:rsidRDefault="00A25AD1" w:rsidP="00DB5D0D">
      <w:pPr>
        <w:pStyle w:val="212"/>
        <w:shd w:val="clear" w:color="auto" w:fill="auto"/>
        <w:tabs>
          <w:tab w:val="left" w:pos="718"/>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1. Моторов - 5 шт.</w:t>
      </w:r>
    </w:p>
    <w:p w14:paraId="418A6FD7" w14:textId="77777777" w:rsidR="00A25AD1" w:rsidRPr="00DB5D0D" w:rsidRDefault="00A25AD1" w:rsidP="00DB5D0D">
      <w:pPr>
        <w:pStyle w:val="1110"/>
        <w:shd w:val="clear" w:color="auto" w:fill="auto"/>
        <w:tabs>
          <w:tab w:val="left" w:pos="50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noProof w:val="0"/>
          <w:color w:val="000000" w:themeColor="text1"/>
          <w:sz w:val="16"/>
          <w:szCs w:val="16"/>
          <w:lang w:val="ru-RU"/>
        </w:rPr>
        <w:t>2</w:t>
      </w:r>
      <w:r w:rsidRPr="00DB5D0D">
        <w:rPr>
          <w:rFonts w:ascii="Times New Roman" w:hAnsi="Times New Roman" w:cs="Times New Roman"/>
          <w:i w:val="0"/>
          <w:iCs w:val="0"/>
          <w:color w:val="000000" w:themeColor="text1"/>
          <w:sz w:val="16"/>
          <w:szCs w:val="16"/>
          <w:lang w:val="ru-RU"/>
        </w:rPr>
        <w:t>.</w:t>
      </w:r>
      <w:r w:rsidR="00BF70DD" w:rsidRPr="00DB5D0D">
        <w:rPr>
          <w:rFonts w:ascii="Times New Roman" w:hAnsi="Times New Roman" w:cs="Times New Roman"/>
          <w:i w:val="0"/>
          <w:iCs w:val="0"/>
          <w:color w:val="000000" w:themeColor="text1"/>
          <w:sz w:val="16"/>
          <w:szCs w:val="16"/>
          <w:lang w:val="ru-RU"/>
        </w:rPr>
        <w:t xml:space="preserve"> </w:t>
      </w:r>
      <w:r w:rsidRPr="00DB5D0D">
        <w:rPr>
          <w:rFonts w:ascii="Times New Roman" w:hAnsi="Times New Roman" w:cs="Times New Roman"/>
          <w:i w:val="0"/>
          <w:iCs w:val="0"/>
          <w:color w:val="000000" w:themeColor="text1"/>
          <w:sz w:val="16"/>
          <w:szCs w:val="16"/>
          <w:lang w:val="ru-RU"/>
        </w:rPr>
        <w:t>Радиаторов обеспечено заготовкой на 5 комплектов, на ос</w:t>
      </w:r>
      <w:r w:rsidRPr="00DB5D0D">
        <w:rPr>
          <w:rFonts w:ascii="Times New Roman" w:hAnsi="Times New Roman" w:cs="Times New Roman"/>
          <w:i w:val="0"/>
          <w:iCs w:val="0"/>
          <w:color w:val="000000" w:themeColor="text1"/>
          <w:sz w:val="16"/>
          <w:szCs w:val="16"/>
          <w:lang w:val="ru-RU"/>
        </w:rPr>
        <w:softHyphen/>
        <w:t>тальные - заготовки находятся в пути на завод.</w:t>
      </w:r>
    </w:p>
    <w:p w14:paraId="76F16637" w14:textId="77777777" w:rsidR="00A25AD1" w:rsidRPr="00DB5D0D" w:rsidRDefault="00A25AD1" w:rsidP="00DB5D0D">
      <w:pPr>
        <w:pStyle w:val="1110"/>
        <w:shd w:val="clear" w:color="auto" w:fill="auto"/>
        <w:tabs>
          <w:tab w:val="left" w:pos="51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noProof w:val="0"/>
          <w:color w:val="000000" w:themeColor="text1"/>
          <w:sz w:val="16"/>
          <w:szCs w:val="16"/>
          <w:lang w:val="ru-RU"/>
        </w:rPr>
        <w:t>3</w:t>
      </w:r>
      <w:r w:rsidRPr="00DB5D0D">
        <w:rPr>
          <w:rFonts w:ascii="Times New Roman" w:hAnsi="Times New Roman" w:cs="Times New Roman"/>
          <w:i w:val="0"/>
          <w:iCs w:val="0"/>
          <w:color w:val="000000" w:themeColor="text1"/>
          <w:sz w:val="16"/>
          <w:szCs w:val="16"/>
          <w:lang w:val="ru-RU"/>
        </w:rPr>
        <w:t>.</w:t>
      </w:r>
      <w:r w:rsidR="00BF70DD" w:rsidRPr="00DB5D0D">
        <w:rPr>
          <w:rFonts w:ascii="Times New Roman" w:hAnsi="Times New Roman" w:cs="Times New Roman"/>
          <w:i w:val="0"/>
          <w:iCs w:val="0"/>
          <w:color w:val="000000" w:themeColor="text1"/>
          <w:sz w:val="16"/>
          <w:szCs w:val="16"/>
          <w:lang w:val="ru-RU"/>
        </w:rPr>
        <w:t xml:space="preserve"> </w:t>
      </w:r>
      <w:r w:rsidRPr="00DB5D0D">
        <w:rPr>
          <w:rFonts w:ascii="Times New Roman" w:hAnsi="Times New Roman" w:cs="Times New Roman"/>
          <w:i w:val="0"/>
          <w:iCs w:val="0"/>
          <w:color w:val="000000" w:themeColor="text1"/>
          <w:sz w:val="16"/>
          <w:szCs w:val="16"/>
          <w:lang w:val="ru-RU"/>
        </w:rPr>
        <w:t>Коробки перемены передач имеются на 2 машины собран</w:t>
      </w:r>
      <w:r w:rsidRPr="00DB5D0D">
        <w:rPr>
          <w:rFonts w:ascii="Times New Roman" w:hAnsi="Times New Roman" w:cs="Times New Roman"/>
          <w:i w:val="0"/>
          <w:iCs w:val="0"/>
          <w:color w:val="000000" w:themeColor="text1"/>
          <w:sz w:val="16"/>
          <w:szCs w:val="16"/>
          <w:lang w:val="ru-RU"/>
        </w:rPr>
        <w:softHyphen/>
        <w:t>ные, заготовка и детали имеются на всю серию.</w:t>
      </w:r>
    </w:p>
    <w:p w14:paraId="25EB4764" w14:textId="77777777" w:rsidR="00A25AD1" w:rsidRPr="00DB5D0D" w:rsidRDefault="00A25AD1" w:rsidP="00DB5D0D">
      <w:pPr>
        <w:pStyle w:val="1110"/>
        <w:shd w:val="clear" w:color="auto" w:fill="auto"/>
        <w:tabs>
          <w:tab w:val="left" w:pos="49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noProof w:val="0"/>
          <w:color w:val="000000" w:themeColor="text1"/>
          <w:sz w:val="16"/>
          <w:szCs w:val="16"/>
          <w:lang w:val="ru-RU"/>
        </w:rPr>
        <w:t>4</w:t>
      </w:r>
      <w:r w:rsidRPr="00DB5D0D">
        <w:rPr>
          <w:rFonts w:ascii="Times New Roman" w:hAnsi="Times New Roman" w:cs="Times New Roman"/>
          <w:i w:val="0"/>
          <w:iCs w:val="0"/>
          <w:color w:val="000000" w:themeColor="text1"/>
          <w:sz w:val="16"/>
          <w:szCs w:val="16"/>
          <w:lang w:val="ru-RU"/>
        </w:rPr>
        <w:t>.</w:t>
      </w:r>
      <w:r w:rsidR="00BF70DD" w:rsidRPr="00DB5D0D">
        <w:rPr>
          <w:rFonts w:ascii="Times New Roman" w:hAnsi="Times New Roman" w:cs="Times New Roman"/>
          <w:i w:val="0"/>
          <w:iCs w:val="0"/>
          <w:color w:val="000000" w:themeColor="text1"/>
          <w:sz w:val="16"/>
          <w:szCs w:val="16"/>
          <w:lang w:val="ru-RU"/>
        </w:rPr>
        <w:t xml:space="preserve"> </w:t>
      </w:r>
      <w:r w:rsidRPr="00DB5D0D">
        <w:rPr>
          <w:rFonts w:ascii="Times New Roman" w:hAnsi="Times New Roman" w:cs="Times New Roman"/>
          <w:i w:val="0"/>
          <w:iCs w:val="0"/>
          <w:color w:val="000000" w:themeColor="text1"/>
          <w:sz w:val="16"/>
          <w:szCs w:val="16"/>
          <w:lang w:val="ru-RU"/>
        </w:rPr>
        <w:t>Баки имеются готовые на две машины, остальные изготавли</w:t>
      </w:r>
      <w:r w:rsidRPr="00DB5D0D">
        <w:rPr>
          <w:rFonts w:ascii="Times New Roman" w:hAnsi="Times New Roman" w:cs="Times New Roman"/>
          <w:i w:val="0"/>
          <w:iCs w:val="0"/>
          <w:color w:val="000000" w:themeColor="text1"/>
          <w:sz w:val="16"/>
          <w:szCs w:val="16"/>
          <w:lang w:val="ru-RU"/>
        </w:rPr>
        <w:softHyphen/>
        <w:t>ваются.</w:t>
      </w:r>
    </w:p>
    <w:p w14:paraId="4E1E8119" w14:textId="77777777" w:rsidR="00A25AD1" w:rsidRPr="00DB5D0D" w:rsidRDefault="00A25AD1" w:rsidP="00DB5D0D">
      <w:pPr>
        <w:pStyle w:val="1110"/>
        <w:shd w:val="clear" w:color="auto" w:fill="auto"/>
        <w:tabs>
          <w:tab w:val="left" w:pos="514"/>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noProof w:val="0"/>
          <w:color w:val="000000" w:themeColor="text1"/>
          <w:sz w:val="16"/>
          <w:szCs w:val="16"/>
          <w:lang w:val="ru-RU"/>
        </w:rPr>
        <w:t>5</w:t>
      </w:r>
      <w:r w:rsidRPr="00DB5D0D">
        <w:rPr>
          <w:rFonts w:ascii="Times New Roman" w:hAnsi="Times New Roman" w:cs="Times New Roman"/>
          <w:i w:val="0"/>
          <w:iCs w:val="0"/>
          <w:color w:val="000000" w:themeColor="text1"/>
          <w:sz w:val="16"/>
          <w:szCs w:val="16"/>
          <w:lang w:val="ru-RU"/>
        </w:rPr>
        <w:t>.</w:t>
      </w:r>
      <w:r w:rsidR="00BF70DD" w:rsidRPr="00DB5D0D">
        <w:rPr>
          <w:rFonts w:ascii="Times New Roman" w:hAnsi="Times New Roman" w:cs="Times New Roman"/>
          <w:i w:val="0"/>
          <w:iCs w:val="0"/>
          <w:color w:val="000000" w:themeColor="text1"/>
          <w:sz w:val="16"/>
          <w:szCs w:val="16"/>
          <w:lang w:val="ru-RU"/>
        </w:rPr>
        <w:t xml:space="preserve"> </w:t>
      </w:r>
      <w:r w:rsidRPr="00DB5D0D">
        <w:rPr>
          <w:rFonts w:ascii="Times New Roman" w:hAnsi="Times New Roman" w:cs="Times New Roman"/>
          <w:i w:val="0"/>
          <w:iCs w:val="0"/>
          <w:color w:val="000000" w:themeColor="text1"/>
          <w:sz w:val="16"/>
          <w:szCs w:val="16"/>
          <w:lang w:val="ru-RU"/>
        </w:rPr>
        <w:t>Главный фрикцион и бортовые — детали изготовлены на 10 комплектов - из-за отсутствия колец выключения не собираются (кольца будут готовы 17/</w:t>
      </w:r>
      <w:r w:rsidRPr="00DB5D0D">
        <w:rPr>
          <w:rFonts w:ascii="Times New Roman" w:hAnsi="Times New Roman" w:cs="Times New Roman"/>
          <w:i w:val="0"/>
          <w:iCs w:val="0"/>
          <w:noProof w:val="0"/>
          <w:color w:val="000000" w:themeColor="text1"/>
          <w:sz w:val="16"/>
          <w:szCs w:val="16"/>
        </w:rPr>
        <w:t>V</w:t>
      </w:r>
      <w:r w:rsidRPr="00DB5D0D">
        <w:rPr>
          <w:rFonts w:ascii="Times New Roman" w:hAnsi="Times New Roman" w:cs="Times New Roman"/>
          <w:i w:val="0"/>
          <w:iCs w:val="0"/>
          <w:color w:val="000000" w:themeColor="text1"/>
          <w:sz w:val="16"/>
          <w:szCs w:val="16"/>
          <w:lang w:val="ru-RU"/>
        </w:rPr>
        <w:t>-40</w:t>
      </w:r>
      <w:r w:rsidRPr="00DB5D0D">
        <w:rPr>
          <w:rFonts w:ascii="Times New Roman" w:hAnsi="Times New Roman" w:cs="Times New Roman"/>
          <w:i w:val="0"/>
          <w:iCs w:val="0"/>
          <w:noProof w:val="0"/>
          <w:color w:val="000000" w:themeColor="text1"/>
          <w:sz w:val="16"/>
          <w:szCs w:val="16"/>
        </w:rPr>
        <w:t>r</w:t>
      </w:r>
      <w:r w:rsidRPr="00DB5D0D">
        <w:rPr>
          <w:rFonts w:ascii="Times New Roman" w:hAnsi="Times New Roman" w:cs="Times New Roman"/>
          <w:i w:val="0"/>
          <w:iCs w:val="0"/>
          <w:color w:val="000000" w:themeColor="text1"/>
          <w:sz w:val="16"/>
          <w:szCs w:val="16"/>
          <w:lang w:val="ru-RU"/>
        </w:rPr>
        <w:t>.).</w:t>
      </w:r>
    </w:p>
    <w:p w14:paraId="034B77A6" w14:textId="77777777" w:rsidR="00A25AD1" w:rsidRPr="00DB5D0D" w:rsidRDefault="00A25AD1" w:rsidP="00DB5D0D">
      <w:pPr>
        <w:pStyle w:val="1110"/>
        <w:shd w:val="clear" w:color="auto" w:fill="auto"/>
        <w:tabs>
          <w:tab w:val="left" w:pos="497"/>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noProof w:val="0"/>
          <w:color w:val="000000" w:themeColor="text1"/>
          <w:sz w:val="16"/>
          <w:szCs w:val="16"/>
          <w:lang w:val="ru-RU"/>
        </w:rPr>
        <w:t>6</w:t>
      </w:r>
      <w:r w:rsidRPr="00DB5D0D">
        <w:rPr>
          <w:rFonts w:ascii="Times New Roman" w:hAnsi="Times New Roman" w:cs="Times New Roman"/>
          <w:i w:val="0"/>
          <w:iCs w:val="0"/>
          <w:color w:val="000000" w:themeColor="text1"/>
          <w:sz w:val="16"/>
          <w:szCs w:val="16"/>
          <w:lang w:val="ru-RU"/>
        </w:rPr>
        <w:t>.</w:t>
      </w:r>
      <w:r w:rsidR="00BF70DD" w:rsidRPr="00DB5D0D">
        <w:rPr>
          <w:rFonts w:ascii="Times New Roman" w:hAnsi="Times New Roman" w:cs="Times New Roman"/>
          <w:i w:val="0"/>
          <w:iCs w:val="0"/>
          <w:color w:val="000000" w:themeColor="text1"/>
          <w:sz w:val="16"/>
          <w:szCs w:val="16"/>
          <w:lang w:val="ru-RU"/>
        </w:rPr>
        <w:t xml:space="preserve"> </w:t>
      </w:r>
      <w:r w:rsidRPr="00DB5D0D">
        <w:rPr>
          <w:rFonts w:ascii="Times New Roman" w:hAnsi="Times New Roman" w:cs="Times New Roman"/>
          <w:i w:val="0"/>
          <w:iCs w:val="0"/>
          <w:color w:val="000000" w:themeColor="text1"/>
          <w:sz w:val="16"/>
          <w:szCs w:val="16"/>
          <w:lang w:val="ru-RU"/>
        </w:rPr>
        <w:t>Тормозные ленты имеются на всю серию.</w:t>
      </w:r>
    </w:p>
    <w:p w14:paraId="0139CD70"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По остальным группам детали частично находятся в обработ</w:t>
      </w:r>
      <w:r w:rsidRPr="00DB5D0D">
        <w:rPr>
          <w:rFonts w:ascii="Times New Roman" w:hAnsi="Times New Roman" w:cs="Times New Roman"/>
          <w:i w:val="0"/>
          <w:iCs w:val="0"/>
          <w:color w:val="000000" w:themeColor="text1"/>
          <w:sz w:val="16"/>
          <w:szCs w:val="16"/>
          <w:lang w:val="ru-RU"/>
        </w:rPr>
        <w:softHyphen/>
        <w:t>ке, остальные уже изготовлены. Ввиду того, что необходимое время на изготовление некоторых приспособлений и калибров очень большое, то многие детали приходится обрабатывать без нали</w:t>
      </w:r>
      <w:r w:rsidRPr="00DB5D0D">
        <w:rPr>
          <w:rFonts w:ascii="Times New Roman" w:hAnsi="Times New Roman" w:cs="Times New Roman"/>
          <w:i w:val="0"/>
          <w:iCs w:val="0"/>
          <w:color w:val="000000" w:themeColor="text1"/>
          <w:sz w:val="16"/>
          <w:szCs w:val="16"/>
          <w:lang w:val="ru-RU"/>
        </w:rPr>
        <w:softHyphen/>
        <w:t>чия соответствующих приспособлений и калибров, что приводит к большому проценту брака и к отступлению от чертежей по меха</w:t>
      </w:r>
      <w:r w:rsidRPr="00DB5D0D">
        <w:rPr>
          <w:rFonts w:ascii="Times New Roman" w:hAnsi="Times New Roman" w:cs="Times New Roman"/>
          <w:i w:val="0"/>
          <w:iCs w:val="0"/>
          <w:color w:val="000000" w:themeColor="text1"/>
          <w:sz w:val="16"/>
          <w:szCs w:val="16"/>
          <w:lang w:val="ru-RU"/>
        </w:rPr>
        <w:softHyphen/>
        <w:t>нической обработке.</w:t>
      </w:r>
    </w:p>
    <w:p w14:paraId="218AE2A9" w14:textId="77777777" w:rsidR="00A25AD1" w:rsidRPr="00DB5D0D" w:rsidRDefault="00A25AD1" w:rsidP="00DB5D0D">
      <w:pPr>
        <w:pStyle w:val="1110"/>
        <w:shd w:val="clear" w:color="auto" w:fill="auto"/>
        <w:spacing w:line="240" w:lineRule="auto"/>
        <w:jc w:val="both"/>
        <w:rPr>
          <w:rStyle w:val="11110"/>
          <w:rFonts w:ascii="Times New Roman" w:hAnsi="Times New Roman" w:cs="Times New Roman"/>
          <w:noProof w:val="0"/>
          <w:color w:val="000000" w:themeColor="text1"/>
          <w:spacing w:val="0"/>
          <w:sz w:val="16"/>
          <w:szCs w:val="16"/>
          <w:lang w:val="ru-RU"/>
        </w:rPr>
      </w:pPr>
      <w:r w:rsidRPr="00DB5D0D">
        <w:rPr>
          <w:rFonts w:ascii="Times New Roman" w:hAnsi="Times New Roman" w:cs="Times New Roman"/>
          <w:i w:val="0"/>
          <w:iCs w:val="0"/>
          <w:color w:val="000000" w:themeColor="text1"/>
          <w:sz w:val="16"/>
          <w:szCs w:val="16"/>
          <w:lang w:val="ru-RU"/>
        </w:rPr>
        <w:t>СТ. ВОЕНПРЕД АБТУ КА ВОЕН ИНЖЕНЕР 2 РАНГА КОЗЫРЕВ ПОМ. ВОЕНПРЕДА АБТУ КА ВОЕНИНЖЕНЕРЗ РАНГА ПАВЛОВ.</w:t>
      </w:r>
      <w:r w:rsidRPr="00DB5D0D">
        <w:rPr>
          <w:rStyle w:val="11110"/>
          <w:rFonts w:ascii="Times New Roman" w:hAnsi="Times New Roman" w:cs="Times New Roman"/>
          <w:color w:val="000000" w:themeColor="text1"/>
          <w:spacing w:val="0"/>
          <w:sz w:val="16"/>
          <w:szCs w:val="16"/>
          <w:lang w:val="ru-RU"/>
        </w:rPr>
        <w:t xml:space="preserve"> [</w:t>
      </w:r>
      <w:r w:rsidRPr="00DB5D0D">
        <w:rPr>
          <w:rFonts w:ascii="Times New Roman" w:hAnsi="Times New Roman" w:cs="Times New Roman"/>
          <w:i w:val="0"/>
          <w:iCs w:val="0"/>
          <w:color w:val="000000" w:themeColor="text1"/>
          <w:sz w:val="16"/>
          <w:szCs w:val="16"/>
          <w:lang w:val="ru-RU"/>
        </w:rPr>
        <w:t xml:space="preserve">РГВА. Ф.31811. </w:t>
      </w:r>
      <w:r w:rsidRPr="00DB5D0D">
        <w:rPr>
          <w:rFonts w:ascii="Times New Roman" w:hAnsi="Times New Roman" w:cs="Times New Roman"/>
          <w:i w:val="0"/>
          <w:iCs w:val="0"/>
          <w:noProof w:val="0"/>
          <w:color w:val="000000" w:themeColor="text1"/>
          <w:sz w:val="16"/>
          <w:szCs w:val="16"/>
        </w:rPr>
        <w:t>On</w:t>
      </w:r>
      <w:r w:rsidRPr="00DB5D0D">
        <w:rPr>
          <w:rFonts w:ascii="Times New Roman" w:hAnsi="Times New Roman" w:cs="Times New Roman"/>
          <w:i w:val="0"/>
          <w:iCs w:val="0"/>
          <w:noProof w:val="0"/>
          <w:color w:val="000000" w:themeColor="text1"/>
          <w:sz w:val="16"/>
          <w:szCs w:val="16"/>
          <w:lang w:val="ru-RU"/>
        </w:rPr>
        <w:t>.</w:t>
      </w:r>
      <w:r w:rsidRPr="00DB5D0D">
        <w:rPr>
          <w:rFonts w:ascii="Times New Roman" w:hAnsi="Times New Roman" w:cs="Times New Roman"/>
          <w:i w:val="0"/>
          <w:iCs w:val="0"/>
          <w:color w:val="000000" w:themeColor="text1"/>
          <w:sz w:val="16"/>
          <w:szCs w:val="16"/>
          <w:lang w:val="ru-RU"/>
        </w:rPr>
        <w:t>2.</w:t>
      </w:r>
      <w:r w:rsidRPr="00DB5D0D">
        <w:rPr>
          <w:rStyle w:val="4835pt2911"/>
          <w:rFonts w:ascii="Times New Roman" w:hAnsi="Times New Roman" w:cs="Times New Roman"/>
          <w:b w:val="0"/>
          <w:bCs w:val="0"/>
          <w:color w:val="000000" w:themeColor="text1"/>
          <w:spacing w:val="0"/>
          <w:sz w:val="16"/>
          <w:szCs w:val="16"/>
          <w:lang w:val="ru-RU"/>
        </w:rPr>
        <w:t>д</w:t>
      </w:r>
      <w:r w:rsidRPr="00DB5D0D">
        <w:rPr>
          <w:rStyle w:val="4835pt2911"/>
          <w:rFonts w:ascii="Times New Roman" w:hAnsi="Times New Roman" w:cs="Times New Roman"/>
          <w:b w:val="0"/>
          <w:iCs/>
          <w:color w:val="000000" w:themeColor="text1"/>
          <w:spacing w:val="0"/>
          <w:sz w:val="16"/>
          <w:szCs w:val="16"/>
          <w:lang w:val="ru-RU"/>
        </w:rPr>
        <w:t>.</w:t>
      </w:r>
      <w:r w:rsidRPr="00DB5D0D">
        <w:rPr>
          <w:rFonts w:ascii="Times New Roman" w:hAnsi="Times New Roman" w:cs="Times New Roman"/>
          <w:i w:val="0"/>
          <w:iCs w:val="0"/>
          <w:color w:val="000000" w:themeColor="text1"/>
          <w:sz w:val="16"/>
          <w:szCs w:val="16"/>
          <w:lang w:val="ru-RU"/>
        </w:rPr>
        <w:t xml:space="preserve"> 1181. Л. 116.</w:t>
      </w:r>
      <w:r w:rsidRPr="00DB5D0D">
        <w:rPr>
          <w:rStyle w:val="11110"/>
          <w:rFonts w:ascii="Times New Roman" w:hAnsi="Times New Roman" w:cs="Times New Roman"/>
          <w:color w:val="000000" w:themeColor="text1"/>
          <w:spacing w:val="0"/>
          <w:sz w:val="16"/>
          <w:szCs w:val="16"/>
          <w:lang w:val="ru-RU"/>
        </w:rPr>
        <w:t>]</w:t>
      </w:r>
      <w:r w:rsidRPr="00DB5D0D">
        <w:rPr>
          <w:rStyle w:val="11110"/>
          <w:rFonts w:ascii="Times New Roman" w:hAnsi="Times New Roman" w:cs="Times New Roman"/>
          <w:noProof w:val="0"/>
          <w:color w:val="000000" w:themeColor="text1"/>
          <w:spacing w:val="0"/>
          <w:sz w:val="16"/>
          <w:szCs w:val="16"/>
          <w:lang w:val="ru-RU"/>
        </w:rPr>
        <w:t xml:space="preserve"> (11906).</w:t>
      </w:r>
    </w:p>
    <w:p w14:paraId="682634DE"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p>
    <w:p w14:paraId="1CC720A6"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18 мая 1940</w:t>
      </w:r>
    </w:p>
    <w:p w14:paraId="1E3C42FE"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08E2D714"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1 </w:t>
      </w:r>
    </w:p>
    <w:p w14:paraId="0161D4B7"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18/V 1940 г. </w:t>
      </w:r>
    </w:p>
    <w:p w14:paraId="212A17AC"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228с </w:t>
      </w:r>
    </w:p>
    <w:p w14:paraId="66DAD4E2"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8 ОТДЕЛА АБТУ КА</w:t>
      </w:r>
    </w:p>
    <w:p w14:paraId="7425DEAB"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1 РАНГА т. АФОНИНУ</w:t>
      </w:r>
    </w:p>
    <w:p w14:paraId="6BDC3251"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СВОДКА</w:t>
      </w:r>
    </w:p>
    <w:p w14:paraId="7983325A"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СОСТОЯНИЯ РАБОТ ПО ОПЫТНОЙ СЕРИИ МАШИН "34" НА 15 МАЯ 1940 г.</w:t>
      </w:r>
    </w:p>
    <w:p w14:paraId="392F9A4F"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Чертежи и технологические процессы полностью спущены в производство. </w:t>
      </w:r>
    </w:p>
    <w:p w14:paraId="723FAD07"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Изготовление деталей: из общего числа 2362 наименований изготовлено 1716 наименований, причем на первые две машины детали изготовлены полностью за исключением нескольких наименований, которые сейчас изготавливаются взамен брака (кольца выключения) и кроме того нет нескольких наименований покупных деталей, из них подшипники и стартеры еще не поступили на завод. </w:t>
      </w:r>
    </w:p>
    <w:p w14:paraId="0FDDC7B4"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первую машину уже собрано ряд агрегатов (коробка перемены передач, радиаторы, тормозные ленты и т.д.) остальные агрегаты собираются. Корпус первой машины поступит на сборку к 20/V-40г. </w:t>
      </w:r>
    </w:p>
    <w:p w14:paraId="4A42F611"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Обеспечение всей серии: </w:t>
      </w:r>
    </w:p>
    <w:p w14:paraId="05E6D46E"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Имеется на 15/V-40 г.: </w:t>
      </w:r>
    </w:p>
    <w:p w14:paraId="037022CE"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Моторов – 5 шт. </w:t>
      </w:r>
    </w:p>
    <w:p w14:paraId="7FF3FE11"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Радиаторов обеспечено заготовкой на 5 комплектов, на остальные – заготовки находятся в пути на завод. </w:t>
      </w:r>
    </w:p>
    <w:p w14:paraId="4E66CC15"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Коробки перемены передач имеются на 2 машины собранные, заготовка и детали имеются на всю серию. </w:t>
      </w:r>
    </w:p>
    <w:p w14:paraId="58B02FD9"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Баки имеются готовые на две машины, остальные изготавливаются. </w:t>
      </w:r>
    </w:p>
    <w:p w14:paraId="7A287916"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Главный фрикцион и бортовые – детали изготовлены на 10 комплектов – из-за отсутствия колец выключения не собираются (кольца будут готовы 17/V-40 г.). </w:t>
      </w:r>
    </w:p>
    <w:p w14:paraId="7DBA3859"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Тормозные ленты имеются на всю серию. </w:t>
      </w:r>
    </w:p>
    <w:p w14:paraId="6C10BC2B"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остальным группам детали частично находятся в обработке, остальные уже изготовлены. Ввиду того, что необходимое время на изготовление некоторых приспособлений и калибров очень большое, то многие детали приходится обрабатывать без наличия соответствующих приспособлений и калибров, что приводит к большому проценту брака и к отступлению от чертежей по механической обработке. </w:t>
      </w:r>
    </w:p>
    <w:p w14:paraId="590FB7FA"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СТ. ВОЕНПРЕД АБТУ КА ВОЕНИНЖЕНЕР 2 РАНГА подпись (КОЗЫРЕВ)</w:t>
      </w:r>
    </w:p>
    <w:p w14:paraId="4B11E37C"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ПОМ. ВОЕНПРЕДА АБТУ КА ВОЕНИНЖЕНЕР 3 РАНГА 17.5.40 г. подпись (ПАВЛОВ)</w:t>
      </w:r>
    </w:p>
    <w:p w14:paraId="0850FAF2"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Отпечатано 2 экз. </w:t>
      </w:r>
    </w:p>
    <w:p w14:paraId="25B7C2CC"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Исполнитель Павлов</w:t>
      </w:r>
    </w:p>
    <w:p w14:paraId="15B8DE62"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 116 с об.</w:t>
      </w:r>
      <w:r w:rsidRPr="00DB5D0D">
        <w:rPr>
          <w:rFonts w:ascii="Times New Roman" w:eastAsia="Times New Roman" w:hAnsi="Times New Roman"/>
          <w:color w:val="000000" w:themeColor="text1"/>
          <w:sz w:val="16"/>
          <w:szCs w:val="16"/>
          <w:lang w:eastAsia="ru-RU"/>
        </w:rPr>
        <w:t xml:space="preserve"> (18076).</w:t>
      </w:r>
    </w:p>
    <w:p w14:paraId="70381A02" w14:textId="77777777" w:rsidR="009718B9" w:rsidRPr="00DB5D0D" w:rsidRDefault="009718B9" w:rsidP="00DB5D0D">
      <w:pPr>
        <w:spacing w:after="0" w:line="240" w:lineRule="auto"/>
        <w:jc w:val="both"/>
        <w:rPr>
          <w:rFonts w:ascii="Times New Roman" w:eastAsia="Times New Roman" w:hAnsi="Times New Roman"/>
          <w:color w:val="000000" w:themeColor="text1"/>
          <w:sz w:val="16"/>
          <w:szCs w:val="16"/>
          <w:lang w:eastAsia="ru-RU"/>
        </w:rPr>
      </w:pPr>
    </w:p>
    <w:p w14:paraId="334AB8B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49CECD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66D81F2"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18 мая 1940 выполнил первый полет SAAB B17 (20795). </w:t>
      </w:r>
    </w:p>
    <w:p w14:paraId="521EDC68" w14:textId="77777777" w:rsidR="00730ADE" w:rsidRPr="00DB5D0D" w:rsidRDefault="00730ADE" w:rsidP="00DB5D0D">
      <w:pPr>
        <w:spacing w:after="0" w:line="240" w:lineRule="auto"/>
        <w:jc w:val="both"/>
        <w:rPr>
          <w:rFonts w:ascii="Times New Roman" w:hAnsi="Times New Roman"/>
          <w:color w:val="0070C0"/>
          <w:sz w:val="16"/>
          <w:szCs w:val="16"/>
        </w:rPr>
      </w:pPr>
    </w:p>
    <w:p w14:paraId="04FA642B"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мая 1940 года — первый полёт лёгкого бомбардировщика и самолёта-разведчика Saab 17.</w:t>
      </w:r>
    </w:p>
    <w:p w14:paraId="14E165B2"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Самолёт разрабатывался для замены устаревших разведывательных бипланов Fokker S 6 в ВВС Швеции. Изначально проектом занималась компания ASJA, но в 1939 году её поглотила SAAB (Svenska Aeroplan AB) и новая машина получила обозначение Saab 17.</w:t>
      </w:r>
    </w:p>
    <w:p w14:paraId="26070740"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 конструкторов получился одномоторный среднеплан с экипажем из 2 человек. Интересной была конструкция шасси — оно убиралось во внешние обтекатели. Кроме того можно было установить лыжное и поплавковое шасси. Вооружение — 2 × 8-мм пулемёта в консолях крыла + 1 × 8-мм пулемёт у наблюдателя-радиста. В зависимости от версии бомбовая нагрузка была от 300 до 500 кг.</w:t>
      </w:r>
    </w:p>
    <w:p w14:paraId="76ADF4D1"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Всего выпустили 323 единицы Saab 17 различных вариантов — бомбардировщиков и разведчиков. Основным эксплуатантом стали шведские ВВС. Сняли с вооружения самолёт в 1955 году. На сегодня в мире существе 5 уцелевших экземпляров Saab 17 (22300).</w:t>
      </w:r>
    </w:p>
    <w:p w14:paraId="0A95FC93" w14:textId="77777777" w:rsidR="00730ADE" w:rsidRPr="00DB5D0D" w:rsidRDefault="00730ADE" w:rsidP="00DB5D0D">
      <w:pPr>
        <w:spacing w:after="0" w:line="240" w:lineRule="auto"/>
        <w:jc w:val="both"/>
        <w:rPr>
          <w:rFonts w:ascii="Times New Roman" w:hAnsi="Times New Roman"/>
          <w:color w:val="0070C0"/>
          <w:sz w:val="16"/>
          <w:szCs w:val="16"/>
        </w:rPr>
      </w:pPr>
    </w:p>
    <w:p w14:paraId="508A814F" w14:textId="77777777" w:rsidR="00AA5B6A" w:rsidRPr="00DB5D0D" w:rsidRDefault="00AA5B6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мая 1940 Пилот французских ВВС Роджер Соваж одерживает свою первую воздушную победу, поджигая немецкий Heinkel He 111 над Францией, вынуждая его приземлиться к северу от Фисмеса и захватив двух оставшихся в живых членов экипажа. Он станет единственным черным асом в истории, который одержал 16 побед к концу Второй мировой войны.</w:t>
      </w:r>
    </w:p>
    <w:p w14:paraId="6C8F957A" w14:textId="77777777" w:rsidR="00AA5B6A" w:rsidRPr="00DB5D0D" w:rsidRDefault="00AA5B6A" w:rsidP="00DB5D0D">
      <w:pPr>
        <w:spacing w:after="0" w:line="240" w:lineRule="auto"/>
        <w:jc w:val="both"/>
        <w:rPr>
          <w:rFonts w:ascii="Times New Roman" w:hAnsi="Times New Roman"/>
          <w:color w:val="0070C0"/>
          <w:sz w:val="16"/>
          <w:szCs w:val="16"/>
        </w:rPr>
      </w:pPr>
    </w:p>
    <w:p w14:paraId="2337D6D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герой первой мировой войны маршал А. Петен назначен министром обороны Франции (4962).</w:t>
      </w:r>
    </w:p>
    <w:p w14:paraId="3038E56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1C61D61" w14:textId="77777777" w:rsidR="00F97243" w:rsidRPr="00DB5D0D" w:rsidRDefault="00F97243"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18 мая 1940 г. премьер–министр Франции Поль Рейно стал военным министром и просит волнового героя Рузвельта объявить войну Германии, но судьба Франции предрешена. Уже через неделю после начала немецкого наступления и падения 17 мая Брюсселя стало очевидно – военное командование Франции не способно справиться с ситуацией. 18 мая премьер-министр Франции Поль Рейно к своим двум постам – премьер-министра и министра иностранных дел добавил третий – министра национальной обороны. На этой должности он проработал до 5 июня. В должности премьера он работал по 16 июня 1940 г. – в этот день он передавал дела Петену, а за два дня до этого немцы вошли в Париж (17398).</w:t>
      </w:r>
    </w:p>
    <w:p w14:paraId="7861CE1A" w14:textId="77777777" w:rsidR="00F97243" w:rsidRPr="00DB5D0D" w:rsidRDefault="00F97243" w:rsidP="00DB5D0D">
      <w:pPr>
        <w:spacing w:after="0" w:line="240" w:lineRule="auto"/>
        <w:jc w:val="both"/>
        <w:rPr>
          <w:rFonts w:ascii="Times New Roman" w:hAnsi="Times New Roman"/>
          <w:color w:val="000000" w:themeColor="text1"/>
          <w:sz w:val="16"/>
          <w:szCs w:val="16"/>
        </w:rPr>
      </w:pPr>
    </w:p>
    <w:p w14:paraId="5B2CC0AB" w14:textId="77777777" w:rsidR="00F97243" w:rsidRPr="00DB5D0D" w:rsidRDefault="00F9724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г. командующий 9-й армией Анри Жиро попытался нанести контрудар по танковым силам немцев, для этого он приказал сосредоточить распыленные по фронту подразделения 1-й мех. дивизии. Но сделать это не успели – немецкие танки прорвались к Ле Кателе и разгромили штаб 9-й армии Франции. Жиро первоначально удалось избежать плена, но на следующий день 19 мая 1940 г. он был пленен. Французы затем писали, что генерала Анри Жиро захватили танкисты, а немцы издевательски отвели эту роль солдатам-поварам с полевой кухни. Так или иначе, 9-я французская армия была разгромлена, а ее штаб уничтожен (17398).</w:t>
      </w:r>
    </w:p>
    <w:p w14:paraId="5EE83876" w14:textId="77777777" w:rsidR="00F97243" w:rsidRPr="00DB5D0D" w:rsidRDefault="00F97243" w:rsidP="00DB5D0D">
      <w:pPr>
        <w:spacing w:after="0" w:line="240" w:lineRule="auto"/>
        <w:jc w:val="both"/>
        <w:rPr>
          <w:rFonts w:ascii="Times New Roman" w:hAnsi="Times New Roman"/>
          <w:color w:val="000000" w:themeColor="text1"/>
          <w:sz w:val="16"/>
          <w:szCs w:val="16"/>
        </w:rPr>
      </w:pPr>
    </w:p>
    <w:p w14:paraId="0DCAE6A1" w14:textId="77777777" w:rsidR="00106B42" w:rsidRPr="00DB5D0D" w:rsidRDefault="00106B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w:t>
      </w:r>
      <w:r w:rsidRPr="00DB5D0D">
        <w:rPr>
          <w:rFonts w:ascii="Times New Roman" w:hAnsi="Times New Roman"/>
          <w:bCs/>
          <w:color w:val="000000" w:themeColor="text1"/>
          <w:sz w:val="16"/>
          <w:szCs w:val="16"/>
        </w:rPr>
        <w:t xml:space="preserve"> 1940 немцы начали наступление к устью Соммы. Через день они захватили Амьен и передовыми отрядами вышли на побережье в районе к юго-западу от Дюнкерка. 40 английских, французских и бельгийских дивизий были отсечены от главных сил (17398).</w:t>
      </w:r>
    </w:p>
    <w:p w14:paraId="3BFE6736" w14:textId="77777777" w:rsidR="00106B42" w:rsidRPr="00DB5D0D" w:rsidRDefault="00106B42" w:rsidP="00DB5D0D">
      <w:pPr>
        <w:spacing w:after="0" w:line="240" w:lineRule="auto"/>
        <w:jc w:val="both"/>
        <w:rPr>
          <w:rFonts w:ascii="Times New Roman" w:hAnsi="Times New Roman"/>
          <w:color w:val="000000" w:themeColor="text1"/>
          <w:sz w:val="16"/>
          <w:szCs w:val="16"/>
        </w:rPr>
      </w:pPr>
    </w:p>
    <w:p w14:paraId="29CA49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А.Г. подписал декрет о присоединении к Германии 3 областей Бельгии (2443,416).</w:t>
      </w:r>
    </w:p>
    <w:p w14:paraId="506CC727" w14:textId="77777777" w:rsidR="00F97243" w:rsidRPr="00DB5D0D" w:rsidRDefault="00F97243" w:rsidP="00DB5D0D">
      <w:pPr>
        <w:spacing w:after="0" w:line="240" w:lineRule="auto"/>
        <w:jc w:val="both"/>
        <w:rPr>
          <w:rFonts w:ascii="Times New Roman" w:hAnsi="Times New Roman"/>
          <w:color w:val="000000" w:themeColor="text1"/>
          <w:sz w:val="16"/>
          <w:szCs w:val="16"/>
        </w:rPr>
      </w:pPr>
    </w:p>
    <w:p w14:paraId="78210B9D"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18th, 1940: In the West, XIX.Panzerkorps (Guderian) in its rapid advance toward the Channel coast reaches Peronne. German troops occupy Antwerp (3819).</w:t>
      </w:r>
    </w:p>
    <w:p w14:paraId="26C78E2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50A656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 xml:space="preserve">18 </w:t>
      </w:r>
      <w:r w:rsidRPr="00DB5D0D">
        <w:rPr>
          <w:rFonts w:ascii="Times New Roman" w:hAnsi="Times New Roman"/>
          <w:color w:val="000000" w:themeColor="text1"/>
          <w:sz w:val="16"/>
          <w:szCs w:val="16"/>
        </w:rPr>
        <w:t>мая</w:t>
      </w:r>
      <w:r w:rsidRPr="00DB5D0D">
        <w:rPr>
          <w:rFonts w:ascii="Times New Roman" w:hAnsi="Times New Roman"/>
          <w:color w:val="000000" w:themeColor="text1"/>
          <w:sz w:val="16"/>
          <w:szCs w:val="16"/>
          <w:lang w:val="en-US"/>
        </w:rPr>
        <w:t xml:space="preserve"> 1940 19</w:t>
      </w:r>
      <w:r w:rsidRPr="00DB5D0D">
        <w:rPr>
          <w:rFonts w:ascii="Times New Roman" w:hAnsi="Times New Roman"/>
          <w:color w:val="000000" w:themeColor="text1"/>
          <w:sz w:val="16"/>
          <w:szCs w:val="16"/>
        </w:rPr>
        <w:t>ТГ</w:t>
      </w:r>
      <w:r w:rsidRPr="00DB5D0D">
        <w:rPr>
          <w:rFonts w:ascii="Times New Roman" w:hAnsi="Times New Roman"/>
          <w:color w:val="000000" w:themeColor="text1"/>
          <w:sz w:val="16"/>
          <w:szCs w:val="16"/>
          <w:lang w:val="en-US"/>
        </w:rPr>
        <w:t xml:space="preserve"> (</w:t>
      </w:r>
      <w:r w:rsidRPr="00DB5D0D">
        <w:rPr>
          <w:rFonts w:ascii="Times New Roman" w:hAnsi="Times New Roman"/>
          <w:color w:val="000000" w:themeColor="text1"/>
          <w:sz w:val="16"/>
          <w:szCs w:val="16"/>
        </w:rPr>
        <w:t>Гудериан</w:t>
      </w:r>
      <w:r w:rsidRPr="00DB5D0D">
        <w:rPr>
          <w:rFonts w:ascii="Times New Roman" w:hAnsi="Times New Roman"/>
          <w:color w:val="000000" w:themeColor="text1"/>
          <w:sz w:val="16"/>
          <w:szCs w:val="16"/>
          <w:lang w:val="en-US"/>
        </w:rPr>
        <w:t xml:space="preserve">), </w:t>
      </w:r>
      <w:r w:rsidRPr="00DB5D0D">
        <w:rPr>
          <w:rFonts w:ascii="Times New Roman" w:hAnsi="Times New Roman"/>
          <w:color w:val="000000" w:themeColor="text1"/>
          <w:sz w:val="16"/>
          <w:szCs w:val="16"/>
        </w:rPr>
        <w:t>наступаявдольЛа</w:t>
      </w:r>
      <w:r w:rsidRPr="00DB5D0D">
        <w:rPr>
          <w:rFonts w:ascii="Times New Roman" w:hAnsi="Times New Roman"/>
          <w:color w:val="000000" w:themeColor="text1"/>
          <w:sz w:val="16"/>
          <w:szCs w:val="16"/>
          <w:lang w:val="en-US"/>
        </w:rPr>
        <w:t>-</w:t>
      </w:r>
      <w:r w:rsidRPr="00DB5D0D">
        <w:rPr>
          <w:rFonts w:ascii="Times New Roman" w:hAnsi="Times New Roman"/>
          <w:color w:val="000000" w:themeColor="text1"/>
          <w:sz w:val="16"/>
          <w:szCs w:val="16"/>
        </w:rPr>
        <w:t>Манша</w:t>
      </w:r>
      <w:r w:rsidRPr="00DB5D0D">
        <w:rPr>
          <w:rFonts w:ascii="Times New Roman" w:hAnsi="Times New Roman"/>
          <w:color w:val="000000" w:themeColor="text1"/>
          <w:sz w:val="16"/>
          <w:szCs w:val="16"/>
          <w:lang w:val="en-US"/>
        </w:rPr>
        <w:t xml:space="preserve">, </w:t>
      </w:r>
      <w:r w:rsidRPr="00DB5D0D">
        <w:rPr>
          <w:rFonts w:ascii="Times New Roman" w:hAnsi="Times New Roman"/>
          <w:color w:val="000000" w:themeColor="text1"/>
          <w:sz w:val="16"/>
          <w:szCs w:val="16"/>
        </w:rPr>
        <w:t>достиглаПеронна</w:t>
      </w:r>
      <w:r w:rsidRPr="00DB5D0D">
        <w:rPr>
          <w:rFonts w:ascii="Times New Roman" w:hAnsi="Times New Roman"/>
          <w:color w:val="000000" w:themeColor="text1"/>
          <w:sz w:val="16"/>
          <w:szCs w:val="16"/>
          <w:lang w:val="en-US"/>
        </w:rPr>
        <w:t xml:space="preserve">. </w:t>
      </w:r>
      <w:r w:rsidRPr="00DB5D0D">
        <w:rPr>
          <w:rFonts w:ascii="Times New Roman" w:hAnsi="Times New Roman"/>
          <w:color w:val="000000" w:themeColor="text1"/>
          <w:sz w:val="16"/>
          <w:szCs w:val="16"/>
        </w:rPr>
        <w:t>Немецкие войска оккупировали Антверпен (3819).</w:t>
      </w:r>
    </w:p>
    <w:p w14:paraId="1845B40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19222D" w14:textId="77777777" w:rsidR="00F97243" w:rsidRPr="00DB5D0D" w:rsidRDefault="00F9724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 мая 1940 г. неожиданно Адольф Гитлер лично отдал распоряжение остановить танковое наступление. Приказ был доведен до командира </w:t>
      </w:r>
      <w:r w:rsidRPr="00DB5D0D">
        <w:rPr>
          <w:rFonts w:ascii="Times New Roman" w:hAnsi="Times New Roman"/>
          <w:bCs/>
          <w:iCs/>
          <w:color w:val="000000" w:themeColor="text1"/>
          <w:sz w:val="16"/>
          <w:szCs w:val="16"/>
        </w:rPr>
        <w:t>19</w:t>
      </w:r>
      <w:r w:rsidRPr="00DB5D0D">
        <w:rPr>
          <w:rFonts w:ascii="Times New Roman" w:hAnsi="Times New Roman"/>
          <w:color w:val="000000" w:themeColor="text1"/>
          <w:sz w:val="16"/>
          <w:szCs w:val="16"/>
        </w:rPr>
        <w:t>-го АК Гейнца Гудериана. Армейское командование вермахта продолжило т.н. разведку боем, фактически наступление. Французские армии были рассечены и отброшены к Ла-Маншу и Парижу. Фронт линии окружения удерживал волновой герой Рейхенау, атаку на Париж вел Гудериан, общее руководство вермахтом осуществлял Браухич. У Франции оборону вел Гамелен, активная роль принадлежала Жиро. Вскоре Гамелен будет отстранен, Жиро попадет в плен –Браухич одержит победу (17398).</w:t>
      </w:r>
    </w:p>
    <w:p w14:paraId="7040EED0" w14:textId="77777777" w:rsidR="00F97243" w:rsidRPr="00DB5D0D" w:rsidRDefault="00F97243" w:rsidP="00DB5D0D">
      <w:pPr>
        <w:spacing w:after="0" w:line="240" w:lineRule="auto"/>
        <w:jc w:val="both"/>
        <w:rPr>
          <w:rFonts w:ascii="Times New Roman" w:hAnsi="Times New Roman"/>
          <w:color w:val="000000" w:themeColor="text1"/>
          <w:sz w:val="16"/>
          <w:szCs w:val="16"/>
        </w:rPr>
      </w:pPr>
    </w:p>
    <w:p w14:paraId="061692EF"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г. он присутствовал в Дюссельдорфе на встрече четырех монополистов с участием Густава Крупна, которые делили между собой промышленные предприятия Голландии и Бельгии. Тыча пальцами в географические карты, они кричали: «Это мое. Мое это!»</w:t>
      </w:r>
      <w:bookmarkStart w:id="21" w:name="footnote15"/>
      <w:bookmarkEnd w:id="21"/>
      <w:r w:rsidRPr="00DB5D0D">
        <w:rPr>
          <w:rFonts w:ascii="Times New Roman" w:hAnsi="Times New Roman"/>
          <w:color w:val="000000" w:themeColor="text1"/>
          <w:sz w:val="16"/>
          <w:szCs w:val="16"/>
        </w:rPr>
        <w:t xml:space="preserve"> </w:t>
      </w:r>
    </w:p>
    <w:p w14:paraId="2B0F878F"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Экономическое ограбление оккупированных территорий являлось официальной политикой правительства фашистской Германии. 16 июля 1940 г. начальник управления военной экономики и вооружений ОКВ генерал Г. Томас издал специальную директиву о разграблении сырья и станков в оккупированных областях:</w:t>
      </w:r>
    </w:p>
    <w:p w14:paraId="0DD03D4A"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 сырье, которое обнаружено в соответствии с указаниями, полученными хозяйственными подразделениями в войсках, подлежит отправке в рейх;</w:t>
      </w:r>
    </w:p>
    <w:p w14:paraId="08CBE62D"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станки, согласно списку, помещенному в приложении, и электромоторы, работающие от нормального напряжения, важны для военной промышленности и поэтому также должны быть вывезены в рейх»</w:t>
      </w:r>
      <w:bookmarkStart w:id="22" w:name="footnote16"/>
      <w:bookmarkEnd w:id="22"/>
      <w:r w:rsidRPr="00DB5D0D">
        <w:rPr>
          <w:rFonts w:ascii="Times New Roman" w:hAnsi="Times New Roman"/>
          <w:color w:val="000000" w:themeColor="text1"/>
          <w:sz w:val="16"/>
          <w:szCs w:val="16"/>
        </w:rPr>
        <w:t>.</w:t>
      </w:r>
    </w:p>
    <w:p w14:paraId="1149F8DC"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перевозке предлагалось различать: трофеи — все сырье, полуфабрикаты и готовые изделия, находящиеся во владении вооруженных сил противника, и конфискованное имущество: «сырье, полуфабрикаты и готовые изделия, не находящиеся во владении или собственности вооруженных сил противника, но каждое по причинам потребности в них должно быть передано промышленности рейха»</w:t>
      </w:r>
      <w:bookmarkStart w:id="23" w:name="footnote17"/>
      <w:bookmarkEnd w:id="23"/>
      <w:r w:rsidRPr="00DB5D0D">
        <w:rPr>
          <w:rFonts w:ascii="Times New Roman" w:hAnsi="Times New Roman"/>
          <w:color w:val="000000" w:themeColor="text1"/>
          <w:sz w:val="16"/>
          <w:szCs w:val="16"/>
        </w:rPr>
        <w:t>.</w:t>
      </w:r>
    </w:p>
    <w:p w14:paraId="5DDCBF5A"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было изъято и вывезено в Германию почти все ценное имущество оккупированных стран (18559).</w:t>
      </w:r>
    </w:p>
    <w:p w14:paraId="78A5B8B5" w14:textId="77777777" w:rsidR="00B97F49" w:rsidRPr="00DB5D0D" w:rsidRDefault="00B97F49" w:rsidP="00DB5D0D">
      <w:pPr>
        <w:spacing w:after="0" w:line="240" w:lineRule="auto"/>
        <w:jc w:val="both"/>
        <w:rPr>
          <w:rFonts w:ascii="Times New Roman" w:hAnsi="Times New Roman"/>
          <w:color w:val="000000" w:themeColor="text1"/>
          <w:sz w:val="16"/>
          <w:szCs w:val="16"/>
        </w:rPr>
      </w:pPr>
    </w:p>
    <w:p w14:paraId="08ABEF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мая 1940 на японский запрос Британия запретила проход военных материалов для Китая через Бирму (3481).</w:t>
      </w:r>
    </w:p>
    <w:p w14:paraId="471DD1B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0350E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0440F6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E0EC5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Кочеригин передал в ЦАГИ-Раменское макет ОПБ М-90 1 к 4 для продувки (2090,163).</w:t>
      </w:r>
    </w:p>
    <w:p w14:paraId="67AB0C4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0381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проф. Поликовский писал А.И.Ш. докладную записку N 1421 по вопросу о скоростях самолета ДБ-3Ф с М-88 завода 39:</w:t>
      </w:r>
    </w:p>
    <w:p w14:paraId="2987EB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Вашему указанию на завод 39 выехала комиссия в составе проф. Поликовского - 11 ГУ и др. для выяснения причин значительного расхождения макс. скорости самолета ДБ-3Ф с М-88, замеренных на заводе 39 и в НИИ ВВС и для рассмотрения мероприятий по повышению скоростей самолета.</w:t>
      </w:r>
    </w:p>
    <w:p w14:paraId="5E7428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Основные мероприятия, намеченные для повышения скоростей самолета ДБ-3Ф с М-88:</w:t>
      </w:r>
    </w:p>
    <w:p w14:paraId="293981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переход на радиаторы большей охлаждающей способности, установленные в крыле, от чего следует ожидать прироста скорости в 8-10 км/час</w:t>
      </w:r>
    </w:p>
    <w:p w14:paraId="1E33CD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подбор оптимального винта из серии 23, 23Т, 23Ж, 3Т комбината 150 от чего следует ожидать прироста в 5-7 км/час</w:t>
      </w:r>
    </w:p>
    <w:p w14:paraId="445193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улучшение отделки поверхности самолета (клепка впотай и ряд мелких аэродинамических улучшений) от чего следует ожидать 5-10 км/час</w:t>
      </w:r>
    </w:p>
    <w:p w14:paraId="089482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проведения указанных мероприятий можно ожидать макс. скорости порядка 460 км/час</w:t>
      </w:r>
    </w:p>
    <w:p w14:paraId="446E6C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указанными мероприятиями необходимо провести сравнительные полеты на одном и том же самолете ДБ-3Ф с М-87 и М-88 с тем, чтобы исключить в процессе сравнения какие бы то ни было случайные влияния (1457,141).</w:t>
      </w:r>
    </w:p>
    <w:p w14:paraId="5B4628A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9225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закончились заводские испытания ДБ-3 2М-81 (2090,132).</w:t>
      </w:r>
    </w:p>
    <w:p w14:paraId="5AAAC90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EF23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 начальник ГУАС комдив Алексеев и военный комиссар ГУАС бригадный комиссар Князев писали письмо № 501600 маршалу Тимошенко С.К.</w:t>
      </w:r>
    </w:p>
    <w:p w14:paraId="452380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имеющиеся на вооружении дальнебомбардировочной авиации самолеты ДБ3 и ДБ3Ф не являются полноценными как по своим скоростям (от 425 до 445 км/час), так и по своей огневой защите.</w:t>
      </w:r>
    </w:p>
    <w:p w14:paraId="7DF475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проходит испытание самолет ДБЛК с моторами М-88 конструкции Беляева. На испытаниях получена скорость 488 км/час на высоте 5200 м.</w:t>
      </w:r>
    </w:p>
    <w:p w14:paraId="264B7B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допускает хорошую бомбовую загрузку от мелких до 1000 кг бомб включительно, имеет очень хорошую огневую защиту. По дальности самолет равноценен самолету ДБ3.</w:t>
      </w:r>
    </w:p>
    <w:p w14:paraId="38C8D2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самолета будут закончены в конце мая 1940 года. Уже предварительные испытания показывают, что самолет будет хорошим дальним бомбардировщиком.</w:t>
      </w:r>
    </w:p>
    <w:p w14:paraId="0B3649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быстрейшего перевооружения нашей бомбардировочной авиации, считаю целесообразным дать заказ промышленности на изготовление опытной серии самолетов ДБЛК с моторами М-88 в количестве 10 штук.</w:t>
      </w:r>
    </w:p>
    <w:p w14:paraId="3CA017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Докладывая, прошу Вашего ходатайства перед КО (7709, 376).</w:t>
      </w:r>
    </w:p>
    <w:p w14:paraId="64BB493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F556A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 в приложении к вх. № 1/00638 была получена справка Новые опытные и модифицированные самолеты ВВС 1938-1939 гг. (6618).</w:t>
      </w:r>
    </w:p>
    <w:p w14:paraId="0209B53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Бомбардировщики дальнего действия (6618).</w:t>
      </w:r>
    </w:p>
    <w:p w14:paraId="497A88C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 (42) 4 АМ-34 ФРН+ЦН М-103 конструктор Незваль</w:t>
      </w:r>
    </w:p>
    <w:p w14:paraId="7CDD124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экземпляр прошел гос. испытания в мае 1938 года. Дублер испытывается. Заводом № 124 осваивается серия. Первые серийные самолеты должны поступить на испытание в I квартале 1939 года. На серийных самолетах кабина штурмана делается без «бороды», делается свободнонесущее хвостовое оперение и раздельное охлаждение моторов. Это дает улучшение летных данных и увеличивает надежность в полете и живучесть в бою.</w:t>
      </w:r>
    </w:p>
    <w:p w14:paraId="4814220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 (42) модифицированный 4 АМ-35-ТК конструктор Незваль</w:t>
      </w:r>
    </w:p>
    <w:p w14:paraId="476A9C1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1 февраля 1939 года.</w:t>
      </w:r>
    </w:p>
    <w:p w14:paraId="5FF322F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работе по модификации самолета еще завод № 156 не приступал.</w:t>
      </w:r>
    </w:p>
    <w:p w14:paraId="0D91BDF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 мотор не выбран конструктор Ильюшин, строящий завод - № 39</w:t>
      </w:r>
    </w:p>
    <w:p w14:paraId="2B3285B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декабрь 1939 года</w:t>
      </w:r>
    </w:p>
    <w:p w14:paraId="4C40085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готов, идет разработка остальных агрегатов.</w:t>
      </w:r>
    </w:p>
    <w:p w14:paraId="4F8D6D3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Бомбардировщики ближнего действия</w:t>
      </w:r>
    </w:p>
    <w:p w14:paraId="7FA3AED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БСБ 2 М-105 конструктор Поликарпов, строящий завод - № 156</w:t>
      </w:r>
    </w:p>
    <w:p w14:paraId="45787D5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Разработан эскизный проект самолета ДР, являющийся разведывательным вариантом самолета БСБ.</w:t>
      </w:r>
    </w:p>
    <w:p w14:paraId="3A6CAA9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 СБ (ММН) 2 М-105 конструктор Архангельский, строящий завод - № 22</w:t>
      </w:r>
    </w:p>
    <w:p w14:paraId="75D99A6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июнь 1939 года</w:t>
      </w:r>
    </w:p>
    <w:p w14:paraId="3806488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Заканчивается на сборке в опытном цеху. Будет выпущен на аэродром в декабре 1938 года.</w:t>
      </w:r>
    </w:p>
    <w:p w14:paraId="641A13E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СБ-2 2 М-106 конструктор Архангельский, строящий завод - № 22</w:t>
      </w:r>
    </w:p>
    <w:p w14:paraId="577B489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Разработан эскизный проект и заканчивается макет, который будет представлен в НИИ ВВС в начале декабря 1938 года.</w:t>
      </w:r>
    </w:p>
    <w:p w14:paraId="2F9D568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М-103 П конструктор Болховитинов, строящий завод - № 84</w:t>
      </w:r>
    </w:p>
    <w:p w14:paraId="420D21F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март 1939 года</w:t>
      </w:r>
    </w:p>
    <w:p w14:paraId="0CDC6E3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Закончены чертежи по основным агрегатам самолета. Ведется подготовка производства опытной серии в 5 самолетов.</w:t>
      </w:r>
    </w:p>
    <w:p w14:paraId="7F7D5FB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ВИТ-2 2 М-105 конструктор Поликарпов, строящий завод - № 84</w:t>
      </w:r>
    </w:p>
    <w:p w14:paraId="07CDD59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выхода для испытаний в воздухе по плану НКОП сентябрь 1938 года</w:t>
      </w:r>
    </w:p>
    <w:p w14:paraId="7E888B5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прошел предварительные гос. испытания в октябре 1938 года.</w:t>
      </w:r>
    </w:p>
    <w:p w14:paraId="5755DE3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Скоростные истребители</w:t>
      </w:r>
    </w:p>
    <w:p w14:paraId="143A058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М-88 конструктор Поликарпов, строящий завод - № 156</w:t>
      </w:r>
    </w:p>
    <w:p w14:paraId="10F1B11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выхода для испытаний в воздухе по плану НКОП 1 декабря 1938 года</w:t>
      </w:r>
    </w:p>
    <w:p w14:paraId="232415B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находится в отделке, намечено выпустить в воздух 1 декабря 1938 года, второй и третий экземпляры изготавливаются.</w:t>
      </w:r>
    </w:p>
    <w:p w14:paraId="3A624DE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Скоростной истребитель М-105 П конструктор Поликарпов, строящий завод - № 156</w:t>
      </w:r>
    </w:p>
    <w:p w14:paraId="6853356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включен в план опытного строительства на 1939 год. Разрабатывается эскизный проект самолета.</w:t>
      </w:r>
    </w:p>
    <w:p w14:paraId="5B34FA9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И-17 Испано-СУИЗА 12 конструктор Поликарпов, строящий завод - № 84</w:t>
      </w:r>
    </w:p>
    <w:p w14:paraId="1A7DB5C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построен в 1935-36 г.г. Самолет находится на заводских испытаниях. Самолет представляет интерес как прототип для разработки нового истребителя с современными летными данными.</w:t>
      </w:r>
    </w:p>
    <w:p w14:paraId="63B3DEC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М-105 П конструктор Сухой, строящий завод - № 156</w:t>
      </w:r>
    </w:p>
    <w:p w14:paraId="06771ED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включен в план опытного строительства на 1939 год, Составлен эскизный проект.</w:t>
      </w:r>
    </w:p>
    <w:p w14:paraId="22E6D2B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 2 М-88 конструктор Таиров, строящий завод - № 43</w:t>
      </w:r>
    </w:p>
    <w:p w14:paraId="0C2E30D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май 1939 года</w:t>
      </w:r>
    </w:p>
    <w:p w14:paraId="6315503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включен в план опытного строительства. Имеется эскизный проект. Макет самолета будет предъявлен 15 декабря 1938 года. Начато проектирование.</w:t>
      </w:r>
    </w:p>
    <w:p w14:paraId="43B36E8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 конструктор Яценко, строящий завод - № 81</w:t>
      </w:r>
    </w:p>
    <w:p w14:paraId="55A4FAE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 на 60%. Срок выпуска первого экземпляра на летные испытания 1 марта 1939 года.</w:t>
      </w:r>
    </w:p>
    <w:p w14:paraId="3539538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 М-88 конструктор Сильванский, строящий завод - № 153</w:t>
      </w:r>
    </w:p>
    <w:p w14:paraId="7346D21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готовы на 60%, производственное выполнение на 18,5%.</w:t>
      </w:r>
    </w:p>
    <w:p w14:paraId="7EF77B7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 самолета КОДРОН-713 РЕНО 450 л.с. конструктор Дубровин, строящий завод - № 301</w:t>
      </w:r>
    </w:p>
    <w:p w14:paraId="7748C22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вышел на заводские испытания 25 ноября 1938 года и был подломан на первом полете. Ремонтируется.</w:t>
      </w:r>
    </w:p>
    <w:p w14:paraId="3D4DFD8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Маневренные истребители</w:t>
      </w:r>
    </w:p>
    <w:p w14:paraId="740330E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 М-88 конструктор Поликарпов, строящий завод - № 156</w:t>
      </w:r>
    </w:p>
    <w:p w14:paraId="3976FA9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утвержден 26 октября 1938 года. Решено строить самолет только в случае, если Vmax будет не ниже 500 км/час, что уточняется по продувкам модели самолета.</w:t>
      </w:r>
    </w:p>
    <w:p w14:paraId="2479089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«СЕМЕРКА» М-62 конструкторы Флоров и Боровков, строящий завод - № 207</w:t>
      </w:r>
    </w:p>
    <w:p w14:paraId="524C55F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Проектирование и постройка самолета задержалась на заводе № 21 и из-за переезда бюро на завод № 207. Срок выхода на летные испытания отнесен на 1 мая 1939 года.</w:t>
      </w:r>
    </w:p>
    <w:p w14:paraId="558B946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ОКО-4 М-88 конструктор Таиров, строящий завод - № 43</w:t>
      </w:r>
    </w:p>
    <w:p w14:paraId="66C9879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самолету приостановились в связи с переключением на работу по двухмоторному истребителю ОКО-6. Срок выхода первого экземпляра – октябрь 1939 года.</w:t>
      </w:r>
    </w:p>
    <w:p w14:paraId="5C647B7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М-25 В конструктор Поликарпов, строящий завод - № 1</w:t>
      </w:r>
    </w:p>
    <w:p w14:paraId="15E1272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находится в доводке. Устраняются дефекты опасные для полета и понижающие боеспособность. Срок передачи на гос. испытания намечен 1 декабря 1938 года.</w:t>
      </w:r>
    </w:p>
    <w:p w14:paraId="79A7A90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М-62 конструктор Поликарпов, строящий завод - № 1</w:t>
      </w:r>
    </w:p>
    <w:p w14:paraId="300B812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Доводится винто-моторная группа и после отработки на самолете И-153 М-25 В будут устранять дефекты опасные для полета. Срок передачи на гос. испытания заводом намечен 1 декабря 1938 года.</w:t>
      </w:r>
    </w:p>
    <w:p w14:paraId="44667D5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КОДРОН 690 модификация Рено 220 л.с. конструктор Дубровин, строящий завод - № 301</w:t>
      </w:r>
    </w:p>
    <w:p w14:paraId="2AE2AFE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самолета прошел неполные заводские испытания и передается к 1 декабря 1938 года на совместные испытания.</w:t>
      </w:r>
    </w:p>
    <w:p w14:paraId="5583B13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Штурмовики</w:t>
      </w:r>
    </w:p>
    <w:p w14:paraId="3833A6C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 М-88 конструктор Кочерыгин, строящий завод - № 1</w:t>
      </w:r>
    </w:p>
    <w:p w14:paraId="3092524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по решению двух наркомов</w:t>
      </w:r>
    </w:p>
    <w:p w14:paraId="786A23E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выведен на аэродром для прохождения заводских испытаний.</w:t>
      </w:r>
    </w:p>
    <w:p w14:paraId="1AF17AF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ЦКБ-55 М-34 ФРН «ДС» конструктор Ильюшин, строящий завод - № 39</w:t>
      </w:r>
    </w:p>
    <w:p w14:paraId="3D081CC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декабрь 1938 года</w:t>
      </w:r>
    </w:p>
    <w:p w14:paraId="7B456C4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 макет самолета. Вместо броневых листов изготовлены стальные.</w:t>
      </w:r>
    </w:p>
    <w:p w14:paraId="3157425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 Р-10 М-62 конструктор Неман, строящий завод - № 136</w:t>
      </w:r>
    </w:p>
    <w:p w14:paraId="7B991B7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 1 экземпляр – июнь 1938 года, второй экземпляр – август 1938 года</w:t>
      </w:r>
    </w:p>
    <w:p w14:paraId="3BC0450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проходит заводские летные испытания. Готовится дублер с двумя синхронными пулеметами и 4 крыльевыми, с двойным управлением и уширенными бомболюками.</w:t>
      </w:r>
    </w:p>
    <w:p w14:paraId="5A24130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Разведчики</w:t>
      </w:r>
    </w:p>
    <w:p w14:paraId="34F9C67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ДР 2 М-88 конструктор Поликарпов, строящий завод - № 156</w:t>
      </w:r>
    </w:p>
    <w:p w14:paraId="6D3F601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июнь 1939 года</w:t>
      </w:r>
    </w:p>
    <w:p w14:paraId="3355B67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ноября 1938 года в НИИ ВВС прислан на заключение эскизный проект.</w:t>
      </w:r>
    </w:p>
    <w:p w14:paraId="7A46770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 (№ 22) 2 М-100-3 конструктор Яковлев, строящий завод - № 115</w:t>
      </w:r>
    </w:p>
    <w:p w14:paraId="7C5057E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июль 1939 года</w:t>
      </w:r>
    </w:p>
    <w:p w14:paraId="3148FA2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готовности самолета конструктор дает 1 квартал 1939 года.</w:t>
      </w:r>
    </w:p>
    <w:p w14:paraId="57B298A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Многоцелевые самолеты</w:t>
      </w:r>
    </w:p>
    <w:p w14:paraId="7996B4E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«ИВАНОВ» М-62 конструктор Сухой, строящий завод - № 156</w:t>
      </w:r>
    </w:p>
    <w:p w14:paraId="25A7D0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январь 1938 года</w:t>
      </w:r>
    </w:p>
    <w:p w14:paraId="32010C5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Дублер самолета проходит заводские испытания. Первый экземпляр потерпел катастрофу при доводке на заводе.</w:t>
      </w:r>
    </w:p>
    <w:p w14:paraId="6D42C88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«ИВАНОВ» М-87 А конструктор Сухой, строящий завод - № 156</w:t>
      </w:r>
    </w:p>
    <w:p w14:paraId="3613F75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июнь 1938 года</w:t>
      </w:r>
    </w:p>
    <w:p w14:paraId="370416F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проходит заводские испытания с установленными 4 пулеметами в крыле.</w:t>
      </w:r>
    </w:p>
    <w:p w14:paraId="32F236E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«ИВАНОВ» М-62 конструктор Поликарпов, строящий завод - № 156</w:t>
      </w:r>
    </w:p>
    <w:p w14:paraId="1131441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август 1938 года</w:t>
      </w:r>
    </w:p>
    <w:p w14:paraId="2A0CF53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установкой 4 пулеметов ШКАС в крыле проходит заводские испытания. Конструктор готовит улучшенный дублер.</w:t>
      </w:r>
    </w:p>
    <w:p w14:paraId="4E287CA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(штурмовик) М-87 или М-62 конструктор Грушин, строящий завод – Учебно-производственные мастерские МАИ</w:t>
      </w:r>
    </w:p>
    <w:p w14:paraId="0241D5B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постройки по плану НКОП декабрь 1938 года</w:t>
      </w:r>
    </w:p>
    <w:p w14:paraId="32B00A1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Проходит заводские испытания. Ведутся работы по проектировке дублера, срок которому установлен – октябрь 1939 года.</w:t>
      </w:r>
    </w:p>
    <w:p w14:paraId="268115C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350 (ближний бомбардировщик) М-88 конструктор инженер Беляев, строящий завод - № 156</w:t>
      </w:r>
    </w:p>
    <w:p w14:paraId="412DBEA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Готовы рабочие чертежи. Строится только один экземпляр.</w:t>
      </w:r>
    </w:p>
    <w:p w14:paraId="12F7BF1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Автожир А-7 бис М-22, строящий завод - № 156</w:t>
      </w:r>
    </w:p>
    <w:p w14:paraId="456ADEE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Готовится к совместным испытаниям</w:t>
      </w:r>
    </w:p>
    <w:p w14:paraId="2FF6F07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автожир «Рено» 140 л.с.</w:t>
      </w:r>
    </w:p>
    <w:p w14:paraId="2F73817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Разрабатывается эскизный проект (6618).</w:t>
      </w:r>
    </w:p>
    <w:p w14:paraId="7D3B48B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6625A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военпред завода Францев представил письмом N ВБ/0600 директору завода 1, нач. 3 отдела ПГУ ГУКС, А.И.Ш. и нач. НИИ ГУАС НКВД акт аварийной комиссии по катастрофе И-153 с М-62 N 6925 (1165).</w:t>
      </w:r>
    </w:p>
    <w:p w14:paraId="663959B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32E6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Дир. завода Саркомбайн Малаев писал письмо N 1484 Зам. НКАП Воронину от организации на заводе Опытного отдела Яценко и предлагал не делать его отдельным, а поручить Яценко возглавить имеющийся (1165).</w:t>
      </w:r>
    </w:p>
    <w:p w14:paraId="58C2428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7EF0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директор завода 292 Малахов через проект постановления КО пытался получить КВ на новое строительство под разработку И-28 на заводе (1165).</w:t>
      </w:r>
    </w:p>
    <w:p w14:paraId="33CD5AE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82615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в Контрольном листе учета выполнения постановления КО СНК СССР № 113сс от 4 марта 1940 г. представителем КО СНК СССР - контролером Вахрушевым была сделана запись:</w:t>
      </w:r>
    </w:p>
    <w:p w14:paraId="180A52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 Яценко</w:t>
      </w:r>
    </w:p>
    <w:p w14:paraId="5F129E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ГК т. Яценко переехал в Саратов, но перевод КБ еще не закончен. К модификации КБ фактически не приступило (10395,42).</w:t>
      </w:r>
    </w:p>
    <w:p w14:paraId="685949A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6C9C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контролер Вахрушев - представитель КО СНК СССР - в журнале Учета выполнения постановлени правительства в отношении постановления КО N 123сс 1940 “О достройке одномоторного морского УТ с-та” отметил:</w:t>
      </w:r>
    </w:p>
    <w:p w14:paraId="15C984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САМ-11 с МВ-6 передан на госипытания в мае м-це (10395).</w:t>
      </w:r>
    </w:p>
    <w:p w14:paraId="6EEEE1A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5381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в Контрольном листе учета выполнения постановления КО СНК СССР № 105сс от 4 марта 1940 г. представителем КО СНК СССР - контролером Вахрушевым была сделана запись:</w:t>
      </w:r>
    </w:p>
    <w:p w14:paraId="67A106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ЭОИ М-105 2 ТК</w:t>
      </w:r>
    </w:p>
    <w:p w14:paraId="277332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Закончен эскизный проект машины. Изготовлен и утвержден макет. Подготавливаются чертежи к запуску в производство (10395,36).</w:t>
      </w:r>
    </w:p>
    <w:p w14:paraId="0964BD9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CA8E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 Шахурин писал письмо N 1261с начальнику ГУАС Алексееву.</w:t>
      </w:r>
    </w:p>
    <w:p w14:paraId="0DD3DC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опытном самолете истребителе И-301 решается проблема мощного огня; на нем устанавливается: одна 23 мм мотор-пушка, два крупно-калберных пулемета Березина и два пулемета Шкас.</w:t>
      </w:r>
    </w:p>
    <w:p w14:paraId="13C013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Установленные на моторе М-105П синхронизаторы и 23 мм мотор-пушка Таубина являются опытными агрегатами, требующими проведения отдельных гос. испытаний, которые без специального летающего самолета провести нельзя.</w:t>
      </w:r>
    </w:p>
    <w:p w14:paraId="4AB78F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распоряжения опытный самолет И-301 принять на гос. испытания с одной 23 мм мотор-пушкой и двумя крупно-калиберными пулеметами Березина без отстрела их на самолете.</w:t>
      </w:r>
    </w:p>
    <w:p w14:paraId="7F10AD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сообщаю, что все вооружение отрабатывается на стенде, идентичном с летающим самолетом, комиссией под председательством представителя Третьего управления ГУАС военного инженера 2 ранга Ныркова.</w:t>
      </w:r>
    </w:p>
    <w:p w14:paraId="3DD182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отработки всего вооружения на стенде, завод N 301 смонтирует и проверит все пять точек на принятом Вами самолете, который целесообразно после проведения полных гос. испытаний, но... отработки вооружения, передать в НИПАВ ГУАС для специальных гос. испытаний вооружения (1193,199).</w:t>
      </w:r>
    </w:p>
    <w:p w14:paraId="298098B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8A247F" w14:textId="77777777" w:rsidR="00730ADE" w:rsidRPr="00DB5D0D" w:rsidRDefault="00730ADE"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 мая 1940 года А.И. Шахурин направил начальнику ГУАС комдиву Алексееву письмо № 1261с: «На опытном самолете истребителе И-301 решается проблема мощного огня; на нем устанавливается: одна 23-мм мотор-пушка, два крупнокалиберных пулемета Березина и два пулемета ШКАС. Установленные на моторе М-105П синхронизаторы и 23-мм мотор-пушка Таубина являются опытными агрегатами, требующими проведения отдельных госиспытаний, которые без специального летающего самолета провести нельзя. Прошу Вашего распоряжения опытный самолет И-301 принять на гос. испытания с одной 23-мм мотор-пушкой и двумя крупнокалиберными пулеметами Березина без отстрела их на самолете. Одновременно сообщаю, что все вооружение отрабатывается на стенде, идентичном с летающим самолетом, комиссией под председательством представителя третьего управления ГУАС военного инженера 2 ранга Ныркова. После отработки всего вооружения на стенде, завод № 301 смонтирует и проверит все пять точек на принятом Вами самолете, который целесообразно после проведения полных госиспытаний, но без отработки вооружения, передать в НИПАВ ГУАС для специальных госиспытаний вооружения» (23183).</w:t>
      </w:r>
    </w:p>
    <w:p w14:paraId="5CA7070F" w14:textId="77777777" w:rsidR="00730ADE" w:rsidRPr="00DB5D0D" w:rsidRDefault="00730ADE" w:rsidP="00DB5D0D">
      <w:pPr>
        <w:shd w:val="clear" w:color="auto" w:fill="FFFFFF"/>
        <w:spacing w:after="0" w:line="240" w:lineRule="auto"/>
        <w:jc w:val="both"/>
        <w:rPr>
          <w:rFonts w:ascii="Times New Roman" w:hAnsi="Times New Roman"/>
          <w:color w:val="0070C0"/>
          <w:sz w:val="16"/>
          <w:szCs w:val="16"/>
        </w:rPr>
      </w:pPr>
    </w:p>
    <w:p w14:paraId="456F8F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 начальник ГУАС комдив Алексеев и военный комиссар ГУАС бригадный комиссар Князев писали письмо № 501598 маршалу Тимошенко С.К.</w:t>
      </w:r>
    </w:p>
    <w:p w14:paraId="63CEE4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заводские испытания и доработка самолета И-26 с мотором М-105П идут чрезвычайно медленно.</w:t>
      </w:r>
    </w:p>
    <w:p w14:paraId="132582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сего времени самолет не проверен на пикировании, на штопор, не проверен практический потолок, вооружение на земле не отработано.</w:t>
      </w:r>
    </w:p>
    <w:p w14:paraId="211AA0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на прочность усиленного носка крыла – выдержал всего 53%.</w:t>
      </w:r>
    </w:p>
    <w:p w14:paraId="158908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Правительства самолет запущен в серийное производство, задержка в доработке опытного экземпляра задерживает и выпуск серийных машин.</w:t>
      </w:r>
    </w:p>
    <w:p w14:paraId="452867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Считая положение исключительно тяжелым с этим самолетом, прошу Вашего доклада КО (7709, 366).</w:t>
      </w:r>
    </w:p>
    <w:p w14:paraId="3A0660B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B879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полет в Рязань и обратно продолжительностью 2:10 (2923).</w:t>
      </w:r>
    </w:p>
    <w:p w14:paraId="3D2C92E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0CD0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 мая по 23 августа 1940 проходил заводские испытания самолет УТ-1 в варианте учебно-тренировочного истребителя (УТИ), предъявленный ОКБ А.С.Яковлева.</w:t>
      </w:r>
    </w:p>
    <w:p w14:paraId="70B078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был установлен синхронный пулемет ШКАС, прицел ПБП-1 и фотокинопулемет ПАУ-22. Это был первый вооруженный вариант УТ-1.</w:t>
      </w:r>
    </w:p>
    <w:p w14:paraId="3D18A0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 УТ-1 в УТИ была осуществлена в соответствии с Постановлением Комитета Обороны при СНК СССР от 4 марта 1940 г. главным конструктором завода № 47 Е.Г.Адлером.</w:t>
      </w:r>
    </w:p>
    <w:p w14:paraId="74E38A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был забракован из-за недостаточных запасов устойчивости (9649).</w:t>
      </w:r>
    </w:p>
    <w:p w14:paraId="5838E2D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646F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в Контрольном листе учета выполнения постановления КО СНК СССР № 119сс от 4 марта 1940 г. представителем КО СНК СССР - контролером Вахрушевым была сделана запись:</w:t>
      </w:r>
    </w:p>
    <w:p w14:paraId="3D0486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УТ-1 модифицированный</w:t>
      </w:r>
    </w:p>
    <w:p w14:paraId="71B950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Модификации самолета УТ-1 закончен досрочно на 10 дней. Поступил на заводские испытания (приказа НКАП пока нет) (10395,74).</w:t>
      </w:r>
    </w:p>
    <w:p w14:paraId="6D4F11A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652C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в Контрольном листе учета выполнения постановления КО СНК СССР № 126сс от 4 марта 1940 г. представителем КО СНК СССР - контролером Вахрушевым была сделана запись:</w:t>
      </w:r>
    </w:p>
    <w:p w14:paraId="7D6450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САМ-11</w:t>
      </w:r>
    </w:p>
    <w:p w14:paraId="0C786C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Сам-11 МВ-6 передан на госиспытания в мае 1940 (10395,87).</w:t>
      </w:r>
    </w:p>
    <w:p w14:paraId="02F18CB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B04F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в Контрольном листе учета выполнения постановления КО СНК СССР № 122сс от 4 марта 1940 г. представителем КО СНК СССР - контролером Вахрушевым была сделана запись:</w:t>
      </w:r>
    </w:p>
    <w:p w14:paraId="11F246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МДР-6Б Четверикова</w:t>
      </w:r>
    </w:p>
    <w:p w14:paraId="169933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МДР-6Б 2М-105 находится в стадии проектирования. Изготавливается макет самолета. Окончание 1-го этапа - в сентябре. Проектирование идет по графику (10395,79).</w:t>
      </w:r>
    </w:p>
    <w:p w14:paraId="0E683E9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3685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в Контрольном листе учета выполнения постановления КО СНК СССР № 123сс от 4 марта 1940 г. представителем КО СНК СССР - контролером Вахрушевым была сделана запись:</w:t>
      </w:r>
    </w:p>
    <w:p w14:paraId="56B808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МДР-7 Самсонова</w:t>
      </w:r>
    </w:p>
    <w:p w14:paraId="6D2E55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МДР-7 закончен производством. Предъявлен на заводские испытания. Установлен срок окончания заводских испытаний - 15 июня (гидродром при заводе № 81).</w:t>
      </w:r>
    </w:p>
    <w:p w14:paraId="25904F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этап закончен досрочно - 28 октября 1939 вместо 1 ноября 1939. Премия не выплачена.</w:t>
      </w:r>
    </w:p>
    <w:p w14:paraId="2C3C3E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этап закончен 25 мая 1940 с опозданием на 25 дней (10395,82).</w:t>
      </w:r>
    </w:p>
    <w:p w14:paraId="1E25A50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3A01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вышло постановление КО N 207сс "О составе Правительственной комиссии по гос. испытаниям мотора М-40" и решили провести 100 часовые (1295,53).</w:t>
      </w:r>
    </w:p>
    <w:p w14:paraId="3D5C198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4D47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 было выпущено постановление Комитета Обороны при СНК СССР, подписанное председателем комитета К.Е. Ворошиловым, в котором отдельным пунктом предусматривалось внеочередное строительство на заводе № 24 в 1940 и 1941 годах "опытно-конструкторского цеха в составе: опытно-конструкторское бюро, опытный механический цех на 150 станков, опытная испытательная станция, экспериментальная лаборатория".</w:t>
      </w:r>
    </w:p>
    <w:p w14:paraId="5CC2E7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наркомфину предписывалось выделить из резервного фонда СНК СССР для указанного строительства 5 миллионов рублей в 1940 году. Одновременно этим постановлением обязали Московский Совет выделить в 1940 году 60 квартир, из них 30 квартир до 1 сентября "для инженерно-технических работников опытно-конструкторского цеха завода № 24".</w:t>
      </w:r>
    </w:p>
    <w:p w14:paraId="3C38E4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 постановлении с визами Молотова, Жданова, Андреева, Микояна и Кагановича имелась утверждающая резолюция за подписью Сталина. С этого документа началась история опытно-конструкторского подразделения на заводе № 24 ОКБ, которое тогда предназначалось для доводки и освоения моторов АМ-35А, затем - двигателей АМ-38, разработанных в ОКБ А.А. Микулина.</w:t>
      </w:r>
    </w:p>
    <w:p w14:paraId="6D9B82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перевода конструкторской группы А.А. Микулина в ЦИАМ на московском авиамоторном заводе № 24 не осталось опытно-конструкторского подразделения. Между тем при освоении новых образцов двигателя предприятие сталкивалось с проблемами, решить которые могли только специалисты-конструкторы.</w:t>
      </w:r>
    </w:p>
    <w:p w14:paraId="01E517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началась война, и создание на заводе опытного подразделения так и не было закончено. Завод № 24 осенью 1941 года был эвакуирован из Москвы в г. Куйбышев (11408).</w:t>
      </w:r>
    </w:p>
    <w:p w14:paraId="4CC5807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DE6C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состоялось заседание коллегии НКАП (прот. N 13):</w:t>
      </w:r>
    </w:p>
    <w:p w14:paraId="22ED24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 производстве серийных винтов и состоянии опытных работ по винтам на заводах 28 и 150 (дир. завода 28 Савельев, дир. комб. 150 Вазирян, ГК 28 завода Кузьмин, ГК комбината 150 Жданов).</w:t>
      </w:r>
    </w:p>
    <w:p w14:paraId="7EA034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 кандидатах на получение стипендий им. И.В.С.</w:t>
      </w:r>
    </w:p>
    <w:p w14:paraId="631D29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 единой маркировке металлов (1181).</w:t>
      </w:r>
    </w:p>
    <w:p w14:paraId="70BC7D1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188D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было партсобрание 1 отд. НИИ ВВС (протокол № 6)</w:t>
      </w:r>
    </w:p>
    <w:p w14:paraId="6AF9BB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 “О решениях мартовского пленума ЦК ВКП(б) докладывал Муханов</w:t>
      </w:r>
    </w:p>
    <w:p w14:paraId="099FA5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Передовыми в выполнении испытательной работы были бригады Куликова, Лазорева, Максимова. За 5 месяцев 1940 испытан 51 объект: опытных с-тов - 6, серийных - 16, модификаций - 6, внеплановых - 2, специспытаний - 21.</w:t>
      </w:r>
    </w:p>
    <w:p w14:paraId="4C9222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тот же период 1939 испытано 16 объектов (854,34).</w:t>
      </w:r>
    </w:p>
    <w:p w14:paraId="1D5184F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B6675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 мая по 24 июня 1940 комиссия ГУАС КА исследовала причины отказов и определяла эффективность дествия авиабомб, примененных в боевых действиях КА против Финляндии. До начала работы комиссии саперы уничтожили 4127 несработавших советских бомб, но комиссия осмотрела оставшиеся 197 (7453, 180).</w:t>
      </w:r>
    </w:p>
    <w:p w14:paraId="04BE7E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авиабомб в 1940-1945 гг. (тыс.)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642"/>
        <w:gridCol w:w="1642"/>
        <w:gridCol w:w="1478"/>
        <w:gridCol w:w="1724"/>
        <w:gridCol w:w="1724"/>
      </w:tblGrid>
      <w:tr w:rsidR="007D5DF8" w:rsidRPr="00DB5D0D" w14:paraId="51E61A1C" w14:textId="77777777" w:rsidTr="009223E5">
        <w:tc>
          <w:tcPr>
            <w:tcW w:w="1642" w:type="dxa"/>
            <w:tcBorders>
              <w:top w:val="single" w:sz="12" w:space="0" w:color="auto"/>
            </w:tcBorders>
          </w:tcPr>
          <w:p w14:paraId="1AFEC4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w:t>
            </w:r>
          </w:p>
        </w:tc>
        <w:tc>
          <w:tcPr>
            <w:tcW w:w="1642" w:type="dxa"/>
            <w:tcBorders>
              <w:top w:val="single" w:sz="12" w:space="0" w:color="auto"/>
            </w:tcBorders>
          </w:tcPr>
          <w:p w14:paraId="3AC74A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Фугасные</w:t>
            </w:r>
          </w:p>
        </w:tc>
        <w:tc>
          <w:tcPr>
            <w:tcW w:w="1642" w:type="dxa"/>
            <w:tcBorders>
              <w:top w:val="single" w:sz="12" w:space="0" w:color="auto"/>
            </w:tcBorders>
          </w:tcPr>
          <w:p w14:paraId="0A8FBA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Осколочные</w:t>
            </w:r>
          </w:p>
        </w:tc>
        <w:tc>
          <w:tcPr>
            <w:tcW w:w="1642" w:type="dxa"/>
            <w:tcBorders>
              <w:top w:val="single" w:sz="12" w:space="0" w:color="auto"/>
            </w:tcBorders>
          </w:tcPr>
          <w:p w14:paraId="46F2C5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Зажигательные</w:t>
            </w:r>
          </w:p>
        </w:tc>
        <w:tc>
          <w:tcPr>
            <w:tcW w:w="1478" w:type="dxa"/>
            <w:tcBorders>
              <w:top w:val="single" w:sz="12" w:space="0" w:color="auto"/>
            </w:tcBorders>
          </w:tcPr>
          <w:p w14:paraId="6A9DE2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Осветительные</w:t>
            </w:r>
          </w:p>
        </w:tc>
        <w:tc>
          <w:tcPr>
            <w:tcW w:w="1724" w:type="dxa"/>
            <w:tcBorders>
              <w:top w:val="single" w:sz="12" w:space="0" w:color="auto"/>
            </w:tcBorders>
          </w:tcPr>
          <w:p w14:paraId="45F948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Специализированные</w:t>
            </w:r>
          </w:p>
        </w:tc>
        <w:tc>
          <w:tcPr>
            <w:tcW w:w="1724" w:type="dxa"/>
            <w:tcBorders>
              <w:top w:val="single" w:sz="12" w:space="0" w:color="auto"/>
            </w:tcBorders>
          </w:tcPr>
          <w:p w14:paraId="07653D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r>
      <w:tr w:rsidR="007D5DF8" w:rsidRPr="00DB5D0D" w14:paraId="4D5178E2" w14:textId="77777777" w:rsidTr="009223E5">
        <w:tc>
          <w:tcPr>
            <w:tcW w:w="1642" w:type="dxa"/>
          </w:tcPr>
          <w:p w14:paraId="038494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w:t>
            </w:r>
          </w:p>
        </w:tc>
        <w:tc>
          <w:tcPr>
            <w:tcW w:w="1642" w:type="dxa"/>
          </w:tcPr>
          <w:p w14:paraId="1035E4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1642" w:type="dxa"/>
          </w:tcPr>
          <w:p w14:paraId="7E8B23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5576.6</w:t>
            </w:r>
          </w:p>
        </w:tc>
        <w:tc>
          <w:tcPr>
            <w:tcW w:w="1642" w:type="dxa"/>
          </w:tcPr>
          <w:p w14:paraId="3AEBC5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1046.6</w:t>
            </w:r>
          </w:p>
        </w:tc>
        <w:tc>
          <w:tcPr>
            <w:tcW w:w="1478" w:type="dxa"/>
          </w:tcPr>
          <w:p w14:paraId="020B69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134.2</w:t>
            </w:r>
          </w:p>
        </w:tc>
        <w:tc>
          <w:tcPr>
            <w:tcW w:w="1724" w:type="dxa"/>
          </w:tcPr>
          <w:p w14:paraId="0AD62E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6.81</w:t>
            </w:r>
          </w:p>
        </w:tc>
        <w:tc>
          <w:tcPr>
            <w:tcW w:w="1724" w:type="dxa"/>
          </w:tcPr>
          <w:p w14:paraId="55B2F4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7614.21</w:t>
            </w:r>
          </w:p>
        </w:tc>
      </w:tr>
      <w:tr w:rsidR="007D5DF8" w:rsidRPr="00DB5D0D" w14:paraId="49FD9D07" w14:textId="77777777" w:rsidTr="009223E5">
        <w:tc>
          <w:tcPr>
            <w:tcW w:w="1642" w:type="dxa"/>
          </w:tcPr>
          <w:p w14:paraId="49975C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w:t>
            </w:r>
          </w:p>
        </w:tc>
        <w:tc>
          <w:tcPr>
            <w:tcW w:w="1642" w:type="dxa"/>
          </w:tcPr>
          <w:p w14:paraId="4ECE2C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1200.65</w:t>
            </w:r>
          </w:p>
        </w:tc>
        <w:tc>
          <w:tcPr>
            <w:tcW w:w="1642" w:type="dxa"/>
          </w:tcPr>
          <w:p w14:paraId="567EF9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12560.4</w:t>
            </w:r>
          </w:p>
        </w:tc>
        <w:tc>
          <w:tcPr>
            <w:tcW w:w="1642" w:type="dxa"/>
          </w:tcPr>
          <w:p w14:paraId="6032A5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2123.86</w:t>
            </w:r>
          </w:p>
        </w:tc>
        <w:tc>
          <w:tcPr>
            <w:tcW w:w="1478" w:type="dxa"/>
          </w:tcPr>
          <w:p w14:paraId="121665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w:t>
            </w:r>
          </w:p>
        </w:tc>
        <w:tc>
          <w:tcPr>
            <w:tcW w:w="1724" w:type="dxa"/>
          </w:tcPr>
          <w:p w14:paraId="0042A4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15.73</w:t>
            </w:r>
          </w:p>
        </w:tc>
        <w:tc>
          <w:tcPr>
            <w:tcW w:w="1724" w:type="dxa"/>
          </w:tcPr>
          <w:p w14:paraId="179F01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15983.64</w:t>
            </w:r>
          </w:p>
        </w:tc>
      </w:tr>
      <w:tr w:rsidR="007D5DF8" w:rsidRPr="00DB5D0D" w14:paraId="1DF0002A" w14:textId="77777777" w:rsidTr="009223E5">
        <w:tc>
          <w:tcPr>
            <w:tcW w:w="1642" w:type="dxa"/>
          </w:tcPr>
          <w:p w14:paraId="217DF0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w:t>
            </w:r>
          </w:p>
        </w:tc>
        <w:tc>
          <w:tcPr>
            <w:tcW w:w="1642" w:type="dxa"/>
          </w:tcPr>
          <w:p w14:paraId="778B3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941.86</w:t>
            </w:r>
          </w:p>
        </w:tc>
        <w:tc>
          <w:tcPr>
            <w:tcW w:w="1642" w:type="dxa"/>
          </w:tcPr>
          <w:p w14:paraId="3337D4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3406.5</w:t>
            </w:r>
          </w:p>
        </w:tc>
        <w:tc>
          <w:tcPr>
            <w:tcW w:w="1642" w:type="dxa"/>
          </w:tcPr>
          <w:p w14:paraId="7FD5F2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1506.75</w:t>
            </w:r>
          </w:p>
        </w:tc>
        <w:tc>
          <w:tcPr>
            <w:tcW w:w="1478" w:type="dxa"/>
          </w:tcPr>
          <w:p w14:paraId="4DD2E5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50.3</w:t>
            </w:r>
          </w:p>
        </w:tc>
        <w:tc>
          <w:tcPr>
            <w:tcW w:w="1724" w:type="dxa"/>
          </w:tcPr>
          <w:p w14:paraId="2EC690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2194</w:t>
            </w:r>
          </w:p>
        </w:tc>
        <w:tc>
          <w:tcPr>
            <w:tcW w:w="1724" w:type="dxa"/>
          </w:tcPr>
          <w:p w14:paraId="12B3FC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8099.41</w:t>
            </w:r>
          </w:p>
        </w:tc>
      </w:tr>
      <w:tr w:rsidR="007D5DF8" w:rsidRPr="00DB5D0D" w14:paraId="05894122" w14:textId="77777777" w:rsidTr="009223E5">
        <w:tc>
          <w:tcPr>
            <w:tcW w:w="1642" w:type="dxa"/>
          </w:tcPr>
          <w:p w14:paraId="1B4303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1943</w:t>
            </w:r>
          </w:p>
        </w:tc>
        <w:tc>
          <w:tcPr>
            <w:tcW w:w="1642" w:type="dxa"/>
          </w:tcPr>
          <w:p w14:paraId="74F99B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1557.34</w:t>
            </w:r>
          </w:p>
        </w:tc>
        <w:tc>
          <w:tcPr>
            <w:tcW w:w="1642" w:type="dxa"/>
          </w:tcPr>
          <w:p w14:paraId="26BDE4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2144</w:t>
            </w:r>
          </w:p>
        </w:tc>
        <w:tc>
          <w:tcPr>
            <w:tcW w:w="1642" w:type="dxa"/>
          </w:tcPr>
          <w:p w14:paraId="5E04B3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905.33</w:t>
            </w:r>
          </w:p>
        </w:tc>
        <w:tc>
          <w:tcPr>
            <w:tcW w:w="1478" w:type="dxa"/>
          </w:tcPr>
          <w:p w14:paraId="7563B6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119.9</w:t>
            </w:r>
          </w:p>
        </w:tc>
        <w:tc>
          <w:tcPr>
            <w:tcW w:w="1724" w:type="dxa"/>
          </w:tcPr>
          <w:p w14:paraId="0D58B5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5537.8</w:t>
            </w:r>
          </w:p>
        </w:tc>
        <w:tc>
          <w:tcPr>
            <w:tcW w:w="1724" w:type="dxa"/>
          </w:tcPr>
          <w:p w14:paraId="1F3313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10264.37</w:t>
            </w:r>
          </w:p>
        </w:tc>
      </w:tr>
      <w:tr w:rsidR="007D5DF8" w:rsidRPr="00DB5D0D" w14:paraId="6597E765" w14:textId="77777777" w:rsidTr="009223E5">
        <w:tc>
          <w:tcPr>
            <w:tcW w:w="1642" w:type="dxa"/>
          </w:tcPr>
          <w:p w14:paraId="7D9478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1944</w:t>
            </w:r>
          </w:p>
        </w:tc>
        <w:tc>
          <w:tcPr>
            <w:tcW w:w="1642" w:type="dxa"/>
          </w:tcPr>
          <w:p w14:paraId="43DC43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1639.28</w:t>
            </w:r>
          </w:p>
        </w:tc>
        <w:tc>
          <w:tcPr>
            <w:tcW w:w="1642" w:type="dxa"/>
          </w:tcPr>
          <w:p w14:paraId="742168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1453.5</w:t>
            </w:r>
          </w:p>
        </w:tc>
        <w:tc>
          <w:tcPr>
            <w:tcW w:w="1642" w:type="dxa"/>
          </w:tcPr>
          <w:p w14:paraId="40BBD1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285.5</w:t>
            </w:r>
          </w:p>
        </w:tc>
        <w:tc>
          <w:tcPr>
            <w:tcW w:w="1478" w:type="dxa"/>
          </w:tcPr>
          <w:p w14:paraId="006700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w:t>
            </w:r>
          </w:p>
        </w:tc>
        <w:tc>
          <w:tcPr>
            <w:tcW w:w="1724" w:type="dxa"/>
          </w:tcPr>
          <w:p w14:paraId="0A896D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6893</w:t>
            </w:r>
          </w:p>
        </w:tc>
        <w:tc>
          <w:tcPr>
            <w:tcW w:w="1724" w:type="dxa"/>
          </w:tcPr>
          <w:p w14:paraId="554C27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10438.28</w:t>
            </w:r>
          </w:p>
        </w:tc>
      </w:tr>
      <w:tr w:rsidR="007D5DF8" w:rsidRPr="00DB5D0D" w14:paraId="5627E87E" w14:textId="77777777" w:rsidTr="009223E5">
        <w:tc>
          <w:tcPr>
            <w:tcW w:w="1642" w:type="dxa"/>
          </w:tcPr>
          <w:p w14:paraId="0F9501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1945</w:t>
            </w:r>
          </w:p>
        </w:tc>
        <w:tc>
          <w:tcPr>
            <w:tcW w:w="1642" w:type="dxa"/>
          </w:tcPr>
          <w:p w14:paraId="6276F0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191.25</w:t>
            </w:r>
          </w:p>
        </w:tc>
        <w:tc>
          <w:tcPr>
            <w:tcW w:w="1642" w:type="dxa"/>
          </w:tcPr>
          <w:p w14:paraId="07F758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1052.1</w:t>
            </w:r>
          </w:p>
        </w:tc>
        <w:tc>
          <w:tcPr>
            <w:tcW w:w="1642" w:type="dxa"/>
          </w:tcPr>
          <w:p w14:paraId="36FE48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478" w:type="dxa"/>
          </w:tcPr>
          <w:p w14:paraId="54352E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c>
          <w:tcPr>
            <w:tcW w:w="1724" w:type="dxa"/>
          </w:tcPr>
          <w:p w14:paraId="174A2C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2379.1</w:t>
            </w:r>
          </w:p>
        </w:tc>
        <w:tc>
          <w:tcPr>
            <w:tcW w:w="1724" w:type="dxa"/>
          </w:tcPr>
          <w:p w14:paraId="13AC5A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3712.95</w:t>
            </w:r>
          </w:p>
        </w:tc>
      </w:tr>
      <w:tr w:rsidR="007D5DF8" w:rsidRPr="00DB5D0D" w14:paraId="1EEE9D44" w14:textId="77777777" w:rsidTr="009223E5">
        <w:tc>
          <w:tcPr>
            <w:tcW w:w="1642" w:type="dxa"/>
            <w:tcBorders>
              <w:bottom w:val="single" w:sz="12" w:space="0" w:color="auto"/>
            </w:tcBorders>
          </w:tcPr>
          <w:p w14:paraId="540F19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642" w:type="dxa"/>
            <w:tcBorders>
              <w:bottom w:val="single" w:sz="12" w:space="0" w:color="auto"/>
            </w:tcBorders>
          </w:tcPr>
          <w:p w14:paraId="625D49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6380.38</w:t>
            </w:r>
          </w:p>
        </w:tc>
        <w:tc>
          <w:tcPr>
            <w:tcW w:w="1642" w:type="dxa"/>
            <w:tcBorders>
              <w:bottom w:val="single" w:sz="12" w:space="0" w:color="auto"/>
            </w:tcBorders>
          </w:tcPr>
          <w:p w14:paraId="2FD6BB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26193.1</w:t>
            </w:r>
          </w:p>
        </w:tc>
        <w:tc>
          <w:tcPr>
            <w:tcW w:w="1642" w:type="dxa"/>
            <w:tcBorders>
              <w:bottom w:val="single" w:sz="12" w:space="0" w:color="auto"/>
            </w:tcBorders>
          </w:tcPr>
          <w:p w14:paraId="5BEEB1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5911.04</w:t>
            </w:r>
          </w:p>
        </w:tc>
        <w:tc>
          <w:tcPr>
            <w:tcW w:w="1478" w:type="dxa"/>
            <w:tcBorders>
              <w:bottom w:val="single" w:sz="12" w:space="0" w:color="auto"/>
            </w:tcBorders>
          </w:tcPr>
          <w:p w14:paraId="6F2372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601.9</w:t>
            </w:r>
          </w:p>
        </w:tc>
        <w:tc>
          <w:tcPr>
            <w:tcW w:w="1724" w:type="dxa"/>
            <w:tcBorders>
              <w:bottom w:val="single" w:sz="12" w:space="0" w:color="auto"/>
            </w:tcBorders>
          </w:tcPr>
          <w:p w14:paraId="3DDCF5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17026.44</w:t>
            </w:r>
          </w:p>
        </w:tc>
        <w:tc>
          <w:tcPr>
            <w:tcW w:w="1724" w:type="dxa"/>
            <w:tcBorders>
              <w:bottom w:val="single" w:sz="12" w:space="0" w:color="auto"/>
            </w:tcBorders>
          </w:tcPr>
          <w:p w14:paraId="60C920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56112.86</w:t>
            </w:r>
          </w:p>
        </w:tc>
      </w:tr>
    </w:tbl>
    <w:p w14:paraId="43140A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(7453, 182).</w:t>
      </w:r>
    </w:p>
    <w:p w14:paraId="72D45D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выпустили с 1940 по 1945 48.5 млн. общим весом миллио тон. Сбросили 31123360 шт или 696268 т (7453, 182).</w:t>
      </w:r>
    </w:p>
    <w:p w14:paraId="581265C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DDA18C4"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 мая 1940 вышло Постановление Политбюро ЦК ВКП(б) "О постройке и внедрении в серийное производство мотора АМ-35А на заводе № 24 НКАП" (пр. № 16/16-оп за 10 - 26 мая 1940 г., п. 133)</w:t>
      </w:r>
    </w:p>
    <w:p w14:paraId="42F4E414"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Обязать Народный комиссариат Авиационной прошлленности - директора т. Дубова В.И. главного конструктора т. Микулина А.А. немедленно запустить в производство со сроком сдачи до 1 сентября 50 штук моторов АМ-35 А со сле</w:t>
      </w:r>
      <w:r w:rsidRPr="00DB5D0D">
        <w:rPr>
          <w:rFonts w:ascii="Times New Roman" w:hAnsi="Times New Roman"/>
          <w:color w:val="0070C0"/>
          <w:sz w:val="16"/>
          <w:szCs w:val="16"/>
        </w:rPr>
        <w:softHyphen/>
        <w:t>дующими данными:</w:t>
      </w:r>
    </w:p>
    <w:p w14:paraId="47DEBB0B"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12-цилиндровый /образный мотор водяного охлаждения; взлетная мощность - 1.350 лс;</w:t>
      </w:r>
    </w:p>
    <w:p w14:paraId="46BA5E6D"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номинальная мощность - 1.200 лс;</w:t>
      </w:r>
    </w:p>
    <w:p w14:paraId="76C555BC"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высоте - Н - 6.000 мт;</w:t>
      </w:r>
    </w:p>
    <w:p w14:paraId="0B76FAD8"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 мотора - 830 кгл.</w:t>
      </w:r>
    </w:p>
    <w:p w14:paraId="6E81F985"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Обязать завод № 24 не позднее 1 сентября 1940 года приступить к серийному выпуску моторов АН-35 А.</w:t>
      </w:r>
    </w:p>
    <w:p w14:paraId="0B4E6758"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Утвердить выпуск в 1940 году 300 штук моторов АМ-35 А по следующему графику:</w:t>
      </w:r>
    </w:p>
    <w:p w14:paraId="59DF508B"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сентябрь</w:t>
      </w:r>
      <w:r w:rsidRPr="00DB5D0D">
        <w:rPr>
          <w:rFonts w:ascii="Times New Roman" w:hAnsi="Times New Roman"/>
          <w:color w:val="0070C0"/>
          <w:sz w:val="16"/>
          <w:szCs w:val="16"/>
        </w:rPr>
        <w:tab/>
        <w:t>-</w:t>
      </w:r>
      <w:r w:rsidRPr="00DB5D0D">
        <w:rPr>
          <w:rFonts w:ascii="Times New Roman" w:hAnsi="Times New Roman"/>
          <w:color w:val="0070C0"/>
          <w:sz w:val="16"/>
          <w:szCs w:val="16"/>
        </w:rPr>
        <w:tab/>
        <w:t>25</w:t>
      </w:r>
      <w:r w:rsidRPr="00DB5D0D">
        <w:rPr>
          <w:rFonts w:ascii="Times New Roman" w:hAnsi="Times New Roman"/>
          <w:color w:val="0070C0"/>
          <w:sz w:val="16"/>
          <w:szCs w:val="16"/>
        </w:rPr>
        <w:tab/>
        <w:t>штук.</w:t>
      </w:r>
    </w:p>
    <w:p w14:paraId="6721B976"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октябрь</w:t>
      </w:r>
      <w:r w:rsidRPr="00DB5D0D">
        <w:rPr>
          <w:rFonts w:ascii="Times New Roman" w:hAnsi="Times New Roman"/>
          <w:color w:val="0070C0"/>
          <w:sz w:val="16"/>
          <w:szCs w:val="16"/>
        </w:rPr>
        <w:tab/>
        <w:t>-</w:t>
      </w:r>
      <w:r w:rsidRPr="00DB5D0D">
        <w:rPr>
          <w:rFonts w:ascii="Times New Roman" w:hAnsi="Times New Roman"/>
          <w:color w:val="0070C0"/>
          <w:sz w:val="16"/>
          <w:szCs w:val="16"/>
        </w:rPr>
        <w:tab/>
        <w:t>50</w:t>
      </w:r>
      <w:r w:rsidRPr="00DB5D0D">
        <w:rPr>
          <w:rFonts w:ascii="Times New Roman" w:hAnsi="Times New Roman"/>
          <w:color w:val="0070C0"/>
          <w:sz w:val="16"/>
          <w:szCs w:val="16"/>
        </w:rPr>
        <w:tab/>
        <w:t>штук,</w:t>
      </w:r>
    </w:p>
    <w:p w14:paraId="13D4E353"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ноябрь</w:t>
      </w:r>
      <w:r w:rsidRPr="00DB5D0D">
        <w:rPr>
          <w:rFonts w:ascii="Times New Roman" w:hAnsi="Times New Roman"/>
          <w:color w:val="0070C0"/>
          <w:sz w:val="16"/>
          <w:szCs w:val="16"/>
        </w:rPr>
        <w:tab/>
        <w:t>-</w:t>
      </w:r>
      <w:r w:rsidRPr="00DB5D0D">
        <w:rPr>
          <w:rFonts w:ascii="Times New Roman" w:hAnsi="Times New Roman"/>
          <w:color w:val="0070C0"/>
          <w:sz w:val="16"/>
          <w:szCs w:val="16"/>
        </w:rPr>
        <w:tab/>
        <w:t>100</w:t>
      </w:r>
      <w:r w:rsidRPr="00DB5D0D">
        <w:rPr>
          <w:rFonts w:ascii="Times New Roman" w:hAnsi="Times New Roman"/>
          <w:color w:val="0070C0"/>
          <w:sz w:val="16"/>
          <w:szCs w:val="16"/>
        </w:rPr>
        <w:tab/>
        <w:t>штук,</w:t>
      </w:r>
    </w:p>
    <w:p w14:paraId="69219981"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декабрь</w:t>
      </w:r>
      <w:r w:rsidRPr="00DB5D0D">
        <w:rPr>
          <w:rFonts w:ascii="Times New Roman" w:hAnsi="Times New Roman"/>
          <w:color w:val="0070C0"/>
          <w:sz w:val="16"/>
          <w:szCs w:val="16"/>
        </w:rPr>
        <w:tab/>
        <w:t>-</w:t>
      </w:r>
      <w:r w:rsidRPr="00DB5D0D">
        <w:rPr>
          <w:rFonts w:ascii="Times New Roman" w:hAnsi="Times New Roman"/>
          <w:color w:val="0070C0"/>
          <w:sz w:val="16"/>
          <w:szCs w:val="16"/>
        </w:rPr>
        <w:tab/>
        <w:t>125</w:t>
      </w:r>
      <w:r w:rsidRPr="00DB5D0D">
        <w:rPr>
          <w:rFonts w:ascii="Times New Roman" w:hAnsi="Times New Roman"/>
          <w:color w:val="0070C0"/>
          <w:sz w:val="16"/>
          <w:szCs w:val="16"/>
        </w:rPr>
        <w:tab/>
        <w:t>штук.</w:t>
      </w:r>
    </w:p>
    <w:p w14:paraId="490AC61A"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Обязать главного конструктора т. Микулина и директо</w:t>
      </w:r>
      <w:r w:rsidRPr="00DB5D0D">
        <w:rPr>
          <w:rFonts w:ascii="Times New Roman" w:hAnsi="Times New Roman"/>
          <w:color w:val="0070C0"/>
          <w:sz w:val="16"/>
          <w:szCs w:val="16"/>
        </w:rPr>
        <w:softHyphen/>
        <w:t>ра завода т. Дубова довести мотор АМ-35 А до 100-часового срока службы и предъявить его на государственное испытание не позднее 1 августа 1940 года.</w:t>
      </w:r>
    </w:p>
    <w:p w14:paraId="3D5E9DED"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Для премирования коллектива работников ИТР, рабочих и служащих завода № 24 а)за создание мотора АМ-35 А и вы</w:t>
      </w:r>
      <w:r w:rsidRPr="00DB5D0D">
        <w:rPr>
          <w:rFonts w:ascii="Times New Roman" w:hAnsi="Times New Roman"/>
          <w:color w:val="0070C0"/>
          <w:sz w:val="16"/>
          <w:szCs w:val="16"/>
        </w:rPr>
        <w:softHyphen/>
        <w:t>пуск первых 50 экземпляэов в указанный срок выделить под отчет в распоряжение директора завода т. Дубова 1.5 миллиона рублей; б) за внедрение в серийное производство и выполнение заданной программы по мотору АМ-35 А в указанные сроки вы</w:t>
      </w:r>
      <w:r w:rsidRPr="00DB5D0D">
        <w:rPr>
          <w:rFonts w:ascii="Times New Roman" w:hAnsi="Times New Roman"/>
          <w:color w:val="0070C0"/>
          <w:sz w:val="16"/>
          <w:szCs w:val="16"/>
        </w:rPr>
        <w:softHyphen/>
        <w:t>делить под отчет в распоряжение директора завода 2 миллиона рублей.</w:t>
      </w:r>
    </w:p>
    <w:p w14:paraId="71DD55B3"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е) Производство мотора М-88 на заводе !Р 24 прекратить.</w:t>
      </w:r>
    </w:p>
    <w:p w14:paraId="532DB49A"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Обязать Наркомат Авиационной промышленности т.Шахурина А.И. в течение 5-ти дней представить в Комитет Обороны предложение о внедрении производства мотора М-88 на одном из действующих заводов других наркоматов с передачей ему всей оснастки, заделов и необходимого руководящего техниче</w:t>
      </w:r>
      <w:r w:rsidRPr="00DB5D0D">
        <w:rPr>
          <w:rFonts w:ascii="Times New Roman" w:hAnsi="Times New Roman"/>
          <w:color w:val="0070C0"/>
          <w:sz w:val="16"/>
          <w:szCs w:val="16"/>
        </w:rPr>
        <w:softHyphen/>
        <w:t>ского состава с завода № 1.</w:t>
      </w:r>
    </w:p>
    <w:p w14:paraId="1B766C76"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Председателю Госплана т. Вознесенскому обеспечить в указанный срок помощь Наркомату Авиационной промышлеиности в выделении завода под производство мотора М-88.</w:t>
      </w:r>
    </w:p>
    <w:p w14:paraId="292BAFA7"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ж) Обязать Наркомстрой т. Гинзбурга как внеочередное строительство построить на заводе № 24 в 1940 и 1941 годах опытно-конструкторский цех в составе:</w:t>
      </w:r>
    </w:p>
    <w:p w14:paraId="0BFE69C5"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опытно-конструкторское бюро,</w:t>
      </w:r>
    </w:p>
    <w:p w14:paraId="3A2C64B6"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опытный механический цех на 150 станков,</w:t>
      </w:r>
    </w:p>
    <w:p w14:paraId="54207228"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опытная испытательная станция,</w:t>
      </w:r>
    </w:p>
    <w:p w14:paraId="7BC852C7"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экспериментальная лаборатория.</w:t>
      </w:r>
    </w:p>
    <w:p w14:paraId="4F1C8BDC"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 Наркомфину т. Звереву выделить по целевому назначе</w:t>
      </w:r>
      <w:r w:rsidRPr="00DB5D0D">
        <w:rPr>
          <w:rFonts w:ascii="Times New Roman" w:hAnsi="Times New Roman"/>
          <w:color w:val="0070C0"/>
          <w:sz w:val="16"/>
          <w:szCs w:val="16"/>
        </w:rPr>
        <w:softHyphen/>
        <w:t>нию сверх фондов НКАП из резервного фонда СНК СССР для указанного строительства в 1940 году 5 миллионов рублей. предусмотрев в 1941 году необходимые средства для окончания строительства и оборудования опытно-конструкторского цеха.</w:t>
      </w:r>
    </w:p>
    <w:p w14:paraId="152E6299"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Экономсовету при СНК СССР предусмотреть выделение необходимых фондов на стройматериалы и оборудование.</w:t>
      </w:r>
    </w:p>
    <w:p w14:paraId="2F893BBC"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 Обязать Московский совет выделить в 1940 году 60 квартир, из них 30 квартир до 1 сентября, для инженерно- технических работников опытно-конструкторского цеха завода № 24.</w:t>
      </w:r>
    </w:p>
    <w:p w14:paraId="3EC55EF5"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Выписки посланы:</w:t>
      </w:r>
    </w:p>
    <w:p w14:paraId="34D8B7AB" w14:textId="77777777" w:rsidR="00730ADE" w:rsidRPr="00DB5D0D" w:rsidRDefault="00730AD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т.т. Шахурину, Дубову (и т. Микулину), Сафонову, Щербакову – все (21905).</w:t>
      </w:r>
    </w:p>
    <w:p w14:paraId="790AECB7" w14:textId="77777777" w:rsidR="00730ADE" w:rsidRPr="00DB5D0D" w:rsidRDefault="00730ADE" w:rsidP="00DB5D0D">
      <w:pPr>
        <w:spacing w:after="0" w:line="240" w:lineRule="auto"/>
        <w:jc w:val="both"/>
        <w:rPr>
          <w:rFonts w:ascii="Times New Roman" w:hAnsi="Times New Roman"/>
          <w:color w:val="0070C0"/>
          <w:sz w:val="16"/>
          <w:szCs w:val="16"/>
        </w:rPr>
      </w:pPr>
    </w:p>
    <w:p w14:paraId="54D7BB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 мая по 1 июня 1940 г. работала комиссия ГУ AC КА, исследовавшая причины отказов и определявшая эффективность действия авиабомб, примененных в ходе боевых действий авиацией Красной Армии. В ее составе были военинженеры 1 ранга Онисько, Бураков, Сассапарель и военинженеры 2 ранга Рыжаев и Седенко. Поскольку далее придется часто обращаться к отчету этой комиссии, следует отметить, что если «победные реляции» в ходе боевых действий всегда были уделом открытых средств массовой информации, то отчеты специалистов из реально происходившего на войне фиксировали лишь негативные стороны с тем, чтобы на будущее учесть недостатки и незамедлительно их ликвидировать. Поэтому нынешнее восприятие подобных документов у людей, не посвященных в эти тонкости, вполне может создать впечатление, что военные совершенно не знали, как применять свое оружие...</w:t>
      </w:r>
    </w:p>
    <w:p w14:paraId="734E0F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совещании командования ВВС Ленинградского военного округа, состоявшегося для подведения итогов боевых действий в «зимнюю кампанию» 1939-1940 г., отмечалось, в частности, что в подотчетный период руководящее звено подразделений было лишь на 37% укомплектовано кадровыми военными. В подавляющем большинстве должности командиров и комиссаров авиаполков и авиадивизий, а также начальников штабов и полковых инженеров занимали призванные из резерва школьные учителя, партработники, колхозные счетоводы и заводские инженеры.</w:t>
      </w:r>
    </w:p>
    <w:p w14:paraId="14B79C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учетом упомянутых выше огрехов в работе гражданских и военных специалистов, стоит ли удивляться, что до прибытия комиссии УВВС КА в районах Выборга и Кекс-гольма саперы из состава стрелковых частей уже уничтожили 4127 несработавших советских авиабомб. Члены комиссии осмотрели оставшиеся 197 авиабомб </w:t>
      </w:r>
      <w:r w:rsidRPr="00DB5D0D">
        <w:rPr>
          <w:rFonts w:ascii="Times New Roman" w:hAnsi="Times New Roman"/>
          <w:color w:val="000000" w:themeColor="text1"/>
          <w:sz w:val="16"/>
          <w:szCs w:val="16"/>
        </w:rPr>
        <w:lastRenderedPageBreak/>
        <w:t>различных калибров и назначений. Среди них оказались зажигательные боеприпасы - 125 штук ЗАБ-1э, 8 штук ЗАБ-Ютг, три ЗАБ-50тг и одна ЗАБ-2,5т. А также осколочные - 6 штук АО-2,5, 8 штук А0-8м6, 22 штуки А0-8м4, две А0-8м2 и фугасные авиабомбы - 11 штук ФАБ-50, 8 штук ФАБ-ЮОсв, две ФАБ-50м2 и одна ФАБ-ЮОцк (7453).</w:t>
      </w:r>
    </w:p>
    <w:p w14:paraId="62F69DA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0A47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с 19 мая по 1 июня 1940 г. по окончании советско-финляндской войны 1939-1940 гг. на Карельском перешейке работала комиссия ГУАС КА по исследованию причин отказов и определе</w:t>
      </w:r>
      <w:r w:rsidRPr="00DB5D0D">
        <w:rPr>
          <w:rFonts w:ascii="Times New Roman" w:hAnsi="Times New Roman"/>
          <w:color w:val="000000" w:themeColor="text1"/>
          <w:sz w:val="16"/>
          <w:szCs w:val="16"/>
        </w:rPr>
        <w:softHyphen/>
        <w:t>нию боевой эффективности отечественных образцов авиабомбово</w:t>
      </w:r>
      <w:r w:rsidRPr="00DB5D0D">
        <w:rPr>
          <w:rFonts w:ascii="Times New Roman" w:hAnsi="Times New Roman"/>
          <w:color w:val="000000" w:themeColor="text1"/>
          <w:sz w:val="16"/>
          <w:szCs w:val="16"/>
        </w:rPr>
        <w:softHyphen/>
        <w:t>го вооружения, примененных в ходе боевых действий. В ее составе были признанные авторитеты авиационного вооружения — военинженеры 1 ранга Онисько, Бураков, Сассапарель, а также воен инже</w:t>
      </w:r>
      <w:r w:rsidRPr="00DB5D0D">
        <w:rPr>
          <w:rFonts w:ascii="Times New Roman" w:hAnsi="Times New Roman"/>
          <w:color w:val="000000" w:themeColor="text1"/>
          <w:sz w:val="16"/>
          <w:szCs w:val="16"/>
        </w:rPr>
        <w:softHyphen/>
        <w:t>неры 2 ранга Рыжаев и Седенко. В 6-м пункте заключений их отче</w:t>
      </w:r>
      <w:r w:rsidRPr="00DB5D0D">
        <w:rPr>
          <w:rFonts w:ascii="Times New Roman" w:hAnsi="Times New Roman"/>
          <w:color w:val="000000" w:themeColor="text1"/>
          <w:sz w:val="16"/>
          <w:szCs w:val="16"/>
        </w:rPr>
        <w:softHyphen/>
        <w:t>та говорилось, что комиссия не обнаружила ни одного прямого по</w:t>
      </w:r>
      <w:r w:rsidRPr="00DB5D0D">
        <w:rPr>
          <w:rFonts w:ascii="Times New Roman" w:hAnsi="Times New Roman"/>
          <w:color w:val="000000" w:themeColor="text1"/>
          <w:sz w:val="16"/>
          <w:szCs w:val="16"/>
        </w:rPr>
        <w:softHyphen/>
        <w:t>падания в ДОТы в том числе авиабомб БЕТАБ с дополнительной скоростью (11402).</w:t>
      </w:r>
    </w:p>
    <w:p w14:paraId="676EE9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4F1D401" w14:textId="77777777" w:rsidR="00BE44A8" w:rsidRPr="00DB5D0D" w:rsidRDefault="00BE44A8"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bCs/>
          <w:iCs/>
          <w:color w:val="000000" w:themeColor="text1"/>
          <w:sz w:val="16"/>
          <w:szCs w:val="16"/>
        </w:rPr>
        <w:t>19-29 мая 1940 г.</w:t>
      </w:r>
      <w:r w:rsidRPr="00DB5D0D">
        <w:rPr>
          <w:rFonts w:ascii="Times New Roman" w:hAnsi="Times New Roman"/>
          <w:color w:val="000000" w:themeColor="text1"/>
          <w:sz w:val="16"/>
          <w:szCs w:val="16"/>
        </w:rPr>
        <w:t xml:space="preserve"> Сборы начальников химслужбы частей ВВС КОВО. На полигоне недалеко от Киева было продемонстрировано практическое выливание ОВ, бомбометание ХАБ-200 и ампулометание с самолетов «ССС» и СБ. Во время выливания ОВ, выполненного 27 мая с высоты 2000 метров, капли были отнесены на 10-13 километров от намеченной цели на полигоне и попали на населенный пункт Бровары. В результате пострадало 13 человек гражданского населения. К счастью, дело ограничилось зудом и жжением на коже и паникой среди населения, поскольку ОВ было учебным (водный раствор пиридина) (17133).</w:t>
      </w:r>
    </w:p>
    <w:p w14:paraId="6C5EF55D" w14:textId="77777777" w:rsidR="00BE44A8" w:rsidRPr="00DB5D0D" w:rsidRDefault="00BE44A8" w:rsidP="00DB5D0D">
      <w:pPr>
        <w:shd w:val="clear" w:color="auto" w:fill="FFFFFF"/>
        <w:spacing w:after="0" w:line="240" w:lineRule="auto"/>
        <w:jc w:val="both"/>
        <w:rPr>
          <w:rFonts w:ascii="Times New Roman" w:hAnsi="Times New Roman"/>
          <w:color w:val="000000" w:themeColor="text1"/>
          <w:sz w:val="16"/>
          <w:szCs w:val="16"/>
        </w:rPr>
      </w:pPr>
    </w:p>
    <w:p w14:paraId="11F7EA2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EDF575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926E879" w14:textId="77777777" w:rsidR="00A25AD1" w:rsidRPr="00DB5D0D" w:rsidRDefault="00A25AD1" w:rsidP="00DB5D0D">
      <w:pPr>
        <w:pStyle w:val="a3"/>
        <w:rPr>
          <w:color w:val="000000" w:themeColor="text1"/>
          <w:lang w:val="ru-RU"/>
        </w:rPr>
      </w:pPr>
      <w:r w:rsidRPr="00DB5D0D">
        <w:rPr>
          <w:color w:val="000000" w:themeColor="text1"/>
          <w:lang w:val="ru-RU"/>
        </w:rPr>
        <w:t>19 мая 1940 г. не дожидаясь официального завершения полигонных испыта</w:t>
      </w:r>
      <w:r w:rsidRPr="00DB5D0D">
        <w:rPr>
          <w:color w:val="000000" w:themeColor="text1"/>
          <w:lang w:val="ru-RU"/>
        </w:rPr>
        <w:softHyphen/>
        <w:t>ний комбинированного носового узла, главный инже</w:t>
      </w:r>
      <w:r w:rsidRPr="00DB5D0D">
        <w:rPr>
          <w:color w:val="000000" w:themeColor="text1"/>
          <w:lang w:val="ru-RU"/>
        </w:rPr>
        <w:softHyphen/>
        <w:t xml:space="preserve">нер Мариупольского завода </w:t>
      </w:r>
      <w:r w:rsidRPr="00DB5D0D">
        <w:rPr>
          <w:color w:val="000000" w:themeColor="text1"/>
        </w:rPr>
        <w:t>B</w:t>
      </w:r>
      <w:r w:rsidRPr="00DB5D0D">
        <w:rPr>
          <w:color w:val="000000" w:themeColor="text1"/>
          <w:lang w:val="ru-RU"/>
        </w:rPr>
        <w:t>.</w:t>
      </w:r>
      <w:r w:rsidRPr="00DB5D0D">
        <w:rPr>
          <w:color w:val="000000" w:themeColor="text1"/>
        </w:rPr>
        <w:t>C</w:t>
      </w:r>
      <w:r w:rsidRPr="00DB5D0D">
        <w:rPr>
          <w:color w:val="000000" w:themeColor="text1"/>
          <w:lang w:val="ru-RU"/>
        </w:rPr>
        <w:t xml:space="preserve">. Ниценко направил в АБТУ КА и 7 ГУ НКСП телеграмму следующего содержания: </w:t>
      </w:r>
      <w:r w:rsidRPr="00DB5D0D">
        <w:rPr>
          <w:rStyle w:val="70pt23"/>
          <w:rFonts w:ascii="Times New Roman" w:hAnsi="Times New Roman" w:cs="Times New Roman"/>
          <w:i w:val="0"/>
          <w:iCs w:val="0"/>
          <w:color w:val="000000" w:themeColor="text1"/>
          <w:lang w:val="ru-RU"/>
        </w:rPr>
        <w:t>СЕГИЯ Г ДВА АДРЕСА МОСКВА АБТУ КА АЛЫМОВУ КОПИЯ БАРЬЕР ЕМЕЛЬЯНОВУ</w:t>
      </w:r>
    </w:p>
    <w:p w14:paraId="34B1163E"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noProof w:val="0"/>
          <w:color w:val="000000" w:themeColor="text1"/>
          <w:lang w:val="ru-RU"/>
        </w:rPr>
        <w:t>-</w:t>
      </w:r>
      <w:r w:rsidRPr="00DB5D0D">
        <w:rPr>
          <w:rFonts w:ascii="Times New Roman" w:hAnsi="Times New Roman" w:cs="Times New Roman"/>
          <w:i w:val="0"/>
          <w:iCs w:val="0"/>
          <w:color w:val="000000" w:themeColor="text1"/>
          <w:lang w:val="ru-RU"/>
        </w:rPr>
        <w:t>РЕЗУЛЬТАТЫ ИСПЫТАНИЙ СВАРОЧНОГО НОСА ЛИТОЙ ВСТАВ</w:t>
      </w:r>
      <w:r w:rsidRPr="00DB5D0D">
        <w:rPr>
          <w:rFonts w:ascii="Times New Roman" w:hAnsi="Times New Roman" w:cs="Times New Roman"/>
          <w:i w:val="0"/>
          <w:iCs w:val="0"/>
          <w:color w:val="000000" w:themeColor="text1"/>
          <w:lang w:val="ru-RU"/>
        </w:rPr>
        <w:softHyphen/>
        <w:t>КОЙ ПРОТИВ 45 ХОРОШИЕ ЗПТПОДТВЕРДИТЕ ЗАПУСК ПРОИЗВОД</w:t>
      </w:r>
      <w:r w:rsidRPr="00DB5D0D">
        <w:rPr>
          <w:rFonts w:ascii="Times New Roman" w:hAnsi="Times New Roman" w:cs="Times New Roman"/>
          <w:i w:val="0"/>
          <w:iCs w:val="0"/>
          <w:color w:val="000000" w:themeColor="text1"/>
          <w:lang w:val="ru-RU"/>
        </w:rPr>
        <w:softHyphen/>
        <w:t>СТВО ТЧК ПОДРОБНЫЕ МАТЕРИАЛЫ ПОЧТОЙ-</w:t>
      </w:r>
    </w:p>
    <w:p w14:paraId="08AF096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02/2223 НИЦЕНКО ФЦЦОРОВ РУСАКОВ.</w:t>
      </w:r>
      <w:r w:rsidRPr="00DB5D0D">
        <w:rPr>
          <w:rStyle w:val="12BookmanOldStyle6865pt1710"/>
          <w:rFonts w:ascii="Times New Roman" w:hAnsi="Times New Roman" w:cs="Times New Roman"/>
          <w:color w:val="000000" w:themeColor="text1"/>
          <w:sz w:val="16"/>
          <w:szCs w:val="16"/>
          <w:lang w:val="ru-RU"/>
        </w:rPr>
        <w:t xml:space="preserve"> [</w:t>
      </w:r>
      <w:r w:rsidRPr="00DB5D0D">
        <w:rPr>
          <w:rFonts w:ascii="Times New Roman" w:hAnsi="Times New Roman" w:cs="Times New Roman"/>
          <w:i w:val="0"/>
          <w:iCs w:val="0"/>
          <w:color w:val="000000" w:themeColor="text1"/>
          <w:lang w:val="ru-RU"/>
        </w:rPr>
        <w:t>РГВА. Ф.31811. Оп.2. Д. 1022. Л. 15</w:t>
      </w:r>
      <w:r w:rsidRPr="00DB5D0D">
        <w:rPr>
          <w:rFonts w:ascii="Times New Roman" w:hAnsi="Times New Roman" w:cs="Times New Roman"/>
          <w:i w:val="0"/>
          <w:color w:val="000000" w:themeColor="text1"/>
          <w:lang w:val="ru-RU"/>
        </w:rPr>
        <w:t>.</w:t>
      </w:r>
      <w:r w:rsidRPr="00DB5D0D">
        <w:rPr>
          <w:rStyle w:val="12BookmanOldStyle6865pt1710"/>
          <w:rFonts w:ascii="Times New Roman" w:hAnsi="Times New Roman" w:cs="Times New Roman"/>
          <w:color w:val="000000" w:themeColor="text1"/>
          <w:sz w:val="16"/>
          <w:szCs w:val="16"/>
          <w:lang w:val="ru-RU"/>
        </w:rPr>
        <w:t>]</w:t>
      </w:r>
      <w:r w:rsidRPr="00DB5D0D">
        <w:rPr>
          <w:rStyle w:val="12BookmanOldStyle6865pt1710"/>
          <w:rFonts w:ascii="Times New Roman" w:hAnsi="Times New Roman" w:cs="Times New Roman"/>
          <w:noProof w:val="0"/>
          <w:color w:val="000000" w:themeColor="text1"/>
          <w:sz w:val="16"/>
          <w:szCs w:val="16"/>
          <w:lang w:val="ru-RU"/>
        </w:rPr>
        <w:t xml:space="preserve"> (11903)</w:t>
      </w:r>
    </w:p>
    <w:p w14:paraId="3E08E686" w14:textId="77777777" w:rsidR="00A25AD1" w:rsidRPr="00DB5D0D" w:rsidRDefault="00A25AD1" w:rsidP="00DB5D0D">
      <w:pPr>
        <w:pStyle w:val="a3"/>
        <w:rPr>
          <w:color w:val="000000" w:themeColor="text1"/>
          <w:lang w:val="ru-RU"/>
        </w:rPr>
      </w:pPr>
    </w:p>
    <w:p w14:paraId="768073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 Управление связи КА заключило с ЛФТИ договор на модернизацию станции «Редут», при этом имея в виду попутное решение способа опознавания своих и вражеских самолетов.</w:t>
      </w:r>
    </w:p>
    <w:p w14:paraId="38D43B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Коллектив ЛФТИ (Ю. Б. Кобзарев) разработал способ опознавания на основе применения регенеративного ответчика. Испытания на самолете показали хорошие результаты, и в канун Великой Отечественной войны разработчики получили авторское свидетельство. В связи с эвакуацией института ответчик был передан в НИИ-9, под руководством инженеров Н. Ф. Алексеева и Д. Е. Малярова он прошел конструктивную доработку и был передан в производство.</w:t>
      </w:r>
    </w:p>
    <w:p w14:paraId="410AA1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Инженеры НИИИС КА также создали аппаратуру опознавания и в середине 1941 г. при испытании ее на самолетах получили удовлетворительные результаты (11026).</w:t>
      </w:r>
    </w:p>
    <w:p w14:paraId="4FEEE92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7269C9" w14:textId="77777777" w:rsidR="008A2FB4"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0F5112D9" w14:textId="77777777" w:rsidR="008A2FB4" w:rsidRPr="00DB5D0D" w:rsidRDefault="008A2FB4" w:rsidP="00DB5D0D">
      <w:pPr>
        <w:spacing w:after="0" w:line="240" w:lineRule="auto"/>
        <w:jc w:val="both"/>
        <w:rPr>
          <w:rFonts w:ascii="Times New Roman" w:hAnsi="Times New Roman"/>
          <w:iCs/>
          <w:color w:val="000000" w:themeColor="text1"/>
          <w:sz w:val="16"/>
          <w:szCs w:val="16"/>
        </w:rPr>
      </w:pPr>
    </w:p>
    <w:p w14:paraId="344CC59B" w14:textId="77777777" w:rsidR="008A2FB4" w:rsidRPr="00DB5D0D" w:rsidRDefault="008A2FB4"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19 мая 1940 г. завершена операция НКВД по расстрелу польских военнопленных в лесу под Катынью, расстреляны 14522 человека (</w:t>
      </w:r>
      <w:r w:rsidRPr="00DB5D0D">
        <w:rPr>
          <w:rFonts w:ascii="Times New Roman" w:eastAsia="Times New Roman" w:hAnsi="Times New Roman"/>
          <w:bCs/>
          <w:iCs/>
          <w:color w:val="000000" w:themeColor="text1"/>
          <w:sz w:val="16"/>
          <w:szCs w:val="16"/>
          <w:lang w:eastAsia="ru-RU"/>
        </w:rPr>
        <w:t>Леонид Млечин «Железный Шурик»):</w:t>
      </w:r>
    </w:p>
    <w:p w14:paraId="00459CAF" w14:textId="77777777" w:rsidR="008A2FB4" w:rsidRPr="00DB5D0D" w:rsidRDefault="008A2FB4"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«Главный вывод экспертов Главной военной прокуратуры:</w:t>
      </w:r>
    </w:p>
    <w:p w14:paraId="0998A318" w14:textId="77777777" w:rsidR="008A2FB4" w:rsidRPr="00DB5D0D" w:rsidRDefault="008A2FB4" w:rsidP="00DB5D0D">
      <w:pPr>
        <w:shd w:val="clear" w:color="auto" w:fill="FFFFFF"/>
        <w:spacing w:after="0" w:line="240" w:lineRule="auto"/>
        <w:jc w:val="both"/>
        <w:rPr>
          <w:rFonts w:ascii="Times New Roman" w:eastAsia="Times New Roman" w:hAnsi="Times New Roman"/>
          <w:bCs/>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 xml:space="preserve">«1. Материалы следственного дела содержат убедительные доказательства наличия события преступления — массового убийства органами НКВД весной 1940 г. содержавшихся в Козельском, Старобельском и Осташковском лагерях НКВД 14.522 польских военнопленных, которые 3 апреля — </w:t>
      </w:r>
      <w:r w:rsidRPr="00DB5D0D">
        <w:rPr>
          <w:rFonts w:ascii="Times New Roman" w:eastAsia="Times New Roman" w:hAnsi="Times New Roman"/>
          <w:color w:val="000000" w:themeColor="text1"/>
          <w:sz w:val="16"/>
          <w:szCs w:val="16"/>
          <w:lang w:eastAsia="ru-RU"/>
        </w:rPr>
        <w:t>19 мая</w:t>
      </w:r>
      <w:r w:rsidRPr="00DB5D0D">
        <w:rPr>
          <w:rFonts w:ascii="Times New Roman" w:eastAsia="Times New Roman" w:hAnsi="Times New Roman"/>
          <w:bCs/>
          <w:color w:val="000000" w:themeColor="text1"/>
          <w:sz w:val="16"/>
          <w:szCs w:val="16"/>
          <w:lang w:eastAsia="ru-RU"/>
        </w:rPr>
        <w:t xml:space="preserve"> направлялись партиями к месту расстрела и были расстреляны (выстрелами в затылок) в Катынском лесу, в тюрьмах УНКВД Смоленской, Ворошиловградской и Калининской областей и захоронены в коллективных могилах в Козьих горах, с. Медное Калининской области и в лесопарковой зоне г. Харькова.</w:t>
      </w:r>
    </w:p>
    <w:p w14:paraId="3FB58811" w14:textId="77777777" w:rsidR="008A2FB4" w:rsidRPr="00DB5D0D" w:rsidRDefault="008A2FB4"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…Доказано также, что единым умыслом одновременно в тюрьмах НКВД Западной Белоруссии и Западной Украины были расстреляны 7.305 поляков, в том числе около 1.000 офицеров.</w:t>
      </w:r>
    </w:p>
    <w:p w14:paraId="3231CCCF" w14:textId="77777777" w:rsidR="008A2FB4" w:rsidRPr="00DB5D0D" w:rsidRDefault="008A2FB4"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2. Расстрелы совершались на основании постановления Политбюро ЦК ВКП/б/ от 5 марта 1940 г. по представлению НКВД СССР…» (17398).</w:t>
      </w:r>
    </w:p>
    <w:p w14:paraId="3B8AE72F" w14:textId="77777777" w:rsidR="008A2FB4" w:rsidRPr="00DB5D0D" w:rsidRDefault="008A2FB4" w:rsidP="00DB5D0D">
      <w:pPr>
        <w:spacing w:after="0" w:line="240" w:lineRule="auto"/>
        <w:jc w:val="both"/>
        <w:rPr>
          <w:rFonts w:ascii="Times New Roman" w:hAnsi="Times New Roman"/>
          <w:color w:val="000000" w:themeColor="text1"/>
          <w:sz w:val="16"/>
          <w:szCs w:val="16"/>
        </w:rPr>
      </w:pPr>
    </w:p>
    <w:p w14:paraId="5AD3C29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8DC6CB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97220E8" w14:textId="77777777" w:rsidR="00613461" w:rsidRPr="00DB5D0D" w:rsidRDefault="0061346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 мая 1940 во время британских военно-морских операций по доставке беженцев из Остенде, Бельгия, в Соединенное Королевство, немецкие бомбардировщики потопили британский эсминец HMS Whitley у берегов Бельгии (20795).</w:t>
      </w:r>
    </w:p>
    <w:p w14:paraId="4A651F06" w14:textId="77777777" w:rsidR="00613461" w:rsidRPr="00DB5D0D" w:rsidRDefault="00613461" w:rsidP="00DB5D0D">
      <w:pPr>
        <w:spacing w:after="0" w:line="240" w:lineRule="auto"/>
        <w:jc w:val="both"/>
        <w:rPr>
          <w:rFonts w:ascii="Times New Roman" w:hAnsi="Times New Roman"/>
          <w:color w:val="0070C0"/>
          <w:sz w:val="16"/>
          <w:szCs w:val="16"/>
        </w:rPr>
      </w:pPr>
    </w:p>
    <w:p w14:paraId="0B42ED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RAF бомбила Бремен и Гамбург (2244,3).</w:t>
      </w:r>
    </w:p>
    <w:p w14:paraId="218D571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52730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19th, 1940: German troops of XX.Panzerkorps (Reinhardt) capture St. Quentin. General Gamelin, C-in-C of Allied Forces, is replaced by General Weygand (3819).</w:t>
      </w:r>
    </w:p>
    <w:p w14:paraId="6414C34A"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B94DA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20ТГ Гудериана захватила Ст. Квентин и ГК союзными войсками г Гамелин был заменен г Вейгандом (3819).</w:t>
      </w:r>
    </w:p>
    <w:p w14:paraId="6893354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702E92" w14:textId="77777777" w:rsidR="00106B42" w:rsidRPr="00DB5D0D" w:rsidRDefault="00106B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 Поль Рейно меняет генерала Гамелена, полковник де Голль пытается нанести контрудар, союзники окружены в Бельгии, их авиация бездействует, а пропаганда врет, полный перевес немцев в воздухе (17398).</w:t>
      </w:r>
    </w:p>
    <w:p w14:paraId="54B79D4F" w14:textId="77777777" w:rsidR="00106B42" w:rsidRPr="00DB5D0D" w:rsidRDefault="00106B42" w:rsidP="00DB5D0D">
      <w:pPr>
        <w:spacing w:after="0" w:line="240" w:lineRule="auto"/>
        <w:jc w:val="both"/>
        <w:rPr>
          <w:rFonts w:ascii="Times New Roman" w:hAnsi="Times New Roman"/>
          <w:color w:val="000000" w:themeColor="text1"/>
          <w:sz w:val="16"/>
          <w:szCs w:val="16"/>
        </w:rPr>
      </w:pPr>
    </w:p>
    <w:p w14:paraId="231ACCB9" w14:textId="77777777" w:rsidR="00106B42" w:rsidRPr="00DB5D0D" w:rsidRDefault="00106B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w:t>
      </w:r>
      <w:r w:rsidRPr="00DB5D0D">
        <w:rPr>
          <w:rFonts w:ascii="Times New Roman" w:hAnsi="Times New Roman"/>
          <w:bCs/>
          <w:color w:val="000000" w:themeColor="text1"/>
          <w:sz w:val="16"/>
          <w:szCs w:val="16"/>
        </w:rPr>
        <w:t xml:space="preserve"> на рассвете танки дивизии Де Голля, преодолевая ряд последовательных рубежей, двинулись к Креси, Мортье и Пуйи. Они должны были овладеть мостами и преградить противнику путь на Ла-Фер. Танки сопровождала артиллерия. Разведывательный полк и пехотный батальон обеспечивали прикрытие правого фланга со стороны реки, у Барантона. В направлении Марль была выслана разведка. Утро прошло благополучно. Мы вышли к реке Сер, обратив в бегство различные вражеские подразделения, которые просочились в этот район. Но на северном берегу реки противник занимал оборону. Он прочно удерживал переправы и уничтожал наши танки, которые пытались к ним приблизиться</w:t>
      </w:r>
      <w:r w:rsidRPr="00DB5D0D">
        <w:rPr>
          <w:rFonts w:ascii="Times New Roman" w:hAnsi="Times New Roman"/>
          <w:color w:val="000000" w:themeColor="text1"/>
          <w:sz w:val="16"/>
          <w:szCs w:val="16"/>
        </w:rPr>
        <w:t xml:space="preserve"> (17398).</w:t>
      </w:r>
    </w:p>
    <w:p w14:paraId="562C93B2" w14:textId="77777777" w:rsidR="00106B42" w:rsidRPr="00DB5D0D" w:rsidRDefault="00106B42" w:rsidP="00DB5D0D">
      <w:pPr>
        <w:spacing w:after="0" w:line="240" w:lineRule="auto"/>
        <w:jc w:val="both"/>
        <w:rPr>
          <w:rFonts w:ascii="Times New Roman" w:hAnsi="Times New Roman"/>
          <w:color w:val="000000" w:themeColor="text1"/>
          <w:sz w:val="16"/>
          <w:szCs w:val="16"/>
        </w:rPr>
      </w:pPr>
    </w:p>
    <w:p w14:paraId="072B003D" w14:textId="77777777" w:rsidR="00F97243" w:rsidRPr="00DB5D0D" w:rsidRDefault="00F9724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w:t>
      </w:r>
      <w:r w:rsidRPr="00DB5D0D">
        <w:rPr>
          <w:rFonts w:ascii="Times New Roman" w:hAnsi="Times New Roman"/>
          <w:bCs/>
          <w:color w:val="000000" w:themeColor="text1"/>
          <w:sz w:val="16"/>
          <w:szCs w:val="16"/>
        </w:rPr>
        <w:t xml:space="preserve"> 1940 командир британского корпуса генерал Горт решил отступить к побережью и убраться восвояси. </w:t>
      </w:r>
      <w:r w:rsidR="00106B42" w:rsidRPr="00DB5D0D">
        <w:rPr>
          <w:rFonts w:ascii="Times New Roman" w:hAnsi="Times New Roman"/>
          <w:color w:val="000000" w:themeColor="text1"/>
          <w:sz w:val="16"/>
          <w:szCs w:val="16"/>
        </w:rPr>
        <w:t>19 мая</w:t>
      </w:r>
      <w:r w:rsidR="00106B42" w:rsidRPr="00DB5D0D">
        <w:rPr>
          <w:rFonts w:ascii="Times New Roman" w:hAnsi="Times New Roman"/>
          <w:bCs/>
          <w:color w:val="000000" w:themeColor="text1"/>
          <w:sz w:val="16"/>
          <w:szCs w:val="16"/>
        </w:rPr>
        <w:t xml:space="preserve"> генерал Горт из радиоперехватов узнал, что он окружен. Германские войска давили по всему периметру обороны, сжимавшемуся с каждым часом. </w:t>
      </w:r>
      <w:r w:rsidRPr="00DB5D0D">
        <w:rPr>
          <w:rFonts w:ascii="Times New Roman" w:hAnsi="Times New Roman"/>
          <w:bCs/>
          <w:color w:val="000000" w:themeColor="text1"/>
          <w:sz w:val="16"/>
          <w:szCs w:val="16"/>
        </w:rPr>
        <w:t>Вскоре разногласия между французами и англичанами обострились как по поводу ведения боевых действий и, в частности, возможного мира с Муссолини, так и по поводу эвакуации из Дюнкерка, начавшейся 27 мая (17398).</w:t>
      </w:r>
    </w:p>
    <w:p w14:paraId="17B4DF35" w14:textId="77777777" w:rsidR="00F97243" w:rsidRPr="00DB5D0D" w:rsidRDefault="00F97243" w:rsidP="00DB5D0D">
      <w:pPr>
        <w:spacing w:after="0" w:line="240" w:lineRule="auto"/>
        <w:jc w:val="both"/>
        <w:rPr>
          <w:rFonts w:ascii="Times New Roman" w:hAnsi="Times New Roman"/>
          <w:color w:val="000000" w:themeColor="text1"/>
          <w:sz w:val="16"/>
          <w:szCs w:val="16"/>
        </w:rPr>
      </w:pPr>
    </w:p>
    <w:p w14:paraId="10E3ACD4" w14:textId="77777777" w:rsidR="00106B42" w:rsidRPr="00DB5D0D" w:rsidRDefault="00106B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 мая 1940 г. пришелся пик авианалетов немцев на порт Булонь – пункт, из которого 17 мая англичане начали эвакуацию (17398).</w:t>
      </w:r>
    </w:p>
    <w:p w14:paraId="0969F9D1" w14:textId="77777777" w:rsidR="00106B42" w:rsidRPr="00DB5D0D" w:rsidRDefault="00106B42" w:rsidP="00DB5D0D">
      <w:pPr>
        <w:spacing w:after="0" w:line="240" w:lineRule="auto"/>
        <w:jc w:val="both"/>
        <w:rPr>
          <w:rFonts w:ascii="Times New Roman" w:hAnsi="Times New Roman"/>
          <w:color w:val="000000" w:themeColor="text1"/>
          <w:sz w:val="16"/>
          <w:szCs w:val="16"/>
        </w:rPr>
      </w:pPr>
    </w:p>
    <w:p w14:paraId="41A16E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19 </w:t>
      </w:r>
      <w:r w:rsidRPr="00DB5D0D">
        <w:rPr>
          <w:rFonts w:ascii="Times New Roman" w:hAnsi="Times New Roman"/>
          <w:color w:val="000000" w:themeColor="text1"/>
          <w:sz w:val="16"/>
          <w:szCs w:val="16"/>
          <w:lang w:val="en-US"/>
        </w:rPr>
        <w:t>May</w:t>
      </w:r>
      <w:r w:rsidRPr="00DB5D0D">
        <w:rPr>
          <w:rFonts w:ascii="Times New Roman" w:hAnsi="Times New Roman"/>
          <w:color w:val="000000" w:themeColor="text1"/>
          <w:sz w:val="16"/>
          <w:szCs w:val="16"/>
        </w:rPr>
        <w:t xml:space="preserve"> 1940 </w:t>
      </w:r>
      <w:r w:rsidRPr="00DB5D0D">
        <w:rPr>
          <w:rFonts w:ascii="Times New Roman" w:hAnsi="Times New Roman"/>
          <w:color w:val="000000" w:themeColor="text1"/>
          <w:sz w:val="16"/>
          <w:szCs w:val="16"/>
          <w:lang w:val="en-US"/>
        </w:rPr>
        <w:t>Churchill</w:t>
      </w:r>
      <w:r w:rsidRPr="00DB5D0D">
        <w:rPr>
          <w:rFonts w:ascii="Times New Roman" w:hAnsi="Times New Roman"/>
          <w:color w:val="000000" w:themeColor="text1"/>
          <w:sz w:val="16"/>
          <w:szCs w:val="16"/>
        </w:rPr>
        <w:t xml:space="preserve"> </w:t>
      </w:r>
      <w:r w:rsidRPr="00DB5D0D">
        <w:rPr>
          <w:rFonts w:ascii="Times New Roman" w:hAnsi="Times New Roman"/>
          <w:color w:val="000000" w:themeColor="text1"/>
          <w:sz w:val="16"/>
          <w:szCs w:val="16"/>
          <w:lang w:val="en-US"/>
        </w:rPr>
        <w:t>becomes</w:t>
      </w:r>
      <w:r w:rsidRPr="00DB5D0D">
        <w:rPr>
          <w:rFonts w:ascii="Times New Roman" w:hAnsi="Times New Roman"/>
          <w:color w:val="000000" w:themeColor="text1"/>
          <w:sz w:val="16"/>
          <w:szCs w:val="16"/>
        </w:rPr>
        <w:t xml:space="preserve"> </w:t>
      </w:r>
      <w:r w:rsidRPr="00DB5D0D">
        <w:rPr>
          <w:rFonts w:ascii="Times New Roman" w:hAnsi="Times New Roman"/>
          <w:color w:val="000000" w:themeColor="text1"/>
          <w:sz w:val="16"/>
          <w:szCs w:val="16"/>
          <w:lang w:val="en-US"/>
        </w:rPr>
        <w:t>Prime</w:t>
      </w:r>
      <w:r w:rsidRPr="00DB5D0D">
        <w:rPr>
          <w:rFonts w:ascii="Times New Roman" w:hAnsi="Times New Roman"/>
          <w:color w:val="000000" w:themeColor="text1"/>
          <w:sz w:val="16"/>
          <w:szCs w:val="16"/>
        </w:rPr>
        <w:t xml:space="preserve"> </w:t>
      </w:r>
      <w:r w:rsidRPr="00DB5D0D">
        <w:rPr>
          <w:rFonts w:ascii="Times New Roman" w:hAnsi="Times New Roman"/>
          <w:color w:val="000000" w:themeColor="text1"/>
          <w:sz w:val="16"/>
          <w:szCs w:val="16"/>
          <w:lang w:val="en-US"/>
        </w:rPr>
        <w:t>Minister</w:t>
      </w:r>
      <w:r w:rsidRPr="00DB5D0D">
        <w:rPr>
          <w:rFonts w:ascii="Times New Roman" w:hAnsi="Times New Roman"/>
          <w:color w:val="000000" w:themeColor="text1"/>
          <w:sz w:val="16"/>
          <w:szCs w:val="16"/>
        </w:rPr>
        <w:t xml:space="preserve"> (270).</w:t>
      </w:r>
    </w:p>
    <w:p w14:paraId="690FE80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45B0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У.ЧерчильсталПремьерМинистром (270).</w:t>
      </w:r>
    </w:p>
    <w:p w14:paraId="668F56C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006403" w14:textId="77777777" w:rsidR="00521CFA" w:rsidRPr="00DB5D0D" w:rsidRDefault="00521CFA" w:rsidP="00DB5D0D">
      <w:pPr>
        <w:pStyle w:val="style2"/>
        <w:shd w:val="clear" w:color="auto" w:fill="FFFFFF"/>
        <w:spacing w:after="0"/>
        <w:jc w:val="both"/>
        <w:rPr>
          <w:color w:val="000000" w:themeColor="text1"/>
          <w:sz w:val="16"/>
          <w:szCs w:val="16"/>
        </w:rPr>
      </w:pPr>
      <w:r w:rsidRPr="00DB5D0D">
        <w:rPr>
          <w:color w:val="000000" w:themeColor="text1"/>
          <w:sz w:val="16"/>
          <w:szCs w:val="16"/>
        </w:rPr>
        <w:t xml:space="preserve">19 мая 1940 г. Лондон, </w:t>
      </w:r>
      <w:r w:rsidRPr="00DB5D0D">
        <w:rPr>
          <w:rStyle w:val="a7"/>
          <w:b w:val="0"/>
          <w:bCs w:val="0"/>
          <w:color w:val="000000" w:themeColor="text1"/>
          <w:sz w:val="16"/>
          <w:szCs w:val="16"/>
        </w:rPr>
        <w:t>Радиообращение премьер-министра У. Черчилля к нации</w:t>
      </w:r>
    </w:p>
    <w:p w14:paraId="3E099384" w14:textId="77777777" w:rsidR="00521CFA" w:rsidRPr="00DB5D0D" w:rsidRDefault="00521CFA" w:rsidP="00DB5D0D">
      <w:pPr>
        <w:pStyle w:val="ae"/>
        <w:shd w:val="clear" w:color="auto" w:fill="FFFFFF"/>
        <w:spacing w:before="0" w:after="0"/>
        <w:jc w:val="both"/>
        <w:rPr>
          <w:color w:val="000000" w:themeColor="text1"/>
          <w:sz w:val="16"/>
          <w:szCs w:val="16"/>
        </w:rPr>
      </w:pPr>
      <w:r w:rsidRPr="00DB5D0D">
        <w:rPr>
          <w:color w:val="000000" w:themeColor="text1"/>
          <w:sz w:val="16"/>
          <w:szCs w:val="16"/>
        </w:rPr>
        <w:t>Я впервые обращаюсь к вам как премьер-министр в ответственный час для жизни нашей страны, нашей империи, наших союзников, и, самое важное, для Свободы. Ужасная битва бушует во Франции и во Фландрии. Немцы, с помощью сокрушительной комбинации воздушных бомбардировок и тяжелых танков, прорвали французскую оборону к северу от Линии Мажино, и мощные колонны бронированной техники разоряют страну, которая в течении дня-двух оставалась без защитников. Они проникли далеко в глубь страны, и сеют страх и неразбериху. Моторизованные подразделения, а за ними и огромные армии, движутся вперед. Несколько дней идет перегруппировка французских войск, с целью создать костяк сопротивления и также, для того, чтобы нанести удар по агрессору, чему в большой степени способствуют беспримерные усилия Королевских Военно-Воздушных Сил.</w:t>
      </w:r>
    </w:p>
    <w:p w14:paraId="106D1349" w14:textId="77777777" w:rsidR="00521CFA" w:rsidRPr="00DB5D0D" w:rsidRDefault="00521CFA" w:rsidP="00DB5D0D">
      <w:pPr>
        <w:pStyle w:val="ae"/>
        <w:shd w:val="clear" w:color="auto" w:fill="FFFFFF"/>
        <w:spacing w:before="0" w:after="0"/>
        <w:jc w:val="both"/>
        <w:rPr>
          <w:color w:val="000000" w:themeColor="text1"/>
          <w:sz w:val="16"/>
          <w:szCs w:val="16"/>
        </w:rPr>
      </w:pPr>
      <w:r w:rsidRPr="00DB5D0D">
        <w:rPr>
          <w:color w:val="000000" w:themeColor="text1"/>
          <w:sz w:val="16"/>
          <w:szCs w:val="16"/>
        </w:rPr>
        <w:t xml:space="preserve">Мы не должны пугаться внезапного появления немецких танков у наших позиций. Если они прорвут наш фронт и окажутся в наших тылах, в этом случае французы окажутся в их тылах во многих пунктах. Таким образом, обе стороны в очень опасной ситуации. При правильном управлении французской и нашей армиями, во что я верю; если французы сохранят свою гениальную способность восстанавливаться и контратаковать, которой они давно славятся; и если английская армия покажет </w:t>
      </w:r>
      <w:r w:rsidRPr="00DB5D0D">
        <w:rPr>
          <w:color w:val="000000" w:themeColor="text1"/>
          <w:sz w:val="16"/>
          <w:szCs w:val="16"/>
        </w:rPr>
        <w:lastRenderedPageBreak/>
        <w:t>свою выносливость и крепкую боевую силу, чему было так много примеров в прошлом, тогда может произойти резкое изменение ситуации.</w:t>
      </w:r>
    </w:p>
    <w:p w14:paraId="43899350" w14:textId="77777777" w:rsidR="00521CFA" w:rsidRPr="00DB5D0D" w:rsidRDefault="00521CFA" w:rsidP="00DB5D0D">
      <w:pPr>
        <w:pStyle w:val="ae"/>
        <w:shd w:val="clear" w:color="auto" w:fill="FFFFFF"/>
        <w:spacing w:before="0" w:after="0"/>
        <w:jc w:val="both"/>
        <w:rPr>
          <w:color w:val="000000" w:themeColor="text1"/>
          <w:sz w:val="16"/>
          <w:szCs w:val="16"/>
        </w:rPr>
      </w:pPr>
      <w:r w:rsidRPr="00DB5D0D">
        <w:rPr>
          <w:color w:val="000000" w:themeColor="text1"/>
          <w:sz w:val="16"/>
          <w:szCs w:val="16"/>
        </w:rPr>
        <w:t>Однако, было бы глупо скрывать всю серьезность ситуации. Но было бы еще большей глупостью потерять присутствие духа и мужество или предполагать, что хорошо обученные и оснащенные войска численностью три-четыре миллиона можно победить в течение нескольких недель или даже месяцев, одним ударом или маршем, хотя и таким страшным, какой обрушился на Францию. Мы можем с уверенностью ожидать стабилизации французского фронта, и всеобщей активности народных масс, которая даст солдатам Франции и Британии мощь, с лихвой перекрывающую силу врага. Что касается меня, у меня есть непоколебимая уверенность во французской армии и ее лидерах. Пока только небольшая часть этой великой армии была задействована; и еще только очень малая часть Франции захвачена. Есть все основания полагать, что практически все специализированные и механизированные силы противника уже брошены в бой; и мы знаем, что мы нанесли им тяжелый урон. Каждый офицер или простой человек, каждый отряд или дивизия, которые крепко сцепились с врагом, где бы это ни произошло, вносят ощутимый вклад в общее дело. Армии должны отмести мысль о сопротивлении за конкретными позициями или за природными укреплениями, и должны осознать, что снова завладеть ситуацией можно только стремительной и безжалостной атакой. Такой душевный подъем должен оживить не только командование, но и воодушевить каждого солдата.</w:t>
      </w:r>
    </w:p>
    <w:p w14:paraId="0FE53BF5" w14:textId="77777777" w:rsidR="00521CFA" w:rsidRPr="00DB5D0D" w:rsidRDefault="00521CFA"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воздухе — часто серьезно рискуя, рискуя так, как до сих пор считалось невозможным — мы сбиваем три-четыре самолета противника, теряя одного нашего; и соотношение британских и немецких ВВС теперь значительно более благоприятно для нас, чем было в начале сражений. Сбивая немецкие бомбардировщики, мы ведем свою собственную битву, так же как и битву за Францию. Моя уверенность в нашей способности довести битву с немецкими воздушными силами до конца увеличилась после свирепых стычек, которые постоянно велись и идут сейчас. В то же время, наши тяжелые бомбардировщики каждую ночь наносят удары в сердце технической мощи Германии, и уже нанесли значительный ущерб нефтеперерабатывающим заводам от которых непосредственно зависят нацистские устремления к мировому господству.</w:t>
      </w:r>
    </w:p>
    <w:p w14:paraId="6839DBF3" w14:textId="77777777" w:rsidR="00521CFA" w:rsidRPr="00DB5D0D" w:rsidRDefault="00521CFA" w:rsidP="00DB5D0D">
      <w:pPr>
        <w:pStyle w:val="ae"/>
        <w:shd w:val="clear" w:color="auto" w:fill="FFFFFF"/>
        <w:spacing w:before="0" w:after="0"/>
        <w:jc w:val="both"/>
        <w:rPr>
          <w:color w:val="000000" w:themeColor="text1"/>
          <w:sz w:val="16"/>
          <w:szCs w:val="16"/>
        </w:rPr>
      </w:pPr>
      <w:r w:rsidRPr="00DB5D0D">
        <w:rPr>
          <w:color w:val="000000" w:themeColor="text1"/>
          <w:sz w:val="16"/>
          <w:szCs w:val="16"/>
        </w:rPr>
        <w:t>Мы должны ожидать, что как только установится стабильность на Западном фронте, большая часть этой ужасной машины, которая разбила Голландию в руины и поработила ее в течение нескольких дней, повернется на нас. И я уверен, что выражу общее мнение, утверждая, что мы готовы встретиться с ней; что мы гарантируем ей это; и что мы отплатим ей тем же — в такой мере, в какой это позволяют сделать неписаные законы войны. Много мужчин и женщин на Острове, которые, когда придет их час сурового испытания, будут ощущать утешение и даже гордость от осознания того, что они разделяют страдания наших парней на фронте — солдат, моряков и летчиков, да благословит их Господь — и принимают на себя хотя бы часть той тех атак, которые должны выдержать фронтовики. Разве не наступило время для всех сделать самое большое усилие, какое только есть в наших силах? Если суждено выиграть эту битву, то мы обязаны обеспечить наших воинов оружием и боеприпасами в которых они нуждаются, во всевозрастающем количестве. Нам нужно, — и нужно быстро, — больше самолетов, больше танков, больше снарядов, больше пушек. Есть насущная необходимость в этом жизненно важном снаряжении. Оно увеличивает нашу мощь против хорошо вооруженного врага. Оно возмещает потери, понесенные в этой упорной борьбе; и знание того, что эти потери будут скоро восстановлены, позволяет нам меньше опасаться за наши резервы и пустить их в ход уже сейчас, когда все имеет такое большое значение.</w:t>
      </w:r>
    </w:p>
    <w:p w14:paraId="0EB7F117" w14:textId="77777777" w:rsidR="00521CFA" w:rsidRPr="00DB5D0D" w:rsidRDefault="00521CFA" w:rsidP="00DB5D0D">
      <w:pPr>
        <w:pStyle w:val="ae"/>
        <w:shd w:val="clear" w:color="auto" w:fill="FFFFFF"/>
        <w:spacing w:before="0" w:after="0"/>
        <w:jc w:val="both"/>
        <w:rPr>
          <w:color w:val="000000" w:themeColor="text1"/>
          <w:sz w:val="16"/>
          <w:szCs w:val="16"/>
        </w:rPr>
      </w:pPr>
      <w:r w:rsidRPr="00DB5D0D">
        <w:rPr>
          <w:color w:val="000000" w:themeColor="text1"/>
          <w:sz w:val="16"/>
          <w:szCs w:val="16"/>
        </w:rPr>
        <w:t>Наша задача состоит не только в том, чтобы выиграть сражение, а в том, чтобы выиграть войну. Если после этой битвы во Франции ослабить натиск, то придет время сражаться за наш Остров — за все, что является Британией, за все, что она значит для нас. Это будет страшная борьба. В великой опасности мы не должны будем колебаться, принимая решения, даже самые радикальные, призывая наших людей отдать последнюю каплю и последнюю йоту усилий, на которые они способны. Вопросы собственности, рабочих часов, все это ничто по сравнению с борьбой за жизнь и честь, за правду и свободу, которым мы поклялись отдать себя.</w:t>
      </w:r>
    </w:p>
    <w:p w14:paraId="41A8C3D7" w14:textId="77777777" w:rsidR="00521CFA" w:rsidRPr="00DB5D0D" w:rsidRDefault="00521CFA" w:rsidP="00DB5D0D">
      <w:pPr>
        <w:pStyle w:val="ae"/>
        <w:shd w:val="clear" w:color="auto" w:fill="FFFFFF"/>
        <w:spacing w:before="0" w:after="0"/>
        <w:jc w:val="both"/>
        <w:rPr>
          <w:color w:val="000000" w:themeColor="text1"/>
          <w:sz w:val="16"/>
          <w:szCs w:val="16"/>
        </w:rPr>
      </w:pPr>
      <w:r w:rsidRPr="00DB5D0D">
        <w:rPr>
          <w:color w:val="000000" w:themeColor="text1"/>
          <w:sz w:val="16"/>
          <w:szCs w:val="16"/>
        </w:rPr>
        <w:t>Я получил от руководителей Французской Республики, а точнее, от неукротимого премьер-министра, М. Рейно, искреннее обещание того, что они будут биться до конца, каким бы он ни был, горьким или победным. Нет, если мы будем сражаться до конца, он может быть только победным.</w:t>
      </w:r>
    </w:p>
    <w:p w14:paraId="026DE9B3" w14:textId="77777777" w:rsidR="00521CFA" w:rsidRPr="00DB5D0D" w:rsidRDefault="00521CFA" w:rsidP="00DB5D0D">
      <w:pPr>
        <w:pStyle w:val="ae"/>
        <w:shd w:val="clear" w:color="auto" w:fill="FFFFFF"/>
        <w:spacing w:before="0" w:after="0"/>
        <w:jc w:val="both"/>
        <w:rPr>
          <w:color w:val="000000" w:themeColor="text1"/>
          <w:sz w:val="16"/>
          <w:szCs w:val="16"/>
        </w:rPr>
      </w:pPr>
      <w:r w:rsidRPr="00DB5D0D">
        <w:rPr>
          <w:color w:val="000000" w:themeColor="text1"/>
          <w:sz w:val="16"/>
          <w:szCs w:val="16"/>
        </w:rPr>
        <w:t>Получив разрешение Его Величества, я сформировал правительство из мужчин и женщин, принадлежащих разным партиям и имеющих практически все возможные точки зрения. В прошлом мы расходились во мнениях и спорили; но теперь одна мысль объединяет нас всех — решение вести войну до победы, и никогда не сдаваться в рабство и позор, какова бы не была цена и каковы бы не выпали страдания на нашу долю. Это один из самых страшных периодов в долгой истории Франции и Британии. Он также, без всяких сомнений, самый величественный. Бок о бок, лишенные всякой помощи, за исключением поддержки наших родных и близких в великих Доминионах, и огромных империй, защищенных своим щитом — бок о бок, народы Британии и Франции начали борьбу во имя освобождения не только Европы, но и всего человечества от самой грязной и разрушающей души людей тирании, которая когда-либо омрачала и позорила страницы истории. За ними — за нами — за армией и флотом Британии и Франции — должны объединиться разбитые государства и разбитые народы: чехи, поляки, норвежцы, датчане, голландцы, бельгийцы — все, на кого опустилась тьма варварства, не развеянная даже звездой надежды, пока мы не победим, а мы должны этого достичь и мы этого добьемся.</w:t>
      </w:r>
    </w:p>
    <w:p w14:paraId="4DAB1C4B" w14:textId="77777777" w:rsidR="00521CFA" w:rsidRPr="00DB5D0D" w:rsidRDefault="00521CFA" w:rsidP="00DB5D0D">
      <w:pPr>
        <w:pStyle w:val="ae"/>
        <w:shd w:val="clear" w:color="auto" w:fill="FFFFFF"/>
        <w:spacing w:before="0" w:after="0"/>
        <w:jc w:val="both"/>
        <w:rPr>
          <w:color w:val="000000" w:themeColor="text1"/>
          <w:sz w:val="16"/>
          <w:szCs w:val="16"/>
        </w:rPr>
      </w:pPr>
      <w:r w:rsidRPr="00DB5D0D">
        <w:rPr>
          <w:color w:val="000000" w:themeColor="text1"/>
          <w:sz w:val="16"/>
          <w:szCs w:val="16"/>
        </w:rPr>
        <w:t>Сегодня Троицын день. Многие века назад были написаны слова, которые должны быть призывом и стимулом для преданных служителей Правды и Справедливости: «Вооружитесь и будьте доблестны, и готовы к схватке; потому что для нас лучшее благо — пасть в бою, чем увидеть надругательство над нашим народом и алтарем. Потому что Воля Господа на Небесах, и да будет так (17407).</w:t>
      </w:r>
    </w:p>
    <w:p w14:paraId="38693FCB" w14:textId="77777777" w:rsidR="00521CFA" w:rsidRPr="00DB5D0D" w:rsidRDefault="00521CFA" w:rsidP="00DB5D0D">
      <w:pPr>
        <w:spacing w:after="0" w:line="240" w:lineRule="auto"/>
        <w:jc w:val="both"/>
        <w:rPr>
          <w:rFonts w:ascii="Times New Roman" w:hAnsi="Times New Roman"/>
          <w:color w:val="000000" w:themeColor="text1"/>
          <w:sz w:val="16"/>
          <w:szCs w:val="16"/>
        </w:rPr>
      </w:pPr>
    </w:p>
    <w:p w14:paraId="38C1115C" w14:textId="77777777" w:rsidR="00521CFA" w:rsidRPr="00DB5D0D" w:rsidRDefault="00521CFA" w:rsidP="00DB5D0D">
      <w:pPr>
        <w:spacing w:after="0" w:line="240" w:lineRule="auto"/>
        <w:jc w:val="both"/>
        <w:rPr>
          <w:rFonts w:ascii="Times New Roman" w:hAnsi="Times New Roman"/>
          <w:color w:val="000000" w:themeColor="text1"/>
          <w:sz w:val="16"/>
          <w:szCs w:val="16"/>
        </w:rPr>
      </w:pPr>
    </w:p>
    <w:p w14:paraId="61C3BC4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19 1940 Chancellor Hitler issued a proclamation decreeing the re-incorporation into the Reich of Eupen, Malmedy, and Moresnet (1223).</w:t>
      </w:r>
    </w:p>
    <w:p w14:paraId="2D19EE8B"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56E117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А.Гитлер в качестве Рейхсканцлера выпустил воззвание о воссоединении с Рейхом Eupen, Malmedy, и Moresnet (1223).</w:t>
      </w:r>
    </w:p>
    <w:p w14:paraId="1455FEC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21BAAE0" w14:textId="77777777" w:rsidR="00BE44A8" w:rsidRPr="00DB5D0D" w:rsidRDefault="00BE44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19 мая</w:t>
      </w:r>
      <w:r w:rsidRPr="00DB5D0D">
        <w:rPr>
          <w:rFonts w:ascii="Times New Roman" w:hAnsi="Times New Roman"/>
          <w:color w:val="000000" w:themeColor="text1"/>
          <w:sz w:val="16"/>
          <w:szCs w:val="16"/>
        </w:rPr>
        <w:t xml:space="preserve"> в 1940 году введение немецкими властями оккупационной валюты в Бельгии, Нидерландах и Люксембурге (14896).</w:t>
      </w:r>
    </w:p>
    <w:p w14:paraId="3A772F03" w14:textId="77777777" w:rsidR="00BE44A8" w:rsidRPr="00DB5D0D" w:rsidRDefault="00BE44A8" w:rsidP="00DB5D0D">
      <w:pPr>
        <w:spacing w:after="0" w:line="240" w:lineRule="auto"/>
        <w:jc w:val="both"/>
        <w:rPr>
          <w:rFonts w:ascii="Times New Roman" w:hAnsi="Times New Roman"/>
          <w:color w:val="000000" w:themeColor="text1"/>
          <w:sz w:val="16"/>
          <w:szCs w:val="16"/>
        </w:rPr>
      </w:pPr>
    </w:p>
    <w:p w14:paraId="0953658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F6B956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D509A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вышло постановление КО N 209сс "О постройке и внедрении мотора АМ-35А на заводе 24 НКАП" (1292,128), согласно которому было решено производство М-88 на 24 заводе прекратить, НКАП был обязан представить предложения о внедрении в производство мотора М-88 на одном из действующих заводов других Наркоматов (1292,125).</w:t>
      </w:r>
    </w:p>
    <w:p w14:paraId="58458A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сдачи 50 шт. - 1 сентября 1940 и в 1940 - 300.</w:t>
      </w:r>
    </w:p>
    <w:p w14:paraId="7EDD7A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Обязали довести АМ-35А до 100 час. ресурса не позднее 1 августа (1295,60).</w:t>
      </w:r>
    </w:p>
    <w:p w14:paraId="11B8265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A312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 вышло постановление № 209сс КО О постройке и внедрении в серийное производство мотора АМ-35А на заводе № 24 НКАП</w:t>
      </w:r>
    </w:p>
    <w:p w14:paraId="6AFC07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61A6A5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Обязать НКАП – директора Дубова В.М., гл. конструктора Микулина А.А. немедленно запустить в производство со сроком сдачи до 1 сентября 50 штук моторов АМ-35А со следующими данными:</w:t>
      </w:r>
    </w:p>
    <w:p w14:paraId="5134B3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12-ти цилиндровый V-образный мотор водяного охлаждения</w:t>
      </w:r>
    </w:p>
    <w:p w14:paraId="6DE358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 1350 л.с.</w:t>
      </w:r>
    </w:p>
    <w:p w14:paraId="45B9BA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 1200 л.с.</w:t>
      </w:r>
    </w:p>
    <w:p w14:paraId="012E84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 Н=6000 м</w:t>
      </w:r>
    </w:p>
    <w:p w14:paraId="70958E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мотора – 830 кг</w:t>
      </w:r>
    </w:p>
    <w:p w14:paraId="3487D3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завод № 24 не позднее 1 сентября 1940 года приступить к серийному выпуску моторов АМ-35 А.</w:t>
      </w:r>
    </w:p>
    <w:p w14:paraId="59D2AA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Утвердить выпуск в 1940 году 300 штук моторов АМ-35 по следующему графику:</w:t>
      </w:r>
    </w:p>
    <w:p w14:paraId="01E72D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 – 25 штук</w:t>
      </w:r>
    </w:p>
    <w:p w14:paraId="1CD444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 – 50 штук</w:t>
      </w:r>
    </w:p>
    <w:p w14:paraId="16444E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 – 100 штук</w:t>
      </w:r>
    </w:p>
    <w:p w14:paraId="558039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 – 125 штук</w:t>
      </w:r>
    </w:p>
    <w:p w14:paraId="333387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Обязать гл. конструктора Микулина и директора завода Дубова довести мотор АМ-35 А до 100-часового срока службы и предъявить его на госиспытания не позднее 1 августа 1940 года.</w:t>
      </w:r>
    </w:p>
    <w:p w14:paraId="5AF0D7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Производство мотора М-88 на заводе № 24 прекратить.</w:t>
      </w:r>
    </w:p>
    <w:p w14:paraId="649565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Шахурина А.И. в течение 5-ти дней представить в КО предложение о внедрении производства мотора М-88 на одном из действующих заводов других наркоматов, с передачей ему всей оснастки, заделов и необходимого руководящего технического состава с завода № 24.</w:t>
      </w:r>
    </w:p>
    <w:p w14:paraId="5255F0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…………………………………..(7595, 79-81).</w:t>
      </w:r>
    </w:p>
    <w:p w14:paraId="45FBBAE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3D24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Кочеригин предъявил макетной комиссии ОПБ М-90 без двигателя, который не поступил и потом хотел предъявить 13-15 июня 1940 (2090,163).</w:t>
      </w:r>
    </w:p>
    <w:p w14:paraId="75AA550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8C4C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С.А.К. предъявил заказчику макет одномоторного одноместного ПБ ОПБ с М-90 (1759,6).</w:t>
      </w:r>
    </w:p>
    <w:p w14:paraId="7B6DFFB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F82796" w14:textId="77777777" w:rsidR="00560CA7" w:rsidRPr="00DB5D0D" w:rsidRDefault="00560CA7"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20 мая</w:t>
      </w:r>
      <w:r w:rsidRPr="00DB5D0D">
        <w:rPr>
          <w:rFonts w:ascii="Times New Roman" w:hAnsi="Times New Roman"/>
          <w:color w:val="000000" w:themeColor="text1"/>
          <w:sz w:val="16"/>
          <w:szCs w:val="16"/>
        </w:rPr>
        <w:t xml:space="preserve"> в 1940 году С.А.Кочеригин предъявил макет одномоторного одноместного скоростного пикирующего бомбардировщика </w:t>
      </w:r>
      <w:hyperlink r:id="rId43" w:tgtFrame="_blank" w:history="1">
        <w:r w:rsidRPr="00DB5D0D">
          <w:rPr>
            <w:rFonts w:ascii="Times New Roman" w:hAnsi="Times New Roman"/>
            <w:color w:val="000000" w:themeColor="text1"/>
            <w:sz w:val="16"/>
            <w:szCs w:val="16"/>
          </w:rPr>
          <w:t>«ОПБ» (14896).</w:t>
        </w:r>
      </w:hyperlink>
    </w:p>
    <w:p w14:paraId="5C137524" w14:textId="77777777" w:rsidR="00560CA7" w:rsidRPr="00DB5D0D" w:rsidRDefault="00560CA7" w:rsidP="00DB5D0D">
      <w:pPr>
        <w:spacing w:after="0" w:line="240" w:lineRule="auto"/>
        <w:jc w:val="both"/>
        <w:rPr>
          <w:rFonts w:ascii="Times New Roman" w:hAnsi="Times New Roman"/>
          <w:bCs/>
          <w:color w:val="000000" w:themeColor="text1"/>
          <w:sz w:val="16"/>
          <w:szCs w:val="16"/>
        </w:rPr>
      </w:pPr>
    </w:p>
    <w:p w14:paraId="7181C3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состоялось заседание макетной комиссии под председательством Воеводина по рассмотрению макета самолета одноместного пикирующего бомбардировщика с М-90 конструкции инж. Кочеригина, представленного заводом N 156. Утвердили с изменениями (обзор, приборная доска, изменение мест рычагов, вооружение - РС, оборудование и т.п.).</w:t>
      </w:r>
    </w:p>
    <w:p w14:paraId="1A2806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"Макетная комиссия отмечает, что предъявленный самолет представляет значительный интерес для ВВС РККА, а поэтому считает целесообразным ускорение доводок макета и скорейшее решение вопроса о постройке самолета (2062,50).</w:t>
      </w:r>
    </w:p>
    <w:p w14:paraId="0C8D84C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2AEB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Нач. особой группы НКАП И.Фирсаев писал Нач. ПГУ Шиц письмо N 1283сс/ог:</w:t>
      </w:r>
    </w:p>
    <w:p w14:paraId="05A421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при СНК N 201 от 14 мая 1940 НКО обязан до утверждения результатов гос. испытаний ДБ-3Ф с М-88 принимать с заводов 39 и 18 ДБ-3Ф с 2М-88 с пониженными данными: максимальной скоростью не менее 425 км/час и дальностью не менее 3200 км.</w:t>
      </w:r>
    </w:p>
    <w:p w14:paraId="049EC2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Этим же постановлением НКАП обязан самолет ДБ-3Ф 2М-88 с ЛТД, обусловленными постановлением КО от 29 июля 1939 N 226 предъявить на гос. испытания не позднее 1 июля 1940.</w:t>
      </w:r>
    </w:p>
    <w:p w14:paraId="59A1D4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поручению Наркома сообщаю Вам изложенное для исполнения." (1295,8).</w:t>
      </w:r>
    </w:p>
    <w:p w14:paraId="3056BF4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F518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Зам. Секр. КО при СНК И.Сафонов писал письмо N 4673/5ко НКАП А.И.Ш.:</w:t>
      </w:r>
    </w:p>
    <w:p w14:paraId="77C097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доклада КО прошу дать Ваше заключение по проекту постановления о производстве СБРК 2М-105, представленному С.К.Тимошенко.</w:t>
      </w:r>
    </w:p>
    <w:p w14:paraId="328BEC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прошу дать Ваши соображения о возможностях производства этих самолетов как ПБ." - Было приложение в виде проекта постановления КО для 22 завода на скорость в 500 км/час и указание, что заказ на СПБ остается в силе (1165,120).</w:t>
      </w:r>
    </w:p>
    <w:p w14:paraId="3CF4868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BD908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К.Е.В. подписал проект постановления КО "О производстве самолетов СБ РК 2М-105" на 22 заводе (1165).</w:t>
      </w:r>
    </w:p>
    <w:p w14:paraId="2034CAE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585B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в Контрольном листе учета выполнения постановления КО СНК СССР № 110сс от 4 марта 1940 г. представителем КО СНК СССР - контролером Вахрушевым была сделана запись:</w:t>
      </w:r>
    </w:p>
    <w:p w14:paraId="6CC6B2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Двухмоторный пикирующий бомбардировщик с моторами М-120 ПБ Незваля</w:t>
      </w:r>
    </w:p>
    <w:p w14:paraId="1DBC6D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ПБ (т. Незваль) находится в начальной стадии эскизного проектирования. Изготавливается макет самолета (10395,38).</w:t>
      </w:r>
    </w:p>
    <w:p w14:paraId="60D4678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94F0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Дир. завода 1 Дементьев и ГК А.И.М. писали письмо N 4792 НКАП по вопросу о состоянии заводских испытаний И-200. По результатам заводских испытаний машина на 19 мая не м.б. сдана на гос. испытания 20 мая 1940 из-за смен мотора, дефектов нагнетателя, пережога мотора, смен радиаторов, смен колес. 17 мая 1940 обнаружили дефект карбюратора при выполнении пилотажа и просили перенести срок начала гос. испытаний на 10 июня 1940 (1295).</w:t>
      </w:r>
    </w:p>
    <w:p w14:paraId="1FE6AFE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F628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Шахурин написал в ЦК Сталину, в Совнарком Молотову и в Комитет обороны Ворошилову письмо № 1289сс/оп, в котором поставил вопрос о запуске И-200 в серию. Через 5 дней вышло постановление КО № 224сс "Об организации серийного производства самолета И-200 на заводе № 1 и о снятии с производства самолета ББ-22". Срок начала Госиспытаний отодвинули на 10 июня, но в августе надо было сделать первые 5 серийных машин, а к концу года - 125. Образцом для серии должен был стать И-200 № 6103 с цельнометаллическим крылом, увеличенной в 1,5 раза прочностью и улучшенным оборудованием (например, архаичные факелодержатели НГ-12 заменили посадочной фарой ФС-155). 6 июня этот самолет облетал Марцелюк (11938).</w:t>
      </w:r>
    </w:p>
    <w:p w14:paraId="517E6C9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4BE913" w14:textId="77777777" w:rsidR="00613461" w:rsidRPr="00DB5D0D" w:rsidRDefault="00613461"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20 мая 1940 Нарком Шахурин пи</w:t>
      </w:r>
      <w:r w:rsidRPr="00DB5D0D">
        <w:rPr>
          <w:rFonts w:ascii="Times New Roman" w:hAnsi="Times New Roman"/>
          <w:color w:val="0070C0"/>
          <w:sz w:val="16"/>
          <w:szCs w:val="16"/>
          <w:lang w:eastAsia="ru-RU" w:bidi="ru-RU"/>
        </w:rPr>
        <w:softHyphen/>
        <w:t>шет в ЦК Сталину, в Совнарком Молотову и в Комитет обороны Ворошилову письмо №1289сс/оп, в котором ставит вопрос о запуске И-200 в серию до начала Госу</w:t>
      </w:r>
      <w:r w:rsidRPr="00DB5D0D">
        <w:rPr>
          <w:rFonts w:ascii="Times New Roman" w:hAnsi="Times New Roman"/>
          <w:color w:val="0070C0"/>
          <w:sz w:val="16"/>
          <w:szCs w:val="16"/>
          <w:lang w:eastAsia="ru-RU" w:bidi="ru-RU"/>
        </w:rPr>
        <w:softHyphen/>
        <w:t>дарственных испытаний. Его предложе</w:t>
      </w:r>
      <w:r w:rsidRPr="00DB5D0D">
        <w:rPr>
          <w:rFonts w:ascii="Times New Roman" w:hAnsi="Times New Roman"/>
          <w:color w:val="0070C0"/>
          <w:sz w:val="16"/>
          <w:szCs w:val="16"/>
          <w:lang w:eastAsia="ru-RU" w:bidi="ru-RU"/>
        </w:rPr>
        <w:softHyphen/>
        <w:t>ние было принято, и через 5 дней выхо</w:t>
      </w:r>
      <w:r w:rsidRPr="00DB5D0D">
        <w:rPr>
          <w:rFonts w:ascii="Times New Roman" w:hAnsi="Times New Roman"/>
          <w:color w:val="0070C0"/>
          <w:sz w:val="16"/>
          <w:szCs w:val="16"/>
          <w:lang w:eastAsia="ru-RU" w:bidi="ru-RU"/>
        </w:rPr>
        <w:softHyphen/>
        <w:t>дит постановление КО №224сс «Об ор</w:t>
      </w:r>
      <w:r w:rsidRPr="00DB5D0D">
        <w:rPr>
          <w:rFonts w:ascii="Times New Roman" w:hAnsi="Times New Roman"/>
          <w:color w:val="0070C0"/>
          <w:sz w:val="16"/>
          <w:szCs w:val="16"/>
          <w:lang w:eastAsia="ru-RU" w:bidi="ru-RU"/>
        </w:rPr>
        <w:softHyphen/>
        <w:t>ганизации серийного производства са</w:t>
      </w:r>
      <w:r w:rsidRPr="00DB5D0D">
        <w:rPr>
          <w:rFonts w:ascii="Times New Roman" w:hAnsi="Times New Roman"/>
          <w:color w:val="0070C0"/>
          <w:sz w:val="16"/>
          <w:szCs w:val="16"/>
          <w:lang w:eastAsia="ru-RU" w:bidi="ru-RU"/>
        </w:rPr>
        <w:softHyphen/>
        <w:t>молета И-200 на заводе №1 и о снятии с производства самолета ББ-22» - то есть, Як-2 и Як-4 конструкции Яковлева. При этом разрешалось сократить число предъ</w:t>
      </w:r>
      <w:r w:rsidRPr="00DB5D0D">
        <w:rPr>
          <w:rFonts w:ascii="Times New Roman" w:hAnsi="Times New Roman"/>
          <w:color w:val="0070C0"/>
          <w:sz w:val="16"/>
          <w:szCs w:val="16"/>
          <w:lang w:eastAsia="ru-RU" w:bidi="ru-RU"/>
        </w:rPr>
        <w:softHyphen/>
        <w:t>являемых на испытания самолетов И-200 с пяти до трех.</w:t>
      </w:r>
    </w:p>
    <w:p w14:paraId="70397808" w14:textId="77777777" w:rsidR="00613461" w:rsidRPr="00DB5D0D" w:rsidRDefault="0061346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Срок начала Госиспытаний И-200 даже ото</w:t>
      </w:r>
      <w:r w:rsidRPr="00DB5D0D">
        <w:rPr>
          <w:rFonts w:ascii="Times New Roman" w:hAnsi="Times New Roman"/>
          <w:color w:val="0070C0"/>
          <w:sz w:val="16"/>
          <w:szCs w:val="16"/>
          <w:lang w:eastAsia="ru-RU" w:bidi="ru-RU"/>
        </w:rPr>
        <w:softHyphen/>
        <w:t>двинули на 10 июня, но в августе надо было сделать первые 5 серийных ма</w:t>
      </w:r>
      <w:r w:rsidRPr="00DB5D0D">
        <w:rPr>
          <w:rFonts w:ascii="Times New Roman" w:hAnsi="Times New Roman"/>
          <w:color w:val="0070C0"/>
          <w:sz w:val="16"/>
          <w:szCs w:val="16"/>
          <w:lang w:eastAsia="ru-RU" w:bidi="ru-RU"/>
        </w:rPr>
        <w:softHyphen/>
        <w:t>шин, а к концу года - 125 (21686).</w:t>
      </w:r>
    </w:p>
    <w:p w14:paraId="67BECE1B" w14:textId="77777777" w:rsidR="00613461" w:rsidRPr="00DB5D0D" w:rsidRDefault="00613461" w:rsidP="00DB5D0D">
      <w:pPr>
        <w:spacing w:after="0" w:line="240" w:lineRule="auto"/>
        <w:jc w:val="both"/>
        <w:rPr>
          <w:rFonts w:ascii="Times New Roman" w:hAnsi="Times New Roman"/>
          <w:color w:val="0070C0"/>
          <w:sz w:val="16"/>
          <w:szCs w:val="16"/>
        </w:rPr>
      </w:pPr>
    </w:p>
    <w:p w14:paraId="7A1875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 Н.Н. Поликарпов обратился с докладной запиской к уже к самому наркому авиационной промышленности А.И. Шахурину, в которой он с тревогой обрисовал положение, складывавшееся с постройкой войсковой серии И-180, и указал, что при немедленном запуске истребителя в серийное производство завод может уверенно выпустить в 1940 году 100 машин, в том числе в сентябре –10, в октябре – 20, в ноябре – 30, в декабре – 40, выйдя с развитием производства на выпуск в январе 1941 года 100 – 120 И-180. Н.Н. Поликарпов предложил прекратить производство модификаций И-16 и представил перечень мероприятий, направленных на выполнение программы по выпуску И-180 (Его же. Авиаконструктор Н.Н. Поликарпов. С. 128-129.).</w:t>
      </w:r>
    </w:p>
    <w:p w14:paraId="175B0D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Примечательно, что еще в письме от 14 февраля 1940 года № 487821 сс Смушкевич, Агальцов, Арженухин сообщали Ворошилову, что всего из ожидаемых к поступлению в первом полугодии 1940 года от промышленности для Наркомата обороны самолетов предполагалось, в частности, использовать десять И-180 для войсковых испытаний (РГВА. Ф. 29. Оп. 46. Д. 340. Л. 69, 71.). А три месяца спустя, за одну декаду до окончания предполагаемого срока поставок, сам главный конструктор сообщал в НКАП о кризисе с постройкой этой войсковой серии.</w:t>
      </w:r>
    </w:p>
    <w:p w14:paraId="1B12B8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16 / 194 – ОП от 25 мая 1940 года был утвержден вопрос Комитета Обороны, состоявший из нескольких пунктов. В соответствии с пунктом V «О постановке производства самолетов И-180 конструкции Поликарпова на заводе № 21» из резервного фонда СНК выделялось 8,5 млн рублей, в том числе на постановку в серийное производство – 5 млн, а для премирования за доводку и за внедрение в серийное производство в срок соответственно 3,5 млн рублей конструкторам, ИТР и рабочим (РГАСПИ. Ф. 17. Оп. 162. Д. 27. Л. 112.).</w:t>
      </w:r>
    </w:p>
    <w:p w14:paraId="382E6C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несмотря на быструю реакцию военно-политического руководства страны, благоприятному развитию ситуации с И-180 не способствовали и две аварии, которые произошли с интервалом менее чем в полтора месяца.</w:t>
      </w:r>
    </w:p>
    <w:p w14:paraId="67F24E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следующий день после упоминавшегося решения Политбюро ЦК ВКП(б) – 26 мая 1940 года – произошла авария самолета производства завода № 21 И-180 № 25212 с мотором М-88 (летчик – Герой Советского Союза Супрун). «Пилот проводил инспекторский полет. Во время полета на высоте 800 – 1000 метров мотор стал работать с перебоями, из выхлопных патрубков появились хлопки белого дыма. Пилот пошел на посадку. Самолет нормально коснулся земли и ровно пробежал около 100 метров. После этого самолет резко развернуло влево... градусов на 30. Пилот тормозом выправил положение, самолет развернуло вправо. Затем самолет стал рыскать вправо и влево, вскоре концом винта задел землю и далее полностью скапотировал, со сваливанием на правое крыло. Самолет полностью разбит.</w:t>
      </w:r>
    </w:p>
    <w:p w14:paraId="55A889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Причина аварии: авария произошла из-за нежесткости и непрочности траверса ноги шасси...» (Самарский филиал РГАНТД. Ф. Р-217. 1-6. Д. 26. Л. 6.).</w:t>
      </w:r>
    </w:p>
    <w:p w14:paraId="3DBAA7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явствует из этих материалов, полет прервался из-за проблем с мотором.</w:t>
      </w:r>
    </w:p>
    <w:p w14:paraId="3CBF98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же самого летчика-испытателя, «пилоты, освоившие И-16, легко освоят И-180» (Там же. Л. 8.) (11672).</w:t>
      </w:r>
    </w:p>
    <w:p w14:paraId="1D589AF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3E14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 в соответствии с приказом НКАП от летчиком-испытателем самолета ИС назначили В.Ф. Кули</w:t>
      </w:r>
      <w:r w:rsidRPr="00DB5D0D">
        <w:rPr>
          <w:rFonts w:ascii="Times New Roman" w:hAnsi="Times New Roman"/>
          <w:color w:val="000000" w:themeColor="text1"/>
          <w:sz w:val="16"/>
          <w:szCs w:val="16"/>
        </w:rPr>
        <w:softHyphen/>
        <w:t>кова, облетавшего машину девять дней спустя. 21 июня Г.М. Шиянов впервые убрал шасси и нижнее крыло (10745,40).</w:t>
      </w:r>
    </w:p>
    <w:p w14:paraId="47B3CE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7F5ED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вышел приказ НКАП N 220с о начале заводских испытаний ИС-1 с М-63 (245,1).</w:t>
      </w:r>
    </w:p>
    <w:p w14:paraId="10A304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Хотели окончить к 1 августа 1940 и назначили л-и В.Ф.Кулешова. испытывать должны были в ЦАГИ-Раменское (400,55).</w:t>
      </w:r>
    </w:p>
    <w:p w14:paraId="58FF1D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1</w:t>
      </w:r>
    </w:p>
    <w:p w14:paraId="4E0C67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Приступить немедленно к проведению заводских летных испы</w:t>
      </w:r>
      <w:r w:rsidRPr="00DB5D0D">
        <w:rPr>
          <w:rFonts w:ascii="Times New Roman" w:hAnsi="Times New Roman"/>
          <w:color w:val="000000" w:themeColor="text1"/>
          <w:sz w:val="16"/>
          <w:szCs w:val="16"/>
        </w:rPr>
        <w:softHyphen/>
        <w:t>таний самолета ИС-1-М63 и окончить их к 1 августа 1940 г.</w:t>
      </w:r>
    </w:p>
    <w:p w14:paraId="4CF813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2</w:t>
      </w:r>
    </w:p>
    <w:p w14:paraId="641A57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Летчиком-испытателем по заводским испытаниям самолета ИС-1-М53 назначить летчика тов. КУЛЕШОВА.</w:t>
      </w:r>
    </w:p>
    <w:p w14:paraId="618E92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3</w:t>
      </w:r>
    </w:p>
    <w:p w14:paraId="3592DF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проводятся на аэродроме ЦАГИ-Раменское; .ответдтвенностъ за проведение испытаний и доводоки возлагается на Начальника ОКБ-30 тов. ШЕВЧЕНКО и Начальника 8-го Отдела ЦАГИ - тов. ЛЯПИДЕВСКОГО.</w:t>
      </w:r>
    </w:p>
    <w:p w14:paraId="5E9A84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Утверддаю прикрепленную к самолету "ИМ1-М63" бригаду на период летных испытании в Составе:</w:t>
      </w:r>
    </w:p>
    <w:p w14:paraId="68CE68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w:t>
      </w:r>
      <w:r w:rsidRPr="00DB5D0D">
        <w:rPr>
          <w:rFonts w:ascii="Times New Roman" w:hAnsi="Times New Roman"/>
          <w:color w:val="000000" w:themeColor="text1"/>
          <w:sz w:val="16"/>
          <w:szCs w:val="16"/>
        </w:rPr>
        <w:tab/>
        <w:t>тов. ТЕПЛЯКОВ В.К.</w:t>
      </w:r>
    </w:p>
    <w:p w14:paraId="518803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Инженер по производству </w:t>
      </w:r>
      <w:r w:rsidRPr="00DB5D0D">
        <w:rPr>
          <w:rFonts w:ascii="Times New Roman" w:hAnsi="Times New Roman"/>
          <w:color w:val="000000" w:themeColor="text1"/>
          <w:sz w:val="16"/>
          <w:szCs w:val="16"/>
        </w:rPr>
        <w:tab/>
        <w:t>ДЕВЯТАЙКИН Г.П.</w:t>
      </w:r>
    </w:p>
    <w:p w14:paraId="69E8BB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механик</w:t>
      </w:r>
      <w:r w:rsidRPr="00DB5D0D">
        <w:rPr>
          <w:rFonts w:ascii="Times New Roman" w:hAnsi="Times New Roman"/>
          <w:color w:val="000000" w:themeColor="text1"/>
          <w:sz w:val="16"/>
          <w:szCs w:val="16"/>
        </w:rPr>
        <w:tab/>
        <w:t>КОТЦОВ И.В.</w:t>
      </w:r>
    </w:p>
    <w:p w14:paraId="20633C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Механик</w:t>
      </w:r>
      <w:r w:rsidRPr="00DB5D0D">
        <w:rPr>
          <w:rFonts w:ascii="Times New Roman" w:hAnsi="Times New Roman"/>
          <w:color w:val="000000" w:themeColor="text1"/>
          <w:sz w:val="16"/>
          <w:szCs w:val="16"/>
        </w:rPr>
        <w:tab/>
        <w:t>АСТАФЬЕВ И.Ф.</w:t>
      </w:r>
    </w:p>
    <w:p w14:paraId="1A139B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Мастер-сборщик</w:t>
      </w:r>
      <w:r w:rsidRPr="00DB5D0D">
        <w:rPr>
          <w:rFonts w:ascii="Times New Roman" w:hAnsi="Times New Roman"/>
          <w:color w:val="000000" w:themeColor="text1"/>
          <w:sz w:val="16"/>
          <w:szCs w:val="16"/>
        </w:rPr>
        <w:tab/>
        <w:t>САХАРОВ В.И.</w:t>
      </w:r>
    </w:p>
    <w:p w14:paraId="7D3C1B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Сборщик</w:t>
      </w:r>
      <w:r w:rsidRPr="00DB5D0D">
        <w:rPr>
          <w:rFonts w:ascii="Times New Roman" w:hAnsi="Times New Roman"/>
          <w:color w:val="000000" w:themeColor="text1"/>
          <w:sz w:val="16"/>
          <w:szCs w:val="16"/>
        </w:rPr>
        <w:tab/>
        <w:t>ПАВЛОВ П.Ф.</w:t>
      </w:r>
    </w:p>
    <w:p w14:paraId="05F6BE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Контролер</w:t>
      </w:r>
      <w:r w:rsidRPr="00DB5D0D">
        <w:rPr>
          <w:rFonts w:ascii="Times New Roman" w:hAnsi="Times New Roman"/>
          <w:color w:val="000000" w:themeColor="text1"/>
          <w:sz w:val="16"/>
          <w:szCs w:val="16"/>
        </w:rPr>
        <w:tab/>
        <w:t>ФОМИН В.К.</w:t>
      </w:r>
    </w:p>
    <w:p w14:paraId="6605BA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11-го Главного Управления</w:t>
      </w:r>
      <w:r w:rsidRPr="00DB5D0D">
        <w:rPr>
          <w:rFonts w:ascii="Times New Roman" w:hAnsi="Times New Roman"/>
          <w:color w:val="000000" w:themeColor="text1"/>
          <w:sz w:val="16"/>
          <w:szCs w:val="16"/>
        </w:rPr>
        <w:tab/>
        <w:t>СТОЛБОВОЙ Н.П. (400,55).</w:t>
      </w:r>
    </w:p>
    <w:p w14:paraId="04CA9E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C2CC158" w14:textId="77777777" w:rsidR="009202B5" w:rsidRPr="00DB5D0D" w:rsidRDefault="009202B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20 мая 1940 г. ИС-1 перевезли на аэродром ЦАГИ в Раменское, первый вылет состоялся 29 мая (лётчик В.Ф. Кулешов). В облёте самолёта участвовали также Г.М. Шиянов (вскоре его назначили ведущим испытателем по ИС-1), С.П. Супрун, А.Н. Гринчик.</w:t>
      </w:r>
    </w:p>
    <w:p w14:paraId="0C022F94" w14:textId="77777777" w:rsidR="009202B5" w:rsidRPr="00DB5D0D" w:rsidRDefault="009202B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первых полётах досаждали вибрации хвостового оперения, наблюдалась нехватка путевой и продольной устойчивости. В конце июня испытания прекратили и занялись доработкой хвостового оперения — была увеличена его площадь, усилена конструкция. Устойчивость улучшилась, вибрации стали слабее, но полностью избавиться от них не удалось.</w:t>
      </w:r>
    </w:p>
    <w:p w14:paraId="4AE7F5BD" w14:textId="77777777" w:rsidR="009202B5" w:rsidRPr="00DB5D0D" w:rsidRDefault="009202B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12 октября полёты возобновили. 26 октября Г.М. Шиянов провёл главное испытание — убрал в полёте нижнее крыло. Он сделал это дважды, а на следующий день повторил эксперимент. Шевченко докладывал наркому авиапромышленности Шахурину: «Самолёт „ИС“ ОКБ № 30 после предварительных испытаний в биплане и ряда доводок в связи с этими испытаниями был впервые 26/Х-40 г. превращен в воздухе лётчиком-испытателем ЦАГИ тов. Шияновым в моноплан. Превращения самолёта из биплана в моноплан как в первый раз, так и в дальнейшем прошли отлично. Все механизмы работали безотказно, нагрузки на механизмы и масляно-пневматическую систему совпадают точно с нашими расчетами» </w:t>
      </w:r>
      <w:hyperlink r:id="rId44" w:history="1">
        <w:r w:rsidRPr="00DB5D0D">
          <w:rPr>
            <w:rFonts w:ascii="Times New Roman" w:eastAsia="Times New Roman" w:hAnsi="Times New Roman"/>
            <w:color w:val="000000" w:themeColor="text1"/>
            <w:sz w:val="16"/>
            <w:szCs w:val="16"/>
            <w:lang w:eastAsia="ru-RU"/>
          </w:rPr>
          <w:t>[307]</w:t>
        </w:r>
      </w:hyperlink>
      <w:r w:rsidRPr="00DB5D0D">
        <w:rPr>
          <w:rFonts w:ascii="Times New Roman" w:eastAsia="Times New Roman" w:hAnsi="Times New Roman"/>
          <w:color w:val="000000" w:themeColor="text1"/>
          <w:sz w:val="16"/>
          <w:szCs w:val="16"/>
          <w:lang w:eastAsia="ru-RU"/>
        </w:rPr>
        <w:t xml:space="preserve"> .</w:t>
      </w:r>
    </w:p>
    <w:p w14:paraId="3FCB3D9C" w14:textId="77777777" w:rsidR="009202B5" w:rsidRPr="00DB5D0D" w:rsidRDefault="009202B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Но возникла новая проблема: перегревалось масло в двигателе. После безуспешных попыток исправить этот дефект в январе 1941 г. решили заменить двигатель на другой, М-62. В результате самолёт простоял на земле почти пять месяцев, полёты возобновились только 7 мая. Во избежание неприятностей с температурным режимом поставили дополнительный маслорадиатор. Последний вылет ИС-1 состоялся 7 июня 1941 г. (17489).</w:t>
      </w:r>
    </w:p>
    <w:p w14:paraId="73075D5D" w14:textId="77777777" w:rsidR="009202B5" w:rsidRPr="00DB5D0D" w:rsidRDefault="009202B5" w:rsidP="00DB5D0D">
      <w:pPr>
        <w:spacing w:after="0" w:line="240" w:lineRule="auto"/>
        <w:jc w:val="both"/>
        <w:rPr>
          <w:rFonts w:ascii="Times New Roman" w:eastAsia="Times New Roman" w:hAnsi="Times New Roman"/>
          <w:color w:val="000000" w:themeColor="text1"/>
          <w:sz w:val="16"/>
          <w:szCs w:val="16"/>
          <w:lang w:eastAsia="ru-RU"/>
        </w:rPr>
      </w:pPr>
    </w:p>
    <w:p w14:paraId="7C95B4DD" w14:textId="77777777" w:rsidR="009202B5" w:rsidRPr="00DB5D0D" w:rsidRDefault="009202B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20 мая 1940 г. ИС-1 перевезли на аэродром ЦАГИ в Раменское </w:t>
      </w:r>
    </w:p>
    <w:p w14:paraId="16487AB3" w14:textId="77777777" w:rsidR="009202B5" w:rsidRPr="00DB5D0D" w:rsidRDefault="009202B5" w:rsidP="00DB5D0D">
      <w:pPr>
        <w:spacing w:after="0" w:line="240" w:lineRule="auto"/>
        <w:jc w:val="both"/>
        <w:rPr>
          <w:rFonts w:ascii="Times New Roman" w:eastAsia="Times New Roman" w:hAnsi="Times New Roman"/>
          <w:color w:val="000000" w:themeColor="text1"/>
          <w:sz w:val="16"/>
          <w:szCs w:val="16"/>
          <w:lang w:eastAsia="ru-RU"/>
        </w:rPr>
      </w:pPr>
    </w:p>
    <w:p w14:paraId="7597D4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 главный кон</w:t>
      </w:r>
      <w:r w:rsidRPr="00DB5D0D">
        <w:rPr>
          <w:rFonts w:ascii="Times New Roman" w:hAnsi="Times New Roman"/>
          <w:color w:val="000000" w:themeColor="text1"/>
          <w:sz w:val="16"/>
          <w:szCs w:val="16"/>
        </w:rPr>
        <w:softHyphen/>
        <w:t>структор завода № 1 Поликарпов и заместитель главного инженера завода № 21 Куприянов совме</w:t>
      </w:r>
      <w:r w:rsidRPr="00DB5D0D">
        <w:rPr>
          <w:rFonts w:ascii="Times New Roman" w:hAnsi="Times New Roman"/>
          <w:color w:val="000000" w:themeColor="text1"/>
          <w:sz w:val="16"/>
          <w:szCs w:val="16"/>
        </w:rPr>
        <w:softHyphen/>
        <w:t>стной докладной записке писали нар</w:t>
      </w:r>
      <w:r w:rsidRPr="00DB5D0D">
        <w:rPr>
          <w:rFonts w:ascii="Times New Roman" w:hAnsi="Times New Roman"/>
          <w:color w:val="000000" w:themeColor="text1"/>
          <w:sz w:val="16"/>
          <w:szCs w:val="16"/>
        </w:rPr>
        <w:softHyphen/>
        <w:t>кому авиационной промышленности А.И.Шахурину о положении дел с И-180:</w:t>
      </w:r>
    </w:p>
    <w:p w14:paraId="5CC425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И-180 с июля 1939 года находится в пост</w:t>
      </w:r>
      <w:r w:rsidRPr="00DB5D0D">
        <w:rPr>
          <w:rFonts w:ascii="Times New Roman" w:hAnsi="Times New Roman"/>
          <w:color w:val="000000" w:themeColor="text1"/>
          <w:sz w:val="16"/>
          <w:szCs w:val="16"/>
        </w:rPr>
        <w:softHyphen/>
        <w:t>ройке в количестве 10 экземпляров на заводе №21.</w:t>
      </w:r>
    </w:p>
    <w:p w14:paraId="6BD644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Там же находится в постройке с марта месяца 1 экз. модифицированного самолета И-180 с одностоечным шасси и другими изменениями, вызванными уборкой шасси в носок центроплана.</w:t>
      </w:r>
    </w:p>
    <w:p w14:paraId="1621B3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опытный самолет И-180, построенный заво</w:t>
      </w:r>
      <w:r w:rsidRPr="00DB5D0D">
        <w:rPr>
          <w:rFonts w:ascii="Times New Roman" w:hAnsi="Times New Roman"/>
          <w:color w:val="000000" w:themeColor="text1"/>
          <w:sz w:val="16"/>
          <w:szCs w:val="16"/>
        </w:rPr>
        <w:softHyphen/>
        <w:t>дом № 1 под индексом «Е», имеющий отличительную от строящихся самолетов на заводе № 21 конструкцию крыла (профильные лонжероны вместо трубчатых), в настоящее время проходит заводские испытания и под</w:t>
      </w:r>
      <w:r w:rsidRPr="00DB5D0D">
        <w:rPr>
          <w:rFonts w:ascii="Times New Roman" w:hAnsi="Times New Roman"/>
          <w:color w:val="000000" w:themeColor="text1"/>
          <w:sz w:val="16"/>
          <w:szCs w:val="16"/>
        </w:rPr>
        <w:softHyphen/>
        <w:t>готавливается для передачи на государственные испы</w:t>
      </w:r>
      <w:r w:rsidRPr="00DB5D0D">
        <w:rPr>
          <w:rFonts w:ascii="Times New Roman" w:hAnsi="Times New Roman"/>
          <w:color w:val="000000" w:themeColor="text1"/>
          <w:sz w:val="16"/>
          <w:szCs w:val="16"/>
        </w:rPr>
        <w:softHyphen/>
        <w:t>тания.</w:t>
      </w:r>
    </w:p>
    <w:p w14:paraId="25E90B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 решении вопроса о выпуске самолета И-180в серию на заводе №21, очевидно, встанет вопрос о выбо</w:t>
      </w:r>
      <w:r w:rsidRPr="00DB5D0D">
        <w:rPr>
          <w:rFonts w:ascii="Times New Roman" w:hAnsi="Times New Roman"/>
          <w:color w:val="000000" w:themeColor="text1"/>
          <w:sz w:val="16"/>
          <w:szCs w:val="16"/>
        </w:rPr>
        <w:softHyphen/>
        <w:t>ре одного из имеющихся 3-х типов самолета И-180.</w:t>
      </w:r>
    </w:p>
    <w:p w14:paraId="7874E9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считаем, что завод № 21 может приступить к не</w:t>
      </w:r>
      <w:r w:rsidRPr="00DB5D0D">
        <w:rPr>
          <w:rFonts w:ascii="Times New Roman" w:hAnsi="Times New Roman"/>
          <w:color w:val="000000" w:themeColor="text1"/>
          <w:sz w:val="16"/>
          <w:szCs w:val="16"/>
        </w:rPr>
        <w:softHyphen/>
        <w:t>медленному запуску в серию только что уже освоенного им в постройке войсковой серии самолета И-180 (изд.25). Для запуска этого самолета завод имеет ком</w:t>
      </w:r>
      <w:r w:rsidRPr="00DB5D0D">
        <w:rPr>
          <w:rFonts w:ascii="Times New Roman" w:hAnsi="Times New Roman"/>
          <w:color w:val="000000" w:themeColor="text1"/>
          <w:sz w:val="16"/>
          <w:szCs w:val="16"/>
        </w:rPr>
        <w:softHyphen/>
        <w:t>плект стапельных приспособлений, заводом освоены основные технологические процессы и, что самое глав</w:t>
      </w:r>
      <w:r w:rsidRPr="00DB5D0D">
        <w:rPr>
          <w:rFonts w:ascii="Times New Roman" w:hAnsi="Times New Roman"/>
          <w:color w:val="000000" w:themeColor="text1"/>
          <w:sz w:val="16"/>
          <w:szCs w:val="16"/>
        </w:rPr>
        <w:softHyphen/>
        <w:t>ное, завод имеет отработанные и исправленные черте</w:t>
      </w:r>
      <w:r w:rsidRPr="00DB5D0D">
        <w:rPr>
          <w:rFonts w:ascii="Times New Roman" w:hAnsi="Times New Roman"/>
          <w:color w:val="000000" w:themeColor="text1"/>
          <w:sz w:val="16"/>
          <w:szCs w:val="16"/>
        </w:rPr>
        <w:softHyphen/>
        <w:t>жи, принятые заводом после постройки первых 3-х самолетов из числа войсковой серии.</w:t>
      </w:r>
    </w:p>
    <w:p w14:paraId="382C77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И-180 с одностоечным шасси заводом № 21 еще не освоен. Первый экземпляр этого самолета будет построен заводом, очевидно, не раньше июля месяца с/г.</w:t>
      </w:r>
    </w:p>
    <w:p w14:paraId="1CEAC5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касается последнего типа самолета И-180 (с про</w:t>
      </w:r>
      <w:r w:rsidRPr="00DB5D0D">
        <w:rPr>
          <w:rFonts w:ascii="Times New Roman" w:hAnsi="Times New Roman"/>
          <w:color w:val="000000" w:themeColor="text1"/>
          <w:sz w:val="16"/>
          <w:szCs w:val="16"/>
        </w:rPr>
        <w:softHyphen/>
        <w:t>фильными лонжеронами), то завод № 21 не имеет на не</w:t>
      </w:r>
      <w:r w:rsidRPr="00DB5D0D">
        <w:rPr>
          <w:rFonts w:ascii="Times New Roman" w:hAnsi="Times New Roman"/>
          <w:color w:val="000000" w:themeColor="text1"/>
          <w:sz w:val="16"/>
          <w:szCs w:val="16"/>
        </w:rPr>
        <w:softHyphen/>
        <w:t>го никакой технической документации. Передача этой документации, подготовка производства и освоение но</w:t>
      </w:r>
      <w:r w:rsidRPr="00DB5D0D">
        <w:rPr>
          <w:rFonts w:ascii="Times New Roman" w:hAnsi="Times New Roman"/>
          <w:color w:val="000000" w:themeColor="text1"/>
          <w:sz w:val="16"/>
          <w:szCs w:val="16"/>
        </w:rPr>
        <w:softHyphen/>
        <w:t>вого (по крылу) объекта сделает маловероятным выпуск самолетов И-180 в текущем году.</w:t>
      </w:r>
    </w:p>
    <w:p w14:paraId="759F26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Заводские испытания самолета И-180 завода № 1 вызвали необходимость отработки отдельных элемен</w:t>
      </w:r>
      <w:r w:rsidRPr="00DB5D0D">
        <w:rPr>
          <w:rFonts w:ascii="Times New Roman" w:hAnsi="Times New Roman"/>
          <w:color w:val="000000" w:themeColor="text1"/>
          <w:sz w:val="16"/>
          <w:szCs w:val="16"/>
        </w:rPr>
        <w:softHyphen/>
        <w:t>тов конструкции (желательность увеличения попереч</w:t>
      </w:r>
      <w:r w:rsidRPr="00DB5D0D">
        <w:rPr>
          <w:rFonts w:ascii="Times New Roman" w:hAnsi="Times New Roman"/>
          <w:color w:val="000000" w:themeColor="text1"/>
          <w:sz w:val="16"/>
          <w:szCs w:val="16"/>
        </w:rPr>
        <w:softHyphen/>
        <w:t>ного V крыла для улучшения поперечной устойчивости, установка 9" маслорадиатора, улучшение входа всасыва</w:t>
      </w:r>
      <w:r w:rsidRPr="00DB5D0D">
        <w:rPr>
          <w:rFonts w:ascii="Times New Roman" w:hAnsi="Times New Roman"/>
          <w:color w:val="000000" w:themeColor="text1"/>
          <w:sz w:val="16"/>
          <w:szCs w:val="16"/>
        </w:rPr>
        <w:softHyphen/>
        <w:t>ющих патрубков и т.д.).</w:t>
      </w:r>
    </w:p>
    <w:p w14:paraId="75A764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Предстоящие государственные и войсковые испыта</w:t>
      </w:r>
      <w:r w:rsidRPr="00DB5D0D">
        <w:rPr>
          <w:rFonts w:ascii="Times New Roman" w:hAnsi="Times New Roman"/>
          <w:color w:val="000000" w:themeColor="text1"/>
          <w:sz w:val="16"/>
          <w:szCs w:val="16"/>
        </w:rPr>
        <w:softHyphen/>
        <w:t>ния несомненно также вызовут необходимость внесе</w:t>
      </w:r>
      <w:r w:rsidRPr="00DB5D0D">
        <w:rPr>
          <w:rFonts w:ascii="Times New Roman" w:hAnsi="Times New Roman"/>
          <w:color w:val="000000" w:themeColor="text1"/>
          <w:sz w:val="16"/>
          <w:szCs w:val="16"/>
        </w:rPr>
        <w:softHyphen/>
        <w:t>ния в конструкцию отдельных изменений.</w:t>
      </w:r>
    </w:p>
    <w:p w14:paraId="31C712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совершенно необходимо, чтобы ОКБ заво</w:t>
      </w:r>
      <w:r w:rsidRPr="00DB5D0D">
        <w:rPr>
          <w:rFonts w:ascii="Times New Roman" w:hAnsi="Times New Roman"/>
          <w:color w:val="000000" w:themeColor="text1"/>
          <w:sz w:val="16"/>
          <w:szCs w:val="16"/>
        </w:rPr>
        <w:softHyphen/>
        <w:t>да № 21 активно включилось в повседневную оператив</w:t>
      </w:r>
      <w:r w:rsidRPr="00DB5D0D">
        <w:rPr>
          <w:rFonts w:ascii="Times New Roman" w:hAnsi="Times New Roman"/>
          <w:color w:val="000000" w:themeColor="text1"/>
          <w:sz w:val="16"/>
          <w:szCs w:val="16"/>
        </w:rPr>
        <w:softHyphen/>
        <w:t>ную доработку конструкции, для чего завод должен довести состав этого бюро до 70-80 человек, занимаю</w:t>
      </w:r>
      <w:r w:rsidRPr="00DB5D0D">
        <w:rPr>
          <w:rFonts w:ascii="Times New Roman" w:hAnsi="Times New Roman"/>
          <w:color w:val="000000" w:themeColor="text1"/>
          <w:sz w:val="16"/>
          <w:szCs w:val="16"/>
        </w:rPr>
        <w:softHyphen/>
        <w:t>щихся только самолетом И-180.</w:t>
      </w:r>
    </w:p>
    <w:p w14:paraId="3D21C6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 немедленном запуске самолета И-180 в серий</w:t>
      </w:r>
      <w:r w:rsidRPr="00DB5D0D">
        <w:rPr>
          <w:rFonts w:ascii="Times New Roman" w:hAnsi="Times New Roman"/>
          <w:color w:val="000000" w:themeColor="text1"/>
          <w:sz w:val="16"/>
          <w:szCs w:val="16"/>
        </w:rPr>
        <w:softHyphen/>
        <w:t>ное производство завод № 21 может уверенно выпустить в 1940 г. 100 единиц по чертежам войсковой серии...</w:t>
      </w:r>
    </w:p>
    <w:p w14:paraId="53CD23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Прекратить [производить] многочисленные моди</w:t>
      </w:r>
      <w:r w:rsidRPr="00DB5D0D">
        <w:rPr>
          <w:rFonts w:ascii="Times New Roman" w:hAnsi="Times New Roman"/>
          <w:color w:val="000000" w:themeColor="text1"/>
          <w:sz w:val="16"/>
          <w:szCs w:val="16"/>
        </w:rPr>
        <w:softHyphen/>
        <w:t>фикации И-16, сохранив в производстве лишь УТИ-4 и И-16 тип 29 (с 2-мя синхронными пулеметами и 1 син</w:t>
      </w:r>
      <w:r w:rsidRPr="00DB5D0D">
        <w:rPr>
          <w:rFonts w:ascii="Times New Roman" w:hAnsi="Times New Roman"/>
          <w:color w:val="000000" w:themeColor="text1"/>
          <w:sz w:val="16"/>
          <w:szCs w:val="16"/>
        </w:rPr>
        <w:softHyphen/>
        <w:t>хронным крупнокалиберным пулеметом БС)...».</w:t>
      </w:r>
    </w:p>
    <w:p w14:paraId="7FDD23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Некоторые положения докладной записки реализо</w:t>
      </w:r>
      <w:r w:rsidRPr="00DB5D0D">
        <w:rPr>
          <w:rFonts w:ascii="Times New Roman" w:hAnsi="Times New Roman"/>
          <w:color w:val="000000" w:themeColor="text1"/>
          <w:sz w:val="16"/>
          <w:szCs w:val="16"/>
        </w:rPr>
        <w:softHyphen/>
        <w:t>вали сравнительно быстро. В мае вышло постановление Комитета Обороны, согласно которому во втором полу</w:t>
      </w:r>
      <w:r w:rsidRPr="00DB5D0D">
        <w:rPr>
          <w:rFonts w:ascii="Times New Roman" w:hAnsi="Times New Roman"/>
          <w:color w:val="000000" w:themeColor="text1"/>
          <w:sz w:val="16"/>
          <w:szCs w:val="16"/>
        </w:rPr>
        <w:softHyphen/>
        <w:t>годии 1940 г. заводу № 21 для ГУАС КА надлежало сдать ПО истребителей И-180 с мотором М-88Р и оставить в производстве только самолет И-16 тип 29. Все осталь</w:t>
      </w:r>
      <w:r w:rsidRPr="00DB5D0D">
        <w:rPr>
          <w:rFonts w:ascii="Times New Roman" w:hAnsi="Times New Roman"/>
          <w:color w:val="000000" w:themeColor="text1"/>
          <w:sz w:val="16"/>
          <w:szCs w:val="16"/>
        </w:rPr>
        <w:softHyphen/>
        <w:t>ные модификации И-16, в том числе типов 24 и 28, с производства снимались (10667).</w:t>
      </w:r>
    </w:p>
    <w:p w14:paraId="61AE2FD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6E00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Н.Н.П. (после того как 18 мая закончили второй этап заводских по И-180-3) направил докладную в НКАП А.И.Шахурину и сообщил, что если серию И-180 начать сразу же, то в 1940 будет 100 и можно будет довести выпуск до 100-120 в месяц с января 1941 (129,9). И-185 был готов, но ждал двигатели (129,13). В конце мая 1940 А.И.Шахурин дал указание вместо М-90 поставить М-71, но его тоже не было, хотя ждали к июлю (130,34).</w:t>
      </w:r>
    </w:p>
    <w:p w14:paraId="012867A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1DAD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Нач. ЛТГ НКАП М.М.Г. докладывал Зам Наркома А.С.Я. (вход. 2498сс от 23 мая 1940):</w:t>
      </w:r>
    </w:p>
    <w:p w14:paraId="3B9662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20 мая с.г. по Вашему заданию ознакомился с самолетом Н.Н.П. И-190.</w:t>
      </w:r>
    </w:p>
    <w:p w14:paraId="1356E4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стоит не редукторный мотор М-88. Из-за недостаточного КПД винта машина недодает скорости. Конструктор намерен заменить мотор на редукторный с большим диаметром винта и только после этого передать самолет на гос. испытания." (1379).</w:t>
      </w:r>
    </w:p>
    <w:p w14:paraId="07861C8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01A6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Нач. ПГУ Шиц подготовил А.И.Ш. справку N 097 о типах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88"/>
        <w:gridCol w:w="3960"/>
      </w:tblGrid>
      <w:tr w:rsidR="007D5DF8" w:rsidRPr="00DB5D0D" w14:paraId="029901C1" w14:textId="77777777" w:rsidTr="009223E5">
        <w:tc>
          <w:tcPr>
            <w:tcW w:w="3888" w:type="dxa"/>
            <w:tcBorders>
              <w:top w:val="single" w:sz="12" w:space="0" w:color="auto"/>
            </w:tcBorders>
          </w:tcPr>
          <w:p w14:paraId="3D4B81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Тип-24</w:t>
            </w:r>
          </w:p>
        </w:tc>
        <w:tc>
          <w:tcPr>
            <w:tcW w:w="3960" w:type="dxa"/>
            <w:tcBorders>
              <w:top w:val="single" w:sz="12" w:space="0" w:color="auto"/>
            </w:tcBorders>
          </w:tcPr>
          <w:p w14:paraId="14A7C0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2хШКАСс и 2хШКАСк</w:t>
            </w:r>
          </w:p>
        </w:tc>
      </w:tr>
      <w:tr w:rsidR="007D5DF8" w:rsidRPr="00DB5D0D" w14:paraId="348165D6" w14:textId="77777777" w:rsidTr="009223E5">
        <w:tc>
          <w:tcPr>
            <w:tcW w:w="3888" w:type="dxa"/>
          </w:tcPr>
          <w:p w14:paraId="42E4F1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Тип-28</w:t>
            </w:r>
          </w:p>
        </w:tc>
        <w:tc>
          <w:tcPr>
            <w:tcW w:w="3960" w:type="dxa"/>
          </w:tcPr>
          <w:p w14:paraId="640BD1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2хШКАСс и 2хШВАКк</w:t>
            </w:r>
          </w:p>
        </w:tc>
      </w:tr>
      <w:tr w:rsidR="007D5DF8" w:rsidRPr="00DB5D0D" w14:paraId="0313AB16" w14:textId="77777777" w:rsidTr="009223E5">
        <w:tc>
          <w:tcPr>
            <w:tcW w:w="3888" w:type="dxa"/>
            <w:tcBorders>
              <w:bottom w:val="single" w:sz="12" w:space="0" w:color="auto"/>
            </w:tcBorders>
          </w:tcPr>
          <w:p w14:paraId="632C9C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Тип-29</w:t>
            </w:r>
          </w:p>
        </w:tc>
        <w:tc>
          <w:tcPr>
            <w:tcW w:w="3960" w:type="dxa"/>
            <w:tcBorders>
              <w:bottom w:val="single" w:sz="12" w:space="0" w:color="auto"/>
            </w:tcBorders>
          </w:tcPr>
          <w:p w14:paraId="417A12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2хШКАСс и 1хБСс (1295)</w:t>
            </w:r>
          </w:p>
        </w:tc>
      </w:tr>
    </w:tbl>
    <w:p w14:paraId="249712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А.И.Ш. писал письмо N 1289сс/ог ЦК ВКП(б) И.В.С., Пред. СНК В.М.М. и Пред. КО К.Е.В.:</w:t>
      </w:r>
    </w:p>
    <w:p w14:paraId="529E68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"Посылаю вам проекты постановлений КО:</w:t>
      </w:r>
    </w:p>
    <w:p w14:paraId="221FE8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 производстве четырехмоторных ДБ на заводе 124</w:t>
      </w:r>
    </w:p>
    <w:p w14:paraId="3D195A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 постановке производства И-180 Н.Н.П. на заводе 21</w:t>
      </w:r>
    </w:p>
    <w:p w14:paraId="10BCA3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 организации серийного производства И-200 с АМ-35А на заводе 1 и о снятии с производства ББ-22 (1295).</w:t>
      </w:r>
    </w:p>
    <w:p w14:paraId="2FCE58C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30EE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 закончились испытанию серийного самолета И-153 № 6566 с мотором М-62 и винтом АВ-1 (на колесах), которые проходили с 14 мая</w:t>
      </w:r>
    </w:p>
    <w:p w14:paraId="62447D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88480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3 ранга Алексеенко</w:t>
      </w:r>
    </w:p>
    <w:p w14:paraId="0E490A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 в/инженер 2 ранга Максимов</w:t>
      </w:r>
    </w:p>
    <w:p w14:paraId="2319E7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3E52F4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летных характеристик самолета И-153 М-62 на колесах.</w:t>
      </w:r>
    </w:p>
    <w:p w14:paraId="7A54496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самолета.</w:t>
      </w:r>
    </w:p>
    <w:p w14:paraId="0E90E99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теплового режима мотора на всех режимах полета в летных условиях.</w:t>
      </w:r>
    </w:p>
    <w:p w14:paraId="685EBC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проходил испытания на колесах в НИИ ГУАС в конце 1939 года, которые были прерваны из-за ухудшения погоды и увеличения снежного покрова.</w:t>
      </w:r>
    </w:p>
    <w:p w14:paraId="157032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14 по 20 мая были продолжены летные испытания самолета И-153 № 6566 (на колесах).</w:t>
      </w:r>
    </w:p>
    <w:p w14:paraId="0C592C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41C524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Повторный замер максимальных горизонтальных скоростей самолета И-153 М-62 № 6566 с убранными шасси на колесах показал, что хорошее состояние поверхностной отделки самолета и тщательная подгонка капотов и обтекателей дает увеличение максимальной скорости самолета на 13 км/час по сравнению с самолетом И-153 М-62 АВ-1 № 6062, проходившим испытания в НИИ осенью 1939 года и имевший плохую поверхностную отделку.</w:t>
      </w:r>
    </w:p>
    <w:p w14:paraId="5D8CC4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9072"/>
      </w:tblGrid>
      <w:tr w:rsidR="007D5DF8" w:rsidRPr="00DB5D0D" w14:paraId="3489D037" w14:textId="77777777" w:rsidTr="009223E5">
        <w:tc>
          <w:tcPr>
            <w:tcW w:w="1526" w:type="dxa"/>
            <w:tcBorders>
              <w:top w:val="single" w:sz="12" w:space="0" w:color="auto"/>
            </w:tcBorders>
          </w:tcPr>
          <w:p w14:paraId="7C6CC5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w:t>
            </w:r>
          </w:p>
        </w:tc>
        <w:tc>
          <w:tcPr>
            <w:tcW w:w="9072" w:type="dxa"/>
            <w:tcBorders>
              <w:top w:val="single" w:sz="12" w:space="0" w:color="auto"/>
            </w:tcBorders>
          </w:tcPr>
          <w:p w14:paraId="73D103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два полета на скороподъемность и скорость по высотам (Н=5000 м и Н=8000 м)</w:t>
            </w:r>
          </w:p>
        </w:tc>
      </w:tr>
      <w:tr w:rsidR="007D5DF8" w:rsidRPr="00DB5D0D" w14:paraId="5C3253C9" w14:textId="77777777" w:rsidTr="009223E5">
        <w:tc>
          <w:tcPr>
            <w:tcW w:w="1526" w:type="dxa"/>
          </w:tcPr>
          <w:p w14:paraId="2605A4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9072" w:type="dxa"/>
          </w:tcPr>
          <w:p w14:paraId="417FBA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r>
      <w:tr w:rsidR="007D5DF8" w:rsidRPr="00DB5D0D" w14:paraId="183284BA" w14:textId="77777777" w:rsidTr="009223E5">
        <w:tc>
          <w:tcPr>
            <w:tcW w:w="1526" w:type="dxa"/>
          </w:tcPr>
          <w:p w14:paraId="11C529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9072" w:type="dxa"/>
          </w:tcPr>
          <w:p w14:paraId="53D11C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температурного режима ВМГ</w:t>
            </w:r>
          </w:p>
        </w:tc>
      </w:tr>
      <w:tr w:rsidR="007D5DF8" w:rsidRPr="00DB5D0D" w14:paraId="028334CC" w14:textId="77777777" w:rsidTr="009223E5">
        <w:tc>
          <w:tcPr>
            <w:tcW w:w="1526" w:type="dxa"/>
          </w:tcPr>
          <w:p w14:paraId="651A84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19 мая 1940 года</w:t>
            </w:r>
          </w:p>
        </w:tc>
        <w:tc>
          <w:tcPr>
            <w:tcW w:w="9072" w:type="dxa"/>
          </w:tcPr>
          <w:p w14:paraId="455FAD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температурного режима ВМГ и замера максимальных горизонтальных скоростей на некоторых высотах</w:t>
            </w:r>
          </w:p>
        </w:tc>
      </w:tr>
      <w:tr w:rsidR="007D5DF8" w:rsidRPr="00DB5D0D" w14:paraId="3B77851D" w14:textId="77777777" w:rsidTr="009223E5">
        <w:tc>
          <w:tcPr>
            <w:tcW w:w="1526" w:type="dxa"/>
            <w:tcBorders>
              <w:bottom w:val="single" w:sz="12" w:space="0" w:color="auto"/>
            </w:tcBorders>
          </w:tcPr>
          <w:p w14:paraId="7E8D38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9072" w:type="dxa"/>
            <w:tcBorders>
              <w:bottom w:val="single" w:sz="12" w:space="0" w:color="auto"/>
            </w:tcBorders>
          </w:tcPr>
          <w:p w14:paraId="0AB777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взлетно-посадочных свойств самолета. Произведено три тренировочных полета и 8 для выполнения задания.</w:t>
            </w:r>
          </w:p>
        </w:tc>
      </w:tr>
    </w:tbl>
    <w:p w14:paraId="733A6B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самолет находился на испытании 7 дней, из которых полетных – 4 дня (4485).</w:t>
      </w:r>
    </w:p>
    <w:p w14:paraId="2345544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BF47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 начальник ГУАС комдив Алексеев и военный комиссар ГУАС бригадный комиссар Князев писали письмо № 501606 наркому авиапромышленности Шахурину</w:t>
      </w:r>
    </w:p>
    <w:p w14:paraId="0630FC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 Н-36/2890</w:t>
      </w:r>
    </w:p>
    <w:p w14:paraId="205298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Вторично прошу Вашего распоряжения заводу № 1 на самолетах И-153 вооружаемых крупнокалиберными пулеметами устанавливать не один, а по два синхронных пулемета Березина.</w:t>
      </w:r>
    </w:p>
    <w:p w14:paraId="1BBA11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двух пулеметов Березина на И-153 проходила полигонные испытания и выдержала их (7709, 380).</w:t>
      </w:r>
    </w:p>
    <w:p w14:paraId="4C40435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86410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полет на определение границ высотности мотора продолжительностью 1:10 (2923).</w:t>
      </w:r>
    </w:p>
    <w:p w14:paraId="11D661A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86C8D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в НИИ ВВС закончились испытания До-215, которые проходили с 10 мая 1940 и в ходе которых выявилось практически полное несоответствие рекламных характеристик полученным в реальных условиях при полетном весе 8620 кг. Достаточно сказать, что максимальная скорость у земли оказалась меньше на 30 км/ч, а на высоте 4500 - на 50 км/ч. Время набора высоты 3000 м было не 5,2 мин., а 6,2.</w:t>
      </w:r>
    </w:p>
    <w:p w14:paraId="2785AE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общему мнению летчиков, До-215 оказался прост в пилотировании, обладал отличным обзором. Его оборудование для слепых и ночных полетов позволяло эксплуатировать в любое время суток и сложных метеоусловиях.</w:t>
      </w:r>
    </w:p>
    <w:p w14:paraId="4E73ED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Винтомоторная группа работала отлично. Особая похвала относилась к флюгерным воздушным винтам, отсутствовавших на отечественных самолетах. Перевод винта во флюгерное положение в случае остановки одного мотора увеличивало скорость примерно на 20 км/ч, по сравнению с авторотирующим винтом, и допускался полет на высотах до 2000 м.</w:t>
      </w:r>
    </w:p>
    <w:p w14:paraId="50752A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допускал виражи с креном до 60°. На высоте 1400 м на выполнение правого виража затрачивалось 33 сек, что почти в два раза больше, чем у истребителя.</w:t>
      </w:r>
    </w:p>
    <w:p w14:paraId="39DA46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Триммер руля поворота позволял полностью снимать нагрузку на ногу, допуская полет на одном моторе с брошенным ножным управлением. При этом самолет легко разворачивался в обе стороны с креном 15-20°.</w:t>
      </w:r>
    </w:p>
    <w:p w14:paraId="05D834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Отмечалась надежная работа системы уборки и выпуска щитков и шасси. А сосредоточение всего экипажа вместе позволяло вести непосредственную связь друг с другом и, в случае чего, оказать взаимопомощь.</w:t>
      </w:r>
    </w:p>
    <w:p w14:paraId="527221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машины относительно трех осей на всех режимах горизонтального полета, набора высоты и планирования была отличная. Посадка на До-215 была простая. Он хорошо садился на три точки и сохранял направление движения на пробеге.</w:t>
      </w:r>
    </w:p>
    <w:p w14:paraId="7F7D77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Застекленная носовая часть фюзеляжа способствовала превосходному обзору вперед, вниз, в стороны и назад. В отчете по летным испытаниям отмечалось, в частности: «При наличии хорошего обзора и совместном расположении всего экипажа противник может быть быстро обнаружен и весь состав экипажа извещен моментально».</w:t>
      </w:r>
    </w:p>
    <w:p w14:paraId="0B636D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Воздушные бои бомбардировщика с истребителями И-16 и И-153, проведенные в ходе испытаний, показали, что «Использование оружия передней огневой точки возможно при атаках только спереди, прямо по курсу, или сверху под углом не более 209, а также спереди справа и спереди слева под углами не более 15-20°. Невозможна стрельба при атаках спереди снизу.</w:t>
      </w:r>
    </w:p>
    <w:p w14:paraId="005F28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Взаимодействие огня при атаках в передней полусфере передней и задней огневых точек самолета невозможно. При выходе истребителя из атаки к хвосту (...) До-215 возможна кратковременная стрельба из верхней задней или люковой установки.</w:t>
      </w:r>
    </w:p>
    <w:p w14:paraId="5DAE98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Использование оружия верхней, задней и люковой огневых точек возможно при всех атаках в задней полусфере. Однако обстрел ограничен... При атаках одиночного (...) До-215 наиболее уязвимыми и не обороняемыми секторами являются:</w:t>
      </w:r>
    </w:p>
    <w:p w14:paraId="0E184D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спереди - полностью левый нижний сектор и справа сверху и снизу под углами более 20°.</w:t>
      </w:r>
    </w:p>
    <w:p w14:paraId="555A74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сзади - непосредственно под хвостом от стабилизатора и ниже до 25-30°. В указанных секторах атакующий истребитель не может быть обстрелян ни одной из стрелковых установок.</w:t>
      </w:r>
    </w:p>
    <w:p w14:paraId="0A36A0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Благодаря размещению летчика в передней кабине и в непосредственной близости от штурмана, наличию отличного обзора вперед и специального визира, условия наводки самолета на цель, для бомбометания отличные.</w:t>
      </w:r>
    </w:p>
    <w:p w14:paraId="6CAE1B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До-215 с успехом может выполнять разведывательные задачи, как визуальным способом, так и с применением аэрофотосъемки.</w:t>
      </w:r>
    </w:p>
    <w:p w14:paraId="6E62DB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штурманских задач (...) обеспечено хорошим аэронавигационным оборудованием...»</w:t>
      </w:r>
    </w:p>
    <w:p w14:paraId="619C74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следует из отчета по результатам летных испытаний бомбардировщика, особое внимание заслуживали и рекомендовались для применения на отечественных самолетах моторы с непосредственным впрыском топлива, автоматическими дозировкой подачи топлива и включением нагнетателя, имевшие хорошую приемистость, простое управление и меньший расход горючего. К тому же, перевернутые двигатели обеспечивали хороший обзор и удобную компоновку винтомоторной группы.</w:t>
      </w:r>
    </w:p>
    <w:p w14:paraId="4A305A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обнаружилось, что рекламные данные о самолете, предоставленные фирмой «Дорнье», сильно завышены. Так, например, скорость у земли в действительности оказалась ниже на 20 км/ч, а на высоте - почти на 40 км/ч. Больше времени тратилось и на набор высоты.</w:t>
      </w:r>
    </w:p>
    <w:p w14:paraId="3C1A53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завершения испытаний До-215 иногда привлекался для оценок тактических свойств отечественных самолетов, но больше он находился на земле (9663).</w:t>
      </w:r>
    </w:p>
    <w:p w14:paraId="58F9D52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7458B9" w14:textId="77777777" w:rsidR="00560CA7" w:rsidRPr="00DB5D0D" w:rsidRDefault="00560C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20 мая</w:t>
      </w:r>
      <w:r w:rsidRPr="00DB5D0D">
        <w:rPr>
          <w:rFonts w:ascii="Times New Roman" w:hAnsi="Times New Roman"/>
          <w:color w:val="000000" w:themeColor="text1"/>
          <w:sz w:val="16"/>
          <w:szCs w:val="16"/>
        </w:rPr>
        <w:t xml:space="preserve"> в 1940 году в НИИ ВВС завершились испытания приобретенных в Германии </w:t>
      </w:r>
      <w:hyperlink r:id="rId45" w:tgtFrame="_blank" w:history="1">
        <w:r w:rsidRPr="00DB5D0D">
          <w:rPr>
            <w:rFonts w:ascii="Times New Roman" w:hAnsi="Times New Roman"/>
            <w:color w:val="000000" w:themeColor="text1"/>
            <w:sz w:val="16"/>
            <w:szCs w:val="16"/>
          </w:rPr>
          <w:t xml:space="preserve">«Do-215», </w:t>
        </w:r>
      </w:hyperlink>
      <w:r w:rsidRPr="00DB5D0D">
        <w:rPr>
          <w:rFonts w:ascii="Times New Roman" w:hAnsi="Times New Roman"/>
          <w:color w:val="000000" w:themeColor="text1"/>
          <w:sz w:val="16"/>
          <w:szCs w:val="16"/>
        </w:rPr>
        <w:t>выявилось практически полное несоответствие характеристик рекламных с полученными в реальных условиях при полетном весе 8620 кг. Достаточно сказать, что максимальная скорость у земли оказалась меньше на 30 км/ч, а на высоте 4500 метров на 50 км/ч. Время набора высоты 3000 м было 6,2 минуты вместо заявленных 5,2 (14897).</w:t>
      </w:r>
    </w:p>
    <w:p w14:paraId="217C7339" w14:textId="77777777" w:rsidR="00560CA7" w:rsidRPr="00DB5D0D" w:rsidRDefault="00560CA7" w:rsidP="00DB5D0D">
      <w:pPr>
        <w:spacing w:after="0" w:line="240" w:lineRule="auto"/>
        <w:jc w:val="both"/>
        <w:rPr>
          <w:rFonts w:ascii="Times New Roman" w:hAnsi="Times New Roman"/>
          <w:color w:val="000000" w:themeColor="text1"/>
          <w:sz w:val="16"/>
          <w:szCs w:val="16"/>
        </w:rPr>
      </w:pPr>
    </w:p>
    <w:p w14:paraId="3E5D06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 по приказу НКАП № 221 с 1 июня 1940 года Камов стал главным кон</w:t>
      </w:r>
      <w:r w:rsidRPr="00DB5D0D">
        <w:rPr>
          <w:rFonts w:ascii="Times New Roman" w:hAnsi="Times New Roman"/>
          <w:color w:val="000000" w:themeColor="text1"/>
          <w:sz w:val="16"/>
          <w:szCs w:val="16"/>
        </w:rPr>
        <w:softHyphen/>
        <w:t>структором и временно исполняющим обязанности директора завода № 290 (10224,45).</w:t>
      </w:r>
    </w:p>
    <w:p w14:paraId="11C20C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18D03E0"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мая 1940 - В НИИ ВВС завершились испытания приобретенных в Германии Do-215, выявилось практически полное несоответствие характеристик рекламных с полученными в реальных условиях при полетном весе 8620 кг. Достаточно сказать, что максимальная скорость у земли оказалась меньше на 30 км/ч, а на высоте 4500 метров ≈ на 50 км/ч. Время набора высоты 3000м было 6,2 минуты вместо заявленных 5,2 (22496). </w:t>
      </w:r>
    </w:p>
    <w:p w14:paraId="09DA73C2" w14:textId="77777777" w:rsidR="00B00D28" w:rsidRPr="00DB5D0D" w:rsidRDefault="00B00D28" w:rsidP="00DB5D0D">
      <w:pPr>
        <w:spacing w:after="0" w:line="240" w:lineRule="auto"/>
        <w:jc w:val="both"/>
        <w:rPr>
          <w:rFonts w:ascii="Times New Roman" w:hAnsi="Times New Roman"/>
          <w:color w:val="0070C0"/>
          <w:sz w:val="16"/>
          <w:szCs w:val="16"/>
        </w:rPr>
      </w:pPr>
    </w:p>
    <w:p w14:paraId="5C55B2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 по приказу № 221с конструкторская группа Н.И. Камова переведена с завода № 156 на территорию вновь образованного завода № 290 НКАП (Завод № 290 НКАП, Ухтомский авиазавод /ст. Ухтомская Московской обл.;  г. Билимбай Свердловской обл./) для продолжения конструкторских работ по винтокрылым аппаратам. При заводе образовано ОКБ-290 гл. конструктора Н.И. Камова.</w:t>
      </w:r>
    </w:p>
    <w:p w14:paraId="5EA820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1072сс от 15.10.1941 г. завод № 290 и ОКБ (7ГУ) был эвакуирован в  г. Билимбай и разместился на площадке филиала завода № 468 НКАП в здании клуба (бывшей церкви).</w:t>
      </w:r>
    </w:p>
    <w:p w14:paraId="72E662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Планировалось расформировать завод и ОКБ по приказу № 224с от 19.03.1942 г., но это было сделано в 1943 г. (приказ № 14с от 13.01.1943 г.). Завод и ОКБ Камова расформированы. Завод со всем оборудованием и личным составом влит в состав завода № 82 НКАП. По приказу № 27С от 18.01.1943 г. часть оборудования передана на завод № 289 НКАП, а автожир АК передан на хранение в ОКБ-3 И.П. Братухина при МАИ.</w:t>
      </w:r>
    </w:p>
    <w:p w14:paraId="0B6BAB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площадке эвакуированного завода недолго существовали авторемонтные мастерские, затем по приказу № 239с от 30.03.1942 г. образован Ремонтный завод при Главремуправлении НКАП для ремонта Р-5. Далее здесь действовал завод наземного оборудования, а после ВОВ на этом месте образовался завод № 938 МАП.</w:t>
      </w:r>
    </w:p>
    <w:p w14:paraId="3C977B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И.О. директора (05.1940 г.)- Н.И. Камов. Директор (1.06.1940-01.1943 г.)- Н.И. Камов.</w:t>
      </w:r>
    </w:p>
    <w:p w14:paraId="1A79C3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(1.06.1940-01.1943 г.)- Н.И. Камов.</w:t>
      </w:r>
    </w:p>
    <w:p w14:paraId="4C3FC4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конструктора (12.1940-01.1943 г.)- М.Л.'Миль.</w:t>
      </w:r>
    </w:p>
    <w:p w14:paraId="45587702" w14:textId="77777777" w:rsidR="00560CA7" w:rsidRPr="00DB5D0D" w:rsidRDefault="00560C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ОКБ-290 НКАП</w:t>
      </w:r>
    </w:p>
    <w:p w14:paraId="6DDA64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ОКБ-290 НКАП гл. конструктора Н.И. Камова действовало при опытном заводе № 290 НКАП в 1940-43 г.</w:t>
      </w:r>
    </w:p>
    <w:p w14:paraId="6E50C4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доводке автожира А-7. Проектировались А-7-ЗА, АК, истребитель с</w:t>
      </w:r>
      <w:r w:rsidRPr="00DB5D0D">
        <w:rPr>
          <w:rFonts w:ascii="Times New Roman" w:hAnsi="Times New Roman"/>
          <w:iCs/>
          <w:color w:val="000000" w:themeColor="text1"/>
          <w:sz w:val="16"/>
          <w:szCs w:val="16"/>
        </w:rPr>
        <w:t xml:space="preserve"> убирающимся</w:t>
      </w:r>
      <w:r w:rsidRPr="00DB5D0D">
        <w:rPr>
          <w:rFonts w:ascii="Times New Roman" w:hAnsi="Times New Roman"/>
          <w:color w:val="000000" w:themeColor="text1"/>
          <w:sz w:val="16"/>
          <w:szCs w:val="16"/>
        </w:rPr>
        <w:t xml:space="preserve"> ротором (1941 г.).</w:t>
      </w:r>
    </w:p>
    <w:p w14:paraId="2B82C0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1072сс от 15.10.1941 г. ОКБ-290 7ГУ НКАП вместе с заводом № 290 было эвакуировано в  г. Билимбай Свердловской обл. Здесь с 12.1941 г. продолжены работы по автожиру АК.</w:t>
      </w:r>
    </w:p>
    <w:p w14:paraId="521FB3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 приказу № 14с от 13.01.1943 г. ОКБ и завод расформированы. Н.И. Камов в 1943-45 г. занимался перевооружением бомбардировщика А-20 «Бостон», в 1945-47 г. работал в ЦАГИ (11982).</w:t>
      </w:r>
    </w:p>
    <w:p w14:paraId="2530A77E" w14:textId="77777777" w:rsidR="00560CA7" w:rsidRPr="00DB5D0D" w:rsidRDefault="00560CA7" w:rsidP="00DB5D0D">
      <w:pPr>
        <w:spacing w:after="0" w:line="240" w:lineRule="auto"/>
        <w:jc w:val="both"/>
        <w:rPr>
          <w:rFonts w:ascii="Times New Roman" w:hAnsi="Times New Roman"/>
          <w:color w:val="000000" w:themeColor="text1"/>
          <w:sz w:val="16"/>
          <w:szCs w:val="16"/>
        </w:rPr>
      </w:pPr>
    </w:p>
    <w:p w14:paraId="569642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в Контрольном листе учета выполнения постановления КО СНК СССР № 125сс от 4 марта 1940 г. представителем КО СНК СССР - контролером Вахрушевым была сделана запись:</w:t>
      </w:r>
    </w:p>
    <w:p w14:paraId="5D8D64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КОР-2</w:t>
      </w:r>
    </w:p>
    <w:p w14:paraId="14564F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КОР-2 находится в стадии разработки рабочих чертежей. Выполнение в срок сомнений не вызывает (10395,87).</w:t>
      </w:r>
    </w:p>
    <w:p w14:paraId="4E3123B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E351D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в Контрольном листе учета выполнения постановления КО СНК СССР № 124сс от 4 марта 1940 г. представителем КО СНК СССР - контролером Вахрушевым была сделана запись:</w:t>
      </w:r>
    </w:p>
    <w:p w14:paraId="66B953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2М-63 Четверикова</w:t>
      </w:r>
    </w:p>
    <w:p w14:paraId="6EB4D3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МДР-6 2М-63 закончен производством и поступил на заводские испытания. Срок окончания заводских испытаний 10 июня 1940.</w:t>
      </w:r>
    </w:p>
    <w:p w14:paraId="2A2C2A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этап закончен в срок - 2 июня 1940.</w:t>
      </w:r>
    </w:p>
    <w:p w14:paraId="7B55B1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этап задержался на 15 дней (10395,84).</w:t>
      </w:r>
    </w:p>
    <w:p w14:paraId="21989B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69F0B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 помощник начальника ГУАС КА И.Ф.Сакриер писал секретарю Комитета Обороны при СНК СССР Сафонову и главному контролеру Комитета Обороны при СНК СССР Ловикову: «Выполнение плана поставок по авиабомбам и реактивным сня рядам идет скверно. За 18 дней месяца на снаряжательных заводах НКК при плане поставок в мае 10.000 шт. РС-82 не принято ни одной штуки.План поставок АБ и РС в апреле тоже не был выполнен. Таким образом, за 2 квартал при плане поставок 30.000 штук РС-82 за 48 дней квартала не принято ни одной штуки. Поставка РС-82 совершенно не выполняется и фактически сорвана. Причины:</w:t>
      </w:r>
    </w:p>
    <w:p w14:paraId="4E7E89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Неудовлетворительное обеспечение тротилом снаряжательных за-волов №12 и 55 и недостаточное внимание 1-го Главного управления к расширению базы по производству тротила;</w:t>
      </w:r>
    </w:p>
    <w:p w14:paraId="676F22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Неудовлетворительный ход работ по установке шнек-аппаратов на заводе №12;</w:t>
      </w:r>
    </w:p>
    <w:p w14:paraId="2D7C88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Неудовлетворительный ход строительства линий по снаряжению АБ на новых заводах №56, 113 и 144» (11402).</w:t>
      </w:r>
    </w:p>
    <w:p w14:paraId="1D7E37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E34107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E691DE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1AD950B"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20-27 мая 1940 г. комиссия Комитета обороны под председательством помощника начальника АБТУ т. Алымова провела сравнительные испытания опытной литой башни танка КВ, цементованной во время отливки, разработанной специальным техническим бюро НКТМ, опытной литой гомогенной башни танка КВ, изготовленной НИИ</w:t>
      </w:r>
      <w:r w:rsidRPr="00DB5D0D">
        <w:rPr>
          <w:rFonts w:ascii="Times New Roman" w:hAnsi="Times New Roman"/>
          <w:color w:val="000000" w:themeColor="text1"/>
          <w:sz w:val="16"/>
          <w:szCs w:val="16"/>
        </w:rPr>
        <w:noBreakHyphen/>
        <w:t>48, и катаной гомогенной плиты для танка КВ, изготовленной Ижорским заводом в валовом порядке.</w:t>
      </w:r>
    </w:p>
    <w:p w14:paraId="1B3B845D"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показали, что катаная гомогенная броня танка КВ, хорошо сопротивлялась тупоголовым снарядам 76</w:t>
      </w:r>
      <w:r w:rsidRPr="00DB5D0D">
        <w:rPr>
          <w:rFonts w:ascii="Times New Roman" w:hAnsi="Times New Roman"/>
          <w:color w:val="000000" w:themeColor="text1"/>
          <w:sz w:val="16"/>
          <w:szCs w:val="16"/>
        </w:rPr>
        <w:noBreakHyphen/>
        <w:t>мм калибра (предел тыльной прочности при 630</w:t>
      </w:r>
      <w:r w:rsidRPr="00DB5D0D">
        <w:rPr>
          <w:rFonts w:ascii="Times New Roman" w:hAnsi="Times New Roman"/>
          <w:color w:val="000000" w:themeColor="text1"/>
          <w:sz w:val="16"/>
          <w:szCs w:val="16"/>
        </w:rPr>
        <w:noBreakHyphen/>
        <w:t>640 м/с), пробивается остроголовыми снарядами того же калибра при 530</w:t>
      </w:r>
      <w:r w:rsidRPr="00DB5D0D">
        <w:rPr>
          <w:rFonts w:ascii="Times New Roman" w:hAnsi="Times New Roman"/>
          <w:color w:val="000000" w:themeColor="text1"/>
          <w:sz w:val="16"/>
          <w:szCs w:val="16"/>
        </w:rPr>
        <w:noBreakHyphen/>
        <w:t>550 м/с, причем сами снаряды остаются целыми.</w:t>
      </w:r>
    </w:p>
    <w:p w14:paraId="5551B48F"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на вооружении КА находятся только тупоголовые снаряды 76</w:t>
      </w:r>
      <w:r w:rsidRPr="00DB5D0D">
        <w:rPr>
          <w:rFonts w:ascii="Times New Roman" w:hAnsi="Times New Roman"/>
          <w:color w:val="000000" w:themeColor="text1"/>
          <w:sz w:val="16"/>
          <w:szCs w:val="16"/>
        </w:rPr>
        <w:noBreakHyphen/>
        <w:t>мм калибра, а, с другой стороны, существует мнение, что вероятность попадания в танк снарядов по нормали исключена, технические условия на приемку катаной гомогенной брони для КВ не предусматривают испытания ее остроголовыми снарядами. Между тем находящийся на Кировском заводе один танк КВ, участвовавший в боевых действиях на финском фронте, из 6 попаданий снарядами 37</w:t>
      </w:r>
      <w:r w:rsidRPr="00DB5D0D">
        <w:rPr>
          <w:rFonts w:ascii="Times New Roman" w:hAnsi="Times New Roman"/>
          <w:color w:val="000000" w:themeColor="text1"/>
          <w:sz w:val="16"/>
          <w:szCs w:val="16"/>
        </w:rPr>
        <w:noBreakHyphen/>
        <w:t>мм калибра имеет одно попадание по нормали (в борт); другой танк из 10 попаданий — одно попадание по нормали в носовую часть, причем в обоих случаях снаряды углублялись в броню на 68 мм.</w:t>
      </w:r>
    </w:p>
    <w:p w14:paraId="3A88A472"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катаная гомогенная броня, выпускаемая Ижорским заводом в валовом порядке, является неполноценной броней, легко уязвима остроголовыми снарядами, которые, несомненно, противник будет применять наряду с тупоголовыми. Надо немедленно серьезно заняться улучшением ее качества в направлении либо поверхностной цементации, либо повышения ее общей твердости.</w:t>
      </w:r>
    </w:p>
    <w:p w14:paraId="271982BB"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испытаниях установлено также, что опытная литая броня танка КВ, цементованная во время отливки (башня), толщиной 80</w:t>
      </w:r>
      <w:r w:rsidRPr="00DB5D0D">
        <w:rPr>
          <w:rFonts w:ascii="Times New Roman" w:hAnsi="Times New Roman"/>
          <w:color w:val="000000" w:themeColor="text1"/>
          <w:sz w:val="16"/>
          <w:szCs w:val="16"/>
        </w:rPr>
        <w:noBreakHyphen/>
        <w:t>82 мм, по снарядостойкости против тупоголовых снарядов почти не уступает катаной гомогенной броне толщиной 75  мм, но в то же время не пробивается остроголовыми снарядами при скорости 560</w:t>
      </w:r>
      <w:r w:rsidRPr="00DB5D0D">
        <w:rPr>
          <w:rFonts w:ascii="Times New Roman" w:hAnsi="Times New Roman"/>
          <w:color w:val="000000" w:themeColor="text1"/>
          <w:sz w:val="16"/>
          <w:szCs w:val="16"/>
        </w:rPr>
        <w:noBreakHyphen/>
        <w:t>580 м/с.</w:t>
      </w:r>
    </w:p>
    <w:p w14:paraId="18B90731"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Преимущества литой брони, цементованной во время отливки, еще более подкрепляют технико-экономические показатели. Так, например, опытная литая башня танка КВ, цементованная во время отливки, требует времени на изготовление на 20% меньше и имеет стоимость на 50% меньше, чем такая же башня из катаной гомогенной стали.</w:t>
      </w:r>
    </w:p>
    <w:p w14:paraId="0D55B2AE"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Изготовление танков КВ можно значительно ускорить, если решить задачу отливки и термообработки целых корпусов этого танка. Условия на  Ижорском заводе для этого есть. Коллектив товарищей, желающих взяться за это дело, подобран.</w:t>
      </w:r>
    </w:p>
    <w:p w14:paraId="2BB46274"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получении руководством Кировского и Ижорского заводов категорических указаний обеспечить внеочередное проведение всех необходимых работ такой опытный целый литой корпус танка КВ с толщиной брони 85 мм будет отлит и термически обработан к 15 августа 1940 г. (17909).</w:t>
      </w:r>
    </w:p>
    <w:p w14:paraId="4231BA2E" w14:textId="77777777" w:rsidR="00942442" w:rsidRPr="00DB5D0D" w:rsidRDefault="00942442" w:rsidP="00DB5D0D">
      <w:pPr>
        <w:spacing w:after="0" w:line="240" w:lineRule="auto"/>
        <w:jc w:val="both"/>
        <w:rPr>
          <w:rFonts w:ascii="Times New Roman" w:hAnsi="Times New Roman"/>
          <w:color w:val="000000" w:themeColor="text1"/>
          <w:sz w:val="16"/>
          <w:szCs w:val="16"/>
        </w:rPr>
      </w:pPr>
    </w:p>
    <w:p w14:paraId="08C05FD7" w14:textId="77777777" w:rsidR="00A25AD1" w:rsidRPr="00DB5D0D" w:rsidRDefault="00A25AD1" w:rsidP="00DB5D0D">
      <w:pPr>
        <w:pStyle w:val="a3"/>
        <w:rPr>
          <w:color w:val="000000" w:themeColor="text1"/>
          <w:lang w:val="ru-RU"/>
        </w:rPr>
      </w:pPr>
      <w:r w:rsidRPr="00DB5D0D">
        <w:rPr>
          <w:rStyle w:val="100pt30"/>
          <w:rFonts w:ascii="Times New Roman" w:hAnsi="Times New Roman" w:cs="Times New Roman"/>
          <w:i w:val="0"/>
          <w:iCs w:val="0"/>
          <w:color w:val="000000" w:themeColor="text1"/>
          <w:lang w:val="ru-RU"/>
        </w:rPr>
        <w:t>20 мая 1940 г.</w:t>
      </w:r>
      <w:r w:rsidRPr="00DB5D0D">
        <w:rPr>
          <w:color w:val="000000" w:themeColor="text1"/>
          <w:lang w:val="ru-RU"/>
        </w:rPr>
        <w:t xml:space="preserve"> АБТУ КА Д.Г. Павлов отпра</w:t>
      </w:r>
      <w:r w:rsidRPr="00DB5D0D">
        <w:rPr>
          <w:color w:val="000000" w:themeColor="text1"/>
          <w:lang w:val="ru-RU"/>
        </w:rPr>
        <w:softHyphen/>
        <w:t xml:space="preserve">вил на имя народного комиссара обороны С. К. Тимошенко доклад </w:t>
      </w:r>
      <w:r w:rsidRPr="00DB5D0D">
        <w:rPr>
          <w:rStyle w:val="100pt30"/>
          <w:rFonts w:ascii="Times New Roman" w:hAnsi="Times New Roman" w:cs="Times New Roman"/>
          <w:i w:val="0"/>
          <w:iCs w:val="0"/>
          <w:color w:val="000000" w:themeColor="text1"/>
          <w:lang w:val="ru-RU"/>
        </w:rPr>
        <w:t>№ 73034с</w:t>
      </w:r>
      <w:r w:rsidRPr="00DB5D0D">
        <w:rPr>
          <w:color w:val="000000" w:themeColor="text1"/>
          <w:lang w:val="ru-RU"/>
        </w:rPr>
        <w:t xml:space="preserve"> следующего содержания: </w:t>
      </w:r>
    </w:p>
    <w:p w14:paraId="5729688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НАРОДНОМУ КОМИССАРУ ОБОРОНЫ СОЮЗА СССР МАРШАЛУ СОВЕТСКОГО СОЮЗА тов. ТИМОШЕНКО</w:t>
      </w:r>
    </w:p>
    <w:p w14:paraId="6A9B4646"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Представляю на утверждение отчет комиссии по войсковым ис</w:t>
      </w:r>
      <w:r w:rsidRPr="00DB5D0D">
        <w:rPr>
          <w:rFonts w:ascii="Times New Roman" w:hAnsi="Times New Roman" w:cs="Times New Roman"/>
          <w:i w:val="0"/>
          <w:iCs w:val="0"/>
          <w:color w:val="000000" w:themeColor="text1"/>
          <w:lang w:val="ru-RU"/>
        </w:rPr>
        <w:softHyphen/>
        <w:t>пытаниям опытных образцов танка Т-34, принятого на вооружение Красной Армии Постановлением Комитета Обороны при СНК Союза ССР №443сс от 19 декабря 1939 года.</w:t>
      </w:r>
    </w:p>
    <w:p w14:paraId="61E3DFB7"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вопросам, выдвинутым в особых мнениях (стр. 83-85отчета) представителем АУ К.А. Военинженером 2 ранга т. СОРКИНЫМ и завода № 183 тов. МОРОЗОВЫМ, докладываю:</w:t>
      </w:r>
    </w:p>
    <w:p w14:paraId="7E0A6C15" w14:textId="77777777" w:rsidR="00A25AD1" w:rsidRPr="00DB5D0D" w:rsidRDefault="00A25AD1" w:rsidP="00DB5D0D">
      <w:pPr>
        <w:pStyle w:val="1210"/>
        <w:shd w:val="clear" w:color="auto" w:fill="auto"/>
        <w:tabs>
          <w:tab w:val="left" w:pos="505"/>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1.Расширение башни на 160 мм, без переделки погона башни и корпуса, предложенное заводом № 183 мною утверждено. С увели</w:t>
      </w:r>
      <w:r w:rsidRPr="00DB5D0D">
        <w:rPr>
          <w:rFonts w:ascii="Times New Roman" w:hAnsi="Times New Roman" w:cs="Times New Roman"/>
          <w:i w:val="0"/>
          <w:iCs w:val="0"/>
          <w:color w:val="000000" w:themeColor="text1"/>
          <w:lang w:val="ru-RU"/>
        </w:rPr>
        <w:softHyphen/>
        <w:t>чением высоты башни не согласен, т. к. это ведет к увеличению цели для противника, а надобности в этом нет, ибо угол склонения -5° вперед и по бортам обеспечен.</w:t>
      </w:r>
    </w:p>
    <w:p w14:paraId="70E16473" w14:textId="77777777" w:rsidR="00A25AD1" w:rsidRPr="00DB5D0D" w:rsidRDefault="00A25AD1" w:rsidP="00DB5D0D">
      <w:pPr>
        <w:pStyle w:val="1210"/>
        <w:shd w:val="clear" w:color="auto" w:fill="auto"/>
        <w:tabs>
          <w:tab w:val="left" w:pos="49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2.С унификацией качающихся частей орудия с танками друго</w:t>
      </w:r>
      <w:r w:rsidRPr="00DB5D0D">
        <w:rPr>
          <w:rFonts w:ascii="Times New Roman" w:hAnsi="Times New Roman" w:cs="Times New Roman"/>
          <w:i w:val="0"/>
          <w:iCs w:val="0"/>
          <w:color w:val="000000" w:themeColor="text1"/>
          <w:lang w:val="ru-RU"/>
        </w:rPr>
        <w:softHyphen/>
        <w:t>го класса не согласен, т.к. это приведет к увеличению веса танка Т-34.</w:t>
      </w:r>
    </w:p>
    <w:p w14:paraId="11D795AD" w14:textId="77777777" w:rsidR="00A25AD1" w:rsidRPr="00DB5D0D" w:rsidRDefault="00A25AD1" w:rsidP="00DB5D0D">
      <w:pPr>
        <w:pStyle w:val="1210"/>
        <w:shd w:val="clear" w:color="auto" w:fill="auto"/>
        <w:tabs>
          <w:tab w:val="left" w:pos="519"/>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3.По работе главного фрикциона, разногласий по существу нет, т.к. завод сам признал, что причины коробления дисков уста</w:t>
      </w:r>
      <w:r w:rsidRPr="00DB5D0D">
        <w:rPr>
          <w:rFonts w:ascii="Times New Roman" w:hAnsi="Times New Roman" w:cs="Times New Roman"/>
          <w:i w:val="0"/>
          <w:iCs w:val="0"/>
          <w:color w:val="000000" w:themeColor="text1"/>
          <w:lang w:val="ru-RU"/>
        </w:rPr>
        <w:softHyphen/>
        <w:t>новить еще не удалось. Коробление же дисков является суще</w:t>
      </w:r>
      <w:r w:rsidRPr="00DB5D0D">
        <w:rPr>
          <w:rFonts w:ascii="Times New Roman" w:hAnsi="Times New Roman" w:cs="Times New Roman"/>
          <w:i w:val="0"/>
          <w:iCs w:val="0"/>
          <w:color w:val="000000" w:themeColor="text1"/>
          <w:lang w:val="ru-RU"/>
        </w:rPr>
        <w:softHyphen/>
        <w:t>ственным дефектом.</w:t>
      </w:r>
    </w:p>
    <w:p w14:paraId="1695D81B" w14:textId="77777777" w:rsidR="00A25AD1" w:rsidRPr="00DB5D0D" w:rsidRDefault="00A25AD1" w:rsidP="00DB5D0D">
      <w:pPr>
        <w:pStyle w:val="1210"/>
        <w:shd w:val="clear" w:color="auto" w:fill="auto"/>
        <w:tabs>
          <w:tab w:val="left" w:pos="476"/>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4.Ленивец мною утвержден по второму варианту, с внутренним регулированием натяжения гусеницы, как наиболее прочный и за</w:t>
      </w:r>
      <w:r w:rsidRPr="00DB5D0D">
        <w:rPr>
          <w:rFonts w:ascii="Times New Roman" w:hAnsi="Times New Roman" w:cs="Times New Roman"/>
          <w:i w:val="0"/>
          <w:iCs w:val="0"/>
          <w:color w:val="000000" w:themeColor="text1"/>
          <w:lang w:val="ru-RU"/>
        </w:rPr>
        <w:softHyphen/>
        <w:t>щищенный от поражений.</w:t>
      </w:r>
    </w:p>
    <w:p w14:paraId="0D9037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Установку рации настаиваю перенести в носовую часть танка, дабы освободить командира танка для ведения боя. В носовой части танка предусмотрено место радиста-стрелка.</w:t>
      </w:r>
    </w:p>
    <w:p w14:paraId="70AE5CCD" w14:textId="77777777" w:rsidR="00A25AD1" w:rsidRPr="00DB5D0D" w:rsidRDefault="00A25AD1" w:rsidP="00DB5D0D">
      <w:pPr>
        <w:pStyle w:val="1210"/>
        <w:shd w:val="clear" w:color="auto" w:fill="auto"/>
        <w:tabs>
          <w:tab w:val="left" w:pos="50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5.Конструкцию смотровых приборов настаиваю переделать за счет применения металлических зеркал и триплекса.</w:t>
      </w:r>
    </w:p>
    <w:p w14:paraId="6C2B17DC"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7. Прибор кругового обзора на 1940 год утвердил в том виде, как он пред</w:t>
      </w:r>
      <w:r w:rsidRPr="00DB5D0D">
        <w:rPr>
          <w:rFonts w:ascii="Times New Roman" w:hAnsi="Times New Roman" w:cs="Times New Roman"/>
          <w:i w:val="0"/>
          <w:iCs w:val="0"/>
          <w:color w:val="000000" w:themeColor="text1"/>
          <w:lang w:val="ru-RU"/>
        </w:rPr>
        <w:softHyphen/>
        <w:t>ставлен на опытных образцах.</w:t>
      </w:r>
    </w:p>
    <w:p w14:paraId="4C3F48A2"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В первых числах июня с/г завод №183 изготовит опытную партию (10 шт.) танков Т-34 по чертежам опыт</w:t>
      </w:r>
      <w:r w:rsidRPr="00DB5D0D">
        <w:rPr>
          <w:rFonts w:ascii="Times New Roman" w:hAnsi="Times New Roman" w:cs="Times New Roman"/>
          <w:i w:val="0"/>
          <w:iCs w:val="0"/>
          <w:color w:val="000000" w:themeColor="text1"/>
          <w:lang w:val="ru-RU"/>
        </w:rPr>
        <w:softHyphen/>
        <w:t>ного образца.</w:t>
      </w:r>
    </w:p>
    <w:p w14:paraId="32D2567B"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Мною дано разрешение заводам Мариупольскому (по броне) и №183 на изготовление еще 10 танков Т-34 по чер</w:t>
      </w:r>
      <w:r w:rsidRPr="00DB5D0D">
        <w:rPr>
          <w:rFonts w:ascii="Times New Roman" w:hAnsi="Times New Roman" w:cs="Times New Roman"/>
          <w:i w:val="0"/>
          <w:iCs w:val="0"/>
          <w:color w:val="000000" w:themeColor="text1"/>
          <w:lang w:val="ru-RU"/>
        </w:rPr>
        <w:softHyphen/>
        <w:t>тежам опытного образца, дабы тщатель</w:t>
      </w:r>
      <w:r w:rsidRPr="00DB5D0D">
        <w:rPr>
          <w:rFonts w:ascii="Times New Roman" w:hAnsi="Times New Roman" w:cs="Times New Roman"/>
          <w:i w:val="0"/>
          <w:iCs w:val="0"/>
          <w:color w:val="000000" w:themeColor="text1"/>
          <w:lang w:val="ru-RU"/>
        </w:rPr>
        <w:softHyphen/>
        <w:t>ней отработать технологию производ</w:t>
      </w:r>
      <w:r w:rsidRPr="00DB5D0D">
        <w:rPr>
          <w:rFonts w:ascii="Times New Roman" w:hAnsi="Times New Roman" w:cs="Times New Roman"/>
          <w:i w:val="0"/>
          <w:iCs w:val="0"/>
          <w:color w:val="000000" w:themeColor="text1"/>
          <w:lang w:val="ru-RU"/>
        </w:rPr>
        <w:softHyphen/>
        <w:t>ства к серийному выпуску.</w:t>
      </w:r>
    </w:p>
    <w:p w14:paraId="4A4C682D"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Отчет Комиссии по войсковым испы</w:t>
      </w:r>
      <w:r w:rsidRPr="00DB5D0D">
        <w:rPr>
          <w:rFonts w:ascii="Times New Roman" w:hAnsi="Times New Roman" w:cs="Times New Roman"/>
          <w:i w:val="0"/>
          <w:iCs w:val="0"/>
          <w:color w:val="000000" w:themeColor="text1"/>
          <w:lang w:val="ru-RU"/>
        </w:rPr>
        <w:softHyphen/>
        <w:t>таниям и мои решения прошу утвердить.</w:t>
      </w:r>
    </w:p>
    <w:p w14:paraId="704568B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ПРИЛОЖЕНИЕ: Упомянутое на 85 листах.</w:t>
      </w:r>
    </w:p>
    <w:p w14:paraId="31CF945E" w14:textId="77777777" w:rsidR="00A25AD1" w:rsidRPr="00DB5D0D" w:rsidRDefault="00A25AD1" w:rsidP="00DB5D0D">
      <w:pPr>
        <w:pStyle w:val="1210"/>
        <w:shd w:val="clear" w:color="auto" w:fill="auto"/>
        <w:spacing w:before="0" w:line="240" w:lineRule="auto"/>
        <w:rPr>
          <w:rStyle w:val="120pt29"/>
          <w:rFonts w:ascii="Times New Roman" w:hAnsi="Times New Roman" w:cs="Times New Roman"/>
          <w:noProof w:val="0"/>
          <w:color w:val="000000" w:themeColor="text1"/>
          <w:spacing w:val="0"/>
          <w:lang w:val="ru-RU"/>
        </w:rPr>
      </w:pPr>
      <w:r w:rsidRPr="00DB5D0D">
        <w:rPr>
          <w:rFonts w:ascii="Times New Roman" w:hAnsi="Times New Roman" w:cs="Times New Roman"/>
          <w:i w:val="0"/>
          <w:iCs w:val="0"/>
          <w:color w:val="000000" w:themeColor="text1"/>
          <w:lang w:val="ru-RU"/>
        </w:rPr>
        <w:t>НАЧАЛЬНИК АБТУ КРАСНОЙ АРМИИ КОМАНДАРМ 2 РАНГА ПАВЛОВ ВОЕННЫЙ КОМИССАР АБТУ КР. АРМИИ ДИВИЗИОННЫЙ КОМИССАР КУЛИКОВ.</w:t>
      </w:r>
      <w:r w:rsidRPr="00DB5D0D">
        <w:rPr>
          <w:rStyle w:val="120pt29"/>
          <w:rFonts w:ascii="Times New Roman" w:hAnsi="Times New Roman" w:cs="Times New Roman"/>
          <w:color w:val="000000" w:themeColor="text1"/>
          <w:spacing w:val="0"/>
          <w:lang w:val="ru-RU"/>
        </w:rPr>
        <w:t xml:space="preserve"> [</w:t>
      </w:r>
      <w:r w:rsidRPr="00DB5D0D">
        <w:rPr>
          <w:rFonts w:ascii="Times New Roman" w:hAnsi="Times New Roman" w:cs="Times New Roman"/>
          <w:i w:val="0"/>
          <w:iCs w:val="0"/>
          <w:color w:val="000000" w:themeColor="text1"/>
          <w:lang w:val="ru-RU"/>
        </w:rPr>
        <w:t>РГВА. Ф.31811. Оп.2. Д 1181. Л.85.</w:t>
      </w:r>
      <w:r w:rsidRPr="00DB5D0D">
        <w:rPr>
          <w:rStyle w:val="120pt29"/>
          <w:rFonts w:ascii="Times New Roman" w:hAnsi="Times New Roman" w:cs="Times New Roman"/>
          <w:color w:val="000000" w:themeColor="text1"/>
          <w:spacing w:val="0"/>
          <w:lang w:val="ru-RU"/>
        </w:rPr>
        <w:t>]</w:t>
      </w:r>
      <w:r w:rsidRPr="00DB5D0D">
        <w:rPr>
          <w:rStyle w:val="120pt29"/>
          <w:rFonts w:ascii="Times New Roman" w:hAnsi="Times New Roman" w:cs="Times New Roman"/>
          <w:noProof w:val="0"/>
          <w:color w:val="000000" w:themeColor="text1"/>
          <w:spacing w:val="0"/>
          <w:lang w:val="ru-RU"/>
        </w:rPr>
        <w:t xml:space="preserve"> (11903).</w:t>
      </w:r>
    </w:p>
    <w:p w14:paraId="037BAA1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p>
    <w:p w14:paraId="3A3953A7" w14:textId="77777777" w:rsidR="00A25AD1" w:rsidRPr="00DB5D0D" w:rsidRDefault="00A25AD1" w:rsidP="00DB5D0D">
      <w:pPr>
        <w:pStyle w:val="a3"/>
        <w:rPr>
          <w:color w:val="000000" w:themeColor="text1"/>
          <w:lang w:val="ru-RU"/>
        </w:rPr>
      </w:pPr>
      <w:r w:rsidRPr="00DB5D0D">
        <w:rPr>
          <w:color w:val="000000" w:themeColor="text1"/>
          <w:lang w:val="ru-RU"/>
        </w:rPr>
        <w:t>20 мая 1940 г. начальник Химичес</w:t>
      </w:r>
      <w:r w:rsidRPr="00DB5D0D">
        <w:rPr>
          <w:color w:val="000000" w:themeColor="text1"/>
          <w:lang w:val="ru-RU"/>
        </w:rPr>
        <w:softHyphen/>
        <w:t>кого управления КА комбриг П.Г. Мельников утвердил ТТТ на огнеметный прибор для Т-34, согласованный 26 апреля 1940.</w:t>
      </w:r>
    </w:p>
    <w:p w14:paraId="444B0DF3" w14:textId="77777777" w:rsidR="00A25AD1" w:rsidRPr="00DB5D0D" w:rsidRDefault="00A25AD1" w:rsidP="00DB5D0D">
      <w:pPr>
        <w:pStyle w:val="a3"/>
        <w:rPr>
          <w:color w:val="000000" w:themeColor="text1"/>
          <w:lang w:val="ru-RU"/>
        </w:rPr>
      </w:pPr>
      <w:r w:rsidRPr="00DB5D0D">
        <w:rPr>
          <w:color w:val="000000" w:themeColor="text1"/>
          <w:lang w:val="ru-RU"/>
        </w:rPr>
        <w:t>26 апреля 1940 г. на заводе №183 состоялось совещание, те</w:t>
      </w:r>
      <w:r w:rsidRPr="00DB5D0D">
        <w:rPr>
          <w:color w:val="000000" w:themeColor="text1"/>
          <w:lang w:val="ru-RU"/>
        </w:rPr>
        <w:softHyphen/>
        <w:t>мой которого являлось согласование и уточнение тактико-технических требований на разработку огнеметно-дымового прибора. На совещании присутствовали: от завода №183 - главный инже</w:t>
      </w:r>
      <w:r w:rsidRPr="00DB5D0D">
        <w:rPr>
          <w:color w:val="000000" w:themeColor="text1"/>
          <w:lang w:val="ru-RU"/>
        </w:rPr>
        <w:softHyphen/>
        <w:t>нер С.Н. Махонин, за главного конструктора А.А. Морозов, руководи</w:t>
      </w:r>
      <w:r w:rsidRPr="00DB5D0D">
        <w:rPr>
          <w:color w:val="000000" w:themeColor="text1"/>
          <w:lang w:val="ru-RU"/>
        </w:rPr>
        <w:softHyphen/>
        <w:t>тель конструкторской группы П.П. Васильев; от Химического управле</w:t>
      </w:r>
      <w:r w:rsidRPr="00DB5D0D">
        <w:rPr>
          <w:color w:val="000000" w:themeColor="text1"/>
          <w:lang w:val="ru-RU"/>
        </w:rPr>
        <w:softHyphen/>
        <w:t>ния КА - военинженер 3-го ранга Симонов. В ходе совещания было принято решение отка</w:t>
      </w:r>
      <w:r w:rsidRPr="00DB5D0D">
        <w:rPr>
          <w:color w:val="000000" w:themeColor="text1"/>
          <w:lang w:val="ru-RU"/>
        </w:rPr>
        <w:softHyphen/>
        <w:t>заться от создания аппа</w:t>
      </w:r>
      <w:r w:rsidRPr="00DB5D0D">
        <w:rPr>
          <w:color w:val="000000" w:themeColor="text1"/>
          <w:lang w:val="ru-RU"/>
        </w:rPr>
        <w:softHyphen/>
        <w:t>ратуры дымопуска для Т-34 в рамках будущего договора, а в тактико- тактические требования внесли следующие из</w:t>
      </w:r>
      <w:r w:rsidRPr="00DB5D0D">
        <w:rPr>
          <w:color w:val="000000" w:themeColor="text1"/>
          <w:lang w:val="ru-RU"/>
        </w:rPr>
        <w:softHyphen/>
        <w:t>менения:</w:t>
      </w:r>
    </w:p>
    <w:p w14:paraId="0E630CC8" w14:textId="77777777" w:rsidR="00A25AD1" w:rsidRPr="00DB5D0D" w:rsidRDefault="00A25AD1" w:rsidP="00DB5D0D">
      <w:pPr>
        <w:pStyle w:val="212"/>
        <w:shd w:val="clear" w:color="auto" w:fill="auto"/>
        <w:tabs>
          <w:tab w:val="left" w:pos="578"/>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1. В тексте т. т. т. «танкА-32» читать «танк А-34».</w:t>
      </w:r>
    </w:p>
    <w:p w14:paraId="08EDFE8B" w14:textId="77777777" w:rsidR="00A25AD1" w:rsidRPr="00DB5D0D" w:rsidRDefault="00A25AD1" w:rsidP="00DB5D0D">
      <w:pPr>
        <w:pStyle w:val="212"/>
        <w:shd w:val="clear" w:color="auto" w:fill="auto"/>
        <w:tabs>
          <w:tab w:val="left" w:pos="3796"/>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2. Использовать в качестве второго резер</w:t>
      </w:r>
      <w:r w:rsidRPr="00DB5D0D">
        <w:rPr>
          <w:rFonts w:ascii="Times New Roman" w:hAnsi="Times New Roman" w:cs="Times New Roman"/>
          <w:i w:val="0"/>
          <w:iCs w:val="0"/>
          <w:color w:val="000000" w:themeColor="text1"/>
          <w:sz w:val="16"/>
          <w:szCs w:val="16"/>
        </w:rPr>
        <w:softHyphen/>
        <w:t>вуара (первый рабочий резервуар располагает</w:t>
      </w:r>
      <w:r w:rsidRPr="00DB5D0D">
        <w:rPr>
          <w:rFonts w:ascii="Times New Roman" w:hAnsi="Times New Roman" w:cs="Times New Roman"/>
          <w:i w:val="0"/>
          <w:iCs w:val="0"/>
          <w:color w:val="000000" w:themeColor="text1"/>
          <w:sz w:val="16"/>
          <w:szCs w:val="16"/>
        </w:rPr>
        <w:softHyphen/>
        <w:t>ся в носовой части корпуса) верхний передний бак под горючее (Е= 105 л.), сообщив его с рабочим резервуаром.</w:t>
      </w:r>
    </w:p>
    <w:p w14:paraId="2D4AE294" w14:textId="77777777" w:rsidR="00A25AD1" w:rsidRPr="00DB5D0D" w:rsidRDefault="00A25AD1" w:rsidP="00DB5D0D">
      <w:pPr>
        <w:pStyle w:val="212"/>
        <w:shd w:val="clear" w:color="auto" w:fill="auto"/>
        <w:tabs>
          <w:tab w:val="left" w:pos="516"/>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3. Перелив огнесмеси из верхнего бака в рабочий резервуар, после израсходования из него огнесмеси, должен производиться са</w:t>
      </w:r>
      <w:r w:rsidRPr="00DB5D0D">
        <w:rPr>
          <w:rFonts w:ascii="Times New Roman" w:hAnsi="Times New Roman" w:cs="Times New Roman"/>
          <w:i w:val="0"/>
          <w:iCs w:val="0"/>
          <w:color w:val="000000" w:themeColor="text1"/>
          <w:sz w:val="16"/>
          <w:szCs w:val="16"/>
        </w:rPr>
        <w:softHyphen/>
        <w:t>мотеком или под давлением 0,2-0,3 атм. Время для перезарядки рабочего резервуара не должно превышать 0,5 мин.</w:t>
      </w:r>
    </w:p>
    <w:p w14:paraId="2CE31791" w14:textId="77777777" w:rsidR="00A25AD1" w:rsidRPr="00DB5D0D" w:rsidRDefault="00A25AD1" w:rsidP="00DB5D0D">
      <w:pPr>
        <w:pStyle w:val="212"/>
        <w:shd w:val="clear" w:color="auto" w:fill="auto"/>
        <w:tabs>
          <w:tab w:val="left" w:pos="492"/>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lastRenderedPageBreak/>
        <w:t>4. В связи с использованием под огнесмесь бака для горючего и невозможностью использовать его и рабочего резервуара (распола</w:t>
      </w:r>
      <w:r w:rsidRPr="00DB5D0D">
        <w:rPr>
          <w:rFonts w:ascii="Times New Roman" w:hAnsi="Times New Roman" w:cs="Times New Roman"/>
          <w:i w:val="0"/>
          <w:iCs w:val="0"/>
          <w:color w:val="000000" w:themeColor="text1"/>
          <w:sz w:val="16"/>
          <w:szCs w:val="16"/>
        </w:rPr>
        <w:softHyphen/>
        <w:t>гается внутри танка) для дымосмеси, аппаратуру для дымопуска по данным т. т. т. не разрабатывать.</w:t>
      </w:r>
    </w:p>
    <w:p w14:paraId="1F0BDA50" w14:textId="77777777" w:rsidR="00A25AD1" w:rsidRPr="00DB5D0D" w:rsidRDefault="00A25AD1" w:rsidP="00DB5D0D">
      <w:pPr>
        <w:pStyle w:val="212"/>
        <w:shd w:val="clear" w:color="auto" w:fill="auto"/>
        <w:tabs>
          <w:tab w:val="left" w:pos="487"/>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5. К п. I раз. /т.т.т. добавить: «Конструкция установки монитора (брандспойта) должна обеспечивать легкую и быструю замену мо</w:t>
      </w:r>
      <w:r w:rsidRPr="00DB5D0D">
        <w:rPr>
          <w:rFonts w:ascii="Times New Roman" w:hAnsi="Times New Roman" w:cs="Times New Roman"/>
          <w:i w:val="0"/>
          <w:iCs w:val="0"/>
          <w:color w:val="000000" w:themeColor="text1"/>
          <w:sz w:val="16"/>
          <w:szCs w:val="16"/>
        </w:rPr>
        <w:softHyphen/>
        <w:t>нитора на пулемет радиста (и наоборот) силами экипажа танка».</w:t>
      </w:r>
    </w:p>
    <w:p w14:paraId="24C2F13A" w14:textId="77777777" w:rsidR="00A25AD1" w:rsidRPr="00DB5D0D" w:rsidRDefault="00A25AD1"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Название ОДП изменить на «ОП-34»(огнеметный прибор танка Т-34).</w:t>
      </w:r>
    </w:p>
    <w:p w14:paraId="65AD0074" w14:textId="77777777" w:rsidR="00A25AD1" w:rsidRPr="00DB5D0D" w:rsidRDefault="00A25AD1" w:rsidP="00DB5D0D">
      <w:pPr>
        <w:pStyle w:val="212"/>
        <w:shd w:val="clear" w:color="auto" w:fill="auto"/>
        <w:tabs>
          <w:tab w:val="left" w:pos="478"/>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6. К выполнению пункта 22 раз. I т. т. т. приступить после получе</w:t>
      </w:r>
      <w:r w:rsidRPr="00DB5D0D">
        <w:rPr>
          <w:rFonts w:ascii="Times New Roman" w:hAnsi="Times New Roman" w:cs="Times New Roman"/>
          <w:i w:val="0"/>
          <w:iCs w:val="0"/>
          <w:color w:val="000000" w:themeColor="text1"/>
          <w:sz w:val="16"/>
          <w:szCs w:val="16"/>
        </w:rPr>
        <w:softHyphen/>
        <w:t>ния чертежей хиприцепки от ХИМУКр. Ар.</w:t>
      </w:r>
    </w:p>
    <w:p w14:paraId="38F75FCC" w14:textId="77777777" w:rsidR="00A25AD1" w:rsidRPr="00DB5D0D" w:rsidRDefault="00A25AD1" w:rsidP="00DB5D0D">
      <w:pPr>
        <w:pStyle w:val="212"/>
        <w:shd w:val="clear" w:color="auto" w:fill="auto"/>
        <w:tabs>
          <w:tab w:val="left" w:pos="497"/>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7. Пункт23, раз. I т.т.т. читать: «Для расположения огнеметной аппаратуры и баллонов (Е-13) допускается минимальное уменьше</w:t>
      </w:r>
      <w:r w:rsidRPr="00DB5D0D">
        <w:rPr>
          <w:rFonts w:ascii="Times New Roman" w:hAnsi="Times New Roman" w:cs="Times New Roman"/>
          <w:i w:val="0"/>
          <w:iCs w:val="0"/>
          <w:color w:val="000000" w:themeColor="text1"/>
          <w:sz w:val="16"/>
          <w:szCs w:val="16"/>
        </w:rPr>
        <w:softHyphen/>
        <w:t>ние количества снарядов и пулеметных дисков, но не более 5% бое</w:t>
      </w:r>
      <w:r w:rsidRPr="00DB5D0D">
        <w:rPr>
          <w:rFonts w:ascii="Times New Roman" w:hAnsi="Times New Roman" w:cs="Times New Roman"/>
          <w:i w:val="0"/>
          <w:iCs w:val="0"/>
          <w:color w:val="000000" w:themeColor="text1"/>
          <w:sz w:val="16"/>
          <w:szCs w:val="16"/>
        </w:rPr>
        <w:softHyphen/>
        <w:t>вого комплекта».</w:t>
      </w:r>
    </w:p>
    <w:p w14:paraId="0522E00B" w14:textId="77777777" w:rsidR="00A25AD1" w:rsidRPr="00DB5D0D" w:rsidRDefault="00A25AD1" w:rsidP="00DB5D0D">
      <w:pPr>
        <w:pStyle w:val="212"/>
        <w:shd w:val="clear" w:color="auto" w:fill="auto"/>
        <w:tabs>
          <w:tab w:val="left" w:pos="487"/>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8. Предусмотреть возможность заполнения баллонов сжатым воз</w:t>
      </w:r>
      <w:r w:rsidRPr="00DB5D0D">
        <w:rPr>
          <w:rFonts w:ascii="Times New Roman" w:hAnsi="Times New Roman" w:cs="Times New Roman"/>
          <w:i w:val="0"/>
          <w:iCs w:val="0"/>
          <w:color w:val="000000" w:themeColor="text1"/>
          <w:sz w:val="16"/>
          <w:szCs w:val="16"/>
        </w:rPr>
        <w:softHyphen/>
        <w:t>духом, не снимая их с танка. [РГВА. Ф. 31811. Оп. 2. Д. 1180. Л. 84-85]</w:t>
      </w:r>
    </w:p>
    <w:p w14:paraId="25F9ABB0" w14:textId="77777777" w:rsidR="00A25AD1" w:rsidRPr="00DB5D0D" w:rsidRDefault="00A25AD1" w:rsidP="00DB5D0D">
      <w:pPr>
        <w:pStyle w:val="a3"/>
        <w:rPr>
          <w:color w:val="000000" w:themeColor="text1"/>
          <w:lang w:val="ru-RU"/>
        </w:rPr>
      </w:pPr>
      <w:r w:rsidRPr="00DB5D0D">
        <w:rPr>
          <w:color w:val="000000" w:themeColor="text1"/>
          <w:lang w:val="ru-RU"/>
        </w:rPr>
        <w:t>Договор на изготовление опытного огнеметного прибора ОП-34, получивший номер 153/сб/35, был заключен 9 мая. По этому дого</w:t>
      </w:r>
      <w:r w:rsidRPr="00DB5D0D">
        <w:rPr>
          <w:color w:val="000000" w:themeColor="text1"/>
          <w:lang w:val="ru-RU"/>
        </w:rPr>
        <w:softHyphen/>
        <w:t>вору завод №183 был обязан изготовить и подготовить ОП-34 к по</w:t>
      </w:r>
      <w:r w:rsidRPr="00DB5D0D">
        <w:rPr>
          <w:color w:val="000000" w:themeColor="text1"/>
          <w:lang w:val="ru-RU"/>
        </w:rPr>
        <w:softHyphen/>
        <w:t>лигонным испытаниям не позднее 15 сентября 1940 г. (11900).</w:t>
      </w:r>
    </w:p>
    <w:p w14:paraId="763C406C" w14:textId="77777777" w:rsidR="00A25AD1" w:rsidRPr="00DB5D0D" w:rsidRDefault="00A25AD1" w:rsidP="00DB5D0D">
      <w:pPr>
        <w:pStyle w:val="a3"/>
        <w:rPr>
          <w:color w:val="000000" w:themeColor="text1"/>
          <w:lang w:val="ru-RU"/>
        </w:rPr>
      </w:pPr>
    </w:p>
    <w:p w14:paraId="00806600"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 мая 1940 г. Павлов и военный комиссар управления П.Н. Куликов отправили на имя народного комиссара обороны С.К. Тимошенко </w:t>
      </w:r>
      <w:hyperlink r:id="rId46" w:tgtFrame="_blank" w:history="1">
        <w:r w:rsidRPr="00DB5D0D">
          <w:rPr>
            <w:rStyle w:val="a5"/>
            <w:rFonts w:ascii="Times New Roman" w:hAnsi="Times New Roman"/>
            <w:color w:val="000000" w:themeColor="text1"/>
            <w:sz w:val="16"/>
            <w:szCs w:val="16"/>
          </w:rPr>
          <w:t>письмо № 73084сс</w:t>
        </w:r>
      </w:hyperlink>
      <w:r w:rsidRPr="00DB5D0D">
        <w:rPr>
          <w:rFonts w:ascii="Times New Roman" w:hAnsi="Times New Roman"/>
          <w:color w:val="000000" w:themeColor="text1"/>
          <w:sz w:val="16"/>
          <w:szCs w:val="16"/>
        </w:rPr>
        <w:t xml:space="preserve"> следующего содержания: </w:t>
      </w:r>
    </w:p>
    <w:p w14:paraId="58D5BDBA" w14:textId="77777777" w:rsidR="00942442" w:rsidRPr="00DB5D0D" w:rsidRDefault="00942442"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«Постановлением Комитета Обороны при СНК СССР № 191сс от 4 мая с/г принято решение, опытные образцы танков "А-20", "100", "СМК" и бронеавтомобиля "ЛБ-23" со всеми чертежами и техусловиями сохранить на заводах № 183, № 185, Кировском и ДРО (см. п.5 §§ а, б, в, г). </w:t>
      </w:r>
    </w:p>
    <w:p w14:paraId="1ADC7D76" w14:textId="77777777" w:rsidR="00942442" w:rsidRPr="00DB5D0D" w:rsidRDefault="00942442"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При рассмотрении данного проекта постановления КО мною была представлена другая редакция пункта 5 §§ а, б, в, г – указанные опытные образцы танков и бронеавтомобиля, со всеми чертежами и техусловиями передать НИПолигону АБТУ Красной Армии. </w:t>
      </w:r>
    </w:p>
    <w:p w14:paraId="17C5E499" w14:textId="77777777" w:rsidR="00942442" w:rsidRPr="00DB5D0D" w:rsidRDefault="00942442"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Все опытные образцы оплачены АБТУ К.А., что выражается в сумме 12375 тыс. руб. </w:t>
      </w:r>
    </w:p>
    <w:p w14:paraId="1DDF750F" w14:textId="77777777" w:rsidR="00942442" w:rsidRPr="00DB5D0D" w:rsidRDefault="00942442"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Ценности для заводов эти образцы не представляют, т.к. на производство не приняты, в результате они могут быть разобраны и использованы как металлолом, ибо их сейчас надо ремонтировать. </w:t>
      </w:r>
    </w:p>
    <w:p w14:paraId="209A9220" w14:textId="77777777" w:rsidR="00942442" w:rsidRPr="00DB5D0D" w:rsidRDefault="00942442"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Хранение их на НИПолигоне даст возможность конструкторам танковых заводов, изучая на реальных образцах историю танкостроения СССР, совершенствовать и двигать танковую технику вперед. </w:t>
      </w:r>
    </w:p>
    <w:p w14:paraId="64E488A6"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Представляю проект письма Председателю КО Маршалу Советского Союза тов. Ворошилову. Прошу подписать».</w:t>
      </w:r>
      <w:r w:rsidRPr="00DB5D0D">
        <w:rPr>
          <w:rFonts w:ascii="Times New Roman" w:hAnsi="Times New Roman"/>
          <w:color w:val="000000" w:themeColor="text1"/>
          <w:sz w:val="16"/>
          <w:szCs w:val="16"/>
        </w:rPr>
        <w:t xml:space="preserve"> </w:t>
      </w:r>
    </w:p>
    <w:p w14:paraId="2E5B3CE5" w14:textId="77777777" w:rsidR="00942442" w:rsidRPr="00DB5D0D" w:rsidRDefault="00942442" w:rsidP="00DB5D0D">
      <w:pPr>
        <w:pStyle w:val="ae"/>
        <w:spacing w:before="0" w:after="0"/>
        <w:jc w:val="both"/>
        <w:rPr>
          <w:color w:val="000000" w:themeColor="text1"/>
          <w:sz w:val="16"/>
          <w:szCs w:val="16"/>
        </w:rPr>
      </w:pPr>
      <w:r w:rsidRPr="00DB5D0D">
        <w:rPr>
          <w:bCs/>
          <w:color w:val="000000" w:themeColor="text1"/>
          <w:sz w:val="16"/>
          <w:szCs w:val="16"/>
        </w:rPr>
        <w:t>[РГВА. Ф. 4. Оп. 14. Д. 2831. Л. 24]</w:t>
      </w:r>
    </w:p>
    <w:p w14:paraId="7D3BE8F1"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Также к письму прилагался еще один документ – проект постановления Комитета Обороны об изменении отдельных пунктов Постановления Комитета Обороны № 191сс: </w:t>
      </w:r>
    </w:p>
    <w:p w14:paraId="7E6457E3" w14:textId="77777777" w:rsidR="00942442" w:rsidRPr="00DB5D0D" w:rsidRDefault="00942442"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Пункт 5 §§ а, б, в, г Постановления Комитета Обороны № 191сс от 4 мая с/г – отменить. </w:t>
      </w:r>
    </w:p>
    <w:p w14:paraId="6A8CA6DC" w14:textId="77777777" w:rsidR="00942442" w:rsidRPr="00DB5D0D" w:rsidRDefault="00942442"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Изготовленные промышленностью, но не удовлетворяющие всем новейшим тактико-техническим требованиям: так А-20 колесно-гусеничный с дизелем В-2 и тремя парами ведущих колес; танки прорыва Т-100 и СМК; бронированный автомобиль ЛБ-23, на производство не ставить. </w:t>
      </w:r>
    </w:p>
    <w:p w14:paraId="30EA2874" w14:textId="77777777" w:rsidR="00942442" w:rsidRPr="00DB5D0D" w:rsidRDefault="00942442"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3. В целях изучения и обобщения опыта танкостроения конструкторами заводов и совершенствования танковой техники, опытные образцы со всеми чертежами и техусловиями передать НИПолигону АБТУ Красной Армии».</w:t>
      </w:r>
      <w:r w:rsidRPr="00DB5D0D">
        <w:rPr>
          <w:rFonts w:ascii="Times New Roman" w:hAnsi="Times New Roman"/>
          <w:color w:val="000000" w:themeColor="text1"/>
          <w:sz w:val="16"/>
          <w:szCs w:val="16"/>
        </w:rPr>
        <w:t xml:space="preserve"> </w:t>
      </w:r>
    </w:p>
    <w:p w14:paraId="221EBE83" w14:textId="77777777" w:rsidR="00942442" w:rsidRPr="00DB5D0D" w:rsidRDefault="00942442" w:rsidP="00DB5D0D">
      <w:pPr>
        <w:pStyle w:val="ae"/>
        <w:spacing w:before="0" w:after="0"/>
        <w:jc w:val="both"/>
        <w:rPr>
          <w:color w:val="000000" w:themeColor="text1"/>
          <w:sz w:val="16"/>
          <w:szCs w:val="16"/>
        </w:rPr>
      </w:pPr>
      <w:r w:rsidRPr="00DB5D0D">
        <w:rPr>
          <w:bCs/>
          <w:color w:val="000000" w:themeColor="text1"/>
          <w:sz w:val="16"/>
          <w:szCs w:val="16"/>
        </w:rPr>
        <w:t>[РГВА. Ф. 4. Оп. 14. Д. 2831. Л. 26] (17625).</w:t>
      </w:r>
    </w:p>
    <w:p w14:paraId="107F6F4D" w14:textId="77777777" w:rsidR="00942442" w:rsidRPr="00DB5D0D" w:rsidRDefault="00942442" w:rsidP="00DB5D0D">
      <w:pPr>
        <w:spacing w:after="0" w:line="240" w:lineRule="auto"/>
        <w:jc w:val="both"/>
        <w:rPr>
          <w:rFonts w:ascii="Times New Roman" w:eastAsia="Times New Roman" w:hAnsi="Times New Roman"/>
          <w:color w:val="000000" w:themeColor="text1"/>
          <w:sz w:val="16"/>
          <w:szCs w:val="16"/>
          <w:lang w:eastAsia="ru-RU"/>
        </w:rPr>
      </w:pPr>
    </w:p>
    <w:p w14:paraId="03DD89EF"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w:t>
      </w:r>
    </w:p>
    <w:p w14:paraId="650148B3"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РГВА Фонд 31811 Опись 2 Дело 1181 лист 100 </w:t>
      </w:r>
    </w:p>
    <w:p w14:paraId="7D4EE1AD"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5634A434"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 V 1940 г. </w:t>
      </w:r>
    </w:p>
    <w:p w14:paraId="3C8C508F"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397-2335c </w:t>
      </w:r>
    </w:p>
    <w:p w14:paraId="6DFB467A"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АБТУ Командарму 2-го ранга</w:t>
      </w:r>
    </w:p>
    <w:p w14:paraId="5BCBAFED"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ПАВЛОВУ</w:t>
      </w:r>
    </w:p>
    <w:p w14:paraId="30290FCF"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 сих пор 8-м Отделом не подписаны чертежи на установку рации в башне машины Т-34. Для завода № 183 создалось безвыходное положение, т.к. он не нашел конструктивного решения по размещению рации в носовой части танка, и не может спустить чертежи в производство. </w:t>
      </w:r>
    </w:p>
    <w:p w14:paraId="32504394"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Основными затруднениями по размещению в корпусе являются: </w:t>
      </w:r>
    </w:p>
    <w:p w14:paraId="4C3D5444"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Большой габарит рации 71-ТК-3 и ее аппаратуры. </w:t>
      </w:r>
    </w:p>
    <w:p w14:paraId="67D683D3"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Трудности вывода антенны из корпуса. </w:t>
      </w:r>
    </w:p>
    <w:p w14:paraId="2B8C2EAA"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Затруднения в пользовании натяжным механизмом ленивца, т.к. рация перекроет его, стесненность радиста и т.д. </w:t>
      </w:r>
    </w:p>
    <w:p w14:paraId="3BE6F0A5"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Работу по выводу антенны, независимо от типа рации, завод должен вести, форсировать, и по полученным результатам можно будет принять решение. </w:t>
      </w:r>
    </w:p>
    <w:p w14:paraId="25AACF52"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Сейчас же необходимо дать указание о немедленном утверждении существующего варианта рации в башне. Можно добавить, что основными мотивами, по которым требовалось убрать рацию из башни, были: </w:t>
      </w:r>
    </w:p>
    <w:p w14:paraId="24E04D6A"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неудобство пользования рацией из-за тесноты. </w:t>
      </w:r>
    </w:p>
    <w:p w14:paraId="4C06A011"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перегрузка командира. </w:t>
      </w:r>
    </w:p>
    <w:p w14:paraId="35378DBC"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Но завод сейчас расширил башню на 160 мм, а полной разгрузки командира добиться невозможно, т.к. радист все равно будет связан переговорным устройством с командиром. </w:t>
      </w:r>
    </w:p>
    <w:p w14:paraId="2F452BCE"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Новая рация КРСТБ – войсковые испытания которой только что кончились, по габаритам меньше, значительно упрощает управление и превосходит 71-ТК-3 в эксплоатации. Необходимо предусмотреть возможность размещения ее в новых машинах. </w:t>
      </w:r>
    </w:p>
    <w:p w14:paraId="0BAE54C2"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Главспецмаша НКСМ подпись (Суренян)</w:t>
      </w:r>
    </w:p>
    <w:p w14:paraId="39F63E90"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документе резолюция Б.М. Коробкова: «8. Срочно дайте наши заключения, согласно указаний командарма. подпись Б.М. Коробкова 22.5.40»</w:t>
      </w:r>
    </w:p>
    <w:p w14:paraId="36CAFAF9"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 2 экз. </w:t>
      </w:r>
    </w:p>
    <w:p w14:paraId="240AE213"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 Масальская </w:t>
      </w:r>
    </w:p>
    <w:p w14:paraId="508FAE8B" w14:textId="77777777" w:rsidR="00B97F49" w:rsidRPr="00DB5D0D" w:rsidRDefault="00B97F4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3083 (18158).</w:t>
      </w:r>
    </w:p>
    <w:p w14:paraId="3327FAD1" w14:textId="77777777" w:rsidR="00B97F49" w:rsidRPr="00DB5D0D" w:rsidRDefault="00B97F49" w:rsidP="00DB5D0D">
      <w:pPr>
        <w:spacing w:after="0" w:line="240" w:lineRule="auto"/>
        <w:jc w:val="both"/>
        <w:rPr>
          <w:rFonts w:ascii="Times New Roman" w:hAnsi="Times New Roman"/>
          <w:color w:val="000000" w:themeColor="text1"/>
          <w:sz w:val="16"/>
          <w:szCs w:val="16"/>
        </w:rPr>
      </w:pPr>
    </w:p>
    <w:p w14:paraId="04A3F9E0" w14:textId="77777777" w:rsidR="00B00D28" w:rsidRPr="00DB5D0D" w:rsidRDefault="00B00D28"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20 мая 1040 К.Е. Ворошилов подписал новое постановление, накануне одобренное Политбюро.</w:t>
      </w:r>
    </w:p>
    <w:p w14:paraId="21B5A878" w14:textId="77777777" w:rsidR="00B00D28" w:rsidRPr="00DB5D0D" w:rsidRDefault="00B00D28"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Оно разрешило перевести из Балтийского моря в состав Северного флота в навигацию 1940 года из состава Краснознаменного Балтийского флота и числа сдаваемых промышленностью 6 больших подводных лодок типа «К» одну большую подводную лодку типа «Д», один сетевой заградитель.</w:t>
      </w:r>
    </w:p>
    <w:p w14:paraId="510CCFDF" w14:textId="77777777" w:rsidR="00B00D28" w:rsidRPr="00DB5D0D" w:rsidRDefault="00B00D28"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Желание пополнить Северный флот только что построенными подводными лодками сыграло с советским руководством злую шутку. Буквально накануне начала операции наркому ВМФ пришлось отдать приказ об отмене перевода большей части ожидаемых в Полярном подводных лодок. Как неожиданно выяснилось, судостроительные заводы, сорвав сроки, не успели сдать их. И Политбюро пришлось принимать повторное решение об их переводе на Северный флот уже 27 февраля 1941 года (20467).</w:t>
      </w:r>
    </w:p>
    <w:p w14:paraId="738F7467" w14:textId="77777777" w:rsidR="00B00D28" w:rsidRPr="00DB5D0D" w:rsidRDefault="00B00D28" w:rsidP="00DB5D0D">
      <w:pPr>
        <w:spacing w:after="0" w:line="240" w:lineRule="auto"/>
        <w:jc w:val="both"/>
        <w:rPr>
          <w:rFonts w:ascii="Times New Roman" w:hAnsi="Times New Roman"/>
          <w:color w:val="0070C0"/>
          <w:sz w:val="16"/>
          <w:szCs w:val="16"/>
        </w:rPr>
      </w:pPr>
    </w:p>
    <w:p w14:paraId="23E65F67" w14:textId="2E83DBAA" w:rsidR="00B00D28" w:rsidRPr="00DB5D0D" w:rsidRDefault="00B00D28" w:rsidP="00DB5D0D">
      <w:pPr>
        <w:spacing w:after="0" w:line="240" w:lineRule="auto"/>
        <w:jc w:val="both"/>
        <w:rPr>
          <w:rFonts w:ascii="Times New Roman" w:hAnsi="Times New Roman"/>
          <w:i/>
          <w:iCs/>
          <w:color w:val="000000" w:themeColor="text1"/>
          <w:sz w:val="16"/>
          <w:szCs w:val="16"/>
        </w:rPr>
      </w:pPr>
      <w:r w:rsidRPr="00DB5D0D">
        <w:rPr>
          <w:rFonts w:ascii="Times New Roman" w:hAnsi="Times New Roman"/>
          <w:i/>
          <w:iCs/>
          <w:color w:val="000000" w:themeColor="text1"/>
          <w:sz w:val="16"/>
          <w:szCs w:val="16"/>
        </w:rPr>
        <w:t>Армия:</w:t>
      </w:r>
    </w:p>
    <w:p w14:paraId="4B39DD07" w14:textId="77777777" w:rsidR="00B00D28" w:rsidRPr="00DB5D0D" w:rsidRDefault="00B00D28" w:rsidP="00DB5D0D">
      <w:pPr>
        <w:spacing w:after="0" w:line="240" w:lineRule="auto"/>
        <w:jc w:val="both"/>
        <w:rPr>
          <w:rFonts w:ascii="Times New Roman" w:hAnsi="Times New Roman"/>
          <w:i/>
          <w:iCs/>
          <w:color w:val="000000" w:themeColor="text1"/>
          <w:sz w:val="16"/>
          <w:szCs w:val="16"/>
        </w:rPr>
      </w:pPr>
    </w:p>
    <w:p w14:paraId="6B39AF4E"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мая 1940 г.</w:t>
      </w:r>
    </w:p>
    <w:p w14:paraId="1F07275E"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ЗАПИСЬ ВОПРОСОВ, ВЫЯСНЕННЫХ СОТРУДНИКОМ ПЯТОГО УПРАВЛЕНИЯ У НЕМЕЦКИХ ЛЕТЧИКОВ (ВСТРЕЧА НА АЭРОДРОМЕ 19 МАЯ 1940 г. И СОВМЕСТНЫЙ ОБЕД)</w:t>
      </w:r>
    </w:p>
    <w:p w14:paraId="707E0781"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мая 1940 г.</w:t>
      </w:r>
    </w:p>
    <w:p w14:paraId="2DF2CF35"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Дополнение к записям от 29.4.40 г., 3.5.40 г., 4.5.40 г. и 5.5.40 г.</w:t>
      </w:r>
    </w:p>
    <w:p w14:paraId="5703FB18"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Раздел 4. НАСТУПЛЕНИЕ НАЦИСТСКОЙ ГЕРМАНИИ НА ЗАПАДЕ</w:t>
      </w:r>
    </w:p>
    <w:p w14:paraId="4EC4B590"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1.При взятии долговременных огневых точек в Бельгии немецкие войска применяли не только огнеметы, но и ОВ.</w:t>
      </w:r>
    </w:p>
    <w:p w14:paraId="6B763A17"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Награждение Витциге железным крестом объясняется как раз тем, что он разработал и провел операцию по применению ОВ при взятии форта ЭбенЭмайль под Льежем. При этом самолеты Физелер Шторх приземлились на территории самого форта. Одурманивающий газ, по словам немцев, лд</w:t>
      </w:r>
    </w:p>
    <w:p w14:paraId="319F69F6"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ок около 2 часов и не особенно вредит здоровью в дальнейшем.</w:t>
      </w:r>
    </w:p>
    <w:p w14:paraId="4BB0C188"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 Основой успеха внезапного удара 10 мая по аэродромам союзников послужила методическая работа разведывательной авиации в течение предыдущих нескольких месяцев. Были засняты и изучены не только все аэродромы и посадочные площадки, но также типы самолетов, стоящих на том или ином аэродроме, и даже распорядок рабочего дня. На основе этого был выработан конкретный план удара по аэродромам. Германскому командованию был известен также и тот факт, что часть </w:t>
      </w:r>
      <w:r w:rsidRPr="00DB5D0D">
        <w:rPr>
          <w:rFonts w:ascii="Times New Roman" w:hAnsi="Times New Roman"/>
          <w:color w:val="0070C0"/>
          <w:sz w:val="16"/>
          <w:szCs w:val="16"/>
        </w:rPr>
        <w:lastRenderedPageBreak/>
        <w:t>голландских аэродромов была занята частями **английских ВВС накануне 10 мая. Для удара по аэродромам была использована почти вся германская авиация. На дальнем радиусе действовали самолеты Хейнкель-Ш, на более близком Юнкерс-88. Еще ближе использованы были самолеты Юнкерс-87 и тяжелые истребители.</w:t>
      </w:r>
    </w:p>
    <w:p w14:paraId="56FD5CF7"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 налете на самый отдаленный из бомбардированных аэродромов (Орлеан) операция развернулась следующим образом. 18 немецких самолетов типа Хейнкель-Ш подошли к аэродрому на рассвете на высоте 1000 метров.</w:t>
      </w:r>
    </w:p>
    <w:p w14:paraId="50E45269"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Самолеты шли звеньями по три самолета. На старте стояло 24 французских бомбардировщика типа Лиоре-45. У части самолетов были заведены моторы. </w:t>
      </w:r>
    </w:p>
    <w:p w14:paraId="623A6873"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Бомбардирование производилось с горизонтального полета. Специальных звеньев для подавления французской ПВО выделено не было.</w:t>
      </w:r>
    </w:p>
    <w:p w14:paraId="75C5E99A"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Первое звено самолетов Хейнкель-Ш получило попадания от французской ПВО, но сбросить бомбы все же успело. После падения первых бомб на аэродроме поднялась паника, и ни один из самолетов последующих звеньев подбит не был. Были уничтожены французские самолеты на старте и в ангарах.</w:t>
      </w:r>
    </w:p>
    <w:p w14:paraId="449FB361"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3. Для защиты от немецких посадочных воздушных десантов, часть которых проводилась почти в темноте, союзники применили довольно эффективный способ, на который нарвалось несколько немецких посадочных десантов: аэродромы и посадочные площадки заставлялись на ночь несколькими десятками легковых автомобилей, на которые наталкивались самолеты, производившие посадку. На светлое время суток автомобили убираются. </w:t>
      </w:r>
    </w:p>
    <w:p w14:paraId="3DB16296"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Применение этого способа заставило немцев перейти на высадку десантов днем.</w:t>
      </w:r>
    </w:p>
    <w:p w14:paraId="591FDFDE"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Большинство воздушных десантов в Норвегии было выполнено способом посадочного десанта. Значительная часть посадочных есантов была выполнена без обеспечения с воздуха. Занятие аэродрома Осло было выполнено следующим образом: первое звено пыталось произвести посадку, но один самолет был подбит, а командир самолета убит. Тогда остальные сделали круг над аэродромом и обстреляли его из пулеметов, после чего остальные самолеты приземлились беспрепятственно.</w:t>
      </w:r>
    </w:p>
    <w:p w14:paraId="36DC3D83"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Примечание А. Дьяконова. Французские газеты по нейтральным источникам рисуют занятие аэродрома Осло несколько иначе. Над аэродромом появились немецкие самолеты типа Юнкерс-52 в группах по 5 машин.</w:t>
      </w:r>
    </w:p>
    <w:p w14:paraId="3A3099B7"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Аэродром Осло позволяет одновременную посадку не более 3 самолетов.</w:t>
      </w:r>
    </w:p>
    <w:p w14:paraId="7585D420"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 первой группы отделилось и произвело посадку звено из 2 самолетов.</w:t>
      </w:r>
    </w:p>
    <w:p w14:paraId="2A27B6E1"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 рулении по земле немцы стреляли во все стороны из турельных самолетов, хотя сопротивления не было. Одновременно из самолетов выскакивали солдаты. Остальные группы перед посадкой также разбивались на звенья из 2 и 3 самолетов. Потерпевшие аварию самолеты оттаскивались с посадочного поля тракторами, захваченными на аэродроме.</w:t>
      </w:r>
    </w:p>
    <w:p w14:paraId="509F94E7"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 этом раненые выгружались только после того, как самолет был убран в сторону и не мешал посадке других. Прибывших встречал и инструктировал директор местного общества германской компании «Люфтганза», оказавшийся полковником германской авиации. Всего за 2 часа было высажено 1500 человек с винтовками, пулеметами и мелкими орудиями.</w:t>
      </w:r>
    </w:p>
    <w:p w14:paraId="1520407B"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Захват аэродромов в Голландии, и особенно Бельгии, проходил в более сложных условиях. Здесь чаще всего сначала высаживались парашютисты.</w:t>
      </w:r>
    </w:p>
    <w:p w14:paraId="11566B01"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Почти всюду применялось обеспечение с воздуха (истребители, тяжелые истребители, пикирующие бомбардировщики).</w:t>
      </w:r>
    </w:p>
    <w:p w14:paraId="3B53C14E"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На прибывших германских самолетах обращает на себя внимание полная стандартизация целого ряда деталей, хотя самолеты принадлежат к разным типам и изготовляются разными фирмами. Оказывается, на каждом заводе есть специальная стандартизационная комиссия. Если данный завод вводит в авиационную технику какую-либо деталь, не предусмотренную общегерманским стандартом, он представляет эту деталь на утверждение высшей стандартизационной комиссии, после чего стандарт становится обязательным для всех фирм. Благодаря этому, ряд деталей на совершенно различных самолетах взаимозаменяем.</w:t>
      </w:r>
    </w:p>
    <w:p w14:paraId="172BB32B"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Угол пикирования при применении пикирующих бомбардировщиков может меняться. Чем меньше размер цели, тем больше угол пикирования.</w:t>
      </w:r>
    </w:p>
    <w:p w14:paraId="02852655"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Нормальный угол пикирования 40, максимальный 80. Начало пикирования 3—4 тыс. метров, начало вывода 1000 м, конец 600 м (все цифры ориентировочные). На самолете Юнкерс-88 вывод из пикирования автоматизирован.</w:t>
      </w:r>
    </w:p>
    <w:p w14:paraId="491C36B6"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Новый двухмоторный самолет Фокке Вульф-187 предполагается использовать в качестве тяжелого истребителя. Максимальная его скорость 670 км/час. В частях самолета пока нет. Выпущена малая серия. Из этой серии 4 самолета находятся в системе ПВО Бремена, где находятся заводы Фокке Вульф. В боях они еще не участвовали.</w:t>
      </w:r>
    </w:p>
    <w:p w14:paraId="5A6BC7EC"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На заводских аэродромах созданы вспомогательные истребительные части из летчиков-испытателей заводов.</w:t>
      </w:r>
    </w:p>
    <w:p w14:paraId="73E1977A"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9. Основной причиной пожара самолета является попадание в баки. Новые немецкие баки полностью предохраняют от пожара при попадании пули. </w:t>
      </w:r>
    </w:p>
    <w:p w14:paraId="307D0EFE"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английских самолетах типа Веллингтон отмечены случаи пожара от попадания в хвостовое оперение, так как англичане до сего времени применяют горючие лаки для покрытия самолетов.</w:t>
      </w:r>
    </w:p>
    <w:p w14:paraId="48B500DD"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10. Появления на фронте новых американских самолетов, в частности Кертис-40, пока не отмечено. Французский самолет Бреге-690, видимо, еще не выпущен крупными сериями. Этот самолет задуман в качестве противника Мессершмитт-110, но уступает ему по качествам. Появления каких-либо новых самолетов у англичан не отмечено. Самолет «Дефиант» на фронте не появлялся. </w:t>
      </w:r>
    </w:p>
    <w:p w14:paraId="62EEE8E9"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Бомбардировщики «Веллингтон» имеют скорость не более 320 км/час.</w:t>
      </w:r>
    </w:p>
    <w:p w14:paraId="026A2F8E"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Англичане пока почти не проводили серьезных попыток бомбардировать Германию. По-видимому, основной задачей их полетов к германскому побережью являлось наблюдение за германскими морскими силами. В тех случаях, когда англичане проводили бомбардировку, они производили ее с высоты 300—400 м. Большинство попыток было сделано ночью. Меткость английских бомбардировщиков плохая.</w:t>
      </w:r>
    </w:p>
    <w:p w14:paraId="3EAF0632"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По заявлению главного конструктора фирмы Фокке Вульф до настоящего времени в Румынию отправлено 50 самолетов Фокке Вульф-58 тренировочно-бомбардировочного варианта. В Турцию доставлено 28 самолетов того же типа и значительное количество учебных самолетов Штиглиц. Некоторое количество самолетов Фокке Вульф-58 доставлено в Венгрию и Швецию. Югославия также заказала эти самолеты, но они еще не доставлены.</w:t>
      </w:r>
    </w:p>
    <w:p w14:paraId="5B8D7B11"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В Норвегии со стороны немцев действуют главным образом баварские и австрийские горные части. Система подготовки горных частей значительно отличается от обычной. Особое внимание уделяется развитию самостоятельности и инициативы, меньше требовательность к внешне показной стороне дисциплины.</w:t>
      </w:r>
    </w:p>
    <w:p w14:paraId="5DB70FEB"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Полковник (ДЬЯКОНОВ)</w:t>
      </w:r>
    </w:p>
    <w:p w14:paraId="52EA94EB"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Имеется помета секретариата НКО: «Доложено 20.05. Приказано вызвать </w:t>
      </w:r>
    </w:p>
    <w:p w14:paraId="0C5FE074"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Дьяконова. Д.».</w:t>
      </w:r>
    </w:p>
    <w:p w14:paraId="553276E4"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РГВА. Ф. 33987. Оп. 3. Д. 1305. Л. 361с-364с. Отпечатано 17 экземпляров. Машинопись. </w:t>
      </w:r>
    </w:p>
    <w:p w14:paraId="0C07DDE0"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Копия. Автограф (20488).</w:t>
      </w:r>
    </w:p>
    <w:p w14:paraId="24D79412" w14:textId="77777777" w:rsidR="00B00D28" w:rsidRPr="00DB5D0D" w:rsidRDefault="00B00D28" w:rsidP="00DB5D0D">
      <w:pPr>
        <w:spacing w:after="0" w:line="240" w:lineRule="auto"/>
        <w:jc w:val="both"/>
        <w:rPr>
          <w:rFonts w:ascii="Times New Roman" w:hAnsi="Times New Roman"/>
          <w:color w:val="0070C0"/>
          <w:sz w:val="16"/>
          <w:szCs w:val="16"/>
        </w:rPr>
      </w:pPr>
    </w:p>
    <w:p w14:paraId="138ECB99"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мая 1940 г. в справке от об итогах работы за 10 лет по парашютно-десантной службе РККА указано, что за 1930-1940 гг. было подготовлено 80.072 парашютистов в Красной Армии, 1.359 – в ВМФ, 113.637 – в Осоавиахиме,6.044 – в Гражданском воздушном флоте, 1.112 – в Авиации НКВД. Эти 202.224 парашютиста совершили 673.266 прыжков. В 1940 г. в СССР имелось три десантные бригады и два десантных полка, личный состав которых только за 1939 г. совершил 66.000 прыжков с самолетов (Архив ЦДА и К. Ф. 50. Оп. 1. Д. 3. Л. 40) (21402).</w:t>
      </w:r>
    </w:p>
    <w:p w14:paraId="682560F4" w14:textId="77777777" w:rsidR="00B00D28" w:rsidRPr="00DB5D0D" w:rsidRDefault="00B00D28" w:rsidP="00DB5D0D">
      <w:pPr>
        <w:spacing w:after="0" w:line="240" w:lineRule="auto"/>
        <w:jc w:val="both"/>
        <w:rPr>
          <w:rFonts w:ascii="Times New Roman" w:hAnsi="Times New Roman"/>
          <w:color w:val="0070C0"/>
          <w:sz w:val="16"/>
          <w:szCs w:val="16"/>
        </w:rPr>
      </w:pPr>
    </w:p>
    <w:p w14:paraId="1FCDE21E" w14:textId="57E6C5AA"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3868699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8A7DE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 мая 1940 г. Справка Наркомвнешторга СССР о проблемах импорта из США </w:t>
      </w:r>
    </w:p>
    <w:p w14:paraId="7B00B5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связи с военной обстановкой и распространением морального эмбарго на Советский Союз, размещение наших заказов в США и поставки уже размещенных наталкиваются на ряд препятствий, как со стороны правительства США, так и отдельных фирм (см. приложение в конце и справку121 в деле № 8030 США). Условия размещения наших заказов в США ухудшились. При размещении наших заказов теперь требуется внести 20% аванса и безотзывный аккредитив. Если фирма по рекомендации правительства США откажется выполнять принятый заказ, то 10% аванса остается в пользу фирмы. </w:t>
      </w:r>
    </w:p>
    <w:p w14:paraId="6543E8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связи с вышеуказанным возникает вопрос о целесообразности перенесения нашего импорта из США на Германию на основе торгово- хозяйственного соглашения СССР с Германией. </w:t>
      </w:r>
    </w:p>
    <w:p w14:paraId="793D63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Но размещение наших заказов в Германии ограничивается, во-первых, размером кредитного соглашения между СССР и Германией, во- вторых, условиями хозяйственного соглашения (номенклатура товаров) и, в-третьих, загрузкой немецкой промышленности внутренними заказами. </w:t>
      </w:r>
    </w:p>
    <w:p w14:paraId="4310D7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Частично немцы принимают наши заказы (кроме указанных в соглашении), желая получить валюту. </w:t>
      </w:r>
    </w:p>
    <w:p w14:paraId="781A0D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Частично наши импортные объединения уже перенесли заказы из США в Германию, Станкоимпорт, например, перенес заказ 24 станков. </w:t>
      </w:r>
    </w:p>
    <w:p w14:paraId="1A8FE1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Условия размещения наших заказов в Германии нельзя назвать хорошими, что видно из следующих данных по объединениям: Срок выполнения вышеуказанных 24 металлообрабатывающих станков для Станкоимпорта по сравнению с США в два раза длиннее, цена же выше на 20-30%. Гидравлические пресса, например, тоже дороже на 30%, думкеры на 20%. Но при размещении заказов в Германии не требуется аванс и безотзывный аккредитив. Цены в США по сравнению с 1939 г. повысились на 15-20%, и сроки поставок удлинились на 6 месяцев. Цены на электроды в Германии по сравнению с США выше на 20%, а сроки выполнения заказов длиннее. </w:t>
      </w:r>
    </w:p>
    <w:p w14:paraId="1CC864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Размещение заказов Машиноимпорта в США проходит с трудом, так как, несмотря на внесенный аванс, выполнение заказов фирмами не гарантируется. Так было с заказом катализаторной установки "Лумс". Немецкие же фирмы не интересуются заказами катализаторов и компрессоров, поэтому перенести этот заказ из США в Германию трудно. </w:t>
      </w:r>
    </w:p>
    <w:p w14:paraId="4EC906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Большинство заказов инженерного отдела подпадают под "моральное эмбарго", отсюда все трудности. Перенести заказы в Германию трудно по следующим причинам: во-первых, германская авиационная промышленность загружена внутренними заказами; во-вторых, она не имеет в достаточном количестве необходимого сырья, для того чтобы принимать наши заказы; в-третьих, германские самолеты, моторы и тому подобное имеют другой принцип, чем американские, поэтому наш импорт из США здесь нельзя заменить импортом из Германии. </w:t>
      </w:r>
    </w:p>
    <w:p w14:paraId="111B59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Импорт книг из США по техническим вопросам сократили на 30% по сравнению с I кварталом 1939 г. и перенесли его на Германию. </w:t>
      </w:r>
    </w:p>
    <w:p w14:paraId="6142DF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Можно ограничиться приведенными примерами, так как в остальных объединениях приблизительно одинаковое положение с перенесением нашего импорта из США в Германию. </w:t>
      </w:r>
    </w:p>
    <w:p w14:paraId="5D72D2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 всего сказанного ясно, что перенесение наших заказов из США в Германию возможно только частично, по некоторым заказам, например, нефтеоборудованию, авиационным новинкам, совсем невозможно. Другими словами, торгово-хозяйственное соглашение с Германией не может разрешить проблему нашего импорта из США на данном этапе. </w:t>
      </w:r>
    </w:p>
    <w:p w14:paraId="18EF4E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последнее время имели место следующие факты:</w:t>
      </w:r>
    </w:p>
    <w:p w14:paraId="2FA816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По инженерному отделу американские фирмы не принимают новых заказов, фирма "Райт" запретила нашим инженерам стажировку на своих предприятиях. </w:t>
      </w:r>
    </w:p>
    <w:p w14:paraId="5E849B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конце 1939 г. ряд американских фирм отказались принять наши заказы на авиационные приборы. </w:t>
      </w:r>
    </w:p>
    <w:p w14:paraId="2044CA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Комиссия Наркомата топливной промышленности вернулась из США, не разместив заказы по нефтеоборудованию в связи с применением "морального эмбарго". </w:t>
      </w:r>
    </w:p>
    <w:p w14:paraId="0A1C71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По Техноимпорту авиационное оборудование авиационные фирмы США выполнили, но отказались передать его. </w:t>
      </w:r>
    </w:p>
    <w:p w14:paraId="004B42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Американские фирмы на основании "морального эмбарго" отказались принять заказ на электроды. </w:t>
      </w:r>
    </w:p>
    <w:p w14:paraId="6247D0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Исполнители Алексеев Рвачев </w:t>
      </w:r>
    </w:p>
    <w:p w14:paraId="78142A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 413. On. 13. Д. 2870. Л. 2-3. Подлинник (12152).</w:t>
      </w:r>
    </w:p>
    <w:p w14:paraId="38A1539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010777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2C2C44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4F0A14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немецкие войска захватили Амьен (Франция) (4962).</w:t>
      </w:r>
    </w:p>
    <w:p w14:paraId="4E68C1B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3DC72E8"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20th, 1940: In the West, units of XIX. Panzerkorps (Guderian) capture Amiens and advance to the Channel coast at Abbeville, separating the British Expeditionary Force (Gort) and the Belgian Army from the French forces to the south (3819).</w:t>
      </w:r>
    </w:p>
    <w:p w14:paraId="5B30F78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0961B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части 19ТГ Гудериана захватила Амьен и продвинулась к Абевилю, отделив Британский экспедиционный корпус от бельгийской армии и французских сил на юге (3819).</w:t>
      </w:r>
    </w:p>
    <w:p w14:paraId="19AA666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265F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Гудериан утром вышел к морю близ Абвиля и отрезал левое крыло армии союзников в Бельгии (2536,99).</w:t>
      </w:r>
    </w:p>
    <w:p w14:paraId="102687F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3AB7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20 мая 1940 развивая наступление, германские части вышли к побережью Ла-Манша, стремясь отрезать путь в эвакуации отступающих британских частей морем (3871).</w:t>
      </w:r>
    </w:p>
    <w:p w14:paraId="349E2F6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8E032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английская полиция арестовала в Лондоне сотрудника американского посольства Тайлера Кента, который продал немцам секретные английские шифры (4962).</w:t>
      </w:r>
    </w:p>
    <w:p w14:paraId="6A1AA1A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AB7E134" w14:textId="77777777" w:rsidR="00560CA7" w:rsidRPr="00DB5D0D" w:rsidRDefault="00560C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20 мая</w:t>
      </w:r>
      <w:r w:rsidRPr="00DB5D0D">
        <w:rPr>
          <w:rFonts w:ascii="Times New Roman" w:hAnsi="Times New Roman"/>
          <w:color w:val="000000" w:themeColor="text1"/>
          <w:sz w:val="16"/>
          <w:szCs w:val="16"/>
        </w:rPr>
        <w:t xml:space="preserve"> в 1940 году премьер-министр Великобритании У.Черчилль писал Рузвельту: «…я не могу отвечать за моих преемников, которые в условиях крайнего отчаянья и беспомощности могут оказаться вынужденными выполнить волю Германии» (14897).</w:t>
      </w:r>
    </w:p>
    <w:p w14:paraId="1B474C74" w14:textId="77777777" w:rsidR="00560CA7" w:rsidRPr="00DB5D0D" w:rsidRDefault="00560CA7" w:rsidP="00DB5D0D">
      <w:pPr>
        <w:spacing w:after="0" w:line="240" w:lineRule="auto"/>
        <w:jc w:val="both"/>
        <w:rPr>
          <w:rFonts w:ascii="Times New Roman" w:hAnsi="Times New Roman"/>
          <w:color w:val="000000" w:themeColor="text1"/>
          <w:sz w:val="16"/>
          <w:szCs w:val="16"/>
        </w:rPr>
      </w:pPr>
    </w:p>
    <w:p w14:paraId="194CB95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F6EDEC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B6442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вышел приказ 11 ГУ НКАП N 17:</w:t>
      </w:r>
    </w:p>
    <w:p w14:paraId="605E68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Приказа НКАП N 147с от 28 марта 1940:</w:t>
      </w:r>
    </w:p>
    <w:p w14:paraId="20DE89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Для проверки состояния готовности самолета ББ-2М-88 конструкции П.О.С. к 1 вылету назначаю комиссию..." (2031,32).</w:t>
      </w:r>
    </w:p>
    <w:p w14:paraId="145557A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91010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секр. КО Сафонову письмо с просьбой дать заключение по самолету ББ-22 с 2М-103 (1165).</w:t>
      </w:r>
    </w:p>
    <w:p w14:paraId="6859147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723D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А.И.Ш. писал И.В.С., В.М.М., К.Е.В. и Н.А.Вознесенскому письмо N 2306 о том, что постановлением КО N 209cс от 20 мая 1940 НКАП был обязан представить предложения о внедрении в производство мотора М-88 на одном из действующих заводов других Наркоматов. Для этой цели просим передать НКАП Уфимский завод НКСМ (1292,125).</w:t>
      </w:r>
    </w:p>
    <w:p w14:paraId="05C023C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29EE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был утвержден макет 103 2АМ-35 А.Н.Т. (2090,158).</w:t>
      </w:r>
    </w:p>
    <w:p w14:paraId="5EA6D0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A79B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закончили совместные испытания 100-2 2М-105, которые шли с 7 мая 1940, т.к. машину разбили в катастрофе (2090,234).</w:t>
      </w:r>
    </w:p>
    <w:p w14:paraId="790683C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9FB2F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года начальник ВВС командарм 2 ранга Смушкевич писал письмо № 466071сс секретарю ЦК ВКП(б) Сталину И.В.</w:t>
      </w:r>
    </w:p>
    <w:p w14:paraId="046108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о самолете "СТО".</w:t>
      </w:r>
    </w:p>
    <w:p w14:paraId="199935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этого самолета в варианте пикирующего и горизонтального бомбардировщика будет готов 22 мая 1940 года.</w:t>
      </w:r>
    </w:p>
    <w:p w14:paraId="25A22B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мы сумеем окончательно по этому самолету доложить Вам 22 мая ночью, либо 23 мая 1940 года. Устройство и схема всего самолета остается по-старому.</w:t>
      </w:r>
    </w:p>
    <w:p w14:paraId="5967BB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Переделка будет следующая:</w:t>
      </w:r>
    </w:p>
    <w:p w14:paraId="7B8C2B1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Будет снята герметика и резко улучшен обзор экипажа, особенно летнаба.</w:t>
      </w:r>
    </w:p>
    <w:p w14:paraId="4B5EDE3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Наружная подвеска бомб приспособленная для бомбардирования с пикирования будет состоять из четырех замков, на которых можно будет подвесить либо 4 бомбы по 250 кг, либо 2 бомбы по 500 кг.</w:t>
      </w:r>
    </w:p>
    <w:p w14:paraId="117EAB9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Внутренняя подвеска бомб (внутри фюзеляжа), вместо ныне имеющихся четырех замков для подвески четырех бомб по 100 кг будет 6 замков по 100 кг – всего на 600 кг бомб.</w:t>
      </w:r>
    </w:p>
    <w:p w14:paraId="43894C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бомбы рассчитаны на горизонтальное бомбометание.</w:t>
      </w:r>
    </w:p>
    <w:p w14:paraId="0540B8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в 1 полет можно будет подвесить на 1 самолет 1000 кг бомб.</w:t>
      </w:r>
    </w:p>
    <w:p w14:paraId="1F035A9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будет состоять из трех человек – летчик, летнаб и стрелок.</w:t>
      </w:r>
    </w:p>
    <w:p w14:paraId="5EB6AA9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сначала Петляков убеждал, что можно будет поставить только 1 подвижной пулемет 7,6 мм спереди и пулеметную спарку 7,6 мм на средней верхней установке. Вчера я звонил и узнал, что Петляков с конструкторами проработали установку еще 1 пулемета снизу для обстрела нижней задней полусферы. Следовательно всего будет 3 пульустановки на четыре пулемета.</w:t>
      </w:r>
    </w:p>
    <w:p w14:paraId="20BC5A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1400-1600 км.</w:t>
      </w:r>
    </w:p>
    <w:p w14:paraId="74F5FC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эти данные окажутся хорошо проработанными, то самолет "СОТКА" сможет быть средним пикирующим и горизонтальным бомбардировщиком.</w:t>
      </w:r>
    </w:p>
    <w:p w14:paraId="1BE24B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том, какой из самолетов "СОТКА", либо самолет СПБ Поликарпова подойдет лучше для пикирующего бомбардировщика, можно будет доложить в ближайшие дни (7625, 160-161).</w:t>
      </w:r>
    </w:p>
    <w:p w14:paraId="5366F17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4958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в ходе заводских испытаний И-200 А.И.М, которые проходили с 31 марта по 17 августа 1940, на И-200-1 было выполнено два полета на снятие скоростей по высотам (18 и 19 по счету) (2988).</w:t>
      </w:r>
    </w:p>
    <w:p w14:paraId="2BC9F97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E7523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21 мая 1940 в Контрольном листе учета выполнения постановления КО СНК СССР № 111сс от 4 марта 1940 г. представителем КО СНК СССР - контролером Вахрушевым была сделана запись:</w:t>
      </w:r>
    </w:p>
    <w:p w14:paraId="6EDFBF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с М-107</w:t>
      </w:r>
    </w:p>
    <w:p w14:paraId="18BC3E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Отсутствуют данные по мотору М-107п, что задерживает модификацию. КБ приняло решение поставить М-105 с двухступенчатым нагнетателем и получить полетные характеристики что и с мотором М-107 (10395,38).</w:t>
      </w:r>
    </w:p>
    <w:p w14:paraId="08B0E32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063A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в Контрольном листе учета выполнения постановления КО СНК СССР № 112сс от 4 марта 1940 г. представителем КО СНК СССР - контролером Вахрушевым была сделана запись:</w:t>
      </w:r>
    </w:p>
    <w:p w14:paraId="5AEE3F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 с двойным управлением</w:t>
      </w:r>
    </w:p>
    <w:p w14:paraId="011324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находится в производстве. Ожидается окончание постройки самолета к 10-15 июня.</w:t>
      </w:r>
    </w:p>
    <w:p w14:paraId="565D82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этап закончен в марте месяце, 2-й этап заканчивается 1 июля. Премии не выплачены (10395,38).</w:t>
      </w:r>
    </w:p>
    <w:p w14:paraId="5C51BB9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96FA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в Контрольном листе учета выполнения постановления КО СНК СССР № 114сс от 4 марта 1940 г. представителем КО СНК СССР - контролером Вахрушевым была сделана запись:</w:t>
      </w:r>
    </w:p>
    <w:p w14:paraId="291BC9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 М-65Р</w:t>
      </w:r>
    </w:p>
    <w:p w14:paraId="29FE56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этап закончен в срок (апрель).</w:t>
      </w:r>
    </w:p>
    <w:p w14:paraId="1D3894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Рабочие чертежи спущены в производство.</w:t>
      </w:r>
    </w:p>
    <w:p w14:paraId="1EA31A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опасения не вызывают (10395,42).</w:t>
      </w:r>
    </w:p>
    <w:p w14:paraId="722A3EC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B66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Нач. ЛТГ НКАП М.М.Г. докладывал Зам Наркома А.С.Я. (вход. 2496сс от 23 мая 1940):</w:t>
      </w:r>
    </w:p>
    <w:p w14:paraId="4560D5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21 мая с.г., мною, совместно с тт. Юмашевым и Станкевичем был осмотрен самолет Таирова.</w:t>
      </w:r>
    </w:p>
    <w:p w14:paraId="2EE060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неустойчив в продольном направлении на всех режимах с брошенным управлением.</w:t>
      </w:r>
    </w:p>
    <w:p w14:paraId="70D62C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проверена устойчивость с выпущенным шасси, как с максимально-передней центровкой.</w:t>
      </w:r>
    </w:p>
    <w:p w14:paraId="63765D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проверена устойчивость на центровках, на которых будет летать дублер.</w:t>
      </w:r>
    </w:p>
    <w:p w14:paraId="4EF694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Недостаточность РН при полете на одном моторе.</w:t>
      </w:r>
    </w:p>
    <w:p w14:paraId="64BEA7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Считаю необходимым произвести 2 полета на проверку устойчивости с центровками, которые будут у дублера.</w:t>
      </w:r>
    </w:p>
    <w:p w14:paraId="01360B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 установке новых рулей направления следует предусмотреть возможность продолжения нормального полета при одном работающем моторе". (1379,212).</w:t>
      </w:r>
    </w:p>
    <w:p w14:paraId="115881F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B7DA8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года гл. конструктор Таиров писал письмо начальнику ВВС командарму 2 ранга Смушкевичу</w:t>
      </w:r>
    </w:p>
    <w:p w14:paraId="6EC6A8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Сообщаю: 9 мая 1940 года закончились заводские испытания двухмоторного, одноместного пушечного истребителя ОКО-6 2 М-88бр.</w:t>
      </w:r>
    </w:p>
    <w:p w14:paraId="563B76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11100 м</w:t>
      </w:r>
    </w:p>
    <w:p w14:paraId="424F4A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на одном моторе (с убранным шасси) – 4400 м</w:t>
      </w:r>
    </w:p>
    <w:p w14:paraId="76E165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Vmax нормальная – 700 км</w:t>
      </w:r>
    </w:p>
    <w:p w14:paraId="3FF631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Vmax с перегрузкой – 1250 км</w:t>
      </w:r>
    </w:p>
    <w:p w14:paraId="62E242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 на Н – 1000 м – 20 сек.</w:t>
      </w:r>
    </w:p>
    <w:p w14:paraId="1D2F08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проделаны фигуры: виражи, петли, перевороты, боевые развороты, срывы в штопор. На фигурах самолет ведет себя нормально.</w:t>
      </w:r>
    </w:p>
    <w:p w14:paraId="307312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Проверено пикирование до скорости 640 км/час по прибору на Н=4000 м. Поведение нормальное.</w:t>
      </w:r>
    </w:p>
    <w:p w14:paraId="499A60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 и посадка просты. Тенденций к разворотам и сваливанию на крыло нет. Управляемость хорошая. Путевая, поперечная, спиральная устойчивость хорошие. Продольная устойчивость на задних центровках (29,8-31,6 САХ) недостаточная. Самолет нейтрален с зажатым управлением. На втором экземпляре этот дефект полностью устраняется путем изменения центровки до 24-28, 5 САХ.</w:t>
      </w:r>
    </w:p>
    <w:p w14:paraId="426822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отстреляно на земле и в воздухе и работает надежно.</w:t>
      </w:r>
    </w:p>
    <w:p w14:paraId="2FEDEF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так как самолет имеет большую дальность (1250 км), прекрасную защиту летчика и сильный огонь (батарея из пушек ШВАК калибром 20 мм и 1100 снарядов к ним) то даже при Vmax=570 км/час он с моей точки зрения, может отлично справляться со своей основной тактической задачей – борьба с бомбардировщиками. Уже сегодня он будучи равен по силе огня и дальности с "Мессершмитт 110" превышает его по скорости на 50 км/час.</w:t>
      </w:r>
    </w:p>
    <w:p w14:paraId="5616AC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главное заключается в том, что все указанные выше данные являются минимальными и не позднее августа 1940 года будут значительно улучшены.</w:t>
      </w:r>
    </w:p>
    <w:p w14:paraId="3EDCCB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на втором экземпляре этого самолета заканчивающегося постройкой в июне 1940 года проделано следующее:</w:t>
      </w:r>
    </w:p>
    <w:p w14:paraId="3772438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Поставлены редукторные моторы М88 (вместо прямых М88, что значительно увеличивает к.п.д. винта.</w:t>
      </w:r>
    </w:p>
    <w:p w14:paraId="3595EB0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Улучшена аэродинамическая форма капотов.</w:t>
      </w:r>
    </w:p>
    <w:p w14:paraId="5366934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Улучшена аэродинамическая форма фонаря пилота.</w:t>
      </w:r>
    </w:p>
    <w:p w14:paraId="212E0BC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Значительно улучшено производственное изготовление и отделка самолета.</w:t>
      </w:r>
    </w:p>
    <w:p w14:paraId="7E868F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мероприятия полностью гарантируют получение на втором экземпляре с серийными моторами М-88 максимальной скорости не ниже 610 км/час с одновременным улучшением скороподъемности и дальности.</w:t>
      </w:r>
    </w:p>
    <w:p w14:paraId="0B2CF9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установкой на самолет моторов М88/А, что можно сделать не позднее июля 1940 года, максимальная скорость самолета может быть увеличена до 625-630 км/час.</w:t>
      </w:r>
    </w:p>
    <w:p w14:paraId="576851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эти улучшения производства без существенных конструктивных изменений и поэтому безболезненно могут быть осуществлены даже на самолетах запущенных в серию.</w:t>
      </w:r>
    </w:p>
    <w:p w14:paraId="5809F7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Этим не ограничиваются возможности самолета, так как еще в этом году, тоже без крупных переделок возможно осуществить установку моторов М90 при которых V так увеличится до 670-680 км/час.</w:t>
      </w:r>
    </w:p>
    <w:p w14:paraId="11660F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работой по увеличению скорости проводятся работы по усилению вооружения.</w:t>
      </w:r>
    </w:p>
    <w:p w14:paraId="136B9C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допускает установку следующих вариантов вооружения (кроме установленной пушечной батареи).</w:t>
      </w:r>
    </w:p>
    <w:p w14:paraId="225EA4C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Батареи из 4-х пулеметов системы Березина ф=12,7 мм</w:t>
      </w:r>
    </w:p>
    <w:p w14:paraId="23E513F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Батареи из 8 пулеметов Шкасс ф=7,62 мм</w:t>
      </w:r>
    </w:p>
    <w:p w14:paraId="263B5C6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Батареи из 2-х пушек Таубина калибром 23 мм и двух пулеметов Березина калибром 12,7 мм.</w:t>
      </w:r>
    </w:p>
    <w:p w14:paraId="4E555A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всех вариантах стрелково-артиллерийского вооружения возможна подвеска:</w:t>
      </w:r>
    </w:p>
    <w:p w14:paraId="3B7CB97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 РС по 50 кг или</w:t>
      </w:r>
    </w:p>
    <w:p w14:paraId="3AE4A89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одной бомбы в 500 кг</w:t>
      </w:r>
    </w:p>
    <w:p w14:paraId="712524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самолет может быть использован дополнительно, как пикирующий бомбардировщик и штурмовик.</w:t>
      </w:r>
    </w:p>
    <w:p w14:paraId="3908E0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перегрузки возможны потому, что машина имеет Па=15.</w:t>
      </w:r>
    </w:p>
    <w:p w14:paraId="248E83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случае Вашего решения о внедрении этого самолета в серию, считаю необходимым немедленно начать подготовку производства, так как для его серийной постройки необходимо предварительно и заблаговременно решить следующие вопросы:</w:t>
      </w:r>
    </w:p>
    <w:p w14:paraId="0A63704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металлической брони</w:t>
      </w:r>
    </w:p>
    <w:p w14:paraId="23D6D94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прозрачной брони</w:t>
      </w:r>
    </w:p>
    <w:p w14:paraId="0459C32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хромансилевых профилей (по стандарту ВИАМ)</w:t>
      </w:r>
    </w:p>
    <w:p w14:paraId="02A03A3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Обеспечение производственной базой по поставке листового электрона и электронного литья (7647, 57-58).</w:t>
      </w:r>
    </w:p>
    <w:p w14:paraId="57E4EB7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042974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полет на скороподъемность продолжительностью 1:40, а полет на километраж не состоялся из-за срыва покрышки на взлете (2923).</w:t>
      </w:r>
    </w:p>
    <w:p w14:paraId="4565FA5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44167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зам. наркома НКАП П.А.Воронин писал письмо N 2318 зам. наркома НКВД Масленникову об отпуске для авиации пограничных войск НКВД одного самолета ДС-3 (1165).</w:t>
      </w:r>
    </w:p>
    <w:p w14:paraId="0C2A4E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Интересная авиация у НКВД</w:t>
      </w:r>
    </w:p>
    <w:p w14:paraId="4E1A954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DD93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вышел приказ НКАП N 222сс в исполнение постановления КО N 200сс "Об организации производства авиамоторов М-30 и М-40 в 1940-1941" (1296,7):</w:t>
      </w:r>
    </w:p>
    <w:p w14:paraId="0B74F1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постановляло:</w:t>
      </w:r>
    </w:p>
    <w:p w14:paraId="2062E6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Организовать в 1940 производство моторов М-40 на Харьковском Тракторном заводе в кооперации с заводом 75 Наркомсредмаша и Кировским заводом Наркомтяжмаша (г. Ленинград) (1296,7).</w:t>
      </w:r>
    </w:p>
    <w:p w14:paraId="0D26B6D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40BD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4BB6AD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Обязать НКАП:</w:t>
      </w:r>
    </w:p>
    <w:p w14:paraId="3A3BA6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изменить профиль новостроящегося авиамоторного завода N 338 (Уфа) с мотора М-88 на мотор М-40 (1296,19).</w:t>
      </w:r>
    </w:p>
    <w:p w14:paraId="1D7825E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5304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вышел приказ НКАП N 224сс в исполнение вышло постановления КО N 209сс "О постройке и внедрении мотора АМ-35А на заводе 24 НКАП" (1292,128), согласно которому было решено производство М-88 на 24 заводе прекратить, НКАП был обязан представить предложения о внедрении в производство мотора М-88 на одном из действующих заводов других Наркоматов (1292,125). Срок сдачи 50 шт. - 1 сентября 1940 и в 1940 - 300. Обязали довести АМ-35А до 100 час. ресурса не позднее 1 августа (1295,60).</w:t>
      </w:r>
    </w:p>
    <w:p w14:paraId="7CD43CD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2DEB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 последовало указа</w:t>
      </w:r>
      <w:r w:rsidRPr="00DB5D0D">
        <w:rPr>
          <w:rFonts w:ascii="Times New Roman" w:hAnsi="Times New Roman"/>
          <w:color w:val="000000" w:themeColor="text1"/>
          <w:sz w:val="16"/>
          <w:szCs w:val="16"/>
        </w:rPr>
        <w:softHyphen/>
        <w:t>ние НКАП заводу № 24 прекратить все работы по двигателям М—88, а за</w:t>
      </w:r>
      <w:r w:rsidRPr="00DB5D0D">
        <w:rPr>
          <w:rFonts w:ascii="Times New Roman" w:hAnsi="Times New Roman"/>
          <w:color w:val="000000" w:themeColor="text1"/>
          <w:sz w:val="16"/>
          <w:szCs w:val="16"/>
        </w:rPr>
        <w:softHyphen/>
        <w:t>дел передать на другие предприятия НКАП. Теперь от В.М.Дубова требовали выпустить 50 моторов АМ—35А по образцу, прошедшему испытания, к сен</w:t>
      </w:r>
      <w:r w:rsidRPr="00DB5D0D">
        <w:rPr>
          <w:rFonts w:ascii="Times New Roman" w:hAnsi="Times New Roman"/>
          <w:color w:val="000000" w:themeColor="text1"/>
          <w:sz w:val="16"/>
          <w:szCs w:val="16"/>
        </w:rPr>
        <w:softHyphen/>
        <w:t>тябрю и еще 300 — до конца года (9984).</w:t>
      </w:r>
    </w:p>
    <w:p w14:paraId="7DA401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7E12C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Секретарь Совета по Оборонной промышленности при СНК Семичастнов писал А.И.Ш. и в НТО С.К.Тимошенко письмо N 1548/ко (вх. ?89сс):</w:t>
      </w:r>
    </w:p>
    <w:p w14:paraId="3464DA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указанию Пред. СОП при СНК тов. Н.А.Вознесенского направляю Вам письмо ГК по дирижаблестроению тов. Матюнина дать Ваше заключение к 25 мая 1940. Приложение на 5 л. (от 24 марта 1940) (1379,207).</w:t>
      </w:r>
    </w:p>
    <w:p w14:paraId="1C13B5B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2DEE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года начальник 1 отдела 3 управления ГУАС бригинженер Пономарев писал письмо № 518863 в КО 5-й отдел Лунину</w:t>
      </w:r>
    </w:p>
    <w:p w14:paraId="6C28CA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препровождаю копию тактико-технических требований на проектирование и изготовление 37 мм авиационных пушек.</w:t>
      </w:r>
    </w:p>
    <w:p w14:paraId="73FD5B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упомянутое на 2-х листах (3375,27).</w:t>
      </w:r>
    </w:p>
    <w:p w14:paraId="59B8D8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начальник 3 управления ГУАС военинженер 1 ранга Никонов и военный комиссар 3 управления ГУАС военный инженер 2 ранга Матаев</w:t>
      </w:r>
    </w:p>
    <w:p w14:paraId="235EB2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Утверждаю:</w:t>
      </w:r>
    </w:p>
    <w:p w14:paraId="02EC36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 начальник ГУАС комдив Алексеев и военный комиссар ГУАС бригадный комиссар Князев</w:t>
      </w:r>
    </w:p>
    <w:p w14:paraId="3AE656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Тактико-технические требования на 37 мм автоматическую авиационную пушку большой мощности</w:t>
      </w:r>
    </w:p>
    <w:p w14:paraId="319AE2C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мм пушка большой мощности предназначается для неподвижной установки на специальные пушечные скоростные самолеты, т.е. для стрельбы через втулку винта, для установки в фюзеляже, в крыле самолета и т.п.</w:t>
      </w:r>
    </w:p>
    <w:p w14:paraId="1DFA299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пушки вместе с магазином без патронов или приемником патронов, с противооткатным устройством, пневмоперезарядкой и установкой на моторе – не более 200 кг.</w:t>
      </w:r>
    </w:p>
    <w:p w14:paraId="211B063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Начальная скорость снаряда 870-900 м/сек.</w:t>
      </w:r>
    </w:p>
    <w:p w14:paraId="24C921F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снаряда 0,7 кг (по чертежу АУ РККА).</w:t>
      </w:r>
    </w:p>
    <w:p w14:paraId="532932A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 стрельбы не менее 200 выстр./мин.</w:t>
      </w:r>
    </w:p>
    <w:p w14:paraId="6E8A4C9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Питание должно обеспечивать непрерывный огонь не менее чем на 50 выстрелов. Для моторной пушки не менее 25 патронов.</w:t>
      </w:r>
    </w:p>
    <w:p w14:paraId="4AAA62E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быть правого и левого питания.</w:t>
      </w:r>
    </w:p>
    <w:p w14:paraId="05A1FEF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Усиление на цапфах при выстреле не должно превышать 1300 кг без применения дульного тормоза.</w:t>
      </w:r>
    </w:p>
    <w:p w14:paraId="32BFB7B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Живучесть пушки должна быть в пределах 3000-4000 выстрелов, а живучесть отдельных мелких деталей, идущих в запас (защелки, второстепенные оси, шпильки и т.п.) должна быть не менее 750-1000 выстрелов.</w:t>
      </w:r>
    </w:p>
    <w:p w14:paraId="7FF74A0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иметь пневматическую перезарядку и пневматический или электрический спуск, позволяющие летчику управлять стрельбой пушки в полете из кабины летчика.</w:t>
      </w:r>
    </w:p>
    <w:p w14:paraId="4CE0065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Габариты пушки должны позволять удобно разместить ее в самолете, не нарушая аэродинамических качеств современного самолета.</w:t>
      </w:r>
    </w:p>
    <w:p w14:paraId="49605E7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быть совершенно безопасной при уходе и при стрельбе.</w:t>
      </w:r>
    </w:p>
    <w:p w14:paraId="11150F2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безотказно работать при всех углах возвышения от – 65 градусов до + 50 градусов.</w:t>
      </w:r>
    </w:p>
    <w:p w14:paraId="6FF2A0F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не должна иметь задержек неустранимых в воздухе перезаряжанием. Задержки устранимые в воздухе перезаряжением, допускаются не более 0,5%.</w:t>
      </w:r>
    </w:p>
    <w:p w14:paraId="4A16B34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допускать безотказную стрельбу без чистки не менее 100 выстрелов.</w:t>
      </w:r>
    </w:p>
    <w:p w14:paraId="63E8421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допускать безотказную стрельбу в воздухе и на земле очередью в 15 патронов.</w:t>
      </w:r>
    </w:p>
    <w:p w14:paraId="603C7F5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безотказно работать на высоте до 10000 метров (3375,28-29).</w:t>
      </w:r>
    </w:p>
    <w:p w14:paraId="0BEEFB2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6A262E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года на НИП АВ ВВС закончились заводские испытания приборов УХАП-250 п.м. конструкции завода № 145 на самолете СБ, которые проходили с 25 марта 1940</w:t>
      </w:r>
    </w:p>
    <w:p w14:paraId="55DAB5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4269A2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4 отделения Опытного отдела НИП АВ ВВС Комарницкий</w:t>
      </w:r>
    </w:p>
    <w:p w14:paraId="697B12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319138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работу приборов УХАП-250 п.м. в прменении в качестве ДАПов и ВАПов на самолете СБ.</w:t>
      </w:r>
    </w:p>
    <w:p w14:paraId="2B43C1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Приборы УХАП-250 п.м. предназначены для постановки маскирующих дымзавес и для заражения местности или поражения живой силы с самолета.</w:t>
      </w:r>
    </w:p>
    <w:p w14:paraId="617001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0FAB9D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Приборы УХАП-250 п.м., показавшие безопасность режимов работы и безотказность действия, заводские испытания выдержали (7601).</w:t>
      </w:r>
    </w:p>
    <w:p w14:paraId="4DB7D30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2027AB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 было письмом главного инженера НКБ В.И.Худякова: «С положительным результатом закончились испытания ракетных бронебойных авиабомб по мрамору под Севастополем. Однако гарантировать хорошую работу взрывателя РД по броне невозможно - может сработать в момент удара. Предлагаю отстрелять по броне штатные бронебойные ракетные авиабомбы с взрывателем РД при скорости подлета к цели 400-500 м/с».</w:t>
      </w:r>
    </w:p>
    <w:p w14:paraId="2CF106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документах 1940 г. отмечалось, что ракетный заряд и сопловой вос</w:t>
      </w:r>
      <w:r w:rsidRPr="00DB5D0D">
        <w:rPr>
          <w:rFonts w:ascii="Times New Roman" w:hAnsi="Times New Roman"/>
          <w:color w:val="000000" w:themeColor="text1"/>
          <w:sz w:val="16"/>
          <w:szCs w:val="16"/>
        </w:rPr>
        <w:softHyphen/>
        <w:t>пламенитель ракетных авиабомб необходимо выполнить в картузном снаряжании, как у БетАБ-150ДС. В доньях БЧ БРАБ-203 мм с ДС и БетАБ-305 мм с ДС необходимо выполнить углубления для донных воспламенителей, находящихся в картузах вместе с РЗ. Укупорки конструкции НИИ-24 к авиабомбам неудачны, и их необходимо переделать по типу БстАБ-150ДС. В документах 1940 г. отмечаюсь, что ракетный заряд и сопловой вос</w:t>
      </w:r>
      <w:r w:rsidRPr="00DB5D0D">
        <w:rPr>
          <w:rFonts w:ascii="Times New Roman" w:hAnsi="Times New Roman"/>
          <w:color w:val="000000" w:themeColor="text1"/>
          <w:sz w:val="16"/>
          <w:szCs w:val="16"/>
        </w:rPr>
        <w:softHyphen/>
        <w:t>пламенитель ракетных авиабомб необходимо выполнить в картузном снаряжании, как у БетАБ-150ДС. В доньях БЧ БРАБ-203 мм с ДС и БетАБ-305 мм с ДС необходимо выполнить углубления для донных воспламенителей, находящихся в картузах вместе с РЗ. Укупорки конст</w:t>
      </w:r>
      <w:r w:rsidRPr="00DB5D0D">
        <w:rPr>
          <w:rFonts w:ascii="Times New Roman" w:hAnsi="Times New Roman"/>
          <w:color w:val="000000" w:themeColor="text1"/>
          <w:sz w:val="16"/>
          <w:szCs w:val="16"/>
        </w:rPr>
        <w:softHyphen/>
        <w:t>рукции НИИ -24 к авиабомбам неудачны, и их необходимо переделать по типу БетАБ-150ДС (11402).</w:t>
      </w:r>
    </w:p>
    <w:p w14:paraId="358104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19C20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Зам ГК КО при СНК Союза СССР Семин писал НАРОДНОМУ КОМИССАРУ ЭЛКТРОПРОМЫШЛЕННОСТИ СССР - тов. БОГАТЫРЕВУ В.В.</w:t>
      </w:r>
    </w:p>
    <w:p w14:paraId="4D950A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при СНК СССР за № 77 от 19.2.40 г. НКЭП обязался передать заводу ЗЭМ НКСредмаша 300 квадр. метров производственной площади, занятой ОКСом Трансформаторного завода НКЭП.</w:t>
      </w:r>
    </w:p>
    <w:p w14:paraId="69CB66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Трансформаторного завода тов. Ива</w:t>
      </w:r>
      <w:r w:rsidRPr="00DB5D0D">
        <w:rPr>
          <w:rFonts w:ascii="Times New Roman" w:hAnsi="Times New Roman"/>
          <w:color w:val="000000" w:themeColor="text1"/>
          <w:sz w:val="16"/>
          <w:szCs w:val="16"/>
        </w:rPr>
        <w:softHyphen/>
        <w:t>нов и и-к Главэлектромашпрома тов. Товстопалов не выполняют указанного пункта постановления КО.</w:t>
      </w:r>
    </w:p>
    <w:p w14:paraId="3B38B538" w14:textId="77777777" w:rsidR="00A25AD1" w:rsidRPr="00DB5D0D" w:rsidRDefault="00A25AD1" w:rsidP="00DB5D0D">
      <w:pPr>
        <w:shd w:val="clear" w:color="auto" w:fill="FFFFFF"/>
        <w:spacing w:after="0" w:line="240" w:lineRule="auto"/>
        <w:jc w:val="both"/>
        <w:rPr>
          <w:rFonts w:ascii="Times New Roman" w:hAnsi="Times New Roman"/>
          <w:smallCaps/>
          <w:color w:val="000000" w:themeColor="text1"/>
          <w:sz w:val="16"/>
          <w:szCs w:val="16"/>
        </w:rPr>
      </w:pPr>
      <w:r w:rsidRPr="00DB5D0D">
        <w:rPr>
          <w:rFonts w:ascii="Times New Roman" w:hAnsi="Times New Roman"/>
          <w:color w:val="000000" w:themeColor="text1"/>
          <w:sz w:val="16"/>
          <w:szCs w:val="16"/>
        </w:rPr>
        <w:t xml:space="preserve">Прошу принять соответствующие меры и о результатах сообщить в Главный Контроль КО к 25.5.40 г. </w:t>
      </w:r>
      <w:r w:rsidRPr="00DB5D0D">
        <w:rPr>
          <w:rFonts w:ascii="Times New Roman" w:hAnsi="Times New Roman"/>
          <w:smallCaps/>
          <w:color w:val="000000" w:themeColor="text1"/>
          <w:sz w:val="16"/>
          <w:szCs w:val="16"/>
        </w:rPr>
        <w:t>(10450,17).</w:t>
      </w:r>
    </w:p>
    <w:p w14:paraId="098CE962" w14:textId="77777777" w:rsidR="00A25AD1" w:rsidRPr="00DB5D0D" w:rsidRDefault="00A25AD1" w:rsidP="00DB5D0D">
      <w:pPr>
        <w:shd w:val="clear" w:color="auto" w:fill="FFFFFF"/>
        <w:spacing w:after="0" w:line="240" w:lineRule="auto"/>
        <w:jc w:val="both"/>
        <w:rPr>
          <w:rFonts w:ascii="Times New Roman" w:hAnsi="Times New Roman"/>
          <w:smallCaps/>
          <w:color w:val="000000" w:themeColor="text1"/>
          <w:sz w:val="16"/>
          <w:szCs w:val="16"/>
        </w:rPr>
      </w:pPr>
    </w:p>
    <w:p w14:paraId="7DE2056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2F53D9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73A2D70"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21 мая 1940 вышло </w:t>
      </w:r>
      <w:r w:rsidRPr="00DB5D0D">
        <w:rPr>
          <w:rFonts w:ascii="Times New Roman" w:hAnsi="Times New Roman"/>
          <w:color w:val="0070C0"/>
          <w:sz w:val="16"/>
          <w:szCs w:val="16"/>
          <w:shd w:val="clear" w:color="auto" w:fill="FFFFFF"/>
        </w:rPr>
        <w:t>Постановление Комитета обороны при СНК СССР № 212сс "О ходе выполнения плана текущих военных заказов 1940 г." (21906).</w:t>
      </w:r>
    </w:p>
    <w:p w14:paraId="3DEE1E72" w14:textId="77777777" w:rsidR="00B00D28" w:rsidRPr="00DB5D0D" w:rsidRDefault="00B00D28" w:rsidP="00DB5D0D">
      <w:pPr>
        <w:spacing w:after="0" w:line="240" w:lineRule="auto"/>
        <w:jc w:val="both"/>
        <w:rPr>
          <w:rFonts w:ascii="Times New Roman" w:hAnsi="Times New Roman"/>
          <w:color w:val="0070C0"/>
          <w:sz w:val="16"/>
          <w:szCs w:val="16"/>
        </w:rPr>
      </w:pPr>
    </w:p>
    <w:p w14:paraId="7312BF72"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21 мая 1940 вышло </w:t>
      </w:r>
      <w:r w:rsidRPr="00DB5D0D">
        <w:rPr>
          <w:rFonts w:ascii="Times New Roman" w:hAnsi="Times New Roman"/>
          <w:color w:val="0070C0"/>
          <w:sz w:val="16"/>
          <w:szCs w:val="16"/>
          <w:shd w:val="clear" w:color="auto" w:fill="FFFFFF"/>
        </w:rPr>
        <w:t>Постановление Комитета обороны при СНК СССР № 214сс "О производстве орудийных станков в 1940 г." с приложением (21897).</w:t>
      </w:r>
    </w:p>
    <w:p w14:paraId="314775EC" w14:textId="77777777" w:rsidR="00B00D28" w:rsidRPr="00DB5D0D" w:rsidRDefault="00B00D28" w:rsidP="00DB5D0D">
      <w:pPr>
        <w:spacing w:after="0" w:line="240" w:lineRule="auto"/>
        <w:jc w:val="both"/>
        <w:rPr>
          <w:rFonts w:ascii="Times New Roman" w:hAnsi="Times New Roman"/>
          <w:color w:val="0070C0"/>
          <w:sz w:val="16"/>
          <w:szCs w:val="16"/>
        </w:rPr>
      </w:pPr>
    </w:p>
    <w:p w14:paraId="7548C4A9" w14:textId="77777777" w:rsidR="00E21285" w:rsidRPr="00DB5D0D" w:rsidRDefault="00E212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 мая 1940 г. после завершения предварительных испытаний заместитель директора завода № 183 С.Н. Махонин сообщил в АБТУ РККА и Главспецмаш НКСМ о том, что заводом принято решение о вводе механической системы сервоприводов управления в серийное производство. Испытания механической системы сервоприводов управления на гарантийный километраж были продолжены сотрудниками отдела «500» в июне 1940 г., в том числе и на второй опытной машине – танке А-34 № 311-11-3. </w:t>
      </w:r>
    </w:p>
    <w:p w14:paraId="03AD7C70" w14:textId="77777777" w:rsidR="00E21285" w:rsidRPr="00DB5D0D" w:rsidRDefault="00E212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Отметим, что фактически установка механической системы сервоприводов управления конструкции П.П. Васильева на серийные танки Т-34 началась в конце лета 1940 г., а машины установочной серии были оснащены пневматическими сервоприводами. </w:t>
      </w:r>
    </w:p>
    <w:p w14:paraId="318B7DAD" w14:textId="77777777" w:rsidR="00E21285" w:rsidRPr="00DB5D0D" w:rsidRDefault="00E212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В тот же день, 21 мая 1940 г., когда С.Н. Махонин сообщил в Москву о результатах испытания механической системы сервоприводов управления, в Харькове на заводе № 183 был составлен отчет ещё по одной исследовательской работе, также проведенной на танке А-34 № 311-18-3. Параллельно с испытанием механической системы сервоприводов управления, на этой машине были проведены испытания опытных литых траков, изготовленных на Сталинградском тракторном заводе (СТЗ). Эти испытания проводилась опытным цехом «540» на основании распоряжения директора завода № 183 Ю.Е. Максарева от 6 марта 1940 г. и письма директора СТЗ Ф.Д. Благова. </w:t>
      </w:r>
    </w:p>
    <w:p w14:paraId="4F611709" w14:textId="77777777" w:rsidR="00E21285" w:rsidRPr="00DB5D0D" w:rsidRDefault="00E212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Испытания проводились в целях определения пригодности опытных литых траков из стали Гадфильда для эксплуатации на танке Т-34. Необходимо отметить, что опытные литые траки отличались от штампованных траков, установленных на танках А-34, только способом изготовления и маркой стали. Штампованные траки были изготовлены из стали марки хромансиль, а опытные – из стали Гадфильда. Эта сталь, названная по фамилии английского металлурга, предложившего её, обладала высоким сопротивлением износу при больших давлениях и ударных нагрузках. Необходимость замены штампованных траков литыми траками была вызвана тем, что способ изготовления траков методом литья был более технологичным по сравнению с горячей штамповкой и наиболее приемлемым для массового производства. </w:t>
      </w:r>
    </w:p>
    <w:p w14:paraId="5ABD8F28" w14:textId="77777777" w:rsidR="00E21285" w:rsidRPr="00DB5D0D" w:rsidRDefault="00E212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Перед началом испытаний специалистами цеха «540» был произведен тщательный осмотр полученной с СТЗ партии литых опытных траков, по результатам которого для сборки двух гусениц было отобрано 148 наиболее качественных траков (74 с гребнем и 74 без гребня). В итоге комплект опытных гусениц был установлен на танк А-34 № 311-18-3, который в период с 12 по 17 мая 1940 г. прошел на них 417 км, в том числе: по грунтовой дороге – 195 км, по песчаной дороге – 80 км и по булыжному шоссе – 142 км. При этом средняя скорость движения по грунтовой дороге составила 22,9 км/ч., а при движении танка по булыжному шоссе на четвертой передаче – 36 – 37 км/ч. Дефектов в работе гусениц во время пробеговых испытаний обнаружено не было, за исключением потери шплинтов на 50 % пальцев. В отчете по испытанию литых траков производства СТЗ, получившем порядковый номер 014 было отмечено: </w:t>
      </w:r>
    </w:p>
    <w:p w14:paraId="3529D809" w14:textId="77777777" w:rsidR="00E21285" w:rsidRPr="00DB5D0D" w:rsidRDefault="00E2128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«Проведенные испытания показали, что машина, оборудованная гусеничными лентами из литых траков стали Гатфильда за все время испытания (417 км) остановок и аварий по вине гусеничных лент не имела. Работа литой гусеницы на машине проходила нормально, без заклиниваний, соскакиваний и прочих дефектов, и в основном, была аналогична работе штампованной гусеницы. </w:t>
      </w:r>
    </w:p>
    <w:p w14:paraId="21519754" w14:textId="77777777" w:rsidR="00E21285" w:rsidRPr="00DB5D0D" w:rsidRDefault="00E2128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Результаты сборки и испытаний литой гусеницы выявили необходимость проведения следующих мероприятий: </w:t>
      </w:r>
    </w:p>
    <w:p w14:paraId="522744FC" w14:textId="77777777" w:rsidR="00E21285" w:rsidRPr="00DB5D0D" w:rsidRDefault="00E2128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 Устранение литейных пороков траков (трещины и крупные раковины). </w:t>
      </w:r>
    </w:p>
    <w:p w14:paraId="478E5EB9" w14:textId="77777777" w:rsidR="00E21285" w:rsidRPr="00DB5D0D" w:rsidRDefault="00E2128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 Получение более чистых отливок, обеспечивающих нормальное сопряжение траков в проушинах и свободное их относительное проворачивание на пальцах, без индивидуальной подгонки траков, которая имела место при сборке испытываемой гусеницы. </w:t>
      </w:r>
    </w:p>
    <w:p w14:paraId="3BD4BD9E" w14:textId="77777777" w:rsidR="00E21285" w:rsidRPr="00DB5D0D" w:rsidRDefault="00E2128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 Обеспечение чистоты отверстий проушин траков для лучшей приработки пальцев. </w:t>
      </w:r>
    </w:p>
    <w:p w14:paraId="6B7B2B24" w14:textId="77777777" w:rsidR="00E21285" w:rsidRPr="00DB5D0D" w:rsidRDefault="00E2128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 Проведение усиления гребневого трака у подножия гребня для исключения появления трещин в указанных местах. </w:t>
      </w:r>
    </w:p>
    <w:p w14:paraId="6F32EEA0" w14:textId="77777777" w:rsidR="00E21285" w:rsidRPr="00DB5D0D" w:rsidRDefault="00E2128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Считаем, что проведенные испытания подтвердили полную возможность применения на маш. "А-34" литой гусеницы из ст. Гатфильда взамен штампованной и с приведением вышеперечисленных мероприятий литая гусеница будет пригодна для эксплуатации на машине "А-34". </w:t>
      </w:r>
    </w:p>
    <w:p w14:paraId="0FF9555B" w14:textId="77777777" w:rsidR="00E21285" w:rsidRPr="00DB5D0D" w:rsidRDefault="00E2128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Литая гусеница, как не требующая механической обработки и дорогостоящего штамповочного оборудования, является нетрудоемкой в изготовлении и экономически выгодной. </w:t>
      </w:r>
    </w:p>
    <w:p w14:paraId="6B4C46D1" w14:textId="77777777" w:rsidR="00E21285" w:rsidRPr="00DB5D0D" w:rsidRDefault="00E212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Что же касается срока службы литой гусеницы, то для дачи окончательного заключения необходимо гусеницу, изготовленную с учетом всех указанных мероприятий, подвергнуть испытаниям на гарантийный километраж в летних условиях. Одновременно считаем необходимым, продолжать испытания первой гусеницы, прошедшей 417 км, до ее окончательного износа, согласно имеющийся программы, для определения влияния выявленных дефектов на работоспособность гусеницы».</w:t>
      </w:r>
      <w:r w:rsidRPr="00DB5D0D">
        <w:rPr>
          <w:rFonts w:ascii="Times New Roman" w:hAnsi="Times New Roman"/>
          <w:color w:val="000000" w:themeColor="text1"/>
          <w:sz w:val="16"/>
          <w:szCs w:val="16"/>
        </w:rPr>
        <w:t xml:space="preserve"> </w:t>
      </w:r>
    </w:p>
    <w:p w14:paraId="6845BA0F" w14:textId="77777777" w:rsidR="00E21285" w:rsidRPr="00DB5D0D" w:rsidRDefault="00E21285" w:rsidP="00DB5D0D">
      <w:pPr>
        <w:pStyle w:val="ae"/>
        <w:spacing w:before="0" w:after="0"/>
        <w:jc w:val="both"/>
        <w:rPr>
          <w:color w:val="000000" w:themeColor="text1"/>
          <w:sz w:val="16"/>
          <w:szCs w:val="16"/>
        </w:rPr>
      </w:pPr>
      <w:r w:rsidRPr="00DB5D0D">
        <w:rPr>
          <w:bCs/>
          <w:color w:val="000000" w:themeColor="text1"/>
          <w:sz w:val="16"/>
          <w:szCs w:val="16"/>
        </w:rPr>
        <w:t>[РГВА. Ф. 31811. Оп. 2. Д. 1181 Л. 126]</w:t>
      </w:r>
    </w:p>
    <w:p w14:paraId="55FFAE49" w14:textId="77777777" w:rsidR="00E21285" w:rsidRPr="00DB5D0D" w:rsidRDefault="00E212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Отчет № 014 был окончательно оформлен и подписан в самом конце мая 1940 г., и 3 июня с препроводительными письмами № СО2854 отправлен с завода № 183 в АБТУ РККА и Главспецмаш НКСМ для принятия решения о вводе литых траков в серийное производство. Изучив результаты испытаний литых траков, 29 июня 1940 г. начальник 8-го отдела АБТУ РККА военинженер 1 ранга С.А. Афонин направил начальнику Главспецмаша НКСМ СССР Г.С. Суреняну письмо № 74005с следующего содержания: </w:t>
      </w:r>
    </w:p>
    <w:p w14:paraId="4CCE0262" w14:textId="77777777" w:rsidR="00E21285" w:rsidRPr="00DB5D0D" w:rsidRDefault="00E2128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«Хотя предварительные испытания литой гусеницы дали ряд положительных результатов, но несмотря на это окончательного вывода о введении на серийное производство сделать нельзя, так как пройденный километраж за время испытаний (417 км) недостаточен. </w:t>
      </w:r>
    </w:p>
    <w:p w14:paraId="163E379B" w14:textId="77777777" w:rsidR="00E21285" w:rsidRPr="00DB5D0D" w:rsidRDefault="00E212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АБТУ КА считает необходимым испытываемый образец литой гусеницы подвергнуть испытанию до полного износа. Необходимо устранить указанные в отчете недоработки по тракам и изготовить 2 комплекта этой гусеницы, которые подвергнуть испытанию на гарантийный километраж на танках, предъявленных госкомиссии для испытания двигателя М-250».</w:t>
      </w:r>
      <w:r w:rsidRPr="00DB5D0D">
        <w:rPr>
          <w:rFonts w:ascii="Times New Roman" w:hAnsi="Times New Roman"/>
          <w:color w:val="000000" w:themeColor="text1"/>
          <w:sz w:val="16"/>
          <w:szCs w:val="16"/>
        </w:rPr>
        <w:t xml:space="preserve"> </w:t>
      </w:r>
    </w:p>
    <w:p w14:paraId="6BE7EC27" w14:textId="77777777" w:rsidR="00E21285" w:rsidRPr="00DB5D0D" w:rsidRDefault="00E21285" w:rsidP="00DB5D0D">
      <w:pPr>
        <w:pStyle w:val="ae"/>
        <w:spacing w:before="0" w:after="0"/>
        <w:jc w:val="both"/>
        <w:rPr>
          <w:color w:val="000000" w:themeColor="text1"/>
          <w:sz w:val="16"/>
          <w:szCs w:val="16"/>
        </w:rPr>
      </w:pPr>
      <w:r w:rsidRPr="00DB5D0D">
        <w:rPr>
          <w:bCs/>
          <w:color w:val="000000" w:themeColor="text1"/>
          <w:sz w:val="16"/>
          <w:szCs w:val="16"/>
        </w:rPr>
        <w:t>[РГВА. Ф.31811. Оп. 2. Д. 1181. Л 117]</w:t>
      </w:r>
    </w:p>
    <w:p w14:paraId="3B5B92DF" w14:textId="77777777" w:rsidR="00E21285" w:rsidRPr="00DB5D0D" w:rsidRDefault="00E212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Ход дальнейших событий показал, что во время испытаний литых траков, проведенных одновременно с государственными испытаниями дизеля М-250 в августе – сентябре 1940 г., все траки бездефектно проработали до 600 – 700 км, а часть из них выдержала испытание на дистанции вдвое большей. Однако, из-за недостаточного гарантийного срока службы, литые траки, так и небыли утверждены руководством АБТУ РККА на серийное производство. Но исходя из экономических и технологических факторов, а так же надежды на то, что СТЗ удастся в кратчайшие сроки улучшить качество литых траков и добиться требуемых показателей по гарантийному ресурсу (до 2000 км), в 1940 г. на серийные танки Т-34 устанавливались именно они, вместо утвержденных АБТУ РККА штампованных (17625). </w:t>
      </w:r>
    </w:p>
    <w:p w14:paraId="431E54D8" w14:textId="77777777" w:rsidR="00E21285" w:rsidRPr="00DB5D0D" w:rsidRDefault="00E21285" w:rsidP="00DB5D0D">
      <w:pPr>
        <w:spacing w:after="0" w:line="240" w:lineRule="auto"/>
        <w:jc w:val="both"/>
        <w:rPr>
          <w:rFonts w:ascii="Times New Roman" w:hAnsi="Times New Roman"/>
          <w:color w:val="000000" w:themeColor="text1"/>
          <w:sz w:val="16"/>
          <w:szCs w:val="16"/>
        </w:rPr>
      </w:pPr>
    </w:p>
    <w:p w14:paraId="7DA9C885" w14:textId="77777777" w:rsidR="00A25AD1" w:rsidRPr="00DB5D0D" w:rsidRDefault="00A25AD1" w:rsidP="00DB5D0D">
      <w:pPr>
        <w:pStyle w:val="201"/>
        <w:shd w:val="clear" w:color="auto" w:fill="auto"/>
        <w:spacing w:before="0" w:line="240" w:lineRule="auto"/>
        <w:rPr>
          <w:rStyle w:val="20130pt57"/>
          <w:rFonts w:ascii="Times New Roman" w:hAnsi="Times New Roman" w:cs="Times New Roman"/>
          <w:bCs/>
          <w:iCs/>
          <w:noProof w:val="0"/>
          <w:color w:val="000000" w:themeColor="text1"/>
          <w:spacing w:val="0"/>
          <w:lang w:val="ru-RU"/>
        </w:rPr>
      </w:pPr>
      <w:r w:rsidRPr="00DB5D0D">
        <w:rPr>
          <w:rStyle w:val="20130pt57"/>
          <w:rFonts w:ascii="Times New Roman" w:hAnsi="Times New Roman" w:cs="Times New Roman"/>
          <w:bCs/>
          <w:iCs/>
          <w:noProof w:val="0"/>
          <w:color w:val="000000" w:themeColor="text1"/>
          <w:spacing w:val="0"/>
          <w:lang w:val="ru-RU"/>
        </w:rPr>
        <w:t xml:space="preserve">21 мая 1940 вышел </w:t>
      </w:r>
      <w:r w:rsidRPr="00DB5D0D">
        <w:rPr>
          <w:rStyle w:val="20130pt57"/>
          <w:rFonts w:ascii="Times New Roman" w:hAnsi="Times New Roman" w:cs="Times New Roman"/>
          <w:bCs/>
          <w:iCs/>
          <w:color w:val="000000" w:themeColor="text1"/>
          <w:spacing w:val="0"/>
          <w:lang w:val="ru-RU"/>
        </w:rPr>
        <w:t xml:space="preserve">Отчет №014 Бюро «540» </w:t>
      </w:r>
      <w:r w:rsidRPr="00DB5D0D">
        <w:rPr>
          <w:rStyle w:val="20130pt57"/>
          <w:rFonts w:ascii="Times New Roman" w:hAnsi="Times New Roman" w:cs="Times New Roman"/>
          <w:bCs/>
          <w:iCs/>
          <w:noProof w:val="0"/>
          <w:color w:val="000000" w:themeColor="text1"/>
          <w:spacing w:val="0"/>
          <w:lang w:val="ru-RU"/>
        </w:rPr>
        <w:t>по испытаниям литых траков Т-34:</w:t>
      </w:r>
    </w:p>
    <w:p w14:paraId="757E7F4A" w14:textId="77777777" w:rsidR="00A25AD1" w:rsidRPr="00DB5D0D" w:rsidRDefault="00A25AD1" w:rsidP="00DB5D0D">
      <w:pPr>
        <w:pStyle w:val="201"/>
        <w:shd w:val="clear" w:color="auto" w:fill="auto"/>
        <w:spacing w:before="0" w:line="240" w:lineRule="auto"/>
        <w:rPr>
          <w:rStyle w:val="20130pt57"/>
          <w:rFonts w:ascii="Times New Roman" w:hAnsi="Times New Roman" w:cs="Times New Roman"/>
          <w:bCs/>
          <w:iCs/>
          <w:noProof w:val="0"/>
          <w:color w:val="000000" w:themeColor="text1"/>
          <w:spacing w:val="0"/>
          <w:lang w:val="ru-RU"/>
        </w:rPr>
      </w:pPr>
      <w:r w:rsidRPr="00DB5D0D">
        <w:rPr>
          <w:rStyle w:val="20130pt57"/>
          <w:rFonts w:ascii="Times New Roman" w:hAnsi="Times New Roman" w:cs="Times New Roman"/>
          <w:bCs/>
          <w:iCs/>
          <w:color w:val="000000" w:themeColor="text1"/>
          <w:spacing w:val="0"/>
          <w:lang w:val="ru-RU"/>
        </w:rPr>
        <w:t>21 мая 1940 г. «По испытаниям литых гусенич</w:t>
      </w:r>
      <w:r w:rsidRPr="00DB5D0D">
        <w:rPr>
          <w:rStyle w:val="20130pt57"/>
          <w:rFonts w:ascii="Times New Roman" w:hAnsi="Times New Roman" w:cs="Times New Roman"/>
          <w:bCs/>
          <w:iCs/>
          <w:color w:val="000000" w:themeColor="text1"/>
          <w:spacing w:val="0"/>
          <w:lang w:val="ru-RU"/>
        </w:rPr>
        <w:softHyphen/>
        <w:t>ных лент из стали Гатфильда на танке А-34»:</w:t>
      </w:r>
    </w:p>
    <w:p w14:paraId="10E62628"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rStyle w:val="205"/>
          <w:rFonts w:ascii="Times New Roman" w:hAnsi="Times New Roman" w:cs="Times New Roman"/>
          <w:bCs/>
          <w:iCs/>
          <w:color w:val="000000" w:themeColor="text1"/>
          <w:u w:val="none"/>
          <w:lang w:val="ru-RU"/>
        </w:rPr>
        <w:t>ХАРАКТЕРИСТИКА</w:t>
      </w:r>
      <w:r w:rsidRPr="00DB5D0D">
        <w:rPr>
          <w:b w:val="0"/>
          <w:bCs w:val="0"/>
          <w:i w:val="0"/>
          <w:iCs w:val="0"/>
          <w:color w:val="000000" w:themeColor="text1"/>
          <w:sz w:val="16"/>
          <w:szCs w:val="16"/>
          <w:lang w:val="ru-RU"/>
        </w:rPr>
        <w:t>Гусеничные ленты собраны из траков закрашенных зеленой крас</w:t>
      </w:r>
      <w:r w:rsidRPr="00DB5D0D">
        <w:rPr>
          <w:b w:val="0"/>
          <w:bCs w:val="0"/>
          <w:i w:val="0"/>
          <w:iCs w:val="0"/>
          <w:color w:val="000000" w:themeColor="text1"/>
          <w:sz w:val="16"/>
          <w:szCs w:val="16"/>
          <w:lang w:val="ru-RU"/>
        </w:rPr>
        <w:softHyphen/>
        <w:t>кой с тремя штампами ОТК, которые, по мнению завода изготовите</w:t>
      </w:r>
      <w:r w:rsidRPr="00DB5D0D">
        <w:rPr>
          <w:b w:val="0"/>
          <w:bCs w:val="0"/>
          <w:i w:val="0"/>
          <w:iCs w:val="0"/>
          <w:color w:val="000000" w:themeColor="text1"/>
          <w:sz w:val="16"/>
          <w:szCs w:val="16"/>
          <w:lang w:val="ru-RU"/>
        </w:rPr>
        <w:softHyphen/>
        <w:t>ля (СТЗ им. Дзержинского), являются лучшими из присланной партии траков. Литые траки гусеничных лент (детали 34-44-004 и 34-44-005) с шагом 167 мм и шириной 550 мм отличаются от существующих (штампованных материал сталь хромансиль) тем, что опытные траки отлиты из стали Гэтфильда. Литые траки гусеничных лент механи</w:t>
      </w:r>
      <w:r w:rsidRPr="00DB5D0D">
        <w:rPr>
          <w:b w:val="0"/>
          <w:bCs w:val="0"/>
          <w:i w:val="0"/>
          <w:iCs w:val="0"/>
          <w:color w:val="000000" w:themeColor="text1"/>
          <w:sz w:val="16"/>
          <w:szCs w:val="16"/>
          <w:lang w:val="ru-RU"/>
        </w:rPr>
        <w:softHyphen/>
        <w:t>ческой обработки не подвергались.</w:t>
      </w:r>
    </w:p>
    <w:p w14:paraId="68529223"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При осмотре траков были обнаружены трещины внутри гребня, от усадки материала при остывании, мелкие раковины у подножия поч- возацеповиупроушинна 103 траках из комплекта гус. лент (148 шт.). Из траков с указанными дефектами собраны 2 гусеничные ленты по 74 трака в каждой. Пальцы изготовлены из материала ст. 40СХдиа</w:t>
      </w:r>
      <w:r w:rsidRPr="00DB5D0D">
        <w:rPr>
          <w:b w:val="0"/>
          <w:bCs w:val="0"/>
          <w:i w:val="0"/>
          <w:iCs w:val="0"/>
          <w:color w:val="000000" w:themeColor="text1"/>
          <w:sz w:val="16"/>
          <w:szCs w:val="16"/>
          <w:lang w:val="ru-RU"/>
        </w:rPr>
        <w:softHyphen/>
        <w:t xml:space="preserve">метром 18-0.2 мм, </w:t>
      </w:r>
      <w:r w:rsidRPr="00DB5D0D">
        <w:rPr>
          <w:b w:val="0"/>
          <w:bCs w:val="0"/>
          <w:i w:val="0"/>
          <w:iCs w:val="0"/>
          <w:noProof w:val="0"/>
          <w:color w:val="000000" w:themeColor="text1"/>
          <w:sz w:val="16"/>
          <w:szCs w:val="16"/>
        </w:rPr>
        <w:t>L</w:t>
      </w:r>
      <w:r w:rsidRPr="00DB5D0D">
        <w:rPr>
          <w:b w:val="0"/>
          <w:bCs w:val="0"/>
          <w:i w:val="0"/>
          <w:iCs w:val="0"/>
          <w:noProof w:val="0"/>
          <w:color w:val="000000" w:themeColor="text1"/>
          <w:sz w:val="16"/>
          <w:szCs w:val="16"/>
          <w:lang w:val="ru-RU"/>
        </w:rPr>
        <w:t xml:space="preserve">=262 </w:t>
      </w:r>
      <w:r w:rsidRPr="00DB5D0D">
        <w:rPr>
          <w:b w:val="0"/>
          <w:bCs w:val="0"/>
          <w:i w:val="0"/>
          <w:iCs w:val="0"/>
          <w:color w:val="000000" w:themeColor="text1"/>
          <w:sz w:val="16"/>
          <w:szCs w:val="16"/>
          <w:lang w:val="ru-RU"/>
        </w:rPr>
        <w:t>- 1.5 мм (ставятся по 2 шт. на трак).</w:t>
      </w:r>
    </w:p>
    <w:p w14:paraId="42BD3F1A"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При сборке обнаружено, что заусенцы от литья на проушинах, в углах пазов для проушин и перекосы траков не позволяют соеди</w:t>
      </w:r>
      <w:r w:rsidRPr="00DB5D0D">
        <w:rPr>
          <w:b w:val="0"/>
          <w:bCs w:val="0"/>
          <w:i w:val="0"/>
          <w:iCs w:val="0"/>
          <w:color w:val="000000" w:themeColor="text1"/>
          <w:sz w:val="16"/>
          <w:szCs w:val="16"/>
          <w:lang w:val="ru-RU"/>
        </w:rPr>
        <w:softHyphen/>
        <w:t>нить их пальцами, а если и возможно соединить, то не обеспечится относительное проворачивание траков. Заусенцы от литья на про</w:t>
      </w:r>
      <w:r w:rsidRPr="00DB5D0D">
        <w:rPr>
          <w:b w:val="0"/>
          <w:bCs w:val="0"/>
          <w:i w:val="0"/>
          <w:iCs w:val="0"/>
          <w:color w:val="000000" w:themeColor="text1"/>
          <w:sz w:val="16"/>
          <w:szCs w:val="16"/>
          <w:lang w:val="ru-RU"/>
        </w:rPr>
        <w:softHyphen/>
        <w:t>ушинах и боковые кромки проушин были сточены на наждачном то</w:t>
      </w:r>
      <w:r w:rsidRPr="00DB5D0D">
        <w:rPr>
          <w:b w:val="0"/>
          <w:bCs w:val="0"/>
          <w:i w:val="0"/>
          <w:iCs w:val="0"/>
          <w:color w:val="000000" w:themeColor="text1"/>
          <w:sz w:val="16"/>
          <w:szCs w:val="16"/>
          <w:lang w:val="ru-RU"/>
        </w:rPr>
        <w:softHyphen/>
        <w:t>чиле и только путем индивидуальной подгонки каждого трака в от</w:t>
      </w:r>
      <w:r w:rsidRPr="00DB5D0D">
        <w:rPr>
          <w:b w:val="0"/>
          <w:bCs w:val="0"/>
          <w:i w:val="0"/>
          <w:iCs w:val="0"/>
          <w:color w:val="000000" w:themeColor="text1"/>
          <w:sz w:val="16"/>
          <w:szCs w:val="16"/>
          <w:lang w:val="ru-RU"/>
        </w:rPr>
        <w:softHyphen/>
        <w:t>дельности были собраны гусеничные ленты.</w:t>
      </w:r>
    </w:p>
    <w:p w14:paraId="712AA1FB" w14:textId="77777777" w:rsidR="00A25AD1" w:rsidRPr="00DB5D0D" w:rsidRDefault="00A25AD1" w:rsidP="00DB5D0D">
      <w:pPr>
        <w:pStyle w:val="201"/>
        <w:shd w:val="clear" w:color="auto" w:fill="auto"/>
        <w:spacing w:before="0" w:line="240" w:lineRule="auto"/>
        <w:rPr>
          <w:b w:val="0"/>
          <w:i w:val="0"/>
          <w:iCs w:val="0"/>
          <w:color w:val="000000" w:themeColor="text1"/>
          <w:sz w:val="16"/>
          <w:szCs w:val="16"/>
          <w:lang w:val="ru-RU"/>
        </w:rPr>
      </w:pPr>
      <w:r w:rsidRPr="00DB5D0D">
        <w:rPr>
          <w:rStyle w:val="205"/>
          <w:rFonts w:ascii="Times New Roman" w:hAnsi="Times New Roman" w:cs="Times New Roman"/>
          <w:bCs/>
          <w:iCs/>
          <w:color w:val="000000" w:themeColor="text1"/>
          <w:u w:val="none"/>
        </w:rPr>
        <w:t>IV</w:t>
      </w:r>
      <w:r w:rsidRPr="00DB5D0D">
        <w:rPr>
          <w:rStyle w:val="205"/>
          <w:rFonts w:ascii="Times New Roman" w:hAnsi="Times New Roman" w:cs="Times New Roman"/>
          <w:bCs/>
          <w:iCs/>
          <w:color w:val="000000" w:themeColor="text1"/>
          <w:u w:val="none"/>
          <w:lang w:val="ru-RU"/>
        </w:rPr>
        <w:t>. Объем проведенных работ и результаты испытаний а) Лабораторные испытания.</w:t>
      </w:r>
    </w:p>
    <w:p w14:paraId="0B951CB6"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 Произведено динамическое испытание траков гусеничных лент на копре (ударом) при весе бабы копра 0,5 тонны при переменной высоте падения.</w:t>
      </w:r>
    </w:p>
    <w:p w14:paraId="727B35C6"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Траки перед испытанием устанавливались на двух опорах с рас</w:t>
      </w:r>
      <w:r w:rsidRPr="00DB5D0D">
        <w:rPr>
          <w:b w:val="0"/>
          <w:bCs w:val="0"/>
          <w:i w:val="0"/>
          <w:iCs w:val="0"/>
          <w:color w:val="000000" w:themeColor="text1"/>
          <w:sz w:val="16"/>
          <w:szCs w:val="16"/>
          <w:lang w:val="ru-RU"/>
        </w:rPr>
        <w:softHyphen/>
        <w:t>стоянием между ними - 400-450 мм. Траки с гребнем устанавлива</w:t>
      </w:r>
      <w:r w:rsidRPr="00DB5D0D">
        <w:rPr>
          <w:b w:val="0"/>
          <w:bCs w:val="0"/>
          <w:i w:val="0"/>
          <w:iCs w:val="0"/>
          <w:color w:val="000000" w:themeColor="text1"/>
          <w:sz w:val="16"/>
          <w:szCs w:val="16"/>
          <w:lang w:val="ru-RU"/>
        </w:rPr>
        <w:softHyphen/>
        <w:t>лись гребнем вверх, причем удар бабы воспринимался вершиной гребня. Плоские траки устанавливались беговой дорожкой вверх. Углы изгиба траков после удара замерялись с обоих сторон.</w:t>
      </w:r>
    </w:p>
    <w:p w14:paraId="7BCAEDF4"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Результаты испытаний.</w:t>
      </w:r>
    </w:p>
    <w:p w14:paraId="3317A1C0" w14:textId="77777777" w:rsidR="00A25AD1" w:rsidRPr="00DB5D0D" w:rsidRDefault="00A25AD1" w:rsidP="00DB5D0D">
      <w:pPr>
        <w:pStyle w:val="201"/>
        <w:shd w:val="clear" w:color="auto" w:fill="auto"/>
        <w:tabs>
          <w:tab w:val="left" w:pos="48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1)Штампованный трак - плоский (из хромансиля)</w:t>
      </w:r>
    </w:p>
    <w:p w14:paraId="2CA5232F" w14:textId="77777777" w:rsidR="00A25AD1" w:rsidRPr="00DB5D0D" w:rsidRDefault="00A25AD1" w:rsidP="00DB5D0D">
      <w:pPr>
        <w:pStyle w:val="201"/>
        <w:shd w:val="clear" w:color="auto" w:fill="auto"/>
        <w:tabs>
          <w:tab w:val="left" w:pos="486"/>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а)Высота падения бабы Н = 2 мт. - трак согнут на 10°, следов трещин нет.</w:t>
      </w:r>
    </w:p>
    <w:p w14:paraId="56439325" w14:textId="77777777" w:rsidR="00A25AD1" w:rsidRPr="00DB5D0D" w:rsidRDefault="00A25AD1" w:rsidP="00DB5D0D">
      <w:pPr>
        <w:pStyle w:val="201"/>
        <w:shd w:val="clear" w:color="auto" w:fill="auto"/>
        <w:tabs>
          <w:tab w:val="left" w:pos="50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б)Н=3,5 мт. - трак лопнул на 2 части по середине при изгибе на угол - 25°.</w:t>
      </w:r>
    </w:p>
    <w:p w14:paraId="7970E0CF" w14:textId="77777777" w:rsidR="00A25AD1" w:rsidRPr="00DB5D0D" w:rsidRDefault="00A25AD1" w:rsidP="00DB5D0D">
      <w:pPr>
        <w:pStyle w:val="201"/>
        <w:shd w:val="clear" w:color="auto" w:fill="auto"/>
        <w:tabs>
          <w:tab w:val="left" w:pos="49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2)Литой трак - плоский (сталь Гэтфильда)</w:t>
      </w:r>
    </w:p>
    <w:p w14:paraId="7A6D5464" w14:textId="77777777" w:rsidR="00A25AD1" w:rsidRPr="00DB5D0D" w:rsidRDefault="00A25AD1" w:rsidP="00DB5D0D">
      <w:pPr>
        <w:pStyle w:val="201"/>
        <w:shd w:val="clear" w:color="auto" w:fill="auto"/>
        <w:tabs>
          <w:tab w:val="left" w:pos="507"/>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а)Н=2мт. - трак согнут на угле 20-30°, следов трещин нет.</w:t>
      </w:r>
    </w:p>
    <w:p w14:paraId="4F4B6F72" w14:textId="77777777" w:rsidR="00A25AD1" w:rsidRPr="00DB5D0D" w:rsidRDefault="00A25AD1" w:rsidP="00DB5D0D">
      <w:pPr>
        <w:pStyle w:val="201"/>
        <w:shd w:val="clear" w:color="auto" w:fill="auto"/>
        <w:tabs>
          <w:tab w:val="left" w:pos="51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 = 3,5 мт. - трак согнут на угле 30-40°, следов трещин нет.</w:t>
      </w:r>
    </w:p>
    <w:p w14:paraId="1BFF50A4" w14:textId="77777777" w:rsidR="00A25AD1" w:rsidRPr="00DB5D0D" w:rsidRDefault="00A25AD1" w:rsidP="00DB5D0D">
      <w:pPr>
        <w:pStyle w:val="201"/>
        <w:shd w:val="clear" w:color="auto" w:fill="auto"/>
        <w:tabs>
          <w:tab w:val="left" w:pos="50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в)Н = 6 мт. - трак согнут на угле 30-45°, трещина-разрыв на почвозацепе глубиной 25 мм.</w:t>
      </w:r>
    </w:p>
    <w:p w14:paraId="2CC57075" w14:textId="77777777" w:rsidR="00A25AD1" w:rsidRPr="00DB5D0D" w:rsidRDefault="00A25AD1" w:rsidP="00DB5D0D">
      <w:pPr>
        <w:pStyle w:val="201"/>
        <w:shd w:val="clear" w:color="auto" w:fill="auto"/>
        <w:tabs>
          <w:tab w:val="left" w:pos="51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3)Штампованный трак с гребнем (из хромансиля)</w:t>
      </w:r>
    </w:p>
    <w:p w14:paraId="2D77F9EB" w14:textId="77777777" w:rsidR="00A25AD1" w:rsidRPr="00DB5D0D" w:rsidRDefault="00A25AD1" w:rsidP="00DB5D0D">
      <w:pPr>
        <w:pStyle w:val="201"/>
        <w:shd w:val="clear" w:color="auto" w:fill="auto"/>
        <w:tabs>
          <w:tab w:val="left" w:pos="51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а)Н = 2мт. - трак согнут на угле 15°, следов трещин нет.</w:t>
      </w:r>
    </w:p>
    <w:p w14:paraId="6EBB75CC" w14:textId="77777777" w:rsidR="00A25AD1" w:rsidRPr="00DB5D0D" w:rsidRDefault="00A25AD1" w:rsidP="00DB5D0D">
      <w:pPr>
        <w:pStyle w:val="201"/>
        <w:shd w:val="clear" w:color="auto" w:fill="auto"/>
        <w:tabs>
          <w:tab w:val="left" w:pos="514"/>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 = 4 мт. - трак согнут на угле 20-25°, трещина-разрыв на почвозацепе глубиной 25 мм.</w:t>
      </w:r>
    </w:p>
    <w:p w14:paraId="28A3139D" w14:textId="77777777" w:rsidR="00A25AD1" w:rsidRPr="00DB5D0D" w:rsidRDefault="00A25AD1" w:rsidP="00DB5D0D">
      <w:pPr>
        <w:pStyle w:val="201"/>
        <w:shd w:val="clear" w:color="auto" w:fill="auto"/>
        <w:tabs>
          <w:tab w:val="left" w:pos="49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в)Н=6 мт.- трак согнут с одной стороны на угол 60°, трещина- разрыву гребня, выходящая на плицу с одной стороны на 10 мм, ас другой стороны на 40 мм.</w:t>
      </w:r>
    </w:p>
    <w:p w14:paraId="1334354C" w14:textId="77777777" w:rsidR="00A25AD1" w:rsidRPr="00DB5D0D" w:rsidRDefault="00A25AD1" w:rsidP="00DB5D0D">
      <w:pPr>
        <w:pStyle w:val="201"/>
        <w:shd w:val="clear" w:color="auto" w:fill="auto"/>
        <w:tabs>
          <w:tab w:val="left" w:pos="50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4)Литой трак с гребнем (сталь Гэтфильда)</w:t>
      </w:r>
    </w:p>
    <w:p w14:paraId="54ED4E1E" w14:textId="77777777" w:rsidR="00A25AD1" w:rsidRPr="00DB5D0D" w:rsidRDefault="00A25AD1" w:rsidP="00DB5D0D">
      <w:pPr>
        <w:pStyle w:val="201"/>
        <w:shd w:val="clear" w:color="auto" w:fill="auto"/>
        <w:tabs>
          <w:tab w:val="left" w:pos="48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а)Н=2 мт. - трак согнут на угле 30°, трещин нет, смята средняя проушина и вершина гребня.</w:t>
      </w:r>
    </w:p>
    <w:p w14:paraId="2EDAC6DE" w14:textId="77777777" w:rsidR="00A25AD1" w:rsidRPr="00DB5D0D" w:rsidRDefault="00A25AD1" w:rsidP="00DB5D0D">
      <w:pPr>
        <w:pStyle w:val="201"/>
        <w:shd w:val="clear" w:color="auto" w:fill="auto"/>
        <w:tabs>
          <w:tab w:val="left" w:pos="50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б)Н = 4 мт. - трак согнут на угле 35°, следов трещин нет, смята и погнута вершина гребня.</w:t>
      </w:r>
    </w:p>
    <w:p w14:paraId="1A0BF0B1" w14:textId="77777777" w:rsidR="00A25AD1" w:rsidRPr="00DB5D0D" w:rsidRDefault="00A25AD1" w:rsidP="00DB5D0D">
      <w:pPr>
        <w:pStyle w:val="201"/>
        <w:shd w:val="clear" w:color="auto" w:fill="auto"/>
        <w:tabs>
          <w:tab w:val="left" w:pos="514"/>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в)Н = 6 мт. - трак согнут на угле 30* заметное удлинение (вытяжка) почвозацепа, смята средняя проушина и согнута вер</w:t>
      </w:r>
      <w:r w:rsidRPr="00DB5D0D">
        <w:rPr>
          <w:b w:val="0"/>
          <w:bCs w:val="0"/>
          <w:i w:val="0"/>
          <w:iCs w:val="0"/>
          <w:color w:val="000000" w:themeColor="text1"/>
          <w:sz w:val="16"/>
          <w:szCs w:val="16"/>
          <w:lang w:val="ru-RU"/>
        </w:rPr>
        <w:softHyphen/>
        <w:t>шина гребня.</w:t>
      </w:r>
    </w:p>
    <w:p w14:paraId="571D7910"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Данные по испытаниям на копре говорят за то, что литые траки из стали Гэтфильда по вязкости лучше чем штампованные из стали Хромансиль.</w:t>
      </w:r>
    </w:p>
    <w:p w14:paraId="20BA2E96"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 Произведено статическое испытание траков на изгиб под прессом.</w:t>
      </w:r>
    </w:p>
    <w:p w14:paraId="2199E6D1"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Траки устанавливались на одну опору по центру. В верхней упор</w:t>
      </w:r>
      <w:r w:rsidRPr="00DB5D0D">
        <w:rPr>
          <w:b w:val="0"/>
          <w:bCs w:val="0"/>
          <w:i w:val="0"/>
          <w:iCs w:val="0"/>
          <w:color w:val="000000" w:themeColor="text1"/>
          <w:sz w:val="16"/>
          <w:szCs w:val="16"/>
          <w:lang w:val="ru-RU"/>
        </w:rPr>
        <w:softHyphen/>
        <w:t>ной части были установлены две опоры, расстояние между которы</w:t>
      </w:r>
      <w:r w:rsidRPr="00DB5D0D">
        <w:rPr>
          <w:b w:val="0"/>
          <w:bCs w:val="0"/>
          <w:i w:val="0"/>
          <w:iCs w:val="0"/>
          <w:color w:val="000000" w:themeColor="text1"/>
          <w:sz w:val="16"/>
          <w:szCs w:val="16"/>
          <w:lang w:val="ru-RU"/>
        </w:rPr>
        <w:softHyphen/>
        <w:t>ми равно 440 мм.</w:t>
      </w:r>
    </w:p>
    <w:p w14:paraId="2838ADDA"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rPr>
      </w:pPr>
      <w:r w:rsidRPr="00DB5D0D">
        <w:rPr>
          <w:b w:val="0"/>
          <w:bCs w:val="0"/>
          <w:i w:val="0"/>
          <w:iCs w:val="0"/>
          <w:color w:val="000000" w:themeColor="text1"/>
          <w:sz w:val="16"/>
          <w:szCs w:val="16"/>
          <w:lang w:val="ru-RU"/>
        </w:rPr>
        <w:lastRenderedPageBreak/>
        <w:t>Траки устанавливались на опоры так, что изгиб происходил в сторону почвозацепа - аналогично действию сил на изгиб траковустановленных на танке. Испытаниям на изгиб подвергались только плоские траки, т.к. на существующем прессе в лаборатории невоз</w:t>
      </w:r>
      <w:r w:rsidRPr="00DB5D0D">
        <w:rPr>
          <w:b w:val="0"/>
          <w:bCs w:val="0"/>
          <w:i w:val="0"/>
          <w:iCs w:val="0"/>
          <w:color w:val="000000" w:themeColor="text1"/>
          <w:sz w:val="16"/>
          <w:szCs w:val="16"/>
          <w:lang w:val="ru-RU"/>
        </w:rPr>
        <w:softHyphen/>
        <w:t xml:space="preserve">можно было установить гребневые траки. </w:t>
      </w:r>
      <w:r w:rsidRPr="00DB5D0D">
        <w:rPr>
          <w:b w:val="0"/>
          <w:bCs w:val="0"/>
          <w:i w:val="0"/>
          <w:iCs w:val="0"/>
          <w:color w:val="000000" w:themeColor="text1"/>
          <w:sz w:val="16"/>
          <w:szCs w:val="16"/>
        </w:rPr>
        <w:t>Результаты испытаний: см. в таблице №1.</w:t>
      </w:r>
    </w:p>
    <w:p w14:paraId="21725A71" w14:textId="77777777" w:rsidR="00A25AD1" w:rsidRPr="00DB5D0D" w:rsidRDefault="00A25AD1" w:rsidP="00DB5D0D">
      <w:pPr>
        <w:pStyle w:val="210"/>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Таблица №1</w:t>
      </w:r>
    </w:p>
    <w:tbl>
      <w:tblPr>
        <w:tblW w:w="0" w:type="auto"/>
        <w:tblInd w:w="8" w:type="dxa"/>
        <w:tblLayout w:type="fixed"/>
        <w:tblCellMar>
          <w:left w:w="0" w:type="dxa"/>
          <w:right w:w="0" w:type="dxa"/>
        </w:tblCellMar>
        <w:tblLook w:val="0000" w:firstRow="0" w:lastRow="0" w:firstColumn="0" w:lastColumn="0" w:noHBand="0" w:noVBand="0"/>
      </w:tblPr>
      <w:tblGrid>
        <w:gridCol w:w="1699"/>
        <w:gridCol w:w="965"/>
        <w:gridCol w:w="811"/>
        <w:gridCol w:w="1589"/>
      </w:tblGrid>
      <w:tr w:rsidR="007D5DF8" w:rsidRPr="00DB5D0D" w14:paraId="713D13D3" w14:textId="77777777" w:rsidTr="009223E5">
        <w:trPr>
          <w:trHeight w:val="389"/>
        </w:trPr>
        <w:tc>
          <w:tcPr>
            <w:tcW w:w="1699" w:type="dxa"/>
            <w:tcBorders>
              <w:top w:val="single" w:sz="6" w:space="0" w:color="auto"/>
              <w:left w:val="single" w:sz="6" w:space="0" w:color="auto"/>
              <w:bottom w:val="single" w:sz="6" w:space="0" w:color="auto"/>
              <w:right w:val="single" w:sz="6" w:space="0" w:color="auto"/>
            </w:tcBorders>
            <w:shd w:val="clear" w:color="auto" w:fill="FFFFFF"/>
          </w:tcPr>
          <w:p w14:paraId="3B04572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Наименование трака</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30902C31"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Нагрузка в кг.</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5FC100C"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Угол изгиба</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5200515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Примечание</w:t>
            </w:r>
          </w:p>
        </w:tc>
      </w:tr>
      <w:tr w:rsidR="007D5DF8" w:rsidRPr="00DB5D0D" w14:paraId="11D20770" w14:textId="77777777" w:rsidTr="009223E5">
        <w:trPr>
          <w:trHeight w:val="379"/>
        </w:trPr>
        <w:tc>
          <w:tcPr>
            <w:tcW w:w="1699" w:type="dxa"/>
            <w:tcBorders>
              <w:top w:val="single" w:sz="6" w:space="0" w:color="auto"/>
              <w:left w:val="single" w:sz="6" w:space="0" w:color="auto"/>
              <w:bottom w:val="nil"/>
              <w:right w:val="single" w:sz="6" w:space="0" w:color="auto"/>
            </w:tcBorders>
            <w:shd w:val="clear" w:color="auto" w:fill="FFFFFF"/>
          </w:tcPr>
          <w:p w14:paraId="4F2E7FB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lang w:val="ru-RU"/>
              </w:rPr>
            </w:pPr>
            <w:r w:rsidRPr="00DB5D0D">
              <w:rPr>
                <w:rFonts w:ascii="Times New Roman" w:hAnsi="Times New Roman" w:cs="Times New Roman"/>
                <w:i w:val="0"/>
                <w:iCs w:val="0"/>
                <w:color w:val="000000" w:themeColor="text1"/>
                <w:spacing w:val="0"/>
                <w:lang w:val="ru-RU"/>
              </w:rPr>
              <w:t>Штампованный плоский трак (сталь Хромансиль)</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45E63EE9"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15600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D0849A9"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45°</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31FEAA24"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Трещина посередине почвозацепа</w:t>
            </w:r>
          </w:p>
        </w:tc>
      </w:tr>
      <w:tr w:rsidR="007D5DF8" w:rsidRPr="00DB5D0D" w14:paraId="7AEE1F6C" w14:textId="77777777" w:rsidTr="009223E5">
        <w:trPr>
          <w:trHeight w:val="197"/>
        </w:trPr>
        <w:tc>
          <w:tcPr>
            <w:tcW w:w="1699" w:type="dxa"/>
            <w:tcBorders>
              <w:top w:val="nil"/>
              <w:left w:val="single" w:sz="6" w:space="0" w:color="auto"/>
              <w:bottom w:val="nil"/>
              <w:right w:val="single" w:sz="6" w:space="0" w:color="auto"/>
            </w:tcBorders>
            <w:shd w:val="clear" w:color="auto" w:fill="FFFFFF"/>
          </w:tcPr>
          <w:p w14:paraId="41741DCB"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A7C0E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20600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49F19D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30°</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06AECCA9"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 нет</w:t>
            </w:r>
          </w:p>
        </w:tc>
      </w:tr>
      <w:tr w:rsidR="007D5DF8" w:rsidRPr="00DB5D0D" w14:paraId="5D9FFBC2" w14:textId="77777777" w:rsidTr="009223E5">
        <w:trPr>
          <w:trHeight w:val="192"/>
        </w:trPr>
        <w:tc>
          <w:tcPr>
            <w:tcW w:w="1699" w:type="dxa"/>
            <w:tcBorders>
              <w:top w:val="nil"/>
              <w:left w:val="single" w:sz="6" w:space="0" w:color="auto"/>
              <w:bottom w:val="single" w:sz="6" w:space="0" w:color="auto"/>
              <w:right w:val="single" w:sz="6" w:space="0" w:color="auto"/>
            </w:tcBorders>
            <w:shd w:val="clear" w:color="auto" w:fill="FFFFFF"/>
          </w:tcPr>
          <w:p w14:paraId="1C385CA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394689FE"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21600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228B8A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30°</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4F3FCCC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 нет</w:t>
            </w:r>
          </w:p>
        </w:tc>
      </w:tr>
      <w:tr w:rsidR="007D5DF8" w:rsidRPr="00DB5D0D" w14:paraId="65974704" w14:textId="77777777" w:rsidTr="009223E5">
        <w:trPr>
          <w:trHeight w:val="379"/>
        </w:trPr>
        <w:tc>
          <w:tcPr>
            <w:tcW w:w="1699" w:type="dxa"/>
            <w:tcBorders>
              <w:top w:val="single" w:sz="6" w:space="0" w:color="auto"/>
              <w:left w:val="single" w:sz="6" w:space="0" w:color="auto"/>
              <w:bottom w:val="nil"/>
              <w:right w:val="single" w:sz="6" w:space="0" w:color="auto"/>
            </w:tcBorders>
            <w:shd w:val="clear" w:color="auto" w:fill="FFFFFF"/>
          </w:tcPr>
          <w:p w14:paraId="5D8A18EB"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lang w:val="ru-RU"/>
              </w:rPr>
            </w:pPr>
            <w:r w:rsidRPr="00DB5D0D">
              <w:rPr>
                <w:rFonts w:ascii="Times New Roman" w:hAnsi="Times New Roman" w:cs="Times New Roman"/>
                <w:i w:val="0"/>
                <w:iCs w:val="0"/>
                <w:color w:val="000000" w:themeColor="text1"/>
                <w:spacing w:val="0"/>
                <w:lang w:val="ru-RU"/>
              </w:rPr>
              <w:t>Плоский литой трак из стали Гэтфипьда</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5EAC83D"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8800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B108FF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45°</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757005B1"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Трещина посередине почвозацепа</w:t>
            </w:r>
          </w:p>
        </w:tc>
      </w:tr>
      <w:tr w:rsidR="007D5DF8" w:rsidRPr="00DB5D0D" w14:paraId="74B4DF29" w14:textId="77777777" w:rsidTr="009223E5">
        <w:trPr>
          <w:trHeight w:val="192"/>
        </w:trPr>
        <w:tc>
          <w:tcPr>
            <w:tcW w:w="1699" w:type="dxa"/>
            <w:tcBorders>
              <w:top w:val="nil"/>
              <w:left w:val="single" w:sz="6" w:space="0" w:color="auto"/>
              <w:bottom w:val="nil"/>
              <w:right w:val="single" w:sz="6" w:space="0" w:color="auto"/>
            </w:tcBorders>
            <w:shd w:val="clear" w:color="auto" w:fill="FFFFFF"/>
          </w:tcPr>
          <w:p w14:paraId="778C5E0F"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5F015E1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10200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5283368D"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45°</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0ED0A0C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 нет</w:t>
            </w:r>
          </w:p>
        </w:tc>
      </w:tr>
      <w:tr w:rsidR="007D5DF8" w:rsidRPr="00DB5D0D" w14:paraId="65384ACA" w14:textId="77777777" w:rsidTr="009223E5">
        <w:trPr>
          <w:trHeight w:val="211"/>
        </w:trPr>
        <w:tc>
          <w:tcPr>
            <w:tcW w:w="1699" w:type="dxa"/>
            <w:tcBorders>
              <w:top w:val="nil"/>
              <w:left w:val="single" w:sz="6" w:space="0" w:color="auto"/>
              <w:bottom w:val="single" w:sz="6" w:space="0" w:color="auto"/>
              <w:right w:val="single" w:sz="6" w:space="0" w:color="auto"/>
            </w:tcBorders>
            <w:shd w:val="clear" w:color="auto" w:fill="FFFFFF"/>
          </w:tcPr>
          <w:p w14:paraId="59E2252C"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53B8FDCC"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9600</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7AED5BC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Ж</w:t>
            </w:r>
          </w:p>
        </w:tc>
        <w:tc>
          <w:tcPr>
            <w:tcW w:w="1589" w:type="dxa"/>
            <w:tcBorders>
              <w:top w:val="single" w:sz="6" w:space="0" w:color="auto"/>
              <w:left w:val="single" w:sz="6" w:space="0" w:color="auto"/>
              <w:bottom w:val="single" w:sz="6" w:space="0" w:color="auto"/>
              <w:right w:val="single" w:sz="6" w:space="0" w:color="auto"/>
            </w:tcBorders>
            <w:shd w:val="clear" w:color="auto" w:fill="FFFFFF"/>
          </w:tcPr>
          <w:p w14:paraId="7EE6542D"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Трещин нет</w:t>
            </w:r>
          </w:p>
        </w:tc>
      </w:tr>
    </w:tbl>
    <w:p w14:paraId="3B9A1EBF"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Данная таблица показывает, что литые траки из стали Гатфильда при меньшей нагрузке дают больший угол и при этом дефекты такие же как и у штампованных траков при большей нагрузке и при мень</w:t>
      </w:r>
      <w:r w:rsidRPr="00DB5D0D">
        <w:rPr>
          <w:b w:val="0"/>
          <w:bCs w:val="0"/>
          <w:i w:val="0"/>
          <w:iCs w:val="0"/>
          <w:color w:val="000000" w:themeColor="text1"/>
          <w:sz w:val="16"/>
          <w:szCs w:val="16"/>
          <w:lang w:val="ru-RU"/>
        </w:rPr>
        <w:softHyphen/>
        <w:t>ших углах изгибов.</w:t>
      </w:r>
    </w:p>
    <w:p w14:paraId="229A466D" w14:textId="77777777" w:rsidR="00A25AD1" w:rsidRPr="00DB5D0D" w:rsidRDefault="00A25AD1" w:rsidP="00DB5D0D">
      <w:pPr>
        <w:pStyle w:val="201"/>
        <w:shd w:val="clear" w:color="auto" w:fill="auto"/>
        <w:spacing w:before="0" w:line="240" w:lineRule="auto"/>
        <w:rPr>
          <w:b w:val="0"/>
          <w:i w:val="0"/>
          <w:iCs w:val="0"/>
          <w:color w:val="000000" w:themeColor="text1"/>
          <w:sz w:val="16"/>
          <w:szCs w:val="16"/>
          <w:lang w:val="ru-RU"/>
        </w:rPr>
      </w:pPr>
      <w:r w:rsidRPr="00DB5D0D">
        <w:rPr>
          <w:rStyle w:val="204"/>
          <w:rFonts w:ascii="Times New Roman" w:hAnsi="Times New Roman" w:cs="Times New Roman"/>
          <w:bCs/>
          <w:iCs/>
          <w:color w:val="000000" w:themeColor="text1"/>
          <w:u w:val="none"/>
          <w:lang w:val="ru-RU"/>
        </w:rPr>
        <w:t>б) Ходовые испытания.</w:t>
      </w:r>
    </w:p>
    <w:p w14:paraId="138C908D" w14:textId="77777777" w:rsidR="00A25AD1" w:rsidRPr="00DB5D0D" w:rsidRDefault="00A25AD1" w:rsidP="00DB5D0D">
      <w:pPr>
        <w:pStyle w:val="201"/>
        <w:shd w:val="clear" w:color="auto" w:fill="auto"/>
        <w:tabs>
          <w:tab w:val="left" w:pos="55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1.Комплект литых гусеничных лент, собранных из траков ст. Гатфильда был смонтирован на танк А-34 №311-18-3 и за пе</w:t>
      </w:r>
      <w:r w:rsidRPr="00DB5D0D">
        <w:rPr>
          <w:b w:val="0"/>
          <w:bCs w:val="0"/>
          <w:i w:val="0"/>
          <w:iCs w:val="0"/>
          <w:color w:val="000000" w:themeColor="text1"/>
          <w:sz w:val="16"/>
          <w:szCs w:val="16"/>
          <w:lang w:val="ru-RU"/>
        </w:rPr>
        <w:softHyphen/>
        <w:t xml:space="preserve">риод с </w:t>
      </w:r>
      <w:r w:rsidRPr="00DB5D0D">
        <w:rPr>
          <w:b w:val="0"/>
          <w:bCs w:val="0"/>
          <w:i w:val="0"/>
          <w:iCs w:val="0"/>
          <w:noProof w:val="0"/>
          <w:color w:val="000000" w:themeColor="text1"/>
          <w:sz w:val="16"/>
          <w:szCs w:val="16"/>
          <w:lang w:val="ru-RU"/>
        </w:rPr>
        <w:t>12/</w:t>
      </w:r>
      <w:r w:rsidRPr="00DB5D0D">
        <w:rPr>
          <w:b w:val="0"/>
          <w:bCs w:val="0"/>
          <w:i w:val="0"/>
          <w:iCs w:val="0"/>
          <w:noProof w:val="0"/>
          <w:color w:val="000000" w:themeColor="text1"/>
          <w:sz w:val="16"/>
          <w:szCs w:val="16"/>
        </w:rPr>
        <w:t>V</w:t>
      </w:r>
      <w:r w:rsidRPr="00DB5D0D">
        <w:rPr>
          <w:b w:val="0"/>
          <w:bCs w:val="0"/>
          <w:i w:val="0"/>
          <w:iCs w:val="0"/>
          <w:noProof w:val="0"/>
          <w:color w:val="000000" w:themeColor="text1"/>
          <w:sz w:val="16"/>
          <w:szCs w:val="16"/>
          <w:lang w:val="ru-RU"/>
        </w:rPr>
        <w:t xml:space="preserve">-40 </w:t>
      </w:r>
      <w:r w:rsidRPr="00DB5D0D">
        <w:rPr>
          <w:b w:val="0"/>
          <w:bCs w:val="0"/>
          <w:i w:val="0"/>
          <w:iCs w:val="0"/>
          <w:color w:val="000000" w:themeColor="text1"/>
          <w:sz w:val="16"/>
          <w:szCs w:val="16"/>
          <w:lang w:val="ru-RU"/>
        </w:rPr>
        <w:t>по 1</w:t>
      </w:r>
      <w:r w:rsidRPr="00DB5D0D">
        <w:rPr>
          <w:b w:val="0"/>
          <w:bCs w:val="0"/>
          <w:i w:val="0"/>
          <w:iCs w:val="0"/>
          <w:noProof w:val="0"/>
          <w:color w:val="000000" w:themeColor="text1"/>
          <w:sz w:val="16"/>
          <w:szCs w:val="16"/>
          <w:lang w:val="ru-RU"/>
        </w:rPr>
        <w:t>7/</w:t>
      </w:r>
      <w:r w:rsidRPr="00DB5D0D">
        <w:rPr>
          <w:b w:val="0"/>
          <w:bCs w:val="0"/>
          <w:i w:val="0"/>
          <w:iCs w:val="0"/>
          <w:noProof w:val="0"/>
          <w:color w:val="000000" w:themeColor="text1"/>
          <w:sz w:val="16"/>
          <w:szCs w:val="16"/>
        </w:rPr>
        <w:t>V</w:t>
      </w:r>
      <w:r w:rsidRPr="00DB5D0D">
        <w:rPr>
          <w:b w:val="0"/>
          <w:bCs w:val="0"/>
          <w:i w:val="0"/>
          <w:iCs w:val="0"/>
          <w:noProof w:val="0"/>
          <w:color w:val="000000" w:themeColor="text1"/>
          <w:sz w:val="16"/>
          <w:szCs w:val="16"/>
          <w:lang w:val="ru-RU"/>
        </w:rPr>
        <w:t xml:space="preserve">-40 </w:t>
      </w:r>
      <w:r w:rsidRPr="00DB5D0D">
        <w:rPr>
          <w:b w:val="0"/>
          <w:bCs w:val="0"/>
          <w:i w:val="0"/>
          <w:iCs w:val="0"/>
          <w:color w:val="000000" w:themeColor="text1"/>
          <w:sz w:val="16"/>
          <w:szCs w:val="16"/>
          <w:lang w:val="ru-RU"/>
        </w:rPr>
        <w:t>г. прошел 417 км., из них: по грунтовой дороге - 195 км., по песчаной дороге - 80 км и по булыжному шоссе - 142 км. Средняя скорость чистого движения за время испытаний была по грунтовой дороге - 22,9 км/час и 37 км/час по булыжному шоссе.</w:t>
      </w:r>
    </w:p>
    <w:p w14:paraId="1292399B" w14:textId="77777777" w:rsidR="00A25AD1" w:rsidRPr="00DB5D0D" w:rsidRDefault="00A25AD1" w:rsidP="00DB5D0D">
      <w:pPr>
        <w:pStyle w:val="201"/>
        <w:shd w:val="clear" w:color="auto" w:fill="auto"/>
        <w:tabs>
          <w:tab w:val="left" w:pos="514"/>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2.За пройденный километраж имело место: сработка закле</w:t>
      </w:r>
      <w:r w:rsidRPr="00DB5D0D">
        <w:rPr>
          <w:b w:val="0"/>
          <w:bCs w:val="0"/>
          <w:i w:val="0"/>
          <w:iCs w:val="0"/>
          <w:color w:val="000000" w:themeColor="text1"/>
          <w:sz w:val="16"/>
          <w:szCs w:val="16"/>
          <w:lang w:val="ru-RU"/>
        </w:rPr>
        <w:softHyphen/>
        <w:t>пок и утеря их на 50%, выход пальцев из проушин (2 случая в начале испытаний, первый на 61 км, второй на 120 км пути). Вы</w:t>
      </w:r>
      <w:r w:rsidRPr="00DB5D0D">
        <w:rPr>
          <w:b w:val="0"/>
          <w:bCs w:val="0"/>
          <w:i w:val="0"/>
          <w:iCs w:val="0"/>
          <w:color w:val="000000" w:themeColor="text1"/>
          <w:sz w:val="16"/>
          <w:szCs w:val="16"/>
          <w:lang w:val="ru-RU"/>
        </w:rPr>
        <w:softHyphen/>
        <w:t>ход пальцев из проушин объясняется тем, что палец еще не при</w:t>
      </w:r>
      <w:r w:rsidRPr="00DB5D0D">
        <w:rPr>
          <w:b w:val="0"/>
          <w:bCs w:val="0"/>
          <w:i w:val="0"/>
          <w:iCs w:val="0"/>
          <w:color w:val="000000" w:themeColor="text1"/>
          <w:sz w:val="16"/>
          <w:szCs w:val="16"/>
          <w:lang w:val="ru-RU"/>
        </w:rPr>
        <w:softHyphen/>
        <w:t>работался по месту благодаря большим зазорам в отверстиях проушин для пальца (Ф18 + 1,0 мм, а палец Ф18 - 0,12 мм). Кроме этого производилась 3 раза подтяжка гусеничных лент.</w:t>
      </w:r>
    </w:p>
    <w:p w14:paraId="0EB8B49F" w14:textId="77777777" w:rsidR="00A25AD1" w:rsidRPr="00DB5D0D" w:rsidRDefault="00A25AD1" w:rsidP="00DB5D0D">
      <w:pPr>
        <w:pStyle w:val="201"/>
        <w:shd w:val="clear" w:color="auto" w:fill="auto"/>
        <w:tabs>
          <w:tab w:val="left" w:pos="48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3.Гусеничные ленты из литых траков подвергались специспыта</w:t>
      </w:r>
      <w:r w:rsidRPr="00DB5D0D">
        <w:rPr>
          <w:b w:val="0"/>
          <w:bCs w:val="0"/>
          <w:i w:val="0"/>
          <w:iCs w:val="0"/>
          <w:color w:val="000000" w:themeColor="text1"/>
          <w:sz w:val="16"/>
          <w:szCs w:val="16"/>
          <w:lang w:val="ru-RU"/>
        </w:rPr>
        <w:softHyphen/>
        <w:t>ниям на булыжном шоссе, которые заключались в следующем:</w:t>
      </w:r>
    </w:p>
    <w:p w14:paraId="5EF5EBE9" w14:textId="77777777" w:rsidR="00A25AD1" w:rsidRPr="00DB5D0D" w:rsidRDefault="00A25AD1" w:rsidP="00DB5D0D">
      <w:pPr>
        <w:pStyle w:val="201"/>
        <w:shd w:val="clear" w:color="auto" w:fill="auto"/>
        <w:tabs>
          <w:tab w:val="left" w:pos="414"/>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а)Движение танка по булыжному шоссе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 xml:space="preserve"> передаче при 1700- 1800 об/мин коленвала мотора.</w:t>
      </w:r>
    </w:p>
    <w:p w14:paraId="1B6833AC" w14:textId="77777777" w:rsidR="00A25AD1" w:rsidRPr="00DB5D0D" w:rsidRDefault="00A25AD1" w:rsidP="00DB5D0D">
      <w:pPr>
        <w:pStyle w:val="201"/>
        <w:shd w:val="clear" w:color="auto" w:fill="auto"/>
        <w:tabs>
          <w:tab w:val="left" w:pos="50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б)3 торможения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 xml:space="preserve"> передаче при 1700-1800 об/мин коленва</w:t>
      </w:r>
      <w:r w:rsidRPr="00DB5D0D">
        <w:rPr>
          <w:b w:val="0"/>
          <w:bCs w:val="0"/>
          <w:i w:val="0"/>
          <w:iCs w:val="0"/>
          <w:color w:val="000000" w:themeColor="text1"/>
          <w:sz w:val="16"/>
          <w:szCs w:val="16"/>
          <w:lang w:val="ru-RU"/>
        </w:rPr>
        <w:softHyphen/>
        <w:t>ла мотора.</w:t>
      </w:r>
    </w:p>
    <w:p w14:paraId="079301CA" w14:textId="77777777" w:rsidR="00A25AD1" w:rsidRPr="00DB5D0D" w:rsidRDefault="00A25AD1" w:rsidP="00DB5D0D">
      <w:pPr>
        <w:pStyle w:val="201"/>
        <w:shd w:val="clear" w:color="auto" w:fill="auto"/>
        <w:tabs>
          <w:tab w:val="left" w:pos="463"/>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в)Движение танка по камням (булыжник).</w:t>
      </w:r>
    </w:p>
    <w:p w14:paraId="2DB84D9E"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При движении танка по булыжному шоссе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 xml:space="preserve"> передаче при 1700-1800 об/мин коленвала мотора была выдержана скорость 36-37км/час - танк прошел 111 км. Дефектов в пути по гусеничным лентам не обнаружено, за исключением утери шплинтов пальцев.</w:t>
      </w:r>
    </w:p>
    <w:p w14:paraId="128678D3"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Торможение:</w:t>
      </w:r>
    </w:p>
    <w:p w14:paraId="4BD5E2A3" w14:textId="77777777" w:rsidR="00A25AD1" w:rsidRPr="00DB5D0D" w:rsidRDefault="00A25AD1" w:rsidP="00DB5D0D">
      <w:pPr>
        <w:pStyle w:val="201"/>
        <w:shd w:val="clear" w:color="auto" w:fill="auto"/>
        <w:tabs>
          <w:tab w:val="left" w:pos="50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При 1600 об/мин коленвала мотора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 xml:space="preserve"> передаче с разгона 300-350 метров было произведено торможение - путь торможения 7 метров, при этом дефектов не обнаружено.</w:t>
      </w:r>
    </w:p>
    <w:p w14:paraId="67645297" w14:textId="77777777" w:rsidR="00A25AD1" w:rsidRPr="00DB5D0D" w:rsidRDefault="00A25AD1" w:rsidP="00DB5D0D">
      <w:pPr>
        <w:pStyle w:val="201"/>
        <w:shd w:val="clear" w:color="auto" w:fill="auto"/>
        <w:tabs>
          <w:tab w:val="left" w:pos="49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Разгон 360-400метров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передаче при 1800 об/мин колен</w:t>
      </w:r>
      <w:r w:rsidRPr="00DB5D0D">
        <w:rPr>
          <w:b w:val="0"/>
          <w:bCs w:val="0"/>
          <w:i w:val="0"/>
          <w:iCs w:val="0"/>
          <w:color w:val="000000" w:themeColor="text1"/>
          <w:sz w:val="16"/>
          <w:szCs w:val="16"/>
          <w:lang w:val="ru-RU"/>
        </w:rPr>
        <w:softHyphen/>
        <w:t>вала мотора произведено торможение - путь торможения 12 мет</w:t>
      </w:r>
      <w:r w:rsidRPr="00DB5D0D">
        <w:rPr>
          <w:b w:val="0"/>
          <w:bCs w:val="0"/>
          <w:i w:val="0"/>
          <w:iCs w:val="0"/>
          <w:color w:val="000000" w:themeColor="text1"/>
          <w:sz w:val="16"/>
          <w:szCs w:val="16"/>
          <w:lang w:val="ru-RU"/>
        </w:rPr>
        <w:softHyphen/>
        <w:t>ров за время 4 секунды. Дефектов не обнаружено.</w:t>
      </w:r>
    </w:p>
    <w:p w14:paraId="0EC160B9" w14:textId="77777777" w:rsidR="00A25AD1" w:rsidRPr="00DB5D0D" w:rsidRDefault="00A25AD1" w:rsidP="00DB5D0D">
      <w:pPr>
        <w:pStyle w:val="201"/>
        <w:shd w:val="clear" w:color="auto" w:fill="auto"/>
        <w:tabs>
          <w:tab w:val="left" w:pos="49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Разгон250-300метров на </w:t>
      </w:r>
      <w:r w:rsidRPr="00DB5D0D">
        <w:rPr>
          <w:b w:val="0"/>
          <w:bCs w:val="0"/>
          <w:i w:val="0"/>
          <w:iCs w:val="0"/>
          <w:color w:val="000000" w:themeColor="text1"/>
          <w:sz w:val="16"/>
          <w:szCs w:val="16"/>
        </w:rPr>
        <w:t>IV</w:t>
      </w:r>
      <w:r w:rsidRPr="00DB5D0D">
        <w:rPr>
          <w:b w:val="0"/>
          <w:bCs w:val="0"/>
          <w:i w:val="0"/>
          <w:iCs w:val="0"/>
          <w:color w:val="000000" w:themeColor="text1"/>
          <w:sz w:val="16"/>
          <w:szCs w:val="16"/>
          <w:lang w:val="ru-RU"/>
        </w:rPr>
        <w:t>передаче при 1800 об/мин колен</w:t>
      </w:r>
      <w:r w:rsidRPr="00DB5D0D">
        <w:rPr>
          <w:b w:val="0"/>
          <w:bCs w:val="0"/>
          <w:i w:val="0"/>
          <w:iCs w:val="0"/>
          <w:color w:val="000000" w:themeColor="text1"/>
          <w:sz w:val="16"/>
          <w:szCs w:val="16"/>
          <w:lang w:val="ru-RU"/>
        </w:rPr>
        <w:softHyphen/>
        <w:t>вала мотора произведено торможение - путь торможения 12 мет</w:t>
      </w:r>
      <w:r w:rsidRPr="00DB5D0D">
        <w:rPr>
          <w:b w:val="0"/>
          <w:bCs w:val="0"/>
          <w:i w:val="0"/>
          <w:iCs w:val="0"/>
          <w:color w:val="000000" w:themeColor="text1"/>
          <w:sz w:val="16"/>
          <w:szCs w:val="16"/>
          <w:lang w:val="ru-RU"/>
        </w:rPr>
        <w:softHyphen/>
        <w:t>ров за время 5 секунд. Дефектов не обнаружено.</w:t>
      </w:r>
    </w:p>
    <w:p w14:paraId="2BA841F8"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После пройденного километража и специспытаний гусеничные ленты были сняты с танка и произведен тщательный осмотр правой гусеничной ленты, при этом было обнаружено отсутствие шплинте на - 50%. Гусеничная лента была разобрана, и каждый трак в от</w:t>
      </w:r>
      <w:r w:rsidRPr="00DB5D0D">
        <w:rPr>
          <w:b w:val="0"/>
          <w:bCs w:val="0"/>
          <w:i w:val="0"/>
          <w:iCs w:val="0"/>
          <w:color w:val="000000" w:themeColor="text1"/>
          <w:sz w:val="16"/>
          <w:szCs w:val="16"/>
          <w:lang w:val="ru-RU"/>
        </w:rPr>
        <w:softHyphen/>
        <w:t>дельности был осмотрен через лупу.</w:t>
      </w:r>
    </w:p>
    <w:p w14:paraId="70F799BD" w14:textId="77777777" w:rsidR="00A25AD1" w:rsidRPr="00DB5D0D" w:rsidRDefault="00A25AD1" w:rsidP="00DB5D0D">
      <w:pPr>
        <w:pStyle w:val="201"/>
        <w:shd w:val="clear" w:color="auto" w:fill="auto"/>
        <w:spacing w:before="0" w:line="240" w:lineRule="auto"/>
        <w:rPr>
          <w:b w:val="0"/>
          <w:i w:val="0"/>
          <w:iCs w:val="0"/>
          <w:color w:val="000000" w:themeColor="text1"/>
          <w:sz w:val="16"/>
          <w:szCs w:val="16"/>
          <w:lang w:val="ru-RU"/>
        </w:rPr>
      </w:pPr>
      <w:r w:rsidRPr="00DB5D0D">
        <w:rPr>
          <w:rStyle w:val="204"/>
          <w:rFonts w:ascii="Times New Roman" w:hAnsi="Times New Roman" w:cs="Times New Roman"/>
          <w:bCs/>
          <w:iCs/>
          <w:color w:val="000000" w:themeColor="text1"/>
          <w:u w:val="none"/>
          <w:lang w:val="ru-RU"/>
        </w:rPr>
        <w:t>Результаты осмотра:</w:t>
      </w:r>
    </w:p>
    <w:p w14:paraId="65D1CEE9" w14:textId="77777777" w:rsidR="00A25AD1" w:rsidRPr="00DB5D0D" w:rsidRDefault="00A25AD1" w:rsidP="00DB5D0D">
      <w:pPr>
        <w:pStyle w:val="201"/>
        <w:shd w:val="clear" w:color="auto" w:fill="auto"/>
        <w:tabs>
          <w:tab w:val="left" w:pos="49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1)Плоские траки трещин от ударов и эксплоатации по булыжно</w:t>
      </w:r>
      <w:r w:rsidRPr="00DB5D0D">
        <w:rPr>
          <w:b w:val="0"/>
          <w:bCs w:val="0"/>
          <w:i w:val="0"/>
          <w:iCs w:val="0"/>
          <w:color w:val="000000" w:themeColor="text1"/>
          <w:sz w:val="16"/>
          <w:szCs w:val="16"/>
          <w:lang w:val="ru-RU"/>
        </w:rPr>
        <w:softHyphen/>
        <w:t>му шоссе, а также механических повреждений не имеют.</w:t>
      </w:r>
    </w:p>
    <w:p w14:paraId="3CFBA62C" w14:textId="77777777" w:rsidR="00A25AD1" w:rsidRPr="00DB5D0D" w:rsidRDefault="00A25AD1" w:rsidP="00DB5D0D">
      <w:pPr>
        <w:pStyle w:val="201"/>
        <w:shd w:val="clear" w:color="auto" w:fill="auto"/>
        <w:tabs>
          <w:tab w:val="left" w:pos="48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2)Гребневые траки, из количества просмотренных 37 штук, имеют следующие:</w:t>
      </w:r>
    </w:p>
    <w:p w14:paraId="1D22C48C" w14:textId="77777777" w:rsidR="00A25AD1" w:rsidRPr="00DB5D0D" w:rsidRDefault="00A25AD1" w:rsidP="00DB5D0D">
      <w:pPr>
        <w:pStyle w:val="201"/>
        <w:shd w:val="clear" w:color="auto" w:fill="auto"/>
        <w:spacing w:before="0" w:line="240" w:lineRule="auto"/>
        <w:rPr>
          <w:b w:val="0"/>
          <w:i w:val="0"/>
          <w:iCs w:val="0"/>
          <w:noProof w:val="0"/>
          <w:color w:val="000000" w:themeColor="text1"/>
          <w:sz w:val="16"/>
          <w:szCs w:val="16"/>
          <w:lang w:val="ru-RU"/>
        </w:rPr>
      </w:pPr>
      <w:r w:rsidRPr="00DB5D0D">
        <w:rPr>
          <w:b w:val="0"/>
          <w:bCs w:val="0"/>
          <w:i w:val="0"/>
          <w:iCs w:val="0"/>
          <w:color w:val="000000" w:themeColor="text1"/>
          <w:sz w:val="16"/>
          <w:szCs w:val="16"/>
          <w:lang w:val="ru-RU"/>
        </w:rPr>
        <w:t>а) 6 шт. трещин и повреждений не имеют.</w:t>
      </w:r>
    </w:p>
    <w:p w14:paraId="59DAEB2D"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б)29 шт. - имеют трещины на беговой дорожке у подножия гребня, со стороны соприкосновения гребня с роликом гусеничного колеса (со стороны почвозацепа), размером от 10 мм до 40 мм.</w:t>
      </w:r>
    </w:p>
    <w:p w14:paraId="3E7CFFA7" w14:textId="77777777" w:rsidR="00A25AD1" w:rsidRPr="00DB5D0D" w:rsidRDefault="00A25AD1" w:rsidP="00DB5D0D">
      <w:pPr>
        <w:pStyle w:val="201"/>
        <w:shd w:val="clear" w:color="auto" w:fill="auto"/>
        <w:tabs>
          <w:tab w:val="left" w:pos="48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в)2 шт. - имеют сквозные трещины до середины.</w:t>
      </w:r>
    </w:p>
    <w:p w14:paraId="5C688F7E"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Трещины у подножия гребня во всех просмотренных траках име</w:t>
      </w:r>
      <w:r w:rsidRPr="00DB5D0D">
        <w:rPr>
          <w:b w:val="0"/>
          <w:bCs w:val="0"/>
          <w:i w:val="0"/>
          <w:iCs w:val="0"/>
          <w:color w:val="000000" w:themeColor="text1"/>
          <w:sz w:val="16"/>
          <w:szCs w:val="16"/>
          <w:lang w:val="ru-RU"/>
        </w:rPr>
        <w:softHyphen/>
        <w:t>ют один и тот же характер - это значит, что гребневой трак имеет слабое место у подножия гребня, которое необходимо усилить (кон</w:t>
      </w:r>
      <w:r w:rsidRPr="00DB5D0D">
        <w:rPr>
          <w:b w:val="0"/>
          <w:bCs w:val="0"/>
          <w:i w:val="0"/>
          <w:iCs w:val="0"/>
          <w:color w:val="000000" w:themeColor="text1"/>
          <w:sz w:val="16"/>
          <w:szCs w:val="16"/>
          <w:lang w:val="ru-RU"/>
        </w:rPr>
        <w:softHyphen/>
        <w:t>структивный дефект), см. эскиз.</w:t>
      </w:r>
    </w:p>
    <w:p w14:paraId="3255CF35"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Для сравнения были подвергнуты наружному осмотру штампо</w:t>
      </w:r>
      <w:r w:rsidRPr="00DB5D0D">
        <w:rPr>
          <w:b w:val="0"/>
          <w:bCs w:val="0"/>
          <w:i w:val="0"/>
          <w:iCs w:val="0"/>
          <w:color w:val="000000" w:themeColor="text1"/>
          <w:sz w:val="16"/>
          <w:szCs w:val="16"/>
          <w:lang w:val="ru-RU"/>
        </w:rPr>
        <w:softHyphen/>
        <w:t>ванные траки гусеничных лент, прошедшие 3131 км, при этом была обнаружена только одна трещина размером 15-20 мм на 1-м траке у гребня из просмотренных 40 шт. траков.</w:t>
      </w:r>
    </w:p>
    <w:p w14:paraId="20FAF674"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5. Проведен замер пальцев и проушин литых траков, результаты замеров следующие:</w:t>
      </w:r>
    </w:p>
    <w:tbl>
      <w:tblPr>
        <w:tblW w:w="0" w:type="auto"/>
        <w:tblInd w:w="8" w:type="dxa"/>
        <w:tblLayout w:type="fixed"/>
        <w:tblCellMar>
          <w:left w:w="0" w:type="dxa"/>
          <w:right w:w="0" w:type="dxa"/>
        </w:tblCellMar>
        <w:tblLook w:val="0000" w:firstRow="0" w:lastRow="0" w:firstColumn="0" w:lastColumn="0" w:noHBand="0" w:noVBand="0"/>
      </w:tblPr>
      <w:tblGrid>
        <w:gridCol w:w="442"/>
        <w:gridCol w:w="1757"/>
        <w:gridCol w:w="715"/>
        <w:gridCol w:w="710"/>
        <w:gridCol w:w="715"/>
        <w:gridCol w:w="725"/>
      </w:tblGrid>
      <w:tr w:rsidR="007D5DF8" w:rsidRPr="00DB5D0D" w14:paraId="7B9D4249" w14:textId="77777777" w:rsidTr="009223E5">
        <w:trPr>
          <w:trHeight w:val="576"/>
        </w:trPr>
        <w:tc>
          <w:tcPr>
            <w:tcW w:w="442" w:type="dxa"/>
            <w:tcBorders>
              <w:top w:val="single" w:sz="6" w:space="0" w:color="auto"/>
              <w:left w:val="single" w:sz="6" w:space="0" w:color="auto"/>
              <w:bottom w:val="single" w:sz="6" w:space="0" w:color="auto"/>
              <w:right w:val="single" w:sz="6" w:space="0" w:color="auto"/>
            </w:tcBorders>
            <w:shd w:val="clear" w:color="auto" w:fill="FFFFFF"/>
          </w:tcPr>
          <w:p w14:paraId="56CD7D95" w14:textId="77777777" w:rsidR="00A25AD1" w:rsidRPr="00DB5D0D" w:rsidRDefault="00A25AD1" w:rsidP="00DB5D0D">
            <w:pPr>
              <w:pStyle w:val="261"/>
              <w:shd w:val="clear" w:color="auto" w:fill="auto"/>
              <w:spacing w:line="240" w:lineRule="auto"/>
              <w:jc w:val="both"/>
              <w:rPr>
                <w:rFonts w:ascii="Times New Roman" w:hAnsi="Times New Roman" w:cs="Times New Roman"/>
                <w:b w:val="0"/>
                <w:bCs w:val="0"/>
                <w:color w:val="000000" w:themeColor="text1"/>
                <w:sz w:val="16"/>
                <w:szCs w:val="16"/>
              </w:rPr>
            </w:pPr>
            <w:r w:rsidRPr="00DB5D0D">
              <w:rPr>
                <w:rFonts w:ascii="Times New Roman" w:hAnsi="Times New Roman" w:cs="Times New Roman"/>
                <w:b w:val="0"/>
                <w:bCs w:val="0"/>
                <w:color w:val="000000" w:themeColor="text1"/>
                <w:sz w:val="16"/>
                <w:szCs w:val="16"/>
              </w:rPr>
              <w:t>№№</w:t>
            </w:r>
          </w:p>
          <w:p w14:paraId="245794DF"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п.п.</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14:paraId="4EF6FD6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Наименование</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746398A7"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Пройден км</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2BE428C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Средний износ в мм</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6AFCC8D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Макс, износ в мм</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7EB18737"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Примеч.</w:t>
            </w:r>
          </w:p>
        </w:tc>
      </w:tr>
      <w:tr w:rsidR="007D5DF8" w:rsidRPr="00DB5D0D" w14:paraId="6FC58D65" w14:textId="77777777" w:rsidTr="009223E5">
        <w:trPr>
          <w:trHeight w:val="379"/>
        </w:trPr>
        <w:tc>
          <w:tcPr>
            <w:tcW w:w="442" w:type="dxa"/>
            <w:tcBorders>
              <w:top w:val="single" w:sz="6" w:space="0" w:color="auto"/>
              <w:left w:val="single" w:sz="6" w:space="0" w:color="auto"/>
              <w:bottom w:val="single" w:sz="6" w:space="0" w:color="auto"/>
              <w:right w:val="single" w:sz="6" w:space="0" w:color="auto"/>
            </w:tcBorders>
            <w:shd w:val="clear" w:color="auto" w:fill="FFFFFF"/>
          </w:tcPr>
          <w:p w14:paraId="5B04EDB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14:paraId="672087C7"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Пальцы литой гусеничной ленты</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6605D89F"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417</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09544B3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0,25</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01D655B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0,48</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16A269E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8737DE8" w14:textId="77777777" w:rsidTr="009223E5">
        <w:trPr>
          <w:trHeight w:val="379"/>
        </w:trPr>
        <w:tc>
          <w:tcPr>
            <w:tcW w:w="442" w:type="dxa"/>
            <w:tcBorders>
              <w:top w:val="single" w:sz="6" w:space="0" w:color="auto"/>
              <w:left w:val="single" w:sz="6" w:space="0" w:color="auto"/>
              <w:bottom w:val="single" w:sz="6" w:space="0" w:color="auto"/>
              <w:right w:val="single" w:sz="6" w:space="0" w:color="auto"/>
            </w:tcBorders>
            <w:shd w:val="clear" w:color="auto" w:fill="FFFFFF"/>
          </w:tcPr>
          <w:p w14:paraId="08CE61AB"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14:paraId="708587E7"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Проушины литой гусеничной ленты</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4DBB9E41"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417</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31B30ED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0.34</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3D4CFECF"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0,62</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4DD8279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1F855F1" w14:textId="77777777" w:rsidTr="009223E5">
        <w:trPr>
          <w:trHeight w:val="374"/>
        </w:trPr>
        <w:tc>
          <w:tcPr>
            <w:tcW w:w="442" w:type="dxa"/>
            <w:tcBorders>
              <w:top w:val="single" w:sz="6" w:space="0" w:color="auto"/>
              <w:left w:val="single" w:sz="6" w:space="0" w:color="auto"/>
              <w:bottom w:val="single" w:sz="6" w:space="0" w:color="auto"/>
              <w:right w:val="single" w:sz="6" w:space="0" w:color="auto"/>
            </w:tcBorders>
            <w:shd w:val="clear" w:color="auto" w:fill="FFFFFF"/>
          </w:tcPr>
          <w:p w14:paraId="01B2140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14:paraId="27B66BC4"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Пальцы штампованной гусеничной ленты</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1C510C49"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3131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6C50FAF9"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1,2</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79B913F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1.34</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4C40187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63F9EBD" w14:textId="77777777" w:rsidTr="009223E5">
        <w:trPr>
          <w:trHeight w:val="581"/>
        </w:trPr>
        <w:tc>
          <w:tcPr>
            <w:tcW w:w="442" w:type="dxa"/>
            <w:tcBorders>
              <w:top w:val="single" w:sz="6" w:space="0" w:color="auto"/>
              <w:left w:val="single" w:sz="6" w:space="0" w:color="auto"/>
              <w:bottom w:val="single" w:sz="6" w:space="0" w:color="auto"/>
              <w:right w:val="single" w:sz="6" w:space="0" w:color="auto"/>
            </w:tcBorders>
            <w:shd w:val="clear" w:color="auto" w:fill="FFFFFF"/>
          </w:tcPr>
          <w:p w14:paraId="3F05D2EC"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w:t>
            </w:r>
          </w:p>
        </w:tc>
        <w:tc>
          <w:tcPr>
            <w:tcW w:w="1757" w:type="dxa"/>
            <w:tcBorders>
              <w:top w:val="single" w:sz="6" w:space="0" w:color="auto"/>
              <w:left w:val="single" w:sz="6" w:space="0" w:color="auto"/>
              <w:bottom w:val="single" w:sz="6" w:space="0" w:color="auto"/>
              <w:right w:val="single" w:sz="6" w:space="0" w:color="auto"/>
            </w:tcBorders>
            <w:shd w:val="clear" w:color="auto" w:fill="FFFFFF"/>
          </w:tcPr>
          <w:p w14:paraId="5D796F7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Проушины штампованной гусеничной ленты</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16B5156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3131</w:t>
            </w:r>
          </w:p>
        </w:tc>
        <w:tc>
          <w:tcPr>
            <w:tcW w:w="710" w:type="dxa"/>
            <w:tcBorders>
              <w:top w:val="single" w:sz="6" w:space="0" w:color="auto"/>
              <w:left w:val="single" w:sz="6" w:space="0" w:color="auto"/>
              <w:bottom w:val="single" w:sz="6" w:space="0" w:color="auto"/>
              <w:right w:val="single" w:sz="6" w:space="0" w:color="auto"/>
            </w:tcBorders>
            <w:shd w:val="clear" w:color="auto" w:fill="FFFFFF"/>
          </w:tcPr>
          <w:p w14:paraId="3C01B6C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1,22</w:t>
            </w:r>
          </w:p>
        </w:tc>
        <w:tc>
          <w:tcPr>
            <w:tcW w:w="715" w:type="dxa"/>
            <w:tcBorders>
              <w:top w:val="single" w:sz="6" w:space="0" w:color="auto"/>
              <w:left w:val="single" w:sz="6" w:space="0" w:color="auto"/>
              <w:bottom w:val="single" w:sz="6" w:space="0" w:color="auto"/>
              <w:right w:val="single" w:sz="6" w:space="0" w:color="auto"/>
            </w:tcBorders>
            <w:shd w:val="clear" w:color="auto" w:fill="FFFFFF"/>
          </w:tcPr>
          <w:p w14:paraId="28CCCA67"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1,34</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537DA56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21B97A39"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Данная таблица средних износов пальцев и проушин характери</w:t>
      </w:r>
      <w:r w:rsidRPr="00DB5D0D">
        <w:rPr>
          <w:b w:val="0"/>
          <w:bCs w:val="0"/>
          <w:i w:val="0"/>
          <w:iCs w:val="0"/>
          <w:color w:val="000000" w:themeColor="text1"/>
          <w:sz w:val="16"/>
          <w:szCs w:val="16"/>
          <w:lang w:val="ru-RU"/>
        </w:rPr>
        <w:softHyphen/>
        <w:t>зует то, что пальцы литых гусеничных лент срабатываются меньше, чем проушины траков, а пальцы штампованных гусеничных лент сра</w:t>
      </w:r>
      <w:r w:rsidRPr="00DB5D0D">
        <w:rPr>
          <w:b w:val="0"/>
          <w:bCs w:val="0"/>
          <w:i w:val="0"/>
          <w:iCs w:val="0"/>
          <w:color w:val="000000" w:themeColor="text1"/>
          <w:sz w:val="16"/>
          <w:szCs w:val="16"/>
          <w:lang w:val="ru-RU"/>
        </w:rPr>
        <w:softHyphen/>
        <w:t>батываются также как и проушины траков. Большой износ проушин литых траков из ст. Гатфильда против пальцев является недостат</w:t>
      </w:r>
      <w:r w:rsidRPr="00DB5D0D">
        <w:rPr>
          <w:b w:val="0"/>
          <w:bCs w:val="0"/>
          <w:i w:val="0"/>
          <w:iCs w:val="0"/>
          <w:color w:val="000000" w:themeColor="text1"/>
          <w:sz w:val="16"/>
          <w:szCs w:val="16"/>
          <w:lang w:val="ru-RU"/>
        </w:rPr>
        <w:softHyphen/>
        <w:t>ком гусеничных лент, т.к. при восстановлении гусеничных лент же</w:t>
      </w:r>
      <w:r w:rsidRPr="00DB5D0D">
        <w:rPr>
          <w:b w:val="0"/>
          <w:bCs w:val="0"/>
          <w:i w:val="0"/>
          <w:iCs w:val="0"/>
          <w:color w:val="000000" w:themeColor="text1"/>
          <w:sz w:val="16"/>
          <w:szCs w:val="16"/>
          <w:lang w:val="ru-RU"/>
        </w:rPr>
        <w:softHyphen/>
        <w:t>лательно заменять пальцы, а не траки.</w:t>
      </w:r>
    </w:p>
    <w:p w14:paraId="6392B412"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rStyle w:val="203"/>
          <w:rFonts w:ascii="Times New Roman" w:cs="Times New Roman"/>
          <w:bCs/>
          <w:iCs/>
          <w:color w:val="000000" w:themeColor="text1"/>
          <w:sz w:val="16"/>
          <w:szCs w:val="16"/>
          <w:lang w:val="ru-RU"/>
        </w:rPr>
        <w:t>ПРИМЕЧАНИЕ</w:t>
      </w:r>
      <w:r w:rsidRPr="00DB5D0D">
        <w:rPr>
          <w:b w:val="0"/>
          <w:bCs w:val="0"/>
          <w:i w:val="0"/>
          <w:iCs w:val="0"/>
          <w:color w:val="000000" w:themeColor="text1"/>
          <w:sz w:val="16"/>
          <w:szCs w:val="16"/>
          <w:lang w:val="ru-RU"/>
        </w:rPr>
        <w:t>: Данные по износу пальцев и проушин как литой гусеничной ленты из ст. Гэтфильда, так и штампованной из ст. Хро</w:t>
      </w:r>
      <w:r w:rsidRPr="00DB5D0D">
        <w:rPr>
          <w:b w:val="0"/>
          <w:bCs w:val="0"/>
          <w:i w:val="0"/>
          <w:iCs w:val="0"/>
          <w:color w:val="000000" w:themeColor="text1"/>
          <w:sz w:val="16"/>
          <w:szCs w:val="16"/>
          <w:lang w:val="ru-RU"/>
        </w:rPr>
        <w:softHyphen/>
        <w:t>мансиль, нельзя рассматривать как окончательные, т.к. штампован</w:t>
      </w:r>
      <w:r w:rsidRPr="00DB5D0D">
        <w:rPr>
          <w:b w:val="0"/>
          <w:bCs w:val="0"/>
          <w:i w:val="0"/>
          <w:iCs w:val="0"/>
          <w:color w:val="000000" w:themeColor="text1"/>
          <w:sz w:val="16"/>
          <w:szCs w:val="16"/>
          <w:lang w:val="ru-RU"/>
        </w:rPr>
        <w:softHyphen/>
        <w:t>ные траки испытывались в зимних условиях, а литые в летних.</w:t>
      </w:r>
    </w:p>
    <w:p w14:paraId="0E130ECD"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Выводы</w:t>
      </w:r>
    </w:p>
    <w:p w14:paraId="0C2B9668"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Проведенные испытания показали, что машина, оборудованная гусеничными лентами из литых траков стали Гэтфильда за все вре</w:t>
      </w:r>
      <w:r w:rsidRPr="00DB5D0D">
        <w:rPr>
          <w:b w:val="0"/>
          <w:bCs w:val="0"/>
          <w:i w:val="0"/>
          <w:iCs w:val="0"/>
          <w:color w:val="000000" w:themeColor="text1"/>
          <w:sz w:val="16"/>
          <w:szCs w:val="16"/>
          <w:lang w:val="ru-RU"/>
        </w:rPr>
        <w:softHyphen/>
        <w:t>мя испытания (417км) остановок и аварий по вине гусеничных лент не имела. Работа литой гусеницы на машине проходила нормально, без заклиниваний, соскакиваний и прочих дефектов, и в основном, была аналогична работе штампованной гусеницы.</w:t>
      </w:r>
    </w:p>
    <w:p w14:paraId="7F35D5A4"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Результаты сборки и испытаний литой гусеницы выявили необ</w:t>
      </w:r>
      <w:r w:rsidRPr="00DB5D0D">
        <w:rPr>
          <w:b w:val="0"/>
          <w:bCs w:val="0"/>
          <w:i w:val="0"/>
          <w:iCs w:val="0"/>
          <w:color w:val="000000" w:themeColor="text1"/>
          <w:sz w:val="16"/>
          <w:szCs w:val="16"/>
          <w:lang w:val="ru-RU"/>
        </w:rPr>
        <w:softHyphen/>
        <w:t>ходимость проведения следующих мероприятий:</w:t>
      </w:r>
    </w:p>
    <w:p w14:paraId="4F51E7D1" w14:textId="77777777" w:rsidR="00A25AD1" w:rsidRPr="00DB5D0D" w:rsidRDefault="00A25AD1" w:rsidP="00DB5D0D">
      <w:pPr>
        <w:pStyle w:val="201"/>
        <w:shd w:val="clear" w:color="auto" w:fill="auto"/>
        <w:tabs>
          <w:tab w:val="left" w:pos="476"/>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1Устранение литейных пороков траков (трещины и крупные раковины).</w:t>
      </w:r>
    </w:p>
    <w:p w14:paraId="143724DB" w14:textId="77777777" w:rsidR="00A25AD1" w:rsidRPr="00DB5D0D" w:rsidRDefault="00A25AD1" w:rsidP="00DB5D0D">
      <w:pPr>
        <w:pStyle w:val="201"/>
        <w:shd w:val="clear" w:color="auto" w:fill="auto"/>
        <w:tabs>
          <w:tab w:val="left" w:pos="442"/>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2Получение более чистых отливок, обеспечивающих нормаль</w:t>
      </w:r>
      <w:r w:rsidRPr="00DB5D0D">
        <w:rPr>
          <w:b w:val="0"/>
          <w:bCs w:val="0"/>
          <w:i w:val="0"/>
          <w:iCs w:val="0"/>
          <w:color w:val="000000" w:themeColor="text1"/>
          <w:sz w:val="16"/>
          <w:szCs w:val="16"/>
          <w:lang w:val="ru-RU"/>
        </w:rPr>
        <w:softHyphen/>
        <w:t>ное сопряжение траков в проушинах и свободное их относительное проворачивание на пальцах, без индивидуальной подгонки траков, которая имела место при сборке испытываемой гусеницы.</w:t>
      </w:r>
    </w:p>
    <w:p w14:paraId="228D9690" w14:textId="77777777" w:rsidR="00A25AD1" w:rsidRPr="00DB5D0D" w:rsidRDefault="00A25AD1" w:rsidP="00DB5D0D">
      <w:pPr>
        <w:pStyle w:val="201"/>
        <w:shd w:val="clear" w:color="auto" w:fill="auto"/>
        <w:tabs>
          <w:tab w:val="left" w:pos="43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3Обеспечение чистоты отверстий проушин траков для лучшей приработки пальцев.</w:t>
      </w:r>
    </w:p>
    <w:p w14:paraId="2CD5E436" w14:textId="77777777" w:rsidR="00A25AD1" w:rsidRPr="00DB5D0D" w:rsidRDefault="00A25AD1" w:rsidP="00DB5D0D">
      <w:pPr>
        <w:pStyle w:val="201"/>
        <w:shd w:val="clear" w:color="auto" w:fill="auto"/>
        <w:tabs>
          <w:tab w:val="left" w:pos="47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4Проведение усиления гребневого трака у подножия гребня для исключения появления трещин в указанных местах.</w:t>
      </w:r>
    </w:p>
    <w:p w14:paraId="24A0B38D"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Считаем, что проведенные испытания подтвердили полную воз</w:t>
      </w:r>
      <w:r w:rsidRPr="00DB5D0D">
        <w:rPr>
          <w:b w:val="0"/>
          <w:bCs w:val="0"/>
          <w:i w:val="0"/>
          <w:iCs w:val="0"/>
          <w:color w:val="000000" w:themeColor="text1"/>
          <w:sz w:val="16"/>
          <w:szCs w:val="16"/>
          <w:lang w:val="ru-RU"/>
        </w:rPr>
        <w:softHyphen/>
        <w:t>можность применения на маш. «А-34» литой гусеницы из ст. Гат</w:t>
      </w:r>
      <w:r w:rsidRPr="00DB5D0D">
        <w:rPr>
          <w:b w:val="0"/>
          <w:bCs w:val="0"/>
          <w:i w:val="0"/>
          <w:iCs w:val="0"/>
          <w:color w:val="000000" w:themeColor="text1"/>
          <w:sz w:val="16"/>
          <w:szCs w:val="16"/>
          <w:lang w:val="ru-RU"/>
        </w:rPr>
        <w:softHyphen/>
        <w:t>фильда взамен штампованной и с приведением вышеперечислен</w:t>
      </w:r>
      <w:r w:rsidRPr="00DB5D0D">
        <w:rPr>
          <w:b w:val="0"/>
          <w:bCs w:val="0"/>
          <w:i w:val="0"/>
          <w:iCs w:val="0"/>
          <w:color w:val="000000" w:themeColor="text1"/>
          <w:sz w:val="16"/>
          <w:szCs w:val="16"/>
          <w:lang w:val="ru-RU"/>
        </w:rPr>
        <w:softHyphen/>
        <w:t>ных мероприятий литая гусеница будет пригодна для эксплоатации на машине «А-34». Литая гусеница, как не требующая механической обработки и дорогостоящего штамповочного оборудования, являет</w:t>
      </w:r>
      <w:r w:rsidRPr="00DB5D0D">
        <w:rPr>
          <w:b w:val="0"/>
          <w:bCs w:val="0"/>
          <w:i w:val="0"/>
          <w:iCs w:val="0"/>
          <w:color w:val="000000" w:themeColor="text1"/>
          <w:sz w:val="16"/>
          <w:szCs w:val="16"/>
          <w:lang w:val="ru-RU"/>
        </w:rPr>
        <w:softHyphen/>
        <w:t>ся нетрудоемкой в изготовлении и экономически выгодной.</w:t>
      </w:r>
    </w:p>
    <w:p w14:paraId="4414EA16"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Что же касается срока службы литой гусеницы, то для дачи окончательного заключения необходимо гусеницу, изготовленную с учетом всех указанных мероприятий, подвергнуть испытаниям на гарантийный километраж в летних условиях. Одновременно считаем необходимым, про</w:t>
      </w:r>
      <w:r w:rsidRPr="00DB5D0D">
        <w:rPr>
          <w:b w:val="0"/>
          <w:bCs w:val="0"/>
          <w:i w:val="0"/>
          <w:iCs w:val="0"/>
          <w:color w:val="000000" w:themeColor="text1"/>
          <w:sz w:val="16"/>
          <w:szCs w:val="16"/>
          <w:lang w:val="ru-RU"/>
        </w:rPr>
        <w:softHyphen/>
        <w:t xml:space="preserve">должать испытания первой гусеницы, прошедшей </w:t>
      </w:r>
      <w:r w:rsidRPr="00DB5D0D">
        <w:rPr>
          <w:b w:val="0"/>
          <w:bCs w:val="0"/>
          <w:i w:val="0"/>
          <w:iCs w:val="0"/>
          <w:color w:val="000000" w:themeColor="text1"/>
          <w:sz w:val="16"/>
          <w:szCs w:val="16"/>
          <w:lang w:val="ru-RU"/>
        </w:rPr>
        <w:lastRenderedPageBreak/>
        <w:t>417 км, до ее окончательного износа, согласно имеющий</w:t>
      </w:r>
      <w:r w:rsidRPr="00DB5D0D">
        <w:rPr>
          <w:b w:val="0"/>
          <w:bCs w:val="0"/>
          <w:i w:val="0"/>
          <w:iCs w:val="0"/>
          <w:color w:val="000000" w:themeColor="text1"/>
          <w:sz w:val="16"/>
          <w:szCs w:val="16"/>
          <w:lang w:val="ru-RU"/>
        </w:rPr>
        <w:softHyphen/>
        <w:t>ся программы, для опреде</w:t>
      </w:r>
      <w:r w:rsidRPr="00DB5D0D">
        <w:rPr>
          <w:b w:val="0"/>
          <w:bCs w:val="0"/>
          <w:i w:val="0"/>
          <w:iCs w:val="0"/>
          <w:color w:val="000000" w:themeColor="text1"/>
          <w:sz w:val="16"/>
          <w:szCs w:val="16"/>
          <w:lang w:val="ru-RU"/>
        </w:rPr>
        <w:softHyphen/>
        <w:t>ления влияния выявленных дефектов на работоспособ</w:t>
      </w:r>
      <w:r w:rsidRPr="00DB5D0D">
        <w:rPr>
          <w:b w:val="0"/>
          <w:bCs w:val="0"/>
          <w:i w:val="0"/>
          <w:iCs w:val="0"/>
          <w:color w:val="000000" w:themeColor="text1"/>
          <w:sz w:val="16"/>
          <w:szCs w:val="16"/>
          <w:lang w:val="ru-RU"/>
        </w:rPr>
        <w:softHyphen/>
        <w:t>ность гусеницы.</w:t>
      </w:r>
      <w:r w:rsidRPr="00DB5D0D">
        <w:rPr>
          <w:rStyle w:val="20120pt56"/>
          <w:rFonts w:ascii="Times New Roman" w:hAnsi="Times New Roman" w:cs="Times New Roman"/>
          <w:bCs/>
          <w:iCs/>
          <w:color w:val="000000" w:themeColor="text1"/>
          <w:spacing w:val="0"/>
          <w:lang w:val="ru-RU"/>
        </w:rPr>
        <w:t xml:space="preserve"> [</w:t>
      </w:r>
      <w:r w:rsidRPr="00DB5D0D">
        <w:rPr>
          <w:b w:val="0"/>
          <w:bCs w:val="0"/>
          <w:i w:val="0"/>
          <w:iCs w:val="0"/>
          <w:color w:val="000000" w:themeColor="text1"/>
          <w:sz w:val="16"/>
          <w:szCs w:val="16"/>
          <w:lang w:val="ru-RU"/>
        </w:rPr>
        <w:t>РГВА. Ф.31811. Оп.2. Д. 1181. Л. 119-126.</w:t>
      </w:r>
      <w:r w:rsidRPr="00DB5D0D">
        <w:rPr>
          <w:rStyle w:val="20120pt56"/>
          <w:rFonts w:ascii="Times New Roman" w:hAnsi="Times New Roman" w:cs="Times New Roman"/>
          <w:bCs/>
          <w:iCs/>
          <w:color w:val="000000" w:themeColor="text1"/>
          <w:spacing w:val="0"/>
          <w:lang w:val="ru-RU"/>
        </w:rPr>
        <w:t>]</w:t>
      </w:r>
      <w:r w:rsidRPr="00DB5D0D">
        <w:rPr>
          <w:rStyle w:val="20120pt56"/>
          <w:rFonts w:ascii="Times New Roman" w:hAnsi="Times New Roman" w:cs="Times New Roman"/>
          <w:bCs/>
          <w:iCs/>
          <w:noProof w:val="0"/>
          <w:color w:val="000000" w:themeColor="text1"/>
          <w:spacing w:val="0"/>
          <w:lang w:val="ru-RU"/>
        </w:rPr>
        <w:t xml:space="preserve"> (11904).</w:t>
      </w:r>
    </w:p>
    <w:p w14:paraId="71651ADE" w14:textId="77777777" w:rsidR="00A25AD1" w:rsidRPr="00DB5D0D" w:rsidRDefault="00A25AD1" w:rsidP="00DB5D0D">
      <w:pPr>
        <w:pStyle w:val="a3"/>
        <w:rPr>
          <w:color w:val="000000" w:themeColor="text1"/>
          <w:lang w:val="ru-RU"/>
        </w:rPr>
      </w:pPr>
    </w:p>
    <w:p w14:paraId="4EC49E6C" w14:textId="77777777" w:rsidR="00A25AD1" w:rsidRPr="00DB5D0D" w:rsidRDefault="00A25AD1" w:rsidP="00DB5D0D">
      <w:pPr>
        <w:pStyle w:val="a3"/>
        <w:rPr>
          <w:color w:val="000000" w:themeColor="text1"/>
          <w:lang w:val="ru-RU"/>
        </w:rPr>
      </w:pPr>
      <w:r w:rsidRPr="00DB5D0D">
        <w:rPr>
          <w:color w:val="000000" w:themeColor="text1"/>
          <w:lang w:val="ru-RU"/>
        </w:rPr>
        <w:t>21 мая 1940 г. на Мари</w:t>
      </w:r>
      <w:r w:rsidRPr="00DB5D0D">
        <w:rPr>
          <w:color w:val="000000" w:themeColor="text1"/>
          <w:lang w:val="ru-RU"/>
        </w:rPr>
        <w:softHyphen/>
        <w:t>упольском заводе состоялось техническое совещание, темой которо</w:t>
      </w:r>
      <w:r w:rsidRPr="00DB5D0D">
        <w:rPr>
          <w:color w:val="000000" w:themeColor="text1"/>
          <w:lang w:val="ru-RU"/>
        </w:rPr>
        <w:softHyphen/>
        <w:t>го стало рассмотрение и согласование измененных чертежей танка Т-34. На этом совещании рассматривались и новые детали расши</w:t>
      </w:r>
      <w:r w:rsidRPr="00DB5D0D">
        <w:rPr>
          <w:color w:val="000000" w:themeColor="text1"/>
          <w:lang w:val="ru-RU"/>
        </w:rPr>
        <w:softHyphen/>
        <w:t>ренной башни. Ниже приведем выписки из протокола совещания:</w:t>
      </w:r>
    </w:p>
    <w:p w14:paraId="67FE851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детали 34-29-019</w:t>
      </w:r>
      <w:r w:rsidRPr="00DB5D0D">
        <w:rPr>
          <w:rStyle w:val="1260pt28"/>
          <w:rFonts w:ascii="Times New Roman" w:hAnsi="Times New Roman" w:cs="Times New Roman"/>
          <w:color w:val="000000" w:themeColor="text1"/>
          <w:spacing w:val="0"/>
          <w:lang w:val="ru-RU"/>
        </w:rPr>
        <w:t xml:space="preserve"> (бронировка курсового пулемета</w:t>
      </w:r>
      <w:r w:rsidRPr="00DB5D0D">
        <w:rPr>
          <w:rFonts w:ascii="Times New Roman" w:hAnsi="Times New Roman" w:cs="Times New Roman"/>
          <w:i w:val="0"/>
          <w:iCs w:val="0"/>
          <w:color w:val="000000" w:themeColor="text1"/>
          <w:lang w:val="ru-RU"/>
        </w:rPr>
        <w:t xml:space="preserve">) - литая, ОГТ разработать чертеж для литья, срок </w:t>
      </w:r>
      <w:r w:rsidRPr="00DB5D0D">
        <w:rPr>
          <w:rFonts w:ascii="Times New Roman" w:hAnsi="Times New Roman" w:cs="Times New Roman"/>
          <w:i w:val="0"/>
          <w:iCs w:val="0"/>
          <w:noProof w:val="0"/>
          <w:color w:val="000000" w:themeColor="text1"/>
          <w:lang w:val="ru-RU"/>
        </w:rPr>
        <w:t>28/</w:t>
      </w:r>
      <w:r w:rsidRPr="00DB5D0D">
        <w:rPr>
          <w:rFonts w:ascii="Times New Roman" w:hAnsi="Times New Roman" w:cs="Times New Roman"/>
          <w:i w:val="0"/>
          <w:iCs w:val="0"/>
          <w:noProof w:val="0"/>
          <w:color w:val="000000" w:themeColor="text1"/>
        </w:rPr>
        <w:t>V</w:t>
      </w:r>
      <w:r w:rsidRPr="00DB5D0D">
        <w:rPr>
          <w:rFonts w:ascii="Times New Roman" w:hAnsi="Times New Roman" w:cs="Times New Roman"/>
          <w:i w:val="0"/>
          <w:iCs w:val="0"/>
          <w:noProof w:val="0"/>
          <w:color w:val="000000" w:themeColor="text1"/>
          <w:lang w:val="ru-RU"/>
        </w:rPr>
        <w:t>.</w:t>
      </w:r>
    </w:p>
    <w:p w14:paraId="2A45178E"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детали 34-</w:t>
      </w:r>
      <w:r w:rsidRPr="00DB5D0D">
        <w:rPr>
          <w:rStyle w:val="1260pt28"/>
          <w:rFonts w:ascii="Times New Roman" w:hAnsi="Times New Roman" w:cs="Times New Roman"/>
          <w:color w:val="000000" w:themeColor="text1"/>
          <w:spacing w:val="0"/>
          <w:lang w:val="ru-RU"/>
        </w:rPr>
        <w:t xml:space="preserve"> /5-Ш6(крышка ленивца) -</w:t>
      </w:r>
      <w:r w:rsidRPr="00DB5D0D">
        <w:rPr>
          <w:rFonts w:ascii="Times New Roman" w:hAnsi="Times New Roman" w:cs="Times New Roman"/>
          <w:i w:val="0"/>
          <w:iCs w:val="0"/>
          <w:color w:val="000000" w:themeColor="text1"/>
          <w:lang w:val="ru-RU"/>
        </w:rPr>
        <w:t xml:space="preserve"> поставляется без заш</w:t>
      </w:r>
      <w:r w:rsidRPr="00DB5D0D">
        <w:rPr>
          <w:rFonts w:ascii="Times New Roman" w:hAnsi="Times New Roman" w:cs="Times New Roman"/>
          <w:i w:val="0"/>
          <w:iCs w:val="0"/>
          <w:color w:val="000000" w:themeColor="text1"/>
          <w:lang w:val="ru-RU"/>
        </w:rPr>
        <w:softHyphen/>
        <w:t>лифовки внешней конфигурации после огнереза. Увеличить радиу</w:t>
      </w:r>
      <w:r w:rsidRPr="00DB5D0D">
        <w:rPr>
          <w:rFonts w:ascii="Times New Roman" w:hAnsi="Times New Roman" w:cs="Times New Roman"/>
          <w:i w:val="0"/>
          <w:iCs w:val="0"/>
          <w:color w:val="000000" w:themeColor="text1"/>
          <w:lang w:val="ru-RU"/>
        </w:rPr>
        <w:softHyphen/>
        <w:t>сы закругления у выступов для болтов до 50 мм. Деталь изготовля</w:t>
      </w:r>
      <w:r w:rsidRPr="00DB5D0D">
        <w:rPr>
          <w:rFonts w:ascii="Times New Roman" w:hAnsi="Times New Roman" w:cs="Times New Roman"/>
          <w:i w:val="0"/>
          <w:iCs w:val="0"/>
          <w:color w:val="000000" w:themeColor="text1"/>
          <w:lang w:val="ru-RU"/>
        </w:rPr>
        <w:softHyphen/>
        <w:t>ется из заготовки 25 мм. Утонение допускается до 19,5 мм.</w:t>
      </w:r>
    </w:p>
    <w:p w14:paraId="37A565A6"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деталям 34-12-013</w:t>
      </w:r>
      <w:r w:rsidRPr="00DB5D0D">
        <w:rPr>
          <w:rStyle w:val="1260pt28"/>
          <w:rFonts w:ascii="Times New Roman" w:hAnsi="Times New Roman" w:cs="Times New Roman"/>
          <w:color w:val="000000" w:themeColor="text1"/>
          <w:spacing w:val="0"/>
          <w:lang w:val="ru-RU"/>
        </w:rPr>
        <w:t xml:space="preserve"> (крышка поддерживающего колеса)</w:t>
      </w:r>
      <w:r w:rsidRPr="00DB5D0D">
        <w:rPr>
          <w:rFonts w:ascii="Times New Roman" w:hAnsi="Times New Roman" w:cs="Times New Roman"/>
          <w:i w:val="0"/>
          <w:iCs w:val="0"/>
          <w:color w:val="000000" w:themeColor="text1"/>
          <w:lang w:val="ru-RU"/>
        </w:rPr>
        <w:t xml:space="preserve"> и 34-15-006 - Конструкторам завода № 183 проработать чертежи с расчетом производить штамповку одним штампом.</w:t>
      </w:r>
    </w:p>
    <w:p w14:paraId="5F395A95"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детали 34-16-003</w:t>
      </w:r>
      <w:r w:rsidRPr="00DB5D0D">
        <w:rPr>
          <w:rStyle w:val="1260pt28"/>
          <w:rFonts w:ascii="Times New Roman" w:hAnsi="Times New Roman" w:cs="Times New Roman"/>
          <w:color w:val="000000" w:themeColor="text1"/>
          <w:spacing w:val="0"/>
          <w:lang w:val="ru-RU"/>
        </w:rPr>
        <w:t xml:space="preserve"> (крышка бортовой переда</w:t>
      </w:r>
      <w:r w:rsidRPr="00DB5D0D">
        <w:rPr>
          <w:rStyle w:val="1260pt28"/>
          <w:rFonts w:ascii="Times New Roman" w:hAnsi="Times New Roman" w:cs="Times New Roman"/>
          <w:noProof w:val="0"/>
          <w:color w:val="000000" w:themeColor="text1"/>
          <w:spacing w:val="0"/>
          <w:lang w:val="ru-RU"/>
        </w:rPr>
        <w:t>ч</w:t>
      </w:r>
      <w:r w:rsidRPr="00DB5D0D">
        <w:rPr>
          <w:rStyle w:val="1260pt28"/>
          <w:rFonts w:ascii="Times New Roman" w:hAnsi="Times New Roman" w:cs="Times New Roman"/>
          <w:color w:val="000000" w:themeColor="text1"/>
          <w:spacing w:val="0"/>
          <w:lang w:val="ru-RU"/>
        </w:rPr>
        <w:t>и) -</w:t>
      </w:r>
      <w:r w:rsidRPr="00DB5D0D">
        <w:rPr>
          <w:rFonts w:ascii="Times New Roman" w:hAnsi="Times New Roman" w:cs="Times New Roman"/>
          <w:i w:val="0"/>
          <w:iCs w:val="0"/>
          <w:color w:val="000000" w:themeColor="text1"/>
          <w:lang w:val="ru-RU"/>
        </w:rPr>
        <w:t xml:space="preserve"> крышка литая, Мариупольский завод к изготовлению не принимает.</w:t>
      </w:r>
    </w:p>
    <w:p w14:paraId="3654F8B2"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деталям 34-30-018-1 и 34-30-019-1</w:t>
      </w:r>
      <w:r w:rsidRPr="00DB5D0D">
        <w:rPr>
          <w:rStyle w:val="1260pt28"/>
          <w:rFonts w:ascii="Times New Roman" w:hAnsi="Times New Roman" w:cs="Times New Roman"/>
          <w:color w:val="000000" w:themeColor="text1"/>
          <w:spacing w:val="0"/>
          <w:lang w:val="ru-RU"/>
        </w:rPr>
        <w:t xml:space="preserve"> (боковые стенки башни) </w:t>
      </w:r>
      <w:r w:rsidRPr="00DB5D0D">
        <w:rPr>
          <w:rFonts w:ascii="Times New Roman" w:hAnsi="Times New Roman" w:cs="Times New Roman"/>
          <w:i w:val="0"/>
          <w:iCs w:val="0"/>
          <w:color w:val="000000" w:themeColor="text1"/>
          <w:lang w:val="ru-RU"/>
        </w:rPr>
        <w:t>по предложенным чертежам не могут быть приняты к изготовлению ввиду отсутствия на заводе соответствующего оборудования по штам</w:t>
      </w:r>
      <w:r w:rsidRPr="00DB5D0D">
        <w:rPr>
          <w:rFonts w:ascii="Times New Roman" w:hAnsi="Times New Roman" w:cs="Times New Roman"/>
          <w:i w:val="0"/>
          <w:iCs w:val="0"/>
          <w:color w:val="000000" w:themeColor="text1"/>
          <w:lang w:val="ru-RU"/>
        </w:rPr>
        <w:softHyphen/>
        <w:t>повке, а также правильных средств после закалки.</w:t>
      </w:r>
    </w:p>
    <w:p w14:paraId="74D59416"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По детали 34-29-877-1</w:t>
      </w:r>
      <w:r w:rsidRPr="00DB5D0D">
        <w:rPr>
          <w:rStyle w:val="1260pt28"/>
          <w:rFonts w:ascii="Times New Roman" w:hAnsi="Times New Roman" w:cs="Times New Roman"/>
          <w:color w:val="000000" w:themeColor="text1"/>
          <w:spacing w:val="0"/>
          <w:lang w:val="ru-RU"/>
        </w:rPr>
        <w:t xml:space="preserve"> (перемычка надлюком водителя) -</w:t>
      </w:r>
      <w:r w:rsidRPr="00DB5D0D">
        <w:rPr>
          <w:rFonts w:ascii="Times New Roman" w:hAnsi="Times New Roman" w:cs="Times New Roman"/>
          <w:i w:val="0"/>
          <w:iCs w:val="0"/>
          <w:color w:val="000000" w:themeColor="text1"/>
          <w:lang w:val="ru-RU"/>
        </w:rPr>
        <w:t xml:space="preserve"> Стар</w:t>
      </w:r>
      <w:r w:rsidRPr="00DB5D0D">
        <w:rPr>
          <w:rFonts w:ascii="Times New Roman" w:hAnsi="Times New Roman" w:cs="Times New Roman"/>
          <w:i w:val="0"/>
          <w:iCs w:val="0"/>
          <w:color w:val="000000" w:themeColor="text1"/>
          <w:lang w:val="ru-RU"/>
        </w:rPr>
        <w:softHyphen/>
        <w:t>шему конструктору завода № 183 совместно с Зам. начальника цеха №5 тов. ЗАСЕДСКИМ с целью облегчения обработки, проработать изменения впадины для петли.</w:t>
      </w:r>
    </w:p>
    <w:p w14:paraId="409EFE8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ОСОБОЕ МНЕНИЕ ПРЕДСТАВИТЕЛЕЙ ЗАВОДА № 183 И ВОЕНПРЕДА АБТУ КА НА ЗАВОДЕ №183</w:t>
      </w:r>
    </w:p>
    <w:p w14:paraId="2E96BE6F" w14:textId="77777777" w:rsidR="00A25AD1" w:rsidRPr="00DB5D0D" w:rsidRDefault="00A25AD1" w:rsidP="00DB5D0D">
      <w:pPr>
        <w:pStyle w:val="1210"/>
        <w:shd w:val="clear" w:color="auto" w:fill="auto"/>
        <w:tabs>
          <w:tab w:val="left" w:pos="51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noProof w:val="0"/>
          <w:color w:val="000000" w:themeColor="text1"/>
          <w:lang w:val="ru-RU"/>
        </w:rPr>
        <w:t>3</w:t>
      </w:r>
      <w:r w:rsidRPr="00DB5D0D">
        <w:rPr>
          <w:rFonts w:ascii="Times New Roman" w:hAnsi="Times New Roman" w:cs="Times New Roman"/>
          <w:i w:val="0"/>
          <w:iCs w:val="0"/>
          <w:color w:val="000000" w:themeColor="text1"/>
          <w:lang w:val="ru-RU"/>
        </w:rPr>
        <w:t>.По детали 34-16-003 отказ Марзавода от поставки сырых за</w:t>
      </w:r>
      <w:r w:rsidRPr="00DB5D0D">
        <w:rPr>
          <w:rFonts w:ascii="Times New Roman" w:hAnsi="Times New Roman" w:cs="Times New Roman"/>
          <w:i w:val="0"/>
          <w:iCs w:val="0"/>
          <w:color w:val="000000" w:themeColor="text1"/>
          <w:lang w:val="ru-RU"/>
        </w:rPr>
        <w:softHyphen/>
        <w:t>готовок этих деталей по мотивам отсутствия литейной базы для от</w:t>
      </w:r>
      <w:r w:rsidRPr="00DB5D0D">
        <w:rPr>
          <w:rFonts w:ascii="Times New Roman" w:hAnsi="Times New Roman" w:cs="Times New Roman"/>
          <w:i w:val="0"/>
          <w:iCs w:val="0"/>
          <w:color w:val="000000" w:themeColor="text1"/>
          <w:lang w:val="ru-RU"/>
        </w:rPr>
        <w:softHyphen/>
        <w:t>ливки этих деталей, не может быть принят заводом №183, т.к. по другим узлам машины Марзавод предлагает замену катаных и штам</w:t>
      </w:r>
      <w:r w:rsidRPr="00DB5D0D">
        <w:rPr>
          <w:rFonts w:ascii="Times New Roman" w:hAnsi="Times New Roman" w:cs="Times New Roman"/>
          <w:i w:val="0"/>
          <w:iCs w:val="0"/>
          <w:color w:val="000000" w:themeColor="text1"/>
          <w:lang w:val="ru-RU"/>
        </w:rPr>
        <w:softHyphen/>
        <w:t>пованных узлов - литыми или же комбинированными, в которые входят литые элементы. Для отливки этих элементов литейная база на заводе Ильича имеется, следовательно, отливку двух деталей меньших, как по весу, так и по габаритам, завод Ильича имеет пол</w:t>
      </w:r>
      <w:r w:rsidRPr="00DB5D0D">
        <w:rPr>
          <w:rFonts w:ascii="Times New Roman" w:hAnsi="Times New Roman" w:cs="Times New Roman"/>
          <w:i w:val="0"/>
          <w:iCs w:val="0"/>
          <w:color w:val="000000" w:themeColor="text1"/>
          <w:lang w:val="ru-RU"/>
        </w:rPr>
        <w:softHyphen/>
        <w:t>ную возможность выполнить.</w:t>
      </w:r>
    </w:p>
    <w:p w14:paraId="68146FCE" w14:textId="77777777" w:rsidR="00A25AD1" w:rsidRPr="00DB5D0D" w:rsidRDefault="00A25AD1" w:rsidP="00DB5D0D">
      <w:pPr>
        <w:pStyle w:val="1210"/>
        <w:shd w:val="clear" w:color="auto" w:fill="auto"/>
        <w:tabs>
          <w:tab w:val="left" w:pos="51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4.По деталям 34-30-018-1 и 34-30-019-1 эти детали требуют изготовления новых штампов, несколько отличающихся от анало</w:t>
      </w:r>
      <w:r w:rsidRPr="00DB5D0D">
        <w:rPr>
          <w:rFonts w:ascii="Times New Roman" w:hAnsi="Times New Roman" w:cs="Times New Roman"/>
          <w:i w:val="0"/>
          <w:iCs w:val="0"/>
          <w:color w:val="000000" w:themeColor="text1"/>
          <w:lang w:val="ru-RU"/>
        </w:rPr>
        <w:softHyphen/>
        <w:t>гичных штампов, запроектированных для изготовления детали 34-30-018 и 34-30-019. Никакого дополнительного оборудования по штамповке и правильных средств изменение этих деталей не требу</w:t>
      </w:r>
      <w:r w:rsidRPr="00DB5D0D">
        <w:rPr>
          <w:rFonts w:ascii="Times New Roman" w:hAnsi="Times New Roman" w:cs="Times New Roman"/>
          <w:i w:val="0"/>
          <w:iCs w:val="0"/>
          <w:color w:val="000000" w:themeColor="text1"/>
          <w:lang w:val="ru-RU"/>
        </w:rPr>
        <w:softHyphen/>
        <w:t>ет, и всю последующую обработку после штамповки можно вести по техпроцессу на детали 34-30-018 и 34-30-019.</w:t>
      </w:r>
    </w:p>
    <w:p w14:paraId="7312169D"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Данные изменения в деталях 34-30-018 и 34-30-019 сделаны с целью уширения колпака по указанию НКО, которые согласовыва</w:t>
      </w:r>
      <w:r w:rsidRPr="00DB5D0D">
        <w:rPr>
          <w:rFonts w:ascii="Times New Roman" w:hAnsi="Times New Roman" w:cs="Times New Roman"/>
          <w:i w:val="0"/>
          <w:iCs w:val="0"/>
          <w:color w:val="000000" w:themeColor="text1"/>
          <w:lang w:val="ru-RU"/>
        </w:rPr>
        <w:softHyphen/>
        <w:t>лись с Зам. начальника 5 цеха з-да Ильича т. ЗАСЕДСКИМ во время изготовления чертежей на заводе № 183. Отказ от изготовления кол</w:t>
      </w:r>
      <w:r w:rsidRPr="00DB5D0D">
        <w:rPr>
          <w:rFonts w:ascii="Times New Roman" w:hAnsi="Times New Roman" w:cs="Times New Roman"/>
          <w:i w:val="0"/>
          <w:iCs w:val="0"/>
          <w:color w:val="000000" w:themeColor="text1"/>
          <w:lang w:val="ru-RU"/>
        </w:rPr>
        <w:softHyphen/>
        <w:t>пака заводом Ильича даже без тщательной проверки конструкции и возможности его изготовления, является формальной необоснован</w:t>
      </w:r>
      <w:r w:rsidRPr="00DB5D0D">
        <w:rPr>
          <w:rFonts w:ascii="Times New Roman" w:hAnsi="Times New Roman" w:cs="Times New Roman"/>
          <w:i w:val="0"/>
          <w:iCs w:val="0"/>
          <w:color w:val="000000" w:themeColor="text1"/>
          <w:lang w:val="ru-RU"/>
        </w:rPr>
        <w:softHyphen/>
        <w:t>ной отпиской, которая может привести к срыву выпуска машин А-34.</w:t>
      </w:r>
    </w:p>
    <w:p w14:paraId="17FA6AA4"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ПРЕДСТАВИТЕЛИ ЗАВОДА 183Таршинов</w:t>
      </w:r>
    </w:p>
    <w:p w14:paraId="7CD9D4BD"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Кочетов Щербаков</w:t>
      </w:r>
    </w:p>
    <w:p w14:paraId="4BC35B95" w14:textId="77777777" w:rsidR="00A25AD1" w:rsidRPr="00DB5D0D" w:rsidRDefault="00A25AD1" w:rsidP="00DB5D0D">
      <w:pPr>
        <w:pStyle w:val="1210"/>
        <w:shd w:val="clear" w:color="auto" w:fill="auto"/>
        <w:spacing w:before="0" w:line="240" w:lineRule="auto"/>
        <w:rPr>
          <w:rStyle w:val="1260pt28"/>
          <w:rFonts w:ascii="Times New Roman" w:hAnsi="Times New Roman" w:cs="Times New Roman"/>
          <w:noProof w:val="0"/>
          <w:color w:val="000000" w:themeColor="text1"/>
          <w:spacing w:val="0"/>
          <w:lang w:val="ru-RU"/>
        </w:rPr>
      </w:pPr>
      <w:r w:rsidRPr="00DB5D0D">
        <w:rPr>
          <w:rFonts w:ascii="Times New Roman" w:hAnsi="Times New Roman" w:cs="Times New Roman"/>
          <w:i w:val="0"/>
          <w:iCs w:val="0"/>
          <w:color w:val="000000" w:themeColor="text1"/>
          <w:lang w:val="ru-RU"/>
        </w:rPr>
        <w:t>ВОЕНПРЕД АБТУ КА ПРИ ЗАВОДЕ 183 Русаков.</w:t>
      </w:r>
      <w:r w:rsidRPr="00DB5D0D">
        <w:rPr>
          <w:rStyle w:val="1260pt28"/>
          <w:rFonts w:ascii="Times New Roman" w:hAnsi="Times New Roman" w:cs="Times New Roman"/>
          <w:color w:val="000000" w:themeColor="text1"/>
          <w:spacing w:val="0"/>
          <w:lang w:val="ru-RU"/>
        </w:rPr>
        <w:t xml:space="preserve"> [</w:t>
      </w:r>
      <w:r w:rsidRPr="00DB5D0D">
        <w:rPr>
          <w:rFonts w:ascii="Times New Roman" w:hAnsi="Times New Roman" w:cs="Times New Roman"/>
          <w:i w:val="0"/>
          <w:iCs w:val="0"/>
          <w:color w:val="000000" w:themeColor="text1"/>
          <w:lang w:val="ru-RU"/>
        </w:rPr>
        <w:t>РГВА. Ф.31811. Оп.2. Д. 1176. Л. 105-106.</w:t>
      </w:r>
      <w:r w:rsidRPr="00DB5D0D">
        <w:rPr>
          <w:rStyle w:val="1260pt28"/>
          <w:rFonts w:ascii="Times New Roman" w:hAnsi="Times New Roman" w:cs="Times New Roman"/>
          <w:color w:val="000000" w:themeColor="text1"/>
          <w:spacing w:val="0"/>
          <w:lang w:val="ru-RU"/>
        </w:rPr>
        <w:t>]</w:t>
      </w:r>
      <w:r w:rsidRPr="00DB5D0D">
        <w:rPr>
          <w:rStyle w:val="1260pt28"/>
          <w:rFonts w:ascii="Times New Roman" w:hAnsi="Times New Roman" w:cs="Times New Roman"/>
          <w:noProof w:val="0"/>
          <w:color w:val="000000" w:themeColor="text1"/>
          <w:spacing w:val="0"/>
          <w:lang w:val="ru-RU"/>
        </w:rPr>
        <w:t xml:space="preserve"> (11892).</w:t>
      </w:r>
    </w:p>
    <w:p w14:paraId="209D45F6"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noProof w:val="0"/>
          <w:color w:val="000000" w:themeColor="text1"/>
          <w:lang w:val="ru-RU"/>
        </w:rPr>
      </w:pPr>
      <w:r w:rsidRPr="00DB5D0D">
        <w:rPr>
          <w:rFonts w:ascii="Times New Roman" w:hAnsi="Times New Roman" w:cs="Times New Roman"/>
          <w:i w:val="0"/>
          <w:iCs w:val="0"/>
          <w:color w:val="000000" w:themeColor="text1"/>
          <w:lang w:val="ru-RU"/>
        </w:rPr>
        <w:t>Таким образом, несмотря на мнение представителей завода № 183 и АБТУ, Мариупольский завод отказался принять к изготовле</w:t>
      </w:r>
      <w:r w:rsidRPr="00DB5D0D">
        <w:rPr>
          <w:rFonts w:ascii="Times New Roman" w:hAnsi="Times New Roman" w:cs="Times New Roman"/>
          <w:i w:val="0"/>
          <w:iCs w:val="0"/>
          <w:color w:val="000000" w:themeColor="text1"/>
          <w:lang w:val="ru-RU"/>
        </w:rPr>
        <w:softHyphen/>
        <w:t>нию новые боковые листы башни, ссылаясь на сложность их конст</w:t>
      </w:r>
      <w:r w:rsidRPr="00DB5D0D">
        <w:rPr>
          <w:rFonts w:ascii="Times New Roman" w:hAnsi="Times New Roman" w:cs="Times New Roman"/>
          <w:i w:val="0"/>
          <w:iCs w:val="0"/>
          <w:color w:val="000000" w:themeColor="text1"/>
          <w:lang w:val="ru-RU"/>
        </w:rPr>
        <w:softHyphen/>
        <w:t>рукции и отсутствие необходимого оборудования</w:t>
      </w:r>
      <w:r w:rsidRPr="00DB5D0D">
        <w:rPr>
          <w:rStyle w:val="1260pt28"/>
          <w:rFonts w:ascii="Times New Roman" w:hAnsi="Times New Roman" w:cs="Times New Roman"/>
          <w:noProof w:val="0"/>
          <w:color w:val="000000" w:themeColor="text1"/>
          <w:spacing w:val="0"/>
          <w:lang w:val="ru-RU"/>
        </w:rPr>
        <w:t xml:space="preserve"> (11892)</w:t>
      </w:r>
      <w:r w:rsidRPr="00DB5D0D">
        <w:rPr>
          <w:rFonts w:ascii="Times New Roman" w:hAnsi="Times New Roman" w:cs="Times New Roman"/>
          <w:i w:val="0"/>
          <w:iCs w:val="0"/>
          <w:color w:val="000000" w:themeColor="text1"/>
          <w:lang w:val="ru-RU"/>
        </w:rPr>
        <w:t>.</w:t>
      </w:r>
    </w:p>
    <w:p w14:paraId="4C91B83F"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p>
    <w:p w14:paraId="0D56267A"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21 мая 1940</w:t>
      </w:r>
    </w:p>
    <w:p w14:paraId="3D0EC4C7"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служебного пользования </w:t>
      </w:r>
    </w:p>
    <w:p w14:paraId="7A9FD171"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ПРОТОКОЛ</w:t>
      </w:r>
    </w:p>
    <w:p w14:paraId="6032E35F"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ТЕХНИЧЕСКОГО СОВЕЩАНИЯ ПО ВОПРОСУ РАССМОТРЕНИЯ</w:t>
      </w:r>
    </w:p>
    <w:p w14:paraId="1B498F27"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ИЗМЕНЕННЫХ ЧЕРТЕЖЕЙ МАШИНЫ А-34</w:t>
      </w:r>
    </w:p>
    <w:p w14:paraId="70058443"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21-го Мая 1940 года Мариупольские заводы им. Ильича.</w:t>
      </w:r>
    </w:p>
    <w:p w14:paraId="1EAFE7EB"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ПРИСУТСТВОВАЛИ: </w:t>
      </w:r>
    </w:p>
    <w:p w14:paraId="5D60D34C"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Главный инженер завода им. ИЛЬИЧА – тов. НИЦЕНКО </w:t>
      </w:r>
    </w:p>
    <w:p w14:paraId="6696FBE6"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ПТО по спецпроизводству – т. АРЕХОВ </w:t>
      </w:r>
    </w:p>
    <w:p w14:paraId="494A98F8"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Старший Инженер ПТО по спецпроизводству – ТУМАСОВ </w:t>
      </w:r>
    </w:p>
    <w:p w14:paraId="4DDB49F2"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цеха № 5 – т. ВАРФОЛОМЕЕВ </w:t>
      </w:r>
    </w:p>
    <w:p w14:paraId="70B0994F"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Зам. Начальника цеха № 5 – т. ЗАСЕДСКИЙ </w:t>
      </w:r>
    </w:p>
    <w:p w14:paraId="41F66815"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Зам. Начальника цеха № 5 по технол. – т. АФОНИН </w:t>
      </w:r>
    </w:p>
    <w:p w14:paraId="2503B530"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Зам. Начальника цеха № 5 по мехобр. – т. УВАРОВ </w:t>
      </w:r>
    </w:p>
    <w:p w14:paraId="1A4AB7D3"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Пом. Нач. цеха № 5 по горячей обработке – т. ТИТАРЕНКО </w:t>
      </w:r>
    </w:p>
    <w:p w14:paraId="3F7AD4C5"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Зам. Нач. Исследовательской Лаборатории – т. КОПЫРИН </w:t>
      </w:r>
    </w:p>
    <w:p w14:paraId="66416F78"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Зам. Начальника цеха № 11 – т. РУБАЙЛО </w:t>
      </w:r>
    </w:p>
    <w:p w14:paraId="775E29A1"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Руководитель группы № 2 ОГТ – т. ВОЛКОВ </w:t>
      </w:r>
    </w:p>
    <w:p w14:paraId="726FF9ED"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Военпред АБТУ КА при заводе им. Ильича – т. ФЕДОРОВ </w:t>
      </w:r>
    </w:p>
    <w:p w14:paraId="4CD3DD6D"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 7-го Главного Управления НКСП – т. БЫЧКОВ </w:t>
      </w:r>
    </w:p>
    <w:p w14:paraId="76E280D3"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Старший конструктор завода № 183 – т. ТАРШИНОВ </w:t>
      </w:r>
    </w:p>
    <w:p w14:paraId="6A7523DF"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Отдела № 3 завода № 183 – т. ЩЕРБАКОВ </w:t>
      </w:r>
    </w:p>
    <w:p w14:paraId="2AEE20B8"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Старший приемщик завода № 183 при заводе им. Ильича – т. КОЧЕТОВ </w:t>
      </w:r>
    </w:p>
    <w:p w14:paraId="0C69EC3E"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Военпред АБТУ КА при заводе № 183 – т. РУСАКОВ </w:t>
      </w:r>
    </w:p>
    <w:p w14:paraId="5698BF3E"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детали 34-29-019 литая, ОГТ разработать чертеж для литья, срок 28/V. </w:t>
      </w:r>
    </w:p>
    <w:p w14:paraId="3CED9A9F"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детали 34-15-006 поставляется без зашлифовки внешней конфигурации после огнереза. Увеличить радиусы закругления у выступов для болтов до 50 мм. Деталь изготовляется из заготовки 25 мм. Утонение допускается до 19,5 мм. </w:t>
      </w:r>
    </w:p>
    <w:p w14:paraId="02518B39"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деталям 34-12-013 и 34-15-006 Конструкторам завода № 183 проработать чертежи с расчетом производить штамповку одним штампом. </w:t>
      </w:r>
    </w:p>
    <w:p w14:paraId="0D56CBCC"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детали 34-16-003 Крышка литая, Мариупольский завод к изготовлению не принимает. </w:t>
      </w:r>
    </w:p>
    <w:p w14:paraId="55D50C87"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детали 34-30-018-1 и 34-30-019-1 по предложенным чертежам не могут быть приняты к изготовлению ввиду отсутствия на заводе соответствующего оборудования по штамповке, а также правильных средств после закалки. </w:t>
      </w:r>
    </w:p>
    <w:p w14:paraId="694E8972"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детали 34-29-877-1 Старшему конструктору завода № 183 совместно с Зам. начальника цеха № 5 тов. ЗАСЕДСКИМ с целью облегчения обработки, проработать изменения впадины для петли. </w:t>
      </w:r>
    </w:p>
    <w:p w14:paraId="04FBD959"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детали 34-29-876-1 Проработать крепление сочетающих с деталью34-29-877-1 и 34-29-876-1 с целью сохранения равнопрочности. Для этой детали, после корректировки чертежей, изготовить матрицу в течение 10 дней. Провести в течение 5 дней испытание макета сочетания деталей 34-29-877-1 и 34-29-876-1, с целью ускорения испытания, конструктор завода № 183 разрабатывает 22/V чертеж на плоскую деталь. </w:t>
      </w:r>
    </w:p>
    <w:p w14:paraId="4CCDD345"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ГАВНЫЙ ИНЖЕНЕР ЗАВОДА подпись (НИЦЕНКО) </w:t>
      </w:r>
    </w:p>
    <w:p w14:paraId="0F2ED0CA"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ПТО ПО СПЕЦПРОИЗВОДСТВУ подпись (АРЕХОВ) </w:t>
      </w:r>
    </w:p>
    <w:p w14:paraId="120C9D3E"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ЦЕХА № 5 подпись (ВАРФОЛОМЕЕВ) </w:t>
      </w:r>
    </w:p>
    <w:p w14:paraId="08F90E6C"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ВОЕНПРЕД АБТУ КА ПРИ ЗАВОДЕ им. ИЛЬИЧА подпись (ФЕДОРОВ) </w:t>
      </w:r>
    </w:p>
    <w:p w14:paraId="55AAEFDE"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ДИСПЕТЧЕР 7-го ГЛАВНОГО УПРАВЛЕНИЯ НКСП подпись (БЫЧКОВ) </w:t>
      </w:r>
    </w:p>
    <w:p w14:paraId="19C0FF0D"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СТАРШИЙ КОНСТРУКТОР ЗАВОДА 183 (ТАРШИНОВ) </w:t>
      </w:r>
    </w:p>
    <w:p w14:paraId="1C0562AD"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ОТДЕЛА № 3 ЗАВОДА 183 (ЩЕРБАКОВ) </w:t>
      </w:r>
    </w:p>
    <w:p w14:paraId="15A74F3B"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ВОЕНПРЕД АБТУ КА ПРИ ЗАВОДЕ 183 (РУСАКОВ)</w:t>
      </w:r>
    </w:p>
    <w:p w14:paraId="4E974FBE"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Дописано от руки: </w:t>
      </w:r>
      <w:r w:rsidRPr="00DB5D0D">
        <w:rPr>
          <w:rFonts w:ascii="Times New Roman" w:eastAsia="Times New Roman" w:hAnsi="Times New Roman"/>
          <w:color w:val="000000" w:themeColor="text1"/>
          <w:sz w:val="16"/>
          <w:szCs w:val="16"/>
          <w:lang w:eastAsia="ru-RU"/>
        </w:rPr>
        <w:t xml:space="preserve">«См. особое мнение и подписи на отдельном листе» </w:t>
      </w:r>
    </w:p>
    <w:p w14:paraId="1DDB068A"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Отп. 6 экз.</w:t>
      </w:r>
    </w:p>
    <w:p w14:paraId="76969FCA" w14:textId="77777777" w:rsidR="00B174DC" w:rsidRPr="00DB5D0D" w:rsidRDefault="00B174DC" w:rsidP="00DB5D0D">
      <w:pPr>
        <w:spacing w:after="0" w:line="240" w:lineRule="auto"/>
        <w:jc w:val="both"/>
        <w:rPr>
          <w:rFonts w:ascii="Times New Roman" w:eastAsia="Times New Roman" w:hAnsi="Times New Roman"/>
          <w:bCs/>
          <w:iCs/>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1176 листы 106 (18076).</w:t>
      </w:r>
    </w:p>
    <w:p w14:paraId="0B7D096A" w14:textId="77777777" w:rsidR="00B174DC" w:rsidRPr="00DB5D0D" w:rsidRDefault="00B174DC" w:rsidP="00DB5D0D">
      <w:pPr>
        <w:spacing w:after="0" w:line="240" w:lineRule="auto"/>
        <w:jc w:val="both"/>
        <w:rPr>
          <w:rFonts w:ascii="Times New Roman" w:eastAsia="Times New Roman" w:hAnsi="Times New Roman"/>
          <w:color w:val="000000" w:themeColor="text1"/>
          <w:sz w:val="16"/>
          <w:szCs w:val="16"/>
          <w:lang w:eastAsia="ru-RU"/>
        </w:rPr>
      </w:pPr>
    </w:p>
    <w:p w14:paraId="56DED2E4" w14:textId="77777777" w:rsidR="003C3183" w:rsidRPr="00DB5D0D" w:rsidRDefault="003C318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 мая 1940 г. на Мариупольском заводе состоялось техническое совещание, темой которого являлось рассмотрение и согласование измененных чертежей броневых деталей танка Т-34, в том числе и чертежей новых броневых деталей расширенной башни. После ознакомления с представленными заводом № 183 чертежами, специалисты Мариупольского завода отказались принять на серийное производство новые бортовые листы расширенной башни (детали 34.30.018-1 и 34.30.019-1). Свое решение они мотивировали сложностью изготовления этих броневых деталей и отсутствием на заводе необходимого оборудования. Присутствовавшие на </w:t>
      </w:r>
      <w:r w:rsidRPr="00DB5D0D">
        <w:rPr>
          <w:rFonts w:ascii="Times New Roman" w:hAnsi="Times New Roman"/>
          <w:color w:val="000000" w:themeColor="text1"/>
          <w:sz w:val="16"/>
          <w:szCs w:val="16"/>
        </w:rPr>
        <w:lastRenderedPageBreak/>
        <w:t xml:space="preserve">совещании представители завода № 183 конструкторы М.И. Таршинов и Л.Т. Кочетов, а также военный представитель завода № 183 капитан П.Ф. Русаков с таким решением не согласились, и в особом мнении к протоколу совещания отметили следующее: </w:t>
      </w:r>
    </w:p>
    <w:p w14:paraId="3D4D5530" w14:textId="77777777" w:rsidR="003C3183" w:rsidRPr="00DB5D0D" w:rsidRDefault="003C318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По деталям 34-30-018-1 и 34-30-019-1 эти детали требуют изготовления новых штампов, несколько отличающихся от аналогичных штампов, запроектированных для изготовления детали 34-30-018 и 34-30-019. Никакого дополнительного оборудования по штамповке и правильных средств изменение этих деталей не требует, и всю последующую обработку после штамповки можно вести по техпроцессу на детали 34-30-018 и 34-30-019. </w:t>
      </w:r>
    </w:p>
    <w:p w14:paraId="5AC9DC8A" w14:textId="77777777" w:rsidR="003C3183" w:rsidRPr="00DB5D0D" w:rsidRDefault="003C3183"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Данные изменения в деталях 34-30-018 и 34-30-019 сделаны с целью уширения колпака по указанию НКО, которые согласовывались с Зам. начальника 5 цеха з-да Ильича т. ЗАСЕДСКИМ во время изготовления чертежей на заводе № 183. Отказ от изготовления колпака заводом Ильича даже без тщательной проверки конструкции и возможности его изготовления, является формальной необоснованной отпиской, которая может привести к срыву выпуска машин А-34»</w:t>
      </w:r>
      <w:r w:rsidRPr="00DB5D0D">
        <w:rPr>
          <w:rFonts w:ascii="Times New Roman" w:hAnsi="Times New Roman"/>
          <w:color w:val="000000" w:themeColor="text1"/>
          <w:sz w:val="16"/>
          <w:szCs w:val="16"/>
        </w:rPr>
        <w:t xml:space="preserve">. </w:t>
      </w:r>
    </w:p>
    <w:p w14:paraId="0D1E8CA0" w14:textId="77777777" w:rsidR="003C3183" w:rsidRPr="00DB5D0D" w:rsidRDefault="003C3183" w:rsidP="00DB5D0D">
      <w:pPr>
        <w:pStyle w:val="ae"/>
        <w:spacing w:before="0" w:after="0"/>
        <w:jc w:val="both"/>
        <w:rPr>
          <w:bCs/>
          <w:color w:val="000000" w:themeColor="text1"/>
          <w:sz w:val="16"/>
          <w:szCs w:val="16"/>
        </w:rPr>
      </w:pPr>
      <w:r w:rsidRPr="00DB5D0D">
        <w:rPr>
          <w:bCs/>
          <w:color w:val="000000" w:themeColor="text1"/>
          <w:sz w:val="16"/>
          <w:szCs w:val="16"/>
        </w:rPr>
        <w:t>[РГВА. Ф. 31811. Оп. 2. Д. 1176. Л. 105] (18076).</w:t>
      </w:r>
    </w:p>
    <w:p w14:paraId="68059E94" w14:textId="77777777" w:rsidR="003C3183" w:rsidRPr="00DB5D0D" w:rsidRDefault="003C3183" w:rsidP="00DB5D0D">
      <w:pPr>
        <w:pStyle w:val="ae"/>
        <w:spacing w:before="0" w:after="0"/>
        <w:jc w:val="both"/>
        <w:rPr>
          <w:color w:val="000000" w:themeColor="text1"/>
          <w:sz w:val="16"/>
          <w:szCs w:val="16"/>
        </w:rPr>
      </w:pPr>
    </w:p>
    <w:p w14:paraId="3AA18668" w14:textId="77777777" w:rsidR="00416B4A" w:rsidRPr="00DB5D0D" w:rsidRDefault="00416B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 мая 1940 г. в Харькове на заводе № 183 был составлен отчет ещё по одной исследовательской работе, проведенной на танке А-34 № 311-18-3. Одновременно с испытанием механической системы сервоприводов управления на этой машине в период с 12 по 17 мая 1940 г. были проведены испытания литых траков, изготовленных на Сталинградском тракторном заводе. Данная работа проводилась цехом «540» отдела «500» на основании распоряжения директора завода № 183 Ю.Е. Максарева от 6 марта 1940 г. Целью испытаний являлось определение пригодности к эксплуатации на танке Т-34 литых траков, изготовленных из стали Гадфильда, взамен штампованных, установленных на двух танках А-34. </w:t>
      </w:r>
    </w:p>
    <w:p w14:paraId="61AE1A2C" w14:textId="77777777" w:rsidR="00416B4A" w:rsidRPr="00DB5D0D" w:rsidRDefault="00416B4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hAnsi="Times New Roman"/>
          <w:color w:val="000000" w:themeColor="text1"/>
          <w:sz w:val="16"/>
          <w:szCs w:val="16"/>
        </w:rPr>
        <w:t>Необходимо отметить, что литые траки с гребнем (деталь 34.44.004) и без гребня (деталь 34.44.005) отличались от штампованных траков (соответственно детали 34.44.001 и 34.44.002) только способом изготовления и маркой стали. Штампованные траки для двух опытных образцов танка Т-34 – танков А-34 были изготовлены методом горячей штамповки из стали марки хромансиль, а траки, отлитые на СТЗ – из стали Гадфильда. Эта сталь, названная в честь английского металлурга, разработавшего её, обладала высоким сопротивлением износу при больших давлениях и ударных нагрузках. Необходимость замены штампованных траков литыми была вызвана тем, что процесс изготовления траков методом литья был более технологичным по сравнению с горячей штамповкой, и наиболее подходящим для массового производства на СТЗ.</w:t>
      </w:r>
    </w:p>
    <w:p w14:paraId="6F2EF461" w14:textId="77777777" w:rsidR="00416B4A" w:rsidRPr="00DB5D0D" w:rsidRDefault="00416B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Литые траки были подвергнуты лабораторным и ходовым испытаниям. Лабораторные испытания траков на прочность включали в себя динамические испытания ударом на копре (масса бабы копра составляла 500 кг) и испытания под прессом на изгиб. За время ходовых испытаний, гусеницы, собранные из литых траков, прошли на танке А-34 № 311-18-3 в общей сложности 417 км, в том числе по грунтовым дорогам – 195 км, по песчаным дорогам – 80 км и по булыжному шоссе – 142 км. </w:t>
      </w:r>
    </w:p>
    <w:p w14:paraId="77622ABD" w14:textId="77777777" w:rsidR="00416B4A" w:rsidRPr="00DB5D0D" w:rsidRDefault="00416B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отчете № 014 по испытанию литых траков помощником начальника отдела «500» Н.С. Гутником, начальником опытного цеха «540» П.Н. Горюном, старшим инженером В.В. Амираговым, техником Губкиным, конструктором Я.И. Баран и представителем военной приемки АБТУ РККА на заводе № 183 П.П. Байковым были сделаны следующие выводы: </w:t>
      </w:r>
    </w:p>
    <w:p w14:paraId="0C0E9E75" w14:textId="77777777" w:rsidR="00416B4A" w:rsidRPr="00DB5D0D" w:rsidRDefault="00416B4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«Проведенные испытания показали, что машина, оборудованная гусеничными лентами из литых траков стали Гатфильда </w:t>
      </w:r>
      <w:r w:rsidRPr="00DB5D0D">
        <w:rPr>
          <w:rFonts w:ascii="Times New Roman" w:hAnsi="Times New Roman"/>
          <w:color w:val="000000" w:themeColor="text1"/>
          <w:sz w:val="16"/>
          <w:szCs w:val="16"/>
        </w:rPr>
        <w:t>[Гадфильда]</w:t>
      </w:r>
      <w:r w:rsidRPr="00DB5D0D">
        <w:rPr>
          <w:rFonts w:ascii="Times New Roman" w:hAnsi="Times New Roman"/>
          <w:iCs/>
          <w:color w:val="000000" w:themeColor="text1"/>
          <w:sz w:val="16"/>
          <w:szCs w:val="16"/>
        </w:rPr>
        <w:t xml:space="preserve"> за все время испытания (417 км) остановок и аварий по вине гусеничных лент не имела. Работа литой гусеницы на машине проходила нормально, без заклиниваний, соскакиваний и прочих дефектов, и в основном, была аналогична работе штампованной гусеницы. </w:t>
      </w:r>
    </w:p>
    <w:p w14:paraId="27E1A37B" w14:textId="77777777" w:rsidR="00416B4A" w:rsidRPr="00DB5D0D" w:rsidRDefault="00416B4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Результаты сборки и испытаний литой гусеницы выявили необходимость проведения следующих мероприятий: </w:t>
      </w:r>
    </w:p>
    <w:p w14:paraId="16496946" w14:textId="77777777" w:rsidR="00416B4A" w:rsidRPr="00DB5D0D" w:rsidRDefault="00416B4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 Устранение литейных пороков траков (трещины и крупные раковины). </w:t>
      </w:r>
    </w:p>
    <w:p w14:paraId="19584FC4" w14:textId="77777777" w:rsidR="00416B4A" w:rsidRPr="00DB5D0D" w:rsidRDefault="00416B4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 Получение более чистых отливок, обеспечивающих нормальное сопряжение траков в проушинах и свободное их относительное проворачивание на пальцах, без индивидуальной подгонки траков, которая имела место при сборке испытываемой гусеницы. </w:t>
      </w:r>
    </w:p>
    <w:p w14:paraId="6BF8C18E" w14:textId="77777777" w:rsidR="00416B4A" w:rsidRPr="00DB5D0D" w:rsidRDefault="00416B4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 Обеспечение чистоты отверстий проушин траков для лучшей приработки пальцев. </w:t>
      </w:r>
    </w:p>
    <w:p w14:paraId="41265CFF" w14:textId="77777777" w:rsidR="00416B4A" w:rsidRPr="00DB5D0D" w:rsidRDefault="00416B4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 Проведение усиления гребневого трака у подножия гребня для исключения появления трещин в указанных местах. </w:t>
      </w:r>
    </w:p>
    <w:p w14:paraId="77CA7894" w14:textId="77777777" w:rsidR="00416B4A" w:rsidRPr="00DB5D0D" w:rsidRDefault="00416B4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Считаем, что проведенные испытания подтвердили полную возможность применения на маш. "А-34" </w:t>
      </w:r>
      <w:r w:rsidRPr="00DB5D0D">
        <w:rPr>
          <w:rFonts w:ascii="Times New Roman" w:hAnsi="Times New Roman"/>
          <w:color w:val="000000" w:themeColor="text1"/>
          <w:sz w:val="16"/>
          <w:szCs w:val="16"/>
        </w:rPr>
        <w:t>[Т-34]</w:t>
      </w:r>
      <w:r w:rsidRPr="00DB5D0D">
        <w:rPr>
          <w:rFonts w:ascii="Times New Roman" w:hAnsi="Times New Roman"/>
          <w:iCs/>
          <w:color w:val="000000" w:themeColor="text1"/>
          <w:sz w:val="16"/>
          <w:szCs w:val="16"/>
        </w:rPr>
        <w:t xml:space="preserve"> литой гусеницы из ст. Гатфильда взамен штампованной и с приведением вышеперечисленных мероприятий литая гусеница будет пригодна для эксплоатации на машине "А-34". </w:t>
      </w:r>
    </w:p>
    <w:p w14:paraId="2D80ACB8" w14:textId="77777777" w:rsidR="00416B4A" w:rsidRPr="00DB5D0D" w:rsidRDefault="00416B4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Литая гусеница, как не требующая механической обработки и дорогостоящего штамповочного оборудования, является нетрудоемкой в изготовлении и экономически выгодной. </w:t>
      </w:r>
    </w:p>
    <w:p w14:paraId="3C6ED880" w14:textId="77777777" w:rsidR="00416B4A" w:rsidRPr="00DB5D0D" w:rsidRDefault="00416B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Что же касается срока службы литой гусеницы, то для дачи окончательного заключения необходимо гусеницу, изготовленную с учетом всех указанных мероприятий, подвергнуть испытаниям на гарантийный километраж в летних условиях. Одновременно считаем необходимым, продолжать испытания первой гусеницы, прошедшей 417 км, до ее окончательного износа, согласно имеющийся программы, для определения влияния выявленных дефектов на работоспособность гусеницы»</w:t>
      </w:r>
      <w:r w:rsidRPr="00DB5D0D">
        <w:rPr>
          <w:rFonts w:ascii="Times New Roman" w:hAnsi="Times New Roman"/>
          <w:color w:val="000000" w:themeColor="text1"/>
          <w:sz w:val="16"/>
          <w:szCs w:val="16"/>
        </w:rPr>
        <w:t xml:space="preserve">. </w:t>
      </w:r>
    </w:p>
    <w:p w14:paraId="03746F2F" w14:textId="77777777" w:rsidR="00416B4A" w:rsidRPr="00DB5D0D" w:rsidRDefault="00416B4A" w:rsidP="00DB5D0D">
      <w:pPr>
        <w:pStyle w:val="ae"/>
        <w:spacing w:before="0" w:after="0"/>
        <w:jc w:val="both"/>
        <w:rPr>
          <w:color w:val="000000" w:themeColor="text1"/>
          <w:sz w:val="16"/>
          <w:szCs w:val="16"/>
        </w:rPr>
      </w:pPr>
      <w:r w:rsidRPr="00DB5D0D">
        <w:rPr>
          <w:bCs/>
          <w:color w:val="000000" w:themeColor="text1"/>
          <w:sz w:val="16"/>
          <w:szCs w:val="16"/>
        </w:rPr>
        <w:t>[РГВА. Ф. 31811. Оп. 2. Д. 1181. Л. 126] (18076).</w:t>
      </w:r>
    </w:p>
    <w:p w14:paraId="24DA18E5" w14:textId="77777777" w:rsidR="00416B4A" w:rsidRPr="00DB5D0D" w:rsidRDefault="00416B4A" w:rsidP="00DB5D0D">
      <w:pPr>
        <w:spacing w:after="0" w:line="240" w:lineRule="auto"/>
        <w:jc w:val="both"/>
        <w:rPr>
          <w:rFonts w:ascii="Times New Roman" w:hAnsi="Times New Roman"/>
          <w:color w:val="000000" w:themeColor="text1"/>
          <w:sz w:val="16"/>
          <w:szCs w:val="16"/>
        </w:rPr>
      </w:pPr>
    </w:p>
    <w:p w14:paraId="5DF9D338"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две ХП-2 и танк БТ-7 отправили на Централь</w:t>
      </w:r>
      <w:r w:rsidRPr="00DB5D0D">
        <w:rPr>
          <w:rFonts w:ascii="Times New Roman" w:hAnsi="Times New Roman"/>
          <w:color w:val="000000" w:themeColor="text1"/>
          <w:sz w:val="16"/>
          <w:szCs w:val="16"/>
        </w:rPr>
        <w:softHyphen/>
        <w:t>ный военно-химический полигон в Шиханах, где их приняли 2 июня.</w:t>
      </w:r>
    </w:p>
    <w:p w14:paraId="5428F6DD"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Испытатели ЦХП отметили, что одна при</w:t>
      </w:r>
      <w:r w:rsidRPr="00DB5D0D">
        <w:rPr>
          <w:rFonts w:ascii="Times New Roman" w:hAnsi="Times New Roman"/>
          <w:color w:val="000000" w:themeColor="text1"/>
          <w:sz w:val="16"/>
          <w:szCs w:val="16"/>
        </w:rPr>
        <w:softHyphen/>
        <w:t>цепка, прошедшая ранее предварительные ис</w:t>
      </w:r>
      <w:r w:rsidRPr="00DB5D0D">
        <w:rPr>
          <w:rFonts w:ascii="Times New Roman" w:hAnsi="Times New Roman"/>
          <w:color w:val="000000" w:themeColor="text1"/>
          <w:sz w:val="16"/>
          <w:szCs w:val="16"/>
        </w:rPr>
        <w:softHyphen/>
        <w:t>пытания в Полевом отделе НТО ХИМУ,</w:t>
      </w:r>
      <w:r w:rsidRPr="00DB5D0D">
        <w:rPr>
          <w:rStyle w:val="aff6"/>
          <w:rFonts w:ascii="Times New Roman" w:hAnsi="Times New Roman" w:cs="Times New Roman"/>
          <w:i w:val="0"/>
          <w:color w:val="000000" w:themeColor="text1"/>
        </w:rPr>
        <w:t xml:space="preserve"> «имеет большую коррозию на поверхности химаппаратуры».</w:t>
      </w:r>
      <w:r w:rsidRPr="00DB5D0D">
        <w:rPr>
          <w:rFonts w:ascii="Times New Roman" w:hAnsi="Times New Roman"/>
          <w:color w:val="000000" w:themeColor="text1"/>
          <w:sz w:val="16"/>
          <w:szCs w:val="16"/>
        </w:rPr>
        <w:t xml:space="preserve"> Кроме того, обнаружилась сильная течь в спусковом вентиле и несколько других незначительных недостатков. Вторая ХП-2 была новой и дефектов не имела (17480).</w:t>
      </w:r>
    </w:p>
    <w:p w14:paraId="42936F3A" w14:textId="77777777" w:rsidR="004A0330" w:rsidRPr="00DB5D0D" w:rsidRDefault="004A0330" w:rsidP="00DB5D0D">
      <w:pPr>
        <w:spacing w:after="0" w:line="240" w:lineRule="auto"/>
        <w:jc w:val="both"/>
        <w:rPr>
          <w:rFonts w:ascii="Times New Roman" w:hAnsi="Times New Roman"/>
          <w:color w:val="000000" w:themeColor="text1"/>
          <w:sz w:val="16"/>
          <w:szCs w:val="16"/>
        </w:rPr>
      </w:pPr>
    </w:p>
    <w:p w14:paraId="2D1ECFF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21D5D6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B93DE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согласно Ведомости состава и численности частей КА по родам войск в КА было 3990993 (1015,19).</w:t>
      </w:r>
    </w:p>
    <w:p w14:paraId="42BE537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93BE4A"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 xml:space="preserve">21 мая 1940 ПЮ ЦК ВКП(б) утвердило постановление КО при СНК Об организации и численности КА” и численность ВВС определили в 291210 чел. </w:t>
      </w:r>
      <w:r w:rsidRPr="00DB5D0D">
        <w:rPr>
          <w:rFonts w:ascii="Times New Roman" w:hAnsi="Times New Roman"/>
          <w:color w:val="000000" w:themeColor="text1"/>
          <w:sz w:val="16"/>
          <w:szCs w:val="16"/>
          <w:lang w:val="en-US"/>
        </w:rPr>
        <w:t>(4134).</w:t>
      </w:r>
    </w:p>
    <w:p w14:paraId="30F7E51D"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11D6746" w14:textId="77777777" w:rsidR="00A25AD1"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За</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рубежом</w:t>
      </w:r>
      <w:r w:rsidRPr="00DB5D0D">
        <w:rPr>
          <w:rFonts w:ascii="Times New Roman" w:hAnsi="Times New Roman"/>
          <w:i/>
          <w:iCs/>
          <w:color w:val="000000" w:themeColor="text1"/>
          <w:sz w:val="16"/>
          <w:szCs w:val="16"/>
          <w:lang w:val="en-US"/>
        </w:rPr>
        <w:t>:</w:t>
      </w:r>
    </w:p>
    <w:p w14:paraId="500FA4D2" w14:textId="77777777" w:rsidR="00A25AD1" w:rsidRPr="00DB5D0D" w:rsidRDefault="00A25AD1" w:rsidP="00DB5D0D">
      <w:pPr>
        <w:spacing w:after="0" w:line="240" w:lineRule="auto"/>
        <w:jc w:val="both"/>
        <w:rPr>
          <w:rFonts w:ascii="Times New Roman" w:hAnsi="Times New Roman"/>
          <w:iCs/>
          <w:color w:val="000000" w:themeColor="text1"/>
          <w:sz w:val="16"/>
          <w:szCs w:val="16"/>
          <w:lang w:val="en-US"/>
        </w:rPr>
      </w:pPr>
    </w:p>
    <w:p w14:paraId="0E602E83"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21 мая 1940 британские авианосцы HMS Glorious и HMS Furious выпускают самолеты Королевских ВВС для работы на берегу в Бардуфосе, Норвегия. С Glorious вылетают Hurricanes из 46-й эскадрильи и Furious Gladiators из 263-й эскадрильи  (20795).</w:t>
      </w:r>
    </w:p>
    <w:p w14:paraId="1AE505E6" w14:textId="77777777" w:rsidR="00B00D28" w:rsidRPr="00DB5D0D" w:rsidRDefault="00B00D28" w:rsidP="00DB5D0D">
      <w:pPr>
        <w:spacing w:after="0" w:line="240" w:lineRule="auto"/>
        <w:jc w:val="both"/>
        <w:rPr>
          <w:rFonts w:ascii="Times New Roman" w:hAnsi="Times New Roman"/>
          <w:color w:val="0070C0"/>
          <w:sz w:val="16"/>
          <w:szCs w:val="16"/>
        </w:rPr>
      </w:pPr>
    </w:p>
    <w:p w14:paraId="0332F59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21st, 1940: In the West, an attack by a French armored brigade under General de Gaulle against 7.Panzer-Division (Rommel) at Arras fails after initial success. The French Ninth Army is surrounded and destroyed, its commander, General Giraud, taken prisoner (3819).</w:t>
      </w:r>
    </w:p>
    <w:p w14:paraId="55037705"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0F9CF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провалилась контратака французской танковой бригады во главе с Де Голем против 7ТД (Роммеля) у Арраса. Французская 9 армия была окружена и уничтожена, а командующий г Жиро был взят в плен (3819).</w:t>
      </w:r>
    </w:p>
    <w:p w14:paraId="0A91230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CF93C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английский экспедиционный корпус и левый фланг французской армии были отрезаны немецкими танками (2240).</w:t>
      </w:r>
    </w:p>
    <w:p w14:paraId="00A41C3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DB5B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нацисты окружили британскую армию в Дюнкерке (2100).</w:t>
      </w:r>
    </w:p>
    <w:p w14:paraId="245D779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C13F4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0A51BB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925DF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вышел приказ НКАП N 226с которым для проведения доводок ББ1-М88 предлагалось ГК завода N 289 П.О.С. перегнать летом с завода N 135 на 289. так же предлагалось перегнать еще один ББ1 для испытания с М-63ТК (401,33).</w:t>
      </w:r>
    </w:p>
    <w:p w14:paraId="1CF9AF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w:t>
      </w:r>
    </w:p>
    <w:p w14:paraId="31D2A7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доводок по самолету ББ-М88 предлагаю Главному Конструктору завода № 289 самолет ББ1-М88 перегнать летом с завода № 135 на завод № 289.</w:t>
      </w:r>
    </w:p>
    <w:p w14:paraId="797D0D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w:t>
      </w:r>
    </w:p>
    <w:p w14:paraId="4D7490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Директору завода № 135 выделить для проведения испытаний и доводок один серийный самолет ББ1-М88 в распоряжение Главного конструктора завода № 239 тов. СУХОГО.</w:t>
      </w:r>
    </w:p>
    <w:p w14:paraId="0BE101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Выделенный самолет перегнать летом на завод № 289.</w:t>
      </w:r>
    </w:p>
    <w:p w14:paraId="51FC60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w:t>
      </w:r>
    </w:p>
    <w:p w14:paraId="5A19C9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завершения высотных заводских испытаний самолета ББ1 с М63ТК главному конструктору тов. СУХОМУ, указанный самолет, перегнать лётом с завода № 135 на завод № 289.</w:t>
      </w:r>
    </w:p>
    <w:p w14:paraId="2A459C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w:t>
      </w:r>
    </w:p>
    <w:p w14:paraId="4B9B60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Главному конструктору завода № 289 и директору завода № 135 обеспечить передаваемые самолеты техническим, лётным составом и рабочими бригадами.</w:t>
      </w:r>
    </w:p>
    <w:p w14:paraId="22D48D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Народного Комиссара Авиационной Промышленности А.С.Я. (401,33).</w:t>
      </w:r>
    </w:p>
    <w:p w14:paraId="4F3E32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03066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Нач. ЛТГ НКАП М.М.Г. докладывал Зам Наркома А.С.Я. (вход. 2510сс от 25 мая 1940):</w:t>
      </w:r>
    </w:p>
    <w:p w14:paraId="7BD255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19 мая с.г. мною, совместно с ли Юмашевым и Станкевичем были осмотрены на заводе N 239: самолет 220 Сильванского, макет самолета-штурмовика Сухого ОБШ М-71 и мотоустановку истребителя П.О.С. с М-105.</w:t>
      </w:r>
    </w:p>
    <w:p w14:paraId="4F1F01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Сильванского - находится на доводках. Удлинена мотоустановка - центр тяжести переносен вперед. Центровка доводится до 25%. Проверка документации устойчивости, испытания на флаттер и пр., по договоренности с конструктором будет произведена дополнительно 25 мая с.г.</w:t>
      </w:r>
    </w:p>
    <w:p w14:paraId="738D45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П.О.С. - вызывает сомнение эффективность стрельбы и бомбометания из-за плохого обзора и плохой видимости цели. Макет к моменту нашего посещения был уже утвержден." (1379).</w:t>
      </w:r>
    </w:p>
    <w:p w14:paraId="0DABDC0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23E1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зам. наркома НКАП П.А.Воронин послал письмом N 1360 в Секретариат Совета обороны на заключение письмо ли Степанчонка, который из-за доноса был отстранен от полетов на ДБ-3Ф (1165).</w:t>
      </w:r>
    </w:p>
    <w:p w14:paraId="1C96EA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есть были все таки процедуры.</w:t>
      </w:r>
    </w:p>
    <w:p w14:paraId="64B57D0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899C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А.И.Шахурин писал директору завода 22 В.А.Окулову, ГК А.А.А. и директору завода 26 А.А.Завитаеву об установке ТК-2 на СБ (1165).</w:t>
      </w:r>
    </w:p>
    <w:p w14:paraId="373B497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7F3A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в Контрольном листе учета выполнения постановления КО СНК СССР № 108сс от 4 марта 1940 г. представителем КО СНК СССР - контролером Вахрушевым была сделана запись:</w:t>
      </w:r>
    </w:p>
    <w:p w14:paraId="43EA43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СББ с М-105ТК Архангельского</w:t>
      </w:r>
    </w:p>
    <w:p w14:paraId="0D3408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запущен в производство на заводе № 22 и заводе № 156. 1-й этап закончен досрочно, 15 апреля 1940 вместо июня 1940. Срок изготовления пока сомниений не вызывает (10395,38).</w:t>
      </w:r>
    </w:p>
    <w:p w14:paraId="2037654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83621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Нач. ЛТГ НКАП М.М.Г. докладывал Зам Наркома А.С.Я. (вход. 2497сс от 23 мая 1940):</w:t>
      </w:r>
    </w:p>
    <w:p w14:paraId="1FAC2B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22 мая с.г. мною совместно с т. Юмашевым был осмотрен на заводе 115 самолет И-26.</w:t>
      </w:r>
    </w:p>
    <w:p w14:paraId="2B0DF1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нормален со всех точек зрения. Имеется небольшой недобор скоростей. Недостаток самолета следующий: машина попадает в авторацию на сравнительно больших скоростях (300-350 км/час) при выходе из пикирования или при сокращении радиуса виража с большим креном.</w:t>
      </w:r>
    </w:p>
    <w:p w14:paraId="5102C5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производит культурное впечатление, как с конструктивной, так и с производственной стороны." (1379).</w:t>
      </w:r>
    </w:p>
    <w:p w14:paraId="7268528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31E1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состоялся осмотр самолета начальником летно-технической группы НКАП М.М. Громовым и А.Б. Юмашевым, которые дали положительное заключение о возможности передачи самолета в НИИ ВВС. В настоящее время достоверно неизвестно, чем была вызвана задержка с передачей И-26-11 на государственные испытания. Примерно в этот же период времени с машиной и материалами заводских испытаний был ознакомлен ведущий инженер НИИ по самолету И-26 военинженер 2-го ранга Н.И. Максимов. По его донесению 25 мая был составлен доклад начальника НИИ ГУАС КА дивинженера А.И. Филина и военного комиссара НИИ ГУАС КА полкового комиссара С.Г. Холопцева начальнику ГУАС КА комдиву П.А. Алексееву.</w:t>
      </w:r>
    </w:p>
    <w:p w14:paraId="3FB22A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докладе указывалось, что программа заводских испытаний выполнена на 65 %. Не выполнены: штопор самолета до двух витков, полеты на потолок самолета и снятие скорости по высотам выше 5000 м, пикирование до скорости 1,5 максимальной (производилось только до скорости 560 км/ч по прибору), бочки и иммельманы, полеты на дальность полета и расход горючего (произведен один полет на расход горючего на различных режимах с попутным снятием скоростей по высотам и замер расхода горючего проводился путем взвешивания), не отработано вооружение самолета. Не были предъявлены окончательные результаты статических испытаний после усиления конструкции.</w:t>
      </w:r>
    </w:p>
    <w:p w14:paraId="311B4D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этим руководство НИИ ВВС ставило вопрос о проведении представителями ЦАГИ проверки результатов расчета на прочность И-26 и статиспытаний с дальнейшим продолжением заводских испытаний с перегрузками, о необходимости проверки масло- и бензобаков на вибростойкость, увеличении запаса сжатого воздуха, отработке вооружения с отстрелом в воздухе до высоты 8000 м, а также об обязательном полном проведении заводом № 115 программы заводских испытаний самолета И-26.</w:t>
      </w:r>
    </w:p>
    <w:p w14:paraId="7F70FD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перечисленных выше сображений, предъявленный 26 мая 1940 г. на государственные испытания И-26-11 не был принят. Позиция, занятая руководством НИИ, не соответствовала ни текущему состоянию авиапромышленности (которая по докладу начальника ГУАС Алексеева в ЦК ВКП(б) от 24 апреля 1940 г. в то время даже не могла сама проводить заводские испытания выстроенных самолетов), ни внезапно усложнившейся международной обстановке. Отчасти, возможно, решение руководства НИИ было следствием резкой критики, прозвучавшей в адрес института в ходе обсуждения в ЦК ВКП(б) в середине мая 1940 г. состояния Военно-воздушных сил. В частности отмечалось очень низкое качество заключений НИИ по госиспытаниям самолетов, моторов и агрегатов, как результат нежелания руководства НИИ портить отношения с промышленностью и главными конструкторами (12048).</w:t>
      </w:r>
    </w:p>
    <w:p w14:paraId="2CA8CE8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075B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года начальник особой группы НКАП И. Фирсаев писал письмо N 1295с гл. конструктору завода N 1 Микояну.</w:t>
      </w:r>
    </w:p>
    <w:p w14:paraId="2C5E28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N 4546.</w:t>
      </w:r>
    </w:p>
    <w:p w14:paraId="33459A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Авиапрома Шахурин разрешил вылет самолета И-200 N 6102 (2-й опытный экземпляр) (1193,219).</w:t>
      </w:r>
    </w:p>
    <w:p w14:paraId="10559F2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C6D3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в ходе заводских испытаний И-200 А.И.М, которые проходили с 31 марта по 17 августа 1940, на И-200-1 был выполнен на определение температурных режимов ВМГ (20 по счету) (2988).</w:t>
      </w:r>
    </w:p>
    <w:p w14:paraId="499FB6B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F3271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в Контрольном листе учета выполнения постановления КО СНК СССР № 104сс от 4 марта 1940 г. представителем КО СНК СССР - контролером Вахрушевым была сделана запись:</w:t>
      </w:r>
    </w:p>
    <w:p w14:paraId="1D3D5E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Таирова ОКО-8 с АМ-36</w:t>
      </w:r>
    </w:p>
    <w:p w14:paraId="566576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Эскизное проектирование в начальной стадии (10395,34).</w:t>
      </w:r>
    </w:p>
    <w:p w14:paraId="0D7839F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853C7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года в письме начальник лаборатории № 3 ЦАГИ А.А. Дуб</w:t>
      </w:r>
      <w:r w:rsidRPr="00DB5D0D">
        <w:rPr>
          <w:rFonts w:ascii="Times New Roman" w:hAnsi="Times New Roman"/>
          <w:color w:val="000000" w:themeColor="text1"/>
          <w:sz w:val="16"/>
          <w:szCs w:val="16"/>
        </w:rPr>
        <w:softHyphen/>
        <w:t>ровин просил сообщить начальника Главного Управления ВВС КА поже</w:t>
      </w:r>
      <w:r w:rsidRPr="00DB5D0D">
        <w:rPr>
          <w:rFonts w:ascii="Times New Roman" w:hAnsi="Times New Roman"/>
          <w:color w:val="000000" w:themeColor="text1"/>
          <w:sz w:val="16"/>
          <w:szCs w:val="16"/>
        </w:rPr>
        <w:softHyphen/>
        <w:t>лания по вопросу о программе статических испытаний самолета И-153 и выделить представителя для согласования и разрешения всех вопросов, связанных с ними (Самарский филиал РГАНТД.Ф.Р-217. Оп. 1-6. Д. 24. Л. 41.). Затраты сил и средств на преодоление различных дефектов и на модер</w:t>
      </w:r>
      <w:r w:rsidRPr="00DB5D0D">
        <w:rPr>
          <w:rFonts w:ascii="Times New Roman" w:hAnsi="Times New Roman"/>
          <w:color w:val="000000" w:themeColor="text1"/>
          <w:sz w:val="16"/>
          <w:szCs w:val="16"/>
        </w:rPr>
        <w:softHyphen/>
        <w:t>низацию устаревшей материальной части не могли не отвлекать от решения более актуальных проблем с освоением в войсках авиатехники нового поко</w:t>
      </w:r>
      <w:r w:rsidRPr="00DB5D0D">
        <w:rPr>
          <w:rFonts w:ascii="Times New Roman" w:hAnsi="Times New Roman"/>
          <w:color w:val="000000" w:themeColor="text1"/>
          <w:sz w:val="16"/>
          <w:szCs w:val="16"/>
        </w:rPr>
        <w:softHyphen/>
        <w:t>ления. Огромный советский авиационный парк нуждался в экстренном об</w:t>
      </w:r>
      <w:r w:rsidRPr="00DB5D0D">
        <w:rPr>
          <w:rFonts w:ascii="Times New Roman" w:hAnsi="Times New Roman"/>
          <w:color w:val="000000" w:themeColor="text1"/>
          <w:sz w:val="16"/>
          <w:szCs w:val="16"/>
        </w:rPr>
        <w:softHyphen/>
        <w:t>новлении. На смену морально устаревшим и устаревающим самолетам долж</w:t>
      </w:r>
      <w:r w:rsidRPr="00DB5D0D">
        <w:rPr>
          <w:rFonts w:ascii="Times New Roman" w:hAnsi="Times New Roman"/>
          <w:color w:val="000000" w:themeColor="text1"/>
          <w:sz w:val="16"/>
          <w:szCs w:val="16"/>
        </w:rPr>
        <w:softHyphen/>
        <w:t>ны были прийти самолеты нового поколения. В осуществляемой модерниза</w:t>
      </w:r>
      <w:r w:rsidRPr="00DB5D0D">
        <w:rPr>
          <w:rFonts w:ascii="Times New Roman" w:hAnsi="Times New Roman"/>
          <w:color w:val="000000" w:themeColor="text1"/>
          <w:sz w:val="16"/>
          <w:szCs w:val="16"/>
        </w:rPr>
        <w:softHyphen/>
        <w:t>ции советской военной авиации разработка и производство новой авиаци</w:t>
      </w:r>
      <w:r w:rsidRPr="00DB5D0D">
        <w:rPr>
          <w:rFonts w:ascii="Times New Roman" w:hAnsi="Times New Roman"/>
          <w:color w:val="000000" w:themeColor="text1"/>
          <w:sz w:val="16"/>
          <w:szCs w:val="16"/>
        </w:rPr>
        <w:softHyphen/>
        <w:t>онной техники представляли одну из самых главных и сложных задач (11710,424).</w:t>
      </w:r>
    </w:p>
    <w:p w14:paraId="21255A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1141F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г. закончились испытания И-207/2, которые шли с конца лета 1939. Самолет имел капот двигателя М-63 типа NACA с лобовым жалюзи, измененный козырек кабины пилота и увеличенный вырез. Крылья были усилены путем установки обшивки толщиной 0,8 мм против 0,5 мм на И-207/1, перекомпонована топливная система и установлен протектированный бензобак. В целом этот самолет, называемый дублером, делался на случай неприятностей, способных произойти с первым образцом. Летные характеристики полностью не снимались. Связано это было с тем, что, несмотря на более мощный двигатель М-63, максимальная скорость этой машины оказалась меньше, чем у предыдущей, и интерес к ней быстро угас (3453).</w:t>
      </w:r>
    </w:p>
    <w:p w14:paraId="6C0463C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7431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в Контрольном листе учета выполнения постановления КО СНК СССР № 102сс от 4 марта 1940 г. представителем КО СНК СССР - контролером Вахрушевым была сделана запись:</w:t>
      </w:r>
    </w:p>
    <w:p w14:paraId="2797A5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И-185</w:t>
      </w:r>
    </w:p>
    <w:p w14:paraId="7FB1B6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этап закончен с опозданием на 5 дней (5 апреля 1940).</w:t>
      </w:r>
    </w:p>
    <w:p w14:paraId="5FB2B1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для продувок в ЦАГИ изготовлен и сдан в ЦАГИ.</w:t>
      </w:r>
    </w:p>
    <w:p w14:paraId="6545D3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этап (1 июня) под угрозой срыва из-за отсутствия мотора М-90 (10395,28).</w:t>
      </w:r>
    </w:p>
    <w:p w14:paraId="42CC5F1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6846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летчик ЛИИ В.Гаврилов выполнил на Г-27 первый полет. Менее чем за месяц ТИ-28 прошел все летные испытания. Испытатели отмечали его хорошие пилотажные свойства. Для улучшения разгонных характеристик рекомендовалось установить двигатель МВ-6А и вновь испытать самолет.</w:t>
      </w:r>
    </w:p>
    <w:p w14:paraId="7C60AE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Учебно-тренировочный истребитель ТИ-28 получил наименование «Кречет». Он имел деревянную конструкцию, закрытую кабину со сдвижным фонарем, неубираемое шасси с основными колесами 500×200 мм и хвостовым ориентирующимся колесом.</w:t>
      </w:r>
    </w:p>
    <w:p w14:paraId="2425D8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Силовая установка состояла из перевернутого шестицилиндрового двигателя воздушного охлаждения МВ-6 номинальной мощностью 220 л.с. (взлетная - 240 л.с).</w:t>
      </w:r>
    </w:p>
    <w:p w14:paraId="5AFA45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составляли синхронный пулемет ШКАС, фотокинопулемет и до 40 кг мелких бомб под крылом. Прицеливание осуществлялось при помощи коллиматорного прицела ПАК-1.</w:t>
      </w:r>
    </w:p>
    <w:p w14:paraId="4E4544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началом войны все работы по ТИ-28 были прекращены. В 1941 году опытный экземпляр перелетел в Свердловск, однако дальнейшая его судьба неизвестна.</w:t>
      </w:r>
    </w:p>
    <w:p w14:paraId="5265AD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Строился и второй экземпляр ТИ-28, который Грибовский при эвакуации забрал с собой, надеясь довести до летного состояния. Однако на новом месте такой возможности не представилось.</w:t>
      </w:r>
    </w:p>
    <w:p w14:paraId="21AB9A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марте 1941г. в ОКБ-28 началась разработка двухмоторного тренировочного самолета «Беркут». В соответствии с эскизным проектом построили полноразмерный макет, который рассматривала комиссия ВВС. Но при эвакуации спасти «задел» по машине не удалось. Документацию и макет «Беркута» уничтожили, в дальнейшем работы по нему не возобновлялись.</w:t>
      </w:r>
    </w:p>
    <w:p w14:paraId="4F4B04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Подводя итог работы В.К. Грибовского в Наркомате авиапромышленности, следует отметить, что ему в короткий срок удалось создать полноценное КБ, способное вести самостоятельную разработку сложных образцов авиатехники.</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60"/>
        <w:gridCol w:w="6662"/>
      </w:tblGrid>
      <w:tr w:rsidR="007D5DF8" w:rsidRPr="00DB5D0D" w14:paraId="33CB8C0E"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F06A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4374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Г-28</w:t>
            </w:r>
          </w:p>
        </w:tc>
      </w:tr>
      <w:tr w:rsidR="007D5DF8" w:rsidRPr="00DB5D0D" w14:paraId="5CC6C182"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C8BC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крыла, м</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E2CC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9.00</w:t>
            </w:r>
          </w:p>
        </w:tc>
      </w:tr>
      <w:tr w:rsidR="007D5DF8" w:rsidRPr="00DB5D0D" w14:paraId="16A5B5FF"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FFA7B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м</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75298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7.66</w:t>
            </w:r>
          </w:p>
        </w:tc>
      </w:tr>
      <w:tr w:rsidR="007D5DF8" w:rsidRPr="00DB5D0D" w14:paraId="64DFAA6C"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43A6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м</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5611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2.80</w:t>
            </w:r>
          </w:p>
        </w:tc>
      </w:tr>
      <w:tr w:rsidR="007D5DF8" w:rsidRPr="00DB5D0D" w14:paraId="459C76BA"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399CE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м²</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9783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11.60</w:t>
            </w:r>
          </w:p>
        </w:tc>
      </w:tr>
      <w:tr w:rsidR="007D5DF8" w:rsidRPr="00DB5D0D" w14:paraId="6A21EC4A"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83A4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Масса, кг</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B4892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w:t>
            </w:r>
          </w:p>
        </w:tc>
      </w:tr>
      <w:tr w:rsidR="007D5DF8" w:rsidRPr="00DB5D0D" w14:paraId="083FB6F0"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72BB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пустого самолета</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A08C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897</w:t>
            </w:r>
          </w:p>
        </w:tc>
      </w:tr>
      <w:tr w:rsidR="007D5DF8" w:rsidRPr="00DB5D0D" w14:paraId="1032C649"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F59BC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нормальная взлетная</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9C88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1157</w:t>
            </w:r>
          </w:p>
        </w:tc>
      </w:tr>
      <w:tr w:rsidR="007D5DF8" w:rsidRPr="00DB5D0D" w14:paraId="3099F1E2"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ED95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двигателя</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3939A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ПД МВ-6</w:t>
            </w:r>
          </w:p>
        </w:tc>
      </w:tr>
      <w:tr w:rsidR="007D5DF8" w:rsidRPr="00DB5D0D" w14:paraId="56B61EB0"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CE125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л.с.</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6FF9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 220</w:t>
            </w:r>
          </w:p>
        </w:tc>
      </w:tr>
      <w:tr w:rsidR="007D5DF8" w:rsidRPr="00DB5D0D" w14:paraId="26C4C822"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C437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 км/ч</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99BBD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275</w:t>
            </w:r>
          </w:p>
        </w:tc>
      </w:tr>
      <w:tr w:rsidR="007D5DF8" w:rsidRPr="00DB5D0D" w14:paraId="2159264C"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3E93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Крейсерская скорость , км/ч</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A887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226</w:t>
            </w:r>
          </w:p>
        </w:tc>
      </w:tr>
      <w:tr w:rsidR="007D5DF8" w:rsidRPr="00DB5D0D" w14:paraId="0080E7E3"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1F04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Практическая дальность, км</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ED59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500</w:t>
            </w:r>
          </w:p>
        </w:tc>
      </w:tr>
      <w:tr w:rsidR="007D5DF8" w:rsidRPr="00DB5D0D" w14:paraId="6E867140"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4C98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м</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957A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6600</w:t>
            </w:r>
          </w:p>
        </w:tc>
      </w:tr>
      <w:tr w:rsidR="007D5DF8" w:rsidRPr="00DB5D0D" w14:paraId="3ADF56BB"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6B393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чел</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2685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w:t>
            </w:r>
          </w:p>
        </w:tc>
      </w:tr>
      <w:tr w:rsidR="007D5DF8" w:rsidRPr="00DB5D0D" w14:paraId="7310398E"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0F27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6036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синхронный 7.62-мм пулемет ШКАС, фотокинопулемет и до 40 кг мелких бомб</w:t>
            </w:r>
          </w:p>
        </w:tc>
      </w:tr>
    </w:tbl>
    <w:p w14:paraId="507CFA04" w14:textId="77777777" w:rsidR="00A25AD1" w:rsidRPr="00DB5D0D" w:rsidRDefault="00A25AD1" w:rsidP="00DB5D0D">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(12682).</w:t>
      </w:r>
    </w:p>
    <w:p w14:paraId="659047FD" w14:textId="77777777" w:rsidR="00A25AD1" w:rsidRPr="00DB5D0D" w:rsidRDefault="00A25AD1" w:rsidP="00DB5D0D">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6B269B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в Контрольном листе учета выполнения постановления КО СНК СССР № 125сс от 4 марта 1940 г. представителем КО СНК СССР - контролером Вахрушевым была сделана запись:</w:t>
      </w:r>
    </w:p>
    <w:p w14:paraId="431F37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КОР-2</w:t>
      </w:r>
    </w:p>
    <w:p w14:paraId="1FAD75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апреля 1940 утвержден макет самолета КОР-2. Чертежи начали поступать в производство. Лодка заложена в стапель. Часть деталей запущена в производство (10395,87).</w:t>
      </w:r>
    </w:p>
    <w:p w14:paraId="5C7F371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77101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в Контрольном листе учета выполнения постановления КО СНК СССР № 124сс от 4 марта 1940 г. представителем КО СНК СССР - контролером Вахрушевым была сделана запись:</w:t>
      </w:r>
    </w:p>
    <w:p w14:paraId="656512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2М-62 Четверикова</w:t>
      </w:r>
    </w:p>
    <w:p w14:paraId="717D2A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Дублер МДР-6 2М-62 закончен производством и поступил на заводские испытания.</w:t>
      </w:r>
    </w:p>
    <w:p w14:paraId="69C734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Головные серийные самолеты МДР-6 - 4 шт. в агрегатной сборке. Всего в заделе 10 самолетов. 1-й самолет закончен в окончательной сборке (10395,84).</w:t>
      </w:r>
    </w:p>
    <w:p w14:paraId="1A2B339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6618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л ЛИИ В.Гаврилов выполнил первый полет на ТИ-28 “Кречет” В.К.Грибовского с МВ-6 220 нр. Синхронный ШКАС + 40 кг бомб. Прошел весь комплекс. Отметили хорошие пилотажные свойства. Для улучшения разгонных характеристик рекомендовали установить МВ-6А. С началом войны перелетел в Свердловск и следы потерялись. Строился и второй и Грибовский забрал его в эвакуацию, надеясь довести до летного состояния, но не смог (9080).</w:t>
      </w:r>
    </w:p>
    <w:p w14:paraId="15D00D6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952AE1"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 ранее 22 мая 1940 было Письмо военного инженера 2-го ранга Шавера И. В. Сталину о причинах плохой меткости советской бомбардировочной авиации</w:t>
      </w:r>
    </w:p>
    <w:p w14:paraId="2E9AB768"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тов. СТАЛИНУ И.В.</w:t>
      </w:r>
    </w:p>
    <w:p w14:paraId="007AD711"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Война в Финляндии показала, что меткость нашей бомбардировочной авиации плохая, даже при бомбомета</w:t>
      </w:r>
      <w:r w:rsidRPr="00DB5D0D">
        <w:rPr>
          <w:rFonts w:ascii="Times New Roman" w:hAnsi="Times New Roman"/>
          <w:color w:val="0070C0"/>
          <w:sz w:val="16"/>
          <w:szCs w:val="16"/>
        </w:rPr>
        <w:softHyphen/>
        <w:t>нии с небольших и средних высот.</w:t>
      </w:r>
    </w:p>
    <w:p w14:paraId="03996931"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Такое положение нетерпимо, ибо оно может привести страну к большим потерям в будущей войне.</w:t>
      </w:r>
    </w:p>
    <w:p w14:paraId="2F653141"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Страна, имея массовую авиацию, быстро почувствует недостаток в боеприпасах, моторесурсах и самолетах. Плохая меткость при бомбометании приводит к тому, что для уничтожения какого либо об"екта противника приходится посылать вместо трех самолетов, 50 самолетов, тратить не одну- две тонны бомбы, а 50-60 тн. и терять в де</w:t>
      </w:r>
      <w:r w:rsidRPr="00DB5D0D">
        <w:rPr>
          <w:rFonts w:ascii="Times New Roman" w:hAnsi="Times New Roman"/>
          <w:color w:val="0070C0"/>
          <w:sz w:val="16"/>
          <w:szCs w:val="16"/>
        </w:rPr>
        <w:softHyphen/>
        <w:t>сять раз больше самолетов. Небольшая меткость при бомбометании приводит к тому, что авиация не может быстро решать поставленные перед ней задачи.</w:t>
      </w:r>
    </w:p>
    <w:p w14:paraId="581F4F47"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Примером плохой меткости может служить факт, когда авиация в составе полка, в течении нескольких дней не могла попасть ни одной бомбой в мост, по которому все время шло передвижение войск противника.</w:t>
      </w:r>
    </w:p>
    <w:p w14:paraId="44314E57"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IОсновными причинами плохой меткости при бомбометании является следущee:</w:t>
      </w:r>
    </w:p>
    <w:p w14:paraId="32974536"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I. У нас, как видно, считают, что каждый самолет, к которому можно подвесить бомбы, может быть бомбардировщиком. На самом же деле это справедливо лишь в том случае, когда хотят перебрасывать боеприпасы из складов за линию фронта. Можно сказать пряно, что на сегодня мы еще не имеем хорошего современного бомбардировщика, позволяющего производить меткое прицель</w:t>
      </w:r>
      <w:r w:rsidRPr="00DB5D0D">
        <w:rPr>
          <w:rFonts w:ascii="Times New Roman" w:hAnsi="Times New Roman"/>
          <w:color w:val="0070C0"/>
          <w:sz w:val="16"/>
          <w:szCs w:val="16"/>
        </w:rPr>
        <w:softHyphen/>
        <w:t>ное бомбометание. Наши бомбардировщики не позволяют получить хорошей меткости при бомбометании, так как они слепы /летчик не видит цели, по которой бомбит/ в кабине штурмана тесно, темно и нельзя поставить хоропего современного бомбардировочного прицела.</w:t>
      </w:r>
    </w:p>
    <w:p w14:paraId="7046E7C7"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Если посмотреть, внимательно, на немецкий бомбардировщик /ДОРНЬЕ ДО-215, ЮНКЕРС-88/ то нетрудно заметить, что у немцев на самолете все предназначе</w:t>
      </w:r>
      <w:r w:rsidRPr="00DB5D0D">
        <w:rPr>
          <w:rFonts w:ascii="Times New Roman" w:hAnsi="Times New Roman"/>
          <w:color w:val="0070C0"/>
          <w:sz w:val="16"/>
          <w:szCs w:val="16"/>
        </w:rPr>
        <w:softHyphen/>
        <w:t>но одной задаче - меткому бомбометанию, а не разбра</w:t>
      </w:r>
      <w:r w:rsidRPr="00DB5D0D">
        <w:rPr>
          <w:rFonts w:ascii="Times New Roman" w:hAnsi="Times New Roman"/>
          <w:color w:val="0070C0"/>
          <w:sz w:val="16"/>
          <w:szCs w:val="16"/>
        </w:rPr>
        <w:softHyphen/>
        <w:t>сыванию бомб. Только поэтому их самолеты в настоящее время имеют большой успех.</w:t>
      </w:r>
    </w:p>
    <w:p w14:paraId="6B36C237"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Летный состав пашей авиации мало и плохо учат бомбометание. У немцев на самолете-бомбардировщике есть техник-бомбардир он и командир экипажа. Это правильно. На самолете должен быть не штурман, как это у нас, а техник-бомбардир, функции штурмана должен выполнять сам летчик.</w:t>
      </w:r>
    </w:p>
    <w:p w14:paraId="2EC59AD0"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Нет должного внимания к бомбардировочным прицелам в Главн. Управлeнии ВВС Красной Армии, в Наркома</w:t>
      </w:r>
      <w:r w:rsidRPr="00DB5D0D">
        <w:rPr>
          <w:rFonts w:ascii="Times New Roman" w:hAnsi="Times New Roman"/>
          <w:color w:val="0070C0"/>
          <w:sz w:val="16"/>
          <w:szCs w:val="16"/>
        </w:rPr>
        <w:softHyphen/>
        <w:t>те Вооружения и в Наркомате Авиационной промышленности, поэтому имеющиеся в авиации прицелы, не всегда правильно используются. На сегодня мы отстаем по бомбардировочным прицелам от ряда капиталистических стран. Все новостроющиеся бомбардировщики, с точки зрения бомбометания, имеют крупные недостатки и их не стараются устранить</w:t>
      </w:r>
    </w:p>
    <w:p w14:paraId="6DD0E784"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C большим успехом в настоящее время германские пикирующие бои6ардировщики типа ЮНКЕРС-88-87 ведут войну и получают хорошую меткость при бомбометании с пикирования при углах пикирования 60-50-40-30 гр.</w:t>
      </w:r>
    </w:p>
    <w:p w14:paraId="024E9783"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 нас нет самолета, с которого можно бомбить с пикирования так, как бомбят немцы. Машина СПБ /Поли</w:t>
      </w:r>
      <w:r w:rsidRPr="00DB5D0D">
        <w:rPr>
          <w:rFonts w:ascii="Times New Roman" w:hAnsi="Times New Roman"/>
          <w:color w:val="0070C0"/>
          <w:sz w:val="16"/>
          <w:szCs w:val="16"/>
        </w:rPr>
        <w:softHyphen/>
        <w:t>карпова/ не приспособлена для придельного бомбометания с пикирования и поэтому не может быть даже названа и пикирующим бомбардировщиком.</w:t>
      </w:r>
    </w:p>
    <w:p w14:paraId="1C172714"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Самолеты СБ и ДБ-3, которые приспосабливаются, в настоящее время под пикирующие бомбардировщики, не могут дать хороших результатов и хорошо разрешить задачу бомбометания с пикирования. Правильно решить задачу бомбометания с пикирования, с целью повышения меткости при бомбометании, можното только на самолетах типа ЮНКЕРС-88, а не на наших самолетах.</w:t>
      </w:r>
    </w:p>
    <w:p w14:paraId="3F42DD5F"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Считаю, что затронутые мною вопросы должны найти немедленное разрешение при Вашей помощи (21909).</w:t>
      </w:r>
    </w:p>
    <w:p w14:paraId="03334B59" w14:textId="77777777" w:rsidR="002650F5" w:rsidRPr="00DB5D0D" w:rsidRDefault="002650F5" w:rsidP="00DB5D0D">
      <w:pPr>
        <w:shd w:val="clear" w:color="auto" w:fill="FFFFFF"/>
        <w:spacing w:after="0" w:line="240" w:lineRule="auto"/>
        <w:jc w:val="both"/>
        <w:rPr>
          <w:rFonts w:ascii="Times New Roman" w:hAnsi="Times New Roman"/>
          <w:color w:val="0070C0"/>
          <w:sz w:val="16"/>
          <w:szCs w:val="16"/>
        </w:rPr>
      </w:pPr>
    </w:p>
    <w:p w14:paraId="4A89B78C"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 мая 1940 вышло Постановление Политбюро ЦК ВКП(б) "О самолетах" (о маскирующей окраске самолетов) (пр. № 16/16-оп за 10 - 26 мая 1940 г., п. 179)</w:t>
      </w:r>
    </w:p>
    <w:p w14:paraId="205342E3"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179. О самолетах</w:t>
      </w:r>
    </w:p>
    <w:p w14:paraId="3539CDD1"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Отменить существующую окраску самолетов (красный, стальной, белый, серый и др.), как демаскирующую.</w:t>
      </w:r>
    </w:p>
    <w:p w14:paraId="05998C1E"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Ввести с 25 мая следующую окраску самолетов: сверху - зеленоватый цвет (под цвет травы), снизу - бледно голубоватый (под цвет облаков).</w:t>
      </w:r>
    </w:p>
    <w:p w14:paraId="6EA10F6C"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Выписки посланы:</w:t>
      </w:r>
    </w:p>
    <w:p w14:paraId="33D988BD" w14:textId="77777777" w:rsidR="00B00D28" w:rsidRPr="00DB5D0D" w:rsidRDefault="00B00D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т.т.Шахурину,Ворошилову,Тимошенко (21908).</w:t>
      </w:r>
    </w:p>
    <w:p w14:paraId="3B5F80B8" w14:textId="77777777" w:rsidR="00B00D28" w:rsidRPr="00DB5D0D" w:rsidRDefault="00B00D28" w:rsidP="00DB5D0D">
      <w:pPr>
        <w:spacing w:after="0" w:line="240" w:lineRule="auto"/>
        <w:jc w:val="both"/>
        <w:rPr>
          <w:rFonts w:ascii="Times New Roman" w:hAnsi="Times New Roman"/>
          <w:color w:val="0070C0"/>
          <w:sz w:val="16"/>
          <w:szCs w:val="16"/>
        </w:rPr>
      </w:pPr>
    </w:p>
    <w:p w14:paraId="699F4D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22 мая по 10 июня 1940 года на НИП АВ ГУАС проходили полигонные испытания ампул диаметром 123 мм со взрывателями конструкции завода № 145 на самолете СБ</w:t>
      </w:r>
    </w:p>
    <w:p w14:paraId="1F6F4D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0C03C0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4 отделения опытного отдела НИП АВ ГУАС Комарницкий</w:t>
      </w:r>
    </w:p>
    <w:p w14:paraId="0708B2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3BB326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характер и надежность действия конструкции ампул со взрывателями.</w:t>
      </w:r>
    </w:p>
    <w:p w14:paraId="6F8A2D1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площадь заражения, получаемую При разрыве ампул.</w:t>
      </w:r>
    </w:p>
    <w:p w14:paraId="22F03BF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характер дробления жидкости от разрыва ампул.</w:t>
      </w:r>
    </w:p>
    <w:p w14:paraId="753A767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эксплуатационные качества ампул.</w:t>
      </w:r>
    </w:p>
    <w:p w14:paraId="5EE04C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DE412E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заводом № 145 ампулы диаметром 123 мм со взрывателями, как показавшие невысокую боевую эффективность и небезопасность в эксплуатации полигонные испытания не выдержали (7821).</w:t>
      </w:r>
    </w:p>
    <w:p w14:paraId="11B7306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3BC856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года на НИП АВ ВВС закончились заводские испытания выливного авиационного прибора (ВАП-6м) модернизированного заводом "ВУЛКАН", которые проходили с 17 мая 1940.</w:t>
      </w:r>
    </w:p>
    <w:p w14:paraId="0FB6D4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ст. инженер 4 отделения Оптыного отдела НИП АВ ГУАС в/инженер 2 ранга Рублев</w:t>
      </w:r>
    </w:p>
    <w:p w14:paraId="740637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2D86BF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прочность паука (задняя подвесная точка) и безотказность действия запорного механизма.</w:t>
      </w:r>
    </w:p>
    <w:p w14:paraId="256BA8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E3A43C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заводом "ВУЛКАН" модернизированный серийный ВАП-6м заводские испытания выдержал (7614).</w:t>
      </w:r>
    </w:p>
    <w:p w14:paraId="0C47488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25B5C9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г. на Софринском КИАП состоялись исследования РОФС-140 «на убойность осколков» путем подрыва трех снарядов в кругу больших сек</w:t>
      </w:r>
      <w:r w:rsidRPr="00DB5D0D">
        <w:rPr>
          <w:rFonts w:ascii="Times New Roman" w:hAnsi="Times New Roman"/>
          <w:color w:val="000000" w:themeColor="text1"/>
          <w:sz w:val="16"/>
          <w:szCs w:val="16"/>
        </w:rPr>
        <w:softHyphen/>
        <w:t>торов.</w:t>
      </w:r>
    </w:p>
    <w:p w14:paraId="49F723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всей программы испытаний, отказов в запусках двигателей за</w:t>
      </w:r>
      <w:r w:rsidRPr="00DB5D0D">
        <w:rPr>
          <w:rFonts w:ascii="Times New Roman" w:hAnsi="Times New Roman"/>
          <w:color w:val="000000" w:themeColor="text1"/>
          <w:sz w:val="16"/>
          <w:szCs w:val="16"/>
        </w:rPr>
        <w:softHyphen/>
        <w:t>фиксировано не было. Оно и неудивительно - типовой двигатель снаря</w:t>
      </w:r>
      <w:r w:rsidRPr="00DB5D0D">
        <w:rPr>
          <w:rFonts w:ascii="Times New Roman" w:hAnsi="Times New Roman"/>
          <w:color w:val="000000" w:themeColor="text1"/>
          <w:sz w:val="16"/>
          <w:szCs w:val="16"/>
        </w:rPr>
        <w:softHyphen/>
        <w:t>дов РОФС-132 был уже достаточно отработан. Снаряды с корпусами БЧ из термически обработанной углеродистой стали С-54 работали вполне удовлетворительно. При подрыве БЧ цилиндрическая часть двигателя также давала несколько полезных осколков. Характеристика осколочности Д (при массе осколков 10 г) получилась равной 29 (по ТТТ требовалось не ниже 40), что объясняло обилие мелких осколков.</w:t>
      </w:r>
    </w:p>
    <w:p w14:paraId="2912F7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наиболее перспективным путем наращивания характеристики Д признали уменьшение коэффициента наполнения БЧ взрывчатым веществом до 16-18% с использованием для производства корпусов БЧ сталей С-63 или С-54, что могло увеличить характеристику Д до 32-35. Специалисты отметили, что до значения 40 ее можно будет довести, лишь используя качественные стали с термообработкой или применением БЧ с готовыми осколками, что резко усложнит техноло</w:t>
      </w:r>
      <w:r w:rsidRPr="00DB5D0D">
        <w:rPr>
          <w:rFonts w:ascii="Times New Roman" w:hAnsi="Times New Roman"/>
          <w:color w:val="000000" w:themeColor="text1"/>
          <w:sz w:val="16"/>
          <w:szCs w:val="16"/>
        </w:rPr>
        <w:softHyphen/>
        <w:t>гию производства боеприпасов.</w:t>
      </w:r>
    </w:p>
    <w:p w14:paraId="579B93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Сравнение характеристик осколочности наиболее перспективного РОФС-132 модели 127200 производства 1939 г. с опытным РОФС-140 Модели 127400 свидетельствовало, что первый более чем втрое проигрывает экспериментальному образцу.</w:t>
      </w:r>
    </w:p>
    <w:p w14:paraId="0668D6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РОФС-140 послужил основой семейству РС модульной конструкции. К надежному и отработанному двигателю конструкторы разработали ряд БЧ различного назначения (11402).</w:t>
      </w:r>
    </w:p>
    <w:p w14:paraId="7F07059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B6E6BFD" w14:textId="77777777" w:rsidR="00C92879" w:rsidRPr="00DB5D0D" w:rsidRDefault="00C92879"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631A5BF" w14:textId="77777777" w:rsidR="00C92879" w:rsidRPr="00DB5D0D" w:rsidRDefault="00C92879" w:rsidP="00DB5D0D">
      <w:pPr>
        <w:spacing w:after="0" w:line="240" w:lineRule="auto"/>
        <w:jc w:val="both"/>
        <w:rPr>
          <w:rFonts w:ascii="Times New Roman" w:hAnsi="Times New Roman"/>
          <w:iCs/>
          <w:color w:val="000000" w:themeColor="text1"/>
          <w:sz w:val="16"/>
          <w:szCs w:val="16"/>
        </w:rPr>
      </w:pPr>
    </w:p>
    <w:p w14:paraId="19B06C40"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1941 г.</w:t>
      </w:r>
    </w:p>
    <w:p w14:paraId="2035A141"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4477F176"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w:t>
      </w:r>
    </w:p>
    <w:p w14:paraId="48771435"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Народного Комиссара Среднего Машиностроения Союза ССР</w:t>
      </w:r>
    </w:p>
    <w:p w14:paraId="1B4F1504"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203с </w:t>
      </w:r>
    </w:p>
    <w:p w14:paraId="43E5F32D"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Москва </w:t>
      </w:r>
    </w:p>
    <w:p w14:paraId="67AECC14"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1941 г.</w:t>
      </w:r>
    </w:p>
    <w:p w14:paraId="37D80717"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исполнение решения СНК СССР и ЦК ВКП(б) от 5 мая 1941 г. и в дополнение к приказу НКСМ № 192с от 10/V-с.г., для обеспечения программы завода № 183 по улучшенным танкам (Т-34М) ПРИКАЗЫВАЮ: </w:t>
      </w:r>
    </w:p>
    <w:p w14:paraId="7594BF70"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I. ДИРЕКТОРУ ЗАВОДА № 75 тов. КОЧЕТКОВУ. </w:t>
      </w:r>
    </w:p>
    <w:p w14:paraId="668133D5"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Изготовить и поставить заводу № 183: </w:t>
      </w:r>
    </w:p>
    <w:p w14:paraId="05AE4DDF"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99 наименований термически обработанных штамповок, в количествах и сроки согласно приложению № 1. </w:t>
      </w:r>
    </w:p>
    <w:p w14:paraId="0AEE0F2D"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Алюминиевое литье, в количествах и сроки согласно приложению № 2. </w:t>
      </w:r>
    </w:p>
    <w:p w14:paraId="69C8D66F"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Спец-режущий и мерительный инструмент, в количествах и сроки согласно приложению № 3, в счет заключенного договора с заводом № 183. </w:t>
      </w:r>
    </w:p>
    <w:p w14:paraId="58D75D27"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Двигатели В-2/34 по графику приказа НКСМ № 192с с дополнительными 2-мя шпильками и гайками (№№ 353-24 и 351-02) и с переделанными всасывающими коллекторами, в соответствии с принятым Госкомиссией воздухоочистителем. </w:t>
      </w:r>
    </w:p>
    <w:p w14:paraId="591D9289"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Представить заводу № 183 к 25 мая с.г. заявку на потребный металл для изготовления штамповок. </w:t>
      </w:r>
    </w:p>
    <w:p w14:paraId="5E8B64CA"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3. Спроектировать и установить к 1/VII-с.г. в цехе "1200" печь для первичной термообработки поковок деталей трактора "Ворошиловец" и "КИН". </w:t>
      </w:r>
    </w:p>
    <w:p w14:paraId="24A67D1D"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Спроектировать и установить к 15/VII-с.г. печь в цехе "1200" для горячей порезки металла на ножницах. </w:t>
      </w:r>
    </w:p>
    <w:p w14:paraId="221A924F"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II. ДИРЕКТОРУ ХАРЬКОВСКОГО ТРАКТОРНОГО ЗАВОДА т. ПАРФЕНОВУ. </w:t>
      </w:r>
    </w:p>
    <w:p w14:paraId="706BB331"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Изготовить и обеспечить поставку заводу № 183 деталей горячей штамповки, бронзового литья, ковкого чугуна, траков и шпор, в количествах и сроки согласно приложению № 4. </w:t>
      </w:r>
    </w:p>
    <w:p w14:paraId="6EC65E7A"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Произвести к 15/VIII-с.г. для завода № 183 термообработку 50 шт. протяжек, со сдачей через 8 – 10 дней со дня получения их для термообработки. </w:t>
      </w:r>
    </w:p>
    <w:p w14:paraId="4B235BF1"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III. ДИРЕКТОРУ ЗАВОДА "СЕРП и МОЛОТ" т. ПОЛЕВСКОМУ. </w:t>
      </w:r>
    </w:p>
    <w:p w14:paraId="268AFC80"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Изготовить и поставить заводу № 183 детали холодной штамповки, в количествах и сроки согласно приложению № 5. </w:t>
      </w:r>
    </w:p>
    <w:p w14:paraId="3D058D12"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IV. ДИРЕКТОРУ СТАЛИНГРАДСКОГО ТРАКТОРНОГО З-ДА т. ДУЛЬКИНУ. </w:t>
      </w:r>
    </w:p>
    <w:p w14:paraId="1901CBD3"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Изготовить и поставить заводу № 183 штампованную заготовку выхлопных труб (дет. № 34-06-005, 34-06-006, 34-06-007 и 34-06-008), а также горячую штамповку по имеющимся чертежам на СТЗ, в количествах и сроки согласно приложению № 6. </w:t>
      </w:r>
    </w:p>
    <w:p w14:paraId="74F520C9"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V. ДИРЕКТОРУ "ЗЭМ" т. МОРОЗ. </w:t>
      </w:r>
    </w:p>
    <w:p w14:paraId="7AF7B5A1"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Изготовить поставить по техническим требованиям завода № 183 магнитные включатели (реле) для выключения ручного привода поворотного механизма башни "Т-34М", при работе электромотора, в количествах и сроки согласно приложению № 7. </w:t>
      </w:r>
    </w:p>
    <w:p w14:paraId="0BFFD003"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VI. ДИРЕКТОРУ МАРИУПОЛЬСКОГО РАДИАТОРНОГО ЗАВОДА т. ДУДАРОВУ. </w:t>
      </w:r>
    </w:p>
    <w:p w14:paraId="6FDBB391"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Организовать производство и приступить к поставке из своего материала заводу № 183 сот масляного радиатора по чертежу № 34.03.39сб, в количествах и сроки согласно приложению № 8. </w:t>
      </w:r>
    </w:p>
    <w:p w14:paraId="5A84AF85"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VII. ДИРЕКТОРУ 1 ГПЗ т. ЮСИМУ. </w:t>
      </w:r>
    </w:p>
    <w:p w14:paraId="2F4E663F"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Изготовить и поставить заводу № 183 подшипники, ролики и шарики, в количествах и сроки согласно приложению № 9. </w:t>
      </w:r>
    </w:p>
    <w:p w14:paraId="6DB54C0F"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VIII. ДИРЕКТОРУ ЗАТИ тов. ЧЕРНОВУ. </w:t>
      </w:r>
    </w:p>
    <w:p w14:paraId="5F33DF19"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Изготовить и обеспечить поставку заводу № 183 инструмента и изделий для индивидуального комплекта танков Т-34М, в количествах и сроки согласно приложению № 10. </w:t>
      </w:r>
    </w:p>
    <w:p w14:paraId="6402A177"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IX. ДИРЕКТОРУ "КРАСНАЯ ЭТНА" т. РОМАНОВУ. </w:t>
      </w:r>
    </w:p>
    <w:p w14:paraId="53F934D6"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Обеспечить завод № 183 проволокой для изготовления пружин, коленными шайбами Гровера и метизами на программу 1941 года. </w:t>
      </w:r>
    </w:p>
    <w:p w14:paraId="1A6CD115"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X. ДИРЕКТОРУ ЗАВОДА № 183 т. МАКСАРЕВУ. </w:t>
      </w:r>
    </w:p>
    <w:p w14:paraId="5B9DD636"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 19 мая с.г. обеспечить завод № 75 чертежами по 99 наименованиям штампованных деталей. </w:t>
      </w:r>
    </w:p>
    <w:p w14:paraId="512FCFAD"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Произвести к 20 июня с.г. токарную обработку 25 комплектов штамп и обрезных приспособлений, простроганных и термически обработанных заводом № 75. </w:t>
      </w:r>
    </w:p>
    <w:p w14:paraId="323EF591"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Произвести к 10 июня с.г. для завода № 75 поковку 50 тн. заготовок для обрезных приспособлений (матриц и пуансонов). </w:t>
      </w:r>
    </w:p>
    <w:p w14:paraId="345F8DB9"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Изготовить для завода № 75 модели для станков "Келлер". </w:t>
      </w:r>
    </w:p>
    <w:p w14:paraId="50CCC813"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К 22 мая с.г. обеспечить ХТЗ и з-д № 75 чертежами на штампуемые детали, согласно пункта II-го настоящего приказа, а также согласовать с ХТЗ в пятидневный срок чертежи заготовок (бронзового литья, ковкого чугуна и горячей штамповки). </w:t>
      </w:r>
    </w:p>
    <w:p w14:paraId="5B2460E2"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К 1-му июня обеспечить ЗАТИ чертежами на инструментарий, изготовляемый согласно пункта VIII-го настоящего приказа. </w:t>
      </w:r>
    </w:p>
    <w:p w14:paraId="1DA5B218"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XI. ДИРЕКТОРАМ ЗАВОДОВ: № 75 т. КОЧЕТКОВУ, ХТЗ – т. ПАРФЕНОВУ, СЕРП и МОЛОТ т. ПОЛЕВСКОМУ, СТЗ т. ДУЛЬКИНУ, ЗЭМ т. МОРОЗ, МАРИУПОЛЬСКОГО РАДИАТОРНОГО т. ДУДАРОВУ, 1 ГПЗ т. ЮСИМУ, ЗАТИ т. ЧЕРНОВУ, КРАСНАЯ ЭТНА т. РОМАНОВУ: </w:t>
      </w:r>
    </w:p>
    <w:p w14:paraId="78ADFD16"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 десятидневный срок заключить договора с заводом № 183 на поставляемую продукцию, согласно настоящего приказа и приложений № 1 – 10. </w:t>
      </w:r>
    </w:p>
    <w:p w14:paraId="45D321F0"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Обеспечить своевременное и равномерное изготовление поставляемой заводу № 183 продукции. </w:t>
      </w:r>
    </w:p>
    <w:p w14:paraId="4FC9D239"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Ежедекадно представлять в Военный Отдел НКСМ сведения о ходе выполнения настоящего приказа. </w:t>
      </w:r>
    </w:p>
    <w:p w14:paraId="0C92ACFA"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XII. Контроль за ходом выполнения настоящего приказа возложить на начальника Военного Отдела НКСМ тов. ГНЕСИНА. </w:t>
      </w:r>
    </w:p>
    <w:p w14:paraId="7202A53F"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СРЕДНЕГО МАШИНОСТРОЕНИЯ СОЮЗА ССР</w:t>
      </w:r>
    </w:p>
    <w:p w14:paraId="6A8A4517"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подпись (В. МАЛЫШЕВ)</w:t>
      </w:r>
    </w:p>
    <w:p w14:paraId="55897013"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Отпеч. 2 экз. </w:t>
      </w:r>
    </w:p>
    <w:p w14:paraId="149D7840"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 НКСМ </w:t>
      </w:r>
    </w:p>
    <w:p w14:paraId="781ADF93"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 зав. № 183 </w:t>
      </w:r>
    </w:p>
    <w:p w14:paraId="3A0010AD"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16/V-41 г.</w:t>
      </w:r>
    </w:p>
    <w:p w14:paraId="2F8C8382" w14:textId="77777777" w:rsidR="00C92879" w:rsidRPr="00DB5D0D" w:rsidRDefault="00C92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Фонд 8115 Опись 8 Дело 81 лист 20 – 24 (17926).</w:t>
      </w:r>
    </w:p>
    <w:p w14:paraId="3C9DD0B8" w14:textId="77777777" w:rsidR="00C92879" w:rsidRPr="00DB5D0D" w:rsidRDefault="00C92879" w:rsidP="00DB5D0D">
      <w:pPr>
        <w:spacing w:after="0" w:line="240" w:lineRule="auto"/>
        <w:jc w:val="both"/>
        <w:rPr>
          <w:rFonts w:ascii="Times New Roman" w:hAnsi="Times New Roman"/>
          <w:color w:val="000000" w:themeColor="text1"/>
          <w:sz w:val="16"/>
          <w:szCs w:val="16"/>
        </w:rPr>
      </w:pPr>
    </w:p>
    <w:p w14:paraId="0D5CE90E" w14:textId="77777777" w:rsidR="00560CA7"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0657921" w14:textId="77777777" w:rsidR="00560CA7" w:rsidRPr="00DB5D0D" w:rsidRDefault="00560CA7" w:rsidP="00DB5D0D">
      <w:pPr>
        <w:spacing w:after="0" w:line="240" w:lineRule="auto"/>
        <w:jc w:val="both"/>
        <w:rPr>
          <w:rFonts w:ascii="Times New Roman" w:hAnsi="Times New Roman"/>
          <w:iCs/>
          <w:color w:val="000000" w:themeColor="text1"/>
          <w:sz w:val="16"/>
          <w:szCs w:val="16"/>
        </w:rPr>
      </w:pPr>
    </w:p>
    <w:p w14:paraId="0FE4C5ED" w14:textId="77777777" w:rsidR="00560CA7" w:rsidRPr="00DB5D0D" w:rsidRDefault="00560CA7"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bCs/>
          <w:iCs/>
          <w:color w:val="000000" w:themeColor="text1"/>
          <w:sz w:val="16"/>
          <w:szCs w:val="16"/>
        </w:rPr>
        <w:t>22 мая 1940 г.</w:t>
      </w:r>
      <w:r w:rsidRPr="00DB5D0D">
        <w:rPr>
          <w:rFonts w:ascii="Times New Roman" w:hAnsi="Times New Roman"/>
          <w:color w:val="000000" w:themeColor="text1"/>
          <w:sz w:val="16"/>
          <w:szCs w:val="16"/>
        </w:rPr>
        <w:t xml:space="preserve"> Письмо нового наркома обороны С.К.Тимошенко в адрес И.В.Сталина и В.М.Молотова по вопросам организации химических войск. Письмо начиналось словами </w:t>
      </w:r>
      <w:r w:rsidRPr="00DB5D0D">
        <w:rPr>
          <w:rFonts w:ascii="Times New Roman" w:hAnsi="Times New Roman"/>
          <w:iCs/>
          <w:color w:val="000000" w:themeColor="text1"/>
          <w:sz w:val="16"/>
          <w:szCs w:val="16"/>
        </w:rPr>
        <w:t>«согласно Вашего личного указания»</w:t>
      </w:r>
      <w:r w:rsidRPr="00DB5D0D">
        <w:rPr>
          <w:rFonts w:ascii="Times New Roman" w:hAnsi="Times New Roman"/>
          <w:color w:val="000000" w:themeColor="text1"/>
          <w:sz w:val="16"/>
          <w:szCs w:val="16"/>
        </w:rPr>
        <w:t>. В нем, помимо изменения формулы существования химических войск (</w:t>
      </w:r>
      <w:r w:rsidRPr="00DB5D0D">
        <w:rPr>
          <w:rFonts w:ascii="Times New Roman" w:hAnsi="Times New Roman"/>
          <w:iCs/>
          <w:color w:val="000000" w:themeColor="text1"/>
          <w:sz w:val="16"/>
          <w:szCs w:val="16"/>
        </w:rPr>
        <w:t>«Химические войска в настоящее время существуют в составе трех отдельных химических танковых бригад, четырех отдельных химических танковых батальонов и шести минометных батальонов»</w:t>
      </w:r>
      <w:r w:rsidRPr="00DB5D0D">
        <w:rPr>
          <w:rFonts w:ascii="Times New Roman" w:hAnsi="Times New Roman"/>
          <w:color w:val="000000" w:themeColor="text1"/>
          <w:sz w:val="16"/>
          <w:szCs w:val="16"/>
        </w:rPr>
        <w:t xml:space="preserve">), были сформулированы формы их организации на ближайшее время: 1) создание 12 отдельных химических батальонов (ОХБ), способных </w:t>
      </w:r>
      <w:r w:rsidRPr="00DB5D0D">
        <w:rPr>
          <w:rFonts w:ascii="Times New Roman" w:hAnsi="Times New Roman"/>
          <w:iCs/>
          <w:color w:val="000000" w:themeColor="text1"/>
          <w:sz w:val="16"/>
          <w:szCs w:val="16"/>
        </w:rPr>
        <w:t>«выполнять задачи активного применения химических средств»</w:t>
      </w:r>
      <w:r w:rsidRPr="00DB5D0D">
        <w:rPr>
          <w:rFonts w:ascii="Times New Roman" w:hAnsi="Times New Roman"/>
          <w:color w:val="000000" w:themeColor="text1"/>
          <w:sz w:val="16"/>
          <w:szCs w:val="16"/>
        </w:rPr>
        <w:t>; 2) создание 14 отдельных батальонов противохимической обороны (ПХО) и один учебно-опытный батальон при ЦХП; 3) выделение из химических войск отдельных минометных батальонов, с тем чтобы вновь созданные специальные минометные части использовали как обычные, так и химические мины, в том числе — после перевооружения — калибра 120 мм (17133).</w:t>
      </w:r>
    </w:p>
    <w:p w14:paraId="5689CDE4" w14:textId="77777777" w:rsidR="00560CA7" w:rsidRPr="00DB5D0D" w:rsidRDefault="00560CA7" w:rsidP="00DB5D0D">
      <w:pPr>
        <w:shd w:val="clear" w:color="auto" w:fill="FFFFFF"/>
        <w:spacing w:after="0" w:line="240" w:lineRule="auto"/>
        <w:jc w:val="both"/>
        <w:rPr>
          <w:rFonts w:ascii="Times New Roman" w:hAnsi="Times New Roman"/>
          <w:color w:val="000000" w:themeColor="text1"/>
          <w:sz w:val="16"/>
          <w:szCs w:val="16"/>
        </w:rPr>
      </w:pPr>
    </w:p>
    <w:p w14:paraId="7FAC97E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1B4BED8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AE43CD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установлена награда Героев Социалистического Труда - золотая звезда «Серп и молот» (4962).</w:t>
      </w:r>
    </w:p>
    <w:p w14:paraId="30FFEEE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57D27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Президиум ВС утвердил знак отличия - золотая медаль Серп и Молот - знак отличия ГСС (3186).</w:t>
      </w:r>
    </w:p>
    <w:p w14:paraId="0D5F599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FBF40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5CCAC8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8034234" w14:textId="77777777" w:rsidR="00105C40" w:rsidRPr="00DB5D0D" w:rsidRDefault="00105C4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22 мая 1940 г. первый из 35 В-71 А постройки завода Аэро (143/TB+PI) покинул сборочную линию и был направлен в Luftdienst-Kommando 1/7 в Лекфильд, Бавария. Завод Аэро в Праге-Высочанах построил 35 самолетов В-71 А, получивших серийные номера 117 – 151.</w:t>
      </w:r>
    </w:p>
    <w:p w14:paraId="300FC791" w14:textId="77777777" w:rsidR="00105C40" w:rsidRPr="00DB5D0D" w:rsidRDefault="00105C4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 момент вторжения германских войск в Чехословакию подготовка лицензионного производства самолетов В-71 на заводе Авиа продвинулось очень далеко. Немцы посчитали самолет идеальным буксировщиком и заказали фирмам Авиа и Аэро 76 В-71 А.</w:t>
      </w:r>
    </w:p>
    <w:p w14:paraId="6867D71F" w14:textId="77777777" w:rsidR="00105C40" w:rsidRPr="00DB5D0D" w:rsidRDefault="00105C4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Буксировщики мишеней В-71А имели ряд отличий от бомбардировщиков В-71 советской постройки. Буксировщики не имели вооружения, нос фюзеляжа не имел остекления – был зашит металлом. Фиксированные мачты радиоантенн на верхней части фюзеляжа заменили убираемой антенной в нижней правой части фюзеляжа. На переплете фонарей кабин монтировались зеркала заднего вида. Большинство самолетов В-71 А не имело круглых иллюминаторов в бортах задней части фюзеляжа. По левому борту фюзеляжа за центропланам крыла имелась подножка для членов экипажа. Вместо люковой пулеметной установки монтировалось обтекатель, под которым пропускался трос буксировочного оборудования. Оборудование состояло из лебедки барабана с тросом диаметром 2,5 мм и 3-метрового конуса, по которому вели стрельбу истребители на тренировках. Лебедка и барабан монтировались в бомбоотсеке. Установка буксировочного оборудования нарушило балансировку самолета. Для компенсации смещения центра тяжести в кабину штурмана пришлось уложить балласт массой 240 кг.</w:t>
      </w:r>
    </w:p>
    <w:p w14:paraId="72B4AB1B" w14:textId="77777777" w:rsidR="00105C40" w:rsidRPr="00DB5D0D" w:rsidRDefault="00105C4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Все самолеты В-71 А постройки заводов Аэро и Авиа окрашивались по стандартной схеме люфтваффе. Верх – черно-зеленый RLM-70 и темно-зеленый RLM-71, низ – светло-голубой RLM-65. На большинстве В-71А кресты Stammkennzeichen были нанесены краской черного цвета на бортах в задней части фюзеляжа, на верхних и нижних поверхностях крыльев. Где-то между концом 1939 г. и летом 1940 г. на фюзеляжах и верхних поверхностях крыла нарисовали Balkenkreuxe. Эти опознавательные знаки использовались до середины 1940 г., когда им на смену пришли большие кресты, а свастику переместили с руля на все вертикальное оперение.</w:t>
      </w:r>
    </w:p>
    <w:p w14:paraId="18152BC3" w14:textId="77777777" w:rsidR="00105C40" w:rsidRPr="00DB5D0D" w:rsidRDefault="00105C4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люфтваффе большинство В-71 А поступило на вооружение Luftdienst- Kommando 6. самолеты использовались для буксировки мишеней и разведки погоды. Другие В-71 А эксплуатировались в Ausbildungsgruppe-104 (тренировочная группа 104), Jagdfliegerschule-4 и в секретной бомбардировочной группе KG-200. Надежные и прочные В-71 А долго служили в люфтваффе. По состоянию на 31 марта 1944 г. в люфтваффе имелось 57 самолетов В- 71 А, но уже на 30 сентября 1944 г. их осталось всего девять – сказалась нехватка запасных частей (17405).</w:t>
      </w:r>
    </w:p>
    <w:p w14:paraId="7F3CA28A" w14:textId="77777777" w:rsidR="00105C40" w:rsidRPr="00DB5D0D" w:rsidRDefault="00105C40" w:rsidP="00DB5D0D">
      <w:pPr>
        <w:spacing w:after="0" w:line="240" w:lineRule="auto"/>
        <w:jc w:val="both"/>
        <w:rPr>
          <w:rFonts w:ascii="Times New Roman" w:hAnsi="Times New Roman"/>
          <w:color w:val="000000" w:themeColor="text1"/>
          <w:sz w:val="16"/>
          <w:szCs w:val="16"/>
        </w:rPr>
      </w:pPr>
    </w:p>
    <w:p w14:paraId="54348C0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lastRenderedPageBreak/>
        <w:t>May 22nd, 1940: In the West, XIX.Panzerkorps (Guderian) strikes from Abbeville toward Boulogne, Calais and Dunkirk along the Channel coast. British cipher experts at Bletchley Park break the Luftwaffe Enigma code (3819).</w:t>
      </w:r>
    </w:p>
    <w:p w14:paraId="7EEBF693"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D5F5B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ТК (Гудериан) нанесла удар от Аббевилю на Болонь, Кале и Дункерк вдоль побережья. Британские специалисты раскрыли код шифровальной машинки Энигма, используемой ВВС (3819).</w:t>
      </w:r>
    </w:p>
    <w:p w14:paraId="0E346F5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A12F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было заключено соглашение между Румынией и Германией о поставках нефти (3907,225).</w:t>
      </w:r>
    </w:p>
    <w:p w14:paraId="1EB0F6D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F9A09F"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22 мая</w:t>
      </w:r>
      <w:r w:rsidRPr="00DB5D0D">
        <w:rPr>
          <w:rFonts w:ascii="Times New Roman" w:hAnsi="Times New Roman"/>
          <w:color w:val="000000" w:themeColor="text1"/>
          <w:sz w:val="16"/>
          <w:szCs w:val="16"/>
        </w:rPr>
        <w:t xml:space="preserve"> в 1940 году заключается Соглашение между Германией и Румынией о поставках румынской нефти в Германию (14899).</w:t>
      </w:r>
    </w:p>
    <w:p w14:paraId="5493AE6E"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4097946B"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22 мая</w:t>
      </w:r>
      <w:r w:rsidRPr="00DB5D0D">
        <w:rPr>
          <w:rFonts w:ascii="Times New Roman" w:hAnsi="Times New Roman"/>
          <w:color w:val="000000" w:themeColor="text1"/>
          <w:sz w:val="16"/>
          <w:szCs w:val="16"/>
        </w:rPr>
        <w:t xml:space="preserve"> в 1940 году в Англии принимается закон о предоставлении английскому правительству чрезвычайных полномочий (14899).</w:t>
      </w:r>
    </w:p>
    <w:p w14:paraId="12259A46"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479C3B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британское правительство получило широкие чрезвычайные полномочия (3907,222).</w:t>
      </w:r>
    </w:p>
    <w:p w14:paraId="4F9A25E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ADAB7E"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22 мая</w:t>
      </w:r>
      <w:r w:rsidRPr="00DB5D0D">
        <w:rPr>
          <w:rFonts w:ascii="Times New Roman" w:hAnsi="Times New Roman"/>
          <w:color w:val="000000" w:themeColor="text1"/>
          <w:sz w:val="16"/>
          <w:szCs w:val="16"/>
        </w:rPr>
        <w:t xml:space="preserve"> в 1940 году британские шифровальщики с помощью вычислительной машины «Бомба» взломали ключ немецкой шифровальной машины «Энигма» (14899).</w:t>
      </w:r>
    </w:p>
    <w:p w14:paraId="0C98FC09"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64099107"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22 мая</w:t>
      </w:r>
      <w:r w:rsidRPr="00DB5D0D">
        <w:rPr>
          <w:rFonts w:ascii="Times New Roman" w:hAnsi="Times New Roman"/>
          <w:color w:val="000000" w:themeColor="text1"/>
          <w:sz w:val="16"/>
          <w:szCs w:val="16"/>
        </w:rPr>
        <w:t xml:space="preserve"> в 1940 году начальник одного из отделов Оперативного управления военного министерства США майор Мэтью Б.Риджуэй представил генералу Маршаллу докладную записку. В ней он излагал свои соображения о мероприятиях, которые следовало бы провести США. Риджуэй считал, что в условиях, когда мировая обстановка меняется с потрясающей быстротой, в странах Южной Америки возможны нацистские восстания. За такими восстаниями может последовать немецкое вторжение. США должны взять на себя оборону Южной Америки и в качестве превентивной меры, если это окажется необходимым, оккупировать находящиеся там поселения европейцев. Президент Рузвельт, генерал Маршалл, адмирал Старк и помощник государственного секретаря С.Уэллес согласились с выводами автора записки (14899).</w:t>
      </w:r>
    </w:p>
    <w:p w14:paraId="5E0D9661"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4A4EE31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F6B2A7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D4834A0"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23 мая</w:t>
      </w:r>
      <w:r w:rsidRPr="00DB5D0D">
        <w:rPr>
          <w:rFonts w:ascii="Times New Roman" w:hAnsi="Times New Roman"/>
          <w:color w:val="000000" w:themeColor="text1"/>
          <w:sz w:val="16"/>
          <w:szCs w:val="16"/>
        </w:rPr>
        <w:t xml:space="preserve"> в 1940 году приказ НКАП №228: "Начальнику Первого Главного Управления тов. Шиц и директорам самолетных заводов с 25 мая с.г. отменить существующую окраску самолетов ДБ-3М/Ф (красный, стальной, белый, серый и др.) как демаскирующую и перейти на нижеследующие цвета покрытий: а) верхняя поверхность крыльев и оперений, боковые поверхности фюзеляжей -зеленоватый цвет (под цвет травы); б) нижняя поверхность крыльев, оперений и фюзеляжа - бледно-голубоватый цвет (под цвет облаков). Вся продукция, окрашенная на 25 мая сего года по существующим расцветкам в самолетах и агрегатах, перекраске не подлежит". На снимке «ДБ-3Ф» с моторами «М-87Б» и винтами «ВИШ-3», июль 1939 года (14900).</w:t>
      </w:r>
    </w:p>
    <w:p w14:paraId="3617B677"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46BFD2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после одного из полетов на ББ-22бис N 1002 Моисеенко, руливший на повышенной скорости, не справился с управлением и врезался в два СБ (АНТ-40). разрушения были велики и машину решили не восстанавливать (1081,9).</w:t>
      </w:r>
    </w:p>
    <w:p w14:paraId="480E12F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FB87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 после одного из полетов заводской летчик Моисеенко, руливший на повышенной скорости, не справился с управлением (по его сло</w:t>
      </w:r>
      <w:r w:rsidRPr="00DB5D0D">
        <w:rPr>
          <w:rFonts w:ascii="Times New Roman" w:hAnsi="Times New Roman"/>
          <w:color w:val="000000" w:themeColor="text1"/>
          <w:sz w:val="16"/>
          <w:szCs w:val="16"/>
        </w:rPr>
        <w:softHyphen/>
        <w:t>вам, на повороте «не сработали тормо</w:t>
      </w:r>
      <w:r w:rsidRPr="00DB5D0D">
        <w:rPr>
          <w:rFonts w:ascii="Times New Roman" w:hAnsi="Times New Roman"/>
          <w:color w:val="000000" w:themeColor="text1"/>
          <w:sz w:val="16"/>
          <w:szCs w:val="16"/>
        </w:rPr>
        <w:softHyphen/>
        <w:t>за»), и машина правым концом крыла за</w:t>
      </w:r>
      <w:r w:rsidRPr="00DB5D0D">
        <w:rPr>
          <w:rFonts w:ascii="Times New Roman" w:hAnsi="Times New Roman"/>
          <w:color w:val="000000" w:themeColor="text1"/>
          <w:sz w:val="16"/>
          <w:szCs w:val="16"/>
        </w:rPr>
        <w:softHyphen/>
        <w:t>дела стоявший СБ, а затем по инерции «въехала» в другой скоростной бомбар</w:t>
      </w:r>
      <w:r w:rsidRPr="00DB5D0D">
        <w:rPr>
          <w:rFonts w:ascii="Times New Roman" w:hAnsi="Times New Roman"/>
          <w:color w:val="000000" w:themeColor="text1"/>
          <w:sz w:val="16"/>
          <w:szCs w:val="16"/>
        </w:rPr>
        <w:softHyphen/>
        <w:t>дировщик. Напомним, что крыло у ББ-22 неразъемное, а разрушения его оказа</w:t>
      </w:r>
      <w:r w:rsidRPr="00DB5D0D">
        <w:rPr>
          <w:rFonts w:ascii="Times New Roman" w:hAnsi="Times New Roman"/>
          <w:color w:val="000000" w:themeColor="text1"/>
          <w:sz w:val="16"/>
          <w:szCs w:val="16"/>
        </w:rPr>
        <w:softHyphen/>
        <w:t>лись очень велики. Самолет № 1002 ре</w:t>
      </w:r>
      <w:r w:rsidRPr="00DB5D0D">
        <w:rPr>
          <w:rFonts w:ascii="Times New Roman" w:hAnsi="Times New Roman"/>
          <w:color w:val="000000" w:themeColor="text1"/>
          <w:sz w:val="16"/>
          <w:szCs w:val="16"/>
        </w:rPr>
        <w:softHyphen/>
        <w:t>шили не восстанавливать. Второй опыт</w:t>
      </w:r>
      <w:r w:rsidRPr="00DB5D0D">
        <w:rPr>
          <w:rFonts w:ascii="Times New Roman" w:hAnsi="Times New Roman"/>
          <w:color w:val="000000" w:themeColor="text1"/>
          <w:sz w:val="16"/>
          <w:szCs w:val="16"/>
        </w:rPr>
        <w:softHyphen/>
        <w:t>ный экземпляр ББ-22бис с № 1045 изго</w:t>
      </w:r>
      <w:r w:rsidRPr="00DB5D0D">
        <w:rPr>
          <w:rFonts w:ascii="Times New Roman" w:hAnsi="Times New Roman"/>
          <w:color w:val="000000" w:themeColor="text1"/>
          <w:sz w:val="16"/>
          <w:szCs w:val="16"/>
        </w:rPr>
        <w:softHyphen/>
        <w:t>товили в июне 1940 г., когда на заводе № 81 уже вовсю шла подготовка к произ</w:t>
      </w:r>
      <w:r w:rsidRPr="00DB5D0D">
        <w:rPr>
          <w:rFonts w:ascii="Times New Roman" w:hAnsi="Times New Roman"/>
          <w:color w:val="000000" w:themeColor="text1"/>
          <w:sz w:val="16"/>
          <w:szCs w:val="16"/>
        </w:rPr>
        <w:softHyphen/>
        <w:t>водству серийных машин с моторами М-105, поэтому производить его полно</w:t>
      </w:r>
      <w:r w:rsidRPr="00DB5D0D">
        <w:rPr>
          <w:rFonts w:ascii="Times New Roman" w:hAnsi="Times New Roman"/>
          <w:color w:val="000000" w:themeColor="text1"/>
          <w:sz w:val="16"/>
          <w:szCs w:val="16"/>
        </w:rPr>
        <w:softHyphen/>
        <w:t>масштабные государственные испытания не стали. Известно, впрочем, что именно на нем впервые были опробованы под</w:t>
      </w:r>
      <w:r w:rsidRPr="00DB5D0D">
        <w:rPr>
          <w:rFonts w:ascii="Times New Roman" w:hAnsi="Times New Roman"/>
          <w:color w:val="000000" w:themeColor="text1"/>
          <w:sz w:val="16"/>
          <w:szCs w:val="16"/>
        </w:rPr>
        <w:softHyphen/>
        <w:t>весные баки «лодочного» типа (как на И-16) емкостью по 100 л каждый (11214).</w:t>
      </w:r>
    </w:p>
    <w:p w14:paraId="72850C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54F6E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закончились заводские испытания ББ-22 2М-105 (2090,132).</w:t>
      </w:r>
    </w:p>
    <w:p w14:paraId="0350AC6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F3BB06"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23 мая</w:t>
      </w:r>
      <w:r w:rsidRPr="00DB5D0D">
        <w:rPr>
          <w:rFonts w:ascii="Times New Roman" w:hAnsi="Times New Roman"/>
          <w:color w:val="000000" w:themeColor="text1"/>
          <w:sz w:val="16"/>
          <w:szCs w:val="16"/>
        </w:rPr>
        <w:t xml:space="preserve"> в 1940 году после одного из полетов пилот Моисеенко на ближнем бомбардировщике «Як-42 (заводской №1002 ), руливший на повышенной скорости, не справился с управлением (по его словам, на повороте не сработали тормоза) и правой консолью задел за стоявший «СБ», а затем по инерции "въехал" во второй. Напомним, что крыло у «ББ-22» неразъемное, а разрушения его оказались очень велики. Машину решили не восстанавливать (14900).</w:t>
      </w:r>
    </w:p>
    <w:p w14:paraId="495A9E76"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347DF8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 начальник ГУАС комдив Алексеев и военный комиссар ГУАС бригадный комиссар Князев писали письмо № 501612 наркому обороны маршалу Тимошенко С.К.</w:t>
      </w:r>
    </w:p>
    <w:p w14:paraId="5FA2B7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проектам постановлений КО о постройке самолетов ТБ7, И-180 и И-200 докладываю:</w:t>
      </w:r>
    </w:p>
    <w:p w14:paraId="005D4E5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ТБ7 осваивался заводом № 124 в течение 4-х лет и за все это время сдал 5 самолетов, что говорит о большой сложности производства этого самолета.</w:t>
      </w:r>
    </w:p>
    <w:p w14:paraId="169276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самолета 410 км/час и большая площадь (около 190 м кв.) делают его чрезвычайно уязвимым как для истребителя, так и зенитной артиллерии. Сложность производства ограничивает и количество выпуска этой машины.</w:t>
      </w:r>
    </w:p>
    <w:p w14:paraId="0BD82C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Транспортные самолеты армии нужны в больших количествах. По заявлению зам. наркома авиапромышленности Воронина завод № 124 может дать ДСЗ в текущем году – 75 штук и в 1941 году – 500 штук. За это время завод № 124 может дать ТБ7 всего – 63 самолета.</w:t>
      </w:r>
    </w:p>
    <w:p w14:paraId="7F3398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десантных операциях 63 самолета ТБ7 могут взять всего 3150 человек. 575 самолетов ДС возьмут 13800 человек. Таким образом с переходом на ТБ7 вопрос обеспечения транспортным самолетом армии не решается.</w:t>
      </w:r>
    </w:p>
    <w:p w14:paraId="79646A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целесообразным на заводе № 124 продолжать постройку самолета ДС3 в военно-транспортном варианте, с оборудованием наружной подвеской бомб для ночного бомбометания. Одновременно необходимо форсировать окончание испытаний и внедрение в серию самолетов конструкции Ермолаева ДБ-240, которые могут быть использованы и в транспортном варианте.</w:t>
      </w:r>
    </w:p>
    <w:p w14:paraId="1C53DD3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Возражений о постройке самолета И-180 на заводе № 21 не имеется.</w:t>
      </w:r>
    </w:p>
    <w:p w14:paraId="58599B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И-16 необходимо оставить на заводе № 21 три типа:</w:t>
      </w:r>
    </w:p>
    <w:p w14:paraId="00BEFD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29-й тип – 2 пулемета Шкас и один Березина</w:t>
      </w:r>
    </w:p>
    <w:p w14:paraId="3A1C93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28-й тип – 20 мм 2 пушки и 2 Шкас</w:t>
      </w:r>
    </w:p>
    <w:p w14:paraId="7543DA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учебный «УТИ-4»</w:t>
      </w:r>
    </w:p>
    <w:p w14:paraId="472EFDE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запуску самолета И-200 на заводе № 1 и снятию с производства на нем ББ-22 – возражений нет (7709, 412).</w:t>
      </w:r>
    </w:p>
    <w:p w14:paraId="70CEC58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477BD0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 начальник ГУ AC KA комдив Алексеев докладывал Наркому Обороны СССР маршалу Тимошенко следующее:</w:t>
      </w:r>
    </w:p>
    <w:p w14:paraId="73EBB1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Самолет ТБ-7 осваивается заводом №124 в течение 4-х лет и за все это время сдано 5 самолетов, что говорит о большой сложности производства этого самолета. Максимальная скорость самолета 410 км/ч и большая площадь (около 190 кв.м) делают его чрезвычайно уязвимым как для истребителей, так и зенитной артиллерии. Большая сложность производства ограничивает и количество выпуска этих машин.</w:t>
      </w:r>
    </w:p>
    <w:p w14:paraId="34144B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Транспортные самолеты армии нужны в больших количествах.</w:t>
      </w:r>
    </w:p>
    <w:p w14:paraId="098E0A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по заявлению зам. Наркома Воронина завод №124 может дать ДС-3 в текущем году - 75 штук ив 1941 году - 500 штук. За это время завод №124 может дать ТБ-7 всего 63 самолета.</w:t>
      </w:r>
    </w:p>
    <w:p w14:paraId="2933DA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десантных операциях 63 самолета ТБ-7 могут взять всего 3150 человек, 575 ДС-3 возьмут 13800 человек. Таким образом, с переходом на ТБ-7 вопрос обеспечения транспортным самолетом не решается.</w:t>
      </w:r>
    </w:p>
    <w:p w14:paraId="45565D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целесообразным на заводе №124 продолжить постройку ДС-3 в военно-транспортном варианте, с оборудованием наружной подвески бомб для ночного бомбометания. Одновременно необходимо форсировать окончание испытаний и внедрение в серию самолетов конструкции Ермолаева ДБ-240, которые могут быть использованы в транспортном варианте..." (7685).</w:t>
      </w:r>
    </w:p>
    <w:p w14:paraId="1D5488D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1390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в ходе заводских испытаний И-200 А.И.М, которые проходили с 31 марта по 17 августа 1940, на И-200-1 был выполнен на снятие скоростей по высотам и определение общей устойчивости машины (21 по счету) (2988).</w:t>
      </w:r>
    </w:p>
    <w:p w14:paraId="3C96AA0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0507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Нач. ЛТГ НКАП М.М.Г. докладывал Зам Наркома А.С.Я. (вход. 2510сс от 25 мая 1940):</w:t>
      </w:r>
    </w:p>
    <w:p w14:paraId="0B00DE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23 мая с.г. мною совместно с т. Юмашевым был осмотрен на заводе 1 самолет-истребитель конструкции А.И.М.</w:t>
      </w:r>
    </w:p>
    <w:p w14:paraId="3B7072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Устойчивость с брошенным управлением на всех режимах не проверялась, но по видимому (по предварительному опросу пилота) она положительная.</w:t>
      </w:r>
    </w:p>
    <w:p w14:paraId="63E3C2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Достаточность рулей и нагрузки на них, со слов пилота, нормальны. Никаких ненормальных явлений не самолете не замечено.</w:t>
      </w:r>
    </w:p>
    <w:p w14:paraId="33A4CE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Аэродинамические формы самолета производят очень хорошее впечатление. (Лучший из наших отечественных истребителей, на данный момент).</w:t>
      </w:r>
    </w:p>
    <w:p w14:paraId="549FF2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Доводки мотора и моторного оборудования начинают портить аэродинамические формы самолета.</w:t>
      </w:r>
    </w:p>
    <w:p w14:paraId="17274E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Предложено пилоту проверить устойчивость самолета с брошенным управлением на всех режимах." (1379).</w:t>
      </w:r>
    </w:p>
    <w:p w14:paraId="59F5A67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FFFF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 была подготовлена справка К.Е.Ворошилову:</w:t>
      </w:r>
    </w:p>
    <w:p w14:paraId="5B09A8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просит перенести срок предъявления на гос. испытания 2-го экземпляра скоростного самолета конструкции Бисноват с марта на июнь 1940 г., так как на этот самолет устанавливается вооружение, установка которого постановление КО не предусматривалась.</w:t>
      </w:r>
    </w:p>
    <w:p w14:paraId="1C8A41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считает возможным просьбу Шахурина удовлетворить, так как установка вооружения на самолет требует дополнительных работ (3395,118).</w:t>
      </w:r>
    </w:p>
    <w:p w14:paraId="7F0D24A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4420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23 по 27 мая 1940 года в НИП АВ ВВС проходили воздушные полигонные испытания синхронной установки под пулемет "БС" (ТНК-52) калибра 12,7 мм на самолете И-16, конструкции завода N 21 (2973).</w:t>
      </w:r>
    </w:p>
    <w:p w14:paraId="6E9C65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Успенский.</w:t>
      </w:r>
    </w:p>
    <w:p w14:paraId="00E2C4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6A292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Проверить надежность и безотказность работы синхронной установки, под пулемет "БС" и удобства работы с ней летчика в воздухе.</w:t>
      </w:r>
    </w:p>
    <w:p w14:paraId="75E889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Определить удобства эксплуатации данной установки на земле и в воздухе на самолете: постановка и снятие пулеметов, регулировка, пристрелка, заряжание, разряжание, устранение задержек, перезарядка, питание.</w:t>
      </w:r>
    </w:p>
    <w:p w14:paraId="74E6D3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648E2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Предъявленная заводом N 21 синхронная установка под пулемет "БС" калибра 12,7 мм на самолете И-16 полигонные испытания выдержала (2973).</w:t>
      </w:r>
    </w:p>
    <w:p w14:paraId="452ABD4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3AB82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23-27 мая 1940 г. провели полигонные испытания И-16 с одним синхронным ТКБ-150. Стреляли со всех мыслимых положений в воздухе, в том числе на высоте 9400 м. при температурах, достигающих минус 55'С.</w:t>
      </w:r>
    </w:p>
    <w:p w14:paraId="35B8E1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1940 г. на заводе № 21 построили первый самолет И-16 с одним синхронным ТКБ-150.</w:t>
      </w:r>
    </w:p>
    <w:p w14:paraId="10BE35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в фюзеляже дополнительных крупнокалиберных пулеметов Березина признавалась удачной, поэтому такой вариант. но с одним пулеметом, решили использовать в серии И-16. на заводе №21.</w:t>
      </w:r>
    </w:p>
    <w:p w14:paraId="6C1C20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испытаний, в апреле 1940 г. появилось правительственное постановление о принятии ТКБ-150 на вооружение и о его запуске в производство. Немедленно по всем авиационным заводам и КБ была разослана директива, предусматривающая обязательную установку пулемета Березина на проектируемые и модернизируемые самолеты. На И-16 пулемет Березина под обозначением БС (Березина, синхронный) стали устанавливать начиная с середины 1940 г. на тип 29 (12015).</w:t>
      </w:r>
    </w:p>
    <w:p w14:paraId="0E17C57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0010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 закончились гос. испытания самолета И-16 М-63 эталона 1940 года, которые проходили с 4 мая 1940</w:t>
      </w:r>
    </w:p>
    <w:p w14:paraId="3A97DB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ED25C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2 ранга Кочетков</w:t>
      </w:r>
    </w:p>
    <w:p w14:paraId="172701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капитан Прошаков</w:t>
      </w:r>
    </w:p>
    <w:p w14:paraId="4E685C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4A424D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доведенности винто-моторной группы И-16 М-63 и проверка работы подвесных бензобаков.</w:t>
      </w:r>
    </w:p>
    <w:p w14:paraId="782598A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Проведение эксплуатационных испытаний для проверки прочности конструкции в связи с увеличением полетного веса и конструктивными изменениями самолета.</w:t>
      </w:r>
    </w:p>
    <w:p w14:paraId="555D3A7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вооружения в воздухе.</w:t>
      </w:r>
    </w:p>
    <w:p w14:paraId="7499E41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летных характеристик с винтом АВ-1.</w:t>
      </w:r>
    </w:p>
    <w:p w14:paraId="4ED02AE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самолета.</w:t>
      </w:r>
    </w:p>
    <w:p w14:paraId="230AFD7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маневренности самолета.</w:t>
      </w:r>
    </w:p>
    <w:p w14:paraId="77ABA43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спецоборудования самолета.</w:t>
      </w:r>
    </w:p>
    <w:p w14:paraId="0EC88D5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Летная оценка самолета.</w:t>
      </w:r>
    </w:p>
    <w:p w14:paraId="3EE3A3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И-16 № 24П2136 типа “24” с мотором М-63 представляет дальнейшую модификацию серийного самолета И-16 типа “10” с М-25В.</w:t>
      </w:r>
    </w:p>
    <w:p w14:paraId="3E0E69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начаты с 4 мая 1940 года</w:t>
      </w:r>
    </w:p>
    <w:p w14:paraId="49F312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проведено 104 полета с налетом 24 часа</w:t>
      </w:r>
    </w:p>
    <w:p w14:paraId="0D29A80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что эталон самолета И-16 М-63 гос. испытания прошел с замечаниями.</w:t>
      </w:r>
    </w:p>
    <w:p w14:paraId="121FC2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7D5DF8" w:rsidRPr="00DB5D0D" w14:paraId="1BEE9BE2" w14:textId="77777777" w:rsidTr="009223E5">
        <w:tc>
          <w:tcPr>
            <w:tcW w:w="3024" w:type="dxa"/>
            <w:tcBorders>
              <w:top w:val="single" w:sz="12" w:space="0" w:color="auto"/>
            </w:tcBorders>
          </w:tcPr>
          <w:p w14:paraId="676903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года</w:t>
            </w:r>
          </w:p>
        </w:tc>
        <w:tc>
          <w:tcPr>
            <w:tcW w:w="7574" w:type="dxa"/>
            <w:tcBorders>
              <w:top w:val="single" w:sz="12" w:space="0" w:color="auto"/>
            </w:tcBorders>
          </w:tcPr>
          <w:p w14:paraId="42BB06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для проверки работы агрегатов и приборов в воздухе</w:t>
            </w:r>
          </w:p>
        </w:tc>
      </w:tr>
      <w:tr w:rsidR="007D5DF8" w:rsidRPr="00DB5D0D" w14:paraId="29B814B0" w14:textId="77777777" w:rsidTr="009223E5">
        <w:tc>
          <w:tcPr>
            <w:tcW w:w="3024" w:type="dxa"/>
          </w:tcPr>
          <w:p w14:paraId="2BDEFF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года</w:t>
            </w:r>
          </w:p>
        </w:tc>
        <w:tc>
          <w:tcPr>
            <w:tcW w:w="7574" w:type="dxa"/>
          </w:tcPr>
          <w:p w14:paraId="24E96A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замер температурного режима мотора</w:t>
            </w:r>
          </w:p>
        </w:tc>
      </w:tr>
      <w:tr w:rsidR="007D5DF8" w:rsidRPr="00DB5D0D" w14:paraId="3264AA09" w14:textId="77777777" w:rsidTr="009223E5">
        <w:tc>
          <w:tcPr>
            <w:tcW w:w="3024" w:type="dxa"/>
          </w:tcPr>
          <w:p w14:paraId="15FE70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w:t>
            </w:r>
          </w:p>
        </w:tc>
        <w:tc>
          <w:tcPr>
            <w:tcW w:w="7574" w:type="dxa"/>
          </w:tcPr>
          <w:p w14:paraId="5D3AC3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по кругу на эксплуатационные испытания</w:t>
            </w:r>
          </w:p>
        </w:tc>
      </w:tr>
      <w:tr w:rsidR="007D5DF8" w:rsidRPr="00DB5D0D" w14:paraId="357B536C" w14:textId="77777777" w:rsidTr="009223E5">
        <w:tc>
          <w:tcPr>
            <w:tcW w:w="3024" w:type="dxa"/>
          </w:tcPr>
          <w:p w14:paraId="5ADBF5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года</w:t>
            </w:r>
          </w:p>
        </w:tc>
        <w:tc>
          <w:tcPr>
            <w:tcW w:w="7574" w:type="dxa"/>
          </w:tcPr>
          <w:p w14:paraId="436284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полета на эксплуатационные испытания (пилотаж)</w:t>
            </w:r>
          </w:p>
        </w:tc>
      </w:tr>
      <w:tr w:rsidR="007D5DF8" w:rsidRPr="00DB5D0D" w14:paraId="599F7B8D" w14:textId="77777777" w:rsidTr="009223E5">
        <w:tc>
          <w:tcPr>
            <w:tcW w:w="3024" w:type="dxa"/>
          </w:tcPr>
          <w:p w14:paraId="573C25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w:t>
            </w:r>
          </w:p>
        </w:tc>
        <w:tc>
          <w:tcPr>
            <w:tcW w:w="7574" w:type="dxa"/>
          </w:tcPr>
          <w:p w14:paraId="39890C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эксплуатационные испытания (пилотаж)</w:t>
            </w:r>
          </w:p>
        </w:tc>
      </w:tr>
      <w:tr w:rsidR="007D5DF8" w:rsidRPr="00DB5D0D" w14:paraId="255F223A" w14:textId="77777777" w:rsidTr="009223E5">
        <w:tc>
          <w:tcPr>
            <w:tcW w:w="3024" w:type="dxa"/>
          </w:tcPr>
          <w:p w14:paraId="5653B8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w:t>
            </w:r>
          </w:p>
        </w:tc>
        <w:tc>
          <w:tcPr>
            <w:tcW w:w="7574" w:type="dxa"/>
          </w:tcPr>
          <w:p w14:paraId="64DDA0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эксплуатационные испытания (пилотаж)</w:t>
            </w:r>
          </w:p>
        </w:tc>
      </w:tr>
      <w:tr w:rsidR="007D5DF8" w:rsidRPr="00DB5D0D" w14:paraId="3E12D9AB" w14:textId="77777777" w:rsidTr="009223E5">
        <w:tc>
          <w:tcPr>
            <w:tcW w:w="3024" w:type="dxa"/>
          </w:tcPr>
          <w:p w14:paraId="4DB0D5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w:t>
            </w:r>
          </w:p>
        </w:tc>
        <w:tc>
          <w:tcPr>
            <w:tcW w:w="7574" w:type="dxa"/>
          </w:tcPr>
          <w:p w14:paraId="13F1CB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полета на эксплуатационные испытания (пилотаж)</w:t>
            </w:r>
          </w:p>
        </w:tc>
      </w:tr>
      <w:tr w:rsidR="007D5DF8" w:rsidRPr="00DB5D0D" w14:paraId="561C5D6A" w14:textId="77777777" w:rsidTr="009223E5">
        <w:tc>
          <w:tcPr>
            <w:tcW w:w="3024" w:type="dxa"/>
          </w:tcPr>
          <w:p w14:paraId="743541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w:t>
            </w:r>
          </w:p>
        </w:tc>
        <w:tc>
          <w:tcPr>
            <w:tcW w:w="7574" w:type="dxa"/>
          </w:tcPr>
          <w:p w14:paraId="3A291B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Четыре полета на эксплуатационные испытания (пилотаж)</w:t>
            </w:r>
          </w:p>
        </w:tc>
      </w:tr>
      <w:tr w:rsidR="007D5DF8" w:rsidRPr="00DB5D0D" w14:paraId="7A31579E" w14:textId="77777777" w:rsidTr="009223E5">
        <w:tc>
          <w:tcPr>
            <w:tcW w:w="3024" w:type="dxa"/>
          </w:tcPr>
          <w:p w14:paraId="193892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года</w:t>
            </w:r>
          </w:p>
        </w:tc>
        <w:tc>
          <w:tcPr>
            <w:tcW w:w="7574" w:type="dxa"/>
          </w:tcPr>
          <w:p w14:paraId="2A5782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Эксплуатационные испытания ( один полет на пилотаж, 1 полет на пикирование и 9 полетов по кругу)</w:t>
            </w:r>
          </w:p>
        </w:tc>
      </w:tr>
      <w:tr w:rsidR="007D5DF8" w:rsidRPr="00DB5D0D" w14:paraId="720560E5" w14:textId="77777777" w:rsidTr="009223E5">
        <w:tc>
          <w:tcPr>
            <w:tcW w:w="3024" w:type="dxa"/>
          </w:tcPr>
          <w:p w14:paraId="51FB31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7574" w:type="dxa"/>
          </w:tcPr>
          <w:p w14:paraId="2CB335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километраж</w:t>
            </w:r>
          </w:p>
        </w:tc>
      </w:tr>
      <w:tr w:rsidR="007D5DF8" w:rsidRPr="00DB5D0D" w14:paraId="4C2F8742" w14:textId="77777777" w:rsidTr="009223E5">
        <w:tc>
          <w:tcPr>
            <w:tcW w:w="3024" w:type="dxa"/>
          </w:tcPr>
          <w:p w14:paraId="536322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7574" w:type="dxa"/>
          </w:tcPr>
          <w:p w14:paraId="1D3D1A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скороподъемность Н=5000 м</w:t>
            </w:r>
          </w:p>
        </w:tc>
      </w:tr>
      <w:tr w:rsidR="007D5DF8" w:rsidRPr="00DB5D0D" w14:paraId="493EFF07" w14:textId="77777777" w:rsidTr="009223E5">
        <w:tc>
          <w:tcPr>
            <w:tcW w:w="3024" w:type="dxa"/>
          </w:tcPr>
          <w:p w14:paraId="5664BD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года</w:t>
            </w:r>
          </w:p>
        </w:tc>
        <w:tc>
          <w:tcPr>
            <w:tcW w:w="7574" w:type="dxa"/>
          </w:tcPr>
          <w:p w14:paraId="71B85F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километраж</w:t>
            </w:r>
          </w:p>
        </w:tc>
      </w:tr>
      <w:tr w:rsidR="007D5DF8" w:rsidRPr="00DB5D0D" w14:paraId="3B26FEFB" w14:textId="77777777" w:rsidTr="009223E5">
        <w:tc>
          <w:tcPr>
            <w:tcW w:w="3024" w:type="dxa"/>
          </w:tcPr>
          <w:p w14:paraId="10CA90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года</w:t>
            </w:r>
          </w:p>
        </w:tc>
        <w:tc>
          <w:tcPr>
            <w:tcW w:w="7574" w:type="dxa"/>
          </w:tcPr>
          <w:p w14:paraId="4607FA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полетов по кругу на эксплуатационные испытания</w:t>
            </w:r>
          </w:p>
        </w:tc>
      </w:tr>
      <w:tr w:rsidR="007D5DF8" w:rsidRPr="00DB5D0D" w14:paraId="5C50A24F" w14:textId="77777777" w:rsidTr="009223E5">
        <w:tc>
          <w:tcPr>
            <w:tcW w:w="3024" w:type="dxa"/>
          </w:tcPr>
          <w:p w14:paraId="6210AC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w:t>
            </w:r>
          </w:p>
        </w:tc>
        <w:tc>
          <w:tcPr>
            <w:tcW w:w="7574" w:type="dxa"/>
          </w:tcPr>
          <w:p w14:paraId="34C09C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скороподъемность Н=7000 м и Н=9000 м</w:t>
            </w:r>
          </w:p>
        </w:tc>
      </w:tr>
      <w:tr w:rsidR="007D5DF8" w:rsidRPr="00DB5D0D" w14:paraId="1310A4DD" w14:textId="77777777" w:rsidTr="009223E5">
        <w:tc>
          <w:tcPr>
            <w:tcW w:w="3024" w:type="dxa"/>
          </w:tcPr>
          <w:p w14:paraId="1C6FA0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7574" w:type="dxa"/>
          </w:tcPr>
          <w:p w14:paraId="01757B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Замер взлетно-посадочных свойств</w:t>
            </w:r>
          </w:p>
        </w:tc>
      </w:tr>
      <w:tr w:rsidR="007D5DF8" w:rsidRPr="00DB5D0D" w14:paraId="061F2739" w14:textId="77777777" w:rsidTr="009223E5">
        <w:tc>
          <w:tcPr>
            <w:tcW w:w="3024" w:type="dxa"/>
          </w:tcPr>
          <w:p w14:paraId="00917C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7574" w:type="dxa"/>
          </w:tcPr>
          <w:p w14:paraId="685B00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отстрел пулеметов в воздухе</w:t>
            </w:r>
          </w:p>
        </w:tc>
      </w:tr>
      <w:tr w:rsidR="007D5DF8" w:rsidRPr="00DB5D0D" w14:paraId="1122AACE" w14:textId="77777777" w:rsidTr="009223E5">
        <w:tc>
          <w:tcPr>
            <w:tcW w:w="3024" w:type="dxa"/>
          </w:tcPr>
          <w:p w14:paraId="743067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года</w:t>
            </w:r>
          </w:p>
        </w:tc>
        <w:tc>
          <w:tcPr>
            <w:tcW w:w="7574" w:type="dxa"/>
          </w:tcPr>
          <w:p w14:paraId="7FF265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в воздухе на автоматику</w:t>
            </w:r>
          </w:p>
        </w:tc>
      </w:tr>
      <w:tr w:rsidR="007D5DF8" w:rsidRPr="00DB5D0D" w14:paraId="37278549" w14:textId="77777777" w:rsidTr="009223E5">
        <w:tc>
          <w:tcPr>
            <w:tcW w:w="3024" w:type="dxa"/>
          </w:tcPr>
          <w:p w14:paraId="79FF6B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года</w:t>
            </w:r>
          </w:p>
        </w:tc>
        <w:tc>
          <w:tcPr>
            <w:tcW w:w="7574" w:type="dxa"/>
          </w:tcPr>
          <w:p w14:paraId="56DEA9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стрельбу по наземной мишени</w:t>
            </w:r>
          </w:p>
        </w:tc>
      </w:tr>
      <w:tr w:rsidR="007D5DF8" w:rsidRPr="00DB5D0D" w14:paraId="53DAF9E9" w14:textId="77777777" w:rsidTr="009223E5">
        <w:tc>
          <w:tcPr>
            <w:tcW w:w="3024" w:type="dxa"/>
            <w:tcBorders>
              <w:bottom w:val="single" w:sz="12" w:space="0" w:color="auto"/>
            </w:tcBorders>
          </w:tcPr>
          <w:p w14:paraId="023120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w:t>
            </w:r>
          </w:p>
        </w:tc>
        <w:tc>
          <w:tcPr>
            <w:tcW w:w="7574" w:type="dxa"/>
            <w:tcBorders>
              <w:bottom w:val="single" w:sz="12" w:space="0" w:color="auto"/>
            </w:tcBorders>
          </w:tcPr>
          <w:p w14:paraId="31CB00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стрельбу по конусу</w:t>
            </w:r>
          </w:p>
        </w:tc>
      </w:tr>
    </w:tbl>
    <w:p w14:paraId="12B23A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(4432).</w:t>
      </w:r>
    </w:p>
    <w:p w14:paraId="5A7F39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D86F9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 вышел приказ НИИ ВВС № 087</w:t>
      </w:r>
    </w:p>
    <w:p w14:paraId="533DEE1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организации испытаний самолетов Ю-88, ДО-215 и Ме-110 (6891, 163).</w:t>
      </w:r>
    </w:p>
    <w:p w14:paraId="09E2BF7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AD828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в НИИ ВВС закончились по испытаниям Ме-110 с моторами ДБ-601А, которые шли с 13 мая</w:t>
      </w:r>
    </w:p>
    <w:p w14:paraId="3192A7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Нач. ВВС утвердил отчет по испытаниям Ме-110 с моторами ДБ-601А</w:t>
      </w:r>
    </w:p>
    <w:p w14:paraId="62374A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Тараканов</w:t>
      </w:r>
    </w:p>
    <w:p w14:paraId="7E2F02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Николаев</w:t>
      </w:r>
    </w:p>
    <w:p w14:paraId="6C7B01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б/т вт1р Жулев</w:t>
      </w:r>
    </w:p>
    <w:p w14:paraId="45EFC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Пономарев</w:t>
      </w:r>
    </w:p>
    <w:p w14:paraId="1B1FF9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вооружению Рюмин</w:t>
      </w:r>
    </w:p>
    <w:p w14:paraId="34C5CB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Самозванцев</w:t>
      </w:r>
    </w:p>
    <w:p w14:paraId="23258B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АверьяновСализов</w:t>
      </w:r>
    </w:p>
    <w:p w14:paraId="726904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 облета Филин, Холопин, Кабанов, Стефаненко, Никашин, Долгов, Хрипин, Кубышкин, Шапорев</w:t>
      </w:r>
    </w:p>
    <w:p w14:paraId="41E680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испытания проходили 13-23 мая</w:t>
      </w:r>
    </w:p>
    <w:p w14:paraId="42D5D1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530 км/час на 4600 (данные фирмы), 525 км/час на 4600 (наши данные) (718).</w:t>
      </w:r>
    </w:p>
    <w:p w14:paraId="1FD819C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60DC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постановлением КО N 219сс "О гос. испытаниях мотора М-105" был принят на вооружение двигатель М-105 и запущен в серию на 26 заводе (725,25).</w:t>
      </w:r>
    </w:p>
    <w:p w14:paraId="5EEA92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СССР постановляет:</w:t>
      </w:r>
    </w:p>
    <w:p w14:paraId="67F938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Выводы и заключение Правительственной Комиссии по государственным испытаниям мотора М-105 - утвердить (приложения № 1 и 2).</w:t>
      </w:r>
    </w:p>
    <w:p w14:paraId="5F0125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Принять мотор М-105 на вооружение ВВС РККА и установить срок его службы до первой переборки - 100 час.</w:t>
      </w:r>
    </w:p>
    <w:p w14:paraId="4A0CB1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НКАП запустить мотор М-105 в крупносерийное производство на заводе № 26 НКАП</w:t>
      </w:r>
    </w:p>
    <w:p w14:paraId="640E07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эталоном для крупносерийного производства мотор № 015-57, удовлетворительно прошедший государственные испытания.</w:t>
      </w:r>
    </w:p>
    <w:p w14:paraId="093EAC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НКАП (заворд № 26) довести срок службы мотора М-105 (до первой переборки) до 150 час. к 1 ноября 1940 (10395).</w:t>
      </w:r>
    </w:p>
    <w:p w14:paraId="446E3E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 1</w:t>
      </w:r>
    </w:p>
    <w:p w14:paraId="5454B4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были отпечатаны ВЫВОДЫ</w:t>
      </w:r>
    </w:p>
    <w:p w14:paraId="50A2E5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проведенного Государственного испытания мотора М-105, Правительственная Комиссия делает следующие выводы:</w:t>
      </w:r>
    </w:p>
    <w:p w14:paraId="144845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Предъявленный мотор М-105 № 015-57 прошел 100 часовое государственное испытания УДОВЛЕТВОРИТЕЛЬНО, показав за время испытаний следующие средние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781"/>
        <w:gridCol w:w="781"/>
        <w:gridCol w:w="781"/>
        <w:gridCol w:w="781"/>
        <w:gridCol w:w="781"/>
        <w:gridCol w:w="781"/>
        <w:gridCol w:w="868"/>
        <w:gridCol w:w="868"/>
        <w:gridCol w:w="868"/>
      </w:tblGrid>
      <w:tr w:rsidR="007D5DF8" w:rsidRPr="00DB5D0D" w14:paraId="3349955D" w14:textId="77777777" w:rsidTr="009223E5">
        <w:tc>
          <w:tcPr>
            <w:tcW w:w="2448" w:type="dxa"/>
            <w:tcBorders>
              <w:top w:val="single" w:sz="12" w:space="0" w:color="auto"/>
            </w:tcBorders>
          </w:tcPr>
          <w:p w14:paraId="338C69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Режимы</w:t>
            </w:r>
          </w:p>
        </w:tc>
        <w:tc>
          <w:tcPr>
            <w:tcW w:w="781" w:type="dxa"/>
            <w:tcBorders>
              <w:top w:val="single" w:sz="12" w:space="0" w:color="auto"/>
            </w:tcBorders>
          </w:tcPr>
          <w:p w14:paraId="2CBF90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нагнетателя</w:t>
            </w:r>
          </w:p>
        </w:tc>
        <w:tc>
          <w:tcPr>
            <w:tcW w:w="781" w:type="dxa"/>
            <w:tcBorders>
              <w:top w:val="single" w:sz="12" w:space="0" w:color="auto"/>
            </w:tcBorders>
          </w:tcPr>
          <w:p w14:paraId="4C23F3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Оборотов в минуту</w:t>
            </w:r>
          </w:p>
        </w:tc>
        <w:tc>
          <w:tcPr>
            <w:tcW w:w="1562" w:type="dxa"/>
            <w:gridSpan w:val="2"/>
            <w:tcBorders>
              <w:top w:val="single" w:sz="12" w:space="0" w:color="auto"/>
            </w:tcBorders>
          </w:tcPr>
          <w:p w14:paraId="1A4431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л.с.</w:t>
            </w:r>
          </w:p>
        </w:tc>
        <w:tc>
          <w:tcPr>
            <w:tcW w:w="781" w:type="dxa"/>
            <w:tcBorders>
              <w:top w:val="single" w:sz="12" w:space="0" w:color="auto"/>
            </w:tcBorders>
          </w:tcPr>
          <w:p w14:paraId="451BD4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 мм ртутного столба</w:t>
            </w:r>
          </w:p>
        </w:tc>
        <w:tc>
          <w:tcPr>
            <w:tcW w:w="1649" w:type="dxa"/>
            <w:gridSpan w:val="2"/>
            <w:tcBorders>
              <w:top w:val="single" w:sz="12" w:space="0" w:color="auto"/>
            </w:tcBorders>
          </w:tcPr>
          <w:p w14:paraId="57C4BA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Удельные расходы</w:t>
            </w:r>
          </w:p>
        </w:tc>
        <w:tc>
          <w:tcPr>
            <w:tcW w:w="868" w:type="dxa"/>
            <w:tcBorders>
              <w:top w:val="single" w:sz="12" w:space="0" w:color="auto"/>
            </w:tcBorders>
          </w:tcPr>
          <w:p w14:paraId="31396C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работы на режиме</w:t>
            </w:r>
          </w:p>
        </w:tc>
        <w:tc>
          <w:tcPr>
            <w:tcW w:w="868" w:type="dxa"/>
            <w:tcBorders>
              <w:top w:val="single" w:sz="12" w:space="0" w:color="auto"/>
            </w:tcBorders>
          </w:tcPr>
          <w:p w14:paraId="030D60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НМ</w:t>
            </w:r>
          </w:p>
        </w:tc>
      </w:tr>
      <w:tr w:rsidR="007D5DF8" w:rsidRPr="00DB5D0D" w14:paraId="2729660E" w14:textId="77777777" w:rsidTr="009223E5">
        <w:tc>
          <w:tcPr>
            <w:tcW w:w="2448" w:type="dxa"/>
          </w:tcPr>
          <w:p w14:paraId="28F3E88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81" w:type="dxa"/>
          </w:tcPr>
          <w:p w14:paraId="302C686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81" w:type="dxa"/>
          </w:tcPr>
          <w:p w14:paraId="32AEC7D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81" w:type="dxa"/>
          </w:tcPr>
          <w:p w14:paraId="763607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Замеренная</w:t>
            </w:r>
          </w:p>
        </w:tc>
        <w:tc>
          <w:tcPr>
            <w:tcW w:w="781" w:type="dxa"/>
          </w:tcPr>
          <w:p w14:paraId="11C9DB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Приведенная</w:t>
            </w:r>
          </w:p>
        </w:tc>
        <w:tc>
          <w:tcPr>
            <w:tcW w:w="781" w:type="dxa"/>
          </w:tcPr>
          <w:p w14:paraId="07ECA02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81" w:type="dxa"/>
          </w:tcPr>
          <w:p w14:paraId="1BC9E9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Топливо г/лсч</w:t>
            </w:r>
          </w:p>
        </w:tc>
        <w:tc>
          <w:tcPr>
            <w:tcW w:w="868" w:type="dxa"/>
          </w:tcPr>
          <w:p w14:paraId="2C1225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 г/лсч</w:t>
            </w:r>
          </w:p>
        </w:tc>
        <w:tc>
          <w:tcPr>
            <w:tcW w:w="868" w:type="dxa"/>
          </w:tcPr>
          <w:p w14:paraId="4F44308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68" w:type="dxa"/>
          </w:tcPr>
          <w:p w14:paraId="0605CA2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0C3500D" w14:textId="77777777" w:rsidTr="009223E5">
        <w:tc>
          <w:tcPr>
            <w:tcW w:w="2448" w:type="dxa"/>
          </w:tcPr>
          <w:p w14:paraId="7A3CF4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Взлета</w:t>
            </w:r>
          </w:p>
        </w:tc>
        <w:tc>
          <w:tcPr>
            <w:tcW w:w="781" w:type="dxa"/>
          </w:tcPr>
          <w:p w14:paraId="0F87AA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81" w:type="dxa"/>
          </w:tcPr>
          <w:p w14:paraId="62AD3D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2610</w:t>
            </w:r>
          </w:p>
        </w:tc>
        <w:tc>
          <w:tcPr>
            <w:tcW w:w="781" w:type="dxa"/>
          </w:tcPr>
          <w:p w14:paraId="2B23A7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1128</w:t>
            </w:r>
          </w:p>
        </w:tc>
        <w:tc>
          <w:tcPr>
            <w:tcW w:w="781" w:type="dxa"/>
          </w:tcPr>
          <w:p w14:paraId="11D921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1110</w:t>
            </w:r>
          </w:p>
        </w:tc>
        <w:tc>
          <w:tcPr>
            <w:tcW w:w="781" w:type="dxa"/>
          </w:tcPr>
          <w:p w14:paraId="51E385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948</w:t>
            </w:r>
          </w:p>
        </w:tc>
        <w:tc>
          <w:tcPr>
            <w:tcW w:w="781" w:type="dxa"/>
          </w:tcPr>
          <w:p w14:paraId="208816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264</w:t>
            </w:r>
          </w:p>
        </w:tc>
        <w:tc>
          <w:tcPr>
            <w:tcW w:w="868" w:type="dxa"/>
          </w:tcPr>
          <w:p w14:paraId="1FCEF6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w:t>
            </w:r>
          </w:p>
        </w:tc>
        <w:tc>
          <w:tcPr>
            <w:tcW w:w="868" w:type="dxa"/>
          </w:tcPr>
          <w:p w14:paraId="61CBE6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c>
          <w:tcPr>
            <w:tcW w:w="868" w:type="dxa"/>
          </w:tcPr>
          <w:p w14:paraId="664C1B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0033285" w14:textId="77777777" w:rsidTr="009223E5">
        <w:tc>
          <w:tcPr>
            <w:tcW w:w="2448" w:type="dxa"/>
          </w:tcPr>
          <w:p w14:paraId="2FE2C7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Подъема</w:t>
            </w:r>
          </w:p>
        </w:tc>
        <w:tc>
          <w:tcPr>
            <w:tcW w:w="781" w:type="dxa"/>
          </w:tcPr>
          <w:p w14:paraId="2A0116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81" w:type="dxa"/>
          </w:tcPr>
          <w:p w14:paraId="06D627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2610</w:t>
            </w:r>
          </w:p>
        </w:tc>
        <w:tc>
          <w:tcPr>
            <w:tcW w:w="781" w:type="dxa"/>
          </w:tcPr>
          <w:p w14:paraId="60A6C0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1066</w:t>
            </w:r>
          </w:p>
        </w:tc>
        <w:tc>
          <w:tcPr>
            <w:tcW w:w="781" w:type="dxa"/>
          </w:tcPr>
          <w:p w14:paraId="78388C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1049</w:t>
            </w:r>
          </w:p>
        </w:tc>
        <w:tc>
          <w:tcPr>
            <w:tcW w:w="781" w:type="dxa"/>
          </w:tcPr>
          <w:p w14:paraId="2C6369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781" w:type="dxa"/>
          </w:tcPr>
          <w:p w14:paraId="7CE5A6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274</w:t>
            </w:r>
          </w:p>
        </w:tc>
        <w:tc>
          <w:tcPr>
            <w:tcW w:w="868" w:type="dxa"/>
          </w:tcPr>
          <w:p w14:paraId="112C12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868" w:type="dxa"/>
          </w:tcPr>
          <w:p w14:paraId="62BB90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868" w:type="dxa"/>
          </w:tcPr>
          <w:p w14:paraId="50A333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654B4BA" w14:textId="77777777" w:rsidTr="009223E5">
        <w:tc>
          <w:tcPr>
            <w:tcW w:w="2448" w:type="dxa"/>
          </w:tcPr>
          <w:p w14:paraId="35B5DF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Горизонтальный полет у земли</w:t>
            </w:r>
          </w:p>
        </w:tc>
        <w:tc>
          <w:tcPr>
            <w:tcW w:w="781" w:type="dxa"/>
          </w:tcPr>
          <w:p w14:paraId="1D51BA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81" w:type="dxa"/>
          </w:tcPr>
          <w:p w14:paraId="635F0B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2640</w:t>
            </w:r>
          </w:p>
        </w:tc>
        <w:tc>
          <w:tcPr>
            <w:tcW w:w="781" w:type="dxa"/>
          </w:tcPr>
          <w:p w14:paraId="5040D4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1064</w:t>
            </w:r>
          </w:p>
        </w:tc>
        <w:tc>
          <w:tcPr>
            <w:tcW w:w="781" w:type="dxa"/>
          </w:tcPr>
          <w:p w14:paraId="621D4D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1041</w:t>
            </w:r>
          </w:p>
        </w:tc>
        <w:tc>
          <w:tcPr>
            <w:tcW w:w="781" w:type="dxa"/>
          </w:tcPr>
          <w:p w14:paraId="1927F6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898</w:t>
            </w:r>
          </w:p>
        </w:tc>
        <w:tc>
          <w:tcPr>
            <w:tcW w:w="781" w:type="dxa"/>
          </w:tcPr>
          <w:p w14:paraId="2D1AC8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276</w:t>
            </w:r>
          </w:p>
        </w:tc>
        <w:tc>
          <w:tcPr>
            <w:tcW w:w="868" w:type="dxa"/>
          </w:tcPr>
          <w:p w14:paraId="77778A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w:t>
            </w:r>
          </w:p>
        </w:tc>
        <w:tc>
          <w:tcPr>
            <w:tcW w:w="868" w:type="dxa"/>
          </w:tcPr>
          <w:p w14:paraId="401017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68" w:type="dxa"/>
          </w:tcPr>
          <w:p w14:paraId="446308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E1D3F42" w14:textId="77777777" w:rsidTr="009223E5">
        <w:tc>
          <w:tcPr>
            <w:tcW w:w="2448" w:type="dxa"/>
          </w:tcPr>
          <w:p w14:paraId="1AA615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 горизонтальный полет</w:t>
            </w:r>
          </w:p>
        </w:tc>
        <w:tc>
          <w:tcPr>
            <w:tcW w:w="781" w:type="dxa"/>
          </w:tcPr>
          <w:p w14:paraId="709DE4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81" w:type="dxa"/>
          </w:tcPr>
          <w:p w14:paraId="7440F8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2550</w:t>
            </w:r>
          </w:p>
        </w:tc>
        <w:tc>
          <w:tcPr>
            <w:tcW w:w="781" w:type="dxa"/>
          </w:tcPr>
          <w:p w14:paraId="7B88E2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961</w:t>
            </w:r>
          </w:p>
        </w:tc>
        <w:tc>
          <w:tcPr>
            <w:tcW w:w="781" w:type="dxa"/>
          </w:tcPr>
          <w:p w14:paraId="4D54A0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940</w:t>
            </w:r>
          </w:p>
        </w:tc>
        <w:tc>
          <w:tcPr>
            <w:tcW w:w="781" w:type="dxa"/>
          </w:tcPr>
          <w:p w14:paraId="42A6EC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781" w:type="dxa"/>
          </w:tcPr>
          <w:p w14:paraId="18CF41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258</w:t>
            </w:r>
          </w:p>
        </w:tc>
        <w:tc>
          <w:tcPr>
            <w:tcW w:w="868" w:type="dxa"/>
          </w:tcPr>
          <w:p w14:paraId="6218A9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868" w:type="dxa"/>
          </w:tcPr>
          <w:p w14:paraId="6724B6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7:30</w:t>
            </w:r>
          </w:p>
        </w:tc>
        <w:tc>
          <w:tcPr>
            <w:tcW w:w="868" w:type="dxa"/>
          </w:tcPr>
          <w:p w14:paraId="067C6A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1EC5630" w14:textId="77777777" w:rsidTr="009223E5">
        <w:tc>
          <w:tcPr>
            <w:tcW w:w="2448" w:type="dxa"/>
          </w:tcPr>
          <w:p w14:paraId="7310BB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w:t>
            </w:r>
          </w:p>
        </w:tc>
        <w:tc>
          <w:tcPr>
            <w:tcW w:w="781" w:type="dxa"/>
          </w:tcPr>
          <w:p w14:paraId="63E456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81" w:type="dxa"/>
          </w:tcPr>
          <w:p w14:paraId="49D3C3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2695</w:t>
            </w:r>
          </w:p>
        </w:tc>
        <w:tc>
          <w:tcPr>
            <w:tcW w:w="781" w:type="dxa"/>
          </w:tcPr>
          <w:p w14:paraId="5C0598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1063</w:t>
            </w:r>
          </w:p>
        </w:tc>
        <w:tc>
          <w:tcPr>
            <w:tcW w:w="781" w:type="dxa"/>
          </w:tcPr>
          <w:p w14:paraId="5DB4DD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1138</w:t>
            </w:r>
          </w:p>
        </w:tc>
        <w:tc>
          <w:tcPr>
            <w:tcW w:w="781" w:type="dxa"/>
          </w:tcPr>
          <w:p w14:paraId="7EA4F3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781" w:type="dxa"/>
          </w:tcPr>
          <w:p w14:paraId="19175C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w:t>
            </w:r>
          </w:p>
        </w:tc>
        <w:tc>
          <w:tcPr>
            <w:tcW w:w="868" w:type="dxa"/>
          </w:tcPr>
          <w:p w14:paraId="30574B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868" w:type="dxa"/>
          </w:tcPr>
          <w:p w14:paraId="2002BA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68" w:type="dxa"/>
          </w:tcPr>
          <w:p w14:paraId="23A87D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2150</w:t>
            </w:r>
          </w:p>
        </w:tc>
      </w:tr>
      <w:tr w:rsidR="007D5DF8" w:rsidRPr="00DB5D0D" w14:paraId="3AF68C0B" w14:textId="77777777" w:rsidTr="009223E5">
        <w:tc>
          <w:tcPr>
            <w:tcW w:w="2448" w:type="dxa"/>
          </w:tcPr>
          <w:p w14:paraId="32B32E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 номинальной мощности</w:t>
            </w:r>
          </w:p>
        </w:tc>
        <w:tc>
          <w:tcPr>
            <w:tcW w:w="781" w:type="dxa"/>
          </w:tcPr>
          <w:p w14:paraId="1F09E8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81" w:type="dxa"/>
          </w:tcPr>
          <w:p w14:paraId="5A336B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2615</w:t>
            </w:r>
          </w:p>
        </w:tc>
        <w:tc>
          <w:tcPr>
            <w:tcW w:w="781" w:type="dxa"/>
          </w:tcPr>
          <w:p w14:paraId="01B9F9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965</w:t>
            </w:r>
          </w:p>
        </w:tc>
        <w:tc>
          <w:tcPr>
            <w:tcW w:w="781" w:type="dxa"/>
          </w:tcPr>
          <w:p w14:paraId="56A184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957</w:t>
            </w:r>
          </w:p>
        </w:tc>
        <w:tc>
          <w:tcPr>
            <w:tcW w:w="781" w:type="dxa"/>
          </w:tcPr>
          <w:p w14:paraId="0D675F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903</w:t>
            </w:r>
          </w:p>
        </w:tc>
        <w:tc>
          <w:tcPr>
            <w:tcW w:w="781" w:type="dxa"/>
          </w:tcPr>
          <w:p w14:paraId="51BD3F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259</w:t>
            </w:r>
          </w:p>
        </w:tc>
        <w:tc>
          <w:tcPr>
            <w:tcW w:w="868" w:type="dxa"/>
          </w:tcPr>
          <w:p w14:paraId="6448BF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868" w:type="dxa"/>
          </w:tcPr>
          <w:p w14:paraId="55D662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17Ж30</w:t>
            </w:r>
          </w:p>
        </w:tc>
        <w:tc>
          <w:tcPr>
            <w:tcW w:w="868" w:type="dxa"/>
          </w:tcPr>
          <w:p w14:paraId="1C9C80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2D89F56" w14:textId="77777777" w:rsidTr="009223E5">
        <w:tc>
          <w:tcPr>
            <w:tcW w:w="2448" w:type="dxa"/>
          </w:tcPr>
          <w:p w14:paraId="1F6744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w:t>
            </w:r>
          </w:p>
        </w:tc>
        <w:tc>
          <w:tcPr>
            <w:tcW w:w="781" w:type="dxa"/>
          </w:tcPr>
          <w:p w14:paraId="57B45B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781" w:type="dxa"/>
          </w:tcPr>
          <w:p w14:paraId="3D14C4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2695</w:t>
            </w:r>
          </w:p>
        </w:tc>
        <w:tc>
          <w:tcPr>
            <w:tcW w:w="781" w:type="dxa"/>
          </w:tcPr>
          <w:p w14:paraId="60B8D7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938</w:t>
            </w:r>
          </w:p>
        </w:tc>
        <w:tc>
          <w:tcPr>
            <w:tcW w:w="781" w:type="dxa"/>
          </w:tcPr>
          <w:p w14:paraId="2E2138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1063</w:t>
            </w:r>
          </w:p>
        </w:tc>
        <w:tc>
          <w:tcPr>
            <w:tcW w:w="781" w:type="dxa"/>
          </w:tcPr>
          <w:p w14:paraId="4B8311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905</w:t>
            </w:r>
          </w:p>
        </w:tc>
        <w:tc>
          <w:tcPr>
            <w:tcW w:w="781" w:type="dxa"/>
          </w:tcPr>
          <w:p w14:paraId="7E432F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312</w:t>
            </w:r>
          </w:p>
        </w:tc>
        <w:tc>
          <w:tcPr>
            <w:tcW w:w="868" w:type="dxa"/>
          </w:tcPr>
          <w:p w14:paraId="7287A6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w:t>
            </w:r>
          </w:p>
        </w:tc>
        <w:tc>
          <w:tcPr>
            <w:tcW w:w="868" w:type="dxa"/>
          </w:tcPr>
          <w:p w14:paraId="58FC39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868" w:type="dxa"/>
          </w:tcPr>
          <w:p w14:paraId="5F3C2E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4090</w:t>
            </w:r>
          </w:p>
        </w:tc>
      </w:tr>
      <w:tr w:rsidR="007D5DF8" w:rsidRPr="00DB5D0D" w14:paraId="02BDAE59" w14:textId="77777777" w:rsidTr="009223E5">
        <w:tc>
          <w:tcPr>
            <w:tcW w:w="2448" w:type="dxa"/>
          </w:tcPr>
          <w:p w14:paraId="6B6567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 номинальной мощности</w:t>
            </w:r>
          </w:p>
        </w:tc>
        <w:tc>
          <w:tcPr>
            <w:tcW w:w="781" w:type="dxa"/>
          </w:tcPr>
          <w:p w14:paraId="2C51E0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781" w:type="dxa"/>
          </w:tcPr>
          <w:p w14:paraId="5C2F6D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2608</w:t>
            </w:r>
          </w:p>
        </w:tc>
        <w:tc>
          <w:tcPr>
            <w:tcW w:w="781" w:type="dxa"/>
          </w:tcPr>
          <w:p w14:paraId="228B42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781" w:type="dxa"/>
          </w:tcPr>
          <w:p w14:paraId="538B6E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830</w:t>
            </w:r>
          </w:p>
        </w:tc>
        <w:tc>
          <w:tcPr>
            <w:tcW w:w="781" w:type="dxa"/>
          </w:tcPr>
          <w:p w14:paraId="2708CC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909</w:t>
            </w:r>
          </w:p>
        </w:tc>
        <w:tc>
          <w:tcPr>
            <w:tcW w:w="781" w:type="dxa"/>
          </w:tcPr>
          <w:p w14:paraId="179CE8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w:t>
            </w:r>
          </w:p>
        </w:tc>
        <w:tc>
          <w:tcPr>
            <w:tcW w:w="868" w:type="dxa"/>
          </w:tcPr>
          <w:p w14:paraId="7992A8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868" w:type="dxa"/>
          </w:tcPr>
          <w:p w14:paraId="0A65FE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53:30</w:t>
            </w:r>
          </w:p>
        </w:tc>
        <w:tc>
          <w:tcPr>
            <w:tcW w:w="868" w:type="dxa"/>
          </w:tcPr>
          <w:p w14:paraId="05EA25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A669CFF" w14:textId="77777777" w:rsidTr="009223E5">
        <w:tc>
          <w:tcPr>
            <w:tcW w:w="2448" w:type="dxa"/>
          </w:tcPr>
          <w:p w14:paraId="41D637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Максимально допустимые обороты</w:t>
            </w:r>
          </w:p>
        </w:tc>
        <w:tc>
          <w:tcPr>
            <w:tcW w:w="781" w:type="dxa"/>
          </w:tcPr>
          <w:p w14:paraId="520D48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81" w:type="dxa"/>
          </w:tcPr>
          <w:p w14:paraId="62B195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781" w:type="dxa"/>
          </w:tcPr>
          <w:p w14:paraId="51B153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781" w:type="dxa"/>
          </w:tcPr>
          <w:p w14:paraId="1ADA15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830</w:t>
            </w:r>
          </w:p>
        </w:tc>
        <w:tc>
          <w:tcPr>
            <w:tcW w:w="781" w:type="dxa"/>
          </w:tcPr>
          <w:p w14:paraId="3B70E8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781" w:type="dxa"/>
          </w:tcPr>
          <w:p w14:paraId="759DA7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277</w:t>
            </w:r>
          </w:p>
        </w:tc>
        <w:tc>
          <w:tcPr>
            <w:tcW w:w="868" w:type="dxa"/>
          </w:tcPr>
          <w:p w14:paraId="3C3C2B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w:t>
            </w:r>
          </w:p>
        </w:tc>
        <w:tc>
          <w:tcPr>
            <w:tcW w:w="868" w:type="dxa"/>
          </w:tcPr>
          <w:p w14:paraId="6B60DC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868" w:type="dxa"/>
          </w:tcPr>
          <w:p w14:paraId="7DF9FC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FFAE9D9" w14:textId="77777777" w:rsidTr="009223E5">
        <w:tc>
          <w:tcPr>
            <w:tcW w:w="2448" w:type="dxa"/>
          </w:tcPr>
          <w:p w14:paraId="4DA1E6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Максимально допустимые обороты</w:t>
            </w:r>
          </w:p>
        </w:tc>
        <w:tc>
          <w:tcPr>
            <w:tcW w:w="781" w:type="dxa"/>
          </w:tcPr>
          <w:p w14:paraId="57121D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781" w:type="dxa"/>
          </w:tcPr>
          <w:p w14:paraId="6D081D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781" w:type="dxa"/>
          </w:tcPr>
          <w:p w14:paraId="6B5915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683</w:t>
            </w:r>
          </w:p>
        </w:tc>
        <w:tc>
          <w:tcPr>
            <w:tcW w:w="781" w:type="dxa"/>
          </w:tcPr>
          <w:p w14:paraId="5397B3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676</w:t>
            </w:r>
          </w:p>
        </w:tc>
        <w:tc>
          <w:tcPr>
            <w:tcW w:w="781" w:type="dxa"/>
          </w:tcPr>
          <w:p w14:paraId="7DC31C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781" w:type="dxa"/>
          </w:tcPr>
          <w:p w14:paraId="413773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w:t>
            </w:r>
          </w:p>
        </w:tc>
        <w:tc>
          <w:tcPr>
            <w:tcW w:w="868" w:type="dxa"/>
          </w:tcPr>
          <w:p w14:paraId="075008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868" w:type="dxa"/>
          </w:tcPr>
          <w:p w14:paraId="2466C0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868" w:type="dxa"/>
          </w:tcPr>
          <w:p w14:paraId="14F116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CF593BB" w14:textId="77777777" w:rsidTr="009223E5">
        <w:tc>
          <w:tcPr>
            <w:tcW w:w="2448" w:type="dxa"/>
            <w:tcBorders>
              <w:bottom w:val="single" w:sz="12" w:space="0" w:color="auto"/>
            </w:tcBorders>
          </w:tcPr>
          <w:p w14:paraId="57EA26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781" w:type="dxa"/>
            <w:tcBorders>
              <w:bottom w:val="single" w:sz="12" w:space="0" w:color="auto"/>
            </w:tcBorders>
          </w:tcPr>
          <w:p w14:paraId="4CDCF2B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81" w:type="dxa"/>
            <w:tcBorders>
              <w:bottom w:val="single" w:sz="12" w:space="0" w:color="auto"/>
            </w:tcBorders>
          </w:tcPr>
          <w:p w14:paraId="5357DF9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81" w:type="dxa"/>
            <w:tcBorders>
              <w:bottom w:val="single" w:sz="12" w:space="0" w:color="auto"/>
            </w:tcBorders>
          </w:tcPr>
          <w:p w14:paraId="6D2AB6B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81" w:type="dxa"/>
            <w:tcBorders>
              <w:bottom w:val="single" w:sz="12" w:space="0" w:color="auto"/>
            </w:tcBorders>
          </w:tcPr>
          <w:p w14:paraId="1AB18B0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81" w:type="dxa"/>
            <w:tcBorders>
              <w:bottom w:val="single" w:sz="12" w:space="0" w:color="auto"/>
            </w:tcBorders>
          </w:tcPr>
          <w:p w14:paraId="282ED2D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81" w:type="dxa"/>
            <w:tcBorders>
              <w:bottom w:val="single" w:sz="12" w:space="0" w:color="auto"/>
            </w:tcBorders>
          </w:tcPr>
          <w:p w14:paraId="275AAF3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68" w:type="dxa"/>
            <w:tcBorders>
              <w:bottom w:val="single" w:sz="12" w:space="0" w:color="auto"/>
            </w:tcBorders>
          </w:tcPr>
          <w:p w14:paraId="5D016EA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68" w:type="dxa"/>
            <w:tcBorders>
              <w:bottom w:val="single" w:sz="12" w:space="0" w:color="auto"/>
            </w:tcBorders>
          </w:tcPr>
          <w:p w14:paraId="1AFFF9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868" w:type="dxa"/>
            <w:tcBorders>
              <w:bottom w:val="single" w:sz="12" w:space="0" w:color="auto"/>
            </w:tcBorders>
          </w:tcPr>
          <w:p w14:paraId="6922F3F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743160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вышеприведенной таблицы видно, что основные данные мотора соответствуют ТТД, согласно плана опытного строительства за исключением расхода топлива, которое превышает:</w:t>
      </w:r>
    </w:p>
    <w:p w14:paraId="25577E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режиме 0,9 номинальной мощности 1-й скорости нагнетателя на 10 гр/лсч (260 вместо 250)</w:t>
      </w:r>
    </w:p>
    <w:p w14:paraId="28AD4A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режиме 0,9 номинальной мощности 2-й скорости нагнетателя на 5 гр/лсч (285 вместо 280)</w:t>
      </w:r>
    </w:p>
    <w:p w14:paraId="1B0DFD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 М-105 с клапанами выхлопа из стали ЭИ-107 с вварным и полностью стеллитированным донышком, надежно работает без явления факельного выхлопа в течение 100 час. на топливе 3,5 Б-78 (октановое число 94-95) с зачисткой от нагара клапанов выхлопа через 50 часов режимной работы.</w:t>
      </w:r>
    </w:p>
    <w:p w14:paraId="02BE90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Предложенное заводолм № 36 топливо Б-78 + 1,2 см3 этиловой жидкости с содержанием 45% бром-этилена (вместо нормального 34%) при длительных испытаниях моторов М-105 №№ К-102 и 015-31 не показало особых преимуществ с точки зрения явления факельного выхлопа по сравнению с испытанием моторов №№ К-104 и 05-57, проходивших испытание на топливе 3,5 Б-78 с нормальным содержанием бром-этилена.</w:t>
      </w:r>
    </w:p>
    <w:p w14:paraId="63AB77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Длительное 100-часовое испытание мотора М-105 №№ К-105 и К-102 на топливе Б-78 + 4,2 см3 этиловой жидкости с содержданием 45% бромэтилена, показало большую выработку седел клапанов выхлопа из стали ЭХ-104, доходившую до 2,3 мм и их коробление.</w:t>
      </w:r>
    </w:p>
    <w:p w14:paraId="4414A1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Удовлетворительная работа мотора М-105 на топливе Б-78 + 4,2 см3 этиловой жидкости с содержанием 45% бром-этилена возможна на стеллитированных седлах из стали У-4, что было подтверждено длительным 38 часовым испытанием мотора М-105 № 015-21, показавшем выработку седел клапанов, не превышающую 0,95 мм</w:t>
      </w:r>
    </w:p>
    <w:p w14:paraId="667CE7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Минеральное масло СС обеспечивает нормальную работу мотора М-105.</w:t>
      </w:r>
    </w:p>
    <w:p w14:paraId="60BAD2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Основным дефектом, выявленным при испытании мотора М-105, является выбрасывание масла из суфлера, как результат не вполне отработанной откачивающей масляной системы (мала производительность откачивающей маслопомпы и недостаточное сечение маслопроводов).</w:t>
      </w:r>
    </w:p>
    <w:p w14:paraId="7A255F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На моторе М-105 установлены карбюраторы К-105, не соответствующие ТТТ на 1939 г. т.к. не имеют автомата высотного корректора.</w:t>
      </w:r>
    </w:p>
    <w:p w14:paraId="06BA70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Существующие карбюраторы К-105 обеспечивают нормальную работу мотора М-105 на всех режимах, за исключением недостаточной устойчивости работы по дроссельной характеристике на оборотах от п=2300 до п=2150.</w:t>
      </w:r>
    </w:p>
    <w:p w14:paraId="398233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карбюраторы К-105 имеют следующие дефекты:</w:t>
      </w:r>
    </w:p>
    <w:p w14:paraId="52FEC9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переливание топлива в воздушные трубопроводы при переходе мотора на малый газ и при остановке мотора</w:t>
      </w:r>
    </w:p>
    <w:p w14:paraId="138D09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течи топлива по осям дроссельных заслонок</w:t>
      </w:r>
    </w:p>
    <w:p w14:paraId="24B38C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течи топлива по разъему фланцев карбюратора с блоками</w:t>
      </w:r>
    </w:p>
    <w:p w14:paraId="170F0E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Магнето типа БСМ-12 надежно работает на моторе М-105 в течение 100 часов</w:t>
      </w:r>
    </w:p>
    <w:p w14:paraId="37A2B2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Пепепад оборотов мотора на одном магнето на режиме 0,9 номинала составляет 100-120 оборотов</w:t>
      </w:r>
    </w:p>
    <w:p w14:paraId="779A24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Свечи типа СВ-08 производства завода АТЭ надежно работают на моторе М-105 в течение 100 час., с осмотром их через 50 часов режимной работы</w:t>
      </w:r>
    </w:p>
    <w:p w14:paraId="6F7D70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После 50 часов режимной работы мотора на отдельных цилиндрах происходит нарушение зазоров в сторону их уменьшения между тарелочками клапанов и тыльной частью кулачков распредвалов.</w:t>
      </w:r>
    </w:p>
    <w:p w14:paraId="3A40FB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Указанное явление требует после 50 часов режимной работы мотора произвести проверку зазоров и восстановление их до нормальных.</w:t>
      </w:r>
    </w:p>
    <w:p w14:paraId="6A0296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На моторе М-105 установлен воздушный самопуск, не соответствующий ТТТ (АК-40 вместо АК-50), а также отсутствовали привода синхронизатора </w:t>
      </w:r>
    </w:p>
    <w:p w14:paraId="005D10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Основными дефектами иотора М-105 № 015-57 после 100 часов работы являются:</w:t>
      </w:r>
    </w:p>
    <w:p w14:paraId="0D49EC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выгорание сталлита на рабочих фасках у 6-ти клапанов выхлопа как результат несовершенства технологии наварки и метода контроля...</w:t>
      </w:r>
    </w:p>
    <w:p w14:paraId="67F712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Остальные детали мотора М-105 № 015-57 в удовлетворительном состоянии</w:t>
      </w:r>
    </w:p>
    <w:p w14:paraId="0C852D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Износы и зазоры основных деталей мотора М-105 после 100 часового госиспытания находятся в пределах допустимой норма (10395).</w:t>
      </w:r>
    </w:p>
    <w:p w14:paraId="6C2B06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было отпечатано ЗАКЛЮЧЕНИЕ</w:t>
      </w:r>
    </w:p>
    <w:p w14:paraId="499EBC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проведенного государственного испытания мотора М-105 производства завода № 26, Комиссия считает:</w:t>
      </w:r>
    </w:p>
    <w:p w14:paraId="69BCE6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Предъявленный мотор М-105 № 015-57, 100 часовое государственное испытания прошел удовлетворительно.</w:t>
      </w:r>
    </w:p>
    <w:p w14:paraId="0EDBE0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Запустить мотор М-105 в серийное производство по типу мотора № 015-57 со сроком службы до первой переборки в 100 часов с зачисткой от нагара клапанов выхлопа через 50 часов</w:t>
      </w:r>
    </w:p>
    <w:p w14:paraId="244C07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Заводу № 26 отработать масляную систему мотора М-105 в части обеспечения нормального давления масла, не ниже 4 кг на высоте 9000 м и полного отсутствия при этом выбрасывания масла из суфлера, обеспечив выпуск моторов М-105 с отработанной системой с 1 июня 1940.</w:t>
      </w:r>
    </w:p>
    <w:p w14:paraId="13CC14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Заводу № 26 совместно с заводом № 33:</w:t>
      </w:r>
    </w:p>
    <w:p w14:paraId="172856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устранить дефекты карбюратора К-105Ю отмеченные в выводах данного отчета к 30 мая 1940</w:t>
      </w:r>
    </w:p>
    <w:p w14:paraId="019070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отработать на моторе М-105 карбюратор с автоматом высотного корректора, обеспечив выпуск моторов с данным карбюратором к 1 мая 1940</w:t>
      </w:r>
    </w:p>
    <w:p w14:paraId="1D423E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завод № 26 проверить длительными 100-часовыми испытаниями возможность работы мотора М-105 на нормальном топливе (3,5 Б-78) без зачистки от нагара клапанов в течение 100 часов к 1 июня 1940</w:t>
      </w:r>
    </w:p>
    <w:p w14:paraId="117042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Для мотора М-105 применять в эксплоатации топливо 3,5 Б-78 октановое число 94-95 и масло марки СС илиМДС (10395).</w:t>
      </w:r>
    </w:p>
    <w:p w14:paraId="1AB3E96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0ED0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23 мая 1940 г. М-105П официально приняли на вооружение и запустили в малую серию. Массовое производство начато после за</w:t>
      </w:r>
      <w:r w:rsidRPr="00DB5D0D">
        <w:rPr>
          <w:rFonts w:ascii="Times New Roman" w:hAnsi="Times New Roman"/>
          <w:color w:val="000000" w:themeColor="text1"/>
          <w:sz w:val="16"/>
          <w:szCs w:val="16"/>
        </w:rPr>
        <w:softHyphen/>
        <w:t>вершения госиспытаний в сентябре 1940 г. Мощность 1050/1100 л.с., вес 608 кг. На этом двигателе монтировались пушки ШВАК (20 мм) ВЯ-23 (23 мм), Н-37 (37 мм) (11852).</w:t>
      </w:r>
    </w:p>
    <w:p w14:paraId="6A5915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69C13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 М-105, который из-за повторяющихся крупных дефектов (трещины в блоках, факельный выхлоп и др.) мотор четыре раза снимался со 100-часовых государственных испытаний на станке и только 3 января 1940 г., наконец прошел их, был официально принят на вооружение. Первый пушечный вариант мотора М-105П, который по плану должен был появиться во втором квартале 1939 года, собрали в августе. В октябре мотор прошел заводские испытания. Серийно М-Ю5П начали собирать на заводе № 26 только во второй половине декабря, а первые моторы вышли из сборки 23 декабря I939 года. Положение с моторами было настолько серьезным, что иногда требовалось вмешательство на самом высоком уровне. Известна записка И.В. Сталина В.Я. Климову об ускорении процесса высылки двух моторов М-Ю5П для ОКБ Яковлева. Таким образом, на опытный экземпляр нового истребителя вынужденно устанавливался мотор не только меньшей, чем было запланировано заданием мощности и высотности, но и не вполне доведенный (12048).</w:t>
      </w:r>
    </w:p>
    <w:p w14:paraId="5CB3958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7B25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постановлением КО N 217сс "О приобретении образцов авиамоторов" НКВД Л.П.Б. поручили приобрести для НКАП 2 мотора Пратт-Уитней 1200 нр за 41000 долл. (1295,144).</w:t>
      </w:r>
    </w:p>
    <w:p w14:paraId="3F5E06B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8CB1A7"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23 мая 1940 вышло Постановление Комитета обороны при СНК СССР № 217сс "О приобретении образцов авиамоторов" (21910). Прат-Уитней 1200 л.с. по линии НКВД за $41000</w:t>
      </w:r>
    </w:p>
    <w:p w14:paraId="6987FCBA" w14:textId="77777777" w:rsidR="002650F5" w:rsidRPr="00DB5D0D" w:rsidRDefault="002650F5" w:rsidP="00DB5D0D">
      <w:pPr>
        <w:spacing w:after="0" w:line="240" w:lineRule="auto"/>
        <w:jc w:val="both"/>
        <w:rPr>
          <w:rFonts w:ascii="Times New Roman" w:hAnsi="Times New Roman"/>
          <w:color w:val="0070C0"/>
          <w:sz w:val="16"/>
          <w:szCs w:val="16"/>
        </w:rPr>
      </w:pPr>
    </w:p>
    <w:p w14:paraId="15358E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 вышло постановление № 220сс КО Об окраске самолетов</w:t>
      </w:r>
    </w:p>
    <w:p w14:paraId="42AE58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3578FF4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Отменить действующую окраску самолетов (красный, стальной, белый, серый и др.) как демаскирующую.</w:t>
      </w:r>
    </w:p>
    <w:p w14:paraId="7DE60D3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и НКО ввести с 25 мая следующую окраску самолетов: сверху – зеленоватый цвет (под цвет травы), снизу – бледно-голубоватый (под цвет облаков) (7595, 84).</w:t>
      </w:r>
    </w:p>
    <w:p w14:paraId="7D963A0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073CA4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вышло постановление КО N 220сс "Об окраске самолетов", которое нашло развитие в приказе НКАП N 228 от 23 мая (401,41).</w:t>
      </w:r>
    </w:p>
    <w:p w14:paraId="3C7E2A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2586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вышел приказ НКАП N 228 в исполнение постановления правительства "Об окраске самолетов" (401,41) от 23 мая 1940:</w:t>
      </w:r>
    </w:p>
    <w:p w14:paraId="6D982C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Начальнику Первого Главного Управления тов. А.Д.Шиц и директорам самолетных заводов с 25 мая отменить существующую окраску самолетов (красный, стальной, белый, серый и др.) как демаскирующую и перейти на нижеследующие цвета покрытий:</w:t>
      </w:r>
    </w:p>
    <w:p w14:paraId="01E897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верхняя поверхность крыльев и оперений, нижняя и боковые поверхности фюзеляжей - зеленоватый цвет (под цвет травы).</w:t>
      </w:r>
    </w:p>
    <w:p w14:paraId="530DFF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нижняя поверхность крыльев, оперений и фюзеляжа - бледно-голубоватый цвет (под цвет облаков).</w:t>
      </w:r>
    </w:p>
    <w:p w14:paraId="5B1E7F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Вся продукция окрашенная на 25 мая по существующим расцветкам в самолетах и агрегатах перекраске не подлежит".</w:t>
      </w:r>
    </w:p>
    <w:p w14:paraId="3C1718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отдаленных заводах NN 153, 125, 126, 99 и 83 переход на новые расцветки осуществить с 10 июня 1940 года..." (401,41).</w:t>
      </w:r>
    </w:p>
    <w:p w14:paraId="5D1C71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Нач. ПГУ Шиц:</w:t>
      </w:r>
    </w:p>
    <w:p w14:paraId="27431A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 позднее 24 мая с.г. согласовать с ГУАС КА эталоны новых расцветок, которые к указанному сроку будут представлены заводами Главкраска.</w:t>
      </w:r>
    </w:p>
    <w:p w14:paraId="5454C4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 25 мая с.г. представить Главкраске заявки на лакокрасочную продукцию новых расцветок.</w:t>
      </w:r>
    </w:p>
    <w:p w14:paraId="5311BB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приступить к приемке лакокрасок новых расцветок на заводах-поставщиках по действующим ТУ на соответствующие виды продукции прежних расцветок, руководствуясь согласованными с ГУАС КА эталонами новых расцветок.</w:t>
      </w:r>
    </w:p>
    <w:p w14:paraId="6A5181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Установить изготовление красок новых расцветок на глифталевой основе.</w:t>
      </w:r>
    </w:p>
    <w:p w14:paraId="53F11A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Нач. ВИАМ в 5 дневный срок уточнить ТУ на поставку и приемку покрытий указанных расцветок.</w:t>
      </w:r>
    </w:p>
    <w:p w14:paraId="639F6C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(зачеркнуто) Настоящий приказ на опытные, УТ и гражданские самолеты не распространяется." (1295,178).</w:t>
      </w:r>
    </w:p>
    <w:p w14:paraId="760395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совсем ясно: если это вычеркнуто, то распространяется изменение схемы окраски на эти самолеты или само собой разумеется, что нет? (2771,18).</w:t>
      </w:r>
    </w:p>
    <w:p w14:paraId="029346A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0A3E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вышло постановление КО N 220сс:</w:t>
      </w:r>
    </w:p>
    <w:p w14:paraId="0F1CBD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окраске самолетов"</w:t>
      </w:r>
    </w:p>
    <w:p w14:paraId="5CAA38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094DA244" w14:textId="4A314A68"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Отменить существующую окраску самолетов (красный, стальной, белый, сер</w:t>
      </w:r>
      <w:r w:rsidR="00685C96" w:rsidRPr="00DB5D0D">
        <w:rPr>
          <w:rFonts w:ascii="Times New Roman" w:hAnsi="Times New Roman"/>
          <w:color w:val="000000" w:themeColor="text1"/>
          <w:sz w:val="16"/>
          <w:szCs w:val="16"/>
        </w:rPr>
        <w:t>ы</w:t>
      </w:r>
      <w:r w:rsidRPr="00DB5D0D">
        <w:rPr>
          <w:rFonts w:ascii="Times New Roman" w:hAnsi="Times New Roman"/>
          <w:color w:val="000000" w:themeColor="text1"/>
          <w:sz w:val="16"/>
          <w:szCs w:val="16"/>
        </w:rPr>
        <w:t>й и др.) как демаскирующую.</w:t>
      </w:r>
    </w:p>
    <w:p w14:paraId="0256B484" w14:textId="31755659"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Обязать НКАП и НКО ввести с 25 мая следующую окраску самолетов: сверху - зеленоватый цвет </w:t>
      </w:r>
      <w:r w:rsidR="002650F5"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rPr>
        <w:t>под цвет травы), снизу - бледно-голубоватый (под цвет облаков)." (1295).</w:t>
      </w:r>
    </w:p>
    <w:p w14:paraId="5357ED1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DD2B78" w14:textId="77777777" w:rsidR="00685C96" w:rsidRPr="00DB5D0D" w:rsidRDefault="00685C9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Согласно принятому 23.05.1940 года поста</w:t>
      </w:r>
      <w:r w:rsidRPr="00DB5D0D">
        <w:rPr>
          <w:rFonts w:ascii="Times New Roman" w:hAnsi="Times New Roman"/>
          <w:color w:val="0070C0"/>
          <w:sz w:val="16"/>
          <w:szCs w:val="16"/>
        </w:rPr>
        <w:softHyphen/>
        <w:t>новлению комитета обороны СССР №220сс и</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приказу НКАП №228с от того же числа, самоле</w:t>
      </w:r>
      <w:r w:rsidRPr="00DB5D0D">
        <w:rPr>
          <w:rFonts w:ascii="Times New Roman" w:hAnsi="Times New Roman"/>
          <w:color w:val="0070C0"/>
          <w:sz w:val="16"/>
          <w:szCs w:val="16"/>
        </w:rPr>
        <w:softHyphen/>
        <w:t>ты ВВС КА, выпускаемые с 25 мая 1940 года,</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надлежало окрашивать двумя цветами: верх -</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зеленым (масляными эмалями А-19ф и нитро</w:t>
      </w:r>
      <w:r w:rsidRPr="00DB5D0D">
        <w:rPr>
          <w:rFonts w:ascii="Times New Roman" w:hAnsi="Times New Roman"/>
          <w:color w:val="0070C0"/>
          <w:sz w:val="16"/>
          <w:szCs w:val="16"/>
        </w:rPr>
        <w:softHyphen/>
        <w:t xml:space="preserve">лаком </w:t>
      </w:r>
      <w:r w:rsidRPr="00DB5D0D">
        <w:rPr>
          <w:rFonts w:ascii="Times New Roman" w:hAnsi="Times New Roman"/>
          <w:color w:val="0070C0"/>
          <w:sz w:val="16"/>
          <w:szCs w:val="16"/>
          <w:lang w:val="en-US"/>
        </w:rPr>
        <w:t>AII</w:t>
      </w:r>
      <w:r w:rsidRPr="00DB5D0D">
        <w:rPr>
          <w:rFonts w:ascii="Times New Roman" w:hAnsi="Times New Roman"/>
          <w:color w:val="0070C0"/>
          <w:sz w:val="16"/>
          <w:szCs w:val="16"/>
        </w:rPr>
        <w:t>), низ - голубым (масляными эмаля</w:t>
      </w:r>
      <w:r w:rsidRPr="00DB5D0D">
        <w:rPr>
          <w:rFonts w:ascii="Times New Roman" w:hAnsi="Times New Roman"/>
          <w:color w:val="0070C0"/>
          <w:sz w:val="16"/>
          <w:szCs w:val="16"/>
        </w:rPr>
        <w:softHyphen/>
        <w:t xml:space="preserve">ми А-18ф и нитролаком </w:t>
      </w:r>
      <w:r w:rsidRPr="00DB5D0D">
        <w:rPr>
          <w:rFonts w:ascii="Times New Roman" w:hAnsi="Times New Roman"/>
          <w:color w:val="0070C0"/>
          <w:sz w:val="16"/>
          <w:szCs w:val="16"/>
          <w:lang w:val="en-US"/>
        </w:rPr>
        <w:t>AII</w:t>
      </w:r>
      <w:r w:rsidRPr="00DB5D0D">
        <w:rPr>
          <w:rFonts w:ascii="Times New Roman" w:hAnsi="Times New Roman"/>
          <w:color w:val="0070C0"/>
          <w:sz w:val="16"/>
          <w:szCs w:val="16"/>
        </w:rPr>
        <w:t>), окраски в другие</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цвета запрещались (подробнее см. в «М-</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Хобби» 7/2018). Опознавательные знаки оста</w:t>
      </w:r>
      <w:r w:rsidRPr="00DB5D0D">
        <w:rPr>
          <w:rFonts w:ascii="Times New Roman" w:hAnsi="Times New Roman"/>
          <w:color w:val="0070C0"/>
          <w:sz w:val="16"/>
          <w:szCs w:val="16"/>
        </w:rPr>
        <w:softHyphen/>
        <w:t>вались, как и ранее, в шести позициях. Посту</w:t>
      </w:r>
      <w:r w:rsidRPr="00DB5D0D">
        <w:rPr>
          <w:rFonts w:ascii="Times New Roman" w:hAnsi="Times New Roman"/>
          <w:color w:val="0070C0"/>
          <w:sz w:val="16"/>
          <w:szCs w:val="16"/>
        </w:rPr>
        <w:softHyphen/>
        <w:t>павшие летом-осенью 1940 года в части округа</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новые самолеты ДБ-3ф, СБ и И-153 окрашива</w:t>
      </w:r>
      <w:r w:rsidRPr="00DB5D0D">
        <w:rPr>
          <w:rFonts w:ascii="Times New Roman" w:hAnsi="Times New Roman"/>
          <w:color w:val="0070C0"/>
          <w:sz w:val="16"/>
          <w:szCs w:val="16"/>
        </w:rPr>
        <w:softHyphen/>
        <w:t>лись уже по новой схеме, кроме того, и часть</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капитально отремонтированных И-153, ДБ-3 и</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СБ также получали подобную окраску. Тем не</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менее, вплоть до 22 июня 1941 года большая</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часть боевых машин выпуска до мая 1940 года</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щеголяла в серебристо-серых окрасках.</w:t>
      </w:r>
    </w:p>
    <w:p w14:paraId="74D96512" w14:textId="74727561" w:rsidR="00685C96" w:rsidRPr="00DB5D0D" w:rsidRDefault="00685C96"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Общая система тактических обозначений</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самолетов ВВС КА к концу тридцатых годов</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отсутствовала, однако анализ фотоматериа</w:t>
      </w:r>
      <w:r w:rsidRPr="00DB5D0D">
        <w:rPr>
          <w:rFonts w:ascii="Times New Roman" w:hAnsi="Times New Roman"/>
          <w:color w:val="0070C0"/>
          <w:sz w:val="16"/>
          <w:szCs w:val="16"/>
        </w:rPr>
        <w:softHyphen/>
        <w:t>ла позволяет однозначно определить, что</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большинство частей ВВС округа использова</w:t>
      </w:r>
      <w:r w:rsidRPr="00DB5D0D">
        <w:rPr>
          <w:rFonts w:ascii="Times New Roman" w:hAnsi="Times New Roman"/>
          <w:color w:val="0070C0"/>
          <w:sz w:val="16"/>
          <w:szCs w:val="16"/>
        </w:rPr>
        <w:softHyphen/>
        <w:t>ло так называемую «цветовую» систему обо</w:t>
      </w:r>
      <w:r w:rsidRPr="00DB5D0D">
        <w:rPr>
          <w:rFonts w:ascii="Times New Roman" w:hAnsi="Times New Roman"/>
          <w:color w:val="0070C0"/>
          <w:sz w:val="16"/>
          <w:szCs w:val="16"/>
        </w:rPr>
        <w:softHyphen/>
        <w:t>значений - по такой системе были обозначены все</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бомбардировочные полки и часть истреби</w:t>
      </w:r>
      <w:r w:rsidRPr="00DB5D0D">
        <w:rPr>
          <w:rFonts w:ascii="Times New Roman" w:hAnsi="Times New Roman"/>
          <w:color w:val="0070C0"/>
          <w:sz w:val="16"/>
          <w:szCs w:val="16"/>
        </w:rPr>
        <w:softHyphen/>
        <w:t>тельных. Напомним, что в этой системе нуме</w:t>
      </w:r>
      <w:r w:rsidRPr="00DB5D0D">
        <w:rPr>
          <w:rFonts w:ascii="Times New Roman" w:hAnsi="Times New Roman"/>
          <w:color w:val="0070C0"/>
          <w:sz w:val="16"/>
          <w:szCs w:val="16"/>
        </w:rPr>
        <w:softHyphen/>
        <w:t>рация самолетов в полку была организована</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следующим образом: каждая эскадрилья</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имела цветные номера от 1 до 15 арабскими</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цифрами. При этом наибольшее количество</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полков определяли эскадрильи следующими</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цветами: 1-я - красный; 2-я - синий или</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голубой; 3-я - желтый; 4-я - белый; 5-я -</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черный или зеленый.</w:t>
      </w:r>
    </w:p>
    <w:p w14:paraId="53075282" w14:textId="77777777" w:rsidR="00685C96" w:rsidRPr="00DB5D0D" w:rsidRDefault="00685C9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Вторая система, назовем ее условно</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«числовая», использовалась также довольно</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широко. Номера, а как правило это были дву</w:t>
      </w:r>
      <w:r w:rsidRPr="00DB5D0D">
        <w:rPr>
          <w:rFonts w:ascii="Times New Roman" w:hAnsi="Times New Roman"/>
          <w:color w:val="0070C0"/>
          <w:sz w:val="16"/>
          <w:szCs w:val="16"/>
        </w:rPr>
        <w:softHyphen/>
        <w:t>значные числа, также рисовали на руле</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направления самолета, при этом каждая</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эскадрилья получала свой диапазон номе</w:t>
      </w:r>
      <w:r w:rsidRPr="00DB5D0D">
        <w:rPr>
          <w:rFonts w:ascii="Times New Roman" w:hAnsi="Times New Roman"/>
          <w:color w:val="0070C0"/>
          <w:sz w:val="16"/>
          <w:szCs w:val="16"/>
        </w:rPr>
        <w:softHyphen/>
        <w:t>ров, как правило: 1-я - 1-20; 2-я - 21-40; 3-я</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- 41-60; 4-я - 61-80.</w:t>
      </w:r>
    </w:p>
    <w:p w14:paraId="5AF51F84" w14:textId="77777777" w:rsidR="00685C96" w:rsidRPr="00DB5D0D" w:rsidRDefault="00685C9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Некоторые части, к примеру, 4-я эскад</w:t>
      </w:r>
      <w:r w:rsidRPr="00DB5D0D">
        <w:rPr>
          <w:rFonts w:ascii="Times New Roman" w:hAnsi="Times New Roman"/>
          <w:color w:val="0070C0"/>
          <w:sz w:val="16"/>
          <w:szCs w:val="16"/>
        </w:rPr>
        <w:softHyphen/>
        <w:t>рилья 68-го ИАП и 84-й ИАП, вероятно, исполь</w:t>
      </w:r>
      <w:r w:rsidRPr="00DB5D0D">
        <w:rPr>
          <w:rFonts w:ascii="Times New Roman" w:hAnsi="Times New Roman"/>
          <w:color w:val="0070C0"/>
          <w:sz w:val="16"/>
          <w:szCs w:val="16"/>
        </w:rPr>
        <w:softHyphen/>
        <w:t>зовали подсистему «числовой системы», когда</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тактические номера назначали по последним</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цифрам заводского номера самолета. Напри</w:t>
      </w:r>
      <w:r w:rsidRPr="00DB5D0D">
        <w:rPr>
          <w:rFonts w:ascii="Times New Roman" w:hAnsi="Times New Roman"/>
          <w:color w:val="0070C0"/>
          <w:sz w:val="16"/>
          <w:szCs w:val="16"/>
        </w:rPr>
        <w:softHyphen/>
        <w:t>мер, самолеты с заводскими номерами 7137 и</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6963 получали тактические номера 37 и 63.</w:t>
      </w:r>
    </w:p>
    <w:p w14:paraId="08C6E013" w14:textId="77777777" w:rsidR="00685C96" w:rsidRPr="00DB5D0D" w:rsidRDefault="00685C96"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Еще одним ответвлением «числовой»</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системы была трехзначная система, первона</w:t>
      </w:r>
      <w:r w:rsidRPr="00DB5D0D">
        <w:rPr>
          <w:rFonts w:ascii="Times New Roman" w:hAnsi="Times New Roman"/>
          <w:color w:val="0070C0"/>
          <w:sz w:val="16"/>
          <w:szCs w:val="16"/>
        </w:rPr>
        <w:softHyphen/>
        <w:t>чально появившаяся в частях 54-й авиабри</w:t>
      </w:r>
      <w:r w:rsidRPr="00DB5D0D">
        <w:rPr>
          <w:rFonts w:ascii="Times New Roman" w:hAnsi="Times New Roman"/>
          <w:color w:val="0070C0"/>
          <w:sz w:val="16"/>
          <w:szCs w:val="16"/>
        </w:rPr>
        <w:softHyphen/>
        <w:t>гады ПВО Ленинграда (19-й и 26-й ИАП) в</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1939 году. Становление этой подсистемы, с</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очень большой долей вероятности, было свя</w:t>
      </w:r>
      <w:r w:rsidRPr="00DB5D0D">
        <w:rPr>
          <w:rFonts w:ascii="Times New Roman" w:hAnsi="Times New Roman"/>
          <w:color w:val="0070C0"/>
          <w:sz w:val="16"/>
          <w:szCs w:val="16"/>
        </w:rPr>
        <w:softHyphen/>
        <w:t>зано с именем командира бригады Героя</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Советского Союза А.С. Благовещенского.</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Весной 1940 года полковник Благовещен</w:t>
      </w:r>
      <w:r w:rsidRPr="00DB5D0D">
        <w:rPr>
          <w:rFonts w:ascii="Times New Roman" w:hAnsi="Times New Roman"/>
          <w:color w:val="0070C0"/>
          <w:sz w:val="16"/>
          <w:szCs w:val="16"/>
        </w:rPr>
        <w:softHyphen/>
        <w:t>ский был назначен командиром 60-й авиа</w:t>
      </w:r>
      <w:r w:rsidRPr="00DB5D0D">
        <w:rPr>
          <w:rFonts w:ascii="Times New Roman" w:hAnsi="Times New Roman"/>
          <w:color w:val="0070C0"/>
          <w:sz w:val="16"/>
          <w:szCs w:val="16"/>
        </w:rPr>
        <w:softHyphen/>
        <w:t>бригады, после чего система появилась и на</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истребителях ПВО, бороздивших небо над</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Баку. Благодаря, сохранившимся докумен</w:t>
      </w:r>
      <w:r w:rsidRPr="00DB5D0D">
        <w:rPr>
          <w:rFonts w:ascii="Times New Roman" w:hAnsi="Times New Roman"/>
          <w:color w:val="0070C0"/>
          <w:sz w:val="16"/>
          <w:szCs w:val="16"/>
        </w:rPr>
        <w:softHyphen/>
        <w:t>там, в частности, боевым расписаниям 45-го и</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82-го ИАП [15], появилась возможность вос</w:t>
      </w:r>
      <w:r w:rsidRPr="00DB5D0D">
        <w:rPr>
          <w:rFonts w:ascii="Times New Roman" w:hAnsi="Times New Roman"/>
          <w:color w:val="0070C0"/>
          <w:sz w:val="16"/>
          <w:szCs w:val="16"/>
        </w:rPr>
        <w:softHyphen/>
        <w:t>становить и эту подсистему. Распределение</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тактических номеров самолетов по эскад</w:t>
      </w:r>
      <w:r w:rsidRPr="00DB5D0D">
        <w:rPr>
          <w:rFonts w:ascii="Times New Roman" w:hAnsi="Times New Roman"/>
          <w:color w:val="0070C0"/>
          <w:sz w:val="16"/>
          <w:szCs w:val="16"/>
        </w:rPr>
        <w:softHyphen/>
        <w:t>рильям, к примеру, в 45-м ИАП, было произве</w:t>
      </w:r>
      <w:r w:rsidRPr="00DB5D0D">
        <w:rPr>
          <w:rFonts w:ascii="Times New Roman" w:hAnsi="Times New Roman"/>
          <w:color w:val="0070C0"/>
          <w:sz w:val="16"/>
          <w:szCs w:val="16"/>
        </w:rPr>
        <w:softHyphen/>
        <w:t>дено следующим образом: 1-я - тактические</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номера 401- 415; 2-я - 421- 432; 3-я - 441</w:t>
      </w:r>
      <w:r w:rsidRPr="00DB5D0D">
        <w:rPr>
          <w:rFonts w:ascii="Times New Roman" w:hAnsi="Times New Roman"/>
          <w:color w:val="0070C0"/>
          <w:sz w:val="16"/>
          <w:szCs w:val="16"/>
        </w:rPr>
        <w:softHyphen/>
        <w:t>451; 4-я - 461-472; Управление - 490-493 (18885).</w:t>
      </w:r>
    </w:p>
    <w:p w14:paraId="508EF991" w14:textId="77777777" w:rsidR="00685C96" w:rsidRPr="00DB5D0D" w:rsidRDefault="00685C96" w:rsidP="00DB5D0D">
      <w:pPr>
        <w:spacing w:after="0" w:line="240" w:lineRule="auto"/>
        <w:jc w:val="both"/>
        <w:rPr>
          <w:rFonts w:ascii="Times New Roman" w:hAnsi="Times New Roman"/>
          <w:color w:val="0070C0"/>
          <w:sz w:val="16"/>
          <w:szCs w:val="16"/>
        </w:rPr>
      </w:pPr>
    </w:p>
    <w:p w14:paraId="6F2E79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 вышло постановление Комитета Обороны и приказ НКАП № 228с, основное содержание которых сводилось к тому. что с 25 мая вводилась покраска самолетов сверху в зеленый цвет, снизу - в голубой. Именно так окрашивалось большинство советских самолетов к началу войны. Кроме того, в строю находились машины более раннего выпуска, покрытые целиком светло-серой или серебристой краской (11989).</w:t>
      </w:r>
    </w:p>
    <w:p w14:paraId="64E88F5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D006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 Комитет Обороны издал постановление о переходе всех типов военных самолетов на окраску в новый вариант зелено-голубой схемы. Было предписано красить верхние и боковые поверхности в "зеленоватый цвет (под цвет травы)", а нижние - в "бледно-голубоватый (под цвет облаков)". 9 июня того же года Главное управление ВВС создало комиссию по выработке эталонов окраски. Крупнопятнистый же камуфляж, использовавший черные и зеленые пятна, ввели в ВВС только летом 1941 г. (11987).</w:t>
      </w:r>
    </w:p>
    <w:p w14:paraId="6F86D2D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5328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вышло постановление КО N 221 "О мероприятиях по Черноморскому флоту"</w:t>
      </w:r>
    </w:p>
    <w:p w14:paraId="6B52BC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НКАП к 1 июля 1940 сдать НКВМФ в счет плана 2 кв. 1940, утвержденного постановлением КО N 77сс от 19 февраля 48 самолетов типа ДБ-3Ф, для укомплектования материальной части ВВС ЧФ (123 мая 1940 в НИИ ВВС А.И.Филин и другие закончили испытания Ме-110 с ДБ-601А, которые начались 13 мая 1940 (718).</w:t>
      </w:r>
    </w:p>
    <w:p w14:paraId="60242E5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11D6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23 мая 1940 под утро арестовали А.И.Филина (172,136).</w:t>
      </w:r>
    </w:p>
    <w:p w14:paraId="326F4BD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BC653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083FC7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27878DC" w14:textId="77777777" w:rsidR="00F16C4F" w:rsidRPr="00DB5D0D" w:rsidRDefault="00F16C4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color w:val="000000" w:themeColor="text1"/>
          <w:sz w:val="16"/>
          <w:szCs w:val="16"/>
        </w:rPr>
        <w:t>23 мая 1940 г. Приказом НКОП и НКВ СССР ликвидирован ОПЫТНЫЙ ЗАВОД № 178 ПРИ ЛЕНИНГРАДСКОМ ВОЕННО-МЕХАНИЧЕСКОМ ИНСТИТУТЕ НАРКОМАТА ОБОРОННОЙ ПРОМЫШЛЕННОСТИ СССР, который был образован приказом НКОП СССР от 4 января 1934 г. при Ленинградском военно-механическом институте НКОП СССР (17404).</w:t>
      </w:r>
    </w:p>
    <w:p w14:paraId="02C1426D" w14:textId="77777777" w:rsidR="00F16C4F" w:rsidRPr="00DB5D0D" w:rsidRDefault="00F16C4F" w:rsidP="00DB5D0D">
      <w:pPr>
        <w:spacing w:after="0" w:line="240" w:lineRule="auto"/>
        <w:jc w:val="both"/>
        <w:rPr>
          <w:rFonts w:ascii="Times New Roman" w:hAnsi="Times New Roman"/>
          <w:iCs/>
          <w:color w:val="000000" w:themeColor="text1"/>
          <w:sz w:val="16"/>
          <w:szCs w:val="16"/>
        </w:rPr>
      </w:pPr>
    </w:p>
    <w:p w14:paraId="4B1E13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 решением Политбюро ЦКВКП(б) №П16/183-ОП В было утверждено Постановление СНК СССР и ЦКВКП(б) «О производстве высокооктанового топлива и авиамасел» (Полное название, фигурирующее в Приложении к п.183. Протокола Политбюро ЦКВКП(б) №16 — «Постановление Экономсовета при СНК СССР по отчёту Наркомнефти о выполнении постановления Комитета обороны №304 о производстве высокооктанового топлива и авиамасел в 1939году».), в котором сообщалось о невыполнении Постановления КО № 304 от 26 августа 1939 года о неудовлетворительном производстве высокооктанового топлива и авиамасел. В целом по производству авиабензинов по сравнению с 1938годом наблюдался рост с 477,5 тыс.т до 570,58 тыс.т, то есть на 5проц. Но план 1939года был не выполнен по высокооктановым авиационным бензинам Б-78 и Б-74 на 13проц., по авиабензину Б-70, КБ-70, Уфимскому и Б-59 — на 16,8проц. (РГАСПИ). Ф. 17. Оп. 162. Д. 27. Л. 136.) (11681).</w:t>
      </w:r>
    </w:p>
    <w:p w14:paraId="5BDB656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CD40F7" w14:textId="77777777" w:rsidR="00375E43" w:rsidRPr="00DB5D0D" w:rsidRDefault="00375E4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 на базе мастерских на новой промплощадке создан Государственный Союзный завод оборудования лампового хозяйства Кузнецкого угольного комбината (ЗОЛХ). При шахте "Центральная штольня" 11 апреля 1934 года была создана ремонтно-аккумуляторная мастерская (РАМ) на базе имеющейся опытной лаборатории. Первыми сотрудниками были инженер П.А.Селецкий, работник опытной лаборатории Бычихин и слесарь М.П.Тихонов. С этого момента началась история возникновения крупнейшего завода горно-шахтной автоматики. РАМ переименован в "мастерские оборудования лампового хозяйства" (МОЛХ). Появились первые технологические участки: механический, монтажный, слесарный, гальванический и прессовый. В это же время освоен выпуск первых в СССР аккумуляторных ламп и в ноябре 1935 года шахтеры получили первые 1000 штук новых светильников. В 19</w:t>
      </w:r>
      <w:r w:rsidR="00F16C4F" w:rsidRPr="00DB5D0D">
        <w:rPr>
          <w:rFonts w:ascii="Times New Roman" w:hAnsi="Times New Roman"/>
          <w:color w:val="000000" w:themeColor="text1"/>
          <w:sz w:val="16"/>
          <w:szCs w:val="16"/>
        </w:rPr>
        <w:t xml:space="preserve">57 в </w:t>
      </w:r>
      <w:r w:rsidRPr="00DB5D0D">
        <w:rPr>
          <w:rFonts w:ascii="Times New Roman" w:hAnsi="Times New Roman"/>
          <w:color w:val="000000" w:themeColor="text1"/>
          <w:sz w:val="16"/>
          <w:szCs w:val="16"/>
        </w:rPr>
        <w:t>связи с расширением ассортимента выпускаемой продукции ЗОЛХ переименован в "Электроаппарат"</w:t>
      </w:r>
      <w:r w:rsidR="00F16C4F" w:rsidRPr="00DB5D0D">
        <w:rPr>
          <w:rFonts w:ascii="Times New Roman" w:hAnsi="Times New Roman"/>
          <w:color w:val="000000" w:themeColor="text1"/>
          <w:sz w:val="16"/>
          <w:szCs w:val="16"/>
        </w:rPr>
        <w:t>. 31 мая 1966 года произошло переименование завода в "Прокопьевский завод шахтной автоматики"</w:t>
      </w:r>
      <w:r w:rsidRPr="00DB5D0D">
        <w:rPr>
          <w:rFonts w:ascii="Times New Roman" w:hAnsi="Times New Roman"/>
          <w:color w:val="000000" w:themeColor="text1"/>
          <w:sz w:val="16"/>
          <w:szCs w:val="16"/>
        </w:rPr>
        <w:t>(17403).</w:t>
      </w:r>
    </w:p>
    <w:p w14:paraId="7F41E778" w14:textId="77777777" w:rsidR="00375E43" w:rsidRPr="00DB5D0D" w:rsidRDefault="00375E43" w:rsidP="00DB5D0D">
      <w:pPr>
        <w:spacing w:after="0" w:line="240" w:lineRule="auto"/>
        <w:jc w:val="both"/>
        <w:rPr>
          <w:rFonts w:ascii="Times New Roman" w:hAnsi="Times New Roman"/>
          <w:color w:val="000000" w:themeColor="text1"/>
          <w:sz w:val="16"/>
          <w:szCs w:val="16"/>
        </w:rPr>
      </w:pPr>
    </w:p>
    <w:p w14:paraId="058339CF"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мая 1940 вышло Постановление Политбюро ЦК ВКП(б) " О производстве высокооктанового топлива и авиамасел"</w:t>
      </w:r>
    </w:p>
    <w:p w14:paraId="164D6762"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183.- О производстве высокооктанового топлива и авиамасел. (Постановление СНК СССР и ЦК ВКП/б/).</w:t>
      </w:r>
    </w:p>
    <w:p w14:paraId="3283E262"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Утвердить следующее постановление Экономсовета при СНК СССР по отчету Наркомнефти о выполнении постанов</w:t>
      </w:r>
      <w:r w:rsidRPr="00DB5D0D">
        <w:rPr>
          <w:rFonts w:ascii="Times New Roman" w:hAnsi="Times New Roman"/>
          <w:color w:val="0070C0"/>
          <w:sz w:val="16"/>
          <w:szCs w:val="16"/>
        </w:rPr>
        <w:softHyphen/>
        <w:t>ления Комитета Обороны № 304cc о производстве высокоокта</w:t>
      </w:r>
      <w:r w:rsidRPr="00DB5D0D">
        <w:rPr>
          <w:rFonts w:ascii="Times New Roman" w:hAnsi="Times New Roman"/>
          <w:color w:val="0070C0"/>
          <w:sz w:val="16"/>
          <w:szCs w:val="16"/>
        </w:rPr>
        <w:softHyphen/>
        <w:t>нового топлива и авиамасол в 1939 г.(см.приложение).</w:t>
      </w:r>
    </w:p>
    <w:p w14:paraId="0890A3E5"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Выписки посланы:</w:t>
      </w:r>
    </w:p>
    <w:p w14:paraId="2FEC36F3"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т.т.Вознесенскому «Кагановичу.Седину.</w:t>
      </w:r>
    </w:p>
    <w:p w14:paraId="1404C8F2"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Тимошенко.Шахурину,Помазневу.</w:t>
      </w:r>
    </w:p>
    <w:p w14:paraId="169D9607"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Сафонову.Землячке - все; Лоткову - 6,22;</w:t>
      </w:r>
    </w:p>
    <w:p w14:paraId="3691412B"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Звереву - 6,17: Чеботареву - 7;</w:t>
      </w:r>
    </w:p>
    <w:p w14:paraId="7D7DD20E"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Сергееву(НКЛес) - 7-в; Денисову - 8,17;</w:t>
      </w:r>
    </w:p>
    <w:p w14:paraId="5EF04F35"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Кузнецову - 10; Богатыреву - 22;</w:t>
      </w:r>
    </w:p>
    <w:p w14:paraId="441B824A" w14:textId="77777777" w:rsidR="002650F5" w:rsidRPr="00DB5D0D" w:rsidRDefault="002650F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Микояну - 23; Гинзбургу - 26,28 (21908).</w:t>
      </w:r>
    </w:p>
    <w:p w14:paraId="6E622925" w14:textId="77777777" w:rsidR="002650F5" w:rsidRPr="00DB5D0D" w:rsidRDefault="002650F5" w:rsidP="00DB5D0D">
      <w:pPr>
        <w:spacing w:after="0" w:line="240" w:lineRule="auto"/>
        <w:jc w:val="both"/>
        <w:rPr>
          <w:rFonts w:ascii="Times New Roman" w:hAnsi="Times New Roman"/>
          <w:color w:val="0070C0"/>
          <w:sz w:val="16"/>
          <w:szCs w:val="16"/>
        </w:rPr>
      </w:pPr>
    </w:p>
    <w:p w14:paraId="1E59D916" w14:textId="77777777" w:rsidR="0013421D" w:rsidRPr="00DB5D0D" w:rsidRDefault="001342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 был заключен договором между представителями Советского Союза и Германии № 58/08175, в соответствии с которым было отправлено в СССР вооружение, сделанное по следующим заказам:</w:t>
      </w:r>
    </w:p>
    <w:p w14:paraId="77E9E972" w14:textId="77777777" w:rsidR="0013421D" w:rsidRPr="00DB5D0D" w:rsidRDefault="001342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октября 1940 г. – трально-параванное оборудование;</w:t>
      </w:r>
    </w:p>
    <w:p w14:paraId="63ADAD0D" w14:textId="77777777" w:rsidR="0013421D" w:rsidRPr="00DB5D0D" w:rsidRDefault="001342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ноября 1940 г. – мины, полученные от фирмы «Сименс Шуккерт» с документацией, а также бом-бометы с документацией и бомбы от фирмы «Крупп» [Там же, л. 179, 206, 224].</w:t>
      </w:r>
    </w:p>
    <w:p w14:paraId="18D4C8A1" w14:textId="77777777" w:rsidR="0013421D" w:rsidRPr="00DB5D0D" w:rsidRDefault="001342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Вместе с тем советские специалисты дали характеристику фирмам «Дойче-Верк», «Андерсен», «Сименс Шуккерт», «Крупп», которые выполняли большую часть заказов по вооружению и находились под непосредственным контролем Военно-морского министерства Германии. В ходе переговоров о закупке вооружения, немецкое Военно-морское министерство диктовало фирмам сроки, цены и количество поставок. Все фирмы имели конструкторские бюро как по модернизации старого оружия, так и по проектированию новых образцов вооружения. Специализация фирм выражалась в следующем: Фирма «Дойче-Верк» изготавливала торпедные аппараты, торпеды и учебные зарядные отделения для торпед. Количество рабочих составляло 15000-20000 человек (по заявлению представителей). Фирма «Андерсен» производила все тралы, параваны. Число рабочих около 10000 человек (по заявлению представителей). Фирма «Сименс Шуккерт» создавала мины всех образцов, минные защиты, прожектора всех систем, приборы управления артиллерийским огнѐм (ПУАО), электромоторы, телефоны. Число рабочих около 80000 человек (по заявлению представителей). Фирмой были построены: музей мин, свой жилой городок для рабочих «Сименс Штадт». Фирма «Крупп» – одно из крупнейших объединений фирм, которая осуществляла производство по следующим номенклатурам: пушки всех типов, транспортеры, бомбометы, приборы для определения первоначальной скорости вылета снаряда, стали различных сплавов. Фирма владела судостроительной верфью в городе Киле и большим полигоном в городе Мелен [Там же, л. 133-135] (18259).</w:t>
      </w:r>
    </w:p>
    <w:p w14:paraId="36219A76" w14:textId="77777777" w:rsidR="0013421D" w:rsidRPr="00DB5D0D" w:rsidRDefault="0013421D" w:rsidP="00DB5D0D">
      <w:pPr>
        <w:spacing w:after="0" w:line="240" w:lineRule="auto"/>
        <w:jc w:val="both"/>
        <w:rPr>
          <w:rFonts w:ascii="Times New Roman" w:hAnsi="Times New Roman"/>
          <w:color w:val="000000" w:themeColor="text1"/>
          <w:sz w:val="16"/>
          <w:szCs w:val="16"/>
        </w:rPr>
      </w:pPr>
    </w:p>
    <w:p w14:paraId="422F6FC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0DF964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C9621F4"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23 мая</w:t>
      </w:r>
      <w:r w:rsidRPr="00DB5D0D">
        <w:rPr>
          <w:rFonts w:ascii="Times New Roman" w:hAnsi="Times New Roman"/>
          <w:color w:val="000000" w:themeColor="text1"/>
          <w:sz w:val="16"/>
          <w:szCs w:val="16"/>
        </w:rPr>
        <w:t xml:space="preserve"> в 1940 году Адольф Гитлер неожиданно приказал немецким войскам прекратить наступление во Франции и подтянуть тылы. Видимо, его смутила слишком уж быстро надвигавшаяся победа: как и Черчилль, он не мог и предположить, что у Франции больше нет резервов. 25 мая наступление возобновилось. Эта передышка помогла союзникам провести Дюнкеркскую эвакуацию (14900).</w:t>
      </w:r>
    </w:p>
    <w:p w14:paraId="76A14B87"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24DB7B9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23 мая 1940 танки Гудериана были в 10 км от Дюнкерка. Остановились, т.к. боялись корабельной артиллерии (2536,99). ЭтобылприказА</w:t>
      </w:r>
      <w:r w:rsidRPr="00DB5D0D">
        <w:rPr>
          <w:rFonts w:ascii="Times New Roman" w:hAnsi="Times New Roman"/>
          <w:color w:val="000000" w:themeColor="text1"/>
          <w:sz w:val="16"/>
          <w:szCs w:val="16"/>
          <w:lang w:val="en-US"/>
        </w:rPr>
        <w:t>.</w:t>
      </w:r>
      <w:r w:rsidRPr="00DB5D0D">
        <w:rPr>
          <w:rFonts w:ascii="Times New Roman" w:hAnsi="Times New Roman"/>
          <w:color w:val="000000" w:themeColor="text1"/>
          <w:sz w:val="16"/>
          <w:szCs w:val="16"/>
        </w:rPr>
        <w:t>Г</w:t>
      </w:r>
      <w:r w:rsidRPr="00DB5D0D">
        <w:rPr>
          <w:rFonts w:ascii="Times New Roman" w:hAnsi="Times New Roman"/>
          <w:color w:val="000000" w:themeColor="text1"/>
          <w:sz w:val="16"/>
          <w:szCs w:val="16"/>
          <w:lang w:val="en-US"/>
        </w:rPr>
        <w:t xml:space="preserve">. </w:t>
      </w:r>
      <w:r w:rsidRPr="00DB5D0D">
        <w:rPr>
          <w:rFonts w:ascii="Times New Roman" w:hAnsi="Times New Roman"/>
          <w:color w:val="000000" w:themeColor="text1"/>
          <w:sz w:val="16"/>
          <w:szCs w:val="16"/>
        </w:rPr>
        <w:t>инаступлениевозобновилось</w:t>
      </w:r>
      <w:r w:rsidRPr="00DB5D0D">
        <w:rPr>
          <w:rFonts w:ascii="Times New Roman" w:hAnsi="Times New Roman"/>
          <w:color w:val="000000" w:themeColor="text1"/>
          <w:sz w:val="16"/>
          <w:szCs w:val="16"/>
          <w:lang w:val="en-US"/>
        </w:rPr>
        <w:t xml:space="preserve"> 25 </w:t>
      </w:r>
      <w:r w:rsidRPr="00DB5D0D">
        <w:rPr>
          <w:rFonts w:ascii="Times New Roman" w:hAnsi="Times New Roman"/>
          <w:color w:val="000000" w:themeColor="text1"/>
          <w:sz w:val="16"/>
          <w:szCs w:val="16"/>
        </w:rPr>
        <w:t>мая</w:t>
      </w:r>
      <w:r w:rsidRPr="00DB5D0D">
        <w:rPr>
          <w:rFonts w:ascii="Times New Roman" w:hAnsi="Times New Roman"/>
          <w:color w:val="000000" w:themeColor="text1"/>
          <w:sz w:val="16"/>
          <w:szCs w:val="16"/>
          <w:lang w:val="en-US"/>
        </w:rPr>
        <w:t xml:space="preserve"> 1940 (3907,222).</w:t>
      </w:r>
    </w:p>
    <w:p w14:paraId="1321524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05F5D3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23rd, 1940: In the West, units of 6.Armee (von Reichenau) cross the Scheldt river at Oudenarde in Belgium (3819).</w:t>
      </w:r>
    </w:p>
    <w:p w14:paraId="6588E45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4FADE9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части 6А Райхенау форсировали р Шелдт у Уденарде в Бельгии (3819).</w:t>
      </w:r>
    </w:p>
    <w:p w14:paraId="5DF5FF6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53D54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в Лондоне арестовал лидер английских фашистов Э. Мосли (4962).</w:t>
      </w:r>
    </w:p>
    <w:p w14:paraId="4828F95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6F2CA42"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23 мая</w:t>
      </w:r>
      <w:r w:rsidRPr="00DB5D0D">
        <w:rPr>
          <w:rFonts w:ascii="Times New Roman" w:hAnsi="Times New Roman"/>
          <w:color w:val="000000" w:themeColor="text1"/>
          <w:sz w:val="16"/>
          <w:szCs w:val="16"/>
        </w:rPr>
        <w:t xml:space="preserve"> в 1940 году в Лондоне арестован лидер английских фашистов Э.Мосли, а также началась беспрецедентная волна арестов всех членов этой партии без предъявления им каких-либо обвинений (14900).</w:t>
      </w:r>
    </w:p>
    <w:p w14:paraId="0B463AA5"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2044784D"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23 мая</w:t>
      </w:r>
      <w:r w:rsidRPr="00DB5D0D">
        <w:rPr>
          <w:rFonts w:ascii="Times New Roman" w:hAnsi="Times New Roman"/>
          <w:color w:val="000000" w:themeColor="text1"/>
          <w:sz w:val="16"/>
          <w:szCs w:val="16"/>
        </w:rPr>
        <w:t xml:space="preserve"> в 1940 году Ф.Д.Рузвельт потребовал от всех латиноамериканских стран проведения секретных военных переговоров. В эти же дни президент по согласованию с государственным департаментом приказал послать тяжелый крейсер военно-морских сил США с визитом в Рио-де-Жанейро и Монтевидео. Демонстрация силы в Бразилии и Уругвае должна была показать местным прогерманским кругам степень решимости Вашингтона сохранить; здесь свою сферу влияния. Рузвельт размышлял над тем, чтобы направить еще более мощные силы в Латинскую Америку, но адмиралы не поддержали этой идеи. Так, адмирал Старк, начальник военно-морского штаба американского флота, настаивал на сохранении основных военно-морских сил США на Тихом океане. В итоге к берегам Латинской Америки послали дополнительно один крейсер и несколько эсминцев (14900).</w:t>
      </w:r>
    </w:p>
    <w:p w14:paraId="7DC7E9D3"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79624B45" w14:textId="77777777" w:rsidR="00B949C6" w:rsidRPr="00DB5D0D" w:rsidRDefault="00B949C6"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Группа из 26 человек во главе с художником-коммунистом Давидом Сикейросом и И. Григулевичем (советский разведчик-нелегал, в будущем член-корреспондент АН СССР) совершила нападение на резиденцию Л. Троцкого в Мехико. По спальне Троцкого было выпущено более 200 пуль, но тот чудом уцелел (4963 ).</w:t>
      </w:r>
    </w:p>
    <w:p w14:paraId="4AEE8D94" w14:textId="77777777" w:rsidR="00B949C6" w:rsidRPr="00DB5D0D" w:rsidRDefault="00B949C6" w:rsidP="00DB5D0D">
      <w:pPr>
        <w:tabs>
          <w:tab w:val="left" w:pos="11199"/>
        </w:tabs>
        <w:spacing w:after="0" w:line="240" w:lineRule="auto"/>
        <w:jc w:val="both"/>
        <w:rPr>
          <w:rFonts w:ascii="Times New Roman" w:hAnsi="Times New Roman"/>
          <w:color w:val="000000" w:themeColor="text1"/>
          <w:sz w:val="16"/>
          <w:szCs w:val="16"/>
        </w:rPr>
      </w:pPr>
    </w:p>
    <w:p w14:paraId="3CBA35D1"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EAF5E9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8CD25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24 мая 1940 г. в целях ускорения запуска новой машины в серийное производство на</w:t>
      </w:r>
      <w:r w:rsidRPr="00DB5D0D">
        <w:rPr>
          <w:rFonts w:ascii="Times New Roman" w:hAnsi="Times New Roman"/>
          <w:color w:val="000000" w:themeColor="text1"/>
          <w:sz w:val="16"/>
          <w:szCs w:val="16"/>
        </w:rPr>
        <w:softHyphen/>
        <w:t>чальник ВВС КА командарм 2-го ранга Я.В.Смушкевич обратил</w:t>
      </w:r>
      <w:r w:rsidRPr="00DB5D0D">
        <w:rPr>
          <w:rFonts w:ascii="Times New Roman" w:hAnsi="Times New Roman"/>
          <w:color w:val="000000" w:themeColor="text1"/>
          <w:sz w:val="16"/>
          <w:szCs w:val="16"/>
        </w:rPr>
        <w:softHyphen/>
        <w:t>ся с письмом к А.И.Шахурину, в кото</w:t>
      </w:r>
      <w:r w:rsidRPr="00DB5D0D">
        <w:rPr>
          <w:rFonts w:ascii="Times New Roman" w:hAnsi="Times New Roman"/>
          <w:color w:val="000000" w:themeColor="text1"/>
          <w:sz w:val="16"/>
          <w:szCs w:val="16"/>
        </w:rPr>
        <w:softHyphen/>
        <w:t xml:space="preserve">ром писал: </w:t>
      </w:r>
      <w:r w:rsidRPr="00DB5D0D">
        <w:rPr>
          <w:rFonts w:ascii="Times New Roman" w:hAnsi="Times New Roman"/>
          <w:iCs/>
          <w:color w:val="000000" w:themeColor="text1"/>
          <w:sz w:val="16"/>
          <w:szCs w:val="16"/>
        </w:rPr>
        <w:t>"Уже прошло 35 дней, как самолет Ильюшина прошел Государ</w:t>
      </w:r>
      <w:r w:rsidRPr="00DB5D0D">
        <w:rPr>
          <w:rFonts w:ascii="Times New Roman" w:hAnsi="Times New Roman"/>
          <w:iCs/>
          <w:color w:val="000000" w:themeColor="text1"/>
          <w:sz w:val="16"/>
          <w:szCs w:val="16"/>
        </w:rPr>
        <w:softHyphen/>
        <w:t>ственные испытания и имеет заключе</w:t>
      </w:r>
      <w:r w:rsidRPr="00DB5D0D">
        <w:rPr>
          <w:rFonts w:ascii="Times New Roman" w:hAnsi="Times New Roman"/>
          <w:iCs/>
          <w:color w:val="000000" w:themeColor="text1"/>
          <w:sz w:val="16"/>
          <w:szCs w:val="16"/>
        </w:rPr>
        <w:softHyphen/>
        <w:t>ние технического совета НИИ ВВС от</w:t>
      </w:r>
      <w:r w:rsidRPr="00DB5D0D">
        <w:rPr>
          <w:rFonts w:ascii="Times New Roman" w:hAnsi="Times New Roman"/>
          <w:iCs/>
          <w:color w:val="000000" w:themeColor="text1"/>
          <w:sz w:val="16"/>
          <w:szCs w:val="16"/>
        </w:rPr>
        <w:softHyphen/>
        <w:t>носительно внедрения в серию... Я счи</w:t>
      </w:r>
      <w:r w:rsidRPr="00DB5D0D">
        <w:rPr>
          <w:rFonts w:ascii="Times New Roman" w:hAnsi="Times New Roman"/>
          <w:iCs/>
          <w:color w:val="000000" w:themeColor="text1"/>
          <w:sz w:val="16"/>
          <w:szCs w:val="16"/>
        </w:rPr>
        <w:softHyphen/>
        <w:t>таю, что этот самолет крайне необходим для ВВС..</w:t>
      </w:r>
      <w:r w:rsidRPr="00DB5D0D">
        <w:rPr>
          <w:rFonts w:ascii="Times New Roman" w:hAnsi="Times New Roman"/>
          <w:color w:val="000000" w:themeColor="text1"/>
          <w:sz w:val="16"/>
          <w:szCs w:val="16"/>
        </w:rPr>
        <w:t xml:space="preserve">. </w:t>
      </w:r>
      <w:r w:rsidRPr="00DB5D0D">
        <w:rPr>
          <w:rFonts w:ascii="Times New Roman" w:hAnsi="Times New Roman"/>
          <w:iCs/>
          <w:color w:val="000000" w:themeColor="text1"/>
          <w:sz w:val="16"/>
          <w:szCs w:val="16"/>
        </w:rPr>
        <w:t>Поэтому прошу Вас ускорить решение о запуске в серию брониро</w:t>
      </w:r>
      <w:r w:rsidRPr="00DB5D0D">
        <w:rPr>
          <w:rFonts w:ascii="Times New Roman" w:hAnsi="Times New Roman"/>
          <w:iCs/>
          <w:color w:val="000000" w:themeColor="text1"/>
          <w:sz w:val="16"/>
          <w:szCs w:val="16"/>
        </w:rPr>
        <w:softHyphen/>
        <w:t xml:space="preserve">ванного самолета тов. Ильюшина...". </w:t>
      </w:r>
      <w:r w:rsidRPr="00DB5D0D">
        <w:rPr>
          <w:rFonts w:ascii="Times New Roman" w:hAnsi="Times New Roman"/>
          <w:color w:val="000000" w:themeColor="text1"/>
          <w:sz w:val="16"/>
          <w:szCs w:val="16"/>
        </w:rPr>
        <w:t>При этом в письме особо отмечалось, что С.В.Ильюшин дал гарантию руковод</w:t>
      </w:r>
      <w:r w:rsidRPr="00DB5D0D">
        <w:rPr>
          <w:rFonts w:ascii="Times New Roman" w:hAnsi="Times New Roman"/>
          <w:color w:val="000000" w:themeColor="text1"/>
          <w:sz w:val="16"/>
          <w:szCs w:val="16"/>
        </w:rPr>
        <w:softHyphen/>
        <w:t>ству ВВС улучшить летно-тактические данные самолета с освоение авиапро</w:t>
      </w:r>
      <w:r w:rsidRPr="00DB5D0D">
        <w:rPr>
          <w:rFonts w:ascii="Times New Roman" w:hAnsi="Times New Roman"/>
          <w:color w:val="000000" w:themeColor="text1"/>
          <w:sz w:val="16"/>
          <w:szCs w:val="16"/>
        </w:rPr>
        <w:softHyphen/>
        <w:t xml:space="preserve">мышленностью моторов АМ-35А и АМ-37, усилить вооружение, установив две крыльевые пушки калибра 20 мм или 23 мм и два пулемета ШКАС, и </w:t>
      </w:r>
      <w:r w:rsidRPr="00DB5D0D">
        <w:rPr>
          <w:rFonts w:ascii="Times New Roman" w:hAnsi="Times New Roman"/>
          <w:iCs/>
          <w:color w:val="000000" w:themeColor="text1"/>
          <w:sz w:val="16"/>
          <w:szCs w:val="16"/>
        </w:rPr>
        <w:t>"обеспе</w:t>
      </w:r>
      <w:r w:rsidRPr="00DB5D0D">
        <w:rPr>
          <w:rFonts w:ascii="Times New Roman" w:hAnsi="Times New Roman"/>
          <w:iCs/>
          <w:color w:val="000000" w:themeColor="text1"/>
          <w:sz w:val="16"/>
          <w:szCs w:val="16"/>
        </w:rPr>
        <w:softHyphen/>
        <w:t>чить самолету бомбометание и стрель</w:t>
      </w:r>
      <w:r w:rsidRPr="00DB5D0D">
        <w:rPr>
          <w:rFonts w:ascii="Times New Roman" w:hAnsi="Times New Roman"/>
          <w:iCs/>
          <w:color w:val="000000" w:themeColor="text1"/>
          <w:sz w:val="16"/>
          <w:szCs w:val="16"/>
        </w:rPr>
        <w:softHyphen/>
        <w:t xml:space="preserve">бу с пикирования". </w:t>
      </w:r>
      <w:r w:rsidRPr="00DB5D0D">
        <w:rPr>
          <w:rFonts w:ascii="Times New Roman" w:hAnsi="Times New Roman"/>
          <w:color w:val="000000" w:themeColor="text1"/>
          <w:sz w:val="16"/>
          <w:szCs w:val="16"/>
        </w:rPr>
        <w:t>Требование военных "до</w:t>
      </w:r>
      <w:r w:rsidRPr="00DB5D0D">
        <w:rPr>
          <w:rFonts w:ascii="Times New Roman" w:hAnsi="Times New Roman"/>
          <w:color w:val="000000" w:themeColor="text1"/>
          <w:sz w:val="16"/>
          <w:szCs w:val="16"/>
        </w:rPr>
        <w:softHyphen/>
        <w:t>вернуть" БШ-2 до решения задачи бом</w:t>
      </w:r>
      <w:r w:rsidRPr="00DB5D0D">
        <w:rPr>
          <w:rFonts w:ascii="Times New Roman" w:hAnsi="Times New Roman"/>
          <w:color w:val="000000" w:themeColor="text1"/>
          <w:sz w:val="16"/>
          <w:szCs w:val="16"/>
        </w:rPr>
        <w:softHyphen/>
        <w:t>бометания с пикирования и согласие Ильюшина его выполнить выглядят весь</w:t>
      </w:r>
      <w:r w:rsidRPr="00DB5D0D">
        <w:rPr>
          <w:rFonts w:ascii="Times New Roman" w:hAnsi="Times New Roman"/>
          <w:color w:val="000000" w:themeColor="text1"/>
          <w:sz w:val="16"/>
          <w:szCs w:val="16"/>
        </w:rPr>
        <w:softHyphen/>
        <w:t>ма странными, поскольку штурмовик про</w:t>
      </w:r>
      <w:r w:rsidRPr="00DB5D0D">
        <w:rPr>
          <w:rFonts w:ascii="Times New Roman" w:hAnsi="Times New Roman"/>
          <w:color w:val="000000" w:themeColor="text1"/>
          <w:sz w:val="16"/>
          <w:szCs w:val="16"/>
        </w:rPr>
        <w:softHyphen/>
        <w:t>ектировался по более низким нормам прочности, и усиление его конструкции в условиях отсутствия мощных моторов ни к чему хорошему привести не могло. Это не могли не понимать ни военные, ни сам С.В.Ильюшин. Такое "взаимопонимание" можно объяснить лишь тем "впечатлением", ко</w:t>
      </w:r>
      <w:r w:rsidRPr="00DB5D0D">
        <w:rPr>
          <w:rFonts w:ascii="Times New Roman" w:hAnsi="Times New Roman"/>
          <w:color w:val="000000" w:themeColor="text1"/>
          <w:sz w:val="16"/>
          <w:szCs w:val="16"/>
        </w:rPr>
        <w:softHyphen/>
        <w:t>торое произвел на руководство страны в лице И.В.Сталина неудачный опыт применения авиации при прорыве вой</w:t>
      </w:r>
      <w:r w:rsidRPr="00DB5D0D">
        <w:rPr>
          <w:rFonts w:ascii="Times New Roman" w:hAnsi="Times New Roman"/>
          <w:color w:val="000000" w:themeColor="text1"/>
          <w:sz w:val="16"/>
          <w:szCs w:val="16"/>
        </w:rPr>
        <w:softHyphen/>
        <w:t>сками Красной Армии финских укреп-районов зимой 1940 г., когда все попыт</w:t>
      </w:r>
      <w:r w:rsidRPr="00DB5D0D">
        <w:rPr>
          <w:rFonts w:ascii="Times New Roman" w:hAnsi="Times New Roman"/>
          <w:color w:val="000000" w:themeColor="text1"/>
          <w:sz w:val="16"/>
          <w:szCs w:val="16"/>
        </w:rPr>
        <w:softHyphen/>
        <w:t>ки ВВС КА разрушить с воздуха долго</w:t>
      </w:r>
      <w:r w:rsidRPr="00DB5D0D">
        <w:rPr>
          <w:rFonts w:ascii="Times New Roman" w:hAnsi="Times New Roman"/>
          <w:color w:val="000000" w:themeColor="text1"/>
          <w:sz w:val="16"/>
          <w:szCs w:val="16"/>
        </w:rPr>
        <w:softHyphen/>
        <w:t>временные оборонительные сооружения линии Маннергейма оказались безус</w:t>
      </w:r>
      <w:r w:rsidRPr="00DB5D0D">
        <w:rPr>
          <w:rFonts w:ascii="Times New Roman" w:hAnsi="Times New Roman"/>
          <w:color w:val="000000" w:themeColor="text1"/>
          <w:sz w:val="16"/>
          <w:szCs w:val="16"/>
        </w:rPr>
        <w:softHyphen/>
        <w:t>пешными, хотя плотность бомбовых уда</w:t>
      </w:r>
      <w:r w:rsidRPr="00DB5D0D">
        <w:rPr>
          <w:rFonts w:ascii="Times New Roman" w:hAnsi="Times New Roman"/>
          <w:color w:val="000000" w:themeColor="text1"/>
          <w:sz w:val="16"/>
          <w:szCs w:val="16"/>
        </w:rPr>
        <w:softHyphen/>
        <w:t>ров достигала 40-100 т/км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Вполне естественно, что в дальней</w:t>
      </w:r>
      <w:r w:rsidRPr="00DB5D0D">
        <w:rPr>
          <w:rFonts w:ascii="Times New Roman" w:hAnsi="Times New Roman"/>
          <w:color w:val="000000" w:themeColor="text1"/>
          <w:sz w:val="16"/>
          <w:szCs w:val="16"/>
        </w:rPr>
        <w:softHyphen/>
        <w:t>шем, как только разрешился вопрос с постройкой специального пикировщика, об этом соглашении обе стороны бла</w:t>
      </w:r>
      <w:r w:rsidRPr="00DB5D0D">
        <w:rPr>
          <w:rFonts w:ascii="Times New Roman" w:hAnsi="Times New Roman"/>
          <w:color w:val="000000" w:themeColor="text1"/>
          <w:sz w:val="16"/>
          <w:szCs w:val="16"/>
        </w:rPr>
        <w:softHyphen/>
        <w:t>гополучно забыли, и БШ-2 никто "не учил бросать бомбы с пикирования"... (6467).</w:t>
      </w:r>
    </w:p>
    <w:p w14:paraId="311D796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8FE8F1" w14:textId="77777777" w:rsidR="002650F5" w:rsidRPr="00DB5D0D" w:rsidRDefault="002650F5"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Так, в целях ускорения запуска новой машины в серийное производст</w:t>
      </w:r>
      <w:r w:rsidRPr="00DB5D0D">
        <w:rPr>
          <w:rFonts w:ascii="Times New Roman" w:eastAsia="Times New Roman" w:hAnsi="Times New Roman"/>
          <w:color w:val="0070C0"/>
          <w:sz w:val="16"/>
          <w:szCs w:val="16"/>
        </w:rPr>
        <w:softHyphen/>
        <w:t>во начальник ВВС КА командарм 2-го ранга Я.В. Смушкевич 24 мая 1940 г. обратился с письмом к А.И. Шахурину, в котором писал: «Уже прошло 35 дней, как самолет Ильюшина прошел Государственные испытания и имеет заключение технического совета НИИ ВВС относительно внедрения в се</w:t>
      </w:r>
      <w:r w:rsidRPr="00DB5D0D">
        <w:rPr>
          <w:rFonts w:ascii="Times New Roman" w:eastAsia="Times New Roman" w:hAnsi="Times New Roman"/>
          <w:color w:val="0070C0"/>
          <w:sz w:val="16"/>
          <w:szCs w:val="16"/>
        </w:rPr>
        <w:softHyphen/>
        <w:t>рию... Я считаю, что этот самолет крайне необходим для ВВС... Поэтому прошу Вас ускорить решение о запуске в серию бронированного самолета тов. Ильюшина» (ЦАМО РФ, ф. 208, оп. 142530, д. 2, л. 34.).</w:t>
      </w:r>
    </w:p>
    <w:p w14:paraId="32E83919" w14:textId="77777777" w:rsidR="002650F5" w:rsidRPr="00DB5D0D" w:rsidRDefault="002650F5"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При этом в письме особо отмечалось, что СВ. Ильюшин дал гарантию руководству</w:t>
      </w:r>
      <w:r w:rsidRPr="00DB5D0D">
        <w:rPr>
          <w:rFonts w:ascii="Times New Roman" w:eastAsia="Times New Roman" w:hAnsi="Times New Roman"/>
          <w:color w:val="0070C0"/>
          <w:sz w:val="16"/>
          <w:szCs w:val="16"/>
          <w:vertAlign w:val="superscript"/>
        </w:rPr>
        <w:t>ч</w:t>
      </w:r>
      <w:r w:rsidRPr="00DB5D0D">
        <w:rPr>
          <w:rFonts w:ascii="Times New Roman" w:eastAsia="Times New Roman" w:hAnsi="Times New Roman"/>
          <w:color w:val="0070C0"/>
          <w:sz w:val="16"/>
          <w:szCs w:val="16"/>
        </w:rPr>
        <w:t>ВВС улучшить летно-тактические данные самолета с освоением авиапромышленностью моторов АМ-35А и АМ-37, усилить вооружение, ус</w:t>
      </w:r>
      <w:r w:rsidRPr="00DB5D0D">
        <w:rPr>
          <w:rFonts w:ascii="Times New Roman" w:eastAsia="Times New Roman" w:hAnsi="Times New Roman"/>
          <w:color w:val="0070C0"/>
          <w:sz w:val="16"/>
          <w:szCs w:val="16"/>
        </w:rPr>
        <w:softHyphen/>
        <w:t>тановив две крыльевые пушки калибра 20 мм или 23 мм и два пулемета ШКАС, и обеспечить самолету бомбометание и стрельбу с пикирования.</w:t>
      </w:r>
    </w:p>
    <w:p w14:paraId="11E33BDE" w14:textId="77777777" w:rsidR="002650F5" w:rsidRPr="00DB5D0D" w:rsidRDefault="002650F5"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Аналогичные письма Я.В. Смушкевич направил А.И. Шахурину 26 и 29 мая 1940 г. В частности, в письме от 29 мая командарм отметил, что само</w:t>
      </w:r>
      <w:r w:rsidRPr="00DB5D0D">
        <w:rPr>
          <w:rFonts w:ascii="Times New Roman" w:eastAsia="Times New Roman" w:hAnsi="Times New Roman"/>
          <w:color w:val="0070C0"/>
          <w:sz w:val="16"/>
          <w:szCs w:val="16"/>
        </w:rPr>
        <w:softHyphen/>
        <w:t>лет БШ-2 будет играть в будущей войне важную роль.</w:t>
      </w:r>
    </w:p>
    <w:p w14:paraId="557C6793" w14:textId="77777777" w:rsidR="002650F5" w:rsidRPr="00DB5D0D" w:rsidRDefault="002650F5"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Хотелось бы подчеркнуть, что требование военного руководства «до</w:t>
      </w:r>
      <w:r w:rsidRPr="00DB5D0D">
        <w:rPr>
          <w:rFonts w:ascii="Times New Roman" w:eastAsia="Times New Roman" w:hAnsi="Times New Roman"/>
          <w:color w:val="0070C0"/>
          <w:sz w:val="16"/>
          <w:szCs w:val="16"/>
        </w:rPr>
        <w:softHyphen/>
        <w:t>вернуть» БШ-2 до решения задачи бомбометания с пикирования и согласие Ильюшина его выполнить выглядят весьма странными, поскольку штурмо</w:t>
      </w:r>
      <w:r w:rsidRPr="00DB5D0D">
        <w:rPr>
          <w:rFonts w:ascii="Times New Roman" w:eastAsia="Times New Roman" w:hAnsi="Times New Roman"/>
          <w:color w:val="0070C0"/>
          <w:sz w:val="16"/>
          <w:szCs w:val="16"/>
        </w:rPr>
        <w:softHyphen/>
        <w:t>вик проектировался по более низким нормам прочности, и усиление его кон</w:t>
      </w:r>
      <w:r w:rsidRPr="00DB5D0D">
        <w:rPr>
          <w:rFonts w:ascii="Times New Roman" w:eastAsia="Times New Roman" w:hAnsi="Times New Roman"/>
          <w:color w:val="0070C0"/>
          <w:sz w:val="16"/>
          <w:szCs w:val="16"/>
        </w:rPr>
        <w:softHyphen/>
        <w:t>струкции в условиях отсутствия мощных моторов ни к чему хорошему при</w:t>
      </w:r>
      <w:r w:rsidRPr="00DB5D0D">
        <w:rPr>
          <w:rFonts w:ascii="Times New Roman" w:eastAsia="Times New Roman" w:hAnsi="Times New Roman"/>
          <w:color w:val="0070C0"/>
          <w:sz w:val="16"/>
          <w:szCs w:val="16"/>
        </w:rPr>
        <w:softHyphen/>
        <w:t>вести не могло. Это не могли не понимать ни военные органы, ни сам СВ. Ильюшин.</w:t>
      </w:r>
    </w:p>
    <w:p w14:paraId="209E4786" w14:textId="77777777" w:rsidR="002650F5" w:rsidRPr="00DB5D0D" w:rsidRDefault="002650F5"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Такое «взаимопонимание» можно объяснить лишь тем впечатлением, которое произвел на руководство страны в лице И.В. Сталина неудачный опыт применения авиации при прорыве войсками Красной Армии финских укреп-районов зимой 1940 г., когда все попытки ВВС КА разрушить с возду ха долговременные оборонительные сооружения линии Маннергейма оказа</w:t>
      </w:r>
      <w:r w:rsidRPr="00DB5D0D">
        <w:rPr>
          <w:rFonts w:ascii="Times New Roman" w:eastAsia="Times New Roman" w:hAnsi="Times New Roman"/>
          <w:color w:val="0070C0"/>
          <w:sz w:val="16"/>
          <w:szCs w:val="16"/>
        </w:rPr>
        <w:softHyphen/>
        <w:t>лись безуспешными, хотя плотность бомбовых ударов достигала 40-100 т/км (20186).</w:t>
      </w:r>
    </w:p>
    <w:p w14:paraId="732AA057" w14:textId="77777777" w:rsidR="002650F5" w:rsidRPr="00DB5D0D" w:rsidRDefault="002650F5"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В начале июня 1940 г. с новым штурмовиком детально ознакомились ведущие специалисты ЛИИ НКАП и дали довольно хорошую оценку БШ-2 № 2, беспристрастно оценив достоинства и недостатки новой машины.</w:t>
      </w:r>
    </w:p>
    <w:p w14:paraId="45562071" w14:textId="77777777" w:rsidR="002650F5" w:rsidRPr="00DB5D0D" w:rsidRDefault="002650F5"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В связи с задержкой поставок новых авиамоторов семейства «</w:t>
      </w:r>
      <w:r w:rsidRPr="00DB5D0D">
        <w:rPr>
          <w:rFonts w:ascii="Times New Roman" w:eastAsia="Times New Roman" w:hAnsi="Times New Roman"/>
          <w:color w:val="0070C0"/>
          <w:sz w:val="16"/>
          <w:szCs w:val="16"/>
          <w:lang w:val="en-US"/>
        </w:rPr>
        <w:t>AM</w:t>
      </w:r>
      <w:r w:rsidRPr="00DB5D0D">
        <w:rPr>
          <w:rFonts w:ascii="Times New Roman" w:eastAsia="Times New Roman" w:hAnsi="Times New Roman"/>
          <w:color w:val="0070C0"/>
          <w:sz w:val="16"/>
          <w:szCs w:val="16"/>
        </w:rPr>
        <w:t>» 4 июня 1940 г. на расширенном совещании у А.И. Шахурина в присутствии Начальника ВВС ЯЗ. Смушкевича, его 1-го заместителя П.В. Рычагова, на</w:t>
      </w:r>
      <w:r w:rsidRPr="00DB5D0D">
        <w:rPr>
          <w:rFonts w:ascii="Times New Roman" w:eastAsia="Times New Roman" w:hAnsi="Times New Roman"/>
          <w:color w:val="0070C0"/>
          <w:sz w:val="16"/>
          <w:szCs w:val="16"/>
        </w:rPr>
        <w:softHyphen/>
        <w:t>чальника НИИ ВВС А.И. Филина и заместителей наркома авиапромышлен</w:t>
      </w:r>
      <w:r w:rsidRPr="00DB5D0D">
        <w:rPr>
          <w:rFonts w:ascii="Times New Roman" w:eastAsia="Times New Roman" w:hAnsi="Times New Roman"/>
          <w:color w:val="0070C0"/>
          <w:sz w:val="16"/>
          <w:szCs w:val="16"/>
        </w:rPr>
        <w:softHyphen/>
        <w:t>ности П.А. Воронина и А.С. Яковлева было принято решение об изготовле</w:t>
      </w:r>
      <w:r w:rsidRPr="00DB5D0D">
        <w:rPr>
          <w:rFonts w:ascii="Times New Roman" w:eastAsia="Times New Roman" w:hAnsi="Times New Roman"/>
          <w:color w:val="0070C0"/>
          <w:sz w:val="16"/>
          <w:szCs w:val="16"/>
        </w:rPr>
        <w:softHyphen/>
        <w:t>нии на 30-м авиазаводе (г. Москва) в 1940 г. 10 самолетов БШ-2 с мотором АМ-35 по образцу прошедшего госиспытания с целью проведения войско</w:t>
      </w:r>
      <w:r w:rsidRPr="00DB5D0D">
        <w:rPr>
          <w:rFonts w:ascii="Times New Roman" w:eastAsia="Times New Roman" w:hAnsi="Times New Roman"/>
          <w:color w:val="0070C0"/>
          <w:sz w:val="16"/>
          <w:szCs w:val="16"/>
        </w:rPr>
        <w:softHyphen/>
        <w:t>вых испытаний.</w:t>
      </w:r>
    </w:p>
    <w:p w14:paraId="14276C31" w14:textId="77777777" w:rsidR="002650F5" w:rsidRPr="00DB5D0D" w:rsidRDefault="002650F5"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Отметим, что указанное выше совещание состоялось исключительно по настоянию ВВС и лично Начальника ВВС КА командарма ЯЗ. Смушке</w:t>
      </w:r>
      <w:r w:rsidRPr="00DB5D0D">
        <w:rPr>
          <w:rFonts w:ascii="Times New Roman" w:eastAsia="Times New Roman" w:hAnsi="Times New Roman"/>
          <w:color w:val="0070C0"/>
          <w:sz w:val="16"/>
          <w:szCs w:val="16"/>
        </w:rPr>
        <w:softHyphen/>
        <w:t>вича, а предложение уменьшить войсковую серию БШ-2 АМ-35 с 65 (как предлагал Технический совет НИИ ВВС) до 10 машин исходило от наркома обороны маршала С.К. Тимошенко (20186).</w:t>
      </w:r>
    </w:p>
    <w:p w14:paraId="476E3ECF" w14:textId="77777777" w:rsidR="002650F5" w:rsidRPr="00DB5D0D" w:rsidRDefault="002650F5" w:rsidP="00DB5D0D">
      <w:pPr>
        <w:shd w:val="clear" w:color="auto" w:fill="FFFFFF"/>
        <w:spacing w:after="0" w:line="240" w:lineRule="auto"/>
        <w:jc w:val="both"/>
        <w:rPr>
          <w:rFonts w:ascii="Times New Roman" w:hAnsi="Times New Roman"/>
          <w:color w:val="0070C0"/>
          <w:sz w:val="16"/>
          <w:szCs w:val="16"/>
        </w:rPr>
      </w:pPr>
    </w:p>
    <w:p w14:paraId="52C845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Известно, что 24 мая 1940 командарм 2 ранга Я.В.Смушкевич обращаясь к Наркому АП А.И.Шахурину с письмом N 466073 поддержал решение техсовета НИИ ВВС (172,193). Он писал "Уже прошло 25 дней [35 - 187,8], как самолет С.В.Ильюшина прошел государственные испытания [и имеет заключение технического совета относительно внедрения в серию...- 187,8]. Я считаю, что данный [этот] самолет крайне необходим для ВВС. (172,193) [Поэтому прошу Вас ускорить решение о запуске в серию бронированного самолета тов. Ильюшина" - 187,8].</w:t>
      </w:r>
    </w:p>
    <w:p w14:paraId="680FF5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письме указывалось, что С.В.Ильюшин дал гарантию улучшить летно-тактические данные самолета с освоением моторов АМ-35А и АМ-37, установить для стрельбы вперед две пушки калибра 20 мм или 23 мм с двумя пулеметами ШКАС и обеспечить самолету бомбометание и стрельбу с пикирования (468).</w:t>
      </w:r>
    </w:p>
    <w:p w14:paraId="475C31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Совсем не ясно, почему в НКАП зарегистрировали только 9 июня 1940 (468), то есть одновременно с отправкой письма С.В.И.</w:t>
      </w:r>
    </w:p>
    <w:p w14:paraId="36D60A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Текст письма (468): Наркому АП "По вопросу штурмовика конструктора Ильюшина"</w:t>
      </w:r>
    </w:p>
    <w:p w14:paraId="4C51EB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Уже прошло 35 дней как самолет Ильюшина прошел государственные испытания и имеется заключение Технического Совета относительно внедрения в серию этого самолета.</w:t>
      </w:r>
    </w:p>
    <w:p w14:paraId="7DB1E3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считаю, что этот самолет крайне необходим для ВВС, тем более, что тов. Ильюшин дает слово и гарантию, что будет улучшать ЛТД этого самолета, особенно с освоением моторов М-35А и М-37.</w:t>
      </w:r>
    </w:p>
    <w:p w14:paraId="2C80DA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тов. Ильюшин берется усилить вооружение на этом самолете, т.е. вместо 4-х пулеметов ШКАС калибра 7.6 мм установить две пушки 20 или 23 мм с двумя пулеметами ШКАС. Бомбовая нагрузка этого самолета вполне обеспечивает штурмовые действия.</w:t>
      </w:r>
    </w:p>
    <w:p w14:paraId="664C3D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заявлению тов. Ильюшина этот самолет легко можно будет приспособить для бомбометания и стрельбы с пикирования. Поэтому прошу Вас ускорить решение о запуске в серию бронированного самолета тов. Ильюшина.</w:t>
      </w:r>
    </w:p>
    <w:p w14:paraId="15D26E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необходимо в этом решении обязать Подольский завод изготовлять в нужном количестве бронированные корпуса для самолета Ильюшина" (468).</w:t>
      </w:r>
    </w:p>
    <w:p w14:paraId="44E948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Опять надо вспомнить даты второго письма Я.В.Смушкевича.</w:t>
      </w:r>
    </w:p>
    <w:p w14:paraId="449073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Поступило в НКАП 09.06.1940 (468,151).</w:t>
      </w:r>
    </w:p>
    <w:p w14:paraId="74B1BD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Впрочем, точных дат отправки не видно на обоих письмах</w:t>
      </w:r>
    </w:p>
    <w:p w14:paraId="61B5926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BE00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1940 Нач. ВВС КА командарм 2 р Я.В.Смушкевич писал письмо N 466073 Наркому АП А.И.Шахурину отп. 2 экз. (входящий № 2808 от 9 июня 1940, 1 лист).</w:t>
      </w:r>
    </w:p>
    <w:p w14:paraId="4D1BEB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О бронированном штурмовике конструкции Ильюшина</w:t>
      </w:r>
    </w:p>
    <w:p w14:paraId="433756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Уже прошло 35, как самолет Ильюшина прошел государственные испытания и имеет заключение технического совета относительно внедрения в серию этого самолета.</w:t>
      </w:r>
    </w:p>
    <w:p w14:paraId="3D0B4B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считаю, что этот самолет крайне необходим для ВВСЮ тем более, что тов. Ильюшин дает слово о гарантии, что будет улучшать летно-технические данные этого, особенно с освоением моторов АМ-35А и АМ-37.</w:t>
      </w:r>
    </w:p>
    <w:p w14:paraId="7551B0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тов. Ильюшин берется усилить вооружение на этом самолете, т.е. вместо 4-х пулеметов ШКАС калибра 7.6 мм установить две пушки 20 или 23 мм с двумя пулеметами ШКАС. Бомбовая нагрузка этого самолета вполне обеспечивает штурмовые действия.</w:t>
      </w:r>
    </w:p>
    <w:p w14:paraId="59F5EC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заявлению тов. Ильюшина этот самолет легко может быть приспособлен для бомбометания и стрельбы с пикирования. Поэтому прошу Вас ускорить решение о запуске в серию бронированного самолета тов. Ильюшина.</w:t>
      </w:r>
    </w:p>
    <w:p w14:paraId="4A891E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необходимо в этом решении обязать Подольский завод изготовить в нужном количестве бронированные корпуса для самолета Ильюшина (468).</w:t>
      </w:r>
    </w:p>
    <w:p w14:paraId="096BB0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Совсем не ясно, почему в НКАП зарегистрировали только 9 июня 1940 (подлинник) (468,151)</w:t>
      </w:r>
    </w:p>
    <w:p w14:paraId="03690CB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19CD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1940 г. начальник ВВС РККА Я. В. Смушкевич обратился с письмом к А. И. Шахурину: “Уже прошло 35 дней, как самолет Ильюшина прошел Го</w:t>
      </w:r>
      <w:r w:rsidRPr="00DB5D0D">
        <w:rPr>
          <w:rFonts w:ascii="Times New Roman" w:hAnsi="Times New Roman"/>
          <w:color w:val="000000" w:themeColor="text1"/>
          <w:sz w:val="16"/>
          <w:szCs w:val="16"/>
        </w:rPr>
        <w:softHyphen/>
        <w:t>сударственные испытания и имеет за</w:t>
      </w:r>
      <w:r w:rsidRPr="00DB5D0D">
        <w:rPr>
          <w:rFonts w:ascii="Times New Roman" w:hAnsi="Times New Roman"/>
          <w:color w:val="000000" w:themeColor="text1"/>
          <w:sz w:val="16"/>
          <w:szCs w:val="16"/>
        </w:rPr>
        <w:softHyphen/>
        <w:t>ключение технического совета НИИ ВВС относительно внедрения в серию... Я счи</w:t>
      </w:r>
      <w:r w:rsidRPr="00DB5D0D">
        <w:rPr>
          <w:rFonts w:ascii="Times New Roman" w:hAnsi="Times New Roman"/>
          <w:color w:val="000000" w:themeColor="text1"/>
          <w:sz w:val="16"/>
          <w:szCs w:val="16"/>
        </w:rPr>
        <w:softHyphen/>
        <w:t>таю, что этот самолет крайне необхо</w:t>
      </w:r>
      <w:r w:rsidRPr="00DB5D0D">
        <w:rPr>
          <w:rFonts w:ascii="Times New Roman" w:hAnsi="Times New Roman"/>
          <w:color w:val="000000" w:themeColor="text1"/>
          <w:sz w:val="16"/>
          <w:szCs w:val="16"/>
        </w:rPr>
        <w:softHyphen/>
        <w:t>дим для ВВС... Поэтому прошу Вас уско</w:t>
      </w:r>
      <w:r w:rsidRPr="00DB5D0D">
        <w:rPr>
          <w:rFonts w:ascii="Times New Roman" w:hAnsi="Times New Roman"/>
          <w:color w:val="000000" w:themeColor="text1"/>
          <w:sz w:val="16"/>
          <w:szCs w:val="16"/>
        </w:rPr>
        <w:softHyphen/>
        <w:t>рить решение о запуске в серию брониро</w:t>
      </w:r>
      <w:r w:rsidRPr="00DB5D0D">
        <w:rPr>
          <w:rFonts w:ascii="Times New Roman" w:hAnsi="Times New Roman"/>
          <w:color w:val="000000" w:themeColor="text1"/>
          <w:sz w:val="16"/>
          <w:szCs w:val="16"/>
        </w:rPr>
        <w:softHyphen/>
        <w:t>ванного самолета тов. Ильюшина...”. При этом в письме особо отмеча</w:t>
      </w:r>
      <w:r w:rsidRPr="00DB5D0D">
        <w:rPr>
          <w:rFonts w:ascii="Times New Roman" w:hAnsi="Times New Roman"/>
          <w:color w:val="000000" w:themeColor="text1"/>
          <w:sz w:val="16"/>
          <w:szCs w:val="16"/>
        </w:rPr>
        <w:softHyphen/>
        <w:t>лось, что Ильюшин дал гарантию ру</w:t>
      </w:r>
      <w:r w:rsidRPr="00DB5D0D">
        <w:rPr>
          <w:rFonts w:ascii="Times New Roman" w:hAnsi="Times New Roman"/>
          <w:color w:val="000000" w:themeColor="text1"/>
          <w:sz w:val="16"/>
          <w:szCs w:val="16"/>
        </w:rPr>
        <w:softHyphen/>
        <w:t>ководству ВВС улучшить летно-тактические данные самолета с освоени</w:t>
      </w:r>
      <w:r w:rsidRPr="00DB5D0D">
        <w:rPr>
          <w:rFonts w:ascii="Times New Roman" w:hAnsi="Times New Roman"/>
          <w:color w:val="000000" w:themeColor="text1"/>
          <w:sz w:val="16"/>
          <w:szCs w:val="16"/>
        </w:rPr>
        <w:softHyphen/>
        <w:t>ем авиапромышленностью моторов АМ-35А и АМ-37, усилить вооружение и обеспечить экипажу возможность для нормального бомбометания и стрельбы с пикирования. Руко</w:t>
      </w:r>
      <w:r w:rsidRPr="00DB5D0D">
        <w:rPr>
          <w:rFonts w:ascii="Times New Roman" w:hAnsi="Times New Roman"/>
          <w:color w:val="000000" w:themeColor="text1"/>
          <w:sz w:val="16"/>
          <w:szCs w:val="16"/>
        </w:rPr>
        <w:softHyphen/>
        <w:t>водство ВВС РККА, сознавая все не</w:t>
      </w:r>
      <w:r w:rsidRPr="00DB5D0D">
        <w:rPr>
          <w:rFonts w:ascii="Times New Roman" w:hAnsi="Times New Roman"/>
          <w:color w:val="000000" w:themeColor="text1"/>
          <w:sz w:val="16"/>
          <w:szCs w:val="16"/>
        </w:rPr>
        <w:softHyphen/>
        <w:t>гативные последствия из-за отсутст</w:t>
      </w:r>
      <w:r w:rsidRPr="00DB5D0D">
        <w:rPr>
          <w:rFonts w:ascii="Times New Roman" w:hAnsi="Times New Roman"/>
          <w:color w:val="000000" w:themeColor="text1"/>
          <w:sz w:val="16"/>
          <w:szCs w:val="16"/>
        </w:rPr>
        <w:softHyphen/>
        <w:t>вия на вооружении специального са</w:t>
      </w:r>
      <w:r w:rsidRPr="00DB5D0D">
        <w:rPr>
          <w:rFonts w:ascii="Times New Roman" w:hAnsi="Times New Roman"/>
          <w:color w:val="000000" w:themeColor="text1"/>
          <w:sz w:val="16"/>
          <w:szCs w:val="16"/>
        </w:rPr>
        <w:softHyphen/>
        <w:t>молета-штурмовика, проявило осо</w:t>
      </w:r>
      <w:r w:rsidRPr="00DB5D0D">
        <w:rPr>
          <w:rFonts w:ascii="Times New Roman" w:hAnsi="Times New Roman"/>
          <w:color w:val="000000" w:themeColor="text1"/>
          <w:sz w:val="16"/>
          <w:szCs w:val="16"/>
        </w:rPr>
        <w:softHyphen/>
        <w:t>бое внимание к БШ-2 и всячески ста</w:t>
      </w:r>
      <w:r w:rsidRPr="00DB5D0D">
        <w:rPr>
          <w:rFonts w:ascii="Times New Roman" w:hAnsi="Times New Roman"/>
          <w:color w:val="000000" w:themeColor="text1"/>
          <w:sz w:val="16"/>
          <w:szCs w:val="16"/>
        </w:rPr>
        <w:softHyphen/>
        <w:t>ралось помочь Ильюшину (4140).</w:t>
      </w:r>
    </w:p>
    <w:p w14:paraId="28EF8AD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8AE34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1940 в целях ускорения запуска новой машины в серию начальник ВВС КА командарм 2-го ранга Я.В.Смушкевич обратился с письмом к А.И.Шахурину, в котором писал:</w:t>
      </w:r>
    </w:p>
    <w:p w14:paraId="1E171C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«Уже прошло 35 дней, как самолет Ильюшина прошел Государственные испытания и имеет заключение технического совета НИИ ВВС относительно внедрения в серию... Я считаю, что этот самолет крайне необходим для ВВС... Поэтому прошу Вас ускорить решение о запуске в серию бронированного самолета тов. Ильюшина...»</w:t>
      </w:r>
    </w:p>
    <w:p w14:paraId="779CA7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При этом в письме особо отмечалось, что С. В. Ильюшин дал гарантию руководству ВВС улучшить летно-так-тические данные самолета с освоением авиапромышленностью моторов АМ-35А и АМ-37, усилить вооружение, установив две крыльевые пушки калибра 20 мм или 23 мм и два пулемета нормального калибра ШКАС, и «обеспечить самолету бомбометание и стрельбу с пикирования».</w:t>
      </w:r>
    </w:p>
    <w:p w14:paraId="4FD090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Аналогичные письма Я. В. Смушкевич направил А. И. Шахурину 26 и 29 мая 1940 г. (9649).</w:t>
      </w:r>
    </w:p>
    <w:p w14:paraId="0F3672B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DCCFAC" w14:textId="77777777" w:rsidR="0013421D" w:rsidRPr="00DB5D0D" w:rsidRDefault="0013421D"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24 мая 1940 г. с целью ускорить организацию выпуска БШ-2 войсковой серии, начальник ВВС КА командарм 2-го ранга Смушкевич обратился с письмом к Шахурину, в котором указывал: «Уже</w:t>
      </w:r>
      <w:r w:rsidRPr="00DB5D0D">
        <w:rPr>
          <w:rFonts w:ascii="Times New Roman" w:hAnsi="Times New Roman"/>
          <w:color w:val="000000" w:themeColor="text1"/>
          <w:sz w:val="16"/>
          <w:szCs w:val="16"/>
        </w:rPr>
        <w:t xml:space="preserve"> прошло 35 дней, как самолет Илюшина</w:t>
      </w:r>
      <w:r w:rsidRPr="00DB5D0D">
        <w:rPr>
          <w:rStyle w:val="174"/>
          <w:rFonts w:ascii="Times New Roman" w:hAnsi="Times New Roman" w:cs="Times New Roman"/>
          <w:i w:val="0"/>
          <w:color w:val="000000" w:themeColor="text1"/>
          <w:sz w:val="16"/>
          <w:szCs w:val="16"/>
        </w:rPr>
        <w:t xml:space="preserve"> (так в документе, следует читать Ильюшина)</w:t>
      </w:r>
      <w:r w:rsidRPr="00DB5D0D">
        <w:rPr>
          <w:rFonts w:ascii="Times New Roman" w:hAnsi="Times New Roman"/>
          <w:color w:val="000000" w:themeColor="text1"/>
          <w:sz w:val="16"/>
          <w:szCs w:val="16"/>
        </w:rPr>
        <w:t xml:space="preserve"> прошел государ</w:t>
      </w:r>
      <w:r w:rsidRPr="00DB5D0D">
        <w:rPr>
          <w:rFonts w:ascii="Times New Roman" w:hAnsi="Times New Roman"/>
          <w:color w:val="000000" w:themeColor="text1"/>
          <w:sz w:val="16"/>
          <w:szCs w:val="16"/>
        </w:rPr>
        <w:softHyphen/>
        <w:t>ственные испытания и имеет заключение Технического совета относительно вне- доения в серию этого самолета. Я считаю, -то этот самолет крайне необходим для Военных Воздушных Сил, тем более что ~ов. Илюшин дает слово и гарантию, -то будет улучшать летно-технические данные этого самолета, особенно с освоением моторов М-35А и М-37</w:t>
      </w:r>
      <w:r w:rsidRPr="00DB5D0D">
        <w:rPr>
          <w:rStyle w:val="174"/>
          <w:rFonts w:ascii="Times New Roman" w:hAnsi="Times New Roman" w:cs="Times New Roman"/>
          <w:i w:val="0"/>
          <w:color w:val="000000" w:themeColor="text1"/>
          <w:sz w:val="16"/>
          <w:szCs w:val="16"/>
        </w:rPr>
        <w:t xml:space="preserve"> (по всей видимости, здесь имелся в виду мотор АМ-38.).</w:t>
      </w:r>
      <w:r w:rsidRPr="00DB5D0D">
        <w:rPr>
          <w:rFonts w:ascii="Times New Roman" w:hAnsi="Times New Roman"/>
          <w:color w:val="000000" w:themeColor="text1"/>
          <w:sz w:val="16"/>
          <w:szCs w:val="16"/>
        </w:rPr>
        <w:t xml:space="preserve"> Кроме того, тов. Илюшин берется усилить вооружение на этом самолете, т.е. вместо 4-х пулеметов ШКАС калибра 7,62 установить две пушки 20 или 23 мм с двумя пулеметами ШКАС. бомбовая загрузка этого самолета вполне обеспечивает штурмовые действия. По заявлению тов. Илюшина этот самолет гегко можно будет приспособить для бомбометания и стрельбы с пикирования. ~оэтому прошу Вас ускорить решение о зочуске в серию бронированного самолета тов. Илюшина. Одновременно необходимо в этом решении обязать Подольский зозод изготовлять в нужном количестве бронированные корпуса для самолета Илюшина» (19087).</w:t>
      </w:r>
    </w:p>
    <w:p w14:paraId="5017BB7F" w14:textId="77777777" w:rsidR="0013421D" w:rsidRPr="00DB5D0D" w:rsidRDefault="0013421D" w:rsidP="00DB5D0D">
      <w:pPr>
        <w:spacing w:after="0" w:line="240" w:lineRule="auto"/>
        <w:jc w:val="both"/>
        <w:rPr>
          <w:rFonts w:ascii="Times New Roman" w:hAnsi="Times New Roman"/>
          <w:color w:val="000000" w:themeColor="text1"/>
          <w:sz w:val="16"/>
          <w:szCs w:val="16"/>
        </w:rPr>
      </w:pPr>
    </w:p>
    <w:p w14:paraId="3980D1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1940 г. на са</w:t>
      </w:r>
      <w:r w:rsidRPr="00DB5D0D">
        <w:rPr>
          <w:rFonts w:ascii="Times New Roman" w:hAnsi="Times New Roman"/>
          <w:color w:val="000000" w:themeColor="text1"/>
          <w:sz w:val="16"/>
          <w:szCs w:val="16"/>
        </w:rPr>
        <w:softHyphen/>
        <w:t>молете И—200 зав. № 01 летчик А.Н.Екатов развил скорость 648,5 км/ч на высоте 6900 м. Реакция руко</w:t>
      </w:r>
      <w:r w:rsidRPr="00DB5D0D">
        <w:rPr>
          <w:rFonts w:ascii="Times New Roman" w:hAnsi="Times New Roman"/>
          <w:color w:val="000000" w:themeColor="text1"/>
          <w:sz w:val="16"/>
          <w:szCs w:val="16"/>
        </w:rPr>
        <w:softHyphen/>
        <w:t>водства страны была молниеносной — не дожидаясь окончания заводских испытаний (не говоря уже о государственных), решением Комитета Обороны от 25 мая и приказом наркомата авиапромышленности от 31 мая 1940 г. истребитель И—200 был официаль</w:t>
      </w:r>
      <w:r w:rsidRPr="00DB5D0D">
        <w:rPr>
          <w:rFonts w:ascii="Times New Roman" w:hAnsi="Times New Roman"/>
          <w:color w:val="000000" w:themeColor="text1"/>
          <w:sz w:val="16"/>
          <w:szCs w:val="16"/>
        </w:rPr>
        <w:softHyphen/>
        <w:t>но запущен в серийное производство на заводе № 1. В соответствии с откорректированной программой выпуска заводу предписывалось в 1940 г. сдать 125 са</w:t>
      </w:r>
      <w:r w:rsidRPr="00DB5D0D">
        <w:rPr>
          <w:rFonts w:ascii="Times New Roman" w:hAnsi="Times New Roman"/>
          <w:color w:val="000000" w:themeColor="text1"/>
          <w:sz w:val="16"/>
          <w:szCs w:val="16"/>
        </w:rPr>
        <w:softHyphen/>
        <w:t>молетов И—200, полностью прекратив производство ближних бомбардировщиков ББ—22 (9984).</w:t>
      </w:r>
    </w:p>
    <w:p w14:paraId="1E0336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C5A93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1940 в ходе заводских испытаний И-200 А.И.М, которые проходили с 31 марта по 17 августа 1940, на И-200-1 было выполнено два полета на скороподъемность (22 и 23 по счету) (2988). 24 мая на И-200-1 А.Н.Екатов достиг скорости 648 км/час на 6900 м на номинальном режиме мотора (4415,31).</w:t>
      </w:r>
    </w:p>
    <w:p w14:paraId="39E2B31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FE70AC"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24 мая</w:t>
      </w:r>
      <w:r w:rsidRPr="00DB5D0D">
        <w:rPr>
          <w:rFonts w:ascii="Times New Roman" w:hAnsi="Times New Roman"/>
          <w:color w:val="000000" w:themeColor="text1"/>
          <w:sz w:val="16"/>
          <w:szCs w:val="16"/>
        </w:rPr>
        <w:t xml:space="preserve"> в 1940 году в ходе заводских испытаний пилот А.Н.Екатов на истребителе «И-200» («МиГ-1») № 01 достиг скорости 648,5 км/ч на высоте 6900 м, причем на номинальном режиме работы мотора (14901).</w:t>
      </w:r>
    </w:p>
    <w:p w14:paraId="64354A1A"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6B68BC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А.Н. Екатов на И-200 №01 достиг скорости 648,5 км/ч на высоте 6900 м, а 5 августа М.Н. Якушин на И-200 №02 на высоте 7000 м показал скорость 651 км/ч. На высоту 5000 м само</w:t>
      </w:r>
      <w:r w:rsidRPr="00DB5D0D">
        <w:rPr>
          <w:rFonts w:ascii="Times New Roman" w:hAnsi="Times New Roman"/>
          <w:color w:val="000000" w:themeColor="text1"/>
          <w:sz w:val="16"/>
          <w:szCs w:val="16"/>
        </w:rPr>
        <w:softHyphen/>
        <w:t>лёт поднялся за 5,1 мин, а ещё че</w:t>
      </w:r>
      <w:r w:rsidRPr="00DB5D0D">
        <w:rPr>
          <w:rFonts w:ascii="Times New Roman" w:hAnsi="Times New Roman"/>
          <w:color w:val="000000" w:themeColor="text1"/>
          <w:sz w:val="16"/>
          <w:szCs w:val="16"/>
        </w:rPr>
        <w:softHyphen/>
        <w:t>рез 2 мин он был уже на 7000 м. Испытания ещё продолжались, но уже полным ходом шло внедре</w:t>
      </w:r>
      <w:r w:rsidRPr="00DB5D0D">
        <w:rPr>
          <w:rFonts w:ascii="Times New Roman" w:hAnsi="Times New Roman"/>
          <w:color w:val="000000" w:themeColor="text1"/>
          <w:sz w:val="16"/>
          <w:szCs w:val="16"/>
        </w:rPr>
        <w:softHyphen/>
        <w:t>ние нового истребителя в серию параллельно с внесением измене</w:t>
      </w:r>
      <w:r w:rsidRPr="00DB5D0D">
        <w:rPr>
          <w:rFonts w:ascii="Times New Roman" w:hAnsi="Times New Roman"/>
          <w:color w:val="000000" w:themeColor="text1"/>
          <w:sz w:val="16"/>
          <w:szCs w:val="16"/>
        </w:rPr>
        <w:softHyphen/>
        <w:t>ний в его конструкцию. А 18 авгус</w:t>
      </w:r>
      <w:r w:rsidRPr="00DB5D0D">
        <w:rPr>
          <w:rFonts w:ascii="Times New Roman" w:hAnsi="Times New Roman"/>
          <w:color w:val="000000" w:themeColor="text1"/>
          <w:sz w:val="16"/>
          <w:szCs w:val="16"/>
        </w:rPr>
        <w:softHyphen/>
        <w:t>та 1940 г. в Тушине на параде, по</w:t>
      </w:r>
      <w:r w:rsidRPr="00DB5D0D">
        <w:rPr>
          <w:rFonts w:ascii="Times New Roman" w:hAnsi="Times New Roman"/>
          <w:color w:val="000000" w:themeColor="text1"/>
          <w:sz w:val="16"/>
          <w:szCs w:val="16"/>
        </w:rPr>
        <w:softHyphen/>
        <w:t>свящённом Дню авиации, машину впервые показали широкой публи</w:t>
      </w:r>
      <w:r w:rsidRPr="00DB5D0D">
        <w:rPr>
          <w:rFonts w:ascii="Times New Roman" w:hAnsi="Times New Roman"/>
          <w:color w:val="000000" w:themeColor="text1"/>
          <w:sz w:val="16"/>
          <w:szCs w:val="16"/>
        </w:rPr>
        <w:softHyphen/>
        <w:t>ке. Показательный полёт на И-200 №01 выполнил М.Н. Якушин (11757).</w:t>
      </w:r>
    </w:p>
    <w:p w14:paraId="2C1690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8A3A4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1940 на первом И-200 была достигнута скорость 648.5 км/час на 6900 (1021,66). Летал А.Н.Екатов и вскоре С.П.Супрун развил 651 км/час (1084,19).</w:t>
      </w:r>
    </w:p>
    <w:p w14:paraId="38EC339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1A334D5" w14:textId="77777777" w:rsidR="00E00AAF" w:rsidRPr="00DB5D0D" w:rsidRDefault="00E00AAF" w:rsidP="00DB5D0D">
      <w:pPr>
        <w:pStyle w:val="227"/>
        <w:shd w:val="clear" w:color="auto" w:fill="auto"/>
        <w:spacing w:line="240" w:lineRule="auto"/>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 xml:space="preserve">24 мая </w:t>
      </w:r>
      <w:r w:rsidRPr="00DB5D0D">
        <w:rPr>
          <w:rFonts w:ascii="Times New Roman" w:hAnsi="Times New Roman" w:cs="Times New Roman"/>
          <w:color w:val="0070C0"/>
          <w:sz w:val="16"/>
          <w:szCs w:val="16"/>
          <w:lang w:val="ru-RU"/>
        </w:rPr>
        <w:t xml:space="preserve">1940 </w:t>
      </w:r>
      <w:r w:rsidRPr="00DB5D0D">
        <w:rPr>
          <w:rFonts w:ascii="Times New Roman" w:hAnsi="Times New Roman" w:cs="Times New Roman"/>
          <w:color w:val="0070C0"/>
          <w:sz w:val="16"/>
          <w:szCs w:val="16"/>
        </w:rPr>
        <w:t>А.Н. Екатов разогнал И-200-01 до 648,5 км/ч на высоте 6900 метров. Это полет решил не только судьбу будущего МиГа, но практически поставил крест на карьере ББ-22. Уже на следующий день новый Пред</w:t>
      </w:r>
      <w:r w:rsidRPr="00DB5D0D">
        <w:rPr>
          <w:rFonts w:ascii="Times New Roman" w:hAnsi="Times New Roman" w:cs="Times New Roman"/>
          <w:color w:val="0070C0"/>
          <w:sz w:val="16"/>
          <w:szCs w:val="16"/>
        </w:rPr>
        <w:softHyphen/>
        <w:t>седатель Комитета Обороны Климент Ефре</w:t>
      </w:r>
      <w:r w:rsidRPr="00DB5D0D">
        <w:rPr>
          <w:rFonts w:ascii="Times New Roman" w:hAnsi="Times New Roman" w:cs="Times New Roman"/>
          <w:color w:val="0070C0"/>
          <w:sz w:val="16"/>
          <w:szCs w:val="16"/>
        </w:rPr>
        <w:softHyphen/>
        <w:t>мович Ворошилов подписал постановление № 224сс «Об организации серийного про</w:t>
      </w:r>
      <w:r w:rsidRPr="00DB5D0D">
        <w:rPr>
          <w:rFonts w:ascii="Times New Roman" w:hAnsi="Times New Roman" w:cs="Times New Roman"/>
          <w:color w:val="0070C0"/>
          <w:sz w:val="16"/>
          <w:szCs w:val="16"/>
        </w:rPr>
        <w:softHyphen/>
        <w:t>изводства самолета И-200 на заводе №1 и о снятии с производства самолета ББ-22»</w:t>
      </w:r>
      <w:r w:rsidRPr="00DB5D0D">
        <w:rPr>
          <w:rFonts w:ascii="Times New Roman" w:hAnsi="Times New Roman" w:cs="Times New Roman"/>
          <w:color w:val="0070C0"/>
          <w:sz w:val="16"/>
          <w:szCs w:val="16"/>
          <w:lang w:val="ru-RU"/>
        </w:rPr>
        <w:t xml:space="preserve"> (19867)</w:t>
      </w:r>
      <w:r w:rsidRPr="00DB5D0D">
        <w:rPr>
          <w:rFonts w:ascii="Times New Roman" w:hAnsi="Times New Roman" w:cs="Times New Roman"/>
          <w:color w:val="0070C0"/>
          <w:sz w:val="16"/>
          <w:szCs w:val="16"/>
        </w:rPr>
        <w:t>.</w:t>
      </w:r>
    </w:p>
    <w:p w14:paraId="4D2EBF8C" w14:textId="77777777" w:rsidR="00E00AAF" w:rsidRPr="00DB5D0D" w:rsidRDefault="00E00AAF" w:rsidP="00DB5D0D">
      <w:pPr>
        <w:pStyle w:val="227"/>
        <w:shd w:val="clear" w:color="auto" w:fill="auto"/>
        <w:spacing w:line="240" w:lineRule="auto"/>
        <w:jc w:val="both"/>
        <w:rPr>
          <w:rFonts w:ascii="Times New Roman" w:hAnsi="Times New Roman" w:cs="Times New Roman"/>
          <w:color w:val="0070C0"/>
          <w:sz w:val="16"/>
          <w:szCs w:val="16"/>
        </w:rPr>
      </w:pPr>
    </w:p>
    <w:p w14:paraId="1577347B" w14:textId="77777777" w:rsidR="00E00AAF" w:rsidRPr="00DB5D0D" w:rsidRDefault="00E00A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24 мая 1940 Екатов «привез» из оче</w:t>
      </w:r>
      <w:r w:rsidRPr="00DB5D0D">
        <w:rPr>
          <w:rFonts w:ascii="Times New Roman" w:hAnsi="Times New Roman"/>
          <w:color w:val="0070C0"/>
          <w:sz w:val="16"/>
          <w:szCs w:val="16"/>
          <w:lang w:eastAsia="ru-RU" w:bidi="ru-RU"/>
        </w:rPr>
        <w:softHyphen/>
        <w:t>редного полета на И-200-1 рекорд скоро</w:t>
      </w:r>
      <w:r w:rsidRPr="00DB5D0D">
        <w:rPr>
          <w:rFonts w:ascii="Times New Roman" w:hAnsi="Times New Roman"/>
          <w:color w:val="0070C0"/>
          <w:sz w:val="16"/>
          <w:szCs w:val="16"/>
          <w:lang w:eastAsia="ru-RU" w:bidi="ru-RU"/>
        </w:rPr>
        <w:softHyphen/>
        <w:t>сти - 648 км/ч в горизонтальном полете без форсажа (21686).</w:t>
      </w:r>
    </w:p>
    <w:p w14:paraId="19250543" w14:textId="77777777" w:rsidR="00E00AAF" w:rsidRPr="00DB5D0D" w:rsidRDefault="00E00AAF" w:rsidP="00DB5D0D">
      <w:pPr>
        <w:spacing w:after="0" w:line="240" w:lineRule="auto"/>
        <w:jc w:val="both"/>
        <w:rPr>
          <w:rFonts w:ascii="Times New Roman" w:hAnsi="Times New Roman"/>
          <w:color w:val="0070C0"/>
          <w:sz w:val="16"/>
          <w:szCs w:val="16"/>
        </w:rPr>
      </w:pPr>
    </w:p>
    <w:p w14:paraId="588368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Екатов "привез" на И-200-1 рекорд - 648 км/ч в горизонтальном полете, и это без форсажа! (11938).</w:t>
      </w:r>
    </w:p>
    <w:p w14:paraId="444E63A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E52D3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24/25 мая 1940 года начальник НИИ ГУАС дивинженер Филин и военком НИИ ГУАС полковой комиссар Холопцев писали письмо № 1/0453 начальнику ГУАС комдиву Алексееву</w:t>
      </w:r>
    </w:p>
    <w:p w14:paraId="1A79F5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по донесению ведущего инженера НИИ ГУАС по самолету И-26 М105П в/инженера 2 ранга Максимова, завод № 115 считает заводские испытания самолета И-26 М-105П (2 экз.) законченными и предполагает сдать самолет на госиспытания.</w:t>
      </w:r>
    </w:p>
    <w:p w14:paraId="53D0B8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заводских испытаний выполнена на 65%.</w:t>
      </w:r>
    </w:p>
    <w:p w14:paraId="094E0A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выполнено:</w:t>
      </w:r>
    </w:p>
    <w:p w14:paraId="11E396E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Штопор самолета до 2-х витков.</w:t>
      </w:r>
    </w:p>
    <w:p w14:paraId="6321902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самолета и скорости по высотам выше Н-5000 м.</w:t>
      </w:r>
    </w:p>
    <w:p w14:paraId="19A53A9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до скорости 1,5 Vmax (пикирование производилось только до V пр. = 560 км/час).</w:t>
      </w:r>
    </w:p>
    <w:p w14:paraId="72C63CD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Бочки и иммельманы.</w:t>
      </w:r>
    </w:p>
    <w:p w14:paraId="3A194A4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и расходы горючего (произведен 1 полет на расход горючего. Полет производился на различных режимах с попутным снятием скоростей по высотам, что является не характерным полетом на расход горючего). Замер расхода горючего проводился путем взвешивания.</w:t>
      </w:r>
    </w:p>
    <w:p w14:paraId="7743E3A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w:t>
      </w:r>
    </w:p>
    <w:p w14:paraId="028177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Прочность самолета недостаточная, так как расчет на прочность производился на вес 2300 кг, а действительный вес самолета 2720 кг. При проведении статиспытаний даже при загрузке исходя из веса 2300 кг слабыми местами оказались: носок крыла, моторама, фюзеляж, горизонтальное оперение самолета. Окончательных результатов статиспытаний после усиления предъявлено не было.</w:t>
      </w:r>
    </w:p>
    <w:p w14:paraId="3BD810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о следующих мероприятиях, которые со своей стороны считаю необходимыми:</w:t>
      </w:r>
    </w:p>
    <w:p w14:paraId="6AFAAF0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Создать комиссию из представителей ЦАГИ с задачей проверки результатов расчета на прочность самолета и статиспытаний. После чего самолет допустить для дальнейших заводских испытаний с перегрузками.</w:t>
      </w:r>
    </w:p>
    <w:p w14:paraId="2E19FF2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бензомаслобаки на вибростойкость.</w:t>
      </w:r>
    </w:p>
    <w:p w14:paraId="365D6F6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Увеличить запас сжатого воздуха.</w:t>
      </w:r>
    </w:p>
    <w:p w14:paraId="39888BA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Отработать вооружение с отстрелом в воздухе до Н=8000 м.</w:t>
      </w:r>
    </w:p>
    <w:p w14:paraId="4662647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Поставить вопрос перед наркомом Авиапромышленности Шахуриным об обязательном полном проведении заводом № 115 программы заводских испытаний самолета И-26, согласно постановления Правительства и проведении указанных выше мероприятий (7712, 179-180).</w:t>
      </w:r>
    </w:p>
    <w:p w14:paraId="47B4875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73B9D0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1940 на Краснопресненском заводе Главкраски состоялось совещание по рассмотрению эталонов новых расцветок. В нем участвовали представители ГУАС КА, Краснопресненского завода, директор завода 36 Пичугин и старший инженер 3-го отдела Первого ГУ НКАП Кроль. Краснопресненский завод брался за изготовление масляных эмалей для окраски металлических самолетов, должен был не позднее 3 июня изготовить одну тонну эмали темно-зеленого цвета и передать ее заводу 22 для покрытия опытной партии самолетов, а завод 36 -представить "эталоны покрытий по ткани и древесине с ориентацией на утвержденные образцы эмалевых покрытий по металлу". В протоколе совещания отмечалось заявление представителей ГУАС КА и ГУ ВВС о том, что "принятые расцветки являются временными и что необходимо срочно заняться разработкой методов камуфляжной окраски самолетов и соответствующих составов лакокрасочных материалов". Для нижних поверхностей сперва пробовали использовать глифталевую эмаль АМ-4 серо-голубого цвета, с 1935 г. успешно применявшуюся для окраски картеров моторов. Но проведенные уже в мае обследования самолетов СБ, окрашенных этой эмалью в Киевском и Белорусском военных округах, не позволили рекомендовать АМ-4 для окраски наружных поверхностей (2771,19).</w:t>
      </w:r>
    </w:p>
    <w:p w14:paraId="3A89568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C91C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24 мая по 19 июня 1940 года на НИП АВ ВВС проходили полигонные испытания модернизированного ВАП-5 ум, контрольным испытаниям ВАП-500 у головной партии и ВАП-500 у, изготовленных по ТУ военного времени (конструкции завода № 145) на самолетах СБ и ДБ-3</w:t>
      </w:r>
    </w:p>
    <w:p w14:paraId="5B50D7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477859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6F1E56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9E572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полигонных испытаний ВАП-500 ум и контрольных испытаний ВАП-500 у и ВАП-500 у, изготовленных по ТУ военного времени являлось определение следующих элементов:</w:t>
      </w:r>
    </w:p>
    <w:p w14:paraId="7269646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Прочности и надежности конструкции.</w:t>
      </w:r>
    </w:p>
    <w:p w14:paraId="503E2FD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Возможности забрызгивания самолета.</w:t>
      </w:r>
    </w:p>
    <w:p w14:paraId="7CBD41C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Безотказность действия механизмов.</w:t>
      </w:r>
    </w:p>
    <w:p w14:paraId="0390B1B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Поведения приборов в воздухе на самолете ДБ-3 при исключении резинового амортизатора.</w:t>
      </w:r>
    </w:p>
    <w:p w14:paraId="60FE148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Характера дробления жидкости на площади при выливании (прибора ВАП-500 ум).</w:t>
      </w:r>
    </w:p>
    <w:p w14:paraId="0E66DD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B43E34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заводом № 145 приборы ВАП-500у и ВАП-500 у, изготовленных по ТУ военного времени контрольные испытания не выдержали.</w:t>
      </w:r>
    </w:p>
    <w:p w14:paraId="1672152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представленный на полигонные испытания модернизированный серийным цехом завода № 145 ВАП-500у полигонные испытания не выдержал (7604).</w:t>
      </w:r>
    </w:p>
    <w:p w14:paraId="31A11E4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0D145A3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0D605E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01D0A99" w14:textId="77777777" w:rsidR="00E00AAF" w:rsidRPr="00DB5D0D" w:rsidRDefault="00E00A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 мая 1940 - South African Airways приостанавливает выполнение всех рейсов. Он возобновится после окончания Второй мировой войны в 1945 году (20795).</w:t>
      </w:r>
    </w:p>
    <w:p w14:paraId="252C8107" w14:textId="77777777" w:rsidR="00E00AAF" w:rsidRPr="00DB5D0D" w:rsidRDefault="00E00AAF" w:rsidP="00DB5D0D">
      <w:pPr>
        <w:spacing w:after="0" w:line="240" w:lineRule="auto"/>
        <w:jc w:val="both"/>
        <w:rPr>
          <w:rFonts w:ascii="Times New Roman" w:hAnsi="Times New Roman"/>
          <w:color w:val="0070C0"/>
          <w:sz w:val="16"/>
          <w:szCs w:val="16"/>
        </w:rPr>
      </w:pPr>
    </w:p>
    <w:p w14:paraId="0DADA73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1940 Англия и Франция решили вывести свои войска из Норвегии (4962).</w:t>
      </w:r>
    </w:p>
    <w:p w14:paraId="59F5C91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07FBBA0" w14:textId="77777777" w:rsidR="00E00AAF" w:rsidRPr="00DB5D0D" w:rsidRDefault="00E00A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 мая 1940 Адольф Гитлер поддерживает «приказ о прекращении», останавливающий наступление немцев во Франции против союзных войск, окруженных в Дюнкерке, чтобы позволить Люфтваффе прикончить их. Он не отменяет приказ до 26 мая. Немецкие бомбардировщики потопили британский эсминец HMS Wessex у побережья Кале и повредили британский и польский эсминец, поддерживая боевые действия британских войск (20795).</w:t>
      </w:r>
    </w:p>
    <w:p w14:paraId="6F4DD59E" w14:textId="77777777" w:rsidR="00E00AAF" w:rsidRPr="00DB5D0D" w:rsidRDefault="00E00AAF" w:rsidP="00DB5D0D">
      <w:pPr>
        <w:spacing w:after="0" w:line="240" w:lineRule="auto"/>
        <w:jc w:val="both"/>
        <w:rPr>
          <w:rFonts w:ascii="Times New Roman" w:hAnsi="Times New Roman"/>
          <w:color w:val="0070C0"/>
          <w:sz w:val="16"/>
          <w:szCs w:val="16"/>
        </w:rPr>
      </w:pPr>
    </w:p>
    <w:p w14:paraId="452F7F52"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24 мая</w:t>
      </w:r>
      <w:r w:rsidRPr="00DB5D0D">
        <w:rPr>
          <w:rFonts w:ascii="Times New Roman" w:hAnsi="Times New Roman"/>
          <w:color w:val="000000" w:themeColor="text1"/>
          <w:sz w:val="16"/>
          <w:szCs w:val="16"/>
        </w:rPr>
        <w:t xml:space="preserve"> в 1940 году «стоп-приказ» Гитлера, приостановивший наступление танковых частей под Дюнкерком (14901).</w:t>
      </w:r>
    </w:p>
    <w:p w14:paraId="4A344714"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52979F62"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24th, 1940: In the West, infantry units of XIX.Panzerkorps storm the citadel of Boulogne and take 5,000 British and French prisoners. The French fortress of Maubeuge surrenders, while 6.Armee captures Ghent and Tournai in Belgium (3819).</w:t>
      </w:r>
    </w:p>
    <w:p w14:paraId="1DCA59A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6DD45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1940 пехотные части 19 ТК штурмовали крепость Болонь и взяли в плен 5 тыс. англичан и французов. Крепость Мобог сдалась, а 6А захватила Гент и Турнаи в Бельгии (3819).</w:t>
      </w:r>
    </w:p>
    <w:p w14:paraId="21D1CB5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873259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1940 группа террористов во главе с художником Сикейросом совершила неудачное покушение на Троцкого в Мексике (Троцкий спрятался под кроватью) (4962).</w:t>
      </w:r>
    </w:p>
    <w:p w14:paraId="44751EC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C2A1F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мая 1940 было неудачное покушение на Л.Д.Т. в Мексике под руководством Д.Сикейроса. Убили через месяц (3263,267).</w:t>
      </w:r>
    </w:p>
    <w:p w14:paraId="56F5BAA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070B83" w14:textId="77777777" w:rsidR="00B949C6" w:rsidRPr="00DB5D0D" w:rsidRDefault="00B949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24 мая</w:t>
      </w:r>
      <w:r w:rsidRPr="00DB5D0D">
        <w:rPr>
          <w:rFonts w:ascii="Times New Roman" w:hAnsi="Times New Roman"/>
          <w:color w:val="000000" w:themeColor="text1"/>
          <w:sz w:val="16"/>
          <w:szCs w:val="16"/>
        </w:rPr>
        <w:t xml:space="preserve"> в 1940 году группа террористов во главе с художником Сикейросом совершила неудачное покушение на Троцкого в Мексике. Лев Давидович Троцкий (настоящая фамилия Бронштейн) в качестве председателя Петроградского совета рабочих и солдатских депутатов был одним из руководителей Октябрьского переворота в России. И благодаря этому перевороту превратился в одного из самых влиятельных людей в стране. В 1917-1918 годах он был наркомом по иностранным делам, затем, до 1925 года, наркомом по военным делам, председателем Реввоенсовета Республики. Троцкий стал одним из создателей Красной Армии, одержавшей победу в Гражданской войне. Однако в борьбе за власть в стране, развернувшейся после смерти Ленина, Троцкий проиграл соратнику по партии Сталину. И стал неугоден новой власти. Поначалу, вступив в союз с Зиновьем и Каменевым, он попытался бороться со Сталиным. В 1927 году на заседании Президиума Исполнительного комитета Коммунистического Интернационала (ИККИ) и Контрольной комиссии ИККИ острейшая борьба между Сталиным и Троцким достигла кульминации. И Троцкий опять проиграл. Ему были предъявлены обвинения в усилении фракционной деятельности, антибольшевизме, антиленинизме. Троцкий был исключен из партии, выслан в Алма-Ату, в 1929 году - за границу. Однако Сталин не выпускал Троцкого из поля зрения и за границей, поставив себе целью его физическое уничтожение. В Норвегии, где первоначально остановился Троцкий, его ликвидировать не успели: Лев Давидович женой Натальей и сыном Львом Седовым уехал в Мексику. Но руки НКВД дотянулись и туда. Ответственным за операцию по ликвидации Троцкого был назначен П.А.Судоплатов - один из ведущих мастеров спецопреаций, который отправил в Мексику своего сотрудника Н.Эйтингона. В свою очередь Эйтингтон для ликвидации Льва Давидовича привлек известного мексиканского художника Давида Сикейроса. Тот воевал в Испании в знаменитом 5-м полку Энрике Листера и дослужился до чина полковника. В 1937 году он участвовал в ликвидации мятежа троцкистской Рабочей партии марксистского единства ПОУМ, которая подняла в Барселоне мятеж против республиканского правительства. Так что Сикейрос знал троцкистов не понаслышке и не любил их. А потому согласился на участие в операции. Художник сформировал группу для покушения из ветеранов войны в Испании. Троцкий в Мексике купил большой дом в предместье мексиканской столицы Койоака. И основательно обезопасил его. Дом был обнесен высокой стеной со сторожевыми площадками, на которых стояли вооруженные охранники – американские троцкисты. 24 мая 1940 года Сикейрос с двумя десятками человек устроил массированный обстрел виллы Троцкого. Но тот остался цел и невредим, пострадал только внук Троцкого, Всеволод Волков (он был легко ранен), а также был убит охранник - американец Харт. После этого Троцкий превратил свою виллу в настоящую крепость, в которую впускались только проверенные люди (14901).</w:t>
      </w:r>
    </w:p>
    <w:p w14:paraId="25516ED1" w14:textId="77777777" w:rsidR="00B949C6" w:rsidRPr="00DB5D0D" w:rsidRDefault="00B949C6" w:rsidP="00DB5D0D">
      <w:pPr>
        <w:spacing w:after="0" w:line="240" w:lineRule="auto"/>
        <w:jc w:val="both"/>
        <w:rPr>
          <w:rFonts w:ascii="Times New Roman" w:hAnsi="Times New Roman"/>
          <w:color w:val="000000" w:themeColor="text1"/>
          <w:sz w:val="16"/>
          <w:szCs w:val="16"/>
        </w:rPr>
      </w:pPr>
    </w:p>
    <w:p w14:paraId="401513A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3A0C63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9E000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Нач. НИИ ГУАС КА Филин утвердил Протокол заседания макетной комиссии по рассмотрению макета самолета одноместного пикирующего бомбардировщика с М-90 конструкции инж. Кочеригина, представленном заводом N 156 (2062,50).</w:t>
      </w:r>
    </w:p>
    <w:p w14:paraId="31791E4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E8C9258" w14:textId="77777777" w:rsidR="0013421D" w:rsidRPr="00DB5D0D" w:rsidRDefault="0013421D"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25 мая 1940 летчик-испытатель завода № 156 капитан В Т Сахранов впервые поднял скоростной штурмовик-бомбарди</w:t>
      </w:r>
      <w:r w:rsidRPr="00DB5D0D">
        <w:rPr>
          <w:rFonts w:ascii="Times New Roman" w:cs="Times New Roman"/>
          <w:color w:val="000000" w:themeColor="text1"/>
          <w:spacing w:val="0"/>
        </w:rPr>
        <w:softHyphen/>
        <w:t>ровщик ШБ - ББ-2 в воздух и начались заводские испытания.</w:t>
      </w:r>
    </w:p>
    <w:p w14:paraId="41D7050C" w14:textId="77777777" w:rsidR="0013421D" w:rsidRPr="00DB5D0D" w:rsidRDefault="0013421D" w:rsidP="00DB5D0D">
      <w:pPr>
        <w:spacing w:after="0" w:line="240" w:lineRule="auto"/>
        <w:jc w:val="both"/>
        <w:rPr>
          <w:rFonts w:ascii="Times New Roman" w:hAnsi="Times New Roman"/>
          <w:color w:val="000000" w:themeColor="text1"/>
          <w:sz w:val="16"/>
          <w:szCs w:val="16"/>
        </w:rPr>
      </w:pPr>
    </w:p>
    <w:p w14:paraId="70E977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начальник НИИ ВВС А.И.Филин утвердил протокол заседания макетной комиссии по самолету ОПБ М-90.</w:t>
      </w:r>
    </w:p>
    <w:p w14:paraId="479470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 макетной комиссии входили военный инженер 1-го ранга А.С.Воеводин (председатель комиссии), летчик-испытатель П.М.Стефановский, бригадный инженер Б.Н.Пономарев, в последствии замглавкома ВВС, упоминавшийся выше инженер И.И.Машкевич, главный конструктор самолета С.А.Кочеригин, главный инженер завода №156 Тюрин, летчик-испытатель А.И.Емельянов.</w:t>
      </w:r>
    </w:p>
    <w:p w14:paraId="24BD9E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кропотливой работы комиссия постановила: «макет, кроме ВМГ, утвердить», внеся при этом в конструкцию машины некоторые изменения.</w:t>
      </w:r>
    </w:p>
    <w:p w14:paraId="197E08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частности, с целью устранения искажения обзора переднюю часть фонаря предлагалось сделать с прямыми участками из триплекса.</w:t>
      </w:r>
    </w:p>
    <w:p w14:paraId="1305D3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 фонарь сделать сдвигающимся назад, используя для этого опыт завода № 1 (имелись ввиду работы Н.Н.Поликарпова по И-185). Рекомендовалось ручку управления укоротить на 20 см и совместить в одной рукоятке управление нормальным газом и форсажем по типу И-180.</w:t>
      </w:r>
    </w:p>
    <w:p w14:paraId="617F49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дополнение к основному варианту вооружения самолета требовалось обеспечить подвеску 4-6 реактивных снарядов, трех бетонобойных авиабомб типа БЕТАБ-150ДС и трех бомб типа БРАБ-200.</w:t>
      </w:r>
    </w:p>
    <w:p w14:paraId="6B219C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главному конструктору предлагалось проработать возможность подвески на самолет одной бомбы БРАБ-500 и вариант подвески пердъявить на макете.</w:t>
      </w:r>
    </w:p>
    <w:p w14:paraId="037F0B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машины в окончательном виде должно было включать два синхронных пулемета ШКАС (по 500 патронов на ствол) и два синхронных пулемета БС (по 200 патронов на пулемет).</w:t>
      </w:r>
    </w:p>
    <w:p w14:paraId="3BE68F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сбрасывания бомб с пикирования устанавливался прицел ПАК-23. Предусматривалась и установка фото-кинопулемета ПАУ-22.</w:t>
      </w:r>
    </w:p>
    <w:p w14:paraId="171229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Механизм аварийного выпуска шасси требовалось изменить по типу И-153, а воздушный канал в носке крыла для охлаждения маслорадиато-ра выполнить по типу И-180.</w:t>
      </w:r>
    </w:p>
    <w:p w14:paraId="2EC61D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члены комиссии потребовали от главного конструктора к 1 июня 1940 г. разработать полную схему бронирования машины, а также проработать вопрос о возможности установки мотора М-71 вместо М-90.</w:t>
      </w:r>
    </w:p>
    <w:p w14:paraId="016869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Макетная комиссия в своем заключении особо отметила, что «предъявленный самолет представляет значительный интерес для ВВС, а поэтому считает целесообразным ускорение доводки макета и скорейшего разрешения вопроса о постройке самолета» (9649).</w:t>
      </w:r>
    </w:p>
    <w:p w14:paraId="1DAE38E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C8DD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летчик-испыта</w:t>
      </w:r>
      <w:r w:rsidRPr="00DB5D0D">
        <w:rPr>
          <w:rFonts w:ascii="Times New Roman" w:hAnsi="Times New Roman"/>
          <w:color w:val="000000" w:themeColor="text1"/>
          <w:sz w:val="16"/>
          <w:szCs w:val="16"/>
        </w:rPr>
        <w:softHyphen/>
        <w:t>тель завода №156 капитан В.Т.Сахранов впервые поднял самолет ББ-2 М-88 в воздух (11849).</w:t>
      </w:r>
    </w:p>
    <w:p w14:paraId="17F264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8FC81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с 25 мая по 15 июня 1940 г. дополнительные испытания для определения возможности пикирования на СБ велись на полигоне авиационных вооружений. СБ № 15/266 пикировал под углами от 50 до 90°, осуществлялся сброс ФАБ-250 и ФАБ-500, при этом летчик пользовался прицелом ПАН-23, момент выхода определял штурман при помощи прицела ОПБ-1.</w:t>
      </w:r>
    </w:p>
    <w:p w14:paraId="19FE29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отчетных документах по этим испытаниям указывалось, что в пикирование самолет входит легко, для перехода на углы 70-80° требуется 4-5 секунд. Элеронов и руля поворота на пикировании СБ почти не слушает, вследствие чего довороты на цель трудно осуществимы. Механизм ПБ-3 действовал безотказно.</w:t>
      </w:r>
    </w:p>
    <w:p w14:paraId="4696C3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оценка: "самолет слепой, летчик не видит цели до 70°, нужно улучшить обзор, поставить воздушные тормоза". Быстрое нарастание скорости затрудняет отыскание цели и создает большие перегрузки при выводе" (12027).</w:t>
      </w:r>
    </w:p>
    <w:p w14:paraId="20DD25F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F05C9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в НИИ ВВС закончились полигонные испытания подвесной кассеты на самолете И-153 "Ш" конструкции завода № 1, которые проходили с 10 мая 1940.</w:t>
      </w:r>
    </w:p>
    <w:p w14:paraId="7C074E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3F662C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Ефимов</w:t>
      </w:r>
    </w:p>
    <w:p w14:paraId="4DB37B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9A44C3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Безотказность работы кассеты при сбрасывании бомб и прочность ее в воздухе.</w:t>
      </w:r>
    </w:p>
    <w:p w14:paraId="2F0BCB6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Удобство эксплуатации кассеты и загрузки ее бомбами.</w:t>
      </w:r>
    </w:p>
    <w:p w14:paraId="7286A23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загружаемых бомб и варианты бомбовых загрузок.</w:t>
      </w:r>
    </w:p>
    <w:p w14:paraId="32098DC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рассеивания АБ при бомбометании из кассет.</w:t>
      </w:r>
    </w:p>
    <w:p w14:paraId="3391639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Целесообразность применения подобного типа кассет на самолетах И-153 "Ш".</w:t>
      </w:r>
    </w:p>
    <w:p w14:paraId="6BA740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A6AC60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Подвесная кассета для самолета И-153 завода № 1 по безотказности действия и по рассеиванию бомб при бомбометании по площадям испытание выдержала (7403).</w:t>
      </w:r>
    </w:p>
    <w:p w14:paraId="3D3B1B9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1F9F04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на заводские испытания был передан ББ-2 М-88 П.О.С. (2090,133) и испытания шли до 19 июля 1940 (2090,232).</w:t>
      </w:r>
    </w:p>
    <w:p w14:paraId="3270A17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EE5D7E" w14:textId="77777777" w:rsidR="00E2169E" w:rsidRPr="00DB5D0D" w:rsidRDefault="00E2169E" w:rsidP="00DB5D0D">
      <w:pPr>
        <w:pStyle w:val="a3"/>
        <w:rPr>
          <w:color w:val="000000" w:themeColor="text1"/>
          <w:lang w:val="ru-RU"/>
        </w:rPr>
      </w:pPr>
      <w:r w:rsidRPr="00DB5D0D">
        <w:rPr>
          <w:color w:val="000000" w:themeColor="text1"/>
          <w:lang w:val="ru-RU"/>
        </w:rPr>
        <w:t>25 мая 1940 г. лётчик-испытатель завода № 156 капитан В.Т. Сахранов впервые поднял ББ-2 М-88 в воздух (15975).</w:t>
      </w:r>
    </w:p>
    <w:p w14:paraId="448584C3" w14:textId="77777777" w:rsidR="00E2169E" w:rsidRPr="00DB5D0D" w:rsidRDefault="00E2169E" w:rsidP="00DB5D0D">
      <w:pPr>
        <w:pStyle w:val="a3"/>
        <w:rPr>
          <w:color w:val="000000" w:themeColor="text1"/>
          <w:lang w:val="ru-RU"/>
        </w:rPr>
      </w:pPr>
    </w:p>
    <w:p w14:paraId="51430C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вышло постановление КО N 221сс "О мероприятиях по ЧФ"</w:t>
      </w:r>
    </w:p>
    <w:p w14:paraId="144168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НКАП к 1 июля 1940 сдать НКВМФ в счет плана 2 кв., утвержденного постановлением КО N 77сс от 19 февраля 1940 48 ДБ-3 для укомплектования матчастью ВВС ЧФ." (1295,179).</w:t>
      </w:r>
    </w:p>
    <w:p w14:paraId="2C631B1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126C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вышло постановление КО N 222с "О постройке новых авиамоторов на заводе 24".</w:t>
      </w:r>
    </w:p>
    <w:p w14:paraId="6ADD8C2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0570BE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вышло постановление КО № 222сс</w:t>
      </w:r>
    </w:p>
    <w:p w14:paraId="366FDB3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Конструктору Микулину, завод № 24 изготовить новый мотор АМ-37.</w:t>
      </w:r>
    </w:p>
    <w:p w14:paraId="7C394EA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1400 л.с.</w:t>
      </w:r>
    </w:p>
    <w:p w14:paraId="3D8A502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1400 л.с. на высоте 6000 м.</w:t>
      </w:r>
    </w:p>
    <w:p w14:paraId="7E32B88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100-часовые гос. испытания 1 сентября 1040 года.</w:t>
      </w:r>
    </w:p>
    <w:p w14:paraId="7ADDAEE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Конструктору Колосову, завод № 16. Изготовить мотор М-12Р воздушного охлаждения с 2-х скоростным нагнетателем.</w:t>
      </w:r>
    </w:p>
    <w:p w14:paraId="258C36B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750 л.с.</w:t>
      </w:r>
    </w:p>
    <w:p w14:paraId="0F1C50D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700 л.с. на высоте 4000 м.</w:t>
      </w:r>
    </w:p>
    <w:p w14:paraId="4C55343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Закончить заводские испытания к 1 декабря 1940 года (4048, 4).</w:t>
      </w:r>
    </w:p>
    <w:p w14:paraId="7BC04CE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B5466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постановление № 222сс КО</w:t>
      </w:r>
    </w:p>
    <w:p w14:paraId="0FF8E1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постройке новых авиационных моторов на заводе № 24 НКАП</w:t>
      </w:r>
    </w:p>
    <w:p w14:paraId="5A00FD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7307D3E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(директора завода № 24 Дубова и гл. конструктора Микулина) в дополнение к постановлениям КО № 91сс от 26 апреля 1939 года и № 209сс от 20 мая 1940 года обеспечить доводку ресурса надежной работы мотора АМ-37 (модификация мотора АМ-35; взлетная мощность – 1400 л.с., номинальная мощность на расчетной высоте - 1400 л.с., расчетная высота –6000 м, октановое число топлива не выше – 95) до 100 часов и провести его государственные 100-часовые испытания к 1 сентября 1940 года (7611, 57).</w:t>
      </w:r>
    </w:p>
    <w:p w14:paraId="0E594EC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46B67D4B"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 мая 1940 вышло Постановление Комитета обороны при СНК СССР № 222сс "О постройке новых авиационных моторов на заводе № 24 Наркомавиапрома"</w:t>
      </w:r>
    </w:p>
    <w:p w14:paraId="61F17285"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 постройке новых авиационных моторов на заводе № 24 НКАП</w:t>
      </w:r>
    </w:p>
    <w:p w14:paraId="06C35513"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ОБОРОНЫ при СНК Союза ССР ПОСТАНОВЛЯЕТ:</w:t>
      </w:r>
    </w:p>
    <w:p w14:paraId="0EA37DF1"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Обязать Наркомавиапром (директора завода № 24 т. ДУБОВА и Главного конструктора - тов. МИКУЛИНА), в дополнение к решениям Комитета Обороны № 91сс от 26.4.39г. и № 209сс обеспечить доводку ресурса надежной работы мотора АМ-37 (модифи</w:t>
      </w:r>
      <w:r w:rsidRPr="00DB5D0D">
        <w:rPr>
          <w:rFonts w:ascii="Times New Roman" w:hAnsi="Times New Roman"/>
          <w:color w:val="0070C0"/>
          <w:sz w:val="16"/>
          <w:szCs w:val="16"/>
        </w:rPr>
        <w:softHyphen/>
        <w:t>кация мотора АМ-35; взлетная модность - 1400 л.с., номинальная модность на расчетной высоте - 1400 л. с., расчетная высота - 6000 м., октановое число топлива не выше - 95) до 100 часов и провести его государственные 100 часовые испытания к 1 сентября 1940 года.</w:t>
      </w:r>
    </w:p>
    <w:p w14:paraId="31233755"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Отпустить из резервного фонда СНК СССР под отчет в рас</w:t>
      </w:r>
      <w:r w:rsidRPr="00DB5D0D">
        <w:rPr>
          <w:rFonts w:ascii="Times New Roman" w:hAnsi="Times New Roman"/>
          <w:color w:val="0070C0"/>
          <w:sz w:val="16"/>
          <w:szCs w:val="16"/>
        </w:rPr>
        <w:softHyphen/>
        <w:t>поряжение Наркома Авиапромышленности 2,5 млн. рублей для премиро</w:t>
      </w:r>
      <w:r w:rsidRPr="00DB5D0D">
        <w:rPr>
          <w:rFonts w:ascii="Times New Roman" w:hAnsi="Times New Roman"/>
          <w:color w:val="0070C0"/>
          <w:sz w:val="16"/>
          <w:szCs w:val="16"/>
        </w:rPr>
        <w:softHyphen/>
        <w:t>вания ИТР, рабочих и служащих завода № 24 в соответствии с Поло</w:t>
      </w:r>
      <w:r w:rsidRPr="00DB5D0D">
        <w:rPr>
          <w:rFonts w:ascii="Times New Roman" w:hAnsi="Times New Roman"/>
          <w:color w:val="0070C0"/>
          <w:sz w:val="16"/>
          <w:szCs w:val="16"/>
        </w:rPr>
        <w:softHyphen/>
        <w:t>жением о премировании за создание мотора АМ-37.</w:t>
      </w:r>
    </w:p>
    <w:p w14:paraId="2F0E74DF"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Наркомавиапрому отчет об израсходовании премиальных сумм представить в Комитет Обороны к 20 января 1941 года (21913).</w:t>
      </w:r>
    </w:p>
    <w:p w14:paraId="58A6634E" w14:textId="77777777" w:rsidR="00DA1C9C" w:rsidRPr="00DB5D0D" w:rsidRDefault="00DA1C9C" w:rsidP="00DB5D0D">
      <w:pPr>
        <w:spacing w:after="0" w:line="240" w:lineRule="auto"/>
        <w:jc w:val="both"/>
        <w:rPr>
          <w:rFonts w:ascii="Times New Roman" w:hAnsi="Times New Roman"/>
          <w:color w:val="0070C0"/>
          <w:sz w:val="16"/>
          <w:szCs w:val="16"/>
        </w:rPr>
      </w:pPr>
    </w:p>
    <w:p w14:paraId="133057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по самолету ББ-22 КО принято решение N 224сс, в котором было точно указано в каком виде самолет ББ-22 должен сдаваться на вооружение (3444).</w:t>
      </w:r>
    </w:p>
    <w:p w14:paraId="4090111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ED37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Протокол № 16. Заседание ПБ за 9-26 мая 1940 г.</w:t>
      </w:r>
    </w:p>
    <w:p w14:paraId="3471BC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13.5.40 г.</w:t>
      </w:r>
    </w:p>
    <w:p w14:paraId="0A5D6D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63. Вопрос КО. Об организации производства авиамоторов.</w:t>
      </w:r>
    </w:p>
    <w:p w14:paraId="3D43CC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15.5.40 г.</w:t>
      </w:r>
    </w:p>
    <w:p w14:paraId="6CFD8D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 90. Об организации серийного производства самолета И-26 конструкции Яковлева на заводе № 301*. </w:t>
      </w:r>
      <w:r w:rsidRPr="00DB5D0D">
        <w:rPr>
          <w:rFonts w:ascii="Times New Roman" w:hAnsi="Times New Roman"/>
          <w:color w:val="000000" w:themeColor="text1"/>
          <w:sz w:val="16"/>
          <w:szCs w:val="16"/>
          <w:u w:val="single"/>
        </w:rPr>
        <w:t>22.5.40 г.</w:t>
      </w:r>
    </w:p>
    <w:p w14:paraId="561830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179. О самолетах. Изменение окраски самолетов.</w:t>
      </w:r>
    </w:p>
    <w:p w14:paraId="791686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25.5.40 г.</w:t>
      </w:r>
    </w:p>
    <w:p w14:paraId="7024EB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194. Вопрос КО. О производстве четырехмоторных дальних бомбардировщиков; о постройке новых авиационных моторов; об организации производства самолетов.</w:t>
      </w:r>
    </w:p>
    <w:p w14:paraId="536567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 xml:space="preserve">26. 5. 40 г. </w:t>
      </w:r>
      <w:r w:rsidRPr="00DB5D0D">
        <w:rPr>
          <w:rFonts w:ascii="Times New Roman" w:hAnsi="Times New Roman"/>
          <w:color w:val="000000" w:themeColor="text1"/>
          <w:sz w:val="16"/>
          <w:szCs w:val="16"/>
        </w:rPr>
        <w:t>П. 210. Вопрос КО. О производстве четырехмоторных дальних бомбардировщиков (11773).</w:t>
      </w:r>
    </w:p>
    <w:p w14:paraId="7450207F"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40FB93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вышло Постановление КО №227, в соответствии с которым завод №124 передал 20 марта 1941 года на государственные испытания в военно-транспортном варианте ТБ-7 4АМ-35А №42015 (на первом этапе ГИ машина проходила испытания как ВТС, затем как бомбардировщик). От серийного бомбардировочного варианта эта машина отличалась следующим: каркас по обшивке отсека Ф-3 усилен, усилены лонжероны центроплана, в Ф-3 в бомбоотсеке установили крепления для грузовой платформы для перевозки массой до 4000 кг, оборудовали сиденьями на 32 десантника, еще 8 человек могло размещаться на сиденьях вместо АЦН-2. В хвостовой части оборудовали две двери размером 1150х750 мм для загрузки десанта и грузов (7685).</w:t>
      </w:r>
    </w:p>
    <w:p w14:paraId="0E59A74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07220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вышло постановление Комитета обороны, в соответствии с которым завод № 124 построил транспортный ТБ-7 с моторами АМ-35А. На госиспытания его выставили 20 марта 1941 г. От бомбардировщика эта машина отличалась усиленными лонжеронами центроплана и каркасом отсека Ф-3; в бомбоотсеке установили крепления для платформы, рассчитанной на груз до 4000 кг, и сиденья для 32 десантников. Ещё восемь человек разместили в отсеке, где раньше стоял АЦН-2. В хвостовой части фюзеляжа сделали две двери. Самолёт прошёл испытания, но позже был переоборудован в бомбардировщик (11996).</w:t>
      </w:r>
    </w:p>
    <w:p w14:paraId="554A88E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7355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вышло постановление КО N 227сс "О производстве четырехмоторного ДБ на заводе 124" по ТБ-7 (АНТ-42), по которому потом, 28 мая 1940 вышел приказ НКАП N 237сс (402,34). По этому приказу строили десантный вариант c 4хАМ-35А (777,10).</w:t>
      </w:r>
    </w:p>
    <w:p w14:paraId="0EB3FB3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9B8C3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вышло постановление № 227сс КО О производстве четырехмоторных дальних бомбардировщиков на заводе № 124</w:t>
      </w:r>
    </w:p>
    <w:p w14:paraId="303B3A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целях обеспечения ВВС четырехмоторными военнотранспортными самолетами и дальними бомбардировщиками, КО постановляет:</w:t>
      </w:r>
    </w:p>
    <w:p w14:paraId="6B32BEF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Наркомавиапром – Шахурина А.И. и директора завода № 124 – Штейнберг организовать производство самолетов ТБ-7 на заводе № 124.</w:t>
      </w:r>
    </w:p>
    <w:p w14:paraId="14D5BB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что самолет ТБ-7 должен выполнять функции:</w:t>
      </w:r>
    </w:p>
    <w:p w14:paraId="667635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дальнего бомбардировщика,</w:t>
      </w:r>
    </w:p>
    <w:p w14:paraId="5FFC81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военно-транспортного самолета.</w:t>
      </w:r>
    </w:p>
    <w:p w14:paraId="75112E7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до конца 1940 года программу по заводу № 124 по самолетам ТБ-7 (сверх двух самолетов, сданных в 1 квартале 1940 года):</w:t>
      </w:r>
    </w:p>
    <w:p w14:paraId="2F31B0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мотором АМ-35А (без АЦН-2) – 10 самолетов</w:t>
      </w:r>
    </w:p>
    <w:p w14:paraId="204659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мотором М-30 – 1 самолет</w:t>
      </w:r>
    </w:p>
    <w:p w14:paraId="45E2E0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мотором М-40 – 1 самолет</w:t>
      </w:r>
    </w:p>
    <w:p w14:paraId="2BD055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мотором М-40Ф – 1 самолет</w:t>
      </w:r>
    </w:p>
    <w:p w14:paraId="726862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 13 самолетов</w:t>
      </w:r>
    </w:p>
    <w:p w14:paraId="29A030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директора завода № 124 Штейнберга и гл. конструктора завода № 124 Незваль И.Ф. обеспечить получение следующих летно-тактических данных по самолетам ТБ-7: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72"/>
        <w:gridCol w:w="1985"/>
        <w:gridCol w:w="1985"/>
        <w:gridCol w:w="1985"/>
        <w:gridCol w:w="1985"/>
      </w:tblGrid>
      <w:tr w:rsidR="007D5DF8" w:rsidRPr="00DB5D0D" w14:paraId="4409A0A5" w14:textId="77777777" w:rsidTr="009223E5">
        <w:tc>
          <w:tcPr>
            <w:tcW w:w="3572" w:type="dxa"/>
          </w:tcPr>
          <w:p w14:paraId="015FF1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w:t>
            </w:r>
          </w:p>
        </w:tc>
        <w:tc>
          <w:tcPr>
            <w:tcW w:w="1985" w:type="dxa"/>
          </w:tcPr>
          <w:p w14:paraId="58D132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4 моторами АМ-35А</w:t>
            </w:r>
          </w:p>
        </w:tc>
        <w:tc>
          <w:tcPr>
            <w:tcW w:w="1985" w:type="dxa"/>
          </w:tcPr>
          <w:p w14:paraId="6C966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4 моторами М-30</w:t>
            </w:r>
          </w:p>
        </w:tc>
        <w:tc>
          <w:tcPr>
            <w:tcW w:w="1985" w:type="dxa"/>
          </w:tcPr>
          <w:p w14:paraId="6226EB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4 моторами М-40</w:t>
            </w:r>
          </w:p>
        </w:tc>
        <w:tc>
          <w:tcPr>
            <w:tcW w:w="1985" w:type="dxa"/>
          </w:tcPr>
          <w:p w14:paraId="0A3591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4 моторами М-40Ф</w:t>
            </w:r>
          </w:p>
        </w:tc>
      </w:tr>
      <w:tr w:rsidR="007D5DF8" w:rsidRPr="00DB5D0D" w14:paraId="4A0E31EA" w14:textId="77777777" w:rsidTr="009223E5">
        <w:tc>
          <w:tcPr>
            <w:tcW w:w="3572" w:type="dxa"/>
          </w:tcPr>
          <w:p w14:paraId="4064B1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границе высотности</w:t>
            </w:r>
          </w:p>
        </w:tc>
        <w:tc>
          <w:tcPr>
            <w:tcW w:w="1985" w:type="dxa"/>
          </w:tcPr>
          <w:p w14:paraId="71F5D5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410 км/час/4700 м</w:t>
            </w:r>
          </w:p>
        </w:tc>
        <w:tc>
          <w:tcPr>
            <w:tcW w:w="1985" w:type="dxa"/>
          </w:tcPr>
          <w:p w14:paraId="7F0B20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430 км/час/6000 м</w:t>
            </w:r>
          </w:p>
        </w:tc>
        <w:tc>
          <w:tcPr>
            <w:tcW w:w="1985" w:type="dxa"/>
          </w:tcPr>
          <w:p w14:paraId="68E6F8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385 км/час/5500 м</w:t>
            </w:r>
          </w:p>
        </w:tc>
        <w:tc>
          <w:tcPr>
            <w:tcW w:w="1985" w:type="dxa"/>
          </w:tcPr>
          <w:p w14:paraId="7FC881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 км/час/8000 м</w:t>
            </w:r>
          </w:p>
        </w:tc>
      </w:tr>
      <w:tr w:rsidR="007D5DF8" w:rsidRPr="00DB5D0D" w14:paraId="74EE8FD3" w14:textId="77777777" w:rsidTr="009223E5">
        <w:tc>
          <w:tcPr>
            <w:tcW w:w="3572" w:type="dxa"/>
          </w:tcPr>
          <w:p w14:paraId="1D9DCB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w:t>
            </w:r>
          </w:p>
        </w:tc>
        <w:tc>
          <w:tcPr>
            <w:tcW w:w="1985" w:type="dxa"/>
          </w:tcPr>
          <w:p w14:paraId="49A52E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8600 м</w:t>
            </w:r>
          </w:p>
        </w:tc>
        <w:tc>
          <w:tcPr>
            <w:tcW w:w="1985" w:type="dxa"/>
          </w:tcPr>
          <w:p w14:paraId="6102F5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 м</w:t>
            </w:r>
          </w:p>
        </w:tc>
        <w:tc>
          <w:tcPr>
            <w:tcW w:w="1985" w:type="dxa"/>
          </w:tcPr>
          <w:p w14:paraId="49A251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8150 м </w:t>
            </w:r>
          </w:p>
        </w:tc>
        <w:tc>
          <w:tcPr>
            <w:tcW w:w="1985" w:type="dxa"/>
          </w:tcPr>
          <w:p w14:paraId="73112C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10200 м</w:t>
            </w:r>
          </w:p>
        </w:tc>
      </w:tr>
      <w:tr w:rsidR="007D5DF8" w:rsidRPr="00DB5D0D" w14:paraId="3DFDBF21" w14:textId="77777777" w:rsidTr="009223E5">
        <w:tc>
          <w:tcPr>
            <w:tcW w:w="3572" w:type="dxa"/>
          </w:tcPr>
          <w:p w14:paraId="7F1075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2000 кг бомб</w:t>
            </w:r>
          </w:p>
        </w:tc>
        <w:tc>
          <w:tcPr>
            <w:tcW w:w="1985" w:type="dxa"/>
          </w:tcPr>
          <w:p w14:paraId="358B00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 км</w:t>
            </w:r>
          </w:p>
        </w:tc>
        <w:tc>
          <w:tcPr>
            <w:tcW w:w="1985" w:type="dxa"/>
          </w:tcPr>
          <w:p w14:paraId="309BC1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5100 км</w:t>
            </w:r>
          </w:p>
        </w:tc>
        <w:tc>
          <w:tcPr>
            <w:tcW w:w="1985" w:type="dxa"/>
          </w:tcPr>
          <w:p w14:paraId="6258EB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5100 км</w:t>
            </w:r>
          </w:p>
        </w:tc>
        <w:tc>
          <w:tcPr>
            <w:tcW w:w="1985" w:type="dxa"/>
          </w:tcPr>
          <w:p w14:paraId="084444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5100 км</w:t>
            </w:r>
          </w:p>
        </w:tc>
      </w:tr>
      <w:tr w:rsidR="007D5DF8" w:rsidRPr="00DB5D0D" w14:paraId="13F37477" w14:textId="77777777" w:rsidTr="009223E5">
        <w:tc>
          <w:tcPr>
            <w:tcW w:w="3572" w:type="dxa"/>
          </w:tcPr>
          <w:p w14:paraId="4A9A17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3000 кг бомб</w:t>
            </w:r>
          </w:p>
        </w:tc>
        <w:tc>
          <w:tcPr>
            <w:tcW w:w="1985" w:type="dxa"/>
          </w:tcPr>
          <w:p w14:paraId="148275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2900 км</w:t>
            </w:r>
          </w:p>
        </w:tc>
        <w:tc>
          <w:tcPr>
            <w:tcW w:w="1985" w:type="dxa"/>
          </w:tcPr>
          <w:p w14:paraId="6BD0C7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4600 км</w:t>
            </w:r>
          </w:p>
        </w:tc>
        <w:tc>
          <w:tcPr>
            <w:tcW w:w="1985" w:type="dxa"/>
          </w:tcPr>
          <w:p w14:paraId="438006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4600 км</w:t>
            </w:r>
          </w:p>
        </w:tc>
        <w:tc>
          <w:tcPr>
            <w:tcW w:w="1985" w:type="dxa"/>
          </w:tcPr>
          <w:p w14:paraId="21855A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4600 км</w:t>
            </w:r>
          </w:p>
        </w:tc>
      </w:tr>
      <w:tr w:rsidR="007D5DF8" w:rsidRPr="00DB5D0D" w14:paraId="5DF562E5" w14:textId="77777777" w:rsidTr="009223E5">
        <w:tc>
          <w:tcPr>
            <w:tcW w:w="3572" w:type="dxa"/>
          </w:tcPr>
          <w:p w14:paraId="7DC7AA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4000 кг бомб</w:t>
            </w:r>
          </w:p>
        </w:tc>
        <w:tc>
          <w:tcPr>
            <w:tcW w:w="1985" w:type="dxa"/>
          </w:tcPr>
          <w:p w14:paraId="6FEEB0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 км</w:t>
            </w:r>
          </w:p>
        </w:tc>
        <w:tc>
          <w:tcPr>
            <w:tcW w:w="1985" w:type="dxa"/>
          </w:tcPr>
          <w:p w14:paraId="330106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4100 км</w:t>
            </w:r>
          </w:p>
        </w:tc>
        <w:tc>
          <w:tcPr>
            <w:tcW w:w="1985" w:type="dxa"/>
          </w:tcPr>
          <w:p w14:paraId="496FDD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4100 км</w:t>
            </w:r>
          </w:p>
        </w:tc>
        <w:tc>
          <w:tcPr>
            <w:tcW w:w="1985" w:type="dxa"/>
          </w:tcPr>
          <w:p w14:paraId="63A221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4100 км</w:t>
            </w:r>
          </w:p>
        </w:tc>
      </w:tr>
      <w:tr w:rsidR="007D5DF8" w:rsidRPr="00DB5D0D" w14:paraId="62130C0F" w14:textId="77777777" w:rsidTr="009223E5">
        <w:tc>
          <w:tcPr>
            <w:tcW w:w="3572" w:type="dxa"/>
          </w:tcPr>
          <w:p w14:paraId="29DFC2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Дальность в транспортном варианте </w:t>
            </w:r>
          </w:p>
        </w:tc>
        <w:tc>
          <w:tcPr>
            <w:tcW w:w="1985" w:type="dxa"/>
          </w:tcPr>
          <w:p w14:paraId="08267A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 км</w:t>
            </w:r>
          </w:p>
        </w:tc>
        <w:tc>
          <w:tcPr>
            <w:tcW w:w="1985" w:type="dxa"/>
          </w:tcPr>
          <w:p w14:paraId="473B06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 км</w:t>
            </w:r>
          </w:p>
        </w:tc>
        <w:tc>
          <w:tcPr>
            <w:tcW w:w="1985" w:type="dxa"/>
          </w:tcPr>
          <w:p w14:paraId="3E721C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 км</w:t>
            </w:r>
          </w:p>
        </w:tc>
        <w:tc>
          <w:tcPr>
            <w:tcW w:w="1985" w:type="dxa"/>
          </w:tcPr>
          <w:p w14:paraId="3AC992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 км</w:t>
            </w:r>
          </w:p>
        </w:tc>
      </w:tr>
      <w:tr w:rsidR="007D5DF8" w:rsidRPr="00DB5D0D" w14:paraId="35F04222" w14:textId="77777777" w:rsidTr="009223E5">
        <w:tc>
          <w:tcPr>
            <w:tcW w:w="3572" w:type="dxa"/>
          </w:tcPr>
          <w:p w14:paraId="0FC280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Транспорт</w:t>
            </w:r>
          </w:p>
        </w:tc>
        <w:tc>
          <w:tcPr>
            <w:tcW w:w="1985" w:type="dxa"/>
          </w:tcPr>
          <w:p w14:paraId="33B577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чел.</w:t>
            </w:r>
          </w:p>
        </w:tc>
        <w:tc>
          <w:tcPr>
            <w:tcW w:w="1985" w:type="dxa"/>
          </w:tcPr>
          <w:p w14:paraId="53A56C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 чел.</w:t>
            </w:r>
          </w:p>
        </w:tc>
        <w:tc>
          <w:tcPr>
            <w:tcW w:w="1985" w:type="dxa"/>
          </w:tcPr>
          <w:p w14:paraId="0C3A23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 чел.</w:t>
            </w:r>
          </w:p>
        </w:tc>
        <w:tc>
          <w:tcPr>
            <w:tcW w:w="1985" w:type="dxa"/>
          </w:tcPr>
          <w:p w14:paraId="2D5F23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 чел.</w:t>
            </w:r>
          </w:p>
        </w:tc>
      </w:tr>
      <w:tr w:rsidR="007D5DF8" w:rsidRPr="00DB5D0D" w14:paraId="772DD16A" w14:textId="77777777" w:rsidTr="009223E5">
        <w:tc>
          <w:tcPr>
            <w:tcW w:w="3572" w:type="dxa"/>
          </w:tcPr>
          <w:p w14:paraId="5D25F2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1985" w:type="dxa"/>
          </w:tcPr>
          <w:p w14:paraId="13D73A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пул. + 1 пушка в шести точках</w:t>
            </w:r>
          </w:p>
        </w:tc>
        <w:tc>
          <w:tcPr>
            <w:tcW w:w="1985" w:type="dxa"/>
          </w:tcPr>
          <w:p w14:paraId="42EB55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пул. + 1 пушка в шести точках</w:t>
            </w:r>
          </w:p>
        </w:tc>
        <w:tc>
          <w:tcPr>
            <w:tcW w:w="1985" w:type="dxa"/>
          </w:tcPr>
          <w:p w14:paraId="592AC1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пул. + 1 пушка в шести точках</w:t>
            </w:r>
          </w:p>
        </w:tc>
        <w:tc>
          <w:tcPr>
            <w:tcW w:w="1985" w:type="dxa"/>
          </w:tcPr>
          <w:p w14:paraId="58595C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пул. + 1 пушка в шести точках</w:t>
            </w:r>
          </w:p>
        </w:tc>
      </w:tr>
      <w:tr w:rsidR="007D5DF8" w:rsidRPr="00DB5D0D" w14:paraId="0A9F7824" w14:textId="77777777" w:rsidTr="009223E5">
        <w:tc>
          <w:tcPr>
            <w:tcW w:w="3572" w:type="dxa"/>
          </w:tcPr>
          <w:p w14:paraId="33C7B6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c>
          <w:tcPr>
            <w:tcW w:w="1985" w:type="dxa"/>
          </w:tcPr>
          <w:p w14:paraId="0FA417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чел.</w:t>
            </w:r>
          </w:p>
        </w:tc>
        <w:tc>
          <w:tcPr>
            <w:tcW w:w="1985" w:type="dxa"/>
          </w:tcPr>
          <w:p w14:paraId="2514B3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чел. </w:t>
            </w:r>
          </w:p>
        </w:tc>
        <w:tc>
          <w:tcPr>
            <w:tcW w:w="1985" w:type="dxa"/>
          </w:tcPr>
          <w:p w14:paraId="264278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чел.</w:t>
            </w:r>
          </w:p>
        </w:tc>
        <w:tc>
          <w:tcPr>
            <w:tcW w:w="1985" w:type="dxa"/>
          </w:tcPr>
          <w:p w14:paraId="5F20DB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чел.</w:t>
            </w:r>
          </w:p>
        </w:tc>
      </w:tr>
    </w:tbl>
    <w:p w14:paraId="22D0C2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 дальность рассчитана при крейсерской скорости 0,9 от максимальной.</w:t>
      </w:r>
    </w:p>
    <w:p w14:paraId="3DB58AD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директора завода № 124 Штейнберга провести в течение 1940 года подготовку производства самолетов ТБ-7 с мотором М-40Ф с расчетом выпуска этих самолетов в 1941 году в количествах:</w:t>
      </w:r>
    </w:p>
    <w:p w14:paraId="789D36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I квартале – 8 самолетов</w:t>
      </w:r>
    </w:p>
    <w:p w14:paraId="42473E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II квартале – 12 самолетов</w:t>
      </w:r>
    </w:p>
    <w:p w14:paraId="422348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III квартале – 20 самолетов</w:t>
      </w:r>
    </w:p>
    <w:p w14:paraId="5E9DFB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IV квартале – 30 самолетов</w:t>
      </w:r>
    </w:p>
    <w:p w14:paraId="6DC074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 70 самолетов</w:t>
      </w:r>
    </w:p>
    <w:p w14:paraId="0B3A883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Отменить постановление КО № 110с от 4 марта 1940 года о проектировании и потсройке на заводе № 124 двухмоторного пикирующего бомбардировщика, в связи с постановкой производства самолетов ТБ-7.</w:t>
      </w:r>
    </w:p>
    <w:p w14:paraId="5F87679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Программу по самолетам ДС-3 на 1940 год сократить, сохранив ее для подготовки кадров и использования свободных мощностей завода в количествах:</w:t>
      </w:r>
    </w:p>
    <w:p w14:paraId="689DD0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квартал – 10 самолетов</w:t>
      </w:r>
    </w:p>
    <w:p w14:paraId="0959F3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четвертый квартал – 15 самолетов</w:t>
      </w:r>
    </w:p>
    <w:p w14:paraId="5AE614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 25 самолетов (7595, 87-94).</w:t>
      </w:r>
    </w:p>
    <w:p w14:paraId="47A7BF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Экономсовет при СНК Союза ССР выделить дополнительно сверх фондов НКАП целевым назначением для завода № 124:</w:t>
      </w:r>
    </w:p>
    <w:p w14:paraId="095B0C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металлорежущих станков 800 шт., из них:</w:t>
      </w:r>
    </w:p>
    <w:p w14:paraId="04F4E2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третьем квартале 1940</w:t>
      </w:r>
      <w:r w:rsidRPr="00DB5D0D">
        <w:rPr>
          <w:rFonts w:ascii="Times New Roman" w:hAnsi="Times New Roman"/>
          <w:color w:val="000000" w:themeColor="text1"/>
          <w:sz w:val="16"/>
          <w:szCs w:val="16"/>
        </w:rPr>
        <w:tab/>
        <w:t>200</w:t>
      </w:r>
    </w:p>
    <w:p w14:paraId="41922B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четвертом квартале</w:t>
      </w:r>
      <w:r w:rsidRPr="00DB5D0D">
        <w:rPr>
          <w:rFonts w:ascii="Times New Roman" w:hAnsi="Times New Roman"/>
          <w:color w:val="000000" w:themeColor="text1"/>
          <w:sz w:val="16"/>
          <w:szCs w:val="16"/>
        </w:rPr>
        <w:tab/>
        <w:t>150</w:t>
      </w:r>
    </w:p>
    <w:p w14:paraId="1F9123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первом квартале 1941</w:t>
      </w:r>
      <w:r w:rsidRPr="00DB5D0D">
        <w:rPr>
          <w:rFonts w:ascii="Times New Roman" w:hAnsi="Times New Roman"/>
          <w:color w:val="000000" w:themeColor="text1"/>
          <w:sz w:val="16"/>
          <w:szCs w:val="16"/>
        </w:rPr>
        <w:tab/>
        <w:t>150</w:t>
      </w:r>
    </w:p>
    <w:p w14:paraId="1E102C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спецификации завода № 124</w:t>
      </w:r>
    </w:p>
    <w:p w14:paraId="6D7BBA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грузовых машин ЗИС-5</w:t>
      </w:r>
      <w:r w:rsidRPr="00DB5D0D">
        <w:rPr>
          <w:rFonts w:ascii="Times New Roman" w:hAnsi="Times New Roman"/>
          <w:color w:val="000000" w:themeColor="text1"/>
          <w:sz w:val="16"/>
          <w:szCs w:val="16"/>
        </w:rPr>
        <w:tab/>
        <w:t>20 шт.</w:t>
      </w:r>
    </w:p>
    <w:p w14:paraId="3EC1C4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автобусов ЗИС-16</w:t>
      </w:r>
      <w:r w:rsidRPr="00DB5D0D">
        <w:rPr>
          <w:rFonts w:ascii="Times New Roman" w:hAnsi="Times New Roman"/>
          <w:color w:val="000000" w:themeColor="text1"/>
          <w:sz w:val="16"/>
          <w:szCs w:val="16"/>
        </w:rPr>
        <w:tab/>
        <w:t>15</w:t>
      </w:r>
    </w:p>
    <w:p w14:paraId="2A8D99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авторезины</w:t>
      </w:r>
      <w:r w:rsidRPr="00DB5D0D">
        <w:rPr>
          <w:rFonts w:ascii="Times New Roman" w:hAnsi="Times New Roman"/>
          <w:color w:val="000000" w:themeColor="text1"/>
          <w:sz w:val="16"/>
          <w:szCs w:val="16"/>
        </w:rPr>
        <w:tab/>
        <w:t>160 комплектов</w:t>
      </w:r>
    </w:p>
    <w:p w14:paraId="1556E9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Нормального инструмента на 800 тысю руб. По спецификации завода № 124, из них:</w:t>
      </w:r>
    </w:p>
    <w:p w14:paraId="424B63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треяьш квартале - на 500 твс.</w:t>
      </w:r>
    </w:p>
    <w:p w14:paraId="6122C6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четвертом</w:t>
      </w:r>
      <w:r w:rsidRPr="00DB5D0D">
        <w:rPr>
          <w:rFonts w:ascii="Times New Roman" w:hAnsi="Times New Roman"/>
          <w:color w:val="000000" w:themeColor="text1"/>
          <w:sz w:val="16"/>
          <w:szCs w:val="16"/>
        </w:rPr>
        <w:tab/>
        <w:t>на 300 тыс.</w:t>
      </w:r>
    </w:p>
    <w:p w14:paraId="0E3850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20 тыс. рулонов светочувствительной бумаги в ечение июня и июля месяцев с.г.</w:t>
      </w:r>
    </w:p>
    <w:p w14:paraId="21860B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Обязать Наркомвнешторг приобрести по импорту для завода № 124 пятьдесят станков по сцецификации завода № 124, в третьем квартале 1940 г.</w:t>
      </w:r>
    </w:p>
    <w:p w14:paraId="2E7471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Обязать Экономический Совет при СНК Союза ССР выделить дополнительно фонды НКАП специальным назначением для завода № 124 на металл и стройматериалы: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7D5DF8" w:rsidRPr="00DB5D0D" w14:paraId="4C94CB61" w14:textId="77777777" w:rsidTr="009223E5">
        <w:tc>
          <w:tcPr>
            <w:tcW w:w="2242" w:type="dxa"/>
            <w:tcBorders>
              <w:top w:val="single" w:sz="12" w:space="0" w:color="auto"/>
            </w:tcBorders>
          </w:tcPr>
          <w:p w14:paraId="4441EE6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3062BB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квартал</w:t>
            </w:r>
          </w:p>
        </w:tc>
        <w:tc>
          <w:tcPr>
            <w:tcW w:w="2242" w:type="dxa"/>
            <w:tcBorders>
              <w:top w:val="single" w:sz="12" w:space="0" w:color="auto"/>
            </w:tcBorders>
          </w:tcPr>
          <w:p w14:paraId="56C7D8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квартал</w:t>
            </w:r>
          </w:p>
        </w:tc>
        <w:tc>
          <w:tcPr>
            <w:tcW w:w="2242" w:type="dxa"/>
            <w:tcBorders>
              <w:top w:val="single" w:sz="12" w:space="0" w:color="auto"/>
            </w:tcBorders>
          </w:tcPr>
          <w:p w14:paraId="4BCE9C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Четвертый квартал</w:t>
            </w:r>
          </w:p>
        </w:tc>
        <w:tc>
          <w:tcPr>
            <w:tcW w:w="2242" w:type="dxa"/>
            <w:tcBorders>
              <w:top w:val="single" w:sz="12" w:space="0" w:color="auto"/>
            </w:tcBorders>
          </w:tcPr>
          <w:p w14:paraId="505449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тонн</w:t>
            </w:r>
          </w:p>
        </w:tc>
      </w:tr>
      <w:tr w:rsidR="007D5DF8" w:rsidRPr="00DB5D0D" w14:paraId="5F336BF4" w14:textId="77777777" w:rsidTr="009223E5">
        <w:tc>
          <w:tcPr>
            <w:tcW w:w="2242" w:type="dxa"/>
          </w:tcPr>
          <w:p w14:paraId="034B29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металлопрокат</w:t>
            </w:r>
          </w:p>
        </w:tc>
        <w:tc>
          <w:tcPr>
            <w:tcW w:w="2242" w:type="dxa"/>
          </w:tcPr>
          <w:p w14:paraId="75783E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2242" w:type="dxa"/>
          </w:tcPr>
          <w:p w14:paraId="21085E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c>
          <w:tcPr>
            <w:tcW w:w="2242" w:type="dxa"/>
          </w:tcPr>
          <w:p w14:paraId="591260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w:t>
            </w:r>
          </w:p>
        </w:tc>
        <w:tc>
          <w:tcPr>
            <w:tcW w:w="2242" w:type="dxa"/>
          </w:tcPr>
          <w:p w14:paraId="310671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3700</w:t>
            </w:r>
          </w:p>
        </w:tc>
      </w:tr>
      <w:tr w:rsidR="007D5DF8" w:rsidRPr="00DB5D0D" w14:paraId="4AA2631D" w14:textId="77777777" w:rsidTr="009223E5">
        <w:tc>
          <w:tcPr>
            <w:tcW w:w="2242" w:type="dxa"/>
          </w:tcPr>
          <w:p w14:paraId="52C169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цемент</w:t>
            </w:r>
          </w:p>
        </w:tc>
        <w:tc>
          <w:tcPr>
            <w:tcW w:w="2242" w:type="dxa"/>
          </w:tcPr>
          <w:p w14:paraId="60F26E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2242" w:type="dxa"/>
          </w:tcPr>
          <w:p w14:paraId="4F81D8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2242" w:type="dxa"/>
          </w:tcPr>
          <w:p w14:paraId="436DE9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2242" w:type="dxa"/>
          </w:tcPr>
          <w:p w14:paraId="6A9754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6200</w:t>
            </w:r>
          </w:p>
        </w:tc>
      </w:tr>
      <w:tr w:rsidR="007D5DF8" w:rsidRPr="00DB5D0D" w14:paraId="7EA602D6" w14:textId="77777777" w:rsidTr="009223E5">
        <w:tc>
          <w:tcPr>
            <w:tcW w:w="2242" w:type="dxa"/>
            <w:tcBorders>
              <w:bottom w:val="single" w:sz="12" w:space="0" w:color="auto"/>
            </w:tcBorders>
          </w:tcPr>
          <w:p w14:paraId="52C126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нефтебитум</w:t>
            </w:r>
          </w:p>
        </w:tc>
        <w:tc>
          <w:tcPr>
            <w:tcW w:w="2242" w:type="dxa"/>
            <w:tcBorders>
              <w:bottom w:val="single" w:sz="12" w:space="0" w:color="auto"/>
            </w:tcBorders>
          </w:tcPr>
          <w:p w14:paraId="56FE3D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2242" w:type="dxa"/>
            <w:tcBorders>
              <w:bottom w:val="single" w:sz="12" w:space="0" w:color="auto"/>
            </w:tcBorders>
          </w:tcPr>
          <w:p w14:paraId="729642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2242" w:type="dxa"/>
            <w:tcBorders>
              <w:bottom w:val="single" w:sz="12" w:space="0" w:color="auto"/>
            </w:tcBorders>
          </w:tcPr>
          <w:p w14:paraId="098FB3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42" w:type="dxa"/>
            <w:tcBorders>
              <w:bottom w:val="single" w:sz="12" w:space="0" w:color="auto"/>
            </w:tcBorders>
          </w:tcPr>
          <w:p w14:paraId="68F0F2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bl>
    <w:p w14:paraId="41C7B7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Обязать Наркомлес СССР отгрузить дополнительно заводу № 124 вне фондов НКАП лесоматериалов по спецификации завода:</w:t>
      </w:r>
    </w:p>
    <w:p w14:paraId="25D438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втором квартале </w:t>
      </w:r>
      <w:r w:rsidRPr="00DB5D0D">
        <w:rPr>
          <w:rFonts w:ascii="Times New Roman" w:hAnsi="Times New Roman"/>
          <w:color w:val="000000" w:themeColor="text1"/>
          <w:sz w:val="16"/>
          <w:szCs w:val="16"/>
        </w:rPr>
        <w:tab/>
        <w:t>5000 мт</w:t>
      </w:r>
      <w:r w:rsidRPr="00DB5D0D">
        <w:rPr>
          <w:rFonts w:ascii="Times New Roman" w:hAnsi="Times New Roman"/>
          <w:color w:val="000000" w:themeColor="text1"/>
          <w:sz w:val="16"/>
          <w:szCs w:val="16"/>
          <w:vertAlign w:val="superscript"/>
        </w:rPr>
        <w:t>3</w:t>
      </w:r>
      <w:r w:rsidRPr="00DB5D0D">
        <w:rPr>
          <w:rFonts w:ascii="Times New Roman" w:hAnsi="Times New Roman"/>
          <w:color w:val="000000" w:themeColor="text1"/>
          <w:sz w:val="16"/>
          <w:szCs w:val="16"/>
        </w:rPr>
        <w:t>,</w:t>
      </w:r>
    </w:p>
    <w:p w14:paraId="5978E1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третьем квартале</w:t>
      </w:r>
      <w:r w:rsidRPr="00DB5D0D">
        <w:rPr>
          <w:rFonts w:ascii="Times New Roman" w:hAnsi="Times New Roman"/>
          <w:color w:val="000000" w:themeColor="text1"/>
          <w:sz w:val="16"/>
          <w:szCs w:val="16"/>
        </w:rPr>
        <w:tab/>
        <w:t>10000 мт</w:t>
      </w:r>
      <w:r w:rsidRPr="00DB5D0D">
        <w:rPr>
          <w:rFonts w:ascii="Times New Roman" w:hAnsi="Times New Roman"/>
          <w:color w:val="000000" w:themeColor="text1"/>
          <w:sz w:val="16"/>
          <w:szCs w:val="16"/>
          <w:vertAlign w:val="superscript"/>
        </w:rPr>
        <w:t>3</w:t>
      </w:r>
    </w:p>
    <w:p w14:paraId="0D77D9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Обязать Наркомхимпром поставить заводу № 124 и 1940 и 1941 г.г. авиарезины для самолетов ТБ-7 улучшенного качества по ТУ и срокам завода № 124 в количествах, обеспечивающих выполнение установленной этому заводу программы.</w:t>
      </w:r>
    </w:p>
    <w:p w14:paraId="49E5FA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Обязать Наркомчермет поставить НКАП для завода № 124 легированных труб и сталей в количествах, обеспечивающих выполнение программы, начав поставку со второго квартала т.г. по спецификации завода № 124.</w:t>
      </w:r>
    </w:p>
    <w:p w14:paraId="16C2B7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Отпустить НКАП из резервного фонда СНК СССР в 1940 для завода № 124 - 70 млн. руб., в т.ч.:</w:t>
      </w:r>
    </w:p>
    <w:p w14:paraId="46F52B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w:t>
      </w:r>
      <w:r w:rsidRPr="00DB5D0D">
        <w:rPr>
          <w:rFonts w:ascii="Times New Roman" w:hAnsi="Times New Roman"/>
          <w:smallCaps/>
          <w:color w:val="000000" w:themeColor="text1"/>
          <w:sz w:val="16"/>
          <w:szCs w:val="16"/>
        </w:rPr>
        <w:t xml:space="preserve"> постановку производства самолетов ТБ-7</w:t>
      </w:r>
      <w:r w:rsidRPr="00DB5D0D">
        <w:rPr>
          <w:rFonts w:ascii="Times New Roman" w:hAnsi="Times New Roman"/>
          <w:smallCaps/>
          <w:color w:val="000000" w:themeColor="text1"/>
          <w:sz w:val="16"/>
          <w:szCs w:val="16"/>
        </w:rPr>
        <w:tab/>
        <w:t>12</w:t>
      </w:r>
      <w:r w:rsidRPr="00DB5D0D">
        <w:rPr>
          <w:rFonts w:ascii="Times New Roman" w:hAnsi="Times New Roman"/>
          <w:color w:val="000000" w:themeColor="text1"/>
          <w:sz w:val="16"/>
          <w:szCs w:val="16"/>
        </w:rPr>
        <w:t xml:space="preserve"> млн. руб.</w:t>
      </w:r>
    </w:p>
    <w:p w14:paraId="469141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постройку и испытание с-та ТБ-7 М-30</w:t>
      </w:r>
      <w:r w:rsidRPr="00DB5D0D">
        <w:rPr>
          <w:rFonts w:ascii="Times New Roman" w:hAnsi="Times New Roman"/>
          <w:color w:val="000000" w:themeColor="text1"/>
          <w:sz w:val="16"/>
          <w:szCs w:val="16"/>
        </w:rPr>
        <w:tab/>
        <w:t>8</w:t>
      </w:r>
    </w:p>
    <w:p w14:paraId="4D89EF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постройку и испытание с-та ТБ-7 М-40</w:t>
      </w:r>
      <w:r w:rsidRPr="00DB5D0D">
        <w:rPr>
          <w:rFonts w:ascii="Times New Roman" w:hAnsi="Times New Roman"/>
          <w:color w:val="000000" w:themeColor="text1"/>
          <w:sz w:val="16"/>
          <w:szCs w:val="16"/>
        </w:rPr>
        <w:tab/>
        <w:t>8</w:t>
      </w:r>
    </w:p>
    <w:p w14:paraId="3FC6A5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на постройку и испытание с-та ТБ-7 М-40Ф</w:t>
      </w:r>
      <w:r w:rsidRPr="00DB5D0D">
        <w:rPr>
          <w:rFonts w:ascii="Times New Roman" w:hAnsi="Times New Roman"/>
          <w:color w:val="000000" w:themeColor="text1"/>
          <w:sz w:val="16"/>
          <w:szCs w:val="16"/>
        </w:rPr>
        <w:tab/>
        <w:t>8</w:t>
      </w:r>
    </w:p>
    <w:p w14:paraId="42C32F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дополнительно на капстроительство:</w:t>
      </w:r>
    </w:p>
    <w:p w14:paraId="5510F3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Аэродром</w:t>
      </w:r>
      <w:r w:rsidRPr="00DB5D0D">
        <w:rPr>
          <w:rFonts w:ascii="Times New Roman" w:hAnsi="Times New Roman"/>
          <w:color w:val="000000" w:themeColor="text1"/>
          <w:sz w:val="16"/>
          <w:szCs w:val="16"/>
        </w:rPr>
        <w:tab/>
        <w:t>4</w:t>
      </w:r>
    </w:p>
    <w:p w14:paraId="06568B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окопчание строительства главного корпуса</w:t>
      </w:r>
      <w:r w:rsidRPr="00DB5D0D">
        <w:rPr>
          <w:rFonts w:ascii="Times New Roman" w:hAnsi="Times New Roman"/>
          <w:color w:val="000000" w:themeColor="text1"/>
          <w:sz w:val="16"/>
          <w:szCs w:val="16"/>
        </w:rPr>
        <w:tab/>
        <w:t>6</w:t>
      </w:r>
    </w:p>
    <w:p w14:paraId="412E2E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Приобретение оборудования (станки)</w:t>
      </w:r>
      <w:r w:rsidRPr="00DB5D0D">
        <w:rPr>
          <w:rFonts w:ascii="Times New Roman" w:hAnsi="Times New Roman"/>
          <w:color w:val="000000" w:themeColor="text1"/>
          <w:sz w:val="16"/>
          <w:szCs w:val="16"/>
        </w:rPr>
        <w:tab/>
        <w:t>8</w:t>
      </w:r>
    </w:p>
    <w:p w14:paraId="23A9A7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Жилищное строительство</w:t>
      </w:r>
      <w:r w:rsidRPr="00DB5D0D">
        <w:rPr>
          <w:rFonts w:ascii="Times New Roman" w:hAnsi="Times New Roman"/>
          <w:color w:val="000000" w:themeColor="text1"/>
          <w:sz w:val="16"/>
          <w:szCs w:val="16"/>
        </w:rPr>
        <w:tab/>
        <w:t>10.</w:t>
      </w:r>
    </w:p>
    <w:p w14:paraId="3E973F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Под отчет в распоряжение НКАП для премирования конструкторов, ИТР и рабочих завода № 125 за выполнение в установленные сроки заданий 1940 г., в соответствии с положжением о премировании, премиальный фонд в размере:</w:t>
      </w:r>
    </w:p>
    <w:p w14:paraId="4B73F3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 с-т ТБ-7 М30</w:t>
      </w:r>
      <w:r w:rsidRPr="00DB5D0D">
        <w:rPr>
          <w:rFonts w:ascii="Times New Roman" w:hAnsi="Times New Roman"/>
          <w:color w:val="000000" w:themeColor="text1"/>
          <w:sz w:val="16"/>
          <w:szCs w:val="16"/>
        </w:rPr>
        <w:tab/>
        <w:t>500 тыс.</w:t>
      </w:r>
    </w:p>
    <w:p w14:paraId="3A54FD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 с-т ТБ-7 М40</w:t>
      </w:r>
      <w:r w:rsidRPr="00DB5D0D">
        <w:rPr>
          <w:rFonts w:ascii="Times New Roman" w:hAnsi="Times New Roman"/>
          <w:color w:val="000000" w:themeColor="text1"/>
          <w:sz w:val="16"/>
          <w:szCs w:val="16"/>
        </w:rPr>
        <w:tab/>
        <w:t>500</w:t>
      </w:r>
    </w:p>
    <w:p w14:paraId="6981F4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 с-т ТБ-7 М40Ф</w:t>
      </w:r>
      <w:r w:rsidRPr="00DB5D0D">
        <w:rPr>
          <w:rFonts w:ascii="Times New Roman" w:hAnsi="Times New Roman"/>
          <w:color w:val="000000" w:themeColor="text1"/>
          <w:sz w:val="16"/>
          <w:szCs w:val="16"/>
        </w:rPr>
        <w:tab/>
        <w:t>500</w:t>
      </w:r>
    </w:p>
    <w:p w14:paraId="399378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 с-т ТБ-7 АМ-35А</w:t>
      </w:r>
      <w:r w:rsidRPr="00DB5D0D">
        <w:rPr>
          <w:rFonts w:ascii="Times New Roman" w:hAnsi="Times New Roman"/>
          <w:color w:val="000000" w:themeColor="text1"/>
          <w:sz w:val="16"/>
          <w:szCs w:val="16"/>
        </w:rPr>
        <w:tab/>
        <w:t>2,5 млн. руб.</w:t>
      </w:r>
    </w:p>
    <w:p w14:paraId="698ED5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Обязать СНК РСФСР передать заводу № 124 площадлку, ранее намеченную под строительство завода “Пишмаш” для хзастройки заводом № 124 жилыми домами..</w:t>
      </w:r>
    </w:p>
    <w:p w14:paraId="27910A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14. Обязатъ секретаря Татарского Обкома ВКП(б) тов. Алемасова и председателя СНК ТаССР тов. Гафиатуллина организовать перевод рабочих на завод № 124 с заводов и фабрик города Казани:</w:t>
      </w:r>
    </w:p>
    <w:p w14:paraId="023982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 третьем квартале т.г.</w:t>
      </w:r>
      <w:r w:rsidRPr="00DB5D0D">
        <w:rPr>
          <w:rFonts w:ascii="Times New Roman" w:hAnsi="Times New Roman"/>
          <w:color w:val="000000" w:themeColor="text1"/>
          <w:sz w:val="16"/>
          <w:szCs w:val="16"/>
        </w:rPr>
        <w:tab/>
        <w:t>1000 чел.</w:t>
      </w:r>
    </w:p>
    <w:p w14:paraId="73508D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четвертом квартале т.г.</w:t>
      </w:r>
      <w:r w:rsidRPr="00DB5D0D">
        <w:rPr>
          <w:rFonts w:ascii="Times New Roman" w:hAnsi="Times New Roman"/>
          <w:color w:val="000000" w:themeColor="text1"/>
          <w:sz w:val="16"/>
          <w:szCs w:val="16"/>
        </w:rPr>
        <w:tab/>
        <w:t>1000</w:t>
      </w:r>
    </w:p>
    <w:p w14:paraId="744853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Разрешить оплату рабочих завода № 124 в течение третьего квартала т.гю занятых освоением с-та ТБ-7, по средне-сдельному заработку.</w:t>
      </w:r>
    </w:p>
    <w:p w14:paraId="15C997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НКАП представить отчет об израсходовании премиальных сумм в КО к 20 января 1941 г. (10395).</w:t>
      </w:r>
    </w:p>
    <w:p w14:paraId="71D6224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EF07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вышел приказ НКАП N 227c об обязательной проверке статистическими испытаниями прочности носка крыла (410,55).</w:t>
      </w:r>
    </w:p>
    <w:p w14:paraId="730F86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Cудя по приказу N 382cc от 29 июля 1940 по катастрофе СПБ Н.Н.П. предполагалось, что это коснется и уже построенных машин.</w:t>
      </w:r>
    </w:p>
    <w:p w14:paraId="35A13B0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6349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вышло постановление КО за №227сс, согласно которому завод №124 должен был предъявить к концу года на государственные испытания ТБ-7 4АМ-35А в военно- транспортном и бомбардировочном вариантах. В декабре 1940 г. первый самолет с АМ-35А взлетной мощностью 1350 л.с, номинальной - 1120 л.с, и воздушными винтами ВИШ-24 диаметром 4,1 м, выкатили из заводского цеха.</w:t>
      </w:r>
    </w:p>
    <w:p w14:paraId="4D01BD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Указывалось, что в данный экземпляр с заводским номером 42015 внесены следующие изменения:</w:t>
      </w:r>
    </w:p>
    <w:p w14:paraId="56C3BC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Для выброски воздушного десанта в отсеке фюзеляжа Ф-3 оборудована вторая дверь по левому боргу размером 1150x750 мм;</w:t>
      </w:r>
    </w:p>
    <w:p w14:paraId="2E2F8A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Усилен каркас и обшивка фюзеляжа в районе отсека Ф-3;</w:t>
      </w:r>
    </w:p>
    <w:p w14:paraId="70E9AB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Снята люковая оборонительная установка;</w:t>
      </w:r>
    </w:p>
    <w:p w14:paraId="4F57F0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Для подъема грузов установлены лебедки БЛ-4 вместо БЛ-3;</w:t>
      </w:r>
    </w:p>
    <w:p w14:paraId="7BA2F5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Дая перевозки под фюзеляжем грузов до 4-х тонн введены дополнительные узлы крепления грузовой платформы;</w:t>
      </w:r>
    </w:p>
    <w:p w14:paraId="35BF89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Оборудованы отделения для размещения десантников;</w:t>
      </w:r>
    </w:p>
    <w:p w14:paraId="1016B8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Построена и прилагается к самолету съемная десантная кабина на 12 человек; </w:t>
      </w:r>
    </w:p>
    <w:p w14:paraId="52B941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Оборудована система заполнения топливных баков инертным газом (в данном варианте - выхлопными газами двигателей);</w:t>
      </w:r>
    </w:p>
    <w:p w14:paraId="2816E4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Смонтировано отопление штурманской кабины;</w:t>
      </w:r>
    </w:p>
    <w:p w14:paraId="114AB7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Установлен автопилот АПГ-1;</w:t>
      </w:r>
    </w:p>
    <w:p w14:paraId="7A7872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Установлены новые кассетные держатели КД-2, новый прицел РПБ-2МУ, ночной прицел НКПГ-3, электросбрасыватель ЭСБР-5, опытные стрелковые установки НЭБ-42 и КЭБ-42 (соответственно: носовая и кормовая экранированные башни).</w:t>
      </w:r>
    </w:p>
    <w:p w14:paraId="79D54C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ТБ-7 №42015 согласно сопроводительной документации состоял из 10 человек, самолет был оборудован антиобледенителем воздушных винтов, емкость топливной системы в 12 протектированных бензобаках составляла 12440 литров. Предельный полетный вес самолета был ограничен прочностью колес размером 1600x500 мм. При использовании более прочных колес размером 1600x600 мм допустимый полетный вес в дальнейшем определялся в 33500 кг (12025).</w:t>
      </w:r>
    </w:p>
    <w:p w14:paraId="06E2580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456E6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состоялось 5 (848) заседание техсовета ГУАС (снабжения) КА под председательством А.И.Филина. Высоко оценили сотку В.М.Петлякова (163,5).</w:t>
      </w:r>
    </w:p>
    <w:p w14:paraId="04E1D2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Здесь интерес вызывают и даты. 25 (35) дней от 24 мая дает 30 апреля, а 35 - 20 - апреля - дата окончания гос. испытаний, то есть 35 дней - более правильная цифра.</w:t>
      </w:r>
    </w:p>
    <w:p w14:paraId="6657DB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в этот день Протоколом N 5 Техсовета НИИ ВВС был утвержден в Отчет по гос. испытаниям 100 2М-105 с 2хТК-2 и герметическими кабинами для всего экипажа. Решили сделать серию из 10-15 для дальнейшего изучения и освоения на опыт боевого применения с гермокабиной. Кроме того учитывая высокую аэродинамику решили сделать массовый пикирующий бомбардировщик без гермокабины и ТК и обязали КБ разработать этот вариант и произвести войсковую серию в 30 машин (705).</w:t>
      </w:r>
    </w:p>
    <w:p w14:paraId="537C059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EEAF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А.И.Филин как председатель макетной комиссии писал письмо, что необходима форсированная постройка опытных экземпляров 103 А.Н.Т. для скорейшего его предъявления на гос. испытания не только Я.В.Смушкевичу, но и Л.П.Берии. При этом А.И.Филин указал Л.П.Берии на пассивность правительства (172,138).</w:t>
      </w:r>
    </w:p>
    <w:p w14:paraId="7AD14AD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3161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Нач. НИИ ВВС КА А.И.Филин как председатель макетной комиссии писал письмо № 0618 НКВД СССР т. Берия:</w:t>
      </w:r>
    </w:p>
    <w:p w14:paraId="6375DF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Макетная комиссия рассмотрела макет с-та 103 2-х моторного ПБ с 2хМ-120 ТК-2 конструкции ОТБ НКВД единодушно признала, что предложенный проект с-та с заявленными летными данными является весьма актуальным и необходим для ВВС РККА и что необходима форсированная постройка опытных экземпляров 103 А.Н.Т. для скорейшего его предъявления на гос. испытания</w:t>
      </w:r>
    </w:p>
    <w:p w14:paraId="3C0F5B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Отсутствие решения правительства о постройке самолета тормозит развертывание проектирования, проведения предварительных опытных работ и постройку самолета.</w:t>
      </w:r>
    </w:p>
    <w:p w14:paraId="344581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поставить в КО при СНК вопрос о постройке самолета</w:t>
      </w:r>
    </w:p>
    <w:p w14:paraId="698C1A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Отпечатано было 17 апреля 1940" (724,41).</w:t>
      </w:r>
    </w:p>
    <w:p w14:paraId="3EF274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6711F99" w14:textId="77777777" w:rsidR="00E2169E" w:rsidRPr="00DB5D0D" w:rsidRDefault="00E2169E"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25 мая 1940 г. на заседании Технического совета при начальнике ГУ ВВС КА было принято решение строить вой</w:t>
      </w:r>
      <w:r w:rsidRPr="00DB5D0D">
        <w:rPr>
          <w:rFonts w:ascii="Times New Roman" w:cs="Times New Roman"/>
          <w:color w:val="000000" w:themeColor="text1"/>
          <w:spacing w:val="0"/>
        </w:rPr>
        <w:softHyphen/>
        <w:t>сковую серию самолета ВИ-100 в ко</w:t>
      </w:r>
      <w:r w:rsidRPr="00DB5D0D">
        <w:rPr>
          <w:rFonts w:ascii="Times New Roman" w:cs="Times New Roman"/>
          <w:color w:val="000000" w:themeColor="text1"/>
          <w:spacing w:val="0"/>
        </w:rPr>
        <w:softHyphen/>
        <w:t>личестве 10-15 машин</w:t>
      </w:r>
      <w:r w:rsidRPr="00DB5D0D">
        <w:rPr>
          <w:rStyle w:val="aff6"/>
          <w:rFonts w:ascii="Times New Roman" w:eastAsia="Arial Narrow" w:hAnsi="Times New Roman" w:cs="Times New Roman"/>
          <w:i w:val="0"/>
          <w:color w:val="000000" w:themeColor="text1"/>
          <w:spacing w:val="0"/>
        </w:rPr>
        <w:t xml:space="preserve"> «для дальней</w:t>
      </w:r>
      <w:r w:rsidRPr="00DB5D0D">
        <w:rPr>
          <w:rStyle w:val="aff6"/>
          <w:rFonts w:ascii="Times New Roman" w:eastAsia="Arial Narrow" w:hAnsi="Times New Roman" w:cs="Times New Roman"/>
          <w:i w:val="0"/>
          <w:color w:val="000000" w:themeColor="text1"/>
          <w:spacing w:val="0"/>
        </w:rPr>
        <w:softHyphen/>
        <w:t>шего изучения, освоения и накопления боевого опыта в работе в гермокаби</w:t>
      </w:r>
      <w:r w:rsidRPr="00DB5D0D">
        <w:rPr>
          <w:rStyle w:val="aff6"/>
          <w:rFonts w:ascii="Times New Roman" w:eastAsia="Arial Narrow" w:hAnsi="Times New Roman" w:cs="Times New Roman"/>
          <w:i w:val="0"/>
          <w:color w:val="000000" w:themeColor="text1"/>
          <w:spacing w:val="0"/>
        </w:rPr>
        <w:softHyphen/>
        <w:t>нах на всех высотах».</w:t>
      </w:r>
      <w:r w:rsidRPr="00DB5D0D">
        <w:rPr>
          <w:rFonts w:ascii="Times New Roman" w:cs="Times New Roman"/>
          <w:color w:val="000000" w:themeColor="text1"/>
          <w:spacing w:val="0"/>
        </w:rPr>
        <w:t xml:space="preserve"> Кроме того, «в це</w:t>
      </w:r>
      <w:r w:rsidRPr="00DB5D0D">
        <w:rPr>
          <w:rFonts w:ascii="Times New Roman" w:cs="Times New Roman"/>
          <w:color w:val="000000" w:themeColor="text1"/>
          <w:spacing w:val="0"/>
        </w:rPr>
        <w:softHyphen/>
        <w:t>лях использования высокой аэродина</w:t>
      </w:r>
      <w:r w:rsidRPr="00DB5D0D">
        <w:rPr>
          <w:rFonts w:ascii="Times New Roman" w:cs="Times New Roman"/>
          <w:color w:val="000000" w:themeColor="text1"/>
          <w:spacing w:val="0"/>
        </w:rPr>
        <w:softHyphen/>
        <w:t>мики самолета «</w:t>
      </w:r>
      <w:r w:rsidRPr="00DB5D0D">
        <w:rPr>
          <w:rStyle w:val="aff6"/>
          <w:rFonts w:ascii="Times New Roman" w:eastAsia="Arial Narrow" w:hAnsi="Times New Roman" w:cs="Times New Roman"/>
          <w:i w:val="0"/>
          <w:color w:val="000000" w:themeColor="text1"/>
          <w:spacing w:val="0"/>
        </w:rPr>
        <w:t>100» и создания на его базе массового пикирующего бомбар</w:t>
      </w:r>
      <w:r w:rsidRPr="00DB5D0D">
        <w:rPr>
          <w:rStyle w:val="aff6"/>
          <w:rFonts w:ascii="Times New Roman" w:eastAsia="Arial Narrow" w:hAnsi="Times New Roman" w:cs="Times New Roman"/>
          <w:i w:val="0"/>
          <w:color w:val="000000" w:themeColor="text1"/>
          <w:spacing w:val="0"/>
        </w:rPr>
        <w:softHyphen/>
        <w:t>дировщика без гермокабин и без турбо</w:t>
      </w:r>
      <w:r w:rsidRPr="00DB5D0D">
        <w:rPr>
          <w:rStyle w:val="aff6"/>
          <w:rFonts w:ascii="Times New Roman" w:eastAsia="Arial Narrow" w:hAnsi="Times New Roman" w:cs="Times New Roman"/>
          <w:i w:val="0"/>
          <w:color w:val="000000" w:themeColor="text1"/>
          <w:spacing w:val="0"/>
        </w:rPr>
        <w:softHyphen/>
        <w:t>компрессоров» предлагалось «обязать КБ разработать самолет «100» в вари</w:t>
      </w:r>
      <w:r w:rsidRPr="00DB5D0D">
        <w:rPr>
          <w:rStyle w:val="aff6"/>
          <w:rFonts w:ascii="Times New Roman" w:eastAsia="Arial Narrow" w:hAnsi="Times New Roman" w:cs="Times New Roman"/>
          <w:i w:val="0"/>
          <w:color w:val="000000" w:themeColor="text1"/>
          <w:spacing w:val="0"/>
        </w:rPr>
        <w:softHyphen/>
        <w:t>анте пикирующего бомбардировщи</w:t>
      </w:r>
      <w:r w:rsidRPr="00DB5D0D">
        <w:rPr>
          <w:rStyle w:val="aff6"/>
          <w:rFonts w:ascii="Times New Roman" w:eastAsia="Arial Narrow" w:hAnsi="Times New Roman" w:cs="Times New Roman"/>
          <w:i w:val="0"/>
          <w:color w:val="000000" w:themeColor="text1"/>
          <w:spacing w:val="0"/>
        </w:rPr>
        <w:softHyphen/>
        <w:t>ка».</w:t>
      </w:r>
      <w:r w:rsidRPr="00DB5D0D">
        <w:rPr>
          <w:rFonts w:ascii="Times New Roman" w:cs="Times New Roman"/>
          <w:color w:val="000000" w:themeColor="text1"/>
          <w:spacing w:val="0"/>
        </w:rPr>
        <w:t xml:space="preserve"> Самолет «100» в этом варианте дол</w:t>
      </w:r>
      <w:r w:rsidRPr="00DB5D0D">
        <w:rPr>
          <w:rFonts w:ascii="Times New Roman" w:cs="Times New Roman"/>
          <w:color w:val="000000" w:themeColor="text1"/>
          <w:spacing w:val="0"/>
        </w:rPr>
        <w:softHyphen/>
        <w:t>жен был иметь максимальную скорость 550 км/ч на высоте 5000 м и бомбовую нагрузку 1000 кг, в том числе не менее 600 кг на внутренней подвеске. Плани</w:t>
      </w:r>
      <w:r w:rsidRPr="00DB5D0D">
        <w:rPr>
          <w:rFonts w:ascii="Times New Roman" w:cs="Times New Roman"/>
          <w:color w:val="000000" w:themeColor="text1"/>
          <w:spacing w:val="0"/>
        </w:rPr>
        <w:softHyphen/>
        <w:t>ровалось после утверждения макета по</w:t>
      </w:r>
      <w:r w:rsidRPr="00DB5D0D">
        <w:rPr>
          <w:rFonts w:ascii="Times New Roman" w:cs="Times New Roman"/>
          <w:color w:val="000000" w:themeColor="text1"/>
          <w:spacing w:val="0"/>
        </w:rPr>
        <w:softHyphen/>
        <w:t>строить войсковую серию в количестве 30 самолетов (15755).</w:t>
      </w:r>
    </w:p>
    <w:p w14:paraId="6CD62BFD" w14:textId="77777777" w:rsidR="00E2169E" w:rsidRPr="00DB5D0D" w:rsidRDefault="00E2169E" w:rsidP="00DB5D0D">
      <w:pPr>
        <w:pStyle w:val="27"/>
        <w:shd w:val="clear" w:color="auto" w:fill="auto"/>
        <w:spacing w:after="0" w:line="240" w:lineRule="auto"/>
        <w:ind w:firstLine="0"/>
        <w:rPr>
          <w:rFonts w:ascii="Times New Roman" w:cs="Times New Roman"/>
          <w:color w:val="000000" w:themeColor="text1"/>
          <w:spacing w:val="0"/>
        </w:rPr>
      </w:pPr>
    </w:p>
    <w:p w14:paraId="6F6269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начальник НИИ ВВС Филин, на основании заключения макетной ко</w:t>
      </w:r>
      <w:r w:rsidRPr="00DB5D0D">
        <w:rPr>
          <w:rFonts w:ascii="Times New Roman" w:hAnsi="Times New Roman"/>
          <w:color w:val="000000" w:themeColor="text1"/>
          <w:sz w:val="16"/>
          <w:szCs w:val="16"/>
        </w:rPr>
        <w:softHyphen/>
        <w:t>миссии, обратился к Берии с просьбой о постановке в КО при СНК СССР воп</w:t>
      </w:r>
      <w:r w:rsidRPr="00DB5D0D">
        <w:rPr>
          <w:rFonts w:ascii="Times New Roman" w:hAnsi="Times New Roman"/>
          <w:color w:val="000000" w:themeColor="text1"/>
          <w:sz w:val="16"/>
          <w:szCs w:val="16"/>
        </w:rPr>
        <w:softHyphen/>
        <w:t>роса о выпуске официального реше</w:t>
      </w:r>
      <w:r w:rsidRPr="00DB5D0D">
        <w:rPr>
          <w:rFonts w:ascii="Times New Roman" w:hAnsi="Times New Roman"/>
          <w:color w:val="000000" w:themeColor="text1"/>
          <w:sz w:val="16"/>
          <w:szCs w:val="16"/>
        </w:rPr>
        <w:softHyphen/>
        <w:t>ния по самолету «103» (10728).</w:t>
      </w:r>
    </w:p>
    <w:p w14:paraId="2D64A6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95974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нач. НИИ ВВС Филин на основании заключения макетной комиссии по 103 машине А.Н.Т. обратился к Л.П.Берии с просьбой о постановке в КО при СНК СССР вопроса о выпуске официального решения по 103 (1835,9).</w:t>
      </w:r>
    </w:p>
    <w:p w14:paraId="47D2C42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BB92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с 25 мая но 15 июня 1940 г. дополнительные испытания для определения возможности пикирования на СБ велись на полигоне авиационных вооружений. СБ №15/266 пикировал под углами от 50 до 90. осуществлялся сброс ФАБ-250 и ФАБ-500. при этом легчнк пользовался прицелом ПАН-23, момент выхода определял штурман при помощи прицела ОПБ-1. Общая опенка: «самолет слепой, летчик не видит цели до 70, НУЖНО УЛУЧШИТЬ обзор, поставить воздушные тормоза» (6413).</w:t>
      </w:r>
    </w:p>
    <w:p w14:paraId="65F17C7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5B145C" w14:textId="77777777" w:rsidR="00CE65B0" w:rsidRPr="00DB5D0D" w:rsidRDefault="00CE65B0"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 мая 1940 в соответствии с постановлением «Об организации серийного про</w:t>
      </w:r>
      <w:r w:rsidRPr="00DB5D0D">
        <w:rPr>
          <w:rFonts w:ascii="Times New Roman" w:hAnsi="Times New Roman"/>
          <w:color w:val="0070C0"/>
          <w:sz w:val="16"/>
          <w:szCs w:val="16"/>
        </w:rPr>
        <w:softHyphen/>
        <w:t>изводства самолета И-200 на заводе №1 и о снятии с производства самолета ББ-22» № 224сс про</w:t>
      </w:r>
      <w:r w:rsidRPr="00DB5D0D">
        <w:rPr>
          <w:rFonts w:ascii="Times New Roman" w:hAnsi="Times New Roman"/>
          <w:color w:val="0070C0"/>
          <w:sz w:val="16"/>
          <w:szCs w:val="16"/>
        </w:rPr>
        <w:softHyphen/>
        <w:t>изводство самолета ББ-22 на заводе №1 пре</w:t>
      </w:r>
      <w:r w:rsidRPr="00DB5D0D">
        <w:rPr>
          <w:rFonts w:ascii="Times New Roman" w:hAnsi="Times New Roman"/>
          <w:color w:val="0070C0"/>
          <w:sz w:val="16"/>
          <w:szCs w:val="16"/>
        </w:rPr>
        <w:softHyphen/>
        <w:t>кращалось. Заводу в 1940 году надлежало изготовить и сдать ВВС из имеющегося заде</w:t>
      </w:r>
      <w:r w:rsidRPr="00DB5D0D">
        <w:rPr>
          <w:rFonts w:ascii="Times New Roman" w:hAnsi="Times New Roman"/>
          <w:color w:val="0070C0"/>
          <w:sz w:val="16"/>
          <w:szCs w:val="16"/>
        </w:rPr>
        <w:softHyphen/>
        <w:t>ла 100 самолетов ББ-22, остальной задел и оснастку следовало передать на завод №81.</w:t>
      </w:r>
    </w:p>
    <w:p w14:paraId="6928E95B" w14:textId="77777777" w:rsidR="00CE65B0" w:rsidRPr="00DB5D0D" w:rsidRDefault="00CE65B0" w:rsidP="00DB5D0D">
      <w:pPr>
        <w:pStyle w:val="227"/>
        <w:shd w:val="clear" w:color="auto" w:fill="auto"/>
        <w:spacing w:line="240" w:lineRule="auto"/>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Было решено самолеты сдавать в варианте по состоянию доведенности на 20 мая 1940 года: на усиленном шасси - спаренные коле</w:t>
      </w:r>
      <w:r w:rsidRPr="00DB5D0D">
        <w:rPr>
          <w:rFonts w:ascii="Times New Roman" w:hAnsi="Times New Roman" w:cs="Times New Roman"/>
          <w:color w:val="0070C0"/>
          <w:sz w:val="16"/>
          <w:szCs w:val="16"/>
        </w:rPr>
        <w:softHyphen/>
        <w:t>са; с задней стрелковой точкой на каретке по типу машины 1012; с улучшенным управле</w:t>
      </w:r>
      <w:r w:rsidRPr="00DB5D0D">
        <w:rPr>
          <w:rFonts w:ascii="Times New Roman" w:hAnsi="Times New Roman" w:cs="Times New Roman"/>
          <w:color w:val="0070C0"/>
          <w:sz w:val="16"/>
          <w:szCs w:val="16"/>
        </w:rPr>
        <w:softHyphen/>
        <w:t>нием закрылков и триммеров и с доведенны</w:t>
      </w:r>
      <w:r w:rsidRPr="00DB5D0D">
        <w:rPr>
          <w:rFonts w:ascii="Times New Roman" w:hAnsi="Times New Roman" w:cs="Times New Roman"/>
          <w:color w:val="0070C0"/>
          <w:sz w:val="16"/>
          <w:szCs w:val="16"/>
        </w:rPr>
        <w:softHyphen/>
        <w:t>ми бомболюками. Все самолеты обоих серий вернули на завод для переделки. Помимо перечисленного выше, в перечень обязатель</w:t>
      </w:r>
      <w:r w:rsidRPr="00DB5D0D">
        <w:rPr>
          <w:rFonts w:ascii="Times New Roman" w:hAnsi="Times New Roman" w:cs="Times New Roman"/>
          <w:color w:val="0070C0"/>
          <w:sz w:val="16"/>
          <w:szCs w:val="16"/>
        </w:rPr>
        <w:softHyphen/>
        <w:t>ных доработок еще входила установка допол</w:t>
      </w:r>
      <w:r w:rsidRPr="00DB5D0D">
        <w:rPr>
          <w:rFonts w:ascii="Times New Roman" w:hAnsi="Times New Roman" w:cs="Times New Roman"/>
          <w:color w:val="0070C0"/>
          <w:sz w:val="16"/>
          <w:szCs w:val="16"/>
        </w:rPr>
        <w:softHyphen/>
        <w:t>нительных восьмидюймовых маслорадиато- ров с внутренней стороны мотогондол, а</w:t>
      </w:r>
      <w:r w:rsidRPr="00DB5D0D">
        <w:rPr>
          <w:rFonts w:ascii="Times New Roman" w:hAnsi="Times New Roman" w:cs="Times New Roman"/>
          <w:color w:val="0070C0"/>
          <w:sz w:val="16"/>
          <w:szCs w:val="16"/>
          <w:lang w:val="ru-RU"/>
        </w:rPr>
        <w:t xml:space="preserve"> </w:t>
      </w:r>
      <w:r w:rsidRPr="00DB5D0D">
        <w:rPr>
          <w:rFonts w:ascii="Times New Roman" w:hAnsi="Times New Roman" w:cs="Times New Roman"/>
          <w:color w:val="0070C0"/>
          <w:sz w:val="16"/>
          <w:szCs w:val="16"/>
        </w:rPr>
        <w:t>также перекраска самолетов по стандарту согласно приказу НКАП №228с от 25 мая 1940 год, выпущенного во исполнение постанов</w:t>
      </w:r>
      <w:r w:rsidRPr="00DB5D0D">
        <w:rPr>
          <w:rFonts w:ascii="Times New Roman" w:hAnsi="Times New Roman" w:cs="Times New Roman"/>
          <w:color w:val="0070C0"/>
          <w:sz w:val="16"/>
          <w:szCs w:val="16"/>
        </w:rPr>
        <w:softHyphen/>
        <w:t>ления КО №220сс от 23 мая. Завод №1 и тут не дотянул до установленной планки. По состоянию на 1 ноября 1940 года заводом было поставлено 69 самолетов, остальные самолеты находились в производстве. Общий выпуск ББ-22 составил 79 машин. Вполне возможно, что часть задела пошла на дора</w:t>
      </w:r>
      <w:r w:rsidRPr="00DB5D0D">
        <w:rPr>
          <w:rFonts w:ascii="Times New Roman" w:hAnsi="Times New Roman" w:cs="Times New Roman"/>
          <w:color w:val="0070C0"/>
          <w:sz w:val="16"/>
          <w:szCs w:val="16"/>
        </w:rPr>
        <w:softHyphen/>
        <w:t>ботку самолетов первых серий, поэтому завод и не осилил выпуск 100 единиц. За МиГи спрашивали строже.</w:t>
      </w:r>
    </w:p>
    <w:p w14:paraId="618D4364" w14:textId="77777777" w:rsidR="00CE65B0" w:rsidRPr="00DB5D0D" w:rsidRDefault="00CE65B0" w:rsidP="00DB5D0D">
      <w:pPr>
        <w:pStyle w:val="227"/>
        <w:shd w:val="clear" w:color="auto" w:fill="auto"/>
        <w:spacing w:line="240" w:lineRule="auto"/>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Переделка шла достаточно неспешно - машины-то уже числились сданными. Доподлинно неизвестно, на каком точно заводе был построен самолет, известный под обозначением Як-2КАББ, но учитывая статус самолетов первых двух серий завода №1, нюансы остекления кабины пилота и номер 24 на руле направления, можно предполо</w:t>
      </w:r>
      <w:r w:rsidRPr="00DB5D0D">
        <w:rPr>
          <w:rFonts w:ascii="Times New Roman" w:hAnsi="Times New Roman" w:cs="Times New Roman"/>
          <w:color w:val="0070C0"/>
          <w:sz w:val="16"/>
          <w:szCs w:val="16"/>
        </w:rPr>
        <w:softHyphen/>
        <w:t>жить, что это был ББ-22 №1024. В момент постройки второй возможный кандидат - машина 70204 завода №81 находилась на испытаниях в НИИ ВВС, да и выглядела бы после модификации все же несколько иначе. Нельзя конечно исключить, что тактический номер 24 на руле направления носил случай</w:t>
      </w:r>
      <w:r w:rsidRPr="00DB5D0D">
        <w:rPr>
          <w:rFonts w:ascii="Times New Roman" w:hAnsi="Times New Roman" w:cs="Times New Roman"/>
          <w:color w:val="0070C0"/>
          <w:sz w:val="16"/>
          <w:szCs w:val="16"/>
        </w:rPr>
        <w:softHyphen/>
        <w:t>ный характер, не связанный с серийным номером самолета</w:t>
      </w:r>
      <w:r w:rsidRPr="00DB5D0D">
        <w:rPr>
          <w:rFonts w:ascii="Times New Roman" w:hAnsi="Times New Roman" w:cs="Times New Roman"/>
          <w:color w:val="0070C0"/>
          <w:sz w:val="16"/>
          <w:szCs w:val="16"/>
          <w:lang w:val="ru-RU"/>
        </w:rPr>
        <w:t xml:space="preserve"> (19867)</w:t>
      </w:r>
      <w:r w:rsidRPr="00DB5D0D">
        <w:rPr>
          <w:rFonts w:ascii="Times New Roman" w:hAnsi="Times New Roman" w:cs="Times New Roman"/>
          <w:color w:val="0070C0"/>
          <w:sz w:val="16"/>
          <w:szCs w:val="16"/>
        </w:rPr>
        <w:t>.</w:t>
      </w:r>
    </w:p>
    <w:p w14:paraId="035F2C6C" w14:textId="77777777" w:rsidR="00CE65B0" w:rsidRPr="00DB5D0D" w:rsidRDefault="00CE65B0" w:rsidP="00DB5D0D">
      <w:pPr>
        <w:spacing w:after="0" w:line="240" w:lineRule="auto"/>
        <w:jc w:val="both"/>
        <w:rPr>
          <w:rFonts w:ascii="Times New Roman" w:hAnsi="Times New Roman"/>
          <w:color w:val="0070C0"/>
          <w:sz w:val="16"/>
          <w:szCs w:val="16"/>
          <w:lang w:val="ru"/>
        </w:rPr>
      </w:pPr>
    </w:p>
    <w:p w14:paraId="7C40D4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25 мая 1940 вышел приказ НКАП N 229с, который на основании доклада ГК завода N 135 Сухого П.О. по представленным документам по самолету И-135, поручил приступить к проведению летных испытаний с 1 июня 1940 и завершить их к 1 августа. испытания провести в Москве на аэродроме ЦАГИ в Раменском. Назначен л-и А.П.Чернавский (401,45).</w:t>
      </w:r>
    </w:p>
    <w:p w14:paraId="5E1B47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доклада Главного Конструктора завода № 135 тов. СУХОГО П.О. и заключения 11-го Главного Управ ления по пред"явленным документам по самолету И-135 - ПРИКАЗЫВАЮ:</w:t>
      </w:r>
    </w:p>
    <w:p w14:paraId="579CB3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1</w:t>
      </w:r>
    </w:p>
    <w:p w14:paraId="319BF6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Приступить к проведению лётных испытаний самолета с 1-го июня 1940 года и окончить их к 1 августа 1940. года.</w:t>
      </w:r>
    </w:p>
    <w:p w14:paraId="4758C6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провести в гор. Москве на аэродроме ЦАГИ в Ра венском.</w:t>
      </w:r>
    </w:p>
    <w:p w14:paraId="33B6CD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2I</w:t>
      </w:r>
    </w:p>
    <w:p w14:paraId="06FBCF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Летчиком-испытателем по заводским испытаниям самолета И-135 назначаю лётчика ЦАГИ тов. ЧЕРНАВСКОГО</w:t>
      </w:r>
    </w:p>
    <w:p w14:paraId="05598F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3</w:t>
      </w:r>
    </w:p>
    <w:p w14:paraId="57F0B7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Утверждаю прикрепленную к самолету И-135, бригаду на период летних испытании в составе:</w:t>
      </w:r>
    </w:p>
    <w:p w14:paraId="48AE16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w:t>
      </w:r>
      <w:r w:rsidRPr="00DB5D0D">
        <w:rPr>
          <w:rFonts w:ascii="Times New Roman" w:hAnsi="Times New Roman"/>
          <w:color w:val="000000" w:themeColor="text1"/>
          <w:sz w:val="16"/>
          <w:szCs w:val="16"/>
        </w:rPr>
        <w:tab/>
        <w:t>тов. ПОЛЕНОВ Н.П.</w:t>
      </w:r>
    </w:p>
    <w:p w14:paraId="5990B8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Механик</w:t>
      </w:r>
      <w:r w:rsidRPr="00DB5D0D">
        <w:rPr>
          <w:rFonts w:ascii="Times New Roman" w:hAnsi="Times New Roman"/>
          <w:color w:val="000000" w:themeColor="text1"/>
          <w:sz w:val="16"/>
          <w:szCs w:val="16"/>
        </w:rPr>
        <w:tab/>
        <w:t>АЛЕКСАНДРОВ К.И.</w:t>
      </w:r>
    </w:p>
    <w:p w14:paraId="201166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Моторист</w:t>
      </w:r>
      <w:r w:rsidRPr="00DB5D0D">
        <w:rPr>
          <w:rFonts w:ascii="Times New Roman" w:hAnsi="Times New Roman"/>
          <w:color w:val="000000" w:themeColor="text1"/>
          <w:sz w:val="16"/>
          <w:szCs w:val="16"/>
        </w:rPr>
        <w:tab/>
        <w:t>МАНЖОС А.М.</w:t>
      </w:r>
    </w:p>
    <w:p w14:paraId="569649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Сборщик</w:t>
      </w:r>
      <w:r w:rsidRPr="00DB5D0D">
        <w:rPr>
          <w:rFonts w:ascii="Times New Roman" w:hAnsi="Times New Roman"/>
          <w:color w:val="000000" w:themeColor="text1"/>
          <w:sz w:val="16"/>
          <w:szCs w:val="16"/>
        </w:rPr>
        <w:tab/>
        <w:t>БЕРМАН С.С.</w:t>
      </w:r>
    </w:p>
    <w:p w14:paraId="5E97C0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Сборщик</w:t>
      </w:r>
      <w:r w:rsidRPr="00DB5D0D">
        <w:rPr>
          <w:rFonts w:ascii="Times New Roman" w:hAnsi="Times New Roman"/>
          <w:color w:val="000000" w:themeColor="text1"/>
          <w:sz w:val="16"/>
          <w:szCs w:val="16"/>
        </w:rPr>
        <w:tab/>
        <w:t>ГЛИНСКИЙ А.П.</w:t>
      </w:r>
    </w:p>
    <w:p w14:paraId="7EC313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Контролер</w:t>
      </w:r>
      <w:r w:rsidRPr="00DB5D0D">
        <w:rPr>
          <w:rFonts w:ascii="Times New Roman" w:hAnsi="Times New Roman"/>
          <w:color w:val="000000" w:themeColor="text1"/>
          <w:sz w:val="16"/>
          <w:szCs w:val="16"/>
        </w:rPr>
        <w:tab/>
        <w:t>ДЕЙНИЧЕНКО В.П.</w:t>
      </w:r>
    </w:p>
    <w:p w14:paraId="1CC38E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11-го Главного Управления</w:t>
      </w:r>
      <w:r w:rsidRPr="00DB5D0D">
        <w:rPr>
          <w:rFonts w:ascii="Times New Roman" w:hAnsi="Times New Roman"/>
          <w:color w:val="000000" w:themeColor="text1"/>
          <w:sz w:val="16"/>
          <w:szCs w:val="16"/>
        </w:rPr>
        <w:tab/>
        <w:t>МВЛЫШЕВ О.В.</w:t>
      </w:r>
    </w:p>
    <w:p w14:paraId="153AAC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дополнительное вознаграждение лётчику --испытателю за полное проведение заводских испытании в срок 50.000 рублей (401,45).</w:t>
      </w:r>
    </w:p>
    <w:p w14:paraId="06E591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FFCA4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25 мая 1940 г. на 135-м заводе в соответствии с заказом № 330 построили первый опытный экземпляр истребителя П.О.С. И-135 (потом, в декабре того же года эту машину переименовали в Су-1). Сразу из цеха самолет по железной дороге отправили в ЦАГИ на заводские испытания (6406).</w:t>
      </w:r>
    </w:p>
    <w:p w14:paraId="0A3EDD3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B8B1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вышел приказ 11 ГУ N 18:</w:t>
      </w:r>
    </w:p>
    <w:p w14:paraId="507259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выяснения причин несхождения данных продувок самолета СК-ЦАГИ в аэродинамических трубах с данными летных испытаний назначаю комиссию..." (2031,37).</w:t>
      </w:r>
    </w:p>
    <w:p w14:paraId="4DD10C0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C7D4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было донесение ведущего инженера НИИ ВВС по самолету И-26 военинженер 2-го ранга Н.И. Максимов, по которому был составлен доклад начальника НИИ ГУАС КА дивинженера А.И. Филина и военного комиссара НИИ ГУАС КА полкового комиссара С.Г. Холопцева начальнику ГУАС КА комдиву П.А. Алексееву.</w:t>
      </w:r>
    </w:p>
    <w:p w14:paraId="782CDF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докладе указывалось, что программа заводских испытаний выполнена на 65 %. Не выполнены: штопор самолета до двух витков, полеты на потолок самолета и снятие скорости по высотам выше 5000 м, пикирование до скорости 1,5 максимальной (производилось только до скорости 560 км/ч по прибору), бочки и иммельманы, полеты на дальность полета и расход горючего (произведен один полет на расход горючего на различных режимах с попутным снятием скоростей по высотам и замер расхода горючего проводился путем взвешивания), не отработано вооружение самолета. Не были предъявлены окончательные результаты статических испытаний после усиления конструкции.</w:t>
      </w:r>
    </w:p>
    <w:p w14:paraId="6C7C32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этим руководство НИИ ВВС ставило вопрос о проведении представителями ЦАГИ проверки результатов расчета на прочность И-26 и статиспытаний с дальнейшим продолжением заводских испытаний с перегрузками, о необходимости проверки масло- и бензобаков на вибростойкость, увеличении запаса сжатого воздуха, отработке вооружения с отстрелом в воздухе до высоты 8000 м, а также об обязательном полном проведении заводом № 115 программы заводских испытаний самолета И-26.</w:t>
      </w:r>
    </w:p>
    <w:p w14:paraId="73B2B2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перечисленных выше сображений, предъявленный 26 мая 1940 г. на государственные испытания И-26-11 не был принят. Позиция, занятая руководством НИИ, не соответствовала ни текущему состоянию авиапромышленности (которая по докладу начальника ГУАС Алексеева в ЦК ВКП(б) от 24 апреля 1940 г. в то время даже не могла сама проводить заводские испытания выстроенных самолетов), ни внезапно усложнившейся международной обстановке. Отчасти, возможно, решение руководства НИИ было следствием резкой критики, прозвучавшей в адрес института в ходе обсуждения в ЦК ВКП(б) в середине мая 1940 г. состояния Военно-воздушных сил. В частности отмечалось очень низкое качество заключений НИИ по госиспытаниям самолетов, моторов и агрегатов, как результат нежелания руководства НИИ портить отношения с промышленностью и главными конструкторами (12048).</w:t>
      </w:r>
    </w:p>
    <w:p w14:paraId="298458B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4B76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са</w:t>
      </w:r>
      <w:r w:rsidRPr="00DB5D0D">
        <w:rPr>
          <w:rFonts w:ascii="Times New Roman" w:hAnsi="Times New Roman"/>
          <w:color w:val="000000" w:themeColor="text1"/>
          <w:sz w:val="16"/>
          <w:szCs w:val="16"/>
        </w:rPr>
        <w:softHyphen/>
        <w:t>молет И-180-3 потерпел аварию. Летчик НИИ ВВС С.П. Супрун вы</w:t>
      </w:r>
      <w:r w:rsidRPr="00DB5D0D">
        <w:rPr>
          <w:rFonts w:ascii="Times New Roman" w:hAnsi="Times New Roman"/>
          <w:color w:val="000000" w:themeColor="text1"/>
          <w:sz w:val="16"/>
          <w:szCs w:val="16"/>
        </w:rPr>
        <w:softHyphen/>
        <w:t>полнял инспекторский полет после завершения заводских испытаний. При заходе на посадку на высоте около 1000 м Супрун убрал шасси, но затем из-за неровной работы двига</w:t>
      </w:r>
      <w:r w:rsidRPr="00DB5D0D">
        <w:rPr>
          <w:rFonts w:ascii="Times New Roman" w:hAnsi="Times New Roman"/>
          <w:color w:val="000000" w:themeColor="text1"/>
          <w:sz w:val="16"/>
          <w:szCs w:val="16"/>
        </w:rPr>
        <w:softHyphen/>
        <w:t>теля и появившихся хлопков белого дыма из выхлопных патрубков снова выпустил их на втором развороте, приняв правильное решение садиться. На подходе к аэродрому летчик увидел знак, запрещаю</w:t>
      </w:r>
      <w:r w:rsidRPr="00DB5D0D">
        <w:rPr>
          <w:rFonts w:ascii="Times New Roman" w:hAnsi="Times New Roman"/>
          <w:color w:val="000000" w:themeColor="text1"/>
          <w:sz w:val="16"/>
          <w:szCs w:val="16"/>
        </w:rPr>
        <w:softHyphen/>
        <w:t>щий посадку, поскольку на посадочной полосе остановился с выключенным двигателем пассажирский самолет «Сталь-3». Супрун приземлился правее застрявшей на полосе машины. Казалось все препятствия позади, но, пробежав около 100 м, истребитель неожиданно стал разворачиваться влево. По</w:t>
      </w:r>
      <w:r w:rsidRPr="00DB5D0D">
        <w:rPr>
          <w:rFonts w:ascii="Times New Roman" w:hAnsi="Times New Roman"/>
          <w:color w:val="000000" w:themeColor="text1"/>
          <w:sz w:val="16"/>
          <w:szCs w:val="16"/>
        </w:rPr>
        <w:softHyphen/>
        <w:t>пытка сохранить направление пробега не удалась, и само лет скапотировал. Летчика благополучно извлекли из пере</w:t>
      </w:r>
      <w:r w:rsidRPr="00DB5D0D">
        <w:rPr>
          <w:rFonts w:ascii="Times New Roman" w:hAnsi="Times New Roman"/>
          <w:color w:val="000000" w:themeColor="text1"/>
          <w:sz w:val="16"/>
          <w:szCs w:val="16"/>
        </w:rPr>
        <w:softHyphen/>
        <w:t>вернувшегося самолета, он отделался легкими ушибами и царапинами. 25 мая са</w:t>
      </w:r>
      <w:r w:rsidRPr="00DB5D0D">
        <w:rPr>
          <w:rFonts w:ascii="Times New Roman" w:hAnsi="Times New Roman"/>
          <w:color w:val="000000" w:themeColor="text1"/>
          <w:sz w:val="16"/>
          <w:szCs w:val="16"/>
        </w:rPr>
        <w:softHyphen/>
        <w:t>молет потерпел аварию. Летчик НИИ ВВС С.П. Супрун вы</w:t>
      </w:r>
      <w:r w:rsidRPr="00DB5D0D">
        <w:rPr>
          <w:rFonts w:ascii="Times New Roman" w:hAnsi="Times New Roman"/>
          <w:color w:val="000000" w:themeColor="text1"/>
          <w:sz w:val="16"/>
          <w:szCs w:val="16"/>
        </w:rPr>
        <w:softHyphen/>
        <w:t>полнял инспекторский полет после завершения заводских испытаний. При заходе на посадку на высоте около 1000 м Супрун убрал шасси, но затем из-за неровной работы двига</w:t>
      </w:r>
      <w:r w:rsidRPr="00DB5D0D">
        <w:rPr>
          <w:rFonts w:ascii="Times New Roman" w:hAnsi="Times New Roman"/>
          <w:color w:val="000000" w:themeColor="text1"/>
          <w:sz w:val="16"/>
          <w:szCs w:val="16"/>
        </w:rPr>
        <w:softHyphen/>
        <w:t>теля и появившихся хлопков белого дыма из выхлопных патрубков снова выпустил их на втором развороте, приняв правильное решение садиться. На подходе к аэродрому летчик увидел знак, запрещаю</w:t>
      </w:r>
      <w:r w:rsidRPr="00DB5D0D">
        <w:rPr>
          <w:rFonts w:ascii="Times New Roman" w:hAnsi="Times New Roman"/>
          <w:color w:val="000000" w:themeColor="text1"/>
          <w:sz w:val="16"/>
          <w:szCs w:val="16"/>
        </w:rPr>
        <w:softHyphen/>
        <w:t>щий посадку, поскольку на посадочной полосе остановился с выключенным двигателем пассажирский самолет «Сталь-3». Супрун приземлился правее застрявшей на полосе машины. Казалось все препятствия позади, но, пробежав около 100 м, истребитель неожиданно стал разворачиваться влево. По</w:t>
      </w:r>
      <w:r w:rsidRPr="00DB5D0D">
        <w:rPr>
          <w:rFonts w:ascii="Times New Roman" w:hAnsi="Times New Roman"/>
          <w:color w:val="000000" w:themeColor="text1"/>
          <w:sz w:val="16"/>
          <w:szCs w:val="16"/>
        </w:rPr>
        <w:softHyphen/>
        <w:t>пытка сохранить направление пробега не удалась, и само лет скапотировал. Летчика благополучно извлекли из пере</w:t>
      </w:r>
      <w:r w:rsidRPr="00DB5D0D">
        <w:rPr>
          <w:rFonts w:ascii="Times New Roman" w:hAnsi="Times New Roman"/>
          <w:color w:val="000000" w:themeColor="text1"/>
          <w:sz w:val="16"/>
          <w:szCs w:val="16"/>
        </w:rPr>
        <w:softHyphen/>
        <w:t>вернувшегося самолета, он отделался легкими ушибами и царапинами (10745,70).</w:t>
      </w:r>
    </w:p>
    <w:p w14:paraId="4AFEFB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2F0C9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вышло постановление КО N 223сс "О постановке производства самолетов И-180 конструкции Н.Н.П. на заводе 21" о запуске в серию И-180 М-88 с ВИШ-22Е на 21 заводе (725,7). Точно "О постановке производства самолетов И-180 конструкции Н.Н.П. на заводе 21" (1295,181).</w:t>
      </w:r>
    </w:p>
    <w:p w14:paraId="5A6B65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этому же постановлению производство ББ-22 с ВИШ-2К на 21 заводе прекращено и передано на завод 81 (725,13).</w:t>
      </w:r>
    </w:p>
    <w:p w14:paraId="651E43A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1788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вышло постановление № 223сс КО О постановке производства самолетов И-180 конструкции Поликарпова на заводе № 21</w:t>
      </w:r>
    </w:p>
    <w:p w14:paraId="02EC21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37CFB59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 директора завода № 21 Воронина и гл. конструктора Поликарпова организовать на заводе № 21 серийное производство самолетов И-180.</w:t>
      </w:r>
    </w:p>
    <w:p w14:paraId="3676A23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программу по выпуску самолетов И-180 на 1940 год в количестве 110 самолетов по типу выпускаемой заводом № 21 войсковой серии с трехстоечным шасси и трубчатой конструкцией каркаса крыла.</w:t>
      </w:r>
    </w:p>
    <w:p w14:paraId="003953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Отпустить из резервного фонда СНК Союза ССР 8,5 руб., в том числе:</w:t>
      </w:r>
    </w:p>
    <w:p w14:paraId="324228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для премирования конструкторов, ИТР и рабочих завода № 21 за доводку самолета И-180 и за внедрение его в серийное производство и выполнение в срок указанной апрграммы под отчет в распоряжение НКАП 3,45 млн. руб.</w:t>
      </w:r>
    </w:p>
    <w:p w14:paraId="2F1307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поставноку серийного производства с-та И-180 -5 млн. руб.</w:t>
      </w:r>
    </w:p>
    <w:p w14:paraId="0822C6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Заводу № 21 во II полугодии 1940 года перейти на выпуск самолетов И-16 одного типа 29 (2 синхронных пулемета ШКАС и 1 синхронный системы Березина), вместо выпускаемых трех типов 24, 28 и 29.</w:t>
      </w:r>
    </w:p>
    <w:p w14:paraId="3923A6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НКЧМ - тов. Тевосяна И.Т.:</w:t>
      </w:r>
    </w:p>
    <w:p w14:paraId="27ADF7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обеспечить завод № 21 для выпуска с-та И-180 цельнотянутыми хромансилевыми трубами марки 30ХГСА, согласно спецификации завода, поставив в первую очередь производство труб размером 45 и 36</w:t>
      </w:r>
    </w:p>
    <w:p w14:paraId="57F1A6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Освоить производство конусных труб марки 20 ХГСА по чертежам завода № 21 с подачей первой партии в количестве 1000 матров в Ш кв. По спецификации завода;</w:t>
      </w:r>
    </w:p>
    <w:p w14:paraId="6C8061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обеспечить завод № 21 листовой сталью марки 25 ХГСА согласно спецификации завода.</w:t>
      </w:r>
    </w:p>
    <w:p w14:paraId="141796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НКВ тов. Ванникова Б.Л.:</w:t>
      </w:r>
    </w:p>
    <w:p w14:paraId="6805B0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принять на завод № 92 изготовление 15 наименований поковок из легированной стали для самолета И-180 по чертежам завода № 21</w:t>
      </w:r>
    </w:p>
    <w:p w14:paraId="3D6162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обеспечить поставку заводу № 21 крупнокалиберных пулеметов Березина по срокам, согласованным с заводом № 21</w:t>
      </w:r>
    </w:p>
    <w:p w14:paraId="5BFCFF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НКАП отчет об израсходовании премиальных сумм представить в КО при СНК к 20 июня 1941 г. (7595, 85-86).</w:t>
      </w:r>
    </w:p>
    <w:p w14:paraId="13D232E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F787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25 мая 1940 Постановлением КО при СНК №224 и прика</w:t>
      </w:r>
      <w:r w:rsidRPr="00DB5D0D">
        <w:rPr>
          <w:rFonts w:ascii="Times New Roman" w:hAnsi="Times New Roman"/>
          <w:color w:val="000000" w:themeColor="text1"/>
          <w:sz w:val="16"/>
          <w:szCs w:val="16"/>
        </w:rPr>
        <w:softHyphen/>
        <w:t>зом НКАП №245 от 31 мая 1940 г. истребитель И-200 был официально запу</w:t>
      </w:r>
      <w:r w:rsidRPr="00DB5D0D">
        <w:rPr>
          <w:rFonts w:ascii="Times New Roman" w:hAnsi="Times New Roman"/>
          <w:color w:val="000000" w:themeColor="text1"/>
          <w:sz w:val="16"/>
          <w:szCs w:val="16"/>
        </w:rPr>
        <w:softHyphen/>
        <w:t>щен в серийное производство на заводе №1.</w:t>
      </w:r>
    </w:p>
    <w:p w14:paraId="1022CD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Снимаемые в процессе заводс</w:t>
      </w:r>
      <w:r w:rsidRPr="00DB5D0D">
        <w:rPr>
          <w:rFonts w:ascii="Times New Roman" w:hAnsi="Times New Roman"/>
          <w:color w:val="000000" w:themeColor="text1"/>
          <w:sz w:val="16"/>
          <w:szCs w:val="16"/>
        </w:rPr>
        <w:softHyphen/>
        <w:t>ких испытаний характеристики И-200 совпадали с аэродинамическим расчётом и соответствовали почти всем предъявляемым тактико-техни</w:t>
      </w:r>
      <w:r w:rsidRPr="00DB5D0D">
        <w:rPr>
          <w:rFonts w:ascii="Times New Roman" w:hAnsi="Times New Roman"/>
          <w:color w:val="000000" w:themeColor="text1"/>
          <w:sz w:val="16"/>
          <w:szCs w:val="16"/>
        </w:rPr>
        <w:softHyphen/>
        <w:t>ческим требованиям. Поэтому, серийное производство было решено начать не дожидаясь окончания заводских испытаний, не говоря уже о госу</w:t>
      </w:r>
      <w:r w:rsidRPr="00DB5D0D">
        <w:rPr>
          <w:rFonts w:ascii="Times New Roman" w:hAnsi="Times New Roman"/>
          <w:color w:val="000000" w:themeColor="text1"/>
          <w:sz w:val="16"/>
          <w:szCs w:val="16"/>
        </w:rPr>
        <w:softHyphen/>
        <w:t>дарственных.</w:t>
      </w:r>
    </w:p>
    <w:p w14:paraId="2241AA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Вместо запланированного АМ-37, который ещё не был готов, на И-200 пришлось установить двигатель АМ-35А взлётной мощностью 1350 л.с. Это несколько снизило лётные характеристики самолёта, но всё же они оставались на достаточном уровне. Так, 24 мая А.Н. Екатов на И-200 №01 достиг скорости 648,5 км/ч на высоте 6900 м, а 5 августа М.Н. Якушин на И-200 №02 на высоте 7000 м показал скорость 651 км/ч. На высоту 5000 м само</w:t>
      </w:r>
      <w:r w:rsidRPr="00DB5D0D">
        <w:rPr>
          <w:rFonts w:ascii="Times New Roman" w:hAnsi="Times New Roman"/>
          <w:color w:val="000000" w:themeColor="text1"/>
          <w:sz w:val="16"/>
          <w:szCs w:val="16"/>
        </w:rPr>
        <w:softHyphen/>
        <w:t>лёт поднялся за 5,1 мин, а ещё че</w:t>
      </w:r>
      <w:r w:rsidRPr="00DB5D0D">
        <w:rPr>
          <w:rFonts w:ascii="Times New Roman" w:hAnsi="Times New Roman"/>
          <w:color w:val="000000" w:themeColor="text1"/>
          <w:sz w:val="16"/>
          <w:szCs w:val="16"/>
        </w:rPr>
        <w:softHyphen/>
        <w:t>рез 2 мин он был уже на 7000 м.</w:t>
      </w:r>
    </w:p>
    <w:p w14:paraId="4C24A53C" w14:textId="77777777" w:rsidR="00A25AD1" w:rsidRPr="00DB5D0D" w:rsidRDefault="00A25AD1" w:rsidP="00DB5D0D">
      <w:pPr>
        <w:pStyle w:val="af9"/>
        <w:spacing w:before="0" w:after="0"/>
        <w:jc w:val="both"/>
        <w:rPr>
          <w:color w:val="000000" w:themeColor="text1"/>
          <w:sz w:val="16"/>
          <w:szCs w:val="16"/>
        </w:rPr>
      </w:pPr>
      <w:r w:rsidRPr="00DB5D0D">
        <w:rPr>
          <w:color w:val="000000" w:themeColor="text1"/>
          <w:sz w:val="16"/>
          <w:szCs w:val="16"/>
        </w:rPr>
        <w:t>Испытания ещё продолжались, но уже полным ходом шло внедре</w:t>
      </w:r>
      <w:r w:rsidRPr="00DB5D0D">
        <w:rPr>
          <w:color w:val="000000" w:themeColor="text1"/>
          <w:sz w:val="16"/>
          <w:szCs w:val="16"/>
        </w:rPr>
        <w:softHyphen/>
        <w:t>ние нового истребителя в серию параллельно с внесением измене</w:t>
      </w:r>
      <w:r w:rsidRPr="00DB5D0D">
        <w:rPr>
          <w:color w:val="000000" w:themeColor="text1"/>
          <w:sz w:val="16"/>
          <w:szCs w:val="16"/>
        </w:rPr>
        <w:softHyphen/>
        <w:t>ний в его конструкцию. А 18 авгус</w:t>
      </w:r>
      <w:r w:rsidRPr="00DB5D0D">
        <w:rPr>
          <w:color w:val="000000" w:themeColor="text1"/>
          <w:sz w:val="16"/>
          <w:szCs w:val="16"/>
        </w:rPr>
        <w:softHyphen/>
        <w:t>та 1940 г. в Тушине на параде, по</w:t>
      </w:r>
      <w:r w:rsidRPr="00DB5D0D">
        <w:rPr>
          <w:color w:val="000000" w:themeColor="text1"/>
          <w:sz w:val="16"/>
          <w:szCs w:val="16"/>
        </w:rPr>
        <w:softHyphen/>
        <w:t>свящённом Дню авиации, машину впервые показали широкой публи</w:t>
      </w:r>
      <w:r w:rsidRPr="00DB5D0D">
        <w:rPr>
          <w:color w:val="000000" w:themeColor="text1"/>
          <w:sz w:val="16"/>
          <w:szCs w:val="16"/>
        </w:rPr>
        <w:softHyphen/>
        <w:t>ке. Показательный полёт на И-200 №01 выполнил М.Н. Якушин (11757).</w:t>
      </w:r>
    </w:p>
    <w:p w14:paraId="34E3CE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27DBC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вышло постановление № 224сс КО Об организации серийного производства самолета И-200 на заводе № 1 и о снятии с производства самолета ББ-22</w:t>
      </w:r>
    </w:p>
    <w:p w14:paraId="4CB1ECF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директора завода № 1 Дементьева и гл. конструктора Микояна организовать серийное производство самолетов И-200 с мотором АМ-35А.</w:t>
      </w:r>
    </w:p>
    <w:p w14:paraId="60DDDF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программу выпуска по самолетам И-200 заводу № 1 на 1940 год – 125 штук.</w:t>
      </w:r>
    </w:p>
    <w:p w14:paraId="3AC8D5A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директора завода № 1 Дементьева, гл. конструктора Микояна довести самолет И-200 и сдать на госиспытания не позже 10 июня.</w:t>
      </w:r>
    </w:p>
    <w:p w14:paraId="45B9935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директора завода № 24 Дубова, директора завода № 33 Соколова, гл. конструктора завода № 24 Микулина сдать не позже 1 июня 1940 года заводу " 1 три полностью доведенных мотора АМ-35А для обеспечения проведения заводских и госиспытаний самолета И-200.</w:t>
      </w:r>
    </w:p>
    <w:p w14:paraId="7B55DCA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Производство самолета ББ-22 на заводе № 1 прекратить. Разрешить заводу № 1 в 1940 году изготовить с дать ВВС из имеющегося задела 100 самолетов ББ-22, остальной задел и оснастку передать на завод № 81.</w:t>
      </w:r>
    </w:p>
    <w:p w14:paraId="27FFA68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Разрешить заводу № 1 самолеты ББ-22 сдавать в существующем варианте по состоянию доведенности на 20 мая 1940 года: на усиленном шасси – спаренные колеса; с задней стрелковой точкой на каретке по типу машины 1020; с улучшенным управлением закрылков и триммеров и с доведенными бомболюками.</w:t>
      </w:r>
    </w:p>
    <w:p w14:paraId="15A530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И-153 "Чайка" сдавать во II полугодии в нормальном варианте без модификации по эталону I полугодия (7595, 87-89).</w:t>
      </w:r>
    </w:p>
    <w:p w14:paraId="7D47A6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Наркомфину СССР-</w:t>
      </w:r>
    </w:p>
    <w:p w14:paraId="40D0E2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покрыть на бюджета все убытки завода № 1 по постановке производства, по затратам на производство задаела готовых изделий) по самолоетам ББ-22, в связи со снятием этого самолета с производства завода № 1.</w:t>
      </w:r>
    </w:p>
    <w:p w14:paraId="287E06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Отпустить из резервного фонда СНК СССР заводу № 1 НКАП 7 млн. рублей на постановку производства самолета И-200 и под отчет в распоряжение НКАП 4 млн. руб для премирования ИТР, рабочих и служащих завода № 1, в соответствии с положением о премирования за ввнедрение в серийное производство самолета И-200 и выполнение заданной программы 1940 года по самолетам И-200.</w:t>
      </w:r>
    </w:p>
    <w:p w14:paraId="05DB02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Обязать Наркомвнешторг немедленно разместить заказы на следующее оборудоваияе для завода № 1 НКАП в Германии, со сроком поставки в Ш-1У кварталах 1940 года:</w:t>
      </w:r>
    </w:p>
    <w:p w14:paraId="3DF58F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Крупно-фрезерных станков </w:t>
      </w:r>
      <w:r w:rsidRPr="00DB5D0D">
        <w:rPr>
          <w:rFonts w:ascii="Times New Roman" w:hAnsi="Times New Roman"/>
          <w:color w:val="000000" w:themeColor="text1"/>
          <w:sz w:val="16"/>
          <w:szCs w:val="16"/>
        </w:rPr>
        <w:tab/>
        <w:t xml:space="preserve">5 </w:t>
      </w:r>
      <w:r w:rsidRPr="00DB5D0D">
        <w:rPr>
          <w:rFonts w:ascii="Times New Roman" w:hAnsi="Times New Roman"/>
          <w:color w:val="000000" w:themeColor="text1"/>
          <w:sz w:val="16"/>
          <w:szCs w:val="16"/>
        </w:rPr>
        <w:tab/>
        <w:t>15.03.41</w:t>
      </w:r>
    </w:p>
    <w:p w14:paraId="1083C8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Кругло-шлифовальных станков</w:t>
      </w:r>
      <w:r w:rsidRPr="00DB5D0D">
        <w:rPr>
          <w:rFonts w:ascii="Times New Roman" w:hAnsi="Times New Roman"/>
          <w:color w:val="000000" w:themeColor="text1"/>
          <w:sz w:val="16"/>
          <w:szCs w:val="16"/>
        </w:rPr>
        <w:tab/>
        <w:t>5</w:t>
      </w:r>
      <w:r w:rsidRPr="00DB5D0D">
        <w:rPr>
          <w:rFonts w:ascii="Times New Roman" w:hAnsi="Times New Roman"/>
          <w:color w:val="000000" w:themeColor="text1"/>
          <w:sz w:val="16"/>
          <w:szCs w:val="16"/>
        </w:rPr>
        <w:tab/>
        <w:t>15.03.41</w:t>
      </w:r>
    </w:p>
    <w:p w14:paraId="2AB5BE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Эксцентричных прессов мощн. 250-300 тн.</w:t>
      </w:r>
      <w:r w:rsidRPr="00DB5D0D">
        <w:rPr>
          <w:rFonts w:ascii="Times New Roman" w:hAnsi="Times New Roman"/>
          <w:color w:val="000000" w:themeColor="text1"/>
          <w:sz w:val="16"/>
          <w:szCs w:val="16"/>
        </w:rPr>
        <w:tab/>
        <w:t>2</w:t>
      </w:r>
      <w:r w:rsidRPr="00DB5D0D">
        <w:rPr>
          <w:rFonts w:ascii="Times New Roman" w:hAnsi="Times New Roman"/>
          <w:color w:val="000000" w:themeColor="text1"/>
          <w:sz w:val="16"/>
          <w:szCs w:val="16"/>
        </w:rPr>
        <w:tab/>
        <w:t>15.12.42</w:t>
      </w:r>
    </w:p>
    <w:p w14:paraId="194CD8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Индукционных эл. печей для плавки стали фирмы Сименс-Гальске, емкостью 250 кг. с генераторной установкой</w:t>
      </w:r>
      <w:r w:rsidRPr="00DB5D0D">
        <w:rPr>
          <w:rFonts w:ascii="Times New Roman" w:hAnsi="Times New Roman"/>
          <w:color w:val="000000" w:themeColor="text1"/>
          <w:sz w:val="16"/>
          <w:szCs w:val="16"/>
        </w:rPr>
        <w:tab/>
        <w:t>2</w:t>
      </w:r>
      <w:r w:rsidRPr="00DB5D0D">
        <w:rPr>
          <w:rFonts w:ascii="Times New Roman" w:hAnsi="Times New Roman"/>
          <w:color w:val="000000" w:themeColor="text1"/>
          <w:sz w:val="16"/>
          <w:szCs w:val="16"/>
        </w:rPr>
        <w:tab/>
        <w:t>?</w:t>
      </w:r>
    </w:p>
    <w:p w14:paraId="3412DE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Плавильные печи типа "Колеман” емкостью 250 кг</w:t>
      </w:r>
      <w:r w:rsidRPr="00DB5D0D">
        <w:rPr>
          <w:rFonts w:ascii="Times New Roman" w:hAnsi="Times New Roman"/>
          <w:color w:val="000000" w:themeColor="text1"/>
          <w:sz w:val="16"/>
          <w:szCs w:val="16"/>
        </w:rPr>
        <w:tab/>
        <w:t>3</w:t>
      </w:r>
      <w:r w:rsidRPr="00DB5D0D">
        <w:rPr>
          <w:rFonts w:ascii="Times New Roman" w:hAnsi="Times New Roman"/>
          <w:color w:val="000000" w:themeColor="text1"/>
          <w:sz w:val="16"/>
          <w:szCs w:val="16"/>
        </w:rPr>
        <w:tab/>
        <w:t>30.10.41</w:t>
      </w:r>
    </w:p>
    <w:p w14:paraId="52F4C7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Машины для литья под давлением фирмы "Полак "</w:t>
      </w:r>
      <w:r w:rsidRPr="00DB5D0D">
        <w:rPr>
          <w:rFonts w:ascii="Times New Roman" w:hAnsi="Times New Roman"/>
          <w:color w:val="000000" w:themeColor="text1"/>
          <w:sz w:val="16"/>
          <w:szCs w:val="16"/>
        </w:rPr>
        <w:tab/>
        <w:t>3</w:t>
      </w:r>
      <w:r w:rsidRPr="00DB5D0D">
        <w:rPr>
          <w:rFonts w:ascii="Times New Roman" w:hAnsi="Times New Roman"/>
          <w:color w:val="000000" w:themeColor="text1"/>
          <w:sz w:val="16"/>
          <w:szCs w:val="16"/>
        </w:rPr>
        <w:tab/>
        <w:t>?</w:t>
      </w:r>
    </w:p>
    <w:p w14:paraId="138F6B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Обязать Наркомат Вооружений поставлять стальное легированное литье с заводов №№ 92 и 8 для завода № 1 НКАП, начиная с 1 июня 1940 гола в сроки по графикам НКАП.</w:t>
      </w:r>
    </w:p>
    <w:p w14:paraId="0009EE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Обязать Наркомат Среднего машиностроения поставлять с завода Ленинград-М еталлургстрой легированное стальное литье для завода № 1НКАП с 15 июля 1940 года, в сроки по графикам НКАП.</w:t>
      </w:r>
    </w:p>
    <w:p w14:paraId="180A6B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Обязать Наркомлес СССР поставлять дельта-древесину и бакелизированную фанеру для завода № 1 НКАП с 15-го июня 1940 года по спецификации НКАП.</w:t>
      </w:r>
    </w:p>
    <w:p w14:paraId="62CC23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Обязать директора завода "Серп и Молот" Наркомата Черной Металлургии поставлять заводу № 1 по его спецификация и чертежам стальные профиля и таврики с 15 июня 1940 года.</w:t>
      </w:r>
    </w:p>
    <w:p w14:paraId="4C6813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Обязать Наркома по Строительству тов. ГИНЗБУРГ закончить строительство сборочного цеха завода № 1 в августе месяце 1940 г.</w:t>
      </w:r>
    </w:p>
    <w:p w14:paraId="4FB0F0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Наркомавиапрому отчет об израсходовании премиальных сумм представить в Комитет Обороны при СНК Союза ССР к 20 января 1941 года (10395).</w:t>
      </w:r>
    </w:p>
    <w:p w14:paraId="5218C92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EA01CA" w14:textId="77777777" w:rsidR="00586212" w:rsidRPr="00DB5D0D" w:rsidRDefault="0058621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Постановлением Комитета Обороны при СНК СССР «срок предъявления самолётов И-200 с АМ-35А (Микоян) был установлен 10.</w:t>
      </w:r>
      <w:r w:rsidRPr="00DB5D0D">
        <w:rPr>
          <w:rFonts w:ascii="Times New Roman" w:hAnsi="Times New Roman"/>
          <w:color w:val="000000" w:themeColor="text1"/>
          <w:sz w:val="16"/>
          <w:szCs w:val="16"/>
          <w:lang w:val="en-US"/>
        </w:rPr>
        <w:t>VI</w:t>
      </w:r>
      <w:r w:rsidRPr="00DB5D0D">
        <w:rPr>
          <w:rFonts w:ascii="Times New Roman" w:hAnsi="Times New Roman"/>
          <w:color w:val="000000" w:themeColor="text1"/>
          <w:sz w:val="16"/>
          <w:szCs w:val="16"/>
        </w:rPr>
        <w:t>.40 г. Поступил на гос. испытания 29.</w:t>
      </w:r>
      <w:r w:rsidRPr="00DB5D0D">
        <w:rPr>
          <w:rFonts w:ascii="Times New Roman" w:hAnsi="Times New Roman"/>
          <w:color w:val="000000" w:themeColor="text1"/>
          <w:sz w:val="16"/>
          <w:szCs w:val="16"/>
          <w:lang w:val="en-US"/>
        </w:rPr>
        <w:t>VIII</w:t>
      </w:r>
      <w:r w:rsidRPr="00DB5D0D">
        <w:rPr>
          <w:rFonts w:ascii="Times New Roman" w:hAnsi="Times New Roman"/>
          <w:color w:val="000000" w:themeColor="text1"/>
          <w:sz w:val="16"/>
          <w:szCs w:val="16"/>
        </w:rPr>
        <w:t>.40 г.» (15804).</w:t>
      </w:r>
    </w:p>
    <w:p w14:paraId="7B535854" w14:textId="77777777" w:rsidR="00586212" w:rsidRPr="00DB5D0D" w:rsidRDefault="00586212" w:rsidP="00DB5D0D">
      <w:pPr>
        <w:spacing w:after="0" w:line="240" w:lineRule="auto"/>
        <w:jc w:val="both"/>
        <w:rPr>
          <w:rFonts w:ascii="Times New Roman" w:hAnsi="Times New Roman"/>
          <w:color w:val="000000" w:themeColor="text1"/>
          <w:sz w:val="16"/>
          <w:szCs w:val="16"/>
        </w:rPr>
      </w:pPr>
    </w:p>
    <w:p w14:paraId="477086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Комитет Обороны (КО) СССР издал постановление о том, что «во II полугодии 1940 года за</w:t>
      </w:r>
      <w:r w:rsidRPr="00DB5D0D">
        <w:rPr>
          <w:rFonts w:ascii="Times New Roman" w:hAnsi="Times New Roman"/>
          <w:color w:val="000000" w:themeColor="text1"/>
          <w:sz w:val="16"/>
          <w:szCs w:val="16"/>
        </w:rPr>
        <w:softHyphen/>
        <w:t>воду № 21 для ГУАС КА надлежит сдать ПО самолетов И-180 М-88 и оставить в производстве только самолет И-16 типа «29», самолеты типа «24» и «28» с производст</w:t>
      </w:r>
      <w:r w:rsidRPr="00DB5D0D">
        <w:rPr>
          <w:rFonts w:ascii="Times New Roman" w:hAnsi="Times New Roman"/>
          <w:color w:val="000000" w:themeColor="text1"/>
          <w:sz w:val="16"/>
          <w:szCs w:val="16"/>
        </w:rPr>
        <w:softHyphen/>
        <w:t>ва снимаются». И-16 тип 29 выпускали в вариантах, отличающихся друг от друга установкой радиостанции, ракетного ору</w:t>
      </w:r>
      <w:r w:rsidRPr="00DB5D0D">
        <w:rPr>
          <w:rFonts w:ascii="Times New Roman" w:hAnsi="Times New Roman"/>
          <w:color w:val="000000" w:themeColor="text1"/>
          <w:sz w:val="16"/>
          <w:szCs w:val="16"/>
        </w:rPr>
        <w:softHyphen/>
        <w:t>жия, подвесных баков, фотокинопулемета ПАУ-22. Вес машины, естественно, несколько возрос и находился в пределах от 1900 кг до 2115 кг. Предполагалось, что все И-16 тип 29 будут оснащаться радиостанцией, но на практике такое указание не выполнили (10667).</w:t>
      </w:r>
    </w:p>
    <w:p w14:paraId="42DE09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B0EFF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решением Комитета Обороны при СНК СССР И-200 запустили в серийное производство. В дальнейшем истребитель по</w:t>
      </w:r>
      <w:r w:rsidRPr="00DB5D0D">
        <w:rPr>
          <w:rFonts w:ascii="Times New Roman" w:hAnsi="Times New Roman"/>
          <w:color w:val="000000" w:themeColor="text1"/>
          <w:sz w:val="16"/>
          <w:szCs w:val="16"/>
        </w:rPr>
        <w:softHyphen/>
        <w:t>лучил обозначение МиГ-1 и вместе со своей улучшен</w:t>
      </w:r>
      <w:r w:rsidRPr="00DB5D0D">
        <w:rPr>
          <w:rFonts w:ascii="Times New Roman" w:hAnsi="Times New Roman"/>
          <w:color w:val="000000" w:themeColor="text1"/>
          <w:sz w:val="16"/>
          <w:szCs w:val="16"/>
        </w:rPr>
        <w:softHyphen/>
        <w:t>ной модификацией МиГ-3 принимал участие в Великой Отечественной войне. После внедрения самолета в се</w:t>
      </w:r>
      <w:r w:rsidRPr="00DB5D0D">
        <w:rPr>
          <w:rFonts w:ascii="Times New Roman" w:hAnsi="Times New Roman"/>
          <w:color w:val="000000" w:themeColor="text1"/>
          <w:sz w:val="16"/>
          <w:szCs w:val="16"/>
        </w:rPr>
        <w:softHyphen/>
        <w:t>рию Поликарпов был отмечен премией за проектирова</w:t>
      </w:r>
      <w:r w:rsidRPr="00DB5D0D">
        <w:rPr>
          <w:rFonts w:ascii="Times New Roman" w:hAnsi="Times New Roman"/>
          <w:color w:val="000000" w:themeColor="text1"/>
          <w:sz w:val="16"/>
          <w:szCs w:val="16"/>
        </w:rPr>
        <w:softHyphen/>
        <w:t>ние схемы и основных элементов самолета. Неожиданный поворот событий, связанный с выде</w:t>
      </w:r>
      <w:r w:rsidRPr="00DB5D0D">
        <w:rPr>
          <w:rFonts w:ascii="Times New Roman" w:hAnsi="Times New Roman"/>
          <w:color w:val="000000" w:themeColor="text1"/>
          <w:sz w:val="16"/>
          <w:szCs w:val="16"/>
        </w:rPr>
        <w:softHyphen/>
        <w:t>лением ОКО, отбросил Николая Николаевича на полго</w:t>
      </w:r>
      <w:r w:rsidRPr="00DB5D0D">
        <w:rPr>
          <w:rFonts w:ascii="Times New Roman" w:hAnsi="Times New Roman"/>
          <w:color w:val="000000" w:themeColor="text1"/>
          <w:sz w:val="16"/>
          <w:szCs w:val="16"/>
        </w:rPr>
        <w:softHyphen/>
        <w:t>да в деле создания перспективной боевой техники. Теперь основной машиной, определяющей главное на</w:t>
      </w:r>
      <w:r w:rsidRPr="00DB5D0D">
        <w:rPr>
          <w:rFonts w:ascii="Times New Roman" w:hAnsi="Times New Roman"/>
          <w:color w:val="000000" w:themeColor="text1"/>
          <w:sz w:val="16"/>
          <w:szCs w:val="16"/>
        </w:rPr>
        <w:softHyphen/>
        <w:t>правление деятельности ОКБ, становился И-185, полу</w:t>
      </w:r>
      <w:r w:rsidRPr="00DB5D0D">
        <w:rPr>
          <w:rFonts w:ascii="Times New Roman" w:hAnsi="Times New Roman"/>
          <w:color w:val="000000" w:themeColor="text1"/>
          <w:sz w:val="16"/>
          <w:szCs w:val="16"/>
        </w:rPr>
        <w:softHyphen/>
        <w:t>чивший условное обозначение «Р» (в документации завода № 1 он обозначался как «изделие 62», а И-200 -как «изделие 61»). Несмотря на то, что некоторые ответственные работ</w:t>
      </w:r>
      <w:r w:rsidRPr="00DB5D0D">
        <w:rPr>
          <w:rFonts w:ascii="Times New Roman" w:hAnsi="Times New Roman"/>
          <w:color w:val="000000" w:themeColor="text1"/>
          <w:sz w:val="16"/>
          <w:szCs w:val="16"/>
        </w:rPr>
        <w:softHyphen/>
        <w:t>ники наркомата считали двигатель воздушного охлаж</w:t>
      </w:r>
      <w:r w:rsidRPr="00DB5D0D">
        <w:rPr>
          <w:rFonts w:ascii="Times New Roman" w:hAnsi="Times New Roman"/>
          <w:color w:val="000000" w:themeColor="text1"/>
          <w:sz w:val="16"/>
          <w:szCs w:val="16"/>
        </w:rPr>
        <w:softHyphen/>
        <w:t>дения неперспективным для истребителя, Николай Николаевич не без основания полагал возможным со</w:t>
      </w:r>
      <w:r w:rsidRPr="00DB5D0D">
        <w:rPr>
          <w:rFonts w:ascii="Times New Roman" w:hAnsi="Times New Roman"/>
          <w:color w:val="000000" w:themeColor="text1"/>
          <w:sz w:val="16"/>
          <w:szCs w:val="16"/>
        </w:rPr>
        <w:softHyphen/>
        <w:t>здать с этим мотором самолет с высокими летными ха</w:t>
      </w:r>
      <w:r w:rsidRPr="00DB5D0D">
        <w:rPr>
          <w:rFonts w:ascii="Times New Roman" w:hAnsi="Times New Roman"/>
          <w:color w:val="000000" w:themeColor="text1"/>
          <w:sz w:val="16"/>
          <w:szCs w:val="16"/>
        </w:rPr>
        <w:softHyphen/>
        <w:t>рактеристиками. Использовался разработанный в предварительном проекте капот с центральным входом, но с изменениями и доработками, новый профиль кры</w:t>
      </w:r>
      <w:r w:rsidRPr="00DB5D0D">
        <w:rPr>
          <w:rFonts w:ascii="Times New Roman" w:hAnsi="Times New Roman"/>
          <w:color w:val="000000" w:themeColor="text1"/>
          <w:sz w:val="16"/>
          <w:szCs w:val="16"/>
        </w:rPr>
        <w:softHyphen/>
        <w:t>ла. Самолет имел длину 7,25 м, размах крыла - 9,8 м (10667).</w:t>
      </w:r>
    </w:p>
    <w:p w14:paraId="696B18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C92F1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Решением Политбюро ЦК ВКП(б) № П 16 / 194 – ОП был утвержден вопрос Комитета Обороны, состоявший из нескольких пунктов:</w:t>
      </w:r>
    </w:p>
    <w:p w14:paraId="3C52C7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пунктом V «О постановке производства самолетов И-180 конструкции Поликарпова на заводе № 21» из резервного фонда СНК выделялось 8,5 млн рублей, в том числе на постановку в серийное производство – 5 млн, а для премирования за доводку и за внедрение в серийное производство в срок соответственно 3,5 млн рублей конструкторам, ИТР и рабочим (РГАСПИ. Ф. 17. Оп. 162. Д. 27. Л. 112.).</w:t>
      </w:r>
    </w:p>
    <w:p w14:paraId="4EB0A9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несмотря на быструю реакцию военно-политического руководства страны, благоприятному развитию ситуации с И-180 не способствовали и две аварии, которые произошли с интервалом менее чем в полтора месяца.</w:t>
      </w:r>
    </w:p>
    <w:p w14:paraId="6A6FC3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следующий день после упоминавшегося решения Политбюро ЦК ВКП(б) – 26 мая 1940 года – произошла авария самолета производства завода № 21 И-180 № 25212 с мотором М-88 (летчик – Герой Советского Союза Супрун). «Пилот проводил инспекторский полет. Во время полета на высоте 800 – 1000 метров мотор стал работать с перебоями, из выхлопных патрубков появились хлопки белого дыма. Пилот пошел на посадку. Самолет нормально коснулся земли и ровно пробежал около 100 метров. После этого самолет резко развернуло влево... градусов на 30. Пилот тормозом выправил положение, самолет развернуло вправо. Затем самолет стал рыскать вправо и влево, вскоре концом винта задел землю и далее полностью скапотировал, со сваливанием на правое крыло. Самолет полностью разбит.</w:t>
      </w:r>
    </w:p>
    <w:p w14:paraId="5CA2E9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Причина аварии: авария произошла из-за нежесткости и непрочности траверса ноги шасси...» (Самарский филиал РГАНТД. Ф. Р-217. 1-6. Д. 26. Л. 6.).</w:t>
      </w:r>
    </w:p>
    <w:p w14:paraId="70ECB5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явствует из этих материалов, полет прервался из-за проблем с мотором.</w:t>
      </w:r>
    </w:p>
    <w:p w14:paraId="43EB58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же самого летчика-испытателя, «пилоты, освоившие И-16, легко освоят И-180» (Там же. Л. 8.) (11672).</w:t>
      </w:r>
    </w:p>
    <w:p w14:paraId="369F619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6ED1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в НКАП подготовили документ (№223сс). устанавливающий головую программу изготовления И-180 в количестве 110 самолетов. Последствия оказались минимальные - ло конца гола построили несколько экземпляров без моторов.</w:t>
      </w:r>
    </w:p>
    <w:p w14:paraId="055A27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Одновременно, в этот период велась полномасштабная работа по постройке истребителя конструкции М.М.Пашнннна ИП-21. После ухода Кагановича машину поддерживал П.А Воронин - сначала как директор завода, затем как заместитель наркома авиапромышленности. Считалось, что этот самолет имеет заметно больше шансов на успех чем И-180 (12015).</w:t>
      </w:r>
    </w:p>
    <w:p w14:paraId="6EA1700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254E22A" w14:textId="77777777" w:rsidR="00E548F7" w:rsidRPr="00DB5D0D" w:rsidRDefault="00E548F7" w:rsidP="00DB5D0D">
      <w:pPr>
        <w:pStyle w:val="ae"/>
        <w:shd w:val="clear" w:color="auto" w:fill="FFFFFF"/>
        <w:spacing w:before="0" w:after="0"/>
        <w:jc w:val="both"/>
        <w:rPr>
          <w:color w:val="000000" w:themeColor="text1"/>
          <w:sz w:val="16"/>
          <w:szCs w:val="16"/>
        </w:rPr>
      </w:pPr>
      <w:r w:rsidRPr="00DB5D0D">
        <w:rPr>
          <w:color w:val="000000" w:themeColor="text1"/>
          <w:sz w:val="16"/>
          <w:szCs w:val="16"/>
        </w:rPr>
        <w:t>25 мая 1940 г. - досрочно - завод №1 закончил постройку планера первого опытного экземпляра И-185, хотя широкое развертывание самых разнообразных опытных работ вместо привычного потока серии одинаковых машин превратило жизнь и служб предприятия, и его цехов в сущий кошмар. Помимо И-153 и Як-2 во многих модификациях, включая опытные, 1 -й завод строил опытные образцы самолетов И-180 №3, И-185, И-190 Поликарпова, а также И-200 (так стал именоваться самолет «61» в ОКБ Микояна), ИП-21 Пашинина и ОПБ-5 Кочеригина.</w:t>
      </w:r>
    </w:p>
    <w:p w14:paraId="4D7542B1" w14:textId="77777777" w:rsidR="00E548F7" w:rsidRPr="00DB5D0D" w:rsidRDefault="00E548F7" w:rsidP="00DB5D0D">
      <w:pPr>
        <w:pStyle w:val="ae"/>
        <w:shd w:val="clear" w:color="auto" w:fill="FFFFFF"/>
        <w:spacing w:before="0" w:after="0"/>
        <w:jc w:val="both"/>
        <w:rPr>
          <w:color w:val="000000" w:themeColor="text1"/>
          <w:sz w:val="16"/>
          <w:szCs w:val="16"/>
        </w:rPr>
      </w:pPr>
      <w:r w:rsidRPr="00DB5D0D">
        <w:rPr>
          <w:color w:val="000000" w:themeColor="text1"/>
          <w:sz w:val="16"/>
          <w:szCs w:val="16"/>
        </w:rPr>
        <w:t>Завод №1 изготовил первый опытный И-185 №6201 или самолет «Р» без рации, радиополукомпаса, бомбардировочного и химического вооружения, но мешало начинать летные испытания не это, а отсутствие воздушного винта и мотора М-90 - единственный прибывший из Запорожья был некондиционным. Нарком авиапромышленности А.И. Шахурин уже получил отрицательный отчет о наземных испытаниях самолета «МН» (2-го опытного Су-2) с таким двигателем и понял - М-90 не будет. Его так и не дождались Кочеригин на свой ОПБ-5, Сеньков на модифицированный ПС-84, Яценко на И-28... (17735).</w:t>
      </w:r>
    </w:p>
    <w:p w14:paraId="268C6D8C" w14:textId="77777777" w:rsidR="00E548F7" w:rsidRPr="00DB5D0D" w:rsidRDefault="00E548F7" w:rsidP="00DB5D0D">
      <w:pPr>
        <w:spacing w:after="0" w:line="240" w:lineRule="auto"/>
        <w:jc w:val="both"/>
        <w:rPr>
          <w:rFonts w:ascii="Times New Roman" w:hAnsi="Times New Roman"/>
          <w:color w:val="000000" w:themeColor="text1"/>
          <w:sz w:val="16"/>
          <w:szCs w:val="16"/>
        </w:rPr>
      </w:pPr>
    </w:p>
    <w:p w14:paraId="745367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 ходе заводских испытаний И-200 А.И.М, которые проходили с 31 марта по 17 августа 1940, на И-200-1 был выполнен облет л Супруном (24 по счету) и потом до 27 машину ремонтировали (2988).</w:t>
      </w:r>
    </w:p>
    <w:p w14:paraId="3EAD08D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F3842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вышло постановление КО N 224сс "Об организации серийного производства самолетов И-200 на заводе 1 и о снятии с производства самолета ББ-22" о запуске в серию И-200 АМ-35А с ВИШ-22Е (725,7).</w:t>
      </w:r>
    </w:p>
    <w:p w14:paraId="7C6846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Стали делать на 1 заводе, где сняли с производства ББ-22 после производства 81 машины. ББ-22 передали на 81 завод под крыло КБ-70 Л.П.Курбалы (1081,7).</w:t>
      </w:r>
    </w:p>
    <w:p w14:paraId="476B891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777D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решением Комитета Обороны и приказом наркомата авиапромышленности от 31 мая 1940 г. истребитель И—200 был официаль</w:t>
      </w:r>
      <w:r w:rsidRPr="00DB5D0D">
        <w:rPr>
          <w:rFonts w:ascii="Times New Roman" w:hAnsi="Times New Roman"/>
          <w:color w:val="000000" w:themeColor="text1"/>
          <w:sz w:val="16"/>
          <w:szCs w:val="16"/>
        </w:rPr>
        <w:softHyphen/>
        <w:t>но запущен в серийное производство на заводе № 1. В соответствии с откорректированной программой выпуска заводу предписывалось в 1940 г. сдать 125 са</w:t>
      </w:r>
      <w:r w:rsidRPr="00DB5D0D">
        <w:rPr>
          <w:rFonts w:ascii="Times New Roman" w:hAnsi="Times New Roman"/>
          <w:color w:val="000000" w:themeColor="text1"/>
          <w:sz w:val="16"/>
          <w:szCs w:val="16"/>
        </w:rPr>
        <w:softHyphen/>
        <w:t>молетов И—200, полностью прекратив производство ближних бомбардировщиков ББ—22 (9984).</w:t>
      </w:r>
    </w:p>
    <w:p w14:paraId="1A2381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F24BC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вышел приказ НКО за N 0106, согласно которому в Баку должны быть проведены войсковые испытания самолетов И-153 с синхронными пушками Швак (3395).</w:t>
      </w:r>
    </w:p>
    <w:p w14:paraId="1F63E79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B853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А.Д.Локтионов, а 26 мая и ЧВС ВВС Агальцов утвердили заключение по 2-му эскизному проекту самолета ИП-21 с М-105 завода 21 конструкции Пашинина (2056,11).</w:t>
      </w:r>
    </w:p>
    <w:p w14:paraId="786A8E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EEB61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Начальник ГУАС комдив Алексеев и Военком ГУАС бригадный комиссар Князев утвердили Заключение по второму эскизному проекту самолета «ИП-21» конструкции инженера Пашинина (6616).</w:t>
      </w:r>
    </w:p>
    <w:p w14:paraId="22CC771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Ответственный исполнитель</w:t>
      </w:r>
    </w:p>
    <w:p w14:paraId="19013B9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Кочетков</w:t>
      </w:r>
    </w:p>
    <w:p w14:paraId="5F57FD5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самолета</w:t>
      </w:r>
    </w:p>
    <w:p w14:paraId="4D9E417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Скоростной истребитель.</w:t>
      </w:r>
    </w:p>
    <w:p w14:paraId="4B41D2F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схеме ИП-21 – свободнонесущий моноплан м низкорасположенным крылом. Материал конструкции смешанный.</w:t>
      </w:r>
    </w:p>
    <w:p w14:paraId="3747F13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и двух синхронных пулеметов «ШКАС» калибра 7,62 мм.</w:t>
      </w:r>
    </w:p>
    <w:p w14:paraId="5DFD21B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патрон на пушку – 81 снаряд.</w:t>
      </w:r>
    </w:p>
    <w:p w14:paraId="5302804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патрон на пулемет ШКАС – 500 патрон</w:t>
      </w:r>
    </w:p>
    <w:p w14:paraId="2200231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Летно-тактические данные</w:t>
      </w:r>
    </w:p>
    <w:p w14:paraId="7A4F40D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 2526 кг</w:t>
      </w:r>
    </w:p>
    <w:p w14:paraId="4D781C6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w:t>
      </w:r>
    </w:p>
    <w:p w14:paraId="13E6653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Н=0 м – 522 км/час</w:t>
      </w:r>
    </w:p>
    <w:p w14:paraId="08C6125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Н=2000 м – 566 км/час</w:t>
      </w:r>
    </w:p>
    <w:p w14:paraId="31B9D31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Н=4000 м – 610 км/час</w:t>
      </w:r>
    </w:p>
    <w:p w14:paraId="40E40A7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Н=5000 м – 634 км/час</w:t>
      </w:r>
    </w:p>
    <w:p w14:paraId="07738E9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Н=7000 м – 682 км/час</w:t>
      </w:r>
    </w:p>
    <w:p w14:paraId="77330D2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w:t>
      </w:r>
    </w:p>
    <w:p w14:paraId="7C8B7AA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Н=5000 м – 5,29 мин.</w:t>
      </w:r>
    </w:p>
    <w:p w14:paraId="0DEC9C5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Н=7000 м – 7,85 мин.</w:t>
      </w:r>
    </w:p>
    <w:p w14:paraId="4936FA2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11000 м</w:t>
      </w:r>
    </w:p>
    <w:p w14:paraId="5D2721E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Vmax (Н=7000 м) – 747 км</w:t>
      </w:r>
    </w:p>
    <w:p w14:paraId="414D5BB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со щитками – 121 км/час</w:t>
      </w:r>
    </w:p>
    <w:p w14:paraId="4FC3399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 450 м</w:t>
      </w:r>
    </w:p>
    <w:p w14:paraId="0F84463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со щитками – 250 м</w:t>
      </w:r>
    </w:p>
    <w:p w14:paraId="6086A45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85A865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Вторично представленный эскизный проект самолета И-21 утвердить (6616).</w:t>
      </w:r>
    </w:p>
    <w:p w14:paraId="33E00242"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p w14:paraId="33C36B3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Яценко был вызван с завода СЗК (292) из Саратова телеграммой. Зам. наркома Воронин, а затем зам. наркома Яковлев сказали, что машина И-28 с серии снята и что Яценко надо думать и искать базу в Москве (3420, 88-90).</w:t>
      </w:r>
    </w:p>
    <w:p w14:paraId="6AF5745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657C6F57" w14:textId="77777777" w:rsidR="00586212" w:rsidRPr="00DB5D0D" w:rsidRDefault="00586212" w:rsidP="00DB5D0D">
      <w:pPr>
        <w:pStyle w:val="a3"/>
        <w:rPr>
          <w:color w:val="000000" w:themeColor="text1"/>
          <w:lang w:val="ru-RU"/>
        </w:rPr>
      </w:pPr>
      <w:r w:rsidRPr="00DB5D0D">
        <w:rPr>
          <w:color w:val="000000" w:themeColor="text1"/>
          <w:lang w:val="ru-RU"/>
        </w:rPr>
        <w:t>25 мая 1940 г. результаты государственных испытаний второго опытного экземпляра И-28 обсужда</w:t>
      </w:r>
      <w:r w:rsidRPr="00DB5D0D">
        <w:rPr>
          <w:color w:val="000000" w:themeColor="text1"/>
          <w:lang w:val="ru-RU"/>
        </w:rPr>
        <w:softHyphen/>
        <w:t>лись на заседании Технического совета НИИ ВВС КА. После рассмотрения полученных данных военные отметили, что серийный истребитель И-28 с мотором М-88, который планировалось выпускать на заводе «Саркомбайн», будет значи</w:t>
      </w:r>
      <w:r w:rsidRPr="00DB5D0D">
        <w:rPr>
          <w:color w:val="000000" w:themeColor="text1"/>
          <w:lang w:val="ru-RU"/>
        </w:rPr>
        <w:softHyphen/>
        <w:t>тельно отличаться от проходивших испытания опытных экземпляров, поэтому были основа</w:t>
      </w:r>
      <w:r w:rsidRPr="00DB5D0D">
        <w:rPr>
          <w:color w:val="000000" w:themeColor="text1"/>
          <w:lang w:val="ru-RU"/>
        </w:rPr>
        <w:softHyphen/>
        <w:t>ния ожидать лучших результатов в части устойчивости, дальности полёта и взлётно-поса</w:t>
      </w:r>
      <w:r w:rsidRPr="00DB5D0D">
        <w:rPr>
          <w:color w:val="000000" w:themeColor="text1"/>
          <w:lang w:val="ru-RU"/>
        </w:rPr>
        <w:softHyphen/>
        <w:t>дочных свойств. В связи с этим Техсовет считал возможным сделать окончательное заклю</w:t>
      </w:r>
      <w:r w:rsidRPr="00DB5D0D">
        <w:rPr>
          <w:color w:val="000000" w:themeColor="text1"/>
          <w:lang w:val="ru-RU"/>
        </w:rPr>
        <w:softHyphen/>
        <w:t>чение по самолёту И-28 после облёта головной серийной машины лётчиками НИИ ВВС КА, для чего просил А.И. Шахурина дать соответствующие указания об её подготовке для облёта к 5 июня (15837).</w:t>
      </w:r>
    </w:p>
    <w:p w14:paraId="71C838B1" w14:textId="77777777" w:rsidR="00586212" w:rsidRPr="00DB5D0D" w:rsidRDefault="00586212" w:rsidP="00DB5D0D">
      <w:pPr>
        <w:pStyle w:val="a3"/>
        <w:rPr>
          <w:color w:val="000000" w:themeColor="text1"/>
          <w:lang w:val="ru-RU"/>
        </w:rPr>
      </w:pPr>
    </w:p>
    <w:p w14:paraId="2933C1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вышел протокол № 5 заседания Техсовета при НИИ ГУАС</w:t>
      </w:r>
    </w:p>
    <w:p w14:paraId="4187DF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 о результатах госиспытаний второго экземпляра (дублера) самолета И-28 М-88 конструкции Яценко.</w:t>
      </w:r>
    </w:p>
    <w:p w14:paraId="1486C1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Техсовет при НИИ ГУАС под председательством дивинженера Репина в присутствии бригинженера Гребенева и заместителя гл. конструктора инженера Фурлетова произвел осмотр самолета И-28 М-88, прошедшего госиспытания и заслушал доклад ведущего инженера НИИ ГУАС в/инженера 1 ранга Лазарева и содоклад летчика-испытателя ст. лейтенанта Кубышкина о результатах госиспытаний второго опытного экземпляра (дублера) самолета И-28 М-88.</w:t>
      </w:r>
    </w:p>
    <w:p w14:paraId="10C9DC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опытного самолета И-28 М-87Б проходил совместные испытания в НИИ ГУАС с 1 июня по 4 июля 1939 года. Испытания были не окончены вследствие разрушения самолета в воздухе из-за непрочности капотов мотора.</w:t>
      </w:r>
    </w:p>
    <w:p w14:paraId="2B29EB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 опытного самолета И-28 М-87Б был построен без устранения уже известных дефектов у самолета: наличия неустойчивости, малого запаса горючего и др.</w:t>
      </w:r>
    </w:p>
    <w:p w14:paraId="02457E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конструктором Яценко на самолете И-28 (дублер) были выполнены только работы, связанные с увеличением прочности капотов мотора и всего самолета.</w:t>
      </w:r>
    </w:p>
    <w:p w14:paraId="3F0016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феврале 1940 года на этом же самолете установлен мотор М-88 с синхронизаторами.</w:t>
      </w:r>
    </w:p>
    <w:p w14:paraId="016A20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совместных испытаниях было доведено охлаждение мотора и в значительной мере доработано вооружение.</w:t>
      </w:r>
    </w:p>
    <w:p w14:paraId="5F5CA7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недостатков самолета в части устойчивости, дальности и других связанных с улучшением эксплуатации было предусмотрено в серийных чертежах на заводе «Саркомбайн».</w:t>
      </w:r>
    </w:p>
    <w:p w14:paraId="0096BC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самолет И-28 М-88 выпуска завода «Саркомбайн» значительно отличается от опытных экземпляров самолета И-28 и есть основание ожидать лучших результатов в части устойчивости, взлетно-посадочных свойств и дальности самолета.</w:t>
      </w:r>
    </w:p>
    <w:p w14:paraId="31BA17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 основе приведенных соображений Техсовет считает возможным сделать окончательное заключение по самолету И-28 М-88 только после облета головной машины выпуска завода «Саркомбайн» летчиками НИИ ГУАС для чего необходимо:</w:t>
      </w:r>
    </w:p>
    <w:p w14:paraId="4B1A86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Просить наркома Авиапрома Шахурина дать соответствующие указания о подготовке головного серийного самолета для облета к 5 июня 1940 года.</w:t>
      </w:r>
    </w:p>
    <w:p w14:paraId="53A323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основные летно-тактические данные самолета (7712, 208-211).</w:t>
      </w:r>
    </w:p>
    <w:p w14:paraId="34A153B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15E1C2" w14:textId="77777777" w:rsidR="001854FD" w:rsidRPr="00DB5D0D" w:rsidRDefault="001854FD"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25 мая 1940 г. результаты государственных испытаний второго опытного экземпляра И-28 обсуждались на заседании Технического совета НИИ ВВС КА. После рассмотрения полученных данных военные отметили, что серийный истребитель И-28 с мотором М-88 выпуска завода «Саркомбайн» значительно отличался от проходивших испытания опытных экземпляров, поэтому были основания ожидать лучших результатов в части устойчивости, дальности полета и взлетно-посадочных свойств. В связи с этим Техсовет считал возможным сделать окончательное заключение по самолету И-28 после облета головной серийной машины летчиками НИИ ВВС КА, для чего просил А.И. Шахурина дать соответствующие указания об ее подготовке для облета к 5 июня.</w:t>
      </w:r>
    </w:p>
    <w:p w14:paraId="5E82AB7D" w14:textId="77777777" w:rsidR="001854FD" w:rsidRPr="00DB5D0D" w:rsidRDefault="001854FD"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Как уже отмечалось, освоение в серийном производстве истребителя И-28 на заводе «Сваркомбайн» началось в январе 1940 г. на основании устного распоряжения НКАП. К этому времени коллектив опытного отдела совместно с бригадой саратовского авиазавода завершил разработку серийных чертежей. Последние, благодаря совместной работе разработчиков и производственников, были существенно переработаны с целью облегчения освоения машины в серии. Кроме этого завод «Саркомбайн» параллельно продолжал освоение в серийном производстве ближнего бомбардировщика ББ-22, начатое еще в 1939 г. (17738).</w:t>
      </w:r>
    </w:p>
    <w:p w14:paraId="55F9B659" w14:textId="77777777" w:rsidR="001854FD" w:rsidRPr="00DB5D0D" w:rsidRDefault="001854FD" w:rsidP="00DB5D0D">
      <w:pPr>
        <w:spacing w:after="0" w:line="240" w:lineRule="auto"/>
        <w:jc w:val="both"/>
        <w:rPr>
          <w:rFonts w:ascii="Times New Roman" w:hAnsi="Times New Roman"/>
          <w:color w:val="000000" w:themeColor="text1"/>
          <w:sz w:val="16"/>
          <w:szCs w:val="16"/>
        </w:rPr>
      </w:pPr>
    </w:p>
    <w:p w14:paraId="67D549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состоялось заседание технического совета НИИ ВВС и в протоколе говорилось, в частности, что сделать окончательное заключение по машине И-28 с мотором М-88 мож</w:t>
      </w:r>
      <w:r w:rsidRPr="00DB5D0D">
        <w:rPr>
          <w:rFonts w:ascii="Times New Roman" w:hAnsi="Times New Roman"/>
          <w:color w:val="000000" w:themeColor="text1"/>
          <w:sz w:val="16"/>
          <w:szCs w:val="16"/>
        </w:rPr>
        <w:softHyphen/>
        <w:t>но только после облета головного экземпляра летчиками института. Тогда же руководство института предложило командованию ВВС обратиться с просьбой к наркому Шахурину построить головной серийный самолет к 5 июня 1940 г. Но этому не суждено было сбыться, поскольку авиа</w:t>
      </w:r>
      <w:r w:rsidRPr="00DB5D0D">
        <w:rPr>
          <w:rFonts w:ascii="Times New Roman" w:hAnsi="Times New Roman"/>
          <w:color w:val="000000" w:themeColor="text1"/>
          <w:sz w:val="16"/>
          <w:szCs w:val="16"/>
        </w:rPr>
        <w:softHyphen/>
        <w:t>ционная промышленность сосредоточила все усилия на ис</w:t>
      </w:r>
      <w:r w:rsidRPr="00DB5D0D">
        <w:rPr>
          <w:rFonts w:ascii="Times New Roman" w:hAnsi="Times New Roman"/>
          <w:color w:val="000000" w:themeColor="text1"/>
          <w:sz w:val="16"/>
          <w:szCs w:val="16"/>
        </w:rPr>
        <w:softHyphen/>
        <w:t>требителях с моторами жидкостного охлаждения. Однако, несмотря на прекращение работы по И-28, эта скоростная машина, как нередко бывало в авиации, проложила путь другим перспективным самолетам, поскольку позволила по-иному взглянуть на проблемы, связанные с их проекти</w:t>
      </w:r>
      <w:r w:rsidRPr="00DB5D0D">
        <w:rPr>
          <w:rFonts w:ascii="Times New Roman" w:hAnsi="Times New Roman"/>
          <w:color w:val="000000" w:themeColor="text1"/>
          <w:sz w:val="16"/>
          <w:szCs w:val="16"/>
        </w:rPr>
        <w:softHyphen/>
        <w:t>рованием. Летом того же года была удовлетворена просьба Яценко об организации производственной базы на московском заво</w:t>
      </w:r>
      <w:r w:rsidRPr="00DB5D0D">
        <w:rPr>
          <w:rFonts w:ascii="Times New Roman" w:hAnsi="Times New Roman"/>
          <w:color w:val="000000" w:themeColor="text1"/>
          <w:sz w:val="16"/>
          <w:szCs w:val="16"/>
        </w:rPr>
        <w:softHyphen/>
        <w:t>де № 81, и он получил задание на разработку истребителя со скоростью 700 км/ч с предъявлением машины на государ</w:t>
      </w:r>
      <w:r w:rsidRPr="00DB5D0D">
        <w:rPr>
          <w:rFonts w:ascii="Times New Roman" w:hAnsi="Times New Roman"/>
          <w:color w:val="000000" w:themeColor="text1"/>
          <w:sz w:val="16"/>
          <w:szCs w:val="16"/>
        </w:rPr>
        <w:softHyphen/>
        <w:t>ственные испытания к 1 июня 1941 г. (10745,54).</w:t>
      </w:r>
    </w:p>
    <w:p w14:paraId="7C69E8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5F88688" w14:textId="77777777" w:rsidR="00E548F7" w:rsidRPr="00DB5D0D" w:rsidRDefault="00E548F7"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25 мая 1940 главный конструктор Яценко был вызван телеграммой в Москву, где заместитель наркома П.А. Воронин, а затем и А.С. Яковлев сообщили ему, что машина И-28 с серии снимается и ему, то есть В.П. Яценко, надо самому думать и искать базу в Москве. Таким образом, коллектив Владимира Панфиловича оказался не у дел, так как найти производственную базу самостоятельно - задача не из простых.</w:t>
      </w:r>
    </w:p>
    <w:p w14:paraId="2A4DC548" w14:textId="77777777" w:rsidR="00E548F7" w:rsidRPr="00DB5D0D" w:rsidRDefault="00E548F7"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Между тем работы над проектом И-287 продолжались, хотя строить машину было негде. Завод №292 был отдан для серийного выпуска разработанного заместителем наркома авиапромышленности истребителя И-26, а завод №81 также продолжал осваивать в производстве его машину ББ-22. Вопрос с производственной базой для коллектива В.П. Яценко оставался открытым, а имущество КБ все еще находилось в ящиках (17738).</w:t>
      </w:r>
    </w:p>
    <w:p w14:paraId="049625A4" w14:textId="77777777" w:rsidR="00E548F7" w:rsidRPr="00DB5D0D" w:rsidRDefault="00E548F7" w:rsidP="00DB5D0D">
      <w:pPr>
        <w:spacing w:after="0" w:line="240" w:lineRule="auto"/>
        <w:jc w:val="both"/>
        <w:rPr>
          <w:rFonts w:ascii="Times New Roman" w:hAnsi="Times New Roman"/>
          <w:color w:val="000000" w:themeColor="text1"/>
          <w:sz w:val="16"/>
          <w:szCs w:val="16"/>
        </w:rPr>
      </w:pPr>
    </w:p>
    <w:p w14:paraId="0F2EA6D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Начальник 5 отдела НИИ ВВС в/инженер 1 ранга Саморуков утвердил Отчет по исследованию вибраций на самолетах И-15, И-16, СБ и ДБ-3 (6759).</w:t>
      </w:r>
    </w:p>
    <w:p w14:paraId="0BC2A08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ГУАС совместно с Сейсмологическим институтом АН СССР летом 1939 года провел исследования в отдельных элементах самолетов И-15, И-16, СБ и ДБ-3 на вибрацию в условиях равномерного горизонтального полета.</w:t>
      </w:r>
    </w:p>
    <w:p w14:paraId="4494430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проводились на высоте 3-4000 м.</w:t>
      </w:r>
    </w:p>
    <w:p w14:paraId="06DBB53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Общие выводы</w:t>
      </w:r>
    </w:p>
    <w:p w14:paraId="35C4B542"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Вибрации в отдельных элементах самолетов типов И-15, И-16, СБ и ДБ-3 в основном возникают: а) вследствие вращения не вполне уравновешенных масс валов моторов и воздушных винтов, б) под действием срывающихся с лопастей винтов завихрений и в) в результате давления выхлопных волн моторов на поверхность фюзеляжа (6759).</w:t>
      </w:r>
    </w:p>
    <w:p w14:paraId="566A857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p w14:paraId="4F8FBE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Нач. ЛТГ НКАП М.М.Г. докладывал Зам Наркома А.С.Я. (вход. 2538сс от 23 мая 1940):</w:t>
      </w:r>
    </w:p>
    <w:p w14:paraId="587C3C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25 мая я совместно с тт. Юмашевым и Чесаловым снова были у т. Сильванского по вопросу ознакомления с документацией его самолета.</w:t>
      </w:r>
    </w:p>
    <w:p w14:paraId="311FDF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Обещанная документация по флаттеру предъявлена не была.</w:t>
      </w:r>
    </w:p>
    <w:p w14:paraId="2ED6CE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Мероприятия, проводимые т. Сильванским по продольной устойчивости (смещение центровки, удлинение хвоста, увеличение площади ГО) дадут некоторый положительный эффект и машина при зажатой ручке должна быть более устойчивой, что касается устойчивости с брошенной ручкой, то уверенности, что машина будет устойчивой в этом случае, особенно в моторном полете, - нет.</w:t>
      </w:r>
    </w:p>
    <w:p w14:paraId="01B01B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просмотреть всю документацию по самолету (по флаттеру, прочности), чтобы решать вопрос о возможности допущения машины к дальнейшим полетам и необходимых ограничениях." (1379).</w:t>
      </w:r>
    </w:p>
    <w:p w14:paraId="5C0F086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C231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была окончена постройка первого И-185 из 4 заложенных. Это была машина под М-90 и к этому времени первый мотор также поступил, но некондиционный (2495,22).</w:t>
      </w:r>
    </w:p>
    <w:p w14:paraId="7FF9D8D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01E756" w14:textId="77777777" w:rsidR="00E2169E" w:rsidRPr="00DB5D0D" w:rsidRDefault="00E216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25 мая</w:t>
      </w:r>
      <w:r w:rsidRPr="00DB5D0D">
        <w:rPr>
          <w:rFonts w:ascii="Times New Roman" w:hAnsi="Times New Roman"/>
          <w:color w:val="000000" w:themeColor="text1"/>
          <w:sz w:val="16"/>
          <w:szCs w:val="16"/>
        </w:rPr>
        <w:t xml:space="preserve"> в 1940 году на Харьковском 135-м авиазаводе в соответствии с заказом № 330 построен Первый опытный экземпляр «И-135» (потом, в декабре того же года эту машину переименовали в </w:t>
      </w:r>
      <w:hyperlink r:id="rId47" w:tgtFrame="_blank" w:history="1">
        <w:r w:rsidRPr="00DB5D0D">
          <w:rPr>
            <w:rFonts w:ascii="Times New Roman" w:hAnsi="Times New Roman"/>
            <w:color w:val="000000" w:themeColor="text1"/>
            <w:sz w:val="16"/>
            <w:szCs w:val="16"/>
          </w:rPr>
          <w:t xml:space="preserve">«Су-1» </w:t>
        </w:r>
      </w:hyperlink>
      <w:r w:rsidRPr="00DB5D0D">
        <w:rPr>
          <w:rFonts w:ascii="Times New Roman" w:hAnsi="Times New Roman"/>
          <w:color w:val="000000" w:themeColor="text1"/>
          <w:sz w:val="16"/>
          <w:szCs w:val="16"/>
        </w:rPr>
        <w:t>). Постоен и по железной дороге отправлен для проведения заводских летных испытаний в ЦАГИ. 15 июня летчик А.П.Чернавский совершил на нем первый полет. Испытания продолжались до 3 августа, когда А.П.Чернавский по ошибке посадил «И-135» с убранными шасси, и самолет получил незначительные повреждения. После завершения ремонта, с середины сентября испытания «И-135» продолжил летчик П.М.Попельнюшенко. Но вскоре, 2 октября в полете произошло разрушение мотора. На этот раз полет завершился благополучно - летчику удалось посадить самолет. После замены мотора, с 10 ноября, из-за болезни П.М.Попельнюшенко, полеты выполнял В.П.Федоров. Испытания продолжались до конца апреля 1941 года, были определены основные летные характеристики самолета, но довести силовую установку не удалось по причине частых отказов «ТК-2». А без турбокомпрессоров «</w:t>
      </w:r>
      <w:hyperlink r:id="rId48" w:tgtFrame="_blank" w:history="1">
        <w:r w:rsidRPr="00DB5D0D">
          <w:rPr>
            <w:rFonts w:ascii="Times New Roman" w:hAnsi="Times New Roman"/>
            <w:color w:val="000000" w:themeColor="text1"/>
            <w:sz w:val="16"/>
            <w:szCs w:val="16"/>
          </w:rPr>
          <w:t xml:space="preserve"> «Су-1» </w:t>
        </w:r>
      </w:hyperlink>
      <w:r w:rsidRPr="00DB5D0D">
        <w:rPr>
          <w:rFonts w:ascii="Times New Roman" w:hAnsi="Times New Roman"/>
          <w:color w:val="000000" w:themeColor="text1"/>
          <w:sz w:val="16"/>
          <w:szCs w:val="16"/>
        </w:rPr>
        <w:t>практически не имел преимуществ перед уже запущенным в серию «И-26» А.С.Яковлева (14902).</w:t>
      </w:r>
    </w:p>
    <w:p w14:paraId="77149FB0" w14:textId="77777777" w:rsidR="00E2169E" w:rsidRPr="00DB5D0D" w:rsidRDefault="00E2169E" w:rsidP="00DB5D0D">
      <w:pPr>
        <w:spacing w:after="0" w:line="240" w:lineRule="auto"/>
        <w:jc w:val="both"/>
        <w:rPr>
          <w:rFonts w:ascii="Times New Roman" w:hAnsi="Times New Roman"/>
          <w:color w:val="000000" w:themeColor="text1"/>
          <w:sz w:val="16"/>
          <w:szCs w:val="16"/>
        </w:rPr>
      </w:pPr>
    </w:p>
    <w:p w14:paraId="6D3F0DC8" w14:textId="77777777" w:rsidR="00E2169E" w:rsidRPr="00DB5D0D" w:rsidRDefault="00E216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25 мая</w:t>
      </w:r>
      <w:r w:rsidRPr="00DB5D0D">
        <w:rPr>
          <w:rFonts w:ascii="Times New Roman" w:hAnsi="Times New Roman"/>
          <w:color w:val="000000" w:themeColor="text1"/>
          <w:sz w:val="16"/>
          <w:szCs w:val="16"/>
        </w:rPr>
        <w:t xml:space="preserve"> в 1940 году начальник НИИ ВВС А.И.Филин утвердил протокол заседания макетной комиссии по самолету </w:t>
      </w:r>
      <w:hyperlink r:id="rId49" w:tgtFrame="_blank" w:history="1">
        <w:r w:rsidRPr="00DB5D0D">
          <w:rPr>
            <w:rFonts w:ascii="Times New Roman" w:hAnsi="Times New Roman"/>
            <w:color w:val="000000" w:themeColor="text1"/>
            <w:sz w:val="16"/>
            <w:szCs w:val="16"/>
          </w:rPr>
          <w:t xml:space="preserve">«Су-1» «ОПБ» «М-90». </w:t>
        </w:r>
      </w:hyperlink>
      <w:r w:rsidRPr="00DB5D0D">
        <w:rPr>
          <w:rFonts w:ascii="Times New Roman" w:hAnsi="Times New Roman"/>
          <w:color w:val="000000" w:themeColor="text1"/>
          <w:sz w:val="16"/>
          <w:szCs w:val="16"/>
        </w:rPr>
        <w:t>В состав макетной комиссии входили военный инженер 1-го ранга А.С.Воеводин (председатель комиссии), летчик-испытатель П.М.Стефановский, бригадный инженер Б.Н.Пономарев, в последствии замглавкома ВВС, упоминавшийся выше инженер И.И.Машкевич, главный конструктор самолета С.А.Кочеригин, главный инженер завода № 156 Тюрин, летчик-испытатель А.И.Емельянов (14902).</w:t>
      </w:r>
    </w:p>
    <w:p w14:paraId="2700B2C2" w14:textId="77777777" w:rsidR="00E2169E" w:rsidRPr="00DB5D0D" w:rsidRDefault="00E2169E" w:rsidP="00DB5D0D">
      <w:pPr>
        <w:spacing w:after="0" w:line="240" w:lineRule="auto"/>
        <w:jc w:val="both"/>
        <w:rPr>
          <w:rFonts w:ascii="Times New Roman" w:hAnsi="Times New Roman"/>
          <w:color w:val="000000" w:themeColor="text1"/>
          <w:sz w:val="16"/>
          <w:szCs w:val="16"/>
        </w:rPr>
      </w:pPr>
    </w:p>
    <w:p w14:paraId="60D6951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вышел приказ НИИ ВВС № 091</w:t>
      </w:r>
    </w:p>
    <w:p w14:paraId="2323752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проведении испытаний самолета ПС-84 (6891, 169).</w:t>
      </w:r>
    </w:p>
    <w:p w14:paraId="2252C13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BCB6F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руководство Осоавиахима согласилось принять 62 самолета УТ-1, но это была капля в море. Гражданский воздушный флот погоды не делал - ему УТ-1 был в общем-то совсем ни к чему (3955).</w:t>
      </w:r>
    </w:p>
    <w:p w14:paraId="269227E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126B7D"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25 мая 1940 г. материалы (банка с клеем и анализ № 8 на одном листе "Испытание польского авиационного клея", который был подписан начальником 1-го отдела НИХИ РККА военинженером 2-го ранга Рулиным и научным сотрудником Ю.Н.Дагаевой. Последняя вместе с лаборантом Кузьминовой произвела анализ клея в марте 1940 г.) передавались зам.начальника 9-й лаборатории ВИАМ Чеботаревскому. 15 мая 1940 г. Секретный отдел Научно-исследовательского Химического института (НИХИ) РККА направил письмо на имя директора Всесоюзного института авиационных материалов (ВИАМ) за подписями зам.начальника НИХИ и начальника секретного отдела института военинженера 3-го ранга Кондратьева. В нем сообщалось: "Направляю вам образец польского авиационного клея и его анализ для изучения и возможного использования в Вашей работе" (11465).</w:t>
      </w:r>
    </w:p>
    <w:p w14:paraId="6DB283AF"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7472B2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проходили совместные 50-часовые испытания мотора АМ-35А, которые проходили с 13 мая, а с 17 апреля по 11 мая 1940 мотор проходил заводские испытания на заводе № 24.</w:t>
      </w:r>
    </w:p>
    <w:p w14:paraId="6F2E48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 27 мая 1940 НКАП А.И.Шахурин (26) и НКО Тимошенко (27) подписали Акт утверждения выводов и заключения по совместным (НКО и НКАП) 50 часовым испытаниям на станке мотора АМ-35А пр-ва завода № 24</w:t>
      </w:r>
    </w:p>
    <w:p w14:paraId="5DA40A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о совместных 50 часовых испытаниях на станке АМ-35А производства завода 24.</w:t>
      </w:r>
    </w:p>
    <w:p w14:paraId="793B24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по совместным испытаниям:</w:t>
      </w:r>
    </w:p>
    <w:p w14:paraId="6D03B4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ви1р К.В.Кукушкин</w:t>
      </w:r>
    </w:p>
    <w:p w14:paraId="4239BC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Члены: ви2р В.А.Черников, ви2р М.П.Кочетков, ви2р А.И.Суворов, зам ГК завода № 24 В.А.Чернышев, отв. конструктор завода № 24 М.Р.Флисский, гл. инспектор ОКБ завода № 24 С.А.Марзаев</w:t>
      </w:r>
    </w:p>
    <w:p w14:paraId="3C0384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6DF398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соответствие основных данных мотора АМ-35А ТТТ и надежность конструкции мотора и агрегатов 50 испытаниями</w:t>
      </w:r>
    </w:p>
    <w:p w14:paraId="353FAF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Краткие рез-ты совместных (НКО и НКАП) испытаний на станке мотора АМ-35А</w:t>
      </w:r>
    </w:p>
    <w:p w14:paraId="6731C4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АМ-35А производства з-да № 24 совместные 50 часовые испытания прошел удовлетворительно.</w:t>
      </w:r>
    </w:p>
    <w:p w14:paraId="7B4A1F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мощности и высотности мотор АМ-35А соответствует ТТТ</w:t>
      </w:r>
    </w:p>
    <w:p w14:paraId="65B02C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Всего мотор наработал 80 :36, из них на режиме 54:32</w:t>
      </w:r>
    </w:p>
    <w:p w14:paraId="32A2C7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Основные недостатками мотора АМ-35А являются</w:t>
      </w:r>
    </w:p>
    <w:p w14:paraId="29BDDA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 отсутствие доведенного карбюратора, обеспечивающего мотору нормальное питание на всех его положениях при работе на с-те истребителе и обеспечивающего гарантийный расход топлива без использования высотного корректора</w:t>
      </w:r>
    </w:p>
    <w:p w14:paraId="73691D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недостаточная надежность и конструктивные недоработки всасывающих патрубков</w:t>
      </w:r>
    </w:p>
    <w:p w14:paraId="22965B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недостаточное охлаждение масла, ограничивающее потолок с-та</w:t>
      </w:r>
    </w:p>
    <w:p w14:paraId="7D4BD9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61EBA4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АМ-35А совместные 50-часовые ГИ прошел удовлетворительно.</w:t>
      </w:r>
    </w:p>
    <w:p w14:paraId="280958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Некоторые основные данные, полученные при испытаниях, отличающиеся от данных, указанных в предъявлении мотора на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2634"/>
        <w:gridCol w:w="2634"/>
        <w:gridCol w:w="2634"/>
        <w:gridCol w:w="2634"/>
      </w:tblGrid>
      <w:tr w:rsidR="007D5DF8" w:rsidRPr="00DB5D0D" w14:paraId="1799E2C8" w14:textId="77777777" w:rsidTr="009223E5">
        <w:tc>
          <w:tcPr>
            <w:tcW w:w="675" w:type="dxa"/>
            <w:tcBorders>
              <w:top w:val="single" w:sz="12" w:space="0" w:color="auto"/>
            </w:tcBorders>
          </w:tcPr>
          <w:p w14:paraId="098605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2634" w:type="dxa"/>
            <w:tcBorders>
              <w:top w:val="single" w:sz="12" w:space="0" w:color="auto"/>
            </w:tcBorders>
          </w:tcPr>
          <w:p w14:paraId="7596D5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 мотора, по параметрам, имеющим расхождения</w:t>
            </w:r>
          </w:p>
        </w:tc>
        <w:tc>
          <w:tcPr>
            <w:tcW w:w="2634" w:type="dxa"/>
            <w:tcBorders>
              <w:top w:val="single" w:sz="12" w:space="0" w:color="auto"/>
            </w:tcBorders>
          </w:tcPr>
          <w:p w14:paraId="36946D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Получено по испытаниям</w:t>
            </w:r>
          </w:p>
        </w:tc>
        <w:tc>
          <w:tcPr>
            <w:tcW w:w="2634" w:type="dxa"/>
            <w:tcBorders>
              <w:top w:val="single" w:sz="12" w:space="0" w:color="auto"/>
            </w:tcBorders>
          </w:tcPr>
          <w:p w14:paraId="7741DC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предхявлению на испытания</w:t>
            </w:r>
          </w:p>
        </w:tc>
        <w:tc>
          <w:tcPr>
            <w:tcW w:w="2634" w:type="dxa"/>
            <w:tcBorders>
              <w:top w:val="single" w:sz="12" w:space="0" w:color="auto"/>
            </w:tcBorders>
          </w:tcPr>
          <w:p w14:paraId="34AE23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ТТТ</w:t>
            </w:r>
          </w:p>
        </w:tc>
      </w:tr>
      <w:tr w:rsidR="007D5DF8" w:rsidRPr="00DB5D0D" w14:paraId="3C0FDF43" w14:textId="77777777" w:rsidTr="009223E5">
        <w:tc>
          <w:tcPr>
            <w:tcW w:w="675" w:type="dxa"/>
          </w:tcPr>
          <w:p w14:paraId="059DDF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634" w:type="dxa"/>
          </w:tcPr>
          <w:p w14:paraId="14A0CB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 вес</w:t>
            </w:r>
          </w:p>
        </w:tc>
        <w:tc>
          <w:tcPr>
            <w:tcW w:w="2634" w:type="dxa"/>
          </w:tcPr>
          <w:p w14:paraId="77B218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2634" w:type="dxa"/>
          </w:tcPr>
          <w:p w14:paraId="06521F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820</w:t>
            </w:r>
          </w:p>
        </w:tc>
        <w:tc>
          <w:tcPr>
            <w:tcW w:w="2634" w:type="dxa"/>
          </w:tcPr>
          <w:p w14:paraId="179B4E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780</w:t>
            </w:r>
          </w:p>
        </w:tc>
      </w:tr>
      <w:tr w:rsidR="007D5DF8" w:rsidRPr="00DB5D0D" w14:paraId="302C3D03" w14:textId="77777777" w:rsidTr="009223E5">
        <w:tc>
          <w:tcPr>
            <w:tcW w:w="675" w:type="dxa"/>
          </w:tcPr>
          <w:p w14:paraId="47F4E0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634" w:type="dxa"/>
          </w:tcPr>
          <w:p w14:paraId="1852ED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Высотность при номинальной мощности и Рк 1090 в м</w:t>
            </w:r>
          </w:p>
        </w:tc>
        <w:tc>
          <w:tcPr>
            <w:tcW w:w="2634" w:type="dxa"/>
          </w:tcPr>
          <w:p w14:paraId="405BCB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6300</w:t>
            </w:r>
          </w:p>
        </w:tc>
        <w:tc>
          <w:tcPr>
            <w:tcW w:w="2634" w:type="dxa"/>
          </w:tcPr>
          <w:p w14:paraId="1CA77D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2634" w:type="dxa"/>
          </w:tcPr>
          <w:p w14:paraId="607CD6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r>
      <w:tr w:rsidR="007D5DF8" w:rsidRPr="00DB5D0D" w14:paraId="30ACB072" w14:textId="77777777" w:rsidTr="009223E5">
        <w:tc>
          <w:tcPr>
            <w:tcW w:w="675" w:type="dxa"/>
          </w:tcPr>
          <w:p w14:paraId="2C2D6D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634" w:type="dxa"/>
          </w:tcPr>
          <w:p w14:paraId="65DB8B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топлива на номинальном режиме г/лс/час</w:t>
            </w:r>
          </w:p>
        </w:tc>
        <w:tc>
          <w:tcPr>
            <w:tcW w:w="2634" w:type="dxa"/>
          </w:tcPr>
          <w:p w14:paraId="32742E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284</w:t>
            </w:r>
          </w:p>
        </w:tc>
        <w:tc>
          <w:tcPr>
            <w:tcW w:w="2634" w:type="dxa"/>
          </w:tcPr>
          <w:p w14:paraId="2E2AA3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2634" w:type="dxa"/>
          </w:tcPr>
          <w:p w14:paraId="34C97C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260-270</w:t>
            </w:r>
          </w:p>
        </w:tc>
      </w:tr>
      <w:tr w:rsidR="007D5DF8" w:rsidRPr="00DB5D0D" w14:paraId="7EB7C45F" w14:textId="77777777" w:rsidTr="009223E5">
        <w:tc>
          <w:tcPr>
            <w:tcW w:w="675" w:type="dxa"/>
            <w:tcBorders>
              <w:bottom w:val="single" w:sz="12" w:space="0" w:color="auto"/>
            </w:tcBorders>
          </w:tcPr>
          <w:p w14:paraId="6BF9DB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634" w:type="dxa"/>
            <w:tcBorders>
              <w:bottom w:val="single" w:sz="12" w:space="0" w:color="auto"/>
            </w:tcBorders>
          </w:tcPr>
          <w:p w14:paraId="6B7258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Карбюратор</w:t>
            </w:r>
          </w:p>
        </w:tc>
        <w:tc>
          <w:tcPr>
            <w:tcW w:w="2634" w:type="dxa"/>
            <w:tcBorders>
              <w:bottom w:val="single" w:sz="12" w:space="0" w:color="auto"/>
            </w:tcBorders>
          </w:tcPr>
          <w:p w14:paraId="1CAFCC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автокорректора</w:t>
            </w:r>
          </w:p>
        </w:tc>
        <w:tc>
          <w:tcPr>
            <w:tcW w:w="2634" w:type="dxa"/>
            <w:tcBorders>
              <w:bottom w:val="single" w:sz="12" w:space="0" w:color="auto"/>
            </w:tcBorders>
          </w:tcPr>
          <w:p w14:paraId="1F55F6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автокорректора</w:t>
            </w:r>
          </w:p>
        </w:tc>
        <w:tc>
          <w:tcPr>
            <w:tcW w:w="2634" w:type="dxa"/>
            <w:tcBorders>
              <w:bottom w:val="single" w:sz="12" w:space="0" w:color="auto"/>
            </w:tcBorders>
          </w:tcPr>
          <w:p w14:paraId="3FE2E6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автокорректором</w:t>
            </w:r>
          </w:p>
        </w:tc>
      </w:tr>
    </w:tbl>
    <w:p w14:paraId="6AF56E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мотора завышен на 60 кг (8%), частичное завышение веса (20-30 кг) относится за счет унификации деталей с АМ-37 (коленвал, шатуны, нагнетатель).</w:t>
      </w:r>
    </w:p>
    <w:p w14:paraId="64A451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имеет следующие основные конструкционные особенности</w:t>
      </w:r>
    </w:p>
    <w:p w14:paraId="0EDCFC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выходе воздуха из нагнетателя вместо вместо обычно дроссельной заслонки установлен поворотный направляющий аппарат (л-ка Политковского). При дросселирования воздуха этим направляющим аппаратом на земле и на высотах ниже расчетной высоты достигается увеличение эффективной мощности. На земле оно достигает 800-100 кг.</w:t>
      </w:r>
    </w:p>
    <w:p w14:paraId="4ED2D1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мотор работает с охлаждением водой под давлением при темперетуре на входе в 110-120 гр. Поавышение температуры охлаждающей жидкости улучшает аэродинамику с-та (уменьшается лобовое сопротивление от радиатора, уменьшается вес охлаждающей системы</w:t>
      </w:r>
    </w:p>
    <w:p w14:paraId="08BEA8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мотор АМ-35А конструктивно аналогичен и полностью взаимозаменям по всем кзлам с мотором АМ-37 за исключением:</w:t>
      </w:r>
    </w:p>
    <w:p w14:paraId="1540F4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АМ-35А не имеет водовоздушного радиатора для охлаждения воздуха за нагнетателем, вместо него установлена проставка</w:t>
      </w:r>
    </w:p>
    <w:p w14:paraId="77E34D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 имеет дополнительного водяного насоса для этого радиатора</w:t>
      </w:r>
    </w:p>
    <w:p w14:paraId="6619EB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диаметр крыльчатки 275 мм, вместо 285 мм у АМ-37</w:t>
      </w:r>
    </w:p>
    <w:p w14:paraId="0B6893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из изложенного в п. В) видно, что мотор АМ-35А может быть легко переделан на мотор АМ-37, который имеет большую мощность. </w:t>
      </w:r>
    </w:p>
    <w:p w14:paraId="45E6E1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Дефект карбюратора К-35А - не обеспечивает гарантированные данные удульных расходов топлива и не обеспечивает нормального питания мотора на всех эволюциях с-та. Карбюратор имеет течи из-под уплотнительных прокладок и заедание жиклера в разьбе при замене и т.д.</w:t>
      </w:r>
    </w:p>
    <w:p w14:paraId="457391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Сводная таблица основных мощных современных авиамоторов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874"/>
        <w:gridCol w:w="536"/>
        <w:gridCol w:w="575"/>
        <w:gridCol w:w="638"/>
        <w:gridCol w:w="527"/>
        <w:gridCol w:w="527"/>
        <w:gridCol w:w="527"/>
        <w:gridCol w:w="560"/>
        <w:gridCol w:w="524"/>
        <w:gridCol w:w="647"/>
        <w:gridCol w:w="570"/>
        <w:gridCol w:w="570"/>
        <w:gridCol w:w="554"/>
        <w:gridCol w:w="573"/>
        <w:gridCol w:w="572"/>
        <w:gridCol w:w="572"/>
        <w:gridCol w:w="396"/>
        <w:gridCol w:w="416"/>
        <w:gridCol w:w="374"/>
      </w:tblGrid>
      <w:tr w:rsidR="007D5DF8" w:rsidRPr="00DB5D0D" w14:paraId="4D53FCE5" w14:textId="77777777" w:rsidTr="009223E5">
        <w:tc>
          <w:tcPr>
            <w:tcW w:w="675" w:type="dxa"/>
            <w:tcBorders>
              <w:top w:val="single" w:sz="12" w:space="0" w:color="auto"/>
            </w:tcBorders>
          </w:tcPr>
          <w:p w14:paraId="7D9A5C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Обозначение мотора</w:t>
            </w:r>
          </w:p>
        </w:tc>
        <w:tc>
          <w:tcPr>
            <w:tcW w:w="874" w:type="dxa"/>
            <w:tcBorders>
              <w:top w:val="single" w:sz="12" w:space="0" w:color="auto"/>
            </w:tcBorders>
          </w:tcPr>
          <w:p w14:paraId="25CCAB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мотора</w:t>
            </w:r>
          </w:p>
        </w:tc>
        <w:tc>
          <w:tcPr>
            <w:tcW w:w="536" w:type="dxa"/>
            <w:tcBorders>
              <w:top w:val="single" w:sz="12" w:space="0" w:color="auto"/>
            </w:tcBorders>
          </w:tcPr>
          <w:p w14:paraId="37D304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нагнетателя л.с.</w:t>
            </w:r>
          </w:p>
        </w:tc>
        <w:tc>
          <w:tcPr>
            <w:tcW w:w="575" w:type="dxa"/>
            <w:tcBorders>
              <w:top w:val="single" w:sz="12" w:space="0" w:color="auto"/>
            </w:tcBorders>
          </w:tcPr>
          <w:p w14:paraId="355BCB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Номинальный наддев</w:t>
            </w:r>
          </w:p>
        </w:tc>
        <w:tc>
          <w:tcPr>
            <w:tcW w:w="638" w:type="dxa"/>
            <w:tcBorders>
              <w:top w:val="single" w:sz="12" w:space="0" w:color="auto"/>
            </w:tcBorders>
          </w:tcPr>
          <w:p w14:paraId="1D93A0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w:t>
            </w:r>
          </w:p>
        </w:tc>
        <w:tc>
          <w:tcPr>
            <w:tcW w:w="527" w:type="dxa"/>
            <w:tcBorders>
              <w:top w:val="single" w:sz="12" w:space="0" w:color="auto"/>
            </w:tcBorders>
          </w:tcPr>
          <w:p w14:paraId="43773E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Лоб</w:t>
            </w:r>
          </w:p>
        </w:tc>
        <w:tc>
          <w:tcPr>
            <w:tcW w:w="527" w:type="dxa"/>
            <w:tcBorders>
              <w:top w:val="single" w:sz="12" w:space="0" w:color="auto"/>
            </w:tcBorders>
          </w:tcPr>
          <w:p w14:paraId="50AEDF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Степень сжатия</w:t>
            </w:r>
          </w:p>
        </w:tc>
        <w:tc>
          <w:tcPr>
            <w:tcW w:w="527" w:type="dxa"/>
            <w:tcBorders>
              <w:top w:val="single" w:sz="12" w:space="0" w:color="auto"/>
            </w:tcBorders>
          </w:tcPr>
          <w:p w14:paraId="5FB3DD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Литраж</w:t>
            </w:r>
          </w:p>
        </w:tc>
        <w:tc>
          <w:tcPr>
            <w:tcW w:w="560" w:type="dxa"/>
            <w:tcBorders>
              <w:top w:val="single" w:sz="12" w:space="0" w:color="auto"/>
            </w:tcBorders>
          </w:tcPr>
          <w:p w14:paraId="1235BA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высотность</w:t>
            </w:r>
          </w:p>
        </w:tc>
        <w:tc>
          <w:tcPr>
            <w:tcW w:w="524" w:type="dxa"/>
            <w:tcBorders>
              <w:top w:val="single" w:sz="12" w:space="0" w:color="auto"/>
            </w:tcBorders>
          </w:tcPr>
          <w:p w14:paraId="323570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нагнетателя</w:t>
            </w:r>
          </w:p>
        </w:tc>
        <w:tc>
          <w:tcPr>
            <w:tcW w:w="647" w:type="dxa"/>
            <w:tcBorders>
              <w:top w:val="single" w:sz="12" w:space="0" w:color="auto"/>
            </w:tcBorders>
          </w:tcPr>
          <w:p w14:paraId="473AF1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Высотная мощность</w:t>
            </w:r>
          </w:p>
        </w:tc>
        <w:tc>
          <w:tcPr>
            <w:tcW w:w="570" w:type="dxa"/>
            <w:tcBorders>
              <w:top w:val="single" w:sz="12" w:space="0" w:color="auto"/>
            </w:tcBorders>
          </w:tcPr>
          <w:p w14:paraId="3B40F9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на земле</w:t>
            </w:r>
          </w:p>
        </w:tc>
        <w:tc>
          <w:tcPr>
            <w:tcW w:w="570" w:type="dxa"/>
            <w:tcBorders>
              <w:top w:val="single" w:sz="12" w:space="0" w:color="auto"/>
            </w:tcBorders>
          </w:tcPr>
          <w:p w14:paraId="46B9D2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w:t>
            </w:r>
          </w:p>
        </w:tc>
        <w:tc>
          <w:tcPr>
            <w:tcW w:w="554" w:type="dxa"/>
            <w:tcBorders>
              <w:top w:val="single" w:sz="12" w:space="0" w:color="auto"/>
            </w:tcBorders>
          </w:tcPr>
          <w:p w14:paraId="61D8E8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на 6000м</w:t>
            </w:r>
          </w:p>
        </w:tc>
        <w:tc>
          <w:tcPr>
            <w:tcW w:w="573" w:type="dxa"/>
            <w:tcBorders>
              <w:top w:val="single" w:sz="12" w:space="0" w:color="auto"/>
            </w:tcBorders>
          </w:tcPr>
          <w:p w14:paraId="594C06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w:t>
            </w:r>
          </w:p>
        </w:tc>
        <w:tc>
          <w:tcPr>
            <w:tcW w:w="572" w:type="dxa"/>
            <w:tcBorders>
              <w:top w:val="single" w:sz="12" w:space="0" w:color="auto"/>
            </w:tcBorders>
          </w:tcPr>
          <w:p w14:paraId="549F88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номинальный</w:t>
            </w:r>
          </w:p>
        </w:tc>
        <w:tc>
          <w:tcPr>
            <w:tcW w:w="572" w:type="dxa"/>
            <w:tcBorders>
              <w:top w:val="single" w:sz="12" w:space="0" w:color="auto"/>
            </w:tcBorders>
          </w:tcPr>
          <w:p w14:paraId="074539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расхож эксплуатационный</w:t>
            </w:r>
          </w:p>
        </w:tc>
        <w:tc>
          <w:tcPr>
            <w:tcW w:w="396" w:type="dxa"/>
            <w:tcBorders>
              <w:top w:val="single" w:sz="12" w:space="0" w:color="auto"/>
            </w:tcBorders>
          </w:tcPr>
          <w:p w14:paraId="05A870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Октяновое число</w:t>
            </w:r>
          </w:p>
        </w:tc>
        <w:tc>
          <w:tcPr>
            <w:tcW w:w="416" w:type="dxa"/>
            <w:tcBorders>
              <w:top w:val="single" w:sz="12" w:space="0" w:color="auto"/>
            </w:tcBorders>
          </w:tcPr>
          <w:p w14:paraId="2A01B3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Особенности мотора</w:t>
            </w:r>
          </w:p>
        </w:tc>
        <w:tc>
          <w:tcPr>
            <w:tcW w:w="374" w:type="dxa"/>
            <w:tcBorders>
              <w:top w:val="single" w:sz="12" w:space="0" w:color="auto"/>
            </w:tcBorders>
          </w:tcPr>
          <w:p w14:paraId="1E4B64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мотора</w:t>
            </w:r>
          </w:p>
        </w:tc>
      </w:tr>
      <w:tr w:rsidR="007D5DF8" w:rsidRPr="00DB5D0D" w14:paraId="21CFFF9E" w14:textId="77777777" w:rsidTr="009223E5">
        <w:tc>
          <w:tcPr>
            <w:tcW w:w="675" w:type="dxa"/>
          </w:tcPr>
          <w:p w14:paraId="2A19C0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Даймлер-Бенц 601А</w:t>
            </w:r>
          </w:p>
        </w:tc>
        <w:tc>
          <w:tcPr>
            <w:tcW w:w="874" w:type="dxa"/>
          </w:tcPr>
          <w:p w14:paraId="390DCE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У-образный 12 цилиндров перевернутый</w:t>
            </w:r>
          </w:p>
        </w:tc>
        <w:tc>
          <w:tcPr>
            <w:tcW w:w="536" w:type="dxa"/>
          </w:tcPr>
          <w:p w14:paraId="61B32D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575" w:type="dxa"/>
          </w:tcPr>
          <w:p w14:paraId="31E9B9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965</w:t>
            </w:r>
          </w:p>
        </w:tc>
        <w:tc>
          <w:tcPr>
            <w:tcW w:w="638" w:type="dxa"/>
          </w:tcPr>
          <w:p w14:paraId="6E86D8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590</w:t>
            </w:r>
          </w:p>
        </w:tc>
        <w:tc>
          <w:tcPr>
            <w:tcW w:w="527" w:type="dxa"/>
          </w:tcPr>
          <w:p w14:paraId="46250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0,911</w:t>
            </w:r>
          </w:p>
        </w:tc>
        <w:tc>
          <w:tcPr>
            <w:tcW w:w="527" w:type="dxa"/>
          </w:tcPr>
          <w:p w14:paraId="15FC3C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08AF5F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33,9</w:t>
            </w:r>
          </w:p>
        </w:tc>
        <w:tc>
          <w:tcPr>
            <w:tcW w:w="560" w:type="dxa"/>
          </w:tcPr>
          <w:p w14:paraId="4AF76D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3700</w:t>
            </w:r>
          </w:p>
        </w:tc>
        <w:tc>
          <w:tcPr>
            <w:tcW w:w="524" w:type="dxa"/>
          </w:tcPr>
          <w:p w14:paraId="112EFF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52FA0A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70" w:type="dxa"/>
          </w:tcPr>
          <w:p w14:paraId="5D6A21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4B983E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1175</w:t>
            </w:r>
          </w:p>
        </w:tc>
        <w:tc>
          <w:tcPr>
            <w:tcW w:w="554" w:type="dxa"/>
          </w:tcPr>
          <w:p w14:paraId="2A9922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0,79</w:t>
            </w:r>
          </w:p>
        </w:tc>
        <w:tc>
          <w:tcPr>
            <w:tcW w:w="573" w:type="dxa"/>
          </w:tcPr>
          <w:p w14:paraId="4FD213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810</w:t>
            </w:r>
          </w:p>
        </w:tc>
        <w:tc>
          <w:tcPr>
            <w:tcW w:w="572" w:type="dxa"/>
          </w:tcPr>
          <w:p w14:paraId="4951DB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572" w:type="dxa"/>
          </w:tcPr>
          <w:p w14:paraId="645B0C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396" w:type="dxa"/>
          </w:tcPr>
          <w:p w14:paraId="140912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w:t>
            </w:r>
          </w:p>
        </w:tc>
        <w:tc>
          <w:tcPr>
            <w:tcW w:w="416" w:type="dxa"/>
          </w:tcPr>
          <w:p w14:paraId="3B2571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2690F3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3E00443E" w14:textId="77777777" w:rsidTr="009223E5">
        <w:tc>
          <w:tcPr>
            <w:tcW w:w="675" w:type="dxa"/>
          </w:tcPr>
          <w:p w14:paraId="438E1A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Даймлер-Бенц 601форсир.</w:t>
            </w:r>
          </w:p>
        </w:tc>
        <w:tc>
          <w:tcPr>
            <w:tcW w:w="874" w:type="dxa"/>
          </w:tcPr>
          <w:p w14:paraId="3D98B3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У-образный 12 цилиндров перевернутый</w:t>
            </w:r>
          </w:p>
        </w:tc>
        <w:tc>
          <w:tcPr>
            <w:tcW w:w="536" w:type="dxa"/>
          </w:tcPr>
          <w:p w14:paraId="261C78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575" w:type="dxa"/>
          </w:tcPr>
          <w:p w14:paraId="2D549C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38" w:type="dxa"/>
          </w:tcPr>
          <w:p w14:paraId="21F1D2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w:t>
            </w:r>
          </w:p>
        </w:tc>
        <w:tc>
          <w:tcPr>
            <w:tcW w:w="527" w:type="dxa"/>
          </w:tcPr>
          <w:p w14:paraId="552AB6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0,91</w:t>
            </w:r>
          </w:p>
        </w:tc>
        <w:tc>
          <w:tcPr>
            <w:tcW w:w="527" w:type="dxa"/>
          </w:tcPr>
          <w:p w14:paraId="629D57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27" w:type="dxa"/>
          </w:tcPr>
          <w:p w14:paraId="4936F0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33,9</w:t>
            </w:r>
          </w:p>
        </w:tc>
        <w:tc>
          <w:tcPr>
            <w:tcW w:w="560" w:type="dxa"/>
          </w:tcPr>
          <w:p w14:paraId="5BBA65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524" w:type="dxa"/>
          </w:tcPr>
          <w:p w14:paraId="18D2A42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47" w:type="dxa"/>
          </w:tcPr>
          <w:p w14:paraId="63F028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0F50DF3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2C906F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54" w:type="dxa"/>
          </w:tcPr>
          <w:p w14:paraId="3C0F09F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Pr>
          <w:p w14:paraId="27FDA45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489586A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2B5A81B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4A3012C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314DB52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0D2ACC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w:t>
            </w:r>
          </w:p>
        </w:tc>
      </w:tr>
      <w:tr w:rsidR="007D5DF8" w:rsidRPr="00DB5D0D" w14:paraId="6EE433EC" w14:textId="77777777" w:rsidTr="009223E5">
        <w:tc>
          <w:tcPr>
            <w:tcW w:w="675" w:type="dxa"/>
          </w:tcPr>
          <w:p w14:paraId="2B46E1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М-71</w:t>
            </w:r>
          </w:p>
        </w:tc>
        <w:tc>
          <w:tcPr>
            <w:tcW w:w="874" w:type="dxa"/>
          </w:tcPr>
          <w:p w14:paraId="595728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рядная звезда 18 цилиндров</w:t>
            </w:r>
          </w:p>
        </w:tc>
        <w:tc>
          <w:tcPr>
            <w:tcW w:w="536" w:type="dxa"/>
          </w:tcPr>
          <w:p w14:paraId="7FC908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w:t>
            </w:r>
          </w:p>
        </w:tc>
        <w:tc>
          <w:tcPr>
            <w:tcW w:w="575" w:type="dxa"/>
          </w:tcPr>
          <w:p w14:paraId="5E6737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638" w:type="dxa"/>
          </w:tcPr>
          <w:p w14:paraId="38C40C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527" w:type="dxa"/>
          </w:tcPr>
          <w:p w14:paraId="542E03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527" w:type="dxa"/>
          </w:tcPr>
          <w:p w14:paraId="043ACD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527" w:type="dxa"/>
          </w:tcPr>
          <w:p w14:paraId="5EDB16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59,6</w:t>
            </w:r>
          </w:p>
        </w:tc>
        <w:tc>
          <w:tcPr>
            <w:tcW w:w="560" w:type="dxa"/>
          </w:tcPr>
          <w:p w14:paraId="15EF350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14D26E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67F6D0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w:t>
            </w:r>
          </w:p>
        </w:tc>
        <w:tc>
          <w:tcPr>
            <w:tcW w:w="570" w:type="dxa"/>
          </w:tcPr>
          <w:p w14:paraId="02B3D8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4881C2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554" w:type="dxa"/>
          </w:tcPr>
          <w:p w14:paraId="350251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0,78</w:t>
            </w:r>
          </w:p>
        </w:tc>
        <w:tc>
          <w:tcPr>
            <w:tcW w:w="573" w:type="dxa"/>
          </w:tcPr>
          <w:p w14:paraId="34EE11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1480</w:t>
            </w:r>
          </w:p>
        </w:tc>
        <w:tc>
          <w:tcPr>
            <w:tcW w:w="572" w:type="dxa"/>
          </w:tcPr>
          <w:p w14:paraId="2C1DCC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305/335</w:t>
            </w:r>
          </w:p>
        </w:tc>
        <w:tc>
          <w:tcPr>
            <w:tcW w:w="572" w:type="dxa"/>
          </w:tcPr>
          <w:p w14:paraId="0E3FB8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290/310</w:t>
            </w:r>
          </w:p>
        </w:tc>
        <w:tc>
          <w:tcPr>
            <w:tcW w:w="396" w:type="dxa"/>
          </w:tcPr>
          <w:p w14:paraId="3D93A8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64A9CFD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6196BD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w:t>
            </w:r>
          </w:p>
        </w:tc>
      </w:tr>
      <w:tr w:rsidR="007D5DF8" w:rsidRPr="00DB5D0D" w14:paraId="0DF19BCF" w14:textId="77777777" w:rsidTr="009223E5">
        <w:tc>
          <w:tcPr>
            <w:tcW w:w="675" w:type="dxa"/>
          </w:tcPr>
          <w:p w14:paraId="43A8D7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М-120</w:t>
            </w:r>
          </w:p>
        </w:tc>
        <w:tc>
          <w:tcPr>
            <w:tcW w:w="874" w:type="dxa"/>
          </w:tcPr>
          <w:p w14:paraId="3F4CF4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Y-образный</w:t>
            </w:r>
          </w:p>
        </w:tc>
        <w:tc>
          <w:tcPr>
            <w:tcW w:w="536" w:type="dxa"/>
          </w:tcPr>
          <w:p w14:paraId="065F6D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c>
          <w:tcPr>
            <w:tcW w:w="575" w:type="dxa"/>
          </w:tcPr>
          <w:p w14:paraId="15F958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638" w:type="dxa"/>
          </w:tcPr>
          <w:p w14:paraId="19C39C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527" w:type="dxa"/>
          </w:tcPr>
          <w:p w14:paraId="004C61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0,97</w:t>
            </w:r>
          </w:p>
        </w:tc>
        <w:tc>
          <w:tcPr>
            <w:tcW w:w="527" w:type="dxa"/>
          </w:tcPr>
          <w:p w14:paraId="0D570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5F2221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52,8</w:t>
            </w:r>
          </w:p>
        </w:tc>
        <w:tc>
          <w:tcPr>
            <w:tcW w:w="560" w:type="dxa"/>
          </w:tcPr>
          <w:p w14:paraId="3B6E04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524" w:type="dxa"/>
          </w:tcPr>
          <w:p w14:paraId="06A67E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3C4BAC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3E22B3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5442AB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1800</w:t>
            </w:r>
          </w:p>
        </w:tc>
        <w:tc>
          <w:tcPr>
            <w:tcW w:w="554" w:type="dxa"/>
          </w:tcPr>
          <w:p w14:paraId="1CC9DC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w:t>
            </w:r>
          </w:p>
        </w:tc>
        <w:tc>
          <w:tcPr>
            <w:tcW w:w="573" w:type="dxa"/>
          </w:tcPr>
          <w:p w14:paraId="071AA9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2" w:type="dxa"/>
          </w:tcPr>
          <w:p w14:paraId="24F3D3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300/315</w:t>
            </w:r>
          </w:p>
        </w:tc>
        <w:tc>
          <w:tcPr>
            <w:tcW w:w="572" w:type="dxa"/>
          </w:tcPr>
          <w:p w14:paraId="390619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396" w:type="dxa"/>
          </w:tcPr>
          <w:p w14:paraId="3A1ED6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4C0E0D9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522C70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доводке</w:t>
            </w:r>
          </w:p>
        </w:tc>
      </w:tr>
      <w:tr w:rsidR="007D5DF8" w:rsidRPr="00DB5D0D" w14:paraId="00A8851F" w14:textId="77777777" w:rsidTr="009223E5">
        <w:tc>
          <w:tcPr>
            <w:tcW w:w="675" w:type="dxa"/>
          </w:tcPr>
          <w:p w14:paraId="08F314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М-81</w:t>
            </w:r>
          </w:p>
        </w:tc>
        <w:tc>
          <w:tcPr>
            <w:tcW w:w="874" w:type="dxa"/>
          </w:tcPr>
          <w:p w14:paraId="7062F3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воздушного 2-х рядный 14 </w:t>
            </w:r>
            <w:r w:rsidRPr="00DB5D0D">
              <w:rPr>
                <w:rFonts w:ascii="Times New Roman" w:hAnsi="Times New Roman"/>
                <w:color w:val="000000" w:themeColor="text1"/>
                <w:sz w:val="16"/>
                <w:szCs w:val="16"/>
              </w:rPr>
              <w:lastRenderedPageBreak/>
              <w:t>цилиндров</w:t>
            </w:r>
          </w:p>
        </w:tc>
        <w:tc>
          <w:tcPr>
            <w:tcW w:w="536" w:type="dxa"/>
          </w:tcPr>
          <w:p w14:paraId="1F259E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240</w:t>
            </w:r>
          </w:p>
        </w:tc>
        <w:tc>
          <w:tcPr>
            <w:tcW w:w="575" w:type="dxa"/>
          </w:tcPr>
          <w:p w14:paraId="012FCC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638" w:type="dxa"/>
          </w:tcPr>
          <w:p w14:paraId="21C612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527" w:type="dxa"/>
          </w:tcPr>
          <w:p w14:paraId="46C1F4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527" w:type="dxa"/>
          </w:tcPr>
          <w:p w14:paraId="19C04E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w:t>
            </w:r>
          </w:p>
        </w:tc>
        <w:tc>
          <w:tcPr>
            <w:tcW w:w="527" w:type="dxa"/>
          </w:tcPr>
          <w:p w14:paraId="01811A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46,3</w:t>
            </w:r>
          </w:p>
        </w:tc>
        <w:tc>
          <w:tcPr>
            <w:tcW w:w="560" w:type="dxa"/>
          </w:tcPr>
          <w:p w14:paraId="50CF7B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5250</w:t>
            </w:r>
          </w:p>
        </w:tc>
        <w:tc>
          <w:tcPr>
            <w:tcW w:w="524" w:type="dxa"/>
          </w:tcPr>
          <w:p w14:paraId="42B037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7D4676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w:t>
            </w:r>
          </w:p>
        </w:tc>
        <w:tc>
          <w:tcPr>
            <w:tcW w:w="570" w:type="dxa"/>
          </w:tcPr>
          <w:p w14:paraId="1333DA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w:t>
            </w:r>
          </w:p>
        </w:tc>
        <w:tc>
          <w:tcPr>
            <w:tcW w:w="570" w:type="dxa"/>
          </w:tcPr>
          <w:p w14:paraId="475C06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c>
          <w:tcPr>
            <w:tcW w:w="554" w:type="dxa"/>
          </w:tcPr>
          <w:p w14:paraId="306085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0,76</w:t>
            </w:r>
          </w:p>
        </w:tc>
        <w:tc>
          <w:tcPr>
            <w:tcW w:w="573" w:type="dxa"/>
          </w:tcPr>
          <w:p w14:paraId="01DB22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1180</w:t>
            </w:r>
          </w:p>
        </w:tc>
        <w:tc>
          <w:tcPr>
            <w:tcW w:w="572" w:type="dxa"/>
          </w:tcPr>
          <w:p w14:paraId="4ED699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305/325</w:t>
            </w:r>
          </w:p>
        </w:tc>
        <w:tc>
          <w:tcPr>
            <w:tcW w:w="572" w:type="dxa"/>
          </w:tcPr>
          <w:p w14:paraId="19CB12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290/310</w:t>
            </w:r>
          </w:p>
        </w:tc>
        <w:tc>
          <w:tcPr>
            <w:tcW w:w="396" w:type="dxa"/>
          </w:tcPr>
          <w:p w14:paraId="1E88EB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05B8146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01F3CA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w:t>
            </w:r>
          </w:p>
        </w:tc>
      </w:tr>
      <w:tr w:rsidR="007D5DF8" w:rsidRPr="00DB5D0D" w14:paraId="1383E758" w14:textId="77777777" w:rsidTr="009223E5">
        <w:tc>
          <w:tcPr>
            <w:tcW w:w="675" w:type="dxa"/>
          </w:tcPr>
          <w:p w14:paraId="5C07B6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М-90</w:t>
            </w:r>
          </w:p>
        </w:tc>
        <w:tc>
          <w:tcPr>
            <w:tcW w:w="874" w:type="dxa"/>
          </w:tcPr>
          <w:p w14:paraId="2EF04A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рядная звезда 18 цилиндров</w:t>
            </w:r>
          </w:p>
        </w:tc>
        <w:tc>
          <w:tcPr>
            <w:tcW w:w="536" w:type="dxa"/>
          </w:tcPr>
          <w:p w14:paraId="5360EB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405</w:t>
            </w:r>
          </w:p>
        </w:tc>
        <w:tc>
          <w:tcPr>
            <w:tcW w:w="575" w:type="dxa"/>
          </w:tcPr>
          <w:p w14:paraId="4837B6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638" w:type="dxa"/>
          </w:tcPr>
          <w:p w14:paraId="1C5CDD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527" w:type="dxa"/>
          </w:tcPr>
          <w:p w14:paraId="31B74D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w:t>
            </w:r>
          </w:p>
        </w:tc>
        <w:tc>
          <w:tcPr>
            <w:tcW w:w="527" w:type="dxa"/>
          </w:tcPr>
          <w:p w14:paraId="6031BE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w:t>
            </w:r>
          </w:p>
        </w:tc>
        <w:tc>
          <w:tcPr>
            <w:tcW w:w="527" w:type="dxa"/>
          </w:tcPr>
          <w:p w14:paraId="6F5B3C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49,5</w:t>
            </w:r>
          </w:p>
        </w:tc>
        <w:tc>
          <w:tcPr>
            <w:tcW w:w="560" w:type="dxa"/>
          </w:tcPr>
          <w:p w14:paraId="1A1A3E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524" w:type="dxa"/>
          </w:tcPr>
          <w:p w14:paraId="7BE9B2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4F7C02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637098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71A06B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1750</w:t>
            </w:r>
          </w:p>
        </w:tc>
        <w:tc>
          <w:tcPr>
            <w:tcW w:w="554" w:type="dxa"/>
          </w:tcPr>
          <w:p w14:paraId="3258E7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0,59</w:t>
            </w:r>
          </w:p>
        </w:tc>
        <w:tc>
          <w:tcPr>
            <w:tcW w:w="573" w:type="dxa"/>
          </w:tcPr>
          <w:p w14:paraId="17B0E8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2" w:type="dxa"/>
          </w:tcPr>
          <w:p w14:paraId="78D916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300/315</w:t>
            </w:r>
          </w:p>
        </w:tc>
        <w:tc>
          <w:tcPr>
            <w:tcW w:w="572" w:type="dxa"/>
          </w:tcPr>
          <w:p w14:paraId="3B2F8E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396" w:type="dxa"/>
          </w:tcPr>
          <w:p w14:paraId="2A7F2F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6C4EDF4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28D878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w:t>
            </w:r>
          </w:p>
        </w:tc>
      </w:tr>
      <w:tr w:rsidR="007D5DF8" w:rsidRPr="00DB5D0D" w14:paraId="4BC9A017" w14:textId="77777777" w:rsidTr="009223E5">
        <w:tc>
          <w:tcPr>
            <w:tcW w:w="675" w:type="dxa"/>
          </w:tcPr>
          <w:p w14:paraId="464EDE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874" w:type="dxa"/>
          </w:tcPr>
          <w:p w14:paraId="5AB701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39C2E9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c>
          <w:tcPr>
            <w:tcW w:w="575" w:type="dxa"/>
          </w:tcPr>
          <w:p w14:paraId="05750F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638" w:type="dxa"/>
          </w:tcPr>
          <w:p w14:paraId="76CDE9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570</w:t>
            </w:r>
          </w:p>
        </w:tc>
        <w:tc>
          <w:tcPr>
            <w:tcW w:w="527" w:type="dxa"/>
          </w:tcPr>
          <w:p w14:paraId="547E77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0,73</w:t>
            </w:r>
          </w:p>
        </w:tc>
        <w:tc>
          <w:tcPr>
            <w:tcW w:w="527" w:type="dxa"/>
          </w:tcPr>
          <w:p w14:paraId="12BFB2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5F2A0B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560" w:type="dxa"/>
          </w:tcPr>
          <w:p w14:paraId="6AFE66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524" w:type="dxa"/>
          </w:tcPr>
          <w:p w14:paraId="3CC043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36F613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194E2B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70" w:type="dxa"/>
          </w:tcPr>
          <w:p w14:paraId="66E06F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54" w:type="dxa"/>
          </w:tcPr>
          <w:p w14:paraId="4B20BB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0,71</w:t>
            </w:r>
          </w:p>
        </w:tc>
        <w:tc>
          <w:tcPr>
            <w:tcW w:w="573" w:type="dxa"/>
          </w:tcPr>
          <w:p w14:paraId="41CE17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572" w:type="dxa"/>
          </w:tcPr>
          <w:p w14:paraId="1A6E0F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572" w:type="dxa"/>
          </w:tcPr>
          <w:p w14:paraId="0B5C27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245/260</w:t>
            </w:r>
          </w:p>
        </w:tc>
        <w:tc>
          <w:tcPr>
            <w:tcW w:w="396" w:type="dxa"/>
          </w:tcPr>
          <w:p w14:paraId="696645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1394AE8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49F80A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38CCC581" w14:textId="77777777" w:rsidTr="009223E5">
        <w:tc>
          <w:tcPr>
            <w:tcW w:w="675" w:type="dxa"/>
          </w:tcPr>
          <w:p w14:paraId="110F5D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М-35</w:t>
            </w:r>
          </w:p>
        </w:tc>
        <w:tc>
          <w:tcPr>
            <w:tcW w:w="874" w:type="dxa"/>
          </w:tcPr>
          <w:p w14:paraId="158605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517CC1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575" w:type="dxa"/>
          </w:tcPr>
          <w:p w14:paraId="3A1651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w:t>
            </w:r>
          </w:p>
        </w:tc>
        <w:tc>
          <w:tcPr>
            <w:tcW w:w="638" w:type="dxa"/>
          </w:tcPr>
          <w:p w14:paraId="052FB4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c>
          <w:tcPr>
            <w:tcW w:w="527" w:type="dxa"/>
          </w:tcPr>
          <w:p w14:paraId="122EE0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0,95</w:t>
            </w:r>
          </w:p>
        </w:tc>
        <w:tc>
          <w:tcPr>
            <w:tcW w:w="527" w:type="dxa"/>
          </w:tcPr>
          <w:p w14:paraId="2B68DB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70A6C3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44,7</w:t>
            </w:r>
          </w:p>
        </w:tc>
        <w:tc>
          <w:tcPr>
            <w:tcW w:w="560" w:type="dxa"/>
          </w:tcPr>
          <w:p w14:paraId="48A6F5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c>
          <w:tcPr>
            <w:tcW w:w="524" w:type="dxa"/>
          </w:tcPr>
          <w:p w14:paraId="481D18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1F3D55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0EF85B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1130</w:t>
            </w:r>
          </w:p>
        </w:tc>
        <w:tc>
          <w:tcPr>
            <w:tcW w:w="570" w:type="dxa"/>
          </w:tcPr>
          <w:p w14:paraId="68E324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6D0930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0,81</w:t>
            </w:r>
          </w:p>
        </w:tc>
        <w:tc>
          <w:tcPr>
            <w:tcW w:w="573" w:type="dxa"/>
          </w:tcPr>
          <w:p w14:paraId="148875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980</w:t>
            </w:r>
          </w:p>
        </w:tc>
        <w:tc>
          <w:tcPr>
            <w:tcW w:w="572" w:type="dxa"/>
          </w:tcPr>
          <w:p w14:paraId="51FD43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572" w:type="dxa"/>
          </w:tcPr>
          <w:p w14:paraId="7C0664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245/260</w:t>
            </w:r>
          </w:p>
        </w:tc>
        <w:tc>
          <w:tcPr>
            <w:tcW w:w="396" w:type="dxa"/>
          </w:tcPr>
          <w:p w14:paraId="1C4FE5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416" w:type="dxa"/>
          </w:tcPr>
          <w:p w14:paraId="4019F9C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3F9100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1B0FF846" w14:textId="77777777" w:rsidTr="009223E5">
        <w:tc>
          <w:tcPr>
            <w:tcW w:w="675" w:type="dxa"/>
          </w:tcPr>
          <w:p w14:paraId="22C1B6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tc>
        <w:tc>
          <w:tcPr>
            <w:tcW w:w="874" w:type="dxa"/>
          </w:tcPr>
          <w:p w14:paraId="7C885D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167FE8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w:t>
            </w:r>
          </w:p>
        </w:tc>
        <w:tc>
          <w:tcPr>
            <w:tcW w:w="575" w:type="dxa"/>
          </w:tcPr>
          <w:p w14:paraId="4404B1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1060</w:t>
            </w:r>
          </w:p>
        </w:tc>
        <w:tc>
          <w:tcPr>
            <w:tcW w:w="638" w:type="dxa"/>
          </w:tcPr>
          <w:p w14:paraId="031D71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527" w:type="dxa"/>
          </w:tcPr>
          <w:p w14:paraId="1B84FE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0,98</w:t>
            </w:r>
          </w:p>
        </w:tc>
        <w:tc>
          <w:tcPr>
            <w:tcW w:w="527" w:type="dxa"/>
          </w:tcPr>
          <w:p w14:paraId="58362E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3194CE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41,6</w:t>
            </w:r>
          </w:p>
        </w:tc>
        <w:tc>
          <w:tcPr>
            <w:tcW w:w="560" w:type="dxa"/>
          </w:tcPr>
          <w:p w14:paraId="34C20F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6200</w:t>
            </w:r>
          </w:p>
        </w:tc>
        <w:tc>
          <w:tcPr>
            <w:tcW w:w="524" w:type="dxa"/>
          </w:tcPr>
          <w:p w14:paraId="13D526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7331E4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5C0B3B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70" w:type="dxa"/>
          </w:tcPr>
          <w:p w14:paraId="35ED33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67E593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w:t>
            </w:r>
          </w:p>
        </w:tc>
        <w:tc>
          <w:tcPr>
            <w:tcW w:w="573" w:type="dxa"/>
          </w:tcPr>
          <w:p w14:paraId="6D6017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1240</w:t>
            </w:r>
          </w:p>
        </w:tc>
        <w:tc>
          <w:tcPr>
            <w:tcW w:w="572" w:type="dxa"/>
          </w:tcPr>
          <w:p w14:paraId="1A8236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572" w:type="dxa"/>
          </w:tcPr>
          <w:p w14:paraId="106B62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396" w:type="dxa"/>
          </w:tcPr>
          <w:p w14:paraId="02A5F9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w:t>
            </w:r>
          </w:p>
        </w:tc>
        <w:tc>
          <w:tcPr>
            <w:tcW w:w="416" w:type="dxa"/>
          </w:tcPr>
          <w:p w14:paraId="347046D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525B7E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 50 час</w:t>
            </w:r>
          </w:p>
        </w:tc>
      </w:tr>
      <w:tr w:rsidR="007D5DF8" w:rsidRPr="00DB5D0D" w14:paraId="57941E05" w14:textId="77777777" w:rsidTr="009223E5">
        <w:tc>
          <w:tcPr>
            <w:tcW w:w="675" w:type="dxa"/>
          </w:tcPr>
          <w:p w14:paraId="4EB442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АМ-37</w:t>
            </w:r>
          </w:p>
        </w:tc>
        <w:tc>
          <w:tcPr>
            <w:tcW w:w="874" w:type="dxa"/>
          </w:tcPr>
          <w:p w14:paraId="747208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55BF27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430</w:t>
            </w:r>
          </w:p>
        </w:tc>
        <w:tc>
          <w:tcPr>
            <w:tcW w:w="575" w:type="dxa"/>
          </w:tcPr>
          <w:p w14:paraId="216E37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1210</w:t>
            </w:r>
          </w:p>
        </w:tc>
        <w:tc>
          <w:tcPr>
            <w:tcW w:w="638" w:type="dxa"/>
          </w:tcPr>
          <w:p w14:paraId="1C570F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527" w:type="dxa"/>
          </w:tcPr>
          <w:p w14:paraId="5302CF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0,98</w:t>
            </w:r>
          </w:p>
        </w:tc>
        <w:tc>
          <w:tcPr>
            <w:tcW w:w="527" w:type="dxa"/>
          </w:tcPr>
          <w:p w14:paraId="2DD96A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08D534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41,6</w:t>
            </w:r>
          </w:p>
        </w:tc>
        <w:tc>
          <w:tcPr>
            <w:tcW w:w="560" w:type="dxa"/>
          </w:tcPr>
          <w:p w14:paraId="763D05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6300</w:t>
            </w:r>
          </w:p>
        </w:tc>
        <w:tc>
          <w:tcPr>
            <w:tcW w:w="524" w:type="dxa"/>
          </w:tcPr>
          <w:p w14:paraId="1E14EF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242694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70" w:type="dxa"/>
          </w:tcPr>
          <w:p w14:paraId="771B4E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1250</w:t>
            </w:r>
          </w:p>
        </w:tc>
        <w:tc>
          <w:tcPr>
            <w:tcW w:w="570" w:type="dxa"/>
          </w:tcPr>
          <w:p w14:paraId="6DA0B0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54" w:type="dxa"/>
          </w:tcPr>
          <w:p w14:paraId="489CB9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0,61</w:t>
            </w:r>
          </w:p>
        </w:tc>
        <w:tc>
          <w:tcPr>
            <w:tcW w:w="573" w:type="dxa"/>
          </w:tcPr>
          <w:p w14:paraId="3F920C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1460</w:t>
            </w:r>
          </w:p>
        </w:tc>
        <w:tc>
          <w:tcPr>
            <w:tcW w:w="572" w:type="dxa"/>
          </w:tcPr>
          <w:p w14:paraId="6101E7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572" w:type="dxa"/>
          </w:tcPr>
          <w:p w14:paraId="212BEF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396" w:type="dxa"/>
          </w:tcPr>
          <w:p w14:paraId="2D9890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w:t>
            </w:r>
          </w:p>
        </w:tc>
        <w:tc>
          <w:tcPr>
            <w:tcW w:w="416" w:type="dxa"/>
          </w:tcPr>
          <w:p w14:paraId="50FEC1E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58628B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 50 час</w:t>
            </w:r>
          </w:p>
        </w:tc>
      </w:tr>
      <w:tr w:rsidR="007D5DF8" w:rsidRPr="00DB5D0D" w14:paraId="6BEC1ADC" w14:textId="77777777" w:rsidTr="009223E5">
        <w:tc>
          <w:tcPr>
            <w:tcW w:w="675" w:type="dxa"/>
          </w:tcPr>
          <w:p w14:paraId="685080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210ВА</w:t>
            </w:r>
          </w:p>
        </w:tc>
        <w:tc>
          <w:tcPr>
            <w:tcW w:w="874" w:type="dxa"/>
          </w:tcPr>
          <w:p w14:paraId="736EFF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Pr>
          <w:p w14:paraId="044CD7E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Pr>
          <w:p w14:paraId="13044D7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Pr>
          <w:p w14:paraId="271D2BD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2528C8B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28A962A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053BA89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Pr>
          <w:p w14:paraId="5CC0957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63327E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231C61B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12DCB0A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37709E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766F0DB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Pr>
          <w:p w14:paraId="1D6DE20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1B84D10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5153D30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17D2C8E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0C72CD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2B3D5B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332B65BA" w14:textId="77777777" w:rsidTr="009223E5">
        <w:tc>
          <w:tcPr>
            <w:tcW w:w="675" w:type="dxa"/>
          </w:tcPr>
          <w:p w14:paraId="5BCF50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211LF</w:t>
            </w:r>
          </w:p>
        </w:tc>
        <w:tc>
          <w:tcPr>
            <w:tcW w:w="874" w:type="dxa"/>
          </w:tcPr>
          <w:p w14:paraId="3B448C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Pr>
          <w:p w14:paraId="4FC041B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Pr>
          <w:p w14:paraId="1DA551F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Pr>
          <w:p w14:paraId="6A460D5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1C7B1E5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3A48F2D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1B98CAC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Pr>
          <w:p w14:paraId="4FA8996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1212AF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71E7B24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60B07B3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6D7379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0208BD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0?68</w:t>
            </w:r>
          </w:p>
        </w:tc>
        <w:tc>
          <w:tcPr>
            <w:tcW w:w="573" w:type="dxa"/>
          </w:tcPr>
          <w:p w14:paraId="2457D2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940</w:t>
            </w:r>
          </w:p>
        </w:tc>
        <w:tc>
          <w:tcPr>
            <w:tcW w:w="572" w:type="dxa"/>
          </w:tcPr>
          <w:p w14:paraId="583C9C3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2840D42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5A169EA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30D21E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07E9E6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7C703F99" w14:textId="77777777" w:rsidTr="009223E5">
        <w:tc>
          <w:tcPr>
            <w:tcW w:w="675" w:type="dxa"/>
            <w:tcBorders>
              <w:bottom w:val="single" w:sz="12" w:space="0" w:color="auto"/>
            </w:tcBorders>
          </w:tcPr>
          <w:p w14:paraId="22EA64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210G</w:t>
            </w:r>
          </w:p>
        </w:tc>
        <w:tc>
          <w:tcPr>
            <w:tcW w:w="874" w:type="dxa"/>
            <w:tcBorders>
              <w:bottom w:val="single" w:sz="12" w:space="0" w:color="auto"/>
            </w:tcBorders>
          </w:tcPr>
          <w:p w14:paraId="152699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Borders>
              <w:bottom w:val="single" w:sz="12" w:space="0" w:color="auto"/>
            </w:tcBorders>
          </w:tcPr>
          <w:p w14:paraId="04E12EA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Borders>
              <w:bottom w:val="single" w:sz="12" w:space="0" w:color="auto"/>
            </w:tcBorders>
          </w:tcPr>
          <w:p w14:paraId="4DC6883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Borders>
              <w:bottom w:val="single" w:sz="12" w:space="0" w:color="auto"/>
            </w:tcBorders>
          </w:tcPr>
          <w:p w14:paraId="54657D6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5487B75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7590B0C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4AD9F8D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Borders>
              <w:bottom w:val="single" w:sz="12" w:space="0" w:color="auto"/>
            </w:tcBorders>
          </w:tcPr>
          <w:p w14:paraId="272D0FD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Borders>
              <w:bottom w:val="single" w:sz="12" w:space="0" w:color="auto"/>
            </w:tcBorders>
          </w:tcPr>
          <w:p w14:paraId="06C4ED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Borders>
              <w:bottom w:val="single" w:sz="12" w:space="0" w:color="auto"/>
            </w:tcBorders>
          </w:tcPr>
          <w:p w14:paraId="4BE42E7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Borders>
              <w:bottom w:val="single" w:sz="12" w:space="0" w:color="auto"/>
            </w:tcBorders>
          </w:tcPr>
          <w:p w14:paraId="0BD64B6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Borders>
              <w:bottom w:val="single" w:sz="12" w:space="0" w:color="auto"/>
            </w:tcBorders>
          </w:tcPr>
          <w:p w14:paraId="3717FB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554" w:type="dxa"/>
            <w:tcBorders>
              <w:bottom w:val="single" w:sz="12" w:space="0" w:color="auto"/>
            </w:tcBorders>
          </w:tcPr>
          <w:p w14:paraId="2E12570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Borders>
              <w:bottom w:val="single" w:sz="12" w:space="0" w:color="auto"/>
            </w:tcBorders>
          </w:tcPr>
          <w:p w14:paraId="10A09AC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Borders>
              <w:bottom w:val="single" w:sz="12" w:space="0" w:color="auto"/>
            </w:tcBorders>
          </w:tcPr>
          <w:p w14:paraId="7C5DAC5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Borders>
              <w:bottom w:val="single" w:sz="12" w:space="0" w:color="auto"/>
            </w:tcBorders>
          </w:tcPr>
          <w:p w14:paraId="30A9515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Borders>
              <w:bottom w:val="single" w:sz="12" w:space="0" w:color="auto"/>
            </w:tcBorders>
          </w:tcPr>
          <w:p w14:paraId="6AA3027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Borders>
              <w:bottom w:val="single" w:sz="12" w:space="0" w:color="auto"/>
            </w:tcBorders>
          </w:tcPr>
          <w:p w14:paraId="0AA2C3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Borders>
              <w:bottom w:val="single" w:sz="12" w:space="0" w:color="auto"/>
            </w:tcBorders>
          </w:tcPr>
          <w:p w14:paraId="213EAC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bl>
    <w:p w14:paraId="7944BE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(801,1).</w:t>
      </w:r>
    </w:p>
    <w:p w14:paraId="5D4D205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DDD250" w14:textId="77777777" w:rsidR="00E2169E" w:rsidRPr="00DB5D0D" w:rsidRDefault="00E2169E"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25 мая 1940 Постановлением Комитет Обороны обязал директора завода №24 Дубова и главного конструктора мотора Микулина обеспечить ресурс надежной работы мотора АМ-37 до 100 ч и прове</w:t>
      </w:r>
      <w:r w:rsidRPr="00DB5D0D">
        <w:rPr>
          <w:rFonts w:ascii="Times New Roman" w:cs="Times New Roman"/>
          <w:color w:val="000000" w:themeColor="text1"/>
          <w:spacing w:val="0"/>
        </w:rPr>
        <w:softHyphen/>
        <w:t>сти его государственные 100-часовые испытания к 1 сентября 1940 г.</w:t>
      </w:r>
    </w:p>
    <w:p w14:paraId="42DA2FD0" w14:textId="77777777" w:rsidR="00E2169E" w:rsidRPr="00DB5D0D" w:rsidRDefault="00E2169E"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Доводка и внедрение в массовое се</w:t>
      </w:r>
      <w:r w:rsidRPr="00DB5D0D">
        <w:rPr>
          <w:rFonts w:ascii="Times New Roman" w:cs="Times New Roman"/>
          <w:color w:val="000000" w:themeColor="text1"/>
          <w:spacing w:val="0"/>
        </w:rPr>
        <w:softHyphen/>
        <w:t>рийное производство АМ-37 стала при</w:t>
      </w:r>
      <w:r w:rsidRPr="00DB5D0D">
        <w:rPr>
          <w:rFonts w:ascii="Times New Roman" w:cs="Times New Roman"/>
          <w:color w:val="000000" w:themeColor="text1"/>
          <w:spacing w:val="0"/>
        </w:rPr>
        <w:softHyphen/>
        <w:t>оритетной программой наркомата ави</w:t>
      </w:r>
      <w:r w:rsidRPr="00DB5D0D">
        <w:rPr>
          <w:rFonts w:ascii="Times New Roman" w:cs="Times New Roman"/>
          <w:color w:val="000000" w:themeColor="text1"/>
          <w:spacing w:val="0"/>
        </w:rPr>
        <w:softHyphen/>
        <w:t>апромышленности. Именно с мотором АМ-37 стали связываться надежды ВВС КА на получение современных само</w:t>
      </w:r>
      <w:r w:rsidRPr="00DB5D0D">
        <w:rPr>
          <w:rFonts w:ascii="Times New Roman" w:cs="Times New Roman"/>
          <w:color w:val="000000" w:themeColor="text1"/>
          <w:spacing w:val="0"/>
        </w:rPr>
        <w:softHyphen/>
        <w:t>летов различного назначения: пикиру</w:t>
      </w:r>
      <w:r w:rsidRPr="00DB5D0D">
        <w:rPr>
          <w:rFonts w:ascii="Times New Roman" w:cs="Times New Roman"/>
          <w:color w:val="000000" w:themeColor="text1"/>
          <w:spacing w:val="0"/>
        </w:rPr>
        <w:softHyphen/>
        <w:t>ющих и дальних бомбардировщиков, истребителей воздушного боя и истре</w:t>
      </w:r>
      <w:r w:rsidRPr="00DB5D0D">
        <w:rPr>
          <w:rFonts w:ascii="Times New Roman" w:cs="Times New Roman"/>
          <w:color w:val="000000" w:themeColor="text1"/>
          <w:spacing w:val="0"/>
        </w:rPr>
        <w:softHyphen/>
        <w:t>бителей дальнего действия. В 1940- 1941 гг. под него строились и проек</w:t>
      </w:r>
      <w:r w:rsidRPr="00DB5D0D">
        <w:rPr>
          <w:rFonts w:ascii="Times New Roman" w:cs="Times New Roman"/>
          <w:color w:val="000000" w:themeColor="text1"/>
          <w:spacing w:val="0"/>
        </w:rPr>
        <w:softHyphen/>
        <w:t>тировались свыше полутора десятка перспективных боевых машин (15755).</w:t>
      </w:r>
    </w:p>
    <w:p w14:paraId="47691601" w14:textId="77777777" w:rsidR="00E2169E" w:rsidRPr="00DB5D0D" w:rsidRDefault="00E2169E" w:rsidP="00DB5D0D">
      <w:pPr>
        <w:spacing w:after="0" w:line="240" w:lineRule="auto"/>
        <w:jc w:val="both"/>
        <w:rPr>
          <w:rFonts w:ascii="Times New Roman" w:hAnsi="Times New Roman"/>
          <w:color w:val="000000" w:themeColor="text1"/>
          <w:sz w:val="16"/>
          <w:szCs w:val="16"/>
        </w:rPr>
      </w:pPr>
    </w:p>
    <w:p w14:paraId="257DFD3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вышло постановление КО № 225сс</w:t>
      </w:r>
    </w:p>
    <w:p w14:paraId="6D68843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Конструктору Швецову, завод № 19.</w:t>
      </w:r>
    </w:p>
    <w:p w14:paraId="5DA6271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Повысить высотность мотора М-63 за счет применения турбокомпрессора ТК.</w:t>
      </w:r>
    </w:p>
    <w:p w14:paraId="4A37BFF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810 л.с. на высоте 10000 м.</w:t>
      </w:r>
    </w:p>
    <w:p w14:paraId="57CCD35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Отработка на станке 1 июня 1940 года.</w:t>
      </w:r>
    </w:p>
    <w:p w14:paraId="67D5155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новый мотор М-64 с двухскоростным нагнетателем. Взлетная мощность 1200 л.с.</w:t>
      </w:r>
    </w:p>
    <w:p w14:paraId="74A1595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900 л.с. на высоте 6000 м.</w:t>
      </w:r>
    </w:p>
    <w:p w14:paraId="6CEC4BA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50-часовые совместные испытания 15 июня 1940 года.</w:t>
      </w:r>
    </w:p>
    <w:p w14:paraId="401FD7D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100-часовые гос. испытания 15 октября 1940 года.</w:t>
      </w:r>
    </w:p>
    <w:p w14:paraId="20A7D1D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Конструктору Швецову, завод № 19. Изготовить новый мотор М-81.</w:t>
      </w:r>
    </w:p>
    <w:p w14:paraId="6129AED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1600 л.с.</w:t>
      </w:r>
    </w:p>
    <w:p w14:paraId="172585D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1300 л.с. на высоте 5000 м.</w:t>
      </w:r>
    </w:p>
    <w:p w14:paraId="158C35C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100-часовые испытания 1 июня 1940 года (4048, 4).</w:t>
      </w:r>
    </w:p>
    <w:p w14:paraId="3EF75D9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ЦИАМу установить для повышения высотности на мотор М-63 турбокомпрессор ТК-1 (810 л.с. на высоте 9900 м).</w:t>
      </w:r>
    </w:p>
    <w:p w14:paraId="32CD7AD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летных испытаний – 1 июля 1940 года.</w:t>
      </w:r>
    </w:p>
    <w:p w14:paraId="0FED501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E2528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вышло постановление КО N 225сс "О постройке новых авиамоторов на заводе 19" об изготовлении М-63 с ТК и М-81 (822).</w:t>
      </w:r>
    </w:p>
    <w:p w14:paraId="1299AE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постановление КО N 225сс предусматривало запуск И-200 в серию (837) на заводе 1 и о снятии с производства ББ-22 (1295,189).</w:t>
      </w:r>
    </w:p>
    <w:p w14:paraId="2CC6B4B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10A8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постановление № 225сс КО</w:t>
      </w:r>
    </w:p>
    <w:p w14:paraId="4021E6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постройке новых авиационных моторов на заводе № 19 НКАП</w:t>
      </w:r>
    </w:p>
    <w:p w14:paraId="6F95B2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дополнение к постановлению ЦК ВКП(б) и СНК за № 2032-569сс от 11 декабря 1939 года КО постановляет:</w:t>
      </w:r>
    </w:p>
    <w:p w14:paraId="5CE0EF6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(директора завода № 19 Кожевникова и гл. конструктора Швецова) обеспечить доводку и проведение испытаний новых модифицированных моторов в следующие сроки:</w:t>
      </w:r>
    </w:p>
    <w:p w14:paraId="3C4CAC2A" w14:textId="77777777" w:rsidR="00A25AD1" w:rsidRPr="00DB5D0D" w:rsidRDefault="00A25AD1" w:rsidP="00DB5D0D">
      <w:pPr>
        <w:pStyle w:val="24"/>
        <w:widowControl/>
        <w:tabs>
          <w:tab w:val="left" w:pos="360"/>
        </w:tabs>
        <w:rPr>
          <w:color w:val="000000" w:themeColor="text1"/>
        </w:rPr>
      </w:pPr>
      <w:r w:rsidRPr="00DB5D0D">
        <w:rPr>
          <w:color w:val="000000" w:themeColor="text1"/>
        </w:rPr>
        <w:t>Мотор М-64 (модификация мотора М-63 с удлиненным носком редуктора; взлетная мощность – 1200 л.с., номинальная мощность на расчетной высоте - 900 л.с., расчетная высота –6000 м, октановое число топлива не более – 95):</w:t>
      </w:r>
    </w:p>
    <w:p w14:paraId="6475A3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довести ресурс надежной работы мотора М-64 до 50-ти часов и провести его 50-часовые совместные (НКО и НКАП) испытания к 15 июня 1940 года;</w:t>
      </w:r>
    </w:p>
    <w:p w14:paraId="0FFFAA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довести ресурс надежной работы мотора М-64 до 100 часов и провести его 100-часовые госиспытания к 15 октября 1940 года.</w:t>
      </w:r>
    </w:p>
    <w:p w14:paraId="5E33A98D" w14:textId="77777777" w:rsidR="00A25AD1" w:rsidRPr="00DB5D0D" w:rsidRDefault="00A25AD1" w:rsidP="00DB5D0D">
      <w:pPr>
        <w:pStyle w:val="24"/>
        <w:widowControl/>
        <w:tabs>
          <w:tab w:val="left" w:pos="360"/>
        </w:tabs>
        <w:rPr>
          <w:color w:val="000000" w:themeColor="text1"/>
        </w:rPr>
      </w:pPr>
      <w:r w:rsidRPr="00DB5D0D">
        <w:rPr>
          <w:color w:val="000000" w:themeColor="text1"/>
        </w:rPr>
        <w:lastRenderedPageBreak/>
        <w:t>Мотор М-81 (новая 14-ти цилиндровая двухрядная звезда воздушного охлаждения; взлетная мощность – 1600 л.с., номинальная мощность на расчетной высоте - 1300 л.с., расчетная высота –5000 м):</w:t>
      </w:r>
    </w:p>
    <w:p w14:paraId="7EFC5E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довести ресурс надежной работы мотора М-81 до 100 часов и провести его 100-часовые госиспытания к 15 июня 1940 года.</w:t>
      </w:r>
    </w:p>
    <w:p w14:paraId="32C49A1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Отработать на станке и на самолете к 1 июня 1940 года мотор М-63 ТК с данными:</w:t>
      </w:r>
    </w:p>
    <w:p w14:paraId="3B5783C6" w14:textId="77777777" w:rsidR="00A25AD1" w:rsidRPr="00DB5D0D" w:rsidRDefault="00A25AD1" w:rsidP="00DB5D0D">
      <w:pPr>
        <w:pStyle w:val="24"/>
        <w:widowControl/>
        <w:rPr>
          <w:color w:val="000000" w:themeColor="text1"/>
        </w:rPr>
      </w:pPr>
      <w:r w:rsidRPr="00DB5D0D">
        <w:rPr>
          <w:color w:val="000000" w:themeColor="text1"/>
        </w:rPr>
        <w:t>взлетная мощность – 1100 л.с.</w:t>
      </w:r>
    </w:p>
    <w:p w14:paraId="276717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на расчетной высоте - 810 л.с.</w:t>
      </w:r>
    </w:p>
    <w:p w14:paraId="39012C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10000 м (7611, 58-59).</w:t>
      </w:r>
    </w:p>
    <w:p w14:paraId="7D080A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Отпустить из резервного фонда СНК под отчет в распоряжение НКАП для премирования ИТР, рабочих и служащих завода № 19 в соответствии с Положением о премировании 3 млн. руб., в том числе:</w:t>
      </w:r>
    </w:p>
    <w:p w14:paraId="387815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1 млн. руб. за создание мотора М-81,</w:t>
      </w:r>
    </w:p>
    <w:p w14:paraId="71DC02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1,5 млн. руб. за создание мотора М-64</w:t>
      </w:r>
    </w:p>
    <w:p w14:paraId="204B1A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500 тыс. руб. за отработку мотора М-63 с ТК на самолете (10395).</w:t>
      </w:r>
    </w:p>
    <w:p w14:paraId="7C4C86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представить отчет об израсходовании премиальных сумм в КО к 20 января 1941 г. (10395).</w:t>
      </w:r>
    </w:p>
    <w:p w14:paraId="1EDEC8D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CACF9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вышло постановление КО № 226сс</w:t>
      </w:r>
    </w:p>
    <w:p w14:paraId="7689DF1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Конструктору Климову, завод № 26. Поднять высотность мотора М-120 за счет комбинированного наддува ТК и ПЦН.</w:t>
      </w:r>
    </w:p>
    <w:p w14:paraId="22415BE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1400 л.с. на высоте 10000 м.</w:t>
      </w:r>
    </w:p>
    <w:p w14:paraId="406EF32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Закончить заводские испытания к 1 ноября 1940 года.</w:t>
      </w:r>
    </w:p>
    <w:p w14:paraId="7B72D0E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Конструктору Климову, завод № 26. Изготовить мотор М-105 с ТК-2.</w:t>
      </w:r>
    </w:p>
    <w:p w14:paraId="7EC5B89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1100 л.с.</w:t>
      </w:r>
    </w:p>
    <w:p w14:paraId="02473E0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1000 л.с. на высоте 8000 м.</w:t>
      </w:r>
    </w:p>
    <w:p w14:paraId="0222EC1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летные испытания – 1 июля 1940 года.</w:t>
      </w:r>
    </w:p>
    <w:p w14:paraId="10C89AA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Конструктору Климову, завод № 26. Повысить мощность мотора М-105П за счет применения 2-х турбокомпрессоров 2ТК-2.</w:t>
      </w:r>
    </w:p>
    <w:p w14:paraId="7AE2F20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950 л.с. на высоте 10000 м.</w:t>
      </w:r>
    </w:p>
    <w:p w14:paraId="6F6AD8A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1 октября 1940 года.</w:t>
      </w:r>
    </w:p>
    <w:p w14:paraId="7107B4E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Конструктору Климову, завод № 26. Повысить мощность мотора М-105П за счет применения 2-х турбокомпрессоров 2ТК-2.</w:t>
      </w:r>
    </w:p>
    <w:p w14:paraId="4FB4AB9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950 л.с. на высоте 10000 м.</w:t>
      </w:r>
    </w:p>
    <w:p w14:paraId="61284C7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1 октября 1940 года.</w:t>
      </w:r>
    </w:p>
    <w:p w14:paraId="620A9EC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Конструктору Климову, завод № 26. Изготовить новый мотор М-107П с двухскоростным нагнетателем.</w:t>
      </w:r>
    </w:p>
    <w:p w14:paraId="4C7992C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1500/1250 л.с.</w:t>
      </w:r>
    </w:p>
    <w:p w14:paraId="6EFFCFE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1300/1150 л.с. на высоте 5000-6000 м.</w:t>
      </w:r>
    </w:p>
    <w:p w14:paraId="66D6B57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Октановое число топлива 100/95.</w:t>
      </w:r>
    </w:p>
    <w:p w14:paraId="55FB8DA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часовые совместные испытания к 15 сентября 1940 года, 100-часовые гос. испытания к 1 декабря 1940 года (4048, 4).</w:t>
      </w:r>
    </w:p>
    <w:p w14:paraId="2E757B0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BFDD3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вышло постановление КО N 226 "О постройке новых авиамоторов на заводе 26".</w:t>
      </w:r>
    </w:p>
    <w:p w14:paraId="03A4B7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114AE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постановление № 226сс КО</w:t>
      </w:r>
    </w:p>
    <w:p w14:paraId="7174DE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постройке новых авиационных моторов на заводе № 26 НКАП</w:t>
      </w:r>
    </w:p>
    <w:p w14:paraId="2B7B1B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2CC83FB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(директора завода № 26 Завитаева и гл. конструктора Климова) в дополнение к постановлению КО № 91сс от 26 апреля 1939 года обеспечить доводку и проведение испытаний новых и модифицированных моторов в следующие сроки:</w:t>
      </w:r>
    </w:p>
    <w:p w14:paraId="19424D51" w14:textId="77777777" w:rsidR="00A25AD1" w:rsidRPr="00DB5D0D" w:rsidRDefault="00A25AD1" w:rsidP="00DB5D0D">
      <w:pPr>
        <w:pStyle w:val="24"/>
        <w:widowControl/>
        <w:tabs>
          <w:tab w:val="left" w:pos="360"/>
        </w:tabs>
        <w:rPr>
          <w:color w:val="000000" w:themeColor="text1"/>
        </w:rPr>
      </w:pPr>
      <w:r w:rsidRPr="00DB5D0D">
        <w:rPr>
          <w:color w:val="000000" w:themeColor="text1"/>
        </w:rPr>
        <w:t>1) Мотор М-107П (модификация мотора М-105, приспособлен для стрельбы через полый вал винта; взлетная мощность – 1250 л.с., номинальная мощность на расчетной высоте - 1150 л.с., расчетная высота – 6000 м при октановом числе топлива не выше – 95 и взлетная мощность – 1500 л.с., номинальная мощность на расчетной высоте - 1300 л.с., расчетная высота – 5000 м, октановое число топлива – 100):</w:t>
      </w:r>
    </w:p>
    <w:p w14:paraId="1F9CE8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довести ресурс надежной работы мотора М-107П до 50-ти часов и провести его 50-часовые совместные (НКО и НКАП) испытания к 15 сентября 1940 года;</w:t>
      </w:r>
    </w:p>
    <w:p w14:paraId="618F78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довести ресурс надежной работы мотора М-107П до 100 часов и провести его 100-часовые госиспытания к 1 декабря 1940 года.</w:t>
      </w:r>
    </w:p>
    <w:p w14:paraId="58020062" w14:textId="77777777" w:rsidR="00A25AD1" w:rsidRPr="00DB5D0D" w:rsidRDefault="00A25AD1" w:rsidP="00DB5D0D">
      <w:pPr>
        <w:pStyle w:val="24"/>
        <w:widowControl/>
        <w:tabs>
          <w:tab w:val="left" w:pos="360"/>
        </w:tabs>
        <w:rPr>
          <w:color w:val="000000" w:themeColor="text1"/>
        </w:rPr>
      </w:pPr>
      <w:r w:rsidRPr="00DB5D0D">
        <w:rPr>
          <w:color w:val="000000" w:themeColor="text1"/>
        </w:rPr>
        <w:t>2) Мотор М-120 с ТК (поднять высотность мотора М-120 за счет применения турбокомпрессора; взлетная мощность – 1800 л.с., номинальная мощность на расчетной высоте - 1400 л.с., расчетная высота – 10000 м при октановом числе топлива не выше – 95).</w:t>
      </w:r>
    </w:p>
    <w:p w14:paraId="5FD5859E" w14:textId="77777777" w:rsidR="00A25AD1" w:rsidRPr="00DB5D0D" w:rsidRDefault="00A25AD1" w:rsidP="00DB5D0D">
      <w:pPr>
        <w:pStyle w:val="24"/>
        <w:widowControl/>
        <w:rPr>
          <w:color w:val="000000" w:themeColor="text1"/>
        </w:rPr>
      </w:pPr>
      <w:r w:rsidRPr="00DB5D0D">
        <w:rPr>
          <w:color w:val="000000" w:themeColor="text1"/>
        </w:rPr>
        <w:t>Закончить заводские испытания мотора М-120 с ТК к 1 ноября 1940 года.</w:t>
      </w:r>
    </w:p>
    <w:p w14:paraId="1D73EC52" w14:textId="77777777" w:rsidR="00A25AD1" w:rsidRPr="00DB5D0D" w:rsidRDefault="00A25AD1" w:rsidP="00DB5D0D">
      <w:pPr>
        <w:pStyle w:val="24"/>
        <w:widowControl/>
        <w:tabs>
          <w:tab w:val="left" w:pos="360"/>
        </w:tabs>
        <w:rPr>
          <w:color w:val="000000" w:themeColor="text1"/>
        </w:rPr>
      </w:pPr>
      <w:r w:rsidRPr="00DB5D0D">
        <w:rPr>
          <w:color w:val="000000" w:themeColor="text1"/>
        </w:rPr>
        <w:t>3) Закончить летные испытания моторов с турбокомпрессорами в следующие сроки:</w:t>
      </w:r>
    </w:p>
    <w:p w14:paraId="033DCB2D" w14:textId="77777777" w:rsidR="00A25AD1" w:rsidRPr="00DB5D0D" w:rsidRDefault="00A25AD1" w:rsidP="00DB5D0D">
      <w:pPr>
        <w:pStyle w:val="24"/>
        <w:widowControl/>
        <w:rPr>
          <w:color w:val="000000" w:themeColor="text1"/>
        </w:rPr>
      </w:pPr>
      <w:r w:rsidRPr="00DB5D0D">
        <w:rPr>
          <w:color w:val="000000" w:themeColor="text1"/>
        </w:rPr>
        <w:t>а) мотор М-105П 2ТК-2 (взлетная мощность – 1100 л.с., номинальная мощность на расчетной высоте - 950 л.с., расчетная высота – 10000 м) к 1 октября 1940 года;</w:t>
      </w:r>
    </w:p>
    <w:p w14:paraId="74A83877" w14:textId="77777777" w:rsidR="00A25AD1" w:rsidRPr="00DB5D0D" w:rsidRDefault="00A25AD1" w:rsidP="00DB5D0D">
      <w:pPr>
        <w:pStyle w:val="24"/>
        <w:widowControl/>
        <w:rPr>
          <w:color w:val="000000" w:themeColor="text1"/>
        </w:rPr>
      </w:pPr>
      <w:r w:rsidRPr="00DB5D0D">
        <w:rPr>
          <w:color w:val="000000" w:themeColor="text1"/>
        </w:rPr>
        <w:t>б) мотор М-105 ТК-2 (взлетная мощность – 1100 л.с., номинальная мощность на расчетной высоте - 1000 л.с., расчетная высота – 8000 м) к 1 июля 1940 года (7611, 60-61).</w:t>
      </w:r>
    </w:p>
    <w:p w14:paraId="748B13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Отпустить из резервного фонда СНК под отчет в распоряжение НКАП для премирования ИТР, рабочих и служащих завода № 26 в соответствии с Положением о премировании за создание мотора М-107П 3 млн. руб.</w:t>
      </w:r>
    </w:p>
    <w:p w14:paraId="1669F1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представить отчет об израсходовании премиальных сумм в КО к 20 января 1941 г. (10395).</w:t>
      </w:r>
    </w:p>
    <w:p w14:paraId="796154A5" w14:textId="77777777" w:rsidR="00A25AD1" w:rsidRPr="00DB5D0D" w:rsidRDefault="00A25AD1" w:rsidP="00DB5D0D">
      <w:pPr>
        <w:pStyle w:val="24"/>
        <w:widowControl/>
        <w:rPr>
          <w:color w:val="000000" w:themeColor="text1"/>
        </w:rPr>
      </w:pPr>
    </w:p>
    <w:p w14:paraId="25F925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вышло постановление КО N 228с "О постройке в ЦИАМ новых опытных агрегатов" поручившее ЦИАМ для повышения высотности М-107 изготовить трех скоростной нагнетатель и дать чертежи заводу 26 к 1 декабря 1940 (822).</w:t>
      </w:r>
    </w:p>
    <w:p w14:paraId="622BAD4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A3FA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вышло постановление КО N 228cc поручившее ЦИАМ повысить мощность и экономичность М-105 и провести совместные испытания 15 августа 1940 (822).</w:t>
      </w:r>
    </w:p>
    <w:p w14:paraId="6DC25C3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ЦИАМу</w:t>
      </w:r>
    </w:p>
    <w:p w14:paraId="5458236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Повышение высотности мотора М-88 за счет применения турбокомпрессора ТК-1.</w:t>
      </w:r>
    </w:p>
    <w:p w14:paraId="5452676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890 л.с. на высоте 10400 м.</w:t>
      </w:r>
    </w:p>
    <w:p w14:paraId="7855BD7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 1 июля 1940 года.</w:t>
      </w:r>
    </w:p>
    <w:p w14:paraId="0C52A9B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Повышение мощности и экономичности мотора М-88 путем применения непосредственного впрыска.</w:t>
      </w:r>
    </w:p>
    <w:p w14:paraId="5A46AF5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Совместные испытания – 1 сентября 1940 года.</w:t>
      </w:r>
    </w:p>
    <w:p w14:paraId="64C0B9B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ТК-2 (Э-79) на моторе М-105 (самолет СБ).</w:t>
      </w:r>
    </w:p>
    <w:p w14:paraId="50A0EAD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 1 мая 1940 года.</w:t>
      </w:r>
    </w:p>
    <w:p w14:paraId="485EC3C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 1 сентября 1940 года.</w:t>
      </w:r>
    </w:p>
    <w:p w14:paraId="768A6D0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ТК-2И (Э-79И) к мотору М-105 на самолетах «100», КБ-301 и завода № 135.</w:t>
      </w:r>
    </w:p>
    <w:p w14:paraId="3786AD4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 1 мая 1940 года.</w:t>
      </w:r>
    </w:p>
    <w:p w14:paraId="44B1FB3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 1 сентября 1940 года.</w:t>
      </w:r>
    </w:p>
    <w:p w14:paraId="7AFF744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Разработать и изготовить 2-х ступенчатый нагнетатель (Э-100) к мотору М-105 для повышения высотности до 9500 м при мощности 940 л.с.</w:t>
      </w:r>
    </w:p>
    <w:p w14:paraId="351D897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Совместные испытания 1 сентября 1940 года.</w:t>
      </w:r>
    </w:p>
    <w:p w14:paraId="492F457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Повысить мощность и экономичность мотора М-105 за счет непосредственного впрыска.</w:t>
      </w:r>
    </w:p>
    <w:p w14:paraId="3588B8A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Совместные испытания 15 августа 1940 года.</w:t>
      </w:r>
    </w:p>
    <w:p w14:paraId="5920B10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повышения высотности мотора М-107 изготовить 3-х скоростной одноступенчатый нагнетатель.</w:t>
      </w:r>
    </w:p>
    <w:p w14:paraId="5633B1D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Дать рабочие чертежи заводу № 26 к 1 июля 1940 года (4048, 4).</w:t>
      </w:r>
    </w:p>
    <w:p w14:paraId="183A07E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54D11D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вышло постановление КО № 229сс</w:t>
      </w:r>
    </w:p>
    <w:p w14:paraId="78B31DE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Конструктору Колосову, завод № 16. Изготовить многоблочный 24-х цилиндровый мотор М-250 с редуктором на соосные винты.</w:t>
      </w:r>
    </w:p>
    <w:p w14:paraId="0A901AB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2270 л.с.</w:t>
      </w:r>
    </w:p>
    <w:p w14:paraId="555D9DA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1900 л.с. на высоте 10000 м.</w:t>
      </w:r>
    </w:p>
    <w:p w14:paraId="0375A18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50-часовые совместные испытания 1 января 1941 года.</w:t>
      </w:r>
    </w:p>
    <w:p w14:paraId="52C18E2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100-часовые гос. испытания 1 июня 1941 года.</w:t>
      </w:r>
    </w:p>
    <w:p w14:paraId="66785D0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первые 5 моторов 1 сентября 1940 года (4048, 4).</w:t>
      </w:r>
    </w:p>
    <w:p w14:paraId="3295484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402C6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постановление № 229сс КО</w:t>
      </w:r>
    </w:p>
    <w:p w14:paraId="197B71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постройке новых авиационных моторов на заводе № 16 НКАП</w:t>
      </w:r>
    </w:p>
    <w:p w14:paraId="2FB521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52D34FF7" w14:textId="77777777" w:rsidR="00A25AD1" w:rsidRPr="00DB5D0D" w:rsidRDefault="00A25AD1" w:rsidP="00DB5D0D">
      <w:pPr>
        <w:pStyle w:val="24"/>
        <w:widowControl/>
        <w:tabs>
          <w:tab w:val="left" w:pos="360"/>
        </w:tabs>
        <w:rPr>
          <w:color w:val="000000" w:themeColor="text1"/>
        </w:rPr>
      </w:pPr>
      <w:r w:rsidRPr="00DB5D0D">
        <w:rPr>
          <w:color w:val="000000" w:themeColor="text1"/>
        </w:rPr>
        <w:t>1. Обязать НКАП (директора завода № 16 Сухорукова и гл. конструктора Колосова) обеспечить изготовление и проведение испытаний новых и модифицированных моторов в следующие сроки:</w:t>
      </w:r>
    </w:p>
    <w:p w14:paraId="0FAFAB79" w14:textId="77777777" w:rsidR="00A25AD1" w:rsidRPr="00DB5D0D" w:rsidRDefault="00A25AD1" w:rsidP="00DB5D0D">
      <w:pPr>
        <w:pStyle w:val="24"/>
        <w:widowControl/>
        <w:tabs>
          <w:tab w:val="left" w:pos="360"/>
        </w:tabs>
        <w:rPr>
          <w:color w:val="000000" w:themeColor="text1"/>
        </w:rPr>
      </w:pPr>
      <w:r w:rsidRPr="00DB5D0D">
        <w:rPr>
          <w:color w:val="000000" w:themeColor="text1"/>
        </w:rPr>
        <w:t>1) Мотор М-250 (новый 6-ти блочный, 24 цилиндровый мотор водяного охлаждения с трехскоростным нагнетателем и редуктором на соосные винты; взлетная мощность – 2270 л.с., номинальная мощность на расчетной высоте - 1900 л.с., расчетная высота – 10000 м при октановом числе топлива не выше – 95):</w:t>
      </w:r>
    </w:p>
    <w:p w14:paraId="6151F448" w14:textId="77777777" w:rsidR="00A25AD1" w:rsidRPr="00DB5D0D" w:rsidRDefault="00A25AD1" w:rsidP="00DB5D0D">
      <w:pPr>
        <w:pStyle w:val="24"/>
        <w:widowControl/>
        <w:rPr>
          <w:color w:val="000000" w:themeColor="text1"/>
        </w:rPr>
      </w:pPr>
      <w:r w:rsidRPr="00DB5D0D">
        <w:rPr>
          <w:color w:val="000000" w:themeColor="text1"/>
        </w:rPr>
        <w:t>а) изготовить первые 5 моторов к 1 сентября 1940 года;</w:t>
      </w:r>
    </w:p>
    <w:p w14:paraId="201558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довести ресурс надежной работы мотора М-250 до 50-ти часов и провести его 50-часовые совместные (НКО и НКАП) испытания к 1 января 1941 года;</w:t>
      </w:r>
    </w:p>
    <w:p w14:paraId="6DE7973E" w14:textId="77777777" w:rsidR="00A25AD1" w:rsidRPr="00DB5D0D" w:rsidRDefault="00A25AD1" w:rsidP="00DB5D0D">
      <w:pPr>
        <w:pStyle w:val="24"/>
        <w:widowControl/>
        <w:rPr>
          <w:color w:val="000000" w:themeColor="text1"/>
        </w:rPr>
      </w:pPr>
      <w:r w:rsidRPr="00DB5D0D">
        <w:rPr>
          <w:color w:val="000000" w:themeColor="text1"/>
        </w:rPr>
        <w:t>в) довести ресурс надежной работы мотора М-250 до 100 часов и провести его 100-часовые госиспытания к 1 июня 1941 года.</w:t>
      </w:r>
    </w:p>
    <w:p w14:paraId="68A2195C" w14:textId="77777777" w:rsidR="00A25AD1" w:rsidRPr="00DB5D0D" w:rsidRDefault="00A25AD1" w:rsidP="00DB5D0D">
      <w:pPr>
        <w:pStyle w:val="24"/>
        <w:widowControl/>
        <w:tabs>
          <w:tab w:val="left" w:pos="360"/>
        </w:tabs>
        <w:rPr>
          <w:color w:val="000000" w:themeColor="text1"/>
        </w:rPr>
      </w:pPr>
      <w:r w:rsidRPr="00DB5D0D">
        <w:rPr>
          <w:color w:val="000000" w:themeColor="text1"/>
        </w:rPr>
        <w:t>2) Мотор М-12Р (модификация мотора МВ-12 с редуктором; взлетная мощность – 750 л.с., номинальная мощность на расчетной высоте - 700 л.с., расчетная высота – 4000 м при октановом числе топлива не выше – 95). Изготовить опытные образцы и закончить заводские испытания к 1 декабря 1940 года (7611, 64-65).</w:t>
      </w:r>
    </w:p>
    <w:p w14:paraId="2DB3D7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Отпустить из резервного фонда СНК под отчет в распоряжение НКАП для премирования ИТР, рабочих и служащих завода № 16 в соответствии с Положением о премировании за создание мотора М-250 в установленные сроки.</w:t>
      </w:r>
    </w:p>
    <w:p w14:paraId="6767FD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представить отчет об израсходовании премиальных сумм в КО к 20 января 1941 г. (10395).</w:t>
      </w:r>
    </w:p>
    <w:p w14:paraId="1B7C6A8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F10C2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вышло постановление КО N 229 "О постройке новых авиамоторов на заводе 16", поручившее Колосову на 16 заводе изготовить многоблочный мотор М-250 с редуктором и 50 часовые совместные хотели сделать к 01.01.1941 и 100 часовые к 01.04.1941 (822).</w:t>
      </w:r>
    </w:p>
    <w:p w14:paraId="10F2096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5E83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вышел приказ НКАП N 230с о подготовке аэродромов НКАП к производству полетов на колесах в зимнее время (1163);</w:t>
      </w:r>
    </w:p>
    <w:p w14:paraId="34F0B7A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C2AB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на заводе 36 состоялось аналогичное совещание, на котором были утверждены "в качестве эталонов нитропокрытий (аэролак 11-го покрытия) по ткани и древесине: светло-зеленый и светло-голубой." Однако в качестве эталона для опытной окраски самолетов был принят более темный цвет, аналогичный эталону эмалевой краски для металла. Три тонны такого аэролака должны были не позднее 3 июня передать заводу 1 для окраски 10 -15 самолетов. И снова повторялось: "Считать необходимым срочно приступить к разработке методов камуфляжной окраски при нитропокрытиях и последующему освоению соответствующих аэролаков на производстве" (2771,19).</w:t>
      </w:r>
    </w:p>
    <w:p w14:paraId="743E31A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38B5F7" w14:textId="77777777" w:rsidR="00CE65B0" w:rsidRPr="00DB5D0D" w:rsidRDefault="00CE65B0" w:rsidP="00DB5D0D">
      <w:pPr>
        <w:spacing w:after="0" w:line="240" w:lineRule="auto"/>
        <w:jc w:val="both"/>
        <w:rPr>
          <w:rStyle w:val="750"/>
          <w:rFonts w:ascii="Times New Roman" w:hAnsi="Times New Roman" w:cs="Times New Roman"/>
          <w:color w:val="0070C0"/>
          <w:sz w:val="16"/>
          <w:szCs w:val="16"/>
        </w:rPr>
      </w:pPr>
      <w:r w:rsidRPr="00DB5D0D">
        <w:rPr>
          <w:rStyle w:val="750"/>
          <w:rFonts w:ascii="Times New Roman" w:hAnsi="Times New Roman" w:cs="Times New Roman"/>
          <w:color w:val="0070C0"/>
          <w:sz w:val="16"/>
          <w:szCs w:val="16"/>
        </w:rPr>
        <w:t>С 25 мая 1940 года, согласно принятому 23.05.1940 года постановле</w:t>
      </w:r>
      <w:r w:rsidRPr="00DB5D0D">
        <w:rPr>
          <w:rStyle w:val="750"/>
          <w:rFonts w:ascii="Times New Roman" w:hAnsi="Times New Roman" w:cs="Times New Roman"/>
          <w:color w:val="0070C0"/>
          <w:sz w:val="16"/>
          <w:szCs w:val="16"/>
        </w:rPr>
        <w:softHyphen/>
        <w:t>нию комитета обороны СССР №220сс и приказу НКАП №228с от того же числа выпускавшиеся самолеты ВВС КА, надле</w:t>
      </w:r>
      <w:r w:rsidRPr="00DB5D0D">
        <w:rPr>
          <w:rStyle w:val="750"/>
          <w:rFonts w:ascii="Times New Roman" w:hAnsi="Times New Roman" w:cs="Times New Roman"/>
          <w:color w:val="0070C0"/>
          <w:sz w:val="16"/>
          <w:szCs w:val="16"/>
        </w:rPr>
        <w:softHyphen/>
        <w:t>жало окрашивать двумя цветами: верх - зеле</w:t>
      </w:r>
      <w:r w:rsidRPr="00DB5D0D">
        <w:rPr>
          <w:rStyle w:val="750"/>
          <w:rFonts w:ascii="Times New Roman" w:hAnsi="Times New Roman" w:cs="Times New Roman"/>
          <w:color w:val="0070C0"/>
          <w:sz w:val="16"/>
          <w:szCs w:val="16"/>
        </w:rPr>
        <w:softHyphen/>
        <w:t xml:space="preserve">ным, низ - голубым, окраски другими цветами запрещались. Для деревянных и перкалевых поверхностей предназначался аэролак </w:t>
      </w:r>
      <w:r w:rsidRPr="00DB5D0D">
        <w:rPr>
          <w:rStyle w:val="750"/>
          <w:rFonts w:ascii="Times New Roman" w:hAnsi="Times New Roman" w:cs="Times New Roman"/>
          <w:color w:val="0070C0"/>
          <w:sz w:val="16"/>
          <w:szCs w:val="16"/>
          <w:lang w:val="en-US"/>
        </w:rPr>
        <w:t>A</w:t>
      </w:r>
      <w:r w:rsidRPr="00DB5D0D">
        <w:rPr>
          <w:rStyle w:val="750"/>
          <w:rFonts w:ascii="Times New Roman" w:hAnsi="Times New Roman" w:cs="Times New Roman"/>
          <w:color w:val="0070C0"/>
          <w:sz w:val="16"/>
          <w:szCs w:val="16"/>
        </w:rPr>
        <w:t>11 (защитного зеленого и светло-голубого цве</w:t>
      </w:r>
      <w:r w:rsidRPr="00DB5D0D">
        <w:rPr>
          <w:rStyle w:val="750"/>
          <w:rFonts w:ascii="Times New Roman" w:hAnsi="Times New Roman" w:cs="Times New Roman"/>
          <w:color w:val="0070C0"/>
          <w:sz w:val="16"/>
          <w:szCs w:val="16"/>
        </w:rPr>
        <w:softHyphen/>
        <w:t>тов), а для металлических глифталевые эмали: светло-зеленая А-19ф, и светло-голубая А- 18ф. Опознавательные знаки оставались, как и ранее, в шести позициях. Заводы, ранее выпус</w:t>
      </w:r>
      <w:r w:rsidRPr="00DB5D0D">
        <w:rPr>
          <w:rStyle w:val="750"/>
          <w:rFonts w:ascii="Times New Roman" w:hAnsi="Times New Roman" w:cs="Times New Roman"/>
          <w:color w:val="0070C0"/>
          <w:sz w:val="16"/>
          <w:szCs w:val="16"/>
        </w:rPr>
        <w:softHyphen/>
        <w:t>кавшие окрашенные в благородные оттенки серебра самолеты, перешли к зелено-голубой палитре, однако в строевых частях машины оставались окрашенными в свои первоначаль</w:t>
      </w:r>
      <w:r w:rsidRPr="00DB5D0D">
        <w:rPr>
          <w:rStyle w:val="750"/>
          <w:rFonts w:ascii="Times New Roman" w:hAnsi="Times New Roman" w:cs="Times New Roman"/>
          <w:color w:val="0070C0"/>
          <w:sz w:val="16"/>
          <w:szCs w:val="16"/>
        </w:rPr>
        <w:softHyphen/>
        <w:t>ные цвета. Исключения составляли лишь самолеты, прошедшие заводской ремонт, в ходе которого они перекрашивались по новой схеме, ну и, кроме того, в некоторых полках, серебристо-серые самолеты стали покрывать мелкими пятнами и разводами зеленого цвета, на манер камуфляжа, использованного во время боев у реки Халхин-Гол летом 1939 года. Очевидно, жестких требований привести все самолеты ВВС к единому виду не существова</w:t>
      </w:r>
      <w:r w:rsidRPr="00DB5D0D">
        <w:rPr>
          <w:rStyle w:val="750"/>
          <w:rFonts w:ascii="Times New Roman" w:hAnsi="Times New Roman" w:cs="Times New Roman"/>
          <w:color w:val="0070C0"/>
          <w:sz w:val="16"/>
          <w:szCs w:val="16"/>
        </w:rPr>
        <w:softHyphen/>
        <w:t>ло, поэтому, как правило, в одном полку могли быть как покрашенные на заводе или после ремонта по «новому» зелено-голубому стан</w:t>
      </w:r>
      <w:r w:rsidRPr="00DB5D0D">
        <w:rPr>
          <w:rStyle w:val="750"/>
          <w:rFonts w:ascii="Times New Roman" w:hAnsi="Times New Roman" w:cs="Times New Roman"/>
          <w:color w:val="0070C0"/>
          <w:sz w:val="16"/>
          <w:szCs w:val="16"/>
        </w:rPr>
        <w:softHyphen/>
        <w:t>дарту машины, так и по импровизированной «халхин-гольской схеме» или вовсе оставшие</w:t>
      </w:r>
      <w:r w:rsidRPr="00DB5D0D">
        <w:rPr>
          <w:rStyle w:val="750"/>
          <w:rFonts w:ascii="Times New Roman" w:hAnsi="Times New Roman" w:cs="Times New Roman"/>
          <w:color w:val="0070C0"/>
          <w:sz w:val="16"/>
          <w:szCs w:val="16"/>
        </w:rPr>
        <w:softHyphen/>
        <w:t>ся в «старой» светло-серой или серебристой (алюминиевой) окраске.</w:t>
      </w:r>
    </w:p>
    <w:p w14:paraId="79A9C23B" w14:textId="77777777" w:rsidR="00CE65B0" w:rsidRPr="00DB5D0D" w:rsidRDefault="00CE65B0" w:rsidP="00DB5D0D">
      <w:pPr>
        <w:spacing w:after="0" w:line="240" w:lineRule="auto"/>
        <w:jc w:val="both"/>
        <w:rPr>
          <w:rStyle w:val="750"/>
          <w:rFonts w:ascii="Times New Roman" w:hAnsi="Times New Roman" w:cs="Times New Roman"/>
          <w:color w:val="0070C0"/>
          <w:sz w:val="16"/>
          <w:szCs w:val="16"/>
        </w:rPr>
      </w:pPr>
      <w:r w:rsidRPr="00DB5D0D">
        <w:rPr>
          <w:rStyle w:val="750"/>
          <w:rFonts w:ascii="Times New Roman" w:hAnsi="Times New Roman" w:cs="Times New Roman"/>
          <w:color w:val="0070C0"/>
          <w:sz w:val="16"/>
          <w:szCs w:val="16"/>
        </w:rPr>
        <w:t>Интересно, что существовал и обратный процесс, так в 1940 году И-16 и И-15бис Среднеазиатского военного округа, изна</w:t>
      </w:r>
      <w:r w:rsidRPr="00DB5D0D">
        <w:rPr>
          <w:rStyle w:val="750"/>
          <w:rFonts w:ascii="Times New Roman" w:hAnsi="Times New Roman" w:cs="Times New Roman"/>
          <w:color w:val="0070C0"/>
          <w:sz w:val="16"/>
          <w:szCs w:val="16"/>
        </w:rPr>
        <w:softHyphen/>
        <w:t>чально окрашенные стандартными аэролака</w:t>
      </w:r>
      <w:r w:rsidRPr="00DB5D0D">
        <w:rPr>
          <w:rStyle w:val="750"/>
          <w:rFonts w:ascii="Times New Roman" w:hAnsi="Times New Roman" w:cs="Times New Roman"/>
          <w:color w:val="0070C0"/>
          <w:sz w:val="16"/>
          <w:szCs w:val="16"/>
        </w:rPr>
        <w:softHyphen/>
        <w:t xml:space="preserve">ми </w:t>
      </w:r>
      <w:r w:rsidRPr="00DB5D0D">
        <w:rPr>
          <w:rStyle w:val="750"/>
          <w:rFonts w:ascii="Times New Roman" w:hAnsi="Times New Roman" w:cs="Times New Roman"/>
          <w:color w:val="0070C0"/>
          <w:sz w:val="16"/>
          <w:szCs w:val="16"/>
          <w:lang w:val="en-US"/>
        </w:rPr>
        <w:t>AII</w:t>
      </w:r>
      <w:r w:rsidRPr="00DB5D0D">
        <w:rPr>
          <w:rStyle w:val="750"/>
          <w:rFonts w:ascii="Times New Roman" w:hAnsi="Times New Roman" w:cs="Times New Roman"/>
          <w:color w:val="0070C0"/>
          <w:sz w:val="16"/>
          <w:szCs w:val="16"/>
        </w:rPr>
        <w:t xml:space="preserve"> «защитный» (зеленым) и </w:t>
      </w:r>
      <w:r w:rsidRPr="00DB5D0D">
        <w:rPr>
          <w:rStyle w:val="750"/>
          <w:rFonts w:ascii="Times New Roman" w:hAnsi="Times New Roman" w:cs="Times New Roman"/>
          <w:color w:val="0070C0"/>
          <w:sz w:val="16"/>
          <w:szCs w:val="16"/>
          <w:lang w:val="en-US"/>
        </w:rPr>
        <w:t>AII</w:t>
      </w:r>
      <w:r w:rsidRPr="00DB5D0D">
        <w:rPr>
          <w:rStyle w:val="750"/>
          <w:rFonts w:ascii="Times New Roman" w:hAnsi="Times New Roman" w:cs="Times New Roman"/>
          <w:color w:val="0070C0"/>
          <w:sz w:val="16"/>
          <w:szCs w:val="16"/>
        </w:rPr>
        <w:t xml:space="preserve"> «светло- голубой», непосредственно в частях пере</w:t>
      </w:r>
      <w:r w:rsidRPr="00DB5D0D">
        <w:rPr>
          <w:rStyle w:val="750"/>
          <w:rFonts w:ascii="Times New Roman" w:hAnsi="Times New Roman" w:cs="Times New Roman"/>
          <w:color w:val="0070C0"/>
          <w:sz w:val="16"/>
          <w:szCs w:val="16"/>
        </w:rPr>
        <w:softHyphen/>
        <w:t>крашивали в серебристый (алюминиевый) А</w:t>
      </w:r>
      <w:r w:rsidRPr="00DB5D0D">
        <w:rPr>
          <w:rStyle w:val="761"/>
          <w:rFonts w:ascii="Times New Roman" w:hAnsi="Times New Roman" w:cs="Times New Roman"/>
          <w:color w:val="0070C0"/>
          <w:sz w:val="16"/>
          <w:szCs w:val="16"/>
          <w:lang w:val="ru"/>
        </w:rPr>
        <w:t>П</w:t>
      </w:r>
      <w:r w:rsidRPr="00DB5D0D">
        <w:rPr>
          <w:rStyle w:val="750"/>
          <w:rFonts w:ascii="Times New Roman" w:hAnsi="Times New Roman" w:cs="Times New Roman"/>
          <w:color w:val="0070C0"/>
          <w:sz w:val="16"/>
          <w:szCs w:val="16"/>
        </w:rPr>
        <w:t>ал. С чем это было связано, установить точно не удалось, но, вероятно, в серебри</w:t>
      </w:r>
      <w:r w:rsidRPr="00DB5D0D">
        <w:rPr>
          <w:rStyle w:val="750"/>
          <w:rFonts w:ascii="Times New Roman" w:hAnsi="Times New Roman" w:cs="Times New Roman"/>
          <w:color w:val="0070C0"/>
          <w:sz w:val="16"/>
          <w:szCs w:val="16"/>
        </w:rPr>
        <w:softHyphen/>
        <w:t>стый цвет самолеты перекрашивали ради меньшего нагрева на солнце (19910).</w:t>
      </w:r>
    </w:p>
    <w:p w14:paraId="008D5B3B" w14:textId="77777777" w:rsidR="00CE65B0" w:rsidRPr="00DB5D0D" w:rsidRDefault="00CE65B0" w:rsidP="00DB5D0D">
      <w:pPr>
        <w:spacing w:after="0" w:line="240" w:lineRule="auto"/>
        <w:jc w:val="both"/>
        <w:rPr>
          <w:rFonts w:ascii="Times New Roman" w:hAnsi="Times New Roman"/>
          <w:color w:val="0070C0"/>
          <w:sz w:val="16"/>
          <w:szCs w:val="16"/>
        </w:rPr>
      </w:pPr>
    </w:p>
    <w:p w14:paraId="11038D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Нарком обороны С.К.Тимошенко писал в КО, что АП заложила в цены накладные расходы на уровне 200-500% к фонду ЗП и пытается списать на заказчика 105 млн. брака (1566,130).</w:t>
      </w:r>
    </w:p>
    <w:p w14:paraId="50477E0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1BB67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прика</w:t>
      </w:r>
      <w:r w:rsidRPr="00DB5D0D">
        <w:rPr>
          <w:rFonts w:ascii="Times New Roman" w:hAnsi="Times New Roman"/>
          <w:color w:val="000000" w:themeColor="text1"/>
          <w:sz w:val="16"/>
          <w:szCs w:val="16"/>
        </w:rPr>
        <w:softHyphen/>
        <w:t>зом НКО № 099 принят на вооружение ВВС К.А. разработанный в 1940 году и испытанный в боевых условиях /против белофиннов/ простейший коллиматорный прицел для бомбометания "НКПБ-3", который был установлен на валовое произ</w:t>
      </w:r>
      <w:r w:rsidRPr="00DB5D0D">
        <w:rPr>
          <w:rFonts w:ascii="Times New Roman" w:hAnsi="Times New Roman"/>
          <w:color w:val="000000" w:themeColor="text1"/>
          <w:sz w:val="16"/>
          <w:szCs w:val="16"/>
        </w:rPr>
        <w:softHyphen/>
        <w:t>водство (4156,19).</w:t>
      </w:r>
    </w:p>
    <w:p w14:paraId="6D6C5B1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F09D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25 мая по 11 июня 1940 года на НИП АВ ГУАС проходили контрольные испытания двух вариантов ампул (АЖ-2) фосфорной и канифольной пайки конструкции завода № 67</w:t>
      </w:r>
    </w:p>
    <w:p w14:paraId="59D592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71661C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75716B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B37A8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контрольных испытаний ампул АЖ-2 являлось определение следующих элементов:</w:t>
      </w:r>
    </w:p>
    <w:p w14:paraId="414C3EE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Прочность конструкции.</w:t>
      </w:r>
    </w:p>
    <w:p w14:paraId="2516737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разрушения оболочки ампул при встрече с преградой.</w:t>
      </w:r>
    </w:p>
    <w:p w14:paraId="6958A1F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импрегнированных прокладок (колец) против БВХ.</w:t>
      </w:r>
    </w:p>
    <w:p w14:paraId="084AD6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A10EEF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на контрольные испытания заводом № 67 ампулы двух вариантов, фосфорной и канифольной пайки, контрольные испытания выдержали (7822).</w:t>
      </w:r>
    </w:p>
    <w:p w14:paraId="36AB30C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607AEF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25 мая 1940 экспертная комиссия представила свое заключение на 14 листах. По некоторым пунктам между членами комиссии возникли разногласия. Так, организацию работ Королевым по ряду объектов Е.С. Щетинков и М.С. Кисенко сочли правильной, в то время как Ф.Н. Пойда придерживался противоположной точки зрения. В своем «Особом мнении» он написал: </w:t>
      </w:r>
    </w:p>
    <w:p w14:paraId="6747A2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 отделе — группе Королева должной научно-исследовательской работы не производилось; </w:t>
      </w:r>
    </w:p>
    <w:p w14:paraId="423F0A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Сам Королев конкретной научно-исследовательской работы не вел; 3. Работа над объектом «Полет человека на планере» не имела достаточной технической базы и рассчитана была лишь на внешний эффект, а средства на эту работу были затрачены напрасно». </w:t>
      </w:r>
    </w:p>
    <w:p w14:paraId="07833F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противоположность Ф.Н. Пойды Е.С. Щетинков и М.С. Кисенко представили свое «Особое мнение» по конкретной работе, касающейся разработки пороховой крылатой торпеды (объект 217). Они подчеркнули, что эта работа была завершена и принята представителями Центральной лаборатории проводной связи. Тем самым свои обязательства по договору институт выполнил уже в конце 1936 г. Написали также, что создание ракет требует продолжительных исследований и экспериментов, при этом небольшие аварии неизбежны. Далее Е.С. Щетинков представил свое «Особое мнение» по разработке крылатой торпеды (объект 216), подчеркнув, что «были получены экспериментальные материалы, необходимые для дальнейшей разработки торпед», и что неполадки, имевшие место в работе Королева, нельзя считать умышленными. </w:t>
      </w:r>
    </w:p>
    <w:p w14:paraId="51343B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окончании работы комиссии Королеву представили ее заключение, и 28 мая он был вызван на очередной допрос для изложения своего мнения по этому поводу. Отец заявил, что с некоторыми выводами экспертов согласиться не может и дал соответствующие пояснения (11837).</w:t>
      </w:r>
    </w:p>
    <w:p w14:paraId="5BD2BA0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388BD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A58BDE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978F1E5" w14:textId="77777777" w:rsidR="0013421D" w:rsidRPr="00DB5D0D" w:rsidRDefault="001342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в записке Наркома обороны СССР С. К. Тимошенко в Комитет Обороны, например, сообщается, что в результате проверки калькуляции себестоимости и пересмотра оптовых цен на заказы по артиллерии на предприятиях Наркомата Вооружения ГУАС КА добился экономии в размере более 1,5 млрд. руб.  «Однако, – отмечает он, – этот результат далеко еще не является предельным, так как процент накладных расходов и брака в принятых на 1940 г. отпускных ценах продолжает оставаться чрезвычайно высоким».</w:t>
      </w:r>
    </w:p>
    <w:p w14:paraId="0FE4CEE3" w14:textId="77777777" w:rsidR="0013421D" w:rsidRPr="00DB5D0D" w:rsidRDefault="001342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Наибольшие претензии Тимошенко предъявляет к авиационной промышленности, которая, по его словам, заложила в оптовые цены чрезмерные накладные расходы (от 200 до 500 процентов) к фонду заработной платы и попыталась списать на заказчика не менее 105 млн. руб. бракованной продукции (18676).</w:t>
      </w:r>
    </w:p>
    <w:p w14:paraId="57E19522" w14:textId="77777777" w:rsidR="0013421D" w:rsidRPr="00DB5D0D" w:rsidRDefault="0013421D" w:rsidP="00DB5D0D">
      <w:pPr>
        <w:spacing w:after="0" w:line="240" w:lineRule="auto"/>
        <w:jc w:val="both"/>
        <w:rPr>
          <w:rFonts w:ascii="Times New Roman" w:hAnsi="Times New Roman"/>
          <w:color w:val="000000" w:themeColor="text1"/>
          <w:sz w:val="16"/>
          <w:szCs w:val="16"/>
        </w:rPr>
      </w:pPr>
    </w:p>
    <w:p w14:paraId="04231B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 НИЗАП закончились полигонные испытания опытного образца зенитного 25 мм автомата ЗИК-25 (72-К) 8 завода, которые шли с 15 апреля 1940. Сделали 2992 выстрела и проехали 1500 км. Решили, что в основном не отличается от 61-К. В 1940 приняли на вооружение (1116,56).</w:t>
      </w:r>
    </w:p>
    <w:p w14:paraId="51EEA19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BA5C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100-мм зенитная пушка 73-К была отправлена с завода № 8 на НИЗАП. Вместе с орудием дополнительно прибыли две свободные трубы: № 5-18272 (с мелкой нарезкой) и № 2-18273 (с углубленной нарезкой). Система не имела принимающих приборов, моторов ССП и АУТ.</w:t>
      </w:r>
    </w:p>
    <w:p w14:paraId="6A85EA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Тело орудия состоит из свободной трубы, кожуха, казенника и дульного тормоза. Первые две трубы были с мелкой, а третья с глубокой нарезкой. Смета трубы производилось без свинчивания казенника.</w:t>
      </w:r>
    </w:p>
    <w:p w14:paraId="2E9070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Затвор вертикальный клиновой с полуавтоматикой механического типа.</w:t>
      </w:r>
    </w:p>
    <w:p w14:paraId="762AC3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Досылатель механического типа.</w:t>
      </w:r>
    </w:p>
    <w:p w14:paraId="619F09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Тормоз отката гидравлический веретенного типа с модератором наката и с компенсатором. Для отката постоянная. Накатник гидропневматический с регулировкой в зависимости от угла возвышения (по типу 76-мм зенитной пушки обр. 1931 г.). В противооткатных устройствах залита глицериновая смесь.</w:t>
      </w:r>
    </w:p>
    <w:p w14:paraId="2D478D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Проектом были предусмотрены ССП и АУТ, но на испытания они не поступали. Пушка испытывалась только с ручными приводами, имевшими по две скорости наведения. По заводским данным скорость вертикального наведения 3 и 5 град/с, а горизонтального 6 и 12 град/с при 2-х оборотах штурвала в минуту.</w:t>
      </w:r>
    </w:p>
    <w:p w14:paraId="2D0F68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Подъемный механизм имел один зубчатый сектор.</w:t>
      </w:r>
    </w:p>
    <w:p w14:paraId="433BA6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Уравновешивающий механизм пружинного типа.</w:t>
      </w:r>
    </w:p>
    <w:p w14:paraId="6266A8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Лафет имеет литое основание и сварную верхнюю часть. Станок своим кольцевым выступом ложится на шары повозки и к последней крепится захватом.</w:t>
      </w:r>
    </w:p>
    <w:p w14:paraId="176073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погоне имеется 66 шаров.</w:t>
      </w:r>
    </w:p>
    <w:p w14:paraId="6A4BDE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по трубкам ВМ-2 и Т-3 12 км.</w:t>
      </w:r>
    </w:p>
    <w:p w14:paraId="7B9577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Первоначальная длина гильзы 646 мм, а по приказу наркома вооружения от 17 октября 1940 года должна быть 681 мм (3861).</w:t>
      </w:r>
    </w:p>
    <w:p w14:paraId="3005DAA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A164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в записке Наркома обороны СССР С.К.Тимошенко в Комитет Обороны сообщается, что в резуль</w:t>
      </w:r>
      <w:r w:rsidRPr="00DB5D0D">
        <w:rPr>
          <w:rFonts w:ascii="Times New Roman" w:hAnsi="Times New Roman"/>
          <w:color w:val="000000" w:themeColor="text1"/>
          <w:sz w:val="16"/>
          <w:szCs w:val="16"/>
        </w:rPr>
        <w:softHyphen/>
        <w:t>тате проверки калькуляции себестоимости и пересмотра оптовых цен на заказы по артиллерии на предприятиях Наркомата Воору</w:t>
      </w:r>
      <w:r w:rsidRPr="00DB5D0D">
        <w:rPr>
          <w:rFonts w:ascii="Times New Roman" w:hAnsi="Times New Roman"/>
          <w:color w:val="000000" w:themeColor="text1"/>
          <w:sz w:val="16"/>
          <w:szCs w:val="16"/>
        </w:rPr>
        <w:softHyphen/>
        <w:t>жения ГУАС КА добился экономии в размере более 1,5 млд. руб. «Однако, — отмечает он, — этот результат далеко еще не явля</w:t>
      </w:r>
      <w:r w:rsidRPr="00DB5D0D">
        <w:rPr>
          <w:rFonts w:ascii="Times New Roman" w:hAnsi="Times New Roman"/>
          <w:color w:val="000000" w:themeColor="text1"/>
          <w:sz w:val="16"/>
          <w:szCs w:val="16"/>
        </w:rPr>
        <w:softHyphen/>
        <w:t>ется предельным, так как процент накладных расходов и брака в принятых на 1940 г. отпускных ценах продолжает оставаться чрезвычайно высоким». Наибольшие претензии Тимошенко предъявляет к авиационной промышленности, которая, по его словам, заложила в оптовые цены чрезмерные накладные расхо</w:t>
      </w:r>
      <w:r w:rsidRPr="00DB5D0D">
        <w:rPr>
          <w:rFonts w:ascii="Times New Roman" w:hAnsi="Times New Roman"/>
          <w:color w:val="000000" w:themeColor="text1"/>
          <w:sz w:val="16"/>
          <w:szCs w:val="16"/>
        </w:rPr>
        <w:softHyphen/>
        <w:t>ды (от 200 до 500 процентов) к фонду заработной платы и по</w:t>
      </w:r>
      <w:r w:rsidRPr="00DB5D0D">
        <w:rPr>
          <w:rFonts w:ascii="Times New Roman" w:hAnsi="Times New Roman"/>
          <w:color w:val="000000" w:themeColor="text1"/>
          <w:sz w:val="16"/>
          <w:szCs w:val="16"/>
        </w:rPr>
        <w:softHyphen/>
        <w:t>пыталась списать на заказчика не менее 105 млн. руб. бракован</w:t>
      </w:r>
      <w:r w:rsidRPr="00DB5D0D">
        <w:rPr>
          <w:rFonts w:ascii="Times New Roman" w:hAnsi="Times New Roman"/>
          <w:color w:val="000000" w:themeColor="text1"/>
          <w:sz w:val="16"/>
          <w:szCs w:val="16"/>
        </w:rPr>
        <w:softHyphen/>
        <w:t>ной продукции (ГАРФ ф 8418, оп. 24 д. 1449, л. 49) (1566,129).</w:t>
      </w:r>
    </w:p>
    <w:p w14:paraId="29A002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A9D6CC1"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25 мая 1940 г. </w:t>
      </w:r>
      <w:hyperlink r:id="rId50" w:tgtFrame="_blank" w:history="1">
        <w:r w:rsidRPr="00DB5D0D">
          <w:rPr>
            <w:rStyle w:val="a5"/>
            <w:rFonts w:ascii="Times New Roman" w:hAnsi="Times New Roman"/>
            <w:color w:val="000000" w:themeColor="text1"/>
            <w:sz w:val="16"/>
            <w:szCs w:val="16"/>
          </w:rPr>
          <w:t>Письмо № 16495сс</w:t>
        </w:r>
      </w:hyperlink>
      <w:r w:rsidRPr="00DB5D0D">
        <w:rPr>
          <w:rFonts w:ascii="Times New Roman" w:hAnsi="Times New Roman"/>
          <w:color w:val="000000" w:themeColor="text1"/>
          <w:sz w:val="16"/>
          <w:szCs w:val="16"/>
        </w:rPr>
        <w:t xml:space="preserve"> на имя К.Е. Ворошилова с просьбой о передаче опытных образцов танков А-20, Т-100, СМК и бронеавтомобиля ЛБ-23 на НИ Полигон АБТУ РККА, подписанное С.К. Тимошенко, а также проект постановления из Управления делами НКО были отправлены в Комитет Обороны при СНК СССР. Однако вопрос о внесении поправок в Постановление № 191сс Комитетом Обороны так и не был решен (17625). </w:t>
      </w:r>
    </w:p>
    <w:p w14:paraId="04621177"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p>
    <w:p w14:paraId="4144C4B1"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25 мая 1940 г. </w:t>
      </w:r>
    </w:p>
    <w:p w14:paraId="063A9890"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СОВЕРШЕННО СЕКРЕТНО. </w:t>
      </w:r>
    </w:p>
    <w:p w14:paraId="10FB931F"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2 </w:t>
      </w:r>
    </w:p>
    <w:p w14:paraId="1E47D8B1"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25 мая 1940 г. </w:t>
      </w:r>
    </w:p>
    <w:p w14:paraId="4550BC44"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16495сс </w:t>
      </w:r>
    </w:p>
    <w:p w14:paraId="45535EDC"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ПРЕДСЕДАТЕЛЮ КОМИТЕТА ОБОРОНЫ</w:t>
      </w:r>
    </w:p>
    <w:p w14:paraId="2A6AF5D0"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МАРШАЛУ СОВЕТСКОГО СОЮЗА</w:t>
      </w:r>
    </w:p>
    <w:p w14:paraId="646508DF"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тов. ВОРОШИЛОВУ К.Е.</w:t>
      </w:r>
    </w:p>
    <w:p w14:paraId="13124AD3"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Постановлением Комитета Обороны № 191сс от 4.V.40 г. принято решение: опытные образцы танков "А-20", "100", "СМК" и бронеавтомобиля "ЛБ-23" со всеми чертежами и техническими условиями сохранить на заводах № 183, № 185, Кировском и ДРО. </w:t>
      </w:r>
    </w:p>
    <w:p w14:paraId="3FCD4523"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Эти опытные образцы производством прекращены, ценности для промышленности не представляют и требуют ремонта. При оставлении их на заводах, они могут быть разобраны и использованы как металлолом. </w:t>
      </w:r>
    </w:p>
    <w:p w14:paraId="40E22A4E"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Более целесообразно указанные опытные образцы передать на Научно-исследовательский полигон Авто-Бронетанкового Управления Красной Армии, где сосредоточены все образцы танкового вооружения Советского Союза. Сосредоточение в одном месте – НИПолигоне АБТУ – всех образцов танков имеет не только историческое значение, но дает также возможность конструкторам нашей промышленности совершенствовать свои знания. </w:t>
      </w:r>
    </w:p>
    <w:p w14:paraId="3F7DBCF7"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Представляю проект постановления "о передаче АБТУ Красной Армии снятых с производства опытных образцов танков "А-20", "100", "СМК" и бронеавтомобиля "ЛБ-23". </w:t>
      </w:r>
    </w:p>
    <w:p w14:paraId="55C72646"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Прошу утвердить. </w:t>
      </w:r>
    </w:p>
    <w:p w14:paraId="54141D66"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ПРИЛОЖЕНИЕ: проект постановления на 1 листе. </w:t>
      </w:r>
    </w:p>
    <w:p w14:paraId="22B8C752"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п.п. НАРОДНЫЙ КОМИССАР ОБОРОНЫ</w:t>
      </w:r>
    </w:p>
    <w:p w14:paraId="25C35288"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МАРШАЛ СОВЕТСКОГО СОЮЗА</w:t>
      </w:r>
    </w:p>
    <w:p w14:paraId="5141F8A8"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 ТИМОШЕНКО)</w:t>
      </w:r>
    </w:p>
    <w:p w14:paraId="6AED2948"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Верно: подпись </w:t>
      </w:r>
    </w:p>
    <w:p w14:paraId="2755B0B6"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4 Опись 14 Дело 2831 лист 22</w:t>
      </w:r>
      <w:r w:rsidRPr="00DB5D0D">
        <w:rPr>
          <w:rFonts w:ascii="Times New Roman" w:eastAsia="Times New Roman" w:hAnsi="Times New Roman"/>
          <w:color w:val="000000" w:themeColor="text1"/>
          <w:sz w:val="16"/>
          <w:szCs w:val="16"/>
          <w:lang w:eastAsia="ru-RU"/>
        </w:rPr>
        <w:t xml:space="preserve"> (17623).</w:t>
      </w:r>
    </w:p>
    <w:p w14:paraId="1D68EBD8"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СОВЕРШЕННО СЕКРЕТНО. </w:t>
      </w:r>
    </w:p>
    <w:p w14:paraId="5D2C7A02"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2 </w:t>
      </w:r>
    </w:p>
    <w:p w14:paraId="0E5195F1"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ПРОЕКТ. </w:t>
      </w:r>
    </w:p>
    <w:p w14:paraId="6AF1F1A6"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ПОСТАНОВЛЕНИЕ</w:t>
      </w:r>
    </w:p>
    <w:p w14:paraId="5ED068DC"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КОМИТЕТА ОБОРОНЫ при СНК С.С.С.Р.</w:t>
      </w:r>
    </w:p>
    <w:p w14:paraId="7C53ADFD"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"___" мая 1940 г. </w:t>
      </w:r>
    </w:p>
    <w:p w14:paraId="3146BC98"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Москва, Кремль</w:t>
      </w:r>
    </w:p>
    <w:p w14:paraId="01BDEC76"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 передаче АБТУ Красной Армии снятых с производства</w:t>
      </w:r>
    </w:p>
    <w:p w14:paraId="6E252B27"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опытных образцов танков "А-20", "100", "СМК" и бронеавтомобиля "ЛБ-23".</w:t>
      </w:r>
    </w:p>
    <w:p w14:paraId="22F57188"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КОМИТЕТ ОБОРОНЫ при СНК СССР постановляет: </w:t>
      </w:r>
    </w:p>
    <w:p w14:paraId="3D112A46"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Изготовленные и снятые с производства опытные образцы: танка "А-20" – колесно-гусеничного с дизелем В-2 и тремя парами ведущих колес; танков прорыва "Т-100" и "СМК"; бронированного автомобиля "ЛБ-23" – передать со всеми чертежами и техническими условиями Научно-исследовательскому Полигону АБТУ Красной Армии. </w:t>
      </w:r>
    </w:p>
    <w:p w14:paraId="568F9E4A"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Пункт 5-й постановления К.О. № 191сс от 4-го мая 1940 г. – отменить. </w:t>
      </w:r>
    </w:p>
    <w:p w14:paraId="5EB85512"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ПРЕДСЕДАТЕЛЬ КОМИТЕТА ОБОРОНЫ при СНК СССР (К. ВОРОШИЛОВ)</w:t>
      </w:r>
    </w:p>
    <w:p w14:paraId="60A48BB9"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СЕКРЕТАРЬ КОМИТЕТА ОБОРОНЫ при СНК СССР (И. САФОНОВ)</w:t>
      </w:r>
    </w:p>
    <w:p w14:paraId="23911F89"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два экз. </w:t>
      </w:r>
    </w:p>
    <w:p w14:paraId="117390C1"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мб. 25.V.40 г.</w:t>
      </w:r>
    </w:p>
    <w:p w14:paraId="1985089E" w14:textId="77777777" w:rsidR="005A63B9" w:rsidRPr="00DB5D0D" w:rsidRDefault="005A63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4 Опись 14 Дело 2831 лист 23</w:t>
      </w:r>
      <w:r w:rsidRPr="00DB5D0D">
        <w:rPr>
          <w:rFonts w:ascii="Times New Roman" w:eastAsia="Times New Roman" w:hAnsi="Times New Roman"/>
          <w:color w:val="000000" w:themeColor="text1"/>
          <w:sz w:val="16"/>
          <w:szCs w:val="16"/>
          <w:lang w:eastAsia="ru-RU"/>
        </w:rPr>
        <w:t xml:space="preserve"> (17623).</w:t>
      </w:r>
    </w:p>
    <w:p w14:paraId="1FA85A56" w14:textId="77777777" w:rsidR="005A63B9" w:rsidRPr="00DB5D0D" w:rsidRDefault="005A63B9" w:rsidP="00DB5D0D">
      <w:pPr>
        <w:spacing w:after="0" w:line="240" w:lineRule="auto"/>
        <w:jc w:val="both"/>
        <w:rPr>
          <w:rFonts w:ascii="Times New Roman" w:hAnsi="Times New Roman"/>
          <w:color w:val="000000" w:themeColor="text1"/>
          <w:sz w:val="16"/>
          <w:szCs w:val="16"/>
        </w:rPr>
      </w:pPr>
    </w:p>
    <w:p w14:paraId="189E4CEB"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 Из приказа Наркомстроя СССР М 91 о разработке новых типов железобетонных конструкций</w:t>
      </w:r>
    </w:p>
    <w:p w14:paraId="0BF98547"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экспериментальных и теоретических работ последних лет разработаны новые типы железобетонных конструкций: Напряженно-армированные железобетонные конструкции с обычной арматурой из высокосортной стали и с арматурой из тонкой проволоки с высоким временным сопротивлением (струно-бетон или проволочный железобетон).</w:t>
      </w:r>
    </w:p>
    <w:p w14:paraId="7E7AA737"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Указанные конструкции, особенно из проволочного железобетона, обладают большими достоинствами по сравнению с обычными железобетонными конструкциями, а именно: а) экономия в расходе металла для арматуры достигает по весу 80% от расхода металла в обыкновенных железобетонных конструкциях; б) уменьшение </w:t>
      </w:r>
      <w:r w:rsidRPr="00DB5D0D">
        <w:rPr>
          <w:rFonts w:ascii="Times New Roman" w:hAnsi="Times New Roman"/>
          <w:color w:val="000000" w:themeColor="text1"/>
          <w:sz w:val="16"/>
          <w:szCs w:val="16"/>
        </w:rPr>
        <w:lastRenderedPageBreak/>
        <w:t>веса конструкций до 35-40%; в) безопасность в отношении появления трещин; г) хорошая работа конструкций при знакопеременной нагрузке (подкрановые балки, мосты и пр.); д) значительное уменьшение стоимости.</w:t>
      </w:r>
    </w:p>
    <w:p w14:paraId="426DF28D"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Указанные качества свидетельствуют о том, что методы напряженного армирования являются важнейшим этапом развития железобетона.</w:t>
      </w:r>
    </w:p>
    <w:p w14:paraId="0EFED195"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подготовки массового применения в строительстве конструкций из напряженно-армированного железобетона приказываю:</w:t>
      </w:r>
    </w:p>
    <w:p w14:paraId="60BB0A1B"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Техническому управлению - тов. Стомахину:</w:t>
      </w:r>
    </w:p>
    <w:p w14:paraId="027FAADE"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Включить в программу работ ЦНИПС исследовательские темы по напряженному железобетону.</w:t>
      </w:r>
    </w:p>
    <w:p w14:paraId="76CAC031"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Поручить ЦНИПС разработать не позднее 1 октября инструкцию по проектированию и изготовлению сборных напряженно-армированных конструкций из проволочного железобетона.</w:t>
      </w:r>
    </w:p>
    <w:p w14:paraId="5B3C04D3"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Привлечь к разработке указанной инструкции проф. Михайлова, инженера Гольденблата и других специалистов, занимающихся напряженным железобетоном. [6]</w:t>
      </w:r>
    </w:p>
    <w:p w14:paraId="2891E826"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по строительству</w:t>
      </w:r>
    </w:p>
    <w:p w14:paraId="0083B6F3"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Гинзбург</w:t>
      </w:r>
    </w:p>
    <w:p w14:paraId="580E4425"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ЦГАНХСССР, ф. 8590,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2, д. 46, л. 54. Типогр.экз. (15734).</w:t>
      </w:r>
    </w:p>
    <w:p w14:paraId="36591E4D" w14:textId="77777777" w:rsidR="002330A8" w:rsidRPr="00DB5D0D" w:rsidRDefault="002330A8" w:rsidP="00DB5D0D">
      <w:pPr>
        <w:spacing w:after="0" w:line="240" w:lineRule="auto"/>
        <w:jc w:val="both"/>
        <w:rPr>
          <w:rFonts w:ascii="Times New Roman" w:hAnsi="Times New Roman"/>
          <w:color w:val="000000" w:themeColor="text1"/>
          <w:sz w:val="16"/>
          <w:szCs w:val="16"/>
        </w:rPr>
      </w:pPr>
    </w:p>
    <w:p w14:paraId="13EC53A1"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w:t>
      </w:r>
    </w:p>
    <w:p w14:paraId="6C51114A"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147. Докладная записка наркома ВМФ СССР Н. Г. Кузнецова секретарю ЦК ВКП(б) И. В. Сталину об использовании опыта боевого применения кораблей в войне с Финляндией для ликвидации недостатков их конструкции и эксплуатации</w:t>
      </w:r>
    </w:p>
    <w:p w14:paraId="7D1140DC"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19F2373A"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Стр.612-616.</w:t>
      </w:r>
    </w:p>
    <w:p w14:paraId="7C3D76EC"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5D08272E"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 3. Оп. 46. Д. 555. Л. 84-93. Подлинник.</w:t>
      </w:r>
    </w:p>
    <w:p w14:paraId="1CD3FBD6"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0B70F858"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использования кораблей Краснознаменного Балтийского и Северного флотов в боевых действиях против бело-Финляндии вскрыл ряд серьезных недостатков в конструкции кораблей, эксплуатации материальной части, в обеспечении тыловыми органами.</w:t>
      </w:r>
    </w:p>
    <w:p w14:paraId="07F3F2E8"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Условия, в которых проходили боевые действия кораблей</w:t>
      </w:r>
    </w:p>
    <w:p w14:paraId="34BA64D4"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боевых действиях в той или иной мере принимали участие все классы кораблей линкоры, лидеры, миноносцы, сторожевые корабли, тральщики, подлодки и вспомогательные суда.</w:t>
      </w:r>
    </w:p>
    <w:p w14:paraId="6DBAFBD8"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боевых операций наши корабли не получили каких-либо повреждений от артиллерии, мин, торпед и авиабомб, так как использовались преимущественно для действия по побережью при отсутствии боевых столкновений с кораблями и авиацией противника. Это обстоятельство не позволяет оценить живучесть наших кораблей опытом фактического воздействия указанных боевых средств противника.</w:t>
      </w:r>
    </w:p>
    <w:p w14:paraId="395C7DB6"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Боевые действия проходили в условиях штормовых погод силою до 10 баллов при исключительно низких температурах — до </w:t>
      </w:r>
      <w:r w:rsidRPr="00DB5D0D">
        <w:rPr>
          <w:rFonts w:ascii="Times New Roman" w:hAnsi="Times New Roman"/>
          <w:color w:val="000000" w:themeColor="text1"/>
          <w:sz w:val="16"/>
          <w:szCs w:val="16"/>
        </w:rPr>
        <w:noBreakHyphen/>
        <w:t>30° С, тяжелых льдов Финского залива, при базировании легких кораблей на новые, необорудованные базы Эстонии и Латвии.</w:t>
      </w:r>
    </w:p>
    <w:p w14:paraId="2C4F8CDB"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Специфическая обстановка использования кораблей в зимних условиях дала богатый, но не полный опыт эксплуатации материальной части, так как корабли использовались преимущественно на малых ходах.</w:t>
      </w:r>
    </w:p>
    <w:p w14:paraId="02DB69F4"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Условия эксплуатации кораблей привели к ряду повреждений ледового и штормового характера, а также к преждевременному износу механизмов из-за длительного пребывания кораблей без предупредительного ремонта. Вместе с тем ряд повреждений явился следствием недостаточного освоения новой техники личным составом кораблей.</w:t>
      </w:r>
    </w:p>
    <w:p w14:paraId="367C788D"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Миноносцы проекта № 7 и лидеры в связи с отмеченными выше недостатками в настоящее время имеют значительно сниженные боевые качества против проектных и полученных на испытаниях.</w:t>
      </w:r>
    </w:p>
    <w:p w14:paraId="60299AEE"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Сторожевые корабли и тральщики имеют меньшую потерю боеспособности, которая в основном определяется  поломкой гребных винтов и повреждением корпусов из-за плавания во льдах.</w:t>
      </w:r>
    </w:p>
    <w:p w14:paraId="372987E9"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Подлодки всех типов, за исключением малых, не понизили боеспособность и нуждаются только в некоторых улучшениях деталей отдельных механизмов и устройств. На малых подлодках из-за дефекта кулачных муфт снижено число оборотов дизелей, что почти вдвое уменьшает район плавания подлодок. Однако этот недостаток легко-устраним путем исправления муфт.</w:t>
      </w:r>
    </w:p>
    <w:p w14:paraId="4F4FBB41"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Вспомогательные корабли, переоборудованные по мобилизации, оказались в отдельных случаях не вполне пригодными для использования в боевой обстановке. При этом выявились крупные недостатки мобоборудования, требующие специальных мероприятий по линии НКВМФ и наркоматов-судовладельцев для предотвращения подобных недостатков в будущем.</w:t>
      </w:r>
    </w:p>
    <w:p w14:paraId="40CF7CA3"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Основные дефекты и повреждения кораблей</w:t>
      </w:r>
    </w:p>
    <w:p w14:paraId="72ED52C0"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Конструктивного характера</w:t>
      </w:r>
    </w:p>
    <w:p w14:paraId="158C9247"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Значительная часть дефектов и повреждений кораблей является следствием того, что в стремлении получить корабли с большой скоростью и меньшим водоизмещением было допущено излишнее облегчение корпуса, механизмов и устройств. Вследствие этого миноносцы и лидеры имеют: повреждения палубы и бортов полубака в виде вмятин, прогибов, местного разрушения набора и внутренней отделки из-за недостаточной прочности.</w:t>
      </w:r>
    </w:p>
    <w:p w14:paraId="4CD47174"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неудовлетворительная конструкция изоляции вызвала большое отпотевание и сырость в жилых и служебных помещениях, что повлекло усиленную коррозию механизмов, порчу электропроводки, разрушение отделки и оборудования помещений и вызывало повышенную заболеваемость личного состава.</w:t>
      </w:r>
    </w:p>
    <w:p w14:paraId="0D1149CF"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Скученность размещения личного состава (100 чел. на площади в 70 кв. м) в связи с увеличением штата кораблей создала явно ненормальные условия обитаемости.</w:t>
      </w:r>
    </w:p>
    <w:p w14:paraId="6B49356E"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Поломка отдельных устройств дверей, крышек, люков, горловин, судовой мебели, стеллажей малых и больших глубинных бомб, легких дюралевых переборок и котельных кожухов явилась следствием сильно облегченной конструкции.</w:t>
      </w:r>
    </w:p>
    <w:p w14:paraId="7293B5BE"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Серьезный недостаток имеет главный турбозубчатый агрегат, в котором на пяти миноносцах имеет место повреждение и выход из строя турбины высокого давления.</w:t>
      </w:r>
    </w:p>
    <w:p w14:paraId="27B032BC"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Вспомогательные механизмы (турбопитательные насосы, трюмнопожарные насосы, турбодинамо, масляные сепараторы, насосы питьевой и соленой воды, нефтеперекачивающие насосы) имеют ряд конструктивных дефектов, как то: быстро срабатывающиеся подшипники, плохая центровка, повышенная коррозийность валов и быстрый износ шестерен редукторных передач.</w:t>
      </w:r>
    </w:p>
    <w:p w14:paraId="2D9721C0"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Ряд электромоторов, установленных в сырых помещениях и на втором дне, из-за неудачного выбора типа мотора (защищенного вместо закрытого) имеют низкую изоляцию и выходят из строя.</w:t>
      </w:r>
    </w:p>
    <w:p w14:paraId="19F69938"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Неудовлетворительная конструкция дверных выключателей и боевого наружного освещения приводила к демаскировке корабля.</w:t>
      </w:r>
    </w:p>
    <w:p w14:paraId="2460C459"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Наличие больших размахов качки миноносцев на небольшой сравнительно волне затрудняет использование оружия.</w:t>
      </w:r>
    </w:p>
    <w:p w14:paraId="2F595D5B"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Подводные лодки имеют следующие основные дефекты:</w:t>
      </w:r>
    </w:p>
    <w:p w14:paraId="125F296E"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обмерзание клапанов вентиляции систерн главного балласта, замерзание пресной воды и застывание дизельного масла из-за отсутствия специального отепления;</w:t>
      </w:r>
    </w:p>
    <w:p w14:paraId="67C50B5E"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искрение «сухих» и парение «мокрых» глушителей, что демаскирует подлодки в ночном плавании;</w:t>
      </w:r>
    </w:p>
    <w:p w14:paraId="0D520E03"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нарушение плотности укупорки аккумуляторных баков из-за недостаточной прочности мастики, вследствие чего имело место пролитие электролита и падение изоляции батарей;</w:t>
      </w:r>
    </w:p>
    <w:p w14:paraId="1FF03C0B"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подлодках типа “Щ” ненадежны гидромуфты; помпы осушения работают неудовлетворительно; нижние шунтовые катушки главных электромоторов выходят из строя; имеет место заедание привода горизонтальных рулей; перископы длиною 7,5 м не обеспечивают скрытность подлодок на перископной глубине при сильной волне;</w:t>
      </w:r>
    </w:p>
    <w:p w14:paraId="5E3C3940"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подлодках типа “М” основным дефектом является указанная выше неудовлетворительная работа кулачных муфт.</w:t>
      </w:r>
    </w:p>
    <w:p w14:paraId="476D427D"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Эксплуатационного характера</w:t>
      </w:r>
    </w:p>
    <w:p w14:paraId="459C8103"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Имеемые дефекты объясняются недостаточным опытом эксплуатации кораблей в зимних штормовых и ледовых условиях.</w:t>
      </w:r>
    </w:p>
    <w:p w14:paraId="200E347F"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Миноносцы, лидеры и сторожевые корабли имели повреждения корпусов кораблей (вмятины и расстройства заклепочных швов) на протяжении ⅔ длины в районе ватерлинии и поломки винтов, происшедшие от форсирования льдов толщиною до 70 мм, от хождения по фарватерам с торосистым льдом толщиною до 200</w:t>
      </w:r>
      <w:r w:rsidRPr="00DB5D0D">
        <w:rPr>
          <w:rFonts w:ascii="Times New Roman" w:hAnsi="Times New Roman"/>
          <w:color w:val="000000" w:themeColor="text1"/>
          <w:sz w:val="16"/>
          <w:szCs w:val="16"/>
        </w:rPr>
        <w:noBreakHyphen/>
        <w:t>300 мм за мелкими ледокольными буксирами.</w:t>
      </w:r>
    </w:p>
    <w:p w14:paraId="5C00AEE5"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Недостатки эксплуатации главных механизмов миноносцев на ходу, использование главного котла на якорных стоянках для бытовых нужд привело к значительным перерасходам топлива против расчетного. На отдельных миноносцах расход топлива на экономическом ходу достигал 14 т против 4,5 т, полученных при испытаниях.</w:t>
      </w:r>
    </w:p>
    <w:p w14:paraId="21428154"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Несоблюдение личным составом инструкций по предохранению шеек валов и турбин приводило к их оборжавлению[</w:t>
      </w:r>
      <w:hyperlink r:id="rId51"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w:t>
      </w:r>
    </w:p>
    <w:p w14:paraId="0F6829D8"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Особо следует отметить износ механизмов, полученный от непрерывного и длительного нахождения в боевой готовности кораблей при отсутствии предупредительного ремонта.</w:t>
      </w:r>
    </w:p>
    <w:p w14:paraId="2A19EB08"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Обледенение кораблей приводило к необходимости балластировки нефтяных ям для поддержания достаточной остойчивости, а обледенение орудий и торпедных аппаратов затрудняло быстрое использование орудия.</w:t>
      </w:r>
    </w:p>
    <w:p w14:paraId="3F5A6826"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Указанные в разделах “А” и “Б” дефекты и повреждения кораблей, в сумме значительно снизившие их боеспособность, могут быть устранены путем производства работ в полном объеме ведомостей, прилагаемых к проекту постановления при настоящем докладе.</w:t>
      </w:r>
    </w:p>
    <w:p w14:paraId="0A5A5645"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Недостатки в оборудовании баз</w:t>
      </w:r>
    </w:p>
    <w:p w14:paraId="46AC4E16"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Техника новых кораблей требует особого обеспечения со стороны баз, к чему большинство из них оказались не приспособленными. В силу этого на стоянке в базах корабли вынуждены прибегать к самообслуживанию, что приводит к преждевременному износу механизмов, так, например:</w:t>
      </w:r>
    </w:p>
    <w:p w14:paraId="5B3C8499"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отсутствие на базах КБФ и СВФ испарительных установок вынуждает корабли добывать воду путем работы главных котлов и испарителей, что приводит к излишнему расходу топлива, загрязнению и износу главных котлов;</w:t>
      </w:r>
    </w:p>
    <w:p w14:paraId="3BB7BCEC"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маломощные береговые котельные установки и электростанции совершенно недостаточно обеспечивают корабли паром и электроэнергией. Это приводит к тому, что на большинстве кораблей вспомогательные дизели “Рустон”, проработав положенные для них нормы, пришли в негодность, и личный состав пользуется главной установкой для бытовых нужд (освещение и отопление);</w:t>
      </w:r>
    </w:p>
    <w:p w14:paraId="12D76D53"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отсутствие на берегу маслоочистительных станций требует большого расхода масла (отработанное сжигается), так как длительная очистка и промывка масла на корабле невозможна, а на берегу не налажена;</w:t>
      </w:r>
    </w:p>
    <w:p w14:paraId="6D89B67B"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хранение запчастей в ряде баз КБФ и СВФ недостаточно налажено, что задерживает проведение ремонта кораблей своими средствами;</w:t>
      </w:r>
    </w:p>
    <w:p w14:paraId="572A88C4"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приемка топлива на новых базах КБФ производится средствами корабля, что удлиняет время приемки и снижает оперативную готовность кораблей;</w:t>
      </w:r>
    </w:p>
    <w:p w14:paraId="15CD9941"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маневренные базы не оборудованы ремонтными средствами, из-за чего в ряде случаев износ механизмов превышает допустимые пределы и приводит к выводу механизмов из строя;</w:t>
      </w:r>
    </w:p>
    <w:p w14:paraId="0B7D021F"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отсутствие на базах лабораторий для анализов воды, масла и топлива не дает возможности проверить их кондиционность.</w:t>
      </w:r>
    </w:p>
    <w:p w14:paraId="55C718E1"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Мероприятия НКВМФ</w:t>
      </w:r>
    </w:p>
    <w:p w14:paraId="521263BA"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Полученный опыт боевого использования кораблей систематизирован в материалах специальной комиссии, назначенной совместным приказом НКВМФ и НКСП, которая выезжая на места базирования кораблей, и вместе с личным составом представила полную характеристику состояния кораблей.</w:t>
      </w:r>
    </w:p>
    <w:p w14:paraId="2688B74E"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Материалы комиссии и донесения с мест рассмотрены Главным военным советом[</w:t>
      </w:r>
      <w:hyperlink r:id="rId52" w:anchor="p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и вынесено решение по опыту боевого использования кораблей и его реализации.</w:t>
      </w:r>
    </w:p>
    <w:p w14:paraId="65ECF1EB"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 исполнение решения Главного военного совета ВМФ УК ВМФ составлены и согласованы с НКСП ведомости работ для выполнения на миноносцах проекта № 7 и лидерах.</w:t>
      </w:r>
    </w:p>
    <w:p w14:paraId="4E09A241"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НКВМФ совместно с НКСП издан приказ по конструкторским бюро об изготовлении чертежей, потребных для исправления повреждений и устранения дефектов на миноносцах и лидерах.</w:t>
      </w:r>
    </w:p>
    <w:p w14:paraId="62A2884E"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Выявлена необходимость детального пересмотра новых проектов, во исполнение чего НКВМФ и НКСП даны указания институтам, конструкторским бюро, контрольно-приемному аппарату учесть опыт боевого использования кораблей для внесения потребных корректив и исправления этих проектов. УК ВМФ составлены ведомости работ на миноносцах проекта № 7 улучшенного и переданы НКСП на согласование.</w:t>
      </w:r>
    </w:p>
    <w:p w14:paraId="1053F95F"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Что касается календарных сроков выполнения работ (графика) на миноносцах проекта № 7 и лидерах, а также влияния их на утвержденный годовой план работ по судостроению, то в этом вопросе НКВМФ и НКСП к обоюдному соглашению до сих пор не пришли.</w:t>
      </w:r>
    </w:p>
    <w:p w14:paraId="00926D9C"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Также остается в разногласиях вопрос замены итальянских дальномеров в КДП и ночных визиров, установленных на лидерах, на отечественные, на чем НКВМФ настаивает, так как итальянские работают неудовлетворительно, а НКСП отказывается от их замены.</w:t>
      </w:r>
    </w:p>
    <w:p w14:paraId="0C83A0B7"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что дальнейшее промедление с постановкой  в ремонт кораблей нетерпимо, согласование же с НКСП затягивается, НКВМФ входит в правительство с просьбой утвердить мероприятия согласно вносимому проекту постановления КО, составленного на основе решений Главного военного совета ВМФ.</w:t>
      </w:r>
    </w:p>
    <w:p w14:paraId="30B931F2"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проект постановления КО при СНК Союза ССР на 4 л.; приложения к нему на 30 л.[</w:t>
      </w:r>
      <w:hyperlink r:id="rId53" w:anchor="p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w:t>
      </w:r>
    </w:p>
    <w:p w14:paraId="4BBDEF5C"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Военно-морского флота Союза CCР, флагман флота 2-го рангаКузнецов</w:t>
      </w:r>
    </w:p>
    <w:p w14:paraId="509487D5"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p w14:paraId="6D2BCBA5"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54"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Так в тексте.</w:t>
      </w:r>
    </w:p>
    <w:p w14:paraId="44306DE8"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55" w:anchor="s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Главный военный совет (ГВС) РККА был образован 13 марта 1938 г. одновременно с Главным военным советом ВМФ СССР постановлением СНК СССР и ЦК ВКП(б). Являлся высшим коллегиальным органом руководства Красной армии. В его задачи входило рассмотрение и решение основных вопросов организации и устройства, боевой и мобилизационной подготовки, вооружения и технического оснащения РККА, в том числе: управление войсками, подготовка театров военных действий, боевая подготовка войск, кадровые вопросы и другие. Практически все решения Главного военного совета объявлялись приказами народного комиссара обороны СССР. Главный военный совет сыграл важную роль в решении вопросов строительства армии и укрепления обороноспособности страны накануне Великой Отечественной войны. Председателем совета до июля 1940 г. был К. Е. Ворошилов, с июля 1940 г. — С. К. Тимошенко, в состав входили лица из высшего военного руководства РККА, а также фактический руководитель страны — И. В. Сталин. В дальнейшем его состав неоднократно менялся, однако численность ГВС никогда не превышала 13 человек. Кроме членов совета, почти на всех его заседаниях присутствовали приглашенные лица, мнение которых учитывалось при принятии решений. ГВС был упразднен после начала Великой Отечественной войны 23 июня 1941 г. Его функции переданы Ставке Главного командования.</w:t>
      </w:r>
    </w:p>
    <w:p w14:paraId="10F52597"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56" w:anchor="s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 Приложение не публикуется (см. там же, Л. 94</w:t>
      </w:r>
      <w:r w:rsidRPr="00DB5D0D">
        <w:rPr>
          <w:rFonts w:ascii="Times New Roman" w:hAnsi="Times New Roman"/>
          <w:color w:val="000000" w:themeColor="text1"/>
          <w:sz w:val="16"/>
          <w:szCs w:val="16"/>
        </w:rPr>
        <w:noBreakHyphen/>
        <w:t>127).</w:t>
      </w:r>
    </w:p>
    <w:p w14:paraId="27AFD033" w14:textId="77777777" w:rsidR="005A63B9" w:rsidRPr="00DB5D0D" w:rsidRDefault="005A6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 3. Оп. 46. Д. 555. Л. 84-93. Подлинник (17907).</w:t>
      </w:r>
    </w:p>
    <w:p w14:paraId="1ED2ECCD" w14:textId="77777777" w:rsidR="005A63B9" w:rsidRPr="00DB5D0D" w:rsidRDefault="005A63B9" w:rsidP="00DB5D0D">
      <w:pPr>
        <w:spacing w:after="0" w:line="240" w:lineRule="auto"/>
        <w:jc w:val="both"/>
        <w:rPr>
          <w:rFonts w:ascii="Times New Roman" w:hAnsi="Times New Roman"/>
          <w:color w:val="000000" w:themeColor="text1"/>
          <w:sz w:val="16"/>
          <w:szCs w:val="16"/>
        </w:rPr>
      </w:pPr>
    </w:p>
    <w:p w14:paraId="1CD337C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6E0EEBA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D7398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в состав военных флотов передали для Балтийского - 74, Черноморского - 76, Северного - 65, Тихоокеанского -101 гражданских судов (68,393).</w:t>
      </w:r>
    </w:p>
    <w:p w14:paraId="66B1F62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3C33F1"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24A18A3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440BF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министр авиации М. Лоран-Эйнак пытался выяснить у советского правительства возможность продажи Франции военных самолетов. Для переговоров в Москву предполагалось послать известного левого деятеля, сторонника дружбы с СССР П. Кота. Советский Союз согласился вести переговоры. Но французские реакционеры при содействии посла США во Франции Буллита сорвали поездку П. Кота в Москву» (Севостьянов П.П. Перед великим испытанием. С. 153-154.) (11672).</w:t>
      </w:r>
    </w:p>
    <w:p w14:paraId="2301F81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9853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Молотов заявил посланнику Литвы в СССР, что недавно исчезли двое советских военнослужащих и что их исчезновение организовано "некоторыми лицами, пользующимися покровительством органов литовского правительства, которые спаивают красноармейцев, впутывают их в преступления и устраивают потом их побег либо уничтожают их". Эти и другие аналогичные обвинения были опубликованы спустя несколько дней в советской печати в форме сообщения Наркоминдела. В последующие дни советские власти, отвергая предложения литовского правительства о проведении совместного расследования подобных эпизодов, продолжали нагнетать провокационные обвинения в адрес правительства Литвы (9492).</w:t>
      </w:r>
    </w:p>
    <w:p w14:paraId="77CBA6A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C4B2C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70C386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2D7A3E1" w14:textId="77777777" w:rsidR="00CE65B0" w:rsidRPr="00DB5D0D" w:rsidRDefault="00CE65B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 мая 1940 HMS Прославленный вступает в строй Королевскими ВМС как первый в мире первый полностью бронированный авианосец (20795).</w:t>
      </w:r>
    </w:p>
    <w:p w14:paraId="15B6C19D" w14:textId="77777777" w:rsidR="00CE65B0" w:rsidRPr="00DB5D0D" w:rsidRDefault="00CE65B0" w:rsidP="00DB5D0D">
      <w:pPr>
        <w:spacing w:after="0" w:line="240" w:lineRule="auto"/>
        <w:jc w:val="both"/>
        <w:rPr>
          <w:rFonts w:ascii="Times New Roman" w:hAnsi="Times New Roman"/>
          <w:color w:val="0070C0"/>
          <w:sz w:val="16"/>
          <w:szCs w:val="16"/>
        </w:rPr>
      </w:pPr>
    </w:p>
    <w:p w14:paraId="3ADD217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немцы захватили Булонь (Франция) (4962).</w:t>
      </w:r>
    </w:p>
    <w:p w14:paraId="5059755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2F89E9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25th, 1940: In the West, the British garrison of Calais rejects a German call for surrender (3819).</w:t>
      </w:r>
    </w:p>
    <w:p w14:paraId="66E9FCD2"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994F3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гарнизон Кале отклонил немецкий ультиматум о сдаче (3819).</w:t>
      </w:r>
    </w:p>
    <w:p w14:paraId="225EE40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5EAFF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Муссолини объявил своим офицерам о намерении вступить в войну на стороне Германии (4962).</w:t>
      </w:r>
    </w:p>
    <w:p w14:paraId="2491854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DB1BF03"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25 мая</w:t>
      </w:r>
      <w:r w:rsidRPr="00DB5D0D">
        <w:rPr>
          <w:rFonts w:ascii="Times New Roman" w:hAnsi="Times New Roman"/>
          <w:color w:val="000000" w:themeColor="text1"/>
          <w:sz w:val="16"/>
          <w:szCs w:val="16"/>
        </w:rPr>
        <w:t xml:space="preserve"> в 1940 году был осуществлен наиболее важный тест пенициллина на животных. Восьми мышам была введена летальная доза суспензии стрептококков. Затем четырем были сделаны инъекции пенициллина. На следующий день первая четверка погибла, тогда как вторая четверка была здорова. Этот тест сыграл свою роль в широком применении антибиотиков (14902).</w:t>
      </w:r>
    </w:p>
    <w:p w14:paraId="26F9E355" w14:textId="77777777" w:rsidR="002330A8" w:rsidRPr="00DB5D0D" w:rsidRDefault="002330A8" w:rsidP="00DB5D0D">
      <w:pPr>
        <w:spacing w:after="0" w:line="240" w:lineRule="auto"/>
        <w:jc w:val="both"/>
        <w:rPr>
          <w:rFonts w:ascii="Times New Roman" w:hAnsi="Times New Roman"/>
          <w:color w:val="000000" w:themeColor="text1"/>
          <w:sz w:val="16"/>
          <w:szCs w:val="16"/>
        </w:rPr>
      </w:pPr>
    </w:p>
    <w:p w14:paraId="5B92F67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007059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86EF0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года начальник ВВС командарм 2 ранга Смушкевич писал письмо № 466073с наркому Авиапрома Шахурину</w:t>
      </w:r>
    </w:p>
    <w:p w14:paraId="730321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о бронированном штурмовике конструктора С.В.И.</w:t>
      </w:r>
    </w:p>
    <w:p w14:paraId="5A22BD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Уже прошло …….. дней как самолет С.В.И. прошел госиспытания и имеется заключение Техсовета относительно внедрения в серию этого самолета.</w:t>
      </w:r>
    </w:p>
    <w:p w14:paraId="01CDC3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считаю, что этот самолет крайне необходим для ВВС, тем более, что С.В.И. дает слово и гарантию, что будет улучшать летно-технические данные этого самолета, особенно с освоением моторов М-35А и М-37.</w:t>
      </w:r>
    </w:p>
    <w:p w14:paraId="4DCF0F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С.В.И. берется усилить вооружение на этом самолете, т.е. вместо четырех пулеметов ШКАС калибра 7,62 мм установить две пушки 20 или 23 мм с двумя пулеметами ШКАС. Бомбовая загрузка этого самолета вполне обеспечивает штурмовые действия.</w:t>
      </w:r>
    </w:p>
    <w:p w14:paraId="1B8719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заявлению С.В.И. этот самолет легко можно будет приспособить для бомбометания и стрельбы с пикирования. Поэтому прошу Вас ускорить решение о запуске в серию бронированного самолета С.В.И.</w:t>
      </w:r>
    </w:p>
    <w:p w14:paraId="28DFC7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необходимо в этом решении обязать Подольский завод изготовлять в нужном количестве бронированные корпуса для самолета С.В.И. (2627, 123).</w:t>
      </w:r>
    </w:p>
    <w:p w14:paraId="2BE2FBC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E30A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 29 мая 1940 г. Смушкевич направил Шаху</w:t>
      </w:r>
      <w:r w:rsidRPr="00DB5D0D">
        <w:rPr>
          <w:rFonts w:ascii="Times New Roman" w:hAnsi="Times New Roman"/>
          <w:color w:val="000000" w:themeColor="text1"/>
          <w:sz w:val="16"/>
          <w:szCs w:val="16"/>
        </w:rPr>
        <w:softHyphen/>
        <w:t>рину письмо, аналогичное тому, что было отправлено 24 мая 1940 г. В част</w:t>
      </w:r>
      <w:r w:rsidRPr="00DB5D0D">
        <w:rPr>
          <w:rFonts w:ascii="Times New Roman" w:hAnsi="Times New Roman"/>
          <w:color w:val="000000" w:themeColor="text1"/>
          <w:sz w:val="16"/>
          <w:szCs w:val="16"/>
        </w:rPr>
        <w:softHyphen/>
        <w:t>ности, в письме от 29 мая командарм отметил, что “...самолет БШ-2 будет играть в будущей войне важную роль...” (4140).</w:t>
      </w:r>
    </w:p>
    <w:p w14:paraId="4A1FECF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D3C1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 29 мая 1940 г. Я.В.Смушкевич направил А.И.Шахурину новые письма, аналогичные письму от 24 мая 1940. В частности, в письме от 29 мая ко</w:t>
      </w:r>
      <w:r w:rsidRPr="00DB5D0D">
        <w:rPr>
          <w:rFonts w:ascii="Times New Roman" w:hAnsi="Times New Roman"/>
          <w:color w:val="000000" w:themeColor="text1"/>
          <w:sz w:val="16"/>
          <w:szCs w:val="16"/>
        </w:rPr>
        <w:softHyphen/>
        <w:t xml:space="preserve">мандарм отметил, что </w:t>
      </w:r>
      <w:r w:rsidRPr="00DB5D0D">
        <w:rPr>
          <w:rFonts w:ascii="Times New Roman" w:hAnsi="Times New Roman"/>
          <w:iCs/>
          <w:color w:val="000000" w:themeColor="text1"/>
          <w:sz w:val="16"/>
          <w:szCs w:val="16"/>
        </w:rPr>
        <w:t>"...самолет БШ-2 будет играть в будущей войне важную роль"</w:t>
      </w:r>
      <w:r w:rsidRPr="00DB5D0D">
        <w:rPr>
          <w:rFonts w:ascii="Times New Roman" w:hAnsi="Times New Roman"/>
          <w:color w:val="000000" w:themeColor="text1"/>
          <w:sz w:val="16"/>
          <w:szCs w:val="16"/>
        </w:rPr>
        <w:t xml:space="preserve"> (6467).</w:t>
      </w:r>
    </w:p>
    <w:p w14:paraId="67B488D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3F3C6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вышел приказ НКАП N 231с, который на основании доклада ГК П.О.Сухого по предъявленным документам по самолету ББ-2 предложено приступить к его летным испытаниям и завершить их к 25 июля 1940. Л-и ББ2-М88 назначен В.Т.Сахранов, летчик завода 156 (401,61).</w:t>
      </w:r>
    </w:p>
    <w:p w14:paraId="0A17CC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 основании доклада Главного конструктора тов. СУХОГО П.О. и заключения 11-го Главного Управления по пред"явленным документам по самолету ББ-2 - ПРИКАЗЫВАЮ:</w:t>
      </w:r>
    </w:p>
    <w:p w14:paraId="4E0880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1</w:t>
      </w:r>
    </w:p>
    <w:p w14:paraId="3733B1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Присту пить немедленно: к проведению лётных испытании самолет и окончить их к 25 июли. 1940 года.</w:t>
      </w:r>
    </w:p>
    <w:p w14:paraId="553189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2</w:t>
      </w:r>
    </w:p>
    <w:p w14:paraId="6878FA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заводских испытаний самолета ББ2-М88 конструкции СУХОГО, назначить лётчиком-испытателем тов. СОХРАНОБА - лётчика завода № 156.</w:t>
      </w:r>
    </w:p>
    <w:p w14:paraId="04343E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3</w:t>
      </w:r>
    </w:p>
    <w:p w14:paraId="6354FE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проведение в установленный срок испытании выдатьлётчику испытателю тов. СОХРАНОВУ дополнительную оплату в размере 35.000 рублей (401,61).</w:t>
      </w:r>
    </w:p>
    <w:p w14:paraId="4EC133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4F3EE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А.И.Ш. писал И.В.С. письмо N 2371 "Самолет СБ проектировался и выпускался из производства заводом 22 как ближний бомбардировщик со сбрасыванием бомб из горизонтального полета.</w:t>
      </w:r>
    </w:p>
    <w:p w14:paraId="7D17B8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1939 в НИИ ВВС были проведены на трех самолетах СБ обширные испытания для определения возможности использования самолета СБ как пикирующего бомбардировщика.</w:t>
      </w:r>
    </w:p>
    <w:p w14:paraId="1208A2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703BA8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выпускаемый заводом 22 самолет СБ с необходимыми доработками может быть приспособлен как ПБ.</w:t>
      </w:r>
    </w:p>
    <w:p w14:paraId="3BAEA4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Начало выпуска таких самолетов заводом 22 может быть произведено с 1 июля 1940... Такой самолет СБ следует рассматривать как переходный.</w:t>
      </w:r>
    </w:p>
    <w:p w14:paraId="35FAF4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Потребуется коренная переделка передних кабин штурмана и летчика с перекомпоновкой внутреннего оборудования...</w:t>
      </w:r>
    </w:p>
    <w:p w14:paraId="779196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новых кабин потребуется изменить крыло, ВМГ, сделать специальный фонарь на заднюю турель МВ-3 и ряд других изменений..." (1301,169).</w:t>
      </w:r>
    </w:p>
    <w:p w14:paraId="2757387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81D32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года И. Сафонов писал письмо N 4841/5КО НКВМФ - Кузнецову и Шахурину.</w:t>
      </w:r>
    </w:p>
    <w:p w14:paraId="7318BE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Внесенный Вами проект постановления о создании двухмоторного морского бомбардировщика с моторами М-71 конструкции Самсонова докладывался Ворошилову.</w:t>
      </w:r>
    </w:p>
    <w:p w14:paraId="175AD6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того, что самолет конструкции Самсонова не позволяет производить бомбометание с пикирования, Ворошилов Вашу просьбу о строительстве опытных экземпляров этого самолета отклонил (3395,75).</w:t>
      </w:r>
    </w:p>
    <w:p w14:paraId="12ED0EC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5C43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Протокол № 16. Заседание ПБ за 9-26 мая 1940 г.</w:t>
      </w:r>
    </w:p>
    <w:p w14:paraId="0D995E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13.5.40 г.</w:t>
      </w:r>
    </w:p>
    <w:p w14:paraId="4FC972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63. Вопрос КО. Об организации производства авиамоторов.</w:t>
      </w:r>
    </w:p>
    <w:p w14:paraId="7E306F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15.5.40 г.</w:t>
      </w:r>
    </w:p>
    <w:p w14:paraId="233D8C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 90. Об организации серийного производства самолета И-26 конструкции Яковлева на заводе № 301*. </w:t>
      </w:r>
      <w:r w:rsidRPr="00DB5D0D">
        <w:rPr>
          <w:rFonts w:ascii="Times New Roman" w:hAnsi="Times New Roman"/>
          <w:color w:val="000000" w:themeColor="text1"/>
          <w:sz w:val="16"/>
          <w:szCs w:val="16"/>
          <w:u w:val="single"/>
        </w:rPr>
        <w:t>22.5.40 г.</w:t>
      </w:r>
    </w:p>
    <w:p w14:paraId="0B3939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179. О самолетах. Изменение окраски самолетов.</w:t>
      </w:r>
    </w:p>
    <w:p w14:paraId="2D6598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25.5.40 г.</w:t>
      </w:r>
    </w:p>
    <w:p w14:paraId="2D9588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194. Вопрос КО. О производстве четырехмоторных дальних бомбардировщиков; о постройке новых авиационных моторов; об организации производства самолетов.</w:t>
      </w:r>
    </w:p>
    <w:p w14:paraId="5CB00B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 xml:space="preserve">26. 5. 40 г. </w:t>
      </w:r>
      <w:r w:rsidRPr="00DB5D0D">
        <w:rPr>
          <w:rFonts w:ascii="Times New Roman" w:hAnsi="Times New Roman"/>
          <w:color w:val="000000" w:themeColor="text1"/>
          <w:sz w:val="16"/>
          <w:szCs w:val="16"/>
        </w:rPr>
        <w:t>П. 210. Вопрос КО. О производстве четырехмоторных дальних бомбардировщиков (11773).</w:t>
      </w:r>
    </w:p>
    <w:p w14:paraId="68BCEF0C"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5B8F04D9"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мая 1940 вышло Постановление Политбюро ЦК ВКП(б) "Вопросы КО" о производстве новых видов самолетов, авиамоторов и опытных агрегатов (пр. № 16/16-оп за 10 - 26 мая 1940 г., п. 194)</w:t>
      </w:r>
    </w:p>
    <w:p w14:paraId="18B9DD63"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194. </w:t>
      </w:r>
    </w:p>
    <w:p w14:paraId="2D6EEFAA"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Утвердить следующие решения К.О.:</w:t>
      </w:r>
    </w:p>
    <w:p w14:paraId="13ED184A"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 производстве четырехмоторных дальних бомбардировщиков на заводе 124.</w:t>
      </w:r>
    </w:p>
    <w:p w14:paraId="09C985F5"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Отпустить Наркомавианрому из резервного фонда СНК СССР в 1940 году для завода 124 70 миллионов рублей, в том числе:</w:t>
      </w:r>
    </w:p>
    <w:p w14:paraId="1324CEE4"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на постановку производства самолетов ТВ-7 - 12,0 млн.руб.</w:t>
      </w:r>
    </w:p>
    <w:p w14:paraId="0621ADDD"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б) на постройку и испытание самолета ТБ-7 М-30 8,0 -"- </w:t>
      </w:r>
    </w:p>
    <w:p w14:paraId="5517B121"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на постройку и испытание самолета ТВ-7 М-40 8,0 –</w:t>
      </w:r>
    </w:p>
    <w:p w14:paraId="08F32186"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на постройку и испытание самолета ТB-7 М-40Ф 8,0 –</w:t>
      </w:r>
    </w:p>
    <w:p w14:paraId="7259BFAF"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на дополнительно на капстроительство:</w:t>
      </w:r>
    </w:p>
    <w:p w14:paraId="781B8AA4"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fldChar w:fldCharType="begin"/>
      </w:r>
      <w:r w:rsidRPr="00DB5D0D">
        <w:rPr>
          <w:rFonts w:ascii="Times New Roman" w:hAnsi="Times New Roman"/>
          <w:color w:val="0070C0"/>
          <w:sz w:val="16"/>
          <w:szCs w:val="16"/>
        </w:rPr>
        <w:instrText xml:space="preserve"> TOC \o "1-5" \h \z </w:instrText>
      </w:r>
      <w:r w:rsidRPr="00DB5D0D">
        <w:rPr>
          <w:rFonts w:ascii="Times New Roman" w:hAnsi="Times New Roman"/>
          <w:color w:val="0070C0"/>
          <w:sz w:val="16"/>
          <w:szCs w:val="16"/>
        </w:rPr>
        <w:fldChar w:fldCharType="separate"/>
      </w:r>
      <w:r w:rsidRPr="00DB5D0D">
        <w:rPr>
          <w:rFonts w:ascii="Times New Roman" w:hAnsi="Times New Roman"/>
          <w:color w:val="0070C0"/>
          <w:sz w:val="16"/>
          <w:szCs w:val="16"/>
        </w:rPr>
        <w:t>Аэродром</w:t>
      </w:r>
      <w:r w:rsidRPr="00DB5D0D">
        <w:rPr>
          <w:rFonts w:ascii="Times New Roman" w:hAnsi="Times New Roman"/>
          <w:color w:val="0070C0"/>
          <w:sz w:val="16"/>
          <w:szCs w:val="16"/>
        </w:rPr>
        <w:tab/>
      </w:r>
      <w:r w:rsidRPr="00DB5D0D">
        <w:rPr>
          <w:rFonts w:ascii="Times New Roman" w:hAnsi="Times New Roman"/>
          <w:color w:val="0070C0"/>
          <w:sz w:val="16"/>
          <w:szCs w:val="16"/>
        </w:rPr>
        <w:tab/>
        <w:t>-4,0</w:t>
      </w:r>
      <w:r w:rsidRPr="00DB5D0D">
        <w:rPr>
          <w:rFonts w:ascii="Times New Roman" w:hAnsi="Times New Roman"/>
          <w:color w:val="0070C0"/>
          <w:sz w:val="16"/>
          <w:szCs w:val="16"/>
        </w:rPr>
        <w:tab/>
        <w:t>-"-</w:t>
      </w:r>
    </w:p>
    <w:p w14:paraId="53A2AF56"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Окончание строительства главного корпуса</w:t>
      </w:r>
      <w:r w:rsidRPr="00DB5D0D">
        <w:rPr>
          <w:rFonts w:ascii="Times New Roman" w:hAnsi="Times New Roman"/>
          <w:color w:val="0070C0"/>
          <w:sz w:val="16"/>
          <w:szCs w:val="16"/>
        </w:rPr>
        <w:tab/>
        <w:t>- 6,0</w:t>
      </w:r>
      <w:r w:rsidRPr="00DB5D0D">
        <w:rPr>
          <w:rFonts w:ascii="Times New Roman" w:hAnsi="Times New Roman"/>
          <w:color w:val="0070C0"/>
          <w:sz w:val="16"/>
          <w:szCs w:val="16"/>
        </w:rPr>
        <w:tab/>
        <w:t>-"-</w:t>
      </w:r>
    </w:p>
    <w:p w14:paraId="232D5687"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Приобретение оборудования (станки)</w:t>
      </w:r>
      <w:r w:rsidRPr="00DB5D0D">
        <w:rPr>
          <w:rFonts w:ascii="Times New Roman" w:hAnsi="Times New Roman"/>
          <w:color w:val="0070C0"/>
          <w:sz w:val="16"/>
          <w:szCs w:val="16"/>
        </w:rPr>
        <w:tab/>
        <w:t>-</w:t>
      </w:r>
      <w:r w:rsidRPr="00DB5D0D">
        <w:rPr>
          <w:rFonts w:ascii="Times New Roman" w:hAnsi="Times New Roman"/>
          <w:color w:val="0070C0"/>
          <w:sz w:val="16"/>
          <w:szCs w:val="16"/>
        </w:rPr>
        <w:tab/>
        <w:t>- 8,0</w:t>
      </w:r>
      <w:r w:rsidRPr="00DB5D0D">
        <w:rPr>
          <w:rFonts w:ascii="Times New Roman" w:hAnsi="Times New Roman"/>
          <w:color w:val="0070C0"/>
          <w:sz w:val="16"/>
          <w:szCs w:val="16"/>
        </w:rPr>
        <w:tab/>
        <w:t>-"-</w:t>
      </w:r>
    </w:p>
    <w:p w14:paraId="1D5D3C2E"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жилищное строительство</w:t>
      </w:r>
      <w:r w:rsidRPr="00DB5D0D">
        <w:rPr>
          <w:rFonts w:ascii="Times New Roman" w:hAnsi="Times New Roman"/>
          <w:color w:val="0070C0"/>
          <w:sz w:val="16"/>
          <w:szCs w:val="16"/>
        </w:rPr>
        <w:tab/>
        <w:t>- 10,0</w:t>
      </w:r>
      <w:r w:rsidRPr="00DB5D0D">
        <w:rPr>
          <w:rFonts w:ascii="Times New Roman" w:hAnsi="Times New Roman"/>
          <w:color w:val="0070C0"/>
          <w:sz w:val="16"/>
          <w:szCs w:val="16"/>
        </w:rPr>
        <w:tab/>
        <w:t>-"-</w:t>
      </w:r>
      <w:r w:rsidRPr="00DB5D0D">
        <w:rPr>
          <w:rFonts w:ascii="Times New Roman" w:hAnsi="Times New Roman"/>
          <w:color w:val="0070C0"/>
          <w:sz w:val="16"/>
          <w:szCs w:val="16"/>
        </w:rPr>
        <w:fldChar w:fldCharType="end"/>
      </w:r>
    </w:p>
    <w:p w14:paraId="1CDA80F6"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е) под отчет в распоряжение Наркома Авиационной промыш</w:t>
      </w:r>
      <w:r w:rsidRPr="00DB5D0D">
        <w:rPr>
          <w:rFonts w:ascii="Times New Roman" w:hAnsi="Times New Roman"/>
          <w:color w:val="0070C0"/>
          <w:sz w:val="16"/>
          <w:szCs w:val="16"/>
        </w:rPr>
        <w:softHyphen/>
        <w:t>ленности для премирования конструкторов, ИТР и рабочих за</w:t>
      </w:r>
      <w:r w:rsidRPr="00DB5D0D">
        <w:rPr>
          <w:rFonts w:ascii="Times New Roman" w:hAnsi="Times New Roman"/>
          <w:color w:val="0070C0"/>
          <w:sz w:val="16"/>
          <w:szCs w:val="16"/>
        </w:rPr>
        <w:softHyphen/>
        <w:t>вода № 124 за выполнение в установленные сроки заданий 1940 года в соответствии с положением о премировании, пре</w:t>
      </w:r>
      <w:r w:rsidRPr="00DB5D0D">
        <w:rPr>
          <w:rFonts w:ascii="Times New Roman" w:hAnsi="Times New Roman"/>
          <w:color w:val="0070C0"/>
          <w:sz w:val="16"/>
          <w:szCs w:val="16"/>
        </w:rPr>
        <w:softHyphen/>
        <w:t>миальный Фонд в размере:</w:t>
      </w:r>
    </w:p>
    <w:p w14:paraId="05922574"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 самолет ТБ-7 М-30</w:t>
      </w:r>
      <w:r w:rsidRPr="00DB5D0D">
        <w:rPr>
          <w:rFonts w:ascii="Times New Roman" w:hAnsi="Times New Roman"/>
          <w:color w:val="0070C0"/>
          <w:sz w:val="16"/>
          <w:szCs w:val="16"/>
        </w:rPr>
        <w:tab/>
        <w:t>- 500,0 тыс.рублей.</w:t>
      </w:r>
    </w:p>
    <w:p w14:paraId="52B37C93"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 самолет</w:t>
      </w:r>
      <w:r w:rsidRPr="00DB5D0D">
        <w:rPr>
          <w:rFonts w:ascii="Times New Roman" w:hAnsi="Times New Roman"/>
          <w:color w:val="0070C0"/>
          <w:sz w:val="16"/>
          <w:szCs w:val="16"/>
        </w:rPr>
        <w:tab/>
        <w:t>ТБ-7</w:t>
      </w:r>
      <w:r w:rsidRPr="00DB5D0D">
        <w:rPr>
          <w:rFonts w:ascii="Times New Roman" w:hAnsi="Times New Roman"/>
          <w:color w:val="0070C0"/>
          <w:sz w:val="16"/>
          <w:szCs w:val="16"/>
        </w:rPr>
        <w:tab/>
        <w:t>М-40</w:t>
      </w:r>
      <w:r w:rsidRPr="00DB5D0D">
        <w:rPr>
          <w:rFonts w:ascii="Times New Roman" w:hAnsi="Times New Roman"/>
          <w:color w:val="0070C0"/>
          <w:sz w:val="16"/>
          <w:szCs w:val="16"/>
        </w:rPr>
        <w:tab/>
        <w:t>- 500,0</w:t>
      </w:r>
      <w:r w:rsidRPr="00DB5D0D">
        <w:rPr>
          <w:rFonts w:ascii="Times New Roman" w:hAnsi="Times New Roman"/>
          <w:color w:val="0070C0"/>
          <w:sz w:val="16"/>
          <w:szCs w:val="16"/>
        </w:rPr>
        <w:tab/>
        <w:t>“</w:t>
      </w:r>
      <w:r w:rsidRPr="00DB5D0D">
        <w:rPr>
          <w:rFonts w:ascii="Times New Roman" w:hAnsi="Times New Roman"/>
          <w:color w:val="0070C0"/>
          <w:sz w:val="16"/>
          <w:szCs w:val="16"/>
        </w:rPr>
        <w:tab/>
        <w:t>"</w:t>
      </w:r>
    </w:p>
    <w:p w14:paraId="4ABEFE66"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 самолет</w:t>
      </w:r>
      <w:r w:rsidRPr="00DB5D0D">
        <w:rPr>
          <w:rFonts w:ascii="Times New Roman" w:hAnsi="Times New Roman"/>
          <w:color w:val="0070C0"/>
          <w:sz w:val="16"/>
          <w:szCs w:val="16"/>
        </w:rPr>
        <w:tab/>
        <w:t>ТБ-7</w:t>
      </w:r>
      <w:r w:rsidRPr="00DB5D0D">
        <w:rPr>
          <w:rFonts w:ascii="Times New Roman" w:hAnsi="Times New Roman"/>
          <w:color w:val="0070C0"/>
          <w:sz w:val="16"/>
          <w:szCs w:val="16"/>
        </w:rPr>
        <w:tab/>
        <w:t>М-40Ф</w:t>
      </w:r>
      <w:r w:rsidRPr="00DB5D0D">
        <w:rPr>
          <w:rFonts w:ascii="Times New Roman" w:hAnsi="Times New Roman"/>
          <w:color w:val="0070C0"/>
          <w:sz w:val="16"/>
          <w:szCs w:val="16"/>
        </w:rPr>
        <w:tab/>
        <w:t>- 500,0</w:t>
      </w:r>
      <w:r w:rsidRPr="00DB5D0D">
        <w:rPr>
          <w:rFonts w:ascii="Times New Roman" w:hAnsi="Times New Roman"/>
          <w:color w:val="0070C0"/>
          <w:sz w:val="16"/>
          <w:szCs w:val="16"/>
        </w:rPr>
        <w:tab/>
        <w:t>“</w:t>
      </w:r>
      <w:r w:rsidRPr="00DB5D0D">
        <w:rPr>
          <w:rFonts w:ascii="Times New Roman" w:hAnsi="Times New Roman"/>
          <w:color w:val="0070C0"/>
          <w:sz w:val="16"/>
          <w:szCs w:val="16"/>
        </w:rPr>
        <w:tab/>
        <w:t>"</w:t>
      </w:r>
    </w:p>
    <w:p w14:paraId="1C327795"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 самолеты ТВ-7 АМ-35А - 2,5 млн. рублей.</w:t>
      </w:r>
    </w:p>
    <w:p w14:paraId="57225184"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Выписка послана: т.Сафонову.</w:t>
      </w:r>
    </w:p>
    <w:p w14:paraId="5A9E0C3E"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 О постройке в ЦИАМе новых опытных агрегатов</w:t>
      </w:r>
    </w:p>
    <w:p w14:paraId="7C4897D0"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Отпустить из резервного Фонда СПК СССР для премирова</w:t>
      </w:r>
      <w:r w:rsidRPr="00DB5D0D">
        <w:rPr>
          <w:rFonts w:ascii="Times New Roman" w:hAnsi="Times New Roman"/>
          <w:color w:val="0070C0"/>
          <w:sz w:val="16"/>
          <w:szCs w:val="16"/>
        </w:rPr>
        <w:softHyphen/>
        <w:t>ния конструкторов. ИТР и рабочих ЦИАН за создание авиацион</w:t>
      </w:r>
      <w:r w:rsidRPr="00DB5D0D">
        <w:rPr>
          <w:rFonts w:ascii="Times New Roman" w:hAnsi="Times New Roman"/>
          <w:color w:val="0070C0"/>
          <w:sz w:val="16"/>
          <w:szCs w:val="16"/>
        </w:rPr>
        <w:softHyphen/>
        <w:t>ных моторов и агрегатов в установленные сроки, под отчет в распоряжение Наркома Авиапромышленности на 1940 год 1 млн. руб., в том числе:</w:t>
      </w:r>
    </w:p>
    <w:p w14:paraId="07F4F8FB"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но турбокомпрессорам 40С тысяч рублей;</w:t>
      </w:r>
    </w:p>
    <w:p w14:paraId="5C0076BF"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по нагнетателям двухступенчатым 300 тысяч рублей;</w:t>
      </w:r>
    </w:p>
    <w:p w14:paraId="18D854C1"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но непосредственному впрыску 300 тысяч рублей;</w:t>
      </w:r>
    </w:p>
    <w:p w14:paraId="3E384203"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Наркомавианрому отчет об израсходовании премиальных сумм представить в Комитет Оборони при СНК СССР 20 января 1941 года.</w:t>
      </w:r>
    </w:p>
    <w:p w14:paraId="0F493506" w14:textId="77777777" w:rsidR="00DA1C9C" w:rsidRPr="00DB5D0D" w:rsidRDefault="00DA1C9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Выписка послана: т.Сафонову (21912).</w:t>
      </w:r>
    </w:p>
    <w:p w14:paraId="0683E90C" w14:textId="77777777" w:rsidR="00DA1C9C" w:rsidRPr="00DB5D0D" w:rsidRDefault="00DA1C9C" w:rsidP="00DB5D0D">
      <w:pPr>
        <w:spacing w:after="0" w:line="240" w:lineRule="auto"/>
        <w:jc w:val="both"/>
        <w:rPr>
          <w:rFonts w:ascii="Times New Roman" w:hAnsi="Times New Roman"/>
          <w:color w:val="0070C0"/>
          <w:sz w:val="16"/>
          <w:szCs w:val="16"/>
        </w:rPr>
      </w:pPr>
    </w:p>
    <w:p w14:paraId="332B7B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И-26-2 был предъявлен на гос. испытания, но не приняли из-за незавершенности заводских (65%) (198,9).</w:t>
      </w:r>
    </w:p>
    <w:p w14:paraId="262307B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EB87F7" w14:textId="77777777" w:rsidR="0013421D" w:rsidRPr="00DB5D0D" w:rsidRDefault="001342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 в постановлении Политбюро № П 16 / 205 «О Кагановиче М.М.» предписывалось утвердить Кагановича М.М. директором завода № 124 НКАП, отправив в распоряжение Наркомата Авиационной Промышленности «нынешнего директора этого завода т. Штейнберга И.И.» (19541).</w:t>
      </w:r>
    </w:p>
    <w:p w14:paraId="6ECBE712" w14:textId="77777777" w:rsidR="0013421D" w:rsidRPr="00DB5D0D" w:rsidRDefault="0013421D" w:rsidP="00DB5D0D">
      <w:pPr>
        <w:spacing w:after="0" w:line="240" w:lineRule="auto"/>
        <w:jc w:val="both"/>
        <w:rPr>
          <w:rFonts w:ascii="Times New Roman" w:hAnsi="Times New Roman"/>
          <w:color w:val="000000" w:themeColor="text1"/>
          <w:sz w:val="16"/>
          <w:szCs w:val="16"/>
        </w:rPr>
      </w:pPr>
    </w:p>
    <w:p w14:paraId="1F6C7D4D"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26 мая</w:t>
      </w:r>
      <w:r w:rsidRPr="00DB5D0D">
        <w:rPr>
          <w:rFonts w:ascii="Times New Roman" w:hAnsi="Times New Roman"/>
          <w:color w:val="000000" w:themeColor="text1"/>
          <w:sz w:val="16"/>
          <w:szCs w:val="16"/>
        </w:rPr>
        <w:t xml:space="preserve"> в 1940 году </w:t>
      </w:r>
      <w:hyperlink r:id="rId57" w:tgtFrame="_blank" w:history="1">
        <w:r w:rsidRPr="00DB5D0D">
          <w:rPr>
            <w:rFonts w:ascii="Times New Roman" w:hAnsi="Times New Roman"/>
            <w:color w:val="000000" w:themeColor="text1"/>
            <w:sz w:val="16"/>
            <w:szCs w:val="16"/>
          </w:rPr>
          <w:t xml:space="preserve">«И-26-II» </w:t>
        </w:r>
      </w:hyperlink>
      <w:r w:rsidRPr="00DB5D0D">
        <w:rPr>
          <w:rFonts w:ascii="Times New Roman" w:hAnsi="Times New Roman"/>
          <w:color w:val="000000" w:themeColor="text1"/>
          <w:sz w:val="16"/>
          <w:szCs w:val="16"/>
        </w:rPr>
        <w:t>был представлен на государственные испытания. Ввиду недоведенности вооружения, ВМГ и незавершенности заводских летных испытаний (их программа была выполнена всего на 65 %) самолет на испытания НИИ ВВС КА не был принят. Только по приказу начальника Главного управления авиационного снабжения комдива Алексеева от 29 мая 1940 г. НИИ ВВС принял «И-26-II» на госиспытания, которые продолжались с 1 по 15 июня 1940 г (14903).</w:t>
      </w:r>
    </w:p>
    <w:p w14:paraId="200FABD8" w14:textId="77777777" w:rsidR="002330A8" w:rsidRPr="00DB5D0D" w:rsidRDefault="002330A8" w:rsidP="00DB5D0D">
      <w:pPr>
        <w:spacing w:after="0" w:line="240" w:lineRule="auto"/>
        <w:jc w:val="both"/>
        <w:rPr>
          <w:rFonts w:ascii="Times New Roman" w:hAnsi="Times New Roman"/>
          <w:color w:val="000000" w:themeColor="text1"/>
          <w:sz w:val="16"/>
          <w:szCs w:val="16"/>
        </w:rPr>
      </w:pPr>
    </w:p>
    <w:p w14:paraId="14405224" w14:textId="77777777" w:rsidR="0013421D" w:rsidRPr="00DB5D0D" w:rsidRDefault="001342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 в соответствии с журналом заказов, были открыты заводские испытания И-26-3. Третий прототип И-26 был построен на заводе № 115 для удовлетворения требований военных, потому что резервы улучшения конструкции И-26-11 были исчерпаны. Пока доподлинно неизвестно когда И-26-III выполнил свой первый полет. Третий прототип также не избежал доводки винтомоторной группы и замены моторов. Во время заводских испытаний И-26-П1 выполнил 24 полета (в том числе на пикирование до скорости 628 км/ч) после чего 4 октября 1940 г. его перегнали в НИИ ВВС для заводского отстрела вооружения в тире НИИ (12048).</w:t>
      </w:r>
    </w:p>
    <w:p w14:paraId="029BEC4C" w14:textId="77777777" w:rsidR="0013421D" w:rsidRPr="00DB5D0D" w:rsidRDefault="0013421D" w:rsidP="00DB5D0D">
      <w:pPr>
        <w:spacing w:after="0" w:line="240" w:lineRule="auto"/>
        <w:jc w:val="both"/>
        <w:rPr>
          <w:rFonts w:ascii="Times New Roman" w:hAnsi="Times New Roman"/>
          <w:color w:val="000000" w:themeColor="text1"/>
          <w:sz w:val="16"/>
          <w:szCs w:val="16"/>
        </w:rPr>
      </w:pPr>
    </w:p>
    <w:p w14:paraId="32C4E2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с 26 мая по 18 июля 1940 года в рамках создания И-26-3 под руководством ведущнго конструктора С.Д. Трефилова проводилось проектирование и изготовление металлического крыла. В связи доводкой и постановкой в серию истребителя Як-1 и его учебного варианта Як-7 работы по машине Як-3, как стал называться И-30 после смены обозначений, несколько застопорились (к концу года техническая готовность машины составляла всего 10 %). В связи с этим планы по переходу серийных заводов на изготовление новой машины были пересмотрены. В 1941 году выпуск Як-3 должен был начаться со второго квартала и уже на заводах №№ 83, 99, 292, 301.</w:t>
      </w:r>
    </w:p>
    <w:p w14:paraId="46300A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 вобрал в себя весь накопленный в ОКБ опыт по созданию истребителей. В его конструкции были максимально учтены требования ВВС по исправлению недостатков И-26, выявленных в процессе испытаний. Главный конструктор и специалисты ОКБ считали и обещали Правительству и ВВС, что эта машина заменит собой в серийном производстве самолет Як-1. Винтомоторная группа, шасси и металлическое хвостовое оперение были целиком взяты с машины И-28. Мотор М-105ПД, большей мощности, чем М-105П, позволил не только вернуться к исходному варианту вооружения (мотор- пушка ШВАК и четыре ШКАСа), но и добавить еще две пушки ШВАК в крыло. В свою очередь металлическое разъемное крыло, состоявшее из центроплана и двух консолей, дало возможность не только увеличить запас горючего (с 305 до 383 кг), но и разместить в центроплане маслорадиаторы. Беспереплетный козырек фонаря кабины, установка радиостанции с мачтой антенны, отъемная моторама, ручка управления с кнопочными гашетками оружия, как на "Мессершмитте", тяги управления рулем высоты, проходящие над водорадиатором (а не сквозь как на Як-1), тяги управления элеронами, вынесенные за задний лонжерон, управление триммерами руля поворота и элеронов, предкрылки, посадочная фара - вот далеко не полный перечень произведенных улучшений.</w:t>
      </w:r>
    </w:p>
    <w:p w14:paraId="3C0269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смене типа самолета ОКБ Яковлева для серийного производства возник в связи с требованием увеличения дальности полета серийных истребителей до 1000 км на скорости 0,9 максимальной. КБ Яковлева попыталось добавить горючего на самолет Як-1. Машина № 0412 получила на заводе дополнительный бензобак, расположенный под поляком и сиденьем пилота. Материалы испытаний этого самолета пока не найдены, но то, что распространения этот вариант не получил, позволяет предположить, что и здесь выигрыш в дальности полета вступил в противоречие с ограничением полетного веса Як-1 по прочности шасси (12048).</w:t>
      </w:r>
    </w:p>
    <w:p w14:paraId="439F3CE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EEFF0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года, на следующий день после решения Политбюро ЦК ВКП(б) о постановке на производство, произошла авария самолета И-180 производства завода № 21 И-180 № 25212 с мотором М-88 (летчик – Герой Советского Союза Супрун). «Пилот проводил инспекторский полет. Во время полета на высоте 800 – 1000 метров мотор стал работать с перебоями, из выхлопных патрубков появились хлопки белого дыма. Пилот пошел на посадку. Самолет нормально коснулся земли и ровно пробежал около 100 метров. После этого самолет резко развернуло влево... градусов на 30. Пилот тормозом выправил положение, самолет развернуло вправо. Затем самолет стал рыскать вправо и влево, вскоре концом винта задел землю и далее полностью скапотировал, со сваливанием на правое крыло. Самолет полностью разбит.</w:t>
      </w:r>
    </w:p>
    <w:p w14:paraId="65F34A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Причина аварии: авария произошла из-за нежесткости и непрочности траверса ноги шасси...» (Самарский филиал РГАНТД. Ф. Р-217. 1-6. Д. 26. Л. 6.).</w:t>
      </w:r>
    </w:p>
    <w:p w14:paraId="417BAB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явствует из этих материалов, полет прервался из-за проблем с мотором.</w:t>
      </w:r>
    </w:p>
    <w:p w14:paraId="4068FD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же самого летчика-испытателя, «пилоты, освоившие И-16, легко освоят И-180» (Там же. Л. 8.) (11672).</w:t>
      </w:r>
    </w:p>
    <w:p w14:paraId="16DA893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8CF93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в три часа дня Супрун поднял машину №25212 с Центрального аэродрома для инспекторского облета. При выполнении посадки на пробеге разрушилась траверса (балка, связывающая стойку и шток амортиза</w:t>
      </w:r>
      <w:r w:rsidRPr="00DB5D0D">
        <w:rPr>
          <w:rFonts w:ascii="Times New Roman" w:hAnsi="Times New Roman"/>
          <w:color w:val="000000" w:themeColor="text1"/>
          <w:sz w:val="16"/>
          <w:szCs w:val="16"/>
        </w:rPr>
        <w:softHyphen/>
        <w:t>тора) правой ноги шасси. В результате, стойку вместе с колесом развернуло поперек движе</w:t>
      </w:r>
      <w:r w:rsidRPr="00DB5D0D">
        <w:rPr>
          <w:rFonts w:ascii="Times New Roman" w:hAnsi="Times New Roman"/>
          <w:color w:val="000000" w:themeColor="text1"/>
          <w:sz w:val="16"/>
          <w:szCs w:val="16"/>
        </w:rPr>
        <w:softHyphen/>
        <w:t>ния, и самолет скапотировал. По версии пило</w:t>
      </w:r>
      <w:r w:rsidRPr="00DB5D0D">
        <w:rPr>
          <w:rFonts w:ascii="Times New Roman" w:hAnsi="Times New Roman"/>
          <w:color w:val="000000" w:themeColor="text1"/>
          <w:sz w:val="16"/>
          <w:szCs w:val="16"/>
        </w:rPr>
        <w:softHyphen/>
        <w:t>та это произошло самопроизвольно. По версии очевидцев дорогу садящемуся И-180 пересек руливший на взлет пассажирский «Сталь-3», по</w:t>
      </w:r>
      <w:r w:rsidRPr="00DB5D0D">
        <w:rPr>
          <w:rFonts w:ascii="Times New Roman" w:hAnsi="Times New Roman"/>
          <w:color w:val="000000" w:themeColor="text1"/>
          <w:sz w:val="16"/>
          <w:szCs w:val="16"/>
        </w:rPr>
        <w:softHyphen/>
        <w:t>этому Супрун вынужден был тормознуть. Нажа</w:t>
      </w:r>
      <w:r w:rsidRPr="00DB5D0D">
        <w:rPr>
          <w:rFonts w:ascii="Times New Roman" w:hAnsi="Times New Roman"/>
          <w:color w:val="000000" w:themeColor="text1"/>
          <w:sz w:val="16"/>
          <w:szCs w:val="16"/>
        </w:rPr>
        <w:softHyphen/>
        <w:t>тие на тормоза произошло в момент, когда ле</w:t>
      </w:r>
      <w:r w:rsidRPr="00DB5D0D">
        <w:rPr>
          <w:rFonts w:ascii="Times New Roman" w:hAnsi="Times New Roman"/>
          <w:color w:val="000000" w:themeColor="text1"/>
          <w:sz w:val="16"/>
          <w:szCs w:val="16"/>
        </w:rPr>
        <w:softHyphen/>
        <w:t>вое колесо, подпрыгнув на неровности, оторва</w:t>
      </w:r>
      <w:r w:rsidRPr="00DB5D0D">
        <w:rPr>
          <w:rFonts w:ascii="Times New Roman" w:hAnsi="Times New Roman"/>
          <w:color w:val="000000" w:themeColor="text1"/>
          <w:sz w:val="16"/>
          <w:szCs w:val="16"/>
        </w:rPr>
        <w:softHyphen/>
        <w:t>лось от земли. Затормозилось, таким образом, только правое колесо - его и вывернуло набок. Была еще одна версия аварии. При торможении на высокой скорости самолет «клюнул» и зацепил винтом землю. И-180 раз</w:t>
      </w:r>
      <w:r w:rsidRPr="00DB5D0D">
        <w:rPr>
          <w:rFonts w:ascii="Times New Roman" w:hAnsi="Times New Roman"/>
          <w:color w:val="000000" w:themeColor="text1"/>
          <w:sz w:val="16"/>
          <w:szCs w:val="16"/>
        </w:rPr>
        <w:softHyphen/>
        <w:t>вернуло в сторону противоположную враще</w:t>
      </w:r>
      <w:r w:rsidRPr="00DB5D0D">
        <w:rPr>
          <w:rFonts w:ascii="Times New Roman" w:hAnsi="Times New Roman"/>
          <w:color w:val="000000" w:themeColor="text1"/>
          <w:sz w:val="16"/>
          <w:szCs w:val="16"/>
        </w:rPr>
        <w:softHyphen/>
        <w:t>нию. Этого оказалось достаточно, чтобы правая нога «сработала на скручивание», и траверса амортизатора лопнула. В результате аварии самолет получил серь</w:t>
      </w:r>
      <w:r w:rsidRPr="00DB5D0D">
        <w:rPr>
          <w:rFonts w:ascii="Times New Roman" w:hAnsi="Times New Roman"/>
          <w:color w:val="000000" w:themeColor="text1"/>
          <w:sz w:val="16"/>
          <w:szCs w:val="16"/>
        </w:rPr>
        <w:softHyphen/>
        <w:t>езные повреждения, но летчик отделался уши</w:t>
      </w:r>
      <w:r w:rsidRPr="00DB5D0D">
        <w:rPr>
          <w:rFonts w:ascii="Times New Roman" w:hAnsi="Times New Roman"/>
          <w:color w:val="000000" w:themeColor="text1"/>
          <w:sz w:val="16"/>
          <w:szCs w:val="16"/>
        </w:rPr>
        <w:softHyphen/>
        <w:t>бами. В официальном заключении по аварии причиной называлось несоблюдение техноло</w:t>
      </w:r>
      <w:r w:rsidRPr="00DB5D0D">
        <w:rPr>
          <w:rFonts w:ascii="Times New Roman" w:hAnsi="Times New Roman"/>
          <w:color w:val="000000" w:themeColor="text1"/>
          <w:sz w:val="16"/>
          <w:szCs w:val="16"/>
        </w:rPr>
        <w:softHyphen/>
        <w:t>гии производства заводом изготовителем - в траверсе были установлены неравнопрочные («сырые» и закаленные) болты. Супрун был огорчен аварией не менее дру</w:t>
      </w:r>
      <w:r w:rsidRPr="00DB5D0D">
        <w:rPr>
          <w:rFonts w:ascii="Times New Roman" w:hAnsi="Times New Roman"/>
          <w:color w:val="000000" w:themeColor="text1"/>
          <w:sz w:val="16"/>
          <w:szCs w:val="16"/>
        </w:rPr>
        <w:softHyphen/>
        <w:t xml:space="preserve">гих. Оценивая происшествие, он записал: </w:t>
      </w:r>
      <w:r w:rsidRPr="00DB5D0D">
        <w:rPr>
          <w:rFonts w:ascii="Times New Roman" w:hAnsi="Times New Roman"/>
          <w:iCs/>
          <w:color w:val="000000" w:themeColor="text1"/>
          <w:sz w:val="16"/>
          <w:szCs w:val="16"/>
        </w:rPr>
        <w:t>«...Считаю, что самолет необходимо тщатель</w:t>
      </w:r>
      <w:r w:rsidRPr="00DB5D0D">
        <w:rPr>
          <w:rFonts w:ascii="Times New Roman" w:hAnsi="Times New Roman"/>
          <w:iCs/>
          <w:color w:val="000000" w:themeColor="text1"/>
          <w:sz w:val="16"/>
          <w:szCs w:val="16"/>
        </w:rPr>
        <w:softHyphen/>
        <w:t>но проверить и запустить в серию. Самолет очень напоминает И-16, летчики, которые ос</w:t>
      </w:r>
      <w:r w:rsidRPr="00DB5D0D">
        <w:rPr>
          <w:rFonts w:ascii="Times New Roman" w:hAnsi="Times New Roman"/>
          <w:iCs/>
          <w:color w:val="000000" w:themeColor="text1"/>
          <w:sz w:val="16"/>
          <w:szCs w:val="16"/>
        </w:rPr>
        <w:softHyphen/>
        <w:t>воили И-16, легко освоят И-180. Самолет зна</w:t>
      </w:r>
      <w:r w:rsidRPr="00DB5D0D">
        <w:rPr>
          <w:rFonts w:ascii="Times New Roman" w:hAnsi="Times New Roman"/>
          <w:iCs/>
          <w:color w:val="000000" w:themeColor="text1"/>
          <w:sz w:val="16"/>
          <w:szCs w:val="16"/>
        </w:rPr>
        <w:softHyphen/>
        <w:t>чительно лучше И-28»</w:t>
      </w:r>
      <w:r w:rsidRPr="00DB5D0D">
        <w:rPr>
          <w:rFonts w:ascii="Times New Roman" w:hAnsi="Times New Roman"/>
          <w:color w:val="000000" w:themeColor="text1"/>
          <w:sz w:val="16"/>
          <w:szCs w:val="16"/>
        </w:rPr>
        <w:t xml:space="preserve"> (9979).</w:t>
      </w:r>
    </w:p>
    <w:p w14:paraId="2E519B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BB62B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С.П.Супрун попросил разрешения со</w:t>
      </w:r>
      <w:r w:rsidRPr="00DB5D0D">
        <w:rPr>
          <w:rFonts w:ascii="Times New Roman" w:hAnsi="Times New Roman"/>
          <w:color w:val="000000" w:themeColor="text1"/>
          <w:sz w:val="16"/>
          <w:szCs w:val="16"/>
        </w:rPr>
        <w:softHyphen/>
        <w:t>вершить на серийном И-180 инспекторский полет. В три часа дня он вылетел на машине № 25212. Во время посадки на пробеге разрушилась траверса правой ноги шасси. Стойка вместе с колесом развернулась поперек направления движения и самолет скапотировал. Летчик не пострадал. Очевидцы происшествия, в том числе ве</w:t>
      </w:r>
      <w:r w:rsidRPr="00DB5D0D">
        <w:rPr>
          <w:rFonts w:ascii="Times New Roman" w:hAnsi="Times New Roman"/>
          <w:color w:val="000000" w:themeColor="text1"/>
          <w:sz w:val="16"/>
          <w:szCs w:val="16"/>
        </w:rPr>
        <w:softHyphen/>
        <w:t>дущий инженер по И-180 Тростянский, отмечали, что во время пробега, когда не была еще погашена скорость, на полосу вырулил пассажирский самолет «Сталь-3». Летчик затормозил. В этот момент левая нога шасси подпрыгнула на неровности и всю нагрузку приняла правая нога. Аварийная комиссия главной причиной произошед</w:t>
      </w:r>
      <w:r w:rsidRPr="00DB5D0D">
        <w:rPr>
          <w:rFonts w:ascii="Times New Roman" w:hAnsi="Times New Roman"/>
          <w:color w:val="000000" w:themeColor="text1"/>
          <w:sz w:val="16"/>
          <w:szCs w:val="16"/>
        </w:rPr>
        <w:softHyphen/>
        <w:t>шего назвала несоблюдение технологии производства заводом-изготовителем: в двухзвеннике обнаружили неравнопрочные сырые и закаленные болты. Супрун в объяснительной записке писал:</w:t>
      </w:r>
    </w:p>
    <w:p w14:paraId="66B079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это, считаю, что самолет необходимо тщательно проверить и срочно запустить его в серию.</w:t>
      </w:r>
    </w:p>
    <w:p w14:paraId="1B2F9B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очень напоминает самолет И-16. Летчики, которые освоили самолет И-16, легко освоят самолет И-180.</w:t>
      </w:r>
    </w:p>
    <w:p w14:paraId="0C7300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значительно лучше самолета И-28 (истре</w:t>
      </w:r>
      <w:r w:rsidRPr="00DB5D0D">
        <w:rPr>
          <w:rFonts w:ascii="Times New Roman" w:hAnsi="Times New Roman"/>
          <w:color w:val="000000" w:themeColor="text1"/>
          <w:sz w:val="16"/>
          <w:szCs w:val="16"/>
        </w:rPr>
        <w:softHyphen/>
        <w:t>битель конструкции В.П.Яценко с двигателем М-87А. -В.И.)» (10667).</w:t>
      </w:r>
    </w:p>
    <w:p w14:paraId="32EAF0D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26E4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л-и С.Супрун во время инспекторского облета на ЦА на посадке разбил И-180 (254,22) - из первых трех серийных N 25212 (2495,15).</w:t>
      </w:r>
    </w:p>
    <w:p w14:paraId="41149A3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E6CC0FD" w14:textId="77777777" w:rsidR="0013421D" w:rsidRPr="00DB5D0D" w:rsidRDefault="001342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 произошла авария второго самолета И-180 войсковой серии: при посадке у С.П. Супруна разрушилась правая стойка трехстоечного шасси и самолет скапоти</w:t>
      </w:r>
      <w:r w:rsidRPr="00DB5D0D">
        <w:rPr>
          <w:rFonts w:ascii="Times New Roman" w:hAnsi="Times New Roman"/>
          <w:color w:val="000000" w:themeColor="text1"/>
          <w:sz w:val="16"/>
          <w:szCs w:val="16"/>
        </w:rPr>
        <w:softHyphen/>
        <w:t>ровал, но летчик не пострадал. А 6 июля уже в процессе начавшихся госиспытаний (начаты 27 июня 1940 г.) был разбит тре</w:t>
      </w:r>
      <w:r w:rsidRPr="00DB5D0D">
        <w:rPr>
          <w:rFonts w:ascii="Times New Roman" w:hAnsi="Times New Roman"/>
          <w:color w:val="000000" w:themeColor="text1"/>
          <w:sz w:val="16"/>
          <w:szCs w:val="16"/>
        </w:rPr>
        <w:softHyphen/>
        <w:t>тий опытный экземпляр: летчик-испыта</w:t>
      </w:r>
      <w:r w:rsidRPr="00DB5D0D">
        <w:rPr>
          <w:rFonts w:ascii="Times New Roman" w:hAnsi="Times New Roman"/>
          <w:color w:val="000000" w:themeColor="text1"/>
          <w:sz w:val="16"/>
          <w:szCs w:val="16"/>
        </w:rPr>
        <w:softHyphen/>
        <w:t>тель НИИ ВВС А.Г. Прошаков при выпол</w:t>
      </w:r>
      <w:r w:rsidRPr="00DB5D0D">
        <w:rPr>
          <w:rFonts w:ascii="Times New Roman" w:hAnsi="Times New Roman"/>
          <w:color w:val="000000" w:themeColor="text1"/>
          <w:sz w:val="16"/>
          <w:szCs w:val="16"/>
        </w:rPr>
        <w:softHyphen/>
        <w:t>нении бочки перешел в спираль, не смог вывести из нее самолет и покинул его на парашюте. О причинах этой аварии между Поликарповым и НИИ ВВС возник оче</w:t>
      </w:r>
      <w:r w:rsidRPr="00DB5D0D">
        <w:rPr>
          <w:rFonts w:ascii="Times New Roman" w:hAnsi="Times New Roman"/>
          <w:color w:val="000000" w:themeColor="text1"/>
          <w:sz w:val="16"/>
          <w:szCs w:val="16"/>
        </w:rPr>
        <w:softHyphen/>
        <w:t>редной спор: конструктор считал причи</w:t>
      </w:r>
      <w:r w:rsidRPr="00DB5D0D">
        <w:rPr>
          <w:rFonts w:ascii="Times New Roman" w:hAnsi="Times New Roman"/>
          <w:color w:val="000000" w:themeColor="text1"/>
          <w:sz w:val="16"/>
          <w:szCs w:val="16"/>
        </w:rPr>
        <w:softHyphen/>
        <w:t>ной ошибку летчика в пилотировании, а НИИ ВВС - недостаточную прочность и жесткость горизонтального оперения и заклинение ручного управления, а также недостаточную устойчивость самолета. Все это ставило И-180 в очень уязвимое положение, тем более было неясно, по каким чертежам строить серию - черте</w:t>
      </w:r>
      <w:r w:rsidRPr="00DB5D0D">
        <w:rPr>
          <w:rFonts w:ascii="Times New Roman" w:hAnsi="Times New Roman"/>
          <w:color w:val="000000" w:themeColor="text1"/>
          <w:sz w:val="16"/>
          <w:szCs w:val="16"/>
        </w:rPr>
        <w:softHyphen/>
        <w:t>жам завода №21 (т.е. фактически второго опытного экземпляра), или по перерабо</w:t>
      </w:r>
      <w:r w:rsidRPr="00DB5D0D">
        <w:rPr>
          <w:rFonts w:ascii="Times New Roman" w:hAnsi="Times New Roman"/>
          <w:color w:val="000000" w:themeColor="text1"/>
          <w:sz w:val="16"/>
          <w:szCs w:val="16"/>
        </w:rPr>
        <w:softHyphen/>
        <w:t>танным Поликарповым чертежам третьего опытного экземпляра. Аварии же показы</w:t>
      </w:r>
      <w:r w:rsidRPr="00DB5D0D">
        <w:rPr>
          <w:rFonts w:ascii="Times New Roman" w:hAnsi="Times New Roman"/>
          <w:color w:val="000000" w:themeColor="text1"/>
          <w:sz w:val="16"/>
          <w:szCs w:val="16"/>
        </w:rPr>
        <w:softHyphen/>
        <w:t>вали, что и тот, и другой варианты требо</w:t>
      </w:r>
      <w:r w:rsidRPr="00DB5D0D">
        <w:rPr>
          <w:rFonts w:ascii="Times New Roman" w:hAnsi="Times New Roman"/>
          <w:color w:val="000000" w:themeColor="text1"/>
          <w:sz w:val="16"/>
          <w:szCs w:val="16"/>
        </w:rPr>
        <w:softHyphen/>
        <w:t>вали очередной доработки.</w:t>
      </w:r>
    </w:p>
    <w:p w14:paraId="3D348CAB" w14:textId="77777777" w:rsidR="0013421D" w:rsidRPr="00DB5D0D" w:rsidRDefault="001342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Повторное же постановление о за</w:t>
      </w:r>
      <w:r w:rsidRPr="00DB5D0D">
        <w:rPr>
          <w:rFonts w:ascii="Times New Roman" w:hAnsi="Times New Roman"/>
          <w:color w:val="000000" w:themeColor="text1"/>
          <w:sz w:val="16"/>
          <w:szCs w:val="16"/>
        </w:rPr>
        <w:softHyphen/>
        <w:t>пуске в серию на заводе №21 самолета И-180 Поликарпова, при сохранении в 1940 г. серийного производства И-16 тип 29, говорило о том, что нарком Ша- хурин пока «придерживал» этот близкий ему завод для возможного вскоре пере</w:t>
      </w:r>
      <w:r w:rsidRPr="00DB5D0D">
        <w:rPr>
          <w:rFonts w:ascii="Times New Roman" w:hAnsi="Times New Roman"/>
          <w:color w:val="000000" w:themeColor="text1"/>
          <w:sz w:val="16"/>
          <w:szCs w:val="16"/>
        </w:rPr>
        <w:softHyphen/>
        <w:t>хода на выпуск «своего» И-21 (по при</w:t>
      </w:r>
      <w:r w:rsidRPr="00DB5D0D">
        <w:rPr>
          <w:rFonts w:ascii="Times New Roman" w:hAnsi="Times New Roman"/>
          <w:color w:val="000000" w:themeColor="text1"/>
          <w:sz w:val="16"/>
          <w:szCs w:val="16"/>
        </w:rPr>
        <w:softHyphen/>
        <w:t>меру того, как это сделано на заводе №1). Ситуация с испытаниями И-180 действи</w:t>
      </w:r>
      <w:r w:rsidRPr="00DB5D0D">
        <w:rPr>
          <w:rFonts w:ascii="Times New Roman" w:hAnsi="Times New Roman"/>
          <w:color w:val="000000" w:themeColor="text1"/>
          <w:sz w:val="16"/>
          <w:szCs w:val="16"/>
        </w:rPr>
        <w:softHyphen/>
        <w:t>тельно продолжала оставаться сложной (19734).</w:t>
      </w:r>
    </w:p>
    <w:p w14:paraId="24053F09" w14:textId="77777777" w:rsidR="0013421D" w:rsidRPr="00DB5D0D" w:rsidRDefault="0013421D" w:rsidP="00DB5D0D">
      <w:pPr>
        <w:spacing w:after="0" w:line="240" w:lineRule="auto"/>
        <w:jc w:val="both"/>
        <w:rPr>
          <w:rFonts w:ascii="Times New Roman" w:hAnsi="Times New Roman"/>
          <w:color w:val="000000" w:themeColor="text1"/>
          <w:sz w:val="16"/>
          <w:szCs w:val="16"/>
        </w:rPr>
      </w:pPr>
    </w:p>
    <w:p w14:paraId="784FF7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мая 1940 в три часа дня Супрун поднял машину И-180-3 серийный № 25212 с Центрального аэродрома для инспекторского облета. При выполнении посадки, на пробеге, разрушилась траверса (двузвенник, связывающий стойку и шток амортизатора) правой ноги шасси. В результате, стойку вместе с колесом развернуло поперек направления движения, самолет скапотировал. По версии пилота, это произошло самопроизвольно. По версии очевидцев, дорогу садящемуся И-180 пересек руливший на взлет пассажирский Сталь-3, поэтому Супрун вынужден был тормозить. Нажатие на тормоза произошло в момент, когда левое колесо, подпрыгнув на неровности, оторвалось от земли. Затормозилось таким образом, правое колесо, его и развернуло. Была еще версия. При торможении на высокой скорости самолет "клюнул" и зацепил воздушным винтом землю, И-180 развернуло в сторону, противоположную вращению. Этого оказалось достаточно, чтобы правая нога сработала на кручение </w:t>
      </w:r>
      <w:r w:rsidRPr="00DB5D0D">
        <w:rPr>
          <w:rFonts w:ascii="Times New Roman" w:hAnsi="Times New Roman"/>
          <w:color w:val="000000" w:themeColor="text1"/>
          <w:sz w:val="16"/>
          <w:szCs w:val="16"/>
        </w:rPr>
        <w:lastRenderedPageBreak/>
        <w:t>и траверса амортизатора лопнула. В результате аварии самолет № 25212 был значительно поврежден, летчик Супрун отделался ушибами. В официальном заключении по аварии причиной называлось несоблюдение технологии производства заводом-изготовителем - в двузвеннике были установлены неравнопрочные сырые и закаленные болты (3203,10). Супрун был огорчен аварией не менее других, оценивая происшествие, он записал: "...Считаю, что самолет необходимо тщательно проверить и запустить в серию. Самолет очень напоминает И-16, летчики, которые освоили И-16, легко освоят И-180. Самолет значительно лучше И-28" (3203,10).</w:t>
      </w:r>
    </w:p>
    <w:p w14:paraId="2EDB167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FA3B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в 15:05 Супрун начал выполнение инспекторского полета по заданию Нач. ГУ ВВС ка2р т. Смушкевича</w:t>
      </w:r>
    </w:p>
    <w:p w14:paraId="0BC6E7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ЛЭС з-да № 1 гсс п И.В.Доронин совм. С зам ГИ завода № 21 т. Куприяновым/, и НИИ ВВС Ерышевым, в/и Манукяном</w:t>
      </w:r>
    </w:p>
    <w:p w14:paraId="68ABA2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разьит, ремонту не подлежит ввиду излома фюзеляжа.</w:t>
      </w:r>
    </w:p>
    <w:p w14:paraId="1B7CEE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взлета в 15:05 с ЦА набрал высоту 800-1000 м. На этой высоте убрал шасси, но затем на втором развороте их опять выпустил, приняв решение идти на посадку ввиду неровной работы мотора и появившихся хлопков белого дыми из выхлопных патрубков. Пошел на посадку.</w:t>
      </w:r>
    </w:p>
    <w:p w14:paraId="22CB49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Посадка была затруднена - на посадочной полосе Сталь-3. Расчет был отличный. Посадку выполнил правее Сталь-3. С-т нормально приземлился и прорбежав 100 м вдруг резко развернулся влево, л-к тормозом поправил с-т, развернул вправо, после чего с-т стал рыскатьб вправо и влево и вскоре произошел полный капот через правое крыло. При ударе о землю Супрун получил легкие ушибы шеи, груди и середины верхней губы.</w:t>
      </w:r>
    </w:p>
    <w:p w14:paraId="6BCEF8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разбит, пичины аварии - нежесткость и непрочность траверсыв ног шасси (звеньевого механизма), воспринимающих крутящий момент на штоке ноги шасси, деййствуюший на полуось ноги шасси. Деформация и и разрушение траверсы - разворачивание колес на 90 гр. и капот с-та.</w:t>
      </w:r>
    </w:p>
    <w:p w14:paraId="7E2FB4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72B57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 на летно-испытательной станции завода № 1 в Москве старший летчик-испытатель Герой Советского Союза майор С. Супрун должен был выполнить испытательный полет на И-180 зав. № 25212 производства завода № 21. Самолет взлетел, набрал высоту 800—1000 метров и убрал шасси, но затем из-за неравномерной работы мотора пилот решил идти на посадку. Истребитель нормально коснулся земли, пробежал 100 метров, после чего его стало бросать вправо и влево из-за выворота стоек шасси. В конце концов И-180 скапотировал и перевернулся. Супрун остался жив, но самолет был полностью разбит. Причиной аварии признали непрочность шасси по причине брака на авиазаводе № 21. [286 — ГУ ЦАНО, Ф. 2066, Оп. 6, Д. 481, Л. 1–4.]. И-180 оказался сложен в производстве и недоработан — в проект внесли 7510 изменений. Первоначальный план в 350 самолетов оказался невыполнимым и его сократили до 110 штук, но и в урезанном виде он был полностью сорван. В сентябре приказом нового наркома авиапрома Шахурина работы по И-180 были прекращены (11741).</w:t>
      </w:r>
    </w:p>
    <w:p w14:paraId="24D634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8AB6782" w14:textId="77777777" w:rsidR="002330A8" w:rsidRPr="00DB5D0D" w:rsidRDefault="0023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26 мая</w:t>
      </w:r>
      <w:r w:rsidRPr="00DB5D0D">
        <w:rPr>
          <w:rFonts w:ascii="Times New Roman" w:hAnsi="Times New Roman"/>
          <w:color w:val="000000" w:themeColor="text1"/>
          <w:sz w:val="16"/>
          <w:szCs w:val="16"/>
        </w:rPr>
        <w:t xml:space="preserve"> в 1940 году совершая посадку на Центральном аэродроме, И-180 № 25212 скапотировал на пробеге из-за поломки траверсы правой стойки шасси. Летчик-испытатель Супрун отделался легкими ушибами (14903).</w:t>
      </w:r>
    </w:p>
    <w:p w14:paraId="72AEAEFB" w14:textId="77777777" w:rsidR="002330A8" w:rsidRPr="00DB5D0D" w:rsidRDefault="002330A8" w:rsidP="00DB5D0D">
      <w:pPr>
        <w:spacing w:after="0" w:line="240" w:lineRule="auto"/>
        <w:jc w:val="both"/>
        <w:rPr>
          <w:rFonts w:ascii="Times New Roman" w:hAnsi="Times New Roman"/>
          <w:color w:val="000000" w:themeColor="text1"/>
          <w:sz w:val="16"/>
          <w:szCs w:val="16"/>
        </w:rPr>
      </w:pPr>
    </w:p>
    <w:p w14:paraId="327BBB56" w14:textId="77777777" w:rsidR="002330A8" w:rsidRPr="00DB5D0D" w:rsidRDefault="002330A8"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26 мая 1940 при выполнении облета в аварии был разбит один из первых се</w:t>
      </w:r>
      <w:r w:rsidRPr="00DB5D0D">
        <w:rPr>
          <w:rFonts w:ascii="Times New Roman" w:cs="Times New Roman"/>
          <w:color w:val="000000" w:themeColor="text1"/>
          <w:spacing w:val="0"/>
        </w:rPr>
        <w:softHyphen/>
        <w:t>рийных истребителей И-180. Летал лет</w:t>
      </w:r>
      <w:r w:rsidRPr="00DB5D0D">
        <w:rPr>
          <w:rFonts w:ascii="Times New Roman" w:cs="Times New Roman"/>
          <w:color w:val="000000" w:themeColor="text1"/>
          <w:spacing w:val="0"/>
        </w:rPr>
        <w:softHyphen/>
      </w:r>
      <w:r w:rsidRPr="00DB5D0D">
        <w:rPr>
          <w:rStyle w:val="aff9"/>
          <w:rFonts w:ascii="Times New Roman" w:cs="Times New Roman"/>
          <w:b w:val="0"/>
          <w:color w:val="000000" w:themeColor="text1"/>
          <w:spacing w:val="0"/>
          <w:sz w:val="16"/>
          <w:szCs w:val="16"/>
        </w:rPr>
        <w:t>чик</w:t>
      </w:r>
      <w:r w:rsidRPr="00DB5D0D">
        <w:rPr>
          <w:rFonts w:ascii="Times New Roman" w:cs="Times New Roman"/>
          <w:color w:val="000000" w:themeColor="text1"/>
          <w:spacing w:val="0"/>
        </w:rPr>
        <w:t>-испытатель С.П. Супрун. В ходе го</w:t>
      </w:r>
      <w:r w:rsidRPr="00DB5D0D">
        <w:rPr>
          <w:rFonts w:ascii="Times New Roman" w:cs="Times New Roman"/>
          <w:color w:val="000000" w:themeColor="text1"/>
          <w:spacing w:val="0"/>
        </w:rPr>
        <w:softHyphen/>
        <w:t>сударственных испытаний опытного И-180-3 в НИИ ВВС 6 июля летчик-ис</w:t>
      </w:r>
      <w:r w:rsidRPr="00DB5D0D">
        <w:rPr>
          <w:rFonts w:ascii="Times New Roman" w:cs="Times New Roman"/>
          <w:color w:val="000000" w:themeColor="text1"/>
          <w:spacing w:val="0"/>
        </w:rPr>
        <w:softHyphen/>
        <w:t>пытатель института А.Г. Прошаков допу</w:t>
      </w:r>
      <w:r w:rsidRPr="00DB5D0D">
        <w:rPr>
          <w:rFonts w:ascii="Times New Roman" w:cs="Times New Roman"/>
          <w:color w:val="000000" w:themeColor="text1"/>
          <w:spacing w:val="0"/>
        </w:rPr>
        <w:softHyphen/>
        <w:t>стил ошибку при выполнении бочки, не справился с управлением и покинул са</w:t>
      </w:r>
      <w:r w:rsidRPr="00DB5D0D">
        <w:rPr>
          <w:rFonts w:ascii="Times New Roman" w:cs="Times New Roman"/>
          <w:color w:val="000000" w:themeColor="text1"/>
          <w:spacing w:val="0"/>
        </w:rPr>
        <w:softHyphen/>
        <w:t>молет с парашютом. Всего же за пол</w:t>
      </w:r>
      <w:r w:rsidRPr="00DB5D0D">
        <w:rPr>
          <w:rFonts w:ascii="Times New Roman" w:cs="Times New Roman"/>
          <w:color w:val="000000" w:themeColor="text1"/>
          <w:spacing w:val="0"/>
        </w:rPr>
        <w:softHyphen/>
      </w:r>
      <w:r w:rsidRPr="00DB5D0D">
        <w:rPr>
          <w:rStyle w:val="aff9"/>
          <w:rFonts w:ascii="Times New Roman" w:cs="Times New Roman"/>
          <w:b w:val="0"/>
          <w:color w:val="000000" w:themeColor="text1"/>
          <w:spacing w:val="0"/>
          <w:sz w:val="16"/>
          <w:szCs w:val="16"/>
        </w:rPr>
        <w:t>тора</w:t>
      </w:r>
      <w:r w:rsidRPr="00DB5D0D">
        <w:rPr>
          <w:rFonts w:ascii="Times New Roman" w:cs="Times New Roman"/>
          <w:color w:val="000000" w:themeColor="text1"/>
          <w:spacing w:val="0"/>
        </w:rPr>
        <w:t xml:space="preserve"> года из шести построенных И-180 </w:t>
      </w:r>
      <w:r w:rsidRPr="00DB5D0D">
        <w:rPr>
          <w:rStyle w:val="aff9"/>
          <w:rFonts w:ascii="Times New Roman" w:cs="Times New Roman"/>
          <w:b w:val="0"/>
          <w:color w:val="000000" w:themeColor="text1"/>
          <w:spacing w:val="0"/>
          <w:sz w:val="16"/>
          <w:szCs w:val="16"/>
        </w:rPr>
        <w:t>были</w:t>
      </w:r>
      <w:r w:rsidRPr="00DB5D0D">
        <w:rPr>
          <w:rFonts w:ascii="Times New Roman" w:cs="Times New Roman"/>
          <w:color w:val="000000" w:themeColor="text1"/>
          <w:spacing w:val="0"/>
        </w:rPr>
        <w:t xml:space="preserve"> потеряны четыре машины, поги</w:t>
      </w:r>
      <w:r w:rsidRPr="00DB5D0D">
        <w:rPr>
          <w:rFonts w:ascii="Times New Roman" w:cs="Times New Roman"/>
          <w:color w:val="000000" w:themeColor="text1"/>
          <w:spacing w:val="0"/>
        </w:rPr>
        <w:softHyphen/>
      </w:r>
      <w:r w:rsidRPr="00DB5D0D">
        <w:rPr>
          <w:rStyle w:val="aff9"/>
          <w:rFonts w:ascii="Times New Roman" w:cs="Times New Roman"/>
          <w:b w:val="0"/>
          <w:color w:val="000000" w:themeColor="text1"/>
          <w:spacing w:val="0"/>
          <w:sz w:val="16"/>
          <w:szCs w:val="16"/>
        </w:rPr>
        <w:t>бли</w:t>
      </w:r>
      <w:r w:rsidRPr="00DB5D0D">
        <w:rPr>
          <w:rFonts w:ascii="Times New Roman" w:cs="Times New Roman"/>
          <w:color w:val="000000" w:themeColor="text1"/>
          <w:spacing w:val="0"/>
        </w:rPr>
        <w:t xml:space="preserve"> двое опытнейших летчиков-испыта</w:t>
      </w:r>
      <w:r w:rsidRPr="00DB5D0D">
        <w:rPr>
          <w:rFonts w:ascii="Times New Roman" w:cs="Times New Roman"/>
          <w:color w:val="000000" w:themeColor="text1"/>
          <w:spacing w:val="0"/>
        </w:rPr>
        <w:softHyphen/>
      </w:r>
      <w:r w:rsidRPr="00DB5D0D">
        <w:rPr>
          <w:rStyle w:val="aff9"/>
          <w:rFonts w:ascii="Times New Roman" w:cs="Times New Roman"/>
          <w:b w:val="0"/>
          <w:color w:val="000000" w:themeColor="text1"/>
          <w:spacing w:val="0"/>
          <w:sz w:val="16"/>
          <w:szCs w:val="16"/>
        </w:rPr>
        <w:t>телей</w:t>
      </w:r>
      <w:r w:rsidRPr="00DB5D0D">
        <w:rPr>
          <w:rFonts w:ascii="Times New Roman" w:cs="Times New Roman"/>
          <w:color w:val="000000" w:themeColor="text1"/>
          <w:spacing w:val="0"/>
        </w:rPr>
        <w:t xml:space="preserve"> - В.П. Чкалов и Т.П. Сузи (15755).</w:t>
      </w:r>
    </w:p>
    <w:p w14:paraId="4FCE984D" w14:textId="77777777" w:rsidR="002330A8" w:rsidRPr="00DB5D0D" w:rsidRDefault="002330A8" w:rsidP="00DB5D0D">
      <w:pPr>
        <w:pStyle w:val="27"/>
        <w:shd w:val="clear" w:color="auto" w:fill="auto"/>
        <w:spacing w:after="0" w:line="240" w:lineRule="auto"/>
        <w:ind w:firstLine="0"/>
        <w:rPr>
          <w:rFonts w:ascii="Times New Roman" w:cs="Times New Roman"/>
          <w:color w:val="000000" w:themeColor="text1"/>
          <w:spacing w:val="0"/>
        </w:rPr>
      </w:pPr>
    </w:p>
    <w:p w14:paraId="43B595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 И-26-11 не был принят на государственные испытания. Позиция, занятая руководством НИИ, не соответствовала ни текущему состоянию авиапромышленности (которая по докладу начальника ГУАС Алексеева в ЦК ВКП(б) от 24 апреля 1940 г. в то время даже не могла сама проводить заводские испытания выстроенных самолетов), ни внезапно усложнившейся международной обстановке. Отчасти, возможно, решение руководства НИИ было следствием резкой критики, прозвучавшей в адрес института в ходе обсуждения в ЦК ВКП(б) в середине мая 1940 г. состояния Военно-воздушных сил. В частности отмечалось очень низкое качество заключений НИИ по госиспытаниям самолетов, моторов и агрегатов, как результат нежелания руководства НИИ портить отношения с промышленностью и главными конструкторами (12048).</w:t>
      </w:r>
    </w:p>
    <w:p w14:paraId="2832F73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434A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года Ворошилов писал письмо N 4840/5КО Кузнецову.</w:t>
      </w:r>
    </w:p>
    <w:p w14:paraId="1E8D25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N 1580с от 18 апреля 1940 г.</w:t>
      </w:r>
    </w:p>
    <w:p w14:paraId="27E1B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считает нецелесообразным перевооружение находящихся в частях авиации НКВМФ самолетов МБР-2 с моторами АМ-34НБ на моторы М-103, т.к. самолет МБР-2 устарел, снимается с производства и установка на нем мотора М-103 не дает самолету МБР-2 летно-технических данных, отвечающих требованиям, предъявляемым к самолетам подобного типа (3395,87).</w:t>
      </w:r>
    </w:p>
    <w:p w14:paraId="1855BD8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5472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вышел приказ 11 ГУ НКАП N 20:</w:t>
      </w:r>
    </w:p>
    <w:p w14:paraId="3EB6BB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приказа НКАП N 147с от 28 марта 1940:</w:t>
      </w:r>
    </w:p>
    <w:p w14:paraId="0330F5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определения готовности гидросамолета МДР-7 конструкции Самсонова к летным испытаниям назначаю комиссию..." (2031,31).</w:t>
      </w:r>
    </w:p>
    <w:p w14:paraId="084404D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47A15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в НИИ ВВС продолжились испытания истребителя И-97 и летали до 2 июня. Первый этап проходил с 15 ноября по 16 декабря 1939 г. Зимой самолет не летал из-за невозможности установки лыж для взлета и посадки. Всего во время испытаний произвели 38 полетов общей продолжительностью 10 часов 30 минут (7573,30).</w:t>
      </w:r>
    </w:p>
    <w:p w14:paraId="4A9C9F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работал на земле 8 часов 50 минут, на станке - 20 часов 15 минут. Летные характеристики снимали с углом установки лопастей винта (33°) и наддувом, которые соответствовали японской регулировке в боевых условиях. При испытаниях с самолета демонтировали кольцевой(лобовой)масляный радиатор, так как при пробах мотора на земле масло в нем сильно переохлаждалось (7573,30).</w:t>
      </w:r>
    </w:p>
    <w:p w14:paraId="759D74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вооружения и спецоборудования в НИИ ВВС не проводилось, поскольку оно уже было знакомо по самолетам И-95бис и И-96 (7573,30).</w:t>
      </w:r>
    </w:p>
    <w:p w14:paraId="347BD4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изучения вышеупомянутой машины, был произведен облет самолета И-97 более позднего выпуска летчиками НИИ ВВС и летчиками Н-ской авиационной части (предположительно - на территории Монголии) (7573,30).</w:t>
      </w:r>
    </w:p>
    <w:p w14:paraId="0D94F2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Источником информации для специалистов института служили также отчеты по проведению воздушных боев с И-97 (Ки-27) советских самолетов И-16 и И-153 во время операций в районе озера Халхин-Гол (7573,30).</w:t>
      </w:r>
    </w:p>
    <w:p w14:paraId="263429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группу непосредственных участников испытаний входили: ведущий инженер военинженер 3-го ранга М.И.Та-ракановский, помощник ведущего инженера военинженер 3-го ранга Раб кин, ведущий летчик-испытатель капитан А.С.Николаев, ведущий инженер по ВМГ военинженер 3-го ранга Золото-рев, ведущий инженер по вооружению военинженер 3-го ранга Березин, техник самолета воентехник 2-го ранга Стрелков, техник по вооружению воентехник 2-го ранга Наумов, моторист старшина Сидоркин, техники-расчетчики Андросова и Сорина, техник по приборам Быков, техник-кислородчик Коробков (7573,30).</w:t>
      </w:r>
    </w:p>
    <w:p w14:paraId="3A27CF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облетывали: генерал-майор авиации А.И.Филин, полковой комиссар Холопцев, летчики-испытатели майоры С.П.Супрун и П.М.Стефа-новский, военинженер 2-го ранга капитан А.Г.Кочетков, военинженер 2-го ранга капитан А.Г.Прошаков, старший лейтенантА.Г.Кубышкин, старший лейтенант Шапоров, летчик-испытатель Н-ской части К.К.Коккинаки и командир эскадрильи Олейниченко (7573,30).</w:t>
      </w:r>
    </w:p>
    <w:p w14:paraId="245E210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252D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26 мая 1940 г. по приказу № 111с от 10/13.03.1940 г. завод № 30 (пос. Савелово) был переименован в завод № 288 НКАП, а филиал в Иваньково получил наименование завод № 30. По приказу № 262сс от 22.03.1941 г. завод передан в ЮГУ НКАП. На конец 1940 г. еще не был достроен. С 07.1940 г. завод передан в 1ГУ НКАП. В 1940 г. введены в строй: компрессорная, цеха агрегатной и окончательной сборки № 3, 5, 16, испытательная гидробаза. В 1941 г. сдана в эксплуатацию центральная котельная. Перед войной на заводе начали работать гл. конструкторы П.Д. Самсонов и И.В. Четвериков по опытному морскому самолетостроению. План производства на 1941 г.: 100 МДР-2. Также в 1941 г. завод получил задание на освоение выпуска МДР-6. Сюда было передано 7 комплектов оснастки, но из-за недостатка площадей смонтировано было четыре (11982).</w:t>
      </w:r>
    </w:p>
    <w:p w14:paraId="0F5931C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D6C7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года нарком обороны Тимошенко писал письмо N 16506с Вознесенскому.</w:t>
      </w:r>
    </w:p>
    <w:p w14:paraId="29BDD1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постановлению КО (N 91сс от 26 апреля 1939 г.) авиационный мотор со взлетной мощностью 2000 л.с. и номинальной - 1700 л.с. на высоте 5000 м, должен был поступить для испытания на станке 1 ноября 1939 г., фактически был предъявлен 28 апреля 1940 г. Испытания прошли неудовлетворительно.</w:t>
      </w:r>
    </w:p>
    <w:p w14:paraId="720819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3BBDE9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Ваших указаний наркому Авиапрома Шахурину о форсировании работ по доводке моторов М-71 для постановки их не позднее 10-го июня 1940 г. на опытные образцы самолетов (3448,46).</w:t>
      </w:r>
    </w:p>
    <w:p w14:paraId="7FB4668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CF74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А.И.Шахурин и Тимошенко утвердили Отчет о совместных 50 часовых испытаниях на станке АМ-37 завода 24. Прошел удовлетворительно (856).</w:t>
      </w:r>
    </w:p>
    <w:p w14:paraId="1FB863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совместные испытания прошел неудовлетворительно.</w:t>
      </w:r>
    </w:p>
    <w:p w14:paraId="7FBCCB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недостатки:</w:t>
      </w:r>
    </w:p>
    <w:p w14:paraId="08CF4F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а) отсутствие доведенного карбюратора, гарантирующего расходы топлива без ...</w:t>
      </w:r>
    </w:p>
    <w:p w14:paraId="143003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недостаточная надежность и конструктивные недоработки всасывающего патрубка</w:t>
      </w:r>
    </w:p>
    <w:p w14:paraId="110CB2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недостаточная высотность маслосистемы, ограничивающая потолок (856)</w:t>
      </w:r>
    </w:p>
    <w:p w14:paraId="2F1BF82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F0BFC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 27 мая 1940 НКАП А.И.Шахурин (26) и НКО Тимошенко (27) подписали Акт утверждения выводов и заключения по совместным (НКО и НКАП) 50 часовым испытаниям на станке мотора АМ-35А пр-ва завода № 24</w:t>
      </w:r>
    </w:p>
    <w:p w14:paraId="69F148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о совместных 50 часовых испытаниях на станке АМ-35А производства завода 24.</w:t>
      </w:r>
    </w:p>
    <w:p w14:paraId="687A7E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проходил испытания на заводе № 24 с 17 апреля по 11 мая 1940 и совместные с 13 мая по 25 мая 1940</w:t>
      </w:r>
    </w:p>
    <w:p w14:paraId="3E4877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по совместным испытаниям:</w:t>
      </w:r>
    </w:p>
    <w:p w14:paraId="7D1643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ви1р К.В.Кукушкин</w:t>
      </w:r>
    </w:p>
    <w:p w14:paraId="5A36E6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 ви2р В.А.Черников, ви2р М.П.Кочетков, ви2р А.И.Суворов, зам ГК завода № 24 В.А.Чернышев, отв. конструктор завода № 24 М.Р.Флисский, гл. инспектор ОКБ завода № 24 С.А.Марзаев</w:t>
      </w:r>
    </w:p>
    <w:p w14:paraId="072F0B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2D4E4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соответствие основных данных мотора АМ-35А ТТТ и надежность конструкции мотора и агрегатов 50 испытаниями</w:t>
      </w:r>
    </w:p>
    <w:p w14:paraId="2C446A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Краткие рез-ты совместных (НКО и НКАП) испытаний на станке мотора АМ-35А</w:t>
      </w:r>
    </w:p>
    <w:p w14:paraId="57AECE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АМ-35А производства з-да № 24 совместные 50 часовые испытания прошел удовлетворительно.</w:t>
      </w:r>
    </w:p>
    <w:p w14:paraId="683AF6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мощности и высотности мотор АМ-35А соответствует ТТТ</w:t>
      </w:r>
    </w:p>
    <w:p w14:paraId="3903BC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Всего мотор наработал 80 :36, из них на режиме 54:32</w:t>
      </w:r>
    </w:p>
    <w:p w14:paraId="5F756A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Основные недостатками мотора АМ-35А являются</w:t>
      </w:r>
    </w:p>
    <w:p w14:paraId="3670A8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 отсутствие доведенного карбюратора, обеспечивающего мотору нормальное питание на всех его положениях при работе на с-те истребителе и обеспечивающего гарантийный расход топлива без использования высотного корректора</w:t>
      </w:r>
    </w:p>
    <w:p w14:paraId="1AFCB4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недостаточная надежность и конструктивные недоработки всасывающих патрубков</w:t>
      </w:r>
    </w:p>
    <w:p w14:paraId="6BA489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недостаточное охлаждение масла, ограничивающее потолок с-та</w:t>
      </w:r>
    </w:p>
    <w:p w14:paraId="22487E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521F6C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АМ-35А совместные 50-часовые ГИ прошел удовлетворительно.</w:t>
      </w:r>
    </w:p>
    <w:p w14:paraId="1A9D1C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Некоторые основные данные, полученные при испытаниях, отличающиеся от данных, указанных в предъявлении мотора на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2634"/>
        <w:gridCol w:w="2634"/>
        <w:gridCol w:w="2634"/>
        <w:gridCol w:w="2634"/>
      </w:tblGrid>
      <w:tr w:rsidR="007D5DF8" w:rsidRPr="00DB5D0D" w14:paraId="18C0FEEB" w14:textId="77777777" w:rsidTr="009223E5">
        <w:tc>
          <w:tcPr>
            <w:tcW w:w="675" w:type="dxa"/>
            <w:tcBorders>
              <w:top w:val="single" w:sz="12" w:space="0" w:color="auto"/>
            </w:tcBorders>
          </w:tcPr>
          <w:p w14:paraId="184FF8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2634" w:type="dxa"/>
            <w:tcBorders>
              <w:top w:val="single" w:sz="12" w:space="0" w:color="auto"/>
            </w:tcBorders>
          </w:tcPr>
          <w:p w14:paraId="4EEF63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 мотора, по параметрам, имеющим расхождения</w:t>
            </w:r>
          </w:p>
        </w:tc>
        <w:tc>
          <w:tcPr>
            <w:tcW w:w="2634" w:type="dxa"/>
            <w:tcBorders>
              <w:top w:val="single" w:sz="12" w:space="0" w:color="auto"/>
            </w:tcBorders>
          </w:tcPr>
          <w:p w14:paraId="50CC11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Получено по испытаниям</w:t>
            </w:r>
          </w:p>
        </w:tc>
        <w:tc>
          <w:tcPr>
            <w:tcW w:w="2634" w:type="dxa"/>
            <w:tcBorders>
              <w:top w:val="single" w:sz="12" w:space="0" w:color="auto"/>
            </w:tcBorders>
          </w:tcPr>
          <w:p w14:paraId="3FBC31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предхявлению на испытания</w:t>
            </w:r>
          </w:p>
        </w:tc>
        <w:tc>
          <w:tcPr>
            <w:tcW w:w="2634" w:type="dxa"/>
            <w:tcBorders>
              <w:top w:val="single" w:sz="12" w:space="0" w:color="auto"/>
            </w:tcBorders>
          </w:tcPr>
          <w:p w14:paraId="31D378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ТТТ</w:t>
            </w:r>
          </w:p>
        </w:tc>
      </w:tr>
      <w:tr w:rsidR="007D5DF8" w:rsidRPr="00DB5D0D" w14:paraId="65BCC442" w14:textId="77777777" w:rsidTr="009223E5">
        <w:tc>
          <w:tcPr>
            <w:tcW w:w="675" w:type="dxa"/>
          </w:tcPr>
          <w:p w14:paraId="3F002B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634" w:type="dxa"/>
          </w:tcPr>
          <w:p w14:paraId="049B4F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 вес</w:t>
            </w:r>
          </w:p>
        </w:tc>
        <w:tc>
          <w:tcPr>
            <w:tcW w:w="2634" w:type="dxa"/>
          </w:tcPr>
          <w:p w14:paraId="553DFB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2634" w:type="dxa"/>
          </w:tcPr>
          <w:p w14:paraId="45ED6A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820</w:t>
            </w:r>
          </w:p>
        </w:tc>
        <w:tc>
          <w:tcPr>
            <w:tcW w:w="2634" w:type="dxa"/>
          </w:tcPr>
          <w:p w14:paraId="400A49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780</w:t>
            </w:r>
          </w:p>
        </w:tc>
      </w:tr>
      <w:tr w:rsidR="007D5DF8" w:rsidRPr="00DB5D0D" w14:paraId="5D1BE281" w14:textId="77777777" w:rsidTr="009223E5">
        <w:tc>
          <w:tcPr>
            <w:tcW w:w="675" w:type="dxa"/>
          </w:tcPr>
          <w:p w14:paraId="15C212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634" w:type="dxa"/>
          </w:tcPr>
          <w:p w14:paraId="515D37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Высотность при номинальной мощности и Рк 1090 в м</w:t>
            </w:r>
          </w:p>
        </w:tc>
        <w:tc>
          <w:tcPr>
            <w:tcW w:w="2634" w:type="dxa"/>
          </w:tcPr>
          <w:p w14:paraId="00248A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6300</w:t>
            </w:r>
          </w:p>
        </w:tc>
        <w:tc>
          <w:tcPr>
            <w:tcW w:w="2634" w:type="dxa"/>
          </w:tcPr>
          <w:p w14:paraId="14E7B6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2634" w:type="dxa"/>
          </w:tcPr>
          <w:p w14:paraId="1849AA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r>
      <w:tr w:rsidR="007D5DF8" w:rsidRPr="00DB5D0D" w14:paraId="1CAA4354" w14:textId="77777777" w:rsidTr="009223E5">
        <w:tc>
          <w:tcPr>
            <w:tcW w:w="675" w:type="dxa"/>
          </w:tcPr>
          <w:p w14:paraId="11CD69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634" w:type="dxa"/>
          </w:tcPr>
          <w:p w14:paraId="1046E3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топлива на номинальном режиме г/лс/час</w:t>
            </w:r>
          </w:p>
        </w:tc>
        <w:tc>
          <w:tcPr>
            <w:tcW w:w="2634" w:type="dxa"/>
          </w:tcPr>
          <w:p w14:paraId="0A83BE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284</w:t>
            </w:r>
          </w:p>
        </w:tc>
        <w:tc>
          <w:tcPr>
            <w:tcW w:w="2634" w:type="dxa"/>
          </w:tcPr>
          <w:p w14:paraId="7B2A75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2634" w:type="dxa"/>
          </w:tcPr>
          <w:p w14:paraId="26E43A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260-270</w:t>
            </w:r>
          </w:p>
        </w:tc>
      </w:tr>
      <w:tr w:rsidR="007D5DF8" w:rsidRPr="00DB5D0D" w14:paraId="5F956DD2" w14:textId="77777777" w:rsidTr="009223E5">
        <w:tc>
          <w:tcPr>
            <w:tcW w:w="675" w:type="dxa"/>
            <w:tcBorders>
              <w:bottom w:val="single" w:sz="12" w:space="0" w:color="auto"/>
            </w:tcBorders>
          </w:tcPr>
          <w:p w14:paraId="4AE5A5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634" w:type="dxa"/>
            <w:tcBorders>
              <w:bottom w:val="single" w:sz="12" w:space="0" w:color="auto"/>
            </w:tcBorders>
          </w:tcPr>
          <w:p w14:paraId="6701DA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Карбюратор</w:t>
            </w:r>
          </w:p>
        </w:tc>
        <w:tc>
          <w:tcPr>
            <w:tcW w:w="2634" w:type="dxa"/>
            <w:tcBorders>
              <w:bottom w:val="single" w:sz="12" w:space="0" w:color="auto"/>
            </w:tcBorders>
          </w:tcPr>
          <w:p w14:paraId="4D2B0E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автокорректора</w:t>
            </w:r>
          </w:p>
        </w:tc>
        <w:tc>
          <w:tcPr>
            <w:tcW w:w="2634" w:type="dxa"/>
            <w:tcBorders>
              <w:bottom w:val="single" w:sz="12" w:space="0" w:color="auto"/>
            </w:tcBorders>
          </w:tcPr>
          <w:p w14:paraId="07C7AC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автокорректора</w:t>
            </w:r>
          </w:p>
        </w:tc>
        <w:tc>
          <w:tcPr>
            <w:tcW w:w="2634" w:type="dxa"/>
            <w:tcBorders>
              <w:bottom w:val="single" w:sz="12" w:space="0" w:color="auto"/>
            </w:tcBorders>
          </w:tcPr>
          <w:p w14:paraId="1222E4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автокорректором</w:t>
            </w:r>
          </w:p>
        </w:tc>
      </w:tr>
    </w:tbl>
    <w:p w14:paraId="02A2E9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мотора завышен на 60 кг (8%), частичное завышение веса (20-30 кг) относится за счет унификации деталей с АМ-37 (коленвал, шатуны, нагнетатель).</w:t>
      </w:r>
    </w:p>
    <w:p w14:paraId="3EF244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имеет следующие основные конструкционные особенности</w:t>
      </w:r>
    </w:p>
    <w:p w14:paraId="6F487E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выходе воздуха из нагнетателя вместо вместо обычно дроссельной заслонки установлен поворотный направляющий аппарат (л-ка Политковского). При дросселирования воздуха этим направляющим аппаратом на земле и на высотах ниже расчетной высоты достигается увеличение эффективной мощности. На земле оно достигает 800-100 кг.</w:t>
      </w:r>
    </w:p>
    <w:p w14:paraId="4B2F5E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мотор работает с охлаждением водой под давлением при темперетуре на входе в 110-120 гр. Поавышение температуры охлаждающей жидкости улучшает аэродинамику с-та (уменьшается лобовое сопротивление от радиатора, уменьшается вес охлаждающей системы</w:t>
      </w:r>
    </w:p>
    <w:p w14:paraId="7354B6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мотор АМ-35А конструктивно аналогичен и полностью взаимозаменям по всем кзлам с мотором АМ-37 за исключением:</w:t>
      </w:r>
    </w:p>
    <w:p w14:paraId="13F629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АМ-35А не имеет водовоздушного радиатора для охлаждения воздуха за нагнетателем, вместо него установлена проставка</w:t>
      </w:r>
    </w:p>
    <w:p w14:paraId="659C0E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 имеет дополнительного водяного насоса для этого радиатора</w:t>
      </w:r>
    </w:p>
    <w:p w14:paraId="2ED2D0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диаметр крыльчатки 275 мм, вместо 285 мм у АМ-37</w:t>
      </w:r>
    </w:p>
    <w:p w14:paraId="68A2F8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из изложенного в п. В) видно, что мотор АМ-35А может быть легко переделан на мотор АМ-37, который имеет большую мощность. </w:t>
      </w:r>
    </w:p>
    <w:p w14:paraId="4F20BD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Дефект карбюратора К-35А - не обеспечивает гарантированные данные удульных расходов топлива и не обеспечивает нормального питания мотора на всех эволюциях с-та. Карбюратор имеет течи из-под уплотнительных прокладок и заедание жиклера в разьбе при замене и т.д.</w:t>
      </w:r>
    </w:p>
    <w:p w14:paraId="360CB3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Сводная таблица основных мощных современных авиамоторов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874"/>
        <w:gridCol w:w="536"/>
        <w:gridCol w:w="575"/>
        <w:gridCol w:w="638"/>
        <w:gridCol w:w="527"/>
        <w:gridCol w:w="527"/>
        <w:gridCol w:w="527"/>
        <w:gridCol w:w="560"/>
        <w:gridCol w:w="524"/>
        <w:gridCol w:w="647"/>
        <w:gridCol w:w="570"/>
        <w:gridCol w:w="570"/>
        <w:gridCol w:w="554"/>
        <w:gridCol w:w="573"/>
        <w:gridCol w:w="572"/>
        <w:gridCol w:w="572"/>
        <w:gridCol w:w="396"/>
        <w:gridCol w:w="416"/>
        <w:gridCol w:w="374"/>
      </w:tblGrid>
      <w:tr w:rsidR="007D5DF8" w:rsidRPr="00DB5D0D" w14:paraId="6E13EE19" w14:textId="77777777" w:rsidTr="009223E5">
        <w:tc>
          <w:tcPr>
            <w:tcW w:w="675" w:type="dxa"/>
            <w:tcBorders>
              <w:top w:val="single" w:sz="12" w:space="0" w:color="auto"/>
            </w:tcBorders>
          </w:tcPr>
          <w:p w14:paraId="2056FF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Обозначение мотора</w:t>
            </w:r>
          </w:p>
        </w:tc>
        <w:tc>
          <w:tcPr>
            <w:tcW w:w="874" w:type="dxa"/>
            <w:tcBorders>
              <w:top w:val="single" w:sz="12" w:space="0" w:color="auto"/>
            </w:tcBorders>
          </w:tcPr>
          <w:p w14:paraId="448DBB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мотора</w:t>
            </w:r>
          </w:p>
        </w:tc>
        <w:tc>
          <w:tcPr>
            <w:tcW w:w="536" w:type="dxa"/>
            <w:tcBorders>
              <w:top w:val="single" w:sz="12" w:space="0" w:color="auto"/>
            </w:tcBorders>
          </w:tcPr>
          <w:p w14:paraId="0C4F34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нагнетателя л.с.</w:t>
            </w:r>
          </w:p>
        </w:tc>
        <w:tc>
          <w:tcPr>
            <w:tcW w:w="575" w:type="dxa"/>
            <w:tcBorders>
              <w:top w:val="single" w:sz="12" w:space="0" w:color="auto"/>
            </w:tcBorders>
          </w:tcPr>
          <w:p w14:paraId="558DAB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Номинальный наддев</w:t>
            </w:r>
          </w:p>
        </w:tc>
        <w:tc>
          <w:tcPr>
            <w:tcW w:w="638" w:type="dxa"/>
            <w:tcBorders>
              <w:top w:val="single" w:sz="12" w:space="0" w:color="auto"/>
            </w:tcBorders>
          </w:tcPr>
          <w:p w14:paraId="36EAA5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w:t>
            </w:r>
          </w:p>
        </w:tc>
        <w:tc>
          <w:tcPr>
            <w:tcW w:w="527" w:type="dxa"/>
            <w:tcBorders>
              <w:top w:val="single" w:sz="12" w:space="0" w:color="auto"/>
            </w:tcBorders>
          </w:tcPr>
          <w:p w14:paraId="62DCB0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Лоб</w:t>
            </w:r>
          </w:p>
        </w:tc>
        <w:tc>
          <w:tcPr>
            <w:tcW w:w="527" w:type="dxa"/>
            <w:tcBorders>
              <w:top w:val="single" w:sz="12" w:space="0" w:color="auto"/>
            </w:tcBorders>
          </w:tcPr>
          <w:p w14:paraId="4764D4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Степень сжатия</w:t>
            </w:r>
          </w:p>
        </w:tc>
        <w:tc>
          <w:tcPr>
            <w:tcW w:w="527" w:type="dxa"/>
            <w:tcBorders>
              <w:top w:val="single" w:sz="12" w:space="0" w:color="auto"/>
            </w:tcBorders>
          </w:tcPr>
          <w:p w14:paraId="0237A6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Литраж</w:t>
            </w:r>
          </w:p>
        </w:tc>
        <w:tc>
          <w:tcPr>
            <w:tcW w:w="560" w:type="dxa"/>
            <w:tcBorders>
              <w:top w:val="single" w:sz="12" w:space="0" w:color="auto"/>
            </w:tcBorders>
          </w:tcPr>
          <w:p w14:paraId="2BEF21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высотность</w:t>
            </w:r>
          </w:p>
        </w:tc>
        <w:tc>
          <w:tcPr>
            <w:tcW w:w="524" w:type="dxa"/>
            <w:tcBorders>
              <w:top w:val="single" w:sz="12" w:space="0" w:color="auto"/>
            </w:tcBorders>
          </w:tcPr>
          <w:p w14:paraId="0FE34A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нагнетателя</w:t>
            </w:r>
          </w:p>
        </w:tc>
        <w:tc>
          <w:tcPr>
            <w:tcW w:w="647" w:type="dxa"/>
            <w:tcBorders>
              <w:top w:val="single" w:sz="12" w:space="0" w:color="auto"/>
            </w:tcBorders>
          </w:tcPr>
          <w:p w14:paraId="1DB9FF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Высотная мощность</w:t>
            </w:r>
          </w:p>
        </w:tc>
        <w:tc>
          <w:tcPr>
            <w:tcW w:w="570" w:type="dxa"/>
            <w:tcBorders>
              <w:top w:val="single" w:sz="12" w:space="0" w:color="auto"/>
            </w:tcBorders>
          </w:tcPr>
          <w:p w14:paraId="037B83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на земле</w:t>
            </w:r>
          </w:p>
        </w:tc>
        <w:tc>
          <w:tcPr>
            <w:tcW w:w="570" w:type="dxa"/>
            <w:tcBorders>
              <w:top w:val="single" w:sz="12" w:space="0" w:color="auto"/>
            </w:tcBorders>
          </w:tcPr>
          <w:p w14:paraId="3465FD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w:t>
            </w:r>
          </w:p>
        </w:tc>
        <w:tc>
          <w:tcPr>
            <w:tcW w:w="554" w:type="dxa"/>
            <w:tcBorders>
              <w:top w:val="single" w:sz="12" w:space="0" w:color="auto"/>
            </w:tcBorders>
          </w:tcPr>
          <w:p w14:paraId="47AF38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на 6000м</w:t>
            </w:r>
          </w:p>
        </w:tc>
        <w:tc>
          <w:tcPr>
            <w:tcW w:w="573" w:type="dxa"/>
            <w:tcBorders>
              <w:top w:val="single" w:sz="12" w:space="0" w:color="auto"/>
            </w:tcBorders>
          </w:tcPr>
          <w:p w14:paraId="281E83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w:t>
            </w:r>
          </w:p>
        </w:tc>
        <w:tc>
          <w:tcPr>
            <w:tcW w:w="572" w:type="dxa"/>
            <w:tcBorders>
              <w:top w:val="single" w:sz="12" w:space="0" w:color="auto"/>
            </w:tcBorders>
          </w:tcPr>
          <w:p w14:paraId="35A369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номинальный</w:t>
            </w:r>
          </w:p>
        </w:tc>
        <w:tc>
          <w:tcPr>
            <w:tcW w:w="572" w:type="dxa"/>
            <w:tcBorders>
              <w:top w:val="single" w:sz="12" w:space="0" w:color="auto"/>
            </w:tcBorders>
          </w:tcPr>
          <w:p w14:paraId="591E82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расхож эксплуатационный</w:t>
            </w:r>
          </w:p>
        </w:tc>
        <w:tc>
          <w:tcPr>
            <w:tcW w:w="396" w:type="dxa"/>
            <w:tcBorders>
              <w:top w:val="single" w:sz="12" w:space="0" w:color="auto"/>
            </w:tcBorders>
          </w:tcPr>
          <w:p w14:paraId="027265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Октяновое число</w:t>
            </w:r>
          </w:p>
        </w:tc>
        <w:tc>
          <w:tcPr>
            <w:tcW w:w="416" w:type="dxa"/>
            <w:tcBorders>
              <w:top w:val="single" w:sz="12" w:space="0" w:color="auto"/>
            </w:tcBorders>
          </w:tcPr>
          <w:p w14:paraId="79AEDC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Особенности мотора</w:t>
            </w:r>
          </w:p>
        </w:tc>
        <w:tc>
          <w:tcPr>
            <w:tcW w:w="374" w:type="dxa"/>
            <w:tcBorders>
              <w:top w:val="single" w:sz="12" w:space="0" w:color="auto"/>
            </w:tcBorders>
          </w:tcPr>
          <w:p w14:paraId="4446E0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мотора</w:t>
            </w:r>
          </w:p>
        </w:tc>
      </w:tr>
      <w:tr w:rsidR="007D5DF8" w:rsidRPr="00DB5D0D" w14:paraId="0F00E650" w14:textId="77777777" w:rsidTr="009223E5">
        <w:tc>
          <w:tcPr>
            <w:tcW w:w="675" w:type="dxa"/>
          </w:tcPr>
          <w:p w14:paraId="0DA232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Даймлер-Бенц 601А</w:t>
            </w:r>
          </w:p>
        </w:tc>
        <w:tc>
          <w:tcPr>
            <w:tcW w:w="874" w:type="dxa"/>
          </w:tcPr>
          <w:p w14:paraId="227E67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У-образный 12 цилиндров перевернутый</w:t>
            </w:r>
          </w:p>
        </w:tc>
        <w:tc>
          <w:tcPr>
            <w:tcW w:w="536" w:type="dxa"/>
          </w:tcPr>
          <w:p w14:paraId="665DCE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575" w:type="dxa"/>
          </w:tcPr>
          <w:p w14:paraId="37B556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965</w:t>
            </w:r>
          </w:p>
        </w:tc>
        <w:tc>
          <w:tcPr>
            <w:tcW w:w="638" w:type="dxa"/>
          </w:tcPr>
          <w:p w14:paraId="42D4BC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590</w:t>
            </w:r>
          </w:p>
        </w:tc>
        <w:tc>
          <w:tcPr>
            <w:tcW w:w="527" w:type="dxa"/>
          </w:tcPr>
          <w:p w14:paraId="764BBF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0,911</w:t>
            </w:r>
          </w:p>
        </w:tc>
        <w:tc>
          <w:tcPr>
            <w:tcW w:w="527" w:type="dxa"/>
          </w:tcPr>
          <w:p w14:paraId="530C46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190B6F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33,9</w:t>
            </w:r>
          </w:p>
        </w:tc>
        <w:tc>
          <w:tcPr>
            <w:tcW w:w="560" w:type="dxa"/>
          </w:tcPr>
          <w:p w14:paraId="66B734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3700</w:t>
            </w:r>
          </w:p>
        </w:tc>
        <w:tc>
          <w:tcPr>
            <w:tcW w:w="524" w:type="dxa"/>
          </w:tcPr>
          <w:p w14:paraId="1D5890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69AAE5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70" w:type="dxa"/>
          </w:tcPr>
          <w:p w14:paraId="5C4532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65B08A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1175</w:t>
            </w:r>
          </w:p>
        </w:tc>
        <w:tc>
          <w:tcPr>
            <w:tcW w:w="554" w:type="dxa"/>
          </w:tcPr>
          <w:p w14:paraId="40C353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0,79</w:t>
            </w:r>
          </w:p>
        </w:tc>
        <w:tc>
          <w:tcPr>
            <w:tcW w:w="573" w:type="dxa"/>
          </w:tcPr>
          <w:p w14:paraId="2054F5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810</w:t>
            </w:r>
          </w:p>
        </w:tc>
        <w:tc>
          <w:tcPr>
            <w:tcW w:w="572" w:type="dxa"/>
          </w:tcPr>
          <w:p w14:paraId="7665C3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572" w:type="dxa"/>
          </w:tcPr>
          <w:p w14:paraId="38F71D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396" w:type="dxa"/>
          </w:tcPr>
          <w:p w14:paraId="7B2A5E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w:t>
            </w:r>
          </w:p>
        </w:tc>
        <w:tc>
          <w:tcPr>
            <w:tcW w:w="416" w:type="dxa"/>
          </w:tcPr>
          <w:p w14:paraId="238368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0341D1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79A599BF" w14:textId="77777777" w:rsidTr="009223E5">
        <w:tc>
          <w:tcPr>
            <w:tcW w:w="675" w:type="dxa"/>
          </w:tcPr>
          <w:p w14:paraId="309040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Даймлер-Бенц 601форсир.</w:t>
            </w:r>
          </w:p>
        </w:tc>
        <w:tc>
          <w:tcPr>
            <w:tcW w:w="874" w:type="dxa"/>
          </w:tcPr>
          <w:p w14:paraId="28FB59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У-образный 12 цилиндров перевернутый</w:t>
            </w:r>
          </w:p>
        </w:tc>
        <w:tc>
          <w:tcPr>
            <w:tcW w:w="536" w:type="dxa"/>
          </w:tcPr>
          <w:p w14:paraId="4DB71B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575" w:type="dxa"/>
          </w:tcPr>
          <w:p w14:paraId="049825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38" w:type="dxa"/>
          </w:tcPr>
          <w:p w14:paraId="5BD793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w:t>
            </w:r>
          </w:p>
        </w:tc>
        <w:tc>
          <w:tcPr>
            <w:tcW w:w="527" w:type="dxa"/>
          </w:tcPr>
          <w:p w14:paraId="784B38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0,91</w:t>
            </w:r>
          </w:p>
        </w:tc>
        <w:tc>
          <w:tcPr>
            <w:tcW w:w="527" w:type="dxa"/>
          </w:tcPr>
          <w:p w14:paraId="78D603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27" w:type="dxa"/>
          </w:tcPr>
          <w:p w14:paraId="454D30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33,9</w:t>
            </w:r>
          </w:p>
        </w:tc>
        <w:tc>
          <w:tcPr>
            <w:tcW w:w="560" w:type="dxa"/>
          </w:tcPr>
          <w:p w14:paraId="3D4E67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524" w:type="dxa"/>
          </w:tcPr>
          <w:p w14:paraId="03F7A81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47" w:type="dxa"/>
          </w:tcPr>
          <w:p w14:paraId="4EF8D5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3B2FB41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301D28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54" w:type="dxa"/>
          </w:tcPr>
          <w:p w14:paraId="69B9EF5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Pr>
          <w:p w14:paraId="1D2095E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0622C37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7EB06C5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5139187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166CD64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6864AF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w:t>
            </w:r>
          </w:p>
        </w:tc>
      </w:tr>
      <w:tr w:rsidR="007D5DF8" w:rsidRPr="00DB5D0D" w14:paraId="7F140949" w14:textId="77777777" w:rsidTr="009223E5">
        <w:tc>
          <w:tcPr>
            <w:tcW w:w="675" w:type="dxa"/>
          </w:tcPr>
          <w:p w14:paraId="61083B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М-71</w:t>
            </w:r>
          </w:p>
        </w:tc>
        <w:tc>
          <w:tcPr>
            <w:tcW w:w="874" w:type="dxa"/>
          </w:tcPr>
          <w:p w14:paraId="13ED29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рядная звезда 18 цилиндров</w:t>
            </w:r>
          </w:p>
        </w:tc>
        <w:tc>
          <w:tcPr>
            <w:tcW w:w="536" w:type="dxa"/>
          </w:tcPr>
          <w:p w14:paraId="0C7071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w:t>
            </w:r>
          </w:p>
        </w:tc>
        <w:tc>
          <w:tcPr>
            <w:tcW w:w="575" w:type="dxa"/>
          </w:tcPr>
          <w:p w14:paraId="50CB9E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638" w:type="dxa"/>
          </w:tcPr>
          <w:p w14:paraId="2E8199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527" w:type="dxa"/>
          </w:tcPr>
          <w:p w14:paraId="3CF4E2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527" w:type="dxa"/>
          </w:tcPr>
          <w:p w14:paraId="19AAA9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527" w:type="dxa"/>
          </w:tcPr>
          <w:p w14:paraId="43479C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59,6</w:t>
            </w:r>
          </w:p>
        </w:tc>
        <w:tc>
          <w:tcPr>
            <w:tcW w:w="560" w:type="dxa"/>
          </w:tcPr>
          <w:p w14:paraId="2D4551C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575F24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7808EB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w:t>
            </w:r>
          </w:p>
        </w:tc>
        <w:tc>
          <w:tcPr>
            <w:tcW w:w="570" w:type="dxa"/>
          </w:tcPr>
          <w:p w14:paraId="093A41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1B00E8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554" w:type="dxa"/>
          </w:tcPr>
          <w:p w14:paraId="0CD741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0,78</w:t>
            </w:r>
          </w:p>
        </w:tc>
        <w:tc>
          <w:tcPr>
            <w:tcW w:w="573" w:type="dxa"/>
          </w:tcPr>
          <w:p w14:paraId="38F555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1480</w:t>
            </w:r>
          </w:p>
        </w:tc>
        <w:tc>
          <w:tcPr>
            <w:tcW w:w="572" w:type="dxa"/>
          </w:tcPr>
          <w:p w14:paraId="36D084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305/335</w:t>
            </w:r>
          </w:p>
        </w:tc>
        <w:tc>
          <w:tcPr>
            <w:tcW w:w="572" w:type="dxa"/>
          </w:tcPr>
          <w:p w14:paraId="786E3E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290/310</w:t>
            </w:r>
          </w:p>
        </w:tc>
        <w:tc>
          <w:tcPr>
            <w:tcW w:w="396" w:type="dxa"/>
          </w:tcPr>
          <w:p w14:paraId="386EF6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1405F2B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433C65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w:t>
            </w:r>
          </w:p>
        </w:tc>
      </w:tr>
      <w:tr w:rsidR="007D5DF8" w:rsidRPr="00DB5D0D" w14:paraId="299C1BE7" w14:textId="77777777" w:rsidTr="009223E5">
        <w:tc>
          <w:tcPr>
            <w:tcW w:w="675" w:type="dxa"/>
          </w:tcPr>
          <w:p w14:paraId="3EB525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М-120</w:t>
            </w:r>
          </w:p>
        </w:tc>
        <w:tc>
          <w:tcPr>
            <w:tcW w:w="874" w:type="dxa"/>
          </w:tcPr>
          <w:p w14:paraId="4659C8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Y-образный</w:t>
            </w:r>
          </w:p>
        </w:tc>
        <w:tc>
          <w:tcPr>
            <w:tcW w:w="536" w:type="dxa"/>
          </w:tcPr>
          <w:p w14:paraId="7D7612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c>
          <w:tcPr>
            <w:tcW w:w="575" w:type="dxa"/>
          </w:tcPr>
          <w:p w14:paraId="35B0F2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638" w:type="dxa"/>
          </w:tcPr>
          <w:p w14:paraId="6066FE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527" w:type="dxa"/>
          </w:tcPr>
          <w:p w14:paraId="6A3F25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0,97</w:t>
            </w:r>
          </w:p>
        </w:tc>
        <w:tc>
          <w:tcPr>
            <w:tcW w:w="527" w:type="dxa"/>
          </w:tcPr>
          <w:p w14:paraId="137B9E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08865A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52,8</w:t>
            </w:r>
          </w:p>
        </w:tc>
        <w:tc>
          <w:tcPr>
            <w:tcW w:w="560" w:type="dxa"/>
          </w:tcPr>
          <w:p w14:paraId="255B50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524" w:type="dxa"/>
          </w:tcPr>
          <w:p w14:paraId="3B218C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112726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25FCD9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7027B4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1800</w:t>
            </w:r>
          </w:p>
        </w:tc>
        <w:tc>
          <w:tcPr>
            <w:tcW w:w="554" w:type="dxa"/>
          </w:tcPr>
          <w:p w14:paraId="3E3A33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w:t>
            </w:r>
          </w:p>
        </w:tc>
        <w:tc>
          <w:tcPr>
            <w:tcW w:w="573" w:type="dxa"/>
          </w:tcPr>
          <w:p w14:paraId="59E69B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2" w:type="dxa"/>
          </w:tcPr>
          <w:p w14:paraId="7EDD1C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300/315</w:t>
            </w:r>
          </w:p>
        </w:tc>
        <w:tc>
          <w:tcPr>
            <w:tcW w:w="572" w:type="dxa"/>
          </w:tcPr>
          <w:p w14:paraId="038C78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396" w:type="dxa"/>
          </w:tcPr>
          <w:p w14:paraId="3F06EC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07B8D36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589365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доводке</w:t>
            </w:r>
          </w:p>
        </w:tc>
      </w:tr>
      <w:tr w:rsidR="007D5DF8" w:rsidRPr="00DB5D0D" w14:paraId="0B06C37E" w14:textId="77777777" w:rsidTr="009223E5">
        <w:tc>
          <w:tcPr>
            <w:tcW w:w="675" w:type="dxa"/>
          </w:tcPr>
          <w:p w14:paraId="64E730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М-81</w:t>
            </w:r>
          </w:p>
        </w:tc>
        <w:tc>
          <w:tcPr>
            <w:tcW w:w="874" w:type="dxa"/>
          </w:tcPr>
          <w:p w14:paraId="142E39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воздушного 2-х рядный 14 цилиндров</w:t>
            </w:r>
          </w:p>
        </w:tc>
        <w:tc>
          <w:tcPr>
            <w:tcW w:w="536" w:type="dxa"/>
          </w:tcPr>
          <w:p w14:paraId="4C556A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575" w:type="dxa"/>
          </w:tcPr>
          <w:p w14:paraId="03D890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638" w:type="dxa"/>
          </w:tcPr>
          <w:p w14:paraId="261F0F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527" w:type="dxa"/>
          </w:tcPr>
          <w:p w14:paraId="10A800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527" w:type="dxa"/>
          </w:tcPr>
          <w:p w14:paraId="1835E2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w:t>
            </w:r>
          </w:p>
        </w:tc>
        <w:tc>
          <w:tcPr>
            <w:tcW w:w="527" w:type="dxa"/>
          </w:tcPr>
          <w:p w14:paraId="6640DA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46,3</w:t>
            </w:r>
          </w:p>
        </w:tc>
        <w:tc>
          <w:tcPr>
            <w:tcW w:w="560" w:type="dxa"/>
          </w:tcPr>
          <w:p w14:paraId="610CDD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5250</w:t>
            </w:r>
          </w:p>
        </w:tc>
        <w:tc>
          <w:tcPr>
            <w:tcW w:w="524" w:type="dxa"/>
          </w:tcPr>
          <w:p w14:paraId="4599D9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3A4676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w:t>
            </w:r>
          </w:p>
        </w:tc>
        <w:tc>
          <w:tcPr>
            <w:tcW w:w="570" w:type="dxa"/>
          </w:tcPr>
          <w:p w14:paraId="3C3EE5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w:t>
            </w:r>
          </w:p>
        </w:tc>
        <w:tc>
          <w:tcPr>
            <w:tcW w:w="570" w:type="dxa"/>
          </w:tcPr>
          <w:p w14:paraId="53FA16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c>
          <w:tcPr>
            <w:tcW w:w="554" w:type="dxa"/>
          </w:tcPr>
          <w:p w14:paraId="3C4CDE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0,76</w:t>
            </w:r>
          </w:p>
        </w:tc>
        <w:tc>
          <w:tcPr>
            <w:tcW w:w="573" w:type="dxa"/>
          </w:tcPr>
          <w:p w14:paraId="6BF44A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1180</w:t>
            </w:r>
          </w:p>
        </w:tc>
        <w:tc>
          <w:tcPr>
            <w:tcW w:w="572" w:type="dxa"/>
          </w:tcPr>
          <w:p w14:paraId="15E573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305/325</w:t>
            </w:r>
          </w:p>
        </w:tc>
        <w:tc>
          <w:tcPr>
            <w:tcW w:w="572" w:type="dxa"/>
          </w:tcPr>
          <w:p w14:paraId="1E884E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290/310</w:t>
            </w:r>
          </w:p>
        </w:tc>
        <w:tc>
          <w:tcPr>
            <w:tcW w:w="396" w:type="dxa"/>
          </w:tcPr>
          <w:p w14:paraId="6E3254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1BDA8DA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2A7950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w:t>
            </w:r>
          </w:p>
        </w:tc>
      </w:tr>
      <w:tr w:rsidR="007D5DF8" w:rsidRPr="00DB5D0D" w14:paraId="46B73C19" w14:textId="77777777" w:rsidTr="009223E5">
        <w:tc>
          <w:tcPr>
            <w:tcW w:w="675" w:type="dxa"/>
          </w:tcPr>
          <w:p w14:paraId="1D8682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М-90</w:t>
            </w:r>
          </w:p>
        </w:tc>
        <w:tc>
          <w:tcPr>
            <w:tcW w:w="874" w:type="dxa"/>
          </w:tcPr>
          <w:p w14:paraId="4C3AFF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рядная звезда 18 цилиндров</w:t>
            </w:r>
          </w:p>
        </w:tc>
        <w:tc>
          <w:tcPr>
            <w:tcW w:w="536" w:type="dxa"/>
          </w:tcPr>
          <w:p w14:paraId="0E5B93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405</w:t>
            </w:r>
          </w:p>
        </w:tc>
        <w:tc>
          <w:tcPr>
            <w:tcW w:w="575" w:type="dxa"/>
          </w:tcPr>
          <w:p w14:paraId="6A2AD4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638" w:type="dxa"/>
          </w:tcPr>
          <w:p w14:paraId="081616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527" w:type="dxa"/>
          </w:tcPr>
          <w:p w14:paraId="52717C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w:t>
            </w:r>
          </w:p>
        </w:tc>
        <w:tc>
          <w:tcPr>
            <w:tcW w:w="527" w:type="dxa"/>
          </w:tcPr>
          <w:p w14:paraId="66D2C7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w:t>
            </w:r>
          </w:p>
        </w:tc>
        <w:tc>
          <w:tcPr>
            <w:tcW w:w="527" w:type="dxa"/>
          </w:tcPr>
          <w:p w14:paraId="3F400C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49,5</w:t>
            </w:r>
          </w:p>
        </w:tc>
        <w:tc>
          <w:tcPr>
            <w:tcW w:w="560" w:type="dxa"/>
          </w:tcPr>
          <w:p w14:paraId="1720F5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524" w:type="dxa"/>
          </w:tcPr>
          <w:p w14:paraId="667C6A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4E17F6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0866F9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0" w:type="dxa"/>
          </w:tcPr>
          <w:p w14:paraId="7174A1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1750</w:t>
            </w:r>
          </w:p>
        </w:tc>
        <w:tc>
          <w:tcPr>
            <w:tcW w:w="554" w:type="dxa"/>
          </w:tcPr>
          <w:p w14:paraId="226E47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0,59</w:t>
            </w:r>
          </w:p>
        </w:tc>
        <w:tc>
          <w:tcPr>
            <w:tcW w:w="573" w:type="dxa"/>
          </w:tcPr>
          <w:p w14:paraId="7BCBF3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572" w:type="dxa"/>
          </w:tcPr>
          <w:p w14:paraId="5A54B8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300/315</w:t>
            </w:r>
          </w:p>
        </w:tc>
        <w:tc>
          <w:tcPr>
            <w:tcW w:w="572" w:type="dxa"/>
          </w:tcPr>
          <w:p w14:paraId="7F44FB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396" w:type="dxa"/>
          </w:tcPr>
          <w:p w14:paraId="147FE1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0905264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259B02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w:t>
            </w:r>
          </w:p>
        </w:tc>
      </w:tr>
      <w:tr w:rsidR="007D5DF8" w:rsidRPr="00DB5D0D" w14:paraId="4E7C59C7" w14:textId="77777777" w:rsidTr="009223E5">
        <w:tc>
          <w:tcPr>
            <w:tcW w:w="675" w:type="dxa"/>
          </w:tcPr>
          <w:p w14:paraId="7E8964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874" w:type="dxa"/>
          </w:tcPr>
          <w:p w14:paraId="77DD64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035E21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c>
          <w:tcPr>
            <w:tcW w:w="575" w:type="dxa"/>
          </w:tcPr>
          <w:p w14:paraId="4D2542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638" w:type="dxa"/>
          </w:tcPr>
          <w:p w14:paraId="297E0D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570</w:t>
            </w:r>
          </w:p>
        </w:tc>
        <w:tc>
          <w:tcPr>
            <w:tcW w:w="527" w:type="dxa"/>
          </w:tcPr>
          <w:p w14:paraId="63DA99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0,73</w:t>
            </w:r>
          </w:p>
        </w:tc>
        <w:tc>
          <w:tcPr>
            <w:tcW w:w="527" w:type="dxa"/>
          </w:tcPr>
          <w:p w14:paraId="543589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24F3A8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560" w:type="dxa"/>
          </w:tcPr>
          <w:p w14:paraId="329717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524" w:type="dxa"/>
          </w:tcPr>
          <w:p w14:paraId="696691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1EEED7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570" w:type="dxa"/>
          </w:tcPr>
          <w:p w14:paraId="4BC6E6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70" w:type="dxa"/>
          </w:tcPr>
          <w:p w14:paraId="288610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54" w:type="dxa"/>
          </w:tcPr>
          <w:p w14:paraId="3A2A26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0,71</w:t>
            </w:r>
          </w:p>
        </w:tc>
        <w:tc>
          <w:tcPr>
            <w:tcW w:w="573" w:type="dxa"/>
          </w:tcPr>
          <w:p w14:paraId="7E21CE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572" w:type="dxa"/>
          </w:tcPr>
          <w:p w14:paraId="71F3DD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572" w:type="dxa"/>
          </w:tcPr>
          <w:p w14:paraId="3379D2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245/260</w:t>
            </w:r>
          </w:p>
        </w:tc>
        <w:tc>
          <w:tcPr>
            <w:tcW w:w="396" w:type="dxa"/>
          </w:tcPr>
          <w:p w14:paraId="638020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416" w:type="dxa"/>
          </w:tcPr>
          <w:p w14:paraId="4562EBC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7EFD17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309EA9C6" w14:textId="77777777" w:rsidTr="009223E5">
        <w:tc>
          <w:tcPr>
            <w:tcW w:w="675" w:type="dxa"/>
          </w:tcPr>
          <w:p w14:paraId="138D08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М-35</w:t>
            </w:r>
          </w:p>
        </w:tc>
        <w:tc>
          <w:tcPr>
            <w:tcW w:w="874" w:type="dxa"/>
          </w:tcPr>
          <w:p w14:paraId="249C39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18598F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575" w:type="dxa"/>
          </w:tcPr>
          <w:p w14:paraId="3ED766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w:t>
            </w:r>
          </w:p>
        </w:tc>
        <w:tc>
          <w:tcPr>
            <w:tcW w:w="638" w:type="dxa"/>
          </w:tcPr>
          <w:p w14:paraId="687E67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c>
          <w:tcPr>
            <w:tcW w:w="527" w:type="dxa"/>
          </w:tcPr>
          <w:p w14:paraId="546227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0,95</w:t>
            </w:r>
          </w:p>
        </w:tc>
        <w:tc>
          <w:tcPr>
            <w:tcW w:w="527" w:type="dxa"/>
          </w:tcPr>
          <w:p w14:paraId="549BD4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793903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44,7</w:t>
            </w:r>
          </w:p>
        </w:tc>
        <w:tc>
          <w:tcPr>
            <w:tcW w:w="560" w:type="dxa"/>
          </w:tcPr>
          <w:p w14:paraId="1B3C85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c>
          <w:tcPr>
            <w:tcW w:w="524" w:type="dxa"/>
          </w:tcPr>
          <w:p w14:paraId="7BE523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209B10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77CCD6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1130</w:t>
            </w:r>
          </w:p>
        </w:tc>
        <w:tc>
          <w:tcPr>
            <w:tcW w:w="570" w:type="dxa"/>
          </w:tcPr>
          <w:p w14:paraId="084625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061E93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0,81</w:t>
            </w:r>
          </w:p>
        </w:tc>
        <w:tc>
          <w:tcPr>
            <w:tcW w:w="573" w:type="dxa"/>
          </w:tcPr>
          <w:p w14:paraId="5E1881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980</w:t>
            </w:r>
          </w:p>
        </w:tc>
        <w:tc>
          <w:tcPr>
            <w:tcW w:w="572" w:type="dxa"/>
          </w:tcPr>
          <w:p w14:paraId="6D2732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572" w:type="dxa"/>
          </w:tcPr>
          <w:p w14:paraId="13D421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245/260</w:t>
            </w:r>
          </w:p>
        </w:tc>
        <w:tc>
          <w:tcPr>
            <w:tcW w:w="396" w:type="dxa"/>
          </w:tcPr>
          <w:p w14:paraId="4C1F05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416" w:type="dxa"/>
          </w:tcPr>
          <w:p w14:paraId="5D24233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4E6916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2C7D2913" w14:textId="77777777" w:rsidTr="009223E5">
        <w:tc>
          <w:tcPr>
            <w:tcW w:w="675" w:type="dxa"/>
          </w:tcPr>
          <w:p w14:paraId="51E3DF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tc>
        <w:tc>
          <w:tcPr>
            <w:tcW w:w="874" w:type="dxa"/>
          </w:tcPr>
          <w:p w14:paraId="2DF1ED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352DCB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w:t>
            </w:r>
          </w:p>
        </w:tc>
        <w:tc>
          <w:tcPr>
            <w:tcW w:w="575" w:type="dxa"/>
          </w:tcPr>
          <w:p w14:paraId="38E8D9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1060</w:t>
            </w:r>
          </w:p>
        </w:tc>
        <w:tc>
          <w:tcPr>
            <w:tcW w:w="638" w:type="dxa"/>
          </w:tcPr>
          <w:p w14:paraId="57F8FE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527" w:type="dxa"/>
          </w:tcPr>
          <w:p w14:paraId="065A33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0,98</w:t>
            </w:r>
          </w:p>
        </w:tc>
        <w:tc>
          <w:tcPr>
            <w:tcW w:w="527" w:type="dxa"/>
          </w:tcPr>
          <w:p w14:paraId="4D88ED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1907DA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41,6</w:t>
            </w:r>
          </w:p>
        </w:tc>
        <w:tc>
          <w:tcPr>
            <w:tcW w:w="560" w:type="dxa"/>
          </w:tcPr>
          <w:p w14:paraId="5D5899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6200</w:t>
            </w:r>
          </w:p>
        </w:tc>
        <w:tc>
          <w:tcPr>
            <w:tcW w:w="524" w:type="dxa"/>
          </w:tcPr>
          <w:p w14:paraId="2B1354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1FA557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570" w:type="dxa"/>
          </w:tcPr>
          <w:p w14:paraId="252183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570" w:type="dxa"/>
          </w:tcPr>
          <w:p w14:paraId="11B814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5DF8E8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w:t>
            </w:r>
          </w:p>
        </w:tc>
        <w:tc>
          <w:tcPr>
            <w:tcW w:w="573" w:type="dxa"/>
          </w:tcPr>
          <w:p w14:paraId="310E4F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1240</w:t>
            </w:r>
          </w:p>
        </w:tc>
        <w:tc>
          <w:tcPr>
            <w:tcW w:w="572" w:type="dxa"/>
          </w:tcPr>
          <w:p w14:paraId="0CFC9C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572" w:type="dxa"/>
          </w:tcPr>
          <w:p w14:paraId="51FBFD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396" w:type="dxa"/>
          </w:tcPr>
          <w:p w14:paraId="4B4997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w:t>
            </w:r>
          </w:p>
        </w:tc>
        <w:tc>
          <w:tcPr>
            <w:tcW w:w="416" w:type="dxa"/>
          </w:tcPr>
          <w:p w14:paraId="6150CB5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7394BF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 50 час</w:t>
            </w:r>
          </w:p>
        </w:tc>
      </w:tr>
      <w:tr w:rsidR="007D5DF8" w:rsidRPr="00DB5D0D" w14:paraId="7421A2F1" w14:textId="77777777" w:rsidTr="009223E5">
        <w:tc>
          <w:tcPr>
            <w:tcW w:w="675" w:type="dxa"/>
          </w:tcPr>
          <w:p w14:paraId="589D87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АМ-37</w:t>
            </w:r>
          </w:p>
        </w:tc>
        <w:tc>
          <w:tcPr>
            <w:tcW w:w="874" w:type="dxa"/>
          </w:tcPr>
          <w:p w14:paraId="2E71C1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водяного У 12 цилиндров</w:t>
            </w:r>
          </w:p>
        </w:tc>
        <w:tc>
          <w:tcPr>
            <w:tcW w:w="536" w:type="dxa"/>
          </w:tcPr>
          <w:p w14:paraId="5D0A46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430</w:t>
            </w:r>
          </w:p>
        </w:tc>
        <w:tc>
          <w:tcPr>
            <w:tcW w:w="575" w:type="dxa"/>
          </w:tcPr>
          <w:p w14:paraId="6E3537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1210</w:t>
            </w:r>
          </w:p>
        </w:tc>
        <w:tc>
          <w:tcPr>
            <w:tcW w:w="638" w:type="dxa"/>
          </w:tcPr>
          <w:p w14:paraId="0A9848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527" w:type="dxa"/>
          </w:tcPr>
          <w:p w14:paraId="0F258F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0,98</w:t>
            </w:r>
          </w:p>
        </w:tc>
        <w:tc>
          <w:tcPr>
            <w:tcW w:w="527" w:type="dxa"/>
          </w:tcPr>
          <w:p w14:paraId="2F0AF8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527" w:type="dxa"/>
          </w:tcPr>
          <w:p w14:paraId="52FC78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41,6</w:t>
            </w:r>
          </w:p>
        </w:tc>
        <w:tc>
          <w:tcPr>
            <w:tcW w:w="560" w:type="dxa"/>
          </w:tcPr>
          <w:p w14:paraId="3A9B85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6300</w:t>
            </w:r>
          </w:p>
        </w:tc>
        <w:tc>
          <w:tcPr>
            <w:tcW w:w="524" w:type="dxa"/>
          </w:tcPr>
          <w:p w14:paraId="7B6FBF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скоростной</w:t>
            </w:r>
          </w:p>
        </w:tc>
        <w:tc>
          <w:tcPr>
            <w:tcW w:w="647" w:type="dxa"/>
          </w:tcPr>
          <w:p w14:paraId="09006F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70" w:type="dxa"/>
          </w:tcPr>
          <w:p w14:paraId="70BD64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1250</w:t>
            </w:r>
          </w:p>
        </w:tc>
        <w:tc>
          <w:tcPr>
            <w:tcW w:w="570" w:type="dxa"/>
          </w:tcPr>
          <w:p w14:paraId="2CD2FB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554" w:type="dxa"/>
          </w:tcPr>
          <w:p w14:paraId="34F8E5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0,61</w:t>
            </w:r>
          </w:p>
        </w:tc>
        <w:tc>
          <w:tcPr>
            <w:tcW w:w="573" w:type="dxa"/>
          </w:tcPr>
          <w:p w14:paraId="4B7F8D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1460</w:t>
            </w:r>
          </w:p>
        </w:tc>
        <w:tc>
          <w:tcPr>
            <w:tcW w:w="572" w:type="dxa"/>
          </w:tcPr>
          <w:p w14:paraId="7774E0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280/295</w:t>
            </w:r>
          </w:p>
        </w:tc>
        <w:tc>
          <w:tcPr>
            <w:tcW w:w="572" w:type="dxa"/>
          </w:tcPr>
          <w:p w14:paraId="59E187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260/275</w:t>
            </w:r>
          </w:p>
        </w:tc>
        <w:tc>
          <w:tcPr>
            <w:tcW w:w="396" w:type="dxa"/>
          </w:tcPr>
          <w:p w14:paraId="3C1217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w:t>
            </w:r>
          </w:p>
        </w:tc>
        <w:tc>
          <w:tcPr>
            <w:tcW w:w="416" w:type="dxa"/>
          </w:tcPr>
          <w:p w14:paraId="1D1C963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4" w:type="dxa"/>
          </w:tcPr>
          <w:p w14:paraId="6CBB9A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 50 час</w:t>
            </w:r>
          </w:p>
        </w:tc>
      </w:tr>
      <w:tr w:rsidR="007D5DF8" w:rsidRPr="00DB5D0D" w14:paraId="5474BF40" w14:textId="77777777" w:rsidTr="009223E5">
        <w:tc>
          <w:tcPr>
            <w:tcW w:w="675" w:type="dxa"/>
          </w:tcPr>
          <w:p w14:paraId="4974DD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210ВА</w:t>
            </w:r>
          </w:p>
        </w:tc>
        <w:tc>
          <w:tcPr>
            <w:tcW w:w="874" w:type="dxa"/>
          </w:tcPr>
          <w:p w14:paraId="2374A5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Pr>
          <w:p w14:paraId="4CF825E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Pr>
          <w:p w14:paraId="66D27E8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Pr>
          <w:p w14:paraId="344C238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67FBFE3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495517D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608171D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Pr>
          <w:p w14:paraId="60F94F4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576308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0D3D4E5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03F3F91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41A891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7AD9E5B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Pr>
          <w:p w14:paraId="144DD18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086B14D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0F0A25F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135F234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43D893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669DF2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57E0EE11" w14:textId="77777777" w:rsidTr="009223E5">
        <w:tc>
          <w:tcPr>
            <w:tcW w:w="675" w:type="dxa"/>
          </w:tcPr>
          <w:p w14:paraId="1DD9EE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211LF</w:t>
            </w:r>
          </w:p>
        </w:tc>
        <w:tc>
          <w:tcPr>
            <w:tcW w:w="874" w:type="dxa"/>
          </w:tcPr>
          <w:p w14:paraId="4CA3DA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Pr>
          <w:p w14:paraId="44F87B3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Pr>
          <w:p w14:paraId="0B9C3FD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Pr>
          <w:p w14:paraId="0449871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13D0B72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4910252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Pr>
          <w:p w14:paraId="0B6ECB1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Pr>
          <w:p w14:paraId="3471535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Pr>
          <w:p w14:paraId="7A964C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Pr>
          <w:p w14:paraId="72F6317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69D3B21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Pr>
          <w:p w14:paraId="7962EC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w:t>
            </w:r>
          </w:p>
        </w:tc>
        <w:tc>
          <w:tcPr>
            <w:tcW w:w="554" w:type="dxa"/>
          </w:tcPr>
          <w:p w14:paraId="6328F7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0?68</w:t>
            </w:r>
          </w:p>
        </w:tc>
        <w:tc>
          <w:tcPr>
            <w:tcW w:w="573" w:type="dxa"/>
          </w:tcPr>
          <w:p w14:paraId="35B17F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940</w:t>
            </w:r>
          </w:p>
        </w:tc>
        <w:tc>
          <w:tcPr>
            <w:tcW w:w="572" w:type="dxa"/>
          </w:tcPr>
          <w:p w14:paraId="756ECC8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Pr>
          <w:p w14:paraId="36A9190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Pr>
          <w:p w14:paraId="103308F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Pr>
          <w:p w14:paraId="10EC1E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Pr>
          <w:p w14:paraId="4D6C89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r w:rsidR="007D5DF8" w:rsidRPr="00DB5D0D" w14:paraId="0721F9A9" w14:textId="77777777" w:rsidTr="009223E5">
        <w:tc>
          <w:tcPr>
            <w:tcW w:w="675" w:type="dxa"/>
            <w:tcBorders>
              <w:bottom w:val="single" w:sz="12" w:space="0" w:color="auto"/>
            </w:tcBorders>
          </w:tcPr>
          <w:p w14:paraId="6B19E9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 ЮМО 210G</w:t>
            </w:r>
          </w:p>
        </w:tc>
        <w:tc>
          <w:tcPr>
            <w:tcW w:w="874" w:type="dxa"/>
            <w:tcBorders>
              <w:bottom w:val="single" w:sz="12" w:space="0" w:color="auto"/>
            </w:tcBorders>
          </w:tcPr>
          <w:p w14:paraId="5C1A00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жидкостного 12 перевернутый</w:t>
            </w:r>
          </w:p>
        </w:tc>
        <w:tc>
          <w:tcPr>
            <w:tcW w:w="536" w:type="dxa"/>
            <w:tcBorders>
              <w:bottom w:val="single" w:sz="12" w:space="0" w:color="auto"/>
            </w:tcBorders>
          </w:tcPr>
          <w:p w14:paraId="6C82E08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5" w:type="dxa"/>
            <w:tcBorders>
              <w:bottom w:val="single" w:sz="12" w:space="0" w:color="auto"/>
            </w:tcBorders>
          </w:tcPr>
          <w:p w14:paraId="73ED6BC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38" w:type="dxa"/>
            <w:tcBorders>
              <w:bottom w:val="single" w:sz="12" w:space="0" w:color="auto"/>
            </w:tcBorders>
          </w:tcPr>
          <w:p w14:paraId="764C49C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67B7D9D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132E13D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7" w:type="dxa"/>
            <w:tcBorders>
              <w:bottom w:val="single" w:sz="12" w:space="0" w:color="auto"/>
            </w:tcBorders>
          </w:tcPr>
          <w:p w14:paraId="69BC9C3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60" w:type="dxa"/>
            <w:tcBorders>
              <w:bottom w:val="single" w:sz="12" w:space="0" w:color="auto"/>
            </w:tcBorders>
          </w:tcPr>
          <w:p w14:paraId="03C1B3C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4" w:type="dxa"/>
            <w:tcBorders>
              <w:bottom w:val="single" w:sz="12" w:space="0" w:color="auto"/>
            </w:tcBorders>
          </w:tcPr>
          <w:p w14:paraId="391AFC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 скоростной</w:t>
            </w:r>
          </w:p>
        </w:tc>
        <w:tc>
          <w:tcPr>
            <w:tcW w:w="647" w:type="dxa"/>
            <w:tcBorders>
              <w:bottom w:val="single" w:sz="12" w:space="0" w:color="auto"/>
            </w:tcBorders>
          </w:tcPr>
          <w:p w14:paraId="5B5AD22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Borders>
              <w:bottom w:val="single" w:sz="12" w:space="0" w:color="auto"/>
            </w:tcBorders>
          </w:tcPr>
          <w:p w14:paraId="463D134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0" w:type="dxa"/>
            <w:tcBorders>
              <w:bottom w:val="single" w:sz="12" w:space="0" w:color="auto"/>
            </w:tcBorders>
          </w:tcPr>
          <w:p w14:paraId="301AA2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554" w:type="dxa"/>
            <w:tcBorders>
              <w:bottom w:val="single" w:sz="12" w:space="0" w:color="auto"/>
            </w:tcBorders>
          </w:tcPr>
          <w:p w14:paraId="08CC887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3" w:type="dxa"/>
            <w:tcBorders>
              <w:bottom w:val="single" w:sz="12" w:space="0" w:color="auto"/>
            </w:tcBorders>
          </w:tcPr>
          <w:p w14:paraId="299B26B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Borders>
              <w:bottom w:val="single" w:sz="12" w:space="0" w:color="auto"/>
            </w:tcBorders>
          </w:tcPr>
          <w:p w14:paraId="40287E1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2" w:type="dxa"/>
            <w:tcBorders>
              <w:bottom w:val="single" w:sz="12" w:space="0" w:color="auto"/>
            </w:tcBorders>
          </w:tcPr>
          <w:p w14:paraId="6C7A02C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96" w:type="dxa"/>
            <w:tcBorders>
              <w:bottom w:val="single" w:sz="12" w:space="0" w:color="auto"/>
            </w:tcBorders>
          </w:tcPr>
          <w:p w14:paraId="1FC8B47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16" w:type="dxa"/>
            <w:tcBorders>
              <w:bottom w:val="single" w:sz="12" w:space="0" w:color="auto"/>
            </w:tcBorders>
          </w:tcPr>
          <w:p w14:paraId="71C08A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 впрыск</w:t>
            </w:r>
          </w:p>
        </w:tc>
        <w:tc>
          <w:tcPr>
            <w:tcW w:w="374" w:type="dxa"/>
            <w:tcBorders>
              <w:bottom w:val="single" w:sz="12" w:space="0" w:color="auto"/>
            </w:tcBorders>
          </w:tcPr>
          <w:p w14:paraId="02941C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r>
    </w:tbl>
    <w:p w14:paraId="3D736E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(801,1).</w:t>
      </w:r>
    </w:p>
    <w:p w14:paraId="105BBA1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9FEB0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года Приказом НКАП за № 232с завод № 30 был разделен на два самостоятельных завода:</w:t>
      </w:r>
    </w:p>
    <w:p w14:paraId="2AB4458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30. В настоящее время завод № 256 5-го гл. управления КАТ и</w:t>
      </w:r>
    </w:p>
    <w:p w14:paraId="60DB1F7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288. В настоящее время завод № 491 Кимры Калининской области (расстояние между этими заводами 18 км).</w:t>
      </w:r>
    </w:p>
    <w:p w14:paraId="5153A5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октябре 1941 года по приказу НКАП за № 1057сс от 10 октября 1941 года завод № 30 был эвакуирован. До мая 1942 года оставшаяся часть завода не работала, находилась под охраной в законсервированном состоянии.</w:t>
      </w:r>
    </w:p>
    <w:p w14:paraId="110798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1942 года приказом НКАП за № 372с от 11 мая 1942 года на базе завода № 30 был создан опытный завод № 458. Этим же приказом гл. конструктором и директором завода был назначен Четвериков.</w:t>
      </w:r>
    </w:p>
    <w:p w14:paraId="6B6762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заводом были поставлены задачи по опытному проектированию гидросамолетов и их ремонту.</w:t>
      </w:r>
    </w:p>
    <w:p w14:paraId="784AFB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МАП № 288сс от 19 апреля 1946 года завод № 458 реорганизуется в опытный завод № 1 и подчиняется непосредственно министру авиапромышленности.</w:t>
      </w:r>
    </w:p>
    <w:p w14:paraId="6FB1BC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СМ от 1 сентября 1951 года за № 3251-1545 на базе Опытного завода № 1 создается завод № 256 МАП.</w:t>
      </w:r>
    </w:p>
    <w:p w14:paraId="10AA9E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Директора: </w:t>
      </w:r>
    </w:p>
    <w:p w14:paraId="7C89C8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1940 года – Загайнов, в том же году его сменил Руденко Я.К.</w:t>
      </w:r>
    </w:p>
    <w:p w14:paraId="4CCD51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НКАП за № 372с от 11 мая 1942 года директором и гл. конструктором завода назначается Четвериков.</w:t>
      </w:r>
    </w:p>
    <w:p w14:paraId="7BBD6C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апреле 1946 года директором назначается Абрамов В.И.</w:t>
      </w:r>
    </w:p>
    <w:p w14:paraId="2CFC31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январе 1950 года директором назначается Смирнов П.П.</w:t>
      </w:r>
    </w:p>
    <w:p w14:paraId="6203E8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1959 года директором назначается Лисицын В.Н.</w:t>
      </w:r>
    </w:p>
    <w:p w14:paraId="4AFC1B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1951 года директором назначается Белиловский С.И.</w:t>
      </w:r>
    </w:p>
    <w:p w14:paraId="44AB2D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Адрес: Иваньково Московской обл., п/я 6</w:t>
      </w:r>
    </w:p>
    <w:p w14:paraId="75F192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конструкторы завода</w:t>
      </w:r>
    </w:p>
    <w:p w14:paraId="4F82DA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Четвериков, с 13 ноября 1944 года – Горбунов</w:t>
      </w:r>
    </w:p>
    <w:p w14:paraId="69F942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декабря 1949 года приказом МАП № 724-К должность была упразднена.</w:t>
      </w:r>
    </w:p>
    <w:p w14:paraId="1A7F95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256 расположен на левом берегу Волги, северной Иваньковской плотины канала им. Москвы, на расстоянии 2-х км от Москвы (9595).</w:t>
      </w:r>
    </w:p>
    <w:p w14:paraId="2B89DCC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2E674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26 мая 1940 года в постановлением Политбюро № П 16 / 205 «О Кагановиче М.М.» предписывалось утвердить Кагановича М.М. директором завода № 124 НКАП, отправив в распоряжение Наркомата Авиационной Промышленности «нынешнего директора этого завода т. Штейнберга И.И.» (РГАСПИ. Ф. 17. Оп. 3. Д. 1023. Л. 60.) (11672).</w:t>
      </w:r>
    </w:p>
    <w:p w14:paraId="3E13793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1EA501"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EACBF4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433BFB2"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26 мая 1940 г. наркомы ВМФ Н. Г. Кузнецов, вооружения В. Л. Ванникова, судостроительной промышленности К. А. Носенко обратились к наркому внешней торговли А. И. Микояну с информацией [Там же, д. 3, д. 185-186]:</w:t>
      </w:r>
    </w:p>
    <w:p w14:paraId="204DD786"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1. Сроки поставок вооружения из Германии, предлагаемые фирмами при оформлении заказов, отличались от сроков, установленных торговыми соглашениями.</w:t>
      </w:r>
    </w:p>
    <w:p w14:paraId="6551EA92"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2. Ввиду того, что вооружение для кораблей поступает от разных фирм и никем со стороны Германского правительства не объединяется и не контролируется, создается положение, при котором продукция будет поступать некомплектной.</w:t>
      </w:r>
    </w:p>
    <w:p w14:paraId="12A0DA67"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3. Цены на объекты заказов германские фирмы предъявляют завышенными на 25-30% против назначенных советской стороной. Учитывая, что предложения советских представителей о стоимости заказов не являлись достаточно обоснованными и дальнейшие переговоры о ценах затягивали сроки заключения договоров, рекомендовалось принять предлагаемые цены германских фирм.</w:t>
      </w:r>
    </w:p>
    <w:p w14:paraId="3FE76275"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4. Некоторые объекты заказов из торгового соглашения оказались неприемлемыми для покупки. Так, например, чертежи 280-мм башни предлагались без расчетов, технологии, не комплектно, и приобретение их было признано нецелесообразным.</w:t>
      </w:r>
    </w:p>
    <w:p w14:paraId="2AB8EF75"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5. Порядок оплаты закупленной в Германии продукции фирмы предлагали производить по времени, предложение советской стороны – по технической готовности заказов, а именно выплата аванса при подписании договора 10-15% от стоимости заказа, 50% от стоимости всего заказа, включая аванс, – при сдаче продукции на месте, 45% от стоимости заказа – после отправки продукции из Германии, 5%, оставшиеся от общей стоимости, – по истечении срока гарантии на 2 года.</w:t>
      </w:r>
    </w:p>
    <w:p w14:paraId="13C723E3"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Предлагалось обязать поставщиков:</w:t>
      </w:r>
    </w:p>
    <w:p w14:paraId="59B880C6"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xml:space="preserve">а) выдерживать сроки поставок заказов в строгом соответствии с торговыми соглашением, при этом </w:t>
      </w:r>
    </w:p>
    <w:p w14:paraId="16310672"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б) обеспечить комплексную сдачу продукции объектов заказа, в особенности мат. части артиллерии (ПУАО, оптики, арт. боезапаса).</w:t>
      </w:r>
    </w:p>
    <w:p w14:paraId="71D10712"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Проводя закупки новых образцов военно-морского вооружения, руководство СССР уделяло внимание и их освоению. А именно, в соответствии с договоренностью с правительством Германии, группа советских специалистов, возглавляемая М. И. Акулиным, 8 мая 1940 года посетила артиллерийскую школу Военно-морского флота в г. Киле, где ознакомилась с приборами для обучения наводке, а также изучила:</w:t>
      </w:r>
    </w:p>
    <w:p w14:paraId="7B093E90"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организацию обучения артиллерийских специалистов;</w:t>
      </w:r>
    </w:p>
    <w:p w14:paraId="2CB2126D"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принципы обучения наводке орудий;</w:t>
      </w:r>
    </w:p>
    <w:p w14:paraId="467999AB"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принципы обучения заряжания орудий;</w:t>
      </w:r>
    </w:p>
    <w:p w14:paraId="42090632"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материальную часть обучения [Там же, л. 104-120] (12700).</w:t>
      </w:r>
    </w:p>
    <w:p w14:paraId="6F3F742B"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p>
    <w:p w14:paraId="705884D0" w14:textId="77777777" w:rsidR="00E37AF0" w:rsidRPr="00DB5D0D" w:rsidRDefault="00E37A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Газета "Московский транспортник" сообщала: "В павильоне "Механизация" на ВСХВ выставлен необычный автомобиль М-1. При свете солнца он имеет кремовый цвет, но с наступлением темноты начинает светиться, излучая изумрудный свет. Машина становится как бы праздничной, напоминая морскую волну" (18701).</w:t>
      </w:r>
    </w:p>
    <w:p w14:paraId="0EEC0EAF" w14:textId="77777777" w:rsidR="00E37AF0" w:rsidRPr="00DB5D0D" w:rsidRDefault="00E37AF0" w:rsidP="00DB5D0D">
      <w:pPr>
        <w:spacing w:after="0" w:line="240" w:lineRule="auto"/>
        <w:jc w:val="both"/>
        <w:rPr>
          <w:rFonts w:ascii="Times New Roman" w:hAnsi="Times New Roman"/>
          <w:color w:val="000000" w:themeColor="text1"/>
          <w:sz w:val="16"/>
          <w:szCs w:val="16"/>
        </w:rPr>
      </w:pPr>
    </w:p>
    <w:p w14:paraId="10FC117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135C29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675F616" w14:textId="77777777" w:rsidR="00AB2357" w:rsidRPr="00DB5D0D" w:rsidRDefault="00AB23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26 мая</w:t>
      </w:r>
      <w:r w:rsidRPr="00DB5D0D">
        <w:rPr>
          <w:rFonts w:ascii="Times New Roman" w:hAnsi="Times New Roman"/>
          <w:color w:val="000000" w:themeColor="text1"/>
          <w:sz w:val="16"/>
          <w:szCs w:val="16"/>
        </w:rPr>
        <w:t xml:space="preserve"> в 1940 году в Вудфорде совершил первый полет второй прототип английского среднего бомбардировщика </w:t>
      </w:r>
      <w:hyperlink r:id="rId58" w:tgtFrame="_blank" w:history="1">
        <w:r w:rsidRPr="00DB5D0D">
          <w:rPr>
            <w:rFonts w:ascii="Times New Roman" w:hAnsi="Times New Roman"/>
            <w:color w:val="000000" w:themeColor="text1"/>
            <w:sz w:val="16"/>
            <w:szCs w:val="16"/>
          </w:rPr>
          <w:t xml:space="preserve">«Avro Manchester» </w:t>
        </w:r>
      </w:hyperlink>
      <w:r w:rsidRPr="00DB5D0D">
        <w:rPr>
          <w:rFonts w:ascii="Times New Roman" w:hAnsi="Times New Roman"/>
          <w:color w:val="000000" w:themeColor="text1"/>
          <w:sz w:val="16"/>
          <w:szCs w:val="16"/>
        </w:rPr>
        <w:t>с усовершенстованным хвостовым оперением. На этом самолете уже стояли носовая турель с двумя пулеметами и хвостовая с четырьмя, а также убираемая нижняя турель «Фрэзер-Нэш» «FN21A» с двумя пулеметами калибра 7,7 мм. В ходе дальнейшего совершенствования центральный киль был увеличен, а вместо нижней турели поставили верхнюю - модернизированную «Фрэзер-Нэш» «FN7» с двумя пулеметами. Обтянутые полотном элероны и рули высоты заменили прежние, обшитые металлом. Установили новые консоли крыла, увеличившие размах с 24,43 м до 27,46 м. В таком виде летом 1940 года в Вудфорде появились серийные "Манчестеры" 1 (14903).</w:t>
      </w:r>
    </w:p>
    <w:p w14:paraId="266E99C9" w14:textId="77777777" w:rsidR="00AB2357" w:rsidRPr="00DB5D0D" w:rsidRDefault="00AB2357" w:rsidP="00DB5D0D">
      <w:pPr>
        <w:spacing w:after="0" w:line="240" w:lineRule="auto"/>
        <w:jc w:val="both"/>
        <w:rPr>
          <w:rFonts w:ascii="Times New Roman" w:hAnsi="Times New Roman"/>
          <w:color w:val="000000" w:themeColor="text1"/>
          <w:sz w:val="16"/>
          <w:szCs w:val="16"/>
        </w:rPr>
      </w:pPr>
    </w:p>
    <w:p w14:paraId="36F461E4" w14:textId="77777777" w:rsidR="00D30352" w:rsidRPr="00DB5D0D" w:rsidRDefault="00D3035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мая 1940 года был облетан дублер Авро 679. На «дублере» фирма постаралась устранить как можно больше дефектов, и головной серийный бомбардировщик, получивший официальное наименование «Манчестер» Mk. I в честь города, где он строился, имел столько нововведений, что его пришлось передать не в строевую часть, а на испытания. Главными отличиями было новое увеличенное крыло и верхняя пулеметная башня. Установленная на 2-м опытном самолете нижняя установка работала плохо, и защиту нижней полусферы возложили на носовую точку с двумя пулеметами «Виккерс» (7,69 мм) и хвостовую с четырьмя такими пулеметами, хотя углы отклонения их стволов были ограничены. Из-за задержки с испытаниями второй серийный «Манчестер» был сдан в 207-ю эскадрилью Бомбардировочного Командования RAF лишь 25 октября 1940 года (22823).</w:t>
      </w:r>
    </w:p>
    <w:p w14:paraId="585C27AA" w14:textId="77777777" w:rsidR="00D30352" w:rsidRPr="00DB5D0D" w:rsidRDefault="00D30352" w:rsidP="00DB5D0D">
      <w:pPr>
        <w:spacing w:after="0" w:line="240" w:lineRule="auto"/>
        <w:jc w:val="both"/>
        <w:rPr>
          <w:rFonts w:ascii="Times New Roman" w:hAnsi="Times New Roman"/>
          <w:color w:val="0070C0"/>
          <w:sz w:val="16"/>
          <w:szCs w:val="16"/>
        </w:rPr>
      </w:pPr>
    </w:p>
    <w:p w14:paraId="7C0E8E2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началась эвакуация войск союзников из Дюнкерка (Франция) (4962).</w:t>
      </w:r>
    </w:p>
    <w:p w14:paraId="5570821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83B0252"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26th, 1940: Employing hundreds of naval, commercial and private vessels, the beaten British forces in France begin Operation Dynamo, the evacuation of the BEF from Dunkirk. Calais fall to the Germans, and the advance toward Dunkirk, ordered stopped by Hitler 3 days previously, is resumed (3819).</w:t>
      </w:r>
    </w:p>
    <w:p w14:paraId="6AD4E172"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281F1469" w14:textId="77777777" w:rsidR="00D30352" w:rsidRPr="00DB5D0D" w:rsidRDefault="00D3035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мая - 4 июня 1940 проходит операция «Динамо», эвакуация из Дюнкерка , которая состоит в том, что 308 888 солдат союзников эвакуируются в Соединенное Королевство из Дюнкерка по морю под непрерывными воздушными атаками Германии. Во время эвакуации немецкие самолеты потопили шесть британских и три французских эсминца и восемь боевых кораблей и вывели из строя 19 британских эсминцев и девять боевых кораблей (20795).</w:t>
      </w:r>
    </w:p>
    <w:p w14:paraId="4B5EBD36" w14:textId="77777777" w:rsidR="00D30352" w:rsidRPr="00DB5D0D" w:rsidRDefault="00D30352" w:rsidP="00DB5D0D">
      <w:pPr>
        <w:spacing w:after="0" w:line="240" w:lineRule="auto"/>
        <w:jc w:val="both"/>
        <w:rPr>
          <w:rFonts w:ascii="Times New Roman" w:hAnsi="Times New Roman"/>
          <w:color w:val="0070C0"/>
          <w:sz w:val="16"/>
          <w:szCs w:val="16"/>
        </w:rPr>
      </w:pPr>
    </w:p>
    <w:p w14:paraId="03D9D4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Кале был взят и наступление на Дюнкерк, остановленное 3 днями ранее А.Г., было продолжено (3819).</w:t>
      </w:r>
    </w:p>
    <w:p w14:paraId="56BC85C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6531F6"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26 May 1940 (26 May-4 June) Evacuation of BEF from Dunkirk (270).</w:t>
      </w:r>
    </w:p>
    <w:p w14:paraId="5A3A57D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B4903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26 мая по 4 июня 1940 была эвакуация британского экспедиционного корпуса из Дюнкерка (270). Операция Динамо (2244,4).</w:t>
      </w:r>
    </w:p>
    <w:p w14:paraId="0B179C3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3D0C09A" w14:textId="77777777" w:rsidR="00AB2357" w:rsidRPr="00DB5D0D" w:rsidRDefault="00AB23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26 мая</w:t>
      </w:r>
      <w:r w:rsidRPr="00DB5D0D">
        <w:rPr>
          <w:rFonts w:ascii="Times New Roman" w:hAnsi="Times New Roman"/>
          <w:color w:val="000000" w:themeColor="text1"/>
          <w:sz w:val="16"/>
          <w:szCs w:val="16"/>
        </w:rPr>
        <w:t xml:space="preserve"> в 1940 году началась эвакуация войск союзников из Дюнкерка (Франция) в ходе 2-й мировой войны. Операция носила условное название "Динамо". До 4 июня удалось эвакуировать 338 тысяч солдат - это была самая большая военно-эвакуационная операция в истории. Шанс на спасение союзники получили благодаря Гитлеру, который неожиданно приказал немецким войскам прекратить наступление во Франции и подтянуть тылы. 25 мая наступление возобновилось. Но передышка, данная Гитлером как намек на желательность объединения европейских сил под знаменем Третьего рейха для похода на Восток, позволила союзникам успешно провести Дюнкеркскую эвакуацию (14903).</w:t>
      </w:r>
    </w:p>
    <w:p w14:paraId="1A798686" w14:textId="77777777" w:rsidR="00AB2357" w:rsidRPr="00DB5D0D" w:rsidRDefault="00AB2357" w:rsidP="00DB5D0D">
      <w:pPr>
        <w:spacing w:after="0" w:line="240" w:lineRule="auto"/>
        <w:jc w:val="both"/>
        <w:rPr>
          <w:rFonts w:ascii="Times New Roman" w:hAnsi="Times New Roman"/>
          <w:color w:val="000000" w:themeColor="text1"/>
          <w:sz w:val="16"/>
          <w:szCs w:val="16"/>
        </w:rPr>
      </w:pPr>
    </w:p>
    <w:p w14:paraId="432A8D7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немцы потопили у берегов Норвегии английский крейсер «Карлю» (4962).</w:t>
      </w:r>
    </w:p>
    <w:p w14:paraId="5281A5F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2C97E47" w14:textId="77777777" w:rsidR="00AB2357" w:rsidRPr="00DB5D0D" w:rsidRDefault="00AB23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26 мая</w:t>
      </w:r>
      <w:r w:rsidRPr="00DB5D0D">
        <w:rPr>
          <w:rFonts w:ascii="Times New Roman" w:hAnsi="Times New Roman"/>
          <w:color w:val="000000" w:themeColor="text1"/>
          <w:sz w:val="16"/>
          <w:szCs w:val="16"/>
        </w:rPr>
        <w:t xml:space="preserve"> в 1940 году немецкие войска заняли Булонь и Кале (14903).</w:t>
      </w:r>
    </w:p>
    <w:p w14:paraId="16FE3972" w14:textId="77777777" w:rsidR="00AB2357" w:rsidRPr="00DB5D0D" w:rsidRDefault="00AB2357" w:rsidP="00DB5D0D">
      <w:pPr>
        <w:spacing w:after="0" w:line="240" w:lineRule="auto"/>
        <w:jc w:val="both"/>
        <w:rPr>
          <w:rFonts w:ascii="Times New Roman" w:hAnsi="Times New Roman"/>
          <w:color w:val="000000" w:themeColor="text1"/>
          <w:sz w:val="16"/>
          <w:szCs w:val="16"/>
        </w:rPr>
      </w:pPr>
    </w:p>
    <w:p w14:paraId="31EE811D" w14:textId="77777777" w:rsidR="00AB2357" w:rsidRPr="00DB5D0D" w:rsidRDefault="00AB23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26 мая</w:t>
      </w:r>
      <w:r w:rsidRPr="00DB5D0D">
        <w:rPr>
          <w:rFonts w:ascii="Times New Roman" w:hAnsi="Times New Roman"/>
          <w:color w:val="000000" w:themeColor="text1"/>
          <w:sz w:val="16"/>
          <w:szCs w:val="16"/>
        </w:rPr>
        <w:t xml:space="preserve"> в 1940 году на совещании под председательством Коноэ было решено добиваться санкции императора на роспуск партий и создание Высшего совета обороны (14903).</w:t>
      </w:r>
    </w:p>
    <w:p w14:paraId="25DBFFF1" w14:textId="77777777" w:rsidR="00AB2357" w:rsidRPr="00DB5D0D" w:rsidRDefault="00AB2357" w:rsidP="00DB5D0D">
      <w:pPr>
        <w:spacing w:after="0" w:line="240" w:lineRule="auto"/>
        <w:jc w:val="both"/>
        <w:rPr>
          <w:rFonts w:ascii="Times New Roman" w:hAnsi="Times New Roman"/>
          <w:color w:val="000000" w:themeColor="text1"/>
          <w:sz w:val="16"/>
          <w:szCs w:val="16"/>
        </w:rPr>
      </w:pPr>
    </w:p>
    <w:p w14:paraId="03F68231"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2ED49C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433FE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года выходит Постановление Комитета Обороны при СНК СССР, в котором конкретизировались требования к самолету ТБ-7, с различными типами двигателей:</w:t>
      </w:r>
    </w:p>
    <w:p w14:paraId="59BF2E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№124 надлежит организовать производство самолетов ТБ-7. Установить, что ТБ-7 должен выполнять функции: дальнего бомбардировщика, военно-транспортного самолета...</w:t>
      </w:r>
    </w:p>
    <w:p w14:paraId="1656DA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 с двигателями М-40</w:t>
      </w:r>
    </w:p>
    <w:p w14:paraId="1CFBE8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Оборонительное вооружение - 7 пулеметов, одна пушка, в б точках... Десант оговаривался в количестве 50-55 человек, экипаж 10 человек" (7685).</w:t>
      </w:r>
    </w:p>
    <w:p w14:paraId="071EEA2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0885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г. вышло постановление Комитета обороны, в котором конкретизировались требования к ТБ-7. При этом рассматривались четыре варианта мотоустановки: с новыми карбюраторными двигателями АМ- 35А и тремя типами дизелей - М-30, М-40 и М-40Ф. Об агрегате центрального наддува речи уже не шло. Вооружение для всех модификаций должно было быть одинаковым - семь пулемётов и одна пушка; экипаж - десять человек. Самолёт мог использоваться как военно-транспортный для перевозки 50 - 55 бойцов.</w:t>
      </w:r>
    </w:p>
    <w:p w14:paraId="09F44C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Почему решили использовать дизели? Прельщала их большая экономичность, по сравнению с бензиновыми. Хотя дизель при равной мощности получался тяжелее, для самолёта большого радиуса действия суммарный вес мотоустановки плюс топливо получался меньше. Кроме того, дизель работал на газойле или тракторном керосине, который получить из нефти проще, чем высокооктановый бензин.</w:t>
      </w:r>
    </w:p>
    <w:p w14:paraId="7C2C19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Германии дизели фирмы "Юнкере" ставились на некоторые самолёты. В СССР с начала 1930-х гг. выполнялась большая программа развития дизелестроения с упором именно на авиационные двигатели. В 1933 г. под руководством А.Д. Чаромского был создан первый отечественный авиадизель АН-1, далее последовало несколько его модификаций. В 1938 г. появился АН-1РТК с турбонаддувом взлётной мощностью 1200 л.с. Удельный расход топлива составлял 175 г/л.с. х ч, что было в полтора раза меньше, чем для бензиновых двигателей. Прямым потомком АН-1РТК являлся М-40, дорабатывавшийся уже без арестованного "врага народа" Чаромского В.М. Яковлевым. Чаромский же продолжил работу в "шараге" на заводе № 82 в Тушино, где с его участием создали другой дизель - М-30, главным конструктором которого считался "вольный" Ф.А. Тулупов. В начале 1940 г. М-30 прошёл госиспытания и был запущен в малую серию.</w:t>
      </w:r>
    </w:p>
    <w:p w14:paraId="42EC3C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Каганович сразу активно включился в возрождение ТБ-7, который сам же и "похоронил". Используя сохранившиеся связи, он выбил десяток двигателей АМ-35 и АМ-35А, которые начали ставить на уже готовые самолёты. Посадочные места у АМ-34ФРНВ, АМ-35 и АМ-35А совпадали, так что доработки требовались минимальные. Кроме того, незадолго до этих событий на один из ТБ-7 уже установили опытный мотор АМ-35ТК.</w:t>
      </w:r>
    </w:p>
    <w:p w14:paraId="7BE7F6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последующие бомбардировщики должны были оснащаться дизелями. К концу 1940 г. завод получил комплект М-40 для одного самолёта; к началу следующего года изготовили новые моторамы и капоты. Первый полёт на машине с дизелями совершил Г.Ф. Байдуков. Никаких критических особенностей работы силовой установки и отличий в поведении самолёта поначалу не выявилось. Вторая машина получила дизеля М-30 (11996).</w:t>
      </w:r>
    </w:p>
    <w:p w14:paraId="0CE77A6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4F20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ли Липкин вылетев на СПБ N 3/1 на высоте 2000 м в районе Химок обнаружил падение давления масла в левом двигателе и он его отключил. Стал заходить на аэродром 22 завода в Филях, при посадке зацепил СБ и поломал так, что не смогли отремонтировать (1365,5).</w:t>
      </w:r>
    </w:p>
    <w:p w14:paraId="21A5583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F3678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ВВС предъявили ТТТ к 103. Так как ТТТ отражали принятый макет эскизный проект машины был сделан не дожидаясь этих ТТТ и предъявлен НИИ ВВС в двух вариантах - с АМ-35 с реактивными патрубками и с М-120 с ТК (1835,9).</w:t>
      </w:r>
    </w:p>
    <w:p w14:paraId="47BC482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2945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ВВС предъявляют свои ТТТ к само</w:t>
      </w:r>
      <w:r w:rsidRPr="00DB5D0D">
        <w:rPr>
          <w:rFonts w:ascii="Times New Roman" w:hAnsi="Times New Roman"/>
          <w:color w:val="000000" w:themeColor="text1"/>
          <w:sz w:val="16"/>
          <w:szCs w:val="16"/>
        </w:rPr>
        <w:softHyphen/>
        <w:t>лету 103. В виду того, что ТТТ ВВС отражали принятый макет самолета, разработчи</w:t>
      </w:r>
      <w:r w:rsidRPr="00DB5D0D">
        <w:rPr>
          <w:rFonts w:ascii="Times New Roman" w:hAnsi="Times New Roman"/>
          <w:color w:val="000000" w:themeColor="text1"/>
          <w:sz w:val="16"/>
          <w:szCs w:val="16"/>
        </w:rPr>
        <w:softHyphen/>
        <w:t>ки, не дожидаясь их, в мае 1940 г. пред</w:t>
      </w:r>
      <w:r w:rsidRPr="00DB5D0D">
        <w:rPr>
          <w:rFonts w:ascii="Times New Roman" w:hAnsi="Times New Roman"/>
          <w:color w:val="000000" w:themeColor="text1"/>
          <w:sz w:val="16"/>
          <w:szCs w:val="16"/>
        </w:rPr>
        <w:softHyphen/>
        <w:t>ставили в НИИ ВВС эскизный про</w:t>
      </w:r>
      <w:r w:rsidRPr="00DB5D0D">
        <w:rPr>
          <w:rFonts w:ascii="Times New Roman" w:hAnsi="Times New Roman"/>
          <w:color w:val="000000" w:themeColor="text1"/>
          <w:sz w:val="16"/>
          <w:szCs w:val="16"/>
        </w:rPr>
        <w:softHyphen/>
        <w:t>ект самолета «103» в двух вариантах: с АМ-35 с реактивным выхлопом и с М-120 с турбокомпрессорами. В ав</w:t>
      </w:r>
      <w:r w:rsidRPr="00DB5D0D">
        <w:rPr>
          <w:rFonts w:ascii="Times New Roman" w:hAnsi="Times New Roman"/>
          <w:color w:val="000000" w:themeColor="text1"/>
          <w:sz w:val="16"/>
          <w:szCs w:val="16"/>
        </w:rPr>
        <w:softHyphen/>
        <w:t>густе НИИ ВВС утвердило этот эскизный проект. Согласно эскизного про</w:t>
      </w:r>
      <w:r w:rsidRPr="00DB5D0D">
        <w:rPr>
          <w:rFonts w:ascii="Times New Roman" w:hAnsi="Times New Roman"/>
          <w:color w:val="000000" w:themeColor="text1"/>
          <w:sz w:val="16"/>
          <w:szCs w:val="16"/>
        </w:rPr>
        <w:softHyphen/>
        <w:t>екта и принятого ВВС макета, самолет «103» в варианте с АМ- 35А должен был иметь следующие основные данные:</w:t>
      </w:r>
    </w:p>
    <w:p w14:paraId="536B96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длина самолета -13,2 м;</w:t>
      </w:r>
    </w:p>
    <w:p w14:paraId="616CD4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размах крыла -18,7 м;</w:t>
      </w:r>
    </w:p>
    <w:p w14:paraId="273431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площадь крыла - 48,0 кв.м;</w:t>
      </w:r>
    </w:p>
    <w:p w14:paraId="18608B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взлетная масса - 8080 кг;</w:t>
      </w:r>
    </w:p>
    <w:p w14:paraId="4ADB9A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масса пустого - 5440 кг (без ТК);</w:t>
      </w:r>
    </w:p>
    <w:p w14:paraId="65B4D0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максимальная скорость на высоте 4000 м - 550-590 (600) км/ч;</w:t>
      </w:r>
    </w:p>
    <w:p w14:paraId="64BD5E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практический потолок - 11000-12000 м;</w:t>
      </w:r>
    </w:p>
    <w:p w14:paraId="4FEC2C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длина разбега - 200-300 м;</w:t>
      </w:r>
    </w:p>
    <w:p w14:paraId="327624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длина пробега - 300 м;</w:t>
      </w:r>
    </w:p>
    <w:p w14:paraId="795944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посадочная скорость - 125 км/ч;</w:t>
      </w:r>
    </w:p>
    <w:p w14:paraId="70A5C4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экипаж - 3 чел.</w:t>
      </w:r>
    </w:p>
    <w:p w14:paraId="227079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ВВС в своих замечаниях потребо</w:t>
      </w:r>
      <w:r w:rsidRPr="00DB5D0D">
        <w:rPr>
          <w:rFonts w:ascii="Times New Roman" w:hAnsi="Times New Roman"/>
          <w:color w:val="000000" w:themeColor="text1"/>
          <w:sz w:val="16"/>
          <w:szCs w:val="16"/>
        </w:rPr>
        <w:softHyphen/>
        <w:t>вали ввести в состав оборудования:</w:t>
      </w:r>
    </w:p>
    <w:p w14:paraId="4FE5BE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РПК-2, АГП, ГМШ-3, РСБ-бис, СПУ, а так</w:t>
      </w:r>
      <w:r w:rsidRPr="00DB5D0D">
        <w:rPr>
          <w:rFonts w:ascii="Times New Roman" w:hAnsi="Times New Roman"/>
          <w:color w:val="000000" w:themeColor="text1"/>
          <w:sz w:val="16"/>
          <w:szCs w:val="16"/>
        </w:rPr>
        <w:softHyphen/>
        <w:t>же обеспечить выполнение пикиро</w:t>
      </w:r>
      <w:r w:rsidRPr="00DB5D0D">
        <w:rPr>
          <w:rFonts w:ascii="Times New Roman" w:hAnsi="Times New Roman"/>
          <w:color w:val="000000" w:themeColor="text1"/>
          <w:sz w:val="16"/>
          <w:szCs w:val="16"/>
        </w:rPr>
        <w:softHyphen/>
        <w:t>вания под углом 90° (10728).</w:t>
      </w:r>
    </w:p>
    <w:p w14:paraId="3BC3E7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58C2F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П.Я.Федрови приказом НКАП был назначен ли завода 115 (863,176).</w:t>
      </w:r>
    </w:p>
    <w:p w14:paraId="4E14028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B2C4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вышел приказ НКАП N 235 об организации серийного производства И-26 на заводе 301 (1940 - 100, 1941 - 800) (922,6).</w:t>
      </w:r>
    </w:p>
    <w:p w14:paraId="153A5D12"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В целях организации серийного производства с-тов И-26 конструкции А.С.Я. на заводе № 301 приказываю:</w:t>
      </w:r>
    </w:p>
    <w:p w14:paraId="7B113767"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1. Нач. ПГУ тов. Шиц и директору завода № 301 тов. Эскину подготовить завод к сенийному производству с-та И-26 конструкции тов. А.С.Я., обеспечив выпуск их в количестве:</w:t>
      </w:r>
    </w:p>
    <w:p w14:paraId="5E876FA4"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а) в 1940 - 100 шт.</w:t>
      </w:r>
    </w:p>
    <w:p w14:paraId="0CD2BEEC"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б) в 1941 - 800 шт.</w:t>
      </w:r>
    </w:p>
    <w:p w14:paraId="0BF31D22"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Разработать график подготовки и рпзворачивания пр-ва и план оргтехмероприятий представить на утверждение нач. ПГУ тов. Шиц 15 июня 1940 г.... (922,6)</w:t>
      </w:r>
    </w:p>
    <w:p w14:paraId="08B15A13" w14:textId="77777777" w:rsidR="00A25AD1" w:rsidRPr="00DB5D0D" w:rsidRDefault="00A25AD1" w:rsidP="00DB5D0D">
      <w:pPr>
        <w:pStyle w:val="Iauiue"/>
        <w:jc w:val="both"/>
        <w:rPr>
          <w:color w:val="000000" w:themeColor="text1"/>
          <w:sz w:val="16"/>
          <w:szCs w:val="16"/>
        </w:rPr>
      </w:pPr>
    </w:p>
    <w:p w14:paraId="16D951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Приказом НКАП заводу № 169 предписывалось освоить выпуск нервюр и лонжеронов для истребителей ЛаГГ-3, особенностью которых было применение в конструкции деревянных деталей, а также узлов и деталей для другого истребителя И-15бис.</w:t>
      </w:r>
    </w:p>
    <w:p w14:paraId="2A1D9F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завод приступил к освоению полноценных летательных аппаратов – десантных планеров. Созданный в ОКБ Казанского авиационного института пятиместный КАИ-5 «Сокол» конструкции Воробьева Г.Н. был построен на заводе в одном экземпляре к маю 1941 г. А горьковское ОКБ построило у нас 11-местный «Орел» конструкции Кучеренко Б.В., Афанасьева И.И. и Роднянского Л.М к июню того же года. Оба планера испытывались в Казани известным летчиком-испытателем Шелестом И.И.</w:t>
      </w:r>
    </w:p>
    <w:p w14:paraId="4D8371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 г., ко всему прочему, заводчане должны были освоить крылья и другие запчасти к истребителю И-153 и продолжали работать над планерами (12049).</w:t>
      </w:r>
    </w:p>
    <w:p w14:paraId="46B6BF9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E178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пробный полет после аварии продолжительностью 0:15 (2923).</w:t>
      </w:r>
    </w:p>
    <w:p w14:paraId="43E11BC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F2D77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года вышел приказ НИИ ВВС № 095</w:t>
      </w:r>
    </w:p>
    <w:p w14:paraId="5841B37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самолета ДОРНЬЕ ДО-215 с двумя моторами ДВ-601А в бомбардировочном варианте (6891, 193).</w:t>
      </w:r>
    </w:p>
    <w:p w14:paraId="6B8EF35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61AF8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вышло постановление СНК N 370-319сс об установлении оргструктуры НКАП, куда вошло и 7 ГУ (опытные работы по самолетам) - бывшее 11 ГУ. На базе 10 создали 6 (ремонтное) с заводами 41,. 162-169, 35, 43, 45, 99, 83, 116 и строительствами 166 и 377.</w:t>
      </w:r>
    </w:p>
    <w:p w14:paraId="33B9259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E31F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Алексеев утвердил ТТТ к стандартной кабине для одноместного истребителя (853).</w:t>
      </w:r>
    </w:p>
    <w:p w14:paraId="04485D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Ответственный исполнитель ви1р Исаков</w:t>
      </w:r>
    </w:p>
    <w:p w14:paraId="672D85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быстрого освоения летным и техническим составом частей ВВС при переходе с одного с-та на другой, исключения ошибок в управлении как самолетом, так и ВМГ (расположение приборов, рычаки, направления движений рычагов)</w:t>
      </w:r>
    </w:p>
    <w:p w14:paraId="58596E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рычаги, необходимые для быстрого использования или наиболее часто употребляемые в полете, располагаются с левой стороны, остальные - на правой стороне.</w:t>
      </w:r>
    </w:p>
    <w:p w14:paraId="79EB35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Рычаги, расположенные слева:</w:t>
      </w:r>
    </w:p>
    <w:p w14:paraId="4F82BC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газ</w:t>
      </w:r>
    </w:p>
    <w:p w14:paraId="658148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высотный корректор</w:t>
      </w:r>
    </w:p>
    <w:p w14:paraId="2BC455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нагнетателя</w:t>
      </w:r>
    </w:p>
    <w:p w14:paraId="260219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опережение зажигания</w:t>
      </w:r>
    </w:p>
    <w:p w14:paraId="399411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управление винтом</w:t>
      </w:r>
    </w:p>
    <w:p w14:paraId="0064BA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управление перепуском ТК</w:t>
      </w:r>
    </w:p>
    <w:p w14:paraId="3353AC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переключение зажигания</w:t>
      </w:r>
    </w:p>
    <w:p w14:paraId="2C150D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управление шасси</w:t>
      </w:r>
    </w:p>
    <w:p w14:paraId="3EB75B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остановка и пожарный кран</w:t>
      </w:r>
    </w:p>
    <w:p w14:paraId="1B48E0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управление закрылками</w:t>
      </w:r>
    </w:p>
    <w:p w14:paraId="55CBD9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стопорение костыля</w:t>
      </w:r>
    </w:p>
    <w:p w14:paraId="0855EA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триммеры руля глубины</w:t>
      </w:r>
    </w:p>
    <w:p w14:paraId="631437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аварийный бомбосбрасыватель</w:t>
      </w:r>
    </w:p>
    <w:p w14:paraId="199F5B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Рычаги, расположенные справа</w:t>
      </w:r>
    </w:p>
    <w:p w14:paraId="118F47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регулировка охлаждения мотора</w:t>
      </w:r>
    </w:p>
    <w:p w14:paraId="40ADBA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регулировка охлаждения масла</w:t>
      </w:r>
    </w:p>
    <w:p w14:paraId="63E6B5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переключение б/б</w:t>
      </w:r>
    </w:p>
    <w:p w14:paraId="24C294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индикатор кислорода</w:t>
      </w:r>
    </w:p>
    <w:p w14:paraId="57D877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электроуправление</w:t>
      </w:r>
    </w:p>
    <w:p w14:paraId="265F12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запуск мотора</w:t>
      </w:r>
    </w:p>
    <w:p w14:paraId="2861AF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заливка</w:t>
      </w:r>
    </w:p>
    <w:p w14:paraId="46A99B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аварийный выпуск шасси</w:t>
      </w:r>
    </w:p>
    <w:p w14:paraId="73CC1E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подгрев карбюратора</w:t>
      </w:r>
    </w:p>
    <w:p w14:paraId="78AEC8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триммеры элеронов и рулей</w:t>
      </w:r>
    </w:p>
    <w:p w14:paraId="645AC8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управление подъемом сидения</w:t>
      </w:r>
    </w:p>
    <w:p w14:paraId="09C5EB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Рычаг управления тормозами - на ручке управления со стороны приборной доски и с движением при торможении на себя</w:t>
      </w:r>
    </w:p>
    <w:p w14:paraId="08EC86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Движение рычагов д.б. стандартным и удовлетворять след. принципам:</w:t>
      </w:r>
    </w:p>
    <w:p w14:paraId="74E749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при движении рычага вперед - открытие или увеличение, при вращении штурвала (если слева от л) - по часовой - открытие или увеличение</w:t>
      </w:r>
    </w:p>
    <w:p w14:paraId="67FB7D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при движении рычагом вверх - закрытие (уборка), вниз - открытие (выпуск).</w:t>
      </w:r>
    </w:p>
    <w:p w14:paraId="36170F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Рычаг скоростного нагнетателя - назад - выключение, вперед - 1 ск., затем 2 ск.</w:t>
      </w:r>
    </w:p>
    <w:p w14:paraId="2DA921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Штурвал управления винтом - по часовой - малый шаг</w:t>
      </w:r>
    </w:p>
    <w:p w14:paraId="4C831C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Переключение зажигания - влево выключен</w:t>
      </w:r>
    </w:p>
    <w:p w14:paraId="5CE28E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Рычаг останова - назад - останавливает мотор</w:t>
      </w:r>
    </w:p>
    <w:p w14:paraId="7A7B98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Стопор костыля - назад - отстопорен</w:t>
      </w:r>
    </w:p>
    <w:p w14:paraId="72A625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Штурвал триммера руля глубины - по часовой, от себя - пикирование</w:t>
      </w:r>
    </w:p>
    <w:p w14:paraId="6B03CB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назад - закрытие</w:t>
      </w:r>
    </w:p>
    <w:p w14:paraId="0BA6FF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против часовой - уменьшение </w:t>
      </w:r>
    </w:p>
    <w:p w14:paraId="20B05D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Форма и расцветка рычагов д. обеспечивать простое опознавание по цвету и на ощупь</w:t>
      </w:r>
    </w:p>
    <w:p w14:paraId="28FECA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Рычаг нормального газа - светложелтого цвета</w:t>
      </w:r>
    </w:p>
    <w:p w14:paraId="51A82E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Рычаг корректировки - прямой с круглым наконечником - желтый с голубой полосой...</w:t>
      </w:r>
    </w:p>
    <w:p w14:paraId="3BFCB2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Филин. Холин (853,1).</w:t>
      </w:r>
    </w:p>
    <w:p w14:paraId="6865F2C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2025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вышло постановление СНК СССР "Об организационной структуре НКАП", которое было подготовлено в соответствии с январским постановлением партии и правительства руководством НКАП в виде был составлен план реорганизации центрального аппарата, послуживший основой.</w:t>
      </w:r>
    </w:p>
    <w:p w14:paraId="2E5B8F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СНК N 870-319сс (403,11).</w:t>
      </w:r>
    </w:p>
    <w:p w14:paraId="09AA4B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Устанавливалось следующее структурное построение (302):</w:t>
      </w:r>
    </w:p>
    <w:p w14:paraId="6528EF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Руководство НКАП: Нарком авиационной промышленности, коллегия, заместители наркома, секретариат и инспекция при наркоме.</w:t>
      </w:r>
    </w:p>
    <w:p w14:paraId="6E73FB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Главные управления и управления НКАП: Главное самолетное управление (ГСУ), Главное самолетно-агрегатное управление (ГСАУ), Главное приборное управление (ГПУ) - бывшее 8 Главное управление, Главное моторное управление (ГМУ), Главное моторно-агрегатное управление (ГМАУ), Главное управление по производству лыж, винтов и запчастей (ГУЛ), Главное опытно-самолетное управление (ГОСУ - бывшее 11 ГУ), Главное опытно-моторное управление (ГОМУ), Главное управление капитального строительства (ГУКС), Главное управление учебными заведениями (ГУУЗ), Главное управление снабжения (Главснаб), Управление противовоздушной обороны и охраны (УПВОиО); отделы НКАП: технический совет, технический отдел, металлургический отдел (создан на базе ликвидированного Главного металлопрокатного управления), отдел механика и энергетика, отдел кооперирования, планово-экономический отдел (ПЭО), финансовый отдел, отдел кадров, центральная бухгалтерия, диспетчерский отдел, отдел труда и зарплаты, транспортный отдел, иностранный отдел, управление делами, главный юрисконсульт, арбитраж и некоторые другие отделы, секторы и вспомогательные подразделения; уполномоченный НКАП на Дальнем Востоке (его аппарат был создан на базе дальневосточного территориального главка) (302).</w:t>
      </w:r>
    </w:p>
    <w:p w14:paraId="728673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Незадолго до реорганизации 7 Главное управление, занимавшееся слаботочной техникой, вместе с входящими в него предприятиями было передано в Наркомат электропромышленности (622).</w:t>
      </w:r>
    </w:p>
    <w:p w14:paraId="2B1ABA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Применительно к новой структуре было переработано штатное расписание НКАП. На 1 июля 1940 вместо действовавшего штатного расписания бюджетных и хозрасчетных организаций центрального подчинения с численностью в 7443 человека был введен новый штатный контингент в 5363 человека. При этом в штаты бюджетных подразделений центрального аппарата входило 2507 сотрудников. Одновременно с утверждением нового штатного расписания было принято решение не образовывать дополнительных структурных подразделений без личной санкции наркома (623). Эта мера должна была предотвратить разбухание управленческого аппарата в будущем (302).</w:t>
      </w:r>
    </w:p>
    <w:p w14:paraId="3B601B9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0EBF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27 мая 1940 г. НКАП состоял из ГСУ, ГСАУ, Главного приборного управ</w:t>
      </w:r>
      <w:r w:rsidRPr="00DB5D0D">
        <w:rPr>
          <w:rFonts w:ascii="Times New Roman" w:hAnsi="Times New Roman"/>
          <w:color w:val="000000" w:themeColor="text1"/>
          <w:sz w:val="16"/>
          <w:szCs w:val="16"/>
        </w:rPr>
        <w:softHyphen/>
        <w:t>ления (бывшее VIII ГУ), ГМАУ, Главного управления по производству лыж, винтов и запчастей, Главного опытно- самолётного управления (бывшее XI ГУ), Главного опытно- моторного управления, Главного управления капитальных работ, Главного управления учебных заведений, Главного управления снабжения и Управления противовоздушной обороны и охраны. Кроме того, в НКАП входили Техниче</w:t>
      </w:r>
      <w:r w:rsidRPr="00DB5D0D">
        <w:rPr>
          <w:rFonts w:ascii="Times New Roman" w:hAnsi="Times New Roman"/>
          <w:color w:val="000000" w:themeColor="text1"/>
          <w:sz w:val="16"/>
          <w:szCs w:val="16"/>
        </w:rPr>
        <w:softHyphen/>
        <w:t>ский совет, Технический отдел и Металлургический отдел, созданный на базе расформированного ГМПУ, и ещё ряд вспомогательно-служебных отделов. Дальневосточный территориальный главк был преобразован в аппарат Упол</w:t>
      </w:r>
      <w:r w:rsidRPr="00DB5D0D">
        <w:rPr>
          <w:rFonts w:ascii="Times New Roman" w:hAnsi="Times New Roman"/>
          <w:color w:val="000000" w:themeColor="text1"/>
          <w:sz w:val="16"/>
          <w:szCs w:val="16"/>
        </w:rPr>
        <w:softHyphen/>
        <w:t>номоченного НКАП на Дальнем Востоке (Костырчепко Г.В. Наркомат авиационной промышленности в предво</w:t>
      </w:r>
      <w:r w:rsidRPr="00DB5D0D">
        <w:rPr>
          <w:rFonts w:ascii="Times New Roman" w:hAnsi="Times New Roman"/>
          <w:color w:val="000000" w:themeColor="text1"/>
          <w:sz w:val="16"/>
          <w:szCs w:val="16"/>
        </w:rPr>
        <w:softHyphen/>
        <w:t>енные годы // Авиационная промышленность. 1986. № 5.). VII ГУ было передано в Наркомат электропромышленности (12011).</w:t>
      </w:r>
    </w:p>
    <w:p w14:paraId="5DD951A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1F7F3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460363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A0E04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г. Проект постановления СНК СССР и ЦК ВКП(б) "Об увеличении программы по выпуску танков "КВ" в 1940 г. на Кировском заводе Наркомтяжмаша" с приложениями. Д.12, л.8-26 (11775).</w:t>
      </w:r>
    </w:p>
    <w:p w14:paraId="56BC4A2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7629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года был утвержден Устав завода № 371 им. Сталина (9185).</w:t>
      </w:r>
    </w:p>
    <w:p w14:paraId="2014210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445EDD"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27 мая 1940 года вышло постановлению СНК СССР и ЦК ВКП (б) "О повышении роли мастера на заводах тяжелого машиностроения", в соответствии с которым оклады мастерам на НКМЗ были установлены в размере 650 - 900 рублей (по трем категориям цехов), а для старших мастеров - от 800 до 1100 рублей в месяц. К началу 40-х годов НКМЗ считался передовым предприятием в составе Наркомтяжпрома по ряду показателей. Так, производство продукции в 1940 году выросло по сравнению с 1939 годом на 17%. В 1940 году НКМЗ успешно участвовал в социалистическом соревновании с другими предприятими тяжелого машиностроения СССР (Ижорский завод, "Уралмаш", Кировский завод, "Красный пролетарий" и завод имени ОГПУ). Отчасти этому способствовала система оплаты труда на предприятии - 61% рабочих в 1940 году трудился там на основе сдельной оплаты труда (11585). </w:t>
      </w:r>
    </w:p>
    <w:p w14:paraId="3CF82325"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16691AA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592F8AA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FE7CF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в Политбюро и СНК была подана докладная записка, в которой описывалась структура танковой дивизии в количестве 386 танков, 108 бронемашин, 42 орудий и 72 минометов. Тог</w:t>
      </w:r>
      <w:r w:rsidRPr="00DB5D0D">
        <w:rPr>
          <w:rFonts w:ascii="Times New Roman" w:hAnsi="Times New Roman"/>
          <w:color w:val="000000" w:themeColor="text1"/>
          <w:sz w:val="16"/>
          <w:szCs w:val="16"/>
        </w:rPr>
        <w:softHyphen/>
        <w:t>да же был поднят вопрос о формировании танковых корпу</w:t>
      </w:r>
      <w:r w:rsidRPr="00DB5D0D">
        <w:rPr>
          <w:rFonts w:ascii="Times New Roman" w:hAnsi="Times New Roman"/>
          <w:color w:val="000000" w:themeColor="text1"/>
          <w:sz w:val="16"/>
          <w:szCs w:val="16"/>
        </w:rPr>
        <w:softHyphen/>
        <w:t>сов в составе двух танковых и одной моторизованной диви</w:t>
      </w:r>
      <w:r w:rsidRPr="00DB5D0D">
        <w:rPr>
          <w:rFonts w:ascii="Times New Roman" w:hAnsi="Times New Roman"/>
          <w:color w:val="000000" w:themeColor="text1"/>
          <w:sz w:val="16"/>
          <w:szCs w:val="16"/>
        </w:rPr>
        <w:softHyphen/>
        <w:t>зий; а. также мотоциклетного полка и других частей. По штату он должен был иметь 36 080 чел. и 1031 танк. Всего, по мнению наркома, следовало сформировать 6 танковых корпусов и дислоцировать их по два в БОВО и КОВО, а также по одному в ОдВО и ЗабВО. Однако это пред</w:t>
      </w:r>
      <w:r w:rsidRPr="00DB5D0D">
        <w:rPr>
          <w:rFonts w:ascii="Times New Roman" w:hAnsi="Times New Roman"/>
          <w:color w:val="000000" w:themeColor="text1"/>
          <w:sz w:val="16"/>
          <w:szCs w:val="16"/>
        </w:rPr>
        <w:softHyphen/>
        <w:t>ложение не было утверждено и вернулось на доработку (10782).</w:t>
      </w:r>
    </w:p>
    <w:p w14:paraId="4B1C24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1B2DB5D"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27 мая 1940 наркомом обороны Тимошенко и Начальником Генштаба Шапошниковым Сталину и Молотову был представлен проект организации механизированных корпусов и танковых дивизий. В состав корпуса должны были входить две танковые и одна моторизованная дивизии. Для обеспечения наступательных действий корпуса или при отражении контратак противника считалось желательным придавать танковому корпусу не менее одной авиабригады в составе двух бомбардировочных и одного истребительного авиаполков. Всего предлагалось сформировать шесть управлений танковых корпусов и 12 танковых дивизий, разумеется, не с нуля — на них предполагалось «пустить» уже существующие части, как танковые, так и кавалерию с пехотой. Этот проект был «в целом» одобрен руководством страны, при этом число создаваемых танковых корпусов было увеличено до восьми, плюс две отдельные танковые дивизии. Окончательно проект создания уже механизированного корпуса нового типа был утвержден Совнаркомом 6 июля 1940 г. После этого в создании новых соединений наступила пауза, вызванная как необходимостью реализации уже утвержденных планов, так и переключением внимания командования РККА на «освободительные походы» лета 1940-го. Вновь к теме создания новых мехсоединений в наркомате обороны вернулись уже осенью (12624).</w:t>
      </w:r>
    </w:p>
    <w:p w14:paraId="159643B9" w14:textId="77777777" w:rsidR="00A25AD1" w:rsidRPr="00DB5D0D" w:rsidRDefault="00A25AD1" w:rsidP="00DB5D0D">
      <w:pPr>
        <w:pStyle w:val="ae"/>
        <w:spacing w:before="0" w:after="0"/>
        <w:jc w:val="both"/>
        <w:rPr>
          <w:color w:val="000000" w:themeColor="text1"/>
          <w:sz w:val="16"/>
          <w:szCs w:val="16"/>
        </w:rPr>
      </w:pPr>
    </w:p>
    <w:p w14:paraId="40B0C7E1" w14:textId="77777777" w:rsidR="00AB2357"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58F0DB01" w14:textId="77777777" w:rsidR="00AB2357" w:rsidRPr="00DB5D0D" w:rsidRDefault="00AB2357" w:rsidP="00DB5D0D">
      <w:pPr>
        <w:spacing w:after="0" w:line="240" w:lineRule="auto"/>
        <w:jc w:val="both"/>
        <w:rPr>
          <w:rFonts w:ascii="Times New Roman" w:hAnsi="Times New Roman"/>
          <w:iCs/>
          <w:color w:val="000000" w:themeColor="text1"/>
          <w:sz w:val="16"/>
          <w:szCs w:val="16"/>
        </w:rPr>
      </w:pPr>
    </w:p>
    <w:p w14:paraId="2B0E8E28" w14:textId="77777777" w:rsidR="00AB2357" w:rsidRPr="00DB5D0D" w:rsidRDefault="00AB23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27 мая</w:t>
      </w:r>
      <w:r w:rsidRPr="00DB5D0D">
        <w:rPr>
          <w:rFonts w:ascii="Times New Roman" w:hAnsi="Times New Roman"/>
          <w:color w:val="000000" w:themeColor="text1"/>
          <w:sz w:val="16"/>
          <w:szCs w:val="16"/>
        </w:rPr>
        <w:t xml:space="preserve"> в 1940 году в Москве вступила в эксплуатацию радиовещательная станция РВ-84, работавшая на волне 1060 метров. С пуском этой станции Всесоюзное радио начало передавать три самостоятельных программы (14904).</w:t>
      </w:r>
    </w:p>
    <w:p w14:paraId="6870515F" w14:textId="77777777" w:rsidR="00AB2357" w:rsidRPr="00DB5D0D" w:rsidRDefault="00AB2357" w:rsidP="00DB5D0D">
      <w:pPr>
        <w:spacing w:after="0" w:line="240" w:lineRule="auto"/>
        <w:jc w:val="both"/>
        <w:rPr>
          <w:rFonts w:ascii="Times New Roman" w:hAnsi="Times New Roman"/>
          <w:color w:val="000000" w:themeColor="text1"/>
          <w:sz w:val="16"/>
          <w:szCs w:val="16"/>
        </w:rPr>
      </w:pPr>
    </w:p>
    <w:p w14:paraId="37EE963C" w14:textId="77777777" w:rsidR="00AB2357" w:rsidRPr="00DB5D0D" w:rsidRDefault="00AB235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27 мая 1940 года Комиссия в составе Берия, Ульриха и Прокурора СССР Панкра</w:t>
      </w:r>
      <w:r w:rsidRPr="00DB5D0D">
        <w:rPr>
          <w:rFonts w:ascii="Times New Roman" w:eastAsia="Times New Roman" w:hAnsi="Times New Roman"/>
          <w:color w:val="000000" w:themeColor="text1"/>
          <w:sz w:val="16"/>
          <w:szCs w:val="16"/>
          <w:lang w:eastAsia="ru-RU"/>
        </w:rPr>
        <w:softHyphen/>
        <w:t>тьева приняла решение:</w:t>
      </w:r>
    </w:p>
    <w:p w14:paraId="570644C7" w14:textId="77777777" w:rsidR="00AB2357" w:rsidRPr="00DB5D0D" w:rsidRDefault="00AB235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«Предложить Военной коллегии Верховного суда СССР рассмотреть заочно в за</w:t>
      </w:r>
      <w:r w:rsidRPr="00DB5D0D">
        <w:rPr>
          <w:rFonts w:ascii="Times New Roman" w:eastAsia="Times New Roman" w:hAnsi="Times New Roman"/>
          <w:color w:val="000000" w:themeColor="text1"/>
          <w:sz w:val="16"/>
          <w:szCs w:val="16"/>
          <w:lang w:eastAsia="ru-RU"/>
        </w:rPr>
        <w:softHyphen/>
        <w:t>крытом судебном заседании дела на лиц, перечисленных в настоящем протоколе, и применить к ним указанные меры наказания» (Материалы проверки о нарушениях за</w:t>
      </w:r>
      <w:r w:rsidRPr="00DB5D0D">
        <w:rPr>
          <w:rFonts w:ascii="Times New Roman" w:eastAsia="Times New Roman" w:hAnsi="Times New Roman"/>
          <w:color w:val="000000" w:themeColor="text1"/>
          <w:sz w:val="16"/>
          <w:szCs w:val="16"/>
          <w:lang w:eastAsia="ru-RU"/>
        </w:rPr>
        <w:softHyphen/>
        <w:t>конности, т. 13, л. 14-50).</w:t>
      </w:r>
    </w:p>
    <w:p w14:paraId="26895CFD" w14:textId="77777777" w:rsidR="00AB2357" w:rsidRPr="00DB5D0D" w:rsidRDefault="00AB235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протоколе Комиссии значилось 303 человека. Предложенные меры наказания соответствовали тем, которые установил Берия. На основании этого решения Военная коллегия вынесла всем этим лицам заочные приговоры.</w:t>
      </w:r>
    </w:p>
    <w:p w14:paraId="7EC10F74" w14:textId="77777777" w:rsidR="00AB2357" w:rsidRPr="00DB5D0D" w:rsidRDefault="00AB235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Таким путем свыше трехсот крупнейших специалистов в области оборонной тех</w:t>
      </w:r>
      <w:r w:rsidRPr="00DB5D0D">
        <w:rPr>
          <w:rFonts w:ascii="Times New Roman" w:eastAsia="Times New Roman" w:hAnsi="Times New Roman"/>
          <w:color w:val="000000" w:themeColor="text1"/>
          <w:sz w:val="16"/>
          <w:szCs w:val="16"/>
          <w:lang w:eastAsia="ru-RU"/>
        </w:rPr>
        <w:softHyphen/>
        <w:t>ники накануне войны были лишены свободы, но даже и в этих условиях, глубоко пе</w:t>
      </w:r>
      <w:r w:rsidRPr="00DB5D0D">
        <w:rPr>
          <w:rFonts w:ascii="Times New Roman" w:eastAsia="Times New Roman" w:hAnsi="Times New Roman"/>
          <w:color w:val="000000" w:themeColor="text1"/>
          <w:sz w:val="16"/>
          <w:szCs w:val="16"/>
          <w:lang w:eastAsia="ru-RU"/>
        </w:rPr>
        <w:softHyphen/>
        <w:t>реживая необоснованные тяжкие обвинения, большинство из них честно выполняло свой гражданский долг. Например, Туполев А.Н., Петляков В.М., Мясищев В.М., Стерлин А.Э., Чаромский А. Д., Изаксон A.M. и многие другие накануне и в началь</w:t>
      </w:r>
      <w:r w:rsidRPr="00DB5D0D">
        <w:rPr>
          <w:rFonts w:ascii="Times New Roman" w:eastAsia="Times New Roman" w:hAnsi="Times New Roman"/>
          <w:color w:val="000000" w:themeColor="text1"/>
          <w:sz w:val="16"/>
          <w:szCs w:val="16"/>
          <w:lang w:eastAsia="ru-RU"/>
        </w:rPr>
        <w:softHyphen/>
        <w:t>ный период Великой Отечественной войны 1941-1945 годов разработали новые об</w:t>
      </w:r>
      <w:r w:rsidRPr="00DB5D0D">
        <w:rPr>
          <w:rFonts w:ascii="Times New Roman" w:eastAsia="Times New Roman" w:hAnsi="Times New Roman"/>
          <w:color w:val="000000" w:themeColor="text1"/>
          <w:sz w:val="16"/>
          <w:szCs w:val="16"/>
          <w:lang w:eastAsia="ru-RU"/>
        </w:rPr>
        <w:softHyphen/>
        <w:t>разцы мощной авиационной и Другой военной техники, сыгравшей важную роль в по</w:t>
      </w:r>
      <w:r w:rsidRPr="00DB5D0D">
        <w:rPr>
          <w:rFonts w:ascii="Times New Roman" w:eastAsia="Times New Roman" w:hAnsi="Times New Roman"/>
          <w:color w:val="000000" w:themeColor="text1"/>
          <w:sz w:val="16"/>
          <w:szCs w:val="16"/>
          <w:lang w:eastAsia="ru-RU"/>
        </w:rPr>
        <w:softHyphen/>
        <w:t>беде советского народа в войне с фашистскими захватчиками. В связи с этим Президи</w:t>
      </w:r>
      <w:r w:rsidRPr="00DB5D0D">
        <w:rPr>
          <w:rFonts w:ascii="Times New Roman" w:eastAsia="Times New Roman" w:hAnsi="Times New Roman"/>
          <w:color w:val="000000" w:themeColor="text1"/>
          <w:sz w:val="16"/>
          <w:szCs w:val="16"/>
          <w:lang w:eastAsia="ru-RU"/>
        </w:rPr>
        <w:softHyphen/>
        <w:t>ум Верховного Совета СССР в 1941-1943 годах помиловал ряд ведущих специалис</w:t>
      </w:r>
      <w:r w:rsidRPr="00DB5D0D">
        <w:rPr>
          <w:rFonts w:ascii="Times New Roman" w:eastAsia="Times New Roman" w:hAnsi="Times New Roman"/>
          <w:color w:val="000000" w:themeColor="text1"/>
          <w:sz w:val="16"/>
          <w:szCs w:val="16"/>
          <w:lang w:eastAsia="ru-RU"/>
        </w:rPr>
        <w:softHyphen/>
        <w:t>тов. Однако ложные обвинения в тяжких государственных преступлениях тогда с них сняты не были и лишь после разоблачения культа личности Туполев, Мясищев, Петля-ков и другие были полностью реабилитированы.</w:t>
      </w:r>
    </w:p>
    <w:p w14:paraId="4F7AC229" w14:textId="77777777" w:rsidR="00AB2357" w:rsidRPr="00DB5D0D" w:rsidRDefault="00AB235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Среди реабилитированных: Стерлин А.Э. - член партии с 1919 года, участник гражданской войны, начальник бригады аэродинамики в ОКБ Туполева, доктор техни</w:t>
      </w:r>
      <w:r w:rsidRPr="00DB5D0D">
        <w:rPr>
          <w:rFonts w:ascii="Times New Roman" w:eastAsia="Times New Roman" w:hAnsi="Times New Roman"/>
          <w:color w:val="000000" w:themeColor="text1"/>
          <w:sz w:val="16"/>
          <w:szCs w:val="16"/>
          <w:lang w:eastAsia="ru-RU"/>
        </w:rPr>
        <w:softHyphen/>
        <w:t>ческих наук, награжден тремя орденами; Чижевский В. А. -член партии с 1920 года, ведущий конструктор ОКБ Туполева, награжденный за работу по созданию авиацион</w:t>
      </w:r>
      <w:r w:rsidRPr="00DB5D0D">
        <w:rPr>
          <w:rFonts w:ascii="Times New Roman" w:eastAsia="Times New Roman" w:hAnsi="Times New Roman"/>
          <w:color w:val="000000" w:themeColor="text1"/>
          <w:sz w:val="16"/>
          <w:szCs w:val="16"/>
          <w:lang w:eastAsia="ru-RU"/>
        </w:rPr>
        <w:softHyphen/>
        <w:t>ной техники пятью орденами, в том числе двумя орденами Ленина; Чаромский А. Д. -член партии с 1917 года, участник гражданской войны, бывший главный конструктор авиадизелей, в заключении возглавлял Особое техбюро НКВД по созданию новых ти</w:t>
      </w:r>
      <w:r w:rsidRPr="00DB5D0D">
        <w:rPr>
          <w:rFonts w:ascii="Times New Roman" w:eastAsia="Times New Roman" w:hAnsi="Times New Roman"/>
          <w:color w:val="000000" w:themeColor="text1"/>
          <w:sz w:val="16"/>
          <w:szCs w:val="16"/>
          <w:lang w:eastAsia="ru-RU"/>
        </w:rPr>
        <w:softHyphen/>
        <w:t>пов двигателей, профессор и доктор технических наук, награжден несколькими орде</w:t>
      </w:r>
      <w:r w:rsidRPr="00DB5D0D">
        <w:rPr>
          <w:rFonts w:ascii="Times New Roman" w:eastAsia="Times New Roman" w:hAnsi="Times New Roman"/>
          <w:color w:val="000000" w:themeColor="text1"/>
          <w:sz w:val="16"/>
          <w:szCs w:val="16"/>
          <w:lang w:eastAsia="ru-RU"/>
        </w:rPr>
        <w:softHyphen/>
        <w:t>нами Союза ССР; Изаксон A.M. - член партии с 1917 года, многие годы работал над конструированием вертолетов, находясь в заключении, являлся заместителем главно</w:t>
      </w:r>
      <w:r w:rsidRPr="00DB5D0D">
        <w:rPr>
          <w:rFonts w:ascii="Times New Roman" w:eastAsia="Times New Roman" w:hAnsi="Times New Roman"/>
          <w:color w:val="000000" w:themeColor="text1"/>
          <w:sz w:val="16"/>
          <w:szCs w:val="16"/>
          <w:lang w:eastAsia="ru-RU"/>
        </w:rPr>
        <w:softHyphen/>
        <w:t>го конструктора Петлякова, участвовал в разработке высотного истребителя и пикиру</w:t>
      </w:r>
      <w:r w:rsidRPr="00DB5D0D">
        <w:rPr>
          <w:rFonts w:ascii="Times New Roman" w:eastAsia="Times New Roman" w:hAnsi="Times New Roman"/>
          <w:color w:val="000000" w:themeColor="text1"/>
          <w:sz w:val="16"/>
          <w:szCs w:val="16"/>
          <w:lang w:eastAsia="ru-RU"/>
        </w:rPr>
        <w:softHyphen/>
        <w:t>ющего бомбардировщика, за что имеет правительственные награды (Материалы про</w:t>
      </w:r>
      <w:r w:rsidRPr="00DB5D0D">
        <w:rPr>
          <w:rFonts w:ascii="Times New Roman" w:eastAsia="Times New Roman" w:hAnsi="Times New Roman"/>
          <w:color w:val="000000" w:themeColor="text1"/>
          <w:sz w:val="16"/>
          <w:szCs w:val="16"/>
          <w:lang w:eastAsia="ru-RU"/>
        </w:rPr>
        <w:softHyphen/>
        <w:t>верки о нарушениях законности, т. 12, л. 58) (15988).</w:t>
      </w:r>
    </w:p>
    <w:p w14:paraId="337783D3" w14:textId="77777777" w:rsidR="00AB2357" w:rsidRPr="00DB5D0D" w:rsidRDefault="00AB2357" w:rsidP="00DB5D0D">
      <w:pPr>
        <w:spacing w:after="0" w:line="240" w:lineRule="auto"/>
        <w:jc w:val="both"/>
        <w:rPr>
          <w:rFonts w:ascii="Times New Roman" w:hAnsi="Times New Roman"/>
          <w:color w:val="000000" w:themeColor="text1"/>
          <w:sz w:val="16"/>
          <w:szCs w:val="16"/>
        </w:rPr>
      </w:pPr>
    </w:p>
    <w:p w14:paraId="0B0902D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3BE5C4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C75A7BE"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27–28 мая (ночь) 1940 120 британских бомбардировщиков атакуют Бремен, Гамбург, Дуйсбург, Дортмунд, Нойс и другие города Германии. Во время рейда, рядовой авиация Стэна Oldridge, задний стрелок из Уитли из № 10 - й эскадрильи , достигает первую воздушную победу Второй мировой войны над немецким ночным истребителем, сбив то , что было, вероятно, Messerschmitt Bf 109D около Утрехта рано 28 мая (20795).</w:t>
      </w:r>
    </w:p>
    <w:p w14:paraId="28B10F19" w14:textId="77777777" w:rsidR="00017EBE" w:rsidRPr="00DB5D0D" w:rsidRDefault="00017EBE" w:rsidP="00DB5D0D">
      <w:pPr>
        <w:spacing w:after="0" w:line="240" w:lineRule="auto"/>
        <w:jc w:val="both"/>
        <w:rPr>
          <w:rFonts w:ascii="Times New Roman" w:hAnsi="Times New Roman"/>
          <w:color w:val="0070C0"/>
          <w:sz w:val="16"/>
          <w:szCs w:val="16"/>
        </w:rPr>
      </w:pPr>
    </w:p>
    <w:p w14:paraId="68E7D54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немцы захватили Кале (Франция) (4962).</w:t>
      </w:r>
    </w:p>
    <w:p w14:paraId="20EE06C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687793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союзные войска были эвакуированы из Нарвика (4963 ).</w:t>
      </w:r>
    </w:p>
    <w:p w14:paraId="7641A97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00F117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D1D2CB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34A1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года Начальник ГУАС комдив Алексеев и Военком ГУАС бригадный комиссар Князев 29 мая 1940 года утвердили Отчет по гос. испытаниям головного серийного самолета ДБ-3ФМ-2М-88 № 390204 с винтами ВИШ-23 А производства завода № 39</w:t>
      </w:r>
    </w:p>
    <w:p w14:paraId="1D8DB9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0FF3D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Кокорин Н.М.</w:t>
      </w:r>
    </w:p>
    <w:p w14:paraId="3ADC6F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капитан Дудкин Л.П.</w:t>
      </w:r>
    </w:p>
    <w:p w14:paraId="35B6F9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477B6B5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соответствие летно-тактических данных самолета тактико-техническим требованиям.</w:t>
      </w:r>
    </w:p>
    <w:p w14:paraId="64D0AEA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винтомоторной группы, вооружения и спецоборудования.</w:t>
      </w:r>
    </w:p>
    <w:p w14:paraId="34C85D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Заводом № 39 предъявлен на гос. испытания головной серийный самолет ДБ-3Ф 2М-88 с винтами ВИШ-23А. По сравнению с самолетом ДБ-3Ф 2М-87 с винтами ВИШ-3 предъявленный самолет имеет следующие основные изменения:</w:t>
      </w:r>
    </w:p>
    <w:p w14:paraId="05A9CAD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Вместо моторов М-87 установлены М-88.</w:t>
      </w:r>
    </w:p>
    <w:p w14:paraId="5DD7DD7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Винты ВИШ-3 заменены на винты ВИШ-23А.</w:t>
      </w:r>
    </w:p>
    <w:p w14:paraId="3D57267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Взамен одного 8-ми дюймового воздушно-масляного радиатора установлено по 2 воздушно-масляных радиатора на мотор.</w:t>
      </w:r>
    </w:p>
    <w:p w14:paraId="536CA5E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Воздушно-масляные радиаторы имеют синхронно работающие жалюзи как на входе, так и на выходе туннелей радиаторов.</w:t>
      </w:r>
    </w:p>
    <w:p w14:paraId="0A26AC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08C0DC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 передачи на гос. испытания налетал всего 10 час. 51 мин. и сделал 46 посадок, из них 32 посадки со старым замком шасси.</w:t>
      </w:r>
    </w:p>
    <w:p w14:paraId="69E400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испытания 5 апреля 1940 года</w:t>
      </w:r>
    </w:p>
    <w:p w14:paraId="6AECD4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закончил испытания 7 мая 1940 года</w:t>
      </w:r>
    </w:p>
    <w:p w14:paraId="1A9B71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испытания 33 дня, из них летных дней - 15.</w:t>
      </w:r>
    </w:p>
    <w:p w14:paraId="5870C2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произведено 32 полета общей продолжительностью 30 час. 20 мин., из них высотных 8 полетов продолжительностью 18 час. 10 мин.</w:t>
      </w:r>
    </w:p>
    <w:p w14:paraId="78F43F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D2A17B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ДБ3-Ф 2М-88 с винтами ВИШ-23 конструкции инженера С.В.И. и производства завода № 39 гос. испытания прошел неудовлетворительно из-за:</w:t>
      </w:r>
    </w:p>
    <w:p w14:paraId="62DDAA1D" w14:textId="77777777" w:rsidR="00A25AD1" w:rsidRPr="00DB5D0D" w:rsidRDefault="00A25AD1" w:rsidP="00DB5D0D">
      <w:pPr>
        <w:pStyle w:val="a3"/>
        <w:widowControl/>
        <w:rPr>
          <w:color w:val="000000" w:themeColor="text1"/>
          <w:lang w:val="ru-RU"/>
        </w:rPr>
      </w:pPr>
      <w:r w:rsidRPr="00DB5D0D">
        <w:rPr>
          <w:color w:val="000000" w:themeColor="text1"/>
          <w:lang w:val="ru-RU"/>
        </w:rPr>
        <w:t>а) уменьшения скорости полета на 60 км/час против запроектированной и на 20 км/час по сравнению с самолетом ДБ-3Ф-2М-87 с ВИШ-3;</w:t>
      </w:r>
    </w:p>
    <w:p w14:paraId="6CD40F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уменьшения дальности полета до 3300 км вместо запроектированной 4000 км;</w:t>
      </w:r>
    </w:p>
    <w:p w14:paraId="1E608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недоведенности системы воздушного охлаждения моторов, благодаря чему при температуре наружного воздуха – 10 градусов и ниже не обеспечивается регулировка и сохранение нормального температурного режима головок цилиндров;</w:t>
      </w:r>
    </w:p>
    <w:p w14:paraId="78959E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недоведенности моторов М-88.</w:t>
      </w:r>
    </w:p>
    <w:p w14:paraId="1EFBFA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испытываемого серийного самолета ДБ-3Ф 2М-88 № 390204 состоит из 3-х пулеметов ШКАС калибра 7,62 мм, из них:</w:t>
      </w:r>
    </w:p>
    <w:p w14:paraId="43C78F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на носовой установке НУ ДБ-3Ф</w:t>
      </w:r>
    </w:p>
    <w:p w14:paraId="59D21B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на турельной установке СУ ДБ-3</w:t>
      </w:r>
    </w:p>
    <w:p w14:paraId="6C6488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на люковой установке типа УЛУ</w:t>
      </w:r>
    </w:p>
    <w:p w14:paraId="67D695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в основном такое же как на опытном самолете ДБ-3Ф 2М-88.</w:t>
      </w:r>
    </w:p>
    <w:p w14:paraId="2E3EF0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16"/>
        <w:gridCol w:w="4329"/>
        <w:gridCol w:w="629"/>
        <w:gridCol w:w="789"/>
        <w:gridCol w:w="2835"/>
      </w:tblGrid>
      <w:tr w:rsidR="007D5DF8" w:rsidRPr="00DB5D0D" w14:paraId="2EBCA8FA" w14:textId="77777777" w:rsidTr="009223E5">
        <w:tc>
          <w:tcPr>
            <w:tcW w:w="2016" w:type="dxa"/>
          </w:tcPr>
          <w:p w14:paraId="3FA531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4329" w:type="dxa"/>
          </w:tcPr>
          <w:p w14:paraId="3F788F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Краткое содержание работы</w:t>
            </w:r>
          </w:p>
        </w:tc>
        <w:tc>
          <w:tcPr>
            <w:tcW w:w="629" w:type="dxa"/>
          </w:tcPr>
          <w:p w14:paraId="0F2757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полета</w:t>
            </w:r>
          </w:p>
        </w:tc>
        <w:tc>
          <w:tcPr>
            <w:tcW w:w="789" w:type="dxa"/>
          </w:tcPr>
          <w:p w14:paraId="73449213" w14:textId="77777777" w:rsidR="00A25AD1" w:rsidRPr="00DB5D0D" w:rsidRDefault="00A25AD1" w:rsidP="00DB5D0D">
            <w:pPr>
              <w:pStyle w:val="24"/>
              <w:widowControl/>
              <w:rPr>
                <w:color w:val="000000" w:themeColor="text1"/>
              </w:rPr>
            </w:pPr>
            <w:r w:rsidRPr="00DB5D0D">
              <w:rPr>
                <w:color w:val="000000" w:themeColor="text1"/>
              </w:rPr>
              <w:t>Продолж. Полета</w:t>
            </w:r>
          </w:p>
          <w:p w14:paraId="28A4CDC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35" w:type="dxa"/>
          </w:tcPr>
          <w:p w14:paraId="557619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r>
      <w:tr w:rsidR="007D5DF8" w:rsidRPr="00DB5D0D" w14:paraId="4BE968F6" w14:textId="77777777" w:rsidTr="009223E5">
        <w:tc>
          <w:tcPr>
            <w:tcW w:w="2016" w:type="dxa"/>
          </w:tcPr>
          <w:p w14:paraId="16AB4D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5 апреля 1940 года</w:t>
            </w:r>
          </w:p>
        </w:tc>
        <w:tc>
          <w:tcPr>
            <w:tcW w:w="4329" w:type="dxa"/>
          </w:tcPr>
          <w:p w14:paraId="44BA70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Приемка самолета. Полет на скороподъемность и скорости по высотам.</w:t>
            </w:r>
          </w:p>
        </w:tc>
        <w:tc>
          <w:tcPr>
            <w:tcW w:w="629" w:type="dxa"/>
          </w:tcPr>
          <w:p w14:paraId="3F8D3B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789" w:type="dxa"/>
          </w:tcPr>
          <w:p w14:paraId="282CBFAD" w14:textId="77777777" w:rsidR="00A25AD1" w:rsidRPr="00DB5D0D" w:rsidRDefault="00A25AD1" w:rsidP="00DB5D0D">
            <w:pPr>
              <w:pStyle w:val="24"/>
              <w:widowControl/>
              <w:rPr>
                <w:color w:val="000000" w:themeColor="text1"/>
              </w:rPr>
            </w:pPr>
            <w:r w:rsidRPr="00DB5D0D">
              <w:rPr>
                <w:color w:val="000000" w:themeColor="text1"/>
              </w:rPr>
              <w:t>1-50</w:t>
            </w:r>
          </w:p>
        </w:tc>
        <w:tc>
          <w:tcPr>
            <w:tcW w:w="2835" w:type="dxa"/>
          </w:tcPr>
          <w:p w14:paraId="57C220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4D72E5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Кокорин Иванов</w:t>
            </w:r>
          </w:p>
        </w:tc>
      </w:tr>
      <w:tr w:rsidR="007D5DF8" w:rsidRPr="00DB5D0D" w14:paraId="07ECEF85" w14:textId="77777777" w:rsidTr="009223E5">
        <w:tc>
          <w:tcPr>
            <w:tcW w:w="2016" w:type="dxa"/>
          </w:tcPr>
          <w:p w14:paraId="546C94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апреля 1940 года</w:t>
            </w:r>
          </w:p>
        </w:tc>
        <w:tc>
          <w:tcPr>
            <w:tcW w:w="4329" w:type="dxa"/>
          </w:tcPr>
          <w:p w14:paraId="647AE1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скороподъемность и скорости по высотам.</w:t>
            </w:r>
          </w:p>
        </w:tc>
        <w:tc>
          <w:tcPr>
            <w:tcW w:w="629" w:type="dxa"/>
          </w:tcPr>
          <w:p w14:paraId="5936F5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789" w:type="dxa"/>
          </w:tcPr>
          <w:p w14:paraId="2C878835" w14:textId="77777777" w:rsidR="00A25AD1" w:rsidRPr="00DB5D0D" w:rsidRDefault="00A25AD1" w:rsidP="00DB5D0D">
            <w:pPr>
              <w:pStyle w:val="24"/>
              <w:widowControl/>
              <w:rPr>
                <w:color w:val="000000" w:themeColor="text1"/>
              </w:rPr>
            </w:pPr>
            <w:r w:rsidRPr="00DB5D0D">
              <w:rPr>
                <w:color w:val="000000" w:themeColor="text1"/>
              </w:rPr>
              <w:t>0-30</w:t>
            </w:r>
          </w:p>
        </w:tc>
        <w:tc>
          <w:tcPr>
            <w:tcW w:w="2835" w:type="dxa"/>
          </w:tcPr>
          <w:p w14:paraId="668133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05B18F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Кокорин Иванов</w:t>
            </w:r>
          </w:p>
        </w:tc>
      </w:tr>
      <w:tr w:rsidR="007D5DF8" w:rsidRPr="00DB5D0D" w14:paraId="5804509F" w14:textId="77777777" w:rsidTr="009223E5">
        <w:tc>
          <w:tcPr>
            <w:tcW w:w="2016" w:type="dxa"/>
          </w:tcPr>
          <w:p w14:paraId="27AD6D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апреля 1940 года</w:t>
            </w:r>
          </w:p>
        </w:tc>
        <w:tc>
          <w:tcPr>
            <w:tcW w:w="4329" w:type="dxa"/>
          </w:tcPr>
          <w:p w14:paraId="4346EE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замер скоростей у земли.</w:t>
            </w:r>
          </w:p>
        </w:tc>
        <w:tc>
          <w:tcPr>
            <w:tcW w:w="629" w:type="dxa"/>
          </w:tcPr>
          <w:p w14:paraId="1332C2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789" w:type="dxa"/>
          </w:tcPr>
          <w:p w14:paraId="1D50C74A" w14:textId="77777777" w:rsidR="00A25AD1" w:rsidRPr="00DB5D0D" w:rsidRDefault="00A25AD1" w:rsidP="00DB5D0D">
            <w:pPr>
              <w:pStyle w:val="24"/>
              <w:widowControl/>
              <w:rPr>
                <w:color w:val="000000" w:themeColor="text1"/>
              </w:rPr>
            </w:pPr>
            <w:r w:rsidRPr="00DB5D0D">
              <w:rPr>
                <w:color w:val="000000" w:themeColor="text1"/>
              </w:rPr>
              <w:t>1-35</w:t>
            </w:r>
          </w:p>
        </w:tc>
        <w:tc>
          <w:tcPr>
            <w:tcW w:w="2835" w:type="dxa"/>
          </w:tcPr>
          <w:p w14:paraId="3EFA34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1FBE06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Кокорин Иванов</w:t>
            </w:r>
          </w:p>
        </w:tc>
      </w:tr>
      <w:tr w:rsidR="007D5DF8" w:rsidRPr="00DB5D0D" w14:paraId="398D0420" w14:textId="77777777" w:rsidTr="009223E5">
        <w:tc>
          <w:tcPr>
            <w:tcW w:w="2016" w:type="dxa"/>
          </w:tcPr>
          <w:p w14:paraId="3895DA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апреля 1940 года</w:t>
            </w:r>
          </w:p>
        </w:tc>
        <w:tc>
          <w:tcPr>
            <w:tcW w:w="4329" w:type="dxa"/>
          </w:tcPr>
          <w:p w14:paraId="67F5BC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w:t>
            </w:r>
          </w:p>
        </w:tc>
        <w:tc>
          <w:tcPr>
            <w:tcW w:w="629" w:type="dxa"/>
          </w:tcPr>
          <w:p w14:paraId="594604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789" w:type="dxa"/>
          </w:tcPr>
          <w:p w14:paraId="6E1E1E7B" w14:textId="77777777" w:rsidR="00A25AD1" w:rsidRPr="00DB5D0D" w:rsidRDefault="00A25AD1" w:rsidP="00DB5D0D">
            <w:pPr>
              <w:pStyle w:val="24"/>
              <w:widowControl/>
              <w:rPr>
                <w:color w:val="000000" w:themeColor="text1"/>
              </w:rPr>
            </w:pPr>
            <w:r w:rsidRPr="00DB5D0D">
              <w:rPr>
                <w:color w:val="000000" w:themeColor="text1"/>
              </w:rPr>
              <w:t>1-45</w:t>
            </w:r>
          </w:p>
        </w:tc>
        <w:tc>
          <w:tcPr>
            <w:tcW w:w="2835" w:type="dxa"/>
          </w:tcPr>
          <w:p w14:paraId="148451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33493F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Наливкин</w:t>
            </w:r>
          </w:p>
          <w:p w14:paraId="1C09A8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Иванов</w:t>
            </w:r>
          </w:p>
        </w:tc>
      </w:tr>
      <w:tr w:rsidR="007D5DF8" w:rsidRPr="00DB5D0D" w14:paraId="24AD811A" w14:textId="77777777" w:rsidTr="009223E5">
        <w:tc>
          <w:tcPr>
            <w:tcW w:w="2016" w:type="dxa"/>
          </w:tcPr>
          <w:p w14:paraId="71E421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апреля 1940 года</w:t>
            </w:r>
          </w:p>
        </w:tc>
        <w:tc>
          <w:tcPr>
            <w:tcW w:w="4329" w:type="dxa"/>
          </w:tcPr>
          <w:p w14:paraId="57EB0D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w:t>
            </w:r>
          </w:p>
        </w:tc>
        <w:tc>
          <w:tcPr>
            <w:tcW w:w="629" w:type="dxa"/>
          </w:tcPr>
          <w:p w14:paraId="6F7D7C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789" w:type="dxa"/>
          </w:tcPr>
          <w:p w14:paraId="3C1CB8E6" w14:textId="77777777" w:rsidR="00A25AD1" w:rsidRPr="00DB5D0D" w:rsidRDefault="00A25AD1" w:rsidP="00DB5D0D">
            <w:pPr>
              <w:pStyle w:val="24"/>
              <w:widowControl/>
              <w:rPr>
                <w:color w:val="000000" w:themeColor="text1"/>
              </w:rPr>
            </w:pPr>
            <w:r w:rsidRPr="00DB5D0D">
              <w:rPr>
                <w:color w:val="000000" w:themeColor="text1"/>
              </w:rPr>
              <w:t>2-30</w:t>
            </w:r>
          </w:p>
        </w:tc>
        <w:tc>
          <w:tcPr>
            <w:tcW w:w="2835" w:type="dxa"/>
          </w:tcPr>
          <w:p w14:paraId="34EE17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2CF978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Наливкин</w:t>
            </w:r>
          </w:p>
          <w:p w14:paraId="79A0B0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Иванов</w:t>
            </w:r>
          </w:p>
        </w:tc>
      </w:tr>
      <w:tr w:rsidR="007D5DF8" w:rsidRPr="00DB5D0D" w14:paraId="736E7C88" w14:textId="77777777" w:rsidTr="009223E5">
        <w:tc>
          <w:tcPr>
            <w:tcW w:w="2016" w:type="dxa"/>
          </w:tcPr>
          <w:p w14:paraId="2F3E77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апреля 1940 года</w:t>
            </w:r>
          </w:p>
        </w:tc>
        <w:tc>
          <w:tcPr>
            <w:tcW w:w="4329" w:type="dxa"/>
          </w:tcPr>
          <w:p w14:paraId="0A6CAE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стабилизацию температурного режима.</w:t>
            </w:r>
          </w:p>
        </w:tc>
        <w:tc>
          <w:tcPr>
            <w:tcW w:w="629" w:type="dxa"/>
          </w:tcPr>
          <w:p w14:paraId="0668FD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789" w:type="dxa"/>
          </w:tcPr>
          <w:p w14:paraId="04CEEC75" w14:textId="77777777" w:rsidR="00A25AD1" w:rsidRPr="00DB5D0D" w:rsidRDefault="00A25AD1" w:rsidP="00DB5D0D">
            <w:pPr>
              <w:pStyle w:val="24"/>
              <w:widowControl/>
              <w:rPr>
                <w:color w:val="000000" w:themeColor="text1"/>
              </w:rPr>
            </w:pPr>
            <w:r w:rsidRPr="00DB5D0D">
              <w:rPr>
                <w:color w:val="000000" w:themeColor="text1"/>
              </w:rPr>
              <w:t>2-50</w:t>
            </w:r>
          </w:p>
        </w:tc>
        <w:tc>
          <w:tcPr>
            <w:tcW w:w="2835" w:type="dxa"/>
          </w:tcPr>
          <w:p w14:paraId="1151FE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11949E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Наливкин</w:t>
            </w:r>
          </w:p>
          <w:p w14:paraId="0DA44E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Иванов</w:t>
            </w:r>
          </w:p>
        </w:tc>
      </w:tr>
      <w:tr w:rsidR="007D5DF8" w:rsidRPr="00DB5D0D" w14:paraId="1B8D9094" w14:textId="77777777" w:rsidTr="009223E5">
        <w:tc>
          <w:tcPr>
            <w:tcW w:w="2016" w:type="dxa"/>
          </w:tcPr>
          <w:p w14:paraId="70AC6A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апреля 1940 года</w:t>
            </w:r>
          </w:p>
        </w:tc>
        <w:tc>
          <w:tcPr>
            <w:tcW w:w="4329" w:type="dxa"/>
          </w:tcPr>
          <w:p w14:paraId="2182D0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маневренность.</w:t>
            </w:r>
          </w:p>
        </w:tc>
        <w:tc>
          <w:tcPr>
            <w:tcW w:w="629" w:type="dxa"/>
          </w:tcPr>
          <w:p w14:paraId="32891C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789" w:type="dxa"/>
          </w:tcPr>
          <w:p w14:paraId="511E014C" w14:textId="77777777" w:rsidR="00A25AD1" w:rsidRPr="00DB5D0D" w:rsidRDefault="00A25AD1" w:rsidP="00DB5D0D">
            <w:pPr>
              <w:pStyle w:val="24"/>
              <w:widowControl/>
              <w:rPr>
                <w:color w:val="000000" w:themeColor="text1"/>
              </w:rPr>
            </w:pPr>
            <w:r w:rsidRPr="00DB5D0D">
              <w:rPr>
                <w:color w:val="000000" w:themeColor="text1"/>
              </w:rPr>
              <w:t>0-40</w:t>
            </w:r>
          </w:p>
        </w:tc>
        <w:tc>
          <w:tcPr>
            <w:tcW w:w="2835" w:type="dxa"/>
          </w:tcPr>
          <w:p w14:paraId="0724A2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2376B1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Иванов</w:t>
            </w:r>
          </w:p>
        </w:tc>
      </w:tr>
      <w:tr w:rsidR="007D5DF8" w:rsidRPr="00DB5D0D" w14:paraId="575B0977" w14:textId="77777777" w:rsidTr="009223E5">
        <w:tc>
          <w:tcPr>
            <w:tcW w:w="2016" w:type="dxa"/>
          </w:tcPr>
          <w:p w14:paraId="20F04D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апреля 1940 года</w:t>
            </w:r>
          </w:p>
        </w:tc>
        <w:tc>
          <w:tcPr>
            <w:tcW w:w="4329" w:type="dxa"/>
          </w:tcPr>
          <w:p w14:paraId="3DD3D8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опробование мотора в воздухе.</w:t>
            </w:r>
          </w:p>
        </w:tc>
        <w:tc>
          <w:tcPr>
            <w:tcW w:w="629" w:type="dxa"/>
          </w:tcPr>
          <w:p w14:paraId="032D19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89" w:type="dxa"/>
          </w:tcPr>
          <w:p w14:paraId="743A1DD8" w14:textId="77777777" w:rsidR="00A25AD1" w:rsidRPr="00DB5D0D" w:rsidRDefault="00A25AD1" w:rsidP="00DB5D0D">
            <w:pPr>
              <w:pStyle w:val="24"/>
              <w:widowControl/>
              <w:rPr>
                <w:color w:val="000000" w:themeColor="text1"/>
              </w:rPr>
            </w:pPr>
            <w:r w:rsidRPr="00DB5D0D">
              <w:rPr>
                <w:color w:val="000000" w:themeColor="text1"/>
              </w:rPr>
              <w:t>1-05</w:t>
            </w:r>
          </w:p>
        </w:tc>
        <w:tc>
          <w:tcPr>
            <w:tcW w:w="2835" w:type="dxa"/>
          </w:tcPr>
          <w:p w14:paraId="7497EF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03D32C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Иванов</w:t>
            </w:r>
          </w:p>
        </w:tc>
      </w:tr>
      <w:tr w:rsidR="007D5DF8" w:rsidRPr="00DB5D0D" w14:paraId="66EF312E" w14:textId="77777777" w:rsidTr="009223E5">
        <w:tc>
          <w:tcPr>
            <w:tcW w:w="2016" w:type="dxa"/>
          </w:tcPr>
          <w:p w14:paraId="5A86ED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апреля 1940 года</w:t>
            </w:r>
          </w:p>
        </w:tc>
        <w:tc>
          <w:tcPr>
            <w:tcW w:w="4329" w:type="dxa"/>
          </w:tcPr>
          <w:p w14:paraId="055F92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в Чкаловскую.</w:t>
            </w:r>
          </w:p>
        </w:tc>
        <w:tc>
          <w:tcPr>
            <w:tcW w:w="629" w:type="dxa"/>
          </w:tcPr>
          <w:p w14:paraId="3E9524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789" w:type="dxa"/>
          </w:tcPr>
          <w:p w14:paraId="7A960F1E" w14:textId="77777777" w:rsidR="00A25AD1" w:rsidRPr="00DB5D0D" w:rsidRDefault="00A25AD1" w:rsidP="00DB5D0D">
            <w:pPr>
              <w:pStyle w:val="24"/>
              <w:widowControl/>
              <w:rPr>
                <w:color w:val="000000" w:themeColor="text1"/>
              </w:rPr>
            </w:pPr>
            <w:r w:rsidRPr="00DB5D0D">
              <w:rPr>
                <w:color w:val="000000" w:themeColor="text1"/>
              </w:rPr>
              <w:t>0-35</w:t>
            </w:r>
          </w:p>
        </w:tc>
        <w:tc>
          <w:tcPr>
            <w:tcW w:w="2835" w:type="dxa"/>
          </w:tcPr>
          <w:p w14:paraId="69CEFB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449D70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Иванов Наливкин</w:t>
            </w:r>
          </w:p>
        </w:tc>
      </w:tr>
      <w:tr w:rsidR="007D5DF8" w:rsidRPr="00DB5D0D" w14:paraId="752C5DC3" w14:textId="77777777" w:rsidTr="009223E5">
        <w:tc>
          <w:tcPr>
            <w:tcW w:w="2016" w:type="dxa"/>
          </w:tcPr>
          <w:p w14:paraId="013EB0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апреля 1940 года</w:t>
            </w:r>
          </w:p>
        </w:tc>
        <w:tc>
          <w:tcPr>
            <w:tcW w:w="4329" w:type="dxa"/>
          </w:tcPr>
          <w:p w14:paraId="5CFCF2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w:t>
            </w:r>
          </w:p>
        </w:tc>
        <w:tc>
          <w:tcPr>
            <w:tcW w:w="629" w:type="dxa"/>
          </w:tcPr>
          <w:p w14:paraId="6EF0E6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789" w:type="dxa"/>
          </w:tcPr>
          <w:p w14:paraId="2AB4AC2D" w14:textId="77777777" w:rsidR="00A25AD1" w:rsidRPr="00DB5D0D" w:rsidRDefault="00A25AD1" w:rsidP="00DB5D0D">
            <w:pPr>
              <w:pStyle w:val="24"/>
              <w:widowControl/>
              <w:rPr>
                <w:color w:val="000000" w:themeColor="text1"/>
              </w:rPr>
            </w:pPr>
            <w:r w:rsidRPr="00DB5D0D">
              <w:rPr>
                <w:color w:val="000000" w:themeColor="text1"/>
              </w:rPr>
              <w:t>1-50</w:t>
            </w:r>
          </w:p>
        </w:tc>
        <w:tc>
          <w:tcPr>
            <w:tcW w:w="2835" w:type="dxa"/>
          </w:tcPr>
          <w:p w14:paraId="703DFE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1568EB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Иванов Кокорин</w:t>
            </w:r>
          </w:p>
        </w:tc>
      </w:tr>
      <w:tr w:rsidR="007D5DF8" w:rsidRPr="00DB5D0D" w14:paraId="57D622A5" w14:textId="77777777" w:rsidTr="009223E5">
        <w:tc>
          <w:tcPr>
            <w:tcW w:w="2016" w:type="dxa"/>
          </w:tcPr>
          <w:p w14:paraId="4215E6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апреля 1940 года</w:t>
            </w:r>
          </w:p>
        </w:tc>
        <w:tc>
          <w:tcPr>
            <w:tcW w:w="4329" w:type="dxa"/>
          </w:tcPr>
          <w:p w14:paraId="5D4001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замер расхода горючего.</w:t>
            </w:r>
          </w:p>
        </w:tc>
        <w:tc>
          <w:tcPr>
            <w:tcW w:w="629" w:type="dxa"/>
          </w:tcPr>
          <w:p w14:paraId="7B740C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789" w:type="dxa"/>
          </w:tcPr>
          <w:p w14:paraId="2E035797" w14:textId="77777777" w:rsidR="00A25AD1" w:rsidRPr="00DB5D0D" w:rsidRDefault="00A25AD1" w:rsidP="00DB5D0D">
            <w:pPr>
              <w:pStyle w:val="24"/>
              <w:widowControl/>
              <w:rPr>
                <w:color w:val="000000" w:themeColor="text1"/>
              </w:rPr>
            </w:pPr>
            <w:r w:rsidRPr="00DB5D0D">
              <w:rPr>
                <w:color w:val="000000" w:themeColor="text1"/>
              </w:rPr>
              <w:t>2-00</w:t>
            </w:r>
          </w:p>
        </w:tc>
        <w:tc>
          <w:tcPr>
            <w:tcW w:w="2835" w:type="dxa"/>
          </w:tcPr>
          <w:p w14:paraId="5143F5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372D16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Иванов Наливкин</w:t>
            </w:r>
          </w:p>
        </w:tc>
      </w:tr>
      <w:tr w:rsidR="007D5DF8" w:rsidRPr="00DB5D0D" w14:paraId="5279920E" w14:textId="77777777" w:rsidTr="009223E5">
        <w:tc>
          <w:tcPr>
            <w:tcW w:w="2016" w:type="dxa"/>
          </w:tcPr>
          <w:p w14:paraId="4CFC00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апреля 1940 года</w:t>
            </w:r>
          </w:p>
        </w:tc>
        <w:tc>
          <w:tcPr>
            <w:tcW w:w="4329" w:type="dxa"/>
          </w:tcPr>
          <w:p w14:paraId="7ABAE2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замер расхода горючего на Н=8000 м.</w:t>
            </w:r>
          </w:p>
        </w:tc>
        <w:tc>
          <w:tcPr>
            <w:tcW w:w="629" w:type="dxa"/>
          </w:tcPr>
          <w:p w14:paraId="6E8A61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789" w:type="dxa"/>
          </w:tcPr>
          <w:p w14:paraId="4DB90436" w14:textId="77777777" w:rsidR="00A25AD1" w:rsidRPr="00DB5D0D" w:rsidRDefault="00A25AD1" w:rsidP="00DB5D0D">
            <w:pPr>
              <w:pStyle w:val="24"/>
              <w:widowControl/>
              <w:rPr>
                <w:color w:val="000000" w:themeColor="text1"/>
              </w:rPr>
            </w:pPr>
            <w:r w:rsidRPr="00DB5D0D">
              <w:rPr>
                <w:color w:val="000000" w:themeColor="text1"/>
              </w:rPr>
              <w:t>2-15</w:t>
            </w:r>
          </w:p>
        </w:tc>
        <w:tc>
          <w:tcPr>
            <w:tcW w:w="2835" w:type="dxa"/>
          </w:tcPr>
          <w:p w14:paraId="4DE36E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29057C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Иванов Наливкин</w:t>
            </w:r>
          </w:p>
        </w:tc>
      </w:tr>
      <w:tr w:rsidR="007D5DF8" w:rsidRPr="00DB5D0D" w14:paraId="690A67D7" w14:textId="77777777" w:rsidTr="009223E5">
        <w:tc>
          <w:tcPr>
            <w:tcW w:w="2016" w:type="dxa"/>
          </w:tcPr>
          <w:p w14:paraId="1CE4F6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апреля 1940 года</w:t>
            </w:r>
          </w:p>
        </w:tc>
        <w:tc>
          <w:tcPr>
            <w:tcW w:w="4329" w:type="dxa"/>
          </w:tcPr>
          <w:p w14:paraId="16CDCD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замер расхода горючего на Н=2000 м.</w:t>
            </w:r>
          </w:p>
        </w:tc>
        <w:tc>
          <w:tcPr>
            <w:tcW w:w="629" w:type="dxa"/>
          </w:tcPr>
          <w:p w14:paraId="703F1F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789" w:type="dxa"/>
          </w:tcPr>
          <w:p w14:paraId="40A71297" w14:textId="77777777" w:rsidR="00A25AD1" w:rsidRPr="00DB5D0D" w:rsidRDefault="00A25AD1" w:rsidP="00DB5D0D">
            <w:pPr>
              <w:pStyle w:val="24"/>
              <w:widowControl/>
              <w:rPr>
                <w:color w:val="000000" w:themeColor="text1"/>
              </w:rPr>
            </w:pPr>
            <w:r w:rsidRPr="00DB5D0D">
              <w:rPr>
                <w:color w:val="000000" w:themeColor="text1"/>
              </w:rPr>
              <w:t>2-05</w:t>
            </w:r>
          </w:p>
        </w:tc>
        <w:tc>
          <w:tcPr>
            <w:tcW w:w="2835" w:type="dxa"/>
          </w:tcPr>
          <w:p w14:paraId="6480F6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42704B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Иванов Наливкин</w:t>
            </w:r>
          </w:p>
        </w:tc>
      </w:tr>
      <w:tr w:rsidR="007D5DF8" w:rsidRPr="00DB5D0D" w14:paraId="0A7C5B5D" w14:textId="77777777" w:rsidTr="009223E5">
        <w:tc>
          <w:tcPr>
            <w:tcW w:w="2016" w:type="dxa"/>
          </w:tcPr>
          <w:p w14:paraId="4F3E9B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апреля 1940 года</w:t>
            </w:r>
          </w:p>
        </w:tc>
        <w:tc>
          <w:tcPr>
            <w:tcW w:w="4329" w:type="dxa"/>
          </w:tcPr>
          <w:p w14:paraId="2FE98C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замер расхода горючего на Н=6000 м.</w:t>
            </w:r>
          </w:p>
        </w:tc>
        <w:tc>
          <w:tcPr>
            <w:tcW w:w="629" w:type="dxa"/>
          </w:tcPr>
          <w:p w14:paraId="2DBD51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89" w:type="dxa"/>
          </w:tcPr>
          <w:p w14:paraId="52FD7FAA" w14:textId="77777777" w:rsidR="00A25AD1" w:rsidRPr="00DB5D0D" w:rsidRDefault="00A25AD1" w:rsidP="00DB5D0D">
            <w:pPr>
              <w:pStyle w:val="24"/>
              <w:widowControl/>
              <w:rPr>
                <w:color w:val="000000" w:themeColor="text1"/>
              </w:rPr>
            </w:pPr>
            <w:r w:rsidRPr="00DB5D0D">
              <w:rPr>
                <w:color w:val="000000" w:themeColor="text1"/>
              </w:rPr>
              <w:t>2-30</w:t>
            </w:r>
          </w:p>
        </w:tc>
        <w:tc>
          <w:tcPr>
            <w:tcW w:w="2835" w:type="dxa"/>
          </w:tcPr>
          <w:p w14:paraId="621772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38A0C3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 Иванов Наливкин</w:t>
            </w:r>
          </w:p>
        </w:tc>
      </w:tr>
      <w:tr w:rsidR="007D5DF8" w:rsidRPr="00DB5D0D" w14:paraId="03468205" w14:textId="77777777" w:rsidTr="009223E5">
        <w:tc>
          <w:tcPr>
            <w:tcW w:w="2016" w:type="dxa"/>
          </w:tcPr>
          <w:p w14:paraId="5FC9BA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апреля 1940 года</w:t>
            </w:r>
          </w:p>
        </w:tc>
        <w:tc>
          <w:tcPr>
            <w:tcW w:w="4329" w:type="dxa"/>
          </w:tcPr>
          <w:p w14:paraId="590A77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взлетных свойств самолета.</w:t>
            </w:r>
          </w:p>
        </w:tc>
        <w:tc>
          <w:tcPr>
            <w:tcW w:w="629" w:type="dxa"/>
          </w:tcPr>
          <w:p w14:paraId="01984E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789" w:type="dxa"/>
          </w:tcPr>
          <w:p w14:paraId="4AFE259E" w14:textId="77777777" w:rsidR="00A25AD1" w:rsidRPr="00DB5D0D" w:rsidRDefault="00A25AD1" w:rsidP="00DB5D0D">
            <w:pPr>
              <w:pStyle w:val="24"/>
              <w:widowControl/>
              <w:rPr>
                <w:color w:val="000000" w:themeColor="text1"/>
              </w:rPr>
            </w:pPr>
            <w:r w:rsidRPr="00DB5D0D">
              <w:rPr>
                <w:color w:val="000000" w:themeColor="text1"/>
              </w:rPr>
              <w:t>0-40</w:t>
            </w:r>
          </w:p>
        </w:tc>
        <w:tc>
          <w:tcPr>
            <w:tcW w:w="2835" w:type="dxa"/>
          </w:tcPr>
          <w:p w14:paraId="12F605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 Вагин Джанаев</w:t>
            </w:r>
          </w:p>
        </w:tc>
      </w:tr>
      <w:tr w:rsidR="007D5DF8" w:rsidRPr="00DB5D0D" w14:paraId="7E28F972" w14:textId="77777777" w:rsidTr="009223E5">
        <w:tc>
          <w:tcPr>
            <w:tcW w:w="2016" w:type="dxa"/>
          </w:tcPr>
          <w:p w14:paraId="42F6BE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апреля 1940 года</w:t>
            </w:r>
          </w:p>
        </w:tc>
        <w:tc>
          <w:tcPr>
            <w:tcW w:w="4329" w:type="dxa"/>
          </w:tcPr>
          <w:p w14:paraId="0EEF6A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замер разбегов и пробегов.</w:t>
            </w:r>
          </w:p>
        </w:tc>
        <w:tc>
          <w:tcPr>
            <w:tcW w:w="629" w:type="dxa"/>
          </w:tcPr>
          <w:p w14:paraId="11D7F7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789" w:type="dxa"/>
          </w:tcPr>
          <w:p w14:paraId="254FCC64" w14:textId="77777777" w:rsidR="00A25AD1" w:rsidRPr="00DB5D0D" w:rsidRDefault="00A25AD1" w:rsidP="00DB5D0D">
            <w:pPr>
              <w:pStyle w:val="24"/>
              <w:widowControl/>
              <w:rPr>
                <w:color w:val="000000" w:themeColor="text1"/>
              </w:rPr>
            </w:pPr>
            <w:r w:rsidRPr="00DB5D0D">
              <w:rPr>
                <w:color w:val="000000" w:themeColor="text1"/>
              </w:rPr>
              <w:t>1-10</w:t>
            </w:r>
          </w:p>
        </w:tc>
        <w:tc>
          <w:tcPr>
            <w:tcW w:w="2835" w:type="dxa"/>
          </w:tcPr>
          <w:p w14:paraId="0160EB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 Иванов</w:t>
            </w:r>
          </w:p>
        </w:tc>
      </w:tr>
      <w:tr w:rsidR="007D5DF8" w:rsidRPr="00DB5D0D" w14:paraId="5132AFA7" w14:textId="77777777" w:rsidTr="009223E5">
        <w:tc>
          <w:tcPr>
            <w:tcW w:w="2016" w:type="dxa"/>
          </w:tcPr>
          <w:p w14:paraId="04F68D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апреля 1940 года</w:t>
            </w:r>
          </w:p>
        </w:tc>
        <w:tc>
          <w:tcPr>
            <w:tcW w:w="4329" w:type="dxa"/>
          </w:tcPr>
          <w:p w14:paraId="01AF26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замер расхода горючего на Н=6000 м.</w:t>
            </w:r>
          </w:p>
        </w:tc>
        <w:tc>
          <w:tcPr>
            <w:tcW w:w="629" w:type="dxa"/>
          </w:tcPr>
          <w:p w14:paraId="3777C8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89" w:type="dxa"/>
          </w:tcPr>
          <w:p w14:paraId="094346AB" w14:textId="77777777" w:rsidR="00A25AD1" w:rsidRPr="00DB5D0D" w:rsidRDefault="00A25AD1" w:rsidP="00DB5D0D">
            <w:pPr>
              <w:pStyle w:val="24"/>
              <w:widowControl/>
              <w:rPr>
                <w:color w:val="000000" w:themeColor="text1"/>
              </w:rPr>
            </w:pPr>
            <w:r w:rsidRPr="00DB5D0D">
              <w:rPr>
                <w:color w:val="000000" w:themeColor="text1"/>
              </w:rPr>
              <w:t xml:space="preserve">2-40 </w:t>
            </w:r>
          </w:p>
        </w:tc>
        <w:tc>
          <w:tcPr>
            <w:tcW w:w="2835" w:type="dxa"/>
          </w:tcPr>
          <w:p w14:paraId="74FAB6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 Соколов Иванов Кокорин</w:t>
            </w:r>
          </w:p>
        </w:tc>
      </w:tr>
      <w:tr w:rsidR="007D5DF8" w:rsidRPr="00DB5D0D" w14:paraId="2690F37E" w14:textId="77777777" w:rsidTr="009223E5">
        <w:tc>
          <w:tcPr>
            <w:tcW w:w="2016" w:type="dxa"/>
          </w:tcPr>
          <w:p w14:paraId="208977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года</w:t>
            </w:r>
          </w:p>
        </w:tc>
        <w:tc>
          <w:tcPr>
            <w:tcW w:w="4329" w:type="dxa"/>
          </w:tcPr>
          <w:p w14:paraId="54B68D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 в Ногинске бомбы ФАБ-100-10 кг.</w:t>
            </w:r>
          </w:p>
        </w:tc>
        <w:tc>
          <w:tcPr>
            <w:tcW w:w="629" w:type="dxa"/>
          </w:tcPr>
          <w:p w14:paraId="7A52BA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789" w:type="dxa"/>
          </w:tcPr>
          <w:p w14:paraId="52C057AF" w14:textId="77777777" w:rsidR="00A25AD1" w:rsidRPr="00DB5D0D" w:rsidRDefault="00A25AD1" w:rsidP="00DB5D0D">
            <w:pPr>
              <w:pStyle w:val="24"/>
              <w:widowControl/>
              <w:rPr>
                <w:color w:val="000000" w:themeColor="text1"/>
              </w:rPr>
            </w:pPr>
            <w:r w:rsidRPr="00DB5D0D">
              <w:rPr>
                <w:color w:val="000000" w:themeColor="text1"/>
              </w:rPr>
              <w:t>0-55</w:t>
            </w:r>
          </w:p>
        </w:tc>
        <w:tc>
          <w:tcPr>
            <w:tcW w:w="2835" w:type="dxa"/>
          </w:tcPr>
          <w:p w14:paraId="37F0A9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Хрипков Цветков Иванов</w:t>
            </w:r>
          </w:p>
        </w:tc>
      </w:tr>
      <w:tr w:rsidR="007D5DF8" w:rsidRPr="00DB5D0D" w14:paraId="49188FA3" w14:textId="77777777" w:rsidTr="009223E5">
        <w:tc>
          <w:tcPr>
            <w:tcW w:w="2016" w:type="dxa"/>
          </w:tcPr>
          <w:p w14:paraId="21D9F7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w:t>
            </w:r>
          </w:p>
        </w:tc>
        <w:tc>
          <w:tcPr>
            <w:tcW w:w="4329" w:type="dxa"/>
          </w:tcPr>
          <w:p w14:paraId="420AE5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замер расхода горючего на Н=6000 м.</w:t>
            </w:r>
          </w:p>
        </w:tc>
        <w:tc>
          <w:tcPr>
            <w:tcW w:w="629" w:type="dxa"/>
          </w:tcPr>
          <w:p w14:paraId="3702C6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c>
          <w:tcPr>
            <w:tcW w:w="789" w:type="dxa"/>
          </w:tcPr>
          <w:p w14:paraId="008C73E1" w14:textId="77777777" w:rsidR="00A25AD1" w:rsidRPr="00DB5D0D" w:rsidRDefault="00A25AD1" w:rsidP="00DB5D0D">
            <w:pPr>
              <w:pStyle w:val="24"/>
              <w:widowControl/>
              <w:rPr>
                <w:color w:val="000000" w:themeColor="text1"/>
              </w:rPr>
            </w:pPr>
            <w:r w:rsidRPr="00DB5D0D">
              <w:rPr>
                <w:color w:val="000000" w:themeColor="text1"/>
              </w:rPr>
              <w:t>0-35</w:t>
            </w:r>
          </w:p>
        </w:tc>
        <w:tc>
          <w:tcPr>
            <w:tcW w:w="2835" w:type="dxa"/>
          </w:tcPr>
          <w:p w14:paraId="274625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Хрипков Цветков Наливкин Иванов</w:t>
            </w:r>
          </w:p>
        </w:tc>
      </w:tr>
    </w:tbl>
    <w:p w14:paraId="4E4B4F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(4397).</w:t>
      </w:r>
    </w:p>
    <w:p w14:paraId="3A28286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A258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Нач. ГУАС КА Алексеев утвердил Отчет по государственным испытаниям головного серийного самолета ДБ-3 2М-88 N 390204 с винтами ВИШ-23А, производства завода 39 с резолюцией: "Отчет по самолету ДБ3-Ф 2М-88 утверждаю. С постановкой заданий заводу 29 - согласен. Окончательная оценка мотора М-88 м.б. дана только на основе производимых специспытаний мотора" (2135). Отчет также утвердил Военком ГУАС бригадный комиссар Князев 28 мая 1940 г. (3312).</w:t>
      </w:r>
    </w:p>
    <w:p w14:paraId="3C17B3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45D50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Кокорин Н.М.</w:t>
      </w:r>
    </w:p>
    <w:p w14:paraId="3AE9F9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капитан Дудкин Л.П.</w:t>
      </w:r>
    </w:p>
    <w:p w14:paraId="3D2180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95308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Определить соответствие летно-тактических данных самолета тактико-техническим требованиям.</w:t>
      </w:r>
    </w:p>
    <w:p w14:paraId="116F71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Проверить работу винтомоторной группы, вооружения и спецоборудования.</w:t>
      </w:r>
    </w:p>
    <w:p w14:paraId="7B6468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испытаний</w:t>
      </w:r>
    </w:p>
    <w:p w14:paraId="560F58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Заводом N 39 предъявлен на гос. испытания головной серийный самолет ДБ-3Ф 2М-88 с винтами ВИШ-23А. По сравнению с самолетом ДБ-3Ф 2М-87 с винтами ВИШ-3, предъявленный самолет имеет следующие основные изменения:</w:t>
      </w:r>
    </w:p>
    <w:p w14:paraId="25CDDE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Вместо моторов М-87 установлены М-88.</w:t>
      </w:r>
    </w:p>
    <w:p w14:paraId="65E099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Винты ВИШ-3 заменены на винты ВИШ-23А.</w:t>
      </w:r>
    </w:p>
    <w:p w14:paraId="746028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Взамен одного 8-ми дюймового воздушно-масляного радиатора установлено по 2 воздушно-масляных радиатора на мотор: один 6 дм. и другой 8 дм.</w:t>
      </w:r>
    </w:p>
    <w:p w14:paraId="27F65E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Воздушно-масляные радиаторы имеют синхронно-работающие жалюзи, как на входе, так и на выходе туннелей радиаторов.</w:t>
      </w:r>
    </w:p>
    <w:p w14:paraId="319130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Масляные баки имеют самостоятельные дренажи, не соединенные с суфлерами моторов.</w:t>
      </w:r>
    </w:p>
    <w:p w14:paraId="29F5BB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Передние и задние суфлеры мотора, для уравнения давления в задней и передней части мотора, объединены коллектором, имеющим для дренажирования общий вывод.</w:t>
      </w:r>
    </w:p>
    <w:p w14:paraId="532728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Собачка замка шасси установлена новая - ось вращения совмещена с геометрической осью профиля собачки.</w:t>
      </w:r>
    </w:p>
    <w:p w14:paraId="203802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Антенна РПК-2 вынесена под фюзеляж в специальный обтекатель.</w:t>
      </w:r>
    </w:p>
    <w:p w14:paraId="1FB9D8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Вместо дюралевых бомбодержателей ДЕР-21 установлены стальные бомбодержатели ДЕР-21.</w:t>
      </w:r>
    </w:p>
    <w:p w14:paraId="37A4AC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Вместо электросбрасывателя ЭСБР-5 поставлен электросбрасыватель ЭСБР-2.</w:t>
      </w:r>
    </w:p>
    <w:p w14:paraId="436B13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 передачи на гос. испытание налетал всего 10 час. 51 мин. и сделал 46 посадок, из них 32 посадки со старым замком шасси.</w:t>
      </w:r>
    </w:p>
    <w:p w14:paraId="7DDAB5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М-88 за N 88112 (лев.) и 88054 (прав.) с 50-ти часовым ресурсом до передачи на испытания наработали:</w:t>
      </w:r>
    </w:p>
    <w:p w14:paraId="4A7AC4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Левый на земле - 20 час, 53 мин., в воздухе - 10 час. 51 мин. Всего - 31 час. 44 мин.</w:t>
      </w:r>
    </w:p>
    <w:p w14:paraId="62C360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Правый: на земле - 18 час. 55 мин., в воздухе - 10 час. 51 мин. Всего - 29 час. 46 мин.</w:t>
      </w:r>
    </w:p>
    <w:p w14:paraId="7C5F12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Краткий результат испытаний</w:t>
      </w:r>
    </w:p>
    <w:p w14:paraId="665959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Весовые данные и центровка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083A9149" w14:textId="77777777" w:rsidTr="009223E5">
        <w:tc>
          <w:tcPr>
            <w:tcW w:w="5749" w:type="dxa"/>
            <w:tcBorders>
              <w:top w:val="single" w:sz="12" w:space="0" w:color="auto"/>
            </w:tcBorders>
          </w:tcPr>
          <w:p w14:paraId="0CBAA0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данным взвешивания в НИИ ГУАС</w:t>
            </w:r>
          </w:p>
        </w:tc>
        <w:tc>
          <w:tcPr>
            <w:tcW w:w="5749" w:type="dxa"/>
            <w:tcBorders>
              <w:top w:val="single" w:sz="12" w:space="0" w:color="auto"/>
            </w:tcBorders>
          </w:tcPr>
          <w:p w14:paraId="6EB7476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AC0F858" w14:textId="77777777" w:rsidTr="009223E5">
        <w:tc>
          <w:tcPr>
            <w:tcW w:w="5749" w:type="dxa"/>
          </w:tcPr>
          <w:p w14:paraId="49E45B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самолета</w:t>
            </w:r>
          </w:p>
        </w:tc>
        <w:tc>
          <w:tcPr>
            <w:tcW w:w="5749" w:type="dxa"/>
          </w:tcPr>
          <w:p w14:paraId="58A205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5590 кг</w:t>
            </w:r>
          </w:p>
        </w:tc>
      </w:tr>
      <w:tr w:rsidR="007D5DF8" w:rsidRPr="00DB5D0D" w14:paraId="770DD79A" w14:textId="77777777" w:rsidTr="009223E5">
        <w:tc>
          <w:tcPr>
            <w:tcW w:w="5749" w:type="dxa"/>
          </w:tcPr>
          <w:p w14:paraId="380425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Нормальный полетный вес</w:t>
            </w:r>
          </w:p>
        </w:tc>
        <w:tc>
          <w:tcPr>
            <w:tcW w:w="5749" w:type="dxa"/>
          </w:tcPr>
          <w:p w14:paraId="122A2D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7933 кг</w:t>
            </w:r>
          </w:p>
        </w:tc>
      </w:tr>
      <w:tr w:rsidR="007D5DF8" w:rsidRPr="00DB5D0D" w14:paraId="48E3FF8E" w14:textId="77777777" w:rsidTr="009223E5">
        <w:tc>
          <w:tcPr>
            <w:tcW w:w="5749" w:type="dxa"/>
          </w:tcPr>
          <w:p w14:paraId="691537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Полезная нагрузка:</w:t>
            </w:r>
          </w:p>
        </w:tc>
        <w:tc>
          <w:tcPr>
            <w:tcW w:w="5749" w:type="dxa"/>
          </w:tcPr>
          <w:p w14:paraId="6DFAC85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8FE1A6A" w14:textId="77777777" w:rsidTr="009223E5">
        <w:tc>
          <w:tcPr>
            <w:tcW w:w="5749" w:type="dxa"/>
          </w:tcPr>
          <w:p w14:paraId="6DCFB7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Экипаж - 3 чел.</w:t>
            </w:r>
          </w:p>
        </w:tc>
        <w:tc>
          <w:tcPr>
            <w:tcW w:w="5749" w:type="dxa"/>
          </w:tcPr>
          <w:p w14:paraId="54C0F1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 кг</w:t>
            </w:r>
          </w:p>
        </w:tc>
      </w:tr>
      <w:tr w:rsidR="007D5DF8" w:rsidRPr="00DB5D0D" w14:paraId="2BEE866A" w14:textId="77777777" w:rsidTr="009223E5">
        <w:tc>
          <w:tcPr>
            <w:tcW w:w="5749" w:type="dxa"/>
          </w:tcPr>
          <w:p w14:paraId="174816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Бомбардировочное вооружение</w:t>
            </w:r>
          </w:p>
        </w:tc>
        <w:tc>
          <w:tcPr>
            <w:tcW w:w="5749" w:type="dxa"/>
          </w:tcPr>
          <w:p w14:paraId="4397A7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1030 кг</w:t>
            </w:r>
          </w:p>
        </w:tc>
      </w:tr>
      <w:tr w:rsidR="007D5DF8" w:rsidRPr="00DB5D0D" w14:paraId="60156035" w14:textId="77777777" w:rsidTr="009223E5">
        <w:tc>
          <w:tcPr>
            <w:tcW w:w="5749" w:type="dxa"/>
          </w:tcPr>
          <w:p w14:paraId="78A75B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Стрелковое вооружение</w:t>
            </w:r>
          </w:p>
        </w:tc>
        <w:tc>
          <w:tcPr>
            <w:tcW w:w="5749" w:type="dxa"/>
          </w:tcPr>
          <w:p w14:paraId="475D44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 кг</w:t>
            </w:r>
          </w:p>
        </w:tc>
      </w:tr>
      <w:tr w:rsidR="007D5DF8" w:rsidRPr="00DB5D0D" w14:paraId="390C14E4" w14:textId="77777777" w:rsidTr="009223E5">
        <w:tc>
          <w:tcPr>
            <w:tcW w:w="5749" w:type="dxa"/>
          </w:tcPr>
          <w:p w14:paraId="2F18AD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Спецоборудование</w:t>
            </w:r>
          </w:p>
        </w:tc>
        <w:tc>
          <w:tcPr>
            <w:tcW w:w="5749" w:type="dxa"/>
          </w:tcPr>
          <w:p w14:paraId="60CD24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 кг</w:t>
            </w:r>
          </w:p>
        </w:tc>
      </w:tr>
      <w:tr w:rsidR="007D5DF8" w:rsidRPr="00DB5D0D" w14:paraId="5D231FF3" w14:textId="77777777" w:rsidTr="009223E5">
        <w:tc>
          <w:tcPr>
            <w:tcW w:w="5749" w:type="dxa"/>
          </w:tcPr>
          <w:p w14:paraId="1F8A4A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Горючее и смазочное</w:t>
            </w:r>
          </w:p>
        </w:tc>
        <w:tc>
          <w:tcPr>
            <w:tcW w:w="5749" w:type="dxa"/>
          </w:tcPr>
          <w:p w14:paraId="174C17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870 кг</w:t>
            </w:r>
          </w:p>
        </w:tc>
      </w:tr>
      <w:tr w:rsidR="007D5DF8" w:rsidRPr="00DB5D0D" w14:paraId="14F60972" w14:textId="77777777" w:rsidTr="009223E5">
        <w:tc>
          <w:tcPr>
            <w:tcW w:w="5749" w:type="dxa"/>
          </w:tcPr>
          <w:p w14:paraId="278D82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5749" w:type="dxa"/>
          </w:tcPr>
          <w:p w14:paraId="7AE742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2343 кг</w:t>
            </w:r>
          </w:p>
        </w:tc>
      </w:tr>
      <w:tr w:rsidR="007D5DF8" w:rsidRPr="00DB5D0D" w14:paraId="2D9487B5" w14:textId="77777777" w:rsidTr="009223E5">
        <w:tc>
          <w:tcPr>
            <w:tcW w:w="5749" w:type="dxa"/>
          </w:tcPr>
          <w:p w14:paraId="3DD514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Полетный вес самолета в</w:t>
            </w:r>
          </w:p>
        </w:tc>
        <w:tc>
          <w:tcPr>
            <w:tcW w:w="5749" w:type="dxa"/>
          </w:tcPr>
          <w:p w14:paraId="32742AA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853353A" w14:textId="77777777" w:rsidTr="009223E5">
        <w:tc>
          <w:tcPr>
            <w:tcW w:w="5749" w:type="dxa"/>
          </w:tcPr>
          <w:p w14:paraId="3626F2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перегрузочном варианте (при 2750</w:t>
            </w:r>
          </w:p>
        </w:tc>
        <w:tc>
          <w:tcPr>
            <w:tcW w:w="5749" w:type="dxa"/>
          </w:tcPr>
          <w:p w14:paraId="0F220CD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38047D6" w14:textId="77777777" w:rsidTr="009223E5">
        <w:tc>
          <w:tcPr>
            <w:tcW w:w="5749" w:type="dxa"/>
          </w:tcPr>
          <w:p w14:paraId="1B2DB0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кг горючего, 240 кг смазочного,</w:t>
            </w:r>
          </w:p>
        </w:tc>
        <w:tc>
          <w:tcPr>
            <w:tcW w:w="5749" w:type="dxa"/>
          </w:tcPr>
          <w:p w14:paraId="42D86AA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7AB3007" w14:textId="77777777" w:rsidTr="009223E5">
        <w:tc>
          <w:tcPr>
            <w:tcW w:w="5749" w:type="dxa"/>
          </w:tcPr>
          <w:p w14:paraId="6B5094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кг бомб и 2000 шт. Патрон - 68 кг)</w:t>
            </w:r>
          </w:p>
        </w:tc>
        <w:tc>
          <w:tcPr>
            <w:tcW w:w="5749" w:type="dxa"/>
          </w:tcPr>
          <w:p w14:paraId="0D6E9D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10053 кг</w:t>
            </w:r>
          </w:p>
        </w:tc>
      </w:tr>
      <w:tr w:rsidR="007D5DF8" w:rsidRPr="00DB5D0D" w14:paraId="73616027" w14:textId="77777777" w:rsidTr="009223E5">
        <w:tc>
          <w:tcPr>
            <w:tcW w:w="5749" w:type="dxa"/>
          </w:tcPr>
          <w:p w14:paraId="2D5E69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Центровка пустого самолета</w:t>
            </w:r>
          </w:p>
        </w:tc>
        <w:tc>
          <w:tcPr>
            <w:tcW w:w="5749" w:type="dxa"/>
          </w:tcPr>
          <w:p w14:paraId="19FBFE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 САХ</w:t>
            </w:r>
          </w:p>
        </w:tc>
      </w:tr>
      <w:tr w:rsidR="007D5DF8" w:rsidRPr="00DB5D0D" w14:paraId="4AD0E502" w14:textId="77777777" w:rsidTr="009223E5">
        <w:tc>
          <w:tcPr>
            <w:tcW w:w="5749" w:type="dxa"/>
          </w:tcPr>
          <w:p w14:paraId="79B2BE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е) Центровка самолета с норамльным</w:t>
            </w:r>
          </w:p>
        </w:tc>
        <w:tc>
          <w:tcPr>
            <w:tcW w:w="5749" w:type="dxa"/>
          </w:tcPr>
          <w:p w14:paraId="594F1B2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3100A7C" w14:textId="77777777" w:rsidTr="009223E5">
        <w:tc>
          <w:tcPr>
            <w:tcW w:w="5749" w:type="dxa"/>
          </w:tcPr>
          <w:p w14:paraId="4AEE48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полетным весом</w:t>
            </w:r>
          </w:p>
        </w:tc>
        <w:tc>
          <w:tcPr>
            <w:tcW w:w="5749" w:type="dxa"/>
          </w:tcPr>
          <w:p w14:paraId="326621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r>
      <w:tr w:rsidR="007D5DF8" w:rsidRPr="00DB5D0D" w14:paraId="52617FDC" w14:textId="77777777" w:rsidTr="009223E5">
        <w:tc>
          <w:tcPr>
            <w:tcW w:w="5749" w:type="dxa"/>
          </w:tcPr>
          <w:p w14:paraId="696EE1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Центровка самолета с полетным</w:t>
            </w:r>
          </w:p>
        </w:tc>
        <w:tc>
          <w:tcPr>
            <w:tcW w:w="5749" w:type="dxa"/>
          </w:tcPr>
          <w:p w14:paraId="5DBDB8A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8048CDA" w14:textId="77777777" w:rsidTr="009223E5">
        <w:tc>
          <w:tcPr>
            <w:tcW w:w="5749" w:type="dxa"/>
          </w:tcPr>
          <w:p w14:paraId="017306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весом в перегрузочном варианте</w:t>
            </w:r>
          </w:p>
        </w:tc>
        <w:tc>
          <w:tcPr>
            <w:tcW w:w="5749" w:type="dxa"/>
          </w:tcPr>
          <w:p w14:paraId="34D3AF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w:t>
            </w:r>
          </w:p>
        </w:tc>
      </w:tr>
      <w:tr w:rsidR="007D5DF8" w:rsidRPr="00DB5D0D" w14:paraId="36C42653" w14:textId="77777777" w:rsidTr="009223E5">
        <w:tc>
          <w:tcPr>
            <w:tcW w:w="5749" w:type="dxa"/>
          </w:tcPr>
          <w:p w14:paraId="219C47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 Центровка самолета с </w:t>
            </w:r>
          </w:p>
        </w:tc>
        <w:tc>
          <w:tcPr>
            <w:tcW w:w="5749" w:type="dxa"/>
          </w:tcPr>
          <w:p w14:paraId="036AE44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6024E91" w14:textId="77777777" w:rsidTr="009223E5">
        <w:tc>
          <w:tcPr>
            <w:tcW w:w="5749" w:type="dxa"/>
          </w:tcPr>
          <w:p w14:paraId="1DFF10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неизменным полетным весом</w:t>
            </w:r>
          </w:p>
        </w:tc>
        <w:tc>
          <w:tcPr>
            <w:tcW w:w="5749" w:type="dxa"/>
          </w:tcPr>
          <w:p w14:paraId="5D202A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r>
      <w:tr w:rsidR="007D5DF8" w:rsidRPr="00DB5D0D" w14:paraId="23A2C7CB" w14:textId="77777777" w:rsidTr="009223E5">
        <w:tc>
          <w:tcPr>
            <w:tcW w:w="5749" w:type="dxa"/>
          </w:tcPr>
          <w:p w14:paraId="118CDE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Летно-тактические данные самолета</w:t>
            </w:r>
          </w:p>
        </w:tc>
        <w:tc>
          <w:tcPr>
            <w:tcW w:w="5749" w:type="dxa"/>
          </w:tcPr>
          <w:p w14:paraId="6447700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3A4B5FD" w14:textId="77777777" w:rsidTr="009223E5">
        <w:tc>
          <w:tcPr>
            <w:tcW w:w="5749" w:type="dxa"/>
          </w:tcPr>
          <w:p w14:paraId="36D770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с каким велись испытания</w:t>
            </w:r>
          </w:p>
        </w:tc>
        <w:tc>
          <w:tcPr>
            <w:tcW w:w="5749" w:type="dxa"/>
          </w:tcPr>
          <w:p w14:paraId="01F5F4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7900 кг</w:t>
            </w:r>
          </w:p>
        </w:tc>
      </w:tr>
      <w:tr w:rsidR="007D5DF8" w:rsidRPr="00DB5D0D" w14:paraId="5B8A45C1" w14:textId="77777777" w:rsidTr="009223E5">
        <w:tc>
          <w:tcPr>
            <w:tcW w:w="5749" w:type="dxa"/>
          </w:tcPr>
          <w:p w14:paraId="70E696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w:t>
            </w:r>
          </w:p>
        </w:tc>
        <w:tc>
          <w:tcPr>
            <w:tcW w:w="5749" w:type="dxa"/>
          </w:tcPr>
          <w:p w14:paraId="593183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ВИШ-23</w:t>
            </w:r>
          </w:p>
        </w:tc>
      </w:tr>
      <w:tr w:rsidR="007D5DF8" w:rsidRPr="00DB5D0D" w14:paraId="7CCF2AC8" w14:textId="77777777" w:rsidTr="009223E5">
        <w:tc>
          <w:tcPr>
            <w:tcW w:w="5749" w:type="dxa"/>
          </w:tcPr>
          <w:p w14:paraId="62A2E0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установки лопастей винтов</w:t>
            </w:r>
          </w:p>
        </w:tc>
        <w:tc>
          <w:tcPr>
            <w:tcW w:w="5749" w:type="dxa"/>
          </w:tcPr>
          <w:p w14:paraId="1D8470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20-40 град.</w:t>
            </w:r>
          </w:p>
        </w:tc>
      </w:tr>
      <w:tr w:rsidR="007D5DF8" w:rsidRPr="00DB5D0D" w14:paraId="2BC1B013" w14:textId="77777777" w:rsidTr="009223E5">
        <w:tc>
          <w:tcPr>
            <w:tcW w:w="5749" w:type="dxa"/>
          </w:tcPr>
          <w:p w14:paraId="32A937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1 м кв. Несущей площади</w:t>
            </w:r>
          </w:p>
        </w:tc>
        <w:tc>
          <w:tcPr>
            <w:tcW w:w="5749" w:type="dxa"/>
          </w:tcPr>
          <w:p w14:paraId="20CB21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118,5 кг/м кв.</w:t>
            </w:r>
          </w:p>
        </w:tc>
      </w:tr>
      <w:tr w:rsidR="007D5DF8" w:rsidRPr="00DB5D0D" w14:paraId="0EA2DFFA" w14:textId="77777777" w:rsidTr="009223E5">
        <w:tc>
          <w:tcPr>
            <w:tcW w:w="5749" w:type="dxa"/>
          </w:tcPr>
          <w:p w14:paraId="408C83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Граница высотности моторов на с-те</w:t>
            </w:r>
          </w:p>
        </w:tc>
        <w:tc>
          <w:tcPr>
            <w:tcW w:w="5749" w:type="dxa"/>
          </w:tcPr>
          <w:p w14:paraId="6994DB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6200/2 ск.</w:t>
            </w:r>
          </w:p>
        </w:tc>
      </w:tr>
      <w:tr w:rsidR="007D5DF8" w:rsidRPr="00DB5D0D" w14:paraId="7A706232" w14:textId="77777777" w:rsidTr="009223E5">
        <w:tc>
          <w:tcPr>
            <w:tcW w:w="5749" w:type="dxa"/>
          </w:tcPr>
          <w:p w14:paraId="197744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w:t>
            </w:r>
          </w:p>
        </w:tc>
        <w:tc>
          <w:tcPr>
            <w:tcW w:w="5749" w:type="dxa"/>
          </w:tcPr>
          <w:p w14:paraId="0F7E46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362 км/час</w:t>
            </w:r>
          </w:p>
        </w:tc>
      </w:tr>
      <w:tr w:rsidR="007D5DF8" w:rsidRPr="00DB5D0D" w14:paraId="4D754AB3" w14:textId="77777777" w:rsidTr="009223E5">
        <w:tc>
          <w:tcPr>
            <w:tcW w:w="5749" w:type="dxa"/>
          </w:tcPr>
          <w:p w14:paraId="44740B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границе</w:t>
            </w:r>
          </w:p>
        </w:tc>
        <w:tc>
          <w:tcPr>
            <w:tcW w:w="5749" w:type="dxa"/>
          </w:tcPr>
          <w:p w14:paraId="32FA755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0F100EF" w14:textId="77777777" w:rsidTr="009223E5">
        <w:tc>
          <w:tcPr>
            <w:tcW w:w="5749" w:type="dxa"/>
          </w:tcPr>
          <w:p w14:paraId="27BF8D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высотности мотора на 1-й скорости</w:t>
            </w:r>
          </w:p>
        </w:tc>
        <w:tc>
          <w:tcPr>
            <w:tcW w:w="5749" w:type="dxa"/>
          </w:tcPr>
          <w:p w14:paraId="7AAAAE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418</w:t>
            </w:r>
          </w:p>
        </w:tc>
      </w:tr>
      <w:tr w:rsidR="007D5DF8" w:rsidRPr="00DB5D0D" w14:paraId="37648761" w14:textId="77777777" w:rsidTr="009223E5">
        <w:tc>
          <w:tcPr>
            <w:tcW w:w="5749" w:type="dxa"/>
          </w:tcPr>
          <w:p w14:paraId="38BD72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скорости</w:t>
            </w:r>
          </w:p>
        </w:tc>
        <w:tc>
          <w:tcPr>
            <w:tcW w:w="5749" w:type="dxa"/>
          </w:tcPr>
          <w:p w14:paraId="56E8AD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w:t>
            </w:r>
          </w:p>
        </w:tc>
      </w:tr>
      <w:tr w:rsidR="007D5DF8" w:rsidRPr="00DB5D0D" w14:paraId="5670C334" w14:textId="77777777" w:rsidTr="009223E5">
        <w:tc>
          <w:tcPr>
            <w:tcW w:w="5749" w:type="dxa"/>
          </w:tcPr>
          <w:p w14:paraId="26AA75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5749" w:type="dxa"/>
          </w:tcPr>
          <w:p w14:paraId="7478B9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10050 м</w:t>
            </w:r>
          </w:p>
        </w:tc>
      </w:tr>
      <w:tr w:rsidR="007D5DF8" w:rsidRPr="00DB5D0D" w14:paraId="0F6425AF" w14:textId="77777777" w:rsidTr="009223E5">
        <w:tc>
          <w:tcPr>
            <w:tcW w:w="5749" w:type="dxa"/>
          </w:tcPr>
          <w:p w14:paraId="3EFD97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 5000 м</w:t>
            </w:r>
          </w:p>
        </w:tc>
        <w:tc>
          <w:tcPr>
            <w:tcW w:w="5749" w:type="dxa"/>
          </w:tcPr>
          <w:p w14:paraId="219C97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10,25 м</w:t>
            </w:r>
          </w:p>
        </w:tc>
      </w:tr>
      <w:tr w:rsidR="007D5DF8" w:rsidRPr="00DB5D0D" w14:paraId="6B327CE1" w14:textId="77777777" w:rsidTr="009223E5">
        <w:tc>
          <w:tcPr>
            <w:tcW w:w="5749" w:type="dxa"/>
          </w:tcPr>
          <w:p w14:paraId="100668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практического потолка</w:t>
            </w:r>
          </w:p>
        </w:tc>
        <w:tc>
          <w:tcPr>
            <w:tcW w:w="5749" w:type="dxa"/>
          </w:tcPr>
          <w:p w14:paraId="60E278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 м</w:t>
            </w:r>
          </w:p>
        </w:tc>
      </w:tr>
      <w:tr w:rsidR="007D5DF8" w:rsidRPr="00DB5D0D" w14:paraId="69B1C6E7" w14:textId="77777777" w:rsidTr="009223E5">
        <w:tc>
          <w:tcPr>
            <w:tcW w:w="5749" w:type="dxa"/>
          </w:tcPr>
          <w:p w14:paraId="0AEDC6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Техническая дальность на 0,9 от Vmax</w:t>
            </w:r>
          </w:p>
        </w:tc>
        <w:tc>
          <w:tcPr>
            <w:tcW w:w="5749" w:type="dxa"/>
          </w:tcPr>
          <w:p w14:paraId="5ED342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 км</w:t>
            </w:r>
          </w:p>
        </w:tc>
      </w:tr>
      <w:tr w:rsidR="007D5DF8" w:rsidRPr="00DB5D0D" w14:paraId="67FD7FDD" w14:textId="77777777" w:rsidTr="009223E5">
        <w:tc>
          <w:tcPr>
            <w:tcW w:w="5749" w:type="dxa"/>
          </w:tcPr>
          <w:p w14:paraId="642886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Техническая дальность на 0,8 от Vmax</w:t>
            </w:r>
          </w:p>
        </w:tc>
        <w:tc>
          <w:tcPr>
            <w:tcW w:w="5749" w:type="dxa"/>
          </w:tcPr>
          <w:p w14:paraId="01CB1B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3300 км</w:t>
            </w:r>
          </w:p>
        </w:tc>
      </w:tr>
      <w:tr w:rsidR="007D5DF8" w:rsidRPr="00DB5D0D" w14:paraId="315A9E8E" w14:textId="77777777" w:rsidTr="009223E5">
        <w:tc>
          <w:tcPr>
            <w:tcW w:w="5749" w:type="dxa"/>
          </w:tcPr>
          <w:p w14:paraId="031F42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с закрылками</w:t>
            </w:r>
          </w:p>
        </w:tc>
        <w:tc>
          <w:tcPr>
            <w:tcW w:w="5749" w:type="dxa"/>
          </w:tcPr>
          <w:p w14:paraId="613460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 км/час</w:t>
            </w:r>
          </w:p>
        </w:tc>
      </w:tr>
      <w:tr w:rsidR="007D5DF8" w:rsidRPr="00DB5D0D" w14:paraId="217878CA" w14:textId="77777777" w:rsidTr="009223E5">
        <w:tc>
          <w:tcPr>
            <w:tcW w:w="5749" w:type="dxa"/>
          </w:tcPr>
          <w:p w14:paraId="7C816F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без закрылков</w:t>
            </w:r>
          </w:p>
        </w:tc>
        <w:tc>
          <w:tcPr>
            <w:tcW w:w="5749" w:type="dxa"/>
          </w:tcPr>
          <w:p w14:paraId="0CAE9A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 км/час</w:t>
            </w:r>
          </w:p>
        </w:tc>
      </w:tr>
      <w:tr w:rsidR="007D5DF8" w:rsidRPr="00DB5D0D" w14:paraId="2C62504B" w14:textId="77777777" w:rsidTr="009223E5">
        <w:tc>
          <w:tcPr>
            <w:tcW w:w="5749" w:type="dxa"/>
          </w:tcPr>
          <w:p w14:paraId="25BEA9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Минимальное время виража</w:t>
            </w:r>
          </w:p>
        </w:tc>
        <w:tc>
          <w:tcPr>
            <w:tcW w:w="5749" w:type="dxa"/>
          </w:tcPr>
          <w:p w14:paraId="1E688F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 м</w:t>
            </w:r>
          </w:p>
        </w:tc>
      </w:tr>
      <w:tr w:rsidR="007D5DF8" w:rsidRPr="00DB5D0D" w14:paraId="6BB80B74" w14:textId="77777777" w:rsidTr="009223E5">
        <w:tc>
          <w:tcPr>
            <w:tcW w:w="5749" w:type="dxa"/>
          </w:tcPr>
          <w:p w14:paraId="52AF21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самолета с весом 8000 кг</w:t>
            </w:r>
          </w:p>
        </w:tc>
        <w:tc>
          <w:tcPr>
            <w:tcW w:w="5749" w:type="dxa"/>
          </w:tcPr>
          <w:p w14:paraId="23A0D2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 м</w:t>
            </w:r>
          </w:p>
        </w:tc>
      </w:tr>
      <w:tr w:rsidR="007D5DF8" w:rsidRPr="00DB5D0D" w14:paraId="32CF6F7C" w14:textId="77777777" w:rsidTr="009223E5">
        <w:tc>
          <w:tcPr>
            <w:tcW w:w="5749" w:type="dxa"/>
          </w:tcPr>
          <w:p w14:paraId="0E9C5F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самолета с весом 1000 кг</w:t>
            </w:r>
          </w:p>
        </w:tc>
        <w:tc>
          <w:tcPr>
            <w:tcW w:w="5749" w:type="dxa"/>
          </w:tcPr>
          <w:p w14:paraId="200D21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 м</w:t>
            </w:r>
          </w:p>
        </w:tc>
      </w:tr>
      <w:tr w:rsidR="007D5DF8" w:rsidRPr="00DB5D0D" w14:paraId="3C3EB0A0" w14:textId="77777777" w:rsidTr="009223E5">
        <w:tc>
          <w:tcPr>
            <w:tcW w:w="5749" w:type="dxa"/>
          </w:tcPr>
          <w:p w14:paraId="5AF4AD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с закрылками и тормозами</w:t>
            </w:r>
          </w:p>
        </w:tc>
        <w:tc>
          <w:tcPr>
            <w:tcW w:w="5749" w:type="dxa"/>
          </w:tcPr>
          <w:p w14:paraId="77B6D6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230-250</w:t>
            </w:r>
          </w:p>
        </w:tc>
      </w:tr>
      <w:tr w:rsidR="007D5DF8" w:rsidRPr="00DB5D0D" w14:paraId="4E0C014F" w14:textId="77777777" w:rsidTr="009223E5">
        <w:tc>
          <w:tcPr>
            <w:tcW w:w="5749" w:type="dxa"/>
          </w:tcPr>
          <w:p w14:paraId="4C0AC6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без закрылков, но с тормозами</w:t>
            </w:r>
          </w:p>
        </w:tc>
        <w:tc>
          <w:tcPr>
            <w:tcW w:w="5749" w:type="dxa"/>
          </w:tcPr>
          <w:p w14:paraId="5468A8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20E721AE" w14:textId="77777777" w:rsidTr="009223E5">
        <w:tc>
          <w:tcPr>
            <w:tcW w:w="5749" w:type="dxa"/>
            <w:tcBorders>
              <w:bottom w:val="single" w:sz="12" w:space="0" w:color="auto"/>
            </w:tcBorders>
          </w:tcPr>
          <w:p w14:paraId="3D9B0D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без закрылков и тормозов</w:t>
            </w:r>
          </w:p>
        </w:tc>
        <w:tc>
          <w:tcPr>
            <w:tcW w:w="5749" w:type="dxa"/>
            <w:tcBorders>
              <w:bottom w:val="single" w:sz="12" w:space="0" w:color="auto"/>
            </w:tcBorders>
          </w:tcPr>
          <w:p w14:paraId="007198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800-850</w:t>
            </w:r>
          </w:p>
        </w:tc>
      </w:tr>
    </w:tbl>
    <w:p w14:paraId="5E03E0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1149"/>
        <w:gridCol w:w="1149"/>
        <w:gridCol w:w="1149"/>
        <w:gridCol w:w="1149"/>
        <w:gridCol w:w="1149"/>
      </w:tblGrid>
      <w:tr w:rsidR="007D5DF8" w:rsidRPr="00DB5D0D" w14:paraId="4D04F1E0" w14:textId="77777777" w:rsidTr="009223E5">
        <w:tc>
          <w:tcPr>
            <w:tcW w:w="1149" w:type="dxa"/>
            <w:tcBorders>
              <w:top w:val="single" w:sz="12" w:space="0" w:color="auto"/>
            </w:tcBorders>
          </w:tcPr>
          <w:p w14:paraId="55C122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1149" w:type="dxa"/>
            <w:tcBorders>
              <w:top w:val="single" w:sz="12" w:space="0" w:color="auto"/>
            </w:tcBorders>
          </w:tcPr>
          <w:p w14:paraId="6D5D60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w:t>
            </w:r>
          </w:p>
        </w:tc>
        <w:tc>
          <w:tcPr>
            <w:tcW w:w="1149" w:type="dxa"/>
            <w:tcBorders>
              <w:top w:val="single" w:sz="12" w:space="0" w:color="auto"/>
            </w:tcBorders>
          </w:tcPr>
          <w:p w14:paraId="324849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w:t>
            </w:r>
          </w:p>
        </w:tc>
        <w:tc>
          <w:tcPr>
            <w:tcW w:w="1149" w:type="dxa"/>
            <w:tcBorders>
              <w:top w:val="single" w:sz="12" w:space="0" w:color="auto"/>
            </w:tcBorders>
          </w:tcPr>
          <w:p w14:paraId="1A4322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 в км/час</w:t>
            </w:r>
          </w:p>
        </w:tc>
        <w:tc>
          <w:tcPr>
            <w:tcW w:w="1149" w:type="dxa"/>
            <w:tcBorders>
              <w:top w:val="single" w:sz="12" w:space="0" w:color="auto"/>
            </w:tcBorders>
          </w:tcPr>
          <w:p w14:paraId="1C9310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1149" w:type="dxa"/>
            <w:tcBorders>
              <w:top w:val="single" w:sz="12" w:space="0" w:color="auto"/>
            </w:tcBorders>
          </w:tcPr>
          <w:p w14:paraId="50DDFB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w:t>
            </w:r>
          </w:p>
        </w:tc>
        <w:tc>
          <w:tcPr>
            <w:tcW w:w="1149" w:type="dxa"/>
            <w:tcBorders>
              <w:top w:val="single" w:sz="12" w:space="0" w:color="auto"/>
            </w:tcBorders>
          </w:tcPr>
          <w:p w14:paraId="6F10F9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w:t>
            </w:r>
          </w:p>
        </w:tc>
        <w:tc>
          <w:tcPr>
            <w:tcW w:w="1149" w:type="dxa"/>
            <w:tcBorders>
              <w:top w:val="single" w:sz="12" w:space="0" w:color="auto"/>
            </w:tcBorders>
          </w:tcPr>
          <w:p w14:paraId="7950E3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1149" w:type="dxa"/>
            <w:tcBorders>
              <w:top w:val="single" w:sz="12" w:space="0" w:color="auto"/>
            </w:tcBorders>
          </w:tcPr>
          <w:p w14:paraId="2F42B5B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Borders>
              <w:top w:val="single" w:sz="12" w:space="0" w:color="auto"/>
            </w:tcBorders>
          </w:tcPr>
          <w:p w14:paraId="2D41B68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4FAC1E2" w14:textId="77777777" w:rsidTr="009223E5">
        <w:tc>
          <w:tcPr>
            <w:tcW w:w="1149" w:type="dxa"/>
          </w:tcPr>
          <w:p w14:paraId="51BFF0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самолета</w:t>
            </w:r>
          </w:p>
        </w:tc>
        <w:tc>
          <w:tcPr>
            <w:tcW w:w="1149" w:type="dxa"/>
          </w:tcPr>
          <w:p w14:paraId="4B6BB5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вес в </w:t>
            </w:r>
          </w:p>
        </w:tc>
        <w:tc>
          <w:tcPr>
            <w:tcW w:w="1149" w:type="dxa"/>
          </w:tcPr>
          <w:p w14:paraId="7E235E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мотора в</w:t>
            </w:r>
          </w:p>
        </w:tc>
        <w:tc>
          <w:tcPr>
            <w:tcW w:w="1149" w:type="dxa"/>
          </w:tcPr>
          <w:p w14:paraId="2DFB36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земли</w:t>
            </w:r>
          </w:p>
        </w:tc>
        <w:tc>
          <w:tcPr>
            <w:tcW w:w="1149" w:type="dxa"/>
          </w:tcPr>
          <w:p w14:paraId="197138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гран.</w:t>
            </w:r>
          </w:p>
        </w:tc>
        <w:tc>
          <w:tcPr>
            <w:tcW w:w="1149" w:type="dxa"/>
          </w:tcPr>
          <w:p w14:paraId="279AEA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набора</w:t>
            </w:r>
          </w:p>
        </w:tc>
        <w:tc>
          <w:tcPr>
            <w:tcW w:w="1149" w:type="dxa"/>
          </w:tcPr>
          <w:p w14:paraId="7D10E4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w:t>
            </w:r>
          </w:p>
        </w:tc>
        <w:tc>
          <w:tcPr>
            <w:tcW w:w="1149" w:type="dxa"/>
          </w:tcPr>
          <w:p w14:paraId="0C2B8F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w:t>
            </w:r>
          </w:p>
        </w:tc>
        <w:tc>
          <w:tcPr>
            <w:tcW w:w="1149" w:type="dxa"/>
          </w:tcPr>
          <w:p w14:paraId="7E2254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w:t>
            </w:r>
          </w:p>
        </w:tc>
        <w:tc>
          <w:tcPr>
            <w:tcW w:w="1149" w:type="dxa"/>
          </w:tcPr>
          <w:p w14:paraId="061DEC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 арт.</w:t>
            </w:r>
          </w:p>
        </w:tc>
      </w:tr>
      <w:tr w:rsidR="007D5DF8" w:rsidRPr="00DB5D0D" w14:paraId="1C5E7D72" w14:textId="77777777" w:rsidTr="009223E5">
        <w:tc>
          <w:tcPr>
            <w:tcW w:w="1149" w:type="dxa"/>
          </w:tcPr>
          <w:p w14:paraId="62ECC9C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3105A6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кг</w:t>
            </w:r>
          </w:p>
        </w:tc>
        <w:tc>
          <w:tcPr>
            <w:tcW w:w="1149" w:type="dxa"/>
          </w:tcPr>
          <w:p w14:paraId="40D109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л.с.</w:t>
            </w:r>
          </w:p>
        </w:tc>
        <w:tc>
          <w:tcPr>
            <w:tcW w:w="1149" w:type="dxa"/>
          </w:tcPr>
          <w:p w14:paraId="2E61FE1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005DC4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w:t>
            </w:r>
          </w:p>
        </w:tc>
        <w:tc>
          <w:tcPr>
            <w:tcW w:w="1149" w:type="dxa"/>
          </w:tcPr>
          <w:p w14:paraId="284723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 м</w:t>
            </w:r>
          </w:p>
        </w:tc>
        <w:tc>
          <w:tcPr>
            <w:tcW w:w="1149" w:type="dxa"/>
          </w:tcPr>
          <w:p w14:paraId="4C18CC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w:t>
            </w:r>
          </w:p>
        </w:tc>
        <w:tc>
          <w:tcPr>
            <w:tcW w:w="1149" w:type="dxa"/>
          </w:tcPr>
          <w:p w14:paraId="6E746D0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03872F4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742DCEA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4769760" w14:textId="77777777" w:rsidTr="009223E5">
        <w:tc>
          <w:tcPr>
            <w:tcW w:w="1149" w:type="dxa"/>
          </w:tcPr>
          <w:p w14:paraId="6FFF33A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2C6EC66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30BDFA6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033C99A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46DFCA7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12677B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w:t>
            </w:r>
          </w:p>
        </w:tc>
        <w:tc>
          <w:tcPr>
            <w:tcW w:w="1149" w:type="dxa"/>
          </w:tcPr>
          <w:p w14:paraId="26EFF0F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5DFBD55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21358CB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1E63C48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5DC8822" w14:textId="77777777" w:rsidTr="009223E5">
        <w:tc>
          <w:tcPr>
            <w:tcW w:w="1149" w:type="dxa"/>
          </w:tcPr>
          <w:p w14:paraId="049A2A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2М-88 сер.</w:t>
            </w:r>
          </w:p>
        </w:tc>
        <w:tc>
          <w:tcPr>
            <w:tcW w:w="1149" w:type="dxa"/>
          </w:tcPr>
          <w:p w14:paraId="294FB9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7900</w:t>
            </w:r>
          </w:p>
        </w:tc>
        <w:tc>
          <w:tcPr>
            <w:tcW w:w="1149" w:type="dxa"/>
          </w:tcPr>
          <w:p w14:paraId="7288E7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2х1100</w:t>
            </w:r>
          </w:p>
        </w:tc>
        <w:tc>
          <w:tcPr>
            <w:tcW w:w="1149" w:type="dxa"/>
          </w:tcPr>
          <w:p w14:paraId="092725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362</w:t>
            </w:r>
          </w:p>
        </w:tc>
        <w:tc>
          <w:tcPr>
            <w:tcW w:w="1149" w:type="dxa"/>
          </w:tcPr>
          <w:p w14:paraId="3DE791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425/6500</w:t>
            </w:r>
          </w:p>
        </w:tc>
        <w:tc>
          <w:tcPr>
            <w:tcW w:w="1149" w:type="dxa"/>
          </w:tcPr>
          <w:p w14:paraId="77B84F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10,25</w:t>
            </w:r>
          </w:p>
        </w:tc>
        <w:tc>
          <w:tcPr>
            <w:tcW w:w="1149" w:type="dxa"/>
          </w:tcPr>
          <w:p w14:paraId="74D45B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10050</w:t>
            </w:r>
          </w:p>
        </w:tc>
        <w:tc>
          <w:tcPr>
            <w:tcW w:w="1149" w:type="dxa"/>
          </w:tcPr>
          <w:p w14:paraId="11D6D3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3300 км/</w:t>
            </w:r>
          </w:p>
        </w:tc>
        <w:tc>
          <w:tcPr>
            <w:tcW w:w="1149" w:type="dxa"/>
          </w:tcPr>
          <w:p w14:paraId="798D4D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149" w:type="dxa"/>
          </w:tcPr>
          <w:p w14:paraId="3CD080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пул.</w:t>
            </w:r>
          </w:p>
        </w:tc>
      </w:tr>
      <w:tr w:rsidR="007D5DF8" w:rsidRPr="00DB5D0D" w14:paraId="4EFBA5E4" w14:textId="77777777" w:rsidTr="009223E5">
        <w:tc>
          <w:tcPr>
            <w:tcW w:w="1149" w:type="dxa"/>
          </w:tcPr>
          <w:p w14:paraId="185F37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ВИШ-23</w:t>
            </w:r>
          </w:p>
        </w:tc>
        <w:tc>
          <w:tcPr>
            <w:tcW w:w="1149" w:type="dxa"/>
          </w:tcPr>
          <w:p w14:paraId="17DB379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4FF1333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7345984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4FEF751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306CE90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5D345E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Н=6500м</w:t>
            </w:r>
          </w:p>
        </w:tc>
        <w:tc>
          <w:tcPr>
            <w:tcW w:w="1149" w:type="dxa"/>
          </w:tcPr>
          <w:p w14:paraId="3D2B6CF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46000DA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0B18BC4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49AD386" w14:textId="77777777" w:rsidTr="009223E5">
        <w:tc>
          <w:tcPr>
            <w:tcW w:w="1149" w:type="dxa"/>
          </w:tcPr>
          <w:p w14:paraId="2717FB3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5E0D293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39F34B0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4592CEF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2C19ED9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79BD4F6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6E9B81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V=340м</w:t>
            </w:r>
          </w:p>
        </w:tc>
        <w:tc>
          <w:tcPr>
            <w:tcW w:w="1149" w:type="dxa"/>
          </w:tcPr>
          <w:p w14:paraId="5EBF15D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63B4D9F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2C1A361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965E88D" w14:textId="77777777" w:rsidTr="009223E5">
        <w:tc>
          <w:tcPr>
            <w:tcW w:w="1149" w:type="dxa"/>
          </w:tcPr>
          <w:p w14:paraId="42B17F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2М-87Б оп</w:t>
            </w:r>
          </w:p>
        </w:tc>
        <w:tc>
          <w:tcPr>
            <w:tcW w:w="1149" w:type="dxa"/>
          </w:tcPr>
          <w:p w14:paraId="2E6667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7660</w:t>
            </w:r>
          </w:p>
        </w:tc>
        <w:tc>
          <w:tcPr>
            <w:tcW w:w="1149" w:type="dxa"/>
          </w:tcPr>
          <w:p w14:paraId="29A375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2х950</w:t>
            </w:r>
          </w:p>
        </w:tc>
        <w:tc>
          <w:tcPr>
            <w:tcW w:w="1149" w:type="dxa"/>
          </w:tcPr>
          <w:p w14:paraId="7EF262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354</w:t>
            </w:r>
          </w:p>
        </w:tc>
        <w:tc>
          <w:tcPr>
            <w:tcW w:w="1149" w:type="dxa"/>
          </w:tcPr>
          <w:p w14:paraId="33BC57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445/5400</w:t>
            </w:r>
          </w:p>
        </w:tc>
        <w:tc>
          <w:tcPr>
            <w:tcW w:w="1149" w:type="dxa"/>
          </w:tcPr>
          <w:p w14:paraId="5B86E8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13,59</w:t>
            </w:r>
          </w:p>
        </w:tc>
        <w:tc>
          <w:tcPr>
            <w:tcW w:w="1149" w:type="dxa"/>
          </w:tcPr>
          <w:p w14:paraId="618344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1149" w:type="dxa"/>
          </w:tcPr>
          <w:p w14:paraId="03D684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w:t>
            </w:r>
          </w:p>
        </w:tc>
        <w:tc>
          <w:tcPr>
            <w:tcW w:w="1149" w:type="dxa"/>
          </w:tcPr>
          <w:p w14:paraId="579E9F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149" w:type="dxa"/>
          </w:tcPr>
          <w:p w14:paraId="7B5A7C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w:t>
            </w:r>
          </w:p>
        </w:tc>
      </w:tr>
      <w:tr w:rsidR="007D5DF8" w:rsidRPr="00DB5D0D" w14:paraId="4C390EA4" w14:textId="77777777" w:rsidTr="009223E5">
        <w:tc>
          <w:tcPr>
            <w:tcW w:w="1149" w:type="dxa"/>
          </w:tcPr>
          <w:p w14:paraId="359744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ВИШ-3</w:t>
            </w:r>
          </w:p>
        </w:tc>
        <w:tc>
          <w:tcPr>
            <w:tcW w:w="1149" w:type="dxa"/>
          </w:tcPr>
          <w:p w14:paraId="07398B6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45A4F1D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63DD8FC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45E1AF9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7E1B109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6F57988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0E82D3F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4C09DC9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Pr>
          <w:p w14:paraId="316008A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F552AEA" w14:textId="77777777" w:rsidTr="009223E5">
        <w:tc>
          <w:tcPr>
            <w:tcW w:w="1149" w:type="dxa"/>
          </w:tcPr>
          <w:p w14:paraId="43F37B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ДБ-3Б 2М-87Б сер.</w:t>
            </w:r>
          </w:p>
        </w:tc>
        <w:tc>
          <w:tcPr>
            <w:tcW w:w="1149" w:type="dxa"/>
          </w:tcPr>
          <w:p w14:paraId="6EE31E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7500</w:t>
            </w:r>
          </w:p>
        </w:tc>
        <w:tc>
          <w:tcPr>
            <w:tcW w:w="1149" w:type="dxa"/>
          </w:tcPr>
          <w:p w14:paraId="1A19F3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2х950</w:t>
            </w:r>
          </w:p>
        </w:tc>
        <w:tc>
          <w:tcPr>
            <w:tcW w:w="1149" w:type="dxa"/>
          </w:tcPr>
          <w:p w14:paraId="70AFC0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345</w:t>
            </w:r>
          </w:p>
        </w:tc>
        <w:tc>
          <w:tcPr>
            <w:tcW w:w="1149" w:type="dxa"/>
          </w:tcPr>
          <w:p w14:paraId="216DAD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439/4900</w:t>
            </w:r>
          </w:p>
        </w:tc>
        <w:tc>
          <w:tcPr>
            <w:tcW w:w="1149" w:type="dxa"/>
          </w:tcPr>
          <w:p w14:paraId="07B0CD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12,10</w:t>
            </w:r>
          </w:p>
        </w:tc>
        <w:tc>
          <w:tcPr>
            <w:tcW w:w="1149" w:type="dxa"/>
          </w:tcPr>
          <w:p w14:paraId="24CEBD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9600</w:t>
            </w:r>
          </w:p>
        </w:tc>
        <w:tc>
          <w:tcPr>
            <w:tcW w:w="1149" w:type="dxa"/>
          </w:tcPr>
          <w:p w14:paraId="2A5594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3800</w:t>
            </w:r>
          </w:p>
        </w:tc>
        <w:tc>
          <w:tcPr>
            <w:tcW w:w="1149" w:type="dxa"/>
          </w:tcPr>
          <w:p w14:paraId="3037A9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149" w:type="dxa"/>
          </w:tcPr>
          <w:p w14:paraId="62700A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пул.</w:t>
            </w:r>
          </w:p>
        </w:tc>
      </w:tr>
      <w:tr w:rsidR="007D5DF8" w:rsidRPr="00DB5D0D" w14:paraId="623AA7D5" w14:textId="77777777" w:rsidTr="009223E5">
        <w:tc>
          <w:tcPr>
            <w:tcW w:w="1149" w:type="dxa"/>
            <w:tcBorders>
              <w:bottom w:val="single" w:sz="12" w:space="0" w:color="auto"/>
            </w:tcBorders>
          </w:tcPr>
          <w:p w14:paraId="015C3E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ВИШ-3</w:t>
            </w:r>
          </w:p>
        </w:tc>
        <w:tc>
          <w:tcPr>
            <w:tcW w:w="1149" w:type="dxa"/>
            <w:tcBorders>
              <w:bottom w:val="single" w:sz="12" w:space="0" w:color="auto"/>
            </w:tcBorders>
          </w:tcPr>
          <w:p w14:paraId="4AC674D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Borders>
              <w:bottom w:val="single" w:sz="12" w:space="0" w:color="auto"/>
            </w:tcBorders>
          </w:tcPr>
          <w:p w14:paraId="3A7CFAF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Borders>
              <w:bottom w:val="single" w:sz="12" w:space="0" w:color="auto"/>
            </w:tcBorders>
          </w:tcPr>
          <w:p w14:paraId="67B527D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Borders>
              <w:bottom w:val="single" w:sz="12" w:space="0" w:color="auto"/>
            </w:tcBorders>
          </w:tcPr>
          <w:p w14:paraId="2BC5D62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Borders>
              <w:bottom w:val="single" w:sz="12" w:space="0" w:color="auto"/>
            </w:tcBorders>
          </w:tcPr>
          <w:p w14:paraId="5FB5130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Borders>
              <w:bottom w:val="single" w:sz="12" w:space="0" w:color="auto"/>
            </w:tcBorders>
          </w:tcPr>
          <w:p w14:paraId="40A78EE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Borders>
              <w:bottom w:val="single" w:sz="12" w:space="0" w:color="auto"/>
            </w:tcBorders>
          </w:tcPr>
          <w:p w14:paraId="7721A62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Borders>
              <w:bottom w:val="single" w:sz="12" w:space="0" w:color="auto"/>
            </w:tcBorders>
          </w:tcPr>
          <w:p w14:paraId="60EF300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9" w:type="dxa"/>
            <w:tcBorders>
              <w:bottom w:val="single" w:sz="12" w:space="0" w:color="auto"/>
            </w:tcBorders>
          </w:tcPr>
          <w:p w14:paraId="5311857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7F4582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Сроки испытания</w:t>
      </w:r>
    </w:p>
    <w:p w14:paraId="28B206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испытания 5 апреля 1940 г. Самолет закончил испытания 7 мая 1940 г.</w:t>
      </w:r>
    </w:p>
    <w:p w14:paraId="50A4C1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испытания - 33 дня.</w:t>
      </w:r>
    </w:p>
    <w:p w14:paraId="5BB13E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них:</w:t>
      </w:r>
    </w:p>
    <w:p w14:paraId="39BA69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наземные испытания - 4 дня</w:t>
      </w:r>
    </w:p>
    <w:p w14:paraId="3F6243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летные испытания - 15 дней</w:t>
      </w:r>
    </w:p>
    <w:p w14:paraId="37D123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перестановка моторов и отладка ВМГ - 6 дней</w:t>
      </w:r>
    </w:p>
    <w:p w14:paraId="6D53D5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ремонт мотора - 2 дня</w:t>
      </w:r>
    </w:p>
    <w:p w14:paraId="442269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ремонт самолета - 2 дня</w:t>
      </w:r>
    </w:p>
    <w:p w14:paraId="7745DD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произведено 32 полета общей продолжительностью 30 час. 20 мин. из них высотных 8 полетов - продолжительностью 18 час. 10 мин.</w:t>
      </w:r>
    </w:p>
    <w:p w14:paraId="4E3DE1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6F4C1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ДБ3-Ф М-88 с винтами ВИШ-23, конструкции инженера С.В.И. и производства завода N 39 гос. испытания прошел неудовлетворительно из-за:</w:t>
      </w:r>
    </w:p>
    <w:p w14:paraId="66ABA9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Уменьшения скорости полета на 60 км/час, против запроектированной и на 20 км/час по сравнению с опытным самолетом ДБ3-Ф-2М-87 с ВИШ-3</w:t>
      </w:r>
    </w:p>
    <w:p w14:paraId="628D29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Уменьшения дальности полета до 3300 км вместо запроектированной 4000 км</w:t>
      </w:r>
    </w:p>
    <w:p w14:paraId="5C84CA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недоведенности системы воздушного охлаждения моторов, благодаря чему при температуре наружного воздуха - 10 градусов и ниже не обеспечивается регулировки и сохранение нормального температурного режима головок цилиндров</w:t>
      </w:r>
    </w:p>
    <w:p w14:paraId="6D52FB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недоведенности моторов М-88.</w:t>
      </w:r>
    </w:p>
    <w:p w14:paraId="238F77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Предложить гл. конструктору завода N 39 С.В.И. совместно с дирекцией заводов N 18 и N 39 в кратчайший срок:</w:t>
      </w:r>
    </w:p>
    <w:p w14:paraId="51E239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довести максимальную скорость до запроектированной</w:t>
      </w:r>
    </w:p>
    <w:p w14:paraId="6EB61F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довести винто-моторную группу самолета</w:t>
      </w:r>
    </w:p>
    <w:p w14:paraId="5BD1DF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устранить дефекты, отмеченные в дефектной ведомости</w:t>
      </w:r>
    </w:p>
    <w:p w14:paraId="1D766C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после выполнения вышеизложенных пунктов а, б, в предъявить самолет на контрольные испытания в НИИ ГУАС.</w:t>
      </w:r>
    </w:p>
    <w:p w14:paraId="631D67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Считать мотор М-88 для нормальной эксплуатации недоведенным по надежности, по температурным режимам масла и расходам горючего.</w:t>
      </w:r>
    </w:p>
    <w:p w14:paraId="7A0551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Краткое описание стрелкового вооружения</w:t>
      </w:r>
    </w:p>
    <w:p w14:paraId="390628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испытываемого серийного самолета ДБ-3Ф 2М-88 N 390204 состоит из 3-х пулеметов ШКАС калибра 7,62 из них:</w:t>
      </w:r>
    </w:p>
    <w:p w14:paraId="3C4F2A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на носовой установке НУ ДБ-3Ф</w:t>
      </w:r>
    </w:p>
    <w:p w14:paraId="442DAC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на турельной установке СУ ДБ-3</w:t>
      </w:r>
    </w:p>
    <w:p w14:paraId="274ACF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на люковой установке типа УЛУ.</w:t>
      </w:r>
    </w:p>
    <w:p w14:paraId="7C0811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серийного самолета ДБ-3Ф 2М-88 N 390204 отличается от опытного самолета ДБ3Ф 2М88 следующим:</w:t>
      </w:r>
    </w:p>
    <w:p w14:paraId="5C8539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кассетные бомбодержатели ДЕР-21 стальные вместо дюралевых, что дает увеличение веса на 15 кг.</w:t>
      </w:r>
    </w:p>
    <w:p w14:paraId="7DF479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поставлен электросбрасыватель ЭМБР-2 вместо ЭСБР-5.</w:t>
      </w:r>
    </w:p>
    <w:p w14:paraId="26DF0E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остальном бомбардировочное вооружение такое же как на опытном самолете ДБ-3Ф 2М-88 (3312).</w:t>
      </w:r>
    </w:p>
    <w:p w14:paraId="56425B8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BD7C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Начальник ГУАС комдив Алексеев и Военком ГУАС бригадный комиссар Князев 29 мая 1940 г. утвердили Отчет по гос. испытаниям опытного самолета "100" 2М-105 с 2ТК-2 и герметическими кабинами</w:t>
      </w:r>
    </w:p>
    <w:p w14:paraId="6260A7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3108ED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Вед. инженер - в/инженер 1 ранга Марков</w:t>
      </w:r>
    </w:p>
    <w:p w14:paraId="3E8AEA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Стефановский</w:t>
      </w:r>
    </w:p>
    <w:p w14:paraId="7248F1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35B8B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Произвести первый вылет.</w:t>
      </w:r>
    </w:p>
    <w:p w14:paraId="19F610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Произвести заводские испытания.</w:t>
      </w:r>
    </w:p>
    <w:p w14:paraId="0FE363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Определить летные свойства самолета.</w:t>
      </w:r>
    </w:p>
    <w:p w14:paraId="2170DC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Определить летно-технические данные самолета.</w:t>
      </w:r>
    </w:p>
    <w:p w14:paraId="01D232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Заводские испытания.</w:t>
      </w:r>
    </w:p>
    <w:p w14:paraId="77E951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испытания 20 декабря 1939 года. Первый полет произведен 22 декабря 1939 года.</w:t>
      </w:r>
    </w:p>
    <w:p w14:paraId="4CE435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22 декабря 1939 г. по 30 декабря 1939 г. производилась доводка винтомоторной группы и выполнено 2 полета; 30 декабря 1939 г. в третьем полете выплавились коренные подшипники и мотор остановился в полете.</w:t>
      </w:r>
    </w:p>
    <w:p w14:paraId="69F208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31 декабря 1939 г. по 28 января 1940 г. - производились ремонтные работы.</w:t>
      </w:r>
    </w:p>
    <w:p w14:paraId="0535E0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29 января 1940 г. по 18 февраля 1940 г. производились полеты и текущая работа по обеспечению полетов и доводка самолета.</w:t>
      </w:r>
    </w:p>
    <w:p w14:paraId="7EEE5B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 февраля по 10 марта 1940 г. производилась установка убирающихся в полете лыж и др. работы.</w:t>
      </w:r>
    </w:p>
    <w:p w14:paraId="1943E0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марта 1940 г. произведен полет для уборки лыж в воздухе, лыжи убрались, но не выпустились, посадка производилась с убранными лыжами.</w:t>
      </w:r>
    </w:p>
    <w:p w14:paraId="5C0378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12 марта 1940 г. по 10 апреля 1940 г. производилась замена моторов, замена винтов, устанавливался летний (колесный) вариант шасси и т.д.</w:t>
      </w:r>
    </w:p>
    <w:p w14:paraId="0C3C28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за время заводских испытаний с 20 декабря 1939 г. по 10 апреля 1940 г. самолет находился в доводках и ремонте 122 суток.</w:t>
      </w:r>
    </w:p>
    <w:p w14:paraId="7AE028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производились в течение 11 дней; за эти дни произведено 23 полета с налетом 6 час. 55 мин.</w:t>
      </w:r>
    </w:p>
    <w:p w14:paraId="046CE1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Государственные испытания.</w:t>
      </w:r>
    </w:p>
    <w:p w14:paraId="60210F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Начаты 11 апреля 1940 г. по специальной программе.</w:t>
      </w:r>
    </w:p>
    <w:p w14:paraId="6F6EFB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Окончены 10 мая 1940 г.</w:t>
      </w:r>
    </w:p>
    <w:p w14:paraId="0FACBB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программе требовалось произвести на первом опытном самолете 22 полета с налетом 12 час. 30 мин., на самолете "Дублер" 22 полета с налетом 12 час. 20 мин.</w:t>
      </w:r>
    </w:p>
    <w:p w14:paraId="70B446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действительности произведено:</w:t>
      </w:r>
    </w:p>
    <w:p w14:paraId="4EFDBC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первом самолете - 34 пол. с налетом 12 час. 48 мин., на самолете "Дублер" произведено полетов 2, с налетом 37 мин.</w:t>
      </w:r>
    </w:p>
    <w:p w14:paraId="773287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88DB4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Наиболее удачное разрешение проблемы создания вооруженного герметического самолета, требует дальнейшей работы по изучению, накоплению боевого опыта по работе на высотах свыше 9000 м. Необходимо построить опытную серию самолетов "100" с двумя моторами М-105, снабженных двумя ТК-2 по макету, утвержденному ГУАС от 5 марта 1940 г. с устранением отмеченных дефектов, с улучшением обзора у летчика и штурмана.</w:t>
      </w:r>
    </w:p>
    <w:p w14:paraId="1F44FE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целях использования высокой аэродинамики самолетов "100" и создания на его базе массового пикирующего бомбардировщика без герметических кабин, с максимальной скоростью на высоте 5000 м не ниже 550 км/час и снаружи - 1000 кг (2х500 кг или 4х250 кг) необходимо построить опытную серию. Макет этого самолета предъявить на утверждение к 1 июня 1940 г. (3436).</w:t>
      </w:r>
    </w:p>
    <w:p w14:paraId="34D245C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CBF170" w14:textId="77777777" w:rsidR="0067175C" w:rsidRPr="00DB5D0D" w:rsidRDefault="0067175C"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28 мая 1940 Препровождая наркому обороны маршалу С.К. Тимошенко протокол за</w:t>
      </w:r>
      <w:r w:rsidRPr="00DB5D0D">
        <w:rPr>
          <w:rFonts w:ascii="Times New Roman" w:cs="Times New Roman"/>
          <w:color w:val="000000" w:themeColor="text1"/>
          <w:spacing w:val="0"/>
        </w:rPr>
        <w:softHyphen/>
        <w:t>седания Технического совета, началь</w:t>
      </w:r>
      <w:r w:rsidRPr="00DB5D0D">
        <w:rPr>
          <w:rFonts w:ascii="Times New Roman" w:cs="Times New Roman"/>
          <w:color w:val="000000" w:themeColor="text1"/>
          <w:spacing w:val="0"/>
        </w:rPr>
        <w:softHyphen/>
        <w:t>ник ГУАС КА комбриг П.А. Алексеев в сопроводительной записке предложил «запустить в серийное про</w:t>
      </w:r>
      <w:r w:rsidRPr="00DB5D0D">
        <w:rPr>
          <w:rFonts w:ascii="Times New Roman" w:cs="Times New Roman"/>
          <w:color w:val="000000" w:themeColor="text1"/>
          <w:spacing w:val="0"/>
        </w:rPr>
        <w:softHyphen/>
        <w:t>изводство на заводе №22 самолет «100» с 2М-105 в пикирующем варианте вза</w:t>
      </w:r>
      <w:r w:rsidRPr="00DB5D0D">
        <w:rPr>
          <w:rFonts w:ascii="Times New Roman" w:cs="Times New Roman"/>
          <w:color w:val="000000" w:themeColor="text1"/>
          <w:spacing w:val="0"/>
        </w:rPr>
        <w:softHyphen/>
        <w:t>мен самолета СПБ». С ним согласился начальник ВВС КА командарм 2-го ран</w:t>
      </w:r>
      <w:r w:rsidRPr="00DB5D0D">
        <w:rPr>
          <w:rFonts w:ascii="Times New Roman" w:cs="Times New Roman"/>
          <w:color w:val="000000" w:themeColor="text1"/>
          <w:spacing w:val="0"/>
        </w:rPr>
        <w:softHyphen/>
        <w:t>га Я.В. Смушкевич (15755).</w:t>
      </w:r>
    </w:p>
    <w:p w14:paraId="07F9F8C2" w14:textId="77777777" w:rsidR="0067175C" w:rsidRPr="00DB5D0D" w:rsidRDefault="0067175C" w:rsidP="00DB5D0D">
      <w:pPr>
        <w:pStyle w:val="27"/>
        <w:shd w:val="clear" w:color="auto" w:fill="auto"/>
        <w:spacing w:after="0" w:line="240" w:lineRule="auto"/>
        <w:ind w:firstLine="0"/>
        <w:rPr>
          <w:rFonts w:ascii="Times New Roman" w:cs="Times New Roman"/>
          <w:color w:val="000000" w:themeColor="text1"/>
          <w:spacing w:val="0"/>
        </w:rPr>
      </w:pPr>
    </w:p>
    <w:p w14:paraId="1BC8DE4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года Начальник ГУАС комдив Алексеев и Военком ГУАС бригадный комиссар Князев 29 мая 1940 года утвердили Отчет по гос. испытаниям опытного самолета «100» 2М-105 с 2ТК-2 и герметическими кабинами (6894).</w:t>
      </w:r>
    </w:p>
    <w:p w14:paraId="040341C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BFFB95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1 ранга Марков</w:t>
      </w:r>
    </w:p>
    <w:p w14:paraId="6C75FD5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Стефановский</w:t>
      </w:r>
    </w:p>
    <w:p w14:paraId="05857DD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штурман майор Никитин</w:t>
      </w:r>
    </w:p>
    <w:p w14:paraId="6D39610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D4BD45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Произвести первый вылет.</w:t>
      </w:r>
    </w:p>
    <w:p w14:paraId="711DA0B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Произвести заводские испытания.</w:t>
      </w:r>
    </w:p>
    <w:p w14:paraId="18AB4C2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летные свойства самолета.</w:t>
      </w:r>
    </w:p>
    <w:p w14:paraId="7E95F6B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летно-технические данные самолета.</w:t>
      </w:r>
    </w:p>
    <w:p w14:paraId="5A27D12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представляет собой цельнометаллический свободнонесущий низкоплан с убирающимися в полете шасси и костылем.</w:t>
      </w:r>
    </w:p>
    <w:p w14:paraId="448FC85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Хвостовое оперение свободнонесущее. Вертикальное оперение двухкилевое.</w:t>
      </w:r>
    </w:p>
    <w:p w14:paraId="5B069A0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состоит из трех человек, размещенных в двух герметических кабинах.</w:t>
      </w:r>
    </w:p>
    <w:p w14:paraId="274F331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Первая кабина является кабиной летчика. В ней сосредоточено управление самолетом, винто-моторной группой, огнем носовой батареи, системой уборки и выпуска шасси, щитками и другими агрегатами.</w:t>
      </w:r>
    </w:p>
    <w:p w14:paraId="2467D69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Вторая кабина является кабиной штурмана и стрелка радиста.</w:t>
      </w:r>
    </w:p>
    <w:p w14:paraId="3E9F510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Рабочее место штурмана, кроме специального штурманского управления, имеет управление самолетом. Во второй кабине установлен кран и насос аварийного гидравлического выпуска шасси. Рабочее место штурмана оборудовано прицелом для сбрасывания бомб.</w:t>
      </w:r>
    </w:p>
    <w:p w14:paraId="00F3E63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рабочего места радиста предусмотрено управление радиостанцией и дистанционное управление хвостовой огневой точкой, но на данном самолете хвостовая огневая точка не установлена, так к моменту производства самолета она не была сделана.</w:t>
      </w:r>
    </w:p>
    <w:p w14:paraId="27D384B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7896B41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Стрелково-пушечное вооружение самолета состоит из носовой батареи и хвостовой огневой точки с дистанционным управлением.</w:t>
      </w:r>
    </w:p>
    <w:p w14:paraId="4889009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батарея имеет две 20 мм пушки Швак с ящиками для снарядов емкостью 300 снарядов на каждую пушку и два 7,62 мм пулемета Шкас с ящиками для патрон емкостью 900 шт. патрон на каждый пулемет.</w:t>
      </w:r>
    </w:p>
    <w:p w14:paraId="4AE84B5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Хвостовая огневая точка предусматривает установку в заднем коке самолета одного пулемета Шкас с ящиком для патрон емкостью 700 шт.</w:t>
      </w:r>
    </w:p>
    <w:p w14:paraId="4C9F221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предназначено для поражения воздушных целей и состоит из кассет для артснарядов установленных в фюзеляжном люке. Внешняя подвеска предусматривает подвеску бомб 2х100 или 2х250, или 2х500.</w:t>
      </w:r>
    </w:p>
    <w:p w14:paraId="0FEAE1B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облегчения транспортировки самолета по ж/д он разбирается на девять самостоятельных агрегатов.</w:t>
      </w:r>
    </w:p>
    <w:p w14:paraId="40E2B0E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Сравнительная таблица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843"/>
        <w:gridCol w:w="1701"/>
        <w:gridCol w:w="1559"/>
        <w:gridCol w:w="1417"/>
      </w:tblGrid>
      <w:tr w:rsidR="007D5DF8" w:rsidRPr="00DB5D0D" w14:paraId="31012122" w14:textId="77777777" w:rsidTr="009223E5">
        <w:tc>
          <w:tcPr>
            <w:tcW w:w="4077" w:type="dxa"/>
          </w:tcPr>
          <w:p w14:paraId="53AA66D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Название самолета</w:t>
            </w:r>
          </w:p>
        </w:tc>
        <w:tc>
          <w:tcPr>
            <w:tcW w:w="1843" w:type="dxa"/>
          </w:tcPr>
          <w:p w14:paraId="4B3716E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«100» опытный</w:t>
            </w:r>
          </w:p>
        </w:tc>
        <w:tc>
          <w:tcPr>
            <w:tcW w:w="1701" w:type="dxa"/>
          </w:tcPr>
          <w:p w14:paraId="1B77420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ВИТ-2 опытный</w:t>
            </w:r>
          </w:p>
        </w:tc>
        <w:tc>
          <w:tcPr>
            <w:tcW w:w="1559" w:type="dxa"/>
          </w:tcPr>
          <w:p w14:paraId="492C449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ББ-22 серийный</w:t>
            </w:r>
          </w:p>
        </w:tc>
        <w:tc>
          <w:tcPr>
            <w:tcW w:w="1417" w:type="dxa"/>
          </w:tcPr>
          <w:p w14:paraId="4250CE2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Мессершмидт 110 по данным НИИ</w:t>
            </w:r>
          </w:p>
        </w:tc>
      </w:tr>
      <w:tr w:rsidR="007D5DF8" w:rsidRPr="00DB5D0D" w14:paraId="56401C1D" w14:textId="77777777" w:rsidTr="009223E5">
        <w:tc>
          <w:tcPr>
            <w:tcW w:w="4077" w:type="dxa"/>
          </w:tcPr>
          <w:p w14:paraId="1360D7F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w:t>
            </w:r>
          </w:p>
        </w:tc>
        <w:tc>
          <w:tcPr>
            <w:tcW w:w="1843" w:type="dxa"/>
          </w:tcPr>
          <w:p w14:paraId="0549E49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5887</w:t>
            </w:r>
          </w:p>
        </w:tc>
        <w:tc>
          <w:tcPr>
            <w:tcW w:w="1701" w:type="dxa"/>
          </w:tcPr>
          <w:p w14:paraId="7ED24D3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4604</w:t>
            </w:r>
          </w:p>
        </w:tc>
        <w:tc>
          <w:tcPr>
            <w:tcW w:w="1559" w:type="dxa"/>
          </w:tcPr>
          <w:p w14:paraId="64EA10B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4414</w:t>
            </w:r>
          </w:p>
        </w:tc>
        <w:tc>
          <w:tcPr>
            <w:tcW w:w="1417" w:type="dxa"/>
          </w:tcPr>
          <w:p w14:paraId="028F807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5020</w:t>
            </w:r>
          </w:p>
        </w:tc>
      </w:tr>
      <w:tr w:rsidR="007D5DF8" w:rsidRPr="00DB5D0D" w14:paraId="4BA35A4D" w14:textId="77777777" w:rsidTr="009223E5">
        <w:tc>
          <w:tcPr>
            <w:tcW w:w="4077" w:type="dxa"/>
          </w:tcPr>
          <w:p w14:paraId="748357E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нормального варианта</w:t>
            </w:r>
          </w:p>
        </w:tc>
        <w:tc>
          <w:tcPr>
            <w:tcW w:w="1843" w:type="dxa"/>
          </w:tcPr>
          <w:p w14:paraId="6DD13CA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7200</w:t>
            </w:r>
          </w:p>
        </w:tc>
        <w:tc>
          <w:tcPr>
            <w:tcW w:w="1701" w:type="dxa"/>
          </w:tcPr>
          <w:p w14:paraId="0F116C0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6400</w:t>
            </w:r>
          </w:p>
        </w:tc>
        <w:tc>
          <w:tcPr>
            <w:tcW w:w="1559" w:type="dxa"/>
          </w:tcPr>
          <w:p w14:paraId="2A69FE6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5380</w:t>
            </w:r>
          </w:p>
        </w:tc>
        <w:tc>
          <w:tcPr>
            <w:tcW w:w="1417" w:type="dxa"/>
          </w:tcPr>
          <w:p w14:paraId="3F52195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6530</w:t>
            </w:r>
          </w:p>
        </w:tc>
      </w:tr>
      <w:tr w:rsidR="007D5DF8" w:rsidRPr="00DB5D0D" w14:paraId="4BB03519" w14:textId="77777777" w:rsidTr="009223E5">
        <w:tc>
          <w:tcPr>
            <w:tcW w:w="4077" w:type="dxa"/>
          </w:tcPr>
          <w:p w14:paraId="54CC162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перегрузочного варианта</w:t>
            </w:r>
          </w:p>
        </w:tc>
        <w:tc>
          <w:tcPr>
            <w:tcW w:w="1843" w:type="dxa"/>
          </w:tcPr>
          <w:p w14:paraId="347BFD9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1701" w:type="dxa"/>
          </w:tcPr>
          <w:p w14:paraId="13BC4EA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7500</w:t>
            </w:r>
          </w:p>
        </w:tc>
        <w:tc>
          <w:tcPr>
            <w:tcW w:w="1559" w:type="dxa"/>
          </w:tcPr>
          <w:p w14:paraId="3A21B9A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5585</w:t>
            </w:r>
          </w:p>
        </w:tc>
        <w:tc>
          <w:tcPr>
            <w:tcW w:w="1417" w:type="dxa"/>
          </w:tcPr>
          <w:p w14:paraId="3ADD025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6750</w:t>
            </w:r>
          </w:p>
        </w:tc>
      </w:tr>
      <w:tr w:rsidR="007D5DF8" w:rsidRPr="00DB5D0D" w14:paraId="002F4101" w14:textId="77777777" w:rsidTr="009223E5">
        <w:tc>
          <w:tcPr>
            <w:tcW w:w="4077" w:type="dxa"/>
          </w:tcPr>
          <w:p w14:paraId="41F1EA5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w:t>
            </w:r>
          </w:p>
        </w:tc>
        <w:tc>
          <w:tcPr>
            <w:tcW w:w="1843" w:type="dxa"/>
          </w:tcPr>
          <w:p w14:paraId="78B7881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17,15</w:t>
            </w:r>
          </w:p>
        </w:tc>
        <w:tc>
          <w:tcPr>
            <w:tcW w:w="1701" w:type="dxa"/>
          </w:tcPr>
          <w:p w14:paraId="33EC793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w:t>
            </w:r>
          </w:p>
        </w:tc>
        <w:tc>
          <w:tcPr>
            <w:tcW w:w="1559" w:type="dxa"/>
          </w:tcPr>
          <w:p w14:paraId="11F3799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417" w:type="dxa"/>
          </w:tcPr>
          <w:p w14:paraId="448D6A2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16,1</w:t>
            </w:r>
          </w:p>
        </w:tc>
      </w:tr>
      <w:tr w:rsidR="007D5DF8" w:rsidRPr="00DB5D0D" w14:paraId="55DC8DDF" w14:textId="77777777" w:rsidTr="009223E5">
        <w:tc>
          <w:tcPr>
            <w:tcW w:w="4077" w:type="dxa"/>
          </w:tcPr>
          <w:p w14:paraId="2FDD721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w:t>
            </w:r>
          </w:p>
        </w:tc>
        <w:tc>
          <w:tcPr>
            <w:tcW w:w="1843" w:type="dxa"/>
          </w:tcPr>
          <w:p w14:paraId="5D6FCFE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12,69</w:t>
            </w:r>
          </w:p>
        </w:tc>
        <w:tc>
          <w:tcPr>
            <w:tcW w:w="1701" w:type="dxa"/>
          </w:tcPr>
          <w:p w14:paraId="258895F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w:t>
            </w:r>
          </w:p>
        </w:tc>
        <w:tc>
          <w:tcPr>
            <w:tcW w:w="1559" w:type="dxa"/>
          </w:tcPr>
          <w:p w14:paraId="03EDB03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417" w:type="dxa"/>
          </w:tcPr>
          <w:p w14:paraId="508D3FF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12,07</w:t>
            </w:r>
          </w:p>
        </w:tc>
      </w:tr>
      <w:tr w:rsidR="007D5DF8" w:rsidRPr="00DB5D0D" w14:paraId="58B21DB7" w14:textId="77777777" w:rsidTr="009223E5">
        <w:tc>
          <w:tcPr>
            <w:tcW w:w="4077" w:type="dxa"/>
          </w:tcPr>
          <w:p w14:paraId="093B905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c>
          <w:tcPr>
            <w:tcW w:w="1843" w:type="dxa"/>
          </w:tcPr>
          <w:p w14:paraId="4D1DE5E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701" w:type="dxa"/>
          </w:tcPr>
          <w:p w14:paraId="0F0A7A0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559" w:type="dxa"/>
          </w:tcPr>
          <w:p w14:paraId="1FF862F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417" w:type="dxa"/>
          </w:tcPr>
          <w:p w14:paraId="16F88FD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1914F810" w14:textId="77777777" w:rsidTr="009223E5">
        <w:tc>
          <w:tcPr>
            <w:tcW w:w="4077" w:type="dxa"/>
          </w:tcPr>
          <w:p w14:paraId="442AD8B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w:t>
            </w:r>
          </w:p>
        </w:tc>
        <w:tc>
          <w:tcPr>
            <w:tcW w:w="1843" w:type="dxa"/>
          </w:tcPr>
          <w:p w14:paraId="3AC79E4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 Шкас</w:t>
            </w:r>
          </w:p>
          <w:p w14:paraId="1710929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 Швак</w:t>
            </w:r>
          </w:p>
        </w:tc>
        <w:tc>
          <w:tcPr>
            <w:tcW w:w="1701" w:type="dxa"/>
          </w:tcPr>
          <w:p w14:paraId="71D4818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 Швак</w:t>
            </w:r>
          </w:p>
        </w:tc>
        <w:tc>
          <w:tcPr>
            <w:tcW w:w="1559" w:type="dxa"/>
          </w:tcPr>
          <w:p w14:paraId="007AB7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 Шкас</w:t>
            </w:r>
          </w:p>
        </w:tc>
        <w:tc>
          <w:tcPr>
            <w:tcW w:w="1417" w:type="dxa"/>
          </w:tcPr>
          <w:p w14:paraId="7EE8C73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пулеметов</w:t>
            </w:r>
          </w:p>
          <w:p w14:paraId="432FBA9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w:t>
            </w:r>
          </w:p>
        </w:tc>
      </w:tr>
      <w:tr w:rsidR="007D5DF8" w:rsidRPr="00DB5D0D" w14:paraId="7868017E" w14:textId="77777777" w:rsidTr="009223E5">
        <w:tc>
          <w:tcPr>
            <w:tcW w:w="4077" w:type="dxa"/>
          </w:tcPr>
          <w:p w14:paraId="547D37C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Бомбовое вооружение</w:t>
            </w:r>
          </w:p>
        </w:tc>
        <w:tc>
          <w:tcPr>
            <w:tcW w:w="1843" w:type="dxa"/>
          </w:tcPr>
          <w:p w14:paraId="62D2CA4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2х250</w:t>
            </w:r>
          </w:p>
          <w:p w14:paraId="4BA7DE7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2х500</w:t>
            </w:r>
          </w:p>
          <w:p w14:paraId="020E43B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внешнее</w:t>
            </w:r>
          </w:p>
        </w:tc>
        <w:tc>
          <w:tcPr>
            <w:tcW w:w="1701" w:type="dxa"/>
          </w:tcPr>
          <w:p w14:paraId="7847833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кг внутри фюзеляжа</w:t>
            </w:r>
          </w:p>
          <w:p w14:paraId="6A81AB5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 кг – внешняя подвеска</w:t>
            </w:r>
          </w:p>
        </w:tc>
        <w:tc>
          <w:tcPr>
            <w:tcW w:w="1559" w:type="dxa"/>
          </w:tcPr>
          <w:p w14:paraId="0B985CE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 кг – внутри</w:t>
            </w:r>
          </w:p>
          <w:p w14:paraId="6F314B1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 кг – снаружи</w:t>
            </w:r>
          </w:p>
        </w:tc>
        <w:tc>
          <w:tcPr>
            <w:tcW w:w="1417" w:type="dxa"/>
          </w:tcPr>
          <w:p w14:paraId="511A48C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Нет</w:t>
            </w:r>
          </w:p>
        </w:tc>
      </w:tr>
      <w:tr w:rsidR="007D5DF8" w:rsidRPr="00DB5D0D" w14:paraId="7FE64CCA" w14:textId="77777777" w:rsidTr="009223E5">
        <w:tc>
          <w:tcPr>
            <w:tcW w:w="4077" w:type="dxa"/>
          </w:tcPr>
          <w:p w14:paraId="490E25E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границе высотности</w:t>
            </w:r>
          </w:p>
        </w:tc>
        <w:tc>
          <w:tcPr>
            <w:tcW w:w="1843" w:type="dxa"/>
          </w:tcPr>
          <w:p w14:paraId="3ECFD9D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515/4500</w:t>
            </w:r>
          </w:p>
        </w:tc>
        <w:tc>
          <w:tcPr>
            <w:tcW w:w="1701" w:type="dxa"/>
          </w:tcPr>
          <w:p w14:paraId="46E3FFC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500/4600</w:t>
            </w:r>
          </w:p>
        </w:tc>
        <w:tc>
          <w:tcPr>
            <w:tcW w:w="1559" w:type="dxa"/>
          </w:tcPr>
          <w:p w14:paraId="33D8D28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515/5200</w:t>
            </w:r>
          </w:p>
        </w:tc>
        <w:tc>
          <w:tcPr>
            <w:tcW w:w="1417" w:type="dxa"/>
          </w:tcPr>
          <w:p w14:paraId="20127A3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526/4600</w:t>
            </w:r>
          </w:p>
        </w:tc>
      </w:tr>
      <w:tr w:rsidR="007D5DF8" w:rsidRPr="00DB5D0D" w14:paraId="266B60F0" w14:textId="77777777" w:rsidTr="009223E5">
        <w:tc>
          <w:tcPr>
            <w:tcW w:w="4077" w:type="dxa"/>
          </w:tcPr>
          <w:p w14:paraId="411CDAE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Н=6000 м</w:t>
            </w:r>
          </w:p>
        </w:tc>
        <w:tc>
          <w:tcPr>
            <w:tcW w:w="1843" w:type="dxa"/>
          </w:tcPr>
          <w:p w14:paraId="0B0734D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535</w:t>
            </w:r>
          </w:p>
        </w:tc>
        <w:tc>
          <w:tcPr>
            <w:tcW w:w="1701" w:type="dxa"/>
          </w:tcPr>
          <w:p w14:paraId="2E82591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487</w:t>
            </w:r>
          </w:p>
        </w:tc>
        <w:tc>
          <w:tcPr>
            <w:tcW w:w="1559" w:type="dxa"/>
          </w:tcPr>
          <w:p w14:paraId="59A1C54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505</w:t>
            </w:r>
          </w:p>
        </w:tc>
        <w:tc>
          <w:tcPr>
            <w:tcW w:w="1417" w:type="dxa"/>
          </w:tcPr>
          <w:p w14:paraId="2E1994B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514</w:t>
            </w:r>
          </w:p>
        </w:tc>
      </w:tr>
      <w:tr w:rsidR="007D5DF8" w:rsidRPr="00DB5D0D" w14:paraId="4B0CA614" w14:textId="77777777" w:rsidTr="009223E5">
        <w:tc>
          <w:tcPr>
            <w:tcW w:w="4077" w:type="dxa"/>
          </w:tcPr>
          <w:p w14:paraId="0072A7F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горизонтальная скорость у земли</w:t>
            </w:r>
          </w:p>
        </w:tc>
        <w:tc>
          <w:tcPr>
            <w:tcW w:w="1843" w:type="dxa"/>
          </w:tcPr>
          <w:p w14:paraId="49A25AD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w:t>
            </w:r>
          </w:p>
        </w:tc>
        <w:tc>
          <w:tcPr>
            <w:tcW w:w="1701" w:type="dxa"/>
          </w:tcPr>
          <w:p w14:paraId="7484A99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446</w:t>
            </w:r>
          </w:p>
        </w:tc>
        <w:tc>
          <w:tcPr>
            <w:tcW w:w="1559" w:type="dxa"/>
          </w:tcPr>
          <w:p w14:paraId="206B4BA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w:t>
            </w:r>
          </w:p>
        </w:tc>
        <w:tc>
          <w:tcPr>
            <w:tcW w:w="1417" w:type="dxa"/>
          </w:tcPr>
          <w:p w14:paraId="4F42A6F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443</w:t>
            </w:r>
          </w:p>
        </w:tc>
      </w:tr>
    </w:tbl>
    <w:p w14:paraId="3F4C1E4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Заводские испытания</w:t>
      </w:r>
    </w:p>
    <w:p w14:paraId="6631D7B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испытания 20 декабря 1939 года. Первый вылет произведен 22 декабря 1939 года.</w:t>
      </w:r>
    </w:p>
    <w:p w14:paraId="212E60F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22 по 30 декабря 1939 года выполнено два полета.</w:t>
      </w:r>
    </w:p>
    <w:p w14:paraId="0B4B1F3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29 января 1940 года по 18 февраля 1940 года производились полеты и текущая работа по обеспечению полетов и доводка самолета.</w:t>
      </w:r>
    </w:p>
    <w:p w14:paraId="5BF8D33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марта 1940 года произведен полет для уборки лыж в воздухе.</w:t>
      </w:r>
    </w:p>
    <w:p w14:paraId="73CB260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за время заводских испытаний с 20 декабря 1939 года по 10 апреля 1940 года полеты производились в течение 11 дней, произведено 23 полета с налетом 6 час. 55 мин.</w:t>
      </w:r>
    </w:p>
    <w:p w14:paraId="537F37A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w:t>
      </w:r>
    </w:p>
    <w:p w14:paraId="528702C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Начаты 11 апреля 1940 года по спецпрограмме</w:t>
      </w:r>
    </w:p>
    <w:p w14:paraId="2082182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Окончены 10 мая 1940 года</w:t>
      </w:r>
    </w:p>
    <w:p w14:paraId="39E49EA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первом опытном самолете произведено 34 полета с налетом 12 час. 48 мин.</w:t>
      </w:r>
    </w:p>
    <w:p w14:paraId="12A73F6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«дублер» – 2 полета с налетом 37 мин.</w:t>
      </w:r>
    </w:p>
    <w:p w14:paraId="3537A72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3159755"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удачное разрешение проблемы создания вооруженного герметического самолета требует дальнейшей работы по изучению, накоплению боевого опыта по работе на высотах свыше 9000 м. Необходимо построить опытную серию самолетов «100» с двумя моторами М-105, снабженных двумя ТК-2 по макету, утвержденному ГУАС от 5 марта 1940 года с устранением отмеченных дефектов, с улучшением обзора у летчика и штурмана (6894).</w:t>
      </w:r>
    </w:p>
    <w:p w14:paraId="5E5B68E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p w14:paraId="73D340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Нач. ГУАС Алексеев и 29 мая 1940 военком Князев утвердили отчет по гос. испытаниям опытного самолета 100 2М-105 с 2ТК-2 и гермокабинами, которые проходили с 22 декабря 1939 по 10 мая 1940, в т.ч. собственно гоc. испытания - с 11 апреля 1940 (2946).</w:t>
      </w:r>
    </w:p>
    <w:p w14:paraId="0A68DF3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4493C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года Начальник ГУАС комдив Алексеев и Военком ГУАС бригадный комиссар Князев 29 мая 1940 года утвердили Отчет по гос. испытаниям опытного самолета «100» 2М-105 с 2ТК-2 и герметическими кабинами</w:t>
      </w:r>
    </w:p>
    <w:p w14:paraId="389CC8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1BAEF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1 ранга Марков</w:t>
      </w:r>
    </w:p>
    <w:p w14:paraId="2B8020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Стефановский</w:t>
      </w:r>
    </w:p>
    <w:p w14:paraId="6D7C3F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52AB400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первый вылет.</w:t>
      </w:r>
    </w:p>
    <w:p w14:paraId="0EC51E4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Произвести заводские испытания.</w:t>
      </w:r>
    </w:p>
    <w:p w14:paraId="3B26237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летные свойства самолета.</w:t>
      </w:r>
    </w:p>
    <w:p w14:paraId="412B582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летно-технические данные самолета.</w:t>
      </w:r>
    </w:p>
    <w:p w14:paraId="36E0EA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«100», спроектированный Особым техбюро и построенный на заводе № 156 является новой оригинальной конструкцией.</w:t>
      </w:r>
    </w:p>
    <w:p w14:paraId="6D880B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представляет собой цельнометаллический свободнонесущий низкоплан с убирающимися в полете шасси и костылем.</w:t>
      </w:r>
    </w:p>
    <w:p w14:paraId="172804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Хвостовое оперение свободнонесущее. Вертикальное оперение двухкилевое.</w:t>
      </w:r>
    </w:p>
    <w:p w14:paraId="753766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состоит из трех человек, размещенных в двух герметических кабинах, в которых поддерживается до высоты 10000 м постоянное давление.</w:t>
      </w:r>
    </w:p>
    <w:p w14:paraId="6973CE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Стрелково-пушечное вооружение самолета состоит из носовой батареи и хвостовой огневой точки с дистанционным управлением.</w:t>
      </w:r>
    </w:p>
    <w:p w14:paraId="1AD1D7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батарея имеет две 20 мм пушки ШВАК с ящиками для снарядов емкостью 300 снарядов на каждую пушку и два 7,62 мм пулемета ШКАС с ящиками для патрон емкостью 900 штук патрон на каждый пулемет.</w:t>
      </w:r>
    </w:p>
    <w:p w14:paraId="7F39D7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Хвостовая огневая точка предусматривает установку в заднем коке самолета одного пулемета ШКАС с ящиком для патрон емкостью 700 штук (хвостовая точка на испытываемом самолете не установлена).</w:t>
      </w:r>
    </w:p>
    <w:p w14:paraId="6906B1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предназначено для поражения воздушных целей и состоит из кассет для артснарядов, установленных в фюзеляжном люке. Внешняя подвеска бомб предусматривает подвеску бомб 2х100 или 2х250 или 2х500.</w:t>
      </w:r>
    </w:p>
    <w:p w14:paraId="40E271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заводские испытания самолет поступил 20 декабря 1939 года. Первый полет произведен 22 декабря 1939 года.</w:t>
      </w:r>
    </w:p>
    <w:p w14:paraId="4A22A1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за время заводских испытаний с 20 декабря 1939 года по 10 апреля 1940 самолет летал в течение 11 дней, за эти дни произведено 23 полета с налетом 6 час. 55 мин.</w:t>
      </w:r>
    </w:p>
    <w:p w14:paraId="2DAD7E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начаты 11 апреля 1940 года по специальной программе.</w:t>
      </w:r>
    </w:p>
    <w:p w14:paraId="73DA6C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Окончены 10 мая 1940 года.</w:t>
      </w:r>
    </w:p>
    <w:p w14:paraId="1D8EF9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первом опытном самолете произведено 34 полета с налетом 12 час. 48 мин., на самолете «Дублер» произведено 2 полета с налетом 37 мин.</w:t>
      </w:r>
    </w:p>
    <w:p w14:paraId="1107A6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D8B835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удачное разрешение проблемы создания вооруженного герметического самолета требует дальнейшей работы по изучению, накоплению боевого опыта по работе на высотах свыше 9000 м. Необходимо построить опытную серию самолетов «100» с двумя моторами М-105, снабженных двумя ТК-2 по макету, утвержденному ГУАС от 5 марта 1940 года с устранением отмеченных дефектов с улучшением обзора у летчика и штурмана.</w:t>
      </w:r>
    </w:p>
    <w:p w14:paraId="1C3BAB8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использования высокой аэродинамики самолета 2100» и создания на его базе массового пикирующего бомбардировщика без герметических кабин с максимальной скоростью на высоте 5000 м не ниже 550 км/час с бомбовой нагрузкой внутри самолета 600 кг и снаружи 1000 кг (2х500 кг или 4х250 кг) необходимо построить опытную серию.</w:t>
      </w:r>
    </w:p>
    <w:p w14:paraId="38312A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этого самолета предъявить на утверждение к 1 июня 1940 года (4400).</w:t>
      </w:r>
    </w:p>
    <w:p w14:paraId="513A0D0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12D3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года начальник ГУАС комдив Алексеев и военный комиссар ГУАС бригадный комиссар Князев писали письмо № 501617 наркому обороны маршалу Тимошенко С.К.</w:t>
      </w:r>
    </w:p>
    <w:p w14:paraId="5C442A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Представляя протокол заседания Технического совета при НИИ ГУАС о результатах госиспытаний самолетов «100» 2М-105 конструкции ОТБ при НКВД, докладываю:</w:t>
      </w:r>
    </w:p>
    <w:p w14:paraId="3E201AF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ВВС не имеет на вооружении пикирующих бомбардировщиков.</w:t>
      </w:r>
    </w:p>
    <w:p w14:paraId="70B655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Запущенный в производство на заводе № 22 самолет «СПБ» конструкции Поликарпова, изготовлен всего в трех экземплярах. Наличие серьезных дефектов конструктивного порядка не только задержало внедрение «СПБ» в серию, но и не позволило закончить заводские испытания.</w:t>
      </w:r>
    </w:p>
    <w:p w14:paraId="1DF0B5C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Госиспытания самолета «100» показали вполне удовлетворительные летные качества.</w:t>
      </w:r>
    </w:p>
    <w:p w14:paraId="367ADB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Статические испытания выявили прочность конструкции основных агрегатов выше расчетных.</w:t>
      </w:r>
    </w:p>
    <w:p w14:paraId="225203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испытаний можно считать самолет «100» годным для использования в качестве пикирующего бомбардировщика с небольшими переделками передней части фюзеляжа.</w:t>
      </w:r>
    </w:p>
    <w:p w14:paraId="3F6BB0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необходимость срочного вооружения ВВС пикирующими бомбардировщиками, считаю целесообразным:</w:t>
      </w:r>
    </w:p>
    <w:p w14:paraId="2170F8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запустить в серийное производство на заводе № 22 самолет «100» с моторами 2М-105 в пикирующем варианте взамен самолета «СПБ»; работы по самолету «СПБ» прекратить;</w:t>
      </w:r>
    </w:p>
    <w:p w14:paraId="060B80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НКВД взять на себя техническое руководство по внедрению на заводе № 22 в серийное производство самолета «100» в пикирующем варианте.</w:t>
      </w:r>
    </w:p>
    <w:p w14:paraId="025A3D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Шахурина определить программу выпуска самолетов «100» на заводе № 22 в 1940 году.</w:t>
      </w:r>
    </w:p>
    <w:p w14:paraId="5AEAB4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решением Техсовета по самолету «100» 2М-105 ТК-2 с герметической кабиной согласен. Считаю целесообразным постройку опытной серии этих самолетов в количестве 10 штук произвести на заводе № 22.</w:t>
      </w:r>
    </w:p>
    <w:p w14:paraId="7928FB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Докладывая об изложенном, прошу Вашего ходатайства перед КО о рассмотрении вопроса о запуске в серию самолета «100» (7709, 420-421).</w:t>
      </w:r>
    </w:p>
    <w:p w14:paraId="3446E70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F18CD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вышел приказ НКАП N 237сс, согласно которому для обеспечения ВВС КА четырехмоторными бомбардировщиками, выполняющими одновременно функции военно-транспортных самолетов, приказано (402,34):</w:t>
      </w:r>
    </w:p>
    <w:p w14:paraId="15862F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Параграф 1</w:t>
      </w:r>
    </w:p>
    <w:p w14:paraId="57D128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ПГУ тов. А.Д.Шиц и директору завода 124 тов. Штейнбергу организовать на заводе 124 производство самолетов ТБ-7 (АНТ-42).</w:t>
      </w:r>
    </w:p>
    <w:p w14:paraId="0E0922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что самолет ТБ-7 должен выполнять функции:</w:t>
      </w:r>
    </w:p>
    <w:p w14:paraId="0F7DBC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дальнего бомбардировщика;</w:t>
      </w:r>
    </w:p>
    <w:p w14:paraId="65B759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военно-транспортного самолета.</w:t>
      </w:r>
    </w:p>
    <w:p w14:paraId="45F402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Параграф 2</w:t>
      </w:r>
    </w:p>
    <w:p w14:paraId="3D1253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заводу N 124 на 1940 программу по самолетам ТБ-7 - 15 самолетов,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57C30CB6" w14:textId="77777777" w:rsidTr="009223E5">
        <w:tc>
          <w:tcPr>
            <w:tcW w:w="5749" w:type="dxa"/>
            <w:tcBorders>
              <w:top w:val="single" w:sz="12" w:space="0" w:color="auto"/>
            </w:tcBorders>
          </w:tcPr>
          <w:p w14:paraId="031781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а) с мотором АМ34АЦН-2</w:t>
            </w:r>
          </w:p>
        </w:tc>
        <w:tc>
          <w:tcPr>
            <w:tcW w:w="5749" w:type="dxa"/>
            <w:tcBorders>
              <w:top w:val="single" w:sz="12" w:space="0" w:color="auto"/>
            </w:tcBorders>
          </w:tcPr>
          <w:p w14:paraId="37BC8E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(сданы в 1 кв.)</w:t>
            </w:r>
          </w:p>
        </w:tc>
      </w:tr>
      <w:tr w:rsidR="007D5DF8" w:rsidRPr="00DB5D0D" w14:paraId="6EE6AA22" w14:textId="77777777" w:rsidTr="009223E5">
        <w:tc>
          <w:tcPr>
            <w:tcW w:w="5749" w:type="dxa"/>
          </w:tcPr>
          <w:p w14:paraId="70CB75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 моторами АМ35А без АЦН</w:t>
            </w:r>
          </w:p>
        </w:tc>
        <w:tc>
          <w:tcPr>
            <w:tcW w:w="5749" w:type="dxa"/>
          </w:tcPr>
          <w:p w14:paraId="487942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r>
      <w:tr w:rsidR="007D5DF8" w:rsidRPr="00DB5D0D" w14:paraId="14F51A75" w14:textId="77777777" w:rsidTr="009223E5">
        <w:tc>
          <w:tcPr>
            <w:tcW w:w="5749" w:type="dxa"/>
          </w:tcPr>
          <w:p w14:paraId="2219BE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 мотором М-40</w:t>
            </w:r>
          </w:p>
        </w:tc>
        <w:tc>
          <w:tcPr>
            <w:tcW w:w="5749" w:type="dxa"/>
          </w:tcPr>
          <w:p w14:paraId="50BD9B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382AD0BA" w14:textId="77777777" w:rsidTr="009223E5">
        <w:tc>
          <w:tcPr>
            <w:tcW w:w="5749" w:type="dxa"/>
          </w:tcPr>
          <w:p w14:paraId="1A04A9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 моторами М40Ф</w:t>
            </w:r>
          </w:p>
        </w:tc>
        <w:tc>
          <w:tcPr>
            <w:tcW w:w="5749" w:type="dxa"/>
          </w:tcPr>
          <w:p w14:paraId="3FE10F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564B262D" w14:textId="77777777" w:rsidTr="009223E5">
        <w:tc>
          <w:tcPr>
            <w:tcW w:w="5749" w:type="dxa"/>
            <w:tcBorders>
              <w:bottom w:val="single" w:sz="12" w:space="0" w:color="auto"/>
            </w:tcBorders>
          </w:tcPr>
          <w:p w14:paraId="5D964C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с моторами М-30</w:t>
            </w:r>
          </w:p>
        </w:tc>
        <w:tc>
          <w:tcPr>
            <w:tcW w:w="5749" w:type="dxa"/>
            <w:tcBorders>
              <w:bottom w:val="single" w:sz="12" w:space="0" w:color="auto"/>
            </w:tcBorders>
          </w:tcPr>
          <w:p w14:paraId="6A122C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bl>
    <w:p w14:paraId="1C046C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Параграф 3</w:t>
      </w:r>
    </w:p>
    <w:p w14:paraId="70B706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Директору завода 124 тов. Штейнбергу и главному конструктору завода тов. Незвалю обеспечить получение летно-тактических данных согласно приложения 1.</w:t>
      </w:r>
    </w:p>
    <w:p w14:paraId="388B4F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Параграф 4</w:t>
      </w:r>
    </w:p>
    <w:p w14:paraId="5381CA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Директору завода 124 организовать подготовку производства самолетов ТБ-7 с моторами М-40Ф с расчетом выпуска в 1941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4C005F7E" w14:textId="77777777" w:rsidTr="009223E5">
        <w:tc>
          <w:tcPr>
            <w:tcW w:w="5749" w:type="dxa"/>
            <w:tcBorders>
              <w:top w:val="single" w:sz="12" w:space="0" w:color="auto"/>
            </w:tcBorders>
          </w:tcPr>
          <w:p w14:paraId="354F39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 первом квартале</w:t>
            </w:r>
          </w:p>
        </w:tc>
        <w:tc>
          <w:tcPr>
            <w:tcW w:w="5749" w:type="dxa"/>
            <w:tcBorders>
              <w:top w:val="single" w:sz="12" w:space="0" w:color="auto"/>
            </w:tcBorders>
          </w:tcPr>
          <w:p w14:paraId="3B5521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r>
      <w:tr w:rsidR="007D5DF8" w:rsidRPr="00DB5D0D" w14:paraId="60C5604D" w14:textId="77777777" w:rsidTr="009223E5">
        <w:tc>
          <w:tcPr>
            <w:tcW w:w="5749" w:type="dxa"/>
          </w:tcPr>
          <w:p w14:paraId="455C40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 втором квартале</w:t>
            </w:r>
          </w:p>
        </w:tc>
        <w:tc>
          <w:tcPr>
            <w:tcW w:w="5749" w:type="dxa"/>
          </w:tcPr>
          <w:p w14:paraId="7F259B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r>
      <w:tr w:rsidR="007D5DF8" w:rsidRPr="00DB5D0D" w14:paraId="061C6DD0" w14:textId="77777777" w:rsidTr="009223E5">
        <w:tc>
          <w:tcPr>
            <w:tcW w:w="5749" w:type="dxa"/>
          </w:tcPr>
          <w:p w14:paraId="0F0C42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 третьем квартале</w:t>
            </w:r>
          </w:p>
        </w:tc>
        <w:tc>
          <w:tcPr>
            <w:tcW w:w="5749" w:type="dxa"/>
          </w:tcPr>
          <w:p w14:paraId="644D57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r>
      <w:tr w:rsidR="007D5DF8" w:rsidRPr="00DB5D0D" w14:paraId="6B4D36CF" w14:textId="77777777" w:rsidTr="009223E5">
        <w:tc>
          <w:tcPr>
            <w:tcW w:w="5749" w:type="dxa"/>
          </w:tcPr>
          <w:p w14:paraId="0BAD89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 четвертом квартале</w:t>
            </w:r>
          </w:p>
        </w:tc>
        <w:tc>
          <w:tcPr>
            <w:tcW w:w="5749" w:type="dxa"/>
          </w:tcPr>
          <w:p w14:paraId="1B8C2A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r>
      <w:tr w:rsidR="007D5DF8" w:rsidRPr="00DB5D0D" w14:paraId="38963EF6" w14:textId="77777777" w:rsidTr="009223E5">
        <w:tc>
          <w:tcPr>
            <w:tcW w:w="5749" w:type="dxa"/>
            <w:tcBorders>
              <w:bottom w:val="single" w:sz="12" w:space="0" w:color="auto"/>
            </w:tcBorders>
          </w:tcPr>
          <w:p w14:paraId="0C3CA3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5749" w:type="dxa"/>
            <w:tcBorders>
              <w:bottom w:val="single" w:sz="12" w:space="0" w:color="auto"/>
            </w:tcBorders>
          </w:tcPr>
          <w:p w14:paraId="0D66B7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 самолетов</w:t>
            </w:r>
          </w:p>
        </w:tc>
      </w:tr>
    </w:tbl>
    <w:p w14:paraId="76FA2F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Развернутый план подготовки производства представить мне на утверждение к 28 июня.</w:t>
      </w:r>
    </w:p>
    <w:p w14:paraId="770583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Параграф 5</w:t>
      </w:r>
    </w:p>
    <w:p w14:paraId="298748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Программу по самолетам ДС-3 сократить сохранив ее для подготовки кадров и использования свободных мощностей завода в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63F78A35" w14:textId="77777777" w:rsidTr="009223E5">
        <w:tc>
          <w:tcPr>
            <w:tcW w:w="5749" w:type="dxa"/>
            <w:tcBorders>
              <w:top w:val="single" w:sz="12" w:space="0" w:color="auto"/>
            </w:tcBorders>
          </w:tcPr>
          <w:p w14:paraId="45EE30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третий квартал</w:t>
            </w:r>
          </w:p>
        </w:tc>
        <w:tc>
          <w:tcPr>
            <w:tcW w:w="5749" w:type="dxa"/>
            <w:tcBorders>
              <w:top w:val="single" w:sz="12" w:space="0" w:color="auto"/>
            </w:tcBorders>
          </w:tcPr>
          <w:p w14:paraId="5DD8DF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r>
      <w:tr w:rsidR="007D5DF8" w:rsidRPr="00DB5D0D" w14:paraId="34BB2A5D" w14:textId="77777777" w:rsidTr="009223E5">
        <w:tc>
          <w:tcPr>
            <w:tcW w:w="5749" w:type="dxa"/>
          </w:tcPr>
          <w:p w14:paraId="2A7DF5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четвертый квартал</w:t>
            </w:r>
          </w:p>
        </w:tc>
        <w:tc>
          <w:tcPr>
            <w:tcW w:w="5749" w:type="dxa"/>
          </w:tcPr>
          <w:p w14:paraId="3D4254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61819CA6" w14:textId="77777777" w:rsidTr="009223E5">
        <w:tc>
          <w:tcPr>
            <w:tcW w:w="5749" w:type="dxa"/>
            <w:tcBorders>
              <w:bottom w:val="single" w:sz="12" w:space="0" w:color="auto"/>
            </w:tcBorders>
          </w:tcPr>
          <w:p w14:paraId="0B5503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5749" w:type="dxa"/>
            <w:tcBorders>
              <w:bottom w:val="single" w:sz="12" w:space="0" w:color="auto"/>
            </w:tcBorders>
          </w:tcPr>
          <w:p w14:paraId="578697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самолетов</w:t>
            </w:r>
          </w:p>
        </w:tc>
      </w:tr>
    </w:tbl>
    <w:p w14:paraId="446381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Параграф 6</w:t>
      </w:r>
    </w:p>
    <w:p w14:paraId="385A5C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Отменить приказ N 87cc от 5 марта с.г. проектировании и постройке на заводе 124 двухмоторного самолета ПБ-2..." (402,35).</w:t>
      </w:r>
    </w:p>
    <w:p w14:paraId="7DA28F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Вышло в исполнение постановления КО N 227сс по ТБ-7 (АНТ-42) (402,34).</w:t>
      </w:r>
    </w:p>
    <w:p w14:paraId="606E9B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вышло постановление о возобновлении серии ТБ-7 (АНТ-42) (173,68) и до конца года сделали на 124 заводе 18 (232,18).</w:t>
      </w:r>
    </w:p>
    <w:p w14:paraId="0E419B7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F564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на основании постановления правительства и приказа НКАП №237сс тяжелый бомбардировщик ТБ-7 вновь запустили в производство на авиазаводе №124. Одновременно заводское ОКБ освобождалось от задания на пикирующий бомбардировщик. Заводу предписывалось срочно восстановить стапели и другую сборочную оснастку для производства ТБ-7. Директором завода назначался бывший нарком авиапромышленности М.М.Каганович.</w:t>
      </w:r>
    </w:p>
    <w:p w14:paraId="321EF3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обстановка вокруг ТБ-7 нормализовалась и история самолета после 8-ми месячного перерыва продолжилась. Прокомментируем описанные события с помощью выписок из годовых отчетов о деятельности авиазавода №124.</w:t>
      </w:r>
    </w:p>
    <w:p w14:paraId="6864C9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решения о развертывании в Казани серийного строительства ТБ-7 здесь в течение 1938 г. запустили в производство 1-ю и 2-ю серии, общим количеством 10 экземпляров (судя по последующим результатам, две первые серии на практике состояли из 7 аппаратов: 2+5). Самолеты строились под двигатели АМ-34ФРН с АЦН, окончательно развернуться с выпуском ТБ-7 руководство завода и ОКБ надеялось в течение 1939 г. (12025).</w:t>
      </w:r>
    </w:p>
    <w:p w14:paraId="7D81527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462E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НКАП приказывает «для обеспечения ВВС четырехмоторными дальними бомбардировщиками, выполняющими одновременно функции военно-транспортных самолетов, организовать на заводе № 124 производство самолетов ТБ-7. План на 1940 год - построить 15 самолетов». Пикантно, что приказ этот был подписан буквально на следующий день после назначения Кагановича на директорский пост (12049).</w:t>
      </w:r>
    </w:p>
    <w:p w14:paraId="506BE08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913B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Начальник ВВС Я.В.Смушкевич направил в НКАП письмо N 466074cc, в котором сообщил свое мнение относительно самолетов "Сотка" конструктора В.М.Петлякова, СПБ конструктора Н.Н.Поликарпова, ОКО-6 конструктора В.К.Таирова и БШ конструктора С.В.Ильюшина (469,11):</w:t>
      </w:r>
    </w:p>
    <w:p w14:paraId="3F9B57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Сообщаю свое мнение относительно самолетов Сотка конструктора В.М.П., СПБ к Н.Н.П., ОКО-6 к Таирова и бронированного штурмовика к С.В.И.</w:t>
      </w:r>
    </w:p>
    <w:p w14:paraId="456E16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Сотка к В.М.П.</w:t>
      </w:r>
    </w:p>
    <w:p w14:paraId="2B5E28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самолет необходимо начать внедрять на 22 заводе, но с таким расчетом и планом, чтобы на первое время не отразилось на выпуске СБ. Этот самолет пускать только в варианте ПБ.</w:t>
      </w:r>
    </w:p>
    <w:p w14:paraId="5634B6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Мотивировка следующая. Самолет Сотка будет иметь скорость на 30-40 км/час больше, чем СБ. Кроме того, этот самолет, судя по последнему отчету, очень хорошо приспособлен для бомбометания с пикирующего положения.</w:t>
      </w:r>
    </w:p>
    <w:p w14:paraId="3F4827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По-моему, СБ конструкции А.А.А. вряд ли возможно будет еще больше модифицировать и видимо последняя его модификация (уборка радиаторов) является окончательной, тогда как самолет Сотка имеет большие перспективы для его модификации.</w:t>
      </w:r>
    </w:p>
    <w:p w14:paraId="4E13DB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целесообразно сразу же готовить производство и серийные чертежи для второго самолета на 22 заводе, т.к. совершенно неизвестно, подойдет ли СБ как ПБ.</w:t>
      </w:r>
    </w:p>
    <w:p w14:paraId="6ADA10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СПБ Н.Н.П.</w:t>
      </w:r>
    </w:p>
    <w:p w14:paraId="4AA7AC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самолет надо совсем снять с производства и прекратить всякие работы, т.к. он строится уже несколько лет и до сих пор остается недостроенным и недоделанным и видимо из этого самолета, как из ПБ, ничего не выйдет.</w:t>
      </w:r>
    </w:p>
    <w:p w14:paraId="1D7F5D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Взамен СПБ целесообразнее поставить на производство (пока в тех же размерах) самолет Сотка.</w:t>
      </w:r>
    </w:p>
    <w:p w14:paraId="3A3623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 самолете ОКО-6 Таирова - необходимо специально обсудить на совместном заседании НКАП и Нач. ВВС, т.к. устойчивость этого самолета настолько недоведена, что крайне рискованно решать вопрос о пуске его в серию.</w:t>
      </w:r>
    </w:p>
    <w:p w14:paraId="49FEAC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 не менее, такой самолет ВВС крайне необходим и притом он необходим в самое ближайшее время.</w:t>
      </w:r>
    </w:p>
    <w:p w14:paraId="4A38AA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на этом совещании будет установлено, что Таиров устранит недочеты по устойчивости на первых серийных самолетах и это будет доказано, то тогда необходимо и по самолету ОКО-6 принять решение о запуске его в серию.</w:t>
      </w:r>
    </w:p>
    <w:p w14:paraId="7AF337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 бронированном штурмовике Ильюшина.</w:t>
      </w:r>
    </w:p>
    <w:p w14:paraId="5F9547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этому вопросу я уже Вам писал и вторично настаиваю, что необходимо в самые ближайшие дни принять решение о запуске этого самолета в серию, имея в виду, что штурмовик совершенно необходим для ВВС.</w:t>
      </w:r>
    </w:p>
    <w:p w14:paraId="7CED3A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Война на Западе показывает, что штурмовая авиация выполняет очень большую роль в боевых действиях.</w:t>
      </w:r>
    </w:p>
    <w:p w14:paraId="33DA02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штурмовой самолет будет иметь броню, как это предусмотрено на самолете Ильюшина, то тогда такой самолет сыграет большую роль на войне.</w:t>
      </w:r>
    </w:p>
    <w:p w14:paraId="4D8FB4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По-моему, самолет Ильюшина можно начать строить на 39 заводе вместо ДБ-3.</w:t>
      </w:r>
    </w:p>
    <w:p w14:paraId="1D1CD0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Повторяю, что т. Ильюшин гарантирует устранить недочеты на серийном производстве штурмового самолета, выявленные на гос. испытаниях" (469,11).</w:t>
      </w:r>
    </w:p>
    <w:p w14:paraId="756DED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 Что касается самолета Сотка в варианте многоместного истребителя, то необходимо дать задание сделать еще 10 самолетов в виде небольшой серии в варианте герметическом и негерметическом, с тем, чтобы серьезно проверить и после этого решить вопрос о производстве самолета Сотка в варианте многоместного истребителя." (469,11 и 1293,9).</w:t>
      </w:r>
    </w:p>
    <w:p w14:paraId="153003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Ясно, что с С.В.И. советовались и видно именно он предложил делать на "родном" заводе 39.</w:t>
      </w:r>
    </w:p>
    <w:p w14:paraId="6E005C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Пришло в НКАП 29 мая 1940, а более известное письмо непосредственно по БШ от 24 мая имело более ранний номер, но пришло в НКАП только 9 июня (469,11). По-видимому, именно на это письмо ссылается Я.В.Смушкевич, хотя, оно на самом деле вышло раньше, но поступило в НКАП почему то позже.</w:t>
      </w:r>
    </w:p>
    <w:p w14:paraId="1ED6E3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Впрочем, может было и еще одно письмо?</w:t>
      </w:r>
    </w:p>
    <w:p w14:paraId="34D3AB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Ясно, что С.В.И. принимал в подготовке обеих писем активное участие и пытался решать свои задачи.</w:t>
      </w:r>
    </w:p>
    <w:p w14:paraId="376615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Впрочем, точных дат отправки не видно на обоих письмах</w:t>
      </w:r>
    </w:p>
    <w:p w14:paraId="6263FE3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1B50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был утвержден отчет по гос. испытаниям самолета СБ-РК А.А.А. с рекомендацией по запуску в серию в варианте ПБ (1759,6).</w:t>
      </w:r>
    </w:p>
    <w:p w14:paraId="7FDEC46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838DFF"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28 мая 1940 г. самолет ИС был передан на ЗИ, которые проводились на базе ЛИИ НКАП Раменское. Ведущим летчиком был назначен летчик-испытатель ЛИИ Кулешов, а ведущим инженером по испытаниям – Ф.И. Ежов.   Испытания начались на 9,5 месяца позже утвержденного срока и для их ускорения было разрешено сразу подключить специалистов НИИ ВВС КА.   29.05.40 г. первый полет на самолете выполнил летчик-испытатель ЛИИ Кулешов. Видимо, он не совершал рекомендованных подлетов или провел их по очень короткой программе. Взлет, полет по кругу и посадка прошли без замечаний. Уборка шасси и нижнего крыла в </w:t>
      </w:r>
      <w:r w:rsidRPr="00DB5D0D">
        <w:rPr>
          <w:rFonts w:ascii="Times New Roman" w:hAnsi="Times New Roman"/>
          <w:color w:val="0070C0"/>
          <w:sz w:val="16"/>
          <w:szCs w:val="16"/>
        </w:rPr>
        <w:lastRenderedPageBreak/>
        <w:t>этом полете не проводились.   В дальнейшем ведущим летчиком на ЗИ самолета ИС был назначен Г.М. Шиянов, также участвовал летчик-инженер Гринчик, а летчиком облета был С.П. Супрун (23125).</w:t>
      </w:r>
    </w:p>
    <w:p w14:paraId="6AEB5DA1" w14:textId="77777777" w:rsidR="00017EBE" w:rsidRPr="00DB5D0D" w:rsidRDefault="00017EBE" w:rsidP="00DB5D0D">
      <w:pPr>
        <w:spacing w:after="0" w:line="240" w:lineRule="auto"/>
        <w:jc w:val="both"/>
        <w:rPr>
          <w:rFonts w:ascii="Times New Roman" w:hAnsi="Times New Roman"/>
          <w:color w:val="0070C0"/>
          <w:sz w:val="16"/>
          <w:szCs w:val="16"/>
        </w:rPr>
      </w:pPr>
    </w:p>
    <w:p w14:paraId="202194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В.М.П. был приговорен к 10 годам заключения и 5 годам поражения в правах (1103,226). Сохранилась копия письма Л.П.Б. И.В.С. о том, что вина А.Н.Т. и других специалистов доказана и он просил разрешение на заочное рассмотрение дел, поскольку вызов в суд "нецелесообразен", так как это отвлечет сотрудников от работы (1835,9).</w:t>
      </w:r>
    </w:p>
    <w:p w14:paraId="434197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Приговор А.Н.Т.:</w:t>
      </w:r>
    </w:p>
    <w:p w14:paraId="464E5B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"Приговор</w:t>
      </w:r>
    </w:p>
    <w:p w14:paraId="47273F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Именем Союза Советских Социалистических Республик Военная Коллегия Верховного Суда Союза ССР в составе:</w:t>
      </w:r>
    </w:p>
    <w:p w14:paraId="47CC06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Председательствующего: Армвоенюрист В.В.Ульрих</w:t>
      </w:r>
    </w:p>
    <w:p w14:paraId="79194E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Членов: Корвоенюриста И.О.Матулевича</w:t>
      </w:r>
    </w:p>
    <w:p w14:paraId="5AD6D8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Диввоенюриста А.М.Орлова</w:t>
      </w:r>
    </w:p>
    <w:p w14:paraId="7F4CB1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секретаре военном юристе 1 ранга А.А.Батнера</w:t>
      </w:r>
    </w:p>
    <w:p w14:paraId="3C48E8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закрытом тюремном заседании, в гор. Москве 28 мая 1940 г. рассмотрела дело по обвинению: Туполева Андрея Николаевича, 1888 г.р., быв. Зам. нач. ПГУ ГУ НКОП - в преступлениях, предусмотренных ст. ст. 58-6, 58-7, 58-9 и 58-11 УК РСФСР.</w:t>
      </w:r>
    </w:p>
    <w:p w14:paraId="540A83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Предварительным и судебным следствием установлено, что Туполев возглавлял антисоветскую вредительскую организацию в авиационной промышленности, как сам лично, так и через своих соучастников проводил диверсионную вредительскую работу, направленную на ослабление обороноспособности Советского Союза. Кроме того, Туполев с 1924 г. является агентом французской разведки и через Моргулиса передавал французской разведке сведения, составляющие государственную тайну Советского Союза.</w:t>
      </w:r>
    </w:p>
    <w:p w14:paraId="325F06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Туполев совершил преступления, предусмотренные ст. ст. 59-6, 58-7, 58-9 и 58-11 УК РСФСР.</w:t>
      </w:r>
    </w:p>
    <w:p w14:paraId="02982C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вышеизложенного и руководствуясь ст. ст. 319 и 320 УПК РСФСР Военная Коллегия Верховного Суда Союза ССР</w:t>
      </w:r>
    </w:p>
    <w:p w14:paraId="22FC65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Приговорила:</w:t>
      </w:r>
    </w:p>
    <w:p w14:paraId="47DD50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Туполева Андрея Николаевича лишить свободы сроком на пятнадцать лет с поражением в правах на пять лет и с конфискацией всего лично принадлежащего ему имущества.</w:t>
      </w:r>
    </w:p>
    <w:p w14:paraId="106C78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отбытия наказания - лишение свободы Туполеву исчислять с 21 октября 1937.</w:t>
      </w:r>
    </w:p>
    <w:p w14:paraId="2C4952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Приговор окончательный и обжалованию не подлежит.</w:t>
      </w:r>
    </w:p>
    <w:p w14:paraId="13FB0B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Подлинный за надлежащими подписями.</w:t>
      </w:r>
    </w:p>
    <w:p w14:paraId="20E38D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Верно</w:t>
      </w:r>
    </w:p>
    <w:p w14:paraId="54AAB0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Суда</w:t>
      </w:r>
    </w:p>
    <w:p w14:paraId="334A22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юрист 1 ранга (Батнер) (1835,10).</w:t>
      </w:r>
    </w:p>
    <w:p w14:paraId="3E07BC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В.М.П., С.М.Егер, Е.К.Стоман, Б.А.Сауке - 10 + 5, а Л.Л.Кербер - являлись антисоветски настроенным человеком, проводил вредительство в вооружении РККА средствами связи" - 8 (1385,11).</w:t>
      </w:r>
    </w:p>
    <w:p w14:paraId="49D7A4E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DD74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на</w:t>
      </w:r>
      <w:r w:rsidRPr="00DB5D0D">
        <w:rPr>
          <w:rFonts w:ascii="Times New Roman" w:hAnsi="Times New Roman"/>
          <w:color w:val="000000" w:themeColor="text1"/>
          <w:sz w:val="16"/>
          <w:szCs w:val="16"/>
        </w:rPr>
        <w:softHyphen/>
        <w:t>чались судебные заседания Военной коллегии Верховного суда СССР, без вызова обвиняемых и свидетелей в суд. Приговор А.Н.Туполеву:</w:t>
      </w:r>
    </w:p>
    <w:p w14:paraId="7AC1A8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«ПРИГОВОР</w:t>
      </w:r>
    </w:p>
    <w:p w14:paraId="726FA3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ИМЕНЕМ СОЮЗА СОВЕТСКИХ СОЦИАЛИСТИЧЕСКИХ РЕСПУБЛИК</w:t>
      </w:r>
    </w:p>
    <w:p w14:paraId="3FD78C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ВОЕННАЯ КОЛЛЕГИЯ ВЕРХОВНОГО СУДА СОЮЗА ССР</w:t>
      </w:r>
    </w:p>
    <w:p w14:paraId="4B34C1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составе: Председательствующего Армвоенюрист В.В.УЛЬРИХ</w:t>
      </w:r>
    </w:p>
    <w:p w14:paraId="420024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Членов: Корвоенюриста И.О.МАТУЛЕВИЧА и Диввоенюриста А.М ОРЛОВА. При секретаре военном юристе 1 ранга - А.А.БАТНЕР</w:t>
      </w:r>
    </w:p>
    <w:p w14:paraId="1A86CF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закрытом судебном заседании, в гор.Москве 28 мая 1940 г. рассмотрела дело по обвинению: ТУПОЛЕВА Андрея Николаевча,1888 г.р., бывш. Заместителя Начальника 1-го Главного Управления НКОП</w:t>
      </w:r>
    </w:p>
    <w:p w14:paraId="40E557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 преступлениях, предусмотренных ст.ст. 58-6, 58-7, 58-9 и 58 ПУК РСФСР.</w:t>
      </w:r>
    </w:p>
    <w:p w14:paraId="3955E8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Предварительным и судебным следствием установлено, что ТУПОЛЕВ возглавлял антисоветскую вредительскую организацию в авиационной промышленности, как сам лично, так и через своих соучастников проводил диверсионную вредительскую работу, направленную на ослабление обороноспособности Советского Союза. Кро</w:t>
      </w:r>
      <w:r w:rsidRPr="00DB5D0D">
        <w:rPr>
          <w:rFonts w:ascii="Times New Roman" w:hAnsi="Times New Roman"/>
          <w:color w:val="000000" w:themeColor="text1"/>
          <w:sz w:val="16"/>
          <w:szCs w:val="16"/>
        </w:rPr>
        <w:softHyphen/>
        <w:t>ме того, ТУПОЛЕВ с 1924 г. являлся агентом французской разведки и через МОРГУЛИ-СА передавал французской разведке сведения, составляющие государственную тай</w:t>
      </w:r>
      <w:r w:rsidRPr="00DB5D0D">
        <w:rPr>
          <w:rFonts w:ascii="Times New Roman" w:hAnsi="Times New Roman"/>
          <w:color w:val="000000" w:themeColor="text1"/>
          <w:sz w:val="16"/>
          <w:szCs w:val="16"/>
        </w:rPr>
        <w:softHyphen/>
        <w:t>ну Советского Союза.</w:t>
      </w:r>
    </w:p>
    <w:p w14:paraId="2FC53C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ТУПОЛЕВ совершил преступления, предусмотренные ст.ст. 58-6, 58-7, 58-9 и 58-11 УК РСФСР.</w:t>
      </w:r>
    </w:p>
    <w:p w14:paraId="3CA2AE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изложенного и руководствуясь ст.ст. 319 и 320 УПК РСФСР Воен</w:t>
      </w:r>
      <w:r w:rsidRPr="00DB5D0D">
        <w:rPr>
          <w:rFonts w:ascii="Times New Roman" w:hAnsi="Times New Roman"/>
          <w:color w:val="000000" w:themeColor="text1"/>
          <w:sz w:val="16"/>
          <w:szCs w:val="16"/>
        </w:rPr>
        <w:softHyphen/>
        <w:t>ная Коллегия Верховного Суда Союза ССР</w:t>
      </w:r>
    </w:p>
    <w:p w14:paraId="47FC97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ПРИГОВОРИЛА: ТУПОЛЕВА Андрея Николаевича к лишению свободы сроком на ПЯТНАДЦАТЬ лет с поражением в политических правах на ПЯТЬ лет и с конфискацией всего личного принадлежащего ему имущества.</w:t>
      </w:r>
    </w:p>
    <w:p w14:paraId="40507E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отбытия наказания - лишение свободы ТУПОЛЕВУ исчислять с 21 октября 1937 г. Приговор окончательный и обжалованию не подлежит.</w:t>
      </w:r>
    </w:p>
    <w:p w14:paraId="6B1B98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Подлинный за надлежащими подписями. Верно: Секретарь Суда</w:t>
      </w:r>
    </w:p>
    <w:p w14:paraId="1CB4EB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юрист 1-го ранга: (Батнер)» (10728).</w:t>
      </w:r>
    </w:p>
    <w:p w14:paraId="63C3A7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3F4C919" w14:textId="77777777" w:rsidR="00E37AF0" w:rsidRPr="00DB5D0D" w:rsidRDefault="00E37A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А.Н.Т. был приговорён ВКВС СССР к 15 годам ИТЛ. Почти все, проходившие по делу, получили по десять лет. Находясь в заключении, А.Н.Т. работал в закрытом КБ НКВД — ЦКБ-29 («Туполевская шарага»), там он создал бомбардировщик Ту-2, который пошел в серию и стал лучшим фронтовым бомбером СССР. В июле 1941 года от дальнейшего отбытия наказания был освобождён со снятием судимости. Но полностью реабилитирован Туполев был только через 2 года после смерти Сталина - в 1955 году (18531).</w:t>
      </w:r>
    </w:p>
    <w:p w14:paraId="40D3A56A" w14:textId="77777777" w:rsidR="00E37AF0" w:rsidRPr="00DB5D0D" w:rsidRDefault="00E37A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ДОКЛАДНАЯ ЗАПИСКА А.Л.ДЕДОВА, П.В.БАРАНОВА И И.А.СЕРОВА Н.С.ХРУЩЕВУ О РЕАБИЛИТАЦИИ А. Н.ТУПОЛЕВА, В. М. МЯСИЩЕВА, В. М. ПЕТЛЯКОВА И ДРУГИХ</w:t>
      </w:r>
    </w:p>
    <w:p w14:paraId="127DAB7A" w14:textId="77777777" w:rsidR="00E37AF0" w:rsidRPr="00DB5D0D" w:rsidRDefault="00E37A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первом листе записки имеется копия следующей резолюции Н. С. Хрущева от 28 февраля 1955 г.: «Членам Президиума ЦК КПСС. Согласен». — Сост. 23 февраля 1955 г. Секретарю ЦК КПСС товарищу Н. С. Хрущеву В соответствии с Вашим поручением нами рассмотрены следственные дела на Туполева А. Н. и других крупных специалистов авиационной промышленности, находившихся в заключении. В ходе ознакомления со следственными делами вызывались для беседы авиаспециалисты, находившиеся под арестом, а также были допрошены: бывший прокурор СССР Панкратьев, бывшие члены Военной Коллегии Верховного Суда СССР Матулевич и Орлов, принимавшие участие в заочном рассмотрении дел на работников авиационной промышленности. Кроме того, проведена проверка обвинений, предъявленных авиаспециалистам во время следствия, и отобраны объяснения от бывших следственных работников НКВД, занимавшихся в тот период расследованием дела на Туполева и других. В результате установлено: Туполев и другие видные работники авиационной промышленности были арестованы НКВД СССР в 1937–1938 гг. Конкретных материалов для обвинения в распоряжении НКВД не имелось, и все следствие строилось лишь на показаниях арестованных, оговоривших друг друга. От Туполева, например, были получены показания, что он из числа сотрудников ЦАГИ создал антисоветскую группу, участники которой в первые годы существования советской власти якобы занимались саботажем, а впоследствии объединились во вражескую организацию и вредительски сконструировали почти все самолеты. Вскоре после ареста Туполева были также арестованы все ведущие работники ЦАГИ — Мясищев, Петляков, Некрасов и другие. Все эти лица на допросах показали, что они будто бы занимались организованной антисоветской деятельностью. В последующем большинство специалистов авиационной промышленности отказались от ранее данных показаний, как от вымышленных, и заявили, что они оговорили себя в результате применения запрещенных методов следствия. В 1938 году все эти лица, не будучи осужденными, были направлены на работу в Особое техническое бюро при НКВД СССР и дела на них без рассмотрения судом были сданы в архив.</w:t>
      </w:r>
    </w:p>
    <w:p w14:paraId="7A28243C" w14:textId="77777777" w:rsidR="00E37AF0" w:rsidRPr="00DB5D0D" w:rsidRDefault="00E37A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приходом в НКВД Берия, он для того, чтобы создать видимость использования заключенных специалистов для пользы дела, добился обманным путем перед инстанцией осуждения 307 авиаспециалистов заочно на разные сроки, указав, что «рассмотрение этих дел в обычном порядке нецелесообразно, т. к. это оторвет специалистов от их работы и сорвет план работы Особого технического бюро». Приведя эти явно надуманные и совершенно несостоятельные доводы, Берия вместе с тем лживо утверждал, что вина арестованных специалистов в совершении государственных преступлений якобы доказана, и отмечал, что вызов обвиняемых в судебное заседание ничего не даст, так как они длительное время находились во взаимном общении и договорились о характере показаний, которые следует давать в будущем. Далее в письме Берия просил разрешения на создание специальной комиссии в составе его, Прокурора СССР и председателя Военной Коллегии Верховного Суда СССР, которая заочно определит меру наказания каждому из арестованных специалистов в виде лишения свободы на срок от 5 до 15 лет. В архиве КГБ имеются также протоколы заседаний указанной комиссии, которыми назначена мера наказания всем арестованным специалистам. В мае 1940 года Военная Коллегия Верховного Суда заочно рассмотрела дела на арестованных специалистов и всем им определила меры наказания в соответствии с решением этой комиссии. Таким образом были осуждены все арестованные специалисты, а впоследствии в 1940-44 гг., по ходатайству НКВД, Президиумом Верховного Совета СССР многие из них были освобождены со снятием судимости.</w:t>
      </w:r>
    </w:p>
    <w:p w14:paraId="7103057C" w14:textId="77777777" w:rsidR="00E37AF0" w:rsidRPr="00DB5D0D" w:rsidRDefault="00E37A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результате проверки всех следственных материалов по делам на Туполева, Петлякова, Мясищева и других установлено, что они в 1937–1938 гг. были арестованы и привлечены к уголовной ответственности необоснованно, а следственные материалы были сфальсифицированы в результате применению к ним мер физического воздействия. Проверкой по Министерству авиационной промышленности установлено, что многие сконструированные Туполевым и другими работниками ЦАГИ самолеты, о которых следствие добилось показаний, как о сделанных вредительски, изготовлялись в серийном производстве и в свое время считались первоклассными (ТБ-3, СБ и др.). При этом бомбардировщик СБ получил очень высокую оценку во время боевых действий в Испании. В связи с изложенным считаем целесообразным поручить Генеральному Прокурору СССР внести в Верховный Суд СССР протесты по делам на Туполева и других специалистов авиационной промышленности об их полной реабилитации. В отношении работников быв. НКВД, допустивших нарушение социалистической законности по этим делам, провести расследование.</w:t>
      </w:r>
    </w:p>
    <w:p w14:paraId="1BF65146" w14:textId="77777777" w:rsidR="00E37AF0" w:rsidRPr="00DB5D0D" w:rsidRDefault="00E37A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Дедов П. Баранов И. Серов АП РФ. Ф. 3. Оп. 24. Д. 440. Л. 56–58. Копия. Машинопись (18531).</w:t>
      </w:r>
    </w:p>
    <w:p w14:paraId="53989B35" w14:textId="77777777" w:rsidR="00E37AF0" w:rsidRPr="00DB5D0D" w:rsidRDefault="00E37AF0" w:rsidP="00DB5D0D">
      <w:pPr>
        <w:spacing w:after="0" w:line="240" w:lineRule="auto"/>
        <w:jc w:val="both"/>
        <w:rPr>
          <w:rFonts w:ascii="Times New Roman" w:hAnsi="Times New Roman"/>
          <w:color w:val="000000" w:themeColor="text1"/>
          <w:sz w:val="16"/>
          <w:szCs w:val="16"/>
        </w:rPr>
      </w:pPr>
    </w:p>
    <w:p w14:paraId="2087239C" w14:textId="77777777" w:rsidR="00E37AF0" w:rsidRPr="00DB5D0D" w:rsidRDefault="00E37AF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28 мая 1940 в течение </w:t>
      </w:r>
      <w:r w:rsidRPr="00DB5D0D">
        <w:rPr>
          <w:rFonts w:ascii="Times New Roman" w:eastAsia="Times New Roman" w:hAnsi="Times New Roman"/>
          <w:i/>
          <w:iCs/>
          <w:color w:val="000000" w:themeColor="text1"/>
          <w:sz w:val="16"/>
          <w:szCs w:val="16"/>
          <w:lang w:eastAsia="ru-RU"/>
        </w:rPr>
        <w:t>одного</w:t>
      </w:r>
      <w:r w:rsidRPr="00DB5D0D">
        <w:rPr>
          <w:rFonts w:ascii="Times New Roman" w:eastAsia="Times New Roman" w:hAnsi="Times New Roman"/>
          <w:color w:val="000000" w:themeColor="text1"/>
          <w:sz w:val="16"/>
          <w:szCs w:val="16"/>
          <w:lang w:eastAsia="ru-RU"/>
        </w:rPr>
        <w:t> выездного заседания Военная коллегия сумела, по-стахановски, заочно осудить больше 100 заключенных из ЦКБ-29 и ОКБ-82! (19568).</w:t>
      </w:r>
    </w:p>
    <w:p w14:paraId="7B6DEBF7" w14:textId="77777777" w:rsidR="00E37AF0" w:rsidRPr="00DB5D0D" w:rsidRDefault="00E37AF0" w:rsidP="00DB5D0D">
      <w:pPr>
        <w:spacing w:after="0" w:line="240" w:lineRule="auto"/>
        <w:jc w:val="both"/>
        <w:rPr>
          <w:rFonts w:ascii="Times New Roman" w:hAnsi="Times New Roman"/>
          <w:color w:val="000000" w:themeColor="text1"/>
          <w:sz w:val="16"/>
          <w:szCs w:val="16"/>
        </w:rPr>
      </w:pPr>
    </w:p>
    <w:p w14:paraId="430249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w:t>
      </w:r>
    </w:p>
    <w:p w14:paraId="49D747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СОЮЗ СОВЕТСКИХ СОЦИАЛИСТИЧЕСКИХ РЕСПУБЛИК</w:t>
      </w:r>
    </w:p>
    <w:p w14:paraId="62EB1C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ВОЕННАЯ КОЛЛЕГИЯ ВЕРХОВНОГО СУДА СОЮЗА ССР в составе:</w:t>
      </w:r>
    </w:p>
    <w:p w14:paraId="70A3EE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председательствующего Нрквоенюрист В.В.УЛЬРИХА и Корвоенюриста И.О.УАТУЛЕЗИЧА и Диввоенюриста А.И.ОРЛОЗА При секретаре военном юристе 1 ранга - A.A.БATHЕP</w:t>
      </w:r>
    </w:p>
    <w:p w14:paraId="5BFB68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закрытом судебном заседании в гор. Москве 28 мая 1940 г. рассмотрела дело по обвинении: ТУПОЛЕВА Андрея Николаевича, 188ег.р., бывш. Заместителя Начальника 1-го главного Управления НКОП - в преступлениях,предусмотренных ст.ст.58-5,58-7,58-9 и 53-11 игрйср.</w:t>
      </w:r>
    </w:p>
    <w:p w14:paraId="56D982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Предварительным и судебным следствием установлено, что ТУПОЛЕВ возглавлял антисоветскую вредительскую организацию в авиационной промышленности, как сам лично, так и через своих соучастников проводил диверсионную вредительскую работу, направленную на ослабление обороноспособности Советского союза. Кроме того, ТУПОЛЕВ с 1924г. являлся агентом французской разведки и через МОРГУЛИСА передавал французской разведки сведения, составляющие государственную тайну Советского Союза.</w:t>
      </w:r>
    </w:p>
    <w:p w14:paraId="71746D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ТУПОЛЕВ совершил преступления, предусмотренные ст.ст.58-5758-7,58-9 и 58-11 УК РСФСР.</w:t>
      </w:r>
    </w:p>
    <w:p w14:paraId="1AA6C2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изложенного и руководствуясь ст.ст.319 и 320 УПК PCiCP Военная Коллегия Верховного суда Союза</w:t>
      </w:r>
    </w:p>
    <w:p w14:paraId="0A8AEE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ПРИГОВОРИЛА:</w:t>
      </w:r>
    </w:p>
    <w:p w14:paraId="0EEDD7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ТУПОЛЕВА Андрея Николаевича к лишению свободы сроком на ПЯТНАДЦАТЬ лет с поражением в политических правах на ПЯТЬ лет и с конфискацией всего лично принадлежащего ему имущества.</w:t>
      </w:r>
    </w:p>
    <w:p w14:paraId="5583AC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отбытия наказания - лишение свободы ТУПОЛЁЗУ исчислять с 21 октября 1937 г.</w:t>
      </w:r>
    </w:p>
    <w:p w14:paraId="378513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Приговор окончательный и обжалованию не подлежит.</w:t>
      </w:r>
    </w:p>
    <w:p w14:paraId="0755E2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Верно Батнер (11988).</w:t>
      </w:r>
    </w:p>
    <w:p w14:paraId="04E54DE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EA6E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года Начальник ГУАС комдив Алексеев и Военком ГУАС бригадный комиссар Князев 29 мая 1940 года утвердили Отчет по гос. испытанию опытного самолета СБ-РК 2М-105 конструктора Архангельского</w:t>
      </w:r>
    </w:p>
    <w:p w14:paraId="1BAF97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3A4A61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1 ранга Ефимов</w:t>
      </w:r>
    </w:p>
    <w:p w14:paraId="529D3A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полковник Кабанов</w:t>
      </w:r>
    </w:p>
    <w:p w14:paraId="74D10E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принят на испытания 11 мая 1940 года</w:t>
      </w:r>
    </w:p>
    <w:p w14:paraId="13132B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закончил испытания 15 мая 1940 года</w:t>
      </w:r>
    </w:p>
    <w:p w14:paraId="616F56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5 дней</w:t>
      </w:r>
    </w:p>
    <w:p w14:paraId="074B9A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4 дня</w:t>
      </w:r>
    </w:p>
    <w:p w14:paraId="7A8553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Проведено полетов – 10</w:t>
      </w:r>
    </w:p>
    <w:p w14:paraId="67E4C1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Часов налета – 7 час. 25 мин.</w:t>
      </w:r>
    </w:p>
    <w:p w14:paraId="4DED23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D855EB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летных характеристик самолета.</w:t>
      </w:r>
    </w:p>
    <w:p w14:paraId="208FDB1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Проверка работы винтомоторной группы с новыми моторами и радиаторами в крыле.</w:t>
      </w:r>
    </w:p>
    <w:p w14:paraId="49D3D8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СБ-РК (№ 2/281) имеет следующие основные изменения по сравнению с самолетами СБ 221-й серии:</w:t>
      </w:r>
    </w:p>
    <w:p w14:paraId="5F1E7DA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Установлено уменьшенное крыло (на 7,7 м кв.) по типу самолета ММН с переделками для размещения радиатора в крыле.</w:t>
      </w:r>
    </w:p>
    <w:p w14:paraId="2FC774E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Уменьшено вертикальное оперение и увеличена площадь посадочных щитков по типу ММН.</w:t>
      </w:r>
    </w:p>
    <w:p w14:paraId="11DC270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Радиаторы водяные и водомасляные размещены в специальных тоннелях внутри крыла – на левом крыле сотовый водорадиатор блочной конструкции (водяной и водомасляный радиаторы в одном агрегате), на правом крыле ребристый водорадиатор и отдельный водомасляный радиатор. Оба радиатора до этого испытаний не проходили и установлены на самолете впервые.</w:t>
      </w:r>
    </w:p>
    <w:p w14:paraId="45D1BCA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новые моторные рамы и новые капоты.</w:t>
      </w:r>
    </w:p>
    <w:p w14:paraId="1A3EA08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Всасывающие патрубки расположены снизу под капотом по типу ММН, но с улучшенной формой канала.</w:t>
      </w:r>
    </w:p>
    <w:p w14:paraId="6FA1BA7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Новые выхлопные коллекторы.</w:t>
      </w:r>
    </w:p>
    <w:p w14:paraId="2A7BCD3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Фонарь пилота сделан утопленным в закрытом положении (заподлицо с поверхностью фюзеляжа).</w:t>
      </w:r>
    </w:p>
    <w:p w14:paraId="6A7B6F7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установлены опытные моторы М-105 с опытными винтами ВИШ-22Е и РПО-Р2.</w:t>
      </w:r>
    </w:p>
    <w:p w14:paraId="1C6F4D6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установкой радиаторов на крыле уменьшена емкость бензобаков на 340 литров (250 кг).</w:t>
      </w:r>
    </w:p>
    <w:p w14:paraId="74F9D60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предъявлен на испытания без турелей МВ-3 и МВ-2 и без наружных балок для подвески бомб. Конструктор Архангельский представил чертежи поднимающегося колпака в Ф-3 и размещения замков для наружных бомбодержателей внутри крыла, разработанные им для модернизации самолетов СБ во II половине 1940 года.</w:t>
      </w:r>
    </w:p>
    <w:p w14:paraId="2F94309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Клепка впотай выполнена только на передней кромке крыла.</w:t>
      </w:r>
    </w:p>
    <w:p w14:paraId="6319FD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Консоли крыла производственно выполнены неудовлетворительно; имеют значительную волнистость поверхности.</w:t>
      </w:r>
    </w:p>
    <w:p w14:paraId="7714A6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E43CC0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СБ-РК 2М-105 показал максимальную скорость 480 км/час, что на 35 км/час выше серийных самолетов СБ 221-й серии без турелей МВ-3 и МВ-2, причем пилотажные качества самолета незначительно отличаются от СБ.</w:t>
      </w:r>
    </w:p>
    <w:p w14:paraId="39F6C81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Предложить заводу № 22:</w:t>
      </w:r>
    </w:p>
    <w:p w14:paraId="4B66DF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июля 1940 года предъявить на гос. испытания эталон, изготовленный на базе самолета СБ-РК, а также немедленно приступить к изготовлению серии самолетов в количестве 15 штук для войсковых испытаний (4480).</w:t>
      </w:r>
    </w:p>
    <w:p w14:paraId="44AAD6C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8FD83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появилось ре</w:t>
      </w:r>
      <w:r w:rsidRPr="00DB5D0D">
        <w:rPr>
          <w:rFonts w:ascii="Times New Roman" w:hAnsi="Times New Roman"/>
          <w:color w:val="000000" w:themeColor="text1"/>
          <w:sz w:val="16"/>
          <w:szCs w:val="16"/>
        </w:rPr>
        <w:softHyphen/>
        <w:t>шение запустить в серию СБ-РК А.А.Архангельского в варианте пикирующего бомбардировщика. 1 июня вы</w:t>
      </w:r>
      <w:r w:rsidRPr="00DB5D0D">
        <w:rPr>
          <w:rFonts w:ascii="Times New Roman" w:hAnsi="Times New Roman"/>
          <w:color w:val="000000" w:themeColor="text1"/>
          <w:sz w:val="16"/>
          <w:szCs w:val="16"/>
        </w:rPr>
        <w:softHyphen/>
        <w:t>шло постановление Комитета Обороны о постройке на заводе № 156 самолета аналогичного назначения «103» А.Н.Туполева, как и «100» спроектированного заключен</w:t>
      </w:r>
      <w:r w:rsidRPr="00DB5D0D">
        <w:rPr>
          <w:rFonts w:ascii="Times New Roman" w:hAnsi="Times New Roman"/>
          <w:color w:val="000000" w:themeColor="text1"/>
          <w:sz w:val="16"/>
          <w:szCs w:val="16"/>
        </w:rPr>
        <w:softHyphen/>
        <w:t>ными конструкторами (10667).</w:t>
      </w:r>
    </w:p>
    <w:p w14:paraId="60B079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D3EA3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в ходе заводских испытаний И-200 А.И.М, которые проходили с 31 марта по 17 августа 1940, на И-200-1 был выполнен полет на скороподъемность (25 по счету) (2988).</w:t>
      </w:r>
    </w:p>
    <w:p w14:paraId="17222E8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60D7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Нач. ЛТГ НКАП М.М.Г. докладывал Зам Наркома А.С.Я.:</w:t>
      </w:r>
    </w:p>
    <w:p w14:paraId="3F3542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28 мая с.г. я совместно с тт. Юмашевым и Чесаловым ознакомился с результатами заводских испытаний самолета И-180 конструкции Н.Н.П.</w:t>
      </w:r>
    </w:p>
    <w:p w14:paraId="793C2A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И-180 с мотором М-88 прошел полностью заводские испытания.</w:t>
      </w:r>
    </w:p>
    <w:p w14:paraId="143598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данным КБ самолет имеет скорость 570 км/час на 7000 м, на 10-12 км. завышенную за счет того, что заводом не вводились поправки на сжимаемость и давление воздуха и за счет неправильного измерения температуры воздуха (в конце площадок на больших скоростях).</w:t>
      </w:r>
    </w:p>
    <w:p w14:paraId="673109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продувкам самолет с зажатым управлением при расчетной центровке 25% имеет небольшую положительную устойчивость на малых углах атаки. На близ посадочных углах устойчивость самолета близка к нейтральной.</w:t>
      </w:r>
    </w:p>
    <w:p w14:paraId="5F4D70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опытном экземпляре фактическая центровка 28%. С этой центровкой по словам пилота самолет на всех режимах имеет нейтральную устойчивость с брошенным управлением. Это требует проверки путем облета, т.к. мнение пилота не подкрепляется какой либо объективной методикой.</w:t>
      </w:r>
    </w:p>
    <w:p w14:paraId="38F1A1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То же самое можно сказать и про поперечную и путевую устойчивость.</w:t>
      </w:r>
    </w:p>
    <w:p w14:paraId="28DC7C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Предложено пилоту, по определенной методике проверить устойчивость на 3-х различных режимах полета." (1379).</w:t>
      </w:r>
    </w:p>
    <w:p w14:paraId="2D9B37F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BF3C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Нач. ЛТГ НКАП М.М.Г. докладывал Зам Наркома А.С.Я. (вход. 2587сс от 29 мая 1940):</w:t>
      </w:r>
    </w:p>
    <w:p w14:paraId="61901D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27 мая 1940 мною совместно с Юмашевым и Чесаловым была проверена документация на выпуск в первый полет самолета ИС конструкции Шевченко.</w:t>
      </w:r>
    </w:p>
    <w:p w14:paraId="70CA3D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представленного заключения ЦАГИ о критических скоростях флаттера крыльев предельная скорость для верхнего крыла ограничивается 770 км/час (вариант моноплана) и 500 км/час для нижнего крыла (вариант биплана).</w:t>
      </w:r>
    </w:p>
    <w:p w14:paraId="199705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 на флаттер хвостового оперения не производился, но в документации имеется заключение и 11 ГУ Столбового о возможности выпуска самолета в полет с ограничением скорости полета 500 км.</w:t>
      </w:r>
    </w:p>
    <w:p w14:paraId="51CC57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Материалы продувок самолета в большой требе очень ограничены. Они освещают главным образом вопрос об уборке и выпускании нижнего крыла. Продувки показывают положительные результаты.</w:t>
      </w:r>
    </w:p>
    <w:p w14:paraId="27347F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об устойчивости самолета освещен продувками слабо. Имеющийся материал дает возможность судить о продольной устойчивости с зажатыми рулями в безмоторном полете при центровке 27.3%. Устойчивость в этом случае имеется в диапазоне углов атаки от 4 до 16 гр. В зоне меньших углов атаки машина уже близка к нейтральной.</w:t>
      </w:r>
    </w:p>
    <w:p w14:paraId="241647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ясно, будет ли самолет при этой центровке устойчив в моторном полете с брошенной ручкой в зоне малых углов атаки. При центровке 30%, с которой собираются выпускать самолет в первый полет, судя по продувкам самолет на малых углах атаки будет неустойчив даже при зажатой ручке.</w:t>
      </w:r>
    </w:p>
    <w:p w14:paraId="05B6C7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безопасности первого полета считаю необходимым создать искусственную центровку, равную 27.3% САХ, при которой производились его продувки.</w:t>
      </w:r>
    </w:p>
    <w:p w14:paraId="5014F2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необходимым до первого полета произвести несколько подлетов, с целью уточнения продольной балансировки самолета на отрыве." (1379,227).</w:t>
      </w:r>
    </w:p>
    <w:p w14:paraId="4EB7877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D400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мая 1940 начались заводские испытания ИС с М-63 (2090,232).</w:t>
      </w:r>
    </w:p>
    <w:p w14:paraId="6D1497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F94A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было подготовлено Постановление Главного Военного Совета КА по системе вооружений. В разделе, относящемся к авиации, говорилось: “Оставить на вооружении самолетов РС-82 и РС-132 осколочно-фугасного действия, а также коллиматорный прицел ПАН-23 для стрельбы РС....Утвердить в целях обеспечения перспективы в развитии авиационной техники следующую схему и основные требования к строительству самолетов и моторов на период 1940-43 гг.:...4) о вооружении самолетов: а) скоростные одноместные одномоторные и - на всех самолетах предусматривается съемная установка восьми РС-82 (4211.34).</w:t>
      </w:r>
    </w:p>
    <w:p w14:paraId="7BA756C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B8436A" w14:textId="77777777" w:rsidR="00A25AD1" w:rsidRPr="00DB5D0D" w:rsidRDefault="00A25AD1" w:rsidP="00DB5D0D">
      <w:pPr>
        <w:pStyle w:val="24"/>
        <w:widowControl/>
        <w:rPr>
          <w:color w:val="000000" w:themeColor="text1"/>
        </w:rPr>
      </w:pPr>
      <w:r w:rsidRPr="00DB5D0D">
        <w:rPr>
          <w:color w:val="000000" w:themeColor="text1"/>
        </w:rPr>
        <w:t>С 28 мая по 7 июня 1940 на НИП АВ проходили полигонные испытания металлических ампул АЖ-2 из двух сплошных полусфер со швом в "нахлест" конструкции завода № 67</w:t>
      </w:r>
    </w:p>
    <w:p w14:paraId="00FF2BED" w14:textId="77777777" w:rsidR="00A25AD1" w:rsidRPr="00DB5D0D" w:rsidRDefault="00A25AD1" w:rsidP="00DB5D0D">
      <w:pPr>
        <w:pStyle w:val="24"/>
        <w:widowControl/>
        <w:rPr>
          <w:color w:val="000000" w:themeColor="text1"/>
        </w:rPr>
      </w:pPr>
      <w:r w:rsidRPr="00DB5D0D">
        <w:rPr>
          <w:color w:val="000000" w:themeColor="text1"/>
        </w:rPr>
        <w:t>Отв. исполнитель:</w:t>
      </w:r>
    </w:p>
    <w:p w14:paraId="5844E495" w14:textId="77777777" w:rsidR="00A25AD1" w:rsidRPr="00DB5D0D" w:rsidRDefault="00A25AD1" w:rsidP="00DB5D0D">
      <w:pPr>
        <w:pStyle w:val="24"/>
        <w:widowControl/>
        <w:rPr>
          <w:color w:val="000000" w:themeColor="text1"/>
        </w:rPr>
      </w:pPr>
      <w:r w:rsidRPr="00DB5D0D">
        <w:rPr>
          <w:color w:val="000000" w:themeColor="text1"/>
        </w:rPr>
        <w:t>В/инженер 3 ранга Лукашев</w:t>
      </w:r>
    </w:p>
    <w:p w14:paraId="66021EE4" w14:textId="77777777" w:rsidR="00A25AD1" w:rsidRPr="00DB5D0D" w:rsidRDefault="00A25AD1" w:rsidP="00DB5D0D">
      <w:pPr>
        <w:pStyle w:val="24"/>
        <w:widowControl/>
        <w:rPr>
          <w:color w:val="000000" w:themeColor="text1"/>
        </w:rPr>
      </w:pPr>
      <w:r w:rsidRPr="00DB5D0D">
        <w:rPr>
          <w:color w:val="000000" w:themeColor="text1"/>
        </w:rPr>
        <w:t>Цель испытания</w:t>
      </w:r>
    </w:p>
    <w:p w14:paraId="7A67F24E" w14:textId="77777777" w:rsidR="00A25AD1" w:rsidRPr="00DB5D0D" w:rsidRDefault="00A25AD1" w:rsidP="00DB5D0D">
      <w:pPr>
        <w:pStyle w:val="24"/>
        <w:widowControl/>
        <w:rPr>
          <w:color w:val="000000" w:themeColor="text1"/>
        </w:rPr>
      </w:pPr>
      <w:r w:rsidRPr="00DB5D0D">
        <w:rPr>
          <w:color w:val="000000" w:themeColor="text1"/>
        </w:rPr>
        <w:t>Целью полигонных испытаний ампул из двух сплошных полусфер, являлось определение следующих элементов:</w:t>
      </w:r>
    </w:p>
    <w:p w14:paraId="00C7A69B" w14:textId="77777777" w:rsidR="00A25AD1" w:rsidRPr="00DB5D0D" w:rsidRDefault="00A25AD1" w:rsidP="00DB5D0D">
      <w:pPr>
        <w:pStyle w:val="24"/>
        <w:widowControl/>
        <w:rPr>
          <w:color w:val="000000" w:themeColor="text1"/>
        </w:rPr>
      </w:pPr>
      <w:r w:rsidRPr="00DB5D0D">
        <w:rPr>
          <w:color w:val="000000" w:themeColor="text1"/>
        </w:rPr>
        <w:t>а) прочности и надежности конструкции;</w:t>
      </w:r>
    </w:p>
    <w:p w14:paraId="064F3CFD" w14:textId="77777777" w:rsidR="00A25AD1" w:rsidRPr="00DB5D0D" w:rsidRDefault="00A25AD1" w:rsidP="00DB5D0D">
      <w:pPr>
        <w:pStyle w:val="24"/>
        <w:widowControl/>
        <w:rPr>
          <w:color w:val="000000" w:themeColor="text1"/>
        </w:rPr>
      </w:pPr>
      <w:r w:rsidRPr="00DB5D0D">
        <w:rPr>
          <w:color w:val="000000" w:themeColor="text1"/>
        </w:rPr>
        <w:t>б) характера разрушения оболочки ампулы при ударе о преграду;</w:t>
      </w:r>
    </w:p>
    <w:p w14:paraId="28E35DA0" w14:textId="77777777" w:rsidR="00A25AD1" w:rsidRPr="00DB5D0D" w:rsidRDefault="00A25AD1" w:rsidP="00DB5D0D">
      <w:pPr>
        <w:pStyle w:val="24"/>
        <w:widowControl/>
        <w:rPr>
          <w:color w:val="000000" w:themeColor="text1"/>
        </w:rPr>
      </w:pPr>
      <w:r w:rsidRPr="00DB5D0D">
        <w:rPr>
          <w:color w:val="000000" w:themeColor="text1"/>
        </w:rPr>
        <w:t>в) характера разбрызгивания жидкости на площади (у ампул с полным и частичным разрушением оболочки);</w:t>
      </w:r>
    </w:p>
    <w:p w14:paraId="358B8C70" w14:textId="77777777" w:rsidR="00A25AD1" w:rsidRPr="00DB5D0D" w:rsidRDefault="00A25AD1" w:rsidP="00DB5D0D">
      <w:pPr>
        <w:pStyle w:val="24"/>
        <w:widowControl/>
        <w:rPr>
          <w:color w:val="000000" w:themeColor="text1"/>
        </w:rPr>
      </w:pPr>
      <w:r w:rsidRPr="00DB5D0D">
        <w:rPr>
          <w:color w:val="000000" w:themeColor="text1"/>
        </w:rPr>
        <w:t>г) возможность замены серийной ампулы АЖ-2 на ампулу из двух сплошных полусфер.</w:t>
      </w:r>
    </w:p>
    <w:p w14:paraId="45977FEA" w14:textId="77777777" w:rsidR="00A25AD1" w:rsidRPr="00DB5D0D" w:rsidRDefault="00A25AD1" w:rsidP="00DB5D0D">
      <w:pPr>
        <w:pStyle w:val="24"/>
        <w:widowControl/>
        <w:rPr>
          <w:color w:val="000000" w:themeColor="text1"/>
        </w:rPr>
      </w:pPr>
      <w:r w:rsidRPr="00DB5D0D">
        <w:rPr>
          <w:color w:val="000000" w:themeColor="text1"/>
        </w:rPr>
        <w:t>Ампулы АЖ-2 из двух сплошных полусфер со швом в "нахлест" являются дальнейшей попыткой удешевления серийной ампулы АЖ-2, гл. образом за счет упрощения технологии изготовления.</w:t>
      </w:r>
    </w:p>
    <w:p w14:paraId="60130048" w14:textId="77777777" w:rsidR="00A25AD1" w:rsidRPr="00DB5D0D" w:rsidRDefault="00A25AD1" w:rsidP="00DB5D0D">
      <w:pPr>
        <w:pStyle w:val="24"/>
        <w:widowControl/>
        <w:rPr>
          <w:color w:val="000000" w:themeColor="text1"/>
        </w:rPr>
      </w:pPr>
      <w:r w:rsidRPr="00DB5D0D">
        <w:rPr>
          <w:color w:val="000000" w:themeColor="text1"/>
        </w:rPr>
        <w:t>Заключение</w:t>
      </w:r>
    </w:p>
    <w:p w14:paraId="53FEC6E9" w14:textId="77777777" w:rsidR="00A25AD1" w:rsidRPr="00DB5D0D" w:rsidRDefault="00A25AD1" w:rsidP="00DB5D0D">
      <w:pPr>
        <w:pStyle w:val="24"/>
        <w:widowControl/>
        <w:tabs>
          <w:tab w:val="left" w:pos="360"/>
        </w:tabs>
        <w:rPr>
          <w:color w:val="000000" w:themeColor="text1"/>
        </w:rPr>
      </w:pPr>
      <w:r w:rsidRPr="00DB5D0D">
        <w:rPr>
          <w:color w:val="000000" w:themeColor="text1"/>
        </w:rPr>
        <w:t>Предъявленные на полигонные испытания ампулы из двух сплошных полусфер со швом в "нахлест", конструкции завода № 67, полигонные испытания не выдержали (7648).</w:t>
      </w:r>
    </w:p>
    <w:p w14:paraId="7021C30A" w14:textId="77777777" w:rsidR="00A25AD1" w:rsidRPr="00DB5D0D" w:rsidRDefault="00A25AD1" w:rsidP="00DB5D0D">
      <w:pPr>
        <w:pStyle w:val="24"/>
        <w:widowControl/>
        <w:tabs>
          <w:tab w:val="left" w:pos="360"/>
        </w:tabs>
        <w:rPr>
          <w:color w:val="000000" w:themeColor="text1"/>
        </w:rPr>
      </w:pPr>
    </w:p>
    <w:p w14:paraId="5A4454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вышло Постановление Главного Военного Совета Красной Армии по системе вооружений, где говорилось: «... ввести на вооружение ракетные бетонобойные авиабомбы для бомбометания с пикирования БЕТАБ-150ДС. На период 1940-1943 гг. предусмотреть применение ближними одномоторными двухместными бомбардировщиками и средними двухмоторными бомбардировщиками с пикирования ракетных БЕТАБ-150ДС» (7453).</w:t>
      </w:r>
    </w:p>
    <w:p w14:paraId="0A5CA6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F5EB4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в проекте Постановления ГВС КА по системе вооружения пришлось изменить пункт о необходимости ввести на вооружение ракетные бронебойные авиабомбы для бомбометания с пикирования - БРАБ-500ДС.</w:t>
      </w:r>
    </w:p>
    <w:p w14:paraId="0F4740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По-видимому, в этих авиабомбах ВВС остро нуждались. На эту мысль наводит документ «Ведомость наличия боеприпасов ВВС КА по округам на 1 апреля 1940 г.», где указано, что 254-мм БРАБ-500ДС уже начали рассылать на окружные склады. Так, 46 штук отгрузили в адрес Первой Отдельной Краснознаменной армии, 75 штук - в ЛВО и 15 - в КОВО.</w:t>
      </w:r>
    </w:p>
    <w:p w14:paraId="3B7D54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создании авиабомбы, отвечающей требованиям ТТТ заказчика по максимальной скорости на траектории, было изготовлено и испытано по меньшей мере три типа бронебойных авиабомб калибра 254 мм - массой 400, 450 и 500 кг. На вооружение они так и не поступили в связи с начавшейся Великой Отечественной войной (7453).</w:t>
      </w:r>
    </w:p>
    <w:p w14:paraId="5218EFD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61DE4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мая по 1 июня 1940 года на летной базе НИИ ГУАС проходили заводские полетные испытания опытных образцов фотобомб Фотаб-25, изготовленных ГСКБ-47 и НИИ-6 НКБ.</w:t>
      </w:r>
    </w:p>
    <w:p w14:paraId="73E3EB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испытания – ст. инженер Сафронов Л.Т.</w:t>
      </w:r>
    </w:p>
    <w:p w14:paraId="09D16F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42A78B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пригодность для целей ночной аэрофотосъемки опытных фотобомб Фотаб-25.</w:t>
      </w:r>
    </w:p>
    <w:p w14:paraId="308E66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209160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Продолжить заводские испытания Фотаб-25 …………………..(7536).</w:t>
      </w:r>
    </w:p>
    <w:p w14:paraId="119F574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28E2EF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по итогам испытаний в 1 отделе 3 управления ГУАС КА Научно-тех</w:t>
      </w:r>
      <w:r w:rsidRPr="00DB5D0D">
        <w:rPr>
          <w:rFonts w:ascii="Times New Roman" w:hAnsi="Times New Roman"/>
          <w:color w:val="000000" w:themeColor="text1"/>
          <w:sz w:val="16"/>
          <w:szCs w:val="16"/>
        </w:rPr>
        <w:softHyphen/>
        <w:t>ническим журналом №081 постановили изготовить опытную серию РО-82, присвоив им номер модели 40-035к и индекс №С - 2-РУ-223. Орудию РО-132 присвоили номер модели 40-036к и ин-скс ВВС - 2-РУ-322. Все пусковые предыдущих моделей подлежали гию с производства.</w:t>
      </w:r>
    </w:p>
    <w:p w14:paraId="24F852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спустя всего пару месяцев, старший военпред завода №32 НКАП военинженер 2 ранга Огородников в соавторсгве с инженерами Голиковым и Щербаковым предложил еше более простую конструкцию пусковых. Для начала они «покусились» на ракетное орудие калибра 82 На фоне предыдущего образца, новое орудие назвали облегченным вариантом. Из него полностью исключили все детали из цветных металлов. Дюралецую трубу, выполнявшую ранее функцию несущей, заменили стальным П-образным профилем, отштампованным из листовой ста</w:t>
      </w:r>
      <w:r w:rsidRPr="00DB5D0D">
        <w:rPr>
          <w:rFonts w:ascii="Times New Roman" w:hAnsi="Times New Roman"/>
          <w:color w:val="000000" w:themeColor="text1"/>
          <w:sz w:val="16"/>
          <w:szCs w:val="16"/>
        </w:rPr>
        <w:softHyphen/>
        <w:t>ра марки 20А.</w:t>
      </w:r>
    </w:p>
    <w:p w14:paraId="657688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Пиропистолет предельно упростили. Он представлял собой изогнутуютрубку, упрочненную в задней части стальным гребнем. Патронник пиропатрона перенесли в верхнюю часть. В отличие от всех предыдуших конструкций, такой пиропистолет обладал минимальным лобовым сопротивлением (11402).</w:t>
      </w:r>
    </w:p>
    <w:p w14:paraId="0F59E1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62803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в Постановлении Главного Военного Совета Красной Армии по системе вооружений говорилось: «... ввести на вооружение ракетные бетонобойные авиабомбы для бомбометания с пикирования БЕТАБ-150ДС.</w:t>
      </w:r>
    </w:p>
    <w:p w14:paraId="4813A2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период 1940-43 гг. предусмотреть применение ближними одномотор-лми двухместными бомбардировщиками и средними двухмоторными омбардировшиками с пикирования ракетных БЕТАБ-150ДС».</w:t>
      </w:r>
    </w:p>
    <w:p w14:paraId="3451AA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Между тем, темпы пополнения запасов бетонобойных ракетных виабомб нарастали, в то время как выпуск обычных бетонобойных боеприпасов крупного калибра несколько снизился. К примеру, в расчетной едомости обоснования мобилизационной заявки на 1940-1941 гг. по авиационным боеприпасам, на начало 1940 г. при потребности на год бо</w:t>
      </w:r>
      <w:r w:rsidRPr="00DB5D0D">
        <w:rPr>
          <w:rFonts w:ascii="Times New Roman" w:hAnsi="Times New Roman"/>
          <w:color w:val="000000" w:themeColor="text1"/>
          <w:sz w:val="16"/>
          <w:szCs w:val="16"/>
        </w:rPr>
        <w:softHyphen/>
        <w:t>евых действий в 5000 шт. БЕТАБ-150ДС, в наличии их уже имелось 2718 шт. К концу 1940 г. ожидалось поступление сше 1098 шт., а к концу 1941 г. - еще 3816 шт. (11402)</w:t>
      </w:r>
    </w:p>
    <w:p w14:paraId="3C092E2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3B7D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был подготовлен проект Постановления ГВС КА по системе вооружения, в котором говорилось, что необходимо ввести на вооружение ракетные бронебойные авиабомбы БРАБ-200ДС для бомбометания с пикиро</w:t>
      </w:r>
      <w:r w:rsidRPr="00DB5D0D">
        <w:rPr>
          <w:rFonts w:ascii="Times New Roman" w:hAnsi="Times New Roman"/>
          <w:color w:val="000000" w:themeColor="text1"/>
          <w:sz w:val="16"/>
          <w:szCs w:val="16"/>
        </w:rPr>
        <w:softHyphen/>
        <w:t xml:space="preserve">вания. А в пункте «в» значилось: «Утвердить в целях обеспечения перспективы в развитии </w:t>
      </w:r>
      <w:r w:rsidRPr="00DB5D0D">
        <w:rPr>
          <w:rFonts w:ascii="Times New Roman" w:hAnsi="Times New Roman"/>
          <w:color w:val="000000" w:themeColor="text1"/>
          <w:sz w:val="16"/>
          <w:szCs w:val="16"/>
        </w:rPr>
        <w:lastRenderedPageBreak/>
        <w:t>авиационной техники основные требования к строительству самолетов и моторов на период 1940-43 гг. для ближних одномоторных двухместных бомбардировщиков и средних двухмоторных бомбардировщиков "применение с пикирования ракетных БРАБ-200ДС” (11402).</w:t>
      </w:r>
    </w:p>
    <w:p w14:paraId="5043FB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B122E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в проекте Установления ГВС КА по системе вооружения говорилось: «Ввести на вооружение ракетные бронебойные авиабомбы для бомбометания с пикирования БРАБ-500ДС. Утвердить в целях обеспечения перспективы в развитии авиационной техники следующую схему и основные требования к строительству самолетов и моторов на период 1940-43 гг. средние двухмоторные бомбардировщики - предусмотреть применение с пикирования ракетных БРАБ-500ДС». 1 мая 1940 г. в планах разработок вооружения и боеприпасов в пункте 10 значилось: «Ввести на вооружение ракетно-бронебойные авиабомбы БРАБ-400ДС» (11402).</w:t>
      </w:r>
    </w:p>
    <w:p w14:paraId="639D98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FF31E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из проекта Постановления ГВС КА по системе вооружения: «Оставить на вооружении самолетов РС-82 и РС-132 осколочно фугасного действия, а также коллиматорный прицел ПАН-23 для стрельбы РС. Утвердить в целях обеспечения перспективы в развитии авиаци</w:t>
      </w:r>
      <w:r w:rsidRPr="00DB5D0D">
        <w:rPr>
          <w:rFonts w:ascii="Times New Roman" w:hAnsi="Times New Roman"/>
          <w:color w:val="000000" w:themeColor="text1"/>
          <w:sz w:val="16"/>
          <w:szCs w:val="16"/>
        </w:rPr>
        <w:softHyphen/>
        <w:t>онной техники следующую схему и основные требования к строительст ву самолетов и моторов на период 1940-43 гг.: 4) о вооружении самолетов-</w:t>
      </w:r>
    </w:p>
    <w:p w14:paraId="1CEB27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скоростные одноместные одномоторные истребители - на всех са</w:t>
      </w:r>
      <w:r w:rsidRPr="00DB5D0D">
        <w:rPr>
          <w:rFonts w:ascii="Times New Roman" w:hAnsi="Times New Roman"/>
          <w:color w:val="000000" w:themeColor="text1"/>
          <w:sz w:val="16"/>
          <w:szCs w:val="16"/>
        </w:rPr>
        <w:softHyphen/>
        <w:t>молетах предусматривается съемная установка 8 штук РС-82;</w:t>
      </w:r>
    </w:p>
    <w:p w14:paraId="0465EC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скоростные двухмоторные истребители - на всех самолетах преду</w:t>
      </w:r>
      <w:r w:rsidRPr="00DB5D0D">
        <w:rPr>
          <w:rFonts w:ascii="Times New Roman" w:hAnsi="Times New Roman"/>
          <w:color w:val="000000" w:themeColor="text1"/>
          <w:sz w:val="16"/>
          <w:szCs w:val="16"/>
        </w:rPr>
        <w:softHyphen/>
        <w:t>сматривается установка 8 штук РС-132;</w:t>
      </w:r>
    </w:p>
    <w:p w14:paraId="5535B8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штурмовики - на всех самолетах предусматривается установка 10 штук РС-82» (11402).</w:t>
      </w:r>
    </w:p>
    <w:p w14:paraId="08F06E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D26582D"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w:t>
      </w:r>
    </w:p>
    <w:p w14:paraId="3311798F"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«Дополнительные показания арест. Королева к протоколу об окончании следствия от 28 мая 1940 г. </w:t>
      </w:r>
    </w:p>
    <w:p w14:paraId="40713A2B"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I. Ознакомившись с материалами следствия, я еще раз заявляю, что участником антисоветской организации я никогда не был и вредительской работы никогда и нигде не вел. Показания Клейменова, Лангемака и Глушко в отношении меня являются ложью и клеветой. </w:t>
      </w:r>
    </w:p>
    <w:p w14:paraId="52D14795"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 Показания свидетелей Смирнова, Шитова, Косятова, Ефремова, Душкина и других считаю неправильными. Основные объяснения по этим показаниям я уже дал в апреле месяце 1940 г., а также смотри заключение экспертной комиссии от 25 мая 1940 года. Кроме того, в свидетельских показаниях, например, неправильно указано (Смирнов), что мною непроизводительно были затрачены большие суммы средств. </w:t>
      </w:r>
    </w:p>
    <w:p w14:paraId="41B3EF4D"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Неправильно указано, что не производилась предварительная отработка узлов объектов, что не получено никаких положительных результатов, что были систематические взрывы и т.д. (свидетели Шитов, Душкин). </w:t>
      </w:r>
    </w:p>
    <w:p w14:paraId="2EF04473"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Неправильно указано, что объекты были плохо сконструированы и что они предназначались как боевые образцы (свидетели Дедов, Букин, Душкин). Как видно по техническим заданиям и по самой конструкции объектов, они никогда не были да и не могли быть боевыми образцами, особенно учитывая, что это были первые работы в СССР. В то же время уже в конце 1938 года и далее, после очень непродолжительной доработки объекты были испытаны в полете с удовлетворительными результатами, о чем видно из этих же свидетельских показаний и акта экспертизы от 25 мая 1940. Произведенные же переделки коснулись в основном двигательной установки, автоматики и автозапуска, которые мною не разрабатывались. </w:t>
      </w:r>
    </w:p>
    <w:p w14:paraId="527EC3B2"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Если бы в целом работа была мною сделана недобросовестно, то, безусловно, так скоро нельзя было бы произвести испытание этих объектов. </w:t>
      </w:r>
    </w:p>
    <w:p w14:paraId="64266E49"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прошу допросить свидетелей, знающих мои работы лично, мою деятельность и общественную работу, как то: </w:t>
      </w:r>
    </w:p>
    <w:p w14:paraId="3161D291"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проф. Пышнова B.C. из В.В. Акад. им. Жуковского, проф. Юрьева Б.Н. из Москов. Авиац. Ин-та, инженеров НИИ № 3 Дрязгова М.П. и Пивоварова С.А. </w:t>
      </w:r>
    </w:p>
    <w:p w14:paraId="10D7DBAC"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III. Считаю неправильным мнение эксперта Пойды, изложенное особо в конце акта экспертизы от 25 мая с.г. по вопросу о ракетном самолете. Работа над ракетным самолетом исключительно важна и производилась в СССР впервые. Как видно из акта экспертизы, полетные испытания в апреле 1940 г. дали удовлетворительные результаты, что, безусловно, является достижением не только в СССР, но и вообще в технике. Как видно из акта, части этой машины, разработанные мною, изменениям и переделкам не подвергались (сам планер, система питания и т.д.) и, следовательно, работали хорошо. </w:t>
      </w:r>
    </w:p>
    <w:p w14:paraId="4413048A"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Королев </w:t>
      </w:r>
    </w:p>
    <w:p w14:paraId="28A1FEAC"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28 мая 1940 года». </w:t>
      </w:r>
    </w:p>
    <w:p w14:paraId="69B3CC79"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(Н.С. Королёва. С.П. Королёв. Отец. Стр. 117-119) (11837).</w:t>
      </w:r>
    </w:p>
    <w:p w14:paraId="31B81C71" w14:textId="77777777" w:rsidR="00017EBE" w:rsidRPr="00DB5D0D" w:rsidRDefault="00017EBE" w:rsidP="00DB5D0D">
      <w:pPr>
        <w:spacing w:after="0" w:line="240" w:lineRule="auto"/>
        <w:jc w:val="both"/>
        <w:rPr>
          <w:rFonts w:ascii="Times New Roman" w:hAnsi="Times New Roman"/>
          <w:color w:val="000000" w:themeColor="text1"/>
          <w:sz w:val="16"/>
          <w:szCs w:val="16"/>
        </w:rPr>
      </w:pPr>
    </w:p>
    <w:p w14:paraId="7F27F6C2"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С.П.К. был вызван на очередной допрос для изложения своего мнения по поводу заключения комиссии, подписанного 25 мая. С.П.К. заявил, что с некоторыми выводами экспертов согласиться не может и дал соответствующие пояснения.</w:t>
      </w:r>
    </w:p>
    <w:p w14:paraId="3B327D44"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тот же день был составлен протокол об окончании следствия. К нему приобщили дополнительные показания: </w:t>
      </w:r>
    </w:p>
    <w:p w14:paraId="1AFC7F3C"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«Дополнительные показания арест. Королева </w:t>
      </w:r>
    </w:p>
    <w:p w14:paraId="63A9D8FE"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протоколу об окончании следствия </w:t>
      </w:r>
    </w:p>
    <w:p w14:paraId="05F66AF5"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 28 мая 1940 г. </w:t>
      </w:r>
    </w:p>
    <w:p w14:paraId="5971F4F2"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I. Ознакомившись с материалами следствия, я еще раз заявляю, что участником антисоветской организации я никогда не был и вредительской работы никогда и нигде не вел. Показания Клейменова, Лангемака и Глушко в отношении меня являются ложью и клеветой. </w:t>
      </w:r>
    </w:p>
    <w:p w14:paraId="03CECDBF"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 Показания свидетелей Смирнова, Шитова, Косятова, Ефремова, Душкина и других считаю неправильными. Основные объяснения по этим показаниям я уже дал в апреле месяце 1940 г., а также смотри заключение экспертной комиссии от 25 мая 1940 года. Кроме того, в свидетельских показаниях, например, неправильно указано (Смирнов), что мною непроизводительно были затрачены большие суммы средств. </w:t>
      </w:r>
    </w:p>
    <w:p w14:paraId="2FB7C618"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Неправильно указано, что не производилась предварительная отработка узлов объектов, что не получено никаких положительных результатов, что были систематические взрывы и т.д. (свидетели Шитов, Душкин). </w:t>
      </w:r>
    </w:p>
    <w:p w14:paraId="383758EA"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«УТВЕРЖДАЮ» </w:t>
      </w:r>
    </w:p>
    <w:p w14:paraId="3E5AECD0"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НАЧ. ГЛАВ. ЭКОНОМ. УПР. НКВД СССР СТ. МАЙОР ГОСУДАРСТВЕННОЙ БЕЗОПАСНОСТИ /НАСЕДКИН/ (11837).</w:t>
      </w:r>
    </w:p>
    <w:p w14:paraId="413BBF4E" w14:textId="77777777" w:rsidR="00017EBE" w:rsidRPr="00DB5D0D" w:rsidRDefault="00017EBE" w:rsidP="00DB5D0D">
      <w:pPr>
        <w:spacing w:after="0" w:line="240" w:lineRule="auto"/>
        <w:jc w:val="both"/>
        <w:rPr>
          <w:rFonts w:ascii="Times New Roman" w:hAnsi="Times New Roman"/>
          <w:color w:val="000000" w:themeColor="text1"/>
          <w:sz w:val="16"/>
          <w:szCs w:val="16"/>
        </w:rPr>
      </w:pPr>
    </w:p>
    <w:p w14:paraId="2C26E1B6"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было подготовлено:</w:t>
      </w:r>
    </w:p>
    <w:p w14:paraId="6AADDCCE"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ОБВИНИТЕЛЬНОЕ ЗАКЛЮЧЕНИЕ</w:t>
      </w:r>
    </w:p>
    <w:p w14:paraId="2AFCB4F0"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след, делу № 19908 по обвинению Королева </w:t>
      </w:r>
    </w:p>
    <w:p w14:paraId="3BB61675"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Сергея Павловича по ст.ст. 58-7; 58-11 УК РСФСР (10676).</w:t>
      </w:r>
    </w:p>
    <w:p w14:paraId="538853FB"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1938 года НКВД СССР за принадлежность к троцкистской, вредительской организации, действовавшей в научно-исследовательском институте № 3 (НКБ СССР)21 был арестован и привлечен к уголовной ответственности бывший инженер указанного института Королев Сергей Павлович.</w:t>
      </w:r>
    </w:p>
    <w:p w14:paraId="300A96FB"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процессе следствия Королев признал себя виновным в том, что в троцкистско-вредительскую организацию был привлечен в 1935 году бывшим техническим директором научно-исследовательского института №</w:t>
      </w:r>
      <w:r w:rsidRPr="00DB5D0D">
        <w:rPr>
          <w:rFonts w:ascii="Times New Roman" w:hAnsi="Times New Roman"/>
          <w:noProof/>
          <w:color w:val="000000" w:themeColor="text1"/>
          <w:sz w:val="16"/>
          <w:szCs w:val="16"/>
          <w:lang w:eastAsia="ru-RU"/>
        </w:rPr>
        <w:drawing>
          <wp:inline distT="0" distB="0" distL="0" distR="0" wp14:anchorId="064CA911" wp14:editId="45FE93F1">
            <wp:extent cx="83185" cy="3714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link="rId59">
                      <a:extLst>
                        <a:ext uri="{28A0092B-C50C-407E-A947-70E740481C1C}">
                          <a14:useLocalDpi xmlns:a14="http://schemas.microsoft.com/office/drawing/2010/main" val="0"/>
                        </a:ext>
                      </a:extLst>
                    </a:blip>
                    <a:srcRect/>
                    <a:stretch>
                      <a:fillRect/>
                    </a:stretch>
                  </pic:blipFill>
                  <pic:spPr bwMode="auto">
                    <a:xfrm>
                      <a:off x="0" y="0"/>
                      <a:ext cx="83185" cy="371475"/>
                    </a:xfrm>
                    <a:prstGeom prst="rect">
                      <a:avLst/>
                    </a:prstGeom>
                    <a:noFill/>
                    <a:ln>
                      <a:noFill/>
                    </a:ln>
                  </pic:spPr>
                </pic:pic>
              </a:graphicData>
            </a:graphic>
          </wp:inline>
        </w:drawing>
      </w:r>
      <w:r w:rsidRPr="00DB5D0D">
        <w:rPr>
          <w:rFonts w:ascii="Times New Roman" w:hAnsi="Times New Roman"/>
          <w:color w:val="000000" w:themeColor="text1"/>
          <w:sz w:val="16"/>
          <w:szCs w:val="16"/>
        </w:rPr>
        <w:t xml:space="preserve"> 3 Лангемаком (осужден).</w:t>
      </w:r>
    </w:p>
    <w:p w14:paraId="214EEA03"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процессе следствия по делу Лангемака он специально о Королеве допрошен не был и об участии последнего в антисоветской организации показал, что знал об этом со слов Клейменова - бывшего директора НИИ-3 (осужден) (л.д. 41).</w:t>
      </w:r>
    </w:p>
    <w:p w14:paraId="6B742BDC"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заданию антисоветской организации Королев вел вредительскую работу по срыву отработки и сдачи на вооружение РККА новых образцов вооружения (л.д. 21-35, 53-55; 66-67, 238-239).</w:t>
      </w:r>
    </w:p>
    <w:p w14:paraId="62C38EA8"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Военной Коллегии Верховного Суда СССР от 27 сентября 1938 года Королев был осужден к 10-ти годам тюремного заключения.</w:t>
      </w:r>
    </w:p>
    <w:p w14:paraId="0344A711"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июня 1939 г. Пленум Верховного Суда СССР приговор Военной Коллегии Верховного Суда СССР отменил, а следственное дело по обвинению Королева было передано на новое расследование (см. отдельную папку судебного производства). </w:t>
      </w:r>
    </w:p>
    <w:p w14:paraId="7BC9D718"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процессе повторного следствия Королев показал, что данные им показания на следствии в 1938 году не соответствуют действительности и являются ложными (л.д. 153-156).</w:t>
      </w:r>
    </w:p>
    <w:p w14:paraId="094D9C1A"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имеющимися в деле материалами следствия и документальными данными Королев изобличается в том, что:</w:t>
      </w:r>
    </w:p>
    <w:p w14:paraId="016A368A"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1936 году вел разработку пороховой крылатой торпеды; зная заранее, что основные части этой торпеды - приборы с фотоэлементами - для управления торпеды и наведения ее на цель, не могут быть изготовлены центральной лабораторией проводной связи23, Королев с целью загрузить институт ненужной работой усиленно вел разработку ракетной части этой торпеды в 2-х вариантах.</w:t>
      </w:r>
    </w:p>
    <w:p w14:paraId="62BAFC3C"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этого испытания четырех построенных Королевым торпед показали их полную непригодность, чем нанесен был ущерб государству в сумме 120 000 рублей и затянута разработка других, более актуальных тем (л.д. 250-251).</w:t>
      </w:r>
    </w:p>
    <w:p w14:paraId="3A6B7B2A"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1937 году при разработке бокового отсека торпеды (крылатой) сделал вредительский расчет, в результате чего исследовательские работы по созданию торпеды были сорваны (л.д. 23-24, 256).</w:t>
      </w:r>
    </w:p>
    <w:p w14:paraId="4860D8BE"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Искусственно задерживал сроки изготовления и испытания оборонных объектов (объект 212) (л.д. 21, 54, 255).</w:t>
      </w:r>
    </w:p>
    <w:p w14:paraId="4667CCBC"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 основании изложенного</w:t>
      </w:r>
    </w:p>
    <w:p w14:paraId="17262EBA"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обвиняется</w:t>
      </w:r>
    </w:p>
    <w:p w14:paraId="2EDB54A9"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Королев Сергей Павлович, 1906 года рождения, урож. гор. Житомира, русский, гр-н СССР, беспартийный, до ареста - инженер НИИ-3 НКБ СССР, </w:t>
      </w:r>
    </w:p>
    <w:p w14:paraId="2F4BAEFD"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том, что: </w:t>
      </w:r>
    </w:p>
    <w:p w14:paraId="0584E05A"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являлся с 1935 года участником троцкистской вредительской организации, по заданию которой проводил преступную работу в НИИ-3 по срыву отработки и сдачи на вооружение РККА новых образцов вооружения, т.е. в преступлениях ст.ст. 58-7, 58-11 УК РСФСР.</w:t>
      </w:r>
    </w:p>
    <w:p w14:paraId="559F9843"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Виновным себя признал, но впоследствии от своих показаний отказался.</w:t>
      </w:r>
    </w:p>
    <w:p w14:paraId="66A12BB0"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Изобличается показаниями: Клейменова, Лангемака, Глушко; показаниями свидетелей; Смирнова, Рохмачева, Косятова, Шитова, Ефремова, Букина, Душкина24 и актами экспертных комиссий.</w:t>
      </w:r>
    </w:p>
    <w:p w14:paraId="5015E79D"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Дело по обвинению Королева направить в Прокуратуру Союза ССР по подсудности.</w:t>
      </w:r>
    </w:p>
    <w:p w14:paraId="7363425B"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Обвинительное заключение составлено 28 мая 1940 года в г. Москве.</w:t>
      </w:r>
    </w:p>
    <w:p w14:paraId="41F59279"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Следователь следчасти ГЭУ НКВД СССР мл. лейтенант госбезопасности Рябов.</w:t>
      </w:r>
    </w:p>
    <w:p w14:paraId="0500F7B7"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 нач. следчасти ГЭУ НКВД СССР ст. лейтенант госбезопасности Либенсон.</w:t>
      </w:r>
    </w:p>
    <w:p w14:paraId="112BCD19"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"Согласен". Нач. следчасти ГЭУ НКВД СССР майор госбезопасности Влодзимирский.</w:t>
      </w:r>
    </w:p>
    <w:p w14:paraId="5867F29A"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"Утверждаю". Зам. нач. главного экономического управления НКВД СССР майор государственной безопасности Наседкин.</w:t>
      </w:r>
    </w:p>
    <w:p w14:paraId="26D2D277"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г.»25.</w:t>
      </w:r>
    </w:p>
    <w:p w14:paraId="00E0F4E1"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первой странице размашисто, небрежно, толстым черным карандашом: </w:t>
      </w:r>
    </w:p>
    <w:p w14:paraId="511F0074" w14:textId="77777777" w:rsidR="00017EBE" w:rsidRPr="00DB5D0D" w:rsidRDefault="00017EB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лет ИТЛ. 10/VII-40". И неразборчивая закорючка вместо подписи (10676).</w:t>
      </w:r>
    </w:p>
    <w:p w14:paraId="2D613C22" w14:textId="77777777" w:rsidR="00017EBE" w:rsidRPr="00DB5D0D" w:rsidRDefault="00017EBE" w:rsidP="00DB5D0D">
      <w:pPr>
        <w:spacing w:after="0" w:line="240" w:lineRule="auto"/>
        <w:jc w:val="both"/>
        <w:rPr>
          <w:rFonts w:ascii="Times New Roman" w:hAnsi="Times New Roman"/>
          <w:color w:val="000000" w:themeColor="text1"/>
          <w:sz w:val="16"/>
          <w:szCs w:val="16"/>
        </w:rPr>
      </w:pPr>
    </w:p>
    <w:p w14:paraId="0ADAACA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21EEA6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71403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мая по 15 июля 1940 года на НИЗАПе проводились испытания опытной батареи из 4-х 100-мм "стратосферных" пушек Л-6. Всего было сделано 72 выстрела. При стрельбе снарядом чертежа 2-975 весом 15,6 кг с взрывателем Т-5 при усиленном заряде весом 5,04 кг начальная скорость 840 м/с и давление в канале 2568 кг/см2. Основные выводы комиссии: Л-6 полигонные испытания не выдержала и к принятию на вооружение не рекомендуется (3861).</w:t>
      </w:r>
    </w:p>
    <w:p w14:paraId="55E895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CA11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вышло Постановления Главного военного совета КА по системе вооружения (7453, 506).</w:t>
      </w:r>
    </w:p>
    <w:p w14:paraId="2102000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C70E96" w14:textId="77777777" w:rsidR="00A25AD1" w:rsidRPr="00DB5D0D" w:rsidRDefault="00A25AD1" w:rsidP="00DB5D0D">
      <w:pPr>
        <w:pStyle w:val="a3"/>
        <w:rPr>
          <w:color w:val="000000" w:themeColor="text1"/>
          <w:lang w:val="ru-RU"/>
        </w:rPr>
      </w:pPr>
      <w:r w:rsidRPr="00DB5D0D">
        <w:rPr>
          <w:color w:val="000000" w:themeColor="text1"/>
          <w:lang w:val="ru-RU"/>
        </w:rPr>
        <w:t>28 мая 1940 ди</w:t>
      </w:r>
      <w:r w:rsidRPr="00DB5D0D">
        <w:rPr>
          <w:color w:val="000000" w:themeColor="text1"/>
          <w:lang w:val="ru-RU"/>
        </w:rPr>
        <w:softHyphen/>
        <w:t>ректор и главный инженер Мариупольского завода отправили в ад</w:t>
      </w:r>
      <w:r w:rsidRPr="00DB5D0D">
        <w:rPr>
          <w:color w:val="000000" w:themeColor="text1"/>
          <w:lang w:val="ru-RU"/>
        </w:rPr>
        <w:softHyphen/>
        <w:t>рес руководства завода №183, АБТУ и 7-го ГУ НКСП письмо</w:t>
      </w:r>
      <w:r w:rsidRPr="00DB5D0D">
        <w:rPr>
          <w:rStyle w:val="90pt27"/>
          <w:rFonts w:ascii="Times New Roman" w:hAnsi="Times New Roman" w:cs="Times New Roman"/>
          <w:i w:val="0"/>
          <w:iCs w:val="0"/>
          <w:color w:val="000000" w:themeColor="text1"/>
          <w:lang w:val="ru-RU"/>
        </w:rPr>
        <w:t xml:space="preserve"> №2757</w:t>
      </w:r>
      <w:r w:rsidRPr="00DB5D0D">
        <w:rPr>
          <w:color w:val="000000" w:themeColor="text1"/>
          <w:lang w:val="ru-RU"/>
        </w:rPr>
        <w:t>, объяс</w:t>
      </w:r>
      <w:r w:rsidRPr="00DB5D0D">
        <w:rPr>
          <w:color w:val="000000" w:themeColor="text1"/>
          <w:lang w:val="ru-RU"/>
        </w:rPr>
        <w:softHyphen/>
        <w:t>няющее позицию завода по поводу листов башни Т-34:</w:t>
      </w:r>
    </w:p>
    <w:p w14:paraId="438783BB" w14:textId="77777777" w:rsidR="00A25AD1" w:rsidRPr="00DB5D0D" w:rsidRDefault="00A25AD1" w:rsidP="00DB5D0D">
      <w:pPr>
        <w:pStyle w:val="a3"/>
        <w:rPr>
          <w:color w:val="000000" w:themeColor="text1"/>
          <w:lang w:val="ru-RU"/>
        </w:rPr>
      </w:pPr>
      <w:r w:rsidRPr="00DB5D0D">
        <w:rPr>
          <w:rStyle w:val="90pt27"/>
          <w:rFonts w:ascii="Times New Roman" w:hAnsi="Times New Roman" w:cs="Times New Roman"/>
          <w:i w:val="0"/>
          <w:iCs w:val="0"/>
          <w:color w:val="000000" w:themeColor="text1"/>
          <w:lang w:val="ru-RU"/>
        </w:rPr>
        <w:t>28/</w:t>
      </w:r>
      <w:r w:rsidRPr="00DB5D0D">
        <w:rPr>
          <w:rStyle w:val="90pt27"/>
          <w:rFonts w:ascii="Times New Roman" w:hAnsi="Times New Roman" w:cs="Times New Roman"/>
          <w:i w:val="0"/>
          <w:iCs w:val="0"/>
          <w:color w:val="000000" w:themeColor="text1"/>
        </w:rPr>
        <w:t>V</w:t>
      </w:r>
      <w:r w:rsidRPr="00DB5D0D">
        <w:rPr>
          <w:rStyle w:val="90pt27"/>
          <w:rFonts w:ascii="Times New Roman" w:hAnsi="Times New Roman" w:cs="Times New Roman"/>
          <w:i w:val="0"/>
          <w:iCs w:val="0"/>
          <w:color w:val="000000" w:themeColor="text1"/>
          <w:lang w:val="ru-RU"/>
        </w:rPr>
        <w:t xml:space="preserve"> 1940 г.</w:t>
      </w:r>
    </w:p>
    <w:p w14:paraId="40D584B6"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Style w:val="126"/>
          <w:rFonts w:ascii="Times New Roman" w:hAnsi="Times New Roman" w:cs="Times New Roman"/>
          <w:color w:val="000000" w:themeColor="text1"/>
          <w:lang w:val="ru-RU"/>
        </w:rPr>
        <w:t>К протоколу совещания от 2</w:t>
      </w:r>
      <w:r w:rsidRPr="00DB5D0D">
        <w:rPr>
          <w:rStyle w:val="126"/>
          <w:rFonts w:ascii="Times New Roman" w:hAnsi="Times New Roman" w:cs="Times New Roman"/>
          <w:noProof w:val="0"/>
          <w:color w:val="000000" w:themeColor="text1"/>
          <w:lang w:val="ru-RU"/>
        </w:rPr>
        <w:t>1/</w:t>
      </w:r>
      <w:r w:rsidRPr="00DB5D0D">
        <w:rPr>
          <w:rStyle w:val="126"/>
          <w:rFonts w:ascii="Times New Roman" w:hAnsi="Times New Roman" w:cs="Times New Roman"/>
          <w:noProof w:val="0"/>
          <w:color w:val="000000" w:themeColor="text1"/>
        </w:rPr>
        <w:t>V</w:t>
      </w:r>
      <w:r w:rsidRPr="00DB5D0D">
        <w:rPr>
          <w:rStyle w:val="126"/>
          <w:rFonts w:ascii="Times New Roman" w:hAnsi="Times New Roman" w:cs="Times New Roman"/>
          <w:noProof w:val="0"/>
          <w:color w:val="000000" w:themeColor="text1"/>
          <w:lang w:val="ru-RU"/>
        </w:rPr>
        <w:t xml:space="preserve">-40 </w:t>
      </w:r>
      <w:r w:rsidRPr="00DB5D0D">
        <w:rPr>
          <w:rStyle w:val="126"/>
          <w:rFonts w:ascii="Times New Roman" w:hAnsi="Times New Roman" w:cs="Times New Roman"/>
          <w:color w:val="000000" w:themeColor="text1"/>
          <w:lang w:val="ru-RU"/>
        </w:rPr>
        <w:t xml:space="preserve">г. </w:t>
      </w:r>
      <w:r w:rsidRPr="00DB5D0D">
        <w:rPr>
          <w:rFonts w:ascii="Times New Roman" w:hAnsi="Times New Roman" w:cs="Times New Roman"/>
          <w:i w:val="0"/>
          <w:iCs w:val="0"/>
          <w:color w:val="000000" w:themeColor="text1"/>
          <w:lang w:val="ru-RU"/>
        </w:rPr>
        <w:t>Настоящим сообщаем, что завод №183 не выполнил указаний АБТУКА в части упрощения деталей машины А-34, в частности дета</w:t>
      </w:r>
      <w:r w:rsidRPr="00DB5D0D">
        <w:rPr>
          <w:rFonts w:ascii="Times New Roman" w:hAnsi="Times New Roman" w:cs="Times New Roman"/>
          <w:i w:val="0"/>
          <w:iCs w:val="0"/>
          <w:color w:val="000000" w:themeColor="text1"/>
          <w:lang w:val="ru-RU"/>
        </w:rPr>
        <w:softHyphen/>
        <w:t>ли 34-30-018-1 и 34-30-019-1 по предложенным чертежам еще бо</w:t>
      </w:r>
      <w:r w:rsidRPr="00DB5D0D">
        <w:rPr>
          <w:rFonts w:ascii="Times New Roman" w:hAnsi="Times New Roman" w:cs="Times New Roman"/>
          <w:i w:val="0"/>
          <w:iCs w:val="0"/>
          <w:color w:val="000000" w:themeColor="text1"/>
          <w:lang w:val="ru-RU"/>
        </w:rPr>
        <w:softHyphen/>
        <w:t>лее усложнились.</w:t>
      </w:r>
    </w:p>
    <w:p w14:paraId="5A51038C"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Для установочной партии детали полубашни штамповались на прессе цеха №5 с четырех операций, такая штамповка была весьма сложной, т.к. требовала после каждой операции самостоятельной разметки. По новым чертежам детали полубашни (34-30-018-1 и 34-30-019-1) имеют отбуртовку, которую нельзя получить на суще</w:t>
      </w:r>
      <w:r w:rsidRPr="00DB5D0D">
        <w:rPr>
          <w:rFonts w:ascii="Times New Roman" w:hAnsi="Times New Roman" w:cs="Times New Roman"/>
          <w:i w:val="0"/>
          <w:iCs w:val="0"/>
          <w:color w:val="000000" w:themeColor="text1"/>
          <w:lang w:val="ru-RU"/>
        </w:rPr>
        <w:softHyphen/>
        <w:t>ствующих прессах цеха № 5 ввиду их малой мощности (450 тонн).</w:t>
      </w:r>
    </w:p>
    <w:p w14:paraId="7101EBFF"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Мариупольский завод в период производства установочной партии пробовал производить штамповку детали полубашни на прес</w:t>
      </w:r>
      <w:r w:rsidRPr="00DB5D0D">
        <w:rPr>
          <w:rFonts w:ascii="Times New Roman" w:hAnsi="Times New Roman" w:cs="Times New Roman"/>
          <w:i w:val="0"/>
          <w:iCs w:val="0"/>
          <w:color w:val="000000" w:themeColor="text1"/>
          <w:lang w:val="ru-RU"/>
        </w:rPr>
        <w:softHyphen/>
        <w:t>се 3000 тонн цеха №8, но ввиду того, что пресс имеет подвижной стол, на котором матрица в период штамповки смещается относи</w:t>
      </w:r>
      <w:r w:rsidRPr="00DB5D0D">
        <w:rPr>
          <w:rFonts w:ascii="Times New Roman" w:hAnsi="Times New Roman" w:cs="Times New Roman"/>
          <w:i w:val="0"/>
          <w:iCs w:val="0"/>
          <w:color w:val="000000" w:themeColor="text1"/>
          <w:lang w:val="ru-RU"/>
        </w:rPr>
        <w:softHyphen/>
        <w:t>тельно оси пуансона, эти детали не удалось получить даже при</w:t>
      </w:r>
      <w:r w:rsidRPr="00DB5D0D">
        <w:rPr>
          <w:rFonts w:ascii="Times New Roman" w:hAnsi="Times New Roman" w:cs="Times New Roman"/>
          <w:i w:val="0"/>
          <w:iCs w:val="0"/>
          <w:color w:val="000000" w:themeColor="text1"/>
          <w:lang w:val="ru-RU"/>
        </w:rPr>
        <w:softHyphen/>
        <w:t>ближенных размеров. Детали полубашни с отбуртовкой еще больше усугубят невозможность их получения, т.к. даже путем получения кустарным способом, при больших затратах, деталей с отбуртовкой, последние в процессе закалки будут иметь неизбежную поводку, неустранимую правильными средствами (вальцами) существующим на заводе оборудованием.</w:t>
      </w:r>
    </w:p>
    <w:p w14:paraId="71C7832E"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Исходя из вышеизложенного, Мариупольский завод отказыва</w:t>
      </w:r>
      <w:r w:rsidRPr="00DB5D0D">
        <w:rPr>
          <w:rFonts w:ascii="Times New Roman" w:hAnsi="Times New Roman" w:cs="Times New Roman"/>
          <w:i w:val="0"/>
          <w:iCs w:val="0"/>
          <w:color w:val="000000" w:themeColor="text1"/>
          <w:lang w:val="ru-RU"/>
        </w:rPr>
        <w:softHyphen/>
        <w:t>ется от принятия изготовления этих деталей и просит завод № 183 дополнительно проработать вопрос упрощения этих деталей с це</w:t>
      </w:r>
      <w:r w:rsidRPr="00DB5D0D">
        <w:rPr>
          <w:rFonts w:ascii="Times New Roman" w:hAnsi="Times New Roman" w:cs="Times New Roman"/>
          <w:i w:val="0"/>
          <w:iCs w:val="0"/>
          <w:color w:val="000000" w:themeColor="text1"/>
          <w:lang w:val="ru-RU"/>
        </w:rPr>
        <w:softHyphen/>
        <w:t>лью обеспечения выпуска машины А-34 в требуемом количестве.</w:t>
      </w:r>
    </w:p>
    <w:p w14:paraId="0E006B22" w14:textId="77777777" w:rsidR="00A25AD1" w:rsidRPr="00DB5D0D" w:rsidRDefault="00A25AD1" w:rsidP="00DB5D0D">
      <w:pPr>
        <w:pStyle w:val="a3"/>
        <w:rPr>
          <w:rStyle w:val="90pt27"/>
          <w:rFonts w:ascii="Times New Roman" w:hAnsi="Times New Roman" w:cs="Times New Roman"/>
          <w:i w:val="0"/>
          <w:iCs w:val="0"/>
          <w:color w:val="000000" w:themeColor="text1"/>
          <w:lang w:val="ru-RU"/>
        </w:rPr>
      </w:pPr>
      <w:r w:rsidRPr="00DB5D0D">
        <w:rPr>
          <w:rStyle w:val="90pt27"/>
          <w:rFonts w:ascii="Times New Roman" w:hAnsi="Times New Roman" w:cs="Times New Roman"/>
          <w:i w:val="0"/>
          <w:iCs w:val="0"/>
          <w:color w:val="000000" w:themeColor="text1"/>
          <w:lang w:val="ru-RU"/>
        </w:rPr>
        <w:t>ДИРЕКТОР ЗАВОДА/ГАРМАШЕВ А.Ф./ ГЛАВНЫЙ ИНЖЕНЕР/НИЦЕНКО/ [</w:t>
      </w:r>
      <w:r w:rsidRPr="00DB5D0D">
        <w:rPr>
          <w:color w:val="000000" w:themeColor="text1"/>
          <w:lang w:val="ru-RU"/>
        </w:rPr>
        <w:t>РГВА. Ф.31811. Оп. 2. Д. 1176. Л. 104.</w:t>
      </w:r>
      <w:r w:rsidRPr="00DB5D0D">
        <w:rPr>
          <w:rStyle w:val="90pt27"/>
          <w:rFonts w:ascii="Times New Roman" w:hAnsi="Times New Roman" w:cs="Times New Roman"/>
          <w:i w:val="0"/>
          <w:iCs w:val="0"/>
          <w:color w:val="000000" w:themeColor="text1"/>
          <w:lang w:val="ru-RU"/>
        </w:rPr>
        <w:t>]</w:t>
      </w:r>
    </w:p>
    <w:p w14:paraId="411AAEB9" w14:textId="77777777" w:rsidR="00A25AD1" w:rsidRPr="00DB5D0D" w:rsidRDefault="00A25AD1" w:rsidP="00DB5D0D">
      <w:pPr>
        <w:pStyle w:val="a3"/>
        <w:rPr>
          <w:color w:val="000000" w:themeColor="text1"/>
        </w:rPr>
      </w:pPr>
      <w:r w:rsidRPr="00DB5D0D">
        <w:rPr>
          <w:color w:val="000000" w:themeColor="text1"/>
          <w:lang w:val="ru-RU"/>
        </w:rPr>
        <w:t>В результате, КБ завода №183 было вынуждено изменить конст</w:t>
      </w:r>
      <w:r w:rsidRPr="00DB5D0D">
        <w:rPr>
          <w:color w:val="000000" w:themeColor="text1"/>
          <w:lang w:val="ru-RU"/>
        </w:rPr>
        <w:softHyphen/>
        <w:t>рукцию башни, сделав ее более технологичной и приемлемой для изготовления на Мариупольском заводе. Новый вариант расширен</w:t>
      </w:r>
      <w:r w:rsidRPr="00DB5D0D">
        <w:rPr>
          <w:color w:val="000000" w:themeColor="text1"/>
          <w:lang w:val="ru-RU"/>
        </w:rPr>
        <w:softHyphen/>
        <w:t>ной башни был разработан к началу июня 1940 г. (получивший впос</w:t>
      </w:r>
      <w:r w:rsidRPr="00DB5D0D">
        <w:rPr>
          <w:color w:val="000000" w:themeColor="text1"/>
          <w:lang w:val="ru-RU"/>
        </w:rPr>
        <w:softHyphen/>
        <w:t>ледствии индекс 34.30сб-1) и отличался от первоначального вари</w:t>
      </w:r>
      <w:r w:rsidRPr="00DB5D0D">
        <w:rPr>
          <w:color w:val="000000" w:themeColor="text1"/>
          <w:lang w:val="ru-RU"/>
        </w:rPr>
        <w:softHyphen/>
        <w:t>анта, не принятого в производство, в основном конструкцией боко</w:t>
      </w:r>
      <w:r w:rsidRPr="00DB5D0D">
        <w:rPr>
          <w:color w:val="000000" w:themeColor="text1"/>
          <w:lang w:val="ru-RU"/>
        </w:rPr>
        <w:softHyphen/>
        <w:t>вых листов - деталей 34.30.018-2 и 34.30.019-2. Увеличение внут</w:t>
      </w:r>
      <w:r w:rsidRPr="00DB5D0D">
        <w:rPr>
          <w:color w:val="000000" w:themeColor="text1"/>
          <w:lang w:val="ru-RU"/>
        </w:rPr>
        <w:softHyphen/>
        <w:t>реннего объема башни в зоне расположения экипажа и способ его достижения (смещение линии сгиба боковых листов от центра баш</w:t>
      </w:r>
      <w:r w:rsidRPr="00DB5D0D">
        <w:rPr>
          <w:color w:val="000000" w:themeColor="text1"/>
          <w:lang w:val="ru-RU"/>
        </w:rPr>
        <w:softHyphen/>
        <w:t xml:space="preserve">ни в сторону кормы на 162 мм) остались прежними. При этом по сравнению с первоначальным вариантом не претерпел изменений ряд деталей башни — лобовой лист, листы крыши, крышка люка и др. </w:t>
      </w:r>
      <w:r w:rsidRPr="00DB5D0D">
        <w:rPr>
          <w:color w:val="000000" w:themeColor="text1"/>
        </w:rPr>
        <w:t>(см. таблицу №7).</w:t>
      </w:r>
    </w:p>
    <w:p w14:paraId="37ADD1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№7</w:t>
      </w:r>
    </w:p>
    <w:tbl>
      <w:tblPr>
        <w:tblW w:w="0" w:type="auto"/>
        <w:tblInd w:w="8" w:type="dxa"/>
        <w:tblLayout w:type="fixed"/>
        <w:tblCellMar>
          <w:left w:w="0" w:type="dxa"/>
          <w:right w:w="0" w:type="dxa"/>
        </w:tblCellMar>
        <w:tblLook w:val="0000" w:firstRow="0" w:lastRow="0" w:firstColumn="0" w:lastColumn="0" w:noHBand="0" w:noVBand="0"/>
      </w:tblPr>
      <w:tblGrid>
        <w:gridCol w:w="2582"/>
        <w:gridCol w:w="2746"/>
        <w:gridCol w:w="2482"/>
        <w:gridCol w:w="2419"/>
      </w:tblGrid>
      <w:tr w:rsidR="007D5DF8" w:rsidRPr="00DB5D0D" w14:paraId="6294FF21" w14:textId="77777777" w:rsidTr="009223E5">
        <w:trPr>
          <w:trHeight w:val="581"/>
        </w:trPr>
        <w:tc>
          <w:tcPr>
            <w:tcW w:w="2582" w:type="dxa"/>
            <w:tcBorders>
              <w:top w:val="single" w:sz="6" w:space="0" w:color="auto"/>
              <w:left w:val="single" w:sz="6" w:space="0" w:color="auto"/>
              <w:bottom w:val="single" w:sz="6" w:space="0" w:color="auto"/>
              <w:right w:val="nil"/>
            </w:tcBorders>
            <w:shd w:val="clear" w:color="auto" w:fill="FFFFFF"/>
          </w:tcPr>
          <w:p w14:paraId="225CB3A5" w14:textId="77777777" w:rsidR="00A25AD1" w:rsidRPr="00DB5D0D" w:rsidRDefault="00A25AD1" w:rsidP="00DB5D0D">
            <w:pPr>
              <w:pStyle w:val="a3"/>
              <w:rPr>
                <w:color w:val="000000" w:themeColor="text1"/>
              </w:rPr>
            </w:pPr>
            <w:r w:rsidRPr="00DB5D0D">
              <w:rPr>
                <w:color w:val="000000" w:themeColor="text1"/>
              </w:rPr>
              <w:t>Наименование детали</w:t>
            </w:r>
          </w:p>
        </w:tc>
        <w:tc>
          <w:tcPr>
            <w:tcW w:w="2746" w:type="dxa"/>
            <w:tcBorders>
              <w:top w:val="single" w:sz="6" w:space="0" w:color="auto"/>
              <w:left w:val="nil"/>
              <w:bottom w:val="single" w:sz="6" w:space="0" w:color="auto"/>
              <w:right w:val="single" w:sz="6" w:space="0" w:color="auto"/>
            </w:tcBorders>
            <w:shd w:val="clear" w:color="auto" w:fill="FFFFFF"/>
          </w:tcPr>
          <w:p w14:paraId="59647C49" w14:textId="77777777" w:rsidR="00A25AD1" w:rsidRPr="00DB5D0D" w:rsidRDefault="00A25AD1" w:rsidP="00DB5D0D">
            <w:pPr>
              <w:pStyle w:val="a3"/>
              <w:rPr>
                <w:color w:val="000000" w:themeColor="text1"/>
                <w:lang w:val="ru-RU"/>
              </w:rPr>
            </w:pPr>
            <w:r w:rsidRPr="00DB5D0D">
              <w:rPr>
                <w:color w:val="000000" w:themeColor="text1"/>
                <w:lang w:val="ru-RU"/>
              </w:rPr>
              <w:t>«Узкая» башня (сборочный чертеж 34.30сб), изготовлено 37 комплектов</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7F00D0F6" w14:textId="77777777" w:rsidR="00A25AD1" w:rsidRPr="00DB5D0D" w:rsidRDefault="00A25AD1" w:rsidP="00DB5D0D">
            <w:pPr>
              <w:pStyle w:val="a3"/>
              <w:rPr>
                <w:color w:val="000000" w:themeColor="text1"/>
                <w:lang w:val="ru-RU"/>
              </w:rPr>
            </w:pPr>
            <w:r w:rsidRPr="00DB5D0D">
              <w:rPr>
                <w:color w:val="000000" w:themeColor="text1"/>
                <w:lang w:val="ru-RU"/>
              </w:rPr>
              <w:t>Первый вариант расширенной башни (в серию не пошел)</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5D5D6267" w14:textId="77777777" w:rsidR="00A25AD1" w:rsidRPr="00DB5D0D" w:rsidRDefault="00A25AD1" w:rsidP="00DB5D0D">
            <w:pPr>
              <w:pStyle w:val="a3"/>
              <w:rPr>
                <w:color w:val="000000" w:themeColor="text1"/>
                <w:lang w:val="ru-RU"/>
              </w:rPr>
            </w:pPr>
            <w:r w:rsidRPr="00DB5D0D">
              <w:rPr>
                <w:color w:val="000000" w:themeColor="text1"/>
                <w:lang w:val="ru-RU"/>
              </w:rPr>
              <w:t>Первый серийный вариант расширенной башни (сборочный чертеж 34.30сб-1)</w:t>
            </w:r>
          </w:p>
        </w:tc>
      </w:tr>
      <w:tr w:rsidR="007D5DF8" w:rsidRPr="00DB5D0D" w14:paraId="658C0A4D" w14:textId="77777777" w:rsidTr="009223E5">
        <w:trPr>
          <w:trHeight w:val="192"/>
        </w:trPr>
        <w:tc>
          <w:tcPr>
            <w:tcW w:w="2582" w:type="dxa"/>
            <w:tcBorders>
              <w:top w:val="single" w:sz="6" w:space="0" w:color="auto"/>
              <w:left w:val="single" w:sz="6" w:space="0" w:color="auto"/>
              <w:bottom w:val="single" w:sz="6" w:space="0" w:color="auto"/>
              <w:right w:val="nil"/>
            </w:tcBorders>
            <w:shd w:val="clear" w:color="auto" w:fill="FFFFFF"/>
          </w:tcPr>
          <w:p w14:paraId="090C7C8B" w14:textId="77777777" w:rsidR="00A25AD1" w:rsidRPr="00DB5D0D" w:rsidRDefault="00A25AD1" w:rsidP="00DB5D0D">
            <w:pPr>
              <w:pStyle w:val="a3"/>
              <w:rPr>
                <w:color w:val="000000" w:themeColor="text1"/>
              </w:rPr>
            </w:pPr>
            <w:r w:rsidRPr="00DB5D0D">
              <w:rPr>
                <w:color w:val="000000" w:themeColor="text1"/>
              </w:rPr>
              <w:t>Лобовой лист башни</w:t>
            </w:r>
          </w:p>
        </w:tc>
        <w:tc>
          <w:tcPr>
            <w:tcW w:w="2746" w:type="dxa"/>
            <w:tcBorders>
              <w:top w:val="single" w:sz="6" w:space="0" w:color="auto"/>
              <w:left w:val="nil"/>
              <w:bottom w:val="single" w:sz="6" w:space="0" w:color="auto"/>
              <w:right w:val="single" w:sz="6" w:space="0" w:color="auto"/>
            </w:tcBorders>
            <w:shd w:val="clear" w:color="auto" w:fill="FFFFFF"/>
          </w:tcPr>
          <w:p w14:paraId="3F129505" w14:textId="77777777" w:rsidR="00A25AD1" w:rsidRPr="00DB5D0D" w:rsidRDefault="00A25AD1" w:rsidP="00DB5D0D">
            <w:pPr>
              <w:pStyle w:val="a3"/>
              <w:rPr>
                <w:color w:val="000000" w:themeColor="text1"/>
              </w:rPr>
            </w:pPr>
            <w:r w:rsidRPr="00DB5D0D">
              <w:rPr>
                <w:color w:val="000000" w:themeColor="text1"/>
              </w:rPr>
              <w:t>34.30.001</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46EBC751" w14:textId="77777777" w:rsidR="00A25AD1" w:rsidRPr="00DB5D0D" w:rsidRDefault="00A25AD1" w:rsidP="00DB5D0D">
            <w:pPr>
              <w:pStyle w:val="a3"/>
              <w:rPr>
                <w:color w:val="000000" w:themeColor="text1"/>
              </w:rPr>
            </w:pPr>
            <w:r w:rsidRPr="00DB5D0D">
              <w:rPr>
                <w:color w:val="000000" w:themeColor="text1"/>
              </w:rPr>
              <w:t>34.30.001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5E4A5AD8" w14:textId="77777777" w:rsidR="00A25AD1" w:rsidRPr="00DB5D0D" w:rsidRDefault="00A25AD1" w:rsidP="00DB5D0D">
            <w:pPr>
              <w:pStyle w:val="a3"/>
              <w:rPr>
                <w:color w:val="000000" w:themeColor="text1"/>
              </w:rPr>
            </w:pPr>
            <w:r w:rsidRPr="00DB5D0D">
              <w:rPr>
                <w:color w:val="000000" w:themeColor="text1"/>
              </w:rPr>
              <w:t>34.30.001</w:t>
            </w:r>
          </w:p>
        </w:tc>
      </w:tr>
      <w:tr w:rsidR="007D5DF8" w:rsidRPr="00DB5D0D" w14:paraId="33397D58" w14:textId="77777777" w:rsidTr="009223E5">
        <w:trPr>
          <w:trHeight w:val="197"/>
        </w:trPr>
        <w:tc>
          <w:tcPr>
            <w:tcW w:w="2582" w:type="dxa"/>
            <w:tcBorders>
              <w:top w:val="single" w:sz="6" w:space="0" w:color="auto"/>
              <w:left w:val="single" w:sz="6" w:space="0" w:color="auto"/>
              <w:bottom w:val="single" w:sz="6" w:space="0" w:color="auto"/>
              <w:right w:val="nil"/>
            </w:tcBorders>
            <w:shd w:val="clear" w:color="auto" w:fill="FFFFFF"/>
          </w:tcPr>
          <w:p w14:paraId="48741326" w14:textId="77777777" w:rsidR="00A25AD1" w:rsidRPr="00DB5D0D" w:rsidRDefault="00A25AD1" w:rsidP="00DB5D0D">
            <w:pPr>
              <w:pStyle w:val="a3"/>
              <w:rPr>
                <w:color w:val="000000" w:themeColor="text1"/>
              </w:rPr>
            </w:pPr>
            <w:r w:rsidRPr="00DB5D0D">
              <w:rPr>
                <w:color w:val="000000" w:themeColor="text1"/>
              </w:rPr>
              <w:t>Передняя обечайка башни</w:t>
            </w:r>
          </w:p>
        </w:tc>
        <w:tc>
          <w:tcPr>
            <w:tcW w:w="2746" w:type="dxa"/>
            <w:tcBorders>
              <w:top w:val="single" w:sz="6" w:space="0" w:color="auto"/>
              <w:left w:val="nil"/>
              <w:bottom w:val="single" w:sz="6" w:space="0" w:color="auto"/>
              <w:right w:val="single" w:sz="6" w:space="0" w:color="auto"/>
            </w:tcBorders>
            <w:shd w:val="clear" w:color="auto" w:fill="FFFFFF"/>
          </w:tcPr>
          <w:p w14:paraId="280F7737" w14:textId="77777777" w:rsidR="00A25AD1" w:rsidRPr="00DB5D0D" w:rsidRDefault="00A25AD1" w:rsidP="00DB5D0D">
            <w:pPr>
              <w:pStyle w:val="a3"/>
              <w:rPr>
                <w:color w:val="000000" w:themeColor="text1"/>
              </w:rPr>
            </w:pPr>
            <w:r w:rsidRPr="00DB5D0D">
              <w:rPr>
                <w:color w:val="000000" w:themeColor="text1"/>
              </w:rPr>
              <w:t>34.30.006</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745D4DB9" w14:textId="77777777" w:rsidR="00A25AD1" w:rsidRPr="00DB5D0D" w:rsidRDefault="00A25AD1" w:rsidP="00DB5D0D">
            <w:pPr>
              <w:pStyle w:val="a3"/>
              <w:rPr>
                <w:color w:val="000000" w:themeColor="text1"/>
              </w:rPr>
            </w:pPr>
            <w:r w:rsidRPr="00DB5D0D">
              <w:rPr>
                <w:color w:val="000000" w:themeColor="text1"/>
              </w:rPr>
              <w:t>34.30.006-1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3A7B9CC1" w14:textId="77777777" w:rsidR="00A25AD1" w:rsidRPr="00DB5D0D" w:rsidRDefault="00A25AD1" w:rsidP="00DB5D0D">
            <w:pPr>
              <w:pStyle w:val="a3"/>
              <w:rPr>
                <w:color w:val="000000" w:themeColor="text1"/>
              </w:rPr>
            </w:pPr>
            <w:r w:rsidRPr="00DB5D0D">
              <w:rPr>
                <w:color w:val="000000" w:themeColor="text1"/>
              </w:rPr>
              <w:t>34.30.006-1</w:t>
            </w:r>
          </w:p>
        </w:tc>
      </w:tr>
      <w:tr w:rsidR="007D5DF8" w:rsidRPr="00DB5D0D" w14:paraId="5DC95DAC" w14:textId="77777777" w:rsidTr="009223E5">
        <w:trPr>
          <w:trHeight w:val="197"/>
        </w:trPr>
        <w:tc>
          <w:tcPr>
            <w:tcW w:w="2582" w:type="dxa"/>
            <w:tcBorders>
              <w:top w:val="single" w:sz="6" w:space="0" w:color="auto"/>
              <w:left w:val="single" w:sz="6" w:space="0" w:color="auto"/>
              <w:bottom w:val="single" w:sz="6" w:space="0" w:color="auto"/>
              <w:right w:val="nil"/>
            </w:tcBorders>
            <w:shd w:val="clear" w:color="auto" w:fill="FFFFFF"/>
          </w:tcPr>
          <w:p w14:paraId="3F8A5BA8" w14:textId="77777777" w:rsidR="00A25AD1" w:rsidRPr="00DB5D0D" w:rsidRDefault="00A25AD1" w:rsidP="00DB5D0D">
            <w:pPr>
              <w:pStyle w:val="a3"/>
              <w:rPr>
                <w:color w:val="000000" w:themeColor="text1"/>
              </w:rPr>
            </w:pPr>
            <w:r w:rsidRPr="00DB5D0D">
              <w:rPr>
                <w:color w:val="000000" w:themeColor="text1"/>
              </w:rPr>
              <w:t>Задняя обечайка башни</w:t>
            </w:r>
          </w:p>
        </w:tc>
        <w:tc>
          <w:tcPr>
            <w:tcW w:w="2746" w:type="dxa"/>
            <w:tcBorders>
              <w:top w:val="single" w:sz="6" w:space="0" w:color="auto"/>
              <w:left w:val="nil"/>
              <w:bottom w:val="single" w:sz="6" w:space="0" w:color="auto"/>
              <w:right w:val="single" w:sz="6" w:space="0" w:color="auto"/>
            </w:tcBorders>
            <w:shd w:val="clear" w:color="auto" w:fill="FFFFFF"/>
          </w:tcPr>
          <w:p w14:paraId="39EB08D5" w14:textId="77777777" w:rsidR="00A25AD1" w:rsidRPr="00DB5D0D" w:rsidRDefault="00A25AD1" w:rsidP="00DB5D0D">
            <w:pPr>
              <w:pStyle w:val="a3"/>
              <w:rPr>
                <w:color w:val="000000" w:themeColor="text1"/>
              </w:rPr>
            </w:pPr>
            <w:r w:rsidRPr="00DB5D0D">
              <w:rPr>
                <w:color w:val="000000" w:themeColor="text1"/>
              </w:rPr>
              <w:t>34.30.007</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08BEB431" w14:textId="77777777" w:rsidR="00A25AD1" w:rsidRPr="00DB5D0D" w:rsidRDefault="00A25AD1" w:rsidP="00DB5D0D">
            <w:pPr>
              <w:pStyle w:val="a3"/>
              <w:rPr>
                <w:color w:val="000000" w:themeColor="text1"/>
              </w:rPr>
            </w:pPr>
            <w:r w:rsidRPr="00DB5D0D">
              <w:rPr>
                <w:color w:val="000000" w:themeColor="text1"/>
              </w:rPr>
              <w:t>34.30.007-1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171362FE" w14:textId="77777777" w:rsidR="00A25AD1" w:rsidRPr="00DB5D0D" w:rsidRDefault="00A25AD1" w:rsidP="00DB5D0D">
            <w:pPr>
              <w:pStyle w:val="a3"/>
              <w:rPr>
                <w:color w:val="000000" w:themeColor="text1"/>
              </w:rPr>
            </w:pPr>
            <w:r w:rsidRPr="00DB5D0D">
              <w:rPr>
                <w:color w:val="000000" w:themeColor="text1"/>
              </w:rPr>
              <w:t>34.30.007-2</w:t>
            </w:r>
          </w:p>
        </w:tc>
      </w:tr>
      <w:tr w:rsidR="007D5DF8" w:rsidRPr="00DB5D0D" w14:paraId="41BA7CD9" w14:textId="77777777" w:rsidTr="009223E5">
        <w:trPr>
          <w:trHeight w:val="192"/>
        </w:trPr>
        <w:tc>
          <w:tcPr>
            <w:tcW w:w="2582" w:type="dxa"/>
            <w:tcBorders>
              <w:top w:val="single" w:sz="6" w:space="0" w:color="auto"/>
              <w:left w:val="single" w:sz="6" w:space="0" w:color="auto"/>
              <w:bottom w:val="single" w:sz="6" w:space="0" w:color="auto"/>
              <w:right w:val="nil"/>
            </w:tcBorders>
            <w:shd w:val="clear" w:color="auto" w:fill="FFFFFF"/>
          </w:tcPr>
          <w:p w14:paraId="111B808E" w14:textId="77777777" w:rsidR="00A25AD1" w:rsidRPr="00DB5D0D" w:rsidRDefault="00A25AD1" w:rsidP="00DB5D0D">
            <w:pPr>
              <w:pStyle w:val="a3"/>
              <w:rPr>
                <w:color w:val="000000" w:themeColor="text1"/>
              </w:rPr>
            </w:pPr>
            <w:r w:rsidRPr="00DB5D0D">
              <w:rPr>
                <w:color w:val="000000" w:themeColor="text1"/>
              </w:rPr>
              <w:t>Передний лист крыши башни</w:t>
            </w:r>
          </w:p>
        </w:tc>
        <w:tc>
          <w:tcPr>
            <w:tcW w:w="2746" w:type="dxa"/>
            <w:tcBorders>
              <w:top w:val="single" w:sz="6" w:space="0" w:color="auto"/>
              <w:left w:val="nil"/>
              <w:bottom w:val="single" w:sz="6" w:space="0" w:color="auto"/>
              <w:right w:val="single" w:sz="6" w:space="0" w:color="auto"/>
            </w:tcBorders>
            <w:shd w:val="clear" w:color="auto" w:fill="FFFFFF"/>
          </w:tcPr>
          <w:p w14:paraId="671F7EBB" w14:textId="77777777" w:rsidR="00A25AD1" w:rsidRPr="00DB5D0D" w:rsidRDefault="00A25AD1" w:rsidP="00DB5D0D">
            <w:pPr>
              <w:pStyle w:val="a3"/>
              <w:rPr>
                <w:color w:val="000000" w:themeColor="text1"/>
              </w:rPr>
            </w:pPr>
            <w:r w:rsidRPr="00DB5D0D">
              <w:rPr>
                <w:color w:val="000000" w:themeColor="text1"/>
              </w:rPr>
              <w:t>34.30.008</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3E4DC026" w14:textId="77777777" w:rsidR="00A25AD1" w:rsidRPr="00DB5D0D" w:rsidRDefault="00A25AD1" w:rsidP="00DB5D0D">
            <w:pPr>
              <w:pStyle w:val="a3"/>
              <w:rPr>
                <w:color w:val="000000" w:themeColor="text1"/>
              </w:rPr>
            </w:pPr>
            <w:r w:rsidRPr="00DB5D0D">
              <w:rPr>
                <w:color w:val="000000" w:themeColor="text1"/>
              </w:rPr>
              <w:t>34.30.008-1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47D14114" w14:textId="77777777" w:rsidR="00A25AD1" w:rsidRPr="00DB5D0D" w:rsidRDefault="00A25AD1" w:rsidP="00DB5D0D">
            <w:pPr>
              <w:pStyle w:val="a3"/>
              <w:rPr>
                <w:color w:val="000000" w:themeColor="text1"/>
              </w:rPr>
            </w:pPr>
            <w:r w:rsidRPr="00DB5D0D">
              <w:rPr>
                <w:color w:val="000000" w:themeColor="text1"/>
              </w:rPr>
              <w:t>34.30.008-1</w:t>
            </w:r>
          </w:p>
        </w:tc>
      </w:tr>
      <w:tr w:rsidR="007D5DF8" w:rsidRPr="00DB5D0D" w14:paraId="3B04A595" w14:textId="77777777" w:rsidTr="009223E5">
        <w:trPr>
          <w:trHeight w:val="197"/>
        </w:trPr>
        <w:tc>
          <w:tcPr>
            <w:tcW w:w="2582" w:type="dxa"/>
            <w:tcBorders>
              <w:top w:val="single" w:sz="6" w:space="0" w:color="auto"/>
              <w:left w:val="single" w:sz="6" w:space="0" w:color="auto"/>
              <w:bottom w:val="single" w:sz="6" w:space="0" w:color="auto"/>
              <w:right w:val="single" w:sz="6" w:space="0" w:color="auto"/>
            </w:tcBorders>
            <w:shd w:val="clear" w:color="auto" w:fill="FFFFFF"/>
          </w:tcPr>
          <w:p w14:paraId="2A546FD8" w14:textId="77777777" w:rsidR="00A25AD1" w:rsidRPr="00DB5D0D" w:rsidRDefault="00A25AD1" w:rsidP="00DB5D0D">
            <w:pPr>
              <w:pStyle w:val="a3"/>
              <w:rPr>
                <w:color w:val="000000" w:themeColor="text1"/>
              </w:rPr>
            </w:pPr>
            <w:r w:rsidRPr="00DB5D0D">
              <w:rPr>
                <w:color w:val="000000" w:themeColor="text1"/>
              </w:rPr>
              <w:t>Днище ниши башни</w:t>
            </w:r>
          </w:p>
        </w:tc>
        <w:tc>
          <w:tcPr>
            <w:tcW w:w="2746" w:type="dxa"/>
            <w:tcBorders>
              <w:top w:val="single" w:sz="6" w:space="0" w:color="auto"/>
              <w:left w:val="single" w:sz="6" w:space="0" w:color="auto"/>
              <w:bottom w:val="single" w:sz="6" w:space="0" w:color="auto"/>
              <w:right w:val="single" w:sz="6" w:space="0" w:color="auto"/>
            </w:tcBorders>
            <w:shd w:val="clear" w:color="auto" w:fill="FFFFFF"/>
          </w:tcPr>
          <w:p w14:paraId="0453713D" w14:textId="77777777" w:rsidR="00A25AD1" w:rsidRPr="00DB5D0D" w:rsidRDefault="00A25AD1" w:rsidP="00DB5D0D">
            <w:pPr>
              <w:pStyle w:val="a3"/>
              <w:rPr>
                <w:color w:val="000000" w:themeColor="text1"/>
              </w:rPr>
            </w:pPr>
            <w:r w:rsidRPr="00DB5D0D">
              <w:rPr>
                <w:color w:val="000000" w:themeColor="text1"/>
              </w:rPr>
              <w:t>34.30.009</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102BD461" w14:textId="77777777" w:rsidR="00A25AD1" w:rsidRPr="00DB5D0D" w:rsidRDefault="00A25AD1" w:rsidP="00DB5D0D">
            <w:pPr>
              <w:pStyle w:val="a3"/>
              <w:rPr>
                <w:color w:val="000000" w:themeColor="text1"/>
              </w:rPr>
            </w:pPr>
            <w:r w:rsidRPr="00DB5D0D">
              <w:rPr>
                <w:color w:val="000000" w:themeColor="text1"/>
              </w:rPr>
              <w:t>34.30.009-1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7C7F4EF2" w14:textId="77777777" w:rsidR="00A25AD1" w:rsidRPr="00DB5D0D" w:rsidRDefault="00A25AD1" w:rsidP="00DB5D0D">
            <w:pPr>
              <w:pStyle w:val="a3"/>
              <w:rPr>
                <w:color w:val="000000" w:themeColor="text1"/>
              </w:rPr>
            </w:pPr>
            <w:r w:rsidRPr="00DB5D0D">
              <w:rPr>
                <w:color w:val="000000" w:themeColor="text1"/>
              </w:rPr>
              <w:t>34.30.009-2</w:t>
            </w:r>
          </w:p>
        </w:tc>
      </w:tr>
      <w:tr w:rsidR="007D5DF8" w:rsidRPr="00DB5D0D" w14:paraId="054EA778" w14:textId="77777777" w:rsidTr="009223E5">
        <w:trPr>
          <w:trHeight w:val="192"/>
        </w:trPr>
        <w:tc>
          <w:tcPr>
            <w:tcW w:w="2582" w:type="dxa"/>
            <w:tcBorders>
              <w:top w:val="single" w:sz="6" w:space="0" w:color="auto"/>
              <w:left w:val="single" w:sz="6" w:space="0" w:color="auto"/>
              <w:bottom w:val="single" w:sz="6" w:space="0" w:color="auto"/>
              <w:right w:val="single" w:sz="6" w:space="0" w:color="auto"/>
            </w:tcBorders>
            <w:shd w:val="clear" w:color="auto" w:fill="FFFFFF"/>
          </w:tcPr>
          <w:p w14:paraId="3C510EC9" w14:textId="77777777" w:rsidR="00A25AD1" w:rsidRPr="00DB5D0D" w:rsidRDefault="00A25AD1" w:rsidP="00DB5D0D">
            <w:pPr>
              <w:pStyle w:val="a3"/>
              <w:rPr>
                <w:color w:val="000000" w:themeColor="text1"/>
              </w:rPr>
            </w:pPr>
            <w:r w:rsidRPr="00DB5D0D">
              <w:rPr>
                <w:color w:val="000000" w:themeColor="text1"/>
              </w:rPr>
              <w:t>Крышка лкжа башни</w:t>
            </w:r>
          </w:p>
        </w:tc>
        <w:tc>
          <w:tcPr>
            <w:tcW w:w="2746" w:type="dxa"/>
            <w:tcBorders>
              <w:top w:val="single" w:sz="6" w:space="0" w:color="auto"/>
              <w:left w:val="single" w:sz="6" w:space="0" w:color="auto"/>
              <w:bottom w:val="single" w:sz="6" w:space="0" w:color="auto"/>
              <w:right w:val="single" w:sz="6" w:space="0" w:color="auto"/>
            </w:tcBorders>
            <w:shd w:val="clear" w:color="auto" w:fill="FFFFFF"/>
          </w:tcPr>
          <w:p w14:paraId="0CB0FDB4" w14:textId="77777777" w:rsidR="00A25AD1" w:rsidRPr="00DB5D0D" w:rsidRDefault="00A25AD1" w:rsidP="00DB5D0D">
            <w:pPr>
              <w:pStyle w:val="a3"/>
              <w:rPr>
                <w:color w:val="000000" w:themeColor="text1"/>
              </w:rPr>
            </w:pPr>
            <w:r w:rsidRPr="00DB5D0D">
              <w:rPr>
                <w:color w:val="000000" w:themeColor="text1"/>
              </w:rPr>
              <w:t>34.30.010</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7D019D35" w14:textId="77777777" w:rsidR="00A25AD1" w:rsidRPr="00DB5D0D" w:rsidRDefault="00A25AD1" w:rsidP="00DB5D0D">
            <w:pPr>
              <w:pStyle w:val="a3"/>
              <w:rPr>
                <w:color w:val="000000" w:themeColor="text1"/>
              </w:rPr>
            </w:pPr>
            <w:r w:rsidRPr="00DB5D0D">
              <w:rPr>
                <w:color w:val="000000" w:themeColor="text1"/>
              </w:rPr>
              <w:t>34.30.010-1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41F8EAA6" w14:textId="77777777" w:rsidR="00A25AD1" w:rsidRPr="00DB5D0D" w:rsidRDefault="00A25AD1" w:rsidP="00DB5D0D">
            <w:pPr>
              <w:pStyle w:val="a3"/>
              <w:rPr>
                <w:color w:val="000000" w:themeColor="text1"/>
              </w:rPr>
            </w:pPr>
            <w:r w:rsidRPr="00DB5D0D">
              <w:rPr>
                <w:color w:val="000000" w:themeColor="text1"/>
              </w:rPr>
              <w:t>34.30.010-1</w:t>
            </w:r>
          </w:p>
        </w:tc>
      </w:tr>
      <w:tr w:rsidR="007D5DF8" w:rsidRPr="00DB5D0D" w14:paraId="51512D15" w14:textId="77777777" w:rsidTr="009223E5">
        <w:trPr>
          <w:trHeight w:val="187"/>
        </w:trPr>
        <w:tc>
          <w:tcPr>
            <w:tcW w:w="2582" w:type="dxa"/>
            <w:tcBorders>
              <w:top w:val="single" w:sz="6" w:space="0" w:color="auto"/>
              <w:left w:val="single" w:sz="6" w:space="0" w:color="auto"/>
              <w:bottom w:val="single" w:sz="6" w:space="0" w:color="auto"/>
              <w:right w:val="single" w:sz="6" w:space="0" w:color="auto"/>
            </w:tcBorders>
            <w:shd w:val="clear" w:color="auto" w:fill="FFFFFF"/>
          </w:tcPr>
          <w:p w14:paraId="357B4CCF" w14:textId="77777777" w:rsidR="00A25AD1" w:rsidRPr="00DB5D0D" w:rsidRDefault="00A25AD1" w:rsidP="00DB5D0D">
            <w:pPr>
              <w:pStyle w:val="a3"/>
              <w:rPr>
                <w:color w:val="000000" w:themeColor="text1"/>
              </w:rPr>
            </w:pPr>
            <w:r w:rsidRPr="00DB5D0D">
              <w:rPr>
                <w:color w:val="000000" w:themeColor="text1"/>
              </w:rPr>
              <w:t>Дверка ниши башни</w:t>
            </w:r>
          </w:p>
        </w:tc>
        <w:tc>
          <w:tcPr>
            <w:tcW w:w="2746" w:type="dxa"/>
            <w:tcBorders>
              <w:top w:val="single" w:sz="6" w:space="0" w:color="auto"/>
              <w:left w:val="single" w:sz="6" w:space="0" w:color="auto"/>
              <w:bottom w:val="single" w:sz="6" w:space="0" w:color="auto"/>
              <w:right w:val="single" w:sz="6" w:space="0" w:color="auto"/>
            </w:tcBorders>
            <w:shd w:val="clear" w:color="auto" w:fill="FFFFFF"/>
          </w:tcPr>
          <w:p w14:paraId="563E6D1A" w14:textId="77777777" w:rsidR="00A25AD1" w:rsidRPr="00DB5D0D" w:rsidRDefault="00A25AD1" w:rsidP="00DB5D0D">
            <w:pPr>
              <w:pStyle w:val="a3"/>
              <w:rPr>
                <w:color w:val="000000" w:themeColor="text1"/>
              </w:rPr>
            </w:pPr>
            <w:r w:rsidRPr="00DB5D0D">
              <w:rPr>
                <w:color w:val="000000" w:themeColor="text1"/>
              </w:rPr>
              <w:t>34.30.011</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33EC585C" w14:textId="77777777" w:rsidR="00A25AD1" w:rsidRPr="00DB5D0D" w:rsidRDefault="00A25AD1" w:rsidP="00DB5D0D">
            <w:pPr>
              <w:pStyle w:val="a3"/>
              <w:rPr>
                <w:color w:val="000000" w:themeColor="text1"/>
              </w:rPr>
            </w:pPr>
            <w:r w:rsidRPr="00DB5D0D">
              <w:rPr>
                <w:color w:val="000000" w:themeColor="text1"/>
              </w:rPr>
              <w:t>34.30.011-1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0D069A11" w14:textId="77777777" w:rsidR="00A25AD1" w:rsidRPr="00DB5D0D" w:rsidRDefault="00A25AD1" w:rsidP="00DB5D0D">
            <w:pPr>
              <w:pStyle w:val="a3"/>
              <w:rPr>
                <w:color w:val="000000" w:themeColor="text1"/>
              </w:rPr>
            </w:pPr>
            <w:r w:rsidRPr="00DB5D0D">
              <w:rPr>
                <w:color w:val="000000" w:themeColor="text1"/>
              </w:rPr>
              <w:t>34.30.011-2</w:t>
            </w:r>
          </w:p>
        </w:tc>
      </w:tr>
      <w:tr w:rsidR="007D5DF8" w:rsidRPr="00DB5D0D" w14:paraId="2C219F52" w14:textId="77777777" w:rsidTr="009223E5">
        <w:trPr>
          <w:trHeight w:val="202"/>
        </w:trPr>
        <w:tc>
          <w:tcPr>
            <w:tcW w:w="2582" w:type="dxa"/>
            <w:tcBorders>
              <w:top w:val="single" w:sz="6" w:space="0" w:color="auto"/>
              <w:left w:val="single" w:sz="6" w:space="0" w:color="auto"/>
              <w:bottom w:val="single" w:sz="6" w:space="0" w:color="auto"/>
              <w:right w:val="single" w:sz="6" w:space="0" w:color="auto"/>
            </w:tcBorders>
            <w:shd w:val="clear" w:color="auto" w:fill="FFFFFF"/>
          </w:tcPr>
          <w:p w14:paraId="323B4D3B" w14:textId="77777777" w:rsidR="00A25AD1" w:rsidRPr="00DB5D0D" w:rsidRDefault="00A25AD1" w:rsidP="00DB5D0D">
            <w:pPr>
              <w:pStyle w:val="a3"/>
              <w:rPr>
                <w:color w:val="000000" w:themeColor="text1"/>
              </w:rPr>
            </w:pPr>
            <w:r w:rsidRPr="00DB5D0D">
              <w:rPr>
                <w:color w:val="000000" w:themeColor="text1"/>
              </w:rPr>
              <w:t>Задний лист крыши башни</w:t>
            </w:r>
          </w:p>
        </w:tc>
        <w:tc>
          <w:tcPr>
            <w:tcW w:w="2746" w:type="dxa"/>
            <w:tcBorders>
              <w:top w:val="single" w:sz="6" w:space="0" w:color="auto"/>
              <w:left w:val="single" w:sz="6" w:space="0" w:color="auto"/>
              <w:bottom w:val="single" w:sz="6" w:space="0" w:color="auto"/>
              <w:right w:val="single" w:sz="6" w:space="0" w:color="auto"/>
            </w:tcBorders>
            <w:shd w:val="clear" w:color="auto" w:fill="FFFFFF"/>
          </w:tcPr>
          <w:p w14:paraId="280E98AB" w14:textId="77777777" w:rsidR="00A25AD1" w:rsidRPr="00DB5D0D" w:rsidRDefault="00A25AD1" w:rsidP="00DB5D0D">
            <w:pPr>
              <w:pStyle w:val="a3"/>
              <w:rPr>
                <w:color w:val="000000" w:themeColor="text1"/>
              </w:rPr>
            </w:pPr>
            <w:r w:rsidRPr="00DB5D0D">
              <w:rPr>
                <w:color w:val="000000" w:themeColor="text1"/>
              </w:rPr>
              <w:t>34.30.017</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53038F7E" w14:textId="77777777" w:rsidR="00A25AD1" w:rsidRPr="00DB5D0D" w:rsidRDefault="00A25AD1" w:rsidP="00DB5D0D">
            <w:pPr>
              <w:pStyle w:val="a3"/>
              <w:rPr>
                <w:color w:val="000000" w:themeColor="text1"/>
              </w:rPr>
            </w:pPr>
            <w:r w:rsidRPr="00DB5D0D">
              <w:rPr>
                <w:color w:val="000000" w:themeColor="text1"/>
              </w:rPr>
              <w:t>34.30.017-1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4AA4B787" w14:textId="77777777" w:rsidR="00A25AD1" w:rsidRPr="00DB5D0D" w:rsidRDefault="00A25AD1" w:rsidP="00DB5D0D">
            <w:pPr>
              <w:pStyle w:val="a3"/>
              <w:rPr>
                <w:color w:val="000000" w:themeColor="text1"/>
              </w:rPr>
            </w:pPr>
            <w:r w:rsidRPr="00DB5D0D">
              <w:rPr>
                <w:color w:val="000000" w:themeColor="text1"/>
              </w:rPr>
              <w:t>34.30.017-1</w:t>
            </w:r>
          </w:p>
        </w:tc>
      </w:tr>
      <w:tr w:rsidR="007D5DF8" w:rsidRPr="00DB5D0D" w14:paraId="4DFDF7F5" w14:textId="77777777" w:rsidTr="009223E5">
        <w:trPr>
          <w:trHeight w:val="192"/>
        </w:trPr>
        <w:tc>
          <w:tcPr>
            <w:tcW w:w="2582" w:type="dxa"/>
            <w:tcBorders>
              <w:top w:val="single" w:sz="6" w:space="0" w:color="auto"/>
              <w:left w:val="single" w:sz="6" w:space="0" w:color="auto"/>
              <w:bottom w:val="single" w:sz="6" w:space="0" w:color="auto"/>
              <w:right w:val="nil"/>
            </w:tcBorders>
            <w:shd w:val="clear" w:color="auto" w:fill="FFFFFF"/>
          </w:tcPr>
          <w:p w14:paraId="20E9C822" w14:textId="77777777" w:rsidR="00A25AD1" w:rsidRPr="00DB5D0D" w:rsidRDefault="00A25AD1" w:rsidP="00DB5D0D">
            <w:pPr>
              <w:pStyle w:val="a3"/>
              <w:rPr>
                <w:color w:val="000000" w:themeColor="text1"/>
              </w:rPr>
            </w:pPr>
            <w:r w:rsidRPr="00DB5D0D">
              <w:rPr>
                <w:color w:val="000000" w:themeColor="text1"/>
              </w:rPr>
              <w:t>Правый лист башни</w:t>
            </w:r>
          </w:p>
        </w:tc>
        <w:tc>
          <w:tcPr>
            <w:tcW w:w="2746" w:type="dxa"/>
            <w:tcBorders>
              <w:top w:val="single" w:sz="6" w:space="0" w:color="auto"/>
              <w:left w:val="nil"/>
              <w:bottom w:val="single" w:sz="6" w:space="0" w:color="auto"/>
              <w:right w:val="single" w:sz="6" w:space="0" w:color="auto"/>
            </w:tcBorders>
            <w:shd w:val="clear" w:color="auto" w:fill="FFFFFF"/>
          </w:tcPr>
          <w:p w14:paraId="43AF94CC" w14:textId="77777777" w:rsidR="00A25AD1" w:rsidRPr="00DB5D0D" w:rsidRDefault="00A25AD1" w:rsidP="00DB5D0D">
            <w:pPr>
              <w:pStyle w:val="a3"/>
              <w:rPr>
                <w:color w:val="000000" w:themeColor="text1"/>
              </w:rPr>
            </w:pPr>
            <w:r w:rsidRPr="00DB5D0D">
              <w:rPr>
                <w:color w:val="000000" w:themeColor="text1"/>
              </w:rPr>
              <w:t>34.30.018</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41EC24C9" w14:textId="77777777" w:rsidR="00A25AD1" w:rsidRPr="00DB5D0D" w:rsidRDefault="00A25AD1" w:rsidP="00DB5D0D">
            <w:pPr>
              <w:pStyle w:val="a3"/>
              <w:rPr>
                <w:color w:val="000000" w:themeColor="text1"/>
              </w:rPr>
            </w:pPr>
            <w:r w:rsidRPr="00DB5D0D">
              <w:rPr>
                <w:color w:val="000000" w:themeColor="text1"/>
              </w:rPr>
              <w:t>34.30.018-1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1B4C0239" w14:textId="77777777" w:rsidR="00A25AD1" w:rsidRPr="00DB5D0D" w:rsidRDefault="00A25AD1" w:rsidP="00DB5D0D">
            <w:pPr>
              <w:pStyle w:val="a3"/>
              <w:rPr>
                <w:color w:val="000000" w:themeColor="text1"/>
              </w:rPr>
            </w:pPr>
            <w:r w:rsidRPr="00DB5D0D">
              <w:rPr>
                <w:color w:val="000000" w:themeColor="text1"/>
              </w:rPr>
              <w:t>34.30.018-2</w:t>
            </w:r>
          </w:p>
        </w:tc>
      </w:tr>
      <w:tr w:rsidR="007D5DF8" w:rsidRPr="00DB5D0D" w14:paraId="597C73CC" w14:textId="77777777" w:rsidTr="009223E5">
        <w:trPr>
          <w:trHeight w:val="197"/>
        </w:trPr>
        <w:tc>
          <w:tcPr>
            <w:tcW w:w="2582" w:type="dxa"/>
            <w:tcBorders>
              <w:top w:val="single" w:sz="6" w:space="0" w:color="auto"/>
              <w:left w:val="single" w:sz="6" w:space="0" w:color="auto"/>
              <w:bottom w:val="single" w:sz="6" w:space="0" w:color="auto"/>
              <w:right w:val="nil"/>
            </w:tcBorders>
            <w:shd w:val="clear" w:color="auto" w:fill="FFFFFF"/>
          </w:tcPr>
          <w:p w14:paraId="231E5523" w14:textId="77777777" w:rsidR="00A25AD1" w:rsidRPr="00DB5D0D" w:rsidRDefault="00A25AD1" w:rsidP="00DB5D0D">
            <w:pPr>
              <w:pStyle w:val="a3"/>
              <w:rPr>
                <w:color w:val="000000" w:themeColor="text1"/>
              </w:rPr>
            </w:pPr>
            <w:r w:rsidRPr="00DB5D0D">
              <w:rPr>
                <w:color w:val="000000" w:themeColor="text1"/>
              </w:rPr>
              <w:t>Правый лист башни</w:t>
            </w:r>
          </w:p>
        </w:tc>
        <w:tc>
          <w:tcPr>
            <w:tcW w:w="2746" w:type="dxa"/>
            <w:tcBorders>
              <w:top w:val="single" w:sz="6" w:space="0" w:color="auto"/>
              <w:left w:val="nil"/>
              <w:bottom w:val="single" w:sz="6" w:space="0" w:color="auto"/>
              <w:right w:val="single" w:sz="6" w:space="0" w:color="auto"/>
            </w:tcBorders>
            <w:shd w:val="clear" w:color="auto" w:fill="FFFFFF"/>
          </w:tcPr>
          <w:p w14:paraId="5DB4DF1A" w14:textId="77777777" w:rsidR="00A25AD1" w:rsidRPr="00DB5D0D" w:rsidRDefault="00A25AD1" w:rsidP="00DB5D0D">
            <w:pPr>
              <w:pStyle w:val="a3"/>
              <w:rPr>
                <w:color w:val="000000" w:themeColor="text1"/>
              </w:rPr>
            </w:pPr>
            <w:r w:rsidRPr="00DB5D0D">
              <w:rPr>
                <w:color w:val="000000" w:themeColor="text1"/>
              </w:rPr>
              <w:t>34.30.019</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7EDFDBE8" w14:textId="77777777" w:rsidR="00A25AD1" w:rsidRPr="00DB5D0D" w:rsidRDefault="00A25AD1" w:rsidP="00DB5D0D">
            <w:pPr>
              <w:pStyle w:val="a3"/>
              <w:rPr>
                <w:color w:val="000000" w:themeColor="text1"/>
              </w:rPr>
            </w:pPr>
            <w:r w:rsidRPr="00DB5D0D">
              <w:rPr>
                <w:color w:val="000000" w:themeColor="text1"/>
              </w:rPr>
              <w:t>34.30.019-1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6D044FF6" w14:textId="77777777" w:rsidR="00A25AD1" w:rsidRPr="00DB5D0D" w:rsidRDefault="00A25AD1" w:rsidP="00DB5D0D">
            <w:pPr>
              <w:pStyle w:val="a3"/>
              <w:rPr>
                <w:color w:val="000000" w:themeColor="text1"/>
              </w:rPr>
            </w:pPr>
            <w:r w:rsidRPr="00DB5D0D">
              <w:rPr>
                <w:color w:val="000000" w:themeColor="text1"/>
              </w:rPr>
              <w:t>34.30.019-2</w:t>
            </w:r>
          </w:p>
        </w:tc>
      </w:tr>
      <w:tr w:rsidR="007D5DF8" w:rsidRPr="00DB5D0D" w14:paraId="72517F76" w14:textId="77777777" w:rsidTr="009223E5">
        <w:trPr>
          <w:trHeight w:val="206"/>
        </w:trPr>
        <w:tc>
          <w:tcPr>
            <w:tcW w:w="2582" w:type="dxa"/>
            <w:tcBorders>
              <w:top w:val="single" w:sz="6" w:space="0" w:color="auto"/>
              <w:left w:val="single" w:sz="6" w:space="0" w:color="auto"/>
              <w:bottom w:val="single" w:sz="6" w:space="0" w:color="auto"/>
              <w:right w:val="nil"/>
            </w:tcBorders>
            <w:shd w:val="clear" w:color="auto" w:fill="FFFFFF"/>
          </w:tcPr>
          <w:p w14:paraId="16733473" w14:textId="77777777" w:rsidR="00A25AD1" w:rsidRPr="00DB5D0D" w:rsidRDefault="00A25AD1" w:rsidP="00DB5D0D">
            <w:pPr>
              <w:pStyle w:val="a3"/>
              <w:rPr>
                <w:color w:val="000000" w:themeColor="text1"/>
              </w:rPr>
            </w:pPr>
            <w:r w:rsidRPr="00DB5D0D">
              <w:rPr>
                <w:color w:val="000000" w:themeColor="text1"/>
              </w:rPr>
              <w:t>Основания смотрового прибора</w:t>
            </w:r>
          </w:p>
        </w:tc>
        <w:tc>
          <w:tcPr>
            <w:tcW w:w="2746" w:type="dxa"/>
            <w:tcBorders>
              <w:top w:val="single" w:sz="6" w:space="0" w:color="auto"/>
              <w:left w:val="nil"/>
              <w:bottom w:val="single" w:sz="6" w:space="0" w:color="auto"/>
              <w:right w:val="single" w:sz="6" w:space="0" w:color="auto"/>
            </w:tcBorders>
            <w:shd w:val="clear" w:color="auto" w:fill="FFFFFF"/>
          </w:tcPr>
          <w:p w14:paraId="5CAFE35C" w14:textId="77777777" w:rsidR="00A25AD1" w:rsidRPr="00DB5D0D" w:rsidRDefault="00A25AD1" w:rsidP="00DB5D0D">
            <w:pPr>
              <w:pStyle w:val="a3"/>
              <w:rPr>
                <w:color w:val="000000" w:themeColor="text1"/>
              </w:rPr>
            </w:pPr>
            <w:r w:rsidRPr="00DB5D0D">
              <w:rPr>
                <w:color w:val="000000" w:themeColor="text1"/>
              </w:rPr>
              <w:t>34.30.051 (2 шт.)</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62B23A7A" w14:textId="77777777" w:rsidR="00A25AD1" w:rsidRPr="00DB5D0D" w:rsidRDefault="00A25AD1" w:rsidP="00DB5D0D">
            <w:pPr>
              <w:pStyle w:val="a3"/>
              <w:rPr>
                <w:color w:val="000000" w:themeColor="text1"/>
              </w:rPr>
            </w:pPr>
            <w:r w:rsidRPr="00DB5D0D">
              <w:rPr>
                <w:color w:val="000000" w:themeColor="text1"/>
              </w:rPr>
              <w:t>34.30.183; 34.30.184</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6A7A5666" w14:textId="77777777" w:rsidR="00A25AD1" w:rsidRPr="00DB5D0D" w:rsidRDefault="00A25AD1" w:rsidP="00DB5D0D">
            <w:pPr>
              <w:pStyle w:val="a3"/>
              <w:rPr>
                <w:color w:val="000000" w:themeColor="text1"/>
              </w:rPr>
            </w:pPr>
            <w:r w:rsidRPr="00DB5D0D">
              <w:rPr>
                <w:color w:val="000000" w:themeColor="text1"/>
              </w:rPr>
              <w:t>34.30.183; 34.30.184</w:t>
            </w:r>
          </w:p>
        </w:tc>
      </w:tr>
    </w:tbl>
    <w:p w14:paraId="3B93CE19" w14:textId="77777777" w:rsidR="00A25AD1" w:rsidRPr="00DB5D0D" w:rsidRDefault="00A25AD1" w:rsidP="00DB5D0D">
      <w:pPr>
        <w:pStyle w:val="a3"/>
        <w:rPr>
          <w:color w:val="000000" w:themeColor="text1"/>
          <w:lang w:val="ru-RU"/>
        </w:rPr>
      </w:pPr>
      <w:r w:rsidRPr="00DB5D0D">
        <w:rPr>
          <w:color w:val="000000" w:themeColor="text1"/>
          <w:lang w:val="ru-RU"/>
        </w:rPr>
        <w:t>(11903).</w:t>
      </w:r>
    </w:p>
    <w:p w14:paraId="30567537" w14:textId="77777777" w:rsidR="00A25AD1" w:rsidRPr="00DB5D0D" w:rsidRDefault="00A25AD1" w:rsidP="00DB5D0D">
      <w:pPr>
        <w:pStyle w:val="a3"/>
        <w:rPr>
          <w:color w:val="000000" w:themeColor="text1"/>
          <w:lang w:val="ru-RU"/>
        </w:rPr>
      </w:pPr>
    </w:p>
    <w:p w14:paraId="7FDB9A8A"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28 января 1940</w:t>
      </w:r>
    </w:p>
    <w:p w14:paraId="26C49EFD"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60141751"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2 </w:t>
      </w:r>
    </w:p>
    <w:p w14:paraId="7DCF5C3C"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28/V 1940 г. </w:t>
      </w:r>
    </w:p>
    <w:p w14:paraId="17125386"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2757 </w:t>
      </w:r>
    </w:p>
    <w:p w14:paraId="351AFA8C"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ДИРЕКТОРУ ЗАВОДА № 183</w:t>
      </w:r>
    </w:p>
    <w:p w14:paraId="670A8F8B"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 ХАРЬКОВ</w:t>
      </w:r>
    </w:p>
    <w:p w14:paraId="1B31BAAA"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Копия: НАЧАЛЬНИКУ АБТУ КА</w:t>
      </w:r>
    </w:p>
    <w:p w14:paraId="5DD2C633"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гор. Москва</w:t>
      </w:r>
    </w:p>
    <w:p w14:paraId="7A0A8670"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 7-го ГЛАВНОГО УПРАВЛЕНИЯ НКСП</w:t>
      </w:r>
    </w:p>
    <w:p w14:paraId="00D476D2"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гор. Москва</w:t>
      </w:r>
    </w:p>
    <w:p w14:paraId="71DEFAC7"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Военпреду АБТУ КА на заводе им. Ильича</w:t>
      </w:r>
    </w:p>
    <w:p w14:paraId="12478FBF"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 протоколу совещания от 21/V-40 г.</w:t>
      </w:r>
    </w:p>
    <w:p w14:paraId="5E623D2B"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Настоящим сообщаем, что завод № 183 не выполнил указаний АБТУ КА в части упрощения деталей машины А-34, в частности детали 34-30-018-1 и 34-30-019-1 по предложенным чертежам еще более усложнились. </w:t>
      </w:r>
    </w:p>
    <w:p w14:paraId="79D18FF5"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установочной партии детали полубашни штамповались на прессе цеха № 5 с четырех операций, такая штамповка была весьма сложной, т.к. требовала после каждой операции самостоятельной разметки. </w:t>
      </w:r>
    </w:p>
    <w:p w14:paraId="778C9513"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По новым чертежам детали полубашни (34-30-018-1 и 34-30-019-1) имеют отбуртовку, которую нельзя получить на существующих прессах цеха № 5 ввиду их малой мощности (450 тонн). </w:t>
      </w:r>
    </w:p>
    <w:p w14:paraId="673FE978"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Мариупольский завод в период производства установочной партии пробовал производить штамповку детали полубашни на прессе 3000 тонн цеха № 8, но ввиду того, что пресс имеет подвижной стол, на котором матрица в период штамповки смещается относительно оси пуансона, эти детали не удалось получить даже приближенных размеров. </w:t>
      </w:r>
    </w:p>
    <w:p w14:paraId="19EC8C45"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Детали полубашни с отбуртовкой еще больше усугубят невозможность их получения, т.к. даже путем получения кустарным способом, при больших затратах, деталей с отбуртовкой, последние в процессе закалки будут иметь неизбежную поводку, неустранимую правильными средствами (вальцами) существующим на заводе оборудованием. </w:t>
      </w:r>
    </w:p>
    <w:p w14:paraId="22CDE738"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Исходя из вышеизложенного, Мариупольский завод отказывается от принятия изготовления этих деталей и просит завод № 183 дополнительно проработать вопрос упрощения этих деталей с целью обеспечения выпуска машины А-34 в требуемом количестве. </w:t>
      </w:r>
    </w:p>
    <w:p w14:paraId="502C1301"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ПРИЛОЖЕНИЕ: протокол от 21/V-с.г. и особое мнение к протоколу на 2-х листах. </w:t>
      </w:r>
    </w:p>
    <w:p w14:paraId="45E1E807"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ДИРЕКТОР ЗАВОДА подпись (ГАРМАШЕВ А.Ф.)</w:t>
      </w:r>
    </w:p>
    <w:p w14:paraId="068F2625"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ГЛАВНЫЙ ИНЖЕНЕР подпись (НИЦЕНКО)</w:t>
      </w:r>
    </w:p>
    <w:p w14:paraId="3CB70580"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5 экз. </w:t>
      </w:r>
    </w:p>
    <w:p w14:paraId="545AD1D8"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1176 листы 105</w:t>
      </w:r>
      <w:r w:rsidRPr="00DB5D0D">
        <w:rPr>
          <w:rFonts w:ascii="Times New Roman" w:eastAsia="Times New Roman" w:hAnsi="Times New Roman"/>
          <w:color w:val="000000" w:themeColor="text1"/>
          <w:sz w:val="16"/>
          <w:szCs w:val="16"/>
          <w:lang w:eastAsia="ru-RU"/>
        </w:rPr>
        <w:t xml:space="preserve"> </w:t>
      </w:r>
    </w:p>
    <w:p w14:paraId="3B313D36"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служебного пользования </w:t>
      </w:r>
    </w:p>
    <w:p w14:paraId="6B06101D"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ОСОБОЕ МНЕНИЕ ПРЕДСТАВИТЕЛЕЙ ЗАВОДА №183 И ВОЕНПРЕДА АБТУ КА НА ЗАВОДЕ № 183</w:t>
      </w:r>
    </w:p>
    <w:p w14:paraId="62A51E05"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Деталь 34-15-006 поставляется с зачисткой внешнего контура без вывода черновин. Разбег 4,5 мм на толщину в пределах указанных в чертеже вполне достаточен и расширения не требует. </w:t>
      </w:r>
    </w:p>
    <w:p w14:paraId="737D9ED3"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По деталям 34-12-013 и 34-15-006 вопрос унификации штампов может быть разрешен заводом 183 только при заказе следующей партии деталей. </w:t>
      </w:r>
    </w:p>
    <w:p w14:paraId="3542EBE8"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Разрешить этот вопрос немедленно нет возможности из-за отсутствия сопряженных деталей – ступиц, колес с их внутренним устройством. </w:t>
      </w:r>
    </w:p>
    <w:p w14:paraId="6360E272"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По детали 34-16-003 отказ Марзавода от поставки сырых заготовок этих деталей по мотивам отсутствия литейной базы для отливки этих деталей, не может быть принят заводом №183, т.к. по другим узлам машины Марзавод предлагает замену катаных и штампованных узлов – литыми или же комбинированными, в которые входят литые элементы. Для отливки этих элементов литейная база на заводе Ильича имеется, следовательно, отливку двух деталей меньших, как по весу, так и по габаритам, завод Ильича имеет полную возможность выполнить. </w:t>
      </w:r>
    </w:p>
    <w:p w14:paraId="16DC0DFA"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 деталям 34-30-018-1 и 34-30-019-1 эти детали требуют изготовления новых штампов, несколько отличающихся от аналогичных штампов, запроектированных для изготовления детали 34-30-018 и 34-30-019. Никакого дополнительного оборудования по штамповке и правильных средств изменение этих деталей не требует, и всю последующую обработку после штамповки можно вести по техпроцессу на детали 34-30-018 и 34-30-019. </w:t>
      </w:r>
    </w:p>
    <w:p w14:paraId="1310EC24"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Данные изменения в деталях 34-30-018 и 34-30-019 сделаны с целью уширения колпака по указанию НКО, которые согласовывались с Зам. начальника 5 цеха з-да Ильича т. ЗАСЕДСКИМ во время изготовления чертежей на заводе № 183. </w:t>
      </w:r>
    </w:p>
    <w:p w14:paraId="0B3FDD06"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Отказ от изготовления колпака заводом Ильича даже без тщательной проверки конструкции и возможности его изготовления, является формальной необоснованной отпиской, которая может привести к срыву выпуска машин А-34. </w:t>
      </w:r>
    </w:p>
    <w:p w14:paraId="2C0EEEA5"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ПРЕДСТАВИТЕЛИ ЗАВОДА 183 подпись (Таршинов)</w:t>
      </w:r>
    </w:p>
    <w:p w14:paraId="53E60403"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25.5.40 подпись (Кочетов)</w:t>
      </w:r>
    </w:p>
    <w:p w14:paraId="3A34B949"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подпись (Щербаков)</w:t>
      </w:r>
    </w:p>
    <w:p w14:paraId="13B50954"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ВОЕНПРЕД АБТУ КА ПРИ ЗАВОДЕ 183 25.5.40 подпись (Русаков)</w:t>
      </w:r>
    </w:p>
    <w:p w14:paraId="23338CE5"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6 экз. </w:t>
      </w:r>
    </w:p>
    <w:p w14:paraId="0BB0FB92" w14:textId="77777777" w:rsidR="00BF70DD" w:rsidRPr="00DB5D0D" w:rsidRDefault="00BF70D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1176 лист 104</w:t>
      </w:r>
      <w:r w:rsidRPr="00DB5D0D">
        <w:rPr>
          <w:rFonts w:ascii="Times New Roman" w:eastAsia="Times New Roman" w:hAnsi="Times New Roman"/>
          <w:color w:val="000000" w:themeColor="text1"/>
          <w:sz w:val="16"/>
          <w:szCs w:val="16"/>
          <w:lang w:eastAsia="ru-RU"/>
        </w:rPr>
        <w:t xml:space="preserve"> (18076).</w:t>
      </w:r>
    </w:p>
    <w:p w14:paraId="1FAFC35E" w14:textId="77777777" w:rsidR="00BF70DD" w:rsidRPr="00DB5D0D" w:rsidRDefault="00BF70DD" w:rsidP="00DB5D0D">
      <w:pPr>
        <w:spacing w:after="0" w:line="240" w:lineRule="auto"/>
        <w:jc w:val="both"/>
        <w:rPr>
          <w:rFonts w:ascii="Times New Roman" w:eastAsia="Times New Roman" w:hAnsi="Times New Roman"/>
          <w:bCs/>
          <w:iCs/>
          <w:color w:val="000000" w:themeColor="text1"/>
          <w:sz w:val="16"/>
          <w:szCs w:val="16"/>
          <w:lang w:eastAsia="ru-RU"/>
        </w:rPr>
      </w:pPr>
    </w:p>
    <w:p w14:paraId="34E6B0E2" w14:textId="77777777" w:rsidR="003C3183" w:rsidRPr="00DB5D0D" w:rsidRDefault="003C318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28 мая 1940 г., несмотря на мнение представителей завода № 183 и АБТУ РККА, директор и главный инженер Мариупольского завода направили в адрес руководства завода № 183, АБТУ РККА и 7-го ГУ НКСП письмом № 2757 в котором объяснялась позиция завода: </w:t>
      </w:r>
    </w:p>
    <w:p w14:paraId="111CAFBC" w14:textId="77777777" w:rsidR="003C3183" w:rsidRPr="00DB5D0D" w:rsidRDefault="003C318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«Настоящим сообщаем, что завод № 183 не выполнил указаний АБТУ КА в части упрощения деталей машины А-34, в частности детали 34-30-018-1 и 34-30-019-1 по предложенным чертежам еще более усложнились. </w:t>
      </w:r>
    </w:p>
    <w:p w14:paraId="148E8CC7" w14:textId="77777777" w:rsidR="003C3183" w:rsidRPr="00DB5D0D" w:rsidRDefault="003C318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Для установочной партии детали полубашни штамповались на прессе цеха № 5 с четырех операций, такая штамповка была весьма сложной, т.к. требовала после каждой операции самостоятельной разметки. По новым чертежам детали полубашни (34-30-018-1 и 34-30-019-1) имеют отбуртовку, которую нельзя получить на существующих прессах цеха № 5 ввиду их малой мощности (450 тонн). </w:t>
      </w:r>
    </w:p>
    <w:p w14:paraId="3BBB5ABA" w14:textId="77777777" w:rsidR="003C3183" w:rsidRPr="00DB5D0D" w:rsidRDefault="003C318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Мариупольский завод в период производства установочной партии пробовал производить штамповку детали полубашни на прессе 3000 тонн цеха № 8, но ввиду того, что пресс имеет подвижной стол, на котором матрица в период штамповки смещается относительно оси пуансона, эти детали не удалось получить даже приближенных размеров. Детали полубашни с отбуртовкой еще больше усугубят невозможность их получения, т.к. даже путем получения кустарным способом, при больших затратах, деталей с отбуртовкой, последние в процессе закалки будут иметь неизбежную поводку, неустранимую правильными средствами (вальцами) существующим на заводе оборудованием. </w:t>
      </w:r>
    </w:p>
    <w:p w14:paraId="1D946066" w14:textId="77777777" w:rsidR="003C3183" w:rsidRPr="00DB5D0D" w:rsidRDefault="003C3183"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Исходя из вышеизложенного, Мариупольский завод отказывается от принятия изготовления этих деталей и просит завод № 183 дополнительно проработать вопрос упрощения этих деталей с целью обеспечения выпуска машины А-34 в требуемом количестве» (18076)</w:t>
      </w:r>
      <w:r w:rsidRPr="00DB5D0D">
        <w:rPr>
          <w:rFonts w:ascii="Times New Roman" w:hAnsi="Times New Roman"/>
          <w:color w:val="000000" w:themeColor="text1"/>
          <w:sz w:val="16"/>
          <w:szCs w:val="16"/>
        </w:rPr>
        <w:t>.</w:t>
      </w:r>
    </w:p>
    <w:p w14:paraId="6042DFD3" w14:textId="77777777" w:rsidR="003C3183" w:rsidRPr="00DB5D0D" w:rsidRDefault="003C3183" w:rsidP="00DB5D0D">
      <w:pPr>
        <w:spacing w:after="0" w:line="240" w:lineRule="auto"/>
        <w:jc w:val="both"/>
        <w:rPr>
          <w:rFonts w:ascii="Times New Roman" w:eastAsia="Times New Roman" w:hAnsi="Times New Roman"/>
          <w:color w:val="000000" w:themeColor="text1"/>
          <w:sz w:val="16"/>
          <w:szCs w:val="16"/>
          <w:lang w:eastAsia="ru-RU"/>
        </w:rPr>
      </w:pPr>
    </w:p>
    <w:p w14:paraId="5AA77D31"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28 мая 1940 вышло Постановление СНК СССР и ЦК ВКП(б) "Об увеличении программы по выпуску танков „КВ“ в 1940 г. на Кировском заводе Наркомтяжмаша" с приложением плана поставок, ведомости оборудования и материалов</w:t>
      </w:r>
    </w:p>
    <w:p w14:paraId="667AB6BC"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Совет Народных Комиссаров Союза ССР и Центральный Комитет ЦК ВКП/б/ ПОСТАНОВЛЯЮТ:</w:t>
      </w:r>
    </w:p>
    <w:p w14:paraId="0CC146C2"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Установить программу по выпуску танков "КВ" на Кировском заводе (НКТяжмаша) на 1940 год 230 шт. с большой башней, с уставовкой 152 гаубиц Ц-10 со сдачей Наркомату Обороны:</w:t>
      </w:r>
    </w:p>
    <w:p w14:paraId="6DC428A3"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июне месяце 1940 г. - 10 шт.</w:t>
      </w:r>
    </w:p>
    <w:p w14:paraId="1957DCD8"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Ш квартале 1940 г. - 75 шт.</w:t>
      </w:r>
    </w:p>
    <w:p w14:paraId="5AC00609"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1У квартале 1940 г. - 145 шт.</w:t>
      </w:r>
    </w:p>
    <w:p w14:paraId="13B4709F"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Прекратить выпуск танков "КВ" с малой башней, с установкой 76 мм пушки, закончив имеющийся в производстве задел.</w:t>
      </w:r>
    </w:p>
    <w:p w14:paraId="0C514614"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Изготовить на Кировском заводе 5 штук танков "КВ" усилен</w:t>
      </w:r>
      <w:r w:rsidRPr="00DB5D0D">
        <w:rPr>
          <w:rFonts w:ascii="Times New Roman" w:hAnsi="Times New Roman"/>
          <w:color w:val="0070C0"/>
          <w:sz w:val="16"/>
          <w:szCs w:val="16"/>
        </w:rPr>
        <w:softHyphen/>
        <w:t>ного образца с броней 90 мм, с установкой 152 мм. гаубиц М-10.</w:t>
      </w:r>
    </w:p>
    <w:p w14:paraId="24FA173A"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Танки "КВ" изготовлять по чертежам Кировского завода.</w:t>
      </w:r>
    </w:p>
    <w:p w14:paraId="2959DB1F"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Для окончательного утверждения чертежей и технических условий поручить НКОбороны - т. Тимошенко и НКТяжмашу - т. Ефремову создать комиссию по испытанию танка "КВ" с большой башней.</w:t>
      </w:r>
    </w:p>
    <w:p w14:paraId="7737FFF0"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Испытание произвести в г. Ленинграде не позднее 15 июня 1940 г., обеспечив километрах испытания не менее 1.000 километров</w:t>
      </w:r>
    </w:p>
    <w:p w14:paraId="3A62858F"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Обязать Кировский завод НКТяжмаша т. Зальцмана:</w:t>
      </w:r>
    </w:p>
    <w:p w14:paraId="70AAA406"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до 1 сентября 1940 года изготовлять башни и установочные части гаубицы "М-10" для танка "КВ" по чертежам Кировского завода (индекс МТ-1);</w:t>
      </w:r>
    </w:p>
    <w:p w14:paraId="5D637BA8"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для облегчения и уменьшения высоты башни произвести пере</w:t>
      </w:r>
      <w:r w:rsidRPr="00DB5D0D">
        <w:rPr>
          <w:rFonts w:ascii="Times New Roman" w:hAnsi="Times New Roman"/>
          <w:color w:val="0070C0"/>
          <w:sz w:val="16"/>
          <w:szCs w:val="16"/>
        </w:rPr>
        <w:softHyphen/>
        <w:t>работку башни и установочных частей гаубицы М-10 на танке КВ-1 с 1 сентября 1940 года выпускать танки КВ с измененной баш</w:t>
      </w:r>
      <w:r w:rsidRPr="00DB5D0D">
        <w:rPr>
          <w:rFonts w:ascii="Times New Roman" w:hAnsi="Times New Roman"/>
          <w:color w:val="0070C0"/>
          <w:sz w:val="16"/>
          <w:szCs w:val="16"/>
        </w:rPr>
        <w:softHyphen/>
        <w:t>ней.</w:t>
      </w:r>
    </w:p>
    <w:p w14:paraId="4C8BB113"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Обязать Наркомсудпром - т. Носенко с Ижорского завода по</w:t>
      </w:r>
      <w:r w:rsidRPr="00DB5D0D">
        <w:rPr>
          <w:rFonts w:ascii="Times New Roman" w:hAnsi="Times New Roman"/>
          <w:color w:val="0070C0"/>
          <w:sz w:val="16"/>
          <w:szCs w:val="16"/>
        </w:rPr>
        <w:softHyphen/>
        <w:t>ставить Кировскому заводу:</w:t>
      </w:r>
    </w:p>
    <w:p w14:paraId="261505F6"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корпуса и башни комплектно с механической обработкой кор</w:t>
      </w:r>
      <w:r w:rsidRPr="00DB5D0D">
        <w:rPr>
          <w:rFonts w:ascii="Times New Roman" w:hAnsi="Times New Roman"/>
          <w:color w:val="0070C0"/>
          <w:sz w:val="16"/>
          <w:szCs w:val="16"/>
        </w:rPr>
        <w:softHyphen/>
        <w:t>пуса и башни, согласно прилагаемой спецификации и помесячного графика (Приложение № 1);</w:t>
      </w:r>
    </w:p>
    <w:p w14:paraId="0F9282F7"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начиная с 61 комплекта башни поставлять по измененным чер</w:t>
      </w:r>
      <w:r w:rsidRPr="00DB5D0D">
        <w:rPr>
          <w:rFonts w:ascii="Times New Roman" w:hAnsi="Times New Roman"/>
          <w:color w:val="0070C0"/>
          <w:sz w:val="16"/>
          <w:szCs w:val="16"/>
        </w:rPr>
        <w:softHyphen/>
        <w:t>тежам Кировского завода;</w:t>
      </w:r>
    </w:p>
    <w:p w14:paraId="02B6F3FC"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5 корпусов и 5 башен, бронировки артчасти, детали россыпью усиленного образца "КВ" с броней толщиной 90 мм - в сентябре 3 корпуса и в октябре 2 корпуса, Кировскому заводу сдать Ижорско</w:t>
      </w:r>
      <w:r w:rsidRPr="00DB5D0D">
        <w:rPr>
          <w:rFonts w:ascii="Times New Roman" w:hAnsi="Times New Roman"/>
          <w:color w:val="0070C0"/>
          <w:sz w:val="16"/>
          <w:szCs w:val="16"/>
        </w:rPr>
        <w:softHyphen/>
        <w:t>му заводу - чертежи к 15 июля 1940 года.</w:t>
      </w:r>
    </w:p>
    <w:p w14:paraId="3FBAAB24"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Обязать Наркомсредмаш - т.Лихачева:</w:t>
      </w:r>
    </w:p>
    <w:p w14:paraId="77445E71"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изготовить и сдать Кировскому заводу в 1940 году 250 шт. дизелей В-2 с максимальной мощностью в 600 л.с. в комплекте с запасными частями и инструментом в сроки, согласно Приложению № 1;</w:t>
      </w:r>
    </w:p>
    <w:p w14:paraId="14E80825"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изготовить и подать Кировскому заводу силуминовое литье и горячую штамповку по спецификации и в сроки, согласно Приложению № 1;</w:t>
      </w:r>
    </w:p>
    <w:p w14:paraId="248D26EB"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изготовить для Кировского завода в Ш квартале 1940 года 500 приспособлений и штампов по спецификации Кировского завода;</w:t>
      </w:r>
    </w:p>
    <w:p w14:paraId="561AD70B"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вести систематическое наблюдение за эксплоатацией и доводкой дизелей "В-2", для чего прикомандировать к Кировскому заводу инженеров т. Скорикова и т. Покровского.</w:t>
      </w:r>
    </w:p>
    <w:p w14:paraId="5EB89A62"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8. Обязать Наркомсредмаш, Наркомчермет, Наркомцветмет, Наркомощмаш, Наркомат Промышленности Строительных Материалов, Наркомлеспром СССР, Наркомлегпром РСФСР, Наркомнефтепром, Наркомэлектропром, Наркомхимпром, Наркомтекстильпром, Наркомавиапром, Наркомат Угольной Промышленности , Наркомат Вооружений и Всекопромсовет под личную ответственность наркомов обеспечить по кооперации пер</w:t>
      </w:r>
      <w:r w:rsidRPr="00DB5D0D">
        <w:rPr>
          <w:rFonts w:ascii="Times New Roman" w:hAnsi="Times New Roman"/>
          <w:color w:val="0070C0"/>
          <w:sz w:val="16"/>
          <w:szCs w:val="16"/>
        </w:rPr>
        <w:softHyphen/>
        <w:t>воочередную поставку Кировскому заводу материалов, оборудования и изделий сверх ранее выделенных фондов, согласно Приложению № 1.</w:t>
      </w:r>
    </w:p>
    <w:p w14:paraId="6B079630"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Выделить за счет перераспределения в июне месяце, в Ш и 1У кв.кв. 1940 года целевым назначением для производства танков "КЗ" Кировскому и Ижорскому заводам металлы, обо рудо ванне, материалы и изделия, согласно приложениям №№ 2, 3 и 5.</w:t>
      </w:r>
    </w:p>
    <w:p w14:paraId="1D19A18E"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Наркомфину СССР выделить Кировскому заводу 35 млн. рублей оборотных средств, в связи с увеличением программы по танкам "КВ".</w:t>
      </w:r>
    </w:p>
    <w:p w14:paraId="7B5790A3"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Наркомгяжмапу - т. Ефремову выделить Кировскому заводу целевым назначением на 1 млн. рублей режущего и мерительного ин</w:t>
      </w:r>
      <w:r w:rsidRPr="00DB5D0D">
        <w:rPr>
          <w:rFonts w:ascii="Times New Roman" w:hAnsi="Times New Roman"/>
          <w:color w:val="0070C0"/>
          <w:sz w:val="16"/>
          <w:szCs w:val="16"/>
        </w:rPr>
        <w:softHyphen/>
        <w:t>струмента за счет резерва Экономсовета по Ш кварт. 1940 года.</w:t>
      </w:r>
    </w:p>
    <w:p w14:paraId="6954A510"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НКВооружения - т. Ванникову обеспечить поставку до 1 августа 1940 года Арт. Упр. РККА качающиеся части гаубицы "М-10" в количест</w:t>
      </w:r>
      <w:r w:rsidRPr="00DB5D0D">
        <w:rPr>
          <w:rFonts w:ascii="Times New Roman" w:hAnsi="Times New Roman"/>
          <w:color w:val="0070C0"/>
          <w:sz w:val="16"/>
          <w:szCs w:val="16"/>
        </w:rPr>
        <w:softHyphen/>
        <w:t>ве 60 комплектов.</w:t>
      </w:r>
    </w:p>
    <w:p w14:paraId="6F4D4DB9"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 1 августа 1940 года НКВооружения производить поставку гаубиц ‘‘М-10" с укороченным откатом 650-750 мм при сопротивлении откату не более 30-35 тонн. Качающиеся части подавать с установочными частями по чертежам Кировского завода по спецификациям и в сроки, согласно Приложению № 1.</w:t>
      </w:r>
    </w:p>
    <w:p w14:paraId="03AB962A"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Обязать Артиллерийское Управление Наркомобороны (т. Савчен</w:t>
      </w:r>
      <w:r w:rsidRPr="00DB5D0D">
        <w:rPr>
          <w:rFonts w:ascii="Times New Roman" w:hAnsi="Times New Roman"/>
          <w:color w:val="0070C0"/>
          <w:sz w:val="16"/>
          <w:szCs w:val="16"/>
        </w:rPr>
        <w:softHyphen/>
        <w:t>ко) поставить Кировскому заводу (Наркомтяжмаша):</w:t>
      </w:r>
    </w:p>
    <w:p w14:paraId="68AC88B8"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качающиеся части "М-10" с установочными частями по графику, согласно пункта 12 настоящего постановления;</w:t>
      </w:r>
    </w:p>
    <w:p w14:paraId="3E05F547"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в 5-дневный срок дать Кировскому заводу чертежи, расчеты, технические условия и описание гаубицы "М-10* валового производ</w:t>
      </w:r>
      <w:r w:rsidRPr="00DB5D0D">
        <w:rPr>
          <w:rFonts w:ascii="Times New Roman" w:hAnsi="Times New Roman"/>
          <w:color w:val="0070C0"/>
          <w:sz w:val="16"/>
          <w:szCs w:val="16"/>
        </w:rPr>
        <w:softHyphen/>
        <w:t>ства, а также техническое задание на изменение башни и установоч</w:t>
      </w:r>
      <w:r w:rsidRPr="00DB5D0D">
        <w:rPr>
          <w:rFonts w:ascii="Times New Roman" w:hAnsi="Times New Roman"/>
          <w:color w:val="0070C0"/>
          <w:sz w:val="16"/>
          <w:szCs w:val="16"/>
        </w:rPr>
        <w:softHyphen/>
        <w:t>ных частей гаубицы "М-10";</w:t>
      </w:r>
    </w:p>
    <w:p w14:paraId="059F76FE"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поставить Кировскому заводу (ПКТяжмаша) телескопические прицелы типа КТ-1 со шкалами балистики гаубицы "М-10», ПТ-1 с пе</w:t>
      </w:r>
      <w:r w:rsidRPr="00DB5D0D">
        <w:rPr>
          <w:rFonts w:ascii="Times New Roman" w:hAnsi="Times New Roman"/>
          <w:color w:val="0070C0"/>
          <w:sz w:val="16"/>
          <w:szCs w:val="16"/>
        </w:rPr>
        <w:softHyphen/>
        <w:t>редачей 1:1 со шкалами балистики гаубицы "М-10" и пулеметы "ДТ" по спецификации, согласно Приложению № 1.</w:t>
      </w:r>
    </w:p>
    <w:p w14:paraId="51A4ABB7"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В связи с увеличением танковой программы на Кировском заводе освободить Кировский завод:</w:t>
      </w:r>
    </w:p>
    <w:p w14:paraId="355C6339"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от выполнения задания по двухорудийным башням "Б-54", предусмотренным постановлением КО № 168сс от 12.1У-1940 года;</w:t>
      </w:r>
    </w:p>
    <w:p w14:paraId="34575015"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от изготовления башен с углом возвышения 70°, предусмотрен</w:t>
      </w:r>
      <w:r w:rsidRPr="00DB5D0D">
        <w:rPr>
          <w:rFonts w:ascii="Times New Roman" w:hAnsi="Times New Roman"/>
          <w:color w:val="0070C0"/>
          <w:sz w:val="16"/>
          <w:szCs w:val="16"/>
        </w:rPr>
        <w:softHyphen/>
        <w:t>ных постановлением КО № 62сс от 7.П-1940 года;</w:t>
      </w:r>
    </w:p>
    <w:p w14:paraId="14A80F52"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от ремонта танков "Т-28" и изготовления запасных частей к ним.</w:t>
      </w:r>
    </w:p>
    <w:p w14:paraId="0E608087"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Разрешить Наркомтяжмашу, в частичное изменение постановле</w:t>
      </w:r>
      <w:r w:rsidRPr="00DB5D0D">
        <w:rPr>
          <w:rFonts w:ascii="Times New Roman" w:hAnsi="Times New Roman"/>
          <w:color w:val="0070C0"/>
          <w:sz w:val="16"/>
          <w:szCs w:val="16"/>
        </w:rPr>
        <w:softHyphen/>
        <w:t>ния КО № 145сс от 11 марта 1940 года, перенести поставку для Наркомсудпрома с 1940 года па 1 квартал 1941 года;</w:t>
      </w:r>
    </w:p>
    <w:p w14:paraId="272F7650"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3 главных турбины проекта № 48;</w:t>
      </w:r>
    </w:p>
    <w:p w14:paraId="62DAA889"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2 главных турбины проекта № 30;</w:t>
      </w:r>
    </w:p>
    <w:p w14:paraId="798088ED"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12 турбодинам проекта № 68.</w:t>
      </w:r>
    </w:p>
    <w:p w14:paraId="5311E149"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Предложить Комитету Обороны все заказы, перечисленные в п. 14 в декадный срок разместить на заводах других наркоматов.</w:t>
      </w:r>
    </w:p>
    <w:p w14:paraId="6FFC8AA7"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 Обязать НКобороны - т.Тимошенко направить в счет "1000" в распоряжение Наркомтяжмашя 10 военных инженеров, окончивших Академию Механизации и Моторизации, для работы на Кировском заводе.</w:t>
      </w:r>
    </w:p>
    <w:p w14:paraId="46602067"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Обязать Наркомстрой - т. Гинзбурга в месячный срок построил шлакобетонное здание под цех окончательной сдачи танков "КВ”.</w:t>
      </w:r>
    </w:p>
    <w:p w14:paraId="70C7F372"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 Выделить Кировскому заводу (ПКТяжмаша) 25 млн. рублей из резервного фонда СНК СССР на строительные работы, приобретение оборудования, монтаж, подготовку производства и жилстроительство.</w:t>
      </w:r>
    </w:p>
    <w:p w14:paraId="41D3490F"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Разрешить Наркомтяжмашу и Наркомсудпрому вести строительные работы по Кировскому и Ижорскому заводам и финансирование без проектов и смет.</w:t>
      </w:r>
    </w:p>
    <w:p w14:paraId="61A6ACF9"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Выделить Ижорскому заводу Наркомсудпрома из резервного фонда СНК СССР 8 млн. рублей на строительные работы, приобретение оборудования, материалов и подготовку производства.</w:t>
      </w:r>
    </w:p>
    <w:p w14:paraId="5246B535"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21. Разрешить директорам Кировского и Ижорского заводов про</w:t>
      </w:r>
      <w:r w:rsidRPr="00DB5D0D">
        <w:rPr>
          <w:rFonts w:ascii="Times New Roman" w:hAnsi="Times New Roman"/>
          <w:color w:val="0070C0"/>
          <w:sz w:val="16"/>
          <w:szCs w:val="16"/>
        </w:rPr>
        <w:softHyphen/>
        <w:t>изводить в 1940 году при подготовке производства и выпуске танков КВ сверхурочные работы до двух часов ежедневно на каждого рабо</w:t>
      </w:r>
      <w:r w:rsidRPr="00DB5D0D">
        <w:rPr>
          <w:rFonts w:ascii="Times New Roman" w:hAnsi="Times New Roman"/>
          <w:color w:val="0070C0"/>
          <w:sz w:val="16"/>
          <w:szCs w:val="16"/>
        </w:rPr>
        <w:softHyphen/>
        <w:t>чего и инженерно-технического работника - по мере надобности.</w:t>
      </w:r>
    </w:p>
    <w:p w14:paraId="7DA2898B"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 Выделить из резервного фонда СНК СССР в распоряжение Наркомтяжмаша 2 млн. рублей и Наркомсудпрома 300 тыс. рублей на преми</w:t>
      </w:r>
      <w:r w:rsidRPr="00DB5D0D">
        <w:rPr>
          <w:rFonts w:ascii="Times New Roman" w:hAnsi="Times New Roman"/>
          <w:color w:val="0070C0"/>
          <w:sz w:val="16"/>
          <w:szCs w:val="16"/>
        </w:rPr>
        <w:softHyphen/>
        <w:t>рование работников Кировского и Ижорского заводов за подготовку производства и выпуск в 1940 году танков "KB", начав выделение премий по сдаче первых 30 танков.</w:t>
      </w:r>
    </w:p>
    <w:p w14:paraId="5F838AC9"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Обязать НКВнешторг - т. Микояна в кратчайший срок поставить по импорту Кировскому заводу Наркомтяжмаша 31 металлорежущий станок и два 13—тонных штамповочных молота по спецификации, согласно Приложению № 4.</w:t>
      </w:r>
    </w:p>
    <w:p w14:paraId="5470336F" w14:textId="77777777" w:rsidR="00017EBE" w:rsidRPr="00DB5D0D" w:rsidRDefault="00017EB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Выделить для оплаты указанного оборудования импортный контин</w:t>
      </w:r>
      <w:r w:rsidRPr="00DB5D0D">
        <w:rPr>
          <w:rFonts w:ascii="Times New Roman" w:hAnsi="Times New Roman"/>
          <w:color w:val="0070C0"/>
          <w:sz w:val="16"/>
          <w:szCs w:val="16"/>
        </w:rPr>
        <w:softHyphen/>
        <w:t>ент в сумме 2,8 млн. рублей (21914).</w:t>
      </w:r>
    </w:p>
    <w:p w14:paraId="6F72112C" w14:textId="77777777" w:rsidR="00017EBE" w:rsidRPr="00DB5D0D" w:rsidRDefault="00017EBE" w:rsidP="00DB5D0D">
      <w:pPr>
        <w:spacing w:after="0" w:line="240" w:lineRule="auto"/>
        <w:jc w:val="both"/>
        <w:rPr>
          <w:rFonts w:ascii="Times New Roman" w:hAnsi="Times New Roman"/>
          <w:color w:val="0070C0"/>
          <w:sz w:val="16"/>
          <w:szCs w:val="16"/>
        </w:rPr>
      </w:pPr>
    </w:p>
    <w:p w14:paraId="00919964" w14:textId="77777777" w:rsidR="0067175C"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6CB64ED8" w14:textId="77777777" w:rsidR="0067175C" w:rsidRPr="00DB5D0D" w:rsidRDefault="0067175C" w:rsidP="00DB5D0D">
      <w:pPr>
        <w:spacing w:after="0" w:line="240" w:lineRule="auto"/>
        <w:jc w:val="both"/>
        <w:rPr>
          <w:rFonts w:ascii="Times New Roman" w:hAnsi="Times New Roman"/>
          <w:iCs/>
          <w:color w:val="000000" w:themeColor="text1"/>
          <w:sz w:val="16"/>
          <w:szCs w:val="16"/>
        </w:rPr>
      </w:pPr>
    </w:p>
    <w:p w14:paraId="28FB932E" w14:textId="77777777" w:rsidR="0067175C" w:rsidRPr="00DB5D0D" w:rsidRDefault="0067175C"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bCs/>
          <w:iCs/>
          <w:color w:val="000000" w:themeColor="text1"/>
          <w:sz w:val="16"/>
          <w:szCs w:val="16"/>
        </w:rPr>
        <w:t>28 мая 1940 г.</w:t>
      </w:r>
      <w:r w:rsidRPr="00DB5D0D">
        <w:rPr>
          <w:rFonts w:ascii="Times New Roman" w:hAnsi="Times New Roman"/>
          <w:color w:val="000000" w:themeColor="text1"/>
          <w:sz w:val="16"/>
          <w:szCs w:val="16"/>
        </w:rPr>
        <w:t xml:space="preserve"> Приказ наркома обороны СССР </w:t>
      </w:r>
      <w:r w:rsidRPr="00DB5D0D">
        <w:rPr>
          <w:rFonts w:ascii="Times New Roman" w:hAnsi="Times New Roman"/>
          <w:iCs/>
          <w:color w:val="000000" w:themeColor="text1"/>
          <w:sz w:val="16"/>
          <w:szCs w:val="16"/>
        </w:rPr>
        <w:t>«Об очистке полигонов от неразорвавшихся снарядов»</w:t>
      </w:r>
      <w:r w:rsidRPr="00DB5D0D">
        <w:rPr>
          <w:rFonts w:ascii="Times New Roman" w:hAnsi="Times New Roman"/>
          <w:color w:val="000000" w:themeColor="text1"/>
          <w:sz w:val="16"/>
          <w:szCs w:val="16"/>
        </w:rPr>
        <w:t xml:space="preserve">. Военным советам предписано </w:t>
      </w:r>
      <w:r w:rsidRPr="00DB5D0D">
        <w:rPr>
          <w:rFonts w:ascii="Times New Roman" w:hAnsi="Times New Roman"/>
          <w:iCs/>
          <w:color w:val="000000" w:themeColor="text1"/>
          <w:sz w:val="16"/>
          <w:szCs w:val="16"/>
        </w:rPr>
        <w:t>«организовать просмотр и очистку от неразорвавшихся снарядов постоянных и временных артполигонов, танковых и авиационных полигонов и стрельбищ войсковых частей»</w:t>
      </w:r>
      <w:r w:rsidRPr="00DB5D0D">
        <w:rPr>
          <w:rFonts w:ascii="Times New Roman" w:hAnsi="Times New Roman"/>
          <w:color w:val="000000" w:themeColor="text1"/>
          <w:sz w:val="16"/>
          <w:szCs w:val="16"/>
        </w:rPr>
        <w:t xml:space="preserve"> (17133).</w:t>
      </w:r>
    </w:p>
    <w:p w14:paraId="564A2181" w14:textId="77777777" w:rsidR="0067175C" w:rsidRPr="00DB5D0D" w:rsidRDefault="0067175C" w:rsidP="00DB5D0D">
      <w:pPr>
        <w:shd w:val="clear" w:color="auto" w:fill="FFFFFF"/>
        <w:spacing w:after="0" w:line="240" w:lineRule="auto"/>
        <w:jc w:val="both"/>
        <w:rPr>
          <w:rFonts w:ascii="Times New Roman" w:hAnsi="Times New Roman"/>
          <w:color w:val="000000" w:themeColor="text1"/>
          <w:sz w:val="16"/>
          <w:szCs w:val="16"/>
        </w:rPr>
      </w:pPr>
    </w:p>
    <w:p w14:paraId="74F42AE0" w14:textId="77777777" w:rsidR="004E0A8A" w:rsidRPr="00DB5D0D" w:rsidRDefault="004E0A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 наркомом обороны СССР был издан приказ № 0105 по аэрофотослужбе ВВС Красной армии, в соответствии с которым в штабе ВВС организовывался отдел аэрофотослужбы. Во всех приграничных округах вводились отделения, а в авиационных бригадах и полках — начальники аэрофотослужбы (17750).</w:t>
      </w:r>
    </w:p>
    <w:p w14:paraId="561DCB7C" w14:textId="77777777" w:rsidR="004E0A8A" w:rsidRPr="00DB5D0D" w:rsidRDefault="004E0A8A" w:rsidP="00DB5D0D">
      <w:pPr>
        <w:spacing w:after="0" w:line="240" w:lineRule="auto"/>
        <w:jc w:val="both"/>
        <w:rPr>
          <w:rFonts w:ascii="Times New Roman" w:hAnsi="Times New Roman"/>
          <w:color w:val="000000" w:themeColor="text1"/>
          <w:sz w:val="16"/>
          <w:szCs w:val="16"/>
        </w:rPr>
      </w:pPr>
    </w:p>
    <w:p w14:paraId="5014347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22E23C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F1E917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Бельгия капитулировала фашистам (4962).</w:t>
      </w:r>
    </w:p>
    <w:p w14:paraId="42C00AE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C6E22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капитулировала Бельгия. Отдавший приказ о капитуляции король Леопольд III был объявлен бельгийским парламентом низложенным, а бельгийское правительство эвакуировалось в Лондон. Капитуляция бельгийской армии открыла германским войскам путь на Дюнкерк - порт на побережье Ла-Манша, в районе которого к береговой линии была прижата франко-британская группировка войск (3871).</w:t>
      </w:r>
    </w:p>
    <w:p w14:paraId="082E23E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25010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28th, 1940: In the West, the Belgian Army surrenders, King Leopold being taken prisoner. In Norway, French mountain troops capture the port of Narvik, forcing the German defenders (Gebirgsjager units and crews of sunk destroyers) into the surrounding hills (3819).</w:t>
      </w:r>
    </w:p>
    <w:p w14:paraId="3FA46F43"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224D2666"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28 May 1940 Surrender of Belgium army (270).</w:t>
      </w:r>
    </w:p>
    <w:p w14:paraId="04C6CE5B"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59E72E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бельгийская армия была окружена (270).</w:t>
      </w:r>
    </w:p>
    <w:p w14:paraId="14EF121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956A9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28 1940 Belgian Army under King Leopold surrendered (1223).</w:t>
      </w:r>
    </w:p>
    <w:p w14:paraId="2927478D"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62F0A9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Бельгийская армия под командованием короля Леопольда сдалась (1223).</w:t>
      </w:r>
    </w:p>
    <w:p w14:paraId="4595976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DE35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бельгийская армия прекратила сопротивления и король Леопольд-3-й был взят в плен немцами (3907,222).</w:t>
      </w:r>
    </w:p>
    <w:p w14:paraId="65BCABA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11B5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французские горные части захватили порт Нарвик, вытеснив германские части (3819).</w:t>
      </w:r>
    </w:p>
    <w:p w14:paraId="4C662FE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49A43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англо-французские войска после месячного штурма заняли Нарвик (Норвегия) (4962).</w:t>
      </w:r>
    </w:p>
    <w:p w14:paraId="2F2CA06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E1256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Ф.Д.Р. назначил William S. Knudson из GM координировать АП в рамках National Defense Advisory Committee (NDAC) (2886).</w:t>
      </w:r>
    </w:p>
    <w:p w14:paraId="008E3AF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798307"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FA4873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5E384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 командарм Я.В.Смушкевич в письме А.И.Ш. отметил, что «...самолет БШ-2 будет играть в будущей войне важную роль».</w:t>
      </w:r>
    </w:p>
    <w:p w14:paraId="146D34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Отметим, что требование военных «довернуть» БШ-2 до решения задачи бомбометания с пикирования, а согласие Ильюшина его выполнить, выглядят весьма странными, поскольку штурмовик проектировался по более низким нормам прочности и усиление его конструкции в условиях отсутствия мощных моторов ни к чему хорошему привести не могло. Это не могли не понимать ни военные, ни сам С. В. Ильюшин.</w:t>
      </w:r>
    </w:p>
    <w:p w14:paraId="3C86FC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Такое «взаимное понимание» можно объяснить лишь тем «впечатлением», которое произвел на руководство страны в лице И. В. Сталина неудачный опыт применения авиации при прорыве войсками Красной армии финских укрепрайонов зимой 1940 г., когда все попытки ВВС КА разрушить с воздуха долговременные оборонительные сооружения линии Маннер-гейма оказались безуспешными, хотя плотность бомбовых ударов достигала 40-100 т/км2.</w:t>
      </w:r>
    </w:p>
    <w:p w14:paraId="21878E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Вполне естественно, что в дальнейшем, как только разрешился вопрос с постройкой специального пикировщика, об этом соглашении обе стороны благополучно забыли и БШ-2 никто «не учил бросать бомбы с пикирования...» (9649).</w:t>
      </w:r>
    </w:p>
    <w:p w14:paraId="6869CC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CF7A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 26 мая 1940 г. Я.В.Смушкевич направил А.И.Шахурину новые письма, аналогичные письму от 24 мая 1940. В частности, в письме от 29 мая ко</w:t>
      </w:r>
      <w:r w:rsidRPr="00DB5D0D">
        <w:rPr>
          <w:rFonts w:ascii="Times New Roman" w:hAnsi="Times New Roman"/>
          <w:color w:val="000000" w:themeColor="text1"/>
          <w:sz w:val="16"/>
          <w:szCs w:val="16"/>
        </w:rPr>
        <w:softHyphen/>
        <w:t xml:space="preserve">мандарм отметил, что </w:t>
      </w:r>
      <w:r w:rsidRPr="00DB5D0D">
        <w:rPr>
          <w:rFonts w:ascii="Times New Roman" w:hAnsi="Times New Roman"/>
          <w:iCs/>
          <w:color w:val="000000" w:themeColor="text1"/>
          <w:sz w:val="16"/>
          <w:szCs w:val="16"/>
        </w:rPr>
        <w:t>"...самолет БШ-2 будет играть в будущей войне важную роль"</w:t>
      </w:r>
      <w:r w:rsidRPr="00DB5D0D">
        <w:rPr>
          <w:rFonts w:ascii="Times New Roman" w:hAnsi="Times New Roman"/>
          <w:color w:val="000000" w:themeColor="text1"/>
          <w:sz w:val="16"/>
          <w:szCs w:val="16"/>
        </w:rPr>
        <w:t xml:space="preserve"> (6467).</w:t>
      </w:r>
    </w:p>
    <w:p w14:paraId="5BA0C92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251ECBB" w14:textId="77777777" w:rsidR="007113B6" w:rsidRPr="00DB5D0D" w:rsidRDefault="007113B6"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29 мая 1940, через пять дней Смушкевич в письме к Шахурину вновь предлагает ссрсировать постройку войсковой серии бронированного штурмовика конструкции тов. Ильюшина»:</w:t>
      </w:r>
      <w:r w:rsidRPr="00DB5D0D">
        <w:rPr>
          <w:rStyle w:val="aff6"/>
          <w:rFonts w:ascii="Times New Roman" w:hAnsi="Times New Roman" w:cs="Times New Roman"/>
          <w:i w:val="0"/>
          <w:color w:val="000000" w:themeColor="text1"/>
        </w:rPr>
        <w:t xml:space="preserve"> «По этому вопросу я Вам писал и вторично настаиваю, что н</w:t>
      </w:r>
      <w:r w:rsidRPr="00DB5D0D">
        <w:rPr>
          <w:rFonts w:ascii="Times New Roman" w:hAnsi="Times New Roman" w:cs="Times New Roman"/>
          <w:color w:val="000000" w:themeColor="text1"/>
          <w:sz w:val="16"/>
          <w:szCs w:val="16"/>
        </w:rPr>
        <w:t>еобходимо в самые ближайшие дни принять решение о запуске этого само</w:t>
      </w:r>
      <w:r w:rsidRPr="00DB5D0D">
        <w:rPr>
          <w:rFonts w:ascii="Times New Roman" w:hAnsi="Times New Roman" w:cs="Times New Roman"/>
          <w:color w:val="000000" w:themeColor="text1"/>
          <w:sz w:val="16"/>
          <w:szCs w:val="16"/>
        </w:rPr>
        <w:softHyphen/>
        <w:t>лета в серию, имея в виду, что штурмовик, особенно бронированный штурмовик, совершенно необходим для Военно-Воз- душных Сил. Война на Западе показывает, что штурмовая авиация выполняет очень большую роль в боевых действиях. Если штурмовой самолет будет иметь броню, как это предусмотрено на самолете Иль</w:t>
      </w:r>
      <w:r w:rsidRPr="00DB5D0D">
        <w:rPr>
          <w:rFonts w:ascii="Times New Roman" w:hAnsi="Times New Roman" w:cs="Times New Roman"/>
          <w:color w:val="000000" w:themeColor="text1"/>
          <w:sz w:val="16"/>
          <w:szCs w:val="16"/>
        </w:rPr>
        <w:softHyphen/>
        <w:t>юшина, то тогда такой самолет сыграет большую роль на войне. По-моему, самолет Ильюшина можно начать строить на 39 заводе вместо ДБ-3. Повторяю, что т. Ильюшин гарантирует устранить недочеты на серийном производстве штурмового самолета, выявленные на госиспытаниях» (19087).</w:t>
      </w:r>
    </w:p>
    <w:p w14:paraId="5BF39CAC" w14:textId="77777777" w:rsidR="007113B6" w:rsidRPr="00DB5D0D" w:rsidRDefault="007113B6"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2BCE4B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начальник ВВС командарм 2 ранга Смушкевич писал письмо № 466074с наркому Авиапрома Шахурину</w:t>
      </w:r>
    </w:p>
    <w:p w14:paraId="242200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Сообщаю Вам свое мнение относительно самолетов "СОТКА" конструктора Петлякова, СПБ конструктора Поликарпова, ОКО-6 конструктора Таирова и бронированного штурмовика конструктора С.В.И.</w:t>
      </w:r>
    </w:p>
    <w:p w14:paraId="4767B8E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"СОТКА" конструктора Петлякова</w:t>
      </w:r>
    </w:p>
    <w:p w14:paraId="712D3D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самолет необходимо начать внедрять на 22 заводе, но с таким расчетом и планом, чтобы на первое время не отразилось на выпуск самолетов СБ. Этот самолет пускать только в варианте пикирующего бомбардировщика.</w:t>
      </w:r>
    </w:p>
    <w:p w14:paraId="6FA7B6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Мотивировка следующая. Самолет "СОТКА" будет иметь скорость на 30-40 км/час больше, чем самолет СБ. Кроме того, этот самолет, судя по последнему макету, очень хорошо приспособлен для бомбометания с пикирующего положения.</w:t>
      </w:r>
    </w:p>
    <w:p w14:paraId="100520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По-моему самолет СБ конструкции Архангельского вряд ли возможно будет еще больше модифицировать и видимо последняя его модификация (уборка радиаторов) является окончательной, тогда как самолет "СОТКА" имеет большие перспективы для его модификации.</w:t>
      </w:r>
    </w:p>
    <w:p w14:paraId="2FBFE9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целесообразно сразу же готовить производство и серийные чертежи для второго самолета на 22 заводе, так как совершенно не известно подойдет ли самолет СБ, как пикирующий бомбардировщик.</w:t>
      </w:r>
    </w:p>
    <w:p w14:paraId="706F452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СПБ Поликарпова.</w:t>
      </w:r>
    </w:p>
    <w:p w14:paraId="77BD94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самолет надо совсем снять с производства и прекратить всякие работы, так как он строится уже несколько лет и до сих пор остается недостроенным и недоделанным и видимо из этого самолета, как из пикирующего бомбардировщика, ничего не выйдет.</w:t>
      </w:r>
    </w:p>
    <w:p w14:paraId="3EF14C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Взамен самолета СПБ целесообразнее поставить на производство (пока в тех же размерах) самолет "СОТКА".</w:t>
      </w:r>
    </w:p>
    <w:p w14:paraId="4A02B5E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самолете ОКО-6 Таирова – необходимо специально обсудить на совместном заседании НКАП и начальника ВВС, так как устойчивость этого самолета настолько не доведена, что крайне рискованно решать вопрос о пуске его в серию.</w:t>
      </w:r>
    </w:p>
    <w:p w14:paraId="65093A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 не менее такой самолет ВВС крайне необходим и притом он необходим в самое ближайшее время.</w:t>
      </w:r>
    </w:p>
    <w:p w14:paraId="2E2698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на этом совещании будет установлено, что Таиров устранит недочеты по устойчивости на первых серийных самолетах и это будет доказано, то тогда необходимо и по самолету ОКО-6 принять решение о запуске его в серию.</w:t>
      </w:r>
    </w:p>
    <w:p w14:paraId="19B1560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бронированном штурмовике С.В.И.</w:t>
      </w:r>
    </w:p>
    <w:p w14:paraId="433DFD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этому вопросу я уже Вам писал и вторично настаиваю, что необходимо в самые ближайшие дни принять решение о запуске этого самолета в серию, имея в виду, что штурмовик, особенно бронированный штурмовик совершенно необходим для ВВС.</w:t>
      </w:r>
    </w:p>
    <w:p w14:paraId="3C2A18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Война на Западе показывает, что штурмовая авиация выполняет очень большую роль в боевых действиях.</w:t>
      </w:r>
    </w:p>
    <w:p w14:paraId="36058C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штурмовой самолет будет иметь броню, как это предусмотрено на самолете С.В.И., то тогда такой самолет сыграет большую роль на войне.</w:t>
      </w:r>
    </w:p>
    <w:p w14:paraId="0DFAF7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По-моему, самолет С.В.И. можно начать строить на 39 заводе вместо ДБ-3.</w:t>
      </w:r>
    </w:p>
    <w:p w14:paraId="6FFC4A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Повторяю, что С.В.И. гарантирует устранить недочеты на серийном производстве штурмового самолета, выявленные на госиспытаниях.</w:t>
      </w:r>
    </w:p>
    <w:p w14:paraId="3CB32E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 что касается самолета "СОТКА" в варианте многоместного истребителя, то необходимо дать задание сделать еще 10 самолетов в виде небольшой серии в варианте герметическом и не герметическом, с тем чтобы серьезно проверить и после этого решить вопрос о производстве самолета "СОТКА" в варианте многоместного истребителя (7627, 124-126).</w:t>
      </w:r>
    </w:p>
    <w:p w14:paraId="410E653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4CCD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самолет ДБ-3 в полете по маршруту Москва-Молотов (к П.Л.Попов) совершил вынужденную посадку из-за неисправности мотора на обратном пути (1172).</w:t>
      </w:r>
    </w:p>
    <w:p w14:paraId="7D77C39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69758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Зам. НКАП П.Воронин писал письмо N 1357сс/от Секретарю совета Оборонпрома Семичастнову:</w:t>
      </w:r>
    </w:p>
    <w:p w14:paraId="2725BF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представленному на заключение письму летчика-испытателя полковника Степанчонок сообщаю, что факты, указанные в письме Степанчонок не соответствует действительности. Кроме того, летчик Степанчонок показал себя самым недисциплинированным летчиком.</w:t>
      </w:r>
    </w:p>
    <w:p w14:paraId="6E3CEB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своем письме Степанчонок ссылается на якобы противодействие директора завода N 39 Журавлева в части доведения самолета ДБ3-Ф.</w:t>
      </w:r>
    </w:p>
    <w:p w14:paraId="3235A5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 отметить, что я, в присутствии Зам. начальника ГУАС КА дивинженера Репина, на заводе N 39 разбирал этот вопрос и по нему принял соответствующее решение.</w:t>
      </w:r>
    </w:p>
    <w:p w14:paraId="4F2DE8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письме Степанчонок неправильно освещает вопрос о снятии его с испытания опытного самолета конструкции Горбунова, Гудкова и Лавочкина.</w:t>
      </w:r>
    </w:p>
    <w:p w14:paraId="2F4CA1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посещении мною Центрального аэродрома 25 марта с.г., примерно, около 12-ти часов дня, я вместе с Наркомом Шахуриным, подошел к самолету конструкции Горбунова, Гудкова и Лавочкина и видя, что самолет находится в полной готовности к первому вылету, Шахурин спросил: "чего дожидается машина, не идет в воздух?". Ему ответили, что "нет летчика". На вопрос "где он?", ответили, что "он поехал в Московский Совет выполнять общественную работу".</w:t>
      </w:r>
    </w:p>
    <w:p w14:paraId="29D91B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Возмутившись тем, что в столь горячее время по испытанию опытных машин летчик не заинтересован в быстрейшем проведении испытания опытного самолета и кроме того, в рабочее время выполняет общественные обязанности, Шахурин попросил вызвать летчика к самолету.</w:t>
      </w:r>
    </w:p>
    <w:p w14:paraId="0901D0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Ровно через час, будучи уже у самолета конструкции Яковлева, нам сказали, что летчик пришел.</w:t>
      </w:r>
    </w:p>
    <w:p w14:paraId="25A7A8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Подойдя к самолету Горбунова, Гудкова и Лавочкина, летчик Степанчонок поздоровался, сказав: "здравствуйте товарищ Народный комиссар".</w:t>
      </w:r>
    </w:p>
    <w:p w14:paraId="2BEF31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вопрос Шахурина: "почему не летаете?", он ответил: "потому что машина не была готова".</w:t>
      </w:r>
    </w:p>
    <w:p w14:paraId="12501A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сказал: "как же так? Гл. конструктор заявил, что машина готова к полету. И почему Вы в рабочее время выполняете общественную работу?".</w:t>
      </w:r>
    </w:p>
    <w:p w14:paraId="261563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Степанчонок ответил: надо выполнять и общественную работу, а летать сейчас нельзя, потому что сильный ветер". В это время в воздухе было очень много машин.</w:t>
      </w:r>
    </w:p>
    <w:p w14:paraId="1D9C34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вопрос: "как же летают остальные машины?", он ему в грубой форме заявил: "если Вам нужно, летите сами, а я не полечу".</w:t>
      </w:r>
    </w:p>
    <w:p w14:paraId="0C9581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вынужден был дать приказание об отстранении его от полетов на данной машине и тут же заявил Начальнику ГУАС Алексееву, что он просит принять меры не только к отстранению Степанчонок от полетов на опытном самолете, но и требует отстранения его от испытания серийных машин, так как пришел к выводу о полной его недисциплинированности. (Зам. наркома Авиапрома Воронин) (1165).</w:t>
      </w:r>
    </w:p>
    <w:p w14:paraId="5E8EA9D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1747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Протокол № 17. Решения ПБ за 27 мая - 23 нюня 1940 г.</w:t>
      </w:r>
    </w:p>
    <w:p w14:paraId="722EEA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29.5.40 г.</w:t>
      </w:r>
    </w:p>
    <w:p w14:paraId="0CF63B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28. Вопрос КО. О производстве самолетов и бомбардировщиков.</w:t>
      </w:r>
    </w:p>
    <w:p w14:paraId="5D6663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04. 6. 40 г.</w:t>
      </w:r>
    </w:p>
    <w:p w14:paraId="3C16E0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95. Вопрос КО. О ближнем бомбардировщике.</w:t>
      </w:r>
    </w:p>
    <w:p w14:paraId="54A188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100. Вопрос КО. О проектировании и изготовлении опытных образцов танков.</w:t>
      </w:r>
    </w:p>
    <w:p w14:paraId="540D55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106. Об экранировании машин Т-28 (постановление СНК СССР и ЦК ВКП (б)).</w:t>
      </w:r>
    </w:p>
    <w:p w14:paraId="1E8536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107. О производстве танков Т-34 в 1940 г. (постановление СНК СССР и ЦК ВКП (б)*.</w:t>
      </w:r>
    </w:p>
    <w:p w14:paraId="7789D2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108. О производстве танков KB (постановление СНК СССР и ЦК ВКП (б)*.</w:t>
      </w:r>
    </w:p>
    <w:p w14:paraId="7D6043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125. Вопрос КО. Об организации производства пистолетов-пулеметов «ППД»*.</w:t>
      </w:r>
    </w:p>
    <w:p w14:paraId="70F9D2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175. О тракторах и грузовиках для НКО.</w:t>
      </w:r>
    </w:p>
    <w:p w14:paraId="3AFFAF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15.6.40 г.</w:t>
      </w:r>
    </w:p>
    <w:p w14:paraId="7E056E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 184. Вопросы КО. О постройке новых авиационных моторов*.</w:t>
      </w:r>
    </w:p>
    <w:p w14:paraId="315EAF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19.6.40 г.</w:t>
      </w:r>
    </w:p>
    <w:p w14:paraId="188433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197. Об организации производства танков типа «KB» на Челябинском тракторном заводе</w:t>
      </w:r>
    </w:p>
    <w:p w14:paraId="22A9BC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 Сталина (постановление СНК СССР и ЦК ВКП (б))*.</w:t>
      </w:r>
    </w:p>
    <w:p w14:paraId="64C083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198. Об обеспечении производства танков «KB» на Челябинском тракторном заводе бронекорпусами и башнями (постановление СНК СССР и ЦК ВКП (б)).</w:t>
      </w:r>
    </w:p>
    <w:p w14:paraId="48806A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22.6.40 г.</w:t>
      </w:r>
    </w:p>
    <w:p w14:paraId="017394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228. О внедрении в серийное производство «100» в варианте пикирующего бомбардировщика.</w:t>
      </w:r>
    </w:p>
    <w:p w14:paraId="4A01D0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245. Вопрос НКО. О принятии пушек от фирмы «Шкода» (11773).</w:t>
      </w:r>
    </w:p>
    <w:p w14:paraId="42A55B7C"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5CB375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вышло постановление № 236сс КО</w:t>
      </w:r>
    </w:p>
    <w:p w14:paraId="6BA98D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постановке серийного производства самолетов ДБ-240 конструкции Ермолаева</w:t>
      </w:r>
    </w:p>
    <w:p w14:paraId="62B4D3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4E2551F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 директора завода № 18 Шенкмана и гл. конструктора Ермолаева организовать на заводе № 18 серийное производство самолетов ДБ-240.</w:t>
      </w:r>
    </w:p>
    <w:p w14:paraId="08C761D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по заводу № 18 программу:</w:t>
      </w:r>
    </w:p>
    <w:p w14:paraId="6400D2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 700 штук в 1940 году</w:t>
      </w:r>
    </w:p>
    <w:p w14:paraId="0EA082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 70 штук в 1940 году и 800 штук в 1941 году</w:t>
      </w:r>
    </w:p>
    <w:p w14:paraId="3EA8642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ДБ-240 выпускать в 1940 году по типу самолета № 1, выпущенного заводом № 240, с внесением изменений, полученных в результате госиспытаний.</w:t>
      </w:r>
    </w:p>
    <w:p w14:paraId="5D17662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НКО закончить полностью госиспытания первого опытного самолета ДБ-240 к 25 июля 1940 года (7595, 100-102).</w:t>
      </w:r>
    </w:p>
    <w:p w14:paraId="65B6467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1CBA702B" w14:textId="77777777" w:rsidR="007113B6" w:rsidRPr="00DB5D0D" w:rsidRDefault="007113B6"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29 мая 1940 Постановлением Комитета Обороны «О постановке серийного про</w:t>
      </w:r>
      <w:r w:rsidRPr="00DB5D0D">
        <w:rPr>
          <w:rFonts w:ascii="Times New Roman" w:hAnsi="Times New Roman" w:cs="Times New Roman"/>
          <w:color w:val="000000" w:themeColor="text1"/>
          <w:sz w:val="16"/>
          <w:szCs w:val="16"/>
        </w:rPr>
        <w:softHyphen/>
        <w:t>изводства самолета ДБ-240 конструкции тов. Ермолаева» завод №18 должен был организовать взамен ДБ-Зф серийный выпуск дальнего бомбардировщика ДБ-240 2М-105 (будущий Ер-2).До конца года следовало сдать заказчику 70, а в следующем году - 800 самолетов этого типа.</w:t>
      </w:r>
    </w:p>
    <w:p w14:paraId="376DDDCA" w14:textId="77777777" w:rsidR="007113B6" w:rsidRPr="00DB5D0D" w:rsidRDefault="007113B6"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Для Ильюшина все эти события означали «оргвыводы» в недалеком будущем, потерю серийных заводов и производственной базы для опытных работ, а также резкое увеличение сроков доводки БШ-2.</w:t>
      </w:r>
    </w:p>
    <w:p w14:paraId="0CE262C1" w14:textId="77777777" w:rsidR="007113B6" w:rsidRPr="00DB5D0D" w:rsidRDefault="007113B6"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Из документов неясно, была ли дискуссия в высшем политическом и военном руководстве страны по предложению Ильюшина. Скорее всего, этот вопрос все же обсуждался. Во всяком случае, генералы Смушкевич и Рычагов в докладной записке Сталину от 23 июля указывали: «В</w:t>
      </w:r>
      <w:r w:rsidRPr="00DB5D0D">
        <w:rPr>
          <w:rFonts w:ascii="Times New Roman" w:hAnsi="Times New Roman"/>
          <w:color w:val="000000" w:themeColor="text1"/>
          <w:sz w:val="16"/>
          <w:szCs w:val="16"/>
        </w:rPr>
        <w:t xml:space="preserve"> настоящее время тов. Илюшин</w:t>
      </w:r>
      <w:r w:rsidRPr="00DB5D0D">
        <w:rPr>
          <w:rStyle w:val="174"/>
          <w:rFonts w:ascii="Times New Roman" w:hAnsi="Times New Roman" w:cs="Times New Roman"/>
          <w:i w:val="0"/>
          <w:color w:val="000000" w:themeColor="text1"/>
          <w:sz w:val="16"/>
          <w:szCs w:val="16"/>
        </w:rPr>
        <w:t xml:space="preserve"> (Ильюшин.)</w:t>
      </w:r>
      <w:r w:rsidRPr="00DB5D0D">
        <w:rPr>
          <w:rFonts w:ascii="Times New Roman" w:hAnsi="Times New Roman"/>
          <w:color w:val="000000" w:themeColor="text1"/>
          <w:sz w:val="16"/>
          <w:szCs w:val="16"/>
        </w:rPr>
        <w:t xml:space="preserve"> проработал вариант усиления брони этого штурмовика до 15 мм и некоторого улучшения бомбардировочного вооружения. Причем на этом самолете тов. Илюшин гарантирует устранить не</w:t>
      </w:r>
      <w:r w:rsidRPr="00DB5D0D">
        <w:rPr>
          <w:rFonts w:ascii="Times New Roman" w:hAnsi="Times New Roman"/>
          <w:color w:val="000000" w:themeColor="text1"/>
          <w:sz w:val="16"/>
          <w:szCs w:val="16"/>
        </w:rPr>
        <w:softHyphen/>
        <w:t>дочеты, выявленные на государственных испытаниях его самолета бронированного штурмовика. Нам кажется, что тов. Илюшин может выполнить Ваши пожелания, которые Вы вчера высказали относительно постановки на самолет брони 15 мм. Докладывая Вам об этом, считаем целесообразным - вызвать Вам к себе тов. Илюшина и с ним поговорить по вопросу о бронированном штурмовике» (19087).</w:t>
      </w:r>
    </w:p>
    <w:p w14:paraId="63F34DD1" w14:textId="77777777" w:rsidR="007113B6" w:rsidRPr="00DB5D0D" w:rsidRDefault="007113B6" w:rsidP="00DB5D0D">
      <w:pPr>
        <w:spacing w:after="0" w:line="240" w:lineRule="auto"/>
        <w:jc w:val="both"/>
        <w:rPr>
          <w:rFonts w:ascii="Times New Roman" w:hAnsi="Times New Roman"/>
          <w:color w:val="000000" w:themeColor="text1"/>
          <w:sz w:val="16"/>
          <w:szCs w:val="16"/>
        </w:rPr>
      </w:pPr>
    </w:p>
    <w:p w14:paraId="40516F83" w14:textId="77777777" w:rsidR="001F4FAB" w:rsidRPr="00DB5D0D" w:rsidRDefault="001F4FAB" w:rsidP="00DB5D0D">
      <w:pPr>
        <w:autoSpaceDE w:val="0"/>
        <w:autoSpaceDN w:val="0"/>
        <w:adjustRightInd w:val="0"/>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29 мая 1940 года вышло постановление № 236сс Комитета Обороны «О постановке серийного производства самолетов ДБ-240 конструкции Ермолаева». На 1940 год заводу № 18 устанавливалась программа в 700 ДБ- 3Ф и 70 ДБ-240. В 1941 году заводу предстоя</w:t>
      </w:r>
      <w:r w:rsidRPr="00DB5D0D">
        <w:rPr>
          <w:rFonts w:ascii="Times New Roman" w:hAnsi="Times New Roman"/>
          <w:color w:val="0070C0"/>
          <w:sz w:val="16"/>
          <w:szCs w:val="16"/>
          <w:lang w:eastAsia="ru-RU" w:bidi="ru-RU"/>
        </w:rPr>
        <w:softHyphen/>
        <w:t>ло изготовить 800 ДБ-240. В 1940 году само</w:t>
      </w:r>
      <w:r w:rsidRPr="00DB5D0D">
        <w:rPr>
          <w:rFonts w:ascii="Times New Roman" w:hAnsi="Times New Roman"/>
          <w:color w:val="0070C0"/>
          <w:sz w:val="16"/>
          <w:szCs w:val="16"/>
          <w:lang w:eastAsia="ru-RU" w:bidi="ru-RU"/>
        </w:rPr>
        <w:softHyphen/>
        <w:t>лет следовало строить по типу машины № 1, выпущенной заводом № 240, с внесением из</w:t>
      </w:r>
      <w:r w:rsidRPr="00DB5D0D">
        <w:rPr>
          <w:rFonts w:ascii="Times New Roman" w:hAnsi="Times New Roman"/>
          <w:color w:val="0070C0"/>
          <w:sz w:val="16"/>
          <w:szCs w:val="16"/>
          <w:lang w:eastAsia="ru-RU" w:bidi="ru-RU"/>
        </w:rPr>
        <w:softHyphen/>
        <w:t>менений по результатам госиспытаний, кото</w:t>
      </w:r>
      <w:r w:rsidRPr="00DB5D0D">
        <w:rPr>
          <w:rFonts w:ascii="Times New Roman" w:hAnsi="Times New Roman"/>
          <w:color w:val="0070C0"/>
          <w:sz w:val="16"/>
          <w:szCs w:val="16"/>
          <w:lang w:eastAsia="ru-RU" w:bidi="ru-RU"/>
        </w:rPr>
        <w:softHyphen/>
        <w:t>рые требовалось закончить полностью к 25 июля 1940 года (21406).</w:t>
      </w:r>
    </w:p>
    <w:p w14:paraId="0F2FC5BE" w14:textId="77777777" w:rsidR="001F4FAB" w:rsidRPr="00DB5D0D" w:rsidRDefault="001F4FAB" w:rsidP="00DB5D0D">
      <w:pPr>
        <w:autoSpaceDE w:val="0"/>
        <w:autoSpaceDN w:val="0"/>
        <w:adjustRightInd w:val="0"/>
        <w:spacing w:after="0" w:line="240" w:lineRule="auto"/>
        <w:jc w:val="both"/>
        <w:rPr>
          <w:rFonts w:ascii="Times New Roman" w:hAnsi="Times New Roman"/>
          <w:color w:val="0070C0"/>
          <w:sz w:val="16"/>
          <w:szCs w:val="16"/>
        </w:rPr>
      </w:pPr>
    </w:p>
    <w:p w14:paraId="36C1B2A3"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29 мая 1940 года подписано постановление Комитета Обороны СНК СССР № 236, в соответствии с которым воронежский завод № 18 был обязан приступить к серийной постройке ДБ-240 2М-105 (заводское наименование – машина «Н») (21518).</w:t>
      </w:r>
    </w:p>
    <w:p w14:paraId="3FEEDBED" w14:textId="77777777" w:rsidR="001F4FAB" w:rsidRPr="00DB5D0D" w:rsidRDefault="001F4FAB" w:rsidP="00DB5D0D">
      <w:pPr>
        <w:spacing w:after="0" w:line="240" w:lineRule="auto"/>
        <w:jc w:val="both"/>
        <w:rPr>
          <w:rFonts w:ascii="Times New Roman" w:hAnsi="Times New Roman"/>
          <w:color w:val="0070C0"/>
          <w:sz w:val="16"/>
          <w:szCs w:val="16"/>
        </w:rPr>
      </w:pPr>
    </w:p>
    <w:p w14:paraId="4977DC3A"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29 мая вышло Постановление Политбюро ЦК ВКП(б) "Вопросы КО" (о производстве самолетов И-26 и ДБ-240, о создании бомбардировщиков "102" и "103", о переводе самолетов СБ на пикирующие бомбардировщики и дополнительном строительстве бензоемкостей на территории Закавказского военного округа) (пр. № 17/17-оп за 29 мая - 23 июня 1940 г., п. 28)</w:t>
      </w:r>
    </w:p>
    <w:p w14:paraId="164881B4"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28.- Вопросы К.0.</w:t>
      </w:r>
    </w:p>
    <w:p w14:paraId="76A487B1"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Утвердить следующие решения КО:</w:t>
      </w:r>
    </w:p>
    <w:p w14:paraId="20F67F13"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 постановке производства самолетов И-26 конструкции т. Яковлева на заводе 292 и о снятии с производства самолетов И-28.</w:t>
      </w:r>
    </w:p>
    <w:p w14:paraId="2B75B36D"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а) Наркомфину СССР тов.Звереву: </w:t>
      </w:r>
    </w:p>
    <w:p w14:paraId="5D7126ED"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покрыть из бюджета все убытки завода № 292 по постановке производства, по затратам на производство задела и готовых изделий по самолетам И-28, а связи со снятием этого самолета с производства;</w:t>
      </w:r>
    </w:p>
    <w:p w14:paraId="58EF3321"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отпустить заводу № 292 из резервного фонда СНК СССР дополнительно 10 млн. рублей, на приобретение обо</w:t>
      </w:r>
      <w:r w:rsidRPr="00DB5D0D">
        <w:rPr>
          <w:rFonts w:ascii="Times New Roman" w:hAnsi="Times New Roman"/>
          <w:color w:val="0070C0"/>
          <w:sz w:val="16"/>
          <w:szCs w:val="16"/>
        </w:rPr>
        <w:softHyphen/>
        <w:t>рудования и окончание строительства нового сборочного цеха, литейного цеха, летной станции, цеха покрытий, экспедиции;</w:t>
      </w:r>
    </w:p>
    <w:p w14:paraId="6B895B71"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отпустить из резервного фонда СНК Союза ССР за</w:t>
      </w:r>
      <w:r w:rsidRPr="00DB5D0D">
        <w:rPr>
          <w:rFonts w:ascii="Times New Roman" w:hAnsi="Times New Roman"/>
          <w:color w:val="0070C0"/>
          <w:sz w:val="16"/>
          <w:szCs w:val="16"/>
        </w:rPr>
        <w:softHyphen/>
        <w:t>воду 292 ИКАП 6 млн. руб. на постановку производства самолета И-26.</w:t>
      </w:r>
    </w:p>
    <w:p w14:paraId="0F85F1D1"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Выделить в распоряжение Наркома Авиационной Промышленности 3 млн. руб. для премирования ИTP, рабочих и служащих завода № 292 в соответствии с Положением о премировании за серийное освоение самолета И-26 и вы</w:t>
      </w:r>
      <w:r w:rsidRPr="00DB5D0D">
        <w:rPr>
          <w:rFonts w:ascii="Times New Roman" w:hAnsi="Times New Roman"/>
          <w:color w:val="0070C0"/>
          <w:sz w:val="16"/>
          <w:szCs w:val="16"/>
        </w:rPr>
        <w:softHyphen/>
        <w:t>полнение заданной программы 1940 года по самолету И-26.</w:t>
      </w:r>
    </w:p>
    <w:p w14:paraId="209AAAD5"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Разрешить Наркому Авиационной Промышленности за выпуск первых двадцати самолетов И-26 израсходовать на премирование из этой суммы 1 млн. рублей.</w:t>
      </w:r>
    </w:p>
    <w:p w14:paraId="689860ED"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 О постановке серийного производства самолетов ДБ-240 конструкции т. Ермолаева.</w:t>
      </w:r>
    </w:p>
    <w:p w14:paraId="38CB631A"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Отпустить из резервного фонда СНК СССР Наркомавиапрому под отчет в распоряжение Народного Комисса</w:t>
      </w:r>
      <w:r w:rsidRPr="00DB5D0D">
        <w:rPr>
          <w:rFonts w:ascii="Times New Roman" w:hAnsi="Times New Roman"/>
          <w:color w:val="0070C0"/>
          <w:sz w:val="16"/>
          <w:szCs w:val="16"/>
        </w:rPr>
        <w:softHyphen/>
        <w:t>ра 19 млн. рублей, в том числе: для премирования работ</w:t>
      </w:r>
      <w:r w:rsidRPr="00DB5D0D">
        <w:rPr>
          <w:rFonts w:ascii="Times New Roman" w:hAnsi="Times New Roman"/>
          <w:color w:val="0070C0"/>
          <w:sz w:val="16"/>
          <w:szCs w:val="16"/>
        </w:rPr>
        <w:softHyphen/>
        <w:t>ников завода № 18 в соответствии с положением о преми</w:t>
      </w:r>
      <w:r w:rsidRPr="00DB5D0D">
        <w:rPr>
          <w:rFonts w:ascii="Times New Roman" w:hAnsi="Times New Roman"/>
          <w:color w:val="0070C0"/>
          <w:sz w:val="16"/>
          <w:szCs w:val="16"/>
        </w:rPr>
        <w:softHyphen/>
        <w:t>ровании за доводку и освоение в производство и выпол</w:t>
      </w:r>
      <w:r w:rsidRPr="00DB5D0D">
        <w:rPr>
          <w:rFonts w:ascii="Times New Roman" w:hAnsi="Times New Roman"/>
          <w:color w:val="0070C0"/>
          <w:sz w:val="16"/>
          <w:szCs w:val="16"/>
        </w:rPr>
        <w:softHyphen/>
        <w:t>нение программы 1940 года самолета ДБ-240 - 4 млн. руб.: на постановку производства самолета ДБ-240 - 10 млн. руб.</w:t>
      </w:r>
    </w:p>
    <w:p w14:paraId="6DA5B1B6"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РУб. и на строительство аэродрома и летной станции за</w:t>
      </w:r>
      <w:r w:rsidRPr="00DB5D0D">
        <w:rPr>
          <w:rFonts w:ascii="Times New Roman" w:hAnsi="Times New Roman"/>
          <w:color w:val="0070C0"/>
          <w:sz w:val="16"/>
          <w:szCs w:val="16"/>
        </w:rPr>
        <w:softHyphen/>
        <w:t>вода № 18 - 5 млн. рублей сверх плана капитального строи</w:t>
      </w:r>
      <w:r w:rsidRPr="00DB5D0D">
        <w:rPr>
          <w:rFonts w:ascii="Times New Roman" w:hAnsi="Times New Roman"/>
          <w:color w:val="0070C0"/>
          <w:sz w:val="16"/>
          <w:szCs w:val="16"/>
        </w:rPr>
        <w:softHyphen/>
        <w:t>тельства Наркомавиапрома на 1940 год.</w:t>
      </w:r>
    </w:p>
    <w:p w14:paraId="089F8815"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Ш. О создании высотного дальнего бомбардировщика "102" с двумя моторами М-120 2 TК</w:t>
      </w:r>
    </w:p>
    <w:p w14:paraId="6B3455EF"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Отпустить из резервного фонда СНК СССР Наркомавиапрому 22.650.000 рублей, из них: на постройку самолета "102" - 20 млн. рублей и под отчет в распоря</w:t>
      </w:r>
      <w:r w:rsidRPr="00DB5D0D">
        <w:rPr>
          <w:rFonts w:ascii="Times New Roman" w:hAnsi="Times New Roman"/>
          <w:color w:val="0070C0"/>
          <w:sz w:val="16"/>
          <w:szCs w:val="16"/>
        </w:rPr>
        <w:softHyphen/>
        <w:t>жение Наркома Авиапромышленности на премирование конст</w:t>
      </w:r>
      <w:r w:rsidRPr="00DB5D0D">
        <w:rPr>
          <w:rFonts w:ascii="Times New Roman" w:hAnsi="Times New Roman"/>
          <w:color w:val="0070C0"/>
          <w:sz w:val="16"/>
          <w:szCs w:val="16"/>
        </w:rPr>
        <w:softHyphen/>
        <w:t>рукторов, инженерно-технических работников, служащих и рабочих завода № 156 и ОТБ НКВД, в соответствии с Положением о премировании, за выполнение задания в срок:</w:t>
      </w:r>
    </w:p>
    <w:p w14:paraId="51D19687"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 1-й экземпляр - 1.750.000 рублей за 2-й экземпляр -</w:t>
      </w:r>
      <w:r w:rsidRPr="00DB5D0D">
        <w:rPr>
          <w:rFonts w:ascii="Times New Roman" w:hAnsi="Times New Roman"/>
          <w:color w:val="0070C0"/>
          <w:sz w:val="16"/>
          <w:szCs w:val="16"/>
        </w:rPr>
        <w:tab/>
        <w:t>900.000 рублей.</w:t>
      </w:r>
    </w:p>
    <w:p w14:paraId="708897AD"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1У.О создании пикирующего бомбардировщика "103" с двумя моторами М-25 и М-120 2 ТК</w:t>
      </w:r>
    </w:p>
    <w:p w14:paraId="432FB17F"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Отпустить из резервного фонда СНК СССР Наркомавиапрому 22.650.000 рублей, из них на постройку пи</w:t>
      </w:r>
      <w:r w:rsidRPr="00DB5D0D">
        <w:rPr>
          <w:rFonts w:ascii="Times New Roman" w:hAnsi="Times New Roman"/>
          <w:color w:val="0070C0"/>
          <w:sz w:val="16"/>
          <w:szCs w:val="16"/>
        </w:rPr>
        <w:softHyphen/>
        <w:t>кирующих бомбардировщиков "103" - 20 млн.руб. и на премирование конструкторов, инженерно-технических ра</w:t>
      </w:r>
      <w:r w:rsidRPr="00DB5D0D">
        <w:rPr>
          <w:rFonts w:ascii="Times New Roman" w:hAnsi="Times New Roman"/>
          <w:color w:val="0070C0"/>
          <w:sz w:val="16"/>
          <w:szCs w:val="16"/>
        </w:rPr>
        <w:softHyphen/>
        <w:t>ботников, служащ их и рабочих завода № 156 и ОТБ НКВД, в соответствии с Положением о премировании, за выпол</w:t>
      </w:r>
      <w:r w:rsidRPr="00DB5D0D">
        <w:rPr>
          <w:rFonts w:ascii="Times New Roman" w:hAnsi="Times New Roman"/>
          <w:color w:val="0070C0"/>
          <w:sz w:val="16"/>
          <w:szCs w:val="16"/>
        </w:rPr>
        <w:softHyphen/>
        <w:t>нение пикирующего бомбардировщика в срок под отчет в распоряжение Народного Комиссара Авиационной Промыш</w:t>
      </w:r>
      <w:r w:rsidRPr="00DB5D0D">
        <w:rPr>
          <w:rFonts w:ascii="Times New Roman" w:hAnsi="Times New Roman"/>
          <w:color w:val="0070C0"/>
          <w:sz w:val="16"/>
          <w:szCs w:val="16"/>
        </w:rPr>
        <w:softHyphen/>
        <w:t>ленности:</w:t>
      </w:r>
    </w:p>
    <w:p w14:paraId="17B93379"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 1-й экземпляр - 1.750.000 рублей, за 2-й экземпляр -</w:t>
      </w:r>
      <w:r w:rsidRPr="00DB5D0D">
        <w:rPr>
          <w:rFonts w:ascii="Times New Roman" w:hAnsi="Times New Roman"/>
          <w:color w:val="0070C0"/>
          <w:sz w:val="16"/>
          <w:szCs w:val="16"/>
        </w:rPr>
        <w:tab/>
        <w:t>900.000 рублей.</w:t>
      </w:r>
    </w:p>
    <w:p w14:paraId="36F876BC"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 О переводе самолотов СБ на пикирующие бомбардировщи</w:t>
      </w:r>
      <w:r w:rsidRPr="00DB5D0D">
        <w:rPr>
          <w:rFonts w:ascii="Times New Roman" w:hAnsi="Times New Roman"/>
          <w:color w:val="0070C0"/>
          <w:sz w:val="16"/>
          <w:szCs w:val="16"/>
        </w:rPr>
        <w:softHyphen/>
        <w:t>ки и внедрение пикирующего вооружения на эти бомбар</w:t>
      </w:r>
      <w:r w:rsidRPr="00DB5D0D">
        <w:rPr>
          <w:rFonts w:ascii="Times New Roman" w:hAnsi="Times New Roman"/>
          <w:color w:val="0070C0"/>
          <w:sz w:val="16"/>
          <w:szCs w:val="16"/>
        </w:rPr>
        <w:softHyphen/>
        <w:t>дировщики.</w:t>
      </w:r>
    </w:p>
    <w:p w14:paraId="74EFD29A"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Отпустить из резервного фонда СНК СССР Парком- авиапрому 11 млн. рублей, в том числе:</w:t>
      </w:r>
    </w:p>
    <w:p w14:paraId="2F6F42A6"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для перестройки технологического процесса за</w:t>
      </w:r>
      <w:r w:rsidRPr="00DB5D0D">
        <w:rPr>
          <w:rFonts w:ascii="Times New Roman" w:hAnsi="Times New Roman"/>
          <w:color w:val="0070C0"/>
          <w:sz w:val="16"/>
          <w:szCs w:val="16"/>
        </w:rPr>
        <w:softHyphen/>
        <w:t>вода № 22 в связи с постановкой на серийное производ</w:t>
      </w:r>
      <w:r w:rsidRPr="00DB5D0D">
        <w:rPr>
          <w:rFonts w:ascii="Times New Roman" w:hAnsi="Times New Roman"/>
          <w:color w:val="0070C0"/>
          <w:sz w:val="16"/>
          <w:szCs w:val="16"/>
        </w:rPr>
        <w:softHyphen/>
        <w:t>ство пикирующих самолетов СБ-РК во втором полугодии - 1 млн. рублей;</w:t>
      </w:r>
    </w:p>
    <w:p w14:paraId="5A5CB8F0"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под отчет в распоряжение Наркома Авиационной Промышленности на премирование конструкторов, рабочих и ИТР завода № 22, в соответствии с положением о пре</w:t>
      </w:r>
      <w:r w:rsidRPr="00DB5D0D">
        <w:rPr>
          <w:rFonts w:ascii="Times New Roman" w:hAnsi="Times New Roman"/>
          <w:color w:val="0070C0"/>
          <w:sz w:val="16"/>
          <w:szCs w:val="16"/>
        </w:rPr>
        <w:softHyphen/>
        <w:t>мировании, за освоение в серийном производстве пики</w:t>
      </w:r>
      <w:r w:rsidRPr="00DB5D0D">
        <w:rPr>
          <w:rFonts w:ascii="Times New Roman" w:hAnsi="Times New Roman"/>
          <w:color w:val="0070C0"/>
          <w:sz w:val="16"/>
          <w:szCs w:val="16"/>
        </w:rPr>
        <w:softHyphen/>
        <w:t>рующих самолетов СБ-РК - 4 млн.рублей, из них: за вы</w:t>
      </w:r>
      <w:r w:rsidRPr="00DB5D0D">
        <w:rPr>
          <w:rFonts w:ascii="Times New Roman" w:hAnsi="Times New Roman"/>
          <w:color w:val="0070C0"/>
          <w:sz w:val="16"/>
          <w:szCs w:val="16"/>
        </w:rPr>
        <w:softHyphen/>
        <w:t>пуск первых 100 самолетов - 2 млн. рублей; за выполне</w:t>
      </w:r>
      <w:r w:rsidRPr="00DB5D0D">
        <w:rPr>
          <w:rFonts w:ascii="Times New Roman" w:hAnsi="Times New Roman"/>
          <w:color w:val="0070C0"/>
          <w:sz w:val="16"/>
          <w:szCs w:val="16"/>
        </w:rPr>
        <w:softHyphen/>
        <w:t>ние годовой программы - 2 млн. рублей;</w:t>
      </w:r>
    </w:p>
    <w:p w14:paraId="322FB8D6"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на доукомплектование оборудованием и постройку цеха алитирования на заводе № 22 - 6 млн. рублей.</w:t>
      </w:r>
    </w:p>
    <w:p w14:paraId="6BD2C7ED"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Для расширения производственных площадей завода № 32 обязать Председателя Моссовета тов. Пронина:</w:t>
      </w:r>
    </w:p>
    <w:p w14:paraId="104CB54E"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выселить в двухмесячный срок лиц, проживающих в жилых деревянных и нежилых строениях, непосредственно при- мыкающихх к производственным корпусам и территории завода</w:t>
      </w:r>
    </w:p>
    <w:p w14:paraId="69D41B85"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построить заводу № 32 для рабочих, ИТР в 1940- 1941г.г. стоквартирный дом;</w:t>
      </w:r>
    </w:p>
    <w:p w14:paraId="0930A146"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принять от завода № 32 строительство жилого дома по ул. Горького на участке домов 113-119, выделен</w:t>
      </w:r>
      <w:r w:rsidRPr="00DB5D0D">
        <w:rPr>
          <w:rFonts w:ascii="Times New Roman" w:hAnsi="Times New Roman"/>
          <w:color w:val="0070C0"/>
          <w:sz w:val="16"/>
          <w:szCs w:val="16"/>
        </w:rPr>
        <w:softHyphen/>
        <w:t>ных Моссоветом;</w:t>
      </w:r>
    </w:p>
    <w:p w14:paraId="29A7B9BF"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предостанить заводу№ 32 участок по ул. Правда, № 13, ныне занимаемый складами завода под жилстрои</w:t>
      </w:r>
      <w:r w:rsidRPr="00DB5D0D">
        <w:rPr>
          <w:rFonts w:ascii="Times New Roman" w:hAnsi="Times New Roman"/>
          <w:color w:val="0070C0"/>
          <w:sz w:val="16"/>
          <w:szCs w:val="16"/>
        </w:rPr>
        <w:softHyphen/>
        <w:t>тельство завода;</w:t>
      </w:r>
    </w:p>
    <w:p w14:paraId="228D9A86"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разрешить заводу № 32 строительство гаража по ул. Правда, № 13</w:t>
      </w:r>
    </w:p>
    <w:p w14:paraId="2D6DBAC2"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Выделить из резервного фонда СНК СССР дополнитель</w:t>
      </w:r>
      <w:r w:rsidRPr="00DB5D0D">
        <w:rPr>
          <w:rFonts w:ascii="Times New Roman" w:hAnsi="Times New Roman"/>
          <w:color w:val="0070C0"/>
          <w:sz w:val="16"/>
          <w:szCs w:val="16"/>
        </w:rPr>
        <w:softHyphen/>
        <w:t>но целевым назначением Моссовету необходимые средства.</w:t>
      </w:r>
    </w:p>
    <w:p w14:paraId="65A2612B"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б) Отпустить Наркомавиапрому ив резервного фонда СНК СССР в 1940 году для заводов № 32 и КПГ - 13 млн. рублей, в том числе:</w:t>
      </w:r>
    </w:p>
    <w:p w14:paraId="21768D68"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на постановку технологического процесса для пики</w:t>
      </w:r>
      <w:r w:rsidRPr="00DB5D0D">
        <w:rPr>
          <w:rFonts w:ascii="Times New Roman" w:hAnsi="Times New Roman"/>
          <w:color w:val="0070C0"/>
          <w:sz w:val="16"/>
          <w:szCs w:val="16"/>
        </w:rPr>
        <w:softHyphen/>
        <w:t>рующего вооружения</w:t>
      </w:r>
      <w:r w:rsidRPr="00DB5D0D">
        <w:rPr>
          <w:rFonts w:ascii="Times New Roman" w:hAnsi="Times New Roman"/>
          <w:color w:val="0070C0"/>
          <w:sz w:val="16"/>
          <w:szCs w:val="16"/>
        </w:rPr>
        <w:tab/>
        <w:t>- 4,0 млн.руб.</w:t>
      </w:r>
    </w:p>
    <w:p w14:paraId="5C1BA001"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2)на расширение производственных площадей на заводах № 32 и КПГ</w:t>
      </w:r>
      <w:r w:rsidRPr="00DB5D0D">
        <w:rPr>
          <w:rFonts w:ascii="Times New Roman" w:hAnsi="Times New Roman"/>
          <w:color w:val="0070C0"/>
          <w:sz w:val="16"/>
          <w:szCs w:val="16"/>
        </w:rPr>
        <w:tab/>
        <w:t>-</w:t>
      </w:r>
      <w:r w:rsidRPr="00DB5D0D">
        <w:rPr>
          <w:rFonts w:ascii="Times New Roman" w:hAnsi="Times New Roman"/>
          <w:color w:val="0070C0"/>
          <w:sz w:val="16"/>
          <w:szCs w:val="16"/>
        </w:rPr>
        <w:tab/>
        <w:t>3,0 млн.руб.</w:t>
      </w:r>
    </w:p>
    <w:p w14:paraId="2AD61C4F"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3)на приобретение оборудования</w:t>
      </w:r>
      <w:r w:rsidRPr="00DB5D0D">
        <w:rPr>
          <w:rFonts w:ascii="Times New Roman" w:hAnsi="Times New Roman"/>
          <w:color w:val="0070C0"/>
          <w:sz w:val="16"/>
          <w:szCs w:val="16"/>
        </w:rPr>
        <w:tab/>
        <w:t>-</w:t>
      </w:r>
      <w:r w:rsidRPr="00DB5D0D">
        <w:rPr>
          <w:rFonts w:ascii="Times New Roman" w:hAnsi="Times New Roman"/>
          <w:color w:val="0070C0"/>
          <w:sz w:val="16"/>
          <w:szCs w:val="16"/>
        </w:rPr>
        <w:tab/>
        <w:t xml:space="preserve">3,0 </w:t>
      </w:r>
      <w:r w:rsidRPr="00DB5D0D">
        <w:rPr>
          <w:rFonts w:ascii="Times New Roman" w:hAnsi="Times New Roman"/>
          <w:color w:val="0070C0"/>
          <w:sz w:val="16"/>
          <w:szCs w:val="16"/>
        </w:rPr>
        <w:tab/>
        <w:t>млн.руб.</w:t>
      </w:r>
    </w:p>
    <w:p w14:paraId="7308C349"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4)на жилстроительство</w:t>
      </w:r>
      <w:r w:rsidRPr="00DB5D0D">
        <w:rPr>
          <w:rFonts w:ascii="Times New Roman" w:hAnsi="Times New Roman"/>
          <w:color w:val="0070C0"/>
          <w:sz w:val="16"/>
          <w:szCs w:val="16"/>
        </w:rPr>
        <w:tab/>
        <w:t>-</w:t>
      </w:r>
      <w:r w:rsidRPr="00DB5D0D">
        <w:rPr>
          <w:rFonts w:ascii="Times New Roman" w:hAnsi="Times New Roman"/>
          <w:color w:val="0070C0"/>
          <w:sz w:val="16"/>
          <w:szCs w:val="16"/>
        </w:rPr>
        <w:tab/>
        <w:t>2,0</w:t>
      </w:r>
      <w:r w:rsidRPr="00DB5D0D">
        <w:rPr>
          <w:rFonts w:ascii="Times New Roman" w:hAnsi="Times New Roman"/>
          <w:color w:val="0070C0"/>
          <w:sz w:val="16"/>
          <w:szCs w:val="16"/>
        </w:rPr>
        <w:tab/>
        <w:t xml:space="preserve"> млн.руб.</w:t>
      </w:r>
    </w:p>
    <w:p w14:paraId="3238B763" w14:textId="77777777" w:rsidR="001F4FAB" w:rsidRPr="00DB5D0D" w:rsidRDefault="001F4FA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под отчет в распоряжение Наркома Авиационной промышленности на премиро</w:t>
      </w:r>
      <w:r w:rsidRPr="00DB5D0D">
        <w:rPr>
          <w:rFonts w:ascii="Times New Roman" w:hAnsi="Times New Roman"/>
          <w:color w:val="0070C0"/>
          <w:sz w:val="16"/>
          <w:szCs w:val="16"/>
        </w:rPr>
        <w:softHyphen/>
        <w:t>вание конструкторов и производственников завода № 32 и КПГ за освоение бомбосбрасы</w:t>
      </w:r>
      <w:r w:rsidRPr="00DB5D0D">
        <w:rPr>
          <w:rFonts w:ascii="Times New Roman" w:hAnsi="Times New Roman"/>
          <w:color w:val="0070C0"/>
          <w:sz w:val="16"/>
          <w:szCs w:val="16"/>
        </w:rPr>
        <w:softHyphen/>
        <w:t>вателей- 1 млн. рублей (21916).</w:t>
      </w:r>
    </w:p>
    <w:p w14:paraId="44E03226" w14:textId="77777777" w:rsidR="001F4FAB" w:rsidRPr="00DB5D0D" w:rsidRDefault="001F4FAB" w:rsidP="00DB5D0D">
      <w:pPr>
        <w:spacing w:after="0" w:line="240" w:lineRule="auto"/>
        <w:jc w:val="both"/>
        <w:rPr>
          <w:rFonts w:ascii="Times New Roman" w:hAnsi="Times New Roman"/>
          <w:color w:val="0070C0"/>
          <w:sz w:val="16"/>
          <w:szCs w:val="16"/>
        </w:rPr>
      </w:pPr>
    </w:p>
    <w:p w14:paraId="07FD449D" w14:textId="77777777" w:rsidR="00C20C91" w:rsidRPr="00DB5D0D" w:rsidRDefault="00C20C9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29 мая</w:t>
      </w:r>
      <w:r w:rsidRPr="00DB5D0D">
        <w:rPr>
          <w:rFonts w:ascii="Times New Roman" w:hAnsi="Times New Roman"/>
          <w:color w:val="000000" w:themeColor="text1"/>
          <w:sz w:val="16"/>
          <w:szCs w:val="16"/>
        </w:rPr>
        <w:t xml:space="preserve"> в 1940 году постановление Комитета Обороны №236 предписывало воронежскому авиазаводу №18 выпустить в том же году 70 бомбардировщиков в виде установочной партии, а в 1941 году построить уже 800 самолетов «ДБ-240»! Не дожидаясь начала государственных испытаний, только на основе докладов Ермолаева и поддерживавшего его начальника ГУ ГВФ В.С.Молокова было принято решение о развертывании серийного производства </w:t>
      </w:r>
      <w:hyperlink r:id="rId60" w:tgtFrame="_blank" w:history="1">
        <w:r w:rsidRPr="00DB5D0D">
          <w:rPr>
            <w:rFonts w:ascii="Times New Roman" w:hAnsi="Times New Roman"/>
            <w:color w:val="000000" w:themeColor="text1"/>
            <w:sz w:val="16"/>
            <w:szCs w:val="16"/>
          </w:rPr>
          <w:t>«ДБ-240».</w:t>
        </w:r>
      </w:hyperlink>
    </w:p>
    <w:p w14:paraId="1A3DEDEA" w14:textId="77777777" w:rsidR="00C20C91" w:rsidRPr="00DB5D0D" w:rsidRDefault="00C20C91" w:rsidP="00DB5D0D">
      <w:pPr>
        <w:spacing w:after="0" w:line="240" w:lineRule="auto"/>
        <w:jc w:val="both"/>
        <w:rPr>
          <w:rFonts w:ascii="Times New Roman" w:hAnsi="Times New Roman"/>
          <w:color w:val="000000" w:themeColor="text1"/>
          <w:sz w:val="16"/>
          <w:szCs w:val="16"/>
        </w:rPr>
      </w:pPr>
    </w:p>
    <w:p w14:paraId="54DCEA4C" w14:textId="77777777" w:rsidR="001236CC" w:rsidRPr="00DB5D0D" w:rsidRDefault="001236CC" w:rsidP="00DB5D0D">
      <w:pPr>
        <w:pStyle w:val="afffa"/>
        <w:shd w:val="clear" w:color="auto" w:fill="FFFFFF"/>
        <w:spacing w:before="0" w:beforeAutospacing="0" w:after="0" w:afterAutospacing="0"/>
        <w:jc w:val="both"/>
        <w:rPr>
          <w:color w:val="000000" w:themeColor="text1"/>
          <w:sz w:val="16"/>
          <w:szCs w:val="16"/>
        </w:rPr>
      </w:pPr>
      <w:r w:rsidRPr="00DB5D0D">
        <w:rPr>
          <w:color w:val="000000" w:themeColor="text1"/>
          <w:sz w:val="16"/>
          <w:szCs w:val="16"/>
        </w:rPr>
        <w:t>29 мая 1940 года подписано постановление Комитета Обороны СНК СССР №236, в соответствии с которым заводу №18 поручалось приступить к серийному производству бомбардировщиков ДБ-240 (Ер-2) конструкции В. Г. Ермолаева (1909–1944) (19822).</w:t>
      </w:r>
    </w:p>
    <w:p w14:paraId="3A15399B" w14:textId="77777777" w:rsidR="001236CC" w:rsidRPr="00DB5D0D" w:rsidRDefault="001236CC" w:rsidP="00DB5D0D">
      <w:pPr>
        <w:pStyle w:val="afffa"/>
        <w:shd w:val="clear" w:color="auto" w:fill="FFFFFF"/>
        <w:spacing w:before="0" w:beforeAutospacing="0" w:after="0" w:afterAutospacing="0"/>
        <w:jc w:val="both"/>
        <w:rPr>
          <w:color w:val="000000" w:themeColor="text1"/>
          <w:sz w:val="16"/>
          <w:szCs w:val="16"/>
        </w:rPr>
      </w:pPr>
    </w:p>
    <w:p w14:paraId="5B4FBA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вышло постановление КО N236сс по ДБ-240 (413,32) с 2хМ-105 на 18 заводе (725,18) "О постановке серийного производства самолетов ДБ-240 конструкции Ермолаева" (1302,164).</w:t>
      </w:r>
    </w:p>
    <w:p w14:paraId="1CB401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 директора завода 18 Шенкмана и ГК Ермолаева организовать на заводе 18 серийное производство самолета ДБ-240</w:t>
      </w:r>
    </w:p>
    <w:p w14:paraId="40B1E1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по заводу 15 программу: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35E01E6F" w14:textId="77777777" w:rsidTr="009223E5">
        <w:tc>
          <w:tcPr>
            <w:tcW w:w="5749" w:type="dxa"/>
            <w:tcBorders>
              <w:top w:val="single" w:sz="12" w:space="0" w:color="auto"/>
            </w:tcBorders>
          </w:tcPr>
          <w:p w14:paraId="0312C1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ДБ-3Ф</w:t>
            </w:r>
          </w:p>
        </w:tc>
        <w:tc>
          <w:tcPr>
            <w:tcW w:w="5749" w:type="dxa"/>
            <w:tcBorders>
              <w:top w:val="single" w:sz="12" w:space="0" w:color="auto"/>
            </w:tcBorders>
          </w:tcPr>
          <w:p w14:paraId="01A1C3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 в 1940</w:t>
            </w:r>
          </w:p>
        </w:tc>
      </w:tr>
      <w:tr w:rsidR="007D5DF8" w:rsidRPr="00DB5D0D" w14:paraId="5C378A72" w14:textId="77777777" w:rsidTr="009223E5">
        <w:tc>
          <w:tcPr>
            <w:tcW w:w="5749" w:type="dxa"/>
            <w:tcBorders>
              <w:bottom w:val="single" w:sz="12" w:space="0" w:color="auto"/>
            </w:tcBorders>
          </w:tcPr>
          <w:p w14:paraId="71FC45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ДБ-240</w:t>
            </w:r>
          </w:p>
        </w:tc>
        <w:tc>
          <w:tcPr>
            <w:tcW w:w="5749" w:type="dxa"/>
            <w:tcBorders>
              <w:bottom w:val="single" w:sz="12" w:space="0" w:color="auto"/>
            </w:tcBorders>
          </w:tcPr>
          <w:p w14:paraId="760FEE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 в 1940 и 800 в 1941</w:t>
            </w:r>
          </w:p>
        </w:tc>
      </w:tr>
    </w:tbl>
    <w:p w14:paraId="59C727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Самолет ДБ-240 выпускать в 1940 году по типу самолета № 1, выпущенного заводом № 240, с внесением изменений, полученных в результате государственных испытаний.</w:t>
      </w:r>
    </w:p>
    <w:p w14:paraId="484655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НКО закончить полностью гос. испытания первого опытного самолета ДБ-240 к 25 июля 1940 (1302,164).</w:t>
      </w:r>
    </w:p>
    <w:p w14:paraId="4D5459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Для обеспечения выполнения установленной заводу № 18 программы обязать:</w:t>
      </w:r>
    </w:p>
    <w:p w14:paraId="37F3B6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НКЭС</w:t>
      </w:r>
    </w:p>
    <w:p w14:paraId="1BA53F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 1 сентября 1940 года закончить монтаж и ввести в эксплоатацию на Воронежской ГРЭС котел № 4</w:t>
      </w:r>
    </w:p>
    <w:p w14:paraId="2D8A8C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укомплектовать оборудованием и смонтировать на Воронежской ГРЭС к 15 сентября две 35-ти киловатные ячейки для завода № 18;</w:t>
      </w:r>
    </w:p>
    <w:p w14:paraId="373535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обязать Роронежскую ГРЭС в осенне-зимний период 1940-1941 г.г. обеспечить полную потребность завода № 18 в электроэнергии и тепле, независимо от прочих потребностей.</w:t>
      </w:r>
    </w:p>
    <w:p w14:paraId="0F56F1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Наркомтяжмаш</w:t>
      </w:r>
    </w:p>
    <w:p w14:paraId="1587F6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 1 октября изготовить и сдать эаводу № 18 для цеха окончательной сборки два мостовых крана протелом 31,5 м, грузоподъемностьо 5-6 тонн кажый</w:t>
      </w:r>
    </w:p>
    <w:p w14:paraId="1BF75F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Союзпроммеханизацию изготовить для завода № 18 конвейер для 5.000 тонного пресса “Бердоборо", смонтировать и сдать в экспоатацию в четвертом квартале 1940 года;</w:t>
      </w:r>
    </w:p>
    <w:p w14:paraId="7C07AD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заводе имени Марти ( г. Николаев) выполнить и поставить заводу № 38 транспортные плиты и болотер к 5000 тонному прессу "Бердсборо" к 1 августа 1940 г.</w:t>
      </w:r>
    </w:p>
    <w:p w14:paraId="4D913D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 - поставить заводу № 18 немедленно:</w:t>
      </w:r>
    </w:p>
    <w:p w14:paraId="57E92E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Тракторов дизельных ЧТЗ</w:t>
      </w:r>
      <w:r w:rsidRPr="00DB5D0D">
        <w:rPr>
          <w:rFonts w:ascii="Times New Roman" w:hAnsi="Times New Roman"/>
          <w:color w:val="000000" w:themeColor="text1"/>
          <w:sz w:val="16"/>
          <w:szCs w:val="16"/>
        </w:rPr>
        <w:tab/>
        <w:t>2,</w:t>
      </w:r>
    </w:p>
    <w:p w14:paraId="27B17B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СТЗ</w:t>
      </w:r>
      <w:r w:rsidRPr="00DB5D0D">
        <w:rPr>
          <w:rFonts w:ascii="Times New Roman" w:hAnsi="Times New Roman"/>
          <w:color w:val="000000" w:themeColor="text1"/>
          <w:sz w:val="16"/>
          <w:szCs w:val="16"/>
        </w:rPr>
        <w:tab/>
        <w:t>2,</w:t>
      </w:r>
    </w:p>
    <w:p w14:paraId="5EE225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Кран на автомобильном ходу - 1 (для моторов)</w:t>
      </w:r>
    </w:p>
    <w:p w14:paraId="24C5FC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Кранов гусеничных завода имела Январского Восстания в гор. Одессе</w:t>
      </w:r>
      <w:r w:rsidRPr="00DB5D0D">
        <w:rPr>
          <w:rFonts w:ascii="Times New Roman" w:hAnsi="Times New Roman"/>
          <w:color w:val="000000" w:themeColor="text1"/>
          <w:sz w:val="16"/>
          <w:szCs w:val="16"/>
        </w:rPr>
        <w:tab/>
        <w:t>2 шт. (один трех и один пятитонный);</w:t>
      </w:r>
    </w:p>
    <w:p w14:paraId="5A874D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обязать Воронежский завод имени Коминтерна заключить договор и поставлять заводу № 18 в третьем квартале для изготовлешя стапелей чугунное литье.</w:t>
      </w:r>
    </w:p>
    <w:p w14:paraId="13A3CF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Наркомнефть - Водомонтаж изготовить и смонтировать бензохранилище на заводе № 18 к I октября 1940 года.</w:t>
      </w:r>
    </w:p>
    <w:p w14:paraId="0E4C06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Отпустить из резервного фонда СНК СССР Наркомавиапрому под отчет в распоряжение Наодного Комиссара 19 млн. рублей, в том чис</w:t>
      </w:r>
      <w:r w:rsidRPr="00DB5D0D">
        <w:rPr>
          <w:rFonts w:ascii="Times New Roman" w:hAnsi="Times New Roman"/>
          <w:color w:val="000000" w:themeColor="text1"/>
          <w:sz w:val="16"/>
          <w:szCs w:val="16"/>
        </w:rPr>
        <w:softHyphen/>
        <w:t>ле: для премирования работников завода № 18 в соответствии с положением о премировании за доводку и освоение в производства и выполнение программы 1940 годап по самолету ДБ-240 - 4 млн. рублей; на постановку производства самолета ДБ-240 - 10 млн. рублей и на строительство аэродрома и летной станции завода № 18 - 5 млн. рублей сверх плана капитального строительства Наркомавиапрома ва 1940 год.</w:t>
      </w:r>
    </w:p>
    <w:p w14:paraId="15A483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Экономическому Совету при СНК СССР:</w:t>
      </w:r>
    </w:p>
    <w:p w14:paraId="634461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Выделить сверх фондов НКАП в 1940 году 40 металлорежущих станков, электроматериалы, электрооборудование и разное оборудование в соответствии с приложением № 1.</w:t>
      </w:r>
    </w:p>
    <w:p w14:paraId="515061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В связи постановкой на заводе № 18 производства нового самолета - сохранить существующую в Москве контору завода № 18.</w:t>
      </w:r>
    </w:p>
    <w:p w14:paraId="13AACC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Обязязать Воронежский Облисполком:</w:t>
      </w:r>
    </w:p>
    <w:p w14:paraId="1A71A6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выделить для строительсва завода № 18:</w:t>
      </w:r>
    </w:p>
    <w:p w14:paraId="151D9B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кирпич</w:t>
      </w:r>
      <w:r w:rsidRPr="00DB5D0D">
        <w:rPr>
          <w:rFonts w:ascii="Times New Roman" w:hAnsi="Times New Roman"/>
          <w:color w:val="000000" w:themeColor="text1"/>
          <w:sz w:val="16"/>
          <w:szCs w:val="16"/>
        </w:rPr>
        <w:tab/>
        <w:t>6 млн. штук,</w:t>
      </w:r>
    </w:p>
    <w:p w14:paraId="2BE184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бутовый камень</w:t>
      </w:r>
      <w:r w:rsidRPr="00DB5D0D">
        <w:rPr>
          <w:rFonts w:ascii="Times New Roman" w:hAnsi="Times New Roman"/>
          <w:color w:val="000000" w:themeColor="text1"/>
          <w:sz w:val="16"/>
          <w:szCs w:val="16"/>
        </w:rPr>
        <w:tab/>
        <w:t>6.000 мЗ.</w:t>
      </w:r>
    </w:p>
    <w:p w14:paraId="059DBC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алебастр</w:t>
      </w:r>
      <w:r w:rsidRPr="00DB5D0D">
        <w:rPr>
          <w:rFonts w:ascii="Times New Roman" w:hAnsi="Times New Roman"/>
          <w:color w:val="000000" w:themeColor="text1"/>
          <w:sz w:val="16"/>
          <w:szCs w:val="16"/>
        </w:rPr>
        <w:tab/>
        <w:t>1.300 тонн</w:t>
      </w:r>
    </w:p>
    <w:p w14:paraId="0F502A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известь</w:t>
      </w:r>
      <w:r w:rsidRPr="00DB5D0D">
        <w:rPr>
          <w:rFonts w:ascii="Times New Roman" w:hAnsi="Times New Roman"/>
          <w:color w:val="000000" w:themeColor="text1"/>
          <w:sz w:val="16"/>
          <w:szCs w:val="16"/>
        </w:rPr>
        <w:tab/>
        <w:t>3.000</w:t>
      </w:r>
    </w:p>
    <w:p w14:paraId="118228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щебенку</w:t>
      </w:r>
      <w:r w:rsidRPr="00DB5D0D">
        <w:rPr>
          <w:rFonts w:ascii="Times New Roman" w:hAnsi="Times New Roman"/>
          <w:color w:val="000000" w:themeColor="text1"/>
          <w:sz w:val="16"/>
          <w:szCs w:val="16"/>
        </w:rPr>
        <w:tab/>
        <w:t>15.000 м3.</w:t>
      </w:r>
    </w:p>
    <w:p w14:paraId="4956E2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камень для мощення дорог</w:t>
      </w:r>
      <w:r w:rsidRPr="00DB5D0D">
        <w:rPr>
          <w:rFonts w:ascii="Times New Roman" w:hAnsi="Times New Roman"/>
          <w:color w:val="000000" w:themeColor="text1"/>
          <w:sz w:val="16"/>
          <w:szCs w:val="16"/>
        </w:rPr>
        <w:tab/>
        <w:t xml:space="preserve"> 4.000 м3.</w:t>
      </w:r>
    </w:p>
    <w:p w14:paraId="2546B0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Обеспечить набор 1.000 человек рабочих дал строительства завода № 18.</w:t>
      </w:r>
    </w:p>
    <w:p w14:paraId="23F5BD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Разрешить НКАП выделить Воронежскому Облисполкому 400000 рублей на расширение производства месьтных мтройматериалов (10395).</w:t>
      </w:r>
    </w:p>
    <w:p w14:paraId="2560EA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18 в указанный период параллельно с ДБ-240 2М-105 (заводское наименование - машина "Н") продолжал производить его основного конкурента - самолет ДБ-3Ф. Необходимо отметить многолетнее сотрудничество заводского коллектива с КБ Ильюшина: на заводе 18 уже почти все было налажено, выпуск сотен машин происходил относительно ритмично, хотя и не без авралов, вызываемых, к примеру, качеством двигателей серии М-87/М-88 (3322,11).</w:t>
      </w:r>
    </w:p>
    <w:p w14:paraId="121E104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66322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29 мая 1940 г. в соответствии с пост. Комитета обороны № 236 на заводе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началось освоение производства Ер-2 (предписывалось в этом году выпустить 70 машин). 23.08.1941 г. вышло постановление ГКО № 568 о прекращении производства Ер-2 с М-40Ф. 5.12.1940 г. вышло постановление правительства о прекращении производства ДБ-240 с М-105. А пост. СНК от 10.12.1940 г. поручалось в 1941 г. построить 90 машин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 (11982).</w:t>
      </w:r>
    </w:p>
    <w:p w14:paraId="443F9B3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3355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А.И.Ш. писал письмо N 1360сс Дир. завода 22 Окулову, ГК А.А.А. (копия дир. завода 26 Завитаеву:</w:t>
      </w:r>
    </w:p>
    <w:p w14:paraId="675FBC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"ТК и их установка на СБ нуждаются в тщательной проверке в летных условиях. К проведению этой работы необходимо приступить немедленно. Наличие на заводе 26 готовых ТК-2 дает полную возможность начать монтаж и испытание их на самолете, не ожидая изготовления ТК-2б ЦИАМ.</w:t>
      </w:r>
    </w:p>
    <w:p w14:paraId="5EC355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Одного самолета, оборудованного ТК-2, недостаточно.</w:t>
      </w:r>
    </w:p>
    <w:p w14:paraId="06B8D3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вам оборудовать ТК-2 5 самолетов с тем, чтобы полностью отработать СБ с М-105 ТК-2.</w:t>
      </w:r>
    </w:p>
    <w:p w14:paraId="7B8F65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26 немедленно переключить производство на изготовление ТК-2б по чертежам ЦИАМ." (1165,190).</w:t>
      </w:r>
    </w:p>
    <w:p w14:paraId="472383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799E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29 мая 1940 г. на заводе № 22 уже стояли шесть готовых СБ с двигателями М-105. Но на повторные испытания в июне выставили опять тот же самолет № 1/227. На этот раз на нем летали майор Автономов и капитан Пушков. Конструкторы ожидали, что на колесах скорость вырастет примерно на 3%. Но она упала, хотя самолет облегчили более, чем на 100 кг! Больше 431 км/ч получить не удалось. Ухудшилась и скороподъемность. Правда, потолок увеличился на 400 м, примерно на 20% сократился разбег. Причиной сочли износ моторов. До 10 августа на машине из-за поломок сменили четыре правых и семь левых двигателей (и это при суммарном налете 156 часов и 20 минут). Выходили из строя магнето, разрушались вкладыши коренных подшипников. Было несколько случаев обрыва шпилек и пожаров в </w:t>
      </w:r>
      <w:r w:rsidRPr="00DB5D0D">
        <w:rPr>
          <w:rFonts w:ascii="Times New Roman" w:hAnsi="Times New Roman"/>
          <w:color w:val="000000" w:themeColor="text1"/>
          <w:sz w:val="16"/>
          <w:szCs w:val="16"/>
        </w:rPr>
        <w:lastRenderedPageBreak/>
        <w:t>карбюраторах. Да и вообще машина выглядела весьма потрепанной. В отчете НИИ ВВС говорится, что капоты помяты, обшивка крыла имеет волнистость, краска облезла. Кроме того, моторы стояли новые, а всасывающий патрубок старый, не рассчитанный на потребности М-105. Решили еще раз поменять двигатели и спроектировать новые патрубки, после чего в октябре 1940 г. возобновить испытания. Никаких данных о том, сделали ли это, найти не удалось (9927).</w:t>
      </w:r>
    </w:p>
    <w:p w14:paraId="2CC9E58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8778E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был утвержден отчете по результатам государ</w:t>
      </w:r>
      <w:r w:rsidRPr="00DB5D0D">
        <w:rPr>
          <w:rFonts w:ascii="Times New Roman" w:hAnsi="Times New Roman"/>
          <w:color w:val="000000" w:themeColor="text1"/>
          <w:sz w:val="16"/>
          <w:szCs w:val="16"/>
        </w:rPr>
        <w:softHyphen/>
        <w:t>ственных испытаний ВИ-100, в котором отмечалось, в частности:</w:t>
      </w:r>
    </w:p>
    <w:p w14:paraId="7DA503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«Достаточный запас прочности для производства пи</w:t>
      </w:r>
      <w:r w:rsidRPr="00DB5D0D">
        <w:rPr>
          <w:rFonts w:ascii="Times New Roman" w:hAnsi="Times New Roman"/>
          <w:color w:val="000000" w:themeColor="text1"/>
          <w:sz w:val="16"/>
          <w:szCs w:val="16"/>
        </w:rPr>
        <w:softHyphen/>
        <w:t>кирования и наличие бомбовой нагрузки &lt;...&gt; позволяет ис</w:t>
      </w:r>
      <w:r w:rsidRPr="00DB5D0D">
        <w:rPr>
          <w:rFonts w:ascii="Times New Roman" w:hAnsi="Times New Roman"/>
          <w:color w:val="000000" w:themeColor="text1"/>
          <w:sz w:val="16"/>
          <w:szCs w:val="16"/>
        </w:rPr>
        <w:softHyphen/>
        <w:t>пользовать самолет "100" в качестве пикирующего бомбар</w:t>
      </w:r>
      <w:r w:rsidRPr="00DB5D0D">
        <w:rPr>
          <w:rFonts w:ascii="Times New Roman" w:hAnsi="Times New Roman"/>
          <w:color w:val="000000" w:themeColor="text1"/>
          <w:sz w:val="16"/>
          <w:szCs w:val="16"/>
        </w:rPr>
        <w:softHyphen/>
        <w:t>дировщика...</w:t>
      </w:r>
    </w:p>
    <w:p w14:paraId="3E7D7F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использования высокой аэродинамики самоле</w:t>
      </w:r>
      <w:r w:rsidRPr="00DB5D0D">
        <w:rPr>
          <w:rFonts w:ascii="Times New Roman" w:hAnsi="Times New Roman"/>
          <w:color w:val="000000" w:themeColor="text1"/>
          <w:sz w:val="16"/>
          <w:szCs w:val="16"/>
        </w:rPr>
        <w:softHyphen/>
        <w:t>та "100" и создания на его базе массового пикирующего бом</w:t>
      </w:r>
      <w:r w:rsidRPr="00DB5D0D">
        <w:rPr>
          <w:rFonts w:ascii="Times New Roman" w:hAnsi="Times New Roman"/>
          <w:color w:val="000000" w:themeColor="text1"/>
          <w:sz w:val="16"/>
          <w:szCs w:val="16"/>
        </w:rPr>
        <w:softHyphen/>
        <w:t>бардировщика без гермокабины с максимальной скоростью на высоте 5000 м не ниже 550 км/ч с бомбовой нагрузкой внутри 600 кг и снаружи 1000 кг &lt;...&gt; необходимо постро</w:t>
      </w:r>
      <w:r w:rsidRPr="00DB5D0D">
        <w:rPr>
          <w:rFonts w:ascii="Times New Roman" w:hAnsi="Times New Roman"/>
          <w:color w:val="000000" w:themeColor="text1"/>
          <w:sz w:val="16"/>
          <w:szCs w:val="16"/>
        </w:rPr>
        <w:softHyphen/>
        <w:t>ить опытную серию...</w:t>
      </w:r>
    </w:p>
    <w:p w14:paraId="6F880D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ускорения отработки самолета "100" в варианте пикирующего бомбардировщика, обязать завод №156 &lt;...&gt; восстановить аварийный самолет "100"» дублер и внести необходимые изменения согласно утвержденному макету в варианте пикирующего бомбардировщика и предъявить его на испытания в НИИ ГУАС (НИИ ВВС) к 1 сентября 1940 года» (10745,210).</w:t>
      </w:r>
    </w:p>
    <w:p w14:paraId="518536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E758C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 начальник ВВС коман</w:t>
      </w:r>
      <w:r w:rsidRPr="00DB5D0D">
        <w:rPr>
          <w:rFonts w:ascii="Times New Roman" w:hAnsi="Times New Roman"/>
          <w:color w:val="000000" w:themeColor="text1"/>
          <w:sz w:val="16"/>
          <w:szCs w:val="16"/>
        </w:rPr>
        <w:softHyphen/>
        <w:t>дарм 2-го ранга Я.В. Смушкевич в своем письме наркому А.И. Шахурину указывал: «Вопрос об ОКО-6 специально обсудить, устойчивость проверить: рискованно решать о пуске в серию. Тем не менее, ВВС он крайне необходим» (12614).</w:t>
      </w:r>
    </w:p>
    <w:p w14:paraId="7E9CA11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DC89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вышло постановление № 235сс КО О постановке производства самолетов И-26 конструкции Яковлева на заводе № 292 и о снятии с производства самолетов И-28</w:t>
      </w:r>
    </w:p>
    <w:p w14:paraId="7C99C2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31CA8BB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 директора завода № 292 Левина и ведущего конструктора по И-26 Синельщикова организовать на заводе № 292 серийное производство самолетов И-26.</w:t>
      </w:r>
    </w:p>
    <w:p w14:paraId="425EF7A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заводу № 292 программу выпуска по самолету И-26:</w:t>
      </w:r>
    </w:p>
    <w:p w14:paraId="505055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1940 год в количестве – 100 штук</w:t>
      </w:r>
    </w:p>
    <w:p w14:paraId="34EEFA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1941 год в количестве – 1500 штук</w:t>
      </w:r>
    </w:p>
    <w:p w14:paraId="4F17AE7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Снять с производства самолет И-28 конструкции Яценко, разрешив заводу № 292 закончить сборкой 10 самолетов, а НКО принять эти самолеты без всяких переделок в существующем виде (7595, 97-99).</w:t>
      </w:r>
    </w:p>
    <w:p w14:paraId="5A8CBC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Наркомфину СССР тов. Звереву:</w:t>
      </w:r>
    </w:p>
    <w:p w14:paraId="642C7B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покрыть из бюджета все убытки завода № 292 по постановке производства, по затратам на производство задаела готовых изделий по самолетам И-28, в связи со снятием этого самолета с производства.</w:t>
      </w:r>
    </w:p>
    <w:p w14:paraId="197955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отпустить заводу № 292 из резервного фонда СНК СССР дополнительно 10 млн. рублей на приобретение оборудования и окончангие строительства нового сборочного цеха, литейного цеха, летной станции, цеха покрытий, экспедиции;</w:t>
      </w:r>
    </w:p>
    <w:p w14:paraId="5EC097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отпустить из резервного фонда СНК СССР заводу № 292 НКАП 6 млн. руб. на постановку производства самолета И-26.</w:t>
      </w:r>
    </w:p>
    <w:p w14:paraId="1D7F45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Выделить в распоряжение НКАП 3 млн. руб. для премирования ИТР, рабочих и служащих завода № 292 в соответствии с Положением о премировании за серийное освоение самолета И-26 и выполнение заданной программы 1940 года по самолету И-26.</w:t>
      </w:r>
    </w:p>
    <w:p w14:paraId="368C1D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Разрешить НКАП за выпуск первых 20 самолетов И-26 израсходовать на премирование из этой суммы 1 млн. руб.</w:t>
      </w:r>
    </w:p>
    <w:p w14:paraId="3848B3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Наркомзему СССР тов. Бенедиктову передать заводу № 292 Корольковские дачи.</w:t>
      </w:r>
    </w:p>
    <w:p w14:paraId="581EC3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НКСМ тов. Лихачеву организовать во втором полугодии 1940 г. на Саратовском заводе ВАТ производство жидкого кислорода и выделить заводу № 292 две ацетиленовые установки типа ВД-25, стационарный танк-газификатор и танк для производства жидкого кислорода.</w:t>
      </w:r>
    </w:p>
    <w:p w14:paraId="2F3B49E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НКЧертет тов. Тевосян обеспечить изготовление на заводе “Электросталь” в течение июля-августа 1940 г. штамповки для завода № 292 по его спецификации.</w:t>
      </w:r>
    </w:p>
    <w:p w14:paraId="108F8DB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Обязать Экономсовет при СНК СССР выполнить дополнительно сверх фонда НКАП целевым назначением дял завода № 292:</w:t>
      </w:r>
    </w:p>
    <w:p w14:paraId="6E3D95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нормального инструмента на 800 тыс. руб. И быстрорежущей стали в количестве 2 тонн по спецификации завода № 292</w:t>
      </w:r>
    </w:p>
    <w:p w14:paraId="4BAC9D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втором квартале - нормального инструмента на 200 тыс. руб. И 1 т быстрорежущей стали</w:t>
      </w:r>
    </w:p>
    <w:p w14:paraId="3827F3B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третьем квартале - на 600 тыс. руб. и 1 т быстрорежущей стали</w:t>
      </w:r>
    </w:p>
    <w:p w14:paraId="6FBE9A1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Передать в систему НКАП завод “Стекломашина” НКОМ по состоянию на 1 мая 1940.</w:t>
      </w:r>
    </w:p>
    <w:p w14:paraId="7E2A24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Разрешить оплату рабочих завода № 292 в течение второго-третьего квартала 1940 года, занятых на освоении с-та И-26, по средне-сдельному заработку.</w:t>
      </w:r>
    </w:p>
    <w:p w14:paraId="31C9C2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НКАП тов. Шахурину организовать в 1940 г. в г. Саратове аыиационный техникум, на базе техникума ГВФ (Аэрофлота), для чего передать последний в ведение НКАП</w:t>
      </w:r>
    </w:p>
    <w:p w14:paraId="2429B5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Разрешить заводу № 292 строительство вести по отдельным проектам и сметам (10395).</w:t>
      </w:r>
    </w:p>
    <w:p w14:paraId="6F23A6F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CA35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постановлением Правительства Як-1 был запущен в массовое производство на 292 заводе в Саратове (65,45).</w:t>
      </w:r>
    </w:p>
    <w:p w14:paraId="797006E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C700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комдив Алексеев - начальник ГУАснабжения НИИ ВВС принял И-26-2 на гос. испытания и они шли с 1 по 15 июня 1940. Самолет гос. испытания не прошел, но И-200 и И-301 - тоже (198,11). Решение о передаче на гос. испытания были приняты комиссией НКАП в составе председателя А.С.Я. (странновато - вряд ли так было и по другим машинам), М.М.Громова и С.А.Корзинщикова, которая ознакомившись с результатами заводских испытаний констатировала, что характеристики машины близки к расчетным (65,17).</w:t>
      </w:r>
    </w:p>
    <w:p w14:paraId="42691E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Интересно, что в один день и что был составлен акт приемки на гос. испытания, где были зафиксированы недостатки и поставлена задача "для проверки данных, полученных в ходе заводских испытаний) (65,17).</w:t>
      </w:r>
    </w:p>
    <w:p w14:paraId="55D3900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4976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Нач. ГУАС КА Алексееву за № 395 было направлено:</w:t>
      </w:r>
    </w:p>
    <w:p w14:paraId="0D4EF0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по передаче на госиспытания с-та И-26 конструкции и постройки з-да № 115:</w:t>
      </w:r>
    </w:p>
    <w:p w14:paraId="2879D8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Отчет по заводским летным испытаниям с-та И-26 утвердить</w:t>
      </w:r>
    </w:p>
    <w:p w14:paraId="657168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Принять, что с-т может быть передан га госиспытания</w:t>
      </w:r>
    </w:p>
    <w:p w14:paraId="4AC997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Рез-ты летных испытаний близки к заданным и расчетным</w:t>
      </w:r>
    </w:p>
    <w:p w14:paraId="32D277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Приложения:</w:t>
      </w:r>
    </w:p>
    <w:p w14:paraId="4F4BFB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 Комиссии А.С.Я., М.Громов, Корзинщиков (699).</w:t>
      </w:r>
    </w:p>
    <w:p w14:paraId="3104BD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F13F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вышел приказ Нач. ГУАС КА комдива Алексеенко № 071 с-т И-26 М-105П ВИШ-61 принять на госиспытания 1 июня 1940 (699).</w:t>
      </w:r>
    </w:p>
    <w:p w14:paraId="4B1A30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C48A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 согласно приказа начальника ГУАС комдива Алексеева N 071 второй экз. самолета И-26 несмотря на его недоведенность был принят НИИ ВВС на гос. испытания (3353).</w:t>
      </w:r>
    </w:p>
    <w:p w14:paraId="7CF99A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29 мая 1940 комиссия НКАП признала возможным передать И-26 на гос. испытания (3417).</w:t>
      </w:r>
    </w:p>
    <w:p w14:paraId="0EA7847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B90F2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вышло постановление КО N235сс "О постановке производства самолетов И-26 конструкции А.С.Я. на заводе 292 и о снятии с производства самолетов И-28" (1316,334).</w:t>
      </w:r>
    </w:p>
    <w:p w14:paraId="12BB2B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 директора завода 292 Левина и вед. констр. по И-26 Синельщикова организовать на заводе 292 серийное производство самолетов И-26</w:t>
      </w:r>
    </w:p>
    <w:p w14:paraId="31862D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программу выпуска: в 1940 - 100, в 1941 - 1500</w:t>
      </w:r>
    </w:p>
    <w:p w14:paraId="0387FD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Снять с производства самолет И-28 конструкции Яценко, разрешив заводу 292 закончить сборкой 10 самолетов, а НКО принять эти самолеты без всяких переделок, в существующем виде (1316,334).</w:t>
      </w:r>
    </w:p>
    <w:p w14:paraId="131A4BC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D9EA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по приказу начальника ГУАС комдива Алексеева № 071, НИИ ВВС принял И-26-11 на госиспытания. В приказе особенно подчеркивалось: считать испытания И-26 первоочередной и главной задачей. Для их проведения назначались два ведущих летчика - А.С. Николаев и П.М.Сте- фановский, - а сами испытания организовывались в две смены.</w:t>
      </w:r>
    </w:p>
    <w:p w14:paraId="2D15A9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некоторых публикациях высказывается мнение, что решение Алексеева было продиктовано коньюктурными соображениями. Нет, начальник ГУАС исходил из существующих реалий. В своем апрельском докладе он так определял направление развития одномоторных истребителей:</w:t>
      </w:r>
    </w:p>
    <w:p w14:paraId="331106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"...из строящихся серийно машин И-26, И-28 и И-180 после испытаний для массовой постройки должна была быть выбрана одна с лучшими летными данными. Также следовало поступить и с машинами, проходящими испытания, выбрав лучшую между И-200 и И-301. К концу мая, исходя из международной обстановки, были приняты решения Правительства о развертывании серийного выпуска истребителей И-26 (4, 16 и 29.5.40 г.), И-180 и И-200 (по обоим 25.5.40 г.). Принятые решения нужно было исполнять. В процессе испытательных полетов должны были определиться требования ВВС к конструкции и эксплуатации самолета, ВМГ, вооружения, оборудования, чтобы наметить программу работ по доводке машины промышленностью. НИИ с его штатом из 2023 военнослужащих и 894 вольнонаемных, с мощной экспериментальной и лабораторной базой нацеливался не только на своевременное и качественное проведение испытаний, но и оказание максимально возможной помощи ОКБ в доводке самолета до боеготового состояния. Последняя задача была не свойственной НИИ (поэтому возражало его руководство при принятии И-26), но того требовала обстановка. Истребитель И-28 В.П. Яценко приняли на государственные испытания вообще без проведения заводских. В дальнейшем, аналогично И-26 (с недоведенным вооружением, без полетов на штопор, пикирование и высший пилотаж) взяли на государственные испытания истребитель И-301" (12048).</w:t>
      </w:r>
    </w:p>
    <w:p w14:paraId="2F4552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7BD7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вышло постановление № 230сс КО Об изменении профиля строительства завода № 166</w:t>
      </w:r>
    </w:p>
    <w:p w14:paraId="56FD22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4833357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Разрешить Наркомавиапрому изменить профиль строительства завода № 166 с авиалыж на авиамоторы жидкостного охлаждения типа М-120.</w:t>
      </w:r>
    </w:p>
    <w:p w14:paraId="6F97315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мощность завода № 166 в 3000 моторов типа М-120 в год при двухсменной работе.</w:t>
      </w:r>
    </w:p>
    <w:p w14:paraId="164C639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Наркомавиапром закончить строительство завода № 166 со сроком пуска первой очереди мощностью на 1000 штук моторов в IV квартале 1941 года и второй очереди с вводом полной мощности 3000 моторов в год в III квартале 1942 года.</w:t>
      </w:r>
    </w:p>
    <w:p w14:paraId="0B949B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…………………………….(7595, 95-96).</w:t>
      </w:r>
    </w:p>
    <w:p w14:paraId="5F2BBC6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E8B7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постановлением КО за № 235сс самолет И-28 М-88 с серийного производства снят (7709, 453).</w:t>
      </w:r>
    </w:p>
    <w:p w14:paraId="19DB616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33B7E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 был выполнен первый полет экспериментального "складного истребителя" ИС конструкции В.В.Шевченко (6395).</w:t>
      </w:r>
    </w:p>
    <w:p w14:paraId="2B2307D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3C1A9EF"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29 мая 1940 г. первый полет на самолете ИС выполнил летчик-испытатель ЛИИ Кулешов. Видимо, он не совершал рекомендованных подлетов или провел их по очень короткой программе. Взлет, полет по кругу и посадка прошли без замечаний. Уборка шасси и нижнего крыла в этом полете не проводились.   В дальнейшем ведущим летчиком на ЗИ самолета ИС был назначен Г.М. Шиянов, также участвовал летчик-инженер Гринчик, а летчиком облета был С.П. Супрун (23125).</w:t>
      </w:r>
    </w:p>
    <w:p w14:paraId="57A103C0" w14:textId="77777777" w:rsidR="006217E3" w:rsidRPr="00DB5D0D" w:rsidRDefault="006217E3" w:rsidP="00DB5D0D">
      <w:pPr>
        <w:spacing w:after="0" w:line="240" w:lineRule="auto"/>
        <w:jc w:val="both"/>
        <w:rPr>
          <w:rFonts w:ascii="Times New Roman" w:hAnsi="Times New Roman"/>
          <w:color w:val="0070C0"/>
          <w:sz w:val="16"/>
          <w:szCs w:val="16"/>
        </w:rPr>
      </w:pPr>
    </w:p>
    <w:p w14:paraId="79EF89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состоялся первый полет ИС В.В.Шевченко и В.В.Никитина (237,191). Летал Кулешов (675,467). Крыло и шасси - не убирал (1029,12). Это была машина с М-63 и в этот день начались заводские испытания (2090,133).</w:t>
      </w:r>
    </w:p>
    <w:p w14:paraId="75869C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ИС шли до 7 июня 1941 и выполнили 40 полетов. Вед. л был Г.М.Шиянов, л облета - С.П.Супрун, а и - Ф.И.Ежов (1204,97).</w:t>
      </w:r>
    </w:p>
    <w:p w14:paraId="482D92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заводские испытания начались 14 мая 1940 (2090,147).</w:t>
      </w:r>
    </w:p>
    <w:p w14:paraId="175AB39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A84E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экспериментальный самолет ИС-1 М-63 конструкции майора Шевченко поступил для проведения летных испытаний в 8-ю лабораторию ЦАГИ.</w:t>
      </w:r>
    </w:p>
    <w:p w14:paraId="0CEA52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самолет произвел 21 полет с общей продолжительностью 6 часов 30 минут. Уборка крыла в полете производилась 10 раз. Полеты в основном были доводочные и летные характеристики еще не снимались.</w:t>
      </w:r>
    </w:p>
    <w:p w14:paraId="147AC3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ИС-1 превращается из биплана в моноплан, путем подтягивания нижнего крыла к верхнему и к бортам фюзеляжа. Одновременно с подтягиванием нижнего крыла производится уборка шасси. Схема самолета является оригинальной и по замыслу должна сочетать в себе маневренные свойства биплана с высокоскоростным – моноплан.</w:t>
      </w:r>
    </w:p>
    <w:p w14:paraId="44B0BA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Данный самолет был построен в основном для проверки работы механизма уборки крыла.</w:t>
      </w:r>
    </w:p>
    <w:p w14:paraId="4AFB42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процессе летных испытаний выявлено, что уборка крыла и шасси происходит плавно и надежно в течении 6-7 секунд, при этом самолет набирает скорость. При уборке и выпуске самолет сохраняет устойчивый полет и по отзывам летчиков уборку и выпуск крыла можно уподобить уборке и выпуску шасси на обычной машине. Отличие лишь в значительно большем перепаде скоростей.</w:t>
      </w:r>
    </w:p>
    <w:p w14:paraId="2427CF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технике пилотирования на рулежке, взлете, наборе высоты, горизонтальном полете, виражах, планировании и посадке самолет прост.</w:t>
      </w:r>
    </w:p>
    <w:p w14:paraId="26422A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самолета в варианте биплана доводилась до 300 км/час по прибору, а в варианте моноплана до 460 км/час при этом вибраций типа флаттера не наблюдалось.</w:t>
      </w:r>
    </w:p>
    <w:p w14:paraId="535472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Продольная и поперечная устойчивость самолета в варианте биплана достаточна, путевая близка к нейтральной.</w:t>
      </w:r>
    </w:p>
    <w:p w14:paraId="69A8D0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самолета в продольном и поперечном отношении при варианте моноплана значительно улучшается.</w:t>
      </w:r>
    </w:p>
    <w:p w14:paraId="0C499A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Существенным недостатком данного самолета является: недоработанность в аэродинамическом отношении конструкции биплана, следствием чего имеют место вибрации типа бафтинг на режимах полета до скорости 230 км/час по прибору, особенно усиливающихся на виражах с креном 60-70 градусов.</w:t>
      </w:r>
    </w:p>
    <w:p w14:paraId="7EC211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Вследствие недостаточно хорошей аэродинамики биплана его маневренные свойства почти такие же как и у самолета в варианте моноплана, а также он имеет незначительную скороподъемность и недостаточный обзор из кабины пилота.</w:t>
      </w:r>
    </w:p>
    <w:p w14:paraId="762D5C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анализа результатов кратких летных испытаний данного самолета можно заключить, что данный самолет является удачной конструкцией решения вопроса об изменении площади крыла в полете и в случае улучшения аэродинамических качеств биплана и моноплана может привести к созданию маневренного и скоростного истребителя (4189,172-183).</w:t>
      </w:r>
    </w:p>
    <w:p w14:paraId="453A442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5521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В.Ф. Кули</w:t>
      </w:r>
      <w:r w:rsidRPr="00DB5D0D">
        <w:rPr>
          <w:rFonts w:ascii="Times New Roman" w:hAnsi="Times New Roman"/>
          <w:color w:val="000000" w:themeColor="text1"/>
          <w:sz w:val="16"/>
          <w:szCs w:val="16"/>
        </w:rPr>
        <w:softHyphen/>
        <w:t>ков облетал ИС. 21 июня Г.М. Шиянов впервые убрал шасси и нижнее крыло (10745,40).</w:t>
      </w:r>
    </w:p>
    <w:p w14:paraId="47EE22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5BC3A99" w14:textId="77777777" w:rsidR="00C20C91" w:rsidRPr="00DB5D0D" w:rsidRDefault="00C20C9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29 мая</w:t>
      </w:r>
      <w:r w:rsidRPr="00DB5D0D">
        <w:rPr>
          <w:rFonts w:ascii="Times New Roman" w:hAnsi="Times New Roman"/>
          <w:color w:val="000000" w:themeColor="text1"/>
          <w:sz w:val="16"/>
          <w:szCs w:val="16"/>
        </w:rPr>
        <w:t xml:space="preserve"> в 1940 году первый полет экспериментального "складного истребителя" </w:t>
      </w:r>
      <w:hyperlink r:id="rId61" w:tgtFrame="_blank" w:history="1">
        <w:r w:rsidRPr="00DB5D0D">
          <w:rPr>
            <w:rFonts w:ascii="Times New Roman" w:hAnsi="Times New Roman"/>
            <w:color w:val="000000" w:themeColor="text1"/>
            <w:sz w:val="16"/>
            <w:szCs w:val="16"/>
          </w:rPr>
          <w:t xml:space="preserve">«ИС» </w:t>
        </w:r>
      </w:hyperlink>
      <w:r w:rsidRPr="00DB5D0D">
        <w:rPr>
          <w:rFonts w:ascii="Times New Roman" w:hAnsi="Times New Roman"/>
          <w:color w:val="000000" w:themeColor="text1"/>
          <w:sz w:val="16"/>
          <w:szCs w:val="16"/>
        </w:rPr>
        <w:t>конструкции В.В.Шевченко и В.В.Никитина. Первый полет произвел летчик-испытатель Василий Кулешов. Затем он совершил еще пять полетов. Вопреки опасениям самолет вел себя безукоризненно. Правда, крыло, и шасси Кулешов не убирал. Впервые сделал этот "смертельный трюк" легендарный летчик-испытатель Георгий Шиянов 21 июня 1940 г. Самолет и здесь показал отличные результаты. В заключительном отчете от 9 января 1941 г. Шиянов писал: "Оборудование кабины «ИС-1» аналогично самолетам «И-153», «И-16». Приборы расположены удобно. Органы управления мотором, самолетом и вооружением расположены целесообразно. Посадка в кабине удобная, но обзор для руления имеет слишком узкий сектор. На взлете самолет легко отрывается и не боится боковика. Возможен взлет с подрывом. На больших углах атаки тенденций к сваливанию нет. Наивыгоднейшая скорость набора - 200-210 км/ч. На скорости набора 240 км/ч наблюдается небольшая вибрация хвостового оперения типа бафтинг (14906).</w:t>
      </w:r>
    </w:p>
    <w:p w14:paraId="7120CFE7" w14:textId="77777777" w:rsidR="00C20C91" w:rsidRPr="00DB5D0D" w:rsidRDefault="00C20C91" w:rsidP="00DB5D0D">
      <w:pPr>
        <w:spacing w:after="0" w:line="240" w:lineRule="auto"/>
        <w:jc w:val="both"/>
        <w:rPr>
          <w:rFonts w:ascii="Times New Roman" w:hAnsi="Times New Roman"/>
          <w:color w:val="000000" w:themeColor="text1"/>
          <w:sz w:val="16"/>
          <w:szCs w:val="16"/>
        </w:rPr>
      </w:pPr>
    </w:p>
    <w:p w14:paraId="12D4C655" w14:textId="77777777" w:rsidR="00C20C91" w:rsidRPr="00DB5D0D" w:rsidRDefault="00C20C9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 первый полет на ИС-1 произвел летчик-испытатель Василий Кулешов. Затем он совершил еще пять полетов. Вопреки опасениям самолет вел себя безукоризненно. Правда, крыло, и шасси Кулешов не убирал. Впервые сделал этот "смертельный трюк" легендарный летчик-испытатель Георгий Шиянов 21 июня 1940 г. Самолет и здесь показал отличные результаты. В заключительном отчете от 9 января 1941 г. Шиянов писал: "Оборудование кабины ИС-1 аналогично самолетам И-153, И-16. Приборы расположены удобно. Органы управления мотором, самолетом и вооружением расположены целесообразно. Посадка в кабине удобная, но обзор для руления имеет слишком узкий сектор. На взлете самолет легко отрывается и не боится боковика. Возможен взлет с подрывом. На больших углах атаки тенденций к сваливанию нет. Наивыгоднейшая скорость набора - 200-210 км/ч. На скорости набора 240 км/ч наблюдается небольшая вибрация хвостового оперения типа бафтинг.</w:t>
      </w:r>
    </w:p>
    <w:p w14:paraId="07C976A3" w14:textId="77777777" w:rsidR="00C20C91" w:rsidRPr="00DB5D0D" w:rsidRDefault="00C20C9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прост в пилотировании и "плотно сидит" в воздухе. Проявляется незначительное потряхивание хвоста на малых скоростях. Виражит устойчиво, но чувствуется недостаточная мощность мотора. Обзор в воздухе вперед также недостаточен. По прибору доводил скорость до 300 км/ч на высоте 2000 м. Планирует ИС-1 устойчиво, допускает планирование с брошенными рулями. Подвод к земле на посадке на скорости 190 км/ч. Но обзор для посадки недостаточен. Пробег очень устойчив. Производил посадку с боковым ветром до 45° и силой 10 м/сек. Никаких сомнений самолет не вызывает". В облете уникальной машины принял участие и знаменитый летчик С. Супрун. В его умелых руках истребитель ИС-1 продемонстрировал свою стремительность и высокую маневренность. Крыло и шасси Степан убрал сразу же после взлета, чем буквально поразил присутствующих летчиков и конструкторов. В своем заключении по испытаниям ИС-1 Супрун записал: "На рулежке обзор вперед недостаточен. Взлет простой. Амортизация шасси нормальная. При переходе в угол набора самолет слегка потряхивает, что не опасно. Механизм уборки крыльев и шасси расположен очень удобно и просто. Крыло и шасси убираются легко, поведение самолета в этот момент нормальное, просадки нет. Самолет послушен в пилотировании. Вираж и боевой разворот выполняет очень хорошо. Можно делать вираж с креном 70° на скорости 300 км/ч. Вывод из боевого разворота на скорости 220 км/ч. Отбалансированный самолет хорошо летит с брошенной ручкой. Поперечная и продольная устойчивость самолета очень хорошие. При выпуске крыла и шасси поведение самолета нормальное. Посадка проста". Эти оценки нового самолета подтверждает также и третий участник облета талантливый инженер-летчик Алексей Гринчик: "ИС-1 в варианте моноплана очень приятен в полете и устойчиво ведет себя в воздухе" (15550).</w:t>
      </w:r>
    </w:p>
    <w:p w14:paraId="56D8F0D4" w14:textId="77777777" w:rsidR="00C20C91" w:rsidRPr="00DB5D0D" w:rsidRDefault="00C20C91" w:rsidP="00DB5D0D">
      <w:pPr>
        <w:spacing w:after="0" w:line="240" w:lineRule="auto"/>
        <w:jc w:val="both"/>
        <w:rPr>
          <w:rFonts w:ascii="Times New Roman" w:hAnsi="Times New Roman"/>
          <w:color w:val="000000" w:themeColor="text1"/>
          <w:sz w:val="16"/>
          <w:szCs w:val="16"/>
        </w:rPr>
      </w:pPr>
    </w:p>
    <w:p w14:paraId="5B9BD5E6"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29 мая 1940 состоялся первый вылет ИС-1 на аэродроме ЦАГИ в Раменское (лётчик В.Ф. Кулешов). В облёте самолёта участвовали также Г.М. Шиянов (вскоре его назначили ведущим испытателем по ИС-1), С.П. Супрун, А.Н. Гринчик.</w:t>
      </w:r>
    </w:p>
    <w:p w14:paraId="0469AD14"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В первых полётах досаждали вибрации хвостового оперения, наблюдалась нехватка путевой и продольной устойчивости. В конце июня испытания прекратили и занялись доработкой хвостового оперения — была увеличена его площадь, усилена конструкция. Устойчивость улучшилась, вибрации стали слабее, но полностью избавиться от них не удалось.</w:t>
      </w:r>
    </w:p>
    <w:p w14:paraId="6521878B"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12 октября полёты возобновили. 26 октября Г.М. Шиянов провёл главное испытание — убрал в полёте нижнее крыло. Он сделал это дважды, а на следующий день повторил эксперимент. Шевченко докладывал наркому авиапромышленности Шахурину: «Самолёт „ИС“ ОКБ № 30 после предварительных испытаний в биплане и ряда доводок в связи с этими испытаниями был впервые 26/Х-40 г. превращен в воздухе лётчиком-испытателем ЦАГИ тов. Шияновым в моноплан. Превращения самолёта из биплана в моноплан как в первый раз, так и в дальнейшем прошли отлично. Все механизмы работали безотказно, нагрузки на механизмы и масляно-пневматическую систему совпадают точно с нашими расчетами» </w:t>
      </w:r>
      <w:hyperlink r:id="rId62" w:history="1">
        <w:r w:rsidRPr="00DB5D0D">
          <w:rPr>
            <w:rFonts w:ascii="Times New Roman" w:eastAsia="Times New Roman" w:hAnsi="Times New Roman"/>
            <w:color w:val="000000" w:themeColor="text1"/>
            <w:sz w:val="16"/>
            <w:szCs w:val="16"/>
            <w:lang w:eastAsia="ru-RU"/>
          </w:rPr>
          <w:t>[307]</w:t>
        </w:r>
      </w:hyperlink>
      <w:r w:rsidRPr="00DB5D0D">
        <w:rPr>
          <w:rFonts w:ascii="Times New Roman" w:eastAsia="Times New Roman" w:hAnsi="Times New Roman"/>
          <w:color w:val="000000" w:themeColor="text1"/>
          <w:sz w:val="16"/>
          <w:szCs w:val="16"/>
          <w:lang w:eastAsia="ru-RU"/>
        </w:rPr>
        <w:t xml:space="preserve"> .</w:t>
      </w:r>
    </w:p>
    <w:p w14:paraId="5259D0F0"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Но возникла новая проблема: перегревалось масло в двигателе. После безуспешных попыток исправить этот дефект в январе 1941 г. решили заменить двигатель на другой, М-62. В результате самолёт простоял на земле почти пять месяцев, полёты возобновились только 7 мая. Во избежание неприятностей с температурным режимом поставили дополнительный маслорадиатор. Последний вылет ИС-1 состоялся 7 июня 1941 г. (17489).</w:t>
      </w:r>
    </w:p>
    <w:p w14:paraId="5AB1612D"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p>
    <w:p w14:paraId="61E9DA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Н.Н.Поликарпов направил письмо главному конструктору комбината № 150 Жданову (г. Ступино Московской области) с просьбой спроекти</w:t>
      </w:r>
      <w:r w:rsidRPr="00DB5D0D">
        <w:rPr>
          <w:rFonts w:ascii="Times New Roman" w:hAnsi="Times New Roman"/>
          <w:color w:val="000000" w:themeColor="text1"/>
          <w:sz w:val="16"/>
          <w:szCs w:val="16"/>
        </w:rPr>
        <w:softHyphen/>
        <w:t>ровать и изготовить новый винт диаметром 3 м для са</w:t>
      </w:r>
      <w:r w:rsidRPr="00DB5D0D">
        <w:rPr>
          <w:rFonts w:ascii="Times New Roman" w:hAnsi="Times New Roman"/>
          <w:color w:val="000000" w:themeColor="text1"/>
          <w:sz w:val="16"/>
          <w:szCs w:val="16"/>
        </w:rPr>
        <w:softHyphen/>
        <w:t>молета И-180 для редукторного мотора М-88 с двух-скоростным нагнетателем под расчетную максималь</w:t>
      </w:r>
      <w:r w:rsidRPr="00DB5D0D">
        <w:rPr>
          <w:rFonts w:ascii="Times New Roman" w:hAnsi="Times New Roman"/>
          <w:color w:val="000000" w:themeColor="text1"/>
          <w:sz w:val="16"/>
          <w:szCs w:val="16"/>
        </w:rPr>
        <w:softHyphen/>
        <w:t>ную скорость 590-600 км/ч (10667).</w:t>
      </w:r>
    </w:p>
    <w:p w14:paraId="6381BA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CF39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Ворошилов писал письмо N 4934/5КО Шахурину:</w:t>
      </w:r>
    </w:p>
    <w:p w14:paraId="62D005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удовлетворил Вашу просьбу о перенесении срока гос. испытаний самолета конструкции Бисноват на июнь 1940 г. (3395,117).</w:t>
      </w:r>
    </w:p>
    <w:p w14:paraId="616272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8C7C9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Пред. КО К.Е.В. писал письмо</w:t>
      </w:r>
    </w:p>
    <w:p w14:paraId="43801E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 тов. Шахурину А.И.</w:t>
      </w:r>
    </w:p>
    <w:p w14:paraId="251079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Копия: ГЛАВНЫЙ КОНТРОЛЬ К.О. - тов. НОВИКОВУ А.С.</w:t>
      </w:r>
    </w:p>
    <w:p w14:paraId="041FA4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Комитет Обороны при СНК Совза ССР удовлетво</w:t>
      </w:r>
      <w:r w:rsidRPr="00DB5D0D">
        <w:rPr>
          <w:rFonts w:ascii="Times New Roman" w:hAnsi="Times New Roman"/>
          <w:color w:val="000000" w:themeColor="text1"/>
          <w:sz w:val="16"/>
          <w:szCs w:val="16"/>
        </w:rPr>
        <w:softHyphen/>
        <w:t>рил Вашу просьбу о перенесении срока госиспыта</w:t>
      </w:r>
      <w:r w:rsidRPr="00DB5D0D">
        <w:rPr>
          <w:rFonts w:ascii="Times New Roman" w:hAnsi="Times New Roman"/>
          <w:color w:val="000000" w:themeColor="text1"/>
          <w:sz w:val="16"/>
          <w:szCs w:val="16"/>
        </w:rPr>
        <w:softHyphen/>
        <w:t>ний самолета конструкции тов. Бисноват на июнь месяц с/г. (10683,1).</w:t>
      </w:r>
    </w:p>
    <w:p w14:paraId="4CEEB4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C7C4D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в ходе заводских испытаний И-200 А.И.М, которые проходили с 31 марта по 17 августа 1940, на И-200-1 были полеты на взлет-посадки и был выполнен полет на замер расходов горючего (2988).</w:t>
      </w:r>
    </w:p>
    <w:p w14:paraId="47AD582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1B0B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 Начальник ВВС командарм 2-го ранга Я. В. Смушкевич в своем письме наркому А. И. Шахури-ну писал: «Вопрос об ОКО-6 специально обсудить, устойчивость проверить: рисковано решать о пуске в серию. Тем не менее ВВС он крайне необходим» (9649).</w:t>
      </w:r>
    </w:p>
    <w:p w14:paraId="0887F29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2719A3D" w14:textId="77777777" w:rsidR="00C20C91" w:rsidRPr="00DB5D0D" w:rsidRDefault="00C20C9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 Я.В. Смушкевич в своем письме наркому А.И. Шахурину писал: «Воп</w:t>
      </w:r>
      <w:r w:rsidRPr="00DB5D0D">
        <w:rPr>
          <w:rFonts w:ascii="Times New Roman" w:hAnsi="Times New Roman"/>
          <w:color w:val="000000" w:themeColor="text1"/>
          <w:sz w:val="16"/>
          <w:szCs w:val="16"/>
        </w:rPr>
        <w:softHyphen/>
        <w:t>рос об ОКО-6 специально обсудить, устойчивость проверить: рискованно решать о пуске в серию. Тем не менее, ВВС он крайне необходим» (15828).</w:t>
      </w:r>
    </w:p>
    <w:p w14:paraId="3B36EFC6" w14:textId="77777777" w:rsidR="00C20C91" w:rsidRPr="00DB5D0D" w:rsidRDefault="00C20C91" w:rsidP="00DB5D0D">
      <w:pPr>
        <w:spacing w:after="0" w:line="240" w:lineRule="auto"/>
        <w:jc w:val="both"/>
        <w:rPr>
          <w:rFonts w:ascii="Times New Roman" w:hAnsi="Times New Roman"/>
          <w:color w:val="000000" w:themeColor="text1"/>
          <w:sz w:val="16"/>
          <w:szCs w:val="16"/>
        </w:rPr>
      </w:pPr>
    </w:p>
    <w:p w14:paraId="4599620F" w14:textId="77777777" w:rsidR="00C20C91" w:rsidRPr="00DB5D0D" w:rsidRDefault="00C20C91" w:rsidP="00DB5D0D">
      <w:pPr>
        <w:pStyle w:val="a3"/>
        <w:rPr>
          <w:color w:val="000000" w:themeColor="text1"/>
          <w:lang w:val="ru-RU"/>
        </w:rPr>
      </w:pPr>
      <w:r w:rsidRPr="00DB5D0D">
        <w:rPr>
          <w:color w:val="000000" w:themeColor="text1"/>
          <w:lang w:val="ru-RU"/>
        </w:rPr>
        <w:t>29 мая 1940 г. Постановлением КО при СНК СССР № 235 и последовавшим 4 июня приказом НКАП № 263 заводу № 292 в очередной, пятый раз, поменяли задание на 1940 г. Теперь было решено прекратить производство самолётов Яценко и развернуть серийный выпуск истребителей И-26. В 1940 г. заводу № 292 предписывалось изготовить 100 самолётов конструкции А.С. Яковлева. Что касается задела по И-28, то заводу разрешалось завершить сборку 10 самолётов, а НКО предписывалось принять их в существующем виде, то есть без каких-либо переделок.</w:t>
      </w:r>
    </w:p>
    <w:p w14:paraId="2853BF34" w14:textId="77777777" w:rsidR="00C20C91" w:rsidRPr="00DB5D0D" w:rsidRDefault="00C20C91" w:rsidP="00DB5D0D">
      <w:pPr>
        <w:pStyle w:val="a3"/>
        <w:rPr>
          <w:color w:val="000000" w:themeColor="text1"/>
          <w:lang w:val="ru-RU"/>
        </w:rPr>
      </w:pPr>
      <w:r w:rsidRPr="00DB5D0D">
        <w:rPr>
          <w:color w:val="000000" w:themeColor="text1"/>
          <w:lang w:val="ru-RU"/>
        </w:rPr>
        <w:t>Десять выпущенных истребителей И-28 так и остались не у дел. Первоначально с разре</w:t>
      </w:r>
      <w:r w:rsidRPr="00DB5D0D">
        <w:rPr>
          <w:color w:val="000000" w:themeColor="text1"/>
          <w:lang w:val="ru-RU"/>
        </w:rPr>
        <w:softHyphen/>
        <w:t>шения Правительства их передали ВВС КА, но вскоре последовало распоряжение НКО о возврате машин обратно на завод № 292. После переписки между НКАП, ВВС КА и НКО осенью 1940 г. было принято решение использовать изготовленные И-28 в качестве учебных пособий в авиационных учебных заведениях. Убытки, понесённые заводом № 292 в связи с прекращением выпуска И-28, составили 23,156 млн. руб. В тоже время опыт, накопленный во время его освоения в производстве, сыграл роль при запуске в серию истребителя И-26. По сути, на машине В.П. Яценко завод «Саркомбайн» учился выпуску скоростных истребителей. Между тем Владимир Панфилович пытался добиться продолжения работ по серийному выпуску И-28 (15837).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736"/>
        <w:gridCol w:w="2011"/>
        <w:gridCol w:w="2237"/>
      </w:tblGrid>
      <w:tr w:rsidR="007D5DF8" w:rsidRPr="00DB5D0D" w14:paraId="55F237DB" w14:textId="77777777" w:rsidTr="0038388D">
        <w:trPr>
          <w:trHeight w:val="278"/>
        </w:trPr>
        <w:tc>
          <w:tcPr>
            <w:tcW w:w="2736" w:type="dxa"/>
            <w:shd w:val="clear" w:color="auto" w:fill="FFFFFF"/>
          </w:tcPr>
          <w:p w14:paraId="2FDAFAFE" w14:textId="77777777" w:rsidR="00C20C91" w:rsidRPr="00DB5D0D" w:rsidRDefault="00C20C91" w:rsidP="00DB5D0D">
            <w:pPr>
              <w:pStyle w:val="90"/>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Модель</w:t>
            </w:r>
          </w:p>
        </w:tc>
        <w:tc>
          <w:tcPr>
            <w:tcW w:w="2011" w:type="dxa"/>
            <w:shd w:val="clear" w:color="auto" w:fill="FFFFFF"/>
          </w:tcPr>
          <w:p w14:paraId="7EDBB896" w14:textId="77777777" w:rsidR="00C20C91" w:rsidRPr="00DB5D0D" w:rsidRDefault="00C20C91" w:rsidP="00DB5D0D">
            <w:pPr>
              <w:pStyle w:val="90"/>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И-28 М-88</w:t>
            </w:r>
          </w:p>
        </w:tc>
        <w:tc>
          <w:tcPr>
            <w:tcW w:w="2237" w:type="dxa"/>
            <w:shd w:val="clear" w:color="auto" w:fill="FFFFFF"/>
          </w:tcPr>
          <w:p w14:paraId="4E455C49" w14:textId="77777777" w:rsidR="00C20C91" w:rsidRPr="00DB5D0D" w:rsidRDefault="00C20C91" w:rsidP="00DB5D0D">
            <w:pPr>
              <w:pStyle w:val="90"/>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И-26-3</w:t>
            </w:r>
          </w:p>
        </w:tc>
      </w:tr>
      <w:tr w:rsidR="007D5DF8" w:rsidRPr="00DB5D0D" w14:paraId="5D028730" w14:textId="77777777" w:rsidTr="0038388D">
        <w:trPr>
          <w:trHeight w:val="259"/>
        </w:trPr>
        <w:tc>
          <w:tcPr>
            <w:tcW w:w="2736" w:type="dxa"/>
            <w:shd w:val="clear" w:color="auto" w:fill="FFFFFF"/>
          </w:tcPr>
          <w:p w14:paraId="4855B682" w14:textId="77777777" w:rsidR="00C20C91" w:rsidRPr="00DB5D0D" w:rsidRDefault="00C20C91" w:rsidP="00DB5D0D">
            <w:pPr>
              <w:pStyle w:val="a3"/>
              <w:rPr>
                <w:color w:val="000000" w:themeColor="text1"/>
              </w:rPr>
            </w:pPr>
            <w:r w:rsidRPr="00DB5D0D">
              <w:rPr>
                <w:color w:val="000000" w:themeColor="text1"/>
              </w:rPr>
              <w:t>Двигатель</w:t>
            </w:r>
          </w:p>
        </w:tc>
        <w:tc>
          <w:tcPr>
            <w:tcW w:w="2011" w:type="dxa"/>
            <w:shd w:val="clear" w:color="auto" w:fill="FFFFFF"/>
          </w:tcPr>
          <w:p w14:paraId="1B476CED" w14:textId="77777777" w:rsidR="00C20C91" w:rsidRPr="00DB5D0D" w:rsidRDefault="00C20C91" w:rsidP="00DB5D0D">
            <w:pPr>
              <w:pStyle w:val="a3"/>
              <w:rPr>
                <w:color w:val="000000" w:themeColor="text1"/>
              </w:rPr>
            </w:pPr>
            <w:r w:rsidRPr="00DB5D0D">
              <w:rPr>
                <w:color w:val="000000" w:themeColor="text1"/>
              </w:rPr>
              <w:t>М-88</w:t>
            </w:r>
          </w:p>
        </w:tc>
        <w:tc>
          <w:tcPr>
            <w:tcW w:w="2237" w:type="dxa"/>
            <w:shd w:val="clear" w:color="auto" w:fill="FFFFFF"/>
          </w:tcPr>
          <w:p w14:paraId="1E2A6F74" w14:textId="77777777" w:rsidR="00C20C91" w:rsidRPr="00DB5D0D" w:rsidRDefault="00C20C91" w:rsidP="00DB5D0D">
            <w:pPr>
              <w:pStyle w:val="a3"/>
              <w:rPr>
                <w:color w:val="000000" w:themeColor="text1"/>
              </w:rPr>
            </w:pPr>
            <w:r w:rsidRPr="00DB5D0D">
              <w:rPr>
                <w:color w:val="000000" w:themeColor="text1"/>
              </w:rPr>
              <w:t>М-105П</w:t>
            </w:r>
          </w:p>
        </w:tc>
      </w:tr>
      <w:tr w:rsidR="007D5DF8" w:rsidRPr="00DB5D0D" w14:paraId="4A7A883D" w14:textId="77777777" w:rsidTr="0038388D">
        <w:trPr>
          <w:trHeight w:val="259"/>
        </w:trPr>
        <w:tc>
          <w:tcPr>
            <w:tcW w:w="2736" w:type="dxa"/>
            <w:shd w:val="clear" w:color="auto" w:fill="FFFFFF"/>
          </w:tcPr>
          <w:p w14:paraId="4509124E" w14:textId="77777777" w:rsidR="00C20C91" w:rsidRPr="00DB5D0D" w:rsidRDefault="00C20C91" w:rsidP="00DB5D0D">
            <w:pPr>
              <w:pStyle w:val="a3"/>
              <w:rPr>
                <w:color w:val="000000" w:themeColor="text1"/>
              </w:rPr>
            </w:pPr>
            <w:r w:rsidRPr="00DB5D0D">
              <w:rPr>
                <w:color w:val="000000" w:themeColor="text1"/>
              </w:rPr>
              <w:t>Мощность, л.с.</w:t>
            </w:r>
          </w:p>
        </w:tc>
        <w:tc>
          <w:tcPr>
            <w:tcW w:w="2011" w:type="dxa"/>
            <w:shd w:val="clear" w:color="auto" w:fill="FFFFFF"/>
          </w:tcPr>
          <w:p w14:paraId="08101A53" w14:textId="77777777" w:rsidR="00C20C91" w:rsidRPr="00DB5D0D" w:rsidRDefault="00C20C91" w:rsidP="00DB5D0D">
            <w:pPr>
              <w:pStyle w:val="a3"/>
              <w:rPr>
                <w:color w:val="000000" w:themeColor="text1"/>
              </w:rPr>
            </w:pPr>
            <w:r w:rsidRPr="00DB5D0D">
              <w:rPr>
                <w:color w:val="000000" w:themeColor="text1"/>
              </w:rPr>
              <w:t>1000</w:t>
            </w:r>
          </w:p>
        </w:tc>
        <w:tc>
          <w:tcPr>
            <w:tcW w:w="2237" w:type="dxa"/>
            <w:shd w:val="clear" w:color="auto" w:fill="FFFFFF"/>
          </w:tcPr>
          <w:p w14:paraId="6CCE896A" w14:textId="77777777" w:rsidR="00C20C91" w:rsidRPr="00DB5D0D" w:rsidRDefault="00C20C91" w:rsidP="00DB5D0D">
            <w:pPr>
              <w:pStyle w:val="a3"/>
              <w:rPr>
                <w:color w:val="000000" w:themeColor="text1"/>
              </w:rPr>
            </w:pPr>
            <w:r w:rsidRPr="00DB5D0D">
              <w:rPr>
                <w:color w:val="000000" w:themeColor="text1"/>
              </w:rPr>
              <w:t>1100</w:t>
            </w:r>
          </w:p>
        </w:tc>
      </w:tr>
      <w:tr w:rsidR="007D5DF8" w:rsidRPr="00DB5D0D" w14:paraId="4D1C6D82" w14:textId="77777777" w:rsidTr="0038388D">
        <w:trPr>
          <w:trHeight w:val="259"/>
        </w:trPr>
        <w:tc>
          <w:tcPr>
            <w:tcW w:w="2736" w:type="dxa"/>
            <w:shd w:val="clear" w:color="auto" w:fill="FFFFFF"/>
          </w:tcPr>
          <w:p w14:paraId="59C9792E" w14:textId="77777777" w:rsidR="00C20C91" w:rsidRPr="00DB5D0D" w:rsidRDefault="00C20C91" w:rsidP="00DB5D0D">
            <w:pPr>
              <w:pStyle w:val="a3"/>
              <w:rPr>
                <w:color w:val="000000" w:themeColor="text1"/>
              </w:rPr>
            </w:pPr>
            <w:r w:rsidRPr="00DB5D0D">
              <w:rPr>
                <w:color w:val="000000" w:themeColor="text1"/>
              </w:rPr>
              <w:t>Взлётная масса, кг</w:t>
            </w:r>
          </w:p>
        </w:tc>
        <w:tc>
          <w:tcPr>
            <w:tcW w:w="2011" w:type="dxa"/>
            <w:shd w:val="clear" w:color="auto" w:fill="FFFFFF"/>
          </w:tcPr>
          <w:p w14:paraId="213ABE91" w14:textId="77777777" w:rsidR="00C20C91" w:rsidRPr="00DB5D0D" w:rsidRDefault="00C20C91" w:rsidP="00DB5D0D">
            <w:pPr>
              <w:pStyle w:val="a3"/>
              <w:rPr>
                <w:color w:val="000000" w:themeColor="text1"/>
              </w:rPr>
            </w:pPr>
            <w:r w:rsidRPr="00DB5D0D">
              <w:rPr>
                <w:color w:val="000000" w:themeColor="text1"/>
              </w:rPr>
              <w:t>2730</w:t>
            </w:r>
          </w:p>
        </w:tc>
        <w:tc>
          <w:tcPr>
            <w:tcW w:w="2237" w:type="dxa"/>
            <w:shd w:val="clear" w:color="auto" w:fill="FFFFFF"/>
          </w:tcPr>
          <w:p w14:paraId="65AD86E2" w14:textId="77777777" w:rsidR="00C20C91" w:rsidRPr="00DB5D0D" w:rsidRDefault="00C20C91" w:rsidP="00DB5D0D">
            <w:pPr>
              <w:pStyle w:val="a3"/>
              <w:rPr>
                <w:color w:val="000000" w:themeColor="text1"/>
              </w:rPr>
            </w:pPr>
            <w:r w:rsidRPr="00DB5D0D">
              <w:rPr>
                <w:color w:val="000000" w:themeColor="text1"/>
              </w:rPr>
              <w:t>2803</w:t>
            </w:r>
          </w:p>
        </w:tc>
      </w:tr>
      <w:tr w:rsidR="007D5DF8" w:rsidRPr="00DB5D0D" w14:paraId="6D9C77B8" w14:textId="77777777" w:rsidTr="0038388D">
        <w:trPr>
          <w:trHeight w:val="259"/>
        </w:trPr>
        <w:tc>
          <w:tcPr>
            <w:tcW w:w="2736" w:type="dxa"/>
            <w:shd w:val="clear" w:color="auto" w:fill="FFFFFF"/>
          </w:tcPr>
          <w:p w14:paraId="56A1F329" w14:textId="77777777" w:rsidR="00C20C91" w:rsidRPr="00DB5D0D" w:rsidRDefault="00C20C91" w:rsidP="00DB5D0D">
            <w:pPr>
              <w:pStyle w:val="a3"/>
              <w:rPr>
                <w:color w:val="000000" w:themeColor="text1"/>
              </w:rPr>
            </w:pPr>
            <w:r w:rsidRPr="00DB5D0D">
              <w:rPr>
                <w:color w:val="000000" w:themeColor="text1"/>
              </w:rPr>
              <w:t>Площадь крыла, м</w:t>
            </w:r>
            <w:r w:rsidRPr="00DB5D0D">
              <w:rPr>
                <w:color w:val="000000" w:themeColor="text1"/>
                <w:vertAlign w:val="superscript"/>
              </w:rPr>
              <w:t>2</w:t>
            </w:r>
          </w:p>
        </w:tc>
        <w:tc>
          <w:tcPr>
            <w:tcW w:w="2011" w:type="dxa"/>
            <w:shd w:val="clear" w:color="auto" w:fill="FFFFFF"/>
          </w:tcPr>
          <w:p w14:paraId="1DFA4B0E" w14:textId="77777777" w:rsidR="00C20C91" w:rsidRPr="00DB5D0D" w:rsidRDefault="00C20C91" w:rsidP="00DB5D0D">
            <w:pPr>
              <w:pStyle w:val="a3"/>
              <w:rPr>
                <w:color w:val="000000" w:themeColor="text1"/>
              </w:rPr>
            </w:pPr>
            <w:r w:rsidRPr="00DB5D0D">
              <w:rPr>
                <w:color w:val="000000" w:themeColor="text1"/>
              </w:rPr>
              <w:t>16,5</w:t>
            </w:r>
          </w:p>
        </w:tc>
        <w:tc>
          <w:tcPr>
            <w:tcW w:w="2237" w:type="dxa"/>
            <w:shd w:val="clear" w:color="auto" w:fill="FFFFFF"/>
          </w:tcPr>
          <w:p w14:paraId="261E25CA" w14:textId="77777777" w:rsidR="00C20C91" w:rsidRPr="00DB5D0D" w:rsidRDefault="00C20C91" w:rsidP="00DB5D0D">
            <w:pPr>
              <w:pStyle w:val="a3"/>
              <w:rPr>
                <w:color w:val="000000" w:themeColor="text1"/>
              </w:rPr>
            </w:pPr>
            <w:r w:rsidRPr="00DB5D0D">
              <w:rPr>
                <w:color w:val="000000" w:themeColor="text1"/>
              </w:rPr>
              <w:t>17,15</w:t>
            </w:r>
          </w:p>
        </w:tc>
      </w:tr>
      <w:tr w:rsidR="007D5DF8" w:rsidRPr="00DB5D0D" w14:paraId="0DA04C77" w14:textId="77777777" w:rsidTr="0038388D">
        <w:trPr>
          <w:trHeight w:val="264"/>
        </w:trPr>
        <w:tc>
          <w:tcPr>
            <w:tcW w:w="2736" w:type="dxa"/>
            <w:shd w:val="clear" w:color="auto" w:fill="FFFFFF"/>
          </w:tcPr>
          <w:p w14:paraId="26A9B6AC" w14:textId="77777777" w:rsidR="00C20C91" w:rsidRPr="00DB5D0D" w:rsidRDefault="00C20C91" w:rsidP="00DB5D0D">
            <w:pPr>
              <w:pStyle w:val="a3"/>
              <w:rPr>
                <w:color w:val="000000" w:themeColor="text1"/>
              </w:rPr>
            </w:pPr>
            <w:r w:rsidRPr="00DB5D0D">
              <w:rPr>
                <w:color w:val="000000" w:themeColor="text1"/>
              </w:rPr>
              <w:t>Тяговоружённость, кг/л.с</w:t>
            </w:r>
          </w:p>
        </w:tc>
        <w:tc>
          <w:tcPr>
            <w:tcW w:w="2011" w:type="dxa"/>
            <w:shd w:val="clear" w:color="auto" w:fill="FFFFFF"/>
          </w:tcPr>
          <w:p w14:paraId="57D19C74" w14:textId="77777777" w:rsidR="00C20C91" w:rsidRPr="00DB5D0D" w:rsidRDefault="00C20C91" w:rsidP="00DB5D0D">
            <w:pPr>
              <w:pStyle w:val="a3"/>
              <w:rPr>
                <w:color w:val="000000" w:themeColor="text1"/>
              </w:rPr>
            </w:pPr>
            <w:r w:rsidRPr="00DB5D0D">
              <w:rPr>
                <w:color w:val="000000" w:themeColor="text1"/>
              </w:rPr>
              <w:t>2,73</w:t>
            </w:r>
          </w:p>
        </w:tc>
        <w:tc>
          <w:tcPr>
            <w:tcW w:w="2237" w:type="dxa"/>
            <w:shd w:val="clear" w:color="auto" w:fill="FFFFFF"/>
          </w:tcPr>
          <w:p w14:paraId="1F6C0248" w14:textId="77777777" w:rsidR="00C20C91" w:rsidRPr="00DB5D0D" w:rsidRDefault="00C20C91" w:rsidP="00DB5D0D">
            <w:pPr>
              <w:pStyle w:val="a3"/>
              <w:rPr>
                <w:color w:val="000000" w:themeColor="text1"/>
              </w:rPr>
            </w:pPr>
            <w:r w:rsidRPr="00DB5D0D">
              <w:rPr>
                <w:color w:val="000000" w:themeColor="text1"/>
              </w:rPr>
              <w:t>2,55</w:t>
            </w:r>
          </w:p>
        </w:tc>
      </w:tr>
      <w:tr w:rsidR="007D5DF8" w:rsidRPr="00DB5D0D" w14:paraId="5E6DC889" w14:textId="77777777" w:rsidTr="0038388D">
        <w:trPr>
          <w:trHeight w:val="259"/>
        </w:trPr>
        <w:tc>
          <w:tcPr>
            <w:tcW w:w="2736" w:type="dxa"/>
            <w:shd w:val="clear" w:color="auto" w:fill="FFFFFF"/>
          </w:tcPr>
          <w:p w14:paraId="59A22F92" w14:textId="77777777" w:rsidR="00C20C91" w:rsidRPr="00DB5D0D" w:rsidRDefault="00C20C91" w:rsidP="00DB5D0D">
            <w:pPr>
              <w:pStyle w:val="a3"/>
              <w:rPr>
                <w:color w:val="000000" w:themeColor="text1"/>
                <w:lang w:val="ru-RU"/>
              </w:rPr>
            </w:pPr>
            <w:r w:rsidRPr="00DB5D0D">
              <w:rPr>
                <w:color w:val="000000" w:themeColor="text1"/>
                <w:lang w:val="ru-RU"/>
              </w:rPr>
              <w:t>Нагрузка на крыло, кг/л.с.</w:t>
            </w:r>
          </w:p>
        </w:tc>
        <w:tc>
          <w:tcPr>
            <w:tcW w:w="2011" w:type="dxa"/>
            <w:shd w:val="clear" w:color="auto" w:fill="FFFFFF"/>
          </w:tcPr>
          <w:p w14:paraId="3E07D2AD" w14:textId="77777777" w:rsidR="00C20C91" w:rsidRPr="00DB5D0D" w:rsidRDefault="00C20C91" w:rsidP="00DB5D0D">
            <w:pPr>
              <w:pStyle w:val="a3"/>
              <w:rPr>
                <w:color w:val="000000" w:themeColor="text1"/>
              </w:rPr>
            </w:pPr>
            <w:r w:rsidRPr="00DB5D0D">
              <w:rPr>
                <w:color w:val="000000" w:themeColor="text1"/>
              </w:rPr>
              <w:t>165,5</w:t>
            </w:r>
          </w:p>
        </w:tc>
        <w:tc>
          <w:tcPr>
            <w:tcW w:w="2237" w:type="dxa"/>
            <w:shd w:val="clear" w:color="auto" w:fill="FFFFFF"/>
          </w:tcPr>
          <w:p w14:paraId="4D29FA22" w14:textId="77777777" w:rsidR="00C20C91" w:rsidRPr="00DB5D0D" w:rsidRDefault="00C20C91" w:rsidP="00DB5D0D">
            <w:pPr>
              <w:pStyle w:val="a3"/>
              <w:rPr>
                <w:color w:val="000000" w:themeColor="text1"/>
              </w:rPr>
            </w:pPr>
            <w:r w:rsidRPr="00DB5D0D">
              <w:rPr>
                <w:color w:val="000000" w:themeColor="text1"/>
              </w:rPr>
              <w:t>163,4</w:t>
            </w:r>
          </w:p>
        </w:tc>
      </w:tr>
      <w:tr w:rsidR="007D5DF8" w:rsidRPr="00DB5D0D" w14:paraId="18F1FD1B" w14:textId="77777777" w:rsidTr="0038388D">
        <w:trPr>
          <w:trHeight w:val="259"/>
        </w:trPr>
        <w:tc>
          <w:tcPr>
            <w:tcW w:w="2736" w:type="dxa"/>
            <w:shd w:val="clear" w:color="auto" w:fill="FFFFFF"/>
          </w:tcPr>
          <w:p w14:paraId="34B315F9" w14:textId="77777777" w:rsidR="00C20C91" w:rsidRPr="00DB5D0D" w:rsidRDefault="00C20C91" w:rsidP="00DB5D0D">
            <w:pPr>
              <w:pStyle w:val="a3"/>
              <w:rPr>
                <w:color w:val="000000" w:themeColor="text1"/>
              </w:rPr>
            </w:pPr>
            <w:r w:rsidRPr="00DB5D0D">
              <w:rPr>
                <w:color w:val="000000" w:themeColor="text1"/>
              </w:rPr>
              <w:t>Время виража, с</w:t>
            </w:r>
          </w:p>
        </w:tc>
        <w:tc>
          <w:tcPr>
            <w:tcW w:w="2011" w:type="dxa"/>
            <w:shd w:val="clear" w:color="auto" w:fill="FFFFFF"/>
          </w:tcPr>
          <w:p w14:paraId="555EC201" w14:textId="77777777" w:rsidR="00C20C91" w:rsidRPr="00DB5D0D" w:rsidRDefault="00C20C91" w:rsidP="00DB5D0D">
            <w:pPr>
              <w:pStyle w:val="a3"/>
              <w:rPr>
                <w:color w:val="000000" w:themeColor="text1"/>
              </w:rPr>
            </w:pPr>
            <w:r w:rsidRPr="00DB5D0D">
              <w:rPr>
                <w:color w:val="000000" w:themeColor="text1"/>
              </w:rPr>
              <w:t>26</w:t>
            </w:r>
          </w:p>
        </w:tc>
        <w:tc>
          <w:tcPr>
            <w:tcW w:w="2237" w:type="dxa"/>
            <w:shd w:val="clear" w:color="auto" w:fill="FFFFFF"/>
          </w:tcPr>
          <w:p w14:paraId="2F458452" w14:textId="77777777" w:rsidR="00C20C91" w:rsidRPr="00DB5D0D" w:rsidRDefault="00C20C91" w:rsidP="00DB5D0D">
            <w:pPr>
              <w:pStyle w:val="a3"/>
              <w:rPr>
                <w:color w:val="000000" w:themeColor="text1"/>
              </w:rPr>
            </w:pPr>
            <w:r w:rsidRPr="00DB5D0D">
              <w:rPr>
                <w:color w:val="000000" w:themeColor="text1"/>
              </w:rPr>
              <w:t>24</w:t>
            </w:r>
          </w:p>
        </w:tc>
      </w:tr>
      <w:tr w:rsidR="007D5DF8" w:rsidRPr="00DB5D0D" w14:paraId="17B18FAB" w14:textId="77777777" w:rsidTr="0038388D">
        <w:trPr>
          <w:trHeight w:val="259"/>
        </w:trPr>
        <w:tc>
          <w:tcPr>
            <w:tcW w:w="2736" w:type="dxa"/>
            <w:shd w:val="clear" w:color="auto" w:fill="FFFFFF"/>
          </w:tcPr>
          <w:p w14:paraId="1687BAF2" w14:textId="77777777" w:rsidR="00C20C91" w:rsidRPr="00DB5D0D" w:rsidRDefault="00C20C91" w:rsidP="00DB5D0D">
            <w:pPr>
              <w:pStyle w:val="a3"/>
              <w:rPr>
                <w:color w:val="000000" w:themeColor="text1"/>
                <w:lang w:val="ru-RU"/>
              </w:rPr>
            </w:pPr>
            <w:r w:rsidRPr="00DB5D0D">
              <w:rPr>
                <w:color w:val="000000" w:themeColor="text1"/>
                <w:lang w:val="ru-RU"/>
              </w:rPr>
              <w:t>Скорость на высоте, км/ч</w:t>
            </w:r>
          </w:p>
        </w:tc>
        <w:tc>
          <w:tcPr>
            <w:tcW w:w="2011" w:type="dxa"/>
            <w:shd w:val="clear" w:color="auto" w:fill="FFFFFF"/>
          </w:tcPr>
          <w:p w14:paraId="701B89FD" w14:textId="77777777" w:rsidR="00C20C91" w:rsidRPr="00DB5D0D" w:rsidRDefault="00C20C91" w:rsidP="00DB5D0D">
            <w:pPr>
              <w:pStyle w:val="a3"/>
              <w:rPr>
                <w:color w:val="000000" w:themeColor="text1"/>
              </w:rPr>
            </w:pPr>
            <w:r w:rsidRPr="00DB5D0D">
              <w:rPr>
                <w:color w:val="000000" w:themeColor="text1"/>
              </w:rPr>
              <w:t>566</w:t>
            </w:r>
          </w:p>
        </w:tc>
        <w:tc>
          <w:tcPr>
            <w:tcW w:w="2237" w:type="dxa"/>
            <w:shd w:val="clear" w:color="auto" w:fill="FFFFFF"/>
          </w:tcPr>
          <w:p w14:paraId="6B8991F7" w14:textId="77777777" w:rsidR="00C20C91" w:rsidRPr="00DB5D0D" w:rsidRDefault="00C20C91" w:rsidP="00DB5D0D">
            <w:pPr>
              <w:pStyle w:val="a3"/>
              <w:rPr>
                <w:color w:val="000000" w:themeColor="text1"/>
              </w:rPr>
            </w:pPr>
            <w:r w:rsidRPr="00DB5D0D">
              <w:rPr>
                <w:color w:val="000000" w:themeColor="text1"/>
              </w:rPr>
              <w:t>586</w:t>
            </w:r>
          </w:p>
        </w:tc>
      </w:tr>
      <w:tr w:rsidR="007D5DF8" w:rsidRPr="00DB5D0D" w14:paraId="784CB32F" w14:textId="77777777" w:rsidTr="0038388D">
        <w:trPr>
          <w:trHeight w:val="264"/>
        </w:trPr>
        <w:tc>
          <w:tcPr>
            <w:tcW w:w="2736" w:type="dxa"/>
            <w:shd w:val="clear" w:color="auto" w:fill="FFFFFF"/>
          </w:tcPr>
          <w:p w14:paraId="11E14BFF" w14:textId="77777777" w:rsidR="00C20C91" w:rsidRPr="00DB5D0D" w:rsidRDefault="00C20C91" w:rsidP="00DB5D0D">
            <w:pPr>
              <w:pStyle w:val="a3"/>
              <w:rPr>
                <w:color w:val="000000" w:themeColor="text1"/>
              </w:rPr>
            </w:pPr>
            <w:r w:rsidRPr="00DB5D0D">
              <w:rPr>
                <w:color w:val="000000" w:themeColor="text1"/>
              </w:rPr>
              <w:t>Вооружение</w:t>
            </w:r>
          </w:p>
        </w:tc>
        <w:tc>
          <w:tcPr>
            <w:tcW w:w="2011" w:type="dxa"/>
            <w:shd w:val="clear" w:color="auto" w:fill="FFFFFF"/>
          </w:tcPr>
          <w:p w14:paraId="0B2D23F2" w14:textId="77777777" w:rsidR="00C20C91" w:rsidRPr="00DB5D0D" w:rsidRDefault="00C20C91" w:rsidP="00DB5D0D">
            <w:pPr>
              <w:pStyle w:val="a3"/>
              <w:rPr>
                <w:color w:val="000000" w:themeColor="text1"/>
              </w:rPr>
            </w:pPr>
            <w:r w:rsidRPr="00DB5D0D">
              <w:rPr>
                <w:color w:val="000000" w:themeColor="text1"/>
              </w:rPr>
              <w:t>2x12,7мм, 2x7,62 мм</w:t>
            </w:r>
          </w:p>
        </w:tc>
        <w:tc>
          <w:tcPr>
            <w:tcW w:w="2237" w:type="dxa"/>
            <w:shd w:val="clear" w:color="auto" w:fill="FFFFFF"/>
          </w:tcPr>
          <w:p w14:paraId="5DC8B821" w14:textId="77777777" w:rsidR="00C20C91" w:rsidRPr="00DB5D0D" w:rsidRDefault="00C20C91" w:rsidP="00DB5D0D">
            <w:pPr>
              <w:pStyle w:val="a3"/>
              <w:rPr>
                <w:color w:val="000000" w:themeColor="text1"/>
              </w:rPr>
            </w:pPr>
            <w:r w:rsidRPr="00DB5D0D">
              <w:rPr>
                <w:color w:val="000000" w:themeColor="text1"/>
              </w:rPr>
              <w:t>1 х20мм, 4x7,62мм</w:t>
            </w:r>
          </w:p>
        </w:tc>
      </w:tr>
      <w:tr w:rsidR="007D5DF8" w:rsidRPr="00DB5D0D" w14:paraId="2E633B50" w14:textId="77777777" w:rsidTr="0038388D">
        <w:trPr>
          <w:trHeight w:val="254"/>
        </w:trPr>
        <w:tc>
          <w:tcPr>
            <w:tcW w:w="2736" w:type="dxa"/>
            <w:shd w:val="clear" w:color="auto" w:fill="FFFFFF"/>
          </w:tcPr>
          <w:p w14:paraId="3183132D" w14:textId="77777777" w:rsidR="00C20C91" w:rsidRPr="00DB5D0D" w:rsidRDefault="00C20C91" w:rsidP="00DB5D0D">
            <w:pPr>
              <w:pStyle w:val="a3"/>
              <w:rPr>
                <w:color w:val="000000" w:themeColor="text1"/>
              </w:rPr>
            </w:pPr>
            <w:r w:rsidRPr="00DB5D0D">
              <w:rPr>
                <w:color w:val="000000" w:themeColor="text1"/>
              </w:rPr>
              <w:t>Секундный залп, кг</w:t>
            </w:r>
          </w:p>
        </w:tc>
        <w:tc>
          <w:tcPr>
            <w:tcW w:w="2011" w:type="dxa"/>
            <w:shd w:val="clear" w:color="auto" w:fill="FFFFFF"/>
          </w:tcPr>
          <w:p w14:paraId="0C837DFE" w14:textId="77777777" w:rsidR="00C20C91" w:rsidRPr="00DB5D0D" w:rsidRDefault="00C20C91" w:rsidP="00DB5D0D">
            <w:pPr>
              <w:pStyle w:val="a3"/>
              <w:rPr>
                <w:color w:val="000000" w:themeColor="text1"/>
              </w:rPr>
            </w:pPr>
            <w:r w:rsidRPr="00DB5D0D">
              <w:rPr>
                <w:color w:val="000000" w:themeColor="text1"/>
              </w:rPr>
              <w:t>2,18</w:t>
            </w:r>
          </w:p>
        </w:tc>
        <w:tc>
          <w:tcPr>
            <w:tcW w:w="2237" w:type="dxa"/>
            <w:shd w:val="clear" w:color="auto" w:fill="FFFFFF"/>
          </w:tcPr>
          <w:p w14:paraId="2B85282E" w14:textId="77777777" w:rsidR="00C20C91" w:rsidRPr="00DB5D0D" w:rsidRDefault="00C20C91" w:rsidP="00DB5D0D">
            <w:pPr>
              <w:pStyle w:val="a3"/>
              <w:rPr>
                <w:color w:val="000000" w:themeColor="text1"/>
              </w:rPr>
            </w:pPr>
            <w:r w:rsidRPr="00DB5D0D">
              <w:rPr>
                <w:color w:val="000000" w:themeColor="text1"/>
              </w:rPr>
              <w:t>2,43</w:t>
            </w:r>
          </w:p>
        </w:tc>
      </w:tr>
    </w:tbl>
    <w:p w14:paraId="2FE7344B" w14:textId="77777777" w:rsidR="00C20C91" w:rsidRPr="00DB5D0D" w:rsidRDefault="00C20C91" w:rsidP="00DB5D0D">
      <w:pPr>
        <w:pStyle w:val="a3"/>
        <w:rPr>
          <w:color w:val="000000" w:themeColor="text1"/>
        </w:rPr>
      </w:pPr>
      <w:r w:rsidRPr="00DB5D0D">
        <w:rPr>
          <w:color w:val="000000" w:themeColor="text1"/>
        </w:rPr>
        <w:t>(15837).</w:t>
      </w:r>
    </w:p>
    <w:p w14:paraId="53CDFEFB" w14:textId="77777777" w:rsidR="00C20C91" w:rsidRPr="00DB5D0D" w:rsidRDefault="00C20C91" w:rsidP="00DB5D0D">
      <w:pPr>
        <w:pStyle w:val="a3"/>
        <w:rPr>
          <w:color w:val="000000" w:themeColor="text1"/>
        </w:rPr>
      </w:pPr>
    </w:p>
    <w:p w14:paraId="20BBC5F1" w14:textId="77777777" w:rsidR="00F104A1" w:rsidRPr="00DB5D0D" w:rsidRDefault="00F104A1"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29 мая 1940 г. Постановлением КО при СНК СССР №255 и последовавшим 4 июня приказом НКАП №265 было принято решение о развертывании на авиазаводе №292 серийного производства истребителей И-26 и о прекращении выпуска машины В.П. Яценко. Заводу №292 предписывалось уже в 1940 г. изготовить первые 100 самолетов конструкции А.С. Яковлева. Что касается задела по И-28, то заводу разрешалось завершить сборку 10 самолетов, а НКО предписывалось принять их в существующем виде, то есть без каких-либо переделок.</w:t>
      </w:r>
    </w:p>
    <w:p w14:paraId="5EA57176" w14:textId="77777777" w:rsidR="00F104A1" w:rsidRPr="00DB5D0D" w:rsidRDefault="00F104A1"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Однако десять выпущенных истребителей И-28 так и остались не у дел. Первоначально с разрешения Правительства их передали ВВС КА, но вскоре последовало распоряжение НКО о возврате машин обратно на завод №292. После непродолжительной переписки между НКАП, ВВС КА и НКО осенью 1940 г. было принято решение использовать изготовленные И-28 в качестве учебных пособий в авиационных учебных заведениях. Убытки, понесенные заводом №292 в связи с прекращением выпуска И-28, составили 25156000 руб. В тоже время опыт, накопленный во время его освоения в производстве, сыграл положительную роль при запуске в серию истребителя И-26. По сути, на машине В.П. Яценко завод «Саркомбайн» учился выпуску скоростных истребителей (17738).</w:t>
      </w:r>
    </w:p>
    <w:p w14:paraId="0BFE9D94" w14:textId="77777777" w:rsidR="00F104A1" w:rsidRPr="00DB5D0D" w:rsidRDefault="00F104A1" w:rsidP="00DB5D0D">
      <w:pPr>
        <w:spacing w:after="0" w:line="240" w:lineRule="auto"/>
        <w:jc w:val="both"/>
        <w:rPr>
          <w:rFonts w:ascii="Times New Roman" w:hAnsi="Times New Roman"/>
          <w:color w:val="000000" w:themeColor="text1"/>
          <w:sz w:val="16"/>
          <w:szCs w:val="16"/>
        </w:rPr>
      </w:pPr>
    </w:p>
    <w:p w14:paraId="41EFE4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пробный полет с 3 загруженными моторами продолжительностью 0:30 (2923).</w:t>
      </w:r>
    </w:p>
    <w:p w14:paraId="2B2B278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9775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29 по 31 мая 1940 испытали эталонный образец Ш-2 М-11Д, выпущенный в Ленинградских авиаремонтных мастерских под руководством и В.Ф.Рентеля. По В.Б.Ш. до войны выпустили около 50. Еще 20 в мастерских в Иркутске, куда мастерские были эвакуированы (7621, 36).</w:t>
      </w:r>
    </w:p>
    <w:p w14:paraId="1A80B03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F4EA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29 мая по 18 июня 1940 проводились гос. испытания Ме-109Е с ДБ-601А. Летали Агеев, Рабкин, Шакоров, облетывали П.М.Стефановский, А.И.Кабанов, А.И.Никашин и др. Выполнили 31 полет продолжительностью 14 час. 45 мин. (732).</w:t>
      </w:r>
    </w:p>
    <w:p w14:paraId="2FDE872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F33D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постановлением Политбюро № П 17 / 22 «О Кагановиче М.М. и Сергееве И.П.» с Кагановича М.М. даже снималось взыскание на вид, объявленное постановлением ЦК ВКП(б) от 19 июля 1939 года (РГАСПИ. Ф. 17. Оп. 3. Д. 1024. Л. 6.) (11672).</w:t>
      </w:r>
    </w:p>
    <w:p w14:paraId="3C7EE40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FEC3F8" w14:textId="77777777" w:rsidR="00F104A1" w:rsidRPr="00DB5D0D" w:rsidRDefault="00F104A1" w:rsidP="00DB5D0D">
      <w:pPr>
        <w:pStyle w:val="a3"/>
        <w:rPr>
          <w:color w:val="000000" w:themeColor="text1"/>
          <w:lang w:val="ru-RU"/>
        </w:rPr>
      </w:pPr>
      <w:r w:rsidRPr="00DB5D0D">
        <w:rPr>
          <w:color w:val="000000" w:themeColor="text1"/>
          <w:lang w:val="ru-RU"/>
        </w:rPr>
        <w:t>29 мая 1940 г. вышло Постановление Комитета Обороны №230сс, согласно которому завод № 166 должен был освоить серийный выпуск моторов М-120 и при 2-</w:t>
      </w:r>
      <w:r w:rsidRPr="00DB5D0D">
        <w:rPr>
          <w:color w:val="000000" w:themeColor="text1"/>
          <w:lang w:val="ru-RU"/>
        </w:rPr>
        <w:lastRenderedPageBreak/>
        <w:t>сменной работе выйти на годовую производительность 1000 штук после ввода в строй 1-й оче</w:t>
      </w:r>
      <w:r w:rsidRPr="00DB5D0D">
        <w:rPr>
          <w:color w:val="000000" w:themeColor="text1"/>
          <w:lang w:val="ru-RU"/>
        </w:rPr>
        <w:softHyphen/>
        <w:t xml:space="preserve">реди в </w:t>
      </w:r>
      <w:r w:rsidRPr="00DB5D0D">
        <w:rPr>
          <w:color w:val="000000" w:themeColor="text1"/>
        </w:rPr>
        <w:t>IV</w:t>
      </w:r>
      <w:r w:rsidRPr="00DB5D0D">
        <w:rPr>
          <w:color w:val="000000" w:themeColor="text1"/>
          <w:lang w:val="ru-RU"/>
        </w:rPr>
        <w:t xml:space="preserve"> квартале 1941 г. и 3000 после окончания 2-й очереди год в </w:t>
      </w:r>
      <w:r w:rsidRPr="00DB5D0D">
        <w:rPr>
          <w:color w:val="000000" w:themeColor="text1"/>
        </w:rPr>
        <w:t>III</w:t>
      </w:r>
      <w:r w:rsidRPr="00DB5D0D">
        <w:rPr>
          <w:color w:val="000000" w:themeColor="text1"/>
          <w:lang w:val="ru-RU"/>
        </w:rPr>
        <w:t xml:space="preserve"> квартале 1942 г. Теперь это казалось очень кстати, поскольку под эти двигатели проектиро</w:t>
      </w:r>
      <w:r w:rsidRPr="00DB5D0D">
        <w:rPr>
          <w:color w:val="000000" w:themeColor="text1"/>
          <w:lang w:val="ru-RU"/>
        </w:rPr>
        <w:softHyphen/>
        <w:t>вался и дальний бомбардировщик «102» Мясищева, и фронтовой пикировщик «103» Туполева.</w:t>
      </w:r>
    </w:p>
    <w:p w14:paraId="4AB102B8" w14:textId="77777777" w:rsidR="00F104A1" w:rsidRPr="00DB5D0D" w:rsidRDefault="00F104A1" w:rsidP="00DB5D0D">
      <w:pPr>
        <w:pStyle w:val="a3"/>
        <w:rPr>
          <w:color w:val="000000" w:themeColor="text1"/>
          <w:lang w:val="ru-RU"/>
        </w:rPr>
      </w:pPr>
      <w:r w:rsidRPr="00DB5D0D">
        <w:rPr>
          <w:color w:val="000000" w:themeColor="text1"/>
          <w:lang w:val="ru-RU"/>
        </w:rPr>
        <w:t>Но Туполев своих М-120 так и не до</w:t>
      </w:r>
      <w:r w:rsidRPr="00DB5D0D">
        <w:rPr>
          <w:color w:val="000000" w:themeColor="text1"/>
          <w:lang w:val="ru-RU"/>
        </w:rPr>
        <w:softHyphen/>
        <w:t>ждался и перешел сначала на АМ-37 Ми- кулина, а затем на М-82 Швецова. Кли</w:t>
      </w:r>
      <w:r w:rsidRPr="00DB5D0D">
        <w:rPr>
          <w:color w:val="000000" w:themeColor="text1"/>
          <w:lang w:val="ru-RU"/>
        </w:rPr>
        <w:softHyphen/>
        <w:t>мов же с началом войны получил четкое указание сосредоточиться на доводке моторов М-105, которые шли на истре</w:t>
      </w:r>
      <w:r w:rsidRPr="00DB5D0D">
        <w:rPr>
          <w:color w:val="000000" w:themeColor="text1"/>
          <w:lang w:val="ru-RU"/>
        </w:rPr>
        <w:softHyphen/>
        <w:t>бители Як-1 и ЛаГГ-3, фронтовые бомбар</w:t>
      </w:r>
      <w:r w:rsidRPr="00DB5D0D">
        <w:rPr>
          <w:color w:val="000000" w:themeColor="text1"/>
          <w:lang w:val="ru-RU"/>
        </w:rPr>
        <w:softHyphen/>
        <w:t>дировщики Пе-2 и дальние Ер-2. Из пер</w:t>
      </w:r>
      <w:r w:rsidRPr="00DB5D0D">
        <w:rPr>
          <w:color w:val="000000" w:themeColor="text1"/>
          <w:lang w:val="ru-RU"/>
        </w:rPr>
        <w:softHyphen/>
        <w:t>спективных тем наиболее важными для КБ-26 были М-106 и М-107 как имеющие более высокие удельные характеристики, а М-120 оказался в планах на последнем месте. Это очевидно и решило окон</w:t>
      </w:r>
      <w:r w:rsidRPr="00DB5D0D">
        <w:rPr>
          <w:color w:val="000000" w:themeColor="text1"/>
          <w:lang w:val="ru-RU"/>
        </w:rPr>
        <w:softHyphen/>
        <w:t>чательно и судьбу двигателя, и судьбу 166-го завода: его решили отдать ЦКБ-29.</w:t>
      </w:r>
    </w:p>
    <w:p w14:paraId="03C22FFA" w14:textId="77777777" w:rsidR="00F104A1" w:rsidRPr="00DB5D0D" w:rsidRDefault="00F104A1" w:rsidP="00DB5D0D">
      <w:pPr>
        <w:pStyle w:val="a3"/>
        <w:rPr>
          <w:color w:val="000000" w:themeColor="text1"/>
          <w:lang w:val="ru-RU"/>
        </w:rPr>
      </w:pPr>
      <w:r w:rsidRPr="00DB5D0D">
        <w:rPr>
          <w:color w:val="000000" w:themeColor="text1"/>
          <w:lang w:val="ru-RU"/>
        </w:rPr>
        <w:t>В Омск начали привозить специали</w:t>
      </w:r>
      <w:r w:rsidRPr="00DB5D0D">
        <w:rPr>
          <w:color w:val="000000" w:themeColor="text1"/>
          <w:lang w:val="ru-RU"/>
        </w:rPr>
        <w:softHyphen/>
        <w:t>стов и оборудование с московских авиа</w:t>
      </w:r>
      <w:r w:rsidRPr="00DB5D0D">
        <w:rPr>
          <w:color w:val="000000" w:themeColor="text1"/>
          <w:lang w:val="ru-RU"/>
        </w:rPr>
        <w:softHyphen/>
        <w:t>заводов №156 и №81 - они должны были превратить захудалую провинциальную «фабрику» в укомплектованное по пер</w:t>
      </w:r>
      <w:r w:rsidRPr="00DB5D0D">
        <w:rPr>
          <w:color w:val="000000" w:themeColor="text1"/>
          <w:lang w:val="ru-RU"/>
        </w:rPr>
        <w:softHyphen/>
        <w:t>вому разряду современное предприятие. Но кое-где в цехах даже крыш еще не было, а уже в октябре выпал снег и нача</w:t>
      </w:r>
      <w:r w:rsidRPr="00DB5D0D">
        <w:rPr>
          <w:color w:val="000000" w:themeColor="text1"/>
          <w:lang w:val="ru-RU"/>
        </w:rPr>
        <w:softHyphen/>
        <w:t>лись морозы. И тот, кто взялся руководить заводом, должен был в таких условиях в кратчайший срок установить и наладить оборудование, организовать коллективы подразделений и заставить их работать. Из троицы Мясищев - Томашевич - Тупо</w:t>
      </w:r>
      <w:r w:rsidRPr="00DB5D0D">
        <w:rPr>
          <w:color w:val="000000" w:themeColor="text1"/>
          <w:lang w:val="ru-RU"/>
        </w:rPr>
        <w:softHyphen/>
        <w:t>лев мог это только последний. Он и полу</w:t>
      </w:r>
      <w:r w:rsidRPr="00DB5D0D">
        <w:rPr>
          <w:color w:val="000000" w:themeColor="text1"/>
          <w:lang w:val="ru-RU"/>
        </w:rPr>
        <w:softHyphen/>
        <w:t>чил все мощности, провел там испытания и доводку своего самолета «103» и запустил его в серийное производство под маркой Ту-2, сдав первые самолеты в марте 1942 г.</w:t>
      </w:r>
    </w:p>
    <w:p w14:paraId="4BB74936" w14:textId="77777777" w:rsidR="00F104A1" w:rsidRPr="00DB5D0D" w:rsidRDefault="00F104A1" w:rsidP="00DB5D0D">
      <w:pPr>
        <w:pStyle w:val="a3"/>
        <w:rPr>
          <w:color w:val="000000" w:themeColor="text1"/>
          <w:lang w:val="ru-RU"/>
        </w:rPr>
      </w:pPr>
      <w:r w:rsidRPr="00DB5D0D">
        <w:rPr>
          <w:color w:val="000000" w:themeColor="text1"/>
          <w:lang w:val="ru-RU"/>
        </w:rPr>
        <w:t>Заводу №166 были переданы и не</w:t>
      </w:r>
      <w:r w:rsidRPr="00DB5D0D">
        <w:rPr>
          <w:color w:val="000000" w:themeColor="text1"/>
          <w:lang w:val="ru-RU"/>
        </w:rPr>
        <w:softHyphen/>
        <w:t>сколько предприятий местной промыш</w:t>
      </w:r>
      <w:r w:rsidRPr="00DB5D0D">
        <w:rPr>
          <w:color w:val="000000" w:themeColor="text1"/>
          <w:lang w:val="ru-RU"/>
        </w:rPr>
        <w:softHyphen/>
        <w:t>ленности, расположенных в Омске и в области, принявшие людей и оборудова</w:t>
      </w:r>
      <w:r w:rsidRPr="00DB5D0D">
        <w:rPr>
          <w:color w:val="000000" w:themeColor="text1"/>
          <w:lang w:val="ru-RU"/>
        </w:rPr>
        <w:softHyphen/>
        <w:t>ние эвакуированных агрегатных заводов НКАП №228 и №288. Но они не интере</w:t>
      </w:r>
      <w:r w:rsidRPr="00DB5D0D">
        <w:rPr>
          <w:color w:val="000000" w:themeColor="text1"/>
          <w:lang w:val="ru-RU"/>
        </w:rPr>
        <w:softHyphen/>
        <w:t xml:space="preserve">совали Туполева, поскольку размещались далеко (17739). </w:t>
      </w:r>
    </w:p>
    <w:p w14:paraId="518069B8" w14:textId="77777777" w:rsidR="00F104A1" w:rsidRPr="00DB5D0D" w:rsidRDefault="00F104A1" w:rsidP="00DB5D0D">
      <w:pPr>
        <w:spacing w:after="0" w:line="240" w:lineRule="auto"/>
        <w:jc w:val="both"/>
        <w:rPr>
          <w:rFonts w:ascii="Times New Roman" w:hAnsi="Times New Roman"/>
          <w:color w:val="000000" w:themeColor="text1"/>
          <w:sz w:val="16"/>
          <w:szCs w:val="16"/>
        </w:rPr>
      </w:pPr>
    </w:p>
    <w:p w14:paraId="46648E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Начальник НИП АВ ВВС полковник Шевченко и Военком НИП АВ ВВС в/инженер 2-го ранга Щербинин 29 мая 1940 года утвердили Отчет по воздушным полигонным испытаниям синхронной установки под пулемет "БС" (ТКБ-52) калибра 12,7 мм на самолете И-16, конструкции завода N 21, которые были начаты 23 мая 1940 года и окончены 27 мая 1940 года (2973).</w:t>
      </w:r>
    </w:p>
    <w:p w14:paraId="1AAE9E5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FCB16A" w14:textId="77777777" w:rsidR="007113B6" w:rsidRPr="00DB5D0D" w:rsidRDefault="007113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 . постановлением Политбюро № П 17 / 22 «О Кагановиче М.М. и Сергееве И.П.» с Кагановича М.М. снималось взыскание на вид, объявленное постановлением ЦК ВКП(б) от 19 июля 1939 г. (19541).</w:t>
      </w:r>
    </w:p>
    <w:p w14:paraId="742F127C" w14:textId="77777777" w:rsidR="007113B6" w:rsidRPr="00DB5D0D" w:rsidRDefault="007113B6" w:rsidP="00DB5D0D">
      <w:pPr>
        <w:spacing w:after="0" w:line="240" w:lineRule="auto"/>
        <w:jc w:val="both"/>
        <w:rPr>
          <w:rFonts w:ascii="Times New Roman" w:hAnsi="Times New Roman"/>
          <w:color w:val="000000" w:themeColor="text1"/>
          <w:sz w:val="16"/>
          <w:szCs w:val="16"/>
        </w:rPr>
      </w:pPr>
    </w:p>
    <w:p w14:paraId="4CE51D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заместитель начальника отдела тыла Штаба ВВС КА полковник Романов писал о новой защитной окраске, введенной 23 мая 1940, в докладной начальнику Штабу ВВС КА комкору Арженухину - "28 мая Отдел Тыла случайно узнал, что заводом производится окраска самолетов по новой разработанной и утвержденной рецептуре с учетом маскировочных требований. В результате ознакомления с утвержденными новыми образцами окраски, имеющимися в отделе, установлено:</w:t>
      </w:r>
    </w:p>
    <w:p w14:paraId="0C9F0F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Окраска эта дешифрируется, что недопустимо при современном состоянии маскировки и демаскировки.</w:t>
      </w:r>
    </w:p>
    <w:p w14:paraId="4D1F2B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зеленой расцветке не учтено изменения светлоты для маскировки самолетов в воздухе, при наблюдении сверху.</w:t>
      </w:r>
    </w:p>
    <w:p w14:paraId="3FC462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Голубая расцветка нижних поверхностей вызывает сомнения в уменьшении видимости самолета на фоне неба.</w:t>
      </w:r>
    </w:p>
    <w:p w14:paraId="6BFEDA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принятая окраска -глянцевая, при солнечном освещении дает отблески. В целях проверки установленных авиационной промышленности и разработанных ВИАМом рецептур окраски самолетов с учетом маскировочных требований считаю необходимым организовать комиссию..." (2771,20).</w:t>
      </w:r>
    </w:p>
    <w:p w14:paraId="2B23D4C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E752059"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29 мая 1940 была Докладная записка наркома вооружения СССР Б. Л. Ванникова председателю Комитета обороны при СНК СССР К. Е. Ворошилову о проекте постановления о введении на вооружение авиационного пулемета "СН"</w:t>
      </w:r>
    </w:p>
    <w:p w14:paraId="7E66E705"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Мною получен проект постановления КО "О введе</w:t>
      </w:r>
      <w:r w:rsidRPr="00DB5D0D">
        <w:rPr>
          <w:rFonts w:ascii="Times New Roman" w:hAnsi="Times New Roman"/>
          <w:color w:val="0070C0"/>
          <w:sz w:val="16"/>
          <w:szCs w:val="16"/>
        </w:rPr>
        <w:softHyphen/>
        <w:t>нии на вооружение авиационного пулемета "СП" и об отмене постановления К.О. "О принятии на вооружение пулемета "Ультра-Шеас". Вопрос этот внесен в Комитет Обороны Наркомом Обороны ТОВ.ТИМОШЕНКО</w:t>
      </w:r>
    </w:p>
    <w:p w14:paraId="4CB9B236"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Считаю внесение этого вопроса и принятие его при</w:t>
      </w:r>
      <w:r w:rsidRPr="00DB5D0D">
        <w:rPr>
          <w:rFonts w:ascii="Times New Roman" w:hAnsi="Times New Roman"/>
          <w:color w:val="0070C0"/>
          <w:sz w:val="16"/>
          <w:szCs w:val="16"/>
        </w:rPr>
        <w:softHyphen/>
        <w:t>ведет к задержке оснащения пулеметами военно-воздушного флота, при этом особых тактико-технических и произ</w:t>
      </w:r>
      <w:r w:rsidRPr="00DB5D0D">
        <w:rPr>
          <w:rFonts w:ascii="Times New Roman" w:hAnsi="Times New Roman"/>
          <w:color w:val="0070C0"/>
          <w:sz w:val="16"/>
          <w:szCs w:val="16"/>
        </w:rPr>
        <w:softHyphen/>
        <w:t>водственных преимуществ пулемет "СН" перед пулеметом "Ультра-ШКАС не имеет. Пулемет "СН" сложнее в производстве, чем "Ультра-Шкас" и постановка в производство "СН" потребует длительной коренной ломки валового про</w:t>
      </w:r>
      <w:r w:rsidRPr="00DB5D0D">
        <w:rPr>
          <w:rFonts w:ascii="Times New Roman" w:hAnsi="Times New Roman"/>
          <w:color w:val="0070C0"/>
          <w:sz w:val="16"/>
          <w:szCs w:val="16"/>
        </w:rPr>
        <w:softHyphen/>
        <w:t>изводства "Шкас" с дополнением новых вертикально-фре</w:t>
      </w:r>
      <w:r w:rsidRPr="00DB5D0D">
        <w:rPr>
          <w:rFonts w:ascii="Times New Roman" w:hAnsi="Times New Roman"/>
          <w:color w:val="0070C0"/>
          <w:sz w:val="16"/>
          <w:szCs w:val="16"/>
        </w:rPr>
        <w:softHyphen/>
        <w:t>зерных станков, с значительной загрузкой инструменталь</w:t>
      </w:r>
      <w:r w:rsidRPr="00DB5D0D">
        <w:rPr>
          <w:rFonts w:ascii="Times New Roman" w:hAnsi="Times New Roman"/>
          <w:color w:val="0070C0"/>
          <w:sz w:val="16"/>
          <w:szCs w:val="16"/>
        </w:rPr>
        <w:softHyphen/>
        <w:t>ных цехов, станко-строительных цехов и цехов приспособ</w:t>
      </w:r>
      <w:r w:rsidRPr="00DB5D0D">
        <w:rPr>
          <w:rFonts w:ascii="Times New Roman" w:hAnsi="Times New Roman"/>
          <w:color w:val="0070C0"/>
          <w:sz w:val="16"/>
          <w:szCs w:val="16"/>
        </w:rPr>
        <w:softHyphen/>
        <w:t>лений, изготовлением большого количества (в несколько тысяч номеров) приспособлений и десятки тысяч единиц режущего инструмента, десятки тысяч штук мерительного инструмента.</w:t>
      </w:r>
    </w:p>
    <w:p w14:paraId="0AF6A427"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Вместе с тем пулемет "Ультра-Шкас" по существу является тем-же пулеметом "Шкас" и постановка его на производстве поэтому значительно проще. В основном производство остается ныне существующее для "Шкаса" и это не вызовет резкого понижения снабжения Армии пуле</w:t>
      </w:r>
      <w:r w:rsidRPr="00DB5D0D">
        <w:rPr>
          <w:rFonts w:ascii="Times New Roman" w:hAnsi="Times New Roman"/>
          <w:color w:val="0070C0"/>
          <w:sz w:val="16"/>
          <w:szCs w:val="16"/>
        </w:rPr>
        <w:softHyphen/>
        <w:t>метами.</w:t>
      </w:r>
    </w:p>
    <w:p w14:paraId="33041A2D"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Изготовление, требуемое по проекту, 300 штук пулеметов "СН" в 1940 году, потребует изготовления по существу того-же количества приспособлений, штампов и инструмента, какое указано выше, необходимое для валового производства, ибо 300 штук изготовить по разметке в указанный срок - не представляется возможным, что говоря уже о том, что изготовление З00 штук без оснащения бу</w:t>
      </w:r>
      <w:r w:rsidRPr="00DB5D0D">
        <w:rPr>
          <w:rFonts w:ascii="Times New Roman" w:hAnsi="Times New Roman"/>
          <w:color w:val="0070C0"/>
          <w:sz w:val="16"/>
          <w:szCs w:val="16"/>
        </w:rPr>
        <w:softHyphen/>
        <w:t>дет представлять собой кустарщину, которая не позволит дать качествениые машины.</w:t>
      </w:r>
    </w:p>
    <w:p w14:paraId="3F6CF80E"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Представленный проект постановления прошу не утверждать.</w:t>
      </w:r>
    </w:p>
    <w:p w14:paraId="52750468"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Новый отработанный образец "Ультра-Шкас" находится на полигонных испытаниях (21918).</w:t>
      </w:r>
    </w:p>
    <w:p w14:paraId="6E36E305" w14:textId="77777777" w:rsidR="006217E3" w:rsidRPr="00DB5D0D" w:rsidRDefault="006217E3" w:rsidP="00DB5D0D">
      <w:pPr>
        <w:spacing w:after="0" w:line="240" w:lineRule="auto"/>
        <w:jc w:val="both"/>
        <w:rPr>
          <w:rFonts w:ascii="Times New Roman" w:hAnsi="Times New Roman"/>
          <w:color w:val="0070C0"/>
          <w:sz w:val="16"/>
          <w:szCs w:val="16"/>
        </w:rPr>
      </w:pPr>
    </w:p>
    <w:p w14:paraId="18A6D1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29 мая 1940 года </w:t>
      </w:r>
    </w:p>
    <w:p w14:paraId="52BC20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ОБВИНИТЕЛЬНОЕ ЗАКЛЮЧЕНИЕ </w:t>
      </w:r>
    </w:p>
    <w:p w14:paraId="163B99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след. делу № 19908 по обвинению КОРОЛЕВА Сергея Павловича по ст. ст. 58-7, 58-11 УК РСФСР. </w:t>
      </w:r>
    </w:p>
    <w:p w14:paraId="076A56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28 июня 1938 года НКВД СССР за принадлежность к троцкистской вредительской организации, действовавшей в научно-исследовательском институте № 3 (НКБ СССР), был арестован и привлечен к уголовной ответственности бывший инженер указанного института КОРОЛЕВ Сергей Павлович. </w:t>
      </w:r>
    </w:p>
    <w:p w14:paraId="157D50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процессе следствия КОРОЛЕВ признал себя виновным в том, что в троцкистско-вредительскую организацию был привлечен в 1935 году бывшим техническим директором научно-исследовательского института № 3 ЛАНГЕМАКОМ (осужден). </w:t>
      </w:r>
    </w:p>
    <w:p w14:paraId="037E06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процессе следствия по делу ЛАНГЕМАКА он специально о КОРОЛЕВЕ допрошен не был и об участии последнего в антисоветской организации показал, что знал об этом со слов КЛЕЙМЕНОВА - бывш. директора НИИ-3 (осужден) (л.д. 41). </w:t>
      </w:r>
    </w:p>
    <w:p w14:paraId="14DD20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заданию антисоветской организации КОРОЛЕВ вел вредительскую работу по срыву отработки и сдачи на вооружение РККА новых образцов вооружения (л.д. 21-35 53-55, 66-67, 238-339). </w:t>
      </w:r>
    </w:p>
    <w:p w14:paraId="022708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Решением Военной коллегии Верховного суда Союза ССР от 27 сентября 1938 года КОРОЛЕВ был осужден к 10-ти годам тюремного заключения. </w:t>
      </w:r>
    </w:p>
    <w:p w14:paraId="2E6CC8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13-го июня 1939 года Пленум Верховного суда Союза ССР приговор Военной коллегии Верховного суда Союза ССР отменил, а следственное дело по обвинению КОРОЛЕВА было передано на новое расследование (см. отдельную папку судебного производства). </w:t>
      </w:r>
    </w:p>
    <w:p w14:paraId="1E4328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процессе повторного следствия КОРОЛЕВ показал, что данные им показания на следствии в 1938 году не соответствуют действительности и являются ложными (л.д. 153-156). </w:t>
      </w:r>
    </w:p>
    <w:p w14:paraId="117044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Однако имеющимися в деле материалами следствия и документальными данными КОРОЛЕВ изобличается в том, что: </w:t>
      </w:r>
    </w:p>
    <w:p w14:paraId="1B012F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1936 году вел разработку пороховой крылатой торпеды; зная заранее, что основные части этой торпеды, приборы с фотоэлементами для управления торпедой и наведения ее на цель не могут быть изготовлены Центральной лабораторией проводной связи, КОРОЛЕВ с целью загрузить институт ненужной работой усиленно вел разработку ракетной части этой торпеды в 2-х вариантах. В результате этого испытания четырех построенных КОРОЛЕВЫМ торпед показали их полную непригодность, чем нанесен был ущерб государству в сумме 120 000 рублей и затянута разработка других, более актуальных тем (л.д. 250-251). </w:t>
      </w:r>
    </w:p>
    <w:p w14:paraId="178560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1937 году при разработке бакового отсека торпеды (крылатой) сделал вредительский расчет, в результате чего исследовательские работы по созданию торпеды были сорваны (л.д. 23-24, 256). </w:t>
      </w:r>
    </w:p>
    <w:p w14:paraId="72D900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Искусственно задерживал сроки изготовления и испытания оборонных объектов (объект 212) (л. д. 21, 54, 255). </w:t>
      </w:r>
    </w:p>
    <w:p w14:paraId="09EB18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основании изложенного ОБВИНЯЕТСЯ: </w:t>
      </w:r>
    </w:p>
    <w:p w14:paraId="1B2149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КОРОЛЕВ Сергей Павлович, 1906 года рождения, урож. гор. Житомира, русский, гр-н СССР, беспартийный, до ареста - инженер НИИ-3 НКБ СССР, в том, что: </w:t>
      </w:r>
    </w:p>
    <w:p w14:paraId="670DA5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являлся с 1935 года участником троцкистской вредительской организации, по заданию которой проводил преступную работу в НИИ-3 по срыву отработки и сдачи на вооружение РККА новых образцов вооружения, т.е. в преступлениях, предусмотренных ст. ст. 58-7, 58-11 УК РСФСР. Виновным себя признал, но впоследствии от своих показаний отказался. </w:t>
      </w:r>
    </w:p>
    <w:p w14:paraId="11A009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Изобличается показаниями осужденных КЛЕЙМЕНОВА, ЛАНГЕМАКА, ГЛУШКО, показаниями свидетелей: СМИРНОВА, РОХМАЧЕВА, КОСЯТОВА, ШИТОВА, ЕФРЕМОВА, БУКИНА, ДУШКИНА и актами экспертных комиссий. </w:t>
      </w:r>
    </w:p>
    <w:p w14:paraId="43AC03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Дело по обвинению КОРОЛЕВА направить в Прокуратуру Союза ССР по подсудности. </w:t>
      </w:r>
    </w:p>
    <w:p w14:paraId="390C68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Обвинительное заключение составлено 28 мая 1940 года в гор. Москве. </w:t>
      </w:r>
    </w:p>
    <w:p w14:paraId="2C15CD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СЛЕДОВАТЕЛЬ СЛЕДЧАСТИ ГЭУ НКВД СССР МЛ. ЛЕЙТЕНАНТ ГОСБЕЗОПАСНОСТИ /РЯБОВ/ </w:t>
      </w:r>
    </w:p>
    <w:p w14:paraId="5B7528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ПОМ. НАЧ. СЛЕДЧАСТИ ГЭУ НКВД СССР СТ. ЛЕЙТЕНАНТ ГОСБЕЗОПАСНОСТИ /ЛИБЕНСОН/ </w:t>
      </w:r>
    </w:p>
    <w:p w14:paraId="38B0F8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«СОГЛАСЕН» НАЧ. СЛЕДЧАСТИ ГЭУ НКВД СССР МАЙОР ГОСУДАРСТВЕННОЙ БЕЗОПАСНОСТИ /ВЛОДЗИМИРСКИЙ/ </w:t>
      </w:r>
    </w:p>
    <w:p w14:paraId="783080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СПРАВКА: КОРОЛЕВ СП. арестован 28 июня 1938 года. Содержится под стражей во Внутренней тюрьме. </w:t>
      </w:r>
    </w:p>
    <w:p w14:paraId="77BA98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СЛЕДОВАТЕЛЬ СЛЕДЧАСТИ ГЭУ НКВД СССР МЛ. ЛЕЙТЕНАНТ ГОСУДАРСТВЕННОЙ БЕЗОПАСНОСТИ /РЯБОВ/» (11837).</w:t>
      </w:r>
    </w:p>
    <w:p w14:paraId="4C672FC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67D75A"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29 мая 1940 вышло Постановление Комитета обороны при СНК СССР № 234сс "Об обеспечении НКО средствами воздушного заграждения для ПВО и аэростатами наблюдения для артиллерии Красной Армии" с приложениями (21917).</w:t>
      </w:r>
    </w:p>
    <w:p w14:paraId="71BD9798" w14:textId="77777777" w:rsidR="006217E3" w:rsidRPr="00DB5D0D" w:rsidRDefault="006217E3" w:rsidP="00DB5D0D">
      <w:pPr>
        <w:spacing w:after="0" w:line="240" w:lineRule="auto"/>
        <w:jc w:val="both"/>
        <w:rPr>
          <w:rFonts w:ascii="Times New Roman" w:hAnsi="Times New Roman"/>
          <w:color w:val="0070C0"/>
          <w:sz w:val="16"/>
          <w:szCs w:val="16"/>
        </w:rPr>
      </w:pPr>
    </w:p>
    <w:p w14:paraId="2DA04959" w14:textId="77777777" w:rsidR="007509B9" w:rsidRPr="00DB5D0D" w:rsidRDefault="007509B9"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92A9852" w14:textId="77777777" w:rsidR="007509B9" w:rsidRPr="00DB5D0D" w:rsidRDefault="007509B9" w:rsidP="00DB5D0D">
      <w:pPr>
        <w:spacing w:after="0" w:line="240" w:lineRule="auto"/>
        <w:jc w:val="both"/>
        <w:rPr>
          <w:rFonts w:ascii="Times New Roman" w:hAnsi="Times New Roman"/>
          <w:iCs/>
          <w:color w:val="000000" w:themeColor="text1"/>
          <w:sz w:val="16"/>
          <w:szCs w:val="16"/>
        </w:rPr>
      </w:pPr>
    </w:p>
    <w:p w14:paraId="72227C72"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29 мая 1940 г. руководство Мариупольского завода предложило руководителям АБТУ РККА и 7-му ГУ НКСП унифицировать толщины основных броневых деталей танка Т-34. Выдвинутое предложение объяснялось так: </w:t>
      </w:r>
    </w:p>
    <w:p w14:paraId="300D0897"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«Вес брони разных толщин, изготовляемой нами машины А-34, составляет 11.153 килограмма. Вес деталей изготовленных из 45 мм листов составляет 5216 килограмм; вес деталей, изготовленных из 40 мм листов составляет – 2420 килограмм, и вес деталей прочих тонких толщин – 3.517 килограмм. Для последней позиции, т.е. для деталей разных толщин весом 3517 килограмм, мы применяем освоенную нашим заводом марку стали МИЗ </w:t>
      </w:r>
      <w:r w:rsidRPr="00DB5D0D">
        <w:rPr>
          <w:rFonts w:ascii="Times New Roman" w:eastAsia="Times New Roman" w:hAnsi="Times New Roman"/>
          <w:color w:val="000000" w:themeColor="text1"/>
          <w:sz w:val="16"/>
          <w:szCs w:val="16"/>
          <w:lang w:eastAsia="ru-RU"/>
        </w:rPr>
        <w:t>[«1-П»]</w:t>
      </w:r>
      <w:r w:rsidRPr="00DB5D0D">
        <w:rPr>
          <w:rFonts w:ascii="Times New Roman" w:eastAsia="Times New Roman" w:hAnsi="Times New Roman"/>
          <w:iCs/>
          <w:color w:val="000000" w:themeColor="text1"/>
          <w:sz w:val="16"/>
          <w:szCs w:val="16"/>
          <w:lang w:eastAsia="ru-RU"/>
        </w:rPr>
        <w:t xml:space="preserve">, для деталей же толщиной 45 и 40 мм (в количестве 5216 + 2420 = 7636 килограмм на комплект) мы, осваиваем новую марку стали МЗ-2, по которой имеем вполне положительные результаты по 45 мм толщине, и не совсем удовлетворительные результаты по толщине на 40 мм. Одновременное освоение двух толщин новой марки вызывает на нашем заводе большие трудности, так как требует разработки двойного количества разных технологических инструкций, изготовление двойного количества разных спецификаций оборудования (изложницы и принадлежности к ним) и требует проведения полигонных испытаний от двойного количества образцов. Кроме того, разные толщины листов не дают возможности организации широкого поточного производства. Учитывая вышеизложенное, чтобы не задержать нам выпуск брони для машины А-34, просим Вас разрешить нам 40 мм детали №№ 34-29-007 </w:t>
      </w:r>
      <w:r w:rsidRPr="00DB5D0D">
        <w:rPr>
          <w:rFonts w:ascii="Times New Roman" w:eastAsia="Times New Roman" w:hAnsi="Times New Roman"/>
          <w:color w:val="000000" w:themeColor="text1"/>
          <w:sz w:val="16"/>
          <w:szCs w:val="16"/>
          <w:lang w:eastAsia="ru-RU"/>
        </w:rPr>
        <w:t>[нижний лист кормы]</w:t>
      </w:r>
      <w:r w:rsidRPr="00DB5D0D">
        <w:rPr>
          <w:rFonts w:ascii="Times New Roman" w:eastAsia="Times New Roman" w:hAnsi="Times New Roman"/>
          <w:iCs/>
          <w:color w:val="000000" w:themeColor="text1"/>
          <w:sz w:val="16"/>
          <w:szCs w:val="16"/>
          <w:lang w:eastAsia="ru-RU"/>
        </w:rPr>
        <w:t xml:space="preserve">, 008 </w:t>
      </w:r>
      <w:r w:rsidRPr="00DB5D0D">
        <w:rPr>
          <w:rFonts w:ascii="Times New Roman" w:eastAsia="Times New Roman" w:hAnsi="Times New Roman"/>
          <w:color w:val="000000" w:themeColor="text1"/>
          <w:sz w:val="16"/>
          <w:szCs w:val="16"/>
          <w:lang w:eastAsia="ru-RU"/>
        </w:rPr>
        <w:t>[задний лист верхний]</w:t>
      </w:r>
      <w:r w:rsidRPr="00DB5D0D">
        <w:rPr>
          <w:rFonts w:ascii="Times New Roman" w:eastAsia="Times New Roman" w:hAnsi="Times New Roman"/>
          <w:iCs/>
          <w:color w:val="000000" w:themeColor="text1"/>
          <w:sz w:val="16"/>
          <w:szCs w:val="16"/>
          <w:lang w:eastAsia="ru-RU"/>
        </w:rPr>
        <w:t xml:space="preserve">, 012 </w:t>
      </w:r>
      <w:r w:rsidRPr="00DB5D0D">
        <w:rPr>
          <w:rFonts w:ascii="Times New Roman" w:eastAsia="Times New Roman" w:hAnsi="Times New Roman"/>
          <w:color w:val="000000" w:themeColor="text1"/>
          <w:sz w:val="16"/>
          <w:szCs w:val="16"/>
          <w:lang w:eastAsia="ru-RU"/>
        </w:rPr>
        <w:t>[лист подкрылка правый]</w:t>
      </w:r>
      <w:r w:rsidRPr="00DB5D0D">
        <w:rPr>
          <w:rFonts w:ascii="Times New Roman" w:eastAsia="Times New Roman" w:hAnsi="Times New Roman"/>
          <w:iCs/>
          <w:color w:val="000000" w:themeColor="text1"/>
          <w:sz w:val="16"/>
          <w:szCs w:val="16"/>
          <w:lang w:eastAsia="ru-RU"/>
        </w:rPr>
        <w:t xml:space="preserve">, 013 </w:t>
      </w:r>
      <w:r w:rsidRPr="00DB5D0D">
        <w:rPr>
          <w:rFonts w:ascii="Times New Roman" w:eastAsia="Times New Roman" w:hAnsi="Times New Roman"/>
          <w:color w:val="000000" w:themeColor="text1"/>
          <w:sz w:val="16"/>
          <w:szCs w:val="16"/>
          <w:lang w:eastAsia="ru-RU"/>
        </w:rPr>
        <w:t>[лист подкрылка левый]</w:t>
      </w:r>
      <w:r w:rsidRPr="00DB5D0D">
        <w:rPr>
          <w:rFonts w:ascii="Times New Roman" w:eastAsia="Times New Roman" w:hAnsi="Times New Roman"/>
          <w:iCs/>
          <w:color w:val="000000" w:themeColor="text1"/>
          <w:sz w:val="16"/>
          <w:szCs w:val="16"/>
          <w:lang w:eastAsia="ru-RU"/>
        </w:rPr>
        <w:t xml:space="preserve"> и 017 </w:t>
      </w:r>
      <w:r w:rsidRPr="00DB5D0D">
        <w:rPr>
          <w:rFonts w:ascii="Times New Roman" w:eastAsia="Times New Roman" w:hAnsi="Times New Roman"/>
          <w:color w:val="000000" w:themeColor="text1"/>
          <w:sz w:val="16"/>
          <w:szCs w:val="16"/>
          <w:lang w:eastAsia="ru-RU"/>
        </w:rPr>
        <w:t>[крышка люка кормы]</w:t>
      </w:r>
      <w:r w:rsidRPr="00DB5D0D">
        <w:rPr>
          <w:rFonts w:ascii="Times New Roman" w:eastAsia="Times New Roman" w:hAnsi="Times New Roman"/>
          <w:iCs/>
          <w:color w:val="000000" w:themeColor="text1"/>
          <w:sz w:val="16"/>
          <w:szCs w:val="16"/>
          <w:lang w:eastAsia="ru-RU"/>
        </w:rPr>
        <w:t xml:space="preserve"> – общим весом 2420 килограмм, изготовлять толщиной 45 мм, что даст незначительное общее увеличение веса брони на 1 машину (на 272 килограмма)…»</w:t>
      </w:r>
      <w:r w:rsidRPr="00DB5D0D">
        <w:rPr>
          <w:rFonts w:ascii="Times New Roman" w:eastAsia="Times New Roman" w:hAnsi="Times New Roman"/>
          <w:color w:val="000000" w:themeColor="text1"/>
          <w:sz w:val="16"/>
          <w:szCs w:val="16"/>
          <w:lang w:eastAsia="ru-RU"/>
        </w:rPr>
        <w:t xml:space="preserve">. </w:t>
      </w:r>
    </w:p>
    <w:p w14:paraId="7F0F6756"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[РГВА. Ф. 31811. Оп. 2. Д. 1176. Л. 129]</w:t>
      </w:r>
    </w:p>
    <w:p w14:paraId="0CFC5052"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Однако данное предложение не было поддержано в АБТУ РККА, так как дальнейшее увеличение массы боевой машины, по мнению военных, было нежелательным. Необходимо отметить, что в конце 1941 г., после эвакуации в Нижний Тагил к идее унификации толщин броневых деталей Т-34 вернулись. В целях обеспечения массового выпуска необходимых стране танков и оптимизации работы металлургических заводов номенклатура толщин броневого листа для изготовления деталей танка Т-34 в начале 1942 г. была сокращена с восьми до трех позиций – 10, 20 и 45 мм (17629). </w:t>
      </w:r>
    </w:p>
    <w:p w14:paraId="46A219DA"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p>
    <w:p w14:paraId="53C6A5A6"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29 мая 1940</w:t>
      </w:r>
    </w:p>
    <w:p w14:paraId="06CDA8E6"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1AD53FFF"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1 </w:t>
      </w:r>
    </w:p>
    <w:p w14:paraId="0204D535"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29/V 1940 г. </w:t>
      </w:r>
    </w:p>
    <w:p w14:paraId="0E74153E"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2778 </w:t>
      </w:r>
    </w:p>
    <w:p w14:paraId="165FADD7"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АБТУ КОМНДАРМУ т. ПАВЛОВУ</w:t>
      </w:r>
    </w:p>
    <w:p w14:paraId="6F9CD211"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Копия: Нач. 7-го Главн. Управления НКСП т. ЕМЕЛЬЯНОВУ</w:t>
      </w:r>
    </w:p>
    <w:p w14:paraId="6E33C285"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ВОПРОСУ: Изготовления 40 мм деталей. </w:t>
      </w:r>
    </w:p>
    <w:p w14:paraId="52BA5B55"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Вес брони разных толщин, изготовляемой нами машины А-34, составляет 11.153 килограмма. Вес деталей изготовленных из 45 мм листов составляет 5216 килограмм; вес деталей, изготовленных из 40 мм листов составляет – 2420 килограмм, и вес деталей прочих тонких толщин – 3.517 килограмм . </w:t>
      </w:r>
    </w:p>
    <w:p w14:paraId="524E9ED3"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последней позиции, т.е. для деталей разных толщин весом 3517 килограмм, мы применяем освоенную нашим заводом марку стали МИЗ, для деталей же толщиной 45 и 40 мм (в количестве 5216 + 2420 = 7636 килограмм на комплект) мы, осваиваем новую марку стали МЗ-2, по которой имеем вполне положительные результаты по 45 мм толщине, и не совсем удовлетворительные результаты по толщине на 40 мм. </w:t>
      </w:r>
    </w:p>
    <w:p w14:paraId="2D2FE16A"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Одновременное освоение двух толщин новой марки вызывает на нашем заводе большие трудности, так как требует разработки двойного количества разных технологических инструкций, изготовление двойного количества разных спецификаций оборудования (изложницы и принадлежности к ним) и требует проведения полигонных испытаний от двойного количества образцов. Кроме того, разные толщины листов не дают возможности организации широкого поточного производства. Учитывая вышеизложенное, чтобы не задержать нам выпуск брони для машины А-34, просим Вас разрешить нам 40 мм детали №№ 34-29-007, 008, 012, 013 и 017 – общим весом 2420 килограмм, изготовлять из толщиной 45 мм, что даст незначительное общее увеличение веса брони на 1 машину (на 272 килограмма). </w:t>
      </w:r>
    </w:p>
    <w:p w14:paraId="20E77467"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отрицательном решении в отношении замены толщины просим Вас освободить от испытаний 40 мм детали на определение ПСП (предел сквозного пробития). </w:t>
      </w:r>
    </w:p>
    <w:p w14:paraId="6A69658A"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ГЛАВНЫЙ ИНЖЕНЕР ЗАВОДА подпись (НИЦЕНКО В.С.)</w:t>
      </w:r>
    </w:p>
    <w:p w14:paraId="68693BF8"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 ПРОИЗВ. ТЕХН. ОТДЕЛА подпись (АРЕХОВ)</w:t>
      </w:r>
    </w:p>
    <w:p w14:paraId="282E74F5"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3 экз. </w:t>
      </w:r>
    </w:p>
    <w:p w14:paraId="1949A902"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Спорик </w:t>
      </w:r>
    </w:p>
    <w:p w14:paraId="39E56893" w14:textId="77777777" w:rsidR="007509B9" w:rsidRPr="00DB5D0D" w:rsidRDefault="007509B9" w:rsidP="00DB5D0D">
      <w:pPr>
        <w:spacing w:after="0" w:line="240" w:lineRule="auto"/>
        <w:jc w:val="both"/>
        <w:rPr>
          <w:rFonts w:ascii="Times New Roman" w:hAnsi="Times New Roman"/>
          <w:color w:val="000000" w:themeColor="text1"/>
          <w:sz w:val="16"/>
          <w:szCs w:val="16"/>
        </w:rPr>
      </w:pPr>
      <w:r w:rsidRPr="00DB5D0D">
        <w:rPr>
          <w:rFonts w:ascii="Times New Roman" w:eastAsia="Times New Roman" w:hAnsi="Times New Roman"/>
          <w:color w:val="000000" w:themeColor="text1"/>
          <w:sz w:val="16"/>
          <w:szCs w:val="16"/>
          <w:lang w:eastAsia="ru-RU"/>
        </w:rPr>
        <w:t>29/V-40г.</w:t>
      </w:r>
    </w:p>
    <w:p w14:paraId="30E9A7BE" w14:textId="77777777" w:rsidR="007509B9" w:rsidRPr="00DB5D0D" w:rsidRDefault="007509B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1176 лист 129</w:t>
      </w:r>
      <w:r w:rsidRPr="00DB5D0D">
        <w:rPr>
          <w:rFonts w:ascii="Times New Roman" w:eastAsia="Times New Roman" w:hAnsi="Times New Roman"/>
          <w:color w:val="000000" w:themeColor="text1"/>
          <w:sz w:val="16"/>
          <w:szCs w:val="16"/>
          <w:lang w:eastAsia="ru-RU"/>
        </w:rPr>
        <w:t xml:space="preserve"> (16634).</w:t>
      </w:r>
    </w:p>
    <w:p w14:paraId="0ED503C9" w14:textId="77777777" w:rsidR="007509B9" w:rsidRPr="00DB5D0D" w:rsidRDefault="007509B9" w:rsidP="00DB5D0D">
      <w:pPr>
        <w:spacing w:after="0" w:line="240" w:lineRule="auto"/>
        <w:jc w:val="both"/>
        <w:rPr>
          <w:rFonts w:ascii="Times New Roman" w:hAnsi="Times New Roman"/>
          <w:color w:val="000000" w:themeColor="text1"/>
          <w:sz w:val="16"/>
          <w:szCs w:val="16"/>
        </w:rPr>
      </w:pPr>
    </w:p>
    <w:p w14:paraId="1CFEEEB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7B19B5C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45E98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решением Политбюро ЦК ВКП(б) № П 17 / 28 - ОП утверждались различные вопросы КО, в том числе № VI «О дополнительном строительстве бензоемкостей для НКО на территории Закавказского Военного Округа». Им предписывалось «Наркомфину Союза ССР профинансировать из резервного фонда СНК Союза ССР дополнитель</w:t>
      </w:r>
      <w:r w:rsidRPr="00DB5D0D">
        <w:rPr>
          <w:rFonts w:ascii="Times New Roman" w:hAnsi="Times New Roman"/>
          <w:color w:val="000000" w:themeColor="text1"/>
          <w:sz w:val="16"/>
          <w:szCs w:val="16"/>
        </w:rPr>
        <w:softHyphen/>
        <w:t>ное строительство бензоемкостей НКО на территории ЗАКВО, в размере 4 млн рублей, немедленно перечислить в распоряжение Наркомстроя» (РГАСПИ.Ф. 17. Оп. 162. Д. 27. Л. 143.) (11710,307).</w:t>
      </w:r>
    </w:p>
    <w:p w14:paraId="5C1DF1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3C0CC1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166218E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C62E0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 в докладе начальников штабов Великобри</w:t>
      </w:r>
      <w:r w:rsidRPr="00DB5D0D">
        <w:rPr>
          <w:rFonts w:ascii="Times New Roman" w:hAnsi="Times New Roman"/>
          <w:color w:val="000000" w:themeColor="text1"/>
          <w:sz w:val="16"/>
          <w:szCs w:val="16"/>
        </w:rPr>
        <w:softHyphen/>
        <w:t>тании военному кабинету был признан тот факт, что для осуществления планируемой акции против СССР нет соответствующих ресурсов (Сиполс В.Я. Указ. соч. С. 138.) (11710,303).</w:t>
      </w:r>
    </w:p>
    <w:p w14:paraId="0851A5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F52DE0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91D691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856A048" w14:textId="77777777" w:rsidR="00C20C91" w:rsidRPr="00DB5D0D" w:rsidRDefault="00C20C91"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29 мая</w:t>
      </w:r>
      <w:r w:rsidRPr="00DB5D0D">
        <w:rPr>
          <w:rFonts w:ascii="Times New Roman" w:hAnsi="Times New Roman"/>
          <w:color w:val="000000" w:themeColor="text1"/>
          <w:sz w:val="16"/>
          <w:szCs w:val="16"/>
        </w:rPr>
        <w:t xml:space="preserve"> в 1940 году состоялась макетная комиссия, а чеpез несколько дней "Юнкеpс" получил заказ на тpи опытных самолета, названных </w:t>
      </w:r>
      <w:hyperlink r:id="rId63" w:tgtFrame="_blank" w:history="1">
        <w:r w:rsidRPr="00DB5D0D">
          <w:rPr>
            <w:rFonts w:ascii="Times New Roman" w:hAnsi="Times New Roman"/>
            <w:color w:val="000000" w:themeColor="text1"/>
            <w:sz w:val="16"/>
            <w:szCs w:val="16"/>
          </w:rPr>
          <w:t>«Ju.288» (14906).</w:t>
        </w:r>
      </w:hyperlink>
    </w:p>
    <w:p w14:paraId="1E4FB1B7" w14:textId="77777777" w:rsidR="00C20C91" w:rsidRPr="00DB5D0D" w:rsidRDefault="00C20C91" w:rsidP="00DB5D0D">
      <w:pPr>
        <w:spacing w:after="0" w:line="240" w:lineRule="auto"/>
        <w:jc w:val="both"/>
        <w:rPr>
          <w:rFonts w:ascii="Times New Roman" w:hAnsi="Times New Roman"/>
          <w:bCs/>
          <w:color w:val="000000" w:themeColor="text1"/>
          <w:sz w:val="16"/>
          <w:szCs w:val="16"/>
        </w:rPr>
      </w:pPr>
    </w:p>
    <w:p w14:paraId="72617EDC" w14:textId="77777777" w:rsidR="00C20C91" w:rsidRPr="00DB5D0D" w:rsidRDefault="00C20C9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29 мая</w:t>
      </w:r>
      <w:r w:rsidRPr="00DB5D0D">
        <w:rPr>
          <w:rFonts w:ascii="Times New Roman" w:hAnsi="Times New Roman"/>
          <w:color w:val="000000" w:themeColor="text1"/>
          <w:sz w:val="16"/>
          <w:szCs w:val="16"/>
        </w:rPr>
        <w:t xml:space="preserve"> в 1940 году первый полет выполнил прототип </w:t>
      </w:r>
      <w:hyperlink r:id="rId64" w:tgtFrame="_blank" w:history="1">
        <w:r w:rsidRPr="00DB5D0D">
          <w:rPr>
            <w:rFonts w:ascii="Times New Roman" w:hAnsi="Times New Roman"/>
            <w:color w:val="000000" w:themeColor="text1"/>
            <w:sz w:val="16"/>
            <w:szCs w:val="16"/>
          </w:rPr>
          <w:t xml:space="preserve">«Vought» «XF4U-1», </w:t>
        </w:r>
      </w:hyperlink>
      <w:r w:rsidRPr="00DB5D0D">
        <w:rPr>
          <w:rFonts w:ascii="Times New Roman" w:hAnsi="Times New Roman"/>
          <w:color w:val="000000" w:themeColor="text1"/>
          <w:sz w:val="16"/>
          <w:szCs w:val="16"/>
        </w:rPr>
        <w:t>на основе которого был создан один из лучших палубных истребителей Второй мировой войны (14906).</w:t>
      </w:r>
    </w:p>
    <w:p w14:paraId="214CC5C5" w14:textId="77777777" w:rsidR="00C20C91" w:rsidRPr="00DB5D0D" w:rsidRDefault="00C20C91" w:rsidP="00DB5D0D">
      <w:pPr>
        <w:spacing w:after="0" w:line="240" w:lineRule="auto"/>
        <w:jc w:val="both"/>
        <w:rPr>
          <w:rFonts w:ascii="Times New Roman" w:hAnsi="Times New Roman"/>
          <w:color w:val="000000" w:themeColor="text1"/>
          <w:sz w:val="16"/>
          <w:szCs w:val="16"/>
        </w:rPr>
      </w:pPr>
    </w:p>
    <w:p w14:paraId="194BD62F" w14:textId="77777777" w:rsidR="00C20C91" w:rsidRPr="00DB5D0D" w:rsidRDefault="00C20C9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29 1940 Chance Vought F4U Corsair Navy fighter with inverted full wing made first test flight (1038).</w:t>
      </w:r>
    </w:p>
    <w:p w14:paraId="0D6484B8" w14:textId="77777777" w:rsidR="00C20C91" w:rsidRPr="00DB5D0D" w:rsidRDefault="00C20C91" w:rsidP="00DB5D0D">
      <w:pPr>
        <w:spacing w:after="0" w:line="240" w:lineRule="auto"/>
        <w:jc w:val="both"/>
        <w:rPr>
          <w:rFonts w:ascii="Times New Roman" w:hAnsi="Times New Roman"/>
          <w:color w:val="000000" w:themeColor="text1"/>
          <w:sz w:val="16"/>
          <w:szCs w:val="16"/>
          <w:lang w:val="en-US"/>
        </w:rPr>
      </w:pPr>
    </w:p>
    <w:p w14:paraId="644450CC" w14:textId="77777777" w:rsidR="00C20C91" w:rsidRPr="00DB5D0D" w:rsidRDefault="00C20C9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истребитель F4U Корсар фирмы Chance Vought с крылом типа "обратная чайка" выполнил первый полет (1038).</w:t>
      </w:r>
    </w:p>
    <w:p w14:paraId="2BDC86AA" w14:textId="77777777" w:rsidR="00C20C91" w:rsidRPr="00DB5D0D" w:rsidRDefault="00C20C91" w:rsidP="00DB5D0D">
      <w:pPr>
        <w:spacing w:after="0" w:line="240" w:lineRule="auto"/>
        <w:jc w:val="both"/>
        <w:rPr>
          <w:rFonts w:ascii="Times New Roman" w:hAnsi="Times New Roman"/>
          <w:color w:val="000000" w:themeColor="text1"/>
          <w:sz w:val="16"/>
          <w:szCs w:val="16"/>
        </w:rPr>
      </w:pPr>
    </w:p>
    <w:p w14:paraId="555B1998"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29 мая 1940 выполнил первый полет Vought XF4U-1, прототип F4U Corsair (20795).</w:t>
      </w:r>
    </w:p>
    <w:p w14:paraId="22F1C220" w14:textId="77777777" w:rsidR="006217E3" w:rsidRPr="00DB5D0D" w:rsidRDefault="006217E3" w:rsidP="00DB5D0D">
      <w:pPr>
        <w:spacing w:after="0" w:line="240" w:lineRule="auto"/>
        <w:jc w:val="both"/>
        <w:rPr>
          <w:rFonts w:ascii="Times New Roman" w:hAnsi="Times New Roman"/>
          <w:color w:val="0070C0"/>
          <w:sz w:val="16"/>
          <w:szCs w:val="16"/>
        </w:rPr>
      </w:pPr>
    </w:p>
    <w:p w14:paraId="2FB0FA4D"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29 мая 1940 - Лётчик Лаймен Бьюльярд выполнил первый полёт на прототипе Vought XF4U-1, на основе которого был создан один из лучших палубных истребителей Второй мировой F4U Corsair (22486).</w:t>
      </w:r>
    </w:p>
    <w:p w14:paraId="337F2A0D" w14:textId="77777777" w:rsidR="006217E3" w:rsidRPr="00DB5D0D" w:rsidRDefault="006217E3" w:rsidP="00DB5D0D">
      <w:pPr>
        <w:spacing w:after="0" w:line="240" w:lineRule="auto"/>
        <w:jc w:val="both"/>
        <w:rPr>
          <w:rFonts w:ascii="Times New Roman" w:hAnsi="Times New Roman"/>
          <w:color w:val="0070C0"/>
          <w:sz w:val="16"/>
          <w:szCs w:val="16"/>
        </w:rPr>
      </w:pPr>
    </w:p>
    <w:p w14:paraId="307CF28A"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29 мая 1940 года истребитель XF4U-1 фирмы Chance Vought совершил свой первый полет. Летчик-испытатель Люман Буллард (Lyman A. Bullard) выполнил на нем несколько стандартных маневров и, удалившись от аэродрома, начал разгонять машину. На скорости 370 км/ч он ощутил сильные удары по ручке управления и нарастающую вибрацию самолета. После снижения скорости вибрация и удары прекратились, но резко возросли усилия в канале управления по крену. С большим трудом Буллард посадил истребитель. Осмотр машины и анализ произошедшего показал, что пилот в полете столкнулся с таким явлением, как изгибно-элеронный флаттер крыла. Сильные вибрации и колебания начали разрушать конструкцию, и у элеронов уже оторвало триммеры. Опасный полет продлился 38 минут.</w:t>
      </w:r>
    </w:p>
    <w:p w14:paraId="44716C5A"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Путем модификации системы управления и балансировки элеронов флаттер удалось устранить. Испытания продолжились и выявили еще несколько проблем, главной из которых был перегрев головок цилиндров второй звезды. Кроме этого, военные потребовали улучшения штопорных характеристик. Им хотелось, чтобы истребитель выходил из штопора уже после первого витка (ранее они допускали выполнение двух витков). Все это затягивало процесс доводки опытного образца. В пятом полете второй летчик-испытатель самолета Бун Гайтон (Boone T. Guyton) совершил вынужденную посадку по причине выработки топлива. Истребитель пришлось сажать на поле для игры в гольф недалеко от аэродрома. После прошедших проливных дождей поле раскисло. Гайтон отчаянно пытался остановить машину, которая скользила по грязи и мокрой траве, но ему это не удалось. Истребитель потерпел аварию, врезавшись в деревья. Прочная конструкция сохранила пилоту жизнь и позволила в кратчайшие сроки восстановить поврежденную машину. Через два месяца XF4U-1 был опять готов к полетам (22903).</w:t>
      </w:r>
    </w:p>
    <w:p w14:paraId="4E5698D4" w14:textId="77777777" w:rsidR="006217E3" w:rsidRPr="00DB5D0D" w:rsidRDefault="006217E3" w:rsidP="00DB5D0D">
      <w:pPr>
        <w:spacing w:after="0" w:line="240" w:lineRule="auto"/>
        <w:jc w:val="both"/>
        <w:rPr>
          <w:rFonts w:ascii="Times New Roman" w:hAnsi="Times New Roman"/>
          <w:color w:val="0070C0"/>
          <w:sz w:val="16"/>
          <w:szCs w:val="16"/>
        </w:rPr>
      </w:pPr>
    </w:p>
    <w:p w14:paraId="4626F875" w14:textId="77777777" w:rsidR="00C20C91" w:rsidRPr="00DB5D0D" w:rsidRDefault="00C20C9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Louis Turner из Принстонского университета указал, что плутоний, имеющий даже лучшие характеристики деления, чем уран 235, может быть получен в ходе цепной реакции. Сциллард попросил Тернера воздержаться от публикации (2220).</w:t>
      </w:r>
    </w:p>
    <w:p w14:paraId="60166C08" w14:textId="77777777" w:rsidR="00C20C91" w:rsidRPr="00DB5D0D" w:rsidRDefault="00C20C91" w:rsidP="00DB5D0D">
      <w:pPr>
        <w:spacing w:after="0" w:line="240" w:lineRule="auto"/>
        <w:jc w:val="both"/>
        <w:rPr>
          <w:rFonts w:ascii="Times New Roman" w:hAnsi="Times New Roman"/>
          <w:color w:val="000000" w:themeColor="text1"/>
          <w:sz w:val="16"/>
          <w:szCs w:val="16"/>
        </w:rPr>
      </w:pPr>
    </w:p>
    <w:p w14:paraId="573B4C57" w14:textId="77777777" w:rsidR="00C20C91" w:rsidRPr="00DB5D0D" w:rsidRDefault="00C20C9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29 мая</w:t>
      </w:r>
      <w:r w:rsidRPr="00DB5D0D">
        <w:rPr>
          <w:rFonts w:ascii="Times New Roman" w:hAnsi="Times New Roman"/>
          <w:color w:val="000000" w:themeColor="text1"/>
          <w:sz w:val="16"/>
          <w:szCs w:val="16"/>
        </w:rPr>
        <w:t xml:space="preserve"> в 1940 году первые британские войска эвакуируются из Dunkirk (14906).</w:t>
      </w:r>
    </w:p>
    <w:p w14:paraId="18EC92DB" w14:textId="77777777" w:rsidR="00C20C91" w:rsidRPr="00DB5D0D" w:rsidRDefault="00C20C91" w:rsidP="00DB5D0D">
      <w:pPr>
        <w:spacing w:after="0" w:line="240" w:lineRule="auto"/>
        <w:jc w:val="both"/>
        <w:rPr>
          <w:rFonts w:ascii="Times New Roman" w:hAnsi="Times New Roman"/>
          <w:color w:val="000000" w:themeColor="text1"/>
          <w:sz w:val="16"/>
          <w:szCs w:val="16"/>
        </w:rPr>
      </w:pPr>
    </w:p>
    <w:p w14:paraId="46CA889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немецкие войска захватили города Остенде, Ипр (Бельгия) и Лилль (Франция) (4962).</w:t>
      </w:r>
    </w:p>
    <w:p w14:paraId="62E6E91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F87ED58"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29th, 1940: In the West, the German 6.Armee occupies Lille, Ypres and Ostend. Off the beaches at Dunkirk, the British Navy loses 5 destroyers and 15 other vessels to Luftwaffe Stuka attacks (3819).</w:t>
      </w:r>
    </w:p>
    <w:p w14:paraId="2CA91D5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6ED75A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6А оккупировала Лиль, Ипр и Остенд. У берегов Дюнкерка британский Королевский ВМФ потерял 5 эсминцев и 15 других кораблей от атак Ю-87 (3819).</w:t>
      </w:r>
    </w:p>
    <w:p w14:paraId="56B0826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86C2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Румыния подписала пакт с Германией по вопросам вооружений и нефти (2259).</w:t>
      </w:r>
    </w:p>
    <w:p w14:paraId="68ED98C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E0A1E7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53FD32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C959A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мая 1940 О.Клепикова установила международный рекорд дальности полета на одноместном планере Рот-Фронт-7 в заранее намеченный пункт (289 км) (271,190) - из Тушино в Муром - 289 км по прямой (438,783).</w:t>
      </w:r>
    </w:p>
    <w:p w14:paraId="7241C95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D6ED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мая 1940 Маршал Тимошенко писал в Политбюро ЦК ВКП(б) И.В.С. и Пред. СНК В.М.М. N 360с (вход. НКАП 2695с от 3 июня 1940):</w:t>
      </w:r>
    </w:p>
    <w:p w14:paraId="3050AD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"Представляю письмо германского ВВ атташе п Ашенбреннера, в котором он опросит показать двум германским и "организацию АП в СССР", а также ему с помошниками - авиачасти и авиазаводы.</w:t>
      </w:r>
    </w:p>
    <w:p w14:paraId="2217B7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Справку об объектах, осмотренных помошником военного атташе в Германии п Скорняковым - прилагаю.</w:t>
      </w:r>
    </w:p>
    <w:p w14:paraId="02F9E0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своей стороны, полагал бы возможным показать:</w:t>
      </w:r>
    </w:p>
    <w:p w14:paraId="47373F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Полковнику Ашенбреннеру и его помошнику:</w:t>
      </w:r>
    </w:p>
    <w:p w14:paraId="2D85B2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ВВА им. Жуковского</w:t>
      </w:r>
    </w:p>
    <w:p w14:paraId="7D1E4E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52 истребительную бригаду в Люберцах</w:t>
      </w:r>
    </w:p>
    <w:p w14:paraId="0EB5F7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16 бап в Ржеве</w:t>
      </w:r>
    </w:p>
    <w:p w14:paraId="75EED2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двум германским и, вместе с п Ашенбреннером - 2-3 авиазавода, по усмотрению Наркома А.И.Ш.</w:t>
      </w:r>
    </w:p>
    <w:p w14:paraId="660D55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указаний." (1379,228).</w:t>
      </w:r>
    </w:p>
    <w:p w14:paraId="2899F9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Резолюция А.И.Ш.:</w:t>
      </w:r>
    </w:p>
    <w:p w14:paraId="360AFC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w:t>
      </w:r>
    </w:p>
    <w:p w14:paraId="5E8DE7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Подготовить к осмотру заводы 22, 1 и 213 и 24</w:t>
      </w:r>
    </w:p>
    <w:p w14:paraId="04E981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Составить программу осмотра" А.И.Ш. 02 июня 1940</w:t>
      </w:r>
    </w:p>
    <w:p w14:paraId="0D1A36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отдел внешних сношений НКО СССР</w:t>
      </w:r>
    </w:p>
    <w:p w14:paraId="41B77F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того, что в течение последних месяцев многим советским офицерам и и были в Германии показаны почти все отрасли АП, Техотдел Германского Авиационного Министерства обращается к Вам с просьбой - дать двум немецким и возможность посетить организации АП в СССР.</w:t>
      </w:r>
    </w:p>
    <w:p w14:paraId="37A5E2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и советскому военному атташе в Берлине - п. Скорнякову, по части авиации было многое показано в Германии, я был бы благодарен, если бы и мне и моему техническому помошнику, который вскоре прибудет в Москву, была дана возможность осмотра военно-авиационной промышленности и ВВС.</w:t>
      </w:r>
    </w:p>
    <w:p w14:paraId="71E48A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окажется возможным удовлетворить последнюю просьбу, прошу соединить мое посещение с осмотром обоих и из Германского Авиационного Министерства.</w:t>
      </w:r>
    </w:p>
    <w:p w14:paraId="67B1DD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Выбор того предприятия, что предвидится показать мне, во всех отношениях предоставляю соответствующим органам советской авиации, причем сам не предъявляю никаких просьб.</w:t>
      </w:r>
    </w:p>
    <w:p w14:paraId="2D7F84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Имею честь заблаговременно сообщить мне программу и сроки посещений, чтобы ориентировать обоих немецких и.</w:t>
      </w:r>
    </w:p>
    <w:p w14:paraId="1017A5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Пользуясь случаем, прошу принять уверения в совершенном к вам почтении. Ашенбреннер.</w:t>
      </w:r>
    </w:p>
    <w:p w14:paraId="763B2C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w:t>
      </w:r>
    </w:p>
    <w:p w14:paraId="57315C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авиационных объектах, осмотренных пом. военного атташе в Германии - п Скорняковым с октября 1939 по май 1940:</w:t>
      </w:r>
    </w:p>
    <w:p w14:paraId="1BB1D4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Подземный узел управления Геринга и казармы авиачастей</w:t>
      </w:r>
    </w:p>
    <w:p w14:paraId="103C7A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Бомбардировочная группа Х-Ш в Гиссене</w:t>
      </w:r>
    </w:p>
    <w:p w14:paraId="7B2557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Авиаотряд дальних разведчиков До-17 в Кобленце</w:t>
      </w:r>
    </w:p>
    <w:p w14:paraId="6291B6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Эскадрилья пикировщиков Ю-87 в Кельне</w:t>
      </w:r>
    </w:p>
    <w:p w14:paraId="0B0F5A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Штаб ПВО пром. области и участок ПВО района Дюссельдорф." (1379,228).</w:t>
      </w:r>
    </w:p>
    <w:p w14:paraId="66FF376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FD8CE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514AC3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51F18A4"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На 30 мая 1940 г. была поготовлена Сводка о состоянии производства опытной серии машин А-34 на ХПЗ:</w:t>
      </w:r>
    </w:p>
    <w:p w14:paraId="15010593"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На 30.05.1940 г. изготовлено 4 корпуса, из них 1 отправлен на СТЗ, три находятся на сборке ; первая башня будет готова лишь к 31.05.1940 г. и будет отправлена на СТЗ ; для первых машин определена партия в 10 шт.; имеется лишь 5 стартеров, резины для опорных катков на две машины. </w:t>
      </w:r>
    </w:p>
    <w:p w14:paraId="633FA281"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Старший военпред Козырев (11450).</w:t>
      </w:r>
    </w:p>
    <w:p w14:paraId="1B4A215B"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05EE6885"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30</w:t>
      </w:r>
      <w:r w:rsidRPr="00DB5D0D">
        <w:rPr>
          <w:rFonts w:ascii="Times New Roman" w:hAnsi="Times New Roman" w:cs="Times New Roman"/>
          <w:i w:val="0"/>
          <w:iCs w:val="0"/>
          <w:noProof w:val="0"/>
          <w:color w:val="000000" w:themeColor="text1"/>
          <w:sz w:val="16"/>
          <w:szCs w:val="16"/>
          <w:lang w:val="ru-RU"/>
        </w:rPr>
        <w:t xml:space="preserve"> мая </w:t>
      </w:r>
      <w:r w:rsidRPr="00DB5D0D">
        <w:rPr>
          <w:rFonts w:ascii="Times New Roman" w:hAnsi="Times New Roman" w:cs="Times New Roman"/>
          <w:i w:val="0"/>
          <w:iCs w:val="0"/>
          <w:color w:val="000000" w:themeColor="text1"/>
          <w:sz w:val="16"/>
          <w:szCs w:val="16"/>
          <w:lang w:val="ru-RU"/>
        </w:rPr>
        <w:t xml:space="preserve">1940 </w:t>
      </w:r>
    </w:p>
    <w:p w14:paraId="262C5C3B"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noProof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НАЧАЛЬНИКУ 8 ОТДЕЛА АБТУ КА ВОЕНИНЖЕНЕРУ</w:t>
      </w:r>
      <w:r w:rsidRPr="00DB5D0D">
        <w:rPr>
          <w:rFonts w:ascii="Times New Roman" w:hAnsi="Times New Roman" w:cs="Times New Roman"/>
          <w:i w:val="0"/>
          <w:iCs w:val="0"/>
          <w:color w:val="000000" w:themeColor="text1"/>
          <w:sz w:val="16"/>
          <w:szCs w:val="16"/>
        </w:rPr>
        <w:t>I</w:t>
      </w:r>
      <w:r w:rsidRPr="00DB5D0D">
        <w:rPr>
          <w:rFonts w:ascii="Times New Roman" w:hAnsi="Times New Roman" w:cs="Times New Roman"/>
          <w:i w:val="0"/>
          <w:iCs w:val="0"/>
          <w:color w:val="000000" w:themeColor="text1"/>
          <w:sz w:val="16"/>
          <w:szCs w:val="16"/>
          <w:lang w:val="ru-RU"/>
        </w:rPr>
        <w:t xml:space="preserve"> РАНГА т. АФОНИНУ</w:t>
      </w:r>
    </w:p>
    <w:p w14:paraId="0EDB19D4"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noProof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 xml:space="preserve">НАЧАЛЬНИКУ 4 ОТДЕЛА АБТУ КА ВОЕНИНЖЕНЕРУ </w:t>
      </w:r>
      <w:r w:rsidRPr="00DB5D0D">
        <w:rPr>
          <w:rFonts w:ascii="Times New Roman" w:hAnsi="Times New Roman" w:cs="Times New Roman"/>
          <w:i w:val="0"/>
          <w:iCs w:val="0"/>
          <w:color w:val="000000" w:themeColor="text1"/>
          <w:sz w:val="16"/>
          <w:szCs w:val="16"/>
        </w:rPr>
        <w:t>I</w:t>
      </w:r>
      <w:r w:rsidRPr="00DB5D0D">
        <w:rPr>
          <w:rFonts w:ascii="Times New Roman" w:hAnsi="Times New Roman" w:cs="Times New Roman"/>
          <w:i w:val="0"/>
          <w:iCs w:val="0"/>
          <w:color w:val="000000" w:themeColor="text1"/>
          <w:sz w:val="16"/>
          <w:szCs w:val="16"/>
          <w:lang w:val="ru-RU"/>
        </w:rPr>
        <w:t xml:space="preserve"> РАНГА т. АЛЫМОВУ</w:t>
      </w:r>
    </w:p>
    <w:p w14:paraId="067A9E0E"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СВОДКА№243с</w:t>
      </w:r>
      <w:r w:rsidRPr="00DB5D0D">
        <w:rPr>
          <w:rStyle w:val="117"/>
          <w:rFonts w:ascii="Times New Roman" w:hAnsi="Times New Roman" w:cs="Times New Roman"/>
          <w:iCs/>
          <w:color w:val="000000" w:themeColor="text1"/>
          <w:sz w:val="16"/>
          <w:szCs w:val="16"/>
          <w:lang w:val="ru-RU"/>
        </w:rPr>
        <w:t>О СОСТОЯНИИ ПРОИЗВОДСТВА ПО ОПЫТНОЙ СЕРИИ МАШИНЫ «А-34»</w:t>
      </w:r>
    </w:p>
    <w:p w14:paraId="290E2FDE"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noProof w:val="0"/>
          <w:color w:val="000000" w:themeColor="text1"/>
          <w:sz w:val="16"/>
          <w:szCs w:val="16"/>
          <w:lang w:val="ru-RU"/>
        </w:rPr>
        <w:t>...</w:t>
      </w:r>
      <w:r w:rsidRPr="00DB5D0D">
        <w:rPr>
          <w:rFonts w:ascii="Times New Roman" w:hAnsi="Times New Roman" w:cs="Times New Roman"/>
          <w:i w:val="0"/>
          <w:iCs w:val="0"/>
          <w:color w:val="000000" w:themeColor="text1"/>
          <w:sz w:val="16"/>
          <w:szCs w:val="16"/>
          <w:lang w:val="ru-RU"/>
        </w:rPr>
        <w:t>На 30 мая с. г. изготовлено: 4 корпуса, из них один отправлен Сталинградскому заводу, три находятся на сборке.</w:t>
      </w:r>
    </w:p>
    <w:p w14:paraId="204F14A4"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Из-за отсутствия материала на лопатки вентилятора, последний задержался в производстве и только 29/</w:t>
      </w:r>
      <w:r w:rsidRPr="00DB5D0D">
        <w:rPr>
          <w:rFonts w:ascii="Times New Roman" w:hAnsi="Times New Roman" w:cs="Times New Roman"/>
          <w:i w:val="0"/>
          <w:iCs w:val="0"/>
          <w:noProof w:val="0"/>
          <w:color w:val="000000" w:themeColor="text1"/>
          <w:sz w:val="16"/>
          <w:szCs w:val="16"/>
        </w:rPr>
        <w:t>V</w:t>
      </w:r>
      <w:r w:rsidRPr="00DB5D0D">
        <w:rPr>
          <w:rFonts w:ascii="Times New Roman" w:hAnsi="Times New Roman" w:cs="Times New Roman"/>
          <w:i w:val="0"/>
          <w:iCs w:val="0"/>
          <w:color w:val="000000" w:themeColor="text1"/>
          <w:sz w:val="16"/>
          <w:szCs w:val="16"/>
          <w:lang w:val="ru-RU"/>
        </w:rPr>
        <w:t>-40 г. был изготовлен, так же задерживаются в производстве башни, первая башня, которая будет готова 31/</w:t>
      </w:r>
      <w:r w:rsidRPr="00DB5D0D">
        <w:rPr>
          <w:rFonts w:ascii="Times New Roman" w:hAnsi="Times New Roman" w:cs="Times New Roman"/>
          <w:i w:val="0"/>
          <w:iCs w:val="0"/>
          <w:noProof w:val="0"/>
          <w:color w:val="000000" w:themeColor="text1"/>
          <w:sz w:val="16"/>
          <w:szCs w:val="16"/>
        </w:rPr>
        <w:t>V</w:t>
      </w:r>
      <w:r w:rsidRPr="00DB5D0D">
        <w:rPr>
          <w:rFonts w:ascii="Times New Roman" w:hAnsi="Times New Roman" w:cs="Times New Roman"/>
          <w:i w:val="0"/>
          <w:iCs w:val="0"/>
          <w:color w:val="000000" w:themeColor="text1"/>
          <w:sz w:val="16"/>
          <w:szCs w:val="16"/>
          <w:lang w:val="ru-RU"/>
        </w:rPr>
        <w:t>-40 г. будет отправлена Сталинградскому заводу. Кроме этого на первую машину нет несколько наименований дета</w:t>
      </w:r>
      <w:r w:rsidRPr="00DB5D0D">
        <w:rPr>
          <w:rFonts w:ascii="Times New Roman" w:hAnsi="Times New Roman" w:cs="Times New Roman"/>
          <w:i w:val="0"/>
          <w:iCs w:val="0"/>
          <w:color w:val="000000" w:themeColor="text1"/>
          <w:sz w:val="16"/>
          <w:szCs w:val="16"/>
          <w:lang w:val="ru-RU"/>
        </w:rPr>
        <w:softHyphen/>
        <w:t>лей, которые в основном изготовляются взамен брака, в это число входят и броневые трудоемкие детали (крышка бортовой передачи и защита ДГ), последние после термообработки дали трещины и были забракованы. В настоящее время изготовлена новая партия этих деталей, и образцы отправлены в Мариуполь на обстрел. Мате</w:t>
      </w:r>
      <w:r w:rsidRPr="00DB5D0D">
        <w:rPr>
          <w:rFonts w:ascii="Times New Roman" w:hAnsi="Times New Roman" w:cs="Times New Roman"/>
          <w:i w:val="0"/>
          <w:iCs w:val="0"/>
          <w:color w:val="000000" w:themeColor="text1"/>
          <w:sz w:val="16"/>
          <w:szCs w:val="16"/>
          <w:lang w:val="ru-RU"/>
        </w:rPr>
        <w:softHyphen/>
        <w:t>риалы обстрела еще не поступили.</w:t>
      </w:r>
    </w:p>
    <w:p w14:paraId="14D7ABE0"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По всем этим причинам выпуск первой машины может задер</w:t>
      </w:r>
      <w:r w:rsidRPr="00DB5D0D">
        <w:rPr>
          <w:rFonts w:ascii="Times New Roman" w:hAnsi="Times New Roman" w:cs="Times New Roman"/>
          <w:i w:val="0"/>
          <w:iCs w:val="0"/>
          <w:color w:val="000000" w:themeColor="text1"/>
          <w:sz w:val="16"/>
          <w:szCs w:val="16"/>
          <w:lang w:val="ru-RU"/>
        </w:rPr>
        <w:softHyphen/>
        <w:t>жаться до 10/</w:t>
      </w:r>
      <w:r w:rsidRPr="00DB5D0D">
        <w:rPr>
          <w:rFonts w:ascii="Times New Roman" w:hAnsi="Times New Roman" w:cs="Times New Roman"/>
          <w:i w:val="0"/>
          <w:iCs w:val="0"/>
          <w:noProof w:val="0"/>
          <w:color w:val="000000" w:themeColor="text1"/>
          <w:sz w:val="16"/>
          <w:szCs w:val="16"/>
        </w:rPr>
        <w:t>VI</w:t>
      </w:r>
      <w:r w:rsidRPr="00DB5D0D">
        <w:rPr>
          <w:rFonts w:ascii="Times New Roman" w:hAnsi="Times New Roman" w:cs="Times New Roman"/>
          <w:i w:val="0"/>
          <w:iCs w:val="0"/>
          <w:color w:val="000000" w:themeColor="text1"/>
          <w:sz w:val="16"/>
          <w:szCs w:val="16"/>
          <w:lang w:val="ru-RU"/>
        </w:rPr>
        <w:t>-40</w:t>
      </w:r>
      <w:r w:rsidRPr="00DB5D0D">
        <w:rPr>
          <w:rFonts w:ascii="Times New Roman" w:hAnsi="Times New Roman" w:cs="Times New Roman"/>
          <w:i w:val="0"/>
          <w:iCs w:val="0"/>
          <w:noProof w:val="0"/>
          <w:color w:val="000000" w:themeColor="text1"/>
          <w:sz w:val="16"/>
          <w:szCs w:val="16"/>
        </w:rPr>
        <w:t>r</w:t>
      </w:r>
      <w:r w:rsidRPr="00DB5D0D">
        <w:rPr>
          <w:rFonts w:ascii="Times New Roman" w:hAnsi="Times New Roman" w:cs="Times New Roman"/>
          <w:i w:val="0"/>
          <w:iCs w:val="0"/>
          <w:color w:val="000000" w:themeColor="text1"/>
          <w:sz w:val="16"/>
          <w:szCs w:val="16"/>
          <w:lang w:val="ru-RU"/>
        </w:rPr>
        <w:t>.</w:t>
      </w:r>
    </w:p>
    <w:p w14:paraId="30E9711D"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По обеспеченности всех 10 машин имеем следующее:</w:t>
      </w:r>
    </w:p>
    <w:p w14:paraId="06A53CFB" w14:textId="77777777" w:rsidR="00A25AD1" w:rsidRPr="00DB5D0D" w:rsidRDefault="00A25AD1" w:rsidP="00DB5D0D">
      <w:pPr>
        <w:pStyle w:val="1110"/>
        <w:shd w:val="clear" w:color="auto" w:fill="auto"/>
        <w:tabs>
          <w:tab w:val="left" w:pos="51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1.Нет совсем на заводе ШАУ, подъемных механизмов и стопо</w:t>
      </w:r>
      <w:r w:rsidRPr="00DB5D0D">
        <w:rPr>
          <w:rFonts w:ascii="Times New Roman" w:hAnsi="Times New Roman" w:cs="Times New Roman"/>
          <w:i w:val="0"/>
          <w:iCs w:val="0"/>
          <w:color w:val="000000" w:themeColor="text1"/>
          <w:sz w:val="16"/>
          <w:szCs w:val="16"/>
          <w:lang w:val="ru-RU"/>
        </w:rPr>
        <w:softHyphen/>
        <w:t>ров пушки.</w:t>
      </w:r>
    </w:p>
    <w:p w14:paraId="0C211BB0" w14:textId="77777777" w:rsidR="00A25AD1" w:rsidRPr="00DB5D0D" w:rsidRDefault="00A25AD1" w:rsidP="00DB5D0D">
      <w:pPr>
        <w:pStyle w:val="1110"/>
        <w:shd w:val="clear" w:color="auto" w:fill="auto"/>
        <w:tabs>
          <w:tab w:val="left" w:pos="507"/>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2.Стартеров имеется - 5 штук.</w:t>
      </w:r>
    </w:p>
    <w:p w14:paraId="6D2FF2BF" w14:textId="77777777" w:rsidR="00A25AD1" w:rsidRPr="00DB5D0D" w:rsidRDefault="00A25AD1" w:rsidP="00DB5D0D">
      <w:pPr>
        <w:pStyle w:val="1110"/>
        <w:shd w:val="clear" w:color="auto" w:fill="auto"/>
        <w:tabs>
          <w:tab w:val="left" w:pos="507"/>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3.Приводов -на2машины.</w:t>
      </w:r>
    </w:p>
    <w:p w14:paraId="638071FC" w14:textId="77777777" w:rsidR="00A25AD1" w:rsidRPr="00DB5D0D" w:rsidRDefault="00A25AD1" w:rsidP="00DB5D0D">
      <w:pPr>
        <w:pStyle w:val="1110"/>
        <w:shd w:val="clear" w:color="auto" w:fill="auto"/>
        <w:tabs>
          <w:tab w:val="left" w:pos="507"/>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4.Резина колес — на 2 машины.</w:t>
      </w:r>
    </w:p>
    <w:p w14:paraId="51A1C044" w14:textId="77777777" w:rsidR="00A25AD1" w:rsidRPr="00DB5D0D" w:rsidRDefault="00A25AD1" w:rsidP="00DB5D0D">
      <w:pPr>
        <w:pStyle w:val="1110"/>
        <w:shd w:val="clear" w:color="auto" w:fill="auto"/>
        <w:tabs>
          <w:tab w:val="left" w:pos="502"/>
        </w:tabs>
        <w:spacing w:line="240" w:lineRule="auto"/>
        <w:jc w:val="both"/>
        <w:rPr>
          <w:rFonts w:ascii="Times New Roman" w:hAnsi="Times New Roman" w:cs="Times New Roman"/>
          <w:i w:val="0"/>
          <w:iCs w:val="0"/>
          <w:noProof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5.К рациям нет совсем телекодов и новых штыревых антенн.</w:t>
      </w:r>
    </w:p>
    <w:p w14:paraId="4559C3E0"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Во всем остальном есть полная обеспеченность.</w:t>
      </w:r>
    </w:p>
    <w:p w14:paraId="1FBC33AE"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lastRenderedPageBreak/>
        <w:t>СТ. ВОЕНПРЕД АБТУ КА ВОЕНИНЖЕНЕР 2 РАНГА КОЗЫРЕВ ПОМ. ВОЕНПРЕДА АБТУ КА ВОЕНИНЖЕНЕР 3 РАНГА ПАВЛОВ.</w:t>
      </w:r>
      <w:r w:rsidRPr="00DB5D0D">
        <w:rPr>
          <w:rStyle w:val="11110"/>
          <w:rFonts w:ascii="Times New Roman" w:hAnsi="Times New Roman" w:cs="Times New Roman"/>
          <w:color w:val="000000" w:themeColor="text1"/>
          <w:spacing w:val="0"/>
          <w:sz w:val="16"/>
          <w:szCs w:val="16"/>
          <w:lang w:val="ru-RU"/>
        </w:rPr>
        <w:t xml:space="preserve"> [</w:t>
      </w:r>
      <w:r w:rsidRPr="00DB5D0D">
        <w:rPr>
          <w:rFonts w:ascii="Times New Roman" w:hAnsi="Times New Roman" w:cs="Times New Roman"/>
          <w:i w:val="0"/>
          <w:iCs w:val="0"/>
          <w:color w:val="000000" w:themeColor="text1"/>
          <w:sz w:val="16"/>
          <w:szCs w:val="16"/>
          <w:lang w:val="ru-RU"/>
        </w:rPr>
        <w:t xml:space="preserve">ЦАМО. Ф.38. </w:t>
      </w:r>
      <w:r w:rsidRPr="00DB5D0D">
        <w:rPr>
          <w:rFonts w:ascii="Times New Roman" w:hAnsi="Times New Roman" w:cs="Times New Roman"/>
          <w:i w:val="0"/>
          <w:iCs w:val="0"/>
          <w:noProof w:val="0"/>
          <w:color w:val="000000" w:themeColor="text1"/>
          <w:sz w:val="16"/>
          <w:szCs w:val="16"/>
        </w:rPr>
        <w:t>On</w:t>
      </w:r>
      <w:r w:rsidRPr="00DB5D0D">
        <w:rPr>
          <w:rFonts w:ascii="Times New Roman" w:hAnsi="Times New Roman" w:cs="Times New Roman"/>
          <w:i w:val="0"/>
          <w:iCs w:val="0"/>
          <w:noProof w:val="0"/>
          <w:color w:val="000000" w:themeColor="text1"/>
          <w:sz w:val="16"/>
          <w:szCs w:val="16"/>
          <w:lang w:val="ru-RU"/>
        </w:rPr>
        <w:t xml:space="preserve">. </w:t>
      </w:r>
      <w:r w:rsidRPr="00DB5D0D">
        <w:rPr>
          <w:rFonts w:ascii="Times New Roman" w:hAnsi="Times New Roman" w:cs="Times New Roman"/>
          <w:i w:val="0"/>
          <w:iCs w:val="0"/>
          <w:color w:val="000000" w:themeColor="text1"/>
          <w:sz w:val="16"/>
          <w:szCs w:val="16"/>
          <w:lang w:val="ru-RU"/>
        </w:rPr>
        <w:t>11355. Д.32. Л.9.</w:t>
      </w:r>
      <w:r w:rsidRPr="00DB5D0D">
        <w:rPr>
          <w:rStyle w:val="11110"/>
          <w:rFonts w:ascii="Times New Roman" w:hAnsi="Times New Roman" w:cs="Times New Roman"/>
          <w:color w:val="000000" w:themeColor="text1"/>
          <w:spacing w:val="0"/>
          <w:sz w:val="16"/>
          <w:szCs w:val="16"/>
          <w:lang w:val="ru-RU"/>
        </w:rPr>
        <w:t>]</w:t>
      </w:r>
      <w:r w:rsidRPr="00DB5D0D">
        <w:rPr>
          <w:rStyle w:val="11110"/>
          <w:rFonts w:ascii="Times New Roman" w:hAnsi="Times New Roman" w:cs="Times New Roman"/>
          <w:noProof w:val="0"/>
          <w:color w:val="000000" w:themeColor="text1"/>
          <w:spacing w:val="0"/>
          <w:sz w:val="16"/>
          <w:szCs w:val="16"/>
          <w:lang w:val="ru-RU"/>
        </w:rPr>
        <w:t xml:space="preserve"> (11906).</w:t>
      </w:r>
    </w:p>
    <w:p w14:paraId="121762BF"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noProof w:val="0"/>
          <w:color w:val="000000" w:themeColor="text1"/>
          <w:sz w:val="16"/>
          <w:szCs w:val="16"/>
          <w:lang w:val="ru-RU"/>
        </w:rPr>
      </w:pPr>
    </w:p>
    <w:p w14:paraId="2633E6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30 мая 1940 года ход изготовления установочной партии танков Т-34 был следующим:</w:t>
      </w:r>
    </w:p>
    <w:p w14:paraId="3015B7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30 мая с.г. изготовлено: 4 корпуса, из них один отправлен Сталинградскому заводу, три находятся на сборке.</w:t>
      </w:r>
    </w:p>
    <w:p w14:paraId="4C2749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отсутствия материала на лопатки вентилятора, последний задержался в производстве, и только 25.05.40 г. был изготовлен, также задерживаются в производстве башни. Первая башня, которая будет готова лишь к 31.05.40 г. будет отправлена Сталинградскому заводу. Кроме этого, на первую машину нет нескольких наименований деталей, которые в основном изготавливаются взамен брака. В это число входят и броневые трудоемкие детали (крышка бортовой передачи и защита ДТ), последние после термообработки дали трещины и были забракованы. В настоящее время изготовлена новая партия этих деталей и образцы отправлены в Мариуполь на обстрел. Материалы обстрела еще не поступили.</w:t>
      </w:r>
    </w:p>
    <w:p w14:paraId="1A28F2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этим причинам выпуск первой машины может задержаться до 00.06.40 г.</w:t>
      </w:r>
    </w:p>
    <w:p w14:paraId="2FDB91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обеспеченности всех 10 машин имеем следующее:</w:t>
      </w:r>
    </w:p>
    <w:p w14:paraId="156F89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Нет совсем на заводе ШАУ, подъемных механизмов и стопоров пушки.</w:t>
      </w:r>
    </w:p>
    <w:p w14:paraId="7307AC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Стартеров имеется - 5штук.</w:t>
      </w:r>
    </w:p>
    <w:p w14:paraId="08675D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Приводов - на 2 машины.</w:t>
      </w:r>
    </w:p>
    <w:p w14:paraId="007335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Резина колес - на 2 машины.</w:t>
      </w:r>
    </w:p>
    <w:p w14:paraId="5ECCEA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 рациям нет совсем телескопов и новых штыревых антенн. Во всем остальном есть полная обеспеченность.</w:t>
      </w:r>
    </w:p>
    <w:p w14:paraId="76569F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Старший военпред АБТУ КА военинженер 2-го ранга Козырев</w:t>
      </w:r>
    </w:p>
    <w:p w14:paraId="7442BD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Военпред АБТУ КА военинженер 3-го ранга Байков».</w:t>
      </w:r>
    </w:p>
    <w:p w14:paraId="3F799A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Здесь следует отметить, что корпуса нескольких машин Т-34 установочной партии имели переднюю часть кор - пуса, изготовленную по типу опытных А-34. Сколько было таких машин неизвестно, но на снимках подбитых танков Т-34. сделанных немцами летом 1941 года, встречаются как минимум две таких тридцатьчетверки. По мнению автора машин с таким корпусом вряд ли было больше трех-четырех (из числа корпусов, поставленных в мае 1940 года) - скорее всего при их производстве использовались заделы деталей, изготовленные еще для А-34.</w:t>
      </w:r>
    </w:p>
    <w:p w14:paraId="371AA0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то, что в июне 1940 года завод № 183 должен был изготовить 10 Т-34 установочной партии, сделать это не удалось - новый танк оказался значительно сложнее в произ - водстве, чем выпускавшиеся до этого бетешки. Кроме того, ситуация осложнялась тем, что одновременно с Т-34 в Харькове велось производство БТ-7М (сдизелем В-2) (12217).</w:t>
      </w:r>
    </w:p>
    <w:p w14:paraId="1384B2A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C62367"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30 Мая 1940 г. </w:t>
      </w:r>
    </w:p>
    <w:p w14:paraId="204920DA"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307E1D65"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1 </w:t>
      </w:r>
    </w:p>
    <w:p w14:paraId="713A6921"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30 Мая 1940 г. </w:t>
      </w:r>
    </w:p>
    <w:p w14:paraId="68E01517"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243с </w:t>
      </w:r>
    </w:p>
    <w:p w14:paraId="7796082A"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8 ОТДЕЛА АБТУ КА</w:t>
      </w:r>
    </w:p>
    <w:p w14:paraId="51C43A47"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I РАНГА тов. АФОНИНУ</w:t>
      </w:r>
    </w:p>
    <w:p w14:paraId="6FFC9BEB"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4 ОТДЕЛА АБТУ КА</w:t>
      </w:r>
    </w:p>
    <w:p w14:paraId="48F67650"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I РАНГА тов. АЛЫМОВУ</w:t>
      </w:r>
    </w:p>
    <w:p w14:paraId="3225C34A"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СВОДКА</w:t>
      </w:r>
    </w:p>
    <w:p w14:paraId="6DC1BAC2"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 СОСТОЯНИИ ПРОИЗВОДСТВА ПО ОПЫТНОЙ СЕРИИ МАШИНЫ "А-34"</w:t>
      </w:r>
    </w:p>
    <w:p w14:paraId="3C268C41"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30 мая с.г. изготовлено: 4 корпуса, из них один отправлен Сталинградскому заводу, три находятся на сборке. </w:t>
      </w:r>
    </w:p>
    <w:p w14:paraId="2DDF631F"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Из-за отсутствия материала на лопатки вентилятора, последний задержался в производстве и только 29/V-40 г. был изготовлен, так же задерживаются в производстве башни, первая башня, которая будет готова 31/V-40 г. будет отправлена Сталинградскому заводу. Кроме этого на первую машину нет несколько наименований деталей, которые в основном изготовляются взамен брака, в это число входят и броневые трудоемкие детали (крышка бортовой передачи и защита ДТ), последние после термообработки дали трещины и были забракованы. В настоящее время изготовлена новая партия этих деталей, и образцы отправлены в Мариуполь на обстрел. Материалы обстрела еще не поступили. </w:t>
      </w:r>
    </w:p>
    <w:p w14:paraId="6DEA5701"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всем этим причинам выпуск первой машины может задержаться до 10/VI-40 г. </w:t>
      </w:r>
    </w:p>
    <w:p w14:paraId="5218AAC9"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обеспеченности всех 10 машин имеем следующее: </w:t>
      </w:r>
    </w:p>
    <w:p w14:paraId="175CD0BE"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Нет совсем на заводе ШАУ, подъемных механизмов и стопоров пушки. </w:t>
      </w:r>
    </w:p>
    <w:p w14:paraId="5EC0B5D4"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Стартеров имеется – 5 штук. </w:t>
      </w:r>
    </w:p>
    <w:p w14:paraId="220C77AF"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Приводов – на 2 машины. </w:t>
      </w:r>
    </w:p>
    <w:p w14:paraId="53583D1B"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Резина колес – на 2 машины. </w:t>
      </w:r>
    </w:p>
    <w:p w14:paraId="7B2D080D"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К рациям нет совсем телекодов и новых штыревых антенн. </w:t>
      </w:r>
    </w:p>
    <w:p w14:paraId="099AD35C"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 всем остальном есть полная обеспеченность. </w:t>
      </w:r>
    </w:p>
    <w:p w14:paraId="13AB34FC"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СТ. ВОЕНПРЕД АБТУ КА ВОЕНИНЖЕНЕР 2 РАНГА подпись (КОЗЫРЕВ)</w:t>
      </w:r>
    </w:p>
    <w:p w14:paraId="2A1C62BE"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ВОЕНПРЕД АБТУ КА ВОЕНИНЖЕНЕР 3 РАНГА подпись (БАЙКОВ)</w:t>
      </w:r>
    </w:p>
    <w:p w14:paraId="1E04D989"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Отп. 3 экз.</w:t>
      </w:r>
    </w:p>
    <w:p w14:paraId="3B1A0D53"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1176 лист 107</w:t>
      </w:r>
      <w:r w:rsidRPr="00DB5D0D">
        <w:rPr>
          <w:rFonts w:ascii="Times New Roman" w:eastAsia="Times New Roman" w:hAnsi="Times New Roman"/>
          <w:color w:val="000000" w:themeColor="text1"/>
          <w:sz w:val="16"/>
          <w:szCs w:val="16"/>
          <w:lang w:eastAsia="ru-RU"/>
        </w:rPr>
        <w:t xml:space="preserve"> (18076).</w:t>
      </w:r>
    </w:p>
    <w:p w14:paraId="717DF799" w14:textId="77777777" w:rsidR="007A14B0" w:rsidRPr="00DB5D0D" w:rsidRDefault="007A14B0" w:rsidP="00DB5D0D">
      <w:pPr>
        <w:spacing w:after="0" w:line="240" w:lineRule="auto"/>
        <w:jc w:val="both"/>
        <w:rPr>
          <w:rFonts w:ascii="Times New Roman" w:eastAsia="Times New Roman" w:hAnsi="Times New Roman"/>
          <w:color w:val="000000" w:themeColor="text1"/>
          <w:sz w:val="16"/>
          <w:szCs w:val="16"/>
          <w:lang w:eastAsia="ru-RU"/>
        </w:rPr>
      </w:pPr>
    </w:p>
    <w:p w14:paraId="0890AF9B" w14:textId="77777777" w:rsidR="00A91794" w:rsidRPr="00DB5D0D" w:rsidRDefault="00A9179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30 мая 1940 г. в сводке Д.М. Козырев, докладывая о состоянии дел по изготовлению установочной партии танков Т-34 в отделе «500», сообщил следующее: </w:t>
      </w:r>
    </w:p>
    <w:p w14:paraId="31AD8D13" w14:textId="77777777" w:rsidR="00A91794" w:rsidRPr="00DB5D0D" w:rsidRDefault="00A9179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«На 30 мая с.г. изготовлено: 4 корпуса, из них один отправлен Сталинградскому заводу, три находятся на сборке. </w:t>
      </w:r>
    </w:p>
    <w:p w14:paraId="6A09DB7B" w14:textId="77777777" w:rsidR="00A91794" w:rsidRPr="00DB5D0D" w:rsidRDefault="00A9179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Из-за отсутствия материала на лопатки вентилятора, последний задержался в производстве и только 29/V-40 г. был изготовлен, так же задерживаются в производстве башни, первая башня, которая будет готова 31/V-40 г. будет отправлена Сталинградскому заводу. Кроме этого на первую машину нет несколько наименований деталей, которые в основном изготовляются взамен брака, в это число входят и броневые трудоемкие детали (крышка бортовой передачи и защита ДТ), последние после термообработки дали трещины и были забракованы. В настоящее время изготовлена новая партия этих деталей, и образцы отправлены в Мариуполь на обстрел. Материалы обстрела еще не поступили. </w:t>
      </w:r>
    </w:p>
    <w:p w14:paraId="1735E5C3" w14:textId="77777777" w:rsidR="00A91794" w:rsidRPr="00DB5D0D" w:rsidRDefault="00A9179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По всем этим причинам выпуск первой машины может задержаться до 10/VI-40 г. </w:t>
      </w:r>
    </w:p>
    <w:p w14:paraId="09BC28C9" w14:textId="77777777" w:rsidR="00A91794" w:rsidRPr="00DB5D0D" w:rsidRDefault="00A9179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По обеспеченности всех 10 машин имеем следующее: </w:t>
      </w:r>
    </w:p>
    <w:p w14:paraId="12754A50" w14:textId="77777777" w:rsidR="00A91794" w:rsidRPr="00DB5D0D" w:rsidRDefault="00A9179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Нет совсем на заводе ШАУ </w:t>
      </w:r>
      <w:r w:rsidRPr="00DB5D0D">
        <w:rPr>
          <w:rFonts w:ascii="Times New Roman" w:hAnsi="Times New Roman"/>
          <w:color w:val="000000" w:themeColor="text1"/>
          <w:sz w:val="16"/>
          <w:szCs w:val="16"/>
        </w:rPr>
        <w:t>[шаровых артиллерийских установок для спаренного с пушкой пулемета ДТ]</w:t>
      </w:r>
      <w:r w:rsidRPr="00DB5D0D">
        <w:rPr>
          <w:rFonts w:ascii="Times New Roman" w:hAnsi="Times New Roman"/>
          <w:iCs/>
          <w:color w:val="000000" w:themeColor="text1"/>
          <w:sz w:val="16"/>
          <w:szCs w:val="16"/>
        </w:rPr>
        <w:t xml:space="preserve">, подъемных механизмов и стопоров пушки. </w:t>
      </w:r>
    </w:p>
    <w:p w14:paraId="38B0A7BE" w14:textId="77777777" w:rsidR="00A91794" w:rsidRPr="00DB5D0D" w:rsidRDefault="00A9179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Стартеров имеется – 5 штук. </w:t>
      </w:r>
    </w:p>
    <w:p w14:paraId="6C200534" w14:textId="77777777" w:rsidR="00A91794" w:rsidRPr="00DB5D0D" w:rsidRDefault="00A9179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Приводов – на 2 машины. </w:t>
      </w:r>
    </w:p>
    <w:p w14:paraId="23748C49" w14:textId="77777777" w:rsidR="00A91794" w:rsidRPr="00DB5D0D" w:rsidRDefault="00A9179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Резина колес </w:t>
      </w:r>
      <w:r w:rsidRPr="00DB5D0D">
        <w:rPr>
          <w:rFonts w:ascii="Times New Roman" w:hAnsi="Times New Roman"/>
          <w:color w:val="000000" w:themeColor="text1"/>
          <w:sz w:val="16"/>
          <w:szCs w:val="16"/>
        </w:rPr>
        <w:t>[опорных катков]</w:t>
      </w:r>
      <w:r w:rsidRPr="00DB5D0D">
        <w:rPr>
          <w:rFonts w:ascii="Times New Roman" w:hAnsi="Times New Roman"/>
          <w:iCs/>
          <w:color w:val="000000" w:themeColor="text1"/>
          <w:sz w:val="16"/>
          <w:szCs w:val="16"/>
        </w:rPr>
        <w:t xml:space="preserve"> – на 2 машины. </w:t>
      </w:r>
    </w:p>
    <w:p w14:paraId="493691AE" w14:textId="77777777" w:rsidR="00A91794" w:rsidRPr="00DB5D0D" w:rsidRDefault="00A9179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5. К рациям нет совсем телекодов и новых штыревых антенн. </w:t>
      </w:r>
    </w:p>
    <w:p w14:paraId="4D7F8CCA" w14:textId="77777777" w:rsidR="00A91794" w:rsidRPr="00DB5D0D" w:rsidRDefault="00A91794"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Во всем остальном есть полная обеспеченность»</w:t>
      </w:r>
      <w:r w:rsidRPr="00DB5D0D">
        <w:rPr>
          <w:rFonts w:ascii="Times New Roman" w:hAnsi="Times New Roman"/>
          <w:color w:val="000000" w:themeColor="text1"/>
          <w:sz w:val="16"/>
          <w:szCs w:val="16"/>
        </w:rPr>
        <w:t xml:space="preserve">. </w:t>
      </w:r>
    </w:p>
    <w:p w14:paraId="3148ED49" w14:textId="77777777" w:rsidR="00A91794" w:rsidRPr="00DB5D0D" w:rsidRDefault="00A91794" w:rsidP="00DB5D0D">
      <w:pPr>
        <w:pStyle w:val="ae"/>
        <w:spacing w:before="0" w:after="0"/>
        <w:jc w:val="both"/>
        <w:rPr>
          <w:bCs/>
          <w:color w:val="000000" w:themeColor="text1"/>
          <w:sz w:val="16"/>
          <w:szCs w:val="16"/>
        </w:rPr>
      </w:pPr>
      <w:r w:rsidRPr="00DB5D0D">
        <w:rPr>
          <w:bCs/>
          <w:color w:val="000000" w:themeColor="text1"/>
          <w:sz w:val="16"/>
          <w:szCs w:val="16"/>
        </w:rPr>
        <w:t>[РГВА. Ф. 31811. Оп. 2. Д. 1176. Л. 107] (18076).</w:t>
      </w:r>
    </w:p>
    <w:p w14:paraId="55C3E36F" w14:textId="77777777" w:rsidR="00A91794" w:rsidRPr="00DB5D0D" w:rsidRDefault="00A91794" w:rsidP="00DB5D0D">
      <w:pPr>
        <w:pStyle w:val="ae"/>
        <w:spacing w:before="0" w:after="0"/>
        <w:jc w:val="both"/>
        <w:rPr>
          <w:color w:val="000000" w:themeColor="text1"/>
          <w:sz w:val="16"/>
          <w:szCs w:val="16"/>
        </w:rPr>
      </w:pPr>
    </w:p>
    <w:p w14:paraId="10A25492" w14:textId="77777777" w:rsidR="006217E3" w:rsidRPr="00DB5D0D" w:rsidRDefault="006217E3"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30 мая 1940 Маршал Г.И. Кулик и начальник ГАБТУ КА генерал-лейтенант Я.Н. Федоренко направили письмо, в котором по сути звучала команда работы по установке в Т-44 орудия ЗИС-5 прекратить. Причины прозаичны: 3-К сняли с производства, а иметь два боеприпаса калибра 76 мм означало большие проблемы со снабжением. Кроме того, приоритетом были уже другие, более мощные орудия. Наконец, 57-мм орудие ЗИС-4 имело практически те же данные по бронепробитию. В таких условиях сложно назвать решение Кулика и Федоренко неправильным. Особенно с учетом того, что у ЗИС-5 дела и так шли не особо гладко (20272).</w:t>
      </w:r>
    </w:p>
    <w:p w14:paraId="3E93119F" w14:textId="77777777" w:rsidR="006217E3" w:rsidRPr="00DB5D0D" w:rsidRDefault="006217E3"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56F8F1F7" w14:textId="77777777" w:rsidR="007509B9" w:rsidRPr="00DB5D0D" w:rsidRDefault="007509B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30 мая 1940 года были изготовлены и отправлены в производство рабочие чертежи ГАЗ-61, которая, как предполагалось, должна была заменить в войсках «Эмки» и 19 декабря 1939 года была принята на вооружение Красной армии. Настоящим ударом по этим планам стала передача цеха по производству двигателей ГАЗ-11 в ведение Народного комиссариата авиационной промышленности (НКАП), в котором решили на этих мощностях выпускать авиационные моторы М-105. Такое решение, принятое осенью 1940 года, нанесло большой удар по планам выпуска столь необходимого в войсках автомобиля. Без двигателей остались и другие машины разработки Горьковского автомобильного завода, а также танки Т-40. Начало производства ГАЗ-61 с октября 1940 было решено перенести на 3-й квартал 1942 года.</w:t>
      </w:r>
    </w:p>
    <w:p w14:paraId="27676600" w14:textId="77777777" w:rsidR="007509B9" w:rsidRPr="00DB5D0D" w:rsidRDefault="007509B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Несмотря на подобные потрясения, работы по теме ГАЗ-61 продолжались. Постепенно готовилась оснастка, а также продолжались экспериментальные разработки. Одной из них была программа по созданию пикапа ГАЗ-61–415, основой для которого стал ГАЗ-415. Первоначально эта машина разрабатывалась коллективом под руководством Ю. Н. Сорочкина как автомобиль для народного хозяйства, но очень скоро к ГАЗ-415 стали присматриваться военные. Запущенный в серию с 1939 года, автомобиль довольно быстро начал поступать в РККА. К примеру, именно пикапом пользовался в 1941 году </w:t>
      </w:r>
      <w:hyperlink r:id="rId65" w:history="1">
        <w:r w:rsidRPr="00DB5D0D">
          <w:rPr>
            <w:rFonts w:ascii="Times New Roman" w:eastAsia="Times New Roman" w:hAnsi="Times New Roman"/>
            <w:color w:val="000000" w:themeColor="text1"/>
            <w:sz w:val="16"/>
            <w:szCs w:val="16"/>
            <w:lang w:eastAsia="ru-RU"/>
          </w:rPr>
          <w:t>И. Г. Старинов</w:t>
        </w:r>
      </w:hyperlink>
      <w:r w:rsidRPr="00DB5D0D">
        <w:rPr>
          <w:rFonts w:ascii="Times New Roman" w:eastAsia="Times New Roman" w:hAnsi="Times New Roman"/>
          <w:color w:val="000000" w:themeColor="text1"/>
          <w:sz w:val="16"/>
          <w:szCs w:val="16"/>
          <w:lang w:eastAsia="ru-RU"/>
        </w:rPr>
        <w:t>, которого обоснованно считают главным советским диверсантом в годы войны.</w:t>
      </w:r>
    </w:p>
    <w:p w14:paraId="44C0DC9A" w14:textId="77777777" w:rsidR="007509B9" w:rsidRPr="00DB5D0D" w:rsidRDefault="007509B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Установка кузова ГАЗ-415 на шасси ГАЗ-61 выглядела вполне логичным решением, тем более что в 1940 году было построено два ГАЗ-11–415, оснащённых двигателем ГАЗ-11. Изготовленный в 1940 году, ГАЗ-61–415 по кузову полностью повторял ГАЗ-11–415, внешне отличаясь только более высокой посадкой. Также, в отличие от «базовой» модели, новый пикап имел ведущий передний мост. Не исключено, что эта машина вполне могла бы стать серийной и пойти в народное хозяйство. Но в условиях отсутствия моторов и большего приоритета производства техники для военных нужд «гражданский» полноприводный пикап оказался не у дел (17657).</w:t>
      </w:r>
    </w:p>
    <w:p w14:paraId="35DBC82D" w14:textId="77777777" w:rsidR="007509B9" w:rsidRPr="00DB5D0D" w:rsidRDefault="007509B9" w:rsidP="00DB5D0D">
      <w:pPr>
        <w:spacing w:after="0" w:line="240" w:lineRule="auto"/>
        <w:jc w:val="both"/>
        <w:rPr>
          <w:rFonts w:ascii="Times New Roman" w:hAnsi="Times New Roman"/>
          <w:color w:val="000000" w:themeColor="text1"/>
          <w:sz w:val="16"/>
          <w:szCs w:val="16"/>
        </w:rPr>
      </w:pPr>
    </w:p>
    <w:p w14:paraId="4B9B4415"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30 мая 1940 года был заключен договор между заказчиком – Всесоюзным объединением «Машинимпорт СССР» –и поставщиком –Обществом по продаже кораблей с ограниченной ответственностью Германии на достройку крейсера «Лютцов» (водоизмещение 16500 тонн, скорость 32,5 узла, вооружение –8-203 мм орудий) [2, д. 359, л. 2-273].</w:t>
      </w:r>
    </w:p>
    <w:p w14:paraId="1E8FBC63"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Заказчика представляли П. А. Зайцев и П. И. Соловьев, поставщика –контр-адмирал А. Геле.</w:t>
      </w:r>
    </w:p>
    <w:p w14:paraId="0B3AE4E1"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В соответствии с договором поставщик передавал заказчику крейсер «Лютцов», строящийся фирмой «Дешимаг» в Берлине для германского ВМФ, а также обеспечивал достройку крейсера в Ленинграде всеми строительными материалами, вооружением, боезапасом, торпедами, машинами, аппаратами, корабельными самолетами, бомбами, оборудованием, устройствами, запчастями, инструментами, материалами, которые по чертежам, техническим предписаниям, представленным по оборудованию Германского ВМФ, относятся к</w:t>
      </w:r>
    </w:p>
    <w:p w14:paraId="6D6B4714"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кораблю. Поставщик назначал на верфь в СССР представительство по шефмонтажу для технических указаний по строительству корабля.</w:t>
      </w:r>
    </w:p>
    <w:p w14:paraId="4792C513"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Заказчик обязался организовать: достройку крейсера на верфи в Ленинграде по германским чертежам и техническим предписаниям; производство монтажа на корабле оборудования, предусмотренного для него поставками, заказанными фирмой «Дешимаг».</w:t>
      </w:r>
    </w:p>
    <w:p w14:paraId="649F38A6"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Перед буксировкой в СССР поставщик провѐ</w:t>
      </w:r>
      <w:r w:rsidRPr="00DB5D0D">
        <w:rPr>
          <w:rFonts w:ascii="Times New Roman" w:eastAsia="MS Mincho" w:hAnsi="Times New Roman"/>
          <w:color w:val="000000" w:themeColor="text1"/>
          <w:sz w:val="16"/>
          <w:szCs w:val="16"/>
        </w:rPr>
        <w:t>л</w:t>
      </w:r>
      <w:r w:rsidRPr="00DB5D0D">
        <w:rPr>
          <w:rFonts w:ascii="Times New Roman" w:eastAsia="TimesNewRoman" w:hAnsi="Times New Roman"/>
          <w:color w:val="000000" w:themeColor="text1"/>
          <w:sz w:val="16"/>
          <w:szCs w:val="16"/>
        </w:rPr>
        <w:t xml:space="preserve"> на корабле мероприятия для безопасной буксировки, передал заказчику описания состояния готовности, список установленных механизмов, трубопроводов, вспомогательных механизмов, брони и вооружения, перечень всего погруженного на крейсер.</w:t>
      </w:r>
    </w:p>
    <w:p w14:paraId="4B4D34D6"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Поставщик осуществлял буксировку на Ленинградский рейд. В это время уже шла Вторая мировая война, поэтому военный риск за корабль и находящиеся на нем материалы нес поставщик до перехода 56°30' северной широты, а после его принял заказчик.</w:t>
      </w:r>
    </w:p>
    <w:p w14:paraId="6BF0CB3C"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Для оказания помощи при монтаже оборудования и для консультации специалистов верфи при достройке корабля поставщик прислал в г. Ленинград представительство и шефмонтажный персонал. Представительство состояло из 20-ти человек и должно было находиться в распоряжении заказчика до окончания ходовых испытаний, но не позже, чем до 31 июля 1942 г.</w:t>
      </w:r>
    </w:p>
    <w:p w14:paraId="0FB1A04E"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За выполнение договора заказчик обязался выплатить 100.000.000 германских марок (в том числе расходы за буксировку, за командированный персонал для шефмонтажа) германскому банку в Берлине.</w:t>
      </w:r>
    </w:p>
    <w:p w14:paraId="2C5F8C35"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Порядок оплаты определяется следующим [Там же]:</w:t>
      </w:r>
    </w:p>
    <w:p w14:paraId="689285BF" w14:textId="77777777" w:rsidR="00A25AD1" w:rsidRPr="00DB5D0D" w:rsidRDefault="00A25AD1" w:rsidP="00DB5D0D">
      <w:pPr>
        <w:spacing w:after="0" w:line="240" w:lineRule="auto"/>
        <w:jc w:val="both"/>
        <w:rPr>
          <w:rFonts w:ascii="Times New Roman" w:eastAsia="TimesNewRoman" w:hAnsi="Times New Roman"/>
          <w:bCs/>
          <w:color w:val="000000" w:themeColor="text1"/>
          <w:sz w:val="16"/>
          <w:szCs w:val="16"/>
        </w:rPr>
      </w:pPr>
      <w:r w:rsidRPr="00DB5D0D">
        <w:rPr>
          <w:rFonts w:ascii="Times New Roman" w:eastAsia="TimesNewRoman" w:hAnsi="Times New Roman"/>
          <w:bCs/>
          <w:color w:val="000000" w:themeColor="text1"/>
          <w:sz w:val="16"/>
          <w:szCs w:val="16"/>
        </w:rPr>
        <w:t>Этапы оплаты Стоимость заказа Условия выполнения</w:t>
      </w:r>
    </w:p>
    <w:p w14:paraId="5821EEF0"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1 30% После прибытия крейсера в Ленинград</w:t>
      </w:r>
    </w:p>
    <w:p w14:paraId="28D86560"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2 15% После передачи главной турбины правого борта</w:t>
      </w:r>
    </w:p>
    <w:p w14:paraId="10B5D4D7"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3 15% После передачи главной средней турбины</w:t>
      </w:r>
    </w:p>
    <w:p w14:paraId="2AB30217"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4 10% После передачи главной турбины левого борта</w:t>
      </w:r>
    </w:p>
    <w:p w14:paraId="3063F8DC"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5 10% После передачи последних орудий зенитной артиллерии</w:t>
      </w:r>
    </w:p>
    <w:p w14:paraId="064ED4DC"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6 5% После передачи последних конструкций и документаций</w:t>
      </w:r>
    </w:p>
    <w:p w14:paraId="1948B399"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7 10% После окончания ходовых испытаний, но не позднее 31 июля 1941 г.</w:t>
      </w:r>
    </w:p>
    <w:p w14:paraId="151EA67D"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8 5% По истечении гарантийного срока, но не позднее 31 марта 1943 г.</w:t>
      </w:r>
    </w:p>
    <w:p w14:paraId="53E5BBD6"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Заказчик обязался не передавать документацию и технологию строительства крейсера третьей стороне и не использовать для строительства своих кораблей.</w:t>
      </w:r>
    </w:p>
    <w:p w14:paraId="2F63E3F3"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В договоре особо выделялись условия работы и оплата труда командированных специалистов. Оплата работников шефмонтажа в зависимости от их квалификации составляла:</w:t>
      </w:r>
    </w:p>
    <w:p w14:paraId="262CA7A3"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почасовая за каждый нормальный рабочий час от 3.0 до 3.25 германских марок;</w:t>
      </w:r>
    </w:p>
    <w:p w14:paraId="1A27E133"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возмещение за каждый календарный день в отъезде с завода поставщика от 8.0 до 65 германских марок;</w:t>
      </w:r>
    </w:p>
    <w:p w14:paraId="06F711DC"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содержание за каждый календарный день во время пребывания в СССР от 105 до 125 рублей.</w:t>
      </w:r>
    </w:p>
    <w:p w14:paraId="4F74DE77"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Германский персонал по шефмонтажу имел право покупать продовольствие и предметы первой необходимости по тем же самым ценам и на тех же самых основаниях, как и граждане СССР. Им предоставляли бесплатно меблированные комнаты с отоплением, пользованием ванной и кухней, освещением и обслуживанием или соответствующие комнаты в гостинице; лечение, медикаменты, уход и пребывание в больнице [Там же] (12700).</w:t>
      </w:r>
    </w:p>
    <w:p w14:paraId="51876840"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p>
    <w:p w14:paraId="52B7441A" w14:textId="77777777" w:rsidR="009A56E3" w:rsidRPr="00DB5D0D" w:rsidRDefault="009A56E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30 мая 1940 года были изготовлены и отправлены в производство рабочие чертежи машины ГАЗ-61, которая, как предполагалось, должна была заменить в войсках «Эмки». Настоящим ударом по этим планам стала передача цеха по производству двигателей ГАЗ-11 в ведение Народного комиссариата авиационной промышленности (НКАП), в котором решили на этих мощностях выпускать авиационные моторы М-105. Такое решение, принятое осенью 1940 года, нанесло большой удар по планам выпуска столь необходимого в войсках автомобиля. Без двигателей остались и другие машины разработки Горьковского автомобильного завода, а также танки Т-40. Начало производства ГАЗ-61 с октября 1940 было решено перенести на 3-й квартал 1942 года. Несмотря на подобные потрясения, работы по теме ГАЗ-61 продолжались. Постепенно готовилась оснастка, а также продолжались экспериментальные разработки. Одной из них была программа по созданию пикапа ГАЗ-61–415, основой для которого стал ГАЗ-415. Первоначально эта машина разрабатывалась коллективом под руководством Ю. Н. Сорочкина как автомобиль для народного хозяйства, но очень скоро к ГАЗ-415 стали присматриваться военные. Запущенный в серию с 1939 года, автомобиль довольно быстро начал поступать в РККА. К примеру, именно пикапом пользовался в 1941 году </w:t>
      </w:r>
      <w:hyperlink r:id="rId66" w:history="1">
        <w:r w:rsidRPr="00DB5D0D">
          <w:rPr>
            <w:rStyle w:val="a5"/>
            <w:rFonts w:ascii="Times New Roman" w:hAnsi="Times New Roman"/>
            <w:color w:val="000000" w:themeColor="text1"/>
            <w:sz w:val="16"/>
            <w:szCs w:val="16"/>
          </w:rPr>
          <w:t>И. Г. Старинов</w:t>
        </w:r>
      </w:hyperlink>
      <w:r w:rsidRPr="00DB5D0D">
        <w:rPr>
          <w:rFonts w:ascii="Times New Roman" w:hAnsi="Times New Roman"/>
          <w:color w:val="000000" w:themeColor="text1"/>
          <w:sz w:val="16"/>
          <w:szCs w:val="16"/>
        </w:rPr>
        <w:t>, которого обоснованно считают главным советским диверсантом в годы войны.</w:t>
      </w:r>
    </w:p>
    <w:p w14:paraId="5BBC8604" w14:textId="77777777" w:rsidR="009A56E3" w:rsidRPr="00DB5D0D" w:rsidRDefault="009A56E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кузова ГАЗ-415 на шасси ГАЗ-61 выглядела вполне логичным решением, тем более что в 1940 году было построено два ГАЗ-11–415, оснащённых двигателем ГАЗ-11. Изготовленный в 1940 году, ГАЗ-61–415 по кузову полностью повторял ГАЗ-11–415, внешне отличаясь только более высокой посадкой. Также, в отличие от «базовой» модели, новый пикап имел ведущий передний мост. Не исключено, что эта машина вполне могла бы стать серийной и пойти в народное хозяйство. Но в условиях отсутствия моторов и большего приоритета производства техники для военных нужд «гражданский» полноприводный пикап оказался не у дел (17412).</w:t>
      </w:r>
    </w:p>
    <w:p w14:paraId="6A6E28DC" w14:textId="77777777" w:rsidR="009A56E3" w:rsidRPr="00DB5D0D" w:rsidRDefault="009A56E3" w:rsidP="00DB5D0D">
      <w:pPr>
        <w:spacing w:after="0" w:line="240" w:lineRule="auto"/>
        <w:jc w:val="both"/>
        <w:rPr>
          <w:rFonts w:ascii="Times New Roman" w:hAnsi="Times New Roman"/>
          <w:color w:val="000000" w:themeColor="text1"/>
          <w:sz w:val="16"/>
          <w:szCs w:val="16"/>
        </w:rPr>
      </w:pPr>
    </w:p>
    <w:p w14:paraId="1F225ED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49DD6B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6431E8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мая 1940 Муссолини отдал приказ о подготовке к вступлению Италии в войну (4962).</w:t>
      </w:r>
    </w:p>
    <w:p w14:paraId="47F7A23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21640FE" w14:textId="77777777" w:rsidR="002137E1" w:rsidRPr="00DB5D0D" w:rsidRDefault="002137E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30 мая</w:t>
      </w:r>
      <w:r w:rsidRPr="00DB5D0D">
        <w:rPr>
          <w:rFonts w:ascii="Times New Roman" w:hAnsi="Times New Roman"/>
          <w:color w:val="000000" w:themeColor="text1"/>
          <w:sz w:val="16"/>
          <w:szCs w:val="16"/>
        </w:rPr>
        <w:t xml:space="preserve"> в 1940 году блестяще спланированная и исполненная операция абвера: Группа замаскированных под голландских, бельгийских и французских беженцев бойцов абвера-2 проникает в Париж и отбивает у французов подготовленные к отправке секретные архивы службы безопасности. Совершенно алалогичная операция прошла и в Реймсе (14907).</w:t>
      </w:r>
    </w:p>
    <w:p w14:paraId="2AC8082C" w14:textId="77777777" w:rsidR="002137E1" w:rsidRPr="00DB5D0D" w:rsidRDefault="002137E1" w:rsidP="00DB5D0D">
      <w:pPr>
        <w:spacing w:after="0" w:line="240" w:lineRule="auto"/>
        <w:jc w:val="both"/>
        <w:rPr>
          <w:rFonts w:ascii="Times New Roman" w:hAnsi="Times New Roman"/>
          <w:color w:val="000000" w:themeColor="text1"/>
          <w:sz w:val="16"/>
          <w:szCs w:val="16"/>
        </w:rPr>
      </w:pPr>
    </w:p>
    <w:p w14:paraId="56EE46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мая 1940 б. Член Парламента от лейбористов С.Криппс был назначен послом в СССР (3907,222).</w:t>
      </w:r>
    </w:p>
    <w:p w14:paraId="0E1EBD2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4C429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4A43DA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BDE07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Зам. НКАП Хруничев писал письмо И.о. Нач. ПГУ Шиц (копия зам. дир. завода 156 Кувшинову):</w:t>
      </w:r>
    </w:p>
    <w:p w14:paraId="1FD1F5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156 на машину конструктора Кочеригина (N 346) требуются пулеметы конструкции ШКАС - 2 шт., 1 крыльевой ШКАС и 1 ПАК-21, которые необходимо выделить к 1 июля 1940 из фондов ПГУ." (1165,207).</w:t>
      </w:r>
    </w:p>
    <w:p w14:paraId="54BFD2E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0A85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в Контрольном листе учета выполнения постановления КО СНК СССР № 116сс от 4 марта 1940 г. представителем КО СНК СССР - контролером Вахрушевым была сделана запись:</w:t>
      </w:r>
    </w:p>
    <w:p w14:paraId="54B6A8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ББ-22 М-105 Стронгина</w:t>
      </w:r>
    </w:p>
    <w:p w14:paraId="7E792B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1-го экз. Должны были быть закончены 25 мая 1940, но 23 мая 1940 самолет потерпел аварию, что оттянуло сроки испытаний.</w:t>
      </w:r>
    </w:p>
    <w:p w14:paraId="099551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Замерена максимальная скорость на 4600 м - 550 км/час (ориентировочно), время подъема на 5000 м - 5,4 мин. (10395,44).</w:t>
      </w:r>
    </w:p>
    <w:p w14:paraId="406ED6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71FF2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на гос. испытания поступил И-26 М-105П (2090,133).</w:t>
      </w:r>
    </w:p>
    <w:p w14:paraId="1FA26C1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19D4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в Контрольном листе учета выполнения постановления КО СНК СССР № 103сс от 4 марта 1940 г. представителем КО СНК СССР - контролером Вахрушевым была сделана запись:</w:t>
      </w:r>
    </w:p>
    <w:p w14:paraId="3AF8F4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И-200</w:t>
      </w:r>
    </w:p>
    <w:p w14:paraId="7BBC7A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в срок (10 мая 1940) не закончены из-за неполадок в ВМГ.</w:t>
      </w:r>
    </w:p>
    <w:p w14:paraId="08C0E2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Замеренвы горизонтальные скорости по высотам, граница высотности, проверена устойчивость и снята сверхмаксимальная скорость 680 км/час.</w:t>
      </w:r>
    </w:p>
    <w:p w14:paraId="6AD10B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горизонтальная скорость на 7159 м = 643 км/час (10395,33).</w:t>
      </w:r>
    </w:p>
    <w:p w14:paraId="70AB91C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777B26" w14:textId="77777777" w:rsidR="006217E3" w:rsidRPr="00DB5D0D" w:rsidRDefault="006217E3" w:rsidP="00DB5D0D">
      <w:pPr>
        <w:spacing w:after="0" w:line="240" w:lineRule="auto"/>
        <w:jc w:val="both"/>
        <w:rPr>
          <w:rFonts w:ascii="Times New Roman" w:hAnsi="Times New Roman"/>
          <w:color w:val="0070C0"/>
          <w:sz w:val="16"/>
          <w:szCs w:val="16"/>
        </w:rPr>
      </w:pPr>
      <w:r w:rsidRPr="00DB5D0D">
        <w:rPr>
          <w:rStyle w:val="aff0"/>
          <w:rFonts w:ascii="Times New Roman" w:hAnsi="Times New Roman" w:cs="Times New Roman"/>
          <w:color w:val="0070C0"/>
          <w:spacing w:val="0"/>
          <w:sz w:val="16"/>
          <w:szCs w:val="16"/>
        </w:rPr>
        <w:t>31 мая 1940 НКАП подтвердил решение СНК по И-200 приказом №245. Образцом для серии должен был стать И-200 №6103 с цель</w:t>
      </w:r>
      <w:r w:rsidRPr="00DB5D0D">
        <w:rPr>
          <w:rStyle w:val="aff0"/>
          <w:rFonts w:ascii="Times New Roman" w:hAnsi="Times New Roman" w:cs="Times New Roman"/>
          <w:color w:val="0070C0"/>
          <w:spacing w:val="0"/>
          <w:sz w:val="16"/>
          <w:szCs w:val="16"/>
        </w:rPr>
        <w:softHyphen/>
        <w:t>нометаллическим крылом с увеличен</w:t>
      </w:r>
      <w:r w:rsidRPr="00DB5D0D">
        <w:rPr>
          <w:rStyle w:val="aff0"/>
          <w:rFonts w:ascii="Times New Roman" w:hAnsi="Times New Roman" w:cs="Times New Roman"/>
          <w:color w:val="0070C0"/>
          <w:spacing w:val="0"/>
          <w:sz w:val="16"/>
          <w:szCs w:val="16"/>
        </w:rPr>
        <w:softHyphen/>
        <w:t>ной в 1,5 раза прочностью и улучшен</w:t>
      </w:r>
      <w:r w:rsidRPr="00DB5D0D">
        <w:rPr>
          <w:rStyle w:val="aff0"/>
          <w:rFonts w:ascii="Times New Roman" w:hAnsi="Times New Roman" w:cs="Times New Roman"/>
          <w:color w:val="0070C0"/>
          <w:spacing w:val="0"/>
          <w:sz w:val="16"/>
          <w:szCs w:val="16"/>
        </w:rPr>
        <w:softHyphen/>
        <w:t>ным оборудованием - например, арха</w:t>
      </w:r>
      <w:r w:rsidRPr="00DB5D0D">
        <w:rPr>
          <w:rStyle w:val="aff0"/>
          <w:rFonts w:ascii="Times New Roman" w:hAnsi="Times New Roman" w:cs="Times New Roman"/>
          <w:color w:val="0070C0"/>
          <w:spacing w:val="0"/>
          <w:sz w:val="16"/>
          <w:szCs w:val="16"/>
        </w:rPr>
        <w:softHyphen/>
        <w:t>ичные факелодержатели НГ-12 заменили посадочной фарой ФС-155 (21696).</w:t>
      </w:r>
    </w:p>
    <w:p w14:paraId="6CBC6281" w14:textId="77777777" w:rsidR="006217E3" w:rsidRPr="00DB5D0D" w:rsidRDefault="006217E3" w:rsidP="00DB5D0D">
      <w:pPr>
        <w:spacing w:after="0" w:line="240" w:lineRule="auto"/>
        <w:jc w:val="both"/>
        <w:rPr>
          <w:rFonts w:ascii="Times New Roman" w:hAnsi="Times New Roman"/>
          <w:color w:val="0070C0"/>
          <w:sz w:val="16"/>
          <w:szCs w:val="16"/>
        </w:rPr>
      </w:pPr>
    </w:p>
    <w:p w14:paraId="0104E6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 приказом наркомата авиапромышленности во исполнение решения Комитета Обороны от 25 мая 1940 И—200 был официаль</w:t>
      </w:r>
      <w:r w:rsidRPr="00DB5D0D">
        <w:rPr>
          <w:rFonts w:ascii="Times New Roman" w:hAnsi="Times New Roman"/>
          <w:color w:val="000000" w:themeColor="text1"/>
          <w:sz w:val="16"/>
          <w:szCs w:val="16"/>
        </w:rPr>
        <w:softHyphen/>
        <w:t>но запущен в серийное производство на заводе № 1. В соответствии с откорректированной программой выпуска заводу предписывалось в 1940 г. сдать 125 са</w:t>
      </w:r>
      <w:r w:rsidRPr="00DB5D0D">
        <w:rPr>
          <w:rFonts w:ascii="Times New Roman" w:hAnsi="Times New Roman"/>
          <w:color w:val="000000" w:themeColor="text1"/>
          <w:sz w:val="16"/>
          <w:szCs w:val="16"/>
        </w:rPr>
        <w:softHyphen/>
        <w:t>молетов И—200, полностью прекратив производство ближних бомбардировщиков ББ—22 (9984).</w:t>
      </w:r>
    </w:p>
    <w:p w14:paraId="3403CB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0A0CC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в ходе заводских испытаний И-200 А.И.М, которые проходили с 31 марта по 17 августа 1940, на И-200-1 был смотр машины и показательный полет. Потом до 18 июня машину ремонтировали в цехе (2988).</w:t>
      </w:r>
    </w:p>
    <w:p w14:paraId="03D03CA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B448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 во исполнение Постановления КО при СНК №224 от 25 мая 1940 прика</w:t>
      </w:r>
      <w:r w:rsidRPr="00DB5D0D">
        <w:rPr>
          <w:rFonts w:ascii="Times New Roman" w:hAnsi="Times New Roman"/>
          <w:color w:val="000000" w:themeColor="text1"/>
          <w:sz w:val="16"/>
          <w:szCs w:val="16"/>
        </w:rPr>
        <w:softHyphen/>
        <w:t>зом НКАП №245 истребитель И-200 был официально запу</w:t>
      </w:r>
      <w:r w:rsidRPr="00DB5D0D">
        <w:rPr>
          <w:rFonts w:ascii="Times New Roman" w:hAnsi="Times New Roman"/>
          <w:color w:val="000000" w:themeColor="text1"/>
          <w:sz w:val="16"/>
          <w:szCs w:val="16"/>
        </w:rPr>
        <w:softHyphen/>
        <w:t>щен в серийное производство на заводе №1.</w:t>
      </w:r>
    </w:p>
    <w:p w14:paraId="2D612A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Снимаемые в процессе заводс</w:t>
      </w:r>
      <w:r w:rsidRPr="00DB5D0D">
        <w:rPr>
          <w:rFonts w:ascii="Times New Roman" w:hAnsi="Times New Roman"/>
          <w:color w:val="000000" w:themeColor="text1"/>
          <w:sz w:val="16"/>
          <w:szCs w:val="16"/>
        </w:rPr>
        <w:softHyphen/>
        <w:t>ких испытаний характеристики И-200 совпадали с аэродинамическим расчётом и соответствовали почти всем предъявляемым тактико-техни</w:t>
      </w:r>
      <w:r w:rsidRPr="00DB5D0D">
        <w:rPr>
          <w:rFonts w:ascii="Times New Roman" w:hAnsi="Times New Roman"/>
          <w:color w:val="000000" w:themeColor="text1"/>
          <w:sz w:val="16"/>
          <w:szCs w:val="16"/>
        </w:rPr>
        <w:softHyphen/>
        <w:t>ческим требованиям. Поэтому, серийное производство было решено начать не дожидаясь окончания заводских испытаний, не говоря уже о госу</w:t>
      </w:r>
      <w:r w:rsidRPr="00DB5D0D">
        <w:rPr>
          <w:rFonts w:ascii="Times New Roman" w:hAnsi="Times New Roman"/>
          <w:color w:val="000000" w:themeColor="text1"/>
          <w:sz w:val="16"/>
          <w:szCs w:val="16"/>
        </w:rPr>
        <w:softHyphen/>
        <w:t>дарственных.</w:t>
      </w:r>
    </w:p>
    <w:p w14:paraId="03B3D9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Вместо запланированного АМ-37, который ещё не был готов, на И-200 пришлось установить двигатель АМ-35А взлётной мощностью 1350 л.с. Это несколько снизило лётные характеристики самолёта, но всё же они оставались на достаточном уровне. Так, 24 мая А.Н. Екатов на И-200 №01 достиг скорости 648,5 км/ч на высоте 6900 м, а 5 августа М.Н. Якушин на И-200 №02 на высоте 7000 м показал скорость 651 км/ч. На высоту 5000 м само</w:t>
      </w:r>
      <w:r w:rsidRPr="00DB5D0D">
        <w:rPr>
          <w:rFonts w:ascii="Times New Roman" w:hAnsi="Times New Roman"/>
          <w:color w:val="000000" w:themeColor="text1"/>
          <w:sz w:val="16"/>
          <w:szCs w:val="16"/>
        </w:rPr>
        <w:softHyphen/>
        <w:t>лёт поднялся за 5,1 мин, а ещё че</w:t>
      </w:r>
      <w:r w:rsidRPr="00DB5D0D">
        <w:rPr>
          <w:rFonts w:ascii="Times New Roman" w:hAnsi="Times New Roman"/>
          <w:color w:val="000000" w:themeColor="text1"/>
          <w:sz w:val="16"/>
          <w:szCs w:val="16"/>
        </w:rPr>
        <w:softHyphen/>
        <w:t>рез 2 мин он был уже на 7000 м.</w:t>
      </w:r>
    </w:p>
    <w:p w14:paraId="25B0E98E" w14:textId="77777777" w:rsidR="00A25AD1" w:rsidRPr="00DB5D0D" w:rsidRDefault="00A25AD1" w:rsidP="00DB5D0D">
      <w:pPr>
        <w:pStyle w:val="af9"/>
        <w:spacing w:before="0" w:after="0"/>
        <w:jc w:val="both"/>
        <w:rPr>
          <w:color w:val="000000" w:themeColor="text1"/>
          <w:sz w:val="16"/>
          <w:szCs w:val="16"/>
        </w:rPr>
      </w:pPr>
      <w:r w:rsidRPr="00DB5D0D">
        <w:rPr>
          <w:color w:val="000000" w:themeColor="text1"/>
          <w:sz w:val="16"/>
          <w:szCs w:val="16"/>
        </w:rPr>
        <w:t>Испытания ещё продолжались, но уже полным ходом шло внедре</w:t>
      </w:r>
      <w:r w:rsidRPr="00DB5D0D">
        <w:rPr>
          <w:color w:val="000000" w:themeColor="text1"/>
          <w:sz w:val="16"/>
          <w:szCs w:val="16"/>
        </w:rPr>
        <w:softHyphen/>
        <w:t>ние нового истребителя в серию параллельно с внесением измене</w:t>
      </w:r>
      <w:r w:rsidRPr="00DB5D0D">
        <w:rPr>
          <w:color w:val="000000" w:themeColor="text1"/>
          <w:sz w:val="16"/>
          <w:szCs w:val="16"/>
        </w:rPr>
        <w:softHyphen/>
        <w:t>ний в его конструкцию. А 18 авгус</w:t>
      </w:r>
      <w:r w:rsidRPr="00DB5D0D">
        <w:rPr>
          <w:color w:val="000000" w:themeColor="text1"/>
          <w:sz w:val="16"/>
          <w:szCs w:val="16"/>
        </w:rPr>
        <w:softHyphen/>
        <w:t>та 1940 г. в Тушине на параде, по</w:t>
      </w:r>
      <w:r w:rsidRPr="00DB5D0D">
        <w:rPr>
          <w:color w:val="000000" w:themeColor="text1"/>
          <w:sz w:val="16"/>
          <w:szCs w:val="16"/>
        </w:rPr>
        <w:softHyphen/>
        <w:t>свящённом Дню авиации, машину впервые показали широкой публи</w:t>
      </w:r>
      <w:r w:rsidRPr="00DB5D0D">
        <w:rPr>
          <w:color w:val="000000" w:themeColor="text1"/>
          <w:sz w:val="16"/>
          <w:szCs w:val="16"/>
        </w:rPr>
        <w:softHyphen/>
        <w:t>ке. Показательный полёт на И-200 №01 выполнил М.Н. Якушин (11757).</w:t>
      </w:r>
    </w:p>
    <w:p w14:paraId="0EFCAD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EA91F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вышел приказ НКАП N 245 об организации серийного производства И-200 на заводе 1 (1940 - 125). Довести самолет и сдать на гос. испытания не позднее 10 июня. Производство ББ-22 на заводе прекратить, заделы передать на 81 (922,102).</w:t>
      </w:r>
    </w:p>
    <w:p w14:paraId="092C8F36"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В целях организации серийного производства с-та И-200 на заводе № 1 приказываю:</w:t>
      </w:r>
    </w:p>
    <w:p w14:paraId="0D7ED16E"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1. И.о. нач. ПГУ тов Шиц, директору з-да № 1 тов. Дементьеву , Г.К. тов. А.И.М.:</w:t>
      </w:r>
    </w:p>
    <w:p w14:paraId="55350F06"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а) организовать на заводе № 1 серийное производство с-та И-200 с мотором АМ-35А</w:t>
      </w:r>
    </w:p>
    <w:p w14:paraId="6F8E3D82"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б) установить программу выпуска по с-ту И-200 з-ду № 1 на 1940 г. - 125 шт.</w:t>
      </w:r>
    </w:p>
    <w:p w14:paraId="3EDA8662"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в) довести с-т И-200 и сдать на госипытания не позднее 10 июня 1940</w:t>
      </w:r>
    </w:p>
    <w:p w14:paraId="606235A4"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Производство с-та ББ-22 на заводе № 1 прекратить. Залдел передать на завод № 81 (922,102).</w:t>
      </w:r>
    </w:p>
    <w:p w14:paraId="32B0BED4" w14:textId="77777777" w:rsidR="00A25AD1" w:rsidRPr="00DB5D0D" w:rsidRDefault="00A25AD1" w:rsidP="00DB5D0D">
      <w:pPr>
        <w:pStyle w:val="Iauiue"/>
        <w:jc w:val="both"/>
        <w:rPr>
          <w:color w:val="000000" w:themeColor="text1"/>
          <w:sz w:val="16"/>
          <w:szCs w:val="16"/>
        </w:rPr>
      </w:pPr>
    </w:p>
    <w:p w14:paraId="41959439" w14:textId="77777777" w:rsidR="002137E1" w:rsidRPr="00DB5D0D" w:rsidRDefault="002137E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31 мая</w:t>
      </w:r>
      <w:r w:rsidRPr="00DB5D0D">
        <w:rPr>
          <w:rFonts w:ascii="Times New Roman" w:hAnsi="Times New Roman"/>
          <w:color w:val="000000" w:themeColor="text1"/>
          <w:sz w:val="16"/>
          <w:szCs w:val="16"/>
        </w:rPr>
        <w:t xml:space="preserve"> в 1940 году приказом НКАП № 245, на основании решения Комитета Обороны № 224 от 25 мая, истребитель «И-200» был официально запущен в серийное производство на заводе №1 имени Авиахима. Летные характеристики и взлетно-посадочные свойства </w:t>
      </w:r>
      <w:hyperlink r:id="rId67" w:tgtFrame="_blank" w:history="1">
        <w:r w:rsidRPr="00DB5D0D">
          <w:rPr>
            <w:rFonts w:ascii="Times New Roman" w:hAnsi="Times New Roman"/>
            <w:color w:val="000000" w:themeColor="text1"/>
            <w:sz w:val="16"/>
            <w:szCs w:val="16"/>
          </w:rPr>
          <w:t xml:space="preserve">«И-200» </w:t>
        </w:r>
      </w:hyperlink>
      <w:r w:rsidRPr="00DB5D0D">
        <w:rPr>
          <w:rFonts w:ascii="Times New Roman" w:hAnsi="Times New Roman"/>
          <w:color w:val="000000" w:themeColor="text1"/>
          <w:sz w:val="16"/>
          <w:szCs w:val="16"/>
        </w:rPr>
        <w:t>зафиксированные в процессе испытаний, совпадали с аэродинамическим расчетом и соответствовали почти всем предъявляемым тактико-техническим требованиям. В соответствии с утвержденной программой выпуска на 1940 год заводу предписывалось сдать 125 самолетов «И-200». К разряду основных недостатков «И-200» военные отнесли недостаточную дальность полета, малую продольную и поперечную устойчивость. Также на заседании техсовета при НИИ ВВС конструкторам предложили увеличить мощность стрелкового вооружения истребителя за счет установки еще двух пулеметов «БС» или «ШКАС». Кроме того, учитывая острую необходимость снабжения частей ВВС РККА истребителями типа «И-200», необходимо было скорее провести войсковые испытания этих самолетов. Устранение выявленных на войсковых испытаниях «И-200» недостатков привело к появлению модифицированного самолета, получившего название «МиГ-3» и сменившего в серийном производстве «МиГ-1» в декабре 1940 года (14908).</w:t>
      </w:r>
    </w:p>
    <w:p w14:paraId="226413F1" w14:textId="77777777" w:rsidR="002137E1" w:rsidRPr="00DB5D0D" w:rsidRDefault="002137E1" w:rsidP="00DB5D0D">
      <w:pPr>
        <w:spacing w:after="0" w:line="240" w:lineRule="auto"/>
        <w:jc w:val="both"/>
        <w:rPr>
          <w:rFonts w:ascii="Times New Roman" w:hAnsi="Times New Roman"/>
          <w:color w:val="000000" w:themeColor="text1"/>
          <w:sz w:val="16"/>
          <w:szCs w:val="16"/>
        </w:rPr>
      </w:pPr>
    </w:p>
    <w:p w14:paraId="745DD8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была подготовлена:</w:t>
      </w:r>
    </w:p>
    <w:p w14:paraId="4F37FE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на 1 июня по опытному самолету И-185 конструкции Н.Н.П. на заводе 1":</w:t>
      </w:r>
    </w:p>
    <w:p w14:paraId="32393E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И-185 М-90 представлет собой одноместный, одномоторный истребитель - моноплан с нижнерасположенным крылом, с убирающимся шасси и костыльным колесом.</w:t>
      </w:r>
    </w:p>
    <w:p w14:paraId="592822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самолета - смешанная.</w:t>
      </w:r>
    </w:p>
    <w:p w14:paraId="73B743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и хвостовое оперение цельнометаллические, со стальными несущими элементами и дюралевой обшивкой. Органы управления обтянуты полотном.</w:t>
      </w:r>
    </w:p>
    <w:p w14:paraId="5896F3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 деревянный монокок, плавно переходящий на киль, составляющий с фюзеляжем единое целое.</w:t>
      </w:r>
    </w:p>
    <w:p w14:paraId="3215A1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убирающееся, консольное одностоечное.</w:t>
      </w:r>
    </w:p>
    <w:p w14:paraId="02EC0F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Баки - сварные из алюминиевого сплава.</w:t>
      </w:r>
    </w:p>
    <w:p w14:paraId="352A1A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 пилота - закрытая. Козырек и фонарь из плексигласа. Фонарь откатывается назад передвижением трех роликов по направляющим.</w:t>
      </w:r>
    </w:p>
    <w:p w14:paraId="2B4B8D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состоит из 2 крупнокалиберных пулеметов Березина и 2 ШКАС. Все пулеметы расположены сверху - непосредственно около прицела. Помимо этого имеется бомбардировочное вооружение, принятое на истребителях.</w:t>
      </w:r>
    </w:p>
    <w:p w14:paraId="0C7D1B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данном самолете впервые в СССР разработаны и введены в конструкцию ряд новых идей: капот мотора с центральным входом для воздуха, охлаждающего мотор, охлаждение мотора при взлете и на земле с помощью специального вентилятора.</w:t>
      </w:r>
    </w:p>
    <w:p w14:paraId="36A586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строится в 5 экз. В постройке опытных экз. принимают участие серийные цеха завода 1.</w:t>
      </w:r>
    </w:p>
    <w:p w14:paraId="0721EA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окончания работ по этапам: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4D777347" w14:textId="77777777" w:rsidTr="009223E5">
        <w:tc>
          <w:tcPr>
            <w:tcW w:w="2299" w:type="dxa"/>
            <w:tcBorders>
              <w:top w:val="single" w:sz="12" w:space="0" w:color="auto"/>
            </w:tcBorders>
          </w:tcPr>
          <w:p w14:paraId="3B2BE6C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1E40AE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1</w:t>
            </w:r>
          </w:p>
        </w:tc>
        <w:tc>
          <w:tcPr>
            <w:tcW w:w="2299" w:type="dxa"/>
            <w:tcBorders>
              <w:top w:val="single" w:sz="12" w:space="0" w:color="auto"/>
            </w:tcBorders>
          </w:tcPr>
          <w:p w14:paraId="326F0D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2</w:t>
            </w:r>
          </w:p>
        </w:tc>
        <w:tc>
          <w:tcPr>
            <w:tcW w:w="2299" w:type="dxa"/>
            <w:tcBorders>
              <w:top w:val="single" w:sz="12" w:space="0" w:color="auto"/>
            </w:tcBorders>
          </w:tcPr>
          <w:p w14:paraId="695ADD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w:t>
            </w:r>
          </w:p>
        </w:tc>
        <w:tc>
          <w:tcPr>
            <w:tcW w:w="2299" w:type="dxa"/>
            <w:tcBorders>
              <w:top w:val="single" w:sz="12" w:space="0" w:color="auto"/>
            </w:tcBorders>
          </w:tcPr>
          <w:p w14:paraId="5DEFA4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 гос.</w:t>
            </w:r>
          </w:p>
        </w:tc>
      </w:tr>
      <w:tr w:rsidR="007D5DF8" w:rsidRPr="00DB5D0D" w14:paraId="6CAEFC53" w14:textId="77777777" w:rsidTr="009223E5">
        <w:tc>
          <w:tcPr>
            <w:tcW w:w="2299" w:type="dxa"/>
          </w:tcPr>
          <w:p w14:paraId="7A8E51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w:t>
            </w:r>
          </w:p>
        </w:tc>
        <w:tc>
          <w:tcPr>
            <w:tcW w:w="2299" w:type="dxa"/>
          </w:tcPr>
          <w:p w14:paraId="40EB75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04.40</w:t>
            </w:r>
          </w:p>
        </w:tc>
        <w:tc>
          <w:tcPr>
            <w:tcW w:w="2299" w:type="dxa"/>
          </w:tcPr>
          <w:p w14:paraId="2407AA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2299" w:type="dxa"/>
          </w:tcPr>
          <w:p w14:paraId="5528E6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01.09.40</w:t>
            </w:r>
          </w:p>
        </w:tc>
        <w:tc>
          <w:tcPr>
            <w:tcW w:w="2299" w:type="dxa"/>
          </w:tcPr>
          <w:p w14:paraId="1D2D44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w:t>
            </w:r>
          </w:p>
        </w:tc>
      </w:tr>
      <w:tr w:rsidR="007D5DF8" w:rsidRPr="00DB5D0D" w14:paraId="3E2F667B" w14:textId="77777777" w:rsidTr="009223E5">
        <w:tc>
          <w:tcPr>
            <w:tcW w:w="2299" w:type="dxa"/>
          </w:tcPr>
          <w:p w14:paraId="1012F7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 3 экз.</w:t>
            </w:r>
          </w:p>
        </w:tc>
        <w:tc>
          <w:tcPr>
            <w:tcW w:w="2299" w:type="dxa"/>
          </w:tcPr>
          <w:p w14:paraId="42B009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05.40</w:t>
            </w:r>
          </w:p>
        </w:tc>
        <w:tc>
          <w:tcPr>
            <w:tcW w:w="2299" w:type="dxa"/>
          </w:tcPr>
          <w:p w14:paraId="765946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15.08.40</w:t>
            </w:r>
          </w:p>
        </w:tc>
        <w:tc>
          <w:tcPr>
            <w:tcW w:w="2299" w:type="dxa"/>
          </w:tcPr>
          <w:p w14:paraId="59E69E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2299" w:type="dxa"/>
          </w:tcPr>
          <w:p w14:paraId="7F536A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w:t>
            </w:r>
          </w:p>
        </w:tc>
      </w:tr>
      <w:tr w:rsidR="007D5DF8" w:rsidRPr="00DB5D0D" w14:paraId="02C52B74" w14:textId="77777777" w:rsidTr="009223E5">
        <w:tc>
          <w:tcPr>
            <w:tcW w:w="2299" w:type="dxa"/>
            <w:tcBorders>
              <w:bottom w:val="single" w:sz="12" w:space="0" w:color="auto"/>
            </w:tcBorders>
          </w:tcPr>
          <w:p w14:paraId="3B7B40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 5 экз.</w:t>
            </w:r>
          </w:p>
        </w:tc>
        <w:tc>
          <w:tcPr>
            <w:tcW w:w="2299" w:type="dxa"/>
            <w:tcBorders>
              <w:bottom w:val="single" w:sz="12" w:space="0" w:color="auto"/>
            </w:tcBorders>
          </w:tcPr>
          <w:p w14:paraId="0254CB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06.40</w:t>
            </w:r>
          </w:p>
        </w:tc>
        <w:tc>
          <w:tcPr>
            <w:tcW w:w="2299" w:type="dxa"/>
            <w:tcBorders>
              <w:bottom w:val="single" w:sz="12" w:space="0" w:color="auto"/>
            </w:tcBorders>
          </w:tcPr>
          <w:p w14:paraId="0A0252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01.08.40</w:t>
            </w:r>
          </w:p>
        </w:tc>
        <w:tc>
          <w:tcPr>
            <w:tcW w:w="2299" w:type="dxa"/>
            <w:tcBorders>
              <w:bottom w:val="single" w:sz="12" w:space="0" w:color="auto"/>
            </w:tcBorders>
          </w:tcPr>
          <w:p w14:paraId="16329F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01.10.40</w:t>
            </w:r>
          </w:p>
        </w:tc>
        <w:tc>
          <w:tcPr>
            <w:tcW w:w="2299" w:type="dxa"/>
            <w:tcBorders>
              <w:bottom w:val="single" w:sz="12" w:space="0" w:color="auto"/>
            </w:tcBorders>
          </w:tcPr>
          <w:p w14:paraId="2F1990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 (2090,103)</w:t>
            </w:r>
          </w:p>
        </w:tc>
      </w:tr>
    </w:tbl>
    <w:p w14:paraId="6120B8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3F466C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закончены изготовлением 10 мая с.г. и спущены в производство.</w:t>
      </w:r>
    </w:p>
    <w:p w14:paraId="0BCDBF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статиспытаний изготовлены все агрегаты. Фюзеляж с центропланом, шасси и хвостовое оперение поданы в статлабораторию, где проводится установка и подготовка к испытаниям.</w:t>
      </w:r>
    </w:p>
    <w:p w14:paraId="6F401C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отработки ВМГ в трубе построен макет с работающей ВМГ.</w:t>
      </w:r>
    </w:p>
    <w:p w14:paraId="099913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данное время производятся доводочные работы по постройке и заканчивается сборка кока воздушного винта. завод 29 задерживает испытание винта на стенде.</w:t>
      </w:r>
    </w:p>
    <w:p w14:paraId="5082A3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Готовность летных экземпляров</w:t>
      </w:r>
    </w:p>
    <w:p w14:paraId="3EC96D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1-ю летную машину - все агрегаты изготовлены и поступили на общую сборку самолета, кроме консолей крыла.</w:t>
      </w:r>
    </w:p>
    <w:p w14:paraId="5079DA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Сборку кроме установки мотора намечено закончить 10 июня.</w:t>
      </w:r>
    </w:p>
    <w:p w14:paraId="6DD0AE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Подача мотора задерживается заводом 29.</w:t>
      </w:r>
    </w:p>
    <w:p w14:paraId="79CC26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2-ю летную машину - все агрегаты находятся в стапельной сборке.</w:t>
      </w:r>
    </w:p>
    <w:p w14:paraId="27F5C1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Срок окончания сборки, без установки мотора - намечен на 25 июня с.г.</w:t>
      </w:r>
    </w:p>
    <w:p w14:paraId="1A0B2E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3-й и 4-й экз. самолета изготовлены все детали, кроме центроплана, консолей крыла и оперения.</w:t>
      </w:r>
    </w:p>
    <w:p w14:paraId="3A0670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5-й экз. самолета запущены в производство детали.</w:t>
      </w:r>
    </w:p>
    <w:p w14:paraId="24059A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Мероприятия:</w:t>
      </w:r>
    </w:p>
    <w:p w14:paraId="0611BD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Для ускорения проведения стендовых испытаний мотора и обеспечения опытных самолетов моторами М-90, заказать в Германии требуемые подшипники, из-за которых задерживаются испытания моторов и подача на летную машину И-185.</w:t>
      </w:r>
    </w:p>
    <w:p w14:paraId="71A8C5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Заводу 29 подать мотор М-90 к 10 июня с.г.</w:t>
      </w:r>
    </w:p>
    <w:p w14:paraId="72B7BC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Усилить контроль со стороны диспетчерского аппарата завода за выполнением работ по самолету." (2090,103).</w:t>
      </w:r>
    </w:p>
    <w:p w14:paraId="0DC0D15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2B9C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 приказом наркомата авиапромышленности в соответствии с решением Комитета Обороны от 25 мая истребитель И-200 был официально запущен в серийное производство на заводе № 1. В соответствии с откорректированной программой выпуска заводу предписывалось в 1940 г. сдать 125 самолетов И-200 (12045).</w:t>
      </w:r>
    </w:p>
    <w:p w14:paraId="5923509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8E1405" w14:textId="77777777" w:rsidR="001F639A" w:rsidRPr="00DB5D0D" w:rsidRDefault="001F63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31 мая 1940 - В НИИ ГВФ начались испытания пассажирского самолёта ПС-5 с двигателем М-25В конструкции Иосифа Григорьевича Немана. Ведущий инженер Спиваковский Семён Давыдович, лётчик-испытатель Табаровский Станислав Антонович. Самолёт допустили к полётам на дневных линиях ГВФ, но об эксплуатации подобных машин в "Аэрофлоте" сведений нет. Опытный ПС-5 использовался некоторое время для заводских перевозок и вскоре разбился при посадке с пассажирами из-за ошибки лётчика (22475).</w:t>
      </w:r>
    </w:p>
    <w:p w14:paraId="30A2EF91" w14:textId="77777777" w:rsidR="001F639A" w:rsidRPr="00DB5D0D" w:rsidRDefault="001F639A" w:rsidP="00DB5D0D">
      <w:pPr>
        <w:spacing w:after="0" w:line="240" w:lineRule="auto"/>
        <w:jc w:val="both"/>
        <w:rPr>
          <w:rFonts w:ascii="Times New Roman" w:hAnsi="Times New Roman"/>
          <w:color w:val="0070C0"/>
          <w:sz w:val="16"/>
          <w:szCs w:val="16"/>
        </w:rPr>
      </w:pPr>
    </w:p>
    <w:p w14:paraId="3AD724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состоялся первый полет 2-го экз. МБР-7 (МС-8) (1049,100). Это было начало заводских испытаний и на машине стояли М-103 (2090,133).</w:t>
      </w:r>
    </w:p>
    <w:p w14:paraId="6A8E918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712E6B" w14:textId="77777777" w:rsidR="002137E1" w:rsidRPr="00DB5D0D" w:rsidRDefault="002137E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31 мая</w:t>
      </w:r>
      <w:r w:rsidRPr="00DB5D0D">
        <w:rPr>
          <w:rFonts w:ascii="Times New Roman" w:hAnsi="Times New Roman"/>
          <w:color w:val="000000" w:themeColor="text1"/>
          <w:sz w:val="16"/>
          <w:szCs w:val="16"/>
        </w:rPr>
        <w:t xml:space="preserve"> в 1940 году совершил первый полет </w:t>
      </w:r>
      <w:hyperlink r:id="rId68" w:tgtFrame="_blank" w:history="1">
        <w:r w:rsidRPr="00DB5D0D">
          <w:rPr>
            <w:rFonts w:ascii="Times New Roman" w:hAnsi="Times New Roman"/>
            <w:color w:val="000000" w:themeColor="text1"/>
            <w:sz w:val="16"/>
            <w:szCs w:val="16"/>
          </w:rPr>
          <w:t xml:space="preserve">«МБР-7» </w:t>
        </w:r>
      </w:hyperlink>
      <w:r w:rsidRPr="00DB5D0D">
        <w:rPr>
          <w:rFonts w:ascii="Times New Roman" w:hAnsi="Times New Roman"/>
          <w:color w:val="000000" w:themeColor="text1"/>
          <w:sz w:val="16"/>
          <w:szCs w:val="16"/>
        </w:rPr>
        <w:t>- дублер, которым управлял пилот Н.П.Котяков. Особых проблем не возникало и испытания были завершены 24 июня после выполнения 26 полетов (14908).</w:t>
      </w:r>
    </w:p>
    <w:p w14:paraId="630ECB49" w14:textId="77777777" w:rsidR="002137E1" w:rsidRPr="00DB5D0D" w:rsidRDefault="002137E1" w:rsidP="00DB5D0D">
      <w:pPr>
        <w:spacing w:after="0" w:line="240" w:lineRule="auto"/>
        <w:jc w:val="both"/>
        <w:rPr>
          <w:rFonts w:ascii="Times New Roman" w:hAnsi="Times New Roman"/>
          <w:color w:val="000000" w:themeColor="text1"/>
          <w:sz w:val="16"/>
          <w:szCs w:val="16"/>
        </w:rPr>
      </w:pPr>
    </w:p>
    <w:p w14:paraId="499998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года Шахурин писал письмо N 1368сс наркому ВМФ флагману флота 2 ранга Кузнецову.</w:t>
      </w:r>
    </w:p>
    <w:p w14:paraId="2481C5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возобновления серийного производства самолетов МТБ-2 и постройки нового опытного четырехмоторного морского бомбардировщика.</w:t>
      </w:r>
    </w:p>
    <w:p w14:paraId="218AB3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Возвращая при этом проект постановления КО сообщаю, что возобновление серийного производства самолетов МТБ-2 связано с значительной затратой времени и средств, так как подготовленные ранее приспособления, плазы и шаблоны в настоящее время использованы для вновь проектируемого самолета, а материалы, заготовленные для самолета МТБ-2, использованы для существующего производства завода.</w:t>
      </w:r>
    </w:p>
    <w:p w14:paraId="6120B3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Большая стоимость подготовки для внедрения и изготовления лишь большого количества самолетов только в 1941 году вызовет не рентабельную затрату сил и средств и сделает очень высокой стоимость каждого выпущенного экземпляра.</w:t>
      </w:r>
    </w:p>
    <w:p w14:paraId="3E9D16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внедрение самолета МТБ-2 целесообразно лишь в том случае, если самолеты будут строиться серийно не только в 1941 году, но будет продолжаться их постройка и в 1942 году.</w:t>
      </w:r>
    </w:p>
    <w:p w14:paraId="2B6500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своим производственным возможностям завод N 30 в 1941 году может изготовить не более 5-ти самолетов, а в 1942 году - 15 самолетов.</w:t>
      </w:r>
    </w:p>
    <w:p w14:paraId="5CC151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Ставя Вас в известность об изложенном, прошу подтвердить необходимость для НКВМФ изготовления в 1941 и 1942 годах указанного числа самолетов и, что эти самолеты с моторами М-88 будут удовлетворять НКВМФ в 1942 году следующими летно-тактическими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42BFF7A8" w14:textId="77777777" w:rsidTr="009223E5">
        <w:tc>
          <w:tcPr>
            <w:tcW w:w="5749" w:type="dxa"/>
            <w:tcBorders>
              <w:top w:val="single" w:sz="12" w:space="0" w:color="auto"/>
            </w:tcBorders>
          </w:tcPr>
          <w:p w14:paraId="7F69A2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6500 м</w:t>
            </w:r>
          </w:p>
        </w:tc>
        <w:tc>
          <w:tcPr>
            <w:tcW w:w="5749" w:type="dxa"/>
            <w:tcBorders>
              <w:top w:val="single" w:sz="12" w:space="0" w:color="auto"/>
            </w:tcBorders>
          </w:tcPr>
          <w:p w14:paraId="1282E6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 км/час</w:t>
            </w:r>
          </w:p>
        </w:tc>
      </w:tr>
      <w:tr w:rsidR="007D5DF8" w:rsidRPr="00DB5D0D" w14:paraId="4DE1F4C3" w14:textId="77777777" w:rsidTr="009223E5">
        <w:tc>
          <w:tcPr>
            <w:tcW w:w="5749" w:type="dxa"/>
          </w:tcPr>
          <w:p w14:paraId="598CC2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w:t>
            </w:r>
          </w:p>
        </w:tc>
        <w:tc>
          <w:tcPr>
            <w:tcW w:w="5749" w:type="dxa"/>
          </w:tcPr>
          <w:p w14:paraId="0815F8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 км/час</w:t>
            </w:r>
          </w:p>
        </w:tc>
      </w:tr>
      <w:tr w:rsidR="007D5DF8" w:rsidRPr="00DB5D0D" w14:paraId="24021494" w14:textId="77777777" w:rsidTr="009223E5">
        <w:tc>
          <w:tcPr>
            <w:tcW w:w="5749" w:type="dxa"/>
          </w:tcPr>
          <w:p w14:paraId="7077AF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наивыгоднейшем режиме с</w:t>
            </w:r>
          </w:p>
        </w:tc>
        <w:tc>
          <w:tcPr>
            <w:tcW w:w="5749" w:type="dxa"/>
          </w:tcPr>
          <w:p w14:paraId="3A888FD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D4259EC" w14:textId="77777777" w:rsidTr="009223E5">
        <w:tc>
          <w:tcPr>
            <w:tcW w:w="5749" w:type="dxa"/>
          </w:tcPr>
          <w:p w14:paraId="7EDC28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перегрузкой и с 2000 кг бомб</w:t>
            </w:r>
          </w:p>
        </w:tc>
        <w:tc>
          <w:tcPr>
            <w:tcW w:w="5749" w:type="dxa"/>
          </w:tcPr>
          <w:p w14:paraId="5F0927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 км</w:t>
            </w:r>
          </w:p>
        </w:tc>
      </w:tr>
      <w:tr w:rsidR="007D5DF8" w:rsidRPr="00DB5D0D" w14:paraId="352184A9" w14:textId="77777777" w:rsidTr="009223E5">
        <w:tc>
          <w:tcPr>
            <w:tcW w:w="5749" w:type="dxa"/>
          </w:tcPr>
          <w:p w14:paraId="7580BE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наивыгоднейшем режиме с</w:t>
            </w:r>
          </w:p>
        </w:tc>
        <w:tc>
          <w:tcPr>
            <w:tcW w:w="5749" w:type="dxa"/>
          </w:tcPr>
          <w:p w14:paraId="67153F1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0742A16" w14:textId="77777777" w:rsidTr="009223E5">
        <w:tc>
          <w:tcPr>
            <w:tcW w:w="5749" w:type="dxa"/>
          </w:tcPr>
          <w:p w14:paraId="61EB09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перегрузкой, но без бомб</w:t>
            </w:r>
          </w:p>
        </w:tc>
        <w:tc>
          <w:tcPr>
            <w:tcW w:w="5749" w:type="dxa"/>
          </w:tcPr>
          <w:p w14:paraId="10CC15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4200 км</w:t>
            </w:r>
          </w:p>
        </w:tc>
      </w:tr>
      <w:tr w:rsidR="007D5DF8" w:rsidRPr="00DB5D0D" w14:paraId="3AFFF015" w14:textId="77777777" w:rsidTr="009223E5">
        <w:tc>
          <w:tcPr>
            <w:tcW w:w="5749" w:type="dxa"/>
          </w:tcPr>
          <w:p w14:paraId="037F30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w:t>
            </w:r>
          </w:p>
        </w:tc>
        <w:tc>
          <w:tcPr>
            <w:tcW w:w="5749" w:type="dxa"/>
          </w:tcPr>
          <w:p w14:paraId="417B87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8500 м</w:t>
            </w:r>
          </w:p>
        </w:tc>
      </w:tr>
      <w:tr w:rsidR="007D5DF8" w:rsidRPr="00DB5D0D" w14:paraId="20D87943" w14:textId="77777777" w:rsidTr="009223E5">
        <w:tc>
          <w:tcPr>
            <w:tcW w:w="5749" w:type="dxa"/>
          </w:tcPr>
          <w:p w14:paraId="07AA23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5749" w:type="dxa"/>
          </w:tcPr>
          <w:p w14:paraId="252894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пушка 20 мм и</w:t>
            </w:r>
          </w:p>
        </w:tc>
      </w:tr>
      <w:tr w:rsidR="007D5DF8" w:rsidRPr="00DB5D0D" w14:paraId="459EFECA" w14:textId="77777777" w:rsidTr="009223E5">
        <w:tc>
          <w:tcPr>
            <w:tcW w:w="5749" w:type="dxa"/>
          </w:tcPr>
          <w:p w14:paraId="2BB0B91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49" w:type="dxa"/>
          </w:tcPr>
          <w:p w14:paraId="35BA42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пулем. 7,62 мм</w:t>
            </w:r>
          </w:p>
        </w:tc>
      </w:tr>
      <w:tr w:rsidR="007D5DF8" w:rsidRPr="00DB5D0D" w14:paraId="6FDEF0B5" w14:textId="77777777" w:rsidTr="009223E5">
        <w:tc>
          <w:tcPr>
            <w:tcW w:w="5749" w:type="dxa"/>
          </w:tcPr>
          <w:p w14:paraId="7FA152B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749" w:type="dxa"/>
          </w:tcPr>
          <w:p w14:paraId="6AEF0D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Емкость бомбодержателей - 3000 кг</w:t>
            </w:r>
          </w:p>
        </w:tc>
      </w:tr>
      <w:tr w:rsidR="007D5DF8" w:rsidRPr="00DB5D0D" w14:paraId="68C592D8" w14:textId="77777777" w:rsidTr="009223E5">
        <w:tc>
          <w:tcPr>
            <w:tcW w:w="5749" w:type="dxa"/>
            <w:tcBorders>
              <w:bottom w:val="single" w:sz="12" w:space="0" w:color="auto"/>
            </w:tcBorders>
          </w:tcPr>
          <w:p w14:paraId="56C53B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c>
          <w:tcPr>
            <w:tcW w:w="5749" w:type="dxa"/>
            <w:tcBorders>
              <w:bottom w:val="single" w:sz="12" w:space="0" w:color="auto"/>
            </w:tcBorders>
          </w:tcPr>
          <w:p w14:paraId="678B5E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человек.</w:t>
            </w:r>
          </w:p>
        </w:tc>
      </w:tr>
    </w:tbl>
    <w:p w14:paraId="7E9F66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касается постройки нового опытного 4-х моторного морского бомбардировщика, сроков изготовления, летно-тактических данных и места его изготовления, - то этот вопрос в настоящее время передан на проработку конструкторам.</w:t>
      </w:r>
    </w:p>
    <w:p w14:paraId="441DA4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ее будут Вам направлены в самое ближайшее время.</w:t>
      </w:r>
    </w:p>
    <w:p w14:paraId="403EA7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Проект постановления КО на 2-х листах (1193,224).</w:t>
      </w:r>
    </w:p>
    <w:p w14:paraId="3EB2001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DB95C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вышел приказ НКАП N 244сс в исполнение постановления КО N 219сс от 23 мая 1940 и был принят на вооружение двигатель М-105 и запущен в серию на 26 заводе (1295,149).</w:t>
      </w:r>
    </w:p>
    <w:p w14:paraId="5B21496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0A7B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 К.Е.Ворошилову показали самолет ПС-84 К (транспортно-десантный вариант) на Центральном аэродроме и он дал ему высокую оценку (3404).</w:t>
      </w:r>
    </w:p>
    <w:p w14:paraId="583BE02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1233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перелет на ЦА и обратно продолжительностью 0:40 (2923).</w:t>
      </w:r>
    </w:p>
    <w:p w14:paraId="314D687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AEAB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года на Центральном аэродроме самолет ПС-84 в военных вариантах был осмотрен маршалом Ворошиловым и одобрен с указанием увеличить скорость самолета (4189,25-36).</w:t>
      </w:r>
    </w:p>
    <w:p w14:paraId="24E9AB6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6232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 на Центральном аэро</w:t>
      </w:r>
      <w:r w:rsidRPr="00DB5D0D">
        <w:rPr>
          <w:rFonts w:ascii="Times New Roman" w:hAnsi="Times New Roman"/>
          <w:color w:val="000000" w:themeColor="text1"/>
          <w:sz w:val="16"/>
          <w:szCs w:val="16"/>
        </w:rPr>
        <w:softHyphen/>
        <w:t>дроме военный вариант «Дуг</w:t>
      </w:r>
      <w:r w:rsidRPr="00DB5D0D">
        <w:rPr>
          <w:rFonts w:ascii="Times New Roman" w:hAnsi="Times New Roman"/>
          <w:color w:val="000000" w:themeColor="text1"/>
          <w:sz w:val="16"/>
          <w:szCs w:val="16"/>
        </w:rPr>
        <w:softHyphen/>
        <w:t>ласа» - ПС-84К, с дополнительной дверью в левом борту осмотрел нарком обороны К.Е. Ворошилов. В ходе войсковых испытаний 17-18 июня с ПС-84К проводилось десантирование бой</w:t>
      </w:r>
      <w:r w:rsidRPr="00DB5D0D">
        <w:rPr>
          <w:rFonts w:ascii="Times New Roman" w:hAnsi="Times New Roman"/>
          <w:color w:val="000000" w:themeColor="text1"/>
          <w:sz w:val="16"/>
          <w:szCs w:val="16"/>
        </w:rPr>
        <w:softHyphen/>
        <w:t>цов 201-й вдб на аэродроме Рельбицы под Ленинградом. Бойцы по</w:t>
      </w:r>
      <w:r w:rsidRPr="00DB5D0D">
        <w:rPr>
          <w:rFonts w:ascii="Times New Roman" w:hAnsi="Times New Roman"/>
          <w:color w:val="000000" w:themeColor="text1"/>
          <w:sz w:val="16"/>
          <w:szCs w:val="16"/>
        </w:rPr>
        <w:softHyphen/>
        <w:t>кидали самолет через обе двери -левую и правую; на все ушло 12-14 секунд. Посадка десанта занимала около полутора минут. В выводах отчета записано: «Самолет ПС-84К в десантном варианте значительно лучше самолета ТБ-3...». Из сохранившихся документов следует, что ПС-84К планировали строить специально для ВВС (как с вооружением, так и без) или же пе</w:t>
      </w:r>
      <w:r w:rsidRPr="00DB5D0D">
        <w:rPr>
          <w:rFonts w:ascii="Times New Roman" w:hAnsi="Times New Roman"/>
          <w:color w:val="000000" w:themeColor="text1"/>
          <w:sz w:val="16"/>
          <w:szCs w:val="16"/>
        </w:rPr>
        <w:softHyphen/>
        <w:t>реоборудовать в них при необходи</w:t>
      </w:r>
      <w:r w:rsidRPr="00DB5D0D">
        <w:rPr>
          <w:rFonts w:ascii="Times New Roman" w:hAnsi="Times New Roman"/>
          <w:color w:val="000000" w:themeColor="text1"/>
          <w:sz w:val="16"/>
          <w:szCs w:val="16"/>
        </w:rPr>
        <w:softHyphen/>
        <w:t>мости обычные пассажирские ма</w:t>
      </w:r>
      <w:r w:rsidRPr="00DB5D0D">
        <w:rPr>
          <w:rFonts w:ascii="Times New Roman" w:hAnsi="Times New Roman"/>
          <w:color w:val="000000" w:themeColor="text1"/>
          <w:sz w:val="16"/>
          <w:szCs w:val="16"/>
        </w:rPr>
        <w:softHyphen/>
        <w:t>шины, заранее предусмотрев такую возможность. Начальник НИИ ВВС А.И. Филин в июле 1940 г. писал: «Все самолеты ПС-84 следует строить со всеми изменениями, необходимыми для переоборудования их в военные о 3 варианты...». Но реально измене</w:t>
      </w:r>
      <w:r w:rsidRPr="00DB5D0D">
        <w:rPr>
          <w:rFonts w:ascii="Times New Roman" w:hAnsi="Times New Roman"/>
          <w:color w:val="000000" w:themeColor="text1"/>
          <w:sz w:val="16"/>
          <w:szCs w:val="16"/>
        </w:rPr>
        <w:softHyphen/>
        <w:t>ния, свойственные модификации «К», внедрили на серийных ПС-84 уже после начала Великой Отече</w:t>
      </w:r>
      <w:r w:rsidRPr="00DB5D0D">
        <w:rPr>
          <w:rFonts w:ascii="Times New Roman" w:hAnsi="Times New Roman"/>
          <w:color w:val="000000" w:themeColor="text1"/>
          <w:sz w:val="16"/>
          <w:szCs w:val="16"/>
        </w:rPr>
        <w:softHyphen/>
        <w:t>ственной войны (10690).</w:t>
      </w:r>
    </w:p>
    <w:p w14:paraId="5934F7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01098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31 мая по 4 июля 1940 в НИИ ГВФ проходили гос. испытания Р-10, переделанного в пассажирскую машину на 4 чел. Прорезали 4 окна и сделали входную дверь, к сидениям подвели вентиляцию, сделали багажное отделение на 50 кг и назвали ПС-5. При полетном весе 2880 кг полезная нагрузка была 290 кг. Ви С.Д.Спиваковский, л-и А.И.Тобаровский. Допустили к полетам на дневных линиях ГВФ. Был только один опытный и его использовали в Аэрофлоте, пока не разбили с пассажирами по вине л на посадке (1462,26).</w:t>
      </w:r>
    </w:p>
    <w:p w14:paraId="77A414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 сведения, что С.В.Ильюшин писал в ЦК в мае 1940 о необходимости скорейшего начала серийного производства штурмовика (3,28).</w:t>
      </w:r>
    </w:p>
    <w:p w14:paraId="6CAEF2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слухов в области принятия решения о переходе на одноместную машину можно назвать то, что в мае 1940 ОКБ С.В.И. посетила большая (180,11) группа специалисты во главе с К.Е.Ворошиловым и вскоре вопрос о начале серийного производстве обсуждался у И.В.Сталина.</w:t>
      </w:r>
    </w:p>
    <w:p w14:paraId="0E955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Считается, что именно на этом обсуждении было принято решение о выпуске одноместной машины (24,251), хотя форма принятия решения тоже не ясна.</w:t>
      </w:r>
    </w:p>
    <w:p w14:paraId="12A933C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33DAA5" w14:textId="77777777" w:rsidR="002137E1" w:rsidRPr="00DB5D0D" w:rsidRDefault="002137E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31 мая</w:t>
      </w:r>
      <w:r w:rsidRPr="00DB5D0D">
        <w:rPr>
          <w:rFonts w:ascii="Times New Roman" w:hAnsi="Times New Roman"/>
          <w:color w:val="000000" w:themeColor="text1"/>
          <w:sz w:val="16"/>
          <w:szCs w:val="16"/>
        </w:rPr>
        <w:t xml:space="preserve"> в 1940 году в НИИ ГВФ начались (по 4 июля) испытания пассажирского самолета </w:t>
      </w:r>
      <w:hyperlink r:id="rId69" w:tgtFrame="_blank" w:history="1">
        <w:r w:rsidRPr="00DB5D0D">
          <w:rPr>
            <w:rFonts w:ascii="Times New Roman" w:hAnsi="Times New Roman"/>
            <w:color w:val="000000" w:themeColor="text1"/>
            <w:sz w:val="16"/>
            <w:szCs w:val="16"/>
          </w:rPr>
          <w:t xml:space="preserve">«ПС-5» </w:t>
        </w:r>
      </w:hyperlink>
      <w:r w:rsidRPr="00DB5D0D">
        <w:rPr>
          <w:rFonts w:ascii="Times New Roman" w:hAnsi="Times New Roman"/>
          <w:color w:val="000000" w:themeColor="text1"/>
          <w:sz w:val="16"/>
          <w:szCs w:val="16"/>
        </w:rPr>
        <w:t>с двигателем «М-25В» конструкции Немана. Ведущий инженер С.Д.Спиваковский, летчик-испытатель А.И.Табаровский. Самолет допустили к полетам на дневных линиях ГВФ, но об эксплуатации подобных машин в "Аэрофлоте" сведений нет. Опытный «ПС-5» использовался некоторое время для заводских перевозок и вскоре разбился при посадке с пассажирами из-за ошибки летчика (14908).</w:t>
      </w:r>
    </w:p>
    <w:p w14:paraId="6057A9C1" w14:textId="77777777" w:rsidR="002137E1" w:rsidRPr="00DB5D0D" w:rsidRDefault="002137E1" w:rsidP="00DB5D0D">
      <w:pPr>
        <w:spacing w:after="0" w:line="240" w:lineRule="auto"/>
        <w:jc w:val="both"/>
        <w:rPr>
          <w:rFonts w:ascii="Times New Roman" w:hAnsi="Times New Roman"/>
          <w:color w:val="000000" w:themeColor="text1"/>
          <w:sz w:val="16"/>
          <w:szCs w:val="16"/>
        </w:rPr>
      </w:pPr>
    </w:p>
    <w:p w14:paraId="1E184B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приговором Военной коллегии Верховного Суда СССР был осужден А.М.Черемухин (2666,101).</w:t>
      </w:r>
    </w:p>
    <w:p w14:paraId="251CDA2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EB13D7" w14:textId="77777777" w:rsidR="002137E1" w:rsidRPr="00DB5D0D" w:rsidRDefault="002137E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lastRenderedPageBreak/>
        <w:t>31 мая</w:t>
      </w:r>
      <w:r w:rsidRPr="00DB5D0D">
        <w:rPr>
          <w:rFonts w:ascii="Times New Roman" w:hAnsi="Times New Roman"/>
          <w:color w:val="000000" w:themeColor="text1"/>
          <w:sz w:val="16"/>
          <w:szCs w:val="16"/>
        </w:rPr>
        <w:t xml:space="preserve"> в 1940 году введён в эксплуатацию карбюраторный завод № 339, ныне Пермское агрегатное объединение "Инкар" (14908).</w:t>
      </w:r>
    </w:p>
    <w:p w14:paraId="7B6505FB" w14:textId="77777777" w:rsidR="002137E1" w:rsidRPr="00DB5D0D" w:rsidRDefault="002137E1" w:rsidP="00DB5D0D">
      <w:pPr>
        <w:spacing w:after="0" w:line="240" w:lineRule="auto"/>
        <w:jc w:val="both"/>
        <w:rPr>
          <w:rFonts w:ascii="Times New Roman" w:hAnsi="Times New Roman"/>
          <w:color w:val="000000" w:themeColor="text1"/>
          <w:sz w:val="16"/>
          <w:szCs w:val="16"/>
        </w:rPr>
      </w:pPr>
    </w:p>
    <w:p w14:paraId="6DA357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года начальник ОКБ-15 НКВ Шпитальный писал письмо № 603сс секретарю КО Сафонову</w:t>
      </w:r>
    </w:p>
    <w:p w14:paraId="2E50A5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О мотор-пушке 37 мм и самолете под эту установку</w:t>
      </w:r>
    </w:p>
    <w:p w14:paraId="66F7ABA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Настоящим ОКБ-15 сообщает, что присланные ГУАС тактико-технические требования на мотор-пушку калибра 37 мм с непрерывным питанием могут быть приняты ОКБ-15 для проектирования объекта.</w:t>
      </w:r>
    </w:p>
    <w:p w14:paraId="46822C5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ОКБ-15 просит также КО о включении в постановление Правительства вопроса о постройке самолета под мотор-пушку калибра 37 мм.</w:t>
      </w:r>
    </w:p>
    <w:p w14:paraId="0AEC08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Конструктора, работающие в НКАП вполне с таким запозданием справятся.</w:t>
      </w:r>
    </w:p>
    <w:p w14:paraId="1C14E2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завода № 1 Поликарпов Н.Н. берется спроектировать и построить такой самолет по своей схеме (3375,26).</w:t>
      </w:r>
    </w:p>
    <w:p w14:paraId="6853A73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43F8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года на НИП АВ ВВС закончились полигонные испытания зажигательных авиабомб ЗАБ-Э-1 оп. партии 1, 2 и ЗАБ-10 ТГ оп. партии 1 опытного суррогатного снаряжения завода № 80 изготовления 1940 года, которые проходили с 9 мая 1940.</w:t>
      </w:r>
    </w:p>
    <w:p w14:paraId="069B4D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F0148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Дьячков</w:t>
      </w:r>
    </w:p>
    <w:p w14:paraId="3F3A2F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36319D5B" w14:textId="77777777" w:rsidR="00A25AD1" w:rsidRPr="00DB5D0D" w:rsidRDefault="00A25AD1" w:rsidP="00DB5D0D">
      <w:pPr>
        <w:pStyle w:val="24"/>
        <w:widowControl/>
        <w:rPr>
          <w:color w:val="000000" w:themeColor="text1"/>
        </w:rPr>
      </w:pPr>
      <w:r w:rsidRPr="00DB5D0D">
        <w:rPr>
          <w:color w:val="000000" w:themeColor="text1"/>
        </w:rPr>
        <w:t>Испытание имело цель определить:</w:t>
      </w:r>
    </w:p>
    <w:p w14:paraId="286E8021" w14:textId="77777777" w:rsidR="00A25AD1" w:rsidRPr="00DB5D0D" w:rsidRDefault="00A25AD1" w:rsidP="00DB5D0D">
      <w:pPr>
        <w:pStyle w:val="24"/>
        <w:widowControl/>
        <w:tabs>
          <w:tab w:val="left" w:pos="360"/>
        </w:tabs>
        <w:rPr>
          <w:color w:val="000000" w:themeColor="text1"/>
        </w:rPr>
      </w:pPr>
      <w:r w:rsidRPr="00DB5D0D">
        <w:rPr>
          <w:color w:val="000000" w:themeColor="text1"/>
        </w:rPr>
        <w:t>Зажигательную способность.</w:t>
      </w:r>
    </w:p>
    <w:p w14:paraId="32364430" w14:textId="77777777" w:rsidR="00A25AD1" w:rsidRPr="00DB5D0D" w:rsidRDefault="00A25AD1" w:rsidP="00DB5D0D">
      <w:pPr>
        <w:pStyle w:val="24"/>
        <w:widowControl/>
        <w:tabs>
          <w:tab w:val="left" w:pos="360"/>
        </w:tabs>
        <w:rPr>
          <w:color w:val="000000" w:themeColor="text1"/>
        </w:rPr>
      </w:pPr>
      <w:r w:rsidRPr="00DB5D0D">
        <w:rPr>
          <w:color w:val="000000" w:themeColor="text1"/>
        </w:rPr>
        <w:t>Полноту и время горения.</w:t>
      </w:r>
    </w:p>
    <w:p w14:paraId="66E2A2E0" w14:textId="77777777" w:rsidR="00A25AD1" w:rsidRPr="00DB5D0D" w:rsidRDefault="00A25AD1" w:rsidP="00DB5D0D">
      <w:pPr>
        <w:pStyle w:val="24"/>
        <w:widowControl/>
        <w:tabs>
          <w:tab w:val="left" w:pos="360"/>
        </w:tabs>
        <w:rPr>
          <w:color w:val="000000" w:themeColor="text1"/>
        </w:rPr>
      </w:pPr>
      <w:r w:rsidRPr="00DB5D0D">
        <w:rPr>
          <w:color w:val="000000" w:themeColor="text1"/>
        </w:rPr>
        <w:t>Интенсивность горения.</w:t>
      </w:r>
    </w:p>
    <w:p w14:paraId="1F8F697B" w14:textId="77777777" w:rsidR="00A25AD1" w:rsidRPr="00DB5D0D" w:rsidRDefault="00A25AD1" w:rsidP="00DB5D0D">
      <w:pPr>
        <w:pStyle w:val="24"/>
        <w:widowControl/>
        <w:tabs>
          <w:tab w:val="left" w:pos="360"/>
        </w:tabs>
        <w:rPr>
          <w:color w:val="000000" w:themeColor="text1"/>
        </w:rPr>
      </w:pPr>
      <w:r w:rsidRPr="00DB5D0D">
        <w:rPr>
          <w:color w:val="000000" w:themeColor="text1"/>
        </w:rPr>
        <w:t>Проплавляющую способность.</w:t>
      </w:r>
    </w:p>
    <w:p w14:paraId="5BCE620F"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в действии.</w:t>
      </w:r>
    </w:p>
    <w:p w14:paraId="1794B324" w14:textId="77777777" w:rsidR="00A25AD1" w:rsidRPr="00DB5D0D" w:rsidRDefault="00A25AD1" w:rsidP="00DB5D0D">
      <w:pPr>
        <w:pStyle w:val="24"/>
        <w:widowControl/>
        <w:tabs>
          <w:tab w:val="left" w:pos="360"/>
        </w:tabs>
        <w:rPr>
          <w:color w:val="000000" w:themeColor="text1"/>
        </w:rPr>
      </w:pPr>
      <w:r w:rsidRPr="00DB5D0D">
        <w:rPr>
          <w:color w:val="000000" w:themeColor="text1"/>
        </w:rPr>
        <w:t>Устойчивость бомб на траектории.</w:t>
      </w:r>
    </w:p>
    <w:p w14:paraId="3EA92F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B9C203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ЗАБ-1-Э оп. партии № 1 и ЗАБ-10 ТГ устан. партии № 1 опытного суррогатного снаряжения завода № 80 полигонные испытания не выдержали.</w:t>
      </w:r>
    </w:p>
    <w:p w14:paraId="2F8BEBA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ЗАБ-1-Э оп. партии № 2 суррогатного снаряжения по безотказности действия, полноте сгорания и зажигательной способности дали удовлетворительные результаты и полигонные испытания выдержали.</w:t>
      </w:r>
    </w:p>
    <w:p w14:paraId="25DBC58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ЗАБ-10 ТГ с коробчатым стабилизатором уменьшают боевую нагрузку самолета СБ на 25% в сравнении с нагрузкой бомбами с перистыми стабилизаторами (в ведро-кассету входят 3 бомбы с коробчатыми стабилизаторами вместо 4 штук с перистыми), а поэтому НИП АВ считает целесообразным оставить у бомб ЗАБ-10 ТГ прежний перистый стабилизатор (7585).</w:t>
      </w:r>
    </w:p>
    <w:p w14:paraId="7B35827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4ED9FD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года на НИП АВ ВВС закончились полигонные испытания осколочных бомб АО-8м6 опытного суррогатного снаряжения, 1939 года завода № 12, которые проходили с 9 апреля 1940</w:t>
      </w:r>
    </w:p>
    <w:p w14:paraId="1BEFFF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9 апреля 1940 года</w:t>
      </w:r>
    </w:p>
    <w:p w14:paraId="611AB8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31 мая 1940 года</w:t>
      </w:r>
    </w:p>
    <w:p w14:paraId="593726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33CF30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Дьячков</w:t>
      </w:r>
    </w:p>
    <w:p w14:paraId="2E8BA9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3EF74939" w14:textId="77777777" w:rsidR="00A25AD1" w:rsidRPr="00DB5D0D" w:rsidRDefault="00A25AD1" w:rsidP="00DB5D0D">
      <w:pPr>
        <w:pStyle w:val="24"/>
        <w:widowControl/>
        <w:rPr>
          <w:color w:val="000000" w:themeColor="text1"/>
        </w:rPr>
      </w:pPr>
      <w:r w:rsidRPr="00DB5D0D">
        <w:rPr>
          <w:color w:val="000000" w:themeColor="text1"/>
        </w:rPr>
        <w:t>Испытание имело цель определить:</w:t>
      </w:r>
    </w:p>
    <w:p w14:paraId="2FC0F157"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бомбы.</w:t>
      </w:r>
    </w:p>
    <w:p w14:paraId="17F76416" w14:textId="77777777" w:rsidR="00A25AD1" w:rsidRPr="00DB5D0D" w:rsidRDefault="00A25AD1"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08C74C6E"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действия.</w:t>
      </w:r>
    </w:p>
    <w:p w14:paraId="60CBC06C" w14:textId="77777777" w:rsidR="00A25AD1" w:rsidRPr="00DB5D0D" w:rsidRDefault="00A25AD1" w:rsidP="00DB5D0D">
      <w:pPr>
        <w:pStyle w:val="24"/>
        <w:widowControl/>
        <w:tabs>
          <w:tab w:val="left" w:pos="360"/>
        </w:tabs>
        <w:rPr>
          <w:color w:val="000000" w:themeColor="text1"/>
        </w:rPr>
      </w:pPr>
      <w:r w:rsidRPr="00DB5D0D">
        <w:rPr>
          <w:color w:val="000000" w:themeColor="text1"/>
        </w:rPr>
        <w:t>Устойчивость бомб на рпаектории.</w:t>
      </w:r>
    </w:p>
    <w:p w14:paraId="03A1CC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12A29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АО-8м6 снаряженные АМТ 80/20 и АМН 88/12 методом шнекования и набивкой и бомбы АО-8м6 снаряженные тротилом методом набивкой по соколочному действию в сравнении со штатными бомбами снаряженными тротилом методом заливкой дали неудовлетворительные результаты и полигонные исптыания не выдержали (7589).</w:t>
      </w:r>
    </w:p>
    <w:p w14:paraId="7995A6F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D33C9F7"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6D8006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793D950" w14:textId="77777777" w:rsidR="00A25AD1" w:rsidRPr="00DB5D0D" w:rsidRDefault="00A25AD1" w:rsidP="00DB5D0D">
      <w:pPr>
        <w:pStyle w:val="a3"/>
        <w:rPr>
          <w:color w:val="000000" w:themeColor="text1"/>
          <w:lang w:val="ru-RU"/>
        </w:rPr>
      </w:pPr>
      <w:r w:rsidRPr="00DB5D0D">
        <w:rPr>
          <w:color w:val="000000" w:themeColor="text1"/>
          <w:lang w:val="ru-RU"/>
        </w:rPr>
        <w:t>31 мая 1940 г. Отчет по войсковым испытаниям Т-34 с перечнем доработок, а также решения, принятые Д.Г. Павловым по конструкции машины, были утверждены наркомом обороны С.К. Тимошенко Та</w:t>
      </w:r>
      <w:r w:rsidRPr="00DB5D0D">
        <w:rPr>
          <w:color w:val="000000" w:themeColor="text1"/>
          <w:lang w:val="ru-RU"/>
        </w:rPr>
        <w:softHyphen/>
        <w:t>ким образом, дальнейшие работы по подготовке серийного произ</w:t>
      </w:r>
      <w:r w:rsidRPr="00DB5D0D">
        <w:rPr>
          <w:color w:val="000000" w:themeColor="text1"/>
          <w:lang w:val="ru-RU"/>
        </w:rPr>
        <w:softHyphen/>
        <w:t>водства танка Т-34 официально получили зеленый свет на самом высоком уровне (11903).</w:t>
      </w:r>
    </w:p>
    <w:p w14:paraId="2E04BBDD" w14:textId="77777777" w:rsidR="00A25AD1" w:rsidRPr="00DB5D0D" w:rsidRDefault="00A25AD1" w:rsidP="00DB5D0D">
      <w:pPr>
        <w:pStyle w:val="a3"/>
        <w:rPr>
          <w:color w:val="000000" w:themeColor="text1"/>
          <w:lang w:val="ru-RU"/>
        </w:rPr>
      </w:pPr>
    </w:p>
    <w:p w14:paraId="06A7D30C" w14:textId="77777777" w:rsidR="007941FC" w:rsidRPr="00DB5D0D" w:rsidRDefault="007941F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31 мая 1940 г., народный комиссар обороны СССР маршал Советского Союза С.К. Тимошенко утвердил «Отчет по войсковым испытаниям танков Т-34», отчету был присвоен номер 012. </w:t>
      </w:r>
    </w:p>
    <w:p w14:paraId="6F582AF4" w14:textId="77777777" w:rsidR="007941FC" w:rsidRPr="00DB5D0D" w:rsidRDefault="007941F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Неотъемлемой частью утвержденного отчета являлось составленное специалистами опытного цеха «540» завода № 183, непосредственно проводившими испытания танков А-34, приложение к отчету, состоявшее из двух частей. </w:t>
      </w:r>
      <w:hyperlink r:id="rId70" w:tgtFrame="_blank" w:history="1">
        <w:r w:rsidRPr="00DB5D0D">
          <w:rPr>
            <w:rStyle w:val="a5"/>
            <w:rFonts w:ascii="Times New Roman" w:hAnsi="Times New Roman"/>
            <w:color w:val="000000" w:themeColor="text1"/>
            <w:sz w:val="16"/>
            <w:szCs w:val="16"/>
            <w:u w:val="none"/>
          </w:rPr>
          <w:t>Первая часть приложения к отчету</w:t>
        </w:r>
      </w:hyperlink>
      <w:r w:rsidRPr="00DB5D0D">
        <w:rPr>
          <w:rFonts w:ascii="Times New Roman" w:hAnsi="Times New Roman"/>
          <w:color w:val="000000" w:themeColor="text1"/>
          <w:sz w:val="16"/>
          <w:szCs w:val="16"/>
        </w:rPr>
        <w:t xml:space="preserve">, отпечатанная 2 июня 1940 г. содержала в себе текст программы войсковых испытаний, краткое описание танков А-34, 17 карт испытаний, в каждой из которых были изложены методика, цели и результаты проведенных испытаний, а также сводные таблицы со сведениями, полученными в процессе пробеговых испытаний и длительной эксплуатации танков. Кроме этого первая часть приложения содержала сводные ведомости с данными о проведенных за время войсковых испытаний ремонтах танков А-34. Следует заметить, что в описание танков А-34 были включены изменения, внесенные в конструкцию танка Т-34 на момент составления отчета и приложения к нему. Вторая часть приложения к отчету по войсковым испытаниям содержала в себе сведения по микрометражу основных механизмов и деталей трансмиссии и ходовой части танка А-34 № 1. </w:t>
      </w:r>
    </w:p>
    <w:p w14:paraId="2474CA4E" w14:textId="77777777" w:rsidR="007941FC" w:rsidRPr="00DB5D0D" w:rsidRDefault="007941F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утверждением народным комиссаром обороны СССР С.К. Тимошенко отчета № 012 история войсковых испытаний двух танков А-34 завершилась (17610). </w:t>
      </w:r>
    </w:p>
    <w:p w14:paraId="2F81C8F6" w14:textId="77777777" w:rsidR="007941FC" w:rsidRPr="00DB5D0D" w:rsidRDefault="007941FC" w:rsidP="00DB5D0D">
      <w:pPr>
        <w:spacing w:after="0" w:line="240" w:lineRule="auto"/>
        <w:jc w:val="both"/>
        <w:rPr>
          <w:rFonts w:ascii="Times New Roman" w:hAnsi="Times New Roman"/>
          <w:color w:val="000000" w:themeColor="text1"/>
          <w:sz w:val="16"/>
          <w:szCs w:val="16"/>
        </w:rPr>
      </w:pPr>
    </w:p>
    <w:p w14:paraId="210748CE" w14:textId="77777777" w:rsidR="00C821FA" w:rsidRPr="00DB5D0D" w:rsidRDefault="00C821F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 народным комиссаром обороны СССР С.К. Тимошенко были утверждены предложения, изложенные Д.Г. Павловым:</w:t>
      </w:r>
    </w:p>
    <w:p w14:paraId="2F80CC98" w14:textId="77777777" w:rsidR="00C821FA" w:rsidRPr="00DB5D0D" w:rsidRDefault="00C821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Расширение башни на 160 мм, без переделки погона башни и корпуса, предложенное заводом № 183 мною утверждено. С увеличением высоты башни не согласен, т.к. это ведет к увеличению цели для противника, а надобности в этом нет, ибо угол склонения –5° вперед и по бортам обеспечен. </w:t>
      </w:r>
    </w:p>
    <w:p w14:paraId="7B35C12D" w14:textId="77777777" w:rsidR="00C821FA" w:rsidRPr="00DB5D0D" w:rsidRDefault="00C821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С унификацией качающихся частей орудия с танками другого класса не согласен, т.к. это приведет к увеличению веса танка Т-34. </w:t>
      </w:r>
    </w:p>
    <w:p w14:paraId="5840D302" w14:textId="77777777" w:rsidR="00C821FA" w:rsidRPr="00DB5D0D" w:rsidRDefault="00C821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По работе главного фрикциона разногласий по существу нет, т.к. завод сам признал, что причины коробления дисков установить еще не удалось. Коробление же дисков является существенным дефектом. </w:t>
      </w:r>
    </w:p>
    <w:p w14:paraId="49EBD0B6" w14:textId="77777777" w:rsidR="00C821FA" w:rsidRPr="00DB5D0D" w:rsidRDefault="00C821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Ленивец </w:t>
      </w:r>
      <w:r w:rsidRPr="00DB5D0D">
        <w:rPr>
          <w:rFonts w:ascii="Times New Roman" w:hAnsi="Times New Roman"/>
          <w:color w:val="000000" w:themeColor="text1"/>
          <w:sz w:val="16"/>
          <w:szCs w:val="16"/>
        </w:rPr>
        <w:t>[механизм натяжения гусеницы]</w:t>
      </w:r>
      <w:r w:rsidRPr="00DB5D0D">
        <w:rPr>
          <w:rFonts w:ascii="Times New Roman" w:hAnsi="Times New Roman"/>
          <w:iCs/>
          <w:color w:val="000000" w:themeColor="text1"/>
          <w:sz w:val="16"/>
          <w:szCs w:val="16"/>
        </w:rPr>
        <w:t xml:space="preserve"> мною утвержден по второму варианту, с внутренним регулированием натяжения гусеницы, как наиболее прочный и защищенный от поражений. </w:t>
      </w:r>
    </w:p>
    <w:p w14:paraId="76B2BFEA" w14:textId="77777777" w:rsidR="00C821FA" w:rsidRPr="00DB5D0D" w:rsidRDefault="00C821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5. Установку рации настаиваю перенести в носовую часть танка, дабы освободить командира танка для ведения боя. В носовой части танка предусмотрено место радиста-стрелка. </w:t>
      </w:r>
    </w:p>
    <w:p w14:paraId="42796021" w14:textId="77777777" w:rsidR="00C821FA" w:rsidRPr="00DB5D0D" w:rsidRDefault="00C821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6. Конструкцию смотровых приборов настаиваю переделать за счет применения металлических зеркал и триплекса. </w:t>
      </w:r>
    </w:p>
    <w:p w14:paraId="4569B006" w14:textId="77777777" w:rsidR="00C821FA" w:rsidRPr="00DB5D0D" w:rsidRDefault="00C821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7. Прибор кругового обзора на 1940 год утвердил в том виде, как он представлен на опытных образцах (18076). </w:t>
      </w:r>
    </w:p>
    <w:p w14:paraId="0292AE73" w14:textId="77777777" w:rsidR="00C821FA" w:rsidRPr="00DB5D0D" w:rsidRDefault="00C821FA" w:rsidP="00DB5D0D">
      <w:pPr>
        <w:spacing w:after="0" w:line="240" w:lineRule="auto"/>
        <w:jc w:val="both"/>
        <w:rPr>
          <w:rFonts w:ascii="Times New Roman" w:hAnsi="Times New Roman"/>
          <w:color w:val="000000" w:themeColor="text1"/>
          <w:sz w:val="16"/>
          <w:szCs w:val="16"/>
        </w:rPr>
      </w:pPr>
    </w:p>
    <w:p w14:paraId="503B2434"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31 мая 1940</w:t>
      </w:r>
    </w:p>
    <w:p w14:paraId="07E8C21A"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076B1672"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1 </w:t>
      </w:r>
    </w:p>
    <w:p w14:paraId="3248D354"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31 Мая 1940 г. </w:t>
      </w:r>
    </w:p>
    <w:p w14:paraId="2EE01509"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246с </w:t>
      </w:r>
    </w:p>
    <w:p w14:paraId="6593B3BD"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8 ОТДЕЛА АБТУ КА</w:t>
      </w:r>
    </w:p>
    <w:p w14:paraId="6E633FB6"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1 РАНГА тов. АФОНИНУ</w:t>
      </w:r>
    </w:p>
    <w:p w14:paraId="70901217"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СВОДКА</w:t>
      </w:r>
    </w:p>
    <w:p w14:paraId="6212E8A0"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ПО ОПЫТНЫМ РАБОТАМ, ПРОВЕДЕННЫМ НА ЗАВОДЕ № 183 ЗА МАЙ МЕСЯЦ 1940 года.</w:t>
      </w:r>
    </w:p>
    <w:p w14:paraId="0A732E1A"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Мае месяце на заводе проводились следующие работы: </w:t>
      </w:r>
    </w:p>
    <w:p w14:paraId="7FBC451A"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Испытание литой гусеницы из стали Гатфильда на маш. "А-34". Результаты предварительного испытания пробегом в 420 клм., в том числе по булыжному шоссе 140 клм., удовлетворительные. </w:t>
      </w:r>
    </w:p>
    <w:p w14:paraId="74B3F658"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Машина по булыжному шоссе ходила со средней скоростью чистого движения 37 клм/час, причем во время испытаний было произведено несколько резких торможений с максимальной скоростью (50 клм час). При осмотре на гребневых траках (приблизительно на 80%) были обнаружены трещины. В настоящее время производятся испытания этой гусеницы на полный износ. </w:t>
      </w:r>
    </w:p>
    <w:p w14:paraId="36FE9092"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На той же машине производится испытание механического сервоуправления. Результаты хорошие. Считаю необходимым данное механическое управление ввести в серию. </w:t>
      </w:r>
    </w:p>
    <w:p w14:paraId="5EFCFB97"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В Мае мес. проводились испытания машины А-7М с гарантийным двигателем В-2 на 150 часов работы. Машина прошла 2050 клм. Двигатель проработал 65 часов, после чего испытания были прекращены по причине выхода из строя двигателя (пробивание газов). Параллельно с этим, на этой же машине испытывались заменители, в том числе и чугунный картер коробки передач. Машина с этой коробкой прошла 800 клм. после чего треснул картер. В настоящее время готовится к постановке на другую машину А-7М 2-я коробка с чугунным картером, более прочная. </w:t>
      </w:r>
    </w:p>
    <w:p w14:paraId="2A4CC5CB"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Готовится к испытанию машина с заменителями цветных металлов, испытания которой начнутся в первых числах Июня мес. </w:t>
      </w:r>
    </w:p>
    <w:p w14:paraId="5E4CD2D6"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Производилась дефектировка деталей маш. А-5, на которую должен устанавливаться двигатель В-3 (шестицилиндровый). Задержка в восстановлении этой машины заключается в том, что заводы № 75 и № 183 не могут окончательно договориться в какой степени необходима модернизация этой машины. </w:t>
      </w:r>
    </w:p>
    <w:p w14:paraId="444150A1"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Собирается машина А-7М с двигателем завода № 75 с гарантией на 150 час. работы. </w:t>
      </w:r>
    </w:p>
    <w:p w14:paraId="18BF181E"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Трактор "ВОРОШИЛОВЕЦ" с дизелем В-3 (шестицилиндровым) смонтирован и прошел обкаточный пробег. В результате пробега было обнаружено ряд дефектов отдельных агрегатов трансмиссии. В настоящее время трактор восстанавливается и будет готов к заводским испытаниям 2 – 3 Июня с.г. </w:t>
      </w:r>
    </w:p>
    <w:p w14:paraId="760CF263"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За Май мес. частично проводились испытания гарантийного трактора "ВОРОШИЛОВЕЦ" № 68, задержка испытаний этого трактора была вследствие отказа завода № 183 от испытания его за свой счет, т.к. в договоре на трактора не было предусмотрено испытание гарантийного трактора. В настоящее время испытание трактора возобновилось. Кроме того по трактору "ВОРОШИЛОВЕЦ" производится испытание ряда опытных агрегатов и заменителей цветных металлов. </w:t>
      </w:r>
    </w:p>
    <w:p w14:paraId="69BBC8B5"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9. В конструкторском бюро "520" ведется разработка чертежей на установку огнемета на машину А-34. Все детальные чертежи должны быть готовы и спущены в производство к 1 Июля 1940 г. </w:t>
      </w:r>
    </w:p>
    <w:p w14:paraId="640FB49F"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10. Ведется разработка чертежей технического проекта трактора на базе машины А-34. </w:t>
      </w:r>
    </w:p>
    <w:p w14:paraId="4991350B"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11. В Мае мес. завод № 183 получил тематику опытных работ на 1940 г., конкретного плана реализации этой тематики заводом еще не разработано. Ряд вопросов, намеченных в этом тематическом плане, например: испытание двигателя "В-2" в особо пыльных условиях может быть сорвано, т.к. у завода нет ясности по этому вопросу, и конкретных мероприятий не разрабатывается. Поэтому необходимо, как можно в короткий срок, уточнить ряд вопросов, иначе спущенный план заводу будет в указанные сроки не выполнен. </w:t>
      </w:r>
    </w:p>
    <w:p w14:paraId="62ACB572"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СТ. ВОЕНПРЕД АБТУ КА ВОЕНИНЖЕНЕР 2 РАНГА подпись (КОЗЫРЕВ)</w:t>
      </w:r>
    </w:p>
    <w:p w14:paraId="16B9B713"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ВОЕНПРЕД АБТУ КА ВОЕНИНЖЕНЕР 3 РАНГА подпись (БАЙКОВ)</w:t>
      </w:r>
    </w:p>
    <w:p w14:paraId="6DB11384"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Отпечатано 2 экз. </w:t>
      </w:r>
    </w:p>
    <w:p w14:paraId="3D4690F6"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 Байков</w:t>
      </w:r>
    </w:p>
    <w:p w14:paraId="5733F752"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листы 130 – 131</w:t>
      </w:r>
      <w:r w:rsidRPr="00DB5D0D">
        <w:rPr>
          <w:rFonts w:ascii="Times New Roman" w:eastAsia="Times New Roman" w:hAnsi="Times New Roman"/>
          <w:color w:val="000000" w:themeColor="text1"/>
          <w:sz w:val="16"/>
          <w:szCs w:val="16"/>
          <w:lang w:eastAsia="ru-RU"/>
        </w:rPr>
        <w:t xml:space="preserve"> (18076).</w:t>
      </w:r>
    </w:p>
    <w:p w14:paraId="7FA3E957" w14:textId="77777777" w:rsidR="00A14864" w:rsidRPr="00DB5D0D" w:rsidRDefault="00A14864" w:rsidP="00DB5D0D">
      <w:pPr>
        <w:spacing w:after="0" w:line="240" w:lineRule="auto"/>
        <w:jc w:val="both"/>
        <w:rPr>
          <w:rFonts w:ascii="Times New Roman" w:eastAsia="Times New Roman" w:hAnsi="Times New Roman"/>
          <w:color w:val="000000" w:themeColor="text1"/>
          <w:sz w:val="16"/>
          <w:szCs w:val="16"/>
          <w:lang w:eastAsia="ru-RU"/>
        </w:rPr>
      </w:pPr>
    </w:p>
    <w:p w14:paraId="4E3BA5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 германские буксиры привели корпус крейсера Лютцов в Ленинград. Достройка корабля велась на Балтийском заводе (№ 189). Техническое руководство достройкой осуществлял “штаб особого назначения”, как именовали в немец-документах группу германских специалистов, насчитывающую около 100 человек. Возглавлял «штаб» военно-морской атташе Германии в СССР фон Баумбах. В советских же «ументах этот «штаб» назывался «Бюро Л» (10670,256).</w:t>
      </w:r>
    </w:p>
    <w:p w14:paraId="614F5C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CA5099D"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31 мая 1940 г. крейсер «Лютцов» был прибуксирован в Ленинград. 25 сентября 1940 г. он был переименован в «Петропавловск». Великую Отечественную войну он начал недостроенным: водоизмещение 15340 тонн; вооружение – 4-203 мм, 1 спаренное 37 мм и 8 – 20 мм орудий. При обороне г. Ленинграда использовался как плавбатарея [1, с. 19].</w:t>
      </w:r>
    </w:p>
    <w:p w14:paraId="226E8ECC"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Изучая проекты линкора «Бисмарк» и нового большого эсминца, вооруженного 150-мм артиллерией, наши специалисты сделали только отдельные заказы [3, д. 5, л. 95] (12700).</w:t>
      </w:r>
    </w:p>
    <w:p w14:paraId="0668FBE2"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p>
    <w:p w14:paraId="0493C36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3BCFA8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3E3BCEB" w14:textId="77777777" w:rsidR="002137E1" w:rsidRPr="00DB5D0D" w:rsidRDefault="002137E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31 мая</w:t>
      </w:r>
      <w:r w:rsidRPr="00DB5D0D">
        <w:rPr>
          <w:rFonts w:ascii="Times New Roman" w:hAnsi="Times New Roman"/>
          <w:color w:val="000000" w:themeColor="text1"/>
          <w:sz w:val="16"/>
          <w:szCs w:val="16"/>
        </w:rPr>
        <w:t xml:space="preserve"> в 1940 году на одном из бельгийских легких многоцелевых самолетов </w:t>
      </w:r>
      <w:hyperlink r:id="rId71" w:tgtFrame="_blank" w:history="1">
        <w:r w:rsidRPr="00DB5D0D">
          <w:rPr>
            <w:rFonts w:ascii="Times New Roman" w:hAnsi="Times New Roman"/>
            <w:color w:val="000000" w:themeColor="text1"/>
            <w:sz w:val="16"/>
            <w:szCs w:val="16"/>
          </w:rPr>
          <w:t xml:space="preserve">«SV-5» </w:t>
        </w:r>
      </w:hyperlink>
      <w:r w:rsidRPr="00DB5D0D">
        <w:rPr>
          <w:rFonts w:ascii="Times New Roman" w:hAnsi="Times New Roman"/>
          <w:color w:val="000000" w:themeColor="text1"/>
          <w:sz w:val="16"/>
          <w:szCs w:val="16"/>
        </w:rPr>
        <w:t>6-й разведывательной эскадрильи ВВС Латвии предпринял попытку бегства в СССР лейтенант Леонс Вайдерс. Самолёт советские власти вернули, и уже 4 июня у города Гулбене на нем разбился пилот Морканс. Личный состав авиации Латвии делал свой выбор. Причем иногда врагами становились летчики одного экипажа - так, во время перелета разведчика «SV-5» в Россию латвийский авиатор застрелил коллегу и сел на занятой немцами территории. Подавляющая часть тех латышских летчиков, которые не были арестованы или депортированы, вступили в эскадрилью ночных бомбардировщиков Люфтваффе - INSG-12, а потом эмигрировали на Запад. Что характерно, в ВВС РККА тоже была ночная эскадрилья «По-2», но тех, кто ранее служил в латвийских ВВС, в ней оказалось лишь немногим больше десятка (14908).</w:t>
      </w:r>
    </w:p>
    <w:p w14:paraId="02D38633" w14:textId="77777777" w:rsidR="002137E1" w:rsidRPr="00DB5D0D" w:rsidRDefault="002137E1" w:rsidP="00DB5D0D">
      <w:pPr>
        <w:spacing w:after="0" w:line="240" w:lineRule="auto"/>
        <w:jc w:val="both"/>
        <w:rPr>
          <w:rFonts w:ascii="Times New Roman" w:hAnsi="Times New Roman"/>
          <w:color w:val="000000" w:themeColor="text1"/>
          <w:sz w:val="16"/>
          <w:szCs w:val="16"/>
        </w:rPr>
      </w:pPr>
    </w:p>
    <w:p w14:paraId="07D00BB4" w14:textId="77777777" w:rsidR="002137E1" w:rsidRPr="00DB5D0D" w:rsidRDefault="002137E1"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31 мая</w:t>
      </w:r>
      <w:r w:rsidRPr="00DB5D0D">
        <w:rPr>
          <w:rFonts w:ascii="Times New Roman" w:hAnsi="Times New Roman"/>
          <w:color w:val="000000" w:themeColor="text1"/>
          <w:sz w:val="16"/>
          <w:szCs w:val="16"/>
        </w:rPr>
        <w:t xml:space="preserve"> в 1940 году по результатам проводимого конкурса было принято решение о постройке трех самолетов:</w:t>
      </w:r>
    </w:p>
    <w:p w14:paraId="535D9C35" w14:textId="77777777" w:rsidR="002137E1" w:rsidRPr="00DB5D0D" w:rsidRDefault="002137E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третье – «Нортроп Эйркрафт». 22 июня фирмы получили задание на более детальную проработку своих проектов.</w:t>
      </w:r>
    </w:p>
    <w:p w14:paraId="493E8758" w14:textId="77777777" w:rsidR="002137E1" w:rsidRPr="00DB5D0D" w:rsidRDefault="002137E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Фирма «Валти» уже разрабатывала истребитель "Модель-78", с 12-цилиндровым мотором «Аллисон» «V-1710», который по своим проектным характеристикам был близок к требованиям армейской спецификации. Взяв за основу этот проект и переработав его под установку двигателя «Пратт-Уитни» «Х-1800-A3G», фирма предложила его ВВС под обозначением "Модель 84". Именно этот проект и стал победителем конкурса. После более детальной проработки проекта, включавшей продувку моделей самолета в аэродинамических трубах, Валти представила военным окончательный вариант. Оценив высокие летные характеристики (предполагалось, что самолет сможет летать со скоростью свыше 800 км/ч!), ВВС 8 января 1941 -го выдали фирме заказ на постройку и испытания прототипа нового истребителя, которому было присвоено обозначение «ХР-54» (14908).</w:t>
      </w:r>
    </w:p>
    <w:p w14:paraId="7EDB0D50" w14:textId="77777777" w:rsidR="002137E1" w:rsidRPr="00DB5D0D" w:rsidRDefault="002137E1" w:rsidP="00DB5D0D">
      <w:pPr>
        <w:spacing w:after="0" w:line="240" w:lineRule="auto"/>
        <w:jc w:val="both"/>
        <w:rPr>
          <w:rFonts w:ascii="Times New Roman" w:hAnsi="Times New Roman"/>
          <w:color w:val="000000" w:themeColor="text1"/>
          <w:sz w:val="16"/>
          <w:szCs w:val="16"/>
        </w:rPr>
      </w:pPr>
    </w:p>
    <w:p w14:paraId="349AA7C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May 31st, 1940: The evacuation of the BEF from Dunkirk continues under heavy Luftwaffe attacks that sink two French destroyers; 68,000 men have been rescued thus far (3819).</w:t>
      </w:r>
    </w:p>
    <w:p w14:paraId="2C24597C"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989C7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продолжились атаки Люфтваффе по эвакуирующимся войскам. Было потплено 2 французских эсминца и к этому времени было эвакуировано 68 тыс. чел. (3819).</w:t>
      </w:r>
    </w:p>
    <w:p w14:paraId="05A8479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3CEBA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May 1940 BEF are evacuated from the Dunkirk beaches (270).</w:t>
      </w:r>
    </w:p>
    <w:p w14:paraId="4CD1DFC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81BC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экспедиционный корпус англичан был эвакуирован из Дюнкерка (270).</w:t>
      </w:r>
    </w:p>
    <w:p w14:paraId="4E383F2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DAE0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в Великобритании был интернирован лидер фашистов О.Мосли и в заключении находился до ноября 1943. Эту мери применили еще к 763 английским фашистам (3907,223).</w:t>
      </w:r>
    </w:p>
    <w:p w14:paraId="0DD257B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7C17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эмигрантское пр-во Бельгии объявило незаконным акт капитуляции бельгийской армии, подписанный прогерманским пр-вом (3960, 212).</w:t>
      </w:r>
    </w:p>
    <w:p w14:paraId="089E1AF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47D0F35"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31 May 1940 Roosevelt's Million Dollar defence programme (270).</w:t>
      </w:r>
    </w:p>
    <w:p w14:paraId="3CBD34CD"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419F80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появилась оборонная программа Ф.Д.Р. стоимостью миллион долларов (270).</w:t>
      </w:r>
    </w:p>
    <w:p w14:paraId="1F0EBB4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33358E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3E7568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CEFA8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второй половине мая 1940 г. Невяжского вызывают в Москву. Вначале его принимает А.А. Жданов. Вопрос один - что не-обходимо заводу для резкого увеличения производства дизелей. Два дня Невяжский почти не выходил из кабинета наркома Лиха-чева, составляя с ним и его заместителями проект постановления </w:t>
      </w:r>
      <w:r w:rsidRPr="00DB5D0D">
        <w:rPr>
          <w:rFonts w:ascii="Times New Roman" w:hAnsi="Times New Roman"/>
          <w:color w:val="000000" w:themeColor="text1"/>
          <w:sz w:val="16"/>
          <w:szCs w:val="16"/>
        </w:rPr>
        <w:lastRenderedPageBreak/>
        <w:t>правительства. Еще один визит к Жданову. Затем два визита к Сталину. Первый раз - 27 мая. Невяжский рассказал о проблемах (топливная аппаратура, авиационные заказы). Вторая встреча - с участием Молотова, Ворошилова, наркома обороны Тимошенко, началь-ника генштаба Шапошникова, заместителя наркома обороны Кулика, начальника ГБТУ Павлова. Принимается решение впятеро снизить объем производства М-40 при одновременном увеличении на 15% выпуска В-2. Сохране-ние производства М-40 мотивируется неизбежным повышением культуры производства, обретением опыта высокоточных работ. На 220% уве-личились капитальные вложения в строительство. Всем наркоматам предписывается снабжать харьковский завод по его запросам вне очереди, с отправкой вагонов с грузами с пассажирскими поез-дами и даже багажом (11224).</w:t>
      </w:r>
    </w:p>
    <w:p w14:paraId="212C857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07EAE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ECBC29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9F4DB71" w14:textId="77777777" w:rsidR="007113B6" w:rsidRPr="00DB5D0D" w:rsidRDefault="007113B6"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 конце мая 1940 требование военных «довернуть» БШ-2 до решения задачи бомбометания с пикирования, а согласие Ильюшина его «легко» выполнить, выглядят весьма странными, поскольку штурмовик проектировался по более низким нормам прочности и усиление его конструкции, при отсутствии мощных моторов, ни к чему хорошему привести не могло. Это не могли не понимать, ни военные, ни сам Ильюшин. Но Красной Армии и ВВС был крайне необходим ударный самолет, способный бомбить с пикирования, а Ильюшину очень хотелось получить большую серию БШ-2.</w:t>
      </w:r>
    </w:p>
    <w:p w14:paraId="71936E11" w14:textId="77777777" w:rsidR="007113B6" w:rsidRPr="00DB5D0D" w:rsidRDefault="007113B6"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К тому же именно в это время шла дискуссия между ГУ ВВС и ГУАС К А о це</w:t>
      </w:r>
      <w:r w:rsidRPr="00DB5D0D">
        <w:rPr>
          <w:rFonts w:ascii="Times New Roman" w:hAnsi="Times New Roman" w:cs="Times New Roman"/>
          <w:color w:val="000000" w:themeColor="text1"/>
          <w:sz w:val="16"/>
          <w:szCs w:val="16"/>
        </w:rPr>
        <w:softHyphen/>
        <w:t>лесообразности переделки маневренного истребителя И-207 в вариант легкого пикирующего штурмовика и финанси</w:t>
      </w:r>
      <w:r w:rsidRPr="00DB5D0D">
        <w:rPr>
          <w:rFonts w:ascii="Times New Roman" w:hAnsi="Times New Roman" w:cs="Times New Roman"/>
          <w:color w:val="000000" w:themeColor="text1"/>
          <w:sz w:val="16"/>
          <w:szCs w:val="16"/>
        </w:rPr>
        <w:softHyphen/>
        <w:t>рования этой работы. Соответственно, обязательство Ильюшина «научить» БШ-2 бомбить с пикирования снимало с повестки дня «вопрос» о штурмовом варианте И-207.</w:t>
      </w:r>
    </w:p>
    <w:p w14:paraId="3FF27138" w14:textId="77777777" w:rsidR="007113B6" w:rsidRPr="00DB5D0D" w:rsidRDefault="007113B6"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Вот только серия БШ-2 на заводе №39 совершенно не вязалась с планами и задачами, поставленными правительством перед Наркоматом авиапромышленности по выпуску боевой техники. Как следст</w:t>
      </w:r>
      <w:r w:rsidRPr="00DB5D0D">
        <w:rPr>
          <w:rFonts w:ascii="Times New Roman" w:hAnsi="Times New Roman" w:cs="Times New Roman"/>
          <w:color w:val="000000" w:themeColor="text1"/>
          <w:sz w:val="16"/>
          <w:szCs w:val="16"/>
        </w:rPr>
        <w:softHyphen/>
        <w:t>вие, подобные предложения вызывали вполне очевидное «раздражение» у наркома Шахурина.</w:t>
      </w:r>
    </w:p>
    <w:p w14:paraId="52EE52AD" w14:textId="77777777" w:rsidR="007113B6" w:rsidRPr="00DB5D0D" w:rsidRDefault="007113B6"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1BE68E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1940 года самолет ББ-1 М-88 (СЗ-3) перелетел из Харь</w:t>
      </w:r>
      <w:r w:rsidRPr="00DB5D0D">
        <w:rPr>
          <w:rFonts w:ascii="Times New Roman" w:hAnsi="Times New Roman"/>
          <w:color w:val="000000" w:themeColor="text1"/>
          <w:sz w:val="16"/>
          <w:szCs w:val="16"/>
        </w:rPr>
        <w:softHyphen/>
        <w:t>кова на аэродром Раменское, где до конца года заводом №289 прово</w:t>
      </w:r>
      <w:r w:rsidRPr="00DB5D0D">
        <w:rPr>
          <w:rFonts w:ascii="Times New Roman" w:hAnsi="Times New Roman"/>
          <w:color w:val="000000" w:themeColor="text1"/>
          <w:sz w:val="16"/>
          <w:szCs w:val="16"/>
        </w:rPr>
        <w:softHyphen/>
        <w:t>дились доводки ВМГ и ряда других систем. Параллельно с СЗ-3 проходил испытания и самолет СЗ-1. В начале марта 1940 года на нем установили новый мотор М-63ТК, и летчик-испы</w:t>
      </w:r>
      <w:r w:rsidRPr="00DB5D0D">
        <w:rPr>
          <w:rFonts w:ascii="Times New Roman" w:hAnsi="Times New Roman"/>
          <w:color w:val="000000" w:themeColor="text1"/>
          <w:sz w:val="16"/>
          <w:szCs w:val="16"/>
        </w:rPr>
        <w:softHyphen/>
        <w:t>татель А.И.Калюжный приступил к заводским испытаниям. Доводка ВМГ продолжалась до июня 1 940 года, а затем самолет был передан заводу №289 и использовался в качестве летающей лаборатории для отработ</w:t>
      </w:r>
      <w:r w:rsidRPr="00DB5D0D">
        <w:rPr>
          <w:rFonts w:ascii="Times New Roman" w:hAnsi="Times New Roman"/>
          <w:color w:val="000000" w:themeColor="text1"/>
          <w:sz w:val="16"/>
          <w:szCs w:val="16"/>
        </w:rPr>
        <w:softHyphen/>
        <w:t>ки различных агрегатов. В план опыт</w:t>
      </w:r>
      <w:r w:rsidRPr="00DB5D0D">
        <w:rPr>
          <w:rFonts w:ascii="Times New Roman" w:hAnsi="Times New Roman"/>
          <w:color w:val="000000" w:themeColor="text1"/>
          <w:sz w:val="16"/>
          <w:szCs w:val="16"/>
        </w:rPr>
        <w:softHyphen/>
        <w:t>ного самолетостроения на 1941 год машина не включалась (11849).</w:t>
      </w:r>
    </w:p>
    <w:p w14:paraId="7701A4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51DBFCC" w14:textId="77777777" w:rsidR="00A22B88" w:rsidRPr="00DB5D0D" w:rsidRDefault="00A22B88" w:rsidP="00DB5D0D">
      <w:pPr>
        <w:pStyle w:val="a3"/>
        <w:rPr>
          <w:color w:val="000000" w:themeColor="text1"/>
          <w:lang w:val="ru-RU"/>
        </w:rPr>
      </w:pPr>
      <w:r w:rsidRPr="00DB5D0D">
        <w:rPr>
          <w:color w:val="000000" w:themeColor="text1"/>
          <w:lang w:val="ru-RU"/>
        </w:rPr>
        <w:t>В конце мая 1940 года самолёт ББ-1 М-88 [СЗ-З) перелетел из Харькова на аэродром Раменское, где до конца года заводом № 289 проводились доводки ВМГ и других систем (15975).</w:t>
      </w:r>
    </w:p>
    <w:p w14:paraId="3153B9F8" w14:textId="77777777" w:rsidR="00A22B88" w:rsidRPr="00DB5D0D" w:rsidRDefault="00A22B88" w:rsidP="00DB5D0D">
      <w:pPr>
        <w:pStyle w:val="a3"/>
        <w:rPr>
          <w:color w:val="000000" w:themeColor="text1"/>
          <w:lang w:val="ru-RU"/>
        </w:rPr>
      </w:pPr>
    </w:p>
    <w:p w14:paraId="74123628" w14:textId="77777777" w:rsidR="007113B6" w:rsidRPr="00DB5D0D" w:rsidRDefault="007113B6"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 конце мая 1940 г. СЗ-З с мотором М-88 перелетел из Харькова на аэродром Раменское, где до конца года сотрудники завода № 289 дорабатывали винтомотор</w:t>
      </w:r>
      <w:r w:rsidRPr="00DB5D0D">
        <w:rPr>
          <w:rFonts w:ascii="Times New Roman" w:cs="Times New Roman"/>
          <w:color w:val="000000" w:themeColor="text1"/>
          <w:spacing w:val="0"/>
        </w:rPr>
        <w:softHyphen/>
        <w:t>ную группу и ряд других систем (19102).</w:t>
      </w:r>
    </w:p>
    <w:p w14:paraId="79B49F47" w14:textId="77777777" w:rsidR="007113B6" w:rsidRPr="00DB5D0D" w:rsidRDefault="007113B6" w:rsidP="00DB5D0D">
      <w:pPr>
        <w:pStyle w:val="27"/>
        <w:shd w:val="clear" w:color="auto" w:fill="auto"/>
        <w:spacing w:after="0" w:line="240" w:lineRule="auto"/>
        <w:ind w:firstLine="0"/>
        <w:rPr>
          <w:rFonts w:ascii="Times New Roman" w:cs="Times New Roman"/>
          <w:color w:val="000000" w:themeColor="text1"/>
          <w:spacing w:val="0"/>
        </w:rPr>
      </w:pPr>
    </w:p>
    <w:p w14:paraId="214F65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конца мая 1940 г. завод №39 продолжал предъявлять военной приемке ДБ-3М с комплектом старых стрелковых установок СУ и УЛУ (7494).</w:t>
      </w:r>
    </w:p>
    <w:p w14:paraId="7DFB58B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871B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конца мая 1940 г. завод № 39 продолжал предъявлять военной приемке ДБ-ЗМ с комплектом старых стрелковых установок СУ и УЛУ, с середины июня пошли вперемежку самолеты с сочетаниями МВ-3 и УЛУ или МВ-3 и МВ-2 (это была 9-я серия, на ДБ-ЗМ нумерацию серий начали заново). Полный переход на новые турели произошел только на 12-й серии в сентябре. На заводе № 18 в Воронеже МВ-2 и МВ-3 ввели одновременно, на 16-й серии, точнее с самолета № 180416, в июле 1940 г. (12021).</w:t>
      </w:r>
    </w:p>
    <w:p w14:paraId="10473CD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7F529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1940 на заседании технического совета при Главном управлении авиационного снабжения (ГУАС) самолету СБП был подписан "смертный приговор". Долгая доводка серии машин ВИТ/СБП вывела руководство ВВС из терпения. По мнению Я.В.Смушкевича, СПБ следовало "снять с производства и прекратить всякие работы". Аналогичным образом закончились и работы по созданию ОПБ-41 (конструктор С.А.Кочеригин) - советского "противовеса" немецкому Ju-87 (3542).</w:t>
      </w:r>
    </w:p>
    <w:p w14:paraId="3343B62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AF07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1940 ИС-1 разобрали и перевезли на новый аэродром 8-го отдела ЦАГИ в Раменском (ныне г. Жуковский). В апреле 1940 г. самолет ИС-1 доставили на Центральный аэродром, где произвели опробования двигателя и руление по взлетной полосе. Однако первый вылет было решено провести (11966).</w:t>
      </w:r>
    </w:p>
    <w:p w14:paraId="20B6E8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1037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1940 г., когда первый экземп</w:t>
      </w:r>
      <w:r w:rsidRPr="00DB5D0D">
        <w:rPr>
          <w:rFonts w:ascii="Times New Roman" w:hAnsi="Times New Roman"/>
          <w:color w:val="000000" w:themeColor="text1"/>
          <w:sz w:val="16"/>
          <w:szCs w:val="16"/>
        </w:rPr>
        <w:softHyphen/>
        <w:t>ляр с М-90 был практически готов, нарком авиа</w:t>
      </w:r>
      <w:r w:rsidRPr="00DB5D0D">
        <w:rPr>
          <w:rFonts w:ascii="Times New Roman" w:hAnsi="Times New Roman"/>
          <w:color w:val="000000" w:themeColor="text1"/>
          <w:sz w:val="16"/>
          <w:szCs w:val="16"/>
        </w:rPr>
        <w:softHyphen/>
        <w:t>промышленности А. И. Шахурин предложил По</w:t>
      </w:r>
      <w:r w:rsidRPr="00DB5D0D">
        <w:rPr>
          <w:rFonts w:ascii="Times New Roman" w:hAnsi="Times New Roman"/>
          <w:color w:val="000000" w:themeColor="text1"/>
          <w:sz w:val="16"/>
          <w:szCs w:val="16"/>
        </w:rPr>
        <w:softHyphen/>
        <w:t>ликарпову основное внимание сосредоточить на машине с М-71. Однако это было устное предложение и даже спустя два месяца не было письменного подтверждения о сроках постав</w:t>
      </w:r>
      <w:r w:rsidRPr="00DB5D0D">
        <w:rPr>
          <w:rFonts w:ascii="Times New Roman" w:hAnsi="Times New Roman"/>
          <w:color w:val="000000" w:themeColor="text1"/>
          <w:sz w:val="16"/>
          <w:szCs w:val="16"/>
        </w:rPr>
        <w:softHyphen/>
        <w:t>ки двигателя. Тем не менее, Поликарпов немед</w:t>
      </w:r>
      <w:r w:rsidRPr="00DB5D0D">
        <w:rPr>
          <w:rFonts w:ascii="Times New Roman" w:hAnsi="Times New Roman"/>
          <w:color w:val="000000" w:themeColor="text1"/>
          <w:sz w:val="16"/>
          <w:szCs w:val="16"/>
        </w:rPr>
        <w:softHyphen/>
        <w:t>ленно переработал проект, который с М-71 по</w:t>
      </w:r>
      <w:r w:rsidRPr="00DB5D0D">
        <w:rPr>
          <w:rFonts w:ascii="Times New Roman" w:hAnsi="Times New Roman"/>
          <w:color w:val="000000" w:themeColor="text1"/>
          <w:sz w:val="16"/>
          <w:szCs w:val="16"/>
        </w:rPr>
        <w:softHyphen/>
        <w:t>лучил обозначение И-186 (это обозначение, как иследущее, И-187, на практике не привилось). Длина самолета с М-71 несколько увеличилась и составила 7,680 м, нормальный полетный вес по расчетам получился 2984 кг, наибольший полетный вес - 3189 кг. Так как отработка капо</w:t>
      </w:r>
      <w:r w:rsidRPr="00DB5D0D">
        <w:rPr>
          <w:rFonts w:ascii="Times New Roman" w:hAnsi="Times New Roman"/>
          <w:color w:val="000000" w:themeColor="text1"/>
          <w:sz w:val="16"/>
          <w:szCs w:val="16"/>
        </w:rPr>
        <w:softHyphen/>
        <w:t>та с центральным воздухозаборником и цент</w:t>
      </w:r>
      <w:r w:rsidRPr="00DB5D0D">
        <w:rPr>
          <w:rFonts w:ascii="Times New Roman" w:hAnsi="Times New Roman"/>
          <w:color w:val="000000" w:themeColor="text1"/>
          <w:sz w:val="16"/>
          <w:szCs w:val="16"/>
        </w:rPr>
        <w:softHyphen/>
        <w:t>робежным вентилятором в ЦАГИ задержива</w:t>
      </w:r>
      <w:r w:rsidRPr="00DB5D0D">
        <w:rPr>
          <w:rFonts w:ascii="Times New Roman" w:hAnsi="Times New Roman"/>
          <w:color w:val="000000" w:themeColor="text1"/>
          <w:sz w:val="16"/>
          <w:szCs w:val="16"/>
        </w:rPr>
        <w:softHyphen/>
        <w:t>лась, проект И-186 был выполнен с распостра-ненным капотом МАСА. Сравнительные данные И-185 и И-186 представлены в таблице.</w:t>
      </w:r>
    </w:p>
    <w:p w14:paraId="1D288C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РАСЧЕТНЫЕ ДАННЫЕ ПРОЕКТОВ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51"/>
        <w:gridCol w:w="1728"/>
        <w:gridCol w:w="1661"/>
        <w:gridCol w:w="1709"/>
        <w:gridCol w:w="2035"/>
      </w:tblGrid>
      <w:tr w:rsidR="007D5DF8" w:rsidRPr="00DB5D0D" w14:paraId="34E54807" w14:textId="77777777" w:rsidTr="009223E5">
        <w:trPr>
          <w:trHeight w:val="614"/>
        </w:trPr>
        <w:tc>
          <w:tcPr>
            <w:tcW w:w="1651" w:type="dxa"/>
            <w:tcBorders>
              <w:top w:val="single" w:sz="12" w:space="0" w:color="auto"/>
            </w:tcBorders>
          </w:tcPr>
          <w:p w14:paraId="37A020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12" w:space="0" w:color="auto"/>
            </w:tcBorders>
          </w:tcPr>
          <w:p w14:paraId="1516D4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км/ч</w:t>
            </w:r>
          </w:p>
        </w:tc>
        <w:tc>
          <w:tcPr>
            <w:tcW w:w="1661" w:type="dxa"/>
            <w:tcBorders>
              <w:top w:val="single" w:sz="12" w:space="0" w:color="auto"/>
            </w:tcBorders>
          </w:tcPr>
          <w:p w14:paraId="27E31A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 5000м, мин</w:t>
            </w:r>
          </w:p>
        </w:tc>
        <w:tc>
          <w:tcPr>
            <w:tcW w:w="1709" w:type="dxa"/>
            <w:tcBorders>
              <w:top w:val="single" w:sz="12" w:space="0" w:color="auto"/>
            </w:tcBorders>
          </w:tcPr>
          <w:p w14:paraId="4E823E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м</w:t>
            </w:r>
          </w:p>
        </w:tc>
        <w:tc>
          <w:tcPr>
            <w:tcW w:w="2035" w:type="dxa"/>
            <w:tcBorders>
              <w:top w:val="single" w:sz="12" w:space="0" w:color="auto"/>
            </w:tcBorders>
          </w:tcPr>
          <w:p w14:paraId="75A779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км/ч</w:t>
            </w:r>
          </w:p>
        </w:tc>
      </w:tr>
      <w:tr w:rsidR="007D5DF8" w:rsidRPr="00DB5D0D" w14:paraId="28AFD4DE" w14:textId="77777777" w:rsidTr="009223E5">
        <w:trPr>
          <w:trHeight w:val="422"/>
        </w:trPr>
        <w:tc>
          <w:tcPr>
            <w:tcW w:w="1651" w:type="dxa"/>
          </w:tcPr>
          <w:p w14:paraId="5B0912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И-185М-90</w:t>
            </w:r>
          </w:p>
        </w:tc>
        <w:tc>
          <w:tcPr>
            <w:tcW w:w="1728" w:type="dxa"/>
          </w:tcPr>
          <w:p w14:paraId="060F10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680/6000</w:t>
            </w:r>
          </w:p>
        </w:tc>
        <w:tc>
          <w:tcPr>
            <w:tcW w:w="1661" w:type="dxa"/>
          </w:tcPr>
          <w:p w14:paraId="0AFAB4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1709" w:type="dxa"/>
          </w:tcPr>
          <w:p w14:paraId="4EDD5E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12100</w:t>
            </w:r>
          </w:p>
        </w:tc>
        <w:tc>
          <w:tcPr>
            <w:tcW w:w="2035" w:type="dxa"/>
          </w:tcPr>
          <w:p w14:paraId="1D6E39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125-130</w:t>
            </w:r>
          </w:p>
        </w:tc>
      </w:tr>
      <w:tr w:rsidR="007D5DF8" w:rsidRPr="00DB5D0D" w14:paraId="2C1A9204" w14:textId="77777777" w:rsidTr="009223E5">
        <w:trPr>
          <w:trHeight w:val="451"/>
        </w:trPr>
        <w:tc>
          <w:tcPr>
            <w:tcW w:w="1651" w:type="dxa"/>
            <w:tcBorders>
              <w:bottom w:val="single" w:sz="12" w:space="0" w:color="auto"/>
            </w:tcBorders>
          </w:tcPr>
          <w:p w14:paraId="7C8617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И-186М-71</w:t>
            </w:r>
          </w:p>
        </w:tc>
        <w:tc>
          <w:tcPr>
            <w:tcW w:w="1728" w:type="dxa"/>
            <w:tcBorders>
              <w:bottom w:val="single" w:sz="12" w:space="0" w:color="auto"/>
            </w:tcBorders>
          </w:tcPr>
          <w:p w14:paraId="3F4DB9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655/5000</w:t>
            </w:r>
          </w:p>
        </w:tc>
        <w:tc>
          <w:tcPr>
            <w:tcW w:w="1661" w:type="dxa"/>
            <w:tcBorders>
              <w:bottom w:val="single" w:sz="12" w:space="0" w:color="auto"/>
            </w:tcBorders>
          </w:tcPr>
          <w:p w14:paraId="23D02D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709" w:type="dxa"/>
            <w:tcBorders>
              <w:bottom w:val="single" w:sz="12" w:space="0" w:color="auto"/>
            </w:tcBorders>
          </w:tcPr>
          <w:p w14:paraId="047013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12350</w:t>
            </w:r>
          </w:p>
        </w:tc>
        <w:tc>
          <w:tcPr>
            <w:tcW w:w="2035" w:type="dxa"/>
            <w:tcBorders>
              <w:bottom w:val="single" w:sz="12" w:space="0" w:color="auto"/>
            </w:tcBorders>
          </w:tcPr>
          <w:p w14:paraId="5A9F4B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127-132</w:t>
            </w:r>
          </w:p>
        </w:tc>
      </w:tr>
    </w:tbl>
    <w:p w14:paraId="126060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(9979)</w:t>
      </w:r>
    </w:p>
    <w:p w14:paraId="1663A99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86D75C0" w14:textId="77777777" w:rsidR="00643C01" w:rsidRPr="00DB5D0D" w:rsidRDefault="00643C01"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конце мая 1940 г. Шахурин устно распорядился переделать И-185 под двигатель М-71 конструкции А.Д. Швецова.</w:t>
      </w:r>
    </w:p>
    <w:p w14:paraId="6A4AF833" w14:textId="77777777" w:rsidR="00643C01" w:rsidRPr="00DB5D0D" w:rsidRDefault="00643C01" w:rsidP="00DB5D0D">
      <w:pPr>
        <w:pStyle w:val="ae"/>
        <w:shd w:val="clear" w:color="auto" w:fill="FFFFFF"/>
        <w:spacing w:before="0" w:after="0"/>
        <w:jc w:val="both"/>
        <w:rPr>
          <w:color w:val="000000" w:themeColor="text1"/>
          <w:sz w:val="16"/>
          <w:szCs w:val="16"/>
        </w:rPr>
      </w:pPr>
      <w:r w:rsidRPr="00DB5D0D">
        <w:rPr>
          <w:color w:val="000000" w:themeColor="text1"/>
          <w:sz w:val="16"/>
          <w:szCs w:val="16"/>
        </w:rPr>
        <w:t>Зам начальника Главного управления ВВС генерал-лейтенант Астахов согласился с этим, но в заключении по эскизному проекту И-186 М-71, отметил:</w:t>
      </w:r>
    </w:p>
    <w:p w14:paraId="5920B83C" w14:textId="77777777" w:rsidR="00643C01" w:rsidRPr="00DB5D0D" w:rsidRDefault="00643C01" w:rsidP="00DB5D0D">
      <w:pPr>
        <w:pStyle w:val="ae"/>
        <w:shd w:val="clear" w:color="auto" w:fill="FFFFFF"/>
        <w:spacing w:before="0" w:after="0"/>
        <w:jc w:val="both"/>
        <w:rPr>
          <w:color w:val="000000" w:themeColor="text1"/>
          <w:sz w:val="16"/>
          <w:szCs w:val="16"/>
        </w:rPr>
      </w:pPr>
      <w:r w:rsidRPr="00DB5D0D">
        <w:rPr>
          <w:color w:val="000000" w:themeColor="text1"/>
          <w:sz w:val="16"/>
          <w:szCs w:val="16"/>
        </w:rPr>
        <w:t>«... 1. Эскизный проект самолета И-185 с мотором М-71 (И-186) в части максимальной скорости и дальности полета не отвечает требованиям, заданным постановлением КО при СНК № 102 сс от 4 марта 1940 года для этого типа самолета.</w:t>
      </w:r>
    </w:p>
    <w:p w14:paraId="5748AB5D" w14:textId="77777777" w:rsidR="00643C01" w:rsidRPr="00DB5D0D" w:rsidRDefault="00643C01" w:rsidP="00DB5D0D">
      <w:pPr>
        <w:pStyle w:val="ae"/>
        <w:shd w:val="clear" w:color="auto" w:fill="FFFFFF"/>
        <w:spacing w:before="0" w:after="0"/>
        <w:jc w:val="both"/>
        <w:rPr>
          <w:color w:val="000000" w:themeColor="text1"/>
          <w:sz w:val="16"/>
          <w:szCs w:val="16"/>
        </w:rPr>
      </w:pPr>
      <w:r w:rsidRPr="00DB5D0D">
        <w:rPr>
          <w:color w:val="000000" w:themeColor="text1"/>
          <w:sz w:val="16"/>
          <w:szCs w:val="16"/>
        </w:rPr>
        <w:t>2. До выхода мотора М-90 разрешить конструктору, как временную меру, установку на самолет И-185 мотора М-71».</w:t>
      </w:r>
    </w:p>
    <w:p w14:paraId="19E2F943" w14:textId="77777777" w:rsidR="00643C01" w:rsidRPr="00DB5D0D" w:rsidRDefault="00643C01" w:rsidP="00DB5D0D">
      <w:pPr>
        <w:pStyle w:val="ae"/>
        <w:shd w:val="clear" w:color="auto" w:fill="FFFFFF"/>
        <w:spacing w:before="0" w:after="0"/>
        <w:jc w:val="both"/>
        <w:rPr>
          <w:color w:val="000000" w:themeColor="text1"/>
          <w:sz w:val="16"/>
          <w:szCs w:val="16"/>
        </w:rPr>
      </w:pPr>
      <w:r w:rsidRPr="00DB5D0D">
        <w:rPr>
          <w:color w:val="000000" w:themeColor="text1"/>
          <w:sz w:val="16"/>
          <w:szCs w:val="16"/>
        </w:rPr>
        <w:t>Мотор М-71 представлял собой два комплекта цилиндров серийного М-63, новыми были картер, коленвал, редуктор, нагнетатель, системы топливопитания и всасывания. Средние величины эффективного давления в цилиндрах и скорости движения поршня, а также литровая мощность у М-71 были даже ниже, чем у М-63, потому Швецов надеялся дать этот мотор в самые короткие сроки.</w:t>
      </w:r>
    </w:p>
    <w:p w14:paraId="33813716" w14:textId="77777777" w:rsidR="00643C01" w:rsidRPr="00DB5D0D" w:rsidRDefault="00643C01" w:rsidP="00DB5D0D">
      <w:pPr>
        <w:pStyle w:val="ae"/>
        <w:shd w:val="clear" w:color="auto" w:fill="FFFFFF"/>
        <w:spacing w:before="0" w:after="0"/>
        <w:jc w:val="both"/>
        <w:rPr>
          <w:color w:val="000000" w:themeColor="text1"/>
          <w:sz w:val="16"/>
          <w:szCs w:val="16"/>
        </w:rPr>
      </w:pPr>
      <w:r w:rsidRPr="00DB5D0D">
        <w:rPr>
          <w:color w:val="000000" w:themeColor="text1"/>
          <w:sz w:val="16"/>
          <w:szCs w:val="16"/>
        </w:rPr>
        <w:t>Здесь были некоторые «подводные камни», но о них пока никто не думал, поскольку все внимание было сосредоточено на выходных характеристиках, которые были весьма высоки. Расчетная мощность М-71 была даже выше, чем у М-90: Швецов обещал 1900-2000 л.с. на взлете и 1700 на обеих границах высотности 2000 и 5000 м. Но ценой этому была масса - в проекте значилось 950 кг, а фактически - 1070-1102 кг против 850 кг у М-90. Диаметр был на 79 мм больше, чем у М-90, что с учетом капота и требований к его системам охлаждения и всасывания давало прирост миделя порядка 10-15%. Поликарпов согласился на такую замену, заявив, что тогда он гарантирует скорость только 660 км/ч.</w:t>
      </w:r>
    </w:p>
    <w:p w14:paraId="7F2B2639" w14:textId="77777777" w:rsidR="00643C01" w:rsidRPr="00DB5D0D" w:rsidRDefault="00643C01" w:rsidP="00DB5D0D">
      <w:pPr>
        <w:pStyle w:val="ae"/>
        <w:shd w:val="clear" w:color="auto" w:fill="FFFFFF"/>
        <w:spacing w:before="0" w:after="0"/>
        <w:jc w:val="both"/>
        <w:rPr>
          <w:color w:val="000000" w:themeColor="text1"/>
          <w:sz w:val="16"/>
          <w:szCs w:val="16"/>
        </w:rPr>
      </w:pPr>
      <w:r w:rsidRPr="00DB5D0D">
        <w:rPr>
          <w:color w:val="000000" w:themeColor="text1"/>
          <w:sz w:val="16"/>
          <w:szCs w:val="16"/>
        </w:rPr>
        <w:t>Для переделки готового первого самолета «Р» под М-71 требовались новые капот и моторама, к тому же стала видна ошибочность идеи центрального входа воздуха, новый мотор было удобнее ставить на неоконченной 2-й машине, а И-185 №1 пока просто «поставили к забору». Не было возможности заниматься им еще и потому, что готовился очередной переезд ОКБ (17735).</w:t>
      </w:r>
    </w:p>
    <w:p w14:paraId="356653BE" w14:textId="77777777" w:rsidR="00643C01" w:rsidRPr="00DB5D0D" w:rsidRDefault="00643C01" w:rsidP="00DB5D0D">
      <w:pPr>
        <w:spacing w:after="0" w:line="240" w:lineRule="auto"/>
        <w:jc w:val="both"/>
        <w:rPr>
          <w:rFonts w:ascii="Times New Roman" w:hAnsi="Times New Roman"/>
          <w:color w:val="000000" w:themeColor="text1"/>
          <w:sz w:val="16"/>
          <w:szCs w:val="16"/>
        </w:rPr>
      </w:pPr>
    </w:p>
    <w:p w14:paraId="31A75D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 начале июня 1940 в ЦКБ-29 зачитали приговоры (10-20 лет тюрьмы) (61,141). В.М.Петлякову - 2 июня 1940 - одновременно с передачей чертежей Пе-2 на серийные заводы (61,157).</w:t>
      </w:r>
    </w:p>
    <w:p w14:paraId="7CB6961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A935F2" w14:textId="77777777" w:rsidR="00643C01" w:rsidRPr="00DB5D0D" w:rsidRDefault="00643C01"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 конце мая 1940 г. Б. Г. Шпитальный получил от наркомата вооружения средства на разработку проекта 37-мм мотор-пушки и технические требования ГУАС КА к пушке.</w:t>
      </w:r>
    </w:p>
    <w:p w14:paraId="0D8737F2" w14:textId="77777777" w:rsidR="00643C01" w:rsidRPr="00DB5D0D" w:rsidRDefault="00643C01"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lastRenderedPageBreak/>
        <w:t>По заданию вес пушки не дол</w:t>
      </w:r>
      <w:r w:rsidRPr="00DB5D0D">
        <w:rPr>
          <w:rFonts w:ascii="Times New Roman" w:hAnsi="Times New Roman"/>
          <w:color w:val="000000" w:themeColor="text1"/>
          <w:spacing w:val="0"/>
          <w:sz w:val="16"/>
          <w:szCs w:val="16"/>
        </w:rPr>
        <w:softHyphen/>
        <w:t>жен превышать 150 кг, начальная скорость снаряда (вес 700 г) не менее — 900 м/с, темп стрельбы — 300—320 выстр./мин, усилие отдачи без дульного тормоза при стрель</w:t>
      </w:r>
      <w:r w:rsidRPr="00DB5D0D">
        <w:rPr>
          <w:rFonts w:ascii="Times New Roman" w:hAnsi="Times New Roman"/>
          <w:color w:val="000000" w:themeColor="text1"/>
          <w:spacing w:val="0"/>
          <w:sz w:val="16"/>
          <w:szCs w:val="16"/>
        </w:rPr>
        <w:softHyphen/>
        <w:t>бе — не более 1300—1500 кг, пита</w:t>
      </w:r>
      <w:r w:rsidRPr="00DB5D0D">
        <w:rPr>
          <w:rFonts w:ascii="Times New Roman" w:hAnsi="Times New Roman"/>
          <w:color w:val="000000" w:themeColor="text1"/>
          <w:spacing w:val="0"/>
          <w:sz w:val="16"/>
          <w:szCs w:val="16"/>
        </w:rPr>
        <w:softHyphen/>
        <w:t>ние — непрерывное от рассыпной ленты, режим стрельбы — воз</w:t>
      </w:r>
      <w:r w:rsidRPr="00DB5D0D">
        <w:rPr>
          <w:rFonts w:ascii="Times New Roman" w:hAnsi="Times New Roman"/>
          <w:color w:val="000000" w:themeColor="text1"/>
          <w:spacing w:val="0"/>
          <w:sz w:val="16"/>
          <w:szCs w:val="16"/>
        </w:rPr>
        <w:softHyphen/>
        <w:t>можность непрерывной очереди, 50 патронов. Эти требования Шпи</w:t>
      </w:r>
      <w:r w:rsidRPr="00DB5D0D">
        <w:rPr>
          <w:rFonts w:ascii="Times New Roman" w:hAnsi="Times New Roman"/>
          <w:color w:val="000000" w:themeColor="text1"/>
          <w:spacing w:val="0"/>
          <w:sz w:val="16"/>
          <w:szCs w:val="16"/>
        </w:rPr>
        <w:softHyphen/>
        <w:t>тальный согласился выполнить, о чем и доложил «в инстанции».</w:t>
      </w:r>
    </w:p>
    <w:p w14:paraId="1779E6C7" w14:textId="77777777" w:rsidR="00643C01" w:rsidRPr="00DB5D0D" w:rsidRDefault="00643C01"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Тогда же Шпитальный обратился в Комитет обороны при СНК СССР с предложением утвердить пра</w:t>
      </w:r>
      <w:r w:rsidRPr="00DB5D0D">
        <w:rPr>
          <w:rFonts w:ascii="Times New Roman" w:hAnsi="Times New Roman"/>
          <w:color w:val="000000" w:themeColor="text1"/>
          <w:spacing w:val="0"/>
          <w:sz w:val="16"/>
          <w:szCs w:val="16"/>
        </w:rPr>
        <w:softHyphen/>
        <w:t>вительственным решением строи</w:t>
      </w:r>
      <w:r w:rsidRPr="00DB5D0D">
        <w:rPr>
          <w:rFonts w:ascii="Times New Roman" w:hAnsi="Times New Roman"/>
          <w:color w:val="000000" w:themeColor="text1"/>
          <w:spacing w:val="0"/>
          <w:sz w:val="16"/>
          <w:szCs w:val="16"/>
        </w:rPr>
        <w:softHyphen/>
        <w:t>тельство опытного образца 37-мм мотор-пушки, а также специально</w:t>
      </w:r>
      <w:r w:rsidRPr="00DB5D0D">
        <w:rPr>
          <w:rFonts w:ascii="Times New Roman" w:hAnsi="Times New Roman"/>
          <w:color w:val="000000" w:themeColor="text1"/>
          <w:spacing w:val="0"/>
          <w:sz w:val="16"/>
          <w:szCs w:val="16"/>
        </w:rPr>
        <w:softHyphen/>
        <w:t>го самолета под эту пушку. Отмеча</w:t>
      </w:r>
      <w:r w:rsidRPr="00DB5D0D">
        <w:rPr>
          <w:rFonts w:ascii="Times New Roman" w:hAnsi="Times New Roman"/>
          <w:color w:val="000000" w:themeColor="text1"/>
          <w:spacing w:val="0"/>
          <w:sz w:val="16"/>
          <w:szCs w:val="16"/>
        </w:rPr>
        <w:softHyphen/>
        <w:t>лось, что такой самолет готов спро</w:t>
      </w:r>
      <w:r w:rsidRPr="00DB5D0D">
        <w:rPr>
          <w:rFonts w:ascii="Times New Roman" w:hAnsi="Times New Roman"/>
          <w:color w:val="000000" w:themeColor="text1"/>
          <w:spacing w:val="0"/>
          <w:sz w:val="16"/>
          <w:szCs w:val="16"/>
        </w:rPr>
        <w:softHyphen/>
        <w:t>ектировать и построить главный конструктор завода № 1 Н. Н. Поли</w:t>
      </w:r>
      <w:r w:rsidRPr="00DB5D0D">
        <w:rPr>
          <w:rFonts w:ascii="Times New Roman" w:hAnsi="Times New Roman"/>
          <w:color w:val="000000" w:themeColor="text1"/>
          <w:spacing w:val="0"/>
          <w:sz w:val="16"/>
          <w:szCs w:val="16"/>
        </w:rPr>
        <w:softHyphen/>
        <w:t>карпов.</w:t>
      </w:r>
    </w:p>
    <w:p w14:paraId="3A972C0C" w14:textId="77777777" w:rsidR="00643C01" w:rsidRPr="00DB5D0D" w:rsidRDefault="00643C01"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После обсуждения инициативы Шпитального секретариат Комитета обороны счел целесообразным каких-либо реше</w:t>
      </w:r>
      <w:r w:rsidRPr="00DB5D0D">
        <w:rPr>
          <w:rFonts w:ascii="Times New Roman" w:hAnsi="Times New Roman"/>
          <w:color w:val="000000" w:themeColor="text1"/>
          <w:spacing w:val="0"/>
          <w:sz w:val="16"/>
          <w:szCs w:val="16"/>
        </w:rPr>
        <w:softHyphen/>
        <w:t>ний правительства по 37-мм пушке ОКБ-15 и спе</w:t>
      </w:r>
      <w:r w:rsidRPr="00DB5D0D">
        <w:rPr>
          <w:rFonts w:ascii="Times New Roman" w:hAnsi="Times New Roman"/>
          <w:color w:val="000000" w:themeColor="text1"/>
          <w:spacing w:val="0"/>
          <w:sz w:val="16"/>
          <w:szCs w:val="16"/>
        </w:rPr>
        <w:softHyphen/>
        <w:t>циальному самолету под нее не принимать, а до</w:t>
      </w:r>
      <w:r w:rsidRPr="00DB5D0D">
        <w:rPr>
          <w:rFonts w:ascii="Times New Roman" w:hAnsi="Times New Roman"/>
          <w:color w:val="000000" w:themeColor="text1"/>
          <w:spacing w:val="0"/>
          <w:sz w:val="16"/>
          <w:szCs w:val="16"/>
        </w:rPr>
        <w:softHyphen/>
        <w:t>ждаться результатов полигонных испытаний в июле опытной пушки калибра 37 мм в крыльевом и фю</w:t>
      </w:r>
      <w:r w:rsidRPr="00DB5D0D">
        <w:rPr>
          <w:rFonts w:ascii="Times New Roman" w:hAnsi="Times New Roman"/>
          <w:color w:val="000000" w:themeColor="text1"/>
          <w:spacing w:val="0"/>
          <w:sz w:val="16"/>
          <w:szCs w:val="16"/>
        </w:rPr>
        <w:softHyphen/>
        <w:t>зеляжном вариантах. Шпитальный возражал. Надо полагать, 37-мм пушки, отвечающей требованиям ВВС, у Шпитального к этому времени не было. Поэ</w:t>
      </w:r>
      <w:r w:rsidRPr="00DB5D0D">
        <w:rPr>
          <w:rFonts w:ascii="Times New Roman" w:hAnsi="Times New Roman"/>
          <w:color w:val="000000" w:themeColor="text1"/>
          <w:spacing w:val="0"/>
          <w:sz w:val="16"/>
          <w:szCs w:val="16"/>
        </w:rPr>
        <w:softHyphen/>
        <w:t>тому предъявить на испытания было нечего. В этой связи Шпитальному было крайне необходимо по</w:t>
      </w:r>
      <w:r w:rsidRPr="00DB5D0D">
        <w:rPr>
          <w:rFonts w:ascii="Times New Roman" w:hAnsi="Times New Roman"/>
          <w:color w:val="000000" w:themeColor="text1"/>
          <w:spacing w:val="0"/>
          <w:sz w:val="16"/>
          <w:szCs w:val="16"/>
        </w:rPr>
        <w:softHyphen/>
        <w:t>лучить постановление правительства, чтобы, при</w:t>
      </w:r>
      <w:r w:rsidRPr="00DB5D0D">
        <w:rPr>
          <w:rFonts w:ascii="Times New Roman" w:hAnsi="Times New Roman"/>
          <w:color w:val="000000" w:themeColor="text1"/>
          <w:spacing w:val="0"/>
          <w:sz w:val="16"/>
          <w:szCs w:val="16"/>
        </w:rPr>
        <w:softHyphen/>
        <w:t>крывшись им, официально приостановить работы по договору ГУАС КА от 1939 г. в пользу нового за</w:t>
      </w:r>
      <w:r w:rsidRPr="00DB5D0D">
        <w:rPr>
          <w:rFonts w:ascii="Times New Roman" w:hAnsi="Times New Roman"/>
          <w:color w:val="000000" w:themeColor="text1"/>
          <w:spacing w:val="0"/>
          <w:sz w:val="16"/>
          <w:szCs w:val="16"/>
        </w:rPr>
        <w:softHyphen/>
        <w:t>дания, а также иметь возможность в будущем «от</w:t>
      </w:r>
      <w:r w:rsidRPr="00DB5D0D">
        <w:rPr>
          <w:rFonts w:ascii="Times New Roman" w:hAnsi="Times New Roman"/>
          <w:color w:val="000000" w:themeColor="text1"/>
          <w:spacing w:val="0"/>
          <w:sz w:val="16"/>
          <w:szCs w:val="16"/>
        </w:rPr>
        <w:softHyphen/>
        <w:t>стаивать» интересы ОКБ-15, не допуская на «свою территорию» других разработчиков крупнокали</w:t>
      </w:r>
      <w:r w:rsidRPr="00DB5D0D">
        <w:rPr>
          <w:rFonts w:ascii="Times New Roman" w:hAnsi="Times New Roman"/>
          <w:color w:val="000000" w:themeColor="text1"/>
          <w:spacing w:val="0"/>
          <w:sz w:val="16"/>
          <w:szCs w:val="16"/>
        </w:rPr>
        <w:softHyphen/>
        <w:t>берных автоматов. Надо полагать, не без влияния Шпитального, секретариатом Комитета обороны все же был подготовлен соответствующий проект постановления и доложен председателю Комитета обороны маршалу К. Е. Ворошилову.</w:t>
      </w:r>
    </w:p>
    <w:p w14:paraId="54819456" w14:textId="77777777" w:rsidR="00643C01" w:rsidRPr="00DB5D0D" w:rsidRDefault="00643C01"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Судя по тому, как развивались дальнейшие со</w:t>
      </w:r>
      <w:r w:rsidRPr="00DB5D0D">
        <w:rPr>
          <w:rFonts w:ascii="Times New Roman" w:hAnsi="Times New Roman"/>
          <w:color w:val="000000" w:themeColor="text1"/>
          <w:spacing w:val="0"/>
          <w:sz w:val="16"/>
          <w:szCs w:val="16"/>
        </w:rPr>
        <w:softHyphen/>
        <w:t>бытия, такой подход к организации работ по круп</w:t>
      </w:r>
      <w:r w:rsidRPr="00DB5D0D">
        <w:rPr>
          <w:rFonts w:ascii="Times New Roman" w:hAnsi="Times New Roman"/>
          <w:color w:val="000000" w:themeColor="text1"/>
          <w:spacing w:val="0"/>
          <w:sz w:val="16"/>
          <w:szCs w:val="16"/>
        </w:rPr>
        <w:softHyphen/>
        <w:t>нокалиберному пушечному вооружению для ави</w:t>
      </w:r>
      <w:r w:rsidRPr="00DB5D0D">
        <w:rPr>
          <w:rFonts w:ascii="Times New Roman" w:hAnsi="Times New Roman"/>
          <w:color w:val="000000" w:themeColor="text1"/>
          <w:spacing w:val="0"/>
          <w:sz w:val="16"/>
          <w:szCs w:val="16"/>
        </w:rPr>
        <w:softHyphen/>
        <w:t>ации очень многих не устраивал, поскольку Шпи</w:t>
      </w:r>
      <w:r w:rsidRPr="00DB5D0D">
        <w:rPr>
          <w:rFonts w:ascii="Times New Roman" w:hAnsi="Times New Roman"/>
          <w:color w:val="000000" w:themeColor="text1"/>
          <w:spacing w:val="0"/>
          <w:sz w:val="16"/>
          <w:szCs w:val="16"/>
        </w:rPr>
        <w:softHyphen/>
        <w:t>тальный становился фактически единственным разработчиком и поставщиком для ВВС КА пушек крупного калибра.</w:t>
      </w:r>
    </w:p>
    <w:p w14:paraId="0A248821" w14:textId="77777777" w:rsidR="00643C01" w:rsidRPr="00DB5D0D" w:rsidRDefault="00643C01"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Ознакомившись с проектом постановления, маршал Ворошилов дал задание подчиненным разобраться, кто еще занимается авиационными пуш</w:t>
      </w:r>
      <w:r w:rsidRPr="00DB5D0D">
        <w:rPr>
          <w:rFonts w:ascii="Times New Roman" w:hAnsi="Times New Roman"/>
          <w:color w:val="000000" w:themeColor="text1"/>
          <w:spacing w:val="0"/>
          <w:sz w:val="16"/>
          <w:szCs w:val="16"/>
        </w:rPr>
        <w:softHyphen/>
        <w:t>ками калибра 37 мм, и подготовить справку по это</w:t>
      </w:r>
      <w:r w:rsidRPr="00DB5D0D">
        <w:rPr>
          <w:rFonts w:ascii="Times New Roman" w:hAnsi="Times New Roman"/>
          <w:color w:val="000000" w:themeColor="text1"/>
          <w:spacing w:val="0"/>
          <w:sz w:val="16"/>
          <w:szCs w:val="16"/>
        </w:rPr>
        <w:softHyphen/>
        <w:t>му вопросу.</w:t>
      </w:r>
    </w:p>
    <w:p w14:paraId="36870825" w14:textId="77777777" w:rsidR="00643C01" w:rsidRPr="00DB5D0D" w:rsidRDefault="00643C01"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 свою очередь, наркомат обороны (при непо</w:t>
      </w:r>
      <w:r w:rsidRPr="00DB5D0D">
        <w:rPr>
          <w:rFonts w:ascii="Times New Roman" w:hAnsi="Times New Roman"/>
          <w:color w:val="000000" w:themeColor="text1"/>
          <w:spacing w:val="0"/>
          <w:sz w:val="16"/>
          <w:szCs w:val="16"/>
        </w:rPr>
        <w:softHyphen/>
        <w:t>средственном участии ГУ ВВС) в строгом соответ</w:t>
      </w:r>
      <w:r w:rsidRPr="00DB5D0D">
        <w:rPr>
          <w:rFonts w:ascii="Times New Roman" w:hAnsi="Times New Roman"/>
          <w:color w:val="000000" w:themeColor="text1"/>
          <w:spacing w:val="0"/>
          <w:sz w:val="16"/>
          <w:szCs w:val="16"/>
        </w:rPr>
        <w:softHyphen/>
        <w:t>ствии с рекомендациями Главного Военного Совета Красной Армии по системе вооружения ВВС пред</w:t>
      </w:r>
      <w:r w:rsidRPr="00DB5D0D">
        <w:rPr>
          <w:rFonts w:ascii="Times New Roman" w:hAnsi="Times New Roman"/>
          <w:color w:val="000000" w:themeColor="text1"/>
          <w:spacing w:val="0"/>
          <w:sz w:val="16"/>
          <w:szCs w:val="16"/>
        </w:rPr>
        <w:softHyphen/>
        <w:t>ложил выпустить постановление правительства, которое затрагивало бы не только пушки калибра 37 мм, но и пушки калибра 23 мм, пулеметы кали</w:t>
      </w:r>
      <w:r w:rsidRPr="00DB5D0D">
        <w:rPr>
          <w:rFonts w:ascii="Times New Roman" w:hAnsi="Times New Roman"/>
          <w:color w:val="000000" w:themeColor="text1"/>
          <w:spacing w:val="0"/>
          <w:sz w:val="16"/>
          <w:szCs w:val="16"/>
        </w:rPr>
        <w:softHyphen/>
        <w:t>бра 12,7 мм и ракетное оружие.</w:t>
      </w:r>
    </w:p>
    <w:p w14:paraId="75504915" w14:textId="77777777" w:rsidR="00643C01" w:rsidRPr="00DB5D0D" w:rsidRDefault="00643C01"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Помимо прочего, этот шаг позволял расширить круг конструкторских коллективов, допущенных к созданию авиационных автоматов для ВВС КА, предоставив возможность ГУ ВВС и НКВ финанси</w:t>
      </w:r>
      <w:r w:rsidRPr="00DB5D0D">
        <w:rPr>
          <w:rFonts w:ascii="Times New Roman" w:hAnsi="Times New Roman"/>
          <w:color w:val="000000" w:themeColor="text1"/>
          <w:spacing w:val="0"/>
          <w:sz w:val="16"/>
          <w:szCs w:val="16"/>
        </w:rPr>
        <w:softHyphen/>
        <w:t>ровать их работы «законным порядком».</w:t>
      </w:r>
    </w:p>
    <w:p w14:paraId="24109C13" w14:textId="77777777" w:rsidR="00643C01" w:rsidRPr="00DB5D0D" w:rsidRDefault="00643C01"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Как можно судить из документов, нарком воору</w:t>
      </w:r>
      <w:r w:rsidRPr="00DB5D0D">
        <w:rPr>
          <w:rFonts w:ascii="Times New Roman" w:hAnsi="Times New Roman"/>
          <w:color w:val="000000" w:themeColor="text1"/>
          <w:spacing w:val="0"/>
          <w:sz w:val="16"/>
          <w:szCs w:val="16"/>
        </w:rPr>
        <w:softHyphen/>
        <w:t>жения Б. Л. Ванников и его заместители уже изряд</w:t>
      </w:r>
      <w:r w:rsidRPr="00DB5D0D">
        <w:rPr>
          <w:rFonts w:ascii="Times New Roman" w:hAnsi="Times New Roman"/>
          <w:color w:val="000000" w:themeColor="text1"/>
          <w:spacing w:val="0"/>
          <w:sz w:val="16"/>
          <w:szCs w:val="16"/>
        </w:rPr>
        <w:softHyphen/>
        <w:t>но устали от выходок Б. Г. Шпитального и были не прочь ограничить его влияние на развитие новых систем автоматического вооружения. В силу этого вооруженцы поддержали военных при подготовке этого, как оказалось, сложного в политическом от</w:t>
      </w:r>
      <w:r w:rsidRPr="00DB5D0D">
        <w:rPr>
          <w:rFonts w:ascii="Times New Roman" w:hAnsi="Times New Roman"/>
          <w:color w:val="000000" w:themeColor="text1"/>
          <w:spacing w:val="0"/>
          <w:sz w:val="16"/>
          <w:szCs w:val="16"/>
        </w:rPr>
        <w:softHyphen/>
        <w:t>ношении вопроса (17500).</w:t>
      </w:r>
    </w:p>
    <w:p w14:paraId="2C4038AE" w14:textId="77777777" w:rsidR="00643C01" w:rsidRPr="00DB5D0D" w:rsidRDefault="00643C01" w:rsidP="00DB5D0D">
      <w:pPr>
        <w:spacing w:after="0" w:line="240" w:lineRule="auto"/>
        <w:jc w:val="both"/>
        <w:rPr>
          <w:rFonts w:ascii="Times New Roman" w:eastAsia="Times New Roman" w:hAnsi="Times New Roman"/>
          <w:color w:val="000000" w:themeColor="text1"/>
          <w:sz w:val="16"/>
          <w:szCs w:val="16"/>
          <w:lang w:eastAsia="ru-RU"/>
        </w:rPr>
      </w:pPr>
    </w:p>
    <w:p w14:paraId="36CB326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C59159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09E5E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1940 Нач. АБТУ Павлов и Нач. ГАУ Савченко прибыли в Ленинград, где приняли участие в сравнительных испытаниях Л-11 (доработанной ЛКЗ) и Ф-32. И на этот раз надежность Л-11 оказалась ниже и решили производить Ф-32. В это время уже проходила полигонные испытания Ф-34 В.Г.Грабина. АБТУ предлагало, чтобы Ф-32 кроме ЛКЗ производили также з-ды № 92 и № 13 (с 1 января валово) (4829, 23).</w:t>
      </w:r>
    </w:p>
    <w:p w14:paraId="0694BA5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BE6E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последних числах мая 1940 г. состоялись совместные испытания Л-11 и Ф-32 в банках БТ-7А, показавшие небольшие преимущества Ф-32. Поэтому в июне 1940 г. принимается решение о разво-рачивании серийного выпуска Ф-32 не только на Л КЗ, но также на заводах № 92 и № 13с программой выпуска в 1941 г. соответственно 2500, 2000 и 700 штук. Но к этому времени ОКБ-92 под управлением В. Грабина предложило ГАУ проект новой, 76,2-мм танковой пушки Ф-34, которая при большей, чем у Ф-32, мощности (длина ствола составляла 41 калибр против 30 калибров у Ф-32), была более простой и потому должна была иметь меньшую стоимость и сложность в изготовлении. Артуправление принято проект, выпустив приказ о проведении полигонных испытаний пушки в сентябре 1940 г. Однако Наркомат обо</w:t>
      </w:r>
      <w:r w:rsidRPr="00DB5D0D">
        <w:rPr>
          <w:rFonts w:ascii="Times New Roman" w:hAnsi="Times New Roman"/>
          <w:color w:val="000000" w:themeColor="text1"/>
          <w:sz w:val="16"/>
          <w:szCs w:val="16"/>
        </w:rPr>
        <w:softHyphen/>
        <w:t>роны в письме от 13 июня уже рекомендовал вооружать «улучшенный танк Т-34» именно этим образцом танкового орудия, которое было в то время самым мощным в мире, но которое еще предстояло создать и испытать (10782).</w:t>
      </w:r>
    </w:p>
    <w:p w14:paraId="2EA23A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09FD9F3" w14:textId="77777777" w:rsidR="00A25AD1" w:rsidRPr="00DB5D0D" w:rsidRDefault="00A25AD1" w:rsidP="00DB5D0D">
      <w:pPr>
        <w:pStyle w:val="a3"/>
        <w:rPr>
          <w:color w:val="000000" w:themeColor="text1"/>
          <w:lang w:val="ru-RU"/>
        </w:rPr>
      </w:pPr>
      <w:r w:rsidRPr="00DB5D0D">
        <w:rPr>
          <w:color w:val="000000" w:themeColor="text1"/>
          <w:lang w:val="ru-RU"/>
        </w:rPr>
        <w:t>В конце мая 1940, после изучения полученных отчетов по испытанию комбинированного носового узла, АБТУ и НКСП разрешило Мариу</w:t>
      </w:r>
      <w:r w:rsidRPr="00DB5D0D">
        <w:rPr>
          <w:color w:val="000000" w:themeColor="text1"/>
          <w:lang w:val="ru-RU"/>
        </w:rPr>
        <w:softHyphen/>
        <w:t>польскому заводу изготовление установочной серии литых балок из стали марки МЗ-2, о чем уведомило завод телеграммой (11903).</w:t>
      </w:r>
    </w:p>
    <w:p w14:paraId="2F78F8D3" w14:textId="77777777" w:rsidR="00A25AD1" w:rsidRPr="00DB5D0D" w:rsidRDefault="00A25AD1" w:rsidP="00DB5D0D">
      <w:pPr>
        <w:pStyle w:val="a3"/>
        <w:rPr>
          <w:color w:val="000000" w:themeColor="text1"/>
          <w:lang w:val="ru-RU"/>
        </w:rPr>
      </w:pPr>
    </w:p>
    <w:p w14:paraId="4EEE7D4F" w14:textId="77777777" w:rsidR="00786827" w:rsidRPr="00DB5D0D" w:rsidRDefault="007868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1940 г. правительство СССР значительно увеличило программу выпуска танков КВ, что привело к внесению в конструкцию некоторых изменений, направленных на упрощение производства. Танки 1940 г. выпуска были вооружены 76,2</w:t>
      </w:r>
      <w:r w:rsidRPr="00DB5D0D">
        <w:rPr>
          <w:rFonts w:ascii="Times New Roman" w:hAnsi="Times New Roman"/>
          <w:color w:val="000000" w:themeColor="text1"/>
          <w:sz w:val="16"/>
          <w:szCs w:val="16"/>
        </w:rPr>
        <w:noBreakHyphen/>
        <w:t>мм танковой  пушкой Л</w:t>
      </w:r>
      <w:r w:rsidRPr="00DB5D0D">
        <w:rPr>
          <w:rFonts w:ascii="Times New Roman" w:hAnsi="Times New Roman"/>
          <w:color w:val="000000" w:themeColor="text1"/>
          <w:sz w:val="16"/>
          <w:szCs w:val="16"/>
        </w:rPr>
        <w:noBreakHyphen/>
        <w:t>11, спаренной с 7,62</w:t>
      </w:r>
      <w:r w:rsidRPr="00DB5D0D">
        <w:rPr>
          <w:rFonts w:ascii="Times New Roman" w:hAnsi="Times New Roman"/>
          <w:color w:val="000000" w:themeColor="text1"/>
          <w:sz w:val="16"/>
          <w:szCs w:val="16"/>
        </w:rPr>
        <w:noBreakHyphen/>
        <w:t>мм пулеметом ДТ. Однако с января 1941 г.  машину стали оснащать 76,2</w:t>
      </w:r>
      <w:r w:rsidRPr="00DB5D0D">
        <w:rPr>
          <w:rFonts w:ascii="Times New Roman" w:hAnsi="Times New Roman"/>
          <w:color w:val="000000" w:themeColor="text1"/>
          <w:sz w:val="16"/>
          <w:szCs w:val="16"/>
        </w:rPr>
        <w:noBreakHyphen/>
        <w:t>мм пушкой Ф</w:t>
      </w:r>
      <w:r w:rsidRPr="00DB5D0D">
        <w:rPr>
          <w:rFonts w:ascii="Times New Roman" w:hAnsi="Times New Roman"/>
          <w:color w:val="000000" w:themeColor="text1"/>
          <w:sz w:val="16"/>
          <w:szCs w:val="16"/>
        </w:rPr>
        <w:noBreakHyphen/>
        <w:t>32. С февраля 1941 г. началось производство танков КВ и на Челябинском тракторном заводе. Танки КВ начали поступать в войска летом 1941 г. (17860).</w:t>
      </w:r>
    </w:p>
    <w:p w14:paraId="2E4A248E" w14:textId="77777777" w:rsidR="00786827" w:rsidRPr="00DB5D0D" w:rsidRDefault="007868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октября 1940 г. было принято Постановление Комитета обороны при СНК СССР № 395сс “О постройке 50 торпедных катеров типа ТК</w:t>
      </w:r>
      <w:r w:rsidRPr="00DB5D0D">
        <w:rPr>
          <w:rFonts w:ascii="Times New Roman" w:hAnsi="Times New Roman"/>
          <w:color w:val="000000" w:themeColor="text1"/>
          <w:sz w:val="16"/>
          <w:szCs w:val="16"/>
        </w:rPr>
        <w:noBreakHyphen/>
        <w:t>ДШ”. В нем НКВД поручалось построить на заводе № 5 в Ленинграде 50 торпедных катеров типа ТК</w:t>
      </w:r>
      <w:r w:rsidRPr="00DB5D0D">
        <w:rPr>
          <w:rFonts w:ascii="Times New Roman" w:hAnsi="Times New Roman"/>
          <w:color w:val="000000" w:themeColor="text1"/>
          <w:sz w:val="16"/>
          <w:szCs w:val="16"/>
        </w:rPr>
        <w:noBreakHyphen/>
        <w:t>ДШ, сдав их НКВМФ в 1941 г. Одновременно была сокращена программа строительства катеров МО</w:t>
      </w:r>
      <w:r w:rsidRPr="00DB5D0D">
        <w:rPr>
          <w:rFonts w:ascii="Times New Roman" w:hAnsi="Times New Roman"/>
          <w:color w:val="000000" w:themeColor="text1"/>
          <w:sz w:val="16"/>
          <w:szCs w:val="16"/>
        </w:rPr>
        <w:noBreakHyphen/>
        <w:t>IV с 50 до 40 катеров, программа же строительства катеров МО для погранохраны НКВД (25 катеров) осталась без изменений. Наркомату авиационной промышленности предписывалось изготовить на заводе № 24 150 моторов ГАМ</w:t>
      </w:r>
      <w:r w:rsidRPr="00DB5D0D">
        <w:rPr>
          <w:rFonts w:ascii="Times New Roman" w:hAnsi="Times New Roman"/>
          <w:color w:val="000000" w:themeColor="text1"/>
          <w:sz w:val="16"/>
          <w:szCs w:val="16"/>
        </w:rPr>
        <w:noBreakHyphen/>
        <w:t>35ФН и поставить их заводу № 5 НКВД. По этому же постановлению Наркомат судостроительной промышленности СССР был обязан поставить на завод № 5 НКВД 50 комплектов торпедных аппаратов бортового сбрасывания в согласованные с графиком строительства катеров сроки, а Наркомату вооружения СССР поставить этому же заводу 100 пулеметов ДШК на турели МТУ</w:t>
      </w:r>
      <w:r w:rsidRPr="00DB5D0D">
        <w:rPr>
          <w:rFonts w:ascii="Times New Roman" w:hAnsi="Times New Roman"/>
          <w:color w:val="000000" w:themeColor="text1"/>
          <w:sz w:val="16"/>
          <w:szCs w:val="16"/>
        </w:rPr>
        <w:noBreakHyphen/>
        <w:t>2. (ГА РФ. Ф. Р</w:t>
      </w:r>
      <w:r w:rsidRPr="00DB5D0D">
        <w:rPr>
          <w:rFonts w:ascii="Times New Roman" w:hAnsi="Times New Roman"/>
          <w:color w:val="000000" w:themeColor="text1"/>
          <w:sz w:val="16"/>
          <w:szCs w:val="16"/>
        </w:rPr>
        <w:noBreakHyphen/>
        <w:t>8418. Оп. 24. Д. 1132. Л. 1.)</w:t>
      </w:r>
    </w:p>
    <w:p w14:paraId="6D6921CB" w14:textId="77777777" w:rsidR="00786827" w:rsidRPr="00DB5D0D" w:rsidRDefault="00786827" w:rsidP="00DB5D0D">
      <w:pPr>
        <w:spacing w:after="0" w:line="240" w:lineRule="auto"/>
        <w:jc w:val="both"/>
        <w:rPr>
          <w:rFonts w:ascii="Times New Roman" w:hAnsi="Times New Roman"/>
          <w:color w:val="000000" w:themeColor="text1"/>
          <w:sz w:val="16"/>
          <w:szCs w:val="16"/>
        </w:rPr>
      </w:pPr>
    </w:p>
    <w:p w14:paraId="75424A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1940 на заводе № 183 в корпусном цехе № 700 были изготовлены 4 корпуса Т-34 и один из них вместе с башней был направлен на СТЗ (4661, 41).</w:t>
      </w:r>
    </w:p>
    <w:p w14:paraId="0B23991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B559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1940 СТЗ получил с опозданием чертежи Т-34 с Харьковского завода. Гусеничные траки СТЗ должен был также получить с ХПЗ, но не получил их до конца года. (3862).</w:t>
      </w:r>
    </w:p>
    <w:p w14:paraId="1B3E3CE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B267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 начале июня 1940 года СТЗ получил из Харькова первый корпус с башней для танка Т-34, а 16 июня здесь собрали первый танк, главным образом из деталей завода № 183. Военпред Левин докладывал в ГАБТУ КА:</w:t>
      </w:r>
    </w:p>
    <w:p w14:paraId="003837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«Специальное КЗО СТЗ пересматривает чертежи согласно замечаниям завода № 183. Технология по всем группам отработана. К существующим станкам необходимо заказать еше 250-260 шт. Идет переделка сдаточного цеха Т-26 - очень медленно. Заводом по намеченной технологии к 17.06.40 г. собрана одна машина Т-34, которая прошла заводскую обкатку. Обнаружены следующие дефекты:</w:t>
      </w:r>
    </w:p>
    <w:p w14:paraId="07B0E3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w:t>
      </w:r>
      <w:r w:rsidRPr="00DB5D0D">
        <w:rPr>
          <w:rFonts w:ascii="Times New Roman" w:hAnsi="Times New Roman"/>
          <w:color w:val="000000" w:themeColor="text1"/>
          <w:sz w:val="16"/>
          <w:szCs w:val="16"/>
        </w:rPr>
        <w:tab/>
        <w:t>вышел из строя стартер из-за несовершенства его конструкции;</w:t>
      </w:r>
    </w:p>
    <w:p w14:paraId="281A0A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w:t>
      </w:r>
      <w:r w:rsidRPr="00DB5D0D">
        <w:rPr>
          <w:rFonts w:ascii="Times New Roman" w:hAnsi="Times New Roman"/>
          <w:color w:val="000000" w:themeColor="text1"/>
          <w:sz w:val="16"/>
          <w:szCs w:val="16"/>
        </w:rPr>
        <w:tab/>
        <w:t>течь масла через сапун компрессора; в) ослаблено крепление маховика вентилятора на хвостовике коленчатого вала двигателя (некачественный монтаж); г) не работает сервомеханизм из-за недостаточного давления воздуха, подаваемого компрессором (2 атм.).</w:t>
      </w:r>
    </w:p>
    <w:p w14:paraId="0A085B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к сдаточному пробегу будет готова через 15-20 дней. До получения с завода № 183 чертежей на механическое сервоуправление, до установки его на машину, проводить сдаточный пробег считаю нецелесообразным».</w:t>
      </w:r>
    </w:p>
    <w:p w14:paraId="7DAF51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графику, утвержденному в наркомате среднего машиностроения, в октябре СТЗ должен был изготовить в августе-сентябре 20 Т-34, еще 20 в октябре и по 30 в ноябре и декабре. Поэтому на заводе ускоренными темпами шла подготовка к производству - разрабатывалась технология, изготавливались приспособления и штампы, причем для выпуска последних ввели даже сверхурочные работы.</w:t>
      </w:r>
    </w:p>
    <w:p w14:paraId="49E479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Первая собранная машина проходила обкатку, на ней заменяли временно установленные агрегаты (например баки) на соответствующие чертежам, отрабатывали технологию сборки. Но несмотря на большой объем проведенных работ, выполнить установленное наркоматом задание не удалось (12217).</w:t>
      </w:r>
    </w:p>
    <w:p w14:paraId="5D231A9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6BF61B4" w14:textId="77777777" w:rsidR="00114775" w:rsidRPr="00DB5D0D" w:rsidRDefault="0011477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31 мая 1940 </w:t>
      </w:r>
      <w:r w:rsidRPr="00DB5D0D">
        <w:rPr>
          <w:rFonts w:ascii="Times New Roman" w:eastAsia="Times New Roman" w:hAnsi="Times New Roman"/>
          <w:color w:val="000000" w:themeColor="text1"/>
          <w:sz w:val="16"/>
          <w:szCs w:val="16"/>
          <w:lang w:eastAsia="ru-RU"/>
        </w:rPr>
        <w:t>МАРШАЛ СОВЕТСКОГО СОЮЗА подпись (Тимошенко)</w:t>
      </w:r>
    </w:p>
    <w:p w14:paraId="17140A3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На документе помета:</w:t>
      </w:r>
      <w:r w:rsidRPr="00DB5D0D">
        <w:rPr>
          <w:rFonts w:ascii="Times New Roman" w:eastAsia="Times New Roman" w:hAnsi="Times New Roman"/>
          <w:color w:val="000000" w:themeColor="text1"/>
          <w:sz w:val="16"/>
          <w:szCs w:val="16"/>
          <w:lang w:eastAsia="ru-RU"/>
        </w:rPr>
        <w:t xml:space="preserve"> «К СО2386» </w:t>
      </w:r>
    </w:p>
    <w:p w14:paraId="76D9837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1194C2F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1 </w:t>
      </w:r>
    </w:p>
    <w:p w14:paraId="1307949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ОТЧЕТ 012</w:t>
      </w:r>
    </w:p>
    <w:p w14:paraId="24DCDE3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ВОЙСКОВЫМ ИСПЫТАНИЯМ ТАНКА "Т-34"</w:t>
      </w:r>
    </w:p>
    <w:p w14:paraId="4845D10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ФЕВРАЛЬ – АПРЕЛЬ 1940 г.</w:t>
      </w:r>
    </w:p>
    <w:p w14:paraId="396FD1D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На документе помета:</w:t>
      </w:r>
      <w:r w:rsidRPr="00DB5D0D">
        <w:rPr>
          <w:rFonts w:ascii="Times New Roman" w:eastAsia="Times New Roman" w:hAnsi="Times New Roman"/>
          <w:color w:val="000000" w:themeColor="text1"/>
          <w:sz w:val="16"/>
          <w:szCs w:val="16"/>
          <w:lang w:eastAsia="ru-RU"/>
        </w:rPr>
        <w:t xml:space="preserve"> «Принят Постановл. КО № 443сс от 19/XII-39 г. подпись Д.Г. Павлова» </w:t>
      </w:r>
    </w:p>
    <w:p w14:paraId="11D284C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ОГЛАВЛЕНИЕ</w:t>
      </w:r>
    </w:p>
    <w:p w14:paraId="543C349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I. Объем проведенных испытаний – стр. 3 </w:t>
      </w:r>
    </w:p>
    <w:p w14:paraId="24BB239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 Тактико-техническая характеристика – стр. 9 </w:t>
      </w:r>
    </w:p>
    <w:p w14:paraId="3A51D07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III. Выводы: </w:t>
      </w:r>
    </w:p>
    <w:p w14:paraId="6FB7594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Вооружение, боекомплект и приборы наблюдения – стр. 31 </w:t>
      </w:r>
    </w:p>
    <w:p w14:paraId="67E979F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Броневая защита танка – стр. 35 </w:t>
      </w:r>
    </w:p>
    <w:p w14:paraId="02F821B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Внешняя и внутренняя связь – стр. 42 </w:t>
      </w:r>
    </w:p>
    <w:p w14:paraId="04332DE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Проходимость – стр. 43 </w:t>
      </w:r>
    </w:p>
    <w:p w14:paraId="3A757D8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Эксплоатационные возможности танков Т-34 в зимних и весенних условиях – стр. 52 </w:t>
      </w:r>
    </w:p>
    <w:p w14:paraId="485E20E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Обслуживание танков Т-34 – стр. 56 </w:t>
      </w:r>
    </w:p>
    <w:p w14:paraId="5E21A35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Надежность работы двигателя и отдельных агрегатов трансмиссии и ходовой части танка – стр. 64 </w:t>
      </w:r>
    </w:p>
    <w:p w14:paraId="4B846E3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Заключение: – стр. 71 </w:t>
      </w:r>
    </w:p>
    <w:p w14:paraId="3285088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Приложение № 1 – стр. 73 </w:t>
      </w:r>
    </w:p>
    <w:p w14:paraId="34A3EC2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"УТВЕРЖДАЮ" </w:t>
      </w:r>
    </w:p>
    <w:p w14:paraId="0FA7128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НАРОДНЫЙ КОМИССАР ОБОРОНЫ </w:t>
      </w:r>
    </w:p>
    <w:p w14:paraId="177E52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МАРШАЛ СОВЕТСКОГО СОЮЗА </w:t>
      </w:r>
    </w:p>
    <w:p w14:paraId="642859F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подпись (Тимошенко) </w:t>
      </w:r>
    </w:p>
    <w:p w14:paraId="7B0F6A0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31 мая 1940 </w:t>
      </w:r>
    </w:p>
    <w:p w14:paraId="1964B6C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 ОБЪЕМ ПРОВЕДЕННЫХ ИСПЫТАНИЙ.</w:t>
      </w:r>
    </w:p>
    <w:p w14:paraId="47C5283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Войсковым испытаниям были подвергнуты два образца танка Т-34 № 1 и № 2</w:t>
      </w:r>
    </w:p>
    <w:p w14:paraId="71A5A99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Распределение пройденного за время ходовых испытаний километража дано в помещенной ниже таблице: </w:t>
      </w:r>
    </w:p>
    <w:tbl>
      <w:tblPr>
        <w:tblStyle w:val="affe"/>
        <w:tblW w:w="0" w:type="auto"/>
        <w:tblLook w:val="04A0" w:firstRow="1" w:lastRow="0" w:firstColumn="1" w:lastColumn="0" w:noHBand="0" w:noVBand="1"/>
      </w:tblPr>
      <w:tblGrid>
        <w:gridCol w:w="3851"/>
        <w:gridCol w:w="1219"/>
        <w:gridCol w:w="1134"/>
      </w:tblGrid>
      <w:tr w:rsidR="007D5DF8" w:rsidRPr="00DB5D0D" w14:paraId="7C199ABB" w14:textId="77777777" w:rsidTr="007A1142">
        <w:tc>
          <w:tcPr>
            <w:tcW w:w="3851" w:type="dxa"/>
          </w:tcPr>
          <w:p w14:paraId="7B67E23D" w14:textId="77777777" w:rsidR="00114775" w:rsidRPr="00DB5D0D" w:rsidRDefault="00114775" w:rsidP="00DB5D0D">
            <w:pPr>
              <w:spacing w:after="0" w:line="240" w:lineRule="auto"/>
              <w:jc w:val="both"/>
              <w:rPr>
                <w:color w:val="000000" w:themeColor="text1"/>
                <w:sz w:val="16"/>
                <w:szCs w:val="16"/>
                <w:lang w:eastAsia="ru-RU"/>
              </w:rPr>
            </w:pPr>
          </w:p>
        </w:tc>
        <w:tc>
          <w:tcPr>
            <w:tcW w:w="1219" w:type="dxa"/>
          </w:tcPr>
          <w:p w14:paraId="5B5F3D03"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Танк 1</w:t>
            </w:r>
          </w:p>
        </w:tc>
        <w:tc>
          <w:tcPr>
            <w:tcW w:w="1134" w:type="dxa"/>
          </w:tcPr>
          <w:p w14:paraId="6FB489DB"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Танк 2</w:t>
            </w:r>
          </w:p>
        </w:tc>
      </w:tr>
      <w:tr w:rsidR="007D5DF8" w:rsidRPr="00DB5D0D" w14:paraId="0C56B938" w14:textId="77777777" w:rsidTr="007A1142">
        <w:tc>
          <w:tcPr>
            <w:tcW w:w="3851" w:type="dxa"/>
          </w:tcPr>
          <w:p w14:paraId="7D51E1A7"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Общий километраж</w:t>
            </w:r>
          </w:p>
        </w:tc>
        <w:tc>
          <w:tcPr>
            <w:tcW w:w="1219" w:type="dxa"/>
          </w:tcPr>
          <w:p w14:paraId="494ACF42"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2864</w:t>
            </w:r>
          </w:p>
        </w:tc>
        <w:tc>
          <w:tcPr>
            <w:tcW w:w="1134" w:type="dxa"/>
          </w:tcPr>
          <w:p w14:paraId="55FE001A"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2834</w:t>
            </w:r>
          </w:p>
        </w:tc>
      </w:tr>
      <w:tr w:rsidR="007D5DF8" w:rsidRPr="00DB5D0D" w14:paraId="66D8B368" w14:textId="77777777" w:rsidTr="007A1142">
        <w:tc>
          <w:tcPr>
            <w:tcW w:w="3851" w:type="dxa"/>
          </w:tcPr>
          <w:p w14:paraId="760C4FAA"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 по шоссейным дорогам</w:t>
            </w:r>
          </w:p>
        </w:tc>
        <w:tc>
          <w:tcPr>
            <w:tcW w:w="1219" w:type="dxa"/>
          </w:tcPr>
          <w:p w14:paraId="5159210C"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1487</w:t>
            </w:r>
          </w:p>
        </w:tc>
        <w:tc>
          <w:tcPr>
            <w:tcW w:w="1134" w:type="dxa"/>
          </w:tcPr>
          <w:p w14:paraId="63559F9A"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2012</w:t>
            </w:r>
          </w:p>
        </w:tc>
      </w:tr>
      <w:tr w:rsidR="007D5DF8" w:rsidRPr="00DB5D0D" w14:paraId="03FAF3CA" w14:textId="77777777" w:rsidTr="007A1142">
        <w:tc>
          <w:tcPr>
            <w:tcW w:w="3851" w:type="dxa"/>
          </w:tcPr>
          <w:p w14:paraId="22677C2B"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 по проселочным и снежной целине</w:t>
            </w:r>
          </w:p>
        </w:tc>
        <w:tc>
          <w:tcPr>
            <w:tcW w:w="1219" w:type="dxa"/>
          </w:tcPr>
          <w:p w14:paraId="771339DC"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1377</w:t>
            </w:r>
          </w:p>
        </w:tc>
        <w:tc>
          <w:tcPr>
            <w:tcW w:w="1134" w:type="dxa"/>
          </w:tcPr>
          <w:p w14:paraId="379FAEA0"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822</w:t>
            </w:r>
          </w:p>
        </w:tc>
      </w:tr>
    </w:tbl>
    <w:p w14:paraId="4D6740A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Работа двигателей: </w:t>
      </w:r>
    </w:p>
    <w:tbl>
      <w:tblPr>
        <w:tblStyle w:val="affe"/>
        <w:tblW w:w="0" w:type="auto"/>
        <w:tblLook w:val="04A0" w:firstRow="1" w:lastRow="0" w:firstColumn="1" w:lastColumn="0" w:noHBand="0" w:noVBand="1"/>
      </w:tblPr>
      <w:tblGrid>
        <w:gridCol w:w="1242"/>
        <w:gridCol w:w="1701"/>
        <w:gridCol w:w="1701"/>
        <w:gridCol w:w="3544"/>
      </w:tblGrid>
      <w:tr w:rsidR="007D5DF8" w:rsidRPr="00DB5D0D" w14:paraId="38C483A6" w14:textId="77777777" w:rsidTr="007A1142">
        <w:tc>
          <w:tcPr>
            <w:tcW w:w="1242" w:type="dxa"/>
          </w:tcPr>
          <w:p w14:paraId="0D294B2D"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 танков</w:t>
            </w:r>
          </w:p>
        </w:tc>
        <w:tc>
          <w:tcPr>
            <w:tcW w:w="1701" w:type="dxa"/>
          </w:tcPr>
          <w:p w14:paraId="0435A969"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 двигателей</w:t>
            </w:r>
          </w:p>
        </w:tc>
        <w:tc>
          <w:tcPr>
            <w:tcW w:w="1701" w:type="dxa"/>
          </w:tcPr>
          <w:p w14:paraId="19B0CD21"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Число проработанных часов</w:t>
            </w:r>
          </w:p>
        </w:tc>
        <w:tc>
          <w:tcPr>
            <w:tcW w:w="3544" w:type="dxa"/>
          </w:tcPr>
          <w:p w14:paraId="2EBA365E"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Причина смены</w:t>
            </w:r>
          </w:p>
        </w:tc>
      </w:tr>
      <w:tr w:rsidR="007D5DF8" w:rsidRPr="00DB5D0D" w14:paraId="7B74E2E0" w14:textId="77777777" w:rsidTr="007A1142">
        <w:tc>
          <w:tcPr>
            <w:tcW w:w="1242" w:type="dxa"/>
          </w:tcPr>
          <w:p w14:paraId="65FB466D"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 1</w:t>
            </w:r>
          </w:p>
        </w:tc>
        <w:tc>
          <w:tcPr>
            <w:tcW w:w="1701" w:type="dxa"/>
          </w:tcPr>
          <w:p w14:paraId="73C9BC9B"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100172</w:t>
            </w:r>
          </w:p>
        </w:tc>
        <w:tc>
          <w:tcPr>
            <w:tcW w:w="1701" w:type="dxa"/>
          </w:tcPr>
          <w:p w14:paraId="1D556D90"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32:51</w:t>
            </w:r>
          </w:p>
        </w:tc>
        <w:tc>
          <w:tcPr>
            <w:tcW w:w="3544" w:type="dxa"/>
          </w:tcPr>
          <w:p w14:paraId="7158EC79"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Пробивание газов через прокладки головки</w:t>
            </w:r>
          </w:p>
        </w:tc>
      </w:tr>
      <w:tr w:rsidR="007D5DF8" w:rsidRPr="00DB5D0D" w14:paraId="464A3302" w14:textId="77777777" w:rsidTr="007A1142">
        <w:tc>
          <w:tcPr>
            <w:tcW w:w="1242" w:type="dxa"/>
          </w:tcPr>
          <w:p w14:paraId="4E30B491" w14:textId="77777777" w:rsidR="00114775" w:rsidRPr="00DB5D0D" w:rsidRDefault="00114775" w:rsidP="00DB5D0D">
            <w:pPr>
              <w:spacing w:after="0" w:line="240" w:lineRule="auto"/>
              <w:jc w:val="both"/>
              <w:rPr>
                <w:color w:val="000000" w:themeColor="text1"/>
                <w:sz w:val="16"/>
                <w:szCs w:val="16"/>
                <w:lang w:eastAsia="ru-RU"/>
              </w:rPr>
            </w:pPr>
          </w:p>
        </w:tc>
        <w:tc>
          <w:tcPr>
            <w:tcW w:w="1701" w:type="dxa"/>
          </w:tcPr>
          <w:p w14:paraId="3D8C0EFE"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1015-20</w:t>
            </w:r>
          </w:p>
        </w:tc>
        <w:tc>
          <w:tcPr>
            <w:tcW w:w="1701" w:type="dxa"/>
          </w:tcPr>
          <w:p w14:paraId="41280AD4"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71:47</w:t>
            </w:r>
          </w:p>
        </w:tc>
        <w:tc>
          <w:tcPr>
            <w:tcW w:w="3544" w:type="dxa"/>
          </w:tcPr>
          <w:p w14:paraId="383437B7"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Расплавление подшипников коленвала</w:t>
            </w:r>
          </w:p>
        </w:tc>
      </w:tr>
      <w:tr w:rsidR="007D5DF8" w:rsidRPr="00DB5D0D" w14:paraId="2B82BACA" w14:textId="77777777" w:rsidTr="007A1142">
        <w:tc>
          <w:tcPr>
            <w:tcW w:w="1242" w:type="dxa"/>
          </w:tcPr>
          <w:p w14:paraId="2793B12A" w14:textId="77777777" w:rsidR="00114775" w:rsidRPr="00DB5D0D" w:rsidRDefault="00114775" w:rsidP="00DB5D0D">
            <w:pPr>
              <w:spacing w:after="0" w:line="240" w:lineRule="auto"/>
              <w:jc w:val="both"/>
              <w:rPr>
                <w:color w:val="000000" w:themeColor="text1"/>
                <w:sz w:val="16"/>
                <w:szCs w:val="16"/>
                <w:lang w:eastAsia="ru-RU"/>
              </w:rPr>
            </w:pPr>
          </w:p>
        </w:tc>
        <w:tc>
          <w:tcPr>
            <w:tcW w:w="1701" w:type="dxa"/>
          </w:tcPr>
          <w:p w14:paraId="68005F23"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1007-51</w:t>
            </w:r>
          </w:p>
        </w:tc>
        <w:tc>
          <w:tcPr>
            <w:tcW w:w="1701" w:type="dxa"/>
          </w:tcPr>
          <w:p w14:paraId="714EBB78"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79:42</w:t>
            </w:r>
          </w:p>
        </w:tc>
        <w:tc>
          <w:tcPr>
            <w:tcW w:w="3544" w:type="dxa"/>
          </w:tcPr>
          <w:p w14:paraId="747AF129"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Разрушение пром. шестерен привода м/помпы</w:t>
            </w:r>
          </w:p>
        </w:tc>
      </w:tr>
      <w:tr w:rsidR="007D5DF8" w:rsidRPr="00DB5D0D" w14:paraId="5B1A5AAA" w14:textId="77777777" w:rsidTr="007A1142">
        <w:tc>
          <w:tcPr>
            <w:tcW w:w="1242" w:type="dxa"/>
          </w:tcPr>
          <w:p w14:paraId="5144ABD4"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 2</w:t>
            </w:r>
          </w:p>
        </w:tc>
        <w:tc>
          <w:tcPr>
            <w:tcW w:w="1701" w:type="dxa"/>
          </w:tcPr>
          <w:p w14:paraId="5280B2B1"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1030-13</w:t>
            </w:r>
          </w:p>
        </w:tc>
        <w:tc>
          <w:tcPr>
            <w:tcW w:w="1701" w:type="dxa"/>
          </w:tcPr>
          <w:p w14:paraId="2E53FF80"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76:26</w:t>
            </w:r>
          </w:p>
        </w:tc>
        <w:tc>
          <w:tcPr>
            <w:tcW w:w="3544" w:type="dxa"/>
          </w:tcPr>
          <w:p w14:paraId="677DAB1D"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Отсутствие ресурса перед поездкой в Москву</w:t>
            </w:r>
          </w:p>
        </w:tc>
      </w:tr>
      <w:tr w:rsidR="007D5DF8" w:rsidRPr="00DB5D0D" w14:paraId="49443347" w14:textId="77777777" w:rsidTr="007A1142">
        <w:tc>
          <w:tcPr>
            <w:tcW w:w="1242" w:type="dxa"/>
          </w:tcPr>
          <w:p w14:paraId="1D151183" w14:textId="77777777" w:rsidR="00114775" w:rsidRPr="00DB5D0D" w:rsidRDefault="00114775" w:rsidP="00DB5D0D">
            <w:pPr>
              <w:spacing w:after="0" w:line="240" w:lineRule="auto"/>
              <w:jc w:val="both"/>
              <w:rPr>
                <w:color w:val="000000" w:themeColor="text1"/>
                <w:sz w:val="16"/>
                <w:szCs w:val="16"/>
                <w:lang w:eastAsia="ru-RU"/>
              </w:rPr>
            </w:pPr>
          </w:p>
        </w:tc>
        <w:tc>
          <w:tcPr>
            <w:tcW w:w="1701" w:type="dxa"/>
          </w:tcPr>
          <w:p w14:paraId="4C4D9BB1"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1039-31</w:t>
            </w:r>
          </w:p>
        </w:tc>
        <w:tc>
          <w:tcPr>
            <w:tcW w:w="1701" w:type="dxa"/>
          </w:tcPr>
          <w:p w14:paraId="585AAB9E"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106;26</w:t>
            </w:r>
          </w:p>
        </w:tc>
        <w:tc>
          <w:tcPr>
            <w:tcW w:w="3544" w:type="dxa"/>
          </w:tcPr>
          <w:p w14:paraId="2976AFD4"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Пробивание газов через прокладки головки</w:t>
            </w:r>
          </w:p>
        </w:tc>
      </w:tr>
    </w:tbl>
    <w:p w14:paraId="58700DC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процессе ходовых испытаний были проведены два длительных пробега по маршрутам: </w:t>
      </w:r>
    </w:p>
    <w:p w14:paraId="5DCD3CB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Харьков – Москва – с 12 по 17.3.40 г. и Москва – Харьков с 2 по 10.4.40 г. </w:t>
      </w:r>
    </w:p>
    <w:p w14:paraId="25A040B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Графики пробегов приведены ниже (см. фото №№ 1,2) </w:t>
      </w:r>
    </w:p>
    <w:p w14:paraId="0FE01B8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1 – График пробега танков Т-34 по маршруту Харьков – Москва. </w:t>
      </w:r>
    </w:p>
    <w:p w14:paraId="238BE7F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2 – График пробега танков Т-34 по маршруту Москва – Харьков. </w:t>
      </w:r>
    </w:p>
    <w:p w14:paraId="494F199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Помимо ходовых испытаний произведены: </w:t>
      </w:r>
    </w:p>
    <w:p w14:paraId="7A94AEE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Отстрел установки артсистемы Л-11. </w:t>
      </w:r>
    </w:p>
    <w:p w14:paraId="3506F55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Обстрел башни и корпуса 37 и 45 мм. бронебойными снарядами. </w:t>
      </w:r>
    </w:p>
    <w:p w14:paraId="66FDE1C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Испытание установки рации 71ТК-3. </w:t>
      </w:r>
    </w:p>
    <w:p w14:paraId="34CBF98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Преодоление естественных препятствий в зимних и весенних условиях : </w:t>
      </w:r>
    </w:p>
    <w:p w14:paraId="103035D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подъемы </w:t>
      </w:r>
    </w:p>
    <w:p w14:paraId="248D45E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косогоры </w:t>
      </w:r>
    </w:p>
    <w:p w14:paraId="5ABE8FF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Снежные массивы </w:t>
      </w:r>
    </w:p>
    <w:p w14:paraId="5BA6F98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Заболоченные участки </w:t>
      </w:r>
    </w:p>
    <w:p w14:paraId="2FBEE23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Отдельные деревья и лесные участки </w:t>
      </w:r>
    </w:p>
    <w:p w14:paraId="48F8563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Испытание герметичности корпуса, обливанием горючей жидкостью. </w:t>
      </w:r>
    </w:p>
    <w:p w14:paraId="7A0FF20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Взвешивание и определение центра тяжести. </w:t>
      </w:r>
    </w:p>
    <w:p w14:paraId="50C4573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окончании испытаний на танке № 1 произведена контрольная разборка и микрометраж деталей. </w:t>
      </w:r>
    </w:p>
    <w:p w14:paraId="1753028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3 – Общий вид танка Т-34 сбоку. Фото № 4 – Общий вид танка Т-34 спереди. Фото № 5 – Общий вид танка Т-34 сзади. </w:t>
      </w:r>
    </w:p>
    <w:p w14:paraId="66956A5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 ТАКТИКО-ТЕХНИЧЕСКАЯ ХАРАКТЕРИСТИКА ТАНКА "Т-34".</w:t>
      </w:r>
    </w:p>
    <w:p w14:paraId="0D1E196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ОБЩИЕ ДАННЫЕ. </w:t>
      </w:r>
    </w:p>
    <w:tbl>
      <w:tblPr>
        <w:tblStyle w:val="affe"/>
        <w:tblW w:w="0" w:type="auto"/>
        <w:tblLook w:val="04A0" w:firstRow="1" w:lastRow="0" w:firstColumn="1" w:lastColumn="0" w:noHBand="0" w:noVBand="1"/>
      </w:tblPr>
      <w:tblGrid>
        <w:gridCol w:w="534"/>
        <w:gridCol w:w="2409"/>
        <w:gridCol w:w="1701"/>
        <w:gridCol w:w="1843"/>
      </w:tblGrid>
      <w:tr w:rsidR="007D5DF8" w:rsidRPr="00DB5D0D" w14:paraId="4D141CA1" w14:textId="77777777" w:rsidTr="007A1142">
        <w:tc>
          <w:tcPr>
            <w:tcW w:w="534" w:type="dxa"/>
          </w:tcPr>
          <w:p w14:paraId="56C22172" w14:textId="77777777" w:rsidR="00114775" w:rsidRPr="00DB5D0D" w:rsidRDefault="00114775" w:rsidP="00DB5D0D">
            <w:pPr>
              <w:spacing w:after="0" w:line="240" w:lineRule="auto"/>
              <w:jc w:val="both"/>
              <w:rPr>
                <w:color w:val="000000" w:themeColor="text1"/>
                <w:sz w:val="16"/>
                <w:szCs w:val="16"/>
                <w:lang w:eastAsia="ru-RU"/>
              </w:rPr>
            </w:pPr>
          </w:p>
        </w:tc>
        <w:tc>
          <w:tcPr>
            <w:tcW w:w="2409" w:type="dxa"/>
          </w:tcPr>
          <w:p w14:paraId="7089EAC0" w14:textId="77777777" w:rsidR="00114775" w:rsidRPr="00DB5D0D" w:rsidRDefault="00114775" w:rsidP="00DB5D0D">
            <w:pPr>
              <w:spacing w:after="0" w:line="240" w:lineRule="auto"/>
              <w:jc w:val="both"/>
              <w:rPr>
                <w:color w:val="000000" w:themeColor="text1"/>
                <w:sz w:val="16"/>
                <w:szCs w:val="16"/>
                <w:lang w:eastAsia="ru-RU"/>
              </w:rPr>
            </w:pPr>
          </w:p>
        </w:tc>
        <w:tc>
          <w:tcPr>
            <w:tcW w:w="1701" w:type="dxa"/>
          </w:tcPr>
          <w:p w14:paraId="75FFCDDE" w14:textId="77777777" w:rsidR="00114775" w:rsidRPr="00DB5D0D" w:rsidRDefault="00114775" w:rsidP="00DB5D0D">
            <w:pPr>
              <w:spacing w:after="0" w:line="240" w:lineRule="auto"/>
              <w:jc w:val="both"/>
              <w:rPr>
                <w:color w:val="000000" w:themeColor="text1"/>
                <w:sz w:val="16"/>
                <w:szCs w:val="16"/>
                <w:lang w:eastAsia="ru-RU"/>
              </w:rPr>
            </w:pPr>
          </w:p>
        </w:tc>
        <w:tc>
          <w:tcPr>
            <w:tcW w:w="1843" w:type="dxa"/>
          </w:tcPr>
          <w:p w14:paraId="7189C33E" w14:textId="77777777" w:rsidR="00114775" w:rsidRPr="00DB5D0D" w:rsidRDefault="00114775" w:rsidP="00DB5D0D">
            <w:pPr>
              <w:spacing w:after="0" w:line="240" w:lineRule="auto"/>
              <w:jc w:val="both"/>
              <w:rPr>
                <w:color w:val="000000" w:themeColor="text1"/>
                <w:sz w:val="16"/>
                <w:szCs w:val="16"/>
                <w:lang w:eastAsia="ru-RU"/>
              </w:rPr>
            </w:pPr>
          </w:p>
        </w:tc>
      </w:tr>
      <w:tr w:rsidR="007D5DF8" w:rsidRPr="00DB5D0D" w14:paraId="73A6D7EE" w14:textId="77777777" w:rsidTr="007A1142">
        <w:tc>
          <w:tcPr>
            <w:tcW w:w="534" w:type="dxa"/>
          </w:tcPr>
          <w:p w14:paraId="179B371D" w14:textId="77777777" w:rsidR="00114775" w:rsidRPr="00DB5D0D" w:rsidRDefault="00114775" w:rsidP="00DB5D0D">
            <w:pPr>
              <w:spacing w:after="0" w:line="240" w:lineRule="auto"/>
              <w:jc w:val="both"/>
              <w:rPr>
                <w:color w:val="000000" w:themeColor="text1"/>
                <w:sz w:val="16"/>
                <w:szCs w:val="16"/>
                <w:lang w:eastAsia="ru-RU"/>
              </w:rPr>
            </w:pPr>
          </w:p>
        </w:tc>
        <w:tc>
          <w:tcPr>
            <w:tcW w:w="2409" w:type="dxa"/>
          </w:tcPr>
          <w:p w14:paraId="389E1938" w14:textId="77777777" w:rsidR="00114775" w:rsidRPr="00DB5D0D" w:rsidRDefault="00114775" w:rsidP="00DB5D0D">
            <w:pPr>
              <w:spacing w:after="0" w:line="240" w:lineRule="auto"/>
              <w:jc w:val="both"/>
              <w:rPr>
                <w:color w:val="000000" w:themeColor="text1"/>
                <w:sz w:val="16"/>
                <w:szCs w:val="16"/>
                <w:lang w:eastAsia="ru-RU"/>
              </w:rPr>
            </w:pPr>
          </w:p>
        </w:tc>
        <w:tc>
          <w:tcPr>
            <w:tcW w:w="1701" w:type="dxa"/>
          </w:tcPr>
          <w:p w14:paraId="243A5056" w14:textId="77777777" w:rsidR="00114775" w:rsidRPr="00DB5D0D" w:rsidRDefault="00114775" w:rsidP="00DB5D0D">
            <w:pPr>
              <w:spacing w:after="0" w:line="240" w:lineRule="auto"/>
              <w:jc w:val="both"/>
              <w:rPr>
                <w:color w:val="000000" w:themeColor="text1"/>
                <w:sz w:val="16"/>
                <w:szCs w:val="16"/>
                <w:lang w:eastAsia="ru-RU"/>
              </w:rPr>
            </w:pPr>
          </w:p>
        </w:tc>
        <w:tc>
          <w:tcPr>
            <w:tcW w:w="1843" w:type="dxa"/>
          </w:tcPr>
          <w:p w14:paraId="6C28C8A8" w14:textId="77777777" w:rsidR="00114775" w:rsidRPr="00DB5D0D" w:rsidRDefault="00114775" w:rsidP="00DB5D0D">
            <w:pPr>
              <w:spacing w:after="0" w:line="240" w:lineRule="auto"/>
              <w:jc w:val="both"/>
              <w:rPr>
                <w:color w:val="000000" w:themeColor="text1"/>
                <w:sz w:val="16"/>
                <w:szCs w:val="16"/>
                <w:lang w:eastAsia="ru-RU"/>
              </w:rPr>
            </w:pPr>
          </w:p>
        </w:tc>
      </w:tr>
      <w:tr w:rsidR="007D5DF8" w:rsidRPr="00DB5D0D" w14:paraId="567DFDC1" w14:textId="77777777" w:rsidTr="007A1142">
        <w:tc>
          <w:tcPr>
            <w:tcW w:w="534" w:type="dxa"/>
          </w:tcPr>
          <w:p w14:paraId="62B6ABE3" w14:textId="77777777" w:rsidR="00114775" w:rsidRPr="00DB5D0D" w:rsidRDefault="00114775" w:rsidP="00DB5D0D">
            <w:pPr>
              <w:spacing w:after="0" w:line="240" w:lineRule="auto"/>
              <w:jc w:val="both"/>
              <w:rPr>
                <w:color w:val="000000" w:themeColor="text1"/>
                <w:sz w:val="16"/>
                <w:szCs w:val="16"/>
                <w:lang w:eastAsia="ru-RU"/>
              </w:rPr>
            </w:pPr>
          </w:p>
        </w:tc>
        <w:tc>
          <w:tcPr>
            <w:tcW w:w="2409" w:type="dxa"/>
          </w:tcPr>
          <w:p w14:paraId="14ED08FF" w14:textId="77777777" w:rsidR="00114775" w:rsidRPr="00DB5D0D" w:rsidRDefault="00114775" w:rsidP="00DB5D0D">
            <w:pPr>
              <w:spacing w:after="0" w:line="240" w:lineRule="auto"/>
              <w:jc w:val="both"/>
              <w:rPr>
                <w:color w:val="000000" w:themeColor="text1"/>
                <w:sz w:val="16"/>
                <w:szCs w:val="16"/>
                <w:lang w:eastAsia="ru-RU"/>
              </w:rPr>
            </w:pPr>
          </w:p>
        </w:tc>
        <w:tc>
          <w:tcPr>
            <w:tcW w:w="1701" w:type="dxa"/>
          </w:tcPr>
          <w:p w14:paraId="647ED6D5" w14:textId="77777777" w:rsidR="00114775" w:rsidRPr="00DB5D0D" w:rsidRDefault="00114775" w:rsidP="00DB5D0D">
            <w:pPr>
              <w:spacing w:after="0" w:line="240" w:lineRule="auto"/>
              <w:jc w:val="both"/>
              <w:rPr>
                <w:color w:val="000000" w:themeColor="text1"/>
                <w:sz w:val="16"/>
                <w:szCs w:val="16"/>
                <w:lang w:eastAsia="ru-RU"/>
              </w:rPr>
            </w:pPr>
          </w:p>
        </w:tc>
        <w:tc>
          <w:tcPr>
            <w:tcW w:w="1843" w:type="dxa"/>
          </w:tcPr>
          <w:p w14:paraId="71048C0F" w14:textId="77777777" w:rsidR="00114775" w:rsidRPr="00DB5D0D" w:rsidRDefault="00114775" w:rsidP="00DB5D0D">
            <w:pPr>
              <w:spacing w:after="0" w:line="240" w:lineRule="auto"/>
              <w:jc w:val="both"/>
              <w:rPr>
                <w:color w:val="000000" w:themeColor="text1"/>
                <w:sz w:val="16"/>
                <w:szCs w:val="16"/>
                <w:lang w:eastAsia="ru-RU"/>
              </w:rPr>
            </w:pPr>
          </w:p>
        </w:tc>
      </w:tr>
      <w:tr w:rsidR="007D5DF8" w:rsidRPr="00DB5D0D" w14:paraId="6789EAF0" w14:textId="77777777" w:rsidTr="007A1142">
        <w:tc>
          <w:tcPr>
            <w:tcW w:w="534" w:type="dxa"/>
          </w:tcPr>
          <w:p w14:paraId="3A7CBAF1"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 п/п</w:t>
            </w:r>
          </w:p>
        </w:tc>
        <w:tc>
          <w:tcPr>
            <w:tcW w:w="2409" w:type="dxa"/>
          </w:tcPr>
          <w:p w14:paraId="5E1C839E" w14:textId="77777777" w:rsidR="00114775" w:rsidRPr="00DB5D0D" w:rsidRDefault="00114775" w:rsidP="00DB5D0D">
            <w:pPr>
              <w:spacing w:after="0" w:line="240" w:lineRule="auto"/>
              <w:jc w:val="both"/>
              <w:rPr>
                <w:color w:val="000000" w:themeColor="text1"/>
                <w:sz w:val="16"/>
                <w:szCs w:val="16"/>
                <w:lang w:eastAsia="ru-RU"/>
              </w:rPr>
            </w:pPr>
          </w:p>
        </w:tc>
        <w:tc>
          <w:tcPr>
            <w:tcW w:w="1701" w:type="dxa"/>
          </w:tcPr>
          <w:p w14:paraId="06F23CF6"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Т-34</w:t>
            </w:r>
          </w:p>
        </w:tc>
        <w:tc>
          <w:tcPr>
            <w:tcW w:w="1843" w:type="dxa"/>
          </w:tcPr>
          <w:p w14:paraId="161966D0"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Т-7М</w:t>
            </w:r>
          </w:p>
        </w:tc>
      </w:tr>
      <w:tr w:rsidR="007D5DF8" w:rsidRPr="00DB5D0D" w14:paraId="3DBC6DE2" w14:textId="77777777" w:rsidTr="007A1142">
        <w:tc>
          <w:tcPr>
            <w:tcW w:w="534" w:type="dxa"/>
          </w:tcPr>
          <w:p w14:paraId="3106EDED"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1</w:t>
            </w:r>
          </w:p>
        </w:tc>
        <w:tc>
          <w:tcPr>
            <w:tcW w:w="2409" w:type="dxa"/>
          </w:tcPr>
          <w:p w14:paraId="71E276C9"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Тип</w:t>
            </w:r>
          </w:p>
        </w:tc>
        <w:tc>
          <w:tcPr>
            <w:tcW w:w="1701" w:type="dxa"/>
          </w:tcPr>
          <w:p w14:paraId="17F3E71F"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Гусеничный</w:t>
            </w:r>
          </w:p>
        </w:tc>
        <w:tc>
          <w:tcPr>
            <w:tcW w:w="1843" w:type="dxa"/>
          </w:tcPr>
          <w:p w14:paraId="02F64B89"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Колесно-гусеничный</w:t>
            </w:r>
          </w:p>
        </w:tc>
      </w:tr>
      <w:tr w:rsidR="007D5DF8" w:rsidRPr="00DB5D0D" w14:paraId="50C4403A" w14:textId="77777777" w:rsidTr="007A1142">
        <w:tc>
          <w:tcPr>
            <w:tcW w:w="534" w:type="dxa"/>
          </w:tcPr>
          <w:p w14:paraId="00D049E7"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2</w:t>
            </w:r>
          </w:p>
        </w:tc>
        <w:tc>
          <w:tcPr>
            <w:tcW w:w="2409" w:type="dxa"/>
          </w:tcPr>
          <w:p w14:paraId="51AFE262"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Марка двигателя</w:t>
            </w:r>
          </w:p>
        </w:tc>
        <w:tc>
          <w:tcPr>
            <w:tcW w:w="1701" w:type="dxa"/>
          </w:tcPr>
          <w:p w14:paraId="638C9DAC"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В-2</w:t>
            </w:r>
          </w:p>
        </w:tc>
        <w:tc>
          <w:tcPr>
            <w:tcW w:w="1843" w:type="dxa"/>
          </w:tcPr>
          <w:p w14:paraId="2489AD26"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В-2</w:t>
            </w:r>
          </w:p>
        </w:tc>
      </w:tr>
      <w:tr w:rsidR="007D5DF8" w:rsidRPr="00DB5D0D" w14:paraId="3819493B" w14:textId="77777777" w:rsidTr="007A1142">
        <w:tc>
          <w:tcPr>
            <w:tcW w:w="534" w:type="dxa"/>
          </w:tcPr>
          <w:p w14:paraId="13E0DE78"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3</w:t>
            </w:r>
          </w:p>
        </w:tc>
        <w:tc>
          <w:tcPr>
            <w:tcW w:w="2409" w:type="dxa"/>
          </w:tcPr>
          <w:p w14:paraId="34C35C90"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Полный боевой вес с экипажем</w:t>
            </w:r>
          </w:p>
        </w:tc>
        <w:tc>
          <w:tcPr>
            <w:tcW w:w="1701" w:type="dxa"/>
          </w:tcPr>
          <w:p w14:paraId="45C2D847"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25600</w:t>
            </w:r>
          </w:p>
        </w:tc>
        <w:tc>
          <w:tcPr>
            <w:tcW w:w="1843" w:type="dxa"/>
          </w:tcPr>
          <w:p w14:paraId="5EEFFF12"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14700</w:t>
            </w:r>
          </w:p>
        </w:tc>
      </w:tr>
      <w:tr w:rsidR="007D5DF8" w:rsidRPr="00DB5D0D" w14:paraId="32363887" w14:textId="77777777" w:rsidTr="007A1142">
        <w:tc>
          <w:tcPr>
            <w:tcW w:w="534" w:type="dxa"/>
          </w:tcPr>
          <w:p w14:paraId="3D1B214B"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4</w:t>
            </w:r>
          </w:p>
        </w:tc>
        <w:tc>
          <w:tcPr>
            <w:tcW w:w="2409" w:type="dxa"/>
          </w:tcPr>
          <w:p w14:paraId="54D91150"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Мощность на 1 тонну веса</w:t>
            </w:r>
          </w:p>
        </w:tc>
        <w:tc>
          <w:tcPr>
            <w:tcW w:w="1701" w:type="dxa"/>
          </w:tcPr>
          <w:p w14:paraId="267A0673"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19,5</w:t>
            </w:r>
          </w:p>
        </w:tc>
        <w:tc>
          <w:tcPr>
            <w:tcW w:w="1843" w:type="dxa"/>
          </w:tcPr>
          <w:p w14:paraId="32564232"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34</w:t>
            </w:r>
          </w:p>
        </w:tc>
      </w:tr>
      <w:tr w:rsidR="007D5DF8" w:rsidRPr="00DB5D0D" w14:paraId="13BBBFBF" w14:textId="77777777" w:rsidTr="007A1142">
        <w:tc>
          <w:tcPr>
            <w:tcW w:w="534" w:type="dxa"/>
          </w:tcPr>
          <w:p w14:paraId="65236E01"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5</w:t>
            </w:r>
          </w:p>
        </w:tc>
        <w:tc>
          <w:tcPr>
            <w:tcW w:w="2409" w:type="dxa"/>
          </w:tcPr>
          <w:p w14:paraId="1B4009D6" w14:textId="77777777" w:rsidR="00114775" w:rsidRPr="00DB5D0D" w:rsidRDefault="00114775" w:rsidP="00DB5D0D">
            <w:pPr>
              <w:spacing w:after="0" w:line="240" w:lineRule="auto"/>
              <w:jc w:val="both"/>
              <w:rPr>
                <w:color w:val="000000" w:themeColor="text1"/>
                <w:sz w:val="16"/>
                <w:szCs w:val="16"/>
                <w:lang w:eastAsia="ru-RU"/>
              </w:rPr>
            </w:pPr>
          </w:p>
        </w:tc>
        <w:tc>
          <w:tcPr>
            <w:tcW w:w="1701" w:type="dxa"/>
          </w:tcPr>
          <w:p w14:paraId="02C618AF"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4</w:t>
            </w:r>
          </w:p>
        </w:tc>
        <w:tc>
          <w:tcPr>
            <w:tcW w:w="1843" w:type="dxa"/>
          </w:tcPr>
          <w:p w14:paraId="04AD9F0F" w14:textId="77777777" w:rsidR="00114775" w:rsidRPr="00DB5D0D" w:rsidRDefault="00114775" w:rsidP="00DB5D0D">
            <w:pPr>
              <w:spacing w:after="0" w:line="240" w:lineRule="auto"/>
              <w:jc w:val="both"/>
              <w:rPr>
                <w:color w:val="000000" w:themeColor="text1"/>
                <w:sz w:val="16"/>
                <w:szCs w:val="16"/>
                <w:lang w:eastAsia="ru-RU"/>
              </w:rPr>
            </w:pPr>
            <w:r w:rsidRPr="00DB5D0D">
              <w:rPr>
                <w:color w:val="000000" w:themeColor="text1"/>
                <w:sz w:val="16"/>
                <w:szCs w:val="16"/>
                <w:lang w:eastAsia="ru-RU"/>
              </w:rPr>
              <w:t>3</w:t>
            </w:r>
          </w:p>
        </w:tc>
      </w:tr>
    </w:tbl>
    <w:p w14:paraId="24B7BCD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ТАКТИЧЕСКАЯ ХАРАКТЕРИСТИКА.</w:t>
      </w:r>
    </w:p>
    <w:p w14:paraId="37D3A8F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(Составленная для танка Т-34 в зимних условиях) </w:t>
      </w:r>
    </w:p>
    <w:p w14:paraId="4E0586F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ТЕХНИЧЕСКИЕ ДАННЫЕ.</w:t>
      </w:r>
    </w:p>
    <w:p w14:paraId="4517D70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 Двигатель </w:t>
      </w:r>
    </w:p>
    <w:p w14:paraId="3EA0CF7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 Главный фрикцион. </w:t>
      </w:r>
    </w:p>
    <w:p w14:paraId="3A44746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III. Коробка перемены передач. </w:t>
      </w:r>
    </w:p>
    <w:p w14:paraId="6F3281A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IV. Бортовые фрикционы. </w:t>
      </w:r>
    </w:p>
    <w:p w14:paraId="7FA42B7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V. Бортовая передача. </w:t>
      </w:r>
    </w:p>
    <w:p w14:paraId="5824921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VI. Гусеничное колесо. </w:t>
      </w:r>
    </w:p>
    <w:p w14:paraId="0E05E4D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VII. Гусеница. </w:t>
      </w:r>
    </w:p>
    <w:p w14:paraId="1329979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VIII. Поддерживающие колеса. </w:t>
      </w:r>
    </w:p>
    <w:p w14:paraId="3DA9B3F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IX. Ленивец </w:t>
      </w:r>
    </w:p>
    <w:p w14:paraId="32697CA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Х. Подвеска. </w:t>
      </w:r>
    </w:p>
    <w:p w14:paraId="13DF9A1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XI. Управление танком. </w:t>
      </w:r>
    </w:p>
    <w:p w14:paraId="0427172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XII. Броневой корпус. </w:t>
      </w:r>
    </w:p>
    <w:p w14:paraId="6AB0393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XIII. Электрооборудование. </w:t>
      </w:r>
    </w:p>
    <w:p w14:paraId="058FCB1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XIV. Средства связи. </w:t>
      </w:r>
    </w:p>
    <w:p w14:paraId="786F48E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XV. Контрольные приборы щитков водителя. </w:t>
      </w:r>
    </w:p>
    <w:p w14:paraId="604DE44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Противопожарное оборудование. </w:t>
      </w:r>
    </w:p>
    <w:p w14:paraId="273B173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Приспособления и инструмент возимый на машине. </w:t>
      </w:r>
    </w:p>
    <w:p w14:paraId="20F56A6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III. Выводы</w:t>
      </w:r>
    </w:p>
    <w:p w14:paraId="01FF9C5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1. Вооружение, боекомплект и приборы наблюдения.</w:t>
      </w:r>
    </w:p>
    <w:p w14:paraId="461E059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 Установка вооружения.</w:t>
      </w:r>
    </w:p>
    <w:p w14:paraId="08C9EE2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Установка 76 мм танковой пушки Л-11 в танке Т-34 предусматривает использование без изменений лишь следующих групп системы: </w:t>
      </w:r>
    </w:p>
    <w:p w14:paraId="45C1BBF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ствол, </w:t>
      </w:r>
    </w:p>
    <w:p w14:paraId="3454A0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противооткатные устройства, </w:t>
      </w:r>
    </w:p>
    <w:p w14:paraId="2DACFA1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подъемный механизм. </w:t>
      </w:r>
    </w:p>
    <w:p w14:paraId="6003CF4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Что же касается остальных групп, то в той или иной мере они подвергнуты изменениям, сводящимся к следующему: </w:t>
      </w:r>
    </w:p>
    <w:p w14:paraId="0D32A43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группе 02 – затвор.</w:t>
      </w:r>
    </w:p>
    <w:p w14:paraId="6AD397C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Упразднен механизм выключения полуавтоматики и ставится отсекатель ролика от системы Л-10. Изменение вызвано требованием разместить пулемет справа от орудия. </w:t>
      </w:r>
    </w:p>
    <w:p w14:paraId="527231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Подрезана рукоятка затвора на 20 мм для ликвидации упора руки в крышу башни. </w:t>
      </w:r>
    </w:p>
    <w:p w14:paraId="01EA088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группе 03 – спусковой механизм.</w:t>
      </w:r>
    </w:p>
    <w:p w14:paraId="0A56151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Ручной спуск предусмотрен другой и изменяется место его крепления, т.к. он на Л-11 расположен неудобно. </w:t>
      </w:r>
    </w:p>
    <w:p w14:paraId="2373B20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Ножной спуск в нижней части (педаль) использован от 45 мм танковой пушки с целью обеспечения спаренного спуска. </w:t>
      </w:r>
    </w:p>
    <w:p w14:paraId="2880A60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группе 05 – маска.</w:t>
      </w:r>
    </w:p>
    <w:p w14:paraId="6A6D09D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Маска поставлена совершенно другая вследствие требования спарки орудия пулеметом ДТ. Кронштейн телескопа используется от старой маски. Сектор подъемного механизма поставлен новый. </w:t>
      </w:r>
    </w:p>
    <w:p w14:paraId="741EF89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Гильзоулавливатель.</w:t>
      </w:r>
    </w:p>
    <w:p w14:paraId="6332E66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уменьшения поперечного габарита подрезан стопор гильзоулавливателя и предусмотрено новое крепление левого кронштейна, вследствие изменения маски. </w:t>
      </w:r>
    </w:p>
    <w:p w14:paraId="32BF11A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Рамка.</w:t>
      </w:r>
    </w:p>
    <w:p w14:paraId="671531F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Рамка системы Л-11 упразднена. Качающаяся часть системы монтируется в двух вертикальных стойках приваренных к передней части башни изнутри и заменяющих собой рамку. </w:t>
      </w:r>
    </w:p>
    <w:p w14:paraId="332BE6E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Бронировка.</w:t>
      </w:r>
    </w:p>
    <w:p w14:paraId="364692B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Бронировка маски новая и имеет толщину 20 мм. Лобовой лист – 15 мм. Бронировка усилена против существующей. </w:t>
      </w:r>
    </w:p>
    <w:p w14:paraId="4C76A1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Привод к перископу.</w:t>
      </w:r>
    </w:p>
    <w:p w14:paraId="7E2D588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Использован привод от 45 мм танковой пушки, т.к. заводу не был прислан привод от Л-11 с передачей 1:1. </w:t>
      </w:r>
    </w:p>
    <w:p w14:paraId="2CAA35C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Предъявленную установку пушки в башне в конструктивном отношении считать более совершенной по сравнению с рамочной установкой. Однако, в связи с тем, что данная установка не была проверена на прочность, необходимо в срочном порядке проверить установку отстрелом усиленным зарядом и обстрелом на полигоне. </w:t>
      </w:r>
    </w:p>
    <w:p w14:paraId="18DE853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Толщина бронировки орудия и лобового листа должна быть увеличена с целью обеспечить равнопрочность с листами башни. </w:t>
      </w:r>
    </w:p>
    <w:p w14:paraId="2BAA3C7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 Вертикальный обстрел.</w:t>
      </w:r>
    </w:p>
    <w:p w14:paraId="3CDF849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Наибольший угол возвышения определен 24°31'. Угол снижения на нос и на борта равен 2°30', а на корму всего 1°30'. Таким образом, наибольший угол склонения вкруговую равен 1°30'. </w:t>
      </w:r>
    </w:p>
    <w:p w14:paraId="65EF68E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угол возвышения довести до 30°, а угол снижения по ходу машины и на бортах довести до 5°, согласно тактико-технических требований. </w:t>
      </w:r>
    </w:p>
    <w:p w14:paraId="2C97648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 Удобство обслуживания.</w:t>
      </w:r>
    </w:p>
    <w:p w14:paraId="46F8018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Удобство и безопасность обслуживания орудия, вследствие исключительной тесноты в башне, неудовлетворительны. Для обеспечения удобства и свободной работы экипажа, башню необходимо расширить. Расширение башни произвести без изменения корпуса и наклона брони. </w:t>
      </w:r>
    </w:p>
    <w:p w14:paraId="33608A1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4) Механизмы наведения и приборы наводки.</w:t>
      </w:r>
    </w:p>
    <w:p w14:paraId="199F591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одновременной работе на подъемном и поворотном механизмах происходит задевание правой руки за левую. Необходимо устранить задевание рук путем перенесения подъемного механизма вправо. </w:t>
      </w:r>
    </w:p>
    <w:p w14:paraId="1129D06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Приборы наводки ТОД и ПТ-1 установлены неудовлетворительно: </w:t>
      </w:r>
    </w:p>
    <w:p w14:paraId="0C2CBB5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Невозможно пользоваться барабанчиком прицела ТОД. </w:t>
      </w:r>
    </w:p>
    <w:p w14:paraId="2B1C9E4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Нельзя установить державку налобника ТОД. </w:t>
      </w:r>
    </w:p>
    <w:p w14:paraId="03EFD15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Затруднен доступ к тяге ПТ-1. </w:t>
      </w:r>
    </w:p>
    <w:p w14:paraId="223E08F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Окуляры ПТ-1 и ТОД расположены не в одной плоскости к горизонту и не на одном удалении по отношению к стрелку. </w:t>
      </w:r>
    </w:p>
    <w:p w14:paraId="40EB8F5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Недостаточное расстояние между осью ТОД и щитком. </w:t>
      </w:r>
    </w:p>
    <w:p w14:paraId="27E7477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е) Маховик прицела ПТ-1 задевает за картер поворотного механизма башни. Необходимо переделать расположение прицелов, устранив перечисленные недостатки. </w:t>
      </w:r>
    </w:p>
    <w:p w14:paraId="6EAC620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Ножной спусковой механизм, по своему расположению крайне затрудняет пользование им. Необходимо ножной спуск сместить влево и опустить ниже, обеспечив производство спуска ногой в нормальном положении. </w:t>
      </w:r>
    </w:p>
    <w:p w14:paraId="663AD98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5) Смотровые приборы.</w:t>
      </w:r>
    </w:p>
    <w:p w14:paraId="7AB6EDA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Установленные на танке Т-34 смотровые приборы не обеспечивают наблюдения вождения танка. </w:t>
      </w:r>
    </w:p>
    <w:p w14:paraId="56C8C81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Смотровые приборы имеют большое ненаблюдаемое (мертвое) пространство. </w:t>
      </w:r>
    </w:p>
    <w:p w14:paraId="6FB0BD5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В зимних условиях не обеспечивают видимости, вследствие занесения снегом и грязью, запотеванием зеркал и стекол и их обледенения. </w:t>
      </w:r>
    </w:p>
    <w:p w14:paraId="6A5CD28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При стрельбе из пушки защитные стекла приборов лопаются. </w:t>
      </w:r>
    </w:p>
    <w:p w14:paraId="06046A5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При попадании 37 мм снаряда в башню все зеркала при первом выстреле вышли из строя. </w:t>
      </w:r>
    </w:p>
    <w:p w14:paraId="726F7BE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Смотровые приборы необходимо разработать заново, устранив перечисленные дефекты. Конструкция смотрового прибора на крыше башни не пригодна. Необходимо разработать новый смотровой прибор, обеспечивающий круговой обзор. </w:t>
      </w:r>
    </w:p>
    <w:p w14:paraId="39F0CB3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6) Укладка боеприпасов.</w:t>
      </w:r>
    </w:p>
    <w:p w14:paraId="65B0104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Предъявленная укладка патронов в полу танка в лотках неудовлетворительна: </w:t>
      </w:r>
    </w:p>
    <w:p w14:paraId="2E6C9EA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Даже при стрельбе с места исключительно затруднено вынимание лотков. </w:t>
      </w:r>
    </w:p>
    <w:p w14:paraId="18101F8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Крышки лотков не открываются без инструмента. </w:t>
      </w:r>
    </w:p>
    <w:p w14:paraId="3D95445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Крепление патронов двумя ремнями затрудняет вынимание и вкладывание патронов. </w:t>
      </w:r>
    </w:p>
    <w:p w14:paraId="226CC6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Вследствие этих дефектов боеукладки, а так же тесноты в башне, скорострельность пушки весьма низка – от 2-х до 4-х выстрелов в минуту. </w:t>
      </w:r>
    </w:p>
    <w:p w14:paraId="4200775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Боеукладку необходимо разработать заново. </w:t>
      </w:r>
    </w:p>
    <w:p w14:paraId="26EF897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Укладка магазинов для пулемета ДТ только в носовой части танка не обеспечивает нормального ведения огня из пулемета. Необходимо разработать укладку магазинов в башне и изменить их крепление, обеспечив удобство пользования ими. </w:t>
      </w:r>
    </w:p>
    <w:p w14:paraId="4E78946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7) Концентрация окиси углерода в башне.</w:t>
      </w:r>
    </w:p>
    <w:p w14:paraId="02E24A4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Величина концентрации СО в башне при работающем моторе после 10 выстрелов достигает 0,21 млг/м³, что можно считать допустимым. </w:t>
      </w:r>
    </w:p>
    <w:p w14:paraId="3E47456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Величина концентрации СО при выключенном моторе и вентиляторе после 10 выстрелов достигает 1,52 млг/м³, что является опасным для экипажа. </w:t>
      </w:r>
    </w:p>
    <w:p w14:paraId="4F3D62B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Вентиляцию башни необходимо улучшить за счет постановки более мощного вентилятора. </w:t>
      </w:r>
    </w:p>
    <w:p w14:paraId="010029F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8) Сбиваемость наводки и кучность стрельбы.</w:t>
      </w:r>
    </w:p>
    <w:p w14:paraId="7E55F63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Конструкция установки качающейся части системы дает большое сбивание наводки. Кучность при стрельбе по щиту на 1000 м. получена следующая: </w:t>
      </w:r>
    </w:p>
    <w:p w14:paraId="42D46D6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Вб = 0,50 м. </w:t>
      </w:r>
    </w:p>
    <w:p w14:paraId="6A752B4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Вв = 0,30 м. </w:t>
      </w:r>
    </w:p>
    <w:p w14:paraId="2C0A4B7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 БРОНЕВАЯ ЗАЩИТА ТАНКА.</w:t>
      </w:r>
    </w:p>
    <w:p w14:paraId="21FDD3B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А. СНАРЯДОСТОЙКОСТЬ КОРПУСА И БАШНИ.</w:t>
      </w:r>
    </w:p>
    <w:p w14:paraId="21AF27B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Толщина и углы наклона отдельных частей корпуса и башни: </w:t>
      </w:r>
    </w:p>
    <w:p w14:paraId="5794297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Увеличенная, сравнительно с танками существующих образцов, толщина брони и наклонное её расположение значительно повысили снарядостойкость танка Т-34. </w:t>
      </w:r>
    </w:p>
    <w:p w14:paraId="6A08AA9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Обстрел бортов башни и наклонного бортового листа корпуса 37 мм бронебойным снарядом танковой пушки выпуска 1940 г. производства Vaitior tykkiteday и 45 мм бронебойным снарядом 45 мм танковой пушки обр. 1934 г. с дистанции 100 метров показал, что данные листы бронебойным снарядом указанного калибра не пробиваются. </w:t>
      </w:r>
    </w:p>
    <w:p w14:paraId="6984C78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обстреле борта башни имели место: </w:t>
      </w:r>
    </w:p>
    <w:p w14:paraId="25E6949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Разрушение стекол и зеркал смотровых приборов башни, и отрыв налобника. </w:t>
      </w:r>
    </w:p>
    <w:p w14:paraId="19DFB1A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Трещина сварки по контуру бронировки смотрового прибора. </w:t>
      </w:r>
    </w:p>
    <w:p w14:paraId="35AE7DF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попадании в нижний обрез ниши башни имели место: </w:t>
      </w:r>
    </w:p>
    <w:p w14:paraId="0222B4E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1. Разрушение сварного шва и откол листа днища ниши. Осколки сварки и отколы брони днища ниши проникли в боевое отделение и поразили макет человека, помещенный на месте командира танка. </w:t>
      </w:r>
    </w:p>
    <w:p w14:paraId="08831C2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Срыв болтов захвата башни. </w:t>
      </w:r>
    </w:p>
    <w:p w14:paraId="28DAA41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Отрыв спинки сидения командира танка от погона. </w:t>
      </w:r>
    </w:p>
    <w:p w14:paraId="66D4B94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Заедание башни в погоне в результате деформации погона вмятин от шариков на поверхности беговой дорожки. Затрудненное вращение башни от мотора, было восстановлено без снятия башни; вращение вручную невозможно. </w:t>
      </w:r>
    </w:p>
    <w:p w14:paraId="09D450E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Снаряд в танк не проник. </w:t>
      </w:r>
    </w:p>
    <w:p w14:paraId="312FFB4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основании данных обстрела необходимо: </w:t>
      </w:r>
    </w:p>
    <w:p w14:paraId="18C741A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Увеличить толщину днища ниши башни до 20 мм. </w:t>
      </w:r>
    </w:p>
    <w:p w14:paraId="2F2DCD3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Улучшить качество сварных швов, исключив возможность поражения экипажа осколками сварки. </w:t>
      </w:r>
    </w:p>
    <w:p w14:paraId="0B26063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Устранить возможность заедания башни в погоне. </w:t>
      </w:r>
    </w:p>
    <w:p w14:paraId="4CC8C93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Пересмотреть конструкцию смотровых приборов, устранив возможность разрушения их при поражениях близлежащих участков брони. </w:t>
      </w:r>
    </w:p>
    <w:p w14:paraId="4DDC120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Усилить болты крепления захватов башни. </w:t>
      </w:r>
    </w:p>
    <w:p w14:paraId="0EAC889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6 – Поражения башни и борта 45 и 37 мм бронебойными снарядами. </w:t>
      </w:r>
    </w:p>
    <w:p w14:paraId="0C00A78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7 – Разрушение смотрового прибора и отрыв налобника при обстреле 37 мм бронебойным снарядом. </w:t>
      </w:r>
    </w:p>
    <w:p w14:paraId="1026BE8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Испытание снарядо-устойчивости корпуса и башни танка Т-34 является неполным и не дает достаточного представления о надежности броневой защиты жизненных центров танка. Необходимо провести дополнительный обстрел танка, обратив особое внимание на следующие узлы: </w:t>
      </w:r>
    </w:p>
    <w:p w14:paraId="39672F0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Крыши башни и корпуса при обстреле с возвышенностей. </w:t>
      </w:r>
    </w:p>
    <w:p w14:paraId="468338E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Днища при переваливании танка через вертикальные препятствия. </w:t>
      </w:r>
    </w:p>
    <w:p w14:paraId="332A628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Вертикальные бортовые листы и ходовая часть. </w:t>
      </w:r>
    </w:p>
    <w:p w14:paraId="7C1213B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Бронировка артсистемы. </w:t>
      </w:r>
    </w:p>
    <w:p w14:paraId="5C8AD19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Наряду с обстрелом из противотанковых пушек необходимо проверить защищенность танка от поражений крыши и днища связками гранат и днища и ходовой части противотанковыми минами. </w:t>
      </w:r>
    </w:p>
    <w:p w14:paraId="549812D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 ГЕРМЕТИЧНОСТЬ КОРПУСА И БАШНИ ПРИ ОБЛИВАНИИ ГОРЯЩИМИ ЖИДКОСТЯМИ.</w:t>
      </w:r>
    </w:p>
    <w:p w14:paraId="691741F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Защита от проникновения горящих жидкостей осуществлена на танке Т-34 посредством: </w:t>
      </w:r>
    </w:p>
    <w:p w14:paraId="3C4A1FE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Наружной бронировки крыши корпуса и откидной сетки над трансмиссионным люком. </w:t>
      </w:r>
    </w:p>
    <w:p w14:paraId="02B6E13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Управляемых изнутри танка надрадиаторных и надтрансмиссионных жалюзи. </w:t>
      </w:r>
    </w:p>
    <w:p w14:paraId="3CEA13C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Отбуртовки карманов над радиаторами. </w:t>
      </w:r>
    </w:p>
    <w:p w14:paraId="7B069B1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Уплотнения люков и жалюзи. </w:t>
      </w:r>
    </w:p>
    <w:p w14:paraId="4779406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Помимо этого, преобладание наклонных листов корпуса и башни и отсутствие выступающих частей на наружной поверхности танка, предполагает быстрое сливание горящей жидкости. Углубление в передней части наружной крыши корпуса, являющееся ловушкой для бросаемых снаружи предметов, является в этом отношении исключением. </w:t>
      </w:r>
    </w:p>
    <w:p w14:paraId="11A8E1A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забрасывании танка с работающим двигателем отдельными бутылками с бензином получены следующие результаты: </w:t>
      </w:r>
    </w:p>
    <w:p w14:paraId="16E6620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При попадании горящей жидкости на маску артсистемы, переднюю часть погона башни и на крышу люка водителя пламя и жидкость проникают в боевое отделение и отделение управления, что влечет к поражению экипажа и может явиться причиной возникновения пожара. </w:t>
      </w:r>
    </w:p>
    <w:p w14:paraId="1F4C22A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При закрытых надрадиаторных жалюзи, от забрасывания на крышу башни отдельных бутылок с бензином, проникновения пламени в моторное отделение и прямого влияния на работу двигателя – не отмечено. Необходимо отметить, что длительное (свыше 3 – 5 мин.) движение танка с закрытыми жалюзи в летних условиях невозможно, вследствие быстрого перегрева двигателя. Управление жалюзи неудовлетворительно, т.к. требует значительных затрат времени и усилий. </w:t>
      </w:r>
    </w:p>
    <w:p w14:paraId="46DB292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При открытых надрадиаторных жалюзи, попадание одной бутылки с бензином имеет следствием воспламенение масла в воздухоочистителе, что при малых оборотах может повлечь к остановке двигателя. Горение масла в воздухоочистителе влечет за собой: </w:t>
      </w:r>
    </w:p>
    <w:p w14:paraId="60C6A2F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Прогорание сетки в раструбе всасывающих коллекторов. </w:t>
      </w:r>
    </w:p>
    <w:p w14:paraId="3F67E4B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Прогорание резиновых соединений раструба с коллекторами. </w:t>
      </w:r>
    </w:p>
    <w:p w14:paraId="0FBDC5F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Расплавление сот радиаторов. </w:t>
      </w:r>
    </w:p>
    <w:p w14:paraId="7E5FDF1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Прогорание дюритов верхней соединительной трубки радиаторов. </w:t>
      </w:r>
    </w:p>
    <w:p w14:paraId="3EFE005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Прогорание прокладок штуцеров форсунок двигателя. </w:t>
      </w:r>
    </w:p>
    <w:p w14:paraId="31610AF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Перечисленные дефекты выводят танк из строя. </w:t>
      </w:r>
    </w:p>
    <w:p w14:paraId="72EE600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Защита танка от проникновения горящей жидкости неудовлетворительна. </w:t>
      </w:r>
    </w:p>
    <w:p w14:paraId="3DE6AC2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8 – Забрасывание бутылками с горящим бензином носовой части танка. </w:t>
      </w:r>
    </w:p>
    <w:p w14:paraId="55675C9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9 – Забрасывание бутылками с горящим бензином крыши корпуса. </w:t>
      </w:r>
    </w:p>
    <w:p w14:paraId="7958C3F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обеспечить от поражения горящей жидкостью экипаж путем увеличения герметичности погона башни, люков и смотровых приборов. </w:t>
      </w:r>
    </w:p>
    <w:p w14:paraId="5D626E6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защиты от повреждения двигателя и систем охлаждения, питания и смазки следует: </w:t>
      </w:r>
    </w:p>
    <w:p w14:paraId="24338FD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Обеспечить быстрое и легкое управление надрадиаторными жалюзи. </w:t>
      </w:r>
    </w:p>
    <w:p w14:paraId="6921D3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Разработать дополнительную защиту карманов над радиаторами. </w:t>
      </w:r>
    </w:p>
    <w:p w14:paraId="51C3FE8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Ввести негорящий заменитель масла в воздухоочистителе. </w:t>
      </w:r>
    </w:p>
    <w:p w14:paraId="670956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Ввести огнестойкие соединения и прокладки системы охлаждения и питания. </w:t>
      </w:r>
    </w:p>
    <w:p w14:paraId="6C508F1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Углубление на наружной крыше под нишей башни защитить от попадания бросаемых снаружи предметов. </w:t>
      </w:r>
    </w:p>
    <w:p w14:paraId="698EFCD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 ВНЕШНЯЯ И ВНУТРЕННЯЯ СВЯЗЬ.</w:t>
      </w:r>
    </w:p>
    <w:p w14:paraId="2D868BA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Вопрос внешней связи разрешен в танке Т-34 неудовлетворительно. </w:t>
      </w:r>
    </w:p>
    <w:p w14:paraId="1DA8BE2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Установленная на танке радиостанция 71-ТК-3 не удовлетворяет требованиям, предъявленным к танковым радиостанциям по причинам больших габаритов аппаратуры, сложности в управлении и необеспеченности отстройки рации на мешающее действие. </w:t>
      </w:r>
    </w:p>
    <w:p w14:paraId="6D934C8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Размещение рации в ниши башни танка, при наличии специального места для стрелка-радиста в носовой части, нецелесообразно, т.к. в этом случае радист не может быть использован по назначению, а командир танка должен выполнять работу радиста в ущерб своей основной работе. Помимо этого, при поднятом гильзоулавливателе, управление передатчиком командиром танка не может быть осуществлено и требует помощи заряжающего. </w:t>
      </w:r>
    </w:p>
    <w:p w14:paraId="46ECEFD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Установка радиостанции в нише башни противоречит тактико-техническим требованиям. </w:t>
      </w:r>
    </w:p>
    <w:p w14:paraId="0ABA593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перенести радиостанцию из ниши башни в предназначенное для неё место в носовой части танка. Одновременно следует поставить перед УСКА и промышленностью вопрос о скорейшей замене радиостанции 71-ТК-3 новым образцом танковой радиостанции уменьшенных габаритов, обеспечивающим надежную связь. </w:t>
      </w:r>
    </w:p>
    <w:p w14:paraId="29FE20E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Внутренняя связь в танке Т-34 осуществлена посредством ТПУ-2 (командир танка – водитель). Работу ТПУ как на месте, так и в движении танка, следует считать удовлетворительной. </w:t>
      </w:r>
    </w:p>
    <w:p w14:paraId="153FEF3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связи с переносом радиостанции из башни в носовую часть, необходимо на танках Т-34 в дальнейшем устанавливать ТПУ-3 (командир – радист – водитель) с соответствующим изменением ВКУ. </w:t>
      </w:r>
    </w:p>
    <w:p w14:paraId="50C7FF0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4. ПРОХОДИМОСТЬ.</w:t>
      </w:r>
    </w:p>
    <w:p w14:paraId="238F42F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Основные данные, определяющие проходимость танка Т-34: </w:t>
      </w:r>
    </w:p>
    <w:p w14:paraId="4A083FD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Боевой вес – 25,6 тн. </w:t>
      </w:r>
    </w:p>
    <w:p w14:paraId="3985F39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Удельное давление – 0,60 кг/см² </w:t>
      </w:r>
    </w:p>
    <w:p w14:paraId="62DEFBE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База – 5219,3 мм. </w:t>
      </w:r>
    </w:p>
    <w:p w14:paraId="1F7316D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Высота зацепа – 650 мм. </w:t>
      </w:r>
    </w:p>
    <w:p w14:paraId="1D4070A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Мощность на 1 тн. веса – 19,5 л.с./тн. </w:t>
      </w:r>
    </w:p>
    <w:p w14:paraId="4C2F81A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Естественные препятствия.</w:t>
      </w:r>
    </w:p>
    <w:p w14:paraId="558CBCB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Предельные подъемы и косогоры преодолеваемые танком на низких передачах в зимних и весенних условиях: </w:t>
      </w:r>
    </w:p>
    <w:p w14:paraId="1331111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Короткие (2 – 3 мтр.) местные подъемы крутизной до 20° в весенних условиях преодолеваются танком Т-34 на 2-й передаче. Преодоление подъемов и косогоров в зимних и весенних условиях лимитируются для танка Т-34 сцепными качествами гусениц с грунтом и, в зимне-весенних условиях, являются недостаточными. Необходимо срочно разработать приспособление, повышающее сцепление гусениц с грунтом – шпоры или зимние траки. </w:t>
      </w:r>
    </w:p>
    <w:p w14:paraId="5C69CAA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Случаев сваливания или заклинивания гусениц за все время испытаний не отмечено. Фиксацию гусеницы следует считать надежной. </w:t>
      </w:r>
    </w:p>
    <w:p w14:paraId="618FD84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Преодоление трудно проходимых участков: </w:t>
      </w:r>
    </w:p>
    <w:p w14:paraId="66683E4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Проходимость танка Т-34 на снежной целине значительно выше проходимости танка БТ-7М, и может быть признана хорошей. </w:t>
      </w:r>
    </w:p>
    <w:p w14:paraId="482A35F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Проходимость танка Т-34 на заболоченных после таяния снега участках – удовлетворительная. </w:t>
      </w:r>
    </w:p>
    <w:p w14:paraId="1665D89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10 – Танк преодолевает снежный занос глубиной до 1.5 мтр. </w:t>
      </w:r>
    </w:p>
    <w:p w14:paraId="5C33F79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11 – Танк преодолевает заболоченную, после таяния снега, лощину. </w:t>
      </w:r>
    </w:p>
    <w:p w14:paraId="50AE660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Ломка отдельных деревьев и движение в лесу. </w:t>
      </w:r>
    </w:p>
    <w:p w14:paraId="4D8CCBE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Преодоление танком Т-34 отдельных деревьев: </w:t>
      </w:r>
    </w:p>
    <w:p w14:paraId="2D77EB1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ломке отдельных деревьев танк, повалив дерево, продолжает движение вперед, преодолевая вывороченные корни, ствол и ветви дерева. </w:t>
      </w:r>
    </w:p>
    <w:p w14:paraId="6C836AD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Максимальной толщиной преодолеваемого танком на 2-й передаче дерева (сосны) является 600 – 700 мм. На 3-й передаче (динамически) танк Т-34 ломает сосны до 900 мм. толщиной. </w:t>
      </w:r>
    </w:p>
    <w:p w14:paraId="08A7640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12 – Танк сломал сосну Ø 879 мм на 3-й передаче. </w:t>
      </w:r>
    </w:p>
    <w:p w14:paraId="18B4F57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13 – Танк переходит через поваленные деревья. </w:t>
      </w:r>
    </w:p>
    <w:p w14:paraId="71390A4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Группы деревьев: </w:t>
      </w:r>
    </w:p>
    <w:p w14:paraId="344B326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Танк Т-34 преодолевает тесно стоящие группы деревьев (сосны) Ø 250 – 450 мм после 4 – 5 попыток и проходит вперед через поваленные деревья. </w:t>
      </w:r>
    </w:p>
    <w:p w14:paraId="43D9B50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Движение в лесу: </w:t>
      </w:r>
    </w:p>
    <w:p w14:paraId="12034B1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Танк Т-34 может двигаться на 1-й и 2-й передачах по лесным участкам средней густоты с преобладающей толщиной деревьев 200 – 300 мм. </w:t>
      </w:r>
    </w:p>
    <w:p w14:paraId="2364F1B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Танк Т-34 обладает хорошей проходимостью при преодолении лесных участков, групп деревьев и отдельных деревьев значительно превышая по этому показателю танк БТ-7М. </w:t>
      </w:r>
    </w:p>
    <w:p w14:paraId="72991DE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Прочность танка в целом достаточная. Наиболее слабыми, подлежащими усилению, местами танка являются: </w:t>
      </w:r>
    </w:p>
    <w:p w14:paraId="771D9B8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Смотровые приборы. </w:t>
      </w:r>
    </w:p>
    <w:p w14:paraId="45E5990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Привод жалюзи. </w:t>
      </w:r>
    </w:p>
    <w:p w14:paraId="142CD14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Подъемный механизм системы Л-11. </w:t>
      </w:r>
    </w:p>
    <w:p w14:paraId="16645C1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Помимо этого необходимо обеспечить экипаж от травм при ударах танка в дерево, путем устранения острых углов и других выступающих предметов, введения мягких обшивок (главным образом около головы) и рукояток для "распора" руками. </w:t>
      </w:r>
    </w:p>
    <w:p w14:paraId="232CCD8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14 – Танк преодолевает группу сосен ØØ 255 – 416 мм. </w:t>
      </w:r>
    </w:p>
    <w:p w14:paraId="08D53C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15 – Танк проходит по дубовому лесу с преобладающим ØØ деревьев 200 – 300 мм. </w:t>
      </w:r>
    </w:p>
    <w:p w14:paraId="778D949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16 – МЗП намотавшееся на гусеницы танка. Танк подвижность сохранил. </w:t>
      </w:r>
    </w:p>
    <w:p w14:paraId="0D89A98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Искусственные препятствия.</w:t>
      </w:r>
    </w:p>
    <w:p w14:paraId="7538E5D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МПЗ. Танк преодолевает участок МЗП 10×40 мтр. на 3-й передаче, причем вся проволока наматывается на ходовую часть. Танк сохраняет полную подвижность и по мере дальнейшего движения частично освобождается от намотавшейся проволоки. </w:t>
      </w:r>
    </w:p>
    <w:p w14:paraId="22D5A45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Характерным повреждением является смятие задних грязевых щитков. </w:t>
      </w:r>
    </w:p>
    <w:p w14:paraId="790DC18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5. Эксплоатационные возможности танков Т-34 в зимних и весенних условиях.</w:t>
      </w:r>
    </w:p>
    <w:p w14:paraId="1FC5DC1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 время испытаний линейными пробегами пройдено: </w:t>
      </w:r>
    </w:p>
    <w:p w14:paraId="0499310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Средние скорости движения, в указанных дорожных условиях получены следующие: </w:t>
      </w:r>
    </w:p>
    <w:p w14:paraId="03F9B44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Большая разность между средними скоростями чистого движения и средней технической скоростью объясняется длительными задержками, происходившими за время пробега Харьков – Москва – Харьков, по причине поломок и замены: масляной помпы, вентилятора, покоробленных дисков главного фрикциона и т.д. </w:t>
      </w:r>
    </w:p>
    <w:p w14:paraId="1D84E0A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Передаточные отношения коробки перемены передач подобраны правильно, увеличение средней скорости чистого движения может идти только за счет увеличения мощности мотора. </w:t>
      </w:r>
    </w:p>
    <w:p w14:paraId="0DAA511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Окончательную оценку по скоростям движения можно дать только после дополнительных испытаний в летних условиях. </w:t>
      </w:r>
    </w:p>
    <w:p w14:paraId="59F68A1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Расход горючего и масла: </w:t>
      </w:r>
    </w:p>
    <w:p w14:paraId="621C9C4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Большие расходы горючего по целине объясняются особо тяжелыми условиями движения по грунту, покрытому снегом от 0,5 ÷ 1 мера и выше, с большой перегрузкой мотора. В отдельных случаях, благодаря течи масла из масляной системы, расход масла был значительно выше. </w:t>
      </w:r>
    </w:p>
    <w:p w14:paraId="7EA4164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Запас хода. </w:t>
      </w:r>
    </w:p>
    <w:p w14:paraId="77F85E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различных дорожных условиях запас хода по горючему и маслу колеблется: </w:t>
      </w:r>
    </w:p>
    <w:p w14:paraId="0E5D1F4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горючему: </w:t>
      </w:r>
    </w:p>
    <w:p w14:paraId="2585C78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По шоссе, почти свободному от снега, запас хода достаточен. </w:t>
      </w:r>
    </w:p>
    <w:p w14:paraId="18444CA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По целине запас хода обеспечивает суточный переход, учитывая, что в тяжелых дорожных условиях, движение в основном происходило на 2-й передаче со скоростями движения 11 – 15 клм/час. </w:t>
      </w:r>
    </w:p>
    <w:p w14:paraId="0F3C740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целях обеспечения более длительных переходов необходимо предусмотреть возможность размещения и наличия четырех запасных баков по бортам, емкостью по 50 литров каждый. </w:t>
      </w:r>
    </w:p>
    <w:p w14:paraId="1D3B616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маслу: </w:t>
      </w:r>
    </w:p>
    <w:p w14:paraId="0A1526E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Запас хода достаточен. </w:t>
      </w:r>
    </w:p>
    <w:p w14:paraId="68824E5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Запас хода по обслуживанию: </w:t>
      </w:r>
    </w:p>
    <w:p w14:paraId="6A05864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 танков Т-34 в зимних условиях определяется смазкой главного и бортовых фрикционов через 350 клм, т.е. не лимитирует движения. </w:t>
      </w:r>
    </w:p>
    <w:p w14:paraId="70FD1D9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Запас хода по утомляемости водителя: </w:t>
      </w:r>
    </w:p>
    <w:p w14:paraId="39662FB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 счет имеющегося сервоуправления, не лимитирует безостановочного движения и суточного перехода. </w:t>
      </w:r>
    </w:p>
    <w:p w14:paraId="20410F9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Безостановочные суточные переходы совершались до 200 клм по шоссе, местами покрытому льдом и снегом. </w:t>
      </w:r>
    </w:p>
    <w:p w14:paraId="7AFFEF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Безостановочные переходы ограничивались необходимостью ремонта, поврежденных в результате длительного движения деталей и механизмов, как-то замена трубок сервоаппаратуры, замена покоробленных дисков, масляной помпы и т.д. </w:t>
      </w:r>
    </w:p>
    <w:p w14:paraId="479C33D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Суточные переходы ограничивались необходимостью обеспечения текущего ремонта машин и представления нормального отдыха экипажу. </w:t>
      </w:r>
    </w:p>
    <w:p w14:paraId="4E7DC2C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устранении указанных комиссией дефектов, безостановочный пробег в зимних условиях будет лимитироваться запасом горючего. </w:t>
      </w:r>
    </w:p>
    <w:p w14:paraId="49A5456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Температурный режим. </w:t>
      </w:r>
    </w:p>
    <w:p w14:paraId="64651BD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 время проведенных, в зимнее время, испытаний (при температуре окружающего воздуха от –16° до –0,4°С), температурный режим работы двигателя был удовлетворителен. </w:t>
      </w:r>
    </w:p>
    <w:p w14:paraId="15EB197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регулировки температурного режима, от переохлаждения двигателя, достаточно было только одних трансмиссионных жалюзей. </w:t>
      </w:r>
    </w:p>
    <w:p w14:paraId="773CFA2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полной оценки температурного режима работы двигателя и движения в боевом положении необходимы дополнительные испытания в летних условиях. </w:t>
      </w:r>
    </w:p>
    <w:p w14:paraId="79561AD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6. Обслуживание танка Т-34.</w:t>
      </w:r>
    </w:p>
    <w:p w14:paraId="77506E1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Заправка водой. </w:t>
      </w:r>
    </w:p>
    <w:p w14:paraId="639B526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Рабочая емкость водяной системы 90 – 95 литров. Время на заправку 24 минуты. Дозаправка перед каждым выездом. </w:t>
      </w:r>
    </w:p>
    <w:p w14:paraId="58B5E7C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Заправка горючим. </w:t>
      </w:r>
    </w:p>
    <w:p w14:paraId="5588ADE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Сорт горючего – гайзоль "Э", уд. вес 0,876 или "ДТ". На танке Т-34 смонтировано 6 баков, общей емкостью 465 литров. Время на заправку всех баков 72 минуты. Конструктивное оформление баков и технология их изготовления не обеспечивают надежности (во время испытаний баки систематически текли). Малое сечение трубки, соединяющей кормовые баки, вызывает необходимость производить заправку каждого бака в отдельности. Пробки баков смещены по отношению к отверстиям брони, что затрудняет заправку баков. Не предусмотрено подсоединение шланга к спусковым пробкам для слива горючего. </w:t>
      </w:r>
    </w:p>
    <w:p w14:paraId="7783779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Общая штанга для замера горючего и масла не обеспечивает удобного пользования ею. Уплотнение спускных пробок ненадежно. Штуцера трубопроводов к бакам не обеспечивают надежного подсоединения. Отсутствует возможность пломбировки баков. </w:t>
      </w:r>
    </w:p>
    <w:p w14:paraId="0990AAF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Без устранения отмеченных недостатков система питания горючим в эксплоатации ненадежна и требует много времени для заправки и ухода. </w:t>
      </w:r>
    </w:p>
    <w:p w14:paraId="0DFA780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Смазка – объем заправки двух масляных баков 75 – 80 литров. Время на заправку холодного масла 2 ч 40 мин., подогретого до 50° 1 час 10 мин. Заправка и проверка уровня масла связана с большими демонтажными работами (снятие бортовых карманов). Большая несоосность заливных отверстий с лючками броневого лючка крыши. Баки в эксплоатации ненадежны (текут). Отсутствие перекрывных кранов между баками не обеспечивает возможности работы на одном баке, в случае выхода из строя второго бака. </w:t>
      </w:r>
    </w:p>
    <w:p w14:paraId="5CDC73C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Трубопровод, соединяющий картер мотора с атмосферным трубопроводом баков ненадежен в эксплоатации. Отсутствие меток положения крана "бак-радиатор" не дает возможности ориентироваться водителю при перекрывании крана. </w:t>
      </w:r>
    </w:p>
    <w:p w14:paraId="10523FB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Крышки лючков над пробками масляных баков сделать откидными на шарнирах. </w:t>
      </w:r>
    </w:p>
    <w:p w14:paraId="3E63C9B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Смазка механизмов танка.</w:t>
      </w:r>
    </w:p>
    <w:p w14:paraId="153F4B9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Коробка перемены передач – сорт смазки "МД" – количество 11 литров. Время на заправку – 15 минут. Смена смазки производилась через 1000 км. </w:t>
      </w:r>
    </w:p>
    <w:p w14:paraId="3843202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2) Главный фрикцион – сорт смазки – консталин. Время на смазку 2-х точек – 18 минут. Смазка производилась через 250 – 300 км. </w:t>
      </w:r>
    </w:p>
    <w:p w14:paraId="0235DC5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Доступ к масленкам затруднителен. Масленки МТК малопроизводительны. Необходимо заменить на более производительные. </w:t>
      </w:r>
    </w:p>
    <w:p w14:paraId="675239A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Бортовые фрикционы – сорт смазки – консталин. Время на смазку 4-х точек 1 час 20 мин. Смазка производилась через 300 – 400 км. Большое количество времени на заправку затрачивается вследствие малопроизводительных масленок и затруднительного доступа к масленке для смазки сферического подшипника. Эту точку смазки необходимо перенести в более доступное место. </w:t>
      </w:r>
    </w:p>
    <w:p w14:paraId="587AFC9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Бортовая передача. Сорт смазки – консталин с "МД". Количество 3,6 кг. Время 1 час 20 мин. Смена смазки через 750 – 800 км. Точка смазки расположена неудобно. Необходимо перенести на картер бортовой передачи, предусмотрев возможность их пломбировки. </w:t>
      </w:r>
    </w:p>
    <w:p w14:paraId="0139D2F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Масляный бак компрессора – Сорт смазки "МД", количество 2 литра. Дозаправка через 500 км. Время на заправку 10 мин. Воздушная трубка бачок-компрессор ненадежная (ломалась). Все трубопроводы компрессора заменить на стальные. </w:t>
      </w:r>
    </w:p>
    <w:p w14:paraId="225E8BC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Ходовая часть – сорт смазки – солидол. Число точек 33. Периодичность смазки 1000 км. Время на смазку 3 ч. 45 мин. Доступ к точкам смазки удобен. </w:t>
      </w:r>
    </w:p>
    <w:p w14:paraId="2025CA9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Время очень велико, вследствие малой производительности масленок МТК, которые необходимо заменить на более производительные. Необходимо улучшить доступ смазки к наружным втулкам балансиров. </w:t>
      </w:r>
    </w:p>
    <w:p w14:paraId="64D9815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Сорта смазки сократить до 2-х. </w:t>
      </w:r>
    </w:p>
    <w:p w14:paraId="0742F80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4. Регулировка механизмов танка.</w:t>
      </w:r>
    </w:p>
    <w:p w14:paraId="2F32D10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Регулировка главного фрикциона производилась при замене дисков, вследствие их коробления. При надежной работе дисков главный фрикцион в эксплоатации не требует регулировки. </w:t>
      </w:r>
    </w:p>
    <w:p w14:paraId="4B88FBB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Бортовые фрикционы за время испытаний не регулировались. Работали надежно. </w:t>
      </w:r>
    </w:p>
    <w:p w14:paraId="612E5C7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Тормозные ленты регулировались через 500 км и работали надежно. </w:t>
      </w:r>
    </w:p>
    <w:p w14:paraId="4A9E6D7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Подвеска не регулировалась. </w:t>
      </w:r>
    </w:p>
    <w:p w14:paraId="3ADB44F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Натяжение гусеницы на танке с механизмом стержневого натяжения (смонтированного на борту корпуса) в эксплоатации удобно. Время, затрачиваемое на натяжение 2-х гусениц одним человеком 20 мин. </w:t>
      </w:r>
    </w:p>
    <w:p w14:paraId="08F117B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Натяжение гусеницы с червячным механизмом в эксплоатации неудобно. Время, затрачиваемое на натяжение 2-х гусениц тремя человеками 40 мин. </w:t>
      </w:r>
    </w:p>
    <w:p w14:paraId="242871F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Принять вариант с механизмом стержневого натяжения (предварительным испытанием его на прочность). Для удобного натяжения гусениц сделать специальный ключ-трещетку. </w:t>
      </w:r>
    </w:p>
    <w:p w14:paraId="3EAA104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Обеспечить плотное закрывание жалюзи, надежность работы закрывающего механизма и предусмотреть возможность фиксации жалюзи изнутри танка в любом положении. </w:t>
      </w:r>
    </w:p>
    <w:p w14:paraId="1D3FB9C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Перечисленные механизмы в зимних условиях по регулировке обеспечивают эксплоатацию танка надежно. </w:t>
      </w:r>
    </w:p>
    <w:p w14:paraId="30C5F6E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Максимальный безостановочный пробег танка в зимних условиях по обслуживанию не лимитируется. </w:t>
      </w:r>
    </w:p>
    <w:p w14:paraId="359DFB4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5. Буксировка танка.</w:t>
      </w:r>
    </w:p>
    <w:p w14:paraId="08BE645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Как по мощности мотора, так и по сцеплению с грунтом буксировка танка танком на тяжелых снежных участках возможна на I-й и II-й скорости, по хорошей дороге на III-й скорости. Буксировка на подъемах не производилась. По сравнению с трактором "Ворошиловец" буксирные качества танка Т-34 значительно выше. </w:t>
      </w:r>
    </w:p>
    <w:p w14:paraId="0B1CD76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обеспечения возможности взятия на буксир танка в боевой обстановке имеется донный люк-лаз. </w:t>
      </w:r>
    </w:p>
    <w:p w14:paraId="6C80EDF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Трактор "Ворошиловец" на тяжелых снежных участках и обледенелом грунте не может буксировать танк Т-34. </w:t>
      </w:r>
    </w:p>
    <w:p w14:paraId="29365BF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Буксирные приспособления танка имеют следующие недостатки: </w:t>
      </w:r>
    </w:p>
    <w:p w14:paraId="257241B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Рымы не обеспечивают быстрого и удобного взятия танка на буксир. </w:t>
      </w:r>
    </w:p>
    <w:p w14:paraId="2B50959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Буксирные троса ненадежны (рвутся). </w:t>
      </w:r>
    </w:p>
    <w:p w14:paraId="4D86FEC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w:t>
      </w:r>
    </w:p>
    <w:p w14:paraId="4EE99C2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В целях удобного и быстрого взятия танка на буксир, рымы сделать более свободными с установкой на них крюков. </w:t>
      </w:r>
    </w:p>
    <w:p w14:paraId="73180E9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Увеличить сечение буксирных тросов. </w:t>
      </w:r>
    </w:p>
    <w:p w14:paraId="7CF44D7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К кормовой части танка установить буксирный крюк для буксировки артсистемы. </w:t>
      </w:r>
    </w:p>
    <w:p w14:paraId="434D627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6. Ремонт танка в полевых условиях.</w:t>
      </w:r>
    </w:p>
    <w:p w14:paraId="0AC84A8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танках Т-34 в полевых условиях, силами экипажа и имеющимся на танке инструментом можно производить следующие ремонты: </w:t>
      </w:r>
    </w:p>
    <w:p w14:paraId="40DFCCD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Замену всех агрегатов движителя (ведущее колесо, ленивец, поддерживающие колеса, гусеничную ленту, балансиры). </w:t>
      </w:r>
    </w:p>
    <w:p w14:paraId="64C2765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Замену тормозных лент. </w:t>
      </w:r>
    </w:p>
    <w:p w14:paraId="134231A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Замену радиаторов и маслобаков. </w:t>
      </w:r>
    </w:p>
    <w:p w14:paraId="6D77DC4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Замену трубопроводов водосистемы, маслосистемы и системы питания горючим. </w:t>
      </w:r>
    </w:p>
    <w:p w14:paraId="2A49D53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Замену стартера. </w:t>
      </w:r>
    </w:p>
    <w:p w14:paraId="6D84DDD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Замену прокладок головки дизеля. </w:t>
      </w:r>
    </w:p>
    <w:p w14:paraId="1D406D6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Замену топливного насоса. </w:t>
      </w:r>
    </w:p>
    <w:p w14:paraId="4BB20E0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обеспечения замены в полевых условиях, силами экипажа, задних топливных баков, вентилятора, главного фрикциона, компрессора и всех тяг приводов управления необходимо кормовой лист сделать на петлях (откидывающимся). Конструкцию угольников под коробкой перемены передач сделать такими, чтобы обеспечить возможность поворачивания коробки не демонтирую ее от бортовой передачи. Поперечную перегородку жалюзи сделать откидной. </w:t>
      </w:r>
    </w:p>
    <w:p w14:paraId="08D0842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целях сохранения резьбовых соединений в броневом кормовом листе, обеспечить демонтаж выхлопных труб, не снимая броневых колпаков. </w:t>
      </w:r>
    </w:p>
    <w:p w14:paraId="42697CD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обеспечения освоения в войсках материальной части танка Т-34, эксплоатации и обслуживания его, необходимо издать в 1940 году "Руководство службы танка Т-34" и инструкцию по обслуживанию, прилагаемую к каждому танку с первой серии. </w:t>
      </w:r>
    </w:p>
    <w:p w14:paraId="63E72D4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7. Управление танком Т-34.</w:t>
      </w:r>
    </w:p>
    <w:p w14:paraId="36C1E41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Управление танком осуществлено через бортовые фрикционы и тормоза с подключением дифференциального пневматического сервоуправления. </w:t>
      </w:r>
    </w:p>
    <w:p w14:paraId="4757857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Усилие, прилагаемое водителем на рычаги при управлении танком – 7 кг., вполне обеспечивает легкость в управлении танком. При отказе в работе сервоуправления, усилие на рычагах возрастает до 60 кг, что быстро утомляет водителя. </w:t>
      </w:r>
    </w:p>
    <w:p w14:paraId="03A81AE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Переключение скоростей осуществляется посредством кулисы и педального выключения главного фрикциона. </w:t>
      </w:r>
    </w:p>
    <w:p w14:paraId="631C95E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 время испытаний система управления танком работала надежно, но имеет следующие недостатки: </w:t>
      </w:r>
    </w:p>
    <w:p w14:paraId="5AAFF9D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Засорение и примерзание клапана дифференциала сервоуправления. </w:t>
      </w:r>
    </w:p>
    <w:p w14:paraId="2C11748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Поломки трубопроводов сервоуправления. </w:t>
      </w:r>
    </w:p>
    <w:p w14:paraId="34B0C97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Сложность регулировки дифференциального механизма сервоуправления. </w:t>
      </w:r>
    </w:p>
    <w:p w14:paraId="7D2ECE2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Тяги бортовых фрикционов расположены близко к вентилятору и днищу корпуса. </w:t>
      </w:r>
    </w:p>
    <w:p w14:paraId="07A8614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Схема включения скоростей кулисы неудобна. </w:t>
      </w:r>
    </w:p>
    <w:p w14:paraId="61A98F6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Кулиса не защищена от попадания к поводкам грязи. </w:t>
      </w:r>
    </w:p>
    <w:p w14:paraId="40F03B3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Заедает тягу акселератора. </w:t>
      </w:r>
    </w:p>
    <w:p w14:paraId="5B1D698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устранении указанных дефектов система управления, установленная на танках Т-34, может быть введена в серийное производство. Однако, ввиду сложности обслуживания и ремонта в войсках сервоуправления, необходимо форсировать изготовление механического сервоуправления. </w:t>
      </w:r>
    </w:p>
    <w:p w14:paraId="126730A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Рабочие места экипажа. </w:t>
      </w:r>
    </w:p>
    <w:p w14:paraId="1BC11AE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Рабочее место водителя.</w:t>
      </w:r>
    </w:p>
    <w:p w14:paraId="5A31F34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Сиденье водителя выполнено мягким. По своим размерам, устройству и амортизации достаточно удобно. </w:t>
      </w:r>
    </w:p>
    <w:p w14:paraId="494E98B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Контрольные жидкостные приборы расположены на передней стенке отделения управления. Приборы электрооборудования на борту корпуса слева от водителя. Наблюдение за приборами удобно. Освещение приборов хорошее. Общее освещение танка осуществлено двумя плафонами – достаточное. </w:t>
      </w:r>
    </w:p>
    <w:p w14:paraId="6745D84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Смотровых приборов у водителя три – центральный и два боковых, по отношению к водителю расположены удобно, но по своему устройству не обеспечивают необходимой видимости. </w:t>
      </w:r>
    </w:p>
    <w:p w14:paraId="7D88262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Рабочее место водителя имеет следующие недостатки: </w:t>
      </w:r>
    </w:p>
    <w:p w14:paraId="6B2C0BF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Затруднена посадка и выход водителя из танка, через люк башни. Люк водителя сделать в переднем наклонном листе, обеспечив возможность его открытия при любом положении башни. </w:t>
      </w:r>
    </w:p>
    <w:p w14:paraId="13D306E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Горизонтальная подвижность сиденья возможна до 60 мм, благодаря чему сиденье не может быть приспособлено для водителя высокого роста. </w:t>
      </w:r>
    </w:p>
    <w:p w14:paraId="21BB8FA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Ножные педали управления расположены близко к сиденью; ноги водителя находятся в сильно согнутом состоянии, что, безусловно, повышает утомляемость водителя. </w:t>
      </w:r>
    </w:p>
    <w:p w14:paraId="3381B53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Рычаги управления бортовыми фрикционами расположены далеко от сиденья (около 80 см. от плечевых точек), что значительно превышает средние размеры рук. Водитель во время работы сидит в согнутом положении. </w:t>
      </w:r>
    </w:p>
    <w:p w14:paraId="1211820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5) Неудобно пользоваться педалью газа. Ступня ноги находится в сильно приподнятом положении, благодаря чему нога устает. </w:t>
      </w:r>
    </w:p>
    <w:p w14:paraId="44B717B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При росте водителя в 175 см. зазор между головой и верхним броневым листом равен 10 мм, что не гарантирует от ушибов головы. </w:t>
      </w:r>
    </w:p>
    <w:p w14:paraId="3F15D65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Рабочее место стрелка – радиста.</w:t>
      </w:r>
    </w:p>
    <w:p w14:paraId="43CDBCE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Сиденье радиста-стрелка расположено в отделении управления. Выполнено аналогично сиденью водителя. Расположение стрелка по отношению к пулемету нормальное. </w:t>
      </w:r>
    </w:p>
    <w:p w14:paraId="46D49AD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При расположении радиоаппаратуры в предъявленных образцах в нише башни исключается возможность использования его радистом. </w:t>
      </w:r>
    </w:p>
    <w:p w14:paraId="654541C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Горизонтальная подвижность сиденья недостаточна и само сиденье расположено высоко от днища, благодаря чему радист упирается головой в наклонный лист брони. </w:t>
      </w:r>
    </w:p>
    <w:p w14:paraId="2CF8A1E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Наблюдение радисту, возможное только через прицельное отверстие в шаровой установке – весьма ограничено. </w:t>
      </w:r>
    </w:p>
    <w:p w14:paraId="59678FA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Размещение боеукладки пулеметных дисков в нише борта стесняет радиста и уменьшает угол горизонтального обстрела из пулемета. </w:t>
      </w:r>
    </w:p>
    <w:p w14:paraId="74FFD69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Рабочее место командира танка.</w:t>
      </w:r>
    </w:p>
    <w:p w14:paraId="15D8F4B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Размещение командира в танке стеснено. Расстояние от гильзоулавливателя до упора левого плеча равно 450 мм, т.е. несколько меньше средней величины ширины плеч. При наличии зимнего обмундирования стесненность командира еще больше. </w:t>
      </w:r>
    </w:p>
    <w:p w14:paraId="3F2FF1D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Сиденье не дает вогнутости под тяжестью тела, поэтому положение командира недостаточно устойчивое. </w:t>
      </w:r>
    </w:p>
    <w:p w14:paraId="2D5E4A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Сиденье недостаточно надежно фиксируется на кронштейне. </w:t>
      </w:r>
    </w:p>
    <w:p w14:paraId="155573D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Пользование маховичками поворотного и подъемного механизмов башни и системы недостаточно неудобно. При перекрещивании рук, правая рука плотно прилегает к левой, вследствие чего проворачивание башни затруднено. </w:t>
      </w:r>
    </w:p>
    <w:p w14:paraId="0A48FED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Спусковая педаль расположена близко к сиденью. Нога находится в согнутом состоянии, поэтому движение ступни при пользовании педалью затруднено. </w:t>
      </w:r>
    </w:p>
    <w:p w14:paraId="2D64E60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Окуляры ПТ-1 и ТОД расположены не в одной плоскости, что затрудняет пользование ими. </w:t>
      </w:r>
    </w:p>
    <w:p w14:paraId="12DA752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К маховичку ТОД плохой доступ для наводки. </w:t>
      </w:r>
    </w:p>
    <w:p w14:paraId="61CD8A1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Расположение рации в нише загружает командира танка, отвлекая его от непосредственной работы. </w:t>
      </w:r>
    </w:p>
    <w:p w14:paraId="2536CF2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Установленный в люке башни прибор кругового обзора не обеспечивает наблюдения, а также не защищен от поражения. </w:t>
      </w:r>
    </w:p>
    <w:p w14:paraId="42B4B86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Рабочее место заряжающего.</w:t>
      </w:r>
    </w:p>
    <w:p w14:paraId="2A12D64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По пунктам 1, 2, 3 рабочего места командира аналогичные недостатки и на рабочем месте заряжающего. </w:t>
      </w:r>
    </w:p>
    <w:p w14:paraId="2FB2541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Отсутствие укладки пулеметных магазинов в башне не обеспечивает интенсивного ведения огня из спаренного пулемета. </w:t>
      </w:r>
    </w:p>
    <w:p w14:paraId="6751572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дополнение к отмеченным недостаткам по рабочим местам, необходимо: </w:t>
      </w:r>
    </w:p>
    <w:p w14:paraId="3688D6E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Установить термоса для питьевой воды экипажу, так как отсутствие в танке воды приводит к преждевременной утомляемости его. </w:t>
      </w:r>
    </w:p>
    <w:p w14:paraId="3AA9E33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Предусмотреть размещение пайка экипажу и положенного ему имущества по табелю. </w:t>
      </w:r>
    </w:p>
    <w:p w14:paraId="227E99C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Предусмотреть установку захватов для распора рук экипажа и обшивку острых углов с целью защиты от ушибов головы при преодолении препятствий. </w:t>
      </w:r>
    </w:p>
    <w:p w14:paraId="6DDD8D1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7. НАДЕЖНОСТЬ РАБОТЫ ДВИГАТЕЛЯ И ОТДЕЛЬНЫХ АГРЕГАТОВ</w:t>
      </w:r>
    </w:p>
    <w:p w14:paraId="677A1DC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ТРАНСМИССИИ И ХОДОВОЙ ЧАСТИ ТАНКА. </w:t>
      </w:r>
    </w:p>
    <w:p w14:paraId="52D5D36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КОНСТРУКТИВНЫЕ И ПРОИЗВОДСТВЕННЫЕ НЕДОРАБОТКИ. </w:t>
      </w:r>
    </w:p>
    <w:p w14:paraId="701B19E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Двигатель.</w:t>
      </w:r>
    </w:p>
    <w:p w14:paraId="5ABCF7A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 время войсковых испытаний танка Т-34, дизель В-2 работал ненадежно, так как установленные двигатели на Т-34 не работали гарантийного срока (100 часов). Во время испытаний по моторам были обнаружены следующие дефекты: </w:t>
      </w:r>
    </w:p>
    <w:p w14:paraId="1E75819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Пробивание газов из под прокладки между головкой и блоком цилиндров мотора является основным конструктивным недостатком всех моторов В-2. </w:t>
      </w:r>
    </w:p>
    <w:p w14:paraId="1CF908A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Выход из строя масляного насоса есть результат малых зазоров, радиальных и торцевых, между ведомыми и ведущими шестернями и корпусом масляного насоса. </w:t>
      </w:r>
    </w:p>
    <w:p w14:paraId="18CD81C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Шестерни масляного насоса не имея по торцу зуба радиуса закругления, работают как фрез, и снимаемая алюминиевая стружка с корпуса насоса заклинивает масляный насос. В результате заклинивания скалываются зубья шестерни ведущего валика масляного насоса или зубья паразитной шестерни. </w:t>
      </w:r>
    </w:p>
    <w:p w14:paraId="1EF86EF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Поломка фланца приводной муфты топливного насоса является конструктивным недостатком (данной детали). </w:t>
      </w:r>
    </w:p>
    <w:p w14:paraId="3BC67C2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обеспечения нормальной и надежной работы двигателя В-2 необходимо устранить следующие дефекты: </w:t>
      </w:r>
    </w:p>
    <w:p w14:paraId="4895F6B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Пробивание газов. </w:t>
      </w:r>
    </w:p>
    <w:p w14:paraId="3C27228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Поломку масляного насоса и привода к нему. </w:t>
      </w:r>
    </w:p>
    <w:p w14:paraId="446355A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Увеличить прочность и надежность в работе топливного насоса. </w:t>
      </w:r>
    </w:p>
    <w:p w14:paraId="31DAAB2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Увеличить гарантийный срок работы двигателя до 250 часов с минимальной потерей мощности к концу гарантийного срока. </w:t>
      </w:r>
    </w:p>
    <w:p w14:paraId="2CE416A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Запуск двигателя.</w:t>
      </w:r>
    </w:p>
    <w:p w14:paraId="45462D0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Запуск двигателя В-2, установленного на Т-34, осуществляется двумя способами. </w:t>
      </w:r>
    </w:p>
    <w:p w14:paraId="303A6B5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Запуск электростартером. </w:t>
      </w:r>
    </w:p>
    <w:p w14:paraId="4C35B85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Сжатым воздухом. </w:t>
      </w:r>
    </w:p>
    <w:p w14:paraId="43EE78A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Электростартер типа СТ-700, установленный на Т-34 вполне удовлетворяет по мощности и обеспечивает запуск двигателя. </w:t>
      </w:r>
    </w:p>
    <w:p w14:paraId="2E96EF8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Запуск двигателя сжатым воздухом обеспечивает заводку двигателя в горячем состоянии 12 – 15 раз. </w:t>
      </w:r>
    </w:p>
    <w:p w14:paraId="6F70514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Воздухоочиститель.</w:t>
      </w:r>
    </w:p>
    <w:p w14:paraId="42EC04D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Воздухоочиститель, установленный на двигателе В-2 и проверенный в зимних условиях обеспечивает надежность работы мотора. </w:t>
      </w:r>
    </w:p>
    <w:p w14:paraId="7381738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Недостатки. </w:t>
      </w:r>
    </w:p>
    <w:p w14:paraId="483B002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При обливании горящей жидкостью, воздухоочиститель загорается. </w:t>
      </w:r>
    </w:p>
    <w:p w14:paraId="1A82A64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При имеющихся габаритах воздухоочистителя монтаж и демонтаж его, а также доступ к мотору – затруднен. </w:t>
      </w:r>
    </w:p>
    <w:p w14:paraId="2131A2C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Главный фрикцион и вентилятор.</w:t>
      </w:r>
    </w:p>
    <w:p w14:paraId="083F3E0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 время испытаний главный фрикцион и вентилятор показали себя в работе ненадежными по причинам: главный фрикцион из-за коробления дисков, вентилятор из-за неоднократно появлявшихся трещин на лопатках и разрывов ободов, что приводило к авариям. </w:t>
      </w:r>
    </w:p>
    <w:p w14:paraId="7D3A9AA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Дефекты, обнаруженные за время испытаний. </w:t>
      </w:r>
    </w:p>
    <w:p w14:paraId="4C4C074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w:t>
      </w:r>
    </w:p>
    <w:p w14:paraId="1BBF3BE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Улучшить конструкцию главного фрикциона, обеспечив надежную работу фрикциона в тяжелых дорожных условиях и длительной передачи максимального крутящего момента двигателя, без пробуксовки и коробления дисков. </w:t>
      </w:r>
    </w:p>
    <w:p w14:paraId="126AE1D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Разработать новый вентилятор. </w:t>
      </w:r>
    </w:p>
    <w:p w14:paraId="2966E0C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Коробка перемены передач.</w:t>
      </w:r>
    </w:p>
    <w:p w14:paraId="6ACA0CC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К.П.П. танка за весь период испытаний работала надежно. </w:t>
      </w:r>
    </w:p>
    <w:p w14:paraId="645A24D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Разборка после испытаний показала, что на подвижной шестерне 3-й и 4-й скорости имеются по зубьям небольшие сколы и разрушен средний подшипник главного вала. </w:t>
      </w:r>
    </w:p>
    <w:p w14:paraId="7144E6A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Бортовые фрикционы и тормоза.</w:t>
      </w:r>
    </w:p>
    <w:p w14:paraId="7B51B9F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Бортовые фрикционы и тормоза за все время испытаний работали надежно и обеспечивали управление и торможение танка. </w:t>
      </w:r>
    </w:p>
    <w:p w14:paraId="0957E0D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улучшить доступ для смазки к наружному подшипнику бортфрикционов, устранить выбивание смазки из-под храповиков, обеспечить заправку фрикционов смазкой без снятия кормового листа брони. </w:t>
      </w:r>
    </w:p>
    <w:p w14:paraId="0B5892A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Бортовая передача.</w:t>
      </w:r>
    </w:p>
    <w:p w14:paraId="5FFF23F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 время испытаний работала надежно. </w:t>
      </w:r>
    </w:p>
    <w:p w14:paraId="5A140BB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осмотре после испытаний борт-передача оказалась в удовлетворительном состоянии. </w:t>
      </w:r>
    </w:p>
    <w:p w14:paraId="4E11E91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обеспечить взаимозаменяемость правой и левой крышек картера борт-передачи. </w:t>
      </w:r>
    </w:p>
    <w:p w14:paraId="2027ABA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Ведущее колесо.</w:t>
      </w:r>
    </w:p>
    <w:p w14:paraId="2CF154D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Ведущее колесо за все время испытаний работало удовлетворительно. При осмотре после испытаний было обнаружено: срез болтов крепящих колесо. </w:t>
      </w:r>
    </w:p>
    <w:p w14:paraId="4150FC9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w:t>
      </w:r>
    </w:p>
    <w:p w14:paraId="5AF7456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Усилить крепление ведущего колеса на полуоси, увеличить диаметр и количество болтов. </w:t>
      </w:r>
    </w:p>
    <w:p w14:paraId="5B2EA01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Усилить конструкцию колеса за счет утолщения дисков. </w:t>
      </w:r>
    </w:p>
    <w:p w14:paraId="26C06F1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Обеспечить смену роликов без демонтажа колеса. </w:t>
      </w:r>
    </w:p>
    <w:p w14:paraId="3F73A6C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Подвеска.</w:t>
      </w:r>
    </w:p>
    <w:p w14:paraId="52D28BD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Конструкция подвески и характеристика пружин обеспечивают, в сравнении с танком БТ, более мягкий ход и более быстрое затухание колебаний. </w:t>
      </w:r>
    </w:p>
    <w:p w14:paraId="724CA07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Разборка после испытания показала, что большинство штоков погнуты. </w:t>
      </w:r>
    </w:p>
    <w:p w14:paraId="00B590E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В общем, за время испытаний подвеска работала удовлетворительно. </w:t>
      </w:r>
    </w:p>
    <w:p w14:paraId="508508C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Дефекты, обнаруженные во время испытаний: </w:t>
      </w:r>
    </w:p>
    <w:p w14:paraId="1AAF3EE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w:t>
      </w:r>
    </w:p>
    <w:p w14:paraId="500CB2C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Усилить штоки подвесок. </w:t>
      </w:r>
    </w:p>
    <w:p w14:paraId="12326E9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Пересмотреть кинематику подвесок, избавиться от неравномерного износа штоков и втулок. </w:t>
      </w:r>
    </w:p>
    <w:p w14:paraId="33C9F7A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Сделать более надежным крепление амортизаторов. </w:t>
      </w:r>
    </w:p>
    <w:p w14:paraId="662E256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Предложить заводу в целях: простоты, снижения веса, освобождения места в танке, уничтожения вырезов в листах бортовой брони и простоты эксплоатации, разработать торсионную подвеску на танки Т-34. </w:t>
      </w:r>
    </w:p>
    <w:p w14:paraId="135E67B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Направляющее колесо.</w:t>
      </w:r>
    </w:p>
    <w:p w14:paraId="27BDBC4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Направляющее колесо и натяжной механизм (наружного натяжения) за время испытаний работали надежно. При осмотре после испытаний, направляющее колесо и натяжной механизм оказались в удовлетворительном состоянии. </w:t>
      </w:r>
    </w:p>
    <w:p w14:paraId="34EC159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Специальных ударных испытаний на прочность направляющего колеса не производилось. </w:t>
      </w:r>
    </w:p>
    <w:p w14:paraId="6004B44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w:t>
      </w:r>
    </w:p>
    <w:p w14:paraId="2F857FC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Накидную шлицевую гайку сделать заодно со стержнем. </w:t>
      </w:r>
    </w:p>
    <w:p w14:paraId="2F84E48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Сделать спец. ключ с трещоткой под гайку натяжного механизма. </w:t>
      </w:r>
    </w:p>
    <w:p w14:paraId="183F7E4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Электрооборудование.</w:t>
      </w:r>
    </w:p>
    <w:p w14:paraId="56DB8FC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Электрооборудование, установленное на танке Т-34, за время испытаний работало удовлетворительно, за исключением следующих дефектов: </w:t>
      </w:r>
    </w:p>
    <w:p w14:paraId="4028A5E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w:t>
      </w:r>
    </w:p>
    <w:p w14:paraId="7271877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Устранить дефекты по электрооборудованию, указанные в прилагаемом перечне (см. приложение № 1). </w:t>
      </w:r>
    </w:p>
    <w:p w14:paraId="0867372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Установить легкосъемные фары – штепсельного типа. </w:t>
      </w:r>
    </w:p>
    <w:p w14:paraId="7ABA9E5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полного определения надежности работы, агрегатов трансмиссии и ходовой части, необходимо произвести испытания танка Т-34 в летних условиях. </w:t>
      </w:r>
    </w:p>
    <w:p w14:paraId="645A4A8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ЗАКЛЮЧЕНИЕ</w:t>
      </w:r>
    </w:p>
    <w:p w14:paraId="76E9D08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Предъявленные заводом № 183 опытные образцы танков Т-34 в основном соответствуют тактико-техническим требованиям. По броневой защите, мощности вооружения и проходимости в зимних условиях танки Т-34 значительно превосходят существующие на вооружении танки. </w:t>
      </w:r>
    </w:p>
    <w:p w14:paraId="02F14FF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Основными недостатками танка Т-34 являются следующие: </w:t>
      </w:r>
    </w:p>
    <w:p w14:paraId="7E96767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Недоработана башня в части удобства пользования вооружением, приборами наблюдения и наведения, боекомплектом, что не дает возможности полноценного использования артсистемы. </w:t>
      </w:r>
    </w:p>
    <w:p w14:paraId="6D4AF5F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Вопрос радиосвязи на танке Т-34 не разрешен. </w:t>
      </w:r>
    </w:p>
    <w:p w14:paraId="6FC9F92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Приборы наблюдения, поставленные на танке Т-34, не обеспечивают надежной и достаточной обзорности. </w:t>
      </w:r>
    </w:p>
    <w:p w14:paraId="3267A4C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Защита танка от проникновения пламени горящей жидкости в достаточной мере не обеспечена. </w:t>
      </w:r>
    </w:p>
    <w:p w14:paraId="4D296A3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Танк Т-34 в эксплуатации надежен и при устранении недостатков отмеченных в выводах по войсковым испытаниям пригоден для эксплуатации в войсках. </w:t>
      </w:r>
    </w:p>
    <w:p w14:paraId="48DDA15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Без устранения отмеченных недостатков танк Т-34 не может быть пущен в серийное производство. </w:t>
      </w:r>
    </w:p>
    <w:p w14:paraId="7983781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Установленный в танке Т-34 серийный дизель В-2 не обеспечивает гарантийного, – также недостаточного в эксплуатации, – 100 часового срока работы. </w:t>
      </w:r>
    </w:p>
    <w:p w14:paraId="43A41E3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В виду того, что танк Т-34 проходил испытания в зимних условиях, остались не проверенными следующие моменты: </w:t>
      </w:r>
    </w:p>
    <w:p w14:paraId="0A2825F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Тепловой режим работы двигателя в летних условиях. </w:t>
      </w:r>
    </w:p>
    <w:p w14:paraId="4145EDA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Преодоление естественных и искусственных препятствий в летних условиях. </w:t>
      </w:r>
    </w:p>
    <w:p w14:paraId="32BA962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Динамика танка. </w:t>
      </w:r>
    </w:p>
    <w:p w14:paraId="3B1F2D6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Надежность работы механизмов танка в летних дорожных условиях на длительный километраж. </w:t>
      </w:r>
    </w:p>
    <w:p w14:paraId="361CF2E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всем этим пунктам необходимо подвергнуть дополнительному полигонному испытанию один танк Т-34 с последующим отстрелом и обстрелом. </w:t>
      </w:r>
    </w:p>
    <w:p w14:paraId="0FA03E4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ПРЕДСЕДАТЕЛЬ КОМИССИИ </w:t>
      </w:r>
    </w:p>
    <w:p w14:paraId="1181C48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НАЧ.АБТВ ХВО ПОЛКОВНИК подпись (ЧЕРНЯЕВ)</w:t>
      </w:r>
    </w:p>
    <w:p w14:paraId="3A5DDC6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ЧЛЕНЫ КОМИССИИ: </w:t>
      </w:r>
    </w:p>
    <w:p w14:paraId="3DDDB92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 АБТУ </w:t>
      </w:r>
    </w:p>
    <w:p w14:paraId="7E14130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МАЙОР подпись (ГЕРКЕВИЧ) </w:t>
      </w:r>
    </w:p>
    <w:p w14:paraId="632B174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ВОЕНИНЖ. 3-РАНГА подпись (ГОРЮШКИН) </w:t>
      </w:r>
    </w:p>
    <w:p w14:paraId="07283AD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ВОЕНИНЖ. 3-РАНГА подпись (БАЙКОВ) </w:t>
      </w:r>
    </w:p>
    <w:p w14:paraId="2D65E0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 АБТВ ХВО </w:t>
      </w:r>
    </w:p>
    <w:p w14:paraId="3871205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МАЙОР подпись (ЛУНКИН) </w:t>
      </w:r>
    </w:p>
    <w:p w14:paraId="66F23BB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ВОЕНИНЖ. 2-РАНГА подпись (ЛИХАЦКИЙ) </w:t>
      </w:r>
    </w:p>
    <w:p w14:paraId="75EA99D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 АУ КА </w:t>
      </w:r>
    </w:p>
    <w:p w14:paraId="441D120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ВОЕНИНЖ. 2-РАНГА (см. особ. мнение) подпись (СОРОКИН) </w:t>
      </w:r>
    </w:p>
    <w:p w14:paraId="2A490AC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 ГЛАВСПЕЦМАША </w:t>
      </w:r>
    </w:p>
    <w:p w14:paraId="4F2F60A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ИНЖЕНЕР подпись (МАСАЛЬСКАЯ) </w:t>
      </w:r>
    </w:p>
    <w:p w14:paraId="679B401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 СТЗ </w:t>
      </w:r>
    </w:p>
    <w:p w14:paraId="49F62A9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 КБ2 подпись (КОКУШКИН) </w:t>
      </w:r>
    </w:p>
    <w:p w14:paraId="03CBB45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 з-да №183 </w:t>
      </w:r>
    </w:p>
    <w:p w14:paraId="38D2929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ГЛ. КОНСТРУКТОР (без подписи) (КОШКИН) </w:t>
      </w:r>
    </w:p>
    <w:p w14:paraId="014ED06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 КБ 520 (см. особое мнение) 27.IV.40 подпись (МОРОЗОВ) </w:t>
      </w:r>
    </w:p>
    <w:p w14:paraId="479CAF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 з-да №75 </w:t>
      </w:r>
    </w:p>
    <w:p w14:paraId="610DEC3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подпись (СЛЕПОВ) </w:t>
      </w:r>
    </w:p>
    <w:p w14:paraId="6E2B5B5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Отпеч. 5 экз. </w:t>
      </w:r>
    </w:p>
    <w:p w14:paraId="105BC0E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 в адрес </w:t>
      </w:r>
    </w:p>
    <w:p w14:paraId="2B04C6B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 в д. </w:t>
      </w:r>
    </w:p>
    <w:p w14:paraId="7148686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w:t>
      </w:r>
    </w:p>
    <w:p w14:paraId="01D9C59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Е.К. п. № 1981 </w:t>
      </w:r>
    </w:p>
    <w:p w14:paraId="1A7DA55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27/IV-40г. </w:t>
      </w:r>
    </w:p>
    <w:p w14:paraId="613CEDF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Приложение № 1 </w:t>
      </w:r>
    </w:p>
    <w:p w14:paraId="798335F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Перечень конструктивных изменений и доработок, подлежащих внесению в конструкцию танка Т-34 в результате войсковых и полигонных испытании. </w:t>
      </w:r>
    </w:p>
    <w:p w14:paraId="39BB096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 По двигателю.</w:t>
      </w:r>
    </w:p>
    <w:p w14:paraId="5764437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Устранить пробивание газов из-под прокладок головок цилиндров. </w:t>
      </w:r>
    </w:p>
    <w:p w14:paraId="3C7D8C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Усилить конструкцию привода масляной помпы, обеспечив надежность в работе. </w:t>
      </w:r>
    </w:p>
    <w:p w14:paraId="378C29D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Устранить возможность сбивания муфты опережения впрыска топлива. </w:t>
      </w:r>
    </w:p>
    <w:p w14:paraId="172CE88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Увеличить гарантийный срок работы двигателя В-2 до 250 часов, с минимальной потерей мощности к концу гарантийного срока. </w:t>
      </w:r>
    </w:p>
    <w:p w14:paraId="30E1665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Предусмотреть съемку или разъединение выхлопных труб не снимая броневого колпака. </w:t>
      </w:r>
    </w:p>
    <w:p w14:paraId="521F4B7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 По системе питания и смазки.</w:t>
      </w:r>
    </w:p>
    <w:p w14:paraId="159F728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Конструкцию топливных и маслобаков сделать более жесткой – устранить течь. </w:t>
      </w:r>
    </w:p>
    <w:p w14:paraId="20FA159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Обеспечить соосность заливных отверстий баков с отверстиями в крыше танка. </w:t>
      </w:r>
    </w:p>
    <w:p w14:paraId="351A11B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Медные трубопроводы (трубки компрессора, сливная трубка в картер мотора) – заменить на стальные. Рекомендовать проверить возможность замены всех медных трубопроводов на стальные. </w:t>
      </w:r>
    </w:p>
    <w:p w14:paraId="4425D87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Поставить перекрывные краны к маслобакам, обеспечив возможность работы на одном баке. </w:t>
      </w:r>
    </w:p>
    <w:p w14:paraId="7AED4DC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Увеличить сечение трубопровода соединяющие задние топливные баки. Установить перекрывной кран. </w:t>
      </w:r>
    </w:p>
    <w:p w14:paraId="7CCDA64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Устранить течь в соединениях трубопроводов. Предусмотреть надежное крепление штуцеров. </w:t>
      </w:r>
    </w:p>
    <w:p w14:paraId="786FF93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Масленки МТК заменить на более производительные. </w:t>
      </w:r>
    </w:p>
    <w:p w14:paraId="7AB942B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III. Воздухоочиститель.</w:t>
      </w:r>
    </w:p>
    <w:p w14:paraId="30426C0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Предусмотреть возможность монтажа и демонтажа воздухоочистителя не снимая моторной крыши. </w:t>
      </w:r>
    </w:p>
    <w:p w14:paraId="7F37563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IV. Главный фрикцион</w:t>
      </w:r>
    </w:p>
    <w:p w14:paraId="08F401C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Главный фрикцион в работе не надежен, по причине коробления дисков. </w:t>
      </w:r>
    </w:p>
    <w:p w14:paraId="13F5225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надежную работу главного фрикциона в тяжелых дорожных условиях (на длительную передачу максимального крутящего момента) без пробуксовки и коробления дисков. </w:t>
      </w:r>
    </w:p>
    <w:p w14:paraId="3E32039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Вентиляторы, установленные на танках Т-34 ненадежны. Неоднократно появлялись трещины на лопатках и ободе, что приводило к авариям. Необходимо разработать новый вентилятор. </w:t>
      </w:r>
    </w:p>
    <w:p w14:paraId="1FBFCDD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V. Бортовой фрикцион.</w:t>
      </w:r>
    </w:p>
    <w:p w14:paraId="1C483D6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Улучшить доступ смазки к наружному подшипнику и обеспечить заправку не снимая кормового листа. </w:t>
      </w:r>
    </w:p>
    <w:p w14:paraId="1A681D7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VI. Ведущее колесо.</w:t>
      </w:r>
    </w:p>
    <w:p w14:paraId="273E320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Усилить конструкцию колеса за счет утолщения дисков. </w:t>
      </w:r>
    </w:p>
    <w:p w14:paraId="1812C07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Обеспечить смену роликов без демонтажа колеса. </w:t>
      </w:r>
    </w:p>
    <w:p w14:paraId="226E615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Усилить крепление ведущего колеса на полуоси за счет увеличения диаметра и количества болтов (вместо 4-х – 6 болтов). </w:t>
      </w:r>
    </w:p>
    <w:p w14:paraId="7F99CEE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VII. Направляющее колесо (ленивец).</w:t>
      </w:r>
    </w:p>
    <w:p w14:paraId="4AA25A0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Натяжной механизм на серию устанавливать конструкции маш. № 311-11-3 (наружного натяжения). </w:t>
      </w:r>
    </w:p>
    <w:p w14:paraId="516421F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Накидную шлицевую гайку сделать заодно целое со стержнем. </w:t>
      </w:r>
    </w:p>
    <w:p w14:paraId="0979059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VIII. Бортовая передача.</w:t>
      </w:r>
    </w:p>
    <w:p w14:paraId="02D9009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взаимозаменяемость крышек бортовой передачи. </w:t>
      </w:r>
    </w:p>
    <w:p w14:paraId="59F7C52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IХ. Подвеска.</w:t>
      </w:r>
    </w:p>
    <w:p w14:paraId="1152E9B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надежную работу подвески соответствующим усилением штоков. </w:t>
      </w:r>
    </w:p>
    <w:p w14:paraId="34DC268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Проверить кинематику работы подвески. </w:t>
      </w:r>
    </w:p>
    <w:p w14:paraId="7CC00E1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Обеспечить достаточный доступ к наружной втулке балансира для смазки. </w:t>
      </w:r>
    </w:p>
    <w:p w14:paraId="6EE8A55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Оси поддерживающих колес, шлифовать не по всей длине. </w:t>
      </w:r>
    </w:p>
    <w:p w14:paraId="6E1D2FC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Х. Управление.</w:t>
      </w:r>
    </w:p>
    <w:p w14:paraId="70C0139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Изменить расположение тяг к подводкам кулисы таким образом, чтобы положение рычага при включении скоростей было по углам, а задний ход в середине. </w:t>
      </w:r>
    </w:p>
    <w:p w14:paraId="13BD017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Сместить тяги управления бортовыми фрикционами обеспечив большой зазор между вентиляторами и тягами. </w:t>
      </w:r>
    </w:p>
    <w:p w14:paraId="54ED27B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Обеспечить надежный возврат тяги акселератора, при этом усилия не должны превышать 3 кг. </w:t>
      </w:r>
    </w:p>
    <w:p w14:paraId="29186A6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Ставить предохранители, обеспечивающие тяги от подъема вверх под вентилятором. </w:t>
      </w:r>
    </w:p>
    <w:p w14:paraId="28B68E4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ХI. Сиденье водителя.</w:t>
      </w:r>
    </w:p>
    <w:p w14:paraId="7E7C9DE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Увеличить перемещение сиденья назад на 50 мм. </w:t>
      </w:r>
    </w:p>
    <w:p w14:paraId="0DC32AB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Сиденье радиста – опустить ниже и увеличить регулировку за счет перемещения назад. </w:t>
      </w:r>
    </w:p>
    <w:p w14:paraId="1349BEE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Сиденье стрелка и заряжающего </w:t>
      </w:r>
    </w:p>
    <w:p w14:paraId="0F2DDF1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Уменьшить размеры сиденья по ширине. </w:t>
      </w:r>
    </w:p>
    <w:p w14:paraId="6DD4452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Сделать мягким. </w:t>
      </w:r>
    </w:p>
    <w:p w14:paraId="036DD42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Обеспечить надежную фиксацию сиденья на кронштейне. </w:t>
      </w:r>
    </w:p>
    <w:p w14:paraId="277137C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Изменить конструкцию спинки сиденья с целью увеличения посадочного места. </w:t>
      </w:r>
    </w:p>
    <w:p w14:paraId="3D75DC6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ХII. Электрооборудование.</w:t>
      </w:r>
    </w:p>
    <w:p w14:paraId="6D95591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Доработать конструкцию стартера; </w:t>
      </w:r>
    </w:p>
    <w:p w14:paraId="1586F8D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Устранить следующие недостатки: </w:t>
      </w:r>
    </w:p>
    <w:p w14:paraId="7604CF6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усилить прочность посадочного места под игольчатый подшипник. </w:t>
      </w:r>
    </w:p>
    <w:p w14:paraId="319696D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Устранить заклинивание муфты </w:t>
      </w:r>
    </w:p>
    <w:p w14:paraId="79247A1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Усилить механическую прочность шайбы, удерживающей якорь от продольных перемещений. </w:t>
      </w:r>
    </w:p>
    <w:p w14:paraId="076D682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На болтах, соединяющих фрикционные чашки, предусмотреть стопорение. </w:t>
      </w:r>
    </w:p>
    <w:p w14:paraId="0B40797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Устранить попадание масла внутрь фрикциона. </w:t>
      </w:r>
    </w:p>
    <w:p w14:paraId="43802B3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Устранить проникновение масла и горючего на электропровода, проложенные по борту. </w:t>
      </w:r>
    </w:p>
    <w:p w14:paraId="270688D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Расширить отверстие в перегородке для доступа к блоку защиты предохранителей. </w:t>
      </w:r>
    </w:p>
    <w:p w14:paraId="40BB775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Провода ВКУ переместить влево по ходу машины. </w:t>
      </w:r>
    </w:p>
    <w:p w14:paraId="72DF28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Постель стартера предохранить от смещения. </w:t>
      </w:r>
    </w:p>
    <w:p w14:paraId="7630813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Устранить частое перегорание ламп прожектора. </w:t>
      </w:r>
    </w:p>
    <w:p w14:paraId="3DD981B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XIII. Боеукладка.</w:t>
      </w:r>
    </w:p>
    <w:p w14:paraId="5C52B4A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Боеукладка, предъявленная на опытных образцах, непригодна. </w:t>
      </w:r>
    </w:p>
    <w:p w14:paraId="6BEA579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w:t>
      </w:r>
    </w:p>
    <w:p w14:paraId="182E462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свободное открывание и закрывание крышек чемоданов. </w:t>
      </w:r>
    </w:p>
    <w:p w14:paraId="4245C5A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Изменить крепление снарядов двумя ремешками обеспечив при этом удобство и быстроту подготовки снаряда к выстрелу. </w:t>
      </w:r>
    </w:p>
    <w:p w14:paraId="09BC1A5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Чемоданы должны свободно ставиться и выниматься. </w:t>
      </w:r>
    </w:p>
    <w:p w14:paraId="104C50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Для обеспечения ведения огня из спаренного пулемёта, разработать новую укладку дисков (обеспечив удобство доставания их заряжающим). </w:t>
      </w:r>
    </w:p>
    <w:p w14:paraId="5AB1971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XIV. ИНСТРУМЕНТ.</w:t>
      </w:r>
    </w:p>
    <w:p w14:paraId="69FEA75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Предусмотреть для натяжения гусеницы ключ-трещётку. </w:t>
      </w:r>
    </w:p>
    <w:p w14:paraId="6965DDB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Разработать комплект инструмента, съемников и приспособлений, необходимых для производства ремонта в полевых условиях. </w:t>
      </w:r>
    </w:p>
    <w:p w14:paraId="03F68E2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Установить два термоса для питьевой воды. </w:t>
      </w:r>
    </w:p>
    <w:p w14:paraId="24B8CA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Предусмотреть на каждый танк установку запасных 4-х баков, емкостью каждый 50 литров. </w:t>
      </w:r>
    </w:p>
    <w:p w14:paraId="6036058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Предусмотреть размещение возимого запаса продовольствия и имущества согласно табеля. </w:t>
      </w:r>
    </w:p>
    <w:p w14:paraId="137DE0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XV. Корпус.</w:t>
      </w:r>
    </w:p>
    <w:p w14:paraId="5F13044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Разработать люк водителя, обеспечивающий возможность посадки и выхода из машины при любом положении башни. </w:t>
      </w:r>
    </w:p>
    <w:p w14:paraId="7796E50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Поставить замок в люке лаза в днище, обеспечив его закрытие снаружи. </w:t>
      </w:r>
    </w:p>
    <w:p w14:paraId="72DC952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В колпаках жалюзи сделать лючки обеспечивающие заправку и контроль масла не снимая колпаков. </w:t>
      </w:r>
    </w:p>
    <w:p w14:paraId="1352FD1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Конструкцию угольников под коробкой перемены передач сделать такими, которые бы обеспечивали свободное поворачивание К.П.П., не демонтируя её от бортовых фрикционов. </w:t>
      </w:r>
    </w:p>
    <w:p w14:paraId="71C53CC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Поперечную перегородку жалюзи сделать откидной </w:t>
      </w:r>
    </w:p>
    <w:p w14:paraId="36BA09D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Обеспечить плотное закрывание жалюзи, надежность работы закрывающего механизма и предусмотреть возможность фиксации жалюзи изнутри машины в любом положении. </w:t>
      </w:r>
    </w:p>
    <w:p w14:paraId="1A19667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Установить указатель направления и положения угла открытия жалюзи. </w:t>
      </w:r>
    </w:p>
    <w:p w14:paraId="5B7D7EE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Привод всасывающих жалюзи сделать так, чтобы фиксировать только в положении "открыто" и "закрыто" (без промежуточных положений). </w:t>
      </w:r>
    </w:p>
    <w:p w14:paraId="787A7EA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Уменьшить величину захода листов во всех замках. </w:t>
      </w:r>
    </w:p>
    <w:p w14:paraId="0E595D2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Внутреннюю сварку корпуса, башни и приварку бонок производить аустенитовыми электродами. Снаружи корпус и башню варить электродами МД. </w:t>
      </w:r>
    </w:p>
    <w:p w14:paraId="1557798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9) Имеющееся углубление на крыше танка под нишей башни необходимо защитить козырьками. </w:t>
      </w:r>
    </w:p>
    <w:p w14:paraId="57DD4FF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10) Заменить буксирные рымы крюками, обеспечивающими быстроту и удобство взятия машины на буксир. </w:t>
      </w:r>
    </w:p>
    <w:p w14:paraId="605255A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Кроме того, предусмотреть крюк тракторного типа (Ворошиловец). </w:t>
      </w:r>
    </w:p>
    <w:p w14:paraId="51ABEE9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11) Сделать лючок в фальшбортах против соединения бортовых баков. </w:t>
      </w:r>
    </w:p>
    <w:p w14:paraId="4BECB5F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12) Пропустить два сквозных болта в нижней части подковы, предохраняющих от возможности вынимания шаровой установки наружу. </w:t>
      </w:r>
    </w:p>
    <w:p w14:paraId="530D13B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13) Разработать замок люка над мотором, который должен обеспечить фиксацию закрытия из боевого отделения. </w:t>
      </w:r>
    </w:p>
    <w:p w14:paraId="37BAA85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14) Буксирные тороса сделать более надежными – увеличить сечение троса. </w:t>
      </w:r>
    </w:p>
    <w:p w14:paraId="0ED9601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15) Крюк стопорящий люк башни необходимо конструктивно изменить, обеспечив закрывание люка на вылезая из башни наружу. Обеспечить надежное фиксирование крюка. </w:t>
      </w:r>
    </w:p>
    <w:p w14:paraId="4448DCB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16) Дополнительное стопорение люка убрать. </w:t>
      </w:r>
    </w:p>
    <w:p w14:paraId="3A489B2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17) Усилить крепление и стопорение люка вентиляции. </w:t>
      </w:r>
    </w:p>
    <w:p w14:paraId="0E74B08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18) Кормовой лист брони сделать на петлях. </w:t>
      </w:r>
    </w:p>
    <w:p w14:paraId="2DA5464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19) Предусмотреть пробку для спуска воды. </w:t>
      </w:r>
    </w:p>
    <w:p w14:paraId="388692D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XVI. Башня.</w:t>
      </w:r>
    </w:p>
    <w:p w14:paraId="1DBD56D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Для обеспечения удобства и свободной работы экипажа, башню необходимо расширить. Расширение башни произвести без изменений корпуса и наклона брони. </w:t>
      </w:r>
    </w:p>
    <w:p w14:paraId="03BA650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Крепление захватов башни усилить. </w:t>
      </w:r>
    </w:p>
    <w:p w14:paraId="20C2AA5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На цепочке груши поставить тросик с кольцом для удобного пользования при закрывании отверстия. </w:t>
      </w:r>
    </w:p>
    <w:p w14:paraId="670D9B8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Стопор башни из передней части перенести на погон посередине ниши башни и предусмотреть усиление стопорения башни. </w:t>
      </w:r>
    </w:p>
    <w:p w14:paraId="1015692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Улучшить герметичность люка башни за счет более надежного резинового уплотнения. </w:t>
      </w:r>
    </w:p>
    <w:p w14:paraId="207003D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Предусмотреть установку в нише башни пистолета автомата ППД. </w:t>
      </w:r>
    </w:p>
    <w:p w14:paraId="044F2C1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Нижний лист башни усилить до 20 мм. </w:t>
      </w:r>
    </w:p>
    <w:p w14:paraId="6C5A320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XVII. Вооружение.</w:t>
      </w:r>
    </w:p>
    <w:p w14:paraId="5B3F57E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Угол возвышения довести до 30° , а угол снижения по ходу машины и на борта до 5°, согласно т.т. требований. </w:t>
      </w:r>
    </w:p>
    <w:p w14:paraId="281BBC2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Учитывая уширение башни сместить ПТ-1 влево, обеспечив доступ к установке прицела ТОД. </w:t>
      </w:r>
    </w:p>
    <w:p w14:paraId="4B0D83A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Окуляры ПТ-1 и ТОД установить в одной плоскости (горизонт. и верт.). </w:t>
      </w:r>
    </w:p>
    <w:p w14:paraId="6080579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Поставить цепь для предохранения ПТ-1 от выпадания. </w:t>
      </w:r>
    </w:p>
    <w:p w14:paraId="36ACFEF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Устранить возможность задевания рук при одновременной работе подъемным и поворотным механизмами (подъемный механизм перенести вправо). </w:t>
      </w:r>
    </w:p>
    <w:p w14:paraId="25BF268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Ножной спуск отнести влево (по ходу машины) и опустить ниже. Усилить кронштейн. </w:t>
      </w:r>
    </w:p>
    <w:p w14:paraId="3135AAC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Для удобства работы экипажа уменьшить габариты гильзоулавливателя и перенести ручной спуск. </w:t>
      </w:r>
    </w:p>
    <w:p w14:paraId="72E4CAA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При открывании и закрывании затвора сбивается наводка; устранить возможность сбивания. </w:t>
      </w:r>
    </w:p>
    <w:p w14:paraId="4E3EBA3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XVIII. Радио.</w:t>
      </w:r>
    </w:p>
    <w:p w14:paraId="577A922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Рацию 71-ТК-3 из ниши башни убрать и перенести в носовую часть танка. </w:t>
      </w:r>
    </w:p>
    <w:p w14:paraId="144557D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XIX. Поворотный механизм.</w:t>
      </w:r>
    </w:p>
    <w:p w14:paraId="434737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вращение башни электромотором при наклон. до 20°. </w:t>
      </w:r>
    </w:p>
    <w:p w14:paraId="1E219CA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Обеспечить работу поворотного механизма без пробуксовки фрикциона при углах подъема в 25°. </w:t>
      </w:r>
    </w:p>
    <w:p w14:paraId="0A82988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Усилие на рукоятке при вращении поворотного механизма от руки при углах наклона башни уменьшить. </w:t>
      </w:r>
    </w:p>
    <w:p w14:paraId="4F22CDF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ХХ. Смотровые приборы.</w:t>
      </w:r>
    </w:p>
    <w:p w14:paraId="05450CF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Установленные на танке Т-34 смотровые приборы не обеспечивают наблюдение и вождение танка (при закрытых люках). </w:t>
      </w:r>
    </w:p>
    <w:p w14:paraId="450E75E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Смотровые приборы имеют большое мертвое пространство. </w:t>
      </w:r>
    </w:p>
    <w:p w14:paraId="56CF196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 зимних условиях не обеспечивают видимости. </w:t>
      </w:r>
    </w:p>
    <w:p w14:paraId="620D89F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Прибор заносится снегом и грязью (как у водителя, так и в башне). </w:t>
      </w:r>
    </w:p>
    <w:p w14:paraId="3C736A0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Запотевание зеркал и стекол приводит к обледенению. </w:t>
      </w:r>
    </w:p>
    <w:p w14:paraId="32B7747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Не предусмотрена очистка от пыли и осадков. </w:t>
      </w:r>
    </w:p>
    <w:p w14:paraId="42FB147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При стрельбе из пушки защитные стекла у всех приборов лопаются. </w:t>
      </w:r>
    </w:p>
    <w:p w14:paraId="354C743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При обстреле машины по одной стороне башни 37 мм снарядом все зеркала при первом выстреле вышли из строя. </w:t>
      </w:r>
    </w:p>
    <w:p w14:paraId="5113462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На основании перечисленных недостатков считать конструкцию смотровых приборов непригодной. </w:t>
      </w:r>
    </w:p>
    <w:p w14:paraId="6B77671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Разработать новые смотровые приборы с учетом устранения всех перечисленных недостатков. </w:t>
      </w:r>
    </w:p>
    <w:p w14:paraId="5EBBA3A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Предусмотреть аварийную щель для водителя. </w:t>
      </w:r>
    </w:p>
    <w:p w14:paraId="5F82B2C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XXI. Система воздухопуска.</w:t>
      </w:r>
    </w:p>
    <w:p w14:paraId="34109BF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удобный доступ ко второму воздухобаллону. </w:t>
      </w:r>
    </w:p>
    <w:p w14:paraId="7C3B096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Предусмотреть возможность зарядки воздушных баллонов, не вынимая их из машины. </w:t>
      </w:r>
    </w:p>
    <w:p w14:paraId="7FE4654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XXII. Контрольные приборы.</w:t>
      </w:r>
    </w:p>
    <w:p w14:paraId="780DF26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Манометр топлива не пригоден – заменить на манометр со шкалой до 2 атмосфер. </w:t>
      </w:r>
    </w:p>
    <w:p w14:paraId="4A18B69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Устранить резкие перегибы тросов тахометра и спидометра. </w:t>
      </w:r>
    </w:p>
    <w:p w14:paraId="312113E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XXIII. Сервоуправление.</w:t>
      </w:r>
    </w:p>
    <w:p w14:paraId="5D061B8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Устранить следующие недостатки: </w:t>
      </w:r>
    </w:p>
    <w:p w14:paraId="4E59E46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Возможность примерзания клапанов. </w:t>
      </w:r>
    </w:p>
    <w:p w14:paraId="699B1FC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Устранить поломку трубопроводов. </w:t>
      </w:r>
    </w:p>
    <w:p w14:paraId="7F1ED42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Упростить регулировку сервоуправления. </w:t>
      </w:r>
    </w:p>
    <w:p w14:paraId="5CBDEB9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Форсировать установку механического сервоуправления. </w:t>
      </w:r>
    </w:p>
    <w:p w14:paraId="7D03801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XXIV. Прибор кругового обзора.</w:t>
      </w:r>
    </w:p>
    <w:p w14:paraId="0A556E0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Прибор кругового обзора данной конструкции непригоден. </w:t>
      </w:r>
    </w:p>
    <w:p w14:paraId="0A6A2E8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Разработать новый, обеспечивающий от поражения и дающий круговой обзор. </w:t>
      </w:r>
    </w:p>
    <w:p w14:paraId="2688995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XXV. Гусеница.</w:t>
      </w:r>
    </w:p>
    <w:p w14:paraId="616E4D7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Разработать и изготовить конструкцию шпор и зимних траков. </w:t>
      </w:r>
    </w:p>
    <w:p w14:paraId="5F9F431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XXVI. Вентиляция.</w:t>
      </w:r>
    </w:p>
    <w:p w14:paraId="7BDDE0A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Улучшить вентиляцию башни, за счет постановки более мощного вентилятора и дополнительных отверстий в моторной перегородке. </w:t>
      </w:r>
    </w:p>
    <w:p w14:paraId="09FF9CC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ОСОБОЕ МНЕНИЕ</w:t>
      </w:r>
    </w:p>
    <w:p w14:paraId="2E2EC7A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В/инж. 2 – ранга т. СОРКИН</w:t>
      </w:r>
    </w:p>
    <w:p w14:paraId="53AD219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Обеспечиваемый башней угол склонения вкруговую 1°30' является явно недостаточным. </w:t>
      </w:r>
    </w:p>
    <w:p w14:paraId="33EE56E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обеспечения угла склонения вкруговую порядка 5° необходимо для системы Л-11 поднять ось цапф и также ствол относительно оси цапф. </w:t>
      </w:r>
    </w:p>
    <w:p w14:paraId="5987B1F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Поэтому считаю необходимым наряду с максимальным расширением башни (порядка 200 мм) при данном погоне с целью обеспечения минимальных удобств обслуживания, увеличить также несколько (на 60 мм) высоту башни. </w:t>
      </w:r>
    </w:p>
    <w:p w14:paraId="45C3C58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Получающееся при этом уменьшение наклона листов башни с 30° до 28° практически, с точки зрения бронестойкости, значения не имеет. </w:t>
      </w:r>
    </w:p>
    <w:p w14:paraId="027D694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Предлагаемое незначительное увеличение высоты башни, кроме основной цели увеличения угла склонения, обеспечит также более удобное обслуживание орудия в положении стоя (при толчках имеют место удары головой о крышу башни) и также некоторое увеличение кубатуры башни. </w:t>
      </w:r>
    </w:p>
    <w:p w14:paraId="203C296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Установка орудия в спарке с пулеметом выполнена заводом № 183 независимо от проводимой Кировским заводом работы по спарке этого же орудия с пулеметом для танка КВ. Вследствие этого не могла быть соблюдена унификация качающихся частей орудия для обоих танков, не говоря уже о возможной унификации установочных частей. </w:t>
      </w:r>
    </w:p>
    <w:p w14:paraId="3F0D03C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Поэтому, чтобы обеспечить унификацию качающихся частей спаренной установки для обоих танков, необходима одновременная разработка установки орудия в башнях новых танков Конструкторскими Бюро завода № 183 и Кировского завода. </w:t>
      </w:r>
    </w:p>
    <w:p w14:paraId="7156ABF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В/ИНЖ. 2-РАНГА подпись (СОРКИН)</w:t>
      </w:r>
    </w:p>
    <w:p w14:paraId="251088F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Особое мнение Представителя завода № 183</w:t>
      </w:r>
    </w:p>
    <w:p w14:paraId="06640C6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 отчету комиссии по войсковым испытаниям танка Т-34. </w:t>
      </w:r>
    </w:p>
    <w:p w14:paraId="473DAC7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разделу 1 § 4.</w:t>
      </w:r>
    </w:p>
    <w:p w14:paraId="240EC05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принципе конструкция хотя и возможна, но требует проработки нового трубопровода с изменением узлов крепления к корпусу. </w:t>
      </w:r>
    </w:p>
    <w:p w14:paraId="64F5219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разделу IV.</w:t>
      </w:r>
    </w:p>
    <w:p w14:paraId="2B169E3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Работа главного фрикциона за весь период испытаний машины не показала плохой работы всех деталей фрикциона. Ни одна деталь не вышла из строя. </w:t>
      </w:r>
    </w:p>
    <w:p w14:paraId="1DC036D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работе наблюдалось только коробление дисков, причины которого установить ещё не удалось. </w:t>
      </w:r>
    </w:p>
    <w:p w14:paraId="72058D6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разделу VII.</w:t>
      </w:r>
    </w:p>
    <w:p w14:paraId="5A0FAA4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Предлагаемый комиссией к установке 1-й вариант ленивца, хотя и хорошо работавший на машине, все же нами рекомендован быть не может, по причине его меньшей механической прочности по сравнению с 2-м вариантом ленивца. </w:t>
      </w:r>
    </w:p>
    <w:p w14:paraId="260510D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разделу "Радио".</w:t>
      </w:r>
    </w:p>
    <w:p w14:paraId="2B63927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Существующую рацию 71-ТК-3 перенести в нос танка нельзя, как из условий габаритов, так и из условий предъявляемых требований на установку рации. Это же мнение высказывает и специальная комиссия УС КА (см. протокол). </w:t>
      </w:r>
    </w:p>
    <w:p w14:paraId="25F5FBC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 тому же для установки рации в носу потребуется новое ВКУ, которого в данное время нет, и проработка новой антенны и ее ввода на наклонной части корпуса. </w:t>
      </w:r>
    </w:p>
    <w:p w14:paraId="68C9BF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В целом, не отмечая остальных недостатков такой установки рации в носу, рацию 71-ТК-3 перенести в нос танка – нельзя. </w:t>
      </w:r>
    </w:p>
    <w:p w14:paraId="1ED34E3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разделу «Смотровые приборы».</w:t>
      </w:r>
    </w:p>
    <w:p w14:paraId="2B6B88C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Другой конструкции смотровых приборов в данное время завод предложить не может. Заявление комиссии о разработке новых приборов – принимаем к сведению, но окончательное заключение можно дать только после их изготовления и последующего испытания на машине. </w:t>
      </w:r>
    </w:p>
    <w:p w14:paraId="576A8E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разделу "Прибор кругового обзора".</w:t>
      </w:r>
    </w:p>
    <w:p w14:paraId="2DE2550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Прибор кругового обзора хотя и не обеспечивает обзора на 360°, но являясь дополнительным прибором наблюдения, целиком удовлетворяет своему назначению. Поскольку комиссия, кроме заключения, что прибор не пригоден, больше ни каких недостатков самого прибора не приводит, а другой конструкции прибора завод не имеет – предложить на программу 1940 г. новую конструкцию смотрового прибора не можем. </w:t>
      </w:r>
    </w:p>
    <w:p w14:paraId="5EE3B4D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разделу XVI.</w:t>
      </w:r>
    </w:p>
    <w:p w14:paraId="609DA61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Замечания комиссии о расширении башни – не конкретны. Без изменения погона, корпуса и наклона брони можно расширить башню, в зоне расположения экипажа, завод может только на 160 мм по диаметру. Всякое большее расширение башни возможно только с переделками погона, корпуса и самой башни. </w:t>
      </w:r>
    </w:p>
    <w:p w14:paraId="1AFAE36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ПРЕДСТАВИТЕЛЬ ЗАВОДА 183 НАЧАЛЬНИК 520 подпись (МОРОЗОВ)</w:t>
      </w:r>
    </w:p>
    <w:p w14:paraId="25F3C99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Отпеч. 5 экз. </w:t>
      </w:r>
    </w:p>
    <w:p w14:paraId="14890BB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 в адрес </w:t>
      </w:r>
    </w:p>
    <w:p w14:paraId="6892E98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 в д. </w:t>
      </w:r>
    </w:p>
    <w:p w14:paraId="6715EAE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w:t>
      </w:r>
    </w:p>
    <w:p w14:paraId="4EE0D03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Е.К. п. № 1481 </w:t>
      </w:r>
    </w:p>
    <w:p w14:paraId="219FDDD1" w14:textId="77777777" w:rsidR="00114775" w:rsidRPr="00DB5D0D" w:rsidRDefault="00114775" w:rsidP="00DB5D0D">
      <w:pPr>
        <w:spacing w:after="0" w:line="240" w:lineRule="auto"/>
        <w:jc w:val="both"/>
        <w:rPr>
          <w:rFonts w:ascii="Times New Roman" w:hAnsi="Times New Roman"/>
          <w:color w:val="000000" w:themeColor="text1"/>
          <w:sz w:val="16"/>
          <w:szCs w:val="16"/>
        </w:rPr>
      </w:pPr>
      <w:r w:rsidRPr="00DB5D0D">
        <w:rPr>
          <w:rFonts w:ascii="Times New Roman" w:eastAsia="Times New Roman" w:hAnsi="Times New Roman"/>
          <w:color w:val="000000" w:themeColor="text1"/>
          <w:sz w:val="16"/>
          <w:szCs w:val="16"/>
          <w:lang w:eastAsia="ru-RU"/>
        </w:rPr>
        <w:t>6/V-40 г.</w:t>
      </w:r>
    </w:p>
    <w:p w14:paraId="0D0D51A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3 Дело 2165 Лист 1 – 85 (17620).</w:t>
      </w:r>
    </w:p>
    <w:p w14:paraId="53013187" w14:textId="77777777" w:rsidR="00114775" w:rsidRPr="00DB5D0D" w:rsidRDefault="00114775" w:rsidP="00DB5D0D">
      <w:pPr>
        <w:spacing w:after="0" w:line="240" w:lineRule="auto"/>
        <w:jc w:val="both"/>
        <w:rPr>
          <w:rFonts w:ascii="Times New Roman" w:hAnsi="Times New Roman"/>
          <w:color w:val="000000" w:themeColor="text1"/>
          <w:sz w:val="16"/>
          <w:szCs w:val="16"/>
        </w:rPr>
      </w:pPr>
    </w:p>
    <w:p w14:paraId="6FD5F00A" w14:textId="77777777" w:rsidR="008D3BAC" w:rsidRPr="00DB5D0D" w:rsidRDefault="008D3BA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конце мая 1940 г. заводом № 183 было выполнено требование комиссии по войсковым испытаниям сделать верхний лист кормы корпуса танка Т-34 откидным. В конструкцию кормы танка были введены две петли, каждая из которых своими створками приваривалась к верхнему и нижнему кормовым листам, соединяя их. При ремонте или техническом обслуживании машины верхний кормовой лист мог откидываться, поворачиваясь в вертикальной плоскости, и таким образом обеспечивать доступ к узлам и агрегатам, расположенным в трансмиссионном отделении танка. </w:t>
      </w:r>
    </w:p>
    <w:p w14:paraId="7D66B454" w14:textId="77777777" w:rsidR="008D3BAC" w:rsidRPr="00DB5D0D" w:rsidRDefault="008D3BA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Также, по требованию комиссии по войсковым испытаниям, сделавшей вывод о том, что </w:t>
      </w:r>
      <w:r w:rsidRPr="00DB5D0D">
        <w:rPr>
          <w:rFonts w:ascii="Times New Roman" w:hAnsi="Times New Roman"/>
          <w:iCs/>
          <w:color w:val="000000" w:themeColor="text1"/>
          <w:sz w:val="16"/>
          <w:szCs w:val="16"/>
        </w:rPr>
        <w:t xml:space="preserve">«ввиду сложности обслуживания и ремонта в войсках </w:t>
      </w:r>
      <w:r w:rsidRPr="00DB5D0D">
        <w:rPr>
          <w:rFonts w:ascii="Times New Roman" w:hAnsi="Times New Roman"/>
          <w:color w:val="000000" w:themeColor="text1"/>
          <w:sz w:val="16"/>
          <w:szCs w:val="16"/>
        </w:rPr>
        <w:t>[пневматического]</w:t>
      </w:r>
      <w:r w:rsidRPr="00DB5D0D">
        <w:rPr>
          <w:rFonts w:ascii="Times New Roman" w:hAnsi="Times New Roman"/>
          <w:iCs/>
          <w:color w:val="000000" w:themeColor="text1"/>
          <w:sz w:val="16"/>
          <w:szCs w:val="16"/>
        </w:rPr>
        <w:t xml:space="preserve"> сервоуправления, необходимо форсировать изготовление механического сервоуправления»</w:t>
      </w:r>
      <w:r w:rsidRPr="00DB5D0D">
        <w:rPr>
          <w:rFonts w:ascii="Times New Roman" w:hAnsi="Times New Roman"/>
          <w:color w:val="000000" w:themeColor="text1"/>
          <w:sz w:val="16"/>
          <w:szCs w:val="16"/>
        </w:rPr>
        <w:t>, конструктором КБ-520 П.П. Васильевым в начале мая 1940 г. была завершена разработка механической системы сервоприводов управления. С учётом срочности работ, монтаж механической системы сервоприводов управления на опытную машину был произведен без надлежащего оформления чертежей, под непосредственным руководством П.П. Васильева. В механической системе сервоприводов управления, в отличие от пневматической, уменьшение усилий, прилагаемых механиком-водителем к рычагам управления бортовыми фрикционами во время движения танка, было достигнуто за счет взаимодействия системы рычагов и вспомогательных пружин. Механический сервопривод управления действовал при выключении бортовых фрикционов и при затяжке тормозных лент рычагами. Кроме этого, за счет изменения установки возвратных пружин в приводе, было снижено усилие, прилагаемое к педали горного (остановочного) тормоза (18076).</w:t>
      </w:r>
    </w:p>
    <w:p w14:paraId="6820EEBA" w14:textId="77777777" w:rsidR="008D3BAC" w:rsidRPr="00DB5D0D" w:rsidRDefault="008D3BAC" w:rsidP="00DB5D0D">
      <w:pPr>
        <w:spacing w:after="0" w:line="240" w:lineRule="auto"/>
        <w:jc w:val="both"/>
        <w:rPr>
          <w:rFonts w:ascii="Times New Roman" w:hAnsi="Times New Roman"/>
          <w:color w:val="000000" w:themeColor="text1"/>
          <w:sz w:val="16"/>
          <w:szCs w:val="16"/>
        </w:rPr>
      </w:pPr>
    </w:p>
    <w:p w14:paraId="52734B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1940 начальник АБТУ КА Д. Павлов в своем донесении на имя нового наркома обороны СССР Маршала Советского Союза С. Тимошенко просил о выпуске в 1940 году на заводе № 183 не менее 500 танков Т-34. В этом документе Павлов писал:</w:t>
      </w:r>
    </w:p>
    <w:p w14:paraId="2C1BF0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«Представляю утверждение отчет Комиссии по войсковым испытаниям опытных образцов танка Т-34, принятого на вооружение Красной Армии постановлением КО при СНК ССР № 443 сс от19.12.1939 г.</w:t>
      </w:r>
    </w:p>
    <w:p w14:paraId="46EE2A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вопросам, выдвинутым в особых мнениях представителями артиллерийского управления Красной Армии военинженером 2-го ранга т. Сорокиным и завода № 183 т. Морозовым, докладываю:</w:t>
      </w:r>
    </w:p>
    <w:p w14:paraId="39E6BC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Расширение башни на 160 мм без переделки погона башни и корпуса, предложенное заводом № 183, мною утверждено. С увеличением высоты башни не согласен, так как это ведет к увеличению цели для противника, а надобности в этом нет, ибо угол склонения 5 градусов вперед и по бортам обеспечен.</w:t>
      </w:r>
    </w:p>
    <w:p w14:paraId="63CA37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 унификацией качающихся частей орудия с танками другого класса не согласен, так как это приведет к увеличению веса танка Т-34.</w:t>
      </w:r>
    </w:p>
    <w:p w14:paraId="5FC72E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работе главного фрикциона разногласий по существу нет, так как завод сам признал, что причины ко робления дисков установить еще не удалось. Коробление же дисков является существенным дефектом.</w:t>
      </w:r>
    </w:p>
    <w:p w14:paraId="774C32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Ленивец мною утвержден по 2-му варианту, с внутренним регулированием натяжения гусеницы, как наиболее прочный и защищенный от поражения.</w:t>
      </w:r>
    </w:p>
    <w:p w14:paraId="414BBF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Установку рации настаиваю перенести в носовую часть танка, дабы освободить командира танка для ведения боя. В носовой части танка предусмотрено размещение стрелка- радиста.</w:t>
      </w:r>
    </w:p>
    <w:p w14:paraId="11FB1A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Конструкцию смотровых приборов настаиваю переделать за счет применения металлических зеркал и триплекса.</w:t>
      </w:r>
    </w:p>
    <w:p w14:paraId="692AF3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Прибор кругового обзора на 1940 год утвердил в том виде, как он представлен на опытных образцах.</w:t>
      </w:r>
    </w:p>
    <w:p w14:paraId="2FD7BE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первых числах июня с.г. завод № 183 изготовит опытную партию (10 шт.) танков Т-34 по чертежам опытного образца. Мною дано разрешение заводам Мариупольскому (по броне) и № 183 на изготовление еще 10 танков Т-34 по чертежам опытного образца, дабы тщательней отработать технологию производства к серийному выпуску.</w:t>
      </w:r>
    </w:p>
    <w:p w14:paraId="02A812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комиссии по войсковым испытаниям и мои решения прошу утвердить» (12217).</w:t>
      </w:r>
    </w:p>
    <w:p w14:paraId="04DC804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3190C4" w14:textId="77777777" w:rsidR="00786827" w:rsidRPr="00DB5D0D" w:rsidRDefault="007868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самом конце мая 1940 г. Отчет № 014 об испытании литых траков был окончательно оформлен и подписан, и 3 июня с препроводительными письмами № СО2854 отправлен с завода № 183 в АБТУ РККА и Главспецмаш НКСМ для принятия решения о вводе литых траков в серийное производство. Изучив результаты испытаний литых траков, 29 июня 1940 г. начальник 8-го отдела АБТУ РККА военинженер 1 ранга С.А. Афонин направил начальнику Главспецмаша НКСМ СССР Г.С. Суреняну письмо № 74005с следующего содержания: </w:t>
      </w:r>
    </w:p>
    <w:p w14:paraId="7A8B746D" w14:textId="77777777" w:rsidR="00786827" w:rsidRPr="00DB5D0D" w:rsidRDefault="0078682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«Хотя предварительные испытания литой гусеницы дали ряд положительных результатов, но несмотря на это окончательного вывода о введении на серийное производство сделать нельзя, так как пройденный километраж за время испытаний (417 км) недостаточен. </w:t>
      </w:r>
    </w:p>
    <w:p w14:paraId="52FE6442" w14:textId="77777777" w:rsidR="00786827" w:rsidRPr="00DB5D0D" w:rsidRDefault="007868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АБТУ КА считает необходимым испытываемый образец литой гусеницы подвергнуть испытанию до полного износа. Необходимо устранить указанные в отчете недоработки по тракам и изготовить 2 комплекта этой гусеницы, которые подвергнуть испытанию на гарантийный километраж на танках, предъявленных госкомиссии для испытания двигателя М-250».</w:t>
      </w:r>
      <w:r w:rsidRPr="00DB5D0D">
        <w:rPr>
          <w:rFonts w:ascii="Times New Roman" w:hAnsi="Times New Roman"/>
          <w:color w:val="000000" w:themeColor="text1"/>
          <w:sz w:val="16"/>
          <w:szCs w:val="16"/>
        </w:rPr>
        <w:t xml:space="preserve"> </w:t>
      </w:r>
    </w:p>
    <w:p w14:paraId="0459145E" w14:textId="77777777" w:rsidR="00786827" w:rsidRPr="00DB5D0D" w:rsidRDefault="00786827" w:rsidP="00DB5D0D">
      <w:pPr>
        <w:pStyle w:val="ae"/>
        <w:spacing w:before="0" w:after="0"/>
        <w:jc w:val="both"/>
        <w:rPr>
          <w:color w:val="000000" w:themeColor="text1"/>
          <w:sz w:val="16"/>
          <w:szCs w:val="16"/>
        </w:rPr>
      </w:pPr>
      <w:r w:rsidRPr="00DB5D0D">
        <w:rPr>
          <w:bCs/>
          <w:color w:val="000000" w:themeColor="text1"/>
          <w:sz w:val="16"/>
          <w:szCs w:val="16"/>
        </w:rPr>
        <w:t>[РГВА. Ф.31811. Оп. 2. Д. 1181. Л 117]</w:t>
      </w:r>
    </w:p>
    <w:p w14:paraId="686F0C33" w14:textId="77777777" w:rsidR="00786827" w:rsidRPr="00DB5D0D" w:rsidRDefault="007868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Ход дальнейших событий показал, что во время испытаний литых траков, проведенных одновременно с государственными испытаниями дизеля М-250 в августе – сентябре 1940 г., все траки бездефектно проработали до 600 – 700 км, а часть из них выдержала испытание на дистанции вдвое большей. Однако, из-за недостаточного гарантийного срока службы, литые траки, так и небыли утверждены руководством АБТУ РККА на серийное производство. Но исходя из экономических и технологических факторов, а так же надежды на то, что СТЗ удастся в кратчайшие сроки улучшить качество литых траков и добиться требуемых показателей по гарантийному ресурсу (до 2000 км), в 1940 г. на серийные танки Т-34 устанавливались именно они, вместо утвержденных АБТУ РККА штампованных (17625). </w:t>
      </w:r>
    </w:p>
    <w:p w14:paraId="0733E742" w14:textId="77777777" w:rsidR="00786827" w:rsidRPr="00DB5D0D" w:rsidRDefault="00786827" w:rsidP="00DB5D0D">
      <w:pPr>
        <w:spacing w:after="0" w:line="240" w:lineRule="auto"/>
        <w:jc w:val="both"/>
        <w:rPr>
          <w:rFonts w:ascii="Times New Roman" w:hAnsi="Times New Roman"/>
          <w:color w:val="000000" w:themeColor="text1"/>
          <w:sz w:val="16"/>
          <w:szCs w:val="16"/>
        </w:rPr>
      </w:pPr>
    </w:p>
    <w:p w14:paraId="6D3B83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1940 немцы переправили в Ленинград недостроенный крейсер «Лютцов» (11208).</w:t>
      </w:r>
    </w:p>
    <w:p w14:paraId="1F338BE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789D264" w14:textId="77777777" w:rsidR="007113B6" w:rsidRPr="00DB5D0D" w:rsidRDefault="007113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мая 1940 немцы переправили в Ленинград недостроенный крейсер «Лютцов» [597] (18279).</w:t>
      </w:r>
    </w:p>
    <w:p w14:paraId="1D58FAC8" w14:textId="77777777" w:rsidR="007113B6" w:rsidRPr="00DB5D0D" w:rsidRDefault="007113B6" w:rsidP="00DB5D0D">
      <w:pPr>
        <w:spacing w:after="0" w:line="240" w:lineRule="auto"/>
        <w:jc w:val="both"/>
        <w:rPr>
          <w:rFonts w:ascii="Times New Roman" w:hAnsi="Times New Roman"/>
          <w:color w:val="000000" w:themeColor="text1"/>
          <w:sz w:val="16"/>
          <w:szCs w:val="16"/>
        </w:rPr>
      </w:pPr>
    </w:p>
    <w:p w14:paraId="799983D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163263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3BD1F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 мнение, что именно в мае 1940 пришло решение о переделки двухместной машины БШ-2 в одноместную для увеличенния дальности за счет повышения запаса топлива (241,14), но этому нет документальных подтверждений</w:t>
      </w:r>
    </w:p>
    <w:p w14:paraId="296AD1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в НИИ ВВС поступил эскизный проект одноместного одномоторного истребителя Д.Л.Томашевича (по-видимому И-110) и его на заключение дали И.Г.Рабкину, а работой руководил А.С.Воеводин (1204,18).</w:t>
      </w:r>
    </w:p>
    <w:p w14:paraId="01F0BA4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B272F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мае 1940 г. командование ВВС трижды обращалось к руководству НКАП с просьбой ускорить выпуск самолетов БШ-2. Несмотря на положительные результаты государственных испытаний и рекомендацию Технического совета НИИ ВВС о постройке войсковой серии БШ-2, наркомат авиапромышленности довольно долго не мог определиться с заводом, на котором их строить. Дело в том, что в этих документах речь шла всего лишь о постройке 65 машин для проведения войсковых испытаний. Это обстоятельство для руководства Н КАП имело принципиальное значение. Наркомату было трудно разместить заказ на самолет, еще не принятый на </w:t>
      </w:r>
      <w:r w:rsidRPr="00DB5D0D">
        <w:rPr>
          <w:rFonts w:ascii="Times New Roman" w:hAnsi="Times New Roman"/>
          <w:color w:val="000000" w:themeColor="text1"/>
          <w:sz w:val="16"/>
          <w:szCs w:val="16"/>
        </w:rPr>
        <w:lastRenderedPageBreak/>
        <w:t>вооружение ВВС КА. Возможности советской авиапромышленности все же не были безграничными. Заводы были загружены выпуском серийных образцов и освоением производства новых типов самолетов, принятых на вооружение. При этом в случае принятия БШ-2 на вооружение завод должен быстро развернуть его массовый выпуск. В тоже время производство БШ-2 требовало довольно сложной кооперации заводов. Так, поблизости от самолетостроительного завода необходимо было иметь мощное металлургическое и машиностроительное производства для варки броневой стали, проката листов из нее и изготовления бро- некорпусов. Именно этим и объясняются колебания НКАП при решении вопроса о заводе для постройки БШ-2 (12020).</w:t>
      </w:r>
    </w:p>
    <w:p w14:paraId="7960B40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CB8540" w14:textId="77777777" w:rsidR="00A41A9A" w:rsidRPr="00DB5D0D" w:rsidRDefault="00A41A9A" w:rsidP="00DB5D0D">
      <w:pPr>
        <w:pStyle w:val="121"/>
        <w:shd w:val="clear" w:color="auto" w:fill="auto"/>
        <w:spacing w:line="240" w:lineRule="auto"/>
        <w:jc w:val="both"/>
        <w:rPr>
          <w:rFonts w:ascii="Times New Roman" w:hAnsi="Times New Roman" w:cs="Times New Roman"/>
          <w:b w:val="0"/>
          <w:bCs w:val="0"/>
          <w:color w:val="0070C0"/>
          <w:sz w:val="16"/>
          <w:szCs w:val="16"/>
        </w:rPr>
      </w:pPr>
      <w:r w:rsidRPr="00DB5D0D">
        <w:rPr>
          <w:rFonts w:ascii="Times New Roman" w:hAnsi="Times New Roman" w:cs="Times New Roman"/>
          <w:b w:val="0"/>
          <w:bCs w:val="0"/>
          <w:color w:val="0070C0"/>
          <w:sz w:val="16"/>
          <w:szCs w:val="16"/>
        </w:rPr>
        <w:t xml:space="preserve">В мае 1940, согласно </w:t>
      </w:r>
      <w:r w:rsidRPr="00DB5D0D">
        <w:rPr>
          <w:rStyle w:val="120pt"/>
          <w:rFonts w:ascii="Times New Roman" w:hAnsi="Times New Roman" w:cs="Times New Roman"/>
          <w:b w:val="0"/>
          <w:bCs w:val="0"/>
          <w:i w:val="0"/>
          <w:iCs w:val="0"/>
          <w:color w:val="0070C0"/>
          <w:w w:val="100"/>
          <w:sz w:val="16"/>
          <w:szCs w:val="16"/>
        </w:rPr>
        <w:t>вос</w:t>
      </w:r>
      <w:r w:rsidRPr="00DB5D0D">
        <w:rPr>
          <w:rStyle w:val="120pt"/>
          <w:rFonts w:ascii="Times New Roman" w:hAnsi="Times New Roman" w:cs="Times New Roman"/>
          <w:b w:val="0"/>
          <w:bCs w:val="0"/>
          <w:i w:val="0"/>
          <w:iCs w:val="0"/>
          <w:color w:val="0070C0"/>
          <w:w w:val="100"/>
          <w:sz w:val="16"/>
          <w:szCs w:val="16"/>
        </w:rPr>
        <w:softHyphen/>
        <w:t>поминаний генерал-полковника А.Н. Пономарева, возглавляв</w:t>
      </w:r>
      <w:r w:rsidRPr="00DB5D0D">
        <w:rPr>
          <w:rStyle w:val="120pt"/>
          <w:rFonts w:ascii="Times New Roman" w:hAnsi="Times New Roman" w:cs="Times New Roman"/>
          <w:b w:val="0"/>
          <w:bCs w:val="0"/>
          <w:i w:val="0"/>
          <w:iCs w:val="0"/>
          <w:color w:val="0070C0"/>
          <w:w w:val="100"/>
          <w:sz w:val="16"/>
          <w:szCs w:val="16"/>
        </w:rPr>
        <w:softHyphen/>
        <w:t>шего в те годы инженерный факультет академии им. Н.Е. Жуковского%</w:t>
      </w:r>
    </w:p>
    <w:p w14:paraId="6CC3E7DA" w14:textId="77777777" w:rsidR="00A41A9A" w:rsidRPr="00DB5D0D" w:rsidRDefault="00A41A9A" w:rsidP="00DB5D0D">
      <w:pPr>
        <w:pStyle w:val="121"/>
        <w:shd w:val="clear" w:color="auto" w:fill="auto"/>
        <w:spacing w:line="240" w:lineRule="auto"/>
        <w:jc w:val="both"/>
        <w:rPr>
          <w:rFonts w:ascii="Times New Roman" w:hAnsi="Times New Roman" w:cs="Times New Roman"/>
          <w:b w:val="0"/>
          <w:bCs w:val="0"/>
          <w:color w:val="0070C0"/>
          <w:sz w:val="16"/>
          <w:szCs w:val="16"/>
        </w:rPr>
      </w:pPr>
      <w:r w:rsidRPr="00DB5D0D">
        <w:rPr>
          <w:rFonts w:ascii="Times New Roman" w:hAnsi="Times New Roman" w:cs="Times New Roman"/>
          <w:b w:val="0"/>
          <w:bCs w:val="0"/>
          <w:color w:val="0070C0"/>
          <w:sz w:val="16"/>
          <w:szCs w:val="16"/>
        </w:rPr>
        <w:t>«В один из майских дней 1940 года... вопрос о се</w:t>
      </w:r>
      <w:r w:rsidRPr="00DB5D0D">
        <w:rPr>
          <w:rFonts w:ascii="Times New Roman" w:hAnsi="Times New Roman" w:cs="Times New Roman"/>
          <w:b w:val="0"/>
          <w:bCs w:val="0"/>
          <w:color w:val="0070C0"/>
          <w:sz w:val="16"/>
          <w:szCs w:val="16"/>
        </w:rPr>
        <w:softHyphen/>
        <w:t>рийном выпуске штурмовика обсуждался на совещании у И. В. Сталина. ...Некоторые участники совещания стали упрекать конструктора за то, что БШ-2 имеет слишком малую дальность полета, около 620 км... Стали предлагать для увеличения даль</w:t>
      </w:r>
      <w:r w:rsidRPr="00DB5D0D">
        <w:rPr>
          <w:rFonts w:ascii="Times New Roman" w:hAnsi="Times New Roman" w:cs="Times New Roman"/>
          <w:b w:val="0"/>
          <w:bCs w:val="0"/>
          <w:color w:val="0070C0"/>
          <w:sz w:val="16"/>
          <w:szCs w:val="16"/>
        </w:rPr>
        <w:softHyphen/>
        <w:t>ности и потолка самолета облегчить его и превратить в одно</w:t>
      </w:r>
      <w:r w:rsidRPr="00DB5D0D">
        <w:rPr>
          <w:rFonts w:ascii="Times New Roman" w:hAnsi="Times New Roman" w:cs="Times New Roman"/>
          <w:b w:val="0"/>
          <w:bCs w:val="0"/>
          <w:color w:val="0070C0"/>
          <w:sz w:val="16"/>
          <w:szCs w:val="16"/>
        </w:rPr>
        <w:softHyphen/>
        <w:t>местный. ... Сергей Владимирович возражал и доказывал, что штурмовик — это самолет поля боя, предназначенный для дей</w:t>
      </w:r>
      <w:r w:rsidRPr="00DB5D0D">
        <w:rPr>
          <w:rFonts w:ascii="Times New Roman" w:hAnsi="Times New Roman" w:cs="Times New Roman"/>
          <w:b w:val="0"/>
          <w:bCs w:val="0"/>
          <w:color w:val="0070C0"/>
          <w:sz w:val="16"/>
          <w:szCs w:val="16"/>
        </w:rPr>
        <w:softHyphen/>
        <w:t>ствий с малых высот. Такому самолету не нужны большая даль</w:t>
      </w:r>
      <w:r w:rsidRPr="00DB5D0D">
        <w:rPr>
          <w:rFonts w:ascii="Times New Roman" w:hAnsi="Times New Roman" w:cs="Times New Roman"/>
          <w:b w:val="0"/>
          <w:bCs w:val="0"/>
          <w:color w:val="0070C0"/>
          <w:sz w:val="16"/>
          <w:szCs w:val="16"/>
        </w:rPr>
        <w:softHyphen/>
        <w:t>ность и значительный потолок.... С мнением главного конструк</w:t>
      </w:r>
      <w:r w:rsidRPr="00DB5D0D">
        <w:rPr>
          <w:rFonts w:ascii="Times New Roman" w:hAnsi="Times New Roman" w:cs="Times New Roman"/>
          <w:b w:val="0"/>
          <w:bCs w:val="0"/>
          <w:color w:val="0070C0"/>
          <w:sz w:val="16"/>
          <w:szCs w:val="16"/>
        </w:rPr>
        <w:softHyphen/>
        <w:t>тора не согласились, и было решено запускать в серию одно</w:t>
      </w:r>
      <w:r w:rsidRPr="00DB5D0D">
        <w:rPr>
          <w:rFonts w:ascii="Times New Roman" w:hAnsi="Times New Roman" w:cs="Times New Roman"/>
          <w:b w:val="0"/>
          <w:bCs w:val="0"/>
          <w:color w:val="0070C0"/>
          <w:sz w:val="16"/>
          <w:szCs w:val="16"/>
        </w:rPr>
        <w:softHyphen/>
        <w:t>местный штурмовик».</w:t>
      </w:r>
      <w:r w:rsidRPr="00DB5D0D">
        <w:rPr>
          <w:rStyle w:val="120pt"/>
          <w:rFonts w:ascii="Times New Roman" w:hAnsi="Times New Roman" w:cs="Times New Roman"/>
          <w:b w:val="0"/>
          <w:bCs w:val="0"/>
          <w:i w:val="0"/>
          <w:iCs w:val="0"/>
          <w:color w:val="0070C0"/>
          <w:w w:val="100"/>
          <w:sz w:val="16"/>
          <w:szCs w:val="16"/>
        </w:rPr>
        <w:t xml:space="preserve"> Как видим, Пономарев обошелся без столь важной конкретики, однако не исключено, что роковое для судеб многих летчиков Ил-2 решение было принято под влияни</w:t>
      </w:r>
      <w:r w:rsidRPr="00DB5D0D">
        <w:rPr>
          <w:rStyle w:val="120pt"/>
          <w:rFonts w:ascii="Times New Roman" w:hAnsi="Times New Roman" w:cs="Times New Roman"/>
          <w:b w:val="0"/>
          <w:bCs w:val="0"/>
          <w:i w:val="0"/>
          <w:iCs w:val="0"/>
          <w:color w:val="0070C0"/>
          <w:w w:val="100"/>
          <w:sz w:val="16"/>
          <w:szCs w:val="16"/>
        </w:rPr>
        <w:softHyphen/>
        <w:t>ем мнения далеких от военного дела кремлевских политиков (19854).</w:t>
      </w:r>
    </w:p>
    <w:p w14:paraId="32A27CEC" w14:textId="77777777" w:rsidR="00A41A9A" w:rsidRPr="00DB5D0D" w:rsidRDefault="00A41A9A" w:rsidP="00DB5D0D">
      <w:pPr>
        <w:spacing w:after="0" w:line="240" w:lineRule="auto"/>
        <w:jc w:val="both"/>
        <w:rPr>
          <w:rFonts w:ascii="Times New Roman" w:hAnsi="Times New Roman"/>
          <w:color w:val="0070C0"/>
          <w:sz w:val="16"/>
          <w:szCs w:val="16"/>
        </w:rPr>
      </w:pPr>
    </w:p>
    <w:p w14:paraId="0DE7F7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1939 были проведены летные и полигонные государственные испытания пред"явленных нами образцов прозрачной комбинированной брони.</w:t>
      </w:r>
    </w:p>
    <w:p w14:paraId="17019D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ВВС РККА утвердив результаты испытаний рекомендовал Военному Совету ВВС РККА принять комбинированную прозрачную броню на вооружение ВВС РККА</w:t>
      </w:r>
    </w:p>
    <w:p w14:paraId="33F524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Комбинированная броня обладала следующей пулестойкостью: при весе 1 кв. м брони 98 кг 400 м по нормали, 200 м под угоом 25 гр. и 150 м -35° по нормали.</w:t>
      </w:r>
    </w:p>
    <w:p w14:paraId="5E812B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Немаловажную роль в задержке внедрения брони сыграло замечание Зам. Нач. ВВС РККА комдива т. Алексеева в акте о принятии брони на вооружение большого веса козырька (20 кг для И-16). Между тем, простым конструктивным оформлением данного козырька его вес удалось снизить до 10 кг (10493,86).</w:t>
      </w:r>
    </w:p>
    <w:p w14:paraId="1C650E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BF636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советский авиаконструктор С. А. Кочеригин предложил и затем строил многоцелевой бронированный пикировщик-штурмовик ОПБ с мотором М-90 (позже с М-89 и АМ-37), полностью отвечавший требованиям немецкого генерала к самолету поля боя и превосходивший по всему комплексу летно-боевых показателей немецкий Hsl23.</w:t>
      </w:r>
    </w:p>
    <w:p w14:paraId="5F8B21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ОПБ в варианте с мотором АМ-37 состояло из двух синхронных 12,7 мм пулеметов БС (боекомплект 400 патронов) и двух пулеметов ШКАС (боекомплект 1500 патронов). В перегрузку под крылом могли размещаться две пушки калибра 20-23 мм. Предусматривалось использование трех бомбодержателей (два под крылом и один в фюзеляжном бомбоотсеке), которые обеспечивали бомбометание с пикирования. В фюзеляжном бомбоотсеке на параллелограмме могла подвешиваться одна из бомб следующего типа:</w:t>
      </w:r>
    </w:p>
    <w:p w14:paraId="779C30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ФАБ-500, БРАБ-500, ФАБ-250, БРАБ-200, БЕТАБ-150. Подкрыльевые держатели обеспечивали подвеску авиабомб калибра 100 и 250 кг. Предусматривалась возможность установки ракетных орудий РО-82.</w:t>
      </w:r>
    </w:p>
    <w:p w14:paraId="3E0165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полета машины по проекту у земли 462 км/ч, на высоте 7000 м - 580 км/ч. Время набора высоты 5000 м - 6,8 минут. Дальность полета - 960 км (с дополнительным бензобаком 1560 км).</w:t>
      </w:r>
    </w:p>
    <w:p w14:paraId="56944D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Анализируя боевые возможности ОПБ, можно с уверенностью сказать, что кочеригинский пикировщик-штурмовик имел все шансы стать оптимальным самолетом поля боя применительно к условиям боев 2-й Мировой войны как боевая машина, сочетающая в себе качества пикирующего бомбардировщика и самолета-штурмовика - точность бомбовых ударов и способность "утюжить" позиции противника под интенсивным огнем средств ПВО. Самолет довольно хорошо отвечал требованиям, предъявляемым к авиации при решении боевых задач как в глубокой наступательной, так и в глубокоэшелонированной оборонительной операциях.</w:t>
      </w:r>
    </w:p>
    <w:p w14:paraId="125C47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Остается только сожалеть, что такая интересная и нужная для ВВС и Красной Армии машина не была реализована.</w:t>
      </w:r>
    </w:p>
    <w:p w14:paraId="7933F0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сказать, С. А. Кочеригин, пожалуй, был первым, кто четко придерживался концепции использования в качестве самолета поля боя истребителя-бомбардировщика и истребителя-штурмовика. Под его руководством в 1939 г. был разработан проект скоростного многоцелевого штурмовика ОБШ (ОКБ-3), который по своим данным был очень близок к требованиям концепции Купфера, особенно при использовании моторов М-82 и М-82ИР.</w:t>
      </w:r>
    </w:p>
    <w:p w14:paraId="5899A8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Расчеты показывают, что при использовании моторов М-82 или М-82ИР кочеригинский ОБШ с усиленным бронированием и вооружением (две пушки ВЯ-23, 200 кг) вполне мог составить серьезную конкуренцию ильюшинскому штурмовику Ил-2 АМ-38, превосходя последний практически по всем летно-техническим и боевым характеристикам и имея при этом более живучий в бою мотор.</w:t>
      </w:r>
    </w:p>
    <w:p w14:paraId="19EAF2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полетной массе 3800 кг максимальная скорость ОБШ М-82 (М-82ИР) у земли составляла - 431 (479 - на форсаже) км/ч, а на высоте 2000 (2600) м - 501 (510 - на форсаже) км/ч. Высоту 2000 м ОБШ М-82 набирал бы в 1,5 раза быстрее, чем Ил-2 АМ-38. Взлетно-посадочные свойства машины также ожидались лучше (9084).</w:t>
      </w:r>
    </w:p>
    <w:p w14:paraId="656855F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EB745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проект ОПБ М-90 утвердили, далее началось его рабочее проектирование. Кочеригин, вдохновленный удачным разви</w:t>
      </w:r>
      <w:r w:rsidRPr="00DB5D0D">
        <w:rPr>
          <w:rFonts w:ascii="Times New Roman" w:hAnsi="Times New Roman"/>
          <w:color w:val="000000" w:themeColor="text1"/>
          <w:sz w:val="16"/>
          <w:szCs w:val="16"/>
        </w:rPr>
        <w:softHyphen/>
        <w:t>тием работ, обратился в наркомат авиапро</w:t>
      </w:r>
      <w:r w:rsidRPr="00DB5D0D">
        <w:rPr>
          <w:rFonts w:ascii="Times New Roman" w:hAnsi="Times New Roman"/>
          <w:color w:val="000000" w:themeColor="text1"/>
          <w:sz w:val="16"/>
          <w:szCs w:val="16"/>
        </w:rPr>
        <w:softHyphen/>
        <w:t>мышленности с просьбой всемерно форси</w:t>
      </w:r>
      <w:r w:rsidRPr="00DB5D0D">
        <w:rPr>
          <w:rFonts w:ascii="Times New Roman" w:hAnsi="Times New Roman"/>
          <w:color w:val="000000" w:themeColor="text1"/>
          <w:sz w:val="16"/>
          <w:szCs w:val="16"/>
        </w:rPr>
        <w:softHyphen/>
        <w:t>ровать создание ОПБ. Между тем в отноше</w:t>
      </w:r>
      <w:r w:rsidRPr="00DB5D0D">
        <w:rPr>
          <w:rFonts w:ascii="Times New Roman" w:hAnsi="Times New Roman"/>
          <w:color w:val="000000" w:themeColor="text1"/>
          <w:sz w:val="16"/>
          <w:szCs w:val="16"/>
        </w:rPr>
        <w:softHyphen/>
        <w:t>нии скорого появления М-90 имелись впол</w:t>
      </w:r>
      <w:r w:rsidRPr="00DB5D0D">
        <w:rPr>
          <w:rFonts w:ascii="Times New Roman" w:hAnsi="Times New Roman"/>
          <w:color w:val="000000" w:themeColor="text1"/>
          <w:sz w:val="16"/>
          <w:szCs w:val="16"/>
        </w:rPr>
        <w:softHyphen/>
        <w:t>не обоснованные опасения — по заявлению моторного завода, он ожидался не раньше июня 1941 г. Поэтому появились варианты первоначального проекта с другими силовы</w:t>
      </w:r>
      <w:r w:rsidRPr="00DB5D0D">
        <w:rPr>
          <w:rFonts w:ascii="Times New Roman" w:hAnsi="Times New Roman"/>
          <w:color w:val="000000" w:themeColor="text1"/>
          <w:sz w:val="16"/>
          <w:szCs w:val="16"/>
        </w:rPr>
        <w:softHyphen/>
        <w:t>ми установками: М-81, М-71, АМ-37. Эскизный проект ОПБ с двигателем АМ- 37 был утвержден Кочеригиным 19 ноября, а 7 декабря 1940 г. был представлен для рас</w:t>
      </w:r>
      <w:r w:rsidRPr="00DB5D0D">
        <w:rPr>
          <w:rFonts w:ascii="Times New Roman" w:hAnsi="Times New Roman"/>
          <w:color w:val="000000" w:themeColor="text1"/>
          <w:sz w:val="16"/>
          <w:szCs w:val="16"/>
        </w:rPr>
        <w:softHyphen/>
        <w:t>смотрения в экспертную комиссию НКАП. Самолет определялся как модификация ОПБ с М-90. Особо отмечалось, что с АМ-37 уве</w:t>
      </w:r>
      <w:r w:rsidRPr="00DB5D0D">
        <w:rPr>
          <w:rFonts w:ascii="Times New Roman" w:hAnsi="Times New Roman"/>
          <w:color w:val="000000" w:themeColor="text1"/>
          <w:sz w:val="16"/>
          <w:szCs w:val="16"/>
        </w:rPr>
        <w:softHyphen/>
        <w:t>личен угол обзора летчику вперед на 15 гра</w:t>
      </w:r>
      <w:r w:rsidRPr="00DB5D0D">
        <w:rPr>
          <w:rFonts w:ascii="Times New Roman" w:hAnsi="Times New Roman"/>
          <w:color w:val="000000" w:themeColor="text1"/>
          <w:sz w:val="16"/>
          <w:szCs w:val="16"/>
        </w:rPr>
        <w:softHyphen/>
        <w:t>дусов. Указывались следующие проектные характеристики ОПБ М-37:</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2455"/>
        <w:gridCol w:w="842"/>
      </w:tblGrid>
      <w:tr w:rsidR="007D5DF8" w:rsidRPr="00DB5D0D" w14:paraId="662391D6" w14:textId="77777777" w:rsidTr="009223E5">
        <w:trPr>
          <w:trHeight w:val="216"/>
        </w:trPr>
        <w:tc>
          <w:tcPr>
            <w:tcW w:w="2455" w:type="dxa"/>
            <w:shd w:val="clear" w:color="auto" w:fill="auto"/>
          </w:tcPr>
          <w:p w14:paraId="07F58F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крыла (м)</w:t>
            </w:r>
          </w:p>
        </w:tc>
        <w:tc>
          <w:tcPr>
            <w:tcW w:w="842" w:type="dxa"/>
            <w:shd w:val="clear" w:color="auto" w:fill="auto"/>
          </w:tcPr>
          <w:p w14:paraId="729556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w:t>
            </w:r>
          </w:p>
        </w:tc>
      </w:tr>
      <w:tr w:rsidR="007D5DF8" w:rsidRPr="00DB5D0D" w14:paraId="0CF9AEC5" w14:textId="77777777" w:rsidTr="009223E5">
        <w:trPr>
          <w:trHeight w:val="212"/>
        </w:trPr>
        <w:tc>
          <w:tcPr>
            <w:tcW w:w="2455" w:type="dxa"/>
            <w:shd w:val="clear" w:color="auto" w:fill="auto"/>
          </w:tcPr>
          <w:p w14:paraId="7D9EA0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w:t>
            </w:r>
          </w:p>
        </w:tc>
        <w:tc>
          <w:tcPr>
            <w:tcW w:w="842" w:type="dxa"/>
            <w:shd w:val="clear" w:color="auto" w:fill="auto"/>
          </w:tcPr>
          <w:p w14:paraId="49924F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tc>
      </w:tr>
      <w:tr w:rsidR="007D5DF8" w:rsidRPr="00DB5D0D" w14:paraId="5ED888DF" w14:textId="77777777" w:rsidTr="009223E5">
        <w:trPr>
          <w:trHeight w:val="209"/>
        </w:trPr>
        <w:tc>
          <w:tcPr>
            <w:tcW w:w="2455" w:type="dxa"/>
            <w:shd w:val="clear" w:color="auto" w:fill="auto"/>
          </w:tcPr>
          <w:p w14:paraId="61B274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(кг)</w:t>
            </w:r>
          </w:p>
        </w:tc>
        <w:tc>
          <w:tcPr>
            <w:tcW w:w="842" w:type="dxa"/>
            <w:shd w:val="clear" w:color="auto" w:fill="auto"/>
          </w:tcPr>
          <w:p w14:paraId="163DE0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r>
      <w:tr w:rsidR="007D5DF8" w:rsidRPr="00DB5D0D" w14:paraId="75217BCB" w14:textId="77777777" w:rsidTr="009223E5">
        <w:trPr>
          <w:trHeight w:val="227"/>
        </w:trPr>
        <w:tc>
          <w:tcPr>
            <w:tcW w:w="2455" w:type="dxa"/>
            <w:shd w:val="clear" w:color="auto" w:fill="auto"/>
          </w:tcPr>
          <w:p w14:paraId="3407B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крыло (кг/м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w:t>
            </w:r>
          </w:p>
        </w:tc>
        <w:tc>
          <w:tcPr>
            <w:tcW w:w="842" w:type="dxa"/>
            <w:shd w:val="clear" w:color="auto" w:fill="auto"/>
          </w:tcPr>
          <w:p w14:paraId="2830D9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w:t>
            </w:r>
          </w:p>
        </w:tc>
      </w:tr>
      <w:tr w:rsidR="007D5DF8" w:rsidRPr="00DB5D0D" w14:paraId="6171CC5E" w14:textId="77777777" w:rsidTr="009223E5">
        <w:trPr>
          <w:trHeight w:val="216"/>
        </w:trPr>
        <w:tc>
          <w:tcPr>
            <w:tcW w:w="2455" w:type="dxa"/>
            <w:shd w:val="clear" w:color="auto" w:fill="auto"/>
          </w:tcPr>
          <w:p w14:paraId="20971C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w:t>
            </w:r>
          </w:p>
        </w:tc>
        <w:tc>
          <w:tcPr>
            <w:tcW w:w="842" w:type="dxa"/>
            <w:shd w:val="clear" w:color="auto" w:fill="auto"/>
          </w:tcPr>
          <w:p w14:paraId="602E0B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 л</w:t>
            </w:r>
          </w:p>
        </w:tc>
      </w:tr>
      <w:tr w:rsidR="007D5DF8" w:rsidRPr="00DB5D0D" w14:paraId="7597D900" w14:textId="77777777" w:rsidTr="009223E5">
        <w:trPr>
          <w:trHeight w:val="191"/>
        </w:trPr>
        <w:tc>
          <w:tcPr>
            <w:tcW w:w="2455" w:type="dxa"/>
            <w:shd w:val="clear" w:color="auto" w:fill="auto"/>
          </w:tcPr>
          <w:p w14:paraId="65BA2E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w:t>
            </w:r>
          </w:p>
        </w:tc>
        <w:tc>
          <w:tcPr>
            <w:tcW w:w="842" w:type="dxa"/>
            <w:shd w:val="clear" w:color="auto" w:fill="auto"/>
          </w:tcPr>
          <w:p w14:paraId="329AB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кг</w:t>
            </w:r>
          </w:p>
        </w:tc>
      </w:tr>
    </w:tbl>
    <w:p w14:paraId="5D6CDD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с двигателем АМ-37 вызвал боль</w:t>
      </w:r>
      <w:r w:rsidRPr="00DB5D0D">
        <w:rPr>
          <w:rFonts w:ascii="Times New Roman" w:hAnsi="Times New Roman"/>
          <w:color w:val="000000" w:themeColor="text1"/>
          <w:sz w:val="16"/>
          <w:szCs w:val="16"/>
        </w:rPr>
        <w:softHyphen/>
        <w:t>шой интерес, однако комиссия наркома</w:t>
      </w:r>
      <w:r w:rsidRPr="00DB5D0D">
        <w:rPr>
          <w:rFonts w:ascii="Times New Roman" w:hAnsi="Times New Roman"/>
          <w:color w:val="000000" w:themeColor="text1"/>
          <w:sz w:val="16"/>
          <w:szCs w:val="16"/>
        </w:rPr>
        <w:softHyphen/>
        <w:t>та постановила продолжить над ним работу только после удачных полетов модификации с двигателем М-90 (12301).</w:t>
      </w:r>
    </w:p>
    <w:p w14:paraId="346F8FE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EF58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первые 16 доработанных машин ББ-1 были приняты военными и началась подготовка к испытаниям. Их решили проводить во вновь созданном полку, который получил № 135 по номеру Харьковского завода. Авиаторам полка, возглавляемого майором Неволиным, предстояло определить некоторые важные характеристики ББ-1 М-88, поскольку в ходе государственных испытаний опытной машины произошло много поломок, и они остались, по сути, незавершенными. В частности, требовалось подтвердить практический потолок самолета, оценить расходы горючего на разных режимах, проверить возможность полетов в сложных метеоусловиях и ночью. Предстояло также определить возможность применения бомб ФАБ-250 с подкрыльевых держателей. Напряженная работа продолжалась с 10 мая по 20 июня. Ее возглавляли от НИИ ВВС - военинженер 2-го ранга С.Н.Часо-виков, летчики капитан С.М.Коробов и ст. лейтенант Ю.Н.Кругликов, а от 135-го бап - военинженер 3-го ранга А.В.Телегин и помощник командира полка капитан А.И.Пушкин (5360).</w:t>
      </w:r>
    </w:p>
    <w:p w14:paraId="172C5F1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7B53C56" w14:textId="77777777" w:rsidR="00A41A9A" w:rsidRPr="00DB5D0D" w:rsidRDefault="00A41A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 года заводом № 135 были сданы первые 16 бомбардировщиков ББ-1. Освоение Су-2 шло нелегко из-за срыва поставок запорожским заводом №29 моторов М-88. Новый директор завода №135 Карпов совместно с Сухим решили проблему, перейдя на серийные двигатели М-87Б. Но и эти моторы поставлялись с перебоями и с многочисленными дефектами. Вместо плановых 185 штук М-87Б и М-88 к середине 1940 г. завод получил из Запорожья лишь 132 мотора, из них только 116 выдержали входной контроль.</w:t>
      </w:r>
    </w:p>
    <w:p w14:paraId="7ED89F55" w14:textId="77777777" w:rsidR="00A41A9A" w:rsidRPr="00DB5D0D" w:rsidRDefault="00A41A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Внедрением Су-2 занимался Серийный конструкторский отдел завода под руководством А.Н. Овчинникова, а затем П.Г. Чепелева. Аббревиатуру СКО местные шутники расшифровывали «скобли кальку осторожно»: выполненные в предельно сжатые сроки чертежи (любого самолета, а не только Су-2) содержали массу ошибок, неувязок и просто нерациональных мест, и конструктора СКО устраняли эти недостатки, подчищая кальки чертежей и доводя конструкцию до совершенства. Важным этапом в жизни завода было освоение вместе с Су-2 плазово-шаблонного метода сборки, который позволил за 1940 г. снизить трудоемкость самолета на 40% (22829)</w:t>
      </w:r>
    </w:p>
    <w:p w14:paraId="576575E4" w14:textId="77777777" w:rsidR="00A41A9A" w:rsidRPr="00DB5D0D" w:rsidRDefault="00A41A9A" w:rsidP="00DB5D0D">
      <w:pPr>
        <w:spacing w:after="0" w:line="240" w:lineRule="auto"/>
        <w:jc w:val="both"/>
        <w:rPr>
          <w:rFonts w:ascii="Times New Roman" w:hAnsi="Times New Roman"/>
          <w:color w:val="0070C0"/>
          <w:sz w:val="16"/>
          <w:szCs w:val="16"/>
        </w:rPr>
      </w:pPr>
    </w:p>
    <w:p w14:paraId="1C48EF0B" w14:textId="77777777" w:rsidR="007113B6" w:rsidRPr="00DB5D0D" w:rsidRDefault="007113B6"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 мае 1940 на аэродроме в Харькове начались войсковые испытания шести самолетов ББ-1 с моторами М-88, взятых из установочной и 1-й серий В них принял участие летный и технический состав 135-го ббап и полка боевого применения НИИ ВВС, из которых сформировали отдельную испытательную группу Испы</w:t>
      </w:r>
      <w:r w:rsidRPr="00DB5D0D">
        <w:rPr>
          <w:rFonts w:ascii="Times New Roman" w:cs="Times New Roman"/>
          <w:color w:val="000000" w:themeColor="text1"/>
          <w:spacing w:val="0"/>
        </w:rPr>
        <w:softHyphen/>
        <w:t>тания проводились с 17 мая по 20 июня 1940 г. Всего выполнили 616 полетов с общим налетом 157 часов (19102).</w:t>
      </w:r>
    </w:p>
    <w:p w14:paraId="35072BE0" w14:textId="77777777" w:rsidR="007113B6" w:rsidRPr="00DB5D0D" w:rsidRDefault="007113B6" w:rsidP="00DB5D0D">
      <w:pPr>
        <w:pStyle w:val="27"/>
        <w:shd w:val="clear" w:color="auto" w:fill="auto"/>
        <w:spacing w:after="0" w:line="240" w:lineRule="auto"/>
        <w:ind w:firstLine="0"/>
        <w:rPr>
          <w:rFonts w:ascii="Times New Roman" w:cs="Times New Roman"/>
          <w:color w:val="000000" w:themeColor="text1"/>
          <w:spacing w:val="0"/>
        </w:rPr>
      </w:pPr>
    </w:p>
    <w:p w14:paraId="6F2AF0A9" w14:textId="77777777" w:rsidR="00A22B88" w:rsidRPr="00DB5D0D" w:rsidRDefault="00A22B88" w:rsidP="00DB5D0D">
      <w:pPr>
        <w:pStyle w:val="a3"/>
        <w:rPr>
          <w:color w:val="000000" w:themeColor="text1"/>
          <w:lang w:val="ru-RU"/>
        </w:rPr>
      </w:pPr>
      <w:r w:rsidRPr="00DB5D0D">
        <w:rPr>
          <w:color w:val="000000" w:themeColor="text1"/>
          <w:lang w:val="ru-RU"/>
        </w:rPr>
        <w:t>В мае 1940 на Харьковском аэродроме начались войсковые испытания шести самолётов ББ-1 с М-88 нулевой и первой серии. В испытаниях принял участие лётно-</w:t>
      </w:r>
      <w:r w:rsidRPr="00DB5D0D">
        <w:rPr>
          <w:color w:val="000000" w:themeColor="text1"/>
          <w:lang w:val="ru-RU"/>
        </w:rPr>
        <w:lastRenderedPageBreak/>
        <w:t>технический состав 135 авиационного полка ВВС КА и полка боевого применения НИИ ГУАС КА, сведённый в отдель</w:t>
      </w:r>
      <w:r w:rsidRPr="00DB5D0D">
        <w:rPr>
          <w:color w:val="000000" w:themeColor="text1"/>
          <w:lang w:val="ru-RU"/>
        </w:rPr>
        <w:softHyphen/>
        <w:t>ную испытательную группу. Испытания проводились с 17 мая по 20 июня 1940 года. Всего было выполнено 61 6 полётов с общим налётом 157 часов (15975).</w:t>
      </w:r>
    </w:p>
    <w:p w14:paraId="5D5F7DC0" w14:textId="77777777" w:rsidR="00A22B88" w:rsidRPr="00DB5D0D" w:rsidRDefault="00A22B88" w:rsidP="00DB5D0D">
      <w:pPr>
        <w:pStyle w:val="a3"/>
        <w:rPr>
          <w:color w:val="000000" w:themeColor="text1"/>
          <w:lang w:val="ru-RU"/>
        </w:rPr>
      </w:pPr>
    </w:p>
    <w:p w14:paraId="336820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КБ Сухого полностью переехало на новую «квартиру» на завод № 289 в Подлипках. Павлу Осиповичу, ставшему главным конструктором опытного завода, предстояло в кратчайший срок оснастить предприятие необходимым оборудованием, создать костяк коллектива. Первым заданием стала постройка к октябрю 1940 г. двух модифицированных ББ-1 с мощными моторами М-90. На заводе № 135 они получили обозначение «МН» как дублеры самолета «Н». Преемником Сухого в должности главного конструктора Харьковского завода стал П.Д.Грушин (5360).</w:t>
      </w:r>
    </w:p>
    <w:p w14:paraId="3CB0716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110B07" w14:textId="77777777" w:rsidR="0088662D" w:rsidRPr="00DB5D0D" w:rsidRDefault="0088662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 г. был готов полноразмерный макет самолета ОПБ без силовой установки. Здесь следует оговориться - ис</w:t>
      </w:r>
      <w:r w:rsidRPr="00DB5D0D">
        <w:rPr>
          <w:rFonts w:ascii="Times New Roman" w:hAnsi="Times New Roman"/>
          <w:color w:val="0070C0"/>
          <w:sz w:val="16"/>
          <w:szCs w:val="16"/>
        </w:rPr>
        <w:softHyphen/>
        <w:t>тория с поставкой М-90 - это длинная история. Двигатеёь М-90 (также обозначался как 2М) с первоначально заявленной мощностью 1600 л.с. был спроектирован в конструкторском бюро моторного завода № 29 в период с 15 мая по 15 августа 1939 г. Уже 29 сентбря 1939 г. первый М-90 поставили на испытательный стеад. Спустя несколько ме</w:t>
      </w:r>
      <w:r w:rsidRPr="00DB5D0D">
        <w:rPr>
          <w:rFonts w:ascii="Times New Roman" w:hAnsi="Times New Roman"/>
          <w:color w:val="0070C0"/>
          <w:sz w:val="16"/>
          <w:szCs w:val="16"/>
        </w:rPr>
        <w:softHyphen/>
        <w:t>сяцев проектные и доводочные работы на двигателе шли по плану, поэтому в мае 1940 г. планировалось приступить к его государственным испытаниям. Однако на практике моторостроители реально рассчитываёи дать двигатеёь М-90 лишь летом 1941 г. Поэтому вопрос с силовой установкой ддя ОПБ постояло подвергаёся сомнениям. В частности, при подготовке полноразмерного увязочного ма</w:t>
      </w:r>
      <w:r w:rsidRPr="00DB5D0D">
        <w:rPr>
          <w:rFonts w:ascii="Times New Roman" w:hAnsi="Times New Roman"/>
          <w:color w:val="0070C0"/>
          <w:sz w:val="16"/>
          <w:szCs w:val="16"/>
        </w:rPr>
        <w:softHyphen/>
        <w:t>кета предлагалось использовать двигатели М-71 или М-89.</w:t>
      </w:r>
    </w:p>
    <w:p w14:paraId="74E0D066" w14:textId="77777777" w:rsidR="0088662D" w:rsidRPr="00DB5D0D" w:rsidRDefault="0088662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Таким образом, макетная комиссия рассматривала пред</w:t>
      </w:r>
      <w:r w:rsidRPr="00DB5D0D">
        <w:rPr>
          <w:rFonts w:ascii="Times New Roman" w:hAnsi="Times New Roman"/>
          <w:color w:val="0070C0"/>
          <w:sz w:val="16"/>
          <w:szCs w:val="16"/>
        </w:rPr>
        <w:softHyphen/>
        <w:t>ставленный объект без определенной силовой установки, что не помешало в целом утвердить основные предложе</w:t>
      </w:r>
      <w:r w:rsidRPr="00DB5D0D">
        <w:rPr>
          <w:rFonts w:ascii="Times New Roman" w:hAnsi="Times New Roman"/>
          <w:color w:val="0070C0"/>
          <w:sz w:val="16"/>
          <w:szCs w:val="16"/>
        </w:rPr>
        <w:softHyphen/>
        <w:t>ния по самолету. Отмечался хороший обзор из кабины пи</w:t>
      </w:r>
      <w:r w:rsidRPr="00DB5D0D">
        <w:rPr>
          <w:rFonts w:ascii="Times New Roman" w:hAnsi="Times New Roman"/>
          <w:color w:val="0070C0"/>
          <w:sz w:val="16"/>
          <w:szCs w:val="16"/>
        </w:rPr>
        <w:softHyphen/>
        <w:t>лота, мощная механизация крыла, удачные конструктивные и компоновочные решения. Одновременно предлагалось внести в конструкцию машины некоторые изменения. В ча</w:t>
      </w:r>
      <w:r w:rsidRPr="00DB5D0D">
        <w:rPr>
          <w:rFonts w:ascii="Times New Roman" w:hAnsi="Times New Roman"/>
          <w:color w:val="0070C0"/>
          <w:sz w:val="16"/>
          <w:szCs w:val="16"/>
        </w:rPr>
        <w:softHyphen/>
        <w:t>стности, доработать фонарь, его переднюю часть выпол</w:t>
      </w:r>
      <w:r w:rsidRPr="00DB5D0D">
        <w:rPr>
          <w:rFonts w:ascii="Times New Roman" w:hAnsi="Times New Roman"/>
          <w:color w:val="0070C0"/>
          <w:sz w:val="16"/>
          <w:szCs w:val="16"/>
        </w:rPr>
        <w:softHyphen/>
        <w:t>нить из плоских граней, предусмотреть подвеску мощной бетонобойной бомбы БРАБ-500 и подвески реактивных снарядов РС, разработать полную схему бронирования. В выводах макетной комиссии отмечалось, что ОПБ пред</w:t>
      </w:r>
      <w:r w:rsidRPr="00DB5D0D">
        <w:rPr>
          <w:rFonts w:ascii="Times New Roman" w:hAnsi="Times New Roman"/>
          <w:color w:val="0070C0"/>
          <w:sz w:val="16"/>
          <w:szCs w:val="16"/>
        </w:rPr>
        <w:softHyphen/>
        <w:t>ставляет значительный интерес для ВВС Красной Армии и поэтому необходимо войти с ходатайством в КО при СНК СССР о скорейшем разрешении вопроса о постройке са</w:t>
      </w:r>
      <w:r w:rsidRPr="00DB5D0D">
        <w:rPr>
          <w:rFonts w:ascii="Times New Roman" w:hAnsi="Times New Roman"/>
          <w:color w:val="0070C0"/>
          <w:sz w:val="16"/>
          <w:szCs w:val="16"/>
        </w:rPr>
        <w:softHyphen/>
        <w:t>молета. Кроме прочего было решено доукомплектовать КБ Кочеригина авиаконструкторами 1-й и 2-й категории в количестве 15 человек до 1 июля 1940 г. (20362).</w:t>
      </w:r>
    </w:p>
    <w:p w14:paraId="6FA7D67B" w14:textId="77777777" w:rsidR="0088662D" w:rsidRPr="00DB5D0D" w:rsidRDefault="0088662D" w:rsidP="00DB5D0D">
      <w:pPr>
        <w:shd w:val="clear" w:color="auto" w:fill="FFFFFF"/>
        <w:spacing w:after="0" w:line="240" w:lineRule="auto"/>
        <w:jc w:val="both"/>
        <w:rPr>
          <w:rFonts w:ascii="Times New Roman" w:hAnsi="Times New Roman"/>
          <w:color w:val="0070C0"/>
          <w:sz w:val="16"/>
          <w:szCs w:val="16"/>
        </w:rPr>
      </w:pPr>
    </w:p>
    <w:p w14:paraId="57FB4FAA"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 мае 1940 г. в связи с передачей К. Е. Ворошиловым дел Наркомата обороны С. К. Тимошенко комиссией ЦК партии в акте было отмечено, что «...опыт войны еще раз показал, что скорость полета является важнейшим качеством, необходимым всем без исключения типам самолетов. Отсюда мы должны сделать вывод о неотложном форсировании строительства скоростной авиационной техники».. В акте комиссии отмечалось: «Материальная часть ВВС Красной Армии в своем развитии отстает по скоростям, мощностям моторов, вооружению и прочности от авиации передовых армий других стран». В число машин, подлежащих срочной замене, вошли и Р-10. Однако довольно неожиданно самолетам И. Г. Немана нашлось новое применение. Развертывание Военно-воздушных сил сопровождалось резким увеличением количества авиационных учебных заведений. Их численность довели в 1940 году до 62, а к середине 1941 года - до 111. Устаревшие Р-10 в массовом порядке начали передавать во вновь организуемые авиационные училища и летные школы, где их использовали для обучения и перехода на более современные Су-2 и Як-4. На Р-10 в предвоенные годы готовили летчиков и штурманов в авиационных школах в Василькове, Мелитополе, Ворошиловграде, Одессе, Полтаве и в Чугуевском военном авиационном училище летчиков. Они применялись в Кировоградском резервном авиаполку для переподготовки на новую матчасть личного состава строевых частей. Некоторое количество самолетов Р-10 находилось в авиации пограничных войск НКВД на границе с Германией и Румынией. Летчиков, штурманов и техников для них готовило авиационное отделение 2-й Объединенной пограничной школы НКВД в Харькове. К 22 июня 1941 года в строевых авиационных частях, расположенных на территории приграничных и внутренних военных округов Европейской части СССР, имелось до 180 боеспособных самолетов Р-10, входивших в состав ВВС общевойсковых армий и корпусных авиаэскадрилий войсковой авиации (ОРАЭ). В процессе переучивания многие из них стояли без экипажей, и в первые же дни войны были уничтожены на аэродромах Западного и Киевского особых военных округов. Оставшиеся в строю части на самолетах Р-10 из внутренних военных округов перебросили летом 1941 года на самые опасные участки фронта (11456).</w:t>
      </w:r>
    </w:p>
    <w:p w14:paraId="5F2BFF0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E39A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Начальник ВВС генерал-лейтенант авиации Смушкевич и Член военсовета ВВС дивизионный комиссар Агальцов утвердили Предложения совещания инженеров действующих армий на Финляндском фронте по устранению дефектов, выявленных на самолетах, моторах, вооружении и спецоборудовании, на основе опыта эксплуатации материальной части в боевых условиях</w:t>
      </w:r>
    </w:p>
    <w:p w14:paraId="77A3E9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ДБ-3</w:t>
      </w:r>
    </w:p>
    <w:p w14:paraId="663040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(конструктивно-производственные недостатки).</w:t>
      </w:r>
    </w:p>
    <w:p w14:paraId="641848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Расположение всасывающих патрубков карбюраторов внизу капотов моторов ведет в зимних условиях к забиванию сеток патрубков снегом, что в свою очередь приводит к отказам моторов на старте и взлете.</w:t>
      </w:r>
    </w:p>
    <w:p w14:paraId="129EE6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летних условиях происходит засасывание пыли в цилиндры моторов, что вызывает преждевременный износ деталей мотора.</w:t>
      </w:r>
    </w:p>
    <w:p w14:paraId="750F97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w:t>
      </w:r>
    </w:p>
    <w:p w14:paraId="723305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Потребовать от промышленности немедленного оборудования всех ранее выпущенных самолетов ДБ-3 автоматически управляемыми заслонками.</w:t>
      </w:r>
    </w:p>
    <w:p w14:paraId="2A7730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Предъявить требование промышленности об изменении расположения всасывающих патрубков карбюраторов на вновь выпускаемых самолетах.</w:t>
      </w:r>
    </w:p>
    <w:p w14:paraId="3989FC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Разработанные заводами №№ 18 и 39 передние жалюзи моторов имеют ряд существенных недостатков. Необходимо изменить конструкцию жалюзи по типу жалюзи самолета СБ или завода № 126.</w:t>
      </w:r>
    </w:p>
    <w:p w14:paraId="7DA2BC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Заводам №№ 18, 39 и 126 в течение лета 1940 года произвести необходимые доработки на всех самолетах ДБ-3 частей ВВС, обеспечивающие нормальные температурные режимы моторов при низких температурах.</w:t>
      </w:r>
    </w:p>
    <w:p w14:paraId="673954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Опытом боевых полетов подтверждено наличие неравномерной выработки горючего при работе на консольных группах баков.</w:t>
      </w:r>
    </w:p>
    <w:p w14:paraId="1D6154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выполнении ночных полетов пламя из выхлопных патрубков слепит летчика, не дает ему возможности вести наблюдение за землей, кроме того демаскирует самолет с земли.</w:t>
      </w:r>
    </w:p>
    <w:p w14:paraId="39EB9A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на новых самолетах, выпускаемых с заводов изменить конструкцию выхлопных патрубков.</w:t>
      </w:r>
    </w:p>
    <w:p w14:paraId="1E954D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летно-тактическим свойствам самолета ДБ-3</w:t>
      </w:r>
    </w:p>
    <w:p w14:paraId="60CDA9E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Недостатком самолета является большая величина разбега. При полетах зимой на колесах по укатанному аэродрому с нагрузкой 8500-9500 кг разбег доходил до 800-1000 м.</w:t>
      </w:r>
    </w:p>
    <w:p w14:paraId="4CFC419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самолета обеспечивает полеты с большой нагрузкой.</w:t>
      </w:r>
    </w:p>
    <w:p w14:paraId="046DE21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Обороноспособность самолета недостаточна, вследствие наличия нижнего мертвого конуса обстрела, что давало возможность истребителям противника совершать удачные атаки снизу самолета.</w:t>
      </w:r>
    </w:p>
    <w:p w14:paraId="0686DC0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установкой 4-1 пулеметной точки, обороноспособность самолета значительно повысилась, что подтверждено рядом воздушных боев.</w:t>
      </w:r>
    </w:p>
    <w:p w14:paraId="7EB3CC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Ведению огня из пулемета четвертой точки мешает костыльная установка.</w:t>
      </w:r>
    </w:p>
    <w:p w14:paraId="52B1F5B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Максимальные скорости самолета недостаточны.</w:t>
      </w:r>
    </w:p>
    <w:p w14:paraId="102D94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потребовать от промышленности:</w:t>
      </w:r>
    </w:p>
    <w:p w14:paraId="3FB066F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Обеспечить защиту заднего мертвого конуса самолета ДБ-3.</w:t>
      </w:r>
    </w:p>
    <w:p w14:paraId="6D6AC3B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Принять меры к быстрейшему испытанию убирающейся костыльной установки, разработанной в 21 авиаполку, мл. командиром Бобко.</w:t>
      </w:r>
    </w:p>
    <w:p w14:paraId="33E2D68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Улучшить взлетные качества самолета за счет применения винтов ВИШ-23.</w:t>
      </w:r>
    </w:p>
    <w:p w14:paraId="204C3ED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Повысить скорость самолета.</w:t>
      </w:r>
    </w:p>
    <w:p w14:paraId="2812F95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на всех самолетах ДБ-3 четвертые кислородные точки для вторых стрелков.</w:t>
      </w:r>
    </w:p>
    <w:p w14:paraId="7AF3A2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Боевой опыт работы показал сложность эксплуатации самолета ДБ-3 вследствие трудоемкости регламентых работ по винтомоторной группе и затруднений с подогревом моторов при низких температурах. На подготовку самолетов к вылету затрачивалось от 1 до 4-х часов (4389).</w:t>
      </w:r>
    </w:p>
    <w:p w14:paraId="6FA8D95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A706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мая 1940 г. на заводе № 126 начали делать ДБ-3Т, задержавшись против плана пример</w:t>
      </w:r>
      <w:r w:rsidRPr="00DB5D0D">
        <w:rPr>
          <w:rFonts w:ascii="Times New Roman" w:hAnsi="Times New Roman"/>
          <w:color w:val="000000" w:themeColor="text1"/>
          <w:sz w:val="16"/>
          <w:szCs w:val="16"/>
        </w:rPr>
        <w:softHyphen/>
        <w:t>но на три месяца. Торпедоносцы из Комсомольска основывались на мест</w:t>
      </w:r>
      <w:r w:rsidRPr="00DB5D0D">
        <w:rPr>
          <w:rFonts w:ascii="Times New Roman" w:hAnsi="Times New Roman"/>
          <w:color w:val="000000" w:themeColor="text1"/>
          <w:sz w:val="16"/>
          <w:szCs w:val="16"/>
        </w:rPr>
        <w:softHyphen/>
        <w:t>ной разновидности ДБ-3Б и входили в 29-33-ю серии, сдававшиеся в июне-сентябре. Они имели новую торпедную балку Т-18. Самолеты из Комсомольска поступали только на Тихоокеанский флот. С 1941 г. завод № 126 тоже начал осваивать ДБ-3Ф и, соответственно, вариант торпедоносца на его базе. Подвеска торпед и мин на ДБ-3 была наружной. Однако скорость и высота полета у него были значительно больше, чем у ТБ-1 или Р-5Т. Соответственно возрастала и ве</w:t>
      </w:r>
      <w:r w:rsidRPr="00DB5D0D">
        <w:rPr>
          <w:rFonts w:ascii="Times New Roman" w:hAnsi="Times New Roman"/>
          <w:color w:val="000000" w:themeColor="text1"/>
          <w:sz w:val="16"/>
          <w:szCs w:val="16"/>
        </w:rPr>
        <w:softHyphen/>
        <w:t>роятность замерзания в воздухе масла в механизмах — этим страдали все ран</w:t>
      </w:r>
      <w:r w:rsidRPr="00DB5D0D">
        <w:rPr>
          <w:rFonts w:ascii="Times New Roman" w:hAnsi="Times New Roman"/>
          <w:color w:val="000000" w:themeColor="text1"/>
          <w:sz w:val="16"/>
          <w:szCs w:val="16"/>
        </w:rPr>
        <w:softHyphen/>
        <w:t>ние образцы советских авиаторпед. Оп</w:t>
      </w:r>
      <w:r w:rsidRPr="00DB5D0D">
        <w:rPr>
          <w:rFonts w:ascii="Times New Roman" w:hAnsi="Times New Roman"/>
          <w:color w:val="000000" w:themeColor="text1"/>
          <w:sz w:val="16"/>
          <w:szCs w:val="16"/>
        </w:rPr>
        <w:softHyphen/>
        <w:t>тимальным являлось бы размещение груза в бомбоотсеке, но он был слишком короток даже для 45-36АН, а для моде</w:t>
      </w:r>
      <w:r w:rsidRPr="00DB5D0D">
        <w:rPr>
          <w:rFonts w:ascii="Times New Roman" w:hAnsi="Times New Roman"/>
          <w:color w:val="000000" w:themeColor="text1"/>
          <w:sz w:val="16"/>
          <w:szCs w:val="16"/>
        </w:rPr>
        <w:softHyphen/>
        <w:t>ли АВА с ее парашютом — тем более. В качестве альтернативы в 1938 г. предложили вариант ДБ-3Т с подфюзе-ляжным отсеком — контейнером для торпеды. Он обогревался теплым воз</w:t>
      </w:r>
      <w:r w:rsidRPr="00DB5D0D">
        <w:rPr>
          <w:rFonts w:ascii="Times New Roman" w:hAnsi="Times New Roman"/>
          <w:color w:val="000000" w:themeColor="text1"/>
          <w:sz w:val="16"/>
          <w:szCs w:val="16"/>
        </w:rPr>
        <w:softHyphen/>
        <w:t>духом, нагревавшимся от выхлопных газов. Торпеде стало тепло, но зато лет</w:t>
      </w:r>
      <w:r w:rsidRPr="00DB5D0D">
        <w:rPr>
          <w:rFonts w:ascii="Times New Roman" w:hAnsi="Times New Roman"/>
          <w:color w:val="000000" w:themeColor="text1"/>
          <w:sz w:val="16"/>
          <w:szCs w:val="16"/>
        </w:rPr>
        <w:softHyphen/>
        <w:t>ные данные машины серьезно ухудши</w:t>
      </w:r>
      <w:r w:rsidRPr="00DB5D0D">
        <w:rPr>
          <w:rFonts w:ascii="Times New Roman" w:hAnsi="Times New Roman"/>
          <w:color w:val="000000" w:themeColor="text1"/>
          <w:sz w:val="16"/>
          <w:szCs w:val="16"/>
        </w:rPr>
        <w:softHyphen/>
        <w:t>лись. Контейнер создавал добавочное сопротивление, вес его тоже был значительным. Кроме того, габариты контей</w:t>
      </w:r>
      <w:r w:rsidRPr="00DB5D0D">
        <w:rPr>
          <w:rFonts w:ascii="Times New Roman" w:hAnsi="Times New Roman"/>
          <w:color w:val="000000" w:themeColor="text1"/>
          <w:sz w:val="16"/>
          <w:szCs w:val="16"/>
        </w:rPr>
        <w:softHyphen/>
        <w:t>нера не вмещали единственную тогда советскую авиамину МАВ-1. В серии это новшество не привилось (10734,29).</w:t>
      </w:r>
    </w:p>
    <w:p w14:paraId="11A0B9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DECEE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 мая 1940 г., задержавшись против плана примерно на три месяца, выпуск ДБ-3Т начали на заводе № 126. Торпедоносцы из Комсомольска основывались на местной разновидности ДБ-ЗБ и входили в 29-33-ю серии, сдававшиеся в июне-сентябре. Они имели новую торпедную балку Т-18. Самолеты из Комсомольска поступали только на Тихоокеанский флот. С 1941 г. завод № 126 тоже начал осваивать ДБ-ЗФ и, соответственно, вариант торпедоносца на его базе (12021).</w:t>
      </w:r>
    </w:p>
    <w:p w14:paraId="6598E1C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1AA4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мая 1940 г, задержавшись против плана примерно на три месяца на заводе № 126 начали делать ДБ-3Т. «Комсомольские» торпедоносцы основывались на «местной» разновидности ДБ-3Б и входили в 29-33-ю серии, сдававшиеся в июне-сентябре. Они получили новую торпедную балку Т-18, но выпускали их недолго, а потому все они попали в состав ВВС Тихоокеанского флота. Уже с 1941 г. завод №126 приступил к освоению ДБ-3Ф и, соответственно, варианта торпедоносца на его базе (7576).</w:t>
      </w:r>
    </w:p>
    <w:p w14:paraId="5A1C08F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918E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для ДБ-3 изготовили новые, еще большие по размерам, выливные приборы Б-1000. Самолет брал два таких прибора, в каждый из которых заливали по 650 л ядовитой смеси. Но проходили ли они летные испытания - неизвестно (12021).</w:t>
      </w:r>
    </w:p>
    <w:p w14:paraId="6B0D093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F99C12" w14:textId="77777777" w:rsidR="00A41A9A" w:rsidRPr="00DB5D0D" w:rsidRDefault="00A41A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 года началь</w:t>
      </w:r>
      <w:r w:rsidRPr="00DB5D0D">
        <w:rPr>
          <w:rFonts w:ascii="Times New Roman" w:hAnsi="Times New Roman"/>
          <w:color w:val="0070C0"/>
          <w:sz w:val="16"/>
          <w:szCs w:val="16"/>
        </w:rPr>
        <w:softHyphen/>
        <w:t>ник Главного управления авиационного снабжения (ГУАС) КА комдив Алексеев был вы</w:t>
      </w:r>
      <w:r w:rsidRPr="00DB5D0D">
        <w:rPr>
          <w:rFonts w:ascii="Times New Roman" w:hAnsi="Times New Roman"/>
          <w:color w:val="0070C0"/>
          <w:sz w:val="16"/>
          <w:szCs w:val="16"/>
        </w:rPr>
        <w:softHyphen/>
        <w:t>нужден отдать приказ, где ДБ-ЗФ квалифицирова</w:t>
      </w:r>
      <w:r w:rsidRPr="00DB5D0D">
        <w:rPr>
          <w:rFonts w:ascii="Times New Roman" w:hAnsi="Times New Roman"/>
          <w:color w:val="0070C0"/>
          <w:sz w:val="16"/>
          <w:szCs w:val="16"/>
        </w:rPr>
        <w:softHyphen/>
        <w:t>лись как неполноценные самолеты (23188).</w:t>
      </w:r>
    </w:p>
    <w:p w14:paraId="6DE5462A" w14:textId="77777777" w:rsidR="00A41A9A" w:rsidRPr="00DB5D0D" w:rsidRDefault="00A41A9A" w:rsidP="00DB5D0D">
      <w:pPr>
        <w:spacing w:after="0" w:line="240" w:lineRule="auto"/>
        <w:jc w:val="both"/>
        <w:rPr>
          <w:rFonts w:ascii="Times New Roman" w:hAnsi="Times New Roman"/>
          <w:color w:val="0070C0"/>
          <w:sz w:val="16"/>
          <w:szCs w:val="16"/>
        </w:rPr>
      </w:pPr>
    </w:p>
    <w:p w14:paraId="6E2897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мая 1940 г. ДБ-3Т, задержавшись против плана примерно на три месяца, начали производить на заводе № 126. В 1939 г. на поток поставили уже машины с двигателями М-87 по типу ДБ-ЗБ. Их заказали гораздо больше - 165 штук. С начала 1940 г. завод № 39 перешел на выпуск торпедоносцев на основе модификации ДБ-ЗФ (ДБ-ЗМ). Торпедоносцы из Комсомольска основывались на местной разновидности ДБ-ЗБ и входили в 29-33-ю серии, сдававшиеся в июне-сентябре. Они имели новую торпедную балку Т-18. Самолеты из Комсомольска поступали только на Тихоокеанский флот. С 1941 г. завод № 126 тоже начал осваивать ДБ-ЗФ и, соответственно, вариант торпедоносца на его базе. Торпедоносные варианты ДБ-ЗФ строились в Комсомольске до осени 1945 г. Осуществлялась также переделка в торпедоносцы бомбардировщиков, как новых, так и уже послуживших в ВВС. Такие работы вели на ряде мелких заводов, а также в авиамастерских и непосредственно в войсковых частях (12002).</w:t>
      </w:r>
    </w:p>
    <w:p w14:paraId="264C823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2BD29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3-й отдел НИИ ВВС подготовил Справочник по отечественным самолетам, моторам и воздушным винтам (6768).</w:t>
      </w:r>
    </w:p>
    <w:p w14:paraId="0C3AD28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Дальний бомбардировщик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786"/>
        <w:gridCol w:w="1559"/>
        <w:gridCol w:w="1276"/>
        <w:gridCol w:w="1418"/>
        <w:gridCol w:w="1561"/>
      </w:tblGrid>
      <w:tr w:rsidR="007D5DF8" w:rsidRPr="00DB5D0D" w14:paraId="3FFAB8F8" w14:textId="77777777" w:rsidTr="009223E5">
        <w:tc>
          <w:tcPr>
            <w:tcW w:w="4786" w:type="dxa"/>
          </w:tcPr>
          <w:p w14:paraId="47AC7A6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559" w:type="dxa"/>
          </w:tcPr>
          <w:p w14:paraId="3EE0EC6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 2М-87А «Б» ВИШ-3 с 1939 года</w:t>
            </w:r>
          </w:p>
        </w:tc>
        <w:tc>
          <w:tcPr>
            <w:tcW w:w="1276" w:type="dxa"/>
          </w:tcPr>
          <w:p w14:paraId="55DA189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 Ф 2М-87Б ВИШ-3 с</w:t>
            </w:r>
          </w:p>
          <w:p w14:paraId="2AEE254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 года</w:t>
            </w:r>
          </w:p>
        </w:tc>
        <w:tc>
          <w:tcPr>
            <w:tcW w:w="1418" w:type="dxa"/>
          </w:tcPr>
          <w:p w14:paraId="0D191F7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 Ф 2М-88 ВИШ-23 с</w:t>
            </w:r>
          </w:p>
          <w:p w14:paraId="17D9BA3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 года</w:t>
            </w:r>
          </w:p>
        </w:tc>
        <w:tc>
          <w:tcPr>
            <w:tcW w:w="1561" w:type="dxa"/>
          </w:tcPr>
          <w:p w14:paraId="16C934C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 Д 2М-88 ВИШ-23</w:t>
            </w:r>
          </w:p>
        </w:tc>
      </w:tr>
      <w:tr w:rsidR="007D5DF8" w:rsidRPr="00DB5D0D" w14:paraId="013DCFC0" w14:textId="77777777" w:rsidTr="009223E5">
        <w:tc>
          <w:tcPr>
            <w:tcW w:w="4786" w:type="dxa"/>
          </w:tcPr>
          <w:p w14:paraId="1096D38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мотора</w:t>
            </w:r>
          </w:p>
        </w:tc>
        <w:tc>
          <w:tcPr>
            <w:tcW w:w="1559" w:type="dxa"/>
          </w:tcPr>
          <w:p w14:paraId="053E3FF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2х950</w:t>
            </w:r>
          </w:p>
        </w:tc>
        <w:tc>
          <w:tcPr>
            <w:tcW w:w="1276" w:type="dxa"/>
          </w:tcPr>
          <w:p w14:paraId="40295A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950х2</w:t>
            </w:r>
          </w:p>
        </w:tc>
        <w:tc>
          <w:tcPr>
            <w:tcW w:w="1418" w:type="dxa"/>
          </w:tcPr>
          <w:p w14:paraId="0D8C289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561" w:type="dxa"/>
          </w:tcPr>
          <w:p w14:paraId="54FCCC7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r>
      <w:tr w:rsidR="007D5DF8" w:rsidRPr="00DB5D0D" w14:paraId="27B6C562" w14:textId="77777777" w:rsidTr="009223E5">
        <w:tc>
          <w:tcPr>
            <w:tcW w:w="4786" w:type="dxa"/>
          </w:tcPr>
          <w:p w14:paraId="3B57A14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w:t>
            </w:r>
          </w:p>
        </w:tc>
        <w:tc>
          <w:tcPr>
            <w:tcW w:w="1559" w:type="dxa"/>
          </w:tcPr>
          <w:p w14:paraId="2BD351A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4900</w:t>
            </w:r>
          </w:p>
        </w:tc>
        <w:tc>
          <w:tcPr>
            <w:tcW w:w="1276" w:type="dxa"/>
          </w:tcPr>
          <w:p w14:paraId="64EF3FD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4700</w:t>
            </w:r>
          </w:p>
        </w:tc>
        <w:tc>
          <w:tcPr>
            <w:tcW w:w="1418" w:type="dxa"/>
          </w:tcPr>
          <w:p w14:paraId="4970F75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561" w:type="dxa"/>
          </w:tcPr>
          <w:p w14:paraId="0DCDB57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r>
      <w:tr w:rsidR="007D5DF8" w:rsidRPr="00DB5D0D" w14:paraId="6E7FBA26" w14:textId="77777777" w:rsidTr="009223E5">
        <w:tc>
          <w:tcPr>
            <w:tcW w:w="4786" w:type="dxa"/>
          </w:tcPr>
          <w:p w14:paraId="29BF1AD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c>
          <w:tcPr>
            <w:tcW w:w="1559" w:type="dxa"/>
          </w:tcPr>
          <w:p w14:paraId="2374921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276" w:type="dxa"/>
          </w:tcPr>
          <w:p w14:paraId="4A14CE0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418" w:type="dxa"/>
          </w:tcPr>
          <w:p w14:paraId="1B3198D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561" w:type="dxa"/>
          </w:tcPr>
          <w:p w14:paraId="58C090C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0B907E03" w14:textId="77777777" w:rsidTr="009223E5">
        <w:tc>
          <w:tcPr>
            <w:tcW w:w="4786" w:type="dxa"/>
          </w:tcPr>
          <w:p w14:paraId="35152E0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нормальный</w:t>
            </w:r>
          </w:p>
        </w:tc>
        <w:tc>
          <w:tcPr>
            <w:tcW w:w="1559" w:type="dxa"/>
          </w:tcPr>
          <w:p w14:paraId="0894987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7442</w:t>
            </w:r>
          </w:p>
        </w:tc>
        <w:tc>
          <w:tcPr>
            <w:tcW w:w="1276" w:type="dxa"/>
          </w:tcPr>
          <w:p w14:paraId="47A8FA3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7660</w:t>
            </w:r>
          </w:p>
        </w:tc>
        <w:tc>
          <w:tcPr>
            <w:tcW w:w="1418" w:type="dxa"/>
          </w:tcPr>
          <w:p w14:paraId="3894280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561" w:type="dxa"/>
          </w:tcPr>
          <w:p w14:paraId="26CFC39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r>
      <w:tr w:rsidR="007D5DF8" w:rsidRPr="00DB5D0D" w14:paraId="058D0DB2" w14:textId="77777777" w:rsidTr="009223E5">
        <w:tc>
          <w:tcPr>
            <w:tcW w:w="4786" w:type="dxa"/>
          </w:tcPr>
          <w:p w14:paraId="413EE50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w:t>
            </w:r>
          </w:p>
        </w:tc>
        <w:tc>
          <w:tcPr>
            <w:tcW w:w="1559" w:type="dxa"/>
          </w:tcPr>
          <w:p w14:paraId="24E3F56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345</w:t>
            </w:r>
          </w:p>
        </w:tc>
        <w:tc>
          <w:tcPr>
            <w:tcW w:w="1276" w:type="dxa"/>
          </w:tcPr>
          <w:p w14:paraId="584A90C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353,5</w:t>
            </w:r>
          </w:p>
        </w:tc>
        <w:tc>
          <w:tcPr>
            <w:tcW w:w="1418" w:type="dxa"/>
          </w:tcPr>
          <w:p w14:paraId="3FA07DF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561" w:type="dxa"/>
          </w:tcPr>
          <w:p w14:paraId="0B0CCFD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r>
      <w:tr w:rsidR="007D5DF8" w:rsidRPr="00DB5D0D" w14:paraId="49C06243" w14:textId="77777777" w:rsidTr="009223E5">
        <w:tc>
          <w:tcPr>
            <w:tcW w:w="4786" w:type="dxa"/>
          </w:tcPr>
          <w:p w14:paraId="0F5322C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расчетной высоте</w:t>
            </w:r>
          </w:p>
        </w:tc>
        <w:tc>
          <w:tcPr>
            <w:tcW w:w="1559" w:type="dxa"/>
          </w:tcPr>
          <w:p w14:paraId="036B1B1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439/4900</w:t>
            </w:r>
          </w:p>
        </w:tc>
        <w:tc>
          <w:tcPr>
            <w:tcW w:w="1276" w:type="dxa"/>
          </w:tcPr>
          <w:p w14:paraId="3EFA3A0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445/5400</w:t>
            </w:r>
          </w:p>
        </w:tc>
        <w:tc>
          <w:tcPr>
            <w:tcW w:w="1418" w:type="dxa"/>
          </w:tcPr>
          <w:p w14:paraId="2091437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561" w:type="dxa"/>
          </w:tcPr>
          <w:p w14:paraId="7FD5D7A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r>
      <w:tr w:rsidR="007D5DF8" w:rsidRPr="00DB5D0D" w14:paraId="1D7BBE8A" w14:textId="77777777" w:rsidTr="009223E5">
        <w:tc>
          <w:tcPr>
            <w:tcW w:w="4786" w:type="dxa"/>
          </w:tcPr>
          <w:p w14:paraId="748690C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1559" w:type="dxa"/>
          </w:tcPr>
          <w:p w14:paraId="696C5C4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9600</w:t>
            </w:r>
          </w:p>
        </w:tc>
        <w:tc>
          <w:tcPr>
            <w:tcW w:w="1276" w:type="dxa"/>
          </w:tcPr>
          <w:p w14:paraId="7D1E2A0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1418" w:type="dxa"/>
          </w:tcPr>
          <w:p w14:paraId="093F148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561" w:type="dxa"/>
          </w:tcPr>
          <w:p w14:paraId="54034BB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r>
      <w:tr w:rsidR="007D5DF8" w:rsidRPr="00DB5D0D" w14:paraId="4EDD537A" w14:textId="77777777" w:rsidTr="009223E5">
        <w:tc>
          <w:tcPr>
            <w:tcW w:w="4786" w:type="dxa"/>
          </w:tcPr>
          <w:p w14:paraId="2F49639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потолка</w:t>
            </w:r>
          </w:p>
        </w:tc>
        <w:tc>
          <w:tcPr>
            <w:tcW w:w="1559" w:type="dxa"/>
          </w:tcPr>
          <w:p w14:paraId="2D7D645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276" w:type="dxa"/>
          </w:tcPr>
          <w:p w14:paraId="3E7EBC4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45,56</w:t>
            </w:r>
          </w:p>
        </w:tc>
        <w:tc>
          <w:tcPr>
            <w:tcW w:w="1418" w:type="dxa"/>
          </w:tcPr>
          <w:p w14:paraId="1F0936B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561" w:type="dxa"/>
          </w:tcPr>
          <w:p w14:paraId="3F843B2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r>
      <w:tr w:rsidR="007D5DF8" w:rsidRPr="00DB5D0D" w14:paraId="4D08F9C4" w14:textId="77777777" w:rsidTr="009223E5">
        <w:tc>
          <w:tcPr>
            <w:tcW w:w="4786" w:type="dxa"/>
          </w:tcPr>
          <w:p w14:paraId="1BD85E2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w:t>
            </w:r>
          </w:p>
        </w:tc>
        <w:tc>
          <w:tcPr>
            <w:tcW w:w="1559" w:type="dxa"/>
          </w:tcPr>
          <w:p w14:paraId="56A0575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12,1/4900</w:t>
            </w:r>
          </w:p>
        </w:tc>
        <w:tc>
          <w:tcPr>
            <w:tcW w:w="1276" w:type="dxa"/>
          </w:tcPr>
          <w:p w14:paraId="6044147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13,59/5000</w:t>
            </w:r>
          </w:p>
        </w:tc>
        <w:tc>
          <w:tcPr>
            <w:tcW w:w="1418" w:type="dxa"/>
          </w:tcPr>
          <w:p w14:paraId="2ED16A2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561" w:type="dxa"/>
          </w:tcPr>
          <w:p w14:paraId="32E3177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r>
      <w:tr w:rsidR="007D5DF8" w:rsidRPr="00DB5D0D" w14:paraId="557791DA" w14:textId="77777777" w:rsidTr="009223E5">
        <w:tc>
          <w:tcPr>
            <w:tcW w:w="4786" w:type="dxa"/>
          </w:tcPr>
          <w:p w14:paraId="6C62A87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w:t>
            </w:r>
          </w:p>
        </w:tc>
        <w:tc>
          <w:tcPr>
            <w:tcW w:w="1559" w:type="dxa"/>
          </w:tcPr>
          <w:p w14:paraId="1FE6F73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3800</w:t>
            </w:r>
          </w:p>
        </w:tc>
        <w:tc>
          <w:tcPr>
            <w:tcW w:w="1276" w:type="dxa"/>
          </w:tcPr>
          <w:p w14:paraId="7AA7B69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3600 на 0,8 Vmax</w:t>
            </w:r>
          </w:p>
        </w:tc>
        <w:tc>
          <w:tcPr>
            <w:tcW w:w="1418" w:type="dxa"/>
          </w:tcPr>
          <w:p w14:paraId="0F150AD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561" w:type="dxa"/>
          </w:tcPr>
          <w:p w14:paraId="354C918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r>
      <w:tr w:rsidR="007D5DF8" w:rsidRPr="00DB5D0D" w14:paraId="7EE8FF38" w14:textId="77777777" w:rsidTr="009223E5">
        <w:tc>
          <w:tcPr>
            <w:tcW w:w="4786" w:type="dxa"/>
          </w:tcPr>
          <w:p w14:paraId="67233FA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1559" w:type="dxa"/>
          </w:tcPr>
          <w:p w14:paraId="4E4E7D6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 3 пулемета</w:t>
            </w:r>
          </w:p>
          <w:p w14:paraId="342DC30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 – 1000-2900 кг</w:t>
            </w:r>
          </w:p>
        </w:tc>
        <w:tc>
          <w:tcPr>
            <w:tcW w:w="1276" w:type="dxa"/>
          </w:tcPr>
          <w:p w14:paraId="5AA042A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 3 пулемета</w:t>
            </w:r>
          </w:p>
          <w:p w14:paraId="512AE43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 – 1000-2900 кг</w:t>
            </w:r>
          </w:p>
        </w:tc>
        <w:tc>
          <w:tcPr>
            <w:tcW w:w="1418" w:type="dxa"/>
          </w:tcPr>
          <w:p w14:paraId="7581744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1561" w:type="dxa"/>
          </w:tcPr>
          <w:p w14:paraId="0257D73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r>
    </w:tbl>
    <w:p w14:paraId="4B94132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(6768).</w:t>
      </w:r>
    </w:p>
    <w:p w14:paraId="0AAFFA9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C2C4B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Петлякову всесильный нарком Л.П.Берия (напомним, что в то время главный конструктор и его сотрудники находились в заключении) поручил за полтора месяца переделать высотный истребитель в пикирующий трехместный бомбардировщик с бомбовой нагрузкой и мощным вооружением. Быстро был сделан и утвержден макет. Из ОКБ А. С. Яковлева, С. В. Илыошина, А. А. Архангельского и других в помощь В. М. Петлякову откомандировали около 300 человек (12037).</w:t>
      </w:r>
    </w:p>
    <w:p w14:paraId="6A46B71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EAB0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1940-го СБ-РК испытывался в НИИ ВВС. Ведущими по машине были инженер Ефимов и летчик А.И.Кабанов. Облетали бомбардировщик пилоты А.М.Хрипков, П.М.Стефановский, А.К. Долгов, Щербаков и Соколов.</w:t>
      </w:r>
    </w:p>
    <w:p w14:paraId="078761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СБ-РК кабина штурмана первоначально осталась как у серийного СБ. Силовая установка, за исключением размещения водорадиаторов, и крыло не изменились, но элероны сделали щелевыми. Отсюда и пошло название "Разрезное крыло". Под крылом самолета, исходя из опыта использования СБ для бомбометания с пикирования в ходе советско-финляндского вооруженного конфликта, предусмотрели тормозные щитки (решетки) и наружные балки для бомбодержателей. Фонарь кабины пилота теперь закрывался без выступа над фюзеляжем, что также снизило лобовое сопротивление. На опытной машине вместо турели МВ-3 стояла "СБвская" Тур-9.</w:t>
      </w:r>
    </w:p>
    <w:p w14:paraId="6FBE5C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сравнению с серийным СБ возросли максимальная скорость на 33 км/ч и потолок 560 м, но ухудшилась скороподъемность. Надо учесть, что во время испытаний на самолете отсутствовало оборонительное вооружение, предусмотренное проектом, установка которого впоследствии ухудшала летные характеристики (6409).</w:t>
      </w:r>
    </w:p>
    <w:p w14:paraId="74DDE28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48D2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Главный военный совет ВВС постановил: «Оставить на вооружении... ТБ-3 из числа годных для полетов, с использованием как транспортных». В это время четырехмоторные машины Туполева составляли примерно четверть всего парка тяжелых и дальних бомбардировщиков. На 1 января 1941 г. хотели оставить 69 ТБ-ЗРН и ТБ-ЗФРН, 123 ТБ-ЗР, 76 самолетов с М-34 и 278 с М-17 (9964).</w:t>
      </w:r>
    </w:p>
    <w:p w14:paraId="27C14B6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7677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было ре</w:t>
      </w:r>
      <w:r w:rsidRPr="00DB5D0D">
        <w:rPr>
          <w:rFonts w:ascii="Times New Roman" w:hAnsi="Times New Roman"/>
          <w:color w:val="000000" w:themeColor="text1"/>
          <w:sz w:val="16"/>
          <w:szCs w:val="16"/>
        </w:rPr>
        <w:softHyphen/>
        <w:t>шено возобновить на заводе № 124 параллельно выпуску Ли-2 (ПС-84) и про</w:t>
      </w:r>
      <w:r w:rsidRPr="00DB5D0D">
        <w:rPr>
          <w:rFonts w:ascii="Times New Roman" w:hAnsi="Times New Roman"/>
          <w:color w:val="000000" w:themeColor="text1"/>
          <w:sz w:val="16"/>
          <w:szCs w:val="16"/>
        </w:rPr>
        <w:softHyphen/>
        <w:t>изводство ТБ-7 то же. В сентябре 1940 г. задание по выпуску Ли-2 было снято, заводу приказывалось сосредоточиться на производстве ТБ-7. В конце концов, завод был параллельно с выпуском 4-моторных бомбардировщиков загружен произ</w:t>
      </w:r>
      <w:r w:rsidRPr="00DB5D0D">
        <w:rPr>
          <w:rFonts w:ascii="Times New Roman" w:hAnsi="Times New Roman"/>
          <w:color w:val="000000" w:themeColor="text1"/>
          <w:sz w:val="16"/>
          <w:szCs w:val="16"/>
        </w:rPr>
        <w:softHyphen/>
        <w:t>водством ещё и фронтового пикирующего бомбардировщика Пе-2, который в итоге и стал основной продукцией предпри</w:t>
      </w:r>
      <w:r w:rsidRPr="00DB5D0D">
        <w:rPr>
          <w:rFonts w:ascii="Times New Roman" w:hAnsi="Times New Roman"/>
          <w:color w:val="000000" w:themeColor="text1"/>
          <w:sz w:val="16"/>
          <w:szCs w:val="16"/>
        </w:rPr>
        <w:softHyphen/>
        <w:t>ятия. В результате отлично оснащённое предприятие так и не сыграло заметной роли в довоенном авиавыпуске. Эта история была тем более огорчительна, что завод был сравнительно не</w:t>
      </w:r>
      <w:r w:rsidRPr="00DB5D0D">
        <w:rPr>
          <w:rFonts w:ascii="Times New Roman" w:hAnsi="Times New Roman"/>
          <w:color w:val="000000" w:themeColor="text1"/>
          <w:sz w:val="16"/>
          <w:szCs w:val="16"/>
        </w:rPr>
        <w:softHyphen/>
        <w:t xml:space="preserve">плохо обеспечен станочным парком. Всего по проекту завод должен был быть оснащён 1457 тяжёлыми станками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xml:space="preserve">. 1. Д. 401. Л. 149), из них в 1940 г. в наличии было 1151 (79 %)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401. Л. 249). Наличие станков при от</w:t>
      </w:r>
      <w:r w:rsidRPr="00DB5D0D">
        <w:rPr>
          <w:rFonts w:ascii="Times New Roman" w:hAnsi="Times New Roman"/>
          <w:color w:val="000000" w:themeColor="text1"/>
          <w:sz w:val="16"/>
          <w:szCs w:val="16"/>
        </w:rPr>
        <w:softHyphen/>
        <w:t>сутствии вразумительной производственной программы вело к громадным простоям. Например, в 1939 г. простои составили 19,5 % рабочего времени. В течение первых 5 месяцев 1940 г. из 6000 рабочих завода 600 человек ежедневно простаивали.</w:t>
      </w:r>
    </w:p>
    <w:p w14:paraId="04D23A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влиянием этих обстоятельств трудовая дисциплина упа</w:t>
      </w:r>
      <w:r w:rsidRPr="00DB5D0D">
        <w:rPr>
          <w:rFonts w:ascii="Times New Roman" w:hAnsi="Times New Roman"/>
          <w:color w:val="000000" w:themeColor="text1"/>
          <w:sz w:val="16"/>
          <w:szCs w:val="16"/>
        </w:rPr>
        <w:softHyphen/>
        <w:t>ла ниже всех допустимых пределов. По отзывам сотрудников наркомата, инспектировавших завод, «в результате этого... в коллективе завода и, главным образом, руководящего соста</w:t>
      </w:r>
      <w:r w:rsidRPr="00DB5D0D">
        <w:rPr>
          <w:rFonts w:ascii="Times New Roman" w:hAnsi="Times New Roman"/>
          <w:color w:val="000000" w:themeColor="text1"/>
          <w:sz w:val="16"/>
          <w:szCs w:val="16"/>
        </w:rPr>
        <w:softHyphen/>
        <w:t>ва, существует растерянность. ...В цехах рабочие в рабочее время трают в шашки, организуют «борьбу» и прыжки, около производственного цеха занимаются «фотографированием» (видимо, какая-то игра. Крайне маловероятно, чтобы у казанских рабо</w:t>
      </w:r>
      <w:r w:rsidRPr="00DB5D0D">
        <w:rPr>
          <w:rFonts w:ascii="Times New Roman" w:hAnsi="Times New Roman"/>
          <w:color w:val="000000" w:themeColor="text1"/>
          <w:sz w:val="16"/>
          <w:szCs w:val="16"/>
        </w:rPr>
        <w:softHyphen/>
        <w:t>чих в 1940 г. были в изобилии на руках частные фотоаппараты, да и само слово «фотографирование» было в документе взято в кавычки) и т.д. На лужайке около цеха ежедневно можно было видеть от 40 до 75 спящих рабочих. 16 мая 78 человек занимались про</w:t>
      </w:r>
      <w:r w:rsidRPr="00DB5D0D">
        <w:rPr>
          <w:rFonts w:ascii="Times New Roman" w:hAnsi="Times New Roman"/>
          <w:color w:val="000000" w:themeColor="text1"/>
          <w:sz w:val="16"/>
          <w:szCs w:val="16"/>
        </w:rPr>
        <w:softHyphen/>
        <w:t>сеиванием сгруженного во дворе жмыха, выбирая семечки для личного потребления. Питание рабочих не организовано... Те</w:t>
      </w:r>
      <w:r w:rsidRPr="00DB5D0D">
        <w:rPr>
          <w:rFonts w:ascii="Times New Roman" w:hAnsi="Times New Roman"/>
          <w:color w:val="000000" w:themeColor="text1"/>
          <w:sz w:val="16"/>
          <w:szCs w:val="16"/>
        </w:rPr>
        <w:softHyphen/>
        <w:t>кучесть в 1938 г. составила 3895 человек (то есть около 60 %). Охарактеризовав такое положение завода, нет необходимости освещать вопросы соцсоревнования, стахановского и много</w:t>
      </w:r>
      <w:r w:rsidRPr="00DB5D0D">
        <w:rPr>
          <w:rFonts w:ascii="Times New Roman" w:hAnsi="Times New Roman"/>
          <w:color w:val="000000" w:themeColor="text1"/>
          <w:sz w:val="16"/>
          <w:szCs w:val="16"/>
        </w:rPr>
        <w:softHyphen/>
        <w:t xml:space="preserve">станочного движения»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401. Л. 253).</w:t>
      </w:r>
    </w:p>
    <w:p w14:paraId="101F9B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положение было тем более нетерпимым с учетом того, что завод № 124 входил в сравнительно небольшую группу самолетостроительных заводов, имеющих развитый станоч</w:t>
      </w:r>
      <w:r w:rsidRPr="00DB5D0D">
        <w:rPr>
          <w:rFonts w:ascii="Times New Roman" w:hAnsi="Times New Roman"/>
          <w:color w:val="000000" w:themeColor="text1"/>
          <w:sz w:val="16"/>
          <w:szCs w:val="16"/>
        </w:rPr>
        <w:softHyphen/>
        <w:t>ный парк для металлического авиастроения (12011).</w:t>
      </w:r>
    </w:p>
    <w:p w14:paraId="2791477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B6FA7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выпустили опытную партию ТБ-7 с М-40Ф Кировского завода, но потом вновь заменили на АМ-35А из-за низкой надежности (2494,10).</w:t>
      </w:r>
    </w:p>
    <w:p w14:paraId="558A071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3DD4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мае 1940 г. началась изготовление ТБ-7, которые предстояло оснастить дизелями М-30 и М-40, началось Первый серийный ТБ-7 №4225 с дизелями М-40 подготовили к полетам в начале 1941 г. После облета летчиком Г.Ф.Байдуковым, 16 января самолет поступил на государственные испытания в НИИ ВВС, которые </w:t>
      </w:r>
      <w:r w:rsidRPr="00DB5D0D">
        <w:rPr>
          <w:rFonts w:ascii="Times New Roman" w:hAnsi="Times New Roman"/>
          <w:color w:val="000000" w:themeColor="text1"/>
          <w:sz w:val="16"/>
          <w:szCs w:val="16"/>
        </w:rPr>
        <w:lastRenderedPageBreak/>
        <w:t>продолжались по 20 февраля 1941 г. В ходе летных испытаний ТБ-7 с нормальным полетным весом 26000 кг (вес пустого 19790 кг), бомбовой нагрузкой 2000 кг, развивал максимальную скорость у земли 345 км/ч, на высоте 5680 м - 393 км/ч, его практический потолок составил 9200 м.</w:t>
      </w:r>
    </w:p>
    <w:p w14:paraId="7DFE6A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Хотя по своим летно-техническим характеристикам ТБ-7 №4225 в основном удовлетворял требованиям военных, в очередной раз признавалось, что сами двигатели несовершенны, имеют ряд дефектов, не позволяющих полноценно эксплуатировать их в строевых частях. На больших полетных высотах, при работе на номинальном режиме, выхлопные газы не обеспечивали устойчивой работы турбокомпрессоров, и двигатели захлебывались. Кроме того, сами турбокомпрессоры часто выходили из строя: прогорали коллекторы выхлопных газов, разрушались лопатки турбины и подшипники. Самопроизвольно останавливались двигатели и при переводе на малый газ на малых высотах, что было особенно опасно при совершении посадки.</w:t>
      </w:r>
    </w:p>
    <w:p w14:paraId="243713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Существовала надежда на доведение дизелей до приемлемых показателей, и, прежде всего, на получение форсированного варианта М-40Ф со взлетной мощностью 1500 л.с. Заводу № 124 предлагалось совместно с ЦИАМ переделать самолет под М-40Ф с устранением всех дефектов и предъявить его на повторные государственные испытания к 1 апреля 1941 г. (12025).</w:t>
      </w:r>
    </w:p>
    <w:p w14:paraId="6FE9227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DCD2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.согласно отчету нового (с 27 мая 1940) директора завода № 124 Кагановича Михаила Моисеевича, заводу № 124 план до ДС-3 был снижен со 100 до 25 самолетов, так как завод был опять переключен на производство ТБ-7. В марте была запущена 4-я серия самолетов по агрегатной сборке в количестве пяти машин из деталей, полученных с завода № 84, и в этом же месяце 5-я серия без получения деталей со стороны.</w:t>
      </w:r>
    </w:p>
    <w:p w14:paraId="7B808D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была запущена 6-я серия из 10 самолетов и в августе 7-я серия из 15 машин. В конце отчетного года план был снова сокращен до 10 самолетов из-за явной необеспеченности моторами М-62ИР и рядом основных готовых изделий. Фактически завод сдал за год 10 самолетов. Для завода № 84 сделано 26 комплектов шасси к ДС-3. (...)</w:t>
      </w:r>
    </w:p>
    <w:p w14:paraId="0DCF25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Внедрение изделия «84» позволило освоить плазово-шаблонный метод и применение нового оборудования, такого, как гидропресс мощностью 5000 тонн, станки «Норд-Америка», «ОНСРУД» и прессы для гибки «Цинцинати» и «Стиллвелд». Пущены заготовительно-раскройный и шаблонно-плазовый цеха. Цикл подготовки производства, рассчитанный на шесть месяцев, был выполнен за четыре месяца» (12049).</w:t>
      </w:r>
    </w:p>
    <w:p w14:paraId="5EF01DB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B0DD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нарком обороны маршал С. Тимошенко писал письмо председателю КО маршалу Ворошилову К.Е.</w:t>
      </w:r>
    </w:p>
    <w:p w14:paraId="681C56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в процессе испытаний, самолет ДБЛК-2М88 конструкции Беляева дал скорость 488 км/час на высоте 5200 м.</w:t>
      </w:r>
    </w:p>
    <w:p w14:paraId="223A90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докладу командования ГУАС самолет является перспективным, имеющим преимущества по сравнению с имеющимися на вооружении самолетами, как по бомбовой загрузке, так и по стрелковому вооружению.</w:t>
      </w:r>
    </w:p>
    <w:p w14:paraId="3BBCAD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быстрейшего освоения самолета, прошу о заказе промышленности опытной серии в количестве 10 штук (7709, 377).</w:t>
      </w:r>
    </w:p>
    <w:p w14:paraId="5051832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221EF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Коллектив ОКБ-240 успешно справились с этой большой работой, и в мае 1940 г. был выпущен опытный бомбардировщик, названный ДБ-240. Самолет в кратчайшие сроки прошел заводские и государственные испытания и в октябре 1940 г. состоялся запуск в серийное производство на заводе №18 в Воронеже. Темпы были удивительные, но надо принять во внимание ситуацию, сложившуюся с ДБ-3. Военные выступали за скорейшее внедрение ДБ-240, видя в нем альтернативу ильюшинскому бомбардировщику (12037).</w:t>
      </w:r>
    </w:p>
    <w:p w14:paraId="4AF9438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A01A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в НИИ ВВС предприняли попытку улучшить тепловой режим работы двигателей. ББ-22. Однако вме</w:t>
      </w:r>
      <w:r w:rsidRPr="00DB5D0D">
        <w:rPr>
          <w:rFonts w:ascii="Times New Roman" w:hAnsi="Times New Roman"/>
          <w:color w:val="000000" w:themeColor="text1"/>
          <w:sz w:val="16"/>
          <w:szCs w:val="16"/>
        </w:rPr>
        <w:softHyphen/>
        <w:t>сто повышения скоростных характеристик произошло об</w:t>
      </w:r>
      <w:r w:rsidRPr="00DB5D0D">
        <w:rPr>
          <w:rFonts w:ascii="Times New Roman" w:hAnsi="Times New Roman"/>
          <w:color w:val="000000" w:themeColor="text1"/>
          <w:sz w:val="16"/>
          <w:szCs w:val="16"/>
        </w:rPr>
        <w:softHyphen/>
        <w:t>ратное — максимальная скорость снизилась в среднем на 15 км/ч. Самолет явно преследовали неудачи. На основании проведенных войсковых испытаний техни</w:t>
      </w:r>
      <w:r w:rsidRPr="00DB5D0D">
        <w:rPr>
          <w:rFonts w:ascii="Times New Roman" w:hAnsi="Times New Roman"/>
          <w:color w:val="000000" w:themeColor="text1"/>
          <w:sz w:val="16"/>
          <w:szCs w:val="16"/>
        </w:rPr>
        <w:softHyphen/>
        <w:t>ческий совет НИИ ВВС констатировал, что летные харак</w:t>
      </w:r>
      <w:r w:rsidRPr="00DB5D0D">
        <w:rPr>
          <w:rFonts w:ascii="Times New Roman" w:hAnsi="Times New Roman"/>
          <w:color w:val="000000" w:themeColor="text1"/>
          <w:sz w:val="16"/>
          <w:szCs w:val="16"/>
        </w:rPr>
        <w:softHyphen/>
        <w:t>теристики самолета резко ухудшились. Максимальная ско</w:t>
      </w:r>
      <w:r w:rsidRPr="00DB5D0D">
        <w:rPr>
          <w:rFonts w:ascii="Times New Roman" w:hAnsi="Times New Roman"/>
          <w:color w:val="000000" w:themeColor="text1"/>
          <w:sz w:val="16"/>
          <w:szCs w:val="16"/>
        </w:rPr>
        <w:softHyphen/>
        <w:t>рость ББ-22 снизилась с 567 км/ч до 515 км/ч. Время набо</w:t>
      </w:r>
      <w:r w:rsidRPr="00DB5D0D">
        <w:rPr>
          <w:rFonts w:ascii="Times New Roman" w:hAnsi="Times New Roman"/>
          <w:color w:val="000000" w:themeColor="text1"/>
          <w:sz w:val="16"/>
          <w:szCs w:val="16"/>
        </w:rPr>
        <w:softHyphen/>
        <w:t>ра высоты 5000 метров возросло с 5,75 до 7,7 минуты, а дальность полета составила лишь 630 км. Кроме этого, вы</w:t>
      </w:r>
      <w:r w:rsidRPr="00DB5D0D">
        <w:rPr>
          <w:rFonts w:ascii="Times New Roman" w:hAnsi="Times New Roman"/>
          <w:color w:val="000000" w:themeColor="text1"/>
          <w:sz w:val="16"/>
          <w:szCs w:val="16"/>
        </w:rPr>
        <w:softHyphen/>
        <w:t>явили 183 дефекта! В результате комиссия постановила, что в таком виде са</w:t>
      </w:r>
      <w:r w:rsidRPr="00DB5D0D">
        <w:rPr>
          <w:rFonts w:ascii="Times New Roman" w:hAnsi="Times New Roman"/>
          <w:color w:val="000000" w:themeColor="text1"/>
          <w:sz w:val="16"/>
          <w:szCs w:val="16"/>
        </w:rPr>
        <w:softHyphen/>
        <w:t>молеты к эксплуатации в частях ВВС не могут быть допу</w:t>
      </w:r>
      <w:r w:rsidRPr="00DB5D0D">
        <w:rPr>
          <w:rFonts w:ascii="Times New Roman" w:hAnsi="Times New Roman"/>
          <w:color w:val="000000" w:themeColor="text1"/>
          <w:sz w:val="16"/>
          <w:szCs w:val="16"/>
        </w:rPr>
        <w:softHyphen/>
        <w:t>щены. Изменилось мнение и в ГУ АС (кстати, Алексеев был репрессирован), ходатайствовавшее перед наркомом оборо</w:t>
      </w:r>
      <w:r w:rsidRPr="00DB5D0D">
        <w:rPr>
          <w:rFonts w:ascii="Times New Roman" w:hAnsi="Times New Roman"/>
          <w:color w:val="000000" w:themeColor="text1"/>
          <w:sz w:val="16"/>
          <w:szCs w:val="16"/>
        </w:rPr>
        <w:softHyphen/>
        <w:t>ны о прекращении производства ББ-22. Как рассказывал летчик-испытатель НИИ ВВС Н. А. Сте</w:t>
      </w:r>
      <w:r w:rsidRPr="00DB5D0D">
        <w:rPr>
          <w:rFonts w:ascii="Times New Roman" w:hAnsi="Times New Roman"/>
          <w:color w:val="000000" w:themeColor="text1"/>
          <w:sz w:val="16"/>
          <w:szCs w:val="16"/>
        </w:rPr>
        <w:softHyphen/>
        <w:t>панов, на одном из совещаний у Сталина против самолета Яковлева резко выступил летчик-испытатель И.П. Писку</w:t>
      </w:r>
      <w:r w:rsidRPr="00DB5D0D">
        <w:rPr>
          <w:rFonts w:ascii="Times New Roman" w:hAnsi="Times New Roman"/>
          <w:color w:val="000000" w:themeColor="text1"/>
          <w:sz w:val="16"/>
          <w:szCs w:val="16"/>
        </w:rPr>
        <w:softHyphen/>
        <w:t>нов, и это, похоже, было последней каплей. Самого кон</w:t>
      </w:r>
      <w:r w:rsidRPr="00DB5D0D">
        <w:rPr>
          <w:rFonts w:ascii="Times New Roman" w:hAnsi="Times New Roman"/>
          <w:color w:val="000000" w:themeColor="text1"/>
          <w:sz w:val="16"/>
          <w:szCs w:val="16"/>
        </w:rPr>
        <w:softHyphen/>
        <w:t>структора на совещании не было, тем не менее Сталин приказал разобраться и прекратить выпуск негодных са</w:t>
      </w:r>
      <w:r w:rsidRPr="00DB5D0D">
        <w:rPr>
          <w:rFonts w:ascii="Times New Roman" w:hAnsi="Times New Roman"/>
          <w:color w:val="000000" w:themeColor="text1"/>
          <w:sz w:val="16"/>
          <w:szCs w:val="16"/>
        </w:rPr>
        <w:softHyphen/>
        <w:t>молетов. (10745,204).</w:t>
      </w:r>
    </w:p>
    <w:p w14:paraId="34149C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5B16A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НИИ ВВС пытался улучшить тепловой режим работы моторов на ББ-22, но потерял 15 км/час скорости (439,7).</w:t>
      </w:r>
    </w:p>
    <w:p w14:paraId="5257C99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DDA1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закончились гос. испытания серийного ББ-22 N 1033 1 завода с М-103 (1081).</w:t>
      </w:r>
    </w:p>
    <w:p w14:paraId="2D80676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0B88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на заводе 1 закончились заводские испытания серийного ББ-22, переделанного в ББ-22бис (заводской N 1002) в марте 1940 и имеющего пониженный гаргрот и М-105 и удлиненными выхлопными патрубками. Впервые поставили и ВИШ-22Е и спаренные колеса. Ви был Ф.В.Пименов, а вл - П.Н.Моисеев. (1081,8).</w:t>
      </w:r>
    </w:p>
    <w:p w14:paraId="7F8624E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84312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заводские испытания ББ-22бис завершили. В ходе их прове</w:t>
      </w:r>
      <w:r w:rsidRPr="00DB5D0D">
        <w:rPr>
          <w:rFonts w:ascii="Times New Roman" w:hAnsi="Times New Roman"/>
          <w:color w:val="000000" w:themeColor="text1"/>
          <w:sz w:val="16"/>
          <w:szCs w:val="16"/>
        </w:rPr>
        <w:softHyphen/>
        <w:t>дения удалось получить максимальную скорость полета у земли 460 км/ч, а на второй границе высотности (4800 м) — 574 км/ч. Время набора высоты 5000 м сократилось до 5,45 мин. Несмотря на значительное количество выявленных дефектов, испытания прибавили опти</w:t>
      </w:r>
      <w:r w:rsidRPr="00DB5D0D">
        <w:rPr>
          <w:rFonts w:ascii="Times New Roman" w:hAnsi="Times New Roman"/>
          <w:color w:val="000000" w:themeColor="text1"/>
          <w:sz w:val="16"/>
          <w:szCs w:val="16"/>
        </w:rPr>
        <w:softHyphen/>
        <w:t>мизма и создателям ББ-22, и руководст</w:t>
      </w:r>
      <w:r w:rsidRPr="00DB5D0D">
        <w:rPr>
          <w:rFonts w:ascii="Times New Roman" w:hAnsi="Times New Roman"/>
          <w:color w:val="000000" w:themeColor="text1"/>
          <w:sz w:val="16"/>
          <w:szCs w:val="16"/>
        </w:rPr>
        <w:softHyphen/>
        <w:t>ву ВВС. Достаточно указать, что ско</w:t>
      </w:r>
      <w:r w:rsidRPr="00DB5D0D">
        <w:rPr>
          <w:rFonts w:ascii="Times New Roman" w:hAnsi="Times New Roman"/>
          <w:color w:val="000000" w:themeColor="text1"/>
          <w:sz w:val="16"/>
          <w:szCs w:val="16"/>
        </w:rPr>
        <w:softHyphen/>
        <w:t>рость машины на расчетной высоте ока</w:t>
      </w:r>
      <w:r w:rsidRPr="00DB5D0D">
        <w:rPr>
          <w:rFonts w:ascii="Times New Roman" w:hAnsi="Times New Roman"/>
          <w:color w:val="000000" w:themeColor="text1"/>
          <w:sz w:val="16"/>
          <w:szCs w:val="16"/>
        </w:rPr>
        <w:softHyphen/>
        <w:t>залась на 20 — 25 км/ч большей, чем у серийного германского истребителя В? 109Е, испытанного в НИИ ВВС в июне 1940 г. В результате посещения комисси</w:t>
      </w:r>
      <w:r w:rsidRPr="00DB5D0D">
        <w:rPr>
          <w:rFonts w:ascii="Times New Roman" w:hAnsi="Times New Roman"/>
          <w:color w:val="000000" w:themeColor="text1"/>
          <w:sz w:val="16"/>
          <w:szCs w:val="16"/>
        </w:rPr>
        <w:softHyphen/>
        <w:t>ей генерала Астахова завода № 81 был сделан вывод о наличии у ББ-22 лишь вполне устранимых производственных дефектов и об отсутствии серьезных конструктивных недостатков (не пройдет и полугода, как командование ВВС ради</w:t>
      </w:r>
      <w:r w:rsidRPr="00DB5D0D">
        <w:rPr>
          <w:rFonts w:ascii="Times New Roman" w:hAnsi="Times New Roman"/>
          <w:color w:val="000000" w:themeColor="text1"/>
          <w:sz w:val="16"/>
          <w:szCs w:val="16"/>
        </w:rPr>
        <w:softHyphen/>
        <w:t>кально изменит свои взгляды).</w:t>
      </w:r>
    </w:p>
    <w:p w14:paraId="2022FA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Судьба самолета № 1002 сложилась неудачно. 23 мая 1940 г. после одного из полетов заводской летчик Моисеенко, руливший на повышенной скорости, не справился с управлением (по его сло</w:t>
      </w:r>
      <w:r w:rsidRPr="00DB5D0D">
        <w:rPr>
          <w:rFonts w:ascii="Times New Roman" w:hAnsi="Times New Roman"/>
          <w:color w:val="000000" w:themeColor="text1"/>
          <w:sz w:val="16"/>
          <w:szCs w:val="16"/>
        </w:rPr>
        <w:softHyphen/>
        <w:t>вам, на повороте «не сработали тормо</w:t>
      </w:r>
      <w:r w:rsidRPr="00DB5D0D">
        <w:rPr>
          <w:rFonts w:ascii="Times New Roman" w:hAnsi="Times New Roman"/>
          <w:color w:val="000000" w:themeColor="text1"/>
          <w:sz w:val="16"/>
          <w:szCs w:val="16"/>
        </w:rPr>
        <w:softHyphen/>
        <w:t>за»), и машина правым концом крыла за</w:t>
      </w:r>
      <w:r w:rsidRPr="00DB5D0D">
        <w:rPr>
          <w:rFonts w:ascii="Times New Roman" w:hAnsi="Times New Roman"/>
          <w:color w:val="000000" w:themeColor="text1"/>
          <w:sz w:val="16"/>
          <w:szCs w:val="16"/>
        </w:rPr>
        <w:softHyphen/>
        <w:t>дела стоявший СБ, а затем по инерции «въехала» в другой скоростной бомбар</w:t>
      </w:r>
      <w:r w:rsidRPr="00DB5D0D">
        <w:rPr>
          <w:rFonts w:ascii="Times New Roman" w:hAnsi="Times New Roman"/>
          <w:color w:val="000000" w:themeColor="text1"/>
          <w:sz w:val="16"/>
          <w:szCs w:val="16"/>
        </w:rPr>
        <w:softHyphen/>
        <w:t>дировщик. Напомним, что крыло у ББ-22 неразъемное, а разрушения его оказа</w:t>
      </w:r>
      <w:r w:rsidRPr="00DB5D0D">
        <w:rPr>
          <w:rFonts w:ascii="Times New Roman" w:hAnsi="Times New Roman"/>
          <w:color w:val="000000" w:themeColor="text1"/>
          <w:sz w:val="16"/>
          <w:szCs w:val="16"/>
        </w:rPr>
        <w:softHyphen/>
        <w:t>лись очень велики. Самолет № 1002 ре</w:t>
      </w:r>
      <w:r w:rsidRPr="00DB5D0D">
        <w:rPr>
          <w:rFonts w:ascii="Times New Roman" w:hAnsi="Times New Roman"/>
          <w:color w:val="000000" w:themeColor="text1"/>
          <w:sz w:val="16"/>
          <w:szCs w:val="16"/>
        </w:rPr>
        <w:softHyphen/>
        <w:t>шили не восстанавливать. Второй опыт</w:t>
      </w:r>
      <w:r w:rsidRPr="00DB5D0D">
        <w:rPr>
          <w:rFonts w:ascii="Times New Roman" w:hAnsi="Times New Roman"/>
          <w:color w:val="000000" w:themeColor="text1"/>
          <w:sz w:val="16"/>
          <w:szCs w:val="16"/>
        </w:rPr>
        <w:softHyphen/>
        <w:t>ный экземпляр ББ-22бис с № 1045 изго</w:t>
      </w:r>
      <w:r w:rsidRPr="00DB5D0D">
        <w:rPr>
          <w:rFonts w:ascii="Times New Roman" w:hAnsi="Times New Roman"/>
          <w:color w:val="000000" w:themeColor="text1"/>
          <w:sz w:val="16"/>
          <w:szCs w:val="16"/>
        </w:rPr>
        <w:softHyphen/>
        <w:t>товили в июне 1940 г., когда на заводе № 81 уже вовсю шла подготовка к произ</w:t>
      </w:r>
      <w:r w:rsidRPr="00DB5D0D">
        <w:rPr>
          <w:rFonts w:ascii="Times New Roman" w:hAnsi="Times New Roman"/>
          <w:color w:val="000000" w:themeColor="text1"/>
          <w:sz w:val="16"/>
          <w:szCs w:val="16"/>
        </w:rPr>
        <w:softHyphen/>
        <w:t>водству серийных машин с моторами М-105, поэтому производить его полно</w:t>
      </w:r>
      <w:r w:rsidRPr="00DB5D0D">
        <w:rPr>
          <w:rFonts w:ascii="Times New Roman" w:hAnsi="Times New Roman"/>
          <w:color w:val="000000" w:themeColor="text1"/>
          <w:sz w:val="16"/>
          <w:szCs w:val="16"/>
        </w:rPr>
        <w:softHyphen/>
        <w:t>масштабные государственные испытания не стали. Известно, впрочем, что именно на нем впервые были опробованы под</w:t>
      </w:r>
      <w:r w:rsidRPr="00DB5D0D">
        <w:rPr>
          <w:rFonts w:ascii="Times New Roman" w:hAnsi="Times New Roman"/>
          <w:color w:val="000000" w:themeColor="text1"/>
          <w:sz w:val="16"/>
          <w:szCs w:val="16"/>
        </w:rPr>
        <w:softHyphen/>
        <w:t>весные баки «лодочного» типа (как на И-16) емкостью по 100 л каждый (11214).</w:t>
      </w:r>
    </w:p>
    <w:p w14:paraId="790245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7389C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НИИ ВВС предложил переделать созданный в тю</w:t>
      </w:r>
      <w:r w:rsidRPr="00DB5D0D">
        <w:rPr>
          <w:rFonts w:ascii="Times New Roman" w:hAnsi="Times New Roman"/>
          <w:color w:val="000000" w:themeColor="text1"/>
          <w:sz w:val="16"/>
          <w:szCs w:val="16"/>
        </w:rPr>
        <w:softHyphen/>
        <w:t>ремных условиях двухмоторный истребитель «100» В.М.Петлякова в пикирующий бомбардировщик ПБ-100 - прототип известного Пе-2. 28 мая 1940 г. появилось ре</w:t>
      </w:r>
      <w:r w:rsidRPr="00DB5D0D">
        <w:rPr>
          <w:rFonts w:ascii="Times New Roman" w:hAnsi="Times New Roman"/>
          <w:color w:val="000000" w:themeColor="text1"/>
          <w:sz w:val="16"/>
          <w:szCs w:val="16"/>
        </w:rPr>
        <w:softHyphen/>
        <w:t>шение запустить в серию СБ-РК А.А.Архангельского в варианте пикирующего бомбардировщика. 1 июня вы</w:t>
      </w:r>
      <w:r w:rsidRPr="00DB5D0D">
        <w:rPr>
          <w:rFonts w:ascii="Times New Roman" w:hAnsi="Times New Roman"/>
          <w:color w:val="000000" w:themeColor="text1"/>
          <w:sz w:val="16"/>
          <w:szCs w:val="16"/>
        </w:rPr>
        <w:softHyphen/>
        <w:t>шло постановление Комитета Обороны о постройке на заводе № 156 самолета аналогичного назначения «103» А.Н.Туполева, как и «100» спроектированного заключен</w:t>
      </w:r>
      <w:r w:rsidRPr="00DB5D0D">
        <w:rPr>
          <w:rFonts w:ascii="Times New Roman" w:hAnsi="Times New Roman"/>
          <w:color w:val="000000" w:themeColor="text1"/>
          <w:sz w:val="16"/>
          <w:szCs w:val="16"/>
        </w:rPr>
        <w:softHyphen/>
        <w:t>ными конструкторами (10667).</w:t>
      </w:r>
    </w:p>
    <w:p w14:paraId="01D6B9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586EA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разработчики пред</w:t>
      </w:r>
      <w:r w:rsidRPr="00DB5D0D">
        <w:rPr>
          <w:rFonts w:ascii="Times New Roman" w:hAnsi="Times New Roman"/>
          <w:color w:val="000000" w:themeColor="text1"/>
          <w:sz w:val="16"/>
          <w:szCs w:val="16"/>
        </w:rPr>
        <w:softHyphen/>
        <w:t>ставили в НИИ ВВС эскизный про</w:t>
      </w:r>
      <w:r w:rsidRPr="00DB5D0D">
        <w:rPr>
          <w:rFonts w:ascii="Times New Roman" w:hAnsi="Times New Roman"/>
          <w:color w:val="000000" w:themeColor="text1"/>
          <w:sz w:val="16"/>
          <w:szCs w:val="16"/>
        </w:rPr>
        <w:softHyphen/>
        <w:t>ект самолета «103» в двух вариантах: с АМ-35 с реактивным выхлопом и с М-120 с турбокомпрессорами. В ав</w:t>
      </w:r>
      <w:r w:rsidRPr="00DB5D0D">
        <w:rPr>
          <w:rFonts w:ascii="Times New Roman" w:hAnsi="Times New Roman"/>
          <w:color w:val="000000" w:themeColor="text1"/>
          <w:sz w:val="16"/>
          <w:szCs w:val="16"/>
        </w:rPr>
        <w:softHyphen/>
        <w:t>густе НИИ ВВС утвердило этот эскизный проект. Согласно эскизного про</w:t>
      </w:r>
      <w:r w:rsidRPr="00DB5D0D">
        <w:rPr>
          <w:rFonts w:ascii="Times New Roman" w:hAnsi="Times New Roman"/>
          <w:color w:val="000000" w:themeColor="text1"/>
          <w:sz w:val="16"/>
          <w:szCs w:val="16"/>
        </w:rPr>
        <w:softHyphen/>
        <w:t>екта и принятого ВВС макета, самолет «103» в варианте с АМ- 35А должен был иметь следующие основные данные:</w:t>
      </w:r>
    </w:p>
    <w:p w14:paraId="43EB10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длина самолета -13,2 м;</w:t>
      </w:r>
    </w:p>
    <w:p w14:paraId="2BE0D3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размах крыла -18,7 м;</w:t>
      </w:r>
    </w:p>
    <w:p w14:paraId="6B2182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площадь крыла - 48,0 кв.м;</w:t>
      </w:r>
    </w:p>
    <w:p w14:paraId="7FA86D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взлетная масса - 8080 кг;</w:t>
      </w:r>
    </w:p>
    <w:p w14:paraId="7B78ED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масса пустого - 5440 кг (без ТК);</w:t>
      </w:r>
    </w:p>
    <w:p w14:paraId="6937F6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максимальная скорость на высоте 4000 м - 550-590 (600) км/ч;</w:t>
      </w:r>
    </w:p>
    <w:p w14:paraId="22F309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практический потолок - 11000-12000 м;</w:t>
      </w:r>
    </w:p>
    <w:p w14:paraId="60D1AA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длина разбега - 200-300 м;</w:t>
      </w:r>
    </w:p>
    <w:p w14:paraId="6673FC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длина пробега - 300 м;</w:t>
      </w:r>
    </w:p>
    <w:p w14:paraId="0AB5F1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посадочная скорость - 125 км/ч;</w:t>
      </w:r>
    </w:p>
    <w:p w14:paraId="00FBE2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экипаж - 3 чел.</w:t>
      </w:r>
    </w:p>
    <w:p w14:paraId="5A21A5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ВВС в своих замечаниях потребо</w:t>
      </w:r>
      <w:r w:rsidRPr="00DB5D0D">
        <w:rPr>
          <w:rFonts w:ascii="Times New Roman" w:hAnsi="Times New Roman"/>
          <w:color w:val="000000" w:themeColor="text1"/>
          <w:sz w:val="16"/>
          <w:szCs w:val="16"/>
        </w:rPr>
        <w:softHyphen/>
        <w:t>вали ввести в состав оборудования:</w:t>
      </w:r>
    </w:p>
    <w:p w14:paraId="57CAA9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РПК-2, АГП, ГМШ-3, РСБ-бис, СПУ, а так</w:t>
      </w:r>
      <w:r w:rsidRPr="00DB5D0D">
        <w:rPr>
          <w:rFonts w:ascii="Times New Roman" w:hAnsi="Times New Roman"/>
          <w:color w:val="000000" w:themeColor="text1"/>
          <w:sz w:val="16"/>
          <w:szCs w:val="16"/>
        </w:rPr>
        <w:softHyphen/>
        <w:t>же обеспечить выполнение пикиро</w:t>
      </w:r>
      <w:r w:rsidRPr="00DB5D0D">
        <w:rPr>
          <w:rFonts w:ascii="Times New Roman" w:hAnsi="Times New Roman"/>
          <w:color w:val="000000" w:themeColor="text1"/>
          <w:sz w:val="16"/>
          <w:szCs w:val="16"/>
        </w:rPr>
        <w:softHyphen/>
        <w:t>вания под углом 90° (10728).</w:t>
      </w:r>
    </w:p>
    <w:p w14:paraId="14DD5B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B0A04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мая 1940 г. Самолет «103» находился в пост ройке на заводе №56. В ходе работы силовая установка была перепроектирована с двигателей АМ-35А под АМ-37, мощностью по 1400 л.с. (10728).</w:t>
      </w:r>
    </w:p>
    <w:p w14:paraId="1A54AA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D29AC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началось строительство 103 2АМ-35А, хотя в полном объеме рабочие чертежи поступили в производство только в августе 1940 (2348,43).</w:t>
      </w:r>
    </w:p>
    <w:p w14:paraId="02BA5B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F1395D" w14:textId="77777777" w:rsidR="0088662D" w:rsidRPr="00DB5D0D" w:rsidRDefault="0088662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В мае 1940 г. в соответствии с требовани</w:t>
      </w:r>
      <w:r w:rsidRPr="00DB5D0D">
        <w:rPr>
          <w:rFonts w:ascii="Times New Roman" w:hAnsi="Times New Roman"/>
          <w:color w:val="0070C0"/>
          <w:sz w:val="16"/>
          <w:szCs w:val="16"/>
          <w:lang w:eastAsia="ru-RU" w:bidi="ru-RU"/>
        </w:rPr>
        <w:softHyphen/>
        <w:t>ями ТТТ от 16 мая подготовили эскизный проект бомбардировщика ФБ-2 М-120. Экипаж его состоял из трех человек: пи</w:t>
      </w:r>
      <w:r w:rsidRPr="00DB5D0D">
        <w:rPr>
          <w:rFonts w:ascii="Times New Roman" w:hAnsi="Times New Roman"/>
          <w:color w:val="0070C0"/>
          <w:sz w:val="16"/>
          <w:szCs w:val="16"/>
          <w:lang w:eastAsia="ru-RU" w:bidi="ru-RU"/>
        </w:rPr>
        <w:softHyphen/>
        <w:t>лота, штурмана-бомбардира (и однов</w:t>
      </w:r>
      <w:r w:rsidRPr="00DB5D0D">
        <w:rPr>
          <w:rFonts w:ascii="Times New Roman" w:hAnsi="Times New Roman"/>
          <w:color w:val="0070C0"/>
          <w:sz w:val="16"/>
          <w:szCs w:val="16"/>
          <w:lang w:eastAsia="ru-RU" w:bidi="ru-RU"/>
        </w:rPr>
        <w:softHyphen/>
        <w:t>ременно радиста) и стрелка. Летчик си</w:t>
      </w:r>
      <w:r w:rsidRPr="00DB5D0D">
        <w:rPr>
          <w:rFonts w:ascii="Times New Roman" w:hAnsi="Times New Roman"/>
          <w:color w:val="0070C0"/>
          <w:sz w:val="16"/>
          <w:szCs w:val="16"/>
          <w:lang w:eastAsia="ru-RU" w:bidi="ru-RU"/>
        </w:rPr>
        <w:softHyphen/>
        <w:t>дел впереди, штурман и стрелок - в об</w:t>
      </w:r>
      <w:r w:rsidRPr="00DB5D0D">
        <w:rPr>
          <w:rFonts w:ascii="Times New Roman" w:hAnsi="Times New Roman"/>
          <w:color w:val="0070C0"/>
          <w:sz w:val="16"/>
          <w:szCs w:val="16"/>
          <w:lang w:eastAsia="ru-RU" w:bidi="ru-RU"/>
        </w:rPr>
        <w:softHyphen/>
        <w:t>щей кабине за крылом. В носовой ча</w:t>
      </w:r>
      <w:r w:rsidRPr="00DB5D0D">
        <w:rPr>
          <w:rFonts w:ascii="Times New Roman" w:hAnsi="Times New Roman"/>
          <w:color w:val="0070C0"/>
          <w:sz w:val="16"/>
          <w:szCs w:val="16"/>
          <w:lang w:eastAsia="ru-RU" w:bidi="ru-RU"/>
        </w:rPr>
        <w:softHyphen/>
        <w:t>сти фюзеляжа размещались две пушки ШВАК (с боезапасом 120 патронов на ствол) и два пулемета ШКАС (с запасом по 500 патронов); последние могли от</w:t>
      </w:r>
      <w:r w:rsidRPr="00DB5D0D">
        <w:rPr>
          <w:rFonts w:ascii="Times New Roman" w:hAnsi="Times New Roman"/>
          <w:color w:val="0070C0"/>
          <w:sz w:val="16"/>
          <w:szCs w:val="16"/>
          <w:lang w:eastAsia="ru-RU" w:bidi="ru-RU"/>
        </w:rPr>
        <w:softHyphen/>
        <w:t>клоняться вниз (но ненамного - на 2°). Установка дополнительной пары пулеме</w:t>
      </w:r>
      <w:r w:rsidRPr="00DB5D0D">
        <w:rPr>
          <w:rFonts w:ascii="Times New Roman" w:hAnsi="Times New Roman"/>
          <w:color w:val="0070C0"/>
          <w:sz w:val="16"/>
          <w:szCs w:val="16"/>
          <w:lang w:eastAsia="ru-RU" w:bidi="ru-RU"/>
        </w:rPr>
        <w:softHyphen/>
        <w:t>тов предлагалась как альтернативный ва</w:t>
      </w:r>
      <w:r w:rsidRPr="00DB5D0D">
        <w:rPr>
          <w:rFonts w:ascii="Times New Roman" w:hAnsi="Times New Roman"/>
          <w:color w:val="0070C0"/>
          <w:sz w:val="16"/>
          <w:szCs w:val="16"/>
          <w:lang w:eastAsia="ru-RU" w:bidi="ru-RU"/>
        </w:rPr>
        <w:softHyphen/>
        <w:t>риант. Еще один пулемет ШКАС (с ящи</w:t>
      </w:r>
      <w:r w:rsidRPr="00DB5D0D">
        <w:rPr>
          <w:rFonts w:ascii="Times New Roman" w:hAnsi="Times New Roman"/>
          <w:color w:val="0070C0"/>
          <w:sz w:val="16"/>
          <w:szCs w:val="16"/>
          <w:lang w:eastAsia="ru-RU" w:bidi="ru-RU"/>
        </w:rPr>
        <w:softHyphen/>
        <w:t>ком на 1000 патронов) стоял на турели у штурмана. Люковая установка с четвер</w:t>
      </w:r>
      <w:r w:rsidRPr="00DB5D0D">
        <w:rPr>
          <w:rFonts w:ascii="Times New Roman" w:hAnsi="Times New Roman"/>
          <w:color w:val="0070C0"/>
          <w:sz w:val="16"/>
          <w:szCs w:val="16"/>
          <w:lang w:eastAsia="ru-RU" w:bidi="ru-RU"/>
        </w:rPr>
        <w:softHyphen/>
        <w:t>тым ШКАСом имела запас 500 патронов. Бомбардировочное вооружение немного скорректировали, исключив не принятые военными бомбы типов НББ и МОБ. Инте</w:t>
      </w:r>
      <w:r w:rsidRPr="00DB5D0D">
        <w:rPr>
          <w:rFonts w:ascii="Times New Roman" w:hAnsi="Times New Roman"/>
          <w:color w:val="0070C0"/>
          <w:sz w:val="16"/>
          <w:szCs w:val="16"/>
          <w:lang w:eastAsia="ru-RU" w:bidi="ru-RU"/>
        </w:rPr>
        <w:softHyphen/>
        <w:t>ресной особенностью было то, что замки бомбодержателей наружной подвески по</w:t>
      </w:r>
      <w:r w:rsidRPr="00DB5D0D">
        <w:rPr>
          <w:rFonts w:ascii="Times New Roman" w:hAnsi="Times New Roman"/>
          <w:color w:val="0070C0"/>
          <w:sz w:val="16"/>
          <w:szCs w:val="16"/>
          <w:lang w:eastAsia="ru-RU" w:bidi="ru-RU"/>
        </w:rPr>
        <w:softHyphen/>
        <w:t>сле сброса бомб убирались внутрь.</w:t>
      </w:r>
    </w:p>
    <w:p w14:paraId="4E328D29" w14:textId="77777777" w:rsidR="0088662D" w:rsidRPr="00DB5D0D" w:rsidRDefault="0088662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Мотоустановка проектировалась в двух вариантах. Основной вариант предусматривал два мотора М-120ТК, за</w:t>
      </w:r>
      <w:r w:rsidRPr="00DB5D0D">
        <w:rPr>
          <w:rFonts w:ascii="Times New Roman" w:hAnsi="Times New Roman"/>
          <w:color w:val="0070C0"/>
          <w:sz w:val="16"/>
          <w:szCs w:val="16"/>
          <w:lang w:eastAsia="ru-RU" w:bidi="ru-RU"/>
        </w:rPr>
        <w:softHyphen/>
        <w:t>пасной - два М-120 с реактивными вых</w:t>
      </w:r>
      <w:r w:rsidRPr="00DB5D0D">
        <w:rPr>
          <w:rFonts w:ascii="Times New Roman" w:hAnsi="Times New Roman"/>
          <w:color w:val="0070C0"/>
          <w:sz w:val="16"/>
          <w:szCs w:val="16"/>
          <w:lang w:eastAsia="ru-RU" w:bidi="ru-RU"/>
        </w:rPr>
        <w:softHyphen/>
        <w:t>лопными патрубками. Двигатели вра</w:t>
      </w:r>
      <w:r w:rsidRPr="00DB5D0D">
        <w:rPr>
          <w:rFonts w:ascii="Times New Roman" w:hAnsi="Times New Roman"/>
          <w:color w:val="0070C0"/>
          <w:sz w:val="16"/>
          <w:szCs w:val="16"/>
          <w:lang w:eastAsia="ru-RU" w:bidi="ru-RU"/>
        </w:rPr>
        <w:softHyphen/>
        <w:t>щали винты ВИШ-64 диаметром 3,65 м. На каждый мотор имелось по три радиа</w:t>
      </w:r>
      <w:r w:rsidRPr="00DB5D0D">
        <w:rPr>
          <w:rFonts w:ascii="Times New Roman" w:hAnsi="Times New Roman"/>
          <w:color w:val="0070C0"/>
          <w:sz w:val="16"/>
          <w:szCs w:val="16"/>
          <w:lang w:eastAsia="ru-RU" w:bidi="ru-RU"/>
        </w:rPr>
        <w:softHyphen/>
        <w:t>тора, упрятанных в центроплан. Горючее (1750 кг) размещалось в 12 баках в крыле. На самолете устанавливались радиостан</w:t>
      </w:r>
      <w:r w:rsidRPr="00DB5D0D">
        <w:rPr>
          <w:rFonts w:ascii="Times New Roman" w:hAnsi="Times New Roman"/>
          <w:color w:val="0070C0"/>
          <w:sz w:val="16"/>
          <w:szCs w:val="16"/>
          <w:lang w:eastAsia="ru-RU" w:bidi="ru-RU"/>
        </w:rPr>
        <w:softHyphen/>
        <w:t>ция РСБ-бис, радиополукомпас РПК-2, пе</w:t>
      </w:r>
      <w:r w:rsidRPr="00DB5D0D">
        <w:rPr>
          <w:rFonts w:ascii="Times New Roman" w:hAnsi="Times New Roman"/>
          <w:color w:val="0070C0"/>
          <w:sz w:val="16"/>
          <w:szCs w:val="16"/>
          <w:lang w:eastAsia="ru-RU" w:bidi="ru-RU"/>
        </w:rPr>
        <w:softHyphen/>
        <w:t>реговорное устройство СПУ-3бис, акусти</w:t>
      </w:r>
      <w:r w:rsidRPr="00DB5D0D">
        <w:rPr>
          <w:rFonts w:ascii="Times New Roman" w:hAnsi="Times New Roman"/>
          <w:color w:val="0070C0"/>
          <w:sz w:val="16"/>
          <w:szCs w:val="16"/>
          <w:lang w:eastAsia="ru-RU" w:bidi="ru-RU"/>
        </w:rPr>
        <w:softHyphen/>
        <w:t>ческая и визуальная (лампочками трех цветов) сигнализации. Штурман мог также общаться с пилотом через длинную трубу, проходящую через фюзеляж над бомбо</w:t>
      </w:r>
      <w:r w:rsidRPr="00DB5D0D">
        <w:rPr>
          <w:rFonts w:ascii="Times New Roman" w:hAnsi="Times New Roman"/>
          <w:color w:val="0070C0"/>
          <w:sz w:val="16"/>
          <w:szCs w:val="16"/>
          <w:lang w:eastAsia="ru-RU" w:bidi="ru-RU"/>
        </w:rPr>
        <w:softHyphen/>
        <w:t>отсеком. Для борьбы с обледенением в проект заложили омывание спиртовой смесью воздушных винтов и лобовых сте</w:t>
      </w:r>
      <w:r w:rsidRPr="00DB5D0D">
        <w:rPr>
          <w:rFonts w:ascii="Times New Roman" w:hAnsi="Times New Roman"/>
          <w:color w:val="0070C0"/>
          <w:sz w:val="16"/>
          <w:szCs w:val="16"/>
          <w:lang w:eastAsia="ru-RU" w:bidi="ru-RU"/>
        </w:rPr>
        <w:softHyphen/>
        <w:t>кол фонаря пилотской кабины.</w:t>
      </w:r>
    </w:p>
    <w:p w14:paraId="045E38C9" w14:textId="77777777" w:rsidR="0088662D" w:rsidRPr="00DB5D0D" w:rsidRDefault="0088662D"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Видимо, именно на этой стадии кон</w:t>
      </w:r>
      <w:r w:rsidRPr="00DB5D0D">
        <w:rPr>
          <w:rFonts w:ascii="Times New Roman" w:hAnsi="Times New Roman"/>
          <w:color w:val="0070C0"/>
          <w:sz w:val="16"/>
          <w:szCs w:val="16"/>
          <w:lang w:eastAsia="ru-RU" w:bidi="ru-RU"/>
        </w:rPr>
        <w:softHyphen/>
        <w:t>структоры предусмотрели режим так на</w:t>
      </w:r>
      <w:r w:rsidRPr="00DB5D0D">
        <w:rPr>
          <w:rFonts w:ascii="Times New Roman" w:hAnsi="Times New Roman"/>
          <w:color w:val="0070C0"/>
          <w:sz w:val="16"/>
          <w:szCs w:val="16"/>
          <w:lang w:eastAsia="ru-RU" w:bidi="ru-RU"/>
        </w:rPr>
        <w:softHyphen/>
        <w:t>зываемого «замедленного пикирования» с использованием воздушных тормозов - решеток, размещенных под консолями крыла. Снижение скорости пикирования примерно до 600 км/ч позволяло точ</w:t>
      </w:r>
      <w:r w:rsidRPr="00DB5D0D">
        <w:rPr>
          <w:rFonts w:ascii="Times New Roman" w:hAnsi="Times New Roman"/>
          <w:color w:val="0070C0"/>
          <w:sz w:val="16"/>
          <w:szCs w:val="16"/>
          <w:lang w:eastAsia="ru-RU" w:bidi="ru-RU"/>
        </w:rPr>
        <w:softHyphen/>
        <w:t>нее выйти на цель, давало время подкор</w:t>
      </w:r>
      <w:r w:rsidRPr="00DB5D0D">
        <w:rPr>
          <w:rFonts w:ascii="Times New Roman" w:hAnsi="Times New Roman"/>
          <w:color w:val="0070C0"/>
          <w:sz w:val="16"/>
          <w:szCs w:val="16"/>
          <w:lang w:eastAsia="ru-RU" w:bidi="ru-RU"/>
        </w:rPr>
        <w:softHyphen/>
        <w:t>ректировать прицеливание, а также воз</w:t>
      </w:r>
      <w:r w:rsidRPr="00DB5D0D">
        <w:rPr>
          <w:rFonts w:ascii="Times New Roman" w:hAnsi="Times New Roman"/>
          <w:color w:val="0070C0"/>
          <w:sz w:val="16"/>
          <w:szCs w:val="16"/>
          <w:lang w:eastAsia="ru-RU" w:bidi="ru-RU"/>
        </w:rPr>
        <w:softHyphen/>
        <w:t>можность бомбить с высот до 500 м. Вы</w:t>
      </w:r>
      <w:r w:rsidRPr="00DB5D0D">
        <w:rPr>
          <w:rFonts w:ascii="Times New Roman" w:hAnsi="Times New Roman"/>
          <w:color w:val="0070C0"/>
          <w:sz w:val="16"/>
          <w:szCs w:val="16"/>
          <w:lang w:eastAsia="ru-RU" w:bidi="ru-RU"/>
        </w:rPr>
        <w:softHyphen/>
        <w:t>ход из пикирования осуществлялся ав</w:t>
      </w:r>
      <w:r w:rsidRPr="00DB5D0D">
        <w:rPr>
          <w:rFonts w:ascii="Times New Roman" w:hAnsi="Times New Roman"/>
          <w:color w:val="0070C0"/>
          <w:sz w:val="16"/>
          <w:szCs w:val="16"/>
          <w:lang w:eastAsia="ru-RU" w:bidi="ru-RU"/>
        </w:rPr>
        <w:softHyphen/>
        <w:t>томатом, скопированным с немецкого образца - с автомата, стоявшего на прио</w:t>
      </w:r>
      <w:r w:rsidRPr="00DB5D0D">
        <w:rPr>
          <w:rFonts w:ascii="Times New Roman" w:hAnsi="Times New Roman"/>
          <w:color w:val="0070C0"/>
          <w:sz w:val="16"/>
          <w:szCs w:val="16"/>
          <w:lang w:eastAsia="ru-RU" w:bidi="ru-RU"/>
        </w:rPr>
        <w:softHyphen/>
        <w:t xml:space="preserve">бретенном в Германии бомбардировщике Юнкерс </w:t>
      </w:r>
      <w:r w:rsidRPr="00DB5D0D">
        <w:rPr>
          <w:rFonts w:ascii="Times New Roman" w:hAnsi="Times New Roman"/>
          <w:color w:val="0070C0"/>
          <w:sz w:val="16"/>
          <w:szCs w:val="16"/>
          <w:lang w:val="en-US" w:bidi="en-US"/>
        </w:rPr>
        <w:t>Ju</w:t>
      </w:r>
      <w:r w:rsidRPr="00DB5D0D">
        <w:rPr>
          <w:rFonts w:ascii="Times New Roman" w:hAnsi="Times New Roman"/>
          <w:color w:val="0070C0"/>
          <w:sz w:val="16"/>
          <w:szCs w:val="16"/>
          <w:lang w:bidi="en-US"/>
        </w:rPr>
        <w:t xml:space="preserve"> </w:t>
      </w:r>
      <w:r w:rsidRPr="00DB5D0D">
        <w:rPr>
          <w:rFonts w:ascii="Times New Roman" w:hAnsi="Times New Roman"/>
          <w:color w:val="0070C0"/>
          <w:sz w:val="16"/>
          <w:szCs w:val="16"/>
          <w:lang w:eastAsia="ru-RU" w:bidi="ru-RU"/>
        </w:rPr>
        <w:t>88А-1. С помощью гидропри</w:t>
      </w:r>
      <w:r w:rsidRPr="00DB5D0D">
        <w:rPr>
          <w:rFonts w:ascii="Times New Roman" w:hAnsi="Times New Roman"/>
          <w:color w:val="0070C0"/>
          <w:sz w:val="16"/>
          <w:szCs w:val="16"/>
          <w:lang w:eastAsia="ru-RU" w:bidi="ru-RU"/>
        </w:rPr>
        <w:softHyphen/>
        <w:t>вода он на заданной высоте поворачивал рули высоты (21061).</w:t>
      </w:r>
    </w:p>
    <w:p w14:paraId="2DB53729" w14:textId="77777777" w:rsidR="0088662D" w:rsidRPr="00DB5D0D" w:rsidRDefault="0088662D" w:rsidP="00DB5D0D">
      <w:pPr>
        <w:spacing w:after="0" w:line="240" w:lineRule="auto"/>
        <w:jc w:val="both"/>
        <w:rPr>
          <w:rFonts w:ascii="Times New Roman" w:hAnsi="Times New Roman"/>
          <w:color w:val="0070C0"/>
          <w:sz w:val="16"/>
          <w:szCs w:val="16"/>
          <w:lang w:eastAsia="ru-RU" w:bidi="ru-RU"/>
        </w:rPr>
      </w:pPr>
    </w:p>
    <w:p w14:paraId="424D2D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соответствии с ТТТ требованиями, утвержденными 16 мая 1940, был подготовлен эскизный проект бомбардировщика ФБ-2 М-120. Экипаж этого самолета состоял из трех человек: пилота, штурмана-бомбардира (и одновременно радиста) и стрелка. Летчик сидел впереди, штурман и стрелок - в общей кабине за крылом. В носовой части фюзеляжа размещались две пушки ШВАК (с боезапасом 120 патронов на ствол) и два пулемета ШКАС (с запасом по 500 патронов); последние могли отклоняться вниз, но не намного - на 2°. Установка дополнительной пары пулеметов предлагалась как альтернативный вариант. Еще один пулемет ШКАС (с ящиком на 1000 патронов) стоял на турели у штурмана. Люковая установка с четвертым ШКАСом имела запас 500 патронов. Бомбардировочное вооружение немного скорректировали, исключив не принятые военными бомбы типов НББ и МОБ. Интересной особенностью было то, что замки бомбодержателей наружной подвески после сброса бомб убирались внутрь.</w:t>
      </w:r>
    </w:p>
    <w:p w14:paraId="25DD3E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Мотоустановка проектировалась в двух вариантах. Основной вариант предусматривал два мотора М-120ТК, запасной - два М-120 с реактивными выхлопными патрубками. Двигатели вращали винты ВИШ- 64 диаметром 3,65 м. На каждый мотор имелось по три радиатора, упрятанных в центроплан. Горючее (1750 кг) размещалось в 12 баках в крыле. На самолете устанавливались радиостанция РСБ-бис, радиополукомпас РПК-2, переговорное устройство СПУ-Збис, акустическая и визуальная (лампочками трех цветов) сигнализации. Штурман мог также общаться с пилотом через длинную трубу, проходящую через фюзеляж над бомбоотсеком. Для борьбы с обледенением в проект заложили омывание спиртовой смесью воздушных винтов и лобовых стекол фонаря пилотской кабины.</w:t>
      </w:r>
    </w:p>
    <w:p w14:paraId="33B790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Видимо, именно на этой стадии конструкторы предусмотрели режим т.н. "замедленного пикирования" с использованием воздушных тормозов - решеток, размещенных под консолями крыла. Снижение скорости пикирования примерно до 600 км/ч позволяло точнее выйти на цель, давало время подкорректировать прицеливание, а также возможность бомбить с высот до 500 м. Выход из пикирования осуществлялся автоматом, скопированным с немецкого образца - с автомата, стоявшего на приобретенном в Германии бомбардировщике Юнкере Ju 88А-1. С помощью гидропривода он на заданной высоте поворачивал рули высоты.</w:t>
      </w:r>
    </w:p>
    <w:p w14:paraId="242046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Развертывание работ по постройке опытных образцов задерживалось отсутствием постановления Комитета обороны, обязательного для всех. За помощью в получении постановления руководство НИИ ВВС обратилось к могущественному Берии (11988).</w:t>
      </w:r>
    </w:p>
    <w:p w14:paraId="0549355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90F3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начали делать ДВБ-102, но так и не успели закончить до эвакуации в Омск на базу ремонтных мастерских ГВФ (152,32).</w:t>
      </w:r>
    </w:p>
    <w:p w14:paraId="27CDB64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D68CB9" w14:textId="77777777" w:rsidR="00BF2E4C" w:rsidRPr="00DB5D0D" w:rsidRDefault="00BF2E4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был закончен Эскизный проект самолета ДВБ-102. И хотя он еще не был разослан, как положено, в Комитет обороны, Наркомат авиапро</w:t>
      </w:r>
      <w:r w:rsidRPr="00DB5D0D">
        <w:rPr>
          <w:rFonts w:ascii="Times New Roman" w:hAnsi="Times New Roman"/>
          <w:color w:val="000000" w:themeColor="text1"/>
          <w:sz w:val="16"/>
          <w:szCs w:val="16"/>
        </w:rPr>
        <w:softHyphen/>
        <w:t>мышленности и Управление ВВС, 1 июня вышло постановление Комитета Обо</w:t>
      </w:r>
      <w:r w:rsidRPr="00DB5D0D">
        <w:rPr>
          <w:rFonts w:ascii="Times New Roman" w:hAnsi="Times New Roman"/>
          <w:color w:val="000000" w:themeColor="text1"/>
          <w:sz w:val="16"/>
          <w:szCs w:val="16"/>
        </w:rPr>
        <w:softHyphen/>
        <w:t>роны №238сс «О создании высотного ДБ 102 с двумя М-1202ТК» (17739)</w:t>
      </w:r>
    </w:p>
    <w:p w14:paraId="56E16142" w14:textId="77777777" w:rsidR="00BF2E4C" w:rsidRPr="00DB5D0D" w:rsidRDefault="00BF2E4C" w:rsidP="00DB5D0D">
      <w:pPr>
        <w:pStyle w:val="128"/>
        <w:shd w:val="clear" w:color="auto" w:fill="auto"/>
        <w:spacing w:before="0" w:line="240" w:lineRule="auto"/>
        <w:ind w:firstLine="0"/>
        <w:rPr>
          <w:rFonts w:ascii="Times New Roman" w:hAnsi="Times New Roman"/>
          <w:color w:val="000000" w:themeColor="text1"/>
          <w:spacing w:val="0"/>
          <w:sz w:val="16"/>
          <w:szCs w:val="16"/>
        </w:rPr>
      </w:pPr>
    </w:p>
    <w:p w14:paraId="1F5D08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мая 1940 из-за неорга</w:t>
      </w:r>
      <w:r w:rsidRPr="00DB5D0D">
        <w:rPr>
          <w:rFonts w:ascii="Times New Roman" w:hAnsi="Times New Roman"/>
          <w:color w:val="000000" w:themeColor="text1"/>
          <w:sz w:val="16"/>
          <w:szCs w:val="16"/>
        </w:rPr>
        <w:softHyphen/>
        <w:t>низованности главного конструктора (так говорилось в до</w:t>
      </w:r>
      <w:r w:rsidRPr="00DB5D0D">
        <w:rPr>
          <w:rFonts w:ascii="Times New Roman" w:hAnsi="Times New Roman"/>
          <w:color w:val="000000" w:themeColor="text1"/>
          <w:sz w:val="16"/>
          <w:szCs w:val="16"/>
        </w:rPr>
        <w:softHyphen/>
        <w:t>кументе) затянулась доводка машины И-220 (10745,52).</w:t>
      </w:r>
    </w:p>
    <w:p w14:paraId="4F287D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F6021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закончились испытания И-15бис N 5942 (366,41) с двумя ДМ-2 И.А.Меркулова - И-152ДМ, которые проходили с декабря 1939 (2448,7) и было совершено 54 полета (222,48). Летали П.Е.Логинов, А.В.Давыдов, Н.А.Сопоцко и при собственной скорости самолета 315 км/час прирост был 15 км/час (2448,7).</w:t>
      </w:r>
    </w:p>
    <w:p w14:paraId="05F2FF9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447C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вышло постановление Комитета Обороны, согласно которому во втором полу</w:t>
      </w:r>
      <w:r w:rsidRPr="00DB5D0D">
        <w:rPr>
          <w:rFonts w:ascii="Times New Roman" w:hAnsi="Times New Roman"/>
          <w:color w:val="000000" w:themeColor="text1"/>
          <w:sz w:val="16"/>
          <w:szCs w:val="16"/>
        </w:rPr>
        <w:softHyphen/>
        <w:t>годии 1940 г. заводу № 21 для ГУАС КА надлежало сдать 110 истребителей И-180 с мотором М-88Р и оставить в производстве только самолет И-16 тип 29. Все осталь</w:t>
      </w:r>
      <w:r w:rsidRPr="00DB5D0D">
        <w:rPr>
          <w:rFonts w:ascii="Times New Roman" w:hAnsi="Times New Roman"/>
          <w:color w:val="000000" w:themeColor="text1"/>
          <w:sz w:val="16"/>
          <w:szCs w:val="16"/>
        </w:rPr>
        <w:softHyphen/>
        <w:t>ные модификации И-16, в том числе типов 24 и 28, с производства снимались (10667).</w:t>
      </w:r>
    </w:p>
    <w:p w14:paraId="1C62840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6EB3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на госиспытаниях И-16 тип 24 № 24П2136 развил максимальную скорость 462 км/ч на высоте 4300 м, т.е. ниже, чем И-16 тип 18 с менее мощным мотором. В отчете по госиспытаниям за</w:t>
      </w:r>
      <w:r w:rsidRPr="00DB5D0D">
        <w:rPr>
          <w:rFonts w:ascii="Times New Roman" w:hAnsi="Times New Roman"/>
          <w:color w:val="000000" w:themeColor="text1"/>
          <w:sz w:val="16"/>
          <w:szCs w:val="16"/>
        </w:rPr>
        <w:softHyphen/>
        <w:t>воду настоятельно рекомендовалось улучшить аэроди</w:t>
      </w:r>
      <w:r w:rsidRPr="00DB5D0D">
        <w:rPr>
          <w:rFonts w:ascii="Times New Roman" w:hAnsi="Times New Roman"/>
          <w:color w:val="000000" w:themeColor="text1"/>
          <w:sz w:val="16"/>
          <w:szCs w:val="16"/>
        </w:rPr>
        <w:softHyphen/>
        <w:t>намику серийных машин. Но на заводе понимали, что производство И-16 подходит к концу, и положительных сдвигов в этом направлении было сделано мало (10667). На первых серийных И-16 тип 24 завод № 21 не вне</w:t>
      </w:r>
      <w:r w:rsidRPr="00DB5D0D">
        <w:rPr>
          <w:rFonts w:ascii="Times New Roman" w:hAnsi="Times New Roman"/>
          <w:color w:val="000000" w:themeColor="text1"/>
          <w:sz w:val="16"/>
          <w:szCs w:val="16"/>
        </w:rPr>
        <w:softHyphen/>
        <w:t>дрил всех положительных доработок, реализованных на опытном экземпляре. Верхняя часть крыла обшивалась полотном вместо фанеры, причем швы не оклеивались лентой. Большая часть машин выпускалась с хвостовым костылем и приборной доской старого типа. Летные ха</w:t>
      </w:r>
      <w:r w:rsidRPr="00DB5D0D">
        <w:rPr>
          <w:rFonts w:ascii="Times New Roman" w:hAnsi="Times New Roman"/>
          <w:color w:val="000000" w:themeColor="text1"/>
          <w:sz w:val="16"/>
          <w:szCs w:val="16"/>
        </w:rPr>
        <w:softHyphen/>
        <w:t>рактеристики, полученные в августе 1940 г. на госиспы</w:t>
      </w:r>
      <w:r w:rsidRPr="00DB5D0D">
        <w:rPr>
          <w:rFonts w:ascii="Times New Roman" w:hAnsi="Times New Roman"/>
          <w:color w:val="000000" w:themeColor="text1"/>
          <w:sz w:val="16"/>
          <w:szCs w:val="16"/>
        </w:rPr>
        <w:softHyphen/>
        <w:t>таниях серийной машины, хотя и были выше, чем у эталона 1940 г., но также не достигали значений опыт</w:t>
      </w:r>
      <w:r w:rsidRPr="00DB5D0D">
        <w:rPr>
          <w:rFonts w:ascii="Times New Roman" w:hAnsi="Times New Roman"/>
          <w:color w:val="000000" w:themeColor="text1"/>
          <w:sz w:val="16"/>
          <w:szCs w:val="16"/>
        </w:rPr>
        <w:softHyphen/>
        <w:t>ного экземпляра. В дальнейшем их удалось немного улучшить, однако полностью все изменения завод по</w:t>
      </w:r>
      <w:r w:rsidRPr="00DB5D0D">
        <w:rPr>
          <w:rFonts w:ascii="Times New Roman" w:hAnsi="Times New Roman"/>
          <w:color w:val="000000" w:themeColor="text1"/>
          <w:sz w:val="16"/>
          <w:szCs w:val="16"/>
        </w:rPr>
        <w:softHyphen/>
        <w:t>обещал внедрить на модификации И-16 тип 29 (10667).</w:t>
      </w:r>
    </w:p>
    <w:p w14:paraId="53EA90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8A9B6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самолет И-200 был запущен в серию в период, когда еще проходили только заводские испытания опытных самолетов и мотор АМ-35А, установленный на самолетах, еще не проходил стендовых испытаний (3573).</w:t>
      </w:r>
    </w:p>
    <w:p w14:paraId="51BA41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7491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на И-180 серийного производства начались летные испытания и облеты по широкой программе, в которых участвовало несколько л. Именно в ходе этих полетов А.Г.Прошаков попал в перевернутый штопор и выбросился с парашютом разбив машину, а потом погиб Т.П.Сузи и снес шасси С.П.Супрун (2863,79).</w:t>
      </w:r>
    </w:p>
    <w:p w14:paraId="2006ACE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235C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испытывался ИС-1 В.В.Никитина и В.В.Шевченко с М-63 - 30 выпусков и уборок крыла-шасси по 6-7 секунд на каждый (173,20).</w:t>
      </w:r>
    </w:p>
    <w:p w14:paraId="569130E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0DF7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было подготовлено заключе</w:t>
      </w:r>
      <w:r w:rsidRPr="00DB5D0D">
        <w:rPr>
          <w:rFonts w:ascii="Times New Roman" w:hAnsi="Times New Roman"/>
          <w:color w:val="000000" w:themeColor="text1"/>
          <w:sz w:val="16"/>
          <w:szCs w:val="16"/>
        </w:rPr>
        <w:softHyphen/>
        <w:t xml:space="preserve">ние по штопору И-185, в котором указывалось: </w:t>
      </w:r>
      <w:r w:rsidRPr="00DB5D0D">
        <w:rPr>
          <w:rFonts w:ascii="Times New Roman" w:hAnsi="Times New Roman"/>
          <w:iCs/>
          <w:color w:val="000000" w:themeColor="text1"/>
          <w:sz w:val="16"/>
          <w:szCs w:val="16"/>
        </w:rPr>
        <w:t>«Результаты расчета для самолета И-185 срав</w:t>
      </w:r>
      <w:r w:rsidRPr="00DB5D0D">
        <w:rPr>
          <w:rFonts w:ascii="Times New Roman" w:hAnsi="Times New Roman"/>
          <w:iCs/>
          <w:color w:val="000000" w:themeColor="text1"/>
          <w:sz w:val="16"/>
          <w:szCs w:val="16"/>
        </w:rPr>
        <w:softHyphen/>
        <w:t>нимы с аналогичным результатом для самоле</w:t>
      </w:r>
      <w:r w:rsidRPr="00DB5D0D">
        <w:rPr>
          <w:rFonts w:ascii="Times New Roman" w:hAnsi="Times New Roman"/>
          <w:iCs/>
          <w:color w:val="000000" w:themeColor="text1"/>
          <w:sz w:val="16"/>
          <w:szCs w:val="16"/>
        </w:rPr>
        <w:softHyphen/>
        <w:t xml:space="preserve">та И- 16, обладающего исключительно хорошим выходом из штопора». </w:t>
      </w:r>
      <w:r w:rsidRPr="00DB5D0D">
        <w:rPr>
          <w:rFonts w:ascii="Times New Roman" w:hAnsi="Times New Roman"/>
          <w:color w:val="000000" w:themeColor="text1"/>
          <w:sz w:val="16"/>
          <w:szCs w:val="16"/>
        </w:rPr>
        <w:t>Одновременно указыва</w:t>
      </w:r>
      <w:r w:rsidRPr="00DB5D0D">
        <w:rPr>
          <w:rFonts w:ascii="Times New Roman" w:hAnsi="Times New Roman"/>
          <w:color w:val="000000" w:themeColor="text1"/>
          <w:sz w:val="16"/>
          <w:szCs w:val="16"/>
        </w:rPr>
        <w:softHyphen/>
        <w:t>лось, что удельная нагрузка на крыло у самоле</w:t>
      </w:r>
      <w:r w:rsidRPr="00DB5D0D">
        <w:rPr>
          <w:rFonts w:ascii="Times New Roman" w:hAnsi="Times New Roman"/>
          <w:color w:val="000000" w:themeColor="text1"/>
          <w:sz w:val="16"/>
          <w:szCs w:val="16"/>
        </w:rPr>
        <w:softHyphen/>
        <w:t>та И-185 в 1,85 раза выше, чем у И-16, имеется заметное распределение масс вдоль продоль</w:t>
      </w:r>
      <w:r w:rsidRPr="00DB5D0D">
        <w:rPr>
          <w:rFonts w:ascii="Times New Roman" w:hAnsi="Times New Roman"/>
          <w:color w:val="000000" w:themeColor="text1"/>
          <w:sz w:val="16"/>
          <w:szCs w:val="16"/>
        </w:rPr>
        <w:softHyphen/>
        <w:t>ной оси, поэтому возможен нежелательный каб-рирующий момент за счет центробежных сил. По мнению главного «штопороведа» ЦАГИ про</w:t>
      </w:r>
      <w:r w:rsidRPr="00DB5D0D">
        <w:rPr>
          <w:rFonts w:ascii="Times New Roman" w:hAnsi="Times New Roman"/>
          <w:color w:val="000000" w:themeColor="text1"/>
          <w:sz w:val="16"/>
          <w:szCs w:val="16"/>
        </w:rPr>
        <w:softHyphen/>
        <w:t>фессора Журавченко при выводе самолета из штопора ожидалось заметное запаздывание (9979).</w:t>
      </w:r>
    </w:p>
    <w:p w14:paraId="01DC73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15A9B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на основании доклада Главного конструктора о готовности машины к испытаниям НКАП определил сроки проведения летных испытаний И-135. Они должны были проходить в период с начала июня до 1 августа 1940 г. на летной базе ЦАГИ в Раменском. Для проведения всех работ по самолету создали бригаду из специалистов ОКБ в следующем составе: ведущий инженер Н.П. Поленов, механик К.И. Александров, моторист А.М. Манжос, сборщики С.С. Берман и А.П. Глинский, контролер В.П. Дейниченко. Представителем 11 -го Главного управления был О.В. Малышев. Летчиком на заводские испытания назначили А.П. Чернавского. Ответственность за проведение заводских испытаний возлагалась на главного конструктора П.0. Сухого и начальника 8-го отдела ЦАГИ.</w:t>
      </w:r>
    </w:p>
    <w:p w14:paraId="0C021C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установили новый мотор М-105П с турбокомпрессорами ТК-2, который подвешивался на металлической раме к переднему шпангоуту кабины летчика. Под мотором размещался подковообразный маслорадиатор ОП-252 с крупными 8-мм трубками сотов.</w:t>
      </w:r>
    </w:p>
    <w:p w14:paraId="481E54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техническим требованиям эксплуатации мотора, температурный режим масла должен был составлять 70 градусов на входе и 110 градусов -на выходе. Поэтому температура масла регулировалась юбкой капота масло-радиатора с механическим управлением и автоматической термостатной коробкой (9976).</w:t>
      </w:r>
    </w:p>
    <w:p w14:paraId="4E9F1CC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1F72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мае 1940 г. на ступинском комбинате состоялся пуск линии горячей прокатки алюминиевых листов, оснащенной новейшим американским оборудованием. Под винтовое производство был выделен лишь один корпус, большего Визирян, при всем своем желании, дать не мог.Винтовое производство возглавил Еремеев А.И. - он же одновременно являлся Главным инженером авиакомбината. Первым Главным технологом был назначен Н.П.Фирюбин, выпускник Московского авиационного института, который впоследствии стал известным советским дипломатом, заместителем Министра иностранных дел СССР. 1936 год для ступинских винтостроителей прошел в освоении выпуска лицензионного винта фирмы США Гамильтон Стандарт под условным обозначением ВИШ -6. Это был двухлопастной винт с металлическими лопастями, с диапазоном поворота лопастей 10 градусов и с двумя жесткими упорами: «взлетный режим» и «крейсерский режим». Изготовлялся винт по технической документации московского завода № 28, в ОКБ которого начальником конструкторской бригады втулок воздушных винтов из ЦИАМа в сентябре 1936 г. был переведен К.И. Жданов. Винт ВИШ-6 предназначался для истребителей И-16, И-153«Чайка» конструкции Н.Н. Поликарпова. До Великой Отечественной войны эти истребители составляли основу советской истребительной авиации. Слабая техническая подготовка винтового производства Авиакомбината 150 затрудняла изготовление данного винта, поэтому параллельно выпускались металлические двухлопастные винты фиксированного шага В-25, более простые по конструкции и менее сложные в изготовлении. В связи с возросшим объемом работ возникла необходимость организации чертежно-конструкторского бюро, начальником которого был назначен Васильев Д.Н. В конце 1936г. винтовое производство пополнили молодые специалисты, окончившие МАИ: Савкин И.Ф., Ногтев Л.М., Дубровский Д.М., Чиликина Е.М. Первый образец втулки винта ВИШ - б был изготовлен к ноябрьским праздникам 1936г. Втулку погрузили на бричку и торжественно провезли по улицам рабочего поселка к месту проведения демонстрации (11883).</w:t>
      </w:r>
    </w:p>
    <w:p w14:paraId="5670F1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F838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закончились госиспытания крейсера “Ворошилов”. С 1 по 26 апреля произвели 22 катапультных старта, из них 11 с КОР-1. Максимальная скорость отрыва самолета составила 123 км/ч, старт допускался при скорости корабля до 24 узлов, встречной скорости ветра не более 15 м/с и давлении в пусковом баллоне катапульты не менее 30 атм. Испытания выявили существенные недостатки авиационного вооружения корабля. На крейсере отсутствовал трап для экипажа КОР-1, не было погреба для авиабомб, вылет стрелы самолетно-барказного крана оказался недостаточным. На катапульте К-12 отсутствовали вспомогательные площадки для обслуживания и подготовки самолета к вылету, не было систем заправки его топливом и маслом. Отчасти это объяснялось разными подходами к базированию авиатехники на кораблях в советском и германском флотах. Немцы для хранения и подготовки самолетов к полетам использовали корабельные ангары, а у нас машины постоянно находились на самой катапульте или рядом с ней на открытой площадке. Когда вторую К-12 установили на балтийский крейсер “Киров”, ее потребовалось дополнительно утеплять для эксплуатации зимой. Однако при всех недостатках немецкой катапульты военные летчики-испытатели однозначно высказались в ее пользу. Поэтому был поставлен вопрос о приобретении лицензии на производство К-12. Немцы не возражали, запросив 300000 марок за документацию и поставив условие, что фирме “Хейнкель” будет выдан заказ не менее чем на три катапульты стоимостью по 200000 марок каждая. Советская сторона почти согласилась на это, однако тут выяснилось, что отечественная промышленность просто не сможет воспроизвести некоторые детали и узлы катапульты. Например, немецкие тросы имели расчетный предел прочности 240 кгс/см2, а наши только 190 кгс/см2. Никто не брался за изготовление рассчитанных на 80 атм воздушных баллонов высокого давления диаметром 600 мм. Пришлось отказаться от покупки лицензии, форсировав доработку и изготовление отечественной ЗК-1 (главный конструктор П.И.Бухвостов) (9966).</w:t>
      </w:r>
    </w:p>
    <w:p w14:paraId="5E8F40B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B221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мая 1940 в НИИ ВВС возобновили прерванные в декабре 1939 испытания японского И-97 в НИИ ВВС. Прерывали т.к. машину не смогли поставить на лыжи. Машина была доставлена с Халхин-Гола осенью и 17 ноября 1939 совершил первый полет. В 1940 провели бои с И-153 с М-63 и пушечным И-16 М-25В. испытания завершили 2 июня 1940 (2643,17).</w:t>
      </w:r>
    </w:p>
    <w:p w14:paraId="24CED6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0CB1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в ЦАГИ начались испытания Ю-88 (229,22).</w:t>
      </w:r>
    </w:p>
    <w:p w14:paraId="38086BB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187A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пять контейнеров с истребителями Bf 109E ("Эмилями") были доставлены на московский Центральный аэродром, где сотрудники НИИ ВВС под наблюдением немецкого специалиста их собрали. "Надсмотрщику" русские были явно антипатичны, поэтому он с особым удовлетворением зафиксировал факт вскрытия без его ведома одного из самолетных ящиков: "Фирма не несет ответственности за эту машину!" Впрочем, наши специалисты и без его помощи, и даже без инструкции по сборке (!) собрали первый "мессер". Все другие машины принимали "как положено", с оформлением приемо-сдаточных документов. Немец тоже сумел удивить: когда обнаружилось, что на одном из моторов неисправно магнето, и руководитель работ с советской стороны не без ехидства поинтересовался, несет ли фирма ответственность за этот инцидент, последовал ответ: "Послезавтра в 12.45 вам доставят новое магнето!" И действительно, в указанный день за пятнадцать минут до назначенного срока на Центральном аэродроме совершил посадку "юнкерс", на борту которого был доставлен нужный агрегат (9020).</w:t>
      </w:r>
    </w:p>
    <w:p w14:paraId="6422933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75B7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начальник ВВС Красной Армии Л.В.Смушкевич заявил: «Основным тормозом в развитии наших самолетов является мотор. Здесь наша отсталость от передовых капиталистических стран очень велика. Моторы М-63. М-88, М-105, которые поступают в серийное производство, - с большим количеством дефектов, ненадежны в полетах, часто отказывают; срок работы этих моторов очень небольшой..." (4537).</w:t>
      </w:r>
    </w:p>
    <w:p w14:paraId="480B081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427A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когда стало ясно, что на вооружении Германии нет истребителей с моторами воздушного охлаж</w:t>
      </w:r>
      <w:r w:rsidRPr="00DB5D0D">
        <w:rPr>
          <w:rFonts w:ascii="Times New Roman" w:hAnsi="Times New Roman"/>
          <w:color w:val="000000" w:themeColor="text1"/>
          <w:sz w:val="16"/>
          <w:szCs w:val="16"/>
        </w:rPr>
        <w:softHyphen/>
        <w:t>дения, начальник ВВС КА Смушкевич и военный комиссар ВВС КА Агальцов признали свои ошибки, направив в Ко</w:t>
      </w:r>
      <w:r w:rsidRPr="00DB5D0D">
        <w:rPr>
          <w:rFonts w:ascii="Times New Roman" w:hAnsi="Times New Roman"/>
          <w:color w:val="000000" w:themeColor="text1"/>
          <w:sz w:val="16"/>
          <w:szCs w:val="16"/>
        </w:rPr>
        <w:softHyphen/>
        <w:t>митет Обороны при СНК СССР доклад о состоянии ВВС КА, где в частности отмечали:</w:t>
      </w:r>
    </w:p>
    <w:p w14:paraId="136A1A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«Руководство ВВС (ЛОКТИОНОВ,АГАЛЬЦОВ, СМУШ</w:t>
      </w:r>
      <w:r w:rsidRPr="00DB5D0D">
        <w:rPr>
          <w:rFonts w:ascii="Times New Roman" w:hAnsi="Times New Roman"/>
          <w:color w:val="000000" w:themeColor="text1"/>
          <w:sz w:val="16"/>
          <w:szCs w:val="16"/>
        </w:rPr>
        <w:softHyphen/>
        <w:t>КЕВИЧ) проглядело, своевременно не заметило и не сигнали</w:t>
      </w:r>
      <w:r w:rsidRPr="00DB5D0D">
        <w:rPr>
          <w:rFonts w:ascii="Times New Roman" w:hAnsi="Times New Roman"/>
          <w:color w:val="000000" w:themeColor="text1"/>
          <w:sz w:val="16"/>
          <w:szCs w:val="16"/>
        </w:rPr>
        <w:softHyphen/>
        <w:t>зировало о быстром развитии авиации передовых капитали</w:t>
      </w:r>
      <w:r w:rsidRPr="00DB5D0D">
        <w:rPr>
          <w:rFonts w:ascii="Times New Roman" w:hAnsi="Times New Roman"/>
          <w:color w:val="000000" w:themeColor="text1"/>
          <w:sz w:val="16"/>
          <w:szCs w:val="16"/>
        </w:rPr>
        <w:softHyphen/>
        <w:t>стических стран (Германия, Англия). Основываясь на испан</w:t>
      </w:r>
      <w:r w:rsidRPr="00DB5D0D">
        <w:rPr>
          <w:rFonts w:ascii="Times New Roman" w:hAnsi="Times New Roman"/>
          <w:color w:val="000000" w:themeColor="text1"/>
          <w:sz w:val="16"/>
          <w:szCs w:val="16"/>
        </w:rPr>
        <w:softHyphen/>
        <w:t>ском опыте, неправильно взяли упор главным образом на воздушный мотор, в то время как на Западе с мотором жид</w:t>
      </w:r>
      <w:r w:rsidRPr="00DB5D0D">
        <w:rPr>
          <w:rFonts w:ascii="Times New Roman" w:hAnsi="Times New Roman"/>
          <w:color w:val="000000" w:themeColor="text1"/>
          <w:sz w:val="16"/>
          <w:szCs w:val="16"/>
        </w:rPr>
        <w:softHyphen/>
        <w:t>костного охлаждения истребительная авиация сделала боль</w:t>
      </w:r>
      <w:r w:rsidRPr="00DB5D0D">
        <w:rPr>
          <w:rFonts w:ascii="Times New Roman" w:hAnsi="Times New Roman"/>
          <w:color w:val="000000" w:themeColor="text1"/>
          <w:sz w:val="16"/>
          <w:szCs w:val="16"/>
        </w:rPr>
        <w:softHyphen/>
        <w:t>шие успехи.</w:t>
      </w:r>
    </w:p>
    <w:p w14:paraId="6879AD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Консерватизм и торможение старым руководством Наркомата авиационной промышленности развития но</w:t>
      </w:r>
      <w:r w:rsidRPr="00DB5D0D">
        <w:rPr>
          <w:rFonts w:ascii="Times New Roman" w:hAnsi="Times New Roman"/>
          <w:color w:val="000000" w:themeColor="text1"/>
          <w:sz w:val="16"/>
          <w:szCs w:val="16"/>
        </w:rPr>
        <w:softHyphen/>
        <w:t>вых образцов самолетов.</w:t>
      </w:r>
    </w:p>
    <w:p w14:paraId="1EF81F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Либеральная политика по отношению к Наркомату авиационной промышленности со стороны руководства ВВС Красной Армии (военный совет, а впоследствии ГУАС), очень часто принимавшие от НКАП то, что им давали.</w:t>
      </w:r>
    </w:p>
    <w:p w14:paraId="2FD8AF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проведенных организационных и других меропри</w:t>
      </w:r>
      <w:r w:rsidRPr="00DB5D0D">
        <w:rPr>
          <w:rFonts w:ascii="Times New Roman" w:hAnsi="Times New Roman"/>
          <w:color w:val="000000" w:themeColor="text1"/>
          <w:sz w:val="16"/>
          <w:szCs w:val="16"/>
        </w:rPr>
        <w:softHyphen/>
        <w:t>ятий со стороны ЦК и лично тов. Сталина на сегодня вы</w:t>
      </w:r>
      <w:r w:rsidRPr="00DB5D0D">
        <w:rPr>
          <w:rFonts w:ascii="Times New Roman" w:hAnsi="Times New Roman"/>
          <w:color w:val="000000" w:themeColor="text1"/>
          <w:sz w:val="16"/>
          <w:szCs w:val="16"/>
        </w:rPr>
        <w:softHyphen/>
        <w:t>шедшие с заводов опытные машины стоят на уровне пере</w:t>
      </w:r>
      <w:r w:rsidRPr="00DB5D0D">
        <w:rPr>
          <w:rFonts w:ascii="Times New Roman" w:hAnsi="Times New Roman"/>
          <w:color w:val="000000" w:themeColor="text1"/>
          <w:sz w:val="16"/>
          <w:szCs w:val="16"/>
        </w:rPr>
        <w:softHyphen/>
        <w:t>довых капиталистических стран. Необходимо форсиро</w:t>
      </w:r>
      <w:r w:rsidRPr="00DB5D0D">
        <w:rPr>
          <w:rFonts w:ascii="Times New Roman" w:hAnsi="Times New Roman"/>
          <w:color w:val="000000" w:themeColor="text1"/>
          <w:sz w:val="16"/>
          <w:szCs w:val="16"/>
        </w:rPr>
        <w:softHyphen/>
        <w:t>вать их доводку и испытание с тем, чтобы как можно быстрее запустить их в серийное производство.</w:t>
      </w:r>
    </w:p>
    <w:p w14:paraId="26DAEE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числа проходящих испытание опытных самолетов необходимо в текущем году принять их на вооружение и за</w:t>
      </w:r>
      <w:r w:rsidRPr="00DB5D0D">
        <w:rPr>
          <w:rFonts w:ascii="Times New Roman" w:hAnsi="Times New Roman"/>
          <w:color w:val="000000" w:themeColor="text1"/>
          <w:sz w:val="16"/>
          <w:szCs w:val="16"/>
        </w:rPr>
        <w:softHyphen/>
        <w:t>пустить в серийное производство лучшие по летно-техни-ческим характеристикам:</w:t>
      </w:r>
    </w:p>
    <w:p w14:paraId="37F312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один тип истребителя с мотором воздушного охлаж</w:t>
      </w:r>
      <w:r w:rsidRPr="00DB5D0D">
        <w:rPr>
          <w:rFonts w:ascii="Times New Roman" w:hAnsi="Times New Roman"/>
          <w:color w:val="000000" w:themeColor="text1"/>
          <w:sz w:val="16"/>
          <w:szCs w:val="16"/>
        </w:rPr>
        <w:softHyphen/>
        <w:t>дения;</w:t>
      </w:r>
    </w:p>
    <w:p w14:paraId="031884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тип истребителя с мотором жидкостного охлаж</w:t>
      </w:r>
      <w:r w:rsidRPr="00DB5D0D">
        <w:rPr>
          <w:rFonts w:ascii="Times New Roman" w:hAnsi="Times New Roman"/>
          <w:color w:val="000000" w:themeColor="text1"/>
          <w:sz w:val="16"/>
          <w:szCs w:val="16"/>
        </w:rPr>
        <w:softHyphen/>
        <w:t>дения;</w:t>
      </w:r>
    </w:p>
    <w:p w14:paraId="5E9277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двухмоторный одноместный;</w:t>
      </w:r>
    </w:p>
    <w:p w14:paraId="34041C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двухмоторный многоместный;</w:t>
      </w:r>
    </w:p>
    <w:p w14:paraId="1CC46B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один тип двухмоторного дальнего бомбардировщика; один тип среднего(он же пикирующий) бомбардиров</w:t>
      </w:r>
      <w:r w:rsidRPr="00DB5D0D">
        <w:rPr>
          <w:rFonts w:ascii="Times New Roman" w:hAnsi="Times New Roman"/>
          <w:color w:val="000000" w:themeColor="text1"/>
          <w:sz w:val="16"/>
          <w:szCs w:val="16"/>
        </w:rPr>
        <w:softHyphen/>
        <w:t>щика;</w:t>
      </w:r>
    </w:p>
    <w:p w14:paraId="364E94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один тип штурмового бронированного самолета.</w:t>
      </w:r>
    </w:p>
    <w:p w14:paraId="7FA0DF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 ближайшие годы необходимо поступление серий</w:t>
      </w:r>
      <w:r w:rsidRPr="00DB5D0D">
        <w:rPr>
          <w:rFonts w:ascii="Times New Roman" w:hAnsi="Times New Roman"/>
          <w:color w:val="000000" w:themeColor="text1"/>
          <w:sz w:val="16"/>
          <w:szCs w:val="16"/>
        </w:rPr>
        <w:softHyphen/>
        <w:t>ных самолетов на вооружение ВВС Красной Армии со сле</w:t>
      </w:r>
      <w:r w:rsidRPr="00DB5D0D">
        <w:rPr>
          <w:rFonts w:ascii="Times New Roman" w:hAnsi="Times New Roman"/>
          <w:color w:val="000000" w:themeColor="text1"/>
          <w:sz w:val="16"/>
          <w:szCs w:val="16"/>
        </w:rPr>
        <w:softHyphen/>
        <w:t>дующими скоростями на высоте 6000—8000 м:</w:t>
      </w:r>
    </w:p>
    <w:p w14:paraId="59A584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истребители:</w:t>
      </w:r>
    </w:p>
    <w:p w14:paraId="3DC685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 — 550—600 км/ч; 1942 г. — 700 км/ч;</w:t>
      </w:r>
    </w:p>
    <w:p w14:paraId="03F346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 г. — 650 км/ч; 1943 г. — 750 км/ч; ближние одномоторные бомбардировщики:</w:t>
      </w:r>
    </w:p>
    <w:p w14:paraId="26D87A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г.-475 км/ч; 1942 г. — 600 км/ч;</w:t>
      </w:r>
    </w:p>
    <w:p w14:paraId="59CE29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 г. — 550 км/ч; 1943 г. — 650 км/ч; средние двухмоторные бомбардировщики: 1940 г. — 500—550 км/ч; 1942 г. — 650 км/4,-1941 г. - 600 км/ч; 1943 г. — 700 км/ч; дальние двухмоторные бомбардировщики:</w:t>
      </w:r>
    </w:p>
    <w:p w14:paraId="550E53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 — 480—500 км/ч; 1942 г. — 600 км/ч;</w:t>
      </w:r>
    </w:p>
    <w:p w14:paraId="21A734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 г. — 550 км/ч; 1943 г. — 650 км/ч;</w:t>
      </w:r>
    </w:p>
    <w:p w14:paraId="26834C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этих самолетов должна быть:</w:t>
      </w:r>
    </w:p>
    <w:p w14:paraId="1614FC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истребителей — 800—1000 км;</w:t>
      </w:r>
    </w:p>
    <w:p w14:paraId="3E3311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ближних одномоторных бомбардировщиков-1000 км;</w:t>
      </w:r>
    </w:p>
    <w:p w14:paraId="483BCA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средних двухмоторных бомбардировщиков —1200— 2000 км;</w:t>
      </w:r>
    </w:p>
    <w:p w14:paraId="38D2EC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дальних двухмоторных бомбардировщиков — 5000 км;</w:t>
      </w:r>
    </w:p>
    <w:p w14:paraId="0EB6B1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штурмовиков — 800 км.</w:t>
      </w:r>
    </w:p>
    <w:p w14:paraId="11B4E8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самолетов, кроме штурмовиков и ближних одномоторных бомбардировщиков, должен быть:</w:t>
      </w:r>
    </w:p>
    <w:p w14:paraId="6435DC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1940—1941 гг. — 10—12 тыс.м;</w:t>
      </w:r>
    </w:p>
    <w:p w14:paraId="0163E4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1942—1943 гг. — 12—13 тыс.м.</w:t>
      </w:r>
    </w:p>
    <w:p w14:paraId="7032DE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 тормозом в развитии наших самолетов яв</w:t>
      </w:r>
      <w:r w:rsidRPr="00DB5D0D">
        <w:rPr>
          <w:rFonts w:ascii="Times New Roman" w:hAnsi="Times New Roman"/>
          <w:color w:val="000000" w:themeColor="text1"/>
          <w:sz w:val="16"/>
          <w:szCs w:val="16"/>
        </w:rPr>
        <w:softHyphen/>
        <w:t>ляется мотор. Здесь наша отсталость от передовых капи</w:t>
      </w:r>
      <w:r w:rsidRPr="00DB5D0D">
        <w:rPr>
          <w:rFonts w:ascii="Times New Roman" w:hAnsi="Times New Roman"/>
          <w:color w:val="000000" w:themeColor="text1"/>
          <w:sz w:val="16"/>
          <w:szCs w:val="16"/>
        </w:rPr>
        <w:softHyphen/>
        <w:t>талистических стран очень велика.</w:t>
      </w:r>
    </w:p>
    <w:p w14:paraId="6A9D86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Моторы М-63, М-88 и М-105, которые поступают в се</w:t>
      </w:r>
      <w:r w:rsidRPr="00DB5D0D">
        <w:rPr>
          <w:rFonts w:ascii="Times New Roman" w:hAnsi="Times New Roman"/>
          <w:color w:val="000000" w:themeColor="text1"/>
          <w:sz w:val="16"/>
          <w:szCs w:val="16"/>
        </w:rPr>
        <w:softHyphen/>
        <w:t>рийное производство, — с большим количеством дефектов, ненадежны в полетах, часто отказывают, срок этих мо</w:t>
      </w:r>
      <w:r w:rsidRPr="00DB5D0D">
        <w:rPr>
          <w:rFonts w:ascii="Times New Roman" w:hAnsi="Times New Roman"/>
          <w:color w:val="000000" w:themeColor="text1"/>
          <w:sz w:val="16"/>
          <w:szCs w:val="16"/>
        </w:rPr>
        <w:softHyphen/>
        <w:t>торов очень небольшой.</w:t>
      </w:r>
    </w:p>
    <w:p w14:paraId="38457D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Наши хорошо отделанные самолеты с моторами одина</w:t>
      </w:r>
      <w:r w:rsidRPr="00DB5D0D">
        <w:rPr>
          <w:rFonts w:ascii="Times New Roman" w:hAnsi="Times New Roman"/>
          <w:color w:val="000000" w:themeColor="text1"/>
          <w:sz w:val="16"/>
          <w:szCs w:val="16"/>
        </w:rPr>
        <w:softHyphen/>
        <w:t>ковой мощности с немецкими ДБ-601 дают все-таки мень</w:t>
      </w:r>
      <w:r w:rsidRPr="00DB5D0D">
        <w:rPr>
          <w:rFonts w:ascii="Times New Roman" w:hAnsi="Times New Roman"/>
          <w:color w:val="000000" w:themeColor="text1"/>
          <w:sz w:val="16"/>
          <w:szCs w:val="16"/>
        </w:rPr>
        <w:softHyphen/>
        <w:t>шую скорость только потому, что мы до сего времени не имеем хорошего винта.</w:t>
      </w:r>
    </w:p>
    <w:p w14:paraId="5CEBCC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просим ЦК ВКП(б) срочно принять меры по улуч</w:t>
      </w:r>
      <w:r w:rsidRPr="00DB5D0D">
        <w:rPr>
          <w:rFonts w:ascii="Times New Roman" w:hAnsi="Times New Roman"/>
          <w:color w:val="000000" w:themeColor="text1"/>
          <w:sz w:val="16"/>
          <w:szCs w:val="16"/>
        </w:rPr>
        <w:softHyphen/>
        <w:t>шению наших моторов и винтов, иначе скорости наших са</w:t>
      </w:r>
      <w:r w:rsidRPr="00DB5D0D">
        <w:rPr>
          <w:rFonts w:ascii="Times New Roman" w:hAnsi="Times New Roman"/>
          <w:color w:val="000000" w:themeColor="text1"/>
          <w:sz w:val="16"/>
          <w:szCs w:val="16"/>
        </w:rPr>
        <w:softHyphen/>
        <w:t>молетов в ближайшее время могут еще больше отстать от заграничных...» (10745,153).</w:t>
      </w:r>
    </w:p>
    <w:p w14:paraId="5D13E4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F382F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двигатель М-90 был запущен, наработал на стенде 10 часов, однако много</w:t>
      </w:r>
      <w:r w:rsidRPr="00DB5D0D">
        <w:rPr>
          <w:rFonts w:ascii="Times New Roman" w:hAnsi="Times New Roman"/>
          <w:color w:val="000000" w:themeColor="text1"/>
          <w:sz w:val="16"/>
          <w:szCs w:val="16"/>
        </w:rPr>
        <w:softHyphen/>
        <w:t>численные сложности, сопутствующие созда</w:t>
      </w:r>
      <w:r w:rsidRPr="00DB5D0D">
        <w:rPr>
          <w:rFonts w:ascii="Times New Roman" w:hAnsi="Times New Roman"/>
          <w:color w:val="000000" w:themeColor="text1"/>
          <w:sz w:val="16"/>
          <w:szCs w:val="16"/>
        </w:rPr>
        <w:softHyphen/>
        <w:t>нию новой техники, не позволяли надеяться на получение М-90 к ожидаемому сроку (9979).</w:t>
      </w:r>
    </w:p>
    <w:p w14:paraId="09877C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DBCDB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заместитель наркома В.П.Кузнецов пообещал, что М-90 поступит во второй половине июня, но и этот срок также не был выдержан. Оставалось надеяться, что ОКБ завода № 29 сможет как можно быстрее преодолеть встретившиеся затруднения. Исключительно высокие расчетные летные характе</w:t>
      </w:r>
      <w:r w:rsidRPr="00DB5D0D">
        <w:rPr>
          <w:rFonts w:ascii="Times New Roman" w:hAnsi="Times New Roman"/>
          <w:color w:val="000000" w:themeColor="text1"/>
          <w:sz w:val="16"/>
          <w:szCs w:val="16"/>
        </w:rPr>
        <w:softHyphen/>
        <w:t>ристики самолета (вспомним, что в 1940 г. максимальная скорость лучших серийных истребителей еще только до</w:t>
      </w:r>
      <w:r w:rsidRPr="00DB5D0D">
        <w:rPr>
          <w:rFonts w:ascii="Times New Roman" w:hAnsi="Times New Roman"/>
          <w:color w:val="000000" w:themeColor="text1"/>
          <w:sz w:val="16"/>
          <w:szCs w:val="16"/>
        </w:rPr>
        <w:softHyphen/>
        <w:t>стигла 600 км/ч) вызвали сомнение в их достоверности и у руководства ВВС, и в наркомате. Для уточнения харак</w:t>
      </w:r>
      <w:r w:rsidRPr="00DB5D0D">
        <w:rPr>
          <w:rFonts w:ascii="Times New Roman" w:hAnsi="Times New Roman"/>
          <w:color w:val="000000" w:themeColor="text1"/>
          <w:sz w:val="16"/>
          <w:szCs w:val="16"/>
        </w:rPr>
        <w:softHyphen/>
        <w:t>теристик И-185 и для отработки конструкции капота По</w:t>
      </w:r>
      <w:r w:rsidRPr="00DB5D0D">
        <w:rPr>
          <w:rFonts w:ascii="Times New Roman" w:hAnsi="Times New Roman"/>
          <w:color w:val="000000" w:themeColor="text1"/>
          <w:sz w:val="16"/>
          <w:szCs w:val="16"/>
        </w:rPr>
        <w:softHyphen/>
        <w:t>ликарпову предложили изготовить макет самолета с имеющимся некондиционным мотором М-90 и испы</w:t>
      </w:r>
      <w:r w:rsidRPr="00DB5D0D">
        <w:rPr>
          <w:rFonts w:ascii="Times New Roman" w:hAnsi="Times New Roman"/>
          <w:color w:val="000000" w:themeColor="text1"/>
          <w:sz w:val="16"/>
          <w:szCs w:val="16"/>
        </w:rPr>
        <w:softHyphen/>
        <w:t>тать его в новых натурных аэродинамических трубах ЦАГИ Т-101 и Т-104. Испытания проводились с мая по декабрь 1940 г. Они подтвердили расчеты конструкто</w:t>
      </w:r>
      <w:r w:rsidRPr="00DB5D0D">
        <w:rPr>
          <w:rFonts w:ascii="Times New Roman" w:hAnsi="Times New Roman"/>
          <w:color w:val="000000" w:themeColor="text1"/>
          <w:sz w:val="16"/>
          <w:szCs w:val="16"/>
        </w:rPr>
        <w:softHyphen/>
        <w:t>ров. В отчете, в частности, говорилось: «Вентилятор, уменьшающий потери на входе, позволяет хорошо ис</w:t>
      </w:r>
      <w:r w:rsidRPr="00DB5D0D">
        <w:rPr>
          <w:rFonts w:ascii="Times New Roman" w:hAnsi="Times New Roman"/>
          <w:color w:val="000000" w:themeColor="text1"/>
          <w:sz w:val="16"/>
          <w:szCs w:val="16"/>
        </w:rPr>
        <w:softHyphen/>
        <w:t>пользовать реактивный эффект нагрева воздуха в капо</w:t>
      </w:r>
      <w:r w:rsidRPr="00DB5D0D">
        <w:rPr>
          <w:rFonts w:ascii="Times New Roman" w:hAnsi="Times New Roman"/>
          <w:color w:val="000000" w:themeColor="text1"/>
          <w:sz w:val="16"/>
          <w:szCs w:val="16"/>
        </w:rPr>
        <w:softHyphen/>
        <w:t>те, что уменьшает лобовое сопротивление капота на максимальной скорости полета... Благодаря плавной форме данного капота, применение его целесообразно на скоростях от 700 до 850 км/ч» (10667).</w:t>
      </w:r>
    </w:p>
    <w:p w14:paraId="41360F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1F5361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закончились 50-часовые совместные испытания мотора АМ-37. Взлетная мощность 1400 л.с. Номинальная мощность 1400 л.с. на высоте 6000 м. на станке, которые проходили с апреля 1941 (4048, 4).</w:t>
      </w:r>
    </w:p>
    <w:p w14:paraId="4728F0A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8A486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мотор АМ-37 прошел совместные 50-ти часовые испытания. По мотору дважды устанавливались сроки государственных испытаний (1 августа 1940 г. и 1 февраля 1941 г.), но ввиду наличия тех же дефектов, которые были вскрыты и на моторе АМ-38, мотор государственных испытаний в указанные сроки не прошел. Так как мотор АМ-37 отличается от мотора АМ-38 только передаточным числом и диаметром крыльчатки нагнетателя, внесение тех же конструктивных изменений, которые были осуществлены на моторе АМ-38, обеспечили 100 часовую надежную работу мотору АМ-37 (1684,20).</w:t>
      </w:r>
    </w:p>
    <w:p w14:paraId="2AD0EAB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C9D004" w14:textId="77777777" w:rsidR="00A22B88" w:rsidRPr="00DB5D0D" w:rsidRDefault="00A22B88"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 мае 1940 г. опытный образец мо</w:t>
      </w:r>
      <w:r w:rsidRPr="00DB5D0D">
        <w:rPr>
          <w:rFonts w:ascii="Times New Roman" w:cs="Times New Roman"/>
          <w:color w:val="000000" w:themeColor="text1"/>
          <w:spacing w:val="0"/>
        </w:rPr>
        <w:softHyphen/>
        <w:t>тора АМ-37 в целом успешно прошел 50-часовые совместные заводские ис</w:t>
      </w:r>
      <w:r w:rsidRPr="00DB5D0D">
        <w:rPr>
          <w:rFonts w:ascii="Times New Roman" w:cs="Times New Roman"/>
          <w:color w:val="000000" w:themeColor="text1"/>
          <w:spacing w:val="0"/>
        </w:rPr>
        <w:softHyphen/>
        <w:t>пытания. Взлетная мощность была определена на уровне 1400 л.е., номи</w:t>
      </w:r>
      <w:r w:rsidRPr="00DB5D0D">
        <w:rPr>
          <w:rFonts w:ascii="Times New Roman" w:cs="Times New Roman"/>
          <w:color w:val="000000" w:themeColor="text1"/>
          <w:spacing w:val="0"/>
        </w:rPr>
        <w:softHyphen/>
        <w:t>нальная мощность у земли - 1250 л.е., а номинальная на высоте от 6000 до 6300 м- 1400 л.с.</w:t>
      </w:r>
    </w:p>
    <w:p w14:paraId="783DF940" w14:textId="77777777" w:rsidR="00A22B88" w:rsidRPr="00DB5D0D" w:rsidRDefault="00A22B88"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Это был весьма неплохой результат. По мощности и удельным характеристи</w:t>
      </w:r>
      <w:r w:rsidRPr="00DB5D0D">
        <w:rPr>
          <w:rFonts w:ascii="Times New Roman" w:cs="Times New Roman"/>
          <w:color w:val="000000" w:themeColor="text1"/>
          <w:spacing w:val="0"/>
        </w:rPr>
        <w:softHyphen/>
        <w:t>кам АМ-37 становился первым в ряду лучших образцов мирового моторостро</w:t>
      </w:r>
      <w:r w:rsidRPr="00DB5D0D">
        <w:rPr>
          <w:rFonts w:ascii="Times New Roman" w:cs="Times New Roman"/>
          <w:color w:val="000000" w:themeColor="text1"/>
          <w:spacing w:val="0"/>
        </w:rPr>
        <w:softHyphen/>
        <w:t>ения в своем классе. Причем в отличие от иностранных моторов, которым для надежной работы требовался 100-октановый бензин, АМ-37 «потреблял» то</w:t>
      </w:r>
      <w:r w:rsidRPr="00DB5D0D">
        <w:rPr>
          <w:rFonts w:ascii="Times New Roman" w:cs="Times New Roman"/>
          <w:color w:val="000000" w:themeColor="text1"/>
          <w:spacing w:val="0"/>
        </w:rPr>
        <w:softHyphen/>
        <w:t>пливо с октановым числом, пониженным до 93-95 (15755).</w:t>
      </w:r>
    </w:p>
    <w:p w14:paraId="7C8FF73F" w14:textId="77777777" w:rsidR="00A22B88" w:rsidRPr="00DB5D0D" w:rsidRDefault="00A22B88" w:rsidP="00DB5D0D">
      <w:pPr>
        <w:pStyle w:val="27"/>
        <w:shd w:val="clear" w:color="auto" w:fill="auto"/>
        <w:spacing w:after="0" w:line="240" w:lineRule="auto"/>
        <w:ind w:firstLine="0"/>
        <w:rPr>
          <w:rFonts w:ascii="Times New Roman" w:cs="Times New Roman"/>
          <w:color w:val="000000" w:themeColor="text1"/>
          <w:spacing w:val="0"/>
        </w:rPr>
      </w:pPr>
    </w:p>
    <w:p w14:paraId="3A0D14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после совместных испытаний АМ-37 введен промежуточный водо-воздушный интеркулер за ПЦН. В апреле 1941 г. АМ-37 прошел гос</w:t>
      </w:r>
      <w:r w:rsidRPr="00DB5D0D">
        <w:rPr>
          <w:rFonts w:ascii="Times New Roman" w:hAnsi="Times New Roman"/>
          <w:color w:val="000000" w:themeColor="text1"/>
          <w:sz w:val="16"/>
          <w:szCs w:val="16"/>
        </w:rPr>
        <w:softHyphen/>
        <w:t>испытания и был принят в серийное производство, но, в сущности, так и не был доведен до требуемой надежности. Кроме того, самолетостроители не могли справиться с охлаждением этого весьма теплонапряженного дви</w:t>
      </w:r>
      <w:r w:rsidRPr="00DB5D0D">
        <w:rPr>
          <w:rFonts w:ascii="Times New Roman" w:hAnsi="Times New Roman"/>
          <w:color w:val="000000" w:themeColor="text1"/>
          <w:sz w:val="16"/>
          <w:szCs w:val="16"/>
        </w:rPr>
        <w:softHyphen/>
        <w:t>гателя. В 1941 г. на заводе № 24 в Москве выпустили 29 моторов этого типа. В октябре того же года его сняли с производства. После эвакуации выпуск АМ-37 не возобновлялся. АМ-37 проходил летные испытания в октябре 1940 г. на ДБ-240, в ян</w:t>
      </w:r>
      <w:r w:rsidRPr="00DB5D0D">
        <w:rPr>
          <w:rFonts w:ascii="Times New Roman" w:hAnsi="Times New Roman"/>
          <w:color w:val="000000" w:themeColor="text1"/>
          <w:sz w:val="16"/>
          <w:szCs w:val="16"/>
        </w:rPr>
        <w:softHyphen/>
        <w:t>варе 1941 г. на опытном бомбардировщике «103». Двигатель испытывали также на МиГ-1 и МиГ-3.</w:t>
      </w:r>
    </w:p>
    <w:p w14:paraId="22D4E8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5CFA50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 и интеркуле-ром;</w:t>
      </w:r>
    </w:p>
    <w:p w14:paraId="09E979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5CF506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объем 46,66 л;</w:t>
      </w:r>
    </w:p>
    <w:p w14:paraId="3EF6EB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степень сжатия 7,0;</w:t>
      </w:r>
    </w:p>
    <w:p w14:paraId="21AB18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1200/1500 ./.с. (по заданию 1500 1600</w:t>
      </w:r>
    </w:p>
    <w:p w14:paraId="3BDB30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вес 885 кг (по заданию 800 кг);</w:t>
      </w:r>
    </w:p>
    <w:p w14:paraId="62E9EB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запуск сжатым воздухом;</w:t>
      </w:r>
    </w:p>
    <w:p w14:paraId="430403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возможна установка синхронизатора. Известны модификации:</w:t>
      </w:r>
    </w:p>
    <w:p w14:paraId="0C0623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АМ-37, серийный вариант, 1200/1500 л.с., вес 885 кг. «</w:t>
      </w:r>
    </w:p>
    <w:p w14:paraId="629870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АМ-37 А, предполагавшийся усовершенствованный вариант с номи</w:t>
      </w:r>
      <w:r w:rsidRPr="00DB5D0D">
        <w:rPr>
          <w:rFonts w:ascii="Times New Roman" w:hAnsi="Times New Roman"/>
          <w:color w:val="000000" w:themeColor="text1"/>
          <w:sz w:val="16"/>
          <w:szCs w:val="16"/>
        </w:rPr>
        <w:softHyphen/>
        <w:t>нальной мощностью 1600 л.с., весом 850 кг (по заданию). Должен был быть выпущен на заводские испытания в феврале 1940 г. Све</w:t>
      </w:r>
      <w:r w:rsidRPr="00DB5D0D">
        <w:rPr>
          <w:rFonts w:ascii="Times New Roman" w:hAnsi="Times New Roman"/>
          <w:color w:val="000000" w:themeColor="text1"/>
          <w:sz w:val="16"/>
          <w:szCs w:val="16"/>
        </w:rPr>
        <w:softHyphen/>
        <w:t>дений о постройке и испытании нет.</w:t>
      </w:r>
    </w:p>
    <w:p w14:paraId="0D1DD0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АМ-37ТК, вариант АМ-37 с турбонаддувом. Никакой информации нет.</w:t>
      </w:r>
    </w:p>
    <w:p w14:paraId="4BCA17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АМ-37П, вариант АМ-37 с установкой пушки в развале цилиндров, стрелявшей через полый вал редуктора. Проект 1940 г. Сведений о постройке и испытаниях нет.</w:t>
      </w:r>
    </w:p>
    <w:p w14:paraId="22F8B4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АМ-37у/в (АМ-37УВ), вариант АМ-37 с удлиненным валом и вынесен</w:t>
      </w:r>
      <w:r w:rsidRPr="00DB5D0D">
        <w:rPr>
          <w:rFonts w:ascii="Times New Roman" w:hAnsi="Times New Roman"/>
          <w:color w:val="000000" w:themeColor="text1"/>
          <w:sz w:val="16"/>
          <w:szCs w:val="16"/>
        </w:rPr>
        <w:softHyphen/>
        <w:t>ным редуктором, предназначавшийся для истребителя Гу-1, имевшего схему американской «Аэрокобры». Задание выдано в октябре 1940 г., разработку проекта начали в 1941 г. Построен не был. Материалы про</w:t>
      </w:r>
      <w:r w:rsidRPr="00DB5D0D">
        <w:rPr>
          <w:rFonts w:ascii="Times New Roman" w:hAnsi="Times New Roman"/>
          <w:color w:val="000000" w:themeColor="text1"/>
          <w:sz w:val="16"/>
          <w:szCs w:val="16"/>
        </w:rPr>
        <w:softHyphen/>
        <w:t>екта впоследствии использовали в опытном моторе АМ-41. Двигатели АМ-37 устанавливались на опытных самолетах ДБ-4 (ЦКБ-54), ФБ («103»), ТИС-А, Ер-2 (Ер-4), ИДС (Гр-1, не летал), И-200, МиГ-7, МиГ-5 (ДИС-200, недостроен). Их использование предусматривалось про</w:t>
      </w:r>
      <w:r w:rsidRPr="00DB5D0D">
        <w:rPr>
          <w:rFonts w:ascii="Times New Roman" w:hAnsi="Times New Roman"/>
          <w:color w:val="000000" w:themeColor="text1"/>
          <w:sz w:val="16"/>
          <w:szCs w:val="16"/>
        </w:rPr>
        <w:softHyphen/>
        <w:t>ектами ИОП, ИТ, СПБ, Е-2, ОКО-7, СК-3, ОДБ (П), И-63, ТШ, ОКО-8, ДБ-ЛК («380»), Гу-2, БОК-17, Ил-2 (11852).</w:t>
      </w:r>
    </w:p>
    <w:p w14:paraId="3A1E7F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F1301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после совместных испытаний на АМ-37 был введен промежуточный водо- воздушный интеркулер, стоявший за ПЦН. В ходе доводки усилили картер, носок редуктора, головку блока, поршни и прицепные шатуны, ввели клапаны выпуска увеличенного диаметра, доработали нагнетатель. На моторе появились более мощная маслопомпа и карбюраторы К-37БП. Но требований задания и после доработки выполнить не удалось. Максимальная мощность остановилась на уровне 1500 л.с. (вместо 1600 л.е.), номинальная - 1200 л.с. (вместо 1500 л.с.). Зато заданный вес превысили на 85 кг. В апреле 1941 г. АМ-37 прошел государственные испытания и был принят в серийное производство, но, в сущности, так и не был доведен до требуемой степени надежности. Кроме того, самолетостроители не могли справиться с охлаждением этого весьма теплонапря- женного двигателя. В 1941 г. на заводе № 24 в Москве выпустили 29 моторов этого типа. АМ-37 проходил летные испытания в октябре 1940 г. на ДБ-240, в январе 1941 г. на опытном бомбардировщике "103". Двигатель испытывали также на МиГ-1 и МиГ-3. Бомбардировщик "103" (будущий Ту-2) собирались с ними строить серийно.</w:t>
      </w:r>
    </w:p>
    <w:p w14:paraId="572301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в октябре 1941 г. АМ-37 с производства сняли. После эвакуации предприятия в Куйбышев выпуск АМ-37 там не возобновлялся. Ту-2 запустили в серию с двигателями М-82 (АШ-82).</w:t>
      </w:r>
    </w:p>
    <w:p w14:paraId="75047A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Заданную мощность в 1600 л.с. хотели получить на модификации АМ-37А. Ее опытный образец по плану должен был быть выпущен на заводские испытания в феврале 1940 г., однако сведений о его постройке и испытаниях нет.</w:t>
      </w:r>
    </w:p>
    <w:p w14:paraId="47E8F2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Видимо, только в проектах остались варианты АМ-37ТК с турбо- наддувом, АМ-37П с установкой пушки в развале цилиндров, стрелявшей через полый вал редуктора, и АМ-37у/в (AM-37YB) с удлиненным валом и вынесенным редуктором, предназначавшийся для истребителя Гу-1, имевшего схему американской "Аэрокобры". Задание на последний было выдано в октябре 1940 г., а разработку проекта начали в 1941 г. Построен АМ-37УВ не был, но материалы проекта впоследствии использовали при создании опытного мотора АМ-41 (11934).</w:t>
      </w:r>
    </w:p>
    <w:p w14:paraId="4EA090F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E6A9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мая 1940 на 156 строили 103 и в ходе строительства перепроектировали моторы с АМ-35А под АМ-37 мощностью 1400 л.с. По результатам поездок в Германию были выдвинуты дополнительные требования к 103: увеличить экипаж до 4 и штурмана посадить с летчиком как на Ю-88, а сначала был л и 2 стрелка, причем штурманом был оператор нижней установки. Измененный проект получил обозначение 103У или АНТ-59 (1835,11).</w:t>
      </w:r>
    </w:p>
    <w:p w14:paraId="2C0A156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E48357" w14:textId="77777777" w:rsidR="00A25AD1" w:rsidRPr="00DB5D0D" w:rsidRDefault="00A25AD1" w:rsidP="00DB5D0D">
      <w:pPr>
        <w:pStyle w:val="24"/>
        <w:widowControl/>
        <w:rPr>
          <w:color w:val="000000" w:themeColor="text1"/>
        </w:rPr>
      </w:pPr>
      <w:r w:rsidRPr="00DB5D0D">
        <w:rPr>
          <w:color w:val="000000" w:themeColor="text1"/>
        </w:rPr>
        <w:t>В мае 1940 года мотор АМ-35А удовлетворительно прошел совместное 50-ти часовое испытание, после чего была запущена в производство малая серия этих моторов в количестве 50 штук (7647, 119-121).</w:t>
      </w:r>
    </w:p>
    <w:p w14:paraId="6E8F5AEF" w14:textId="77777777" w:rsidR="00A25AD1" w:rsidRPr="00DB5D0D" w:rsidRDefault="00A25AD1" w:rsidP="00DB5D0D">
      <w:pPr>
        <w:pStyle w:val="24"/>
        <w:widowControl/>
        <w:rPr>
          <w:color w:val="000000" w:themeColor="text1"/>
        </w:rPr>
      </w:pPr>
    </w:p>
    <w:p w14:paraId="0CA07F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АМ-35А прошел совместные испытания, а в сентябре с удовлетвори</w:t>
      </w:r>
      <w:r w:rsidRPr="00DB5D0D">
        <w:rPr>
          <w:rFonts w:ascii="Times New Roman" w:hAnsi="Times New Roman"/>
          <w:color w:val="000000" w:themeColor="text1"/>
          <w:sz w:val="16"/>
          <w:szCs w:val="16"/>
        </w:rPr>
        <w:softHyphen/>
        <w:t>тельными результатами закончились государствен</w:t>
      </w:r>
      <w:r w:rsidRPr="00DB5D0D">
        <w:rPr>
          <w:rFonts w:ascii="Times New Roman" w:hAnsi="Times New Roman"/>
          <w:color w:val="000000" w:themeColor="text1"/>
          <w:sz w:val="16"/>
          <w:szCs w:val="16"/>
        </w:rPr>
        <w:softHyphen/>
        <w:t>ные испытания двигателя (9984).</w:t>
      </w:r>
    </w:p>
    <w:p w14:paraId="0446EB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FC162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мае 1940 г. мотор АМ-35А предъявили на совместные испытания, в июле — на государственные, которые он успешно завершил в сентябре. С конца 1940 г. выпускался в больших количествах. В начале 1941 г. введена уси</w:t>
      </w:r>
      <w:r w:rsidRPr="00DB5D0D">
        <w:rPr>
          <w:rFonts w:ascii="Times New Roman" w:hAnsi="Times New Roman"/>
          <w:color w:val="000000" w:themeColor="text1"/>
          <w:sz w:val="16"/>
          <w:szCs w:val="16"/>
        </w:rPr>
        <w:softHyphen/>
        <w:t>ленная крыльчатка ПЦН, с весны того же года — чисто механический (вместо электромеханического) привод поворотных лопаток на входе в ПЦН. К АМ-35А были спроектированы три варианта редуктора с раз</w:t>
      </w:r>
      <w:r w:rsidRPr="00DB5D0D">
        <w:rPr>
          <w:rFonts w:ascii="Times New Roman" w:hAnsi="Times New Roman"/>
          <w:color w:val="000000" w:themeColor="text1"/>
          <w:sz w:val="16"/>
          <w:szCs w:val="16"/>
        </w:rPr>
        <w:softHyphen/>
        <w:t>ными передаточными отношениями. Первые серии шли с редуктором с отношением 0,9, с 5-й серии — с 0,732. В январе 1941 г. изготовили, а затем подвергли испытаниям три образца с беспоплавковыми карбю</w:t>
      </w:r>
      <w:r w:rsidRPr="00DB5D0D">
        <w:rPr>
          <w:rFonts w:ascii="Times New Roman" w:hAnsi="Times New Roman"/>
          <w:color w:val="000000" w:themeColor="text1"/>
          <w:sz w:val="16"/>
          <w:szCs w:val="16"/>
        </w:rPr>
        <w:softHyphen/>
        <w:t>раторами, который намеревались внедрить в серии. Однако этот вари</w:t>
      </w:r>
      <w:r w:rsidRPr="00DB5D0D">
        <w:rPr>
          <w:rFonts w:ascii="Times New Roman" w:hAnsi="Times New Roman"/>
          <w:color w:val="000000" w:themeColor="text1"/>
          <w:sz w:val="16"/>
          <w:szCs w:val="16"/>
        </w:rPr>
        <w:softHyphen/>
        <w:t>ант серийно не выпускался. Всего до конца 1943 г. изготовили около 4500 АМ-35А, из них 4034 — в 1941 г. (11852).</w:t>
      </w:r>
    </w:p>
    <w:p w14:paraId="28EC96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671FE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мотор предъявили на совместные испытания, в июле - на государственные, которые он успешно завершил в сентябре. С конца 1940 г. АМ-35А выпускался в больших количествах на заводе № 24 в Москве. Его планировали запустить в производство также на заводах № 19 и No 452, но это так и не было сделано. Мотор постепенно дорабатывался. В начале 1941 г. была введена усиленная крыльчатка ПЦН, с весны того же года внедрили чисто механический (вместо электромеханического) привод поворотных лопаток на входе в нагнетатель.</w:t>
      </w:r>
    </w:p>
    <w:p w14:paraId="1E2BE0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АМ-35А были спроектированы три варианта редуктора с разными передаточными отношениями. Первые серии шли с редуктором с отношением 0,9, с 5-й серии - с 0,732.</w:t>
      </w:r>
    </w:p>
    <w:p w14:paraId="144546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 "потребителем" АМ-35А стал цельнометаллический истребитель-моноплан МиГ-3, в 1941 г. строившийся в больших количествах. К началу Великой Отечественной войны он являлся самым массовым из истребителей нового поколения в ВВС РККА. Некоторое количество моторов пошло также на тяжелые бомбардировщики ТБ-7 (Пе-8).</w:t>
      </w:r>
    </w:p>
    <w:p w14:paraId="40BD79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Конструкторы готовили многочисленные модификации АМ-35А. В январе 1941 г. изготовили, а затем подвергли испытаниям три образца с беспоплавковыми карбюраторами, которые намеревались внедрить в серии. Однако этот вариант серийно не выпускался. АМ-35АНВ - это АМ-35А с непосредственным впрыском топлива. Опытный образец его изготовили летом 1941 г., но не испытывали в связи с эвакуацией. Работы по этой модификации официально прекратили в начале 1942 г. Очень оригинален был АМ-35А-ТР, вариант с турбореакторами Ефремова, использовавшими тепло от выхлопа и радиаторов для создания реактивного эффекта.</w:t>
      </w:r>
    </w:p>
    <w:p w14:paraId="3FE790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мощность у него должна была дойти до 1650 л.е., но этот двигатель остался только проектом.</w:t>
      </w:r>
    </w:p>
    <w:p w14:paraId="31920E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Распоряжение о прекращении производства АМ-35А поступило в конце 1941 г., после эвакуации завода No 24 в Куйбышев (Самару). Его прекратили делать, чтобы высвободить производственные мощности для наращивания выпуска родственного ему мотора АМ-38, описанного далее. Фактически же в небольших количествах АМ-35А собирали до конца 1944 г. Всего было изготовлено 4659 экземпляров. Из них 4034 мотора сделали в 1941 г., к концу 1943 г. к ним добавились еще примерно 450 штук. Последние серии АМ-35А изготовлялись уже с использованием узлов двигателя АМ-38Ф (11934).</w:t>
      </w:r>
    </w:p>
    <w:p w14:paraId="4B3B433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8D70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у А.Д.Чаромского на заводе 82 (д С.И.Жилин и ГИ А.Г.Таканнаев) и у В.М.Яковлева на Кировском заводе были готовы дизель-мотор М-40 и М-30 с аналогичными техническими характеристиками. Оба двигателя проходили летные испытания, правда, ограниченного объема, на двух самолетах БОК-15. До майского (1940) постановления Комитета Обороны при СНК оба двигателя предназначались в основном для достижения политического результата - кругосветного беспосадочного полета советского самолета под управлением М.М.Громова. Технические параметры комплекса самолет-мотор могли обеспечить выполнение этой задачи при условии, что двигатель выдержит не менее 100 ч непрерывной работы на номинальной мощности. Летом 1940 г. ни М-30, ни М-40 не имели еще такого ресурса. Комитет Обороны выдал моторостроителям новое задание - в августе 1940 г. провести государственные испытания обоих типов дизелей на стенде, а в октябре-декабре 1940 установить их на самолеты ТБ-7 и ДБ-240, после чего приступить к летным испытаниям. Авиационные дизели в начале сороковых были предметом особой гордости отечественных моторостроителей. Только в СССР и Германии дизель-моторы были "доведены" до уровня отработки, позволившего перейти к летным испытаниям и даже к постройке серийных самолетов, оснащенных данным типом силовой установки. Но если в Германии основной упор при создании авиационного дизеля делался на повышении надежности, то в СССР - на достижении наибольшей мощности. В нашей стране применение авиадизелей считалось наиболее перспективным на дальних и тяжелых бомбардировщиках. Для самолетов этих классов на первом плане стояли требования к экономичности и высокой единичной мощности "движка". Поскольку максимальная взлетная масса двухмоторного дальнего бомбардировщика в то время оценивалась величиной 16-18 т, то для получения хороших взлетных качеств и достаточно большой крейсерской скорости (порядка 400 км/ч) требовалось "снимать" с каждого из двух валов не менее 1500-1800 л.с. На получение именно таких характеристик в первую очередь и нацеловалась деятельность отечественных "дизельных" КБ. Важнейшими достоинствами дизелей считались существенно меньший расход топлива по сравнению с карбюраторными моторами, а также меньшая пожароопасность керосина (дизельного топлива) по сравнению с легко воспламеняющимся авиационным бензином. Кроме того, дизельное топливо имеет большую плотность, поэтому в баки одной и той же емкости можно залить больше топлива (по массе). Недостатком дизеля является то, что он значительно тяжелее карбюраторного собрата той же мощности. Это связано с большими ударными нагрузками, характерными для процесса сгорания топлива, которое воспламеняется от сжатия. Дизели имеют худшую по сравнению с бензиновыми моторами приемистость. Для их запуска требуется мощный стартер, гораздо более тяжелый, чем у карбюраторного мотора. Основной вклад в создание авиационных дизелей в СССР был сделан отделом нефтяных двигателей ЦИАМа, которым до ареста руководил Андрей Дмитриевич Чаромский. В 1936-1937 гг. этот коллектив разработал дизель АН-1 А мощностью 900 л.с., которая благодаря ПЦН сохранялась до высоты 2500 м. Мотор прошел летные испытания на самолете ТБ-ЗД. В дальнейшем доработками конструкции АН-1 А занимались два независимых коллектива. Развитие обеих моделей (М-40 и М-30) велось в одном генеральном направлении: при сохранении рабочего объема, диаметра цилиндра и хода поршня конструкторы добивались повышения взлетной мощности и высотности мотора за счет использования двухступенчатых турбокомпрессоров (ТК-88 на М-40 и ТК-82 на М-30). На каждом двигателе устанавливались по четыре ТК, на этом этапе моторы не имели приводных нагнетателей. В дальнейшем такое решение было признано ошибочным, но в середине 1940 г. недостатки схемы еще не успели осознать, а полученные результаты переоценивались. За благополучным окончанием стендовых испытаний М-40 последовало решение о развертывании их серийного производства помимо Кировского завода еще и на Харьковском тракторном, а позднее и на заводе N 75. Кроме того, В.М.Яковлеву была поставлена задача форсирования мотора до 1500 л.с. на взлетном режиме и до 1250 л.с. на номинальном. Этот вариант двигателя получил обозначение М-40Ф (3320,35).</w:t>
      </w:r>
    </w:p>
    <w:p w14:paraId="3C2236E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A0B8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были собраны и поставлены на испытание 2 дизель-мотора М-30. Мотор один потом наработал 102 час., из которых 65 час. режимных, а второй 107 и 72 час. (1296,235).</w:t>
      </w:r>
    </w:p>
    <w:p w14:paraId="3BE0258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0BF3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мая 1940 г. осваивалось серийное производство АД-5 под обозначением М-30 на заводе № 82. Выпуск там дизелей начался с 1941 г. Готовились к выпуску дизелей этого типа также на Харьковском тракторном заводе (ХТЗ), куда хотели передать производство из Тушина, но фактически ни одного М-30 там не сделали. Проектировался в ОКБ НКВД при заводе № 82 в Тушино под руковод</w:t>
      </w:r>
      <w:r w:rsidRPr="00DB5D0D">
        <w:rPr>
          <w:rFonts w:ascii="Times New Roman" w:hAnsi="Times New Roman"/>
          <w:color w:val="000000" w:themeColor="text1"/>
          <w:sz w:val="16"/>
          <w:szCs w:val="16"/>
        </w:rPr>
        <w:softHyphen/>
        <w:t>ством Ф.Я. Тулупова (и с участием Чаромского, но в качестве заключен</w:t>
      </w:r>
      <w:r w:rsidRPr="00DB5D0D">
        <w:rPr>
          <w:rFonts w:ascii="Times New Roman" w:hAnsi="Times New Roman"/>
          <w:color w:val="000000" w:themeColor="text1"/>
          <w:sz w:val="16"/>
          <w:szCs w:val="16"/>
        </w:rPr>
        <w:softHyphen/>
        <w:t>ного) на базе АН-1РТК с 1939 г. Первоначально именовался АД-5. М-30 стал первым авиадизелем, запущенным в СССР в серийное про</w:t>
      </w:r>
      <w:r w:rsidRPr="00DB5D0D">
        <w:rPr>
          <w:rFonts w:ascii="Times New Roman" w:hAnsi="Times New Roman"/>
          <w:color w:val="000000" w:themeColor="text1"/>
          <w:sz w:val="16"/>
          <w:szCs w:val="16"/>
        </w:rPr>
        <w:softHyphen/>
        <w:t>изводство и принятым на вооружение ВВС РККА. Его устанавливали на серийные бомбардировщики и применяли в боевых операциях. Но из-за низкой надежности (двигатель недодавал обороты, страдал выбросами мас</w:t>
      </w:r>
      <w:r w:rsidRPr="00DB5D0D">
        <w:rPr>
          <w:rFonts w:ascii="Times New Roman" w:hAnsi="Times New Roman"/>
          <w:color w:val="000000" w:themeColor="text1"/>
          <w:sz w:val="16"/>
          <w:szCs w:val="16"/>
        </w:rPr>
        <w:softHyphen/>
        <w:t>ла, отказами топливных насосов, самопроизвольно глох и плохо запускался на холоде и больших высотах) после эвакуации завода № 82 выпуск М-30 прекратили. Последние четыре дизеля собрали из привезенных из Москвы частей в Казани. Еще раньше, в августе 1941 г., их начали снимать с само</w:t>
      </w:r>
      <w:r w:rsidRPr="00DB5D0D">
        <w:rPr>
          <w:rFonts w:ascii="Times New Roman" w:hAnsi="Times New Roman"/>
          <w:color w:val="000000" w:themeColor="text1"/>
          <w:sz w:val="16"/>
          <w:szCs w:val="16"/>
        </w:rPr>
        <w:softHyphen/>
        <w:t>летов ТБ-7, заменяя на АМ-35А. Но с июня 1942 г. выпуск М-30 возобновили на заводе № 500 (в цехах эвакуированного завода № 82). В том же году двигатель был модернизи</w:t>
      </w:r>
      <w:r w:rsidRPr="00DB5D0D">
        <w:rPr>
          <w:rFonts w:ascii="Times New Roman" w:hAnsi="Times New Roman"/>
          <w:color w:val="000000" w:themeColor="text1"/>
          <w:sz w:val="16"/>
          <w:szCs w:val="16"/>
        </w:rPr>
        <w:softHyphen/>
        <w:t>рован в ОКБ-500 под руководством Чаромского (уже освобожденного из заключения) с введением ПЦН и интеркулеров. Усовершенствованный вари</w:t>
      </w:r>
      <w:r w:rsidRPr="00DB5D0D">
        <w:rPr>
          <w:rFonts w:ascii="Times New Roman" w:hAnsi="Times New Roman"/>
          <w:color w:val="000000" w:themeColor="text1"/>
          <w:sz w:val="16"/>
          <w:szCs w:val="16"/>
        </w:rPr>
        <w:softHyphen/>
        <w:t>ант начали выпускать с конца 1942 г. как М-ЗОБ, а затем переименовали в АЧ-ЗОБ. В 1944-1945 гг. АЧ-ЗОБ изготовлялся также на заводе № 45 в Мо</w:t>
      </w:r>
      <w:r w:rsidRPr="00DB5D0D">
        <w:rPr>
          <w:rFonts w:ascii="Times New Roman" w:hAnsi="Times New Roman"/>
          <w:color w:val="000000" w:themeColor="text1"/>
          <w:sz w:val="16"/>
          <w:szCs w:val="16"/>
        </w:rPr>
        <w:softHyphen/>
        <w:t>скве. В сентябре 1945 г. дизель сняли с производства на обоих заводах. Всего изготовили 1423 (по другим данным — 1526) М-30, М-ЗОБ и АЧ-ЗОБ. АЧ-ЗОБ стал основой для ряда серийных танковых и судовых дизелей. В 1946-1947 гг. производилась разборка части не бывших в употреблении АЧ-ЗОБ для использования их деталей и узлов в катерных дизелях М-50Р. Двигатели АЧ-ЗОБ после некоторой переделки применялись также в не</w:t>
      </w:r>
      <w:r w:rsidRPr="00DB5D0D">
        <w:rPr>
          <w:rFonts w:ascii="Times New Roman" w:hAnsi="Times New Roman"/>
          <w:color w:val="000000" w:themeColor="text1"/>
          <w:sz w:val="16"/>
          <w:szCs w:val="16"/>
        </w:rPr>
        <w:softHyphen/>
        <w:t>больших электростанциях ДКЭ для сельских районов.</w:t>
      </w:r>
    </w:p>
    <w:p w14:paraId="6293BC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58C4EE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12-цшшдровый, рядный У-образный дизель, четырехтактный, водя</w:t>
      </w:r>
      <w:r w:rsidRPr="00DB5D0D">
        <w:rPr>
          <w:rFonts w:ascii="Times New Roman" w:hAnsi="Times New Roman"/>
          <w:color w:val="000000" w:themeColor="text1"/>
          <w:sz w:val="16"/>
          <w:szCs w:val="16"/>
        </w:rPr>
        <w:softHyphen/>
        <w:t>ного охлаждения;</w:t>
      </w:r>
    </w:p>
    <w:p w14:paraId="15FF7D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объем 61,04 л;</w:t>
      </w:r>
    </w:p>
    <w:p w14:paraId="058308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0EF03B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степень сжатия 13,5;</w:t>
      </w:r>
    </w:p>
    <w:p w14:paraId="312E0E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4EE0B6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М-30, первая серийная модификация с двумя турбонагнетателями, без ПЦН и интеркулеров. Мощность 1250/1500 л.с., вес 1200 кг (по другим данным, 1150 кг). Этот двигатель выпускался серийно заводом № 82 (44 экз. в 1941 г.) и заводом № 500 (32 экз. в 1942 г.). Производство пре</w:t>
      </w:r>
      <w:r w:rsidRPr="00DB5D0D">
        <w:rPr>
          <w:rFonts w:ascii="Times New Roman" w:hAnsi="Times New Roman"/>
          <w:color w:val="000000" w:themeColor="text1"/>
          <w:sz w:val="16"/>
          <w:szCs w:val="16"/>
        </w:rPr>
        <w:softHyphen/>
        <w:t>кращено в конце 1942 г. Часть М-30 переделана в 1942 г. в М-ЗОБ.</w:t>
      </w:r>
    </w:p>
    <w:p w14:paraId="1DD53D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М-ЗОФ, опытный вариант 1942 г., 1500/1750 л.с.</w:t>
      </w:r>
    </w:p>
    <w:p w14:paraId="18B05C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М-ЗОБ (АЧ-ЗОБ), модернизированный вариант с ПЦН. В ОКБ-500 готовились два варианта — с ПЦН от моторов АМ-38 и М-105.</w:t>
      </w:r>
    </w:p>
    <w:p w14:paraId="40EBC0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1942 г. первый тип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DB5D0D">
        <w:rPr>
          <w:rFonts w:ascii="Times New Roman" w:hAnsi="Times New Roman"/>
          <w:color w:val="000000" w:themeColor="text1"/>
          <w:sz w:val="16"/>
          <w:szCs w:val="16"/>
        </w:rPr>
        <w:softHyphen/>
        <w:t>нетателями Т1-82 и интеркулерами. С августа 1942 г. завод № 500 начал переделку М-30 в М-ЗОБ (переделано 35 экз.), а затем произ</w:t>
      </w:r>
      <w:r w:rsidRPr="00DB5D0D">
        <w:rPr>
          <w:rFonts w:ascii="Times New Roman" w:hAnsi="Times New Roman"/>
          <w:color w:val="000000" w:themeColor="text1"/>
          <w:sz w:val="16"/>
          <w:szCs w:val="16"/>
        </w:rPr>
        <w:softHyphen/>
        <w:t xml:space="preserve">водство М-ЗОБ (за 1942 г. изготовлено 34 экз.). В январе — апреле 1943 г. М-ЗОБ испытывался </w:t>
      </w:r>
      <w:r w:rsidRPr="00DB5D0D">
        <w:rPr>
          <w:rFonts w:ascii="Times New Roman" w:hAnsi="Times New Roman"/>
          <w:color w:val="000000" w:themeColor="text1"/>
          <w:sz w:val="16"/>
          <w:szCs w:val="16"/>
        </w:rPr>
        <w:lastRenderedPageBreak/>
        <w:t>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w:t>
      </w:r>
    </w:p>
    <w:p w14:paraId="2F46EA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М-ЗОД, форсированный тип для штурмовика, мощность 1750/2000 л.с. В марте 1943 г. задание на его разработку выдали заводу № 500. Данных о проектировании и постройке нет.</w:t>
      </w:r>
    </w:p>
    <w:p w14:paraId="4E98F4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АЧ-ЗОБФ, форсированный вариант АЧ-ЗОБ с впрыском бензина по</w:t>
      </w:r>
      <w:r w:rsidRPr="00DB5D0D">
        <w:rPr>
          <w:rFonts w:ascii="Times New Roman" w:hAnsi="Times New Roman"/>
          <w:color w:val="000000" w:themeColor="text1"/>
          <w:sz w:val="16"/>
          <w:szCs w:val="16"/>
        </w:rPr>
        <w:softHyphen/>
        <w:t>сле турбонагнетателей. Проектировался с 1943 г. Испытания опыт</w:t>
      </w:r>
      <w:r w:rsidRPr="00DB5D0D">
        <w:rPr>
          <w:rFonts w:ascii="Times New Roman" w:hAnsi="Times New Roman"/>
          <w:color w:val="000000" w:themeColor="text1"/>
          <w:sz w:val="16"/>
          <w:szCs w:val="16"/>
        </w:rPr>
        <w:softHyphen/>
        <w:t>ных образцов проходили с весны 1944 г. С августа того же года два АЧ-ЗОБФ испытывались на опытном бомбардировщике Ил-6,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DB5D0D">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w:t>
      </w:r>
    </w:p>
    <w:p w14:paraId="5CF73D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АЧ-ЗОБ с мотокомпрессорным воздушно-реактивным двигателем. Про</w:t>
      </w:r>
      <w:r w:rsidRPr="00DB5D0D">
        <w:rPr>
          <w:rFonts w:ascii="Times New Roman" w:hAnsi="Times New Roman"/>
          <w:color w:val="000000" w:themeColor="text1"/>
          <w:sz w:val="16"/>
          <w:szCs w:val="16"/>
        </w:rPr>
        <w:softHyphen/>
        <w:t>ектировался под руководством Толстова в ЦИАМ с начала 1944 г.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DB5D0D">
        <w:rPr>
          <w:rFonts w:ascii="Times New Roman" w:hAnsi="Times New Roman"/>
          <w:color w:val="000000" w:themeColor="text1"/>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DB5D0D">
        <w:rPr>
          <w:rFonts w:ascii="Times New Roman" w:hAnsi="Times New Roman"/>
          <w:color w:val="000000" w:themeColor="text1"/>
          <w:sz w:val="16"/>
          <w:szCs w:val="16"/>
        </w:rPr>
        <w:softHyphen/>
        <w:t>ченном ВРДК 4500 э.л.с.</w:t>
      </w:r>
    </w:p>
    <w:p w14:paraId="13FD12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ТД-ЗОБ, танковый дизель на базе АЧ-ЗОБ. Работы по танковому вари</w:t>
      </w:r>
      <w:r w:rsidRPr="00DB5D0D">
        <w:rPr>
          <w:rFonts w:ascii="Times New Roman" w:hAnsi="Times New Roman"/>
          <w:color w:val="000000" w:themeColor="text1"/>
          <w:sz w:val="16"/>
          <w:szCs w:val="16"/>
        </w:rPr>
        <w:softHyphen/>
        <w:t>анту велись с 1945 г., когда проводили эксперименты по длительной эксплуатации АЧ-ЗОБ при низких оборотах. ТД-ЗОБ был спроектиро</w:t>
      </w:r>
      <w:r w:rsidRPr="00DB5D0D">
        <w:rPr>
          <w:rFonts w:ascii="Times New Roman" w:hAnsi="Times New Roman"/>
          <w:color w:val="000000" w:themeColor="text1"/>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w:t>
      </w:r>
    </w:p>
    <w:p w14:paraId="6EC950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КЧ-ЗОБ, танковый дизель, вариант ТД-ЗОБ, 1200 л.с. Опытный об</w:t>
      </w:r>
      <w:r w:rsidRPr="00DB5D0D">
        <w:rPr>
          <w:rFonts w:ascii="Times New Roman" w:hAnsi="Times New Roman"/>
          <w:color w:val="000000" w:themeColor="text1"/>
          <w:sz w:val="16"/>
          <w:szCs w:val="16"/>
        </w:rPr>
        <w:softHyphen/>
        <w:t>разец не строился.</w:t>
      </w:r>
    </w:p>
    <w:p w14:paraId="3C25CC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Дизели семейства М-30/АЧ-ЗОБ устанавливались на серийных бомбарди</w:t>
      </w:r>
      <w:r w:rsidRPr="00DB5D0D">
        <w:rPr>
          <w:rFonts w:ascii="Times New Roman" w:hAnsi="Times New Roman"/>
          <w:color w:val="000000" w:themeColor="text1"/>
          <w:sz w:val="16"/>
          <w:szCs w:val="16"/>
        </w:rPr>
        <w:softHyphen/>
        <w:t>ровщиках Ер-2 и ТБ-7 (Пе-8), опытном самолете «67» (переоборудованном Ту-2). Их применение предусматривалось также в проектах МЫ, Ил-4, Ту-8С, ПС-84 (вариант бомбардировщика) (11852).</w:t>
      </w:r>
    </w:p>
    <w:p w14:paraId="112DEE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A1D90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опытный образец М-40 в первый раз был предъявлен на госиспыта</w:t>
      </w:r>
      <w:r w:rsidRPr="00DB5D0D">
        <w:rPr>
          <w:rFonts w:ascii="Times New Roman" w:hAnsi="Times New Roman"/>
          <w:color w:val="000000" w:themeColor="text1"/>
          <w:sz w:val="16"/>
          <w:szCs w:val="16"/>
        </w:rPr>
        <w:softHyphen/>
        <w:t>ния, но неудачно — двигатель вышел из строя. В июне он проходил летные испытания на самолете БОК-15, готовившемся для кругосветного перелета М.М. Громова. Этот экземпляр М-40 имел привод наддува гермокабины. С весны 1940 г. производство М-40 осваивал Кировский завод в Ленин</w:t>
      </w:r>
      <w:r w:rsidRPr="00DB5D0D">
        <w:rPr>
          <w:rFonts w:ascii="Times New Roman" w:hAnsi="Times New Roman"/>
          <w:color w:val="000000" w:themeColor="text1"/>
          <w:sz w:val="16"/>
          <w:szCs w:val="16"/>
        </w:rPr>
        <w:softHyphen/>
        <w:t>граде. За первую половину 1941 г. он изготовил 58 экз. С весны 1941 г. М-40 устанавливали на серийные самолеты ТБ-7. Параллельная ветвь развития конструкции АН-1РТК. Создавался в ЦИАМ под руководством В.М. Яковлева с участием М.А. Кузьмина и А.Я. Носача. М-40 был ближе к исходному АН-1РТК, чем М-30, и отличался от последнего в основном конструкцией системы наддува при том же принципиальном подходе — четыре турбонагнетателя без ПЦН. Производство дизелей этого типа прекратили осенью 1941 г. Еще рань</w:t>
      </w:r>
      <w:r w:rsidRPr="00DB5D0D">
        <w:rPr>
          <w:rFonts w:ascii="Times New Roman" w:hAnsi="Times New Roman"/>
          <w:color w:val="000000" w:themeColor="text1"/>
          <w:sz w:val="16"/>
          <w:szCs w:val="16"/>
        </w:rPr>
        <w:softHyphen/>
        <w:t>ше, в августе, их сняли со всех самолетов и законсервировали. В 1942 г. М-40 испытывали на бомбардировщике Ер-2. В 1944 г. завод № 500 раз</w:t>
      </w:r>
      <w:r w:rsidRPr="00DB5D0D">
        <w:rPr>
          <w:rFonts w:ascii="Times New Roman" w:hAnsi="Times New Roman"/>
          <w:color w:val="000000" w:themeColor="text1"/>
          <w:sz w:val="16"/>
          <w:szCs w:val="16"/>
        </w:rPr>
        <w:softHyphen/>
        <w:t>бирал М-40 и использовал их узлы и агрегаты в двигателях АЧ-30Б.</w:t>
      </w:r>
    </w:p>
    <w:p w14:paraId="4B2CBD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0E7A7B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12-цилиндровый, рядный У-образный дизель, четырехтактный, водя</w:t>
      </w:r>
      <w:r w:rsidRPr="00DB5D0D">
        <w:rPr>
          <w:rFonts w:ascii="Times New Roman" w:hAnsi="Times New Roman"/>
          <w:color w:val="000000" w:themeColor="text1"/>
          <w:sz w:val="16"/>
          <w:szCs w:val="16"/>
        </w:rPr>
        <w:softHyphen/>
        <w:t>ного охлаждения;</w:t>
      </w:r>
    </w:p>
    <w:p w14:paraId="0BE76E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объем 61,04 л;</w:t>
      </w:r>
    </w:p>
    <w:p w14:paraId="488C7E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Дизель М-40Ф (чертеж)</w:t>
      </w:r>
    </w:p>
    <w:p w14:paraId="50E802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Тяжелый бомбардировщик ТБ-7 (Пе-8) с дизелями М-40, 1941 г.</w:t>
      </w:r>
    </w:p>
    <w:p w14:paraId="6FAE94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17961E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степень сжатия 13,5;</w:t>
      </w:r>
    </w:p>
    <w:p w14:paraId="752497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17E0D7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М-40, серийный вариант, 1000/1250 л.с., вес 1150 кг.</w:t>
      </w:r>
    </w:p>
    <w:p w14:paraId="27C30F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М-40Ф, опытный образец, форсированный по оборотам, 1250/1500 л.с. Проходил госиспытания летом 1940 г., в ноябре того же года был ре</w:t>
      </w:r>
      <w:r w:rsidRPr="00DB5D0D">
        <w:rPr>
          <w:rFonts w:ascii="Times New Roman" w:hAnsi="Times New Roman"/>
          <w:color w:val="000000" w:themeColor="text1"/>
          <w:sz w:val="16"/>
          <w:szCs w:val="16"/>
        </w:rPr>
        <w:softHyphen/>
        <w:t>комендован в серию и выпущен небольшой партией в 1941 г. Летом 1941 г. испытывался на Ер-2.</w:t>
      </w:r>
    </w:p>
    <w:p w14:paraId="014837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Дизели М-40 устанавливались на серийных самолетах ТБ-7 (Пе-8), опытных БОК-15, Ер-2 (11852).</w:t>
      </w:r>
    </w:p>
    <w:p w14:paraId="4A7F0E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Также был разработан М-41 - Проект дальнейшего развития М-40, выполненный в конструктор</w:t>
      </w:r>
      <w:r w:rsidRPr="00DB5D0D">
        <w:rPr>
          <w:rFonts w:ascii="Times New Roman" w:hAnsi="Times New Roman"/>
          <w:color w:val="000000" w:themeColor="text1"/>
          <w:sz w:val="16"/>
          <w:szCs w:val="16"/>
        </w:rPr>
        <w:softHyphen/>
        <w:t>ском бюро Кировского завода в Ленинграде под руководством В.М. Яков</w:t>
      </w:r>
      <w:r w:rsidRPr="00DB5D0D">
        <w:rPr>
          <w:rFonts w:ascii="Times New Roman" w:hAnsi="Times New Roman"/>
          <w:color w:val="000000" w:themeColor="text1"/>
          <w:sz w:val="16"/>
          <w:szCs w:val="16"/>
        </w:rPr>
        <w:softHyphen/>
        <w:t>лева.</w:t>
      </w:r>
    </w:p>
    <w:p w14:paraId="075434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446955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1400/1750 л.с.;</w:t>
      </w:r>
    </w:p>
    <w:p w14:paraId="18051C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вес 1200 кг. (11852).</w:t>
      </w:r>
    </w:p>
    <w:p w14:paraId="172CF9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37E81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ЦИАМ были предъявлены и поставлены на гос. испытания два дизель-мотора М-40, но из-за задирания цилиндров испытания были прерваны (1296,231).</w:t>
      </w:r>
    </w:p>
    <w:p w14:paraId="1739EBC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161B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оба типа двигателей М-30 (главный конструктор Тулупов) и М-40 (главный конструктор В.М.Яковлев) запустили в серийное производство. Изготовление М-40 поручили Кировскому заводу в Ленинграде, М-30 - авиамоторному заводу №82 в Москве. Конструктивно они были схожи, близки по своим параметрам и характеристикам, достаточно сказать, что без переделок могли устанавливаться на одни моторные рамы. Отличались в основном тем, что М-30 комплектовался двумя, а М-40 - четырьмя турбокомпрессорами.</w:t>
      </w:r>
    </w:p>
    <w:p w14:paraId="7F1907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Дизельный двигатель М-40 имел сухой вес 1200 кг, длину 2305 мм, ширину 1076 мм, высоту 1238 мм. Работал на Бакинском тракторном керосине, максимальная развиваемая мощность составляла 1500 л.с., номинальная мощность - 1250 л.с., расчетная высота - 6000 м. Форсированный вариант М-40Ф ТК-Э88 в октябре 1940 г. прошел 100-часовые стендовые испытания.</w:t>
      </w:r>
    </w:p>
    <w:p w14:paraId="7E3D1A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Между тем, в итоговых документах по результатам испытаний указывалось, что поршневая группа М-40Ф полностью недоведе- на и испытания он прошел неудовлетворительно. Судя по всему, дизель требовал масштабных усовершенствований и длительных доводочных работ. Однако, ощущение близкого успеха, кружило голову, как его создателям, так и заказчикам. Поэтому уже в октябре 1940 г. М-40 решили установить на сверхдальний самолет БОК-15.</w:t>
      </w:r>
    </w:p>
    <w:p w14:paraId="093D39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Дизель М-30, согласно заявленным в 1940 г. характеристикам, развивал взлетную мощность 1500 л.е., его номинальная мощность составляла 1250 л.с. (форсированный М-30Ф соответственно - 1700 л.с. и 1300 л.с.). Габаритные параметры этого двигателя соответствовали параметрам М-40, сухой вес составлял 1200 кг. Расход топлива определялся в 170-175 г/л.с./час.</w:t>
      </w:r>
    </w:p>
    <w:p w14:paraId="0CDA79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М-30 в 1940 г. удовлетворительно прошел государственные испытания и в декабре 1940 г. был запушен в производство на заводе №82. Он так же как М-40 готовился к установке на самолет БОК-15. Упоминаемый уже второй раз этот стратосферный самолет не является героем нашего рассказа. Однако именно этот аппарат, который должен был преодолевать огромные расстояния на расчетной высоте полета 12 км, стал первым, оборудованным новыми дизельными двигателями. А двигатели эти, по причине несовершенства топливной аппаратуры, устойчиво работали лишь на малой высоте полета. Такая вот получалась неувязка... (12025).</w:t>
      </w:r>
    </w:p>
    <w:p w14:paraId="3466250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DA689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Начальник ВВС генерал-лейтенант авиации Смушкевич и Член военсовета ВВС дивизионный комиссар Агальцов утвердили Предложения совещания инженеров действующей армии на Финляндском фронте по устранению дефектов, выявленных на самолетах, моторах, вооружении и специальном оборудовании на основе опыта эксплуатации матчасти в боевых условиях (847).</w:t>
      </w:r>
    </w:p>
    <w:p w14:paraId="09007F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1A7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Начальник ВВС генерал-лейтенант авиации Смушкевич и Член военсовета ВВС дивизионный комиссар Агальцов утвердили Предложения совещания инженеров действующей армии на Финляндском фронте по устранению дефектов, выявленных на самолетах, моторах, вооружении и специальном оборудовании на основе опыта эксплуатации матчасти в боевых условиях.</w:t>
      </w:r>
    </w:p>
    <w:p w14:paraId="5A80D4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Должны быть максимально автоматизированы:</w:t>
      </w:r>
    </w:p>
    <w:p w14:paraId="1B5697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регулировка охлаждения мотора</w:t>
      </w:r>
    </w:p>
    <w:p w14:paraId="63F2AB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регулировка иемпаратуры масла</w:t>
      </w:r>
    </w:p>
    <w:p w14:paraId="6FA888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регулировка опережения зажигания</w:t>
      </w:r>
    </w:p>
    <w:p w14:paraId="2F9C11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w:t>
      </w:r>
    </w:p>
    <w:p w14:paraId="115643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режима работы мотора</w:t>
      </w:r>
    </w:p>
    <w:p w14:paraId="357477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переключения скорстей нагнетателя</w:t>
      </w:r>
    </w:p>
    <w:p w14:paraId="50061F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высотного регулирования состава смеси</w:t>
      </w:r>
    </w:p>
    <w:p w14:paraId="15E6FB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ручки загромождают кабину и отвлекают л от ведения в/боя</w:t>
      </w:r>
    </w:p>
    <w:p w14:paraId="595BB9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Существующие автоматы работают ненадежно</w:t>
      </w:r>
    </w:p>
    <w:p w14:paraId="2EEBD7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Необходима стандартная кабина (для пересаживания с одного с-та на другой и выработки автоматизма и навыков</w:t>
      </w:r>
    </w:p>
    <w:p w14:paraId="28C1EC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1-я скорост нагнетателя на И-16 от себя, на И-153 на себя, включение второй скорости - соответственно обратно. Затяжеление винта вращением штурвала на И-16 по часовой, на И-153 против часовой</w:t>
      </w:r>
    </w:p>
    <w:p w14:paraId="328D35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М-62 разрушается втулка главного шатуна (по этой причине выходит из строя 13% моторов)</w:t>
      </w:r>
    </w:p>
    <w:p w14:paraId="6E3C56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Короткий срок службы моторов</w:t>
      </w:r>
    </w:p>
    <w:p w14:paraId="1BD173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фронте исправляем и устраняем дефекты</w:t>
      </w:r>
    </w:p>
    <w:p w14:paraId="4D4627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истребителей слобое (4хШКАС). Необходимо иметь наряду с пулеметом калибра 7,62 крупнокалиберное вооружение - 12,7, 20, 23мм</w:t>
      </w:r>
    </w:p>
    <w:p w14:paraId="177523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Мала живучесть ствола ШКАС - 2000-2500 выстрелов (461).</w:t>
      </w:r>
    </w:p>
    <w:p w14:paraId="03CCBAA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2151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на Ступинском комбинате состоялся пуск линии горячей прокатки алюминиевых листов, оснащенной новейшим американским оборудованием, состоялся Под винтовое производство был выделен лишь один корпус, большего Визирян, при всем своем желании, дать не мог. Винтовое производство возглавил Еремеев А.И. - он же одновременно являлся Главным инженером авиакомбината. Первым Главным технологом был назначен Н.П. Фирюбин, выпускник Московского авиационного института, который впоследствии стал известным советским дипломатом, заместителем Министра иностранных дел СССР (11412).</w:t>
      </w:r>
    </w:p>
    <w:p w14:paraId="7944CFA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FDFD8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то, что в мае 1940 года на собрании актива работников ЦАГИ большинство присутствовавших высказалось против назначения И.Ф. Пет</w:t>
      </w:r>
      <w:r w:rsidRPr="00DB5D0D">
        <w:rPr>
          <w:rFonts w:ascii="Times New Roman" w:hAnsi="Times New Roman"/>
          <w:color w:val="000000" w:themeColor="text1"/>
          <w:sz w:val="16"/>
          <w:szCs w:val="16"/>
        </w:rPr>
        <w:softHyphen/>
        <w:t>рова начальником института, его кандидатуру поддержал ЦК ВКП(б), и с 10 июня 1940 года он занял эту должность (Петров И.Ф. Считаю своим долгом рассказать // Изобретатель и рационализатор. 1986. № 3. С. 32; № 4. С. 28. В некоторых источниках ошибочно указывается, что И.Ф. Петров стал началь</w:t>
      </w:r>
      <w:r w:rsidRPr="00DB5D0D">
        <w:rPr>
          <w:rFonts w:ascii="Times New Roman" w:hAnsi="Times New Roman"/>
          <w:color w:val="000000" w:themeColor="text1"/>
          <w:sz w:val="16"/>
          <w:szCs w:val="16"/>
        </w:rPr>
        <w:softHyphen/>
        <w:t>ником ЦАГИ в 1939 году. (См., например: Командный и начальствующий состав Красной армии в 1940 - 1941 гг.: Структура и кадры центрального аппарата НКО СССР, военных округов и об</w:t>
      </w:r>
      <w:r w:rsidRPr="00DB5D0D">
        <w:rPr>
          <w:rFonts w:ascii="Times New Roman" w:hAnsi="Times New Roman"/>
          <w:color w:val="000000" w:themeColor="text1"/>
          <w:sz w:val="16"/>
          <w:szCs w:val="16"/>
        </w:rPr>
        <w:softHyphen/>
        <w:t>щевойсковых армий. Документы и материалы. С. 181 -182).</w:t>
      </w:r>
    </w:p>
    <w:p w14:paraId="29927F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А.С. Яковлева, И.Ф. Петров был твердым и авторитетным ру</w:t>
      </w:r>
      <w:r w:rsidRPr="00DB5D0D">
        <w:rPr>
          <w:rFonts w:ascii="Times New Roman" w:hAnsi="Times New Roman"/>
          <w:color w:val="000000" w:themeColor="text1"/>
          <w:sz w:val="16"/>
          <w:szCs w:val="16"/>
        </w:rPr>
        <w:softHyphen/>
        <w:t>ководителем, «человек передовой и энергичный, с огромным опытом прак</w:t>
      </w:r>
      <w:r w:rsidRPr="00DB5D0D">
        <w:rPr>
          <w:rFonts w:ascii="Times New Roman" w:hAnsi="Times New Roman"/>
          <w:color w:val="000000" w:themeColor="text1"/>
          <w:sz w:val="16"/>
          <w:szCs w:val="16"/>
        </w:rPr>
        <w:softHyphen/>
        <w:t>тической работы в авиации и серьезными инженерными знаниями» (Яковлев А.С. Рассказы авиаконструктора. С. 117.). Пос</w:t>
      </w:r>
      <w:r w:rsidRPr="00DB5D0D">
        <w:rPr>
          <w:rFonts w:ascii="Times New Roman" w:hAnsi="Times New Roman"/>
          <w:color w:val="000000" w:themeColor="text1"/>
          <w:sz w:val="16"/>
          <w:szCs w:val="16"/>
        </w:rPr>
        <w:softHyphen/>
        <w:t>тановление Политбюро ЦК ВКП(б) №П 32 / 58 от 6 мая 1941 года утвердило совместное постановление СНК СССР и ЦК ВКП(б) «О начальнике ЦАГИ», согласно которому И.Ф. Петров освобождался от исполнения обязанностей начальника ЦАГИ, заняв должность начальника НИИ ВВС (вместо снятого и репрессированного А.И. Филина) (РГАСПИ. Ф. 17. Оп. 3. Д. 1039. Л. 14.). А начало Великой Отечественной вой</w:t>
      </w:r>
      <w:r w:rsidRPr="00DB5D0D">
        <w:rPr>
          <w:rFonts w:ascii="Times New Roman" w:hAnsi="Times New Roman"/>
          <w:color w:val="000000" w:themeColor="text1"/>
          <w:sz w:val="16"/>
          <w:szCs w:val="16"/>
        </w:rPr>
        <w:softHyphen/>
        <w:t>ны он встретил в должности заместителя начальника Главного Управления ВВС Красной армии (Командный и начальствующий состав Красной армии в 1940 - 1941 гг.: Структура и кадры цент</w:t>
      </w:r>
      <w:r w:rsidRPr="00DB5D0D">
        <w:rPr>
          <w:rFonts w:ascii="Times New Roman" w:hAnsi="Times New Roman"/>
          <w:color w:val="000000" w:themeColor="text1"/>
          <w:sz w:val="16"/>
          <w:szCs w:val="16"/>
        </w:rPr>
        <w:softHyphen/>
        <w:t>рального аппарата НКО СССР, военных округов и общевойсковых армий. С. 80-81,181-182.) (11710,266).</w:t>
      </w:r>
    </w:p>
    <w:p w14:paraId="742985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7F68735"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 мае 1940 в контрольном листе № учета выполнения постановления правительства № 72сс от 11 февраля 1940 о производстве подвесных бензобаков для УВВС РККА НКАПом в 1939-40 гг. была сделана запись:</w:t>
      </w:r>
    </w:p>
    <w:p w14:paraId="47ADF39D"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НКПищепрому</w:t>
      </w:r>
    </w:p>
    <w:p w14:paraId="7767B582"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Организация производства бензобаков</w:t>
      </w:r>
    </w:p>
    <w:p w14:paraId="60AB3682"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Срок сдачи</w:t>
      </w:r>
    </w:p>
    <w:p w14:paraId="235703DA"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 Москве Ш декада февраля - 50 шт., 1 декада марта - 450 шт., П декада марта - 300 шт., Ш декада марта - 900 шт., 1 декада апреля - 800 шт., П декада апреля - 800 шт., Ш декада апреля - 900 шт.</w:t>
      </w:r>
    </w:p>
    <w:p w14:paraId="5C3B87E1"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Ленинград, фабрика Комсомолец - 1 декада марта - 50 шт., П декада марта - 300 шт., Ш декалда марта 500 шт., 1 декада апреля 750 шт., П декада апреля  900 шт., Ш декада апреля - 900 шт.</w:t>
      </w:r>
    </w:p>
    <w:p w14:paraId="72D899BA"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ЕКАП должен дать для литья матрицы 6 компл. К 17 и 25 февраля - болванки для сушки баков - 40 компл. К 15-25 февраля, механическую арматуру к бакам в феврале 300 компл., в марте 3000 компл. И в апреле 5000 компл.</w:t>
      </w:r>
    </w:p>
    <w:p w14:paraId="7A8E7059"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НКАП дал всего 2 болванки, одна из которых негодная. 1 комплекст в марте получен из ВИАМ. Арматуру дают всего 300 компл.</w:t>
      </w:r>
    </w:p>
    <w:p w14:paraId="4579093B"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Т. Боганов (ВО НКОМ) сообщил, что о невыполнении Пост. КО № 43 Главхиммашу и ему лично не известно... (10106).</w:t>
      </w:r>
    </w:p>
    <w:p w14:paraId="4F6402DC"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p>
    <w:p w14:paraId="4ACE97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прекратили работу по ПСН и ПСН-2 (проектировал Н.В.Никитин) - деревянному на поплавках для подвески под ТБ-3 (АНТ-6) и ОКБ-21 - закрыли (561,9).</w:t>
      </w:r>
    </w:p>
    <w:p w14:paraId="7292157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94E5D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мая 1940 года планер ПСН-2 выполнял полеты, а затем все работы по этой теме были закрыты (10734).</w:t>
      </w:r>
    </w:p>
    <w:p w14:paraId="7E53DD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27244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вышел Отчет об испытании пулемета "БС" № ВТ-19, изготовленного заводом № 2 им. Киркиж в апреле 1940 года</w:t>
      </w:r>
    </w:p>
    <w:p w14:paraId="24AB0F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начато 11 апреля 1940 года</w:t>
      </w:r>
    </w:p>
    <w:p w14:paraId="517236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окончено 13 апреля 1940 года</w:t>
      </w:r>
    </w:p>
    <w:p w14:paraId="259038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с целью проверки поведения коробки, обработанной специальным методом термообработки (7513).</w:t>
      </w:r>
    </w:p>
    <w:p w14:paraId="28C65F0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3827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А.А.Сеньков, будучи Нач. КБ ЦАГИ, руководил комиссией, которая оценивала целесообразность продолжения работ по ряду опытных и экспериментальных самолетов в связи с приближающейся войной (5488, 20).</w:t>
      </w:r>
    </w:p>
    <w:p w14:paraId="4E50F7F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3450E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ЦК образовал партийно-правительственную комиссию в связи с передачей дел К.Е.Ворошиловым С.К.Тимошенко (66,212). Комиссия сделала вывод, что "Материальная часть ВВС КА в своем развитии отстает по скоростям, мощностям, вооружению и прочности самолетов от авиации передовых армий других стран" (66,213).</w:t>
      </w:r>
    </w:p>
    <w:p w14:paraId="5B5A784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C548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Я.В.Смушкевич и Ф.А.Агальцов утвердили Предложения совещания инженеров действующей армии на Финляндском фронте по устранению дефектов, выявленных на самолетах, моторах, вооружении и специальном оборудовании на основе опыта эксплуатации матчасти в боевых условиях (847).</w:t>
      </w:r>
    </w:p>
    <w:p w14:paraId="0375C1F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9F2B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АС.Я. и секретарь МК ВКП(б) Н.П.Фирюбин пригласили И.Ф.Петрова поехать в ЦАГИ и на собрании актива предложили его как кандидата на пост начальника. Актив отказался. А.С.Я. - настаивал. Месяц проводил разъяснительную работу и новый актив - назначил 10 июня (262,41).</w:t>
      </w:r>
    </w:p>
    <w:p w14:paraId="1043510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88B2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1940-го был подготовлен «Акте о приеме наркомата обороны Союза ССР т. Тимошенко С.К. от т. Ворошилова К.Е. », в котором говорилось:</w:t>
      </w:r>
    </w:p>
    <w:p w14:paraId="743EE3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Наркомат обороны (Управление ВВС) не проявил достаточной инициативы и настойчивости по внедрению более современных типов самолетов.</w:t>
      </w:r>
    </w:p>
    <w:p w14:paraId="2BAFED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Управление Военно-Воздушных Сил не определяло направления развития военной авиации...» (9649).</w:t>
      </w:r>
    </w:p>
    <w:p w14:paraId="173C4A2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EF67084" w14:textId="77777777" w:rsidR="00A25AD1" w:rsidRPr="00DB5D0D" w:rsidRDefault="00A25AD1"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В мае 1940 г. Совет Народных Комиссаров (СНК) принял постановление о структуре аппарата НКАП, согласно которому при новом наркомате формировалось несколько главков: Самолетное Главное управление (21 марта 1941 г. разделенное на I Главное управление истребительной и учебно-тренировочной авиации и X Главное штурмовой, бомбардировочной и транспортной авиации), III Главное моторное управление, VII Главное управление опытного самолетостроения, IV Главное агрегатное управление, V Главное управление приборостроения и др. К 1942 году число главков увеличилось до 15 в процессе усложнения структуры НКАП. В целях поддержки моторостроения 11 июня 1939 г. Комитет Обороны при СНК направил в НКАП постановление, во исполнение которого развернулось строительство 7 новых и капитальное обновление такого же числа уже функционирующих моторных заводов (9716).</w:t>
      </w:r>
    </w:p>
    <w:p w14:paraId="4F4785CB" w14:textId="77777777" w:rsidR="00A25AD1" w:rsidRPr="00DB5D0D" w:rsidRDefault="00A25AD1" w:rsidP="00DB5D0D">
      <w:pPr>
        <w:pStyle w:val="a8"/>
        <w:widowControl/>
        <w:jc w:val="both"/>
        <w:rPr>
          <w:rFonts w:ascii="Times New Roman" w:hAnsi="Times New Roman" w:cs="Times New Roman"/>
          <w:color w:val="000000" w:themeColor="text1"/>
        </w:rPr>
      </w:pPr>
    </w:p>
    <w:p w14:paraId="05E490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согласно постановления Комитета Обороны, всю военную авиацию снова решили красить сверху в зеленый, а снизу в голубой защитные цвета (6592).</w:t>
      </w:r>
    </w:p>
    <w:p w14:paraId="2C91944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F143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состоялись сборы химизированных звеньев авиачастей ЗабВО с участием самолетов, приспособленных для использования имеющегося химоружия (самолеты - ДБ-3, И-15 бис, И-153, СБ, Р-5, Р-зет; приборы химоружия - ВАП-500, ВАП-6, ВАП-4, АБК-1). Место сбора - аэродром в районе разъезда № 74 (Ясная), где была оборудована зарядная площадка (переливать полученный в 33-й химизированной танковой бригаде иприт в бочках пришлось в машины АРС-6 вручную из-за большого осадка серы). На полигоне разъезда 111 км было оборудовано 7 различных мишеней. Всего было израсходовано 2,5 тонны иприта. Вывод организаторов был оптимистичным: "сборы показали мощь химического оружия ВВС" (9065).</w:t>
      </w:r>
    </w:p>
    <w:p w14:paraId="2DAAECB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47FA6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в аэропорту Минск был введен в строй новый аэровокзал для обслуживания внутренних и международных рейсов (7485, 21).</w:t>
      </w:r>
    </w:p>
    <w:p w14:paraId="115D232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D1B10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мае 1940 года в Германию прибыла комиссия "Аэрофлота" во главе с начальником Главного управления гражданской авиации В. С. Молоковым. Осмотрев крупнейшие авиазаводы Германии, она составила подробное описание расположения авиазаводов, технологического цикла, различных типов самолётов, методов сборки и ремонта их. В своём отчёте комиссия представила также описание организации противовоздушной обороны, системы светомаскировки и газоубежищ, деятельности военно-воздушной академии и организации в ней исследований по созданию новейших приборов и технологий (9492).</w:t>
      </w:r>
    </w:p>
    <w:p w14:paraId="526221B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B404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«в целях установления эпизодической связи между Хабаровском и Петропавловском на Камчатке...» ПС-30 передали Дальневосточному управлению (ДВУ) ГВФ. Самолет привел в Хабаровск экипаж, подготовленный в НИИ ГВФ. Он состоял из командира А.Н. Овечки-на, второго пилота Н.М. Деркунско-го, механика М.В. Туликова и радиста А. Тульвинского. Машина несла бортовое обозначение «Л-2940». В ДВУ самолет сначала хотели выпустить на линию до Александровска на Сахалине, но затем вернулись к первоначальной идее максимально использовать радиус действия лодки в рейсах на Камчатку. ПС-30 вошел в состав 13-го транспортного отряда, составленного из гидропланов разных типов (8943).</w:t>
      </w:r>
    </w:p>
    <w:p w14:paraId="2A1E9ED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C051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на площадке расположенной в 3-х км от Уральского алюминиевого завода были начаты первые строительные работы по заводу № 268.</w:t>
      </w:r>
    </w:p>
    <w:p w14:paraId="341212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1941 года ГКО своим постановлением обязал НКАП обеспечить в кратчайший срок окончание строительства завода № 268.</w:t>
      </w:r>
    </w:p>
    <w:p w14:paraId="345443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1941 года состоялось решение ГКО, по которому строящийся завод № 268 должен был быть приспособлен для размешения в его корпусах литейного и прокатного цехов, эвакуированного из Ступино Комбината № 150.</w:t>
      </w:r>
    </w:p>
    <w:p w14:paraId="1FB13C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февраля 1942 года все строительные работы велись, исходя из необходимости скорейшего размещения эвакуированного оборудования Комбината № 150 и ввода его в эксплуатацию.</w:t>
      </w:r>
    </w:p>
    <w:p w14:paraId="6D5A0D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февраля 1942 года состоялось решение ГКО за № 1294 о реэвакуации Комбината № 150 в Ступино.</w:t>
      </w:r>
    </w:p>
    <w:p w14:paraId="32C893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 год характеризовался массовым разворотом работ и началом сдачи в эксплуатацию.</w:t>
      </w:r>
    </w:p>
    <w:p w14:paraId="53E1BF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 1943 характеризовался прежде всего работами по сдаче в эксплуатацию основных производственных зданий и сооружений, значительным увеличением монтажных работ на базе поступающего импортного оборудования и первой выдачей готовой продукции.</w:t>
      </w:r>
    </w:p>
    <w:p w14:paraId="166F13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января 1944 года была закончена первая очередь строительства и монтажа и с пуском ее завод № 268 приказом НКАП от 4 января 1944 года № 5с был выделен в самостоятельную хозяйственную единицу, вступив в строй действующих предприятий НКАП.</w:t>
      </w:r>
    </w:p>
    <w:p w14:paraId="3E3DE2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1944 году выпускались лопасти, профили и прутки.</w:t>
      </w:r>
    </w:p>
    <w:p w14:paraId="672C2E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24F45F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4E033B1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FF57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дела сразу всех используемых инженеров- заключенных были рассмотрены на закрытом заседании Военной коллегии Верховного суда. Там их даже; не читали, а просто "раздали" сроки по списку, представленному НКВД- 10, 15, а то и 20 лет за "контрреволюционную деятельность". Подсудимые при этом не присутствовали, никаких адвокатов тоже не предусма~ри- валось. Многократные письменные заявления о невиновности (так, Пет- ляков отправил их пять) проигнорировали. Осужденным просто давали расписаться под приговором, а кто отказывался - попадал в карцер, пока не передумает. К этому моменту многие уже "отсидели" по году-два, а некоторые и больше (11988).</w:t>
      </w:r>
    </w:p>
    <w:p w14:paraId="1AC0F1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700A1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испытания на полигоне НИМАП ВМФ прове</w:t>
      </w:r>
      <w:r w:rsidRPr="00DB5D0D">
        <w:rPr>
          <w:rFonts w:ascii="Times New Roman" w:hAnsi="Times New Roman"/>
          <w:color w:val="000000" w:themeColor="text1"/>
          <w:sz w:val="16"/>
          <w:szCs w:val="16"/>
        </w:rPr>
        <w:softHyphen/>
        <w:t>ли только для исследования кинетических возможностей боеприпаса РБС-82 (поскольку взрыватели АВ-96 в ЦКБ-22 еше не были готовы). В ходе их удалось выполнить программу наземного и воздушного отстре</w:t>
      </w:r>
      <w:r w:rsidRPr="00DB5D0D">
        <w:rPr>
          <w:rFonts w:ascii="Times New Roman" w:hAnsi="Times New Roman"/>
          <w:color w:val="000000" w:themeColor="text1"/>
          <w:sz w:val="16"/>
          <w:szCs w:val="16"/>
        </w:rPr>
        <w:softHyphen/>
        <w:t>ла РБС-82 с истребителя И-16 на пикировании по бронеплитам толщи</w:t>
      </w:r>
      <w:r w:rsidRPr="00DB5D0D">
        <w:rPr>
          <w:rFonts w:ascii="Times New Roman" w:hAnsi="Times New Roman"/>
          <w:color w:val="000000" w:themeColor="text1"/>
          <w:sz w:val="16"/>
          <w:szCs w:val="16"/>
        </w:rPr>
        <w:softHyphen/>
        <w:t>ной 40 и 50 мм, выложенным на площади 400 м</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 xml:space="preserve"> в районе 17-го километра полигона. Из 70 боеприпасов, поданных на испытания, 30 штук были инертными.</w:t>
      </w:r>
    </w:p>
    <w:p w14:paraId="6E4039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Полный боезапас самолета — восемь ракетных снарядов. Система воспламенения РБС-82 была организована от одного пиропатрона в пи-росвече, установленной в переднем центрирующем утолщении боопри-паса. Для этого ракетные орудия пришлось переоборудовать с пиропи-столетов на электроконтакты. Выбор режима огня был организован с пульта ЭСБР-Зп в кабине пилота. Боевая кнопка установлена на пучке управления самолетом.</w:t>
      </w:r>
    </w:p>
    <w:p w14:paraId="30F3CE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земле испытатели отстреляли 14 снарядов. Из них девять выстре</w:t>
      </w:r>
      <w:r w:rsidRPr="00DB5D0D">
        <w:rPr>
          <w:rFonts w:ascii="Times New Roman" w:hAnsi="Times New Roman"/>
          <w:color w:val="000000" w:themeColor="text1"/>
          <w:sz w:val="16"/>
          <w:szCs w:val="16"/>
        </w:rPr>
        <w:softHyphen/>
        <w:t>лов были одиночными, а далее последовал залп двумя и тремя сшфяда-ми. В первом же вылете летчик выполнил в зоне программу пи.итажа с полным боекомплектом и в пробных целях выстрелил двумя снаряда-ми. Огонь по бронеплитам вели на пикировании под углами 65-70' с дистанции около 600 м при скорости самолета 450 км/ч. Сколько из 48 выпущенных боеприпасов попали в цель, в документе не говорится. Работу ракетной части снарядов морские летчики и наземный техни</w:t>
      </w:r>
      <w:r w:rsidRPr="00DB5D0D">
        <w:rPr>
          <w:rFonts w:ascii="Times New Roman" w:hAnsi="Times New Roman"/>
          <w:color w:val="000000" w:themeColor="text1"/>
          <w:sz w:val="16"/>
          <w:szCs w:val="16"/>
        </w:rPr>
        <w:softHyphen/>
        <w:t>ческий персонал оценили довольно высоко. Струя продуктов горения РЗ при выстреле обшивку самолета не разрушала, хотя в нескольких случаях переднюю кромку крыла и пробивали мелкие гвозди, которыми кре</w:t>
      </w:r>
      <w:r w:rsidRPr="00DB5D0D">
        <w:rPr>
          <w:rFonts w:ascii="Times New Roman" w:hAnsi="Times New Roman"/>
          <w:color w:val="000000" w:themeColor="text1"/>
          <w:sz w:val="16"/>
          <w:szCs w:val="16"/>
        </w:rPr>
        <w:softHyphen/>
        <w:t>пили фанерные диски диафрагм пороховых воспламенителей снарядов. Отдельно отмечено, что фактов догорания РЗ, прерывистого или затяжного горения, а также случаев выброса кусков пороха зафиксировано не было.</w:t>
      </w:r>
    </w:p>
    <w:p w14:paraId="1455DD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попадании в бронсплиту толщиной 50 мм БЧ снаряда пробила ее навылет полным калибром. Судя по тому, сколь сухо испытатели сообщили об этом любопытном факте, в остальных случаях летчику, по-видимому, просто не удалось попасть в контур корабля, выложенный бронеплитами. В заключении отчета военные констатировали: «снаряд по устойчивости полета и надежности действия РЗ испытания выдержал».</w:t>
      </w:r>
    </w:p>
    <w:p w14:paraId="3D1865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хотя первые ТТТ на РБС-82 требовати, чтобы он пробивал 30-35 мм бронб, конструкторы допустили просчет, благодаря которому проникающая способность БЧ боеприпаса только улучшилась. Зато специали</w:t>
      </w:r>
      <w:r w:rsidRPr="00DB5D0D">
        <w:rPr>
          <w:rFonts w:ascii="Times New Roman" w:hAnsi="Times New Roman"/>
          <w:color w:val="000000" w:themeColor="text1"/>
          <w:sz w:val="16"/>
          <w:szCs w:val="16"/>
        </w:rPr>
        <w:softHyphen/>
        <w:t>сты ЛФ НИИ-24 могли рапортовать о том, что ракетный снаряд облада</w:t>
      </w:r>
      <w:r w:rsidRPr="00DB5D0D">
        <w:rPr>
          <w:rFonts w:ascii="Times New Roman" w:hAnsi="Times New Roman"/>
          <w:color w:val="000000" w:themeColor="text1"/>
          <w:sz w:val="16"/>
          <w:szCs w:val="16"/>
        </w:rPr>
        <w:softHyphen/>
        <w:t>ет достаточной прочностью для гарантированной победы в борьбе с бро</w:t>
      </w:r>
      <w:r w:rsidRPr="00DB5D0D">
        <w:rPr>
          <w:rFonts w:ascii="Times New Roman" w:hAnsi="Times New Roman"/>
          <w:color w:val="000000" w:themeColor="text1"/>
          <w:sz w:val="16"/>
          <w:szCs w:val="16"/>
        </w:rPr>
        <w:softHyphen/>
        <w:t>ней толщиной 40 мм. Воодушевление и заказчиков, и разработчиков бы</w:t>
      </w:r>
      <w:r w:rsidRPr="00DB5D0D">
        <w:rPr>
          <w:rFonts w:ascii="Times New Roman" w:hAnsi="Times New Roman"/>
          <w:color w:val="000000" w:themeColor="text1"/>
          <w:sz w:val="16"/>
          <w:szCs w:val="16"/>
        </w:rPr>
        <w:softHyphen/>
        <w:t>ло настолько велико, что тут же приказом по НКВМФ №00207 от 13 ав</w:t>
      </w:r>
      <w:r w:rsidRPr="00DB5D0D">
        <w:rPr>
          <w:rFonts w:ascii="Times New Roman" w:hAnsi="Times New Roman"/>
          <w:color w:val="000000" w:themeColor="text1"/>
          <w:sz w:val="16"/>
          <w:szCs w:val="16"/>
        </w:rPr>
        <w:softHyphen/>
        <w:t>густа 1940 г. РБС-82 даже без испытаний взрывателя приняли на вооружение (11402).</w:t>
      </w:r>
    </w:p>
    <w:p w14:paraId="6BF55A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EA594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1939 г. в отчете инженера Куровой, когда исследовали шашки пороха «розочка», но габаритов Н7-66/550 мм, в качестве выводов звучало, что с этим порохом и в дальнейшем работать можно.</w:t>
      </w:r>
    </w:p>
    <w:p w14:paraId="714DBF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бы там ни было, но у ставшего после ряда арестов в 1938 осо</w:t>
      </w:r>
      <w:r w:rsidRPr="00DB5D0D">
        <w:rPr>
          <w:rFonts w:ascii="Times New Roman" w:hAnsi="Times New Roman"/>
          <w:color w:val="000000" w:themeColor="text1"/>
          <w:sz w:val="16"/>
          <w:szCs w:val="16"/>
        </w:rPr>
        <w:softHyphen/>
        <w:t>бенно осторожным руководства НИИ-3 НКБ это был первый крупный «прокол». Ведь А.Г. Костиков с Б.М.Слонимером «на всякий случай» уже дали отрицательное заключение по семиканальным порохам, на основа</w:t>
      </w:r>
      <w:r w:rsidRPr="00DB5D0D">
        <w:rPr>
          <w:rFonts w:ascii="Times New Roman" w:hAnsi="Times New Roman"/>
          <w:color w:val="000000" w:themeColor="text1"/>
          <w:sz w:val="16"/>
          <w:szCs w:val="16"/>
        </w:rPr>
        <w:softHyphen/>
        <w:t>нии которого на заводе №59 НКБ прекратили производство нитроглицериноиых шашек такой конфигурации. Ну кто же знал, что в 1940 г. сна</w:t>
      </w:r>
      <w:r w:rsidRPr="00DB5D0D">
        <w:rPr>
          <w:rFonts w:ascii="Times New Roman" w:hAnsi="Times New Roman"/>
          <w:color w:val="000000" w:themeColor="text1"/>
          <w:sz w:val="16"/>
          <w:szCs w:val="16"/>
        </w:rPr>
        <w:softHyphen/>
        <w:t>ряды РБС-82 с «розочкой» успешно пройдут полигонные испытания? А теперь получилось, что двигатели принятых на вооружение боеприпа</w:t>
      </w:r>
      <w:r w:rsidRPr="00DB5D0D">
        <w:rPr>
          <w:rFonts w:ascii="Times New Roman" w:hAnsi="Times New Roman"/>
          <w:color w:val="000000" w:themeColor="text1"/>
          <w:sz w:val="16"/>
          <w:szCs w:val="16"/>
        </w:rPr>
        <w:softHyphen/>
        <w:t>сов нечем снаряжать!</w:t>
      </w:r>
    </w:p>
    <w:p w14:paraId="4EA82A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замену семиканальному РЗ длиной 550 мм в НИИ-3 НКБ предло</w:t>
      </w:r>
      <w:r w:rsidRPr="00DB5D0D">
        <w:rPr>
          <w:rFonts w:ascii="Times New Roman" w:hAnsi="Times New Roman"/>
          <w:color w:val="000000" w:themeColor="text1"/>
          <w:sz w:val="16"/>
          <w:szCs w:val="16"/>
        </w:rPr>
        <w:softHyphen/>
        <w:t>жили почти отработанный к этому времени последовательно размещен</w:t>
      </w:r>
      <w:r w:rsidRPr="00DB5D0D">
        <w:rPr>
          <w:rFonts w:ascii="Times New Roman" w:hAnsi="Times New Roman"/>
          <w:color w:val="000000" w:themeColor="text1"/>
          <w:sz w:val="16"/>
          <w:szCs w:val="16"/>
        </w:rPr>
        <w:softHyphen/>
        <w:t>ный двухшашечный РЗ из трехканального пороха длиной по 275 мм с гре</w:t>
      </w:r>
      <w:r w:rsidRPr="00DB5D0D">
        <w:rPr>
          <w:rFonts w:ascii="Times New Roman" w:hAnsi="Times New Roman"/>
          <w:color w:val="000000" w:themeColor="text1"/>
          <w:sz w:val="16"/>
          <w:szCs w:val="16"/>
        </w:rPr>
        <w:softHyphen/>
        <w:t>мя пороховыми воспламенителями (два торцевых и промежуточный). В качестве достоинства оговаривалось, что этот РЗ предназначен для вос</w:t>
      </w:r>
      <w:r w:rsidRPr="00DB5D0D">
        <w:rPr>
          <w:rFonts w:ascii="Times New Roman" w:hAnsi="Times New Roman"/>
          <w:color w:val="000000" w:themeColor="text1"/>
          <w:sz w:val="16"/>
          <w:szCs w:val="16"/>
        </w:rPr>
        <w:softHyphen/>
        <w:t>пламенения от пиропистолета ракетного орудия. Кстати, на предстоящих полигонных и войсковых испытаниях донных взрывателей АВ-96 к сна</w:t>
      </w:r>
      <w:r w:rsidRPr="00DB5D0D">
        <w:rPr>
          <w:rFonts w:ascii="Times New Roman" w:hAnsi="Times New Roman"/>
          <w:color w:val="000000" w:themeColor="text1"/>
          <w:sz w:val="16"/>
          <w:szCs w:val="16"/>
        </w:rPr>
        <w:softHyphen/>
        <w:t>рядам РБС-82 пороховики также рекомендовали использовать трехканальные РЗ. Просто они горели с меньшим давлением в камере двигателя, а в ЦКБ-22 на лабораторных стендах только что закончили отработку пиротехнического взведения взрывателей как раз в таких условиях (11402).</w:t>
      </w:r>
    </w:p>
    <w:p w14:paraId="246D68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44664BB" w14:textId="77777777" w:rsidR="004F68F0" w:rsidRPr="00DB5D0D" w:rsidRDefault="004F68F0"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 мае 1940 г. первые образцы РБС-82 в целом успешно прошли стрельбовые испытания на поли</w:t>
      </w:r>
      <w:r w:rsidRPr="00DB5D0D">
        <w:rPr>
          <w:rFonts w:ascii="Times New Roman" w:hAnsi="Times New Roman"/>
          <w:color w:val="000000" w:themeColor="text1"/>
          <w:spacing w:val="0"/>
          <w:sz w:val="16"/>
          <w:szCs w:val="16"/>
        </w:rPr>
        <w:softHyphen/>
        <w:t>гоне НИМАП ВМФ.</w:t>
      </w:r>
    </w:p>
    <w:p w14:paraId="6B9313DA" w14:textId="77777777" w:rsidR="004F68F0" w:rsidRPr="00DB5D0D" w:rsidRDefault="004F68F0"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Всего по программе испытаний израсходовали 62 снаряда, из них 14 — на земле и 48 — в воз</w:t>
      </w:r>
      <w:r w:rsidRPr="00DB5D0D">
        <w:rPr>
          <w:rFonts w:ascii="Times New Roman" w:hAnsi="Times New Roman"/>
          <w:color w:val="000000" w:themeColor="text1"/>
          <w:spacing w:val="0"/>
          <w:sz w:val="16"/>
          <w:szCs w:val="16"/>
        </w:rPr>
        <w:softHyphen/>
        <w:t>духе. Мишенной обстановкой служило броневое поле общей площадью около 400 м</w:t>
      </w:r>
      <w:r w:rsidRPr="00DB5D0D">
        <w:rPr>
          <w:rFonts w:ascii="Times New Roman" w:hAnsi="Times New Roman"/>
          <w:color w:val="000000" w:themeColor="text1"/>
          <w:spacing w:val="0"/>
          <w:sz w:val="16"/>
          <w:szCs w:val="16"/>
          <w:vertAlign w:val="superscript"/>
        </w:rPr>
        <w:t>2</w:t>
      </w:r>
      <w:r w:rsidRPr="00DB5D0D">
        <w:rPr>
          <w:rFonts w:ascii="Times New Roman" w:hAnsi="Times New Roman"/>
          <w:color w:val="000000" w:themeColor="text1"/>
          <w:spacing w:val="0"/>
          <w:sz w:val="16"/>
          <w:szCs w:val="16"/>
        </w:rPr>
        <w:t>, выложенное из плит корабельной брони толщиной 40 и 50 мм в виде контура корабля. Стрельба велась с пики</w:t>
      </w:r>
      <w:r w:rsidRPr="00DB5D0D">
        <w:rPr>
          <w:rFonts w:ascii="Times New Roman" w:hAnsi="Times New Roman"/>
          <w:color w:val="000000" w:themeColor="text1"/>
          <w:spacing w:val="0"/>
          <w:sz w:val="16"/>
          <w:szCs w:val="16"/>
        </w:rPr>
        <w:softHyphen/>
        <w:t>рования под углами 65—70° на дальности около 600 м и при скорости полета самолета 450 км/ч.</w:t>
      </w:r>
    </w:p>
    <w:p w14:paraId="046D7BB3" w14:textId="77777777" w:rsidR="004F68F0" w:rsidRPr="00DB5D0D" w:rsidRDefault="004F68F0"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Поскольку в ЦКБ-22 еще не были отработаны донные взрыватели АВ-96 к снаряду, то в ходе ис</w:t>
      </w:r>
      <w:r w:rsidRPr="00DB5D0D">
        <w:rPr>
          <w:rFonts w:ascii="Times New Roman" w:hAnsi="Times New Roman"/>
          <w:color w:val="000000" w:themeColor="text1"/>
          <w:spacing w:val="0"/>
          <w:sz w:val="16"/>
          <w:szCs w:val="16"/>
        </w:rPr>
        <w:softHyphen/>
        <w:t>пытаний оценивались кинетические возможности боеприпаса, устойчивость его полета на траекто</w:t>
      </w:r>
      <w:r w:rsidRPr="00DB5D0D">
        <w:rPr>
          <w:rFonts w:ascii="Times New Roman" w:hAnsi="Times New Roman"/>
          <w:color w:val="000000" w:themeColor="text1"/>
          <w:spacing w:val="0"/>
          <w:sz w:val="16"/>
          <w:szCs w:val="16"/>
        </w:rPr>
        <w:softHyphen/>
        <w:t>рии и надежность действия ракетного заряда.</w:t>
      </w:r>
    </w:p>
    <w:p w14:paraId="772F2BE9" w14:textId="77777777" w:rsidR="004F68F0" w:rsidRPr="00DB5D0D" w:rsidRDefault="004F68F0"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Отмечалось, что РБС-82 по устойчивости поле</w:t>
      </w:r>
      <w:r w:rsidRPr="00DB5D0D">
        <w:rPr>
          <w:rFonts w:ascii="Times New Roman" w:hAnsi="Times New Roman"/>
          <w:color w:val="000000" w:themeColor="text1"/>
          <w:spacing w:val="0"/>
          <w:sz w:val="16"/>
          <w:szCs w:val="16"/>
        </w:rPr>
        <w:softHyphen/>
        <w:t>та и надежности действия ракетной части снаряда испытания выдержал. При попадании в броню тол</w:t>
      </w:r>
      <w:r w:rsidRPr="00DB5D0D">
        <w:rPr>
          <w:rFonts w:ascii="Times New Roman" w:hAnsi="Times New Roman"/>
          <w:color w:val="000000" w:themeColor="text1"/>
          <w:spacing w:val="0"/>
          <w:sz w:val="16"/>
          <w:szCs w:val="16"/>
        </w:rPr>
        <w:softHyphen/>
        <w:t>щиной 50 мм боевая часть снаряда пробивает ее навылет полным калибром.</w:t>
      </w:r>
    </w:p>
    <w:p w14:paraId="67B47816" w14:textId="77777777" w:rsidR="004F68F0" w:rsidRPr="00DB5D0D" w:rsidRDefault="004F68F0"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Планировалось просить наркомат боеприпа</w:t>
      </w:r>
      <w:r w:rsidRPr="00DB5D0D">
        <w:rPr>
          <w:rFonts w:ascii="Times New Roman" w:hAnsi="Times New Roman"/>
          <w:color w:val="000000" w:themeColor="text1"/>
          <w:spacing w:val="0"/>
          <w:sz w:val="16"/>
          <w:szCs w:val="16"/>
        </w:rPr>
        <w:softHyphen/>
        <w:t>сов поставить на НИМАП установочную партию из 200 снарядов РБС-82 для государственных испыта</w:t>
      </w:r>
      <w:r w:rsidRPr="00DB5D0D">
        <w:rPr>
          <w:rFonts w:ascii="Times New Roman" w:hAnsi="Times New Roman"/>
          <w:color w:val="000000" w:themeColor="text1"/>
          <w:spacing w:val="0"/>
          <w:sz w:val="16"/>
          <w:szCs w:val="16"/>
        </w:rPr>
        <w:softHyphen/>
        <w:t>ний взрывателей АВ-96 в течение сентября месяца. От НИИ-3 НКБ требовалось разработать и не позже 10 октября предъявить полный комплект рабочей документации для серийного производство РБС-82 с учетом устранения всех дефектов и недостатков снаряда, выявленных в ходе испытаний. Предпо</w:t>
      </w:r>
      <w:r w:rsidRPr="00DB5D0D">
        <w:rPr>
          <w:rFonts w:ascii="Times New Roman" w:hAnsi="Times New Roman"/>
          <w:color w:val="000000" w:themeColor="text1"/>
          <w:spacing w:val="0"/>
          <w:sz w:val="16"/>
          <w:szCs w:val="16"/>
        </w:rPr>
        <w:softHyphen/>
        <w:t>лагалось, что заказ Управления авиации ВМФ на 1941 г. составит 8000 РБС-82 (17500).</w:t>
      </w:r>
    </w:p>
    <w:p w14:paraId="116FDA4F" w14:textId="77777777" w:rsidR="004F68F0" w:rsidRPr="00DB5D0D" w:rsidRDefault="004F68F0" w:rsidP="00DB5D0D">
      <w:pPr>
        <w:spacing w:after="0" w:line="240" w:lineRule="auto"/>
        <w:jc w:val="both"/>
        <w:rPr>
          <w:rFonts w:ascii="Times New Roman" w:eastAsia="Times New Roman" w:hAnsi="Times New Roman"/>
          <w:color w:val="000000" w:themeColor="text1"/>
          <w:sz w:val="16"/>
          <w:szCs w:val="16"/>
          <w:lang w:eastAsia="ru-RU"/>
        </w:rPr>
      </w:pPr>
    </w:p>
    <w:p w14:paraId="41921383"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 г. участники полёта «СССР ВР-60» А.А Фомин и А.Ф. Крикун обратились с письмом в правительство:</w:t>
      </w:r>
    </w:p>
    <w:p w14:paraId="1C03704B"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Стремясь добиться больших достижений Совет</w:t>
      </w:r>
      <w:r w:rsidRPr="00DB5D0D">
        <w:rPr>
          <w:rFonts w:ascii="Times New Roman" w:hAnsi="Times New Roman"/>
          <w:color w:val="0070C0"/>
          <w:sz w:val="16"/>
          <w:szCs w:val="16"/>
        </w:rPr>
        <w:softHyphen/>
        <w:t>ского Союза в завоевании стратосферы, просим Вас разрешить нам выполнить полёт в стратосферу на высоту 24 000 метров. Цель полёта: установление ми</w:t>
      </w:r>
      <w:r w:rsidRPr="00DB5D0D">
        <w:rPr>
          <w:rFonts w:ascii="Times New Roman" w:hAnsi="Times New Roman"/>
          <w:color w:val="0070C0"/>
          <w:sz w:val="16"/>
          <w:szCs w:val="16"/>
        </w:rPr>
        <w:softHyphen/>
        <w:t>рового рекорда высоты и выполнение ряда научный заданий Академии Наук СССР.</w:t>
      </w:r>
    </w:p>
    <w:p w14:paraId="4AF7AFB5"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Полёт, который будет проведен на имеющемся стратостате объёмом 31 000 м3 конструкции т. Году</w:t>
      </w:r>
      <w:r w:rsidRPr="00DB5D0D">
        <w:rPr>
          <w:rFonts w:ascii="Times New Roman" w:hAnsi="Times New Roman"/>
          <w:color w:val="0070C0"/>
          <w:sz w:val="16"/>
          <w:szCs w:val="16"/>
        </w:rPr>
        <w:softHyphen/>
        <w:t>нова, с использованием газа гелия, явится показом роста советской науки и техники. Старт стратостата возможен летом 1940 года на базе Отдельной воздухо</w:t>
      </w:r>
      <w:r w:rsidRPr="00DB5D0D">
        <w:rPr>
          <w:rFonts w:ascii="Times New Roman" w:hAnsi="Times New Roman"/>
          <w:color w:val="0070C0"/>
          <w:sz w:val="16"/>
          <w:szCs w:val="16"/>
        </w:rPr>
        <w:softHyphen/>
        <w:t>плавательной группы, находящейся сейчас в ведение Аэрофлота.</w:t>
      </w:r>
    </w:p>
    <w:p w14:paraId="1B1C9104"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Работая в Отдельной воздухоплавательной груп</w:t>
      </w:r>
      <w:r w:rsidRPr="00DB5D0D">
        <w:rPr>
          <w:rFonts w:ascii="Times New Roman" w:hAnsi="Times New Roman"/>
          <w:color w:val="0070C0"/>
          <w:sz w:val="16"/>
          <w:szCs w:val="16"/>
        </w:rPr>
        <w:softHyphen/>
        <w:t>пе, имея необходимый опыт лётной работы и, в част</w:t>
      </w:r>
      <w:r w:rsidRPr="00DB5D0D">
        <w:rPr>
          <w:rFonts w:ascii="Times New Roman" w:hAnsi="Times New Roman"/>
          <w:color w:val="0070C0"/>
          <w:sz w:val="16"/>
          <w:szCs w:val="16"/>
        </w:rPr>
        <w:softHyphen/>
        <w:t>ности, выполнив в 1939 году испытательно-науч</w:t>
      </w:r>
      <w:r w:rsidRPr="00DB5D0D">
        <w:rPr>
          <w:rFonts w:ascii="Times New Roman" w:hAnsi="Times New Roman"/>
          <w:color w:val="0070C0"/>
          <w:sz w:val="16"/>
          <w:szCs w:val="16"/>
        </w:rPr>
        <w:softHyphen/>
        <w:t>ный полёт в стратосферу на стратостате-парашюте СССР-ВР60 «Комсомол», считаем своим долгом про</w:t>
      </w:r>
      <w:r w:rsidRPr="00DB5D0D">
        <w:rPr>
          <w:rFonts w:ascii="Times New Roman" w:hAnsi="Times New Roman"/>
          <w:color w:val="0070C0"/>
          <w:sz w:val="16"/>
          <w:szCs w:val="16"/>
        </w:rPr>
        <w:softHyphen/>
        <w:t>должить работу по завоеванию стратосферы, будучи уверенными в успешном проведении полёта.</w:t>
      </w:r>
    </w:p>
    <w:p w14:paraId="31F40D43"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Мы будем счастливы оправдать Ваше доверие, подняв флаг Советского Союза на недостигнутую ещё высоту, обогатив нашу науку новыми знаниями и установив мировой рекорд во славу нашей великой родины (20120).</w:t>
      </w:r>
    </w:p>
    <w:p w14:paraId="7AAD8FC3" w14:textId="77777777" w:rsidR="0077369F" w:rsidRPr="00DB5D0D" w:rsidRDefault="0077369F" w:rsidP="00DB5D0D">
      <w:pPr>
        <w:spacing w:after="0" w:line="240" w:lineRule="auto"/>
        <w:jc w:val="both"/>
        <w:rPr>
          <w:rFonts w:ascii="Times New Roman" w:hAnsi="Times New Roman"/>
          <w:color w:val="0070C0"/>
          <w:sz w:val="16"/>
          <w:szCs w:val="16"/>
        </w:rPr>
      </w:pPr>
    </w:p>
    <w:p w14:paraId="0B16B4E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127089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18065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было возобновлено строительство Уфимского сернокислотного завода, выделенного 9 января 1939 г. по приказу НКТП из строительства Уфимского крекинг-завода в самостоятельное предприятие (Завод № 751 НКХП, Уфимский сернокислотный завод НКТП /г. Черниковск,  г. Уфа/). К концу 1940 г. была готова 1-я очередь завода с опытной установкой по разложению кислых гудронов. Весной 1941 г. построены три корпуса сернокислотного цеха (печное отделение, склад и дымовая труба). С началом войны строительство приостановлено.</w:t>
      </w:r>
    </w:p>
    <w:p w14:paraId="45CEAC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751 создан в 1941 г. на месте завода № 555 (возможно, сюда эвакуирован завод № 751 го Москвы, и в его состав влит завод № 555) (по иным сведениям в начале 12.1941 г. управление строительства объекта было переименовано в управление строительства завода № 505, а с 20.12.1941 г.- в управление строительства завода № 751). Пост. ГКО заводу № 751 была также выделена вторая промплощадка на территории Уфимского НПЗ. Распоряжением СНК от 29.01.1942 г. завод передан в ведение Главанилпрома НКХП. С 06.1942 г. освоено производство колесной мази, чернил, лаков, сахарина, мыла.</w:t>
      </w:r>
      <w:r w:rsidRPr="00DB5D0D">
        <w:rPr>
          <w:rFonts w:ascii="Times New Roman" w:hAnsi="Times New Roman"/>
          <w:color w:val="000000" w:themeColor="text1"/>
          <w:sz w:val="16"/>
          <w:szCs w:val="16"/>
          <w:vertAlign w:val="superscript"/>
        </w:rPr>
        <w:t>118</w:t>
      </w:r>
      <w:r w:rsidRPr="00DB5D0D">
        <w:rPr>
          <w:rFonts w:ascii="Times New Roman" w:hAnsi="Times New Roman"/>
          <w:color w:val="000000" w:themeColor="text1"/>
          <w:sz w:val="16"/>
          <w:szCs w:val="16"/>
        </w:rPr>
        <w:t xml:space="preserve"> В 1942 г. на этой площадке организован завод № 768 НКХП (11982).</w:t>
      </w:r>
    </w:p>
    <w:p w14:paraId="24C87B1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27A8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на испытания на НИЗАП прибыла 100-мм зенитная пушка Л-6 опытной серии. Она отличалась от образца, испытанного в 1938 году:</w:t>
      </w:r>
    </w:p>
    <w:p w14:paraId="1E8972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Ствол имел углубленную (1,5%) нарезку. Нарезов 40. Камора изменилась.</w:t>
      </w:r>
    </w:p>
    <w:p w14:paraId="1A0AE9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Вес откатных частей уменьшился на 200 кг.</w:t>
      </w:r>
    </w:p>
    <w:p w14:paraId="2FAFB9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Улучшен механизм заряжания. Поставлен пневматический досылатель вместо пружинного.</w:t>
      </w:r>
    </w:p>
    <w:p w14:paraId="037771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Верхний станок представлен в сварном исполнении.</w:t>
      </w:r>
    </w:p>
    <w:p w14:paraId="183F4E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Поставлен новый поворотный механизм.</w:t>
      </w:r>
    </w:p>
    <w:p w14:paraId="4FACD6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Добавлено 4 колеса. Колеса поставлены новых от двухэтажного троллейбуса.</w:t>
      </w:r>
    </w:p>
    <w:p w14:paraId="34A6A7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Поставлено новое подрессоривание.</w:t>
      </w:r>
    </w:p>
    <w:p w14:paraId="786894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Досылатель работал удовлетворительно, а лоток плохо. В лафет изменений не внесено.</w:t>
      </w:r>
    </w:p>
    <w:p w14:paraId="5F03EE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предыдущих испытаниях было неудовлетворительная работа уравновешивающего механизма. Сейчас удовлетворительная. Сейчас на системе 8 колес, а было 4, из-за чего вес возрос почти на 2 тонны. Раньше после остановки системы и выдвижения нижнего станка разводились станины и сразу поднимался ход на всю величину подъема. При 8-и колесах разведение станин до конца невозможно, так как они упираются в колеса. Эта операция теперь проводится в несколько приемов, чередуясь с подниманием хода. Есть муфта Дженни. Силовой привод работал удовлетворительно.</w:t>
      </w:r>
    </w:p>
    <w:p w14:paraId="34E40D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Недостатки:</w:t>
      </w:r>
    </w:p>
    <w:p w14:paraId="2BECF6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Неудобное расположение механизмов наведения.</w:t>
      </w:r>
    </w:p>
    <w:p w14:paraId="3CADA1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Система не приспособлена для стрельбы прямой наводкой.</w:t>
      </w:r>
    </w:p>
    <w:p w14:paraId="6C29B8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Большая ширина хода.</w:t>
      </w:r>
    </w:p>
    <w:p w14:paraId="179F55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Снятие противооткатных устройств связано с разборкой всей качающейся части (3861).</w:t>
      </w:r>
    </w:p>
    <w:p w14:paraId="56B19B5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6A1B5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параллельно Грабин приступил к проектированию новой мощной 57-мм ПТП Ф-31. ТТЗ на разработку проекта и изготовление опытного образца 57-мм ПТП Грабин получил лишь 10 сентября 1940 года, когда работы над проектом и опытным образцом пушки были в самом разгаре. В основу проекта ЗИС-2 была положена конструктивно-технологическая схема 76-мм полковой пушки Ф-24 , что позволило сразу приступить к разработке технического проекта и рабочих чертежей. Схема полковой пушки Ф-24, прошедшей полигонные испытания и показавшей высокие качества, в значительной степени отвечала тактико-техническим требованиям к новой 57-мм ПТП. Кроме замены 76-мм трубы на 57-мм коренной переработки требовали лишь некоторые механизмы, в числе их накатники (у Ф-24 он расположен под стволом, а у ЗИС-2 его нужно было установить над стволом). Уменьшение угла вертикального наведения с 65° до 25° позволило применить в ЗИС-2 тормоз отката с постоянной длиной отката, что резко упрощало задачу. Полковая пушка имела откидные сошники, а ЗИС-2 - постоянные, с целью сокращения времени перехода из походного положения в боевое и обратно. Для ЗИС-2 был принят бронебойный снаряд весом 3,14 кг, начальная скорость предполагалась 1000 м/с. Гильзу решили использовать от 76-мм дивизионной пушки с переобжатием дульца гильзы с калибра 76 мм на 57 мм. Гильза, таким образом, почти полностью унифицировалась (3861).</w:t>
      </w:r>
    </w:p>
    <w:p w14:paraId="34BC8EE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C2C5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было принято постановление Комитета обороны "Об изготовлении 450-мм гаубицы, полигонного станка для ее испытаний и выстрелов к ней". В постановлении заводу № 221 поручалось изготовить 450-мм гаубицу и полигонный станок со сроком сдачи 1-й квартал 1942 года. К тому же сроку наркомат боеприпасов должен предоставить снаряды. Для бетонобойного снаряда решено было временно принять донный взрыватель с переменным замедлением (двумя установками), разработанный в ЦКБ-22 под маркой В-153 для систем ТГ и ТП.</w:t>
      </w:r>
    </w:p>
    <w:p w14:paraId="0B151A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Устройство системы</w:t>
      </w:r>
    </w:p>
    <w:p w14:paraId="43A02E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Ствол моноблок с коническим лейнером. Первоначально предполагалось принять постоянную крутизну нарезов в 20 клб, но после неудачных стрельб 203-мм гаубицы М-40 было решено делать нарезку в 25 клб. Глубина нарезов 0,01 клб.</w:t>
      </w:r>
    </w:p>
    <w:p w14:paraId="7312CC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Затвор помещен в моноблоке. Затвор поршневой двухтактный с обтюрацией типа Банжа. Затвор открывался вверх с помощью пружинного уравновешивающего механизма. Заряжание картузное.</w:t>
      </w:r>
    </w:p>
    <w:p w14:paraId="332D3A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Блок противооткатных устройство лафета соединен со стволом при помощи полуколец (бугелей) и вместе со всеми цилиндрами участвует в откате.</w:t>
      </w:r>
    </w:p>
    <w:p w14:paraId="69392C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Тормоз отката гидравлический, веретенного типа, состоял из двух цилиндров, расположенных внизу ствола в корытообразной люльке.</w:t>
      </w:r>
    </w:p>
    <w:p w14:paraId="51634A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Накатник гидравлический, состоял из двух цилиндров, расположенных над стволом, а между ними расположен цилиндр пружинного уравновешивающего механизма затвора. Цапфенная обойма отлита заодно с сектором подъемного механизма.</w:t>
      </w:r>
    </w:p>
    <w:p w14:paraId="692FB8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Механизм вертикального наведения имел привод от электромотора, а так же ручной привод с двумя скоростями наведения. Электродвигатель вертикального наведения развивает мощность 6 л. с. при 750 об/мин.</w:t>
      </w:r>
    </w:p>
    <w:p w14:paraId="66CB7F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Механизм горизонтального наведения имел только ручной привод также с двумя скоростями наведения.</w:t>
      </w:r>
    </w:p>
    <w:p w14:paraId="27E0E7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Верхний станок вместе с люлькой соединялся с нижним станком при помощи болтов и разъединялся только при переходе в походное положение.</w:t>
      </w:r>
    </w:p>
    <w:p w14:paraId="7A20CA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Нижний станок накладывался на основание и вращался передней частью на опоре с шаровым погоном. В хоботовой части нижнего станка имелись подрессоренные катки.</w:t>
      </w:r>
    </w:p>
    <w:p w14:paraId="57005B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Приспособление для заряжания принято в виде падающей каретки с лотком, перемещаемой по наклонным направляющим ферм. Подача каретки от электромотора и вручную. Угол заряжания 7, что позволяет осуществлять досылку снаряда вручную.</w:t>
      </w:r>
    </w:p>
    <w:p w14:paraId="43C058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переходе из походного положения в боевое отрывается котлован длиной 5 м, шириной 12 м и глубиной 1 м. Сзади и спереди котлована укладывается рельсовый путь.</w:t>
      </w:r>
    </w:p>
    <w:p w14:paraId="450AB3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Перевооружение гаубицы производилось при помощи крана, движутся по съемному рельсовому пути.</w:t>
      </w:r>
    </w:p>
    <w:p w14:paraId="469960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шесть повозок системы унифицированы и имеют пружинное подрессоривание.</w:t>
      </w:r>
    </w:p>
    <w:p w14:paraId="052A59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Принятые шины 12 20 предполагалось установить на опытном образце системы и одновременно поставить вопрос перед промышленностью об изготовлении шин 12 24.</w:t>
      </w:r>
    </w:p>
    <w:p w14:paraId="44C96D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походном положении система разделялась на 6 повозок:</w:t>
      </w:r>
    </w:p>
    <w:p w14:paraId="7E8670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ствол моноблок с затвором;</w:t>
      </w:r>
    </w:p>
    <w:p w14:paraId="068FD6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блок с противооткатными устройствами;</w:t>
      </w:r>
    </w:p>
    <w:p w14:paraId="572994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люлька с верхним станком;</w:t>
      </w:r>
    </w:p>
    <w:p w14:paraId="7121FE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нижний станок;</w:t>
      </w:r>
    </w:p>
    <w:p w14:paraId="403817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передняя часть основания (3861).</w:t>
      </w:r>
    </w:p>
    <w:p w14:paraId="42F3D32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EF948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мае 1940 были разработаны бронебойные снаряды для 122 мм пушки обр. 1931/37 и 152 мм пушки обр. 1935 - тупоголовые с баллистическим наконечником из стали ХН3М для поражения бронепоездов и тяжелых танков, а также бронекуполов и амбразур дотов (5484,193).</w:t>
      </w:r>
    </w:p>
    <w:p w14:paraId="5C6135F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04403B"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w:t>
      </w:r>
    </w:p>
    <w:p w14:paraId="2D20DC12"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 2</w:t>
      </w:r>
    </w:p>
    <w:p w14:paraId="60A760B3"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Перечень образцов минометов и мин, находящихся в опытной разработке</w:t>
      </w:r>
    </w:p>
    <w:p w14:paraId="10359BC8"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пп</w:t>
      </w:r>
      <w:r w:rsidRPr="00DB5D0D">
        <w:rPr>
          <w:rFonts w:ascii="Times New Roman" w:hAnsi="Times New Roman"/>
          <w:color w:val="0070C0"/>
          <w:sz w:val="16"/>
          <w:szCs w:val="16"/>
        </w:rPr>
        <w:tab/>
        <w:t>Наименование образцов и основныехарактеристики</w:t>
      </w:r>
      <w:r w:rsidRPr="00DB5D0D">
        <w:rPr>
          <w:rFonts w:ascii="Times New Roman" w:hAnsi="Times New Roman"/>
          <w:color w:val="0070C0"/>
          <w:sz w:val="16"/>
          <w:szCs w:val="16"/>
        </w:rPr>
        <w:tab/>
        <w:t>Примечания</w:t>
      </w:r>
    </w:p>
    <w:p w14:paraId="73A5F895"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w:t>
      </w:r>
      <w:r w:rsidRPr="00DB5D0D">
        <w:rPr>
          <w:rFonts w:ascii="Times New Roman" w:hAnsi="Times New Roman"/>
          <w:color w:val="0070C0"/>
          <w:sz w:val="16"/>
          <w:szCs w:val="16"/>
        </w:rPr>
        <w:tab/>
        <w:t>160-мм дивизионный миномет с весом системы в боевом положении — 600 кг В походном положении — 1200 кг Наибольшей дальностью — 5000 Наименьшей дальностью — 500 м Скорострельностью 3—4 выс/мин</w:t>
      </w:r>
      <w:r w:rsidRPr="00DB5D0D">
        <w:rPr>
          <w:rFonts w:ascii="Times New Roman" w:hAnsi="Times New Roman"/>
          <w:color w:val="0070C0"/>
          <w:sz w:val="16"/>
          <w:szCs w:val="16"/>
        </w:rPr>
        <w:tab/>
        <w:t>НКВ" и УММВ закончить отработку опытных образцов с транспортными средствами к 15.9.40 г.</w:t>
      </w:r>
    </w:p>
    <w:p w14:paraId="413E5D6C"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w:t>
      </w:r>
      <w:r w:rsidRPr="00DB5D0D">
        <w:rPr>
          <w:rFonts w:ascii="Times New Roman" w:hAnsi="Times New Roman"/>
          <w:color w:val="0070C0"/>
          <w:sz w:val="16"/>
          <w:szCs w:val="16"/>
        </w:rPr>
        <w:tab/>
        <w:t>160-мм фугасные мины (нормальной емкости) с весом 40 кг, при весе ВВ равном 8 кг</w:t>
      </w:r>
      <w:r w:rsidRPr="00DB5D0D">
        <w:rPr>
          <w:rFonts w:ascii="Times New Roman" w:hAnsi="Times New Roman"/>
          <w:color w:val="0070C0"/>
          <w:sz w:val="16"/>
          <w:szCs w:val="16"/>
        </w:rPr>
        <w:tab/>
        <w:t>НКБ" и УММВ закончить отработку опытных образцов к 1.9.40 г.</w:t>
      </w:r>
    </w:p>
    <w:p w14:paraId="1092C44A"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w:t>
      </w:r>
      <w:r w:rsidRPr="00DB5D0D">
        <w:rPr>
          <w:rFonts w:ascii="Times New Roman" w:hAnsi="Times New Roman"/>
          <w:color w:val="0070C0"/>
          <w:sz w:val="16"/>
          <w:szCs w:val="16"/>
        </w:rPr>
        <w:tab/>
        <w:t>160-мм фугасные мины (большой емкости) с весом мины 60 кг при весе ВВ равном 15 кг.</w:t>
      </w:r>
      <w:r w:rsidRPr="00DB5D0D">
        <w:rPr>
          <w:rFonts w:ascii="Times New Roman" w:hAnsi="Times New Roman"/>
          <w:color w:val="0070C0"/>
          <w:sz w:val="16"/>
          <w:szCs w:val="16"/>
        </w:rPr>
        <w:tab/>
        <w:t>НКБ и УММВ закончить отработку опытных образцов к 1.9.40 г.</w:t>
      </w:r>
    </w:p>
    <w:p w14:paraId="69810C5E"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w:t>
      </w:r>
      <w:r w:rsidRPr="00DB5D0D">
        <w:rPr>
          <w:rFonts w:ascii="Times New Roman" w:hAnsi="Times New Roman"/>
          <w:color w:val="0070C0"/>
          <w:sz w:val="16"/>
          <w:szCs w:val="16"/>
        </w:rPr>
        <w:tab/>
        <w:t>240-мм тяжелый миномет с весом системы в боевом положении — 2200 кг В походном положении — 3—4 т Набольшей дальностью — 3000—3500 м Наименьшей дальностью — 500 м Скорострельностью 1 выстр. в 2 мин</w:t>
      </w:r>
      <w:r w:rsidRPr="00DB5D0D">
        <w:rPr>
          <w:rFonts w:ascii="Times New Roman" w:hAnsi="Times New Roman"/>
          <w:color w:val="0070C0"/>
          <w:sz w:val="16"/>
          <w:szCs w:val="16"/>
        </w:rPr>
        <w:tab/>
        <w:t>НКБ и УММВ закончить разработку чертежей на опытный образец к 15.12.40 г.</w:t>
      </w:r>
    </w:p>
    <w:p w14:paraId="16C468EA"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w:t>
      </w:r>
      <w:r w:rsidRPr="00DB5D0D">
        <w:rPr>
          <w:rFonts w:ascii="Times New Roman" w:hAnsi="Times New Roman"/>
          <w:color w:val="0070C0"/>
          <w:sz w:val="16"/>
          <w:szCs w:val="16"/>
        </w:rPr>
        <w:tab/>
        <w:t>240-мм фугасный мины с весом мины 130 кг при весе ВВ равном 45 кг</w:t>
      </w:r>
      <w:r w:rsidRPr="00DB5D0D">
        <w:rPr>
          <w:rFonts w:ascii="Times New Roman" w:hAnsi="Times New Roman"/>
          <w:color w:val="0070C0"/>
          <w:sz w:val="16"/>
          <w:szCs w:val="16"/>
        </w:rPr>
        <w:tab/>
        <w:t>НКБ и УММВ закончить разработку чертежей на опытные образцы к 15.12. 1940 г.</w:t>
      </w:r>
    </w:p>
    <w:p w14:paraId="07F988AA"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w:t>
      </w:r>
      <w:r w:rsidRPr="00DB5D0D">
        <w:rPr>
          <w:rFonts w:ascii="Times New Roman" w:hAnsi="Times New Roman"/>
          <w:color w:val="0070C0"/>
          <w:sz w:val="16"/>
          <w:szCs w:val="16"/>
        </w:rPr>
        <w:tab/>
        <w:t>82-мм мины большой емкости с весом мины 6— 6,5 кг, при весе ВВ равном 2 кг и наибольшей дальностью 1200 м</w:t>
      </w:r>
      <w:r w:rsidRPr="00DB5D0D">
        <w:rPr>
          <w:rFonts w:ascii="Times New Roman" w:hAnsi="Times New Roman"/>
          <w:color w:val="0070C0"/>
          <w:sz w:val="16"/>
          <w:szCs w:val="16"/>
        </w:rPr>
        <w:tab/>
        <w:t>НКБ и УММВ закончить отработку чертежей на опытно-серийную партию к 1.9.40 г.</w:t>
      </w:r>
    </w:p>
    <w:p w14:paraId="0AFCA951"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w:t>
      </w:r>
      <w:r w:rsidRPr="00DB5D0D">
        <w:rPr>
          <w:rFonts w:ascii="Times New Roman" w:hAnsi="Times New Roman"/>
          <w:color w:val="0070C0"/>
          <w:sz w:val="16"/>
          <w:szCs w:val="16"/>
        </w:rPr>
        <w:tab/>
        <w:t>107-мм мины большой емкости с весом мины 16- 17 кг при весе ВВ равном 4-5 кг и наибольшей дальности 3000 м.</w:t>
      </w:r>
      <w:r w:rsidRPr="00DB5D0D">
        <w:rPr>
          <w:rFonts w:ascii="Times New Roman" w:hAnsi="Times New Roman"/>
          <w:color w:val="0070C0"/>
          <w:sz w:val="16"/>
          <w:szCs w:val="16"/>
        </w:rPr>
        <w:tab/>
        <w:t>НКБ и УММВ закончить отработку чертежей на опытно-серийную партий к 1.9.40 г.</w:t>
      </w:r>
    </w:p>
    <w:p w14:paraId="19F84DD0"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w:t>
      </w:r>
      <w:r w:rsidRPr="00DB5D0D">
        <w:rPr>
          <w:rFonts w:ascii="Times New Roman" w:hAnsi="Times New Roman"/>
          <w:color w:val="0070C0"/>
          <w:sz w:val="16"/>
          <w:szCs w:val="16"/>
        </w:rPr>
        <w:tab/>
        <w:t>120-мм мины большой емкости с весом мины 25 кг, при весе ВВ равном 8 кг и наибольшей дальностью 3000 м</w:t>
      </w:r>
      <w:r w:rsidRPr="00DB5D0D">
        <w:rPr>
          <w:rFonts w:ascii="Times New Roman" w:hAnsi="Times New Roman"/>
          <w:color w:val="0070C0"/>
          <w:sz w:val="16"/>
          <w:szCs w:val="16"/>
        </w:rPr>
        <w:tab/>
        <w:t>НКБ и УММВ закончить отработку чертежей на опытно-серийную партию к 1.9.40 г.</w:t>
      </w:r>
    </w:p>
    <w:p w14:paraId="65CDDFAE"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w:t>
      </w:r>
      <w:r w:rsidRPr="00DB5D0D">
        <w:rPr>
          <w:rFonts w:ascii="Times New Roman" w:hAnsi="Times New Roman"/>
          <w:color w:val="0070C0"/>
          <w:sz w:val="16"/>
          <w:szCs w:val="16"/>
        </w:rPr>
        <w:tab/>
        <w:t>50 мм ротный миномет обр. 1940г. с изменением конструкции отвода газов без изменения веса</w:t>
      </w:r>
      <w:r w:rsidRPr="00DB5D0D">
        <w:rPr>
          <w:rFonts w:ascii="Times New Roman" w:hAnsi="Times New Roman"/>
          <w:color w:val="0070C0"/>
          <w:sz w:val="16"/>
          <w:szCs w:val="16"/>
        </w:rPr>
        <w:tab/>
        <w:t>НКВ и УММВ закончить отработку к 1.8.40 г.</w:t>
      </w:r>
    </w:p>
    <w:p w14:paraId="260AFC1E"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w:t>
      </w:r>
      <w:r w:rsidRPr="00DB5D0D">
        <w:rPr>
          <w:rFonts w:ascii="Times New Roman" w:hAnsi="Times New Roman"/>
          <w:color w:val="0070C0"/>
          <w:sz w:val="16"/>
          <w:szCs w:val="16"/>
        </w:rPr>
        <w:tab/>
        <w:t>107-мм горно-вьючный полковой миномет с раздельной транспортировкой (передок отдельно от системы)</w:t>
      </w:r>
      <w:r w:rsidRPr="00DB5D0D">
        <w:rPr>
          <w:rFonts w:ascii="Times New Roman" w:hAnsi="Times New Roman"/>
          <w:color w:val="0070C0"/>
          <w:sz w:val="16"/>
          <w:szCs w:val="16"/>
        </w:rPr>
        <w:tab/>
        <w:t>НКВ и УММВ закончить отработку к 15.8.40 г.</w:t>
      </w:r>
    </w:p>
    <w:p w14:paraId="0E76BF94"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w:t>
      </w:r>
      <w:r w:rsidRPr="00DB5D0D">
        <w:rPr>
          <w:rFonts w:ascii="Times New Roman" w:hAnsi="Times New Roman"/>
          <w:color w:val="0070C0"/>
          <w:sz w:val="16"/>
          <w:szCs w:val="16"/>
        </w:rPr>
        <w:tab/>
        <w:t>Вспомогательные транспортные средства для перевозки на поле боя 50-мм, 82-мм минометов и мин к ним</w:t>
      </w:r>
      <w:r w:rsidRPr="00DB5D0D">
        <w:rPr>
          <w:rFonts w:ascii="Times New Roman" w:hAnsi="Times New Roman"/>
          <w:color w:val="0070C0"/>
          <w:sz w:val="16"/>
          <w:szCs w:val="16"/>
        </w:rPr>
        <w:tab/>
        <w:t>НКБ и УММВ закончить отработку опытных образцов к 1.8.40 г.</w:t>
      </w:r>
    </w:p>
    <w:p w14:paraId="7CA03879"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w:t>
      </w:r>
      <w:r w:rsidRPr="00DB5D0D">
        <w:rPr>
          <w:rFonts w:ascii="Times New Roman" w:hAnsi="Times New Roman"/>
          <w:color w:val="0070C0"/>
          <w:sz w:val="16"/>
          <w:szCs w:val="16"/>
        </w:rPr>
        <w:tab/>
        <w:t>82-мм осветительные мины</w:t>
      </w:r>
      <w:r w:rsidRPr="00DB5D0D">
        <w:rPr>
          <w:rFonts w:ascii="Times New Roman" w:hAnsi="Times New Roman"/>
          <w:color w:val="0070C0"/>
          <w:sz w:val="16"/>
          <w:szCs w:val="16"/>
        </w:rPr>
        <w:tab/>
        <w:t>НКБ и УММВ закончить отработку опытных образцов с изготовлением рабочих чертежей на опытные образцы к 1.11.40 г.</w:t>
      </w:r>
    </w:p>
    <w:p w14:paraId="29A38480"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w:t>
      </w:r>
      <w:r w:rsidRPr="00DB5D0D">
        <w:rPr>
          <w:rFonts w:ascii="Times New Roman" w:hAnsi="Times New Roman"/>
          <w:color w:val="0070C0"/>
          <w:sz w:val="16"/>
          <w:szCs w:val="16"/>
        </w:rPr>
        <w:tab/>
        <w:t>Заряды к 160-мм миномету</w:t>
      </w:r>
      <w:r w:rsidRPr="00DB5D0D">
        <w:rPr>
          <w:rFonts w:ascii="Times New Roman" w:hAnsi="Times New Roman"/>
          <w:color w:val="0070C0"/>
          <w:sz w:val="16"/>
          <w:szCs w:val="16"/>
        </w:rPr>
        <w:tab/>
        <w:t>НКБ и УММВ закончить обработку опытных образцов с изготовлением рабочих чертежей на опытные образцы к 15.6.40 г.</w:t>
      </w:r>
    </w:p>
    <w:p w14:paraId="011EF6CC"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w:t>
      </w:r>
      <w:r w:rsidRPr="00DB5D0D">
        <w:rPr>
          <w:rFonts w:ascii="Times New Roman" w:hAnsi="Times New Roman"/>
          <w:color w:val="0070C0"/>
          <w:sz w:val="16"/>
          <w:szCs w:val="16"/>
        </w:rPr>
        <w:tab/>
        <w:t>120-мм фугасные мины (цельнокорпусная штамповка, из цельнотянутых труб)</w:t>
      </w:r>
      <w:r w:rsidRPr="00DB5D0D">
        <w:rPr>
          <w:rFonts w:ascii="Times New Roman" w:hAnsi="Times New Roman"/>
          <w:color w:val="0070C0"/>
          <w:sz w:val="16"/>
          <w:szCs w:val="16"/>
        </w:rPr>
        <w:tab/>
        <w:t>НКБ и УММВ закончить отработку рабочих чертежей на серийную партию к 1.11.40 г.</w:t>
      </w:r>
    </w:p>
    <w:p w14:paraId="1BEEB0DA"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w:t>
      </w:r>
      <w:r w:rsidRPr="00DB5D0D">
        <w:rPr>
          <w:rFonts w:ascii="Times New Roman" w:hAnsi="Times New Roman"/>
          <w:color w:val="0070C0"/>
          <w:sz w:val="16"/>
          <w:szCs w:val="16"/>
        </w:rPr>
        <w:tab/>
        <w:t>120-мм осколочно-фугасные мины (корпуса стального литья)</w:t>
      </w:r>
      <w:r w:rsidRPr="00DB5D0D">
        <w:rPr>
          <w:rFonts w:ascii="Times New Roman" w:hAnsi="Times New Roman"/>
          <w:color w:val="0070C0"/>
          <w:sz w:val="16"/>
          <w:szCs w:val="16"/>
        </w:rPr>
        <w:tab/>
        <w:t>НКБ и УММВ закончить разработку рабочих чертежей на серийную партию к 1.11. 40 г.</w:t>
      </w:r>
    </w:p>
    <w:p w14:paraId="2F034C47"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w:t>
      </w:r>
      <w:r w:rsidRPr="00DB5D0D">
        <w:rPr>
          <w:rFonts w:ascii="Times New Roman" w:hAnsi="Times New Roman"/>
          <w:color w:val="0070C0"/>
          <w:sz w:val="16"/>
          <w:szCs w:val="16"/>
        </w:rPr>
        <w:tab/>
        <w:t>107-мм осколочно-фугасные мины (из цельнотянутых труб)</w:t>
      </w:r>
      <w:r w:rsidRPr="00DB5D0D">
        <w:rPr>
          <w:rFonts w:ascii="Times New Roman" w:hAnsi="Times New Roman"/>
          <w:color w:val="0070C0"/>
          <w:sz w:val="16"/>
          <w:szCs w:val="16"/>
        </w:rPr>
        <w:tab/>
        <w:t>НКБ и УММВ закончить разработку чертежей на опытно-серийную партию к 1.10.40 г.</w:t>
      </w:r>
    </w:p>
    <w:p w14:paraId="2C91FDCC"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w:t>
      </w:r>
      <w:r w:rsidRPr="00DB5D0D">
        <w:rPr>
          <w:rFonts w:ascii="Times New Roman" w:hAnsi="Times New Roman"/>
          <w:color w:val="0070C0"/>
          <w:sz w:val="16"/>
          <w:szCs w:val="16"/>
        </w:rPr>
        <w:tab/>
        <w:t>107-мм осколочно-фугасные мины сталистого чугуна</w:t>
      </w:r>
      <w:r w:rsidRPr="00DB5D0D">
        <w:rPr>
          <w:rFonts w:ascii="Times New Roman" w:hAnsi="Times New Roman"/>
          <w:color w:val="0070C0"/>
          <w:sz w:val="16"/>
          <w:szCs w:val="16"/>
        </w:rPr>
        <w:tab/>
        <w:t>НКБ и УММВ закончить разработку чертежей на опытно-серийную партию к 1.11.40 г.</w:t>
      </w:r>
    </w:p>
    <w:p w14:paraId="77C24D91"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w:t>
      </w:r>
      <w:r w:rsidRPr="00DB5D0D">
        <w:rPr>
          <w:rFonts w:ascii="Times New Roman" w:hAnsi="Times New Roman"/>
          <w:color w:val="0070C0"/>
          <w:sz w:val="16"/>
          <w:szCs w:val="16"/>
        </w:rPr>
        <w:tab/>
        <w:t>Специальные стандартные установки 82-мм и 120-мм минометов для укрепленных районов</w:t>
      </w:r>
      <w:r w:rsidRPr="00DB5D0D">
        <w:rPr>
          <w:rFonts w:ascii="Times New Roman" w:hAnsi="Times New Roman"/>
          <w:color w:val="0070C0"/>
          <w:sz w:val="16"/>
          <w:szCs w:val="16"/>
        </w:rPr>
        <w:tab/>
        <w:t>НКВ и УММВ закончить отработку проекта и рабочих чертежей на опытные образцы к 1.8.40 г. и изготовить опытные образцы к 1.12.40 г.</w:t>
      </w:r>
    </w:p>
    <w:p w14:paraId="74269CAF"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w:t>
      </w:r>
      <w:r w:rsidRPr="00DB5D0D">
        <w:rPr>
          <w:rFonts w:ascii="Times New Roman" w:hAnsi="Times New Roman"/>
          <w:color w:val="0070C0"/>
          <w:sz w:val="16"/>
          <w:szCs w:val="16"/>
        </w:rPr>
        <w:tab/>
        <w:t>Сверхмощный миномет для разрушения железно-бетонных сооружений</w:t>
      </w:r>
      <w:r w:rsidRPr="00DB5D0D">
        <w:rPr>
          <w:rFonts w:ascii="Times New Roman" w:hAnsi="Times New Roman"/>
          <w:color w:val="0070C0"/>
          <w:sz w:val="16"/>
          <w:szCs w:val="16"/>
        </w:rPr>
        <w:tab/>
        <w:t>НКО разработать тактико-технические требования к 1.8.40 г. НКВ разработать к 1.2.41 г. проект образца.</w:t>
      </w:r>
    </w:p>
    <w:p w14:paraId="0855E87A"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 3</w:t>
      </w:r>
    </w:p>
    <w:p w14:paraId="62C45062"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Перечень сухопутных мин заграждения и средств минирования, состоящих на вооружении Красной Армии</w:t>
      </w:r>
    </w:p>
    <w:p w14:paraId="204CA50F"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N  п/п</w:t>
      </w:r>
      <w:r w:rsidRPr="00DB5D0D">
        <w:rPr>
          <w:rFonts w:ascii="Times New Roman" w:hAnsi="Times New Roman"/>
          <w:color w:val="0070C0"/>
          <w:sz w:val="16"/>
          <w:szCs w:val="16"/>
        </w:rPr>
        <w:tab/>
        <w:t>Наименование</w:t>
      </w:r>
      <w:r w:rsidRPr="00DB5D0D">
        <w:rPr>
          <w:rFonts w:ascii="Times New Roman" w:hAnsi="Times New Roman"/>
          <w:color w:val="0070C0"/>
          <w:sz w:val="16"/>
          <w:szCs w:val="16"/>
        </w:rPr>
        <w:tab/>
        <w:t>Назначение</w:t>
      </w:r>
      <w:r w:rsidRPr="00DB5D0D">
        <w:rPr>
          <w:rFonts w:ascii="Times New Roman" w:hAnsi="Times New Roman"/>
          <w:color w:val="0070C0"/>
          <w:sz w:val="16"/>
          <w:szCs w:val="16"/>
        </w:rPr>
        <w:tab/>
        <w:t>Примечание</w:t>
      </w:r>
    </w:p>
    <w:p w14:paraId="3764E1AE"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w:t>
      </w:r>
      <w:r w:rsidRPr="00DB5D0D">
        <w:rPr>
          <w:rFonts w:ascii="Times New Roman" w:hAnsi="Times New Roman"/>
          <w:color w:val="0070C0"/>
          <w:sz w:val="16"/>
          <w:szCs w:val="16"/>
        </w:rPr>
        <w:tab/>
        <w:t>Противотанковая мина ТМ-35</w:t>
      </w:r>
      <w:r w:rsidRPr="00DB5D0D">
        <w:rPr>
          <w:rFonts w:ascii="Times New Roman" w:hAnsi="Times New Roman"/>
          <w:color w:val="0070C0"/>
          <w:sz w:val="16"/>
          <w:szCs w:val="16"/>
        </w:rPr>
        <w:tab/>
        <w:t>Минирование поля против танков.</w:t>
      </w:r>
      <w:r w:rsidRPr="00DB5D0D">
        <w:rPr>
          <w:rFonts w:ascii="Times New Roman" w:hAnsi="Times New Roman"/>
          <w:color w:val="0070C0"/>
          <w:sz w:val="16"/>
          <w:szCs w:val="16"/>
        </w:rPr>
        <w:tab/>
        <w:t>Модернизировать в 1940 г. в направлении заводского снаряжения и повышения чувствительности.</w:t>
      </w:r>
    </w:p>
    <w:p w14:paraId="343290A6"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w:t>
      </w:r>
      <w:r w:rsidRPr="00DB5D0D">
        <w:rPr>
          <w:rFonts w:ascii="Times New Roman" w:hAnsi="Times New Roman"/>
          <w:color w:val="0070C0"/>
          <w:sz w:val="16"/>
          <w:szCs w:val="16"/>
        </w:rPr>
        <w:tab/>
        <w:t>Упрощенный взрыватель (УВ)</w:t>
      </w:r>
      <w:r w:rsidRPr="00DB5D0D">
        <w:rPr>
          <w:rFonts w:ascii="Times New Roman" w:hAnsi="Times New Roman"/>
          <w:color w:val="0070C0"/>
          <w:sz w:val="16"/>
          <w:szCs w:val="16"/>
        </w:rPr>
        <w:tab/>
        <w:t>Для мин ТМ-35 и для устройства палевых фугасов и сюрпризов из табельных подрывных средств</w:t>
      </w:r>
      <w:r w:rsidRPr="00DB5D0D">
        <w:rPr>
          <w:rFonts w:ascii="Times New Roman" w:hAnsi="Times New Roman"/>
          <w:color w:val="0070C0"/>
          <w:sz w:val="16"/>
          <w:szCs w:val="16"/>
        </w:rPr>
        <w:tab/>
        <w:t>Модернизировать в 1940 г. в направлении герметизации и заводского снаряжения</w:t>
      </w:r>
    </w:p>
    <w:p w14:paraId="12E4123D"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w:t>
      </w:r>
      <w:r w:rsidRPr="00DB5D0D">
        <w:rPr>
          <w:rFonts w:ascii="Times New Roman" w:hAnsi="Times New Roman"/>
          <w:color w:val="0070C0"/>
          <w:sz w:val="16"/>
          <w:szCs w:val="16"/>
        </w:rPr>
        <w:tab/>
        <w:t>10-ти часовой замыкатель</w:t>
      </w:r>
      <w:r w:rsidRPr="00DB5D0D">
        <w:rPr>
          <w:rFonts w:ascii="Times New Roman" w:hAnsi="Times New Roman"/>
          <w:color w:val="0070C0"/>
          <w:sz w:val="16"/>
          <w:szCs w:val="16"/>
        </w:rPr>
        <w:tab/>
        <w:t>Для устройства мин замедленного действия</w:t>
      </w:r>
      <w:r w:rsidRPr="00DB5D0D">
        <w:rPr>
          <w:rFonts w:ascii="Times New Roman" w:hAnsi="Times New Roman"/>
          <w:color w:val="0070C0"/>
          <w:sz w:val="16"/>
          <w:szCs w:val="16"/>
        </w:rPr>
        <w:tab/>
      </w:r>
    </w:p>
    <w:p w14:paraId="529C7125"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w:t>
      </w:r>
      <w:r w:rsidRPr="00DB5D0D">
        <w:rPr>
          <w:rFonts w:ascii="Times New Roman" w:hAnsi="Times New Roman"/>
          <w:color w:val="0070C0"/>
          <w:sz w:val="16"/>
          <w:szCs w:val="16"/>
        </w:rPr>
        <w:tab/>
        <w:t>10-ти суточный замыкатель</w:t>
      </w:r>
      <w:r w:rsidRPr="00DB5D0D">
        <w:rPr>
          <w:rFonts w:ascii="Times New Roman" w:hAnsi="Times New Roman"/>
          <w:color w:val="0070C0"/>
          <w:sz w:val="16"/>
          <w:szCs w:val="16"/>
        </w:rPr>
        <w:tab/>
        <w:t>Для устройства мин замедленного действия</w:t>
      </w:r>
      <w:r w:rsidRPr="00DB5D0D">
        <w:rPr>
          <w:rFonts w:ascii="Times New Roman" w:hAnsi="Times New Roman"/>
          <w:color w:val="0070C0"/>
          <w:sz w:val="16"/>
          <w:szCs w:val="16"/>
        </w:rPr>
        <w:tab/>
      </w:r>
    </w:p>
    <w:p w14:paraId="56AD811D"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w:t>
      </w:r>
      <w:r w:rsidRPr="00DB5D0D">
        <w:rPr>
          <w:rFonts w:ascii="Times New Roman" w:hAnsi="Times New Roman"/>
          <w:color w:val="0070C0"/>
          <w:sz w:val="16"/>
          <w:szCs w:val="16"/>
        </w:rPr>
        <w:tab/>
        <w:t>35-[т]и суточный замыкатель</w:t>
      </w:r>
      <w:r w:rsidRPr="00DB5D0D">
        <w:rPr>
          <w:rFonts w:ascii="Times New Roman" w:hAnsi="Times New Roman"/>
          <w:color w:val="0070C0"/>
          <w:sz w:val="16"/>
          <w:szCs w:val="16"/>
        </w:rPr>
        <w:tab/>
        <w:t>Для устройства мин замедленного действия</w:t>
      </w:r>
      <w:r w:rsidRPr="00DB5D0D">
        <w:rPr>
          <w:rFonts w:ascii="Times New Roman" w:hAnsi="Times New Roman"/>
          <w:color w:val="0070C0"/>
          <w:sz w:val="16"/>
          <w:szCs w:val="16"/>
        </w:rPr>
        <w:tab/>
      </w:r>
    </w:p>
    <w:p w14:paraId="593F2C38"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w:t>
      </w:r>
      <w:r w:rsidRPr="00DB5D0D">
        <w:rPr>
          <w:rFonts w:ascii="Times New Roman" w:hAnsi="Times New Roman"/>
          <w:color w:val="0070C0"/>
          <w:sz w:val="16"/>
          <w:szCs w:val="16"/>
        </w:rPr>
        <w:tab/>
        <w:t>Поездной замыкатель П-12</w:t>
      </w:r>
      <w:r w:rsidRPr="00DB5D0D">
        <w:rPr>
          <w:rFonts w:ascii="Times New Roman" w:hAnsi="Times New Roman"/>
          <w:color w:val="0070C0"/>
          <w:sz w:val="16"/>
          <w:szCs w:val="16"/>
        </w:rPr>
        <w:tab/>
        <w:t>Для устройства жел. дор. мин.</w:t>
      </w:r>
      <w:r w:rsidRPr="00DB5D0D">
        <w:rPr>
          <w:rFonts w:ascii="Times New Roman" w:hAnsi="Times New Roman"/>
          <w:color w:val="0070C0"/>
          <w:sz w:val="16"/>
          <w:szCs w:val="16"/>
        </w:rPr>
        <w:tab/>
      </w:r>
    </w:p>
    <w:p w14:paraId="679055C1"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w:t>
      </w:r>
      <w:r w:rsidRPr="00DB5D0D">
        <w:rPr>
          <w:rFonts w:ascii="Times New Roman" w:hAnsi="Times New Roman"/>
          <w:color w:val="0070C0"/>
          <w:sz w:val="16"/>
          <w:szCs w:val="16"/>
        </w:rPr>
        <w:tab/>
        <w:t>Поездной замыкательИЗВЕР-2</w:t>
      </w:r>
      <w:r w:rsidRPr="00DB5D0D">
        <w:rPr>
          <w:rFonts w:ascii="Times New Roman" w:hAnsi="Times New Roman"/>
          <w:color w:val="0070C0"/>
          <w:sz w:val="16"/>
          <w:szCs w:val="16"/>
        </w:rPr>
        <w:tab/>
        <w:t>Для устройства жел. дор. мин.</w:t>
      </w:r>
      <w:r w:rsidRPr="00DB5D0D">
        <w:rPr>
          <w:rFonts w:ascii="Times New Roman" w:hAnsi="Times New Roman"/>
          <w:color w:val="0070C0"/>
          <w:sz w:val="16"/>
          <w:szCs w:val="16"/>
        </w:rPr>
        <w:tab/>
        <w:t>Сохранить запас, вновь не производить.</w:t>
      </w:r>
    </w:p>
    <w:p w14:paraId="2736BF28"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w:t>
      </w:r>
      <w:r w:rsidRPr="00DB5D0D">
        <w:rPr>
          <w:rFonts w:ascii="Times New Roman" w:hAnsi="Times New Roman"/>
          <w:color w:val="0070C0"/>
          <w:sz w:val="16"/>
          <w:szCs w:val="16"/>
        </w:rPr>
        <w:tab/>
        <w:t>Химический взрыватель замедленного действия.</w:t>
      </w:r>
      <w:r w:rsidRPr="00DB5D0D">
        <w:rPr>
          <w:rFonts w:ascii="Times New Roman" w:hAnsi="Times New Roman"/>
          <w:color w:val="0070C0"/>
          <w:sz w:val="16"/>
          <w:szCs w:val="16"/>
        </w:rPr>
        <w:tab/>
        <w:t>Для усторойства мин замедленного действия.</w:t>
      </w:r>
      <w:r w:rsidRPr="00DB5D0D">
        <w:rPr>
          <w:rFonts w:ascii="Times New Roman" w:hAnsi="Times New Roman"/>
          <w:color w:val="0070C0"/>
          <w:sz w:val="16"/>
          <w:szCs w:val="16"/>
        </w:rPr>
        <w:tab/>
        <w:t>Использовать запас, вновь не производить.</w:t>
      </w:r>
    </w:p>
    <w:p w14:paraId="7A502689"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w:t>
      </w:r>
      <w:r w:rsidRPr="00DB5D0D">
        <w:rPr>
          <w:rFonts w:ascii="Times New Roman" w:hAnsi="Times New Roman"/>
          <w:color w:val="0070C0"/>
          <w:sz w:val="16"/>
          <w:szCs w:val="16"/>
        </w:rPr>
        <w:tab/>
        <w:t>Миноискатель ИМВЭТА-21</w:t>
      </w:r>
      <w:r w:rsidRPr="00DB5D0D">
        <w:rPr>
          <w:rFonts w:ascii="Times New Roman" w:hAnsi="Times New Roman"/>
          <w:color w:val="0070C0"/>
          <w:sz w:val="16"/>
          <w:szCs w:val="16"/>
        </w:rPr>
        <w:tab/>
        <w:t>Для разведки металлических мин</w:t>
      </w:r>
      <w:r w:rsidRPr="00DB5D0D">
        <w:rPr>
          <w:rFonts w:ascii="Times New Roman" w:hAnsi="Times New Roman"/>
          <w:color w:val="0070C0"/>
          <w:sz w:val="16"/>
          <w:szCs w:val="16"/>
        </w:rPr>
        <w:tab/>
        <w:t>Утвердить чертежи на вало- вое производство к 1.7.40 г.</w:t>
      </w:r>
    </w:p>
    <w:p w14:paraId="6FE36122"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w:t>
      </w:r>
      <w:r w:rsidRPr="00DB5D0D">
        <w:rPr>
          <w:rFonts w:ascii="Times New Roman" w:hAnsi="Times New Roman"/>
          <w:color w:val="0070C0"/>
          <w:sz w:val="16"/>
          <w:szCs w:val="16"/>
        </w:rPr>
        <w:tab/>
        <w:t>Миноискатель ВИМ-210</w:t>
      </w:r>
      <w:r w:rsidRPr="00DB5D0D">
        <w:rPr>
          <w:rFonts w:ascii="Times New Roman" w:hAnsi="Times New Roman"/>
          <w:color w:val="0070C0"/>
          <w:sz w:val="16"/>
          <w:szCs w:val="16"/>
        </w:rPr>
        <w:tab/>
        <w:t>Для разведки металлических мин</w:t>
      </w:r>
      <w:r w:rsidRPr="00DB5D0D">
        <w:rPr>
          <w:rFonts w:ascii="Times New Roman" w:hAnsi="Times New Roman"/>
          <w:color w:val="0070C0"/>
          <w:sz w:val="16"/>
          <w:szCs w:val="16"/>
        </w:rPr>
        <w:tab/>
      </w:r>
    </w:p>
    <w:p w14:paraId="01124FDD"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 4</w:t>
      </w:r>
    </w:p>
    <w:p w14:paraId="368E842A"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Перечень опытных образцов сухопутных мин заграждения и средств минирования'</w:t>
      </w:r>
    </w:p>
    <w:p w14:paraId="1470FF8D"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N  п/п</w:t>
      </w:r>
      <w:r w:rsidRPr="00DB5D0D">
        <w:rPr>
          <w:rFonts w:ascii="Times New Roman" w:hAnsi="Times New Roman"/>
          <w:color w:val="0070C0"/>
          <w:sz w:val="16"/>
          <w:szCs w:val="16"/>
        </w:rPr>
        <w:tab/>
        <w:t>Наименование и краткая характеристика</w:t>
      </w:r>
      <w:r w:rsidRPr="00DB5D0D">
        <w:rPr>
          <w:rFonts w:ascii="Times New Roman" w:hAnsi="Times New Roman"/>
          <w:color w:val="0070C0"/>
          <w:sz w:val="16"/>
          <w:szCs w:val="16"/>
        </w:rPr>
        <w:tab/>
        <w:t>Предложения</w:t>
      </w:r>
    </w:p>
    <w:p w14:paraId="4E087D51"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w:t>
      </w:r>
      <w:r w:rsidRPr="00DB5D0D">
        <w:rPr>
          <w:rFonts w:ascii="Times New Roman" w:hAnsi="Times New Roman"/>
          <w:color w:val="0070C0"/>
          <w:sz w:val="16"/>
          <w:szCs w:val="16"/>
        </w:rPr>
        <w:tab/>
        <w:t>ОЗМ-152 Осколочно-заградительная мина Предназначается для минирования местности против пехоты. Устанавливается в грунт на глу- бину 1,0 м. Взрывается на высоте 0,5 м. Радиус сплошного поражения ок. 30 м. Вес мины 50 кг, заряд — 7 кг</w:t>
      </w:r>
      <w:r w:rsidRPr="00DB5D0D">
        <w:rPr>
          <w:rFonts w:ascii="Times New Roman" w:hAnsi="Times New Roman"/>
          <w:color w:val="0070C0"/>
          <w:sz w:val="16"/>
          <w:szCs w:val="16"/>
        </w:rPr>
        <w:tab/>
        <w:t>НКБ изготовить в 1940 г. установоч- ную партию в 50 000 штук.</w:t>
      </w:r>
    </w:p>
    <w:p w14:paraId="36BC7600"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w:t>
      </w:r>
      <w:r w:rsidRPr="00DB5D0D">
        <w:rPr>
          <w:rFonts w:ascii="Times New Roman" w:hAnsi="Times New Roman"/>
          <w:color w:val="0070C0"/>
          <w:sz w:val="16"/>
          <w:szCs w:val="16"/>
        </w:rPr>
        <w:tab/>
        <w:t>Полевая мина заграждения металлическая Предназначается для минирования местности против танков. Может регулироваться при уста- новке и на действие против пехоты. Взрывается от нажима гусеницы танка.Вес заряда 3,0—3,5 кг. Общий вес 5—7 кг. Форма цилиндрическая. Диаметр ок. 300 мм, высота не более 90 мм</w:t>
      </w:r>
      <w:r w:rsidRPr="00DB5D0D">
        <w:rPr>
          <w:rFonts w:ascii="Times New Roman" w:hAnsi="Times New Roman"/>
          <w:color w:val="0070C0"/>
          <w:sz w:val="16"/>
          <w:szCs w:val="16"/>
        </w:rPr>
        <w:tab/>
        <w:t>НКБ и УММВ закончить разработку опытных образцов и провести поли- гонные и войсковые испытания к 1.9.40 г. Изготовить к 1.8.40 г. опыт- ную серию в количестве 10 000 штук.</w:t>
      </w:r>
    </w:p>
    <w:p w14:paraId="7707B537"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w:t>
      </w:r>
      <w:r w:rsidRPr="00DB5D0D">
        <w:rPr>
          <w:rFonts w:ascii="Times New Roman" w:hAnsi="Times New Roman"/>
          <w:color w:val="0070C0"/>
          <w:sz w:val="16"/>
          <w:szCs w:val="16"/>
        </w:rPr>
        <w:tab/>
        <w:t>Полевая мина неметаллическая Назначение и характеристика те же, что и по п. 2, но мина должна обладать дополнительным свой- ством — не обнаруживаться миноискателями</w:t>
      </w:r>
      <w:r w:rsidRPr="00DB5D0D">
        <w:rPr>
          <w:rFonts w:ascii="Times New Roman" w:hAnsi="Times New Roman"/>
          <w:color w:val="0070C0"/>
          <w:sz w:val="16"/>
          <w:szCs w:val="16"/>
        </w:rPr>
        <w:tab/>
        <w:t>НКБ и УММВ закончить разработку опытных образцов к 1.7.40 г. Провести полигонные и войсковые испытания к 1.10.40 г. Изготовить опытную серию к 1.9.40 г. в количестве 10 000 штук.</w:t>
      </w:r>
    </w:p>
    <w:p w14:paraId="7DBFE94D"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w:t>
      </w:r>
      <w:r w:rsidRPr="00DB5D0D">
        <w:rPr>
          <w:rFonts w:ascii="Times New Roman" w:hAnsi="Times New Roman"/>
          <w:color w:val="0070C0"/>
          <w:sz w:val="16"/>
          <w:szCs w:val="16"/>
        </w:rPr>
        <w:tab/>
        <w:t>Противотанковая магнитная мина Предназначается для минирования местности против танков. Устанавливается в грунт на глу- бину 0,5 м. Взрывается при помощи магнитного замыкателя, находящихся в мине и замыкаю- щего ток цепи мины при приближении танка. Вес заряда 5—10 кг</w:t>
      </w:r>
      <w:r w:rsidRPr="00DB5D0D">
        <w:rPr>
          <w:rFonts w:ascii="Times New Roman" w:hAnsi="Times New Roman"/>
          <w:color w:val="0070C0"/>
          <w:sz w:val="16"/>
          <w:szCs w:val="16"/>
        </w:rPr>
        <w:tab/>
        <w:t>НКБ и УММВ разработать опытные образцы и провести полигонные испытания в 1940 г.</w:t>
      </w:r>
    </w:p>
    <w:p w14:paraId="46662596"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w:t>
      </w:r>
      <w:r w:rsidRPr="00DB5D0D">
        <w:rPr>
          <w:rFonts w:ascii="Times New Roman" w:hAnsi="Times New Roman"/>
          <w:color w:val="0070C0"/>
          <w:sz w:val="16"/>
          <w:szCs w:val="16"/>
        </w:rPr>
        <w:tab/>
        <w:t>Железнодорожная мина  Предназначается для установки в полотно желез- ной дороги на глубину 1,5—2,0 м. Взрывается через установленный срок (до 35 суток под про- ходящим поездом от сотрясения грунта). Вес заряда 1,0—1,5 кг. Дополнительный заряд — по расчету добавляется на месте</w:t>
      </w:r>
      <w:r w:rsidRPr="00DB5D0D">
        <w:rPr>
          <w:rFonts w:ascii="Times New Roman" w:hAnsi="Times New Roman"/>
          <w:color w:val="0070C0"/>
          <w:sz w:val="16"/>
          <w:szCs w:val="16"/>
        </w:rPr>
        <w:tab/>
        <w:t>НКБ и УММВ в 1940 г. разработать опытные образцы и провести полигонные испытания и войсковые испытания.</w:t>
      </w:r>
    </w:p>
    <w:p w14:paraId="57BCB3A6"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w:t>
      </w:r>
      <w:r w:rsidRPr="00DB5D0D">
        <w:rPr>
          <w:rFonts w:ascii="Times New Roman" w:hAnsi="Times New Roman"/>
          <w:color w:val="0070C0"/>
          <w:sz w:val="16"/>
          <w:szCs w:val="16"/>
        </w:rPr>
        <w:tab/>
        <w:t>Взрыватель для полевых фугасов и сюрпризов Предназначается для устройства фугасов и сюр- призов из табельных подрывных средств силами войск. Должен быть герметичен и позволять устройство фугасов, как нажимного, как и натяжного действия</w:t>
      </w:r>
      <w:r w:rsidRPr="00DB5D0D">
        <w:rPr>
          <w:rFonts w:ascii="Times New Roman" w:hAnsi="Times New Roman"/>
          <w:color w:val="0070C0"/>
          <w:sz w:val="16"/>
          <w:szCs w:val="16"/>
        </w:rPr>
        <w:tab/>
        <w:t>НКБ и УММВ разработать опытные образцы к 1.9.40 г. Провести полигон- ные и войсковые испытания к 1.1.41 г. Изготовить в 1940 г. опытные серии в количестве 20 000 штук.</w:t>
      </w:r>
    </w:p>
    <w:p w14:paraId="7D44BE11"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w:t>
      </w:r>
      <w:r w:rsidRPr="00DB5D0D">
        <w:rPr>
          <w:rFonts w:ascii="Times New Roman" w:hAnsi="Times New Roman"/>
          <w:color w:val="0070C0"/>
          <w:sz w:val="16"/>
          <w:szCs w:val="16"/>
        </w:rPr>
        <w:tab/>
        <w:t>Заводское снаряжение противотанковых мин ТМ-35 — взамен существующего снаряжения на складах.</w:t>
      </w:r>
      <w:r w:rsidRPr="00DB5D0D">
        <w:rPr>
          <w:rFonts w:ascii="Times New Roman" w:hAnsi="Times New Roman"/>
          <w:color w:val="0070C0"/>
          <w:sz w:val="16"/>
          <w:szCs w:val="16"/>
        </w:rPr>
        <w:tab/>
        <w:t>НКБ к 1.8.40 г. организовать заводское снаряжение ТМ-35.</w:t>
      </w:r>
    </w:p>
    <w:p w14:paraId="513C9F6A"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N  п/п</w:t>
      </w:r>
      <w:r w:rsidRPr="00DB5D0D">
        <w:rPr>
          <w:rFonts w:ascii="Times New Roman" w:hAnsi="Times New Roman"/>
          <w:color w:val="0070C0"/>
          <w:sz w:val="16"/>
          <w:szCs w:val="16"/>
        </w:rPr>
        <w:tab/>
        <w:t>Наименование и краткая характеристика</w:t>
      </w:r>
      <w:r w:rsidRPr="00DB5D0D">
        <w:rPr>
          <w:rFonts w:ascii="Times New Roman" w:hAnsi="Times New Roman"/>
          <w:color w:val="0070C0"/>
          <w:sz w:val="16"/>
          <w:szCs w:val="16"/>
        </w:rPr>
        <w:tab/>
        <w:t>Предложения</w:t>
      </w:r>
    </w:p>
    <w:p w14:paraId="1DBC8E7C"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w:t>
      </w:r>
      <w:r w:rsidRPr="00DB5D0D">
        <w:rPr>
          <w:rFonts w:ascii="Times New Roman" w:hAnsi="Times New Roman"/>
          <w:color w:val="0070C0"/>
          <w:sz w:val="16"/>
          <w:szCs w:val="16"/>
        </w:rPr>
        <w:tab/>
        <w:t>Модернизация упрощенных взрывателей для мин ТМ-35 в направлении герметизации и заводского снаряжения.</w:t>
      </w:r>
      <w:r w:rsidRPr="00DB5D0D">
        <w:rPr>
          <w:rFonts w:ascii="Times New Roman" w:hAnsi="Times New Roman"/>
          <w:color w:val="0070C0"/>
          <w:sz w:val="16"/>
          <w:szCs w:val="16"/>
        </w:rPr>
        <w:tab/>
        <w:t>НКБ организовать производство модернизированных УВ с 1 июля 1940 г.</w:t>
      </w:r>
    </w:p>
    <w:p w14:paraId="65B2F0E1"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w:t>
      </w:r>
      <w:r w:rsidRPr="00DB5D0D">
        <w:rPr>
          <w:rFonts w:ascii="Times New Roman" w:hAnsi="Times New Roman"/>
          <w:color w:val="0070C0"/>
          <w:sz w:val="16"/>
          <w:szCs w:val="16"/>
        </w:rPr>
        <w:tab/>
        <w:t>Противопехотные мины металлические ПММ-3, ПММ-4, ПММ-5 конструкции КБ-30 НКБ Предназначается для минирования местности против пехоты. Нажимного действия. Вес заряда 0,2—0,4 кг</w:t>
      </w:r>
      <w:r w:rsidRPr="00DB5D0D">
        <w:rPr>
          <w:rFonts w:ascii="Times New Roman" w:hAnsi="Times New Roman"/>
          <w:color w:val="0070C0"/>
          <w:sz w:val="16"/>
          <w:szCs w:val="16"/>
        </w:rPr>
        <w:tab/>
        <w:t>а)</w:t>
      </w:r>
      <w:r w:rsidRPr="00DB5D0D">
        <w:rPr>
          <w:rFonts w:ascii="Times New Roman" w:hAnsi="Times New Roman"/>
          <w:color w:val="0070C0"/>
          <w:sz w:val="16"/>
          <w:szCs w:val="16"/>
        </w:rPr>
        <w:tab/>
        <w:t>Изготовить в 1940 г. установочные партии противопехотных мин на заводах Юга и Юго-Запада СССР по 2000 штук.  б)</w:t>
      </w:r>
      <w:r w:rsidRPr="00DB5D0D">
        <w:rPr>
          <w:rFonts w:ascii="Times New Roman" w:hAnsi="Times New Roman"/>
          <w:color w:val="0070C0"/>
          <w:sz w:val="16"/>
          <w:szCs w:val="16"/>
        </w:rPr>
        <w:tab/>
        <w:t>Принять как резервное средство вооружения.</w:t>
      </w:r>
    </w:p>
    <w:p w14:paraId="1CCFCCAB"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10.</w:t>
      </w:r>
      <w:r w:rsidRPr="00DB5D0D">
        <w:rPr>
          <w:rFonts w:ascii="Times New Roman" w:hAnsi="Times New Roman"/>
          <w:color w:val="0070C0"/>
          <w:sz w:val="16"/>
          <w:szCs w:val="16"/>
        </w:rPr>
        <w:tab/>
        <w:t>Противопехотные мины деревянные ПДМ-1 и ПДМ-2 Предназначается для минирования местности против пехоты. Нажимного действия. Вес заряда 0,2 кг (Табельная толовая шашка)</w:t>
      </w:r>
      <w:r w:rsidRPr="00DB5D0D">
        <w:rPr>
          <w:rFonts w:ascii="Times New Roman" w:hAnsi="Times New Roman"/>
          <w:color w:val="0070C0"/>
          <w:sz w:val="16"/>
          <w:szCs w:val="16"/>
        </w:rPr>
        <w:tab/>
        <w:t>а)</w:t>
      </w:r>
      <w:r w:rsidRPr="00DB5D0D">
        <w:rPr>
          <w:rFonts w:ascii="Times New Roman" w:hAnsi="Times New Roman"/>
          <w:color w:val="0070C0"/>
          <w:sz w:val="16"/>
          <w:szCs w:val="16"/>
        </w:rPr>
        <w:tab/>
        <w:t>Изготовить в 1940 г. установочные партии деревянных мин по 5000 шт. на одном заводе Ленинграда и на двух заводах БССР.  б)</w:t>
      </w:r>
      <w:r w:rsidRPr="00DB5D0D">
        <w:rPr>
          <w:rFonts w:ascii="Times New Roman" w:hAnsi="Times New Roman"/>
          <w:color w:val="0070C0"/>
          <w:sz w:val="16"/>
          <w:szCs w:val="16"/>
        </w:rPr>
        <w:tab/>
        <w:t>Принять как резервное средство вооружения.</w:t>
      </w:r>
    </w:p>
    <w:p w14:paraId="6AEB894C"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w:t>
      </w:r>
      <w:r w:rsidRPr="00DB5D0D">
        <w:rPr>
          <w:rFonts w:ascii="Times New Roman" w:hAnsi="Times New Roman"/>
          <w:color w:val="0070C0"/>
          <w:sz w:val="16"/>
          <w:szCs w:val="16"/>
        </w:rPr>
        <w:tab/>
        <w:t>Мина замедленного действия на 35 суток Назначается для минирования сооружений с замедлением до 35 суток. Проектируется на базе существующего 35-ти суточного замыкателя</w:t>
      </w:r>
      <w:r w:rsidRPr="00DB5D0D">
        <w:rPr>
          <w:rFonts w:ascii="Times New Roman" w:hAnsi="Times New Roman"/>
          <w:color w:val="0070C0"/>
          <w:sz w:val="16"/>
          <w:szCs w:val="16"/>
        </w:rPr>
        <w:tab/>
        <w:t>НКОМ к 1.10.40 г. разработать опытные образцы УММВ провести полигонные испытания к1.1.41 г.</w:t>
      </w:r>
    </w:p>
    <w:p w14:paraId="68FF05E5"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w:t>
      </w:r>
      <w:r w:rsidRPr="00DB5D0D">
        <w:rPr>
          <w:rFonts w:ascii="Times New Roman" w:hAnsi="Times New Roman"/>
          <w:color w:val="0070C0"/>
          <w:sz w:val="16"/>
          <w:szCs w:val="16"/>
        </w:rPr>
        <w:tab/>
        <w:t>Часовой взрыватель для мин замедленного действия Назначается для установки подрывных и зажи- гательных мин. Замедление не менее 16 суток. Малогабаритный на базе механизма карманных часов</w:t>
      </w:r>
      <w:r w:rsidRPr="00DB5D0D">
        <w:rPr>
          <w:rFonts w:ascii="Times New Roman" w:hAnsi="Times New Roman"/>
          <w:color w:val="0070C0"/>
          <w:sz w:val="16"/>
          <w:szCs w:val="16"/>
        </w:rPr>
        <w:tab/>
        <w:t>НКОМ разработать и изготовить опытные образцы в 1940 г.</w:t>
      </w:r>
    </w:p>
    <w:p w14:paraId="1A920194"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Заголовок документа. Заголовок имеет редакторскую правку: слово «Перечень» заменено на слово «Ведомость» и дополнено «разрабатываемых». После публикуемых документов в деле имеется докладная записка Управления минометно-минного вооружения Красной Армии от 27 мая 1940 г. (№ 692327), подписанная начальником управления Борисовым и военкомом управления Лапаевым на имя начальника Управления делами НКО СССР о внесении изменений в проект постановления ГВС РККА. На ней имеется помета: «В дело. См. вх. Упр. Делами № 1547 сс. (Подпись)». Видимо, редакторская правка в публикуемых документах была внесена с учетом предложенных изменений (РГВА. Ф. 4. On. 14. Д. 2687. Л. 100. Подлинник).</w:t>
      </w:r>
    </w:p>
    <w:p w14:paraId="6E534701"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Ф. 4. On. 14. Д. 2687. Л. 91—99. Подлинник (20574).</w:t>
      </w:r>
    </w:p>
    <w:p w14:paraId="0BD7F311" w14:textId="77777777" w:rsidR="0077369F" w:rsidRPr="00DB5D0D" w:rsidRDefault="0077369F" w:rsidP="00DB5D0D">
      <w:pPr>
        <w:spacing w:after="0" w:line="240" w:lineRule="auto"/>
        <w:jc w:val="both"/>
        <w:rPr>
          <w:rFonts w:ascii="Times New Roman" w:hAnsi="Times New Roman"/>
          <w:color w:val="0070C0"/>
          <w:sz w:val="16"/>
          <w:szCs w:val="16"/>
        </w:rPr>
      </w:pPr>
    </w:p>
    <w:p w14:paraId="185F4DE6"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В мае 1941:</w:t>
      </w:r>
    </w:p>
    <w:p w14:paraId="1B3C20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Анализ производственных возможностей танковой промышленности вероятных противников и предложения по развертыванию производства танков в СССР</w:t>
      </w:r>
    </w:p>
    <w:p w14:paraId="6CC65E02"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Наши основные вероятные противники «соседи» Германия, Япония.</w:t>
      </w:r>
    </w:p>
    <w:p w14:paraId="11115FC0"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На основе анализа материалов разведывательного управления о степени развития танковой промышленности этих государств и их ориентировочной производственной мощности приходим к следующим цифрам.</w:t>
      </w:r>
    </w:p>
    <w:p w14:paraId="62930750"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Германия</w:t>
      </w:r>
    </w:p>
    <w:p w14:paraId="3D8C7B9A"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Основные фирмы, выпускающие танки:</w:t>
      </w:r>
    </w:p>
    <w:p w14:paraId="516EA03B"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ФАMО-Юнкерс (ориентировочно) 3–4 танка ежедневно</w:t>
      </w:r>
    </w:p>
    <w:p w14:paraId="1C05D6BF"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Даймлер-Бенц 2–3</w:t>
      </w:r>
    </w:p>
    <w:p w14:paraId="270C12AA"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Эдельшталь 4–5</w:t>
      </w:r>
    </w:p>
    <w:p w14:paraId="1534BCDB"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Мительшталь 5–6</w:t>
      </w:r>
    </w:p>
    <w:p w14:paraId="233DE0C5"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Алькет 5–7</w:t>
      </w:r>
    </w:p>
    <w:p w14:paraId="17E4BCC9"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что составляет 20–25</w:t>
      </w:r>
    </w:p>
    <w:p w14:paraId="3D2B2EFB"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танков ежедневно.</w:t>
      </w:r>
    </w:p>
    <w:p w14:paraId="3CB6235B"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Сюда необходимо еще внести поправку выпуска танков неизвестными нам заводами примерно 20–25 %. Кроме основного танкового производства, Германия практикует выдачу заказов на изготовление небольших партий танков на нетанковых заводах (вспомогательных) с тем, чтобы эти заводы освоили производство танков и в случае необходимости могли быстро перейти на массовое их производство, так что необходимо увеличить выпуск за счет этих производств на 10–15 %. Таким образом, Германия имеет месячный ориентировочный выпуск 1000–1200 шт., основной тип которых Т-III — T-IV с 30-мм и 40-мм бронированием.</w:t>
      </w:r>
    </w:p>
    <w:p w14:paraId="32774189"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В состав Германии влились заводы «Шкода» с производственной ориентировочной мощностью 150–175 танков типа Ш-IIа, Т-21, ЧМКД — 100 38-Т и 50–60 V8HZ, толщина брони этих танков от 15 до 50 мм; завод «Урсис» (бывшей Польши), где запущен серийный выпуск 11-тонного танка в количестве 30–40 танков в месяц.</w:t>
      </w:r>
    </w:p>
    <w:p w14:paraId="2419F8B1"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В общем приблизительном количестве месячный выпуск даст германской армии 1300–1550 танков, не принимая во внимание выпуск вступающих в строй заводов оккупированной территории Франции.</w:t>
      </w:r>
    </w:p>
    <w:p w14:paraId="13666290"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Конечно, выпуск такого количества танков в известной степени будет лимитироваться наличием материала, но такую производственную возможность нужно иметь в виду.</w:t>
      </w:r>
    </w:p>
    <w:p w14:paraId="59DFF3FF"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Япония</w:t>
      </w:r>
    </w:p>
    <w:p w14:paraId="7FA054A0"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Производит отечественные танки на своих арсеналах (Асакский, Нагасаксий, Какутский, Токийский) и частных фирмах, которые дают среднемесячный выпуск танков 220–250 шт. с толщиной брони от 10 до 30 мм.</w:t>
      </w:r>
    </w:p>
    <w:p w14:paraId="44DB79E8"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Германию и Японию делить нельзя и необходимо учитывать как одну ось, а отсюда средний месячный выпуск танков этой оси будет 1550–1800 шт., что в год составит 18 600–21 600 шт.</w:t>
      </w:r>
    </w:p>
    <w:p w14:paraId="32E095D2"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Анализируя конструкцию выпускаемых машин иностранных армий, можно сделать вывод, что от выпуска тонкобронных танков и вооруженных только пулеметами — отказались. В основном толщина брони выпускаемых танков колеблется в пределах 20–50 мм.</w:t>
      </w:r>
    </w:p>
    <w:p w14:paraId="6CE05947"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Вооружение — пушка, начиная с калибра 20 мм и до 75 мм, спаренная с пулеметом.</w:t>
      </w:r>
    </w:p>
    <w:p w14:paraId="75CDD746"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Как вывод, можно сделать следующее заключение, что капстраны по танкостроению имеют явную тенденцию на увеличение бронезащиты, на усиление мощности вооружения, на увеличение скорости движения.</w:t>
      </w:r>
    </w:p>
    <w:p w14:paraId="74C89A94"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На основе этого краткого анализа танкостроения капиталистических стран, с учетом значительного преимущества боевых качеств наших танков, количественное производство их все же недостаточно (500–550 шт.). Особенно необходимо обратить внимание на выпуск средних (типа Т-34) и легких (типа Т-50) танков.</w:t>
      </w:r>
    </w:p>
    <w:p w14:paraId="4EDF0D3C"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Предложения по развертыванию производства танков на 1942–1945 гг.</w:t>
      </w:r>
    </w:p>
    <w:p w14:paraId="5E0B9F2C"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По танку Т-40</w:t>
      </w:r>
      <w:r w:rsidRPr="00DB5D0D">
        <w:rPr>
          <w:color w:val="000000" w:themeColor="text1"/>
          <w:sz w:val="16"/>
          <w:szCs w:val="16"/>
        </w:rPr>
        <w:t>: выпуск танков Т-40 с 1.7.42 г. прекратить.</w:t>
      </w:r>
    </w:p>
    <w:p w14:paraId="7EE635CB"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Основание — танк с тонкобронной защитой и специального назначения, его применение очень ограниченно. Для выполнения же специальных задач будет достаточно количества, выпущенного до 1942 г.</w:t>
      </w:r>
    </w:p>
    <w:p w14:paraId="60AAB2A4"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Во-вторых, танки этого класса будут нести большие потери от противотанковых орудий мелкого калибра, от которых они не защищены и не могут парировать своим огнем. При установке же на танк 20-мм пушки будет затруднено ведение огня на плаву. Для борьбы с пехотой противника не возле водных преград красная Армия имеет достаточно тонкобронных и более эффективных танков.</w:t>
      </w:r>
    </w:p>
    <w:p w14:paraId="0F942E33"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По танку Т-50</w:t>
      </w:r>
      <w:r w:rsidRPr="00DB5D0D">
        <w:rPr>
          <w:color w:val="000000" w:themeColor="text1"/>
          <w:sz w:val="16"/>
          <w:szCs w:val="16"/>
        </w:rPr>
        <w:t>: кроме основного завода № 174, переключить на выпуск этих танков завод № 37. Бронекорпуса для этого завода поставляет Подольский завод, а поставщик брони — Кулебакский завод, на котором можно развернуть цех изготовления корпусов, для чего использовать имеющуюся коробку, оснастив станками.</w:t>
      </w:r>
    </w:p>
    <w:p w14:paraId="42BD0E3A"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К освоению производства танков Т-50 указанные заводы приступают с начала 4-го квартала 1941 г., а с 1.7.42 г. начало серийного выпуска.</w:t>
      </w:r>
    </w:p>
    <w:p w14:paraId="69D7ADA5"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Кроме того привлечь к выпуску этого типа танков с полным циклом еще один завод — цех Краматорского комбината, производство для него брони развернуть на Таганрогском заводе им. Андреева или на Днепропетровском заводе им. Петровского, обязав эти заводы начать освоение с 3–4 квартала 1941 г. и с 1.1.42 г. перейти на серийный выпуск…</w:t>
      </w:r>
    </w:p>
    <w:p w14:paraId="122D8656"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По танку Т-34</w:t>
      </w:r>
      <w:r w:rsidRPr="00DB5D0D">
        <w:rPr>
          <w:color w:val="000000" w:themeColor="text1"/>
          <w:sz w:val="16"/>
          <w:szCs w:val="16"/>
        </w:rPr>
        <w:t>: завод № 183 до конца 1941 г. выпускает Т-34 по существующим чертежам, внеся лишь изменения по смотровым приборам, гусенице, вентилятору. Проектирует, изготовляет и испытывает Т-34-Т</w:t>
      </w:r>
      <w:hyperlink r:id="rId72" w:anchor="n_29" w:history="1">
        <w:r w:rsidRPr="00DB5D0D">
          <w:rPr>
            <w:rStyle w:val="a5"/>
            <w:color w:val="000000" w:themeColor="text1"/>
            <w:sz w:val="16"/>
            <w:szCs w:val="16"/>
          </w:rPr>
          <w:t>[29]</w:t>
        </w:r>
      </w:hyperlink>
      <w:r w:rsidRPr="00DB5D0D">
        <w:rPr>
          <w:color w:val="000000" w:themeColor="text1"/>
          <w:sz w:val="16"/>
          <w:szCs w:val="16"/>
        </w:rPr>
        <w:t xml:space="preserve"> из расчета начала его серийного выпуска с 1.1.42 г…</w:t>
      </w:r>
    </w:p>
    <w:p w14:paraId="77873A3A"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Завод СТЗ изготовляет Т-34 по существующим чертежам до 1.7.42 г., а с 1.1.42 г. подготавливает переход на Т-34-Т…</w:t>
      </w:r>
    </w:p>
    <w:p w14:paraId="19D1AAA0"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В дополнение к этому привлечь к изготовлению танков этого типа с полным циклом еще один завод — цех комбината «Уралмаш» (в Свердловске)…</w:t>
      </w:r>
    </w:p>
    <w:p w14:paraId="1B8B70CD"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Все указанные заводы должны приступить к освоению производства с 3 кв. 1941 г. и начать серийное производство указанных танков с 1.4.42 года. Как мобилизационный запас привлечь к производству танков Т-34 Харьковский тракторный завод.</w:t>
      </w:r>
    </w:p>
    <w:p w14:paraId="4F73368C"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По танку KB</w:t>
      </w:r>
      <w:r w:rsidRPr="00DB5D0D">
        <w:rPr>
          <w:color w:val="000000" w:themeColor="text1"/>
          <w:sz w:val="16"/>
          <w:szCs w:val="16"/>
        </w:rPr>
        <w:t>: Кировский завод дорабатывает танк с 90-мм бронированием и осваивает его серийный выпуск в 1941 г. Проектирует и изготавливает танк тяжелого бронирования (125–150 мм толщины) с началом выпуска не позже 1.4.42 г.</w:t>
      </w:r>
    </w:p>
    <w:p w14:paraId="12007D0B"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Завод ЧТЗ в 1942 г. выпускает танк КВ-1 (75-мм бронирование).</w:t>
      </w:r>
    </w:p>
    <w:p w14:paraId="37C9BCDA"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Проведение таких мероприятий по развертыванию танковой промышленности даст возможность значительно увеличить количественное производство танков. Значительно обезопасит территориально, так как танковая промышленность будет рассредоточена в различных пунктах.</w:t>
      </w:r>
    </w:p>
    <w:p w14:paraId="515ED754"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Докладывая свои соображения, прошу возбудить ходатайство о проведении намеченных мероприятий.</w:t>
      </w:r>
    </w:p>
    <w:p w14:paraId="3E778D14" w14:textId="77777777" w:rsidR="00A25AD1" w:rsidRPr="00DB5D0D" w:rsidRDefault="00A25AD1" w:rsidP="00DB5D0D">
      <w:pPr>
        <w:pStyle w:val="ae"/>
        <w:spacing w:before="0" w:after="0"/>
        <w:jc w:val="both"/>
        <w:rPr>
          <w:rStyle w:val="a5"/>
          <w:color w:val="000000" w:themeColor="text1"/>
          <w:sz w:val="16"/>
          <w:szCs w:val="16"/>
        </w:rPr>
      </w:pPr>
      <w:r w:rsidRPr="00DB5D0D">
        <w:rPr>
          <w:iCs/>
          <w:color w:val="000000" w:themeColor="text1"/>
          <w:sz w:val="16"/>
          <w:szCs w:val="16"/>
        </w:rPr>
        <w:t>Панов</w:t>
      </w:r>
      <w:hyperlink r:id="rId73" w:anchor="n_30" w:history="1">
        <w:r w:rsidRPr="00DB5D0D">
          <w:rPr>
            <w:rStyle w:val="a5"/>
            <w:color w:val="000000" w:themeColor="text1"/>
            <w:sz w:val="16"/>
            <w:szCs w:val="16"/>
          </w:rPr>
          <w:t>[</w:t>
        </w:r>
        <w:r w:rsidRPr="00DB5D0D">
          <w:rPr>
            <w:color w:val="000000" w:themeColor="text1"/>
            <w:sz w:val="16"/>
            <w:szCs w:val="16"/>
          </w:rPr>
          <w:t>ЦАМО РФ, ф. 38 (ГАБТУ КА), оп. 11355 (Танковое управление), д. 6 (Программы ГАБТУ КА, донесения заводов о изготовлении и испытании танков и переписка по этому вопросу; тактико-технические требования на проектирование и изготовление танка тяжелого бронирования), лл. 164–169. Документ составлен в июне 1941 г до начала войны</w:t>
        </w:r>
        <w:r w:rsidRPr="00DB5D0D">
          <w:rPr>
            <w:rStyle w:val="a5"/>
            <w:color w:val="000000" w:themeColor="text1"/>
            <w:sz w:val="16"/>
            <w:szCs w:val="16"/>
          </w:rPr>
          <w:t>]</w:t>
        </w:r>
      </w:hyperlink>
      <w:r w:rsidRPr="00DB5D0D">
        <w:rPr>
          <w:rStyle w:val="a5"/>
          <w:color w:val="000000" w:themeColor="text1"/>
          <w:sz w:val="16"/>
          <w:szCs w:val="16"/>
        </w:rPr>
        <w:t xml:space="preserve"> (12624).</w:t>
      </w:r>
    </w:p>
    <w:p w14:paraId="0B6C10C2" w14:textId="77777777" w:rsidR="00A25AD1" w:rsidRPr="00DB5D0D" w:rsidRDefault="00A25AD1" w:rsidP="00DB5D0D">
      <w:pPr>
        <w:pStyle w:val="ae"/>
        <w:spacing w:before="0" w:after="0"/>
        <w:jc w:val="both"/>
        <w:rPr>
          <w:color w:val="000000" w:themeColor="text1"/>
          <w:sz w:val="16"/>
          <w:szCs w:val="16"/>
        </w:rPr>
      </w:pPr>
    </w:p>
    <w:p w14:paraId="4BCBA9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все 587 находящихся на вооружении БТ-2 было решено оставить как учебный парк до полного износа (3879,44).</w:t>
      </w:r>
    </w:p>
    <w:p w14:paraId="5F3E410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520A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в Кубинке и под Ленинградом были проведены полномасштабные испытания КВ, который к тому времени находился уже в серийном производстве.</w:t>
      </w:r>
    </w:p>
    <w:p w14:paraId="5068CF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2648 км пробега у танка были обнаружены существенные недостатки в трансмиссии, ходовой частьи и двигателе. Инженеры Кировского предложили приостановить выпуск танков до устранения дефектов однако, согласно решения СНК и ЦК ВКП(б), выпуск танков КВ должен был постоянно расти..</w:t>
      </w:r>
    </w:p>
    <w:p w14:paraId="5FDDD7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качество было принесено в жертву количеству. (3862).</w:t>
      </w:r>
    </w:p>
    <w:p w14:paraId="5CAB19F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103F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в НИИ-48 была изготовлена первая литая башня для КВ из гомогенной брони толщиной 80-82 мм, которая при обстреле показала, что по снарядостойкости имеет преимущество против тупоголового бронебойного снаряда и не уступает катанной 75 мм башне по остроголовым снарядам (9527,31).</w:t>
      </w:r>
    </w:p>
    <w:p w14:paraId="2970174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38AA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КБ ЛКЗ предъявило комиссии проект и деревянный макет танка сопровождения (объект 211) и решили сделать два образца с 45 мм и 55 мм (17 т) броней (9527,66).</w:t>
      </w:r>
    </w:p>
    <w:p w14:paraId="34F859B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964A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был подготовлен Отчет по вой</w:t>
      </w:r>
      <w:r w:rsidRPr="00DB5D0D">
        <w:rPr>
          <w:rFonts w:ascii="Times New Roman" w:hAnsi="Times New Roman"/>
          <w:color w:val="000000" w:themeColor="text1"/>
          <w:sz w:val="16"/>
          <w:szCs w:val="16"/>
        </w:rPr>
        <w:softHyphen/>
        <w:t>сковым испытаниям Т-34, февраль-апрель 1940 г., в котором содержалось краткое описание конструкции опытных образцов танков Т-34 («Приложения №1 к Отчету по вой</w:t>
      </w:r>
      <w:r w:rsidRPr="00DB5D0D">
        <w:rPr>
          <w:rFonts w:ascii="Times New Roman" w:hAnsi="Times New Roman"/>
          <w:color w:val="000000" w:themeColor="text1"/>
          <w:sz w:val="16"/>
          <w:szCs w:val="16"/>
        </w:rPr>
        <w:softHyphen/>
        <w:t>сковым испытаниям Т-34, февраль-апрель 1940 г.»):</w:t>
      </w:r>
    </w:p>
    <w:p w14:paraId="3EBC75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КРАТКОЕ ОПИСАНИЕ ТАНКА Т-34.</w:t>
      </w:r>
    </w:p>
    <w:p w14:paraId="5EF8F7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Танк Т-34: представляет гусеничную боевую машину весом в 25 тонн, с одной вращающейся башней, допускающей горизонталь</w:t>
      </w:r>
      <w:r w:rsidRPr="00DB5D0D">
        <w:rPr>
          <w:rFonts w:ascii="Times New Roman" w:hAnsi="Times New Roman"/>
          <w:color w:val="000000" w:themeColor="text1"/>
          <w:sz w:val="16"/>
          <w:szCs w:val="16"/>
        </w:rPr>
        <w:softHyphen/>
        <w:t>ный круговой обстрел. Танк может двигаться со скоростями от 7 до 47 км/час и обслуживается командой из 4-х человек.</w:t>
      </w:r>
    </w:p>
    <w:p w14:paraId="104B3A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Корпус танка: представляет броневую коробку цельносварной конструкции с отдельными заклепочными соединениями. Все бро</w:t>
      </w:r>
      <w:r w:rsidRPr="00DB5D0D">
        <w:rPr>
          <w:rFonts w:ascii="Times New Roman" w:hAnsi="Times New Roman"/>
          <w:color w:val="000000" w:themeColor="text1"/>
          <w:sz w:val="16"/>
          <w:szCs w:val="16"/>
        </w:rPr>
        <w:softHyphen/>
        <w:t>невые листы корпуса соединены между собой в замок. Для увеличе</w:t>
      </w:r>
      <w:r w:rsidRPr="00DB5D0D">
        <w:rPr>
          <w:rFonts w:ascii="Times New Roman" w:hAnsi="Times New Roman"/>
          <w:color w:val="000000" w:themeColor="text1"/>
          <w:sz w:val="16"/>
          <w:szCs w:val="16"/>
        </w:rPr>
        <w:softHyphen/>
        <w:t>ния снарядоустойчивости корпус выполнен с наклонно расположен</w:t>
      </w:r>
      <w:r w:rsidRPr="00DB5D0D">
        <w:rPr>
          <w:rFonts w:ascii="Times New Roman" w:hAnsi="Times New Roman"/>
          <w:color w:val="000000" w:themeColor="text1"/>
          <w:sz w:val="16"/>
          <w:szCs w:val="16"/>
        </w:rPr>
        <w:softHyphen/>
        <w:t>ными носовыми, кормовыми и бортовыми листами, причем борто</w:t>
      </w:r>
      <w:r w:rsidRPr="00DB5D0D">
        <w:rPr>
          <w:rFonts w:ascii="Times New Roman" w:hAnsi="Times New Roman"/>
          <w:color w:val="000000" w:themeColor="text1"/>
          <w:sz w:val="16"/>
          <w:szCs w:val="16"/>
        </w:rPr>
        <w:softHyphen/>
        <w:t>вые листы наклонены только в верхней своей части, в виде подкрыл</w:t>
      </w:r>
      <w:r w:rsidRPr="00DB5D0D">
        <w:rPr>
          <w:rFonts w:ascii="Times New Roman" w:hAnsi="Times New Roman"/>
          <w:color w:val="000000" w:themeColor="text1"/>
          <w:sz w:val="16"/>
          <w:szCs w:val="16"/>
        </w:rPr>
        <w:softHyphen/>
        <w:t>ка, идущего по всей длине корпуса.</w:t>
      </w:r>
    </w:p>
    <w:p w14:paraId="30FDE1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Внутри корпус разделен моторной и вентиляционной перегород</w:t>
      </w:r>
      <w:r w:rsidRPr="00DB5D0D">
        <w:rPr>
          <w:rFonts w:ascii="Times New Roman" w:hAnsi="Times New Roman"/>
          <w:color w:val="000000" w:themeColor="text1"/>
          <w:sz w:val="16"/>
          <w:szCs w:val="16"/>
        </w:rPr>
        <w:softHyphen/>
        <w:t>ками на 3 отделения: переднее - боевое отделение (место располо</w:t>
      </w:r>
      <w:r w:rsidRPr="00DB5D0D">
        <w:rPr>
          <w:rFonts w:ascii="Times New Roman" w:hAnsi="Times New Roman"/>
          <w:color w:val="000000" w:themeColor="text1"/>
          <w:sz w:val="16"/>
          <w:szCs w:val="16"/>
        </w:rPr>
        <w:softHyphen/>
        <w:t>жения экипажа, боеприпасов и органов управления танком), сред</w:t>
      </w:r>
      <w:r w:rsidRPr="00DB5D0D">
        <w:rPr>
          <w:rFonts w:ascii="Times New Roman" w:hAnsi="Times New Roman"/>
          <w:color w:val="000000" w:themeColor="text1"/>
          <w:sz w:val="16"/>
          <w:szCs w:val="16"/>
        </w:rPr>
        <w:softHyphen/>
        <w:t>нее - моторное отделение и заднее - трансмиссионное отделение.</w:t>
      </w:r>
    </w:p>
    <w:p w14:paraId="16C4C0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носовом листе корпуса смонтирован люк водителя, уравнове</w:t>
      </w:r>
      <w:r w:rsidRPr="00DB5D0D">
        <w:rPr>
          <w:rFonts w:ascii="Times New Roman" w:hAnsi="Times New Roman"/>
          <w:color w:val="000000" w:themeColor="text1"/>
          <w:sz w:val="16"/>
          <w:szCs w:val="16"/>
        </w:rPr>
        <w:softHyphen/>
        <w:t>шивающийся внутренней пружиной. Справа от люка водителя (мес</w:t>
      </w:r>
      <w:r w:rsidRPr="00DB5D0D">
        <w:rPr>
          <w:rFonts w:ascii="Times New Roman" w:hAnsi="Times New Roman"/>
          <w:color w:val="000000" w:themeColor="text1"/>
          <w:sz w:val="16"/>
          <w:szCs w:val="16"/>
        </w:rPr>
        <w:softHyphen/>
        <w:t>те расположения стрелка) имеется забронированная шаровая уста</w:t>
      </w:r>
      <w:r w:rsidRPr="00DB5D0D">
        <w:rPr>
          <w:rFonts w:ascii="Times New Roman" w:hAnsi="Times New Roman"/>
          <w:color w:val="000000" w:themeColor="text1"/>
          <w:sz w:val="16"/>
          <w:szCs w:val="16"/>
        </w:rPr>
        <w:softHyphen/>
        <w:t>новка с пулеметом «ДТ», обеспечивающая углы возвышения до 16°, углы снижения до 6° и горизонтальные углы в пределах ± 12°.</w:t>
      </w:r>
    </w:p>
    <w:p w14:paraId="151D2D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Впереди сиденья стрелка, в днище, имеется люк-лаз для выхода команды в боевой обстановке, когда движение танка невозможно и выход через верхние люки является опасным.</w:t>
      </w:r>
    </w:p>
    <w:p w14:paraId="1B5667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установки двигателя, в моторном отделении имеется под-моторный фундамент, состоящий из съемных боковин и приварен</w:t>
      </w:r>
      <w:r w:rsidRPr="00DB5D0D">
        <w:rPr>
          <w:rFonts w:ascii="Times New Roman" w:hAnsi="Times New Roman"/>
          <w:color w:val="000000" w:themeColor="text1"/>
          <w:sz w:val="16"/>
          <w:szCs w:val="16"/>
        </w:rPr>
        <w:softHyphen/>
        <w:t>ных к корпусу стоек. Для доступа к водяной и масляной помпам дви</w:t>
      </w:r>
      <w:r w:rsidRPr="00DB5D0D">
        <w:rPr>
          <w:rFonts w:ascii="Times New Roman" w:hAnsi="Times New Roman"/>
          <w:color w:val="000000" w:themeColor="text1"/>
          <w:sz w:val="16"/>
          <w:szCs w:val="16"/>
        </w:rPr>
        <w:softHyphen/>
        <w:t>гателя, в днище корпуса имеется люк. Для крепления передней час</w:t>
      </w:r>
      <w:r w:rsidRPr="00DB5D0D">
        <w:rPr>
          <w:rFonts w:ascii="Times New Roman" w:hAnsi="Times New Roman"/>
          <w:color w:val="000000" w:themeColor="text1"/>
          <w:sz w:val="16"/>
          <w:szCs w:val="16"/>
        </w:rPr>
        <w:softHyphen/>
        <w:t>ти коробки передач в трансмиссионном отделении установлена пе</w:t>
      </w:r>
      <w:r w:rsidRPr="00DB5D0D">
        <w:rPr>
          <w:rFonts w:ascii="Times New Roman" w:hAnsi="Times New Roman"/>
          <w:color w:val="000000" w:themeColor="text1"/>
          <w:sz w:val="16"/>
          <w:szCs w:val="16"/>
        </w:rPr>
        <w:softHyphen/>
        <w:t>регородка. В месте расположения коробки передач, в днище корпу</w:t>
      </w:r>
      <w:r w:rsidRPr="00DB5D0D">
        <w:rPr>
          <w:rFonts w:ascii="Times New Roman" w:hAnsi="Times New Roman"/>
          <w:color w:val="000000" w:themeColor="text1"/>
          <w:sz w:val="16"/>
          <w:szCs w:val="16"/>
        </w:rPr>
        <w:softHyphen/>
        <w:t>са имеется люк. В кормовой части корпуса приварены и прикрепле</w:t>
      </w:r>
      <w:r w:rsidRPr="00DB5D0D">
        <w:rPr>
          <w:rFonts w:ascii="Times New Roman" w:hAnsi="Times New Roman"/>
          <w:color w:val="000000" w:themeColor="text1"/>
          <w:sz w:val="16"/>
          <w:szCs w:val="16"/>
        </w:rPr>
        <w:softHyphen/>
        <w:t>ны картера бортовых передач, имеющие броневые кожуха. Из учета условий монтажа механизмов трансмиссии верхний кормовой лист сделан съемным и снабжен люком, служащим для обслуживания трансмиссии в процессе эксплоатации.</w:t>
      </w:r>
    </w:p>
    <w:p w14:paraId="5CDBC4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Крыша корпуса состоит из отдельных листов, причем передний подвешенный лист приварен к корпусу, а задние листы, расположен</w:t>
      </w:r>
      <w:r w:rsidRPr="00DB5D0D">
        <w:rPr>
          <w:rFonts w:ascii="Times New Roman" w:hAnsi="Times New Roman"/>
          <w:color w:val="000000" w:themeColor="text1"/>
          <w:sz w:val="16"/>
          <w:szCs w:val="16"/>
        </w:rPr>
        <w:softHyphen/>
        <w:t>ные над двигателем и трансмиссией, съемные. Средняя часть крыши, расположенная наддвигателем имеет возвышение (выштамповку)для размещения воздушного фильтра (изнутри). Над радиаторами и вен</w:t>
      </w:r>
      <w:r w:rsidRPr="00DB5D0D">
        <w:rPr>
          <w:rFonts w:ascii="Times New Roman" w:hAnsi="Times New Roman"/>
          <w:color w:val="000000" w:themeColor="text1"/>
          <w:sz w:val="16"/>
          <w:szCs w:val="16"/>
        </w:rPr>
        <w:softHyphen/>
        <w:t>тилятором в крыше имеются окна, служащие для циркуляции возду</w:t>
      </w:r>
      <w:r w:rsidRPr="00DB5D0D">
        <w:rPr>
          <w:rFonts w:ascii="Times New Roman" w:hAnsi="Times New Roman"/>
          <w:color w:val="000000" w:themeColor="text1"/>
          <w:sz w:val="16"/>
          <w:szCs w:val="16"/>
        </w:rPr>
        <w:softHyphen/>
        <w:t>ха. Окна перекрываются жалюзи. Управление вентиляторными жа</w:t>
      </w:r>
      <w:r w:rsidRPr="00DB5D0D">
        <w:rPr>
          <w:rFonts w:ascii="Times New Roman" w:hAnsi="Times New Roman"/>
          <w:color w:val="000000" w:themeColor="text1"/>
          <w:sz w:val="16"/>
          <w:szCs w:val="16"/>
        </w:rPr>
        <w:softHyphen/>
        <w:t>люзи осуществляется через привод, рычагом и сектором, распо</w:t>
      </w:r>
      <w:r w:rsidRPr="00DB5D0D">
        <w:rPr>
          <w:rFonts w:ascii="Times New Roman" w:hAnsi="Times New Roman"/>
          <w:color w:val="000000" w:themeColor="text1"/>
          <w:sz w:val="16"/>
          <w:szCs w:val="16"/>
        </w:rPr>
        <w:softHyphen/>
        <w:t>ложенными у места водителя. Управление радиаторными жалюзи осуществляется из боевого отделения, двумя рычагами и секто</w:t>
      </w:r>
      <w:r w:rsidRPr="00DB5D0D">
        <w:rPr>
          <w:rFonts w:ascii="Times New Roman" w:hAnsi="Times New Roman"/>
          <w:color w:val="000000" w:themeColor="text1"/>
          <w:sz w:val="16"/>
          <w:szCs w:val="16"/>
        </w:rPr>
        <w:softHyphen/>
        <w:t>рами, смонтированными на моторной перегородке, через неза</w:t>
      </w:r>
      <w:r w:rsidRPr="00DB5D0D">
        <w:rPr>
          <w:rFonts w:ascii="Times New Roman" w:hAnsi="Times New Roman"/>
          <w:color w:val="000000" w:themeColor="text1"/>
          <w:sz w:val="16"/>
          <w:szCs w:val="16"/>
        </w:rPr>
        <w:softHyphen/>
        <w:t>висимые приводы для правой и левой сторон.</w:t>
      </w:r>
    </w:p>
    <w:p w14:paraId="760F6C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защиты от грязи корпус снабжен грязевыми щитками и пол</w:t>
      </w:r>
      <w:r w:rsidRPr="00DB5D0D">
        <w:rPr>
          <w:rFonts w:ascii="Times New Roman" w:hAnsi="Times New Roman"/>
          <w:color w:val="000000" w:themeColor="text1"/>
          <w:sz w:val="16"/>
          <w:szCs w:val="16"/>
        </w:rPr>
        <w:softHyphen/>
        <w:t>ками над гусеницами. На носовой и кормовой частях корпуса уста</w:t>
      </w:r>
      <w:r w:rsidRPr="00DB5D0D">
        <w:rPr>
          <w:rFonts w:ascii="Times New Roman" w:hAnsi="Times New Roman"/>
          <w:color w:val="000000" w:themeColor="text1"/>
          <w:sz w:val="16"/>
          <w:szCs w:val="16"/>
        </w:rPr>
        <w:softHyphen/>
        <w:t>новлены по 2 буксирных рымы.</w:t>
      </w:r>
    </w:p>
    <w:p w14:paraId="48B5BA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Башня танка - установлена на шариковой опоре над боевым от</w:t>
      </w:r>
      <w:r w:rsidRPr="00DB5D0D">
        <w:rPr>
          <w:rFonts w:ascii="Times New Roman" w:hAnsi="Times New Roman"/>
          <w:color w:val="000000" w:themeColor="text1"/>
          <w:sz w:val="16"/>
          <w:szCs w:val="16"/>
        </w:rPr>
        <w:softHyphen/>
        <w:t>делением и представляет цельносварную коническую коробку с ни</w:t>
      </w:r>
      <w:r w:rsidRPr="00DB5D0D">
        <w:rPr>
          <w:rFonts w:ascii="Times New Roman" w:hAnsi="Times New Roman"/>
          <w:color w:val="000000" w:themeColor="text1"/>
          <w:sz w:val="16"/>
          <w:szCs w:val="16"/>
        </w:rPr>
        <w:softHyphen/>
        <w:t>шей в задней части. Все броневые листы башни соединены между собой в замок. Боковые листы башни изготовлены из 45 мм брони, установленной под углом 30° к вертикали, толщина броневых листов крыши равна 15 мм, а днища ниши - 13 мм. Диаметр башни в свету равен 1400мм.</w:t>
      </w:r>
    </w:p>
    <w:p w14:paraId="7ECE72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передней части башни, в маске, установлена танковая 76 мм пушка Л-11, спаренная с пулеметом «ДТ». Маска укреплена в сварной рамке внутри башни на цапфах, на которых она может проворачивать</w:t>
      </w:r>
      <w:r w:rsidRPr="00DB5D0D">
        <w:rPr>
          <w:rFonts w:ascii="Times New Roman" w:hAnsi="Times New Roman"/>
          <w:color w:val="000000" w:themeColor="text1"/>
          <w:sz w:val="16"/>
          <w:szCs w:val="16"/>
        </w:rPr>
        <w:softHyphen/>
        <w:t>ся по вертикали с помощью подъемного механизма. Предельный угол возвышения пушки и спаренного с ней пулемета составляет 30°, предельный угол снижения-5° на нос и борта, и 1,5° - на корму. Прицель</w:t>
      </w:r>
      <w:r w:rsidRPr="00DB5D0D">
        <w:rPr>
          <w:rFonts w:ascii="Times New Roman" w:hAnsi="Times New Roman"/>
          <w:color w:val="000000" w:themeColor="text1"/>
          <w:sz w:val="16"/>
          <w:szCs w:val="16"/>
        </w:rPr>
        <w:softHyphen/>
        <w:t>ным приспособлением для пушки и пулемета служит телескоп «ТОД» и перископ «ПТ-1». Фиксация маски при горизонтальном положении ствола орудия осуществляется стопором, расположенным справа у орудия.</w:t>
      </w:r>
    </w:p>
    <w:p w14:paraId="511AA7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Вращение башни осуществляется поворотным механизмом, уста</w:t>
      </w:r>
      <w:r w:rsidRPr="00DB5D0D">
        <w:rPr>
          <w:rFonts w:ascii="Times New Roman" w:hAnsi="Times New Roman"/>
          <w:color w:val="000000" w:themeColor="text1"/>
          <w:sz w:val="16"/>
          <w:szCs w:val="16"/>
        </w:rPr>
        <w:softHyphen/>
        <w:t>новленным в башне, слева по ходу машины. Шестерни вала поворотно</w:t>
      </w:r>
      <w:r w:rsidRPr="00DB5D0D">
        <w:rPr>
          <w:rFonts w:ascii="Times New Roman" w:hAnsi="Times New Roman"/>
          <w:color w:val="000000" w:themeColor="text1"/>
          <w:sz w:val="16"/>
          <w:szCs w:val="16"/>
        </w:rPr>
        <w:softHyphen/>
        <w:t>го механизма зацепляются с зубчатым венцом погона корпуса и имеют ручной и электрический приводы. Наличие в поворотном механизме планетарной передачи обеспечивает независимое действие обоих при</w:t>
      </w:r>
      <w:r w:rsidRPr="00DB5D0D">
        <w:rPr>
          <w:rFonts w:ascii="Times New Roman" w:hAnsi="Times New Roman"/>
          <w:color w:val="000000" w:themeColor="text1"/>
          <w:sz w:val="16"/>
          <w:szCs w:val="16"/>
        </w:rPr>
        <w:softHyphen/>
        <w:t>водов. Передаточное отношение механизма при ручном приводе 1=384. При работе поворотного механизма от электромотора последний мо</w:t>
      </w:r>
      <w:r w:rsidRPr="00DB5D0D">
        <w:rPr>
          <w:rFonts w:ascii="Times New Roman" w:hAnsi="Times New Roman"/>
          <w:color w:val="000000" w:themeColor="text1"/>
          <w:sz w:val="16"/>
          <w:szCs w:val="16"/>
        </w:rPr>
        <w:softHyphen/>
        <w:t>жет вращать башню с числом оборотов п=2:4,2 об/м. Башня может стопориться в любом положении стопором, установленным на задней стенке погона башни. На крыше башни смонтирован люк, уравнове</w:t>
      </w:r>
      <w:r w:rsidRPr="00DB5D0D">
        <w:rPr>
          <w:rFonts w:ascii="Times New Roman" w:hAnsi="Times New Roman"/>
          <w:color w:val="000000" w:themeColor="text1"/>
          <w:sz w:val="16"/>
          <w:szCs w:val="16"/>
        </w:rPr>
        <w:softHyphen/>
        <w:t>шенный внутренней пружиной и служащий для входа и выхода команды башни. На крышке люка имеется вентиляционный люк и лючок для сиг</w:t>
      </w:r>
      <w:r w:rsidRPr="00DB5D0D">
        <w:rPr>
          <w:rFonts w:ascii="Times New Roman" w:hAnsi="Times New Roman"/>
          <w:color w:val="000000" w:themeColor="text1"/>
          <w:sz w:val="16"/>
          <w:szCs w:val="16"/>
        </w:rPr>
        <w:softHyphen/>
        <w:t>нализации. Башня оборудована двумя открытыми сиденьями. В нише башни размещена рация 71 - ТК-3 (11768).</w:t>
      </w:r>
    </w:p>
    <w:p w14:paraId="069465E6"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9"/>
          <w:rFonts w:ascii="Times New Roman" w:hAnsi="Times New Roman" w:cs="Times New Roman"/>
          <w:b w:val="0"/>
          <w:bCs w:val="0"/>
          <w:i w:val="0"/>
          <w:iCs w:val="0"/>
          <w:color w:val="000000" w:themeColor="text1"/>
          <w:sz w:val="16"/>
          <w:szCs w:val="16"/>
          <w:lang w:val="ru-RU"/>
        </w:rPr>
        <w:t>Дизельмотор</w:t>
      </w:r>
      <w:r w:rsidRPr="00DB5D0D">
        <w:rPr>
          <w:rFonts w:ascii="Times New Roman" w:hAnsi="Times New Roman" w:cs="Times New Roman"/>
          <w:b w:val="0"/>
          <w:bCs w:val="0"/>
          <w:color w:val="000000" w:themeColor="text1"/>
          <w:sz w:val="16"/>
          <w:szCs w:val="16"/>
          <w:lang w:val="ru-RU"/>
        </w:rPr>
        <w:t xml:space="preserve"> - танка Т-34 марки В-2, блочной конструкции, 4-х тактный, 12-ти цилиндровый, водяного охлаждения с </w:t>
      </w:r>
      <w:r w:rsidRPr="00DB5D0D">
        <w:rPr>
          <w:rFonts w:ascii="Times New Roman" w:hAnsi="Times New Roman" w:cs="Times New Roman"/>
          <w:b w:val="0"/>
          <w:bCs w:val="0"/>
          <w:noProof w:val="0"/>
          <w:color w:val="000000" w:themeColor="text1"/>
          <w:sz w:val="16"/>
          <w:szCs w:val="16"/>
        </w:rPr>
        <w:t>V</w:t>
      </w:r>
      <w:r w:rsidRPr="00DB5D0D">
        <w:rPr>
          <w:rFonts w:ascii="Times New Roman" w:hAnsi="Times New Roman" w:cs="Times New Roman"/>
          <w:b w:val="0"/>
          <w:bCs w:val="0"/>
          <w:color w:val="000000" w:themeColor="text1"/>
          <w:sz w:val="16"/>
          <w:szCs w:val="16"/>
          <w:lang w:val="ru-RU"/>
        </w:rPr>
        <w:t>-образ- ным расположением цилиндров под углом 60°.</w:t>
      </w:r>
    </w:p>
    <w:p w14:paraId="0615CF5F"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Максимальная мощность мотора при п - 1800об/мин равна 500л.с. крепится к фундаменту 8-ю болтами, из них 6 - с зазором в отвер</w:t>
      </w:r>
      <w:r w:rsidRPr="00DB5D0D">
        <w:rPr>
          <w:rFonts w:ascii="Times New Roman" w:hAnsi="Times New Roman" w:cs="Times New Roman"/>
          <w:b w:val="0"/>
          <w:bCs w:val="0"/>
          <w:color w:val="000000" w:themeColor="text1"/>
          <w:sz w:val="16"/>
          <w:szCs w:val="16"/>
          <w:lang w:val="ru-RU"/>
        </w:rPr>
        <w:softHyphen/>
        <w:t>стиях и 2 - призонных, препятствующих перемещению двигателя при увеличении температуры картера в сторону коробки передач и нарушению положения оси двигателя относительно оси коробки пе</w:t>
      </w:r>
      <w:r w:rsidRPr="00DB5D0D">
        <w:rPr>
          <w:rFonts w:ascii="Times New Roman" w:hAnsi="Times New Roman" w:cs="Times New Roman"/>
          <w:b w:val="0"/>
          <w:bCs w:val="0"/>
          <w:color w:val="000000" w:themeColor="text1"/>
          <w:sz w:val="16"/>
          <w:szCs w:val="16"/>
          <w:lang w:val="ru-RU"/>
        </w:rPr>
        <w:softHyphen/>
        <w:t>редач, устанавливаемых по специальным техническим условиям. Соединение двигателя с коробкой передач полужесткое, через зуб</w:t>
      </w:r>
      <w:r w:rsidRPr="00DB5D0D">
        <w:rPr>
          <w:rFonts w:ascii="Times New Roman" w:hAnsi="Times New Roman" w:cs="Times New Roman"/>
          <w:b w:val="0"/>
          <w:bCs w:val="0"/>
          <w:color w:val="000000" w:themeColor="text1"/>
          <w:sz w:val="16"/>
          <w:szCs w:val="16"/>
          <w:lang w:val="ru-RU"/>
        </w:rPr>
        <w:softHyphen/>
        <w:t>чатую муфту.</w:t>
      </w:r>
    </w:p>
    <w:p w14:paraId="0DC12670"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Топливом для двигателя служит газойль марки «Э» или «ДТ». Удельный вес 0,876...</w:t>
      </w:r>
    </w:p>
    <w:p w14:paraId="45EC4FA2"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9"/>
          <w:rFonts w:ascii="Times New Roman" w:hAnsi="Times New Roman" w:cs="Times New Roman"/>
          <w:b w:val="0"/>
          <w:bCs w:val="0"/>
          <w:i w:val="0"/>
          <w:iCs w:val="0"/>
          <w:color w:val="000000" w:themeColor="text1"/>
          <w:sz w:val="16"/>
          <w:szCs w:val="16"/>
          <w:lang w:val="ru-RU"/>
        </w:rPr>
        <w:t>Система охлаждения</w:t>
      </w:r>
      <w:r w:rsidRPr="00DB5D0D">
        <w:rPr>
          <w:rFonts w:ascii="Times New Roman" w:hAnsi="Times New Roman" w:cs="Times New Roman"/>
          <w:b w:val="0"/>
          <w:bCs w:val="0"/>
          <w:color w:val="000000" w:themeColor="text1"/>
          <w:sz w:val="16"/>
          <w:szCs w:val="16"/>
          <w:lang w:val="ru-RU"/>
        </w:rPr>
        <w:t xml:space="preserve"> - состоит из 2-х радиаторов, расположен</w:t>
      </w:r>
      <w:r w:rsidRPr="00DB5D0D">
        <w:rPr>
          <w:rFonts w:ascii="Times New Roman" w:hAnsi="Times New Roman" w:cs="Times New Roman"/>
          <w:b w:val="0"/>
          <w:bCs w:val="0"/>
          <w:color w:val="000000" w:themeColor="text1"/>
          <w:sz w:val="16"/>
          <w:szCs w:val="16"/>
          <w:lang w:val="ru-RU"/>
        </w:rPr>
        <w:softHyphen/>
        <w:t>ных слева и справа двигателя, отдающих тепло омывающему их воз</w:t>
      </w:r>
      <w:r w:rsidRPr="00DB5D0D">
        <w:rPr>
          <w:rFonts w:ascii="Times New Roman" w:hAnsi="Times New Roman" w:cs="Times New Roman"/>
          <w:b w:val="0"/>
          <w:bCs w:val="0"/>
          <w:color w:val="000000" w:themeColor="text1"/>
          <w:sz w:val="16"/>
          <w:szCs w:val="16"/>
          <w:lang w:val="ru-RU"/>
        </w:rPr>
        <w:softHyphen/>
        <w:t>духу, тройника с воздушным клапаном, установленного над мото</w:t>
      </w:r>
      <w:r w:rsidRPr="00DB5D0D">
        <w:rPr>
          <w:rFonts w:ascii="Times New Roman" w:hAnsi="Times New Roman" w:cs="Times New Roman"/>
          <w:b w:val="0"/>
          <w:bCs w:val="0"/>
          <w:color w:val="000000" w:themeColor="text1"/>
          <w:sz w:val="16"/>
          <w:szCs w:val="16"/>
          <w:lang w:val="ru-RU"/>
        </w:rPr>
        <w:softHyphen/>
        <w:t>ром (тройник служит для заливки системы водой); парового клапа</w:t>
      </w:r>
      <w:r w:rsidRPr="00DB5D0D">
        <w:rPr>
          <w:rFonts w:ascii="Times New Roman" w:hAnsi="Times New Roman" w:cs="Times New Roman"/>
          <w:b w:val="0"/>
          <w:bCs w:val="0"/>
          <w:color w:val="000000" w:themeColor="text1"/>
          <w:sz w:val="16"/>
          <w:szCs w:val="16"/>
          <w:lang w:val="ru-RU"/>
        </w:rPr>
        <w:softHyphen/>
        <w:t>на, установленного у моторной перегородки и трубопроводов, со</w:t>
      </w:r>
      <w:r w:rsidRPr="00DB5D0D">
        <w:rPr>
          <w:rFonts w:ascii="Times New Roman" w:hAnsi="Times New Roman" w:cs="Times New Roman"/>
          <w:b w:val="0"/>
          <w:bCs w:val="0"/>
          <w:color w:val="000000" w:themeColor="text1"/>
          <w:sz w:val="16"/>
          <w:szCs w:val="16"/>
          <w:lang w:val="ru-RU"/>
        </w:rPr>
        <w:softHyphen/>
        <w:t>единяемых дюритовыми шлангами. Система охлаждения закрытого типа - сообщается с атмосферой через паровой клапан, открываю</w:t>
      </w:r>
      <w:r w:rsidRPr="00DB5D0D">
        <w:rPr>
          <w:rFonts w:ascii="Times New Roman" w:hAnsi="Times New Roman" w:cs="Times New Roman"/>
          <w:b w:val="0"/>
          <w:bCs w:val="0"/>
          <w:color w:val="000000" w:themeColor="text1"/>
          <w:sz w:val="16"/>
          <w:szCs w:val="16"/>
          <w:lang w:val="ru-RU"/>
        </w:rPr>
        <w:softHyphen/>
        <w:t>щийся при давлении внутри системы равном 1,6-1,8 атм. абс. пре</w:t>
      </w:r>
      <w:r w:rsidRPr="00DB5D0D">
        <w:rPr>
          <w:rFonts w:ascii="Times New Roman" w:hAnsi="Times New Roman" w:cs="Times New Roman"/>
          <w:b w:val="0"/>
          <w:bCs w:val="0"/>
          <w:color w:val="000000" w:themeColor="text1"/>
          <w:sz w:val="16"/>
          <w:szCs w:val="16"/>
          <w:lang w:val="ru-RU"/>
        </w:rPr>
        <w:softHyphen/>
        <w:t>дохраняя таким образом радиаторы от раздутия внутренним давле-нием и через воздушный клапан, открывающийся при давлении внут</w:t>
      </w:r>
      <w:r w:rsidRPr="00DB5D0D">
        <w:rPr>
          <w:rFonts w:ascii="Times New Roman" w:hAnsi="Times New Roman" w:cs="Times New Roman"/>
          <w:b w:val="0"/>
          <w:bCs w:val="0"/>
          <w:color w:val="000000" w:themeColor="text1"/>
          <w:sz w:val="16"/>
          <w:szCs w:val="16"/>
          <w:lang w:val="ru-RU"/>
        </w:rPr>
        <w:softHyphen/>
        <w:t>ри системы, равном 0,87-0,92 атм. абс., предохраняя радиаторы от разрушения внешним давлением. В связи с тем, что паровой клапан отрегулирован на давление в системе 1,6-1,8 атм. абс., температу</w:t>
      </w:r>
      <w:r w:rsidRPr="00DB5D0D">
        <w:rPr>
          <w:rFonts w:ascii="Times New Roman" w:hAnsi="Times New Roman" w:cs="Times New Roman"/>
          <w:b w:val="0"/>
          <w:bCs w:val="0"/>
          <w:color w:val="000000" w:themeColor="text1"/>
          <w:sz w:val="16"/>
          <w:szCs w:val="16"/>
          <w:lang w:val="ru-RU"/>
        </w:rPr>
        <w:softHyphen/>
        <w:t>ра кипения воды в системе находится в пределах 112-116°С. Ем</w:t>
      </w:r>
      <w:r w:rsidRPr="00DB5D0D">
        <w:rPr>
          <w:rFonts w:ascii="Times New Roman" w:hAnsi="Times New Roman" w:cs="Times New Roman"/>
          <w:b w:val="0"/>
          <w:bCs w:val="0"/>
          <w:color w:val="000000" w:themeColor="text1"/>
          <w:sz w:val="16"/>
          <w:szCs w:val="16"/>
          <w:lang w:val="ru-RU"/>
        </w:rPr>
        <w:softHyphen/>
        <w:t>кость системы составляет 90-95литров...</w:t>
      </w:r>
    </w:p>
    <w:p w14:paraId="15B7D57E"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9"/>
          <w:rFonts w:ascii="Times New Roman" w:hAnsi="Times New Roman" w:cs="Times New Roman"/>
          <w:b w:val="0"/>
          <w:bCs w:val="0"/>
          <w:i w:val="0"/>
          <w:iCs w:val="0"/>
          <w:color w:val="000000" w:themeColor="text1"/>
          <w:sz w:val="16"/>
          <w:szCs w:val="16"/>
          <w:lang w:val="ru-RU"/>
        </w:rPr>
        <w:t>Система смазки</w:t>
      </w:r>
      <w:r w:rsidRPr="00DB5D0D">
        <w:rPr>
          <w:rFonts w:ascii="Times New Roman" w:hAnsi="Times New Roman" w:cs="Times New Roman"/>
          <w:b w:val="0"/>
          <w:bCs w:val="0"/>
          <w:color w:val="000000" w:themeColor="text1"/>
          <w:sz w:val="16"/>
          <w:szCs w:val="16"/>
          <w:lang w:val="ru-RU"/>
        </w:rPr>
        <w:t xml:space="preserve"> - состоит из двух баков-радиаторов, разме</w:t>
      </w:r>
      <w:r w:rsidRPr="00DB5D0D">
        <w:rPr>
          <w:rFonts w:ascii="Times New Roman" w:hAnsi="Times New Roman" w:cs="Times New Roman"/>
          <w:b w:val="0"/>
          <w:bCs w:val="0"/>
          <w:color w:val="000000" w:themeColor="text1"/>
          <w:sz w:val="16"/>
          <w:szCs w:val="16"/>
          <w:lang w:val="ru-RU"/>
        </w:rPr>
        <w:softHyphen/>
        <w:t>щенных по бортам машины в моторном отделении, помещающих в себе масло и отдающих тепло омывающему их воздуху, запор</w:t>
      </w:r>
      <w:r w:rsidRPr="00DB5D0D">
        <w:rPr>
          <w:rFonts w:ascii="Times New Roman" w:hAnsi="Times New Roman" w:cs="Times New Roman"/>
          <w:b w:val="0"/>
          <w:bCs w:val="0"/>
          <w:color w:val="000000" w:themeColor="text1"/>
          <w:sz w:val="16"/>
          <w:szCs w:val="16"/>
          <w:lang w:val="ru-RU"/>
        </w:rPr>
        <w:softHyphen/>
        <w:t>ного крана, служащего для отключения баков-радиаторов, чтобы масло не имело возможности переливаться в картер при нерабо</w:t>
      </w:r>
      <w:r w:rsidRPr="00DB5D0D">
        <w:rPr>
          <w:rFonts w:ascii="Times New Roman" w:hAnsi="Times New Roman" w:cs="Times New Roman"/>
          <w:b w:val="0"/>
          <w:bCs w:val="0"/>
          <w:color w:val="000000" w:themeColor="text1"/>
          <w:sz w:val="16"/>
          <w:szCs w:val="16"/>
          <w:lang w:val="ru-RU"/>
        </w:rPr>
        <w:softHyphen/>
        <w:t>тающем двигателе, расширительного бачка, распределяющего выходящее из мотора масло в оба бака-радиатора и трубопро</w:t>
      </w:r>
      <w:r w:rsidRPr="00DB5D0D">
        <w:rPr>
          <w:rFonts w:ascii="Times New Roman" w:hAnsi="Times New Roman" w:cs="Times New Roman"/>
          <w:b w:val="0"/>
          <w:bCs w:val="0"/>
          <w:color w:val="000000" w:themeColor="text1"/>
          <w:sz w:val="16"/>
          <w:szCs w:val="16"/>
          <w:lang w:val="ru-RU"/>
        </w:rPr>
        <w:softHyphen/>
        <w:t>вод. В зависимости от температуры окружающего воздуха радиа</w:t>
      </w:r>
      <w:r w:rsidRPr="00DB5D0D">
        <w:rPr>
          <w:rFonts w:ascii="Times New Roman" w:hAnsi="Times New Roman" w:cs="Times New Roman"/>
          <w:b w:val="0"/>
          <w:bCs w:val="0"/>
          <w:color w:val="000000" w:themeColor="text1"/>
          <w:sz w:val="16"/>
          <w:szCs w:val="16"/>
          <w:lang w:val="ru-RU"/>
        </w:rPr>
        <w:softHyphen/>
        <w:t>торы, изготовленные заодно с баками, могут быть включены или отключены перепускными кранами, смонтированными непосред</w:t>
      </w:r>
      <w:r w:rsidRPr="00DB5D0D">
        <w:rPr>
          <w:rFonts w:ascii="Times New Roman" w:hAnsi="Times New Roman" w:cs="Times New Roman"/>
          <w:b w:val="0"/>
          <w:bCs w:val="0"/>
          <w:color w:val="000000" w:themeColor="text1"/>
          <w:sz w:val="16"/>
          <w:szCs w:val="16"/>
          <w:lang w:val="ru-RU"/>
        </w:rPr>
        <w:softHyphen/>
        <w:t>ственно на баках. При повреждении одного из баков-радиаторов, последний может быть отключен от системы. Отключение должнопроизводиться одновременно как запорным краном, так и перепускным и притом обязательно при нерабо</w:t>
      </w:r>
      <w:r w:rsidRPr="00DB5D0D">
        <w:rPr>
          <w:rFonts w:ascii="Times New Roman" w:hAnsi="Times New Roman" w:cs="Times New Roman"/>
          <w:b w:val="0"/>
          <w:bCs w:val="0"/>
          <w:color w:val="000000" w:themeColor="text1"/>
          <w:sz w:val="16"/>
          <w:szCs w:val="16"/>
          <w:lang w:val="ru-RU"/>
        </w:rPr>
        <w:softHyphen/>
        <w:t>тающем двигателе... Полная емкость каждого бака - 57 литров, заправочная - 40 л. Минимальное допус</w:t>
      </w:r>
      <w:r w:rsidRPr="00DB5D0D">
        <w:rPr>
          <w:rFonts w:ascii="Times New Roman" w:hAnsi="Times New Roman" w:cs="Times New Roman"/>
          <w:b w:val="0"/>
          <w:bCs w:val="0"/>
          <w:color w:val="000000" w:themeColor="text1"/>
          <w:sz w:val="16"/>
          <w:szCs w:val="16"/>
          <w:lang w:val="ru-RU"/>
        </w:rPr>
        <w:softHyphen/>
        <w:t>тимое количество масла в баках-радиаторах 10- 15 л в каждом...</w:t>
      </w:r>
    </w:p>
    <w:p w14:paraId="4885FBDE"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Масло очищается от примесей фильтром, установ</w:t>
      </w:r>
      <w:r w:rsidRPr="00DB5D0D">
        <w:rPr>
          <w:rFonts w:ascii="Times New Roman" w:hAnsi="Times New Roman" w:cs="Times New Roman"/>
          <w:b w:val="0"/>
          <w:bCs w:val="0"/>
          <w:color w:val="000000" w:themeColor="text1"/>
          <w:sz w:val="16"/>
          <w:szCs w:val="16"/>
          <w:lang w:val="ru-RU"/>
        </w:rPr>
        <w:softHyphen/>
        <w:t>ленным на двигателе...</w:t>
      </w:r>
    </w:p>
    <w:p w14:paraId="571C5D39"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80"/>
          <w:rFonts w:ascii="Times New Roman" w:hAnsi="Times New Roman" w:cs="Times New Roman"/>
          <w:b w:val="0"/>
          <w:bCs w:val="0"/>
          <w:i w:val="0"/>
          <w:iCs w:val="0"/>
          <w:color w:val="000000" w:themeColor="text1"/>
          <w:sz w:val="16"/>
          <w:szCs w:val="16"/>
          <w:lang w:val="ru-RU"/>
        </w:rPr>
        <w:t>Воздухоочиститель</w:t>
      </w:r>
      <w:r w:rsidRPr="00DB5D0D">
        <w:rPr>
          <w:rFonts w:ascii="Times New Roman" w:hAnsi="Times New Roman" w:cs="Times New Roman"/>
          <w:b w:val="0"/>
          <w:bCs w:val="0"/>
          <w:color w:val="000000" w:themeColor="text1"/>
          <w:sz w:val="16"/>
          <w:szCs w:val="16"/>
          <w:lang w:val="ru-RU"/>
        </w:rPr>
        <w:t xml:space="preserve"> установлен непосредственно на всасывающих коллекторах двигателя и принадлежит к группе очистителей комбинированного типа. Очище</w:t>
      </w:r>
      <w:r w:rsidRPr="00DB5D0D">
        <w:rPr>
          <w:rFonts w:ascii="Times New Roman" w:hAnsi="Times New Roman" w:cs="Times New Roman"/>
          <w:b w:val="0"/>
          <w:bCs w:val="0"/>
          <w:color w:val="000000" w:themeColor="text1"/>
          <w:sz w:val="16"/>
          <w:szCs w:val="16"/>
          <w:lang w:val="ru-RU"/>
        </w:rPr>
        <w:softHyphen/>
        <w:t>ние от пыли происходит при повороте воздуха над мас</w:t>
      </w:r>
      <w:r w:rsidRPr="00DB5D0D">
        <w:rPr>
          <w:rFonts w:ascii="Times New Roman" w:hAnsi="Times New Roman" w:cs="Times New Roman"/>
          <w:b w:val="0"/>
          <w:bCs w:val="0"/>
          <w:color w:val="000000" w:themeColor="text1"/>
          <w:sz w:val="16"/>
          <w:szCs w:val="16"/>
          <w:lang w:val="ru-RU"/>
        </w:rPr>
        <w:softHyphen/>
        <w:t>ляной ванной вследствие возникновения центробеж</w:t>
      </w:r>
      <w:r w:rsidRPr="00DB5D0D">
        <w:rPr>
          <w:rFonts w:ascii="Times New Roman" w:hAnsi="Times New Roman" w:cs="Times New Roman"/>
          <w:b w:val="0"/>
          <w:bCs w:val="0"/>
          <w:color w:val="000000" w:themeColor="text1"/>
          <w:sz w:val="16"/>
          <w:szCs w:val="16"/>
          <w:lang w:val="ru-RU"/>
        </w:rPr>
        <w:softHyphen/>
        <w:t>ных сил в частицах пыли и при прохождении воздуха через фильтрующий элемент - промасленную канитель. В первом случае выделяются крупные частицы, во вто</w:t>
      </w:r>
      <w:r w:rsidRPr="00DB5D0D">
        <w:rPr>
          <w:rFonts w:ascii="Times New Roman" w:hAnsi="Times New Roman" w:cs="Times New Roman"/>
          <w:b w:val="0"/>
          <w:bCs w:val="0"/>
          <w:color w:val="000000" w:themeColor="text1"/>
          <w:sz w:val="16"/>
          <w:szCs w:val="16"/>
          <w:lang w:val="ru-RU"/>
        </w:rPr>
        <w:softHyphen/>
        <w:t>ром - мелкие. Период работы воздухоочистителя до помывки зависит от времени года и местности, на ко</w:t>
      </w:r>
      <w:r w:rsidRPr="00DB5D0D">
        <w:rPr>
          <w:rFonts w:ascii="Times New Roman" w:hAnsi="Times New Roman" w:cs="Times New Roman"/>
          <w:b w:val="0"/>
          <w:bCs w:val="0"/>
          <w:color w:val="000000" w:themeColor="text1"/>
          <w:sz w:val="16"/>
          <w:szCs w:val="16"/>
          <w:lang w:val="ru-RU"/>
        </w:rPr>
        <w:softHyphen/>
        <w:t>торой эксплуатируется машина, но не должен превы</w:t>
      </w:r>
      <w:r w:rsidRPr="00DB5D0D">
        <w:rPr>
          <w:rFonts w:ascii="Times New Roman" w:hAnsi="Times New Roman" w:cs="Times New Roman"/>
          <w:b w:val="0"/>
          <w:bCs w:val="0"/>
          <w:color w:val="000000" w:themeColor="text1"/>
          <w:sz w:val="16"/>
          <w:szCs w:val="16"/>
          <w:lang w:val="ru-RU"/>
        </w:rPr>
        <w:softHyphen/>
        <w:t>шать десяти часов работы двигателя. Емкость масля</w:t>
      </w:r>
      <w:r w:rsidRPr="00DB5D0D">
        <w:rPr>
          <w:rFonts w:ascii="Times New Roman" w:hAnsi="Times New Roman" w:cs="Times New Roman"/>
          <w:b w:val="0"/>
          <w:bCs w:val="0"/>
          <w:color w:val="000000" w:themeColor="text1"/>
          <w:sz w:val="16"/>
          <w:szCs w:val="16"/>
          <w:lang w:val="ru-RU"/>
        </w:rPr>
        <w:softHyphen/>
        <w:t>ной ванны воздухоочистителя - 1 л.</w:t>
      </w:r>
    </w:p>
    <w:p w14:paraId="76312AEC"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80"/>
          <w:rFonts w:ascii="Times New Roman" w:hAnsi="Times New Roman" w:cs="Times New Roman"/>
          <w:b w:val="0"/>
          <w:bCs w:val="0"/>
          <w:i w:val="0"/>
          <w:iCs w:val="0"/>
          <w:color w:val="000000" w:themeColor="text1"/>
          <w:sz w:val="16"/>
          <w:szCs w:val="16"/>
          <w:lang w:val="ru-RU"/>
        </w:rPr>
        <w:t>Топливная система</w:t>
      </w:r>
      <w:r w:rsidRPr="00DB5D0D">
        <w:rPr>
          <w:rFonts w:ascii="Times New Roman" w:hAnsi="Times New Roman" w:cs="Times New Roman"/>
          <w:b w:val="0"/>
          <w:bCs w:val="0"/>
          <w:color w:val="000000" w:themeColor="text1"/>
          <w:sz w:val="16"/>
          <w:szCs w:val="16"/>
          <w:lang w:val="ru-RU"/>
        </w:rPr>
        <w:t xml:space="preserve"> состоит из: двух кормовых баков, соеди</w:t>
      </w:r>
      <w:r w:rsidRPr="00DB5D0D">
        <w:rPr>
          <w:rFonts w:ascii="Times New Roman" w:hAnsi="Times New Roman" w:cs="Times New Roman"/>
          <w:b w:val="0"/>
          <w:bCs w:val="0"/>
          <w:color w:val="000000" w:themeColor="text1"/>
          <w:sz w:val="16"/>
          <w:szCs w:val="16"/>
          <w:lang w:val="ru-RU"/>
        </w:rPr>
        <w:softHyphen/>
        <w:t>ненных между собой трубкой, 2-х баков передних, расположен</w:t>
      </w:r>
      <w:r w:rsidRPr="00DB5D0D">
        <w:rPr>
          <w:rFonts w:ascii="Times New Roman" w:hAnsi="Times New Roman" w:cs="Times New Roman"/>
          <w:b w:val="0"/>
          <w:bCs w:val="0"/>
          <w:color w:val="000000" w:themeColor="text1"/>
          <w:sz w:val="16"/>
          <w:szCs w:val="16"/>
          <w:lang w:val="ru-RU"/>
        </w:rPr>
        <w:softHyphen/>
        <w:t>ных в боевом отделении по бортам (каждый передний бак состо</w:t>
      </w:r>
      <w:r w:rsidRPr="00DB5D0D">
        <w:rPr>
          <w:rFonts w:ascii="Times New Roman" w:hAnsi="Times New Roman" w:cs="Times New Roman"/>
          <w:b w:val="0"/>
          <w:bCs w:val="0"/>
          <w:color w:val="000000" w:themeColor="text1"/>
          <w:sz w:val="16"/>
          <w:szCs w:val="16"/>
          <w:lang w:val="ru-RU"/>
        </w:rPr>
        <w:softHyphen/>
        <w:t>ит из двух бачков - верхнего и нижнего, соединенных между со</w:t>
      </w:r>
      <w:r w:rsidRPr="00DB5D0D">
        <w:rPr>
          <w:rFonts w:ascii="Times New Roman" w:hAnsi="Times New Roman" w:cs="Times New Roman"/>
          <w:b w:val="0"/>
          <w:bCs w:val="0"/>
          <w:color w:val="000000" w:themeColor="text1"/>
          <w:sz w:val="16"/>
          <w:szCs w:val="16"/>
          <w:lang w:val="ru-RU"/>
        </w:rPr>
        <w:softHyphen/>
        <w:t>бой), трубопровода, подсоединяющего баки к распределитель</w:t>
      </w:r>
      <w:r w:rsidRPr="00DB5D0D">
        <w:rPr>
          <w:rFonts w:ascii="Times New Roman" w:hAnsi="Times New Roman" w:cs="Times New Roman"/>
          <w:b w:val="0"/>
          <w:bCs w:val="0"/>
          <w:color w:val="000000" w:themeColor="text1"/>
          <w:sz w:val="16"/>
          <w:szCs w:val="16"/>
          <w:lang w:val="ru-RU"/>
        </w:rPr>
        <w:softHyphen/>
        <w:t>ному крану, трубопровода, соединяющего распределительный кран с подкачивающей помпой двигателя, воздушного насоса, краника и трубопровода, соединяющего их между собой и с бака</w:t>
      </w:r>
      <w:r w:rsidRPr="00DB5D0D">
        <w:rPr>
          <w:rFonts w:ascii="Times New Roman" w:hAnsi="Times New Roman" w:cs="Times New Roman"/>
          <w:b w:val="0"/>
          <w:bCs w:val="0"/>
          <w:color w:val="000000" w:themeColor="text1"/>
          <w:sz w:val="16"/>
          <w:szCs w:val="16"/>
          <w:lang w:val="ru-RU"/>
        </w:rPr>
        <w:softHyphen/>
        <w:t>ми (для подачи воздуха в баки перед запуском двигателя для за-</w:t>
      </w:r>
    </w:p>
    <w:p w14:paraId="57488A0E"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полнения трубопровода топливом). Топливо очища</w:t>
      </w:r>
      <w:r w:rsidRPr="00DB5D0D">
        <w:rPr>
          <w:rFonts w:ascii="Times New Roman" w:hAnsi="Times New Roman" w:cs="Times New Roman"/>
          <w:b w:val="0"/>
          <w:bCs w:val="0"/>
          <w:color w:val="000000" w:themeColor="text1"/>
          <w:sz w:val="16"/>
          <w:szCs w:val="16"/>
          <w:lang w:val="ru-RU"/>
        </w:rPr>
        <w:softHyphen/>
        <w:t>ется фильтром, установленным на двигателе... Сум</w:t>
      </w:r>
      <w:r w:rsidRPr="00DB5D0D">
        <w:rPr>
          <w:rFonts w:ascii="Times New Roman" w:hAnsi="Times New Roman" w:cs="Times New Roman"/>
          <w:b w:val="0"/>
          <w:bCs w:val="0"/>
          <w:color w:val="000000" w:themeColor="text1"/>
          <w:sz w:val="16"/>
          <w:szCs w:val="16"/>
          <w:lang w:val="ru-RU"/>
        </w:rPr>
        <w:softHyphen/>
        <w:t>марная емкость баков - 465 литров.</w:t>
      </w:r>
    </w:p>
    <w:p w14:paraId="14E531B3"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80"/>
          <w:rFonts w:ascii="Times New Roman" w:hAnsi="Times New Roman" w:cs="Times New Roman"/>
          <w:b w:val="0"/>
          <w:bCs w:val="0"/>
          <w:i w:val="0"/>
          <w:iCs w:val="0"/>
          <w:color w:val="000000" w:themeColor="text1"/>
          <w:sz w:val="16"/>
          <w:szCs w:val="16"/>
          <w:lang w:val="ru-RU"/>
        </w:rPr>
        <w:t>Выхлопной трубопровод</w:t>
      </w:r>
      <w:r w:rsidRPr="00DB5D0D">
        <w:rPr>
          <w:rFonts w:ascii="Times New Roman" w:hAnsi="Times New Roman" w:cs="Times New Roman"/>
          <w:b w:val="0"/>
          <w:bCs w:val="0"/>
          <w:color w:val="000000" w:themeColor="text1"/>
          <w:sz w:val="16"/>
          <w:szCs w:val="16"/>
          <w:lang w:val="ru-RU"/>
        </w:rPr>
        <w:t xml:space="preserve"> предназначен для отвода за пределы танка продуктов сгорания топлива в двига</w:t>
      </w:r>
      <w:r w:rsidRPr="00DB5D0D">
        <w:rPr>
          <w:rFonts w:ascii="Times New Roman" w:hAnsi="Times New Roman" w:cs="Times New Roman"/>
          <w:b w:val="0"/>
          <w:bCs w:val="0"/>
          <w:color w:val="000000" w:themeColor="text1"/>
          <w:sz w:val="16"/>
          <w:szCs w:val="16"/>
          <w:lang w:val="ru-RU"/>
        </w:rPr>
        <w:softHyphen/>
        <w:t>теле и состоит из двух труб, идущих от двигателя к кор</w:t>
      </w:r>
      <w:r w:rsidRPr="00DB5D0D">
        <w:rPr>
          <w:rFonts w:ascii="Times New Roman" w:hAnsi="Times New Roman" w:cs="Times New Roman"/>
          <w:b w:val="0"/>
          <w:bCs w:val="0"/>
          <w:color w:val="000000" w:themeColor="text1"/>
          <w:sz w:val="16"/>
          <w:szCs w:val="16"/>
          <w:lang w:val="ru-RU"/>
        </w:rPr>
        <w:softHyphen/>
        <w:t>ме через трансмиссионное отделение и выходящих затем наружу через задний наклонный лист корпуса.</w:t>
      </w:r>
    </w:p>
    <w:p w14:paraId="37B0681C"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80"/>
          <w:rFonts w:ascii="Times New Roman" w:hAnsi="Times New Roman" w:cs="Times New Roman"/>
          <w:b w:val="0"/>
          <w:bCs w:val="0"/>
          <w:i w:val="0"/>
          <w:iCs w:val="0"/>
          <w:color w:val="000000" w:themeColor="text1"/>
          <w:sz w:val="16"/>
          <w:szCs w:val="16"/>
          <w:lang w:val="ru-RU"/>
        </w:rPr>
        <w:t>Центробежный вентилятор</w:t>
      </w:r>
      <w:r w:rsidRPr="00DB5D0D">
        <w:rPr>
          <w:rFonts w:ascii="Times New Roman" w:hAnsi="Times New Roman" w:cs="Times New Roman"/>
          <w:b w:val="0"/>
          <w:bCs w:val="0"/>
          <w:color w:val="000000" w:themeColor="text1"/>
          <w:sz w:val="16"/>
          <w:szCs w:val="16"/>
          <w:lang w:val="ru-RU"/>
        </w:rPr>
        <w:t xml:space="preserve"> установленный на ма</w:t>
      </w:r>
      <w:r w:rsidRPr="00DB5D0D">
        <w:rPr>
          <w:rFonts w:ascii="Times New Roman" w:hAnsi="Times New Roman" w:cs="Times New Roman"/>
          <w:b w:val="0"/>
          <w:bCs w:val="0"/>
          <w:color w:val="000000" w:themeColor="text1"/>
          <w:sz w:val="16"/>
          <w:szCs w:val="16"/>
          <w:lang w:val="ru-RU"/>
        </w:rPr>
        <w:softHyphen/>
        <w:t>ховике главного фрикциона, вращающийся с числом оборотов, равным числу оборотов двигателя, предназ</w:t>
      </w:r>
      <w:r w:rsidRPr="00DB5D0D">
        <w:rPr>
          <w:rFonts w:ascii="Times New Roman" w:hAnsi="Times New Roman" w:cs="Times New Roman"/>
          <w:b w:val="0"/>
          <w:bCs w:val="0"/>
          <w:color w:val="000000" w:themeColor="text1"/>
          <w:sz w:val="16"/>
          <w:szCs w:val="16"/>
          <w:lang w:val="ru-RU"/>
        </w:rPr>
        <w:softHyphen/>
        <w:t>начается для всасывания окружающего воздуха в ма</w:t>
      </w:r>
      <w:r w:rsidRPr="00DB5D0D">
        <w:rPr>
          <w:rFonts w:ascii="Times New Roman" w:hAnsi="Times New Roman" w:cs="Times New Roman"/>
          <w:b w:val="0"/>
          <w:bCs w:val="0"/>
          <w:color w:val="000000" w:themeColor="text1"/>
          <w:sz w:val="16"/>
          <w:szCs w:val="16"/>
          <w:lang w:val="ru-RU"/>
        </w:rPr>
        <w:softHyphen/>
        <w:t>шину и выбрасывания его затем наружу. Всасываемый воздух необходим для обдувки водяных и масляных радиаторов, коробки перемены передач и компрессо</w:t>
      </w:r>
      <w:r w:rsidRPr="00DB5D0D">
        <w:rPr>
          <w:rFonts w:ascii="Times New Roman" w:hAnsi="Times New Roman" w:cs="Times New Roman"/>
          <w:b w:val="0"/>
          <w:bCs w:val="0"/>
          <w:color w:val="000000" w:themeColor="text1"/>
          <w:sz w:val="16"/>
          <w:szCs w:val="16"/>
          <w:lang w:val="ru-RU"/>
        </w:rPr>
        <w:softHyphen/>
        <w:t>ра в целях охлаждения этих агрегатов во избежание перегрева. Вентилятор состоит из основного диска, лопаток и направляющего кольца с накладкой, соеди</w:t>
      </w:r>
      <w:r w:rsidRPr="00DB5D0D">
        <w:rPr>
          <w:rFonts w:ascii="Times New Roman" w:hAnsi="Times New Roman" w:cs="Times New Roman"/>
          <w:b w:val="0"/>
          <w:bCs w:val="0"/>
          <w:color w:val="000000" w:themeColor="text1"/>
          <w:sz w:val="16"/>
          <w:szCs w:val="16"/>
          <w:lang w:val="ru-RU"/>
        </w:rPr>
        <w:softHyphen/>
        <w:t>ненных между собой заклепками.</w:t>
      </w:r>
    </w:p>
    <w:p w14:paraId="0596C9F9"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80"/>
          <w:rFonts w:ascii="Times New Roman" w:hAnsi="Times New Roman" w:cs="Times New Roman"/>
          <w:b w:val="0"/>
          <w:bCs w:val="0"/>
          <w:i w:val="0"/>
          <w:iCs w:val="0"/>
          <w:color w:val="000000" w:themeColor="text1"/>
          <w:sz w:val="16"/>
          <w:szCs w:val="16"/>
          <w:lang w:val="ru-RU"/>
        </w:rPr>
        <w:t>Привод к плунжерному насосу</w:t>
      </w:r>
      <w:r w:rsidRPr="00DB5D0D">
        <w:rPr>
          <w:rFonts w:ascii="Times New Roman" w:hAnsi="Times New Roman" w:cs="Times New Roman"/>
          <w:b w:val="0"/>
          <w:bCs w:val="0"/>
          <w:color w:val="000000" w:themeColor="text1"/>
          <w:sz w:val="16"/>
          <w:szCs w:val="16"/>
          <w:lang w:val="ru-RU"/>
        </w:rPr>
        <w:t xml:space="preserve"> предназначен для изменения по</w:t>
      </w:r>
      <w:r w:rsidRPr="00DB5D0D">
        <w:rPr>
          <w:rFonts w:ascii="Times New Roman" w:hAnsi="Times New Roman" w:cs="Times New Roman"/>
          <w:b w:val="0"/>
          <w:bCs w:val="0"/>
          <w:color w:val="000000" w:themeColor="text1"/>
          <w:sz w:val="16"/>
          <w:szCs w:val="16"/>
          <w:lang w:val="ru-RU"/>
        </w:rPr>
        <w:softHyphen/>
        <w:t>дачи количества топлива в цилиндры двигателя с места водителя. Изменение подачи количества топлива может производиться как ногой, с помощью ножной педали, так и рукой, с помощью ручного привода, сблокированного с ножным приводом...</w:t>
      </w:r>
    </w:p>
    <w:p w14:paraId="04CF1A18"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80"/>
          <w:rFonts w:ascii="Times New Roman" w:hAnsi="Times New Roman" w:cs="Times New Roman"/>
          <w:b w:val="0"/>
          <w:bCs w:val="0"/>
          <w:i w:val="0"/>
          <w:iCs w:val="0"/>
          <w:color w:val="000000" w:themeColor="text1"/>
          <w:sz w:val="16"/>
          <w:szCs w:val="16"/>
          <w:lang w:val="ru-RU"/>
        </w:rPr>
        <w:t>Система воздушного пуска</w:t>
      </w:r>
      <w:r w:rsidRPr="00DB5D0D">
        <w:rPr>
          <w:rFonts w:ascii="Times New Roman" w:hAnsi="Times New Roman" w:cs="Times New Roman"/>
          <w:b w:val="0"/>
          <w:bCs w:val="0"/>
          <w:color w:val="000000" w:themeColor="text1"/>
          <w:sz w:val="16"/>
          <w:szCs w:val="16"/>
          <w:lang w:val="ru-RU"/>
        </w:rPr>
        <w:t xml:space="preserve"> - предназначена для запуска двигате</w:t>
      </w:r>
      <w:r w:rsidRPr="00DB5D0D">
        <w:rPr>
          <w:rFonts w:ascii="Times New Roman" w:hAnsi="Times New Roman" w:cs="Times New Roman"/>
          <w:b w:val="0"/>
          <w:bCs w:val="0"/>
          <w:color w:val="000000" w:themeColor="text1"/>
          <w:sz w:val="16"/>
          <w:szCs w:val="16"/>
          <w:lang w:val="ru-RU"/>
        </w:rPr>
        <w:softHyphen/>
        <w:t>ля сжатым воздухом и является вторым и запасным средством запус</w:t>
      </w:r>
      <w:r w:rsidRPr="00DB5D0D">
        <w:rPr>
          <w:rFonts w:ascii="Times New Roman" w:hAnsi="Times New Roman" w:cs="Times New Roman"/>
          <w:b w:val="0"/>
          <w:bCs w:val="0"/>
          <w:color w:val="000000" w:themeColor="text1"/>
          <w:sz w:val="16"/>
          <w:szCs w:val="16"/>
          <w:lang w:val="ru-RU"/>
        </w:rPr>
        <w:softHyphen/>
        <w:t>ка двигателя. Система состоит из 2-х баллонов, емкостью в Юл. каж</w:t>
      </w:r>
      <w:r w:rsidRPr="00DB5D0D">
        <w:rPr>
          <w:rFonts w:ascii="Times New Roman" w:hAnsi="Times New Roman" w:cs="Times New Roman"/>
          <w:b w:val="0"/>
          <w:bCs w:val="0"/>
          <w:color w:val="000000" w:themeColor="text1"/>
          <w:sz w:val="16"/>
          <w:szCs w:val="16"/>
          <w:lang w:val="ru-RU"/>
        </w:rPr>
        <w:softHyphen/>
        <w:t xml:space="preserve">дый, редукционного крана, тройника для зарядки баллонов на месте и трубопровода, присоединенного к воздухораспределителю </w:t>
      </w:r>
      <w:r w:rsidRPr="00DB5D0D">
        <w:rPr>
          <w:rFonts w:ascii="Times New Roman" w:hAnsi="Times New Roman" w:cs="Times New Roman"/>
          <w:b w:val="0"/>
          <w:bCs w:val="0"/>
          <w:color w:val="000000" w:themeColor="text1"/>
          <w:sz w:val="16"/>
          <w:szCs w:val="16"/>
          <w:lang w:val="ru-RU"/>
        </w:rPr>
        <w:lastRenderedPageBreak/>
        <w:t>на двига</w:t>
      </w:r>
      <w:r w:rsidRPr="00DB5D0D">
        <w:rPr>
          <w:rFonts w:ascii="Times New Roman" w:hAnsi="Times New Roman" w:cs="Times New Roman"/>
          <w:b w:val="0"/>
          <w:bCs w:val="0"/>
          <w:color w:val="000000" w:themeColor="text1"/>
          <w:sz w:val="16"/>
          <w:szCs w:val="16"/>
          <w:lang w:val="ru-RU"/>
        </w:rPr>
        <w:softHyphen/>
        <w:t>теле... Максимальное давление воздуха в баллонах 150атм. Пусковое давление воздуха зависит от температуры окружающего воздуха (вре</w:t>
      </w:r>
      <w:r w:rsidRPr="00DB5D0D">
        <w:rPr>
          <w:rFonts w:ascii="Times New Roman" w:hAnsi="Times New Roman" w:cs="Times New Roman"/>
          <w:b w:val="0"/>
          <w:bCs w:val="0"/>
          <w:color w:val="000000" w:themeColor="text1"/>
          <w:sz w:val="16"/>
          <w:szCs w:val="16"/>
          <w:lang w:val="ru-RU"/>
        </w:rPr>
        <w:softHyphen/>
        <w:t>мени года) и от состояния мотора (степени износа и температуры его), поэтому оно может быть различным и может достигать 150атм...</w:t>
      </w:r>
    </w:p>
    <w:p w14:paraId="1828CCE2"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80"/>
          <w:rFonts w:ascii="Times New Roman" w:hAnsi="Times New Roman" w:cs="Times New Roman"/>
          <w:b w:val="0"/>
          <w:bCs w:val="0"/>
          <w:i w:val="0"/>
          <w:iCs w:val="0"/>
          <w:color w:val="000000" w:themeColor="text1"/>
          <w:sz w:val="16"/>
          <w:szCs w:val="16"/>
          <w:lang w:val="ru-RU"/>
        </w:rPr>
        <w:t>Контрольные приборы</w:t>
      </w:r>
      <w:r w:rsidRPr="00DB5D0D">
        <w:rPr>
          <w:rFonts w:ascii="Times New Roman" w:hAnsi="Times New Roman" w:cs="Times New Roman"/>
          <w:b w:val="0"/>
          <w:bCs w:val="0"/>
          <w:color w:val="000000" w:themeColor="text1"/>
          <w:sz w:val="16"/>
          <w:szCs w:val="16"/>
          <w:lang w:val="ru-RU"/>
        </w:rPr>
        <w:t xml:space="preserve"> установленные на танке обеспечивают возможность контроля работы двигателя:</w:t>
      </w:r>
    </w:p>
    <w:p w14:paraId="7048BC7C" w14:textId="77777777" w:rsidR="00A25AD1" w:rsidRPr="00DB5D0D" w:rsidRDefault="00A25AD1" w:rsidP="00DB5D0D">
      <w:pPr>
        <w:pStyle w:val="412"/>
        <w:shd w:val="clear" w:color="auto" w:fill="auto"/>
        <w:tabs>
          <w:tab w:val="left" w:pos="502"/>
        </w:tabs>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а)Тахометр показывает число оборотов вала мотора в мин.</w:t>
      </w:r>
    </w:p>
    <w:p w14:paraId="3173DEB4" w14:textId="77777777" w:rsidR="00A25AD1" w:rsidRPr="00DB5D0D" w:rsidRDefault="00A25AD1" w:rsidP="00DB5D0D">
      <w:pPr>
        <w:pStyle w:val="412"/>
        <w:shd w:val="clear" w:color="auto" w:fill="auto"/>
        <w:tabs>
          <w:tab w:val="left" w:pos="495"/>
        </w:tabs>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б)Температурный режим агрегатов, обслуживающих мотор, кон</w:t>
      </w:r>
      <w:r w:rsidRPr="00DB5D0D">
        <w:rPr>
          <w:rFonts w:ascii="Times New Roman" w:hAnsi="Times New Roman" w:cs="Times New Roman"/>
          <w:b w:val="0"/>
          <w:bCs w:val="0"/>
          <w:color w:val="000000" w:themeColor="text1"/>
          <w:sz w:val="16"/>
          <w:szCs w:val="16"/>
          <w:lang w:val="ru-RU"/>
        </w:rPr>
        <w:softHyphen/>
        <w:t>тролируют термометры в системе охлаждения и смазки.</w:t>
      </w:r>
    </w:p>
    <w:p w14:paraId="45336A65" w14:textId="77777777" w:rsidR="00A25AD1" w:rsidRPr="00DB5D0D" w:rsidRDefault="00A25AD1" w:rsidP="00DB5D0D">
      <w:pPr>
        <w:pStyle w:val="412"/>
        <w:shd w:val="clear" w:color="auto" w:fill="auto"/>
        <w:tabs>
          <w:tab w:val="left" w:pos="505"/>
        </w:tabs>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в)Манометры показывают давление топлива и масла в трубо</w:t>
      </w:r>
      <w:r w:rsidRPr="00DB5D0D">
        <w:rPr>
          <w:rFonts w:ascii="Times New Roman" w:hAnsi="Times New Roman" w:cs="Times New Roman"/>
          <w:b w:val="0"/>
          <w:bCs w:val="0"/>
          <w:color w:val="000000" w:themeColor="text1"/>
          <w:sz w:val="16"/>
          <w:szCs w:val="16"/>
          <w:lang w:val="ru-RU"/>
        </w:rPr>
        <w:softHyphen/>
        <w:t>проводе перед двигателем.</w:t>
      </w:r>
    </w:p>
    <w:p w14:paraId="608577B6" w14:textId="77777777" w:rsidR="00A25AD1" w:rsidRPr="00DB5D0D" w:rsidRDefault="00A25AD1" w:rsidP="00DB5D0D">
      <w:pPr>
        <w:pStyle w:val="412"/>
        <w:shd w:val="clear" w:color="auto" w:fill="auto"/>
        <w:tabs>
          <w:tab w:val="left" w:pos="457"/>
        </w:tabs>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г)Для наблюдения за скоростью движения танка и суммирова</w:t>
      </w:r>
      <w:r w:rsidRPr="00DB5D0D">
        <w:rPr>
          <w:rFonts w:ascii="Times New Roman" w:hAnsi="Times New Roman" w:cs="Times New Roman"/>
          <w:b w:val="0"/>
          <w:bCs w:val="0"/>
          <w:color w:val="000000" w:themeColor="text1"/>
          <w:sz w:val="16"/>
          <w:szCs w:val="16"/>
          <w:lang w:val="ru-RU"/>
        </w:rPr>
        <w:softHyphen/>
        <w:t>ния пройденного пути установлен спидометр.</w:t>
      </w:r>
    </w:p>
    <w:p w14:paraId="7B4E64D8" w14:textId="77777777" w:rsidR="00A25AD1" w:rsidRPr="00DB5D0D" w:rsidRDefault="00A25AD1" w:rsidP="00DB5D0D">
      <w:pPr>
        <w:pStyle w:val="412"/>
        <w:shd w:val="clear" w:color="auto" w:fill="auto"/>
        <w:tabs>
          <w:tab w:val="left" w:pos="492"/>
        </w:tabs>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д)Авиационные часы.</w:t>
      </w:r>
    </w:p>
    <w:p w14:paraId="097FA99C"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Все указанные приборы смонтированы на одном щитке, уста</w:t>
      </w:r>
      <w:r w:rsidRPr="00DB5D0D">
        <w:rPr>
          <w:rFonts w:ascii="Times New Roman" w:hAnsi="Times New Roman" w:cs="Times New Roman"/>
          <w:b w:val="0"/>
          <w:bCs w:val="0"/>
          <w:color w:val="000000" w:themeColor="text1"/>
          <w:sz w:val="16"/>
          <w:szCs w:val="16"/>
          <w:lang w:val="ru-RU"/>
        </w:rPr>
        <w:softHyphen/>
        <w:t>новленном у места водителя - впереди.«</w:t>
      </w:r>
    </w:p>
    <w:p w14:paraId="019A71F5"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70"/>
          <w:rFonts w:ascii="Times New Roman" w:hAnsi="Times New Roman" w:cs="Times New Roman"/>
          <w:b w:val="0"/>
          <w:bCs w:val="0"/>
          <w:i w:val="0"/>
          <w:iCs w:val="0"/>
          <w:color w:val="000000" w:themeColor="text1"/>
          <w:sz w:val="16"/>
          <w:szCs w:val="16"/>
          <w:lang w:val="ru-RU"/>
        </w:rPr>
        <w:t>Главный фрикцион</w:t>
      </w:r>
      <w:r w:rsidRPr="00DB5D0D">
        <w:rPr>
          <w:rFonts w:ascii="Times New Roman" w:hAnsi="Times New Roman" w:cs="Times New Roman"/>
          <w:b w:val="0"/>
          <w:bCs w:val="0"/>
          <w:color w:val="000000" w:themeColor="text1"/>
          <w:sz w:val="16"/>
          <w:szCs w:val="16"/>
          <w:lang w:val="ru-RU"/>
        </w:rPr>
        <w:t xml:space="preserve"> - смонтирован в маховике, сидящем на носке коленчатого вала двигателя (на шлицах). Крутящий момент двигате</w:t>
      </w:r>
      <w:r w:rsidRPr="00DB5D0D">
        <w:rPr>
          <w:rFonts w:ascii="Times New Roman" w:hAnsi="Times New Roman" w:cs="Times New Roman"/>
          <w:b w:val="0"/>
          <w:bCs w:val="0"/>
          <w:color w:val="000000" w:themeColor="text1"/>
          <w:sz w:val="16"/>
          <w:szCs w:val="16"/>
          <w:lang w:val="ru-RU"/>
        </w:rPr>
        <w:softHyphen/>
        <w:t>ля передается от маховика к ведомому барабану, через набор из 10-ти ведущих и 12-ти ведомых стальных дисков сухого трения. Диски трения прижимаются друг к другу 16 спиральными пружинами...</w:t>
      </w:r>
    </w:p>
    <w:p w14:paraId="1D1284E5"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Выключение фрикциона, т.е. освобождение дисков трения от усилий нажимных пружин, осуществляется шариковым механизмом... Соединение ведомого барабана фрикциона с коробкой передач вы</w:t>
      </w:r>
      <w:r w:rsidRPr="00DB5D0D">
        <w:rPr>
          <w:rFonts w:ascii="Times New Roman" w:hAnsi="Times New Roman" w:cs="Times New Roman"/>
          <w:b w:val="0"/>
          <w:bCs w:val="0"/>
          <w:color w:val="000000" w:themeColor="text1"/>
          <w:sz w:val="16"/>
          <w:szCs w:val="16"/>
          <w:lang w:val="ru-RU"/>
        </w:rPr>
        <w:softHyphen/>
        <w:t>полнено при помощи 2-х скрепленных болтами зубчатых муфт, из которых одна устанавливается на зубцах ступицы ведомого бараба</w:t>
      </w:r>
      <w:r w:rsidRPr="00DB5D0D">
        <w:rPr>
          <w:rFonts w:ascii="Times New Roman" w:hAnsi="Times New Roman" w:cs="Times New Roman"/>
          <w:b w:val="0"/>
          <w:bCs w:val="0"/>
          <w:color w:val="000000" w:themeColor="text1"/>
          <w:sz w:val="16"/>
          <w:szCs w:val="16"/>
          <w:lang w:val="ru-RU"/>
        </w:rPr>
        <w:softHyphen/>
        <w:t>на, другая на зубчатке ведущей шестерни коробки передач. Благо</w:t>
      </w:r>
      <w:r w:rsidRPr="00DB5D0D">
        <w:rPr>
          <w:rFonts w:ascii="Times New Roman" w:hAnsi="Times New Roman" w:cs="Times New Roman"/>
          <w:b w:val="0"/>
          <w:bCs w:val="0"/>
          <w:color w:val="000000" w:themeColor="text1"/>
          <w:sz w:val="16"/>
          <w:szCs w:val="16"/>
          <w:lang w:val="ru-RU"/>
        </w:rPr>
        <w:softHyphen/>
        <w:t>даря значительным зазорам между зубцами муфт, такое полужест</w:t>
      </w:r>
      <w:r w:rsidRPr="00DB5D0D">
        <w:rPr>
          <w:rFonts w:ascii="Times New Roman" w:hAnsi="Times New Roman" w:cs="Times New Roman"/>
          <w:b w:val="0"/>
          <w:bCs w:val="0"/>
          <w:color w:val="000000" w:themeColor="text1"/>
          <w:sz w:val="16"/>
          <w:szCs w:val="16"/>
          <w:lang w:val="ru-RU"/>
        </w:rPr>
        <w:softHyphen/>
        <w:t>кое сочленение фрикциона с коробкой передач разгружает меха</w:t>
      </w:r>
      <w:r w:rsidRPr="00DB5D0D">
        <w:rPr>
          <w:rFonts w:ascii="Times New Roman" w:hAnsi="Times New Roman" w:cs="Times New Roman"/>
          <w:b w:val="0"/>
          <w:bCs w:val="0"/>
          <w:color w:val="000000" w:themeColor="text1"/>
          <w:sz w:val="16"/>
          <w:szCs w:val="16"/>
          <w:lang w:val="ru-RU"/>
        </w:rPr>
        <w:softHyphen/>
        <w:t>низмы от дополнительных нагрузок, возникающих при нарушении соосности между двигателем и коробкой передач.</w:t>
      </w:r>
    </w:p>
    <w:p w14:paraId="6A810434"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70"/>
          <w:rFonts w:ascii="Times New Roman" w:hAnsi="Times New Roman" w:cs="Times New Roman"/>
          <w:b w:val="0"/>
          <w:bCs w:val="0"/>
          <w:i w:val="0"/>
          <w:iCs w:val="0"/>
          <w:color w:val="000000" w:themeColor="text1"/>
          <w:sz w:val="16"/>
          <w:szCs w:val="16"/>
          <w:lang w:val="ru-RU"/>
        </w:rPr>
        <w:t>Коробка передач</w:t>
      </w:r>
      <w:r w:rsidRPr="00DB5D0D">
        <w:rPr>
          <w:rFonts w:ascii="Times New Roman" w:hAnsi="Times New Roman" w:cs="Times New Roman"/>
          <w:b w:val="0"/>
          <w:bCs w:val="0"/>
          <w:color w:val="000000" w:themeColor="text1"/>
          <w:sz w:val="16"/>
          <w:szCs w:val="16"/>
          <w:lang w:val="ru-RU"/>
        </w:rPr>
        <w:t xml:space="preserve"> имеет 4 передачи для переднего хода танка и одну для заднего хода. Коробка выполнена без прямой передачи, с передним расположением конической пары и с поперечными вала</w:t>
      </w:r>
      <w:r w:rsidRPr="00DB5D0D">
        <w:rPr>
          <w:rFonts w:ascii="Times New Roman" w:hAnsi="Times New Roman" w:cs="Times New Roman"/>
          <w:b w:val="0"/>
          <w:bCs w:val="0"/>
          <w:color w:val="000000" w:themeColor="text1"/>
          <w:sz w:val="16"/>
          <w:szCs w:val="16"/>
          <w:lang w:val="ru-RU"/>
        </w:rPr>
        <w:softHyphen/>
        <w:t>ми, расположенными в горизонтальной плоскости. Включение пе</w:t>
      </w:r>
      <w:r w:rsidRPr="00DB5D0D">
        <w:rPr>
          <w:rFonts w:ascii="Times New Roman" w:hAnsi="Times New Roman" w:cs="Times New Roman"/>
          <w:b w:val="0"/>
          <w:bCs w:val="0"/>
          <w:color w:val="000000" w:themeColor="text1"/>
          <w:sz w:val="16"/>
          <w:szCs w:val="16"/>
          <w:lang w:val="ru-RU"/>
        </w:rPr>
        <w:softHyphen/>
        <w:t>редач производится перемещением по валам подвижных шестерен (кареток). Смонтирована коробка передач в алюминиевом картере, состоящем из 2-х половин. Первичный вал выполнен заодно с веду</w:t>
      </w:r>
      <w:r w:rsidRPr="00DB5D0D">
        <w:rPr>
          <w:rFonts w:ascii="Times New Roman" w:hAnsi="Times New Roman" w:cs="Times New Roman"/>
          <w:b w:val="0"/>
          <w:bCs w:val="0"/>
          <w:color w:val="000000" w:themeColor="text1"/>
          <w:sz w:val="16"/>
          <w:szCs w:val="16"/>
          <w:lang w:val="ru-RU"/>
        </w:rPr>
        <w:softHyphen/>
        <w:t>щей конической шестерней и установлен в горловине картера на коническом, упорном и роликовом подшипниках, смонтированных в общем гнезде. Ведущая коническая шестерня первичного вала на</w:t>
      </w:r>
      <w:r w:rsidRPr="00DB5D0D">
        <w:rPr>
          <w:rFonts w:ascii="Times New Roman" w:hAnsi="Times New Roman" w:cs="Times New Roman"/>
          <w:b w:val="0"/>
          <w:bCs w:val="0"/>
          <w:color w:val="000000" w:themeColor="text1"/>
          <w:sz w:val="16"/>
          <w:szCs w:val="16"/>
          <w:lang w:val="ru-RU"/>
        </w:rPr>
        <w:softHyphen/>
        <w:t>ходится в постоянном зацеплении с ведомой конической шестер</w:t>
      </w:r>
      <w:r w:rsidRPr="00DB5D0D">
        <w:rPr>
          <w:rFonts w:ascii="Times New Roman" w:hAnsi="Times New Roman" w:cs="Times New Roman"/>
          <w:b w:val="0"/>
          <w:bCs w:val="0"/>
          <w:color w:val="000000" w:themeColor="text1"/>
          <w:sz w:val="16"/>
          <w:szCs w:val="16"/>
          <w:lang w:val="ru-RU"/>
        </w:rPr>
        <w:softHyphen/>
        <w:t>ней, укрепленной на передаточном валу. Передаточный и главный</w:t>
      </w:r>
    </w:p>
    <w:p w14:paraId="728B4160"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валы установлены в картере... Каретка заднего хода установлена на 2-х роликоподшипниках на отдельном валике, жестко укрепленном в верхней половине картера...</w:t>
      </w:r>
    </w:p>
    <w:p w14:paraId="6357F968"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Смазочным материалом для деталей коробки передач служит авиационное масло. Смазка трущихся деталей в коробке осуществ</w:t>
      </w:r>
      <w:r w:rsidRPr="00DB5D0D">
        <w:rPr>
          <w:rFonts w:ascii="Times New Roman" w:hAnsi="Times New Roman" w:cs="Times New Roman"/>
          <w:b w:val="0"/>
          <w:bCs w:val="0"/>
          <w:color w:val="000000" w:themeColor="text1"/>
          <w:sz w:val="16"/>
          <w:szCs w:val="16"/>
          <w:lang w:val="ru-RU"/>
        </w:rPr>
        <w:softHyphen/>
        <w:t>ляется разбрызгиванием.</w:t>
      </w:r>
    </w:p>
    <w:p w14:paraId="4107FC99"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Коробка в сборе с бортовыми фрикционами крепится и центру</w:t>
      </w:r>
      <w:r w:rsidRPr="00DB5D0D">
        <w:rPr>
          <w:rFonts w:ascii="Times New Roman" w:hAnsi="Times New Roman" w:cs="Times New Roman"/>
          <w:b w:val="0"/>
          <w:bCs w:val="0"/>
          <w:color w:val="000000" w:themeColor="text1"/>
          <w:sz w:val="16"/>
          <w:szCs w:val="16"/>
          <w:lang w:val="ru-RU"/>
        </w:rPr>
        <w:softHyphen/>
        <w:t>ется на фланцах бортовых передач через наружные барабаны бор</w:t>
      </w:r>
      <w:r w:rsidRPr="00DB5D0D">
        <w:rPr>
          <w:rFonts w:ascii="Times New Roman" w:hAnsi="Times New Roman" w:cs="Times New Roman"/>
          <w:b w:val="0"/>
          <w:bCs w:val="0"/>
          <w:color w:val="000000" w:themeColor="text1"/>
          <w:sz w:val="16"/>
          <w:szCs w:val="16"/>
          <w:lang w:val="ru-RU"/>
        </w:rPr>
        <w:softHyphen/>
        <w:t>товых фрикционов...</w:t>
      </w:r>
    </w:p>
    <w:p w14:paraId="6A72500C"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Принятое крепление коробки передач позволяет производить ус</w:t>
      </w:r>
      <w:r w:rsidRPr="00DB5D0D">
        <w:rPr>
          <w:rFonts w:ascii="Times New Roman" w:hAnsi="Times New Roman" w:cs="Times New Roman"/>
          <w:b w:val="0"/>
          <w:bCs w:val="0"/>
          <w:color w:val="000000" w:themeColor="text1"/>
          <w:sz w:val="16"/>
          <w:szCs w:val="16"/>
          <w:lang w:val="ru-RU"/>
        </w:rPr>
        <w:softHyphen/>
        <w:t>тановку и выемку коробки передач с бортовыми фрикционами, мон</w:t>
      </w:r>
      <w:r w:rsidRPr="00DB5D0D">
        <w:rPr>
          <w:rFonts w:ascii="Times New Roman" w:hAnsi="Times New Roman" w:cs="Times New Roman"/>
          <w:b w:val="0"/>
          <w:bCs w:val="0"/>
          <w:color w:val="000000" w:themeColor="text1"/>
          <w:sz w:val="16"/>
          <w:szCs w:val="16"/>
          <w:lang w:val="ru-RU"/>
        </w:rPr>
        <w:softHyphen/>
        <w:t>таж и демонтаж бортовых передач независимо одно от другого.</w:t>
      </w:r>
    </w:p>
    <w:p w14:paraId="3E75CDBA"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70"/>
          <w:rFonts w:ascii="Times New Roman" w:hAnsi="Times New Roman" w:cs="Times New Roman"/>
          <w:b w:val="0"/>
          <w:bCs w:val="0"/>
          <w:i w:val="0"/>
          <w:iCs w:val="0"/>
          <w:color w:val="000000" w:themeColor="text1"/>
          <w:sz w:val="16"/>
          <w:szCs w:val="16"/>
          <w:lang w:val="ru-RU"/>
        </w:rPr>
        <w:t>Бортовые фрикционы</w:t>
      </w:r>
      <w:r w:rsidRPr="00DB5D0D">
        <w:rPr>
          <w:rFonts w:ascii="Times New Roman" w:hAnsi="Times New Roman" w:cs="Times New Roman"/>
          <w:b w:val="0"/>
          <w:bCs w:val="0"/>
          <w:color w:val="000000" w:themeColor="text1"/>
          <w:sz w:val="16"/>
          <w:szCs w:val="16"/>
          <w:lang w:val="ru-RU"/>
        </w:rPr>
        <w:t xml:space="preserve"> - смонтированы на главном валу коробки передач. Внутренние (ведущие) барабаны связаны шлицевым соеди</w:t>
      </w:r>
      <w:r w:rsidRPr="00DB5D0D">
        <w:rPr>
          <w:rFonts w:ascii="Times New Roman" w:hAnsi="Times New Roman" w:cs="Times New Roman"/>
          <w:b w:val="0"/>
          <w:bCs w:val="0"/>
          <w:color w:val="000000" w:themeColor="text1"/>
          <w:sz w:val="16"/>
          <w:szCs w:val="16"/>
          <w:lang w:val="ru-RU"/>
        </w:rPr>
        <w:softHyphen/>
        <w:t>нением с главным валом коробки передач, наружные (ведомые) ба</w:t>
      </w:r>
      <w:r w:rsidRPr="00DB5D0D">
        <w:rPr>
          <w:rFonts w:ascii="Times New Roman" w:hAnsi="Times New Roman" w:cs="Times New Roman"/>
          <w:b w:val="0"/>
          <w:bCs w:val="0"/>
          <w:color w:val="000000" w:themeColor="text1"/>
          <w:sz w:val="16"/>
          <w:szCs w:val="16"/>
          <w:lang w:val="ru-RU"/>
        </w:rPr>
        <w:softHyphen/>
        <w:t>рабаны укреплены на фланцах бортовых передач. Крутящий момент от внутреннего барабана к наружному передается через набор из 21 -го ведущего и 22-х ведомых стальных дисков сухого трения. Диски трения прижимаются друг к другу 18-ю спиральными пружинами. Выключение фрикциона, т.е. освобождение дисков трения от усилий пружин, осуществляется шариковым механизмом... При установке фрикционов с коробкой передач в машину, наружные барабаны бор</w:t>
      </w:r>
      <w:r w:rsidRPr="00DB5D0D">
        <w:rPr>
          <w:rFonts w:ascii="Times New Roman" w:hAnsi="Times New Roman" w:cs="Times New Roman"/>
          <w:b w:val="0"/>
          <w:bCs w:val="0"/>
          <w:color w:val="000000" w:themeColor="text1"/>
          <w:sz w:val="16"/>
          <w:szCs w:val="16"/>
          <w:lang w:val="ru-RU"/>
        </w:rPr>
        <w:softHyphen/>
        <w:t>товых фрикционов сдвигаются в сторону коробки, а затем раздвига</w:t>
      </w:r>
      <w:r w:rsidRPr="00DB5D0D">
        <w:rPr>
          <w:rFonts w:ascii="Times New Roman" w:hAnsi="Times New Roman" w:cs="Times New Roman"/>
          <w:b w:val="0"/>
          <w:bCs w:val="0"/>
          <w:color w:val="000000" w:themeColor="text1"/>
          <w:sz w:val="16"/>
          <w:szCs w:val="16"/>
          <w:lang w:val="ru-RU"/>
        </w:rPr>
        <w:softHyphen/>
        <w:t>ются до упора торцов цилиндрических выточек барабанов в торцы фланцев бортовых передач и притягиваются к фланцам болтами.</w:t>
      </w:r>
    </w:p>
    <w:p w14:paraId="48622B97"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70"/>
          <w:rFonts w:ascii="Times New Roman" w:hAnsi="Times New Roman" w:cs="Times New Roman"/>
          <w:b w:val="0"/>
          <w:bCs w:val="0"/>
          <w:i w:val="0"/>
          <w:iCs w:val="0"/>
          <w:color w:val="000000" w:themeColor="text1"/>
          <w:sz w:val="16"/>
          <w:szCs w:val="16"/>
          <w:lang w:val="ru-RU"/>
        </w:rPr>
        <w:t>Тормоза</w:t>
      </w:r>
      <w:r w:rsidRPr="00DB5D0D">
        <w:rPr>
          <w:rFonts w:ascii="Times New Roman" w:hAnsi="Times New Roman" w:cs="Times New Roman"/>
          <w:b w:val="0"/>
          <w:bCs w:val="0"/>
          <w:color w:val="000000" w:themeColor="text1"/>
          <w:sz w:val="16"/>
          <w:szCs w:val="16"/>
          <w:lang w:val="ru-RU"/>
        </w:rPr>
        <w:t xml:space="preserve"> ленточного дифференциального типа и действуют на наружные барабаны бортовых фрикционов. Наружные барабаны бортовых фрикционов снабжены тормозными ободами, которые ох</w:t>
      </w:r>
      <w:r w:rsidRPr="00DB5D0D">
        <w:rPr>
          <w:rFonts w:ascii="Times New Roman" w:hAnsi="Times New Roman" w:cs="Times New Roman"/>
          <w:b w:val="0"/>
          <w:bCs w:val="0"/>
          <w:color w:val="000000" w:themeColor="text1"/>
          <w:sz w:val="16"/>
          <w:szCs w:val="16"/>
          <w:lang w:val="ru-RU"/>
        </w:rPr>
        <w:softHyphen/>
        <w:t>ватываются тормозными лентами. Пространство между ободом и барабаном обдувается воздухом и способствует лучшей теплоотда</w:t>
      </w:r>
      <w:r w:rsidRPr="00DB5D0D">
        <w:rPr>
          <w:rFonts w:ascii="Times New Roman" w:hAnsi="Times New Roman" w:cs="Times New Roman"/>
          <w:b w:val="0"/>
          <w:bCs w:val="0"/>
          <w:color w:val="000000" w:themeColor="text1"/>
          <w:sz w:val="16"/>
          <w:szCs w:val="16"/>
          <w:lang w:val="ru-RU"/>
        </w:rPr>
        <w:softHyphen/>
        <w:t>че. Тормозные ленты выполнены из 2-х мм стали с приклепанными к ним лентами из ферродо. Концы ленты шарнирно соединены с при</w:t>
      </w:r>
      <w:r w:rsidRPr="00DB5D0D">
        <w:rPr>
          <w:rFonts w:ascii="Times New Roman" w:hAnsi="Times New Roman" w:cs="Times New Roman"/>
          <w:b w:val="0"/>
          <w:bCs w:val="0"/>
          <w:color w:val="000000" w:themeColor="text1"/>
          <w:sz w:val="16"/>
          <w:szCs w:val="16"/>
          <w:lang w:val="ru-RU"/>
        </w:rPr>
        <w:softHyphen/>
        <w:t>водным рычажком, причем пальцы шарниров установлены в про</w:t>
      </w:r>
      <w:r w:rsidRPr="00DB5D0D">
        <w:rPr>
          <w:rFonts w:ascii="Times New Roman" w:hAnsi="Times New Roman" w:cs="Times New Roman"/>
          <w:b w:val="0"/>
          <w:bCs w:val="0"/>
          <w:color w:val="000000" w:themeColor="text1"/>
          <w:sz w:val="16"/>
          <w:szCs w:val="16"/>
          <w:lang w:val="ru-RU"/>
        </w:rPr>
        <w:softHyphen/>
        <w:t>фильных вырезах кронштейна, укрепленного в корпусе. Пальцы мо</w:t>
      </w:r>
      <w:r w:rsidRPr="00DB5D0D">
        <w:rPr>
          <w:rFonts w:ascii="Times New Roman" w:hAnsi="Times New Roman" w:cs="Times New Roman"/>
          <w:b w:val="0"/>
          <w:bCs w:val="0"/>
          <w:color w:val="000000" w:themeColor="text1"/>
          <w:sz w:val="16"/>
          <w:szCs w:val="16"/>
          <w:lang w:val="ru-RU"/>
        </w:rPr>
        <w:softHyphen/>
        <w:t>гут свободно перемещаться в вырезах.</w:t>
      </w:r>
    </w:p>
    <w:p w14:paraId="792F2395"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Отсутствие постоянных точек закрепления концов лент позволя</w:t>
      </w:r>
      <w:r w:rsidRPr="00DB5D0D">
        <w:rPr>
          <w:rFonts w:ascii="Times New Roman" w:hAnsi="Times New Roman" w:cs="Times New Roman"/>
          <w:b w:val="0"/>
          <w:bCs w:val="0"/>
          <w:color w:val="000000" w:themeColor="text1"/>
          <w:sz w:val="16"/>
          <w:szCs w:val="16"/>
          <w:lang w:val="ru-RU"/>
        </w:rPr>
        <w:softHyphen/>
        <w:t>ет производить торможение с одинаковым усилием при переднем и заднем ходе машины.</w:t>
      </w:r>
    </w:p>
    <w:p w14:paraId="20750244"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Для равномерного распределения зазора между лентой и бара</w:t>
      </w:r>
      <w:r w:rsidRPr="00DB5D0D">
        <w:rPr>
          <w:rFonts w:ascii="Times New Roman" w:hAnsi="Times New Roman" w:cs="Times New Roman"/>
          <w:b w:val="0"/>
          <w:bCs w:val="0"/>
          <w:color w:val="000000" w:themeColor="text1"/>
          <w:sz w:val="16"/>
          <w:szCs w:val="16"/>
          <w:lang w:val="ru-RU"/>
        </w:rPr>
        <w:softHyphen/>
        <w:t>баном, при отпущенном тормозе, и воизбежание произвольного зах</w:t>
      </w:r>
      <w:r w:rsidRPr="00DB5D0D">
        <w:rPr>
          <w:rFonts w:ascii="Times New Roman" w:hAnsi="Times New Roman" w:cs="Times New Roman"/>
          <w:b w:val="0"/>
          <w:bCs w:val="0"/>
          <w:color w:val="000000" w:themeColor="text1"/>
          <w:sz w:val="16"/>
          <w:szCs w:val="16"/>
          <w:lang w:val="ru-RU"/>
        </w:rPr>
        <w:softHyphen/>
        <w:t>вата тормоза, лента снабжена 4-мя оттягивающими пружинами.</w:t>
      </w:r>
    </w:p>
    <w:p w14:paraId="43E4BD59"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60"/>
          <w:rFonts w:ascii="Times New Roman" w:hAnsi="Times New Roman" w:cs="Times New Roman"/>
          <w:b w:val="0"/>
          <w:bCs w:val="0"/>
          <w:i w:val="0"/>
          <w:iCs w:val="0"/>
          <w:color w:val="000000" w:themeColor="text1"/>
          <w:sz w:val="16"/>
          <w:szCs w:val="16"/>
          <w:lang w:val="ru-RU"/>
        </w:rPr>
        <w:t>Бортовые передачи</w:t>
      </w:r>
      <w:r w:rsidRPr="00DB5D0D">
        <w:rPr>
          <w:rFonts w:ascii="Times New Roman" w:hAnsi="Times New Roman" w:cs="Times New Roman"/>
          <w:b w:val="0"/>
          <w:bCs w:val="0"/>
          <w:color w:val="000000" w:themeColor="text1"/>
          <w:sz w:val="16"/>
          <w:szCs w:val="16"/>
          <w:lang w:val="ru-RU"/>
        </w:rPr>
        <w:t xml:space="preserve"> размещены в забронированных стальных картерах, вваренных в корму корпуса, и представляют одноступен</w:t>
      </w:r>
      <w:r w:rsidRPr="00DB5D0D">
        <w:rPr>
          <w:rFonts w:ascii="Times New Roman" w:hAnsi="Times New Roman" w:cs="Times New Roman"/>
          <w:b w:val="0"/>
          <w:bCs w:val="0"/>
          <w:color w:val="000000" w:themeColor="text1"/>
          <w:sz w:val="16"/>
          <w:szCs w:val="16"/>
          <w:lang w:val="ru-RU"/>
        </w:rPr>
        <w:softHyphen/>
        <w:t xml:space="preserve">чатый редуктор с передаточным отношением </w:t>
      </w:r>
      <w:r w:rsidRPr="00DB5D0D">
        <w:rPr>
          <w:rFonts w:ascii="Times New Roman" w:hAnsi="Times New Roman" w:cs="Times New Roman"/>
          <w:b w:val="0"/>
          <w:bCs w:val="0"/>
          <w:noProof w:val="0"/>
          <w:color w:val="000000" w:themeColor="text1"/>
          <w:sz w:val="16"/>
          <w:szCs w:val="16"/>
        </w:rPr>
        <w:t>i</w:t>
      </w:r>
      <w:r w:rsidRPr="00DB5D0D">
        <w:rPr>
          <w:rFonts w:ascii="Times New Roman" w:hAnsi="Times New Roman" w:cs="Times New Roman"/>
          <w:b w:val="0"/>
          <w:bCs w:val="0"/>
          <w:color w:val="000000" w:themeColor="text1"/>
          <w:sz w:val="16"/>
          <w:szCs w:val="16"/>
          <w:lang w:val="ru-RU"/>
        </w:rPr>
        <w:t>=5,7.</w:t>
      </w:r>
    </w:p>
    <w:p w14:paraId="3940E695"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Ведущая шестерня бортовой передачи выполнена заодно с ва</w:t>
      </w:r>
      <w:r w:rsidRPr="00DB5D0D">
        <w:rPr>
          <w:rFonts w:ascii="Times New Roman" w:hAnsi="Times New Roman" w:cs="Times New Roman"/>
          <w:b w:val="0"/>
          <w:bCs w:val="0"/>
          <w:color w:val="000000" w:themeColor="text1"/>
          <w:sz w:val="16"/>
          <w:szCs w:val="16"/>
          <w:lang w:val="ru-RU"/>
        </w:rPr>
        <w:softHyphen/>
        <w:t>лом и установлена в горловине картера на бочкообразном сфери</w:t>
      </w:r>
      <w:r w:rsidRPr="00DB5D0D">
        <w:rPr>
          <w:rFonts w:ascii="Times New Roman" w:hAnsi="Times New Roman" w:cs="Times New Roman"/>
          <w:b w:val="0"/>
          <w:bCs w:val="0"/>
          <w:color w:val="000000" w:themeColor="text1"/>
          <w:sz w:val="16"/>
          <w:szCs w:val="16"/>
          <w:lang w:val="ru-RU"/>
        </w:rPr>
        <w:softHyphen/>
        <w:t>ческом и роликовом подшипниках. На шлицевом хвостовике шес</w:t>
      </w:r>
      <w:r w:rsidRPr="00DB5D0D">
        <w:rPr>
          <w:rFonts w:ascii="Times New Roman" w:hAnsi="Times New Roman" w:cs="Times New Roman"/>
          <w:b w:val="0"/>
          <w:bCs w:val="0"/>
          <w:color w:val="000000" w:themeColor="text1"/>
          <w:sz w:val="16"/>
          <w:szCs w:val="16"/>
          <w:lang w:val="ru-RU"/>
        </w:rPr>
        <w:softHyphen/>
        <w:t>терни установлен фланец, соединяющийся с наружным барабаном бортового фрикциона... Вал с ведомой шестерней бортовой пере</w:t>
      </w:r>
      <w:r w:rsidRPr="00DB5D0D">
        <w:rPr>
          <w:rFonts w:ascii="Times New Roman" w:hAnsi="Times New Roman" w:cs="Times New Roman"/>
          <w:b w:val="0"/>
          <w:bCs w:val="0"/>
          <w:color w:val="000000" w:themeColor="text1"/>
          <w:sz w:val="16"/>
          <w:szCs w:val="16"/>
          <w:lang w:val="ru-RU"/>
        </w:rPr>
        <w:softHyphen/>
        <w:t>дачи, установленной на его внутреннем шлицевом хвостовике, смон</w:t>
      </w:r>
      <w:r w:rsidRPr="00DB5D0D">
        <w:rPr>
          <w:rFonts w:ascii="Times New Roman" w:hAnsi="Times New Roman" w:cs="Times New Roman"/>
          <w:b w:val="0"/>
          <w:bCs w:val="0"/>
          <w:color w:val="000000" w:themeColor="text1"/>
          <w:sz w:val="16"/>
          <w:szCs w:val="16"/>
          <w:lang w:val="ru-RU"/>
        </w:rPr>
        <w:softHyphen/>
        <w:t>тирован в броневой крышке картера на 2-х конических роликовых подшипниках. На наружных шлицевых хвостовиках вала установле</w:t>
      </w:r>
      <w:r w:rsidRPr="00DB5D0D">
        <w:rPr>
          <w:rFonts w:ascii="Times New Roman" w:hAnsi="Times New Roman" w:cs="Times New Roman"/>
          <w:b w:val="0"/>
          <w:bCs w:val="0"/>
          <w:color w:val="000000" w:themeColor="text1"/>
          <w:sz w:val="16"/>
          <w:szCs w:val="16"/>
          <w:lang w:val="ru-RU"/>
        </w:rPr>
        <w:softHyphen/>
        <w:t>ны своими ступицами ведущие гусеничные колеса.</w:t>
      </w:r>
    </w:p>
    <w:p w14:paraId="09DAC783"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60"/>
          <w:rFonts w:ascii="Times New Roman" w:hAnsi="Times New Roman" w:cs="Times New Roman"/>
          <w:b w:val="0"/>
          <w:bCs w:val="0"/>
          <w:i w:val="0"/>
          <w:iCs w:val="0"/>
          <w:color w:val="000000" w:themeColor="text1"/>
          <w:sz w:val="16"/>
          <w:szCs w:val="16"/>
          <w:lang w:val="ru-RU"/>
        </w:rPr>
        <w:t>Гусеничное колесо</w:t>
      </w:r>
      <w:r w:rsidRPr="00DB5D0D">
        <w:rPr>
          <w:rFonts w:ascii="Times New Roman" w:hAnsi="Times New Roman" w:cs="Times New Roman"/>
          <w:b w:val="0"/>
          <w:bCs w:val="0"/>
          <w:color w:val="000000" w:themeColor="text1"/>
          <w:sz w:val="16"/>
          <w:szCs w:val="16"/>
          <w:lang w:val="ru-RU"/>
        </w:rPr>
        <w:t xml:space="preserve"> состоит из укрепленных на ступице двух сталь</w:t>
      </w:r>
      <w:r w:rsidRPr="00DB5D0D">
        <w:rPr>
          <w:rFonts w:ascii="Times New Roman" w:hAnsi="Times New Roman" w:cs="Times New Roman"/>
          <w:b w:val="0"/>
          <w:bCs w:val="0"/>
          <w:color w:val="000000" w:themeColor="text1"/>
          <w:sz w:val="16"/>
          <w:szCs w:val="16"/>
          <w:lang w:val="ru-RU"/>
        </w:rPr>
        <w:softHyphen/>
        <w:t>ных штампованных дисков, с напрессованными стальными банда</w:t>
      </w:r>
      <w:r w:rsidRPr="00DB5D0D">
        <w:rPr>
          <w:rFonts w:ascii="Times New Roman" w:hAnsi="Times New Roman" w:cs="Times New Roman"/>
          <w:b w:val="0"/>
          <w:bCs w:val="0"/>
          <w:color w:val="000000" w:themeColor="text1"/>
          <w:sz w:val="16"/>
          <w:szCs w:val="16"/>
          <w:lang w:val="ru-RU"/>
        </w:rPr>
        <w:softHyphen/>
        <w:t>жами. Перематывание гусеничной ленты осуществляется 6-ю роли</w:t>
      </w:r>
      <w:r w:rsidRPr="00DB5D0D">
        <w:rPr>
          <w:rFonts w:ascii="Times New Roman" w:hAnsi="Times New Roman" w:cs="Times New Roman"/>
          <w:b w:val="0"/>
          <w:bCs w:val="0"/>
          <w:color w:val="000000" w:themeColor="text1"/>
          <w:sz w:val="16"/>
          <w:szCs w:val="16"/>
          <w:lang w:val="ru-RU"/>
        </w:rPr>
        <w:softHyphen/>
        <w:t>ками, установленными между дисками на пальцах и втулках.</w:t>
      </w:r>
    </w:p>
    <w:p w14:paraId="292496DA"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60"/>
          <w:rFonts w:ascii="Times New Roman" w:hAnsi="Times New Roman" w:cs="Times New Roman"/>
          <w:b w:val="0"/>
          <w:bCs w:val="0"/>
          <w:i w:val="0"/>
          <w:iCs w:val="0"/>
          <w:color w:val="000000" w:themeColor="text1"/>
          <w:sz w:val="16"/>
          <w:szCs w:val="16"/>
          <w:lang w:val="ru-RU"/>
        </w:rPr>
        <w:t>Поддерживающие колеса</w:t>
      </w:r>
      <w:r w:rsidRPr="00DB5D0D">
        <w:rPr>
          <w:rFonts w:ascii="Times New Roman" w:hAnsi="Times New Roman" w:cs="Times New Roman"/>
          <w:b w:val="0"/>
          <w:bCs w:val="0"/>
          <w:color w:val="000000" w:themeColor="text1"/>
          <w:sz w:val="16"/>
          <w:szCs w:val="16"/>
          <w:lang w:val="ru-RU"/>
        </w:rPr>
        <w:t xml:space="preserve"> представляют двойные катки, состо</w:t>
      </w:r>
      <w:r w:rsidRPr="00DB5D0D">
        <w:rPr>
          <w:rFonts w:ascii="Times New Roman" w:hAnsi="Times New Roman" w:cs="Times New Roman"/>
          <w:b w:val="0"/>
          <w:bCs w:val="0"/>
          <w:color w:val="000000" w:themeColor="text1"/>
          <w:sz w:val="16"/>
          <w:szCs w:val="16"/>
          <w:lang w:val="ru-RU"/>
        </w:rPr>
        <w:softHyphen/>
        <w:t>ящие из стальных дисков с напрессованными бандажами; распо</w:t>
      </w:r>
      <w:r w:rsidRPr="00DB5D0D">
        <w:rPr>
          <w:rFonts w:ascii="Times New Roman" w:hAnsi="Times New Roman" w:cs="Times New Roman"/>
          <w:b w:val="0"/>
          <w:bCs w:val="0"/>
          <w:color w:val="000000" w:themeColor="text1"/>
          <w:sz w:val="16"/>
          <w:szCs w:val="16"/>
          <w:lang w:val="ru-RU"/>
        </w:rPr>
        <w:softHyphen/>
        <w:t>ложенные по 5-ти с каждого борта танка. Колеса связаны с корпу</w:t>
      </w:r>
      <w:r w:rsidRPr="00DB5D0D">
        <w:rPr>
          <w:rFonts w:ascii="Times New Roman" w:hAnsi="Times New Roman" w:cs="Times New Roman"/>
          <w:b w:val="0"/>
          <w:bCs w:val="0"/>
          <w:color w:val="000000" w:themeColor="text1"/>
          <w:sz w:val="16"/>
          <w:szCs w:val="16"/>
          <w:lang w:val="ru-RU"/>
        </w:rPr>
        <w:softHyphen/>
        <w:t>сом с помощью балансирных устройств, представляющих балан</w:t>
      </w:r>
      <w:r w:rsidRPr="00DB5D0D">
        <w:rPr>
          <w:rFonts w:ascii="Times New Roman" w:hAnsi="Times New Roman" w:cs="Times New Roman"/>
          <w:b w:val="0"/>
          <w:bCs w:val="0"/>
          <w:color w:val="000000" w:themeColor="text1"/>
          <w:sz w:val="16"/>
          <w:szCs w:val="16"/>
          <w:lang w:val="ru-RU"/>
        </w:rPr>
        <w:softHyphen/>
        <w:t>сиры, установленные на осях в трубах корпуса, каждый на 2-х брон</w:t>
      </w:r>
      <w:r w:rsidRPr="00DB5D0D">
        <w:rPr>
          <w:rFonts w:ascii="Times New Roman" w:hAnsi="Times New Roman" w:cs="Times New Roman"/>
          <w:b w:val="0"/>
          <w:bCs w:val="0"/>
          <w:color w:val="000000" w:themeColor="text1"/>
          <w:sz w:val="16"/>
          <w:szCs w:val="16"/>
          <w:lang w:val="ru-RU"/>
        </w:rPr>
        <w:softHyphen/>
        <w:t>зовых втулках. В балансиры впрессованы оси катков, на которые одеваются колеса. Каждое колесо опирается на 2 шариковых под</w:t>
      </w:r>
      <w:r w:rsidRPr="00DB5D0D">
        <w:rPr>
          <w:rFonts w:ascii="Times New Roman" w:hAnsi="Times New Roman" w:cs="Times New Roman"/>
          <w:b w:val="0"/>
          <w:bCs w:val="0"/>
          <w:color w:val="000000" w:themeColor="text1"/>
          <w:sz w:val="16"/>
          <w:szCs w:val="16"/>
          <w:lang w:val="ru-RU"/>
        </w:rPr>
        <w:softHyphen/>
        <w:t>шипника, сидящих на ступице. Передние колеса с балансирными устройствами фиксируются в корпусе гайками изнутри; осталь</w:t>
      </w:r>
      <w:r w:rsidRPr="00DB5D0D">
        <w:rPr>
          <w:rFonts w:ascii="Times New Roman" w:hAnsi="Times New Roman" w:cs="Times New Roman"/>
          <w:b w:val="0"/>
          <w:bCs w:val="0"/>
          <w:color w:val="000000" w:themeColor="text1"/>
          <w:sz w:val="16"/>
          <w:szCs w:val="16"/>
          <w:lang w:val="ru-RU"/>
        </w:rPr>
        <w:softHyphen/>
        <w:t>ные колеса, со своими балансирными устройствами, фиксируют</w:t>
      </w:r>
      <w:r w:rsidRPr="00DB5D0D">
        <w:rPr>
          <w:rFonts w:ascii="Times New Roman" w:hAnsi="Times New Roman" w:cs="Times New Roman"/>
          <w:b w:val="0"/>
          <w:bCs w:val="0"/>
          <w:color w:val="000000" w:themeColor="text1"/>
          <w:sz w:val="16"/>
          <w:szCs w:val="16"/>
          <w:lang w:val="ru-RU"/>
        </w:rPr>
        <w:softHyphen/>
        <w:t>ся в корпусе струнами, проходящими сквозь оси балансиров. Подъем колес ограничивается резиновыми амортизаторами, ук</w:t>
      </w:r>
      <w:r w:rsidRPr="00DB5D0D">
        <w:rPr>
          <w:rFonts w:ascii="Times New Roman" w:hAnsi="Times New Roman" w:cs="Times New Roman"/>
          <w:b w:val="0"/>
          <w:bCs w:val="0"/>
          <w:color w:val="000000" w:themeColor="text1"/>
          <w:sz w:val="16"/>
          <w:szCs w:val="16"/>
          <w:lang w:val="ru-RU"/>
        </w:rPr>
        <w:softHyphen/>
        <w:t>репленными на корпусе.</w:t>
      </w:r>
    </w:p>
    <w:p w14:paraId="7BBBEDC0"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60"/>
          <w:rFonts w:ascii="Times New Roman" w:hAnsi="Times New Roman" w:cs="Times New Roman"/>
          <w:b w:val="0"/>
          <w:bCs w:val="0"/>
          <w:i w:val="0"/>
          <w:iCs w:val="0"/>
          <w:color w:val="000000" w:themeColor="text1"/>
          <w:sz w:val="16"/>
          <w:szCs w:val="16"/>
          <w:lang w:val="ru-RU"/>
        </w:rPr>
        <w:t>Подвеска</w:t>
      </w:r>
      <w:r w:rsidRPr="00DB5D0D">
        <w:rPr>
          <w:rFonts w:ascii="Times New Roman" w:hAnsi="Times New Roman" w:cs="Times New Roman"/>
          <w:b w:val="0"/>
          <w:bCs w:val="0"/>
          <w:color w:val="000000" w:themeColor="text1"/>
          <w:sz w:val="16"/>
          <w:szCs w:val="16"/>
          <w:lang w:val="ru-RU"/>
        </w:rPr>
        <w:t xml:space="preserve"> корпуса танка осуществляется с помощью цилиндри</w:t>
      </w:r>
      <w:r w:rsidRPr="00DB5D0D">
        <w:rPr>
          <w:rFonts w:ascii="Times New Roman" w:hAnsi="Times New Roman" w:cs="Times New Roman"/>
          <w:b w:val="0"/>
          <w:bCs w:val="0"/>
          <w:color w:val="000000" w:themeColor="text1"/>
          <w:sz w:val="16"/>
          <w:szCs w:val="16"/>
          <w:lang w:val="ru-RU"/>
        </w:rPr>
        <w:softHyphen/>
        <w:t>ческих спиральных пружин, действующих индивидуально на каждое колесо. Пружины расположены внутри корпуса, причем подвески передних колес снабжены защитным кожухом, а остальные подвес</w:t>
      </w:r>
      <w:r w:rsidRPr="00DB5D0D">
        <w:rPr>
          <w:rFonts w:ascii="Times New Roman" w:hAnsi="Times New Roman" w:cs="Times New Roman"/>
          <w:b w:val="0"/>
          <w:bCs w:val="0"/>
          <w:color w:val="000000" w:themeColor="text1"/>
          <w:sz w:val="16"/>
          <w:szCs w:val="16"/>
          <w:lang w:val="ru-RU"/>
        </w:rPr>
        <w:softHyphen/>
        <w:t>ки заключены в шахты. Пружины действуют на колеса через опор</w:t>
      </w:r>
      <w:r w:rsidRPr="00DB5D0D">
        <w:rPr>
          <w:rFonts w:ascii="Times New Roman" w:hAnsi="Times New Roman" w:cs="Times New Roman"/>
          <w:b w:val="0"/>
          <w:bCs w:val="0"/>
          <w:color w:val="000000" w:themeColor="text1"/>
          <w:sz w:val="16"/>
          <w:szCs w:val="16"/>
          <w:lang w:val="ru-RU"/>
        </w:rPr>
        <w:softHyphen/>
        <w:t>ные подушки штоков, связанные с цапфами балансиров. В корпус пружины опираются через регулировочные стаканы, которые ввер</w:t>
      </w:r>
      <w:r w:rsidRPr="00DB5D0D">
        <w:rPr>
          <w:rFonts w:ascii="Times New Roman" w:hAnsi="Times New Roman" w:cs="Times New Roman"/>
          <w:b w:val="0"/>
          <w:bCs w:val="0"/>
          <w:color w:val="000000" w:themeColor="text1"/>
          <w:sz w:val="16"/>
          <w:szCs w:val="16"/>
          <w:lang w:val="ru-RU"/>
        </w:rPr>
        <w:softHyphen/>
        <w:t>нуты в гайки, шарнирно укрепленные в корпусе. Регулировка нагру</w:t>
      </w:r>
      <w:r w:rsidRPr="00DB5D0D">
        <w:rPr>
          <w:rFonts w:ascii="Times New Roman" w:hAnsi="Times New Roman" w:cs="Times New Roman"/>
          <w:b w:val="0"/>
          <w:bCs w:val="0"/>
          <w:color w:val="000000" w:themeColor="text1"/>
          <w:sz w:val="16"/>
          <w:szCs w:val="16"/>
          <w:lang w:val="ru-RU"/>
        </w:rPr>
        <w:softHyphen/>
        <w:t>зок на колеса осуществляется путем ввинчивания или вывинчивания регулировочных стаканов.</w:t>
      </w:r>
    </w:p>
    <w:p w14:paraId="739CE6AB"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60"/>
          <w:rFonts w:ascii="Times New Roman" w:hAnsi="Times New Roman" w:cs="Times New Roman"/>
          <w:b w:val="0"/>
          <w:bCs w:val="0"/>
          <w:i w:val="0"/>
          <w:iCs w:val="0"/>
          <w:color w:val="000000" w:themeColor="text1"/>
          <w:sz w:val="16"/>
          <w:szCs w:val="16"/>
          <w:lang w:val="ru-RU"/>
        </w:rPr>
        <w:t>Ленивец</w:t>
      </w:r>
      <w:r w:rsidRPr="00DB5D0D">
        <w:rPr>
          <w:rFonts w:ascii="Times New Roman" w:hAnsi="Times New Roman" w:cs="Times New Roman"/>
          <w:b w:val="0"/>
          <w:bCs w:val="0"/>
          <w:color w:val="000000" w:themeColor="text1"/>
          <w:sz w:val="16"/>
          <w:szCs w:val="16"/>
          <w:lang w:val="ru-RU"/>
        </w:rPr>
        <w:t xml:space="preserve"> - представляет собой литое стальное колесо с двумя напрессованными обрезиненными металлическими бандажами, ус</w:t>
      </w:r>
      <w:r w:rsidRPr="00DB5D0D">
        <w:rPr>
          <w:rFonts w:ascii="Times New Roman" w:hAnsi="Times New Roman" w:cs="Times New Roman"/>
          <w:b w:val="0"/>
          <w:bCs w:val="0"/>
          <w:color w:val="000000" w:themeColor="text1"/>
          <w:sz w:val="16"/>
          <w:szCs w:val="16"/>
          <w:lang w:val="ru-RU"/>
        </w:rPr>
        <w:softHyphen/>
        <w:t>тановленное на наружном хвостовике кривошипа на роликовом и шариковом подшипниках. Внутренний хвостовик кривошипа уста</w:t>
      </w:r>
      <w:r w:rsidRPr="00DB5D0D">
        <w:rPr>
          <w:rFonts w:ascii="Times New Roman" w:hAnsi="Times New Roman" w:cs="Times New Roman"/>
          <w:b w:val="0"/>
          <w:bCs w:val="0"/>
          <w:color w:val="000000" w:themeColor="text1"/>
          <w:sz w:val="16"/>
          <w:szCs w:val="16"/>
          <w:lang w:val="ru-RU"/>
        </w:rPr>
        <w:softHyphen/>
        <w:t>новлен в броневом литом кронштейне, вваренном в носовую часть корпуса. Кривошип крепится к кронштейну гайкой, расположенной внутри корпуса, причем положение его фиксируется зубцами. На внутреннем хвостовике кривошипа уста</w:t>
      </w:r>
      <w:r w:rsidRPr="00DB5D0D">
        <w:rPr>
          <w:rFonts w:ascii="Times New Roman" w:hAnsi="Times New Roman" w:cs="Times New Roman"/>
          <w:b w:val="0"/>
          <w:bCs w:val="0"/>
          <w:color w:val="000000" w:themeColor="text1"/>
          <w:sz w:val="16"/>
          <w:szCs w:val="16"/>
          <w:lang w:val="ru-RU"/>
        </w:rPr>
        <w:softHyphen/>
        <w:t>новлено на шлицах червячное колесо, связанное с чер</w:t>
      </w:r>
      <w:r w:rsidRPr="00DB5D0D">
        <w:rPr>
          <w:rFonts w:ascii="Times New Roman" w:hAnsi="Times New Roman" w:cs="Times New Roman"/>
          <w:b w:val="0"/>
          <w:bCs w:val="0"/>
          <w:color w:val="000000" w:themeColor="text1"/>
          <w:sz w:val="16"/>
          <w:szCs w:val="16"/>
          <w:lang w:val="ru-RU"/>
        </w:rPr>
        <w:softHyphen/>
        <w:t>вяком. Вращением червяка осуществляется необходи</w:t>
      </w:r>
      <w:r w:rsidRPr="00DB5D0D">
        <w:rPr>
          <w:rFonts w:ascii="Times New Roman" w:hAnsi="Times New Roman" w:cs="Times New Roman"/>
          <w:b w:val="0"/>
          <w:bCs w:val="0"/>
          <w:color w:val="000000" w:themeColor="text1"/>
          <w:sz w:val="16"/>
          <w:szCs w:val="16"/>
          <w:lang w:val="ru-RU"/>
        </w:rPr>
        <w:softHyphen/>
        <w:t>мый при натяжке гусеницы, поворот кривошипа.</w:t>
      </w:r>
    </w:p>
    <w:p w14:paraId="654A1B24"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60"/>
          <w:rFonts w:ascii="Times New Roman" w:hAnsi="Times New Roman" w:cs="Times New Roman"/>
          <w:b w:val="0"/>
          <w:bCs w:val="0"/>
          <w:i w:val="0"/>
          <w:iCs w:val="0"/>
          <w:color w:val="000000" w:themeColor="text1"/>
          <w:sz w:val="16"/>
          <w:szCs w:val="16"/>
          <w:lang w:val="ru-RU"/>
        </w:rPr>
        <w:t>ПРИМЕЧАНИЕ:</w:t>
      </w:r>
      <w:r w:rsidRPr="00DB5D0D">
        <w:rPr>
          <w:rFonts w:ascii="Times New Roman" w:hAnsi="Times New Roman" w:cs="Times New Roman"/>
          <w:b w:val="0"/>
          <w:bCs w:val="0"/>
          <w:color w:val="000000" w:themeColor="text1"/>
          <w:sz w:val="16"/>
          <w:szCs w:val="16"/>
          <w:lang w:val="ru-RU"/>
        </w:rPr>
        <w:t xml:space="preserve"> На втором испытуемом танке Т-34 </w:t>
      </w:r>
      <w:r w:rsidRPr="00DB5D0D">
        <w:rPr>
          <w:rStyle w:val="421"/>
          <w:rFonts w:ascii="Times New Roman" w:hAnsi="Times New Roman" w:cs="Times New Roman"/>
          <w:b w:val="0"/>
          <w:bCs w:val="0"/>
          <w:i w:val="0"/>
          <w:iCs w:val="0"/>
          <w:color w:val="000000" w:themeColor="text1"/>
          <w:sz w:val="16"/>
          <w:szCs w:val="16"/>
          <w:lang w:val="ru-RU"/>
        </w:rPr>
        <w:t>(подразумевается машина №311-11-3, т.е. «Танк №1»</w:t>
      </w:r>
      <w:r w:rsidRPr="00DB5D0D">
        <w:rPr>
          <w:rFonts w:ascii="Times New Roman" w:hAnsi="Times New Roman" w:cs="Times New Roman"/>
          <w:b w:val="0"/>
          <w:bCs w:val="0"/>
          <w:color w:val="000000" w:themeColor="text1"/>
          <w:sz w:val="16"/>
          <w:szCs w:val="16"/>
          <w:lang w:val="ru-RU"/>
        </w:rPr>
        <w:t>) механизм для натяжки гусеницы располо</w:t>
      </w:r>
      <w:r w:rsidRPr="00DB5D0D">
        <w:rPr>
          <w:rFonts w:ascii="Times New Roman" w:hAnsi="Times New Roman" w:cs="Times New Roman"/>
          <w:b w:val="0"/>
          <w:bCs w:val="0"/>
          <w:color w:val="000000" w:themeColor="text1"/>
          <w:sz w:val="16"/>
          <w:szCs w:val="16"/>
          <w:lang w:val="ru-RU"/>
        </w:rPr>
        <w:softHyphen/>
        <w:t>жен снаружи корпуса танка, сзади кривошипа, и пред</w:t>
      </w:r>
      <w:r w:rsidRPr="00DB5D0D">
        <w:rPr>
          <w:rFonts w:ascii="Times New Roman" w:hAnsi="Times New Roman" w:cs="Times New Roman"/>
          <w:b w:val="0"/>
          <w:bCs w:val="0"/>
          <w:color w:val="000000" w:themeColor="text1"/>
          <w:sz w:val="16"/>
          <w:szCs w:val="16"/>
          <w:lang w:val="ru-RU"/>
        </w:rPr>
        <w:softHyphen/>
        <w:t>ставляет собой винтовой шток, соединенный своей про</w:t>
      </w:r>
      <w:r w:rsidRPr="00DB5D0D">
        <w:rPr>
          <w:rFonts w:ascii="Times New Roman" w:hAnsi="Times New Roman" w:cs="Times New Roman"/>
          <w:b w:val="0"/>
          <w:bCs w:val="0"/>
          <w:color w:val="000000" w:themeColor="text1"/>
          <w:sz w:val="16"/>
          <w:szCs w:val="16"/>
          <w:lang w:val="ru-RU"/>
        </w:rPr>
        <w:softHyphen/>
        <w:t>ушиной с пальцем кривошипа, а нарезанным хвосто</w:t>
      </w:r>
      <w:r w:rsidRPr="00DB5D0D">
        <w:rPr>
          <w:rFonts w:ascii="Times New Roman" w:hAnsi="Times New Roman" w:cs="Times New Roman"/>
          <w:b w:val="0"/>
          <w:bCs w:val="0"/>
          <w:color w:val="000000" w:themeColor="text1"/>
          <w:sz w:val="16"/>
          <w:szCs w:val="16"/>
          <w:lang w:val="ru-RU"/>
        </w:rPr>
        <w:softHyphen/>
        <w:t>виком со стаканом, имеющим нарезку внутри... Необ</w:t>
      </w:r>
      <w:r w:rsidRPr="00DB5D0D">
        <w:rPr>
          <w:rFonts w:ascii="Times New Roman" w:hAnsi="Times New Roman" w:cs="Times New Roman"/>
          <w:b w:val="0"/>
          <w:bCs w:val="0"/>
          <w:color w:val="000000" w:themeColor="text1"/>
          <w:sz w:val="16"/>
          <w:szCs w:val="16"/>
          <w:lang w:val="ru-RU"/>
        </w:rPr>
        <w:softHyphen/>
        <w:t>ходимый поворот кривошипа достигается вращением стакана. Благодаря тому, что стакан не имеет продоль</w:t>
      </w:r>
      <w:r w:rsidRPr="00DB5D0D">
        <w:rPr>
          <w:rFonts w:ascii="Times New Roman" w:hAnsi="Times New Roman" w:cs="Times New Roman"/>
          <w:b w:val="0"/>
          <w:bCs w:val="0"/>
          <w:color w:val="000000" w:themeColor="text1"/>
          <w:sz w:val="16"/>
          <w:szCs w:val="16"/>
          <w:lang w:val="ru-RU"/>
        </w:rPr>
        <w:softHyphen/>
        <w:t>ного перемещения, шток ввинчивается в него, увлекая за собой кривошип. При этом муфта, о которую упира</w:t>
      </w:r>
      <w:r w:rsidRPr="00DB5D0D">
        <w:rPr>
          <w:rFonts w:ascii="Times New Roman" w:hAnsi="Times New Roman" w:cs="Times New Roman"/>
          <w:b w:val="0"/>
          <w:bCs w:val="0"/>
          <w:color w:val="000000" w:themeColor="text1"/>
          <w:sz w:val="16"/>
          <w:szCs w:val="16"/>
          <w:lang w:val="ru-RU"/>
        </w:rPr>
        <w:softHyphen/>
        <w:t>ется стакан, вращаясь вокруг своей оси на цапфах, обес</w:t>
      </w:r>
      <w:r w:rsidRPr="00DB5D0D">
        <w:rPr>
          <w:rFonts w:ascii="Times New Roman" w:hAnsi="Times New Roman" w:cs="Times New Roman"/>
          <w:b w:val="0"/>
          <w:bCs w:val="0"/>
          <w:color w:val="000000" w:themeColor="text1"/>
          <w:sz w:val="16"/>
          <w:szCs w:val="16"/>
          <w:lang w:val="ru-RU"/>
        </w:rPr>
        <w:softHyphen/>
        <w:t>печивает угловой поворот штока.</w:t>
      </w:r>
    </w:p>
    <w:p w14:paraId="67001901"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60"/>
          <w:rFonts w:ascii="Times New Roman" w:hAnsi="Times New Roman" w:cs="Times New Roman"/>
          <w:b w:val="0"/>
          <w:bCs w:val="0"/>
          <w:i w:val="0"/>
          <w:iCs w:val="0"/>
          <w:color w:val="000000" w:themeColor="text1"/>
          <w:sz w:val="16"/>
          <w:szCs w:val="16"/>
          <w:lang w:val="ru-RU"/>
        </w:rPr>
        <w:t>Гусеница</w:t>
      </w:r>
      <w:r w:rsidRPr="00DB5D0D">
        <w:rPr>
          <w:rFonts w:ascii="Times New Roman" w:hAnsi="Times New Roman" w:cs="Times New Roman"/>
          <w:b w:val="0"/>
          <w:bCs w:val="0"/>
          <w:color w:val="000000" w:themeColor="text1"/>
          <w:sz w:val="16"/>
          <w:szCs w:val="16"/>
          <w:lang w:val="ru-RU"/>
        </w:rPr>
        <w:t xml:space="preserve"> представляет собой бесконечную цепь шарнирно связанных межЈу собой стальных штампо</w:t>
      </w:r>
      <w:r w:rsidRPr="00DB5D0D">
        <w:rPr>
          <w:rFonts w:ascii="Times New Roman" w:hAnsi="Times New Roman" w:cs="Times New Roman"/>
          <w:b w:val="0"/>
          <w:bCs w:val="0"/>
          <w:color w:val="000000" w:themeColor="text1"/>
          <w:sz w:val="16"/>
          <w:szCs w:val="16"/>
          <w:lang w:val="ru-RU"/>
        </w:rPr>
        <w:softHyphen/>
        <w:t>ванных траков. Каждая гусеничная лента состоит из чередующихся между собой 37-ми плоских и 37-ми траков с гребнями. Траки снаб</w:t>
      </w:r>
      <w:r w:rsidRPr="00DB5D0D">
        <w:rPr>
          <w:rFonts w:ascii="Times New Roman" w:hAnsi="Times New Roman" w:cs="Times New Roman"/>
          <w:b w:val="0"/>
          <w:bCs w:val="0"/>
          <w:color w:val="000000" w:themeColor="text1"/>
          <w:sz w:val="16"/>
          <w:szCs w:val="16"/>
          <w:lang w:val="ru-RU"/>
        </w:rPr>
        <w:softHyphen/>
        <w:t>жены ушками и связываются между собой стальными пальцами (по два на каждом шарнире) плавающего типа.</w:t>
      </w:r>
    </w:p>
    <w:p w14:paraId="09CC2EE8"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Зацепление гусеницы с ведущим гусеничным колесом гребне</w:t>
      </w:r>
      <w:r w:rsidRPr="00DB5D0D">
        <w:rPr>
          <w:rFonts w:ascii="Times New Roman" w:hAnsi="Times New Roman" w:cs="Times New Roman"/>
          <w:b w:val="0"/>
          <w:bCs w:val="0"/>
          <w:color w:val="000000" w:themeColor="text1"/>
          <w:sz w:val="16"/>
          <w:szCs w:val="16"/>
          <w:lang w:val="ru-RU"/>
        </w:rPr>
        <w:softHyphen/>
        <w:t>вое и осуществляется роликами гусеничного колеса, передающими усилие гребням траков. Вес танка передается на почву поддержива</w:t>
      </w:r>
      <w:r w:rsidRPr="00DB5D0D">
        <w:rPr>
          <w:rFonts w:ascii="Times New Roman" w:hAnsi="Times New Roman" w:cs="Times New Roman"/>
          <w:b w:val="0"/>
          <w:bCs w:val="0"/>
          <w:color w:val="000000" w:themeColor="text1"/>
          <w:sz w:val="16"/>
          <w:szCs w:val="16"/>
          <w:lang w:val="ru-RU"/>
        </w:rPr>
        <w:softHyphen/>
        <w:t>ющими колесами через нижнюю ветвь гусеницы, которая образует опорную поверхность танка. Верхняя ветвь гусеницы поддержива</w:t>
      </w:r>
      <w:r w:rsidRPr="00DB5D0D">
        <w:rPr>
          <w:rFonts w:ascii="Times New Roman" w:hAnsi="Times New Roman" w:cs="Times New Roman"/>
          <w:b w:val="0"/>
          <w:bCs w:val="0"/>
          <w:color w:val="000000" w:themeColor="text1"/>
          <w:sz w:val="16"/>
          <w:szCs w:val="16"/>
          <w:lang w:val="ru-RU"/>
        </w:rPr>
        <w:softHyphen/>
        <w:t>ется ленивцем и поддерживающими колесами. Для движения в осо</w:t>
      </w:r>
      <w:r w:rsidRPr="00DB5D0D">
        <w:rPr>
          <w:rFonts w:ascii="Times New Roman" w:hAnsi="Times New Roman" w:cs="Times New Roman"/>
          <w:b w:val="0"/>
          <w:bCs w:val="0"/>
          <w:color w:val="000000" w:themeColor="text1"/>
          <w:sz w:val="16"/>
          <w:szCs w:val="16"/>
          <w:lang w:val="ru-RU"/>
        </w:rPr>
        <w:softHyphen/>
        <w:t>бо тяжелых дорожных условиях гусеница может быть снабжена шпо</w:t>
      </w:r>
      <w:r w:rsidRPr="00DB5D0D">
        <w:rPr>
          <w:rFonts w:ascii="Times New Roman" w:hAnsi="Times New Roman" w:cs="Times New Roman"/>
          <w:b w:val="0"/>
          <w:bCs w:val="0"/>
          <w:color w:val="000000" w:themeColor="text1"/>
          <w:sz w:val="16"/>
          <w:szCs w:val="16"/>
          <w:lang w:val="ru-RU"/>
        </w:rPr>
        <w:softHyphen/>
        <w:t>рами, крепящимися к ней болтами.</w:t>
      </w:r>
    </w:p>
    <w:p w14:paraId="79303133"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50"/>
          <w:rFonts w:ascii="Times New Roman" w:hAnsi="Times New Roman" w:cs="Times New Roman"/>
          <w:b w:val="0"/>
          <w:bCs w:val="0"/>
          <w:i w:val="0"/>
          <w:iCs w:val="0"/>
          <w:color w:val="000000" w:themeColor="text1"/>
          <w:sz w:val="16"/>
          <w:szCs w:val="16"/>
          <w:lang w:val="ru-RU"/>
        </w:rPr>
        <w:t>Сиденья водителя и стрелка</w:t>
      </w:r>
      <w:r w:rsidRPr="00DB5D0D">
        <w:rPr>
          <w:rFonts w:ascii="Times New Roman" w:hAnsi="Times New Roman" w:cs="Times New Roman"/>
          <w:b w:val="0"/>
          <w:bCs w:val="0"/>
          <w:color w:val="000000" w:themeColor="text1"/>
          <w:sz w:val="16"/>
          <w:szCs w:val="16"/>
          <w:lang w:val="ru-RU"/>
        </w:rPr>
        <w:t xml:space="preserve"> установлены в носовой части кор</w:t>
      </w:r>
      <w:r w:rsidRPr="00DB5D0D">
        <w:rPr>
          <w:rFonts w:ascii="Times New Roman" w:hAnsi="Times New Roman" w:cs="Times New Roman"/>
          <w:b w:val="0"/>
          <w:bCs w:val="0"/>
          <w:color w:val="000000" w:themeColor="text1"/>
          <w:sz w:val="16"/>
          <w:szCs w:val="16"/>
          <w:lang w:val="ru-RU"/>
        </w:rPr>
        <w:softHyphen/>
        <w:t>пуса на кронштейнах. Сиденье водителя расположено елевой сто</w:t>
      </w:r>
      <w:r w:rsidRPr="00DB5D0D">
        <w:rPr>
          <w:rFonts w:ascii="Times New Roman" w:hAnsi="Times New Roman" w:cs="Times New Roman"/>
          <w:b w:val="0"/>
          <w:bCs w:val="0"/>
          <w:color w:val="000000" w:themeColor="text1"/>
          <w:sz w:val="16"/>
          <w:szCs w:val="16"/>
          <w:lang w:val="ru-RU"/>
        </w:rPr>
        <w:softHyphen/>
        <w:t>роны (по ходу машины), сиденье стрелка - с правой стороны. Каж</w:t>
      </w:r>
      <w:r w:rsidRPr="00DB5D0D">
        <w:rPr>
          <w:rFonts w:ascii="Times New Roman" w:hAnsi="Times New Roman" w:cs="Times New Roman"/>
          <w:b w:val="0"/>
          <w:bCs w:val="0"/>
          <w:color w:val="000000" w:themeColor="text1"/>
          <w:sz w:val="16"/>
          <w:szCs w:val="16"/>
          <w:lang w:val="ru-RU"/>
        </w:rPr>
        <w:softHyphen/>
        <w:t>дое сиденье состоит из мягкой подушки, спинки и боковин. Сиде</w:t>
      </w:r>
      <w:r w:rsidRPr="00DB5D0D">
        <w:rPr>
          <w:rFonts w:ascii="Times New Roman" w:hAnsi="Times New Roman" w:cs="Times New Roman"/>
          <w:b w:val="0"/>
          <w:bCs w:val="0"/>
          <w:color w:val="000000" w:themeColor="text1"/>
          <w:sz w:val="16"/>
          <w:szCs w:val="16"/>
          <w:lang w:val="ru-RU"/>
        </w:rPr>
        <w:softHyphen/>
        <w:t>нья выполнены с откидывающимися спинками и имеют регули</w:t>
      </w:r>
      <w:r w:rsidRPr="00DB5D0D">
        <w:rPr>
          <w:rFonts w:ascii="Times New Roman" w:hAnsi="Times New Roman" w:cs="Times New Roman"/>
          <w:b w:val="0"/>
          <w:bCs w:val="0"/>
          <w:color w:val="000000" w:themeColor="text1"/>
          <w:sz w:val="16"/>
          <w:szCs w:val="16"/>
          <w:lang w:val="ru-RU"/>
        </w:rPr>
        <w:softHyphen/>
        <w:t>ровку в горизонтальном направлении. Все приводы управления механизмами танка расположены в непосредственной близости к сиденью водителя.</w:t>
      </w:r>
    </w:p>
    <w:p w14:paraId="48DC7733"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50"/>
          <w:rFonts w:ascii="Times New Roman" w:hAnsi="Times New Roman" w:cs="Times New Roman"/>
          <w:b w:val="0"/>
          <w:bCs w:val="0"/>
          <w:i w:val="0"/>
          <w:iCs w:val="0"/>
          <w:color w:val="000000" w:themeColor="text1"/>
          <w:sz w:val="16"/>
          <w:szCs w:val="16"/>
          <w:lang w:val="ru-RU"/>
        </w:rPr>
        <w:t>Управление главным фрикционом</w:t>
      </w:r>
      <w:r w:rsidRPr="00DB5D0D">
        <w:rPr>
          <w:rFonts w:ascii="Times New Roman" w:hAnsi="Times New Roman" w:cs="Times New Roman"/>
          <w:b w:val="0"/>
          <w:bCs w:val="0"/>
          <w:color w:val="000000" w:themeColor="text1"/>
          <w:sz w:val="16"/>
          <w:szCs w:val="16"/>
          <w:lang w:val="ru-RU"/>
        </w:rPr>
        <w:t xml:space="preserve"> осуществляется педалью, ус</w:t>
      </w:r>
      <w:r w:rsidRPr="00DB5D0D">
        <w:rPr>
          <w:rFonts w:ascii="Times New Roman" w:hAnsi="Times New Roman" w:cs="Times New Roman"/>
          <w:b w:val="0"/>
          <w:bCs w:val="0"/>
          <w:color w:val="000000" w:themeColor="text1"/>
          <w:sz w:val="16"/>
          <w:szCs w:val="16"/>
          <w:lang w:val="ru-RU"/>
        </w:rPr>
        <w:softHyphen/>
        <w:t>тановленной на валике в носовой части корпуса. Педаль соединя</w:t>
      </w:r>
      <w:r w:rsidRPr="00DB5D0D">
        <w:rPr>
          <w:rFonts w:ascii="Times New Roman" w:hAnsi="Times New Roman" w:cs="Times New Roman"/>
          <w:b w:val="0"/>
          <w:bCs w:val="0"/>
          <w:color w:val="000000" w:themeColor="text1"/>
          <w:sz w:val="16"/>
          <w:szCs w:val="16"/>
          <w:lang w:val="ru-RU"/>
        </w:rPr>
        <w:softHyphen/>
        <w:t>ется тягой с рычажком уравнительного ва</w:t>
      </w:r>
      <w:r w:rsidRPr="00DB5D0D">
        <w:rPr>
          <w:rFonts w:ascii="Times New Roman" w:hAnsi="Times New Roman" w:cs="Times New Roman"/>
          <w:b w:val="0"/>
          <w:bCs w:val="0"/>
          <w:color w:val="000000" w:themeColor="text1"/>
          <w:sz w:val="16"/>
          <w:szCs w:val="16"/>
          <w:lang w:val="ru-RU"/>
        </w:rPr>
        <w:softHyphen/>
        <w:t>лика, от которого через тягу, идущую по днищу корпуса, передается движение ко</w:t>
      </w:r>
      <w:r w:rsidRPr="00DB5D0D">
        <w:rPr>
          <w:rFonts w:ascii="Times New Roman" w:hAnsi="Times New Roman" w:cs="Times New Roman"/>
          <w:b w:val="0"/>
          <w:bCs w:val="0"/>
          <w:color w:val="000000" w:themeColor="text1"/>
          <w:sz w:val="16"/>
          <w:szCs w:val="16"/>
          <w:lang w:val="ru-RU"/>
        </w:rPr>
        <w:softHyphen/>
        <w:t>ленчатому рычажку. Последний, через по</w:t>
      </w:r>
      <w:r w:rsidRPr="00DB5D0D">
        <w:rPr>
          <w:rFonts w:ascii="Times New Roman" w:hAnsi="Times New Roman" w:cs="Times New Roman"/>
          <w:b w:val="0"/>
          <w:bCs w:val="0"/>
          <w:color w:val="000000" w:themeColor="text1"/>
          <w:sz w:val="16"/>
          <w:szCs w:val="16"/>
          <w:lang w:val="ru-RU"/>
        </w:rPr>
        <w:softHyphen/>
        <w:t>перечную тягу, приводит в движение ры</w:t>
      </w:r>
      <w:r w:rsidRPr="00DB5D0D">
        <w:rPr>
          <w:rFonts w:ascii="Times New Roman" w:hAnsi="Times New Roman" w:cs="Times New Roman"/>
          <w:b w:val="0"/>
          <w:bCs w:val="0"/>
          <w:color w:val="000000" w:themeColor="text1"/>
          <w:sz w:val="16"/>
          <w:szCs w:val="16"/>
          <w:lang w:val="ru-RU"/>
        </w:rPr>
        <w:softHyphen/>
        <w:t>чаг поводковой коробки фрикциона при выключении.</w:t>
      </w:r>
    </w:p>
    <w:p w14:paraId="4CD5BB2A"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50"/>
          <w:rFonts w:ascii="Times New Roman" w:hAnsi="Times New Roman" w:cs="Times New Roman"/>
          <w:b w:val="0"/>
          <w:bCs w:val="0"/>
          <w:i w:val="0"/>
          <w:iCs w:val="0"/>
          <w:color w:val="000000" w:themeColor="text1"/>
          <w:sz w:val="16"/>
          <w:szCs w:val="16"/>
          <w:lang w:val="ru-RU"/>
        </w:rPr>
        <w:t>Управление коробкой передач</w:t>
      </w:r>
      <w:r w:rsidRPr="00DB5D0D">
        <w:rPr>
          <w:rFonts w:ascii="Times New Roman" w:hAnsi="Times New Roman" w:cs="Times New Roman"/>
          <w:b w:val="0"/>
          <w:bCs w:val="0"/>
          <w:color w:val="000000" w:themeColor="text1"/>
          <w:sz w:val="16"/>
          <w:szCs w:val="16"/>
          <w:lang w:val="ru-RU"/>
        </w:rPr>
        <w:t xml:space="preserve"> осуще</w:t>
      </w:r>
      <w:r w:rsidRPr="00DB5D0D">
        <w:rPr>
          <w:rFonts w:ascii="Times New Roman" w:hAnsi="Times New Roman" w:cs="Times New Roman"/>
          <w:b w:val="0"/>
          <w:bCs w:val="0"/>
          <w:color w:val="000000" w:themeColor="text1"/>
          <w:sz w:val="16"/>
          <w:szCs w:val="16"/>
          <w:lang w:val="ru-RU"/>
        </w:rPr>
        <w:softHyphen/>
        <w:t>ствляется кулисой, установленной справа от сиденья водителя. В продольных пазах основания кулисы расположены три при</w:t>
      </w:r>
      <w:r w:rsidRPr="00DB5D0D">
        <w:rPr>
          <w:rFonts w:ascii="Times New Roman" w:hAnsi="Times New Roman" w:cs="Times New Roman"/>
          <w:b w:val="0"/>
          <w:bCs w:val="0"/>
          <w:color w:val="000000" w:themeColor="text1"/>
          <w:sz w:val="16"/>
          <w:szCs w:val="16"/>
          <w:lang w:val="ru-RU"/>
        </w:rPr>
        <w:softHyphen/>
        <w:t>зматических поводка, приводящиеся в движение переводным рычагом... Все по</w:t>
      </w:r>
      <w:r w:rsidRPr="00DB5D0D">
        <w:rPr>
          <w:rFonts w:ascii="Times New Roman" w:hAnsi="Times New Roman" w:cs="Times New Roman"/>
          <w:b w:val="0"/>
          <w:bCs w:val="0"/>
          <w:color w:val="000000" w:themeColor="text1"/>
          <w:sz w:val="16"/>
          <w:szCs w:val="16"/>
          <w:lang w:val="ru-RU"/>
        </w:rPr>
        <w:softHyphen/>
        <w:t>водки кулисы снабжены шариковыми фик</w:t>
      </w:r>
      <w:r w:rsidRPr="00DB5D0D">
        <w:rPr>
          <w:rFonts w:ascii="Times New Roman" w:hAnsi="Times New Roman" w:cs="Times New Roman"/>
          <w:b w:val="0"/>
          <w:bCs w:val="0"/>
          <w:color w:val="000000" w:themeColor="text1"/>
          <w:sz w:val="16"/>
          <w:szCs w:val="16"/>
          <w:lang w:val="ru-RU"/>
        </w:rPr>
        <w:softHyphen/>
        <w:t>саторами, определяющими и ограничива</w:t>
      </w:r>
      <w:r w:rsidRPr="00DB5D0D">
        <w:rPr>
          <w:rFonts w:ascii="Times New Roman" w:hAnsi="Times New Roman" w:cs="Times New Roman"/>
          <w:b w:val="0"/>
          <w:bCs w:val="0"/>
          <w:color w:val="000000" w:themeColor="text1"/>
          <w:sz w:val="16"/>
          <w:szCs w:val="16"/>
          <w:lang w:val="ru-RU"/>
        </w:rPr>
        <w:softHyphen/>
        <w:t>ющими ходы поводков. Для предотвраще</w:t>
      </w:r>
      <w:r w:rsidRPr="00DB5D0D">
        <w:rPr>
          <w:rFonts w:ascii="Times New Roman" w:hAnsi="Times New Roman" w:cs="Times New Roman"/>
          <w:b w:val="0"/>
          <w:bCs w:val="0"/>
          <w:color w:val="000000" w:themeColor="text1"/>
          <w:sz w:val="16"/>
          <w:szCs w:val="16"/>
          <w:lang w:val="ru-RU"/>
        </w:rPr>
        <w:softHyphen/>
        <w:t>ния произвольного выключения шестерен коробки передач на фиксаторах смонти</w:t>
      </w:r>
      <w:r w:rsidRPr="00DB5D0D">
        <w:rPr>
          <w:rFonts w:ascii="Times New Roman" w:hAnsi="Times New Roman" w:cs="Times New Roman"/>
          <w:b w:val="0"/>
          <w:bCs w:val="0"/>
          <w:color w:val="000000" w:themeColor="text1"/>
          <w:sz w:val="16"/>
          <w:szCs w:val="16"/>
          <w:lang w:val="ru-RU"/>
        </w:rPr>
        <w:softHyphen/>
        <w:t>рован дисковый стопорный замок. Повод</w:t>
      </w:r>
      <w:r w:rsidRPr="00DB5D0D">
        <w:rPr>
          <w:rFonts w:ascii="Times New Roman" w:hAnsi="Times New Roman" w:cs="Times New Roman"/>
          <w:b w:val="0"/>
          <w:bCs w:val="0"/>
          <w:color w:val="000000" w:themeColor="text1"/>
          <w:sz w:val="16"/>
          <w:szCs w:val="16"/>
          <w:lang w:val="ru-RU"/>
        </w:rPr>
        <w:softHyphen/>
        <w:t>ки кулисы соединяются продольными тя</w:t>
      </w:r>
      <w:r w:rsidRPr="00DB5D0D">
        <w:rPr>
          <w:rFonts w:ascii="Times New Roman" w:hAnsi="Times New Roman" w:cs="Times New Roman"/>
          <w:b w:val="0"/>
          <w:bCs w:val="0"/>
          <w:color w:val="000000" w:themeColor="text1"/>
          <w:sz w:val="16"/>
          <w:szCs w:val="16"/>
          <w:lang w:val="ru-RU"/>
        </w:rPr>
        <w:softHyphen/>
        <w:t>гами, проходящими по днищу машины, с рычажками вертикальных валиков, уста</w:t>
      </w:r>
      <w:r w:rsidRPr="00DB5D0D">
        <w:rPr>
          <w:rFonts w:ascii="Times New Roman" w:hAnsi="Times New Roman" w:cs="Times New Roman"/>
          <w:b w:val="0"/>
          <w:bCs w:val="0"/>
          <w:color w:val="000000" w:themeColor="text1"/>
          <w:sz w:val="16"/>
          <w:szCs w:val="16"/>
          <w:lang w:val="ru-RU"/>
        </w:rPr>
        <w:softHyphen/>
        <w:t>новленных у коробки передач... При пе</w:t>
      </w:r>
      <w:r w:rsidRPr="00DB5D0D">
        <w:rPr>
          <w:rFonts w:ascii="Times New Roman" w:hAnsi="Times New Roman" w:cs="Times New Roman"/>
          <w:b w:val="0"/>
          <w:bCs w:val="0"/>
          <w:color w:val="000000" w:themeColor="text1"/>
          <w:sz w:val="16"/>
          <w:szCs w:val="16"/>
          <w:lang w:val="ru-RU"/>
        </w:rPr>
        <w:softHyphen/>
        <w:t>ремещении переводного рычага кулисы</w:t>
      </w:r>
      <w:r w:rsidRPr="00DB5D0D">
        <w:rPr>
          <w:rStyle w:val="465pt15122"/>
          <w:rFonts w:ascii="Times New Roman" w:hAnsi="Times New Roman" w:cs="Times New Roman"/>
          <w:i w:val="0"/>
          <w:iCs w:val="0"/>
          <w:color w:val="000000" w:themeColor="text1"/>
          <w:sz w:val="16"/>
          <w:szCs w:val="16"/>
          <w:lang w:val="ru-RU"/>
        </w:rPr>
        <w:t xml:space="preserve"> схема пневматического </w:t>
      </w:r>
      <w:r w:rsidRPr="00DB5D0D">
        <w:rPr>
          <w:rFonts w:ascii="Times New Roman" w:hAnsi="Times New Roman" w:cs="Times New Roman"/>
          <w:b w:val="0"/>
          <w:bCs w:val="0"/>
          <w:color w:val="000000" w:themeColor="text1"/>
          <w:sz w:val="16"/>
          <w:szCs w:val="16"/>
          <w:lang w:val="ru-RU"/>
        </w:rPr>
        <w:t>поступательное движение поводка в основании кулисы через продольные тяги передается со</w:t>
      </w:r>
      <w:r w:rsidRPr="00DB5D0D">
        <w:rPr>
          <w:rFonts w:ascii="Times New Roman" w:hAnsi="Times New Roman" w:cs="Times New Roman"/>
          <w:b w:val="0"/>
          <w:bCs w:val="0"/>
          <w:color w:val="000000" w:themeColor="text1"/>
          <w:sz w:val="16"/>
          <w:szCs w:val="16"/>
          <w:lang w:val="ru-RU"/>
        </w:rPr>
        <w:softHyphen/>
      </w:r>
      <w:r w:rsidRPr="00DB5D0D">
        <w:rPr>
          <w:rFonts w:ascii="Times New Roman" w:hAnsi="Times New Roman" w:cs="Times New Roman"/>
          <w:b w:val="0"/>
          <w:bCs w:val="0"/>
          <w:color w:val="000000" w:themeColor="text1"/>
          <w:sz w:val="16"/>
          <w:szCs w:val="16"/>
          <w:lang w:val="ru-RU"/>
        </w:rPr>
        <w:lastRenderedPageBreak/>
        <w:t>ответствующему вертикальному валику. Валик, проворачиваясь, через рычажок и серьги пе</w:t>
      </w:r>
      <w:r w:rsidRPr="00DB5D0D">
        <w:rPr>
          <w:rFonts w:ascii="Times New Roman" w:hAnsi="Times New Roman" w:cs="Times New Roman"/>
          <w:b w:val="0"/>
          <w:bCs w:val="0"/>
          <w:color w:val="000000" w:themeColor="text1"/>
          <w:sz w:val="16"/>
          <w:szCs w:val="16"/>
          <w:lang w:val="ru-RU"/>
        </w:rPr>
        <w:softHyphen/>
        <w:t>ремещает поводковый валик коробки передач и вводит в зацепление соответствующую под</w:t>
      </w:r>
      <w:r w:rsidRPr="00DB5D0D">
        <w:rPr>
          <w:rFonts w:ascii="Times New Roman" w:hAnsi="Times New Roman" w:cs="Times New Roman"/>
          <w:b w:val="0"/>
          <w:bCs w:val="0"/>
          <w:color w:val="000000" w:themeColor="text1"/>
          <w:sz w:val="16"/>
          <w:szCs w:val="16"/>
          <w:lang w:val="ru-RU"/>
        </w:rPr>
        <w:softHyphen/>
        <w:t>вижную шестерню с неподвижной или выво</w:t>
      </w:r>
      <w:r w:rsidRPr="00DB5D0D">
        <w:rPr>
          <w:rFonts w:ascii="Times New Roman" w:hAnsi="Times New Roman" w:cs="Times New Roman"/>
          <w:b w:val="0"/>
          <w:bCs w:val="0"/>
          <w:color w:val="000000" w:themeColor="text1"/>
          <w:sz w:val="16"/>
          <w:szCs w:val="16"/>
          <w:lang w:val="ru-RU"/>
        </w:rPr>
        <w:softHyphen/>
        <w:t>дит их из зацепления, тем самым включая или выключая требуемую передачу.</w:t>
      </w:r>
    </w:p>
    <w:p w14:paraId="3E7A19B8"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50"/>
          <w:rFonts w:ascii="Times New Roman" w:hAnsi="Times New Roman" w:cs="Times New Roman"/>
          <w:b w:val="0"/>
          <w:bCs w:val="0"/>
          <w:i w:val="0"/>
          <w:iCs w:val="0"/>
          <w:color w:val="000000" w:themeColor="text1"/>
          <w:sz w:val="16"/>
          <w:szCs w:val="16"/>
          <w:lang w:val="ru-RU"/>
        </w:rPr>
        <w:t>Управление бортовыми фрикционами и тормозами</w:t>
      </w:r>
      <w:r w:rsidRPr="00DB5D0D">
        <w:rPr>
          <w:rFonts w:ascii="Times New Roman" w:hAnsi="Times New Roman" w:cs="Times New Roman"/>
          <w:b w:val="0"/>
          <w:bCs w:val="0"/>
          <w:color w:val="000000" w:themeColor="text1"/>
          <w:sz w:val="16"/>
          <w:szCs w:val="16"/>
          <w:lang w:val="ru-RU"/>
        </w:rPr>
        <w:t xml:space="preserve"> осуществляется двумя бортовыми рычагами, установленными по обеим сторонам сиденья водителя. Выключение бортовых фрик</w:t>
      </w:r>
      <w:r w:rsidRPr="00DB5D0D">
        <w:rPr>
          <w:rFonts w:ascii="Times New Roman" w:hAnsi="Times New Roman" w:cs="Times New Roman"/>
          <w:b w:val="0"/>
          <w:bCs w:val="0"/>
          <w:color w:val="000000" w:themeColor="text1"/>
          <w:sz w:val="16"/>
          <w:szCs w:val="16"/>
          <w:lang w:val="ru-RU"/>
        </w:rPr>
        <w:softHyphen/>
        <w:t>ционов и затяжка тормозных лент производит</w:t>
      </w:r>
      <w:r w:rsidRPr="00DB5D0D">
        <w:rPr>
          <w:rFonts w:ascii="Times New Roman" w:hAnsi="Times New Roman" w:cs="Times New Roman"/>
          <w:b w:val="0"/>
          <w:bCs w:val="0"/>
          <w:color w:val="000000" w:themeColor="text1"/>
          <w:sz w:val="16"/>
          <w:szCs w:val="16"/>
          <w:lang w:val="ru-RU"/>
        </w:rPr>
        <w:softHyphen/>
        <w:t>ся пневматическим сервомеханизмом, вклю</w:t>
      </w:r>
      <w:r w:rsidRPr="00DB5D0D">
        <w:rPr>
          <w:rFonts w:ascii="Times New Roman" w:hAnsi="Times New Roman" w:cs="Times New Roman"/>
          <w:b w:val="0"/>
          <w:bCs w:val="0"/>
          <w:color w:val="000000" w:themeColor="text1"/>
          <w:sz w:val="16"/>
          <w:szCs w:val="16"/>
          <w:lang w:val="ru-RU"/>
        </w:rPr>
        <w:softHyphen/>
        <w:t>ченным в систему управления, что значитель</w:t>
      </w:r>
      <w:r w:rsidRPr="00DB5D0D">
        <w:rPr>
          <w:rFonts w:ascii="Times New Roman" w:hAnsi="Times New Roman" w:cs="Times New Roman"/>
          <w:b w:val="0"/>
          <w:bCs w:val="0"/>
          <w:color w:val="000000" w:themeColor="text1"/>
          <w:sz w:val="16"/>
          <w:szCs w:val="16"/>
          <w:lang w:val="ru-RU"/>
        </w:rPr>
        <w:softHyphen/>
        <w:t>но облегчает работу водителя. При перемеще</w:t>
      </w:r>
      <w:r w:rsidRPr="00DB5D0D">
        <w:rPr>
          <w:rFonts w:ascii="Times New Roman" w:hAnsi="Times New Roman" w:cs="Times New Roman"/>
          <w:b w:val="0"/>
          <w:bCs w:val="0"/>
          <w:color w:val="000000" w:themeColor="text1"/>
          <w:sz w:val="16"/>
          <w:szCs w:val="16"/>
          <w:lang w:val="ru-RU"/>
        </w:rPr>
        <w:softHyphen/>
        <w:t>нии бортовых рычагов включаются в работу воздушные цилиндры сервоуправления, што</w:t>
      </w:r>
      <w:r w:rsidRPr="00DB5D0D">
        <w:rPr>
          <w:rFonts w:ascii="Times New Roman" w:hAnsi="Times New Roman" w:cs="Times New Roman"/>
          <w:b w:val="0"/>
          <w:bCs w:val="0"/>
          <w:color w:val="000000" w:themeColor="text1"/>
          <w:sz w:val="16"/>
          <w:szCs w:val="16"/>
          <w:lang w:val="ru-RU"/>
        </w:rPr>
        <w:softHyphen/>
        <w:t>ки которых тягами связаны с рычажками урав</w:t>
      </w:r>
      <w:r w:rsidRPr="00DB5D0D">
        <w:rPr>
          <w:rFonts w:ascii="Times New Roman" w:hAnsi="Times New Roman" w:cs="Times New Roman"/>
          <w:b w:val="0"/>
          <w:bCs w:val="0"/>
          <w:color w:val="000000" w:themeColor="text1"/>
          <w:sz w:val="16"/>
          <w:szCs w:val="16"/>
          <w:lang w:val="ru-RU"/>
        </w:rPr>
        <w:softHyphen/>
        <w:t>нительного валика, установленного под сиденьем водителя. От уравнительного валика через тяги, идущие по днищу корпуса, дви</w:t>
      </w:r>
      <w:r w:rsidRPr="00DB5D0D">
        <w:rPr>
          <w:rFonts w:ascii="Times New Roman" w:hAnsi="Times New Roman" w:cs="Times New Roman"/>
          <w:b w:val="0"/>
          <w:bCs w:val="0"/>
          <w:color w:val="000000" w:themeColor="text1"/>
          <w:sz w:val="16"/>
          <w:szCs w:val="16"/>
          <w:lang w:val="ru-RU"/>
        </w:rPr>
        <w:softHyphen/>
        <w:t>жение передается передаточным валикам, установленным в кор</w:t>
      </w:r>
      <w:r w:rsidRPr="00DB5D0D">
        <w:rPr>
          <w:rFonts w:ascii="Times New Roman" w:hAnsi="Times New Roman" w:cs="Times New Roman"/>
          <w:b w:val="0"/>
          <w:bCs w:val="0"/>
          <w:color w:val="000000" w:themeColor="text1"/>
          <w:sz w:val="16"/>
          <w:szCs w:val="16"/>
          <w:lang w:val="ru-RU"/>
        </w:rPr>
        <w:softHyphen/>
        <w:t>ме корпуса. Рычажки передаточных валиков через тяги приводят в движение поводковую коробку бортового фрикциона и привод</w:t>
      </w:r>
      <w:r w:rsidRPr="00DB5D0D">
        <w:rPr>
          <w:rFonts w:ascii="Times New Roman" w:hAnsi="Times New Roman" w:cs="Times New Roman"/>
          <w:b w:val="0"/>
          <w:bCs w:val="0"/>
          <w:color w:val="000000" w:themeColor="text1"/>
          <w:sz w:val="16"/>
          <w:szCs w:val="16"/>
          <w:lang w:val="ru-RU"/>
        </w:rPr>
        <w:softHyphen/>
        <w:t>ной рычажок тормоза, причем затяжка тормоза начинается только после выключения бортового фрикциона. Управление тормозами возможно также при помощи педали горного тормоза, действую</w:t>
      </w:r>
      <w:r w:rsidRPr="00DB5D0D">
        <w:rPr>
          <w:rFonts w:ascii="Times New Roman" w:hAnsi="Times New Roman" w:cs="Times New Roman"/>
          <w:b w:val="0"/>
          <w:bCs w:val="0"/>
          <w:color w:val="000000" w:themeColor="text1"/>
          <w:sz w:val="16"/>
          <w:szCs w:val="16"/>
          <w:lang w:val="ru-RU"/>
        </w:rPr>
        <w:softHyphen/>
        <w:t>щего на оба тормоза одновременно. Педаль установлена на об</w:t>
      </w:r>
      <w:r w:rsidRPr="00DB5D0D">
        <w:rPr>
          <w:rFonts w:ascii="Times New Roman" w:hAnsi="Times New Roman" w:cs="Times New Roman"/>
          <w:b w:val="0"/>
          <w:bCs w:val="0"/>
          <w:color w:val="000000" w:themeColor="text1"/>
          <w:sz w:val="16"/>
          <w:szCs w:val="16"/>
          <w:lang w:val="ru-RU"/>
        </w:rPr>
        <w:softHyphen/>
        <w:t>щем валике с педалью главного фрикциона и снабжена стопор</w:t>
      </w:r>
      <w:r w:rsidRPr="00DB5D0D">
        <w:rPr>
          <w:rFonts w:ascii="Times New Roman" w:hAnsi="Times New Roman" w:cs="Times New Roman"/>
          <w:b w:val="0"/>
          <w:bCs w:val="0"/>
          <w:color w:val="000000" w:themeColor="text1"/>
          <w:sz w:val="16"/>
          <w:szCs w:val="16"/>
          <w:lang w:val="ru-RU"/>
        </w:rPr>
        <w:softHyphen/>
        <w:t>ной защелкой.</w:t>
      </w:r>
    </w:p>
    <w:p w14:paraId="6D396B0D"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Конструкция приводов управления предусматривает возможность работы без сервоустройства, для чего бортовые рычаги выполнены регулируемыми по длине. При работе без сервоуправления усилие на выключение бортового фрикциона и торможение соответствует 65-80 кг, при сервоуправлении последнее снижается до 10-20 кг.</w:t>
      </w:r>
    </w:p>
    <w:p w14:paraId="4ECCCF4D"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50"/>
          <w:rFonts w:ascii="Times New Roman" w:hAnsi="Times New Roman" w:cs="Times New Roman"/>
          <w:b w:val="0"/>
          <w:bCs w:val="0"/>
          <w:i w:val="0"/>
          <w:iCs w:val="0"/>
          <w:color w:val="000000" w:themeColor="text1"/>
          <w:sz w:val="16"/>
          <w:szCs w:val="16"/>
          <w:lang w:val="ru-RU"/>
        </w:rPr>
        <w:t>В пневматическое сервоуправление входят:</w:t>
      </w:r>
    </w:p>
    <w:p w14:paraId="2239A74C" w14:textId="77777777" w:rsidR="00A25AD1" w:rsidRPr="00DB5D0D" w:rsidRDefault="00A25AD1" w:rsidP="00DB5D0D">
      <w:pPr>
        <w:pStyle w:val="412"/>
        <w:shd w:val="clear" w:color="auto" w:fill="auto"/>
        <w:tabs>
          <w:tab w:val="left" w:pos="483"/>
        </w:tabs>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1.Компрессор, установленный на коробке передач.</w:t>
      </w:r>
    </w:p>
    <w:p w14:paraId="18D3DE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Баллон высокого давления, емкостью в 10 литров, установ</w:t>
      </w:r>
      <w:r w:rsidRPr="00DB5D0D">
        <w:rPr>
          <w:rFonts w:ascii="Times New Roman" w:hAnsi="Times New Roman"/>
          <w:color w:val="000000" w:themeColor="text1"/>
          <w:sz w:val="16"/>
          <w:szCs w:val="16"/>
        </w:rPr>
        <w:softHyphen/>
        <w:t>ленный в левом подкрылке моторного отделения.</w:t>
      </w:r>
    </w:p>
    <w:p w14:paraId="13168623" w14:textId="77777777" w:rsidR="00A25AD1" w:rsidRPr="00DB5D0D" w:rsidRDefault="00A25AD1" w:rsidP="00DB5D0D">
      <w:pPr>
        <w:pStyle w:val="412"/>
        <w:shd w:val="clear" w:color="auto" w:fill="auto"/>
        <w:tabs>
          <w:tab w:val="left" w:pos="506"/>
        </w:tabs>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1.Баллон низкого давления, емкостью в 12 литров, установлен</w:t>
      </w:r>
      <w:r w:rsidRPr="00DB5D0D">
        <w:rPr>
          <w:rFonts w:ascii="Times New Roman" w:hAnsi="Times New Roman" w:cs="Times New Roman"/>
          <w:b w:val="0"/>
          <w:bCs w:val="0"/>
          <w:color w:val="000000" w:themeColor="text1"/>
          <w:sz w:val="16"/>
          <w:szCs w:val="16"/>
          <w:lang w:val="ru-RU"/>
        </w:rPr>
        <w:softHyphen/>
        <w:t>ный под коробкой передач.</w:t>
      </w:r>
    </w:p>
    <w:p w14:paraId="62249A45" w14:textId="77777777" w:rsidR="00A25AD1" w:rsidRPr="00DB5D0D" w:rsidRDefault="00A25AD1" w:rsidP="00DB5D0D">
      <w:pPr>
        <w:pStyle w:val="412"/>
        <w:shd w:val="clear" w:color="auto" w:fill="auto"/>
        <w:tabs>
          <w:tab w:val="left" w:pos="506"/>
        </w:tabs>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2.Питающий и предохранительный клапан с манометром, уста</w:t>
      </w:r>
      <w:r w:rsidRPr="00DB5D0D">
        <w:rPr>
          <w:rFonts w:ascii="Times New Roman" w:hAnsi="Times New Roman" w:cs="Times New Roman"/>
          <w:b w:val="0"/>
          <w:bCs w:val="0"/>
          <w:color w:val="000000" w:themeColor="text1"/>
          <w:sz w:val="16"/>
          <w:szCs w:val="16"/>
          <w:lang w:val="ru-RU"/>
        </w:rPr>
        <w:softHyphen/>
        <w:t>новленный на левом борту у сиденья водителя.</w:t>
      </w:r>
    </w:p>
    <w:p w14:paraId="313F33B1" w14:textId="77777777" w:rsidR="00A25AD1" w:rsidRPr="00DB5D0D" w:rsidRDefault="00A25AD1" w:rsidP="00DB5D0D">
      <w:pPr>
        <w:pStyle w:val="412"/>
        <w:shd w:val="clear" w:color="auto" w:fill="auto"/>
        <w:tabs>
          <w:tab w:val="left" w:pos="496"/>
        </w:tabs>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3.Два воздушных цилиндра с клапанными механизмами, уста</w:t>
      </w:r>
      <w:r w:rsidRPr="00DB5D0D">
        <w:rPr>
          <w:rFonts w:ascii="Times New Roman" w:hAnsi="Times New Roman" w:cs="Times New Roman"/>
          <w:b w:val="0"/>
          <w:bCs w:val="0"/>
          <w:color w:val="000000" w:themeColor="text1"/>
          <w:sz w:val="16"/>
          <w:szCs w:val="16"/>
          <w:lang w:val="ru-RU"/>
        </w:rPr>
        <w:softHyphen/>
        <w:t>новленные у бортовых рычагов.</w:t>
      </w:r>
    </w:p>
    <w:p w14:paraId="60AED2FC"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41"/>
          <w:rFonts w:ascii="Times New Roman" w:hAnsi="Times New Roman" w:cs="Times New Roman"/>
          <w:b w:val="0"/>
          <w:bCs w:val="0"/>
          <w:i w:val="0"/>
          <w:iCs w:val="0"/>
          <w:color w:val="000000" w:themeColor="text1"/>
          <w:sz w:val="16"/>
          <w:szCs w:val="16"/>
          <w:lang w:val="ru-RU"/>
        </w:rPr>
        <w:t>Компрессор</w:t>
      </w:r>
      <w:r w:rsidRPr="00DB5D0D">
        <w:rPr>
          <w:rFonts w:ascii="Times New Roman" w:hAnsi="Times New Roman" w:cs="Times New Roman"/>
          <w:b w:val="0"/>
          <w:bCs w:val="0"/>
          <w:color w:val="000000" w:themeColor="text1"/>
          <w:sz w:val="16"/>
          <w:szCs w:val="16"/>
          <w:lang w:val="ru-RU"/>
        </w:rPr>
        <w:t>, являющийся источником сжатого воздуха системы, выполнен двухцилиндровым, одноступенчатого сжатия, воздушного охлаждения, с производительностью в 200литров воздуха в минуту. Коленчатый вал компрессора получает вращение через шестерен</w:t>
      </w:r>
      <w:r w:rsidRPr="00DB5D0D">
        <w:rPr>
          <w:rFonts w:ascii="Times New Roman" w:hAnsi="Times New Roman" w:cs="Times New Roman"/>
          <w:b w:val="0"/>
          <w:bCs w:val="0"/>
          <w:color w:val="000000" w:themeColor="text1"/>
          <w:sz w:val="16"/>
          <w:szCs w:val="16"/>
          <w:lang w:val="ru-RU"/>
        </w:rPr>
        <w:softHyphen/>
        <w:t>чатый привод от передаточного вала коробки передач и смонтиро</w:t>
      </w:r>
      <w:r w:rsidRPr="00DB5D0D">
        <w:rPr>
          <w:rFonts w:ascii="Times New Roman" w:hAnsi="Times New Roman" w:cs="Times New Roman"/>
          <w:b w:val="0"/>
          <w:bCs w:val="0"/>
          <w:color w:val="000000" w:themeColor="text1"/>
          <w:sz w:val="16"/>
          <w:szCs w:val="16"/>
          <w:lang w:val="ru-RU"/>
        </w:rPr>
        <w:softHyphen/>
        <w:t>ван в алюминиевом картере на 2-х подшипниках... Поршни комп</w:t>
      </w:r>
      <w:r w:rsidRPr="00DB5D0D">
        <w:rPr>
          <w:rFonts w:ascii="Times New Roman" w:hAnsi="Times New Roman" w:cs="Times New Roman"/>
          <w:b w:val="0"/>
          <w:bCs w:val="0"/>
          <w:color w:val="000000" w:themeColor="text1"/>
          <w:sz w:val="16"/>
          <w:szCs w:val="16"/>
          <w:lang w:val="ru-RU"/>
        </w:rPr>
        <w:softHyphen/>
        <w:t>рессора чугунные и снабжены 3-мя поршневыми кольцами каждый. Цилиндры компрессора также чугунные и имеют охлаждающие реб</w:t>
      </w:r>
      <w:r w:rsidRPr="00DB5D0D">
        <w:rPr>
          <w:rFonts w:ascii="Times New Roman" w:hAnsi="Times New Roman" w:cs="Times New Roman"/>
          <w:b w:val="0"/>
          <w:bCs w:val="0"/>
          <w:color w:val="000000" w:themeColor="text1"/>
          <w:sz w:val="16"/>
          <w:szCs w:val="16"/>
          <w:lang w:val="ru-RU"/>
        </w:rPr>
        <w:softHyphen/>
        <w:t>ра... Смазка компрессора производится разбрызгиванием черпач</w:t>
      </w:r>
      <w:r w:rsidRPr="00DB5D0D">
        <w:rPr>
          <w:rFonts w:ascii="Times New Roman" w:hAnsi="Times New Roman" w:cs="Times New Roman"/>
          <w:b w:val="0"/>
          <w:bCs w:val="0"/>
          <w:color w:val="000000" w:themeColor="text1"/>
          <w:sz w:val="16"/>
          <w:szCs w:val="16"/>
          <w:lang w:val="ru-RU"/>
        </w:rPr>
        <w:softHyphen/>
        <w:t>ками крышек шатунов, причем в картере автоматически поддержи</w:t>
      </w:r>
      <w:r w:rsidRPr="00DB5D0D">
        <w:rPr>
          <w:rFonts w:ascii="Times New Roman" w:hAnsi="Times New Roman" w:cs="Times New Roman"/>
          <w:b w:val="0"/>
          <w:bCs w:val="0"/>
          <w:color w:val="000000" w:themeColor="text1"/>
          <w:sz w:val="16"/>
          <w:szCs w:val="16"/>
          <w:lang w:val="ru-RU"/>
        </w:rPr>
        <w:softHyphen/>
        <w:t>вается постоянный минимальный уровень смазки. Основной же за</w:t>
      </w:r>
      <w:r w:rsidRPr="00DB5D0D">
        <w:rPr>
          <w:rFonts w:ascii="Times New Roman" w:hAnsi="Times New Roman" w:cs="Times New Roman"/>
          <w:b w:val="0"/>
          <w:bCs w:val="0"/>
          <w:color w:val="000000" w:themeColor="text1"/>
          <w:sz w:val="16"/>
          <w:szCs w:val="16"/>
          <w:lang w:val="ru-RU"/>
        </w:rPr>
        <w:softHyphen/>
        <w:t>пас смазки находится в герметически закрытом масляном баке, ус</w:t>
      </w:r>
      <w:r w:rsidRPr="00DB5D0D">
        <w:rPr>
          <w:rFonts w:ascii="Times New Roman" w:hAnsi="Times New Roman" w:cs="Times New Roman"/>
          <w:b w:val="0"/>
          <w:bCs w:val="0"/>
          <w:color w:val="000000" w:themeColor="text1"/>
          <w:sz w:val="16"/>
          <w:szCs w:val="16"/>
          <w:lang w:val="ru-RU"/>
        </w:rPr>
        <w:softHyphen/>
        <w:t>тановленном на картере компрессора.</w:t>
      </w:r>
    </w:p>
    <w:p w14:paraId="2DE0E48A"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41"/>
          <w:rFonts w:ascii="Times New Roman" w:hAnsi="Times New Roman" w:cs="Times New Roman"/>
          <w:b w:val="0"/>
          <w:bCs w:val="0"/>
          <w:i w:val="0"/>
          <w:iCs w:val="0"/>
          <w:color w:val="000000" w:themeColor="text1"/>
          <w:sz w:val="16"/>
          <w:szCs w:val="16"/>
          <w:lang w:val="ru-RU"/>
        </w:rPr>
        <w:t>В воздушном цилиндре</w:t>
      </w:r>
      <w:r w:rsidRPr="00DB5D0D">
        <w:rPr>
          <w:rFonts w:ascii="Times New Roman" w:hAnsi="Times New Roman" w:cs="Times New Roman"/>
          <w:b w:val="0"/>
          <w:bCs w:val="0"/>
          <w:color w:val="000000" w:themeColor="text1"/>
          <w:sz w:val="16"/>
          <w:szCs w:val="16"/>
          <w:lang w:val="ru-RU"/>
        </w:rPr>
        <w:t xml:space="preserve"> помещен поршень с кожаной манжетой, снабженный штоком, в котором смонтирована отводящая пружина. Подача воздуха в цилиндр производится через клапанный механизм, управляемый «следящим» рычажком, установленным на уравнитель</w:t>
      </w:r>
      <w:r w:rsidRPr="00DB5D0D">
        <w:rPr>
          <w:rFonts w:ascii="Times New Roman" w:hAnsi="Times New Roman" w:cs="Times New Roman"/>
          <w:b w:val="0"/>
          <w:bCs w:val="0"/>
          <w:color w:val="000000" w:themeColor="text1"/>
          <w:sz w:val="16"/>
          <w:szCs w:val="16"/>
          <w:lang w:val="ru-RU"/>
        </w:rPr>
        <w:softHyphen/>
        <w:t>ном валике. «Следящий» рычажок приводится в движение рукой во</w:t>
      </w:r>
      <w:r w:rsidRPr="00DB5D0D">
        <w:rPr>
          <w:rFonts w:ascii="Times New Roman" w:hAnsi="Times New Roman" w:cs="Times New Roman"/>
          <w:b w:val="0"/>
          <w:bCs w:val="0"/>
          <w:color w:val="000000" w:themeColor="text1"/>
          <w:sz w:val="16"/>
          <w:szCs w:val="16"/>
          <w:lang w:val="ru-RU"/>
        </w:rPr>
        <w:softHyphen/>
        <w:t>дителя через рычаг бортового фрикциона, причем, система «следя</w:t>
      </w:r>
      <w:r w:rsidRPr="00DB5D0D">
        <w:rPr>
          <w:rFonts w:ascii="Times New Roman" w:hAnsi="Times New Roman" w:cs="Times New Roman"/>
          <w:b w:val="0"/>
          <w:bCs w:val="0"/>
          <w:color w:val="000000" w:themeColor="text1"/>
          <w:sz w:val="16"/>
          <w:szCs w:val="16"/>
          <w:lang w:val="ru-RU"/>
        </w:rPr>
        <w:softHyphen/>
        <w:t>щего» рычажка и клапанный механизм обеспечивают пропорциональ</w:t>
      </w:r>
      <w:r w:rsidRPr="00DB5D0D">
        <w:rPr>
          <w:rFonts w:ascii="Times New Roman" w:hAnsi="Times New Roman" w:cs="Times New Roman"/>
          <w:b w:val="0"/>
          <w:bCs w:val="0"/>
          <w:color w:val="000000" w:themeColor="text1"/>
          <w:sz w:val="16"/>
          <w:szCs w:val="16"/>
          <w:lang w:val="ru-RU"/>
        </w:rPr>
        <w:softHyphen/>
        <w:t>ность хода штока цилиндра углу поворота бортового рычага.</w:t>
      </w:r>
    </w:p>
    <w:p w14:paraId="27AC578E"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Вся пневматическая система построена по замкнутому циклу. Компрессор нагнетает воздух в баллон высокого давления, обеспе</w:t>
      </w:r>
      <w:r w:rsidRPr="00DB5D0D">
        <w:rPr>
          <w:rFonts w:ascii="Times New Roman" w:hAnsi="Times New Roman" w:cs="Times New Roman"/>
          <w:b w:val="0"/>
          <w:bCs w:val="0"/>
          <w:color w:val="000000" w:themeColor="text1"/>
          <w:sz w:val="16"/>
          <w:szCs w:val="16"/>
          <w:lang w:val="ru-RU"/>
        </w:rPr>
        <w:softHyphen/>
        <w:t>чивающий постоянный резерв сжатого воздуха со средним давле</w:t>
      </w:r>
      <w:r w:rsidRPr="00DB5D0D">
        <w:rPr>
          <w:rFonts w:ascii="Times New Roman" w:hAnsi="Times New Roman" w:cs="Times New Roman"/>
          <w:b w:val="0"/>
          <w:bCs w:val="0"/>
          <w:color w:val="000000" w:themeColor="text1"/>
          <w:sz w:val="16"/>
          <w:szCs w:val="16"/>
          <w:lang w:val="ru-RU"/>
        </w:rPr>
        <w:softHyphen/>
        <w:t>нием в 6 атмосфер. При угловых поворотах бортовых рычагов воз</w:t>
      </w:r>
      <w:r w:rsidRPr="00DB5D0D">
        <w:rPr>
          <w:rFonts w:ascii="Times New Roman" w:hAnsi="Times New Roman" w:cs="Times New Roman"/>
          <w:b w:val="0"/>
          <w:bCs w:val="0"/>
          <w:color w:val="000000" w:themeColor="text1"/>
          <w:sz w:val="16"/>
          <w:szCs w:val="16"/>
          <w:lang w:val="ru-RU"/>
        </w:rPr>
        <w:softHyphen/>
        <w:t>дух из баллона высокого давления поступает в воздушные цилинд</w:t>
      </w:r>
      <w:r w:rsidRPr="00DB5D0D">
        <w:rPr>
          <w:rFonts w:ascii="Times New Roman" w:hAnsi="Times New Roman" w:cs="Times New Roman"/>
          <w:b w:val="0"/>
          <w:bCs w:val="0"/>
          <w:color w:val="000000" w:themeColor="text1"/>
          <w:sz w:val="16"/>
          <w:szCs w:val="16"/>
          <w:lang w:val="ru-RU"/>
        </w:rPr>
        <w:softHyphen/>
        <w:t>ры, откуда он, после окончания рабочего процесса в цилиндрах, на</w:t>
      </w:r>
      <w:r w:rsidRPr="00DB5D0D">
        <w:rPr>
          <w:rFonts w:ascii="Times New Roman" w:hAnsi="Times New Roman" w:cs="Times New Roman"/>
          <w:b w:val="0"/>
          <w:bCs w:val="0"/>
          <w:color w:val="000000" w:themeColor="text1"/>
          <w:sz w:val="16"/>
          <w:szCs w:val="16"/>
          <w:lang w:val="ru-RU"/>
        </w:rPr>
        <w:softHyphen/>
        <w:t>правляется в баллон низкого давления. Из баллона низкого давле</w:t>
      </w:r>
      <w:r w:rsidRPr="00DB5D0D">
        <w:rPr>
          <w:rFonts w:ascii="Times New Roman" w:hAnsi="Times New Roman" w:cs="Times New Roman"/>
          <w:b w:val="0"/>
          <w:bCs w:val="0"/>
          <w:color w:val="000000" w:themeColor="text1"/>
          <w:sz w:val="16"/>
          <w:szCs w:val="16"/>
          <w:lang w:val="ru-RU"/>
        </w:rPr>
        <w:softHyphen/>
        <w:t>ния воздух снова засасывается в компрессор.</w:t>
      </w:r>
    </w:p>
    <w:p w14:paraId="19A798C3"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41"/>
          <w:rFonts w:ascii="Times New Roman" w:hAnsi="Times New Roman" w:cs="Times New Roman"/>
          <w:b w:val="0"/>
          <w:bCs w:val="0"/>
          <w:i w:val="0"/>
          <w:iCs w:val="0"/>
          <w:color w:val="000000" w:themeColor="text1"/>
          <w:sz w:val="16"/>
          <w:szCs w:val="16"/>
          <w:lang w:val="ru-RU"/>
        </w:rPr>
        <w:t>Электрооборудование и средства связи танка.</w:t>
      </w:r>
      <w:r w:rsidRPr="00DB5D0D">
        <w:rPr>
          <w:rFonts w:ascii="Times New Roman" w:hAnsi="Times New Roman" w:cs="Times New Roman"/>
          <w:b w:val="0"/>
          <w:bCs w:val="0"/>
          <w:color w:val="000000" w:themeColor="text1"/>
          <w:sz w:val="16"/>
          <w:szCs w:val="16"/>
          <w:lang w:val="ru-RU"/>
        </w:rPr>
        <w:t xml:space="preserve"> Источником пи</w:t>
      </w:r>
      <w:r w:rsidRPr="00DB5D0D">
        <w:rPr>
          <w:rFonts w:ascii="Times New Roman" w:hAnsi="Times New Roman" w:cs="Times New Roman"/>
          <w:b w:val="0"/>
          <w:bCs w:val="0"/>
          <w:color w:val="000000" w:themeColor="text1"/>
          <w:sz w:val="16"/>
          <w:szCs w:val="16"/>
          <w:lang w:val="ru-RU"/>
        </w:rPr>
        <w:softHyphen/>
        <w:t>тания электросети является генератор ГТ-4563А с реле-регулято</w:t>
      </w:r>
      <w:r w:rsidRPr="00DB5D0D">
        <w:rPr>
          <w:rFonts w:ascii="Times New Roman" w:hAnsi="Times New Roman" w:cs="Times New Roman"/>
          <w:b w:val="0"/>
          <w:bCs w:val="0"/>
          <w:color w:val="000000" w:themeColor="text1"/>
          <w:sz w:val="16"/>
          <w:szCs w:val="16"/>
          <w:lang w:val="ru-RU"/>
        </w:rPr>
        <w:softHyphen/>
        <w:t xml:space="preserve">ром </w:t>
      </w:r>
      <w:r w:rsidRPr="00DB5D0D">
        <w:rPr>
          <w:rFonts w:ascii="Times New Roman" w:hAnsi="Times New Roman" w:cs="Times New Roman"/>
          <w:b w:val="0"/>
          <w:bCs w:val="0"/>
          <w:noProof w:val="0"/>
          <w:color w:val="000000" w:themeColor="text1"/>
          <w:sz w:val="16"/>
          <w:szCs w:val="16"/>
        </w:rPr>
        <w:t>PPT</w:t>
      </w:r>
      <w:r w:rsidRPr="00DB5D0D">
        <w:rPr>
          <w:rFonts w:ascii="Times New Roman" w:hAnsi="Times New Roman" w:cs="Times New Roman"/>
          <w:b w:val="0"/>
          <w:bCs w:val="0"/>
          <w:color w:val="000000" w:themeColor="text1"/>
          <w:sz w:val="16"/>
          <w:szCs w:val="16"/>
          <w:lang w:val="ru-RU"/>
        </w:rPr>
        <w:t xml:space="preserve"> 4576А, работающий параллельно с четырьмя аккумуля</w:t>
      </w:r>
      <w:r w:rsidRPr="00DB5D0D">
        <w:rPr>
          <w:rFonts w:ascii="Times New Roman" w:hAnsi="Times New Roman" w:cs="Times New Roman"/>
          <w:b w:val="0"/>
          <w:bCs w:val="0"/>
          <w:color w:val="000000" w:themeColor="text1"/>
          <w:sz w:val="16"/>
          <w:szCs w:val="16"/>
          <w:lang w:val="ru-RU"/>
        </w:rPr>
        <w:softHyphen/>
        <w:t>торными батареями 6СТЭ-128. Гэнератор получает вращение от двигателя и установлен на приливе у нижнего картера двигателя. Аккумуляторы установлены на постелях по обеим сторонам дви</w:t>
      </w:r>
      <w:r w:rsidRPr="00DB5D0D">
        <w:rPr>
          <w:rFonts w:ascii="Times New Roman" w:hAnsi="Times New Roman" w:cs="Times New Roman"/>
          <w:b w:val="0"/>
          <w:bCs w:val="0"/>
          <w:color w:val="000000" w:themeColor="text1"/>
          <w:sz w:val="16"/>
          <w:szCs w:val="16"/>
          <w:lang w:val="ru-RU"/>
        </w:rPr>
        <w:softHyphen/>
        <w:t>гателя. Напряжение в сети генератора, стартера и мотора пово</w:t>
      </w:r>
      <w:r w:rsidRPr="00DB5D0D">
        <w:rPr>
          <w:rFonts w:ascii="Times New Roman" w:hAnsi="Times New Roman" w:cs="Times New Roman"/>
          <w:b w:val="0"/>
          <w:bCs w:val="0"/>
          <w:color w:val="000000" w:themeColor="text1"/>
          <w:sz w:val="16"/>
          <w:szCs w:val="16"/>
          <w:lang w:val="ru-RU"/>
        </w:rPr>
        <w:softHyphen/>
        <w:t>ротного механизма башни равно 24В, напряжение в сети всех ос</w:t>
      </w:r>
      <w:r w:rsidRPr="00DB5D0D">
        <w:rPr>
          <w:rFonts w:ascii="Times New Roman" w:hAnsi="Times New Roman" w:cs="Times New Roman"/>
          <w:b w:val="0"/>
          <w:bCs w:val="0"/>
          <w:color w:val="000000" w:themeColor="text1"/>
          <w:sz w:val="16"/>
          <w:szCs w:val="16"/>
          <w:lang w:val="ru-RU"/>
        </w:rPr>
        <w:softHyphen/>
        <w:t>тальных потребителей равно 12В.</w:t>
      </w:r>
    </w:p>
    <w:p w14:paraId="4D9C30D4"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Потребителями электроэнергии являются: стартер, мотор по</w:t>
      </w:r>
      <w:r w:rsidRPr="00DB5D0D">
        <w:rPr>
          <w:rFonts w:ascii="Times New Roman" w:hAnsi="Times New Roman" w:cs="Times New Roman"/>
          <w:b w:val="0"/>
          <w:bCs w:val="0"/>
          <w:color w:val="000000" w:themeColor="text1"/>
          <w:sz w:val="16"/>
          <w:szCs w:val="16"/>
          <w:lang w:val="ru-RU"/>
        </w:rPr>
        <w:softHyphen/>
        <w:t>воротного механизма башни, мотор вентилятора, сигнал, прожек</w:t>
      </w:r>
      <w:r w:rsidRPr="00DB5D0D">
        <w:rPr>
          <w:rFonts w:ascii="Times New Roman" w:hAnsi="Times New Roman" w:cs="Times New Roman"/>
          <w:b w:val="0"/>
          <w:bCs w:val="0"/>
          <w:color w:val="000000" w:themeColor="text1"/>
          <w:sz w:val="16"/>
          <w:szCs w:val="16"/>
          <w:lang w:val="ru-RU"/>
        </w:rPr>
        <w:softHyphen/>
        <w:t>тор, фары, задний фонарь, плафоны внутреннего освещения, фо</w:t>
      </w:r>
      <w:r w:rsidRPr="00DB5D0D">
        <w:rPr>
          <w:rFonts w:ascii="Times New Roman" w:hAnsi="Times New Roman" w:cs="Times New Roman"/>
          <w:b w:val="0"/>
          <w:bCs w:val="0"/>
          <w:color w:val="000000" w:themeColor="text1"/>
          <w:sz w:val="16"/>
          <w:szCs w:val="16"/>
          <w:lang w:val="ru-RU"/>
        </w:rPr>
        <w:softHyphen/>
        <w:t>нари освещения щитков, рация и переговорное устройство. Схе</w:t>
      </w:r>
      <w:r w:rsidRPr="00DB5D0D">
        <w:rPr>
          <w:rFonts w:ascii="Times New Roman" w:hAnsi="Times New Roman" w:cs="Times New Roman"/>
          <w:b w:val="0"/>
          <w:bCs w:val="0"/>
          <w:color w:val="000000" w:themeColor="text1"/>
          <w:sz w:val="16"/>
          <w:szCs w:val="16"/>
          <w:lang w:val="ru-RU"/>
        </w:rPr>
        <w:softHyphen/>
        <w:t>ма проводки выполнена однопроводной, причем подвод питания ко всем потребителям, установленным в башне, осуществляется через вращающееся электроконтактное устройство, установлен</w:t>
      </w:r>
      <w:r w:rsidRPr="00DB5D0D">
        <w:rPr>
          <w:rFonts w:ascii="Times New Roman" w:hAnsi="Times New Roman" w:cs="Times New Roman"/>
          <w:b w:val="0"/>
          <w:bCs w:val="0"/>
          <w:color w:val="000000" w:themeColor="text1"/>
          <w:sz w:val="16"/>
          <w:szCs w:val="16"/>
          <w:lang w:val="ru-RU"/>
        </w:rPr>
        <w:softHyphen/>
        <w:t>ное на днище боевого отделения по центру башни. Управление и защита предохранителями всех потребителей, расположенных в корпусе, осуществляется блоком защиты аккумуляторов или рас</w:t>
      </w:r>
      <w:r w:rsidRPr="00DB5D0D">
        <w:rPr>
          <w:rFonts w:ascii="Times New Roman" w:hAnsi="Times New Roman" w:cs="Times New Roman"/>
          <w:b w:val="0"/>
          <w:bCs w:val="0"/>
          <w:color w:val="000000" w:themeColor="text1"/>
          <w:sz w:val="16"/>
          <w:szCs w:val="16"/>
          <w:lang w:val="ru-RU"/>
        </w:rPr>
        <w:softHyphen/>
        <w:t>пределительным щитком водителя...; через распределительный щиток башни производится управление и защита предохраните</w:t>
      </w:r>
      <w:r w:rsidRPr="00DB5D0D">
        <w:rPr>
          <w:rFonts w:ascii="Times New Roman" w:hAnsi="Times New Roman" w:cs="Times New Roman"/>
          <w:b w:val="0"/>
          <w:bCs w:val="0"/>
          <w:color w:val="000000" w:themeColor="text1"/>
          <w:sz w:val="16"/>
          <w:szCs w:val="16"/>
          <w:lang w:val="ru-RU"/>
        </w:rPr>
        <w:softHyphen/>
        <w:t>лями всех потребителей, расположенных в башне, кроме мотора поворотного механизма, который предохранен на блоке аккуму</w:t>
      </w:r>
      <w:r w:rsidRPr="00DB5D0D">
        <w:rPr>
          <w:rFonts w:ascii="Times New Roman" w:hAnsi="Times New Roman" w:cs="Times New Roman"/>
          <w:b w:val="0"/>
          <w:bCs w:val="0"/>
          <w:color w:val="000000" w:themeColor="text1"/>
          <w:sz w:val="16"/>
          <w:szCs w:val="16"/>
          <w:lang w:val="ru-RU"/>
        </w:rPr>
        <w:softHyphen/>
        <w:t>ляторов. В танке установлен аварийный щиток с розеткой и пла</w:t>
      </w:r>
      <w:r w:rsidRPr="00DB5D0D">
        <w:rPr>
          <w:rFonts w:ascii="Times New Roman" w:hAnsi="Times New Roman" w:cs="Times New Roman"/>
          <w:b w:val="0"/>
          <w:bCs w:val="0"/>
          <w:color w:val="000000" w:themeColor="text1"/>
          <w:sz w:val="16"/>
          <w:szCs w:val="16"/>
          <w:lang w:val="ru-RU"/>
        </w:rPr>
        <w:softHyphen/>
        <w:t>фоном, питающимися непосредственно от аккумуляторов по двух</w:t>
      </w:r>
      <w:r w:rsidRPr="00DB5D0D">
        <w:rPr>
          <w:rFonts w:ascii="Times New Roman" w:hAnsi="Times New Roman" w:cs="Times New Roman"/>
          <w:b w:val="0"/>
          <w:bCs w:val="0"/>
          <w:color w:val="000000" w:themeColor="text1"/>
          <w:sz w:val="16"/>
          <w:szCs w:val="16"/>
          <w:lang w:val="ru-RU"/>
        </w:rPr>
        <w:softHyphen/>
        <w:t>проводной системе.</w:t>
      </w:r>
    </w:p>
    <w:p w14:paraId="7C0A137F"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Электрический запуск двигателя осуществляется при помощи стартера СТ-700 в 15л.с., установленного на коробке передач...</w:t>
      </w:r>
    </w:p>
    <w:p w14:paraId="299AF137"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Внутренняя телефонная и сигнальная связь между командиром танка и водителем осуществляется при помощи переговорного уст</w:t>
      </w:r>
      <w:r w:rsidRPr="00DB5D0D">
        <w:rPr>
          <w:rFonts w:ascii="Times New Roman" w:hAnsi="Times New Roman" w:cs="Times New Roman"/>
          <w:b w:val="0"/>
          <w:bCs w:val="0"/>
          <w:color w:val="000000" w:themeColor="text1"/>
          <w:sz w:val="16"/>
          <w:szCs w:val="16"/>
          <w:lang w:val="ru-RU"/>
        </w:rPr>
        <w:softHyphen/>
        <w:t>ройства типа ТПУ-2.</w:t>
      </w:r>
    </w:p>
    <w:p w14:paraId="38248B0C"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Для внешней радиосвязи в нише башни установлена приемопе- редаточная радиостанция типа 71-ТК-З.</w:t>
      </w:r>
    </w:p>
    <w:p w14:paraId="6CF70A72"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41"/>
          <w:rFonts w:ascii="Times New Roman" w:hAnsi="Times New Roman" w:cs="Times New Roman"/>
          <w:b w:val="0"/>
          <w:bCs w:val="0"/>
          <w:i w:val="0"/>
          <w:iCs w:val="0"/>
          <w:color w:val="000000" w:themeColor="text1"/>
          <w:sz w:val="16"/>
          <w:szCs w:val="16"/>
          <w:lang w:val="ru-RU"/>
        </w:rPr>
        <w:t>Наблюдение из танка</w:t>
      </w:r>
      <w:r w:rsidRPr="00DB5D0D">
        <w:rPr>
          <w:rFonts w:ascii="Times New Roman" w:hAnsi="Times New Roman" w:cs="Times New Roman"/>
          <w:b w:val="0"/>
          <w:bCs w:val="0"/>
          <w:color w:val="000000" w:themeColor="text1"/>
          <w:sz w:val="16"/>
          <w:szCs w:val="16"/>
          <w:lang w:val="ru-RU"/>
        </w:rPr>
        <w:t xml:space="preserve"> осуществляется через 6 смотровых прибо</w:t>
      </w:r>
      <w:r w:rsidRPr="00DB5D0D">
        <w:rPr>
          <w:rFonts w:ascii="Times New Roman" w:hAnsi="Times New Roman" w:cs="Times New Roman"/>
          <w:b w:val="0"/>
          <w:bCs w:val="0"/>
          <w:color w:val="000000" w:themeColor="text1"/>
          <w:sz w:val="16"/>
          <w:szCs w:val="16"/>
          <w:lang w:val="ru-RU"/>
        </w:rPr>
        <w:softHyphen/>
        <w:t>ров, из которых три прибора (один центральный и два боковых) ус</w:t>
      </w:r>
      <w:r w:rsidRPr="00DB5D0D">
        <w:rPr>
          <w:rFonts w:ascii="Times New Roman" w:hAnsi="Times New Roman" w:cs="Times New Roman"/>
          <w:b w:val="0"/>
          <w:bCs w:val="0"/>
          <w:color w:val="000000" w:themeColor="text1"/>
          <w:sz w:val="16"/>
          <w:szCs w:val="16"/>
          <w:lang w:val="ru-RU"/>
        </w:rPr>
        <w:softHyphen/>
        <w:t>тановлены в носовой части для водителя, два прибора - на боковых стенках башни и один прибор кругового обзора - на крышке люка башни. Смотровые приборы представляют собой перископы с дву</w:t>
      </w:r>
      <w:r w:rsidRPr="00DB5D0D">
        <w:rPr>
          <w:rFonts w:ascii="Times New Roman" w:hAnsi="Times New Roman" w:cs="Times New Roman"/>
          <w:b w:val="0"/>
          <w:bCs w:val="0"/>
          <w:color w:val="000000" w:themeColor="text1"/>
          <w:sz w:val="16"/>
          <w:szCs w:val="16"/>
          <w:lang w:val="ru-RU"/>
        </w:rPr>
        <w:softHyphen/>
        <w:t>мя плоскими зеркалами, установленными одно под другим под уг</w:t>
      </w:r>
      <w:r w:rsidRPr="00DB5D0D">
        <w:rPr>
          <w:rFonts w:ascii="Times New Roman" w:hAnsi="Times New Roman" w:cs="Times New Roman"/>
          <w:b w:val="0"/>
          <w:bCs w:val="0"/>
          <w:color w:val="000000" w:themeColor="text1"/>
          <w:sz w:val="16"/>
          <w:szCs w:val="16"/>
          <w:lang w:val="ru-RU"/>
        </w:rPr>
        <w:softHyphen/>
        <w:t>лом 45° к горизонту. Прибор кругового обзора смонтирован в пого</w:t>
      </w:r>
      <w:r w:rsidRPr="00DB5D0D">
        <w:rPr>
          <w:rFonts w:ascii="Times New Roman" w:hAnsi="Times New Roman" w:cs="Times New Roman"/>
          <w:b w:val="0"/>
          <w:bCs w:val="0"/>
          <w:color w:val="000000" w:themeColor="text1"/>
          <w:sz w:val="16"/>
          <w:szCs w:val="16"/>
          <w:lang w:val="ru-RU"/>
        </w:rPr>
        <w:softHyphen/>
        <w:t>не, установленном на шариках. Вращаясь вместе с погоном, прибор обеспечивает горизонтальный обзор в 360°. Для всех приборов пре</w:t>
      </w:r>
      <w:r w:rsidRPr="00DB5D0D">
        <w:rPr>
          <w:rFonts w:ascii="Times New Roman" w:hAnsi="Times New Roman" w:cs="Times New Roman"/>
          <w:b w:val="0"/>
          <w:bCs w:val="0"/>
          <w:color w:val="000000" w:themeColor="text1"/>
          <w:sz w:val="16"/>
          <w:szCs w:val="16"/>
          <w:lang w:val="ru-RU"/>
        </w:rPr>
        <w:softHyphen/>
        <w:t>дусмотрена возможность быстрой замены пораженных зеркал и за</w:t>
      </w:r>
      <w:r w:rsidRPr="00DB5D0D">
        <w:rPr>
          <w:rFonts w:ascii="Times New Roman" w:hAnsi="Times New Roman" w:cs="Times New Roman"/>
          <w:b w:val="0"/>
          <w:bCs w:val="0"/>
          <w:color w:val="000000" w:themeColor="text1"/>
          <w:sz w:val="16"/>
          <w:szCs w:val="16"/>
          <w:lang w:val="ru-RU"/>
        </w:rPr>
        <w:softHyphen/>
        <w:t>щитных стекол.</w:t>
      </w:r>
    </w:p>
    <w:p w14:paraId="5C58B55E"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41"/>
          <w:rFonts w:ascii="Times New Roman" w:hAnsi="Times New Roman" w:cs="Times New Roman"/>
          <w:b w:val="0"/>
          <w:bCs w:val="0"/>
          <w:i w:val="0"/>
          <w:iCs w:val="0"/>
          <w:color w:val="000000" w:themeColor="text1"/>
          <w:sz w:val="16"/>
          <w:szCs w:val="16"/>
          <w:lang w:val="ru-RU"/>
        </w:rPr>
        <w:t>Укладка боеприпасов</w:t>
      </w:r>
      <w:r w:rsidRPr="00DB5D0D">
        <w:rPr>
          <w:rFonts w:ascii="Times New Roman" w:hAnsi="Times New Roman" w:cs="Times New Roman"/>
          <w:b w:val="0"/>
          <w:bCs w:val="0"/>
          <w:color w:val="000000" w:themeColor="text1"/>
          <w:sz w:val="16"/>
          <w:szCs w:val="16"/>
          <w:lang w:val="ru-RU"/>
        </w:rPr>
        <w:t xml:space="preserve"> танка выполнена в боевом отделении во</w:t>
      </w:r>
      <w:r w:rsidRPr="00DB5D0D">
        <w:rPr>
          <w:rFonts w:ascii="Times New Roman" w:hAnsi="Times New Roman" w:cs="Times New Roman"/>
          <w:b w:val="0"/>
          <w:bCs w:val="0"/>
          <w:color w:val="000000" w:themeColor="text1"/>
          <w:sz w:val="16"/>
          <w:szCs w:val="16"/>
          <w:lang w:val="ru-RU"/>
        </w:rPr>
        <w:softHyphen/>
        <w:t>дителя и стрелка. Основной запас снарядов, в количестве 68 штук, уложен под полом боевого отделения, причем, снаряды размещены на резиновых подушках в ящиках-чемоданах по 2 или 3 штуки в каж</w:t>
      </w:r>
      <w:r w:rsidRPr="00DB5D0D">
        <w:rPr>
          <w:rFonts w:ascii="Times New Roman" w:hAnsi="Times New Roman" w:cs="Times New Roman"/>
          <w:b w:val="0"/>
          <w:bCs w:val="0"/>
          <w:color w:val="000000" w:themeColor="text1"/>
          <w:sz w:val="16"/>
          <w:szCs w:val="16"/>
          <w:lang w:val="ru-RU"/>
        </w:rPr>
        <w:softHyphen/>
        <w:t>дом. Девять снарядов расположены на стеллажах, укрепленных на стенках боевого отделения. Пулеметные магазины в количестве 49 штук, размещены в 9-ти отдельных рамках-стеллажах, укреплен</w:t>
      </w:r>
      <w:r w:rsidRPr="00DB5D0D">
        <w:rPr>
          <w:rFonts w:ascii="Times New Roman" w:hAnsi="Times New Roman" w:cs="Times New Roman"/>
          <w:b w:val="0"/>
          <w:bCs w:val="0"/>
          <w:color w:val="000000" w:themeColor="text1"/>
          <w:sz w:val="16"/>
          <w:szCs w:val="16"/>
          <w:lang w:val="ru-RU"/>
        </w:rPr>
        <w:softHyphen/>
        <w:t>ных в носовой части танка, на правой стенке боевого отделения и под полом боевого отделения.</w:t>
      </w:r>
    </w:p>
    <w:p w14:paraId="5232BE06"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Пулеметные магазины в количестве 49 штук размещены в 9-ти отдельных рамках - стеллажах, укрепленных в носовой части танка, на правой стенке боевого отделения и под полом боевого отделения.</w:t>
      </w:r>
    </w:p>
    <w:p w14:paraId="7FB0D513"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Style w:val="441"/>
          <w:rFonts w:ascii="Times New Roman" w:hAnsi="Times New Roman" w:cs="Times New Roman"/>
          <w:b w:val="0"/>
          <w:bCs w:val="0"/>
          <w:i w:val="0"/>
          <w:iCs w:val="0"/>
          <w:color w:val="000000" w:themeColor="text1"/>
          <w:sz w:val="16"/>
          <w:szCs w:val="16"/>
          <w:lang w:val="ru-RU"/>
        </w:rPr>
        <w:t>Укладка возимых инструментов и принадлежностей</w:t>
      </w:r>
      <w:r w:rsidRPr="00DB5D0D">
        <w:rPr>
          <w:rFonts w:ascii="Times New Roman" w:hAnsi="Times New Roman" w:cs="Times New Roman"/>
          <w:b w:val="0"/>
          <w:bCs w:val="0"/>
          <w:color w:val="000000" w:themeColor="text1"/>
          <w:sz w:val="16"/>
          <w:szCs w:val="16"/>
          <w:lang w:val="ru-RU"/>
        </w:rPr>
        <w:t xml:space="preserve"> произведе</w:t>
      </w:r>
      <w:r w:rsidRPr="00DB5D0D">
        <w:rPr>
          <w:rFonts w:ascii="Times New Roman" w:hAnsi="Times New Roman" w:cs="Times New Roman"/>
          <w:b w:val="0"/>
          <w:bCs w:val="0"/>
          <w:color w:val="000000" w:themeColor="text1"/>
          <w:sz w:val="16"/>
          <w:szCs w:val="16"/>
          <w:lang w:val="ru-RU"/>
        </w:rPr>
        <w:softHyphen/>
        <w:t>на снаружи и внутри корпуса и состоит из общего, специального и шанцевого инструментов, тяговых и подъемных приспособлений, запасных частей, принадлежностей и материалов.</w:t>
      </w:r>
    </w:p>
    <w:p w14:paraId="3DEB45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общий инструмент входят все нормальные инструменты, как- то гаечные ключи, молотки, отвертки и прочие. К специальному ин</w:t>
      </w:r>
      <w:r w:rsidRPr="00DB5D0D">
        <w:rPr>
          <w:rFonts w:ascii="Times New Roman" w:hAnsi="Times New Roman"/>
          <w:color w:val="000000" w:themeColor="text1"/>
          <w:sz w:val="16"/>
          <w:szCs w:val="16"/>
        </w:rPr>
        <w:softHyphen/>
        <w:t>струменту относятся приспособления и инструмент, необходимые для механизмов и отдельных деталей только данного танка. В шан</w:t>
      </w:r>
      <w:r w:rsidRPr="00DB5D0D">
        <w:rPr>
          <w:rFonts w:ascii="Times New Roman" w:hAnsi="Times New Roman"/>
          <w:color w:val="000000" w:themeColor="text1"/>
          <w:sz w:val="16"/>
          <w:szCs w:val="16"/>
        </w:rPr>
        <w:softHyphen/>
        <w:t>цевый инструмент входят: топор, лопаты, пила и лом. Тяговые и подъемные приспособления состоят из буксирных тросов, петель и 2-х домкратов грузоподъемностью 5 тонн каждый. Из запасных час</w:t>
      </w:r>
      <w:r w:rsidRPr="00DB5D0D">
        <w:rPr>
          <w:rFonts w:ascii="Times New Roman" w:hAnsi="Times New Roman"/>
          <w:color w:val="000000" w:themeColor="text1"/>
          <w:sz w:val="16"/>
          <w:szCs w:val="16"/>
        </w:rPr>
        <w:softHyphen/>
        <w:t>тей в танке уложены детали, подверженные быстрому износу, при</w:t>
      </w:r>
      <w:r w:rsidRPr="00DB5D0D">
        <w:rPr>
          <w:rFonts w:ascii="Times New Roman" w:hAnsi="Times New Roman"/>
          <w:color w:val="000000" w:themeColor="text1"/>
          <w:sz w:val="16"/>
          <w:szCs w:val="16"/>
        </w:rPr>
        <w:softHyphen/>
        <w:t>чем, замена их может быть произведена командой танка в походных и боевых условиях. В принадлежности входят все необходимые при</w:t>
      </w:r>
      <w:r w:rsidRPr="00DB5D0D">
        <w:rPr>
          <w:rFonts w:ascii="Times New Roman" w:hAnsi="Times New Roman"/>
          <w:color w:val="000000" w:themeColor="text1"/>
          <w:sz w:val="16"/>
          <w:szCs w:val="16"/>
        </w:rPr>
        <w:softHyphen/>
        <w:t>способления для заправки танка горючим, смазкой и водой. К мате</w:t>
      </w:r>
      <w:r w:rsidRPr="00DB5D0D">
        <w:rPr>
          <w:rFonts w:ascii="Times New Roman" w:hAnsi="Times New Roman"/>
          <w:color w:val="000000" w:themeColor="text1"/>
          <w:sz w:val="16"/>
          <w:szCs w:val="16"/>
        </w:rPr>
        <w:softHyphen/>
        <w:t>риалам, уложенным в танке, относятся: проволока, изоляционна</w:t>
      </w:r>
    </w:p>
    <w:p w14:paraId="05D5DBE7"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color w:val="000000" w:themeColor="text1"/>
          <w:sz w:val="16"/>
          <w:szCs w:val="16"/>
          <w:lang w:val="ru-RU"/>
        </w:rPr>
      </w:pPr>
      <w:r w:rsidRPr="00DB5D0D">
        <w:rPr>
          <w:rFonts w:ascii="Times New Roman" w:hAnsi="Times New Roman" w:cs="Times New Roman"/>
          <w:b w:val="0"/>
          <w:bCs w:val="0"/>
          <w:color w:val="000000" w:themeColor="text1"/>
          <w:sz w:val="16"/>
          <w:szCs w:val="16"/>
          <w:lang w:val="ru-RU"/>
        </w:rPr>
        <w:t>лента, наждачная бумага и прочие материалы, необходимые для производства командой танка мелкого ремонта.</w:t>
      </w:r>
    </w:p>
    <w:p w14:paraId="7861DA52" w14:textId="77777777" w:rsidR="00A25AD1" w:rsidRPr="00DB5D0D" w:rsidRDefault="00A25AD1" w:rsidP="00DB5D0D">
      <w:pPr>
        <w:pStyle w:val="412"/>
        <w:shd w:val="clear" w:color="auto" w:fill="auto"/>
        <w:spacing w:line="240" w:lineRule="auto"/>
        <w:ind w:firstLine="0"/>
        <w:jc w:val="both"/>
        <w:rPr>
          <w:rFonts w:ascii="Times New Roman" w:hAnsi="Times New Roman" w:cs="Times New Roman"/>
          <w:b w:val="0"/>
          <w:bCs w:val="0"/>
          <w:noProof w:val="0"/>
          <w:color w:val="000000" w:themeColor="text1"/>
          <w:sz w:val="16"/>
          <w:szCs w:val="16"/>
          <w:lang w:val="ru-RU"/>
        </w:rPr>
      </w:pPr>
      <w:r w:rsidRPr="00DB5D0D">
        <w:rPr>
          <w:rStyle w:val="431"/>
          <w:rFonts w:ascii="Times New Roman" w:hAnsi="Times New Roman" w:cs="Times New Roman"/>
          <w:b w:val="0"/>
          <w:bCs w:val="0"/>
          <w:i w:val="0"/>
          <w:iCs w:val="0"/>
          <w:color w:val="000000" w:themeColor="text1"/>
          <w:sz w:val="16"/>
          <w:szCs w:val="16"/>
          <w:lang w:val="ru-RU"/>
        </w:rPr>
        <w:t>Противопожарное оборудование</w:t>
      </w:r>
      <w:r w:rsidRPr="00DB5D0D">
        <w:rPr>
          <w:rFonts w:ascii="Times New Roman" w:hAnsi="Times New Roman" w:cs="Times New Roman"/>
          <w:b w:val="0"/>
          <w:bCs w:val="0"/>
          <w:color w:val="000000" w:themeColor="text1"/>
          <w:sz w:val="16"/>
          <w:szCs w:val="16"/>
          <w:lang w:val="ru-RU"/>
        </w:rPr>
        <w:t xml:space="preserve"> состоит из двух ручных тетрахлорных огнетушителей. [РГВА. Ф.31811. Оп. 3. Д. 2003. Л. 4-29.]</w:t>
      </w:r>
      <w:r w:rsidRPr="00DB5D0D">
        <w:rPr>
          <w:rFonts w:ascii="Times New Roman" w:hAnsi="Times New Roman" w:cs="Times New Roman"/>
          <w:b w:val="0"/>
          <w:bCs w:val="0"/>
          <w:noProof w:val="0"/>
          <w:color w:val="000000" w:themeColor="text1"/>
          <w:sz w:val="16"/>
          <w:szCs w:val="16"/>
          <w:lang w:val="ru-RU"/>
        </w:rPr>
        <w:t xml:space="preserve"> (11892).</w:t>
      </w:r>
    </w:p>
    <w:p w14:paraId="5D017ED6" w14:textId="77777777" w:rsidR="00A25AD1" w:rsidRPr="00DB5D0D" w:rsidRDefault="00A25AD1" w:rsidP="00DB5D0D">
      <w:pPr>
        <w:pStyle w:val="a3"/>
        <w:rPr>
          <w:color w:val="000000" w:themeColor="text1"/>
          <w:lang w:val="ru-RU"/>
        </w:rPr>
      </w:pPr>
      <w:r w:rsidRPr="00DB5D0D">
        <w:rPr>
          <w:color w:val="000000" w:themeColor="text1"/>
          <w:lang w:val="ru-RU"/>
        </w:rPr>
        <w:t>Следует отметить, что данный документ не дает полного пред</w:t>
      </w:r>
      <w:r w:rsidRPr="00DB5D0D">
        <w:rPr>
          <w:color w:val="000000" w:themeColor="text1"/>
          <w:lang w:val="ru-RU"/>
        </w:rPr>
        <w:softHyphen/>
        <w:t>ставления об устройстве и принципах работы всех механизмов и агрегатов опытных танков Т-34, а интересен прежде всего описани</w:t>
      </w:r>
      <w:r w:rsidRPr="00DB5D0D">
        <w:rPr>
          <w:color w:val="000000" w:themeColor="text1"/>
          <w:lang w:val="ru-RU"/>
        </w:rPr>
        <w:softHyphen/>
        <w:t>ем элементов и систем, впоследствии не пошедших в серийное про</w:t>
      </w:r>
      <w:r w:rsidRPr="00DB5D0D">
        <w:rPr>
          <w:color w:val="000000" w:themeColor="text1"/>
          <w:lang w:val="ru-RU"/>
        </w:rPr>
        <w:softHyphen/>
        <w:t>изводство (11892).</w:t>
      </w:r>
    </w:p>
    <w:p w14:paraId="1D6BCC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B8205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состоялось совместное совещание пердставителей Мариупольского зда и з-да № 183 в присутствии Зам. Пред. Госплана Сабурова и приняли решение ввести на Т-34 носовую балку (рост веса - 100 кг), чтобы не гнуть носовой лист на 100000 т прессе (4661, 41).</w:t>
      </w:r>
    </w:p>
    <w:p w14:paraId="5607692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5A0349" w14:textId="77777777" w:rsidR="00A25AD1" w:rsidRPr="00DB5D0D" w:rsidRDefault="00A25AD1" w:rsidP="00DB5D0D">
      <w:pPr>
        <w:pStyle w:val="a3"/>
        <w:rPr>
          <w:color w:val="000000" w:themeColor="text1"/>
          <w:lang w:val="ru-RU"/>
        </w:rPr>
      </w:pPr>
      <w:r w:rsidRPr="00DB5D0D">
        <w:rPr>
          <w:color w:val="000000" w:themeColor="text1"/>
          <w:lang w:val="ru-RU"/>
        </w:rPr>
        <w:t>В мае 1940 был выпушен Технический отчет Бригады НИИ-48 и Мариупольского завода им. Ильича по производству литых узлов танка Т-34»:</w:t>
      </w:r>
    </w:p>
    <w:p w14:paraId="193D0CF8"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Выбор типа брони и марки стали для бронирования корпуса тан</w:t>
      </w:r>
      <w:r w:rsidRPr="00DB5D0D">
        <w:rPr>
          <w:rFonts w:ascii="Times New Roman" w:hAnsi="Times New Roman" w:cs="Times New Roman"/>
          <w:i w:val="0"/>
          <w:iCs w:val="0"/>
          <w:color w:val="000000" w:themeColor="text1"/>
          <w:sz w:val="16"/>
          <w:szCs w:val="16"/>
          <w:lang w:val="ru-RU"/>
        </w:rPr>
        <w:softHyphen/>
        <w:t>ка Т-34, при выполнении его в полном объеме из катанной брони, был произведен в течении 1939 г. и начала 1940 г. Центральной Броневой Лабораторией Мариупольского завода им. Ильича. В ито</w:t>
      </w:r>
      <w:r w:rsidRPr="00DB5D0D">
        <w:rPr>
          <w:rFonts w:ascii="Times New Roman" w:hAnsi="Times New Roman" w:cs="Times New Roman"/>
          <w:i w:val="0"/>
          <w:iCs w:val="0"/>
          <w:color w:val="000000" w:themeColor="text1"/>
          <w:sz w:val="16"/>
          <w:szCs w:val="16"/>
          <w:lang w:val="ru-RU"/>
        </w:rPr>
        <w:softHyphen/>
        <w:t>ге исследовательских работ выбор был остановлен на кремне-мар- ганцево-никеле-молибденовой стали, получившей название марки «МЗ-2», основанной в своей производственной части на использо</w:t>
      </w:r>
      <w:r w:rsidRPr="00DB5D0D">
        <w:rPr>
          <w:rFonts w:ascii="Times New Roman" w:hAnsi="Times New Roman" w:cs="Times New Roman"/>
          <w:i w:val="0"/>
          <w:iCs w:val="0"/>
          <w:color w:val="000000" w:themeColor="text1"/>
          <w:sz w:val="16"/>
          <w:szCs w:val="16"/>
          <w:lang w:val="ru-RU"/>
        </w:rPr>
        <w:softHyphen/>
        <w:t>вании хромо-никель-молибденовых отходов производства корабель</w:t>
      </w:r>
      <w:r w:rsidRPr="00DB5D0D">
        <w:rPr>
          <w:rFonts w:ascii="Times New Roman" w:hAnsi="Times New Roman" w:cs="Times New Roman"/>
          <w:i w:val="0"/>
          <w:iCs w:val="0"/>
          <w:color w:val="000000" w:themeColor="text1"/>
          <w:sz w:val="16"/>
          <w:szCs w:val="16"/>
          <w:lang w:val="ru-RU"/>
        </w:rPr>
        <w:softHyphen/>
        <w:t>ной брони.</w:t>
      </w:r>
    </w:p>
    <w:p w14:paraId="56274CE6"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 xml:space="preserve">Химический анализ стали марки «МЗ-2» следующий: 0=0,22- 0,27%; </w:t>
      </w:r>
      <w:r w:rsidRPr="00DB5D0D">
        <w:rPr>
          <w:rFonts w:ascii="Times New Roman" w:hAnsi="Times New Roman" w:cs="Times New Roman"/>
          <w:i w:val="0"/>
          <w:iCs w:val="0"/>
          <w:noProof w:val="0"/>
          <w:color w:val="000000" w:themeColor="text1"/>
          <w:sz w:val="16"/>
          <w:szCs w:val="16"/>
        </w:rPr>
        <w:t>Si</w:t>
      </w:r>
      <w:r w:rsidRPr="00DB5D0D">
        <w:rPr>
          <w:rFonts w:ascii="Times New Roman" w:hAnsi="Times New Roman" w:cs="Times New Roman"/>
          <w:i w:val="0"/>
          <w:iCs w:val="0"/>
          <w:color w:val="000000" w:themeColor="text1"/>
          <w:sz w:val="16"/>
          <w:szCs w:val="16"/>
          <w:lang w:val="ru-RU"/>
        </w:rPr>
        <w:t xml:space="preserve">=1,2-1,4%; Мп=1,2-1,5%; </w:t>
      </w:r>
      <w:r w:rsidRPr="00DB5D0D">
        <w:rPr>
          <w:rFonts w:ascii="Times New Roman" w:hAnsi="Times New Roman" w:cs="Times New Roman"/>
          <w:i w:val="0"/>
          <w:iCs w:val="0"/>
          <w:color w:val="000000" w:themeColor="text1"/>
          <w:sz w:val="16"/>
          <w:szCs w:val="16"/>
        </w:rPr>
        <w:t>N</w:t>
      </w:r>
      <w:r w:rsidRPr="00DB5D0D">
        <w:rPr>
          <w:rFonts w:ascii="Times New Roman" w:hAnsi="Times New Roman" w:cs="Times New Roman"/>
          <w:i w:val="0"/>
          <w:iCs w:val="0"/>
          <w:color w:val="000000" w:themeColor="text1"/>
          <w:sz w:val="16"/>
          <w:szCs w:val="16"/>
          <w:lang w:val="ru-RU"/>
        </w:rPr>
        <w:t>1=1,2-1,5%; Сг=0,8-1,0%; Мо=0,15-0,25%.</w:t>
      </w:r>
    </w:p>
    <w:p w14:paraId="3CBE0658"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Основной характеристикой свойств разработанной марки явля</w:t>
      </w:r>
      <w:r w:rsidRPr="00DB5D0D">
        <w:rPr>
          <w:rFonts w:ascii="Times New Roman" w:hAnsi="Times New Roman" w:cs="Times New Roman"/>
          <w:i w:val="0"/>
          <w:iCs w:val="0"/>
          <w:color w:val="000000" w:themeColor="text1"/>
          <w:sz w:val="16"/>
          <w:szCs w:val="16"/>
          <w:lang w:val="ru-RU"/>
        </w:rPr>
        <w:softHyphen/>
        <w:t>ется высокая твердость в окончательно обработанном состоянии. Тип брони может быть охарактеризован как гомогенная броня высо</w:t>
      </w:r>
      <w:r w:rsidRPr="00DB5D0D">
        <w:rPr>
          <w:rFonts w:ascii="Times New Roman" w:hAnsi="Times New Roman" w:cs="Times New Roman"/>
          <w:i w:val="0"/>
          <w:iCs w:val="0"/>
          <w:color w:val="000000" w:themeColor="text1"/>
          <w:sz w:val="16"/>
          <w:szCs w:val="16"/>
          <w:lang w:val="ru-RU"/>
        </w:rPr>
        <w:softHyphen/>
        <w:t>кой твердости. Достаточно указать, что принятые по техническим условиям пределы твердости составляют 2,8-3,2 по диаметру отпе</w:t>
      </w:r>
      <w:r w:rsidRPr="00DB5D0D">
        <w:rPr>
          <w:rFonts w:ascii="Times New Roman" w:hAnsi="Times New Roman" w:cs="Times New Roman"/>
          <w:i w:val="0"/>
          <w:iCs w:val="0"/>
          <w:color w:val="000000" w:themeColor="text1"/>
          <w:sz w:val="16"/>
          <w:szCs w:val="16"/>
          <w:lang w:val="ru-RU"/>
        </w:rPr>
        <w:softHyphen/>
        <w:t>чатка шарика Бринелля при нагрузке 3000 кг.</w:t>
      </w:r>
    </w:p>
    <w:p w14:paraId="6106424C"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Основной толщиной брони корпуса Т-34 является толщина 45 мм, задняя часть корпуса защищена броней толщиной 40 мм. Следова</w:t>
      </w:r>
      <w:r w:rsidRPr="00DB5D0D">
        <w:rPr>
          <w:rFonts w:ascii="Times New Roman" w:hAnsi="Times New Roman" w:cs="Times New Roman"/>
          <w:i w:val="0"/>
          <w:iCs w:val="0"/>
          <w:color w:val="000000" w:themeColor="text1"/>
          <w:sz w:val="16"/>
          <w:szCs w:val="16"/>
          <w:lang w:val="ru-RU"/>
        </w:rPr>
        <w:softHyphen/>
        <w:t>тельно, по примененным в бронировании толщинам рассматривае</w:t>
      </w:r>
      <w:r w:rsidRPr="00DB5D0D">
        <w:rPr>
          <w:rFonts w:ascii="Times New Roman" w:hAnsi="Times New Roman" w:cs="Times New Roman"/>
          <w:i w:val="0"/>
          <w:iCs w:val="0"/>
          <w:color w:val="000000" w:themeColor="text1"/>
          <w:sz w:val="16"/>
          <w:szCs w:val="16"/>
          <w:lang w:val="ru-RU"/>
        </w:rPr>
        <w:softHyphen/>
        <w:t>мый танк имеет типичные признаки танка, призванного противосто</w:t>
      </w:r>
      <w:r w:rsidRPr="00DB5D0D">
        <w:rPr>
          <w:rFonts w:ascii="Times New Roman" w:hAnsi="Times New Roman" w:cs="Times New Roman"/>
          <w:i w:val="0"/>
          <w:iCs w:val="0"/>
          <w:color w:val="000000" w:themeColor="text1"/>
          <w:sz w:val="16"/>
          <w:szCs w:val="16"/>
          <w:lang w:val="ru-RU"/>
        </w:rPr>
        <w:softHyphen/>
        <w:t>ять и успешно бороться с противотанковым оружием до калибра 45 мм включительно. Тактическое задание на броню для корпуса Т-34 было первоначально так и сформулировано. Требовалось разрабо</w:t>
      </w:r>
      <w:r w:rsidRPr="00DB5D0D">
        <w:rPr>
          <w:rFonts w:ascii="Times New Roman" w:hAnsi="Times New Roman" w:cs="Times New Roman"/>
          <w:i w:val="0"/>
          <w:iCs w:val="0"/>
          <w:color w:val="000000" w:themeColor="text1"/>
          <w:sz w:val="16"/>
          <w:szCs w:val="16"/>
          <w:lang w:val="ru-RU"/>
        </w:rPr>
        <w:softHyphen/>
        <w:t>тать броню, обладающую максимальной снарядостойкостью против действия снарядов калибра 45 мм, принятого на вооружение образ</w:t>
      </w:r>
      <w:r w:rsidRPr="00DB5D0D">
        <w:rPr>
          <w:rFonts w:ascii="Times New Roman" w:hAnsi="Times New Roman" w:cs="Times New Roman"/>
          <w:i w:val="0"/>
          <w:iCs w:val="0"/>
          <w:color w:val="000000" w:themeColor="text1"/>
          <w:sz w:val="16"/>
          <w:szCs w:val="16"/>
          <w:lang w:val="ru-RU"/>
        </w:rPr>
        <w:softHyphen/>
        <w:t>ца.</w:t>
      </w:r>
    </w:p>
    <w:p w14:paraId="482A3FC4"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lastRenderedPageBreak/>
        <w:t>Данную задачу Центральная Лаборатория завода им. Ильича ус</w:t>
      </w:r>
      <w:r w:rsidRPr="00DB5D0D">
        <w:rPr>
          <w:rFonts w:ascii="Times New Roman" w:hAnsi="Times New Roman" w:cs="Times New Roman"/>
          <w:i w:val="0"/>
          <w:iCs w:val="0"/>
          <w:color w:val="000000" w:themeColor="text1"/>
          <w:sz w:val="16"/>
          <w:szCs w:val="16"/>
          <w:lang w:val="ru-RU"/>
        </w:rPr>
        <w:softHyphen/>
        <w:t>пешно разрешила. Сталь «МЗ-2» указанного выше химического со</w:t>
      </w:r>
      <w:r w:rsidRPr="00DB5D0D">
        <w:rPr>
          <w:rFonts w:ascii="Times New Roman" w:hAnsi="Times New Roman" w:cs="Times New Roman"/>
          <w:i w:val="0"/>
          <w:iCs w:val="0"/>
          <w:color w:val="000000" w:themeColor="text1"/>
          <w:sz w:val="16"/>
          <w:szCs w:val="16"/>
          <w:lang w:val="ru-RU"/>
        </w:rPr>
        <w:softHyphen/>
        <w:t xml:space="preserve">става и свойств показала весьма высокую снарядостойкость против действия тупоголовых снарядов калибра 45 мм. Достаточно указать, что технические условия на полигонные испытания были заключены на скорости предела тыльной прочности (ПТП) равные: для 45 мм брони </w:t>
      </w:r>
      <w:r w:rsidRPr="00DB5D0D">
        <w:rPr>
          <w:rFonts w:ascii="Times New Roman" w:hAnsi="Times New Roman" w:cs="Times New Roman"/>
          <w:i w:val="0"/>
          <w:iCs w:val="0"/>
          <w:noProof w:val="0"/>
          <w:color w:val="000000" w:themeColor="text1"/>
          <w:sz w:val="16"/>
          <w:szCs w:val="16"/>
        </w:rPr>
        <w:t>V</w:t>
      </w:r>
      <w:r w:rsidRPr="00DB5D0D">
        <w:rPr>
          <w:rFonts w:ascii="Times New Roman" w:hAnsi="Times New Roman" w:cs="Times New Roman"/>
          <w:i w:val="0"/>
          <w:iCs w:val="0"/>
          <w:color w:val="000000" w:themeColor="text1"/>
          <w:sz w:val="16"/>
          <w:szCs w:val="16"/>
          <w:lang w:val="ru-RU"/>
        </w:rPr>
        <w:t>=700 м/с и для 40 мм брони 645 м/с. При этом фактическая бронестойкость была выше установленных для технических условий показателей стойкости и достигала для толщин 45 мм скоростей ПТП до 750 м/с.</w:t>
      </w:r>
    </w:p>
    <w:p w14:paraId="17DD1A19"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При обстреле под углом 30°, имеющем широкое применение в конструкции корпуса, так как стенки башни и часть бронирования борта расположены под указанным углом, броня толщиной 45 мм практически не пропускала снаряд за плиту при полной штатной ско</w:t>
      </w:r>
      <w:r w:rsidRPr="00DB5D0D">
        <w:rPr>
          <w:rFonts w:ascii="Times New Roman" w:hAnsi="Times New Roman" w:cs="Times New Roman"/>
          <w:i w:val="0"/>
          <w:iCs w:val="0"/>
          <w:color w:val="000000" w:themeColor="text1"/>
          <w:sz w:val="16"/>
          <w:szCs w:val="16"/>
          <w:lang w:val="ru-RU"/>
        </w:rPr>
        <w:softHyphen/>
        <w:t>рости пушки (750 м/сек).</w:t>
      </w:r>
    </w:p>
    <w:p w14:paraId="183EE708"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Однако, при государственных испытаниях брони «МЗ-2», под</w:t>
      </w:r>
      <w:r w:rsidRPr="00DB5D0D">
        <w:rPr>
          <w:rFonts w:ascii="Times New Roman" w:hAnsi="Times New Roman" w:cs="Times New Roman"/>
          <w:i w:val="0"/>
          <w:iCs w:val="0"/>
          <w:color w:val="000000" w:themeColor="text1"/>
          <w:sz w:val="16"/>
          <w:szCs w:val="16"/>
          <w:lang w:val="ru-RU"/>
        </w:rPr>
        <w:softHyphen/>
        <w:t>твердивших сообщенные выше показатели стойкости против калиб</w:t>
      </w:r>
      <w:r w:rsidRPr="00DB5D0D">
        <w:rPr>
          <w:rFonts w:ascii="Times New Roman" w:hAnsi="Times New Roman" w:cs="Times New Roman"/>
          <w:i w:val="0"/>
          <w:iCs w:val="0"/>
          <w:color w:val="000000" w:themeColor="text1"/>
          <w:sz w:val="16"/>
          <w:szCs w:val="16"/>
          <w:lang w:val="ru-RU"/>
        </w:rPr>
        <w:softHyphen/>
        <w:t>ра 45 мм, была выявлена хрупкость этой стали при обстреле броне</w:t>
      </w:r>
      <w:r w:rsidRPr="00DB5D0D">
        <w:rPr>
          <w:rFonts w:ascii="Times New Roman" w:hAnsi="Times New Roman" w:cs="Times New Roman"/>
          <w:i w:val="0"/>
          <w:iCs w:val="0"/>
          <w:color w:val="000000" w:themeColor="text1"/>
          <w:sz w:val="16"/>
          <w:szCs w:val="16"/>
          <w:lang w:val="ru-RU"/>
        </w:rPr>
        <w:softHyphen/>
        <w:t>бойными снарядами калибра 76 мм. Некоторые плиты стали «МЗ-2» обработанные на оптимальную для 45 мм снаряда твердость (2,9-3,1), раскалывались после нескольких попаданий снарядами 76 мм ка</w:t>
      </w:r>
      <w:r w:rsidRPr="00DB5D0D">
        <w:rPr>
          <w:rFonts w:ascii="Times New Roman" w:hAnsi="Times New Roman" w:cs="Times New Roman"/>
          <w:i w:val="0"/>
          <w:iCs w:val="0"/>
          <w:color w:val="000000" w:themeColor="text1"/>
          <w:sz w:val="16"/>
          <w:szCs w:val="16"/>
          <w:lang w:val="ru-RU"/>
        </w:rPr>
        <w:softHyphen/>
        <w:t>либра. В итоге результат испытаний стали «МЗ-2» был признан не</w:t>
      </w:r>
      <w:r w:rsidRPr="00DB5D0D">
        <w:rPr>
          <w:rFonts w:ascii="Times New Roman" w:hAnsi="Times New Roman" w:cs="Times New Roman"/>
          <w:i w:val="0"/>
          <w:iCs w:val="0"/>
          <w:color w:val="000000" w:themeColor="text1"/>
          <w:sz w:val="16"/>
          <w:szCs w:val="16"/>
          <w:lang w:val="ru-RU"/>
        </w:rPr>
        <w:softHyphen/>
        <w:t>удовлетворительным и возникла задача ликвидировать хрупкость этой стали при обстреле крупным калибром снарядов.</w:t>
      </w:r>
    </w:p>
    <w:p w14:paraId="4031EF5B"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Естественно, новым тактическим требованием, включающим в себя получение удовлетворительного характера поражений при об</w:t>
      </w:r>
      <w:r w:rsidRPr="00DB5D0D">
        <w:rPr>
          <w:rFonts w:ascii="Times New Roman" w:hAnsi="Times New Roman" w:cs="Times New Roman"/>
          <w:i w:val="0"/>
          <w:iCs w:val="0"/>
          <w:color w:val="000000" w:themeColor="text1"/>
          <w:sz w:val="16"/>
          <w:szCs w:val="16"/>
          <w:lang w:val="ru-RU"/>
        </w:rPr>
        <w:softHyphen/>
        <w:t>стреле 76 мм снарядами, сталь МЗ-2 не могла удовлетворять, и вы</w:t>
      </w:r>
      <w:r w:rsidRPr="00DB5D0D">
        <w:rPr>
          <w:rFonts w:ascii="Times New Roman" w:hAnsi="Times New Roman" w:cs="Times New Roman"/>
          <w:i w:val="0"/>
          <w:iCs w:val="0"/>
          <w:color w:val="000000" w:themeColor="text1"/>
          <w:sz w:val="16"/>
          <w:szCs w:val="16"/>
          <w:lang w:val="ru-RU"/>
        </w:rPr>
        <w:softHyphen/>
        <w:t>ходом из положения было увеличение пластических свойств стали в окончательно обработанном состоянии, которое, следовало пола</w:t>
      </w:r>
      <w:r w:rsidRPr="00DB5D0D">
        <w:rPr>
          <w:rFonts w:ascii="Times New Roman" w:hAnsi="Times New Roman" w:cs="Times New Roman"/>
          <w:i w:val="0"/>
          <w:iCs w:val="0"/>
          <w:color w:val="000000" w:themeColor="text1"/>
          <w:sz w:val="16"/>
          <w:szCs w:val="16"/>
          <w:lang w:val="ru-RU"/>
        </w:rPr>
        <w:softHyphen/>
        <w:t>гать, было бы связано со снижением твердости и бронестойкости против 45 мм снарядов.</w:t>
      </w:r>
    </w:p>
    <w:p w14:paraId="56B83A8B"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Но ни для катаной брони, ни для литой, задача получения удов</w:t>
      </w:r>
      <w:r w:rsidRPr="00DB5D0D">
        <w:rPr>
          <w:rFonts w:ascii="Times New Roman" w:hAnsi="Times New Roman" w:cs="Times New Roman"/>
          <w:i w:val="0"/>
          <w:iCs w:val="0"/>
          <w:color w:val="000000" w:themeColor="text1"/>
          <w:sz w:val="16"/>
          <w:szCs w:val="16"/>
          <w:lang w:val="ru-RU"/>
        </w:rPr>
        <w:softHyphen/>
        <w:t>летворительного вида поражений от 76 мм снаряда не могла быть разрешена в свете поставленных чрезмерно жестких требований без задержки серийного выпуска танков А-34 с одной стороны, и без ухудшения тактических свойств брони на мелкие калибры с другой стороны. При решении вопроса о бронировании машины А-34 ко</w:t>
      </w:r>
      <w:r w:rsidRPr="00DB5D0D">
        <w:rPr>
          <w:rFonts w:ascii="Times New Roman" w:hAnsi="Times New Roman" w:cs="Times New Roman"/>
          <w:i w:val="0"/>
          <w:iCs w:val="0"/>
          <w:color w:val="000000" w:themeColor="text1"/>
          <w:sz w:val="16"/>
          <w:szCs w:val="16"/>
          <w:lang w:val="ru-RU"/>
        </w:rPr>
        <w:softHyphen/>
        <w:t>мандармом т. ПАВЛОВЫМ были сформулированы основные такти</w:t>
      </w:r>
      <w:r w:rsidRPr="00DB5D0D">
        <w:rPr>
          <w:rFonts w:ascii="Times New Roman" w:hAnsi="Times New Roman" w:cs="Times New Roman"/>
          <w:i w:val="0"/>
          <w:iCs w:val="0"/>
          <w:color w:val="000000" w:themeColor="text1"/>
          <w:sz w:val="16"/>
          <w:szCs w:val="16"/>
          <w:lang w:val="ru-RU"/>
        </w:rPr>
        <w:softHyphen/>
        <w:t>ческие требования к броне, подтвердившие первоначальное зада</w:t>
      </w:r>
      <w:r w:rsidRPr="00DB5D0D">
        <w:rPr>
          <w:rFonts w:ascii="Times New Roman" w:hAnsi="Times New Roman" w:cs="Times New Roman"/>
          <w:i w:val="0"/>
          <w:iCs w:val="0"/>
          <w:color w:val="000000" w:themeColor="text1"/>
          <w:sz w:val="16"/>
          <w:szCs w:val="16"/>
          <w:lang w:val="ru-RU"/>
        </w:rPr>
        <w:softHyphen/>
        <w:t>ние, а пути улучшения вида поражений от 76 мм снарядов предло</w:t>
      </w:r>
      <w:r w:rsidRPr="00DB5D0D">
        <w:rPr>
          <w:rFonts w:ascii="Times New Roman" w:hAnsi="Times New Roman" w:cs="Times New Roman"/>
          <w:i w:val="0"/>
          <w:iCs w:val="0"/>
          <w:color w:val="000000" w:themeColor="text1"/>
          <w:sz w:val="16"/>
          <w:szCs w:val="16"/>
          <w:lang w:val="ru-RU"/>
        </w:rPr>
        <w:softHyphen/>
        <w:t>жено найти в исследовательском порядке, не задерживая серийный выпуск машин и не понижая тактических характеристик против ка</w:t>
      </w:r>
      <w:r w:rsidRPr="00DB5D0D">
        <w:rPr>
          <w:rFonts w:ascii="Times New Roman" w:hAnsi="Times New Roman" w:cs="Times New Roman"/>
          <w:i w:val="0"/>
          <w:iCs w:val="0"/>
          <w:color w:val="000000" w:themeColor="text1"/>
          <w:sz w:val="16"/>
          <w:szCs w:val="16"/>
          <w:lang w:val="ru-RU"/>
        </w:rPr>
        <w:softHyphen/>
        <w:t>либра 45 мм.</w:t>
      </w:r>
    </w:p>
    <w:p w14:paraId="74AAC115"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Необходимо отметить, что неудовлетворительный результат по 76 мм снаряду был не столь обязан хрупкости самой стали марки МЗ-2, сколь чрезмерно жестким требованиям по этому снаряду. Впоследствии было установлено, что для машины типа А-34, в ос</w:t>
      </w:r>
      <w:r w:rsidRPr="00DB5D0D">
        <w:rPr>
          <w:rFonts w:ascii="Times New Roman" w:hAnsi="Times New Roman" w:cs="Times New Roman"/>
          <w:i w:val="0"/>
          <w:iCs w:val="0"/>
          <w:color w:val="000000" w:themeColor="text1"/>
          <w:sz w:val="16"/>
          <w:szCs w:val="16"/>
          <w:lang w:val="ru-RU"/>
        </w:rPr>
        <w:softHyphen/>
        <w:t>новном рассчитанной на калибры до 45 мм включительно, нет смыс</w:t>
      </w:r>
      <w:r w:rsidRPr="00DB5D0D">
        <w:rPr>
          <w:rFonts w:ascii="Times New Roman" w:hAnsi="Times New Roman" w:cs="Times New Roman"/>
          <w:i w:val="0"/>
          <w:iCs w:val="0"/>
          <w:color w:val="000000" w:themeColor="text1"/>
          <w:sz w:val="16"/>
          <w:szCs w:val="16"/>
          <w:lang w:val="ru-RU"/>
        </w:rPr>
        <w:softHyphen/>
        <w:t>ла требовать отсутствия хрупкости при плотном обстреле снаряда</w:t>
      </w:r>
      <w:r w:rsidRPr="00DB5D0D">
        <w:rPr>
          <w:rFonts w:ascii="Times New Roman" w:hAnsi="Times New Roman" w:cs="Times New Roman"/>
          <w:i w:val="0"/>
          <w:iCs w:val="0"/>
          <w:color w:val="000000" w:themeColor="text1"/>
          <w:sz w:val="16"/>
          <w:szCs w:val="16"/>
          <w:lang w:val="ru-RU"/>
        </w:rPr>
        <w:softHyphen/>
        <w:t>ми завышенного калибра (большом количестве на единицу площа</w:t>
      </w:r>
      <w:r w:rsidRPr="00DB5D0D">
        <w:rPr>
          <w:rFonts w:ascii="Times New Roman" w:hAnsi="Times New Roman" w:cs="Times New Roman"/>
          <w:i w:val="0"/>
          <w:iCs w:val="0"/>
          <w:color w:val="000000" w:themeColor="text1"/>
          <w:sz w:val="16"/>
          <w:szCs w:val="16"/>
          <w:lang w:val="ru-RU"/>
        </w:rPr>
        <w:softHyphen/>
        <w:t>ди). Ежели плита площадью 0,6-0,7 кв. метра выдерживает без рас</w:t>
      </w:r>
      <w:r w:rsidRPr="00DB5D0D">
        <w:rPr>
          <w:rFonts w:ascii="Times New Roman" w:hAnsi="Times New Roman" w:cs="Times New Roman"/>
          <w:i w:val="0"/>
          <w:iCs w:val="0"/>
          <w:color w:val="000000" w:themeColor="text1"/>
          <w:sz w:val="16"/>
          <w:szCs w:val="16"/>
          <w:lang w:val="ru-RU"/>
        </w:rPr>
        <w:softHyphen/>
        <w:t>колов и проломов 2 выстрела 76 мм снарядами, то такой результат следует признать с тактической стороны удовлетворительным, ибо броня этим снарядом пробивается и танк все равно будет выходить из строя.</w:t>
      </w:r>
    </w:p>
    <w:p w14:paraId="55BE339F"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Последующие испытания, проведенные в середине 1940 года подтвердили правильность высказанных положений. В техусловиях 1940года отражены эти положения и сталь марки МЗ-2 вполне прак</w:t>
      </w:r>
      <w:r w:rsidRPr="00DB5D0D">
        <w:rPr>
          <w:rFonts w:ascii="Times New Roman" w:hAnsi="Times New Roman" w:cs="Times New Roman"/>
          <w:i w:val="0"/>
          <w:iCs w:val="0"/>
          <w:color w:val="000000" w:themeColor="text1"/>
          <w:sz w:val="16"/>
          <w:szCs w:val="16"/>
          <w:lang w:val="ru-RU"/>
        </w:rPr>
        <w:softHyphen/>
        <w:t>тически удовлетворяет поставленным требованиям и не может счи</w:t>
      </w:r>
      <w:r w:rsidRPr="00DB5D0D">
        <w:rPr>
          <w:rFonts w:ascii="Times New Roman" w:hAnsi="Times New Roman" w:cs="Times New Roman"/>
          <w:i w:val="0"/>
          <w:iCs w:val="0"/>
          <w:color w:val="000000" w:themeColor="text1"/>
          <w:sz w:val="16"/>
          <w:szCs w:val="16"/>
          <w:lang w:val="ru-RU"/>
        </w:rPr>
        <w:softHyphen/>
        <w:t>таться повышенно хрупкой при обстреле 76 мм снарядами, как это первоначально квалифицировалось.</w:t>
      </w:r>
      <w:r w:rsidRPr="00DB5D0D">
        <w:rPr>
          <w:rStyle w:val="111455pt40190pt53"/>
          <w:rFonts w:ascii="Times New Roman" w:hAnsi="Times New Roman" w:cs="Times New Roman"/>
          <w:color w:val="000000" w:themeColor="text1"/>
          <w:spacing w:val="0"/>
          <w:sz w:val="16"/>
          <w:szCs w:val="16"/>
          <w:lang w:val="ru-RU"/>
        </w:rPr>
        <w:t xml:space="preserve"> [</w:t>
      </w:r>
      <w:r w:rsidRPr="00DB5D0D">
        <w:rPr>
          <w:rFonts w:ascii="Times New Roman" w:hAnsi="Times New Roman" w:cs="Times New Roman"/>
          <w:i w:val="0"/>
          <w:iCs w:val="0"/>
          <w:color w:val="000000" w:themeColor="text1"/>
          <w:sz w:val="16"/>
          <w:szCs w:val="16"/>
          <w:lang w:val="ru-RU"/>
        </w:rPr>
        <w:t>РГВА. Ф. 31811. Оп. 3. Д. 2061. Л. 7-10.</w:t>
      </w:r>
      <w:r w:rsidRPr="00DB5D0D">
        <w:rPr>
          <w:rStyle w:val="111455pt40190pt53"/>
          <w:rFonts w:ascii="Times New Roman" w:hAnsi="Times New Roman" w:cs="Times New Roman"/>
          <w:color w:val="000000" w:themeColor="text1"/>
          <w:spacing w:val="0"/>
          <w:sz w:val="16"/>
          <w:szCs w:val="16"/>
          <w:lang w:val="ru-RU"/>
        </w:rPr>
        <w:t>]</w:t>
      </w:r>
      <w:r w:rsidRPr="00DB5D0D">
        <w:rPr>
          <w:rStyle w:val="111455pt40190pt53"/>
          <w:rFonts w:ascii="Times New Roman" w:hAnsi="Times New Roman" w:cs="Times New Roman"/>
          <w:noProof w:val="0"/>
          <w:color w:val="000000" w:themeColor="text1"/>
          <w:spacing w:val="0"/>
          <w:sz w:val="16"/>
          <w:szCs w:val="16"/>
          <w:lang w:val="ru-RU"/>
        </w:rPr>
        <w:t xml:space="preserve"> (11894).</w:t>
      </w:r>
    </w:p>
    <w:p w14:paraId="7CCF314D" w14:textId="77777777" w:rsidR="00A25AD1" w:rsidRPr="00DB5D0D" w:rsidRDefault="00A25AD1" w:rsidP="00DB5D0D">
      <w:pPr>
        <w:pStyle w:val="a3"/>
        <w:rPr>
          <w:color w:val="000000" w:themeColor="text1"/>
          <w:lang w:val="ru-RU"/>
        </w:rPr>
      </w:pPr>
    </w:p>
    <w:p w14:paraId="33A34F4F" w14:textId="77777777" w:rsidR="008A2BE0" w:rsidRPr="00DB5D0D" w:rsidRDefault="008A2B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мае 1940 г. на заводе № 183 шла интенсивная подготовка производства к серийному выпуску танка Т-34. Причём, как уже отмечалось ранее, одновременно с расширением производственной базы завода разрабатывались технологические процессы, а также производились работы по изготовлению технологического оборудования и оснастки для серийного производства нового танка. </w:t>
      </w:r>
    </w:p>
    <w:p w14:paraId="1B2658C0" w14:textId="77777777" w:rsidR="008A2BE0" w:rsidRPr="00DB5D0D" w:rsidRDefault="008A2BE0"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«Освоение новой машины, – </w:t>
      </w:r>
      <w:r w:rsidRPr="00DB5D0D">
        <w:rPr>
          <w:rFonts w:ascii="Times New Roman" w:eastAsia="Times New Roman" w:hAnsi="Times New Roman"/>
          <w:color w:val="000000" w:themeColor="text1"/>
          <w:sz w:val="16"/>
          <w:szCs w:val="16"/>
          <w:lang w:eastAsia="ru-RU"/>
        </w:rPr>
        <w:t>вспоминал бывший директор завода № 183 Герой Социалистического Труда Ю.Е. Максарев,</w:t>
      </w:r>
      <w:r w:rsidRPr="00DB5D0D">
        <w:rPr>
          <w:rFonts w:ascii="Times New Roman" w:eastAsia="Times New Roman" w:hAnsi="Times New Roman"/>
          <w:iCs/>
          <w:color w:val="000000" w:themeColor="text1"/>
          <w:sz w:val="16"/>
          <w:szCs w:val="16"/>
          <w:lang w:eastAsia="ru-RU"/>
        </w:rPr>
        <w:t xml:space="preserve"> – на заводе шло довольно туго. Не хватало необходимого оборудования. Потребовалось изготовить большое количество приспособлений, штампов и другой оснастки. По моей просьбе Главк выделил заводу три шестишпиндельных автомата для выпуска болтов и два многорезцовых станка. Технологи «авралили», стремясь обеспечить технологическими картами все цеха, участки, отдельные рабочие места. Контрольная служба организовала жесткий контроль не только деталей и узлов машины, но и приспособлений, инструмента. </w:t>
      </w:r>
    </w:p>
    <w:p w14:paraId="2927896E" w14:textId="77777777" w:rsidR="008A2BE0" w:rsidRPr="00DB5D0D" w:rsidRDefault="008A2B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К тому же, понимая, что гитлеровская Германия, уже развязавшая вторую мировую войну в Европе, не остановится перед нападением на нашу страну, мы готовили все приспособления и инструмент в количествах, предусмотренных мобилизационным планом»</w:t>
      </w:r>
      <w:r w:rsidRPr="00DB5D0D">
        <w:rPr>
          <w:rFonts w:ascii="Times New Roman" w:eastAsia="Times New Roman" w:hAnsi="Times New Roman"/>
          <w:color w:val="000000" w:themeColor="text1"/>
          <w:sz w:val="16"/>
          <w:szCs w:val="16"/>
          <w:lang w:eastAsia="ru-RU"/>
        </w:rPr>
        <w:t xml:space="preserve">. </w:t>
      </w:r>
    </w:p>
    <w:p w14:paraId="6CD005F8" w14:textId="77777777" w:rsidR="008A2BE0" w:rsidRPr="00DB5D0D" w:rsidRDefault="008A2BE0" w:rsidP="00DB5D0D">
      <w:pPr>
        <w:spacing w:after="0" w:line="240" w:lineRule="auto"/>
        <w:jc w:val="both"/>
        <w:rPr>
          <w:rFonts w:ascii="Times New Roman" w:eastAsia="Times New Roman" w:hAnsi="Times New Roman"/>
          <w:bCs/>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[Т-34: путь к Победе: Воспоминания танкостроителей и танкистов / Сост. К.М. Слободин, В.Д. Листровой. Изд-во политической литературы Украины, 1989. С. 92] (18076).</w:t>
      </w:r>
    </w:p>
    <w:p w14:paraId="0381E01A" w14:textId="77777777" w:rsidR="008A2BE0" w:rsidRPr="00DB5D0D" w:rsidRDefault="008A2BE0" w:rsidP="00DB5D0D">
      <w:pPr>
        <w:spacing w:after="0" w:line="240" w:lineRule="auto"/>
        <w:jc w:val="both"/>
        <w:rPr>
          <w:rFonts w:ascii="Times New Roman" w:eastAsia="Times New Roman" w:hAnsi="Times New Roman"/>
          <w:bCs/>
          <w:color w:val="000000" w:themeColor="text1"/>
          <w:sz w:val="16"/>
          <w:szCs w:val="16"/>
          <w:lang w:eastAsia="ru-RU"/>
        </w:rPr>
      </w:pPr>
    </w:p>
    <w:p w14:paraId="287EF33A" w14:textId="77777777" w:rsidR="00C55992" w:rsidRPr="00DB5D0D" w:rsidRDefault="00C5599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при разработке первого варианта расширенной башни танка Т-34, конструкторами КБ-520 были внесены изменения в размеры выреза в лобовом листе башни, обеспечивавшие угол возвышения пушки Л-11 до 30°. Однако при получении с завода № 183 новых чертежей, Мариупольский завод не внес необходимые изменения в шаблон для выреза амбразуры в лобовом листе башни, в результате чего получился задел в 143 башни с амбразурами, обеспечивающими максимальный угол возвышения пушки в 25°. В итоге к концу 1940 г. значительная часть этих башен заводом № 183 была установлена на танках Т-34 (18206).</w:t>
      </w:r>
    </w:p>
    <w:p w14:paraId="2945D13D" w14:textId="77777777" w:rsidR="00C55992" w:rsidRPr="00DB5D0D" w:rsidRDefault="00C55992" w:rsidP="00DB5D0D">
      <w:pPr>
        <w:spacing w:after="0" w:line="240" w:lineRule="auto"/>
        <w:jc w:val="both"/>
        <w:rPr>
          <w:rFonts w:ascii="Times New Roman" w:hAnsi="Times New Roman"/>
          <w:color w:val="000000" w:themeColor="text1"/>
          <w:sz w:val="16"/>
          <w:szCs w:val="16"/>
        </w:rPr>
      </w:pPr>
    </w:p>
    <w:p w14:paraId="7678CA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первый опытный образец Ф-34 прошел испытания на АНИОПе, при этом начальная скорость снаряда получена 680 м/с.</w:t>
      </w:r>
    </w:p>
    <w:p w14:paraId="12FCA8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директор и главный конструктор завода № 92 сообщили в артиллерийский комитет ГАУ и в АБТУ КА:</w:t>
      </w:r>
    </w:p>
    <w:p w14:paraId="01E48B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известно, что 76,2-мм танковая пушка Ф-34 выдержала полигонные испытания с оценкой на «хорошо». Просим дать заключение об использовании данной пушки в системе вооружения Красной Армии».</w:t>
      </w:r>
    </w:p>
    <w:p w14:paraId="37C1DA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своим баллистическим данным Ф-34 превосходила Л-11, к тому же была значительно проще и дешевле. Поэтому 13 июня 1940 года нарком обороны вышел в Совет народных комиссаров СССР со следующим предложением:</w:t>
      </w:r>
    </w:p>
    <w:p w14:paraId="22EC0B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«Т-34 вооружить пушкой Ф-34 и пулеметами ДС с утолщенными стволами. Как временная мера, на 1940 год Т-34 № 1. ввиду недостатка Ф-32 вооружать 45-мм пушкой, а Т-34 №2 - пушкой Ф-32. До изготовления в достаточном количестве Ф-34 и ДС оставить на 1940 год на вооружении танков пушки Л-11 и пулемет ДТ» (12217).</w:t>
      </w:r>
    </w:p>
    <w:p w14:paraId="54842D9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D6B081" w14:textId="77777777" w:rsidR="00A25AD1" w:rsidRPr="00DB5D0D" w:rsidRDefault="00A25AD1" w:rsidP="00DB5D0D">
      <w:pPr>
        <w:pStyle w:val="a3"/>
        <w:rPr>
          <w:color w:val="000000" w:themeColor="text1"/>
          <w:lang w:val="ru-RU"/>
        </w:rPr>
      </w:pPr>
      <w:r w:rsidRPr="00DB5D0D">
        <w:rPr>
          <w:color w:val="000000" w:themeColor="text1"/>
          <w:lang w:val="ru-RU"/>
        </w:rPr>
        <w:t>В мае 1940 г. параллельно с испытанием системы механического сервоуправ</w:t>
      </w:r>
      <w:r w:rsidRPr="00DB5D0D">
        <w:rPr>
          <w:color w:val="000000" w:themeColor="text1"/>
          <w:lang w:val="ru-RU"/>
        </w:rPr>
        <w:softHyphen/>
        <w:t>ления на опытной машине №311-18-3 проводилось испытание литых траков, Т-34 изготовленных на Сталинградском трак</w:t>
      </w:r>
      <w:r w:rsidRPr="00DB5D0D">
        <w:rPr>
          <w:color w:val="000000" w:themeColor="text1"/>
          <w:lang w:val="ru-RU"/>
        </w:rPr>
        <w:softHyphen/>
        <w:t>торном заводе из стали Гатфильда. Заметим, что изначально на двух опытных образцах танка Т-34 использовались штампованные траки (трак с гребнем - деталь 34.44.001 и плоский трак - деталь 34.44.002), изготовленные из дорогостоящей стали хромансиль. Дан</w:t>
      </w:r>
      <w:r w:rsidRPr="00DB5D0D">
        <w:rPr>
          <w:color w:val="000000" w:themeColor="text1"/>
          <w:lang w:val="ru-RU"/>
        </w:rPr>
        <w:softHyphen/>
        <w:t>ный тип траков был утвержден АБТУ на производство в 1940 г., но из-за сложности и дороговизны, а также дефицита штамповочного оборудования в марте 1940 г. было принято решение о начале опыт</w:t>
      </w:r>
      <w:r w:rsidRPr="00DB5D0D">
        <w:rPr>
          <w:color w:val="000000" w:themeColor="text1"/>
          <w:lang w:val="ru-RU"/>
        </w:rPr>
        <w:softHyphen/>
        <w:t>ных работ по изготовлению литых траков для Т-34 из стали Гатфиль</w:t>
      </w:r>
      <w:r w:rsidRPr="00DB5D0D">
        <w:rPr>
          <w:color w:val="000000" w:themeColor="text1"/>
          <w:lang w:val="ru-RU"/>
        </w:rPr>
        <w:softHyphen/>
        <w:t>да, базой для производства которых был выбран СТЗ. В начале мая 1940 г. СТЗ изготовил и поставил на завод №183 опытную партию литых траков в количестве 200 штук (11904).</w:t>
      </w:r>
    </w:p>
    <w:p w14:paraId="603E4836" w14:textId="77777777" w:rsidR="00A25AD1" w:rsidRPr="00DB5D0D" w:rsidRDefault="00A25AD1" w:rsidP="00DB5D0D">
      <w:pPr>
        <w:pStyle w:val="a3"/>
        <w:rPr>
          <w:color w:val="000000" w:themeColor="text1"/>
          <w:lang w:val="ru-RU"/>
        </w:rPr>
      </w:pPr>
    </w:p>
    <w:p w14:paraId="5065297D" w14:textId="77777777" w:rsidR="00A25AD1" w:rsidRPr="00DB5D0D" w:rsidRDefault="00A25AD1" w:rsidP="00DB5D0D">
      <w:pPr>
        <w:pStyle w:val="a3"/>
        <w:rPr>
          <w:color w:val="000000" w:themeColor="text1"/>
          <w:lang w:val="ru-RU"/>
        </w:rPr>
      </w:pPr>
      <w:r w:rsidRPr="00DB5D0D">
        <w:rPr>
          <w:color w:val="000000" w:themeColor="text1"/>
          <w:lang w:val="ru-RU"/>
        </w:rPr>
        <w:t>За май 1940 г. заводом № 75 было изготов</w:t>
      </w:r>
      <w:r w:rsidRPr="00DB5D0D">
        <w:rPr>
          <w:color w:val="000000" w:themeColor="text1"/>
          <w:lang w:val="ru-RU"/>
        </w:rPr>
        <w:softHyphen/>
        <w:t>лено всего 138 серийных В-2 при плане в 200 штук. Основными причинами невыполнения плана, как и ранее, являлись недоста</w:t>
      </w:r>
      <w:r w:rsidRPr="00DB5D0D">
        <w:rPr>
          <w:color w:val="000000" w:themeColor="text1"/>
          <w:lang w:val="ru-RU"/>
        </w:rPr>
        <w:softHyphen/>
        <w:t>точное снабжение завода металлом и большой процент брака (наи</w:t>
      </w:r>
      <w:r w:rsidRPr="00DB5D0D">
        <w:rPr>
          <w:color w:val="000000" w:themeColor="text1"/>
          <w:lang w:val="ru-RU"/>
        </w:rPr>
        <w:softHyphen/>
        <w:t>больший процент наблюдался по топливной аппаратуре и кони</w:t>
      </w:r>
      <w:r w:rsidRPr="00DB5D0D">
        <w:rPr>
          <w:color w:val="000000" w:themeColor="text1"/>
          <w:lang w:val="ru-RU"/>
        </w:rPr>
        <w:softHyphen/>
        <w:t>ческим шестерням), вызванный, прежде всего, слабой трудовой и технологической дисциплиной на предприятии и нехваткой ста</w:t>
      </w:r>
      <w:r w:rsidRPr="00DB5D0D">
        <w:rPr>
          <w:color w:val="000000" w:themeColor="text1"/>
          <w:lang w:val="ru-RU"/>
        </w:rPr>
        <w:softHyphen/>
        <w:t>ночного оборудования и оснастки. Еще одним фактором, негатив</w:t>
      </w:r>
      <w:r w:rsidRPr="00DB5D0D">
        <w:rPr>
          <w:color w:val="000000" w:themeColor="text1"/>
          <w:lang w:val="ru-RU"/>
        </w:rPr>
        <w:softHyphen/>
        <w:t>но повлиявшим на темпы производства В-2, стал приказ народ</w:t>
      </w:r>
      <w:r w:rsidRPr="00DB5D0D">
        <w:rPr>
          <w:color w:val="000000" w:themeColor="text1"/>
          <w:lang w:val="ru-RU"/>
        </w:rPr>
        <w:softHyphen/>
        <w:t>ного комиссара Среднего машиностроения И.А. Лихачева за но</w:t>
      </w:r>
      <w:r w:rsidRPr="00DB5D0D">
        <w:rPr>
          <w:color w:val="000000" w:themeColor="text1"/>
          <w:lang w:val="ru-RU"/>
        </w:rPr>
        <w:softHyphen/>
        <w:t>мером 106с, согласно которому завод №75 с мая 1940 г. вклю</w:t>
      </w:r>
      <w:r w:rsidRPr="00DB5D0D">
        <w:rPr>
          <w:color w:val="000000" w:themeColor="text1"/>
          <w:lang w:val="ru-RU"/>
        </w:rPr>
        <w:softHyphen/>
        <w:t>чался в программу по производству авиационного дизеля М-40 (11906).</w:t>
      </w:r>
    </w:p>
    <w:p w14:paraId="53F59380" w14:textId="77777777" w:rsidR="00A25AD1" w:rsidRPr="00DB5D0D" w:rsidRDefault="00A25AD1" w:rsidP="00DB5D0D">
      <w:pPr>
        <w:pStyle w:val="a3"/>
        <w:rPr>
          <w:color w:val="000000" w:themeColor="text1"/>
          <w:lang w:val="ru-RU"/>
        </w:rPr>
      </w:pPr>
    </w:p>
    <w:p w14:paraId="7FE1B685"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 года, когда проект танка Т-126 утверждался на внутризаводском совещании, выяснилась неприятная подробность. Вместо 13 тонн, как по техническому зданию, она выросла до 16-17. Если же толщина брони увеличивалась до 55 мм, то ожидалась масса в 19 тонн. Поэтому на защите макета (там танк назывался либо "СП", либо "проект 126"), которая состоялась 13 июня 1940 года, завод начал откровенно мухлевать. Боевая масса указывалась в 15 тонн, при этом толщина 45 мм была только у лба корпуса и башни. Борта делали толщиной 40 мм, а кормы - 30 мм. Диаметр погона в свету составлял 1200 мм. Это, конечно, больше Т-26, но совсем ненамного. Опорные катки делали с резиновыми бандажами. Комиссии хватало пунктов для претензий. Там припомнили и массу, превышающую расчетную на 2 тонны, и затрудненный доступ к агрегатам МТО. Комиссия потребовала форсировать работу по планетарной трансмиссии. Смотровой прибор механика-водителя предлагалось переделать. Погон башни предлагалось увеличить минимум до 1300 мм. Имелись претензии и по установке вооружения. С массой 15 тонн комиссия всё же согласилась, более того, предложила построить два танка. Один с толщиной брони 45 мм, а второй с толщиной 55 мм. Связано это оказалось с тем, что броня толщиной 45 мм не обеспечивала гарантированной защиты от 37-мм бронебойных снарядов. Это показали испытания обстрелом корпуса Т-34 (21824).</w:t>
      </w:r>
    </w:p>
    <w:p w14:paraId="1124179C" w14:textId="77777777" w:rsidR="0077369F" w:rsidRPr="00DB5D0D" w:rsidRDefault="0077369F" w:rsidP="00DB5D0D">
      <w:pPr>
        <w:spacing w:after="0" w:line="240" w:lineRule="auto"/>
        <w:jc w:val="both"/>
        <w:rPr>
          <w:rFonts w:ascii="Times New Roman" w:hAnsi="Times New Roman"/>
          <w:color w:val="0070C0"/>
          <w:sz w:val="16"/>
          <w:szCs w:val="16"/>
        </w:rPr>
      </w:pPr>
    </w:p>
    <w:p w14:paraId="0F286F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Т-28 с 76 мм пушкой Л-11, разработанный СКБ-2 ЛКЗ в конце 1939, прошел испытания на Лужском полигоне(9527,139).</w:t>
      </w:r>
    </w:p>
    <w:p w14:paraId="1D442E4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BB033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макетная комиссия рассматривала проект и деревянный макет в натуральную величину тыжелого тягача на базе КВ, разработанного в СКБ-2 ЛКЗ под руцководством Ж.Я.Котина. После начала войны работы прекратили (9527,218).</w:t>
      </w:r>
    </w:p>
    <w:p w14:paraId="11A8604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8335BB"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ХИМУ заключило с заводом договор на изготовление десяти ХП-2 установочной пар</w:t>
      </w:r>
      <w:r w:rsidRPr="00DB5D0D">
        <w:rPr>
          <w:rFonts w:ascii="Times New Roman" w:hAnsi="Times New Roman"/>
          <w:color w:val="000000" w:themeColor="text1"/>
          <w:sz w:val="16"/>
          <w:szCs w:val="16"/>
        </w:rPr>
        <w:softHyphen/>
        <w:t>тии, а также доработку к 15 июня опытной при</w:t>
      </w:r>
      <w:r w:rsidRPr="00DB5D0D">
        <w:rPr>
          <w:rFonts w:ascii="Times New Roman" w:hAnsi="Times New Roman"/>
          <w:color w:val="000000" w:themeColor="text1"/>
          <w:sz w:val="16"/>
          <w:szCs w:val="16"/>
        </w:rPr>
        <w:softHyphen/>
        <w:t>цепки, изготовленной еще по договору №73, по чертежам установочной партии.</w:t>
      </w:r>
    </w:p>
    <w:p w14:paraId="5BB0EC8C" w14:textId="77777777" w:rsidR="004A0330" w:rsidRPr="00DB5D0D" w:rsidRDefault="004A0330"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В том же месяце составили временную ин</w:t>
      </w:r>
      <w:r w:rsidRPr="00DB5D0D">
        <w:rPr>
          <w:rFonts w:ascii="Times New Roman" w:hAnsi="Times New Roman" w:cs="Times New Roman"/>
          <w:color w:val="000000" w:themeColor="text1"/>
        </w:rPr>
        <w:softHyphen/>
        <w:t>струкцию по уходу за химприцепкой (17480).</w:t>
      </w:r>
    </w:p>
    <w:p w14:paraId="2D6F97BE" w14:textId="77777777" w:rsidR="004A0330" w:rsidRPr="00DB5D0D" w:rsidRDefault="004A0330" w:rsidP="00DB5D0D">
      <w:pPr>
        <w:pStyle w:val="80"/>
        <w:shd w:val="clear" w:color="auto" w:fill="auto"/>
        <w:spacing w:line="240" w:lineRule="auto"/>
        <w:jc w:val="both"/>
        <w:rPr>
          <w:rFonts w:ascii="Times New Roman" w:hAnsi="Times New Roman" w:cs="Times New Roman"/>
          <w:color w:val="000000" w:themeColor="text1"/>
        </w:rPr>
      </w:pPr>
    </w:p>
    <w:p w14:paraId="2D1D288B" w14:textId="77777777" w:rsidR="00C55992" w:rsidRPr="00DB5D0D" w:rsidRDefault="00C5599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прошли испытания первых двух КИМ-10 (18295).</w:t>
      </w:r>
    </w:p>
    <w:p w14:paraId="52A93223" w14:textId="77777777" w:rsidR="00C55992" w:rsidRPr="00DB5D0D" w:rsidRDefault="00C5599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Оборудование для производства малолитражек закупили за океаном, там же фирме «Budd» заказали кузовные штампы и пробную партию из 500 комплектов панелей. Новую машину собирались выпускать с 1941 года в количестве 2500 машин в месяц.</w:t>
      </w:r>
    </w:p>
    <w:p w14:paraId="3FF55A28" w14:textId="77777777" w:rsidR="00C55992" w:rsidRPr="00DB5D0D" w:rsidRDefault="00C5599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ждали советский «народный автомобиль». Митингом, состоявшимся в апреле 1940 года, страна отметила окончание первой очереди завода. На первомайской демонстрации три новых машины под аплодисменты прошли по Красной Площади.</w:t>
      </w:r>
    </w:p>
    <w:p w14:paraId="42908A85" w14:textId="77777777" w:rsidR="00C55992" w:rsidRPr="00DB5D0D" w:rsidRDefault="00C5599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тогдашним правилам машину были обязаны показать Вождю. Сталин, осматрев КИМ-10, остался недоволен. Он сел рядом с шофером и пригласил конструкторов тоже занимать места в машине. Но относительно компактный КИМ-10 имел всего две двери, и пролезть на заднее сиденье, не потревожив седоков на переднем, было невозможно! Шофер приказа встать не получил, к Сталину с такой просьбой обратиться никто не решился… </w:t>
      </w:r>
    </w:p>
    <w:p w14:paraId="3E1EEFED" w14:textId="77777777" w:rsidR="00C55992" w:rsidRPr="00DB5D0D" w:rsidRDefault="00C5599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другой версии Сталин усадил конструкторов машины назад, а сам с Берией занял места спереди и предложил задним пассажирам выйти. Естественно, они этого сделать не могли. После этого Сталин предложил конструкторам переделать двухдверный вариант в четырёхдверный.</w:t>
      </w:r>
    </w:p>
    <w:p w14:paraId="43E7283F" w14:textId="77777777" w:rsidR="00C55992" w:rsidRPr="00DB5D0D" w:rsidRDefault="00C5599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Конструкторы ГАЗа срочно приступили к проектированию нового кузова, имевшего как двухдверную (КИМ-10-50), так и четырехдверную (КИМ-10-52) версии. Кроме них планировалось производить двухдверный фаэтон КИМ-10-51 (18295).</w:t>
      </w:r>
    </w:p>
    <w:p w14:paraId="15FFC7DD" w14:textId="77777777" w:rsidR="00C55992" w:rsidRPr="00DB5D0D" w:rsidRDefault="00C55992" w:rsidP="00DB5D0D">
      <w:pPr>
        <w:spacing w:after="0" w:line="240" w:lineRule="auto"/>
        <w:jc w:val="both"/>
        <w:rPr>
          <w:rFonts w:ascii="Times New Roman" w:hAnsi="Times New Roman"/>
          <w:color w:val="000000" w:themeColor="text1"/>
          <w:sz w:val="16"/>
          <w:szCs w:val="16"/>
        </w:rPr>
      </w:pPr>
    </w:p>
    <w:p w14:paraId="10A32DFF"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В мае 1940 года началось серийное производство ИЖ-9. Предполагалось, что эту модель будут выпускать в течение пяти лет. Одновременно ижевские конструкторы уже вовсю трудились над более совершенным мотоциклом ИЖ-10 и прикидывали, каким станет следующий, ИЖ-11 (11396).</w:t>
      </w:r>
    </w:p>
    <w:p w14:paraId="5F2858C4" w14:textId="77777777" w:rsidR="00A25AD1" w:rsidRPr="00DB5D0D" w:rsidRDefault="00A25AD1" w:rsidP="00DB5D0D">
      <w:pPr>
        <w:pStyle w:val="Iauiue"/>
        <w:jc w:val="both"/>
        <w:rPr>
          <w:color w:val="000000" w:themeColor="text1"/>
          <w:sz w:val="16"/>
          <w:szCs w:val="16"/>
        </w:rPr>
      </w:pPr>
    </w:p>
    <w:p w14:paraId="29E23B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ГОИ и Московским институтом стекла были разработаны инфракрасные перископические очки и комплект дополнительного оборудования для вождения танка ночью, которое получило наименование Шип (9527,29).</w:t>
      </w:r>
    </w:p>
    <w:p w14:paraId="671E320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72BD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завод №211 (Светлана) предложил ГБТУ КА изготовить инфра</w:t>
      </w:r>
      <w:r w:rsidRPr="00DB5D0D">
        <w:rPr>
          <w:rFonts w:ascii="Times New Roman" w:hAnsi="Times New Roman"/>
          <w:color w:val="000000" w:themeColor="text1"/>
          <w:sz w:val="16"/>
          <w:szCs w:val="16"/>
        </w:rPr>
        <w:softHyphen/>
        <w:t>красные приборы в виде перископических очков.</w:t>
      </w:r>
    </w:p>
    <w:p w14:paraId="28E6E6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ГБТУ КА приняло это предложение и осенью 1940 г. первые образцы инфракрасных приборов были испытаны, которые не дали положительных результатов. Заводу №211 было предложено дора</w:t>
      </w:r>
      <w:r w:rsidRPr="00DB5D0D">
        <w:rPr>
          <w:rFonts w:ascii="Times New Roman" w:hAnsi="Times New Roman"/>
          <w:color w:val="000000" w:themeColor="text1"/>
          <w:sz w:val="16"/>
          <w:szCs w:val="16"/>
        </w:rPr>
        <w:softHyphen/>
        <w:t>ботать эти приборы, добиваясь более четкого видения и на большие дистанции.</w:t>
      </w:r>
    </w:p>
    <w:p w14:paraId="3D12EA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Государственному оптическому институту (ГОИ) ГБТУ КА предложено изго</w:t>
      </w:r>
      <w:r w:rsidRPr="00DB5D0D">
        <w:rPr>
          <w:rFonts w:ascii="Times New Roman" w:hAnsi="Times New Roman"/>
          <w:color w:val="000000" w:themeColor="text1"/>
          <w:sz w:val="16"/>
          <w:szCs w:val="16"/>
        </w:rPr>
        <w:softHyphen/>
        <w:t>товить совместно с заводом № 211 прицел для ночной стрельбы из танка.</w:t>
      </w:r>
    </w:p>
    <w:p w14:paraId="19C712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эвакуацией предприятия г. Ленинграда в 1941 г. все работы по инфракрасной техни</w:t>
      </w:r>
      <w:r w:rsidRPr="00DB5D0D">
        <w:rPr>
          <w:rFonts w:ascii="Times New Roman" w:hAnsi="Times New Roman"/>
          <w:color w:val="000000" w:themeColor="text1"/>
          <w:sz w:val="16"/>
          <w:szCs w:val="16"/>
        </w:rPr>
        <w:softHyphen/>
        <w:t>ке были прерваны (11420).</w:t>
      </w:r>
    </w:p>
    <w:p w14:paraId="0525D89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7F1DD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(«Зимняя война»: работа над ошибками (апрель-май 1940 г.). Мат-лы комиссий ГВС Красной Армии по обобщению опыта финской компании. – М.-СПб.: Летний сад, 2004. С. 241.) Главный военный совет РККА принял на вооружение еще на стадии опытной разработки радиостанцию РА (радиоузел РА), предназначавшуюся для замены РАТ. В предвоенные годы на заводе № 208 (завода им. Коминтерна) продолжалось серийное производство мощных и специальных ра диостанций для РККА: РАТ, радиомаяков и другой навигационной аппарату ры для ВВС, станций подавления «ЭКСТРА» и др. Кроме того, на заводе тра диционно сохранялось производство радиосредств для вооружения кораблей и береговых объектов ВМФ. В 1940 г. на заводе была разработана радиостанция РА (радиоузел РА), предназначавшийся для замены РАТ. В конструкции ра диостанции было использован самые передовые технологии, достигнутые в результате многих научно-исследовательских работ завода и других организа ций СССР, а также некоторые из зарубежных достижений. Потребность в станции была столь большой. А 22 июня 1941 г. опытный образец радиостанции вышел из ворот завода № 208 на испытания (11870).</w:t>
      </w:r>
    </w:p>
    <w:p w14:paraId="34C1273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0AD3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было организовано ЦКБ при НИИ-10 НКСП в составе ОГК института. Начальник (1940 г.-)- Г.Г. Конов, Ф.И. Бутышкин (11982).</w:t>
      </w:r>
    </w:p>
    <w:p w14:paraId="4760EA3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06C8B3"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мая 1940 с начала навигации сотрудники лаборатории - Александров, </w:t>
      </w:r>
      <w:bookmarkStart w:id="24" w:name="000b39e1.htm"/>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"http://www.famhist.ru/famhist/ap/000b39e1.htm"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Гаев</w:t>
      </w:r>
      <w:r w:rsidR="00100A24" w:rsidRPr="00DB5D0D">
        <w:rPr>
          <w:rFonts w:ascii="Times New Roman" w:hAnsi="Times New Roman"/>
          <w:color w:val="000000" w:themeColor="text1"/>
          <w:sz w:val="16"/>
          <w:szCs w:val="16"/>
        </w:rPr>
        <w:fldChar w:fldCharType="end"/>
      </w:r>
      <w:bookmarkEnd w:id="24"/>
      <w:r w:rsidRPr="00DB5D0D">
        <w:rPr>
          <w:rFonts w:ascii="Times New Roman" w:hAnsi="Times New Roman"/>
          <w:color w:val="000000" w:themeColor="text1"/>
          <w:sz w:val="16"/>
          <w:szCs w:val="16"/>
        </w:rPr>
        <w:t xml:space="preserve"> , </w:t>
      </w:r>
      <w:bookmarkStart w:id="25" w:name="001ef951.htm"/>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"http://www.famhist.ru/famhist/ap/001ef951.htm"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Степанов</w:t>
      </w:r>
      <w:r w:rsidR="00100A24" w:rsidRPr="00DB5D0D">
        <w:rPr>
          <w:rFonts w:ascii="Times New Roman" w:hAnsi="Times New Roman"/>
          <w:color w:val="000000" w:themeColor="text1"/>
          <w:sz w:val="16"/>
          <w:szCs w:val="16"/>
        </w:rPr>
        <w:fldChar w:fldCharType="end"/>
      </w:r>
      <w:bookmarkEnd w:id="25"/>
      <w:r w:rsidRPr="00DB5D0D">
        <w:rPr>
          <w:rFonts w:ascii="Times New Roman" w:hAnsi="Times New Roman"/>
          <w:color w:val="000000" w:themeColor="text1"/>
          <w:sz w:val="16"/>
          <w:szCs w:val="16"/>
        </w:rPr>
        <w:t xml:space="preserve"> , </w:t>
      </w:r>
      <w:bookmarkStart w:id="26" w:name="0010d172.htm"/>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"http://www.famhist.ru/famhist/ap/0010d172.htm"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Регель</w:t>
      </w:r>
      <w:r w:rsidR="00100A24" w:rsidRPr="00DB5D0D">
        <w:rPr>
          <w:rFonts w:ascii="Times New Roman" w:hAnsi="Times New Roman"/>
          <w:color w:val="000000" w:themeColor="text1"/>
          <w:sz w:val="16"/>
          <w:szCs w:val="16"/>
        </w:rPr>
        <w:fldChar w:fldCharType="end"/>
      </w:r>
      <w:bookmarkEnd w:id="26"/>
      <w:r w:rsidRPr="00DB5D0D">
        <w:rPr>
          <w:rFonts w:ascii="Times New Roman" w:hAnsi="Times New Roman"/>
          <w:color w:val="000000" w:themeColor="text1"/>
          <w:sz w:val="16"/>
          <w:szCs w:val="16"/>
        </w:rPr>
        <w:t xml:space="preserve"> , </w:t>
      </w:r>
      <w:bookmarkStart w:id="27" w:name="0001edd5.htm"/>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"http://www.famhist.ru/famhist/ap/0001edd5.htm"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Щербо</w:t>
      </w:r>
      <w:r w:rsidR="00100A24" w:rsidRPr="00DB5D0D">
        <w:rPr>
          <w:rFonts w:ascii="Times New Roman" w:hAnsi="Times New Roman"/>
          <w:color w:val="000000" w:themeColor="text1"/>
          <w:sz w:val="16"/>
          <w:szCs w:val="16"/>
        </w:rPr>
        <w:fldChar w:fldCharType="end"/>
      </w:r>
      <w:bookmarkEnd w:id="27"/>
      <w:r w:rsidRPr="00DB5D0D">
        <w:rPr>
          <w:rFonts w:ascii="Times New Roman" w:hAnsi="Times New Roman"/>
          <w:color w:val="000000" w:themeColor="text1"/>
          <w:sz w:val="16"/>
          <w:szCs w:val="16"/>
        </w:rPr>
        <w:t xml:space="preserve"> , </w:t>
      </w:r>
      <w:bookmarkStart w:id="28" w:name="001944fd.htm"/>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"http://www.famhist.ru/famhist/ap/001944fd.htm"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Филлипов</w:t>
      </w:r>
      <w:r w:rsidR="00100A24" w:rsidRPr="00DB5D0D">
        <w:rPr>
          <w:rFonts w:ascii="Times New Roman" w:hAnsi="Times New Roman"/>
          <w:color w:val="000000" w:themeColor="text1"/>
          <w:sz w:val="16"/>
          <w:szCs w:val="16"/>
        </w:rPr>
        <w:fldChar w:fldCharType="end"/>
      </w:r>
      <w:bookmarkEnd w:id="28"/>
      <w:r w:rsidRPr="00DB5D0D">
        <w:rPr>
          <w:rFonts w:ascii="Times New Roman" w:hAnsi="Times New Roman"/>
          <w:color w:val="000000" w:themeColor="text1"/>
          <w:sz w:val="16"/>
          <w:szCs w:val="16"/>
        </w:rPr>
        <w:t xml:space="preserve"> , офицер </w:t>
      </w:r>
      <w:bookmarkStart w:id="29" w:name="0003055f.htm"/>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"http://www.famhist.ru/famhist/ap/0003055f.htm"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НТК ВМФ</w:t>
      </w:r>
      <w:r w:rsidR="00100A24" w:rsidRPr="00DB5D0D">
        <w:rPr>
          <w:rFonts w:ascii="Times New Roman" w:hAnsi="Times New Roman"/>
          <w:color w:val="000000" w:themeColor="text1"/>
          <w:sz w:val="16"/>
          <w:szCs w:val="16"/>
        </w:rPr>
        <w:fldChar w:fldCharType="end"/>
      </w:r>
      <w:bookmarkStart w:id="30" w:name="0002ba4a.htm"/>
      <w:bookmarkEnd w:id="29"/>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"http://www.famhist.ru/famhist/ap/0002ba4a.htm"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Климов</w:t>
      </w:r>
      <w:r w:rsidR="00100A24" w:rsidRPr="00DB5D0D">
        <w:rPr>
          <w:rFonts w:ascii="Times New Roman" w:hAnsi="Times New Roman"/>
          <w:color w:val="000000" w:themeColor="text1"/>
          <w:sz w:val="16"/>
          <w:szCs w:val="16"/>
        </w:rPr>
        <w:fldChar w:fldCharType="end"/>
      </w:r>
      <w:bookmarkEnd w:id="30"/>
      <w:r w:rsidRPr="00DB5D0D">
        <w:rPr>
          <w:rFonts w:ascii="Times New Roman" w:hAnsi="Times New Roman"/>
          <w:color w:val="000000" w:themeColor="text1"/>
          <w:sz w:val="16"/>
          <w:szCs w:val="16"/>
        </w:rPr>
        <w:t xml:space="preserve"> и сотрудники </w:t>
      </w:r>
      <w:bookmarkStart w:id="31" w:name="001ee53f.htm"/>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"http://www.famhist.ru/famhist/ap/001ee53f.htm"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НИМТИ</w:t>
      </w:r>
      <w:r w:rsidR="00100A24" w:rsidRPr="00DB5D0D">
        <w:rPr>
          <w:rFonts w:ascii="Times New Roman" w:hAnsi="Times New Roman"/>
          <w:color w:val="000000" w:themeColor="text1"/>
          <w:sz w:val="16"/>
          <w:szCs w:val="16"/>
        </w:rPr>
        <w:fldChar w:fldCharType="end"/>
      </w:r>
      <w:bookmarkStart w:id="32" w:name="00037b92.htm"/>
      <w:bookmarkEnd w:id="31"/>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"http://www.famhist.ru/famhist/ap/00037b92.htm"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Ротарев</w:t>
      </w:r>
      <w:r w:rsidR="00100A24" w:rsidRPr="00DB5D0D">
        <w:rPr>
          <w:rFonts w:ascii="Times New Roman" w:hAnsi="Times New Roman"/>
          <w:color w:val="000000" w:themeColor="text1"/>
          <w:sz w:val="16"/>
          <w:szCs w:val="16"/>
        </w:rPr>
        <w:fldChar w:fldCharType="end"/>
      </w:r>
      <w:bookmarkEnd w:id="32"/>
      <w:r w:rsidRPr="00DB5D0D">
        <w:rPr>
          <w:rFonts w:ascii="Times New Roman" w:hAnsi="Times New Roman"/>
          <w:color w:val="000000" w:themeColor="text1"/>
          <w:sz w:val="16"/>
          <w:szCs w:val="16"/>
        </w:rPr>
        <w:t xml:space="preserve"> и </w:t>
      </w:r>
      <w:bookmarkStart w:id="33" w:name="00052fa8.htm"/>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"http://www.famhist.ru/famhist/ap/00052fa8.htm"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 xml:space="preserve">Цнии </w:t>
      </w:r>
      <w:r w:rsidR="00100A24" w:rsidRPr="00DB5D0D">
        <w:rPr>
          <w:rFonts w:ascii="Times New Roman" w:hAnsi="Times New Roman"/>
          <w:color w:val="000000" w:themeColor="text1"/>
          <w:sz w:val="16"/>
          <w:szCs w:val="16"/>
        </w:rPr>
        <w:fldChar w:fldCharType="end"/>
      </w:r>
      <w:hyperlink r:id="rId74" w:history="1">
        <w:r w:rsidRPr="00DB5D0D">
          <w:rPr>
            <w:rFonts w:ascii="Times New Roman" w:hAnsi="Times New Roman"/>
            <w:color w:val="000000" w:themeColor="text1"/>
            <w:sz w:val="16"/>
            <w:szCs w:val="16"/>
          </w:rPr>
          <w:t> НКСП </w:t>
        </w:r>
      </w:hyperlink>
      <w:bookmarkStart w:id="34" w:name="000d4eca.htm"/>
      <w:bookmarkEnd w:id="33"/>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"http://www.famhist.ru/famhist/ap/000d4eca.htm"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Фомин</w:t>
      </w:r>
      <w:r w:rsidR="00100A24" w:rsidRPr="00DB5D0D">
        <w:rPr>
          <w:rFonts w:ascii="Times New Roman" w:hAnsi="Times New Roman"/>
          <w:color w:val="000000" w:themeColor="text1"/>
          <w:sz w:val="16"/>
          <w:szCs w:val="16"/>
        </w:rPr>
        <w:fldChar w:fldCharType="end"/>
      </w:r>
      <w:bookmarkEnd w:id="34"/>
      <w:r w:rsidRPr="00DB5D0D">
        <w:rPr>
          <w:rFonts w:ascii="Times New Roman" w:hAnsi="Times New Roman"/>
          <w:color w:val="000000" w:themeColor="text1"/>
          <w:sz w:val="16"/>
          <w:szCs w:val="16"/>
        </w:rPr>
        <w:t xml:space="preserve"> провели на Днепре измерения магнитных полей монитора "Левачев" и бронекатера БК-232, а затем на Москва-реке катерного тральщика МСВ-38. Каждое из этих измерений было по сути комплексной исследовательской работой по изучению влияния на магнитное поле корабля полей обмоток разного вида, формы, расположения. Особенно сложными оказались работы на "Левачеве" ввиду его необычной формы и очень неравномерного распределения броневых масс. По возвращении на Балтику были проведены дополнительные измерения магнитного поля и эффективности разных обмоток на </w:t>
      </w:r>
      <w:bookmarkStart w:id="35" w:name="005bb3ab.htm"/>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"http://www.famhist.ru/famhist/chertok/005bb3ab.htm" </w:instrText>
      </w:r>
      <w:r w:rsidR="00100A24" w:rsidRPr="00DB5D0D">
        <w:rPr>
          <w:rFonts w:ascii="Times New Roman" w:hAnsi="Times New Roman"/>
          <w:color w:val="000000" w:themeColor="text1"/>
          <w:sz w:val="16"/>
          <w:szCs w:val="16"/>
        </w:rPr>
        <w:fldChar w:fldCharType="separate"/>
      </w:r>
      <w:r w:rsidRPr="00DB5D0D">
        <w:rPr>
          <w:rFonts w:ascii="Times New Roman" w:hAnsi="Times New Roman"/>
          <w:color w:val="000000" w:themeColor="text1"/>
          <w:sz w:val="16"/>
          <w:szCs w:val="16"/>
        </w:rPr>
        <w:t>линкоре "Марат</w:t>
      </w:r>
      <w:r w:rsidR="00100A24" w:rsidRPr="00DB5D0D">
        <w:rPr>
          <w:rFonts w:ascii="Times New Roman" w:hAnsi="Times New Roman"/>
          <w:color w:val="000000" w:themeColor="text1"/>
          <w:sz w:val="16"/>
          <w:szCs w:val="16"/>
        </w:rPr>
        <w:fldChar w:fldCharType="end"/>
      </w:r>
      <w:bookmarkEnd w:id="35"/>
      <w:r w:rsidRPr="00DB5D0D">
        <w:rPr>
          <w:rFonts w:ascii="Times New Roman" w:hAnsi="Times New Roman"/>
          <w:color w:val="000000" w:themeColor="text1"/>
          <w:sz w:val="16"/>
          <w:szCs w:val="16"/>
        </w:rPr>
        <w:t xml:space="preserve"> ". Эти серии данных были использованы для проектирования размагничивающих устройств системы ЛФТИ для исследованных кораблей. В течение лета и осени РУ были на них смонтированы (на "Марате" монтаж начат) для проверки и войсковых испытаний систем (15490).</w:t>
      </w:r>
    </w:p>
    <w:p w14:paraId="5B4E711D" w14:textId="77777777" w:rsidR="00A22B88" w:rsidRPr="00DB5D0D" w:rsidRDefault="00A22B88" w:rsidP="00DB5D0D">
      <w:pPr>
        <w:spacing w:after="0" w:line="240" w:lineRule="auto"/>
        <w:jc w:val="both"/>
        <w:rPr>
          <w:rFonts w:ascii="Times New Roman" w:hAnsi="Times New Roman"/>
          <w:color w:val="000000" w:themeColor="text1"/>
          <w:sz w:val="16"/>
          <w:szCs w:val="16"/>
        </w:rPr>
      </w:pPr>
    </w:p>
    <w:p w14:paraId="6B564990"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не удалось выдержать уже неоднократно переносившийся срок сдачи крейсера «Максим Горький» – задержали поставщики и наладчики новых систем управления артиллерийским огнем. 25 октября 1940 года государственные испытания крейсера все же завершились, но в приемном акте и дополнительном протоколе среди основных недостатков признавались «неотработанность схем ПУС и МПУАЗО». Довести автоматику наводки зенитных орудий мешало то, что создатели пушек не справились с задачей управления ими с помощью силовых синхронно-следящих систем, т. е. сами орудия можно было наводить только вручную, по старинке совмещая стрелки на циферблатах (15736).</w:t>
      </w:r>
    </w:p>
    <w:p w14:paraId="685105F5" w14:textId="77777777" w:rsidR="00A22B88" w:rsidRPr="00DB5D0D" w:rsidRDefault="00A22B88" w:rsidP="00DB5D0D">
      <w:pPr>
        <w:spacing w:after="0" w:line="240" w:lineRule="auto"/>
        <w:jc w:val="both"/>
        <w:rPr>
          <w:rFonts w:ascii="Times New Roman" w:hAnsi="Times New Roman"/>
          <w:color w:val="000000" w:themeColor="text1"/>
          <w:sz w:val="16"/>
          <w:szCs w:val="16"/>
        </w:rPr>
      </w:pPr>
    </w:p>
    <w:p w14:paraId="075E708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D0FD3C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33CEA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начальник ВВС Красной Армии Смушкевич и военный комиссар Агальцов в докладе о состоянии ВВС, направленном в Комитет Обороны, в частности, отме</w:t>
      </w:r>
      <w:r w:rsidRPr="00DB5D0D">
        <w:rPr>
          <w:rFonts w:ascii="Times New Roman" w:hAnsi="Times New Roman"/>
          <w:color w:val="000000" w:themeColor="text1"/>
          <w:sz w:val="16"/>
          <w:szCs w:val="16"/>
        </w:rPr>
        <w:softHyphen/>
        <w:t>чали:</w:t>
      </w:r>
    </w:p>
    <w:p w14:paraId="02EB4C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1.1.1940 года было 143 авиационных полка, из них истребительных — 63 (44 %), бомбардиро</w:t>
      </w:r>
      <w:r w:rsidRPr="00DB5D0D">
        <w:rPr>
          <w:rFonts w:ascii="Times New Roman" w:hAnsi="Times New Roman"/>
          <w:color w:val="000000" w:themeColor="text1"/>
          <w:sz w:val="16"/>
          <w:szCs w:val="16"/>
        </w:rPr>
        <w:softHyphen/>
        <w:t>вочных — 61 (42,7 %), штурмовых — 1, смешанных — 6.</w:t>
      </w:r>
    </w:p>
    <w:p w14:paraId="17E4FC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35 вновь формируемых по постановлению авиаполков на 1.5.1940 г. должно быть сформировано 22 полка. Сформи</w:t>
      </w:r>
      <w:r w:rsidRPr="00DB5D0D">
        <w:rPr>
          <w:rFonts w:ascii="Times New Roman" w:hAnsi="Times New Roman"/>
          <w:color w:val="000000" w:themeColor="text1"/>
          <w:sz w:val="16"/>
          <w:szCs w:val="16"/>
        </w:rPr>
        <w:softHyphen/>
        <w:t>ровано 14 полков из-за невыполнения промышленностью плана поставки самолетов. Промышленность недодала на 1.5.1940 г. (Руководство НКАП обновили, а проблемы оста</w:t>
      </w:r>
      <w:r w:rsidRPr="00DB5D0D">
        <w:rPr>
          <w:rFonts w:ascii="Times New Roman" w:hAnsi="Times New Roman"/>
          <w:color w:val="000000" w:themeColor="text1"/>
          <w:sz w:val="16"/>
          <w:szCs w:val="16"/>
        </w:rPr>
        <w:softHyphen/>
        <w:t>лись прежние) ВВС &lt;...&gt; бомбардировщи</w:t>
      </w:r>
      <w:r w:rsidRPr="00DB5D0D">
        <w:rPr>
          <w:rFonts w:ascii="Times New Roman" w:hAnsi="Times New Roman"/>
          <w:color w:val="000000" w:themeColor="text1"/>
          <w:sz w:val="16"/>
          <w:szCs w:val="16"/>
        </w:rPr>
        <w:softHyphen/>
        <w:t>ков — 471, истребителей — 178. Кадрами летно-техничес-кого состава новые полки обеспечиваются полностью.</w:t>
      </w:r>
    </w:p>
    <w:p w14:paraId="46B263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Формирование 35 новых авиабаз идет крайне медленно. К 1.5.1940 г. должно быть сформировано 20 новых авиабаз, фактически сформировано 8...</w:t>
      </w:r>
    </w:p>
    <w:p w14:paraId="44A54B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окончании формирования всех 35 авиаполков на 1.7.1940 г. в составе. ВВС будет 188 полков, из них бое</w:t>
      </w:r>
      <w:r w:rsidRPr="00DB5D0D">
        <w:rPr>
          <w:rFonts w:ascii="Times New Roman" w:hAnsi="Times New Roman"/>
          <w:color w:val="000000" w:themeColor="text1"/>
          <w:sz w:val="16"/>
          <w:szCs w:val="16"/>
        </w:rPr>
        <w:softHyphen/>
        <w:t>вых — 178, резервных — 10.</w:t>
      </w:r>
    </w:p>
    <w:p w14:paraId="1452B9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составе боевых полков бомбардировочная авиация со</w:t>
      </w:r>
      <w:r w:rsidRPr="00DB5D0D">
        <w:rPr>
          <w:rFonts w:ascii="Times New Roman" w:hAnsi="Times New Roman"/>
          <w:color w:val="000000" w:themeColor="text1"/>
          <w:sz w:val="16"/>
          <w:szCs w:val="16"/>
        </w:rPr>
        <w:softHyphen/>
        <w:t>ставляет 48,3 %, истребительная — 44,4 %, штурмовая — 7,3 %.</w:t>
      </w:r>
    </w:p>
    <w:p w14:paraId="449D7A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 составе ВВС имеются 10 далънеразведы-вательных эскадрилий, вооруженных самолетами СБ; 8 ар</w:t>
      </w:r>
      <w:r w:rsidRPr="00DB5D0D">
        <w:rPr>
          <w:rFonts w:ascii="Times New Roman" w:hAnsi="Times New Roman"/>
          <w:color w:val="000000" w:themeColor="text1"/>
          <w:sz w:val="16"/>
          <w:szCs w:val="16"/>
        </w:rPr>
        <w:softHyphen/>
        <w:t>мейских и 19 войсковых эскадрилий, вооруженных самоле</w:t>
      </w:r>
      <w:r w:rsidRPr="00DB5D0D">
        <w:rPr>
          <w:rFonts w:ascii="Times New Roman" w:hAnsi="Times New Roman"/>
          <w:color w:val="000000" w:themeColor="text1"/>
          <w:sz w:val="16"/>
          <w:szCs w:val="16"/>
        </w:rPr>
        <w:softHyphen/>
        <w:t>тами старых систем (Р-5, Р-10, Р-Зет)...</w:t>
      </w:r>
    </w:p>
    <w:p w14:paraId="686116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Артиллерийская авиация состоит из 17 отрядов, воору</w:t>
      </w:r>
      <w:r w:rsidRPr="00DB5D0D">
        <w:rPr>
          <w:rFonts w:ascii="Times New Roman" w:hAnsi="Times New Roman"/>
          <w:color w:val="000000" w:themeColor="text1"/>
          <w:sz w:val="16"/>
          <w:szCs w:val="16"/>
        </w:rPr>
        <w:softHyphen/>
        <w:t>женных старой материальной частью...</w:t>
      </w:r>
    </w:p>
    <w:p w14:paraId="6FABDF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Война с Финляндией еще раз показала, что летный со</w:t>
      </w:r>
      <w:r w:rsidRPr="00DB5D0D">
        <w:rPr>
          <w:rFonts w:ascii="Times New Roman" w:hAnsi="Times New Roman"/>
          <w:color w:val="000000" w:themeColor="text1"/>
          <w:sz w:val="16"/>
          <w:szCs w:val="16"/>
        </w:rPr>
        <w:softHyphen/>
        <w:t>став ВВС беззаветно предан своей Родине, отличается ис</w:t>
      </w:r>
      <w:r w:rsidRPr="00DB5D0D">
        <w:rPr>
          <w:rFonts w:ascii="Times New Roman" w:hAnsi="Times New Roman"/>
          <w:color w:val="000000" w:themeColor="text1"/>
          <w:sz w:val="16"/>
          <w:szCs w:val="16"/>
        </w:rPr>
        <w:softHyphen/>
        <w:t>ключительной храбростью, мужеством, дерзостью и вынос</w:t>
      </w:r>
      <w:r w:rsidRPr="00DB5D0D">
        <w:rPr>
          <w:rFonts w:ascii="Times New Roman" w:hAnsi="Times New Roman"/>
          <w:color w:val="000000" w:themeColor="text1"/>
          <w:sz w:val="16"/>
          <w:szCs w:val="16"/>
        </w:rPr>
        <w:softHyphen/>
        <w:t>ливостью. Однако эта же война показала, что этот заме</w:t>
      </w:r>
      <w:r w:rsidRPr="00DB5D0D">
        <w:rPr>
          <w:rFonts w:ascii="Times New Roman" w:hAnsi="Times New Roman"/>
          <w:color w:val="000000" w:themeColor="text1"/>
          <w:sz w:val="16"/>
          <w:szCs w:val="16"/>
        </w:rPr>
        <w:softHyphen/>
        <w:t>чательный летный состав оказался недоученным по ряду дисциплин:</w:t>
      </w:r>
    </w:p>
    <w:p w14:paraId="2FB9FE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полетам в сложных метеорологических условиях;</w:t>
      </w:r>
    </w:p>
    <w:p w14:paraId="0D5353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штурманской подготовке, особенно в радиовождении (самолетовождение с использованием радиокомпаса), неоднократные случаи потери ориентировки;</w:t>
      </w:r>
    </w:p>
    <w:p w14:paraId="50BCB9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неудовлетворительная меткость бомбометания, осо</w:t>
      </w:r>
      <w:r w:rsidRPr="00DB5D0D">
        <w:rPr>
          <w:rFonts w:ascii="Times New Roman" w:hAnsi="Times New Roman"/>
          <w:color w:val="000000" w:themeColor="text1"/>
          <w:sz w:val="16"/>
          <w:szCs w:val="16"/>
        </w:rPr>
        <w:softHyphen/>
        <w:t>бенно по узким целям (мосты/перегоны);</w:t>
      </w:r>
    </w:p>
    <w:p w14:paraId="73257E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плохая подготовка по разведке, особенно фоторазведка;</w:t>
      </w:r>
    </w:p>
    <w:p w14:paraId="0073D3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слабая огневая подготовка стрелков-радистов, неуме</w:t>
      </w:r>
      <w:r w:rsidRPr="00DB5D0D">
        <w:rPr>
          <w:rFonts w:ascii="Times New Roman" w:hAnsi="Times New Roman"/>
          <w:color w:val="000000" w:themeColor="text1"/>
          <w:sz w:val="16"/>
          <w:szCs w:val="16"/>
        </w:rPr>
        <w:softHyphen/>
        <w:t>ние вести оборонительный бой в группе;</w:t>
      </w:r>
    </w:p>
    <w:p w14:paraId="768FCE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были допущены грубые тактические ошибки авиаци</w:t>
      </w:r>
      <w:r w:rsidRPr="00DB5D0D">
        <w:rPr>
          <w:rFonts w:ascii="Times New Roman" w:hAnsi="Times New Roman"/>
          <w:color w:val="000000" w:themeColor="text1"/>
          <w:sz w:val="16"/>
          <w:szCs w:val="16"/>
        </w:rPr>
        <w:softHyphen/>
        <w:t>онными начальниками в использовании авиации (маршру</w:t>
      </w:r>
      <w:r w:rsidRPr="00DB5D0D">
        <w:rPr>
          <w:rFonts w:ascii="Times New Roman" w:hAnsi="Times New Roman"/>
          <w:color w:val="000000" w:themeColor="text1"/>
          <w:sz w:val="16"/>
          <w:szCs w:val="16"/>
        </w:rPr>
        <w:softHyphen/>
        <w:t>ты, ворота, высоты и т.д.)...» (10745,294).</w:t>
      </w:r>
    </w:p>
    <w:p w14:paraId="05E0F6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5C3C564"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 года первым в Дальней Авиации переучивание на ТБ-7 начал 14-й ТБАП 18-й отдельной дальнебомбардировочной авиадивизии. Осенью первые ТБ-7 начали прибывать на базу полка — аэродром Борисполь под Киевом. Но освоение новой техники экипажами, долгое время летавшими на устаревших ТБ-3, сдерживалось медленным темпом поставок и вообще остановилось 1 декабря 1940 года после катастрофы нового самолета, причину которой выяснить не удалось.</w:t>
      </w:r>
    </w:p>
    <w:p w14:paraId="32784E11"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Взаимодействие между заводом №124 и командованием 14-го полка не было налажено, в результате новейшие самолеты простояли под открытым небом до весны, не имея разрешения завода-изготовителя на полеты, так как не было акта расследования тяжелого летного происшествия. Простоявшие зиму машины нуждались в замене колес, а некоторые и в ремонте, и в полк наконец-то был вызван представитель завода.</w:t>
      </w:r>
    </w:p>
    <w:p w14:paraId="4C57B99E"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 июню 1941 года завод №124 по документам сдал в 14-й ТБАП 27 бомбардировщиков ТБ-7. Это были машины с моторами АМ-34 (с АЦН-2 и без них), АМ-35А и М-40, но полк принял только 8 самолетов (акты приемки остальных военные упорно не подписывали), подготовленных экипажей было 9.</w:t>
      </w:r>
    </w:p>
    <w:p w14:paraId="5C78BB43"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Борисполе базировалась и часть из 38 старых ТБ-3, остальные ушли на летние аэродромы Белая Церковь и Гоголев.</w:t>
      </w:r>
    </w:p>
    <w:p w14:paraId="1EB4E384"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На рассвете 22 июня немецкая авиация уничтожила на базовом аэродроме полка два ТБ-7 и еще три повредила, и, очевидно, они так и не были отремонтированы. Успевшая переучиться на новую технику 2-я эскадрилья полка неожиданно получила приказ перебазироваться в Казань, где на ее базе сформировали 412-й ТБАП на самолетах ТБ-7. А 14-й полк действовал в интересах Юго-Западного Фронта, участвовал в обороне Киева, выполняя в основном транспортные задачи, в частности, использовался для снабжения окруженных под Уманью 6-й и 12-й армий, применяя только ТБ-3…(22833).</w:t>
      </w:r>
    </w:p>
    <w:p w14:paraId="1C890131" w14:textId="77777777" w:rsidR="0077369F" w:rsidRPr="00DB5D0D" w:rsidRDefault="0077369F" w:rsidP="00DB5D0D">
      <w:pPr>
        <w:spacing w:after="0" w:line="240" w:lineRule="auto"/>
        <w:jc w:val="both"/>
        <w:rPr>
          <w:rFonts w:ascii="Times New Roman" w:hAnsi="Times New Roman"/>
          <w:color w:val="0070C0"/>
          <w:sz w:val="16"/>
          <w:szCs w:val="16"/>
        </w:rPr>
      </w:pPr>
    </w:p>
    <w:p w14:paraId="22655A4B" w14:textId="77777777" w:rsidR="00A25AD1" w:rsidRPr="00DB5D0D" w:rsidRDefault="00A25AD1" w:rsidP="00DB5D0D">
      <w:pPr>
        <w:pStyle w:val="a3"/>
        <w:rPr>
          <w:color w:val="000000" w:themeColor="text1"/>
          <w:lang w:val="ru-RU"/>
        </w:rPr>
      </w:pPr>
      <w:r w:rsidRPr="00DB5D0D">
        <w:rPr>
          <w:color w:val="000000" w:themeColor="text1"/>
          <w:lang w:val="ru-RU"/>
        </w:rPr>
        <w:t>В мае 1940 г. Главный Военный совет РККА постановил снять с вооружения строевых ча</w:t>
      </w:r>
      <w:r w:rsidRPr="00DB5D0D">
        <w:rPr>
          <w:color w:val="000000" w:themeColor="text1"/>
          <w:lang w:val="ru-RU"/>
        </w:rPr>
        <w:softHyphen/>
        <w:t>стей Р-5. Но темпы перевооружения новой техникой отставали от намеченных, и к 1 июня количество остававшихся машин вдвое пре</w:t>
      </w:r>
      <w:r w:rsidRPr="00DB5D0D">
        <w:rPr>
          <w:color w:val="000000" w:themeColor="text1"/>
          <w:lang w:val="ru-RU"/>
        </w:rPr>
        <w:softHyphen/>
        <w:t>вышало плановое. С учетом школ общий итог выглядел еще более внушительным. На 25 сентября в ВВС числились 2445 Р-5, хотя летать были способны только 1631. В морской авиации оставалось еще 1237 Р-5 (11936).</w:t>
      </w:r>
    </w:p>
    <w:p w14:paraId="2545AF3D" w14:textId="77777777" w:rsidR="00A25AD1" w:rsidRPr="00DB5D0D" w:rsidRDefault="00A25AD1" w:rsidP="00DB5D0D">
      <w:pPr>
        <w:pStyle w:val="11a"/>
        <w:shd w:val="clear" w:color="auto" w:fill="auto"/>
        <w:spacing w:after="0" w:line="240" w:lineRule="auto"/>
        <w:jc w:val="both"/>
        <w:rPr>
          <w:rFonts w:ascii="Times New Roman" w:hAnsi="Times New Roman" w:cs="Times New Roman"/>
          <w:b w:val="0"/>
          <w:noProof w:val="0"/>
          <w:color w:val="000000" w:themeColor="text1"/>
          <w:sz w:val="16"/>
          <w:szCs w:val="16"/>
          <w:lang w:val="ru-RU"/>
        </w:rPr>
      </w:pPr>
    </w:p>
    <w:p w14:paraId="7D606F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Главный Военный совет РККА постановил снять с вооружения строевых частей все Р-Зет "по мере замены современными", а ещё годную к эксплуатации технику сдать в резерв и училища. Но сделать этого не успели. На 15 июня 1940 г. в ВВС РККА ещё имелось 433 (389 исправных) строевых и 90 (26 исправных) учебных Р-Зет (11995).</w:t>
      </w:r>
    </w:p>
    <w:p w14:paraId="7799F8D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8ED43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на 137 военно-химическом складе произошло массовое поражение 12 человек начальствующего и вольнонаемного состава". Это случилось во время дегазации цистерны из-под иприта. В том же 1940 году склад № 137 вел переписку с руководством в Москве о судьбе 160 бочек из-под люизита 1934-1937 годов изготовления. Дилемма была проста - отправить бочки на "уничтожение" на ЦВХП в Шиханы или сжечь на месте (9065).</w:t>
      </w:r>
    </w:p>
    <w:p w14:paraId="7133156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C9FB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в армии (I ОКА) разбирались с причинами того, что на складе № 319 (Раздольное) произошла порча авиационных химических бомб (9065).</w:t>
      </w:r>
    </w:p>
    <w:p w14:paraId="12C300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E97BAF"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В мае 1940-го произошло событие, после которого все старые планы оргструктурных мероприятий танкистов РККА оказались в прямом смысле слова отправленными в мусорную корзину. Событием этим, как несложно догадаться, стал разгром Франции.</w:t>
      </w:r>
    </w:p>
    <w:p w14:paraId="613AC628"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Во-первых, успех немецкого блицкрига моментально изменил стратегическую обстановку в Европе. Казавшаяся могучей силой французская армия, победительница Первой мировой, оказалась разгромлена в рекордно короткие сроки и теперь существовала лишь в виде оставленных правительству Виши огрызков для поддержания порядка в колониях. Англичане едва сумели унести ноги с континента, оставив на пляжах Дюнкерка почти всю технику и тяжелое вооружение. Кроме победоносного вермахта, в Европе осталась лишь одна значимая сила — РККА, и вне зависимости от договоров и прочих политических игр военные были обязаны учитывать в своем планировании возможность того, что рано или поздно этим двум армиям придется сойтись на поле боя.</w:t>
      </w:r>
    </w:p>
    <w:p w14:paraId="26D0E7B7"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Во-вторых, у высшего командования РККА, как, впрочем, и у военных других стран, не исключая даже Германию, столь быстрый и масштабный разгром англо-французских войск вызвал состояние, близкое к шоку. Если польскую репетицию блицкрига еще можно было списать на неравенство сил, «прогнивший панский строй» и прочие «объективные обстоятельства», то с Францией оправдаться подобным образом было сложнее. По технике и численности англо-французские войска как минимум не уступали немцам, чувство глубокой классовой солидарности Третий рейх у них тоже вряд ли мог вызвать — и волей-неволей приходилось делать вывод, что секрет немецкой победы надо искать в области военных решений.</w:t>
      </w:r>
    </w:p>
    <w:p w14:paraId="375622A2"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Проблемой, однако, был тот факт, что в тот момент никто из командования РККА не мог взять с книжной полки, скачать из Интернета или еще каким-нибудь образом получить доступ к мемуарам немецких командиров, где механизм блицкрига с немецкой педантичностью был разложен по винтикам-шурупчикам, каждый из которых подробнейшим образом расписан. В мае 1940-го опыт французской кампании не успели толком проанализировать даже в германских штабах. Но немцы, по крайней мере, имели информацию «из первых» рук, а советским военным пришлось полагаться на данные разведки.</w:t>
      </w:r>
    </w:p>
    <w:p w14:paraId="7E7B81CE" w14:textId="77777777" w:rsidR="00A25AD1" w:rsidRPr="00DB5D0D" w:rsidRDefault="00A25AD1" w:rsidP="00DB5D0D">
      <w:pPr>
        <w:pStyle w:val="ae"/>
        <w:spacing w:before="0" w:after="0"/>
        <w:jc w:val="both"/>
        <w:rPr>
          <w:color w:val="000000" w:themeColor="text1"/>
          <w:sz w:val="16"/>
          <w:szCs w:val="16"/>
        </w:rPr>
      </w:pPr>
      <w:r w:rsidRPr="00DB5D0D">
        <w:rPr>
          <w:color w:val="000000" w:themeColor="text1"/>
          <w:sz w:val="16"/>
          <w:szCs w:val="16"/>
        </w:rPr>
        <w:t xml:space="preserve">Разведка вновь «не подвела» и проинформировала советское командование о том, что для наступления немцы развернули на голландской, бельгийской и люксембургской границах 90 дивизий, в том числе 15 танковых и моторизованных, да еще 40 дивизий на французской границе (а всего на 10 мая 1940 года, по данным разведки, немцы располагали более чем двумя сотнями дивизий). Действуя под прикрытием примерно девяти тысяч боевых самолетов, широко применяя </w:t>
      </w:r>
      <w:r w:rsidRPr="00DB5D0D">
        <w:rPr>
          <w:iCs/>
          <w:color w:val="000000" w:themeColor="text1"/>
          <w:sz w:val="16"/>
          <w:szCs w:val="16"/>
        </w:rPr>
        <w:t>«новые приемы и методы ведения боевых действий»</w:t>
      </w:r>
      <w:r w:rsidRPr="00DB5D0D">
        <w:rPr>
          <w:color w:val="000000" w:themeColor="text1"/>
          <w:sz w:val="16"/>
          <w:szCs w:val="16"/>
        </w:rPr>
        <w:t xml:space="preserve"> и </w:t>
      </w:r>
      <w:r w:rsidRPr="00DB5D0D">
        <w:rPr>
          <w:iCs/>
          <w:color w:val="000000" w:themeColor="text1"/>
          <w:sz w:val="16"/>
          <w:szCs w:val="16"/>
        </w:rPr>
        <w:t>«новые наступательные средства (тяжелые танки, мотоциклетные части, пикирующие бомбардировщики, авиадесанты)»</w:t>
      </w:r>
      <w:r w:rsidRPr="00DB5D0D">
        <w:rPr>
          <w:color w:val="000000" w:themeColor="text1"/>
          <w:sz w:val="16"/>
          <w:szCs w:val="16"/>
        </w:rPr>
        <w:t xml:space="preserve">, немецкие войска в кратчайшие сроки </w:t>
      </w:r>
      <w:r w:rsidRPr="00DB5D0D">
        <w:rPr>
          <w:iCs/>
          <w:color w:val="000000" w:themeColor="text1"/>
          <w:sz w:val="16"/>
          <w:szCs w:val="16"/>
        </w:rPr>
        <w:t>«проникли в глубь территории Франции, достигли побережья Северной Франции и тем самым отделили бельгийскую группировку союзников от основных сил Франции, окружили бельгийскую группировку союзников численностью до 60–70 дивизий»</w:t>
      </w:r>
      <w:r w:rsidRPr="00DB5D0D">
        <w:rPr>
          <w:color w:val="000000" w:themeColor="text1"/>
          <w:sz w:val="16"/>
          <w:szCs w:val="16"/>
        </w:rPr>
        <w:t xml:space="preserve">, правда, потеряв при этом две тысячи боевых самолетов и около полумиллиона человек убитыми и ранеными. </w:t>
      </w:r>
      <w:r w:rsidRPr="00DB5D0D">
        <w:rPr>
          <w:iCs/>
          <w:color w:val="000000" w:themeColor="text1"/>
          <w:sz w:val="16"/>
          <w:szCs w:val="16"/>
        </w:rPr>
        <w:t>«Лишь в окрестностях Роттердама был произведен десант в 15 тыс. чел, вооруженных пулеметами, легкими орудиями, зенитными орудиями и легкими танками»</w:t>
      </w:r>
      <w:r w:rsidRPr="00DB5D0D">
        <w:rPr>
          <w:color w:val="000000" w:themeColor="text1"/>
          <w:sz w:val="16"/>
          <w:szCs w:val="16"/>
        </w:rPr>
        <w:t>. Укрепления «линии Мажино» вермахт, по мнению советской разведки, взламывал тяжелыми танками, вооруженными 100-мм пушками (правда, данные о боевой массе тяжелых танков разнились — по сведениям одних источников, немецкие тяжелые танки «Т5» и «Т6» весили 60 тонн, другие источники ограничивались «всего лишь» 32 тоннами). Не менее чем 2–3 немецких танковых дивизии, по данным все той же доблестной разведки, имели в своем составе по одному полку тяжелых танков, впрочем, другие источники сообщали о создании двух дивизий из 35-тонных тяжелых танков. Немецкие же мотоциклисты, по мнению товарищей Штирлицев, раскатывали по полям и дорогам Бельгии и Северной Франции группами до шестидесяти тысяч человек</w:t>
      </w:r>
      <w:r w:rsidRPr="00DB5D0D">
        <w:rPr>
          <w:rStyle w:val="a5"/>
          <w:color w:val="000000" w:themeColor="text1"/>
          <w:sz w:val="16"/>
          <w:szCs w:val="16"/>
        </w:rPr>
        <w:t xml:space="preserve"> (12624)</w:t>
      </w:r>
      <w:r w:rsidRPr="00DB5D0D">
        <w:rPr>
          <w:color w:val="000000" w:themeColor="text1"/>
          <w:sz w:val="16"/>
          <w:szCs w:val="16"/>
        </w:rPr>
        <w:t>.</w:t>
      </w:r>
    </w:p>
    <w:p w14:paraId="632FBDAF" w14:textId="77777777" w:rsidR="00A25AD1" w:rsidRPr="00DB5D0D" w:rsidRDefault="00A25AD1" w:rsidP="00DB5D0D">
      <w:pPr>
        <w:pStyle w:val="ae"/>
        <w:spacing w:before="0" w:after="0"/>
        <w:jc w:val="both"/>
        <w:rPr>
          <w:color w:val="000000" w:themeColor="text1"/>
          <w:sz w:val="16"/>
          <w:szCs w:val="16"/>
        </w:rPr>
      </w:pPr>
    </w:p>
    <w:p w14:paraId="398CDA89" w14:textId="77777777" w:rsidR="004F68F0" w:rsidRPr="00DB5D0D" w:rsidRDefault="004F68F0" w:rsidP="00DB5D0D">
      <w:pPr>
        <w:pStyle w:val="Iauiue"/>
        <w:jc w:val="both"/>
        <w:rPr>
          <w:color w:val="000000" w:themeColor="text1"/>
          <w:sz w:val="16"/>
          <w:szCs w:val="16"/>
        </w:rPr>
      </w:pPr>
      <w:r w:rsidRPr="00DB5D0D">
        <w:rPr>
          <w:color w:val="000000" w:themeColor="text1"/>
          <w:sz w:val="16"/>
          <w:szCs w:val="16"/>
        </w:rPr>
        <w:t>В мае 1940 года коллектив ученых и конструкторов ЛФТИ приступил к созданию новой станции для службы ВНОС. Необходимо было перейти от двух антенн к одной, что позволило бы исключить одну автомашину с вращающейся кабиной и системой синхронизации поворота антенн, перейти от вращающейся кабины к вращающейся антенне, повысить надежность станции, упростить ее производство. В работе предусматривалось исследование методов опознавания своих самолетов и самолетов противника (10109).</w:t>
      </w:r>
    </w:p>
    <w:p w14:paraId="6BA88C30" w14:textId="77777777" w:rsidR="004F68F0" w:rsidRPr="00DB5D0D" w:rsidRDefault="004F68F0" w:rsidP="00DB5D0D">
      <w:pPr>
        <w:pStyle w:val="Iauiue"/>
        <w:jc w:val="both"/>
        <w:rPr>
          <w:color w:val="000000" w:themeColor="text1"/>
          <w:sz w:val="16"/>
          <w:szCs w:val="16"/>
        </w:rPr>
      </w:pPr>
    </w:p>
    <w:p w14:paraId="3C17062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5A53AB4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6DDD971" w14:textId="77777777" w:rsidR="00A25AD1" w:rsidRPr="00DB5D0D" w:rsidRDefault="00A25AD1" w:rsidP="00DB5D0D">
      <w:pPr>
        <w:pStyle w:val="a6"/>
        <w:spacing w:before="0" w:after="0"/>
        <w:ind w:left="0" w:right="0"/>
        <w:jc w:val="both"/>
        <w:rPr>
          <w:color w:val="000000" w:themeColor="text1"/>
          <w:sz w:val="16"/>
          <w:szCs w:val="16"/>
        </w:rPr>
      </w:pPr>
      <w:r w:rsidRPr="00DB5D0D">
        <w:rPr>
          <w:color w:val="000000" w:themeColor="text1"/>
          <w:sz w:val="16"/>
          <w:szCs w:val="16"/>
        </w:rPr>
        <w:t>В мае 1940 года НКВД СССР распорядился работникам угольной промышленности вместо паспортов выдавать спецудостоверения. Паспорта хранились в отделах кадров предприятий и выдавались на руки в исключительных случаях (например, для предъявления документа в загсе при перемене фамилии, вступлении в брак или разводе). Этот порядок отменили только в мае 1948 года, возвратив паспорта на руки владельцам. Как и в угольной промышленности, подобное положение в 1940 — 1944 годах распространялось на те отрасли народного хозяйства, предприятия которых отличались особенно тяжелыми условиями труда и испытывали постоянные трудности с рабочими кадрами (главным образом неквалифицированными), — черную и цветную металлургию, химическую промышленность, тяжелую индустрию, судостроение. Выдача удостоверений взамен паспортов существовала на железнодорожном, морском и речном транспорте, в системе Главного управления трудовых резервов (9985).</w:t>
      </w:r>
    </w:p>
    <w:p w14:paraId="17EBB56C" w14:textId="77777777" w:rsidR="00A25AD1" w:rsidRPr="00DB5D0D" w:rsidRDefault="00A25AD1" w:rsidP="00DB5D0D">
      <w:pPr>
        <w:pStyle w:val="a6"/>
        <w:spacing w:before="0" w:after="0"/>
        <w:ind w:left="0" w:right="0"/>
        <w:jc w:val="both"/>
        <w:rPr>
          <w:color w:val="000000" w:themeColor="text1"/>
          <w:sz w:val="16"/>
          <w:szCs w:val="16"/>
        </w:rPr>
      </w:pPr>
    </w:p>
    <w:p w14:paraId="489B9C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Верховный Совет СССР утвердил сопутствующую званию ГСТ Золотую медаль «Серп и Молот» (10667).</w:t>
      </w:r>
    </w:p>
    <w:p w14:paraId="14DEBA9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A7D0B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23FF1BB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CD6A1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экспорт США в СССР упал до рекордно низкого уровня. «Ситуация в отношении нашей торговли с Советским Союзом стала настолько критической, что я вынужден обратить на это ваше внима</w:t>
      </w:r>
      <w:r w:rsidRPr="00DB5D0D">
        <w:rPr>
          <w:rFonts w:ascii="Times New Roman" w:hAnsi="Times New Roman"/>
          <w:color w:val="000000" w:themeColor="text1"/>
          <w:sz w:val="16"/>
          <w:szCs w:val="16"/>
        </w:rPr>
        <w:softHyphen/>
        <w:t>ние», - подчеркивал в служебной записке руководству сотрудник Госдепарта</w:t>
      </w:r>
      <w:r w:rsidRPr="00DB5D0D">
        <w:rPr>
          <w:rFonts w:ascii="Times New Roman" w:hAnsi="Times New Roman"/>
          <w:color w:val="000000" w:themeColor="text1"/>
          <w:sz w:val="16"/>
          <w:szCs w:val="16"/>
        </w:rPr>
        <w:softHyphen/>
        <w:t>мента США Л. Гендерсон, курировавший советские дела (Документы внешней политики. 1940 - 22 июня 1941. Т. XXIII: Кн. 2 (Часть 2). С. 808.). В мемуарах бывше</w:t>
      </w:r>
      <w:r w:rsidRPr="00DB5D0D">
        <w:rPr>
          <w:rFonts w:ascii="Times New Roman" w:hAnsi="Times New Roman"/>
          <w:color w:val="000000" w:themeColor="text1"/>
          <w:sz w:val="16"/>
          <w:szCs w:val="16"/>
        </w:rPr>
        <w:softHyphen/>
        <w:t>го государственного секретаря США К Хэлла отмечается, что летом 1940 года американское правительство, учитывая сложность международной обстанов</w:t>
      </w:r>
      <w:r w:rsidRPr="00DB5D0D">
        <w:rPr>
          <w:rFonts w:ascii="Times New Roman" w:hAnsi="Times New Roman"/>
          <w:color w:val="000000" w:themeColor="text1"/>
          <w:sz w:val="16"/>
          <w:szCs w:val="16"/>
        </w:rPr>
        <w:softHyphen/>
        <w:t>ки, приняло решение начать зондирующие переговоры с советской стороной. В связи с этим заместителю госсекретаря С. Уэллесу было дано указание встретиться с полпредом СССР КА Уманским, чтобы выяснить возможность проведения такого рода переговоров (Документы внешней политики. 1940 - 22 июня 1941. Т. XXIII: Кн. 2 (Часть 2). С. 808.). В итоге с июля по декабрь 1940 года состоялось двенадцать таких встреч, посвященных в том числе и советско-американским контактам в области авиации.</w:t>
      </w:r>
    </w:p>
    <w:p w14:paraId="210664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отечественном сборнике документов внешней политики страны за данный период из двенадцати встреч вообще нет описания по четырем, и с сокращениями дается материал по самой первой, т.е. около 40 % от общего объема в его существующем виде выпадает из возможного рассмотрения, в том числе по трем встречам - четвертой, седьмой, восьмой - неизвестны даже даты. Поэтому в качестве дополнительного материала мы восполь</w:t>
      </w:r>
      <w:r w:rsidRPr="00DB5D0D">
        <w:rPr>
          <w:rFonts w:ascii="Times New Roman" w:hAnsi="Times New Roman"/>
          <w:color w:val="000000" w:themeColor="text1"/>
          <w:sz w:val="16"/>
          <w:szCs w:val="16"/>
        </w:rPr>
        <w:softHyphen/>
        <w:t>зуемся документами из официального издания аналогичного американс</w:t>
      </w:r>
      <w:r w:rsidRPr="00DB5D0D">
        <w:rPr>
          <w:rFonts w:ascii="Times New Roman" w:hAnsi="Times New Roman"/>
          <w:color w:val="000000" w:themeColor="text1"/>
          <w:sz w:val="16"/>
          <w:szCs w:val="16"/>
        </w:rPr>
        <w:softHyphen/>
        <w:t>кого сборника по внешнеполитическим контактам США за 1940 год. Они позволят нам воссоздать атмосферу переговоров в тех случаях, когда со</w:t>
      </w:r>
      <w:r w:rsidRPr="00DB5D0D">
        <w:rPr>
          <w:rFonts w:ascii="Times New Roman" w:hAnsi="Times New Roman"/>
          <w:color w:val="000000" w:themeColor="text1"/>
          <w:sz w:val="16"/>
          <w:szCs w:val="16"/>
        </w:rPr>
        <w:softHyphen/>
        <w:t>ветские документы отсутствуют, или дополнить новой информацией уже имеющуюся.</w:t>
      </w:r>
    </w:p>
    <w:p w14:paraId="0D3796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Первая встреча К.А. Уманского и С. Уэллеса, продолжавшаяся 40 минут, состоялась 27.07.1940 года, но в российском сборнике документов внешней политики она приведена не полностью (в примечании отмечено, что опу</w:t>
      </w:r>
      <w:r w:rsidRPr="00DB5D0D">
        <w:rPr>
          <w:rFonts w:ascii="Times New Roman" w:hAnsi="Times New Roman"/>
          <w:color w:val="000000" w:themeColor="text1"/>
          <w:sz w:val="16"/>
          <w:szCs w:val="16"/>
        </w:rPr>
        <w:softHyphen/>
        <w:t>щена часть беседы, касавшаяся введенной в США системы лицензирования части экспорта и трудностей с советскими закупками на американском рынке). С. Уэллес сделал заявление об улучшении советско-американских отношений. В ответ Уманский отметил, что первой предпосылкой к этому должно стать «очищение отношений от актов дискриминации и наруше</w:t>
      </w:r>
      <w:r w:rsidRPr="00DB5D0D">
        <w:rPr>
          <w:rFonts w:ascii="Times New Roman" w:hAnsi="Times New Roman"/>
          <w:color w:val="000000" w:themeColor="text1"/>
          <w:sz w:val="16"/>
          <w:szCs w:val="16"/>
        </w:rPr>
        <w:softHyphen/>
        <w:t>ния прав и интересов СССР органами Американского правительства» (Документы внешней политики. 1940 - 22 июня 1941. Т. XXIII: Кн. 2 (Часть 2). С. 457-458.).</w:t>
      </w:r>
    </w:p>
    <w:p w14:paraId="28A74D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Анализ этой встречи по американским документам позволяет сделать вывод, что советская сторона и помимо «морального эмбарго» находилась в очень непростой ситуации. Советскому послу (В американском тексте употребляется термин «посол», которым мы также будем пользоваться при ссылке на него.) была вручена копия «Прокла</w:t>
      </w:r>
      <w:r w:rsidRPr="00DB5D0D">
        <w:rPr>
          <w:rFonts w:ascii="Times New Roman" w:hAnsi="Times New Roman"/>
          <w:color w:val="000000" w:themeColor="text1"/>
          <w:sz w:val="16"/>
          <w:szCs w:val="16"/>
        </w:rPr>
        <w:softHyphen/>
        <w:t>мации № 2417», изданной президентом 26 июля 1940 года, о введении контро</w:t>
      </w:r>
      <w:r w:rsidRPr="00DB5D0D">
        <w:rPr>
          <w:rFonts w:ascii="Times New Roman" w:hAnsi="Times New Roman"/>
          <w:color w:val="000000" w:themeColor="text1"/>
          <w:sz w:val="16"/>
          <w:szCs w:val="16"/>
        </w:rPr>
        <w:softHyphen/>
        <w:t>ля над экспортом бензина, тетраэтиловых добавок и их компонентов, стали и металлолома. С. Уэллес заявил советскому послу, что эти законы были приняты единственно по причине требований национальной безопасности, они носят общий характер и одинаково применимы ко всем нациям, не подразумевая дискриминации против какой-то отдельной нации или наций. Посол ответил, что в результате этой прокламации и законов, изданных президентом 2 июля (Речь шла о Законе о контроле над экспортом от 2 июля 1940 г.), корпорация Амторг уже сделала заявку на получение более 1000 экспортных лицензий, но еще ни одна из этих лицензий не была одобрена.</w:t>
      </w:r>
    </w:p>
    <w:p w14:paraId="354E9A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Он заявил, что наиболее безотлагательным требованием России явля</w:t>
      </w:r>
      <w:r w:rsidRPr="00DB5D0D">
        <w:rPr>
          <w:rFonts w:ascii="Times New Roman" w:hAnsi="Times New Roman"/>
          <w:color w:val="000000" w:themeColor="text1"/>
          <w:sz w:val="16"/>
          <w:szCs w:val="16"/>
        </w:rPr>
        <w:softHyphen/>
        <w:t>ются металлообрабатывающие станки, и что те станки, которые уже были выпущены для СССР в США, скорее всего не смогут быть использованы в американской программе по перевооружению, так как они полностью от</w:t>
      </w:r>
      <w:r w:rsidRPr="00DB5D0D">
        <w:rPr>
          <w:rFonts w:ascii="Times New Roman" w:hAnsi="Times New Roman"/>
          <w:color w:val="000000" w:themeColor="text1"/>
          <w:sz w:val="16"/>
          <w:szCs w:val="16"/>
        </w:rPr>
        <w:softHyphen/>
        <w:t>личаются от станков, используемых в США, даже система измерений у них метрическая, и таким образом они не применимы на американских заво</w:t>
      </w:r>
      <w:r w:rsidRPr="00DB5D0D">
        <w:rPr>
          <w:rFonts w:ascii="Times New Roman" w:hAnsi="Times New Roman"/>
          <w:color w:val="000000" w:themeColor="text1"/>
          <w:sz w:val="16"/>
          <w:szCs w:val="16"/>
        </w:rPr>
        <w:softHyphen/>
        <w:t>дах. Далее посол заявил, что хотя США отказываются выдавать экспортные лицензии советской России, лицензии на экспорт тех же самых изделий выдаются воюющим странам.</w:t>
      </w:r>
    </w:p>
    <w:p w14:paraId="2381A5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дальнейшей встречи советский посол заявил, что торговля между США и Россией уже упала до нулевого уровня, и он полагает, что во-первых, должна быть заложена практическая основа, чтобы существовал разумный уровень торговли между двумя государствами, а во-вторых, переговоры между двумя правительствами, добивающимися улучшения отношений, для того чтобы это было плодотворным, должны идти независимо от полити</w:t>
      </w:r>
      <w:r w:rsidRPr="00DB5D0D">
        <w:rPr>
          <w:rFonts w:ascii="Times New Roman" w:hAnsi="Times New Roman"/>
          <w:color w:val="000000" w:themeColor="text1"/>
          <w:sz w:val="16"/>
          <w:szCs w:val="16"/>
        </w:rPr>
        <w:softHyphen/>
        <w:t>ки, проводимой одним из двух правительств по отношению к третьим го</w:t>
      </w:r>
      <w:r w:rsidRPr="00DB5D0D">
        <w:rPr>
          <w:rFonts w:ascii="Times New Roman" w:hAnsi="Times New Roman"/>
          <w:color w:val="000000" w:themeColor="text1"/>
          <w:sz w:val="16"/>
          <w:szCs w:val="16"/>
        </w:rPr>
        <w:softHyphen/>
        <w:t>сударствам.</w:t>
      </w:r>
    </w:p>
    <w:p w14:paraId="3FAE8E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вышеизложенным представляет интерес и раздел V «Примене</w:t>
      </w:r>
      <w:r w:rsidRPr="00DB5D0D">
        <w:rPr>
          <w:rFonts w:ascii="Times New Roman" w:hAnsi="Times New Roman"/>
          <w:color w:val="000000" w:themeColor="text1"/>
          <w:sz w:val="16"/>
          <w:szCs w:val="16"/>
        </w:rPr>
        <w:softHyphen/>
        <w:t>ния «морального» эмбарго от 2 декабря 1939 года относительно поставок планов, заводов, прав на производство или технической информации для производства высокооктанового авиабензина» из Меморандума помощни</w:t>
      </w:r>
      <w:r w:rsidRPr="00DB5D0D">
        <w:rPr>
          <w:rFonts w:ascii="Times New Roman" w:hAnsi="Times New Roman"/>
          <w:color w:val="000000" w:themeColor="text1"/>
          <w:sz w:val="16"/>
          <w:szCs w:val="16"/>
        </w:rPr>
        <w:softHyphen/>
        <w:t>ка начальника Отдела европейских связей Л. Гендерсона (Судя по крайним датам окружающих его документов, Меморандум может быть датирован пери</w:t>
      </w:r>
      <w:r w:rsidRPr="00DB5D0D">
        <w:rPr>
          <w:rFonts w:ascii="Times New Roman" w:hAnsi="Times New Roman"/>
          <w:color w:val="000000" w:themeColor="text1"/>
          <w:sz w:val="16"/>
          <w:szCs w:val="16"/>
        </w:rPr>
        <w:softHyphen/>
        <w:t>одом между 27 июля и 1 августа 1940 г.): «Существует не</w:t>
      </w:r>
      <w:r w:rsidRPr="00DB5D0D">
        <w:rPr>
          <w:rFonts w:ascii="Times New Roman" w:hAnsi="Times New Roman"/>
          <w:color w:val="000000" w:themeColor="text1"/>
          <w:sz w:val="16"/>
          <w:szCs w:val="16"/>
        </w:rPr>
        <w:softHyphen/>
        <w:t>обходимость включения всего этого в акт от 2 июля 1940 года. В настоящий момент этот вопрос обсуждается. Вероятно, что советские коммерческие организации подадут в суд за нарушение контрактов против определенных американских компаний, которые подчинились политике «морального эмбарго», проводимой правительством, и отозвали из СССР инженеров, за</w:t>
      </w:r>
      <w:r w:rsidRPr="00DB5D0D">
        <w:rPr>
          <w:rFonts w:ascii="Times New Roman" w:hAnsi="Times New Roman"/>
          <w:color w:val="000000" w:themeColor="text1"/>
          <w:sz w:val="16"/>
          <w:szCs w:val="16"/>
        </w:rPr>
        <w:softHyphen/>
        <w:t>действованных в возведении заводов авиабензина.</w:t>
      </w:r>
    </w:p>
    <w:p w14:paraId="26ADF6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Представляется, что не будет оснований для препятствий, для того чтобы американские компании, вовлеченные в строительство обычного бензина в СССР (корпорация Люмус) или обычных смазочных масел (компания Макса Миллера), могли бы продолжать эти производства или, если они так захотят, начать новое строительство, послав американских специалистов в Советский Союз»</w:t>
      </w:r>
      <w:r w:rsidRPr="00DB5D0D">
        <w:rPr>
          <w:rFonts w:ascii="Times New Roman" w:hAnsi="Times New Roman"/>
          <w:color w:val="000000" w:themeColor="text1"/>
          <w:sz w:val="16"/>
          <w:szCs w:val="16"/>
          <w:vertAlign w:val="superscript"/>
        </w:rPr>
        <w:t>86</w:t>
      </w:r>
      <w:r w:rsidRPr="00DB5D0D">
        <w:rPr>
          <w:rFonts w:ascii="Times New Roman" w:hAnsi="Times New Roman"/>
          <w:color w:val="000000" w:themeColor="text1"/>
          <w:sz w:val="16"/>
          <w:szCs w:val="16"/>
        </w:rPr>
        <w:t>.</w:t>
      </w:r>
    </w:p>
    <w:p w14:paraId="7AE14A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Вторая встреча, продолжавшаяся 1,5 часа, состоялась 1.08.1940 года. О ней приводится лишь краткое сообщение К.А Уманского в НКИД СССР. Оно завершается фразой: «Изложение сегодняшней встречи следует», однако, к сожалению, самого документа в сборнике нет (Документы внешней политики. 1940 - 22 июня 1941. Т. XXIII. Кн. 1. С. 469-470.). Лишь по свидетельству самого же К.А. Уманского из его телеграммы В.М. Молотову от 8.08.1940 года можно узнать, что он «при второй встрече получил разъяснение лишь в от</w:t>
      </w:r>
      <w:r w:rsidRPr="00DB5D0D">
        <w:rPr>
          <w:rFonts w:ascii="Times New Roman" w:hAnsi="Times New Roman"/>
          <w:color w:val="000000" w:themeColor="text1"/>
          <w:sz w:val="16"/>
          <w:szCs w:val="16"/>
        </w:rPr>
        <w:softHyphen/>
        <w:t>ношении морального эмбарго на техническую помощь по крекингам, тогда как так называемое моральное эмбарго охватывает и авиацию, алюминий и молибден» (Документы внешней политики. 1940 - 22 июня 1941. Т. XXIII. Кн. 1. С. 469-491.). В аналогичной телеграмме от 17.12.1940 года он отмечает по</w:t>
      </w:r>
      <w:r w:rsidRPr="00DB5D0D">
        <w:rPr>
          <w:rFonts w:ascii="Times New Roman" w:hAnsi="Times New Roman"/>
          <w:color w:val="000000" w:themeColor="text1"/>
          <w:sz w:val="16"/>
          <w:szCs w:val="16"/>
        </w:rPr>
        <w:softHyphen/>
        <w:t>лучение ответа на поднятый при второй встрече «вопрос о запрете выезда в СССР для монтажа крекингов работников фирмы Юниверсаль Люмус» (Документы внешней политики. 1940 - 22 июня 1941. Т. XXIII. Кн. 1. С. 205.).</w:t>
      </w:r>
    </w:p>
    <w:p w14:paraId="3004FC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явствует из американских документов, на встрече с американской стороны помимо С. Уэллеса присутствовали также политический советник Джеймс Данн и упоминавшийся выше помощник начальника Отдела евро</w:t>
      </w:r>
      <w:r w:rsidRPr="00DB5D0D">
        <w:rPr>
          <w:rFonts w:ascii="Times New Roman" w:hAnsi="Times New Roman"/>
          <w:color w:val="000000" w:themeColor="text1"/>
          <w:sz w:val="16"/>
          <w:szCs w:val="16"/>
        </w:rPr>
        <w:softHyphen/>
        <w:t>пейских связей Лой Гендерсон.</w:t>
      </w:r>
    </w:p>
    <w:p w14:paraId="4A4A67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Советский полпред поднял на встрече разные вопросы, в том числе и по поставкам промышленного оборудования, охарактеризовав сложившуюся ситуацию как одну из наиболее сложных проблем в отношениях между двумя странами. В общей сложности 218 заявок, касающихся 327 станков, по-пре</w:t>
      </w:r>
      <w:r w:rsidRPr="00DB5D0D">
        <w:rPr>
          <w:rFonts w:ascii="Times New Roman" w:hAnsi="Times New Roman"/>
          <w:color w:val="000000" w:themeColor="text1"/>
          <w:sz w:val="16"/>
          <w:szCs w:val="16"/>
        </w:rPr>
        <w:softHyphen/>
        <w:t>жнему ожидают решения. Около 4400 тонн станков на сумму более 4 миллио</w:t>
      </w:r>
      <w:r w:rsidRPr="00DB5D0D">
        <w:rPr>
          <w:rFonts w:ascii="Times New Roman" w:hAnsi="Times New Roman"/>
          <w:color w:val="000000" w:themeColor="text1"/>
          <w:sz w:val="16"/>
          <w:szCs w:val="16"/>
        </w:rPr>
        <w:softHyphen/>
        <w:t>нов долларов находятся в доках и складах, ожидая выхода экспортной лицен</w:t>
      </w:r>
      <w:r w:rsidRPr="00DB5D0D">
        <w:rPr>
          <w:rFonts w:ascii="Times New Roman" w:hAnsi="Times New Roman"/>
          <w:color w:val="000000" w:themeColor="text1"/>
          <w:sz w:val="16"/>
          <w:szCs w:val="16"/>
        </w:rPr>
        <w:softHyphen/>
        <w:t>зии. Насколько посол понимает, экспортные лицензии ежедневно продолжа</w:t>
      </w:r>
      <w:r w:rsidRPr="00DB5D0D">
        <w:rPr>
          <w:rFonts w:ascii="Times New Roman" w:hAnsi="Times New Roman"/>
          <w:color w:val="000000" w:themeColor="text1"/>
          <w:sz w:val="16"/>
          <w:szCs w:val="16"/>
        </w:rPr>
        <w:softHyphen/>
        <w:t>ют выдаваться на станки, предназначенные для других стран, а не для СССР. Таким образом, кажется, что Закон об экспортных лицензиях используется как оружие против советско-американской торговли.</w:t>
      </w:r>
    </w:p>
    <w:p w14:paraId="2360DD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определенном отрезке беседы Уманский сказал, что хотел бы подчер</w:t>
      </w:r>
      <w:r w:rsidRPr="00DB5D0D">
        <w:rPr>
          <w:rFonts w:ascii="Times New Roman" w:hAnsi="Times New Roman"/>
          <w:color w:val="000000" w:themeColor="text1"/>
          <w:sz w:val="16"/>
          <w:szCs w:val="16"/>
        </w:rPr>
        <w:softHyphen/>
        <w:t>кнуть те потери, которое советское правительство уже понесло и которые оно продолжает нести от так называемого морального эмбарго, наложен</w:t>
      </w:r>
      <w:r w:rsidRPr="00DB5D0D">
        <w:rPr>
          <w:rFonts w:ascii="Times New Roman" w:hAnsi="Times New Roman"/>
          <w:color w:val="000000" w:themeColor="text1"/>
          <w:sz w:val="16"/>
          <w:szCs w:val="16"/>
        </w:rPr>
        <w:softHyphen/>
        <w:t>ного американским правительством на предоставление техпомощи и экс</w:t>
      </w:r>
      <w:r w:rsidRPr="00DB5D0D">
        <w:rPr>
          <w:rFonts w:ascii="Times New Roman" w:hAnsi="Times New Roman"/>
          <w:color w:val="000000" w:themeColor="text1"/>
          <w:sz w:val="16"/>
          <w:szCs w:val="16"/>
        </w:rPr>
        <w:softHyphen/>
        <w:t>порт в СССР материалов, которые бы позволили советскому правительству расширить свою индустрию по производству авиационного бензина. Ме</w:t>
      </w:r>
      <w:r w:rsidRPr="00DB5D0D">
        <w:rPr>
          <w:rFonts w:ascii="Times New Roman" w:hAnsi="Times New Roman"/>
          <w:color w:val="000000" w:themeColor="text1"/>
          <w:sz w:val="16"/>
          <w:szCs w:val="16"/>
        </w:rPr>
        <w:softHyphen/>
        <w:t>тодика реализации этого эмбарго оказалась таковой, что работающие по контракту американские инженеры, оказывавшие помощь в конструиро</w:t>
      </w:r>
      <w:r w:rsidRPr="00DB5D0D">
        <w:rPr>
          <w:rFonts w:ascii="Times New Roman" w:hAnsi="Times New Roman"/>
          <w:color w:val="000000" w:themeColor="text1"/>
          <w:sz w:val="16"/>
          <w:szCs w:val="16"/>
        </w:rPr>
        <w:softHyphen/>
        <w:t>вании заводов авиабензина в СССР, были отозваны домой, а американские фирмы, ранее заключившие контракты с советскими организациями, были вынуждены разорвать эти соглашения. Вплоть до настоящего времени эти фирмы отказываются вернуть американских инженеров обратно в СССР для завершения создания заводов на основании того, что Госдепартамент не выдает им требуемые паспорта. Уэллес отметил, что в данном случае су</w:t>
      </w:r>
      <w:r w:rsidRPr="00DB5D0D">
        <w:rPr>
          <w:rFonts w:ascii="Times New Roman" w:hAnsi="Times New Roman"/>
          <w:color w:val="000000" w:themeColor="text1"/>
          <w:sz w:val="16"/>
          <w:szCs w:val="16"/>
        </w:rPr>
        <w:softHyphen/>
        <w:t>ществуют две проблемы - одна с эмбарго, а другая с паспортами. Уманский согласился, что их две, но отметил, что они тесно связаны между собой.</w:t>
      </w:r>
    </w:p>
    <w:p w14:paraId="561F62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видим, на второй встрече проблема морального эмбарго поднима</w:t>
      </w:r>
      <w:r w:rsidRPr="00DB5D0D">
        <w:rPr>
          <w:rFonts w:ascii="Times New Roman" w:hAnsi="Times New Roman"/>
          <w:color w:val="000000" w:themeColor="text1"/>
          <w:sz w:val="16"/>
          <w:szCs w:val="16"/>
        </w:rPr>
        <w:softHyphen/>
        <w:t>лась, но решена не была.</w:t>
      </w:r>
    </w:p>
    <w:p w14:paraId="0D13B0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Чрезвычайно насыщенной событиями была третья встреча, состоявшая</w:t>
      </w:r>
      <w:r w:rsidRPr="00DB5D0D">
        <w:rPr>
          <w:rFonts w:ascii="Times New Roman" w:hAnsi="Times New Roman"/>
          <w:color w:val="000000" w:themeColor="text1"/>
          <w:sz w:val="16"/>
          <w:szCs w:val="16"/>
        </w:rPr>
        <w:softHyphen/>
        <w:t>ся 07.08.1940 года и продолжавшаяся 2 часа. Она началась с вопроса о про</w:t>
      </w:r>
      <w:r w:rsidRPr="00DB5D0D">
        <w:rPr>
          <w:rFonts w:ascii="Times New Roman" w:hAnsi="Times New Roman"/>
          <w:color w:val="000000" w:themeColor="text1"/>
          <w:sz w:val="16"/>
          <w:szCs w:val="16"/>
        </w:rPr>
        <w:softHyphen/>
        <w:t>длении торгового соглашения. КА Уманский в телеграмме В.М. Молотову от 8.08.1940 года сообщил, что в ответ на поздравления С. Уэллеса по поводу продления соглашения, он добавил, «что нам не следует обольщаться, ибо со</w:t>
      </w:r>
      <w:r w:rsidRPr="00DB5D0D">
        <w:rPr>
          <w:rFonts w:ascii="Times New Roman" w:hAnsi="Times New Roman"/>
          <w:color w:val="000000" w:themeColor="text1"/>
          <w:sz w:val="16"/>
          <w:szCs w:val="16"/>
        </w:rPr>
        <w:softHyphen/>
        <w:t>глашение заключено на суженной базе, поскольку им не устранены лицензи</w:t>
      </w:r>
      <w:r w:rsidRPr="00DB5D0D">
        <w:rPr>
          <w:rFonts w:ascii="Times New Roman" w:hAnsi="Times New Roman"/>
          <w:color w:val="000000" w:themeColor="text1"/>
          <w:sz w:val="16"/>
          <w:szCs w:val="16"/>
        </w:rPr>
        <w:softHyphen/>
        <w:t>онные ограничения». Второй пункт встречи был посвящен ответу американ</w:t>
      </w:r>
      <w:r w:rsidRPr="00DB5D0D">
        <w:rPr>
          <w:rFonts w:ascii="Times New Roman" w:hAnsi="Times New Roman"/>
          <w:color w:val="000000" w:themeColor="text1"/>
          <w:sz w:val="16"/>
          <w:szCs w:val="16"/>
        </w:rPr>
        <w:softHyphen/>
        <w:t>ской стороны на вопрос о лицензиях. В соответствии с обещанием, данным советскому полпреду 2 августа, С. Уэллес вручил КА Уманскому два списка на 66 страниц, первый из которых включал перечень товаров на общую сумму 1 064 000 долларов, задержанных американским правительством, а второй -на сумму 3317 040 долларов - включал перечень товаров, на которые было разрешено выдать лицензии. КА. Уманский отмечал: «Заявил Уэллесу, что считаю его ответ по вопросу о лицензиях, означающих реквизицию около четверти наших грузов, неудовлетворительным и противоречащим завере</w:t>
      </w:r>
      <w:r w:rsidRPr="00DB5D0D">
        <w:rPr>
          <w:rFonts w:ascii="Times New Roman" w:hAnsi="Times New Roman"/>
          <w:color w:val="000000" w:themeColor="text1"/>
          <w:sz w:val="16"/>
          <w:szCs w:val="16"/>
        </w:rPr>
        <w:softHyphen/>
        <w:t>нию о желании упорядочить торговые и иные отношения и расширить базу торговли. Мне непонятно, почему при выполнении оборонной программы Американское правительство... считает необходимым выполнить эту про</w:t>
      </w:r>
      <w:r w:rsidRPr="00DB5D0D">
        <w:rPr>
          <w:rFonts w:ascii="Times New Roman" w:hAnsi="Times New Roman"/>
          <w:color w:val="000000" w:themeColor="text1"/>
          <w:sz w:val="16"/>
          <w:szCs w:val="16"/>
        </w:rPr>
        <w:softHyphen/>
        <w:t>грамму за счет советских станков, в которые уже вложены наши деньги и силы наших людей. Количественная пропорция между задерживаемым и разрешенным оборудованием представляется мне неприемлемой, что же ка</w:t>
      </w:r>
      <w:r w:rsidRPr="00DB5D0D">
        <w:rPr>
          <w:rFonts w:ascii="Times New Roman" w:hAnsi="Times New Roman"/>
          <w:color w:val="000000" w:themeColor="text1"/>
          <w:sz w:val="16"/>
          <w:szCs w:val="16"/>
        </w:rPr>
        <w:softHyphen/>
        <w:t>сается качественной, то должен посоветоваться с экспертами и только после этого буду иметь точную картину, которую передам своему правительству». Обсуждая третий пункт встречи - моральное эмбарго, в ответ на сообщение С. Уэллеса, что вопрос о нем для американского правительства «сейчас сто</w:t>
      </w:r>
      <w:r w:rsidRPr="00DB5D0D">
        <w:rPr>
          <w:rFonts w:ascii="Times New Roman" w:hAnsi="Times New Roman"/>
          <w:color w:val="000000" w:themeColor="text1"/>
          <w:sz w:val="16"/>
          <w:szCs w:val="16"/>
        </w:rPr>
        <w:softHyphen/>
        <w:t>ит по-новому», КА Уманский «заявил ему, что недостаточно заявлять об этом мне в кабинете, акты морального эмбарго были публичными, их аннулиро</w:t>
      </w:r>
      <w:r w:rsidRPr="00DB5D0D">
        <w:rPr>
          <w:rFonts w:ascii="Times New Roman" w:hAnsi="Times New Roman"/>
          <w:color w:val="000000" w:themeColor="text1"/>
          <w:sz w:val="16"/>
          <w:szCs w:val="16"/>
        </w:rPr>
        <w:softHyphen/>
        <w:t>вание в отношении СССР должно быть публичным же». Пятый пункт встре</w:t>
      </w:r>
      <w:r w:rsidRPr="00DB5D0D">
        <w:rPr>
          <w:rFonts w:ascii="Times New Roman" w:hAnsi="Times New Roman"/>
          <w:color w:val="000000" w:themeColor="text1"/>
          <w:sz w:val="16"/>
          <w:szCs w:val="16"/>
        </w:rPr>
        <w:softHyphen/>
        <w:t>чи был посвящен вопросу о режиме советских инженеров на заводах США, а конкретно - положению советской комиссии на авиамоторном заводе Райта. «Указал, что дискриминация налицо, - сообщал КА Уманский, - ибо китайские инженеры, также действующие по договору техпомощи, допуска</w:t>
      </w:r>
      <w:r w:rsidRPr="00DB5D0D">
        <w:rPr>
          <w:rFonts w:ascii="Times New Roman" w:hAnsi="Times New Roman"/>
          <w:color w:val="000000" w:themeColor="text1"/>
          <w:sz w:val="16"/>
          <w:szCs w:val="16"/>
        </w:rPr>
        <w:softHyphen/>
        <w:t>ются в цеха, без чего техпомощь - фикция» (Документы внешней политики. Т. XXIII. Кн. 1. С. 489-492).</w:t>
      </w:r>
    </w:p>
    <w:p w14:paraId="4770C2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ключевые пункты третьей встречи советского полпреда в США с заместителем госсекретаря США касались проблемы закупок СССР в США военных материалов, в том числе и авиационных, а также контактов советских авиаспециалистов с авиапредприятиями США, затрудненных в связи с действием морального эмбарго.</w:t>
      </w:r>
    </w:p>
    <w:p w14:paraId="4BE40D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американским документам, помимо С. Уэллеса и К. Уманско-го на встрече присутствовали начальник Отдела европейских связей Рэй Аттертон и Лой Гендерсон. Советский посол прямо заявил, касаясь темы морального эмбарго, что «советская промышленность понесла серьезный ущерб в результате невозможности получения американской технической помощи для создания заводов авиабензина, прекращения поставок молиб</w:t>
      </w:r>
      <w:r w:rsidRPr="00DB5D0D">
        <w:rPr>
          <w:rFonts w:ascii="Times New Roman" w:hAnsi="Times New Roman"/>
          <w:color w:val="000000" w:themeColor="text1"/>
          <w:sz w:val="16"/>
          <w:szCs w:val="16"/>
        </w:rPr>
        <w:softHyphen/>
        <w:t>дена и невозможности получения новейших моделей американских само</w:t>
      </w:r>
      <w:r w:rsidRPr="00DB5D0D">
        <w:rPr>
          <w:rFonts w:ascii="Times New Roman" w:hAnsi="Times New Roman"/>
          <w:color w:val="000000" w:themeColor="text1"/>
          <w:sz w:val="16"/>
          <w:szCs w:val="16"/>
        </w:rPr>
        <w:softHyphen/>
        <w:t>летов, которые уже закупались в течение многих лет. Наихудшим результа</w:t>
      </w:r>
      <w:r w:rsidRPr="00DB5D0D">
        <w:rPr>
          <w:rFonts w:ascii="Times New Roman" w:hAnsi="Times New Roman"/>
          <w:color w:val="000000" w:themeColor="text1"/>
          <w:sz w:val="16"/>
          <w:szCs w:val="16"/>
        </w:rPr>
        <w:softHyphen/>
        <w:t>том морального эмбарго, однако, был тот эффект, который оно возымело на поведение американского бизнеса в советской торговле». Посол отме</w:t>
      </w:r>
      <w:r w:rsidRPr="00DB5D0D">
        <w:rPr>
          <w:rFonts w:ascii="Times New Roman" w:hAnsi="Times New Roman"/>
          <w:color w:val="000000" w:themeColor="text1"/>
          <w:sz w:val="16"/>
          <w:szCs w:val="16"/>
        </w:rPr>
        <w:softHyphen/>
        <w:t>тил трудности, с которыми встретились советские инженеры на авиацион</w:t>
      </w:r>
      <w:r w:rsidRPr="00DB5D0D">
        <w:rPr>
          <w:rFonts w:ascii="Times New Roman" w:hAnsi="Times New Roman"/>
          <w:color w:val="000000" w:themeColor="text1"/>
          <w:sz w:val="16"/>
          <w:szCs w:val="16"/>
        </w:rPr>
        <w:softHyphen/>
        <w:t>ном заводе Райта в Паттерсоне, штат Нью-Джерси.</w:t>
      </w:r>
    </w:p>
    <w:p w14:paraId="06EA0B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Посол также заявил, что в течение прошлого года было отмечено бес</w:t>
      </w:r>
      <w:r w:rsidRPr="00DB5D0D">
        <w:rPr>
          <w:rFonts w:ascii="Times New Roman" w:hAnsi="Times New Roman"/>
          <w:color w:val="000000" w:themeColor="text1"/>
          <w:sz w:val="16"/>
          <w:szCs w:val="16"/>
        </w:rPr>
        <w:softHyphen/>
        <w:t>численное количество инцидентов дурного обращения с советскими граж</w:t>
      </w:r>
      <w:r w:rsidRPr="00DB5D0D">
        <w:rPr>
          <w:rFonts w:ascii="Times New Roman" w:hAnsi="Times New Roman"/>
          <w:color w:val="000000" w:themeColor="text1"/>
          <w:sz w:val="16"/>
          <w:szCs w:val="16"/>
        </w:rPr>
        <w:softHyphen/>
        <w:t>данами в США официальных властей штатов и федеральных властей. К сожалению, число этих случаев возрастает. Многие из 160 представителей Амторга, которые недавно выехали из США, сделали это из-за унижения, ко</w:t>
      </w:r>
      <w:r w:rsidRPr="00DB5D0D">
        <w:rPr>
          <w:rFonts w:ascii="Times New Roman" w:hAnsi="Times New Roman"/>
          <w:color w:val="000000" w:themeColor="text1"/>
          <w:sz w:val="16"/>
          <w:szCs w:val="16"/>
        </w:rPr>
        <w:softHyphen/>
        <w:t>торому они подвергались. Некоторые из них открыто говорили послу, что они не могут терпеть то, как с ними обращаются, и не будут жить в стране, в которой они подвергаются таким унижениям. Посол описал в деталях не</w:t>
      </w:r>
      <w:r w:rsidRPr="00DB5D0D">
        <w:rPr>
          <w:rFonts w:ascii="Times New Roman" w:hAnsi="Times New Roman"/>
          <w:color w:val="000000" w:themeColor="text1"/>
          <w:sz w:val="16"/>
          <w:szCs w:val="16"/>
        </w:rPr>
        <w:softHyphen/>
        <w:t>сколько случаев, когда советские инженеры и другие советские граждане были задержаны или арестованы по подозрению федеральными или мес</w:t>
      </w:r>
      <w:r w:rsidRPr="00DB5D0D">
        <w:rPr>
          <w:rFonts w:ascii="Times New Roman" w:hAnsi="Times New Roman"/>
          <w:color w:val="000000" w:themeColor="text1"/>
          <w:sz w:val="16"/>
          <w:szCs w:val="16"/>
        </w:rPr>
        <w:softHyphen/>
        <w:t>тными властями, подвергались обыску, причем обыск проводился в оскор</w:t>
      </w:r>
      <w:r w:rsidRPr="00DB5D0D">
        <w:rPr>
          <w:rFonts w:ascii="Times New Roman" w:hAnsi="Times New Roman"/>
          <w:color w:val="000000" w:themeColor="text1"/>
          <w:sz w:val="16"/>
          <w:szCs w:val="16"/>
        </w:rPr>
        <w:softHyphen/>
        <w:t>бительной манере. Он отметил случай ареста двух инженеров в Питтсбурге, Пенсильвания, и вспомнил недавний инцидент в Балтиморе, при котором федеральная полиция захватила и обыскала багаж советских инженеров (Это были Виктор Чичков и Виктор Корзун. Позже американские власти «замяли» дело.)и заставила одного из них промаршировать по коридорам отеля в одном нижнем белье.</w:t>
      </w:r>
    </w:p>
    <w:p w14:paraId="5BB80B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Четвертая встреча, материалы которой в отечественном сборнике не при</w:t>
      </w:r>
      <w:r w:rsidRPr="00DB5D0D">
        <w:rPr>
          <w:rFonts w:ascii="Times New Roman" w:hAnsi="Times New Roman"/>
          <w:color w:val="000000" w:themeColor="text1"/>
          <w:sz w:val="16"/>
          <w:szCs w:val="16"/>
        </w:rPr>
        <w:softHyphen/>
        <w:t>водятся, состоялась 12 августа 1940 года. С обеих сторон участниками встречи были те же лица, что и в прошлый раз. Одним из ключевых вопросов встречи был вопрос о закупках промышленного оборудования. Советский посол отме</w:t>
      </w:r>
      <w:r w:rsidRPr="00DB5D0D">
        <w:rPr>
          <w:rFonts w:ascii="Times New Roman" w:hAnsi="Times New Roman"/>
          <w:color w:val="000000" w:themeColor="text1"/>
          <w:sz w:val="16"/>
          <w:szCs w:val="16"/>
        </w:rPr>
        <w:softHyphen/>
        <w:t>тил, что некоторые из заказанных станков находятся в США от 5 до 6 месяцев (то есть с начала весны 1940 года). Относительно оборудования, разрешен</w:t>
      </w:r>
      <w:r w:rsidRPr="00DB5D0D">
        <w:rPr>
          <w:rFonts w:ascii="Times New Roman" w:hAnsi="Times New Roman"/>
          <w:color w:val="000000" w:themeColor="text1"/>
          <w:sz w:val="16"/>
          <w:szCs w:val="16"/>
        </w:rPr>
        <w:softHyphen/>
        <w:t>ного к вывозу из США, Уманский отметил, что его состав только частично компенсирует потери СССР в миллионы долларов. Уманский спросил, воз</w:t>
      </w:r>
      <w:r w:rsidRPr="00DB5D0D">
        <w:rPr>
          <w:rFonts w:ascii="Times New Roman" w:hAnsi="Times New Roman"/>
          <w:color w:val="000000" w:themeColor="text1"/>
          <w:sz w:val="16"/>
          <w:szCs w:val="16"/>
        </w:rPr>
        <w:softHyphen/>
        <w:t xml:space="preserve">можно ли пригласить на следующую встречу мистера Лукашева - президента Амторга, который может обсудить различные технические проблемы. Уэллес ответил, что нет причин, по которым мистер Лукашев </w:t>
      </w:r>
      <w:r w:rsidRPr="00DB5D0D">
        <w:rPr>
          <w:rFonts w:ascii="Times New Roman" w:hAnsi="Times New Roman"/>
          <w:color w:val="000000" w:themeColor="text1"/>
          <w:sz w:val="16"/>
          <w:szCs w:val="16"/>
        </w:rPr>
        <w:lastRenderedPageBreak/>
        <w:t>не смог бы присутс</w:t>
      </w:r>
      <w:r w:rsidRPr="00DB5D0D">
        <w:rPr>
          <w:rFonts w:ascii="Times New Roman" w:hAnsi="Times New Roman"/>
          <w:color w:val="000000" w:themeColor="text1"/>
          <w:sz w:val="16"/>
          <w:szCs w:val="16"/>
        </w:rPr>
        <w:softHyphen/>
        <w:t>твовать на встрече. Интересна в связи с этим телеграмма Госсекретаря послу США в СССР. В ней, в частности, говорилось, что в течение августа месяца была проведена серия встреч между советским послом и господином Уэллесом для решения определенных серьезных проблем, в основном коммерческой при</w:t>
      </w:r>
      <w:r w:rsidRPr="00DB5D0D">
        <w:rPr>
          <w:rFonts w:ascii="Times New Roman" w:hAnsi="Times New Roman"/>
          <w:color w:val="000000" w:themeColor="text1"/>
          <w:sz w:val="16"/>
          <w:szCs w:val="16"/>
        </w:rPr>
        <w:softHyphen/>
        <w:t>роды, в советско-американских отношениях. Хотя в некоторых случаях были получены конструктивные результаты, другие проблемы остались нерешен</w:t>
      </w:r>
      <w:r w:rsidRPr="00DB5D0D">
        <w:rPr>
          <w:rFonts w:ascii="Times New Roman" w:hAnsi="Times New Roman"/>
          <w:color w:val="000000" w:themeColor="text1"/>
          <w:sz w:val="16"/>
          <w:szCs w:val="16"/>
        </w:rPr>
        <w:softHyphen/>
        <w:t>ными. По поводу недопущения советских инженеров на авиационный завод Райта говорилось следующее: «В соответствии с требованиями посла были приняты меры в отношении этих инженеров, которые при определенных ог</w:t>
      </w:r>
      <w:r w:rsidRPr="00DB5D0D">
        <w:rPr>
          <w:rFonts w:ascii="Times New Roman" w:hAnsi="Times New Roman"/>
          <w:color w:val="000000" w:themeColor="text1"/>
          <w:sz w:val="16"/>
          <w:szCs w:val="16"/>
        </w:rPr>
        <w:softHyphen/>
        <w:t>раничениях теперь могут получить доступ к различным цехам завода с целью изучения производственных процессов. Думается, что эта проблема теперь решена в удовлетворительном виде для советского посла».</w:t>
      </w:r>
    </w:p>
    <w:p w14:paraId="3E9B5C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15.08.1940 года состоялась пятая встреча КА Уманского и С. Уэллеса, при</w:t>
      </w:r>
      <w:r w:rsidRPr="00DB5D0D">
        <w:rPr>
          <w:rFonts w:ascii="Times New Roman" w:hAnsi="Times New Roman"/>
          <w:color w:val="000000" w:themeColor="text1"/>
          <w:sz w:val="16"/>
          <w:szCs w:val="16"/>
        </w:rPr>
        <w:softHyphen/>
        <w:t>чем в торговой части переговоров с советской стороны принял участие пре</w:t>
      </w:r>
      <w:r w:rsidRPr="00DB5D0D">
        <w:rPr>
          <w:rFonts w:ascii="Times New Roman" w:hAnsi="Times New Roman"/>
          <w:color w:val="000000" w:themeColor="text1"/>
          <w:sz w:val="16"/>
          <w:szCs w:val="16"/>
        </w:rPr>
        <w:softHyphen/>
        <w:t>зидент Амторга Лукашев. С американской же стороны никаких изменений в составе участников по сравнению с предыдущей встречей не было.</w:t>
      </w:r>
    </w:p>
    <w:p w14:paraId="694780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Уэллес вручил КА. Уманскому списки запрещенного и разрешенного к вывозу оборудования. Из советских заявок на сумму около 15,5 млн долла</w:t>
      </w:r>
      <w:r w:rsidRPr="00DB5D0D">
        <w:rPr>
          <w:rFonts w:ascii="Times New Roman" w:hAnsi="Times New Roman"/>
          <w:color w:val="000000" w:themeColor="text1"/>
          <w:sz w:val="16"/>
          <w:szCs w:val="16"/>
        </w:rPr>
        <w:softHyphen/>
        <w:t>ров было разрешено к лицензированию товаров на сумму 7058000 долла</w:t>
      </w:r>
      <w:r w:rsidRPr="00DB5D0D">
        <w:rPr>
          <w:rFonts w:ascii="Times New Roman" w:hAnsi="Times New Roman"/>
          <w:color w:val="000000" w:themeColor="text1"/>
          <w:sz w:val="16"/>
          <w:szCs w:val="16"/>
        </w:rPr>
        <w:softHyphen/>
        <w:t>ров, то есть менее половины первоначальной суммы; на остальные заявки был либо наложен запрет (на сумму 3779000 долларов), либо они не были рассмотрены. «Последовал довольно острый обмен мнениями, не внесший ничего нового, в результате которого Уэллес констатировал, что стороны зашли в тупик», - сообщали Уманский и Лукашев в телеграмме в НКИД от 16.08.1940 года. «Не сговорились мы также по вопросу о форме снятия мо</w:t>
      </w:r>
      <w:r w:rsidRPr="00DB5D0D">
        <w:rPr>
          <w:rFonts w:ascii="Times New Roman" w:hAnsi="Times New Roman"/>
          <w:color w:val="000000" w:themeColor="text1"/>
          <w:sz w:val="16"/>
          <w:szCs w:val="16"/>
        </w:rPr>
        <w:softHyphen/>
        <w:t>рального эмбарго», - констатировали они.</w:t>
      </w:r>
    </w:p>
    <w:p w14:paraId="770D27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Подобная информация говорит об остром кризисе в советско-амери</w:t>
      </w:r>
      <w:r w:rsidRPr="00DB5D0D">
        <w:rPr>
          <w:rFonts w:ascii="Times New Roman" w:hAnsi="Times New Roman"/>
          <w:color w:val="000000" w:themeColor="text1"/>
          <w:sz w:val="16"/>
          <w:szCs w:val="16"/>
        </w:rPr>
        <w:softHyphen/>
        <w:t>канских торгово-экономических контактах, касающихся прежде всего во</w:t>
      </w:r>
      <w:r w:rsidRPr="00DB5D0D">
        <w:rPr>
          <w:rFonts w:ascii="Times New Roman" w:hAnsi="Times New Roman"/>
          <w:color w:val="000000" w:themeColor="text1"/>
          <w:sz w:val="16"/>
          <w:szCs w:val="16"/>
        </w:rPr>
        <w:softHyphen/>
        <w:t>енной области и, в частности, области авиации. В течение почти двух меся</w:t>
      </w:r>
      <w:r w:rsidRPr="00DB5D0D">
        <w:rPr>
          <w:rFonts w:ascii="Times New Roman" w:hAnsi="Times New Roman"/>
          <w:color w:val="000000" w:themeColor="text1"/>
          <w:sz w:val="16"/>
          <w:szCs w:val="16"/>
        </w:rPr>
        <w:softHyphen/>
        <w:t>цев эти встречи не проводились. Переговоры прервались из-за значитель</w:t>
      </w:r>
      <w:r w:rsidRPr="00DB5D0D">
        <w:rPr>
          <w:rFonts w:ascii="Times New Roman" w:hAnsi="Times New Roman"/>
          <w:color w:val="000000" w:themeColor="text1"/>
          <w:sz w:val="16"/>
          <w:szCs w:val="16"/>
        </w:rPr>
        <w:softHyphen/>
        <w:t>ного расхождения в позициях сторон. Фактически экономические отноше</w:t>
      </w:r>
      <w:r w:rsidRPr="00DB5D0D">
        <w:rPr>
          <w:rFonts w:ascii="Times New Roman" w:hAnsi="Times New Roman"/>
          <w:color w:val="000000" w:themeColor="text1"/>
          <w:sz w:val="16"/>
          <w:szCs w:val="16"/>
        </w:rPr>
        <w:softHyphen/>
        <w:t>ния оставались в это время замороженными. Только в октябре переговоры были возобновлены.</w:t>
      </w:r>
    </w:p>
    <w:p w14:paraId="4E9EE1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21 / 64 - ОП от 5 октября 1940 года «Вопрос НКВТ» утверждался проект ответной телеграммы К Уманскому (в Вашингтон) и К Лукашеву (в Нью-Йорк) в связи с их переговорами с С. Уэл</w:t>
      </w:r>
      <w:r w:rsidRPr="00DB5D0D">
        <w:rPr>
          <w:rFonts w:ascii="Times New Roman" w:hAnsi="Times New Roman"/>
          <w:color w:val="000000" w:themeColor="text1"/>
          <w:sz w:val="16"/>
          <w:szCs w:val="16"/>
        </w:rPr>
        <w:softHyphen/>
        <w:t>лесом по торговым вопросам. В этом тексте говорилось, что по вопросу о лицензиях на станки Госдепартаменту необходимо было передать сооб</w:t>
      </w:r>
      <w:r w:rsidRPr="00DB5D0D">
        <w:rPr>
          <w:rFonts w:ascii="Times New Roman" w:hAnsi="Times New Roman"/>
          <w:color w:val="000000" w:themeColor="text1"/>
          <w:sz w:val="16"/>
          <w:szCs w:val="16"/>
        </w:rPr>
        <w:softHyphen/>
        <w:t>щение из шести пунктов. В пункте первом сообщалось о том, что советс</w:t>
      </w:r>
      <w:r w:rsidRPr="00DB5D0D">
        <w:rPr>
          <w:rFonts w:ascii="Times New Roman" w:hAnsi="Times New Roman"/>
          <w:color w:val="000000" w:themeColor="text1"/>
          <w:sz w:val="16"/>
          <w:szCs w:val="16"/>
        </w:rPr>
        <w:softHyphen/>
        <w:t>кое правительство считает, что Указ от 6 июля 1940 года не должен иметь применения к советским заказам, которые были выданы фирмам до его опубликования. Подчеркивалось, что применение Указа есть частичное аннулирование торгового соглашения США и СССР. В пунктах 2-5 указыва</w:t>
      </w:r>
      <w:r w:rsidRPr="00DB5D0D">
        <w:rPr>
          <w:rFonts w:ascii="Times New Roman" w:hAnsi="Times New Roman"/>
          <w:color w:val="000000" w:themeColor="text1"/>
          <w:sz w:val="16"/>
          <w:szCs w:val="16"/>
        </w:rPr>
        <w:softHyphen/>
        <w:t>лось, что советская сторона частично согласна отказаться от вывоза части станков, на которые нет лицензий. Также ставился вопрос о компенсации. Пункт шестой проекта гласил: «Все лицензии на вывоз, выдаваемые Пра</w:t>
      </w:r>
      <w:r w:rsidRPr="00DB5D0D">
        <w:rPr>
          <w:rFonts w:ascii="Times New Roman" w:hAnsi="Times New Roman"/>
          <w:color w:val="000000" w:themeColor="text1"/>
          <w:sz w:val="16"/>
          <w:szCs w:val="16"/>
        </w:rPr>
        <w:softHyphen/>
        <w:t>вительством США по размещенным советским заказам на станки и другие предметы и по заказам, которые будут размещены, не могут быть аннулиро</w:t>
      </w:r>
      <w:r w:rsidRPr="00DB5D0D">
        <w:rPr>
          <w:rFonts w:ascii="Times New Roman" w:hAnsi="Times New Roman"/>
          <w:color w:val="000000" w:themeColor="text1"/>
          <w:sz w:val="16"/>
          <w:szCs w:val="16"/>
        </w:rPr>
        <w:softHyphen/>
        <w:t>ваны». В тексте подчеркивалось: «Обращаем Ваше внимание на то, что, как видно из содержания пунктов первого и шестого, они относятся не только к станкам, но и к другому оборудованию». Проект ответной телеграммы был подписан В.М. Молотовым и А.И. Микояном.</w:t>
      </w:r>
    </w:p>
    <w:p w14:paraId="403DE0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7.10.1940 года К А Уманским была отправлена телеграмма В.М. Молотову с сообщением о его шестой встрече с С. Уэллесом, имевшей место в тот же день. «В устной форме я точно передал ему порученное вами заявление», -сообщал КА Уманский. В данном заявлении в первую очередь вопрос шел о задержанных станках. «Уэллес заявил, что он рассчитывает, что сможет скоро передать мне решение Американского правительства по предложе</w:t>
      </w:r>
      <w:r w:rsidRPr="00DB5D0D">
        <w:rPr>
          <w:rFonts w:ascii="Times New Roman" w:hAnsi="Times New Roman"/>
          <w:color w:val="000000" w:themeColor="text1"/>
          <w:sz w:val="16"/>
          <w:szCs w:val="16"/>
        </w:rPr>
        <w:softHyphen/>
        <w:t>ниям советского правительства о станках. Вопроса «морального» эмбарго и других нерешенных вопросов, фигурировавших в переговорах, ни Уэллес, ни я сегодня не касались», - подводил Уманский итоги своей встречи. При</w:t>
      </w:r>
      <w:r w:rsidRPr="00DB5D0D">
        <w:rPr>
          <w:rFonts w:ascii="Times New Roman" w:hAnsi="Times New Roman"/>
          <w:color w:val="000000" w:themeColor="text1"/>
          <w:sz w:val="16"/>
          <w:szCs w:val="16"/>
        </w:rPr>
        <w:softHyphen/>
        <w:t>мечательно, что на документе рукою В.М. Молотова была сделана пометка, свидетельствующая о том внимании, которое уделялось советским прави</w:t>
      </w:r>
      <w:r w:rsidRPr="00DB5D0D">
        <w:rPr>
          <w:rFonts w:ascii="Times New Roman" w:hAnsi="Times New Roman"/>
          <w:color w:val="000000" w:themeColor="text1"/>
          <w:sz w:val="16"/>
          <w:szCs w:val="16"/>
        </w:rPr>
        <w:softHyphen/>
        <w:t>тельством ходу переговоров с американской стороной: «Тов. Шлякову. Где задержалась телеграмма с 7 по 9 октября? В. Молотов».</w:t>
      </w:r>
    </w:p>
    <w:p w14:paraId="20EA3C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Материалы седьмой и восьмой встречи в отечественном сборнике от</w:t>
      </w:r>
      <w:r w:rsidRPr="00DB5D0D">
        <w:rPr>
          <w:rFonts w:ascii="Times New Roman" w:hAnsi="Times New Roman"/>
          <w:color w:val="000000" w:themeColor="text1"/>
          <w:sz w:val="16"/>
          <w:szCs w:val="16"/>
        </w:rPr>
        <w:softHyphen/>
        <w:t>сутствуют. В американских документах нет материалов восьмой встречи, но наличествуют материалы встречи советского полпреда с американски</w:t>
      </w:r>
      <w:r w:rsidRPr="00DB5D0D">
        <w:rPr>
          <w:rFonts w:ascii="Times New Roman" w:hAnsi="Times New Roman"/>
          <w:color w:val="000000" w:themeColor="text1"/>
          <w:sz w:val="16"/>
          <w:szCs w:val="16"/>
        </w:rPr>
        <w:softHyphen/>
        <w:t>ми представителями, состоявшейся 15 октября 1939 года. Встреча прошла без участия Уэллеса. С американской стороны присутствовали Аттертон и Эдвард Пейдж из Отдела европейских связей</w:t>
      </w:r>
      <w:r w:rsidRPr="00DB5D0D">
        <w:rPr>
          <w:rFonts w:ascii="Times New Roman" w:hAnsi="Times New Roman"/>
          <w:color w:val="000000" w:themeColor="text1"/>
          <w:sz w:val="16"/>
          <w:szCs w:val="16"/>
          <w:vertAlign w:val="superscript"/>
        </w:rPr>
        <w:t>108</w:t>
      </w:r>
      <w:r w:rsidRPr="00DB5D0D">
        <w:rPr>
          <w:rFonts w:ascii="Times New Roman" w:hAnsi="Times New Roman"/>
          <w:color w:val="000000" w:themeColor="text1"/>
          <w:sz w:val="16"/>
          <w:szCs w:val="16"/>
        </w:rPr>
        <w:t>. На этой встрече затраги</w:t>
      </w:r>
      <w:r w:rsidRPr="00DB5D0D">
        <w:rPr>
          <w:rFonts w:ascii="Times New Roman" w:hAnsi="Times New Roman"/>
          <w:color w:val="000000" w:themeColor="text1"/>
          <w:sz w:val="16"/>
          <w:szCs w:val="16"/>
        </w:rPr>
        <w:softHyphen/>
        <w:t>вались разные вопросы. Уманский, в частности, потребовал расследовать дело о заявке на экспорт катализатора для крекинга на сумму 74 тысячи долларов. С этим делом американская сторона обещала разобраться.</w:t>
      </w:r>
    </w:p>
    <w:p w14:paraId="5526F0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Девятая встреча КА Уманского с С. Уэллесом и рядом американских представителей (Аттертоном, полковником Максуэллом, Пейджем) состо</w:t>
      </w:r>
      <w:r w:rsidRPr="00DB5D0D">
        <w:rPr>
          <w:rFonts w:ascii="Times New Roman" w:hAnsi="Times New Roman"/>
          <w:color w:val="000000" w:themeColor="text1"/>
          <w:sz w:val="16"/>
          <w:szCs w:val="16"/>
        </w:rPr>
        <w:softHyphen/>
        <w:t>ялась 24.10.1940 года. С советской стороны присутствовали также Лукашев (на первой части беседы) и Сельдяков.</w:t>
      </w:r>
    </w:p>
    <w:p w14:paraId="51F658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советским источникам, С. Уэллес вручил КА Уманскому список, из которого следовало: из числа станков и оборудования на сумму 2001000 долларов, изготовленных по заказу СССР, но реквизированных американской стороной, освобождалось заказов на сумму 489000 долларов. «Иными слова</w:t>
      </w:r>
      <w:r w:rsidRPr="00DB5D0D">
        <w:rPr>
          <w:rFonts w:ascii="Times New Roman" w:hAnsi="Times New Roman"/>
          <w:color w:val="000000" w:themeColor="text1"/>
          <w:sz w:val="16"/>
          <w:szCs w:val="16"/>
        </w:rPr>
        <w:softHyphen/>
        <w:t>ми, - констатировал КА Уманский в телеграмме В.М. Молотову и АИ. Мико</w:t>
      </w:r>
      <w:r w:rsidRPr="00DB5D0D">
        <w:rPr>
          <w:rFonts w:ascii="Times New Roman" w:hAnsi="Times New Roman"/>
          <w:color w:val="000000" w:themeColor="text1"/>
          <w:sz w:val="16"/>
          <w:szCs w:val="16"/>
        </w:rPr>
        <w:softHyphen/>
        <w:t>яну от 24.10.1940 года, - Американское правительство освободило в ценнос</w:t>
      </w:r>
      <w:r w:rsidRPr="00DB5D0D">
        <w:rPr>
          <w:rFonts w:ascii="Times New Roman" w:hAnsi="Times New Roman"/>
          <w:color w:val="000000" w:themeColor="text1"/>
          <w:sz w:val="16"/>
          <w:szCs w:val="16"/>
        </w:rPr>
        <w:softHyphen/>
        <w:t>тном выражении на этот раз одну четверть изготовленного оборудования, реквизировав основное». Касаясь запрещенного к вывозу оборудования, он отмечал: «В число реквизированных станков вошли в основном тяжелые и резьбо-фрезерные станки. По машиноимпорту... реквизированы правильные валки и один гидропресс «Фаррель-Бирмингхэм». В лицензиях на авиачасти отказано». КА Уманский подчеркнул: «Я и Лукашев выразили наше глубокое неудовлетворение этим списком. ..Я заявил, что доложу Советскому прави</w:t>
      </w:r>
      <w:r w:rsidRPr="00DB5D0D">
        <w:rPr>
          <w:rFonts w:ascii="Times New Roman" w:hAnsi="Times New Roman"/>
          <w:color w:val="000000" w:themeColor="text1"/>
          <w:sz w:val="16"/>
          <w:szCs w:val="16"/>
        </w:rPr>
        <w:softHyphen/>
        <w:t>тельству о неудовлетворительном решении Американского правительства по вопросу об изготовленном оборудовании, указав, что решение противоречит и его, Уэллеса, заверениям при прошлой встрече (речь идет о восьмой встрече, состоявшейся между 7.10 и 24.10.1940 года, информации о которой в сборни</w:t>
      </w:r>
      <w:r w:rsidRPr="00DB5D0D">
        <w:rPr>
          <w:rFonts w:ascii="Times New Roman" w:hAnsi="Times New Roman"/>
          <w:color w:val="000000" w:themeColor="text1"/>
          <w:sz w:val="16"/>
          <w:szCs w:val="16"/>
        </w:rPr>
        <w:softHyphen/>
        <w:t>ке не приводится. - Прим. авт), и его сегодняшнему заявлению о стремлении Американского правительства «максимально» учитывать интересы Советско</w:t>
      </w:r>
      <w:r w:rsidRPr="00DB5D0D">
        <w:rPr>
          <w:rFonts w:ascii="Times New Roman" w:hAnsi="Times New Roman"/>
          <w:color w:val="000000" w:themeColor="text1"/>
          <w:sz w:val="16"/>
          <w:szCs w:val="16"/>
        </w:rPr>
        <w:softHyphen/>
        <w:t>го правительства». Во время дальнейшей полемики с С. Уэллесом КА Уманский настаивал на этой точке зрения - «как пример того состояния неопределен</w:t>
      </w:r>
      <w:r w:rsidRPr="00DB5D0D">
        <w:rPr>
          <w:rFonts w:ascii="Times New Roman" w:hAnsi="Times New Roman"/>
          <w:color w:val="000000" w:themeColor="text1"/>
          <w:sz w:val="16"/>
          <w:szCs w:val="16"/>
        </w:rPr>
        <w:softHyphen/>
        <w:t>ности, которое мешает развитию торговли, привел вопрос о каталитическом крекинговом оборудовании, по которому не могу получить ясного ответа, хотя возвращаюсь к нему третий раз» (Уманский, в частности, поднимал вопрос об этом оборудовании еще во время второй встречи, происходившей 1.08.1940 года, то есть почти три месяца назад.).</w:t>
      </w:r>
    </w:p>
    <w:p w14:paraId="72BE03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крекинговом оборудовании был поднят сразу же во второй час</w:t>
      </w:r>
      <w:r w:rsidRPr="00DB5D0D">
        <w:rPr>
          <w:rFonts w:ascii="Times New Roman" w:hAnsi="Times New Roman"/>
          <w:color w:val="000000" w:themeColor="text1"/>
          <w:sz w:val="16"/>
          <w:szCs w:val="16"/>
        </w:rPr>
        <w:softHyphen/>
        <w:t>ти беседы, проходившей уже без участия Лукашева и полковника Максуэлла с американской стороны. По этому поводу С Уэллес заявил, что «американское правительство в принципе не возражает против изготовления этого оборудо</w:t>
      </w:r>
      <w:r w:rsidRPr="00DB5D0D">
        <w:rPr>
          <w:rFonts w:ascii="Times New Roman" w:hAnsi="Times New Roman"/>
          <w:color w:val="000000" w:themeColor="text1"/>
          <w:sz w:val="16"/>
          <w:szCs w:val="16"/>
        </w:rPr>
        <w:softHyphen/>
        <w:t>вания фирмой Келлога для СССР», но первой важной предпосылкой для офор</w:t>
      </w:r>
      <w:r w:rsidRPr="00DB5D0D">
        <w:rPr>
          <w:rFonts w:ascii="Times New Roman" w:hAnsi="Times New Roman"/>
          <w:color w:val="000000" w:themeColor="text1"/>
          <w:sz w:val="16"/>
          <w:szCs w:val="16"/>
        </w:rPr>
        <w:softHyphen/>
        <w:t>мления этого разрешения должно стать «снятие морального эмбарго, которое распространяется на оборудование по производству высокооктанового бен</w:t>
      </w:r>
      <w:r w:rsidRPr="00DB5D0D">
        <w:rPr>
          <w:rFonts w:ascii="Times New Roman" w:hAnsi="Times New Roman"/>
          <w:color w:val="000000" w:themeColor="text1"/>
          <w:sz w:val="16"/>
          <w:szCs w:val="16"/>
        </w:rPr>
        <w:softHyphen/>
        <w:t>зина»; после того как в переговорах будет достигнуто соглашение по вопро</w:t>
      </w:r>
      <w:r w:rsidRPr="00DB5D0D">
        <w:rPr>
          <w:rFonts w:ascii="Times New Roman" w:hAnsi="Times New Roman"/>
          <w:color w:val="000000" w:themeColor="text1"/>
          <w:sz w:val="16"/>
          <w:szCs w:val="16"/>
        </w:rPr>
        <w:softHyphen/>
        <w:t>сам, фигурировавшим в этих переговорах, и, как отметил С. Уэллес, «в случае, если тем временем в международной обстановке не произойдет ничего не</w:t>
      </w:r>
      <w:r w:rsidRPr="00DB5D0D">
        <w:rPr>
          <w:rFonts w:ascii="Times New Roman" w:hAnsi="Times New Roman"/>
          <w:color w:val="000000" w:themeColor="text1"/>
          <w:sz w:val="16"/>
          <w:szCs w:val="16"/>
        </w:rPr>
        <w:softHyphen/>
        <w:t>предвиденного», американское правительство «готово завершить переговоры публичным заявлением о том, что причины, вызвавшие введение морального эмбарго, в отношении СССР отпали». Уманский отметил ряд неопределенных формулировок в заявлении Уэллеса, включая «оговорку о «непредвиденных» событиях». В заключение встречи С. Уэллес «предложил встретиться с ним 28 октября для разработки проектов нотами по остальным вопросам».</w:t>
      </w:r>
    </w:p>
    <w:p w14:paraId="7E99B8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Подробных американских материалов об этой встрече нет. Имеющийся советский документ о ней дает важную информацию о состоянии советско-американских торгово-экономических контактов, в первую очередь в военной области (о чем, в частности, свидетельствует присутствие на переговорах пред</w:t>
      </w:r>
      <w:r w:rsidRPr="00DB5D0D">
        <w:rPr>
          <w:rFonts w:ascii="Times New Roman" w:hAnsi="Times New Roman"/>
          <w:color w:val="000000" w:themeColor="text1"/>
          <w:sz w:val="16"/>
          <w:szCs w:val="16"/>
        </w:rPr>
        <w:softHyphen/>
        <w:t>ставителя американских вооруженных сил), по состоянию на конец октября 1940 года. С одной стороны, налицо отрицательное действие американских санкций, включая и моральное эмбарго, на поставки в СССР целой гаммы обору</w:t>
      </w:r>
      <w:r w:rsidRPr="00DB5D0D">
        <w:rPr>
          <w:rFonts w:ascii="Times New Roman" w:hAnsi="Times New Roman"/>
          <w:color w:val="000000" w:themeColor="text1"/>
          <w:sz w:val="16"/>
          <w:szCs w:val="16"/>
        </w:rPr>
        <w:softHyphen/>
        <w:t>дования, готовых частей и технологии, необходимых для производства и функ</w:t>
      </w:r>
      <w:r w:rsidRPr="00DB5D0D">
        <w:rPr>
          <w:rFonts w:ascii="Times New Roman" w:hAnsi="Times New Roman"/>
          <w:color w:val="000000" w:themeColor="text1"/>
          <w:sz w:val="16"/>
          <w:szCs w:val="16"/>
        </w:rPr>
        <w:softHyphen/>
        <w:t>ционирования авиации (станки, авиачасти, крекинговое оборудование для про</w:t>
      </w:r>
      <w:r w:rsidRPr="00DB5D0D">
        <w:rPr>
          <w:rFonts w:ascii="Times New Roman" w:hAnsi="Times New Roman"/>
          <w:color w:val="000000" w:themeColor="text1"/>
          <w:sz w:val="16"/>
          <w:szCs w:val="16"/>
        </w:rPr>
        <w:softHyphen/>
        <w:t>изводства высокооктанового авиабензина). С другой стороны, американскими представителями отмечается не только вероятность поставок в СССР, в частнос</w:t>
      </w:r>
      <w:r w:rsidRPr="00DB5D0D">
        <w:rPr>
          <w:rFonts w:ascii="Times New Roman" w:hAnsi="Times New Roman"/>
          <w:color w:val="000000" w:themeColor="text1"/>
          <w:sz w:val="16"/>
          <w:szCs w:val="16"/>
        </w:rPr>
        <w:softHyphen/>
        <w:t>ти, крекингового оборудования, но и возможность в этом случае (пусть даже и со множеством оговорок) отмены как такового морального эмбарго, блокиру</w:t>
      </w:r>
      <w:r w:rsidRPr="00DB5D0D">
        <w:rPr>
          <w:rFonts w:ascii="Times New Roman" w:hAnsi="Times New Roman"/>
          <w:color w:val="000000" w:themeColor="text1"/>
          <w:sz w:val="16"/>
          <w:szCs w:val="16"/>
        </w:rPr>
        <w:softHyphen/>
        <w:t>ющего эту и множество других заявок Приходится также констатировать, что моральное эмбарго, действующее на момент этой встречи почти 11 месяцев и не отмененное до сих пор, уже сумело нанести существенный ущерб оборонос</w:t>
      </w:r>
      <w:r w:rsidRPr="00DB5D0D">
        <w:rPr>
          <w:rFonts w:ascii="Times New Roman" w:hAnsi="Times New Roman"/>
          <w:color w:val="000000" w:themeColor="text1"/>
          <w:sz w:val="16"/>
          <w:szCs w:val="16"/>
        </w:rPr>
        <w:softHyphen/>
        <w:t>пособности СССР вообще и в области военной авиации в частности.</w:t>
      </w:r>
    </w:p>
    <w:p w14:paraId="6A3936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Десятая встреча Уманского с Уэллесом, на которой больше никто не присутствовал ни с советской, ни с американской стороны, состоялась 1.11.1940 года. Уэллес констатировал достижение по ряду вопросов в резуль</w:t>
      </w:r>
      <w:r w:rsidRPr="00DB5D0D">
        <w:rPr>
          <w:rFonts w:ascii="Times New Roman" w:hAnsi="Times New Roman"/>
          <w:color w:val="000000" w:themeColor="text1"/>
          <w:sz w:val="16"/>
          <w:szCs w:val="16"/>
        </w:rPr>
        <w:softHyphen/>
        <w:t>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DB5D0D">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DB5D0D">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DB5D0D">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2FF58A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же, по сравнению с предшествующей встречей, десятая не вне</w:t>
      </w:r>
      <w:r w:rsidRPr="00DB5D0D">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79BE51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DB5D0D">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DB5D0D">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154551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DB5D0D">
        <w:rPr>
          <w:rFonts w:ascii="Times New Roman" w:hAnsi="Times New Roman"/>
          <w:color w:val="000000" w:themeColor="text1"/>
          <w:sz w:val="16"/>
          <w:szCs w:val="16"/>
        </w:rPr>
        <w:softHyphen/>
        <w:t>ках и машинах. Уманский выразил недовольство результатами работы ко</w:t>
      </w:r>
      <w:r w:rsidRPr="00DB5D0D">
        <w:rPr>
          <w:rFonts w:ascii="Times New Roman" w:hAnsi="Times New Roman"/>
          <w:color w:val="000000" w:themeColor="text1"/>
          <w:sz w:val="16"/>
          <w:szCs w:val="16"/>
        </w:rPr>
        <w:softHyphen/>
        <w:t xml:space="preserve">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w:t>
      </w:r>
      <w:r w:rsidRPr="00DB5D0D">
        <w:rPr>
          <w:rFonts w:ascii="Times New Roman" w:hAnsi="Times New Roman"/>
          <w:color w:val="000000" w:themeColor="text1"/>
          <w:sz w:val="16"/>
          <w:szCs w:val="16"/>
        </w:rPr>
        <w:lastRenderedPageBreak/>
        <w:t>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DB5D0D">
        <w:rPr>
          <w:rFonts w:ascii="Times New Roman" w:hAnsi="Times New Roman"/>
          <w:color w:val="000000" w:themeColor="text1"/>
          <w:sz w:val="16"/>
          <w:szCs w:val="16"/>
        </w:rPr>
        <w:softHyphen/>
        <w:t>кого правительства, переданных мною Уэллесу 7 октября. Уэллес отве</w:t>
      </w:r>
      <w:r w:rsidRPr="00DB5D0D">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DB5D0D">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DB5D0D">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DB5D0D">
        <w:rPr>
          <w:rFonts w:ascii="Times New Roman" w:hAnsi="Times New Roman"/>
          <w:color w:val="000000" w:themeColor="text1"/>
          <w:sz w:val="16"/>
          <w:szCs w:val="16"/>
        </w:rPr>
        <w:softHyphen/>
        <w:t>на на заводе Райта; несмотря на обещание его, Уэллеса, о допуске к озна</w:t>
      </w:r>
      <w:r w:rsidRPr="00DB5D0D">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DB5D0D">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DB5D0D">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DB5D0D">
        <w:rPr>
          <w:rFonts w:ascii="Times New Roman" w:hAnsi="Times New Roman"/>
          <w:color w:val="000000" w:themeColor="text1"/>
          <w:sz w:val="16"/>
          <w:szCs w:val="16"/>
        </w:rPr>
        <w:softHyphen/>
        <w:t>ведки при заводе, в которой последний, игнорируя договор о техничес</w:t>
      </w:r>
      <w:r w:rsidRPr="00DB5D0D">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DB5D0D">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DB5D0D">
        <w:rPr>
          <w:rFonts w:ascii="Times New Roman" w:hAnsi="Times New Roman"/>
          <w:color w:val="000000" w:themeColor="text1"/>
          <w:sz w:val="16"/>
          <w:szCs w:val="16"/>
          <w:vertAlign w:val="superscript"/>
        </w:rPr>
        <w:t>115</w:t>
      </w:r>
      <w:r w:rsidRPr="00DB5D0D">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1F50C1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декабря состоялась 12-я встреча с Уэллесом, длившаяся 2 часа», - со</w:t>
      </w:r>
      <w:r w:rsidRPr="00DB5D0D">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DB5D0D">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DB5D0D">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DB5D0D">
        <w:rPr>
          <w:rFonts w:ascii="Times New Roman" w:hAnsi="Times New Roman"/>
          <w:color w:val="000000" w:themeColor="text1"/>
          <w:sz w:val="16"/>
          <w:szCs w:val="16"/>
        </w:rPr>
        <w:softHyphen/>
        <w:t>ны США. В пересмотре списка участвовали представители промышленнос</w:t>
      </w:r>
      <w:r w:rsidRPr="00DB5D0D">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DB5D0D">
        <w:rPr>
          <w:rFonts w:ascii="Times New Roman" w:hAnsi="Times New Roman"/>
          <w:color w:val="000000" w:themeColor="text1"/>
          <w:sz w:val="16"/>
          <w:szCs w:val="16"/>
        </w:rPr>
        <w:softHyphen/>
        <w:t>ти, авиационной, морской и артиллерийской, в этом оборудовании, аме</w:t>
      </w:r>
      <w:r w:rsidRPr="00DB5D0D">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DB5D0D">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DB5D0D">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DB5D0D">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DB5D0D">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DB5D0D">
        <w:rPr>
          <w:rFonts w:ascii="Times New Roman" w:hAnsi="Times New Roman"/>
          <w:color w:val="000000" w:themeColor="text1"/>
          <w:sz w:val="16"/>
          <w:szCs w:val="16"/>
        </w:rPr>
        <w:softHyphen/>
        <w:t>тельство освобождает лишь около 60% принятого и в основном отгружен</w:t>
      </w:r>
      <w:r w:rsidRPr="00DB5D0D">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DB5D0D">
        <w:rPr>
          <w:rFonts w:ascii="Times New Roman" w:hAnsi="Times New Roman"/>
          <w:color w:val="000000" w:themeColor="text1"/>
          <w:sz w:val="16"/>
          <w:szCs w:val="16"/>
        </w:rPr>
        <w:softHyphen/>
        <w:t>ких заказов, находящихся в производстве, К.А. Уманский подчеркнул: «Кон</w:t>
      </w:r>
      <w:r w:rsidRPr="00DB5D0D">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DB5D0D">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DB5D0D">
        <w:rPr>
          <w:rFonts w:ascii="Times New Roman" w:hAnsi="Times New Roman"/>
          <w:color w:val="000000" w:themeColor="text1"/>
          <w:sz w:val="16"/>
          <w:szCs w:val="16"/>
        </w:rPr>
        <w:softHyphen/>
        <w:t>листы видят оборонный характер освобожденных станков и машин, вклю</w:t>
      </w:r>
      <w:r w:rsidRPr="00DB5D0D">
        <w:rPr>
          <w:rFonts w:ascii="Times New Roman" w:hAnsi="Times New Roman"/>
          <w:color w:val="000000" w:themeColor="text1"/>
          <w:sz w:val="16"/>
          <w:szCs w:val="16"/>
        </w:rPr>
        <w:softHyphen/>
        <w:t>чающих тяжелые станки, снарядные прессы, авиамоторы и т.д., безуслов</w:t>
      </w:r>
      <w:r w:rsidRPr="00DB5D0D">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DB5D0D">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DB5D0D">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78277F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DB5D0D">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DB5D0D">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DB5D0D">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DB5D0D">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DB5D0D">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DB5D0D">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DB5D0D">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DB5D0D">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DB5D0D">
        <w:rPr>
          <w:rFonts w:ascii="Times New Roman" w:hAnsi="Times New Roman"/>
          <w:color w:val="000000" w:themeColor="text1"/>
          <w:sz w:val="16"/>
          <w:szCs w:val="16"/>
        </w:rPr>
        <w:softHyphen/>
        <w:t>роительной и машиностроительной промышленности это исключают».</w:t>
      </w:r>
    </w:p>
    <w:p w14:paraId="1E5C13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Пятый вопрос встречи касался поездок в СССР американских специалис</w:t>
      </w:r>
      <w:r w:rsidRPr="00DB5D0D">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DB5D0D">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DB5D0D">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DB5D0D">
        <w:rPr>
          <w:rFonts w:ascii="Times New Roman" w:hAnsi="Times New Roman"/>
          <w:color w:val="000000" w:themeColor="text1"/>
          <w:sz w:val="16"/>
          <w:szCs w:val="16"/>
          <w:vertAlign w:val="superscript"/>
        </w:rPr>
        <w:t>118</w:t>
      </w:r>
      <w:r w:rsidRPr="00DB5D0D">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4D729A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DB5D0D">
        <w:rPr>
          <w:rFonts w:ascii="Times New Roman" w:hAnsi="Times New Roman"/>
          <w:color w:val="000000" w:themeColor="text1"/>
          <w:sz w:val="16"/>
          <w:szCs w:val="16"/>
          <w:vertAlign w:val="superscript"/>
        </w:rPr>
        <w:t>119</w:t>
      </w:r>
      <w:r w:rsidRPr="00DB5D0D">
        <w:rPr>
          <w:rFonts w:ascii="Times New Roman" w:hAnsi="Times New Roman"/>
          <w:color w:val="000000" w:themeColor="text1"/>
          <w:sz w:val="16"/>
          <w:szCs w:val="16"/>
        </w:rPr>
        <w:t>.</w:t>
      </w:r>
    </w:p>
    <w:p w14:paraId="409217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Телеграмма Уманского от 17.12.1940 года, вероятно, является самым важ</w:t>
      </w:r>
      <w:r w:rsidRPr="00DB5D0D">
        <w:rPr>
          <w:rFonts w:ascii="Times New Roman" w:hAnsi="Times New Roman"/>
          <w:color w:val="000000" w:themeColor="text1"/>
          <w:sz w:val="16"/>
          <w:szCs w:val="16"/>
        </w:rPr>
        <w:softHyphen/>
        <w:t>ным документом, освещающим переговоры советского полпреда с замес</w:t>
      </w:r>
      <w:r w:rsidRPr="00DB5D0D">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DB5D0D">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DB5D0D">
        <w:rPr>
          <w:rFonts w:ascii="Times New Roman" w:hAnsi="Times New Roman"/>
          <w:color w:val="000000" w:themeColor="text1"/>
          <w:sz w:val="16"/>
          <w:szCs w:val="16"/>
        </w:rPr>
        <w:softHyphen/>
        <w:t>ных советско-американских переговоров, проводившихся в 1940 году в пе</w:t>
      </w:r>
      <w:r w:rsidRPr="00DB5D0D">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DB5D0D">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DB5D0D">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3F93D1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Американская сторона отразила ход переговоров встречи в Меморанду</w:t>
      </w:r>
      <w:r w:rsidRPr="00DB5D0D">
        <w:rPr>
          <w:rFonts w:ascii="Times New Roman" w:hAnsi="Times New Roman"/>
          <w:color w:val="000000" w:themeColor="text1"/>
          <w:sz w:val="16"/>
          <w:szCs w:val="16"/>
        </w:rPr>
        <w:softHyphen/>
        <w:t>ме о переговорах, составленном Гендерсоном 16 декабря 1940 года. С аме</w:t>
      </w:r>
      <w:r w:rsidRPr="00DB5D0D">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DB5D0D">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DB5D0D">
        <w:rPr>
          <w:rFonts w:ascii="Times New Roman" w:hAnsi="Times New Roman"/>
          <w:color w:val="000000" w:themeColor="text1"/>
          <w:sz w:val="16"/>
          <w:szCs w:val="16"/>
        </w:rPr>
        <w:softHyphen/>
        <w:t>ки. Обсуждение проблемы морального эмбарго текстуально почти до</w:t>
      </w:r>
      <w:r w:rsidRPr="00DB5D0D">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DB5D0D">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24DC5C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DB5D0D">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DB5D0D">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DB5D0D">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DB5D0D">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34DC5C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DB5D0D">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04CF93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оборудованию, находящемуся в производстве, можно сказать следу</w:t>
      </w:r>
      <w:r w:rsidRPr="00DB5D0D">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DB5D0D">
        <w:rPr>
          <w:rFonts w:ascii="Times New Roman" w:hAnsi="Times New Roman"/>
          <w:color w:val="000000" w:themeColor="text1"/>
          <w:sz w:val="16"/>
          <w:szCs w:val="16"/>
        </w:rPr>
        <w:softHyphen/>
        <w:t>ветственно, 87,5 % не могло быть получено СССР.</w:t>
      </w:r>
    </w:p>
    <w:p w14:paraId="2A6244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16E1E9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поводу режима комиссии НКАПа на заводе Райта: по первую полови</w:t>
      </w:r>
      <w:r w:rsidRPr="00DB5D0D">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DB5D0D">
        <w:rPr>
          <w:rFonts w:ascii="Times New Roman" w:hAnsi="Times New Roman"/>
          <w:color w:val="000000" w:themeColor="text1"/>
          <w:sz w:val="16"/>
          <w:szCs w:val="16"/>
        </w:rPr>
        <w:softHyphen/>
        <w:t>ты комиссии американская сторона не сообщила.</w:t>
      </w:r>
    </w:p>
    <w:p w14:paraId="73D241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DB5D0D">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642971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DB5D0D">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DB5D0D">
        <w:rPr>
          <w:rFonts w:ascii="Times New Roman" w:hAnsi="Times New Roman"/>
          <w:color w:val="000000" w:themeColor="text1"/>
          <w:sz w:val="16"/>
          <w:szCs w:val="16"/>
        </w:rPr>
        <w:softHyphen/>
        <w:t>нии СССР как в экономической, так и в политической области, и послед</w:t>
      </w:r>
      <w:r w:rsidRPr="00DB5D0D">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DB5D0D">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250451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1B5F6D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CCB107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7CDDEB4" w14:textId="77777777" w:rsidR="0088662D" w:rsidRPr="00DB5D0D" w:rsidRDefault="0088662D"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 года начались испытания первого «веллингтона» VI, а вскоре был облетан и его «дублер». Дефекты устранить не удалось, зато потолок достиг 12192 м, это и решило вопрос о запуске в серию. Но 28 планеров Mk.V уже стояли на сборке, и на них остались характерные для этой модификации нос (лишь блистер сделали сферическим, он лучше держал давление), короткое крыло и негерметичная хвостовая турель. Но моторы были новые — «Мерлин» Mk.60 с 2-ступенчатыми ПЦН. Головной «Веллингтон» VIA был сдан в конце 1941 года, но в строевые эскадрильи машина не передавалась, так как не было обученных экипажей.</w:t>
      </w:r>
    </w:p>
    <w:p w14:paraId="4FE56FA3" w14:textId="77777777" w:rsidR="0088662D" w:rsidRPr="00DB5D0D" w:rsidRDefault="0088662D"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«Веллингтон» Mk.VI оказался машиной ненадежной и неэффективной, и если Mk.VIG ограниченно использовались для тренировки штурманов экипажей и операторов наземных станций системы «Обой», то остальные простаивали. Всего «с нуля» было построено 32 серийных Mk.VI, и к началу 1943 года вместе с Mk.VIA в строю числилось 60 «шестерок». Вскоре было решено их с вооружения снять (22852).</w:t>
      </w:r>
    </w:p>
    <w:p w14:paraId="2FF8AEA9" w14:textId="77777777" w:rsidR="0088662D" w:rsidRPr="00DB5D0D" w:rsidRDefault="0088662D" w:rsidP="00DB5D0D">
      <w:pPr>
        <w:shd w:val="clear" w:color="auto" w:fill="FFFFFF"/>
        <w:spacing w:after="0" w:line="240" w:lineRule="auto"/>
        <w:jc w:val="both"/>
        <w:rPr>
          <w:rFonts w:ascii="Times New Roman" w:hAnsi="Times New Roman"/>
          <w:color w:val="0070C0"/>
          <w:sz w:val="16"/>
          <w:szCs w:val="16"/>
        </w:rPr>
      </w:pPr>
    </w:p>
    <w:p w14:paraId="40D5DE17" w14:textId="77777777" w:rsidR="0088662D" w:rsidRPr="00DB5D0D" w:rsidRDefault="008866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дни "битвы за Англию" на "Харрикейны" решили поставить сразу четыре пушки. Это опять был экспериментальный вариант, предназначенный для того, чтобы проверить, а выдержит ли истребитель отдачу четырех орудий. Фирме разрешили использовать один из истребителей "Харрикейн" I, прибывших в Лэнгли на ремонт - у него были искорежены консоли. Для самолета сделали новые крылья, в которые упрятали пушки со старыми магазинами-барабанами. 7 июня 1940 г. Дик Рейнелл оторвал эту машину от взлетной полосы в Лэнгли. Самолет весил 3376 кг и скорость упала до 467 км/ч; но следует учесть, что это был уже потрепанный истребитель с изношенным мотором. За дюжиной полетов в Лэнгли последовал отстрел пушек на земле и в воздухе на полигоне в Боскомб-Даун, и уже 19 августа боевая 151-я эскадрилья приняла машину на войсковые испытания. Документальных свидетельств участия пушечного "Харрикейна" в воздушных боях, увы, не сохранилось (15129).</w:t>
      </w:r>
    </w:p>
    <w:p w14:paraId="67B5E468" w14:textId="77777777" w:rsidR="0088662D" w:rsidRPr="00DB5D0D" w:rsidRDefault="0088662D" w:rsidP="00DB5D0D">
      <w:pPr>
        <w:spacing w:after="0" w:line="240" w:lineRule="auto"/>
        <w:jc w:val="both"/>
        <w:rPr>
          <w:rFonts w:ascii="Times New Roman" w:hAnsi="Times New Roman"/>
          <w:color w:val="000000" w:themeColor="text1"/>
          <w:sz w:val="16"/>
          <w:szCs w:val="16"/>
        </w:rPr>
      </w:pPr>
    </w:p>
    <w:p w14:paraId="480851A2" w14:textId="77777777" w:rsidR="0088662D" w:rsidRPr="00DB5D0D" w:rsidRDefault="0088662D" w:rsidP="00DB5D0D">
      <w:pPr>
        <w:pStyle w:val="book"/>
        <w:ind w:firstLine="0"/>
        <w:jc w:val="both"/>
        <w:rPr>
          <w:color w:val="000000" w:themeColor="text1"/>
          <w:sz w:val="16"/>
          <w:szCs w:val="16"/>
        </w:rPr>
      </w:pPr>
      <w:r w:rsidRPr="00DB5D0D">
        <w:rPr>
          <w:color w:val="000000" w:themeColor="text1"/>
          <w:sz w:val="16"/>
          <w:szCs w:val="16"/>
        </w:rPr>
        <w:t>В мае 1940 г. проходили испытания германской воздушной торпеды Hs 293, выяснилось, что сброшенная бомба начинает быстро отставать от самолета-носителя, и наблюдение за ней оператором-наводчиком становилось затруднительным. В связи с этим решили оснастить планирующую бомбу подвесным жидкостно-реактивным двигателем. Проектирование германской воздушной торпеды Hs 293 было начато в 1939 г. профессором Вагнером в КБ авиазавода «Хеншель» в Шёнефельде близ Берлина. Серийно она производилась на заводах «Хеншель». Воздушная торпеда была создана по нормальной самолетной аэродинамической схеме. В средней части бомбы крепились плоские крылья с элеронами, хвостовое оперение — неподвижный вертикальный стабилизатор внизу и высокорасположенный горизонтальный стабилизатор с рулем высоты площадью 1600 см2. Первые две серийные модификации Hs 293A и Hs 293B имели длину 3,58 м, максимальный диаметр корпуса 480 мм, размах крыльев 2,9 м. Вес ракеты составлял 902 кг. Внизу в подвесном контейнере помещался жидкостно-реактивный двигатель системы Вальтера «109—507» с тягой 590 кг. Двигатель работал на перекиси водорода и перманганате кальция. Время работы двигателя составляло около 10 с. Максимальная скорость ракеты около 600 км/час. Ракета сбрасывалась с самолета на высоте от 400 до 2000 м при скорости около 320 км/ч. В момент окончания работы двигателя скорость ракеты составляла 170—200 м/с (612—720 км/час). Дальность планирования 3,5—18 км. Точность попадания — 50% ракет в пределах квадрата 5 x 5 м при дальности планирования 12 км. Поскольку время планирования у Hs 293 в 5—7 раз превосходило время полета с работающим жидкостно-реактивным двигателем, то немцы назвали систему ракетной планирующей бомбой или просто планирующей бомбой. Так как Hs 293 наиболее эффективно действовала по морским целям, в советской документации конца 1940-х годов Hs 293 фигурировала как «реактивная авиационная торпеда». Наведение Hs 293 осуществлялось с борта самолета-носителя методом «трех точек». В ракетах Hs 293A связь самолета и ракеты производилась по радио. На самолете была установлена передающая аппаратура «Кель», а на ракете — приемная аппаратура «Страсбург». Бортовая сеть Hs 293 питалась от аккумулятора. На Hs 293B управление осуществлялось по проводам. Катушки с проводами устанавливались на консолях крыла, в катушке на самолете-носителе 12 км кабеля, на ракете — 18 км, то есть общая длина 30 км. В качестве управляющих органов у Hs 293 имелись аэродинамические рули, а именно — два элерона на задних кромках крыльев и руль высоты. Одним из главных недостатков визуального сопровождения была зависимость от атмосферных условий. Поэтому на модификациях Hs 293D была установлена телевизионная система «Тоннэ-А». В боевых действиях Hs 293D не применялись. Ракета Hs 293 предназначалась в первую очередь для поражения небронированных кораблей и кораблей с тонкой броней.</w:t>
      </w:r>
    </w:p>
    <w:p w14:paraId="02308441" w14:textId="77777777" w:rsidR="0088662D" w:rsidRPr="00DB5D0D" w:rsidRDefault="0088662D" w:rsidP="00DB5D0D">
      <w:pPr>
        <w:pStyle w:val="book"/>
        <w:ind w:firstLine="0"/>
        <w:jc w:val="both"/>
        <w:rPr>
          <w:color w:val="000000" w:themeColor="text1"/>
          <w:sz w:val="16"/>
          <w:szCs w:val="16"/>
        </w:rPr>
      </w:pPr>
      <w:r w:rsidRPr="00DB5D0D">
        <w:rPr>
          <w:color w:val="000000" w:themeColor="text1"/>
          <w:sz w:val="16"/>
          <w:szCs w:val="16"/>
        </w:rPr>
        <w:t>27 августа 1943 г. состоялась первая успешная атака Hs 293 по морским целям, когда германские бомбардировщики атаковали в Бискайском заливе группу противолодочных кораблей. Английский шлюп «Эгрет» взорвался и затонул от попадания Hs 293, а канадский эсминец «Этабаскан» был серьезно поврежден. Всего воздушными торпедами «Фриц-Х» и Hs 293 было потоплено торговых судов союзников общим тоннажем около 400 тыс. т. В 1944—1945 гг. немецкие самолеты израсходовали в боевых действиях около 2300 ракет Hs 293. В качестве самолетов-носителей обычно использовали бомбардировщики Не 111, Не 177, Do 217 и «Фокке-Вульф 200» (15225).</w:t>
      </w:r>
    </w:p>
    <w:p w14:paraId="1A4E6145" w14:textId="77777777" w:rsidR="0088662D" w:rsidRPr="00DB5D0D" w:rsidRDefault="0088662D" w:rsidP="00DB5D0D">
      <w:pPr>
        <w:pStyle w:val="book"/>
        <w:ind w:firstLine="0"/>
        <w:jc w:val="both"/>
        <w:rPr>
          <w:color w:val="000000" w:themeColor="text1"/>
          <w:sz w:val="16"/>
          <w:szCs w:val="16"/>
        </w:rPr>
      </w:pPr>
    </w:p>
    <w:p w14:paraId="3B3BA22F"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 Германия приостанавливает строительство авианосца Graf Zeppelin. Онн не возобновится до мая 1942 года (20795).</w:t>
      </w:r>
    </w:p>
    <w:p w14:paraId="79C9AB94" w14:textId="77777777" w:rsidR="0077369F" w:rsidRPr="00DB5D0D" w:rsidRDefault="0077369F" w:rsidP="00DB5D0D">
      <w:pPr>
        <w:spacing w:after="0" w:line="240" w:lineRule="auto"/>
        <w:jc w:val="both"/>
        <w:rPr>
          <w:rFonts w:ascii="Times New Roman" w:hAnsi="Times New Roman"/>
          <w:color w:val="0070C0"/>
          <w:sz w:val="16"/>
          <w:szCs w:val="16"/>
        </w:rPr>
      </w:pPr>
    </w:p>
    <w:p w14:paraId="48C84A0C" w14:textId="77777777" w:rsidR="0077369F" w:rsidRPr="00DB5D0D" w:rsidRDefault="0077369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 Хелен Ричи получает диплом инструктора и начинает подготовку кадеты авиационного корпуса армии Соединенных Штатов – став единственной женщиной-инструктором. Происходило это в Питтсбурге-Butler - аэропорту в Батлер, штат Пенсильвания (20795).</w:t>
      </w:r>
    </w:p>
    <w:p w14:paraId="46CD7CCF" w14:textId="77777777" w:rsidR="0077369F" w:rsidRPr="00DB5D0D" w:rsidRDefault="0077369F" w:rsidP="00DB5D0D">
      <w:pPr>
        <w:spacing w:after="0" w:line="240" w:lineRule="auto"/>
        <w:jc w:val="both"/>
        <w:rPr>
          <w:rFonts w:ascii="Times New Roman" w:hAnsi="Times New Roman"/>
          <w:color w:val="0070C0"/>
          <w:sz w:val="16"/>
          <w:szCs w:val="16"/>
        </w:rPr>
      </w:pPr>
    </w:p>
    <w:p w14:paraId="4B693515" w14:textId="77777777" w:rsidR="0088662D" w:rsidRPr="00DB5D0D" w:rsidRDefault="0088662D"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В мае 1940 года президент Рузвельт создал так называемую Консультативную комиссию по вопросам обороны (National Defense Advisory Commission) в составе семи человек, представлявших основные секторы американского «большого бизнеса». Председателем ее был назначен президент автомобильного концерна «Дженерал моторс» У. Кнудсен. Хотя комиссия не обладала официальным статусом, фактически она стала основным органом экономической мобилизации страны, ибо глава государства Рузвельт предоставил ей право размещения контрактов от имени президента США в рамках чрезвычайных ассигнований на военные цели, выделенных конгрессом (21541).</w:t>
      </w:r>
    </w:p>
    <w:p w14:paraId="1E264291" w14:textId="77777777" w:rsidR="0088662D" w:rsidRPr="00DB5D0D" w:rsidRDefault="0088662D" w:rsidP="00DB5D0D">
      <w:pPr>
        <w:shd w:val="clear" w:color="auto" w:fill="FFFFFF"/>
        <w:spacing w:after="0" w:line="240" w:lineRule="auto"/>
        <w:jc w:val="both"/>
        <w:rPr>
          <w:rFonts w:ascii="Times New Roman" w:hAnsi="Times New Roman"/>
          <w:color w:val="0070C0"/>
          <w:sz w:val="16"/>
          <w:szCs w:val="16"/>
        </w:rPr>
      </w:pPr>
    </w:p>
    <w:p w14:paraId="6616C6FF" w14:textId="77777777" w:rsidR="0088662D" w:rsidRPr="00DB5D0D" w:rsidRDefault="0088662D"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 г., когда ситуация на фронте стала критической и командование французской армии решилось использовать Char2С в боевых условиях, это ограничение стало роковым. Когда состав, перевозивший танки в результате немецкой бомбардировки был заблокирован в 40 км от станции Нофшато, экипажам ничего не оставалось, как самим уничтожить танки, так как снять их с железнодорожных тележек они не могли.</w:t>
      </w:r>
    </w:p>
    <w:p w14:paraId="12DD158F" w14:textId="77777777" w:rsidR="0088662D" w:rsidRPr="00DB5D0D" w:rsidRDefault="0088662D"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 весе 70 т и длине 10 м для перевозки для Char 2C по железной дороге вместо обычного размещения на платформе (чего не позволяла большая высота танка) пришлось проектировать специальные железнодорожные тележки. Танк образовал центральную часть «вагона», а спереди и сзади к нему крепились железнодорожные тележки. На сборку и разборку этой конструкции требовалось несколько часов и наличие специальных устройств, чтобы поднимать Char 2C до нужного уровня (22875).</w:t>
      </w:r>
    </w:p>
    <w:p w14:paraId="4690B829" w14:textId="77777777" w:rsidR="0088662D" w:rsidRPr="00DB5D0D" w:rsidRDefault="0088662D" w:rsidP="00DB5D0D">
      <w:pPr>
        <w:shd w:val="clear" w:color="auto" w:fill="FFFFFF"/>
        <w:spacing w:after="0" w:line="240" w:lineRule="auto"/>
        <w:jc w:val="both"/>
        <w:rPr>
          <w:rFonts w:ascii="Times New Roman" w:hAnsi="Times New Roman"/>
          <w:color w:val="0070C0"/>
          <w:sz w:val="16"/>
          <w:szCs w:val="16"/>
        </w:rPr>
      </w:pPr>
    </w:p>
    <w:p w14:paraId="521B52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сержант Дж.Росс на Фоккере Д-21 таранил Ме-109 (304).</w:t>
      </w:r>
    </w:p>
    <w:p w14:paraId="7D297A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45A1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немцы применили десантные планеры DFS-230 для захвата форта Эбен-Эмаель в Бельгии. Доставили 42 сапера (94,45).</w:t>
      </w:r>
    </w:p>
    <w:p w14:paraId="7940823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D009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А.Гитлер разбил Францию (69,72).</w:t>
      </w:r>
    </w:p>
    <w:p w14:paraId="59FE546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F9C4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майских боях 1940 г. Фэйри Бэттл во Франции понесли исключительно тяжелые потери. Советская разведка сообщала, что крупнейшие заводы «Остин» в Ковентри перешли на выпуск четырехмоторных бомбардировщиков, прекратив постройку «Бэттлов» (5360).</w:t>
      </w:r>
    </w:p>
    <w:p w14:paraId="64F2240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5C04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мае 1940 года при наступлении на Западе немцы сосредоточили на фронте в 300 км (от Роттердама до Саарбрюккена) 27 истребительных авиагрупп, в составе которых было, по разным данным, порядка 1 250–1 350 „Мессершмиттов“ [А. C. Степанов. Пиррова победа люфтваффе на Западе // „История авиации“.– 2000.– № 3.]. Противостоящие им истребительные силы союзников (французская, голландская, бельгийская авиация, десять эскадрилий английских ВВС, переброшенных на север Франции) насчитывали самое большее 700–750 самолетов [А. C. Степанов. Пиррова победа люфтваффе на Западе // „История авиации“.– 2000.– № 3.]. Другими словами, на стороне люфтваффе было почти двойное численное превосходство, дополненное техническим превосходством Ме-109 над большей частью истребителей союзников. В такой ситуации бомбардировочные силы люфтваффе (49 авиагрупп, 1985 самолетов всех типов, т. е. почти 7 самолетов на километр фронта вторжения) могли заниматься своим „прямым делом“. Впрочем, и 7 бомбардировщиков на километр – это совсем мало. Предвоенная советская наука предполагала, что в полосе </w:t>
      </w:r>
      <w:r w:rsidRPr="00DB5D0D">
        <w:rPr>
          <w:rFonts w:ascii="Times New Roman" w:hAnsi="Times New Roman"/>
          <w:color w:val="000000" w:themeColor="text1"/>
          <w:sz w:val="16"/>
          <w:szCs w:val="16"/>
        </w:rPr>
        <w:lastRenderedPageBreak/>
        <w:t>наступления армии должны быть созданы плотности в 15–20 самолетов на километр фронта [Русский архив. Великая Отечественная. Накануне войны: Материалы совещания высшего руководящего состава РККА 23–31 декабря 1940 г.– М.: ТЕРРА, 1993.] (11678).</w:t>
      </w:r>
    </w:p>
    <w:p w14:paraId="3D385AD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00D5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 когда начались боевые действия, легкие истребители Кодрон С.714 явно уступали машинам люфтваффе. Однако события развивались для Франции столь неудачно, что каждый боевой самолет был на счету. И не будет преувеличением сказать, что польские пилоты сделали почти невозможное, воюя и побеждая на "Циклонах".</w:t>
      </w:r>
    </w:p>
    <w:p w14:paraId="591AA7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Группа GC 1/145 "Варшава", которая стала единственным подразделением ВВС Франции во Второй мировой войне, укомплектованным только польскими летчиками, за короткий период времени сменила шесть аэродромов базирования, её самолеты совершили несколько десятков боевых вылетов. Но как результативные, в историю вошли только три дня воздушных сражений: 8, 9 и 10 июня 1940 г. В это время самолеты базировались на аэродроме близ города Дрё, что менее чем в сотне километров западнее Парижа.</w:t>
      </w:r>
    </w:p>
    <w:p w14:paraId="6E96F1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пятерка "Кодронов" поднялась на перехват группы из 15-20 немецких Bf.H0 и сбила пять из них, не понеся потерь. При этом лейтенант Червинский записал в свой актив сразу два сбитых самолета. Впрочем, так выглядел этот бой только в воспоминаниях летчиков и боевых отчетах, написанных в те дни. Современные исследователи установили, что в тот день германские ВВС не использовали Bf.H0 в этом районе вообще. Кроме того, запись о пяти сбитых "Мессершмиттах" сделана со слов самих поляков. Более реалистичным выглядит другой вариант итога дня - поляки сбили единственный "Дорнье" Do 17 из большой группы этих бомбардировщиков.</w:t>
      </w:r>
    </w:p>
    <w:p w14:paraId="2FB1CB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17 "Кодронов" взлетели и начали поиск врага севернее в направлении города Руан. Примерно на середине маршрута они встретили настоящую воздушную армаду: около полусотни бомбардировщиков "Дорнье"</w:t>
      </w:r>
    </w:p>
    <w:p w14:paraId="52CAE2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Do 17 под прикрытием двадцати Bf.l09E. В этой неравной схватке поляки сбили один "Дорнье" и три "Мессершмитта". При этом группа понесла и первые боевые потери: трое польских пилотов погибли, один был ранен. Еще три летчика из-за боевых повреждений совершили вынужденные посадки на аэродромах других частей.</w:t>
      </w:r>
    </w:p>
    <w:p w14:paraId="4C4EA2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в подразделении оставалась только дюжина боеспособных "Кодронов", и утром все они были направлены на перехват группы из примерно 15 бомбардировщиков Do 17 и их эскорта - дюжины Bf. 109. И на этот раз удача улыбнулась пилотам "Циклонов". Они сбили два бомбардировщика и один истребитель. В бою был серьезно ранен командир группы GC 1/145 майор Кепинский. На этой должности его сменил капитан Лагуна.</w:t>
      </w:r>
    </w:p>
    <w:p w14:paraId="7FAF8A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бой стал последним и для польской эскадрильи, и для их единственных в своем роде машин. Более сбитых "немцев" на счету авиагруппы GC 1/145 не прибавилось. Уже 19 июня личный состав группы погрузился на пароход и отправился в Англию.</w:t>
      </w:r>
    </w:p>
    <w:p w14:paraId="0C503D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в течение "Битвы за Францию" на истребителях С.714 были одержаны восемь подтвержденных воздушных побед: сбиты четыре Do 17 и четыре Bf.109. При этом в боевой обстановке были потеряны всего четыре "Кодро- на". Вполне удовлетворительное соотношение, особенно для самолета, который и французы, и поляки к началу боевых действий не считали пригодным для ведения воздушного боя. Конечно, имелся и элемент удачи, однако желание польских летчиков сражаться и их боевой опыт в обороне собственной страны сыграли положительную роль при достижении результатов.</w:t>
      </w:r>
    </w:p>
    <w:p w14:paraId="7D5E33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боевых действий группа GC 1/145 потеряла всего 14 "Циклонов", при этом 11 машин были сильно повреждены при вынужденных посадках и уже не восстанавливались. После проведения ремонта еще 13 истребителей могли вернуться в строй, однако до этого дело не дошло. Только три из них имели боевые повреждения, а остальные - неполадки с карбюраторами, шасси, топливной системой и прочие неисправности. Большинство С.714 попали в часть прямо с завода, без должного объема испытаний, поэтому многие их дефекты выявились в процессе эксплуатации.</w:t>
      </w:r>
    </w:p>
    <w:p w14:paraId="21E262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моменту эвакуации из Франции, на месте последнего базирования аэродроме Рошфор, находились 11 самолетов в летном состоянии. Таким образом, всего через польский дивизион прошли 38 истребителей С.714.</w:t>
      </w:r>
    </w:p>
    <w:p w14:paraId="04E48A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чем-то "Кодрон" С.714 вполне соответствовал требованиям к самолетам-истребителям. Так, его нагрузка на крыло составляла 140 кг/мг - у других французских истребителей того времени эта величина была в пределах 150- 170 кг/мг. А вот нагрузка на мощность различалась гораздо существеннее: 3,9 кг/л.с. против 2,5-2,9 кг/л.с. И если нагрузка на крыло во многом определяет скоростные и маневренные качества самолета, то нагрузка на мощность характеризует возможность эти качества реализовать. Малый запас тяги для истребителя крайне нежелателен. В некоторых источниках, тем не менее, "Циклоны" характеризуются, как достаточно маневренные. Возможно, основную роль здесь играет малый вес самолета и малые абсолютные размеры крыла, что улучшает реакцию истребителя на неустановившихся режимы движения (вход-выход из виража и т.п.).</w:t>
      </w:r>
    </w:p>
    <w:p w14:paraId="4EB0FF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Высокие аэродинамические характеристики в сочетании с мотором малой мощности сами по себе неплохи. Но именно они заставляют компоновать самолет без учета требований его эксплуатации. Ограниченный обзор из кабины летчика, неприспособленное к травяным аэродромам шасси, неудобный доступ к агрегатам - каждый из этих факторов может стать решающим в воздушном бою либо при подготовке к вылету.</w:t>
      </w:r>
    </w:p>
    <w:p w14:paraId="7734A4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Взлетно-посадочные режимы были слабым местом "Циклона" и доставляли массу хлопот его пилотам. Миниатюрные колеса были уместны для рекордных самолетов, управляемых опытнейшими летчиками. Но боевая обстановка не делает скидок: неровные грунтовые аэродромы, поспешные рулежки и подъемы на перехват, жесткие посадки требовали более прочных стоек шасси, энергоемких амортизаторов и колес увеличенного диаметра. Не будем забывать, что "Циклон" был первым серийным самолетом фирмы с шасси, убираемым в крыло. Хотя крыло имело посадочные щитки, их площадь была уменьшена из-за пулеметных гондол и в зоне фюзеляжа. Видимо это также снижало их эффективность. Стояночный угол самолета из-за малой высоты стоек шасси был меньше, чем у других одноместных машин, что должно было вносить определенную специфику при взлете.</w:t>
      </w:r>
    </w:p>
    <w:p w14:paraId="398C57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Польские пилоты отмечали многочисленные недостатки "Циклона": строгость в пилотировании, большие взлетные и посадочные дистанции, недостаточную скороподъемность, ненадежную работу механизмов уборки шасси, перегрев двигателя на высоких оборотах. Вместе с тем отмечалась хорошая маневренность и малый радиус виража в сравнении с другими типами истребителей.</w:t>
      </w:r>
    </w:p>
    <w:p w14:paraId="5817D9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началом Второй мировой у ВВС Польши не было скоростных монопланов с убирающимся шасси. А значит - весь опыт полетов на самолетах такого типа поляки приобрели во Франции. Вполне возможно, что личный состав группы GC 1/145 просто не имел необходимого налета для уверенного владения столь "норовистой" машиной, отсюда и большая аварийность.</w:t>
      </w:r>
    </w:p>
    <w:p w14:paraId="2606A3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сожалению, только доработками и небольшими модификациями С.714 нельзя было превратить в самолет с приемлемыми взлетно- посадочными характеристиками. Любые изменения схемы шасси, размеров колес, посадочных щитков требовали изменения всего крыла и проведения дополнительных испытаний. Улучшать "Циклон" не стали: он был неплох на момент своего появления, а в 1940-м году его боевой потенциал оценивался скромно, особенно в сравнении с новыми типами "полноразмерных" истребителей.</w:t>
      </w:r>
    </w:p>
    <w:p w14:paraId="67AC13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Техническое описание</w:t>
      </w:r>
    </w:p>
    <w:p w14:paraId="4F80AD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самолета деревянный, с силовым набором из спруса (канадская ель). Основные силовые элементы - четыре продольных лонжерона и рамные шпангоуты. В передней части на довольно сложной сварной мотораме закреплен 12-цилиндровый двигатель воздушного охлаждения Renault 12R-01. Капот мотоустановки - металлический. Винт"Ратье", изменяемого шага, трех-лопастный.</w:t>
      </w:r>
    </w:p>
    <w:p w14:paraId="1682CA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деревянное, с двумя коробчатыми лонжеронами, неразъемное. Посадочные щитки занимают всю свободную часть задней кромки крыла. Над крылом перед кабиной летчика размещен единственный топливный бак емкостью 210 л. Четыре пулемета MAC 1934 калибра 7,5 мм размещены попарно в плоских обтекателях, выступающих под крылом. Для обслуживания и перезарядки нижняя панель обтекателей откидывалась на петлях вниз-назад, также, как и вооружение. Магазины (вмещающие по 300 патронов на каждый пулемет) занимали пространство между лонжеронами.</w:t>
      </w:r>
    </w:p>
    <w:p w14:paraId="329082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 пилота внешне просторная, однако обеспечивает скромный обзор вперед и назад. Хвостовая часть фюзеляжа загораживает заднюю полусферу, поэтому в боковинах гаргрота выполнены своеобразные "карманы", прикрытые прозрачными панелями. Типичное для тех лет решение (вспомним ЛаГГ-3), которое позволяло летчику хоть немного контролировать воздушную обстановку за спиной. Доступ в кабину осуществлялся через боковые прозрачные щитки фонаря, сдвигавшиеся вниз. Сиденье летчика снабжено механизмом регулировки по высоте. В дополнение к коллиматорному прицелу, перед козырьком кабины размещался резервный кольцевой прицел. Радиостанции отводилось место в закабинном пространстве, при этом ее антенны выдвигались вертикально вверх и вниз во время полета. Брони на самолете не было предусмотрено.</w:t>
      </w:r>
    </w:p>
    <w:p w14:paraId="6CFB36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Стабилизатор деревянный, неразъемный. Основные стойки (фирмы "Месье") убираются в центроплан по направлению к оси самолета.</w:t>
      </w:r>
    </w:p>
    <w:p w14:paraId="7C6D8B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Амортизаторы масляно-пневматические, колеса размером 500x150 мм. Костыль самоориентирующийся, неубирающийся.</w:t>
      </w:r>
    </w:p>
    <w:p w14:paraId="119622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7AC0C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Фирма "Кодрон" и после выпуска С.714 продолжала развивать концепцию легкого истребителя. Однако мощность силовых установок все более возрастала и поэтому новые образцы приближались по своим данным к классическим истребителям. Были построены два прототипа CR.760 с итальянским мотором "Дельта" мощностью 730 л.с. и единственный экземпляр CR.770 с 800-сильным французским "Рено" 626. Конструкция самолетов стала смешанной: ввели сварной ферменный фюзеляж, высотно-скоростные характеристики возросли, мощнее стало вооружение. Впрочем, с началом войны все работы над этими машинами прекратились (11953).</w:t>
      </w:r>
    </w:p>
    <w:p w14:paraId="2E5BCC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1999 году французский энтузиаст авиации Жан Ноан построил реплику последнего из истребителей марки "Кодрон-Рено", под названием Caudron JN 760 (JN - буквально Jean Noan). Конструкция самолета воссоздана по сохранившимся чертежам, двигатель Snecma 12Т мощностью 650 л.с. и шасси взяты с французских самолетов послевоенного выпуска. Самолет с регистрационным кодом F-AZJY эффектно летает и с успехом выставляется на различных авиашоу.</w:t>
      </w:r>
    </w:p>
    <w:p w14:paraId="12C30B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данные истребителя Caudron-Renault С.714 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7D5DF8" w:rsidRPr="00DB5D0D" w14:paraId="6448EFAF" w14:textId="77777777" w:rsidTr="009223E5">
        <w:tc>
          <w:tcPr>
            <w:tcW w:w="5156" w:type="dxa"/>
            <w:tcBorders>
              <w:top w:val="single" w:sz="12" w:space="0" w:color="auto"/>
            </w:tcBorders>
          </w:tcPr>
          <w:p w14:paraId="5F9DE6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крыла (м)</w:t>
            </w:r>
          </w:p>
        </w:tc>
        <w:tc>
          <w:tcPr>
            <w:tcW w:w="5156" w:type="dxa"/>
            <w:tcBorders>
              <w:top w:val="single" w:sz="12" w:space="0" w:color="auto"/>
            </w:tcBorders>
          </w:tcPr>
          <w:p w14:paraId="479CC5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8,97</w:t>
            </w:r>
          </w:p>
        </w:tc>
      </w:tr>
      <w:tr w:rsidR="007D5DF8" w:rsidRPr="00DB5D0D" w14:paraId="3471B106" w14:textId="77777777" w:rsidTr="009223E5">
        <w:tc>
          <w:tcPr>
            <w:tcW w:w="5156" w:type="dxa"/>
          </w:tcPr>
          <w:p w14:paraId="5D2003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Длина (м) </w:t>
            </w:r>
          </w:p>
        </w:tc>
        <w:tc>
          <w:tcPr>
            <w:tcW w:w="5156" w:type="dxa"/>
          </w:tcPr>
          <w:p w14:paraId="3043CF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8,63</w:t>
            </w:r>
          </w:p>
        </w:tc>
      </w:tr>
      <w:tr w:rsidR="007D5DF8" w:rsidRPr="00DB5D0D" w14:paraId="74891646" w14:textId="77777777" w:rsidTr="009223E5">
        <w:tc>
          <w:tcPr>
            <w:tcW w:w="5156" w:type="dxa"/>
          </w:tcPr>
          <w:p w14:paraId="08A0FB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(мг)</w:t>
            </w:r>
          </w:p>
        </w:tc>
        <w:tc>
          <w:tcPr>
            <w:tcW w:w="5156" w:type="dxa"/>
          </w:tcPr>
          <w:p w14:paraId="22DF88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r>
      <w:tr w:rsidR="007D5DF8" w:rsidRPr="00DB5D0D" w14:paraId="595AA94D" w14:textId="77777777" w:rsidTr="009223E5">
        <w:tc>
          <w:tcPr>
            <w:tcW w:w="5156" w:type="dxa"/>
          </w:tcPr>
          <w:p w14:paraId="4A2865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Вес пустого (кг) </w:t>
            </w:r>
          </w:p>
        </w:tc>
        <w:tc>
          <w:tcPr>
            <w:tcW w:w="5156" w:type="dxa"/>
          </w:tcPr>
          <w:p w14:paraId="0AC8ED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r>
      <w:tr w:rsidR="007D5DF8" w:rsidRPr="00DB5D0D" w14:paraId="3A20DD0B" w14:textId="77777777" w:rsidTr="009223E5">
        <w:tc>
          <w:tcPr>
            <w:tcW w:w="5156" w:type="dxa"/>
          </w:tcPr>
          <w:p w14:paraId="061DE3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взлетный (кг)</w:t>
            </w:r>
          </w:p>
        </w:tc>
        <w:tc>
          <w:tcPr>
            <w:tcW w:w="5156" w:type="dxa"/>
          </w:tcPr>
          <w:p w14:paraId="43B2B6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1750</w:t>
            </w:r>
          </w:p>
        </w:tc>
      </w:tr>
      <w:tr w:rsidR="007D5DF8" w:rsidRPr="00DB5D0D" w14:paraId="72C92E12" w14:textId="77777777" w:rsidTr="009223E5">
        <w:tc>
          <w:tcPr>
            <w:tcW w:w="5156" w:type="dxa"/>
          </w:tcPr>
          <w:p w14:paraId="19CCD0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Скорость максимальная у земли (км/ч) </w:t>
            </w:r>
          </w:p>
        </w:tc>
        <w:tc>
          <w:tcPr>
            <w:tcW w:w="5156" w:type="dxa"/>
          </w:tcPr>
          <w:p w14:paraId="615E1E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404</w:t>
            </w:r>
          </w:p>
        </w:tc>
      </w:tr>
      <w:tr w:rsidR="007D5DF8" w:rsidRPr="00DB5D0D" w14:paraId="7A71CABA" w14:textId="77777777" w:rsidTr="009223E5">
        <w:tc>
          <w:tcPr>
            <w:tcW w:w="5156" w:type="dxa"/>
          </w:tcPr>
          <w:p w14:paraId="2AF95B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Скорость максимальная на 4000 м (км/ч) </w:t>
            </w:r>
          </w:p>
        </w:tc>
        <w:tc>
          <w:tcPr>
            <w:tcW w:w="5156" w:type="dxa"/>
          </w:tcPr>
          <w:p w14:paraId="3B45A9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485</w:t>
            </w:r>
          </w:p>
        </w:tc>
      </w:tr>
      <w:tr w:rsidR="007D5DF8" w:rsidRPr="00DB5D0D" w14:paraId="20403850" w14:textId="77777777" w:rsidTr="009223E5">
        <w:tc>
          <w:tcPr>
            <w:tcW w:w="5156" w:type="dxa"/>
          </w:tcPr>
          <w:p w14:paraId="7A7B3E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посадочная (км/ч)</w:t>
            </w:r>
          </w:p>
        </w:tc>
        <w:tc>
          <w:tcPr>
            <w:tcW w:w="5156" w:type="dxa"/>
          </w:tcPr>
          <w:p w14:paraId="6512E0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w:t>
            </w:r>
          </w:p>
        </w:tc>
      </w:tr>
      <w:tr w:rsidR="007D5DF8" w:rsidRPr="00DB5D0D" w14:paraId="47E6632F" w14:textId="77777777" w:rsidTr="009223E5">
        <w:tc>
          <w:tcPr>
            <w:tcW w:w="5156" w:type="dxa"/>
          </w:tcPr>
          <w:p w14:paraId="5ABD14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Н=4000 м (мин)</w:t>
            </w:r>
          </w:p>
        </w:tc>
        <w:tc>
          <w:tcPr>
            <w:tcW w:w="5156" w:type="dxa"/>
          </w:tcPr>
          <w:p w14:paraId="22D7B2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6,75</w:t>
            </w:r>
          </w:p>
        </w:tc>
      </w:tr>
      <w:tr w:rsidR="007D5DF8" w:rsidRPr="00DB5D0D" w14:paraId="32575454" w14:textId="77777777" w:rsidTr="009223E5">
        <w:tc>
          <w:tcPr>
            <w:tcW w:w="5156" w:type="dxa"/>
          </w:tcPr>
          <w:p w14:paraId="6C77E7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Потолок практический (м) </w:t>
            </w:r>
          </w:p>
        </w:tc>
        <w:tc>
          <w:tcPr>
            <w:tcW w:w="5156" w:type="dxa"/>
          </w:tcPr>
          <w:p w14:paraId="4F029D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9100</w:t>
            </w:r>
          </w:p>
        </w:tc>
      </w:tr>
      <w:tr w:rsidR="007D5DF8" w:rsidRPr="00DB5D0D" w14:paraId="5FFBAFDA" w14:textId="77777777" w:rsidTr="009223E5">
        <w:tc>
          <w:tcPr>
            <w:tcW w:w="5156" w:type="dxa"/>
            <w:tcBorders>
              <w:bottom w:val="single" w:sz="12" w:space="0" w:color="auto"/>
            </w:tcBorders>
          </w:tcPr>
          <w:p w14:paraId="5B4AD7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Дальность полета (км) </w:t>
            </w:r>
          </w:p>
        </w:tc>
        <w:tc>
          <w:tcPr>
            <w:tcW w:w="5156" w:type="dxa"/>
            <w:tcBorders>
              <w:bottom w:val="single" w:sz="12" w:space="0" w:color="auto"/>
            </w:tcBorders>
          </w:tcPr>
          <w:p w14:paraId="612EEB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r>
    </w:tbl>
    <w:p w14:paraId="55963A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(11953).</w:t>
      </w:r>
    </w:p>
    <w:p w14:paraId="7F4F277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E2AB01" w14:textId="77777777" w:rsidR="0088662D" w:rsidRPr="00DB5D0D" w:rsidRDefault="0088662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1940 авиация Императорского флота Японии начинает операцию 101, самое большое воздушное наступление во Второй китайско-японской войне к тому времени, стремясь уничтожить китайские ВВС в провинции Сычуань и военные объекты вокруг Чунцина. Наступление продлится до конца лета и будет включать 3715 самолето-вылкта, 182 рейда и сброс более 2000 тонн (1814 388 кг) бомб (20795).</w:t>
      </w:r>
    </w:p>
    <w:p w14:paraId="67C72C16" w14:textId="77777777" w:rsidR="0088662D" w:rsidRPr="00DB5D0D" w:rsidRDefault="0088662D" w:rsidP="00DB5D0D">
      <w:pPr>
        <w:spacing w:after="0" w:line="240" w:lineRule="auto"/>
        <w:jc w:val="both"/>
        <w:rPr>
          <w:rFonts w:ascii="Times New Roman" w:hAnsi="Times New Roman"/>
          <w:color w:val="0070C0"/>
          <w:sz w:val="16"/>
          <w:szCs w:val="16"/>
        </w:rPr>
      </w:pPr>
    </w:p>
    <w:p w14:paraId="1AA956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советские добровольцы сдали 6-й эскадрилье последние 11 ДБ-3. Ки</w:t>
      </w:r>
      <w:r w:rsidRPr="00DB5D0D">
        <w:rPr>
          <w:rFonts w:ascii="Times New Roman" w:hAnsi="Times New Roman"/>
          <w:color w:val="000000" w:themeColor="text1"/>
          <w:sz w:val="16"/>
          <w:szCs w:val="16"/>
        </w:rPr>
        <w:softHyphen/>
        <w:t>тайцы эксплуатировали дальние бом</w:t>
      </w:r>
      <w:r w:rsidRPr="00DB5D0D">
        <w:rPr>
          <w:rFonts w:ascii="Times New Roman" w:hAnsi="Times New Roman"/>
          <w:color w:val="000000" w:themeColor="text1"/>
          <w:sz w:val="16"/>
          <w:szCs w:val="16"/>
        </w:rPr>
        <w:softHyphen/>
        <w:t>бардировщики не очень интенсивно. По отзывам советских инструкторов, китай</w:t>
      </w:r>
      <w:r w:rsidRPr="00DB5D0D">
        <w:rPr>
          <w:rFonts w:ascii="Times New Roman" w:hAnsi="Times New Roman"/>
          <w:color w:val="000000" w:themeColor="text1"/>
          <w:sz w:val="16"/>
          <w:szCs w:val="16"/>
        </w:rPr>
        <w:softHyphen/>
        <w:t>ские экипажи были подготовлены сла</w:t>
      </w:r>
      <w:r w:rsidRPr="00DB5D0D">
        <w:rPr>
          <w:rFonts w:ascii="Times New Roman" w:hAnsi="Times New Roman"/>
          <w:color w:val="000000" w:themeColor="text1"/>
          <w:sz w:val="16"/>
          <w:szCs w:val="16"/>
        </w:rPr>
        <w:softHyphen/>
        <w:t>бо. Систематическая боевая учеба прак</w:t>
      </w:r>
      <w:r w:rsidRPr="00DB5D0D">
        <w:rPr>
          <w:rFonts w:ascii="Times New Roman" w:hAnsi="Times New Roman"/>
          <w:color w:val="000000" w:themeColor="text1"/>
          <w:sz w:val="16"/>
          <w:szCs w:val="16"/>
        </w:rPr>
        <w:softHyphen/>
        <w:t>тически отсутствовала, летали мало, вы</w:t>
      </w:r>
      <w:r w:rsidRPr="00DB5D0D">
        <w:rPr>
          <w:rFonts w:ascii="Times New Roman" w:hAnsi="Times New Roman"/>
          <w:color w:val="000000" w:themeColor="text1"/>
          <w:sz w:val="16"/>
          <w:szCs w:val="16"/>
        </w:rPr>
        <w:softHyphen/>
        <w:t>сотные полеты не осваивались. На ночные налеты японцы начали переходить уже после первых неудач в крупных воздушных боях весной 1938 г. Они бомбили Наньчан во вре</w:t>
      </w:r>
      <w:r w:rsidRPr="00DB5D0D">
        <w:rPr>
          <w:rFonts w:ascii="Times New Roman" w:hAnsi="Times New Roman"/>
          <w:color w:val="000000" w:themeColor="text1"/>
          <w:sz w:val="16"/>
          <w:szCs w:val="16"/>
        </w:rPr>
        <w:softHyphen/>
        <w:t>мя полнолуния преимущественно оди</w:t>
      </w:r>
      <w:r w:rsidRPr="00DB5D0D">
        <w:rPr>
          <w:rFonts w:ascii="Times New Roman" w:hAnsi="Times New Roman"/>
          <w:color w:val="000000" w:themeColor="text1"/>
          <w:sz w:val="16"/>
          <w:szCs w:val="16"/>
        </w:rPr>
        <w:softHyphen/>
        <w:t>ночными самолетами или звеном, и практически без особого ущерба. Ле</w:t>
      </w:r>
      <w:r w:rsidRPr="00DB5D0D">
        <w:rPr>
          <w:rFonts w:ascii="Times New Roman" w:hAnsi="Times New Roman"/>
          <w:color w:val="000000" w:themeColor="text1"/>
          <w:sz w:val="16"/>
          <w:szCs w:val="16"/>
        </w:rPr>
        <w:softHyphen/>
        <w:t>том в боях за Ухань наши доброволь</w:t>
      </w:r>
      <w:r w:rsidRPr="00DB5D0D">
        <w:rPr>
          <w:rFonts w:ascii="Times New Roman" w:hAnsi="Times New Roman"/>
          <w:color w:val="000000" w:themeColor="text1"/>
          <w:sz w:val="16"/>
          <w:szCs w:val="16"/>
        </w:rPr>
        <w:softHyphen/>
        <w:t>цы на ночь рассредоточивали все свои самолеты по запасным аэродромам в окрестностях. В 1938 г. А.С.Благове</w:t>
      </w:r>
      <w:r w:rsidRPr="00DB5D0D">
        <w:rPr>
          <w:rFonts w:ascii="Times New Roman" w:hAnsi="Times New Roman"/>
          <w:color w:val="000000" w:themeColor="text1"/>
          <w:sz w:val="16"/>
          <w:szCs w:val="16"/>
        </w:rPr>
        <w:softHyphen/>
        <w:t>щенский создал первое звено «ночни</w:t>
      </w:r>
      <w:r w:rsidRPr="00DB5D0D">
        <w:rPr>
          <w:rFonts w:ascii="Times New Roman" w:hAnsi="Times New Roman"/>
          <w:color w:val="000000" w:themeColor="text1"/>
          <w:sz w:val="16"/>
          <w:szCs w:val="16"/>
        </w:rPr>
        <w:softHyphen/>
        <w:t>ков», занимавшееся отработкой такти</w:t>
      </w:r>
      <w:r w:rsidRPr="00DB5D0D">
        <w:rPr>
          <w:rFonts w:ascii="Times New Roman" w:hAnsi="Times New Roman"/>
          <w:color w:val="000000" w:themeColor="text1"/>
          <w:sz w:val="16"/>
          <w:szCs w:val="16"/>
        </w:rPr>
        <w:softHyphen/>
        <w:t>ки противодействия японцам. В 1939 г. они стали совершать, в основном, ночные налеты. В марте 1939 г. для за</w:t>
      </w:r>
      <w:r w:rsidRPr="00DB5D0D">
        <w:rPr>
          <w:rFonts w:ascii="Times New Roman" w:hAnsi="Times New Roman"/>
          <w:color w:val="000000" w:themeColor="text1"/>
          <w:sz w:val="16"/>
          <w:szCs w:val="16"/>
        </w:rPr>
        <w:softHyphen/>
        <w:t>щиты временной столицы Китая Чунцина от японских налетов туда перевели всю 4-ю авиагруппу ВВС Китая. Позже к ним присоединилась группа С.П. Суп</w:t>
      </w:r>
      <w:r w:rsidRPr="00DB5D0D">
        <w:rPr>
          <w:rFonts w:ascii="Times New Roman" w:hAnsi="Times New Roman"/>
          <w:color w:val="000000" w:themeColor="text1"/>
          <w:sz w:val="16"/>
          <w:szCs w:val="16"/>
        </w:rPr>
        <w:softHyphen/>
        <w:t>руна (до 50 истребителей), вскоре став</w:t>
      </w:r>
      <w:r w:rsidRPr="00DB5D0D">
        <w:rPr>
          <w:rFonts w:ascii="Times New Roman" w:hAnsi="Times New Roman"/>
          <w:color w:val="000000" w:themeColor="text1"/>
          <w:sz w:val="16"/>
          <w:szCs w:val="16"/>
        </w:rPr>
        <w:softHyphen/>
        <w:t>шая одной из главных «сил сдержива</w:t>
      </w:r>
      <w:r w:rsidRPr="00DB5D0D">
        <w:rPr>
          <w:rFonts w:ascii="Times New Roman" w:hAnsi="Times New Roman"/>
          <w:color w:val="000000" w:themeColor="text1"/>
          <w:sz w:val="16"/>
          <w:szCs w:val="16"/>
        </w:rPr>
        <w:softHyphen/>
        <w:t>ния» японцев. В декабре 1939 г. груп</w:t>
      </w:r>
      <w:r w:rsidRPr="00DB5D0D">
        <w:rPr>
          <w:rFonts w:ascii="Times New Roman" w:hAnsi="Times New Roman"/>
          <w:color w:val="000000" w:themeColor="text1"/>
          <w:sz w:val="16"/>
          <w:szCs w:val="16"/>
        </w:rPr>
        <w:softHyphen/>
        <w:t>пу Супруна перебросили на юг, там все ожесточеннее становились бои в про</w:t>
      </w:r>
      <w:r w:rsidRPr="00DB5D0D">
        <w:rPr>
          <w:rFonts w:ascii="Times New Roman" w:hAnsi="Times New Roman"/>
          <w:color w:val="000000" w:themeColor="text1"/>
          <w:sz w:val="16"/>
          <w:szCs w:val="16"/>
        </w:rPr>
        <w:softHyphen/>
        <w:t>винции Юннань, по которой проходи</w:t>
      </w:r>
      <w:r w:rsidRPr="00DB5D0D">
        <w:rPr>
          <w:rFonts w:ascii="Times New Roman" w:hAnsi="Times New Roman"/>
          <w:color w:val="000000" w:themeColor="text1"/>
          <w:sz w:val="16"/>
          <w:szCs w:val="16"/>
        </w:rPr>
        <w:softHyphen/>
        <w:t>ла единственная шоссейная дорога, связывавшая Китай с Бирмой. Наши летчики прикрывали от вражеских на</w:t>
      </w:r>
      <w:r w:rsidRPr="00DB5D0D">
        <w:rPr>
          <w:rFonts w:ascii="Times New Roman" w:hAnsi="Times New Roman"/>
          <w:color w:val="000000" w:themeColor="text1"/>
          <w:sz w:val="16"/>
          <w:szCs w:val="16"/>
        </w:rPr>
        <w:softHyphen/>
        <w:t>летов аэродромы и коммуникации (10743).</w:t>
      </w:r>
    </w:p>
    <w:p w14:paraId="6D6DD9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A2F6A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появились первые серийные Р-40 (173,245).</w:t>
      </w:r>
    </w:p>
    <w:p w14:paraId="781B743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45486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CF67D4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73167BB" w14:textId="77777777" w:rsidR="00A25AD1" w:rsidRPr="00DB5D0D" w:rsidRDefault="00A25AD1" w:rsidP="00DB5D0D">
      <w:pPr>
        <w:pStyle w:val="a3"/>
        <w:widowControl/>
        <w:rPr>
          <w:color w:val="000000" w:themeColor="text1"/>
          <w:lang w:val="ru-RU"/>
        </w:rPr>
      </w:pPr>
      <w:r w:rsidRPr="00DB5D0D">
        <w:rPr>
          <w:color w:val="000000" w:themeColor="text1"/>
          <w:lang w:val="ru-RU"/>
        </w:rPr>
        <w:t>В мае-июне 1940 года самолеты ББ-1 проходили войсковые испытания в 135 авиационном полку ХВО.</w:t>
      </w:r>
    </w:p>
    <w:p w14:paraId="6D6567B1" w14:textId="77777777" w:rsidR="00A25AD1" w:rsidRPr="00DB5D0D" w:rsidRDefault="00A25AD1" w:rsidP="00DB5D0D">
      <w:pPr>
        <w:pStyle w:val="a3"/>
        <w:widowControl/>
        <w:rPr>
          <w:color w:val="000000" w:themeColor="text1"/>
          <w:lang w:val="ru-RU"/>
        </w:rPr>
      </w:pPr>
      <w:r w:rsidRPr="00DB5D0D">
        <w:rPr>
          <w:color w:val="000000" w:themeColor="text1"/>
          <w:lang w:val="ru-RU"/>
        </w:rPr>
        <w:t>На войсковых испытаниях подтвердилась недоведенность винтомоторной группы самолета ББ-1 с мотором М-88 и выявилась недостаточная прочность шасси, колес и пневматиков, что не дает возможности нормальной эксплуатации самолета в строевых частях. После этого полеты в частях на самолете ББ-1 с мотором М-88 прекращены из-за непрочности шасси, колес и пневматиков (3377, 74).</w:t>
      </w:r>
    </w:p>
    <w:p w14:paraId="6647EDAE" w14:textId="77777777" w:rsidR="00A25AD1" w:rsidRPr="00DB5D0D" w:rsidRDefault="00A25AD1" w:rsidP="00DB5D0D">
      <w:pPr>
        <w:pStyle w:val="a3"/>
        <w:widowControl/>
        <w:rPr>
          <w:color w:val="000000" w:themeColor="text1"/>
          <w:lang w:val="ru-RU"/>
        </w:rPr>
      </w:pPr>
    </w:p>
    <w:p w14:paraId="70761A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мае-июне 1940 г. проходили госу</w:t>
      </w:r>
      <w:r w:rsidRPr="00DB5D0D">
        <w:rPr>
          <w:rFonts w:ascii="Times New Roman" w:hAnsi="Times New Roman"/>
          <w:color w:val="000000" w:themeColor="text1"/>
          <w:sz w:val="16"/>
          <w:szCs w:val="16"/>
        </w:rPr>
        <w:softHyphen/>
        <w:t>дарственные, а в августе-ноябре войсковые испытания 20-мм синхронных пушек ШВАК на самолетах И-153 (И-153 с мотором М-63 и двумя пушками ШВАК обозна</w:t>
      </w:r>
      <w:r w:rsidRPr="00DB5D0D">
        <w:rPr>
          <w:rFonts w:ascii="Times New Roman" w:hAnsi="Times New Roman"/>
          <w:color w:val="000000" w:themeColor="text1"/>
          <w:sz w:val="16"/>
          <w:szCs w:val="16"/>
        </w:rPr>
        <w:softHyphen/>
        <w:t>чались как И-153П, иногда И-153ПС) показали хорошие результаты. «Самолеты испытания выдержали и могут быть приняты на вооружение ВВС КА», - говорилось в итоговом документе (10667).</w:t>
      </w:r>
    </w:p>
    <w:p w14:paraId="7DD54FB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60C0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май-июнь 1940 г. ни одна ма</w:t>
      </w:r>
      <w:r w:rsidRPr="00DB5D0D">
        <w:rPr>
          <w:rFonts w:ascii="Times New Roman" w:hAnsi="Times New Roman"/>
          <w:color w:val="000000" w:themeColor="text1"/>
          <w:sz w:val="16"/>
          <w:szCs w:val="16"/>
        </w:rPr>
        <w:softHyphen/>
        <w:t>шина войсковой серии не покинула сборочного цеха. Николай Николаевич заменил не проявляющего ини</w:t>
      </w:r>
      <w:r w:rsidRPr="00DB5D0D">
        <w:rPr>
          <w:rFonts w:ascii="Times New Roman" w:hAnsi="Times New Roman"/>
          <w:color w:val="000000" w:themeColor="text1"/>
          <w:sz w:val="16"/>
          <w:szCs w:val="16"/>
        </w:rPr>
        <w:softHyphen/>
        <w:t>циативы заместителя главного конструктора по И-180 М.К.Янгеля на И.А.Шабанова (10667).</w:t>
      </w:r>
    </w:p>
    <w:p w14:paraId="49D6380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2FA4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мае-сентябре 1940 г. проходили испыта</w:t>
      </w:r>
      <w:r w:rsidRPr="00DB5D0D">
        <w:rPr>
          <w:rFonts w:ascii="Times New Roman" w:hAnsi="Times New Roman"/>
          <w:color w:val="000000" w:themeColor="text1"/>
          <w:sz w:val="16"/>
          <w:szCs w:val="16"/>
        </w:rPr>
        <w:softHyphen/>
        <w:t>ния истребителя И-153В с мотором М-63, оснащенного гермокабиной конструк</w:t>
      </w:r>
      <w:r w:rsidRPr="00DB5D0D">
        <w:rPr>
          <w:rFonts w:ascii="Times New Roman" w:hAnsi="Times New Roman"/>
          <w:color w:val="000000" w:themeColor="text1"/>
          <w:sz w:val="16"/>
          <w:szCs w:val="16"/>
        </w:rPr>
        <w:softHyphen/>
        <w:t>ции Н.Н.Поликарпова и турбокомпрессорами (И-153В ТК, ГК). Решения о запус</w:t>
      </w:r>
      <w:r w:rsidRPr="00DB5D0D">
        <w:rPr>
          <w:rFonts w:ascii="Times New Roman" w:hAnsi="Times New Roman"/>
          <w:color w:val="000000" w:themeColor="text1"/>
          <w:sz w:val="16"/>
          <w:szCs w:val="16"/>
        </w:rPr>
        <w:softHyphen/>
        <w:t>ке в серийное производство не последовало: уже рассматривался вопрос о прекращении серийного вы</w:t>
      </w:r>
      <w:r w:rsidRPr="00DB5D0D">
        <w:rPr>
          <w:rFonts w:ascii="Times New Roman" w:hAnsi="Times New Roman"/>
          <w:color w:val="000000" w:themeColor="text1"/>
          <w:sz w:val="16"/>
          <w:szCs w:val="16"/>
        </w:rPr>
        <w:softHyphen/>
        <w:t>пуска самолета (10667).</w:t>
      </w:r>
    </w:p>
    <w:p w14:paraId="50D7102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92C1BD"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мае—сентябре 1940 г. проходили испытания И-153В ТК, ГК. Решения о запуске в серийное производство не последовало: уже рассматривался вопрос о прекращении серийного выпуска самолёта...» (15805).</w:t>
      </w:r>
    </w:p>
    <w:p w14:paraId="4A1F6440" w14:textId="77777777" w:rsidR="00A22B88" w:rsidRPr="00DB5D0D" w:rsidRDefault="00A22B88" w:rsidP="00DB5D0D">
      <w:pPr>
        <w:shd w:val="clear" w:color="auto" w:fill="FFFFFF"/>
        <w:spacing w:after="0" w:line="240" w:lineRule="auto"/>
        <w:jc w:val="both"/>
        <w:rPr>
          <w:rFonts w:ascii="Times New Roman" w:hAnsi="Times New Roman"/>
          <w:color w:val="000000" w:themeColor="text1"/>
          <w:sz w:val="16"/>
          <w:szCs w:val="16"/>
        </w:rPr>
      </w:pPr>
    </w:p>
    <w:p w14:paraId="3155B7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мае-июле 1940 г. Н.Н.Поликарпов в инициатив</w:t>
      </w:r>
      <w:r w:rsidRPr="00DB5D0D">
        <w:rPr>
          <w:rFonts w:ascii="Times New Roman" w:hAnsi="Times New Roman"/>
          <w:color w:val="000000" w:themeColor="text1"/>
          <w:sz w:val="16"/>
          <w:szCs w:val="16"/>
        </w:rPr>
        <w:softHyphen/>
        <w:t>ном порядке разработал еще один проект нового манев</w:t>
      </w:r>
      <w:r w:rsidRPr="00DB5D0D">
        <w:rPr>
          <w:rFonts w:ascii="Times New Roman" w:hAnsi="Times New Roman"/>
          <w:color w:val="000000" w:themeColor="text1"/>
          <w:sz w:val="16"/>
          <w:szCs w:val="16"/>
        </w:rPr>
        <w:softHyphen/>
        <w:t>ренного истребителя И-195 с более мощным двигателем М-90 (взлетная мощность 1750 л.с.). В пояснительной записке он писал:</w:t>
      </w:r>
    </w:p>
    <w:p w14:paraId="405A6D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«Роль маневренного истребителя в современной гер</w:t>
      </w:r>
      <w:r w:rsidRPr="00DB5D0D">
        <w:rPr>
          <w:rFonts w:ascii="Times New Roman" w:hAnsi="Times New Roman"/>
          <w:color w:val="000000" w:themeColor="text1"/>
          <w:sz w:val="16"/>
          <w:szCs w:val="16"/>
        </w:rPr>
        <w:softHyphen/>
        <w:t>мано-французской войне подробно не освещена и не вы</w:t>
      </w:r>
      <w:r w:rsidRPr="00DB5D0D">
        <w:rPr>
          <w:rFonts w:ascii="Times New Roman" w:hAnsi="Times New Roman"/>
          <w:color w:val="000000" w:themeColor="text1"/>
          <w:sz w:val="16"/>
          <w:szCs w:val="16"/>
        </w:rPr>
        <w:softHyphen/>
        <w:t>яснена, поскольку Германия не имеет такового в своем вооружении, а работа французских и английских истре</w:t>
      </w:r>
      <w:r w:rsidRPr="00DB5D0D">
        <w:rPr>
          <w:rFonts w:ascii="Times New Roman" w:hAnsi="Times New Roman"/>
          <w:color w:val="000000" w:themeColor="text1"/>
          <w:sz w:val="16"/>
          <w:szCs w:val="16"/>
        </w:rPr>
        <w:softHyphen/>
        <w:t>бителей нам мало известна. Однако в авиационной лите</w:t>
      </w:r>
      <w:r w:rsidRPr="00DB5D0D">
        <w:rPr>
          <w:rFonts w:ascii="Times New Roman" w:hAnsi="Times New Roman"/>
          <w:color w:val="000000" w:themeColor="text1"/>
          <w:sz w:val="16"/>
          <w:szCs w:val="16"/>
        </w:rPr>
        <w:softHyphen/>
        <w:t>ратуре имеется ряд статей, весьма высоко оценивающих маневренные английские истребители «Хоукер-Харрикейн» и американские «Кертисс Р-36»... Предлагаемый проект предусматривает суммирование на сегодня наше</w:t>
      </w:r>
      <w:r w:rsidRPr="00DB5D0D">
        <w:rPr>
          <w:rFonts w:ascii="Times New Roman" w:hAnsi="Times New Roman"/>
          <w:color w:val="000000" w:themeColor="text1"/>
          <w:sz w:val="16"/>
          <w:szCs w:val="16"/>
        </w:rPr>
        <w:softHyphen/>
        <w:t>го многолетнего опыта в создании образцов маневрен</w:t>
      </w:r>
      <w:r w:rsidRPr="00DB5D0D">
        <w:rPr>
          <w:rFonts w:ascii="Times New Roman" w:hAnsi="Times New Roman"/>
          <w:color w:val="000000" w:themeColor="text1"/>
          <w:sz w:val="16"/>
          <w:szCs w:val="16"/>
        </w:rPr>
        <w:softHyphen/>
        <w:t>ных истребителей».</w:t>
      </w:r>
    </w:p>
    <w:p w14:paraId="682183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нормальным полетным весом 2916 кг И-195 мог развивать у земли максимальную скорость 500 км/ч и 591 км/ч на высоте 7000 м - пара</w:t>
      </w:r>
      <w:r w:rsidRPr="00DB5D0D">
        <w:rPr>
          <w:rFonts w:ascii="Times New Roman" w:hAnsi="Times New Roman"/>
          <w:color w:val="000000" w:themeColor="text1"/>
          <w:sz w:val="16"/>
          <w:szCs w:val="16"/>
        </w:rPr>
        <w:softHyphen/>
        <w:t>метры, считавшиеся неплохими и для скоростных ис</w:t>
      </w:r>
      <w:r w:rsidRPr="00DB5D0D">
        <w:rPr>
          <w:rFonts w:ascii="Times New Roman" w:hAnsi="Times New Roman"/>
          <w:color w:val="000000" w:themeColor="text1"/>
          <w:sz w:val="16"/>
          <w:szCs w:val="16"/>
        </w:rPr>
        <w:softHyphen/>
        <w:t>требителей (10667).</w:t>
      </w:r>
    </w:p>
    <w:p w14:paraId="68BE26E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1E84E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мая по декабрь 1940 макет И-195 М-90 продували в Т-101 и Т-104 ЦАГИ в натуре (228,139).</w:t>
      </w:r>
    </w:p>
    <w:p w14:paraId="28092CE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0BDA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мая по декабрь 1940 г. проводились испытания макета самолета И-185 с имеющимся некондиционным мотором М-90 в новых натурных аэродинамических трубах ЦАГИ Т-101 и Т-104. Они подтвердили расчеты конструкто</w:t>
      </w:r>
      <w:r w:rsidRPr="00DB5D0D">
        <w:rPr>
          <w:rFonts w:ascii="Times New Roman" w:hAnsi="Times New Roman"/>
          <w:color w:val="000000" w:themeColor="text1"/>
          <w:sz w:val="16"/>
          <w:szCs w:val="16"/>
        </w:rPr>
        <w:softHyphen/>
        <w:t>ров. В отчете, в частности, говорилось: «Вентилятор, уменьшающий потери на входе, позволяет хорошо ис</w:t>
      </w:r>
      <w:r w:rsidRPr="00DB5D0D">
        <w:rPr>
          <w:rFonts w:ascii="Times New Roman" w:hAnsi="Times New Roman"/>
          <w:color w:val="000000" w:themeColor="text1"/>
          <w:sz w:val="16"/>
          <w:szCs w:val="16"/>
        </w:rPr>
        <w:softHyphen/>
        <w:t>пользовать реактивный эффект нагрева воздуха в капо</w:t>
      </w:r>
      <w:r w:rsidRPr="00DB5D0D">
        <w:rPr>
          <w:rFonts w:ascii="Times New Roman" w:hAnsi="Times New Roman"/>
          <w:color w:val="000000" w:themeColor="text1"/>
          <w:sz w:val="16"/>
          <w:szCs w:val="16"/>
        </w:rPr>
        <w:softHyphen/>
        <w:t>те, что уменьшает лобовое сопротивление капота на максимальной скорости полета... Благодаря плавной форме данного капота, применение его целесообразно на скоростях от 700 до 850 км/ч» (10667).</w:t>
      </w:r>
    </w:p>
    <w:p w14:paraId="78C873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D0D5DE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мая по июнь 1940 года модификация ДС-3 с 2М-63 в санитарном, десантном и транспортном вариантах находился на гос. испытаниях в НИИ ВВС. Гос. испытания выдержал (4048, 4).</w:t>
      </w:r>
    </w:p>
    <w:p w14:paraId="44D8268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34B11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мае-октябре 1940 г. в НИИ ВВС изучались образцы бомбардировщиков Ju 88 и Do 215, приобретенными в Германии В результате сделали выводы, что «немцы» превосходят в скорости СБ на 25-40 км/ч, имеют меньший пробег на посадке (за счет лучшей механизации крыла и хороших тормозов). Немецкие самолеты оказались проще в пилотировании и эксплуатации, обладали лучшей устойчивостью. Знакомство с их конструкциями дало возможность создать достаточно эффективные двухсторонние тормоза, фибровые бензобаки (при простреле не дающие острых «лепестков», мешающих протектору затянуть ее) и термические антиобледенители (9927).</w:t>
      </w:r>
    </w:p>
    <w:p w14:paraId="61E7D97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8E68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мая по октябрь 1940 в НИИ ВВС Долгов, Дудкин, Кабанов, Ковальчук, Николаев, Супрун, Шапоров и др. испытали Не 100, Bf 109, Bf 110, Do 215B, Ju88A-1, Bu 131D, Bu 133, FW 58B, FW 58C (1795, 51).</w:t>
      </w:r>
    </w:p>
    <w:p w14:paraId="7048C7E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2AE75A"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мае—октябре 1940 г. в НИИ ВВС организовали изучение лётно- тактических и эксплуатационных характеристик вооружения и оборудования немецких самолётов. «Всего в советской авиационной промышленности в изучении немецкой тех</w:t>
      </w:r>
      <w:r w:rsidRPr="00DB5D0D">
        <w:rPr>
          <w:rFonts w:ascii="Times New Roman" w:hAnsi="Times New Roman"/>
          <w:color w:val="000000" w:themeColor="text1"/>
          <w:sz w:val="16"/>
          <w:szCs w:val="16"/>
        </w:rPr>
        <w:softHyphen/>
        <w:t>ники приняло участие более 3500 человек», в том числе специалисты трех ОКБ, а так</w:t>
      </w:r>
      <w:r w:rsidRPr="00DB5D0D">
        <w:rPr>
          <w:rFonts w:ascii="Times New Roman" w:hAnsi="Times New Roman"/>
          <w:color w:val="000000" w:themeColor="text1"/>
          <w:sz w:val="16"/>
          <w:szCs w:val="16"/>
        </w:rPr>
        <w:softHyphen/>
        <w:t>же лётный и инженерно-технический состав авиационных частей Красной Армии (15786).</w:t>
      </w:r>
    </w:p>
    <w:p w14:paraId="0FFA4522" w14:textId="77777777" w:rsidR="00A22B88" w:rsidRPr="00DB5D0D" w:rsidRDefault="00A22B88" w:rsidP="00DB5D0D">
      <w:pPr>
        <w:spacing w:after="0" w:line="240" w:lineRule="auto"/>
        <w:jc w:val="both"/>
        <w:rPr>
          <w:rFonts w:ascii="Times New Roman" w:hAnsi="Times New Roman"/>
          <w:color w:val="000000" w:themeColor="text1"/>
          <w:sz w:val="16"/>
          <w:szCs w:val="16"/>
        </w:rPr>
      </w:pPr>
    </w:p>
    <w:p w14:paraId="0F3AF03D"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мае-июне 1940 года на заводе № 16 начали сборку из импортных деталей партии из 25 МВ-12, по числу купленных во Франции комплектов поковок и литья. Работы по МВ-12 сильно отставали от графика. Отчасти причиной этого была неизвестность, какой же французский мотор брать за образец. Тип 12О во Франции быстро сняли с производства, заменив более совершенным 12R. "Рено" серийно делала 12R01, а затем модернизированный 12R03. У нас имелась полная документация на </w:t>
      </w:r>
      <w:r w:rsidRPr="00DB5D0D">
        <w:rPr>
          <w:i w:val="0"/>
          <w:iCs w:val="0"/>
          <w:color w:val="000000" w:themeColor="text1"/>
          <w:spacing w:val="0"/>
          <w:kern w:val="0"/>
          <w:position w:val="0"/>
          <w:sz w:val="16"/>
          <w:szCs w:val="16"/>
          <w:lang w:val="ru-RU"/>
        </w:rPr>
        <w:lastRenderedPageBreak/>
        <w:t>12О, но выпускать мотор "вчерашнего дня" не хотелось. У "Рено" заказали образец двигателя 12R01, но пока оформляли бумаги, его тоже сняли с производства. Фирма предложила взамен 12R03, который и прибыл в СССР в 1939 г. Соответственно несколько раз меняли и всю документацию. К середине ноября были готовы два мотора, которые поставили на заводские испытания. Оба вышли из строя из-за поломок ПЦН, причем проработав не более трех часов. Оказалось, что при сборке не смогли выдержать весьма точных зазоров оригинала. К 1 декабря собрали третий мотор. В том же месяце приступили к изготовлению деталей для десяти двигателей МВ-12. Руководство ГУАП задержку с выпуском моторов "Рено" списало на последствия вредительства. Дело в том, что в 1937 г. была репрессирована большая группа руководящих работников завода № 16. На освоении производства копий французских двигателей останавливаться не собирались. Предполагалась широкая программа их модернизации. Моторы хотели оснастить двухскоростными ПЦН, турбонаддувом, редукторами. Особое внимание уделялось мотору МВ-12, который предназначался в первую очередь для легких истребителей. На нем хотели смонтировать редуктор, синхронизатор и пушку. На первом этапе на модификации МВ-12Ф планировали поднять максимальную мощность до 500 л.с. путем повышения частоты вращения вала. В сентябре 1938 г. начали проектировать редукторный вариант МВ-12Р с пушкой. Годом позже приступили к работе над другим вариантом МВ-12Р, впоследствии переименованным в М-12Р. На этой модификации размеры цилиндров намеревались привести к общему для всего семейства стандарту: диаметр - 120 мм, ход поршня - 140 мм вместо прежних 114 мм и 122 мм. Рабочий объем доводился до 19,0 л (при исходном 14,93 л). ПЦН был двухскоростным. Предлагалось также создание 24-цилиндрового двигателя на основе спаренного МВ-12. Но фактически все эти работы остановились на стадии эскизных проектов, опытных образцов не строили (11479).</w:t>
      </w:r>
    </w:p>
    <w:p w14:paraId="631F0131"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68EE58C2" w14:textId="77777777" w:rsidR="00A03A42" w:rsidRPr="00DB5D0D" w:rsidRDefault="00A03A42" w:rsidP="00DB5D0D">
      <w:pPr>
        <w:pStyle w:val="article-renderblock"/>
        <w:shd w:val="clear" w:color="auto" w:fill="FFFFFF"/>
        <w:spacing w:before="0" w:beforeAutospacing="0" w:after="0" w:afterAutospacing="0"/>
        <w:jc w:val="both"/>
        <w:rPr>
          <w:color w:val="0070C0"/>
          <w:sz w:val="16"/>
          <w:szCs w:val="16"/>
          <w:shd w:val="clear" w:color="auto" w:fill="FFFFFF"/>
        </w:rPr>
      </w:pPr>
      <w:r w:rsidRPr="00DB5D0D">
        <w:rPr>
          <w:color w:val="0070C0"/>
          <w:sz w:val="16"/>
          <w:szCs w:val="16"/>
          <w:shd w:val="clear" w:color="auto" w:fill="FFFFFF"/>
        </w:rPr>
        <w:t xml:space="preserve">В мае – июне 1939 г. в авиачасти близ Ростова-на-Дону состоялись госиспытания ПЛ-З. </w:t>
      </w:r>
    </w:p>
    <w:p w14:paraId="1ACFFA92" w14:textId="77777777" w:rsidR="00A03A42" w:rsidRPr="00DB5D0D" w:rsidRDefault="00A03A42"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Квадратный купол этого парашюта был скроен из каркасного шелка, идею которого предложил М.А.Савицкий ещё в бытность свою директором парашютного завода. В эту ткань через определенные промежутки включались упрочняющие нити.</w:t>
      </w:r>
    </w:p>
    <w:p w14:paraId="37CC82B0" w14:textId="77777777" w:rsidR="00A03A42" w:rsidRPr="00DB5D0D" w:rsidRDefault="00A03A42"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Каркасный шелк отличался от гладкого большей воздухопроницаемостью, а это означало, что, при прочих равных условиях, перегрузки парашютного прыжка станут меньше.</w:t>
      </w:r>
    </w:p>
    <w:p w14:paraId="3BBE7700" w14:textId="77777777" w:rsidR="00A03A42" w:rsidRPr="00DB5D0D" w:rsidRDefault="00A03A42"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Достигалось это за счет более пологой кривой градиента её нарастания, платой за что было некоторое увеличение времени наполнения купола парашюта и его площади: она у ПЛ-З была лишь на 0,5 м меньше, чем у парашюта ПЛ-1.</w:t>
      </w:r>
    </w:p>
    <w:p w14:paraId="14E80568" w14:textId="77777777" w:rsidR="00A03A42" w:rsidRPr="00DB5D0D" w:rsidRDefault="00A03A42" w:rsidP="00DB5D0D">
      <w:pPr>
        <w:pStyle w:val="article-renderblock"/>
        <w:shd w:val="clear" w:color="auto" w:fill="FFFFFF"/>
        <w:spacing w:before="0" w:beforeAutospacing="0" w:after="0" w:afterAutospacing="0"/>
        <w:jc w:val="both"/>
        <w:rPr>
          <w:color w:val="0070C0"/>
          <w:sz w:val="16"/>
          <w:szCs w:val="16"/>
          <w:shd w:val="clear" w:color="auto" w:fill="FFFFFF"/>
        </w:rPr>
      </w:pPr>
      <w:r w:rsidRPr="00DB5D0D">
        <w:rPr>
          <w:color w:val="0070C0"/>
          <w:sz w:val="16"/>
          <w:szCs w:val="16"/>
          <w:shd w:val="clear" w:color="auto" w:fill="FFFFFF"/>
        </w:rPr>
        <w:t>Парашют показал отменные качества – по прочности и упорядоченности процесса раскрытия он позволял выполнять прыжки на скорости, превышающей 400 км/ч.</w:t>
      </w:r>
    </w:p>
    <w:p w14:paraId="2424286C" w14:textId="77777777" w:rsidR="00A03A42" w:rsidRPr="00DB5D0D" w:rsidRDefault="00A03A42"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На госиспытаниях этого парашюта впервые работала группа крупнейших специалистов по авиационной медицине.</w:t>
      </w:r>
    </w:p>
    <w:p w14:paraId="1A2F6F35" w14:textId="77777777" w:rsidR="00A03A42" w:rsidRPr="00DB5D0D" w:rsidRDefault="00A03A42"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В организации и проведении скоростных прыжков с парашютом ПЛ-З приняли деятельное участие три научных сотрудника Института авиационной медицины им. И.П.Павлова – бригадный врач Г.Г.Куликовский и военврачи В.Г.Миролюбов и И.К.Сабенников. Каждый сформировался как специалист под влиянием преемника Ивана Петровича Павлова – академика Леона Абгаровича Орбели.</w:t>
      </w:r>
    </w:p>
    <w:p w14:paraId="28CA1208" w14:textId="77777777" w:rsidR="00A03A42" w:rsidRPr="00DB5D0D" w:rsidRDefault="00A03A42"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Все шесть испытателей, выполнявших прыжки с самолета ДБ-3, имели звание мастера парашютного спорта. Состояние здоровья каждого проверялось врачами перед началом прыжков, да и после каждого очередного повышения скорости. Когда выполнялся прыжок, руководитель группы врачей Куликовский лично наблюдал за парашютистом из кабины стрелка-радиста.</w:t>
      </w:r>
    </w:p>
    <w:p w14:paraId="6B228536" w14:textId="77777777" w:rsidR="00A03A42" w:rsidRPr="00DB5D0D" w:rsidRDefault="00A03A42"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shd w:val="clear" w:color="auto" w:fill="FFFFFF"/>
        </w:rPr>
        <w:t>К прыжкам с самолета ДБ-3 были допущены асы парашютизма – Н.Аминтаев, В.Козуля, А.Колосков, О.Макаренко, В.Романюк и П.Федюнин. Каждый выполнил на сборе по 9 прыжков и перешагнул за черту 400 км/ч, а Александр Иванович Колосков и Павел Александрович Федюнин выполнили прыжки на скорости 475 км/ч. Перенесенная Колосковым перегрузка была 16-кратной. Столь высокой величины испытатель добился, явно рискуя. Он выполнил поставленное перед ним задание – раскрыть парашют, едва отделившись от самолета (21400).</w:t>
      </w:r>
    </w:p>
    <w:p w14:paraId="265D4D53" w14:textId="77777777" w:rsidR="00A03A42" w:rsidRPr="00DB5D0D" w:rsidRDefault="00A03A42" w:rsidP="00DB5D0D">
      <w:pPr>
        <w:pStyle w:val="article-renderblock"/>
        <w:shd w:val="clear" w:color="auto" w:fill="FFFFFF"/>
        <w:spacing w:before="0" w:beforeAutospacing="0" w:after="0" w:afterAutospacing="0"/>
        <w:jc w:val="both"/>
        <w:rPr>
          <w:color w:val="0070C0"/>
          <w:sz w:val="16"/>
          <w:szCs w:val="16"/>
        </w:rPr>
      </w:pPr>
    </w:p>
    <w:p w14:paraId="377D950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7CA504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775C8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 июне 1940 КВ прошел полигонные испытания по полной программе на НИБТ полигоне (9527,159).</w:t>
      </w:r>
    </w:p>
    <w:p w14:paraId="5C93C60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2140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Только в мае - июне 1940 г. провели по настоянию заказчика испытания пробегом танка КВ. В ходе интенсивных, по 12-14 часов в сутки, испытаний на полигоне под Ленинградом двух танков КВ-1 и одного КВ-2 (вооружавшегося гаубицей - пушкой МЛ-20 Ф.Ф.Петрова калибра 152 мм) обнаружилась низкая надежность новой машины. Основные отказы: поломки катков, торсионов, коробки передач, двигателя - важнейших узлов и агрегатов. С 1 по 10 октября 1940 г. работала вторая комиссия по поводу конструктивной недоработанности КВ. В акте комиссии отмечалось, что танк не прошел гарантированного километража вследствие выхода из строя коробки передач, бортовых фрикционов, траков, неудовлетворительной работы системы охлаждения. Между тем происходило форсированное внедрение танка КВ в серийное производство. В 1940 г. было выпущено 243 ед., в первом полугодии 1941 - 391 ед. С июня 1941 г. танки КВ-1 стали выпускаться с усиленным бронированием. На лобовые и бортовые листы башни и лобовые листы корпуса установили экраны из броневого листа толщиной 30 мм. Бронирование возросло до 105 мм, боевая масса - до 47,5 т. Это привело к снижению скоростных и маневренных показателей. А оружие осталось тем же (11224).</w:t>
      </w:r>
    </w:p>
    <w:p w14:paraId="12C5A9E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1303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мае-июне 1940 на НИБТ полигоне прошли полигонные испытания КВ-2 обр. 1940 с 152 мм гаубицей М-10, разработанные СКБ-2 ЛКЗ под руководством Ж.Я.Котина в сотрудничестве с АОКО (артиллерийского завода № 172 им. Молотова) во главе с Н.ВКуриным на основании требований штаба СЗФ в конце 1939. Также называли 402 или МТ-1. Два приняли участие в боевых действиях в феврале-марте 1940.(9527,173)</w:t>
      </w:r>
    </w:p>
    <w:p w14:paraId="2875E75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E3826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мае-июне 1940 г. ос</w:t>
      </w:r>
      <w:r w:rsidRPr="00DB5D0D">
        <w:rPr>
          <w:rFonts w:ascii="Times New Roman" w:hAnsi="Times New Roman"/>
          <w:color w:val="000000" w:themeColor="text1"/>
          <w:sz w:val="16"/>
          <w:szCs w:val="16"/>
        </w:rPr>
        <w:softHyphen/>
        <w:t>новные усилия конструкторов, инженеров и технологов завода № 183 были направ</w:t>
      </w:r>
      <w:r w:rsidRPr="00DB5D0D">
        <w:rPr>
          <w:rFonts w:ascii="Times New Roman" w:hAnsi="Times New Roman"/>
          <w:color w:val="000000" w:themeColor="text1"/>
          <w:sz w:val="16"/>
          <w:szCs w:val="16"/>
        </w:rPr>
        <w:softHyphen/>
        <w:t>лены, прежде всего, на достижение следующих целей:</w:t>
      </w:r>
    </w:p>
    <w:p w14:paraId="5B253F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улучшение боевых и эксплуатационных качеств танка (данные работы велись силами КБ завода №183 на основании результатов войсковых испытаний опытых образцов Т-34);</w:t>
      </w:r>
    </w:p>
    <w:p w14:paraId="3EF505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упрощение технологии изготовления бронедеталей Т-34 и сни</w:t>
      </w:r>
      <w:r w:rsidRPr="00DB5D0D">
        <w:rPr>
          <w:rFonts w:ascii="Times New Roman" w:hAnsi="Times New Roman"/>
          <w:color w:val="000000" w:themeColor="text1"/>
          <w:sz w:val="16"/>
          <w:szCs w:val="16"/>
        </w:rPr>
        <w:softHyphen/>
        <w:t>жение их себестоимости (этим занималось КБ завода №183 совме</w:t>
      </w:r>
      <w:r w:rsidRPr="00DB5D0D">
        <w:rPr>
          <w:rFonts w:ascii="Times New Roman" w:hAnsi="Times New Roman"/>
          <w:color w:val="000000" w:themeColor="text1"/>
          <w:sz w:val="16"/>
          <w:szCs w:val="16"/>
        </w:rPr>
        <w:softHyphen/>
        <w:t>стно с инженерами и технологами Мариупольского завода им. Иль</w:t>
      </w:r>
      <w:r w:rsidRPr="00DB5D0D">
        <w:rPr>
          <w:rFonts w:ascii="Times New Roman" w:hAnsi="Times New Roman"/>
          <w:color w:val="000000" w:themeColor="text1"/>
          <w:sz w:val="16"/>
          <w:szCs w:val="16"/>
        </w:rPr>
        <w:softHyphen/>
        <w:t>ича и НИИ-48);</w:t>
      </w:r>
    </w:p>
    <w:p w14:paraId="58E59D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подготовка производства на предприятиях, задействованных в программе по Т-34, к массовому выпуску танка и его комплектую</w:t>
      </w:r>
      <w:r w:rsidRPr="00DB5D0D">
        <w:rPr>
          <w:rFonts w:ascii="Times New Roman" w:hAnsi="Times New Roman"/>
          <w:color w:val="000000" w:themeColor="text1"/>
          <w:sz w:val="16"/>
          <w:szCs w:val="16"/>
        </w:rPr>
        <w:softHyphen/>
        <w:t>щих в 1940 г. (11901).</w:t>
      </w:r>
    </w:p>
    <w:p w14:paraId="7BC5B71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0E9565" w14:textId="77777777" w:rsidR="00A25AD1" w:rsidRPr="00DB5D0D" w:rsidRDefault="00A25AD1" w:rsidP="00DB5D0D">
      <w:pPr>
        <w:pStyle w:val="a3"/>
        <w:rPr>
          <w:color w:val="000000" w:themeColor="text1"/>
          <w:lang w:val="ru-RU"/>
        </w:rPr>
      </w:pPr>
      <w:r w:rsidRPr="00DB5D0D">
        <w:rPr>
          <w:color w:val="000000" w:themeColor="text1"/>
          <w:lang w:val="ru-RU"/>
        </w:rPr>
        <w:t>В мае-июне 1940 г. основные работы по упрощению техно</w:t>
      </w:r>
      <w:r w:rsidRPr="00DB5D0D">
        <w:rPr>
          <w:color w:val="000000" w:themeColor="text1"/>
          <w:lang w:val="ru-RU"/>
        </w:rPr>
        <w:softHyphen/>
        <w:t>логии изготовления сложных бронедеталей тан</w:t>
      </w:r>
      <w:r w:rsidRPr="00DB5D0D">
        <w:rPr>
          <w:color w:val="000000" w:themeColor="text1"/>
          <w:lang w:val="ru-RU"/>
        </w:rPr>
        <w:softHyphen/>
        <w:t>ка Т-34 велись в направле</w:t>
      </w:r>
      <w:r w:rsidRPr="00DB5D0D">
        <w:rPr>
          <w:color w:val="000000" w:themeColor="text1"/>
          <w:lang w:val="ru-RU"/>
        </w:rPr>
        <w:softHyphen/>
        <w:t>нии проектирования и изготовления опытных литых узлов корпуса и башни. Как уже было сказано, начиная с апре</w:t>
      </w:r>
      <w:r w:rsidRPr="00DB5D0D">
        <w:rPr>
          <w:color w:val="000000" w:themeColor="text1"/>
          <w:lang w:val="ru-RU"/>
        </w:rPr>
        <w:softHyphen/>
        <w:t>ля 1940 г., сотрудники бригады по литым узлам изучали возмож</w:t>
      </w:r>
      <w:r w:rsidRPr="00DB5D0D">
        <w:rPr>
          <w:color w:val="000000" w:themeColor="text1"/>
          <w:lang w:val="ru-RU"/>
        </w:rPr>
        <w:softHyphen/>
        <w:t>ность изготовления разрезной комбинированной носовой части кор</w:t>
      </w:r>
      <w:r w:rsidRPr="00DB5D0D">
        <w:rPr>
          <w:color w:val="000000" w:themeColor="text1"/>
          <w:lang w:val="ru-RU"/>
        </w:rPr>
        <w:softHyphen/>
        <w:t>пуса Т-34 вместо цельноштампованного носа, утвержденного на ус</w:t>
      </w:r>
      <w:r w:rsidRPr="00DB5D0D">
        <w:rPr>
          <w:color w:val="000000" w:themeColor="text1"/>
          <w:lang w:val="ru-RU"/>
        </w:rPr>
        <w:softHyphen/>
        <w:t>тановочную серию. Вариант комбинированного носового узла был спроектирован в середине апреля 1940 г. силами КБ 520 завода №183 и представлял собой конструкцию, состоявшую из трех деталей: две из них являлись прямолинейными катаными листами высокой твер</w:t>
      </w:r>
      <w:r w:rsidRPr="00DB5D0D">
        <w:rPr>
          <w:color w:val="000000" w:themeColor="text1"/>
          <w:lang w:val="ru-RU"/>
        </w:rPr>
        <w:softHyphen/>
        <w:t xml:space="preserve">дости, а одна деталь (балка) - литой, имевшей </w:t>
      </w:r>
      <w:r w:rsidRPr="00DB5D0D">
        <w:rPr>
          <w:color w:val="000000" w:themeColor="text1"/>
        </w:rPr>
        <w:t>V</w:t>
      </w:r>
      <w:r w:rsidRPr="00DB5D0D">
        <w:rPr>
          <w:color w:val="000000" w:themeColor="text1"/>
          <w:lang w:val="ru-RU"/>
        </w:rPr>
        <w:t>-образное сечение с углом раствора 60".</w:t>
      </w:r>
    </w:p>
    <w:p w14:paraId="29863702" w14:textId="77777777" w:rsidR="00A25AD1" w:rsidRPr="00DB5D0D" w:rsidRDefault="00A25AD1" w:rsidP="00DB5D0D">
      <w:pPr>
        <w:pStyle w:val="a3"/>
        <w:rPr>
          <w:color w:val="000000" w:themeColor="text1"/>
          <w:lang w:val="ru-RU"/>
        </w:rPr>
      </w:pPr>
      <w:r w:rsidRPr="00DB5D0D">
        <w:rPr>
          <w:color w:val="000000" w:themeColor="text1"/>
          <w:lang w:val="ru-RU"/>
        </w:rPr>
        <w:t>При выборе марки стали и типа брони для балки учитывалось, во-первых, ее максимальная толщина (100 мм) и, во-вторых, необ</w:t>
      </w:r>
      <w:r w:rsidRPr="00DB5D0D">
        <w:rPr>
          <w:color w:val="000000" w:themeColor="text1"/>
          <w:lang w:val="ru-RU"/>
        </w:rPr>
        <w:softHyphen/>
        <w:t>ходимость получения после окончательной термической обработки литой детали в состоянии, допускающем ее механическую обработ</w:t>
      </w:r>
      <w:r w:rsidRPr="00DB5D0D">
        <w:rPr>
          <w:color w:val="000000" w:themeColor="text1"/>
          <w:lang w:val="ru-RU"/>
        </w:rPr>
        <w:softHyphen/>
        <w:t>ку после высокого отпуска. Как наиболее приемлемую по своим ли</w:t>
      </w:r>
      <w:r w:rsidRPr="00DB5D0D">
        <w:rPr>
          <w:color w:val="000000" w:themeColor="text1"/>
          <w:lang w:val="ru-RU"/>
        </w:rPr>
        <w:softHyphen/>
        <w:t>тейным и броневым качествам для литой балки низкой твердости наметили сталь марки ФД-6654 с небольшой добавкой ванадия. Эта марка стали обеспечивала на данной толщине достаточную прока- ливаемость и необходимые физико-механические свойства после закалки и высокого отпуска.</w:t>
      </w:r>
    </w:p>
    <w:p w14:paraId="1CF9102F" w14:textId="77777777" w:rsidR="00A25AD1" w:rsidRPr="00DB5D0D" w:rsidRDefault="00A25AD1" w:rsidP="00DB5D0D">
      <w:pPr>
        <w:pStyle w:val="a3"/>
        <w:rPr>
          <w:color w:val="000000" w:themeColor="text1"/>
          <w:lang w:val="ru-RU"/>
        </w:rPr>
      </w:pPr>
      <w:r w:rsidRPr="00DB5D0D">
        <w:rPr>
          <w:color w:val="000000" w:themeColor="text1"/>
          <w:lang w:val="ru-RU"/>
        </w:rPr>
        <w:t>Кроме ФД-6654, большой практический интерес и значитель</w:t>
      </w:r>
      <w:r w:rsidRPr="00DB5D0D">
        <w:rPr>
          <w:color w:val="000000" w:themeColor="text1"/>
          <w:lang w:val="ru-RU"/>
        </w:rPr>
        <w:softHyphen/>
        <w:t>ные производственные удобства представляло использование для изготовления литой балки, идущей на валовом производстве, стали марки МЗ-2. Но применение МЗ-2 требовало предварительного ис</w:t>
      </w:r>
      <w:r w:rsidRPr="00DB5D0D">
        <w:rPr>
          <w:color w:val="000000" w:themeColor="text1"/>
          <w:lang w:val="ru-RU"/>
        </w:rPr>
        <w:softHyphen/>
        <w:t>следования, поскольку на больших толщинах (более чем 55-60 мм) она до этого не производилась. Для исследования прокаливаемо- сти и качества излома литой брони марки МЗ-2 на больших тол</w:t>
      </w:r>
      <w:r w:rsidRPr="00DB5D0D">
        <w:rPr>
          <w:color w:val="000000" w:themeColor="text1"/>
          <w:lang w:val="ru-RU"/>
        </w:rPr>
        <w:softHyphen/>
        <w:t>щинах специалисты бригады вырезали из прибылей литой башни пробы размером 200</w:t>
      </w:r>
      <w:r w:rsidRPr="00DB5D0D">
        <w:rPr>
          <w:color w:val="000000" w:themeColor="text1"/>
        </w:rPr>
        <w:t>x</w:t>
      </w:r>
      <w:r w:rsidRPr="00DB5D0D">
        <w:rPr>
          <w:color w:val="000000" w:themeColor="text1"/>
          <w:lang w:val="ru-RU"/>
        </w:rPr>
        <w:t>150</w:t>
      </w:r>
      <w:r w:rsidRPr="00DB5D0D">
        <w:rPr>
          <w:color w:val="000000" w:themeColor="text1"/>
        </w:rPr>
        <w:t>x</w:t>
      </w:r>
      <w:r w:rsidRPr="00DB5D0D">
        <w:rPr>
          <w:color w:val="000000" w:themeColor="text1"/>
          <w:lang w:val="ru-RU"/>
        </w:rPr>
        <w:t>300, которые были закалены в различ</w:t>
      </w:r>
      <w:r w:rsidRPr="00DB5D0D">
        <w:rPr>
          <w:color w:val="000000" w:themeColor="text1"/>
          <w:lang w:val="ru-RU"/>
        </w:rPr>
        <w:softHyphen/>
        <w:t>ных средах и отпущены на температуру 680'. В дальнейшем ана</w:t>
      </w:r>
      <w:r w:rsidRPr="00DB5D0D">
        <w:rPr>
          <w:color w:val="000000" w:themeColor="text1"/>
          <w:lang w:val="ru-RU"/>
        </w:rPr>
        <w:softHyphen/>
        <w:t>лиз вида изломов и твердости по сечению термически обрабо</w:t>
      </w:r>
      <w:r w:rsidRPr="00DB5D0D">
        <w:rPr>
          <w:color w:val="000000" w:themeColor="text1"/>
          <w:lang w:val="ru-RU"/>
        </w:rPr>
        <w:softHyphen/>
        <w:t>танных проб показал полную возможность применения стали МЗ-2 для изготовления литых конструкций больших толщин. Та</w:t>
      </w:r>
      <w:r w:rsidRPr="00DB5D0D">
        <w:rPr>
          <w:rStyle w:val="aff0"/>
          <w:rFonts w:ascii="Times New Roman" w:hAnsi="Times New Roman" w:cs="Times New Roman"/>
          <w:color w:val="000000" w:themeColor="text1"/>
          <w:spacing w:val="0"/>
          <w:sz w:val="16"/>
          <w:szCs w:val="16"/>
          <w:lang w:val="ru-RU"/>
        </w:rPr>
        <w:t>ким образом, для изготовления опытных литых носовых балок были намечены две марки стали: ФД-6654 и МЗ-2.</w:t>
      </w:r>
    </w:p>
    <w:p w14:paraId="19EEA75B" w14:textId="77777777" w:rsidR="00A25AD1" w:rsidRPr="00DB5D0D" w:rsidRDefault="00A25AD1" w:rsidP="00DB5D0D">
      <w:pPr>
        <w:pStyle w:val="a3"/>
        <w:rPr>
          <w:color w:val="000000" w:themeColor="text1"/>
          <w:lang w:val="ru-RU"/>
        </w:rPr>
      </w:pPr>
      <w:r w:rsidRPr="00DB5D0D">
        <w:rPr>
          <w:color w:val="000000" w:themeColor="text1"/>
          <w:lang w:val="ru-RU"/>
        </w:rPr>
        <w:t>Первые опытные литые балки были изготовлены по следующей технологии.</w:t>
      </w:r>
    </w:p>
    <w:p w14:paraId="7396FE16" w14:textId="77777777" w:rsidR="00A25AD1" w:rsidRPr="00DB5D0D" w:rsidRDefault="00A25AD1" w:rsidP="00DB5D0D">
      <w:pPr>
        <w:pStyle w:val="a3"/>
        <w:rPr>
          <w:color w:val="000000" w:themeColor="text1"/>
          <w:lang w:val="ru-RU"/>
        </w:rPr>
      </w:pPr>
      <w:r w:rsidRPr="00DB5D0D">
        <w:rPr>
          <w:color w:val="000000" w:themeColor="text1"/>
          <w:lang w:val="ru-RU"/>
        </w:rPr>
        <w:t>Формовка производилась горизонтально, по чистым моделям, в двух спаренных между собой опоках. В каждой опоке осуществля</w:t>
      </w:r>
      <w:r w:rsidRPr="00DB5D0D">
        <w:rPr>
          <w:color w:val="000000" w:themeColor="text1"/>
          <w:lang w:val="ru-RU"/>
        </w:rPr>
        <w:softHyphen/>
        <w:t>лась формовка одновременно трех деталей. Состав формовочной земли: часовъярский песок (жирный) - 35%, еленовский песок (квар</w:t>
      </w:r>
      <w:r w:rsidRPr="00DB5D0D">
        <w:rPr>
          <w:color w:val="000000" w:themeColor="text1"/>
          <w:lang w:val="ru-RU"/>
        </w:rPr>
        <w:softHyphen/>
        <w:t>цевый) - 50%, маршалит - 15%.</w:t>
      </w:r>
    </w:p>
    <w:p w14:paraId="029E7C65" w14:textId="77777777" w:rsidR="00A25AD1" w:rsidRPr="00DB5D0D" w:rsidRDefault="00A25AD1" w:rsidP="00DB5D0D">
      <w:pPr>
        <w:pStyle w:val="a3"/>
        <w:rPr>
          <w:color w:val="000000" w:themeColor="text1"/>
          <w:lang w:val="ru-RU"/>
        </w:rPr>
      </w:pPr>
      <w:r w:rsidRPr="00DB5D0D">
        <w:rPr>
          <w:color w:val="000000" w:themeColor="text1"/>
          <w:lang w:val="ru-RU"/>
        </w:rPr>
        <w:t>Литниковая система была выполнена в шамотных трубках: стояк диаметром 70 мм, горизонтальный литниковый ход диаметром 55 мм, питатели диаметром 40 мм. Металл подводился сифоном в ниж</w:t>
      </w:r>
      <w:r w:rsidRPr="00DB5D0D">
        <w:rPr>
          <w:color w:val="000000" w:themeColor="text1"/>
          <w:lang w:val="ru-RU"/>
        </w:rPr>
        <w:softHyphen/>
        <w:t>нюю торцевую часть детали. Окраска формы производилась мар- шалитовой краской на паточном растворе. Сушили форму в течение 8-10 ч при температуре 300-350°. Заливка форм жидким металлом производилась вертикально, из ковша с диаметром стаканчика 45 мм. Прибыля до 1/3 высоты заполнялись сифоном, после чего происходила доливка прибылей сверху, непосредственно в прибы</w:t>
      </w:r>
      <w:r w:rsidRPr="00DB5D0D">
        <w:rPr>
          <w:color w:val="000000" w:themeColor="text1"/>
          <w:lang w:val="ru-RU"/>
        </w:rPr>
        <w:softHyphen/>
        <w:t>ля, с последующей засыпкой их термитом. Затем детали выдержи</w:t>
      </w:r>
      <w:r w:rsidRPr="00DB5D0D">
        <w:rPr>
          <w:color w:val="000000" w:themeColor="text1"/>
          <w:lang w:val="ru-RU"/>
        </w:rPr>
        <w:softHyphen/>
        <w:t>вались в земле в течение 40 ч. В таблице №8 приведен химический анализ опытных литых балок.</w:t>
      </w:r>
    </w:p>
    <w:p w14:paraId="1516DF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Таблица </w:t>
      </w:r>
      <w:r w:rsidRPr="00DB5D0D">
        <w:rPr>
          <w:rFonts w:ascii="Times New Roman" w:hAnsi="Times New Roman"/>
          <w:color w:val="000000" w:themeColor="text1"/>
          <w:sz w:val="16"/>
          <w:szCs w:val="16"/>
          <w:lang w:val="en-US"/>
        </w:rPr>
        <w:t>Ns8</w:t>
      </w:r>
    </w:p>
    <w:tbl>
      <w:tblPr>
        <w:tblW w:w="0" w:type="auto"/>
        <w:tblInd w:w="8" w:type="dxa"/>
        <w:tblLayout w:type="fixed"/>
        <w:tblCellMar>
          <w:left w:w="0" w:type="dxa"/>
          <w:right w:w="0" w:type="dxa"/>
        </w:tblCellMar>
        <w:tblLook w:val="0000" w:firstRow="0" w:lastRow="0" w:firstColumn="0" w:lastColumn="0" w:noHBand="0" w:noVBand="0"/>
      </w:tblPr>
      <w:tblGrid>
        <w:gridCol w:w="917"/>
        <w:gridCol w:w="1272"/>
        <w:gridCol w:w="442"/>
        <w:gridCol w:w="422"/>
        <w:gridCol w:w="422"/>
        <w:gridCol w:w="514"/>
        <w:gridCol w:w="509"/>
        <w:gridCol w:w="427"/>
        <w:gridCol w:w="418"/>
        <w:gridCol w:w="422"/>
        <w:gridCol w:w="422"/>
        <w:gridCol w:w="619"/>
      </w:tblGrid>
      <w:tr w:rsidR="007D5DF8" w:rsidRPr="00DB5D0D" w14:paraId="1BFFB06F" w14:textId="77777777" w:rsidTr="009223E5">
        <w:trPr>
          <w:trHeight w:val="206"/>
        </w:trPr>
        <w:tc>
          <w:tcPr>
            <w:tcW w:w="917" w:type="dxa"/>
            <w:tcBorders>
              <w:top w:val="single" w:sz="6" w:space="0" w:color="auto"/>
              <w:left w:val="single" w:sz="6" w:space="0" w:color="auto"/>
              <w:bottom w:val="nil"/>
              <w:right w:val="single" w:sz="6" w:space="0" w:color="auto"/>
            </w:tcBorders>
            <w:shd w:val="clear" w:color="auto" w:fill="FFFFFF"/>
          </w:tcPr>
          <w:p w14:paraId="2987E1F4" w14:textId="77777777" w:rsidR="00A25AD1" w:rsidRPr="00DB5D0D" w:rsidRDefault="00A25AD1" w:rsidP="00DB5D0D">
            <w:pPr>
              <w:pStyle w:val="a3"/>
              <w:rPr>
                <w:color w:val="000000" w:themeColor="text1"/>
              </w:rPr>
            </w:pPr>
            <w:r w:rsidRPr="00DB5D0D">
              <w:rPr>
                <w:color w:val="000000" w:themeColor="text1"/>
              </w:rPr>
              <w:t>Марка стали</w:t>
            </w:r>
          </w:p>
        </w:tc>
        <w:tc>
          <w:tcPr>
            <w:tcW w:w="1272" w:type="dxa"/>
            <w:tcBorders>
              <w:top w:val="single" w:sz="6" w:space="0" w:color="auto"/>
              <w:left w:val="single" w:sz="6" w:space="0" w:color="auto"/>
              <w:bottom w:val="nil"/>
              <w:right w:val="single" w:sz="6" w:space="0" w:color="auto"/>
            </w:tcBorders>
            <w:shd w:val="clear" w:color="auto" w:fill="FFFFFF"/>
          </w:tcPr>
          <w:p w14:paraId="5CF41293" w14:textId="77777777" w:rsidR="00A25AD1" w:rsidRPr="00DB5D0D" w:rsidRDefault="00A25AD1" w:rsidP="00DB5D0D">
            <w:pPr>
              <w:pStyle w:val="a3"/>
              <w:rPr>
                <w:color w:val="000000" w:themeColor="text1"/>
              </w:rPr>
            </w:pPr>
            <w:r w:rsidRPr="00DB5D0D">
              <w:rPr>
                <w:color w:val="000000" w:themeColor="text1"/>
              </w:rPr>
              <w:t>Способ выплавки</w:t>
            </w:r>
          </w:p>
        </w:tc>
        <w:tc>
          <w:tcPr>
            <w:tcW w:w="3998" w:type="dxa"/>
            <w:gridSpan w:val="9"/>
            <w:tcBorders>
              <w:top w:val="single" w:sz="6" w:space="0" w:color="auto"/>
              <w:left w:val="single" w:sz="6" w:space="0" w:color="auto"/>
              <w:bottom w:val="single" w:sz="6" w:space="0" w:color="auto"/>
              <w:right w:val="single" w:sz="6" w:space="0" w:color="auto"/>
            </w:tcBorders>
            <w:shd w:val="clear" w:color="auto" w:fill="FFFFFF"/>
          </w:tcPr>
          <w:p w14:paraId="1A796F71" w14:textId="77777777" w:rsidR="00A25AD1" w:rsidRPr="00DB5D0D" w:rsidRDefault="00A25AD1" w:rsidP="00DB5D0D">
            <w:pPr>
              <w:pStyle w:val="a3"/>
              <w:rPr>
                <w:color w:val="000000" w:themeColor="text1"/>
              </w:rPr>
            </w:pPr>
            <w:r w:rsidRPr="00DB5D0D">
              <w:rPr>
                <w:color w:val="000000" w:themeColor="text1"/>
              </w:rPr>
              <w:t>Химический анализ в %%</w:t>
            </w:r>
          </w:p>
        </w:tc>
        <w:tc>
          <w:tcPr>
            <w:tcW w:w="619" w:type="dxa"/>
            <w:tcBorders>
              <w:top w:val="single" w:sz="6" w:space="0" w:color="auto"/>
              <w:left w:val="single" w:sz="6" w:space="0" w:color="auto"/>
              <w:bottom w:val="nil"/>
              <w:right w:val="single" w:sz="6" w:space="0" w:color="auto"/>
            </w:tcBorders>
            <w:shd w:val="clear" w:color="auto" w:fill="FFFFFF"/>
          </w:tcPr>
          <w:p w14:paraId="3FB4F3F4" w14:textId="77777777" w:rsidR="00A25AD1" w:rsidRPr="00DB5D0D" w:rsidRDefault="00A25AD1" w:rsidP="00DB5D0D">
            <w:pPr>
              <w:pStyle w:val="a3"/>
              <w:rPr>
                <w:color w:val="000000" w:themeColor="text1"/>
              </w:rPr>
            </w:pPr>
            <w:r w:rsidRPr="00DB5D0D">
              <w:rPr>
                <w:color w:val="000000" w:themeColor="text1"/>
              </w:rPr>
              <w:t>Кол-во деталей</w:t>
            </w:r>
          </w:p>
        </w:tc>
      </w:tr>
      <w:tr w:rsidR="007D5DF8" w:rsidRPr="00DB5D0D" w14:paraId="215D3264" w14:textId="77777777" w:rsidTr="009223E5">
        <w:trPr>
          <w:trHeight w:val="197"/>
        </w:trPr>
        <w:tc>
          <w:tcPr>
            <w:tcW w:w="917" w:type="dxa"/>
            <w:tcBorders>
              <w:top w:val="nil"/>
              <w:left w:val="single" w:sz="6" w:space="0" w:color="auto"/>
              <w:bottom w:val="single" w:sz="6" w:space="0" w:color="auto"/>
              <w:right w:val="single" w:sz="6" w:space="0" w:color="auto"/>
            </w:tcBorders>
            <w:shd w:val="clear" w:color="auto" w:fill="FFFFFF"/>
          </w:tcPr>
          <w:p w14:paraId="3B204F2B" w14:textId="77777777" w:rsidR="00A25AD1" w:rsidRPr="00DB5D0D" w:rsidRDefault="00A25AD1" w:rsidP="00DB5D0D">
            <w:pPr>
              <w:pStyle w:val="a3"/>
              <w:rPr>
                <w:color w:val="000000" w:themeColor="text1"/>
              </w:rPr>
            </w:pPr>
          </w:p>
        </w:tc>
        <w:tc>
          <w:tcPr>
            <w:tcW w:w="1272" w:type="dxa"/>
            <w:tcBorders>
              <w:top w:val="nil"/>
              <w:left w:val="single" w:sz="6" w:space="0" w:color="auto"/>
              <w:bottom w:val="single" w:sz="6" w:space="0" w:color="auto"/>
              <w:right w:val="single" w:sz="6" w:space="0" w:color="auto"/>
            </w:tcBorders>
            <w:shd w:val="clear" w:color="auto" w:fill="FFFFFF"/>
          </w:tcPr>
          <w:p w14:paraId="6189EAFA" w14:textId="77777777" w:rsidR="00A25AD1" w:rsidRPr="00DB5D0D" w:rsidRDefault="00A25AD1" w:rsidP="00DB5D0D">
            <w:pPr>
              <w:pStyle w:val="a3"/>
              <w:rPr>
                <w:color w:val="000000" w:themeColor="text1"/>
              </w:rPr>
            </w:pPr>
          </w:p>
        </w:tc>
        <w:tc>
          <w:tcPr>
            <w:tcW w:w="442" w:type="dxa"/>
            <w:tcBorders>
              <w:top w:val="single" w:sz="6" w:space="0" w:color="auto"/>
              <w:left w:val="single" w:sz="6" w:space="0" w:color="auto"/>
              <w:bottom w:val="single" w:sz="6" w:space="0" w:color="auto"/>
              <w:right w:val="single" w:sz="6" w:space="0" w:color="auto"/>
            </w:tcBorders>
            <w:shd w:val="clear" w:color="auto" w:fill="FFFFFF"/>
          </w:tcPr>
          <w:p w14:paraId="0308682B" w14:textId="77777777" w:rsidR="00A25AD1" w:rsidRPr="00DB5D0D" w:rsidRDefault="00A25AD1" w:rsidP="00DB5D0D">
            <w:pPr>
              <w:pStyle w:val="a3"/>
              <w:rPr>
                <w:color w:val="000000" w:themeColor="text1"/>
              </w:rPr>
            </w:pPr>
            <w:r w:rsidRPr="00DB5D0D">
              <w:rPr>
                <w:color w:val="000000" w:themeColor="text1"/>
              </w:rPr>
              <w:t>С</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7490E9F2" w14:textId="77777777" w:rsidR="00A25AD1" w:rsidRPr="00DB5D0D" w:rsidRDefault="00A25AD1" w:rsidP="00DB5D0D">
            <w:pPr>
              <w:pStyle w:val="a3"/>
              <w:rPr>
                <w:color w:val="000000" w:themeColor="text1"/>
              </w:rPr>
            </w:pPr>
            <w:r w:rsidRPr="00DB5D0D">
              <w:rPr>
                <w:color w:val="000000" w:themeColor="text1"/>
              </w:rPr>
              <w:t>Si</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766BEF2F" w14:textId="77777777" w:rsidR="00A25AD1" w:rsidRPr="00DB5D0D" w:rsidRDefault="00A25AD1" w:rsidP="00DB5D0D">
            <w:pPr>
              <w:pStyle w:val="a3"/>
              <w:rPr>
                <w:color w:val="000000" w:themeColor="text1"/>
              </w:rPr>
            </w:pPr>
            <w:r w:rsidRPr="00DB5D0D">
              <w:rPr>
                <w:color w:val="000000" w:themeColor="text1"/>
              </w:rPr>
              <w:t>Мп</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5C3E22D" w14:textId="77777777" w:rsidR="00A25AD1" w:rsidRPr="00DB5D0D" w:rsidRDefault="00A25AD1" w:rsidP="00DB5D0D">
            <w:pPr>
              <w:pStyle w:val="a3"/>
              <w:rPr>
                <w:color w:val="000000" w:themeColor="text1"/>
              </w:rPr>
            </w:pPr>
            <w:r w:rsidRPr="00DB5D0D">
              <w:rPr>
                <w:color w:val="000000" w:themeColor="text1"/>
              </w:rPr>
              <w:t>S</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6C894D0" w14:textId="77777777" w:rsidR="00A25AD1" w:rsidRPr="00DB5D0D" w:rsidRDefault="00A25AD1" w:rsidP="00DB5D0D">
            <w:pPr>
              <w:pStyle w:val="a3"/>
              <w:rPr>
                <w:color w:val="000000" w:themeColor="text1"/>
              </w:rPr>
            </w:pPr>
            <w:r w:rsidRPr="00DB5D0D">
              <w:rPr>
                <w:color w:val="000000" w:themeColor="text1"/>
              </w:rPr>
              <w:t>Р</w:t>
            </w:r>
          </w:p>
        </w:tc>
        <w:tc>
          <w:tcPr>
            <w:tcW w:w="427" w:type="dxa"/>
            <w:tcBorders>
              <w:top w:val="single" w:sz="6" w:space="0" w:color="auto"/>
              <w:left w:val="single" w:sz="6" w:space="0" w:color="auto"/>
              <w:bottom w:val="single" w:sz="6" w:space="0" w:color="auto"/>
              <w:right w:val="single" w:sz="6" w:space="0" w:color="auto"/>
            </w:tcBorders>
            <w:shd w:val="clear" w:color="auto" w:fill="FFFFFF"/>
          </w:tcPr>
          <w:p w14:paraId="3801DFCE" w14:textId="77777777" w:rsidR="00A25AD1" w:rsidRPr="00DB5D0D" w:rsidRDefault="00A25AD1" w:rsidP="00DB5D0D">
            <w:pPr>
              <w:pStyle w:val="a3"/>
              <w:rPr>
                <w:color w:val="000000" w:themeColor="text1"/>
              </w:rPr>
            </w:pPr>
            <w:r w:rsidRPr="00DB5D0D">
              <w:rPr>
                <w:color w:val="000000" w:themeColor="text1"/>
              </w:rPr>
              <w:t>Сг</w:t>
            </w:r>
          </w:p>
        </w:tc>
        <w:tc>
          <w:tcPr>
            <w:tcW w:w="418" w:type="dxa"/>
            <w:tcBorders>
              <w:top w:val="single" w:sz="6" w:space="0" w:color="auto"/>
              <w:left w:val="single" w:sz="6" w:space="0" w:color="auto"/>
              <w:bottom w:val="single" w:sz="6" w:space="0" w:color="auto"/>
              <w:right w:val="single" w:sz="6" w:space="0" w:color="auto"/>
            </w:tcBorders>
            <w:shd w:val="clear" w:color="auto" w:fill="FFFFFF"/>
          </w:tcPr>
          <w:p w14:paraId="3AF3BF6C" w14:textId="77777777" w:rsidR="00A25AD1" w:rsidRPr="00DB5D0D" w:rsidRDefault="00A25AD1" w:rsidP="00DB5D0D">
            <w:pPr>
              <w:pStyle w:val="a3"/>
              <w:rPr>
                <w:color w:val="000000" w:themeColor="text1"/>
              </w:rPr>
            </w:pPr>
            <w:r w:rsidRPr="00DB5D0D">
              <w:rPr>
                <w:color w:val="000000" w:themeColor="text1"/>
              </w:rPr>
              <w:t>Ni</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3403670E" w14:textId="77777777" w:rsidR="00A25AD1" w:rsidRPr="00DB5D0D" w:rsidRDefault="00A25AD1" w:rsidP="00DB5D0D">
            <w:pPr>
              <w:pStyle w:val="a3"/>
              <w:rPr>
                <w:color w:val="000000" w:themeColor="text1"/>
              </w:rPr>
            </w:pPr>
            <w:r w:rsidRPr="00DB5D0D">
              <w:rPr>
                <w:color w:val="000000" w:themeColor="text1"/>
              </w:rPr>
              <w:t>Mo</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01954F3E" w14:textId="77777777" w:rsidR="00A25AD1" w:rsidRPr="00DB5D0D" w:rsidRDefault="00A25AD1" w:rsidP="00DB5D0D">
            <w:pPr>
              <w:pStyle w:val="a3"/>
              <w:rPr>
                <w:color w:val="000000" w:themeColor="text1"/>
              </w:rPr>
            </w:pPr>
            <w:r w:rsidRPr="00DB5D0D">
              <w:rPr>
                <w:color w:val="000000" w:themeColor="text1"/>
              </w:rPr>
              <w:t>V</w:t>
            </w:r>
          </w:p>
        </w:tc>
        <w:tc>
          <w:tcPr>
            <w:tcW w:w="619" w:type="dxa"/>
            <w:tcBorders>
              <w:top w:val="nil"/>
              <w:left w:val="single" w:sz="6" w:space="0" w:color="auto"/>
              <w:bottom w:val="single" w:sz="6" w:space="0" w:color="auto"/>
              <w:right w:val="single" w:sz="6" w:space="0" w:color="auto"/>
            </w:tcBorders>
            <w:shd w:val="clear" w:color="auto" w:fill="FFFFFF"/>
          </w:tcPr>
          <w:p w14:paraId="580DB81E" w14:textId="77777777" w:rsidR="00A25AD1" w:rsidRPr="00DB5D0D" w:rsidRDefault="00A25AD1" w:rsidP="00DB5D0D">
            <w:pPr>
              <w:pStyle w:val="a3"/>
              <w:rPr>
                <w:color w:val="000000" w:themeColor="text1"/>
              </w:rPr>
            </w:pPr>
          </w:p>
        </w:tc>
      </w:tr>
      <w:tr w:rsidR="007D5DF8" w:rsidRPr="00DB5D0D" w14:paraId="777E248A" w14:textId="77777777" w:rsidTr="009223E5">
        <w:trPr>
          <w:trHeight w:val="374"/>
        </w:trPr>
        <w:tc>
          <w:tcPr>
            <w:tcW w:w="917" w:type="dxa"/>
            <w:tcBorders>
              <w:top w:val="single" w:sz="6" w:space="0" w:color="auto"/>
              <w:left w:val="single" w:sz="6" w:space="0" w:color="auto"/>
              <w:bottom w:val="single" w:sz="6" w:space="0" w:color="auto"/>
              <w:right w:val="single" w:sz="6" w:space="0" w:color="auto"/>
            </w:tcBorders>
            <w:shd w:val="clear" w:color="auto" w:fill="FFFFFF"/>
          </w:tcPr>
          <w:p w14:paraId="0F62DCF4" w14:textId="77777777" w:rsidR="00A25AD1" w:rsidRPr="00DB5D0D" w:rsidRDefault="00A25AD1" w:rsidP="00DB5D0D">
            <w:pPr>
              <w:pStyle w:val="a3"/>
              <w:rPr>
                <w:color w:val="000000" w:themeColor="text1"/>
              </w:rPr>
            </w:pPr>
            <w:r w:rsidRPr="00DB5D0D">
              <w:rPr>
                <w:color w:val="000000" w:themeColor="text1"/>
              </w:rPr>
              <w:lastRenderedPageBreak/>
              <w:t>МЗ-2</w:t>
            </w:r>
          </w:p>
        </w:tc>
        <w:tc>
          <w:tcPr>
            <w:tcW w:w="1272" w:type="dxa"/>
            <w:tcBorders>
              <w:top w:val="single" w:sz="6" w:space="0" w:color="auto"/>
              <w:left w:val="single" w:sz="6" w:space="0" w:color="auto"/>
              <w:bottom w:val="single" w:sz="6" w:space="0" w:color="auto"/>
              <w:right w:val="single" w:sz="6" w:space="0" w:color="auto"/>
            </w:tcBorders>
            <w:shd w:val="clear" w:color="auto" w:fill="FFFFFF"/>
          </w:tcPr>
          <w:p w14:paraId="5EC34013" w14:textId="77777777" w:rsidR="00A25AD1" w:rsidRPr="00DB5D0D" w:rsidRDefault="00A25AD1" w:rsidP="00DB5D0D">
            <w:pPr>
              <w:pStyle w:val="a3"/>
              <w:rPr>
                <w:color w:val="000000" w:themeColor="text1"/>
              </w:rPr>
            </w:pPr>
            <w:r w:rsidRPr="00DB5D0D">
              <w:rPr>
                <w:color w:val="000000" w:themeColor="text1"/>
              </w:rPr>
              <w:t>Дуплекс процесс, мартеновская печь</w:t>
            </w:r>
          </w:p>
        </w:tc>
        <w:tc>
          <w:tcPr>
            <w:tcW w:w="442" w:type="dxa"/>
            <w:tcBorders>
              <w:top w:val="single" w:sz="6" w:space="0" w:color="auto"/>
              <w:left w:val="single" w:sz="6" w:space="0" w:color="auto"/>
              <w:bottom w:val="single" w:sz="6" w:space="0" w:color="auto"/>
              <w:right w:val="single" w:sz="6" w:space="0" w:color="auto"/>
            </w:tcBorders>
            <w:shd w:val="clear" w:color="auto" w:fill="FFFFFF"/>
          </w:tcPr>
          <w:p w14:paraId="037E0507" w14:textId="77777777" w:rsidR="00A25AD1" w:rsidRPr="00DB5D0D" w:rsidRDefault="00A25AD1" w:rsidP="00DB5D0D">
            <w:pPr>
              <w:pStyle w:val="a3"/>
              <w:rPr>
                <w:color w:val="000000" w:themeColor="text1"/>
              </w:rPr>
            </w:pPr>
            <w:r w:rsidRPr="00DB5D0D">
              <w:rPr>
                <w:color w:val="000000" w:themeColor="text1"/>
              </w:rPr>
              <w:t>0,23</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14939525" w14:textId="77777777" w:rsidR="00A25AD1" w:rsidRPr="00DB5D0D" w:rsidRDefault="00A25AD1" w:rsidP="00DB5D0D">
            <w:pPr>
              <w:pStyle w:val="a3"/>
              <w:rPr>
                <w:color w:val="000000" w:themeColor="text1"/>
              </w:rPr>
            </w:pPr>
            <w:r w:rsidRPr="00DB5D0D">
              <w:rPr>
                <w:color w:val="000000" w:themeColor="text1"/>
              </w:rPr>
              <w:t>1,32</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7CCD575F" w14:textId="77777777" w:rsidR="00A25AD1" w:rsidRPr="00DB5D0D" w:rsidRDefault="00A25AD1" w:rsidP="00DB5D0D">
            <w:pPr>
              <w:pStyle w:val="a3"/>
              <w:rPr>
                <w:color w:val="000000" w:themeColor="text1"/>
              </w:rPr>
            </w:pPr>
            <w:r w:rsidRPr="00DB5D0D">
              <w:rPr>
                <w:color w:val="000000" w:themeColor="text1"/>
              </w:rPr>
              <w:t>1,38</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C9DDAC9" w14:textId="77777777" w:rsidR="00A25AD1" w:rsidRPr="00DB5D0D" w:rsidRDefault="00A25AD1" w:rsidP="00DB5D0D">
            <w:pPr>
              <w:pStyle w:val="a3"/>
              <w:rPr>
                <w:color w:val="000000" w:themeColor="text1"/>
              </w:rPr>
            </w:pPr>
            <w:r w:rsidRPr="00DB5D0D">
              <w:rPr>
                <w:color w:val="000000" w:themeColor="text1"/>
              </w:rPr>
              <w:t>0,013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EDF33D9" w14:textId="77777777" w:rsidR="00A25AD1" w:rsidRPr="00DB5D0D" w:rsidRDefault="00A25AD1" w:rsidP="00DB5D0D">
            <w:pPr>
              <w:pStyle w:val="a3"/>
              <w:rPr>
                <w:color w:val="000000" w:themeColor="text1"/>
              </w:rPr>
            </w:pPr>
            <w:r w:rsidRPr="00DB5D0D">
              <w:rPr>
                <w:color w:val="000000" w:themeColor="text1"/>
              </w:rPr>
              <w:t>0,018</w:t>
            </w:r>
          </w:p>
        </w:tc>
        <w:tc>
          <w:tcPr>
            <w:tcW w:w="427" w:type="dxa"/>
            <w:tcBorders>
              <w:top w:val="single" w:sz="6" w:space="0" w:color="auto"/>
              <w:left w:val="single" w:sz="6" w:space="0" w:color="auto"/>
              <w:bottom w:val="single" w:sz="6" w:space="0" w:color="auto"/>
              <w:right w:val="single" w:sz="6" w:space="0" w:color="auto"/>
            </w:tcBorders>
            <w:shd w:val="clear" w:color="auto" w:fill="FFFFFF"/>
          </w:tcPr>
          <w:p w14:paraId="53D4FC26" w14:textId="77777777" w:rsidR="00A25AD1" w:rsidRPr="00DB5D0D" w:rsidRDefault="00A25AD1" w:rsidP="00DB5D0D">
            <w:pPr>
              <w:pStyle w:val="a3"/>
              <w:rPr>
                <w:color w:val="000000" w:themeColor="text1"/>
              </w:rPr>
            </w:pPr>
            <w:r w:rsidRPr="00DB5D0D">
              <w:rPr>
                <w:color w:val="000000" w:themeColor="text1"/>
              </w:rPr>
              <w:t>0.92</w:t>
            </w:r>
          </w:p>
        </w:tc>
        <w:tc>
          <w:tcPr>
            <w:tcW w:w="418" w:type="dxa"/>
            <w:tcBorders>
              <w:top w:val="single" w:sz="6" w:space="0" w:color="auto"/>
              <w:left w:val="single" w:sz="6" w:space="0" w:color="auto"/>
              <w:bottom w:val="single" w:sz="6" w:space="0" w:color="auto"/>
              <w:right w:val="single" w:sz="6" w:space="0" w:color="auto"/>
            </w:tcBorders>
            <w:shd w:val="clear" w:color="auto" w:fill="FFFFFF"/>
          </w:tcPr>
          <w:p w14:paraId="2CDA226F" w14:textId="77777777" w:rsidR="00A25AD1" w:rsidRPr="00DB5D0D" w:rsidRDefault="00A25AD1" w:rsidP="00DB5D0D">
            <w:pPr>
              <w:pStyle w:val="a3"/>
              <w:rPr>
                <w:color w:val="000000" w:themeColor="text1"/>
              </w:rPr>
            </w:pPr>
            <w:r w:rsidRPr="00DB5D0D">
              <w:rPr>
                <w:color w:val="000000" w:themeColor="text1"/>
              </w:rPr>
              <w:t>1,41</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4767D3FD" w14:textId="77777777" w:rsidR="00A25AD1" w:rsidRPr="00DB5D0D" w:rsidRDefault="00A25AD1" w:rsidP="00DB5D0D">
            <w:pPr>
              <w:pStyle w:val="a3"/>
              <w:rPr>
                <w:color w:val="000000" w:themeColor="text1"/>
              </w:rPr>
            </w:pPr>
            <w:r w:rsidRPr="00DB5D0D">
              <w:rPr>
                <w:color w:val="000000" w:themeColor="text1"/>
              </w:rPr>
              <w:t>0,17</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753C7EAD" w14:textId="77777777" w:rsidR="00A25AD1" w:rsidRPr="00DB5D0D" w:rsidRDefault="00A25AD1" w:rsidP="00DB5D0D">
            <w:pPr>
              <w:pStyle w:val="231"/>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2CD4B706" w14:textId="77777777" w:rsidR="00A25AD1" w:rsidRPr="00DB5D0D" w:rsidRDefault="00A25AD1" w:rsidP="00DB5D0D">
            <w:pPr>
              <w:pStyle w:val="a3"/>
              <w:rPr>
                <w:color w:val="000000" w:themeColor="text1"/>
              </w:rPr>
            </w:pPr>
            <w:r w:rsidRPr="00DB5D0D">
              <w:rPr>
                <w:color w:val="000000" w:themeColor="text1"/>
              </w:rPr>
              <w:t>3</w:t>
            </w:r>
          </w:p>
        </w:tc>
      </w:tr>
      <w:tr w:rsidR="007D5DF8" w:rsidRPr="00DB5D0D" w14:paraId="5AFBDB12" w14:textId="77777777" w:rsidTr="009223E5">
        <w:trPr>
          <w:trHeight w:val="394"/>
        </w:trPr>
        <w:tc>
          <w:tcPr>
            <w:tcW w:w="917" w:type="dxa"/>
            <w:tcBorders>
              <w:top w:val="single" w:sz="6" w:space="0" w:color="auto"/>
              <w:left w:val="single" w:sz="6" w:space="0" w:color="auto"/>
              <w:bottom w:val="single" w:sz="6" w:space="0" w:color="auto"/>
              <w:right w:val="single" w:sz="6" w:space="0" w:color="auto"/>
            </w:tcBorders>
            <w:shd w:val="clear" w:color="auto" w:fill="FFFFFF"/>
          </w:tcPr>
          <w:p w14:paraId="3D4CA749" w14:textId="77777777" w:rsidR="00A25AD1" w:rsidRPr="00DB5D0D" w:rsidRDefault="00A25AD1" w:rsidP="00DB5D0D">
            <w:pPr>
              <w:pStyle w:val="a3"/>
              <w:rPr>
                <w:color w:val="000000" w:themeColor="text1"/>
              </w:rPr>
            </w:pPr>
            <w:r w:rsidRPr="00DB5D0D">
              <w:rPr>
                <w:color w:val="000000" w:themeColor="text1"/>
              </w:rPr>
              <w:t>ФД-6654</w:t>
            </w:r>
          </w:p>
        </w:tc>
        <w:tc>
          <w:tcPr>
            <w:tcW w:w="1272" w:type="dxa"/>
            <w:tcBorders>
              <w:top w:val="single" w:sz="6" w:space="0" w:color="auto"/>
              <w:left w:val="single" w:sz="6" w:space="0" w:color="auto"/>
              <w:bottom w:val="single" w:sz="6" w:space="0" w:color="auto"/>
              <w:right w:val="single" w:sz="6" w:space="0" w:color="auto"/>
            </w:tcBorders>
            <w:shd w:val="clear" w:color="auto" w:fill="FFFFFF"/>
          </w:tcPr>
          <w:p w14:paraId="40BA7DC0" w14:textId="77777777" w:rsidR="00A25AD1" w:rsidRPr="00DB5D0D" w:rsidRDefault="00A25AD1" w:rsidP="00DB5D0D">
            <w:pPr>
              <w:pStyle w:val="a3"/>
              <w:rPr>
                <w:color w:val="000000" w:themeColor="text1"/>
              </w:rPr>
            </w:pPr>
            <w:r w:rsidRPr="00DB5D0D">
              <w:rPr>
                <w:color w:val="000000" w:themeColor="text1"/>
              </w:rPr>
              <w:t>Основная электро-печь</w:t>
            </w:r>
          </w:p>
        </w:tc>
        <w:tc>
          <w:tcPr>
            <w:tcW w:w="442" w:type="dxa"/>
            <w:tcBorders>
              <w:top w:val="single" w:sz="6" w:space="0" w:color="auto"/>
              <w:left w:val="single" w:sz="6" w:space="0" w:color="auto"/>
              <w:bottom w:val="single" w:sz="6" w:space="0" w:color="auto"/>
              <w:right w:val="single" w:sz="6" w:space="0" w:color="auto"/>
            </w:tcBorders>
            <w:shd w:val="clear" w:color="auto" w:fill="FFFFFF"/>
          </w:tcPr>
          <w:p w14:paraId="4D770D9C" w14:textId="77777777" w:rsidR="00A25AD1" w:rsidRPr="00DB5D0D" w:rsidRDefault="00A25AD1" w:rsidP="00DB5D0D">
            <w:pPr>
              <w:pStyle w:val="a3"/>
              <w:rPr>
                <w:color w:val="000000" w:themeColor="text1"/>
              </w:rPr>
            </w:pPr>
            <w:r w:rsidRPr="00DB5D0D">
              <w:rPr>
                <w:color w:val="000000" w:themeColor="text1"/>
              </w:rPr>
              <w:t>0,38</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6B51F1DC" w14:textId="77777777" w:rsidR="00A25AD1" w:rsidRPr="00DB5D0D" w:rsidRDefault="00A25AD1" w:rsidP="00DB5D0D">
            <w:pPr>
              <w:pStyle w:val="a3"/>
              <w:rPr>
                <w:color w:val="000000" w:themeColor="text1"/>
              </w:rPr>
            </w:pPr>
            <w:r w:rsidRPr="00DB5D0D">
              <w:rPr>
                <w:color w:val="000000" w:themeColor="text1"/>
              </w:rPr>
              <w:t>0,42</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41B87D1B" w14:textId="77777777" w:rsidR="00A25AD1" w:rsidRPr="00DB5D0D" w:rsidRDefault="00A25AD1" w:rsidP="00DB5D0D">
            <w:pPr>
              <w:pStyle w:val="a3"/>
              <w:rPr>
                <w:color w:val="000000" w:themeColor="text1"/>
              </w:rPr>
            </w:pPr>
            <w:r w:rsidRPr="00DB5D0D">
              <w:rPr>
                <w:color w:val="000000" w:themeColor="text1"/>
              </w:rPr>
              <w:t>0,44</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DA45C22" w14:textId="77777777" w:rsidR="00A25AD1" w:rsidRPr="00DB5D0D" w:rsidRDefault="00A25AD1" w:rsidP="00DB5D0D">
            <w:pPr>
              <w:pStyle w:val="a3"/>
              <w:rPr>
                <w:color w:val="000000" w:themeColor="text1"/>
              </w:rPr>
            </w:pPr>
            <w:r w:rsidRPr="00DB5D0D">
              <w:rPr>
                <w:color w:val="000000" w:themeColor="text1"/>
              </w:rPr>
              <w:t>0,013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56F70B4" w14:textId="77777777" w:rsidR="00A25AD1" w:rsidRPr="00DB5D0D" w:rsidRDefault="00A25AD1" w:rsidP="00DB5D0D">
            <w:pPr>
              <w:pStyle w:val="a3"/>
              <w:rPr>
                <w:color w:val="000000" w:themeColor="text1"/>
              </w:rPr>
            </w:pPr>
            <w:r w:rsidRPr="00DB5D0D">
              <w:rPr>
                <w:color w:val="000000" w:themeColor="text1"/>
              </w:rPr>
              <w:t>0,013</w:t>
            </w:r>
          </w:p>
        </w:tc>
        <w:tc>
          <w:tcPr>
            <w:tcW w:w="427" w:type="dxa"/>
            <w:tcBorders>
              <w:top w:val="single" w:sz="6" w:space="0" w:color="auto"/>
              <w:left w:val="single" w:sz="6" w:space="0" w:color="auto"/>
              <w:bottom w:val="single" w:sz="6" w:space="0" w:color="auto"/>
              <w:right w:val="single" w:sz="6" w:space="0" w:color="auto"/>
            </w:tcBorders>
            <w:shd w:val="clear" w:color="auto" w:fill="FFFFFF"/>
          </w:tcPr>
          <w:p w14:paraId="1F434F88" w14:textId="77777777" w:rsidR="00A25AD1" w:rsidRPr="00DB5D0D" w:rsidRDefault="00A25AD1" w:rsidP="00DB5D0D">
            <w:pPr>
              <w:pStyle w:val="a3"/>
              <w:rPr>
                <w:color w:val="000000" w:themeColor="text1"/>
              </w:rPr>
            </w:pPr>
            <w:r w:rsidRPr="00DB5D0D">
              <w:rPr>
                <w:color w:val="000000" w:themeColor="text1"/>
              </w:rPr>
              <w:t>1.56</w:t>
            </w:r>
          </w:p>
        </w:tc>
        <w:tc>
          <w:tcPr>
            <w:tcW w:w="418" w:type="dxa"/>
            <w:tcBorders>
              <w:top w:val="single" w:sz="6" w:space="0" w:color="auto"/>
              <w:left w:val="single" w:sz="6" w:space="0" w:color="auto"/>
              <w:bottom w:val="single" w:sz="6" w:space="0" w:color="auto"/>
              <w:right w:val="single" w:sz="6" w:space="0" w:color="auto"/>
            </w:tcBorders>
            <w:shd w:val="clear" w:color="auto" w:fill="FFFFFF"/>
          </w:tcPr>
          <w:p w14:paraId="744ED956" w14:textId="77777777" w:rsidR="00A25AD1" w:rsidRPr="00DB5D0D" w:rsidRDefault="00A25AD1" w:rsidP="00DB5D0D">
            <w:pPr>
              <w:pStyle w:val="a3"/>
              <w:rPr>
                <w:color w:val="000000" w:themeColor="text1"/>
              </w:rPr>
            </w:pPr>
            <w:r w:rsidRPr="00DB5D0D">
              <w:rPr>
                <w:color w:val="000000" w:themeColor="text1"/>
              </w:rPr>
              <w:t>2.39</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0FF4BCA5" w14:textId="77777777" w:rsidR="00A25AD1" w:rsidRPr="00DB5D0D" w:rsidRDefault="00A25AD1" w:rsidP="00DB5D0D">
            <w:pPr>
              <w:pStyle w:val="a3"/>
              <w:rPr>
                <w:color w:val="000000" w:themeColor="text1"/>
              </w:rPr>
            </w:pPr>
            <w:r w:rsidRPr="00DB5D0D">
              <w:rPr>
                <w:color w:val="000000" w:themeColor="text1"/>
              </w:rPr>
              <w:t>0,42</w:t>
            </w:r>
          </w:p>
        </w:tc>
        <w:tc>
          <w:tcPr>
            <w:tcW w:w="422" w:type="dxa"/>
            <w:tcBorders>
              <w:top w:val="single" w:sz="6" w:space="0" w:color="auto"/>
              <w:left w:val="single" w:sz="6" w:space="0" w:color="auto"/>
              <w:bottom w:val="single" w:sz="6" w:space="0" w:color="auto"/>
              <w:right w:val="single" w:sz="6" w:space="0" w:color="auto"/>
            </w:tcBorders>
            <w:shd w:val="clear" w:color="auto" w:fill="FFFFFF"/>
          </w:tcPr>
          <w:p w14:paraId="3AF5B7EB" w14:textId="77777777" w:rsidR="00A25AD1" w:rsidRPr="00DB5D0D" w:rsidRDefault="00A25AD1" w:rsidP="00DB5D0D">
            <w:pPr>
              <w:pStyle w:val="a3"/>
              <w:rPr>
                <w:color w:val="000000" w:themeColor="text1"/>
              </w:rPr>
            </w:pPr>
            <w:r w:rsidRPr="00DB5D0D">
              <w:rPr>
                <w:color w:val="000000" w:themeColor="text1"/>
              </w:rPr>
              <w:t>0.15</w:t>
            </w:r>
          </w:p>
        </w:tc>
        <w:tc>
          <w:tcPr>
            <w:tcW w:w="619" w:type="dxa"/>
            <w:tcBorders>
              <w:top w:val="single" w:sz="6" w:space="0" w:color="auto"/>
              <w:left w:val="single" w:sz="6" w:space="0" w:color="auto"/>
              <w:bottom w:val="single" w:sz="6" w:space="0" w:color="auto"/>
              <w:right w:val="single" w:sz="6" w:space="0" w:color="auto"/>
            </w:tcBorders>
            <w:shd w:val="clear" w:color="auto" w:fill="FFFFFF"/>
          </w:tcPr>
          <w:p w14:paraId="7F9D9220" w14:textId="77777777" w:rsidR="00A25AD1" w:rsidRPr="00DB5D0D" w:rsidRDefault="00A25AD1" w:rsidP="00DB5D0D">
            <w:pPr>
              <w:pStyle w:val="a3"/>
              <w:rPr>
                <w:color w:val="000000" w:themeColor="text1"/>
              </w:rPr>
            </w:pPr>
            <w:r w:rsidRPr="00DB5D0D">
              <w:rPr>
                <w:color w:val="000000" w:themeColor="text1"/>
              </w:rPr>
              <w:t>6</w:t>
            </w:r>
          </w:p>
        </w:tc>
      </w:tr>
    </w:tbl>
    <w:p w14:paraId="0B102EB7" w14:textId="77777777" w:rsidR="00A25AD1" w:rsidRPr="00DB5D0D" w:rsidRDefault="00A25AD1" w:rsidP="00DB5D0D">
      <w:pPr>
        <w:pStyle w:val="a3"/>
        <w:rPr>
          <w:color w:val="000000" w:themeColor="text1"/>
          <w:lang w:val="ru-RU"/>
        </w:rPr>
      </w:pPr>
      <w:r w:rsidRPr="00DB5D0D">
        <w:rPr>
          <w:color w:val="000000" w:themeColor="text1"/>
          <w:lang w:val="ru-RU"/>
        </w:rPr>
        <w:t>В дальнейшем все опытные литые балки подвергли отпуску на температуру 680°, после чего от них удалили прибыля. Термическая обработка литых балок проводилась по нескольким режимам.</w:t>
      </w:r>
    </w:p>
    <w:p w14:paraId="06DCC88C" w14:textId="77777777" w:rsidR="00A25AD1" w:rsidRPr="00DB5D0D" w:rsidRDefault="00A25AD1" w:rsidP="00DB5D0D">
      <w:pPr>
        <w:pStyle w:val="a3"/>
        <w:rPr>
          <w:color w:val="000000" w:themeColor="text1"/>
          <w:lang w:val="ru-RU"/>
        </w:rPr>
      </w:pPr>
      <w:r w:rsidRPr="00DB5D0D">
        <w:rPr>
          <w:color w:val="000000" w:themeColor="text1"/>
          <w:lang w:val="ru-RU"/>
        </w:rPr>
        <w:t>Балки, отлитые из стали ФД-6654, в количестве 3 штук и балки из стали МЗ-2 обрабатывались по режиму:</w:t>
      </w:r>
    </w:p>
    <w:p w14:paraId="5F0660D3" w14:textId="77777777" w:rsidR="00A25AD1" w:rsidRPr="00DB5D0D" w:rsidRDefault="00A25AD1" w:rsidP="00DB5D0D">
      <w:pPr>
        <w:pStyle w:val="a3"/>
        <w:tabs>
          <w:tab w:val="left" w:pos="482"/>
        </w:tabs>
        <w:rPr>
          <w:color w:val="000000" w:themeColor="text1"/>
          <w:lang w:val="ru-RU"/>
        </w:rPr>
      </w:pPr>
      <w:r w:rsidRPr="00DB5D0D">
        <w:rPr>
          <w:color w:val="000000" w:themeColor="text1"/>
          <w:lang w:val="ru-RU"/>
        </w:rPr>
        <w:t>1. Первая закалка: 920-930° -4 ч, охлаждение в масле;</w:t>
      </w:r>
    </w:p>
    <w:p w14:paraId="12BD60D0" w14:textId="77777777" w:rsidR="00A25AD1" w:rsidRPr="00DB5D0D" w:rsidRDefault="00A25AD1" w:rsidP="00DB5D0D">
      <w:pPr>
        <w:pStyle w:val="a3"/>
        <w:tabs>
          <w:tab w:val="left" w:pos="492"/>
        </w:tabs>
        <w:rPr>
          <w:color w:val="000000" w:themeColor="text1"/>
          <w:lang w:val="ru-RU"/>
        </w:rPr>
      </w:pPr>
      <w:r w:rsidRPr="00DB5D0D">
        <w:rPr>
          <w:color w:val="000000" w:themeColor="text1"/>
          <w:lang w:val="ru-RU"/>
        </w:rPr>
        <w:t>2. Высокий отпуск: 670-680° -7 ч, охлаждение в воде;</w:t>
      </w:r>
    </w:p>
    <w:p w14:paraId="0637BD18" w14:textId="77777777" w:rsidR="00A25AD1" w:rsidRPr="00DB5D0D" w:rsidRDefault="00A25AD1" w:rsidP="00DB5D0D">
      <w:pPr>
        <w:pStyle w:val="a3"/>
        <w:tabs>
          <w:tab w:val="left" w:pos="497"/>
        </w:tabs>
        <w:rPr>
          <w:color w:val="000000" w:themeColor="text1"/>
          <w:lang w:val="ru-RU"/>
        </w:rPr>
      </w:pPr>
      <w:r w:rsidRPr="00DB5D0D">
        <w:rPr>
          <w:color w:val="000000" w:themeColor="text1"/>
          <w:lang w:val="ru-RU"/>
        </w:rPr>
        <w:t>3. Вторая закалка: 870-880° -4 ч, охлаждение в масле;</w:t>
      </w:r>
    </w:p>
    <w:p w14:paraId="235DF7AB" w14:textId="77777777" w:rsidR="00A25AD1" w:rsidRPr="00DB5D0D" w:rsidRDefault="00A25AD1" w:rsidP="00DB5D0D">
      <w:pPr>
        <w:pStyle w:val="a3"/>
        <w:tabs>
          <w:tab w:val="left" w:pos="492"/>
        </w:tabs>
        <w:rPr>
          <w:color w:val="000000" w:themeColor="text1"/>
          <w:lang w:val="ru-RU"/>
        </w:rPr>
      </w:pPr>
      <w:r w:rsidRPr="00DB5D0D">
        <w:rPr>
          <w:color w:val="000000" w:themeColor="text1"/>
          <w:lang w:val="ru-RU"/>
        </w:rPr>
        <w:t>4. Высокий отпуск: 670-680° -7 ч, охлаждение в воде;</w:t>
      </w:r>
    </w:p>
    <w:p w14:paraId="66F32C91" w14:textId="77777777" w:rsidR="00A25AD1" w:rsidRPr="00DB5D0D" w:rsidRDefault="00A25AD1" w:rsidP="00DB5D0D">
      <w:pPr>
        <w:pStyle w:val="a3"/>
        <w:tabs>
          <w:tab w:val="left" w:pos="482"/>
        </w:tabs>
        <w:rPr>
          <w:color w:val="000000" w:themeColor="text1"/>
          <w:lang w:val="ru-RU"/>
        </w:rPr>
      </w:pPr>
      <w:r w:rsidRPr="00DB5D0D">
        <w:rPr>
          <w:color w:val="000000" w:themeColor="text1"/>
          <w:lang w:val="ru-RU"/>
        </w:rPr>
        <w:t>5. Окончательная закалка: 830-840° -5 ч, охлаждение в масле;</w:t>
      </w:r>
    </w:p>
    <w:p w14:paraId="1A01A187" w14:textId="77777777" w:rsidR="00A25AD1" w:rsidRPr="00DB5D0D" w:rsidRDefault="00A25AD1" w:rsidP="00DB5D0D">
      <w:pPr>
        <w:pStyle w:val="a3"/>
        <w:tabs>
          <w:tab w:val="left" w:pos="482"/>
        </w:tabs>
        <w:rPr>
          <w:color w:val="000000" w:themeColor="text1"/>
          <w:lang w:val="ru-RU"/>
        </w:rPr>
      </w:pPr>
      <w:r w:rsidRPr="00DB5D0D">
        <w:rPr>
          <w:color w:val="000000" w:themeColor="text1"/>
          <w:lang w:val="ru-RU"/>
        </w:rPr>
        <w:t>6. Окончательный отпуск различный:</w:t>
      </w:r>
    </w:p>
    <w:p w14:paraId="4B9E6C45" w14:textId="77777777" w:rsidR="00A25AD1" w:rsidRPr="00DB5D0D" w:rsidRDefault="00A25AD1" w:rsidP="00DB5D0D">
      <w:pPr>
        <w:pStyle w:val="a3"/>
        <w:rPr>
          <w:color w:val="000000" w:themeColor="text1"/>
          <w:lang w:val="ru-RU"/>
        </w:rPr>
      </w:pPr>
      <w:r w:rsidRPr="00DB5D0D">
        <w:rPr>
          <w:color w:val="000000" w:themeColor="text1"/>
          <w:lang w:val="ru-RU"/>
        </w:rPr>
        <w:t>а) для деталей марки ФД-6654 - отпуск при температуре 600- 610° - 10 ч, охлаждение в воде;</w:t>
      </w:r>
    </w:p>
    <w:p w14:paraId="17AC5DB3" w14:textId="77777777" w:rsidR="00A25AD1" w:rsidRPr="00DB5D0D" w:rsidRDefault="00A25AD1" w:rsidP="00DB5D0D">
      <w:pPr>
        <w:pStyle w:val="a3"/>
        <w:rPr>
          <w:color w:val="000000" w:themeColor="text1"/>
          <w:lang w:val="ru-RU"/>
        </w:rPr>
      </w:pPr>
      <w:r w:rsidRPr="00DB5D0D">
        <w:rPr>
          <w:color w:val="000000" w:themeColor="text1"/>
          <w:lang w:val="ru-RU"/>
        </w:rPr>
        <w:t>б) для деталей марки МЗ-2 - отпуск при температуре 620-625° — 12 ч, ох</w:t>
      </w:r>
      <w:r w:rsidRPr="00DB5D0D">
        <w:rPr>
          <w:color w:val="000000" w:themeColor="text1"/>
          <w:lang w:val="ru-RU"/>
        </w:rPr>
        <w:softHyphen/>
        <w:t>лаждение в воде.</w:t>
      </w:r>
    </w:p>
    <w:p w14:paraId="4A934C35" w14:textId="77777777" w:rsidR="00A25AD1" w:rsidRPr="00DB5D0D" w:rsidRDefault="00A25AD1" w:rsidP="00DB5D0D">
      <w:pPr>
        <w:pStyle w:val="a3"/>
        <w:rPr>
          <w:color w:val="000000" w:themeColor="text1"/>
          <w:lang w:val="ru-RU"/>
        </w:rPr>
      </w:pPr>
      <w:r w:rsidRPr="00DB5D0D">
        <w:rPr>
          <w:color w:val="000000" w:themeColor="text1"/>
          <w:lang w:val="ru-RU"/>
        </w:rPr>
        <w:t>Остальные три балки из стали ФД-6654 обрабатывались с предвари</w:t>
      </w:r>
      <w:r w:rsidRPr="00DB5D0D">
        <w:rPr>
          <w:color w:val="000000" w:themeColor="text1"/>
          <w:lang w:val="ru-RU"/>
        </w:rPr>
        <w:softHyphen/>
        <w:t>тельной гомогенизацией по режиму:</w:t>
      </w:r>
    </w:p>
    <w:p w14:paraId="0FDF5F3B" w14:textId="77777777" w:rsidR="00A25AD1" w:rsidRPr="00DB5D0D" w:rsidRDefault="00A25AD1" w:rsidP="00DB5D0D">
      <w:pPr>
        <w:pStyle w:val="a3"/>
        <w:tabs>
          <w:tab w:val="left" w:pos="2618"/>
        </w:tabs>
        <w:rPr>
          <w:color w:val="000000" w:themeColor="text1"/>
          <w:lang w:val="ru-RU"/>
        </w:rPr>
      </w:pPr>
      <w:r w:rsidRPr="00DB5D0D">
        <w:rPr>
          <w:color w:val="000000" w:themeColor="text1"/>
          <w:lang w:val="ru-RU"/>
        </w:rPr>
        <w:t>1. Гомогенизация:</w:t>
      </w:r>
    </w:p>
    <w:p w14:paraId="075502F9" w14:textId="77777777" w:rsidR="00A25AD1" w:rsidRPr="00DB5D0D" w:rsidRDefault="00A25AD1" w:rsidP="00DB5D0D">
      <w:pPr>
        <w:pStyle w:val="a3"/>
        <w:tabs>
          <w:tab w:val="left" w:pos="486"/>
        </w:tabs>
        <w:rPr>
          <w:color w:val="000000" w:themeColor="text1"/>
          <w:lang w:val="ru-RU"/>
        </w:rPr>
      </w:pPr>
      <w:r w:rsidRPr="00DB5D0D">
        <w:rPr>
          <w:color w:val="000000" w:themeColor="text1"/>
          <w:lang w:val="ru-RU"/>
        </w:rPr>
        <w:t>а) посадка при 650-680° и последу</w:t>
      </w:r>
      <w:r w:rsidRPr="00DB5D0D">
        <w:rPr>
          <w:color w:val="000000" w:themeColor="text1"/>
          <w:lang w:val="ru-RU"/>
        </w:rPr>
        <w:softHyphen/>
        <w:t>ющий нагрев до 1050-1100° со скоро</w:t>
      </w:r>
      <w:r w:rsidRPr="00DB5D0D">
        <w:rPr>
          <w:color w:val="000000" w:themeColor="text1"/>
          <w:lang w:val="ru-RU"/>
        </w:rPr>
        <w:softHyphen/>
        <w:t>стью 70-80° в час;</w:t>
      </w:r>
    </w:p>
    <w:p w14:paraId="635FC832" w14:textId="77777777" w:rsidR="00A25AD1" w:rsidRPr="00DB5D0D" w:rsidRDefault="00A25AD1" w:rsidP="00DB5D0D">
      <w:pPr>
        <w:pStyle w:val="a3"/>
        <w:tabs>
          <w:tab w:val="left" w:pos="2632"/>
        </w:tabs>
        <w:rPr>
          <w:color w:val="000000" w:themeColor="text1"/>
          <w:lang w:val="ru-RU"/>
        </w:rPr>
      </w:pPr>
      <w:r w:rsidRPr="00DB5D0D">
        <w:rPr>
          <w:color w:val="000000" w:themeColor="text1"/>
          <w:lang w:val="ru-RU"/>
        </w:rPr>
        <w:t>б) выдержка при 1050-1100° - 8 ч;</w:t>
      </w:r>
    </w:p>
    <w:p w14:paraId="6C9019C7" w14:textId="77777777" w:rsidR="00A25AD1" w:rsidRPr="00DB5D0D" w:rsidRDefault="00A25AD1" w:rsidP="00DB5D0D">
      <w:pPr>
        <w:pStyle w:val="a3"/>
        <w:tabs>
          <w:tab w:val="left" w:pos="2644"/>
        </w:tabs>
        <w:rPr>
          <w:color w:val="000000" w:themeColor="text1"/>
          <w:lang w:val="ru-RU"/>
        </w:rPr>
      </w:pPr>
      <w:r w:rsidRPr="00DB5D0D">
        <w:rPr>
          <w:color w:val="000000" w:themeColor="text1"/>
          <w:lang w:val="ru-RU"/>
        </w:rPr>
        <w:t>в) охлаждение детали на воздухе до 450°;</w:t>
      </w:r>
    </w:p>
    <w:p w14:paraId="6F39CB8B" w14:textId="77777777" w:rsidR="00A25AD1" w:rsidRPr="00DB5D0D" w:rsidRDefault="00A25AD1" w:rsidP="00DB5D0D">
      <w:pPr>
        <w:pStyle w:val="a3"/>
        <w:tabs>
          <w:tab w:val="left" w:pos="468"/>
        </w:tabs>
        <w:rPr>
          <w:color w:val="000000" w:themeColor="text1"/>
          <w:lang w:val="ru-RU"/>
        </w:rPr>
      </w:pPr>
      <w:r w:rsidRPr="00DB5D0D">
        <w:rPr>
          <w:color w:val="000000" w:themeColor="text1"/>
          <w:lang w:val="ru-RU"/>
        </w:rPr>
        <w:t>г) выдержка при 450° -2 ч;</w:t>
      </w:r>
    </w:p>
    <w:p w14:paraId="17429533" w14:textId="77777777" w:rsidR="00A25AD1" w:rsidRPr="00DB5D0D" w:rsidRDefault="00A25AD1" w:rsidP="00DB5D0D">
      <w:pPr>
        <w:pStyle w:val="a3"/>
        <w:tabs>
          <w:tab w:val="left" w:pos="486"/>
        </w:tabs>
        <w:rPr>
          <w:color w:val="000000" w:themeColor="text1"/>
          <w:lang w:val="ru-RU"/>
        </w:rPr>
      </w:pPr>
      <w:r w:rsidRPr="00DB5D0D">
        <w:rPr>
          <w:color w:val="000000" w:themeColor="text1"/>
          <w:lang w:val="ru-RU"/>
        </w:rPr>
        <w:t>д) подъем до 650-680' и выдержка 10ч;</w:t>
      </w:r>
    </w:p>
    <w:p w14:paraId="7062892F" w14:textId="77777777" w:rsidR="00A25AD1" w:rsidRPr="00DB5D0D" w:rsidRDefault="00A25AD1" w:rsidP="00DB5D0D">
      <w:pPr>
        <w:pStyle w:val="a3"/>
        <w:tabs>
          <w:tab w:val="left" w:pos="2632"/>
        </w:tabs>
        <w:rPr>
          <w:color w:val="000000" w:themeColor="text1"/>
          <w:lang w:val="ru-RU"/>
        </w:rPr>
      </w:pPr>
      <w:r w:rsidRPr="00DB5D0D">
        <w:rPr>
          <w:color w:val="000000" w:themeColor="text1"/>
          <w:lang w:val="ru-RU"/>
        </w:rPr>
        <w:t>е) выдача деталей на воздух;</w:t>
      </w:r>
    </w:p>
    <w:p w14:paraId="0F35D11B" w14:textId="77777777" w:rsidR="00A25AD1" w:rsidRPr="00DB5D0D" w:rsidRDefault="00A25AD1" w:rsidP="00DB5D0D">
      <w:pPr>
        <w:pStyle w:val="a3"/>
        <w:tabs>
          <w:tab w:val="left" w:pos="1836"/>
        </w:tabs>
        <w:rPr>
          <w:color w:val="000000" w:themeColor="text1"/>
          <w:lang w:val="ru-RU"/>
        </w:rPr>
      </w:pPr>
      <w:r w:rsidRPr="00DB5D0D">
        <w:rPr>
          <w:color w:val="000000" w:themeColor="text1"/>
          <w:lang w:val="ru-RU"/>
        </w:rPr>
        <w:t>2. Закалка: 870° -4 ч, охлаждение в масле;</w:t>
      </w:r>
    </w:p>
    <w:p w14:paraId="1EA3A432" w14:textId="77777777" w:rsidR="00A25AD1" w:rsidRPr="00DB5D0D" w:rsidRDefault="00A25AD1" w:rsidP="00DB5D0D">
      <w:pPr>
        <w:pStyle w:val="a3"/>
        <w:tabs>
          <w:tab w:val="left" w:pos="2368"/>
        </w:tabs>
        <w:rPr>
          <w:color w:val="000000" w:themeColor="text1"/>
          <w:lang w:val="ru-RU"/>
        </w:rPr>
      </w:pPr>
      <w:r w:rsidRPr="00DB5D0D">
        <w:rPr>
          <w:color w:val="000000" w:themeColor="text1"/>
          <w:lang w:val="ru-RU"/>
        </w:rPr>
        <w:t>3. Высокий отпуск: 670-680° - 7 ч, охлаждение в воде;</w:t>
      </w:r>
    </w:p>
    <w:p w14:paraId="06DECC2A" w14:textId="77777777" w:rsidR="00A25AD1" w:rsidRPr="00DB5D0D" w:rsidRDefault="00A25AD1" w:rsidP="00DB5D0D">
      <w:pPr>
        <w:pStyle w:val="a3"/>
        <w:rPr>
          <w:color w:val="000000" w:themeColor="text1"/>
          <w:lang w:val="ru-RU"/>
        </w:rPr>
      </w:pPr>
      <w:r w:rsidRPr="00DB5D0D">
        <w:rPr>
          <w:color w:val="000000" w:themeColor="text1"/>
          <w:lang w:val="ru-RU"/>
        </w:rPr>
        <w:t>После окончательной термической обработки было взято по одной детали каждого варианта, которые после надреза огнем по</w:t>
      </w:r>
      <w:r w:rsidRPr="00DB5D0D">
        <w:rPr>
          <w:color w:val="000000" w:themeColor="text1"/>
          <w:lang w:val="ru-RU"/>
        </w:rPr>
        <w:softHyphen/>
        <w:t>ломали под прессом для получения данных по виду излома, каче</w:t>
      </w:r>
      <w:r w:rsidRPr="00DB5D0D">
        <w:rPr>
          <w:color w:val="000000" w:themeColor="text1"/>
          <w:lang w:val="ru-RU"/>
        </w:rPr>
        <w:softHyphen/>
        <w:t>ству отливки и твердости по сечению. Наилучший излом показала литая балка из стали МЗ-2. Худшие изломы наблюдались у балок, изготовленных из стали ФД-6654, - в них были обнаружены зна</w:t>
      </w:r>
      <w:r w:rsidRPr="00DB5D0D">
        <w:rPr>
          <w:color w:val="000000" w:themeColor="text1"/>
          <w:lang w:val="ru-RU"/>
        </w:rPr>
        <w:softHyphen/>
        <w:t>чительные участки столбчатых кристаллов. При этом кристалли</w:t>
      </w:r>
      <w:r w:rsidRPr="00DB5D0D">
        <w:rPr>
          <w:color w:val="000000" w:themeColor="text1"/>
          <w:lang w:val="ru-RU"/>
        </w:rPr>
        <w:softHyphen/>
        <w:t>ческие зоны наблюдались как у балок из стали ФД-6654, прошед</w:t>
      </w:r>
      <w:r w:rsidRPr="00DB5D0D">
        <w:rPr>
          <w:color w:val="000000" w:themeColor="text1"/>
          <w:lang w:val="ru-RU"/>
        </w:rPr>
        <w:softHyphen/>
        <w:t>ших гомогенизацию, так и термически обработанных без нее.</w:t>
      </w:r>
    </w:p>
    <w:p w14:paraId="2C4B0B00" w14:textId="77777777" w:rsidR="00A25AD1" w:rsidRPr="00DB5D0D" w:rsidRDefault="00A25AD1" w:rsidP="00DB5D0D">
      <w:pPr>
        <w:pStyle w:val="a3"/>
        <w:rPr>
          <w:color w:val="000000" w:themeColor="text1"/>
          <w:lang w:val="ru-RU"/>
        </w:rPr>
      </w:pPr>
      <w:r w:rsidRPr="00DB5D0D">
        <w:rPr>
          <w:color w:val="000000" w:themeColor="text1"/>
          <w:lang w:val="ru-RU"/>
        </w:rPr>
        <w:t>В отношении качества отливки на всех трех изломах в цент</w:t>
      </w:r>
      <w:r w:rsidRPr="00DB5D0D">
        <w:rPr>
          <w:color w:val="000000" w:themeColor="text1"/>
          <w:lang w:val="ru-RU"/>
        </w:rPr>
        <w:softHyphen/>
        <w:t>ральной части наблюдались чистые, не загрязненные посторон</w:t>
      </w:r>
      <w:r w:rsidRPr="00DB5D0D">
        <w:rPr>
          <w:color w:val="000000" w:themeColor="text1"/>
          <w:lang w:val="ru-RU"/>
        </w:rPr>
        <w:softHyphen/>
        <w:t>ними включениями, усадочные раковины или усадочная рыхлость. Это указывало на недостаточное питание центра отливки жидким металлом в процессе ее затвердевания. В дальнейшем путем не</w:t>
      </w:r>
      <w:r w:rsidRPr="00DB5D0D">
        <w:rPr>
          <w:color w:val="000000" w:themeColor="text1"/>
          <w:lang w:val="ru-RU"/>
        </w:rPr>
        <w:softHyphen/>
        <w:t>которого изменения технологии специалистам бригады удалось увеличить плотность отливки в центральной части балки, таким образом, повысив качество детали. Твердость опытных литых ба</w:t>
      </w:r>
      <w:r w:rsidRPr="00DB5D0D">
        <w:rPr>
          <w:color w:val="000000" w:themeColor="text1"/>
          <w:lang w:val="ru-RU"/>
        </w:rPr>
        <w:softHyphen/>
        <w:t>лок, замеренная по сечению, в зоне плотного металла оказалась равномерной и лежала 8 пределах 3,6—3,7 для деталей из стали ФД-6654 и 3,8-3,9 - для деталей из стали МЗ-2.</w:t>
      </w:r>
    </w:p>
    <w:p w14:paraId="55F1CB20" w14:textId="77777777" w:rsidR="00A25AD1" w:rsidRPr="00DB5D0D" w:rsidRDefault="00A25AD1" w:rsidP="00DB5D0D">
      <w:pPr>
        <w:spacing w:after="0" w:line="240" w:lineRule="auto"/>
        <w:jc w:val="both"/>
        <w:rPr>
          <w:rFonts w:ascii="Times New Roman" w:hAnsi="Times New Roman"/>
          <w:noProof/>
          <w:color w:val="000000" w:themeColor="text1"/>
          <w:sz w:val="16"/>
          <w:szCs w:val="16"/>
        </w:rPr>
      </w:pPr>
      <w:r w:rsidRPr="00DB5D0D">
        <w:rPr>
          <w:rFonts w:ascii="Times New Roman" w:hAnsi="Times New Roman"/>
          <w:color w:val="000000" w:themeColor="text1"/>
          <w:sz w:val="16"/>
          <w:szCs w:val="16"/>
        </w:rPr>
        <w:t>Несмотря на обнаруженные в центральной части отливок рыхлости, балки по качеству волокна и твердости были признаны годными и от</w:t>
      </w:r>
      <w:r w:rsidRPr="00DB5D0D">
        <w:rPr>
          <w:rFonts w:ascii="Times New Roman" w:hAnsi="Times New Roman"/>
          <w:color w:val="000000" w:themeColor="text1"/>
          <w:sz w:val="16"/>
          <w:szCs w:val="16"/>
        </w:rPr>
        <w:softHyphen/>
        <w:t>правлены на механическую обработку, включавшую в себя строжку кро</w:t>
      </w:r>
      <w:r w:rsidRPr="00DB5D0D">
        <w:rPr>
          <w:rFonts w:ascii="Times New Roman" w:hAnsi="Times New Roman"/>
          <w:color w:val="000000" w:themeColor="text1"/>
          <w:sz w:val="16"/>
          <w:szCs w:val="16"/>
        </w:rPr>
        <w:softHyphen/>
        <w:t>мок, изготовление фаски для сварного шва, сверловку отверстий и на</w:t>
      </w:r>
      <w:r w:rsidRPr="00DB5D0D">
        <w:rPr>
          <w:rFonts w:ascii="Times New Roman" w:hAnsi="Times New Roman"/>
          <w:color w:val="000000" w:themeColor="text1"/>
          <w:sz w:val="16"/>
          <w:szCs w:val="16"/>
        </w:rPr>
        <w:softHyphen/>
        <w:t>резку резьбы для гужонного соединения. Затем на Мариупольском за</w:t>
      </w:r>
      <w:r w:rsidRPr="00DB5D0D">
        <w:rPr>
          <w:rFonts w:ascii="Times New Roman" w:hAnsi="Times New Roman"/>
          <w:color w:val="000000" w:themeColor="text1"/>
          <w:sz w:val="16"/>
          <w:szCs w:val="16"/>
        </w:rPr>
        <w:softHyphen/>
        <w:t>воде собрали два макета носового узла: один из стали марки ФД-6654 (без гомогенизации), второй из стали МЗ-2; сварка производилась элек</w:t>
      </w:r>
      <w:r w:rsidRPr="00DB5D0D">
        <w:rPr>
          <w:rFonts w:ascii="Times New Roman" w:hAnsi="Times New Roman"/>
          <w:color w:val="000000" w:themeColor="text1"/>
          <w:sz w:val="16"/>
          <w:szCs w:val="16"/>
        </w:rPr>
        <w:softHyphen/>
        <w:t>тродами «МД». После сборки носовой узел из стали МЗ-2 (для снятия закалочных напряжений в зоне сварного шва) был подвергнут низкому отпуску на температуру 270° и направлен на испытания (11903).</w:t>
      </w:r>
    </w:p>
    <w:p w14:paraId="380A7972" w14:textId="77777777" w:rsidR="00A25AD1" w:rsidRPr="00DB5D0D" w:rsidRDefault="00A25AD1" w:rsidP="00DB5D0D">
      <w:pPr>
        <w:pStyle w:val="a3"/>
        <w:rPr>
          <w:color w:val="000000" w:themeColor="text1"/>
          <w:lang w:val="ru-RU"/>
        </w:rPr>
      </w:pPr>
    </w:p>
    <w:p w14:paraId="04E1D6B2" w14:textId="77777777" w:rsidR="00A25AD1" w:rsidRPr="00DB5D0D" w:rsidRDefault="00A25AD1" w:rsidP="00DB5D0D">
      <w:pPr>
        <w:pStyle w:val="a3"/>
        <w:rPr>
          <w:color w:val="000000" w:themeColor="text1"/>
          <w:lang w:val="ru-RU"/>
        </w:rPr>
      </w:pPr>
      <w:r w:rsidRPr="00DB5D0D">
        <w:rPr>
          <w:color w:val="000000" w:themeColor="text1"/>
          <w:lang w:val="ru-RU"/>
        </w:rPr>
        <w:t>В мае-июне 1940 г. на Сталинградском тракторном заводе ра</w:t>
      </w:r>
      <w:r w:rsidRPr="00DB5D0D">
        <w:rPr>
          <w:color w:val="000000" w:themeColor="text1"/>
          <w:lang w:val="ru-RU"/>
        </w:rPr>
        <w:softHyphen/>
        <w:t>боты по подготовке серийного выпуска Т-34 так же, как и на заводе №183, отставали от графика. Основными причинами, тормозивши</w:t>
      </w:r>
      <w:r w:rsidRPr="00DB5D0D">
        <w:rPr>
          <w:color w:val="000000" w:themeColor="text1"/>
          <w:lang w:val="ru-RU"/>
        </w:rPr>
        <w:softHyphen/>
        <w:t>ми подготовительные работы, являлись, прежде всего - недоста</w:t>
      </w:r>
      <w:r w:rsidRPr="00DB5D0D">
        <w:rPr>
          <w:color w:val="000000" w:themeColor="text1"/>
          <w:lang w:val="ru-RU"/>
        </w:rPr>
        <w:softHyphen/>
        <w:t>точная обеспеченность завода средствами производства под про</w:t>
      </w:r>
      <w:r w:rsidRPr="00DB5D0D">
        <w:rPr>
          <w:color w:val="000000" w:themeColor="text1"/>
          <w:lang w:val="ru-RU"/>
        </w:rPr>
        <w:softHyphen/>
        <w:t>грамму по Т-34 (нехватка импортных и отечественных станков раз</w:t>
      </w:r>
      <w:r w:rsidRPr="00DB5D0D">
        <w:rPr>
          <w:color w:val="000000" w:themeColor="text1"/>
          <w:lang w:val="ru-RU"/>
        </w:rPr>
        <w:softHyphen/>
        <w:t>личных типов) и плохое снабжение металлом. Утвержденный план выпуска заготовок и деталей Т-34, предназначенных в том числе и для отправки на завод №183 в рамках кооперации, в июне месяце выполнен не был (11906).</w:t>
      </w:r>
    </w:p>
    <w:p w14:paraId="66F61AB1" w14:textId="77777777" w:rsidR="00A25AD1" w:rsidRPr="00DB5D0D" w:rsidRDefault="00A25AD1" w:rsidP="00DB5D0D">
      <w:pPr>
        <w:pStyle w:val="a3"/>
        <w:rPr>
          <w:color w:val="000000" w:themeColor="text1"/>
          <w:lang w:val="ru-RU"/>
        </w:rPr>
      </w:pPr>
    </w:p>
    <w:p w14:paraId="0A6AE2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мае-июне 1940 ХПЗ были полу</w:t>
      </w:r>
      <w:r w:rsidRPr="00DB5D0D">
        <w:rPr>
          <w:rFonts w:ascii="Times New Roman" w:hAnsi="Times New Roman"/>
          <w:color w:val="000000" w:themeColor="text1"/>
          <w:sz w:val="16"/>
          <w:szCs w:val="16"/>
        </w:rPr>
        <w:softHyphen/>
        <w:t>чены первые станки под программу выпуска новых средних танков. 10—20 июня заводу 183 были отгружены три мощных сварочных стенда, два из которых были пущены тут же (10782).</w:t>
      </w:r>
    </w:p>
    <w:p w14:paraId="4187C42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7D88FB" w14:textId="77777777" w:rsidR="00A25AD1" w:rsidRPr="00DB5D0D" w:rsidRDefault="00A25AD1" w:rsidP="00DB5D0D">
      <w:pPr>
        <w:pStyle w:val="a3"/>
        <w:rPr>
          <w:color w:val="000000" w:themeColor="text1"/>
          <w:lang w:val="ru-RU"/>
        </w:rPr>
      </w:pPr>
      <w:r w:rsidRPr="00DB5D0D">
        <w:rPr>
          <w:color w:val="000000" w:themeColor="text1"/>
          <w:lang w:val="ru-RU"/>
        </w:rPr>
        <w:t>В мае-июне 1940 года кроме изготовления установочной серии, в рамках програм</w:t>
      </w:r>
      <w:r w:rsidRPr="00DB5D0D">
        <w:rPr>
          <w:color w:val="000000" w:themeColor="text1"/>
          <w:lang w:val="ru-RU"/>
        </w:rPr>
        <w:softHyphen/>
        <w:t>мы по Т-34 на заводе №183 активно проводи</w:t>
      </w:r>
      <w:r w:rsidRPr="00DB5D0D">
        <w:rPr>
          <w:color w:val="000000" w:themeColor="text1"/>
          <w:lang w:val="ru-RU"/>
        </w:rPr>
        <w:softHyphen/>
        <w:t>лись подготовительные работы к серийному выпуску Т-34. Одна</w:t>
      </w:r>
      <w:r w:rsidRPr="00DB5D0D">
        <w:rPr>
          <w:color w:val="000000" w:themeColor="text1"/>
          <w:lang w:val="ru-RU"/>
        </w:rPr>
        <w:softHyphen/>
        <w:t>ко, по мнению военпреда Д.М. Козырева, этот процесс шел не</w:t>
      </w:r>
      <w:r w:rsidRPr="00DB5D0D">
        <w:rPr>
          <w:color w:val="000000" w:themeColor="text1"/>
          <w:lang w:val="ru-RU"/>
        </w:rPr>
        <w:softHyphen/>
        <w:t>удовлетворительно, что ставило под угрозу срыва всю программу 1940 г. По решению дирекции завода, осуществлять июльскую программу (20 танков) планировалось (так же, как и июньскую сборку машин установочной серии) на базе опытного отдела «500», по старой технологии, без использования конвейерной сборки. Однако такое решение могло затянуть период освоения серий</w:t>
      </w:r>
      <w:r w:rsidRPr="00DB5D0D">
        <w:rPr>
          <w:color w:val="000000" w:themeColor="text1"/>
          <w:lang w:val="ru-RU"/>
        </w:rPr>
        <w:softHyphen/>
        <w:t>ного выпуска танков Т-34 (11906).</w:t>
      </w:r>
    </w:p>
    <w:p w14:paraId="3AFCB31E" w14:textId="77777777" w:rsidR="00A25AD1" w:rsidRPr="00DB5D0D" w:rsidRDefault="00A25AD1" w:rsidP="00DB5D0D">
      <w:pPr>
        <w:pStyle w:val="a3"/>
        <w:rPr>
          <w:color w:val="000000" w:themeColor="text1"/>
          <w:lang w:val="ru-RU"/>
        </w:rPr>
      </w:pPr>
    </w:p>
    <w:p w14:paraId="0B7046A4" w14:textId="77777777" w:rsidR="008D3BAC" w:rsidRPr="00DB5D0D" w:rsidRDefault="008D3BA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 июне 1940 г. в КБ-520 и в отделе «500» завода № 183 шла интенсивная работа по устранению недостатков в конструкции танка Т-34, выявленных во время войсковых испытаний двух опытных образцов (18076).</w:t>
      </w:r>
    </w:p>
    <w:p w14:paraId="6D52B2A7" w14:textId="77777777" w:rsidR="008D3BAC" w:rsidRPr="00DB5D0D" w:rsidRDefault="008D3BAC" w:rsidP="00DB5D0D">
      <w:pPr>
        <w:spacing w:after="0" w:line="240" w:lineRule="auto"/>
        <w:jc w:val="both"/>
        <w:rPr>
          <w:rFonts w:ascii="Times New Roman" w:hAnsi="Times New Roman"/>
          <w:color w:val="000000" w:themeColor="text1"/>
          <w:sz w:val="16"/>
          <w:szCs w:val="16"/>
        </w:rPr>
      </w:pPr>
    </w:p>
    <w:p w14:paraId="189CAFE6" w14:textId="77777777" w:rsidR="00A25AD1" w:rsidRPr="00DB5D0D" w:rsidRDefault="00A25AD1" w:rsidP="00DB5D0D">
      <w:pPr>
        <w:pStyle w:val="a3"/>
        <w:rPr>
          <w:color w:val="000000" w:themeColor="text1"/>
          <w:lang w:val="ru-RU"/>
        </w:rPr>
      </w:pPr>
      <w:r w:rsidRPr="00DB5D0D">
        <w:rPr>
          <w:color w:val="000000" w:themeColor="text1"/>
          <w:lang w:val="ru-RU"/>
        </w:rPr>
        <w:t>В мае-июне 1940 сборка первых десяти танков Т-34 осуществлялась на базе опытного отдела «500». Как видно из отчетов старшего военного представите</w:t>
      </w:r>
      <w:r w:rsidRPr="00DB5D0D">
        <w:rPr>
          <w:color w:val="000000" w:themeColor="text1"/>
          <w:lang w:val="ru-RU"/>
        </w:rPr>
        <w:softHyphen/>
        <w:t>ля на заводе №183 Д.М. Козырева, их изготовление шло с отстава</w:t>
      </w:r>
      <w:r w:rsidRPr="00DB5D0D">
        <w:rPr>
          <w:color w:val="000000" w:themeColor="text1"/>
          <w:lang w:val="ru-RU"/>
        </w:rPr>
        <w:softHyphen/>
        <w:t>нием от намеченного графика. Одним из основных факторов, тор</w:t>
      </w:r>
      <w:r w:rsidRPr="00DB5D0D">
        <w:rPr>
          <w:color w:val="000000" w:themeColor="text1"/>
          <w:lang w:val="ru-RU"/>
        </w:rPr>
        <w:softHyphen/>
        <w:t>мозившим выпуск установочной серии Т-34, являлась несвоевре</w:t>
      </w:r>
      <w:r w:rsidRPr="00DB5D0D">
        <w:rPr>
          <w:color w:val="000000" w:themeColor="text1"/>
          <w:lang w:val="ru-RU"/>
        </w:rPr>
        <w:softHyphen/>
        <w:t>менная сборка корпусов и башен в отделе «700». Дело в том, что по распоряжению дирекции завода основные силы корпусного произ</w:t>
      </w:r>
      <w:r w:rsidRPr="00DB5D0D">
        <w:rPr>
          <w:color w:val="000000" w:themeColor="text1"/>
          <w:lang w:val="ru-RU"/>
        </w:rPr>
        <w:softHyphen/>
        <w:t>водства в мае-июне 1940 г. были заняты выпуском корпусов для танков БТ-7М. За указанный период отделу «700» удалось изгото</w:t>
      </w:r>
      <w:r w:rsidRPr="00DB5D0D">
        <w:rPr>
          <w:color w:val="000000" w:themeColor="text1"/>
          <w:lang w:val="ru-RU"/>
        </w:rPr>
        <w:softHyphen/>
        <w:t>вить всего десять корпусов и пять башен для Т-34, из которых один корпус и одна башня были отправлены на СТЗ. Кроме этого, изго</w:t>
      </w:r>
      <w:r w:rsidRPr="00DB5D0D">
        <w:rPr>
          <w:color w:val="000000" w:themeColor="text1"/>
          <w:lang w:val="ru-RU"/>
        </w:rPr>
        <w:softHyphen/>
        <w:t>товление установочной серии тормозилось вследствие ненадлежа</w:t>
      </w:r>
      <w:r w:rsidRPr="00DB5D0D">
        <w:rPr>
          <w:color w:val="000000" w:themeColor="text1"/>
          <w:lang w:val="ru-RU"/>
        </w:rPr>
        <w:softHyphen/>
        <w:t>щей обеспеченности завода сырьем и материалами, а также из-за несвоевременных поставок комплектующих и покупных изделий за</w:t>
      </w:r>
      <w:r w:rsidRPr="00DB5D0D">
        <w:rPr>
          <w:color w:val="000000" w:themeColor="text1"/>
          <w:lang w:val="ru-RU"/>
        </w:rPr>
        <w:softHyphen/>
        <w:t>водами-смежниками. На протяжении июня наиболее острый дефи</w:t>
      </w:r>
      <w:r w:rsidRPr="00DB5D0D">
        <w:rPr>
          <w:color w:val="000000" w:themeColor="text1"/>
          <w:lang w:val="ru-RU"/>
        </w:rPr>
        <w:softHyphen/>
        <w:t>цит ощущался по следующим наименованиям:</w:t>
      </w:r>
    </w:p>
    <w:p w14:paraId="4E14CE84" w14:textId="77777777" w:rsidR="00A25AD1" w:rsidRPr="00DB5D0D" w:rsidRDefault="00A25AD1" w:rsidP="00DB5D0D">
      <w:pPr>
        <w:pStyle w:val="a3"/>
        <w:tabs>
          <w:tab w:val="left" w:pos="582"/>
        </w:tabs>
        <w:rPr>
          <w:color w:val="000000" w:themeColor="text1"/>
          <w:lang w:val="ru-RU"/>
        </w:rPr>
      </w:pPr>
      <w:r w:rsidRPr="00DB5D0D">
        <w:rPr>
          <w:color w:val="000000" w:themeColor="text1"/>
          <w:lang w:val="ru-RU"/>
        </w:rPr>
        <w:t>- стартеры СТ-700 производства московского ЗЭМ; стартеры из первой партии имели конструктивные недостатки (выходили из строя после 20-30 заводок двигателя);</w:t>
      </w:r>
    </w:p>
    <w:p w14:paraId="0F436E21" w14:textId="77777777" w:rsidR="00A25AD1" w:rsidRPr="00DB5D0D" w:rsidRDefault="00A25AD1" w:rsidP="00DB5D0D">
      <w:pPr>
        <w:pStyle w:val="a3"/>
        <w:tabs>
          <w:tab w:val="left" w:pos="598"/>
        </w:tabs>
        <w:rPr>
          <w:color w:val="000000" w:themeColor="text1"/>
          <w:lang w:val="ru-RU"/>
        </w:rPr>
      </w:pPr>
      <w:r w:rsidRPr="00DB5D0D">
        <w:rPr>
          <w:color w:val="000000" w:themeColor="text1"/>
          <w:lang w:val="ru-RU"/>
        </w:rPr>
        <w:t>- моторы поворота башни производства ЯЭМЗ (г. Ярославль);</w:t>
      </w:r>
    </w:p>
    <w:p w14:paraId="28E4A91A" w14:textId="77777777" w:rsidR="00A25AD1" w:rsidRPr="00DB5D0D" w:rsidRDefault="00A25AD1" w:rsidP="00DB5D0D">
      <w:pPr>
        <w:pStyle w:val="a3"/>
        <w:tabs>
          <w:tab w:val="left" w:pos="632"/>
        </w:tabs>
        <w:rPr>
          <w:color w:val="000000" w:themeColor="text1"/>
          <w:lang w:val="ru-RU"/>
        </w:rPr>
      </w:pPr>
      <w:r w:rsidRPr="00DB5D0D">
        <w:rPr>
          <w:color w:val="000000" w:themeColor="text1"/>
          <w:lang w:val="ru-RU"/>
        </w:rPr>
        <w:t>- резиновые бандажи для опорных колес производства ЯРАК (г. Ярославль);</w:t>
      </w:r>
    </w:p>
    <w:p w14:paraId="67381E5D" w14:textId="77777777" w:rsidR="00A25AD1" w:rsidRPr="00DB5D0D" w:rsidRDefault="00A25AD1" w:rsidP="00DB5D0D">
      <w:pPr>
        <w:pStyle w:val="a3"/>
        <w:tabs>
          <w:tab w:val="left" w:pos="591"/>
        </w:tabs>
        <w:rPr>
          <w:color w:val="000000" w:themeColor="text1"/>
          <w:lang w:val="ru-RU"/>
        </w:rPr>
      </w:pPr>
      <w:r w:rsidRPr="00DB5D0D">
        <w:rPr>
          <w:color w:val="000000" w:themeColor="text1"/>
          <w:lang w:val="ru-RU"/>
        </w:rPr>
        <w:t>- стекла и зеркала для смотровых приборов;</w:t>
      </w:r>
    </w:p>
    <w:p w14:paraId="6EF1C068" w14:textId="77777777" w:rsidR="00A25AD1" w:rsidRPr="00DB5D0D" w:rsidRDefault="00A25AD1" w:rsidP="00DB5D0D">
      <w:pPr>
        <w:pStyle w:val="a3"/>
        <w:tabs>
          <w:tab w:val="left" w:pos="584"/>
        </w:tabs>
        <w:rPr>
          <w:color w:val="000000" w:themeColor="text1"/>
          <w:lang w:val="ru-RU"/>
        </w:rPr>
      </w:pPr>
      <w:r w:rsidRPr="00DB5D0D">
        <w:rPr>
          <w:color w:val="000000" w:themeColor="text1"/>
          <w:lang w:val="ru-RU"/>
        </w:rPr>
        <w:t>- установочные детали для спаренного пулемета ДТ;</w:t>
      </w:r>
    </w:p>
    <w:p w14:paraId="4B6F41D4" w14:textId="77777777" w:rsidR="00A25AD1" w:rsidRPr="00DB5D0D" w:rsidRDefault="00A25AD1" w:rsidP="00DB5D0D">
      <w:pPr>
        <w:pStyle w:val="a3"/>
        <w:tabs>
          <w:tab w:val="left" w:pos="596"/>
        </w:tabs>
        <w:rPr>
          <w:color w:val="000000" w:themeColor="text1"/>
          <w:lang w:val="ru-RU"/>
        </w:rPr>
      </w:pPr>
      <w:r w:rsidRPr="00DB5D0D">
        <w:rPr>
          <w:color w:val="000000" w:themeColor="text1"/>
          <w:lang w:val="ru-RU"/>
        </w:rPr>
        <w:t xml:space="preserve">- траки производства СТЗ. Необходимо отметить, что 27 июня 1940 г. СТЗ отгрузил заводу </w:t>
      </w:r>
      <w:r w:rsidRPr="00DB5D0D">
        <w:rPr>
          <w:color w:val="000000" w:themeColor="text1"/>
        </w:rPr>
        <w:t>N</w:t>
      </w:r>
      <w:r w:rsidRPr="00DB5D0D">
        <w:rPr>
          <w:color w:val="000000" w:themeColor="text1"/>
          <w:lang w:val="ru-RU"/>
        </w:rPr>
        <w:t>9183 шесть комплектов литых траков из стали Гатфильда и ситуация с обеспечением машин установоч</w:t>
      </w:r>
      <w:r w:rsidRPr="00DB5D0D">
        <w:rPr>
          <w:color w:val="000000" w:themeColor="text1"/>
          <w:lang w:val="ru-RU"/>
        </w:rPr>
        <w:softHyphen/>
        <w:t>ной серии гусеничными лентами несколько улучшилась.</w:t>
      </w:r>
    </w:p>
    <w:p w14:paraId="063D3929" w14:textId="77777777" w:rsidR="00A25AD1" w:rsidRPr="00DB5D0D" w:rsidRDefault="00A25AD1" w:rsidP="00DB5D0D">
      <w:pPr>
        <w:pStyle w:val="a3"/>
        <w:rPr>
          <w:color w:val="000000" w:themeColor="text1"/>
          <w:lang w:val="ru-RU"/>
        </w:rPr>
      </w:pPr>
      <w:r w:rsidRPr="00DB5D0D">
        <w:rPr>
          <w:color w:val="000000" w:themeColor="text1"/>
          <w:lang w:val="ru-RU"/>
        </w:rPr>
        <w:t>Еще одним сдерживающим фактором являлась чрезмерная заг</w:t>
      </w:r>
      <w:r w:rsidRPr="00DB5D0D">
        <w:rPr>
          <w:color w:val="000000" w:themeColor="text1"/>
          <w:lang w:val="ru-RU"/>
        </w:rPr>
        <w:softHyphen/>
        <w:t xml:space="preserve">руженность </w:t>
      </w:r>
    </w:p>
    <w:p w14:paraId="75C696E2" w14:textId="77777777" w:rsidR="00A25AD1" w:rsidRPr="00DB5D0D" w:rsidRDefault="00A25AD1" w:rsidP="00DB5D0D">
      <w:pPr>
        <w:pStyle w:val="a3"/>
        <w:rPr>
          <w:color w:val="000000" w:themeColor="text1"/>
          <w:lang w:val="ru-RU"/>
        </w:rPr>
      </w:pPr>
    </w:p>
    <w:p w14:paraId="5E9756C2" w14:textId="77777777" w:rsidR="00A25AD1" w:rsidRPr="00DB5D0D" w:rsidRDefault="00A25AD1" w:rsidP="00DB5D0D">
      <w:pPr>
        <w:pStyle w:val="a3"/>
        <w:rPr>
          <w:color w:val="000000" w:themeColor="text1"/>
          <w:lang w:val="ru-RU"/>
        </w:rPr>
      </w:pPr>
      <w:r w:rsidRPr="00DB5D0D">
        <w:rPr>
          <w:color w:val="000000" w:themeColor="text1"/>
          <w:lang w:val="ru-RU"/>
        </w:rPr>
        <w:t>В мае-июне 1940 г. опытным отделом «500» были выполнены следующие, не связанные с изготовлением уста</w:t>
      </w:r>
      <w:r w:rsidRPr="00DB5D0D">
        <w:rPr>
          <w:color w:val="000000" w:themeColor="text1"/>
          <w:lang w:val="ru-RU"/>
        </w:rPr>
        <w:softHyphen/>
        <w:t>новочной серии Т-34, работы:</w:t>
      </w:r>
    </w:p>
    <w:p w14:paraId="6EE837A6" w14:textId="77777777" w:rsidR="00A25AD1" w:rsidRPr="00DB5D0D" w:rsidRDefault="00A25AD1" w:rsidP="00DB5D0D">
      <w:pPr>
        <w:pStyle w:val="a3"/>
        <w:tabs>
          <w:tab w:val="left" w:pos="711"/>
        </w:tabs>
        <w:rPr>
          <w:color w:val="000000" w:themeColor="text1"/>
          <w:lang w:val="ru-RU"/>
        </w:rPr>
      </w:pPr>
      <w:r w:rsidRPr="00DB5D0D">
        <w:rPr>
          <w:color w:val="000000" w:themeColor="text1"/>
          <w:lang w:val="ru-RU"/>
        </w:rPr>
        <w:t>1. Разработка технического проекта трактора на базе танка Т-34 (машина А-42). Проект был закончен в середине июня, и в конце месяца КБ 520 приступило к изготовлению детальных чертежей.</w:t>
      </w:r>
    </w:p>
    <w:p w14:paraId="5DABE013" w14:textId="77777777" w:rsidR="00A25AD1" w:rsidRPr="00DB5D0D" w:rsidRDefault="00A25AD1" w:rsidP="00DB5D0D">
      <w:pPr>
        <w:pStyle w:val="a3"/>
        <w:tabs>
          <w:tab w:val="left" w:pos="697"/>
        </w:tabs>
        <w:rPr>
          <w:color w:val="000000" w:themeColor="text1"/>
          <w:lang w:val="ru-RU"/>
        </w:rPr>
      </w:pPr>
      <w:r w:rsidRPr="00DB5D0D">
        <w:rPr>
          <w:color w:val="000000" w:themeColor="text1"/>
          <w:lang w:val="ru-RU"/>
        </w:rPr>
        <w:t>2. По машинам БТ: проведе</w:t>
      </w:r>
      <w:r w:rsidRPr="00DB5D0D">
        <w:rPr>
          <w:color w:val="000000" w:themeColor="text1"/>
          <w:lang w:val="ru-RU"/>
        </w:rPr>
        <w:softHyphen/>
        <w:t>ны испытания БТ-7М №0314-2 и №903-03 с заменителями (на эти машины был установлен ряд деталей из чугуна вместо бронзы и алюминия, а также часть деталей из менее дефи</w:t>
      </w:r>
      <w:r w:rsidRPr="00DB5D0D">
        <w:rPr>
          <w:color w:val="000000" w:themeColor="text1"/>
          <w:lang w:val="ru-RU"/>
        </w:rPr>
        <w:softHyphen/>
        <w:t>цитных сталей вместо легиро</w:t>
      </w:r>
      <w:r w:rsidRPr="00DB5D0D">
        <w:rPr>
          <w:color w:val="000000" w:themeColor="text1"/>
          <w:lang w:val="ru-RU"/>
        </w:rPr>
        <w:softHyphen/>
        <w:t>ванной стали).</w:t>
      </w:r>
    </w:p>
    <w:p w14:paraId="25C03403" w14:textId="77777777" w:rsidR="00A25AD1" w:rsidRPr="00DB5D0D" w:rsidRDefault="00A25AD1" w:rsidP="00DB5D0D">
      <w:pPr>
        <w:pStyle w:val="a3"/>
        <w:rPr>
          <w:color w:val="000000" w:themeColor="text1"/>
          <w:lang w:val="ru-RU"/>
        </w:rPr>
      </w:pPr>
      <w:r w:rsidRPr="00DB5D0D">
        <w:rPr>
          <w:color w:val="000000" w:themeColor="text1"/>
          <w:lang w:val="ru-RU"/>
        </w:rPr>
        <w:t>Успешно проведено испыта</w:t>
      </w:r>
      <w:r w:rsidRPr="00DB5D0D">
        <w:rPr>
          <w:color w:val="000000" w:themeColor="text1"/>
          <w:lang w:val="ru-RU"/>
        </w:rPr>
        <w:softHyphen/>
        <w:t xml:space="preserve">ние гарантийной машины БТ-7М </w:t>
      </w:r>
      <w:r w:rsidRPr="00DB5D0D">
        <w:rPr>
          <w:color w:val="000000" w:themeColor="text1"/>
        </w:rPr>
        <w:t>N</w:t>
      </w:r>
      <w:r w:rsidRPr="00DB5D0D">
        <w:rPr>
          <w:color w:val="000000" w:themeColor="text1"/>
          <w:lang w:val="ru-RU"/>
        </w:rPr>
        <w:t>9327-45 (танк выдержал гаран</w:t>
      </w:r>
      <w:r w:rsidRPr="00DB5D0D">
        <w:rPr>
          <w:color w:val="000000" w:themeColor="text1"/>
          <w:lang w:val="ru-RU"/>
        </w:rPr>
        <w:softHyphen/>
        <w:t>тийный километраж 3000 км).</w:t>
      </w:r>
    </w:p>
    <w:p w14:paraId="59981B46" w14:textId="77777777" w:rsidR="00A25AD1" w:rsidRPr="00DB5D0D" w:rsidRDefault="00A25AD1" w:rsidP="00DB5D0D">
      <w:pPr>
        <w:pStyle w:val="a3"/>
        <w:rPr>
          <w:color w:val="000000" w:themeColor="text1"/>
          <w:lang w:val="ru-RU"/>
        </w:rPr>
      </w:pPr>
      <w:r w:rsidRPr="00DB5D0D">
        <w:rPr>
          <w:color w:val="000000" w:themeColor="text1"/>
          <w:lang w:val="ru-RU"/>
        </w:rPr>
        <w:t xml:space="preserve">Проведены испытания двух двигателей В-2 с гарантией на 150 ч работы (двигатели были установлены на БТ-7М </w:t>
      </w:r>
      <w:r w:rsidRPr="00DB5D0D">
        <w:rPr>
          <w:color w:val="000000" w:themeColor="text1"/>
        </w:rPr>
        <w:t>N</w:t>
      </w:r>
      <w:r w:rsidRPr="00DB5D0D">
        <w:rPr>
          <w:color w:val="000000" w:themeColor="text1"/>
          <w:lang w:val="ru-RU"/>
        </w:rPr>
        <w:t>90890-3 и 442-55). Первый двигатель прошел около 70 ч и был снят по причине пробивания газов в соединение между блоком цилиндров и головкой. Второй прошел 125 ч, после чего также появилось сильное пробивание газов в воду, вследствие чего вода из системы охлажде</w:t>
      </w:r>
      <w:r w:rsidRPr="00DB5D0D">
        <w:rPr>
          <w:color w:val="000000" w:themeColor="text1"/>
          <w:lang w:val="ru-RU"/>
        </w:rPr>
        <w:softHyphen/>
        <w:t>ния выбрасывалась через редуктор. На этих же двигателях повторил</w:t>
      </w:r>
      <w:r w:rsidRPr="00DB5D0D">
        <w:rPr>
          <w:color w:val="000000" w:themeColor="text1"/>
          <w:lang w:val="ru-RU"/>
        </w:rPr>
        <w:softHyphen/>
        <w:t>ся хронический дефект дизеля - поломка муфты опережения.</w:t>
      </w:r>
    </w:p>
    <w:p w14:paraId="3B5B3182" w14:textId="77777777" w:rsidR="00A25AD1" w:rsidRPr="00DB5D0D" w:rsidRDefault="00A25AD1" w:rsidP="00DB5D0D">
      <w:pPr>
        <w:pStyle w:val="a3"/>
        <w:rPr>
          <w:color w:val="000000" w:themeColor="text1"/>
          <w:lang w:val="ru-RU"/>
        </w:rPr>
      </w:pPr>
      <w:r w:rsidRPr="00DB5D0D">
        <w:rPr>
          <w:color w:val="000000" w:themeColor="text1"/>
          <w:lang w:val="ru-RU"/>
        </w:rPr>
        <w:lastRenderedPageBreak/>
        <w:t>Кроме этого, силами отдела велось восстановление машины БТ-5 для последующей установки на нее двигателя В-3.</w:t>
      </w:r>
    </w:p>
    <w:p w14:paraId="34872357" w14:textId="77777777" w:rsidR="00A25AD1" w:rsidRPr="00DB5D0D" w:rsidRDefault="00A25AD1" w:rsidP="00DB5D0D">
      <w:pPr>
        <w:pStyle w:val="a3"/>
        <w:rPr>
          <w:color w:val="000000" w:themeColor="text1"/>
          <w:lang w:val="ru-RU"/>
        </w:rPr>
      </w:pPr>
      <w:r w:rsidRPr="00DB5D0D">
        <w:rPr>
          <w:color w:val="000000" w:themeColor="text1"/>
          <w:lang w:val="ru-RU"/>
        </w:rPr>
        <w:t>3. По трактору «Ворошиловец»: проведены испытания на гаран</w:t>
      </w:r>
      <w:r w:rsidRPr="00DB5D0D">
        <w:rPr>
          <w:color w:val="000000" w:themeColor="text1"/>
          <w:lang w:val="ru-RU"/>
        </w:rPr>
        <w:softHyphen/>
        <w:t xml:space="preserve">тийный километраж трактора </w:t>
      </w:r>
      <w:r w:rsidRPr="00DB5D0D">
        <w:rPr>
          <w:color w:val="000000" w:themeColor="text1"/>
        </w:rPr>
        <w:t>N</w:t>
      </w:r>
      <w:r w:rsidRPr="00DB5D0D">
        <w:rPr>
          <w:color w:val="000000" w:themeColor="text1"/>
          <w:lang w:val="ru-RU"/>
        </w:rPr>
        <w:t>968.</w:t>
      </w:r>
    </w:p>
    <w:p w14:paraId="3F6395A6" w14:textId="77777777" w:rsidR="00A25AD1" w:rsidRPr="00DB5D0D" w:rsidRDefault="00A25AD1" w:rsidP="00DB5D0D">
      <w:pPr>
        <w:pStyle w:val="a3"/>
        <w:rPr>
          <w:color w:val="000000" w:themeColor="text1"/>
          <w:lang w:val="ru-RU"/>
        </w:rPr>
      </w:pPr>
      <w:r w:rsidRPr="00DB5D0D">
        <w:rPr>
          <w:color w:val="000000" w:themeColor="text1"/>
          <w:lang w:val="ru-RU"/>
        </w:rPr>
        <w:t>Осуществлены монтаж двигателя В-3 (шестицилиндрового) на трактор №7 и его испытания.</w:t>
      </w:r>
    </w:p>
    <w:p w14:paraId="6A70E15C" w14:textId="77777777" w:rsidR="00A25AD1" w:rsidRPr="00DB5D0D" w:rsidRDefault="00A25AD1" w:rsidP="00DB5D0D">
      <w:pPr>
        <w:pStyle w:val="a3"/>
        <w:rPr>
          <w:color w:val="000000" w:themeColor="text1"/>
          <w:lang w:val="ru-RU"/>
        </w:rPr>
      </w:pPr>
      <w:r w:rsidRPr="00DB5D0D">
        <w:rPr>
          <w:color w:val="000000" w:themeColor="text1"/>
          <w:lang w:val="ru-RU"/>
        </w:rPr>
        <w:t xml:space="preserve">Проведена сборка трактора </w:t>
      </w:r>
      <w:r w:rsidRPr="00DB5D0D">
        <w:rPr>
          <w:color w:val="000000" w:themeColor="text1"/>
        </w:rPr>
        <w:t>N</w:t>
      </w:r>
      <w:r w:rsidRPr="00DB5D0D">
        <w:rPr>
          <w:color w:val="000000" w:themeColor="text1"/>
          <w:lang w:val="ru-RU"/>
        </w:rPr>
        <w:t>9207 с деталями из заменителей легированных сталей и бронзы.</w:t>
      </w:r>
    </w:p>
    <w:p w14:paraId="07828162" w14:textId="77777777" w:rsidR="00A25AD1" w:rsidRPr="00DB5D0D" w:rsidRDefault="00A25AD1" w:rsidP="00DB5D0D">
      <w:pPr>
        <w:pStyle w:val="a3"/>
        <w:rPr>
          <w:color w:val="000000" w:themeColor="text1"/>
          <w:lang w:val="ru-RU"/>
        </w:rPr>
      </w:pPr>
      <w:r w:rsidRPr="00DB5D0D">
        <w:rPr>
          <w:color w:val="000000" w:themeColor="text1"/>
          <w:lang w:val="ru-RU"/>
        </w:rPr>
        <w:t>Велись разработка и изготовление системы пневматического сервоуправления для трактора «Ворошиловец».</w:t>
      </w:r>
    </w:p>
    <w:p w14:paraId="34AA42DA" w14:textId="77777777" w:rsidR="00A25AD1" w:rsidRPr="00DB5D0D" w:rsidRDefault="00A25AD1" w:rsidP="00DB5D0D">
      <w:pPr>
        <w:pStyle w:val="a3"/>
        <w:rPr>
          <w:color w:val="000000" w:themeColor="text1"/>
          <w:lang w:val="ru-RU"/>
        </w:rPr>
      </w:pPr>
      <w:r w:rsidRPr="00DB5D0D">
        <w:rPr>
          <w:color w:val="000000" w:themeColor="text1"/>
          <w:lang w:val="ru-RU"/>
        </w:rPr>
        <w:t>Таким образом, все вышеперечисленные факторы привели к тому, что июньская программа по производству танка Т-34 заводом № 183 не была выполнена (11906).</w:t>
      </w:r>
    </w:p>
    <w:p w14:paraId="02D36C28" w14:textId="77777777" w:rsidR="00A25AD1" w:rsidRPr="00DB5D0D" w:rsidRDefault="00A25AD1" w:rsidP="00DB5D0D">
      <w:pPr>
        <w:pStyle w:val="a3"/>
        <w:rPr>
          <w:color w:val="000000" w:themeColor="text1"/>
          <w:lang w:val="ru-RU"/>
        </w:rPr>
      </w:pPr>
    </w:p>
    <w:p w14:paraId="03E8EE89" w14:textId="77777777" w:rsidR="00A25AD1" w:rsidRPr="00DB5D0D" w:rsidRDefault="00A25AD1" w:rsidP="00DB5D0D">
      <w:pPr>
        <w:pStyle w:val="a3"/>
        <w:rPr>
          <w:color w:val="000000" w:themeColor="text1"/>
          <w:lang w:val="ru-RU"/>
        </w:rPr>
      </w:pPr>
      <w:r w:rsidRPr="00DB5D0D">
        <w:rPr>
          <w:color w:val="000000" w:themeColor="text1"/>
          <w:lang w:val="ru-RU"/>
        </w:rPr>
        <w:t>Подводя итоги событиям мая-июня 1940 г., необходимо отме</w:t>
      </w:r>
      <w:r w:rsidRPr="00DB5D0D">
        <w:rPr>
          <w:color w:val="000000" w:themeColor="text1"/>
          <w:lang w:val="ru-RU"/>
        </w:rPr>
        <w:softHyphen/>
        <w:t>тить следующие наиболее важные моменты:</w:t>
      </w:r>
    </w:p>
    <w:p w14:paraId="1A13B380" w14:textId="77777777" w:rsidR="00A25AD1" w:rsidRPr="00DB5D0D" w:rsidRDefault="00A25AD1" w:rsidP="00DB5D0D">
      <w:pPr>
        <w:pStyle w:val="a3"/>
        <w:tabs>
          <w:tab w:val="left" w:pos="534"/>
        </w:tabs>
        <w:rPr>
          <w:color w:val="000000" w:themeColor="text1"/>
          <w:lang w:val="ru-RU"/>
        </w:rPr>
      </w:pPr>
      <w:r w:rsidRPr="00DB5D0D">
        <w:rPr>
          <w:color w:val="000000" w:themeColor="text1"/>
          <w:lang w:val="ru-RU"/>
        </w:rPr>
        <w:t>1. Увеличение плана выпуска Т-34 в 1940 г. до 600 штук, из которых 500 танков должен был изготовить завод №183 и 100 танков - СТЗ.</w:t>
      </w:r>
    </w:p>
    <w:p w14:paraId="00D9E2AD" w14:textId="77777777" w:rsidR="00A25AD1" w:rsidRPr="00DB5D0D" w:rsidRDefault="00A25AD1" w:rsidP="00DB5D0D">
      <w:pPr>
        <w:pStyle w:val="a3"/>
        <w:tabs>
          <w:tab w:val="left" w:pos="500"/>
        </w:tabs>
        <w:rPr>
          <w:color w:val="000000" w:themeColor="text1"/>
          <w:lang w:val="ru-RU"/>
        </w:rPr>
      </w:pPr>
      <w:r w:rsidRPr="00DB5D0D">
        <w:rPr>
          <w:color w:val="000000" w:themeColor="text1"/>
          <w:lang w:val="ru-RU"/>
        </w:rPr>
        <w:t>2. Успешные работы на Мариупольском заводе по упрощению технологии производства наиболее трудоемких бронедеталей.</w:t>
      </w:r>
    </w:p>
    <w:p w14:paraId="41D9BF62" w14:textId="77777777" w:rsidR="00A25AD1" w:rsidRPr="00DB5D0D" w:rsidRDefault="00A25AD1" w:rsidP="00DB5D0D">
      <w:pPr>
        <w:pStyle w:val="a3"/>
        <w:tabs>
          <w:tab w:val="left" w:pos="476"/>
        </w:tabs>
        <w:rPr>
          <w:color w:val="000000" w:themeColor="text1"/>
          <w:lang w:val="ru-RU"/>
        </w:rPr>
      </w:pPr>
      <w:r w:rsidRPr="00DB5D0D">
        <w:rPr>
          <w:color w:val="000000" w:themeColor="text1"/>
          <w:lang w:val="ru-RU"/>
        </w:rPr>
        <w:t>3. Согласование чертежей бронедеталей на серийное производ</w:t>
      </w:r>
      <w:r w:rsidRPr="00DB5D0D">
        <w:rPr>
          <w:color w:val="000000" w:themeColor="text1"/>
          <w:lang w:val="ru-RU"/>
        </w:rPr>
        <w:softHyphen/>
        <w:t>ство и заключение договора на их изготовление с Мариупольским заводом им. Ильича.</w:t>
      </w:r>
    </w:p>
    <w:p w14:paraId="598FDB18" w14:textId="77777777" w:rsidR="00A25AD1" w:rsidRPr="00DB5D0D" w:rsidRDefault="00A25AD1" w:rsidP="00DB5D0D">
      <w:pPr>
        <w:pStyle w:val="a3"/>
        <w:tabs>
          <w:tab w:val="left" w:pos="495"/>
        </w:tabs>
        <w:rPr>
          <w:color w:val="000000" w:themeColor="text1"/>
          <w:lang w:val="ru-RU"/>
        </w:rPr>
      </w:pPr>
      <w:r w:rsidRPr="00DB5D0D">
        <w:rPr>
          <w:color w:val="000000" w:themeColor="text1"/>
          <w:lang w:val="ru-RU"/>
        </w:rPr>
        <w:t>4. Выпуск заводом №183 первых четырех машин установочной серии (11906).</w:t>
      </w:r>
    </w:p>
    <w:p w14:paraId="7ED51629" w14:textId="77777777" w:rsidR="00A25AD1" w:rsidRPr="00DB5D0D" w:rsidRDefault="00A25AD1" w:rsidP="00DB5D0D">
      <w:pPr>
        <w:pStyle w:val="a3"/>
        <w:tabs>
          <w:tab w:val="left" w:pos="495"/>
        </w:tabs>
        <w:rPr>
          <w:color w:val="000000" w:themeColor="text1"/>
          <w:lang w:val="ru-RU"/>
        </w:rPr>
      </w:pPr>
    </w:p>
    <w:p w14:paraId="4FC0190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78E192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16803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мае-июне 1940 г. развернулось освоение ДБ-ЗФ в полках, когда они пошли в 8-й, 11-й, 12-й, 42-й и другие полки. Всего только за первую половину 1940 г. предполагалось сформировать семь дальнебомбардировочных полков на ДБ-ЗФ, а всего за год - одиннадцать (плюс два на ДБ-240). В дополнение к этому только за первый квартал хотели перевооружить десять полков. Кроме того, ДБ-ЗФ давали и в некоторые разведывательные полки, например, в 167-й в Рязани. Только для новых формирований за июль-декабрь нужно было получить 682 ДБ-ЗФ. На 15 марта ВВС недоставало 711 ДБ-3 (при том, что в наличии имелось 866, на которых летал 21 строевой полк и два резервных). Из-за нехватки самолетов в октябре 1940 г., когда укомплектование новых полков уже должно было подходить к концу, во многих из них вообще не было ни одного самолета. На 20 октября в 200-м и 203-м дбап имелось по шесть машин (из 62), в 221-м - 15, в 223-м - семь. </w:t>
      </w:r>
    </w:p>
    <w:p w14:paraId="4E48E1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Семь полков не получили ничего!</w:t>
      </w:r>
    </w:p>
    <w:p w14:paraId="5D0B9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 не менее, уже к июлю 1940 г. появились части, практически полностью укомплектованные ДБ-ЗФ. Например, в 8-м дбап на 25 июля значатся даже 72 ДБ-ЗФ с моторами М-88. Новые самолеты стали поступать в Московский, Ленинградский, Северо-Кавказский и другие округа. Лишь на Дальнем Востоке монопольно царили старые ДБ-3. Там сохранилось еще немало машин с М-85 и М-86. "...в 5-й аб имеется 48 самолетов ДБ-3 первого выпуска разных заводов. Все эти самолеты требуют модернизации и в настоящее время небоеспособны из-за отсутствия запчастей, т.к. запчасти серийных самолетов не подходят", - сообщали оттуда.</w:t>
      </w:r>
    </w:p>
    <w:p w14:paraId="211AA1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Внедрение ДБ-ЗФ в строевых частях поначалу вызвало много неприятностей. "Первый же месяц эксплоатации этих самолетов выявил ряд серьезнейших дефектов и недостатков конструктивно-производственного порядка...", - писал в июне 1940 г. заместитель начальника ВВС Смушкевич новому наркому обороны маршалу Тимошенко. Расход горючего оказался почти вдвое больше, чем у ДБ-ЗБ. Впоследствии выявили дефект карбюраторов АК-88, дававших переобогащенную смесь. Карбюраторы еще периодически и горели при заходе на посадку. Жаловались на недостаточную прочность капотов моторов и всасывающих патрубков - трескаются. Полужесткие баки деформировались. Из-за неудачной конструкции заборников в баках оставался значительный невырабатываемый запас горючего, превышавший 150 л. И, наконец, в носовой кабине плохо закреплялось сиденье штурмана: "При резких толчках на рулении сиденье вместе со штурманом попадает в педали управления самолетом...".</w:t>
      </w:r>
    </w:p>
    <w:p w14:paraId="15A173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ДБ-ЗФ не вызывал восторга и у пилотов. Изменение центровки привело к значительному снижению устойчивости. "Пилотажные качества самолетов ДБ-ЗФ в значительной степени ухудшились по сравнению с качествами самолета ДБ-3", - писал Смушкевич (12021).</w:t>
      </w:r>
    </w:p>
    <w:p w14:paraId="6DE801E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9E53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мае-июне 1940 г. в НКО, по опыту применения танков в польском походе и советско-финской войне, рассматри</w:t>
      </w:r>
      <w:r w:rsidRPr="00DB5D0D">
        <w:rPr>
          <w:rFonts w:ascii="Times New Roman" w:hAnsi="Times New Roman"/>
          <w:color w:val="000000" w:themeColor="text1"/>
          <w:sz w:val="16"/>
          <w:szCs w:val="16"/>
        </w:rPr>
        <w:softHyphen/>
        <w:t>вался вопрос о формировании танковых дивизий. 27 мая в Политбюро и СНК была подана докладная записка, в которой описывалась структура танковой дивизии в количестве 386 танков, 108 бронемашин, 42 орудий и 72 минометов. Тог</w:t>
      </w:r>
      <w:r w:rsidRPr="00DB5D0D">
        <w:rPr>
          <w:rFonts w:ascii="Times New Roman" w:hAnsi="Times New Roman"/>
          <w:color w:val="000000" w:themeColor="text1"/>
          <w:sz w:val="16"/>
          <w:szCs w:val="16"/>
        </w:rPr>
        <w:softHyphen/>
        <w:t>да же был поднят вопрос о формировании танковых корпу</w:t>
      </w:r>
      <w:r w:rsidRPr="00DB5D0D">
        <w:rPr>
          <w:rFonts w:ascii="Times New Roman" w:hAnsi="Times New Roman"/>
          <w:color w:val="000000" w:themeColor="text1"/>
          <w:sz w:val="16"/>
          <w:szCs w:val="16"/>
        </w:rPr>
        <w:softHyphen/>
        <w:t>сов в составе двух танковых и одной моторизованной диви</w:t>
      </w:r>
      <w:r w:rsidRPr="00DB5D0D">
        <w:rPr>
          <w:rFonts w:ascii="Times New Roman" w:hAnsi="Times New Roman"/>
          <w:color w:val="000000" w:themeColor="text1"/>
          <w:sz w:val="16"/>
          <w:szCs w:val="16"/>
        </w:rPr>
        <w:softHyphen/>
        <w:t>зий; а. также мотоциклетного полка и других частей. По штату он должен был иметь 36 080 чел. и 1031 танк. Всего, по мнению наркома, следовало сформировать 6 танковых корпусов и дислоцировать их по два в БОВО и КОВО, а также по одному в ОдВО и ЗабВО. Однако это пред</w:t>
      </w:r>
      <w:r w:rsidRPr="00DB5D0D">
        <w:rPr>
          <w:rFonts w:ascii="Times New Roman" w:hAnsi="Times New Roman"/>
          <w:color w:val="000000" w:themeColor="text1"/>
          <w:sz w:val="16"/>
          <w:szCs w:val="16"/>
        </w:rPr>
        <w:softHyphen/>
        <w:t>ложение не было утверждено и вернулось на доработку (10782).</w:t>
      </w:r>
    </w:p>
    <w:p w14:paraId="6CE92E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89B608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BD42D3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5D638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весны - начале лета 1940 г. в СССР начали прибывать закупленные для ознакомления в Германии боевые самолеты, среди которых был и двухмоторный пикирующий бомбардировщик Юнкере Ju88A-1. Эта сравнительно крупная машина с экипажем из четырех человек, оборудованная тормозными щитками и автоматом вывода из пикирования, способная нести солидный бомбовый груз, определенно произвела впечатление на советских авиационных специалистов. Признанию ее высокого уровня способствовало также успешное применение Ju88 в боевых действиях на Западе. Руководство ВВС и наркомата авиационной промышленности (НКАП) пришли к однозначному выводу о необходимости срочного создания подобного самолета в СССР (3542).</w:t>
      </w:r>
    </w:p>
    <w:p w14:paraId="664BB49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5C612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007A32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00BF4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начальник Управления ВВС РККА Смушкевич, военком Агальцов и начальник штаба ВВС комдив Арженухин в письме, направленном Ворошилову, Шахурину и начальнику главного управления авиационного снаб</w:t>
      </w:r>
      <w:r w:rsidRPr="00DB5D0D">
        <w:rPr>
          <w:rFonts w:ascii="Times New Roman" w:hAnsi="Times New Roman"/>
          <w:color w:val="000000" w:themeColor="text1"/>
          <w:sz w:val="16"/>
          <w:szCs w:val="16"/>
        </w:rPr>
        <w:softHyphen/>
        <w:t>жения (ГУАС) Алексееву сообщали:</w:t>
      </w:r>
    </w:p>
    <w:p w14:paraId="75A721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«Боевой опыт современных войн, в особенности войны в Финляндии показал, что нам совершенно необходим спе</w:t>
      </w:r>
      <w:r w:rsidRPr="00DB5D0D">
        <w:rPr>
          <w:rFonts w:ascii="Times New Roman" w:hAnsi="Times New Roman"/>
          <w:color w:val="000000" w:themeColor="text1"/>
          <w:sz w:val="16"/>
          <w:szCs w:val="16"/>
        </w:rPr>
        <w:softHyphen/>
        <w:t>циальный тип самолета-штурмовика. Наши ВВС такого самолета в настоящее время не имеют, в силу чего истре</w:t>
      </w:r>
      <w:r w:rsidRPr="00DB5D0D">
        <w:rPr>
          <w:rFonts w:ascii="Times New Roman" w:hAnsi="Times New Roman"/>
          <w:color w:val="000000" w:themeColor="text1"/>
          <w:sz w:val="16"/>
          <w:szCs w:val="16"/>
        </w:rPr>
        <w:softHyphen/>
        <w:t>бительная авиация вынуждена довольно значительную долю своих боевых вылетов расходовать для действий по наземным целям.</w:t>
      </w:r>
    </w:p>
    <w:p w14:paraId="27BF35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числа опытных образцов наиболее подходит к уста</w:t>
      </w:r>
      <w:r w:rsidRPr="00DB5D0D">
        <w:rPr>
          <w:rFonts w:ascii="Times New Roman" w:hAnsi="Times New Roman"/>
          <w:color w:val="000000" w:themeColor="text1"/>
          <w:sz w:val="16"/>
          <w:szCs w:val="16"/>
        </w:rPr>
        <w:softHyphen/>
        <w:t>новленным боевым опытом требованиям &lt;...&gt; И-207М-65... Летно-тактические данные этого самолета &lt;...&gt; при не</w:t>
      </w:r>
      <w:r w:rsidRPr="00DB5D0D">
        <w:rPr>
          <w:rFonts w:ascii="Times New Roman" w:hAnsi="Times New Roman"/>
          <w:color w:val="000000" w:themeColor="text1"/>
          <w:sz w:val="16"/>
          <w:szCs w:val="16"/>
        </w:rPr>
        <w:softHyphen/>
        <w:t>которых несущественных изменениях, делают его наибо</w:t>
      </w:r>
      <w:r w:rsidRPr="00DB5D0D">
        <w:rPr>
          <w:rFonts w:ascii="Times New Roman" w:hAnsi="Times New Roman"/>
          <w:color w:val="000000" w:themeColor="text1"/>
          <w:sz w:val="16"/>
          <w:szCs w:val="16"/>
        </w:rPr>
        <w:softHyphen/>
        <w:t>лее пригодным для использования в качестве пикирующего штурмовика. Необходимо предусмотреть в качестве мак</w:t>
      </w:r>
      <w:r w:rsidRPr="00DB5D0D">
        <w:rPr>
          <w:rFonts w:ascii="Times New Roman" w:hAnsi="Times New Roman"/>
          <w:color w:val="000000" w:themeColor="text1"/>
          <w:sz w:val="16"/>
          <w:szCs w:val="16"/>
        </w:rPr>
        <w:softHyphen/>
        <w:t>симального варианта &lt;...&gt; нагрузки 2 бомбы по 250 кг, т.к. 500 кг бомбы такому типу самолета не нужны. Пулемет</w:t>
      </w:r>
      <w:r w:rsidRPr="00DB5D0D">
        <w:rPr>
          <w:rFonts w:ascii="Times New Roman" w:hAnsi="Times New Roman"/>
          <w:color w:val="000000" w:themeColor="text1"/>
          <w:sz w:val="16"/>
          <w:szCs w:val="16"/>
        </w:rPr>
        <w:softHyphen/>
        <w:t>ное вооружение должно состоять из 4-х &lt;...&gt; ШКАС; кроме того, необходимо разработать пушечный вариант, чрезвы</w:t>
      </w:r>
      <w:r w:rsidRPr="00DB5D0D">
        <w:rPr>
          <w:rFonts w:ascii="Times New Roman" w:hAnsi="Times New Roman"/>
          <w:color w:val="000000" w:themeColor="text1"/>
          <w:sz w:val="16"/>
          <w:szCs w:val="16"/>
        </w:rPr>
        <w:softHyphen/>
        <w:t>чайно необходимый для действий по танкам.</w:t>
      </w:r>
    </w:p>
    <w:p w14:paraId="6D7A25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необходимо иметь легкую съемную броню для защиты наиболее уязвимых частей и бронированную спинку...» (10745,36).</w:t>
      </w:r>
    </w:p>
    <w:p w14:paraId="01F403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93484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начальник ГУАС (Главного управ</w:t>
      </w:r>
      <w:r w:rsidRPr="00DB5D0D">
        <w:rPr>
          <w:rFonts w:ascii="Times New Roman" w:hAnsi="Times New Roman"/>
          <w:color w:val="000000" w:themeColor="text1"/>
          <w:sz w:val="16"/>
          <w:szCs w:val="16"/>
        </w:rPr>
        <w:softHyphen/>
        <w:t>ления авиационного снабжения) РККА комдив Алексеев и военком ГУАС бригадный комиссар Князев высказали Ворошилову, Шахурину и Смушкевичу свои соображения по поводу самолета И-207:</w:t>
      </w:r>
    </w:p>
    <w:p w14:paraId="3ECB1D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И-207 с мотором М-65 является на сегодня только проектом...</w:t>
      </w:r>
    </w:p>
    <w:p w14:paraId="112F1F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Применение на самолете брони, при возможной снару</w:t>
      </w:r>
      <w:r w:rsidRPr="00DB5D0D">
        <w:rPr>
          <w:rFonts w:ascii="Times New Roman" w:hAnsi="Times New Roman"/>
          <w:color w:val="000000" w:themeColor="text1"/>
          <w:sz w:val="16"/>
          <w:szCs w:val="16"/>
        </w:rPr>
        <w:softHyphen/>
        <w:t>жи бомбовой нагрузке, приведет к тому, что летные дан</w:t>
      </w:r>
      <w:r w:rsidRPr="00DB5D0D">
        <w:rPr>
          <w:rFonts w:ascii="Times New Roman" w:hAnsi="Times New Roman"/>
          <w:color w:val="000000" w:themeColor="text1"/>
          <w:sz w:val="16"/>
          <w:szCs w:val="16"/>
        </w:rPr>
        <w:softHyphen/>
        <w:t>ные этого самолета значительно ухудшатся.</w:t>
      </w:r>
    </w:p>
    <w:p w14:paraId="57CF9F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прошел заводские испытания и 26 марта 1940 годы допущен к государственным испытаниям бронированный штурмовик с мотором АМ-35 конст</w:t>
      </w:r>
      <w:r w:rsidRPr="00DB5D0D">
        <w:rPr>
          <w:rFonts w:ascii="Times New Roman" w:hAnsi="Times New Roman"/>
          <w:color w:val="000000" w:themeColor="text1"/>
          <w:sz w:val="16"/>
          <w:szCs w:val="16"/>
        </w:rPr>
        <w:softHyphen/>
        <w:t>рукции тов. ИЛЬЮШИНА...</w:t>
      </w:r>
    </w:p>
    <w:p w14:paraId="533890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 постройку бронированного одноместного штур</w:t>
      </w:r>
      <w:r w:rsidRPr="00DB5D0D">
        <w:rPr>
          <w:rFonts w:ascii="Times New Roman" w:hAnsi="Times New Roman"/>
          <w:color w:val="000000" w:themeColor="text1"/>
          <w:sz w:val="16"/>
          <w:szCs w:val="16"/>
        </w:rPr>
        <w:softHyphen/>
        <w:t>мовика с мотором М-71 и конструктор т. СУХОЙ...</w:t>
      </w:r>
    </w:p>
    <w:p w14:paraId="3C1C0D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этого, считаю постановку вопроса о самоле</w:t>
      </w:r>
      <w:r w:rsidRPr="00DB5D0D">
        <w:rPr>
          <w:rFonts w:ascii="Times New Roman" w:hAnsi="Times New Roman"/>
          <w:color w:val="000000" w:themeColor="text1"/>
          <w:sz w:val="16"/>
          <w:szCs w:val="16"/>
        </w:rPr>
        <w:softHyphen/>
        <w:t>те И-207в качестве штурмовика преждевременной» (10745,34).</w:t>
      </w:r>
    </w:p>
    <w:p w14:paraId="1B47F6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2C2F4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в КБ С.В.Ильюшина, П.О.Сухого, С.А.Кочеригина, А.И.Микояна, А.А.Архангельского направили официальные ТТТ к новым бронированным штурмовикам, согласно которым все эти машины должны были быть одноместными. В то время так подход выглядел достаточно обоснованным. В отличие от бомбардировщика штурмовик действует вблизи линии фронта, не удаляясь далеко в тыл противника, и его можно прикрыть истребителями от нападения с воздуха. Истребителей в ВВС КА тогда имелось достаточно много, на вооружение поступали новые типы с высокими для своего времени летно-тактическими данными. За счет отсутствия на штурмовике стрелка предполагалось повысить дальность, увеличить мощь вооружения, усилить бронезащиту, увеличить время пребывания штурмовика над целью. Все было правильно, за исключением того, что еще никто не мог предположить, как сложится начало Великой Отечественной войны (9528).</w:t>
      </w:r>
    </w:p>
    <w:p w14:paraId="7C1A4FC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CBBC92"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Весной 1940 г. в связи с не</w:t>
      </w:r>
      <w:r w:rsidRPr="00DB5D0D">
        <w:rPr>
          <w:rFonts w:ascii="Times New Roman" w:hAnsi="Times New Roman"/>
          <w:color w:val="0070C0"/>
          <w:sz w:val="16"/>
          <w:szCs w:val="16"/>
        </w:rPr>
        <w:softHyphen/>
        <w:t>удовлетворительными результатами испытаний «Ш» в 1939 г. ьыл подготовлен эс</w:t>
      </w:r>
      <w:r w:rsidRPr="00DB5D0D">
        <w:rPr>
          <w:rFonts w:ascii="Times New Roman" w:hAnsi="Times New Roman"/>
          <w:color w:val="0070C0"/>
          <w:sz w:val="16"/>
          <w:szCs w:val="16"/>
        </w:rPr>
        <w:softHyphen/>
        <w:t>кизный проект Малой Модификации Штурмовика (ММШ). Предполагалось как улучшение уже построенного са</w:t>
      </w:r>
      <w:r w:rsidRPr="00DB5D0D">
        <w:rPr>
          <w:rFonts w:ascii="Times New Roman" w:hAnsi="Times New Roman"/>
          <w:color w:val="0070C0"/>
          <w:sz w:val="16"/>
          <w:szCs w:val="16"/>
        </w:rPr>
        <w:softHyphen/>
        <w:t>молета «Ш», в котором вместо М-88 предполагалось ус</w:t>
      </w:r>
      <w:r w:rsidRPr="00DB5D0D">
        <w:rPr>
          <w:rFonts w:ascii="Times New Roman" w:hAnsi="Times New Roman"/>
          <w:color w:val="0070C0"/>
          <w:sz w:val="16"/>
          <w:szCs w:val="16"/>
        </w:rPr>
        <w:softHyphen/>
        <w:t>тановить более мощный двигатель М-81. Вообще, под обозначением ММШ попадало несколько проектных вари</w:t>
      </w:r>
      <w:r w:rsidRPr="00DB5D0D">
        <w:rPr>
          <w:rFonts w:ascii="Times New Roman" w:hAnsi="Times New Roman"/>
          <w:color w:val="0070C0"/>
          <w:sz w:val="16"/>
          <w:szCs w:val="16"/>
        </w:rPr>
        <w:softHyphen/>
        <w:t>антов, в том числе и с двигателем М-105. Поначалу глав</w:t>
      </w:r>
      <w:r w:rsidRPr="00DB5D0D">
        <w:rPr>
          <w:rFonts w:ascii="Times New Roman" w:hAnsi="Times New Roman"/>
          <w:color w:val="0070C0"/>
          <w:sz w:val="16"/>
          <w:szCs w:val="16"/>
        </w:rPr>
        <w:softHyphen/>
        <w:t>ной особенностью ММШ являлось неубираемое шасси. По</w:t>
      </w:r>
      <w:r w:rsidRPr="00DB5D0D">
        <w:rPr>
          <w:rFonts w:ascii="Times New Roman" w:hAnsi="Times New Roman"/>
          <w:color w:val="0070C0"/>
          <w:sz w:val="16"/>
          <w:szCs w:val="16"/>
        </w:rPr>
        <w:softHyphen/>
        <w:t>зднее предлагалось шасси, убираемое в фюзеляж.</w:t>
      </w:r>
    </w:p>
    <w:p w14:paraId="4D0DF857"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материалах эскизного проекта говорилось, что пере</w:t>
      </w:r>
      <w:r w:rsidRPr="00DB5D0D">
        <w:rPr>
          <w:rFonts w:ascii="Times New Roman" w:hAnsi="Times New Roman"/>
          <w:color w:val="0070C0"/>
          <w:sz w:val="16"/>
          <w:szCs w:val="16"/>
        </w:rPr>
        <w:softHyphen/>
        <w:t>делки уже осуществляются на втором экземпляре «Ш».</w:t>
      </w:r>
    </w:p>
    <w:p w14:paraId="2BFD1080"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Изменения: количество протестированных баков умень</w:t>
      </w:r>
      <w:r w:rsidRPr="00DB5D0D">
        <w:rPr>
          <w:rFonts w:ascii="Times New Roman" w:hAnsi="Times New Roman"/>
          <w:color w:val="0070C0"/>
          <w:sz w:val="16"/>
          <w:szCs w:val="16"/>
        </w:rPr>
        <w:softHyphen/>
        <w:t>шить с шести до четырех, что уменьшало количество го</w:t>
      </w:r>
      <w:r w:rsidRPr="00DB5D0D">
        <w:rPr>
          <w:rFonts w:ascii="Times New Roman" w:hAnsi="Times New Roman"/>
          <w:color w:val="0070C0"/>
          <w:sz w:val="16"/>
          <w:szCs w:val="16"/>
        </w:rPr>
        <w:softHyphen/>
        <w:t>рючего на 100 кг. Крыло деревянное, его площадь умень</w:t>
      </w:r>
      <w:r w:rsidRPr="00DB5D0D">
        <w:rPr>
          <w:rFonts w:ascii="Times New Roman" w:hAnsi="Times New Roman"/>
          <w:color w:val="0070C0"/>
          <w:sz w:val="16"/>
          <w:szCs w:val="16"/>
        </w:rPr>
        <w:softHyphen/>
        <w:t>шена с 24,15 до 18,0 кв.м., с увеличенным поперечным V (до 5°15’ вместо 3°). Соответственно уменьшалась площадь горизонтального и вертикального оперения. Центровка самолета более передняя - 25,5% вместо 30,5% САх.</w:t>
      </w:r>
    </w:p>
    <w:p w14:paraId="266ED1BF"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Пушечное вооружение снималось, взамен ставились 4 ШКАС. Бомбы 200 кг.</w:t>
      </w:r>
    </w:p>
    <w:p w14:paraId="04715EA9"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Расчетные характеристики ММШ М-81:</w:t>
      </w:r>
    </w:p>
    <w:tbl>
      <w:tblPr>
        <w:tblOverlap w:val="never"/>
        <w:tblW w:w="0" w:type="auto"/>
        <w:jc w:val="center"/>
        <w:tblLayout w:type="fixed"/>
        <w:tblCellMar>
          <w:left w:w="10" w:type="dxa"/>
          <w:right w:w="10" w:type="dxa"/>
        </w:tblCellMar>
        <w:tblLook w:val="04A0" w:firstRow="1" w:lastRow="0" w:firstColumn="1" w:lastColumn="0" w:noHBand="0" w:noVBand="1"/>
      </w:tblPr>
      <w:tblGrid>
        <w:gridCol w:w="3797"/>
        <w:gridCol w:w="1286"/>
      </w:tblGrid>
      <w:tr w:rsidR="00A03A42" w:rsidRPr="00DB5D0D" w14:paraId="30F3E641" w14:textId="77777777" w:rsidTr="007609C9">
        <w:trPr>
          <w:trHeight w:hRule="exact" w:val="326"/>
          <w:jc w:val="center"/>
        </w:trPr>
        <w:tc>
          <w:tcPr>
            <w:tcW w:w="3797" w:type="dxa"/>
            <w:tcBorders>
              <w:top w:val="single" w:sz="4" w:space="0" w:color="auto"/>
              <w:left w:val="single" w:sz="4" w:space="0" w:color="auto"/>
            </w:tcBorders>
            <w:shd w:val="clear" w:color="auto" w:fill="auto"/>
            <w:vAlign w:val="bottom"/>
          </w:tcPr>
          <w:p w14:paraId="0C493DCF"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Скорость максимальная у земли (км/ч)</w:t>
            </w:r>
          </w:p>
        </w:tc>
        <w:tc>
          <w:tcPr>
            <w:tcW w:w="1286" w:type="dxa"/>
            <w:tcBorders>
              <w:top w:val="single" w:sz="4" w:space="0" w:color="auto"/>
              <w:right w:val="single" w:sz="4" w:space="0" w:color="auto"/>
            </w:tcBorders>
            <w:shd w:val="clear" w:color="auto" w:fill="auto"/>
            <w:vAlign w:val="bottom"/>
          </w:tcPr>
          <w:p w14:paraId="70D4DB74"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450</w:t>
            </w:r>
          </w:p>
        </w:tc>
      </w:tr>
      <w:tr w:rsidR="00A03A42" w:rsidRPr="00DB5D0D" w14:paraId="712DBE33" w14:textId="77777777" w:rsidTr="007609C9">
        <w:trPr>
          <w:trHeight w:hRule="exact" w:val="197"/>
          <w:jc w:val="center"/>
        </w:trPr>
        <w:tc>
          <w:tcPr>
            <w:tcW w:w="3797" w:type="dxa"/>
            <w:tcBorders>
              <w:left w:val="single" w:sz="4" w:space="0" w:color="auto"/>
            </w:tcBorders>
            <w:shd w:val="clear" w:color="auto" w:fill="auto"/>
          </w:tcPr>
          <w:p w14:paraId="17D521DC"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Скорость максимальная на границе</w:t>
            </w:r>
          </w:p>
        </w:tc>
        <w:tc>
          <w:tcPr>
            <w:tcW w:w="1286" w:type="dxa"/>
            <w:tcBorders>
              <w:right w:val="single" w:sz="4" w:space="0" w:color="auto"/>
            </w:tcBorders>
            <w:shd w:val="clear" w:color="auto" w:fill="auto"/>
          </w:tcPr>
          <w:p w14:paraId="6680AB05" w14:textId="77777777" w:rsidR="00A03A42" w:rsidRPr="00DB5D0D" w:rsidRDefault="00A03A42" w:rsidP="00DB5D0D">
            <w:pPr>
              <w:spacing w:after="0" w:line="240" w:lineRule="auto"/>
              <w:jc w:val="both"/>
              <w:rPr>
                <w:rFonts w:ascii="Times New Roman" w:hAnsi="Times New Roman"/>
                <w:color w:val="0070C0"/>
                <w:sz w:val="16"/>
                <w:szCs w:val="16"/>
              </w:rPr>
            </w:pPr>
          </w:p>
        </w:tc>
      </w:tr>
      <w:tr w:rsidR="00A03A42" w:rsidRPr="00DB5D0D" w14:paraId="4ADC45E3" w14:textId="77777777" w:rsidTr="007609C9">
        <w:trPr>
          <w:trHeight w:hRule="exact" w:val="187"/>
          <w:jc w:val="center"/>
        </w:trPr>
        <w:tc>
          <w:tcPr>
            <w:tcW w:w="3797" w:type="dxa"/>
            <w:tcBorders>
              <w:left w:val="single" w:sz="4" w:space="0" w:color="auto"/>
            </w:tcBorders>
            <w:shd w:val="clear" w:color="auto" w:fill="auto"/>
          </w:tcPr>
          <w:p w14:paraId="02E68D23"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высотности (км/ч)</w:t>
            </w:r>
          </w:p>
        </w:tc>
        <w:tc>
          <w:tcPr>
            <w:tcW w:w="1286" w:type="dxa"/>
            <w:tcBorders>
              <w:right w:val="single" w:sz="4" w:space="0" w:color="auto"/>
            </w:tcBorders>
            <w:shd w:val="clear" w:color="auto" w:fill="auto"/>
          </w:tcPr>
          <w:p w14:paraId="61C12CB0"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520</w:t>
            </w:r>
          </w:p>
        </w:tc>
      </w:tr>
      <w:tr w:rsidR="00A03A42" w:rsidRPr="00DB5D0D" w14:paraId="010B1898" w14:textId="77777777" w:rsidTr="007609C9">
        <w:trPr>
          <w:trHeight w:hRule="exact" w:val="206"/>
          <w:jc w:val="center"/>
        </w:trPr>
        <w:tc>
          <w:tcPr>
            <w:tcW w:w="3797" w:type="dxa"/>
            <w:tcBorders>
              <w:left w:val="single" w:sz="4" w:space="0" w:color="auto"/>
            </w:tcBorders>
            <w:shd w:val="clear" w:color="auto" w:fill="auto"/>
          </w:tcPr>
          <w:p w14:paraId="7F720029"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Практический потолок (м)</w:t>
            </w:r>
          </w:p>
        </w:tc>
        <w:tc>
          <w:tcPr>
            <w:tcW w:w="1286" w:type="dxa"/>
            <w:tcBorders>
              <w:right w:val="single" w:sz="4" w:space="0" w:color="auto"/>
            </w:tcBorders>
            <w:shd w:val="clear" w:color="auto" w:fill="auto"/>
          </w:tcPr>
          <w:p w14:paraId="537D17E9"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9000</w:t>
            </w:r>
          </w:p>
        </w:tc>
      </w:tr>
      <w:tr w:rsidR="00A03A42" w:rsidRPr="00DB5D0D" w14:paraId="1FC4F1DF" w14:textId="77777777" w:rsidTr="007609C9">
        <w:trPr>
          <w:trHeight w:hRule="exact" w:val="202"/>
          <w:jc w:val="center"/>
        </w:trPr>
        <w:tc>
          <w:tcPr>
            <w:tcW w:w="3797" w:type="dxa"/>
            <w:tcBorders>
              <w:left w:val="single" w:sz="4" w:space="0" w:color="auto"/>
            </w:tcBorders>
            <w:shd w:val="clear" w:color="auto" w:fill="auto"/>
            <w:vAlign w:val="bottom"/>
          </w:tcPr>
          <w:p w14:paraId="21BB359E"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Время набора высоты 6000 м (мин.)</w:t>
            </w:r>
          </w:p>
        </w:tc>
        <w:tc>
          <w:tcPr>
            <w:tcW w:w="1286" w:type="dxa"/>
            <w:tcBorders>
              <w:right w:val="single" w:sz="4" w:space="0" w:color="auto"/>
            </w:tcBorders>
            <w:shd w:val="clear" w:color="auto" w:fill="auto"/>
            <w:vAlign w:val="bottom"/>
          </w:tcPr>
          <w:p w14:paraId="2604C34C"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11,0</w:t>
            </w:r>
          </w:p>
        </w:tc>
      </w:tr>
      <w:tr w:rsidR="00A03A42" w:rsidRPr="00DB5D0D" w14:paraId="79B6E43B" w14:textId="77777777" w:rsidTr="007609C9">
        <w:trPr>
          <w:trHeight w:hRule="exact" w:val="197"/>
          <w:jc w:val="center"/>
        </w:trPr>
        <w:tc>
          <w:tcPr>
            <w:tcW w:w="3797" w:type="dxa"/>
            <w:tcBorders>
              <w:left w:val="single" w:sz="4" w:space="0" w:color="auto"/>
            </w:tcBorders>
            <w:shd w:val="clear" w:color="auto" w:fill="auto"/>
          </w:tcPr>
          <w:p w14:paraId="617FBD22"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Дальность на 0,9 макс. скорости (км)</w:t>
            </w:r>
          </w:p>
        </w:tc>
        <w:tc>
          <w:tcPr>
            <w:tcW w:w="1286" w:type="dxa"/>
            <w:tcBorders>
              <w:right w:val="single" w:sz="4" w:space="0" w:color="auto"/>
            </w:tcBorders>
            <w:shd w:val="clear" w:color="auto" w:fill="auto"/>
          </w:tcPr>
          <w:p w14:paraId="7C879D9F"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685</w:t>
            </w:r>
          </w:p>
        </w:tc>
      </w:tr>
      <w:tr w:rsidR="00A03A42" w:rsidRPr="00DB5D0D" w14:paraId="06E2C80B" w14:textId="77777777" w:rsidTr="007609C9">
        <w:trPr>
          <w:trHeight w:hRule="exact" w:val="192"/>
          <w:jc w:val="center"/>
        </w:trPr>
        <w:tc>
          <w:tcPr>
            <w:tcW w:w="3797" w:type="dxa"/>
            <w:tcBorders>
              <w:left w:val="single" w:sz="4" w:space="0" w:color="auto"/>
            </w:tcBorders>
            <w:shd w:val="clear" w:color="auto" w:fill="auto"/>
          </w:tcPr>
          <w:p w14:paraId="785E94DB"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Полетный вес (кг)</w:t>
            </w:r>
          </w:p>
        </w:tc>
        <w:tc>
          <w:tcPr>
            <w:tcW w:w="1286" w:type="dxa"/>
            <w:tcBorders>
              <w:right w:val="single" w:sz="4" w:space="0" w:color="auto"/>
            </w:tcBorders>
            <w:shd w:val="clear" w:color="auto" w:fill="auto"/>
          </w:tcPr>
          <w:p w14:paraId="5F818546"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3800-4000</w:t>
            </w:r>
          </w:p>
        </w:tc>
      </w:tr>
      <w:tr w:rsidR="00A03A42" w:rsidRPr="00DB5D0D" w14:paraId="6F5442EB" w14:textId="77777777" w:rsidTr="007609C9">
        <w:trPr>
          <w:trHeight w:hRule="exact" w:val="211"/>
          <w:jc w:val="center"/>
        </w:trPr>
        <w:tc>
          <w:tcPr>
            <w:tcW w:w="3797" w:type="dxa"/>
            <w:tcBorders>
              <w:left w:val="single" w:sz="4" w:space="0" w:color="auto"/>
            </w:tcBorders>
            <w:shd w:val="clear" w:color="auto" w:fill="auto"/>
          </w:tcPr>
          <w:p w14:paraId="4520F9E7"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Нагрузка на крыло (кг/кв.м)</w:t>
            </w:r>
          </w:p>
        </w:tc>
        <w:tc>
          <w:tcPr>
            <w:tcW w:w="1286" w:type="dxa"/>
            <w:tcBorders>
              <w:right w:val="single" w:sz="4" w:space="0" w:color="auto"/>
            </w:tcBorders>
            <w:shd w:val="clear" w:color="auto" w:fill="auto"/>
          </w:tcPr>
          <w:p w14:paraId="1D1FFDB1"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211</w:t>
            </w:r>
          </w:p>
        </w:tc>
      </w:tr>
      <w:tr w:rsidR="00A03A42" w:rsidRPr="00DB5D0D" w14:paraId="42E7A858" w14:textId="77777777" w:rsidTr="007609C9">
        <w:trPr>
          <w:trHeight w:hRule="exact" w:val="202"/>
          <w:jc w:val="center"/>
        </w:trPr>
        <w:tc>
          <w:tcPr>
            <w:tcW w:w="3797" w:type="dxa"/>
            <w:tcBorders>
              <w:left w:val="single" w:sz="4" w:space="0" w:color="auto"/>
            </w:tcBorders>
            <w:shd w:val="clear" w:color="auto" w:fill="auto"/>
          </w:tcPr>
          <w:p w14:paraId="0E98267D"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Длина разбега (м)</w:t>
            </w:r>
          </w:p>
        </w:tc>
        <w:tc>
          <w:tcPr>
            <w:tcW w:w="1286" w:type="dxa"/>
            <w:tcBorders>
              <w:right w:val="single" w:sz="4" w:space="0" w:color="auto"/>
            </w:tcBorders>
            <w:shd w:val="clear" w:color="auto" w:fill="auto"/>
          </w:tcPr>
          <w:p w14:paraId="7E093949"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400</w:t>
            </w:r>
          </w:p>
        </w:tc>
      </w:tr>
      <w:tr w:rsidR="00A03A42" w:rsidRPr="00DB5D0D" w14:paraId="31A2CB18" w14:textId="77777777" w:rsidTr="007609C9">
        <w:trPr>
          <w:trHeight w:hRule="exact" w:val="278"/>
          <w:jc w:val="center"/>
        </w:trPr>
        <w:tc>
          <w:tcPr>
            <w:tcW w:w="3797" w:type="dxa"/>
            <w:tcBorders>
              <w:left w:val="single" w:sz="4" w:space="0" w:color="auto"/>
              <w:bottom w:val="single" w:sz="4" w:space="0" w:color="auto"/>
            </w:tcBorders>
            <w:shd w:val="clear" w:color="auto" w:fill="auto"/>
          </w:tcPr>
          <w:p w14:paraId="4C321780"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Посадочная скорость (км/ч)</w:t>
            </w:r>
          </w:p>
        </w:tc>
        <w:tc>
          <w:tcPr>
            <w:tcW w:w="1286" w:type="dxa"/>
            <w:tcBorders>
              <w:bottom w:val="single" w:sz="4" w:space="0" w:color="auto"/>
              <w:right w:val="single" w:sz="4" w:space="0" w:color="auto"/>
            </w:tcBorders>
            <w:shd w:val="clear" w:color="auto" w:fill="auto"/>
          </w:tcPr>
          <w:p w14:paraId="38BC7A0B"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140</w:t>
            </w:r>
          </w:p>
        </w:tc>
      </w:tr>
    </w:tbl>
    <w:p w14:paraId="4D561C0E"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 рассмотрении эскизного проекта отмечались слиш</w:t>
      </w:r>
      <w:r w:rsidRPr="00DB5D0D">
        <w:rPr>
          <w:rFonts w:ascii="Times New Roman" w:hAnsi="Times New Roman"/>
          <w:color w:val="0070C0"/>
          <w:sz w:val="16"/>
          <w:szCs w:val="16"/>
        </w:rPr>
        <w:softHyphen/>
        <w:t>ком высокая посадочная скорость и большая длина разбега, малая дальность полета. В первом варианте заключе</w:t>
      </w:r>
      <w:r w:rsidRPr="00DB5D0D">
        <w:rPr>
          <w:rFonts w:ascii="Times New Roman" w:hAnsi="Times New Roman"/>
          <w:color w:val="0070C0"/>
          <w:sz w:val="16"/>
          <w:szCs w:val="16"/>
        </w:rPr>
        <w:softHyphen/>
        <w:t>ния НИИ ГУАС КА предлагалось самолет довести и испы</w:t>
      </w:r>
      <w:r w:rsidRPr="00DB5D0D">
        <w:rPr>
          <w:rFonts w:ascii="Times New Roman" w:hAnsi="Times New Roman"/>
          <w:color w:val="0070C0"/>
          <w:sz w:val="16"/>
          <w:szCs w:val="16"/>
        </w:rPr>
        <w:softHyphen/>
        <w:t>тать. Однако затем эти строки были зачеркнуты и от ру</w:t>
      </w:r>
      <w:r w:rsidRPr="00DB5D0D">
        <w:rPr>
          <w:rFonts w:ascii="Times New Roman" w:hAnsi="Times New Roman"/>
          <w:color w:val="0070C0"/>
          <w:sz w:val="16"/>
          <w:szCs w:val="16"/>
        </w:rPr>
        <w:softHyphen/>
        <w:t>ки на документе дописано: «Считать нецелесообразным продолжать работы над этим самолетом». Подписано на</w:t>
      </w:r>
      <w:r w:rsidRPr="00DB5D0D">
        <w:rPr>
          <w:rFonts w:ascii="Times New Roman" w:hAnsi="Times New Roman"/>
          <w:color w:val="0070C0"/>
          <w:sz w:val="16"/>
          <w:szCs w:val="16"/>
        </w:rPr>
        <w:softHyphen/>
        <w:t>чальником НИИ ГУАС КА генерал-майором Филиным 27 июня 1940 г. (20362).</w:t>
      </w:r>
    </w:p>
    <w:p w14:paraId="7B7F11BC" w14:textId="77777777" w:rsidR="00A03A42" w:rsidRPr="00DB5D0D" w:rsidRDefault="00A03A42" w:rsidP="00DB5D0D">
      <w:pPr>
        <w:shd w:val="clear" w:color="auto" w:fill="FFFFFF"/>
        <w:spacing w:after="0" w:line="240" w:lineRule="auto"/>
        <w:jc w:val="both"/>
        <w:rPr>
          <w:rFonts w:ascii="Times New Roman" w:hAnsi="Times New Roman"/>
          <w:color w:val="0070C0"/>
          <w:sz w:val="16"/>
          <w:szCs w:val="16"/>
        </w:rPr>
      </w:pPr>
    </w:p>
    <w:p w14:paraId="187334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испытывался Су-4 (ШБ) и Су-1 и Су-3 со 105 и 2 ТК-2 и 23 мм пушкой в развале цилиндров мотора. ТК - не дали. Су-3 - то же, что СУ-1, но площадь крыла не 17, а 19 м кв. Испытывался до 1942 в ЛИИ и НИИ ВВС (150,22) В.Б.Ш. пишет, что весной 1940 был ШБ и не пошел в серию, так как была начата серия Ил-2 (4,51).</w:t>
      </w:r>
    </w:p>
    <w:p w14:paraId="16BA764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591A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весны 1940 постепенное старение ДБ-3, который уже никак нельзя было назвать скоростным бомбардировщиком, заставило задуматься о его ночном применении и вообще о проблемах &lt;слепого&gt; самолетовождения. Еще до этого в состав оборудования дальних бомбардировщиков пытались включить радиополукомпас РПК-2.С ними выпускались отдельные серии или просто одиночные машины. С 25 апреля 1940 г. собирались ставить радиополукомпасы на каждый второй самолет для ВВС и каждый третий - для морской авиации (вот эта логика мне не очень понятна). С 1 июля РПК-2 требовали на всех ДБ-3Ф. Реально количество машин с РПК-2 определялось поставками их от радиопромышленности. Завод №39 ставил их примерно на каждый третий бомбардировщик, №18 - на каждый пятый (7494).</w:t>
      </w:r>
    </w:p>
    <w:p w14:paraId="1753BE6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BBCC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начались полеты на рекордном варианте ДБ-3 (Украина) женского рекордного экипажа, сформированного в 1939 в связи с организацией очередного женского перелета в целях побития мирового рекорда экипажа В.Гризодубовой, установленного в сентябре 1938. Первый экипаж - руководила Мария Нестеренко - жена П.В.Рычагова, второй пилот - Мария Михалева - командир звена одного из украинских авиаполков (поэтому-то Украина), а штурман - Нина Русакова. Сначала летали и на ТБ-3 (АНТ-6) и на АНТ-25. Рекорд не состоялся, хотя планировали взлететь в Хабаровске и пересечь СССР до западных границ. На Азиатской части был встречный ветер и через 22 часа долетели до Горького, где встретили циклон - майские грозы. Была вынужденная посадка (172,199).</w:t>
      </w:r>
    </w:p>
    <w:p w14:paraId="79ACE9C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925E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весне 1940 года производство на заводе № 124 оказалось фактически незагруженным, и, чтобы как-то загрузить его, НКАП дает задание на постройку серии ПС-84. Поскольку производство этой советской версии американского ДС-3 предполагало переход на плазовошаблонный метод производства, то при освоении ПС-84 многие конструкторы ОКБ Незваля ознакомились с ним, это помогло им через пять лет безболезненно воспринять этот метод при освоении серии Ту-4 (копии-аналога американского В-29) на заводе №22 (обозначение объединенного завода №124 и московского №22, после эвакуации 22-го завода с началом войны в Казань) (7685).</w:t>
      </w:r>
    </w:p>
    <w:p w14:paraId="7F2EFDF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D13C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под воздействием различных факторов, в том числе и писем "трудящихся", наверху интерес к программе ТБ-7 появился вновь. Похоже, нашелся и виновный за срыв программы - в "козлы отпущения" назначили М.М.Кагановича. Весной 1940 года он уже не Нарком, вместо него назначают А.И.Шахурина. Вскоре И.Ф.Незваля и М.И.Штейнберга вызвали к Шахурину на совещание, на котором присутствовали руководители многих заводов-поставщиков комплектующих для ТБ-7. Попутно был поднят вопрос о состоянии сборочной и стапельной оснастки. Сообщение Штейнберга о том, что оснастка полностью разобрана, вызвало возмущение Наркома (можно подумать, что директор завода сам принял решение о разборке оснастки). Шахурин заявил на совещании, что это было сделано без ведома Наркомата. Однако заместитель Наркома П.А.Воронин подтвердил, что это было сделано по указанию Наркомата. Все-таки и Незвалю, и Штейнбергу была устроена публичная выволочка по поводу ТБ-7. Для Незваля все обошлось, а Штейнберга сняли с директоров и заменили основным виновником торжества - бывшим Наркомом НКАП М.М.Кагановичем, который, излишне чутко прислушиваясь к различным веяниям на верху отдавал приказы о свертывании производства ТБ-7. И дело тут ни в каком-то собственном отрицательном мнении Наркома по ТБ-7. Самостоятельного мнения у него по определению быть не могло. Он был верным солдатом партии, типичным номенклатурным высоким чиновником, с трудом отличающим "датчика от летчика", но готовым, иногда, даже обгоняя события, осуществить любое, даже еле уловимое высокое мнение. На этом он и погорел. Будь он помудрей и поспокойней, может быть, и остался бы в высшей обойме, а так стал тем самым "козлом отпущения" (7685).</w:t>
      </w:r>
    </w:p>
    <w:p w14:paraId="1E070F4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FE160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директора завода № 124 М.И. Штейнберга вызвали к Шахурину на совещание. Попутно был поднят вопрос о состоянии оснастки для ТБ-7. Сообщение, что она полностью разобрана, вызвало возмущение наркома. Шахурин заявил, что это было сделано без ведома наркомата. Однако его заместитель П.А. Воронин опроверг начальника, подтвердив, что это было сделано по указанию свыше.</w:t>
      </w:r>
    </w:p>
    <w:p w14:paraId="5452E0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 сорвал раздражение на Штейнберге. Его сняли с должности, новым директором завода назначили М.М. Кагановича, который, прислушиваясь к веяниям "наверху", как раз и распорядился снять ТБ-7 с производства. Сразу после майских праздников вышло правительственное постановление о возобновлении постройки ТБ-7 на заводе № 124. Задание на проектирование пикировщика с Незваля сняли. Заводу предписывалось срочно восстановить стапели и другую оснастку (11996).</w:t>
      </w:r>
    </w:p>
    <w:p w14:paraId="0A7925A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A6EA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руководство завода и КБ вызвали в Москву, к новому наркому авиапромышленности А.И.Шахурину. По воспоминаниям Незваля, Шахурин был раздосадован и очень возмущался произошедшим. Ничего конкретного вызванным из Казани главному конструктору И.Ф.Незвалю и директору завода М.И.Штейнбергу сразу не сказали, однако стало понятно, что в ближайшем будущем следует ожидать важных решений.</w:t>
      </w:r>
    </w:p>
    <w:p w14:paraId="726E32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Той же весной два наиболее подготовленных ТБ-7 (№ 4211 и № 4216) с двигателями АМ-34 ФРНТ решили показать на очередном первомайском пролете над Красной площадью. Утром 30 апреля 1940 г. эти два воздушных корабля вылетели из Казани в Москву. Самолет № 4211, управляемый Михаилом Громовым, на заключительном этапе полета поджидала досадная неприятность. При посадке на Чкаловском аэродроме (после гибели В.П.Чкалова аэродром НИИ ВВС в подмосковном Щелково стал называться Чкаловским) не встали на замки основные стойки шасси, при пробеге они перешли в убранное положение, и огромный самолет плавно лег на фюзеляж. За одну ночь ремонтная бригада прокопала траншеи для выпуска колес, затем шасси установили в выпущенном положении, зафиксировали и выкатили почти невредимый самолет на ровный грунт. Впрочем, 1 мая для пролета над Красной площадью отправилась лишь одна серийная казанская машина - ТБ-7 № 4216, управляемая заместителем начальника НИИ ВВС полетной части полковником А.И.Кабановым. Указанный самолет №4216 стал одним из первых, построенных в 1939-м, но сданных в начале 1940 г. (12025).</w:t>
      </w:r>
    </w:p>
    <w:p w14:paraId="0897AF5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2E40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на заводе № 124 проходила проверка комиссией НКАП состояния завода. Выводы были неутешительными:</w:t>
      </w:r>
    </w:p>
    <w:p w14:paraId="0F5BE2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завода является незаконченным. Из 500 млн. выделенных рублей, на 1 мая 1940 г. вложено лишь 285 млн. рублей. Вместо запланированных 300 тысяч квадратных метров, фактически завод имеет 146 тысяч. Главный корпус и ЛИС недостроены, аэродром частично в торфяном болоте, нет бетонированной полосы. Канализация не отвечает своему назначению. Не хватает питьевой и технической воды. Недостаточно электроснабжение. Мало складских помещений».</w:t>
      </w:r>
    </w:p>
    <w:p w14:paraId="531F69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Достаточно на заводе, по мнению комиссии, лишь оборудования и личного состава предприятия.</w:t>
      </w:r>
    </w:p>
    <w:p w14:paraId="772928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май 1940 г. в программе завода были 15 ТБ-7 и 25 ДС-3. Сдано на 1 мая два ТБ-7 № 14 и № 16 (план 1940 г.), на аэродроме находятся пять (№№ 13, 15, 17, 18, 19) и в производстве еще восемь машин ТБ-7. Нет моторов, винтов, приборов.(...)</w:t>
      </w:r>
    </w:p>
    <w:p w14:paraId="010819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заданию, на всех ТБ-7 должны быть сняты АЦН и разработаны транспортные варианты, для чего потребуется дополнительные работы в количестве 77 тысяч часов для машин №№ 13, 14, 15, 17 и 20, 68 тысяч часов для машин №№ 21, 22, 23, 24 и 168 тысяч для машин №№ 25, 26 и 27».</w:t>
      </w:r>
    </w:p>
    <w:p w14:paraId="2ED596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«почти все стапеля и приспособления для детальной сборки по ТБ-7 разобраны и использованы для ДС-3. В ноябре должны быть завершены работы по монтажу дополнительных стапелей для ТБ-7. Существует острая нехватка - 32 мотора АМ-35, 18 винтов, 7 пушек ШВАК и 55 пулеметов ШКАС.</w:t>
      </w:r>
    </w:p>
    <w:p w14:paraId="52FD29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Завод насчитывает 1181 единицу оборудования, ОКБ и опытный цех и 10,5 тысяч работающих».</w:t>
      </w:r>
    </w:p>
    <w:p w14:paraId="551F21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недостаток отмечается небольшой процент образованных кадров: дипломированных инженеров (15%) и со средне-техническим образованием (21%). Положительно оценивается помощь КАИ в продувке моделей новых модификаций.</w:t>
      </w:r>
    </w:p>
    <w:p w14:paraId="26674D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Результатом проверки стало решение «директора Штейнберга отозвать в распоряжение НКАП» и назначить на эту неблагодарную должность Кагановича М.М. Интересно, что Кагановича решено было отослать в Казань значительно раньше. В своих воспоминаниях, его преемник Алексей Иванович Шахурин пишет, что его вызвали в Москву из Горького, с поста секретаря обкома, в первых числах января 1940 г., и почти сразу Сталин назначил его Наркомом авиационной промышленности (12049).</w:t>
      </w:r>
    </w:p>
    <w:p w14:paraId="640CBEB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FD3A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Каганович по приезду на завод проявил большой интерес к ТБ-7 и установил прекрасные отношения с Незвалем, Он всячески заботился о продвижении работ по модификации ТБ-7 под новые двигатели и по их скорейшей серийной постройке. Он вместе с Незвалем едет в ЦИАМ, знакомится с предлагавшимся к использованию Яковлевским М-40, одновременно они познакомились с установкой М-30 на БОК-15 Каганович проявлял чудеса оперативности по проталкиванию ТБ-7.</w:t>
      </w:r>
    </w:p>
    <w:p w14:paraId="28AB36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моменту приезда в Казань, на заводском аэродроме стояло шесть готовых ТБ-7 с зачехленными мотогондолами без двигателей. Он тут же приложил максимум сил и энергии, выбив десяток двигателей АМ-35 и </w:t>
      </w:r>
      <w:r w:rsidRPr="00DB5D0D">
        <w:rPr>
          <w:rFonts w:ascii="Times New Roman" w:hAnsi="Times New Roman"/>
          <w:color w:val="000000" w:themeColor="text1"/>
          <w:sz w:val="16"/>
          <w:szCs w:val="16"/>
          <w:lang w:val="en-US"/>
        </w:rPr>
        <w:t>AM</w:t>
      </w:r>
      <w:r w:rsidRPr="00DB5D0D">
        <w:rPr>
          <w:rFonts w:ascii="Times New Roman" w:hAnsi="Times New Roman"/>
          <w:color w:val="000000" w:themeColor="text1"/>
          <w:sz w:val="16"/>
          <w:szCs w:val="16"/>
        </w:rPr>
        <w:t>-35А для ТБ-7 (посадочные места под АМ-34ФРНВ и АМ-35 совпадали, так что требовались минимальные доработки. Кроме того, незадолго до этих событий на один из ТБ-7 уже установили опытный АМ-35ТК, так что доработки потребовались не очень крупные). Таким образом, ОКБ Незвапя и завод №124 одновременно проводили работу над несколькими вариантами ТБ-7 с различными типами силовых установок (12726).</w:t>
      </w:r>
    </w:p>
    <w:p w14:paraId="4B657FD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FE5A7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ВВС выдвинули к самолету «103» ряд новых требований, кото</w:t>
      </w:r>
      <w:r w:rsidRPr="00DB5D0D">
        <w:rPr>
          <w:rFonts w:ascii="Times New Roman" w:hAnsi="Times New Roman"/>
          <w:color w:val="000000" w:themeColor="text1"/>
          <w:sz w:val="16"/>
          <w:szCs w:val="16"/>
        </w:rPr>
        <w:softHyphen/>
        <w:t>рые потребовали существенной пе</w:t>
      </w:r>
      <w:r w:rsidRPr="00DB5D0D">
        <w:rPr>
          <w:rFonts w:ascii="Times New Roman" w:hAnsi="Times New Roman"/>
          <w:color w:val="000000" w:themeColor="text1"/>
          <w:sz w:val="16"/>
          <w:szCs w:val="16"/>
        </w:rPr>
        <w:softHyphen/>
        <w:t>реработки самолета, определившей лицо второго опытного экземпляра самолета «103» - «103У» 2АМ-37, который должен был стать эталоном для серийного производства. ВВС потребовали добавить в эки</w:t>
      </w:r>
      <w:r w:rsidRPr="00DB5D0D">
        <w:rPr>
          <w:rFonts w:ascii="Times New Roman" w:hAnsi="Times New Roman"/>
          <w:color w:val="000000" w:themeColor="text1"/>
          <w:sz w:val="16"/>
          <w:szCs w:val="16"/>
        </w:rPr>
        <w:softHyphen/>
        <w:t>паж штурмана, разместив его вместе с летчиком. Обычно штурман разме</w:t>
      </w:r>
      <w:r w:rsidRPr="00DB5D0D">
        <w:rPr>
          <w:rFonts w:ascii="Times New Roman" w:hAnsi="Times New Roman"/>
          <w:color w:val="000000" w:themeColor="text1"/>
          <w:sz w:val="16"/>
          <w:szCs w:val="16"/>
        </w:rPr>
        <w:softHyphen/>
        <w:t>щался в носовой застекленной час</w:t>
      </w:r>
      <w:r w:rsidRPr="00DB5D0D">
        <w:rPr>
          <w:rFonts w:ascii="Times New Roman" w:hAnsi="Times New Roman"/>
          <w:color w:val="000000" w:themeColor="text1"/>
          <w:sz w:val="16"/>
          <w:szCs w:val="16"/>
        </w:rPr>
        <w:softHyphen/>
        <w:t>ти фюзеляжа, но это шло вразрез с компоновочными подходами разра</w:t>
      </w:r>
      <w:r w:rsidRPr="00DB5D0D">
        <w:rPr>
          <w:rFonts w:ascii="Times New Roman" w:hAnsi="Times New Roman"/>
          <w:color w:val="000000" w:themeColor="text1"/>
          <w:sz w:val="16"/>
          <w:szCs w:val="16"/>
        </w:rPr>
        <w:softHyphen/>
        <w:t>ботчиков самолета к самолету-пики</w:t>
      </w:r>
      <w:r w:rsidRPr="00DB5D0D">
        <w:rPr>
          <w:rFonts w:ascii="Times New Roman" w:hAnsi="Times New Roman"/>
          <w:color w:val="000000" w:themeColor="text1"/>
          <w:sz w:val="16"/>
          <w:szCs w:val="16"/>
        </w:rPr>
        <w:softHyphen/>
        <w:t>ровщику, согласно которым летчик должен был иметь обзор «вперед-вниз». Компромиссом стало разме</w:t>
      </w:r>
      <w:r w:rsidRPr="00DB5D0D">
        <w:rPr>
          <w:rFonts w:ascii="Times New Roman" w:hAnsi="Times New Roman"/>
          <w:color w:val="000000" w:themeColor="text1"/>
          <w:sz w:val="16"/>
          <w:szCs w:val="16"/>
        </w:rPr>
        <w:softHyphen/>
        <w:t>щение штурмана уступом, сзади справа от летчика. Это потребовало расширения фюзеляжа минимум на 300 мм, что, в свою очередь, приво</w:t>
      </w:r>
      <w:r w:rsidRPr="00DB5D0D">
        <w:rPr>
          <w:rFonts w:ascii="Times New Roman" w:hAnsi="Times New Roman"/>
          <w:color w:val="000000" w:themeColor="text1"/>
          <w:sz w:val="16"/>
          <w:szCs w:val="16"/>
        </w:rPr>
        <w:softHyphen/>
        <w:t>дило к расширению центроплана и к значительным переделкам исходной конструкции. Выход нашел А.Н.Тупо</w:t>
      </w:r>
      <w:r w:rsidRPr="00DB5D0D">
        <w:rPr>
          <w:rFonts w:ascii="Times New Roman" w:hAnsi="Times New Roman"/>
          <w:color w:val="000000" w:themeColor="text1"/>
          <w:sz w:val="16"/>
          <w:szCs w:val="16"/>
        </w:rPr>
        <w:softHyphen/>
        <w:t>лев. Он предложил расширить толь</w:t>
      </w:r>
      <w:r w:rsidRPr="00DB5D0D">
        <w:rPr>
          <w:rFonts w:ascii="Times New Roman" w:hAnsi="Times New Roman"/>
          <w:color w:val="000000" w:themeColor="text1"/>
          <w:sz w:val="16"/>
          <w:szCs w:val="16"/>
        </w:rPr>
        <w:softHyphen/>
        <w:t>ко переднюю часть фюзеляжа, вы</w:t>
      </w:r>
      <w:r w:rsidRPr="00DB5D0D">
        <w:rPr>
          <w:rFonts w:ascii="Times New Roman" w:hAnsi="Times New Roman"/>
          <w:color w:val="000000" w:themeColor="text1"/>
          <w:sz w:val="16"/>
          <w:szCs w:val="16"/>
        </w:rPr>
        <w:softHyphen/>
        <w:t>полнив ее в виде «головастика» и сведя расширение на нет к 1-му лон</w:t>
      </w:r>
      <w:r w:rsidRPr="00DB5D0D">
        <w:rPr>
          <w:rFonts w:ascii="Times New Roman" w:hAnsi="Times New Roman"/>
          <w:color w:val="000000" w:themeColor="text1"/>
          <w:sz w:val="16"/>
          <w:szCs w:val="16"/>
        </w:rPr>
        <w:softHyphen/>
        <w:t>жерону центроплана,таким образом оставив конструкцию центроплана без изменений. Предложенная аэро</w:t>
      </w:r>
      <w:r w:rsidRPr="00DB5D0D">
        <w:rPr>
          <w:rFonts w:ascii="Times New Roman" w:hAnsi="Times New Roman"/>
          <w:color w:val="000000" w:themeColor="text1"/>
          <w:sz w:val="16"/>
          <w:szCs w:val="16"/>
        </w:rPr>
        <w:softHyphen/>
        <w:t>динамическая схема стала одним из первых практических применений сформулированного позже «прави</w:t>
      </w:r>
      <w:r w:rsidRPr="00DB5D0D">
        <w:rPr>
          <w:rFonts w:ascii="Times New Roman" w:hAnsi="Times New Roman"/>
          <w:color w:val="000000" w:themeColor="text1"/>
          <w:sz w:val="16"/>
          <w:szCs w:val="16"/>
        </w:rPr>
        <w:softHyphen/>
        <w:t>ла площадей» и позволила получить на самолете «103У» коэффициенты лобового сопротивления фюзеляжа, мало отличающиеся от полученных для исходного самолета «103», вы</w:t>
      </w:r>
      <w:r w:rsidRPr="00DB5D0D">
        <w:rPr>
          <w:rFonts w:ascii="Times New Roman" w:hAnsi="Times New Roman"/>
          <w:color w:val="000000" w:themeColor="text1"/>
          <w:sz w:val="16"/>
          <w:szCs w:val="16"/>
        </w:rPr>
        <w:softHyphen/>
        <w:t>полнявшегося без утолщения в пе</w:t>
      </w:r>
      <w:r w:rsidRPr="00DB5D0D">
        <w:rPr>
          <w:rFonts w:ascii="Times New Roman" w:hAnsi="Times New Roman"/>
          <w:color w:val="000000" w:themeColor="text1"/>
          <w:sz w:val="16"/>
          <w:szCs w:val="16"/>
        </w:rPr>
        <w:softHyphen/>
        <w:t>редней части (10728).</w:t>
      </w:r>
    </w:p>
    <w:p w14:paraId="78682C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F9252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в итоге длительных переговоров и согласовании на четырехмоторном варианте пикировщика А.Н.Т. все же был поставлен крест. Взамен приняли официальное решение строить двухмоторный пикирующий бомбардировщик с двигателями АМ-37 (4536).</w:t>
      </w:r>
    </w:p>
    <w:p w14:paraId="3B79B6C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6679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завершили изготовление второго прототипа сотки. Его без проведения заводских испытаний передали в НИИ ВВС.</w:t>
      </w:r>
    </w:p>
    <w:p w14:paraId="41573D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огромное количество отмеченных военными дефектов и отказов, машина им понравилась. Ее "детские болезни" вполне поддавались лечению, и со временем из самолета ВИ -100 наверняка получился бы полноценный высотный истребитель. Однако вскоре выяснилось, что бороться ему, в общем-то, не с кем - потенциальный противник в лице Германии высотными средствам нападения не располагал и по сведениям разведки, строить их в ближайшее время не собирался. Зато во время боев в Польше осенью 1939 г. во всем блеске проявилась высокая боевая эффективность пикирующих бомбардировщиков. Аналогичные выводы сделали и специалисты НКАП, посетившие Германию и имевшие возможность ознакомиться с немецкой авиационной техникой.</w:t>
      </w:r>
    </w:p>
    <w:p w14:paraId="4ACC81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Фронтовой бомбардировщик СБ, сконструированный А.Н.Туполевым еще в 1934 г. и серийно строившийся с 1936 г., для этих целей не подходил. Ему тяжело пришлось уже в ходе советско-финской войны. Требовалась новая массовая машина для фронтовой авиации, пригодная для бомбометания с пикирования и имеющая высокую максимальную скорость для ухода от атак истребителей.</w:t>
      </w:r>
    </w:p>
    <w:p w14:paraId="228CC9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Германии концепция пикирующего бомбардировщика была развита глубже. Его сочли идеальным "инструментом" авиационного сопровождения массированного удара наземных моторизованных войск. Высокая точность бомбометания с пикирования позволяла бомбардировщику поражать сравнительно небольшие цели на поле боя и в его ближайших окрестностях - танки, бронемашины, доты и т.д. Пикировщики в какой-то степени даже могли компенсировать полевую артиллерию, не поспевающую за танковыми колоннами.</w:t>
      </w:r>
    </w:p>
    <w:p w14:paraId="0E1524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началом второй мировой войны в Германии был осуществлен массовый выпуск самолета Ju-87, успешно использовавшегося на всех фронтах. Возможность бомбометания с пикирования предусматривалась и в средних бомбардировщиках Ju-88 и Do-217.</w:t>
      </w:r>
    </w:p>
    <w:p w14:paraId="5C1368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нашей стране первым пикирующим бомбардировщиком стал Ар-2 А.А.Архангельского, представлявший собой глубокую модернизацию СБ. Ар-2 разрабатывался почти параллельно с будущим Пе-2, но был быстрее запущен в серийное производство, так как в основе его лежал хорошо отработанный самолет. Однако перспективы дальнейшего развития Ар-2 практически отсутствовали из-за сходства с конструкцией СБ, имевшего слабую для пикировщика конструкцию крыла и фюзеляжа.</w:t>
      </w:r>
    </w:p>
    <w:p w14:paraId="6F940F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прочности планера требуемым условиям в значительной степени отвечал ВИ-100 и в мае 1940 г. Петлякову всесильный нарком Л.П.Берия (напомним, что в то время главный конструктор и его сотрудники находились в заключении) поручил за полтора месяца переделать высотный истребитель в пикирующий трехместный бомбардировщик с бомбовой нагрузкой и мощным вооружением. Быстро был сделан и утвержден макет. Из ОКБ А. С. Яковлева, С. В. Илыошина, А. А. Архангельского и других в помощь В. М. Петлякову откомандировали около 300 человек (12037).</w:t>
      </w:r>
    </w:p>
    <w:p w14:paraId="1E21E70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A8C4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весны 1940 г. наши летчики-истребители больше не воевали на фронте, звено СБ последние боевые вылеты совершило в мае 1940 г. Нача</w:t>
      </w:r>
      <w:r w:rsidRPr="00DB5D0D">
        <w:rPr>
          <w:rFonts w:ascii="Times New Roman" w:hAnsi="Times New Roman"/>
          <w:color w:val="000000" w:themeColor="text1"/>
          <w:sz w:val="16"/>
          <w:szCs w:val="16"/>
        </w:rPr>
        <w:softHyphen/>
        <w:t>ло второй мировой войны и сложив</w:t>
      </w:r>
      <w:r w:rsidRPr="00DB5D0D">
        <w:rPr>
          <w:rFonts w:ascii="Times New Roman" w:hAnsi="Times New Roman"/>
          <w:color w:val="000000" w:themeColor="text1"/>
          <w:sz w:val="16"/>
          <w:szCs w:val="16"/>
        </w:rPr>
        <w:softHyphen/>
        <w:t>шаяся после этого международная об</w:t>
      </w:r>
      <w:r w:rsidRPr="00DB5D0D">
        <w:rPr>
          <w:rFonts w:ascii="Times New Roman" w:hAnsi="Times New Roman"/>
          <w:color w:val="000000" w:themeColor="text1"/>
          <w:sz w:val="16"/>
          <w:szCs w:val="16"/>
        </w:rPr>
        <w:softHyphen/>
        <w:t>становка, в том числе и заключенный между СССР и Японией договор о не</w:t>
      </w:r>
      <w:r w:rsidRPr="00DB5D0D">
        <w:rPr>
          <w:rFonts w:ascii="Times New Roman" w:hAnsi="Times New Roman"/>
          <w:color w:val="000000" w:themeColor="text1"/>
          <w:sz w:val="16"/>
          <w:szCs w:val="16"/>
        </w:rPr>
        <w:softHyphen/>
        <w:t>нападении, вынудили весной 1940 г. отозвать из Китая всех советских лет</w:t>
      </w:r>
      <w:r w:rsidRPr="00DB5D0D">
        <w:rPr>
          <w:rFonts w:ascii="Times New Roman" w:hAnsi="Times New Roman"/>
          <w:color w:val="000000" w:themeColor="text1"/>
          <w:sz w:val="16"/>
          <w:szCs w:val="16"/>
        </w:rPr>
        <w:softHyphen/>
        <w:t>чиков-волонтеров. Там оставались лишь советники, специалисты, обслу</w:t>
      </w:r>
      <w:r w:rsidRPr="00DB5D0D">
        <w:rPr>
          <w:rFonts w:ascii="Times New Roman" w:hAnsi="Times New Roman"/>
          <w:color w:val="000000" w:themeColor="text1"/>
          <w:sz w:val="16"/>
          <w:szCs w:val="16"/>
        </w:rPr>
        <w:softHyphen/>
        <w:t>живающие авиатрассу, и инструкторы в авиашколах, обучавшие китайских летчиков. Однако поставки самолетов по договорам продолжались. Всего в 1937-1941 гг. в войне с Япо</w:t>
      </w:r>
      <w:r w:rsidRPr="00DB5D0D">
        <w:rPr>
          <w:rFonts w:ascii="Times New Roman" w:hAnsi="Times New Roman"/>
          <w:color w:val="000000" w:themeColor="text1"/>
          <w:sz w:val="16"/>
          <w:szCs w:val="16"/>
        </w:rPr>
        <w:softHyphen/>
        <w:t>нией участвовали 3665 советских воен</w:t>
      </w:r>
      <w:r w:rsidRPr="00DB5D0D">
        <w:rPr>
          <w:rFonts w:ascii="Times New Roman" w:hAnsi="Times New Roman"/>
          <w:color w:val="000000" w:themeColor="text1"/>
          <w:sz w:val="16"/>
          <w:szCs w:val="16"/>
        </w:rPr>
        <w:softHyphen/>
        <w:t>нослужащих, 211 из них погибли в боях или умерли от ран. Летчики в воздуш</w:t>
      </w:r>
      <w:r w:rsidRPr="00DB5D0D">
        <w:rPr>
          <w:rFonts w:ascii="Times New Roman" w:hAnsi="Times New Roman"/>
          <w:color w:val="000000" w:themeColor="text1"/>
          <w:sz w:val="16"/>
          <w:szCs w:val="16"/>
        </w:rPr>
        <w:softHyphen/>
        <w:t>ных боях потеряли около 100 человек, еще столько же погибло в авиакатаст</w:t>
      </w:r>
      <w:r w:rsidRPr="00DB5D0D">
        <w:rPr>
          <w:rFonts w:ascii="Times New Roman" w:hAnsi="Times New Roman"/>
          <w:color w:val="000000" w:themeColor="text1"/>
          <w:sz w:val="16"/>
          <w:szCs w:val="16"/>
        </w:rPr>
        <w:softHyphen/>
        <w:t>рофах при перелетах к местам боев. Как пишут историки из КНР, «совет</w:t>
      </w:r>
      <w:r w:rsidRPr="00DB5D0D">
        <w:rPr>
          <w:rFonts w:ascii="Times New Roman" w:hAnsi="Times New Roman"/>
          <w:color w:val="000000" w:themeColor="text1"/>
          <w:sz w:val="16"/>
          <w:szCs w:val="16"/>
        </w:rPr>
        <w:softHyphen/>
        <w:t>ские летчики лишили японцев господ</w:t>
      </w:r>
      <w:r w:rsidRPr="00DB5D0D">
        <w:rPr>
          <w:rFonts w:ascii="Times New Roman" w:hAnsi="Times New Roman"/>
          <w:color w:val="000000" w:themeColor="text1"/>
          <w:sz w:val="16"/>
          <w:szCs w:val="16"/>
        </w:rPr>
        <w:softHyphen/>
        <w:t>ства в воздухе, нанесли им серьезное поражение и заставили отодвинуть авиабазы от линии фронта на -500 км. По неполным подсчетам, с начала 1938 г. помай 1940 г. советские летчики уча</w:t>
      </w:r>
      <w:r w:rsidRPr="00DB5D0D">
        <w:rPr>
          <w:rFonts w:ascii="Times New Roman" w:hAnsi="Times New Roman"/>
          <w:color w:val="000000" w:themeColor="text1"/>
          <w:sz w:val="16"/>
          <w:szCs w:val="16"/>
        </w:rPr>
        <w:softHyphen/>
        <w:t>ствовали более чем в 50 крупных воз</w:t>
      </w:r>
      <w:r w:rsidRPr="00DB5D0D">
        <w:rPr>
          <w:rFonts w:ascii="Times New Roman" w:hAnsi="Times New Roman"/>
          <w:color w:val="000000" w:themeColor="text1"/>
          <w:sz w:val="16"/>
          <w:szCs w:val="16"/>
        </w:rPr>
        <w:softHyphen/>
        <w:t>душных боях, сбив (совместно с китай</w:t>
      </w:r>
      <w:r w:rsidRPr="00DB5D0D">
        <w:rPr>
          <w:rFonts w:ascii="Times New Roman" w:hAnsi="Times New Roman"/>
          <w:color w:val="000000" w:themeColor="text1"/>
          <w:sz w:val="16"/>
          <w:szCs w:val="16"/>
        </w:rPr>
        <w:softHyphen/>
        <w:t>цами) 81 самолет, подбив (т.е. подо</w:t>
      </w:r>
      <w:r w:rsidRPr="00DB5D0D">
        <w:rPr>
          <w:rFonts w:ascii="Times New Roman" w:hAnsi="Times New Roman"/>
          <w:color w:val="000000" w:themeColor="text1"/>
          <w:sz w:val="16"/>
          <w:szCs w:val="16"/>
        </w:rPr>
        <w:softHyphen/>
        <w:t>жгли) 114 самолетов, повредили 14 крупных военных кораблей (10743).</w:t>
      </w:r>
    </w:p>
    <w:p w14:paraId="067B85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BAB80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летчик М.Липкий испытал самолет, получивший в обиходе заводское определение «СБ с зауженными гондолами-» - опытный СБ с двигателями М-105 (заводской № 2/281), который отличался установкой радиаторов водяного охлаждения внутри консолей уменьшенного крыла (как у ММН). Максимальная скорость 492 км ч на высоте 1700 метров внушала уверенность в дальнейших достижениях, поэтому в копне апреля Архангельский обратился к наркому авиапромышленности Шахурнну с предложением запустить ЭТУ модификацию со второго полугодия 1910 г. в серийное производство (8286,26).</w:t>
      </w:r>
    </w:p>
    <w:p w14:paraId="0D5CBED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119C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начались летные испытания СБ с моторами М-105ТК-2 (6409).</w:t>
      </w:r>
    </w:p>
    <w:p w14:paraId="50B7C5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14FF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летчик Липкин испытал самолет №2/281. Достигнутая максимальная скорость 492 км/ч на высоте 4700 метров внушала уверенность в дальнейших достижениях, поэтому в конце апреля Архангельский обратился к наркому авиапромышленности Шахурину с предложением запустить эту модификацию со второго полугодия 1940 г. в серийное производство.</w:t>
      </w:r>
    </w:p>
    <w:p w14:paraId="019FB5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подтверждения'полученных результатов новый самолет, уже под обозначением СБ-РК (СБ - Радиаторы-Крыло), передали для испытаний в НИИ ВВС. Полеты состоялись в период с 11 по 15 мая 1940 г. Ведущим летчиком-испытателем являлся полковник Кабанов, летчиками облета стали Стефановский, Хрипков, Долгов, Щербаков, Соколов.</w:t>
      </w:r>
    </w:p>
    <w:p w14:paraId="671526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результаты полетного тестирования были следующими: СБ-РК №2/281 с полетным весом 6300 кг развивал у земли скорость 411 км/ч, на высоте 4700 метров - 480 км/ч. Время набора высоты 5000 м составило 8,55 мин., практический потолок 10,10 км. Особых отличий в технике пилотирования у нового СБ летчики не обнаружили, однако отметили возросшие скорость отрыва на взлете и скорость планирования при посадке, а также запоздалую реакцию самолета на отклонение элеронов.</w:t>
      </w:r>
    </w:p>
    <w:p w14:paraId="31782D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подчеркивалось, что самолет испытывался без турелей МВ-3 и люковой МВ-2, в целом далек от совершенства и в предъявленном виде не может рассматриваться как эталон для серийного производства. Предлагалось на основе данного СБ-РК к 1 июля 1940 г. подготовить усовершенствованный эталон для производства.</w:t>
      </w:r>
    </w:p>
    <w:p w14:paraId="6A840C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числе дополнительных изменений предлагалось установить кабину штурмана (Ф-1) как у самолета М М Н и новый, уменьшенный по высоте колпак (экран) для турели МВ-3. С такими улучшениями имелись полные основания получить самолет с максимальной скоростью порядка 500 км/ч.</w:t>
      </w:r>
    </w:p>
    <w:p w14:paraId="66DD20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дальнейшем СБ-РК предполагалось использовать как пикирующий бомбардировщик, оснащенный подкрыльевыми, выпускаемыми тормозными решетками и автоматом выхода из пикирования. Впервые эти приспособления установили на СБ №1/281 - полеты на пикирование велись в период с 27 июля по 11 августа 1940 г.</w:t>
      </w:r>
    </w:p>
    <w:p w14:paraId="4C4391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Первые три самолета, на которых реализовали все вышеперечисленные изменения были изготовлены во второй половине августа 1940 г.</w:t>
      </w:r>
    </w:p>
    <w:p w14:paraId="572887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отличия этих СБ-РК от выпускаемых стандартных СБ 201-й серии и его конструктивные особенности достойны более подробного описания:</w:t>
      </w:r>
    </w:p>
    <w:p w14:paraId="48DAF4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уменьшено по размаху на 2,3 м и по площади на 8,5 м2. При этом площадь элеронов уменьшилась с 2,317 м2 до 1,686 м2. Для снижения посадочной скорости площадь центропланного посадочного щитка увеличена.</w:t>
      </w:r>
    </w:p>
    <w:p w14:paraId="12E0E6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Двигатели прикрыты капотами обтекаемой формы с минимальным поперечным сечением. На машинах первых серий на внутренней стороне капотов, т.е. со стороны летчика, устанавливались по два прибора контроля работы винтомоторной группы.</w:t>
      </w:r>
    </w:p>
    <w:p w14:paraId="58F4A6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Пластинчатые радиаторы водяного охлаждения двигателей установлены внутри отъемной части крыла с размещением воздухозаборников в их передней кромке. Регулирование потока охлаждающего воздуха осуществлялось подвижными створками, размещенными на верхней поверхности крыла. В связи с установкой радиаторов емкость крыльевых топливных баков уменьшилась до 330 литров по сравнению с 405 литрами на СБ.</w:t>
      </w:r>
    </w:p>
    <w:p w14:paraId="3CAD4A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Участок обшивки верхней части фюзеляжа в районе центроплана в пространстве между шпангоутами №4 и №8 выполнен в виде отсека, выклеенного из балинитовой фанеры. Этот отсек, называемый "горбушкой", собирался отдельно и устанавливался на основной каркас в собранном виде. Под "горбушкой" размещалась рамка антенны радиополукомпаса.</w:t>
      </w:r>
    </w:p>
    <w:p w14:paraId="5F11A4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снижения скорости на пикировании, под отъемными частями крыла расположены тормозные решетки, выполненные из стальных груб, имеющих овальное сечение. При вводе в пикирование, после открытия крана воздушной системы, тормозные решетки отклонялись в положение, перпендикулярное потоку. О выпуске решеток летчику сигнализировали механические указатели - "солдатики", выходящие из обшивки крыла в районе между 10-й и 11-й нервюрами. Ввод в пикирование осуществлялся одновременным отклонением вверх триммеров рулей высоты. При нажатии кнопки сброса бомб или дублирующей командной кнопки, триммеры возвращались в первоначальное положение.</w:t>
      </w:r>
    </w:p>
    <w:p w14:paraId="42F181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Передняя часть фюзеляжа СБ-РК полностью измененной конструкции, с увеличенным обзором летчику и штурману, с обеспечением непосредственной связи между ними (т.е. летчик и штурман могли обмениваться жестами или передавать что-либо друг другу). Летчик сдвинут влево для получения обзора вперед при заходе на пикирование через остекление штурманской кабины, его приборная доска в основном сгруппирована в правой части кабины. Фонарь летчика открывается назад с подъемом вверх. У штурмана значительно увеличена площадь остекления и установлено второе управление со складывающимся штурвалом.</w:t>
      </w:r>
    </w:p>
    <w:p w14:paraId="45FC1E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стрелковая установка типа "НУ" (в ряде документов называется НУ-ДБ-ЗФ, т.к. разрабатывалась для новой модификации бомбардировщика ДБ-ЗФ) имеет один пулемет Ш КАС с запасом патронов 500 шт. Пулемет ШКАС в этой установке монтировался в специальной шаровой головке, т.н. "яблоке", позволяющем вести обстрел вперед в конусе 50°. Питание пулемета осуществлялось по гибкому рукаву из патронного яшика на правом борту штурманской кабины.</w:t>
      </w:r>
    </w:p>
    <w:p w14:paraId="742465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Верхняя кормовая пулеметная установка конструкции Торопова с обстрелом только задней полусферы получила обозначение ТСС-1 (турель скоростного самолета), оборудована коллиматорным прицелом К-8Т, имеет запас патронов 1000 шт. Турель представляла собой полукольцо (сектор), по которому передвигалась каретка с головкой пулемета. В походном положении пулемет устанавливался по левому борту, в фонаре имелся небольшой вырез для такого положения. Верхний фонарь, т.н. "черепаха", при стрельбе отодвигался на роликах по рельсам назад и частично поднимался вверх для защиты стрелка от набегающего воздушного потока. Обстрел из ТСС-1 можно было вести на 90° влево и вправо, вверх на 60°, вниз на 30°.</w:t>
      </w:r>
    </w:p>
    <w:p w14:paraId="334519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обороны нижней полусферы на СБ-РК установлена убираемая турель МВ-2 с пулеметом ШКАС, с прицелом ОП-2Л, с запасом патронов 600 шт. МВ-2 устанавливалась на специальной раме (люльке), которая в походном положении поднималась вверх. В центральной части рамы, в районе рукоятки пулемета имелся копир-ограничитель, препятствующий попаданию при стрельбе в свое костыльное колесо. При переводе МВ-2 в боевое положение раскрывались две нижние застекленные створки, поеле чего пулемет вместе с люлькой опускался наружу. Прицельная стрельба из МВ-2 позволяла вести огонь по 30° в стороны, по вертикали от 4-5° до 55°.</w:t>
      </w:r>
    </w:p>
    <w:p w14:paraId="7CEB9C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сбрасывания бомб калибра 250 кг или 500 кг под центропланом СБ-РК были оборудованы новые держатели НП-1. Бомбы крепились в районе центра тяжести за один центральный замок и дополнительно фиксировались при помощи боковых упоров.</w:t>
      </w:r>
    </w:p>
    <w:p w14:paraId="75CE2A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осуществления прицеливания у штурмана устанавливался прицел НКПБ-3 (для бомбометания ночью и на малых высотах) и прицел ОПБ-1М. У летчика устанавливался коллиматорный прицел ПБП-1, предназначенный для бомбометания с пикирования.</w:t>
      </w:r>
    </w:p>
    <w:p w14:paraId="014F24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указанные изменения с осени 1940 г. начали осуществляться на серийных самолетах. Государственные испытания одного из первых СБ-РК, в котором окончательно оформились все новинки конструкции и оборудования, велись вплоть до декабря 1940 г., когда последовало решение об его переименовании в Ар-2 (Архангельский- второй). Именно под этим обозначением машина фигурировала в заголовке отчета по проведенным испытаниям, однако в тексте самолет по прежнему определялся как СБ-РК.</w:t>
      </w:r>
    </w:p>
    <w:p w14:paraId="542E55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итоговых материала отчета говорилось, что СБ-РК по своим летно-тактическим данным значительно лучше серийного самолета СБ, но по скорости отстает от современных иностранных и отечественных двухмоторных бомбардировщиков (под последними понимались СПБ, ББ-22 и, прежде всего Пе-2, показавший максимальную полетную скорость 540 км/ч).</w:t>
      </w:r>
    </w:p>
    <w:p w14:paraId="1084E7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СБ-РК при полетном весе 6600 кг на высоте 4700 м составила 475 км/ч вместо заданной максимальной скорости 490 км/ч.</w:t>
      </w:r>
    </w:p>
    <w:p w14:paraId="55BD58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и потолок удовлетворяют тактико-техническим требованиям к средним бомбардировщикам. Практический потолок самолета при нормальном полетном весе 6600 кг равен 10000 м., при полетном весе 7100 кг с четырьмя ФАБ-250 на наружной подвеске потолок составил 9000 м. Время набора высоты 5000 м при полетном весе 6600 кг составило 7,1 мин., при полетном весе 7100 кг - 9,3 мин.</w:t>
      </w:r>
    </w:p>
    <w:p w14:paraId="5BF417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на взлете с полетным весом 7100 кг составляла 340 метров (12027).</w:t>
      </w:r>
    </w:p>
    <w:p w14:paraId="3E36149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C0BA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на одном из серийных самолетов СБ были установлены моторы М-105, при этом водяные радиаторы обоих моторов конструкторы разместили в специальных тоннелях внутри крыла. Конструкция и размеры крыла не отличались от примененных на самолете ММН. Благодаря новому расположению радиаторов удалось резко уменьшить мидель моторных установок и придать им более совершенную аэродинамическую форму. Эта идея и определила название модифицированного самолета: СБ- РК - "самолет СБ с радиаторами в крыле". Результаты испытаний подтвердили значительное улучшение летных данных машины. Максимальная скорость на расчетной высоте 4700 м достигла 492 км/ч, потолок повысился примерно на 800 м. Взлетно-посадочные свойства почти не изменились по сравнению с серийными машинами.</w:t>
      </w:r>
    </w:p>
    <w:p w14:paraId="6BB40C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Недовольный тем, что не удалось получить запланированной скорости. Архангельский отмечал: "Крыло на испытанной машине выполнено очень низкого качества, значительно хуже существующего серийного (масса хлопунов, вмятин и неровностей), и при более качественном изготовлении крыла величина скорости должна повыситься... Хорошо выполненное в серии крыло самолета, применение потайной клепки должны увеличить полученную максимальную скорость машины на 5-10 км/ч, т.е. максимальная скорость самолета в серийном выпуске будет 500 км/ч... Испытания машины проходили с турелью ТУР-9. В последние месяцы завод выпускает машины с МВ-3, которая имеет большой фонарь, резко выступающий из габаритов фюзеляжа и отрицательно влияющий на скорость машины. На турель МВ-3 спроектирован новый колпак, складывающийся в полете - он значительно более аэ- родинамичный и при постановке на машину не должен снижать ее скорости" (12042).</w:t>
      </w:r>
    </w:p>
    <w:p w14:paraId="7540DF3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BF38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был испытан Ар-2. Вызвал И.В.Сталин и поручил одномоторный пикировщик. А.А.Архангельский делал конкурента Пе-2 - самолет Б. Обыграл И.В.Сталина в бильярд (77,157) - за что и поплатился.</w:t>
      </w:r>
    </w:p>
    <w:p w14:paraId="46FA01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комиссия НКАП под председательством Я.В.Шмушкевича с участием А.С.Я., С.Н.Шишкина и М.Н.Шульженко рассмотрела эскизный проект двухмоторного тяжелого истребителя СК-3 М.Р.Бисновата в двух вариантах - одноместном и двухместном вариантах. Проект возвратили на доработку (2231,34).</w:t>
      </w:r>
    </w:p>
    <w:p w14:paraId="0024D32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FC5F8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проходили войсковые испытания в НИИ ВВС ББ-22 первой десятки производства 1 завода. Результаты оказались разочаровывающими. Плохой обзор, ненадежное вооружение, недостаточная прочность шасси (1081,7).</w:t>
      </w:r>
    </w:p>
    <w:p w14:paraId="08D9603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4C2F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головные машины ББ-22, так называемые «самолеты первого десятка» или «само</w:t>
      </w:r>
      <w:r w:rsidRPr="00DB5D0D">
        <w:rPr>
          <w:rFonts w:ascii="Times New Roman" w:hAnsi="Times New Roman"/>
          <w:color w:val="000000" w:themeColor="text1"/>
          <w:sz w:val="16"/>
          <w:szCs w:val="16"/>
        </w:rPr>
        <w:softHyphen/>
        <w:t>леты войсковой серии» проходили войсковые испытания в НИИ ВВС. Результаты их выглядели, мягко го</w:t>
      </w:r>
      <w:r w:rsidRPr="00DB5D0D">
        <w:rPr>
          <w:rFonts w:ascii="Times New Roman" w:hAnsi="Times New Roman"/>
          <w:color w:val="000000" w:themeColor="text1"/>
          <w:sz w:val="16"/>
          <w:szCs w:val="16"/>
        </w:rPr>
        <w:softHyphen/>
        <w:t>воря, разочаровывающими. Опять вы</w:t>
      </w:r>
      <w:r w:rsidRPr="00DB5D0D">
        <w:rPr>
          <w:rFonts w:ascii="Times New Roman" w:hAnsi="Times New Roman"/>
          <w:color w:val="000000" w:themeColor="text1"/>
          <w:sz w:val="16"/>
          <w:szCs w:val="16"/>
        </w:rPr>
        <w:softHyphen/>
        <w:t>явились недоведенность винтомоторной группы, недостаточная прочность колес основных стоек шасси. Плохой обзор из кабины штурмана затруднял ориентиро</w:t>
      </w:r>
      <w:r w:rsidRPr="00DB5D0D">
        <w:rPr>
          <w:rFonts w:ascii="Times New Roman" w:hAnsi="Times New Roman"/>
          <w:color w:val="000000" w:themeColor="text1"/>
          <w:sz w:val="16"/>
          <w:szCs w:val="16"/>
        </w:rPr>
        <w:softHyphen/>
        <w:t>вание и выход на цель. Вооружение са</w:t>
      </w:r>
      <w:r w:rsidRPr="00DB5D0D">
        <w:rPr>
          <w:rFonts w:ascii="Times New Roman" w:hAnsi="Times New Roman"/>
          <w:color w:val="000000" w:themeColor="text1"/>
          <w:sz w:val="16"/>
          <w:szCs w:val="16"/>
        </w:rPr>
        <w:softHyphen/>
        <w:t>молета вновь оказалось неотлаженным: не открывались створки бомболюка, тре</w:t>
      </w:r>
      <w:r w:rsidRPr="00DB5D0D">
        <w:rPr>
          <w:rFonts w:ascii="Times New Roman" w:hAnsi="Times New Roman"/>
          <w:color w:val="000000" w:themeColor="text1"/>
          <w:sz w:val="16"/>
          <w:szCs w:val="16"/>
        </w:rPr>
        <w:softHyphen/>
        <w:t>бовались огромные усилия для сбрасы</w:t>
      </w:r>
      <w:r w:rsidRPr="00DB5D0D">
        <w:rPr>
          <w:rFonts w:ascii="Times New Roman" w:hAnsi="Times New Roman"/>
          <w:color w:val="000000" w:themeColor="text1"/>
          <w:sz w:val="16"/>
          <w:szCs w:val="16"/>
        </w:rPr>
        <w:softHyphen/>
        <w:t>вания бомб с помощью МСШ-8, задняя стрелковая установка не могла исполь</w:t>
      </w:r>
      <w:r w:rsidRPr="00DB5D0D">
        <w:rPr>
          <w:rFonts w:ascii="Times New Roman" w:hAnsi="Times New Roman"/>
          <w:color w:val="000000" w:themeColor="text1"/>
          <w:sz w:val="16"/>
          <w:szCs w:val="16"/>
        </w:rPr>
        <w:softHyphen/>
        <w:t>зоваться по назначению, поскольку пнев-мосистему подъема фонаря и дуги туре</w:t>
      </w:r>
      <w:r w:rsidRPr="00DB5D0D">
        <w:rPr>
          <w:rFonts w:ascii="Times New Roman" w:hAnsi="Times New Roman"/>
          <w:color w:val="000000" w:themeColor="text1"/>
          <w:sz w:val="16"/>
          <w:szCs w:val="16"/>
        </w:rPr>
        <w:softHyphen/>
        <w:t>ли не успели как следует отработать.</w:t>
      </w:r>
    </w:p>
    <w:p w14:paraId="03BA1F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летчиков-испытателей, ма</w:t>
      </w:r>
      <w:r w:rsidRPr="00DB5D0D">
        <w:rPr>
          <w:rFonts w:ascii="Times New Roman" w:hAnsi="Times New Roman"/>
          <w:color w:val="000000" w:themeColor="text1"/>
          <w:sz w:val="16"/>
          <w:szCs w:val="16"/>
        </w:rPr>
        <w:softHyphen/>
        <w:t>шины отличались сравнительно большой посадочной скоростью, непривычно кру</w:t>
      </w:r>
      <w:r w:rsidRPr="00DB5D0D">
        <w:rPr>
          <w:rFonts w:ascii="Times New Roman" w:hAnsi="Times New Roman"/>
          <w:color w:val="000000" w:themeColor="text1"/>
          <w:sz w:val="16"/>
          <w:szCs w:val="16"/>
        </w:rPr>
        <w:softHyphen/>
        <w:t>той глиссадой планирования, недостаточ</w:t>
      </w:r>
      <w:r w:rsidRPr="00DB5D0D">
        <w:rPr>
          <w:rFonts w:ascii="Times New Roman" w:hAnsi="Times New Roman"/>
          <w:color w:val="000000" w:themeColor="text1"/>
          <w:sz w:val="16"/>
          <w:szCs w:val="16"/>
        </w:rPr>
        <w:softHyphen/>
        <w:t>ной поперечной и путевой устойчивос</w:t>
      </w:r>
      <w:r w:rsidRPr="00DB5D0D">
        <w:rPr>
          <w:rFonts w:ascii="Times New Roman" w:hAnsi="Times New Roman"/>
          <w:color w:val="000000" w:themeColor="text1"/>
          <w:sz w:val="16"/>
          <w:szCs w:val="16"/>
        </w:rPr>
        <w:softHyphen/>
        <w:t>тью. При высоком выравнивании самолет быстро проваливался, а жесткая аморти</w:t>
      </w:r>
      <w:r w:rsidRPr="00DB5D0D">
        <w:rPr>
          <w:rFonts w:ascii="Times New Roman" w:hAnsi="Times New Roman"/>
          <w:color w:val="000000" w:themeColor="text1"/>
          <w:sz w:val="16"/>
          <w:szCs w:val="16"/>
        </w:rPr>
        <w:softHyphen/>
        <w:t>зация шасси была неспособна эффек</w:t>
      </w:r>
      <w:r w:rsidRPr="00DB5D0D">
        <w:rPr>
          <w:rFonts w:ascii="Times New Roman" w:hAnsi="Times New Roman"/>
          <w:color w:val="000000" w:themeColor="text1"/>
          <w:sz w:val="16"/>
          <w:szCs w:val="16"/>
        </w:rPr>
        <w:softHyphen/>
        <w:t>тивно гасить возникающие удары. С точ</w:t>
      </w:r>
      <w:r w:rsidRPr="00DB5D0D">
        <w:rPr>
          <w:rFonts w:ascii="Times New Roman" w:hAnsi="Times New Roman"/>
          <w:color w:val="000000" w:themeColor="text1"/>
          <w:sz w:val="16"/>
          <w:szCs w:val="16"/>
        </w:rPr>
        <w:softHyphen/>
        <w:t>ки зрения эксплуатационников, ББ-22 представлял собой форменный кошмар: только на раскапочивание и закапочивание двигателей уходило добрых полчаса. Доступ к агрегатам получился неудоб</w:t>
      </w:r>
      <w:r w:rsidRPr="00DB5D0D">
        <w:rPr>
          <w:rFonts w:ascii="Times New Roman" w:hAnsi="Times New Roman"/>
          <w:color w:val="000000" w:themeColor="text1"/>
          <w:sz w:val="16"/>
          <w:szCs w:val="16"/>
        </w:rPr>
        <w:softHyphen/>
        <w:t>ным, в системе охлаждения имелось бо</w:t>
      </w:r>
      <w:r w:rsidRPr="00DB5D0D">
        <w:rPr>
          <w:rFonts w:ascii="Times New Roman" w:hAnsi="Times New Roman"/>
          <w:color w:val="000000" w:themeColor="text1"/>
          <w:sz w:val="16"/>
          <w:szCs w:val="16"/>
        </w:rPr>
        <w:softHyphen/>
        <w:t>лее 20 сливных кранов... Общую безра</w:t>
      </w:r>
      <w:r w:rsidRPr="00DB5D0D">
        <w:rPr>
          <w:rFonts w:ascii="Times New Roman" w:hAnsi="Times New Roman"/>
          <w:color w:val="000000" w:themeColor="text1"/>
          <w:sz w:val="16"/>
          <w:szCs w:val="16"/>
        </w:rPr>
        <w:softHyphen/>
        <w:t>достную картину довершала вибрация хвостового оперения, из-за которой вой</w:t>
      </w:r>
      <w:r w:rsidRPr="00DB5D0D">
        <w:rPr>
          <w:rFonts w:ascii="Times New Roman" w:hAnsi="Times New Roman"/>
          <w:color w:val="000000" w:themeColor="text1"/>
          <w:sz w:val="16"/>
          <w:szCs w:val="16"/>
        </w:rPr>
        <w:softHyphen/>
        <w:t>сковые испытания пришлось прекратить.</w:t>
      </w:r>
    </w:p>
    <w:p w14:paraId="164F73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Объем доработок и изменений в кон</w:t>
      </w:r>
      <w:r w:rsidRPr="00DB5D0D">
        <w:rPr>
          <w:rFonts w:ascii="Times New Roman" w:hAnsi="Times New Roman"/>
          <w:color w:val="000000" w:themeColor="text1"/>
          <w:sz w:val="16"/>
          <w:szCs w:val="16"/>
        </w:rPr>
        <w:softHyphen/>
        <w:t>струкции машины нарастал подобно снежному кому. Сам Яковлев к середине 1940 г. физически не имел времени для того, чтобы решать проблемы «двадцать второго»: он занимался преимуществен</w:t>
      </w:r>
      <w:r w:rsidRPr="00DB5D0D">
        <w:rPr>
          <w:rFonts w:ascii="Times New Roman" w:hAnsi="Times New Roman"/>
          <w:color w:val="000000" w:themeColor="text1"/>
          <w:sz w:val="16"/>
          <w:szCs w:val="16"/>
        </w:rPr>
        <w:softHyphen/>
        <w:t>но истребителем И-26 и его спаркой УТИ-26, одновременно выполняя обя</w:t>
      </w:r>
      <w:r w:rsidRPr="00DB5D0D">
        <w:rPr>
          <w:rFonts w:ascii="Times New Roman" w:hAnsi="Times New Roman"/>
          <w:color w:val="000000" w:themeColor="text1"/>
          <w:sz w:val="16"/>
          <w:szCs w:val="16"/>
        </w:rPr>
        <w:softHyphen/>
        <w:t>занности замнаркома авиапромышлен</w:t>
      </w:r>
      <w:r w:rsidRPr="00DB5D0D">
        <w:rPr>
          <w:rFonts w:ascii="Times New Roman" w:hAnsi="Times New Roman"/>
          <w:color w:val="000000" w:themeColor="text1"/>
          <w:sz w:val="16"/>
          <w:szCs w:val="16"/>
        </w:rPr>
        <w:softHyphen/>
        <w:t>ности. Функции главного конструктора ББ-22 фактически возложили на его за</w:t>
      </w:r>
      <w:r w:rsidRPr="00DB5D0D">
        <w:rPr>
          <w:rFonts w:ascii="Times New Roman" w:hAnsi="Times New Roman"/>
          <w:color w:val="000000" w:themeColor="text1"/>
          <w:sz w:val="16"/>
          <w:szCs w:val="16"/>
        </w:rPr>
        <w:softHyphen/>
        <w:t>местителя К.А. Виганта, а позднее — на начальника созданного при серийном за</w:t>
      </w:r>
      <w:r w:rsidRPr="00DB5D0D">
        <w:rPr>
          <w:rFonts w:ascii="Times New Roman" w:hAnsi="Times New Roman"/>
          <w:color w:val="000000" w:themeColor="text1"/>
          <w:sz w:val="16"/>
          <w:szCs w:val="16"/>
        </w:rPr>
        <w:softHyphen/>
        <w:t>воде конструкторского бюро Я.Н. Строн-гина. Это ОКБ предпринимало отчаян</w:t>
      </w:r>
      <w:r w:rsidRPr="00DB5D0D">
        <w:rPr>
          <w:rFonts w:ascii="Times New Roman" w:hAnsi="Times New Roman"/>
          <w:color w:val="000000" w:themeColor="text1"/>
          <w:sz w:val="16"/>
          <w:szCs w:val="16"/>
        </w:rPr>
        <w:softHyphen/>
        <w:t>ные усилия для того, чтобы спасти ситу</w:t>
      </w:r>
      <w:r w:rsidRPr="00DB5D0D">
        <w:rPr>
          <w:rFonts w:ascii="Times New Roman" w:hAnsi="Times New Roman"/>
          <w:color w:val="000000" w:themeColor="text1"/>
          <w:sz w:val="16"/>
          <w:szCs w:val="16"/>
        </w:rPr>
        <w:softHyphen/>
        <w:t>ацию с серийным выпуском ББ-22 (11214).</w:t>
      </w:r>
    </w:p>
    <w:p w14:paraId="011123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99328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весне 1940 г. был готов первый прототип И-301 (такое обозначение самолет получил по номеру завода) (4707).</w:t>
      </w:r>
    </w:p>
    <w:p w14:paraId="6D97B2F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B9C99E" w14:textId="77777777" w:rsidR="002313B9" w:rsidRPr="00DB5D0D" w:rsidRDefault="00231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весны 1940 г., дирекция авиазавода № 21 в Горьком — одного из ведущих в СССР — в течение полугода игнорировала в отношении нового самолетаистребителя И-180 все приказы главка, наркомата, командования ВВС, постановления Комитета Обороны при СНК СССР: «У дивительно, что все действия дирекции оставались безнаказанными, и это в ту эпоху, когда директоров других заводов даже за небольшие отступления от программ выпуска боевой техники снимали с должности и даже репрес сировали» (19541).</w:t>
      </w:r>
    </w:p>
    <w:p w14:paraId="45789BD3" w14:textId="77777777" w:rsidR="002313B9" w:rsidRPr="00DB5D0D" w:rsidRDefault="002313B9" w:rsidP="00DB5D0D">
      <w:pPr>
        <w:spacing w:after="0" w:line="240" w:lineRule="auto"/>
        <w:jc w:val="both"/>
        <w:rPr>
          <w:rFonts w:ascii="Times New Roman" w:hAnsi="Times New Roman"/>
          <w:color w:val="000000" w:themeColor="text1"/>
          <w:sz w:val="16"/>
          <w:szCs w:val="16"/>
        </w:rPr>
      </w:pPr>
    </w:p>
    <w:p w14:paraId="3EFEB7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Н.Н.П. направил в ГУ ВВС Пояснительную записку к эскизному проекту маневренного истребителя И-195, в которой писал: «Роль маневренного истребителя в современной войне подробно не освещена и не выяснена... Можно ожидать, что эта роль увеличится еще больше при переходе к групповым и массовым боям истребителей с бомбардировщиками, где скорость не будет играть такой решающей роли как маневренность». Очевидно, понимая спорность подобного заявления, далее конструктор указывает, что намерен обеспечить новому самолету «солидные и очень современные горизонтальные и вертикальные скорости». Высокие летные характеристики предполагалось обеспечить за счет установки двигателя воздушного охлаждения М-90 мощностью 1500 л.с. (взлетной - 1 750 л.с.). Мотоустановка с центральным входом охлаждающего воздуха задумывалась совместимой с таковой на истребителе И-185. С последнего также заимствовались фонарь кабины и многие агрегаты. Улучшенная аэродинамика, гладкая обшивка, новый профиль NACA 230, отсутствие лент-расчалок и использование реактивного момента выхлопных газов при мощном двигателе могли обеспечить И-195 расчетную скорость у земли 510 км/ч, на высоте 7000 метров - 591 км/ч, посадочную скорость - 103 км/ч, потолок - 12000 м. В качестве вооружения предполагалась установка двух 20 мм пушек ШВАК и двух крупнокалиберных пулеметов БС. В варианте штурмовика - бомбы до 250 кг. Самолет обладал следующими размерно-весовыми параметрами: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7D5DF8" w:rsidRPr="00DB5D0D" w14:paraId="1C46A474" w14:textId="77777777" w:rsidTr="009223E5">
        <w:tc>
          <w:tcPr>
            <w:tcW w:w="4261" w:type="dxa"/>
            <w:tcBorders>
              <w:top w:val="single" w:sz="12" w:space="0" w:color="auto"/>
            </w:tcBorders>
          </w:tcPr>
          <w:p w14:paraId="4CBF9A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м</w:t>
            </w:r>
          </w:p>
        </w:tc>
        <w:tc>
          <w:tcPr>
            <w:tcW w:w="4261" w:type="dxa"/>
            <w:tcBorders>
              <w:top w:val="single" w:sz="12" w:space="0" w:color="auto"/>
            </w:tcBorders>
          </w:tcPr>
          <w:p w14:paraId="6DA634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7.55</w:t>
            </w:r>
          </w:p>
        </w:tc>
      </w:tr>
      <w:tr w:rsidR="007D5DF8" w:rsidRPr="00DB5D0D" w14:paraId="1B6BC192" w14:textId="77777777" w:rsidTr="009223E5">
        <w:tc>
          <w:tcPr>
            <w:tcW w:w="4261" w:type="dxa"/>
          </w:tcPr>
          <w:p w14:paraId="5D1FC9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верхнего крыла, м</w:t>
            </w:r>
          </w:p>
        </w:tc>
        <w:tc>
          <w:tcPr>
            <w:tcW w:w="4261" w:type="dxa"/>
          </w:tcPr>
          <w:p w14:paraId="277DAD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r>
      <w:tr w:rsidR="007D5DF8" w:rsidRPr="00DB5D0D" w14:paraId="24FED49C" w14:textId="77777777" w:rsidTr="009223E5">
        <w:tc>
          <w:tcPr>
            <w:tcW w:w="4261" w:type="dxa"/>
          </w:tcPr>
          <w:p w14:paraId="0FEDD1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нижнего крыла, м</w:t>
            </w:r>
          </w:p>
        </w:tc>
        <w:tc>
          <w:tcPr>
            <w:tcW w:w="4261" w:type="dxa"/>
          </w:tcPr>
          <w:p w14:paraId="31910F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r>
      <w:tr w:rsidR="007D5DF8" w:rsidRPr="00DB5D0D" w14:paraId="29DC5B13" w14:textId="77777777" w:rsidTr="009223E5">
        <w:tc>
          <w:tcPr>
            <w:tcW w:w="4261" w:type="dxa"/>
          </w:tcPr>
          <w:p w14:paraId="5F2F3A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в линии полета, м</w:t>
            </w:r>
          </w:p>
        </w:tc>
        <w:tc>
          <w:tcPr>
            <w:tcW w:w="4261" w:type="dxa"/>
          </w:tcPr>
          <w:p w14:paraId="31D740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3.775</w:t>
            </w:r>
          </w:p>
        </w:tc>
      </w:tr>
      <w:tr w:rsidR="007D5DF8" w:rsidRPr="00DB5D0D" w14:paraId="06DFDFB6" w14:textId="77777777" w:rsidTr="009223E5">
        <w:tc>
          <w:tcPr>
            <w:tcW w:w="4261" w:type="dxa"/>
          </w:tcPr>
          <w:p w14:paraId="059EA0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крыльев, м2</w:t>
            </w:r>
          </w:p>
        </w:tc>
        <w:tc>
          <w:tcPr>
            <w:tcW w:w="4261" w:type="dxa"/>
          </w:tcPr>
          <w:p w14:paraId="317C41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r>
      <w:tr w:rsidR="007D5DF8" w:rsidRPr="00DB5D0D" w14:paraId="3AFE8C8A" w14:textId="77777777" w:rsidTr="009223E5">
        <w:tc>
          <w:tcPr>
            <w:tcW w:w="4261" w:type="dxa"/>
          </w:tcPr>
          <w:p w14:paraId="55960A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полетный вес, кг</w:t>
            </w:r>
          </w:p>
        </w:tc>
        <w:tc>
          <w:tcPr>
            <w:tcW w:w="4261" w:type="dxa"/>
          </w:tcPr>
          <w:p w14:paraId="780D8D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2916</w:t>
            </w:r>
          </w:p>
        </w:tc>
      </w:tr>
      <w:tr w:rsidR="007D5DF8" w:rsidRPr="00DB5D0D" w14:paraId="5C33E2C6" w14:textId="77777777" w:rsidTr="009223E5">
        <w:tc>
          <w:tcPr>
            <w:tcW w:w="4261" w:type="dxa"/>
            <w:tcBorders>
              <w:bottom w:val="single" w:sz="12" w:space="0" w:color="auto"/>
            </w:tcBorders>
          </w:tcPr>
          <w:p w14:paraId="52624F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Максимальный полетный вес, кг</w:t>
            </w:r>
          </w:p>
        </w:tc>
        <w:tc>
          <w:tcPr>
            <w:tcW w:w="4261" w:type="dxa"/>
            <w:tcBorders>
              <w:bottom w:val="single" w:sz="12" w:space="0" w:color="auto"/>
            </w:tcBorders>
          </w:tcPr>
          <w:p w14:paraId="2082FD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3254</w:t>
            </w:r>
          </w:p>
        </w:tc>
      </w:tr>
    </w:tbl>
    <w:p w14:paraId="4D8F9F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такими расчетными данными проект И-195 рассматривался летом 1940 г., однако решения о его строительстве не последовало. Бипланы в Москве уже вышли из моды (6592).</w:t>
      </w:r>
    </w:p>
    <w:p w14:paraId="19D73B6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0EB6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в Главное Управ</w:t>
      </w:r>
      <w:r w:rsidRPr="00DB5D0D">
        <w:rPr>
          <w:rFonts w:ascii="Times New Roman" w:hAnsi="Times New Roman"/>
          <w:color w:val="000000" w:themeColor="text1"/>
          <w:sz w:val="16"/>
          <w:szCs w:val="16"/>
        </w:rPr>
        <w:softHyphen/>
        <w:t xml:space="preserve">ление ВВС ВВС была направлена пояснительная записка к эскизному проекту маневренного истребителя И-195. В ней Николай Поликарпов писал: </w:t>
      </w:r>
      <w:r w:rsidRPr="00DB5D0D">
        <w:rPr>
          <w:rFonts w:ascii="Times New Roman" w:hAnsi="Times New Roman"/>
          <w:iCs/>
          <w:color w:val="000000" w:themeColor="text1"/>
          <w:sz w:val="16"/>
          <w:szCs w:val="16"/>
        </w:rPr>
        <w:t>«Роль маневренного истребителя в современной войне подробно не освещена и не выяснена... Можно ожидать, что эта роль увеличится еще больше при переходе к групповым и массо</w:t>
      </w:r>
      <w:r w:rsidRPr="00DB5D0D">
        <w:rPr>
          <w:rFonts w:ascii="Times New Roman" w:hAnsi="Times New Roman"/>
          <w:iCs/>
          <w:color w:val="000000" w:themeColor="text1"/>
          <w:sz w:val="16"/>
          <w:szCs w:val="16"/>
        </w:rPr>
        <w:softHyphen/>
        <w:t>вым боям истребителей с бомбардировщиками, где скорость не будет играть такой реша</w:t>
      </w:r>
      <w:r w:rsidRPr="00DB5D0D">
        <w:rPr>
          <w:rFonts w:ascii="Times New Roman" w:hAnsi="Times New Roman"/>
          <w:iCs/>
          <w:color w:val="000000" w:themeColor="text1"/>
          <w:sz w:val="16"/>
          <w:szCs w:val="16"/>
        </w:rPr>
        <w:softHyphen/>
        <w:t>ющей роли, как маневренность». К</w:t>
      </w:r>
      <w:r w:rsidRPr="00DB5D0D">
        <w:rPr>
          <w:rFonts w:ascii="Times New Roman" w:hAnsi="Times New Roman"/>
          <w:color w:val="000000" w:themeColor="text1"/>
          <w:sz w:val="16"/>
          <w:szCs w:val="16"/>
        </w:rPr>
        <w:t>онструктор указывает, что намерен обес</w:t>
      </w:r>
      <w:r w:rsidRPr="00DB5D0D">
        <w:rPr>
          <w:rFonts w:ascii="Times New Roman" w:hAnsi="Times New Roman"/>
          <w:color w:val="000000" w:themeColor="text1"/>
          <w:sz w:val="16"/>
          <w:szCs w:val="16"/>
        </w:rPr>
        <w:softHyphen/>
        <w:t xml:space="preserve">печить новому самолету </w:t>
      </w:r>
      <w:r w:rsidRPr="00DB5D0D">
        <w:rPr>
          <w:rFonts w:ascii="Times New Roman" w:hAnsi="Times New Roman"/>
          <w:iCs/>
          <w:color w:val="000000" w:themeColor="text1"/>
          <w:sz w:val="16"/>
          <w:szCs w:val="16"/>
        </w:rPr>
        <w:t>«солидные и очень современные горизонтальные и вертикаль</w:t>
      </w:r>
      <w:r w:rsidRPr="00DB5D0D">
        <w:rPr>
          <w:rFonts w:ascii="Times New Roman" w:hAnsi="Times New Roman"/>
          <w:iCs/>
          <w:color w:val="000000" w:themeColor="text1"/>
          <w:sz w:val="16"/>
          <w:szCs w:val="16"/>
        </w:rPr>
        <w:softHyphen/>
        <w:t xml:space="preserve">ные скорости». </w:t>
      </w:r>
      <w:r w:rsidRPr="00DB5D0D">
        <w:rPr>
          <w:rFonts w:ascii="Times New Roman" w:hAnsi="Times New Roman"/>
          <w:color w:val="000000" w:themeColor="text1"/>
          <w:sz w:val="16"/>
          <w:szCs w:val="16"/>
        </w:rPr>
        <w:t>Со строящегося И-185 предполагалось ис</w:t>
      </w:r>
      <w:r w:rsidRPr="00DB5D0D">
        <w:rPr>
          <w:rFonts w:ascii="Times New Roman" w:hAnsi="Times New Roman"/>
          <w:color w:val="000000" w:themeColor="text1"/>
          <w:sz w:val="16"/>
          <w:szCs w:val="16"/>
        </w:rPr>
        <w:softHyphen/>
        <w:t>пользовать мотоустановку с центральным вхо</w:t>
      </w:r>
      <w:r w:rsidRPr="00DB5D0D">
        <w:rPr>
          <w:rFonts w:ascii="Times New Roman" w:hAnsi="Times New Roman"/>
          <w:color w:val="000000" w:themeColor="text1"/>
          <w:sz w:val="16"/>
          <w:szCs w:val="16"/>
        </w:rPr>
        <w:softHyphen/>
        <w:t>дом охлаждающего воздуха, хвостовую часть фюзеляжа, включая кабину пилота, многие аг</w:t>
      </w:r>
      <w:r w:rsidRPr="00DB5D0D">
        <w:rPr>
          <w:rFonts w:ascii="Times New Roman" w:hAnsi="Times New Roman"/>
          <w:color w:val="000000" w:themeColor="text1"/>
          <w:sz w:val="16"/>
          <w:szCs w:val="16"/>
        </w:rPr>
        <w:softHyphen/>
        <w:t>регаты. Улучшенная аэродинамика, гладкая об</w:t>
      </w:r>
      <w:r w:rsidRPr="00DB5D0D">
        <w:rPr>
          <w:rFonts w:ascii="Times New Roman" w:hAnsi="Times New Roman"/>
          <w:color w:val="000000" w:themeColor="text1"/>
          <w:sz w:val="16"/>
          <w:szCs w:val="16"/>
        </w:rPr>
        <w:softHyphen/>
        <w:t>шивка, новый профиль МАСА 230, отсутствие лент-расчалок и использование реактивного момента выхлопных газов при мощном двига</w:t>
      </w:r>
      <w:r w:rsidRPr="00DB5D0D">
        <w:rPr>
          <w:rFonts w:ascii="Times New Roman" w:hAnsi="Times New Roman"/>
          <w:color w:val="000000" w:themeColor="text1"/>
          <w:sz w:val="16"/>
          <w:szCs w:val="16"/>
        </w:rPr>
        <w:softHyphen/>
        <w:t>теле могли обеспечить И-195 расчетную ско</w:t>
      </w:r>
      <w:r w:rsidRPr="00DB5D0D">
        <w:rPr>
          <w:rFonts w:ascii="Times New Roman" w:hAnsi="Times New Roman"/>
          <w:color w:val="000000" w:themeColor="text1"/>
          <w:sz w:val="16"/>
          <w:szCs w:val="16"/>
        </w:rPr>
        <w:softHyphen/>
        <w:t>рость у земли 510 км/ч, на высоте 7000 метров - 591 км/ч, посадочную скорость -103 км/ч, по</w:t>
      </w:r>
      <w:r w:rsidRPr="00DB5D0D">
        <w:rPr>
          <w:rFonts w:ascii="Times New Roman" w:hAnsi="Times New Roman"/>
          <w:color w:val="000000" w:themeColor="text1"/>
          <w:sz w:val="16"/>
          <w:szCs w:val="16"/>
        </w:rPr>
        <w:softHyphen/>
        <w:t>толок- 12000м. В качестве вооружения предполагалась ус</w:t>
      </w:r>
      <w:r w:rsidRPr="00DB5D0D">
        <w:rPr>
          <w:rFonts w:ascii="Times New Roman" w:hAnsi="Times New Roman"/>
          <w:color w:val="000000" w:themeColor="text1"/>
          <w:sz w:val="16"/>
          <w:szCs w:val="16"/>
        </w:rPr>
        <w:softHyphen/>
        <w:t>тановка двух 20-мм пушек ШВАК и двух круп</w:t>
      </w:r>
      <w:r w:rsidRPr="00DB5D0D">
        <w:rPr>
          <w:rFonts w:ascii="Times New Roman" w:hAnsi="Times New Roman"/>
          <w:color w:val="000000" w:themeColor="text1"/>
          <w:sz w:val="16"/>
          <w:szCs w:val="16"/>
        </w:rPr>
        <w:softHyphen/>
        <w:t>нокалиберных пулеметов БС. В варианте штур</w:t>
      </w:r>
      <w:r w:rsidRPr="00DB5D0D">
        <w:rPr>
          <w:rFonts w:ascii="Times New Roman" w:hAnsi="Times New Roman"/>
          <w:color w:val="000000" w:themeColor="text1"/>
          <w:sz w:val="16"/>
          <w:szCs w:val="16"/>
        </w:rPr>
        <w:softHyphen/>
        <w:t>мовика - бомбы до 250 кг. Самолет обладал сле</w:t>
      </w:r>
      <w:r w:rsidRPr="00DB5D0D">
        <w:rPr>
          <w:rFonts w:ascii="Times New Roman" w:hAnsi="Times New Roman"/>
          <w:color w:val="000000" w:themeColor="text1"/>
          <w:sz w:val="16"/>
          <w:szCs w:val="16"/>
        </w:rPr>
        <w:softHyphen/>
        <w:t>дующими размерно-весовыми параметрами: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7D5DF8" w:rsidRPr="00DB5D0D" w14:paraId="35F81019" w14:textId="77777777" w:rsidTr="009223E5">
        <w:tc>
          <w:tcPr>
            <w:tcW w:w="5635" w:type="dxa"/>
            <w:tcBorders>
              <w:top w:val="single" w:sz="12" w:space="0" w:color="auto"/>
            </w:tcBorders>
            <w:shd w:val="clear" w:color="auto" w:fill="FFFFFF"/>
          </w:tcPr>
          <w:p w14:paraId="5C7D70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м</w:t>
            </w:r>
          </w:p>
        </w:tc>
        <w:tc>
          <w:tcPr>
            <w:tcW w:w="5635" w:type="dxa"/>
            <w:tcBorders>
              <w:top w:val="single" w:sz="12" w:space="0" w:color="auto"/>
            </w:tcBorders>
            <w:shd w:val="clear" w:color="auto" w:fill="FFFFFF"/>
          </w:tcPr>
          <w:p w14:paraId="53566F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7,550</w:t>
            </w:r>
          </w:p>
        </w:tc>
      </w:tr>
      <w:tr w:rsidR="007D5DF8" w:rsidRPr="00DB5D0D" w14:paraId="76063A81" w14:textId="77777777" w:rsidTr="009223E5">
        <w:tc>
          <w:tcPr>
            <w:tcW w:w="5635" w:type="dxa"/>
            <w:shd w:val="clear" w:color="auto" w:fill="FFFFFF"/>
          </w:tcPr>
          <w:p w14:paraId="088E5A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верхнего крыла, м</w:t>
            </w:r>
          </w:p>
        </w:tc>
        <w:tc>
          <w:tcPr>
            <w:tcW w:w="5635" w:type="dxa"/>
            <w:shd w:val="clear" w:color="auto" w:fill="FFFFFF"/>
          </w:tcPr>
          <w:p w14:paraId="58454F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10,500</w:t>
            </w:r>
          </w:p>
        </w:tc>
      </w:tr>
      <w:tr w:rsidR="007D5DF8" w:rsidRPr="00DB5D0D" w14:paraId="00618AA3" w14:textId="77777777" w:rsidTr="009223E5">
        <w:tc>
          <w:tcPr>
            <w:tcW w:w="5635" w:type="dxa"/>
            <w:shd w:val="clear" w:color="auto" w:fill="FFFFFF"/>
          </w:tcPr>
          <w:p w14:paraId="67FF62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нижнего крыла, м</w:t>
            </w:r>
          </w:p>
        </w:tc>
        <w:tc>
          <w:tcPr>
            <w:tcW w:w="5635" w:type="dxa"/>
            <w:shd w:val="clear" w:color="auto" w:fill="FFFFFF"/>
          </w:tcPr>
          <w:p w14:paraId="4B7270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8,100</w:t>
            </w:r>
          </w:p>
        </w:tc>
      </w:tr>
      <w:tr w:rsidR="007D5DF8" w:rsidRPr="00DB5D0D" w14:paraId="5FF0A793" w14:textId="77777777" w:rsidTr="009223E5">
        <w:tc>
          <w:tcPr>
            <w:tcW w:w="5635" w:type="dxa"/>
            <w:shd w:val="clear" w:color="auto" w:fill="FFFFFF"/>
          </w:tcPr>
          <w:p w14:paraId="39103E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в линии полета, м</w:t>
            </w:r>
          </w:p>
        </w:tc>
        <w:tc>
          <w:tcPr>
            <w:tcW w:w="5635" w:type="dxa"/>
            <w:shd w:val="clear" w:color="auto" w:fill="FFFFFF"/>
          </w:tcPr>
          <w:p w14:paraId="3F3499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3,775</w:t>
            </w:r>
          </w:p>
        </w:tc>
      </w:tr>
      <w:tr w:rsidR="007D5DF8" w:rsidRPr="00DB5D0D" w14:paraId="79C2AD39" w14:textId="77777777" w:rsidTr="009223E5">
        <w:tc>
          <w:tcPr>
            <w:tcW w:w="5635" w:type="dxa"/>
            <w:shd w:val="clear" w:color="auto" w:fill="FFFFFF"/>
          </w:tcPr>
          <w:p w14:paraId="2E598C78" w14:textId="77777777" w:rsidR="00A25AD1" w:rsidRPr="00DB5D0D" w:rsidRDefault="00A25AD1" w:rsidP="00DB5D0D">
            <w:pPr>
              <w:spacing w:after="0" w:line="240" w:lineRule="auto"/>
              <w:jc w:val="both"/>
              <w:rPr>
                <w:rFonts w:ascii="Times New Roman" w:hAnsi="Times New Roman"/>
                <w:color w:val="000000" w:themeColor="text1"/>
                <w:sz w:val="16"/>
                <w:szCs w:val="16"/>
                <w:vertAlign w:val="superscript"/>
              </w:rPr>
            </w:pPr>
            <w:r w:rsidRPr="00DB5D0D">
              <w:rPr>
                <w:rFonts w:ascii="Times New Roman" w:hAnsi="Times New Roman"/>
                <w:color w:val="000000" w:themeColor="text1"/>
                <w:sz w:val="16"/>
                <w:szCs w:val="16"/>
              </w:rPr>
              <w:t>Площадь крыльев, м</w:t>
            </w:r>
            <w:r w:rsidRPr="00DB5D0D">
              <w:rPr>
                <w:rFonts w:ascii="Times New Roman" w:hAnsi="Times New Roman"/>
                <w:color w:val="000000" w:themeColor="text1"/>
                <w:sz w:val="16"/>
                <w:szCs w:val="16"/>
                <w:vertAlign w:val="superscript"/>
              </w:rPr>
              <w:t>2</w:t>
            </w:r>
          </w:p>
        </w:tc>
        <w:tc>
          <w:tcPr>
            <w:tcW w:w="5635" w:type="dxa"/>
            <w:shd w:val="clear" w:color="auto" w:fill="FFFFFF"/>
          </w:tcPr>
          <w:p w14:paraId="3C6E97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r>
      <w:tr w:rsidR="007D5DF8" w:rsidRPr="00DB5D0D" w14:paraId="7299FAFE" w14:textId="77777777" w:rsidTr="009223E5">
        <w:tc>
          <w:tcPr>
            <w:tcW w:w="5635" w:type="dxa"/>
            <w:shd w:val="clear" w:color="auto" w:fill="FFFFFF"/>
          </w:tcPr>
          <w:p w14:paraId="3C7C59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полетный вес, кг</w:t>
            </w:r>
          </w:p>
        </w:tc>
        <w:tc>
          <w:tcPr>
            <w:tcW w:w="5635" w:type="dxa"/>
            <w:shd w:val="clear" w:color="auto" w:fill="FFFFFF"/>
          </w:tcPr>
          <w:p w14:paraId="097F4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2916</w:t>
            </w:r>
          </w:p>
        </w:tc>
      </w:tr>
      <w:tr w:rsidR="007D5DF8" w:rsidRPr="00DB5D0D" w14:paraId="35F8B00D" w14:textId="77777777" w:rsidTr="009223E5">
        <w:tc>
          <w:tcPr>
            <w:tcW w:w="5635" w:type="dxa"/>
            <w:tcBorders>
              <w:bottom w:val="single" w:sz="12" w:space="0" w:color="auto"/>
            </w:tcBorders>
            <w:shd w:val="clear" w:color="auto" w:fill="FFFFFF"/>
          </w:tcPr>
          <w:p w14:paraId="183EC4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Максимальный полетный вес, кг</w:t>
            </w:r>
          </w:p>
        </w:tc>
        <w:tc>
          <w:tcPr>
            <w:tcW w:w="5635" w:type="dxa"/>
            <w:tcBorders>
              <w:bottom w:val="single" w:sz="12" w:space="0" w:color="auto"/>
            </w:tcBorders>
            <w:shd w:val="clear" w:color="auto" w:fill="FFFFFF"/>
          </w:tcPr>
          <w:p w14:paraId="3B0B27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3254</w:t>
            </w:r>
          </w:p>
        </w:tc>
      </w:tr>
    </w:tbl>
    <w:p w14:paraId="2086B1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(9979).</w:t>
      </w:r>
    </w:p>
    <w:p w14:paraId="6A47C5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E760A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ведущий инженер НИИ ВВС А.С. Во</w:t>
      </w:r>
      <w:r w:rsidRPr="00DB5D0D">
        <w:rPr>
          <w:rFonts w:ascii="Times New Roman" w:hAnsi="Times New Roman"/>
          <w:color w:val="000000" w:themeColor="text1"/>
          <w:sz w:val="16"/>
          <w:szCs w:val="16"/>
        </w:rPr>
        <w:softHyphen/>
        <w:t>еводин, ознакомившись с состоянием производства И-180 на заводе в Горьком, сообщал, в частности:</w:t>
      </w:r>
    </w:p>
    <w:p w14:paraId="717FCB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имеет задание на постройку только войсковой серии в 10 штук. Решения, принятые на совещании на за</w:t>
      </w:r>
      <w:r w:rsidRPr="00DB5D0D">
        <w:rPr>
          <w:rFonts w:ascii="Times New Roman" w:hAnsi="Times New Roman"/>
          <w:color w:val="000000" w:themeColor="text1"/>
          <w:sz w:val="16"/>
          <w:szCs w:val="16"/>
        </w:rPr>
        <w:softHyphen/>
        <w:t>воде № 21 под председательством заместителя НКАП тов. БАЛАНДИНА, были затем отменены НКАП с поста</w:t>
      </w:r>
      <w:r w:rsidRPr="00DB5D0D">
        <w:rPr>
          <w:rFonts w:ascii="Times New Roman" w:hAnsi="Times New Roman"/>
          <w:color w:val="000000" w:themeColor="text1"/>
          <w:sz w:val="16"/>
          <w:szCs w:val="16"/>
        </w:rPr>
        <w:softHyphen/>
        <w:t>новкой перед заводом основной задачи — форсирования сда</w:t>
      </w:r>
      <w:r w:rsidRPr="00DB5D0D">
        <w:rPr>
          <w:rFonts w:ascii="Times New Roman" w:hAnsi="Times New Roman"/>
          <w:color w:val="000000" w:themeColor="text1"/>
          <w:sz w:val="16"/>
          <w:szCs w:val="16"/>
        </w:rPr>
        <w:softHyphen/>
        <w:t>чи основной продукции самолетов И16-М63 &lt;...&gt;. Никакого задания на подготовку к переходу на серийный выпуск са</w:t>
      </w:r>
      <w:r w:rsidRPr="00DB5D0D">
        <w:rPr>
          <w:rFonts w:ascii="Times New Roman" w:hAnsi="Times New Roman"/>
          <w:color w:val="000000" w:themeColor="text1"/>
          <w:sz w:val="16"/>
          <w:szCs w:val="16"/>
        </w:rPr>
        <w:softHyphen/>
        <w:t>молетов И180-М88 завод также не имеет &lt;...&gt;. Завод лю</w:t>
      </w:r>
      <w:r w:rsidRPr="00DB5D0D">
        <w:rPr>
          <w:rFonts w:ascii="Times New Roman" w:hAnsi="Times New Roman"/>
          <w:color w:val="000000" w:themeColor="text1"/>
          <w:sz w:val="16"/>
          <w:szCs w:val="16"/>
        </w:rPr>
        <w:softHyphen/>
        <w:t>дей из своего конструкторского бюро целиком использует на машине т. Пашинина и на серийном самолете...</w:t>
      </w:r>
    </w:p>
    <w:p w14:paraId="4EB250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считаю, что основным истребителем у нас должен быть истребитель с мотором воздушного охлаждения с улучшенной аэродинамикой» (10745,70).</w:t>
      </w:r>
    </w:p>
    <w:p w14:paraId="29BA8C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4B13A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в Москве строился последний опытный И-180, обозначенный как Е-7, на базе авиазавода №51. Этот самолет имел все ново</w:t>
      </w:r>
      <w:r w:rsidRPr="00DB5D0D">
        <w:rPr>
          <w:rFonts w:ascii="Times New Roman" w:hAnsi="Times New Roman"/>
          <w:color w:val="000000" w:themeColor="text1"/>
          <w:sz w:val="16"/>
          <w:szCs w:val="16"/>
        </w:rPr>
        <w:softHyphen/>
        <w:t>введения для серии 1941 года: прозрачный сдвигаемый фонарь, одностоечное убираемое шасси, крыло измененной конфигурации. Су</w:t>
      </w:r>
      <w:r w:rsidRPr="00DB5D0D">
        <w:rPr>
          <w:rFonts w:ascii="Times New Roman" w:hAnsi="Times New Roman"/>
          <w:color w:val="000000" w:themeColor="text1"/>
          <w:sz w:val="16"/>
          <w:szCs w:val="16"/>
        </w:rPr>
        <w:softHyphen/>
        <w:t>ществует мнение, что летом 1941 г. эта машина выполнила несколько полетов. По крайней мере, один зачехленный И-180 на стоянке за</w:t>
      </w:r>
      <w:r w:rsidRPr="00DB5D0D">
        <w:rPr>
          <w:rFonts w:ascii="Times New Roman" w:hAnsi="Times New Roman"/>
          <w:color w:val="000000" w:themeColor="text1"/>
          <w:sz w:val="16"/>
          <w:szCs w:val="16"/>
        </w:rPr>
        <w:softHyphen/>
        <w:t>вода №51 в Москве в то время имелся (9979).</w:t>
      </w:r>
    </w:p>
    <w:p w14:paraId="4E25D2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C14B9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1940-го в Горьком имелось всего три двигателя М-88 прошлогоднего выпуска, надежность которых оценивалась невысоко. Первые три самолета, называемые иногда И-180С (серийные) были готовы в конце апреля 1940. Это были машины № 25211, №25212, № 25213. Основным отличием серийных от третьего опытного, по образцу и подобию которого они строились, стала конструкция крыла. Лонжероны были выполнены по старинке из стальных труб, поэтому крылья самолетов горьковского завода более соответствовали крылу второго опытного И-180 (3203,10).</w:t>
      </w:r>
    </w:p>
    <w:p w14:paraId="623035F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E9325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при заводских испытаниях 1-го опытного экземпляра И-26 (Як-1) вышло из строя и было заменено 5 моторов (3573).</w:t>
      </w:r>
    </w:p>
    <w:p w14:paraId="1E1C8C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3F0D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появился первый опытный образец И-301. Моторостроители никак не могли довести до требуемой надежности ни турбокомпрессоры, ни двигатель М-106. Это вынудило поставить на первый опытный образец серийный мотор М-105П, что, естественно, снижало летные данные. Турбонаддув решили смонтировать позднее, после поступления нагнетателей ТК-2.</w:t>
      </w:r>
    </w:p>
    <w:p w14:paraId="35E8B7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марта летчик военной приемки завода № 39 В.А. Степанченок приступил к испытаниям И-301. Начали, как обычно, с руления и подлетов. Устранение выявленных дефектов заняло неделю, и на воскресенье 25 марта назначили первый вылет, но он не состоялся из-за инцидента между летчиком и наркомом авиационной промышленности.</w:t>
      </w:r>
    </w:p>
    <w:p w14:paraId="3BDA99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Конфликт удалось быстро разрешить. Пилота заменили. В тот же день, 25 марта, заводской испытатель Н.К. Федоров, опробовав работу винтомоторной группы, сделал первые пробежки. 9 апреля И-301 поднялся в воздух, пилотировал его летчик НИИ ВВС А.И. Никашин. К концу месяца стало ясно, что турбокомпрессоры к заданному сроку не поступят, и руководство завода попросило разрешить закончить заводские испытания первой машины без ТК-2 и в таком же виде передать ее в НИИ ВВС. Турбонагнетателями обещали укомплектовать второй опытный образец истребителя. 23-мм пушку МП-6 и синхронные пулеметы БС до передачи машины в НИИ ВВС так и не успели отстрелять в воздухе (11983).</w:t>
      </w:r>
    </w:p>
    <w:p w14:paraId="4C30319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EB62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построили вторую машину ИС с двига</w:t>
      </w:r>
      <w:r w:rsidRPr="00DB5D0D">
        <w:rPr>
          <w:rFonts w:ascii="Times New Roman" w:hAnsi="Times New Roman"/>
          <w:color w:val="000000" w:themeColor="text1"/>
          <w:sz w:val="16"/>
          <w:szCs w:val="16"/>
        </w:rPr>
        <w:softHyphen/>
        <w:t>телем М-88, но из-за дефектов, обнаруженных на первом эк</w:t>
      </w:r>
      <w:r w:rsidRPr="00DB5D0D">
        <w:rPr>
          <w:rFonts w:ascii="Times New Roman" w:hAnsi="Times New Roman"/>
          <w:color w:val="000000" w:themeColor="text1"/>
          <w:sz w:val="16"/>
          <w:szCs w:val="16"/>
        </w:rPr>
        <w:softHyphen/>
        <w:t>земпляре ИСа, работу по ней прервали (10745,40).</w:t>
      </w:r>
    </w:p>
    <w:p w14:paraId="341E1B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21DDB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Весной 1940 развивая свои идеи, Боровков и Флоров предлагают проект самолета "Изделие 10" (Самолет №10) с двигателем М-71. В новой разработке они прежде всего стремятся устранить те недостатки, которые удалось выявить при испытаниях И-207. Основой проекта стало желание создать высокоманевренный истребитель-биплан и одновременно доказать возможность получения на нем малых значений лобового сопротивления. Будучи подлинными рыцарями бипланной схемы, конструкторы отчаянно защищали свои идеи, основанные на предположении, что биплан имеет не меньшие возможности получения высоких полетных скоростей по сравнению с монопланом. Более того - они утверждали, что биплан имеет даже ряд бесспорных преимуществ. Он является более компактным и обеспечивает лучший обзор летчику. Меньшие величины корневых хорд крыльев дают возможность уменьшить длину фюзеляжа. Отсюда, как следствие, - уменьшение омываемой поверхности фюзеляжа, то есть уменьшение сопротивления трения.</w:t>
      </w:r>
    </w:p>
    <w:p w14:paraId="4E72B9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Вообще, уменьшение длины фюзеляжа выгодно до определенного предела, после которого начинает возрастать доля сопротивления давления. Из продувок тел вращения уже было известно, что наивыгоднейшее удлинение фюзеляжа лежит в пределах значений 5-5,5 единиц. Удлинение фюзеляжей монопланов на самом деле получалось значительно больше, так как длина хвостовой части выбиралась, прежде всего, из соображений необходимой устойчивости и управляемости. Хотя увеличение площади крыльев для повышения маневренности вызывало на биплане и моноплане одинаковое относительное удлинение хвостовой части фюзеляжа, абсолютные значения увеличения сопротивления являлись более высокими именно для моноплана. Это означало, что при меньших площадях хвостового оперения в бипланной схеме можно было уложиться в выгодные значения удлинения фюзеляжа.</w:t>
      </w:r>
    </w:p>
    <w:p w14:paraId="22376A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Бороться с чисто-бипланными недостатками - сопротивлением взаимоиндукции крыльев, сопротивлением, вызванным интерференцией стыков плоскостей и фюзеляжа, а также с многочисленными торчащими в потоке деталями крепления конструкторы решили путем использования тонких, узких крыльев, изогнутых в виде прямой и обратной "чайки". Предлагаемая схема не имела межкрыльевых стоек и расчалок, могла в достаточной степени обеспечить чистоту аэродинамики и достижение достаточно высоких показателей максимальной скорости. В варианте истребителя самолет №10, по расчетам, мог развивать скорость порядка 650 км/час, время виража составляло 14-16 сек.</w:t>
      </w:r>
    </w:p>
    <w:p w14:paraId="4304C3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Задавшись целью обеспечить своему биплану как можно большую полетную скорость, конструкторы обратились к использованию реактивных двигателей. Еще в июле 1939 г. конструктор Меркулов предложил применять на самолетах с поршневыми двигателями дополнительные прямоточные воздушно-реактивные двигатели. Такие двигатели не требовали специального топлива и питались тем же бензином, что и основной мотор. Они и название по аналогии получили - Дополнительный мотор (ДМ). Использовать ДМ предполагалось кратковременно для резкого увеличения скорости, например в воздушном бою. Первые испытания таких двигателей прошли в конце 1939 г. на самолете И-15бис. Результаты, в общем, были обнадеживающими, поэтому в 1940 г. Боровков и Флоров установили ДМ на И-207/3. Несколько полетов летчика Максимова прошли благополучно.</w:t>
      </w:r>
    </w:p>
    <w:p w14:paraId="28C406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"Изделии 10" конструкторы предусмотрели установку ДМ внутри фюзеляжа, за кабиной летчика. В обычном полете ДМ не мешал, но когда требовалось резко увеличить скорость - например, догнать противника, открывались прикрывающие створки и двигатель включался. Расчетная скорость составляла 840 км/час.</w:t>
      </w:r>
    </w:p>
    <w:p w14:paraId="032844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 предполагался в трех вариантах:</w:t>
      </w:r>
    </w:p>
    <w:p w14:paraId="3ACCB2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скоростной маневренный истребитель;</w:t>
      </w:r>
    </w:p>
    <w:p w14:paraId="59F2CE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истребитель сопровождения;</w:t>
      </w:r>
    </w:p>
    <w:p w14:paraId="52D829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пикирующий бомбардировщик.</w:t>
      </w:r>
    </w:p>
    <w:p w14:paraId="49CB96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предполагалось в виде легкосъемных установок. Первоначальный вариант - 2 ШКАС, 1</w:t>
      </w:r>
    </w:p>
    <w:p w14:paraId="225686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БС - можно было легко снять и в полевых условиях заменить двумя пушками калибра 23 мм.</w:t>
      </w:r>
    </w:p>
    <w:p w14:paraId="6C71B6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дополнительным нововведениям стоит отнести шасси с носовой стойкой. Несомненным катализатором использования этой новой схемы шасси следует назвать исследовательские работы ЦАГИ и испытания, проведенные на самолете СБ. Сразу несколько проектов перспективных самолетов имели в 1940 г шасси с носовой стойкой. Что касается "10", то здесь выбранное решение было продиктовано необходимостью - хвостовая часть была занята ДМ (3452).</w:t>
      </w:r>
    </w:p>
    <w:p w14:paraId="617752A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AB35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была подготовлена записка Вознесенскому:</w:t>
      </w:r>
    </w:p>
    <w:p w14:paraId="782D5F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Вашему указанию, секретариат КО запросил и получил мнения Шахурина, Смушкевича и Алексеева А.Д. о целесообразности постройки 2-го экземпляра истребителя 220 конструктора Сильванского.</w:t>
      </w:r>
    </w:p>
    <w:p w14:paraId="7FA748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мнения аналогичны между собой и сводятся к одному - строить 2-й экземпляр самолета Сильванского нецелесообразно. Кроме того, Шахурин и Алексеев вообще сомневаются в целесообразности использования Сильванского в качестве гл. конструктора. По окончании доводок и испытаний его первого самолета будет дана окончательная характеристика как самолету, так и его конструктору.</w:t>
      </w:r>
    </w:p>
    <w:p w14:paraId="4F8AF8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считает, что отзывы о Сильванском и его самолете соответствуют действительности и что второй экземпляр самолета конструкции Сильванского строить не следует.</w:t>
      </w:r>
    </w:p>
    <w:p w14:paraId="215E6E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разрешить сообщить Сильванскому через НКАП Шахурина, что КО считает предложения Сильванского о постройке второго экземпляра его самолета и переводе его КБ на завод N 81 нецелесообразными (3448,26).</w:t>
      </w:r>
    </w:p>
    <w:p w14:paraId="3ED11DA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76BA7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была закончена постройка И-21 ИП-21 М.М.Пашинина (4,73).</w:t>
      </w:r>
    </w:p>
    <w:p w14:paraId="7801C71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73F07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был закончен и подготовлен к заводским испытаниям САМ-13 А.Москалева. Н.Д.Фиксон был приглашен в качестве ли. Много времени потратили на отработку системы уборки шасси. На заводские испытания НКАП прислал Пушкина, а ЦАГИ - В.Галицкого с заданием изучить поведение шасси с носовым колесом. Рулили и летали успешно. Скорость у земли с выпушенными шасси составила 500-560 км/час. Всего в Воронеже сделали 7 полетов. А.С.Я. узнал от Пушкина про эту скорость и распорядился прекратить испытания и провести экспериментальные испытания крыльев и оперения на флаттер в ЦАГИ. Потом, чтобы оттянуть время - назначил продувки в натурной трубе и протянули до весны 1941 (2889,100).</w:t>
      </w:r>
    </w:p>
    <w:p w14:paraId="4814A2B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B286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при испытаниях разведчика Р-12 с М-105, разработанного А.С.Я. на базе самолета 22, столкнулись с разрушением колес основных стоек (1081,7).</w:t>
      </w:r>
    </w:p>
    <w:p w14:paraId="0DE144D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1AAF9E" w14:textId="77777777" w:rsidR="002313B9" w:rsidRPr="00DB5D0D" w:rsidRDefault="00231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согласно Е.Г.Адлеру, назначенному Главным конструктором завода № 47 в г. Ленинграде, куда он прибыл внедрять самолет УТ–3 конструкции А.С. Яковлева, возник серьезнй конфликт с директором этого завода П.П. Скарандаевым и с другим Г лавным конструктором – г .И. Бакшаевым: «В Ленинграде меня не ждали. Доброта и чуткость Скарандаева оказались напускными. Затевалась склока. Потерпев в ЦАГИ фиаско со своим макетом, Бакшаев затеял интригу с целью перехватить УТ–3 у Яковлева. Вместе со Скарандаевым они сочинили письмо в ЦК партии, обвиняя Яковлева ни больше, ни меньше, чем во вредительстве. В том, что он протащил в серию УТ–3, предназначенный в тренировке летного состава в бомбометании только с горизонтального полета, тог да как немцы давно и широко практикуют бомбометание с пикирования. Бакшаев придумал всего лишь оснастить УТ–3 воздушными тормозными щитками и простейшим прицелом, но переименовать его в УТПБ и таким образом вместо Яковлева стать г лавным конструктором этого самолета. Пока я ездил в Москву, заговорщики перебросили всех конструкторов на эту работу. УТПБ расшифровывалась так: учебно-тренировочный пикирующий бомбардировщик. Как я узнал позже, Яковлев был в курсе дела, поскольку это склочное письмо из ЦК попало в его руки» (Адлер Е.Г. Земля и небо. Записки авиаконструктора. М., 2004. С. 73) (19541).</w:t>
      </w:r>
    </w:p>
    <w:p w14:paraId="18D00D21" w14:textId="77777777" w:rsidR="002313B9" w:rsidRPr="00DB5D0D" w:rsidRDefault="002313B9" w:rsidP="00DB5D0D">
      <w:pPr>
        <w:spacing w:after="0" w:line="240" w:lineRule="auto"/>
        <w:jc w:val="both"/>
        <w:rPr>
          <w:rFonts w:ascii="Times New Roman" w:hAnsi="Times New Roman"/>
          <w:color w:val="000000" w:themeColor="text1"/>
          <w:sz w:val="16"/>
          <w:szCs w:val="16"/>
          <w:shd w:val="clear" w:color="auto" w:fill="FFFFFF"/>
        </w:rPr>
      </w:pPr>
    </w:p>
    <w:p w14:paraId="00945E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после присоединения к СССР Прибалтики вся военная авиация прибалтийских государств подверглась реорганизации. Ее свернули в три корпусные эскадрильи, имевшие примерно вдвое больше техники, чем по штатам. Все остальные самолеты, признанные безнадежно устаревшими, пустили на слом или поставили на полигонах как мишени. Те же машины, что влились в ВВС РККА, не перекрашивались; на них лишь заменили опознавательные знаки и другие обозначения (11987).</w:t>
      </w:r>
    </w:p>
    <w:p w14:paraId="56F8CCE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D993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был выпущен Ш-7 В.Б.Ш. (4,147).</w:t>
      </w:r>
    </w:p>
    <w:p w14:paraId="32F5176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8F1B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был построен ТИ-28 “Кречет” В.К.Грибовского с МВ-6 220 нр. Синхронный ШКАС + 40 кг бомб (9080).</w:t>
      </w:r>
    </w:p>
    <w:p w14:paraId="300E167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7FE0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закончили Г-27, а первый полет на нем совершил летчик ЛИИ В.Гаврилов 22 мая. Менее чем за месяц ТИ-28 прошел все летные испытания. Испытатели отмечали его хорошие пилотажные свойства. Для улучшения разгонных характеристик рекомендовалось установить двигатель МВ-6А и вновь испытать самолет.</w:t>
      </w:r>
    </w:p>
    <w:p w14:paraId="6FE63D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Учебно-тренировочный истребитель ТИ-28 получил наименование «Кречет». Он имел деревянную конструкцию, закрытую кабину со сдвижным фонарем, неубираемое шасси с основными колесами 500×200 мм и хвостовым ориентирующимся колесом.</w:t>
      </w:r>
    </w:p>
    <w:p w14:paraId="6ED1FB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Силовая установка состояла из перевернутого шестицилиндрового двигателя воздушного охлаждения МВ-6 номинальной мощностью 220 л.с. (взлетная - 240 л.с).</w:t>
      </w:r>
    </w:p>
    <w:p w14:paraId="08B744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составляли синхронный пулемет ШКАС, фотокинопулемет и до 40 кг мелких бомб под крылом. Прицеливание осуществлялось при помощи коллиматорного прицела ПАК-1.</w:t>
      </w:r>
    </w:p>
    <w:p w14:paraId="79D30F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началом войны все работы по ТИ-28 были прекращены. В 1941 году опытный экземпляр перелетел в Свердловск, однако дальнейшая его судьба неизвестна.</w:t>
      </w:r>
    </w:p>
    <w:p w14:paraId="30FAC3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Строился и второй экземпляр ТИ-28, который Грибовский при эвакуации забрал с собой, надеясь довести до летного состояния. Однако на новом месте такой возможности не представилось.</w:t>
      </w:r>
    </w:p>
    <w:p w14:paraId="1F22A4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марте 1941г. в ОКБ-28 началась разработка двухмоторного тренировочного самолета «Беркут». В соответствии с эскизным проектом построили полноразмерный макет, который рассматривала комиссия ВВС. Но при эвакуации спасти «задел» по машине не удалось. Документацию и макет «Беркута» уничтожили, в дальнейшем работы по нему не возобновлялись.</w:t>
      </w:r>
    </w:p>
    <w:p w14:paraId="0F0812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Подводя итог работы В.К. Грибовского в Наркомате авиапромышленности, следует отметить, что ему в короткий срок удалось создать полноценное КБ, способное вести самостоятельную разработку сложных образцов авиатехники.</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60"/>
        <w:gridCol w:w="6662"/>
      </w:tblGrid>
      <w:tr w:rsidR="007D5DF8" w:rsidRPr="00DB5D0D" w14:paraId="7D27B590"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CAB5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AACA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Г-28</w:t>
            </w:r>
          </w:p>
        </w:tc>
      </w:tr>
      <w:tr w:rsidR="007D5DF8" w:rsidRPr="00DB5D0D" w14:paraId="3C0B92B2"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6D5B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крыла, м</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95990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9.00</w:t>
            </w:r>
          </w:p>
        </w:tc>
      </w:tr>
      <w:tr w:rsidR="007D5DF8" w:rsidRPr="00DB5D0D" w14:paraId="4435B4C2"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077A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м</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00BB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7.66</w:t>
            </w:r>
          </w:p>
        </w:tc>
      </w:tr>
      <w:tr w:rsidR="007D5DF8" w:rsidRPr="00DB5D0D" w14:paraId="16B7F079"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644B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м</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B20D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2.80</w:t>
            </w:r>
          </w:p>
        </w:tc>
      </w:tr>
      <w:tr w:rsidR="007D5DF8" w:rsidRPr="00DB5D0D" w14:paraId="32B311FB"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99108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м²</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BF4A0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11.60</w:t>
            </w:r>
          </w:p>
        </w:tc>
      </w:tr>
      <w:tr w:rsidR="007D5DF8" w:rsidRPr="00DB5D0D" w14:paraId="2FD52C4E"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C5A6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Масса, кг</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8887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w:t>
            </w:r>
          </w:p>
        </w:tc>
      </w:tr>
      <w:tr w:rsidR="007D5DF8" w:rsidRPr="00DB5D0D" w14:paraId="48D90DC1"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01185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пустого самолета</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46DE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897</w:t>
            </w:r>
          </w:p>
        </w:tc>
      </w:tr>
      <w:tr w:rsidR="007D5DF8" w:rsidRPr="00DB5D0D" w14:paraId="21B4EA22"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9F171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нормальная взлетная</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9ABF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1157</w:t>
            </w:r>
          </w:p>
        </w:tc>
      </w:tr>
      <w:tr w:rsidR="007D5DF8" w:rsidRPr="00DB5D0D" w14:paraId="011AA1BD"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86F1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двигателя</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F9B1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ПД МВ-6</w:t>
            </w:r>
          </w:p>
        </w:tc>
      </w:tr>
      <w:tr w:rsidR="007D5DF8" w:rsidRPr="00DB5D0D" w14:paraId="3F8BF3CF"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BB92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л.с.</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E74D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 220</w:t>
            </w:r>
          </w:p>
        </w:tc>
      </w:tr>
      <w:tr w:rsidR="007D5DF8" w:rsidRPr="00DB5D0D" w14:paraId="31A51ACF"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1518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 км/ч</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5316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275</w:t>
            </w:r>
          </w:p>
        </w:tc>
      </w:tr>
      <w:tr w:rsidR="007D5DF8" w:rsidRPr="00DB5D0D" w14:paraId="39246A7A"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60254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Крейсерская скорость , км/ч</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75B8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226</w:t>
            </w:r>
          </w:p>
        </w:tc>
      </w:tr>
      <w:tr w:rsidR="007D5DF8" w:rsidRPr="00DB5D0D" w14:paraId="72FCDEC5"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15AA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Практическая дальность, км</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3BDF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500</w:t>
            </w:r>
          </w:p>
        </w:tc>
      </w:tr>
      <w:tr w:rsidR="007D5DF8" w:rsidRPr="00DB5D0D" w14:paraId="1A54F5AA"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9FB19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м</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1915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6600</w:t>
            </w:r>
          </w:p>
        </w:tc>
      </w:tr>
      <w:tr w:rsidR="007D5DF8" w:rsidRPr="00DB5D0D" w14:paraId="5AB04435"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6137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чел</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A1B5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w:t>
            </w:r>
          </w:p>
        </w:tc>
      </w:tr>
      <w:tr w:rsidR="007D5DF8" w:rsidRPr="00DB5D0D" w14:paraId="0864C0C4" w14:textId="77777777" w:rsidTr="009223E5">
        <w:trPr>
          <w:trHeight w:val="180"/>
        </w:trPr>
        <w:tc>
          <w:tcPr>
            <w:tcW w:w="3844"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357C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54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EF32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синхронный 7.62-мм пулемет ШКАС, фотокинопулемет и до 40 кг мелких бомб</w:t>
            </w:r>
          </w:p>
        </w:tc>
      </w:tr>
    </w:tbl>
    <w:p w14:paraId="1C43DF92" w14:textId="77777777" w:rsidR="00A25AD1" w:rsidRPr="00DB5D0D" w:rsidRDefault="00A25AD1" w:rsidP="00DB5D0D">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(12682).</w:t>
      </w:r>
    </w:p>
    <w:p w14:paraId="72E498A3" w14:textId="77777777" w:rsidR="00A25AD1" w:rsidRPr="00DB5D0D" w:rsidRDefault="00A25AD1" w:rsidP="00DB5D0D">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46C092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первую из трех закупленных л/л Мартин 156 под обозначением ПС-30 перегнали в Хабаровск. Экипаж подготовил НИИ ВВС и он включал к А.Я.Овечкин, 2-й п Н.М.Деркунского и м М.В.Туликова, а также р А.Тульвинского (3457,39).</w:t>
      </w:r>
    </w:p>
    <w:p w14:paraId="64C82BF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E4AE4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на заводские испытания вышел МБР-7 Г.М.Б. Летал М.В.Цепилов, а т. С.А.Коровицкий, Е.М.Кошелев и Д.И.Вовк (2555,132).</w:t>
      </w:r>
    </w:p>
    <w:p w14:paraId="4A1D25E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B4366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авиационная деле</w:t>
      </w:r>
      <w:r w:rsidRPr="00DB5D0D">
        <w:rPr>
          <w:rFonts w:ascii="Times New Roman" w:hAnsi="Times New Roman"/>
          <w:color w:val="000000" w:themeColor="text1"/>
          <w:sz w:val="16"/>
          <w:szCs w:val="16"/>
        </w:rPr>
        <w:softHyphen/>
        <w:t>гация СССР посетила Германию, где ее ознакомили с основными боевыми са</w:t>
      </w:r>
      <w:r w:rsidRPr="00DB5D0D">
        <w:rPr>
          <w:rFonts w:ascii="Times New Roman" w:hAnsi="Times New Roman"/>
          <w:color w:val="000000" w:themeColor="text1"/>
          <w:sz w:val="16"/>
          <w:szCs w:val="16"/>
        </w:rPr>
        <w:softHyphen/>
        <w:t>молетами Люфтваффе, в том числе и с пикирующим двухмоторным бомбар</w:t>
      </w:r>
      <w:r w:rsidRPr="00DB5D0D">
        <w:rPr>
          <w:rFonts w:ascii="Times New Roman" w:hAnsi="Times New Roman"/>
          <w:color w:val="000000" w:themeColor="text1"/>
          <w:sz w:val="16"/>
          <w:szCs w:val="16"/>
        </w:rPr>
        <w:softHyphen/>
        <w:t>дировщиком Ю-88. Члены делегации, особенно представители ВВС, обрати</w:t>
      </w:r>
      <w:r w:rsidRPr="00DB5D0D">
        <w:rPr>
          <w:rFonts w:ascii="Times New Roman" w:hAnsi="Times New Roman"/>
          <w:color w:val="000000" w:themeColor="text1"/>
          <w:sz w:val="16"/>
          <w:szCs w:val="16"/>
        </w:rPr>
        <w:softHyphen/>
        <w:t>ли внимание на компактное размеще</w:t>
      </w:r>
      <w:r w:rsidRPr="00DB5D0D">
        <w:rPr>
          <w:rFonts w:ascii="Times New Roman" w:hAnsi="Times New Roman"/>
          <w:color w:val="000000" w:themeColor="text1"/>
          <w:sz w:val="16"/>
          <w:szCs w:val="16"/>
        </w:rPr>
        <w:softHyphen/>
        <w:t>ние экипажа в единой передней ка</w:t>
      </w:r>
      <w:r w:rsidRPr="00DB5D0D">
        <w:rPr>
          <w:rFonts w:ascii="Times New Roman" w:hAnsi="Times New Roman"/>
          <w:color w:val="000000" w:themeColor="text1"/>
          <w:sz w:val="16"/>
          <w:szCs w:val="16"/>
        </w:rPr>
        <w:softHyphen/>
        <w:t>бине, что позволяло обеспечить более высокую устойчивость экипажа в бою. По результатам командировки ВВС в мае 1940 выдвинули дополнительные требования к самолету «103»:увели-чить экипаж до 4-х человек, размес</w:t>
      </w:r>
      <w:r w:rsidRPr="00DB5D0D">
        <w:rPr>
          <w:rFonts w:ascii="Times New Roman" w:hAnsi="Times New Roman"/>
          <w:color w:val="000000" w:themeColor="text1"/>
          <w:sz w:val="16"/>
          <w:szCs w:val="16"/>
        </w:rPr>
        <w:softHyphen/>
        <w:t>тить штурмана рядом с летчиком,по типу Ю-88, установить дополнитель</w:t>
      </w:r>
      <w:r w:rsidRPr="00DB5D0D">
        <w:rPr>
          <w:rFonts w:ascii="Times New Roman" w:hAnsi="Times New Roman"/>
          <w:color w:val="000000" w:themeColor="text1"/>
          <w:sz w:val="16"/>
          <w:szCs w:val="16"/>
        </w:rPr>
        <w:softHyphen/>
        <w:t>ную огневую точку. Проект с изменен</w:t>
      </w:r>
      <w:r w:rsidRPr="00DB5D0D">
        <w:rPr>
          <w:rFonts w:ascii="Times New Roman" w:hAnsi="Times New Roman"/>
          <w:color w:val="000000" w:themeColor="text1"/>
          <w:sz w:val="16"/>
          <w:szCs w:val="16"/>
        </w:rPr>
        <w:softHyphen/>
        <w:t>ной компоновкой кабины получил обозначение самолет «103У» (по КБ -самолет «59»). В первоначальном ва</w:t>
      </w:r>
      <w:r w:rsidRPr="00DB5D0D">
        <w:rPr>
          <w:rFonts w:ascii="Times New Roman" w:hAnsi="Times New Roman"/>
          <w:color w:val="000000" w:themeColor="text1"/>
          <w:sz w:val="16"/>
          <w:szCs w:val="16"/>
        </w:rPr>
        <w:softHyphen/>
        <w:t>рианте на самолете «103» в передней кабине находился толко один летчик, имевший прекрасный обзор вперед и вниз, а в задней части фюзеляжа раз</w:t>
      </w:r>
      <w:r w:rsidRPr="00DB5D0D">
        <w:rPr>
          <w:rFonts w:ascii="Times New Roman" w:hAnsi="Times New Roman"/>
          <w:color w:val="000000" w:themeColor="text1"/>
          <w:sz w:val="16"/>
          <w:szCs w:val="16"/>
        </w:rPr>
        <w:softHyphen/>
        <w:t>мещались два стрелка, из которых вер</w:t>
      </w:r>
      <w:r w:rsidRPr="00DB5D0D">
        <w:rPr>
          <w:rFonts w:ascii="Times New Roman" w:hAnsi="Times New Roman"/>
          <w:color w:val="000000" w:themeColor="text1"/>
          <w:sz w:val="16"/>
          <w:szCs w:val="16"/>
        </w:rPr>
        <w:softHyphen/>
        <w:t>хний мог в лежачем положении выпол</w:t>
      </w:r>
      <w:r w:rsidRPr="00DB5D0D">
        <w:rPr>
          <w:rFonts w:ascii="Times New Roman" w:hAnsi="Times New Roman"/>
          <w:color w:val="000000" w:themeColor="text1"/>
          <w:sz w:val="16"/>
          <w:szCs w:val="16"/>
        </w:rPr>
        <w:softHyphen/>
        <w:t>нять функции штурмана. Таким образом, начиная с мая 1940 г., работы по про</w:t>
      </w:r>
      <w:r w:rsidRPr="00DB5D0D">
        <w:rPr>
          <w:rFonts w:ascii="Times New Roman" w:hAnsi="Times New Roman"/>
          <w:color w:val="000000" w:themeColor="text1"/>
          <w:sz w:val="16"/>
          <w:szCs w:val="16"/>
        </w:rPr>
        <w:softHyphen/>
        <w:t>екту были продолжены в трех направ</w:t>
      </w:r>
      <w:r w:rsidRPr="00DB5D0D">
        <w:rPr>
          <w:rFonts w:ascii="Times New Roman" w:hAnsi="Times New Roman"/>
          <w:color w:val="000000" w:themeColor="text1"/>
          <w:sz w:val="16"/>
          <w:szCs w:val="16"/>
        </w:rPr>
        <w:softHyphen/>
        <w:t>лениях: самолет «103» 2АМ-37, само</w:t>
      </w:r>
      <w:r w:rsidRPr="00DB5D0D">
        <w:rPr>
          <w:rFonts w:ascii="Times New Roman" w:hAnsi="Times New Roman"/>
          <w:color w:val="000000" w:themeColor="text1"/>
          <w:sz w:val="16"/>
          <w:szCs w:val="16"/>
        </w:rPr>
        <w:softHyphen/>
        <w:t>лет «103У» 2АМ-37 и «103» 2М-120 (самолет «103В») (10728).</w:t>
      </w:r>
    </w:p>
    <w:p w14:paraId="43B00D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40A25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Весной 1940 года, выполняя указания партии и правительства, Наркомат внутренних дел приступил к строительству в районе Куйбышева авиационных заводов № 122 и 295, а также моторостроительного завода № 377. Для ведения соответствующих работ приказом НКВД от 23 августа 1940 г. было создано Управление особого строительства под руководством заместителя начальника ГУЛАГа старшего майора госбезопасности А. П. Лепилова. Общая стоимость необходимых работ определялась в 130 млн. руб., включая все производственные и бытовые объекты: электростанцию, кирпичные заводы, жилой городок. </w:t>
      </w:r>
    </w:p>
    <w:p w14:paraId="245BF5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Строительство шло ударными темпами, и к лету 1941 г. основные производственные корпуса были возведены, продолжались работы на вспомогательных объектах: жилой городок, электростанции и т. д. </w:t>
      </w:r>
    </w:p>
    <w:p w14:paraId="76F02F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Осенью 1941 г. на территории строящихся заводов разместили оборудование с эвакуированных предприятий НКАП: самолетостроительных заводов № 1, № 18 и моторостроительного № 24. В рекордно короткие сроки (2 месяца) на новом месте был налажен массовый выпуск штурмовиков Ил-2. С конвейеров куйбышевских заводов сошли все советские штурмовики Великой Отечественной. </w:t>
      </w:r>
    </w:p>
    <w:p w14:paraId="775D1B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производственных помещений, построенных силами НКВД, достижение столь высоких результатов было бы проблематичным (12129).</w:t>
      </w:r>
    </w:p>
    <w:p w14:paraId="49FF55F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91D9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двигатель М-30 прошел испытания в первоначальном вариан</w:t>
      </w:r>
      <w:r w:rsidRPr="00DB5D0D">
        <w:rPr>
          <w:rFonts w:ascii="Times New Roman" w:hAnsi="Times New Roman"/>
          <w:color w:val="000000" w:themeColor="text1"/>
          <w:sz w:val="16"/>
          <w:szCs w:val="16"/>
        </w:rPr>
        <w:softHyphen/>
        <w:t>те, с двумя турбонагнетателями, без ПЦН и интеркулеров (вес 1100 кг). С мая 1940 г. осваивалось серийное производство АД-5 под обозначением М-30 на заводе № 82. Выпуск там дизелей начался с 1941 г. Готовились к выпуску дизелей этого типа также на Харьковском тракторном заводе (ХТЗ), куда хотели передать производство из Тушина, но фактически ни одного М-30 там не сделали. Проектировался в ОКБ НКВД при заводе № 82 в Тушино под руковод</w:t>
      </w:r>
      <w:r w:rsidRPr="00DB5D0D">
        <w:rPr>
          <w:rFonts w:ascii="Times New Roman" w:hAnsi="Times New Roman"/>
          <w:color w:val="000000" w:themeColor="text1"/>
          <w:sz w:val="16"/>
          <w:szCs w:val="16"/>
        </w:rPr>
        <w:softHyphen/>
        <w:t>ством Ф.Я. Тулупова (и с участием Чаромского, но в качестве заключен</w:t>
      </w:r>
      <w:r w:rsidRPr="00DB5D0D">
        <w:rPr>
          <w:rFonts w:ascii="Times New Roman" w:hAnsi="Times New Roman"/>
          <w:color w:val="000000" w:themeColor="text1"/>
          <w:sz w:val="16"/>
          <w:szCs w:val="16"/>
        </w:rPr>
        <w:softHyphen/>
        <w:t xml:space="preserve">ного) на базе АН-1РТК с 1939 г. </w:t>
      </w:r>
      <w:r w:rsidRPr="00DB5D0D">
        <w:rPr>
          <w:rFonts w:ascii="Times New Roman" w:hAnsi="Times New Roman"/>
          <w:color w:val="000000" w:themeColor="text1"/>
          <w:sz w:val="16"/>
          <w:szCs w:val="16"/>
        </w:rPr>
        <w:lastRenderedPageBreak/>
        <w:t>Первоначально именовался АД-5. М-30 стал первым авиадизелем, запущенным в СССР в серийное про</w:t>
      </w:r>
      <w:r w:rsidRPr="00DB5D0D">
        <w:rPr>
          <w:rFonts w:ascii="Times New Roman" w:hAnsi="Times New Roman"/>
          <w:color w:val="000000" w:themeColor="text1"/>
          <w:sz w:val="16"/>
          <w:szCs w:val="16"/>
        </w:rPr>
        <w:softHyphen/>
        <w:t>изводство и принятым на вооружение ВВС РККА. Его устанавливали на серийные бомбардировщики и применяли в боевых операциях. Но из-за низкой надежности (двигатель недодавал обороты, страдал выбросами мас</w:t>
      </w:r>
      <w:r w:rsidRPr="00DB5D0D">
        <w:rPr>
          <w:rFonts w:ascii="Times New Roman" w:hAnsi="Times New Roman"/>
          <w:color w:val="000000" w:themeColor="text1"/>
          <w:sz w:val="16"/>
          <w:szCs w:val="16"/>
        </w:rPr>
        <w:softHyphen/>
        <w:t>ла, отказами топливных насосов, самопроизвольно глох и плохо запускался на холоде и больших высотах) после эвакуации завода № 82 выпуск М-30 прекратили. Последние четыре дизеля собрали из привезенных из Москвы частей в Казани. Еще раньше, в августе 1941 г., их начали снимать с само</w:t>
      </w:r>
      <w:r w:rsidRPr="00DB5D0D">
        <w:rPr>
          <w:rFonts w:ascii="Times New Roman" w:hAnsi="Times New Roman"/>
          <w:color w:val="000000" w:themeColor="text1"/>
          <w:sz w:val="16"/>
          <w:szCs w:val="16"/>
        </w:rPr>
        <w:softHyphen/>
        <w:t>летов ТБ-7, заменяя на АМ-35А. Но с июня 1942 г. выпуск М-30 возобновили на заводе № 500 (в цехах эвакуированного завода № 82). В том же году двигатель был модернизи</w:t>
      </w:r>
      <w:r w:rsidRPr="00DB5D0D">
        <w:rPr>
          <w:rFonts w:ascii="Times New Roman" w:hAnsi="Times New Roman"/>
          <w:color w:val="000000" w:themeColor="text1"/>
          <w:sz w:val="16"/>
          <w:szCs w:val="16"/>
        </w:rPr>
        <w:softHyphen/>
        <w:t>рован в ОКБ-500 под руководством Чаромского (уже освобожденного из заключения) с введением ПЦН и интеркулеров. Усовершенствованный вари</w:t>
      </w:r>
      <w:r w:rsidRPr="00DB5D0D">
        <w:rPr>
          <w:rFonts w:ascii="Times New Roman" w:hAnsi="Times New Roman"/>
          <w:color w:val="000000" w:themeColor="text1"/>
          <w:sz w:val="16"/>
          <w:szCs w:val="16"/>
        </w:rPr>
        <w:softHyphen/>
        <w:t>ант начали выпускать с конца 1942 г. как М-ЗОБ, а затем переименовали в АЧ-ЗОБ. В 1944-1945 гг. АЧ-ЗОБ изготовлялся также на заводе № 45 в Мо</w:t>
      </w:r>
      <w:r w:rsidRPr="00DB5D0D">
        <w:rPr>
          <w:rFonts w:ascii="Times New Roman" w:hAnsi="Times New Roman"/>
          <w:color w:val="000000" w:themeColor="text1"/>
          <w:sz w:val="16"/>
          <w:szCs w:val="16"/>
        </w:rPr>
        <w:softHyphen/>
        <w:t>скве. В сентябре 1945 г. дизель сняли с производства на обоих заводах. Всего изготовили 1423 (по другим данным — 1526) М-30, М-ЗОБ и АЧ-ЗОБ. АЧ-ЗОБ стал основой для ряда серийных танковых и судовых дизелей. В 1946-1947 гг. производилась разборка части не бывших в употреблении АЧ-ЗОБ для использования их деталей и узлов в катерных дизелях М-50Р. Двигатели АЧ-ЗОБ после некоторой переделки применялись также в не</w:t>
      </w:r>
      <w:r w:rsidRPr="00DB5D0D">
        <w:rPr>
          <w:rFonts w:ascii="Times New Roman" w:hAnsi="Times New Roman"/>
          <w:color w:val="000000" w:themeColor="text1"/>
          <w:sz w:val="16"/>
          <w:szCs w:val="16"/>
        </w:rPr>
        <w:softHyphen/>
        <w:t>больших электростанциях ДКЭ для сельских районов.</w:t>
      </w:r>
    </w:p>
    <w:p w14:paraId="6D480A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7FCE38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12-цшшдровый, рядный У-образный дизель, четырехтактный, водя</w:t>
      </w:r>
      <w:r w:rsidRPr="00DB5D0D">
        <w:rPr>
          <w:rFonts w:ascii="Times New Roman" w:hAnsi="Times New Roman"/>
          <w:color w:val="000000" w:themeColor="text1"/>
          <w:sz w:val="16"/>
          <w:szCs w:val="16"/>
        </w:rPr>
        <w:softHyphen/>
        <w:t>ного охлаждения;</w:t>
      </w:r>
    </w:p>
    <w:p w14:paraId="255D8C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объем 61,04 л;</w:t>
      </w:r>
    </w:p>
    <w:p w14:paraId="10EC01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48F6EE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степень сжатия 13,5;</w:t>
      </w:r>
    </w:p>
    <w:p w14:paraId="442D35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156D7D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М-30, первая серийная модификация с двумя турбонагнетателями, без ПЦН и интеркулеров. Мощность 1250/1500 л.с., вес 1200 кг (по другим данным, 1150 кг). Этот двигатель выпускался серийно заводом № 82 (44 экз. в 1941 г.) и заводом № 500 (32 экз. в 1942 г.). Производство пре</w:t>
      </w:r>
      <w:r w:rsidRPr="00DB5D0D">
        <w:rPr>
          <w:rFonts w:ascii="Times New Roman" w:hAnsi="Times New Roman"/>
          <w:color w:val="000000" w:themeColor="text1"/>
          <w:sz w:val="16"/>
          <w:szCs w:val="16"/>
        </w:rPr>
        <w:softHyphen/>
        <w:t>кращено в конце 1942 г. Часть М-30 переделана в 1942 г. в М-ЗОБ.</w:t>
      </w:r>
    </w:p>
    <w:p w14:paraId="247778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М-ЗОФ, опытный вариант 1942 г., 1500/1750 л.с.</w:t>
      </w:r>
    </w:p>
    <w:p w14:paraId="16586E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М-ЗОБ (АЧ-ЗОБ), модернизированный вариант с ПЦН. В ОКБ-500 готовились два варианта — с ПЦН от моторов АМ-38 и М-105.</w:t>
      </w:r>
    </w:p>
    <w:p w14:paraId="598B3D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1942 г. первый тип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DB5D0D">
        <w:rPr>
          <w:rFonts w:ascii="Times New Roman" w:hAnsi="Times New Roman"/>
          <w:color w:val="000000" w:themeColor="text1"/>
          <w:sz w:val="16"/>
          <w:szCs w:val="16"/>
        </w:rPr>
        <w:softHyphen/>
        <w:t>нетателями Т1-82 и интеркулерами. С августа 1942 г. завод № 500 начал переделку М-30 в М-ЗОБ (переделано 35 экз.), а затем произ</w:t>
      </w:r>
      <w:r w:rsidRPr="00DB5D0D">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w:t>
      </w:r>
    </w:p>
    <w:p w14:paraId="4DD5BC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М-ЗОД, форсированный тип для штурмовика, мощность 1750/2000 л.с. В марте 1943 г. задание на его разработку выдали заводу № 500. Данных о проектировании и постройке нет.</w:t>
      </w:r>
    </w:p>
    <w:p w14:paraId="1B9EC7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АЧ-ЗОБФ, форсированный вариант АЧ-ЗОБ с впрыском бензина по</w:t>
      </w:r>
      <w:r w:rsidRPr="00DB5D0D">
        <w:rPr>
          <w:rFonts w:ascii="Times New Roman" w:hAnsi="Times New Roman"/>
          <w:color w:val="000000" w:themeColor="text1"/>
          <w:sz w:val="16"/>
          <w:szCs w:val="16"/>
        </w:rPr>
        <w:softHyphen/>
        <w:t>сле турбонагнетателей. Проектировался с 1943 г. Испытания опыт</w:t>
      </w:r>
      <w:r w:rsidRPr="00DB5D0D">
        <w:rPr>
          <w:rFonts w:ascii="Times New Roman" w:hAnsi="Times New Roman"/>
          <w:color w:val="000000" w:themeColor="text1"/>
          <w:sz w:val="16"/>
          <w:szCs w:val="16"/>
        </w:rPr>
        <w:softHyphen/>
        <w:t>ных образцов проходили с весны 1944 г. С августа того же года два АЧ-ЗОБФ испытывались на опытном бомбардировщике Ил-6,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DB5D0D">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w:t>
      </w:r>
    </w:p>
    <w:p w14:paraId="3552BC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АЧ-ЗОБ с мотокомпрессорным воздушно-реактивным двигателем. Про</w:t>
      </w:r>
      <w:r w:rsidRPr="00DB5D0D">
        <w:rPr>
          <w:rFonts w:ascii="Times New Roman" w:hAnsi="Times New Roman"/>
          <w:color w:val="000000" w:themeColor="text1"/>
          <w:sz w:val="16"/>
          <w:szCs w:val="16"/>
        </w:rPr>
        <w:softHyphen/>
        <w:t>ектировался под руководством Толстова в ЦИАМ с начала 1944 г.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DB5D0D">
        <w:rPr>
          <w:rFonts w:ascii="Times New Roman" w:hAnsi="Times New Roman"/>
          <w:color w:val="000000" w:themeColor="text1"/>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DB5D0D">
        <w:rPr>
          <w:rFonts w:ascii="Times New Roman" w:hAnsi="Times New Roman"/>
          <w:color w:val="000000" w:themeColor="text1"/>
          <w:sz w:val="16"/>
          <w:szCs w:val="16"/>
        </w:rPr>
        <w:softHyphen/>
        <w:t>ченном ВРДК 4500 э.л.с.</w:t>
      </w:r>
    </w:p>
    <w:p w14:paraId="421987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ТД-ЗОБ, танковый дизель на базе АЧ-ЗОБ. Работы по танковому вари</w:t>
      </w:r>
      <w:r w:rsidRPr="00DB5D0D">
        <w:rPr>
          <w:rFonts w:ascii="Times New Roman" w:hAnsi="Times New Roman"/>
          <w:color w:val="000000" w:themeColor="text1"/>
          <w:sz w:val="16"/>
          <w:szCs w:val="16"/>
        </w:rPr>
        <w:softHyphen/>
        <w:t>анту велись с 1945 г., когда проводили эксперименты по длительной эксплуатации АЧ-ЗОБ при низких оборотах. ТД-ЗОБ был спроектиро</w:t>
      </w:r>
      <w:r w:rsidRPr="00DB5D0D">
        <w:rPr>
          <w:rFonts w:ascii="Times New Roman" w:hAnsi="Times New Roman"/>
          <w:color w:val="000000" w:themeColor="text1"/>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w:t>
      </w:r>
    </w:p>
    <w:p w14:paraId="6879D8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КЧ-ЗОБ, танковый дизель, вариант ТД-ЗОБ, 1200 л.с. Опытный об</w:t>
      </w:r>
      <w:r w:rsidRPr="00DB5D0D">
        <w:rPr>
          <w:rFonts w:ascii="Times New Roman" w:hAnsi="Times New Roman"/>
          <w:color w:val="000000" w:themeColor="text1"/>
          <w:sz w:val="16"/>
          <w:szCs w:val="16"/>
        </w:rPr>
        <w:softHyphen/>
        <w:t>разец не строился.</w:t>
      </w:r>
    </w:p>
    <w:p w14:paraId="258584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Дизели семейства М-30/АЧ-ЗОБ устанавливались на серийных бомбарди</w:t>
      </w:r>
      <w:r w:rsidRPr="00DB5D0D">
        <w:rPr>
          <w:rFonts w:ascii="Times New Roman" w:hAnsi="Times New Roman"/>
          <w:color w:val="000000" w:themeColor="text1"/>
          <w:sz w:val="16"/>
          <w:szCs w:val="16"/>
        </w:rPr>
        <w:softHyphen/>
        <w:t>ровщиках Ер-2 и ТБ-7 (Пе-8), опытном самолете «67» (переоборудованном Ту-2). Их применение предусматривалось также в проектах МЫ, Ил-4, Ту-8С, ПС-84 (вариант бомбардировщика) (11852).</w:t>
      </w:r>
    </w:p>
    <w:p w14:paraId="0E3802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5CE76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весны 1940 г. производство М-40 осваивал Кировский завод в Ленин</w:t>
      </w:r>
      <w:r w:rsidRPr="00DB5D0D">
        <w:rPr>
          <w:rFonts w:ascii="Times New Roman" w:hAnsi="Times New Roman"/>
          <w:color w:val="000000" w:themeColor="text1"/>
          <w:sz w:val="16"/>
          <w:szCs w:val="16"/>
        </w:rPr>
        <w:softHyphen/>
        <w:t>граде. За первую половину 1941 г. он изготовил 58 экз. С весны 1941 г. М-40 устанавливали на серийные самолеты ТБ-7. Параллельная ветвь развития конструкции АН-1РТК. Создавался в ЦИАМ под руководством В.М. Яковлева с участием М.А. Кузьмина и А.Я. Носача. М-40 был ближе к исходному АН-1РТК, чем М-30, и отличался от последнего в основном конструкцией системы наддува при том же принципиальном подходе — четыре турбонагнетателя без ПЦН. Производство дизелей этого типа прекратили осенью 1941 г. Еще рань</w:t>
      </w:r>
      <w:r w:rsidRPr="00DB5D0D">
        <w:rPr>
          <w:rFonts w:ascii="Times New Roman" w:hAnsi="Times New Roman"/>
          <w:color w:val="000000" w:themeColor="text1"/>
          <w:sz w:val="16"/>
          <w:szCs w:val="16"/>
        </w:rPr>
        <w:softHyphen/>
        <w:t>ше, в августе, их сняли со всех самолетов и законсервировали. В 1942 г. М-40 испытывали на бомбардировщике Ер-2. В 1944 г. завод № 500 раз</w:t>
      </w:r>
      <w:r w:rsidRPr="00DB5D0D">
        <w:rPr>
          <w:rFonts w:ascii="Times New Roman" w:hAnsi="Times New Roman"/>
          <w:color w:val="000000" w:themeColor="text1"/>
          <w:sz w:val="16"/>
          <w:szCs w:val="16"/>
        </w:rPr>
        <w:softHyphen/>
        <w:t>бирал М-40 и использовал их узлы и агрегаты в двигателях АЧ-30Б.</w:t>
      </w:r>
    </w:p>
    <w:p w14:paraId="2C9416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482B8D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12-цилиндровый, рядный У-образный дизель, четырехтактный, водя</w:t>
      </w:r>
      <w:r w:rsidRPr="00DB5D0D">
        <w:rPr>
          <w:rFonts w:ascii="Times New Roman" w:hAnsi="Times New Roman"/>
          <w:color w:val="000000" w:themeColor="text1"/>
          <w:sz w:val="16"/>
          <w:szCs w:val="16"/>
        </w:rPr>
        <w:softHyphen/>
        <w:t>ного охлаждения;</w:t>
      </w:r>
    </w:p>
    <w:p w14:paraId="49EF00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объем 61,04 л;</w:t>
      </w:r>
    </w:p>
    <w:p w14:paraId="70F6E4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Дизель М-40Ф (чертеж)</w:t>
      </w:r>
    </w:p>
    <w:p w14:paraId="4A9D1A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Тяжелый бомбардировщик ТБ-7 (Пе-8) с дизелями М-40, 1941 г.</w:t>
      </w:r>
    </w:p>
    <w:p w14:paraId="0804B2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374D8E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степень сжатия 13,5;</w:t>
      </w:r>
    </w:p>
    <w:p w14:paraId="355973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43AAE0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М-40, серийный вариант, 1000/1250 л.с., вес 1150 кг.</w:t>
      </w:r>
    </w:p>
    <w:p w14:paraId="0D722B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М-40Ф, опытный образец, форсированный по оборотам, 1250/1500 л.с. Проходил госиспытания летом 1940 г., в ноябре того же года был ре</w:t>
      </w:r>
      <w:r w:rsidRPr="00DB5D0D">
        <w:rPr>
          <w:rFonts w:ascii="Times New Roman" w:hAnsi="Times New Roman"/>
          <w:color w:val="000000" w:themeColor="text1"/>
          <w:sz w:val="16"/>
          <w:szCs w:val="16"/>
        </w:rPr>
        <w:softHyphen/>
        <w:t>комендован в серию и выпущен небольшой партией в 1941 г. Летом 1941 г. испытывался на Ер-2.</w:t>
      </w:r>
    </w:p>
    <w:p w14:paraId="7008C5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Дизели М-40 устанавливались на серийных самолетах ТБ-7 (Пе-8), опытных БОК-15, Ер-2 (11852).</w:t>
      </w:r>
    </w:p>
    <w:p w14:paraId="1B8F82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Также был разработан М-41 - Проект дальнейшего развития М-40, выполненный в конструктор</w:t>
      </w:r>
      <w:r w:rsidRPr="00DB5D0D">
        <w:rPr>
          <w:rFonts w:ascii="Times New Roman" w:hAnsi="Times New Roman"/>
          <w:color w:val="000000" w:themeColor="text1"/>
          <w:sz w:val="16"/>
          <w:szCs w:val="16"/>
        </w:rPr>
        <w:softHyphen/>
        <w:t>ском бюро Кировского завода в Ленинграде под руководством В.М. Яков</w:t>
      </w:r>
      <w:r w:rsidRPr="00DB5D0D">
        <w:rPr>
          <w:rFonts w:ascii="Times New Roman" w:hAnsi="Times New Roman"/>
          <w:color w:val="000000" w:themeColor="text1"/>
          <w:sz w:val="16"/>
          <w:szCs w:val="16"/>
        </w:rPr>
        <w:softHyphen/>
        <w:t>лева.</w:t>
      </w:r>
    </w:p>
    <w:p w14:paraId="6B7BE4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0B08C7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1400/1750 л.с.;</w:t>
      </w:r>
    </w:p>
    <w:p w14:paraId="6AEBE6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вес 1200 кг. (11852).</w:t>
      </w:r>
    </w:p>
    <w:p w14:paraId="76FBAC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01631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весне 1940-го в Горьком имелось всего три мотора М-88 прошлогоднего выпуска, надежность которых оставляла желать лучшего (9979).</w:t>
      </w:r>
    </w:p>
    <w:p w14:paraId="5E8423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E5F8A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проводились первые госиспытания М-82, на заводе № 19 выпустили установочную серию. 22 мая 1941 г. успешно завершились повторные госиспытания. Еще до их окончания, 13 мая, вышел приказ НКАП о начале серийного производства. М-82 (с 1 апреля 1944 г. — АШ-82) выпускался заводами № 19 (Мо</w:t>
      </w:r>
      <w:r w:rsidRPr="00DB5D0D">
        <w:rPr>
          <w:rFonts w:ascii="Times New Roman" w:hAnsi="Times New Roman"/>
          <w:color w:val="000000" w:themeColor="text1"/>
          <w:sz w:val="16"/>
          <w:szCs w:val="16"/>
        </w:rPr>
        <w:softHyphen/>
        <w:t>лотов, ныне Пермь) с 1941 г. и № 29 (Омск) с 1942 г. Только за пери</w:t>
      </w:r>
      <w:r w:rsidRPr="00DB5D0D">
        <w:rPr>
          <w:rFonts w:ascii="Times New Roman" w:hAnsi="Times New Roman"/>
          <w:color w:val="000000" w:themeColor="text1"/>
          <w:sz w:val="16"/>
          <w:szCs w:val="16"/>
        </w:rPr>
        <w:softHyphen/>
        <w:t>од войны изготовлено около 24 000 двигателей этого семейства. АШ-82 являлся одним из самых распространенных моторов ВВС РККА в годы Великой Отечественной войны. Он устанавливался на истребителях Ла-5 и Ла-7, бомбардировщиках Ту-2 и Пе-8. Двигатель неоднократно модифицировался. В послевоенный период были созданы варианты для транспортной авиации и вертолетов. В 1962-1980 гг. две модификации АШ-82 выпускались по лицензии в Китае на заводе в Донгане, с 1954 г. — в Чехословакии.</w:t>
      </w:r>
    </w:p>
    <w:p w14:paraId="025DC8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 АШ-82Т строилась на заводе № 19 до 1955 г., а вер</w:t>
      </w:r>
      <w:r w:rsidRPr="00DB5D0D">
        <w:rPr>
          <w:rFonts w:ascii="Times New Roman" w:hAnsi="Times New Roman"/>
          <w:color w:val="000000" w:themeColor="text1"/>
          <w:sz w:val="16"/>
          <w:szCs w:val="16"/>
        </w:rPr>
        <w:softHyphen/>
        <w:t>толетный АШ-82В — и позже. Всего выпущено 57 898 экз. Двигатели АШ-82Т эксплуатируются до настоящего времени.</w:t>
      </w:r>
    </w:p>
    <w:p w14:paraId="62ED15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семейства АШ-82 экспортировались в Польшу, Чехословакию, ГДР, Венгрию, Румынию, Китай, Северную Корею, Вьетнам, Австрию, Египет, Афганистан, Индию, Ирак, Испанию, Финляндию.</w:t>
      </w:r>
    </w:p>
    <w:p w14:paraId="3C5F80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Узлы и агрегаты АШ-82 впоследствии использовались при создании двигателей АШ-21, М-3 и АШ-2.</w:t>
      </w:r>
    </w:p>
    <w:p w14:paraId="36C764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1A6283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14-цилиндровый двухрядный звездообразный, воздушного охлаждения, редукторный, с одноступенчатым двухскоростным ПЦН;</w:t>
      </w:r>
    </w:p>
    <w:p w14:paraId="506B04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диаметр цилиндра/ход поршня 155;5/155 мм;</w:t>
      </w:r>
    </w:p>
    <w:p w14:paraId="348F8C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объем 41,2 л;</w:t>
      </w:r>
    </w:p>
    <w:p w14:paraId="020474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степень сжатия 7,0 (кроме АШ-82Т и АШ-82В);</w:t>
      </w:r>
    </w:p>
    <w:p w14:paraId="7FF639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и вес в зависимости от модификации;</w:t>
      </w:r>
    </w:p>
    <w:p w14:paraId="23F5A1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возможна установка синхронизатора, электроинерционного старте</w:t>
      </w:r>
      <w:r w:rsidRPr="00DB5D0D">
        <w:rPr>
          <w:rFonts w:ascii="Times New Roman" w:hAnsi="Times New Roman"/>
          <w:color w:val="000000" w:themeColor="text1"/>
          <w:sz w:val="16"/>
          <w:szCs w:val="16"/>
        </w:rPr>
        <w:softHyphen/>
        <w:t>ра или воздушного самопуска.</w:t>
      </w:r>
    </w:p>
    <w:p w14:paraId="213E96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Проектом предусматривались два варианта редукторов, варианты со степенями сжатия 6,4 или 7,0, с односкоростным (вариант И) или двух</w:t>
      </w:r>
      <w:r w:rsidRPr="00DB5D0D">
        <w:rPr>
          <w:rFonts w:ascii="Times New Roman" w:hAnsi="Times New Roman"/>
          <w:color w:val="000000" w:themeColor="text1"/>
          <w:sz w:val="16"/>
          <w:szCs w:val="16"/>
        </w:rPr>
        <w:softHyphen/>
        <w:t>скоростным ПЦН.</w:t>
      </w:r>
    </w:p>
    <w:p w14:paraId="79287B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Известны модификации:</w:t>
      </w:r>
    </w:p>
    <w:p w14:paraId="2124AC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М-82-111, первый серийный вариант с редуктором 11 16 и беспоплав</w:t>
      </w:r>
      <w:r w:rsidRPr="00DB5D0D">
        <w:rPr>
          <w:rFonts w:ascii="Times New Roman" w:hAnsi="Times New Roman"/>
          <w:color w:val="000000" w:themeColor="text1"/>
          <w:sz w:val="16"/>
          <w:szCs w:val="16"/>
        </w:rPr>
        <w:softHyphen/>
        <w:t>ковым карбюратором АК-82БП. Выпускался заводом № 19 с 1941 г. (11852).</w:t>
      </w:r>
    </w:p>
    <w:p w14:paraId="16FB3F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FAF0C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мотор ГАМ-34 ФН был снят с производства (3898).</w:t>
      </w:r>
    </w:p>
    <w:p w14:paraId="399277B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0782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весны 1940 г. надежность М-105 была весьма низкой. Возникали трещины в клапанной коробке и на коренных шейках коленвала, прогорали выхлопные клапаны. После доработки заданный вес выдержать не удалось: вместо 550 кг двигатель стал весить 570 кг.</w:t>
      </w:r>
    </w:p>
    <w:p w14:paraId="1229D6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 серийно выпускался заводом № 26 в Рыбинске. В процессе про</w:t>
      </w:r>
      <w:r w:rsidRPr="00DB5D0D">
        <w:rPr>
          <w:rFonts w:ascii="Times New Roman" w:hAnsi="Times New Roman"/>
          <w:color w:val="000000" w:themeColor="text1"/>
          <w:sz w:val="16"/>
          <w:szCs w:val="16"/>
        </w:rPr>
        <w:softHyphen/>
        <w:t>изводства двигатель неоднократно модифицировался. Позднее к производ</w:t>
      </w:r>
      <w:r w:rsidRPr="00DB5D0D">
        <w:rPr>
          <w:rFonts w:ascii="Times New Roman" w:hAnsi="Times New Roman"/>
          <w:color w:val="000000" w:themeColor="text1"/>
          <w:sz w:val="16"/>
          <w:szCs w:val="16"/>
        </w:rPr>
        <w:softHyphen/>
        <w:t>ству М-105 подключили заводы № 16 в Воронеже и № 27 в Казани. Во время наступления немцев в сентябре — октябре 1941 г. завод № 16 был эвакуирован в Уфу, завод № 26 — в Казань, где был слит с заводом № 27. Производство М-105 практически прервалось до февраля 1942 г. Затем опять начался рост выпуска. Завод № 16 вышел на предвоенный уровень производства моторов в июле 1942 г., № 26 — в августе того же года. В ходе войны к выпуску М-105 подключили также завод № 466 в Горьком (ныне Нижний Новгород). В конце 1945 г. это предприятие перебазировали в Ленинград (ныне Санкт-Петербург), на площадку завода № 274, где готовились к освоению производства моторов М-107А.</w:t>
      </w:r>
    </w:p>
    <w:p w14:paraId="6A0DA8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 (с 8 марта 1944 г. переименованный в ВК-105 в честь конструк</w:t>
      </w:r>
      <w:r w:rsidRPr="00DB5D0D">
        <w:rPr>
          <w:rFonts w:ascii="Times New Roman" w:hAnsi="Times New Roman"/>
          <w:color w:val="000000" w:themeColor="text1"/>
          <w:sz w:val="16"/>
          <w:szCs w:val="16"/>
        </w:rPr>
        <w:softHyphen/>
        <w:t>тора) являлся самым массовым советским авиамотором периода Великой Отечественной войны, применявшимся как на истребителях, так и на бом</w:t>
      </w:r>
      <w:r w:rsidRPr="00DB5D0D">
        <w:rPr>
          <w:rFonts w:ascii="Times New Roman" w:hAnsi="Times New Roman"/>
          <w:color w:val="000000" w:themeColor="text1"/>
          <w:sz w:val="16"/>
          <w:szCs w:val="16"/>
        </w:rPr>
        <w:softHyphen/>
        <w:t>бардировщиках. В общей сложности изготовлено более 75 250 двигателей этого типа. Только завод № 26 выпустил 1424 М-105, 5821 — М-105П/ПА 10 605 — М-105Р/РА, 57 360 — М-105ПФ/ПФ-2. Выпуск всех модифика</w:t>
      </w:r>
      <w:r w:rsidRPr="00DB5D0D">
        <w:rPr>
          <w:rFonts w:ascii="Times New Roman" w:hAnsi="Times New Roman"/>
          <w:color w:val="000000" w:themeColor="text1"/>
          <w:sz w:val="16"/>
          <w:szCs w:val="16"/>
        </w:rPr>
        <w:softHyphen/>
        <w:t>ций, кроме М-105ПФ (ВК-105ПФ), прекратили в 1943 г. с целью увели</w:t>
      </w:r>
      <w:r w:rsidRPr="00DB5D0D">
        <w:rPr>
          <w:rFonts w:ascii="Times New Roman" w:hAnsi="Times New Roman"/>
          <w:color w:val="000000" w:themeColor="text1"/>
          <w:sz w:val="16"/>
          <w:szCs w:val="16"/>
        </w:rPr>
        <w:softHyphen/>
        <w:t>чить объем выпуска за счет ограничения количества типов изготовляемых моторов. Последнюю модификацию, ВК-105ПФ-2, делали до 1947 г.</w:t>
      </w:r>
    </w:p>
    <w:p w14:paraId="290225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Двигатели семейства М-105 экспортировали в Польшу, Чехословакию. Болгарию, Югославию, Северную Корею.</w:t>
      </w:r>
    </w:p>
    <w:p w14:paraId="526B2D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74CD57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12-цилиндровый, рядный, У-образный, карбюраторный, водяного охлаж</w:t>
      </w:r>
      <w:r w:rsidRPr="00DB5D0D">
        <w:rPr>
          <w:rFonts w:ascii="Times New Roman" w:hAnsi="Times New Roman"/>
          <w:color w:val="000000" w:themeColor="text1"/>
          <w:sz w:val="16"/>
          <w:szCs w:val="16"/>
        </w:rPr>
        <w:softHyphen/>
        <w:t>дения (зимой использовались этиленгликолевые или глицериновые анти</w:t>
      </w:r>
      <w:r w:rsidRPr="00DB5D0D">
        <w:rPr>
          <w:rFonts w:ascii="Times New Roman" w:hAnsi="Times New Roman"/>
          <w:color w:val="000000" w:themeColor="text1"/>
          <w:sz w:val="16"/>
          <w:szCs w:val="16"/>
        </w:rPr>
        <w:softHyphen/>
        <w:t>фризы), редукторный, с одноступенчатым двухскоростным ПЦН;</w:t>
      </w:r>
    </w:p>
    <w:p w14:paraId="049C0B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диаметр цилиндра/ход поршня 148/170 мм;</w:t>
      </w:r>
    </w:p>
    <w:p w14:paraId="718092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объем 35,08 л;</w:t>
      </w:r>
    </w:p>
    <w:p w14:paraId="6C934B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степень сжатия 7,1;</w:t>
      </w:r>
    </w:p>
    <w:p w14:paraId="69BC91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и вес в зависимости от модификации. Существовали следующие модификации М-105 (ВК-105):</w:t>
      </w:r>
    </w:p>
    <w:p w14:paraId="022F74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 первый серийный вариант, 1020/1100 л.с., вес 570 кг. С 3-й серии введены новые поршни и иной механизм переключения скоро</w:t>
      </w:r>
      <w:r w:rsidRPr="00DB5D0D">
        <w:rPr>
          <w:rFonts w:ascii="Times New Roman" w:hAnsi="Times New Roman"/>
          <w:color w:val="000000" w:themeColor="text1"/>
          <w:sz w:val="16"/>
          <w:szCs w:val="16"/>
        </w:rPr>
        <w:softHyphen/>
        <w:t>стей ПЦН.</w:t>
      </w:r>
    </w:p>
    <w:p w14:paraId="71A082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М-105НВ — вариант М-105 с впрыском топлива, создававшийся в ЦИАМ. Были сделаны три варианта: два с блоками от М-105 и М-120 и впрыском высокого давления в цилиндр, третий — с впрыском во всасывающие патрубки. Все они проходили испытания на стенде, один мотор вышел из строя в октябре 1940 г. Выгод по сравнению с карбюраторным вариантом не получили.</w:t>
      </w:r>
    </w:p>
    <w:p w14:paraId="35CDE5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М-105НТ со сверхзвуковым нагнетателем и турбомуфтой, проектиро</w:t>
      </w:r>
      <w:r w:rsidRPr="00DB5D0D">
        <w:rPr>
          <w:rFonts w:ascii="Times New Roman" w:hAnsi="Times New Roman"/>
          <w:color w:val="000000" w:themeColor="text1"/>
          <w:sz w:val="16"/>
          <w:szCs w:val="16"/>
        </w:rPr>
        <w:softHyphen/>
        <w:t>вался в ЦИАМ в 1940-1941 гг.</w:t>
      </w:r>
    </w:p>
    <w:p w14:paraId="36E381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М-105Р, модификация М-105 для бомбардировщиков и разведчиков с иным передаточным числом редуктора, 1050/1100 л.с., вес 580 кг.</w:t>
      </w:r>
    </w:p>
    <w:p w14:paraId="50EF28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М-105П, модификация для истребителей с иным передаточным чис</w:t>
      </w:r>
      <w:r w:rsidRPr="00DB5D0D">
        <w:rPr>
          <w:rFonts w:ascii="Times New Roman" w:hAnsi="Times New Roman"/>
          <w:color w:val="000000" w:themeColor="text1"/>
          <w:sz w:val="16"/>
          <w:szCs w:val="16"/>
        </w:rPr>
        <w:softHyphen/>
        <w:t>лом редуктора, увеличенным расстоянием между осями коленвала и редуктора. Аналогично опытным двигателям М-100П и М-103П предусматривалась установка пушки в развале блоков цилиндров, но в отличие от них новый мотор имел также два синхронизатора, рассчитанных на работу двух пулеметов каждый. Первые образцы М-105П под 20-мм пушку ШВАК были изготовлены в августе 1939 г. В конце того же года начался выпуск малой серии. В январе 1940 г. мотор проходил летные испытания на истребителе И-26-1 (прототипе Як-1). Официально М-105П приняли на вооружение и запустили в малую серию 23 мая 1940 г. Массовое производство начато после за</w:t>
      </w:r>
      <w:r w:rsidRPr="00DB5D0D">
        <w:rPr>
          <w:rFonts w:ascii="Times New Roman" w:hAnsi="Times New Roman"/>
          <w:color w:val="000000" w:themeColor="text1"/>
          <w:sz w:val="16"/>
          <w:szCs w:val="16"/>
        </w:rPr>
        <w:softHyphen/>
        <w:t>вершения госиспытаний в сентябре 1940 г. Мощность 1050/1100 л.с., вес 608 кг. На этом двигателе монтировались пушки ШВАК (20 мм) ВЯ-23 (23 мм), Н-37 (37 мм).</w:t>
      </w:r>
    </w:p>
    <w:p w14:paraId="01F40A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М-105ПА, развитие М-105П. Серийно выпускался с 1941 г. Моди</w:t>
      </w:r>
      <w:r w:rsidRPr="00DB5D0D">
        <w:rPr>
          <w:rFonts w:ascii="Times New Roman" w:hAnsi="Times New Roman"/>
          <w:color w:val="000000" w:themeColor="text1"/>
          <w:sz w:val="16"/>
          <w:szCs w:val="16"/>
        </w:rPr>
        <w:softHyphen/>
        <w:t>фикация ПА отличалась усиленным картером, ужесточенными шату</w:t>
      </w:r>
      <w:r w:rsidRPr="00DB5D0D">
        <w:rPr>
          <w:rFonts w:ascii="Times New Roman" w:hAnsi="Times New Roman"/>
          <w:color w:val="000000" w:themeColor="text1"/>
          <w:sz w:val="16"/>
          <w:szCs w:val="16"/>
        </w:rPr>
        <w:softHyphen/>
        <w:t>нами, беспоплавковым карбюратором К-15БП (К-105), регулятором оборотов Р-7 (вместо Р-2). На поздних сериях была введена гипер</w:t>
      </w:r>
      <w:r w:rsidRPr="00DB5D0D">
        <w:rPr>
          <w:rFonts w:ascii="Times New Roman" w:hAnsi="Times New Roman"/>
          <w:color w:val="000000" w:themeColor="text1"/>
          <w:sz w:val="16"/>
          <w:szCs w:val="16"/>
        </w:rPr>
        <w:softHyphen/>
        <w:t>болическая расточка вкладышей коренных подшипников. Мощность 1050/1100 л.с., вес 600 кг. На моторе устанавливались пушки ШВАК (20 мм), ВЯ-23 (23 мм), МПШ-37 (37 мм).</w:t>
      </w:r>
    </w:p>
    <w:p w14:paraId="0A4AA4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М-105РА, аналог типа ПА с дру</w:t>
      </w:r>
      <w:r w:rsidRPr="00DB5D0D">
        <w:rPr>
          <w:rFonts w:ascii="Times New Roman" w:hAnsi="Times New Roman"/>
          <w:color w:val="000000" w:themeColor="text1"/>
          <w:sz w:val="16"/>
          <w:szCs w:val="16"/>
        </w:rPr>
        <w:softHyphen/>
        <w:t>гим редуктором (от М-105Р). Мощ</w:t>
      </w:r>
      <w:r w:rsidRPr="00DB5D0D">
        <w:rPr>
          <w:rFonts w:ascii="Times New Roman" w:hAnsi="Times New Roman"/>
          <w:color w:val="000000" w:themeColor="text1"/>
          <w:sz w:val="16"/>
          <w:szCs w:val="16"/>
        </w:rPr>
        <w:softHyphen/>
        <w:t>ность 1050/1100 л.с., вес 580 кг: С июля 1941 г. М-105РА устанав</w:t>
      </w:r>
      <w:r w:rsidRPr="00DB5D0D">
        <w:rPr>
          <w:rFonts w:ascii="Times New Roman" w:hAnsi="Times New Roman"/>
          <w:color w:val="000000" w:themeColor="text1"/>
          <w:sz w:val="16"/>
          <w:szCs w:val="16"/>
        </w:rPr>
        <w:softHyphen/>
        <w:t>ливались на серийных бомбарди</w:t>
      </w:r>
      <w:r w:rsidRPr="00DB5D0D">
        <w:rPr>
          <w:rFonts w:ascii="Times New Roman" w:hAnsi="Times New Roman"/>
          <w:color w:val="000000" w:themeColor="text1"/>
          <w:sz w:val="16"/>
          <w:szCs w:val="16"/>
        </w:rPr>
        <w:softHyphen/>
        <w:t>ровщиках Пе-2. Существовал ва</w:t>
      </w:r>
      <w:r w:rsidRPr="00DB5D0D">
        <w:rPr>
          <w:rFonts w:ascii="Times New Roman" w:hAnsi="Times New Roman"/>
          <w:color w:val="000000" w:themeColor="text1"/>
          <w:sz w:val="16"/>
          <w:szCs w:val="16"/>
        </w:rPr>
        <w:softHyphen/>
        <w:t>риант М-105РА с коробкой отбо</w:t>
      </w:r>
      <w:r w:rsidRPr="00DB5D0D">
        <w:rPr>
          <w:rFonts w:ascii="Times New Roman" w:hAnsi="Times New Roman"/>
          <w:color w:val="000000" w:themeColor="text1"/>
          <w:sz w:val="16"/>
          <w:szCs w:val="16"/>
        </w:rPr>
        <w:softHyphen/>
        <w:t>ра мощности для привода насоса ЖРД РУ-1. Опытные образцы его были изготовлены на заводе № 16. Летные испытания проводились на Пе-2 в сентябре 1943 г. — январе 1945 г.</w:t>
      </w:r>
    </w:p>
    <w:p w14:paraId="6C91F2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М-105ТК, вариант М-105 с дву</w:t>
      </w:r>
      <w:r w:rsidRPr="00DB5D0D">
        <w:rPr>
          <w:rFonts w:ascii="Times New Roman" w:hAnsi="Times New Roman"/>
          <w:color w:val="000000" w:themeColor="text1"/>
          <w:sz w:val="16"/>
          <w:szCs w:val="16"/>
        </w:rPr>
        <w:softHyphen/>
        <w:t>мя турбонагнетателями ТК-2И и измененным редуктором. Первые образцы были изготовлены в апре</w:t>
      </w:r>
      <w:r w:rsidRPr="00DB5D0D">
        <w:rPr>
          <w:rFonts w:ascii="Times New Roman" w:hAnsi="Times New Roman"/>
          <w:color w:val="000000" w:themeColor="text1"/>
          <w:sz w:val="16"/>
          <w:szCs w:val="16"/>
        </w:rPr>
        <w:softHyphen/>
        <w:t>ле — мае 1939 г. С декабря 1939 г. по апрель 1940 г. они испытыва</w:t>
      </w:r>
      <w:r w:rsidRPr="00DB5D0D">
        <w:rPr>
          <w:rFonts w:ascii="Times New Roman" w:hAnsi="Times New Roman"/>
          <w:color w:val="000000" w:themeColor="text1"/>
          <w:sz w:val="16"/>
          <w:szCs w:val="16"/>
        </w:rPr>
        <w:softHyphen/>
        <w:t>лись на опытном высотном истре</w:t>
      </w:r>
      <w:r w:rsidRPr="00DB5D0D">
        <w:rPr>
          <w:rFonts w:ascii="Times New Roman" w:hAnsi="Times New Roman"/>
          <w:color w:val="000000" w:themeColor="text1"/>
          <w:sz w:val="16"/>
          <w:szCs w:val="16"/>
        </w:rPr>
        <w:softHyphen/>
        <w:t>бителе «100» (ВИ-100).</w:t>
      </w:r>
    </w:p>
    <w:p w14:paraId="361270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Двигатель М-105ТК на опытном высотном истребителе «100» — прототипе бомбардировщика Пе-2</w:t>
      </w:r>
    </w:p>
    <w:p w14:paraId="7C8295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М-105П-ТК, проект 1939 г. Вариант М-105П с двумя турбонагнета</w:t>
      </w:r>
      <w:r w:rsidRPr="00DB5D0D">
        <w:rPr>
          <w:rFonts w:ascii="Times New Roman" w:hAnsi="Times New Roman"/>
          <w:color w:val="000000" w:themeColor="text1"/>
          <w:sz w:val="16"/>
          <w:szCs w:val="16"/>
        </w:rPr>
        <w:softHyphen/>
        <w:t>телями ТК-2.</w:t>
      </w:r>
    </w:p>
    <w:p w14:paraId="389B12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М-105Ф с двумя турбонагнетателями ТК-Ф. Опытные образцы из</w:t>
      </w:r>
      <w:r w:rsidRPr="00DB5D0D">
        <w:rPr>
          <w:rFonts w:ascii="Times New Roman" w:hAnsi="Times New Roman"/>
          <w:color w:val="000000" w:themeColor="text1"/>
          <w:sz w:val="16"/>
          <w:szCs w:val="16"/>
        </w:rPr>
        <w:softHyphen/>
        <w:t>готовлены в 1941 г. В марте — апреле 1942 г. проходили летные испытания на самолете Пе-2.</w:t>
      </w:r>
    </w:p>
    <w:p w14:paraId="302512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М-105Д, опытный двигатель с двухступенчатым ПЦН Э-100 (даль</w:t>
      </w:r>
      <w:r w:rsidRPr="00DB5D0D">
        <w:rPr>
          <w:rFonts w:ascii="Times New Roman" w:hAnsi="Times New Roman"/>
          <w:color w:val="000000" w:themeColor="text1"/>
          <w:sz w:val="16"/>
          <w:szCs w:val="16"/>
        </w:rPr>
        <w:softHyphen/>
        <w:t>нейшим развитием Э-23) конструкции В.А. Доллежаля и двумя водо-воздушными интеркулерами. С октября 1940 г. смонтирована турбо-муфта привода ПЦН. Мотор проходил совместные испытания в ноя</w:t>
      </w:r>
      <w:r w:rsidRPr="00DB5D0D">
        <w:rPr>
          <w:rFonts w:ascii="Times New Roman" w:hAnsi="Times New Roman"/>
          <w:color w:val="000000" w:themeColor="text1"/>
          <w:sz w:val="16"/>
          <w:szCs w:val="16"/>
        </w:rPr>
        <w:softHyphen/>
        <w:t>бре 1940 г. Мощность 910/1090 л.с., вес 645 кг.</w:t>
      </w:r>
    </w:p>
    <w:p w14:paraId="194E5A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М-105ДТ (он же М-105ПД и ВК-105ПД), высотный мотор на базе М-105ПА с беспоплавковым карбюратором, развитие предыдущего типа с тем же Э-100. Первая ступень нагнетателя имела привод с ги</w:t>
      </w:r>
      <w:r w:rsidRPr="00DB5D0D">
        <w:rPr>
          <w:rFonts w:ascii="Times New Roman" w:hAnsi="Times New Roman"/>
          <w:color w:val="000000" w:themeColor="text1"/>
          <w:sz w:val="16"/>
          <w:szCs w:val="16"/>
        </w:rPr>
        <w:softHyphen/>
        <w:t>дромуфтой. Мощность 1170/1200 л.с., степень сжатия 7,0, вес 645 кг. В феврале — марте 1941 г. проходили испытания на стенде. С фев</w:t>
      </w:r>
      <w:r w:rsidRPr="00DB5D0D">
        <w:rPr>
          <w:rFonts w:ascii="Times New Roman" w:hAnsi="Times New Roman"/>
          <w:color w:val="000000" w:themeColor="text1"/>
          <w:sz w:val="16"/>
          <w:szCs w:val="16"/>
        </w:rPr>
        <w:softHyphen/>
        <w:t>раля М-105ПД испытывался на истребителе Як-5, с мая — на Як-3 (первом с этим названием). В мае — июне двигатель успешно прошел госиспытания. Предполагалось внедрить М-105ПД в серию с июня 1941 г., однако фактически первая малая серия была выпущена только в 1942 г. В сентябре 1942 г. М-105ПД повторно проходил летные испытания на истребителе Як-7ПД, а затем на Як-9ПД в апреле — июне 1943 г. На двигателях выпуска 1943 г. увеличено передаточное число привода к ПЦН. Двигатель первоначально не имел интеркулера (введенного лишь в сентябре 1943 г.), что приводило к перегревам. ВК-105ПД доводился до 1945 г. На 1-й квартал 1945 г. было дано задание на выпуск 459 ВК-105ПД на заводе № 26 и 10 — на за</w:t>
      </w:r>
      <w:r w:rsidRPr="00DB5D0D">
        <w:rPr>
          <w:rFonts w:ascii="Times New Roman" w:hAnsi="Times New Roman"/>
          <w:color w:val="000000" w:themeColor="text1"/>
          <w:sz w:val="16"/>
          <w:szCs w:val="16"/>
        </w:rPr>
        <w:softHyphen/>
        <w:t>воде № 16. На моторе предусматривалась установка пушки ШВАК (20 мм).</w:t>
      </w:r>
    </w:p>
    <w:p w14:paraId="6DE06A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М-105ПФ (ВК-105ПФ), вариант М-105ПА, на котором в мае 1942 г. по инициативе ОКБ-115 и НИИ ВВС изменили регулировку нагнета</w:t>
      </w:r>
      <w:r w:rsidRPr="00DB5D0D">
        <w:rPr>
          <w:rFonts w:ascii="Times New Roman" w:hAnsi="Times New Roman"/>
          <w:color w:val="000000" w:themeColor="text1"/>
          <w:sz w:val="16"/>
          <w:szCs w:val="16"/>
        </w:rPr>
        <w:softHyphen/>
        <w:t>теля (форсировали по наддуву). При этом возросла мощность у зем</w:t>
      </w:r>
      <w:r w:rsidRPr="00DB5D0D">
        <w:rPr>
          <w:rFonts w:ascii="Times New Roman" w:hAnsi="Times New Roman"/>
          <w:color w:val="000000" w:themeColor="text1"/>
          <w:sz w:val="16"/>
          <w:szCs w:val="16"/>
        </w:rPr>
        <w:softHyphen/>
        <w:t>ли, но ухудшились высотные характеристики. При доводке М-105ПФ усилили поршневые пальцы и ПЦН и изменили коленвал, увеличили диаметр упругой муфты редуктора, ввели карбюратор К-105Ф (вместо К-105БП). На поздних сериях дополнительно усилили коленвал. Мощность 1180/1260 л.с., вес 600 кг. На двигателе могли устанав</w:t>
      </w:r>
      <w:r w:rsidRPr="00DB5D0D">
        <w:rPr>
          <w:rFonts w:ascii="Times New Roman" w:hAnsi="Times New Roman"/>
          <w:color w:val="000000" w:themeColor="text1"/>
          <w:sz w:val="16"/>
          <w:szCs w:val="16"/>
        </w:rPr>
        <w:softHyphen/>
        <w:t>ливаться пушки ШВАК (20 мм), 1Ш-37 (37 мм), НС-37 (37 мм), НС-45 (45 мм). М-105ПФ — самая массовая модификация М-105. В М-105ПФ переделывались в полевых условиях также двигате</w:t>
      </w:r>
      <w:r w:rsidRPr="00DB5D0D">
        <w:rPr>
          <w:rFonts w:ascii="Times New Roman" w:hAnsi="Times New Roman"/>
          <w:color w:val="000000" w:themeColor="text1"/>
          <w:sz w:val="16"/>
          <w:szCs w:val="16"/>
        </w:rPr>
        <w:softHyphen/>
        <w:t>ли М-105ПА выпуска 1942 г. В 1943 г. проводились эксперименты по впрыску воды во всасывающие патрубки М-105ПФ, в том числе велись летные испытания на бомбардировщике Пе-2. В мастерских учебных частей и летных училищ М-105ПФ (также как позднее М-105ПФ-2) иногда дорабатывали под поршни меньшего размера, уменьшая степень сжатия и мощность, но выигрывая в ресурсе. М-105РФ, аналог М-105ПФ с редуктором от М-105РА и без возмож</w:t>
      </w:r>
      <w:r w:rsidRPr="00DB5D0D">
        <w:rPr>
          <w:rFonts w:ascii="Times New Roman" w:hAnsi="Times New Roman"/>
          <w:color w:val="000000" w:themeColor="text1"/>
          <w:sz w:val="16"/>
          <w:szCs w:val="16"/>
        </w:rPr>
        <w:softHyphen/>
        <w:t>ности установки пушки. Мощность 1180/1260 л.с., вес 580 кг. Из</w:t>
      </w:r>
      <w:r w:rsidRPr="00DB5D0D">
        <w:rPr>
          <w:rFonts w:ascii="Times New Roman" w:hAnsi="Times New Roman"/>
          <w:color w:val="000000" w:themeColor="text1"/>
          <w:sz w:val="16"/>
          <w:szCs w:val="16"/>
        </w:rPr>
        <w:softHyphen/>
        <w:t>готовлены только опытные образцы.</w:t>
      </w:r>
    </w:p>
    <w:p w14:paraId="555249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М-105РЕН, вариант М-105Р с приводом компрессора поддува воздуш</w:t>
      </w:r>
      <w:r w:rsidRPr="00DB5D0D">
        <w:rPr>
          <w:rFonts w:ascii="Times New Roman" w:hAnsi="Times New Roman"/>
          <w:color w:val="000000" w:themeColor="text1"/>
          <w:sz w:val="16"/>
          <w:szCs w:val="16"/>
        </w:rPr>
        <w:softHyphen/>
        <w:t>ной подушки. В 1941 г. изготовлены опытные образцы. В том же году эти моторы испытывались на опытном Пе-2 с шасси на воздушной подушке.</w:t>
      </w:r>
    </w:p>
    <w:p w14:paraId="50CEEB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М-105ПФ2 (ВК-105ПФ2), вариант М-105ПФ (ВК-105ПФ) с увели</w:t>
      </w:r>
      <w:r w:rsidRPr="00DB5D0D">
        <w:rPr>
          <w:rFonts w:ascii="Times New Roman" w:hAnsi="Times New Roman"/>
          <w:color w:val="000000" w:themeColor="text1"/>
          <w:sz w:val="16"/>
          <w:szCs w:val="16"/>
        </w:rPr>
        <w:softHyphen/>
        <w:t>ченным давлением наддува. Опытные образцы испытывались с лета 1943 г. С сентября 1944 г. эти двигатели выпускались серийно в больших количествах. Мощность 1240/1290 л.с. На моторах устанав</w:t>
      </w:r>
      <w:r w:rsidRPr="00DB5D0D">
        <w:rPr>
          <w:rFonts w:ascii="Times New Roman" w:hAnsi="Times New Roman"/>
          <w:color w:val="000000" w:themeColor="text1"/>
          <w:sz w:val="16"/>
          <w:szCs w:val="16"/>
        </w:rPr>
        <w:softHyphen/>
        <w:t>ливались пушки ШВАК (20 мм), Б-20М (20 мм), ША-20М (20 мм), НС-23 (23 мм), Н-37 (37 мм), НС-37 (37 мм).</w:t>
      </w:r>
    </w:p>
    <w:p w14:paraId="2D2928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М-105ПВ (ВК-105ПВ), М-105ПФ с ПЦН от мотора М-1. Создан на заводе № 16 в 1944 г. Номинальная мощность 1320 л.с. В январе 1945 г. испытывался на самолетах Як-3 и Пе-2.</w:t>
      </w:r>
    </w:p>
    <w:p w14:paraId="1EF83A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М-105ПФ с форкамерным зажиганием. Опытный двигатель, сделан</w:t>
      </w:r>
      <w:r w:rsidRPr="00DB5D0D">
        <w:rPr>
          <w:rFonts w:ascii="Times New Roman" w:hAnsi="Times New Roman"/>
          <w:color w:val="000000" w:themeColor="text1"/>
          <w:sz w:val="16"/>
          <w:szCs w:val="16"/>
        </w:rPr>
        <w:softHyphen/>
        <w:t>ный в 1944 г. на заводе № 16 с целью перехода на бензин более низкого качества.</w:t>
      </w:r>
    </w:p>
    <w:p w14:paraId="33EF7B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М-105 «спарка», установка из двух М-105, стоявших друг за другом и работающих на соосные винты; проект 1941 г. Существовали ва</w:t>
      </w:r>
      <w:r w:rsidRPr="00DB5D0D">
        <w:rPr>
          <w:rFonts w:ascii="Times New Roman" w:hAnsi="Times New Roman"/>
          <w:color w:val="000000" w:themeColor="text1"/>
          <w:sz w:val="16"/>
          <w:szCs w:val="16"/>
        </w:rPr>
        <w:softHyphen/>
        <w:t>рианты под тянущие и толкающие винты.</w:t>
      </w:r>
    </w:p>
    <w:p w14:paraId="0563AA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Двигатели семейства М-105 устанавливались на серийных самолетах Ар-2 (СБ-РК), СБ, Як-4 (ББ-22), СПБ(Д) (малая серия, на вооружении не состоял), Пе-2 (ПБ-100), Пе-3, Пе-Збис, Як-1, Як-3, Як-7, Як-9, Ер-2. Они также монтировались на опытных машинах ММН, ВИТ-2, ЭЙ (не</w:t>
      </w:r>
      <w:r w:rsidRPr="00DB5D0D">
        <w:rPr>
          <w:rFonts w:ascii="Times New Roman" w:hAnsi="Times New Roman"/>
          <w:color w:val="000000" w:themeColor="text1"/>
          <w:sz w:val="16"/>
          <w:szCs w:val="16"/>
        </w:rPr>
        <w:softHyphen/>
        <w:t>достроен), Су-1, Су-3, ББ-МАИ, ИП-21, СК-1, СК-2, МДР-6Б, Пе-2ВИ. Использование различных двигателей семейства М-105 предусматривалось в проектах «И», «Д», РК-И.</w:t>
      </w:r>
    </w:p>
    <w:p w14:paraId="5B8B78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Финляндии использовали трофейные М-105ПФ для переделки фран</w:t>
      </w:r>
      <w:r w:rsidRPr="00DB5D0D">
        <w:rPr>
          <w:rFonts w:ascii="Times New Roman" w:hAnsi="Times New Roman"/>
          <w:color w:val="000000" w:themeColor="text1"/>
          <w:sz w:val="16"/>
          <w:szCs w:val="16"/>
        </w:rPr>
        <w:softHyphen/>
        <w:t>цузских истребителей М8.406 в местный вариант под названием «Мерке Мораани» («Моран-оборотень»). На части этих машин установили на мо</w:t>
      </w:r>
      <w:r w:rsidRPr="00DB5D0D">
        <w:rPr>
          <w:rFonts w:ascii="Times New Roman" w:hAnsi="Times New Roman"/>
          <w:color w:val="000000" w:themeColor="text1"/>
          <w:sz w:val="16"/>
          <w:szCs w:val="16"/>
        </w:rPr>
        <w:softHyphen/>
        <w:t>торе не пушки, а трофейные советские же 12,7-мм пулеметы У Б (11852).</w:t>
      </w:r>
    </w:p>
    <w:p w14:paraId="10AC8B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99C8114" w14:textId="77777777" w:rsidR="00A03A42" w:rsidRPr="00DB5D0D" w:rsidRDefault="00A03A42"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Весной 1940 г. новый мотор М-25Д14 мощностью 1400 л.с., чуть позже переименованного в М-80, вы</w:t>
      </w:r>
      <w:r w:rsidRPr="00DB5D0D">
        <w:rPr>
          <w:rFonts w:ascii="Times New Roman" w:hAnsi="Times New Roman"/>
          <w:color w:val="0070C0"/>
          <w:sz w:val="16"/>
          <w:szCs w:val="16"/>
          <w:lang w:eastAsia="ru-RU" w:bidi="ru-RU"/>
        </w:rPr>
        <w:softHyphen/>
        <w:t>ставили на государственные испыта</w:t>
      </w:r>
      <w:r w:rsidRPr="00DB5D0D">
        <w:rPr>
          <w:rFonts w:ascii="Times New Roman" w:hAnsi="Times New Roman"/>
          <w:color w:val="0070C0"/>
          <w:sz w:val="16"/>
          <w:szCs w:val="16"/>
          <w:lang w:eastAsia="ru-RU" w:bidi="ru-RU"/>
        </w:rPr>
        <w:softHyphen/>
        <w:t>ния, но ряд поломок не позволил их за</w:t>
      </w:r>
      <w:r w:rsidRPr="00DB5D0D">
        <w:rPr>
          <w:rFonts w:ascii="Times New Roman" w:hAnsi="Times New Roman"/>
          <w:color w:val="0070C0"/>
          <w:sz w:val="16"/>
          <w:szCs w:val="16"/>
          <w:lang w:eastAsia="ru-RU" w:bidi="ru-RU"/>
        </w:rPr>
        <w:softHyphen/>
        <w:t>вершить. Попытку повторили через год; 22 мая 1941 г. М-82 успешно прошел ис</w:t>
      </w:r>
      <w:r w:rsidRPr="00DB5D0D">
        <w:rPr>
          <w:rFonts w:ascii="Times New Roman" w:hAnsi="Times New Roman"/>
          <w:color w:val="0070C0"/>
          <w:sz w:val="16"/>
          <w:szCs w:val="16"/>
          <w:lang w:eastAsia="ru-RU" w:bidi="ru-RU"/>
        </w:rPr>
        <w:softHyphen/>
        <w:t>пытания. Но еще до их окончания, 13 мая, приняли решение о запуске двигателя в серийное производство, к которому за</w:t>
      </w:r>
      <w:r w:rsidRPr="00DB5D0D">
        <w:rPr>
          <w:rFonts w:ascii="Times New Roman" w:hAnsi="Times New Roman"/>
          <w:color w:val="0070C0"/>
          <w:sz w:val="16"/>
          <w:szCs w:val="16"/>
          <w:lang w:eastAsia="ru-RU" w:bidi="ru-RU"/>
        </w:rPr>
        <w:softHyphen/>
        <w:t>вод №19 сразу же и приступил (21061).</w:t>
      </w:r>
    </w:p>
    <w:p w14:paraId="3410D86C" w14:textId="77777777" w:rsidR="00A03A42" w:rsidRPr="00DB5D0D" w:rsidRDefault="00A03A42" w:rsidP="00DB5D0D">
      <w:pPr>
        <w:spacing w:after="0" w:line="240" w:lineRule="auto"/>
        <w:jc w:val="both"/>
        <w:rPr>
          <w:rFonts w:ascii="Times New Roman" w:hAnsi="Times New Roman"/>
          <w:color w:val="0070C0"/>
          <w:sz w:val="16"/>
          <w:szCs w:val="16"/>
        </w:rPr>
      </w:pPr>
    </w:p>
    <w:p w14:paraId="465D4E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Весной 1940 г. по инициативе Н. И. Камова создается первый в СССР завод винтокрылых аппаратов на станции Ухтомская. Впоследствии именно из этого небольшого предприятия вырос Ухтомский вертолетный завод, носящий сегодня имя своего создателя. Директором завода и главным конструктором назначили Камова, а его заместителем стал М. Л. Миль. В середине 1940 г. на заводе приступили к постройке пяти военных автожиров А-7-За. Летчик Кошиц начал их испытания. Обучались пилотировать винтокрылые машины и военные летчики. В одном из вылетов случилась авария. Летчик при заходе на заводской аэродром не рассчитал дистанцию и приземлился на крышу одного из зданий. К счастью, летчики остались живы, а автожир после ремонта вернулся к полетам. </w:t>
      </w:r>
    </w:p>
    <w:p w14:paraId="04A1F3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началом Великой Отечественной войны из пяти А-7-За сформировали отдельную автожирную эскадрилью — первую часть винтокрылых машин в ВВС Красной Армии. Сам Камов так вспоминал о действиях своих автожиров в боях против фашистских захватчиков: </w:t>
      </w:r>
    </w:p>
    <w:p w14:paraId="53FD31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«Отряд автожиров, организованный Главным артиллерийским управлением, действовал в составе 24-й армии в районе города Ельня и базировался одно время на аэродроме в деревне Подопхай. Летчики отряда под командованием старшего лейтенанта Трофимова совершили целый ряд боевых вылетов для корректировки артогня и в тыл противника к партизанам. Полеты проводились днем и ночью. </w:t>
      </w:r>
    </w:p>
    <w:p w14:paraId="335EA4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Особенно тяжело было проводить ночные полеты. Это был наш первый опыт, а на войне, как говорится, долго не раздумывают. Как только автожиры прибыли к месту расположения, на следующий же день командование приказало готовиться к выполнению боевого задания ночью. Полеты производились в полной темноте. Ни о каких лампах, хотя бы «летучих мышах», даже разговоров не было. Прифронтовой аэродром находился всего в двадцати километрах от передовой. За несколько дней до прибытия автожиров немцы засекли аэродром и девятка «мессеров» разбомбила его в пух и прах. Командир истребительного полка, бывшего на этом аэродроме, все время остерегался очередного налета немцев. Поэтому, как только автожир выруливал из укрытия, чтобы раскрутить винт перед взлетом, вокруг машины начиналась возня и раздавалась ругань: «Взлетай скорее!!! Не канительтесь!» и тому подобное. Ночью взлеты и посадки проводились в полной темноте — только по звуку мотора можно было определить, где машина и что с ней. Если гудит, значит цела...» </w:t>
      </w:r>
    </w:p>
    <w:p w14:paraId="50D6C4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Камов знал это все не из рассказов летчиков и техников. Он побывал на фронте вместе со своим заместителем М. Л. Милем. Главной задачей конструкторов на передовой был ремонт автожиров, подбитых в бою. </w:t>
      </w:r>
    </w:p>
    <w:p w14:paraId="5A39CF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начале октября автожирная эскадрилья перебазируется на восток. Две машины перелетели в 43-ю армию. Два из оставшихся в части А-7-За направили в Москву для ремонта, а на третьем командир эскадрильи Трофимов получил задание срочно доставить донесение в штаб наших войск в Гжатске. В донесении, подписанном руководством 24-й армии, сообщалось о прорыве немцев в районе стыка 24-й и 43-й армий. Полет выполнялся в полной темноте, которая защищала тихоходный аппарат от атак немецких истребителей. Но посадку в таких условиях выполнять было очень сложно. Пилот в сумерках принял лес за земляной покров аэродрома и спарашютировал на него с высоты 10 метров. Автожир получил серьезные повреждения, но Трофимов остался жив, и пакет с донесением был доставлен вовремя. Этот эпизод стал последним в боевой карьере винтокрылого разведчика и корректировщика А-7-За конструкции Н. И. Камова. </w:t>
      </w:r>
    </w:p>
    <w:p w14:paraId="76E110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угрозой захвата Москвы завод из Ухтомской эвакуировали в поселок Билимбай Свердловской области. Здесь Камов и его соратники ремонтировали уцелевшие А-7. Но главный конструктор уже думал о новой винтокрылой машине — «прыгающем» автожире АК (артиллерийский корректировщик), проектирование которого началось перед самой войной. Этот автожир с двигателем МВ-6 (225 л.с.) имел управление несущим винтом как на современных вертолетах — с помощью автомата перекоса, меняющего циклический шаг лопастей. В сложных условиях эвакуации постройка машины оказалась невозможной. ЗаводвБилимбае перепрофилировали на ремонт автомобильной и авиационной техники, а Н. И. Камов смог приступить к конструкторской работе только после войны. К автожирам он больше не возвращался, полностью переключившись на создание вертолетов (11810). </w:t>
      </w:r>
    </w:p>
    <w:p w14:paraId="333E9F6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D62872"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Весной 1940 г. в НИИ ВВС подготовили тактико-технические требования (ТТТ) на новый автожир, после чего их направили в 19-й отдел завода № 156. Этот аппарат, получивший обозначение АК (артиллерий</w:t>
      </w:r>
      <w:r w:rsidRPr="00DB5D0D">
        <w:rPr>
          <w:rFonts w:ascii="Times New Roman" w:hAnsi="Times New Roman"/>
          <w:color w:val="0070C0"/>
          <w:sz w:val="16"/>
          <w:szCs w:val="16"/>
        </w:rPr>
        <w:softHyphen/>
        <w:t>ский корректировщик), стал последним автожиром, разра</w:t>
      </w:r>
      <w:r w:rsidRPr="00DB5D0D">
        <w:rPr>
          <w:rFonts w:ascii="Times New Roman" w:hAnsi="Times New Roman"/>
          <w:color w:val="0070C0"/>
          <w:sz w:val="16"/>
          <w:szCs w:val="16"/>
        </w:rPr>
        <w:softHyphen/>
        <w:t>ботанным Н.И. Камовым в довоенный период. В нем кон</w:t>
      </w:r>
      <w:r w:rsidRPr="00DB5D0D">
        <w:rPr>
          <w:rFonts w:ascii="Times New Roman" w:hAnsi="Times New Roman"/>
          <w:color w:val="0070C0"/>
          <w:sz w:val="16"/>
          <w:szCs w:val="16"/>
        </w:rPr>
        <w:softHyphen/>
        <w:t>структор суммировал все наработки предыдущих лет, спо</w:t>
      </w:r>
      <w:r w:rsidRPr="00DB5D0D">
        <w:rPr>
          <w:rFonts w:ascii="Times New Roman" w:hAnsi="Times New Roman"/>
          <w:color w:val="0070C0"/>
          <w:sz w:val="16"/>
          <w:szCs w:val="16"/>
        </w:rPr>
        <w:softHyphen/>
        <w:t>собные сделать АК самым совершенным аппаратом советской постройки.</w:t>
      </w:r>
    </w:p>
    <w:p w14:paraId="50DA6306"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АК определялся как подвижный наблюдательный пункт и предназначался для придания специализированным ар</w:t>
      </w:r>
      <w:r w:rsidRPr="00DB5D0D">
        <w:rPr>
          <w:rFonts w:ascii="Times New Roman" w:hAnsi="Times New Roman"/>
          <w:color w:val="0070C0"/>
          <w:sz w:val="16"/>
          <w:szCs w:val="16"/>
        </w:rPr>
        <w:softHyphen/>
        <w:t>тиллерийским авиаотрядам. В соответствии с ТТТ, под</w:t>
      </w:r>
      <w:r w:rsidRPr="00DB5D0D">
        <w:rPr>
          <w:rFonts w:ascii="Times New Roman" w:hAnsi="Times New Roman"/>
          <w:color w:val="0070C0"/>
          <w:sz w:val="16"/>
          <w:szCs w:val="16"/>
        </w:rPr>
        <w:softHyphen/>
        <w:t>твержденными Главным Артиллерийским Управлением (ГАУ) автожир, оснащенный двигателем МВ-6 мощнос</w:t>
      </w:r>
      <w:r w:rsidRPr="00DB5D0D">
        <w:rPr>
          <w:rFonts w:ascii="Times New Roman" w:hAnsi="Times New Roman"/>
          <w:color w:val="0070C0"/>
          <w:sz w:val="16"/>
          <w:szCs w:val="16"/>
        </w:rPr>
        <w:softHyphen/>
        <w:t>тью 220 л.с. должен был обладать следующими характе</w:t>
      </w:r>
      <w:r w:rsidRPr="00DB5D0D">
        <w:rPr>
          <w:rFonts w:ascii="Times New Roman" w:hAnsi="Times New Roman"/>
          <w:color w:val="0070C0"/>
          <w:sz w:val="16"/>
          <w:szCs w:val="16"/>
        </w:rPr>
        <w:softHyphen/>
        <w:t>ристиками:</w:t>
      </w:r>
    </w:p>
    <w:p w14:paraId="6515AD33"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fldChar w:fldCharType="begin"/>
      </w:r>
      <w:r w:rsidRPr="00DB5D0D">
        <w:rPr>
          <w:rFonts w:ascii="Times New Roman" w:hAnsi="Times New Roman"/>
          <w:color w:val="0070C0"/>
          <w:sz w:val="16"/>
          <w:szCs w:val="16"/>
        </w:rPr>
        <w:instrText xml:space="preserve"> TOC \o "1-5" \h \z </w:instrText>
      </w:r>
      <w:r w:rsidRPr="00DB5D0D">
        <w:rPr>
          <w:rFonts w:ascii="Times New Roman" w:hAnsi="Times New Roman"/>
          <w:color w:val="0070C0"/>
          <w:sz w:val="16"/>
          <w:szCs w:val="16"/>
        </w:rPr>
        <w:fldChar w:fldCharType="separate"/>
      </w:r>
      <w:r w:rsidRPr="00DB5D0D">
        <w:rPr>
          <w:rFonts w:ascii="Times New Roman" w:hAnsi="Times New Roman"/>
          <w:color w:val="0070C0"/>
          <w:sz w:val="16"/>
          <w:szCs w:val="16"/>
        </w:rPr>
        <w:t>Скорость максимальная у земли (км/ч)</w:t>
      </w:r>
      <w:r w:rsidRPr="00DB5D0D">
        <w:rPr>
          <w:rFonts w:ascii="Times New Roman" w:hAnsi="Times New Roman"/>
          <w:color w:val="0070C0"/>
          <w:sz w:val="16"/>
          <w:szCs w:val="16"/>
        </w:rPr>
        <w:tab/>
        <w:t>200</w:t>
      </w:r>
    </w:p>
    <w:p w14:paraId="0BA27D6F"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Скорость минимальная (км/ч)</w:t>
      </w:r>
      <w:r w:rsidRPr="00DB5D0D">
        <w:rPr>
          <w:rFonts w:ascii="Times New Roman" w:hAnsi="Times New Roman"/>
          <w:color w:val="0070C0"/>
          <w:sz w:val="16"/>
          <w:szCs w:val="16"/>
        </w:rPr>
        <w:tab/>
        <w:t>35</w:t>
      </w:r>
    </w:p>
    <w:p w14:paraId="73B2C11F"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Практический потолок (м)</w:t>
      </w:r>
      <w:r w:rsidRPr="00DB5D0D">
        <w:rPr>
          <w:rFonts w:ascii="Times New Roman" w:hAnsi="Times New Roman"/>
          <w:color w:val="0070C0"/>
          <w:sz w:val="16"/>
          <w:szCs w:val="16"/>
        </w:rPr>
        <w:tab/>
        <w:t>4000</w:t>
      </w:r>
    </w:p>
    <w:p w14:paraId="2BA7AC23"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Разбег в безветрие (м)</w:t>
      </w:r>
      <w:r w:rsidRPr="00DB5D0D">
        <w:rPr>
          <w:rFonts w:ascii="Times New Roman" w:hAnsi="Times New Roman"/>
          <w:color w:val="0070C0"/>
          <w:sz w:val="16"/>
          <w:szCs w:val="16"/>
        </w:rPr>
        <w:tab/>
        <w:t>0</w:t>
      </w:r>
    </w:p>
    <w:p w14:paraId="5A838784"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Пробег при посадке (м)</w:t>
      </w:r>
      <w:r w:rsidRPr="00DB5D0D">
        <w:rPr>
          <w:rFonts w:ascii="Times New Roman" w:hAnsi="Times New Roman"/>
          <w:color w:val="0070C0"/>
          <w:sz w:val="16"/>
          <w:szCs w:val="16"/>
        </w:rPr>
        <w:tab/>
        <w:t>0</w:t>
      </w:r>
    </w:p>
    <w:p w14:paraId="02F2B3C4"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Время набора высоты 3000 м (мин)</w:t>
      </w:r>
      <w:r w:rsidRPr="00DB5D0D">
        <w:rPr>
          <w:rFonts w:ascii="Times New Roman" w:hAnsi="Times New Roman"/>
          <w:color w:val="0070C0"/>
          <w:sz w:val="16"/>
          <w:szCs w:val="16"/>
        </w:rPr>
        <w:tab/>
        <w:t>15,0</w:t>
      </w:r>
    </w:p>
    <w:p w14:paraId="33E70D64"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Дальность на 0,9 Умакс (км)</w:t>
      </w:r>
      <w:r w:rsidRPr="00DB5D0D">
        <w:rPr>
          <w:rFonts w:ascii="Times New Roman" w:hAnsi="Times New Roman"/>
          <w:color w:val="0070C0"/>
          <w:sz w:val="16"/>
          <w:szCs w:val="16"/>
        </w:rPr>
        <w:tab/>
        <w:t>350</w:t>
      </w:r>
    </w:p>
    <w:p w14:paraId="41F98F18"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Экипаж (чел.)</w:t>
      </w:r>
      <w:r w:rsidRPr="00DB5D0D">
        <w:rPr>
          <w:rFonts w:ascii="Times New Roman" w:hAnsi="Times New Roman"/>
          <w:color w:val="0070C0"/>
          <w:sz w:val="16"/>
          <w:szCs w:val="16"/>
        </w:rPr>
        <w:tab/>
        <w:t>2</w:t>
      </w:r>
      <w:r w:rsidRPr="00DB5D0D">
        <w:rPr>
          <w:rFonts w:ascii="Times New Roman" w:hAnsi="Times New Roman"/>
          <w:color w:val="0070C0"/>
          <w:sz w:val="16"/>
          <w:szCs w:val="16"/>
        </w:rPr>
        <w:fldChar w:fldCharType="end"/>
      </w:r>
    </w:p>
    <w:p w14:paraId="1DF36D6D"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 дополнительным требованиям относились: хороший об</w:t>
      </w:r>
      <w:r w:rsidRPr="00DB5D0D">
        <w:rPr>
          <w:rFonts w:ascii="Times New Roman" w:hAnsi="Times New Roman"/>
          <w:color w:val="0070C0"/>
          <w:sz w:val="16"/>
          <w:szCs w:val="16"/>
        </w:rPr>
        <w:softHyphen/>
        <w:t>зор во всех направлениях, складывающийся ротор, приведение в готовность к взлету в течение 15 минут, хорошая устойчивость и управляемость, возможность перевозки со сложенным ротором за автомобилем со скоростью до 40 км/ч.</w:t>
      </w:r>
    </w:p>
    <w:p w14:paraId="1EB9C30B" w14:textId="77777777" w:rsidR="00A03A42" w:rsidRPr="00DB5D0D" w:rsidRDefault="00A03A4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Указанные технические требования 7 марта 1940 г. ут</w:t>
      </w:r>
      <w:r w:rsidRPr="00DB5D0D">
        <w:rPr>
          <w:rFonts w:ascii="Times New Roman" w:hAnsi="Times New Roman"/>
          <w:color w:val="0070C0"/>
          <w:sz w:val="16"/>
          <w:szCs w:val="16"/>
        </w:rPr>
        <w:softHyphen/>
        <w:t>вердил начальник НИИ ВВС Филин (20361).</w:t>
      </w:r>
    </w:p>
    <w:p w14:paraId="577C4BAB" w14:textId="77777777" w:rsidR="00A03A42" w:rsidRPr="00DB5D0D" w:rsidRDefault="00A03A42" w:rsidP="00DB5D0D">
      <w:pPr>
        <w:shd w:val="clear" w:color="auto" w:fill="FFFFFF"/>
        <w:spacing w:after="0" w:line="240" w:lineRule="auto"/>
        <w:jc w:val="both"/>
        <w:rPr>
          <w:rFonts w:ascii="Times New Roman" w:hAnsi="Times New Roman"/>
          <w:color w:val="0070C0"/>
          <w:sz w:val="16"/>
          <w:szCs w:val="16"/>
        </w:rPr>
      </w:pPr>
    </w:p>
    <w:p w14:paraId="0476DD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штат НКАП подвергся безжалостному со</w:t>
      </w:r>
      <w:r w:rsidRPr="00DB5D0D">
        <w:rPr>
          <w:rFonts w:ascii="Times New Roman" w:hAnsi="Times New Roman"/>
          <w:color w:val="000000" w:themeColor="text1"/>
          <w:sz w:val="16"/>
          <w:szCs w:val="16"/>
        </w:rPr>
        <w:softHyphen/>
        <w:t>кращению. Если на 01.01.1940 г. он составлял 7443 челове</w:t>
      </w:r>
      <w:r w:rsidRPr="00DB5D0D">
        <w:rPr>
          <w:rFonts w:ascii="Times New Roman" w:hAnsi="Times New Roman"/>
          <w:color w:val="000000" w:themeColor="text1"/>
          <w:sz w:val="16"/>
          <w:szCs w:val="16"/>
        </w:rPr>
        <w:softHyphen/>
        <w:t>ка, то в мае 1940 г. его урезали до 5363 человек, из которых 2507 работали в центральном аппарате, 2536 приходилось на органы снабжения, а 330 человек распределялись среди про</w:t>
      </w:r>
      <w:r w:rsidRPr="00DB5D0D">
        <w:rPr>
          <w:rFonts w:ascii="Times New Roman" w:hAnsi="Times New Roman"/>
          <w:color w:val="000000" w:themeColor="text1"/>
          <w:sz w:val="16"/>
          <w:szCs w:val="16"/>
        </w:rPr>
        <w:softHyphen/>
        <w:t>чих учреждений (Оборонгиз и т.п.) (12011).</w:t>
      </w:r>
    </w:p>
    <w:p w14:paraId="5F09695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1B4A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Наркомат внутренних дел приступил к строительству в районе Куйбышева авиационных заводов №№ 122 и 295, а также моторостроительного завода №377 (9056).</w:t>
      </w:r>
    </w:p>
    <w:p w14:paraId="3CF5DDC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4AB0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на совещании в ЦАГИ ГК самолетов были проинформированы о перспективных силовых установках с реактивными двигателями разных типов (в основном ЖРД и ПВРД) (237,191).</w:t>
      </w:r>
    </w:p>
    <w:p w14:paraId="2F65E77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6D0901" w14:textId="77777777" w:rsidR="002313B9" w:rsidRPr="00DB5D0D" w:rsidRDefault="00231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состоялось совещание, на котором главные конструкторы самолетов были проинформированы о новых перспективных силовых установках с реактивными двигателями различных типов, в основном с ЖРД и ПВРД. По всей видимости, причиной совещания послужили разведданные о существовании у немцев программы создания ракетного истребителя-перехватчика (19727).</w:t>
      </w:r>
    </w:p>
    <w:p w14:paraId="38FF7096" w14:textId="77777777" w:rsidR="002313B9" w:rsidRPr="00DB5D0D" w:rsidRDefault="002313B9" w:rsidP="00DB5D0D">
      <w:pPr>
        <w:spacing w:after="0" w:line="240" w:lineRule="auto"/>
        <w:jc w:val="both"/>
        <w:rPr>
          <w:rFonts w:ascii="Times New Roman" w:hAnsi="Times New Roman"/>
          <w:color w:val="000000" w:themeColor="text1"/>
          <w:sz w:val="16"/>
          <w:szCs w:val="16"/>
        </w:rPr>
      </w:pPr>
    </w:p>
    <w:p w14:paraId="3A8F02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НКАП создал ЛИИ на основе летно-технической группы М.М.Громова. Полностью развернулся к весне 1941. В числе задач был и контроль соответствия серийных машин эталонным (173,201).</w:t>
      </w:r>
    </w:p>
    <w:p w14:paraId="1B6C852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3C6E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в докладе начальника ВВС КА комкора Смушкевича и начальника ГУАС КА комдива Алексеева А.А.Жданову в ходе финской войны также говорилось: «...кроме того, в изготовлении находится первая установочная партия в 50 штук уже испытанных ракетных бетонобойных бомб БЕТАБ-305 мм (12-дюймовых). Перед НКБ ставится вопрос о срочном ее изготовлении для испытания в боевых условиях». По-видимому, БЕТАБ-150ДС не во всех случаях вела себя безупречно, и для борьбы с ДОТами линии Маннергейма требовались более мощные авиабомбы (7453).</w:t>
      </w:r>
    </w:p>
    <w:p w14:paraId="0273753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6437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было письмо главному инженеру завода №11 НКБ от главного инженера 2-ю ГУ НКБ Черкасова: «Предлагаю в мае или июне снарядить 10 штук 140-мм снарядов дымсмесью А-12. Снаряжание проведите в присутствии представителя НИИ-3 Артемьева или Бардюкова в представленные ими корпуса. После снаряжания испытайте сжиганием на определение вре</w:t>
      </w:r>
      <w:r w:rsidRPr="00DB5D0D">
        <w:rPr>
          <w:rFonts w:ascii="Times New Roman" w:hAnsi="Times New Roman"/>
          <w:color w:val="000000" w:themeColor="text1"/>
          <w:sz w:val="16"/>
          <w:szCs w:val="16"/>
        </w:rPr>
        <w:softHyphen/>
        <w:t>мени горения». Таким образом, получился снаряд РДС-140 (11402).</w:t>
      </w:r>
    </w:p>
    <w:p w14:paraId="79BA29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5D99875" w14:textId="77777777" w:rsidR="00C248E2" w:rsidRPr="00DB5D0D" w:rsidRDefault="00C248E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Весной 1940 г. в ЦАГИ состоялось совещание, на котором главные конструкторы самолётов были проинформированы о новых перспективных реактивных установках. Это послужило стимулом к проектированию боевых реактивных самолётов: истребителей-перехватчиков БИ с жидкостным ракетным двигателем и «302» с комбинированной силовой установкой (ЖРД + прямоточный воздушно-реактивный двигатель). Как свидетельствует документ, разработка последнего началась в НИИ-3 уже в июне 1940 г., почти сразу же после испытаний 318-1 </w:t>
      </w:r>
      <w:hyperlink r:id="rId75" w:history="1">
        <w:r w:rsidRPr="00DB5D0D">
          <w:rPr>
            <w:rFonts w:ascii="Times New Roman" w:eastAsia="Times New Roman" w:hAnsi="Times New Roman"/>
            <w:color w:val="000000" w:themeColor="text1"/>
            <w:sz w:val="16"/>
            <w:szCs w:val="16"/>
            <w:lang w:eastAsia="ru-RU"/>
          </w:rPr>
          <w:t>[278]</w:t>
        </w:r>
      </w:hyperlink>
      <w:r w:rsidRPr="00DB5D0D">
        <w:rPr>
          <w:rFonts w:ascii="Times New Roman" w:eastAsia="Times New Roman" w:hAnsi="Times New Roman"/>
          <w:color w:val="000000" w:themeColor="text1"/>
          <w:sz w:val="16"/>
          <w:szCs w:val="16"/>
          <w:lang w:eastAsia="ru-RU"/>
        </w:rPr>
        <w:t xml:space="preserve"> . К проектированию самолёта БИ приступили в ОКБ B. Ф. Болховитинова позже, весной 1941 г., но именно эта машина стала первым в СССР опытным ракетным истребителем. Её лётные испытания начались 15 мая 1942 г.</w:t>
      </w:r>
    </w:p>
    <w:p w14:paraId="37BAB937" w14:textId="77777777" w:rsidR="00C248E2" w:rsidRPr="00DB5D0D" w:rsidRDefault="00C248E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Когда проводились полёты на 318-1, в СССР полагали, что это первые в мире испытания ракетного самолёта (так, наверное, и было бы, если бы не арест Королёва). Позднее выяснилось, что в июне 1939 г. в Германии в обстановке секретности прошли испытания экспериментального Не 176 с ЖРД тягой 500 кгс. Благодаря такой большой тяге самолёт взлетал самостоятельно, однако продолжительность полёта была менее минуты. Первый и единственный в мире серийный перехватчик с ракетным двигателем Мессершмитт Ме-163В появился на вооружении в 1944 г.</w:t>
      </w:r>
    </w:p>
    <w:p w14:paraId="11603E70" w14:textId="77777777" w:rsidR="00C248E2" w:rsidRPr="00DB5D0D" w:rsidRDefault="00C248E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Из-за очень большого расхода топлива самолёты с ЖРД не получили распространения. Но их создание и испытания продемонстрировали возможность полёта с помощью реактивной тяги, что явилось необходимым шагом к появлению реактивной авиации. Среди пионеров этого направления были C. П. Королёв и его единомышленники.</w:t>
      </w:r>
    </w:p>
    <w:p w14:paraId="3447FECB" w14:textId="77777777" w:rsidR="00C248E2" w:rsidRPr="00DB5D0D" w:rsidRDefault="00C248E2" w:rsidP="00DB5D0D">
      <w:pPr>
        <w:spacing w:after="0" w:line="240" w:lineRule="auto"/>
        <w:jc w:val="both"/>
        <w:rPr>
          <w:rFonts w:ascii="Times New Roman" w:eastAsia="Times New Roman" w:hAnsi="Times New Roman"/>
          <w:color w:val="000000" w:themeColor="text1"/>
          <w:sz w:val="16"/>
          <w:szCs w:val="16"/>
          <w:lang w:eastAsia="ru-RU"/>
        </w:rPr>
      </w:pPr>
    </w:p>
    <w:p w14:paraId="68D6B736" w14:textId="77777777" w:rsidR="00D212B0" w:rsidRPr="00DB5D0D" w:rsidRDefault="00D212B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Весной 1940 года экипаж под руководством Водопьянова на самолете Г-2 «Н-170» совершил первый трансарктический коммерческий рейс по маршруту Москва – Архангельск – Амдерма – Игарка – бухта Кожевникова – Нордвик – Тикси – Амбарчик – мыс Шмидта – Анадырь и обратно. В состав экипажа самолета вошли второй пилот А.М. Тягунин, штурман А.П. Штепенко, радист В.Ф. Богданов и бортмеханики: Ф.И. Бассейн, Ю.А. Бесфамильный, В.М. Латыгин. Вылетев из Москвы 23 марта, экипаж доставил на Чукотку 13 пассажиров и 2700 кг различных грузов. В Москву 24 апреля на «Н-170» вернулись 24 пассажира. Всего за 90 летных часов самолет преодолел 16230 км (21249).</w:t>
      </w:r>
    </w:p>
    <w:p w14:paraId="103F711B" w14:textId="77777777" w:rsidR="00D212B0" w:rsidRPr="00DB5D0D" w:rsidRDefault="00D212B0"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49067CC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8ECA4C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979FD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были испытаны стержневой и бесстержневой корабельные бомбометы БМБ-1 и БМБ-2 Н.Д.Тощева и А.П.Тютюнина, разработанные в КБ Б.И.Шавырина с зимы 1939. Бросали бомбы на 120 м (1068,59).</w:t>
      </w:r>
    </w:p>
    <w:p w14:paraId="67F71D6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E2F0B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конструкторами А.Е.Поповым и Нухманом с учетом опыта войны с Финляндией были предложены проекты сверхтяжелых танков ВЛ-С1, ВЛ-С2 и ВЛ-С3 (Владимир Ленин) массой от 260 до 430 т в зависимости от установленного вооружения. Основное оружие - 130 мм морская пушка Б-13 во вращающейся башне или 305 мм Б-23 в такой же башне + 2х76 мм. Броня - 60-125 мм, сдвоенные гусеницы (9527,155).</w:t>
      </w:r>
    </w:p>
    <w:p w14:paraId="3DC9976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C1EB4F" w14:textId="77777777" w:rsidR="00CD6F97" w:rsidRPr="00DB5D0D" w:rsidRDefault="00CD6F9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несмотря на то, что к моменту принятия танка КВ на вооружение его броня не пробивалось ни одной противотанковой пушкой, руководство Красной Армии обсуждало возможность создания еще более толстобронных машин. Этот вопрос несколько раз обсуждался и в главном автобронетанковом управлении Красной Армии (ГАБТУ КА), и в руководстве наркомата тяжелого машиностроения (в его состав входил Кировский завод, занимавшийся разработкой и производством танков КВ). Результаты обсуждений доложили «наверх», и 17 июня 1940 года Совет народных комиссаров СССР и Центральный комитет ВКП(б) приняли постановление № 1288-495сс в котором, в частности, говорилось:</w:t>
      </w:r>
    </w:p>
    <w:p w14:paraId="1F6D2BF0" w14:textId="77777777" w:rsidR="00CD6F97" w:rsidRPr="00DB5D0D" w:rsidRDefault="00CD6F9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ноября 1940 года Кировскому заводу изготовить два танка КВ с броней 90 мм: один с пушкой 76 мм Ф-32, другой с пушкой 85 мм. Один корпус будет подан с Ижорского завода в конце октября, изготовление танка намечено закончить к 5 ноября. Второй корпус будет изготовлен в ноябре.</w:t>
      </w:r>
    </w:p>
    <w:p w14:paraId="3A3B61F1" w14:textId="77777777" w:rsidR="00CD6F97" w:rsidRPr="00DB5D0D" w:rsidRDefault="00CD6F97" w:rsidP="00DB5D0D">
      <w:pPr>
        <w:pStyle w:val="ae"/>
        <w:spacing w:before="0" w:after="0"/>
        <w:jc w:val="both"/>
        <w:rPr>
          <w:color w:val="000000" w:themeColor="text1"/>
          <w:sz w:val="16"/>
          <w:szCs w:val="16"/>
        </w:rPr>
      </w:pPr>
      <w:r w:rsidRPr="00DB5D0D">
        <w:rPr>
          <w:color w:val="000000" w:themeColor="text1"/>
          <w:sz w:val="16"/>
          <w:szCs w:val="16"/>
        </w:rPr>
        <w:t>К 1 декабря 1940 года Кировскому заводу изготовить два танка КВ с броней 100 мм: один с пушкой 76 мм Ф-32, другой с пушкой 85 мм. Один корпус будет подан в конце октября, второй в ноябре».</w:t>
      </w:r>
    </w:p>
    <w:p w14:paraId="13292688" w14:textId="77777777" w:rsidR="00CD6F97" w:rsidRPr="00DB5D0D" w:rsidRDefault="00CD6F97" w:rsidP="00DB5D0D">
      <w:pPr>
        <w:pStyle w:val="ae"/>
        <w:spacing w:before="0" w:after="0"/>
        <w:jc w:val="both"/>
        <w:rPr>
          <w:color w:val="000000" w:themeColor="text1"/>
          <w:sz w:val="16"/>
          <w:szCs w:val="16"/>
        </w:rPr>
      </w:pPr>
      <w:r w:rsidRPr="00DB5D0D">
        <w:rPr>
          <w:color w:val="000000" w:themeColor="text1"/>
          <w:sz w:val="16"/>
          <w:szCs w:val="16"/>
        </w:rPr>
        <w:t>Как видно из приведенного документа, предполагалось не только усилить броню, но и вооружение тяжелых танков путем установки пушки калибра 85-мм (17434).</w:t>
      </w:r>
    </w:p>
    <w:p w14:paraId="2CB7E9ED" w14:textId="77777777" w:rsidR="00CD6F97" w:rsidRPr="00DB5D0D" w:rsidRDefault="00CD6F97" w:rsidP="00DB5D0D">
      <w:pPr>
        <w:pStyle w:val="ae"/>
        <w:spacing w:before="0" w:after="0"/>
        <w:jc w:val="both"/>
        <w:rPr>
          <w:color w:val="000000" w:themeColor="text1"/>
          <w:sz w:val="16"/>
          <w:szCs w:val="16"/>
        </w:rPr>
      </w:pPr>
    </w:p>
    <w:p w14:paraId="2695FD9E" w14:textId="77777777" w:rsidR="00A5370D" w:rsidRPr="00DB5D0D" w:rsidRDefault="00A5370D"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Весной 1940 года впервые прозвучала идея, что танк КВ требует улучшения. Дело в том, что на вооружение КВ был принят с пушкой Ф-32, производство которой задержалось, поэтому до января 1941 года танк оснащался Л-11. Несмотря на то, что Ф-32 была конструктивно лучше, чем Л-11, особой разницы между ними не было.</w:t>
      </w:r>
    </w:p>
    <w:p w14:paraId="632F6C0A" w14:textId="77777777" w:rsidR="00A5370D" w:rsidRPr="00DB5D0D" w:rsidRDefault="00A5370D"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Оба орудия базировались на баллистике 76-мм зенитной пушки системы Лендера образца аж 1914/15 гг с чуть повышенной (с 592 до 613 м/с) начальной скоростью снаряда. С одной стороны, Л-11 обладала вполне удовлетворительными характеристиками. На дистанции в 1000 метров она пробивала броню толщиной 43 мм, поставленную под углом 30 градусов. С другой стороны, при толщине брони в 75 мм КВ-1 не мог такой пушкой пробить себе подобного. К тому же, танковую пушку на базе зенитного орудия Лендера разрабатывали на Кировском заводе ещё в 1935 году. Носила та система индекс Л-7, и дальше опытных работ дело тогда не продвинулось. Наконец, Л-11 ставилась и в Т-34, а ситуацию, когда средний и тяжёлый танк имеют одинаковую пушку, военные справедливо считали ненормальной.</w:t>
      </w:r>
    </w:p>
    <w:p w14:paraId="2D50AD13" w14:textId="77777777" w:rsidR="00A5370D" w:rsidRPr="00DB5D0D" w:rsidRDefault="00A5370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Закономерным результатом этой ситуации стали предложения по улучшению системы танкового вооружения (17642).</w:t>
      </w:r>
    </w:p>
    <w:p w14:paraId="0B0C8BE5" w14:textId="77777777" w:rsidR="00A5370D" w:rsidRPr="00DB5D0D" w:rsidRDefault="00A5370D" w:rsidP="00DB5D0D">
      <w:pPr>
        <w:spacing w:after="0" w:line="240" w:lineRule="auto"/>
        <w:jc w:val="both"/>
        <w:rPr>
          <w:rFonts w:ascii="Times New Roman" w:eastAsia="Times New Roman" w:hAnsi="Times New Roman"/>
          <w:color w:val="000000" w:themeColor="text1"/>
          <w:sz w:val="16"/>
          <w:szCs w:val="16"/>
          <w:lang w:eastAsia="ru-RU"/>
        </w:rPr>
      </w:pPr>
    </w:p>
    <w:p w14:paraId="7B5F89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в конструкторском бюро завода № 92 в Горьком группой П. Муравьева под руководством В. Грабина началась разработка Ф-34 завода №. Для ускорения работ были использованы проект 76-мм пушки большой мошности Ф-27 и орудие Ф-32, предназначенное для вооружения танков КВ и уже существовавшее в «металле». В результате конструкторам удалось уложиться в очень короткие сроки, а новое орудие получилось недорогим и простым в производстве. В мае 1940 года первый опытный образец Ф-34 прошел испытания на АНИОПе, при этом начальная скорость снаряда получена 680 м/с.</w:t>
      </w:r>
    </w:p>
    <w:p w14:paraId="1B285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директор и главный конструктор завода № 92 сообщили в артиллерийский комитет ГАУ и в АБТУ КА:</w:t>
      </w:r>
    </w:p>
    <w:p w14:paraId="76CB06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известно, что 76,2-мм танковая пушка Ф-34 выдержала полигонные испытания с оценкой на «хорошо». Просим дать заключение об использовании данной пушки в системе вооружения Красной Армии».</w:t>
      </w:r>
    </w:p>
    <w:p w14:paraId="65D065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своим баллистическим данным Ф-34 превосходила Л-11, к тому же была значительно проще и дешевле. Поэтому 13 июня 1940 года нарком обороны вышел в Совет народных комиссаров СССР со следующим предложением:</w:t>
      </w:r>
    </w:p>
    <w:p w14:paraId="06CFCB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«Т-34 вооружить пушкой Ф-34 и пулеметами ДС с утолщенными стволами. Как временная мера, на 1940 год Т-34 № 1. ввиду недостатка Ф-32 вооружать 45-мм пушкой, а Т-34 №2 - пушкой Ф-32. До изготовления в достаточном количестве Ф-34 и ДС оставить на 1940 год на вооружении танков пушки Л-11 и пулемет ДТ» (12217).</w:t>
      </w:r>
    </w:p>
    <w:p w14:paraId="6CC89E0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644A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протяжении весны 1940 г. ка уровне правительства велись консультации о возможности кардинального увеличения выпуска Т-34. Основные пути были намечены еще в апреле 1940 г. Как было сказано в предыдущем разделе, увеличить выпуск танков планировалось за счет расширения производственных площадей действую</w:t>
      </w:r>
      <w:r w:rsidRPr="00DB5D0D">
        <w:rPr>
          <w:rFonts w:ascii="Times New Roman" w:hAnsi="Times New Roman"/>
          <w:color w:val="000000" w:themeColor="text1"/>
          <w:sz w:val="16"/>
          <w:szCs w:val="16"/>
        </w:rPr>
        <w:softHyphen/>
        <w:t>щих заводов, оснащения их дополнительным оборудованием и улуч</w:t>
      </w:r>
      <w:r w:rsidRPr="00DB5D0D">
        <w:rPr>
          <w:rFonts w:ascii="Times New Roman" w:hAnsi="Times New Roman"/>
          <w:color w:val="000000" w:themeColor="text1"/>
          <w:sz w:val="16"/>
          <w:szCs w:val="16"/>
        </w:rPr>
        <w:softHyphen/>
        <w:t>шения снабжения и финансирования (11901).</w:t>
      </w:r>
    </w:p>
    <w:p w14:paraId="0D9DA5E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F24829" w14:textId="77777777" w:rsidR="00A25AD1" w:rsidRPr="00DB5D0D" w:rsidRDefault="00A25AD1" w:rsidP="00DB5D0D">
      <w:pPr>
        <w:pStyle w:val="a3"/>
        <w:rPr>
          <w:color w:val="000000" w:themeColor="text1"/>
          <w:lang w:val="ru-RU"/>
        </w:rPr>
      </w:pPr>
      <w:r w:rsidRPr="00DB5D0D">
        <w:rPr>
          <w:color w:val="000000" w:themeColor="text1"/>
          <w:lang w:val="ru-RU"/>
        </w:rPr>
        <w:t>Весной 1940 г. на самом высоком уровне рассматривался вопрос о значи</w:t>
      </w:r>
      <w:r w:rsidRPr="00DB5D0D">
        <w:rPr>
          <w:color w:val="000000" w:themeColor="text1"/>
          <w:lang w:val="ru-RU"/>
        </w:rPr>
        <w:softHyphen/>
        <w:t>тельном увеличении плана по выпуску танка Т-34 в 1940 г. Если изна</w:t>
      </w:r>
      <w:r w:rsidRPr="00DB5D0D">
        <w:rPr>
          <w:color w:val="000000" w:themeColor="text1"/>
          <w:lang w:val="ru-RU"/>
        </w:rPr>
        <w:softHyphen/>
        <w:t>чально (согласно постановлению №443сс от 19 декабря 1939 г.) пла</w:t>
      </w:r>
      <w:r w:rsidRPr="00DB5D0D">
        <w:rPr>
          <w:color w:val="000000" w:themeColor="text1"/>
          <w:lang w:val="ru-RU"/>
        </w:rPr>
        <w:softHyphen/>
        <w:t>нировалось собрать первые десять танков установочной серии в сен</w:t>
      </w:r>
      <w:r w:rsidRPr="00DB5D0D">
        <w:rPr>
          <w:color w:val="000000" w:themeColor="text1"/>
          <w:lang w:val="ru-RU"/>
        </w:rPr>
        <w:softHyphen/>
        <w:t>тябре, а всего за 1940 г. изготовить 220 машин, то весной Комитет обороны пришел к выводу, что этого количества новых танков для нужд РККА явно недостаточно.</w:t>
      </w:r>
    </w:p>
    <w:p w14:paraId="30C74468" w14:textId="77777777" w:rsidR="00A25AD1" w:rsidRPr="00DB5D0D" w:rsidRDefault="00A25AD1" w:rsidP="00DB5D0D">
      <w:pPr>
        <w:pStyle w:val="a3"/>
        <w:rPr>
          <w:color w:val="000000" w:themeColor="text1"/>
          <w:lang w:val="ru-RU"/>
        </w:rPr>
      </w:pPr>
      <w:r w:rsidRPr="00DB5D0D">
        <w:rPr>
          <w:color w:val="000000" w:themeColor="text1"/>
          <w:lang w:val="ru-RU"/>
        </w:rPr>
        <w:t>Дело в том, что в начале 1940 г. происходил пересмотр дей</w:t>
      </w:r>
      <w:r w:rsidRPr="00DB5D0D">
        <w:rPr>
          <w:color w:val="000000" w:themeColor="text1"/>
          <w:lang w:val="ru-RU"/>
        </w:rPr>
        <w:softHyphen/>
        <w:t>ствующей системы вооружения и организации бронетанковых войск Красной Армии. Под председательством начальника АБТУ Д.Г. Павлова была создана специальная комиссия, целью кото</w:t>
      </w:r>
      <w:r w:rsidRPr="00DB5D0D">
        <w:rPr>
          <w:color w:val="000000" w:themeColor="text1"/>
          <w:lang w:val="ru-RU"/>
        </w:rPr>
        <w:softHyphen/>
        <w:t>рой являлось выявление путей оптимизации как системы воору</w:t>
      </w:r>
      <w:r w:rsidRPr="00DB5D0D">
        <w:rPr>
          <w:color w:val="000000" w:themeColor="text1"/>
          <w:lang w:val="ru-RU"/>
        </w:rPr>
        <w:softHyphen/>
        <w:t>жения, так и самой организации танковых войск. Всесторонне изучив доклады комиссии, основанные на боевом опыте после</w:t>
      </w:r>
      <w:r w:rsidRPr="00DB5D0D">
        <w:rPr>
          <w:color w:val="000000" w:themeColor="text1"/>
          <w:lang w:val="ru-RU"/>
        </w:rPr>
        <w:softHyphen/>
        <w:t>дних военных конфликтов, а также учитывая сложную междуна</w:t>
      </w:r>
      <w:r w:rsidRPr="00DB5D0D">
        <w:rPr>
          <w:color w:val="000000" w:themeColor="text1"/>
          <w:lang w:val="ru-RU"/>
        </w:rPr>
        <w:softHyphen/>
        <w:t>родную обстановку, руководство страны пришло к выводу о необ</w:t>
      </w:r>
      <w:r w:rsidRPr="00DB5D0D">
        <w:rPr>
          <w:color w:val="000000" w:themeColor="text1"/>
          <w:lang w:val="ru-RU"/>
        </w:rPr>
        <w:softHyphen/>
        <w:t>ходимости скорейшего перевооружения РККА новыми образцами бронетанковой техники. В качестве иллюстрации приведем вы</w:t>
      </w:r>
      <w:r w:rsidRPr="00DB5D0D">
        <w:rPr>
          <w:color w:val="000000" w:themeColor="text1"/>
          <w:lang w:val="ru-RU"/>
        </w:rPr>
        <w:softHyphen/>
        <w:t>держки из доклада комиссии, объясняющего крайнюю важность модернизации бронетанковых войск:</w:t>
      </w:r>
    </w:p>
    <w:p w14:paraId="679818D4"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В настоящее время на вооружении танковых войск Красной Ар</w:t>
      </w:r>
      <w:r w:rsidRPr="00DB5D0D">
        <w:rPr>
          <w:rFonts w:ascii="Times New Roman" w:hAnsi="Times New Roman" w:cs="Times New Roman"/>
          <w:i w:val="0"/>
          <w:iCs w:val="0"/>
          <w:color w:val="000000" w:themeColor="text1"/>
          <w:spacing w:val="0"/>
          <w:sz w:val="16"/>
          <w:szCs w:val="16"/>
          <w:lang w:val="ru-RU"/>
        </w:rPr>
        <w:softHyphen/>
        <w:t>мии состоит ДЕСЯТЬ типов танков (Т-27, Т-37, Т-38, Т-26, БТ-2, БТ-5, БТ-7, БТ-7с дизелем, Т-28, Т-35) и на их базе ряд танков специаль</w:t>
      </w:r>
      <w:r w:rsidRPr="00DB5D0D">
        <w:rPr>
          <w:rFonts w:ascii="Times New Roman" w:hAnsi="Times New Roman" w:cs="Times New Roman"/>
          <w:i w:val="0"/>
          <w:iCs w:val="0"/>
          <w:color w:val="000000" w:themeColor="text1"/>
          <w:spacing w:val="0"/>
          <w:sz w:val="16"/>
          <w:szCs w:val="16"/>
          <w:lang w:val="ru-RU"/>
        </w:rPr>
        <w:softHyphen/>
        <w:t>ного назначения (артиллерийские, химические, инженерные, теле</w:t>
      </w:r>
      <w:r w:rsidRPr="00DB5D0D">
        <w:rPr>
          <w:rFonts w:ascii="Times New Roman" w:hAnsi="Times New Roman" w:cs="Times New Roman"/>
          <w:i w:val="0"/>
          <w:iCs w:val="0"/>
          <w:color w:val="000000" w:themeColor="text1"/>
          <w:spacing w:val="0"/>
          <w:sz w:val="16"/>
          <w:szCs w:val="16"/>
          <w:lang w:val="ru-RU"/>
        </w:rPr>
        <w:softHyphen/>
        <w:t>танки). Характеристика этих машин в приложении №1.</w:t>
      </w:r>
    </w:p>
    <w:p w14:paraId="50FD6F0E"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Такая многотипность танков создает большие затруднения в ра</w:t>
      </w:r>
      <w:r w:rsidRPr="00DB5D0D">
        <w:rPr>
          <w:rFonts w:ascii="Times New Roman" w:hAnsi="Times New Roman" w:cs="Times New Roman"/>
          <w:i w:val="0"/>
          <w:iCs w:val="0"/>
          <w:color w:val="000000" w:themeColor="text1"/>
          <w:spacing w:val="0"/>
          <w:sz w:val="16"/>
          <w:szCs w:val="16"/>
          <w:lang w:val="ru-RU"/>
        </w:rPr>
        <w:softHyphen/>
        <w:t>боте танковых войск, усложняет эксплоатацию и ремонт, снабжение запасными частями и подготовку кадров. Разные же такгико-техни- ческие показатели (скорость, проходимость, бронирование и воору</w:t>
      </w:r>
      <w:r w:rsidRPr="00DB5D0D">
        <w:rPr>
          <w:rFonts w:ascii="Times New Roman" w:hAnsi="Times New Roman" w:cs="Times New Roman"/>
          <w:i w:val="0"/>
          <w:iCs w:val="0"/>
          <w:color w:val="000000" w:themeColor="text1"/>
          <w:spacing w:val="0"/>
          <w:sz w:val="16"/>
          <w:szCs w:val="16"/>
          <w:lang w:val="ru-RU"/>
        </w:rPr>
        <w:softHyphen/>
        <w:t>жение) этих боевых машин, действующих в одном соединении, при</w:t>
      </w:r>
      <w:r w:rsidRPr="00DB5D0D">
        <w:rPr>
          <w:rFonts w:ascii="Times New Roman" w:hAnsi="Times New Roman" w:cs="Times New Roman"/>
          <w:i w:val="0"/>
          <w:iCs w:val="0"/>
          <w:color w:val="000000" w:themeColor="text1"/>
          <w:spacing w:val="0"/>
          <w:sz w:val="16"/>
          <w:szCs w:val="16"/>
          <w:lang w:val="ru-RU"/>
        </w:rPr>
        <w:softHyphen/>
        <w:t>водит и к ненормальному их боевому использованию.</w:t>
      </w:r>
    </w:p>
    <w:p w14:paraId="259A5776"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Существующие типы танков способны лишь вести борьбу с не</w:t>
      </w:r>
      <w:r w:rsidRPr="00DB5D0D">
        <w:rPr>
          <w:rFonts w:ascii="Times New Roman" w:hAnsi="Times New Roman" w:cs="Times New Roman"/>
          <w:i w:val="0"/>
          <w:iCs w:val="0"/>
          <w:color w:val="000000" w:themeColor="text1"/>
          <w:spacing w:val="0"/>
          <w:sz w:val="16"/>
          <w:szCs w:val="16"/>
          <w:lang w:val="ru-RU"/>
        </w:rPr>
        <w:softHyphen/>
        <w:t>защищенной пехотой противника и подавлять ее пулеметы. В борь</w:t>
      </w:r>
      <w:r w:rsidRPr="00DB5D0D">
        <w:rPr>
          <w:rFonts w:ascii="Times New Roman" w:hAnsi="Times New Roman" w:cs="Times New Roman"/>
          <w:i w:val="0"/>
          <w:iCs w:val="0"/>
          <w:color w:val="000000" w:themeColor="text1"/>
          <w:spacing w:val="0"/>
          <w:sz w:val="16"/>
          <w:szCs w:val="16"/>
          <w:lang w:val="ru-RU"/>
        </w:rPr>
        <w:softHyphen/>
        <w:t>бе же с организованной противотанковой обороной противника, как показал опыт боев, танковые соединения несут большие потери вследствие слабого бронирования танков. Телетанки, ввиду слож</w:t>
      </w:r>
      <w:r w:rsidRPr="00DB5D0D">
        <w:rPr>
          <w:rFonts w:ascii="Times New Roman" w:hAnsi="Times New Roman" w:cs="Times New Roman"/>
          <w:i w:val="0"/>
          <w:iCs w:val="0"/>
          <w:color w:val="000000" w:themeColor="text1"/>
          <w:spacing w:val="0"/>
          <w:sz w:val="16"/>
          <w:szCs w:val="16"/>
          <w:lang w:val="ru-RU"/>
        </w:rPr>
        <w:softHyphen/>
        <w:t>ности спец.аппаратуры и ненадежности действия, себя совершенно не оправдали.</w:t>
      </w:r>
    </w:p>
    <w:p w14:paraId="2D1A0882"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Style w:val="221"/>
          <w:rFonts w:ascii="Times New Roman" w:hAnsi="Times New Roman" w:cs="Times New Roman"/>
          <w:color w:val="000000" w:themeColor="text1"/>
          <w:spacing w:val="0"/>
          <w:sz w:val="16"/>
          <w:szCs w:val="16"/>
          <w:lang w:val="ru-RU"/>
        </w:rPr>
        <w:t>ПРЕДЛОЖЕНИЯ КОМИССИИ, а) По новым образцам.</w:t>
      </w:r>
    </w:p>
    <w:p w14:paraId="5AC5375F"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Учитывая боевой опыт танковых войск в Испании, на Хасане, в Монголии и Финляндии, а также предъявляемые требования к тан</w:t>
      </w:r>
      <w:r w:rsidRPr="00DB5D0D">
        <w:rPr>
          <w:rFonts w:ascii="Times New Roman" w:hAnsi="Times New Roman" w:cs="Times New Roman"/>
          <w:i w:val="0"/>
          <w:iCs w:val="0"/>
          <w:color w:val="000000" w:themeColor="text1"/>
          <w:spacing w:val="0"/>
          <w:sz w:val="16"/>
          <w:szCs w:val="16"/>
          <w:lang w:val="ru-RU"/>
        </w:rPr>
        <w:softHyphen/>
        <w:t>кам в современном бою, Комиссия считает необходимым иметь на вооружении Красной Армии следующие типы танков:</w:t>
      </w:r>
    </w:p>
    <w:p w14:paraId="5AEA10AD" w14:textId="77777777" w:rsidR="00A25AD1" w:rsidRPr="00DB5D0D" w:rsidRDefault="00A25AD1" w:rsidP="00DB5D0D">
      <w:pPr>
        <w:pStyle w:val="2210"/>
        <w:shd w:val="clear" w:color="auto" w:fill="auto"/>
        <w:tabs>
          <w:tab w:val="left" w:pos="516"/>
        </w:tabs>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lastRenderedPageBreak/>
        <w:t>1)ТЯЖЕЛЫЙ ТАНК«КВ» ...</w:t>
      </w:r>
    </w:p>
    <w:p w14:paraId="608E9C88"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Б. СРЕДНИЙ ТАНК Т-34...</w:t>
      </w:r>
    </w:p>
    <w:p w14:paraId="5A17E585" w14:textId="77777777" w:rsidR="00A25AD1" w:rsidRPr="00DB5D0D" w:rsidRDefault="00A25AD1" w:rsidP="00DB5D0D">
      <w:pPr>
        <w:pStyle w:val="2210"/>
        <w:shd w:val="clear" w:color="auto" w:fill="auto"/>
        <w:tabs>
          <w:tab w:val="left" w:pos="502"/>
        </w:tabs>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2)ПЛАВАЮЩИЙ ТАНК Т-40...</w:t>
      </w:r>
    </w:p>
    <w:p w14:paraId="61CD1088"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Г. ТАНК СОПРОВОЖДЕНИЯ ПЕХОТЫ.</w:t>
      </w:r>
    </w:p>
    <w:p w14:paraId="13001CDB"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Учитывая, что существующий танк сопровождения пехоты Т-26 слабо забронирован, имеет маломощный бензиновый мотор, Комис</w:t>
      </w:r>
      <w:r w:rsidRPr="00DB5D0D">
        <w:rPr>
          <w:rFonts w:ascii="Times New Roman" w:hAnsi="Times New Roman" w:cs="Times New Roman"/>
          <w:i w:val="0"/>
          <w:iCs w:val="0"/>
          <w:color w:val="000000" w:themeColor="text1"/>
          <w:spacing w:val="0"/>
          <w:sz w:val="16"/>
          <w:szCs w:val="16"/>
          <w:lang w:val="ru-RU"/>
        </w:rPr>
        <w:softHyphen/>
        <w:t>сия считает необходимым уже в 1940 г. создать новый тип танка сопровождения пехоты со следующей основной тактико-техничес</w:t>
      </w:r>
      <w:r w:rsidRPr="00DB5D0D">
        <w:rPr>
          <w:rFonts w:ascii="Times New Roman" w:hAnsi="Times New Roman" w:cs="Times New Roman"/>
          <w:i w:val="0"/>
          <w:iCs w:val="0"/>
          <w:color w:val="000000" w:themeColor="text1"/>
          <w:spacing w:val="0"/>
          <w:sz w:val="16"/>
          <w:szCs w:val="16"/>
          <w:lang w:val="ru-RU"/>
        </w:rPr>
        <w:softHyphen/>
        <w:t>кой характеристикой:</w:t>
      </w:r>
    </w:p>
    <w:p w14:paraId="065FC32C"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Style w:val="221"/>
          <w:rFonts w:ascii="Times New Roman" w:hAnsi="Times New Roman" w:cs="Times New Roman"/>
          <w:color w:val="000000" w:themeColor="text1"/>
          <w:spacing w:val="0"/>
          <w:sz w:val="16"/>
          <w:szCs w:val="16"/>
          <w:lang w:val="ru-RU"/>
        </w:rPr>
        <w:t>б) По организации танковых войск.</w:t>
      </w:r>
    </w:p>
    <w:p w14:paraId="22CF18A6"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На опыте боев в Финляндии, полноценной организацией танко</w:t>
      </w:r>
      <w:r w:rsidRPr="00DB5D0D">
        <w:rPr>
          <w:rFonts w:ascii="Times New Roman" w:hAnsi="Times New Roman" w:cs="Times New Roman"/>
          <w:i w:val="0"/>
          <w:iCs w:val="0"/>
          <w:color w:val="000000" w:themeColor="text1"/>
          <w:spacing w:val="0"/>
          <w:sz w:val="16"/>
          <w:szCs w:val="16"/>
          <w:lang w:val="ru-RU"/>
        </w:rPr>
        <w:softHyphen/>
        <w:t>вых войск показала себя танковая бригада. Танковые роты и баталь</w:t>
      </w:r>
      <w:r w:rsidRPr="00DB5D0D">
        <w:rPr>
          <w:rFonts w:ascii="Times New Roman" w:hAnsi="Times New Roman" w:cs="Times New Roman"/>
          <w:i w:val="0"/>
          <w:iCs w:val="0"/>
          <w:color w:val="000000" w:themeColor="text1"/>
          <w:spacing w:val="0"/>
          <w:sz w:val="16"/>
          <w:szCs w:val="16"/>
          <w:lang w:val="ru-RU"/>
        </w:rPr>
        <w:softHyphen/>
        <w:t>оны стрелковых дивизий, хим. батальоны и химические бригады, как организации использования танков в современном бою - себя не оправдали - ПОДЛЕЖАТ РАСФОРМИРОВАНИЮ.</w:t>
      </w:r>
    </w:p>
    <w:p w14:paraId="7DF14B7A"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1) Установить следующую организацию танковых войск Красной Армии:</w:t>
      </w:r>
    </w:p>
    <w:p w14:paraId="2CE989D9" w14:textId="77777777" w:rsidR="00A25AD1" w:rsidRPr="00DB5D0D" w:rsidRDefault="00A25AD1" w:rsidP="00DB5D0D">
      <w:pPr>
        <w:pStyle w:val="2210"/>
        <w:shd w:val="clear" w:color="auto" w:fill="auto"/>
        <w:tabs>
          <w:tab w:val="left" w:pos="526"/>
        </w:tabs>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а)Танковые бригады Т-28;</w:t>
      </w:r>
    </w:p>
    <w:p w14:paraId="165A0D7F" w14:textId="77777777" w:rsidR="00A25AD1" w:rsidRPr="00DB5D0D" w:rsidRDefault="00A25AD1" w:rsidP="00DB5D0D">
      <w:pPr>
        <w:pStyle w:val="2210"/>
        <w:shd w:val="clear" w:color="auto" w:fill="auto"/>
        <w:tabs>
          <w:tab w:val="left" w:pos="526"/>
        </w:tabs>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б)Танковые бригады БТ;</w:t>
      </w:r>
    </w:p>
    <w:p w14:paraId="17C47570" w14:textId="77777777" w:rsidR="00A25AD1" w:rsidRPr="00DB5D0D" w:rsidRDefault="00A25AD1" w:rsidP="00DB5D0D">
      <w:pPr>
        <w:pStyle w:val="2210"/>
        <w:shd w:val="clear" w:color="auto" w:fill="auto"/>
        <w:tabs>
          <w:tab w:val="left" w:pos="522"/>
        </w:tabs>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в)Танковые бригады Т-26;</w:t>
      </w:r>
    </w:p>
    <w:p w14:paraId="66DA1B48" w14:textId="77777777" w:rsidR="00A25AD1" w:rsidRPr="00DB5D0D" w:rsidRDefault="00A25AD1" w:rsidP="00DB5D0D">
      <w:pPr>
        <w:pStyle w:val="2210"/>
        <w:shd w:val="clear" w:color="auto" w:fill="auto"/>
        <w:tabs>
          <w:tab w:val="left" w:pos="490"/>
        </w:tabs>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1)В танковых бригадах Т-28, по мере поступления в 1940 г. тан</w:t>
      </w:r>
      <w:r w:rsidRPr="00DB5D0D">
        <w:rPr>
          <w:rFonts w:ascii="Times New Roman" w:hAnsi="Times New Roman" w:cs="Times New Roman"/>
          <w:i w:val="0"/>
          <w:iCs w:val="0"/>
          <w:color w:val="000000" w:themeColor="text1"/>
          <w:spacing w:val="0"/>
          <w:sz w:val="16"/>
          <w:szCs w:val="16"/>
          <w:lang w:val="ru-RU"/>
        </w:rPr>
        <w:softHyphen/>
        <w:t>ков «КВ», формировать роты-батальоны «КВ».</w:t>
      </w:r>
    </w:p>
    <w:p w14:paraId="585591F1" w14:textId="77777777" w:rsidR="00A25AD1" w:rsidRPr="00DB5D0D" w:rsidRDefault="00A25AD1" w:rsidP="00DB5D0D">
      <w:pPr>
        <w:pStyle w:val="2210"/>
        <w:shd w:val="clear" w:color="auto" w:fill="auto"/>
        <w:tabs>
          <w:tab w:val="left" w:pos="476"/>
        </w:tabs>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2)В танковых бригадах БТ по мере поступления в 1940 г. танков Т-34, формировать роты-батальоны Т-34.</w:t>
      </w:r>
    </w:p>
    <w:p w14:paraId="65CC9CE5"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ПРЕДСЕДАТЕЛЬ КОМИССИИ КОМАНДАРМ 2 РАНГА Павлов</w:t>
      </w:r>
    </w:p>
    <w:p w14:paraId="75ABEEEE" w14:textId="77777777" w:rsidR="00A25AD1" w:rsidRPr="00DB5D0D" w:rsidRDefault="00A25AD1" w:rsidP="00DB5D0D">
      <w:pPr>
        <w:pStyle w:val="a3"/>
        <w:rPr>
          <w:color w:val="000000" w:themeColor="text1"/>
          <w:lang w:val="ru-RU"/>
        </w:rPr>
      </w:pPr>
      <w:r w:rsidRPr="00DB5D0D">
        <w:rPr>
          <w:color w:val="000000" w:themeColor="text1"/>
          <w:lang w:val="ru-RU"/>
        </w:rPr>
        <w:t>Таким образом, скорейшее освоение производства новых тан</w:t>
      </w:r>
      <w:r w:rsidRPr="00DB5D0D">
        <w:rPr>
          <w:color w:val="000000" w:themeColor="text1"/>
          <w:lang w:val="ru-RU"/>
        </w:rPr>
        <w:softHyphen/>
        <w:t>ков, в том числе и Т-34, стало одной из приоритетных задач для промышленности в начале 1940 г. (11899).</w:t>
      </w:r>
    </w:p>
    <w:p w14:paraId="5FFA1652" w14:textId="77777777" w:rsidR="00A25AD1" w:rsidRPr="00DB5D0D" w:rsidRDefault="00A25AD1" w:rsidP="00DB5D0D">
      <w:pPr>
        <w:pStyle w:val="1b"/>
        <w:shd w:val="clear" w:color="auto" w:fill="auto"/>
        <w:spacing w:line="240" w:lineRule="auto"/>
        <w:jc w:val="both"/>
        <w:rPr>
          <w:rFonts w:ascii="Times New Roman" w:hAnsi="Times New Roman" w:cs="Times New Roman"/>
          <w:i w:val="0"/>
          <w:iCs w:val="0"/>
          <w:color w:val="000000" w:themeColor="text1"/>
          <w:spacing w:val="0"/>
          <w:sz w:val="16"/>
          <w:szCs w:val="16"/>
        </w:rPr>
      </w:pPr>
      <w:r w:rsidRPr="00DB5D0D">
        <w:rPr>
          <w:rFonts w:ascii="Times New Roman" w:hAnsi="Times New Roman" w:cs="Times New Roman"/>
          <w:i w:val="0"/>
          <w:iCs w:val="0"/>
          <w:color w:val="000000" w:themeColor="text1"/>
          <w:spacing w:val="0"/>
          <w:sz w:val="16"/>
          <w:szCs w:val="16"/>
        </w:rPr>
        <w:t>Приложение № 1 [РГВА. Ф. 31811. Оп. 2. Д. 1066. Л. 5-11.]</w:t>
      </w:r>
    </w:p>
    <w:tbl>
      <w:tblPr>
        <w:tblW w:w="0" w:type="auto"/>
        <w:tblInd w:w="8" w:type="dxa"/>
        <w:tblLayout w:type="fixed"/>
        <w:tblCellMar>
          <w:left w:w="0" w:type="dxa"/>
          <w:right w:w="0" w:type="dxa"/>
        </w:tblCellMar>
        <w:tblLook w:val="0000" w:firstRow="0" w:lastRow="0" w:firstColumn="0" w:lastColumn="0" w:noHBand="0" w:noVBand="0"/>
      </w:tblPr>
      <w:tblGrid>
        <w:gridCol w:w="355"/>
        <w:gridCol w:w="1397"/>
        <w:gridCol w:w="1411"/>
        <w:gridCol w:w="1046"/>
        <w:gridCol w:w="1037"/>
        <w:gridCol w:w="1022"/>
        <w:gridCol w:w="1037"/>
        <w:gridCol w:w="1037"/>
        <w:gridCol w:w="1022"/>
        <w:gridCol w:w="1046"/>
      </w:tblGrid>
      <w:tr w:rsidR="007D5DF8" w:rsidRPr="00DB5D0D" w14:paraId="698596C4" w14:textId="77777777" w:rsidTr="009223E5">
        <w:trPr>
          <w:trHeight w:val="226"/>
        </w:trPr>
        <w:tc>
          <w:tcPr>
            <w:tcW w:w="355" w:type="dxa"/>
            <w:tcBorders>
              <w:top w:val="single" w:sz="6" w:space="0" w:color="auto"/>
              <w:left w:val="single" w:sz="6" w:space="0" w:color="auto"/>
              <w:bottom w:val="nil"/>
              <w:right w:val="single" w:sz="6" w:space="0" w:color="auto"/>
            </w:tcBorders>
            <w:shd w:val="clear" w:color="auto" w:fill="FFFFFF"/>
          </w:tcPr>
          <w:p w14:paraId="18373D5B"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 п. п.</w:t>
            </w:r>
          </w:p>
        </w:tc>
        <w:tc>
          <w:tcPr>
            <w:tcW w:w="1397" w:type="dxa"/>
            <w:tcBorders>
              <w:top w:val="single" w:sz="6" w:space="0" w:color="auto"/>
              <w:left w:val="single" w:sz="6" w:space="0" w:color="auto"/>
              <w:bottom w:val="nil"/>
              <w:right w:val="single" w:sz="6" w:space="0" w:color="auto"/>
            </w:tcBorders>
            <w:shd w:val="clear" w:color="auto" w:fill="FFFFFF"/>
          </w:tcPr>
          <w:p w14:paraId="1A397F50"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Тактико- технические показатели</w:t>
            </w:r>
          </w:p>
        </w:tc>
        <w:tc>
          <w:tcPr>
            <w:tcW w:w="8658" w:type="dxa"/>
            <w:gridSpan w:val="8"/>
            <w:tcBorders>
              <w:top w:val="single" w:sz="6" w:space="0" w:color="auto"/>
              <w:left w:val="single" w:sz="6" w:space="0" w:color="auto"/>
              <w:bottom w:val="single" w:sz="6" w:space="0" w:color="auto"/>
              <w:right w:val="single" w:sz="6" w:space="0" w:color="auto"/>
            </w:tcBorders>
            <w:shd w:val="clear" w:color="auto" w:fill="FFFFFF"/>
          </w:tcPr>
          <w:p w14:paraId="2AD5DCD5"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Обозначение машин</w:t>
            </w:r>
          </w:p>
        </w:tc>
      </w:tr>
      <w:tr w:rsidR="007D5DF8" w:rsidRPr="00DB5D0D" w14:paraId="0ADB7AAB" w14:textId="77777777" w:rsidTr="009223E5">
        <w:trPr>
          <w:trHeight w:val="408"/>
        </w:trPr>
        <w:tc>
          <w:tcPr>
            <w:tcW w:w="355" w:type="dxa"/>
            <w:tcBorders>
              <w:top w:val="nil"/>
              <w:left w:val="single" w:sz="6" w:space="0" w:color="auto"/>
              <w:bottom w:val="single" w:sz="6" w:space="0" w:color="auto"/>
              <w:right w:val="single" w:sz="6" w:space="0" w:color="auto"/>
            </w:tcBorders>
            <w:shd w:val="clear" w:color="auto" w:fill="FFFFFF"/>
          </w:tcPr>
          <w:p w14:paraId="44F5D0AB"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p>
        </w:tc>
        <w:tc>
          <w:tcPr>
            <w:tcW w:w="1397" w:type="dxa"/>
            <w:tcBorders>
              <w:top w:val="nil"/>
              <w:left w:val="single" w:sz="6" w:space="0" w:color="auto"/>
              <w:bottom w:val="single" w:sz="6" w:space="0" w:color="auto"/>
              <w:right w:val="single" w:sz="6" w:space="0" w:color="auto"/>
            </w:tcBorders>
            <w:shd w:val="clear" w:color="auto" w:fill="FFFFFF"/>
          </w:tcPr>
          <w:p w14:paraId="25530671"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7D2ADA1D"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Т-28</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6FFE8C29"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БТ-7</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1353E407"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БТ-5</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145FA003"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Т-26</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338A40CC"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Т-38</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59E4A44E"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Т-37</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33802824"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БА-20</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5690C4D1"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БА-10</w:t>
            </w:r>
          </w:p>
        </w:tc>
      </w:tr>
      <w:tr w:rsidR="007D5DF8" w:rsidRPr="00DB5D0D" w14:paraId="68DA935B" w14:textId="77777777" w:rsidTr="009223E5">
        <w:trPr>
          <w:trHeight w:val="422"/>
        </w:trPr>
        <w:tc>
          <w:tcPr>
            <w:tcW w:w="355" w:type="dxa"/>
            <w:tcBorders>
              <w:top w:val="single" w:sz="6" w:space="0" w:color="auto"/>
              <w:left w:val="single" w:sz="6" w:space="0" w:color="auto"/>
              <w:bottom w:val="single" w:sz="6" w:space="0" w:color="auto"/>
              <w:right w:val="single" w:sz="6" w:space="0" w:color="auto"/>
            </w:tcBorders>
            <w:shd w:val="clear" w:color="auto" w:fill="FFFFFF"/>
          </w:tcPr>
          <w:p w14:paraId="20FDA573"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w:t>
            </w:r>
          </w:p>
        </w:tc>
        <w:tc>
          <w:tcPr>
            <w:tcW w:w="1397" w:type="dxa"/>
            <w:tcBorders>
              <w:top w:val="single" w:sz="6" w:space="0" w:color="auto"/>
              <w:left w:val="single" w:sz="6" w:space="0" w:color="auto"/>
              <w:bottom w:val="single" w:sz="6" w:space="0" w:color="auto"/>
              <w:right w:val="single" w:sz="6" w:space="0" w:color="auto"/>
            </w:tcBorders>
            <w:shd w:val="clear" w:color="auto" w:fill="FFFFFF"/>
          </w:tcPr>
          <w:p w14:paraId="3DC0F083"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Тип машины</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2DD7B339"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гусеничный</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47035F2F"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колесно- гусеничный</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676760DE"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колесно- гусеничный</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03FC19D7"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гусеничный</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797803E0"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гусеничный (плавающий)</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0C39A01D"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гусеничный (плавающий)</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19C03634"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колесный</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7DEC2F2B"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колесный</w:t>
            </w:r>
          </w:p>
        </w:tc>
      </w:tr>
      <w:tr w:rsidR="007D5DF8" w:rsidRPr="00DB5D0D" w14:paraId="611CA433" w14:textId="77777777" w:rsidTr="009223E5">
        <w:trPr>
          <w:trHeight w:val="211"/>
        </w:trPr>
        <w:tc>
          <w:tcPr>
            <w:tcW w:w="355" w:type="dxa"/>
            <w:tcBorders>
              <w:top w:val="single" w:sz="6" w:space="0" w:color="auto"/>
              <w:left w:val="single" w:sz="6" w:space="0" w:color="auto"/>
              <w:bottom w:val="single" w:sz="6" w:space="0" w:color="auto"/>
              <w:right w:val="single" w:sz="6" w:space="0" w:color="auto"/>
            </w:tcBorders>
            <w:shd w:val="clear" w:color="auto" w:fill="FFFFFF"/>
          </w:tcPr>
          <w:p w14:paraId="24540B50"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2</w:t>
            </w:r>
          </w:p>
        </w:tc>
        <w:tc>
          <w:tcPr>
            <w:tcW w:w="1397" w:type="dxa"/>
            <w:tcBorders>
              <w:top w:val="single" w:sz="6" w:space="0" w:color="auto"/>
              <w:left w:val="single" w:sz="6" w:space="0" w:color="auto"/>
              <w:bottom w:val="single" w:sz="6" w:space="0" w:color="auto"/>
              <w:right w:val="single" w:sz="6" w:space="0" w:color="auto"/>
            </w:tcBorders>
            <w:shd w:val="clear" w:color="auto" w:fill="FFFFFF"/>
          </w:tcPr>
          <w:p w14:paraId="4742BC33"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Броня</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663ADCF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20 мм</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7B3B29BF"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13 мм</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27BD6B91"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13 мм</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28D451CC"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15 мм</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7452DAD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8 мм</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29A190B8"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8 мм</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3639A20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6 мм</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5C090549"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10 мм</w:t>
            </w:r>
          </w:p>
        </w:tc>
      </w:tr>
      <w:tr w:rsidR="007D5DF8" w:rsidRPr="00DB5D0D" w14:paraId="131E2F02" w14:textId="77777777" w:rsidTr="009223E5">
        <w:trPr>
          <w:trHeight w:val="624"/>
        </w:trPr>
        <w:tc>
          <w:tcPr>
            <w:tcW w:w="355" w:type="dxa"/>
            <w:tcBorders>
              <w:top w:val="single" w:sz="6" w:space="0" w:color="auto"/>
              <w:left w:val="single" w:sz="6" w:space="0" w:color="auto"/>
              <w:bottom w:val="single" w:sz="6" w:space="0" w:color="auto"/>
              <w:right w:val="single" w:sz="6" w:space="0" w:color="auto"/>
            </w:tcBorders>
            <w:shd w:val="clear" w:color="auto" w:fill="FFFFFF"/>
          </w:tcPr>
          <w:p w14:paraId="22D41AD6"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3</w:t>
            </w:r>
          </w:p>
        </w:tc>
        <w:tc>
          <w:tcPr>
            <w:tcW w:w="1397" w:type="dxa"/>
            <w:tcBorders>
              <w:top w:val="single" w:sz="6" w:space="0" w:color="auto"/>
              <w:left w:val="single" w:sz="6" w:space="0" w:color="auto"/>
              <w:bottom w:val="single" w:sz="6" w:space="0" w:color="auto"/>
              <w:right w:val="single" w:sz="6" w:space="0" w:color="auto"/>
            </w:tcBorders>
            <w:shd w:val="clear" w:color="auto" w:fill="FFFFFF"/>
          </w:tcPr>
          <w:p w14:paraId="3E164335"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Мотор</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771D1C5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М-17Л (бензиновый 600 л.с.)</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32D46E5A"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М-17Т (бензиновый 500 л.с.)</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1A9A3037"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М-5 (бензиновый 400 л.с.)</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28386654"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Т-26 (бензиновый 90-105 л.с.)</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16BA6EC6"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ГАЗ-А</w:t>
            </w:r>
          </w:p>
          <w:p w14:paraId="093855A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(бензиновый 40 л.с.)</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5139E810"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ГАЗ-А</w:t>
            </w:r>
          </w:p>
          <w:p w14:paraId="3588A134"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(бензиновый 40 л.с.)</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559D173D"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Style w:val="111415pt3180pt43294pt"/>
                <w:rFonts w:ascii="Times New Roman" w:hAnsi="Times New Roman" w:cs="Times New Roman"/>
                <w:b w:val="0"/>
                <w:i w:val="0"/>
                <w:color w:val="000000" w:themeColor="text1"/>
                <w:spacing w:val="0"/>
                <w:sz w:val="16"/>
                <w:szCs w:val="16"/>
              </w:rPr>
              <w:t>.</w:t>
            </w:r>
            <w:r w:rsidRPr="00DB5D0D">
              <w:rPr>
                <w:rFonts w:ascii="Times New Roman" w:hAnsi="Times New Roman" w:cs="Times New Roman"/>
                <w:b w:val="0"/>
                <w:iCs/>
                <w:color w:val="000000" w:themeColor="text1"/>
                <w:sz w:val="16"/>
                <w:szCs w:val="16"/>
              </w:rPr>
              <w:t xml:space="preserve"> М-1 (бензиновый 50 л.с.)</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069166B7"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М-1 (бензиновый 50 л.с.)</w:t>
            </w:r>
          </w:p>
        </w:tc>
      </w:tr>
      <w:tr w:rsidR="007D5DF8" w:rsidRPr="00DB5D0D" w14:paraId="43D94934" w14:textId="77777777" w:rsidTr="009223E5">
        <w:trPr>
          <w:trHeight w:val="418"/>
        </w:trPr>
        <w:tc>
          <w:tcPr>
            <w:tcW w:w="355" w:type="dxa"/>
            <w:tcBorders>
              <w:top w:val="single" w:sz="6" w:space="0" w:color="auto"/>
              <w:left w:val="single" w:sz="6" w:space="0" w:color="auto"/>
              <w:bottom w:val="single" w:sz="6" w:space="0" w:color="auto"/>
              <w:right w:val="single" w:sz="6" w:space="0" w:color="auto"/>
            </w:tcBorders>
            <w:shd w:val="clear" w:color="auto" w:fill="FFFFFF"/>
          </w:tcPr>
          <w:p w14:paraId="07FE1FDE"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4</w:t>
            </w:r>
          </w:p>
        </w:tc>
        <w:tc>
          <w:tcPr>
            <w:tcW w:w="1397" w:type="dxa"/>
            <w:tcBorders>
              <w:top w:val="single" w:sz="6" w:space="0" w:color="auto"/>
              <w:left w:val="single" w:sz="6" w:space="0" w:color="auto"/>
              <w:bottom w:val="single" w:sz="6" w:space="0" w:color="auto"/>
              <w:right w:val="single" w:sz="6" w:space="0" w:color="auto"/>
            </w:tcBorders>
            <w:shd w:val="clear" w:color="auto" w:fill="FFFFFF"/>
          </w:tcPr>
          <w:p w14:paraId="3B194DB5"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Вооружение</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54C6EC39"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Пушка 76 мм 3 пулемета ДТ</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6E612DE1"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Пушка 45 мм 1 пулемет ДТ</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212A1583"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Пушка 45 мм 1 пулемет ДТ</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66881755"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Пушка 45 мм 1 пулемет ДТ</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0DF4026E"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 пулемет ДТ</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650DF4AD"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 пулемет ДТ</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63706BF5"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 пулемет ДТ</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6AEA9169"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Пушка 45 мм 2 пулемета ДТ</w:t>
            </w:r>
          </w:p>
        </w:tc>
      </w:tr>
      <w:tr w:rsidR="007D5DF8" w:rsidRPr="00DB5D0D" w14:paraId="42EBA483" w14:textId="77777777" w:rsidTr="009223E5">
        <w:trPr>
          <w:trHeight w:val="629"/>
        </w:trPr>
        <w:tc>
          <w:tcPr>
            <w:tcW w:w="355" w:type="dxa"/>
            <w:tcBorders>
              <w:top w:val="single" w:sz="6" w:space="0" w:color="auto"/>
              <w:left w:val="single" w:sz="6" w:space="0" w:color="auto"/>
              <w:bottom w:val="single" w:sz="6" w:space="0" w:color="auto"/>
              <w:right w:val="single" w:sz="6" w:space="0" w:color="auto"/>
            </w:tcBorders>
            <w:shd w:val="clear" w:color="auto" w:fill="FFFFFF"/>
          </w:tcPr>
          <w:p w14:paraId="01DA24A3"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5</w:t>
            </w:r>
          </w:p>
        </w:tc>
        <w:tc>
          <w:tcPr>
            <w:tcW w:w="1397" w:type="dxa"/>
            <w:tcBorders>
              <w:top w:val="single" w:sz="6" w:space="0" w:color="auto"/>
              <w:left w:val="single" w:sz="6" w:space="0" w:color="auto"/>
              <w:bottom w:val="single" w:sz="6" w:space="0" w:color="auto"/>
              <w:right w:val="single" w:sz="6" w:space="0" w:color="auto"/>
            </w:tcBorders>
            <w:shd w:val="clear" w:color="auto" w:fill="FFFFFF"/>
          </w:tcPr>
          <w:p w14:paraId="28BC4567"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Скорость (максимальная по шоссе)</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59BF3F2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36 км/час</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18E5ED78"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52 км/час (на гусеницах)</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47D3E09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52 км/час (на гусеницах)</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265B21EC"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30 км/час</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11312F4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40 км/час</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26EEA64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40 км/час</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2C6CFD0E"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85 км/час</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6C34DC13"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60 км/час</w:t>
            </w:r>
          </w:p>
        </w:tc>
      </w:tr>
      <w:tr w:rsidR="007D5DF8" w:rsidRPr="00DB5D0D" w14:paraId="7125B43D" w14:textId="77777777" w:rsidTr="009223E5">
        <w:trPr>
          <w:trHeight w:val="418"/>
        </w:trPr>
        <w:tc>
          <w:tcPr>
            <w:tcW w:w="355" w:type="dxa"/>
            <w:tcBorders>
              <w:top w:val="single" w:sz="6" w:space="0" w:color="auto"/>
              <w:left w:val="single" w:sz="6" w:space="0" w:color="auto"/>
              <w:bottom w:val="single" w:sz="6" w:space="0" w:color="auto"/>
              <w:right w:val="single" w:sz="6" w:space="0" w:color="auto"/>
            </w:tcBorders>
            <w:shd w:val="clear" w:color="auto" w:fill="FFFFFF"/>
          </w:tcPr>
          <w:p w14:paraId="651306BC"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6</w:t>
            </w:r>
          </w:p>
        </w:tc>
        <w:tc>
          <w:tcPr>
            <w:tcW w:w="1397" w:type="dxa"/>
            <w:tcBorders>
              <w:top w:val="single" w:sz="6" w:space="0" w:color="auto"/>
              <w:left w:val="single" w:sz="6" w:space="0" w:color="auto"/>
              <w:bottom w:val="single" w:sz="6" w:space="0" w:color="auto"/>
              <w:right w:val="single" w:sz="6" w:space="0" w:color="auto"/>
            </w:tcBorders>
            <w:shd w:val="clear" w:color="auto" w:fill="FFFFFF"/>
          </w:tcPr>
          <w:p w14:paraId="25F64FA3"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Запас хода (по шоссе)</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7559E4EC"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200 км</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14B0213B"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350 км</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43F792B3"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160 км</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0BC3B4B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200 км</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6DF7D811"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220 км</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58290859"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170 км</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3932280E"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400 км</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5437863D"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300 км</w:t>
            </w:r>
          </w:p>
        </w:tc>
      </w:tr>
      <w:tr w:rsidR="007D5DF8" w:rsidRPr="00DB5D0D" w14:paraId="43B85001" w14:textId="77777777" w:rsidTr="009223E5">
        <w:trPr>
          <w:trHeight w:val="211"/>
        </w:trPr>
        <w:tc>
          <w:tcPr>
            <w:tcW w:w="355" w:type="dxa"/>
            <w:tcBorders>
              <w:top w:val="single" w:sz="6" w:space="0" w:color="auto"/>
              <w:left w:val="single" w:sz="6" w:space="0" w:color="auto"/>
              <w:bottom w:val="single" w:sz="6" w:space="0" w:color="auto"/>
              <w:right w:val="single" w:sz="6" w:space="0" w:color="auto"/>
            </w:tcBorders>
            <w:shd w:val="clear" w:color="auto" w:fill="FFFFFF"/>
          </w:tcPr>
          <w:p w14:paraId="4E807F7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7</w:t>
            </w:r>
          </w:p>
        </w:tc>
        <w:tc>
          <w:tcPr>
            <w:tcW w:w="1397" w:type="dxa"/>
            <w:tcBorders>
              <w:top w:val="single" w:sz="6" w:space="0" w:color="auto"/>
              <w:left w:val="single" w:sz="6" w:space="0" w:color="auto"/>
              <w:bottom w:val="single" w:sz="6" w:space="0" w:color="auto"/>
              <w:right w:val="single" w:sz="6" w:space="0" w:color="auto"/>
            </w:tcBorders>
            <w:shd w:val="clear" w:color="auto" w:fill="FFFFFF"/>
          </w:tcPr>
          <w:p w14:paraId="32A618D9"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Общий вес</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29140DE8"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29,2 т</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0166454B"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13,7т</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4B7CF0B6"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11,5т</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132B653D"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10,2т</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02D7A26A"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3,3 т</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257E7A67"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3,2 т</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002A7640"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2,5 т</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78071B89"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5,1т</w:t>
            </w:r>
          </w:p>
        </w:tc>
      </w:tr>
      <w:tr w:rsidR="007D5DF8" w:rsidRPr="00DB5D0D" w14:paraId="67D757AC" w14:textId="77777777" w:rsidTr="009223E5">
        <w:trPr>
          <w:trHeight w:val="830"/>
        </w:trPr>
        <w:tc>
          <w:tcPr>
            <w:tcW w:w="355" w:type="dxa"/>
            <w:tcBorders>
              <w:top w:val="single" w:sz="6" w:space="0" w:color="auto"/>
              <w:left w:val="single" w:sz="6" w:space="0" w:color="auto"/>
              <w:bottom w:val="nil"/>
              <w:right w:val="single" w:sz="6" w:space="0" w:color="auto"/>
            </w:tcBorders>
            <w:shd w:val="clear" w:color="auto" w:fill="FFFFFF"/>
          </w:tcPr>
          <w:p w14:paraId="10E21A8C"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8</w:t>
            </w:r>
          </w:p>
        </w:tc>
        <w:tc>
          <w:tcPr>
            <w:tcW w:w="1397" w:type="dxa"/>
            <w:tcBorders>
              <w:top w:val="single" w:sz="6" w:space="0" w:color="auto"/>
              <w:left w:val="single" w:sz="6" w:space="0" w:color="auto"/>
              <w:bottom w:val="nil"/>
              <w:right w:val="single" w:sz="6" w:space="0" w:color="auto"/>
            </w:tcBorders>
            <w:shd w:val="clear" w:color="auto" w:fill="FFFFFF"/>
          </w:tcPr>
          <w:p w14:paraId="4D211AB7"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На какой дистанции и чем пробивается</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0A0ABE9E"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Пулей ДК от 650 м (гомогенная и с 350-400 цементированная)</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593F6899"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Пулей бронебойной калибра 7,62 от 50-100 м</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14:paraId="709C8E12"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Пулей бронебойной калибра 7,62 от 50-100 м</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103363C"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Пулей ДК от 1100-1200 м</w:t>
            </w:r>
          </w:p>
        </w:tc>
        <w:tc>
          <w:tcPr>
            <w:tcW w:w="2074" w:type="dxa"/>
            <w:gridSpan w:val="2"/>
            <w:tcBorders>
              <w:top w:val="single" w:sz="6" w:space="0" w:color="auto"/>
              <w:left w:val="single" w:sz="6" w:space="0" w:color="auto"/>
              <w:bottom w:val="single" w:sz="6" w:space="0" w:color="auto"/>
              <w:right w:val="single" w:sz="6" w:space="0" w:color="auto"/>
            </w:tcBorders>
            <w:shd w:val="clear" w:color="auto" w:fill="FFFFFF"/>
          </w:tcPr>
          <w:p w14:paraId="334472A4"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Пулей простой калибра 7,62 от 50 м, бронебойной от 650 м</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63EEC50F"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Пулей простой от 75-100 м</w:t>
            </w:r>
          </w:p>
        </w:tc>
        <w:tc>
          <w:tcPr>
            <w:tcW w:w="1046" w:type="dxa"/>
            <w:tcBorders>
              <w:top w:val="single" w:sz="6" w:space="0" w:color="auto"/>
              <w:left w:val="single" w:sz="6" w:space="0" w:color="auto"/>
              <w:bottom w:val="single" w:sz="6" w:space="0" w:color="auto"/>
              <w:right w:val="single" w:sz="6" w:space="0" w:color="auto"/>
            </w:tcBorders>
            <w:shd w:val="clear" w:color="auto" w:fill="FFFFFF"/>
          </w:tcPr>
          <w:p w14:paraId="5A0AB53A"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Пулей бронебойной калибр 7,62 от 400 м</w:t>
            </w:r>
          </w:p>
        </w:tc>
      </w:tr>
      <w:tr w:rsidR="007D5DF8" w:rsidRPr="00DB5D0D" w14:paraId="70780837" w14:textId="77777777" w:rsidTr="009223E5">
        <w:trPr>
          <w:trHeight w:val="638"/>
        </w:trPr>
        <w:tc>
          <w:tcPr>
            <w:tcW w:w="355" w:type="dxa"/>
            <w:tcBorders>
              <w:top w:val="nil"/>
              <w:left w:val="single" w:sz="6" w:space="0" w:color="auto"/>
              <w:bottom w:val="single" w:sz="6" w:space="0" w:color="auto"/>
              <w:right w:val="single" w:sz="6" w:space="0" w:color="auto"/>
            </w:tcBorders>
            <w:shd w:val="clear" w:color="auto" w:fill="FFFFFF"/>
          </w:tcPr>
          <w:p w14:paraId="4B4B4703"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p>
        </w:tc>
        <w:tc>
          <w:tcPr>
            <w:tcW w:w="1397" w:type="dxa"/>
            <w:tcBorders>
              <w:top w:val="nil"/>
              <w:left w:val="single" w:sz="6" w:space="0" w:color="auto"/>
              <w:bottom w:val="single" w:sz="6" w:space="0" w:color="auto"/>
              <w:right w:val="single" w:sz="6" w:space="0" w:color="auto"/>
            </w:tcBorders>
            <w:shd w:val="clear" w:color="auto" w:fill="FFFFFF"/>
          </w:tcPr>
          <w:p w14:paraId="21F01CA7"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1387EEFD"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37 мм снаряд от 1200 м</w:t>
            </w:r>
          </w:p>
        </w:tc>
        <w:tc>
          <w:tcPr>
            <w:tcW w:w="2083" w:type="dxa"/>
            <w:gridSpan w:val="2"/>
            <w:tcBorders>
              <w:top w:val="single" w:sz="6" w:space="0" w:color="auto"/>
              <w:left w:val="single" w:sz="6" w:space="0" w:color="auto"/>
              <w:bottom w:val="single" w:sz="6" w:space="0" w:color="auto"/>
              <w:right w:val="single" w:sz="6" w:space="0" w:color="auto"/>
            </w:tcBorders>
            <w:shd w:val="clear" w:color="auto" w:fill="FFFFFF"/>
          </w:tcPr>
          <w:p w14:paraId="60E81BDA"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37 мм гранатой от 3000 м</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3816006"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37 мм</w:t>
            </w:r>
          </w:p>
          <w:p w14:paraId="554D9A40"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гранатой от 2500 м</w:t>
            </w:r>
          </w:p>
        </w:tc>
        <w:tc>
          <w:tcPr>
            <w:tcW w:w="4142" w:type="dxa"/>
            <w:gridSpan w:val="4"/>
            <w:tcBorders>
              <w:top w:val="single" w:sz="6" w:space="0" w:color="auto"/>
              <w:left w:val="single" w:sz="6" w:space="0" w:color="auto"/>
              <w:bottom w:val="single" w:sz="6" w:space="0" w:color="auto"/>
              <w:right w:val="single" w:sz="6" w:space="0" w:color="auto"/>
            </w:tcBorders>
            <w:shd w:val="clear" w:color="auto" w:fill="FFFFFF"/>
          </w:tcPr>
          <w:p w14:paraId="1D235B73" w14:textId="77777777" w:rsidR="00A25AD1" w:rsidRPr="00DB5D0D" w:rsidRDefault="00A25AD1" w:rsidP="00DB5D0D">
            <w:pPr>
              <w:pStyle w:val="290"/>
              <w:shd w:val="clear" w:color="auto" w:fill="auto"/>
              <w:spacing w:after="0" w:line="240" w:lineRule="auto"/>
              <w:rPr>
                <w:rFonts w:ascii="Times New Roman" w:hAnsi="Times New Roman" w:cs="Times New Roman"/>
                <w:b w:val="0"/>
                <w:iCs/>
                <w:color w:val="000000" w:themeColor="text1"/>
                <w:sz w:val="16"/>
                <w:szCs w:val="16"/>
              </w:rPr>
            </w:pPr>
            <w:r w:rsidRPr="00DB5D0D">
              <w:rPr>
                <w:rFonts w:ascii="Times New Roman" w:hAnsi="Times New Roman" w:cs="Times New Roman"/>
                <w:b w:val="0"/>
                <w:iCs/>
                <w:color w:val="000000" w:themeColor="text1"/>
                <w:sz w:val="16"/>
                <w:szCs w:val="16"/>
              </w:rPr>
              <w:t>37 мм гранатой на всех дистанциях</w:t>
            </w:r>
          </w:p>
        </w:tc>
      </w:tr>
    </w:tbl>
    <w:p w14:paraId="47E02416" w14:textId="77777777" w:rsidR="00A25AD1" w:rsidRPr="00DB5D0D" w:rsidRDefault="00A25AD1" w:rsidP="00DB5D0D">
      <w:pPr>
        <w:pStyle w:val="a3"/>
        <w:rPr>
          <w:color w:val="000000" w:themeColor="text1"/>
          <w:lang w:val="ru-RU"/>
        </w:rPr>
      </w:pPr>
    </w:p>
    <w:p w14:paraId="7CD52E70" w14:textId="77777777" w:rsidR="002D4461" w:rsidRPr="00DB5D0D" w:rsidRDefault="002D44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при обсуждении результатов войсковых испытаний двух опытных танков Т-34 – танков А-34, А.А. Морозов заявлял, что кардинальное расширение башни возможно только в случае увеличения диаметра шариковой опоры и переделки корпуса танка. В связи с этим, конструкторами КБ-520 был разработан и предъявлен на рассмотрение эскизный проект трехместной башни с увеличенным на 200 мм диаметром шариковой опоры и расширенной носовой частью. Рабочее место командира танка, освобожденного от обязанностей наводчика, располагалось в кормовой части башни, и было оборудовано командирской башенкой с круговым обзором. Угол наклона бортовых листов башни от вертикали составлял 25°, а листов носа и кормы – 15°. Для входа и выхода экипажа на крыше башни предусматривалось два люка. Существенно была переработана и носовая часть башни. В предъявленном эскизном проекте монтаж пушки осуществлялся с внешней стороны башни, за счет чего ликвидировался люк в ее нише, снижавший общую прочность серийной башни танка Т-34. При рассмотрении 28 декабря 1940 г. на техническом совещании этот вариант расширенной башни был признан наиболее приемлемым, как с точки зрения удобства работы экипажа, так и с точки зрения технологичности производства, что и было отражено в протоколе:</w:t>
      </w:r>
    </w:p>
    <w:p w14:paraId="196385B6" w14:textId="77777777" w:rsidR="002D4461" w:rsidRPr="00DB5D0D" w:rsidRDefault="002D44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третий вариант башни целиком удовлетворяет требованиям по размещению расчета, что обеспечивает удобное ведение прицельного огня и повышает темп стрельбы. Значительно улучшается обзорность из башни. Улучшена посадка экипажа за счет большего количества люков в башне. </w:t>
      </w:r>
    </w:p>
    <w:p w14:paraId="1A0D56E2" w14:textId="77777777" w:rsidR="002D4461" w:rsidRPr="00DB5D0D" w:rsidRDefault="002D44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точки зрения производства брони башни, последняя значительно упрощена в сравнении с первыми двумя предъявленными вариантами. Для перехода на изготовление указанного варианта, также потребуется замена производственного инструмента, но штампы будут менее сложные. Время для подготовки серийного производства башен этого варианта потребуется 2 – 3 месяца. </w:t>
      </w:r>
    </w:p>
    <w:p w14:paraId="0CCAE5AF" w14:textId="77777777" w:rsidR="002D4461" w:rsidRPr="00DB5D0D" w:rsidRDefault="002D44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силу изложенного 3-й вариант необходимо признать наиболее приемлемым и рекомендовать для серийного производства. Необходимо при этом проработать вопрос об изменении переднего лобового листа башни с 15° наклоном на 30°».</w:t>
      </w:r>
    </w:p>
    <w:p w14:paraId="5EDA2C49" w14:textId="77777777" w:rsidR="002D4461" w:rsidRPr="00DB5D0D" w:rsidRDefault="002D44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[ЦАМО. Ф. 38. Оп. 11355. Д. 41. Л. 55] (18306).</w:t>
      </w:r>
    </w:p>
    <w:p w14:paraId="72E1D1D2" w14:textId="77777777" w:rsidR="002D4461" w:rsidRPr="00DB5D0D" w:rsidRDefault="002D4461" w:rsidP="00DB5D0D">
      <w:pPr>
        <w:spacing w:after="0" w:line="240" w:lineRule="auto"/>
        <w:jc w:val="both"/>
        <w:rPr>
          <w:rFonts w:ascii="Times New Roman" w:hAnsi="Times New Roman"/>
          <w:color w:val="000000" w:themeColor="text1"/>
          <w:sz w:val="16"/>
          <w:szCs w:val="16"/>
        </w:rPr>
      </w:pPr>
    </w:p>
    <w:p w14:paraId="5C3B554E" w14:textId="77777777" w:rsidR="002D4461" w:rsidRPr="00DB5D0D" w:rsidRDefault="002D44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весны 1940 г. руководство АБТУ РККА требовало от завода № 183 разработать установку пушки Ф-32 в башне танка Т-34. Но по ряду причин (несвоевременное получение ТТТ на установку пушки, несогласованность действий с КБ Кировского завода и т.п.) работа по данному вопросу затянулась, и в итоге так и не была завершена (18206).</w:t>
      </w:r>
    </w:p>
    <w:p w14:paraId="6B448074" w14:textId="77777777" w:rsidR="002D4461" w:rsidRPr="00DB5D0D" w:rsidRDefault="002D4461" w:rsidP="00DB5D0D">
      <w:pPr>
        <w:spacing w:after="0" w:line="240" w:lineRule="auto"/>
        <w:jc w:val="both"/>
        <w:rPr>
          <w:rFonts w:ascii="Times New Roman" w:hAnsi="Times New Roman"/>
          <w:color w:val="000000" w:themeColor="text1"/>
          <w:sz w:val="16"/>
          <w:szCs w:val="16"/>
        </w:rPr>
      </w:pPr>
    </w:p>
    <w:p w14:paraId="3E00CA4B" w14:textId="77777777" w:rsidR="00A25AD1" w:rsidRPr="00DB5D0D" w:rsidRDefault="00A25AD1" w:rsidP="00DB5D0D">
      <w:pPr>
        <w:pStyle w:val="a3"/>
        <w:rPr>
          <w:color w:val="000000" w:themeColor="text1"/>
          <w:lang w:val="ru-RU"/>
        </w:rPr>
      </w:pPr>
      <w:r w:rsidRPr="00DB5D0D">
        <w:rPr>
          <w:color w:val="000000" w:themeColor="text1"/>
          <w:lang w:val="ru-RU"/>
        </w:rPr>
        <w:t>Весной 1940 г. кроме ускорения процесса постановки Т-34 в серийное произ</w:t>
      </w:r>
      <w:r w:rsidRPr="00DB5D0D">
        <w:rPr>
          <w:color w:val="000000" w:themeColor="text1"/>
          <w:lang w:val="ru-RU"/>
        </w:rPr>
        <w:softHyphen/>
        <w:t>водство был подвергнут пересмотру в сторону уве</w:t>
      </w:r>
      <w:r w:rsidRPr="00DB5D0D">
        <w:rPr>
          <w:color w:val="000000" w:themeColor="text1"/>
          <w:lang w:val="ru-RU"/>
        </w:rPr>
        <w:softHyphen/>
        <w:t>личения и годовой план выпуска этой машины. В начале апреля, отвечая на просьбу Главспецмаша о скорейшем получении заклю</w:t>
      </w:r>
      <w:r w:rsidRPr="00DB5D0D">
        <w:rPr>
          <w:color w:val="000000" w:themeColor="text1"/>
          <w:lang w:val="ru-RU"/>
        </w:rPr>
        <w:softHyphen/>
        <w:t>чения комиссии о войсковых испытаниях, руководство АБТУ озвучи</w:t>
      </w:r>
      <w:r w:rsidRPr="00DB5D0D">
        <w:rPr>
          <w:color w:val="000000" w:themeColor="text1"/>
          <w:lang w:val="ru-RU"/>
        </w:rPr>
        <w:softHyphen/>
        <w:t xml:space="preserve">ло предварительную цифру нового годового плана на 1940 г.: </w:t>
      </w:r>
      <w:r w:rsidRPr="00DB5D0D">
        <w:rPr>
          <w:rStyle w:val="80pt22"/>
          <w:rFonts w:ascii="Times New Roman" w:hAnsi="Times New Roman" w:cs="Times New Roman"/>
          <w:i w:val="0"/>
          <w:iCs w:val="0"/>
          <w:color w:val="000000" w:themeColor="text1"/>
          <w:spacing w:val="0"/>
          <w:sz w:val="16"/>
          <w:szCs w:val="16"/>
          <w:lang w:val="ru-RU"/>
        </w:rPr>
        <w:t>10.04.1940 г. № 72149с</w:t>
      </w:r>
    </w:p>
    <w:p w14:paraId="3F5D654E"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НАЧАЛЬНИКУ ГЛАВСПЕЦМАША Н.К.С.М.</w:t>
      </w:r>
    </w:p>
    <w:p w14:paraId="7D0434CD"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на №397-1719</w:t>
      </w:r>
    </w:p>
    <w:p w14:paraId="256AAA04"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Сообщаю резолюцию Начальника АБТУ К. А. - Командарма 2-го ранга тов. Павлова: «Машину немедля ставить на серийное массо</w:t>
      </w:r>
      <w:r w:rsidRPr="00DB5D0D">
        <w:rPr>
          <w:rFonts w:ascii="Times New Roman" w:hAnsi="Times New Roman" w:cs="Times New Roman"/>
          <w:i w:val="0"/>
          <w:iCs w:val="0"/>
          <w:color w:val="000000" w:themeColor="text1"/>
          <w:spacing w:val="0"/>
          <w:sz w:val="16"/>
          <w:szCs w:val="16"/>
          <w:lang w:val="ru-RU"/>
        </w:rPr>
        <w:softHyphen/>
        <w:t>вое производство и в 1940 году дать не менее 450 шт.»</w:t>
      </w:r>
    </w:p>
    <w:p w14:paraId="08091394"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Одновременно сообщаю, что сроки для испытаний просрочены не по вине комиссии, а по причине вызова танков в г. Москву. Свое заключение комиссия предполагает дать 15-20 апреля с/г.</w:t>
      </w:r>
    </w:p>
    <w:p w14:paraId="5F40CA1D" w14:textId="77777777" w:rsidR="00A25AD1" w:rsidRPr="00DB5D0D" w:rsidRDefault="00A25AD1" w:rsidP="00DB5D0D">
      <w:pPr>
        <w:pStyle w:val="2210"/>
        <w:shd w:val="clear" w:color="auto" w:fill="auto"/>
        <w:spacing w:line="240" w:lineRule="auto"/>
        <w:rPr>
          <w:rFonts w:ascii="Times New Roman" w:hAnsi="Times New Roman" w:cs="Times New Roman"/>
          <w:i w:val="0"/>
          <w:iCs w:val="0"/>
          <w:color w:val="000000" w:themeColor="text1"/>
          <w:spacing w:val="0"/>
          <w:sz w:val="16"/>
          <w:szCs w:val="16"/>
          <w:lang w:val="ru-RU"/>
        </w:rPr>
      </w:pPr>
      <w:r w:rsidRPr="00DB5D0D">
        <w:rPr>
          <w:rFonts w:ascii="Times New Roman" w:hAnsi="Times New Roman" w:cs="Times New Roman"/>
          <w:i w:val="0"/>
          <w:iCs w:val="0"/>
          <w:color w:val="000000" w:themeColor="text1"/>
          <w:spacing w:val="0"/>
          <w:sz w:val="16"/>
          <w:szCs w:val="16"/>
          <w:lang w:val="ru-RU"/>
        </w:rPr>
        <w:t>НАЧАЛЬНИК 8 ОТДЕЛА АБТУ К. А. ВОЕНИНЖЕНЕР 1 РАНГА АФОНИН.</w:t>
      </w:r>
      <w:r w:rsidRPr="00DB5D0D">
        <w:rPr>
          <w:rStyle w:val="2250pt21"/>
          <w:rFonts w:ascii="Times New Roman" w:hAnsi="Times New Roman" w:cs="Times New Roman"/>
          <w:color w:val="000000" w:themeColor="text1"/>
          <w:sz w:val="16"/>
          <w:szCs w:val="16"/>
          <w:lang w:val="ru-RU"/>
        </w:rPr>
        <w:t xml:space="preserve"> [</w:t>
      </w:r>
      <w:r w:rsidRPr="00DB5D0D">
        <w:rPr>
          <w:rFonts w:ascii="Times New Roman" w:hAnsi="Times New Roman" w:cs="Times New Roman"/>
          <w:i w:val="0"/>
          <w:iCs w:val="0"/>
          <w:color w:val="000000" w:themeColor="text1"/>
          <w:spacing w:val="0"/>
          <w:sz w:val="16"/>
          <w:szCs w:val="16"/>
          <w:lang w:val="ru-RU"/>
        </w:rPr>
        <w:t>РГВА. Ф. 31811. Оп. 2.Д. 1181. Л. 78.</w:t>
      </w:r>
      <w:r w:rsidRPr="00DB5D0D">
        <w:rPr>
          <w:rStyle w:val="2250pt21"/>
          <w:rFonts w:ascii="Times New Roman" w:hAnsi="Times New Roman" w:cs="Times New Roman"/>
          <w:color w:val="000000" w:themeColor="text1"/>
          <w:sz w:val="16"/>
          <w:szCs w:val="16"/>
          <w:lang w:val="ru-RU"/>
        </w:rPr>
        <w:t>]</w:t>
      </w:r>
    </w:p>
    <w:p w14:paraId="5396A0F6" w14:textId="77777777" w:rsidR="00A25AD1" w:rsidRPr="00DB5D0D" w:rsidRDefault="00A25AD1" w:rsidP="00DB5D0D">
      <w:pPr>
        <w:pStyle w:val="a3"/>
        <w:rPr>
          <w:color w:val="000000" w:themeColor="text1"/>
          <w:lang w:val="ru-RU"/>
        </w:rPr>
      </w:pPr>
      <w:r w:rsidRPr="00DB5D0D">
        <w:rPr>
          <w:color w:val="000000" w:themeColor="text1"/>
          <w:lang w:val="ru-RU"/>
        </w:rPr>
        <w:t>Однако на тот момент существующие производственные мощ</w:t>
      </w:r>
      <w:r w:rsidRPr="00DB5D0D">
        <w:rPr>
          <w:color w:val="000000" w:themeColor="text1"/>
          <w:lang w:val="ru-RU"/>
        </w:rPr>
        <w:softHyphen/>
        <w:t>ности заводов, занятых в программе Т-34, никак не могли обеспе</w:t>
      </w:r>
      <w:r w:rsidRPr="00DB5D0D">
        <w:rPr>
          <w:color w:val="000000" w:themeColor="text1"/>
          <w:lang w:val="ru-RU"/>
        </w:rPr>
        <w:softHyphen/>
        <w:t>чить возросшие потребности военных. Весной на уровне наркома</w:t>
      </w:r>
      <w:r w:rsidRPr="00DB5D0D">
        <w:rPr>
          <w:color w:val="000000" w:themeColor="text1"/>
          <w:lang w:val="ru-RU"/>
        </w:rPr>
        <w:softHyphen/>
        <w:t>тов активно велись консультации о возможности увеличения выпус</w:t>
      </w:r>
      <w:r w:rsidRPr="00DB5D0D">
        <w:rPr>
          <w:color w:val="000000" w:themeColor="text1"/>
          <w:lang w:val="ru-RU"/>
        </w:rPr>
        <w:softHyphen/>
        <w:t>ка Т-34, достигнуть которого планировалось за счет расширения производственных площадей действующих заводов, оснащения их необходимым оборудованием, а также улучшения снабжения и фи</w:t>
      </w:r>
      <w:r w:rsidRPr="00DB5D0D">
        <w:rPr>
          <w:color w:val="000000" w:themeColor="text1"/>
          <w:lang w:val="ru-RU"/>
        </w:rPr>
        <w:softHyphen/>
        <w:t>нансирования. В результате появился проект Постановления Коми</w:t>
      </w:r>
      <w:r w:rsidRPr="00DB5D0D">
        <w:rPr>
          <w:color w:val="000000" w:themeColor="text1"/>
          <w:lang w:val="ru-RU"/>
        </w:rPr>
        <w:softHyphen/>
        <w:t>тета обороны «О производстве танка Т-34 в 1940 году», вышедший в свет 17 апреля 1940 г. (11899).</w:t>
      </w:r>
    </w:p>
    <w:p w14:paraId="54A9E2D2" w14:textId="77777777" w:rsidR="00A25AD1" w:rsidRPr="00DB5D0D" w:rsidRDefault="00A25AD1" w:rsidP="00DB5D0D">
      <w:pPr>
        <w:pStyle w:val="a3"/>
        <w:rPr>
          <w:color w:val="000000" w:themeColor="text1"/>
          <w:lang w:val="ru-RU"/>
        </w:rPr>
      </w:pPr>
    </w:p>
    <w:p w14:paraId="146F69E2" w14:textId="77777777" w:rsidR="00A25AD1" w:rsidRPr="00DB5D0D" w:rsidRDefault="00A25AD1" w:rsidP="00DB5D0D">
      <w:pPr>
        <w:pStyle w:val="a3"/>
        <w:rPr>
          <w:color w:val="000000" w:themeColor="text1"/>
          <w:lang w:val="ru-RU"/>
        </w:rPr>
      </w:pPr>
      <w:r w:rsidRPr="00DB5D0D">
        <w:rPr>
          <w:color w:val="000000" w:themeColor="text1"/>
          <w:lang w:val="ru-RU"/>
        </w:rPr>
        <w:t>Весной 1940 г. руководством НКТМ на самом высоком уровне был поднят вопрос о пересмотре решения Комитета обороны о производ</w:t>
      </w:r>
      <w:r w:rsidRPr="00DB5D0D">
        <w:rPr>
          <w:color w:val="000000" w:themeColor="text1"/>
          <w:lang w:val="ru-RU"/>
        </w:rPr>
        <w:softHyphen/>
        <w:t>стве пушки Ф-32 на Ленинградском Кировском заводе.</w:t>
      </w:r>
    </w:p>
    <w:p w14:paraId="113DC38B" w14:textId="77777777" w:rsidR="00A25AD1" w:rsidRPr="00DB5D0D" w:rsidRDefault="00A25AD1" w:rsidP="00DB5D0D">
      <w:pPr>
        <w:pStyle w:val="a3"/>
        <w:rPr>
          <w:color w:val="000000" w:themeColor="text1"/>
          <w:lang w:val="ru-RU"/>
        </w:rPr>
      </w:pPr>
      <w:r w:rsidRPr="00DB5D0D">
        <w:rPr>
          <w:color w:val="000000" w:themeColor="text1"/>
          <w:lang w:val="ru-RU"/>
        </w:rPr>
        <w:t>Напомним вкратце историю этого вопроса. С 1938 г. активно велась разработка единой 76-мм танковой пушки для нужд броне</w:t>
      </w:r>
      <w:r w:rsidRPr="00DB5D0D">
        <w:rPr>
          <w:color w:val="000000" w:themeColor="text1"/>
          <w:lang w:val="ru-RU"/>
        </w:rPr>
        <w:softHyphen/>
        <w:t>танковых войск. К середине 1939 г. на роль такой системы претен</w:t>
      </w:r>
      <w:r w:rsidRPr="00DB5D0D">
        <w:rPr>
          <w:color w:val="000000" w:themeColor="text1"/>
          <w:lang w:val="ru-RU"/>
        </w:rPr>
        <w:softHyphen/>
        <w:t>довали две танковые пушки — система Л-11 (разработки Ленинг</w:t>
      </w:r>
      <w:r w:rsidRPr="00DB5D0D">
        <w:rPr>
          <w:color w:val="000000" w:themeColor="text1"/>
          <w:lang w:val="ru-RU"/>
        </w:rPr>
        <w:softHyphen/>
        <w:t>радского Кировского завода НКТМ) и система Ф-32 (разработки за</w:t>
      </w:r>
      <w:r w:rsidRPr="00DB5D0D">
        <w:rPr>
          <w:color w:val="000000" w:themeColor="text1"/>
          <w:lang w:val="ru-RU"/>
        </w:rPr>
        <w:softHyphen/>
        <w:t>вода №92 НКВ). Весной 1939 г. обе пушки прошли полигонные ис</w:t>
      </w:r>
      <w:r w:rsidRPr="00DB5D0D">
        <w:rPr>
          <w:color w:val="000000" w:themeColor="text1"/>
          <w:lang w:val="ru-RU"/>
        </w:rPr>
        <w:softHyphen/>
        <w:t>пытания, по результатам которых было установлено, что система Ф-32 в танке обладает значительными преимуществами перед сис</w:t>
      </w:r>
      <w:r w:rsidRPr="00DB5D0D">
        <w:rPr>
          <w:color w:val="000000" w:themeColor="text1"/>
          <w:lang w:val="ru-RU"/>
        </w:rPr>
        <w:softHyphen/>
        <w:t>темой Л-11 в смысле удобств обслуживания, надежности работы механизмов и эксплуатационных свойств. Основным недостатком си</w:t>
      </w:r>
      <w:r w:rsidRPr="00DB5D0D">
        <w:rPr>
          <w:color w:val="000000" w:themeColor="text1"/>
          <w:lang w:val="ru-RU"/>
        </w:rPr>
        <w:softHyphen/>
        <w:t>стемы Л-11 являлась ненадежная работа противооткатных устройств при стрельбе под углами снижения (подробнее об испытаниях Л-11 и Ф-32 см. «ТиВ» №9/2010 г.).</w:t>
      </w:r>
    </w:p>
    <w:p w14:paraId="09836711" w14:textId="77777777" w:rsidR="00A25AD1" w:rsidRPr="00DB5D0D" w:rsidRDefault="00A25AD1" w:rsidP="00DB5D0D">
      <w:pPr>
        <w:pStyle w:val="a3"/>
        <w:rPr>
          <w:color w:val="000000" w:themeColor="text1"/>
          <w:lang w:val="ru-RU"/>
        </w:rPr>
      </w:pPr>
      <w:r w:rsidRPr="00DB5D0D">
        <w:rPr>
          <w:color w:val="000000" w:themeColor="text1"/>
          <w:lang w:val="ru-RU"/>
        </w:rPr>
        <w:t>В сентябре 1939 г. танковая пушка Ф-32 успешно прошла вой</w:t>
      </w:r>
      <w:r w:rsidRPr="00DB5D0D">
        <w:rPr>
          <w:color w:val="000000" w:themeColor="text1"/>
          <w:lang w:val="ru-RU"/>
        </w:rPr>
        <w:softHyphen/>
        <w:t>сковые испытания и в январе следующего года Постановлением Комитета обороны при СНК СССР №45сс от 27 января 1940 г. была принята на вооружение. Согласно этому же документу про</w:t>
      </w:r>
      <w:r w:rsidRPr="00DB5D0D">
        <w:rPr>
          <w:color w:val="000000" w:themeColor="text1"/>
          <w:lang w:val="ru-RU"/>
        </w:rPr>
        <w:softHyphen/>
        <w:t>изводство пушек Ф-32 поручалось освоить Кировскому заводу НКТМ. Система Л -11 до освоения массового выпуска Ф-32 с про</w:t>
      </w:r>
      <w:r w:rsidRPr="00DB5D0D">
        <w:rPr>
          <w:color w:val="000000" w:themeColor="text1"/>
          <w:lang w:val="ru-RU"/>
        </w:rPr>
        <w:softHyphen/>
        <w:t>изводства на Л КЗ не снималась и рассматривалась для нужд АБТУ как «промежуточная». В начале 1940 г. АБТУ приняло решение в качестве временной меры оснащать танки Т-34 системой Л-11 до момента начала серийного выпуска Ф-32. Кроме того, система Л-11 использовалась для постановки в укрепрайонах (УР) в каче</w:t>
      </w:r>
      <w:r w:rsidRPr="00DB5D0D">
        <w:rPr>
          <w:color w:val="000000" w:themeColor="text1"/>
          <w:lang w:val="ru-RU"/>
        </w:rPr>
        <w:softHyphen/>
        <w:t>стве капонирной пушки (Л-17) (11940).</w:t>
      </w:r>
    </w:p>
    <w:p w14:paraId="1115BA2A" w14:textId="77777777" w:rsidR="00A25AD1" w:rsidRPr="00DB5D0D" w:rsidRDefault="00A25AD1" w:rsidP="00DB5D0D">
      <w:pPr>
        <w:pStyle w:val="a3"/>
        <w:rPr>
          <w:color w:val="000000" w:themeColor="text1"/>
          <w:lang w:val="ru-RU"/>
        </w:rPr>
      </w:pPr>
    </w:p>
    <w:p w14:paraId="09939F93"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Весной 1940 года , в период изготовления опытного образца Ф-39, группа конструкторов ОКБ-92 (главный конструктор В.Г.Грабин) посетила КБ </w:t>
      </w:r>
      <w:hyperlink r:id="rId76"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 xml:space="preserve">истов. Согласовав чертежи пушки и боевого отделения </w:t>
      </w:r>
      <w:hyperlink r:id="rId77"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а, наша группа вернулась на завод, воодушевлённая успехом поездки. Сборка и отладка опытного образца и подготовка к его валовому производству двинулись после этого удвоенными темпами.</w:t>
      </w:r>
    </w:p>
    <w:p w14:paraId="7F5D745C"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Через три с половиной месяца после начала работы опытный образец 85-мм пушки  Ф-39 уже стоял в </w:t>
      </w:r>
      <w:hyperlink r:id="rId78"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 xml:space="preserve">е Т-28. Мощная пушка резко улучшила и так достаточно высокие характеристики </w:t>
      </w:r>
      <w:hyperlink r:id="rId79"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 xml:space="preserve">а. Заводские и полигонные испытания прошли очень успешно и были закончены в две недели. Опытный образец </w:t>
      </w:r>
      <w:hyperlink r:id="rId80"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 xml:space="preserve">а тотчас отправили на </w:t>
      </w:r>
      <w:hyperlink r:id="rId81"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овый завод.» (15647).</w:t>
      </w:r>
    </w:p>
    <w:p w14:paraId="3F45E2D6" w14:textId="77777777" w:rsidR="00A22B88" w:rsidRPr="00DB5D0D" w:rsidRDefault="00A22B88" w:rsidP="00DB5D0D">
      <w:pPr>
        <w:spacing w:after="0" w:line="240" w:lineRule="auto"/>
        <w:jc w:val="both"/>
        <w:rPr>
          <w:rFonts w:ascii="Times New Roman" w:hAnsi="Times New Roman"/>
          <w:color w:val="000000" w:themeColor="text1"/>
          <w:sz w:val="16"/>
          <w:szCs w:val="16"/>
        </w:rPr>
      </w:pPr>
    </w:p>
    <w:p w14:paraId="771BF7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по запросу АБТУ Наркомат вооружений начал проработку установки в танк Т-40 малокалиберной автоматической танковой пушки. Было отдано два задания на автоматическую малокали</w:t>
      </w:r>
      <w:r w:rsidRPr="00DB5D0D">
        <w:rPr>
          <w:rFonts w:ascii="Times New Roman" w:hAnsi="Times New Roman"/>
          <w:color w:val="000000" w:themeColor="text1"/>
          <w:sz w:val="16"/>
          <w:szCs w:val="16"/>
        </w:rPr>
        <w:softHyphen/>
        <w:t>берную танковую пушку. ОКБ-15 под руководством Б. Шпи-тального проектировало 20-мм танковую пушку на основе крупнокалиберного пулемета Шпитального-Владимирова (ШВАК), а ОКБ-16 под руководством Я. Таубина занялось разработкой 23-мм танковой пушки увеличенной мощности. В этом необъявленном конкурсе выигрывало молодое КБ Я. Таубина, подавшее уже через два месяца после начала проектных работ опытный образец пушки ПТ-23ТБ (Пушка танковая — 23-мм Таубина-Бабурина) для проведения отстрела. Это был вариант 23-мм пехотной зенитно-проти-вотанковой пушки, которая была приспособлена для уста</w:t>
      </w:r>
      <w:r w:rsidRPr="00DB5D0D">
        <w:rPr>
          <w:rFonts w:ascii="Times New Roman" w:hAnsi="Times New Roman"/>
          <w:color w:val="000000" w:themeColor="text1"/>
          <w:sz w:val="16"/>
          <w:szCs w:val="16"/>
        </w:rPr>
        <w:softHyphen/>
        <w:t>новки в башню Т-40. Руководил разработкой пехотного и танкового вариантов авиапушки МП-6 А. Нудельман. В ходе предварительных испытаний пушки в макете башни было замечено, что емкости танкового приемника на 7 и пехотного на 9 патронов недостаточно, чтобы вести полноценный бой, и в перечне работ по усовершенствова</w:t>
      </w:r>
      <w:r w:rsidRPr="00DB5D0D">
        <w:rPr>
          <w:rFonts w:ascii="Times New Roman" w:hAnsi="Times New Roman"/>
          <w:color w:val="000000" w:themeColor="text1"/>
          <w:sz w:val="16"/>
          <w:szCs w:val="16"/>
        </w:rPr>
        <w:softHyphen/>
        <w:t>нию изделия значилось пожелание ввести магазинное пи</w:t>
      </w:r>
      <w:r w:rsidRPr="00DB5D0D">
        <w:rPr>
          <w:rFonts w:ascii="Times New Roman" w:hAnsi="Times New Roman"/>
          <w:color w:val="000000" w:themeColor="text1"/>
          <w:sz w:val="16"/>
          <w:szCs w:val="16"/>
        </w:rPr>
        <w:softHyphen/>
        <w:t>тание с 25—20 патронов, а лучше — перевести пушку на ленточное питание. 20 января 1941 пушка была установлена на танк для проведения ходовых испытаний (10782).</w:t>
      </w:r>
    </w:p>
    <w:p w14:paraId="06F28F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2692C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анализируя в техническом обосновании вариантов эс</w:t>
      </w:r>
      <w:r w:rsidRPr="00DB5D0D">
        <w:rPr>
          <w:rFonts w:ascii="Times New Roman" w:hAnsi="Times New Roman"/>
          <w:color w:val="000000" w:themeColor="text1"/>
          <w:sz w:val="16"/>
          <w:szCs w:val="16"/>
        </w:rPr>
        <w:softHyphen/>
        <w:t>кизного проекта нового пехотного танка «126» последний боевой опыт и развитие зарубежной противотанковой ар</w:t>
      </w:r>
      <w:r w:rsidRPr="00DB5D0D">
        <w:rPr>
          <w:rFonts w:ascii="Times New Roman" w:hAnsi="Times New Roman"/>
          <w:color w:val="000000" w:themeColor="text1"/>
          <w:sz w:val="16"/>
          <w:szCs w:val="16"/>
        </w:rPr>
        <w:softHyphen/>
        <w:t>тиллерии, назначенный на должность главного конструк</w:t>
      </w:r>
      <w:r w:rsidRPr="00DB5D0D">
        <w:rPr>
          <w:rFonts w:ascii="Times New Roman" w:hAnsi="Times New Roman"/>
          <w:color w:val="000000" w:themeColor="text1"/>
          <w:sz w:val="16"/>
          <w:szCs w:val="16"/>
        </w:rPr>
        <w:softHyphen/>
        <w:t>тора завода № 174 им. К. Е. Ворошилова С. Гинзбург писал:</w:t>
      </w:r>
    </w:p>
    <w:p w14:paraId="37DF99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и скорострельность современных противотан</w:t>
      </w:r>
      <w:r w:rsidRPr="00DB5D0D">
        <w:rPr>
          <w:rFonts w:ascii="Times New Roman" w:hAnsi="Times New Roman"/>
          <w:color w:val="000000" w:themeColor="text1"/>
          <w:sz w:val="16"/>
          <w:szCs w:val="16"/>
        </w:rPr>
        <w:softHyphen/>
        <w:t>ковых 37 мм пушек, является достаточной, чтобы сделать безуспешной аттаку роты тонкобронных танков, производя</w:t>
      </w:r>
      <w:r w:rsidRPr="00DB5D0D">
        <w:rPr>
          <w:rFonts w:ascii="Times New Roman" w:hAnsi="Times New Roman"/>
          <w:color w:val="000000" w:themeColor="text1"/>
          <w:sz w:val="16"/>
          <w:szCs w:val="16"/>
        </w:rPr>
        <w:softHyphen/>
        <w:t>щуюся в строю по-взводно, при условии наличия 1-2-х противо</w:t>
      </w:r>
      <w:r w:rsidRPr="00DB5D0D">
        <w:rPr>
          <w:rFonts w:ascii="Times New Roman" w:hAnsi="Times New Roman"/>
          <w:color w:val="000000" w:themeColor="text1"/>
          <w:sz w:val="16"/>
          <w:szCs w:val="16"/>
        </w:rPr>
        <w:softHyphen/>
        <w:t>танковых пушек на 200-400метров протяжения фронта.</w:t>
      </w:r>
    </w:p>
    <w:p w14:paraId="18027A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Противотанковые инженерные оборонительные средства (рвы, надолбы, ловушки, мины, фугасы и т.д.) допускают воз</w:t>
      </w:r>
      <w:r w:rsidRPr="00DB5D0D">
        <w:rPr>
          <w:rFonts w:ascii="Times New Roman" w:hAnsi="Times New Roman"/>
          <w:color w:val="000000" w:themeColor="text1"/>
          <w:sz w:val="16"/>
          <w:szCs w:val="16"/>
        </w:rPr>
        <w:softHyphen/>
        <w:t>можность их массового применения, даже в условиях быстро сооруженных оборонительных линий, не говоря уже о массовос</w:t>
      </w:r>
      <w:r w:rsidRPr="00DB5D0D">
        <w:rPr>
          <w:rFonts w:ascii="Times New Roman" w:hAnsi="Times New Roman"/>
          <w:color w:val="000000" w:themeColor="text1"/>
          <w:sz w:val="16"/>
          <w:szCs w:val="16"/>
        </w:rPr>
        <w:softHyphen/>
        <w:t>ти их применения в условиях долговременных укрепрайонов.</w:t>
      </w:r>
    </w:p>
    <w:p w14:paraId="322C09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фактор современной противотанковой обороны приводит к необходимости действий танков в узких по фрон</w:t>
      </w:r>
      <w:r w:rsidRPr="00DB5D0D">
        <w:rPr>
          <w:rFonts w:ascii="Times New Roman" w:hAnsi="Times New Roman"/>
          <w:color w:val="000000" w:themeColor="text1"/>
          <w:sz w:val="16"/>
          <w:szCs w:val="16"/>
        </w:rPr>
        <w:softHyphen/>
        <w:t>ту проходах, в неразвернутых строях., что значительно повы</w:t>
      </w:r>
      <w:r w:rsidRPr="00DB5D0D">
        <w:rPr>
          <w:rFonts w:ascii="Times New Roman" w:hAnsi="Times New Roman"/>
          <w:color w:val="000000" w:themeColor="text1"/>
          <w:sz w:val="16"/>
          <w:szCs w:val="16"/>
        </w:rPr>
        <w:softHyphen/>
        <w:t>шает силу противотанковой обороны.</w:t>
      </w:r>
    </w:p>
    <w:p w14:paraId="5E8635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Применение толстобронных танков прорыва, как сред</w:t>
      </w:r>
      <w:r w:rsidRPr="00DB5D0D">
        <w:rPr>
          <w:rFonts w:ascii="Times New Roman" w:hAnsi="Times New Roman"/>
          <w:color w:val="000000" w:themeColor="text1"/>
          <w:sz w:val="16"/>
          <w:szCs w:val="16"/>
        </w:rPr>
        <w:softHyphen/>
        <w:t>ства предварительного подавления противотанковой оборо</w:t>
      </w:r>
      <w:r w:rsidRPr="00DB5D0D">
        <w:rPr>
          <w:rFonts w:ascii="Times New Roman" w:hAnsi="Times New Roman"/>
          <w:color w:val="000000" w:themeColor="text1"/>
          <w:sz w:val="16"/>
          <w:szCs w:val="16"/>
        </w:rPr>
        <w:softHyphen/>
        <w:t>ны, не дает уверенного обеспечения успешной аттаки танков непосредственной поддержки пехоты, т.к. противотанковые пушки' и автоматы, в основном, будут применены только против танков, сопровождающих аттаку пехоты, и до их аттаки не будут обнаружены</w:t>
      </w:r>
    </w:p>
    <w:p w14:paraId="5DBF25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успеха подобного раздельного применения разных типов танков, потребуется наличие значительного количес</w:t>
      </w:r>
      <w:r w:rsidRPr="00DB5D0D">
        <w:rPr>
          <w:rFonts w:ascii="Times New Roman" w:hAnsi="Times New Roman"/>
          <w:color w:val="000000" w:themeColor="text1"/>
          <w:sz w:val="16"/>
          <w:szCs w:val="16"/>
        </w:rPr>
        <w:softHyphen/>
        <w:t>тва танков, защищенных от снарядов современных противо</w:t>
      </w:r>
      <w:r w:rsidRPr="00DB5D0D">
        <w:rPr>
          <w:rFonts w:ascii="Times New Roman" w:hAnsi="Times New Roman"/>
          <w:color w:val="000000" w:themeColor="text1"/>
          <w:sz w:val="16"/>
          <w:szCs w:val="16"/>
        </w:rPr>
        <w:softHyphen/>
        <w:t>танковых пушек.</w:t>
      </w:r>
    </w:p>
    <w:p w14:paraId="091DBD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тем более будет очевидным при учете массовости средств ПТО в современных армиях и ведения войны на боль</w:t>
      </w:r>
      <w:r w:rsidRPr="00DB5D0D">
        <w:rPr>
          <w:rFonts w:ascii="Times New Roman" w:hAnsi="Times New Roman"/>
          <w:color w:val="000000" w:themeColor="text1"/>
          <w:sz w:val="16"/>
          <w:szCs w:val="16"/>
        </w:rPr>
        <w:softHyphen/>
        <w:t>шом протяжении фронта.</w:t>
      </w:r>
    </w:p>
    <w:p w14:paraId="54F9B6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анализа необходимо учесть мощность средств ПТО наиболее оснащенных армий капиталистических государств. Германская дивизия, помимо возможного наличия большого числа новых пушечных танков, располагает кроме того, дву</w:t>
      </w:r>
      <w:r w:rsidRPr="00DB5D0D">
        <w:rPr>
          <w:rFonts w:ascii="Times New Roman" w:hAnsi="Times New Roman"/>
          <w:color w:val="000000" w:themeColor="text1"/>
          <w:sz w:val="16"/>
          <w:szCs w:val="16"/>
        </w:rPr>
        <w:softHyphen/>
        <w:t>мя артполками ПТО, имеющих всего — 72 — 37мм пушки и 3-мя дивизионами полковой артиллерии 36-ть пушек 75 мм.</w:t>
      </w:r>
    </w:p>
    <w:p w14:paraId="0AEA72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 дивизия, находясь в обороне по фронту, длиною в 6-8 километров (даже 10 километров) может располагать в сред</w:t>
      </w:r>
      <w:r w:rsidRPr="00DB5D0D">
        <w:rPr>
          <w:rFonts w:ascii="Times New Roman" w:hAnsi="Times New Roman"/>
          <w:color w:val="000000" w:themeColor="text1"/>
          <w:sz w:val="16"/>
          <w:szCs w:val="16"/>
        </w:rPr>
        <w:softHyphen/>
        <w:t>нем 7-9-ю противотанками пушками на 1 километр по фронту.</w:t>
      </w:r>
    </w:p>
    <w:p w14:paraId="5F3342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учете же полковой артиллерии, использования мест</w:t>
      </w:r>
      <w:r w:rsidRPr="00DB5D0D">
        <w:rPr>
          <w:rFonts w:ascii="Times New Roman" w:hAnsi="Times New Roman"/>
          <w:color w:val="000000" w:themeColor="text1"/>
          <w:sz w:val="16"/>
          <w:szCs w:val="16"/>
        </w:rPr>
        <w:softHyphen/>
        <w:t>ности и наличия инженерных средств ПТО, это количество противотанковых пушек может быть умножено на участ</w:t>
      </w:r>
      <w:r w:rsidRPr="00DB5D0D">
        <w:rPr>
          <w:rFonts w:ascii="Times New Roman" w:hAnsi="Times New Roman"/>
          <w:color w:val="000000" w:themeColor="text1"/>
          <w:sz w:val="16"/>
          <w:szCs w:val="16"/>
        </w:rPr>
        <w:softHyphen/>
        <w:t>ках возможного главного удара или направлениях вероятной аттаки танков. Против такой мощной обороны вероят</w:t>
      </w:r>
      <w:r w:rsidRPr="00DB5D0D">
        <w:rPr>
          <w:rFonts w:ascii="Times New Roman" w:hAnsi="Times New Roman"/>
          <w:color w:val="000000" w:themeColor="text1"/>
          <w:sz w:val="16"/>
          <w:szCs w:val="16"/>
        </w:rPr>
        <w:softHyphen/>
        <w:t>ность успеха аттаки тонкобронных танков будет сомни</w:t>
      </w:r>
      <w:r w:rsidRPr="00DB5D0D">
        <w:rPr>
          <w:rFonts w:ascii="Times New Roman" w:hAnsi="Times New Roman"/>
          <w:color w:val="000000" w:themeColor="text1"/>
          <w:sz w:val="16"/>
          <w:szCs w:val="16"/>
        </w:rPr>
        <w:softHyphen/>
        <w:t>тельной, если даже не безуспешной...</w:t>
      </w:r>
    </w:p>
    <w:p w14:paraId="4C7F1F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этих факторов необходимо учесть возможное перс</w:t>
      </w:r>
      <w:r w:rsidRPr="00DB5D0D">
        <w:rPr>
          <w:rFonts w:ascii="Times New Roman" w:hAnsi="Times New Roman"/>
          <w:color w:val="000000" w:themeColor="text1"/>
          <w:sz w:val="16"/>
          <w:szCs w:val="16"/>
        </w:rPr>
        <w:softHyphen/>
        <w:t>пективное развитие противотанкового оружия. Современ</w:t>
      </w:r>
      <w:r w:rsidRPr="00DB5D0D">
        <w:rPr>
          <w:rFonts w:ascii="Times New Roman" w:hAnsi="Times New Roman"/>
          <w:color w:val="000000" w:themeColor="text1"/>
          <w:sz w:val="16"/>
          <w:szCs w:val="16"/>
        </w:rPr>
        <w:softHyphen/>
        <w:t>ные наиболее массовые и мощные противотанковые пушки 37-47 мм калибра, появились 8-10 лет назад. За это время эти пушки почти не подверглись изменениям. Начальные скорости пушек остались в пределах 800-900 мтр в секунду. За истекший период имеет место, главным образом, широкое оснащение войск этими пушками. В дальнейшем, на ближай</w:t>
      </w:r>
      <w:r w:rsidRPr="00DB5D0D">
        <w:rPr>
          <w:rFonts w:ascii="Times New Roman" w:hAnsi="Times New Roman"/>
          <w:color w:val="000000" w:themeColor="text1"/>
          <w:sz w:val="16"/>
          <w:szCs w:val="16"/>
        </w:rPr>
        <w:softHyphen/>
        <w:t>ший период нельзя также ожидать резкого и быстрого изме</w:t>
      </w:r>
      <w:r w:rsidRPr="00DB5D0D">
        <w:rPr>
          <w:rFonts w:ascii="Times New Roman" w:hAnsi="Times New Roman"/>
          <w:color w:val="000000" w:themeColor="text1"/>
          <w:sz w:val="16"/>
          <w:szCs w:val="16"/>
        </w:rPr>
        <w:softHyphen/>
        <w:t>нения их баллистических данных, ибо этот путь весьма за</w:t>
      </w:r>
      <w:r w:rsidRPr="00DB5D0D">
        <w:rPr>
          <w:rFonts w:ascii="Times New Roman" w:hAnsi="Times New Roman"/>
          <w:color w:val="000000" w:themeColor="text1"/>
          <w:sz w:val="16"/>
          <w:szCs w:val="16"/>
        </w:rPr>
        <w:softHyphen/>
        <w:t>труднен возрастающими при этом габаритами и весами са</w:t>
      </w:r>
      <w:r w:rsidRPr="00DB5D0D">
        <w:rPr>
          <w:rFonts w:ascii="Times New Roman" w:hAnsi="Times New Roman"/>
          <w:color w:val="000000" w:themeColor="text1"/>
          <w:sz w:val="16"/>
          <w:szCs w:val="16"/>
        </w:rPr>
        <w:softHyphen/>
        <w:t>мих пушек, что может весьма снизить удобство, пользования ими и их приспособляемость (скрытность) на поле боя, а как следствие маневр обороны ПТО...» (10782).</w:t>
      </w:r>
    </w:p>
    <w:p w14:paraId="43F3D8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CCC89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анализируя пробивную способность современной ско</w:t>
      </w:r>
      <w:r w:rsidRPr="00DB5D0D">
        <w:rPr>
          <w:rFonts w:ascii="Times New Roman" w:hAnsi="Times New Roman"/>
          <w:color w:val="000000" w:themeColor="text1"/>
          <w:sz w:val="16"/>
          <w:szCs w:val="16"/>
        </w:rPr>
        <w:softHyphen/>
        <w:t>рострельной противотанковой артиллерии, зам. наркома обороны, нач. ГАУ Г. Кулик писал своему шефу:</w:t>
      </w:r>
    </w:p>
    <w:p w14:paraId="4DD3B5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«Современная противотанковая 37-47-мм пушка способна пробить броню высокой твердости толщиной до 35 мм с рас</w:t>
      </w:r>
      <w:r w:rsidRPr="00DB5D0D">
        <w:rPr>
          <w:rFonts w:ascii="Times New Roman" w:hAnsi="Times New Roman"/>
          <w:color w:val="000000" w:themeColor="text1"/>
          <w:sz w:val="16"/>
          <w:szCs w:val="16"/>
        </w:rPr>
        <w:softHyphen/>
        <w:t>стояния в 300-500 м. Но уже в случае увеличения ее толщины до 40-45 мм, эта дальность резко падает. Таким образом, со</w:t>
      </w:r>
      <w:r w:rsidRPr="00DB5D0D">
        <w:rPr>
          <w:rFonts w:ascii="Times New Roman" w:hAnsi="Times New Roman"/>
          <w:color w:val="000000" w:themeColor="text1"/>
          <w:sz w:val="16"/>
          <w:szCs w:val="16"/>
        </w:rPr>
        <w:softHyphen/>
        <w:t>временная броня толщиной 40-45 мм может считаться защи</w:t>
      </w:r>
      <w:r w:rsidRPr="00DB5D0D">
        <w:rPr>
          <w:rFonts w:ascii="Times New Roman" w:hAnsi="Times New Roman"/>
          <w:color w:val="000000" w:themeColor="text1"/>
          <w:sz w:val="16"/>
          <w:szCs w:val="16"/>
        </w:rPr>
        <w:softHyphen/>
        <w:t>щающей от огня наиболее распространенных образцов проти</w:t>
      </w:r>
      <w:r w:rsidRPr="00DB5D0D">
        <w:rPr>
          <w:rFonts w:ascii="Times New Roman" w:hAnsi="Times New Roman"/>
          <w:color w:val="000000" w:themeColor="text1"/>
          <w:sz w:val="16"/>
          <w:szCs w:val="16"/>
        </w:rPr>
        <w:softHyphen/>
        <w:t>вотанковой артиллерии калибра 37-47 мм с нач. скоростью 700-900мтр в секунду... Эта толщина может быть еще пони</w:t>
      </w:r>
      <w:r w:rsidRPr="00DB5D0D">
        <w:rPr>
          <w:rFonts w:ascii="Times New Roman" w:hAnsi="Times New Roman"/>
          <w:color w:val="000000" w:themeColor="text1"/>
          <w:sz w:val="16"/>
          <w:szCs w:val="16"/>
        </w:rPr>
        <w:softHyphen/>
        <w:t>жена при применении дополнительно упрочненной брони и бро</w:t>
      </w:r>
      <w:r w:rsidRPr="00DB5D0D">
        <w:rPr>
          <w:rFonts w:ascii="Times New Roman" w:hAnsi="Times New Roman"/>
          <w:color w:val="000000" w:themeColor="text1"/>
          <w:sz w:val="16"/>
          <w:szCs w:val="16"/>
        </w:rPr>
        <w:softHyphen/>
        <w:t>ни, поставленной под наклоном...» (10782).</w:t>
      </w:r>
    </w:p>
    <w:p w14:paraId="4DF0FF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18440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апреле 1940 опытный образец бойкового минного трала для танка Т-28 (ТР-28), разработанный весной 1940 в КБ завода № 185 и Белогурцевым и А.В.Калоевым, поставили на Т-28 и в июле-августе 1940 - испытанли на НИБТ полигоне. На вооружении и в серии - не был (9527,240).</w:t>
      </w:r>
    </w:p>
    <w:p w14:paraId="39A5C6A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C2446A" w14:textId="77777777" w:rsidR="00A25AD1" w:rsidRPr="00DB5D0D" w:rsidRDefault="00A25AD1" w:rsidP="00DB5D0D">
      <w:pPr>
        <w:pStyle w:val="a3"/>
        <w:rPr>
          <w:color w:val="000000" w:themeColor="text1"/>
          <w:lang w:val="ru-RU"/>
        </w:rPr>
      </w:pPr>
      <w:r w:rsidRPr="00DB5D0D">
        <w:rPr>
          <w:color w:val="000000" w:themeColor="text1"/>
          <w:lang w:val="ru-RU"/>
        </w:rPr>
        <w:t>Весной 1940г. на заводе №185 опытный об</w:t>
      </w:r>
      <w:r w:rsidRPr="00DB5D0D">
        <w:rPr>
          <w:color w:val="000000" w:themeColor="text1"/>
          <w:lang w:val="ru-RU"/>
        </w:rPr>
        <w:softHyphen/>
        <w:t>разец бойкового трала установили на Т-28, в июле—августе этот танк прошел испытания на НИБТ полигоне. На вооружение бойковый трал не принимался.</w:t>
      </w:r>
    </w:p>
    <w:p w14:paraId="62C7713F" w14:textId="77777777" w:rsidR="00A25AD1" w:rsidRPr="00DB5D0D" w:rsidRDefault="00A25AD1" w:rsidP="00DB5D0D">
      <w:pPr>
        <w:pStyle w:val="a3"/>
        <w:rPr>
          <w:color w:val="000000" w:themeColor="text1"/>
          <w:lang w:val="ru-RU"/>
        </w:rPr>
      </w:pPr>
      <w:r w:rsidRPr="00DB5D0D">
        <w:rPr>
          <w:color w:val="000000" w:themeColor="text1"/>
          <w:lang w:val="ru-RU"/>
        </w:rPr>
        <w:t>Бойковый трал имел барабан, на котором в определенном порядке располагались бойки, подвешенные на тросах диаметром 10—12 мм. При движении танка барабан приводился во вра</w:t>
      </w:r>
      <w:r w:rsidRPr="00DB5D0D">
        <w:rPr>
          <w:color w:val="000000" w:themeColor="text1"/>
          <w:lang w:val="ru-RU"/>
        </w:rPr>
        <w:softHyphen/>
        <w:t>щение с помощью цепного привода от направ</w:t>
      </w:r>
      <w:r w:rsidRPr="00DB5D0D">
        <w:rPr>
          <w:color w:val="000000" w:themeColor="text1"/>
          <w:lang w:val="ru-RU"/>
        </w:rPr>
        <w:softHyphen/>
        <w:t>ляющего колеса танка. Для этой цели сбоку на направляющем колесе устанавливались две звездочки: одна (малая) — для цепного приво</w:t>
      </w:r>
      <w:r w:rsidRPr="00DB5D0D">
        <w:rPr>
          <w:color w:val="000000" w:themeColor="text1"/>
          <w:lang w:val="ru-RU"/>
        </w:rPr>
        <w:softHyphen/>
        <w:t>да, вторая (большая) — для зацепления с цев</w:t>
      </w:r>
      <w:r w:rsidRPr="00DB5D0D">
        <w:rPr>
          <w:color w:val="000000" w:themeColor="text1"/>
          <w:lang w:val="ru-RU"/>
        </w:rPr>
        <w:softHyphen/>
        <w:t>ками траков гусеницы и исключения проскаль</w:t>
      </w:r>
      <w:r w:rsidRPr="00DB5D0D">
        <w:rPr>
          <w:color w:val="000000" w:themeColor="text1"/>
          <w:lang w:val="ru-RU"/>
        </w:rPr>
        <w:softHyphen/>
        <w:t>зывания направляющего колеса. Скорость тра</w:t>
      </w:r>
      <w:r w:rsidRPr="00DB5D0D">
        <w:rPr>
          <w:color w:val="000000" w:themeColor="text1"/>
          <w:lang w:val="ru-RU"/>
        </w:rPr>
        <w:softHyphen/>
        <w:t>ления составляла 10—15 км/ч.</w:t>
      </w:r>
    </w:p>
    <w:p w14:paraId="18505674" w14:textId="77777777" w:rsidR="00A25AD1" w:rsidRPr="00DB5D0D" w:rsidRDefault="00A25AD1" w:rsidP="00DB5D0D">
      <w:pPr>
        <w:pStyle w:val="a3"/>
        <w:rPr>
          <w:color w:val="000000" w:themeColor="text1"/>
          <w:lang w:val="ru-RU"/>
        </w:rPr>
      </w:pPr>
      <w:r w:rsidRPr="00DB5D0D">
        <w:rPr>
          <w:color w:val="000000" w:themeColor="text1"/>
          <w:lang w:val="ru-RU"/>
        </w:rPr>
        <w:t>Тралы при испытаниях показали неудовлет</w:t>
      </w:r>
      <w:r w:rsidRPr="00DB5D0D">
        <w:rPr>
          <w:color w:val="000000" w:themeColor="text1"/>
          <w:lang w:val="ru-RU"/>
        </w:rPr>
        <w:softHyphen/>
        <w:t>ворительные результаты и не были приняты на вооружение вследствие:</w:t>
      </w:r>
    </w:p>
    <w:p w14:paraId="5D116E70" w14:textId="77777777" w:rsidR="00A25AD1" w:rsidRPr="00DB5D0D" w:rsidRDefault="00A25AD1" w:rsidP="00DB5D0D">
      <w:pPr>
        <w:pStyle w:val="a3"/>
        <w:tabs>
          <w:tab w:val="left" w:pos="188"/>
        </w:tabs>
        <w:rPr>
          <w:color w:val="000000" w:themeColor="text1"/>
          <w:lang w:val="ru-RU"/>
        </w:rPr>
      </w:pPr>
      <w:r w:rsidRPr="00DB5D0D">
        <w:rPr>
          <w:color w:val="000000" w:themeColor="text1"/>
          <w:lang w:val="ru-RU"/>
        </w:rPr>
        <w:t>- недостаточной надежности конструкции;</w:t>
      </w:r>
    </w:p>
    <w:p w14:paraId="00C6B7C7" w14:textId="77777777" w:rsidR="00A25AD1" w:rsidRPr="00DB5D0D" w:rsidRDefault="00A25AD1" w:rsidP="00DB5D0D">
      <w:pPr>
        <w:pStyle w:val="a3"/>
        <w:tabs>
          <w:tab w:val="left" w:pos="197"/>
        </w:tabs>
        <w:rPr>
          <w:color w:val="000000" w:themeColor="text1"/>
          <w:lang w:val="ru-RU"/>
        </w:rPr>
      </w:pPr>
      <w:r w:rsidRPr="00DB5D0D">
        <w:rPr>
          <w:color w:val="000000" w:themeColor="text1"/>
          <w:lang w:val="ru-RU"/>
        </w:rPr>
        <w:t>- забрасывания пылью, грязью и снегом смотровых приборов танка работающим органом;</w:t>
      </w:r>
    </w:p>
    <w:p w14:paraId="6284EEC9" w14:textId="77777777" w:rsidR="00A25AD1" w:rsidRPr="00DB5D0D" w:rsidRDefault="00A25AD1" w:rsidP="00DB5D0D">
      <w:pPr>
        <w:pStyle w:val="a3"/>
        <w:tabs>
          <w:tab w:val="left" w:pos="197"/>
        </w:tabs>
        <w:rPr>
          <w:color w:val="000000" w:themeColor="text1"/>
          <w:lang w:val="ru-RU"/>
        </w:rPr>
      </w:pPr>
      <w:r w:rsidRPr="00DB5D0D">
        <w:rPr>
          <w:color w:val="000000" w:themeColor="text1"/>
          <w:lang w:val="ru-RU"/>
        </w:rPr>
        <w:t>- наличия при работающем трале впереди танка пелены из пыли, грязи или снега, что при</w:t>
      </w:r>
      <w:r w:rsidRPr="00DB5D0D">
        <w:rPr>
          <w:color w:val="000000" w:themeColor="text1"/>
          <w:lang w:val="ru-RU"/>
        </w:rPr>
        <w:softHyphen/>
        <w:t>водило к потере ориентировки водителем;</w:t>
      </w:r>
    </w:p>
    <w:p w14:paraId="20C97648" w14:textId="77777777" w:rsidR="00A25AD1" w:rsidRPr="00DB5D0D" w:rsidRDefault="00A25AD1" w:rsidP="00DB5D0D">
      <w:pPr>
        <w:pStyle w:val="a3"/>
        <w:tabs>
          <w:tab w:val="left" w:pos="187"/>
        </w:tabs>
        <w:rPr>
          <w:color w:val="000000" w:themeColor="text1"/>
          <w:lang w:val="ru-RU"/>
        </w:rPr>
      </w:pPr>
      <w:r w:rsidRPr="00DB5D0D">
        <w:rPr>
          <w:color w:val="000000" w:themeColor="text1"/>
          <w:lang w:val="ru-RU"/>
        </w:rPr>
        <w:t>- спутывания при работе тросов бойков тра</w:t>
      </w:r>
      <w:r w:rsidRPr="00DB5D0D">
        <w:rPr>
          <w:color w:val="000000" w:themeColor="text1"/>
          <w:lang w:val="ru-RU"/>
        </w:rPr>
        <w:softHyphen/>
        <w:t>ла, что приводило к пропуску мин;</w:t>
      </w:r>
    </w:p>
    <w:p w14:paraId="6BCB5E41" w14:textId="77777777" w:rsidR="00A25AD1" w:rsidRPr="00DB5D0D" w:rsidRDefault="00A25AD1" w:rsidP="00DB5D0D">
      <w:pPr>
        <w:pStyle w:val="a3"/>
        <w:tabs>
          <w:tab w:val="left" w:pos="187"/>
        </w:tabs>
        <w:rPr>
          <w:color w:val="000000" w:themeColor="text1"/>
          <w:lang w:val="ru-RU"/>
        </w:rPr>
      </w:pPr>
      <w:r w:rsidRPr="00DB5D0D">
        <w:rPr>
          <w:color w:val="000000" w:themeColor="text1"/>
          <w:lang w:val="ru-RU"/>
        </w:rPr>
        <w:t>- отрыва 7—8 бойков от трала при подрыве мины, что нарушало в дальнейшем эффектив</w:t>
      </w:r>
      <w:r w:rsidRPr="00DB5D0D">
        <w:rPr>
          <w:color w:val="000000" w:themeColor="text1"/>
          <w:lang w:val="ru-RU"/>
        </w:rPr>
        <w:softHyphen/>
        <w:t>ность его работы.</w:t>
      </w:r>
    </w:p>
    <w:p w14:paraId="73EBC2FF" w14:textId="77777777" w:rsidR="00A25AD1" w:rsidRPr="00DB5D0D" w:rsidRDefault="00A25AD1" w:rsidP="00DB5D0D">
      <w:pPr>
        <w:pStyle w:val="a3"/>
        <w:rPr>
          <w:color w:val="000000" w:themeColor="text1"/>
          <w:lang w:val="ru-RU"/>
        </w:rPr>
      </w:pPr>
      <w:r w:rsidRPr="00DB5D0D">
        <w:rPr>
          <w:color w:val="000000" w:themeColor="text1"/>
          <w:lang w:val="ru-RU"/>
        </w:rPr>
        <w:t>По результатам проведенных испытаний дальнейшие работы по бойковым тралам были прекращены.</w:t>
      </w:r>
    </w:p>
    <w:p w14:paraId="36A49351" w14:textId="77777777" w:rsidR="00A25AD1" w:rsidRPr="00DB5D0D" w:rsidRDefault="00A25AD1" w:rsidP="00DB5D0D">
      <w:pPr>
        <w:pStyle w:val="a3"/>
        <w:rPr>
          <w:color w:val="000000" w:themeColor="text1"/>
          <w:lang w:val="ru-RU"/>
        </w:rPr>
      </w:pPr>
      <w:r w:rsidRPr="00DB5D0D">
        <w:rPr>
          <w:color w:val="000000" w:themeColor="text1"/>
          <w:lang w:val="ru-RU"/>
        </w:rPr>
        <w:t>В качестве основного типа был принят катковый трал как наиболее эффективный. На со</w:t>
      </w:r>
      <w:r w:rsidRPr="00DB5D0D">
        <w:rPr>
          <w:color w:val="000000" w:themeColor="text1"/>
          <w:lang w:val="ru-RU"/>
        </w:rPr>
        <w:softHyphen/>
        <w:t>вершенствование его конструкции были направ</w:t>
      </w:r>
      <w:r w:rsidRPr="00DB5D0D">
        <w:rPr>
          <w:color w:val="000000" w:themeColor="text1"/>
          <w:lang w:val="ru-RU"/>
        </w:rPr>
        <w:softHyphen/>
        <w:t>лены основные усилия конструкторов-исследо</w:t>
      </w:r>
      <w:r w:rsidRPr="00DB5D0D">
        <w:rPr>
          <w:color w:val="000000" w:themeColor="text1"/>
          <w:lang w:val="ru-RU"/>
        </w:rPr>
        <w:softHyphen/>
        <w:t>вателей . Катковый трал надежно приводил к сра</w:t>
      </w:r>
      <w:r w:rsidRPr="00DB5D0D">
        <w:rPr>
          <w:color w:val="000000" w:themeColor="text1"/>
          <w:lang w:val="ru-RU"/>
        </w:rPr>
        <w:softHyphen/>
        <w:t>батыванию механические (нажимные) взрывате</w:t>
      </w:r>
      <w:r w:rsidRPr="00DB5D0D">
        <w:rPr>
          <w:color w:val="000000" w:themeColor="text1"/>
          <w:lang w:val="ru-RU"/>
        </w:rPr>
        <w:softHyphen/>
        <w:t>ли мин предвоенного периода.</w:t>
      </w:r>
    </w:p>
    <w:p w14:paraId="62B46CCE" w14:textId="77777777" w:rsidR="00A25AD1" w:rsidRPr="00DB5D0D" w:rsidRDefault="00A25AD1" w:rsidP="00DB5D0D">
      <w:pPr>
        <w:pStyle w:val="a3"/>
        <w:rPr>
          <w:color w:val="000000" w:themeColor="text1"/>
          <w:lang w:val="ru-RU"/>
        </w:rPr>
      </w:pPr>
      <w:r w:rsidRPr="00DB5D0D">
        <w:rPr>
          <w:color w:val="000000" w:themeColor="text1"/>
          <w:lang w:val="ru-RU"/>
        </w:rPr>
        <w:lastRenderedPageBreak/>
        <w:t>Первый образец каткового трала был скон</w:t>
      </w:r>
      <w:r w:rsidRPr="00DB5D0D">
        <w:rPr>
          <w:color w:val="000000" w:themeColor="text1"/>
          <w:lang w:val="ru-RU"/>
        </w:rPr>
        <w:softHyphen/>
        <w:t>струирован в 1935 г. После испытаний и усовер</w:t>
      </w:r>
      <w:r w:rsidRPr="00DB5D0D">
        <w:rPr>
          <w:color w:val="000000" w:themeColor="text1"/>
          <w:lang w:val="ru-RU"/>
        </w:rPr>
        <w:softHyphen/>
        <w:t>шенствования в 1937 г. были изготовлены опыт</w:t>
      </w:r>
      <w:r w:rsidRPr="00DB5D0D">
        <w:rPr>
          <w:color w:val="000000" w:themeColor="text1"/>
          <w:lang w:val="ru-RU"/>
        </w:rPr>
        <w:softHyphen/>
        <w:t>ные образцы катковых тралов к танку Т-26, а в 1938 г.— к Т-28.</w:t>
      </w:r>
    </w:p>
    <w:p w14:paraId="3EBF07A2" w14:textId="77777777" w:rsidR="00A25AD1" w:rsidRPr="00DB5D0D" w:rsidRDefault="00A25AD1" w:rsidP="00DB5D0D">
      <w:pPr>
        <w:pStyle w:val="a3"/>
        <w:rPr>
          <w:color w:val="000000" w:themeColor="text1"/>
          <w:lang w:val="ru-RU"/>
        </w:rPr>
      </w:pPr>
      <w:r w:rsidRPr="00DB5D0D">
        <w:rPr>
          <w:color w:val="000000" w:themeColor="text1"/>
          <w:lang w:val="ru-RU"/>
        </w:rPr>
        <w:t>Трал монтировался на лобовой части тан</w:t>
      </w:r>
      <w:r w:rsidRPr="00DB5D0D">
        <w:rPr>
          <w:color w:val="000000" w:themeColor="text1"/>
          <w:lang w:val="ru-RU"/>
        </w:rPr>
        <w:softHyphen/>
        <w:t>ка и был устроен следующим образом: к танку прикреплялась рама с двумя рычагами, поса</w:t>
      </w:r>
      <w:r w:rsidRPr="00DB5D0D">
        <w:rPr>
          <w:color w:val="000000" w:themeColor="text1"/>
          <w:lang w:val="ru-RU"/>
        </w:rPr>
        <w:softHyphen/>
        <w:t>женными на вал, который, в свою очередь, вра</w:t>
      </w:r>
      <w:r w:rsidRPr="00DB5D0D">
        <w:rPr>
          <w:color w:val="000000" w:themeColor="text1"/>
          <w:lang w:val="ru-RU"/>
        </w:rPr>
        <w:softHyphen/>
        <w:t>щался на подшипниках, прикрепленных к кор</w:t>
      </w:r>
      <w:r w:rsidRPr="00DB5D0D">
        <w:rPr>
          <w:color w:val="000000" w:themeColor="text1"/>
          <w:lang w:val="ru-RU"/>
        </w:rPr>
        <w:softHyphen/>
        <w:t>пусу танка.</w:t>
      </w:r>
    </w:p>
    <w:p w14:paraId="4194A1CD" w14:textId="77777777" w:rsidR="00A25AD1" w:rsidRPr="00DB5D0D" w:rsidRDefault="00A25AD1" w:rsidP="00DB5D0D">
      <w:pPr>
        <w:pStyle w:val="a3"/>
        <w:rPr>
          <w:color w:val="000000" w:themeColor="text1"/>
          <w:lang w:val="ru-RU"/>
        </w:rPr>
      </w:pPr>
      <w:r w:rsidRPr="00DB5D0D">
        <w:rPr>
          <w:color w:val="000000" w:themeColor="text1"/>
          <w:lang w:val="ru-RU"/>
        </w:rPr>
        <w:t>Каждая катковая секция состояла из трех катков специальной конструкции. Каждый каток был подвешен к общей оси, вращался на ней и при перемещении не зависел от других катков, копируя в определенных пределах неровности местности. Катки соединялись со стальными ободами и амортизирующими резиновыми про</w:t>
      </w:r>
      <w:r w:rsidRPr="00DB5D0D">
        <w:rPr>
          <w:color w:val="000000" w:themeColor="text1"/>
          <w:lang w:val="ru-RU"/>
        </w:rPr>
        <w:softHyphen/>
        <w:t>кладками. Посадка катков на ось рамы приме</w:t>
      </w:r>
      <w:r w:rsidRPr="00DB5D0D">
        <w:rPr>
          <w:color w:val="000000" w:themeColor="text1"/>
          <w:lang w:val="ru-RU"/>
        </w:rPr>
        <w:softHyphen/>
        <w:t>нялась эксцентрическая с целью улучшения ко</w:t>
      </w:r>
      <w:r w:rsidRPr="00DB5D0D">
        <w:rPr>
          <w:color w:val="000000" w:themeColor="text1"/>
          <w:lang w:val="ru-RU"/>
        </w:rPr>
        <w:softHyphen/>
        <w:t>пирования микрорельефа местности. Попереч</w:t>
      </w:r>
      <w:r w:rsidRPr="00DB5D0D">
        <w:rPr>
          <w:color w:val="000000" w:themeColor="text1"/>
          <w:lang w:val="ru-RU"/>
        </w:rPr>
        <w:softHyphen/>
        <w:t>ные уклоны местности также воспринимались рамой путем ее перекоса относительно рычагов.</w:t>
      </w:r>
    </w:p>
    <w:p w14:paraId="7E10080A" w14:textId="77777777" w:rsidR="00A25AD1" w:rsidRPr="00DB5D0D" w:rsidRDefault="00A25AD1" w:rsidP="00DB5D0D">
      <w:pPr>
        <w:pStyle w:val="a3"/>
        <w:rPr>
          <w:color w:val="000000" w:themeColor="text1"/>
          <w:lang w:val="ru-RU"/>
        </w:rPr>
      </w:pPr>
      <w:r w:rsidRPr="00DB5D0D">
        <w:rPr>
          <w:color w:val="000000" w:themeColor="text1"/>
          <w:lang w:val="ru-RU"/>
        </w:rPr>
        <w:t>При движении танка катки двигались перед гусеницами и, нажимая на грунт, подрывали встречающиеся на пути мины. В транспортном положении трал поднимался лебедкой на высоту, достаточную для свободного движения танка.</w:t>
      </w:r>
    </w:p>
    <w:p w14:paraId="48116E47" w14:textId="77777777" w:rsidR="00A25AD1" w:rsidRPr="00DB5D0D" w:rsidRDefault="00A25AD1" w:rsidP="00DB5D0D">
      <w:pPr>
        <w:pStyle w:val="a3"/>
        <w:rPr>
          <w:color w:val="000000" w:themeColor="text1"/>
          <w:lang w:val="ru-RU"/>
        </w:rPr>
      </w:pPr>
      <w:r w:rsidRPr="00DB5D0D">
        <w:rPr>
          <w:color w:val="000000" w:themeColor="text1"/>
          <w:lang w:val="ru-RU"/>
        </w:rPr>
        <w:t>Конструкция трала имела ряд существенных недостатков:</w:t>
      </w:r>
    </w:p>
    <w:p w14:paraId="5FC0835E" w14:textId="77777777" w:rsidR="00A25AD1" w:rsidRPr="00DB5D0D" w:rsidRDefault="00A25AD1" w:rsidP="00DB5D0D">
      <w:pPr>
        <w:pStyle w:val="a3"/>
        <w:tabs>
          <w:tab w:val="left" w:pos="187"/>
        </w:tabs>
        <w:rPr>
          <w:color w:val="000000" w:themeColor="text1"/>
          <w:lang w:val="ru-RU"/>
        </w:rPr>
      </w:pPr>
      <w:r w:rsidRPr="00DB5D0D">
        <w:rPr>
          <w:color w:val="000000" w:themeColor="text1"/>
          <w:lang w:val="ru-RU"/>
        </w:rPr>
        <w:t>- нагребание грунта (снега) катками при дви</w:t>
      </w:r>
      <w:r w:rsidRPr="00DB5D0D">
        <w:rPr>
          <w:color w:val="000000" w:themeColor="text1"/>
          <w:lang w:val="ru-RU"/>
        </w:rPr>
        <w:softHyphen/>
        <w:t>жении по слабым грунтам (снежной целине);</w:t>
      </w:r>
    </w:p>
    <w:p w14:paraId="777C845D" w14:textId="77777777" w:rsidR="00A25AD1" w:rsidRPr="00DB5D0D" w:rsidRDefault="00A25AD1" w:rsidP="00DB5D0D">
      <w:pPr>
        <w:pStyle w:val="a3"/>
        <w:tabs>
          <w:tab w:val="left" w:pos="183"/>
        </w:tabs>
        <w:rPr>
          <w:color w:val="000000" w:themeColor="text1"/>
          <w:lang w:val="ru-RU"/>
        </w:rPr>
      </w:pPr>
      <w:r w:rsidRPr="00DB5D0D">
        <w:rPr>
          <w:color w:val="000000" w:themeColor="text1"/>
          <w:lang w:val="ru-RU"/>
        </w:rPr>
        <w:t>- недостаточная взрывоустойчивость.</w:t>
      </w:r>
    </w:p>
    <w:p w14:paraId="7EEECE1B" w14:textId="77777777" w:rsidR="00A25AD1" w:rsidRPr="00DB5D0D" w:rsidRDefault="00A25AD1" w:rsidP="00DB5D0D">
      <w:pPr>
        <w:pStyle w:val="a3"/>
        <w:rPr>
          <w:color w:val="000000" w:themeColor="text1"/>
          <w:lang w:val="ru-RU"/>
        </w:rPr>
      </w:pPr>
      <w:r w:rsidRPr="00DB5D0D">
        <w:rPr>
          <w:color w:val="000000" w:themeColor="text1"/>
          <w:lang w:val="ru-RU"/>
        </w:rPr>
        <w:t>К положительным качествам можно было от</w:t>
      </w:r>
      <w:r w:rsidRPr="00DB5D0D">
        <w:rPr>
          <w:color w:val="000000" w:themeColor="text1"/>
          <w:lang w:val="ru-RU"/>
        </w:rPr>
        <w:softHyphen/>
        <w:t>нести небольшой вес и перераспределение час</w:t>
      </w:r>
      <w:r w:rsidRPr="00DB5D0D">
        <w:rPr>
          <w:color w:val="000000" w:themeColor="text1"/>
          <w:lang w:val="ru-RU"/>
        </w:rPr>
        <w:softHyphen/>
        <w:t>ти веса танка через пружинные амортизаторы.</w:t>
      </w:r>
    </w:p>
    <w:p w14:paraId="2A65D86C" w14:textId="77777777" w:rsidR="00A25AD1" w:rsidRPr="00DB5D0D" w:rsidRDefault="00A25AD1" w:rsidP="00DB5D0D">
      <w:pPr>
        <w:pStyle w:val="a3"/>
        <w:rPr>
          <w:color w:val="000000" w:themeColor="text1"/>
          <w:lang w:val="ru-RU"/>
        </w:rPr>
      </w:pPr>
      <w:r w:rsidRPr="00DB5D0D">
        <w:rPr>
          <w:color w:val="000000" w:themeColor="text1"/>
          <w:lang w:val="ru-RU"/>
        </w:rPr>
        <w:t>В результате проведенных испытаний была установлена недостаточная прочность катков трала при подрыве на минах. После подрыва 3—4 мин под одной кареткой трала катки требо</w:t>
      </w:r>
      <w:r w:rsidRPr="00DB5D0D">
        <w:rPr>
          <w:color w:val="000000" w:themeColor="text1"/>
          <w:lang w:val="ru-RU"/>
        </w:rPr>
        <w:softHyphen/>
        <w:t>вали замены.</w:t>
      </w:r>
    </w:p>
    <w:p w14:paraId="202C6F65" w14:textId="77777777" w:rsidR="00A25AD1" w:rsidRPr="00DB5D0D" w:rsidRDefault="00A25AD1" w:rsidP="00DB5D0D">
      <w:pPr>
        <w:pStyle w:val="a3"/>
        <w:rPr>
          <w:color w:val="000000" w:themeColor="text1"/>
          <w:lang w:val="ru-RU"/>
        </w:rPr>
      </w:pPr>
      <w:r w:rsidRPr="00DB5D0D">
        <w:rPr>
          <w:color w:val="000000" w:themeColor="text1"/>
          <w:lang w:val="ru-RU"/>
        </w:rPr>
        <w:t>Первоначально рабочий орган трала состо</w:t>
      </w:r>
      <w:r w:rsidRPr="00DB5D0D">
        <w:rPr>
          <w:color w:val="000000" w:themeColor="text1"/>
          <w:lang w:val="ru-RU"/>
        </w:rPr>
        <w:softHyphen/>
        <w:t>ял из широких катков, не обеспечивающих над</w:t>
      </w:r>
      <w:r w:rsidRPr="00DB5D0D">
        <w:rPr>
          <w:color w:val="000000" w:themeColor="text1"/>
          <w:lang w:val="ru-RU"/>
        </w:rPr>
        <w:softHyphen/>
        <w:t>лежащее копирование микрорельефа местнос</w:t>
      </w:r>
      <w:r w:rsidRPr="00DB5D0D">
        <w:rPr>
          <w:color w:val="000000" w:themeColor="text1"/>
          <w:lang w:val="ru-RU"/>
        </w:rPr>
        <w:softHyphen/>
        <w:t>ти, что приводило к пропуску мин. Анализ ре</w:t>
      </w:r>
      <w:r w:rsidRPr="00DB5D0D">
        <w:rPr>
          <w:color w:val="000000" w:themeColor="text1"/>
          <w:lang w:val="ru-RU"/>
        </w:rPr>
        <w:softHyphen/>
        <w:t>зультатов опытов позволил выработать рацио</w:t>
      </w:r>
      <w:r w:rsidRPr="00DB5D0D">
        <w:rPr>
          <w:color w:val="000000" w:themeColor="text1"/>
          <w:lang w:val="ru-RU"/>
        </w:rPr>
        <w:softHyphen/>
        <w:t>нальное техническое решение трала. Рабочий орган трала выполнили из нескольких дисков (катков), что обеспечивало копирование неров</w:t>
      </w:r>
      <w:r w:rsidRPr="00DB5D0D">
        <w:rPr>
          <w:color w:val="000000" w:themeColor="text1"/>
          <w:lang w:val="ru-RU"/>
        </w:rPr>
        <w:softHyphen/>
        <w:t>ностей рельефа местности и требуемую чисто</w:t>
      </w:r>
      <w:r w:rsidRPr="00DB5D0D">
        <w:rPr>
          <w:color w:val="000000" w:themeColor="text1"/>
          <w:lang w:val="ru-RU"/>
        </w:rPr>
        <w:softHyphen/>
        <w:t>ту траления (12063).</w:t>
      </w:r>
    </w:p>
    <w:p w14:paraId="63BA2618" w14:textId="77777777" w:rsidR="00A25AD1" w:rsidRPr="00DB5D0D" w:rsidRDefault="00A25AD1" w:rsidP="00DB5D0D">
      <w:pPr>
        <w:pStyle w:val="a3"/>
        <w:rPr>
          <w:color w:val="000000" w:themeColor="text1"/>
          <w:lang w:val="ru-RU"/>
        </w:rPr>
      </w:pPr>
    </w:p>
    <w:p w14:paraId="77544D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в КБ завода № 185 и Белогурцевым и А.В.Калоевым был разработан бойковый минный трал для танка Т-28 (ТР-28). В апреле опытный образец поставили на Т-28 и в июле-августе 1940 - испытанли на НИБТ полигоне. На вооружении и в серии - не был (9527,240).</w:t>
      </w:r>
    </w:p>
    <w:p w14:paraId="7831A91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31C921"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Весной 1940 увидел свет ИТ-28 на шасси </w:t>
      </w:r>
      <w:hyperlink r:id="rId82"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 xml:space="preserve">а Т-28Э. С </w:t>
      </w:r>
      <w:hyperlink r:id="rId83"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а демонтировали башни и подбашенную коробку. Вместо этого установили восьмигранную рубку. На ней смонтировали двухколейный мост с рычагами наводки и мостовым приводом длиной 13,3 и шириной 3,5 м. Конструкция позволяла навести мост в течение: по горизонтали и по вертикали до 3 мин, приведение моста в транспортное положение – до 5 минут. Ширина препятствия, которое он позволял перекрыть, 12,5 м. Грузоподъёмность, показанная мостом, составила 50 тонн. ИТ-28 вооружался двумя пулемётами ДТ (15647).</w:t>
      </w:r>
    </w:p>
    <w:p w14:paraId="24FDB9C0" w14:textId="77777777" w:rsidR="00A22B88" w:rsidRPr="00DB5D0D" w:rsidRDefault="00A22B88" w:rsidP="00DB5D0D">
      <w:pPr>
        <w:spacing w:after="0" w:line="240" w:lineRule="auto"/>
        <w:jc w:val="both"/>
        <w:rPr>
          <w:rFonts w:ascii="Times New Roman" w:hAnsi="Times New Roman"/>
          <w:color w:val="000000" w:themeColor="text1"/>
          <w:sz w:val="16"/>
          <w:szCs w:val="16"/>
        </w:rPr>
      </w:pPr>
    </w:p>
    <w:p w14:paraId="34CBCE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в СКЭО СТЗ под руководством Н.Д.Вернера были разработаны болотоходные гусеницы для Т-26 и в июле 1940 опытные образцы прошли сначала заводские, а затем - полигонные испытания (9527,251).</w:t>
      </w:r>
    </w:p>
    <w:p w14:paraId="09BEA10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337149" w14:textId="77777777" w:rsidR="00A22B88" w:rsidRPr="00DB5D0D" w:rsidRDefault="00A22B88"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Весной 1940 года впервые прозвучала идея, что танк КВ требует улучшения. Дело в том, что на вооружение КВ был принят с пушкой Ф-32, производство которой задержалось, поэтому до января 1941 года танк оснащался Л-11. Несмотря на то, что Ф-32 была конструктивно лучше, чем Л-11, особой разницы между ними не было. Оба орудия базировались на баллистике 76-мм зенитной пушки системы Лендера образца аж 1914/15 гг с чуть повышенной (с 592 до 613 м/с) начальной скоростью снаряда. С одной стороны, Л-11 обладала вполне удовлетворительными характеристиками. На дистанции в 1000 метров она пробивала броню толщиной 43 мм, поставленную под углом 30 градусов. С другой стороны, при толщине брони в 75 мм КВ-1 не мог такой пушкой пробить себе подобного. К тому же, танковую пушку на базе зенитного орудия Лендера разрабатывали на Кировском заводе ещё в 1935 году. Носила та система индекс Л-7, и дальше опытных работ дело тогда не продвинулось. Наконец, Л-11 ставилась и в Т-34, а ситуацию, когда средний и тяжёлый танк имеют одинаковую пушку, военные справедливо считали ненормальной (1616).</w:t>
      </w:r>
    </w:p>
    <w:p w14:paraId="5D8DFA20" w14:textId="77777777" w:rsidR="00A22B88" w:rsidRPr="00DB5D0D" w:rsidRDefault="00A22B88" w:rsidP="00DB5D0D">
      <w:pPr>
        <w:pStyle w:val="ae"/>
        <w:shd w:val="clear" w:color="auto" w:fill="FFFFFF"/>
        <w:spacing w:before="0" w:after="0"/>
        <w:jc w:val="both"/>
        <w:rPr>
          <w:color w:val="000000" w:themeColor="text1"/>
          <w:sz w:val="16"/>
          <w:szCs w:val="16"/>
        </w:rPr>
      </w:pPr>
    </w:p>
    <w:p w14:paraId="2AC17A2A"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Весной 1940 г. конструкторами А.Е. Поповым и Нухманом были предложены проекты сверхтяжёлых </w:t>
      </w:r>
      <w:hyperlink r:id="rId84"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 xml:space="preserve">ов ВЛ-С1, ВЛ-С2 и ВЛ-С3 (ВЛ - Владимир Ленин), масса которых в зависимости от установленного вооружения колебалась от 260 до 460 т. Эти проекты машин были разработаны в связи с получением данных о возможном появлении у Германии новых тяжёлых </w:t>
      </w:r>
      <w:hyperlink r:id="rId85"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ов, обладающих мощным вооружением и броневой защитой, а также исходя из опыта боев на Карельском перешейке.</w:t>
      </w:r>
    </w:p>
    <w:p w14:paraId="5B785D3F"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качестве основного оружия, предназначенного для уничтожения опорных пунктов и ДОТов, предполагалось установить во вращающейся башне 130-мм морскую башню Б-13 с начальной скоростью снаряда 870 м/с или 305-мм орудия Б-23 с начальной скоростью снаряда 638 м/с. Для борьбы с противо</w:t>
      </w:r>
      <w:hyperlink r:id="rId86"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 xml:space="preserve">овыми орудиями, пулемётными гнёздами и мелкими опорными пунктами, предусматривалось использование двух 76,2-мм пушек, установленных в башнях с ограниченным углом обстрела. Для борьбы с авиацией и пехотой противника применялись 7,62-мм пулемёты ДТ. Боекомплект </w:t>
      </w:r>
      <w:hyperlink r:id="rId87"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а составлял 100 выстрелов для орудий Б-13 или Б-23, 300 выстрелов для 76,2-мм пушек и 15000 патронов для пулемётов ДТ. Корпус машины имел толщину броневых листов 40, 60, 75 и 125 мм. Лобовая броня башни составляла 125 мм, крыши - 40 мм. Для посадки и выхода пятнадцати членов экипажа использовались два люка в крыше и два люка в днище корпуса машины.</w:t>
      </w:r>
    </w:p>
    <w:p w14:paraId="339E185F"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проекте </w:t>
      </w:r>
      <w:hyperlink r:id="rId88"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а предусматривалось использование электромеханической трансмиссии с приводом на ведущие колёса от тяговых электродвигателей, находившихся на одном валу с двигателем внутреннего сгорания мощностью 2400 л.с. (1760 кВт). Если в силовой установке использовался двигатель ГАМ-34 мощностью 800 л.с. (588 кВт), то предполагалось установить три таких двигателя, каждый из которых был соединён с генератором постоянного тока мощностью 650 кВт. Тяговые электродвигатели 4ДК - 3А мощностью 450 кВт были заимствованы у серийных электровозов. Для охлаждения двигателя и агрегатов электромеханической трансмиссии использовались два электровентилятора, расположенных на входе и выходе специальных воздушных тоннелей, в которых были установлены радиаторы.</w:t>
      </w:r>
    </w:p>
    <w:p w14:paraId="5319D039"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Гусеничный движитель машины имел четыре гусеницы - по две на борт, с самостоятельным приводом на каждую. У внутренних пар гусениц ведущие колёса находились впереди, а направляющие колёса сзади. У наружных пар гусениц ведущие колёса располагались сзади, а направляющие колёса впереди. Подвеска - балансирная, пружинная. Прототипом подвески являлась подвеска самоходной установки СУ-14. Управление </w:t>
      </w:r>
      <w:hyperlink r:id="rId89"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 xml:space="preserve">ом осуществлялось с двух постов управления, переднего и кормового, что не требовало разворота </w:t>
      </w:r>
      <w:hyperlink r:id="rId90"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а и позволяло ему двигаться вперед и назад с одинаковой скоростью.</w:t>
      </w:r>
    </w:p>
    <w:p w14:paraId="20560123"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транспортировке по железной дороге </w:t>
      </w:r>
      <w:hyperlink r:id="rId91"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 xml:space="preserve"> разбирался на пять частей: главная башня, малые башни, ходовая часть и две разъемные (вдоль) половины корпуса.</w:t>
      </w:r>
    </w:p>
    <w:p w14:paraId="1E765ACF" w14:textId="77777777" w:rsidR="00A22B88" w:rsidRPr="00DB5D0D" w:rsidRDefault="00A22B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Вариант </w:t>
      </w:r>
      <w:hyperlink r:id="rId92"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 xml:space="preserve">а ВЛ-С3 предназначался только для борьбы с ДОТами и отличался от предыдущих меньшой массой (260 т - с пушкой Б-13 или 320 т - с орудием Б-23) и размерами, в результате чего для транспортировки по железной дороге корпус машины не разбирался. Две 76,2-мм пушки были заменены на две 45-мм </w:t>
      </w:r>
      <w:hyperlink r:id="rId93"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овые пушки. Боекомплект машины был уменьшен в два раза. После оценки проекта, работы по нему были прекращены из-за нереальности его осуществления в металле (15629).</w:t>
      </w:r>
    </w:p>
    <w:p w14:paraId="3D86686D" w14:textId="77777777" w:rsidR="00A22B88" w:rsidRPr="00DB5D0D" w:rsidRDefault="00A22B88" w:rsidP="00DB5D0D">
      <w:pPr>
        <w:spacing w:after="0" w:line="240" w:lineRule="auto"/>
        <w:jc w:val="both"/>
        <w:rPr>
          <w:rFonts w:ascii="Times New Roman" w:hAnsi="Times New Roman"/>
          <w:color w:val="000000" w:themeColor="text1"/>
          <w:sz w:val="16"/>
          <w:szCs w:val="16"/>
        </w:rPr>
      </w:pPr>
    </w:p>
    <w:p w14:paraId="7D930795" w14:textId="77777777" w:rsidR="00D212B0" w:rsidRPr="00DB5D0D" w:rsidRDefault="00D212B0"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Весной 1940 года на испытания вышел танк У-7 из числа машин установочной партии КВ. Видимо, в ГАБТУ КА плохо читали, ибо там довольно четко была написана боевая масса - 44 тонны. Далее в серию пошла более простая по форме, но и немного более тяжелая сварная башня, добавилась установка курсового пулемета, а в декабре стали ставить орудие Ф-32, имевшее более толстую и тяжелую подвижную бронировку орудийной маски. И вот так, постепенно, к началу 1941 года боевая масса дошла до 46 тонн. В ГАБТУ КА по этому поводу подняли скандал, заявляя о том, что такого не может быть. По их мнению, танк весил 42,5 тонны. Но, вопреки известному анекдоту, согласно приказу число Пи не становится равным семи, как и 46 тонн не превращается в 42,5. А дальше танк становился только тяжелее (20404).</w:t>
      </w:r>
    </w:p>
    <w:p w14:paraId="0C96D0E0" w14:textId="77777777" w:rsidR="00D212B0" w:rsidRPr="00DB5D0D" w:rsidRDefault="00D212B0" w:rsidP="00DB5D0D">
      <w:pPr>
        <w:pStyle w:val="article-renderblock"/>
        <w:shd w:val="clear" w:color="auto" w:fill="FFFFFF"/>
        <w:spacing w:before="0" w:beforeAutospacing="0" w:after="0" w:afterAutospacing="0"/>
        <w:jc w:val="both"/>
        <w:rPr>
          <w:color w:val="0070C0"/>
          <w:sz w:val="16"/>
          <w:szCs w:val="16"/>
        </w:rPr>
      </w:pPr>
    </w:p>
    <w:p w14:paraId="686104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была построен один экземпляр гусеничной танкетки "Объект 217" Кировского завода, но война окончилась и дальнейшие работы были свернуты (3862).</w:t>
      </w:r>
    </w:p>
    <w:p w14:paraId="6CF29EF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CA12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когда близилась к концу модернизация БАИ и БА-3, в АБТУ РККА было принято решение о проведении работ на бронерембазе № 2. Делалось это по результату бо</w:t>
      </w:r>
      <w:r w:rsidRPr="00DB5D0D">
        <w:rPr>
          <w:rFonts w:ascii="Times New Roman" w:hAnsi="Times New Roman"/>
          <w:color w:val="000000" w:themeColor="text1"/>
          <w:sz w:val="16"/>
          <w:szCs w:val="16"/>
        </w:rPr>
        <w:softHyphen/>
        <w:t>евых действий на Халхин-Голе и советско-финляндской войны. Главным элементом этих работ должна была стать наружная установка бензобаков по типу БА-10М прежде всего для снижения пожароопасности броне</w:t>
      </w:r>
      <w:r w:rsidRPr="00DB5D0D">
        <w:rPr>
          <w:rFonts w:ascii="Times New Roman" w:hAnsi="Times New Roman"/>
          <w:color w:val="000000" w:themeColor="text1"/>
          <w:sz w:val="16"/>
          <w:szCs w:val="16"/>
        </w:rPr>
        <w:softHyphen/>
        <w:t>машин и защиты экипажа от горящего бензина при проби</w:t>
      </w:r>
      <w:r w:rsidRPr="00DB5D0D">
        <w:rPr>
          <w:rFonts w:ascii="Times New Roman" w:hAnsi="Times New Roman"/>
          <w:color w:val="000000" w:themeColor="text1"/>
          <w:sz w:val="16"/>
          <w:szCs w:val="16"/>
        </w:rPr>
        <w:softHyphen/>
        <w:t>тии находившегося в крыше корпуса бензобака. Согласно договору с Ижорским заводом последний должен был во втором квартале 1940 года изготовить первые «100 комплектов зап</w:t>
      </w:r>
      <w:r w:rsidRPr="00DB5D0D">
        <w:rPr>
          <w:rFonts w:ascii="Times New Roman" w:hAnsi="Times New Roman"/>
          <w:color w:val="000000" w:themeColor="text1"/>
          <w:sz w:val="16"/>
          <w:szCs w:val="16"/>
        </w:rPr>
        <w:softHyphen/>
        <w:t>частей для перестановки бензобаков БА-10 по типу БА-10М». Однако из-за загруженности завода эта работа началась только в 1941 году, но ее объем автору неизвестен. Но можно с уверенностью сказать, что подобную модерни</w:t>
      </w:r>
      <w:r w:rsidRPr="00DB5D0D">
        <w:rPr>
          <w:rFonts w:ascii="Times New Roman" w:hAnsi="Times New Roman"/>
          <w:color w:val="000000" w:themeColor="text1"/>
          <w:sz w:val="16"/>
          <w:szCs w:val="16"/>
        </w:rPr>
        <w:softHyphen/>
        <w:t>зацию прошло совсем небольшое число БА-10А (11284).</w:t>
      </w:r>
    </w:p>
    <w:p w14:paraId="0D43C4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32FA515" w14:textId="77777777" w:rsidR="00D212B0" w:rsidRPr="00DB5D0D" w:rsidRDefault="00D212B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Весной 1940 года специальное конструкторское бюро завода «Красный Профинтерн» представило проект нового мотоброневагона, получившего индекс МБВ-41. Бронезащита корпуса МБВ-41 по сравнению с МБВ была существенно усилена, бортовые листы брони имели толщину 45 мм (у МБВ — 20 мм), а днища и крыши 15–20 мм (у МБВ — 10 мм). Корпус делился внутри бронеперегородкой на моторное и боевое отделения. Ходовая часть включала две трехосные тележки и была приспособлена к переходу на узкую западную колею (1 430 мм). Дизельный двигатель В-5 (модификация известного В-2) мощностью 700 л. с. работал с трансмиссией, практически полностью позаимствованной у мотоброневагона МБВ (за исключением главного фрикциона, который был взят от танка КВ). Запас дизельного топлива </w:t>
      </w:r>
      <w:r w:rsidRPr="00DB5D0D">
        <w:rPr>
          <w:rFonts w:ascii="Times New Roman" w:hAnsi="Times New Roman"/>
          <w:color w:val="0070C0"/>
          <w:sz w:val="16"/>
          <w:szCs w:val="16"/>
        </w:rPr>
        <w:lastRenderedPageBreak/>
        <w:t>в 1 100 л обеспечивал мотоброневагону запас хода в 700 км. Артиллерийское вооружение МБВ-41 включало две 76,2-мм пушки Ф-22 и размещалось в двух башнях кругового вращения, по конструкции подобных башням танка КВ-1. На возвышенной башне была сделана коман дирская рубка, оснащенная стереотрубой и прибором ПТК. С пушками были спарены пулеметы ДТ. В небольшой башенке, установленной в передней части корпуса располагалась спарка пулеметов ДШК. Углы их вертикального наведения — до 85 градусов, позволяли вести огонь по самолетам. Внешняя связь обеспечивалась радиостанцией РСМК, а внутренняя — телефоном на девять абонентов. Проект был рассмотрен ГАБТУ РККА в апреле 1941 года, после чего военные потребовали внести в конструкцию мотоброневагона ряд существенных изменений. В первую очередь следовало отказаться от использования башен с вооружением и элементов трансмиссии тяжелого танка КВ и перейти к использованию аналогичных узлов более многочисленного и дешевого среднего танка Т-34 (серийное производство которого было уже развернуто в Харькове). Соответствующие изменения проекта были подготовлены, но эвакуация завода «Красный Профинтерн», начавшаяся в августе 1941 года из-за быстрого наступления немцев, остановила работы над МБВ-41, ставшим, хоть и на бумаге, последним советским мотоброневагоном довоенного периода (22743).</w:t>
      </w:r>
    </w:p>
    <w:p w14:paraId="05DD1DBA" w14:textId="77777777" w:rsidR="00D212B0" w:rsidRPr="00DB5D0D" w:rsidRDefault="00D212B0" w:rsidP="00DB5D0D">
      <w:pPr>
        <w:spacing w:after="0" w:line="240" w:lineRule="auto"/>
        <w:jc w:val="both"/>
        <w:rPr>
          <w:rFonts w:ascii="Times New Roman" w:hAnsi="Times New Roman"/>
          <w:color w:val="0070C0"/>
          <w:sz w:val="16"/>
          <w:szCs w:val="16"/>
        </w:rPr>
      </w:pPr>
    </w:p>
    <w:p w14:paraId="7BC3AB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бронелисты корпуса PzKpfw III, именовавшегося в документах АБТУ как «средний 20-тонный танк «Даймлер-Бенц» под</w:t>
      </w:r>
      <w:r w:rsidRPr="00DB5D0D">
        <w:rPr>
          <w:rFonts w:ascii="Times New Roman" w:hAnsi="Times New Roman"/>
          <w:color w:val="000000" w:themeColor="text1"/>
          <w:sz w:val="16"/>
          <w:szCs w:val="16"/>
        </w:rPr>
        <w:softHyphen/>
        <w:t>вергались испытаниям обстрелом из пушек и ПТР (10782).</w:t>
      </w:r>
    </w:p>
    <w:p w14:paraId="1C9F52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724AD63" w14:textId="77777777" w:rsidR="002313B9" w:rsidRPr="00DB5D0D" w:rsidRDefault="00231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был запуск Ереванского завода СК. Большинство ИТР и часть рабочих прошли до этого практику на опытном заводе «Литер С». Большая часть сотрудников опытного завода во главе с А.Л. Клебанским участвовала в пуске и освоении производства. Как предполагалось, основные трудности при освоении производства хлоропренового каучука на заводе встретились в цехе гидрохлорирования. Из-за частой поломки холодильников, а также арматуры, изготовленной из керамики, непрерывной, стабильной работы завода обеспечить не удавалось (18298).</w:t>
      </w:r>
    </w:p>
    <w:p w14:paraId="451C73E6" w14:textId="77777777" w:rsidR="002313B9" w:rsidRPr="00DB5D0D" w:rsidRDefault="002313B9" w:rsidP="00DB5D0D">
      <w:pPr>
        <w:spacing w:after="0" w:line="240" w:lineRule="auto"/>
        <w:jc w:val="both"/>
        <w:rPr>
          <w:rFonts w:ascii="Times New Roman" w:hAnsi="Times New Roman"/>
          <w:color w:val="000000" w:themeColor="text1"/>
          <w:sz w:val="16"/>
          <w:szCs w:val="16"/>
        </w:rPr>
      </w:pPr>
    </w:p>
    <w:p w14:paraId="6F971C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работы по переоборудованию теплохода "Феликс Дзержинский", относящийся ко II серии "лондонских" рефрижера</w:t>
      </w:r>
      <w:r w:rsidRPr="00DB5D0D">
        <w:rPr>
          <w:rFonts w:ascii="Times New Roman" w:hAnsi="Times New Roman"/>
          <w:color w:val="000000" w:themeColor="text1"/>
          <w:sz w:val="16"/>
          <w:szCs w:val="16"/>
        </w:rPr>
        <w:softHyphen/>
        <w:t>торов, были "в основном" закончены, однако устранение недоделок, испытания и обучение экипажа продолжались еще полгода, и только 22 октября 1940 г. минный заградитель "Урал" вошел в состав Балтийского флота. Не</w:t>
      </w:r>
      <w:r w:rsidRPr="00DB5D0D">
        <w:rPr>
          <w:rFonts w:ascii="Times New Roman" w:hAnsi="Times New Roman"/>
          <w:color w:val="000000" w:themeColor="text1"/>
          <w:sz w:val="16"/>
          <w:szCs w:val="16"/>
        </w:rPr>
        <w:softHyphen/>
        <w:t>смотря на то, что при переоборудовании мобилизация судна пре</w:t>
      </w:r>
      <w:r w:rsidRPr="00DB5D0D">
        <w:rPr>
          <w:rFonts w:ascii="Times New Roman" w:hAnsi="Times New Roman"/>
          <w:color w:val="000000" w:themeColor="text1"/>
          <w:sz w:val="16"/>
          <w:szCs w:val="16"/>
        </w:rPr>
        <w:softHyphen/>
        <w:t>дусматривалась как "временная", "Урал" прошел всю войну и про</w:t>
      </w:r>
      <w:r w:rsidRPr="00DB5D0D">
        <w:rPr>
          <w:rFonts w:ascii="Times New Roman" w:hAnsi="Times New Roman"/>
          <w:color w:val="000000" w:themeColor="text1"/>
          <w:sz w:val="16"/>
          <w:szCs w:val="16"/>
        </w:rPr>
        <w:softHyphen/>
        <w:t>должал боевую службу до конца 50-х гг. (3898).</w:t>
      </w:r>
    </w:p>
    <w:p w14:paraId="1330A52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3B6F3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F25E8A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C5BCC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армии особого назначения расформировали, входившие в них соединения влили в ВВС округов по месту постоянной дислокации. В июле того же года бригады заменили авиадивизиями, имевшими от двух до шести полков. Дивизии были однородными (истребительными, бомбардировочными) и смешанными. В 1940 г. УВВС РККА стало именоваться Главным управлением ВВС Красной Армии (ГУ ВВС КА) (11987).</w:t>
      </w:r>
    </w:p>
    <w:p w14:paraId="38C4F9A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7AB31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во 2-й эскадрильи 14-го тбап 18-й дбад, базировавшегося на аэродроме Борисполь под Киевом, которая получила первые 6 ТБ-7, сформировали три первых постоянных экипажа (командиры - Лисачев, Горбунов и Макаренко). В мае они приступили к изучению материальной части, а осенью участвовали в перегонке серийных ТБ-7 из Чкаловской и Казани в Борисполь. До конца года военным сдали все выпущенные машины с различными типами двигателей. Одна машина, первая переданная в полк, в декабре 1940 г. потерпела катастрофу, а другая была сильно повреждена при аварии.</w:t>
      </w:r>
    </w:p>
    <w:p w14:paraId="7D96B2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этого ТБ-7 долго не летали. Незваль дважды направлял в полк инженера по испытаниям Я.С. Осокина. "Застоявшиеся" машины требовали проведения регламентных работ, а некоторые - и мелкого ремонта. Лётный состав подзабыл даже то немногое, чему успел научиться в начале эксплуатации бомбардировщиков. Из Казани вызвали заводскую бригаду.</w:t>
      </w:r>
    </w:p>
    <w:p w14:paraId="193F19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Через какое-то время машины были технически готовы, теперь требовалось решать вопрос с лётчиками. Вывозить их надо было заново, а инструкторов, способных это сделать, в полку не было. Осокин предложил привлечь заводских испытателей. Командование полка на это не шло, поскольку не хотело выносить сор из избы. Как раз в это время в 14-й тбап прибыл командующий Киевским особым военным округом, а с ним майор Дацко, тот самый, который вместе со Стефановским испытывал в НИИ ВВС первую опытную машину и "дублёр". Осокин предложил вывозку экипажей провести Дацко. Тот согласился, только попросил ознакомить его с особенностями серийной машины, ведь он летал лишь на опытных. На следующий день приступили к вывозным полетам с аэродрома Белая Церковь. Начали с командира 18-й дбад Дубинина, затем летали другие командиры, и, наконец, они уже сами проводили полёты с остальными лётчиками (11996).</w:t>
      </w:r>
    </w:p>
    <w:p w14:paraId="24B20A4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4122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были сформированы первые три постоянных экипажа ВВС на ТБ-7 (командиры кораблей -Лисачев, Горбунов и Макаренко) (7685).</w:t>
      </w:r>
    </w:p>
    <w:p w14:paraId="26E2F5F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02C6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были сформированы первые три постоянных экипажа ВВС на ТБ-7 (командиры кораблей — Лисачев, Горбунов и Макаренко). В мае они приступили к изучению матчасти, а уже с осени 1940 года участвовали в перегонке серийных ТБ-7 из Чкаловекого и Казани в Борисполь. До конца года военным были сданы все выпущенные серийные машины с различными типами двигателей. До начала войны в войска удалось сдать, по данным НКАП, всего 27 машин.</w:t>
      </w:r>
    </w:p>
    <w:p w14:paraId="4180E2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все машины попали в часть, и не все были боеспособны. Известно, что по данным штаба ВВС, по состоянию на 20 апреля 1941 года в строю находилось 10 ТБ-7. Одна машина ТБ-7 №4216 (первая переданная в полк) в декабре 1940 года потерпела катастрофу, а одна сильно повреждена при аварии. Осенью 1940 года летный состав 2-й эскадрильи начал совершать на ТБ-7 ознакомительные полеты (12726).</w:t>
      </w:r>
    </w:p>
    <w:p w14:paraId="087D7CE7" w14:textId="77777777" w:rsidR="00A25AD1" w:rsidRPr="00DB5D0D" w:rsidRDefault="00A25AD1" w:rsidP="00DB5D0D">
      <w:pPr>
        <w:pStyle w:val="ae"/>
        <w:spacing w:before="0" w:after="0"/>
        <w:jc w:val="both"/>
        <w:rPr>
          <w:color w:val="000000" w:themeColor="text1"/>
          <w:sz w:val="16"/>
          <w:szCs w:val="16"/>
        </w:rPr>
      </w:pPr>
    </w:p>
    <w:p w14:paraId="512D52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 руководство СССР с удовлетворением узнало о начале кампаний в Нор</w:t>
      </w:r>
      <w:r w:rsidRPr="00DB5D0D">
        <w:rPr>
          <w:rFonts w:ascii="Times New Roman" w:hAnsi="Times New Roman"/>
          <w:color w:val="000000" w:themeColor="text1"/>
          <w:sz w:val="16"/>
          <w:szCs w:val="16"/>
        </w:rPr>
        <w:softHyphen/>
        <w:t>вегии и Франции. Всем казалось, что два года выиграно, а за это время можно многое успеть. Но неожиданно Франция капитулировала уже летом, и это породило массу проблем в головах советского старшего командования...Недоумение о том, каким образом гитлеровской армии удалось то, во имя чего сломала свой хребет армия кайзера, примешивалось к осознанию размеров тех трофеев, что дос</w:t>
      </w:r>
      <w:r w:rsidRPr="00DB5D0D">
        <w:rPr>
          <w:rFonts w:ascii="Times New Roman" w:hAnsi="Times New Roman"/>
          <w:color w:val="000000" w:themeColor="text1"/>
          <w:sz w:val="16"/>
          <w:szCs w:val="16"/>
        </w:rPr>
        <w:softHyphen/>
        <w:t>тались Германии. Ведь в ходе скоротечной кампании Герма</w:t>
      </w:r>
      <w:r w:rsidRPr="00DB5D0D">
        <w:rPr>
          <w:rFonts w:ascii="Times New Roman" w:hAnsi="Times New Roman"/>
          <w:color w:val="000000" w:themeColor="text1"/>
          <w:sz w:val="16"/>
          <w:szCs w:val="16"/>
        </w:rPr>
        <w:softHyphen/>
        <w:t>ния стала обладателем тех самых танков «Рено», «Гочкис», «Самуа» и «Форж и Шантье», на которые хотел равняться СССР. Также к Германии отошли и более старые образцы для подражания — сверхтяжелые 2С и ЗС (последний танк сущес</w:t>
      </w:r>
      <w:r w:rsidRPr="00DB5D0D">
        <w:rPr>
          <w:rFonts w:ascii="Times New Roman" w:hAnsi="Times New Roman"/>
          <w:color w:val="000000" w:themeColor="text1"/>
          <w:sz w:val="16"/>
          <w:szCs w:val="16"/>
        </w:rPr>
        <w:softHyphen/>
        <w:t>твовал только в пропагандистских СМИ), вооруженные 75-мм и 150-мм пушками и защищенные броней 70 мм, и но</w:t>
      </w:r>
      <w:r w:rsidRPr="00DB5D0D">
        <w:rPr>
          <w:rFonts w:ascii="Times New Roman" w:hAnsi="Times New Roman"/>
          <w:color w:val="000000" w:themeColor="text1"/>
          <w:sz w:val="16"/>
          <w:szCs w:val="16"/>
        </w:rPr>
        <w:softHyphen/>
        <w:t>вые секретные до того и скоростные танки «Рено-Б» (В-Шк) с пушками 75-мм и 47-мм и защищенные броней 80 мм. То, с какой легкостью немецкая армия расправлялась с французскими и английскими толстобронными танками, наводило на размышления о том, что немцы имеют какие-то особо мощные противотанковые и танковые пушки. Усугубляли положение и разведсводки о проектируемом в Германии новом танке, защищенном броней толщиной до 80 мм (работы над УК 3601 действительно велись в 1940 г.). Но главной причиной быстрой победы немецкой сто</w:t>
      </w:r>
      <w:r w:rsidRPr="00DB5D0D">
        <w:rPr>
          <w:rFonts w:ascii="Times New Roman" w:hAnsi="Times New Roman"/>
          <w:color w:val="000000" w:themeColor="text1"/>
          <w:sz w:val="16"/>
          <w:szCs w:val="16"/>
        </w:rPr>
        <w:softHyphen/>
        <w:t>роны были названы крупные танковые, авиационные и мо</w:t>
      </w:r>
      <w:r w:rsidRPr="00DB5D0D">
        <w:rPr>
          <w:rFonts w:ascii="Times New Roman" w:hAnsi="Times New Roman"/>
          <w:color w:val="000000" w:themeColor="text1"/>
          <w:sz w:val="16"/>
          <w:szCs w:val="16"/>
        </w:rPr>
        <w:softHyphen/>
        <w:t>торизованные соединения. Назначенные недавно нарком обороны С. Тимошенко и начальник Генштаба К. Мерецков возглавили развернувши</w:t>
      </w:r>
      <w:r w:rsidRPr="00DB5D0D">
        <w:rPr>
          <w:rFonts w:ascii="Times New Roman" w:hAnsi="Times New Roman"/>
          <w:color w:val="000000" w:themeColor="text1"/>
          <w:sz w:val="16"/>
          <w:szCs w:val="16"/>
        </w:rPr>
        <w:softHyphen/>
        <w:t>еся широким фронтом мероприятия по реформированию армии, в частности танковых войскт (10782).</w:t>
      </w:r>
    </w:p>
    <w:p w14:paraId="52CF6F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AF91F9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23DC9F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77A92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несколько Не 100 В-1 получили боевые эмблемы несуществующих авиасоединений и активно рекламировались как новые истребители, принятые на воору</w:t>
      </w:r>
      <w:r w:rsidRPr="00DB5D0D">
        <w:rPr>
          <w:rFonts w:ascii="Times New Roman" w:hAnsi="Times New Roman"/>
          <w:color w:val="000000" w:themeColor="text1"/>
          <w:sz w:val="16"/>
          <w:szCs w:val="16"/>
        </w:rPr>
        <w:softHyphen/>
        <w:t>жение люфтваффе. Они именовались уже как Не 113 и благодаря про</w:t>
      </w:r>
      <w:r w:rsidRPr="00DB5D0D">
        <w:rPr>
          <w:rFonts w:ascii="Times New Roman" w:hAnsi="Times New Roman"/>
          <w:color w:val="000000" w:themeColor="text1"/>
          <w:sz w:val="16"/>
          <w:szCs w:val="16"/>
        </w:rPr>
        <w:softHyphen/>
        <w:t>пагандистской кампании эта акция имела определенный успех (Грин В. Указ. соч. С. 55.). Так, из данных разведуправления Генштаба РККА от 11 марта 1941 года следова</w:t>
      </w:r>
      <w:r w:rsidRPr="00DB5D0D">
        <w:rPr>
          <w:rFonts w:ascii="Times New Roman" w:hAnsi="Times New Roman"/>
          <w:color w:val="000000" w:themeColor="text1"/>
          <w:sz w:val="16"/>
          <w:szCs w:val="16"/>
        </w:rPr>
        <w:softHyphen/>
        <w:t>ло, что на вооружение в Германии в 1940 - 1941 годах были приняты три новых типа серийных истребителей, в том числе Хейнкель-113 (1941 год. Кн. 1.С. 748.). «Толь</w:t>
      </w:r>
      <w:r w:rsidRPr="00DB5D0D">
        <w:rPr>
          <w:rFonts w:ascii="Times New Roman" w:hAnsi="Times New Roman"/>
          <w:color w:val="000000" w:themeColor="text1"/>
          <w:sz w:val="16"/>
          <w:szCs w:val="16"/>
        </w:rPr>
        <w:softHyphen/>
        <w:t>ко к 1943 году стало окончательно ясно, что никаких Не 113 на фронте нет», - констатировал В. Бакурский (Бакурский В. «Хейнкель» 100 раскрывает тайны. С. 25.).</w:t>
      </w:r>
    </w:p>
    <w:p w14:paraId="14479D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Самое парадоксальное заключается в том, что во время испытаний в СССР советские специалисты из НИИ ВВС сделали совершенно правиль</w:t>
      </w:r>
      <w:r w:rsidRPr="00DB5D0D">
        <w:rPr>
          <w:rFonts w:ascii="Times New Roman" w:hAnsi="Times New Roman"/>
          <w:color w:val="000000" w:themeColor="text1"/>
          <w:sz w:val="16"/>
          <w:szCs w:val="16"/>
        </w:rPr>
        <w:softHyphen/>
        <w:t>ный вывод, что Не 100 представляет собой опытный аппарат, построенный в небольшой серии. Их не смутило то обстоятельство, что по «максималь</w:t>
      </w:r>
      <w:r w:rsidRPr="00DB5D0D">
        <w:rPr>
          <w:rFonts w:ascii="Times New Roman" w:hAnsi="Times New Roman"/>
          <w:color w:val="000000" w:themeColor="text1"/>
          <w:sz w:val="16"/>
          <w:szCs w:val="16"/>
        </w:rPr>
        <w:softHyphen/>
        <w:t>ной скорости у земли, и на высоте и скороподъемности он стоит выше всех отечественных и иностранных самолетов» (самолет показал скорость в 650 км/час на высоте 4950 м) (Маслов М. Указ. соч. С. 28, 30.).</w:t>
      </w:r>
    </w:p>
    <w:p w14:paraId="1A74CB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Отечественные исследователи гораздо больше внимания уделяли та</w:t>
      </w:r>
      <w:r w:rsidRPr="00DB5D0D">
        <w:rPr>
          <w:rFonts w:ascii="Times New Roman" w:hAnsi="Times New Roman"/>
          <w:color w:val="000000" w:themeColor="text1"/>
          <w:sz w:val="16"/>
          <w:szCs w:val="16"/>
        </w:rPr>
        <w:softHyphen/>
        <w:t>ким вопросам, как, например, определение количества закупленных об</w:t>
      </w:r>
      <w:r w:rsidRPr="00DB5D0D">
        <w:rPr>
          <w:rFonts w:ascii="Times New Roman" w:hAnsi="Times New Roman"/>
          <w:color w:val="000000" w:themeColor="text1"/>
          <w:sz w:val="16"/>
          <w:szCs w:val="16"/>
        </w:rPr>
        <w:softHyphen/>
        <w:t>разцов Не 100 или срыв поставок в Союз другой «мифической» машины Ме 209 - последнему держателю мирового рекорда скорости, чем под</w:t>
      </w:r>
      <w:r w:rsidRPr="00DB5D0D">
        <w:rPr>
          <w:rFonts w:ascii="Times New Roman" w:hAnsi="Times New Roman"/>
          <w:color w:val="000000" w:themeColor="text1"/>
          <w:sz w:val="16"/>
          <w:szCs w:val="16"/>
        </w:rPr>
        <w:softHyphen/>
        <w:t>робному анализу следующих проблем - что узнали накануне войны со</w:t>
      </w:r>
      <w:r w:rsidRPr="00DB5D0D">
        <w:rPr>
          <w:rFonts w:ascii="Times New Roman" w:hAnsi="Times New Roman"/>
          <w:color w:val="000000" w:themeColor="text1"/>
          <w:sz w:val="16"/>
          <w:szCs w:val="16"/>
        </w:rPr>
        <w:softHyphen/>
        <w:t>ветские специалисты и личный состав ВВС РККА о боевых возможностях реально состоявших на вооружении люфтваффе самолетах, совпадал ли с закупленным СССР ассортиментом боевых машин авиапарк люфтваф</w:t>
      </w:r>
      <w:r w:rsidRPr="00DB5D0D">
        <w:rPr>
          <w:rFonts w:ascii="Times New Roman" w:hAnsi="Times New Roman"/>
          <w:color w:val="000000" w:themeColor="text1"/>
          <w:sz w:val="16"/>
          <w:szCs w:val="16"/>
        </w:rPr>
        <w:softHyphen/>
        <w:t>фе, известно ли было советским специалистам о действительно перспек</w:t>
      </w:r>
      <w:r w:rsidRPr="00DB5D0D">
        <w:rPr>
          <w:rFonts w:ascii="Times New Roman" w:hAnsi="Times New Roman"/>
          <w:color w:val="000000" w:themeColor="text1"/>
          <w:sz w:val="16"/>
          <w:szCs w:val="16"/>
        </w:rPr>
        <w:softHyphen/>
        <w:t>тивных немецких моделях (11710,284).</w:t>
      </w:r>
    </w:p>
    <w:p w14:paraId="0DA513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0F2FED2" w14:textId="77777777" w:rsidR="002313B9" w:rsidRPr="00DB5D0D" w:rsidRDefault="002313B9" w:rsidP="00DB5D0D">
      <w:pPr>
        <w:pStyle w:val="rtejustify"/>
        <w:shd w:val="clear" w:color="auto" w:fill="FFFFFF"/>
        <w:spacing w:before="0" w:after="0"/>
        <w:rPr>
          <w:color w:val="000000" w:themeColor="text1"/>
          <w:sz w:val="16"/>
          <w:szCs w:val="16"/>
        </w:rPr>
      </w:pPr>
      <w:r w:rsidRPr="00DB5D0D">
        <w:rPr>
          <w:color w:val="000000" w:themeColor="text1"/>
          <w:sz w:val="16"/>
          <w:szCs w:val="16"/>
        </w:rPr>
        <w:t>Весной 1940 года заводской летчик-испытатель Константинс Рейхманис впервые поднял истребитель VEF I-16 в небо; к сожалению, точная дата первого полета не сохранилась. На высоте 1000 метров спустя 20 минут после старта двигатель неожиданно остановился. Пилот едва справился с потерявшей скорость машиной, и при посадке прототип получил повреждения. Компании Walter был отправлен отчет по результатам полета, но ответа из протектората Богемии и Моравии не последовало. Позднее комиссия, расследовавшая это происшествие, пришла к выводу, что остановка двигателя произошла по причине низкого давления подачи топлива.</w:t>
      </w:r>
    </w:p>
    <w:p w14:paraId="55268ADD" w14:textId="77777777" w:rsidR="002313B9" w:rsidRPr="00DB5D0D" w:rsidRDefault="002313B9" w:rsidP="00DB5D0D">
      <w:pPr>
        <w:pStyle w:val="rtejustify"/>
        <w:shd w:val="clear" w:color="auto" w:fill="FFFFFF"/>
        <w:spacing w:before="0" w:after="0"/>
        <w:rPr>
          <w:color w:val="000000" w:themeColor="text1"/>
          <w:sz w:val="16"/>
          <w:szCs w:val="16"/>
        </w:rPr>
      </w:pPr>
      <w:r w:rsidRPr="00DB5D0D">
        <w:rPr>
          <w:color w:val="000000" w:themeColor="text1"/>
          <w:sz w:val="16"/>
          <w:szCs w:val="16"/>
        </w:rPr>
        <w:lastRenderedPageBreak/>
        <w:t>В конце концов в компании VEF смогли починить двигатель собственными силами, и летные испытания были продолжены, но до присоединения страны к СССР успели сделать не более 3 вылетов. К этому времени определили, что на постройку I-16 было затрачено 36 465 человеко-часов, а его стоимость составила 130 000 латов (примерно $ 27 000), из которых половина пошла на закупку импортных мотора, пропеллера и приборного оборудования.</w:t>
      </w:r>
    </w:p>
    <w:p w14:paraId="42AA328D" w14:textId="77777777" w:rsidR="002313B9" w:rsidRPr="00DB5D0D" w:rsidRDefault="002313B9" w:rsidP="00DB5D0D">
      <w:pPr>
        <w:pStyle w:val="rtejustify"/>
        <w:shd w:val="clear" w:color="auto" w:fill="FFFFFF"/>
        <w:spacing w:before="0" w:after="0"/>
        <w:rPr>
          <w:color w:val="000000" w:themeColor="text1"/>
          <w:sz w:val="16"/>
          <w:szCs w:val="16"/>
        </w:rPr>
      </w:pPr>
      <w:r w:rsidRPr="00DB5D0D">
        <w:rPr>
          <w:color w:val="000000" w:themeColor="text1"/>
          <w:sz w:val="16"/>
          <w:szCs w:val="16"/>
        </w:rPr>
        <w:t>Поскольку уверенности в двигателях Sagitta больше не было, то в компании VEF по собственной инициативе решили обратиться к американцам и начать с компанией Ranger переговоры о приобретении двенадцати 450-сильных (330 кВт) двигателей SGV-770. Данные двигатели предназначались для оснащения запланированной к постройке первой производственной серии из 12 истребителей I-16 (19181).</w:t>
      </w:r>
    </w:p>
    <w:p w14:paraId="16622524" w14:textId="77777777" w:rsidR="002313B9" w:rsidRPr="00DB5D0D" w:rsidRDefault="002313B9" w:rsidP="00DB5D0D">
      <w:pPr>
        <w:pStyle w:val="rtejustify"/>
        <w:shd w:val="clear" w:color="auto" w:fill="FFFFFF"/>
        <w:spacing w:before="0" w:after="0"/>
        <w:rPr>
          <w:color w:val="000000" w:themeColor="text1"/>
          <w:sz w:val="16"/>
          <w:szCs w:val="16"/>
        </w:rPr>
      </w:pPr>
    </w:p>
    <w:p w14:paraId="4E37885B" w14:textId="77777777" w:rsidR="002313B9" w:rsidRPr="00DB5D0D" w:rsidRDefault="00231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 1940 года самолёты BV 141 А-О оказались в разведывательной авиационной школе AS 1 в г. Гроссенхайн, где выполнили испытания по предназначению. В это время RLM подвело итоги конкурса на новый самолёт-разведчик для Люфтваффе. Победителем был объявлен Фоке-Вульф Fw 189. Одновременно был отменён предварительный заказ на изготовление 500 самолётов BV 141. Технический отдел RLM высказал мнение, что производительность BV 141 не намного лучше, чем у Fw 189, чтобы рисковать введением в строй такого необычного самолёта. Правда, BV 141 был быстрее и имел большую дальность, чем Fw-189, но считалось, что двухмоторный самолёт-разведчик обеспечит большую безопасность экипажу в боевых условиях, чем одномоторная машина. К этому добавились постоянные проблемы с системой уборки - выпуска шасси, что привело, в частности, к аварии во время испытаний BV 141 V4. Эти проблемы усугублялись врождённым дефектом проекта, в котором левая опора, на которую опирался фюзеляж с двигателем, была более загружена, чем правая (19004).</w:t>
      </w:r>
    </w:p>
    <w:p w14:paraId="4376E054" w14:textId="77777777" w:rsidR="002313B9" w:rsidRPr="00DB5D0D" w:rsidRDefault="002313B9" w:rsidP="00DB5D0D">
      <w:pPr>
        <w:spacing w:after="0" w:line="240" w:lineRule="auto"/>
        <w:jc w:val="both"/>
        <w:rPr>
          <w:rFonts w:ascii="Times New Roman" w:hAnsi="Times New Roman"/>
          <w:color w:val="000000" w:themeColor="text1"/>
          <w:sz w:val="16"/>
          <w:szCs w:val="16"/>
        </w:rPr>
      </w:pPr>
    </w:p>
    <w:p w14:paraId="62C63C8E" w14:textId="77777777" w:rsidR="00D212B0" w:rsidRPr="00DB5D0D" w:rsidRDefault="00D212B0"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Весной 1940 года начал поступать в войска Не.115С-1, а летом 506-я авиагруппа была брошена на поддержку сухопутных бомбардировщиков в «Битве за Англию». Она не привлекалась непосредственно к бомбардировке городов, ставя мины в прибрежных водах и в реках Темза и Клайд. Но тихоходные и слабовооруженные Не.115 все чаще становились жертвой «спитфайров» и «харрикейнов», а когда английская ПВО стала получать дальние перехватчики «Бофайтер» с радарами, стали расти потери и над открытым морем.</w:t>
      </w:r>
    </w:p>
    <w:p w14:paraId="6A0DF657" w14:textId="77777777" w:rsidR="00D212B0" w:rsidRPr="00DB5D0D" w:rsidRDefault="00D212B0"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rPr>
        <w:t>Была сделана лишь небольшая серия Не.115С-1, — на единственной сборочной линии в Эйнсвардене ее сменил Не.115С-2 с усиленными поплавками. Для Не.115С-1 и С-2 к опробованным на Не.115В «рюстсатце» добавился ремкомплект R4 с аппаратурой дымовых завес SV 300 (22817).</w:t>
      </w:r>
    </w:p>
    <w:p w14:paraId="34B050E1" w14:textId="77777777" w:rsidR="00D212B0" w:rsidRPr="00DB5D0D" w:rsidRDefault="00D212B0"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6B1BA971" w14:textId="77777777" w:rsidR="00D212B0" w:rsidRPr="00DB5D0D" w:rsidRDefault="00D212B0"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rPr>
        <w:t>Весной 1942 в части начал поступать FW 200С-2, главным новшеством которого стали моторы Брамо SAM 323R-2 «Фафнир» взлетной мощностью со впрыском водно-спиртовой смеси по 1000 л.с. и боевой у воды 1200 л.с., что позволило довести взлетный вес до 21000 кг. Вместо бомб под мотогондолами можно было повесить еще 2 бака по 300 л бензина, но и с ними при подвеске мин порт Кардиф в Уэльсе оказался на пределе упавшего на 35% радиуса действия самолета. Ухудшились и летные свойства (22969).</w:t>
      </w:r>
    </w:p>
    <w:p w14:paraId="1F404EDC" w14:textId="77777777" w:rsidR="00D212B0" w:rsidRPr="00DB5D0D" w:rsidRDefault="00D212B0"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1C9B92EF" w14:textId="77777777" w:rsidR="00D212B0" w:rsidRPr="00DB5D0D" w:rsidRDefault="00D212B0"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lang w:eastAsia="ru-RU" w:bidi="ru-RU"/>
        </w:rPr>
        <w:t xml:space="preserve">С весны 1940 года три </w:t>
      </w:r>
      <w:r w:rsidRPr="00DB5D0D">
        <w:rPr>
          <w:rFonts w:ascii="Times New Roman" w:hAnsi="Times New Roman"/>
          <w:color w:val="0070C0"/>
          <w:sz w:val="16"/>
          <w:szCs w:val="16"/>
          <w:lang w:val="en-US" w:bidi="en-US"/>
        </w:rPr>
        <w:t>SNCAC</w:t>
      </w:r>
      <w:r w:rsidRPr="00DB5D0D">
        <w:rPr>
          <w:rFonts w:ascii="Times New Roman" w:hAnsi="Times New Roman"/>
          <w:color w:val="0070C0"/>
          <w:sz w:val="16"/>
          <w:szCs w:val="16"/>
          <w:lang w:bidi="en-US"/>
        </w:rPr>
        <w:t xml:space="preserve"> </w:t>
      </w:r>
      <w:r w:rsidRPr="00DB5D0D">
        <w:rPr>
          <w:rFonts w:ascii="Times New Roman" w:hAnsi="Times New Roman"/>
          <w:color w:val="0070C0"/>
          <w:sz w:val="16"/>
          <w:szCs w:val="16"/>
          <w:lang w:eastAsia="ru-RU" w:bidi="ru-RU"/>
        </w:rPr>
        <w:t>2234 С, которые началом войны были переданы авиации ВМС Франции («Аэронаваль») и переоборудованы в бомбардировщики, совершали спорадические ночные налеты на важные объекты, ограничиваясь, однако, лишь пригра</w:t>
      </w:r>
      <w:r w:rsidRPr="00DB5D0D">
        <w:rPr>
          <w:rFonts w:ascii="Times New Roman" w:hAnsi="Times New Roman"/>
          <w:color w:val="0070C0"/>
          <w:sz w:val="16"/>
          <w:szCs w:val="16"/>
          <w:lang w:eastAsia="ru-RU" w:bidi="ru-RU"/>
        </w:rPr>
        <w:softHyphen/>
        <w:t>ничными районами Германии, а также территориями Голландии и Бельгии. Только в июне 1940 года «Жюль Верн» сбросил восемь 225-кг «фугасок» и до 100 кг мелких «зажигалок» на столицу Германии. Первый налет на Берлин во II мировой войне имел лишь пропа</w:t>
      </w:r>
      <w:r w:rsidRPr="00DB5D0D">
        <w:rPr>
          <w:rFonts w:ascii="Times New Roman" w:hAnsi="Times New Roman"/>
          <w:color w:val="0070C0"/>
          <w:sz w:val="16"/>
          <w:szCs w:val="16"/>
          <w:lang w:eastAsia="ru-RU" w:bidi="ru-RU"/>
        </w:rPr>
        <w:softHyphen/>
        <w:t>гандистское значение - Франция вско</w:t>
      </w:r>
      <w:r w:rsidRPr="00DB5D0D">
        <w:rPr>
          <w:rFonts w:ascii="Times New Roman" w:hAnsi="Times New Roman"/>
          <w:color w:val="0070C0"/>
          <w:sz w:val="16"/>
          <w:szCs w:val="16"/>
          <w:lang w:eastAsia="ru-RU" w:bidi="ru-RU"/>
        </w:rPr>
        <w:softHyphen/>
        <w:t>ре капитулировала и все три самолета вернулись к гражданским перевозкам, летая из южных неоккупированных районов страны в ближневосточные и африканские колонии (22797).</w:t>
      </w:r>
    </w:p>
    <w:p w14:paraId="17608E3A" w14:textId="77777777" w:rsidR="00D212B0" w:rsidRPr="00DB5D0D" w:rsidRDefault="00D212B0"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4288C51E" w14:textId="77777777" w:rsidR="002313B9" w:rsidRPr="00DB5D0D" w:rsidRDefault="002313B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к весне 1940 г. построили че</w:t>
      </w:r>
      <w:r w:rsidRPr="00DB5D0D">
        <w:rPr>
          <w:rFonts w:ascii="Times New Roman" w:hAnsi="Times New Roman"/>
          <w:color w:val="000000" w:themeColor="text1"/>
          <w:sz w:val="16"/>
          <w:szCs w:val="16"/>
        </w:rPr>
        <w:softHyphen/>
        <w:t>тыре десятка В-17В. Затем в цехах их сменили усовершенствованные В-17С, на которых убрали блистеры бортовых огневых точек и обеспечили перекрест</w:t>
      </w:r>
      <w:r w:rsidRPr="00DB5D0D">
        <w:rPr>
          <w:rFonts w:ascii="Times New Roman" w:hAnsi="Times New Roman"/>
          <w:color w:val="000000" w:themeColor="text1"/>
          <w:sz w:val="16"/>
          <w:szCs w:val="16"/>
        </w:rPr>
        <w:softHyphen/>
        <w:t>ное питание моторов горючим. Все пу</w:t>
      </w:r>
      <w:r w:rsidRPr="00DB5D0D">
        <w:rPr>
          <w:rFonts w:ascii="Times New Roman" w:hAnsi="Times New Roman"/>
          <w:color w:val="000000" w:themeColor="text1"/>
          <w:sz w:val="16"/>
          <w:szCs w:val="16"/>
        </w:rPr>
        <w:softHyphen/>
        <w:t>леметы винтовочного калибра, кроме носового, стали крупнокалиберными (15772).</w:t>
      </w:r>
    </w:p>
    <w:p w14:paraId="13FED822" w14:textId="77777777" w:rsidR="002313B9" w:rsidRPr="00DB5D0D" w:rsidRDefault="002313B9" w:rsidP="00DB5D0D">
      <w:pPr>
        <w:spacing w:after="0" w:line="240" w:lineRule="auto"/>
        <w:jc w:val="both"/>
        <w:rPr>
          <w:rFonts w:ascii="Times New Roman" w:hAnsi="Times New Roman"/>
          <w:color w:val="000000" w:themeColor="text1"/>
          <w:sz w:val="16"/>
          <w:szCs w:val="16"/>
        </w:rPr>
      </w:pPr>
    </w:p>
    <w:p w14:paraId="32B647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весне 1940 года в сумме США, Англия и Франция заказали примерно 3000 самолетов А-20. "Дуглас" не могла выполнить все заказы сама и передала часть их фирме "Боинг". Во Францию поставлялись DB-7 с моторами K-1830-SC3-G или R-1830-S3C4-G в 1100 л.с. и DB-7А с более мощными R-2600-A5B по 1600 л.с. DB-7A отличался также удлиненными мотогондолами и увеличенным вертикальным оперением. Для Великобритании сначала выпускали DB-7B, похожие на DB-7A, но с удлиненной носовой частью и большей площадью остекления в кабине штурмана. Параллельно для ВВС армии США заводы строили А-20, А-20А и А-20В. Последний представлял собой А-20А с измененным бомбоотсеком и новым "ступенчатым" остеклением носа фюзеляжа. Американские машины несли другое вооружение. Пулеметы в каждой стране ставили свои: во Франции-калибра 7,5 мм, в Англии-7,69 мм, в США-7,62 мм и 12,7 мм (3457,99).</w:t>
      </w:r>
    </w:p>
    <w:p w14:paraId="15EA66F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C7CD4A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BF6794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997B9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Весной—летом 1940 г. в план развития авиапро</w:t>
      </w:r>
      <w:r w:rsidRPr="00DB5D0D">
        <w:rPr>
          <w:rFonts w:ascii="Times New Roman" w:hAnsi="Times New Roman"/>
          <w:color w:val="000000" w:themeColor="text1"/>
          <w:sz w:val="16"/>
          <w:szCs w:val="16"/>
        </w:rPr>
        <w:softHyphen/>
        <w:t>мышленности вновь были внесены коррективы. В 1940 г. советское руководство получило, как впоследствии выясни</w:t>
      </w:r>
      <w:r w:rsidRPr="00DB5D0D">
        <w:rPr>
          <w:rFonts w:ascii="Times New Roman" w:hAnsi="Times New Roman"/>
          <w:color w:val="000000" w:themeColor="text1"/>
          <w:sz w:val="16"/>
          <w:szCs w:val="16"/>
        </w:rPr>
        <w:softHyphen/>
        <w:t>лось, ложные сведения о существенном превосходстве гер</w:t>
      </w:r>
      <w:r w:rsidRPr="00DB5D0D">
        <w:rPr>
          <w:rFonts w:ascii="Times New Roman" w:hAnsi="Times New Roman"/>
          <w:color w:val="000000" w:themeColor="text1"/>
          <w:sz w:val="16"/>
          <w:szCs w:val="16"/>
        </w:rPr>
        <w:softHyphen/>
        <w:t>манского авиавыпуска над отечественным. По</w:t>
      </w:r>
      <w:r w:rsidRPr="00DB5D0D">
        <w:rPr>
          <w:rFonts w:ascii="Times New Roman" w:hAnsi="Times New Roman"/>
          <w:color w:val="000000" w:themeColor="text1"/>
          <w:sz w:val="16"/>
          <w:szCs w:val="16"/>
        </w:rPr>
        <w:softHyphen/>
        <w:t>пытка добиться если не превосходства, то хотя бы паритета с потенциальным противником в области авиапроизводства путем интенсификации работ на уже существующих авиа</w:t>
      </w:r>
      <w:r w:rsidRPr="00DB5D0D">
        <w:rPr>
          <w:rFonts w:ascii="Times New Roman" w:hAnsi="Times New Roman"/>
          <w:color w:val="000000" w:themeColor="text1"/>
          <w:sz w:val="16"/>
          <w:szCs w:val="16"/>
        </w:rPr>
        <w:softHyphen/>
        <w:t>предприятиях, успехом не увенчалась. Единственным выхо</w:t>
      </w:r>
      <w:r w:rsidRPr="00DB5D0D">
        <w:rPr>
          <w:rFonts w:ascii="Times New Roman" w:hAnsi="Times New Roman"/>
          <w:color w:val="000000" w:themeColor="text1"/>
          <w:sz w:val="16"/>
          <w:szCs w:val="16"/>
        </w:rPr>
        <w:softHyphen/>
        <w:t>дом, таким образом, становилось сверхфорсированное разви</w:t>
      </w:r>
      <w:r w:rsidRPr="00DB5D0D">
        <w:rPr>
          <w:rFonts w:ascii="Times New Roman" w:hAnsi="Times New Roman"/>
          <w:color w:val="000000" w:themeColor="text1"/>
          <w:sz w:val="16"/>
          <w:szCs w:val="16"/>
        </w:rPr>
        <w:softHyphen/>
        <w:t>тие авиаиндустрии с резким увеличением производственных мощностей. Для этого в составе Наркомата авиапромышлен</w:t>
      </w:r>
      <w:r w:rsidRPr="00DB5D0D">
        <w:rPr>
          <w:rFonts w:ascii="Times New Roman" w:hAnsi="Times New Roman"/>
          <w:color w:val="000000" w:themeColor="text1"/>
          <w:sz w:val="16"/>
          <w:szCs w:val="16"/>
        </w:rPr>
        <w:softHyphen/>
        <w:t>ности был создан специальный главк, ведавший капиталь</w:t>
      </w:r>
      <w:r w:rsidRPr="00DB5D0D">
        <w:rPr>
          <w:rFonts w:ascii="Times New Roman" w:hAnsi="Times New Roman"/>
          <w:color w:val="000000" w:themeColor="text1"/>
          <w:sz w:val="16"/>
          <w:szCs w:val="16"/>
        </w:rPr>
        <w:softHyphen/>
        <w:t>ным строительством, в подчинении которого находилось 25 строительно-монтажных трестов.</w:t>
      </w:r>
    </w:p>
    <w:p w14:paraId="4CC607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результаты расширения авиапромышленности в первое полугодие 1940 г. отнюдь не радовали. План капиталь</w:t>
      </w:r>
      <w:r w:rsidRPr="00DB5D0D">
        <w:rPr>
          <w:rFonts w:ascii="Times New Roman" w:hAnsi="Times New Roman"/>
          <w:color w:val="000000" w:themeColor="text1"/>
          <w:sz w:val="16"/>
          <w:szCs w:val="16"/>
        </w:rPr>
        <w:softHyphen/>
        <w:t>ного строительства был выполнен лишь на 30 % от годового. Деятельность Наркомата строительства удостоилась букваль</w:t>
      </w:r>
      <w:r w:rsidRPr="00DB5D0D">
        <w:rPr>
          <w:rFonts w:ascii="Times New Roman" w:hAnsi="Times New Roman"/>
          <w:color w:val="000000" w:themeColor="text1"/>
          <w:sz w:val="16"/>
          <w:szCs w:val="16"/>
        </w:rPr>
        <w:softHyphen/>
        <w:t>но разгромной критики со стороны НКАПа. Так, констати</w:t>
      </w:r>
      <w:r w:rsidRPr="00DB5D0D">
        <w:rPr>
          <w:rFonts w:ascii="Times New Roman" w:hAnsi="Times New Roman"/>
          <w:color w:val="000000" w:themeColor="text1"/>
          <w:sz w:val="16"/>
          <w:szCs w:val="16"/>
        </w:rPr>
        <w:softHyphen/>
        <w:t xml:space="preserve">ровалось, что по новостройкам заводов, порученных НКС, годовой план выполнен (ГА РФ. Ф. 8007. </w:t>
      </w:r>
      <w:r w:rsidRPr="00DB5D0D">
        <w:rPr>
          <w:rFonts w:ascii="Times New Roman" w:hAnsi="Times New Roman"/>
          <w:color w:val="000000" w:themeColor="text1"/>
          <w:sz w:val="16"/>
          <w:szCs w:val="16"/>
          <w:lang w:val="en-US"/>
        </w:rPr>
        <w:t xml:space="preserve">On </w:t>
      </w:r>
      <w:r w:rsidRPr="00DB5D0D">
        <w:rPr>
          <w:rFonts w:ascii="Times New Roman" w:hAnsi="Times New Roman"/>
          <w:color w:val="000000" w:themeColor="text1"/>
          <w:sz w:val="16"/>
          <w:szCs w:val="16"/>
        </w:rPr>
        <w:t xml:space="preserve">1. Д. 25. </w:t>
      </w:r>
      <w:r w:rsidRPr="00DB5D0D">
        <w:rPr>
          <w:rFonts w:ascii="Times New Roman" w:hAnsi="Times New Roman"/>
          <w:color w:val="000000" w:themeColor="text1"/>
          <w:sz w:val="16"/>
          <w:szCs w:val="16"/>
          <w:lang w:val="en-US"/>
        </w:rPr>
        <w:t xml:space="preserve">JL </w:t>
      </w:r>
      <w:r w:rsidRPr="00DB5D0D">
        <w:rPr>
          <w:rFonts w:ascii="Times New Roman" w:hAnsi="Times New Roman"/>
          <w:color w:val="000000" w:themeColor="text1"/>
          <w:sz w:val="16"/>
          <w:szCs w:val="16"/>
        </w:rPr>
        <w:t>3.):</w:t>
      </w:r>
    </w:p>
    <w:tbl>
      <w:tblPr>
        <w:tblW w:w="0" w:type="auto"/>
        <w:tblInd w:w="8" w:type="dxa"/>
        <w:tblLayout w:type="fixed"/>
        <w:tblCellMar>
          <w:left w:w="0" w:type="dxa"/>
          <w:right w:w="0" w:type="dxa"/>
        </w:tblCellMar>
        <w:tblLook w:val="0000" w:firstRow="0" w:lastRow="0" w:firstColumn="0" w:lastColumn="0" w:noHBand="0" w:noVBand="0"/>
      </w:tblPr>
      <w:tblGrid>
        <w:gridCol w:w="3062"/>
        <w:gridCol w:w="566"/>
        <w:gridCol w:w="571"/>
        <w:gridCol w:w="566"/>
        <w:gridCol w:w="571"/>
        <w:gridCol w:w="581"/>
      </w:tblGrid>
      <w:tr w:rsidR="007D5DF8" w:rsidRPr="00DB5D0D" w14:paraId="36F77C06" w14:textId="77777777" w:rsidTr="009223E5">
        <w:trPr>
          <w:trHeight w:val="240"/>
        </w:trPr>
        <w:tc>
          <w:tcPr>
            <w:tcW w:w="3062" w:type="dxa"/>
            <w:tcBorders>
              <w:top w:val="single" w:sz="6" w:space="0" w:color="auto"/>
              <w:left w:val="single" w:sz="6" w:space="0" w:color="auto"/>
              <w:bottom w:val="single" w:sz="6" w:space="0" w:color="auto"/>
              <w:right w:val="single" w:sz="6" w:space="0" w:color="auto"/>
            </w:tcBorders>
            <w:shd w:val="clear" w:color="auto" w:fill="FFFFFF"/>
          </w:tcPr>
          <w:p w14:paraId="6416F0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Номер завода</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F0709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C05CE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5BD7C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571B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336</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05D427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306</w:t>
            </w:r>
          </w:p>
        </w:tc>
      </w:tr>
      <w:tr w:rsidR="007D5DF8" w:rsidRPr="00DB5D0D" w14:paraId="2137F70F" w14:textId="77777777" w:rsidTr="009223E5">
        <w:trPr>
          <w:trHeight w:val="240"/>
        </w:trPr>
        <w:tc>
          <w:tcPr>
            <w:tcW w:w="3062" w:type="dxa"/>
            <w:tcBorders>
              <w:top w:val="single" w:sz="6" w:space="0" w:color="auto"/>
              <w:left w:val="single" w:sz="6" w:space="0" w:color="auto"/>
              <w:bottom w:val="single" w:sz="6" w:space="0" w:color="auto"/>
              <w:right w:val="single" w:sz="6" w:space="0" w:color="auto"/>
            </w:tcBorders>
            <w:shd w:val="clear" w:color="auto" w:fill="FFFFFF"/>
          </w:tcPr>
          <w:p w14:paraId="4F5DB1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вьшолнеши пщового плава</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8733D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7FC1E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E31EC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C431F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162840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bl>
    <w:p w14:paraId="7B0DC4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Справедливости ради, надо отметить, что на уже дей</w:t>
      </w:r>
      <w:r w:rsidRPr="00DB5D0D">
        <w:rPr>
          <w:rFonts w:ascii="Times New Roman" w:hAnsi="Times New Roman"/>
          <w:color w:val="000000" w:themeColor="text1"/>
          <w:sz w:val="16"/>
          <w:szCs w:val="16"/>
        </w:rPr>
        <w:softHyphen/>
        <w:t>ствующих авиазаводах выполнение годового плана капи</w:t>
      </w:r>
      <w:r w:rsidRPr="00DB5D0D">
        <w:rPr>
          <w:rFonts w:ascii="Times New Roman" w:hAnsi="Times New Roman"/>
          <w:color w:val="000000" w:themeColor="text1"/>
          <w:sz w:val="16"/>
          <w:szCs w:val="16"/>
        </w:rPr>
        <w:softHyphen/>
        <w:t xml:space="preserve">тального строительства за I квартал 1940 г. тоже было не блестящим (ГА РФ. Ф. 8007. </w:t>
      </w:r>
      <w:r w:rsidRPr="00DB5D0D">
        <w:rPr>
          <w:rFonts w:ascii="Times New Roman" w:hAnsi="Times New Roman"/>
          <w:color w:val="000000" w:themeColor="text1"/>
          <w:sz w:val="16"/>
          <w:szCs w:val="16"/>
          <w:lang w:val="en-US"/>
        </w:rPr>
        <w:t xml:space="preserve">On </w:t>
      </w:r>
      <w:r w:rsidRPr="00DB5D0D">
        <w:rPr>
          <w:rFonts w:ascii="Times New Roman" w:hAnsi="Times New Roman"/>
          <w:color w:val="000000" w:themeColor="text1"/>
          <w:sz w:val="16"/>
          <w:szCs w:val="16"/>
        </w:rPr>
        <w:t>1. Д. 25. Л.4.):</w:t>
      </w:r>
    </w:p>
    <w:tbl>
      <w:tblPr>
        <w:tblW w:w="0" w:type="auto"/>
        <w:tblInd w:w="8" w:type="dxa"/>
        <w:tblLayout w:type="fixed"/>
        <w:tblCellMar>
          <w:left w:w="0" w:type="dxa"/>
          <w:right w:w="0" w:type="dxa"/>
        </w:tblCellMar>
        <w:tblLook w:val="0000" w:firstRow="0" w:lastRow="0" w:firstColumn="0" w:lastColumn="0" w:noHBand="0" w:noVBand="0"/>
      </w:tblPr>
      <w:tblGrid>
        <w:gridCol w:w="1310"/>
        <w:gridCol w:w="514"/>
        <w:gridCol w:w="514"/>
        <w:gridCol w:w="514"/>
        <w:gridCol w:w="509"/>
        <w:gridCol w:w="514"/>
        <w:gridCol w:w="514"/>
        <w:gridCol w:w="509"/>
        <w:gridCol w:w="514"/>
        <w:gridCol w:w="523"/>
      </w:tblGrid>
      <w:tr w:rsidR="007D5DF8" w:rsidRPr="00DB5D0D" w14:paraId="5BAA2B6B" w14:textId="77777777" w:rsidTr="009223E5">
        <w:trPr>
          <w:trHeight w:val="240"/>
        </w:trPr>
        <w:tc>
          <w:tcPr>
            <w:tcW w:w="1310" w:type="dxa"/>
            <w:tcBorders>
              <w:top w:val="single" w:sz="6" w:space="0" w:color="auto"/>
              <w:left w:val="single" w:sz="6" w:space="0" w:color="auto"/>
              <w:bottom w:val="single" w:sz="6" w:space="0" w:color="auto"/>
              <w:right w:val="single" w:sz="6" w:space="0" w:color="auto"/>
            </w:tcBorders>
            <w:shd w:val="clear" w:color="auto" w:fill="FFFFFF"/>
          </w:tcPr>
          <w:p w14:paraId="5A3A47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завода</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8DDFF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7B066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557B9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178F3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81543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2B993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46135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04B30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3FA297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r>
      <w:tr w:rsidR="007D5DF8" w:rsidRPr="00DB5D0D" w14:paraId="5BE822A3" w14:textId="77777777" w:rsidTr="009223E5">
        <w:trPr>
          <w:trHeight w:val="235"/>
        </w:trPr>
        <w:tc>
          <w:tcPr>
            <w:tcW w:w="1310" w:type="dxa"/>
            <w:tcBorders>
              <w:top w:val="single" w:sz="6" w:space="0" w:color="auto"/>
              <w:left w:val="single" w:sz="6" w:space="0" w:color="auto"/>
              <w:bottom w:val="single" w:sz="6" w:space="0" w:color="auto"/>
              <w:right w:val="single" w:sz="6" w:space="0" w:color="auto"/>
            </w:tcBorders>
            <w:shd w:val="clear" w:color="auto" w:fill="FFFFFF"/>
          </w:tcPr>
          <w:p w14:paraId="2A5092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выполнения</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FFF98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53,6</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B8DEE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F1440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28,7</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56F8B4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E3515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59984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20,8</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D8C13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И,7</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1E5DA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25,2</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0A077A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43,0</w:t>
            </w:r>
          </w:p>
        </w:tc>
      </w:tr>
    </w:tbl>
    <w:p w14:paraId="7385A9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Легко заметить, что за исключением «ударных» заводов № 19 и 150, НКАП так же провалил план капитального строи</w:t>
      </w:r>
      <w:r w:rsidRPr="00DB5D0D">
        <w:rPr>
          <w:rFonts w:ascii="Times New Roman" w:hAnsi="Times New Roman"/>
          <w:color w:val="000000" w:themeColor="text1"/>
          <w:sz w:val="16"/>
          <w:szCs w:val="16"/>
        </w:rPr>
        <w:softHyphen/>
        <w:t>тельства, как и НКС.</w:t>
      </w:r>
    </w:p>
    <w:p w14:paraId="69D0B8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сетовали в НКАП, Наркомат строительства по</w:t>
      </w:r>
      <w:r w:rsidRPr="00DB5D0D">
        <w:rPr>
          <w:rFonts w:ascii="Times New Roman" w:hAnsi="Times New Roman"/>
          <w:color w:val="000000" w:themeColor="text1"/>
          <w:sz w:val="16"/>
          <w:szCs w:val="16"/>
        </w:rPr>
        <w:softHyphen/>
        <w:t>стоянно включает в отчёт по выполнению плана и работы субподрядчиков, то есть реально процент выполнения пла</w:t>
      </w:r>
      <w:r w:rsidRPr="00DB5D0D">
        <w:rPr>
          <w:rFonts w:ascii="Times New Roman" w:hAnsi="Times New Roman"/>
          <w:color w:val="000000" w:themeColor="text1"/>
          <w:sz w:val="16"/>
          <w:szCs w:val="16"/>
        </w:rPr>
        <w:softHyphen/>
        <w:t>на капстроительства был ещё ниже. Однако особое возму</w:t>
      </w:r>
      <w:r w:rsidRPr="00DB5D0D">
        <w:rPr>
          <w:rFonts w:ascii="Times New Roman" w:hAnsi="Times New Roman"/>
          <w:color w:val="000000" w:themeColor="text1"/>
          <w:sz w:val="16"/>
          <w:szCs w:val="16"/>
        </w:rPr>
        <w:softHyphen/>
        <w:t>щение авиастроителей вызвало то, что план III квартала в НКС сверстали, исходя из выделенных стройкам лимитов и фондов на стройматериалы. В результате при утверждённом правительством плане квартала в 40 млн руб. строители со</w:t>
      </w:r>
      <w:r w:rsidRPr="00DB5D0D">
        <w:rPr>
          <w:rFonts w:ascii="Times New Roman" w:hAnsi="Times New Roman"/>
          <w:color w:val="000000" w:themeColor="text1"/>
          <w:sz w:val="16"/>
          <w:szCs w:val="16"/>
        </w:rPr>
        <w:softHyphen/>
        <w:t>бирались освоить лишь 15 млн, а такие заводы как 127 и 123 вообще были из плана капитального строительства ис</w:t>
      </w:r>
      <w:r w:rsidRPr="00DB5D0D">
        <w:rPr>
          <w:rFonts w:ascii="Times New Roman" w:hAnsi="Times New Roman"/>
          <w:color w:val="000000" w:themeColor="text1"/>
          <w:sz w:val="16"/>
          <w:szCs w:val="16"/>
        </w:rPr>
        <w:softHyphen/>
        <w:t xml:space="preserve">ключены (ГА РФ. Ф. 8007.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xml:space="preserve"> 1. Д. 25. Л. 3.) (12011).</w:t>
      </w:r>
    </w:p>
    <w:p w14:paraId="0747BC2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09D877"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2C2453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1E53B3A" w14:textId="77777777" w:rsidR="004A0330" w:rsidRPr="00DB5D0D" w:rsidRDefault="004A0330" w:rsidP="00DB5D0D">
      <w:pPr>
        <w:pStyle w:val="a3"/>
        <w:rPr>
          <w:color w:val="000000" w:themeColor="text1"/>
          <w:lang w:val="ru-RU"/>
        </w:rPr>
      </w:pPr>
      <w:r w:rsidRPr="00DB5D0D">
        <w:rPr>
          <w:color w:val="000000" w:themeColor="text1"/>
          <w:lang w:val="ru-RU"/>
        </w:rPr>
        <w:t>В течение весны и лета 1940 года на Кировском заводе и заводе № 185 шли работы по проектированию тяжелых самоходных орудий на базах танков Т-100 и СМК. В тот момент решение о судьбе этих двух танков не было окончательно принято. Завод № 185 отчаянно борол</w:t>
      </w:r>
      <w:r w:rsidRPr="00DB5D0D">
        <w:rPr>
          <w:color w:val="000000" w:themeColor="text1"/>
          <w:lang w:val="ru-RU"/>
        </w:rPr>
        <w:softHyphen/>
        <w:t>ся за Т-100 и машины на его базе. Еще в январе 1940 года по требова</w:t>
      </w:r>
      <w:r w:rsidRPr="00DB5D0D">
        <w:rPr>
          <w:color w:val="000000" w:themeColor="text1"/>
          <w:lang w:val="ru-RU"/>
        </w:rPr>
        <w:softHyphen/>
        <w:t>нию маршала Г. И. Кулика была разработана башня для Т-100 с установ</w:t>
      </w:r>
      <w:r w:rsidRPr="00DB5D0D">
        <w:rPr>
          <w:color w:val="000000" w:themeColor="text1"/>
          <w:lang w:val="ru-RU"/>
        </w:rPr>
        <w:softHyphen/>
        <w:t xml:space="preserve">кой в ней 152-мм пушки М-10, данная версия получила индекс </w:t>
      </w:r>
      <w:r w:rsidRPr="00DB5D0D">
        <w:rPr>
          <w:color w:val="000000" w:themeColor="text1"/>
        </w:rPr>
        <w:t>T</w:t>
      </w:r>
      <w:r w:rsidRPr="00DB5D0D">
        <w:rPr>
          <w:color w:val="000000" w:themeColor="text1"/>
          <w:lang w:val="ru-RU"/>
        </w:rPr>
        <w:t>-100</w:t>
      </w:r>
      <w:r w:rsidRPr="00DB5D0D">
        <w:rPr>
          <w:color w:val="000000" w:themeColor="text1"/>
        </w:rPr>
        <w:t>Z</w:t>
      </w:r>
      <w:r w:rsidRPr="00DB5D0D">
        <w:rPr>
          <w:color w:val="000000" w:themeColor="text1"/>
          <w:lang w:val="ru-RU"/>
        </w:rPr>
        <w:t>. В апреле конструкторы завода №185 разработали на базе Т-100 проект танка береговой обороны, получивший заводской индекс «103». От схо</w:t>
      </w:r>
      <w:r w:rsidRPr="00DB5D0D">
        <w:rPr>
          <w:color w:val="000000" w:themeColor="text1"/>
          <w:lang w:val="ru-RU"/>
        </w:rPr>
        <w:softHyphen/>
        <w:t xml:space="preserve">жего с ним </w:t>
      </w:r>
      <w:r w:rsidRPr="00DB5D0D">
        <w:rPr>
          <w:color w:val="000000" w:themeColor="text1"/>
        </w:rPr>
        <w:t>T</w:t>
      </w:r>
      <w:r w:rsidRPr="00DB5D0D">
        <w:rPr>
          <w:color w:val="000000" w:themeColor="text1"/>
          <w:lang w:val="ru-RU"/>
        </w:rPr>
        <w:t>-100</w:t>
      </w:r>
      <w:r w:rsidRPr="00DB5D0D">
        <w:rPr>
          <w:color w:val="000000" w:themeColor="text1"/>
        </w:rPr>
        <w:t>Y</w:t>
      </w:r>
      <w:r w:rsidRPr="00DB5D0D">
        <w:rPr>
          <w:color w:val="000000" w:themeColor="text1"/>
          <w:lang w:val="ru-RU"/>
        </w:rPr>
        <w:t xml:space="preserve"> проект отличался установкой 130-мм морской пуш</w:t>
      </w:r>
      <w:r w:rsidRPr="00DB5D0D">
        <w:rPr>
          <w:color w:val="000000" w:themeColor="text1"/>
          <w:lang w:val="ru-RU"/>
        </w:rPr>
        <w:softHyphen/>
        <w:t>ки Б-13 во вращающейся башне. Схожие проекты прорабатывались и на Кировском заводе: судя по переписке, существовали проекты установки на шасси СМ К 130-мм морской пушки Б-13 и даже 180-мм морской пуш</w:t>
      </w:r>
      <w:r w:rsidRPr="00DB5D0D">
        <w:rPr>
          <w:color w:val="000000" w:themeColor="text1"/>
          <w:lang w:val="ru-RU"/>
        </w:rPr>
        <w:softHyphen/>
        <w:t>ки Б-1-П. К сожалению, информация поданным проектам отсутствует (17484).</w:t>
      </w:r>
    </w:p>
    <w:p w14:paraId="221DCC0E" w14:textId="77777777" w:rsidR="004A0330" w:rsidRPr="00DB5D0D" w:rsidRDefault="004A0330" w:rsidP="00DB5D0D">
      <w:pPr>
        <w:spacing w:after="0" w:line="240" w:lineRule="auto"/>
        <w:jc w:val="both"/>
        <w:rPr>
          <w:rFonts w:ascii="Times New Roman" w:hAnsi="Times New Roman"/>
          <w:color w:val="000000" w:themeColor="text1"/>
          <w:sz w:val="16"/>
          <w:szCs w:val="16"/>
        </w:rPr>
      </w:pPr>
    </w:p>
    <w:p w14:paraId="6C2A00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Весной — летом 1940 г. завод № 112 приступил к форсированной достройке судов IX и XII серий. В апреле по железной дороге были отправлены подлодки № 260 и 268, в июне — июле в доках и на железнодорожных транспортерах — подлодки № 269, 270, 243 и 244. В августе четыре лодки отправились в путь на Дальний Восток, где также была организована достроечная база. С целью ускорения работ на спецсудне № 245 число монтажников увеличили до 95 человек, а на судне № 246 — до 150 человек. Все они получали дополнительные премии. Работы велись методом штурмовщины, в три смены с дополнительной организацией питания прямо на месте и освещением рабочих мест. В результате эти подлодки 25 и 27 сентября, с отставанием от графика, были отправлены в Кронштадт, причем лодка № 246 имела 88 % готовности. Затем 5 ноября по железной дороге были отправлены суда № 275, 276 и 277. Таким образом, за год завод доставил на достроечные базы 15 подлодок, </w:t>
      </w:r>
      <w:r w:rsidRPr="00DB5D0D">
        <w:rPr>
          <w:rFonts w:ascii="Times New Roman" w:hAnsi="Times New Roman"/>
          <w:color w:val="000000" w:themeColor="text1"/>
          <w:sz w:val="16"/>
          <w:szCs w:val="16"/>
        </w:rPr>
        <w:lastRenderedPageBreak/>
        <w:t>причем две из них — С-7 и С-8 — спустили на воду еще в 1937 г. Флоту были сданы сразу 13 спецсудов. Такой резкий прорыв в количестве сданных лодок во многом объяснялся стремительным ухудшением международной обстановки, которая заставляла снижать требования, предъявляемые при их сдаче (11741).</w:t>
      </w:r>
    </w:p>
    <w:p w14:paraId="2260A4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09C6921"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B7A16F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5CFE4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лету 1940 г. С. А. Кочеригин разработал проект малой модификации штурмовика типа «Ш» - ММШ с мотором М-81. Эскизный проект рассмат ривался в НИИ ВВС КА и в целом получил положительную оценку.</w:t>
      </w:r>
    </w:p>
    <w:p w14:paraId="238BB1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основу проекта ММШ был взят самолет Ш-2, на котором вместо М-87А был установлен мотор М-81 мощностью 1280 л. с. Вместо шести протек-тированных бензобаков оставлено только четыре.</w:t>
      </w:r>
    </w:p>
    <w:p w14:paraId="412C06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турели под капотом мотора был установлен маслорадиатор увеличенных размеров. Капот имел заднюю регулируемую щель.</w:t>
      </w:r>
    </w:p>
    <w:p w14:paraId="51136E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деревянной конструкции с уменьшенной до 18 м2 площадью (вместо 24,15 м2). Соответственно были уменьшены размеры горизонтального и вертикального оперения.</w:t>
      </w:r>
    </w:p>
    <w:p w14:paraId="7186A0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Центровка самолета стала более передней - 25,5% вместо 30,6% САХ. Состав вооружения предусматривал установку только четырех крыльевых пулеметов ШКАС и бомбовой нагрузки 200 кг (в перегрузку - 400 кг).</w:t>
      </w:r>
    </w:p>
    <w:p w14:paraId="54CDDB9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6D2C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расчетам, при полетном весе 3800 кг ММШ М-81 мог развить у земли скорость до 450 км/ч, а на расчетной высоте 5000 м - до 520 км/ч. Нагрузка на крыло равнялась 211 кг/м2. Нагрузка на мощность - 2,97 кг/л. с. Мощность, отнесенная к площади крыла - 71 л. с. /м2. Время набора высоты 6000 м не превышало 11 минут. Посадочная скорость - 140 км/ч. Скоростная дальность полета - 685 км, а максимальная - 905 км. Разбег при взлете составлял 400 м, пробег на посадке - 300 м.</w:t>
      </w:r>
    </w:p>
    <w:p w14:paraId="0F5CC0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Специалисты НИИ ВВС считали, что заявленные конструктором летные данные вполне реальны. В выводах по эскизному проекту было записано:</w:t>
      </w:r>
    </w:p>
    <w:p w14:paraId="74552E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«...учитывая/что самолет фактически уже построен, необходимо его довести и испытать».</w:t>
      </w:r>
    </w:p>
    <w:p w14:paraId="02D6A6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Отметим, что несмотря на то, что позже этот пункт был зачеркнут и вместо него записано: «...нецелесообразно продолжать работы», из архивных документов следует, что ММШ М-81 был построен, испытан и рекомендован в серию в качестве ближнего бомбардировщика. Самолет получил обозначение ББ-21 и был принят к серийному производству на заводе № 292. Однако вскоре, вместо ББ-21, заводу поручили внедрять истребитель И-28, а затем и Як-1...(9649).</w:t>
      </w:r>
    </w:p>
    <w:p w14:paraId="7FAD8F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598EC2" w14:textId="77777777" w:rsidR="002313B9" w:rsidRPr="00DB5D0D" w:rsidRDefault="002313B9" w:rsidP="00DB5D0D">
      <w:pPr>
        <w:spacing w:after="0" w:line="240" w:lineRule="auto"/>
        <w:jc w:val="both"/>
        <w:rPr>
          <w:rFonts w:ascii="Times New Roman" w:eastAsia="Arial Narrow" w:hAnsi="Times New Roman"/>
          <w:color w:val="000000" w:themeColor="text1"/>
          <w:sz w:val="16"/>
          <w:szCs w:val="16"/>
          <w:lang w:eastAsia="ru-RU"/>
        </w:rPr>
      </w:pPr>
      <w:r w:rsidRPr="00DB5D0D">
        <w:rPr>
          <w:rFonts w:ascii="Times New Roman" w:eastAsia="Arial Narrow" w:hAnsi="Times New Roman"/>
          <w:color w:val="000000" w:themeColor="text1"/>
          <w:sz w:val="16"/>
          <w:szCs w:val="16"/>
          <w:lang w:eastAsia="ru-RU"/>
        </w:rPr>
        <w:t>К лету 1940 г. Шауров подготовил для авиа¬ционных конструкторов методические рекомендации по проектированию схем и расчету броневой защиты основных типов боевых самолетов с учетом тактических особенностей их боевого применения. В частности, в материалах детально разбирались такие вопросы, как основные характеристики бронестойкости брони и методики ее испытания на бронестойкость, влияние угла встречи боеприпаса с броней на бронестойкость и тактические характеристики брони, а также давался порядок расчета толщины брони и проектирования схемы броневой защиты. Изданные издательством Оборонгиз-ЦАГИ в октябре 1940 г. доста¬точным тиражом эти указания разошлись по заинтересованным организациям промышленности и ВВС (19086).</w:t>
      </w:r>
    </w:p>
    <w:p w14:paraId="46C66CE3" w14:textId="77777777" w:rsidR="002313B9" w:rsidRPr="00DB5D0D" w:rsidRDefault="002313B9" w:rsidP="00DB5D0D">
      <w:pPr>
        <w:spacing w:after="0" w:line="240" w:lineRule="auto"/>
        <w:jc w:val="both"/>
        <w:rPr>
          <w:rFonts w:ascii="Times New Roman" w:eastAsia="Arial Narrow" w:hAnsi="Times New Roman"/>
          <w:color w:val="000000" w:themeColor="text1"/>
          <w:sz w:val="16"/>
          <w:szCs w:val="16"/>
          <w:lang w:eastAsia="ru-RU"/>
        </w:rPr>
      </w:pPr>
    </w:p>
    <w:p w14:paraId="454C14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лету 1940 г. на заводе № 135 внедрили плазово-шаблонный метод, освоили скоростной способ изготовления штампов, стали использовать новейшие фрезерные станки типа «Норд-Америкен» и гидропрессы на 500 т. За пять первых месяцев 1940 г. были построены еще три новых цеха, на 20 % возросло число рабочих и на 40 % снизилась трудоемкость одной машины. Директор Ю.Н.Карпов и главный инженер И.М.Кузин объясняли руководству авиапромышленности невыполнение плана по ББ-1 перебоями с поставкой комплектующих и, прежде всего, двигателей. Так, моторный завод № 29 прислал за этот период 132 мотора М-87 и М-88 вместо 185 запланированных; из них всего 116 оказались исправными (5360).</w:t>
      </w:r>
    </w:p>
    <w:p w14:paraId="12AB5EB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35E75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лету 1940 был готов Рот-фронт О.К.А. с автоматикой планирования на свет - прожектор - Фищука - прообраз планирующей бомбы (1848,120).</w:t>
      </w:r>
    </w:p>
    <w:p w14:paraId="69C2AE4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A556C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DFDE5F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06CAD1E" w14:textId="77777777" w:rsidR="00A670AD" w:rsidRPr="00DB5D0D" w:rsidRDefault="00A670AD" w:rsidP="00DB5D0D">
      <w:pPr>
        <w:pStyle w:val="ae"/>
        <w:shd w:val="clear" w:color="auto" w:fill="FFFFFF"/>
        <w:spacing w:before="0" w:after="0"/>
        <w:jc w:val="both"/>
        <w:rPr>
          <w:color w:val="000000" w:themeColor="text1"/>
          <w:sz w:val="16"/>
          <w:szCs w:val="16"/>
        </w:rPr>
      </w:pPr>
      <w:r w:rsidRPr="00DB5D0D">
        <w:rPr>
          <w:color w:val="000000" w:themeColor="text1"/>
          <w:sz w:val="16"/>
          <w:szCs w:val="16"/>
        </w:rPr>
        <w:t>К лету 1940 года к пушкам калибра 95 мм интерес был утрачен, а внимание конструкторов переключилось на более крупный калибр 107 мм. Проект, 95 мм пушки, носивший инициативный характер, получил заводской индекс Ф-39. За основу коллектив КБ завода №92 под руководством В. Г. Грабина взял наработки по 76-мм пушке Ф-34. Периодически всплывает информация, что Ф-39 построили и даже испытали на танке Т-28. Приводится даже фотография танка с таким орудием. Увы, это не более чем результат неверного толкования фактов и дезинформации со стороны завода №92. На деле фотография представляет собой ретушь, которая в альбоме завода №92 использовалась в больших количествах. Ф-39 действительно спроектировали и действительно собирались испытывать на Т-28. Но до постройки пушки в металле дело так и не дошло.  (15614).</w:t>
      </w:r>
    </w:p>
    <w:p w14:paraId="543A370E" w14:textId="77777777" w:rsidR="00A670AD" w:rsidRPr="00DB5D0D" w:rsidRDefault="00A670AD" w:rsidP="00DB5D0D">
      <w:pPr>
        <w:pStyle w:val="ae"/>
        <w:shd w:val="clear" w:color="auto" w:fill="FFFFFF"/>
        <w:spacing w:before="0" w:after="0"/>
        <w:jc w:val="both"/>
        <w:rPr>
          <w:color w:val="000000" w:themeColor="text1"/>
          <w:sz w:val="16"/>
          <w:szCs w:val="16"/>
        </w:rPr>
      </w:pPr>
    </w:p>
    <w:p w14:paraId="22C49CC4" w14:textId="77777777" w:rsidR="00D212B0" w:rsidRPr="00DB5D0D" w:rsidRDefault="00D212B0"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К лету 1940 года восходит история появления танковой пушки калибра 107 мм. В ГАУ КА провели анализ вооружения перспективных танков и САУ, придя к выводу, что некоторые образцы обладают недостаточно мощными системами. Например, КВ-1 оснащался 76-мм орудием Л-11, которое позже заменялось на Ф-32, имевшее схожие характеристики. Вместо этих орудий предлагалось ставить 76-мм орудие с баллистикой зенитной пушки 3-К. Недостаточно мощным посчитали и орудие КВ-2. Как истребитель ДОТ-ов система М-10Т была слабовата, а как танковая система имела недостаточно высокое пробитие брони (20349).</w:t>
      </w:r>
    </w:p>
    <w:p w14:paraId="6BBEC006" w14:textId="77777777" w:rsidR="00D212B0" w:rsidRPr="00DB5D0D" w:rsidRDefault="00D212B0"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585F08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лету 1940 изготовили еще 2 машины 010 - Т-40. На них, как впрочем и на первых серийных машинах, временно устанавливались импортные силовые агрегаты "Додж" Д-5 (76 и 85 л.с.) из-за отсутствия развернутого производства аналогичных двигателей в Горьком (первый промышленный образец мотора ГАЗ-11 был собран 16 февраля 1940 года, танковую модификацию "202" начали делать позже) (3862).</w:t>
      </w:r>
    </w:p>
    <w:p w14:paraId="50C8818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1D1AB0"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К лету 1940 года, когда было закончено восстановление танка 7ТП, на НИБТ Полигоне вовсю шло изучение трофейного танка Vickers Mk.E из состава финской армии. Польскую и финскую машины роднили башня и вооружение производства Bofors. Кроме того, не стоит забывать, что в СССР еще с 1931 года производился Т-26, являвшийся советской копией Vickers Mk.E. Еще в середине 30-х годов Т-26 пытались заменить, но Т-46 оказался слишком сложным и дорогим. В конце 30-х Т-26 модернизировался, а с зимы 1940 года с учётом войны с Финляндией была запущена программа создания нового танка (СП). Понятно, что советских специалистов могли заинтересовать лишь отдельные элементы польской машины.</w:t>
      </w:r>
    </w:p>
    <w:p w14:paraId="7295B032"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Наиболее интересным элементом танка оказался двигатель. С дизельным мотором Saurer в СССР были знакомы. Специалисты безошибочно определили происхождение мотора: такие же швейцарские двигатели устанавливались на грузовики Saurer Dauntless. Именно из-за этого мотора моторное отделение 7TP увеличилось в объёме. Тем не менее, мотор специалистов полигона заинтересовал, поскольку советские лёгкие танки также планировалось оснащать дизельными силовыми установками. Швейцарский мотор оказался для этих целей маломощным и слишком большим, но сама его конструкция была интересной. 7TP стал одним из первых серийных танков с дизельным двигателем. В СССР работы над дизельным мотором велись ещё с начала 30-х, но серийное производство танковых дизелей началось только в 1939 году. Ещё одной особенностью польского танка была конструкция главного фрикциона с многодисковым сухим сцеплением. Коробка передач в целом была похожа на ту, что стояла на Т-26, но при этом имела ряд отличий. Например, другие передаточные числа, что было связано, в свою очередь, с установкой нового двигателя.</w:t>
      </w:r>
    </w:p>
    <w:p w14:paraId="73955B55"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Переделке подверглись траки, получившие новые пальцы. Они стали чуть легче, чем траки Vickers Mk.E и Т-26, при этом ширина увеличилась с 260 до 268 мм. Тем самым удалось уменьшить удельное давление на грунт и скомпенсировать рост массы. Подвеска 7TP была похожа на ту, что применялась на Vickers Mk.E и Т-26, но имела некоторые отличия — количество рессор сократилось, появился жёсткий рычаг, который снизил нагрузку на рессоры. Кроме того, была усилена конструкция ленивца, аналогичным образом усиливался и ленивец Т-26.</w:t>
      </w:r>
    </w:p>
    <w:p w14:paraId="43DDBEBE"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Башня польского танка, как упоминалось выше, была похожа на башню финского Vickers Mk.E. Обе башни вели родословную от конструкции фирмы Bofors. Но польские инженеры за время производства 7TP добавили в конструкцию башни целый ряд изменений. В результате польская башня стала лучше «оригинала». Например, здесь появилась система вентиляции, что в боевых условиях являлось безусловным плюсом.</w:t>
      </w:r>
    </w:p>
    <w:p w14:paraId="2CEB6A66" w14:textId="77777777" w:rsidR="00A5370D" w:rsidRPr="00DB5D0D" w:rsidRDefault="00A5370D"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Орудийная установка 7TP оказалась более удачной, чем исходная шведская конструкция </w:t>
      </w:r>
    </w:p>
    <w:p w14:paraId="5E5D89B1"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 xml:space="preserve">Имелись значительные отличия и в установке вооружения. Общая концепция орудийной установки, которая была отработана Bofors еще для </w:t>
      </w:r>
      <w:hyperlink r:id="rId94" w:history="1">
        <w:r w:rsidRPr="00DB5D0D">
          <w:rPr>
            <w:rStyle w:val="a5"/>
            <w:rFonts w:eastAsiaTheme="majorEastAsia"/>
            <w:color w:val="000000" w:themeColor="text1"/>
            <w:sz w:val="16"/>
            <w:szCs w:val="16"/>
          </w:rPr>
          <w:t>Strv m/31</w:t>
        </w:r>
      </w:hyperlink>
      <w:r w:rsidRPr="00DB5D0D">
        <w:rPr>
          <w:color w:val="000000" w:themeColor="text1"/>
          <w:sz w:val="16"/>
          <w:szCs w:val="16"/>
        </w:rPr>
        <w:t>, осталась неизменной. Но у 7TP с самого начала башня отличалась от шведской конструкции. Верхний лист получился более простым, что одновременно делало менее сложным его производство и улучшало пулестойкость. Бронировку орудия также упростили, при этом и её стойкость улучшилась. Ещё более существенной была разница между орудийной установкой 7TP и той, которая стояла на финских Vickers Mk.E.</w:t>
      </w:r>
    </w:p>
    <w:p w14:paraId="457845CF"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Некоторые изменения оказались связаны с тем, что 7TP имел другое вспомогательное вооружение. Вместо шведского варианта Schwarzlose M.07/12 с пушкой был спарен пулемёт Ckm wz.30, польский вариант Browning M1917. Этот пулемёт был несколько больше, поэтому пришлось переделывать его установку, включая бронировку. В остальном же спаренная установка пулемёта и пушки сильно напоминала ту, что Bofors разработала для Strv m/31.</w:t>
      </w:r>
    </w:p>
    <w:p w14:paraId="321AEF5D" w14:textId="77777777" w:rsidR="00A5370D" w:rsidRPr="00DB5D0D" w:rsidRDefault="00A5370D"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Крыша башни 7TP. Цифрой 1 отмечен перископ командира, а цифрой 3 – перископический прицел наводчика в бронировке </w:t>
      </w:r>
    </w:p>
    <w:p w14:paraId="4E5DA278"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lastRenderedPageBreak/>
        <w:t>В то время как на финской машине имелся большой люк по центру крыши башни, у польской машины его сместили вправо. По конструкции этот люк несколько напоминал тот, что ставился на Strv m/31. Появился он, кстати говоря, не сразу: поначалу расчёт башни попадал в боевое отделение через двухстворчатый люк в корме. Новый люк появился одновременно с появлением кормовой ниши, в которой была установлена радиостанция.</w:t>
      </w:r>
    </w:p>
    <w:p w14:paraId="792EADB5"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чём польский танк существенно превосходил шведскую машину, так это в обзорности. В башне шведского танка находились довольно простые боковые смотровые приборы, плюс два перископических прибора имелось в крыше башни. Всё это ему досталось по наследству от немецкого Leichttraktor, чья башня и была взята за основу конструкторами Bofors. Что же касается польской машины, то она получила куда более совершенные смотровые приборы. Вместо простых стеклоблоков в бортах башни были установлены призматические смотровые приборы, исключающие прямое попадание пуль в использующего их танкиста. К слову, на финском танке также стояли боковые смотровые приборы с призмами, но немного иной конструкции.</w:t>
      </w:r>
    </w:p>
    <w:p w14:paraId="0ECAE9F9"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Гораздо более совершенным оказался перископический смотровой прибор, которым пользовался наводчик польского танка. Одновременно он являлся и перископическим прицелом, связанным тягой с орудийной установкой. Полностью прицел не сохранился, но его конструкция вызвала большой интерес у советских специалистов. Телескопического прицела на испытываемом танке не было, его советские специалисты посчитали вспомогательным.</w:t>
      </w:r>
    </w:p>
    <w:p w14:paraId="197EBA9E"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Наибольший интерес вызвал перископический прибор, более известный как MK-IV. Его разработал Рудольф Гундлях, по лицензии это устройство стала выпускать британская фирма Vickers. Перископические приборы существовали и до этого, но детище Гундляха оказалось поистине революционным. Во-первых, прибор оказался простым и компактным, обеспечивая при этом круговой обзор. Во-вторых, его призма состояла из двух частей (плюс дополнительная призма для наблюдения в задней полусфере). В случае повреждения верхней половины её можно было быстро заменить, не покидая танк.</w:t>
      </w:r>
    </w:p>
    <w:p w14:paraId="2DCA0BFA"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Технологичный и очень удобный смотровой прибор быстро разошёлся по миру. Правда, в СССР детище Гундляха приняли не сразу. На советских машинах аналогичный прибор появился только в 1943 году, причём его скопировали с прибора, установленного на английском танке Churchill MK-IV. Отсюда и советское название перископа — Mk-IV.</w:t>
      </w:r>
    </w:p>
    <w:p w14:paraId="3B3A41B9"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Как и на финском Vickers Mk.E, на 7TP укладка патронов к орудию находилась сбоку. Польские конструкторы скомпоновали её рациональнее, благодаря чему боекомплект вырос с 50 до 70 патронов калибра 37 мм. Это, впрочем, было куда меньше, чем на Т-26 даже в радийном исполнении. Другое дело, что основная часть боекомплекта Т-26 находилась в чемоданах на полу боевого отделения, и пользоваться им было не очень удобно.</w:t>
      </w:r>
    </w:p>
    <w:p w14:paraId="44F8301F" w14:textId="77777777" w:rsidR="00A5370D" w:rsidRPr="00DB5D0D" w:rsidRDefault="00A5370D" w:rsidP="00DB5D0D">
      <w:pPr>
        <w:pStyle w:val="ae"/>
        <w:shd w:val="clear" w:color="auto" w:fill="FFFFFF"/>
        <w:spacing w:before="0" w:after="0"/>
        <w:jc w:val="both"/>
        <w:rPr>
          <w:color w:val="000000" w:themeColor="text1"/>
          <w:sz w:val="16"/>
          <w:szCs w:val="16"/>
        </w:rPr>
      </w:pPr>
      <w:r w:rsidRPr="00DB5D0D">
        <w:rPr>
          <w:color w:val="000000" w:themeColor="text1"/>
          <w:sz w:val="16"/>
          <w:szCs w:val="16"/>
        </w:rPr>
        <w:t>После восстановления танка и составления технического описания начались ходовые испытания. Проводились они с 7 по 11 октября 1940 года. Машина прошла 312 километров, из них — 135 по шоссе, 118 — по просёлку, остальной километраж был пройден в ходе специспытаний. Максимальная скорость машины достигла 34,7 км/ч. Это оказалось чуть меньше, чем у Т-26, который развивал в тех же условиях 38 км/ч. Зато средняя скорость оказалась выше — 25 км/ч против 23,8 км/ч у Т-26. Запас хода составил 195 километров. Это оказалось больше, чем у Vickers Mk.E, но меньше, чем у Т-26 (269 километров), который имел топливные баки большего объёма. Вместе с тем, по расходу топлива дизельный двигатель польского танка был более экономичным (17703).</w:t>
      </w:r>
    </w:p>
    <w:p w14:paraId="005AEDE8" w14:textId="77777777" w:rsidR="00A5370D" w:rsidRPr="00DB5D0D" w:rsidRDefault="00A5370D" w:rsidP="00DB5D0D">
      <w:pPr>
        <w:spacing w:after="0" w:line="240" w:lineRule="auto"/>
        <w:jc w:val="both"/>
        <w:rPr>
          <w:rFonts w:ascii="Times New Roman" w:eastAsia="Times New Roman" w:hAnsi="Times New Roman"/>
          <w:color w:val="000000" w:themeColor="text1"/>
          <w:sz w:val="16"/>
          <w:szCs w:val="16"/>
          <w:lang w:eastAsia="ru-RU"/>
        </w:rPr>
      </w:pPr>
    </w:p>
    <w:p w14:paraId="117DC070" w14:textId="77777777" w:rsidR="00D212B0" w:rsidRPr="00DB5D0D" w:rsidRDefault="00D212B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К лету 1940 года, когда активизировались работы по САУ "212", появилась еще одна тема. На сей раз речь шла об истребителе танков с круговым обстрелом. Базой для него выступал средний танк Т-34, который только начинали производить (21343).</w:t>
      </w:r>
    </w:p>
    <w:p w14:paraId="204C34E6" w14:textId="77777777" w:rsidR="00D212B0" w:rsidRPr="00DB5D0D" w:rsidRDefault="00D212B0" w:rsidP="00DB5D0D">
      <w:pPr>
        <w:spacing w:after="0" w:line="240" w:lineRule="auto"/>
        <w:jc w:val="both"/>
        <w:rPr>
          <w:rFonts w:ascii="Times New Roman" w:hAnsi="Times New Roman"/>
          <w:color w:val="0070C0"/>
          <w:sz w:val="16"/>
          <w:szCs w:val="16"/>
        </w:rPr>
      </w:pPr>
    </w:p>
    <w:p w14:paraId="3B658C3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1BFDC0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86942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лету 1940 среди истребителей, состоявших на вооружении ВВС, не было ни одного, который при равной подготовки летчиков, мог противостоять Ме-109Е в бою (88,151).</w:t>
      </w:r>
    </w:p>
    <w:p w14:paraId="791F6A30" w14:textId="77777777" w:rsidR="00A670AD" w:rsidRPr="00DB5D0D" w:rsidRDefault="00A670AD" w:rsidP="00DB5D0D">
      <w:pPr>
        <w:spacing w:after="0" w:line="240" w:lineRule="auto"/>
        <w:jc w:val="both"/>
        <w:rPr>
          <w:rFonts w:ascii="Times New Roman" w:hAnsi="Times New Roman"/>
          <w:iCs/>
          <w:color w:val="000000" w:themeColor="text1"/>
          <w:sz w:val="16"/>
          <w:szCs w:val="16"/>
        </w:rPr>
      </w:pPr>
    </w:p>
    <w:p w14:paraId="4539A4A7"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F6E863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E1ED2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июню 1940 года был утвержден макет самолета, который в процессе работы над проектом модификации ББ-1 М-90 получил обозначение ББ-3 М-90 или «МН», на 90% выполнены рабочие чертежи, а готовность в производстве агрегатов и деталей ориентировочно определялась в 50%. Основной задержкой в изго</w:t>
      </w:r>
      <w:r w:rsidRPr="00DB5D0D">
        <w:rPr>
          <w:rFonts w:ascii="Times New Roman" w:hAnsi="Times New Roman"/>
          <w:color w:val="000000" w:themeColor="text1"/>
          <w:sz w:val="16"/>
          <w:szCs w:val="16"/>
        </w:rPr>
        <w:softHyphen/>
        <w:t>товлении чертежей и деталей явилось отсутствие мотора М-90. Длительная доводка мотора М-90 вынудила руководство НКАП разре</w:t>
      </w:r>
      <w:r w:rsidRPr="00DB5D0D">
        <w:rPr>
          <w:rFonts w:ascii="Times New Roman" w:hAnsi="Times New Roman"/>
          <w:color w:val="000000" w:themeColor="text1"/>
          <w:sz w:val="16"/>
          <w:szCs w:val="16"/>
        </w:rPr>
        <w:softHyphen/>
        <w:t>шить установку на втором экземпля</w:t>
      </w:r>
      <w:r w:rsidRPr="00DB5D0D">
        <w:rPr>
          <w:rFonts w:ascii="Times New Roman" w:hAnsi="Times New Roman"/>
          <w:color w:val="000000" w:themeColor="text1"/>
          <w:sz w:val="16"/>
          <w:szCs w:val="16"/>
        </w:rPr>
        <w:softHyphen/>
        <w:t>ре ББ-3 мотора М-81 (11849).</w:t>
      </w:r>
    </w:p>
    <w:p w14:paraId="5F799F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7DB01FE" w14:textId="77777777" w:rsidR="00A670AD" w:rsidRPr="00DB5D0D" w:rsidRDefault="00A670AD" w:rsidP="00DB5D0D">
      <w:pPr>
        <w:pStyle w:val="a3"/>
        <w:rPr>
          <w:color w:val="000000" w:themeColor="text1"/>
          <w:lang w:val="ru-RU"/>
        </w:rPr>
      </w:pPr>
      <w:r w:rsidRPr="00DB5D0D">
        <w:rPr>
          <w:color w:val="000000" w:themeColor="text1"/>
          <w:lang w:val="ru-RU"/>
        </w:rPr>
        <w:t>К июню 1940 г. был утверждён макет самолёта ББ-1 М-90, котрый получил обозначение ББ-3 М-90 или «МН», на 90% выполнены рабочие чертежи, а готовность в производстве агрегатов и деталей ориентировочно определялась в 50%. Основной задерж</w:t>
      </w:r>
      <w:r w:rsidRPr="00DB5D0D">
        <w:rPr>
          <w:color w:val="000000" w:themeColor="text1"/>
          <w:lang w:val="ru-RU"/>
        </w:rPr>
        <w:softHyphen/>
        <w:t>кой явилось отсутствие самого мотора М-90. Длительная доводка двигателя М-90 вынудила руководство НКАП разрешить для ускорения испытаний установить на втором экземпляре ББ-3 мотор М-81 (15975).</w:t>
      </w:r>
    </w:p>
    <w:p w14:paraId="07E845EB" w14:textId="77777777" w:rsidR="00A670AD" w:rsidRPr="00DB5D0D" w:rsidRDefault="00A670AD" w:rsidP="00DB5D0D">
      <w:pPr>
        <w:pStyle w:val="a3"/>
        <w:rPr>
          <w:color w:val="000000" w:themeColor="text1"/>
          <w:lang w:val="ru-RU"/>
        </w:rPr>
      </w:pPr>
    </w:p>
    <w:p w14:paraId="74CEF746" w14:textId="77777777" w:rsidR="002313B9" w:rsidRPr="00DB5D0D" w:rsidRDefault="002313B9"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К июню 1940 г. утвердили макет самоле</w:t>
      </w:r>
      <w:r w:rsidRPr="00DB5D0D">
        <w:rPr>
          <w:rFonts w:ascii="Times New Roman" w:cs="Times New Roman"/>
          <w:color w:val="000000" w:themeColor="text1"/>
          <w:spacing w:val="0"/>
        </w:rPr>
        <w:softHyphen/>
        <w:t xml:space="preserve">та, который именовался ББ-1 М-90, затем ББ-3 М-90 или МН, на 90% выполнили рабочие чертежи, а готовность в производстве агрегатов и детапей ориентировочно определялась в 50%. </w:t>
      </w:r>
    </w:p>
    <w:p w14:paraId="42F12D65" w14:textId="77777777" w:rsidR="002313B9" w:rsidRPr="00DB5D0D" w:rsidRDefault="002313B9"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Данная модификации одномо</w:t>
      </w:r>
      <w:r w:rsidRPr="00DB5D0D">
        <w:rPr>
          <w:rFonts w:ascii="Times New Roman" w:cs="Times New Roman"/>
          <w:color w:val="000000" w:themeColor="text1"/>
          <w:spacing w:val="0"/>
        </w:rPr>
        <w:softHyphen/>
        <w:t>торного ближнего бомбардировщика ББ-1 конструкции тов Сухого была предусмотрена постановлением Комитет Обороны от 4 марта 1940 г. - обязать НКАП и руководство завода № 135 установить на самолет мотор М-90, развивавший мощность 1500 л.с. на высоте 6000 м Предусматривалось вооружение из пяти 7,62-мм пулеметов - одного на турели в задней кабине и четырех неподвижных, стрелявших вперед Нормальная бомбо</w:t>
      </w:r>
      <w:r w:rsidRPr="00DB5D0D">
        <w:rPr>
          <w:rFonts w:ascii="Times New Roman" w:cs="Times New Roman"/>
          <w:color w:val="000000" w:themeColor="text1"/>
          <w:spacing w:val="0"/>
        </w:rPr>
        <w:softHyphen/>
        <w:t>вая нагрузка устанавливалась в 400 кг, максимальная - в 600 кг. Постановление предписывало обеспечить максимальную скорость на высоте 7000 м в 560 км/ч при посадочной 120 км/ч, дальность на скорости 0,9 от максимальной - 800 км и практический потолок - 10 000 м Самолет требовалось построить в двух экземплярах, из которых первый должен был быть выставлен на государственные испытания к 1 сентября, а второй - к 15 сентября 1940 г.</w:t>
      </w:r>
    </w:p>
    <w:p w14:paraId="396743FF" w14:textId="77777777" w:rsidR="002313B9" w:rsidRPr="00DB5D0D" w:rsidRDefault="002313B9" w:rsidP="00DB5D0D">
      <w:pPr>
        <w:pStyle w:val="27"/>
        <w:shd w:val="clear" w:color="auto" w:fill="auto"/>
        <w:spacing w:after="0" w:line="240" w:lineRule="auto"/>
        <w:ind w:firstLine="0"/>
        <w:rPr>
          <w:rStyle w:val="65pt"/>
          <w:rFonts w:ascii="Times New Roman" w:hAnsi="Times New Roman" w:cs="Times New Roman"/>
          <w:color w:val="000000" w:themeColor="text1"/>
          <w:sz w:val="16"/>
          <w:szCs w:val="16"/>
        </w:rPr>
      </w:pPr>
      <w:r w:rsidRPr="00DB5D0D">
        <w:rPr>
          <w:rFonts w:ascii="Times New Roman" w:cs="Times New Roman"/>
          <w:color w:val="000000" w:themeColor="text1"/>
          <w:spacing w:val="0"/>
        </w:rPr>
        <w:t>Основной причиной задержки в изготовлении чертежей и деталей стало отсутствие самого мотора М-90 Длительная доводка его вынудила ру</w:t>
      </w:r>
      <w:r w:rsidRPr="00DB5D0D">
        <w:rPr>
          <w:rFonts w:ascii="Times New Roman" w:cs="Times New Roman"/>
          <w:color w:val="000000" w:themeColor="text1"/>
          <w:spacing w:val="0"/>
        </w:rPr>
        <w:softHyphen/>
        <w:t xml:space="preserve">ководство НКАП разрешить установку на втором экземпляре ББ-3 двигателя </w:t>
      </w:r>
      <w:r w:rsidRPr="00DB5D0D">
        <w:rPr>
          <w:rStyle w:val="65pt"/>
          <w:rFonts w:ascii="Times New Roman" w:hAnsi="Times New Roman" w:cs="Times New Roman"/>
          <w:color w:val="000000" w:themeColor="text1"/>
          <w:sz w:val="16"/>
          <w:szCs w:val="16"/>
        </w:rPr>
        <w:t>М-81 (19102).</w:t>
      </w:r>
    </w:p>
    <w:p w14:paraId="49A87257" w14:textId="77777777" w:rsidR="002313B9" w:rsidRPr="00DB5D0D" w:rsidRDefault="002313B9" w:rsidP="00DB5D0D">
      <w:pPr>
        <w:pStyle w:val="27"/>
        <w:shd w:val="clear" w:color="auto" w:fill="auto"/>
        <w:spacing w:after="0" w:line="240" w:lineRule="auto"/>
        <w:ind w:firstLine="0"/>
        <w:rPr>
          <w:rFonts w:ascii="Times New Roman" w:cs="Times New Roman"/>
          <w:color w:val="000000" w:themeColor="text1"/>
          <w:spacing w:val="0"/>
        </w:rPr>
      </w:pPr>
    </w:p>
    <w:p w14:paraId="5E3752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июню 1940 был готов И-185 Н.Н.П. (172,67).</w:t>
      </w:r>
    </w:p>
    <w:p w14:paraId="0B5AD7D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15FE6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61CCDBC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B193E63" w14:textId="77777777" w:rsidR="00A25AD1" w:rsidRPr="00DB5D0D" w:rsidRDefault="00A25AD1" w:rsidP="00DB5D0D">
      <w:pPr>
        <w:pStyle w:val="a3"/>
        <w:rPr>
          <w:color w:val="000000" w:themeColor="text1"/>
          <w:lang w:val="ru-RU"/>
        </w:rPr>
      </w:pPr>
      <w:r w:rsidRPr="00DB5D0D">
        <w:rPr>
          <w:color w:val="000000" w:themeColor="text1"/>
          <w:lang w:val="ru-RU"/>
        </w:rPr>
        <w:t>К июню 1940 г. убрать большую часть Р-5Ш. Но неко</w:t>
      </w:r>
      <w:r w:rsidRPr="00DB5D0D">
        <w:rPr>
          <w:color w:val="000000" w:themeColor="text1"/>
          <w:lang w:val="ru-RU"/>
        </w:rPr>
        <w:softHyphen/>
        <w:t>торые части продолжали летать на них. Так, в 12-м ШАП на Дальнем Востоке Р-5Ш сохра</w:t>
      </w:r>
      <w:r w:rsidRPr="00DB5D0D">
        <w:rPr>
          <w:color w:val="000000" w:themeColor="text1"/>
          <w:lang w:val="ru-RU"/>
        </w:rPr>
        <w:softHyphen/>
        <w:t>нялись, по крайней мере, до начала 1941 г. В войсковой авиации Р-5 вообще долго занимали монопольное положение. Бурно растущее количество эскадрилий постоянно требовало вливания материальной части. Именно туда пошли машины из легкобом</w:t>
      </w:r>
      <w:r w:rsidRPr="00DB5D0D">
        <w:rPr>
          <w:color w:val="000000" w:themeColor="text1"/>
          <w:lang w:val="ru-RU"/>
        </w:rPr>
        <w:softHyphen/>
        <w:t>бардировочных полков и дальнеразведыва- тельных эскадрилий. На 1 января 1939 г. в войсковой авиации насчитывалось 390 Р-5 (11936).</w:t>
      </w:r>
    </w:p>
    <w:p w14:paraId="627B198E" w14:textId="77777777" w:rsidR="00A25AD1" w:rsidRPr="00DB5D0D" w:rsidRDefault="00A25AD1" w:rsidP="00DB5D0D">
      <w:pPr>
        <w:pStyle w:val="11a"/>
        <w:shd w:val="clear" w:color="auto" w:fill="auto"/>
        <w:spacing w:after="0" w:line="240" w:lineRule="auto"/>
        <w:jc w:val="both"/>
        <w:rPr>
          <w:rFonts w:ascii="Times New Roman" w:hAnsi="Times New Roman" w:cs="Times New Roman"/>
          <w:b w:val="0"/>
          <w:noProof w:val="0"/>
          <w:color w:val="000000" w:themeColor="text1"/>
          <w:sz w:val="16"/>
          <w:szCs w:val="16"/>
          <w:lang w:val="ru-RU"/>
        </w:rPr>
      </w:pPr>
    </w:p>
    <w:p w14:paraId="279042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июню 1940 был утвержден технический проект новой крупной военно-морской базы в Лужской губе и выполнены подготовительные работы на сумму 200 млн. руб. Новая база Балтийского флота, более безопасная , чем Кронштадт, должна была состоять из 2 гаваней: для надводных кораблей и подводных лодок. Она должна была обеспечить все условия для базирования сил флота: склады, казармы, судоремонтный завод и сухие доки. Общая стоимость объекта, который должен был построить ГУЛАГ, определялась примерно в 600 млн. руб. Но политическая обстановка изменилась. После присоединения к СССР Прибалтики база стала не нужна и строительные работы были прекращены (9053,112).</w:t>
      </w:r>
    </w:p>
    <w:p w14:paraId="644AF0D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061C2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773F3C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65B84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 по 15 июня 1940 в НИИ ВВС проходили гос. испытания самолета ДБ-3Ф 2М-88 с модернизированными стрелковыми установками МВ-2 и МВ-3. Отв. исп.: ви ви2р Н.М.Кокорин и вл-и к Л.П.Дудкин (2686).</w:t>
      </w:r>
    </w:p>
    <w:p w14:paraId="4009AF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Цель испытаний:</w:t>
      </w:r>
    </w:p>
    <w:p w14:paraId="4E9081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Снять ЛХ самолета</w:t>
      </w:r>
    </w:p>
    <w:p w14:paraId="18BD01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Проверить работу модернизированных стрелковых установок</w:t>
      </w:r>
    </w:p>
    <w:p w14:paraId="25E3CB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Проверить работу бомбардировочного вооружения и спец. оборудования.</w:t>
      </w:r>
    </w:p>
    <w:p w14:paraId="2EF0D3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Объект испытаний</w:t>
      </w:r>
    </w:p>
    <w:p w14:paraId="67DC03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проводились на ранее проходившем испытания самолете ДБ-3Ф 2М-88 с ВИШ-23 N 390204, на котором заводом 39 были установлены стрелковые установки МВ-3 и МВ-2 вместо СУ-ДБ3 и ЛУ-ДБ3.</w:t>
      </w:r>
    </w:p>
    <w:p w14:paraId="7E7FA8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оборудованием самолета новыми стрелковыми установками, крышка люка стрелка, открывавшаяся вовнутрь фюзеляжа, заменена двумя створками, открывавшимися наружу.</w:t>
      </w:r>
    </w:p>
    <w:p w14:paraId="0265D2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 время испытаний проведено 18 полетов прод. 14:45, из них высотных - 1 в 2:50.</w:t>
      </w:r>
    </w:p>
    <w:p w14:paraId="173619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проведено за 15 дней, из которых летных - 9 (2686).</w:t>
      </w:r>
    </w:p>
    <w:p w14:paraId="117D12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406D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на ДБ-3Ф 2М-88 N 390204 в ходе гос. испытаний нового вооружения провели полет на растряску ВАП-500 и выливание нейтральной жидкости (2686).</w:t>
      </w:r>
    </w:p>
    <w:p w14:paraId="70C0231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0FF5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по 16 июня 1940 года проходили гос. испытания самолета ДБ-3Ф 2М-88 с модернизированными стрелковыми установками МВ-2 и МВ-3 (Самолет № 390204).</w:t>
      </w:r>
    </w:p>
    <w:p w14:paraId="7D5324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9A0E9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Кокорин Н.М.</w:t>
      </w:r>
    </w:p>
    <w:p w14:paraId="2D1F7C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летчик-испытатель капитан Дудкин Л.П.</w:t>
      </w:r>
    </w:p>
    <w:p w14:paraId="2BE805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7F32561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Снять летные характеристики самолета.</w:t>
      </w:r>
    </w:p>
    <w:p w14:paraId="491DB66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модернизированных стрелковых установок.</w:t>
      </w:r>
    </w:p>
    <w:p w14:paraId="13EB659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бомбардировочного вооружения и спецоборудования.</w:t>
      </w:r>
    </w:p>
    <w:p w14:paraId="48A5E37E" w14:textId="77777777" w:rsidR="00A25AD1" w:rsidRPr="00DB5D0D" w:rsidRDefault="00A25AD1" w:rsidP="00DB5D0D">
      <w:pPr>
        <w:pStyle w:val="a3"/>
        <w:widowControl/>
        <w:rPr>
          <w:color w:val="000000" w:themeColor="text1"/>
          <w:lang w:val="ru-RU"/>
        </w:rPr>
      </w:pPr>
      <w:r w:rsidRPr="00DB5D0D">
        <w:rPr>
          <w:color w:val="000000" w:themeColor="text1"/>
          <w:lang w:val="ru-RU"/>
        </w:rPr>
        <w:t>Испытания проводились на ранее проходившем испытания самолете ДБ-3Ф 2М-88 с ВИШ-23 за № 390204, на котором заводом № 39 были установлены стрелковые установки МВ-3 и МВ-2 вместо СУ-ДБ3 и ЛУ-ДБ3.</w:t>
      </w:r>
    </w:p>
    <w:p w14:paraId="1F1540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оборудованием самолета новыми стрелковыми установками, крышка люка кабины стрелка, открывавшаяся внутрь фюзеляжа, заменена двумя створками, открывающимися наружу.</w:t>
      </w:r>
    </w:p>
    <w:p w14:paraId="0D48EB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произведено 18 полетов общей продолжительностью 14 час. 45 мин., из них: высотных полетов – 1 продолжительностью 2 час. 50 мин.</w:t>
      </w:r>
    </w:p>
    <w:p w14:paraId="417CA7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проведено за 15 дней, из них летных дней – 9.</w:t>
      </w:r>
    </w:p>
    <w:p w14:paraId="663145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B373A4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всех самолетах ДБ-3Ф заменить СУ-ДБ3 и ЛУ-ДБ3 на МВ-3 и МВ-2 (Постановление КО от 11 января 1940 года № 23 сс), так как уменьшение скорости и дальности компенсируется улучшением условий работы для стрелка-радиста и значительным усилением обороны задней сферы.</w:t>
      </w:r>
    </w:p>
    <w:p w14:paraId="60C427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230"/>
        <w:gridCol w:w="1559"/>
      </w:tblGrid>
      <w:tr w:rsidR="007D5DF8" w:rsidRPr="00DB5D0D" w14:paraId="3F9008E9" w14:textId="77777777" w:rsidTr="009223E5">
        <w:tc>
          <w:tcPr>
            <w:tcW w:w="1809" w:type="dxa"/>
          </w:tcPr>
          <w:p w14:paraId="602CA5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7230" w:type="dxa"/>
          </w:tcPr>
          <w:p w14:paraId="2BD15D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работ</w:t>
            </w:r>
          </w:p>
        </w:tc>
        <w:tc>
          <w:tcPr>
            <w:tcW w:w="1559" w:type="dxa"/>
          </w:tcPr>
          <w:p w14:paraId="19FAA4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полетов</w:t>
            </w:r>
          </w:p>
        </w:tc>
      </w:tr>
      <w:tr w:rsidR="007D5DF8" w:rsidRPr="00DB5D0D" w14:paraId="3F1A5182" w14:textId="77777777" w:rsidTr="009223E5">
        <w:tc>
          <w:tcPr>
            <w:tcW w:w="1809" w:type="dxa"/>
          </w:tcPr>
          <w:p w14:paraId="13B2A9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года</w:t>
            </w:r>
          </w:p>
        </w:tc>
        <w:tc>
          <w:tcPr>
            <w:tcW w:w="7230" w:type="dxa"/>
          </w:tcPr>
          <w:p w14:paraId="481728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растряску ВАП 500 и выливание нейтральной жидкости</w:t>
            </w:r>
          </w:p>
        </w:tc>
        <w:tc>
          <w:tcPr>
            <w:tcW w:w="1559" w:type="dxa"/>
          </w:tcPr>
          <w:p w14:paraId="3B6C26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644038CE" w14:textId="77777777" w:rsidTr="009223E5">
        <w:tc>
          <w:tcPr>
            <w:tcW w:w="1809" w:type="dxa"/>
          </w:tcPr>
          <w:p w14:paraId="6FB5AE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7230" w:type="dxa"/>
          </w:tcPr>
          <w:p w14:paraId="27F1B9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 из МВ-3. Отстрел спецпатронами</w:t>
            </w:r>
          </w:p>
        </w:tc>
        <w:tc>
          <w:tcPr>
            <w:tcW w:w="1559" w:type="dxa"/>
          </w:tcPr>
          <w:p w14:paraId="7F6F1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10C9FE5B" w14:textId="77777777" w:rsidTr="009223E5">
        <w:tc>
          <w:tcPr>
            <w:tcW w:w="1809" w:type="dxa"/>
          </w:tcPr>
          <w:p w14:paraId="0ED02B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7230" w:type="dxa"/>
          </w:tcPr>
          <w:p w14:paraId="631060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земным мишеням и сбрасывание ампул</w:t>
            </w:r>
          </w:p>
        </w:tc>
        <w:tc>
          <w:tcPr>
            <w:tcW w:w="1559" w:type="dxa"/>
          </w:tcPr>
          <w:p w14:paraId="0665F7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0734B389" w14:textId="77777777" w:rsidTr="009223E5">
        <w:tc>
          <w:tcPr>
            <w:tcW w:w="1809" w:type="dxa"/>
          </w:tcPr>
          <w:p w14:paraId="302FA8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года</w:t>
            </w:r>
          </w:p>
        </w:tc>
        <w:tc>
          <w:tcPr>
            <w:tcW w:w="7230" w:type="dxa"/>
          </w:tcPr>
          <w:p w14:paraId="2F6C70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w:t>
            </w:r>
          </w:p>
        </w:tc>
        <w:tc>
          <w:tcPr>
            <w:tcW w:w="1559" w:type="dxa"/>
          </w:tcPr>
          <w:p w14:paraId="6E1A6F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4AB11309" w14:textId="77777777" w:rsidTr="009223E5">
        <w:tc>
          <w:tcPr>
            <w:tcW w:w="1809" w:type="dxa"/>
          </w:tcPr>
          <w:p w14:paraId="0BD832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года</w:t>
            </w:r>
          </w:p>
        </w:tc>
        <w:tc>
          <w:tcPr>
            <w:tcW w:w="7230" w:type="dxa"/>
          </w:tcPr>
          <w:p w14:paraId="000558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 боевыми бомбами ФАБ-100 и ФАБ-250</w:t>
            </w:r>
          </w:p>
        </w:tc>
        <w:tc>
          <w:tcPr>
            <w:tcW w:w="1559" w:type="dxa"/>
          </w:tcPr>
          <w:p w14:paraId="6820BA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528B1BB2" w14:textId="77777777" w:rsidTr="009223E5">
        <w:tc>
          <w:tcPr>
            <w:tcW w:w="1809" w:type="dxa"/>
          </w:tcPr>
          <w:p w14:paraId="063413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7230" w:type="dxa"/>
          </w:tcPr>
          <w:p w14:paraId="16D4E1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расхода горючего с полетным весом 8000 кг на Н=4000 м</w:t>
            </w:r>
          </w:p>
        </w:tc>
        <w:tc>
          <w:tcPr>
            <w:tcW w:w="1559" w:type="dxa"/>
          </w:tcPr>
          <w:p w14:paraId="7FE014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4EFECDFA" w14:textId="77777777" w:rsidTr="009223E5">
        <w:tc>
          <w:tcPr>
            <w:tcW w:w="1809" w:type="dxa"/>
          </w:tcPr>
          <w:p w14:paraId="3DB255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7230" w:type="dxa"/>
          </w:tcPr>
          <w:p w14:paraId="7D75C8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w:t>
            </w:r>
          </w:p>
        </w:tc>
        <w:tc>
          <w:tcPr>
            <w:tcW w:w="1559" w:type="dxa"/>
          </w:tcPr>
          <w:p w14:paraId="2A9270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1FB6C9D2" w14:textId="77777777" w:rsidTr="009223E5">
        <w:tc>
          <w:tcPr>
            <w:tcW w:w="1809" w:type="dxa"/>
          </w:tcPr>
          <w:p w14:paraId="2030D7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w:t>
            </w:r>
          </w:p>
        </w:tc>
        <w:tc>
          <w:tcPr>
            <w:tcW w:w="7230" w:type="dxa"/>
          </w:tcPr>
          <w:p w14:paraId="0CCEB1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девиации РПК-2 и точности пеленгации</w:t>
            </w:r>
          </w:p>
        </w:tc>
        <w:tc>
          <w:tcPr>
            <w:tcW w:w="1559" w:type="dxa"/>
          </w:tcPr>
          <w:p w14:paraId="708B01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496B8018" w14:textId="77777777" w:rsidTr="009223E5">
        <w:tc>
          <w:tcPr>
            <w:tcW w:w="1809" w:type="dxa"/>
          </w:tcPr>
          <w:p w14:paraId="426942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w:t>
            </w:r>
          </w:p>
        </w:tc>
        <w:tc>
          <w:tcPr>
            <w:tcW w:w="7230" w:type="dxa"/>
          </w:tcPr>
          <w:p w14:paraId="5B3281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скоростей у земли</w:t>
            </w:r>
          </w:p>
        </w:tc>
        <w:tc>
          <w:tcPr>
            <w:tcW w:w="1559" w:type="dxa"/>
          </w:tcPr>
          <w:p w14:paraId="3BABD0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674FC707" w14:textId="77777777" w:rsidTr="009223E5">
        <w:tc>
          <w:tcPr>
            <w:tcW w:w="1809" w:type="dxa"/>
          </w:tcPr>
          <w:p w14:paraId="3C1DE3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7230" w:type="dxa"/>
          </w:tcPr>
          <w:p w14:paraId="61A4C4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расхода горючего с полетным весом 8000 кг на Н=4000 м и ЗФАБ-250</w:t>
            </w:r>
          </w:p>
        </w:tc>
        <w:tc>
          <w:tcPr>
            <w:tcW w:w="1559" w:type="dxa"/>
          </w:tcPr>
          <w:p w14:paraId="090030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644727A3" w14:textId="77777777" w:rsidTr="009223E5">
        <w:tc>
          <w:tcPr>
            <w:tcW w:w="1809" w:type="dxa"/>
          </w:tcPr>
          <w:p w14:paraId="7A933F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7230" w:type="dxa"/>
          </w:tcPr>
          <w:p w14:paraId="7DEB36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закончены</w:t>
            </w:r>
          </w:p>
        </w:tc>
        <w:tc>
          <w:tcPr>
            <w:tcW w:w="1559" w:type="dxa"/>
          </w:tcPr>
          <w:p w14:paraId="4395C8D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18C88D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(4555).</w:t>
      </w:r>
    </w:p>
    <w:p w14:paraId="60DFC5D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B496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началась подготовка перелета Нестеренко (1313,88).</w:t>
      </w:r>
    </w:p>
    <w:p w14:paraId="41F21F7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AE71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года постановление № 238сс КО</w:t>
      </w:r>
    </w:p>
    <w:p w14:paraId="3F34B301" w14:textId="77777777" w:rsidR="00A25AD1" w:rsidRPr="00DB5D0D" w:rsidRDefault="00A25AD1" w:rsidP="00DB5D0D">
      <w:pPr>
        <w:pStyle w:val="24"/>
        <w:widowControl/>
        <w:rPr>
          <w:color w:val="000000" w:themeColor="text1"/>
        </w:rPr>
      </w:pPr>
      <w:r w:rsidRPr="00DB5D0D">
        <w:rPr>
          <w:color w:val="000000" w:themeColor="text1"/>
        </w:rPr>
        <w:t>О создании высотного дальнего бомбардировщика "102" с двумя мотрами М-120 2ТК</w:t>
      </w:r>
    </w:p>
    <w:p w14:paraId="63C403AE" w14:textId="77777777" w:rsidR="00A25AD1" w:rsidRPr="00DB5D0D" w:rsidRDefault="00A25AD1" w:rsidP="00DB5D0D">
      <w:pPr>
        <w:pStyle w:val="24"/>
        <w:widowControl/>
        <w:rPr>
          <w:color w:val="000000" w:themeColor="text1"/>
        </w:rPr>
      </w:pPr>
      <w:r w:rsidRPr="00DB5D0D">
        <w:rPr>
          <w:color w:val="000000" w:themeColor="text1"/>
        </w:rPr>
        <w:t>КО постановляет:</w:t>
      </w:r>
    </w:p>
    <w:p w14:paraId="71CE191A" w14:textId="77777777" w:rsidR="00A25AD1" w:rsidRPr="00DB5D0D" w:rsidRDefault="00A25AD1" w:rsidP="00DB5D0D">
      <w:pPr>
        <w:pStyle w:val="24"/>
        <w:widowControl/>
        <w:tabs>
          <w:tab w:val="left" w:pos="360"/>
        </w:tabs>
        <w:rPr>
          <w:color w:val="000000" w:themeColor="text1"/>
        </w:rPr>
      </w:pPr>
      <w:r w:rsidRPr="00DB5D0D">
        <w:rPr>
          <w:color w:val="000000" w:themeColor="text1"/>
        </w:rPr>
        <w:t>Обязать НКАП и НКВД – директора завода № 156 Ленкина и ОТБ НКВД спроектировать, построить высотный дальний бомбардировщик с двумя моторами М-120 2 ТК и предъявить на госиспытания:</w:t>
      </w:r>
    </w:p>
    <w:p w14:paraId="0AA5F40F" w14:textId="77777777" w:rsidR="00A25AD1" w:rsidRPr="00DB5D0D" w:rsidRDefault="00A25AD1" w:rsidP="00DB5D0D">
      <w:pPr>
        <w:pStyle w:val="24"/>
        <w:widowControl/>
        <w:rPr>
          <w:color w:val="000000" w:themeColor="text1"/>
        </w:rPr>
      </w:pPr>
      <w:r w:rsidRPr="00DB5D0D">
        <w:rPr>
          <w:color w:val="000000" w:themeColor="text1"/>
        </w:rPr>
        <w:t>первый экземпляр – 1 мая 1941 года</w:t>
      </w:r>
    </w:p>
    <w:p w14:paraId="1B908F6F" w14:textId="77777777" w:rsidR="00A25AD1" w:rsidRPr="00DB5D0D" w:rsidRDefault="00A25AD1" w:rsidP="00DB5D0D">
      <w:pPr>
        <w:pStyle w:val="24"/>
        <w:widowControl/>
        <w:rPr>
          <w:color w:val="000000" w:themeColor="text1"/>
        </w:rPr>
      </w:pPr>
      <w:r w:rsidRPr="00DB5D0D">
        <w:rPr>
          <w:color w:val="000000" w:themeColor="text1"/>
        </w:rPr>
        <w:t>второй экземпляр – 1 июня 1941 года</w:t>
      </w:r>
    </w:p>
    <w:p w14:paraId="13DB60B5" w14:textId="77777777" w:rsidR="00A25AD1" w:rsidRPr="00DB5D0D" w:rsidRDefault="00A25AD1" w:rsidP="00DB5D0D">
      <w:pPr>
        <w:pStyle w:val="24"/>
        <w:widowControl/>
        <w:rPr>
          <w:color w:val="000000" w:themeColor="text1"/>
        </w:rPr>
      </w:pPr>
      <w:r w:rsidRPr="00DB5D0D">
        <w:rPr>
          <w:color w:val="000000" w:themeColor="text1"/>
        </w:rPr>
        <w:t>со следующими летно-техническими данными:</w:t>
      </w:r>
    </w:p>
    <w:p w14:paraId="6219A8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10000 м – 610 км/час</w:t>
      </w:r>
    </w:p>
    <w:p w14:paraId="0D7101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–110 км/час</w:t>
      </w:r>
    </w:p>
    <w:p w14:paraId="4364C0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 3300 км</w:t>
      </w:r>
    </w:p>
    <w:p w14:paraId="0B3197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дальность при использовании емкости баков – 5000 км</w:t>
      </w:r>
    </w:p>
    <w:p w14:paraId="089845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 4 человека</w:t>
      </w:r>
    </w:p>
    <w:p w14:paraId="54C025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1 пулемет 12,7 мм Березина, 3 пулемета 7,62 мм</w:t>
      </w:r>
    </w:p>
    <w:p w14:paraId="6A6CE3B1" w14:textId="77777777" w:rsidR="00A25AD1" w:rsidRPr="00DB5D0D" w:rsidRDefault="00A25AD1" w:rsidP="00DB5D0D">
      <w:pPr>
        <w:pStyle w:val="24"/>
        <w:widowControl/>
        <w:rPr>
          <w:color w:val="000000" w:themeColor="text1"/>
        </w:rPr>
      </w:pPr>
      <w:r w:rsidRPr="00DB5D0D">
        <w:rPr>
          <w:color w:val="000000" w:themeColor="text1"/>
        </w:rPr>
        <w:t>Бомбовая нагрузка нормальная – 1000 кг</w:t>
      </w:r>
    </w:p>
    <w:p w14:paraId="6E67DEDB" w14:textId="77777777" w:rsidR="00A25AD1" w:rsidRPr="00DB5D0D" w:rsidRDefault="00A25AD1" w:rsidP="00DB5D0D">
      <w:pPr>
        <w:pStyle w:val="24"/>
        <w:widowControl/>
        <w:rPr>
          <w:color w:val="000000" w:themeColor="text1"/>
        </w:rPr>
      </w:pPr>
      <w:r w:rsidRPr="00DB5D0D">
        <w:rPr>
          <w:color w:val="000000" w:themeColor="text1"/>
        </w:rPr>
        <w:t>Бомбовая нагрузка при перегрузке – 2000 кг (7611, 66-67).</w:t>
      </w:r>
    </w:p>
    <w:p w14:paraId="21DD64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 - 4 чел.</w:t>
      </w:r>
    </w:p>
    <w:p w14:paraId="4562A6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Отпустить из резервного фонда СНК СССР Нарком-авиапрому 22.650.000 рублей,из них: на постройку самолета "102"- 20 млн. рублей и под отчет в распоряжение Наркома Авиапромышленности на премирование конструкторов, инженерно-технических работников, служащих и рабочих завода № 156 и ОТБ НКВД в соответствии с Положением о премировании, за выпол</w:t>
      </w:r>
      <w:r w:rsidRPr="00DB5D0D">
        <w:rPr>
          <w:rFonts w:ascii="Times New Roman" w:hAnsi="Times New Roman"/>
          <w:color w:val="000000" w:themeColor="text1"/>
          <w:sz w:val="16"/>
          <w:szCs w:val="16"/>
        </w:rPr>
        <w:softHyphen/>
        <w:t>нение задания в срок:</w:t>
      </w:r>
    </w:p>
    <w:p w14:paraId="74ABB4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1-й экземпляр - 1.750.000 рублей</w:t>
      </w:r>
    </w:p>
    <w:p w14:paraId="7A277F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2-й экземпляр - 900.000 рублей.</w:t>
      </w:r>
    </w:p>
    <w:p w14:paraId="5865CC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Наркомат Среднего Машиностроения обеспечить:</w:t>
      </w:r>
    </w:p>
    <w:p w14:paraId="547551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изготовление агрегатов электрооборудования по специфика</w:t>
      </w:r>
      <w:r w:rsidRPr="00DB5D0D">
        <w:rPr>
          <w:rFonts w:ascii="Times New Roman" w:hAnsi="Times New Roman"/>
          <w:color w:val="000000" w:themeColor="text1"/>
          <w:sz w:val="16"/>
          <w:szCs w:val="16"/>
        </w:rPr>
        <w:softHyphen/>
        <w:t>ции завода № 156 НКАП;</w:t>
      </w:r>
    </w:p>
    <w:p w14:paraId="33D70F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изготовление на заводе ЗЭМ, на заводе АТЭ агрегатов оборудо</w:t>
      </w:r>
      <w:r w:rsidRPr="00DB5D0D">
        <w:rPr>
          <w:rFonts w:ascii="Times New Roman" w:hAnsi="Times New Roman"/>
          <w:color w:val="000000" w:themeColor="text1"/>
          <w:sz w:val="16"/>
          <w:szCs w:val="16"/>
        </w:rPr>
        <w:softHyphen/>
        <w:t>вания в сроки и по спецификации завода № 156 НКАП.</w:t>
      </w:r>
    </w:p>
    <w:p w14:paraId="5C6B61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Наркомат Химической Промышленности выполнить заяв</w:t>
      </w:r>
      <w:r w:rsidRPr="00DB5D0D">
        <w:rPr>
          <w:rFonts w:ascii="Times New Roman" w:hAnsi="Times New Roman"/>
          <w:color w:val="000000" w:themeColor="text1"/>
          <w:sz w:val="16"/>
          <w:szCs w:val="16"/>
        </w:rPr>
        <w:softHyphen/>
        <w:t>ки завода № 156 НКАП по пластическим массам и виниловым смолам и резиновым изделиям в сроки, обеспечивающие выпуск самолетов.</w:t>
      </w:r>
    </w:p>
    <w:p w14:paraId="1E87DA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Наркомат Черной Металлургии обеспечить изготов</w:t>
      </w:r>
      <w:r w:rsidRPr="00DB5D0D">
        <w:rPr>
          <w:rFonts w:ascii="Times New Roman" w:hAnsi="Times New Roman"/>
          <w:color w:val="000000" w:themeColor="text1"/>
          <w:sz w:val="16"/>
          <w:szCs w:val="16"/>
        </w:rPr>
        <w:softHyphen/>
        <w:t>ление стальных профилей марки 20ХГСА, листовой стали 30ХГС и ЭЯ1Т, а также листового нихрома ЭХН80 по заявке завода № 156 НКАП.</w:t>
      </w:r>
    </w:p>
    <w:p w14:paraId="5CDE84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Наркомат Электропромышленности с заводов “Электро-свет" Главсветтехпрома, "Электрик" Главэлектромашпрома и "Москабель" обеспечить поставку материалов и предметов электрооборудования в сроки по спецификации завода № 156 НКАП.</w:t>
      </w:r>
    </w:p>
    <w:p w14:paraId="5F869E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Обязать Наркомат Вооружения на заводах №№ 217, ГОМЗА и ЗОМЗ Четвертого Главного Управления обеспечить изготовление агрегатов спецоборудования в сроки и по спецификации завода № 156 НКАП.</w:t>
      </w:r>
    </w:p>
    <w:p w14:paraId="4A85BD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Обязать Наркомат Текстильной Промышленности обеспечить по</w:t>
      </w:r>
      <w:r w:rsidRPr="00DB5D0D">
        <w:rPr>
          <w:rFonts w:ascii="Times New Roman" w:hAnsi="Times New Roman"/>
          <w:color w:val="000000" w:themeColor="text1"/>
          <w:sz w:val="16"/>
          <w:szCs w:val="16"/>
        </w:rPr>
        <w:softHyphen/>
        <w:t>ставку специальных тканей в сроки и по спецификации завода № 156 НКАП (10385).</w:t>
      </w:r>
    </w:p>
    <w:p w14:paraId="07CDC5A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C2422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вышло постановление КО N 238сс "О создании высотного дальнего бомбардировщика 102 с двумя моторами М-120 2ТК" (1301,49):</w:t>
      </w:r>
    </w:p>
    <w:p w14:paraId="115361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и НКВД - директора завода 156 Ленкина и ОТБ НКВД спроектировать и построить высотный дальний бомбардировщик с 2 моторами М-120 2ТК и предъявить на гос. испытания. 1-й - 1 мая 1941, 2-й - 1 июня 1941. Подписали К.Е.В. и Сафонов (1301,49).</w:t>
      </w:r>
    </w:p>
    <w:p w14:paraId="46E1811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232D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w:t>
      </w:r>
      <w:r w:rsidRPr="00DB5D0D">
        <w:rPr>
          <w:rFonts w:ascii="Times New Roman" w:hAnsi="Times New Roman"/>
          <w:color w:val="000000" w:themeColor="text1"/>
          <w:sz w:val="16"/>
          <w:szCs w:val="16"/>
        </w:rPr>
        <w:softHyphen/>
        <w:t>ня 1940 года Постановление Комитета Обороны СССР от предписывало создать ДВБ-102 с дви</w:t>
      </w:r>
      <w:r w:rsidRPr="00DB5D0D">
        <w:rPr>
          <w:rFonts w:ascii="Times New Roman" w:hAnsi="Times New Roman"/>
          <w:color w:val="000000" w:themeColor="text1"/>
          <w:sz w:val="16"/>
          <w:szCs w:val="16"/>
        </w:rPr>
        <w:softHyphen/>
        <w:t>гателями М-120ТК. Заданием предусматривалось дос</w:t>
      </w:r>
      <w:r w:rsidRPr="00DB5D0D">
        <w:rPr>
          <w:rFonts w:ascii="Times New Roman" w:hAnsi="Times New Roman"/>
          <w:color w:val="000000" w:themeColor="text1"/>
          <w:sz w:val="16"/>
          <w:szCs w:val="16"/>
        </w:rPr>
        <w:softHyphen/>
        <w:t>тижение максимальной скорости 610 км/ч на высоте 10 000 метров (посадочная — 110 км/ч), скоростная дальность 3300 километров (на скорости 549 км/ч) и 5000 километров — при полной заправке топливом.</w:t>
      </w:r>
    </w:p>
    <w:p w14:paraId="649813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самолета требовалось выпус</w:t>
      </w:r>
      <w:r w:rsidRPr="00DB5D0D">
        <w:rPr>
          <w:rFonts w:ascii="Times New Roman" w:hAnsi="Times New Roman"/>
          <w:color w:val="000000" w:themeColor="text1"/>
          <w:sz w:val="16"/>
          <w:szCs w:val="16"/>
        </w:rPr>
        <w:softHyphen/>
        <w:t>тить к 1 мая, а второй — к 1 июня 1941 года. Сроки, от</w:t>
      </w:r>
      <w:r w:rsidRPr="00DB5D0D">
        <w:rPr>
          <w:rFonts w:ascii="Times New Roman" w:hAnsi="Times New Roman"/>
          <w:color w:val="000000" w:themeColor="text1"/>
          <w:sz w:val="16"/>
          <w:szCs w:val="16"/>
        </w:rPr>
        <w:softHyphen/>
        <w:t>меченные в подобных документах, как правило, были надуманными и потому не выдерживались. Причин для этого много, вдобавок вскоре началась война (11446).</w:t>
      </w:r>
    </w:p>
    <w:p w14:paraId="392E31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C21CA31" w14:textId="77777777" w:rsidR="0030438F" w:rsidRPr="00DB5D0D" w:rsidRDefault="0030438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июня 1940 вышло постановление Комитета Обо</w:t>
      </w:r>
      <w:r w:rsidRPr="00DB5D0D">
        <w:rPr>
          <w:rFonts w:ascii="Times New Roman" w:hAnsi="Times New Roman"/>
          <w:color w:val="000000" w:themeColor="text1"/>
          <w:sz w:val="16"/>
          <w:szCs w:val="16"/>
        </w:rPr>
        <w:softHyphen/>
        <w:t>роны №238сс «О создании высотного ДБ 102 с двумя М-1202ТК»:</w:t>
      </w:r>
    </w:p>
    <w:p w14:paraId="775685C6" w14:textId="77777777" w:rsidR="0030438F" w:rsidRPr="00DB5D0D" w:rsidRDefault="0030438F" w:rsidP="00DB5D0D">
      <w:pPr>
        <w:pStyle w:val="a3"/>
        <w:rPr>
          <w:color w:val="000000" w:themeColor="text1"/>
          <w:lang w:val="ru-RU"/>
        </w:rPr>
      </w:pPr>
      <w:r w:rsidRPr="00DB5D0D">
        <w:rPr>
          <w:rStyle w:val="2c"/>
          <w:rFonts w:ascii="Times New Roman" w:hAnsi="Times New Roman" w:cs="Times New Roman"/>
          <w:i w:val="0"/>
          <w:color w:val="000000" w:themeColor="text1"/>
          <w:sz w:val="16"/>
          <w:szCs w:val="16"/>
          <w:lang w:val="ru-RU"/>
        </w:rPr>
        <w:t>«Обязать НКАП и НКВД - директора завода № 156 Ленкина и ОТБ НКВД спроектировать, постро</w:t>
      </w:r>
      <w:r w:rsidRPr="00DB5D0D">
        <w:rPr>
          <w:rStyle w:val="2c"/>
          <w:rFonts w:ascii="Times New Roman" w:hAnsi="Times New Roman" w:cs="Times New Roman"/>
          <w:i w:val="0"/>
          <w:color w:val="000000" w:themeColor="text1"/>
          <w:sz w:val="16"/>
          <w:szCs w:val="16"/>
          <w:lang w:val="ru-RU"/>
        </w:rPr>
        <w:softHyphen/>
        <w:t>ить высотный дальний бомбардировщик с двумя моторами М-120 2 ТК и предъявить на госиспытания:</w:t>
      </w:r>
    </w:p>
    <w:p w14:paraId="4D57042D" w14:textId="77777777" w:rsidR="0030438F" w:rsidRPr="00DB5D0D" w:rsidRDefault="0030438F" w:rsidP="00DB5D0D">
      <w:pPr>
        <w:pStyle w:val="34"/>
        <w:numPr>
          <w:ilvl w:val="0"/>
          <w:numId w:val="8"/>
        </w:numPr>
        <w:shd w:val="clear" w:color="auto" w:fill="auto"/>
        <w:tabs>
          <w:tab w:val="left" w:pos="401"/>
        </w:tabs>
        <w:autoSpaceDE/>
        <w:autoSpaceDN/>
        <w:adjustRightInd/>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первый экземпляр - 1 мая 1941 г.;</w:t>
      </w:r>
    </w:p>
    <w:p w14:paraId="1E4806F2" w14:textId="77777777" w:rsidR="0030438F" w:rsidRPr="00DB5D0D" w:rsidRDefault="0030438F" w:rsidP="00DB5D0D">
      <w:pPr>
        <w:pStyle w:val="34"/>
        <w:numPr>
          <w:ilvl w:val="0"/>
          <w:numId w:val="8"/>
        </w:numPr>
        <w:shd w:val="clear" w:color="auto" w:fill="auto"/>
        <w:tabs>
          <w:tab w:val="left" w:pos="401"/>
        </w:tabs>
        <w:autoSpaceDE/>
        <w:autoSpaceDN/>
        <w:adjustRightInd/>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второй экземпляр - 1 июня 1941 г...».</w:t>
      </w:r>
    </w:p>
    <w:p w14:paraId="4C3F2829" w14:textId="77777777" w:rsidR="0030438F" w:rsidRPr="00DB5D0D" w:rsidRDefault="0030438F" w:rsidP="00DB5D0D">
      <w:pPr>
        <w:pStyle w:val="a3"/>
        <w:rPr>
          <w:color w:val="000000" w:themeColor="text1"/>
          <w:lang w:val="ru-RU"/>
        </w:rPr>
      </w:pPr>
      <w:r w:rsidRPr="00DB5D0D">
        <w:rPr>
          <w:color w:val="000000" w:themeColor="text1"/>
          <w:lang w:val="ru-RU"/>
        </w:rPr>
        <w:t>Самолет должен был развивать мак</w:t>
      </w:r>
      <w:r w:rsidRPr="00DB5D0D">
        <w:rPr>
          <w:color w:val="000000" w:themeColor="text1"/>
          <w:lang w:val="ru-RU"/>
        </w:rPr>
        <w:softHyphen/>
        <w:t>симальную скорость 610 км/ч на высоте 10000 м и иметь дальность полета на 90% максимальной скорости, достаточ</w:t>
      </w:r>
      <w:r w:rsidRPr="00DB5D0D">
        <w:rPr>
          <w:color w:val="000000" w:themeColor="text1"/>
          <w:lang w:val="ru-RU"/>
        </w:rPr>
        <w:softHyphen/>
        <w:t>ную для ударов по объектам в любой точке Германии - 3300 км с нормальной и 5000 км с максимальной заправкой. На экономической скорости он мог бы до</w:t>
      </w:r>
      <w:r w:rsidRPr="00DB5D0D">
        <w:rPr>
          <w:color w:val="000000" w:themeColor="text1"/>
          <w:lang w:val="ru-RU"/>
        </w:rPr>
        <w:softHyphen/>
        <w:t>стигать Англии, ее баз на Средиземном море и юга Италии, включая Сицилию. Посадочная скорость должна была быть 110 км/ч - существенно меньше, чем у фронтового бомбардировщика «103», со</w:t>
      </w:r>
      <w:r w:rsidRPr="00DB5D0D">
        <w:rPr>
          <w:color w:val="000000" w:themeColor="text1"/>
          <w:lang w:val="ru-RU"/>
        </w:rPr>
        <w:softHyphen/>
        <w:t>здание которого было задано в тот же день постановлением КО.</w:t>
      </w:r>
    </w:p>
    <w:p w14:paraId="2DF49A37" w14:textId="77777777" w:rsidR="0030438F" w:rsidRPr="00DB5D0D" w:rsidRDefault="0030438F" w:rsidP="00DB5D0D">
      <w:pPr>
        <w:pStyle w:val="a3"/>
        <w:rPr>
          <w:color w:val="000000" w:themeColor="text1"/>
          <w:lang w:val="ru-RU"/>
        </w:rPr>
      </w:pPr>
      <w:r w:rsidRPr="00DB5D0D">
        <w:rPr>
          <w:color w:val="000000" w:themeColor="text1"/>
          <w:lang w:val="ru-RU"/>
        </w:rPr>
        <w:t>Хотя на предназначенном специально для строительства опытных образцов новых самолетов заводе №156 фор</w:t>
      </w:r>
      <w:r w:rsidRPr="00DB5D0D">
        <w:rPr>
          <w:color w:val="000000" w:themeColor="text1"/>
          <w:lang w:val="ru-RU"/>
        </w:rPr>
        <w:softHyphen/>
        <w:t>мально «первым человеком» (главным конструктором и техническим директо</w:t>
      </w:r>
      <w:r w:rsidRPr="00DB5D0D">
        <w:rPr>
          <w:color w:val="000000" w:themeColor="text1"/>
          <w:lang w:val="ru-RU"/>
        </w:rPr>
        <w:softHyphen/>
        <w:t>ром - главным инженером) был Н.Н. По</w:t>
      </w:r>
      <w:r w:rsidRPr="00DB5D0D">
        <w:rPr>
          <w:color w:val="000000" w:themeColor="text1"/>
          <w:lang w:val="ru-RU"/>
        </w:rPr>
        <w:softHyphen/>
        <w:t>ликарпов, там размещалось много других ОКБ. В 1940 г. в постройке находилось не менее десяти машин самого разного назначения, сильно отличавшихся кон</w:t>
      </w:r>
      <w:r w:rsidRPr="00DB5D0D">
        <w:rPr>
          <w:color w:val="000000" w:themeColor="text1"/>
          <w:lang w:val="ru-RU"/>
        </w:rPr>
        <w:softHyphen/>
        <w:t>струкцией, размерами и технологией производства (17739)</w:t>
      </w:r>
    </w:p>
    <w:p w14:paraId="1BCD0A59" w14:textId="77777777" w:rsidR="0030438F" w:rsidRPr="00DB5D0D" w:rsidRDefault="0030438F" w:rsidP="00DB5D0D">
      <w:pPr>
        <w:spacing w:after="0" w:line="240" w:lineRule="auto"/>
        <w:jc w:val="both"/>
        <w:rPr>
          <w:rFonts w:ascii="Times New Roman" w:eastAsia="Times New Roman" w:hAnsi="Times New Roman"/>
          <w:color w:val="000000" w:themeColor="text1"/>
          <w:sz w:val="16"/>
          <w:szCs w:val="16"/>
          <w:lang w:eastAsia="ru-RU"/>
        </w:rPr>
      </w:pPr>
    </w:p>
    <w:p w14:paraId="2412AE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года вышло Постановление КО № 239сс о постройке 3-х экземпляров самолета «103» – двухмоторного пикирующего бомбардировщика конструкции ОТБ НКВД (7711, 114).</w:t>
      </w:r>
    </w:p>
    <w:p w14:paraId="7BAC31F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806AE20" w14:textId="77777777" w:rsidR="00A670AD" w:rsidRPr="00DB5D0D" w:rsidRDefault="00A670AD" w:rsidP="00DB5D0D">
      <w:pPr>
        <w:pStyle w:val="a3"/>
        <w:rPr>
          <w:color w:val="000000" w:themeColor="text1"/>
          <w:lang w:val="ru-RU"/>
        </w:rPr>
      </w:pPr>
      <w:r w:rsidRPr="00DB5D0D">
        <w:rPr>
          <w:color w:val="000000" w:themeColor="text1"/>
          <w:lang w:val="ru-RU"/>
        </w:rPr>
        <w:t>К июню 1940 г. был утверждён макет самолёта ББ-1 М-90, котрый получил обозначение ББ-3 М-90 или «МН», на 90% выполнены рабочие чертежи, а готовность в производстве агрегатов и деталей ориентировочно определялась в 50%. Основной задерж</w:t>
      </w:r>
      <w:r w:rsidRPr="00DB5D0D">
        <w:rPr>
          <w:color w:val="000000" w:themeColor="text1"/>
          <w:lang w:val="ru-RU"/>
        </w:rPr>
        <w:softHyphen/>
        <w:t>кой явилось отсутствие самого мотора М-90.</w:t>
      </w:r>
    </w:p>
    <w:p w14:paraId="5352B4CD" w14:textId="77777777" w:rsidR="00A670AD" w:rsidRPr="00DB5D0D" w:rsidRDefault="00A670AD" w:rsidP="00DB5D0D">
      <w:pPr>
        <w:pStyle w:val="a3"/>
        <w:rPr>
          <w:color w:val="000000" w:themeColor="text1"/>
          <w:lang w:val="ru-RU"/>
        </w:rPr>
      </w:pPr>
      <w:r w:rsidRPr="00DB5D0D">
        <w:rPr>
          <w:color w:val="000000" w:themeColor="text1"/>
          <w:lang w:val="ru-RU"/>
        </w:rPr>
        <w:t>Длительная доводка двигателя М-90 вынудила руководство НКАП разрешить для ускорения испытаний установить на втором экземпляре ББ-3 мотор М-81 (15975).</w:t>
      </w:r>
    </w:p>
    <w:p w14:paraId="26EEF8A3" w14:textId="77777777" w:rsidR="00A670AD" w:rsidRPr="00DB5D0D" w:rsidRDefault="00A670AD" w:rsidP="00DB5D0D">
      <w:pPr>
        <w:pStyle w:val="a3"/>
        <w:rPr>
          <w:color w:val="000000" w:themeColor="text1"/>
          <w:lang w:val="ru-RU"/>
        </w:rPr>
      </w:pPr>
    </w:p>
    <w:p w14:paraId="38C548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вышло постановление КО N 239 "О создании ПБ 103 с двумя АМ-35А и М-120ТК-2" о постройке 103 (774,3) 3 экз. с готовностью - 1-го - к 01.01.1941 с АМ-35А, 2-го - к 01.03.1941 с 2хМ120ТК-2, 3-го - к 01.05.1941 с 2хМ-120ТК-2 (822).</w:t>
      </w:r>
    </w:p>
    <w:p w14:paraId="0383D44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7441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вышло постановление КО N 239сс "О создании пикирующего бомбардировщика 103 с моторами АМ-35А и М-120 ТК-2 (1301,51):</w:t>
      </w:r>
    </w:p>
    <w:p w14:paraId="4DFFAA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и НКВД - директора завода 156 Ленкина и ОТБ НКВД спроектировать и построить пикирующий бомбардировщик: 1 экз. с 2 моторами АМ-35А и два экз. с двумя М-120 2ТК и предъявить на гос. испытания. 1-й - 1 января 1941, 2-й - 1 марта 1941, 3-й - 1 мая 1941. Подписали К.Е.В. и Сафонов (1301,49).</w:t>
      </w:r>
    </w:p>
    <w:p w14:paraId="643AD75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631A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года постановление № 239сс КО</w:t>
      </w:r>
    </w:p>
    <w:p w14:paraId="34FFD6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пикирующего бомбардировщика "103" с двумя моторами АМ-35А и М-120 ТК-2</w:t>
      </w:r>
    </w:p>
    <w:p w14:paraId="55CFA0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195B8B3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и НКВД – директора завода № 156 Ленкина и ОТБ НКВД спроектировать и построить пикирующий бомбардировщик - первый экземпляр с двумя моторами АМ-35А и два экземпляра с двумя моторами М-120 ТК-2 и предъявить на госиспытания:</w:t>
      </w:r>
    </w:p>
    <w:p w14:paraId="67F88E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с 2АМ-35А – 1 января 1941 года</w:t>
      </w:r>
    </w:p>
    <w:p w14:paraId="458576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 с 2М-120 ТК-2 – 1 марта 1941 года</w:t>
      </w:r>
    </w:p>
    <w:p w14:paraId="2C0EEB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экземпляр с 2М-120 ТК-2 – 1 мая 1941 года</w:t>
      </w:r>
    </w:p>
    <w:p w14:paraId="53741799" w14:textId="77777777" w:rsidR="00A25AD1" w:rsidRPr="00DB5D0D" w:rsidRDefault="00A25AD1" w:rsidP="00DB5D0D">
      <w:pPr>
        <w:pStyle w:val="24"/>
        <w:widowControl/>
        <w:rPr>
          <w:color w:val="000000" w:themeColor="text1"/>
        </w:rPr>
      </w:pPr>
      <w:r w:rsidRPr="00DB5D0D">
        <w:rPr>
          <w:color w:val="000000" w:themeColor="text1"/>
        </w:rPr>
        <w:t>со следующими летно-тактическими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7D5DF8" w:rsidRPr="00DB5D0D" w14:paraId="2D32BA04" w14:textId="77777777" w:rsidTr="009223E5">
        <w:tc>
          <w:tcPr>
            <w:tcW w:w="3868" w:type="dxa"/>
          </w:tcPr>
          <w:p w14:paraId="27BA3AE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68" w:type="dxa"/>
          </w:tcPr>
          <w:p w14:paraId="2E7350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2АМ-35А</w:t>
            </w:r>
          </w:p>
        </w:tc>
        <w:tc>
          <w:tcPr>
            <w:tcW w:w="3868" w:type="dxa"/>
          </w:tcPr>
          <w:p w14:paraId="18E891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2М-120 ТК-2</w:t>
            </w:r>
          </w:p>
        </w:tc>
      </w:tr>
      <w:tr w:rsidR="007D5DF8" w:rsidRPr="00DB5D0D" w14:paraId="6FDA361E" w14:textId="77777777" w:rsidTr="009223E5">
        <w:tc>
          <w:tcPr>
            <w:tcW w:w="3868" w:type="dxa"/>
          </w:tcPr>
          <w:p w14:paraId="0E16F6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7000 м</w:t>
            </w:r>
          </w:p>
        </w:tc>
        <w:tc>
          <w:tcPr>
            <w:tcW w:w="3868" w:type="dxa"/>
          </w:tcPr>
          <w:p w14:paraId="21FC99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560 км/час</w:t>
            </w:r>
          </w:p>
        </w:tc>
        <w:tc>
          <w:tcPr>
            <w:tcW w:w="3868" w:type="dxa"/>
          </w:tcPr>
          <w:p w14:paraId="729597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625 км/час</w:t>
            </w:r>
          </w:p>
        </w:tc>
      </w:tr>
      <w:tr w:rsidR="007D5DF8" w:rsidRPr="00DB5D0D" w14:paraId="737869CC" w14:textId="77777777" w:rsidTr="009223E5">
        <w:tc>
          <w:tcPr>
            <w:tcW w:w="3868" w:type="dxa"/>
          </w:tcPr>
          <w:p w14:paraId="215B12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12000 м</w:t>
            </w:r>
          </w:p>
        </w:tc>
        <w:tc>
          <w:tcPr>
            <w:tcW w:w="3868" w:type="dxa"/>
          </w:tcPr>
          <w:p w14:paraId="3DDA52D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68" w:type="dxa"/>
          </w:tcPr>
          <w:p w14:paraId="7BA7E7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720 км/час</w:t>
            </w:r>
          </w:p>
        </w:tc>
      </w:tr>
      <w:tr w:rsidR="007D5DF8" w:rsidRPr="00DB5D0D" w14:paraId="1F3DABBC" w14:textId="77777777" w:rsidTr="009223E5">
        <w:tc>
          <w:tcPr>
            <w:tcW w:w="3868" w:type="dxa"/>
          </w:tcPr>
          <w:p w14:paraId="6D7FB2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w:t>
            </w:r>
          </w:p>
        </w:tc>
        <w:tc>
          <w:tcPr>
            <w:tcW w:w="3868" w:type="dxa"/>
          </w:tcPr>
          <w:p w14:paraId="56DF12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км</w:t>
            </w:r>
          </w:p>
        </w:tc>
        <w:tc>
          <w:tcPr>
            <w:tcW w:w="3868" w:type="dxa"/>
          </w:tcPr>
          <w:p w14:paraId="46E376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км</w:t>
            </w:r>
          </w:p>
        </w:tc>
      </w:tr>
      <w:tr w:rsidR="007D5DF8" w:rsidRPr="00DB5D0D" w14:paraId="742DA169" w14:textId="77777777" w:rsidTr="009223E5">
        <w:tc>
          <w:tcPr>
            <w:tcW w:w="3868" w:type="dxa"/>
          </w:tcPr>
          <w:p w14:paraId="1BF1FD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максимальная</w:t>
            </w:r>
          </w:p>
        </w:tc>
        <w:tc>
          <w:tcPr>
            <w:tcW w:w="3868" w:type="dxa"/>
          </w:tcPr>
          <w:p w14:paraId="2D8E46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 км</w:t>
            </w:r>
          </w:p>
        </w:tc>
        <w:tc>
          <w:tcPr>
            <w:tcW w:w="3868" w:type="dxa"/>
          </w:tcPr>
          <w:p w14:paraId="46277E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 км</w:t>
            </w:r>
          </w:p>
        </w:tc>
      </w:tr>
      <w:tr w:rsidR="007D5DF8" w:rsidRPr="00DB5D0D" w14:paraId="7C761513" w14:textId="77777777" w:rsidTr="009223E5">
        <w:tc>
          <w:tcPr>
            <w:tcW w:w="3868" w:type="dxa"/>
          </w:tcPr>
          <w:p w14:paraId="159624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максимальная для отдельных стратегических рейсов</w:t>
            </w:r>
          </w:p>
        </w:tc>
        <w:tc>
          <w:tcPr>
            <w:tcW w:w="3868" w:type="dxa"/>
          </w:tcPr>
          <w:p w14:paraId="3C1500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 км</w:t>
            </w:r>
          </w:p>
        </w:tc>
        <w:tc>
          <w:tcPr>
            <w:tcW w:w="3868" w:type="dxa"/>
          </w:tcPr>
          <w:p w14:paraId="0CB7A6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 км</w:t>
            </w:r>
          </w:p>
        </w:tc>
      </w:tr>
      <w:tr w:rsidR="007D5DF8" w:rsidRPr="00DB5D0D" w14:paraId="22E25DC7" w14:textId="77777777" w:rsidTr="009223E5">
        <w:tc>
          <w:tcPr>
            <w:tcW w:w="3868" w:type="dxa"/>
          </w:tcPr>
          <w:p w14:paraId="59136B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w:t>
            </w:r>
          </w:p>
        </w:tc>
        <w:tc>
          <w:tcPr>
            <w:tcW w:w="3868" w:type="dxa"/>
          </w:tcPr>
          <w:p w14:paraId="590429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 м</w:t>
            </w:r>
          </w:p>
        </w:tc>
        <w:tc>
          <w:tcPr>
            <w:tcW w:w="3868" w:type="dxa"/>
          </w:tcPr>
          <w:p w14:paraId="0FAE0A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13000 м</w:t>
            </w:r>
          </w:p>
        </w:tc>
      </w:tr>
    </w:tbl>
    <w:p w14:paraId="613471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 пушки Швак 20 мм и 4 пулемета 7,62 мм</w:t>
      </w:r>
    </w:p>
    <w:p w14:paraId="33EBD1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нормальная – 1000 кг</w:t>
      </w:r>
    </w:p>
    <w:p w14:paraId="78D586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максимальная – 2000 кг</w:t>
      </w:r>
    </w:p>
    <w:p w14:paraId="32881A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 3 человека</w:t>
      </w:r>
    </w:p>
    <w:p w14:paraId="2A7DB5B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ОТБ НКВД закончить сдачу чертежей самолета "102" заводу № 156 не позднее 1 сентября 1940 года (7611, 68-70).</w:t>
      </w:r>
    </w:p>
    <w:p w14:paraId="33B0E9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Отпустить из резервного фонда СНК СССР Наркомавиапрому 22.650.000 рубл., из них на постройку пикирующих бомбардировщиков "103" - 20 млн. рубл. и на премирование конструкторов, инженерно-технических работников, служащих и рабочих завода № 156 и ОТБ НКВД, в соответствии с Положением о премировании, за выполнение пикирующего, бомбардировщика в срок под отчет в распоряжение Народного Комиссара Авиационной Промышленности:</w:t>
      </w:r>
    </w:p>
    <w:p w14:paraId="24EC3A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1-й экземпляр - 1.750.000 рубл.</w:t>
      </w:r>
    </w:p>
    <w:p w14:paraId="159024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2-й экземпляр - 900.000 рубл.</w:t>
      </w:r>
    </w:p>
    <w:p w14:paraId="55CE2E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Наркомат Вооружения СССР:</w:t>
      </w:r>
    </w:p>
    <w:p w14:paraId="61DA3C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69</w:t>
      </w:r>
    </w:p>
    <w:p w14:paraId="0C60A0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Разработать по техническому заданию ОТБ НКВД оптическую систему прицела для бомбометания с пикирования к 1.УШ.1940 г. и опти</w:t>
      </w:r>
      <w:r w:rsidRPr="00DB5D0D">
        <w:rPr>
          <w:rFonts w:ascii="Times New Roman" w:hAnsi="Times New Roman"/>
          <w:color w:val="000000" w:themeColor="text1"/>
          <w:sz w:val="16"/>
          <w:szCs w:val="16"/>
        </w:rPr>
        <w:softHyphen/>
        <w:t>ческую систему коллиматорного прицела для стрельбы к 1.УШ.1940 г.</w:t>
      </w:r>
    </w:p>
    <w:p w14:paraId="71FEE1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217</w:t>
      </w:r>
    </w:p>
    <w:p w14:paraId="5A0ADD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изготовить и сдать заводу № 379 Наркомавиапрома - 4 экземпляра оптических систем к прицелу для бомбометания с пикирования, срок - к 1 августа 1940 года:</w:t>
      </w:r>
    </w:p>
    <w:p w14:paraId="6DD1CE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изготовить по техническим требованиям и сдать заводу № 156 - 8 коллиматорных прицелов для стрельбы в следующие сроки:</w:t>
      </w:r>
    </w:p>
    <w:p w14:paraId="24ED93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прицела к 1 августа 1940 г.</w:t>
      </w:r>
    </w:p>
    <w:p w14:paraId="49536D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прицела к 1 сентября 1940 г.</w:t>
      </w:r>
    </w:p>
    <w:p w14:paraId="20AB65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Наркомнефтъ:</w:t>
      </w:r>
    </w:p>
    <w:p w14:paraId="6A637B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Подольском заводе:</w:t>
      </w:r>
    </w:p>
    <w:p w14:paraId="058BC7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изготовить по техническим требованиям ОТБ НКВД и сдать заводу № 156 броневые листы в количестве и в сроки, согласованные заводом № 156;</w:t>
      </w:r>
    </w:p>
    <w:p w14:paraId="5E5F40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поставить заводу № 156 незамерзающей смазки и жидкого масла по техническим условиям завода № 156 в количествах и по срокам, согласованным с заводом № 156.</w:t>
      </w:r>
    </w:p>
    <w:p w14:paraId="0729B4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Наркомат Черной Металлургии обеспечить завод № 156 специальными сталями и поковками из стали хромансиль и листами из шлемной брони, по техническим условиям и чертежам завода № 156, в количествах и в сроки, согласованные с заводом № 156.</w:t>
      </w:r>
    </w:p>
    <w:p w14:paraId="660EBF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Обязать Наркомат Цветной металлургии обеспечить завод № 156 цветными металлами и полуфабрикатами, по техническим условиям и чертежам завода № 156 в количествах и в сроки, согласованные с заводом № 156.</w:t>
      </w:r>
    </w:p>
    <w:p w14:paraId="5ED12A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Обязать Наркомсредакш обеспечить завод № 156 шарико и роликоподшипникам в количествах, в сроки и по спецификации и техническим условиям завода № 156.</w:t>
      </w:r>
    </w:p>
    <w:p w14:paraId="194EF2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Обязать Наркомат Химической Промышленности:</w:t>
      </w:r>
    </w:p>
    <w:p w14:paraId="04A7DE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Главку "Главрезина" - обеспечить завод № 156 авиапокрышками и камерами для колес 900x300x350 и 400x150, совпреновыми протекторами для бензобаков, эбонитом и специальными резиновыми изделиями по спецификациям и техническим условиям завода № 156 в количествах и в сроки, согласованные с заводом № 156;</w:t>
      </w:r>
    </w:p>
    <w:p w14:paraId="370B99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Главку "Пластмасс" - обеспечить завод № 156 изделиями из пластмасс, по техническим условиям и чертежам завода № 156 с изготов</w:t>
      </w:r>
      <w:r w:rsidRPr="00DB5D0D">
        <w:rPr>
          <w:rFonts w:ascii="Times New Roman" w:hAnsi="Times New Roman"/>
          <w:color w:val="000000" w:themeColor="text1"/>
          <w:sz w:val="16"/>
          <w:szCs w:val="16"/>
        </w:rPr>
        <w:softHyphen/>
        <w:t>лением прессформ для них, в количествах и по срокам, согласованным с заводом № 156;</w:t>
      </w:r>
    </w:p>
    <w:p w14:paraId="52FCDD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обеспечить завод № 156 плексиглассом по спецификациям и тех</w:t>
      </w:r>
      <w:r w:rsidRPr="00DB5D0D">
        <w:rPr>
          <w:rFonts w:ascii="Times New Roman" w:hAnsi="Times New Roman"/>
          <w:color w:val="000000" w:themeColor="text1"/>
          <w:sz w:val="16"/>
          <w:szCs w:val="16"/>
        </w:rPr>
        <w:softHyphen/>
        <w:t>ническим условиям, в количествах и по срокам, согласованным с заводом № 156.</w:t>
      </w:r>
    </w:p>
    <w:p w14:paraId="49C573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Обязать Наркомтекстиль обеспечить завод № 156 техническими тканями по спецификации, техническим условиям и в количествах и по сро</w:t>
      </w:r>
      <w:r w:rsidRPr="00DB5D0D">
        <w:rPr>
          <w:rFonts w:ascii="Times New Roman" w:hAnsi="Times New Roman"/>
          <w:color w:val="000000" w:themeColor="text1"/>
          <w:sz w:val="16"/>
          <w:szCs w:val="16"/>
        </w:rPr>
        <w:softHyphen/>
        <w:t>кам, согласованным с заводом № 156 (10395).</w:t>
      </w:r>
    </w:p>
    <w:p w14:paraId="36EA2EB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0EB7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июня 1940 г.вы</w:t>
      </w:r>
      <w:r w:rsidRPr="00DB5D0D">
        <w:rPr>
          <w:rFonts w:ascii="Times New Roman" w:hAnsi="Times New Roman"/>
          <w:color w:val="000000" w:themeColor="text1"/>
          <w:sz w:val="16"/>
          <w:szCs w:val="16"/>
        </w:rPr>
        <w:softHyphen/>
        <w:t>шло постановление Комитета Обороны о постройке на заводе № 156 пикирующего бомбардировщика «103» А.Н.Туполева, как и «100» спроектированного заключен</w:t>
      </w:r>
      <w:r w:rsidRPr="00DB5D0D">
        <w:rPr>
          <w:rFonts w:ascii="Times New Roman" w:hAnsi="Times New Roman"/>
          <w:color w:val="000000" w:themeColor="text1"/>
          <w:sz w:val="16"/>
          <w:szCs w:val="16"/>
        </w:rPr>
        <w:softHyphen/>
        <w:t>ными конструкторами (10667).</w:t>
      </w:r>
    </w:p>
    <w:p w14:paraId="3C985E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C75D4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 вышло Постанов</w:t>
      </w:r>
      <w:r w:rsidRPr="00DB5D0D">
        <w:rPr>
          <w:rFonts w:ascii="Times New Roman" w:hAnsi="Times New Roman"/>
          <w:color w:val="000000" w:themeColor="text1"/>
          <w:sz w:val="16"/>
          <w:szCs w:val="16"/>
        </w:rPr>
        <w:softHyphen/>
        <w:t>ление Государственного Комитета Обороны №239, а 16 июня - Приказ №293 НКАП по самолету «103», в ко</w:t>
      </w:r>
      <w:r w:rsidRPr="00DB5D0D">
        <w:rPr>
          <w:rFonts w:ascii="Times New Roman" w:hAnsi="Times New Roman"/>
          <w:color w:val="000000" w:themeColor="text1"/>
          <w:sz w:val="16"/>
          <w:szCs w:val="16"/>
        </w:rPr>
        <w:softHyphen/>
        <w:t>торых оговаривалось следующее:</w:t>
      </w:r>
    </w:p>
    <w:p w14:paraId="0F555E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спроектировать и построить первый экземпляр с двумя моторами АМ-35А и два экземпляра с двумя мото</w:t>
      </w:r>
      <w:r w:rsidRPr="00DB5D0D">
        <w:rPr>
          <w:rFonts w:ascii="Times New Roman" w:hAnsi="Times New Roman"/>
          <w:color w:val="000000" w:themeColor="text1"/>
          <w:sz w:val="16"/>
          <w:szCs w:val="16"/>
        </w:rPr>
        <w:softHyphen/>
        <w:t>рами М-120 ТК-2 и предъявить на госу</w:t>
      </w:r>
      <w:r w:rsidRPr="00DB5D0D">
        <w:rPr>
          <w:rFonts w:ascii="Times New Roman" w:hAnsi="Times New Roman"/>
          <w:color w:val="000000" w:themeColor="text1"/>
          <w:sz w:val="16"/>
          <w:szCs w:val="16"/>
        </w:rPr>
        <w:softHyphen/>
        <w:t>дарственные испытания:</w:t>
      </w:r>
    </w:p>
    <w:p w14:paraId="590DA1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оговаривались следующие летно-тактические данные:</w:t>
      </w:r>
    </w:p>
    <w:p w14:paraId="7AF6CD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 2 АМ-35А «103» 2М-120 ТК-2 максимальная скорость на высоте/</w:t>
      </w:r>
    </w:p>
    <w:p w14:paraId="692A3D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соответственно скорость км/ч/м: 560/</w:t>
      </w:r>
    </w:p>
    <w:p w14:paraId="149363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 625/7000 - 720/12000 дальность полета, км</w:t>
      </w:r>
    </w:p>
    <w:p w14:paraId="754DE2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-нормальная 1000</w:t>
      </w:r>
    </w:p>
    <w:p w14:paraId="47EE34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2500</w:t>
      </w:r>
    </w:p>
    <w:p w14:paraId="18585F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отдельных стратегических рейсов 3200</w:t>
      </w:r>
    </w:p>
    <w:p w14:paraId="114499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м 11000 13000 бомбовая нагрузка:</w:t>
      </w:r>
    </w:p>
    <w:p w14:paraId="0FD1BE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-нормальная 1000</w:t>
      </w:r>
    </w:p>
    <w:p w14:paraId="7C910C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2000</w:t>
      </w:r>
    </w:p>
    <w:p w14:paraId="63A797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стрелково-пушечное вооружение 2хШВАК-20или4хШКАС</w:t>
      </w:r>
    </w:p>
    <w:p w14:paraId="2F686D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- 3 чел.</w:t>
      </w:r>
    </w:p>
    <w:p w14:paraId="54338B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-устанавливались следующие сро</w:t>
      </w:r>
      <w:r w:rsidRPr="00DB5D0D">
        <w:rPr>
          <w:rFonts w:ascii="Times New Roman" w:hAnsi="Times New Roman"/>
          <w:color w:val="000000" w:themeColor="text1"/>
          <w:sz w:val="16"/>
          <w:szCs w:val="16"/>
        </w:rPr>
        <w:softHyphen/>
        <w:t>ки этапов работ по изготовлению са</w:t>
      </w:r>
      <w:r w:rsidRPr="00DB5D0D">
        <w:rPr>
          <w:rFonts w:ascii="Times New Roman" w:hAnsi="Times New Roman"/>
          <w:color w:val="000000" w:themeColor="text1"/>
          <w:sz w:val="16"/>
          <w:szCs w:val="16"/>
        </w:rPr>
        <w:softHyphen/>
        <w:t>молетов «103»:</w:t>
      </w:r>
    </w:p>
    <w:p w14:paraId="5882A0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сдача чертежей 1-1.09.40; 2-1.11.40; 3 -1.01.41</w:t>
      </w:r>
    </w:p>
    <w:p w14:paraId="2648A6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сдача на заводские испытания 1.11.40; -1.01.41; -1.03.41</w:t>
      </w:r>
    </w:p>
    <w:p w14:paraId="4C23DF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сдача на государственные испыта</w:t>
      </w:r>
      <w:r w:rsidRPr="00DB5D0D">
        <w:rPr>
          <w:rFonts w:ascii="Times New Roman" w:hAnsi="Times New Roman"/>
          <w:color w:val="000000" w:themeColor="text1"/>
          <w:sz w:val="16"/>
          <w:szCs w:val="16"/>
        </w:rPr>
        <w:softHyphen/>
        <w:t>ния 1.01.41; -1.03.41; -1.05.41 (10728).</w:t>
      </w:r>
    </w:p>
    <w:p w14:paraId="17548C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1B149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w:t>
      </w:r>
      <w:r w:rsidRPr="00DB5D0D">
        <w:rPr>
          <w:rFonts w:ascii="Times New Roman" w:hAnsi="Times New Roman"/>
          <w:color w:val="000000" w:themeColor="text1"/>
          <w:sz w:val="16"/>
          <w:szCs w:val="16"/>
        </w:rPr>
        <w:softHyphen/>
        <w:t>ня 1940 г. несмотря на негативное мнение ВВС и НКАП Комитет Обороны предписал выпустить 15 машин СПБ войсковой серии (10667).</w:t>
      </w:r>
    </w:p>
    <w:p w14:paraId="294F6F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78591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года постановление № 240сс КО</w:t>
      </w:r>
    </w:p>
    <w:p w14:paraId="0A192F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переводе самолетов СБ на пикирующие бомбардировщики и внедрении пикирующего вооружения на эти бомбардировщики</w:t>
      </w:r>
    </w:p>
    <w:p w14:paraId="035173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перевода самолетов СБ на пикирующие бомбардировщики на заводе № 22 и внедрения пикирующего вооружения на них КО постановляет:</w:t>
      </w:r>
    </w:p>
    <w:p w14:paraId="66D7B9E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Установить заводу № 22 на второе полугодие 1940 года программу по самолетам СБ в количестве 885 штук, из них:</w:t>
      </w:r>
    </w:p>
    <w:p w14:paraId="7D03EF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самолетов с моторами М-105 в пикирующем варианте 525 штук;</w:t>
      </w:r>
    </w:p>
    <w:p w14:paraId="1B05C4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модифицированных самолетов СБ-РК с моторами М-105 в пикирующем варианте – 360 штук.</w:t>
      </w:r>
    </w:p>
    <w:p w14:paraId="473F064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До 1 октября 1940 года переоборудовать под пикирующие бомбардировщики 165 самолетов СБ в войсковых частях. Изготовление деталей и техническое руководство переоборудованием возлагается на завод № 22, а монтаж на войсковые части ВВС.</w:t>
      </w:r>
    </w:p>
    <w:p w14:paraId="57DFDC2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директора завода № 22 Окулова и гл. конструктора Архангельского к 15 августа 1940 года изготовить эталон пикирующего бомбардировщика СБ-РК с М-103 в количестве трех единиц с максимальной скоростью 490 км/час и запасом прочности не ниже 8,5 крат.</w:t>
      </w:r>
    </w:p>
    <w:p w14:paraId="420DBDA0" w14:textId="77777777" w:rsidR="00A25AD1" w:rsidRPr="00DB5D0D" w:rsidRDefault="00A25AD1" w:rsidP="00DB5D0D">
      <w:pPr>
        <w:pStyle w:val="24"/>
        <w:widowControl/>
        <w:rPr>
          <w:color w:val="000000" w:themeColor="text1"/>
        </w:rPr>
      </w:pPr>
      <w:r w:rsidRPr="00DB5D0D">
        <w:rPr>
          <w:color w:val="000000" w:themeColor="text1"/>
        </w:rPr>
        <w:t>За основу эталона принять самолет СБ-РК № 1/281, проходивший испытания в НИИ ГУАС со следующими улучшениями:</w:t>
      </w:r>
    </w:p>
    <w:p w14:paraId="24308D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установить новую штурманскую кабину;</w:t>
      </w:r>
    </w:p>
    <w:p w14:paraId="75BDA4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задней верхней стрелковой точке поставить на турель МВ-3 специальный убирающийся фонарь;</w:t>
      </w:r>
    </w:p>
    <w:p w14:paraId="075517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для обстрела нижней задней полусферы установить убирающуюся МВ-2;</w:t>
      </w:r>
    </w:p>
    <w:p w14:paraId="666822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замки наружной подвески установить внутрь центроплана;</w:t>
      </w:r>
    </w:p>
    <w:p w14:paraId="43F4BF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довести крыльевые бензобаки до емкости 330 литров каждый;</w:t>
      </w:r>
    </w:p>
    <w:p w14:paraId="1F54AB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рамку радиополукомпаса "Чайка" установить внутрь центроплана.</w:t>
      </w:r>
    </w:p>
    <w:p w14:paraId="0E406F8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гл. конструктора завода № 22 Архангельского и директора завода № 22 Окулова к 1 сентября 1940 года провести испытания трех самолетов СБ с М-105 с турбокомпрессорами ТК-2Б и в случае положительных результатов испытания, внедрить в серийное производство.</w:t>
      </w:r>
    </w:p>
    <w:p w14:paraId="590351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Во изменение постановления КО от 11 января 1940 года за № 23 установить заводу № 22 на 1940 год программу по самолетам СПБ конструкции Поликарпова – 15 штук, для проведения войсковых испытаний (7611, 71-75).</w:t>
      </w:r>
    </w:p>
    <w:p w14:paraId="6F4B42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Наркомат Электропромышленности:</w:t>
      </w:r>
    </w:p>
    <w:p w14:paraId="353338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обеспечить на заводе имени Кирова по чертежам СКБ-1 ЦКТИ постазку заводу № 22 ребристо-трубчатых радиаторов в следующие сроки и количествах:</w:t>
      </w:r>
    </w:p>
    <w:p w14:paraId="090D95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w:t>
      </w:r>
      <w:r w:rsidRPr="00DB5D0D">
        <w:rPr>
          <w:rFonts w:ascii="Times New Roman" w:hAnsi="Times New Roman"/>
          <w:color w:val="000000" w:themeColor="text1"/>
          <w:sz w:val="16"/>
          <w:szCs w:val="16"/>
        </w:rPr>
        <w:tab/>
        <w:t>10</w:t>
      </w:r>
    </w:p>
    <w:p w14:paraId="692B2B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w:t>
      </w:r>
      <w:r w:rsidRPr="00DB5D0D">
        <w:rPr>
          <w:rFonts w:ascii="Times New Roman" w:hAnsi="Times New Roman"/>
          <w:color w:val="000000" w:themeColor="text1"/>
          <w:sz w:val="16"/>
          <w:szCs w:val="16"/>
        </w:rPr>
        <w:tab/>
        <w:t>15</w:t>
      </w:r>
    </w:p>
    <w:p w14:paraId="38400F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w:t>
      </w:r>
      <w:r w:rsidRPr="00DB5D0D">
        <w:rPr>
          <w:rFonts w:ascii="Times New Roman" w:hAnsi="Times New Roman"/>
          <w:color w:val="000000" w:themeColor="text1"/>
          <w:sz w:val="16"/>
          <w:szCs w:val="16"/>
        </w:rPr>
        <w:tab/>
        <w:t>50</w:t>
      </w:r>
    </w:p>
    <w:p w14:paraId="0CA1EE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сентября</w:t>
      </w:r>
      <w:r w:rsidRPr="00DB5D0D">
        <w:rPr>
          <w:rFonts w:ascii="Times New Roman" w:hAnsi="Times New Roman"/>
          <w:color w:val="000000" w:themeColor="text1"/>
          <w:sz w:val="16"/>
          <w:szCs w:val="16"/>
        </w:rPr>
        <w:tab/>
        <w:t>150</w:t>
      </w:r>
    </w:p>
    <w:p w14:paraId="3B49EF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октября</w:t>
      </w:r>
      <w:r w:rsidRPr="00DB5D0D">
        <w:rPr>
          <w:rFonts w:ascii="Times New Roman" w:hAnsi="Times New Roman"/>
          <w:color w:val="000000" w:themeColor="text1"/>
          <w:sz w:val="16"/>
          <w:szCs w:val="16"/>
        </w:rPr>
        <w:tab/>
        <w:t>200</w:t>
      </w:r>
    </w:p>
    <w:p w14:paraId="1E7D29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ноября</w:t>
      </w:r>
      <w:r w:rsidRPr="00DB5D0D">
        <w:rPr>
          <w:rFonts w:ascii="Times New Roman" w:hAnsi="Times New Roman"/>
          <w:color w:val="000000" w:themeColor="text1"/>
          <w:sz w:val="16"/>
          <w:szCs w:val="16"/>
        </w:rPr>
        <w:tab/>
        <w:t>300</w:t>
      </w:r>
    </w:p>
    <w:p w14:paraId="42BE2D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декабря</w:t>
      </w:r>
      <w:r w:rsidRPr="00DB5D0D">
        <w:rPr>
          <w:rFonts w:ascii="Times New Roman" w:hAnsi="Times New Roman"/>
          <w:color w:val="000000" w:themeColor="text1"/>
          <w:sz w:val="16"/>
          <w:szCs w:val="16"/>
        </w:rPr>
        <w:tab/>
        <w:t>300</w:t>
      </w:r>
    </w:p>
    <w:p w14:paraId="14EA67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Выделить во втором полугодии 1940 года заводу № 22 блок-трансформатор мощностью 5000 ка/амп 660/10000 в</w:t>
      </w:r>
      <w:r w:rsidRPr="00DB5D0D">
        <w:rPr>
          <w:rFonts w:ascii="Times New Roman" w:hAnsi="Times New Roman"/>
          <w:color w:val="000000" w:themeColor="text1"/>
          <w:sz w:val="16"/>
          <w:szCs w:val="16"/>
        </w:rPr>
        <w:tab/>
        <w:t>1 шт.</w:t>
      </w:r>
    </w:p>
    <w:p w14:paraId="7F94D2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Обязать Наркома Вооружений - тов. Ванникова обеспечит поставку НКАП: </w:t>
      </w:r>
    </w:p>
    <w:p w14:paraId="0B5710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стрелковых прицелов для машин: 42, ББ-22, ББ-1, И-26, ДВ-240, СБ, ДБ-3Ф, СПБ полностью и в сроки выпуска казанных машин;</w:t>
      </w:r>
    </w:p>
    <w:p w14:paraId="262897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заводу № 22 оптических прицелов ПАК-24 в следующие сроки и количествах:</w:t>
      </w:r>
    </w:p>
    <w:p w14:paraId="7E55F3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r w:rsidRPr="00DB5D0D">
        <w:rPr>
          <w:rFonts w:ascii="Times New Roman" w:hAnsi="Times New Roman"/>
          <w:color w:val="000000" w:themeColor="text1"/>
          <w:sz w:val="16"/>
          <w:szCs w:val="16"/>
        </w:rPr>
        <w:tab/>
        <w:t>163</w:t>
      </w:r>
    </w:p>
    <w:p w14:paraId="427565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w:t>
      </w:r>
      <w:r w:rsidRPr="00DB5D0D">
        <w:rPr>
          <w:rFonts w:ascii="Times New Roman" w:hAnsi="Times New Roman"/>
          <w:color w:val="000000" w:themeColor="text1"/>
          <w:sz w:val="16"/>
          <w:szCs w:val="16"/>
        </w:rPr>
        <w:tab/>
        <w:t>155</w:t>
      </w:r>
    </w:p>
    <w:p w14:paraId="2CCFE5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w:t>
      </w:r>
      <w:r w:rsidRPr="00DB5D0D">
        <w:rPr>
          <w:rFonts w:ascii="Times New Roman" w:hAnsi="Times New Roman"/>
          <w:color w:val="000000" w:themeColor="text1"/>
          <w:sz w:val="16"/>
          <w:szCs w:val="16"/>
        </w:rPr>
        <w:tab/>
        <w:t>165</w:t>
      </w:r>
    </w:p>
    <w:p w14:paraId="3E914E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w:t>
      </w:r>
      <w:r w:rsidRPr="00DB5D0D">
        <w:rPr>
          <w:rFonts w:ascii="Times New Roman" w:hAnsi="Times New Roman"/>
          <w:color w:val="000000" w:themeColor="text1"/>
          <w:sz w:val="16"/>
          <w:szCs w:val="16"/>
        </w:rPr>
        <w:tab/>
        <w:t>200</w:t>
      </w:r>
    </w:p>
    <w:p w14:paraId="678316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октября</w:t>
      </w:r>
      <w:r w:rsidRPr="00DB5D0D">
        <w:rPr>
          <w:rFonts w:ascii="Times New Roman" w:hAnsi="Times New Roman"/>
          <w:color w:val="000000" w:themeColor="text1"/>
          <w:sz w:val="16"/>
          <w:szCs w:val="16"/>
        </w:rPr>
        <w:tab/>
        <w:t>200</w:t>
      </w:r>
    </w:p>
    <w:p w14:paraId="2B0C21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ноября</w:t>
      </w:r>
      <w:r w:rsidRPr="00DB5D0D">
        <w:rPr>
          <w:rFonts w:ascii="Times New Roman" w:hAnsi="Times New Roman"/>
          <w:color w:val="000000" w:themeColor="text1"/>
          <w:sz w:val="16"/>
          <w:szCs w:val="16"/>
        </w:rPr>
        <w:tab/>
        <w:t>200</w:t>
      </w:r>
    </w:p>
    <w:p w14:paraId="0B76F1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декабря</w:t>
      </w:r>
      <w:r w:rsidRPr="00DB5D0D">
        <w:rPr>
          <w:rFonts w:ascii="Times New Roman" w:hAnsi="Times New Roman"/>
          <w:color w:val="000000" w:themeColor="text1"/>
          <w:sz w:val="16"/>
          <w:szCs w:val="16"/>
        </w:rPr>
        <w:tab/>
        <w:t>200</w:t>
      </w:r>
    </w:p>
    <w:p w14:paraId="6D1406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Обязать НКСМ:</w:t>
      </w:r>
    </w:p>
    <w:p w14:paraId="343D68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изготовить на своих заводах для завода № 22 по чертежам и ТУ завода № 22 кузнечные и вытяжные штампы со сроками поставки:</w:t>
      </w:r>
    </w:p>
    <w:p w14:paraId="32DA13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месяце 1940 года</w:t>
      </w:r>
      <w:r w:rsidRPr="00DB5D0D">
        <w:rPr>
          <w:rFonts w:ascii="Times New Roman" w:hAnsi="Times New Roman"/>
          <w:color w:val="000000" w:themeColor="text1"/>
          <w:sz w:val="16"/>
          <w:szCs w:val="16"/>
        </w:rPr>
        <w:tab/>
        <w:t>25 комплектов,</w:t>
      </w:r>
    </w:p>
    <w:p w14:paraId="731B99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августе </w:t>
      </w:r>
      <w:r w:rsidRPr="00DB5D0D">
        <w:rPr>
          <w:rFonts w:ascii="Times New Roman" w:hAnsi="Times New Roman"/>
          <w:color w:val="000000" w:themeColor="text1"/>
          <w:sz w:val="16"/>
          <w:szCs w:val="16"/>
        </w:rPr>
        <w:tab/>
        <w:t>50</w:t>
      </w:r>
    </w:p>
    <w:p w14:paraId="04D5C6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сентябре</w:t>
      </w:r>
      <w:r w:rsidRPr="00DB5D0D">
        <w:rPr>
          <w:rFonts w:ascii="Times New Roman" w:hAnsi="Times New Roman"/>
          <w:color w:val="000000" w:themeColor="text1"/>
          <w:sz w:val="16"/>
          <w:szCs w:val="16"/>
        </w:rPr>
        <w:tab/>
        <w:t>25</w:t>
      </w:r>
    </w:p>
    <w:p w14:paraId="182F72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изготовить в сдать в третьем квартале 1940 года заводу № 22 электрокары грузоподъемностью 1,5 тонны25 штук.</w:t>
      </w:r>
    </w:p>
    <w:p w14:paraId="6F3C2F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выделить во втором полугодии 1940 года заводу № 22 воздушных компрессоров типа НГ-23 мощностью 18 кб/мг/мин - 2 шт.</w:t>
      </w:r>
    </w:p>
    <w:p w14:paraId="73034E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Экономическому совету при СНК Союза ССР выделить для завода № 22 целевой фонд на поставку с заводов МИЗ и "Фрезер" специального режущего инструмента по чертежам и ТУ завода № 22 в сумме 500 тыс. рублей со сроками поставки:</w:t>
      </w:r>
    </w:p>
    <w:p w14:paraId="60E19C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месяце 1940 года</w:t>
      </w:r>
      <w:r w:rsidRPr="00DB5D0D">
        <w:rPr>
          <w:rFonts w:ascii="Times New Roman" w:hAnsi="Times New Roman"/>
          <w:color w:val="000000" w:themeColor="text1"/>
          <w:sz w:val="16"/>
          <w:szCs w:val="16"/>
        </w:rPr>
        <w:tab/>
        <w:t>на 50 тыс. руб.,</w:t>
      </w:r>
    </w:p>
    <w:p w14:paraId="4A2C71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августе </w:t>
      </w:r>
      <w:r w:rsidRPr="00DB5D0D">
        <w:rPr>
          <w:rFonts w:ascii="Times New Roman" w:hAnsi="Times New Roman"/>
          <w:color w:val="000000" w:themeColor="text1"/>
          <w:sz w:val="16"/>
          <w:szCs w:val="16"/>
        </w:rPr>
        <w:tab/>
        <w:t>250</w:t>
      </w:r>
    </w:p>
    <w:p w14:paraId="261D09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сентябре</w:t>
      </w:r>
      <w:r w:rsidRPr="00DB5D0D">
        <w:rPr>
          <w:rFonts w:ascii="Times New Roman" w:hAnsi="Times New Roman"/>
          <w:color w:val="000000" w:themeColor="text1"/>
          <w:sz w:val="16"/>
          <w:szCs w:val="16"/>
        </w:rPr>
        <w:tab/>
        <w:t>100</w:t>
      </w:r>
    </w:p>
    <w:p w14:paraId="42FD1F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октябре</w:t>
      </w:r>
      <w:r w:rsidRPr="00DB5D0D">
        <w:rPr>
          <w:rFonts w:ascii="Times New Roman" w:hAnsi="Times New Roman"/>
          <w:color w:val="000000" w:themeColor="text1"/>
          <w:sz w:val="16"/>
          <w:szCs w:val="16"/>
        </w:rPr>
        <w:tab/>
        <w:t>100</w:t>
      </w:r>
    </w:p>
    <w:p w14:paraId="03B084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Обязать Наркомхимпром:</w:t>
      </w:r>
    </w:p>
    <w:p w14:paraId="25DAA3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обеспечить поставку во второй половине 1940 года заводу № 22 - 31.750 кг органического стекла (плексиглас) толщиной от 3-х до 34 мм с габаритом листов 750х700 мм по спецификации завода № 22 в следующе сроки:</w:t>
      </w:r>
    </w:p>
    <w:p w14:paraId="4FCA52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w:t>
      </w:r>
      <w:r w:rsidRPr="00DB5D0D">
        <w:rPr>
          <w:rFonts w:ascii="Times New Roman" w:hAnsi="Times New Roman"/>
          <w:color w:val="000000" w:themeColor="text1"/>
          <w:sz w:val="16"/>
          <w:szCs w:val="16"/>
        </w:rPr>
        <w:tab/>
        <w:t>250 кг</w:t>
      </w:r>
    </w:p>
    <w:p w14:paraId="1FCDC0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w:t>
      </w:r>
      <w:r w:rsidRPr="00DB5D0D">
        <w:rPr>
          <w:rFonts w:ascii="Times New Roman" w:hAnsi="Times New Roman"/>
          <w:color w:val="000000" w:themeColor="text1"/>
          <w:sz w:val="16"/>
          <w:szCs w:val="16"/>
        </w:rPr>
        <w:tab/>
        <w:t>500</w:t>
      </w:r>
    </w:p>
    <w:p w14:paraId="33670F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15 августа</w:t>
      </w:r>
      <w:r w:rsidRPr="00DB5D0D">
        <w:rPr>
          <w:rFonts w:ascii="Times New Roman" w:hAnsi="Times New Roman"/>
          <w:color w:val="000000" w:themeColor="text1"/>
          <w:sz w:val="16"/>
          <w:szCs w:val="16"/>
        </w:rPr>
        <w:tab/>
        <w:t>2000</w:t>
      </w:r>
    </w:p>
    <w:p w14:paraId="13DD18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w:t>
      </w:r>
      <w:r w:rsidRPr="00DB5D0D">
        <w:rPr>
          <w:rFonts w:ascii="Times New Roman" w:hAnsi="Times New Roman"/>
          <w:color w:val="000000" w:themeColor="text1"/>
          <w:sz w:val="16"/>
          <w:szCs w:val="16"/>
        </w:rPr>
        <w:tab/>
        <w:t>6000</w:t>
      </w:r>
    </w:p>
    <w:p w14:paraId="240C69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октября</w:t>
      </w:r>
      <w:r w:rsidRPr="00DB5D0D">
        <w:rPr>
          <w:rFonts w:ascii="Times New Roman" w:hAnsi="Times New Roman"/>
          <w:color w:val="000000" w:themeColor="text1"/>
          <w:sz w:val="16"/>
          <w:szCs w:val="16"/>
        </w:rPr>
        <w:tab/>
        <w:t>5000</w:t>
      </w:r>
    </w:p>
    <w:p w14:paraId="0B2AD5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ноября</w:t>
      </w:r>
      <w:r w:rsidRPr="00DB5D0D">
        <w:rPr>
          <w:rFonts w:ascii="Times New Roman" w:hAnsi="Times New Roman"/>
          <w:color w:val="000000" w:themeColor="text1"/>
          <w:sz w:val="16"/>
          <w:szCs w:val="16"/>
        </w:rPr>
        <w:tab/>
        <w:t>9000</w:t>
      </w:r>
    </w:p>
    <w:p w14:paraId="0547FC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декабря</w:t>
      </w:r>
      <w:r w:rsidRPr="00DB5D0D">
        <w:rPr>
          <w:rFonts w:ascii="Times New Roman" w:hAnsi="Times New Roman"/>
          <w:color w:val="000000" w:themeColor="text1"/>
          <w:sz w:val="16"/>
          <w:szCs w:val="16"/>
        </w:rPr>
        <w:tab/>
        <w:t>9000</w:t>
      </w:r>
    </w:p>
    <w:p w14:paraId="35A4BD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Обеспечить завод № 22 изделиями из пластмасс по спецификации и ТУ завода № 22, обеспечив выполнение чертежей на пресс-формы и самих пресс-форм для указанных наименований на своих заводах.</w:t>
      </w:r>
    </w:p>
    <w:p w14:paraId="0C141A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поставка изделий из пластмасс:</w:t>
      </w:r>
    </w:p>
    <w:p w14:paraId="7A3D23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наименований</w:t>
      </w:r>
      <w:r w:rsidRPr="00DB5D0D">
        <w:rPr>
          <w:rFonts w:ascii="Times New Roman" w:hAnsi="Times New Roman"/>
          <w:color w:val="000000" w:themeColor="text1"/>
          <w:sz w:val="16"/>
          <w:szCs w:val="16"/>
        </w:rPr>
        <w:tab/>
        <w:t>к 1 июля 1940 года.</w:t>
      </w:r>
    </w:p>
    <w:p w14:paraId="167CB9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наименований</w:t>
      </w:r>
      <w:r w:rsidRPr="00DB5D0D">
        <w:rPr>
          <w:rFonts w:ascii="Times New Roman" w:hAnsi="Times New Roman"/>
          <w:color w:val="000000" w:themeColor="text1"/>
          <w:sz w:val="16"/>
          <w:szCs w:val="16"/>
        </w:rPr>
        <w:tab/>
        <w:t>к 15 августа 1940 года</w:t>
      </w:r>
    </w:p>
    <w:p w14:paraId="49F524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Отпустить из резервного фонда СНК СССР 11 млн. рублей, в том числе:</w:t>
      </w:r>
    </w:p>
    <w:p w14:paraId="5C7492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для перостройки технологического процесса завода № 22 в связи с постановкой на серийное производство пикирующих самолетов СБ-РК во втором полугодии - 1 млн. рублей;</w:t>
      </w:r>
    </w:p>
    <w:p w14:paraId="7F1BED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под отчет в распоряжение НКАП на премироание конструкторов, рабочих и ИТР завода № 22, с соответствии с положением о премировании, за освоение в серийном производстве пикирующих самолетов СБ-РК - 4 млн. руб., ихз них: за выпуск первых 1000 самолетов - 2 млн. рублей; за выполнение годовой программы - 2 млн. рублей.</w:t>
      </w:r>
    </w:p>
    <w:p w14:paraId="6D64EE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удокомплектование оборудованием и постройку цеха алитирования на заводе № 22 - 6 млн. рублей.</w:t>
      </w:r>
    </w:p>
    <w:p w14:paraId="5412BA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Обязать Моссовет - тов. Пронина:</w:t>
      </w:r>
    </w:p>
    <w:p w14:paraId="6D8A6F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построить в 1940-1941 г.г. для рабочих, ИТР и ковструкторов завода № 22 два дома по 100 квартир каждый.</w:t>
      </w:r>
    </w:p>
    <w:p w14:paraId="72ED5C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течение 1940-1941 г.г. построитт в поселке завода № 22 (Фили) магазины (гастроном и ширпотреб), аптеку, механлзнрованную прачечную и провести благоустройство поселка, обратив особое внимание на сооружение дорог, тротуаров и освещение.</w:t>
      </w:r>
    </w:p>
    <w:p w14:paraId="1713FE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эапретить отделу городских земель выделять земельные уча</w:t>
      </w:r>
      <w:r w:rsidRPr="00DB5D0D">
        <w:rPr>
          <w:rFonts w:ascii="Times New Roman" w:hAnsi="Times New Roman"/>
          <w:color w:val="000000" w:themeColor="text1"/>
          <w:sz w:val="16"/>
          <w:szCs w:val="16"/>
        </w:rPr>
        <w:softHyphen/>
        <w:t>стки в непосредственной близости к заводу № 22 организациям, не связанным с заводом, закрепив их (участки) за заводом № 22 для жилищного и бытового строительства.</w:t>
      </w:r>
    </w:p>
    <w:p w14:paraId="752838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Обязать НКАП обеспечить со 2 полугодия 1940 го</w:t>
      </w:r>
      <w:r w:rsidRPr="00DB5D0D">
        <w:rPr>
          <w:rFonts w:ascii="Times New Roman" w:hAnsi="Times New Roman"/>
          <w:color w:val="000000" w:themeColor="text1"/>
          <w:sz w:val="16"/>
          <w:szCs w:val="16"/>
        </w:rPr>
        <w:softHyphen/>
        <w:t>да выпуск пикирующего вооружния: КБ-3, Дер—19п, Дер—20п, а также вооружения для самолетов СПБ, ББ-22, ББ-1, 42-й, И-26 в потребном количестве. Для чего:</w:t>
      </w:r>
    </w:p>
    <w:p w14:paraId="230FFF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передать в Наромавиапром 15 июня 1940 года завод КПГ (Москва) Наркомата Общего Машиностроения. Обязать НКОМ немедленно освободить в течение июня месяца производственные площади завода, занятые под непроизодственные цели (ощежитие и др.), а токже снять с пронзволства и передать другим заводам НКОМ выпускаемыую на заводе КПГ продукцию.</w:t>
      </w:r>
    </w:p>
    <w:p w14:paraId="37C11B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НКАП организовать на заводе № 32 производ</w:t>
      </w:r>
      <w:r w:rsidRPr="00DB5D0D">
        <w:rPr>
          <w:rFonts w:ascii="Times New Roman" w:hAnsi="Times New Roman"/>
          <w:color w:val="000000" w:themeColor="text1"/>
          <w:sz w:val="16"/>
          <w:szCs w:val="16"/>
        </w:rPr>
        <w:softHyphen/>
        <w:t>ство бомбосбрасывателей с пикирования в соотвегствш с программой самолетных заводов и немедленно подготовить развертывание производства вооружения на площадях завода КПГ.</w:t>
      </w:r>
    </w:p>
    <w:p w14:paraId="064A41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Обязать Наркомат Общего Машиностроения и Наркомат Среднего Мащиностроения перебросить с московских предприятий на завод № 32 и КПГ тысячу рабочих и ИТР по 500 чевовек от кождого наркомата в течение июня-июля месяцев.</w:t>
      </w:r>
    </w:p>
    <w:p w14:paraId="69B8A5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Обязать Наркомат Электростанций обеспечить эаводы № 32 и КПГ дополнительнфми фидерами и прокладку кабеля от Бутырской подстанции до 1 июля 1940 г.</w:t>
      </w:r>
    </w:p>
    <w:p w14:paraId="6BB220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Обязать Экономсовет при СНК Союза ССР:</w:t>
      </w:r>
    </w:p>
    <w:p w14:paraId="2BA7EB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выделить в течение июня месяца дополнительный целевой фонд сверх фондов НКАП на оборудование для заводов:</w:t>
      </w:r>
    </w:p>
    <w:p w14:paraId="64105D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32</w:t>
      </w:r>
      <w:r w:rsidRPr="00DB5D0D">
        <w:rPr>
          <w:rFonts w:ascii="Times New Roman" w:hAnsi="Times New Roman"/>
          <w:color w:val="000000" w:themeColor="text1"/>
          <w:sz w:val="16"/>
          <w:szCs w:val="16"/>
        </w:rPr>
        <w:tab/>
        <w:t>83 единицы</w:t>
      </w:r>
    </w:p>
    <w:p w14:paraId="62DCAD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КПГ</w:t>
      </w:r>
      <w:r w:rsidRPr="00DB5D0D">
        <w:rPr>
          <w:rFonts w:ascii="Times New Roman" w:hAnsi="Times New Roman"/>
          <w:color w:val="000000" w:themeColor="text1"/>
          <w:sz w:val="16"/>
          <w:szCs w:val="16"/>
        </w:rPr>
        <w:tab/>
        <w:t>105</w:t>
      </w:r>
    </w:p>
    <w:p w14:paraId="46F653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приложениям №№ 1 и 2).</w:t>
      </w:r>
    </w:p>
    <w:p w14:paraId="72FA40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выделитъ в июне месяце дополнительные фонды на основные строительные и производственные материалы (согласно приложнния № 3).</w:t>
      </w:r>
    </w:p>
    <w:p w14:paraId="057FFA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Обязать НКАП освободить к 1 сентября 1940 года производственные площади завода № 32, занимаемые древцехом завода № 1.</w:t>
      </w:r>
    </w:p>
    <w:p w14:paraId="19C611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Для расширения производственных мощностей завода № 32 обязать Председателя Моссовета - тов. Пронина:</w:t>
      </w:r>
    </w:p>
    <w:p w14:paraId="5EA777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выселить в двухмесячный срок лиц, проживающих в дереаянных жилых и нежилых строениях, непосрелственно примыкающих к производственным корпусам и территории завода № 32;</w:t>
      </w:r>
    </w:p>
    <w:p w14:paraId="59955A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построить заводу № 32 для рабочих, ИТР в 1940-1941 г..г. стандартный дом;</w:t>
      </w:r>
    </w:p>
    <w:p w14:paraId="51BC46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принять от завода № 32 строительство жилого дома по ул. Горького на участке домов 113-119, выделенныхх Моссоветом;</w:t>
      </w:r>
    </w:p>
    <w:p w14:paraId="3EF3CE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предоставить заводу № 32 участок по ул. Правда, № 13, ныне занимаемой складами завода, под жилстроительство завода</w:t>
      </w:r>
    </w:p>
    <w:p w14:paraId="2A49DE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разрешить заводу № 32 строительство гаража по ул. Правда, 12.</w:t>
      </w:r>
    </w:p>
    <w:p w14:paraId="6EE539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Выделить из резервного довда СНК СССР дополнительно целевым назначением Моссовету необходимые средства.</w:t>
      </w:r>
    </w:p>
    <w:p w14:paraId="6AE681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Отпустить Наркомавиапрому из резервного фонда СНК СССР в 1940 году для заводов № 32 и КПГ - 13 млн. рублей, в том числе:</w:t>
      </w:r>
    </w:p>
    <w:p w14:paraId="28114E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на постановку технологического процесс для пикирующего воружения </w:t>
      </w:r>
      <w:r w:rsidRPr="00DB5D0D">
        <w:rPr>
          <w:rFonts w:ascii="Times New Roman" w:hAnsi="Times New Roman"/>
          <w:color w:val="000000" w:themeColor="text1"/>
          <w:sz w:val="16"/>
          <w:szCs w:val="16"/>
        </w:rPr>
        <w:tab/>
        <w:t>4</w:t>
      </w:r>
    </w:p>
    <w:p w14:paraId="3AFDAC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расширение производственных площадей на заводах № 32 и КПГ</w:t>
      </w:r>
      <w:r w:rsidRPr="00DB5D0D">
        <w:rPr>
          <w:rFonts w:ascii="Times New Roman" w:hAnsi="Times New Roman"/>
          <w:color w:val="000000" w:themeColor="text1"/>
          <w:sz w:val="16"/>
          <w:szCs w:val="16"/>
        </w:rPr>
        <w:tab/>
        <w:t>3.0</w:t>
      </w:r>
    </w:p>
    <w:p w14:paraId="30DD79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приобретение оборудования</w:t>
      </w:r>
      <w:r w:rsidRPr="00DB5D0D">
        <w:rPr>
          <w:rFonts w:ascii="Times New Roman" w:hAnsi="Times New Roman"/>
          <w:color w:val="000000" w:themeColor="text1"/>
          <w:sz w:val="16"/>
          <w:szCs w:val="16"/>
        </w:rPr>
        <w:tab/>
        <w:t>3,0</w:t>
      </w:r>
    </w:p>
    <w:p w14:paraId="3B9457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на жилстроительство</w:t>
      </w:r>
      <w:r w:rsidRPr="00DB5D0D">
        <w:rPr>
          <w:rFonts w:ascii="Times New Roman" w:hAnsi="Times New Roman"/>
          <w:color w:val="000000" w:themeColor="text1"/>
          <w:sz w:val="16"/>
          <w:szCs w:val="16"/>
        </w:rPr>
        <w:tab/>
        <w:t>2,0</w:t>
      </w:r>
    </w:p>
    <w:p w14:paraId="44F15F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под отчет в распоряжение НКАП на премирование конструкторов и производственников завода № 32 и КПГ за освоение бомбосбрасывателей</w:t>
      </w:r>
      <w:r w:rsidRPr="00DB5D0D">
        <w:rPr>
          <w:rFonts w:ascii="Times New Roman" w:hAnsi="Times New Roman"/>
          <w:color w:val="000000" w:themeColor="text1"/>
          <w:sz w:val="16"/>
          <w:szCs w:val="16"/>
        </w:rPr>
        <w:tab/>
        <w:t>1 млн.руб.</w:t>
      </w:r>
    </w:p>
    <w:p w14:paraId="7AF4FF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Обязать Норкомат Черной Металлургии обеспечить полностью завлды № 32 и КПГ хромансилевыми трубами на всю программу для вооружения</w:t>
      </w:r>
    </w:p>
    <w:p w14:paraId="23F81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Экономическому Совету при СНК Собза ССР выделить необходи</w:t>
      </w:r>
      <w:r w:rsidRPr="00DB5D0D">
        <w:rPr>
          <w:rFonts w:ascii="Times New Roman" w:hAnsi="Times New Roman"/>
          <w:color w:val="000000" w:themeColor="text1"/>
          <w:sz w:val="16"/>
          <w:szCs w:val="16"/>
        </w:rPr>
        <w:softHyphen/>
        <w:t>мые материаяльные фонды для строительства жилых домо заводу № 22 и № 32 (10395).</w:t>
      </w:r>
    </w:p>
    <w:p w14:paraId="7F5D90C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876A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 вышло постановление Комитета Обороны, согласно которому авиазаводу № 22 поручалось до 15 августа текущего года изготовить и предъявить па испытания 3 эталонных экземпляра СБ-РК. На этих машинах реализовали ряд дополнительных изменений, которые окончательно определили лицо самолета. Основные отличия СБ-РК от самолетов СБ 201-й серии и его конструктивные особенности достойны более подробного описания. Обшивка верхней части центроплана между шпангоутами № 4 и № 8 выполнена из балинитовой фанеры, приклеиваемой клеем ВИАМ Б-3 к деревянным отъемным верхним частям 5, 6, и 7 шпангоутов Ф-2. Этот участок центроплана («горбушка») собирался отдельно и устанавливался в собранном виде. Под ним размещалась рамочная антенна приемника «Чайка». Передняя часть фюзеляжа Ф-1 новая, с увеличенным обзором летчику и штурману, с обеспечением непосредственной связи между ними (т.е. летчик и штурман могли обмениваться жестами или передавать что-либо друг другу). Летчик сдвинут влево для улучшения обзора вперед через остекление штурманской кабины при заходе па пикирование. его приборная доска в основном сгруппирована в правой части кабины. Фонарь л открывается назад с подъемом вверх. В кабине штурмана была значительно увеличена площадь остекления и установлено второе управление со складывающимся штурвалом. Для снижения скорости на пикировании. иод отъемными частями крыла располагались тормозные решетки из стальных труб овальной формы. При вводе в пикирование, после открытия командного крана, тормозные решетки отклонялись перпендикулярно ПОТОКУ. О выпуске решеток сигнализировали указатели («солдатики»), ноднимающи-еся из обшивки крыла между 10-й п 11-й нервюрами. Одновременно поднимались триммеры рулей высоты, отклоняя рули вниз. При нажатии кнопки сброса бомб или добавочной командной кнопки, триммеры возвращались в первоначальное положение. Винтомоторная группа была значительно изменена. Капоты «обжали» но двигателям, они приобрели более обтекаемую форму. На внутренней стороне капотов машин первых серий устанав-лив;1лись по два прибора контроля работы ВМГ. Носовая стрелковая установка типа «НУ» (в ряде документов называется НУ-ДБЗФ, т.к. разрабатывалась. прежде всего, для новой модификации ильюшинского бомбардировщика) имела один пулемет ШКАС с запасом патронов 500 шт. Пулемет ШКАС монтировался в специальной шаровой головке («яблоке»), позволяющем вести обстрел вперед в конусе 50 гр. Подача патронов осуществлялась по гибкому рукаву из патронного ящика на правом борту штурманской кабины (8286,27).</w:t>
      </w:r>
    </w:p>
    <w:p w14:paraId="3D1511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417F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вышло постановление КО N 240 "О переводе самолетов СБ на пикирующие бомбардировщики и внедрении пикирующего вооружения на эти бомбардировщики (1301,187) - от завода 22 требовалось переоборудовать до 1 октября 1940 под ПБ 165 СБ в частях + выпуск 525 c М-105 во втором полугодии на 22 заводе же (2706).</w:t>
      </w:r>
    </w:p>
    <w:p w14:paraId="27C6727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2285B8" w14:textId="77777777" w:rsidR="00A25AD1" w:rsidRPr="00DB5D0D" w:rsidRDefault="00A25AD1" w:rsidP="00DB5D0D">
      <w:pPr>
        <w:pStyle w:val="a3"/>
        <w:widowControl/>
        <w:rPr>
          <w:color w:val="000000" w:themeColor="text1"/>
          <w:lang w:val="ru-RU"/>
        </w:rPr>
      </w:pPr>
      <w:r w:rsidRPr="00DB5D0D">
        <w:rPr>
          <w:color w:val="000000" w:themeColor="text1"/>
          <w:lang w:val="ru-RU"/>
        </w:rPr>
        <w:t>1 июня 1940 года вышло постановление КО № 240сс, согласно которого завод № 22 должен был изготовить 3 эталонных экземпляра самолета Ар-2 к 15 августа 1940 года (4069,1-24).</w:t>
      </w:r>
    </w:p>
    <w:p w14:paraId="5E709DB0" w14:textId="77777777" w:rsidR="00A25AD1" w:rsidRPr="00DB5D0D" w:rsidRDefault="00A25AD1" w:rsidP="00DB5D0D">
      <w:pPr>
        <w:pStyle w:val="a3"/>
        <w:widowControl/>
        <w:rPr>
          <w:color w:val="000000" w:themeColor="text1"/>
          <w:lang w:val="ru-RU"/>
        </w:rPr>
      </w:pPr>
    </w:p>
    <w:p w14:paraId="215E4B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июня 1940 г. вышло Постановление КО № 240, которое обязывало 22-й завод к 1 сентября провести испытания трех самолетов СБ с моторами М-105ТК-2. Однако в связи с трудностями по доводке турбокомпрессоров ТК-2 в установленные сроки ими были оборудованы только два С Б 2М-105, из которых ни один не успел пройти заводских испытаний. Не была доведена "до ума" и установка ТК-2 на самолете СБ 2М-103, в СИЛУ чего последний не прошел заводские испытания. По этим </w:t>
      </w:r>
      <w:r w:rsidRPr="00DB5D0D">
        <w:rPr>
          <w:rFonts w:ascii="Times New Roman" w:hAnsi="Times New Roman"/>
          <w:color w:val="000000" w:themeColor="text1"/>
          <w:sz w:val="16"/>
          <w:szCs w:val="16"/>
        </w:rPr>
        <w:lastRenderedPageBreak/>
        <w:t>причинам планы ввода в строй высотных СБ с турбокомпрессорами были откорректированы. Согласно новым планам КБ А. А. Архангельского. ЦИАМ и завод № 22 обязывались к 10 октября 1940 г. "...провеет и заводские испытания двух СБ с моторами М-105ТК-2....один СБ 2М-105ТК-2 передать в НИИ ВВС КЛ для прои.зводства государственных испытаний и. не дожидаясь их окончания, изготовить 20 С Б 2М-105ТК-2 для проведения войсковых испытаний" и "...развернуть работы по доводке ТК на С Б 2 М-} 03" (9655).</w:t>
      </w:r>
    </w:p>
    <w:p w14:paraId="398225F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F759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 вышло Постановление КО при СНК СССР № 240, которым 22-му авиазаводу поручалось до 15 августа изготовить и предъявить на испытания 3 эталонных экземпляра самолета СБ-РК с улучшенной аэродинамикой. Требовалось ПОЛУЧИТЬ максимальную скорость "на границе высотности мотора 490 км/ч и запас прочности - 8.5".</w:t>
      </w:r>
    </w:p>
    <w:p w14:paraId="3C3A55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эталонных СБ-РК заменили "стандартную" НОСОВУЮ часть серийных СБ на более совершенную в аэродинамическом отношении НОСОВУЮ часть Ф-1. испытанную на самолете ММН. и установили уменьшенный по высоте новый выпуклый колпак фонаря кабины стрелка-радиста, так называемую "черепаху". Кроме этого, в конструкцию самолета был внесен и ряд других улучшений.</w:t>
      </w:r>
    </w:p>
    <w:p w14:paraId="24ECA9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Обшивка верхней части центроплана между 4-м и 8-м шпангоутами выполнялась из балинитовой фанеры, приклеиваемой клеем ВИАМ к деревянным отъемным частям 5-го, 6-го и 7-го шпангоутов.</w:t>
      </w:r>
    </w:p>
    <w:p w14:paraId="262482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Были внесены значительные изменения в винтомоторную группу. Установлены новые подмоторные рамы. "новые удобообтекаемые капоты на моторах". устанавливались "новые ребристо-трубчатые водорадиаторы...в крыле в спен,нальных тоннелях", "новая маслосистема, включающая по одному водомасляному и одному воздушно-масляному радиатору на каждый мотор", а также новые маслобаки и консольные бензобаки емкостью по 330 л. Использовались винты изменяемого в полете шага ВИШ-22Е диаметром 3 м.</w:t>
      </w:r>
    </w:p>
    <w:p w14:paraId="61B58B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Новая носовая часть обеспечивала улучшенные УСЛОВИЯ для работы штурмана и летчика с обеспечением непосредственной связи между ними. Площадь остекления штурманской кабины в сравнении с кабиной самолета VIMH была увеличена, и установлено второе управление со складывающимся штурвалом. При этом с целью улучшения обзора летчику через остекление кабины штурмана при заходе на посадку и на пикировании сиденье летчика было смещено влево, а приборная доска - вправо.</w:t>
      </w:r>
    </w:p>
    <w:p w14:paraId="0CC3DB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Прицеливание при бомбометании с горизонтального полета обеспечивалось прицелами НКПБ-3 (для бомбометания ночью и с малых высот) и прицелом ОПБ-1М. установленными в кабине v штурмана.</w:t>
      </w:r>
    </w:p>
    <w:p w14:paraId="50BE2B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наводки на цель при бомбометании с пикирования v летчика имелся прицел ПБП-1. На приборной доске летчика устанавливался пикирующий авиагоризонт и сигнализатор перегрузки.</w:t>
      </w:r>
    </w:p>
    <w:p w14:paraId="2A9852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были установлены тормозные решетки под плоскостями с гидравлическим управлением от летчика по ТИПУ самолета Ju88, а также автомат вывода из пикирования, действующий автоматически при сбрасывании бомб. При вводе в пикирование, после открытия командного крана, тормозные решетки открывались перпендикуляр но потоку. О выпуске решеток сигнанализировали механические указатели, так называемые "солдатики", которые поднимались из обшивки между 10-й и 11-й нервюрами. Одновременно под нимались триммеры рулей высоты, от клоняя последние вниз. При нажатии кнопки сброса бомб или дополнительной командной кнопки триммеры возвращались в исходное положение.</w:t>
      </w:r>
    </w:p>
    <w:p w14:paraId="30B21E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Оборонительное стрелковое воору жение самолета включало три пулемета ШКАС: один с механическим при целом в носовой шаровой установке (по типу НУ-ДБ-3ф) с боезапасом 500 пат ронов v штурмана, один с коллиматорным прицелом К-8Т в верхней задней стрелковой установке ТСС-1 (1000 патронов) и один с прицелом ОП-2Л на нижней убирающейся внутрь фюзеляжа турели МВ-2 с боезапасом 600 пат-бомб.</w:t>
      </w:r>
    </w:p>
    <w:p w14:paraId="3C3A64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установка штурмана позволяла вести огонь в конусе 50", установка ТСС-1 - на 90° влево и вправо, на 60гр вверх и на 30° вниз, нижняя установка МВ-2 - на 30" влево и вправо и от 4-5 до 55" вниз.</w:t>
      </w:r>
    </w:p>
    <w:p w14:paraId="2739E8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Турель ТСС-1 представляла собой полукольцо, по которому передвигалась каретка с головкой пулемета. В походном положении пулемет располагался на левом оорту, для этого в экране ТСС-1 был сделан небольшой вырез. При необходимости стрельбы прозрачным экран турели сдвигался по рельсам назад и приподнимался немного вверх, защищая стрелка от набегающего ВОЗДУШНОГО потока.</w:t>
      </w:r>
    </w:p>
    <w:p w14:paraId="739E78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самолета имело ряд улучшении по сравнению с серийным СБ, в частности была увеличена возможность подвески бомб крупного калибра: при бомбометании с пикирования - до 4 ФАБ-250 (две на наружных держателях и две на внутренних) или 3 бомб типа ФАБ-500 (две снаружи и одна внутри), а при бомбометании с горизонтального полета - до 3 ФАБ-500 или 6 бомб ФАБ-250 (четыре снаружи и две внутри) или 12 бомб калибра 100 кг (4 снаружи и 8 внутри).</w:t>
      </w:r>
    </w:p>
    <w:p w14:paraId="218A44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Нормальная бомбовая нагрузка была увеличена до 1000 кг, а максимальная в перегрузку - до 1500 кг. Особо отметим, что система бомбового вооружения обеспечивала сброс 1500 кг бомб как с горизонтального полета, так и с пикирования. На пикировании бомбы сбрасывались как с бомбодержателей внутри фюзеляжа, так и с 4-х наружных полностью утопленных в крыло держателей типа НП-1 конструкции завода № 22. На держателях НП-1 бомбы крепились вблизи центра тяжести за один центральный бугель и фиксировались при помощи дополнительных упоров.</w:t>
      </w:r>
    </w:p>
    <w:p w14:paraId="506AF1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Химическое вооружение самолета включало два выливных авиаприбора типа ВАП-500 (всего 1000 кг) и два универсальных химических авиаприбора типа УХАП-500 (всего 100 кг) только на внешних подвесках. ВАП и УХАП обеспечивали применение стоявших на вооружении ВВС КА всех типов отравляющих веществ, зажигательных и дымообразующих смесей (9655).</w:t>
      </w:r>
    </w:p>
    <w:p w14:paraId="31BD9A7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DB07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 в соответствии с постановлением КО при СНК СССР № 240 авиазаводу № 22 поручалось до 15 августа изготовить и предъявить на испытания три эталонных экземпляра самолета СБ-РК с улучшенной аэродинамикой. Требовалось получить максимальную скорость "на границе высотности мотора 490 км/ч и запас прочности - 8,5". На эталонных СБ-РК заменили стандартную носовую часть СБ более совершенной в аэродинамическом отношении носовой частью Ф-l, испытанной на самолете ММН, и установили уменьшенный по высоте новый выпуклый колпак фонаря кабины стрелка-радиста, так называемую "черепаху". Кроме этого, в конструкцию самолета внесли и ряд других улучшений.</w:t>
      </w:r>
    </w:p>
    <w:p w14:paraId="5AAECA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самолета заметно усилили по сравнению с серийным СБ. В частности, стала возможной подвеска бомб крупного калибра: при бомбометании с пикирования - до четырех ФАБ-250 (две на наружных держателях и две на внутренних) или трех бомб ФАБ-500 (две снаружи и одна внутри), а при бомбометании с горизонтального полета - до трех ФАБ-500 или шести бомб ФАБ-250 (четыре снаружи и две внутри). Нормальная бомбовая нагрузка была увеличена до 1000 кг, а максимальная в перегрузку - до 1500 кг. Особо отметим, что система бомбового вооружения обеспечивала сброс 1500 кг бомб как с горизонтального полета, так и с пикирования.</w:t>
      </w:r>
    </w:p>
    <w:p w14:paraId="7EA8B2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Государственные испытания опытного СБ-РК - эталона для серии - завершились в январе 1941 г. Ведущим инженером по испытаниям был военинженер 1-го ранга М.И. Ефимов, летали летчики-испытатели майор В.И. Жданов и капитан A.M. Хрипков. В декабре приказом по НКАП № 704 от9декабря 1940 г. опытный СБ-РК переименовали в Ар-2. В ходе испытаний при нормальной полетной массе 6600 кг самолет достиг максимальной скорости 475 км/ч на высоте 4700 м. Время набора высоты 5000 м составило 7,1 мин. Техническая дальность полета с внутренней подвеской двух ФАБ-250 на высоте 5000 м при скорости 390 км/ч равнялась 990 км.</w:t>
      </w:r>
    </w:p>
    <w:p w14:paraId="28D7F0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все время госиспытаний было произведено 25 пикирований под углами от 40° до 75° с убранными и выпущенными тормозными решетками для снятия характеристик пикирования самолета. Кроме того, производилось пикирование на цель с реальным бомбометанием корпусами боевых бомб. Скорость ввода в пикирование равнялась 275-295 км/ч, начальная высота ввода - 4000 м, скорость начала вывода из пикирования 550 км/ч, перегрузка на выводе в среднем составляла 4,5 единицы.</w:t>
      </w:r>
    </w:p>
    <w:p w14:paraId="7F310C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отчета по государственным испытаниям самолета отмечалось, что: "Самолет Ар-2, изготовленный на базе самолета СБ, по своим летно-тактическим данным значительно лучше серийного самолета СБ, но по скорости отстает от современных иностранных и отечественных двухмоторных средних бомбардировщиков... Летные свойства самолета Ар-2 аналогичны самолету СБ, а управление самолетом даже более легкое. По управляемости и обзору для летчика самолет удобен для пилотирования в строю... Самолет Ар-2 может быть допущен к эксплуатации в частях ВВС Красной Армии при условии ограниченного использования мощности моторов М-105" (12042).</w:t>
      </w:r>
    </w:p>
    <w:p w14:paraId="17BE389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78D79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1 июня 1941 г. в частях ВВС было 99 самолетов СБ с моторами М-105. Часть СБ с М-105 выпускалась в пикирующем варианте (9655).</w:t>
      </w:r>
    </w:p>
    <w:p w14:paraId="0981E1F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C6FE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Машкевич подготовил справку для Зам. Нач. 11 ГУ НКАП С.Н.Шишкина По проекту самолета СДБ-18 конструкции Золотухина - завод 18 (2054,3).</w:t>
      </w:r>
    </w:p>
    <w:p w14:paraId="2B24F7E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4851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А.И.Ш. писал секр. КО Сафонову письмо N 2422 о самолете ББ-22 с 2М-103 в ответ на просьбу дать заключение по самолету от 21 мая 1940 (1165).</w:t>
      </w:r>
    </w:p>
    <w:p w14:paraId="2568DF5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4D32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были прерваны заводские испытания ДБ-240 2М-105, которые начались 15 мая. Машина по указанию И.В.С. была передана для подготовки перелета на 4000 км (2090,147).</w:t>
      </w:r>
    </w:p>
    <w:p w14:paraId="03A571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заводские испытания ДБ-240 2М-105 закончились только 27 сентября 1940 (2090,232).</w:t>
      </w:r>
    </w:p>
    <w:p w14:paraId="7CF38ED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6BC5A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Гл. Контролер КО при СНК Новиков получил письмо N 958с от Зам. Нач. 11 ГУ Шишкина:</w:t>
      </w:r>
    </w:p>
    <w:p w14:paraId="22EE6C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Вашего запроса направляю справки о состоянии работ по опытным самолетам И-282, И-21, И-207, И-185, ЭОИ и И-135" (2090,97).</w:t>
      </w:r>
    </w:p>
    <w:p w14:paraId="2FB799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Приложение: Упомянутое на 12 листах</w:t>
      </w:r>
    </w:p>
    <w:p w14:paraId="3179C6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была подготовлена:</w:t>
      </w:r>
    </w:p>
    <w:p w14:paraId="27D140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на 1 июня 1940 по самолету И-282 (модификация И-28) с мотором М-90 на заводе 292":</w:t>
      </w:r>
    </w:p>
    <w:p w14:paraId="219D7B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И-282 представляет модификацию самолета И-28, отличаясь от него в основном, установкой мотора.</w:t>
      </w:r>
    </w:p>
    <w:p w14:paraId="31A73F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Вследствие установки на самолете другого мотора изменяется конструкция ВМГ и передняя сварная часть фюзеляжа.</w:t>
      </w:r>
    </w:p>
    <w:p w14:paraId="7832A7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выполнения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55A21B2C" w14:textId="77777777" w:rsidTr="009223E5">
        <w:tc>
          <w:tcPr>
            <w:tcW w:w="2299" w:type="dxa"/>
            <w:tcBorders>
              <w:top w:val="single" w:sz="12" w:space="0" w:color="auto"/>
            </w:tcBorders>
          </w:tcPr>
          <w:p w14:paraId="4A5E777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2518FF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1</w:t>
            </w:r>
          </w:p>
        </w:tc>
        <w:tc>
          <w:tcPr>
            <w:tcW w:w="2299" w:type="dxa"/>
            <w:tcBorders>
              <w:top w:val="single" w:sz="12" w:space="0" w:color="auto"/>
            </w:tcBorders>
          </w:tcPr>
          <w:p w14:paraId="4B161A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2</w:t>
            </w:r>
          </w:p>
        </w:tc>
        <w:tc>
          <w:tcPr>
            <w:tcW w:w="2299" w:type="dxa"/>
            <w:tcBorders>
              <w:top w:val="single" w:sz="12" w:space="0" w:color="auto"/>
            </w:tcBorders>
          </w:tcPr>
          <w:p w14:paraId="2A0CC5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w:t>
            </w:r>
          </w:p>
        </w:tc>
        <w:tc>
          <w:tcPr>
            <w:tcW w:w="2299" w:type="dxa"/>
            <w:tcBorders>
              <w:top w:val="single" w:sz="12" w:space="0" w:color="auto"/>
            </w:tcBorders>
          </w:tcPr>
          <w:p w14:paraId="46EEE3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 гос.</w:t>
            </w:r>
          </w:p>
        </w:tc>
      </w:tr>
      <w:tr w:rsidR="007D5DF8" w:rsidRPr="00DB5D0D" w14:paraId="0ABBD703" w14:textId="77777777" w:rsidTr="009223E5">
        <w:tc>
          <w:tcPr>
            <w:tcW w:w="2299" w:type="dxa"/>
          </w:tcPr>
          <w:p w14:paraId="46F95C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w:t>
            </w:r>
          </w:p>
        </w:tc>
        <w:tc>
          <w:tcPr>
            <w:tcW w:w="2299" w:type="dxa"/>
          </w:tcPr>
          <w:p w14:paraId="6757A0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07.40</w:t>
            </w:r>
          </w:p>
        </w:tc>
        <w:tc>
          <w:tcPr>
            <w:tcW w:w="2299" w:type="dxa"/>
          </w:tcPr>
          <w:p w14:paraId="27C307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01.10.40</w:t>
            </w:r>
          </w:p>
        </w:tc>
        <w:tc>
          <w:tcPr>
            <w:tcW w:w="2299" w:type="dxa"/>
          </w:tcPr>
          <w:p w14:paraId="000052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01.12.40</w:t>
            </w:r>
          </w:p>
        </w:tc>
        <w:tc>
          <w:tcPr>
            <w:tcW w:w="2299" w:type="dxa"/>
          </w:tcPr>
          <w:p w14:paraId="275BE0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02.41</w:t>
            </w:r>
          </w:p>
        </w:tc>
      </w:tr>
      <w:tr w:rsidR="007D5DF8" w:rsidRPr="00DB5D0D" w14:paraId="7D1D1511" w14:textId="77777777" w:rsidTr="009223E5">
        <w:tc>
          <w:tcPr>
            <w:tcW w:w="2299" w:type="dxa"/>
            <w:tcBorders>
              <w:bottom w:val="single" w:sz="12" w:space="0" w:color="auto"/>
            </w:tcBorders>
          </w:tcPr>
          <w:p w14:paraId="633453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w:t>
            </w:r>
          </w:p>
        </w:tc>
        <w:tc>
          <w:tcPr>
            <w:tcW w:w="2299" w:type="dxa"/>
            <w:tcBorders>
              <w:bottom w:val="single" w:sz="12" w:space="0" w:color="auto"/>
            </w:tcBorders>
          </w:tcPr>
          <w:p w14:paraId="696D6A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07.40</w:t>
            </w:r>
          </w:p>
        </w:tc>
        <w:tc>
          <w:tcPr>
            <w:tcW w:w="2299" w:type="dxa"/>
            <w:tcBorders>
              <w:bottom w:val="single" w:sz="12" w:space="0" w:color="auto"/>
            </w:tcBorders>
          </w:tcPr>
          <w:p w14:paraId="25A31C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15.10.40</w:t>
            </w:r>
          </w:p>
        </w:tc>
        <w:tc>
          <w:tcPr>
            <w:tcW w:w="2299" w:type="dxa"/>
            <w:tcBorders>
              <w:bottom w:val="single" w:sz="12" w:space="0" w:color="auto"/>
            </w:tcBorders>
          </w:tcPr>
          <w:p w14:paraId="7D950B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15.12.40</w:t>
            </w:r>
          </w:p>
        </w:tc>
        <w:tc>
          <w:tcPr>
            <w:tcW w:w="2299" w:type="dxa"/>
            <w:tcBorders>
              <w:bottom w:val="single" w:sz="12" w:space="0" w:color="auto"/>
            </w:tcBorders>
          </w:tcPr>
          <w:p w14:paraId="59E68F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02.41</w:t>
            </w:r>
          </w:p>
        </w:tc>
      </w:tr>
    </w:tbl>
    <w:p w14:paraId="5FBE24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1C7864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Разработан эскизный проект. НИИ ГУАС КА рассмотрел его, но не утвердил, указав на необходимость разработать меры по улучшению конструкции модификации в соответствии с заключениями, сделанными в отчете по гос. испытаниям.</w:t>
      </w:r>
    </w:p>
    <w:p w14:paraId="51A9D6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Проведены продувки модели в ЦАГИ</w:t>
      </w:r>
    </w:p>
    <w:p w14:paraId="7B9490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разработаны чертежи самолета, готовность 25%</w:t>
      </w:r>
    </w:p>
    <w:p w14:paraId="0D88D9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течение апреля-мая работы не велись, т.к. часть конструкторов была занята работами по серийному производству, а остальные не смогли продолжать работу до перевода КБ с завода 81 на завод 292 ввиду необходимости развертывания работ на плазах.</w:t>
      </w:r>
    </w:p>
    <w:p w14:paraId="560037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причиной, задерживающей выполнение работ, является неорганизованность опытной базы на заводе 292 и разделение состава КБ по двум заводам." (2090,97).</w:t>
      </w:r>
    </w:p>
    <w:p w14:paraId="6153F9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была подготовлена:</w:t>
      </w:r>
    </w:p>
    <w:p w14:paraId="6D8CE6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на 1 июня 1940 опытного самолета И-21 конструкции т. Пашинина на заводе 21":</w:t>
      </w:r>
    </w:p>
    <w:p w14:paraId="516B4B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И-21 свободнонесущий низкоплан смешанной конструкции.</w:t>
      </w:r>
    </w:p>
    <w:p w14:paraId="1C3E09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 одноместный истребитель</w:t>
      </w:r>
    </w:p>
    <w:p w14:paraId="12F41D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первый экз. установлен мотор М-105П. На втором экз. предусматривается установка мотора М-107.</w:t>
      </w:r>
    </w:p>
    <w:p w14:paraId="3A2842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в передней части имеет каркас из стальных труб и дюралевую обшивку. Хвостовая часть - деревянный монокок. Крыло двухлонжеронное. Центроплан цельнометаллический: трубчатые стальные лонжероны и дюралевая обшивка. Консоль имеет стальные лонжероны, деревянные нервюры и фанерную обшивку. Оперение металлическое. Шасси одностоечное, убирающееся.</w:t>
      </w:r>
    </w:p>
    <w:p w14:paraId="359499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пушка 23 мм через винт и 2хШКАС</w:t>
      </w:r>
    </w:p>
    <w:p w14:paraId="20D9A1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окончания этапов, утвержденные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15FF9B66" w14:textId="77777777" w:rsidTr="009223E5">
        <w:tc>
          <w:tcPr>
            <w:tcW w:w="2299" w:type="dxa"/>
            <w:tcBorders>
              <w:top w:val="single" w:sz="12" w:space="0" w:color="auto"/>
            </w:tcBorders>
          </w:tcPr>
          <w:p w14:paraId="58090ED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6E8A4F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1</w:t>
            </w:r>
          </w:p>
        </w:tc>
        <w:tc>
          <w:tcPr>
            <w:tcW w:w="2299" w:type="dxa"/>
            <w:tcBorders>
              <w:top w:val="single" w:sz="12" w:space="0" w:color="auto"/>
            </w:tcBorders>
          </w:tcPr>
          <w:p w14:paraId="4B0976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2</w:t>
            </w:r>
          </w:p>
        </w:tc>
        <w:tc>
          <w:tcPr>
            <w:tcW w:w="2299" w:type="dxa"/>
            <w:tcBorders>
              <w:top w:val="single" w:sz="12" w:space="0" w:color="auto"/>
            </w:tcBorders>
          </w:tcPr>
          <w:p w14:paraId="452184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w:t>
            </w:r>
          </w:p>
        </w:tc>
        <w:tc>
          <w:tcPr>
            <w:tcW w:w="2299" w:type="dxa"/>
            <w:tcBorders>
              <w:top w:val="single" w:sz="12" w:space="0" w:color="auto"/>
            </w:tcBorders>
          </w:tcPr>
          <w:p w14:paraId="31DD68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 гос.</w:t>
            </w:r>
          </w:p>
        </w:tc>
      </w:tr>
      <w:tr w:rsidR="007D5DF8" w:rsidRPr="00DB5D0D" w14:paraId="59D93352" w14:textId="77777777" w:rsidTr="009223E5">
        <w:tc>
          <w:tcPr>
            <w:tcW w:w="2299" w:type="dxa"/>
          </w:tcPr>
          <w:p w14:paraId="09F94C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w:t>
            </w:r>
          </w:p>
        </w:tc>
        <w:tc>
          <w:tcPr>
            <w:tcW w:w="2299" w:type="dxa"/>
          </w:tcPr>
          <w:p w14:paraId="3C044F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05.40</w:t>
            </w:r>
          </w:p>
        </w:tc>
        <w:tc>
          <w:tcPr>
            <w:tcW w:w="2299" w:type="dxa"/>
          </w:tcPr>
          <w:p w14:paraId="0C794A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15.07.40</w:t>
            </w:r>
          </w:p>
        </w:tc>
        <w:tc>
          <w:tcPr>
            <w:tcW w:w="2299" w:type="dxa"/>
          </w:tcPr>
          <w:p w14:paraId="243748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2299" w:type="dxa"/>
          </w:tcPr>
          <w:p w14:paraId="77ECFE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w:t>
            </w:r>
          </w:p>
        </w:tc>
      </w:tr>
      <w:tr w:rsidR="007D5DF8" w:rsidRPr="00DB5D0D" w14:paraId="0AAADFB7" w14:textId="77777777" w:rsidTr="009223E5">
        <w:tc>
          <w:tcPr>
            <w:tcW w:w="2299" w:type="dxa"/>
            <w:tcBorders>
              <w:bottom w:val="single" w:sz="12" w:space="0" w:color="auto"/>
            </w:tcBorders>
          </w:tcPr>
          <w:p w14:paraId="7C92AB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w:t>
            </w:r>
          </w:p>
        </w:tc>
        <w:tc>
          <w:tcPr>
            <w:tcW w:w="2299" w:type="dxa"/>
            <w:tcBorders>
              <w:bottom w:val="single" w:sz="12" w:space="0" w:color="auto"/>
            </w:tcBorders>
          </w:tcPr>
          <w:p w14:paraId="21BFB3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06.40</w:t>
            </w:r>
          </w:p>
        </w:tc>
        <w:tc>
          <w:tcPr>
            <w:tcW w:w="2299" w:type="dxa"/>
            <w:tcBorders>
              <w:bottom w:val="single" w:sz="12" w:space="0" w:color="auto"/>
            </w:tcBorders>
          </w:tcPr>
          <w:p w14:paraId="5247B1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01.09.40</w:t>
            </w:r>
          </w:p>
        </w:tc>
        <w:tc>
          <w:tcPr>
            <w:tcW w:w="2299" w:type="dxa"/>
            <w:tcBorders>
              <w:bottom w:val="single" w:sz="12" w:space="0" w:color="auto"/>
            </w:tcBorders>
          </w:tcPr>
          <w:p w14:paraId="23739A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01.11.40</w:t>
            </w:r>
          </w:p>
        </w:tc>
        <w:tc>
          <w:tcPr>
            <w:tcW w:w="2299" w:type="dxa"/>
            <w:tcBorders>
              <w:bottom w:val="single" w:sz="12" w:space="0" w:color="auto"/>
            </w:tcBorders>
          </w:tcPr>
          <w:p w14:paraId="24EBF1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01.41</w:t>
            </w:r>
          </w:p>
        </w:tc>
      </w:tr>
    </w:tbl>
    <w:p w14:paraId="585531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20 мая по первому экз. рабочие чертежи изготовлены и сданы в производство на 100%</w:t>
      </w:r>
    </w:p>
    <w:p w14:paraId="5769C8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агрегаты изготовлены и состыкованы. На самолете ведутся монтажные и общесборочные работы.</w:t>
      </w:r>
    </w:p>
    <w:p w14:paraId="10499A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монтаж ВМГ задерживается отсутствием водорадиатора, изготовляемого 34 заводом.</w:t>
      </w:r>
    </w:p>
    <w:p w14:paraId="72B3FA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28 задерживает ВИШ-61, проходящий заводские испытания.</w:t>
      </w:r>
    </w:p>
    <w:p w14:paraId="7DAEAD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Заводам 34 и 28 даны указания о форсировании работ (2090,100).</w:t>
      </w:r>
    </w:p>
    <w:p w14:paraId="314383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была подготовлена:</w:t>
      </w:r>
    </w:p>
    <w:p w14:paraId="060C81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на 1 июня опытного самолета И-207/4 конструкции Боровкова и Флорова на заводе 207":</w:t>
      </w:r>
    </w:p>
    <w:p w14:paraId="28BE08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представляет собой свободнонесущий биплан с малыми габаритами. Размах коробки - 7 м.</w:t>
      </w:r>
    </w:p>
    <w:p w14:paraId="1D67BA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безлонжеронное, моноблочное, дюралевое, клепаное, с жесткой несущей работающей обшивкой. Обшивка подкреплена гофром. Центральная клетка фюзеляжа состоит из стальных термически обработанных труб, со штампованными узлами, соединенными на болтах. К клетке стыкуется деревянный, выклеенный из шпона хвостовой кок.</w:t>
      </w:r>
    </w:p>
    <w:p w14:paraId="2F5DC4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Дюралевая окантовка клетки - смешанная, что дает легкий доступ ко всеми, расположенным внутри фюзеляжа агрегатам.</w:t>
      </w:r>
    </w:p>
    <w:p w14:paraId="3B59D3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стабилизатора аналогична конструкции крыльев. Киль каркасный, с жесткой обшивкой. Рудли - дюралевые, с полотняной обшивкой. шасси - убирающееся в полете. Костыльное колесо - не убирающееся, заключено в обтекатель.</w:t>
      </w:r>
    </w:p>
    <w:p w14:paraId="00204A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1хБС с 200 и 2хШКАС/с 750.</w:t>
      </w:r>
    </w:p>
    <w:p w14:paraId="71CE4C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установлен М-63 с трехлопастным винтом ВИШ-21К.</w:t>
      </w:r>
    </w:p>
    <w:p w14:paraId="125D7C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27793B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изготовлены полностью и сданы в производство.</w:t>
      </w:r>
    </w:p>
    <w:p w14:paraId="70E1FD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 по производству - неудовлетворительное.</w:t>
      </w:r>
    </w:p>
    <w:p w14:paraId="28C44B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до сих пор не развернул работу по составленному графику.</w:t>
      </w:r>
    </w:p>
    <w:p w14:paraId="0D873A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окончания работ по этапам: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2429789D" w14:textId="77777777" w:rsidTr="009223E5">
        <w:tc>
          <w:tcPr>
            <w:tcW w:w="2299" w:type="dxa"/>
            <w:tcBorders>
              <w:top w:val="single" w:sz="12" w:space="0" w:color="auto"/>
            </w:tcBorders>
          </w:tcPr>
          <w:p w14:paraId="17E5BE8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63CC09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1</w:t>
            </w:r>
          </w:p>
        </w:tc>
        <w:tc>
          <w:tcPr>
            <w:tcW w:w="2299" w:type="dxa"/>
            <w:tcBorders>
              <w:top w:val="single" w:sz="12" w:space="0" w:color="auto"/>
            </w:tcBorders>
          </w:tcPr>
          <w:p w14:paraId="258806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2</w:t>
            </w:r>
          </w:p>
        </w:tc>
        <w:tc>
          <w:tcPr>
            <w:tcW w:w="2299" w:type="dxa"/>
            <w:tcBorders>
              <w:top w:val="single" w:sz="12" w:space="0" w:color="auto"/>
            </w:tcBorders>
          </w:tcPr>
          <w:p w14:paraId="6E6EDE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w:t>
            </w:r>
          </w:p>
        </w:tc>
        <w:tc>
          <w:tcPr>
            <w:tcW w:w="2299" w:type="dxa"/>
            <w:tcBorders>
              <w:top w:val="single" w:sz="12" w:space="0" w:color="auto"/>
            </w:tcBorders>
          </w:tcPr>
          <w:p w14:paraId="2E5F96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 гос.</w:t>
            </w:r>
          </w:p>
        </w:tc>
      </w:tr>
      <w:tr w:rsidR="007D5DF8" w:rsidRPr="00DB5D0D" w14:paraId="0B7B7711" w14:textId="77777777" w:rsidTr="009223E5">
        <w:tc>
          <w:tcPr>
            <w:tcW w:w="2299" w:type="dxa"/>
            <w:tcBorders>
              <w:bottom w:val="single" w:sz="12" w:space="0" w:color="auto"/>
            </w:tcBorders>
          </w:tcPr>
          <w:p w14:paraId="6604EA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w:t>
            </w:r>
          </w:p>
        </w:tc>
        <w:tc>
          <w:tcPr>
            <w:tcW w:w="2299" w:type="dxa"/>
            <w:tcBorders>
              <w:bottom w:val="single" w:sz="12" w:space="0" w:color="auto"/>
            </w:tcBorders>
          </w:tcPr>
          <w:p w14:paraId="65AD33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04.40</w:t>
            </w:r>
          </w:p>
        </w:tc>
        <w:tc>
          <w:tcPr>
            <w:tcW w:w="2299" w:type="dxa"/>
            <w:tcBorders>
              <w:bottom w:val="single" w:sz="12" w:space="0" w:color="auto"/>
            </w:tcBorders>
          </w:tcPr>
          <w:p w14:paraId="409D27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2299" w:type="dxa"/>
            <w:tcBorders>
              <w:bottom w:val="single" w:sz="12" w:space="0" w:color="auto"/>
            </w:tcBorders>
          </w:tcPr>
          <w:p w14:paraId="67FDE1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2299" w:type="dxa"/>
            <w:tcBorders>
              <w:bottom w:val="single" w:sz="12" w:space="0" w:color="auto"/>
            </w:tcBorders>
          </w:tcPr>
          <w:p w14:paraId="11C69C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15.11.40</w:t>
            </w:r>
          </w:p>
        </w:tc>
      </w:tr>
    </w:tbl>
    <w:p w14:paraId="1A9378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Готовность самолета на производстве ориентировочно равна 35%&amp;</w:t>
      </w:r>
    </w:p>
    <w:p w14:paraId="26930D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трудности, испытываемые ОКБ, заключаются в отсутствии опытного цеха.</w:t>
      </w:r>
    </w:p>
    <w:p w14:paraId="7272A1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ускорения постройки самолета намечено передать в распоряжение Боровкова цех N 2 завода для организации опытного цеха.</w:t>
      </w:r>
    </w:p>
    <w:p w14:paraId="32AAE4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Директору завода т. Горину предложено развернуть работы в соответствии с графиком." (2090,101).</w:t>
      </w:r>
    </w:p>
    <w:p w14:paraId="610148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была подготовлена:</w:t>
      </w:r>
    </w:p>
    <w:p w14:paraId="094C02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на 1 июня по опытному самолету И-185 конструкции Н.Н.П. на заводе 1":</w:t>
      </w:r>
    </w:p>
    <w:p w14:paraId="440DD8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И-185 М-90 представлет собой одноместный, одномоторный истребитель - моноплан с нижнерасположенным крылом, с убирающимся шасси и костыльным колесом.</w:t>
      </w:r>
    </w:p>
    <w:p w14:paraId="62468D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самолета - смешанная.</w:t>
      </w:r>
    </w:p>
    <w:p w14:paraId="479F01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и хвостовое оперение цельнометаллические, со стальными несущими элементами и дюралевой обшивкой. Органы управления обтянуты полотном.</w:t>
      </w:r>
    </w:p>
    <w:p w14:paraId="3A0844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 деревянный монокок, плавно переходящий на киль, составляющий с фюзеляжем единое целое.</w:t>
      </w:r>
    </w:p>
    <w:p w14:paraId="6A2CDF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убирающееся, консольное одностоечное.</w:t>
      </w:r>
    </w:p>
    <w:p w14:paraId="568121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Баки - сварные из алюминиевого сплава.</w:t>
      </w:r>
    </w:p>
    <w:p w14:paraId="32E02F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 пилота - закрытая. Козырек и фонарь из плексигласа. Фонарь откатывается назад передвижением трех роликов по направляющим.</w:t>
      </w:r>
    </w:p>
    <w:p w14:paraId="5D9786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состоит из 2 крупнокалиберных пулеметов Березина и 2 ШКАС. Все пулеметы расположены сверху - непосредственно около прицела. Помимо этого имеется бомбардировочное вооружение, принятое на истребителях.</w:t>
      </w:r>
    </w:p>
    <w:p w14:paraId="191A1A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данном самолете впервые в СССР разработаны и введены в конструкцию ряд новых идей: капот мотора с центральным входом для воздуха, охлаждающего мотор, охлаждение мотора при взлете и на земле с помощью специального вентилятора.</w:t>
      </w:r>
    </w:p>
    <w:p w14:paraId="197B09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строится в 5 экз. В постройке опытных экз. принимают участие серийные цеха завода 1.</w:t>
      </w:r>
    </w:p>
    <w:p w14:paraId="202FA8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окончания работ по этапам: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33C2EF40" w14:textId="77777777" w:rsidTr="009223E5">
        <w:tc>
          <w:tcPr>
            <w:tcW w:w="2299" w:type="dxa"/>
            <w:tcBorders>
              <w:top w:val="single" w:sz="12" w:space="0" w:color="auto"/>
            </w:tcBorders>
          </w:tcPr>
          <w:p w14:paraId="5F57E25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499229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1</w:t>
            </w:r>
          </w:p>
        </w:tc>
        <w:tc>
          <w:tcPr>
            <w:tcW w:w="2299" w:type="dxa"/>
            <w:tcBorders>
              <w:top w:val="single" w:sz="12" w:space="0" w:color="auto"/>
            </w:tcBorders>
          </w:tcPr>
          <w:p w14:paraId="0750BD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2</w:t>
            </w:r>
          </w:p>
        </w:tc>
        <w:tc>
          <w:tcPr>
            <w:tcW w:w="2299" w:type="dxa"/>
            <w:tcBorders>
              <w:top w:val="single" w:sz="12" w:space="0" w:color="auto"/>
            </w:tcBorders>
          </w:tcPr>
          <w:p w14:paraId="3F8EF2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w:t>
            </w:r>
          </w:p>
        </w:tc>
        <w:tc>
          <w:tcPr>
            <w:tcW w:w="2299" w:type="dxa"/>
            <w:tcBorders>
              <w:top w:val="single" w:sz="12" w:space="0" w:color="auto"/>
            </w:tcBorders>
          </w:tcPr>
          <w:p w14:paraId="69FD41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 гос.</w:t>
            </w:r>
          </w:p>
        </w:tc>
      </w:tr>
      <w:tr w:rsidR="007D5DF8" w:rsidRPr="00DB5D0D" w14:paraId="7EF53739" w14:textId="77777777" w:rsidTr="009223E5">
        <w:tc>
          <w:tcPr>
            <w:tcW w:w="2299" w:type="dxa"/>
          </w:tcPr>
          <w:p w14:paraId="586134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w:t>
            </w:r>
          </w:p>
        </w:tc>
        <w:tc>
          <w:tcPr>
            <w:tcW w:w="2299" w:type="dxa"/>
          </w:tcPr>
          <w:p w14:paraId="2419B3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04.40</w:t>
            </w:r>
          </w:p>
        </w:tc>
        <w:tc>
          <w:tcPr>
            <w:tcW w:w="2299" w:type="dxa"/>
          </w:tcPr>
          <w:p w14:paraId="090AE3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2299" w:type="dxa"/>
          </w:tcPr>
          <w:p w14:paraId="01BBCC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01.09.40</w:t>
            </w:r>
          </w:p>
        </w:tc>
        <w:tc>
          <w:tcPr>
            <w:tcW w:w="2299" w:type="dxa"/>
          </w:tcPr>
          <w:p w14:paraId="1CAEF4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w:t>
            </w:r>
          </w:p>
        </w:tc>
      </w:tr>
      <w:tr w:rsidR="007D5DF8" w:rsidRPr="00DB5D0D" w14:paraId="003D31C0" w14:textId="77777777" w:rsidTr="009223E5">
        <w:tc>
          <w:tcPr>
            <w:tcW w:w="2299" w:type="dxa"/>
          </w:tcPr>
          <w:p w14:paraId="205494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 3 экз.</w:t>
            </w:r>
          </w:p>
        </w:tc>
        <w:tc>
          <w:tcPr>
            <w:tcW w:w="2299" w:type="dxa"/>
          </w:tcPr>
          <w:p w14:paraId="67D574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05.40</w:t>
            </w:r>
          </w:p>
        </w:tc>
        <w:tc>
          <w:tcPr>
            <w:tcW w:w="2299" w:type="dxa"/>
          </w:tcPr>
          <w:p w14:paraId="02D1A8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15.08.40</w:t>
            </w:r>
          </w:p>
        </w:tc>
        <w:tc>
          <w:tcPr>
            <w:tcW w:w="2299" w:type="dxa"/>
          </w:tcPr>
          <w:p w14:paraId="4030B2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2299" w:type="dxa"/>
          </w:tcPr>
          <w:p w14:paraId="274795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w:t>
            </w:r>
          </w:p>
        </w:tc>
      </w:tr>
      <w:tr w:rsidR="007D5DF8" w:rsidRPr="00DB5D0D" w14:paraId="6F3B1A90" w14:textId="77777777" w:rsidTr="009223E5">
        <w:tc>
          <w:tcPr>
            <w:tcW w:w="2299" w:type="dxa"/>
            <w:tcBorders>
              <w:bottom w:val="single" w:sz="12" w:space="0" w:color="auto"/>
            </w:tcBorders>
          </w:tcPr>
          <w:p w14:paraId="46AA45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 5 экз.</w:t>
            </w:r>
          </w:p>
        </w:tc>
        <w:tc>
          <w:tcPr>
            <w:tcW w:w="2299" w:type="dxa"/>
            <w:tcBorders>
              <w:bottom w:val="single" w:sz="12" w:space="0" w:color="auto"/>
            </w:tcBorders>
          </w:tcPr>
          <w:p w14:paraId="0D3832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06.40</w:t>
            </w:r>
          </w:p>
        </w:tc>
        <w:tc>
          <w:tcPr>
            <w:tcW w:w="2299" w:type="dxa"/>
            <w:tcBorders>
              <w:bottom w:val="single" w:sz="12" w:space="0" w:color="auto"/>
            </w:tcBorders>
          </w:tcPr>
          <w:p w14:paraId="3FE46D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01.08.40</w:t>
            </w:r>
          </w:p>
        </w:tc>
        <w:tc>
          <w:tcPr>
            <w:tcW w:w="2299" w:type="dxa"/>
            <w:tcBorders>
              <w:bottom w:val="single" w:sz="12" w:space="0" w:color="auto"/>
            </w:tcBorders>
          </w:tcPr>
          <w:p w14:paraId="3958AF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01.10.40</w:t>
            </w:r>
          </w:p>
        </w:tc>
        <w:tc>
          <w:tcPr>
            <w:tcW w:w="2299" w:type="dxa"/>
            <w:tcBorders>
              <w:bottom w:val="single" w:sz="12" w:space="0" w:color="auto"/>
            </w:tcBorders>
          </w:tcPr>
          <w:p w14:paraId="1A5FFB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 (2090,103)</w:t>
            </w:r>
          </w:p>
        </w:tc>
      </w:tr>
    </w:tbl>
    <w:p w14:paraId="497709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76A943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закончены изготовлением 10 мая с.г. и спущены в производство.</w:t>
      </w:r>
    </w:p>
    <w:p w14:paraId="567DE2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статиспытаний изготовлены все агрегаты. Фюзеляж с центропланом, шасси и хвостовое оперение поданы в статлабораторию, где проводится установка и подготовка к испытаниям.</w:t>
      </w:r>
    </w:p>
    <w:p w14:paraId="36652D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отработки ВМГ в трубе построен макет с работающей ВМГ.</w:t>
      </w:r>
    </w:p>
    <w:p w14:paraId="629015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данное время производятся доводочные работы по постройке и заканчивается сборка кока воздушного винта. завод 29 задерживает испытание винта на стенде.</w:t>
      </w:r>
    </w:p>
    <w:p w14:paraId="4C9D00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Готовность летных экземпляров</w:t>
      </w:r>
    </w:p>
    <w:p w14:paraId="3E3BD4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1-ю летную машину - все агрегаты изготовлены и поступили на общую сборку самолета, кроме консолей крыла.</w:t>
      </w:r>
    </w:p>
    <w:p w14:paraId="184132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Сборку кроме установки мотора намечено закончить 10 июня.</w:t>
      </w:r>
    </w:p>
    <w:p w14:paraId="1835C0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Подача мотора задерживается заводом 29.</w:t>
      </w:r>
    </w:p>
    <w:p w14:paraId="61360A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2-ю летную машину - все агрегаты находятся в стапельной сборке.</w:t>
      </w:r>
    </w:p>
    <w:p w14:paraId="7137ED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окончания сборки, без установки мотора - намечен на 25 июня с.г.</w:t>
      </w:r>
    </w:p>
    <w:p w14:paraId="099FE4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3-й и 4-й экз. самолета изготовлены все детали, кроме центроплана, консолей крыла и оперения.</w:t>
      </w:r>
    </w:p>
    <w:p w14:paraId="560C07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5-й экз. самолета запущены в производство детали.</w:t>
      </w:r>
    </w:p>
    <w:p w14:paraId="268BF0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Мероприятия:</w:t>
      </w:r>
    </w:p>
    <w:p w14:paraId="619014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Для ускорения проведения стендовых испытаний мотора и обеспечения опытных самолетов моторами М-90, заказать в Германии требуемые подшипники, из-за которых задерживаются испытания моторов и подача на летную машину И-185.</w:t>
      </w:r>
    </w:p>
    <w:p w14:paraId="6F638C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Заводу 29 подать мотор М-90 к 10 июня с.г.</w:t>
      </w:r>
    </w:p>
    <w:p w14:paraId="591D1E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Усилить контроль со стороны диспетчерского аппарата завода за выполнением работ по самолету." (2090,103).</w:t>
      </w:r>
    </w:p>
    <w:p w14:paraId="4D1FCE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была подготовлена:</w:t>
      </w:r>
    </w:p>
    <w:p w14:paraId="585256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на 1 июня 1940 экспериментального пушечного истребителя с М-105ТК (ЭОИ) конструкции Беляева на заводе 156":</w:t>
      </w:r>
    </w:p>
    <w:p w14:paraId="69C6B4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представляет собой одноместный истребитель с толкающим винтом , монопланного типа, с высокорасположенным крылом.</w:t>
      </w:r>
    </w:p>
    <w:p w14:paraId="070760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смешанной конструкции, неразъемное, однолонжеронное. Лонжерон стальной, нервюры деревянные, обшивка - бакелитовая фанера.</w:t>
      </w:r>
    </w:p>
    <w:p w14:paraId="40FF8C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смешанной конструкции, состоит из носовой и хвостовой частей. В носовой части расположена закрытая кабина пилота и вооружение: 2-23 мм и 1хШКАС. В хвостовой части помещается мотор.</w:t>
      </w:r>
    </w:p>
    <w:p w14:paraId="26B86C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трехколесное, убирающееся в полете, с воздушно-масляной амортизацией. Расчетная скорость - 720 км/час на 9000 м.</w:t>
      </w:r>
    </w:p>
    <w:p w14:paraId="0C1440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7FF1A1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 заканчивает разработку чертежей.</w:t>
      </w:r>
    </w:p>
    <w:p w14:paraId="73D08B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Основная масса сдана в производство.</w:t>
      </w:r>
    </w:p>
    <w:p w14:paraId="228FF3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самолета утвержден 8 мая 1940 с внесением изменений. Изменения макетной комиссии вносятся в чертежи, нов макет еще не внесены. Приступят с 1 июня 1940.</w:t>
      </w:r>
    </w:p>
    <w:p w14:paraId="0782AF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в производстве по оснастке и заделу разворачиваются нормально.</w:t>
      </w:r>
    </w:p>
    <w:p w14:paraId="3B8147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окончания работ по этапам: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096D5CB9" w14:textId="77777777" w:rsidTr="009223E5">
        <w:tc>
          <w:tcPr>
            <w:tcW w:w="2299" w:type="dxa"/>
            <w:tcBorders>
              <w:top w:val="single" w:sz="12" w:space="0" w:color="auto"/>
            </w:tcBorders>
          </w:tcPr>
          <w:p w14:paraId="69AE6BC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6368CB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1</w:t>
            </w:r>
          </w:p>
        </w:tc>
        <w:tc>
          <w:tcPr>
            <w:tcW w:w="2299" w:type="dxa"/>
            <w:tcBorders>
              <w:top w:val="single" w:sz="12" w:space="0" w:color="auto"/>
            </w:tcBorders>
          </w:tcPr>
          <w:p w14:paraId="464414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2</w:t>
            </w:r>
          </w:p>
        </w:tc>
        <w:tc>
          <w:tcPr>
            <w:tcW w:w="2299" w:type="dxa"/>
            <w:tcBorders>
              <w:top w:val="single" w:sz="12" w:space="0" w:color="auto"/>
            </w:tcBorders>
          </w:tcPr>
          <w:p w14:paraId="3CD2BE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w:t>
            </w:r>
          </w:p>
        </w:tc>
        <w:tc>
          <w:tcPr>
            <w:tcW w:w="2299" w:type="dxa"/>
            <w:tcBorders>
              <w:top w:val="single" w:sz="12" w:space="0" w:color="auto"/>
            </w:tcBorders>
          </w:tcPr>
          <w:p w14:paraId="7BEE8B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 гос.</w:t>
            </w:r>
          </w:p>
        </w:tc>
      </w:tr>
      <w:tr w:rsidR="007D5DF8" w:rsidRPr="00DB5D0D" w14:paraId="451A870A" w14:textId="77777777" w:rsidTr="009223E5">
        <w:tc>
          <w:tcPr>
            <w:tcW w:w="2299" w:type="dxa"/>
          </w:tcPr>
          <w:p w14:paraId="438AE2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w:t>
            </w:r>
          </w:p>
        </w:tc>
        <w:tc>
          <w:tcPr>
            <w:tcW w:w="2299" w:type="dxa"/>
          </w:tcPr>
          <w:p w14:paraId="421772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05.40</w:t>
            </w:r>
          </w:p>
        </w:tc>
        <w:tc>
          <w:tcPr>
            <w:tcW w:w="2299" w:type="dxa"/>
          </w:tcPr>
          <w:p w14:paraId="1897D3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01.08.40</w:t>
            </w:r>
          </w:p>
        </w:tc>
        <w:tc>
          <w:tcPr>
            <w:tcW w:w="2299" w:type="dxa"/>
          </w:tcPr>
          <w:p w14:paraId="139148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15.10.40</w:t>
            </w:r>
          </w:p>
        </w:tc>
        <w:tc>
          <w:tcPr>
            <w:tcW w:w="2299" w:type="dxa"/>
          </w:tcPr>
          <w:p w14:paraId="47A94D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01.41</w:t>
            </w:r>
          </w:p>
        </w:tc>
      </w:tr>
      <w:tr w:rsidR="007D5DF8" w:rsidRPr="00DB5D0D" w14:paraId="358CDA41" w14:textId="77777777" w:rsidTr="009223E5">
        <w:tc>
          <w:tcPr>
            <w:tcW w:w="2299" w:type="dxa"/>
            <w:tcBorders>
              <w:bottom w:val="single" w:sz="12" w:space="0" w:color="auto"/>
            </w:tcBorders>
          </w:tcPr>
          <w:p w14:paraId="25BB75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w:t>
            </w:r>
          </w:p>
        </w:tc>
        <w:tc>
          <w:tcPr>
            <w:tcW w:w="2299" w:type="dxa"/>
            <w:tcBorders>
              <w:bottom w:val="single" w:sz="12" w:space="0" w:color="auto"/>
            </w:tcBorders>
          </w:tcPr>
          <w:p w14:paraId="23886A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07.40</w:t>
            </w:r>
          </w:p>
        </w:tc>
        <w:tc>
          <w:tcPr>
            <w:tcW w:w="2299" w:type="dxa"/>
            <w:tcBorders>
              <w:bottom w:val="single" w:sz="12" w:space="0" w:color="auto"/>
            </w:tcBorders>
          </w:tcPr>
          <w:p w14:paraId="437A98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01.10.40</w:t>
            </w:r>
          </w:p>
        </w:tc>
        <w:tc>
          <w:tcPr>
            <w:tcW w:w="2299" w:type="dxa"/>
            <w:tcBorders>
              <w:bottom w:val="single" w:sz="12" w:space="0" w:color="auto"/>
            </w:tcBorders>
          </w:tcPr>
          <w:p w14:paraId="513D46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01.12.40</w:t>
            </w:r>
          </w:p>
        </w:tc>
        <w:tc>
          <w:tcPr>
            <w:tcW w:w="2299" w:type="dxa"/>
            <w:tcBorders>
              <w:bottom w:val="single" w:sz="12" w:space="0" w:color="auto"/>
            </w:tcBorders>
          </w:tcPr>
          <w:p w14:paraId="36D8C8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02.41</w:t>
            </w:r>
          </w:p>
        </w:tc>
      </w:tr>
    </w:tbl>
    <w:p w14:paraId="779DCA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готовность чертежей оценивалась примерно в 85-90%. Чертежи в основном сдавались в технологическую разработку на завод 156 во второй половине мая месяца.</w:t>
      </w:r>
    </w:p>
    <w:p w14:paraId="7B68B7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всем трем машинам (для статиспытаний, 1-й и 2-й летным) запущено в производство 2150 чертежей.</w:t>
      </w:r>
    </w:p>
    <w:p w14:paraId="7B4B53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задержки в выполнении сроков: для КБ - задержка в продувке модели размером 1 к 3.5, сданной ЦАГИ и слабое развертывание работ по изготовлению стенда и агрегатов для стат. испытаний; для производства - неравномерная подача чертежей." (2090,106).</w:t>
      </w:r>
    </w:p>
    <w:p w14:paraId="13DA4D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была подготовлена:</w:t>
      </w:r>
    </w:p>
    <w:p w14:paraId="38CD3E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на 1 июня 1849 опытного самолета И-135 конструкции П.О.С. на заводе 135":</w:t>
      </w:r>
    </w:p>
    <w:p w14:paraId="34E5B2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представляет собой одномоторный одноместный пушечный истребитель-моноплан с низкорасположенным крылом. Самолет имеет один мотор М-105П с двумя ТК-2.</w:t>
      </w:r>
    </w:p>
    <w:p w14:paraId="6AFB5F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самолета однолонжеронное, металлическое. Лонжероны - стальные, нервюры и обшивка - дюралевые. Рули и элероны имеют дюралевый каркас и обшиты полотном. Уборка шасси - гидравлическая.</w:t>
      </w:r>
    </w:p>
    <w:p w14:paraId="488248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самолета деревянный, имеет стрингера и лонжероны с обшивкой их шпона.</w:t>
      </w:r>
    </w:p>
    <w:p w14:paraId="491FB6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ВМГ имеет систему водяного и местного охлаждения и оборудована автоматами регулировки температуры воды и масла, оборотов мотора и оборотов ТК.</w:t>
      </w:r>
    </w:p>
    <w:p w14:paraId="60AA84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изменяемого шага ВИШ-61 с диапазоном углов поворота лопасти 37 гр.</w:t>
      </w:r>
    </w:p>
    <w:p w14:paraId="08BA6C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имеет основной протектированный бензобак на 250 кг горючего из фибры. Кроме основного бака на бомбовых замках под левым крылом может устанавливаться подвесной бак на 150 кг горючего.</w:t>
      </w:r>
    </w:p>
    <w:p w14:paraId="72D448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состоит из пушки ШВАК 20 мм со 120 снарядами и 2хШКАС/с с 2х900.</w:t>
      </w:r>
    </w:p>
    <w:p w14:paraId="54F1D8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перегрузочного варианта самолета, для бомбометания с пикирования предусмотрены подкрыльные замки для подвески 2-х штук осколочных бомб 25 кг или одной фугасной или химической бомбы в 100 кг.</w:t>
      </w:r>
    </w:p>
    <w:p w14:paraId="5CF9FC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7D5216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по 1-му экз. и дублеру изготовлены полностью и находятся в производстве ОКО завода 135.</w:t>
      </w:r>
    </w:p>
    <w:p w14:paraId="513BF3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самолета окончен постройкой ОКО завода 135 28 апреля 1940 и в настоящее время перевозится в ЦАГИ-Раменское (2090,108).</w:t>
      </w:r>
    </w:p>
    <w:p w14:paraId="03F30F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в производстве дублера следующее:</w:t>
      </w:r>
    </w:p>
    <w:p w14:paraId="1E9418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Центроплан в сборочном цехе на стыковке с фюзеляжем, на фюзеляже производится монтаж внутреннего оборудования и управления. Производится обшивка оперения полотном.</w:t>
      </w:r>
    </w:p>
    <w:p w14:paraId="3279A6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шасси и костылю, управлению и ВМГ производится изготовление деталей. По крылу готовность стапелей - 95%.</w:t>
      </w:r>
    </w:p>
    <w:p w14:paraId="7FF175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на окончание работ по этапам: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4D228FE9" w14:textId="77777777" w:rsidTr="009223E5">
        <w:tc>
          <w:tcPr>
            <w:tcW w:w="2299" w:type="dxa"/>
            <w:tcBorders>
              <w:top w:val="single" w:sz="12" w:space="0" w:color="auto"/>
            </w:tcBorders>
          </w:tcPr>
          <w:p w14:paraId="6D39EAB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61EE50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1</w:t>
            </w:r>
          </w:p>
        </w:tc>
        <w:tc>
          <w:tcPr>
            <w:tcW w:w="2299" w:type="dxa"/>
            <w:tcBorders>
              <w:top w:val="single" w:sz="12" w:space="0" w:color="auto"/>
            </w:tcBorders>
          </w:tcPr>
          <w:p w14:paraId="0EA0F4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 2</w:t>
            </w:r>
          </w:p>
        </w:tc>
        <w:tc>
          <w:tcPr>
            <w:tcW w:w="2299" w:type="dxa"/>
            <w:tcBorders>
              <w:top w:val="single" w:sz="12" w:space="0" w:color="auto"/>
            </w:tcBorders>
          </w:tcPr>
          <w:p w14:paraId="4FDBE6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w:t>
            </w:r>
          </w:p>
        </w:tc>
        <w:tc>
          <w:tcPr>
            <w:tcW w:w="2299" w:type="dxa"/>
            <w:tcBorders>
              <w:top w:val="single" w:sz="12" w:space="0" w:color="auto"/>
            </w:tcBorders>
          </w:tcPr>
          <w:p w14:paraId="422CD6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 гос.</w:t>
            </w:r>
          </w:p>
        </w:tc>
      </w:tr>
      <w:tr w:rsidR="007D5DF8" w:rsidRPr="00DB5D0D" w14:paraId="5D6E39A5" w14:textId="77777777" w:rsidTr="009223E5">
        <w:tc>
          <w:tcPr>
            <w:tcW w:w="2299" w:type="dxa"/>
          </w:tcPr>
          <w:p w14:paraId="41F7C3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w:t>
            </w:r>
          </w:p>
        </w:tc>
        <w:tc>
          <w:tcPr>
            <w:tcW w:w="2299" w:type="dxa"/>
          </w:tcPr>
          <w:p w14:paraId="59188C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12.39</w:t>
            </w:r>
          </w:p>
        </w:tc>
        <w:tc>
          <w:tcPr>
            <w:tcW w:w="2299" w:type="dxa"/>
          </w:tcPr>
          <w:p w14:paraId="1DDD2B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02.40</w:t>
            </w:r>
          </w:p>
        </w:tc>
        <w:tc>
          <w:tcPr>
            <w:tcW w:w="2299" w:type="dxa"/>
          </w:tcPr>
          <w:p w14:paraId="48DB71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06.40</w:t>
            </w:r>
          </w:p>
        </w:tc>
        <w:tc>
          <w:tcPr>
            <w:tcW w:w="2299" w:type="dxa"/>
          </w:tcPr>
          <w:p w14:paraId="25AC48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03.40</w:t>
            </w:r>
          </w:p>
        </w:tc>
      </w:tr>
      <w:tr w:rsidR="007D5DF8" w:rsidRPr="00DB5D0D" w14:paraId="2FDCC1AC" w14:textId="77777777" w:rsidTr="009223E5">
        <w:tc>
          <w:tcPr>
            <w:tcW w:w="2299" w:type="dxa"/>
            <w:tcBorders>
              <w:bottom w:val="single" w:sz="12" w:space="0" w:color="auto"/>
            </w:tcBorders>
          </w:tcPr>
          <w:p w14:paraId="68A64C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w:t>
            </w:r>
          </w:p>
        </w:tc>
        <w:tc>
          <w:tcPr>
            <w:tcW w:w="2299" w:type="dxa"/>
            <w:tcBorders>
              <w:bottom w:val="single" w:sz="12" w:space="0" w:color="auto"/>
            </w:tcBorders>
          </w:tcPr>
          <w:p w14:paraId="4ECCEC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04.40</w:t>
            </w:r>
          </w:p>
        </w:tc>
        <w:tc>
          <w:tcPr>
            <w:tcW w:w="2299" w:type="dxa"/>
            <w:tcBorders>
              <w:bottom w:val="single" w:sz="12" w:space="0" w:color="auto"/>
            </w:tcBorders>
          </w:tcPr>
          <w:p w14:paraId="268B34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07.40</w:t>
            </w:r>
          </w:p>
        </w:tc>
        <w:tc>
          <w:tcPr>
            <w:tcW w:w="2299" w:type="dxa"/>
            <w:tcBorders>
              <w:bottom w:val="single" w:sz="12" w:space="0" w:color="auto"/>
            </w:tcBorders>
          </w:tcPr>
          <w:p w14:paraId="456FF1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09.40</w:t>
            </w:r>
          </w:p>
        </w:tc>
        <w:tc>
          <w:tcPr>
            <w:tcW w:w="2299" w:type="dxa"/>
            <w:tcBorders>
              <w:bottom w:val="single" w:sz="12" w:space="0" w:color="auto"/>
            </w:tcBorders>
          </w:tcPr>
          <w:p w14:paraId="728693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07.40</w:t>
            </w:r>
          </w:p>
        </w:tc>
      </w:tr>
    </w:tbl>
    <w:p w14:paraId="42FEAB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Причины задержек в постройке самолета: несвоевременная поставка кондиционных моторов М-105П, ВИШ-61 и позднее изготовление стенда.</w:t>
      </w:r>
    </w:p>
    <w:p w14:paraId="3F000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необходимо обеспечить 2-мя моторами М-105П 5 июня (моторы д.б. зарезервированы) и 15-20 л масла МВП к помпам для механизма уборки шасси." (2090,108).</w:t>
      </w:r>
    </w:p>
    <w:p w14:paraId="7F8734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закончились заводские испытания ДБ-3Ф 2М-81, которые начались с 30 марта 1940, но задание было снято (2090,232).</w:t>
      </w:r>
    </w:p>
    <w:p w14:paraId="00ED959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8F5B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Зам. Нач. 11 ГУ НКАП Шишкин писал письмо № 958сс Главному Контролеру КО при СНК СССР т. Новикову (вход. № 5207 от 1 июня):</w:t>
      </w:r>
    </w:p>
    <w:p w14:paraId="57C575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была подготовлена:</w:t>
      </w:r>
    </w:p>
    <w:p w14:paraId="4D31DB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 Р А В К А о состоянии на 1.У1.1940 года по самолету И-282 (моди</w:t>
      </w:r>
      <w:r w:rsidRPr="00DB5D0D">
        <w:rPr>
          <w:rFonts w:ascii="Times New Roman" w:hAnsi="Times New Roman"/>
          <w:color w:val="000000" w:themeColor="text1"/>
          <w:sz w:val="16"/>
          <w:szCs w:val="16"/>
        </w:rPr>
        <w:softHyphen/>
        <w:t>фикации И-28) с мотором М-90 на заводе № 292.</w:t>
      </w:r>
    </w:p>
    <w:p w14:paraId="0CC800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И-282 представляет модификацию самолета И-28, отличаясь от него, в основном, установкой мотора.</w:t>
      </w:r>
    </w:p>
    <w:p w14:paraId="6FD6B7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Вследствие.установки на самолете другого мотора, из -меняется конструкция винто-моторной группы и передняя /свар</w:t>
      </w:r>
      <w:r w:rsidRPr="00DB5D0D">
        <w:rPr>
          <w:rFonts w:ascii="Times New Roman" w:hAnsi="Times New Roman"/>
          <w:color w:val="000000" w:themeColor="text1"/>
          <w:sz w:val="16"/>
          <w:szCs w:val="16"/>
        </w:rPr>
        <w:softHyphen/>
        <w:t>ная/ часть фюзеляаа.</w:t>
      </w:r>
    </w:p>
    <w:p w14:paraId="1B474B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выполнения работ:</w:t>
      </w:r>
    </w:p>
    <w:p w14:paraId="191A00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Юконча- Юконча- !Сдача на го- Юкончание !</w:t>
      </w:r>
    </w:p>
    <w:p w14:paraId="15A2C9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!ние 1-го !ние 2-го !сударственные!3-го этапа!</w:t>
      </w:r>
    </w:p>
    <w:p w14:paraId="2122F7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[этапа</w:t>
      </w:r>
      <w:r w:rsidRPr="00DB5D0D">
        <w:rPr>
          <w:rFonts w:ascii="Times New Roman" w:hAnsi="Times New Roman"/>
          <w:color w:val="000000" w:themeColor="text1"/>
          <w:sz w:val="16"/>
          <w:szCs w:val="16"/>
        </w:rPr>
        <w:tab/>
        <w:t>этапа {испытания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084"/>
        <w:gridCol w:w="1980"/>
        <w:gridCol w:w="2070"/>
        <w:gridCol w:w="2250"/>
      </w:tblGrid>
      <w:tr w:rsidR="007D5DF8" w:rsidRPr="00DB5D0D" w14:paraId="105BF671" w14:textId="77777777" w:rsidTr="009223E5">
        <w:tc>
          <w:tcPr>
            <w:tcW w:w="2254" w:type="dxa"/>
            <w:tcBorders>
              <w:top w:val="single" w:sz="12" w:space="0" w:color="auto"/>
            </w:tcBorders>
            <w:shd w:val="clear" w:color="auto" w:fill="FFFFFF"/>
          </w:tcPr>
          <w:p w14:paraId="5587B6F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084" w:type="dxa"/>
            <w:tcBorders>
              <w:top w:val="single" w:sz="12" w:space="0" w:color="auto"/>
            </w:tcBorders>
            <w:shd w:val="clear" w:color="auto" w:fill="FFFFFF"/>
          </w:tcPr>
          <w:p w14:paraId="528365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1-го этапа</w:t>
            </w:r>
          </w:p>
        </w:tc>
        <w:tc>
          <w:tcPr>
            <w:tcW w:w="1980" w:type="dxa"/>
            <w:tcBorders>
              <w:top w:val="single" w:sz="12" w:space="0" w:color="auto"/>
            </w:tcBorders>
            <w:shd w:val="clear" w:color="auto" w:fill="FFFFFF"/>
          </w:tcPr>
          <w:p w14:paraId="15C92B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2-го этапа</w:t>
            </w:r>
          </w:p>
        </w:tc>
        <w:tc>
          <w:tcPr>
            <w:tcW w:w="2070" w:type="dxa"/>
            <w:tcBorders>
              <w:top w:val="single" w:sz="12" w:space="0" w:color="auto"/>
            </w:tcBorders>
            <w:shd w:val="clear" w:color="auto" w:fill="FFFFFF"/>
          </w:tcPr>
          <w:p w14:paraId="619B42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Сдача на госиспытания</w:t>
            </w:r>
          </w:p>
        </w:tc>
        <w:tc>
          <w:tcPr>
            <w:tcW w:w="2250" w:type="dxa"/>
            <w:tcBorders>
              <w:top w:val="single" w:sz="12" w:space="0" w:color="auto"/>
            </w:tcBorders>
            <w:shd w:val="clear" w:color="auto" w:fill="FFFFFF"/>
          </w:tcPr>
          <w:p w14:paraId="1C5552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2-го этапа</w:t>
            </w:r>
          </w:p>
        </w:tc>
      </w:tr>
      <w:tr w:rsidR="007D5DF8" w:rsidRPr="00DB5D0D" w14:paraId="60419884" w14:textId="77777777" w:rsidTr="009223E5">
        <w:tc>
          <w:tcPr>
            <w:tcW w:w="2254" w:type="dxa"/>
            <w:shd w:val="clear" w:color="auto" w:fill="FFFFFF"/>
          </w:tcPr>
          <w:p w14:paraId="330A0F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w:t>
            </w:r>
          </w:p>
        </w:tc>
        <w:tc>
          <w:tcPr>
            <w:tcW w:w="2084" w:type="dxa"/>
            <w:shd w:val="clear" w:color="auto" w:fill="FFFFFF"/>
          </w:tcPr>
          <w:p w14:paraId="23FF12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УП-40 г.</w:t>
            </w:r>
          </w:p>
        </w:tc>
        <w:tc>
          <w:tcPr>
            <w:tcW w:w="1980" w:type="dxa"/>
            <w:shd w:val="clear" w:color="auto" w:fill="FFFFFF"/>
          </w:tcPr>
          <w:p w14:paraId="0B87F2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1.Х.40 г.</w:t>
            </w:r>
          </w:p>
        </w:tc>
        <w:tc>
          <w:tcPr>
            <w:tcW w:w="2070" w:type="dxa"/>
            <w:shd w:val="clear" w:color="auto" w:fill="FFFFFF"/>
          </w:tcPr>
          <w:p w14:paraId="79600E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1.ХП.40 г.</w:t>
            </w:r>
          </w:p>
        </w:tc>
        <w:tc>
          <w:tcPr>
            <w:tcW w:w="2250" w:type="dxa"/>
            <w:shd w:val="clear" w:color="auto" w:fill="FFFFFF"/>
          </w:tcPr>
          <w:p w14:paraId="751C78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П-41 г.</w:t>
            </w:r>
          </w:p>
        </w:tc>
      </w:tr>
      <w:tr w:rsidR="007D5DF8" w:rsidRPr="00DB5D0D" w14:paraId="1498354B" w14:textId="77777777" w:rsidTr="009223E5">
        <w:tc>
          <w:tcPr>
            <w:tcW w:w="2254" w:type="dxa"/>
            <w:tcBorders>
              <w:bottom w:val="single" w:sz="12" w:space="0" w:color="auto"/>
            </w:tcBorders>
            <w:shd w:val="clear" w:color="auto" w:fill="FFFFFF"/>
          </w:tcPr>
          <w:p w14:paraId="4F84E3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w:t>
            </w:r>
          </w:p>
        </w:tc>
        <w:tc>
          <w:tcPr>
            <w:tcW w:w="2084" w:type="dxa"/>
            <w:tcBorders>
              <w:bottom w:val="single" w:sz="12" w:space="0" w:color="auto"/>
            </w:tcBorders>
            <w:shd w:val="clear" w:color="auto" w:fill="FFFFFF"/>
          </w:tcPr>
          <w:p w14:paraId="382B00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УП-40 г.</w:t>
            </w:r>
          </w:p>
        </w:tc>
        <w:tc>
          <w:tcPr>
            <w:tcW w:w="1980" w:type="dxa"/>
            <w:tcBorders>
              <w:bottom w:val="single" w:sz="12" w:space="0" w:color="auto"/>
            </w:tcBorders>
            <w:shd w:val="clear" w:color="auto" w:fill="FFFFFF"/>
          </w:tcPr>
          <w:p w14:paraId="64CBAD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15.Х.40 г.</w:t>
            </w:r>
          </w:p>
        </w:tc>
        <w:tc>
          <w:tcPr>
            <w:tcW w:w="2070" w:type="dxa"/>
            <w:tcBorders>
              <w:bottom w:val="single" w:sz="12" w:space="0" w:color="auto"/>
            </w:tcBorders>
            <w:shd w:val="clear" w:color="auto" w:fill="FFFFFF"/>
          </w:tcPr>
          <w:p w14:paraId="74C7B0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15.ХП.40 г.</w:t>
            </w:r>
          </w:p>
        </w:tc>
        <w:tc>
          <w:tcPr>
            <w:tcW w:w="2250" w:type="dxa"/>
            <w:tcBorders>
              <w:bottom w:val="single" w:sz="12" w:space="0" w:color="auto"/>
            </w:tcBorders>
            <w:shd w:val="clear" w:color="auto" w:fill="FFFFFF"/>
          </w:tcPr>
          <w:p w14:paraId="2BBD34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П-41 г.</w:t>
            </w:r>
          </w:p>
        </w:tc>
      </w:tr>
    </w:tbl>
    <w:p w14:paraId="2E4131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1625F7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Разработан овкизный проект. НИИ ГУАС КА рассмотрел его, но не утвердил, указав на необходимость разработать меры по улучшению конструкции модификации в соответствии с заключениями, сделанными в отчете по государственным испы</w:t>
      </w:r>
      <w:r w:rsidRPr="00DB5D0D">
        <w:rPr>
          <w:rFonts w:ascii="Times New Roman" w:hAnsi="Times New Roman"/>
          <w:color w:val="000000" w:themeColor="text1"/>
          <w:sz w:val="16"/>
          <w:szCs w:val="16"/>
        </w:rPr>
        <w:softHyphen/>
        <w:t>таниям.</w:t>
      </w:r>
    </w:p>
    <w:p w14:paraId="499469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Произведены продувки модели в ЦАГИ.</w:t>
      </w:r>
    </w:p>
    <w:p w14:paraId="5DABAC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Разработаны чертежи самолета, готовность их - 25%.</w:t>
      </w:r>
    </w:p>
    <w:p w14:paraId="1E11DB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течение апреля-мая месяцев работы не велись, так как часть конструкторов были заняты работами по серийному производству, а остальные не смогли продолжать работу до пере</w:t>
      </w:r>
      <w:r w:rsidRPr="00DB5D0D">
        <w:rPr>
          <w:rFonts w:ascii="Times New Roman" w:hAnsi="Times New Roman"/>
          <w:color w:val="000000" w:themeColor="text1"/>
          <w:sz w:val="16"/>
          <w:szCs w:val="16"/>
        </w:rPr>
        <w:softHyphen/>
        <w:t>вода КБ с завода № 81 на завод № 292 ввиду необходимости развертывать работу на плазах.</w:t>
      </w:r>
    </w:p>
    <w:p w14:paraId="2E2BA1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причиной, задерживающей выполнение работ являем неорганизованность лпытной базы на заво</w:t>
      </w:r>
      <w:r w:rsidRPr="00DB5D0D">
        <w:rPr>
          <w:rFonts w:ascii="Times New Roman" w:hAnsi="Times New Roman"/>
          <w:color w:val="000000" w:themeColor="text1"/>
          <w:sz w:val="16"/>
          <w:szCs w:val="16"/>
        </w:rPr>
        <w:softHyphen/>
        <w:t>де № 292 и разделение состава КБ по двум заводам (10514,71).</w:t>
      </w:r>
    </w:p>
    <w:p w14:paraId="5AF273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была подготовлена:</w:t>
      </w:r>
    </w:p>
    <w:p w14:paraId="22505F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w:t>
      </w:r>
    </w:p>
    <w:p w14:paraId="0066D3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И-21 свободнонесущий низкоплан смешанной кон</w:t>
      </w:r>
      <w:r w:rsidRPr="00DB5D0D">
        <w:rPr>
          <w:rFonts w:ascii="Times New Roman" w:hAnsi="Times New Roman"/>
          <w:color w:val="000000" w:themeColor="text1"/>
          <w:sz w:val="16"/>
          <w:szCs w:val="16"/>
        </w:rPr>
        <w:softHyphen/>
        <w:t>струкции.</w:t>
      </w:r>
    </w:p>
    <w:p w14:paraId="03BFD9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 одноместный истребитель.</w:t>
      </w:r>
    </w:p>
    <w:p w14:paraId="720555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первый экземпляр установлен мотор М-105П, на 2-й экз. мотор М-107П.</w:t>
      </w:r>
    </w:p>
    <w:p w14:paraId="51B6F0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в передней части имеет каркас из стальных труб и дюралевую обшивку. Хвостовая часть фюзеляжа -деревянный монокок. Крыло двухлонжеронкое. Центроплан цельнометалли</w:t>
      </w:r>
      <w:r w:rsidRPr="00DB5D0D">
        <w:rPr>
          <w:rFonts w:ascii="Times New Roman" w:hAnsi="Times New Roman"/>
          <w:color w:val="000000" w:themeColor="text1"/>
          <w:sz w:val="16"/>
          <w:szCs w:val="16"/>
        </w:rPr>
        <w:softHyphen/>
        <w:t>ческий: трубчатые стальные лонжероны и дюралевая обшивка. Консоль крыла имеет стальные лонжероны, деревянные нервюры и фанерную обшивку. Оперение металлическое. Шасси одностоечное, убирающееся.</w:t>
      </w:r>
    </w:p>
    <w:p w14:paraId="7231E1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пушка кал. 23 мм через винт и два шкасса.</w:t>
      </w:r>
    </w:p>
    <w:p w14:paraId="7EA136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окончания этапов работ, утвержденные Наркомом Авиа</w:t>
      </w:r>
      <w:r w:rsidRPr="00DB5D0D">
        <w:rPr>
          <w:rFonts w:ascii="Times New Roman" w:hAnsi="Times New Roman"/>
          <w:color w:val="000000" w:themeColor="text1"/>
          <w:sz w:val="16"/>
          <w:szCs w:val="16"/>
        </w:rPr>
        <w:softHyphen/>
        <w:t>ционной Промышленности тов. Шахуриным, следующие: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90"/>
        <w:gridCol w:w="1440"/>
        <w:gridCol w:w="1800"/>
        <w:gridCol w:w="1625"/>
        <w:gridCol w:w="1796"/>
      </w:tblGrid>
      <w:tr w:rsidR="007D5DF8" w:rsidRPr="00DB5D0D" w14:paraId="4528404D" w14:textId="77777777" w:rsidTr="009223E5">
        <w:trPr>
          <w:trHeight w:val="538"/>
        </w:trPr>
        <w:tc>
          <w:tcPr>
            <w:tcW w:w="1890" w:type="dxa"/>
            <w:tcBorders>
              <w:top w:val="single" w:sz="12" w:space="0" w:color="auto"/>
            </w:tcBorders>
          </w:tcPr>
          <w:p w14:paraId="09C36F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440" w:type="dxa"/>
            <w:tcBorders>
              <w:top w:val="single" w:sz="12" w:space="0" w:color="auto"/>
            </w:tcBorders>
          </w:tcPr>
          <w:p w14:paraId="29A1A3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1-го этапа</w:t>
            </w:r>
          </w:p>
        </w:tc>
        <w:tc>
          <w:tcPr>
            <w:tcW w:w="1800" w:type="dxa"/>
            <w:tcBorders>
              <w:top w:val="single" w:sz="12" w:space="0" w:color="auto"/>
            </w:tcBorders>
          </w:tcPr>
          <w:p w14:paraId="39161E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2-го этапа</w:t>
            </w:r>
          </w:p>
        </w:tc>
        <w:tc>
          <w:tcPr>
            <w:tcW w:w="1625" w:type="dxa"/>
            <w:tcBorders>
              <w:top w:val="single" w:sz="12" w:space="0" w:color="auto"/>
            </w:tcBorders>
          </w:tcPr>
          <w:p w14:paraId="209760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Сдача, на гос. испыт. </w:t>
            </w:r>
          </w:p>
        </w:tc>
        <w:tc>
          <w:tcPr>
            <w:tcW w:w="1796" w:type="dxa"/>
            <w:tcBorders>
              <w:top w:val="single" w:sz="12" w:space="0" w:color="auto"/>
            </w:tcBorders>
          </w:tcPr>
          <w:p w14:paraId="6A6F26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3-го этапа</w:t>
            </w:r>
          </w:p>
        </w:tc>
      </w:tr>
      <w:tr w:rsidR="007D5DF8" w:rsidRPr="00DB5D0D" w14:paraId="6B3B9033" w14:textId="77777777" w:rsidTr="009223E5">
        <w:trPr>
          <w:trHeight w:val="538"/>
        </w:trPr>
        <w:tc>
          <w:tcPr>
            <w:tcW w:w="1890" w:type="dxa"/>
          </w:tcPr>
          <w:p w14:paraId="3437B4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w:t>
            </w:r>
          </w:p>
        </w:tc>
        <w:tc>
          <w:tcPr>
            <w:tcW w:w="1440" w:type="dxa"/>
          </w:tcPr>
          <w:p w14:paraId="5820B6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У.40 г.</w:t>
            </w:r>
          </w:p>
        </w:tc>
        <w:tc>
          <w:tcPr>
            <w:tcW w:w="1800" w:type="dxa"/>
          </w:tcPr>
          <w:p w14:paraId="7A14A0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15.УП.40 г.</w:t>
            </w:r>
          </w:p>
        </w:tc>
        <w:tc>
          <w:tcPr>
            <w:tcW w:w="1625" w:type="dxa"/>
          </w:tcPr>
          <w:p w14:paraId="04590C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15.1Х.40 г.</w:t>
            </w:r>
          </w:p>
        </w:tc>
        <w:tc>
          <w:tcPr>
            <w:tcW w:w="1796" w:type="dxa"/>
          </w:tcPr>
          <w:p w14:paraId="6748B4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XI.40 г.</w:t>
            </w:r>
          </w:p>
        </w:tc>
      </w:tr>
      <w:tr w:rsidR="007D5DF8" w:rsidRPr="00DB5D0D" w14:paraId="233C2FAC" w14:textId="77777777" w:rsidTr="009223E5">
        <w:trPr>
          <w:trHeight w:val="538"/>
        </w:trPr>
        <w:tc>
          <w:tcPr>
            <w:tcW w:w="1890" w:type="dxa"/>
            <w:tcBorders>
              <w:bottom w:val="single" w:sz="12" w:space="0" w:color="auto"/>
            </w:tcBorders>
          </w:tcPr>
          <w:p w14:paraId="6717D4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w:t>
            </w:r>
          </w:p>
        </w:tc>
        <w:tc>
          <w:tcPr>
            <w:tcW w:w="1440" w:type="dxa"/>
            <w:tcBorders>
              <w:bottom w:val="single" w:sz="12" w:space="0" w:color="auto"/>
            </w:tcBorders>
          </w:tcPr>
          <w:p w14:paraId="184073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У1.40 г.</w:t>
            </w:r>
          </w:p>
        </w:tc>
        <w:tc>
          <w:tcPr>
            <w:tcW w:w="1800" w:type="dxa"/>
            <w:tcBorders>
              <w:bottom w:val="single" w:sz="12" w:space="0" w:color="auto"/>
            </w:tcBorders>
          </w:tcPr>
          <w:p w14:paraId="7B93C5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1.1Х.40 г.</w:t>
            </w:r>
          </w:p>
        </w:tc>
        <w:tc>
          <w:tcPr>
            <w:tcW w:w="1625" w:type="dxa"/>
            <w:tcBorders>
              <w:bottom w:val="single" w:sz="12" w:space="0" w:color="auto"/>
            </w:tcBorders>
          </w:tcPr>
          <w:p w14:paraId="6F0FCD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1.XI.40 г.</w:t>
            </w:r>
          </w:p>
        </w:tc>
        <w:tc>
          <w:tcPr>
            <w:tcW w:w="1796" w:type="dxa"/>
            <w:tcBorders>
              <w:bottom w:val="single" w:sz="12" w:space="0" w:color="auto"/>
            </w:tcBorders>
          </w:tcPr>
          <w:p w14:paraId="4C5CE7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1.41 г.</w:t>
            </w:r>
          </w:p>
        </w:tc>
      </w:tr>
    </w:tbl>
    <w:p w14:paraId="56FDA8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20-е мая по первому экземпляру рабочие чертежи изго</w:t>
      </w:r>
      <w:r w:rsidRPr="00DB5D0D">
        <w:rPr>
          <w:rFonts w:ascii="Times New Roman" w:hAnsi="Times New Roman"/>
          <w:color w:val="000000" w:themeColor="text1"/>
          <w:sz w:val="16"/>
          <w:szCs w:val="16"/>
        </w:rPr>
        <w:softHyphen/>
        <w:t>товлены и сданы в производство на 100%.</w:t>
      </w:r>
    </w:p>
    <w:p w14:paraId="5C3FFB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агрегаты изготовлены и состыкованы. На самолете ведутся монтажные и общесборочные работы.</w:t>
      </w:r>
    </w:p>
    <w:p w14:paraId="1D8F4D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монтаж винтомоторной группы задерживается отсут</w:t>
      </w:r>
      <w:r w:rsidRPr="00DB5D0D">
        <w:rPr>
          <w:rFonts w:ascii="Times New Roman" w:hAnsi="Times New Roman"/>
          <w:color w:val="000000" w:themeColor="text1"/>
          <w:sz w:val="16"/>
          <w:szCs w:val="16"/>
        </w:rPr>
        <w:softHyphen/>
        <w:t>ствием водорадиатора, изготовляемого на заводе № 34.</w:t>
      </w:r>
    </w:p>
    <w:p w14:paraId="1D9B67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28 задерживает ВИШ-61, проходящий сейчас завод</w:t>
      </w:r>
      <w:r w:rsidRPr="00DB5D0D">
        <w:rPr>
          <w:rFonts w:ascii="Times New Roman" w:hAnsi="Times New Roman"/>
          <w:color w:val="000000" w:themeColor="text1"/>
          <w:sz w:val="16"/>
          <w:szCs w:val="16"/>
        </w:rPr>
        <w:softHyphen/>
        <w:t>ские испытания.</w:t>
      </w:r>
    </w:p>
    <w:p w14:paraId="6DE37B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Заводам № 34 и 28 даны указания о форсировании работ.</w:t>
      </w:r>
    </w:p>
    <w:p w14:paraId="4B0313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w:t>
      </w:r>
    </w:p>
    <w:p w14:paraId="4FFE25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И-207-4 конструкторов тов. БОРОВКОВА и ФЛОРОВА представляет собой свободнонесущий биплан, с малыми габаритами, размах коробки крыльев - 7 м.</w:t>
      </w:r>
    </w:p>
    <w:p w14:paraId="63F721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безлонжеронное, моноблочное, дюралевое, клепаное с жесткой несущей работающей обшивкой. Обшивка подкреплена гофром. Центральная клетка фюзеляжа состоит из стальных термически обработанных труб, со штампованными узлами, соединенных на болтах. К клетке стыкуется деревянный, выклеенный из шпона хвостовой кок.</w:t>
      </w:r>
    </w:p>
    <w:p w14:paraId="1ADD6C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Дюралевая окапотка клетки съемная, что дает полный доступ ко всем, расположенным внутри фюзеляжа; агрегатам.</w:t>
      </w:r>
    </w:p>
    <w:p w14:paraId="3B85DD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стабилизатора аналогична конструкции крыльев. Киль каркасный, с жесткой обшивкой. Рули дюра-левые, с полотнянной обшивкой. Шасси - убирающееся в полете. Костыльное колесо не убирающееся, заключено в обтекатель.</w:t>
      </w:r>
    </w:p>
    <w:p w14:paraId="198A72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установлено: 1 пулемет Березина - синхронный, калибра - 12,7 мм, запас патрон - 200 шт., 2 синхронных Шкас нормального каллбра - 7,6 мм, запас патрон - 730 шт. на каждый.</w:t>
      </w:r>
    </w:p>
    <w:p w14:paraId="6F52F0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устанавливается: Мотор М-65 с трехлопастным винтом ВИШ 21К.</w:t>
      </w:r>
    </w:p>
    <w:p w14:paraId="5BE1EC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 на сегодня по изготовлению самолета И-207-4 неудовлетворительное.</w:t>
      </w:r>
    </w:p>
    <w:p w14:paraId="0544FB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установленный Наркомом срок сборки машин на заводе к 1.У11 завод до сих пор не развернул работу по составленному графику.</w:t>
      </w:r>
    </w:p>
    <w:p w14:paraId="4281EC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по этапам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7D5DF8" w:rsidRPr="00DB5D0D" w14:paraId="409F3B20" w14:textId="77777777" w:rsidTr="009223E5">
        <w:tc>
          <w:tcPr>
            <w:tcW w:w="2254" w:type="dxa"/>
            <w:tcBorders>
              <w:top w:val="single" w:sz="12" w:space="0" w:color="auto"/>
            </w:tcBorders>
          </w:tcPr>
          <w:p w14:paraId="0D651F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2254" w:type="dxa"/>
            <w:tcBorders>
              <w:top w:val="single" w:sz="12" w:space="0" w:color="auto"/>
            </w:tcBorders>
          </w:tcPr>
          <w:p w14:paraId="7B746F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1-го этапа</w:t>
            </w:r>
          </w:p>
        </w:tc>
        <w:tc>
          <w:tcPr>
            <w:tcW w:w="2254" w:type="dxa"/>
            <w:tcBorders>
              <w:top w:val="single" w:sz="12" w:space="0" w:color="auto"/>
            </w:tcBorders>
          </w:tcPr>
          <w:p w14:paraId="3CE52F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2-го этапа</w:t>
            </w:r>
          </w:p>
        </w:tc>
        <w:tc>
          <w:tcPr>
            <w:tcW w:w="2254" w:type="dxa"/>
            <w:tcBorders>
              <w:top w:val="single" w:sz="12" w:space="0" w:color="auto"/>
            </w:tcBorders>
          </w:tcPr>
          <w:p w14:paraId="3F60EF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Сдача, на гос. испыт. </w:t>
            </w:r>
          </w:p>
        </w:tc>
        <w:tc>
          <w:tcPr>
            <w:tcW w:w="2254" w:type="dxa"/>
            <w:tcBorders>
              <w:top w:val="single" w:sz="12" w:space="0" w:color="auto"/>
            </w:tcBorders>
          </w:tcPr>
          <w:p w14:paraId="04D6D4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3-го этапа</w:t>
            </w:r>
          </w:p>
        </w:tc>
      </w:tr>
      <w:tr w:rsidR="007D5DF8" w:rsidRPr="00DB5D0D" w14:paraId="4BD38E50" w14:textId="77777777" w:rsidTr="009223E5">
        <w:tc>
          <w:tcPr>
            <w:tcW w:w="2254" w:type="dxa"/>
          </w:tcPr>
          <w:p w14:paraId="37AC0D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Установленный срок</w:t>
            </w:r>
          </w:p>
        </w:tc>
        <w:tc>
          <w:tcPr>
            <w:tcW w:w="2254" w:type="dxa"/>
          </w:tcPr>
          <w:p w14:paraId="5E9FD6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1У.1940 г.</w:t>
            </w:r>
          </w:p>
        </w:tc>
        <w:tc>
          <w:tcPr>
            <w:tcW w:w="2254" w:type="dxa"/>
          </w:tcPr>
          <w:p w14:paraId="34E77C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1.УП.1940 г.</w:t>
            </w:r>
          </w:p>
        </w:tc>
        <w:tc>
          <w:tcPr>
            <w:tcW w:w="2254" w:type="dxa"/>
          </w:tcPr>
          <w:p w14:paraId="2FAC58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15.Х1.1940 г.</w:t>
            </w:r>
          </w:p>
        </w:tc>
        <w:tc>
          <w:tcPr>
            <w:tcW w:w="2254" w:type="dxa"/>
          </w:tcPr>
          <w:p w14:paraId="01C3B3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15.1Х.1940 г.</w:t>
            </w:r>
          </w:p>
        </w:tc>
      </w:tr>
      <w:tr w:rsidR="007D5DF8" w:rsidRPr="00DB5D0D" w14:paraId="17EB113B" w14:textId="77777777" w:rsidTr="009223E5">
        <w:tc>
          <w:tcPr>
            <w:tcW w:w="2254" w:type="dxa"/>
            <w:tcBorders>
              <w:bottom w:val="single" w:sz="12" w:space="0" w:color="auto"/>
            </w:tcBorders>
          </w:tcPr>
          <w:p w14:paraId="0E076A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выполнено</w:t>
            </w:r>
          </w:p>
        </w:tc>
        <w:tc>
          <w:tcPr>
            <w:tcW w:w="2254" w:type="dxa"/>
            <w:tcBorders>
              <w:bottom w:val="single" w:sz="12" w:space="0" w:color="auto"/>
            </w:tcBorders>
          </w:tcPr>
          <w:p w14:paraId="4D8AE6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1У.1940 г.</w:t>
            </w:r>
          </w:p>
        </w:tc>
        <w:tc>
          <w:tcPr>
            <w:tcW w:w="2254" w:type="dxa"/>
            <w:tcBorders>
              <w:bottom w:val="single" w:sz="12" w:space="0" w:color="auto"/>
            </w:tcBorders>
          </w:tcPr>
          <w:p w14:paraId="64C76B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54" w:type="dxa"/>
            <w:tcBorders>
              <w:bottom w:val="single" w:sz="12" w:space="0" w:color="auto"/>
            </w:tcBorders>
          </w:tcPr>
          <w:p w14:paraId="516679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54" w:type="dxa"/>
            <w:tcBorders>
              <w:bottom w:val="single" w:sz="12" w:space="0" w:color="auto"/>
            </w:tcBorders>
          </w:tcPr>
          <w:p w14:paraId="635D93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3000D1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Готовность самолета в производстве оривнтировочно равна 35%</w:t>
      </w:r>
    </w:p>
    <w:p w14:paraId="2A848A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трудности, испытываемые ОКБ тов. БОРОВКОВА заключаются в отсутствии опытного цеха.</w:t>
      </w:r>
    </w:p>
    <w:p w14:paraId="39BAE9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ускорения постройки самолета, намечено пере</w:t>
      </w:r>
      <w:r w:rsidRPr="00DB5D0D">
        <w:rPr>
          <w:rFonts w:ascii="Times New Roman" w:hAnsi="Times New Roman"/>
          <w:color w:val="000000" w:themeColor="text1"/>
          <w:sz w:val="16"/>
          <w:szCs w:val="16"/>
        </w:rPr>
        <w:softHyphen/>
        <w:t>дать в распоряжение тов. БОРОВКОВА цех №2 для орга</w:t>
      </w:r>
      <w:r w:rsidRPr="00DB5D0D">
        <w:rPr>
          <w:rFonts w:ascii="Times New Roman" w:hAnsi="Times New Roman"/>
          <w:color w:val="000000" w:themeColor="text1"/>
          <w:sz w:val="16"/>
          <w:szCs w:val="16"/>
        </w:rPr>
        <w:softHyphen/>
        <w:t>низации опытного цеха.</w:t>
      </w:r>
    </w:p>
    <w:p w14:paraId="52A6E1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Директору завода тов. ГОРИНУ предложено развер</w:t>
      </w:r>
      <w:r w:rsidRPr="00DB5D0D">
        <w:rPr>
          <w:rFonts w:ascii="Times New Roman" w:hAnsi="Times New Roman"/>
          <w:color w:val="000000" w:themeColor="text1"/>
          <w:sz w:val="16"/>
          <w:szCs w:val="16"/>
        </w:rPr>
        <w:softHyphen/>
        <w:t>нуть работы в соответствии-с графиком (10514,25).</w:t>
      </w:r>
    </w:p>
    <w:p w14:paraId="672DF7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была подготовлена:</w:t>
      </w:r>
    </w:p>
    <w:p w14:paraId="697647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 Р А 3 К А по САМОЛЕТУ И185-М90 КОНСТРУКЦИИ ЙНЖЕНЕРА ПОЛИКАРПОВА ЗАЗОДА № 1</w:t>
      </w:r>
    </w:p>
    <w:p w14:paraId="799483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 185 -М90 - одноместный, одномоторный моноплан с низкоресполокенным крылом, с убирающимися шасси и костыльным колесом.</w:t>
      </w:r>
    </w:p>
    <w:p w14:paraId="518F3B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предназначен для использования в качестве Скоростного истребителя.</w:t>
      </w:r>
    </w:p>
    <w:p w14:paraId="7EF467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самолета - смешанная.</w:t>
      </w:r>
    </w:p>
    <w:p w14:paraId="01376E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 деревянный монокок, плавно переходящий на киль, составляющий с фюзеляжем одно целое.</w:t>
      </w:r>
    </w:p>
    <w:p w14:paraId="46A5E2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убирающееся, консольное, одностоечного типа.</w:t>
      </w:r>
    </w:p>
    <w:p w14:paraId="64F66D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и хвостовое оперение-цельнометаллическое со стальными несущими элементами и дюралевой обшивкой. Органы управления обтянуты полотном.</w:t>
      </w:r>
    </w:p>
    <w:p w14:paraId="5CC74A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Баки - сварные из алюминиевого сплава.</w:t>
      </w:r>
    </w:p>
    <w:p w14:paraId="648544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 пилота - закрытая, козырек и фонарь из плексигласа, фонарь откатывается. назад передвижением роликов по направляющим.</w:t>
      </w:r>
    </w:p>
    <w:p w14:paraId="6798D4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состоит из двух крупнокалиберных пулеметов - Березина и двух мелкокалиберных пулеметов Шкас. Все пулеметы расположены вверху - непосредственно околоприцела. Помимо этого имеется бомбардировочное вооружение, принятое для истребителя.</w:t>
      </w:r>
    </w:p>
    <w:p w14:paraId="6D1CE6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данном самолете, впервые в Советском Союзе, раз</w:t>
      </w:r>
      <w:r w:rsidRPr="00DB5D0D">
        <w:rPr>
          <w:rFonts w:ascii="Times New Roman" w:hAnsi="Times New Roman"/>
          <w:color w:val="000000" w:themeColor="text1"/>
          <w:sz w:val="16"/>
          <w:szCs w:val="16"/>
        </w:rPr>
        <w:softHyphen/>
        <w:t>работаны и введены в конструкцию ряд новых идей - (капот мотора с центральном входным отверстием для воздуха, охлаждающего мотор, охлаждение мотора при работе на земле и на взлете с помощью специального вентилятора.</w:t>
      </w:r>
    </w:p>
    <w:p w14:paraId="08BAF8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строится в пяти экземплярах. В постройке опытных экземпляров принимают активное участие серийные цеха завода № 1.</w:t>
      </w:r>
    </w:p>
    <w:p w14:paraId="07EE57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Наркоматом Авиационной Промышленности установлены сроки окончания работ по этапам: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7D5DF8" w:rsidRPr="00DB5D0D" w14:paraId="00C96E4E" w14:textId="77777777" w:rsidTr="009223E5">
        <w:tc>
          <w:tcPr>
            <w:tcW w:w="2254" w:type="dxa"/>
            <w:tcBorders>
              <w:top w:val="single" w:sz="12" w:space="0" w:color="auto"/>
            </w:tcBorders>
          </w:tcPr>
          <w:p w14:paraId="5DAE0A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2254" w:type="dxa"/>
            <w:tcBorders>
              <w:top w:val="single" w:sz="12" w:space="0" w:color="auto"/>
            </w:tcBorders>
          </w:tcPr>
          <w:p w14:paraId="78C3D7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1-го этапа</w:t>
            </w:r>
          </w:p>
        </w:tc>
        <w:tc>
          <w:tcPr>
            <w:tcW w:w="2254" w:type="dxa"/>
            <w:tcBorders>
              <w:top w:val="single" w:sz="12" w:space="0" w:color="auto"/>
            </w:tcBorders>
          </w:tcPr>
          <w:p w14:paraId="0C1E21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2-го этапа</w:t>
            </w:r>
          </w:p>
        </w:tc>
        <w:tc>
          <w:tcPr>
            <w:tcW w:w="2254" w:type="dxa"/>
            <w:tcBorders>
              <w:top w:val="single" w:sz="12" w:space="0" w:color="auto"/>
            </w:tcBorders>
          </w:tcPr>
          <w:p w14:paraId="7AF74D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Сдача, на гос. испыт. </w:t>
            </w:r>
          </w:p>
        </w:tc>
        <w:tc>
          <w:tcPr>
            <w:tcW w:w="2254" w:type="dxa"/>
            <w:tcBorders>
              <w:top w:val="single" w:sz="12" w:space="0" w:color="auto"/>
            </w:tcBorders>
          </w:tcPr>
          <w:p w14:paraId="7C526A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3-го этапа</w:t>
            </w:r>
          </w:p>
        </w:tc>
      </w:tr>
      <w:tr w:rsidR="007D5DF8" w:rsidRPr="00DB5D0D" w14:paraId="63CED780" w14:textId="77777777" w:rsidTr="009223E5">
        <w:tc>
          <w:tcPr>
            <w:tcW w:w="2254" w:type="dxa"/>
          </w:tcPr>
          <w:p w14:paraId="4A995B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w:t>
            </w:r>
          </w:p>
        </w:tc>
        <w:tc>
          <w:tcPr>
            <w:tcW w:w="2254" w:type="dxa"/>
          </w:tcPr>
          <w:p w14:paraId="7850CF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1У.1940 г.</w:t>
            </w:r>
          </w:p>
        </w:tc>
        <w:tc>
          <w:tcPr>
            <w:tcW w:w="2254" w:type="dxa"/>
          </w:tcPr>
          <w:p w14:paraId="4F3AF2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1.УП.1940 г.</w:t>
            </w:r>
          </w:p>
        </w:tc>
        <w:tc>
          <w:tcPr>
            <w:tcW w:w="2254" w:type="dxa"/>
          </w:tcPr>
          <w:p w14:paraId="23748D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1.1Х.1940 г.</w:t>
            </w:r>
          </w:p>
        </w:tc>
        <w:tc>
          <w:tcPr>
            <w:tcW w:w="2254" w:type="dxa"/>
          </w:tcPr>
          <w:p w14:paraId="49552D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Х1.1940 г.</w:t>
            </w:r>
          </w:p>
        </w:tc>
      </w:tr>
      <w:tr w:rsidR="007D5DF8" w:rsidRPr="00DB5D0D" w14:paraId="46B89918" w14:textId="77777777" w:rsidTr="009223E5">
        <w:tc>
          <w:tcPr>
            <w:tcW w:w="2254" w:type="dxa"/>
          </w:tcPr>
          <w:p w14:paraId="112E28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и 3-й экз.</w:t>
            </w:r>
          </w:p>
        </w:tc>
        <w:tc>
          <w:tcPr>
            <w:tcW w:w="2254" w:type="dxa"/>
          </w:tcPr>
          <w:p w14:paraId="32D4E9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У.1940 г.</w:t>
            </w:r>
          </w:p>
        </w:tc>
        <w:tc>
          <w:tcPr>
            <w:tcW w:w="2254" w:type="dxa"/>
          </w:tcPr>
          <w:p w14:paraId="2D0911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15.У111.1940 г.</w:t>
            </w:r>
          </w:p>
        </w:tc>
        <w:tc>
          <w:tcPr>
            <w:tcW w:w="2254" w:type="dxa"/>
          </w:tcPr>
          <w:p w14:paraId="4FF682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15.1Х.1940 г.</w:t>
            </w:r>
          </w:p>
        </w:tc>
        <w:tc>
          <w:tcPr>
            <w:tcW w:w="2254" w:type="dxa"/>
          </w:tcPr>
          <w:p w14:paraId="3EF136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Х1.1940 г.</w:t>
            </w:r>
          </w:p>
        </w:tc>
      </w:tr>
      <w:tr w:rsidR="007D5DF8" w:rsidRPr="00DB5D0D" w14:paraId="49C61ED1" w14:textId="77777777" w:rsidTr="009223E5">
        <w:tc>
          <w:tcPr>
            <w:tcW w:w="2254" w:type="dxa"/>
            <w:tcBorders>
              <w:bottom w:val="single" w:sz="12" w:space="0" w:color="auto"/>
            </w:tcBorders>
          </w:tcPr>
          <w:p w14:paraId="32D5F6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4-й и 5-й экз.</w:t>
            </w:r>
          </w:p>
        </w:tc>
        <w:tc>
          <w:tcPr>
            <w:tcW w:w="2254" w:type="dxa"/>
            <w:tcBorders>
              <w:bottom w:val="single" w:sz="12" w:space="0" w:color="auto"/>
            </w:tcBorders>
          </w:tcPr>
          <w:p w14:paraId="555A88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У1.1940 г.</w:t>
            </w:r>
          </w:p>
        </w:tc>
        <w:tc>
          <w:tcPr>
            <w:tcW w:w="2254" w:type="dxa"/>
            <w:tcBorders>
              <w:bottom w:val="single" w:sz="12" w:space="0" w:color="auto"/>
            </w:tcBorders>
          </w:tcPr>
          <w:p w14:paraId="0D2956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1.У111.1940 г.</w:t>
            </w:r>
          </w:p>
        </w:tc>
        <w:tc>
          <w:tcPr>
            <w:tcW w:w="2254" w:type="dxa"/>
            <w:tcBorders>
              <w:bottom w:val="single" w:sz="12" w:space="0" w:color="auto"/>
            </w:tcBorders>
          </w:tcPr>
          <w:p w14:paraId="05DC5A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1.Х.1940 г.</w:t>
            </w:r>
          </w:p>
        </w:tc>
        <w:tc>
          <w:tcPr>
            <w:tcW w:w="2254" w:type="dxa"/>
            <w:tcBorders>
              <w:bottom w:val="single" w:sz="12" w:space="0" w:color="auto"/>
            </w:tcBorders>
          </w:tcPr>
          <w:p w14:paraId="719A5B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Х1.1940 г.</w:t>
            </w:r>
          </w:p>
        </w:tc>
      </w:tr>
    </w:tbl>
    <w:p w14:paraId="509911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рабочих чертежей было закончено 10.У с.г. и спущены в производство.</w:t>
      </w:r>
    </w:p>
    <w:p w14:paraId="1B511D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ПРОИЗВОДСТВА</w:t>
      </w:r>
    </w:p>
    <w:p w14:paraId="11EA07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статиспытаний - изготовлены все агрегаты самолета. Фюзеля« с центропланом, шасси и хвостовое оперение поданы в статлабораторию., где производится установка и подготовка к испытаниям.</w:t>
      </w:r>
    </w:p>
    <w:p w14:paraId="5A3054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ЛЕТАЮЩИЙ МАКЕТ САМОЛЕТА</w:t>
      </w:r>
    </w:p>
    <w:p w14:paraId="0B335A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отработки винтомоторной группы в аэродинамической трубе - построен летающий макет с работающей винтомоторной группой самолета.</w:t>
      </w:r>
    </w:p>
    <w:p w14:paraId="4C21DD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данное время производятся доводочные работы по постройке и заканчивается сборка кока воздушного винта. Завод № 29 задерживает испытание винта на стенде.</w:t>
      </w:r>
    </w:p>
    <w:p w14:paraId="4A3284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ГОТОВНОСТЬ ЛЕТНЫХ ЭКЗЕМПЛЯРОВ</w:t>
      </w:r>
    </w:p>
    <w:p w14:paraId="0F1978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1-ю летную машину - все агрегаты изготовлены и поступили в общую сборку самолета, кроме консоли крыла. Окончание сборки, кроме, установки мотора, намечено закончить 10.У1.</w:t>
      </w:r>
    </w:p>
    <w:p w14:paraId="5F2A1C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Подача мотора задерживается заводом № 29.</w:t>
      </w:r>
    </w:p>
    <w:p w14:paraId="6D8BFA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2-ю летную машину - все агрегаты находятся в стапельной сборке.</w:t>
      </w:r>
    </w:p>
    <w:p w14:paraId="2E0F52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окончания сборки, без установки мотора назначен на 25.У1. с.г.</w:t>
      </w:r>
    </w:p>
    <w:p w14:paraId="1CD2D3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3-й и 4-й- экземпляры самолетов изготовлены все детали громе центропланов, консолей крыла и оперения. На 5-й зкз. самолета - запущены в производство детали.</w:t>
      </w:r>
    </w:p>
    <w:p w14:paraId="5F0466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МЕРОПРИЯТИЯ</w:t>
      </w:r>
    </w:p>
    <w:p w14:paraId="46CA74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I. Усилить работу диспетчерского аппарата завода по самолету И-185.</w:t>
      </w:r>
    </w:p>
    <w:p w14:paraId="5FDAC2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Для ускорения проведения стендовых испытаний мотора и обеспечения опытных самолетов моторами М-90, заказать в Германии требуемые подшипники, из-за которых испытания мотора и подача его на летную машину И-185 задерживается.</w:t>
      </w:r>
    </w:p>
    <w:p w14:paraId="666176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Заводу № 29 подать второй мотор М-90 к 10.У1.1940 г. (10514,24).</w:t>
      </w:r>
    </w:p>
    <w:p w14:paraId="4416D6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была подготовлена:</w:t>
      </w:r>
    </w:p>
    <w:p w14:paraId="3B3AA7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в производства экспериментального пушечного истребителя с мотором М105ТК конструктора тов. БЕЛЯЕВА.</w:t>
      </w:r>
    </w:p>
    <w:p w14:paraId="544141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Краткое описание</w:t>
      </w:r>
    </w:p>
    <w:p w14:paraId="6682FD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представляет из себя одноместный истребитель с толкающим винтом, монопланного типа, с высокорасположенным крылом.</w:t>
      </w:r>
    </w:p>
    <w:p w14:paraId="4A4B64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смешанной конструкции, неразъемное, однолонжеронное. Лонжерон стальной, нервюры деревянные, обшивка - бакелитовая фанера.</w:t>
      </w:r>
    </w:p>
    <w:p w14:paraId="496C2B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(верхняя гондола) состоит из 2-х основных частей - носовой и хвостовой, смешанной конструкции. В носовой части расположена закрытая кабина пилота и вооружение: два 23 ммпушки и пулемет Шкас, в хвостовой части - мотор, хвостовое оперение вынесено на двух клепаных балках с разнесенными килями.</w:t>
      </w:r>
    </w:p>
    <w:p w14:paraId="55D803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трехколесное, убирающееся в полете, с воздушно-масляной амортизацией. Расчетная максимальная скорость 720 км/ч на 9000 мт.</w:t>
      </w:r>
    </w:p>
    <w:p w14:paraId="5B0E04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43D09E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 заканчивает разработку чертежей. Основная масса сдана в производство.</w:t>
      </w:r>
    </w:p>
    <w:p w14:paraId="357011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самолета ЭОИ утвержден 8.У.-40 г. с внесением изменений. Изменения макетной комиссии вносятся в чертежи, но в макет еще не внесены - приступят с 1.У1.1940 года.</w:t>
      </w:r>
    </w:p>
    <w:p w14:paraId="2760E6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в производстве по оснастке и заделу разворачиваются нормально.</w:t>
      </w:r>
    </w:p>
    <w:p w14:paraId="4B66E3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первой летной машине сроки по этапам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7D5DF8" w:rsidRPr="00DB5D0D" w14:paraId="66596A42" w14:textId="77777777" w:rsidTr="009223E5">
        <w:tc>
          <w:tcPr>
            <w:tcW w:w="3757" w:type="dxa"/>
            <w:tcBorders>
              <w:top w:val="single" w:sz="12" w:space="0" w:color="auto"/>
            </w:tcBorders>
          </w:tcPr>
          <w:p w14:paraId="453F2B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этап</w:t>
            </w:r>
          </w:p>
        </w:tc>
        <w:tc>
          <w:tcPr>
            <w:tcW w:w="3757" w:type="dxa"/>
            <w:tcBorders>
              <w:top w:val="single" w:sz="12" w:space="0" w:color="auto"/>
            </w:tcBorders>
          </w:tcPr>
          <w:p w14:paraId="2363BF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сдача чертежей в производство</w:t>
            </w:r>
          </w:p>
        </w:tc>
        <w:tc>
          <w:tcPr>
            <w:tcW w:w="3757" w:type="dxa"/>
            <w:tcBorders>
              <w:top w:val="single" w:sz="12" w:space="0" w:color="auto"/>
            </w:tcBorders>
          </w:tcPr>
          <w:p w14:paraId="44BB73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1.У1.1940 г.</w:t>
            </w:r>
          </w:p>
        </w:tc>
      </w:tr>
      <w:tr w:rsidR="007D5DF8" w:rsidRPr="00DB5D0D" w14:paraId="7AAFB69B" w14:textId="77777777" w:rsidTr="009223E5">
        <w:tc>
          <w:tcPr>
            <w:tcW w:w="3757" w:type="dxa"/>
          </w:tcPr>
          <w:p w14:paraId="0F4E58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этап</w:t>
            </w:r>
          </w:p>
        </w:tc>
        <w:tc>
          <w:tcPr>
            <w:tcW w:w="3757" w:type="dxa"/>
          </w:tcPr>
          <w:p w14:paraId="4BB5FB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первого летного экз.</w:t>
            </w:r>
          </w:p>
        </w:tc>
        <w:tc>
          <w:tcPr>
            <w:tcW w:w="3757" w:type="dxa"/>
          </w:tcPr>
          <w:p w14:paraId="1F7586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1.У111.1940 г.</w:t>
            </w:r>
          </w:p>
        </w:tc>
      </w:tr>
      <w:tr w:rsidR="007D5DF8" w:rsidRPr="00DB5D0D" w14:paraId="389D0592" w14:textId="77777777" w:rsidTr="009223E5">
        <w:tc>
          <w:tcPr>
            <w:tcW w:w="3757" w:type="dxa"/>
            <w:tcBorders>
              <w:bottom w:val="single" w:sz="12" w:space="0" w:color="auto"/>
            </w:tcBorders>
          </w:tcPr>
          <w:p w14:paraId="41FD53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3-й этап</w:t>
            </w:r>
          </w:p>
        </w:tc>
        <w:tc>
          <w:tcPr>
            <w:tcW w:w="3757" w:type="dxa"/>
            <w:tcBorders>
              <w:bottom w:val="single" w:sz="12" w:space="0" w:color="auto"/>
            </w:tcBorders>
          </w:tcPr>
          <w:p w14:paraId="2E8A13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заводских испытаний</w:t>
            </w:r>
          </w:p>
        </w:tc>
        <w:tc>
          <w:tcPr>
            <w:tcW w:w="3757" w:type="dxa"/>
            <w:tcBorders>
              <w:bottom w:val="single" w:sz="12" w:space="0" w:color="auto"/>
            </w:tcBorders>
          </w:tcPr>
          <w:p w14:paraId="021347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15.Х.1940 г.</w:t>
            </w:r>
          </w:p>
        </w:tc>
      </w:tr>
    </w:tbl>
    <w:p w14:paraId="7AEB95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29.У. готовность чертежей оценивалась, примерно, в 90%. Чертежи в основном сдавались в технологическую раз</w:t>
      </w:r>
      <w:r w:rsidRPr="00DB5D0D">
        <w:rPr>
          <w:rFonts w:ascii="Times New Roman" w:hAnsi="Times New Roman"/>
          <w:color w:val="000000" w:themeColor="text1"/>
          <w:sz w:val="16"/>
          <w:szCs w:val="16"/>
        </w:rPr>
        <w:softHyphen/>
        <w:t>работку на завод № 156 во второй половине мая месяца.</w:t>
      </w:r>
    </w:p>
    <w:p w14:paraId="3AD4EE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всем трем машинам (для статиспытаний, первая и вторая летные), запущено в производство 2150 чертежей.</w:t>
      </w:r>
    </w:p>
    <w:p w14:paraId="15D751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Основными задержками в выполнении сроков для КБ являются задержка в продувке модели разм. 1:3,5, сданной в ЦАГИ, и слабое развертывание работ по изготовлению стенда и агрегатов для стат. испытаний, а для производства - неравномерная подача чертежей (10514,26).</w:t>
      </w:r>
    </w:p>
    <w:p w14:paraId="006CE5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была подготовлена:</w:t>
      </w:r>
    </w:p>
    <w:p w14:paraId="6CA691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 Р А В К.А ПО САМОЛЕТУ И-135-М-105</w:t>
      </w:r>
    </w:p>
    <w:p w14:paraId="4D164D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 СУХОЙ П.О.</w:t>
      </w:r>
    </w:p>
    <w:p w14:paraId="6BB84B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представляет собою одномоторный, пушечный, одноместный истребитель - моноплан, с низкорасположенным крылом. Самолет имеет один мотор М-105П с двумя турбокомпрессорами - ТК-2.</w:t>
      </w:r>
    </w:p>
    <w:p w14:paraId="183CDA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пушки типа Швак калибра 20 мм, на самолете установлены 2 синхронных пулемета Шкас калибром 7,62 мм.</w:t>
      </w:r>
    </w:p>
    <w:p w14:paraId="718DF3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снарядов для пушки - 190 шт. Количество патронов для пулеметов - 1800 шт.</w:t>
      </w:r>
    </w:p>
    <w:p w14:paraId="6DCB6F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самолета деревянный, имеет стрингера и лонжероны, обшивка выклеена из шпона.</w:t>
      </w:r>
    </w:p>
    <w:p w14:paraId="308FA7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самолета однолоняеронное, металлическое: лонжероны - стальные, нервюры и обшивка дюралевые. Рули и элероны имеют каркас металлический, дюралевый с полотняной обшивкой. Уборка шасси гидравлическая.</w:t>
      </w:r>
    </w:p>
    <w:p w14:paraId="12173D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В.М.Г., имеющая систему водяного и масляного охлаждения, оборудована автоматами регулировки температуры воды и масла, оборотов мотора и оборотов ТК.</w:t>
      </w:r>
    </w:p>
    <w:p w14:paraId="208DA2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изменяемого в полете шага (ВИШ-61), с диапазоном углов поворота лопасти в 37°.</w:t>
      </w:r>
    </w:p>
    <w:p w14:paraId="749316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имеет основной бензобак на 250 кг. горючего из фибры. Он протектирован. Кроме основного бака, на бомбовых замках, под левым крылом может устанавливаться подвесной бак на 150 кг. горючего.</w:t>
      </w:r>
    </w:p>
    <w:p w14:paraId="49E34A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перегрузочного варианта самолета, для бомбометания с пикирования предусмотрены подкрыльные замки. Для подвески 2-х штук осколочных двадцати пяти килогграммовых бомб или одной Фугасной или химической бомбы на 100 кг.</w:t>
      </w:r>
    </w:p>
    <w:p w14:paraId="2FB2D5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самолета окончен постройкой ОКО з-да № 135 - 28.1У.40 г. и в настоящее время перевозит</w:t>
      </w:r>
      <w:r w:rsidRPr="00DB5D0D">
        <w:rPr>
          <w:rFonts w:ascii="Times New Roman" w:hAnsi="Times New Roman"/>
          <w:color w:val="000000" w:themeColor="text1"/>
          <w:sz w:val="16"/>
          <w:szCs w:val="16"/>
        </w:rPr>
        <w:softHyphen/>
        <w:t>ся в ЦАГИ-Раменское.</w:t>
      </w:r>
    </w:p>
    <w:p w14:paraId="7ABE5F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по 1-му экземпляру и дублеру изготовлены на 100% и находятся в производстве ОКО завода №135.</w:t>
      </w:r>
    </w:p>
    <w:p w14:paraId="746528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в производстве дублера следующее:</w:t>
      </w:r>
    </w:p>
    <w:p w14:paraId="67CD97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Центроплан в сборочном цеху на стыковке с фюзеляжем, на фюзеляже </w:t>
      </w:r>
      <w:r w:rsidRPr="00DB5D0D">
        <w:rPr>
          <w:rFonts w:ascii="Times New Roman" w:hAnsi="Times New Roman"/>
          <w:smallCaps/>
          <w:color w:val="000000" w:themeColor="text1"/>
          <w:sz w:val="16"/>
          <w:szCs w:val="16"/>
        </w:rPr>
        <w:t xml:space="preserve">производится </w:t>
      </w:r>
      <w:r w:rsidRPr="00DB5D0D">
        <w:rPr>
          <w:rFonts w:ascii="Times New Roman" w:hAnsi="Times New Roman"/>
          <w:color w:val="000000" w:themeColor="text1"/>
          <w:sz w:val="16"/>
          <w:szCs w:val="16"/>
        </w:rPr>
        <w:t>монтаж внутреннего оборудования управления.</w:t>
      </w:r>
    </w:p>
    <w:p w14:paraId="5538D2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Оперение: производится обшивка полотном.</w:t>
      </w:r>
    </w:p>
    <w:p w14:paraId="7FF9E8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шасси икостылю, управлению и В.М.Г. - производится изготовление деталей. По крылу готовность стапелей - 95%.</w:t>
      </w:r>
    </w:p>
    <w:p w14:paraId="316378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Установленные сроки по этапам следующие: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90"/>
        <w:gridCol w:w="1440"/>
        <w:gridCol w:w="1800"/>
        <w:gridCol w:w="1625"/>
        <w:gridCol w:w="1796"/>
      </w:tblGrid>
      <w:tr w:rsidR="007D5DF8" w:rsidRPr="00DB5D0D" w14:paraId="01BFC48D" w14:textId="77777777" w:rsidTr="009223E5">
        <w:trPr>
          <w:trHeight w:val="538"/>
        </w:trPr>
        <w:tc>
          <w:tcPr>
            <w:tcW w:w="1890" w:type="dxa"/>
            <w:tcBorders>
              <w:top w:val="single" w:sz="12" w:space="0" w:color="auto"/>
            </w:tcBorders>
          </w:tcPr>
          <w:p w14:paraId="5023E2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440" w:type="dxa"/>
            <w:tcBorders>
              <w:top w:val="single" w:sz="12" w:space="0" w:color="auto"/>
            </w:tcBorders>
          </w:tcPr>
          <w:p w14:paraId="0BBD31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1-го этапа</w:t>
            </w:r>
          </w:p>
        </w:tc>
        <w:tc>
          <w:tcPr>
            <w:tcW w:w="1800" w:type="dxa"/>
            <w:tcBorders>
              <w:top w:val="single" w:sz="12" w:space="0" w:color="auto"/>
            </w:tcBorders>
          </w:tcPr>
          <w:p w14:paraId="7414EC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2-го этапа</w:t>
            </w:r>
          </w:p>
        </w:tc>
        <w:tc>
          <w:tcPr>
            <w:tcW w:w="1625" w:type="dxa"/>
            <w:tcBorders>
              <w:top w:val="single" w:sz="12" w:space="0" w:color="auto"/>
            </w:tcBorders>
          </w:tcPr>
          <w:p w14:paraId="61CD8A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Сдача, на гос. испыт. </w:t>
            </w:r>
          </w:p>
        </w:tc>
        <w:tc>
          <w:tcPr>
            <w:tcW w:w="1796" w:type="dxa"/>
            <w:tcBorders>
              <w:top w:val="single" w:sz="12" w:space="0" w:color="auto"/>
            </w:tcBorders>
          </w:tcPr>
          <w:p w14:paraId="25351D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3-го этапа</w:t>
            </w:r>
          </w:p>
        </w:tc>
      </w:tr>
      <w:tr w:rsidR="007D5DF8" w:rsidRPr="00DB5D0D" w14:paraId="61C81FDB" w14:textId="77777777" w:rsidTr="009223E5">
        <w:trPr>
          <w:trHeight w:val="538"/>
        </w:trPr>
        <w:tc>
          <w:tcPr>
            <w:tcW w:w="1890" w:type="dxa"/>
          </w:tcPr>
          <w:p w14:paraId="34E3F4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w:t>
            </w:r>
          </w:p>
        </w:tc>
        <w:tc>
          <w:tcPr>
            <w:tcW w:w="1440" w:type="dxa"/>
          </w:tcPr>
          <w:p w14:paraId="2831EF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У.40 г.</w:t>
            </w:r>
          </w:p>
        </w:tc>
        <w:tc>
          <w:tcPr>
            <w:tcW w:w="1800" w:type="dxa"/>
          </w:tcPr>
          <w:p w14:paraId="1EAE98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15.УП.40 г.</w:t>
            </w:r>
          </w:p>
        </w:tc>
        <w:tc>
          <w:tcPr>
            <w:tcW w:w="1625" w:type="dxa"/>
          </w:tcPr>
          <w:p w14:paraId="2B1D61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15.1Х.40 г.</w:t>
            </w:r>
          </w:p>
        </w:tc>
        <w:tc>
          <w:tcPr>
            <w:tcW w:w="1796" w:type="dxa"/>
          </w:tcPr>
          <w:p w14:paraId="2130A2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XI.40 г.</w:t>
            </w:r>
          </w:p>
        </w:tc>
      </w:tr>
      <w:tr w:rsidR="007D5DF8" w:rsidRPr="00DB5D0D" w14:paraId="315D65C8" w14:textId="77777777" w:rsidTr="009223E5">
        <w:trPr>
          <w:trHeight w:val="538"/>
        </w:trPr>
        <w:tc>
          <w:tcPr>
            <w:tcW w:w="1890" w:type="dxa"/>
            <w:tcBorders>
              <w:bottom w:val="single" w:sz="12" w:space="0" w:color="auto"/>
            </w:tcBorders>
          </w:tcPr>
          <w:p w14:paraId="557AEE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w:t>
            </w:r>
          </w:p>
        </w:tc>
        <w:tc>
          <w:tcPr>
            <w:tcW w:w="1440" w:type="dxa"/>
            <w:tcBorders>
              <w:bottom w:val="single" w:sz="12" w:space="0" w:color="auto"/>
            </w:tcBorders>
          </w:tcPr>
          <w:p w14:paraId="682CAF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У1.40 г.</w:t>
            </w:r>
          </w:p>
        </w:tc>
        <w:tc>
          <w:tcPr>
            <w:tcW w:w="1800" w:type="dxa"/>
            <w:tcBorders>
              <w:bottom w:val="single" w:sz="12" w:space="0" w:color="auto"/>
            </w:tcBorders>
          </w:tcPr>
          <w:p w14:paraId="1561EE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1.1Х.40 г.</w:t>
            </w:r>
          </w:p>
        </w:tc>
        <w:tc>
          <w:tcPr>
            <w:tcW w:w="1625" w:type="dxa"/>
            <w:tcBorders>
              <w:bottom w:val="single" w:sz="12" w:space="0" w:color="auto"/>
            </w:tcBorders>
          </w:tcPr>
          <w:p w14:paraId="68FBC5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XI.40 г.</w:t>
            </w:r>
          </w:p>
        </w:tc>
        <w:tc>
          <w:tcPr>
            <w:tcW w:w="1796" w:type="dxa"/>
            <w:tcBorders>
              <w:bottom w:val="single" w:sz="12" w:space="0" w:color="auto"/>
            </w:tcBorders>
          </w:tcPr>
          <w:p w14:paraId="1DC1DD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1.41 г.</w:t>
            </w:r>
          </w:p>
        </w:tc>
      </w:tr>
    </w:tbl>
    <w:p w14:paraId="671671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Причины задержек в постройке самолета в срок-и своевременная поставка кондиционных моторов М-105П, ВИШ-61 и позднее изготовление стенда самолета.</w:t>
      </w:r>
    </w:p>
    <w:p w14:paraId="6304F0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необходимо обеспечить 2-мя моторами М-105П к 3-5 июня (моторы должны быть зарезервированы) и 15-20 литрами масла МВП к помпам для шасси (10514,23).</w:t>
      </w:r>
    </w:p>
    <w:p w14:paraId="4F810B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495E3C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года главный конструктор завода Яценко писал письмо председателю КО маршалу Ворошилову К.Е.</w:t>
      </w:r>
    </w:p>
    <w:p w14:paraId="255153B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Докладная записка</w:t>
      </w:r>
    </w:p>
    <w:p w14:paraId="3C05735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заданию КО мне было поручено спроектировать и построить опытный скоростной деревянный истребитель.</w:t>
      </w:r>
    </w:p>
    <w:p w14:paraId="3825AA1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Конструкторский коллектив с которым я работал состоял из молодняка и по количеству был мал (18 человек). Не было ни производственной, ни конструкторской базы. Все же мы взялись за работу считая, что с заданием справимся и рассчитывая, что НКАП, как обещал, нам поможет.</w:t>
      </w:r>
    </w:p>
    <w:p w14:paraId="17FC038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Полтора года, с невероятными трудностями, с прямым противодействием заводоуправления, при полном бездействии со стороны НКАП бились мы и все же сделали первую машину 30 мая 1939 года.</w:t>
      </w:r>
    </w:p>
    <w:p w14:paraId="3A1F7E6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нашем тяжелом положении много говорилось на комиссии Маленкова (во время приемки Наркомата) нас ставили, как пример, когда обвиняли Наркомат в бездеятельности.</w:t>
      </w:r>
    </w:p>
    <w:p w14:paraId="6541DA2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Построенная машина И-28 дала неплохие результаты, но авария в июле 1939 года отодвинула вопрос о ее серийной постройке, отодвинули вопрос о ее доводке, так как нужно было срочно дать второй экземпляр дабы НИИ могло дать свое окончательное заключение. Вторая машина была построена в 55 дней. Строил ее (уже не один наш коллектив – помогал (по приказу и уже нажиму) завод № 81.</w:t>
      </w:r>
    </w:p>
    <w:p w14:paraId="2A5B4A7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части доводки на машине-дублере было сделано все, что требовалось для безопасности полета. Все остальные замечания по дефектам и требования НИИ и, в основном, вопрос увеличения устойчивости были отображены в чертежах, которые и были переданы заводу СЗК.</w:t>
      </w:r>
    </w:p>
    <w:p w14:paraId="0B43619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СЗК приступил к работе еще в середине прошлого года, когда 70 человек приехали ко мне знакомились с чертежами, производили технологический контроль. Многое было мной переделано для облегчения освоения машины. Исправления и чертежи в конце 1939 года в основном были сданы. Можно было начинать работу, но не хватало одного – приказа. Завод понемногу работал, но не брался полностью, так как боялся тратить средства, не имея на то бумажки. Все же, с большим трудом, с большим нажимом молодой, с авиационной точки зрения, завод почти наладил производство и должен начать выпускать продукцию в первых числах июня 1940 года. Снять сейчас с производства машину по-моему невыгодно государству по следующим соображениям:</w:t>
      </w:r>
    </w:p>
    <w:p w14:paraId="33047CFB"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 около года летал в НИИ, с ней знакомы, достаточно эксплуатировали и проверили.</w:t>
      </w:r>
    </w:p>
    <w:p w14:paraId="4E3B84D2"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Доводки на машине во многом сделаны, а то что осталось легче устранить, чем начинать все сначала.</w:t>
      </w:r>
    </w:p>
    <w:p w14:paraId="5C634BBF"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Большинство замечаний НИИ внесены в чертежи и уже на серии устранены.</w:t>
      </w:r>
    </w:p>
    <w:p w14:paraId="685DC7F5"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Основной вопрос – устойчивость в серии также учтен и если предположить, что устойчивость не будет достаточна, этот один вопрос быстро и с небольшими затратами можно добить.</w:t>
      </w:r>
    </w:p>
    <w:p w14:paraId="70CCFF95"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Будущее машины также обеспечивается модификацией, которая выводит ее в ряды передовых, по летным данным машин.</w:t>
      </w:r>
    </w:p>
    <w:p w14:paraId="0375E17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Остановить производство И-28 и повторить весь цикл сначала, на другом объекте, это значит потратить еще время, еще деньги и еще отодвинуть вопрос о перевооружении РККА.</w:t>
      </w:r>
    </w:p>
    <w:p w14:paraId="5C56EF6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Мне было приказано со всем коллективом ехать в Саратов, а здесь работы прекратить. Был подписан приказ о переводе, но вначале декабря он, не выйдя в свет, был аннулирован. Все повисло в воздухе и до сих пор вопрос разрешения не имеет.</w:t>
      </w:r>
    </w:p>
    <w:p w14:paraId="0E2A976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 81, где мы работали, опытный цех разорен, помещения КБ забраны заводом. На заводе СЗК ничего не создано. 25 мая 1940 года я был вызван из Саратова телеграммой. Зам. наркома Воронин, а затем зам. наркома Яковлев мне сказали, что машина с серии снята и что мне надо думать и искать базу в Москве.</w:t>
      </w:r>
    </w:p>
    <w:p w14:paraId="12FF66F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Следовательно, наш маленький коллектив вообще оказался не у дел, так как найти базу не простая задача.</w:t>
      </w:r>
    </w:p>
    <w:p w14:paraId="6B1D168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имеем задание КО по модификации: данные модификации (совершенно реально) ставят ее в ряды лучших современных машин. Скорость 650 км/час для машины с воздушным мотором достаточно прилична, чтобы за нее драться. Сроки по модификации приближаются, а работу мы развернуть не можем, ибо все наше имущество в ящиках, люди ходят и сесть и работать негде.</w:t>
      </w:r>
    </w:p>
    <w:p w14:paraId="55F6E16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прошедших двух с половиной лет, требования правительства о сокращении сроков постройки и испытания опытных образцов самолетов, диктуют конструктору и всему коллективу условия его работы. Работать так, как работали мы, без помещений, без оборудования, без людей, это значит не выполнить задание в срок, это значит работать в холостую, ибо долго строить, что значит опаздывать и тратить напрасно энергию и средства.</w:t>
      </w:r>
    </w:p>
    <w:p w14:paraId="7B31556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иметь хорошо оборудованную базу, надо иметь оседлое место жительства, тогда можно работать, расти, делать так и в те сроки, как это требуют от нас Партия и Правительство.</w:t>
      </w:r>
    </w:p>
    <w:p w14:paraId="2EA714D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Единственно реальным решением вопроса является следующее:</w:t>
      </w:r>
    </w:p>
    <w:p w14:paraId="5AD802E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 81 имеется отдельное помещение – цех ширпотреба, общей площадью около 1600 кв. м. Это не много, но это позволит сейчас же в течении 10 дней приступить к работе и на его базе развиваться.</w:t>
      </w:r>
    </w:p>
    <w:p w14:paraId="2BF34C1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Территория позволяет дальнейшее расширение. Средств на расширение потребуется немного. Находясь рядом с заводом можно использовать цеха подсобные. Это совершенно изолированное помещение, а главное люди, работавшие в коллективе, остаются на месте, где они работали, где они обосновались и живут.</w:t>
      </w:r>
    </w:p>
    <w:p w14:paraId="2FBB5D8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Цех ширпотреб имеет программу 1940 года на 1,5 миллиона. Продукцию только осваивает, живет на дотациях и главное производит продукцию (горелки примусные и кровати) не на основе отходов завода, а на привозном сырье.</w:t>
      </w:r>
    </w:p>
    <w:p w14:paraId="42000D5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соответствующей команде, при добавлении небольшого количества станков (20-25), можно в течении 1,5 месяцев сделать небольшой (пока) опытный завод, который сможет сразу начать работать и в этом году дать машину.</w:t>
      </w:r>
    </w:p>
    <w:p w14:paraId="170B86E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необходимы приказы и проверка (повседневная) исполнения их, так как при нормальном прохождении всего цикла, конечно, в этом году ничего организовано не будет.</w:t>
      </w:r>
    </w:p>
    <w:p w14:paraId="3043721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мне кажется надо решить окончательно: или коллектив должен работать и ему помочь организоваться, или работа его не нужна, тогда надо его распустить.</w:t>
      </w:r>
    </w:p>
    <w:p w14:paraId="267D715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Очень прошу решить этот вопрос, так как дальнейшая затяжка кроме ущерба ничего государству не дает (3420, 88-90).</w:t>
      </w:r>
    </w:p>
    <w:p w14:paraId="3572EAC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14A5C703"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 июня 1940 главный конструктор Яценко, который пытался добиться продолжения работ по серийному выпуску И-28, направил докладную записку К.Е. Ворошилову, в которой отмечал следующее:</w:t>
      </w:r>
    </w:p>
    <w:p w14:paraId="36D07517"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«Снять сейчас с производства машину по моему не выгодно государству по следующим соображениям:</w:t>
      </w:r>
    </w:p>
    <w:p w14:paraId="7628B344"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 И-28 около года летал в НИИ, с ней знакомы, достаточно эксплуатировали и проверили.</w:t>
      </w:r>
    </w:p>
    <w:p w14:paraId="12723596"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 Доводки на машине во многом сделаны, а то, что осталось, легче устранить, чем начинать все с начала.</w:t>
      </w:r>
    </w:p>
    <w:p w14:paraId="427E74F6"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 Большинство замечаний НИИ внесены в чертежи и уже в серии устранены.</w:t>
      </w:r>
    </w:p>
    <w:p w14:paraId="0859E76C"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4). Основной вопрос - устойчивость в серии также учтен и если предположить, что устойчивость не будет достаточна, этот один вопрос быстро и с небольшими затратами можно добить.</w:t>
      </w:r>
    </w:p>
    <w:p w14:paraId="7C0FDCD8"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5). Будущее машины также обеспечивается модификацией, которая выводит ее в ряды передовых, по летным данным, машин.</w:t>
      </w:r>
    </w:p>
    <w:p w14:paraId="079836AB"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Остановить производство И-28 и повторить весь цикл сначала, на другом объекте, это значит потратить еще время, еще деньги и еще отодвинуть вопрос о перевооружении РККА».</w:t>
      </w:r>
    </w:p>
    <w:p w14:paraId="7575FCAF"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Конечно, прекращение выпуска истребителя И-28 в тот момент, когда все трудности в основном остались позади, стало серьезным ударом по конструкторскому бюро В.П. Яценко. Но как оказалось, это было еще не так страшно, как потеря собственной производственной базы, что в принципе ставило крест на творчестве коллектива.</w:t>
      </w:r>
    </w:p>
    <w:p w14:paraId="4A6BB91D"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Назначение В.П. Яценко главным конструктором завода «Саркомбайн» в соответствии с уже упоминавшимся приказом НКАП №405 от 7 декабря 1959 г. открывало перед ним неплохие перспективы. Владимиру Панфиловичу предписывалось перебраться со всем коллективом в Саратов, а в Москве все работы прекратить. Однако вскоре этот приказ аннулировали, и все повисло в воздухе. На заводе «Саркомбайн» для работы Кб ничего создано не было и, по сути, требовалось все начинать с нуля, а на заводе №81, где ранее работал коллектив В.П. Яценко, после их отъезда все сразу же «приватизировали» - опытный цех разукомплектовали, а в помещениях опытного отдела разместили службы завода №81 (17738).</w:t>
      </w:r>
    </w:p>
    <w:p w14:paraId="21A96AF9" w14:textId="77777777" w:rsidR="009172F2" w:rsidRPr="00DB5D0D" w:rsidRDefault="009172F2" w:rsidP="00DB5D0D">
      <w:pPr>
        <w:spacing w:after="0" w:line="240" w:lineRule="auto"/>
        <w:jc w:val="both"/>
        <w:rPr>
          <w:rFonts w:ascii="Times New Roman" w:eastAsia="Times New Roman" w:hAnsi="Times New Roman"/>
          <w:color w:val="000000" w:themeColor="text1"/>
          <w:sz w:val="16"/>
          <w:szCs w:val="16"/>
          <w:lang w:eastAsia="ru-RU"/>
        </w:rPr>
      </w:pPr>
    </w:p>
    <w:p w14:paraId="7B799956"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 июня 1940 г. Владимир Панфилович Яценко предложил вариант выхода из сложившейся ситуации в докладной записке, в которой отмечал следующее:</w:t>
      </w:r>
    </w:p>
    <w:p w14:paraId="02FC7201"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«Единственно реальным решением вопроса является следующее:</w:t>
      </w:r>
    </w:p>
    <w:p w14:paraId="29AE4A49"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 заводе №81 имеется отдельное помещение для цеха ширпотреба, общей площадью 1600 кв. м. Это не много, но это позволит сейчас же, в течение 10 дней приступить к работе и на его базе развиваться...</w:t>
      </w:r>
    </w:p>
    <w:p w14:paraId="1E6495A9"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Вопрос мне кажется надо решить окончательно: или коллектив должен работать и ему помочь организоваться или работа его не нужна, тогда его надо распустить.</w:t>
      </w:r>
    </w:p>
    <w:p w14:paraId="13CE3549"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Очень прошу решить этот вопрос, т.к. дальнейшая затяжка, кроме ущерба, ничего государству не даст».</w:t>
      </w:r>
    </w:p>
    <w:p w14:paraId="68DEF088" w14:textId="77777777" w:rsidR="009172F2" w:rsidRPr="00DB5D0D" w:rsidRDefault="009172F2"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Докладная записка была направлена в секретариат Комитета Обороны при СНК СССР. Уже 5 июля И.А. Сафонов направил К.Е. Ворошилову докладную записку, в которой отмечал, «что секретариат КО считает целесообразным обязать НКАП и НКО в пятидневный срок внести в КО согласованные предложения по вопросу о дальнейшей работе конструкторского бюро т. Яценко» (17738).</w:t>
      </w:r>
    </w:p>
    <w:p w14:paraId="4BBE8864" w14:textId="77777777" w:rsidR="009172F2" w:rsidRPr="00DB5D0D" w:rsidRDefault="009172F2" w:rsidP="00DB5D0D">
      <w:pPr>
        <w:spacing w:after="0" w:line="240" w:lineRule="auto"/>
        <w:jc w:val="both"/>
        <w:rPr>
          <w:rFonts w:ascii="Times New Roman" w:eastAsia="Times New Roman" w:hAnsi="Times New Roman"/>
          <w:color w:val="000000" w:themeColor="text1"/>
          <w:sz w:val="16"/>
          <w:szCs w:val="16"/>
          <w:lang w:eastAsia="ru-RU"/>
        </w:rPr>
      </w:pPr>
    </w:p>
    <w:p w14:paraId="67834F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закончились заводские испытания И-26, которые начались 1 января 1940 (369,52).</w:t>
      </w:r>
    </w:p>
    <w:p w14:paraId="33842BC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916A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 подписан акт приемки И-26 на гос. испытания (3417).</w:t>
      </w:r>
    </w:p>
    <w:p w14:paraId="15B778A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9D2C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1 июня 1940 был составлен Акт на предмет приемки с-та И-26 М-105П в винтом ВИШ-61 № 2 постройки з-да № 115 на госиспытания представителями НИИ ВВС КА в составе ви ви2р Н.М.Максимова, испытателя по вооружению ви1р В.А.Березина, исп. По ВМГ ви2р Иванова, техн. С-та вт1р В.Ф.Сбитнева, техн. По спецобор. Ви1р Н.Т.Баранец.</w:t>
      </w:r>
    </w:p>
    <w:p w14:paraId="3AD1AD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осмотрела и проверила матчасть с-та, вооружение, отчет по заводским испытаниям и документацию, и нашла следующее:</w:t>
      </w:r>
    </w:p>
    <w:p w14:paraId="18F92D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Программа заводских летных испытаний выполнена на 65%</w:t>
      </w:r>
    </w:p>
    <w:p w14:paraId="2A598E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заводских летных испытаниях не выполнено:</w:t>
      </w:r>
    </w:p>
    <w:p w14:paraId="48B8CF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штопор до 2-х витков</w:t>
      </w:r>
    </w:p>
    <w:p w14:paraId="74F854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 отработана ВМГ на высоте более 5000 м. Полеты выше 5500 м не проводились</w:t>
      </w:r>
    </w:p>
    <w:p w14:paraId="75BDE0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полеты с перегрузками (пикирование, бочки, иммельман)</w:t>
      </w:r>
    </w:p>
    <w:p w14:paraId="1068BC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полеты на устойчивость с-та</w:t>
      </w:r>
    </w:p>
    <w:p w14:paraId="1D26A7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полеты на определение расхода горючего</w:t>
      </w:r>
    </w:p>
    <w:p w14:paraId="6EECFE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полеты на отработку стрелково-пушечного вооружения</w:t>
      </w:r>
    </w:p>
    <w:p w14:paraId="14F40F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Прочность с-та</w:t>
      </w:r>
    </w:p>
    <w:p w14:paraId="71F1CF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Носок крыла слаб. На статиспытаниях носок крыла после усиления выдержал всего 67% нагрузки по нормам прочности с-тов редакции 1940 г. Общая прочность недостаточна, т.к. расчет с-та произведен на вес 2300 кг, а действительный вес с-та 2700 кг, что составляет 11 кратный запас прочности вместо 13 положенных для истребителей по нормам прочности.</w:t>
      </w:r>
    </w:p>
    <w:p w14:paraId="64BC89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 осмотре матчасти с-та обнаружен ряд дефектов, часть которых заводом была устранена.</w:t>
      </w:r>
    </w:p>
    <w:p w14:paraId="3004A0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Неустраненными дефектами остались:</w:t>
      </w:r>
    </w:p>
    <w:p w14:paraId="3C834A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с-ту (6)</w:t>
      </w:r>
    </w:p>
    <w:p w14:paraId="13D2C4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ВМГ (5)</w:t>
      </w:r>
    </w:p>
    <w:p w14:paraId="17C93D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 спецоборудованию (13)</w:t>
      </w:r>
    </w:p>
    <w:p w14:paraId="1E4205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 015-33 наработал 36:57 до выработки ресурса осталось 13:03</w:t>
      </w:r>
    </w:p>
    <w:p w14:paraId="65DD88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не установлен генератор</w:t>
      </w:r>
    </w:p>
    <w:p w14:paraId="7ED473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не оборудован ночными посадочными средствами</w:t>
      </w:r>
    </w:p>
    <w:p w14:paraId="377082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Отсутствует розетка для питания сети от аэродромного аккумулятора</w:t>
      </w:r>
    </w:p>
    <w:p w14:paraId="724C1B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Нет обогрева трубки Пито</w:t>
      </w:r>
    </w:p>
    <w:p w14:paraId="6CC15E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Электропроводка не экранирована и отсутствует металлизация</w:t>
      </w:r>
    </w:p>
    <w:p w14:paraId="515CC1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не установлен приемник-передатчик радиостанции</w:t>
      </w:r>
    </w:p>
    <w:p w14:paraId="6E7F8A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установлен вариометр</w:t>
      </w:r>
    </w:p>
    <w:p w14:paraId="2DEA88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Кислородное оборудование в воздухе не проверялось</w:t>
      </w:r>
    </w:p>
    <w:p w14:paraId="19962F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вооружене с-та не доработано</w:t>
      </w:r>
    </w:p>
    <w:p w14:paraId="3197B0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велась от синхронизатора с однокулачковой шайбой.</w:t>
      </w:r>
    </w:p>
    <w:p w14:paraId="2363D9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Пушечное вооружение не отрабоано</w:t>
      </w:r>
    </w:p>
    <w:p w14:paraId="48A7DF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из пушки не производилась</w:t>
      </w:r>
    </w:p>
    <w:p w14:paraId="6B2D4A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Кроме указанного, заводом не выполнены ТТТ по следующим пунктам:</w:t>
      </w:r>
    </w:p>
    <w:p w14:paraId="4396F5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 установлено бомбардировочное вооружение, не предусмотрена установка для подвески бомбосбрасывателя</w:t>
      </w:r>
    </w:p>
    <w:p w14:paraId="115A54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установлен на 2-м экз. ТК</w:t>
      </w:r>
    </w:p>
    <w:p w14:paraId="51797C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заводом не представлена следующая документация по с-ту - - расчеты на прочность шасси и костыля, замков шасси, узлов крепления фюзеляжа, весовой сводки, материалов статиспытаний, объяснительной записки к расчету на прочность, инструкции по эксплуатации, описания и чертежей по вооружению, невилировочный чертеж, компоновочный чертеж.</w:t>
      </w:r>
    </w:p>
    <w:p w14:paraId="3CAA9B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Комиссия считает, что с-т И-26 М-105П завода № 115 не доведен и заводские летные испытания согласно Постановлению Правительства не закончены, ввиду недостаточной прочности носка крыла и недоработки ВМГ выше 5000 м. С-т может быть принят на госиспытания с целлью проверки данных в объеме заводских испытаний.</w:t>
      </w:r>
    </w:p>
    <w:p w14:paraId="780B76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приказу Нач. ГУАС КА комдива Алексеенко № 071 от 29 мая 1940 с-т И-26 М-105П ВИШ-61 принят на госиспытания 1 июня 1940.</w:t>
      </w:r>
    </w:p>
    <w:p w14:paraId="6AD777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подписали:</w:t>
      </w:r>
    </w:p>
    <w:p w14:paraId="6713E5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 ви2р Максимов</w:t>
      </w:r>
    </w:p>
    <w:p w14:paraId="01696C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4465E1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вооружению ви3р Берлин</w:t>
      </w:r>
    </w:p>
    <w:p w14:paraId="137904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ВМГ ви2р</w:t>
      </w:r>
    </w:p>
    <w:p w14:paraId="24B068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спецоборудованию</w:t>
      </w:r>
    </w:p>
    <w:p w14:paraId="1E9ED62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E8956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по 15 июня 1940 проходили госиспытания одноместного истребителя И-26 М-105П с винтом ВИШ-61 Д-3 м постройки завода 115 конструкции А.С.Я.</w:t>
      </w:r>
    </w:p>
    <w:p w14:paraId="05BFB4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15 дней, из них наземные испытания 4 дня, нелетная погода 3 дня</w:t>
      </w:r>
    </w:p>
    <w:p w14:paraId="2682B3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Заводской ли Корзинщиков пароизвел три полета для проверки с-та 2 июня 1940 г.</w:t>
      </w:r>
    </w:p>
    <w:p w14:paraId="7F2F01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был утвержден Отчет по испытаниям одноместного истребителя И-26 М-105П с винтом ВИШ-61 Д-3 м постройки завода 115 конструкции А.С.Я.</w:t>
      </w:r>
    </w:p>
    <w:p w14:paraId="494F52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32C6E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5AA033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вед. летчик капитан Николаев</w:t>
      </w:r>
    </w:p>
    <w:p w14:paraId="4EE696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вед. летчик майор Стефановский</w:t>
      </w:r>
    </w:p>
    <w:p w14:paraId="7F2C25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Нач. ГУАС КА Алексееву за № 395 было направлено</w:t>
      </w:r>
    </w:p>
    <w:p w14:paraId="5B9649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по передаче на госиспытания с-та И-26 конструкции и постройки з-да № 115:</w:t>
      </w:r>
    </w:p>
    <w:p w14:paraId="2F991A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Отчет по заводским летным испытаниям с-та И-26 утвердить</w:t>
      </w:r>
    </w:p>
    <w:p w14:paraId="1F895E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Принять, что с-т может быть передан га госиспытания</w:t>
      </w:r>
    </w:p>
    <w:p w14:paraId="7408D4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Рез-ты летных испытаний близки к заданным и расчетным</w:t>
      </w:r>
    </w:p>
    <w:p w14:paraId="11C342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Приложения:</w:t>
      </w:r>
    </w:p>
    <w:p w14:paraId="0AE6FB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 Комиссии А.С.Я., М.Громов, Корзинщиков (699).</w:t>
      </w:r>
    </w:p>
    <w:p w14:paraId="5A56EA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Акт</w:t>
      </w:r>
    </w:p>
    <w:p w14:paraId="536744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составлен на предмет приемки с-та И-26 М-105П в винтом ВИШ-61 № 2 постройки з-да № 115 на госиспытания представителями НИИ ВВС КА в составе ви ви2р Н.М.Максимова, испытателя по вооружению ви1р В.А.Березина, исп. По ВМГ ви2р Иванова, техн. С-та вт1р В.Ф.Сбитнева, техн. По спецобор. Ви1р Н.Т.Баранец.</w:t>
      </w:r>
    </w:p>
    <w:p w14:paraId="3BCEA6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осмотрела и проверила матчасть с-та, вооружение, отчет по заводским испытаниям и документацию, и нашла следующее:</w:t>
      </w:r>
    </w:p>
    <w:p w14:paraId="01E4E1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Программа заводских летных испытаний выполнена на 65%</w:t>
      </w:r>
    </w:p>
    <w:p w14:paraId="449B7F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заводских летных испытаниях не выполнено:</w:t>
      </w:r>
    </w:p>
    <w:p w14:paraId="1C84A1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штопор до 2-х витков</w:t>
      </w:r>
    </w:p>
    <w:p w14:paraId="274394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 отработана ВМГ на высоте более 5000 м. Полеты выше 5500 м не проводились</w:t>
      </w:r>
    </w:p>
    <w:p w14:paraId="66A6AE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полеты с перегрузками (пикирование, бочки, иммельман)</w:t>
      </w:r>
    </w:p>
    <w:p w14:paraId="2375D7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полеты на устойчивость с-та</w:t>
      </w:r>
    </w:p>
    <w:p w14:paraId="7ADC4F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полеты на определение расхода горючего</w:t>
      </w:r>
    </w:p>
    <w:p w14:paraId="70D0F9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полеты на отработку стрелково-пушечного вооружения</w:t>
      </w:r>
    </w:p>
    <w:p w14:paraId="1BF870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Прочность с-та</w:t>
      </w:r>
    </w:p>
    <w:p w14:paraId="250CA8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Носок крыла слаб. На статиспытаниях носок крыла после усиления выдержал всего 67% нагрузки по нормам прочности с-тов редакции 1940 г. Общая прочность недостаточна, т.к. расчет с-та произведен на вес 2300 кг, а действительный вес с-та 2700 кг, что составляет 11 кратный запас прочности вместо 13 положенных для истребителей по нормам прочности.</w:t>
      </w:r>
    </w:p>
    <w:p w14:paraId="71B517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 осмотре матчасти с-та обнаружен ряд дефектов, часть которых заводом была устранена.</w:t>
      </w:r>
    </w:p>
    <w:p w14:paraId="4B5F88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Неустраненными дефектами остались:</w:t>
      </w:r>
    </w:p>
    <w:p w14:paraId="2AF59C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с-ту (6)</w:t>
      </w:r>
    </w:p>
    <w:p w14:paraId="2B8662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ВМГ (5)</w:t>
      </w:r>
    </w:p>
    <w:p w14:paraId="5D840A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спецоборудованию (13)</w:t>
      </w:r>
    </w:p>
    <w:p w14:paraId="2DA5A5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 015-33 наработал 36:57 до выработки ресурса осталось 13:03</w:t>
      </w:r>
    </w:p>
    <w:p w14:paraId="46CD34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не установлен генератор</w:t>
      </w:r>
    </w:p>
    <w:p w14:paraId="495637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не оборудован ночными посадочными средствами</w:t>
      </w:r>
    </w:p>
    <w:p w14:paraId="0B8BA0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Отсутствует розетка для питания сети от аэродромного аккумулятора</w:t>
      </w:r>
    </w:p>
    <w:p w14:paraId="068FBA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Нет обогрева трубки Пито</w:t>
      </w:r>
    </w:p>
    <w:p w14:paraId="5304C8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Электропроводка не экранирована и отсутствует металлизация</w:t>
      </w:r>
    </w:p>
    <w:p w14:paraId="7995AB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не установлен приемник-передатчик радиостанции</w:t>
      </w:r>
    </w:p>
    <w:p w14:paraId="7DED2A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установлен вариометр</w:t>
      </w:r>
    </w:p>
    <w:p w14:paraId="0E804A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Кислородное оборудование в воздухе не проверялось</w:t>
      </w:r>
    </w:p>
    <w:p w14:paraId="6AC323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вооружене с-та не доработано</w:t>
      </w:r>
    </w:p>
    <w:p w14:paraId="5B46C3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велась от синхронизатора с однокулачковой шайбой.</w:t>
      </w:r>
    </w:p>
    <w:p w14:paraId="44CA7F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Пушечное вооружение не отрабоано</w:t>
      </w:r>
    </w:p>
    <w:p w14:paraId="27865C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из пушки не производилась</w:t>
      </w:r>
    </w:p>
    <w:p w14:paraId="68956C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Кроме указанного, заводом не выполнены ТТТ по следующим пунктам:</w:t>
      </w:r>
    </w:p>
    <w:p w14:paraId="4780FF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 установлено бомбардировочное вооружение, не предусмотрена установка для подвески бомбосбрасывателя</w:t>
      </w:r>
    </w:p>
    <w:p w14:paraId="3AE0CE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установлен на 2-м экз. ТК</w:t>
      </w:r>
    </w:p>
    <w:p w14:paraId="5D4FBB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8. заводом не представлена следующая документация по с-ту - - расчеты на прочность шасси и костыля, замков шасси, узлов крепления фюзеляжа, весовой сводки, материалов статиспытаний, объяснительной записки к расчету на прочность, инструкции по эксплуатации, описания и чертежей по вооружению, невилировочный чертеж, компоновочный чертеж.</w:t>
      </w:r>
    </w:p>
    <w:p w14:paraId="56E180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Комиссия считает, что с-т И-26 М-105П завода № 115 не доведен и заводские летные испытания согласно Постановлению Правительства не закончены, ввиду недостаточной прочности носка крыла и недоработки ВМГ выше 5000 м. С-т может быть принят на госиспытания с целлью проверки данных в объеме заводских испытаний.</w:t>
      </w:r>
    </w:p>
    <w:p w14:paraId="2418DA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приказу Нач. ГУАС КА комдива Алексеенко № 071 от 29 мая 1940 с-т И-26 М-105П ВИШ-61 принят на госиспытания 1 июня 1940.</w:t>
      </w:r>
    </w:p>
    <w:p w14:paraId="6873E6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подписали:</w:t>
      </w:r>
    </w:p>
    <w:p w14:paraId="414D22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 ви2р Максимов</w:t>
      </w:r>
    </w:p>
    <w:p w14:paraId="4734D8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5165FB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вооружению ви3р Берлин</w:t>
      </w:r>
    </w:p>
    <w:p w14:paraId="507278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ВМГ ви2р</w:t>
      </w:r>
    </w:p>
    <w:p w14:paraId="5296BD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спецоборудованию</w:t>
      </w:r>
    </w:p>
    <w:p w14:paraId="7BF551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характеристики с-та</w:t>
      </w:r>
    </w:p>
    <w:p w14:paraId="0D392C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2206</w:t>
      </w:r>
    </w:p>
    <w:p w14:paraId="657D75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нагрузки 494</w:t>
      </w:r>
    </w:p>
    <w:p w14:paraId="191D6D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Полный полетный вес 2700 кг</w:t>
      </w:r>
    </w:p>
    <w:p w14:paraId="190839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мотора 1050 лс</w:t>
      </w:r>
    </w:p>
    <w:p w14:paraId="6B9808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1 м2 153.5 кг</w:t>
      </w:r>
    </w:p>
    <w:p w14:paraId="429340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1 лс 2,535 кг</w:t>
      </w:r>
    </w:p>
    <w:p w14:paraId="262DB1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Сравнительная таблица: с-ты И-28 М-88 (ГИ), И-180 М-88 (ЗИ), И-3-1 М-105П (ЗИ), И-200 (ЗИ), Хе-100, Ме-109, Спитфайр, Бедд ХР-39</w:t>
      </w:r>
    </w:p>
    <w:p w14:paraId="41FDEA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5074F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И-26 М-105П конструкции инженера Яковлева был предъявлен на гос. испытания в недоведенном состоянии и не испытан на пикирование, высший пилотаж с перегрузками и штопор.</w:t>
      </w:r>
    </w:p>
    <w:p w14:paraId="447D11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Предъявленный самолет гос. испытаний не выдержал вследствие наличия следующих основных дефектов:</w:t>
      </w:r>
    </w:p>
    <w:p w14:paraId="0D0FB7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недостаточной прочности носка крыла (составляет 67% от норм прочности), что лимитурует полет с перегрузками</w:t>
      </w:r>
    </w:p>
    <w:p w14:paraId="2EEF97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недоведенности шасси с-та и невозможности их уборки при наборе высоты</w:t>
      </w:r>
    </w:p>
    <w:p w14:paraId="38928D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наличие высокой температуры воздуха в кабине пилота и попадание в нее отработанных газов, что приводит к быстрому утомлению летчика</w:t>
      </w:r>
    </w:p>
    <w:p w14:paraId="694060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недоведенности ВМГ, вследствие чего невозможна эксплуатация мотора на номинальной мощности при наборе высоты (перегрев масла)</w:t>
      </w:r>
    </w:p>
    <w:p w14:paraId="65CD9E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недоведенность вооружения, когда при производстве стрельбы звенья и гильзы попадают в стабилизатор</w:t>
      </w:r>
    </w:p>
    <w:p w14:paraId="1C4326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недостаточный запас продольной устойчивости</w:t>
      </w:r>
    </w:p>
    <w:p w14:paraId="57279A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ГК с-та И-26 т. А.С.Я. и директору з-да № 115 надлежит в кратчайший срок довести с-т и устранив основные дефекты, затрудняющие нормальную эксплуатацию, предъявить вновь на госиспытания</w:t>
      </w:r>
    </w:p>
    <w:p w14:paraId="256DF9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Просить НКАП т. А.И.Ш. о даче указаний з-дам № 301 и № 292 о необходимости устранения всех основных дефектов, выявленных при первых госиспытаниях с-та И-26, на серийных с-тах</w:t>
      </w:r>
    </w:p>
    <w:p w14:paraId="0712AA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Плодписали Нач. НИИ ВВС Филин и Военком НИИ ВВС полк. Комиссар Холопов</w:t>
      </w:r>
    </w:p>
    <w:p w14:paraId="72236D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деревянное с двумя деревянными лонжеронами коробчатого сечения.</w:t>
      </w:r>
    </w:p>
    <w:p w14:paraId="54327D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и моторама - из хромансилевых труб - одно целое.</w:t>
      </w:r>
    </w:p>
    <w:p w14:paraId="2FFBFB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облета Холопцев, Никашин, Малышев, Кубышкин, Максимов, Кабанов, Корчергин, Шапотов (маневренность лучше, чем у Ме-109), Прошаков (перекладывание из виража в вираж легкое, посадка простая, пробег устойчив, в кабине душно, машина представляет больше удовлетворение).</w:t>
      </w:r>
    </w:p>
    <w:p w14:paraId="70EC7C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максимальных скоростей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D5DF8" w:rsidRPr="00DB5D0D" w14:paraId="10041996" w14:textId="77777777" w:rsidTr="009223E5">
        <w:tc>
          <w:tcPr>
            <w:tcW w:w="2802" w:type="dxa"/>
            <w:tcBorders>
              <w:top w:val="single" w:sz="12" w:space="0" w:color="auto"/>
            </w:tcBorders>
          </w:tcPr>
          <w:p w14:paraId="3B6B3F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2802" w:type="dxa"/>
            <w:tcBorders>
              <w:top w:val="single" w:sz="12" w:space="0" w:color="auto"/>
            </w:tcBorders>
          </w:tcPr>
          <w:p w14:paraId="1C6330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2802" w:type="dxa"/>
            <w:tcBorders>
              <w:top w:val="single" w:sz="12" w:space="0" w:color="auto"/>
            </w:tcBorders>
          </w:tcPr>
          <w:p w14:paraId="244AB2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2802" w:type="dxa"/>
            <w:tcBorders>
              <w:top w:val="single" w:sz="12" w:space="0" w:color="auto"/>
            </w:tcBorders>
          </w:tcPr>
          <w:p w14:paraId="60BEBA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r>
      <w:tr w:rsidR="007D5DF8" w:rsidRPr="00DB5D0D" w14:paraId="12D08ED9" w14:textId="77777777" w:rsidTr="009223E5">
        <w:tc>
          <w:tcPr>
            <w:tcW w:w="2802" w:type="dxa"/>
          </w:tcPr>
          <w:p w14:paraId="085645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2802" w:type="dxa"/>
          </w:tcPr>
          <w:p w14:paraId="70AFF1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w:t>
            </w:r>
          </w:p>
        </w:tc>
        <w:tc>
          <w:tcPr>
            <w:tcW w:w="2802" w:type="dxa"/>
          </w:tcPr>
          <w:p w14:paraId="28D576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202051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41369723" w14:textId="77777777" w:rsidTr="009223E5">
        <w:tc>
          <w:tcPr>
            <w:tcW w:w="2802" w:type="dxa"/>
          </w:tcPr>
          <w:p w14:paraId="6604DB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802" w:type="dxa"/>
          </w:tcPr>
          <w:p w14:paraId="636567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519</w:t>
            </w:r>
          </w:p>
        </w:tc>
        <w:tc>
          <w:tcPr>
            <w:tcW w:w="2802" w:type="dxa"/>
          </w:tcPr>
          <w:p w14:paraId="4444A8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19071E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2FB78CEC" w14:textId="77777777" w:rsidTr="009223E5">
        <w:tc>
          <w:tcPr>
            <w:tcW w:w="2802" w:type="dxa"/>
          </w:tcPr>
          <w:p w14:paraId="6650F7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2802" w:type="dxa"/>
          </w:tcPr>
          <w:p w14:paraId="4B3A79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546,5</w:t>
            </w:r>
          </w:p>
        </w:tc>
        <w:tc>
          <w:tcPr>
            <w:tcW w:w="2802" w:type="dxa"/>
          </w:tcPr>
          <w:p w14:paraId="1D465D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2F7828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28147F29" w14:textId="77777777" w:rsidTr="009223E5">
        <w:tc>
          <w:tcPr>
            <w:tcW w:w="2802" w:type="dxa"/>
          </w:tcPr>
          <w:p w14:paraId="2FA617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 1 гв</w:t>
            </w:r>
          </w:p>
        </w:tc>
        <w:tc>
          <w:tcPr>
            <w:tcW w:w="2802" w:type="dxa"/>
          </w:tcPr>
          <w:p w14:paraId="11D979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564</w:t>
            </w:r>
          </w:p>
        </w:tc>
        <w:tc>
          <w:tcPr>
            <w:tcW w:w="2802" w:type="dxa"/>
          </w:tcPr>
          <w:p w14:paraId="5F1B20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2EC71F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4F541B39" w14:textId="77777777" w:rsidTr="009223E5">
        <w:tc>
          <w:tcPr>
            <w:tcW w:w="2802" w:type="dxa"/>
          </w:tcPr>
          <w:p w14:paraId="355F19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2802" w:type="dxa"/>
          </w:tcPr>
          <w:p w14:paraId="1C5EE9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567,5</w:t>
            </w:r>
          </w:p>
        </w:tc>
        <w:tc>
          <w:tcPr>
            <w:tcW w:w="2802" w:type="dxa"/>
          </w:tcPr>
          <w:p w14:paraId="0029EB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6340FD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42014B8D" w14:textId="77777777" w:rsidTr="009223E5">
        <w:tc>
          <w:tcPr>
            <w:tcW w:w="2802" w:type="dxa"/>
          </w:tcPr>
          <w:p w14:paraId="68A54B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2802" w:type="dxa"/>
          </w:tcPr>
          <w:p w14:paraId="285AA9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577</w:t>
            </w:r>
          </w:p>
        </w:tc>
        <w:tc>
          <w:tcPr>
            <w:tcW w:w="2802" w:type="dxa"/>
          </w:tcPr>
          <w:p w14:paraId="392A66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2AA61F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890</w:t>
            </w:r>
          </w:p>
        </w:tc>
      </w:tr>
      <w:tr w:rsidR="007D5DF8" w:rsidRPr="00DB5D0D" w14:paraId="4B966A11" w14:textId="77777777" w:rsidTr="009223E5">
        <w:tc>
          <w:tcPr>
            <w:tcW w:w="2802" w:type="dxa"/>
          </w:tcPr>
          <w:p w14:paraId="46BC2B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4800 2 гв</w:t>
            </w:r>
          </w:p>
        </w:tc>
        <w:tc>
          <w:tcPr>
            <w:tcW w:w="2802" w:type="dxa"/>
          </w:tcPr>
          <w:p w14:paraId="3BD602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585,5</w:t>
            </w:r>
          </w:p>
        </w:tc>
        <w:tc>
          <w:tcPr>
            <w:tcW w:w="2802" w:type="dxa"/>
          </w:tcPr>
          <w:p w14:paraId="1C3C76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56AD25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7D0BD4D4" w14:textId="77777777" w:rsidTr="009223E5">
        <w:tc>
          <w:tcPr>
            <w:tcW w:w="2802" w:type="dxa"/>
          </w:tcPr>
          <w:p w14:paraId="646FF9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2802" w:type="dxa"/>
          </w:tcPr>
          <w:p w14:paraId="36B9D5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572,5</w:t>
            </w:r>
          </w:p>
        </w:tc>
        <w:tc>
          <w:tcPr>
            <w:tcW w:w="2802" w:type="dxa"/>
          </w:tcPr>
          <w:p w14:paraId="123BCE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2802" w:type="dxa"/>
          </w:tcPr>
          <w:p w14:paraId="1B7BF2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r>
      <w:tr w:rsidR="007D5DF8" w:rsidRPr="00DB5D0D" w14:paraId="412AB3F9" w14:textId="77777777" w:rsidTr="009223E5">
        <w:tc>
          <w:tcPr>
            <w:tcW w:w="2802" w:type="dxa"/>
          </w:tcPr>
          <w:p w14:paraId="49F0CD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2802" w:type="dxa"/>
          </w:tcPr>
          <w:p w14:paraId="35FC94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553</w:t>
            </w:r>
          </w:p>
        </w:tc>
        <w:tc>
          <w:tcPr>
            <w:tcW w:w="2802" w:type="dxa"/>
          </w:tcPr>
          <w:p w14:paraId="35CCCE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2802" w:type="dxa"/>
          </w:tcPr>
          <w:p w14:paraId="0D0984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r>
      <w:tr w:rsidR="007D5DF8" w:rsidRPr="00DB5D0D" w14:paraId="34132A38" w14:textId="77777777" w:rsidTr="009223E5">
        <w:tc>
          <w:tcPr>
            <w:tcW w:w="2802" w:type="dxa"/>
            <w:tcBorders>
              <w:bottom w:val="single" w:sz="12" w:space="0" w:color="auto"/>
            </w:tcBorders>
          </w:tcPr>
          <w:p w14:paraId="1E4737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2802" w:type="dxa"/>
            <w:tcBorders>
              <w:bottom w:val="single" w:sz="12" w:space="0" w:color="auto"/>
            </w:tcBorders>
          </w:tcPr>
          <w:p w14:paraId="2D37F6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529</w:t>
            </w:r>
          </w:p>
        </w:tc>
        <w:tc>
          <w:tcPr>
            <w:tcW w:w="2802" w:type="dxa"/>
            <w:tcBorders>
              <w:bottom w:val="single" w:sz="12" w:space="0" w:color="auto"/>
            </w:tcBorders>
          </w:tcPr>
          <w:p w14:paraId="5707C3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2802" w:type="dxa"/>
            <w:tcBorders>
              <w:bottom w:val="single" w:sz="12" w:space="0" w:color="auto"/>
            </w:tcBorders>
          </w:tcPr>
          <w:p w14:paraId="5FF423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w:t>
            </w:r>
          </w:p>
        </w:tc>
      </w:tr>
    </w:tbl>
    <w:p w14:paraId="5E4768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теоретический 10400, практический 10200, время набора 26,5</w:t>
      </w:r>
    </w:p>
    <w:p w14:paraId="7472A6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скороподъемности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842"/>
        <w:gridCol w:w="1843"/>
        <w:gridCol w:w="1843"/>
        <w:gridCol w:w="1843"/>
        <w:gridCol w:w="1843"/>
      </w:tblGrid>
      <w:tr w:rsidR="007D5DF8" w:rsidRPr="00DB5D0D" w14:paraId="48A89C1F" w14:textId="77777777" w:rsidTr="009223E5">
        <w:tc>
          <w:tcPr>
            <w:tcW w:w="1668" w:type="dxa"/>
            <w:tcBorders>
              <w:top w:val="single" w:sz="12" w:space="0" w:color="auto"/>
            </w:tcBorders>
          </w:tcPr>
          <w:p w14:paraId="6D611D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1842" w:type="dxa"/>
            <w:tcBorders>
              <w:top w:val="single" w:sz="12" w:space="0" w:color="auto"/>
            </w:tcBorders>
          </w:tcPr>
          <w:p w14:paraId="41C3E3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верт.</w:t>
            </w:r>
          </w:p>
        </w:tc>
        <w:tc>
          <w:tcPr>
            <w:tcW w:w="1843" w:type="dxa"/>
            <w:tcBorders>
              <w:top w:val="single" w:sz="12" w:space="0" w:color="auto"/>
            </w:tcBorders>
          </w:tcPr>
          <w:p w14:paraId="12F8D0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1843" w:type="dxa"/>
            <w:tcBorders>
              <w:top w:val="single" w:sz="12" w:space="0" w:color="auto"/>
            </w:tcBorders>
          </w:tcPr>
          <w:p w14:paraId="6E6B1F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горизонт.</w:t>
            </w:r>
          </w:p>
        </w:tc>
        <w:tc>
          <w:tcPr>
            <w:tcW w:w="1843" w:type="dxa"/>
            <w:tcBorders>
              <w:top w:val="single" w:sz="12" w:space="0" w:color="auto"/>
            </w:tcBorders>
          </w:tcPr>
          <w:p w14:paraId="1EA135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1843" w:type="dxa"/>
            <w:tcBorders>
              <w:top w:val="single" w:sz="12" w:space="0" w:color="auto"/>
            </w:tcBorders>
          </w:tcPr>
          <w:p w14:paraId="2980AE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r>
      <w:tr w:rsidR="007D5DF8" w:rsidRPr="00DB5D0D" w14:paraId="350B8E8E" w14:textId="77777777" w:rsidTr="009223E5">
        <w:tc>
          <w:tcPr>
            <w:tcW w:w="1668" w:type="dxa"/>
          </w:tcPr>
          <w:p w14:paraId="077A1B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842" w:type="dxa"/>
          </w:tcPr>
          <w:p w14:paraId="7289F0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1843" w:type="dxa"/>
          </w:tcPr>
          <w:p w14:paraId="30DC34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843" w:type="dxa"/>
          </w:tcPr>
          <w:p w14:paraId="0ADA79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43" w:type="dxa"/>
          </w:tcPr>
          <w:p w14:paraId="7A8035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23920D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4972A0FE" w14:textId="77777777" w:rsidTr="009223E5">
        <w:tc>
          <w:tcPr>
            <w:tcW w:w="1668" w:type="dxa"/>
          </w:tcPr>
          <w:p w14:paraId="1768A7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842" w:type="dxa"/>
          </w:tcPr>
          <w:p w14:paraId="24ED5D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1843" w:type="dxa"/>
          </w:tcPr>
          <w:p w14:paraId="4134EF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843" w:type="dxa"/>
          </w:tcPr>
          <w:p w14:paraId="26DE3D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43" w:type="dxa"/>
          </w:tcPr>
          <w:p w14:paraId="36EBB8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0C0225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054B776D" w14:textId="77777777" w:rsidTr="009223E5">
        <w:tc>
          <w:tcPr>
            <w:tcW w:w="1668" w:type="dxa"/>
          </w:tcPr>
          <w:p w14:paraId="4D96FB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842" w:type="dxa"/>
          </w:tcPr>
          <w:p w14:paraId="3443E5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15,9</w:t>
            </w:r>
          </w:p>
        </w:tc>
        <w:tc>
          <w:tcPr>
            <w:tcW w:w="1843" w:type="dxa"/>
          </w:tcPr>
          <w:p w14:paraId="2BB67B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843" w:type="dxa"/>
          </w:tcPr>
          <w:p w14:paraId="12B1EF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43" w:type="dxa"/>
          </w:tcPr>
          <w:p w14:paraId="4F33B4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0DA16F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25D87D81" w14:textId="77777777" w:rsidTr="009223E5">
        <w:tc>
          <w:tcPr>
            <w:tcW w:w="1668" w:type="dxa"/>
          </w:tcPr>
          <w:p w14:paraId="3B3143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842" w:type="dxa"/>
          </w:tcPr>
          <w:p w14:paraId="6BF93F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1843" w:type="dxa"/>
          </w:tcPr>
          <w:p w14:paraId="540521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1843" w:type="dxa"/>
          </w:tcPr>
          <w:p w14:paraId="63E536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w:t>
            </w:r>
          </w:p>
        </w:tc>
        <w:tc>
          <w:tcPr>
            <w:tcW w:w="1843" w:type="dxa"/>
          </w:tcPr>
          <w:p w14:paraId="6B7063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51A0EE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810</w:t>
            </w:r>
          </w:p>
        </w:tc>
      </w:tr>
      <w:tr w:rsidR="007D5DF8" w:rsidRPr="00DB5D0D" w14:paraId="3BE646B2" w14:textId="77777777" w:rsidTr="009223E5">
        <w:tc>
          <w:tcPr>
            <w:tcW w:w="1668" w:type="dxa"/>
          </w:tcPr>
          <w:p w14:paraId="7D5374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1842" w:type="dxa"/>
          </w:tcPr>
          <w:p w14:paraId="059A43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13.4</w:t>
            </w:r>
          </w:p>
        </w:tc>
        <w:tc>
          <w:tcPr>
            <w:tcW w:w="1843" w:type="dxa"/>
          </w:tcPr>
          <w:p w14:paraId="0A1C13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843" w:type="dxa"/>
          </w:tcPr>
          <w:p w14:paraId="7219E1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w:t>
            </w:r>
          </w:p>
        </w:tc>
        <w:tc>
          <w:tcPr>
            <w:tcW w:w="1843" w:type="dxa"/>
          </w:tcPr>
          <w:p w14:paraId="65F362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450DC2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865</w:t>
            </w:r>
          </w:p>
        </w:tc>
      </w:tr>
      <w:tr w:rsidR="007D5DF8" w:rsidRPr="00DB5D0D" w14:paraId="4834D9BF" w14:textId="77777777" w:rsidTr="009223E5">
        <w:tc>
          <w:tcPr>
            <w:tcW w:w="1668" w:type="dxa"/>
          </w:tcPr>
          <w:p w14:paraId="0C32FD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1842" w:type="dxa"/>
          </w:tcPr>
          <w:p w14:paraId="1B33BB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w:t>
            </w:r>
          </w:p>
        </w:tc>
        <w:tc>
          <w:tcPr>
            <w:tcW w:w="1843" w:type="dxa"/>
          </w:tcPr>
          <w:p w14:paraId="2A9A66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1843" w:type="dxa"/>
          </w:tcPr>
          <w:p w14:paraId="004962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1843" w:type="dxa"/>
          </w:tcPr>
          <w:p w14:paraId="1A52C7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74B469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830</w:t>
            </w:r>
          </w:p>
        </w:tc>
      </w:tr>
      <w:tr w:rsidR="007D5DF8" w:rsidRPr="00DB5D0D" w14:paraId="4C214119" w14:textId="77777777" w:rsidTr="009223E5">
        <w:tc>
          <w:tcPr>
            <w:tcW w:w="1668" w:type="dxa"/>
          </w:tcPr>
          <w:p w14:paraId="2E9248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842" w:type="dxa"/>
          </w:tcPr>
          <w:p w14:paraId="3D06A1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1843" w:type="dxa"/>
          </w:tcPr>
          <w:p w14:paraId="4279D6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w:t>
            </w:r>
          </w:p>
        </w:tc>
        <w:tc>
          <w:tcPr>
            <w:tcW w:w="1843" w:type="dxa"/>
          </w:tcPr>
          <w:p w14:paraId="571624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235</w:t>
            </w:r>
          </w:p>
        </w:tc>
        <w:tc>
          <w:tcPr>
            <w:tcW w:w="1843" w:type="dxa"/>
          </w:tcPr>
          <w:p w14:paraId="07849E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05B6AD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725</w:t>
            </w:r>
          </w:p>
        </w:tc>
      </w:tr>
      <w:tr w:rsidR="007D5DF8" w:rsidRPr="00DB5D0D" w14:paraId="57F5B569" w14:textId="77777777" w:rsidTr="009223E5">
        <w:tc>
          <w:tcPr>
            <w:tcW w:w="1668" w:type="dxa"/>
          </w:tcPr>
          <w:p w14:paraId="32CB35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1842" w:type="dxa"/>
          </w:tcPr>
          <w:p w14:paraId="38D211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1843" w:type="dxa"/>
          </w:tcPr>
          <w:p w14:paraId="6DE50D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w:t>
            </w:r>
          </w:p>
        </w:tc>
        <w:tc>
          <w:tcPr>
            <w:tcW w:w="1843" w:type="dxa"/>
          </w:tcPr>
          <w:p w14:paraId="074C18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229</w:t>
            </w:r>
          </w:p>
        </w:tc>
        <w:tc>
          <w:tcPr>
            <w:tcW w:w="1843" w:type="dxa"/>
          </w:tcPr>
          <w:p w14:paraId="0D4913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4781C1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w:t>
            </w:r>
          </w:p>
        </w:tc>
      </w:tr>
      <w:tr w:rsidR="007D5DF8" w:rsidRPr="00DB5D0D" w14:paraId="2F4D13FC" w14:textId="77777777" w:rsidTr="009223E5">
        <w:tc>
          <w:tcPr>
            <w:tcW w:w="1668" w:type="dxa"/>
          </w:tcPr>
          <w:p w14:paraId="083D5D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1842" w:type="dxa"/>
          </w:tcPr>
          <w:p w14:paraId="353328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1843" w:type="dxa"/>
          </w:tcPr>
          <w:p w14:paraId="069B0D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1843" w:type="dxa"/>
          </w:tcPr>
          <w:p w14:paraId="055F6F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222</w:t>
            </w:r>
          </w:p>
        </w:tc>
        <w:tc>
          <w:tcPr>
            <w:tcW w:w="1843" w:type="dxa"/>
          </w:tcPr>
          <w:p w14:paraId="394F38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2F42C3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540</w:t>
            </w:r>
          </w:p>
        </w:tc>
      </w:tr>
      <w:tr w:rsidR="007D5DF8" w:rsidRPr="00DB5D0D" w14:paraId="45F0D9DE" w14:textId="77777777" w:rsidTr="009223E5">
        <w:tc>
          <w:tcPr>
            <w:tcW w:w="1668" w:type="dxa"/>
          </w:tcPr>
          <w:p w14:paraId="3B047E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1842" w:type="dxa"/>
          </w:tcPr>
          <w:p w14:paraId="367765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w:t>
            </w:r>
          </w:p>
        </w:tc>
        <w:tc>
          <w:tcPr>
            <w:tcW w:w="1843" w:type="dxa"/>
          </w:tcPr>
          <w:p w14:paraId="1D8652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w:t>
            </w:r>
          </w:p>
        </w:tc>
        <w:tc>
          <w:tcPr>
            <w:tcW w:w="1843" w:type="dxa"/>
          </w:tcPr>
          <w:p w14:paraId="4509B9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Pr>
          <w:p w14:paraId="212699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Pr>
          <w:p w14:paraId="60E4D5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1BD84BC" w14:textId="77777777" w:rsidTr="009223E5">
        <w:tc>
          <w:tcPr>
            <w:tcW w:w="1668" w:type="dxa"/>
            <w:tcBorders>
              <w:bottom w:val="single" w:sz="12" w:space="0" w:color="auto"/>
            </w:tcBorders>
          </w:tcPr>
          <w:p w14:paraId="43E2E6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842" w:type="dxa"/>
            <w:tcBorders>
              <w:bottom w:val="single" w:sz="12" w:space="0" w:color="auto"/>
            </w:tcBorders>
          </w:tcPr>
          <w:p w14:paraId="72B28A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w:t>
            </w:r>
          </w:p>
        </w:tc>
        <w:tc>
          <w:tcPr>
            <w:tcW w:w="1843" w:type="dxa"/>
            <w:tcBorders>
              <w:bottom w:val="single" w:sz="12" w:space="0" w:color="auto"/>
            </w:tcBorders>
          </w:tcPr>
          <w:p w14:paraId="467673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23,6</w:t>
            </w:r>
          </w:p>
        </w:tc>
        <w:tc>
          <w:tcPr>
            <w:tcW w:w="1843" w:type="dxa"/>
            <w:tcBorders>
              <w:bottom w:val="single" w:sz="12" w:space="0" w:color="auto"/>
            </w:tcBorders>
          </w:tcPr>
          <w:p w14:paraId="494A71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Borders>
              <w:bottom w:val="single" w:sz="12" w:space="0" w:color="auto"/>
            </w:tcBorders>
          </w:tcPr>
          <w:p w14:paraId="4802D7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Borders>
              <w:bottom w:val="single" w:sz="12" w:space="0" w:color="auto"/>
            </w:tcBorders>
          </w:tcPr>
          <w:p w14:paraId="3021F4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7E99DD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Взлетно-посадочные данные:</w:t>
      </w:r>
    </w:p>
    <w:p w14:paraId="6FE513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300, время 12.3, скорость 1,2 м/сек, скорость отрыва 175 км/час</w:t>
      </w:r>
    </w:p>
    <w:p w14:paraId="421742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350 м, время 33, скорость 1-2, скорость посадочная 135 км/час</w:t>
      </w:r>
    </w:p>
    <w:p w14:paraId="11636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Маневренность на 1000 м на скорости 300</w:t>
      </w:r>
    </w:p>
    <w:p w14:paraId="2DE0FB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левый 22</w:t>
      </w:r>
    </w:p>
    <w:p w14:paraId="2B1100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правый 22</w:t>
      </w:r>
    </w:p>
    <w:p w14:paraId="465BAA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серийный левый 1:15</w:t>
      </w:r>
    </w:p>
    <w:p w14:paraId="45A9E1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серийный правый 1:25</w:t>
      </w:r>
    </w:p>
    <w:p w14:paraId="2137DB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Размеры</w:t>
      </w:r>
    </w:p>
    <w:p w14:paraId="76F307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10000 мм, удилинение 5,83</w:t>
      </w:r>
    </w:p>
    <w:p w14:paraId="6460DA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на стоянке 8475</w:t>
      </w:r>
    </w:p>
    <w:p w14:paraId="72A772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2485</w:t>
      </w:r>
    </w:p>
    <w:p w14:paraId="1CEE73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17,58</w:t>
      </w:r>
    </w:p>
    <w:p w14:paraId="02C3BA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Профиль Кларк УН, у фюзеляжа 15%, на концах - 7%</w:t>
      </w:r>
    </w:p>
    <w:p w14:paraId="29C6DC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Вкс пустого 2206 кг</w:t>
      </w:r>
    </w:p>
    <w:p w14:paraId="4D1618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полетный 2691,2</w:t>
      </w:r>
    </w:p>
    <w:p w14:paraId="63A4FA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Нагрузка:</w:t>
      </w:r>
    </w:p>
    <w:p w14:paraId="4B3DC7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с парашютом 90</w:t>
      </w:r>
    </w:p>
    <w:p w14:paraId="1C1882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 305</w:t>
      </w:r>
    </w:p>
    <w:p w14:paraId="735A1E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 29</w:t>
      </w:r>
    </w:p>
    <w:p w14:paraId="6342DE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патроны для пулемета 27,7</w:t>
      </w:r>
    </w:p>
    <w:p w14:paraId="176996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патроны для пушки 25.5</w:t>
      </w:r>
    </w:p>
    <w:p w14:paraId="48B2BE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аккумулятор 8</w:t>
      </w:r>
    </w:p>
    <w:p w14:paraId="0C46B8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ЦТ пустого 18,55%, при нормальном полетном - 25,2%</w:t>
      </w:r>
    </w:p>
    <w:p w14:paraId="1018DE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 01533</w:t>
      </w:r>
    </w:p>
    <w:p w14:paraId="2517ED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Диаметр цилиндра 170 мм, ход поршня 148 мм</w:t>
      </w:r>
    </w:p>
    <w:p w14:paraId="21FF45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Степень сжатия 7, пер. число к нагнетателю 1: 7,85, 1:20</w:t>
      </w:r>
    </w:p>
    <w:p w14:paraId="591B39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Редукция 2/3</w:t>
      </w:r>
    </w:p>
    <w:p w14:paraId="0485BE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Направление вращения - мотор правое, винт левое</w:t>
      </w:r>
    </w:p>
    <w:p w14:paraId="19E52C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 вес 580 кг</w:t>
      </w:r>
    </w:p>
    <w:p w14:paraId="07DEDE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мощность 1100 лс, Рк 950, обор. 2600</w:t>
      </w:r>
    </w:p>
    <w:p w14:paraId="0C1BF2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 Мощность 1020, Рк 910, обороты 2650</w:t>
      </w:r>
    </w:p>
    <w:p w14:paraId="272D84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 Мощность на расчетной высоте 1100/1050 (1 и 2)</w:t>
      </w:r>
    </w:p>
    <w:p w14:paraId="183B04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высотность 2000/4000</w:t>
      </w:r>
    </w:p>
    <w:p w14:paraId="2B24B4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Расход горючего 230/260 г/лс/ч</w:t>
      </w:r>
    </w:p>
    <w:p w14:paraId="3A2D0D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Автоматы - РПД и Р-6</w:t>
      </w:r>
    </w:p>
    <w:p w14:paraId="6D767A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Габариты:</w:t>
      </w:r>
    </w:p>
    <w:p w14:paraId="7545D6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2027</w:t>
      </w:r>
    </w:p>
    <w:p w14:paraId="1335F1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946</w:t>
      </w:r>
    </w:p>
    <w:p w14:paraId="177DEF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777</w:t>
      </w:r>
    </w:p>
    <w:p w14:paraId="55469B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отличия от М-105 - двухскоростной нагнетатель, степеньт сжатия 7 вместо 6</w:t>
      </w:r>
    </w:p>
    <w:p w14:paraId="10C3C3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ВИШ-61 завода № 28, шир. Лопасти 250 мм.</w:t>
      </w:r>
    </w:p>
    <w:p w14:paraId="413F9C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Установочный угол макс. 50 гр., мин. 23:40</w:t>
      </w:r>
    </w:p>
    <w:p w14:paraId="405694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винта 131 кг</w:t>
      </w:r>
    </w:p>
    <w:p w14:paraId="548DE6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62C6F6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ШКАСх2 = 37 кг, 760 патронов - 24,3 кг</w:t>
      </w:r>
    </w:p>
    <w:p w14:paraId="05F8B5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Мотор-пушка ШВАК 20мм - 53 кг, патронов 120 - 25,8 кг</w:t>
      </w:r>
    </w:p>
    <w:p w14:paraId="314E50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 дефектов, опасных для полета на с-те И-26</w:t>
      </w:r>
    </w:p>
    <w:p w14:paraId="2484B8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 большихх скоростях фонарь кабины сдвигается вперед и при открывании требуются большие усилия</w:t>
      </w:r>
    </w:p>
    <w:p w14:paraId="12B046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звенья и гильзы пушки попадают в стаюбилизатор и пробивают обшивку</w:t>
      </w:r>
    </w:p>
    <w:p w14:paraId="0F9C41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шасси не убирается на скорости свыше 210-220 км/час</w:t>
      </w:r>
    </w:p>
    <w:p w14:paraId="788D10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с-ту - 31 дефект, по ВМГ - выброс масла через суфлер, перегрев мотора и т.д. (699).</w:t>
      </w:r>
    </w:p>
    <w:p w14:paraId="56BEE5C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480DC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 по 18 июня 1940 проходили гос. испытания И-26 М-105П А.С.Я. (2090,232).</w:t>
      </w:r>
    </w:p>
    <w:p w14:paraId="0E8F6E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эти испытания И-26 с М-105П проходили с 1 марта по 10 мая 1940 (2090,232).</w:t>
      </w:r>
    </w:p>
    <w:p w14:paraId="2F8955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2A2E5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по 15 июня 1940 проходил 1 этап гос. испытания И-26 (369,52). Вед. инженер Н.И.Максимов, летали А.С.Николаев - ведущий и второй ведущий - В.А.Степанчонок (699). Это был И-26 М-105П с винтом ВИШ-61 (843).</w:t>
      </w:r>
    </w:p>
    <w:p w14:paraId="7E5B6C5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4575A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15 июня 1940 г. проводились гос. испытания И-26-2 в НИИ ВВС. За это время было выполнено 52 полета общей продолжительностью 21 час. (3353).</w:t>
      </w:r>
    </w:p>
    <w:p w14:paraId="763BDD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И-26-2 поступил в НИИ ВВС в тот же день, хотя программа заводских испытаний была выполнена на 65% и самолет выдерживал только 2/3 нагрузки, не были установлены генератор, рация, вариометр, не были доведены системы маслоохлаждения, вооружения и уборки шасси. Двигатель мог работать на полных оборотах 2.5-3 мин. По приказу руководства ВВС приняли. Было и специальное партсобрание. (1204,45).</w:t>
      </w:r>
    </w:p>
    <w:p w14:paraId="71B9C89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51E4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по 15 июня 1940 состоялись гос. испытания одноместного истребителя И-26 М-105П с винтом ВИШ-61 Д-3 м постройки завода 115 конструкции А.С.Я. Отв. исполнители: ви ви2р Максимов, 1-й вл к Николаев и 2-й вл м Стефановский (2924).</w:t>
      </w:r>
    </w:p>
    <w:p w14:paraId="03B08A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26B3EA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Определить ЛТД самолета, его устойчивость и управляемость</w:t>
      </w:r>
    </w:p>
    <w:p w14:paraId="5F26CE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Оценить доведенность самолета, ВМГ, вооружения и спецоборудования</w:t>
      </w:r>
    </w:p>
    <w:p w14:paraId="6ED7DB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Определить соответствие ТТТ</w:t>
      </w:r>
    </w:p>
    <w:p w14:paraId="6A1049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И-26 проводились на втором экз. с 1 января по 1 июня 1940. На втором провели 31 полет и налетали 13:37. На 1-м провели 43 полета и налетали 11:09. На заводских испытаниях полетов с целью испытания вооружения и спецоборудования не проводилось. Полеты с перегрузками также не проводились. Самолет был принят на гос. испытания в недоведенном состоянии (2924).</w:t>
      </w:r>
    </w:p>
    <w:p w14:paraId="0DE4B50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0168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по 15 июня 1940 года проходили гос. испытания одноместного истребителя И-26 М-105П с винтом ВИШ-61 постройки завода № 115 конструкции Яковлева</w:t>
      </w:r>
    </w:p>
    <w:p w14:paraId="430DB9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08074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5B0C95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вед. летчик капитан Николаев</w:t>
      </w:r>
    </w:p>
    <w:p w14:paraId="0CE2DE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вед. летчик майор Стефановский</w:t>
      </w:r>
    </w:p>
    <w:p w14:paraId="767A21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6728B2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его устойчивости, управляемости.</w:t>
      </w:r>
    </w:p>
    <w:p w14:paraId="33505B7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доведенности самолета, винтомоторной группы, вооружения и спецоборудования.</w:t>
      </w:r>
    </w:p>
    <w:p w14:paraId="2CD19BF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0059A5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проводились с 1 июня по 15 июня 1940 года.</w:t>
      </w:r>
    </w:p>
    <w:p w14:paraId="0A1DDE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15 дней, из них летных – 8.</w:t>
      </w:r>
    </w:p>
    <w:p w14:paraId="36F775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период испытаний выполнено 52 полета общей продолжительностью 21 час. 11 мин.</w:t>
      </w:r>
    </w:p>
    <w:p w14:paraId="4E6AFE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9C0C4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И-26 М-105П конструкции инженера Яковлева был предъявлен на гос. испытания в недоведенном состоянии и не испытан на пикирование, высший пилотаж с перегрузками и штопор.</w:t>
      </w:r>
    </w:p>
    <w:p w14:paraId="733B3B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самолет гос. испытаний не выдержал.</w:t>
      </w:r>
    </w:p>
    <w:p w14:paraId="426830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8789"/>
      </w:tblGrid>
      <w:tr w:rsidR="007D5DF8" w:rsidRPr="00DB5D0D" w14:paraId="5C685B44" w14:textId="77777777" w:rsidTr="009223E5">
        <w:tc>
          <w:tcPr>
            <w:tcW w:w="1809" w:type="dxa"/>
            <w:tcBorders>
              <w:top w:val="single" w:sz="12" w:space="0" w:color="auto"/>
            </w:tcBorders>
          </w:tcPr>
          <w:p w14:paraId="320E9D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8789" w:type="dxa"/>
            <w:tcBorders>
              <w:top w:val="single" w:sz="12" w:space="0" w:color="auto"/>
            </w:tcBorders>
          </w:tcPr>
          <w:p w14:paraId="75B92F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744E80DA" w14:textId="77777777" w:rsidTr="009223E5">
        <w:tc>
          <w:tcPr>
            <w:tcW w:w="1809" w:type="dxa"/>
          </w:tcPr>
          <w:p w14:paraId="2A822D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w:t>
            </w:r>
          </w:p>
        </w:tc>
        <w:tc>
          <w:tcPr>
            <w:tcW w:w="8789" w:type="dxa"/>
          </w:tcPr>
          <w:p w14:paraId="5F0BD948" w14:textId="77777777" w:rsidR="00A25AD1" w:rsidRPr="00DB5D0D" w:rsidRDefault="00A25AD1" w:rsidP="00DB5D0D">
            <w:pPr>
              <w:pStyle w:val="a3"/>
              <w:widowControl/>
              <w:rPr>
                <w:color w:val="000000" w:themeColor="text1"/>
                <w:lang w:val="ru-RU"/>
              </w:rPr>
            </w:pPr>
            <w:r w:rsidRPr="00DB5D0D">
              <w:rPr>
                <w:color w:val="000000" w:themeColor="text1"/>
                <w:lang w:val="ru-RU"/>
              </w:rPr>
              <w:t>Произведено 3 полета:</w:t>
            </w:r>
          </w:p>
          <w:p w14:paraId="649B99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полет для проверки самолета летчиком завода Корзинщиковым.</w:t>
            </w:r>
          </w:p>
          <w:p w14:paraId="405768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полет для ознакомления летчика НИИ ВВС Николаева.</w:t>
            </w:r>
          </w:p>
        </w:tc>
      </w:tr>
      <w:tr w:rsidR="007D5DF8" w:rsidRPr="00DB5D0D" w14:paraId="14D062DF" w14:textId="77777777" w:rsidTr="009223E5">
        <w:tc>
          <w:tcPr>
            <w:tcW w:w="1809" w:type="dxa"/>
          </w:tcPr>
          <w:p w14:paraId="02B228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8789" w:type="dxa"/>
          </w:tcPr>
          <w:p w14:paraId="07BC1F4B"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определение границ высотности мотора.</w:t>
            </w:r>
          </w:p>
          <w:p w14:paraId="570924AA" w14:textId="77777777" w:rsidR="00A25AD1" w:rsidRPr="00DB5D0D" w:rsidRDefault="00A25AD1" w:rsidP="00DB5D0D">
            <w:pPr>
              <w:pStyle w:val="a3"/>
              <w:widowControl/>
              <w:rPr>
                <w:color w:val="000000" w:themeColor="text1"/>
                <w:lang w:val="ru-RU"/>
              </w:rPr>
            </w:pPr>
            <w:r w:rsidRPr="00DB5D0D">
              <w:rPr>
                <w:color w:val="000000" w:themeColor="text1"/>
                <w:lang w:val="ru-RU"/>
              </w:rPr>
              <w:t>2-й полет на определение границ высотности мотора.</w:t>
            </w:r>
          </w:p>
        </w:tc>
      </w:tr>
      <w:tr w:rsidR="007D5DF8" w:rsidRPr="00DB5D0D" w14:paraId="54BE1B14" w14:textId="77777777" w:rsidTr="009223E5">
        <w:tc>
          <w:tcPr>
            <w:tcW w:w="1809" w:type="dxa"/>
          </w:tcPr>
          <w:p w14:paraId="196DB66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789" w:type="dxa"/>
          </w:tcPr>
          <w:p w14:paraId="20FAE8B5" w14:textId="77777777" w:rsidR="00A25AD1" w:rsidRPr="00DB5D0D" w:rsidRDefault="00A25AD1" w:rsidP="00DB5D0D">
            <w:pPr>
              <w:pStyle w:val="a3"/>
              <w:widowControl/>
              <w:rPr>
                <w:color w:val="000000" w:themeColor="text1"/>
                <w:lang w:val="ru-RU"/>
              </w:rPr>
            </w:pPr>
            <w:r w:rsidRPr="00DB5D0D">
              <w:rPr>
                <w:color w:val="000000" w:themeColor="text1"/>
                <w:lang w:val="ru-RU"/>
              </w:rPr>
              <w:t>3-й полет на определение границ высотности мотора.</w:t>
            </w:r>
          </w:p>
        </w:tc>
      </w:tr>
      <w:tr w:rsidR="007D5DF8" w:rsidRPr="00DB5D0D" w14:paraId="32323B59" w14:textId="77777777" w:rsidTr="009223E5">
        <w:tc>
          <w:tcPr>
            <w:tcW w:w="1809" w:type="dxa"/>
          </w:tcPr>
          <w:p w14:paraId="1C21B8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года</w:t>
            </w:r>
          </w:p>
        </w:tc>
        <w:tc>
          <w:tcPr>
            <w:tcW w:w="8789" w:type="dxa"/>
          </w:tcPr>
          <w:p w14:paraId="54AAA96A" w14:textId="77777777" w:rsidR="00A25AD1" w:rsidRPr="00DB5D0D" w:rsidRDefault="00A25AD1" w:rsidP="00DB5D0D">
            <w:pPr>
              <w:pStyle w:val="a3"/>
              <w:widowControl/>
              <w:rPr>
                <w:color w:val="000000" w:themeColor="text1"/>
                <w:lang w:val="ru-RU"/>
              </w:rPr>
            </w:pPr>
            <w:r w:rsidRPr="00DB5D0D">
              <w:rPr>
                <w:color w:val="000000" w:themeColor="text1"/>
                <w:lang w:val="ru-RU"/>
              </w:rPr>
              <w:t>Произведен пилотаж.</w:t>
            </w:r>
          </w:p>
        </w:tc>
      </w:tr>
      <w:tr w:rsidR="007D5DF8" w:rsidRPr="00DB5D0D" w14:paraId="1C0120B3" w14:textId="77777777" w:rsidTr="009223E5">
        <w:tc>
          <w:tcPr>
            <w:tcW w:w="1809" w:type="dxa"/>
          </w:tcPr>
          <w:p w14:paraId="4C1B98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года</w:t>
            </w:r>
          </w:p>
        </w:tc>
        <w:tc>
          <w:tcPr>
            <w:tcW w:w="8789" w:type="dxa"/>
          </w:tcPr>
          <w:p w14:paraId="59A7F8D0" w14:textId="77777777" w:rsidR="00A25AD1" w:rsidRPr="00DB5D0D" w:rsidRDefault="00A25AD1" w:rsidP="00DB5D0D">
            <w:pPr>
              <w:pStyle w:val="a3"/>
              <w:widowControl/>
              <w:rPr>
                <w:color w:val="000000" w:themeColor="text1"/>
                <w:lang w:val="ru-RU"/>
              </w:rPr>
            </w:pPr>
            <w:r w:rsidRPr="00DB5D0D">
              <w:rPr>
                <w:color w:val="000000" w:themeColor="text1"/>
                <w:lang w:val="ru-RU"/>
              </w:rPr>
              <w:t>6 полетов на определение взлетно-посадочных свойств самолета.</w:t>
            </w:r>
          </w:p>
        </w:tc>
      </w:tr>
      <w:tr w:rsidR="007D5DF8" w:rsidRPr="00DB5D0D" w14:paraId="1C19A4E6" w14:textId="77777777" w:rsidTr="009223E5">
        <w:tc>
          <w:tcPr>
            <w:tcW w:w="1809" w:type="dxa"/>
          </w:tcPr>
          <w:p w14:paraId="725044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9 июня 1940 года</w:t>
            </w:r>
          </w:p>
        </w:tc>
        <w:tc>
          <w:tcPr>
            <w:tcW w:w="8789" w:type="dxa"/>
          </w:tcPr>
          <w:p w14:paraId="0C5CE0F0" w14:textId="77777777" w:rsidR="00A25AD1" w:rsidRPr="00DB5D0D" w:rsidRDefault="00A25AD1" w:rsidP="00DB5D0D">
            <w:pPr>
              <w:pStyle w:val="a3"/>
              <w:widowControl/>
              <w:rPr>
                <w:color w:val="000000" w:themeColor="text1"/>
                <w:lang w:val="ru-RU"/>
              </w:rPr>
            </w:pPr>
            <w:r w:rsidRPr="00DB5D0D">
              <w:rPr>
                <w:color w:val="000000" w:themeColor="text1"/>
                <w:lang w:val="ru-RU"/>
              </w:rPr>
              <w:t>2 полета на зубцы.</w:t>
            </w:r>
          </w:p>
          <w:p w14:paraId="622E0F9B"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определение маневренности самолета на высоте 3000 м.</w:t>
            </w:r>
          </w:p>
        </w:tc>
      </w:tr>
      <w:tr w:rsidR="007D5DF8" w:rsidRPr="00DB5D0D" w14:paraId="1DECEFD8" w14:textId="77777777" w:rsidTr="009223E5">
        <w:tc>
          <w:tcPr>
            <w:tcW w:w="1809" w:type="dxa"/>
          </w:tcPr>
          <w:p w14:paraId="1ED7BB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8789" w:type="dxa"/>
          </w:tcPr>
          <w:p w14:paraId="5532EE4D" w14:textId="77777777" w:rsidR="00A25AD1" w:rsidRPr="00DB5D0D" w:rsidRDefault="00A25AD1" w:rsidP="00DB5D0D">
            <w:pPr>
              <w:pStyle w:val="a3"/>
              <w:widowControl/>
              <w:rPr>
                <w:color w:val="000000" w:themeColor="text1"/>
                <w:lang w:val="ru-RU"/>
              </w:rPr>
            </w:pPr>
            <w:r w:rsidRPr="00DB5D0D">
              <w:rPr>
                <w:color w:val="000000" w:themeColor="text1"/>
                <w:lang w:val="ru-RU"/>
              </w:rPr>
              <w:t>8 полетов на снятие взлетно-посадочных свойств самолета.</w:t>
            </w:r>
          </w:p>
        </w:tc>
      </w:tr>
      <w:tr w:rsidR="007D5DF8" w:rsidRPr="00DB5D0D" w14:paraId="5195D2DD" w14:textId="77777777" w:rsidTr="009223E5">
        <w:tc>
          <w:tcPr>
            <w:tcW w:w="1809" w:type="dxa"/>
          </w:tcPr>
          <w:p w14:paraId="25B9EC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8789" w:type="dxa"/>
          </w:tcPr>
          <w:p w14:paraId="68A7BD0A"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Н=5500 м.</w:t>
            </w:r>
          </w:p>
          <w:p w14:paraId="060C1848"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километраж.</w:t>
            </w:r>
          </w:p>
          <w:p w14:paraId="190C27FF"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Н=8000 м.</w:t>
            </w:r>
          </w:p>
          <w:p w14:paraId="02673111"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Н=8000 м и отстрел на автоматику из пушки и пулеметов.</w:t>
            </w:r>
          </w:p>
          <w:p w14:paraId="4BD1FAF8"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маневренность и стрельбу.</w:t>
            </w:r>
          </w:p>
        </w:tc>
      </w:tr>
      <w:tr w:rsidR="007D5DF8" w:rsidRPr="00DB5D0D" w14:paraId="06DFAFD0" w14:textId="77777777" w:rsidTr="009223E5">
        <w:tc>
          <w:tcPr>
            <w:tcW w:w="1809" w:type="dxa"/>
          </w:tcPr>
          <w:p w14:paraId="7BC73F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года</w:t>
            </w:r>
          </w:p>
        </w:tc>
        <w:tc>
          <w:tcPr>
            <w:tcW w:w="8789" w:type="dxa"/>
          </w:tcPr>
          <w:p w14:paraId="25E77B4F"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Н=8000 м и отстрел вооружения на автоматику.</w:t>
            </w:r>
          </w:p>
          <w:p w14:paraId="3C724577"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стрельбу.</w:t>
            </w:r>
          </w:p>
        </w:tc>
      </w:tr>
      <w:tr w:rsidR="007D5DF8" w:rsidRPr="00DB5D0D" w14:paraId="6030CC52" w14:textId="77777777" w:rsidTr="009223E5">
        <w:tc>
          <w:tcPr>
            <w:tcW w:w="1809" w:type="dxa"/>
          </w:tcPr>
          <w:p w14:paraId="4E6880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w:t>
            </w:r>
          </w:p>
        </w:tc>
        <w:tc>
          <w:tcPr>
            <w:tcW w:w="8789" w:type="dxa"/>
          </w:tcPr>
          <w:p w14:paraId="1A0DE2BC"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Н=5000 м.</w:t>
            </w:r>
          </w:p>
          <w:p w14:paraId="21C00FF4"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определение расхода горючего.</w:t>
            </w:r>
          </w:p>
        </w:tc>
      </w:tr>
      <w:tr w:rsidR="007D5DF8" w:rsidRPr="00DB5D0D" w14:paraId="4E625A2C" w14:textId="77777777" w:rsidTr="009223E5">
        <w:tc>
          <w:tcPr>
            <w:tcW w:w="1809" w:type="dxa"/>
          </w:tcPr>
          <w:p w14:paraId="4B1B46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w:t>
            </w:r>
          </w:p>
        </w:tc>
        <w:tc>
          <w:tcPr>
            <w:tcW w:w="8789" w:type="dxa"/>
          </w:tcPr>
          <w:p w14:paraId="707E887C"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расход горючего.</w:t>
            </w:r>
          </w:p>
          <w:p w14:paraId="4146E892" w14:textId="77777777" w:rsidR="00A25AD1" w:rsidRPr="00DB5D0D" w:rsidRDefault="00A25AD1" w:rsidP="00DB5D0D">
            <w:pPr>
              <w:pStyle w:val="a3"/>
              <w:widowControl/>
              <w:rPr>
                <w:color w:val="000000" w:themeColor="text1"/>
                <w:lang w:val="ru-RU"/>
              </w:rPr>
            </w:pPr>
            <w:r w:rsidRPr="00DB5D0D">
              <w:rPr>
                <w:color w:val="000000" w:themeColor="text1"/>
                <w:lang w:val="ru-RU"/>
              </w:rPr>
              <w:t>Облет самолета летчиками Кубышкиным, Кабановым.</w:t>
            </w:r>
          </w:p>
          <w:p w14:paraId="5854F5B1"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устойчивость.</w:t>
            </w:r>
          </w:p>
        </w:tc>
      </w:tr>
      <w:tr w:rsidR="007D5DF8" w:rsidRPr="00DB5D0D" w14:paraId="61CCDBC5" w14:textId="77777777" w:rsidTr="009223E5">
        <w:tc>
          <w:tcPr>
            <w:tcW w:w="1809" w:type="dxa"/>
          </w:tcPr>
          <w:p w14:paraId="2E2A1F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8789" w:type="dxa"/>
          </w:tcPr>
          <w:p w14:paraId="2111EE4F"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устойчивость Н=3000 м.</w:t>
            </w:r>
          </w:p>
          <w:p w14:paraId="47F01E72" w14:textId="77777777" w:rsidR="00A25AD1" w:rsidRPr="00DB5D0D" w:rsidRDefault="00A25AD1" w:rsidP="00DB5D0D">
            <w:pPr>
              <w:pStyle w:val="a3"/>
              <w:widowControl/>
              <w:rPr>
                <w:color w:val="000000" w:themeColor="text1"/>
                <w:lang w:val="ru-RU"/>
              </w:rPr>
            </w:pPr>
            <w:r w:rsidRPr="00DB5D0D">
              <w:rPr>
                <w:color w:val="000000" w:themeColor="text1"/>
                <w:lang w:val="ru-RU"/>
              </w:rPr>
              <w:t>Облет самолета летчиками полковым комиссаром Холопцевым, в/инженером 1 ранга генерал-майором Филиным.</w:t>
            </w:r>
          </w:p>
        </w:tc>
      </w:tr>
      <w:tr w:rsidR="007D5DF8" w:rsidRPr="00DB5D0D" w14:paraId="354A6F83" w14:textId="77777777" w:rsidTr="009223E5">
        <w:tc>
          <w:tcPr>
            <w:tcW w:w="1809" w:type="dxa"/>
            <w:tcBorders>
              <w:bottom w:val="single" w:sz="12" w:space="0" w:color="auto"/>
            </w:tcBorders>
          </w:tcPr>
          <w:p w14:paraId="0B1805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8789" w:type="dxa"/>
            <w:tcBorders>
              <w:bottom w:val="single" w:sz="12" w:space="0" w:color="auto"/>
            </w:tcBorders>
          </w:tcPr>
          <w:p w14:paraId="3385F666" w14:textId="77777777" w:rsidR="00A25AD1" w:rsidRPr="00DB5D0D" w:rsidRDefault="00A25AD1" w:rsidP="00DB5D0D">
            <w:pPr>
              <w:pStyle w:val="a3"/>
              <w:widowControl/>
              <w:rPr>
                <w:color w:val="000000" w:themeColor="text1"/>
                <w:lang w:val="ru-RU"/>
              </w:rPr>
            </w:pPr>
            <w:r w:rsidRPr="00DB5D0D">
              <w:rPr>
                <w:color w:val="000000" w:themeColor="text1"/>
                <w:lang w:val="ru-RU"/>
              </w:rPr>
              <w:t>Облет самолета летчиками: в/инженером 1 ранга Никашиным, в/инженером 2 ранга Максимовым, в/инженером 2 ранга Кочетковым, капитаном Прошаковым, майором Малышевым, ст. лейтенантом Шапоровым.</w:t>
            </w:r>
          </w:p>
        </w:tc>
      </w:tr>
    </w:tbl>
    <w:p w14:paraId="03A4C0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(4557).</w:t>
      </w:r>
    </w:p>
    <w:p w14:paraId="6287DB0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EAF9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И-26 М-105П ВИШ-61 А.С.Я. в ходе гос. испытаний, которые проходили с 1 по 15 июня 1940 был перегнан с ЦА на аэродром НИИ ГУАС (2924).</w:t>
      </w:r>
    </w:p>
    <w:p w14:paraId="21607F0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F6D2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по 15 июня 1940 г. были проведены испытания И-26-11 в НИИ ВВС ГУАСК в установленные приказом начальника ГУАС сроки. 16 июня самолет был облетан летчиками НИИ ВВС. За время испытаний провели 52 полета с общим налетом 21 час 11 минут.</w:t>
      </w:r>
    </w:p>
    <w:p w14:paraId="50FE8A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Недостаточная прочность носков крыла (увеличившаяся после проведения усиления с 40 до 67 %) и недостаточная общая прочность самолета явились следствием перетя- желения конструкции. Расчет самолета был произведен для полетного веса 2300 кг, с учетом весовой сводки готовых изделии, представленной заводами-поставщиками. Выдержать заявленные веса многим из них не удалось, поскольку эти изделия они не выпускали раньше, а создавали специально для нового истребителя. Об уровне весовой культуры в отечественной авиационной промышленности может служить тот факт, что при проведении контрольного взвешивания готовых изделий в апреле 1944 года (в процессе подготовки к выпуску истребителя Як-3 на Саратовском авиазаводе) была обнаружена разница в весах серийных моторов до 17 кг, винтов - до 8 кг (ЦАМО ф.35 оп.М287 Д.22М л.198). В результате полетный вес И-26 возрос до 2700 кг. Это уменьшило запас прочности с 13-кратного, положенного для истребителя по Нормам прочности 1939 г., до 11-кратного. Самолет допустили к полетам, но ограничили допустимую эксплуатационную перегрузку 6,5 единицами. В связи этим программу испытаний сократили, исключив штопор и пикирование.</w:t>
      </w:r>
    </w:p>
    <w:p w14:paraId="501EB5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невозможности длительной работы мотора на номинальных оборотах, вследствие недоведенности маслосистемы, отдельные элементы программы изменили из условия работы мотора на полных оборотах не более двух-трех минут. По свидетельству И.Г. Рабкина, инженера-испытателя НИИ ВВС в то время, взлет, например, производили в два приема: сначала выруливание на старт, затем 10-15 минут охлаждение мотора, после чего снова запуск и взлет на полных оборотах. Полеты на определение скороподъемности проводили с площадками на охлаждение мотора.</w:t>
      </w:r>
    </w:p>
    <w:p w14:paraId="4513CB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Существует расхожее мнение, что такая "дикая" методика испытаний предпринималась под давлением или в угоду главному конструктору машины А.С.Яковлеву (и "стоящему за его спиной" И.В. Сталину). Нет, для существующего момента, когда серийное производство И-26 уже началось, было важно как можно скорее определиться в правильности выбора будущего истребителя ВВС. В случае обнаружения принципиальных недостатков конструкции самолета (а не мотора или другого оборудования), не поддающихся изменению или доводке, и низких летных данных, выпуск И-26 можно было немедленно свернуть.</w:t>
      </w:r>
    </w:p>
    <w:p w14:paraId="236CEE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не имела полагавшегося для истребителей специального оборудования: средств радиосвязи, генератора, ночного освещения и ночных посадочных средств. Система уборки и выпуска шасси не обеспечивши! требование ВВС КА о возможности уборки шасси в наборе высоты. Опасное попадание стреляных гильз и звеньев в стабилизатор и большие усилия (27 кг) на спусковых гашетках пулеметов, вынудили прекратить отстрел вооружения.</w:t>
      </w:r>
    </w:p>
    <w:p w14:paraId="24FADE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государственных испытаний в горизонтальном полете на высоте 5000 м была достигнута максимальная скорость 585,5 км/ч, а набор этой высоты выполнен за 6 мин. Несколько позже, в 1941 г., изменилась методика обработки результатов испытаний и порядок пересчета максимальной скорости, полученной при испытаниях, на условия стандартной атмосферы. Для сравнения с серийными образцами данные И-26-11 задним числом были пересчитаны. Максимальная скорость получилась равной 592 км/ч. По общему мнению ведущих лет- чиков-испытателей самолета Николаева и Стефан о вс ко го, а также других летчиков НИИ ВВС КА, производивших облет (генерал-майор Филин, полковой комиссар Хо- лоппев, военинженер 1-го ранга Никашин, военинженер 2-го ранга Максимов, военинженер 2-го ранга Кочетков, майор Малышев, капитан Прошаков, старший лейтенант Шапоров), самолет мог быть освоен летчиками строевых частей средней квалификации. Отмечались также недостаточная продольная устойчивость (принесенная в жертву маневренности), отсутствие вентиляции кабины, недоведенность шасси, маслосисте- мы, вооружения.</w:t>
      </w:r>
    </w:p>
    <w:p w14:paraId="473071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Подведя итоги, НИИ ВВС вынес заключение, что опытный истребитель И-26 государственные испытания не выдержал. Главному конструктору А.С. Яковлеву предложили в кратчайшие сроки устранить обнаруженные недостатки и предъявить самолет на повторные государственные испытания. Справедливости ради следует сказать, что опытный истребитель И-301 С.А. Лавочкина. В.П. Горбунова и М.И. Гудкова (с теми же мотором и винтом) закончил государственные испытания с аналогичным результатом (12048).</w:t>
      </w:r>
    </w:p>
    <w:p w14:paraId="288C34D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D355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самолет И-200 третий опытный экземпляр закончен в производстве и сдан на проведение заводских летных испытаний, которые закончены 22 августа 1940 г. (2988), хотя наземные испытания шли уже с 13 мая 1940. У машины были металлические консоли и фара ФС-155 вместо факелодержателей НГ-12 (3549).</w:t>
      </w:r>
    </w:p>
    <w:p w14:paraId="37904AF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9861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 закончен сборкой третий И-200, хотя еще 13 мая 1940 на третьем прототипе И-200 нача</w:t>
      </w:r>
      <w:r w:rsidRPr="00DB5D0D">
        <w:rPr>
          <w:rFonts w:ascii="Times New Roman" w:hAnsi="Times New Roman"/>
          <w:color w:val="000000" w:themeColor="text1"/>
          <w:sz w:val="16"/>
          <w:szCs w:val="16"/>
        </w:rPr>
        <w:softHyphen/>
        <w:t>лись наземные испытания стрелко</w:t>
      </w:r>
      <w:r w:rsidRPr="00DB5D0D">
        <w:rPr>
          <w:rFonts w:ascii="Times New Roman" w:hAnsi="Times New Roman"/>
          <w:color w:val="000000" w:themeColor="text1"/>
          <w:sz w:val="16"/>
          <w:szCs w:val="16"/>
        </w:rPr>
        <w:softHyphen/>
        <w:t>вого вооружения с работающим мотором и штатными синхрониза</w:t>
      </w:r>
      <w:r w:rsidRPr="00DB5D0D">
        <w:rPr>
          <w:rFonts w:ascii="Times New Roman" w:hAnsi="Times New Roman"/>
          <w:color w:val="000000" w:themeColor="text1"/>
          <w:sz w:val="16"/>
          <w:szCs w:val="16"/>
        </w:rPr>
        <w:softHyphen/>
        <w:t>торами. А 6 июня М.И. Марцелюк совершил на нём первый вылет (11757).</w:t>
      </w:r>
    </w:p>
    <w:p w14:paraId="31E298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CEEA3B9" w14:textId="77777777" w:rsidR="001C296F" w:rsidRPr="00DB5D0D" w:rsidRDefault="001C296F" w:rsidP="00DB5D0D">
      <w:pPr>
        <w:pStyle w:val="a3"/>
        <w:rPr>
          <w:color w:val="000000" w:themeColor="text1"/>
          <w:lang w:val="ru-RU"/>
        </w:rPr>
      </w:pPr>
      <w:r w:rsidRPr="00DB5D0D">
        <w:rPr>
          <w:color w:val="000000" w:themeColor="text1"/>
          <w:lang w:val="ru-RU"/>
        </w:rPr>
        <w:t>1 июня 1940 главный конструктор Яценко направил докладную записку К.Е. Ворошилову, в которой отмечал следующее:</w:t>
      </w:r>
    </w:p>
    <w:p w14:paraId="4A0BDAFB" w14:textId="77777777" w:rsidR="001C296F" w:rsidRPr="00DB5D0D" w:rsidRDefault="001C296F" w:rsidP="00DB5D0D">
      <w:pPr>
        <w:pStyle w:val="5b"/>
        <w:shd w:val="clear" w:color="auto" w:fill="auto"/>
        <w:spacing w:line="240" w:lineRule="auto"/>
        <w:jc w:val="both"/>
        <w:rPr>
          <w:rFonts w:ascii="Times New Roman" w:hAnsi="Times New Roman" w:cs="Times New Roman"/>
          <w:color w:val="000000" w:themeColor="text1"/>
          <w:sz w:val="16"/>
          <w:szCs w:val="16"/>
          <w:lang w:val="ru-RU"/>
        </w:rPr>
      </w:pPr>
      <w:r w:rsidRPr="00DB5D0D">
        <w:rPr>
          <w:rFonts w:ascii="Times New Roman" w:hAnsi="Times New Roman" w:cs="Times New Roman"/>
          <w:color w:val="000000" w:themeColor="text1"/>
          <w:sz w:val="16"/>
          <w:szCs w:val="16"/>
          <w:lang w:val="ru-RU"/>
        </w:rPr>
        <w:t>«Снять сейчас с производства машину, по моему, не выгодно государству по следующим соображениям:</w:t>
      </w:r>
    </w:p>
    <w:p w14:paraId="43DCA2CE" w14:textId="77777777" w:rsidR="001C296F" w:rsidRPr="00DB5D0D" w:rsidRDefault="001C296F" w:rsidP="00DB5D0D">
      <w:pPr>
        <w:pStyle w:val="5b"/>
        <w:shd w:val="clear" w:color="auto" w:fill="auto"/>
        <w:tabs>
          <w:tab w:val="left" w:pos="511"/>
        </w:tabs>
        <w:spacing w:line="240" w:lineRule="auto"/>
        <w:jc w:val="both"/>
        <w:rPr>
          <w:rFonts w:ascii="Times New Roman" w:hAnsi="Times New Roman" w:cs="Times New Roman"/>
          <w:color w:val="000000" w:themeColor="text1"/>
          <w:sz w:val="16"/>
          <w:szCs w:val="16"/>
          <w:lang w:val="ru-RU"/>
        </w:rPr>
      </w:pPr>
      <w:r w:rsidRPr="00DB5D0D">
        <w:rPr>
          <w:rFonts w:ascii="Times New Roman" w:hAnsi="Times New Roman" w:cs="Times New Roman"/>
          <w:color w:val="000000" w:themeColor="text1"/>
          <w:sz w:val="16"/>
          <w:szCs w:val="16"/>
          <w:lang w:val="ru-RU"/>
        </w:rPr>
        <w:t>1) И-28 около года летал в НИИ, с ней знакомы, достаточно эксплуатировали и проверили.</w:t>
      </w:r>
    </w:p>
    <w:p w14:paraId="025E8797" w14:textId="77777777" w:rsidR="001C296F" w:rsidRPr="00DB5D0D" w:rsidRDefault="001C296F" w:rsidP="00DB5D0D">
      <w:pPr>
        <w:pStyle w:val="5b"/>
        <w:shd w:val="clear" w:color="auto" w:fill="auto"/>
        <w:tabs>
          <w:tab w:val="left" w:pos="582"/>
        </w:tabs>
        <w:spacing w:line="240" w:lineRule="auto"/>
        <w:jc w:val="both"/>
        <w:rPr>
          <w:rFonts w:ascii="Times New Roman" w:hAnsi="Times New Roman" w:cs="Times New Roman"/>
          <w:color w:val="000000" w:themeColor="text1"/>
          <w:sz w:val="16"/>
          <w:szCs w:val="16"/>
          <w:lang w:val="ru-RU"/>
        </w:rPr>
      </w:pPr>
      <w:r w:rsidRPr="00DB5D0D">
        <w:rPr>
          <w:rFonts w:ascii="Times New Roman" w:hAnsi="Times New Roman" w:cs="Times New Roman"/>
          <w:color w:val="000000" w:themeColor="text1"/>
          <w:sz w:val="16"/>
          <w:szCs w:val="16"/>
          <w:lang w:val="ru-RU"/>
        </w:rPr>
        <w:t>2) Доводки на машине во многом сделаны, а то, что осталось, легче устранить, чем начинать всё с начала.</w:t>
      </w:r>
    </w:p>
    <w:p w14:paraId="7F845BA8" w14:textId="77777777" w:rsidR="001C296F" w:rsidRPr="00DB5D0D" w:rsidRDefault="001C296F" w:rsidP="00DB5D0D">
      <w:pPr>
        <w:pStyle w:val="5b"/>
        <w:shd w:val="clear" w:color="auto" w:fill="auto"/>
        <w:tabs>
          <w:tab w:val="left" w:pos="569"/>
        </w:tabs>
        <w:spacing w:line="240" w:lineRule="auto"/>
        <w:jc w:val="both"/>
        <w:rPr>
          <w:rFonts w:ascii="Times New Roman" w:hAnsi="Times New Roman" w:cs="Times New Roman"/>
          <w:color w:val="000000" w:themeColor="text1"/>
          <w:sz w:val="16"/>
          <w:szCs w:val="16"/>
          <w:lang w:val="ru-RU"/>
        </w:rPr>
      </w:pPr>
      <w:r w:rsidRPr="00DB5D0D">
        <w:rPr>
          <w:rFonts w:ascii="Times New Roman" w:hAnsi="Times New Roman" w:cs="Times New Roman"/>
          <w:color w:val="000000" w:themeColor="text1"/>
          <w:sz w:val="16"/>
          <w:szCs w:val="16"/>
          <w:lang w:val="ru-RU"/>
        </w:rPr>
        <w:t>3) Большинство замечаний НИИ внесены в чертежи и уже в серии устранены.</w:t>
      </w:r>
    </w:p>
    <w:p w14:paraId="13BD37E5" w14:textId="77777777" w:rsidR="001C296F" w:rsidRPr="00DB5D0D" w:rsidRDefault="001C296F" w:rsidP="00DB5D0D">
      <w:pPr>
        <w:pStyle w:val="5b"/>
        <w:shd w:val="clear" w:color="auto" w:fill="auto"/>
        <w:tabs>
          <w:tab w:val="left" w:pos="538"/>
        </w:tabs>
        <w:spacing w:line="240" w:lineRule="auto"/>
        <w:jc w:val="both"/>
        <w:rPr>
          <w:rFonts w:ascii="Times New Roman" w:hAnsi="Times New Roman" w:cs="Times New Roman"/>
          <w:color w:val="000000" w:themeColor="text1"/>
          <w:sz w:val="16"/>
          <w:szCs w:val="16"/>
          <w:lang w:val="ru-RU"/>
        </w:rPr>
      </w:pPr>
      <w:r w:rsidRPr="00DB5D0D">
        <w:rPr>
          <w:rStyle w:val="5f1"/>
          <w:b w:val="0"/>
          <w:iCs/>
          <w:color w:val="000000" w:themeColor="text1"/>
          <w:spacing w:val="0"/>
          <w:sz w:val="16"/>
          <w:szCs w:val="16"/>
          <w:lang w:val="ru-RU"/>
        </w:rPr>
        <w:t>4) Основной вопрос — устойчивость в серии также учтён,</w:t>
      </w:r>
      <w:r w:rsidRPr="00DB5D0D">
        <w:rPr>
          <w:rFonts w:ascii="Times New Roman" w:hAnsi="Times New Roman" w:cs="Times New Roman"/>
          <w:color w:val="000000" w:themeColor="text1"/>
          <w:sz w:val="16"/>
          <w:szCs w:val="16"/>
          <w:lang w:val="ru-RU"/>
        </w:rPr>
        <w:t xml:space="preserve"> и если предположить, что устой</w:t>
      </w:r>
      <w:r w:rsidRPr="00DB5D0D">
        <w:rPr>
          <w:rFonts w:ascii="Times New Roman" w:hAnsi="Times New Roman" w:cs="Times New Roman"/>
          <w:color w:val="000000" w:themeColor="text1"/>
          <w:sz w:val="16"/>
          <w:szCs w:val="16"/>
          <w:lang w:val="ru-RU"/>
        </w:rPr>
        <w:softHyphen/>
        <w:t>чивость не будет достаточна, этот один вопрос быстро и с небольшими затратами можно добить.</w:t>
      </w:r>
    </w:p>
    <w:p w14:paraId="5D15F9F9" w14:textId="77777777" w:rsidR="001C296F" w:rsidRPr="00DB5D0D" w:rsidRDefault="001C296F" w:rsidP="00DB5D0D">
      <w:pPr>
        <w:pStyle w:val="5b"/>
        <w:shd w:val="clear" w:color="auto" w:fill="auto"/>
        <w:tabs>
          <w:tab w:val="left" w:pos="586"/>
        </w:tabs>
        <w:spacing w:line="240" w:lineRule="auto"/>
        <w:jc w:val="both"/>
        <w:rPr>
          <w:rFonts w:ascii="Times New Roman" w:hAnsi="Times New Roman" w:cs="Times New Roman"/>
          <w:color w:val="000000" w:themeColor="text1"/>
          <w:sz w:val="16"/>
          <w:szCs w:val="16"/>
          <w:lang w:val="ru-RU"/>
        </w:rPr>
      </w:pPr>
      <w:r w:rsidRPr="00DB5D0D">
        <w:rPr>
          <w:rFonts w:ascii="Times New Roman" w:hAnsi="Times New Roman" w:cs="Times New Roman"/>
          <w:color w:val="000000" w:themeColor="text1"/>
          <w:sz w:val="16"/>
          <w:szCs w:val="16"/>
          <w:lang w:val="ru-RU"/>
        </w:rPr>
        <w:t>5) Будущее машины также обеспечивается модификацией, которая выводит её в ряды передовых, по лётным данным, машин.</w:t>
      </w:r>
    </w:p>
    <w:p w14:paraId="2F239EA0" w14:textId="77777777" w:rsidR="001C296F" w:rsidRPr="00DB5D0D" w:rsidRDefault="001C296F" w:rsidP="00DB5D0D">
      <w:pPr>
        <w:pStyle w:val="5b"/>
        <w:shd w:val="clear" w:color="auto" w:fill="auto"/>
        <w:spacing w:line="240" w:lineRule="auto"/>
        <w:jc w:val="both"/>
        <w:rPr>
          <w:rFonts w:ascii="Times New Roman" w:hAnsi="Times New Roman" w:cs="Times New Roman"/>
          <w:color w:val="000000" w:themeColor="text1"/>
          <w:sz w:val="16"/>
          <w:szCs w:val="16"/>
          <w:lang w:val="ru-RU"/>
        </w:rPr>
      </w:pPr>
      <w:r w:rsidRPr="00DB5D0D">
        <w:rPr>
          <w:rFonts w:ascii="Times New Roman" w:hAnsi="Times New Roman" w:cs="Times New Roman"/>
          <w:color w:val="000000" w:themeColor="text1"/>
          <w:sz w:val="16"/>
          <w:szCs w:val="16"/>
          <w:lang w:val="ru-RU"/>
        </w:rPr>
        <w:t>«Единственно реальным решением вопроса является следующее:</w:t>
      </w:r>
    </w:p>
    <w:p w14:paraId="04891973" w14:textId="77777777" w:rsidR="001C296F" w:rsidRPr="00DB5D0D" w:rsidRDefault="001C296F" w:rsidP="00DB5D0D">
      <w:pPr>
        <w:pStyle w:val="5b"/>
        <w:shd w:val="clear" w:color="auto" w:fill="auto"/>
        <w:spacing w:line="240" w:lineRule="auto"/>
        <w:jc w:val="both"/>
        <w:rPr>
          <w:rFonts w:ascii="Times New Roman" w:hAnsi="Times New Roman" w:cs="Times New Roman"/>
          <w:color w:val="000000" w:themeColor="text1"/>
          <w:sz w:val="16"/>
          <w:szCs w:val="16"/>
          <w:lang w:val="ru-RU"/>
        </w:rPr>
      </w:pPr>
      <w:r w:rsidRPr="00DB5D0D">
        <w:rPr>
          <w:rFonts w:ascii="Times New Roman" w:hAnsi="Times New Roman" w:cs="Times New Roman"/>
          <w:color w:val="000000" w:themeColor="text1"/>
          <w:sz w:val="16"/>
          <w:szCs w:val="16"/>
          <w:lang w:val="ru-RU"/>
        </w:rPr>
        <w:t>На заводе №81 имеется отдельное помещение для цеха ширпотреба, общей площа</w:t>
      </w:r>
      <w:r w:rsidRPr="00DB5D0D">
        <w:rPr>
          <w:rFonts w:ascii="Times New Roman" w:hAnsi="Times New Roman" w:cs="Times New Roman"/>
          <w:color w:val="000000" w:themeColor="text1"/>
          <w:sz w:val="16"/>
          <w:szCs w:val="16"/>
          <w:lang w:val="ru-RU"/>
        </w:rPr>
        <w:softHyphen/>
        <w:t>дью 1600 кв. м. Это не много, но это позволит сейчас же, в течение 10 дней приступить к работе и на его базе развиваться...</w:t>
      </w:r>
    </w:p>
    <w:p w14:paraId="1AA20288" w14:textId="77777777" w:rsidR="001C296F" w:rsidRPr="00DB5D0D" w:rsidRDefault="001C296F" w:rsidP="00DB5D0D">
      <w:pPr>
        <w:pStyle w:val="5b"/>
        <w:shd w:val="clear" w:color="auto" w:fill="auto"/>
        <w:spacing w:line="240" w:lineRule="auto"/>
        <w:jc w:val="both"/>
        <w:rPr>
          <w:rFonts w:ascii="Times New Roman" w:hAnsi="Times New Roman" w:cs="Times New Roman"/>
          <w:color w:val="000000" w:themeColor="text1"/>
          <w:sz w:val="16"/>
          <w:szCs w:val="16"/>
          <w:lang w:val="ru-RU"/>
        </w:rPr>
      </w:pPr>
      <w:r w:rsidRPr="00DB5D0D">
        <w:rPr>
          <w:rFonts w:ascii="Times New Roman" w:hAnsi="Times New Roman" w:cs="Times New Roman"/>
          <w:color w:val="000000" w:themeColor="text1"/>
          <w:sz w:val="16"/>
          <w:szCs w:val="16"/>
          <w:lang w:val="ru-RU"/>
        </w:rPr>
        <w:t>Вопрос мне кажется надо решить окончательно: или коллектив должен работать и ему помочь организоваться, или работа его не нужна, тогда его надо распустить.</w:t>
      </w:r>
    </w:p>
    <w:p w14:paraId="5447E642" w14:textId="77777777" w:rsidR="001C296F" w:rsidRPr="00DB5D0D" w:rsidRDefault="001C296F" w:rsidP="00DB5D0D">
      <w:pPr>
        <w:pStyle w:val="5b"/>
        <w:shd w:val="clear" w:color="auto" w:fill="auto"/>
        <w:spacing w:line="240" w:lineRule="auto"/>
        <w:jc w:val="both"/>
        <w:rPr>
          <w:rFonts w:ascii="Times New Roman" w:hAnsi="Times New Roman" w:cs="Times New Roman"/>
          <w:color w:val="000000" w:themeColor="text1"/>
          <w:sz w:val="16"/>
          <w:szCs w:val="16"/>
          <w:lang w:val="ru-RU"/>
        </w:rPr>
      </w:pPr>
      <w:r w:rsidRPr="00DB5D0D">
        <w:rPr>
          <w:rFonts w:ascii="Times New Roman" w:hAnsi="Times New Roman" w:cs="Times New Roman"/>
          <w:color w:val="000000" w:themeColor="text1"/>
          <w:sz w:val="16"/>
          <w:szCs w:val="16"/>
          <w:lang w:val="ru-RU"/>
        </w:rPr>
        <w:t>Очень прошу решить этот вопрос, т.к. дальнейшая затяжка, кроме ущер</w:t>
      </w:r>
      <w:r w:rsidRPr="00DB5D0D">
        <w:rPr>
          <w:rFonts w:ascii="Times New Roman" w:hAnsi="Times New Roman" w:cs="Times New Roman"/>
          <w:color w:val="000000" w:themeColor="text1"/>
          <w:sz w:val="16"/>
          <w:szCs w:val="16"/>
          <w:lang w:val="ru-RU"/>
        </w:rPr>
        <w:softHyphen/>
        <w:t>ба, ничего государству не даст».</w:t>
      </w:r>
    </w:p>
    <w:p w14:paraId="65595D6C" w14:textId="77777777" w:rsidR="001C296F" w:rsidRPr="00DB5D0D" w:rsidRDefault="001C296F" w:rsidP="00DB5D0D">
      <w:pPr>
        <w:pStyle w:val="5b"/>
        <w:shd w:val="clear" w:color="auto" w:fill="auto"/>
        <w:tabs>
          <w:tab w:val="left" w:pos="586"/>
        </w:tabs>
        <w:spacing w:line="240" w:lineRule="auto"/>
        <w:jc w:val="both"/>
        <w:rPr>
          <w:rFonts w:ascii="Times New Roman" w:hAnsi="Times New Roman" w:cs="Times New Roman"/>
          <w:color w:val="000000" w:themeColor="text1"/>
          <w:sz w:val="16"/>
          <w:szCs w:val="16"/>
          <w:lang w:val="ru-RU"/>
        </w:rPr>
      </w:pPr>
      <w:r w:rsidRPr="00DB5D0D">
        <w:rPr>
          <w:rStyle w:val="70"/>
          <w:rFonts w:ascii="Times New Roman" w:hAnsi="Times New Roman" w:cs="Times New Roman"/>
          <w:iCs/>
          <w:color w:val="000000" w:themeColor="text1"/>
          <w:sz w:val="16"/>
          <w:szCs w:val="16"/>
          <w:lang w:val="ru-RU"/>
        </w:rPr>
        <w:t>Докладная записка была направле</w:t>
      </w:r>
      <w:r w:rsidRPr="00DB5D0D">
        <w:rPr>
          <w:rStyle w:val="70"/>
          <w:rFonts w:ascii="Times New Roman" w:hAnsi="Times New Roman" w:cs="Times New Roman"/>
          <w:iCs/>
          <w:color w:val="000000" w:themeColor="text1"/>
          <w:sz w:val="16"/>
          <w:szCs w:val="16"/>
          <w:lang w:val="ru-RU"/>
        </w:rPr>
        <w:softHyphen/>
        <w:t>на в секретариат Комитета Обороны при СНК СССР. Уже 5 июля.И.А. Сафо</w:t>
      </w:r>
      <w:r w:rsidRPr="00DB5D0D">
        <w:rPr>
          <w:rStyle w:val="70"/>
          <w:rFonts w:ascii="Times New Roman" w:hAnsi="Times New Roman" w:cs="Times New Roman"/>
          <w:iCs/>
          <w:color w:val="000000" w:themeColor="text1"/>
          <w:sz w:val="16"/>
          <w:szCs w:val="16"/>
          <w:lang w:val="ru-RU"/>
        </w:rPr>
        <w:softHyphen/>
        <w:t>нов направил К.Е. Ворошилову доклад</w:t>
      </w:r>
      <w:r w:rsidRPr="00DB5D0D">
        <w:rPr>
          <w:rStyle w:val="70"/>
          <w:rFonts w:ascii="Times New Roman" w:hAnsi="Times New Roman" w:cs="Times New Roman"/>
          <w:iCs/>
          <w:color w:val="000000" w:themeColor="text1"/>
          <w:sz w:val="16"/>
          <w:szCs w:val="16"/>
          <w:lang w:val="ru-RU"/>
        </w:rPr>
        <w:softHyphen/>
        <w:t>ную записку, в которой отмечал,</w:t>
      </w:r>
      <w:r w:rsidRPr="00DB5D0D">
        <w:rPr>
          <w:rFonts w:ascii="Times New Roman" w:hAnsi="Times New Roman" w:cs="Times New Roman"/>
          <w:color w:val="000000" w:themeColor="text1"/>
          <w:sz w:val="16"/>
          <w:szCs w:val="16"/>
          <w:lang w:val="ru-RU"/>
        </w:rPr>
        <w:t xml:space="preserve"> «что секретариат КО считает целесообраз</w:t>
      </w:r>
      <w:r w:rsidRPr="00DB5D0D">
        <w:rPr>
          <w:rFonts w:ascii="Times New Roman" w:hAnsi="Times New Roman" w:cs="Times New Roman"/>
          <w:color w:val="000000" w:themeColor="text1"/>
          <w:sz w:val="16"/>
          <w:szCs w:val="16"/>
          <w:lang w:val="ru-RU"/>
        </w:rPr>
        <w:softHyphen/>
        <w:t>ным обязать НКАП и НКО в пятиднев</w:t>
      </w:r>
      <w:r w:rsidRPr="00DB5D0D">
        <w:rPr>
          <w:rFonts w:ascii="Times New Roman" w:hAnsi="Times New Roman" w:cs="Times New Roman"/>
          <w:color w:val="000000" w:themeColor="text1"/>
          <w:sz w:val="16"/>
          <w:szCs w:val="16"/>
          <w:lang w:val="ru-RU"/>
        </w:rPr>
        <w:softHyphen/>
        <w:t>ный срок внести в КО согласованные предложения по вопросу о дальнейшей работе конструкторского бюро т. Яцен</w:t>
      </w:r>
      <w:r w:rsidRPr="00DB5D0D">
        <w:rPr>
          <w:rFonts w:ascii="Times New Roman" w:hAnsi="Times New Roman" w:cs="Times New Roman"/>
          <w:color w:val="000000" w:themeColor="text1"/>
          <w:sz w:val="16"/>
          <w:szCs w:val="16"/>
          <w:lang w:val="ru-RU"/>
        </w:rPr>
        <w:softHyphen/>
        <w:t>ко».</w:t>
      </w:r>
    </w:p>
    <w:p w14:paraId="3061E435" w14:textId="77777777" w:rsidR="001C296F" w:rsidRPr="00DB5D0D" w:rsidRDefault="001C296F" w:rsidP="00DB5D0D">
      <w:pPr>
        <w:pStyle w:val="5b"/>
        <w:shd w:val="clear" w:color="auto" w:fill="auto"/>
        <w:spacing w:line="240" w:lineRule="auto"/>
        <w:jc w:val="both"/>
        <w:rPr>
          <w:rFonts w:ascii="Times New Roman" w:hAnsi="Times New Roman" w:cs="Times New Roman"/>
          <w:color w:val="000000" w:themeColor="text1"/>
          <w:sz w:val="16"/>
          <w:szCs w:val="16"/>
          <w:lang w:val="ru-RU"/>
        </w:rPr>
      </w:pPr>
      <w:r w:rsidRPr="00DB5D0D">
        <w:rPr>
          <w:rFonts w:ascii="Times New Roman" w:hAnsi="Times New Roman" w:cs="Times New Roman"/>
          <w:color w:val="000000" w:themeColor="text1"/>
          <w:sz w:val="16"/>
          <w:szCs w:val="16"/>
          <w:lang w:val="ru-RU"/>
        </w:rPr>
        <w:t>Остановить производство И-28 и повторить весь цикл сначала, на другом объекте, это значит потратить ещё время, ещё деньги и ещё отодвинуть вопрос о перевооружении РККА».</w:t>
      </w:r>
    </w:p>
    <w:p w14:paraId="367C9547" w14:textId="77777777" w:rsidR="001C296F" w:rsidRPr="00DB5D0D" w:rsidRDefault="001C296F" w:rsidP="00DB5D0D">
      <w:pPr>
        <w:pStyle w:val="a3"/>
        <w:rPr>
          <w:color w:val="000000" w:themeColor="text1"/>
          <w:lang w:val="ru-RU"/>
        </w:rPr>
      </w:pPr>
      <w:r w:rsidRPr="00DB5D0D">
        <w:rPr>
          <w:color w:val="000000" w:themeColor="text1"/>
          <w:lang w:val="ru-RU"/>
        </w:rPr>
        <w:t>Прекращение выпуска истребителя И-28 в тот момент, когда все трудности в основном остались позади, стало серьёзным ударом по конструкторскому бюро В.П. Яценко. Но это было ещё не так страшно, как потеря собственной производственной базы, что ставило крест на творчестве коллектива.</w:t>
      </w:r>
    </w:p>
    <w:p w14:paraId="64779E55" w14:textId="77777777" w:rsidR="001C296F" w:rsidRPr="00DB5D0D" w:rsidRDefault="001C296F" w:rsidP="00DB5D0D">
      <w:pPr>
        <w:pStyle w:val="a3"/>
        <w:rPr>
          <w:color w:val="000000" w:themeColor="text1"/>
          <w:lang w:val="ru-RU"/>
        </w:rPr>
      </w:pPr>
      <w:r w:rsidRPr="00DB5D0D">
        <w:rPr>
          <w:color w:val="000000" w:themeColor="text1"/>
          <w:lang w:val="ru-RU"/>
        </w:rPr>
        <w:t xml:space="preserve">Назначение В.П. Яценко главным конструктором завода «Саркомбайн» в соответствии с уже упоминавшимся приказом НКАП № 403 от 7 декабря 1939 г. открывало </w:t>
      </w:r>
      <w:r w:rsidRPr="00DB5D0D">
        <w:rPr>
          <w:color w:val="000000" w:themeColor="text1"/>
          <w:lang w:val="ru-RU"/>
        </w:rPr>
        <w:lastRenderedPageBreak/>
        <w:t>перед ним неплохие перспективы. Владимиру Панфиловичу предписывалось перебраться со всем коллек</w:t>
      </w:r>
      <w:r w:rsidRPr="00DB5D0D">
        <w:rPr>
          <w:color w:val="000000" w:themeColor="text1"/>
          <w:lang w:val="ru-RU"/>
        </w:rPr>
        <w:softHyphen/>
        <w:t xml:space="preserve">тивом в Саратов, а в Москве все работы прекратить. Но вскоре этот приказ аннулировали, и всё повисло в воздухе. Но заводе «Саркомбайн» для работы КБ ничего создано не было и, по сути, требовалось всё начинать с нуля, а на заводе № 81, где ранее работал коллектив В.П. Яценко, после их отъезда всё сразу же было «приватизировано» - опытный цех разукомплектован, а в помещениях опытного отдела разместились службы завода № </w:t>
      </w:r>
      <w:r w:rsidRPr="00DB5D0D">
        <w:rPr>
          <w:rStyle w:val="721"/>
          <w:rFonts w:ascii="Times New Roman" w:hAnsi="Times New Roman" w:cs="Times New Roman"/>
          <w:b w:val="0"/>
          <w:color w:val="000000" w:themeColor="text1"/>
          <w:sz w:val="16"/>
          <w:szCs w:val="16"/>
          <w:lang w:val="ru-RU"/>
        </w:rPr>
        <w:t xml:space="preserve">81. </w:t>
      </w:r>
      <w:r w:rsidRPr="00DB5D0D">
        <w:rPr>
          <w:color w:val="000000" w:themeColor="text1"/>
          <w:lang w:val="ru-RU"/>
        </w:rPr>
        <w:t>В начале 1940 г., казалось, ситуация для Яценко изменилась к лучшему (15837).</w:t>
      </w:r>
    </w:p>
    <w:p w14:paraId="5C01FF0A" w14:textId="77777777" w:rsidR="001C296F" w:rsidRPr="00DB5D0D" w:rsidRDefault="001C296F" w:rsidP="00DB5D0D">
      <w:pPr>
        <w:pStyle w:val="a3"/>
        <w:rPr>
          <w:color w:val="000000" w:themeColor="text1"/>
          <w:lang w:val="ru-RU"/>
        </w:rPr>
      </w:pPr>
    </w:p>
    <w:p w14:paraId="53A20C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1 июня:</w:t>
      </w:r>
    </w:p>
    <w:p w14:paraId="0AC6A3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Поставки И-16 тип 24 и И-16 тип 27 в период с 1 января по 1 июня 1940 г. представлены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tblGrid>
      <w:tr w:rsidR="007D5DF8" w:rsidRPr="00DB5D0D" w14:paraId="01C89F84" w14:textId="77777777" w:rsidTr="009223E5">
        <w:tc>
          <w:tcPr>
            <w:tcW w:w="1245" w:type="dxa"/>
            <w:tcBorders>
              <w:top w:val="single" w:sz="12" w:space="0" w:color="auto"/>
            </w:tcBorders>
          </w:tcPr>
          <w:p w14:paraId="018CA17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Borders>
              <w:top w:val="single" w:sz="12" w:space="0" w:color="auto"/>
            </w:tcBorders>
          </w:tcPr>
          <w:p w14:paraId="0B1BBD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245" w:type="dxa"/>
            <w:tcBorders>
              <w:top w:val="single" w:sz="12" w:space="0" w:color="auto"/>
            </w:tcBorders>
          </w:tcPr>
          <w:p w14:paraId="423C25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24</w:t>
            </w:r>
          </w:p>
        </w:tc>
        <w:tc>
          <w:tcPr>
            <w:tcW w:w="1245" w:type="dxa"/>
            <w:tcBorders>
              <w:top w:val="single" w:sz="12" w:space="0" w:color="auto"/>
            </w:tcBorders>
          </w:tcPr>
          <w:p w14:paraId="187586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28</w:t>
            </w:r>
          </w:p>
        </w:tc>
        <w:tc>
          <w:tcPr>
            <w:tcW w:w="1245" w:type="dxa"/>
            <w:tcBorders>
              <w:top w:val="single" w:sz="12" w:space="0" w:color="auto"/>
            </w:tcBorders>
          </w:tcPr>
          <w:p w14:paraId="6FB5DD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w:t>
            </w:r>
          </w:p>
        </w:tc>
        <w:tc>
          <w:tcPr>
            <w:tcW w:w="1245" w:type="dxa"/>
            <w:tcBorders>
              <w:top w:val="single" w:sz="12" w:space="0" w:color="auto"/>
            </w:tcBorders>
          </w:tcPr>
          <w:p w14:paraId="2EF4D6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РСИ-3</w:t>
            </w:r>
          </w:p>
        </w:tc>
      </w:tr>
      <w:tr w:rsidR="007D5DF8" w:rsidRPr="00DB5D0D" w14:paraId="35E21A4E" w14:textId="77777777" w:rsidTr="009223E5">
        <w:tc>
          <w:tcPr>
            <w:tcW w:w="1245" w:type="dxa"/>
          </w:tcPr>
          <w:p w14:paraId="089C3C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149-й иап (Детское село)</w:t>
            </w:r>
          </w:p>
        </w:tc>
        <w:tc>
          <w:tcPr>
            <w:tcW w:w="1245" w:type="dxa"/>
          </w:tcPr>
          <w:p w14:paraId="6CC637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w:t>
            </w:r>
          </w:p>
        </w:tc>
        <w:tc>
          <w:tcPr>
            <w:tcW w:w="1245" w:type="dxa"/>
          </w:tcPr>
          <w:p w14:paraId="0B3DB3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245" w:type="dxa"/>
          </w:tcPr>
          <w:p w14:paraId="59100AA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Pr>
          <w:p w14:paraId="5774CCA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Pr>
          <w:p w14:paraId="36DC20C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ED38C1C" w14:textId="77777777" w:rsidTr="009223E5">
        <w:tc>
          <w:tcPr>
            <w:tcW w:w="1245" w:type="dxa"/>
          </w:tcPr>
          <w:p w14:paraId="3E17FC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146-й иап (Люберцы)</w:t>
            </w:r>
          </w:p>
        </w:tc>
        <w:tc>
          <w:tcPr>
            <w:tcW w:w="1245" w:type="dxa"/>
          </w:tcPr>
          <w:p w14:paraId="392C5C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245" w:type="dxa"/>
          </w:tcPr>
          <w:p w14:paraId="75DCF1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245" w:type="dxa"/>
          </w:tcPr>
          <w:p w14:paraId="3826B0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3F3D9B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3990B0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2F69803" w14:textId="77777777" w:rsidTr="009223E5">
        <w:tc>
          <w:tcPr>
            <w:tcW w:w="1245" w:type="dxa"/>
          </w:tcPr>
          <w:p w14:paraId="14B306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 АВ (Ногинск)</w:t>
            </w:r>
          </w:p>
        </w:tc>
        <w:tc>
          <w:tcPr>
            <w:tcW w:w="1245" w:type="dxa"/>
          </w:tcPr>
          <w:p w14:paraId="331337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245" w:type="dxa"/>
          </w:tcPr>
          <w:p w14:paraId="03531B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26533E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245" w:type="dxa"/>
          </w:tcPr>
          <w:p w14:paraId="629504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09C9EF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D79E0EA" w14:textId="77777777" w:rsidTr="009223E5">
        <w:tc>
          <w:tcPr>
            <w:tcW w:w="1245" w:type="dxa"/>
          </w:tcPr>
          <w:p w14:paraId="693264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45-й иап (Кишлы)</w:t>
            </w:r>
          </w:p>
        </w:tc>
        <w:tc>
          <w:tcPr>
            <w:tcW w:w="1245" w:type="dxa"/>
          </w:tcPr>
          <w:p w14:paraId="4D4B87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1245" w:type="dxa"/>
          </w:tcPr>
          <w:p w14:paraId="65A85A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1245" w:type="dxa"/>
          </w:tcPr>
          <w:p w14:paraId="06B2BC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1203FE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245" w:type="dxa"/>
          </w:tcPr>
          <w:p w14:paraId="3E5928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r>
      <w:tr w:rsidR="007D5DF8" w:rsidRPr="00DB5D0D" w14:paraId="26F86026" w14:textId="77777777" w:rsidTr="009223E5">
        <w:tc>
          <w:tcPr>
            <w:tcW w:w="1245" w:type="dxa"/>
          </w:tcPr>
          <w:p w14:paraId="47B665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60-я аб (Кишлы)</w:t>
            </w:r>
          </w:p>
        </w:tc>
        <w:tc>
          <w:tcPr>
            <w:tcW w:w="1245" w:type="dxa"/>
          </w:tcPr>
          <w:p w14:paraId="3B504B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245" w:type="dxa"/>
          </w:tcPr>
          <w:p w14:paraId="12662B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245" w:type="dxa"/>
          </w:tcPr>
          <w:p w14:paraId="74AD4A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37177C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1245" w:type="dxa"/>
          </w:tcPr>
          <w:p w14:paraId="1B04EC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96CD04C" w14:textId="77777777" w:rsidTr="009223E5">
        <w:tc>
          <w:tcPr>
            <w:tcW w:w="1245" w:type="dxa"/>
          </w:tcPr>
          <w:p w14:paraId="218D47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87-й иап (Умаиь)</w:t>
            </w:r>
          </w:p>
        </w:tc>
        <w:tc>
          <w:tcPr>
            <w:tcW w:w="1245" w:type="dxa"/>
          </w:tcPr>
          <w:p w14:paraId="43F269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245" w:type="dxa"/>
          </w:tcPr>
          <w:p w14:paraId="45C4DB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245" w:type="dxa"/>
          </w:tcPr>
          <w:p w14:paraId="2C27FB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14DFB6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6558C4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F8C477C" w14:textId="77777777" w:rsidTr="009223E5">
        <w:tc>
          <w:tcPr>
            <w:tcW w:w="1245" w:type="dxa"/>
          </w:tcPr>
          <w:p w14:paraId="7E7FA4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ВВС</w:t>
            </w:r>
          </w:p>
        </w:tc>
        <w:tc>
          <w:tcPr>
            <w:tcW w:w="1245" w:type="dxa"/>
          </w:tcPr>
          <w:p w14:paraId="01CF6D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245" w:type="dxa"/>
          </w:tcPr>
          <w:p w14:paraId="0DA6AD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245" w:type="dxa"/>
          </w:tcPr>
          <w:p w14:paraId="4E51F7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398CF1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6F28E9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37BE894" w14:textId="77777777" w:rsidTr="009223E5">
        <w:tc>
          <w:tcPr>
            <w:tcW w:w="1245" w:type="dxa"/>
          </w:tcPr>
          <w:p w14:paraId="139F1F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0КБ-29 (Подлипки)</w:t>
            </w:r>
          </w:p>
        </w:tc>
        <w:tc>
          <w:tcPr>
            <w:tcW w:w="1245" w:type="dxa"/>
          </w:tcPr>
          <w:p w14:paraId="5A7D39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245" w:type="dxa"/>
          </w:tcPr>
          <w:p w14:paraId="110756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245" w:type="dxa"/>
          </w:tcPr>
          <w:p w14:paraId="617C2C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73D166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435C35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B10E093" w14:textId="77777777" w:rsidTr="009223E5">
        <w:tc>
          <w:tcPr>
            <w:tcW w:w="1245" w:type="dxa"/>
          </w:tcPr>
          <w:p w14:paraId="03964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88-й иап (Винница)</w:t>
            </w:r>
          </w:p>
        </w:tc>
        <w:tc>
          <w:tcPr>
            <w:tcW w:w="1245" w:type="dxa"/>
          </w:tcPr>
          <w:p w14:paraId="364DF7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245" w:type="dxa"/>
          </w:tcPr>
          <w:p w14:paraId="682DA7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245" w:type="dxa"/>
          </w:tcPr>
          <w:p w14:paraId="3A866A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51B04B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733B0A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8F09B70" w14:textId="77777777" w:rsidTr="009223E5">
        <w:tc>
          <w:tcPr>
            <w:tcW w:w="1245" w:type="dxa"/>
          </w:tcPr>
          <w:p w14:paraId="11842B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166-й иап (Сейма)</w:t>
            </w:r>
          </w:p>
        </w:tc>
        <w:tc>
          <w:tcPr>
            <w:tcW w:w="1245" w:type="dxa"/>
          </w:tcPr>
          <w:p w14:paraId="16975D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245" w:type="dxa"/>
          </w:tcPr>
          <w:p w14:paraId="47FB13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245" w:type="dxa"/>
          </w:tcPr>
          <w:p w14:paraId="062BF8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5FDE97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7967A9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B71641E" w14:textId="77777777" w:rsidTr="009223E5">
        <w:tc>
          <w:tcPr>
            <w:tcW w:w="1245" w:type="dxa"/>
          </w:tcPr>
          <w:p w14:paraId="6187D3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122-й иап (Березина)</w:t>
            </w:r>
          </w:p>
        </w:tc>
        <w:tc>
          <w:tcPr>
            <w:tcW w:w="1245" w:type="dxa"/>
          </w:tcPr>
          <w:p w14:paraId="32C60D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w:t>
            </w:r>
          </w:p>
        </w:tc>
        <w:tc>
          <w:tcPr>
            <w:tcW w:w="1245" w:type="dxa"/>
          </w:tcPr>
          <w:p w14:paraId="730892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w:t>
            </w:r>
          </w:p>
        </w:tc>
        <w:tc>
          <w:tcPr>
            <w:tcW w:w="1245" w:type="dxa"/>
          </w:tcPr>
          <w:p w14:paraId="2AF579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1245" w:type="dxa"/>
          </w:tcPr>
          <w:p w14:paraId="264B9C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3DC862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704355BF" w14:textId="77777777" w:rsidTr="009223E5">
        <w:tc>
          <w:tcPr>
            <w:tcW w:w="1245" w:type="dxa"/>
          </w:tcPr>
          <w:p w14:paraId="581ABB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2-я аб (Кубинка)</w:t>
            </w:r>
          </w:p>
        </w:tc>
        <w:tc>
          <w:tcPr>
            <w:tcW w:w="1245" w:type="dxa"/>
          </w:tcPr>
          <w:p w14:paraId="14A366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245" w:type="dxa"/>
          </w:tcPr>
          <w:p w14:paraId="5B99DA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38583C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245" w:type="dxa"/>
          </w:tcPr>
          <w:p w14:paraId="2C0479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42A934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8C8EAB4" w14:textId="77777777" w:rsidTr="009223E5">
        <w:tc>
          <w:tcPr>
            <w:tcW w:w="1245" w:type="dxa"/>
          </w:tcPr>
          <w:p w14:paraId="623D71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131-й иап (Мокрая)</w:t>
            </w:r>
          </w:p>
        </w:tc>
        <w:tc>
          <w:tcPr>
            <w:tcW w:w="1245" w:type="dxa"/>
          </w:tcPr>
          <w:p w14:paraId="6A364C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245" w:type="dxa"/>
          </w:tcPr>
          <w:p w14:paraId="402A50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245" w:type="dxa"/>
          </w:tcPr>
          <w:p w14:paraId="325AD7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62096A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245" w:type="dxa"/>
          </w:tcPr>
          <w:p w14:paraId="1E4CF1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F9E5E45" w14:textId="77777777" w:rsidTr="009223E5">
        <w:tc>
          <w:tcPr>
            <w:tcW w:w="1245" w:type="dxa"/>
          </w:tcPr>
          <w:p w14:paraId="1EE0A0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150-й иап (Насосная)</w:t>
            </w:r>
          </w:p>
        </w:tc>
        <w:tc>
          <w:tcPr>
            <w:tcW w:w="1245" w:type="dxa"/>
          </w:tcPr>
          <w:p w14:paraId="2A7965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1245" w:type="dxa"/>
          </w:tcPr>
          <w:p w14:paraId="0E2A54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1245" w:type="dxa"/>
          </w:tcPr>
          <w:p w14:paraId="08EBEF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245" w:type="dxa"/>
          </w:tcPr>
          <w:p w14:paraId="5E3CDD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5FFAB2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AC9C3E5" w14:textId="77777777" w:rsidTr="009223E5">
        <w:tc>
          <w:tcPr>
            <w:tcW w:w="1245" w:type="dxa"/>
          </w:tcPr>
          <w:p w14:paraId="699356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153-я аб (Навтлуг)</w:t>
            </w:r>
          </w:p>
        </w:tc>
        <w:tc>
          <w:tcPr>
            <w:tcW w:w="1245" w:type="dxa"/>
          </w:tcPr>
          <w:p w14:paraId="5465B4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245" w:type="dxa"/>
          </w:tcPr>
          <w:p w14:paraId="5CD82B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245" w:type="dxa"/>
          </w:tcPr>
          <w:p w14:paraId="6C14FC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7C2FB6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245" w:type="dxa"/>
          </w:tcPr>
          <w:p w14:paraId="4D79F5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2EACF01" w14:textId="77777777" w:rsidTr="009223E5">
        <w:tc>
          <w:tcPr>
            <w:tcW w:w="1245" w:type="dxa"/>
          </w:tcPr>
          <w:p w14:paraId="096D0B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116-й иап (Сталинабад)</w:t>
            </w:r>
          </w:p>
        </w:tc>
        <w:tc>
          <w:tcPr>
            <w:tcW w:w="1245" w:type="dxa"/>
          </w:tcPr>
          <w:p w14:paraId="376C4D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w:t>
            </w:r>
          </w:p>
        </w:tc>
        <w:tc>
          <w:tcPr>
            <w:tcW w:w="1245" w:type="dxa"/>
          </w:tcPr>
          <w:p w14:paraId="50EB3C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w:t>
            </w:r>
          </w:p>
        </w:tc>
        <w:tc>
          <w:tcPr>
            <w:tcW w:w="1245" w:type="dxa"/>
          </w:tcPr>
          <w:p w14:paraId="6B8990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177264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1A88F3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D490D55" w14:textId="77777777" w:rsidTr="009223E5">
        <w:tc>
          <w:tcPr>
            <w:tcW w:w="1245" w:type="dxa"/>
          </w:tcPr>
          <w:p w14:paraId="551420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(Октябрьские казармы)</w:t>
            </w:r>
          </w:p>
        </w:tc>
        <w:tc>
          <w:tcPr>
            <w:tcW w:w="1245" w:type="dxa"/>
          </w:tcPr>
          <w:p w14:paraId="003A03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245" w:type="dxa"/>
          </w:tcPr>
          <w:p w14:paraId="4CA063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245" w:type="dxa"/>
          </w:tcPr>
          <w:p w14:paraId="4019C9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385D21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67E528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F35C457" w14:textId="77777777" w:rsidTr="009223E5">
        <w:tc>
          <w:tcPr>
            <w:tcW w:w="1245" w:type="dxa"/>
          </w:tcPr>
          <w:p w14:paraId="569168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22-я аб (Васильково)</w:t>
            </w:r>
          </w:p>
        </w:tc>
        <w:tc>
          <w:tcPr>
            <w:tcW w:w="1245" w:type="dxa"/>
          </w:tcPr>
          <w:p w14:paraId="23638C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1245" w:type="dxa"/>
          </w:tcPr>
          <w:p w14:paraId="3D19E6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1245" w:type="dxa"/>
          </w:tcPr>
          <w:p w14:paraId="259F3D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68FFE3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3BB664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r>
      <w:tr w:rsidR="007D5DF8" w:rsidRPr="00DB5D0D" w14:paraId="63FA3DA3" w14:textId="77777777" w:rsidTr="009223E5">
        <w:tc>
          <w:tcPr>
            <w:tcW w:w="1245" w:type="dxa"/>
          </w:tcPr>
          <w:p w14:paraId="2CBA15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69-й иап (Одесса)</w:t>
            </w:r>
          </w:p>
        </w:tc>
        <w:tc>
          <w:tcPr>
            <w:tcW w:w="1245" w:type="dxa"/>
          </w:tcPr>
          <w:p w14:paraId="79C646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w:t>
            </w:r>
          </w:p>
        </w:tc>
        <w:tc>
          <w:tcPr>
            <w:tcW w:w="1245" w:type="dxa"/>
          </w:tcPr>
          <w:p w14:paraId="4680E2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w:t>
            </w:r>
          </w:p>
        </w:tc>
        <w:tc>
          <w:tcPr>
            <w:tcW w:w="1245" w:type="dxa"/>
          </w:tcPr>
          <w:p w14:paraId="598CBA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06D844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31D56E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r>
      <w:tr w:rsidR="007D5DF8" w:rsidRPr="00DB5D0D" w14:paraId="7856D189" w14:textId="77777777" w:rsidTr="009223E5">
        <w:tc>
          <w:tcPr>
            <w:tcW w:w="1245" w:type="dxa"/>
          </w:tcPr>
          <w:p w14:paraId="121B81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67-й иап (Одесса)</w:t>
            </w:r>
          </w:p>
        </w:tc>
        <w:tc>
          <w:tcPr>
            <w:tcW w:w="1245" w:type="dxa"/>
          </w:tcPr>
          <w:p w14:paraId="44473C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245" w:type="dxa"/>
          </w:tcPr>
          <w:p w14:paraId="7BE8A8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w:t>
            </w:r>
          </w:p>
        </w:tc>
        <w:tc>
          <w:tcPr>
            <w:tcW w:w="1245" w:type="dxa"/>
          </w:tcPr>
          <w:p w14:paraId="278CAB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245" w:type="dxa"/>
          </w:tcPr>
          <w:p w14:paraId="5A9548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245" w:type="dxa"/>
          </w:tcPr>
          <w:p w14:paraId="2C0FE1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r>
      <w:tr w:rsidR="007D5DF8" w:rsidRPr="00DB5D0D" w14:paraId="7282FBBA" w14:textId="77777777" w:rsidTr="009223E5">
        <w:tc>
          <w:tcPr>
            <w:tcW w:w="1245" w:type="dxa"/>
          </w:tcPr>
          <w:p w14:paraId="35B160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149-й иап (Житомир)</w:t>
            </w:r>
          </w:p>
        </w:tc>
        <w:tc>
          <w:tcPr>
            <w:tcW w:w="1245" w:type="dxa"/>
          </w:tcPr>
          <w:p w14:paraId="70E1C8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1245" w:type="dxa"/>
          </w:tcPr>
          <w:p w14:paraId="20DBC8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1245" w:type="dxa"/>
          </w:tcPr>
          <w:p w14:paraId="2AAA66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662A1D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78AF27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47005F53" w14:textId="77777777" w:rsidTr="009223E5">
        <w:tc>
          <w:tcPr>
            <w:tcW w:w="1245" w:type="dxa"/>
          </w:tcPr>
          <w:p w14:paraId="25FFF1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?(Себеж)</w:t>
            </w:r>
          </w:p>
        </w:tc>
        <w:tc>
          <w:tcPr>
            <w:tcW w:w="1245" w:type="dxa"/>
          </w:tcPr>
          <w:p w14:paraId="66D146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1245" w:type="dxa"/>
          </w:tcPr>
          <w:p w14:paraId="059967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1245" w:type="dxa"/>
          </w:tcPr>
          <w:p w14:paraId="69248F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245" w:type="dxa"/>
          </w:tcPr>
          <w:p w14:paraId="3A9132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6F4862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6E5C01D6" w14:textId="77777777" w:rsidTr="009223E5">
        <w:tc>
          <w:tcPr>
            <w:tcW w:w="1245" w:type="dxa"/>
          </w:tcPr>
          <w:p w14:paraId="7455C0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14-я оаз (Крымская)</w:t>
            </w:r>
          </w:p>
        </w:tc>
        <w:tc>
          <w:tcPr>
            <w:tcW w:w="1245" w:type="dxa"/>
          </w:tcPr>
          <w:p w14:paraId="18C313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1245" w:type="dxa"/>
          </w:tcPr>
          <w:p w14:paraId="0ED688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1245" w:type="dxa"/>
          </w:tcPr>
          <w:p w14:paraId="574BCA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245" w:type="dxa"/>
          </w:tcPr>
          <w:p w14:paraId="119A59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5" w:type="dxa"/>
          </w:tcPr>
          <w:p w14:paraId="6975FC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A7CDBFD" w14:textId="77777777" w:rsidTr="009223E5">
        <w:tc>
          <w:tcPr>
            <w:tcW w:w="1245" w:type="dxa"/>
          </w:tcPr>
          <w:p w14:paraId="5ABF6A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245" w:type="dxa"/>
          </w:tcPr>
          <w:p w14:paraId="7C77B2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712</w:t>
            </w:r>
          </w:p>
        </w:tc>
        <w:tc>
          <w:tcPr>
            <w:tcW w:w="1245" w:type="dxa"/>
          </w:tcPr>
          <w:p w14:paraId="170B26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634</w:t>
            </w:r>
          </w:p>
        </w:tc>
        <w:tc>
          <w:tcPr>
            <w:tcW w:w="1245" w:type="dxa"/>
          </w:tcPr>
          <w:p w14:paraId="21CDAF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w:t>
            </w:r>
          </w:p>
        </w:tc>
        <w:tc>
          <w:tcPr>
            <w:tcW w:w="1245" w:type="dxa"/>
          </w:tcPr>
          <w:p w14:paraId="6AD309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w:t>
            </w:r>
          </w:p>
        </w:tc>
        <w:tc>
          <w:tcPr>
            <w:tcW w:w="1245" w:type="dxa"/>
          </w:tcPr>
          <w:p w14:paraId="3D2E0B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r w:rsidR="007D5DF8" w:rsidRPr="00DB5D0D" w14:paraId="5D460488" w14:textId="77777777" w:rsidTr="009223E5">
        <w:tc>
          <w:tcPr>
            <w:tcW w:w="1245" w:type="dxa"/>
          </w:tcPr>
          <w:p w14:paraId="131037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o Р</w:t>
            </w:r>
          </w:p>
        </w:tc>
        <w:tc>
          <w:tcPr>
            <w:tcW w:w="1245" w:type="dxa"/>
          </w:tcPr>
          <w:p w14:paraId="702470E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Pr>
          <w:p w14:paraId="410B77C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Pr>
          <w:p w14:paraId="6FFDDF1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Pr>
          <w:p w14:paraId="79641CC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Pr>
          <w:p w14:paraId="10B07A0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8B99CA9" w14:textId="77777777" w:rsidTr="009223E5">
        <w:tc>
          <w:tcPr>
            <w:tcW w:w="1245" w:type="dxa"/>
            <w:tcBorders>
              <w:bottom w:val="single" w:sz="12" w:space="0" w:color="auto"/>
            </w:tcBorders>
          </w:tcPr>
          <w:p w14:paraId="6228B2C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4E5EEF7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2B16193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09D1995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48F5447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0450BEE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73BBBD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 - самолеты оборудованные устастановками для РС-82.</w:t>
      </w:r>
    </w:p>
    <w:p w14:paraId="047353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РСИ-3 - самолеты, оснащенные радиостанциями.</w:t>
      </w:r>
    </w:p>
    <w:p w14:paraId="5758D8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число поставленных самолетов не вошли следующие:</w:t>
      </w:r>
    </w:p>
    <w:p w14:paraId="06870F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 переоборудованных И-16 из тип 5 в тип 18. Из них 3 самолета поступили в Люберцы и 2 - в Кубинку.</w:t>
      </w:r>
    </w:p>
    <w:p w14:paraId="067266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 УТИ-4 пошли в Кингисепп.</w:t>
      </w:r>
    </w:p>
    <w:p w14:paraId="6DC5A0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Известно, что несколько десятков И-16 тип 24 с подвесными баками в период 7-18 июля отправили на Дальний Восток (12015).</w:t>
      </w:r>
    </w:p>
    <w:p w14:paraId="5198759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E529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июня 1940 г. в частях еще име</w:t>
      </w:r>
      <w:r w:rsidRPr="00DB5D0D">
        <w:rPr>
          <w:rFonts w:ascii="Times New Roman" w:hAnsi="Times New Roman"/>
          <w:color w:val="000000" w:themeColor="text1"/>
          <w:sz w:val="16"/>
          <w:szCs w:val="16"/>
        </w:rPr>
        <w:softHyphen/>
        <w:t>лось 766 УТ-1, то есть примерно на 200 машин больше первоначального плана. Такая ситуация сложилась в основном за счет ударной работы завода № 47, а также за счет того, что реальная убыль оказалась почти в десять раз меньше предусмотренной. Ведь если на само</w:t>
      </w:r>
      <w:r w:rsidRPr="00DB5D0D">
        <w:rPr>
          <w:rFonts w:ascii="Times New Roman" w:hAnsi="Times New Roman"/>
          <w:color w:val="000000" w:themeColor="text1"/>
          <w:sz w:val="16"/>
          <w:szCs w:val="16"/>
        </w:rPr>
        <w:softHyphen/>
        <w:t>летах не летают, то их и не бьют (3955).</w:t>
      </w:r>
    </w:p>
    <w:p w14:paraId="526AA4E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460D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июня по 1 октября 1940 проходили заводские испытания УТ-1 М-11 (2090,232).</w:t>
      </w:r>
    </w:p>
    <w:p w14:paraId="7A86E60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32BD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1 июня 1940 г. 1-й опытный экземпляр БОК-15 оценивался готовым на 80%, а второй - на 50%. В этот период, по причине начавшейся мировой войны, масштабы которой все более расширялись, от проведения дальнего перелета отказались.</w:t>
      </w:r>
    </w:p>
    <w:p w14:paraId="49AA60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 не менее, усовершенствования БОК-15 продолжались. В частности, самолеты оборудовали каплеобразными обтекаемыми фонарями командира экипажа. Следующим этапом стало совершенствование силовой установки. Поначалу ориентировались на дизель М-40Ф с турбокомпрессорами ТК-Э88, проходивший 100-часовые испытания до сентября 1940 г. Хотя испытания оценивались малоуспешными по причине недоведенности поршневой группы, к декабрю 1940 г. этот двигатель предстояло установить на БОК-15 и приступить к летным испытаниям. М-40Ф развивал на взлете мощность 1500 л.с. (при номинальной 1200 л.е.), имел сухой вес 1200 кг, в качестве топлива на нем использовался бакинский тракторный керосин.</w:t>
      </w:r>
    </w:p>
    <w:p w14:paraId="28408A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декабре 1940 г. государственные испытания с удовлетворительной оценкой прошел дизель М-30, который являлся модификацией М-40. Основным его отличием стала установка по одному турбокомпрессору с каждой стороны двигателя. По весовым характеристикам и мощности оба дизеля были равноценными. Однако конструктор Тулупов путем дальнейшего форсирования обещал в ближайшем времени изготовить дизель М-30Ф с максимальной мощностью 1700 л.с. Очевидно это обстоятельство привело к решению оборудовать в июне 1941 г. на БОК-15 №2 дизель М-30. Начавшаяся война не позволила довести все перечисленные начинания до реализации. В 1941 г. по крайней мере один БОК-15 перегнали в Казань. Сведениями о дальнейшей судьбе этих двух необычных машин автор не располагает.</w:t>
      </w:r>
    </w:p>
    <w:p w14:paraId="4EFC4D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Размеры и основные характеристики БОК-15 АН-1РТК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7D5DF8" w:rsidRPr="00DB5D0D" w14:paraId="2944D077" w14:textId="77777777" w:rsidTr="009223E5">
        <w:tc>
          <w:tcPr>
            <w:tcW w:w="5156" w:type="dxa"/>
            <w:tcBorders>
              <w:top w:val="single" w:sz="12" w:space="0" w:color="auto"/>
            </w:tcBorders>
          </w:tcPr>
          <w:p w14:paraId="4034B2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Размах крыла (м)</w:t>
            </w:r>
          </w:p>
        </w:tc>
        <w:tc>
          <w:tcPr>
            <w:tcW w:w="5156" w:type="dxa"/>
            <w:tcBorders>
              <w:top w:val="single" w:sz="12" w:space="0" w:color="auto"/>
            </w:tcBorders>
          </w:tcPr>
          <w:p w14:paraId="409EDB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w:t>
            </w:r>
          </w:p>
        </w:tc>
      </w:tr>
      <w:tr w:rsidR="007D5DF8" w:rsidRPr="00DB5D0D" w14:paraId="64E58839" w14:textId="77777777" w:rsidTr="009223E5">
        <w:tc>
          <w:tcPr>
            <w:tcW w:w="5156" w:type="dxa"/>
          </w:tcPr>
          <w:p w14:paraId="4FFE3E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в линии полета (м)</w:t>
            </w:r>
          </w:p>
        </w:tc>
        <w:tc>
          <w:tcPr>
            <w:tcW w:w="5156" w:type="dxa"/>
          </w:tcPr>
          <w:p w14:paraId="67C0A7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15,75</w:t>
            </w:r>
          </w:p>
        </w:tc>
      </w:tr>
      <w:tr w:rsidR="007D5DF8" w:rsidRPr="00DB5D0D" w14:paraId="017D0ADC" w14:textId="77777777" w:rsidTr="009223E5">
        <w:tc>
          <w:tcPr>
            <w:tcW w:w="5156" w:type="dxa"/>
          </w:tcPr>
          <w:p w14:paraId="54A7E6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в линии полета (м)</w:t>
            </w:r>
          </w:p>
        </w:tc>
        <w:tc>
          <w:tcPr>
            <w:tcW w:w="5156" w:type="dxa"/>
          </w:tcPr>
          <w:p w14:paraId="48445B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5,77</w:t>
            </w:r>
          </w:p>
        </w:tc>
      </w:tr>
      <w:tr w:rsidR="007D5DF8" w:rsidRPr="00DB5D0D" w14:paraId="2CAFDEA7" w14:textId="77777777" w:rsidTr="009223E5">
        <w:tc>
          <w:tcPr>
            <w:tcW w:w="5156" w:type="dxa"/>
          </w:tcPr>
          <w:p w14:paraId="351650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крыльев (мг)</w:t>
            </w:r>
          </w:p>
        </w:tc>
        <w:tc>
          <w:tcPr>
            <w:tcW w:w="5156" w:type="dxa"/>
          </w:tcPr>
          <w:p w14:paraId="34228E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81,4</w:t>
            </w:r>
          </w:p>
        </w:tc>
      </w:tr>
      <w:tr w:rsidR="007D5DF8" w:rsidRPr="00DB5D0D" w14:paraId="11021B8F" w14:textId="77777777" w:rsidTr="009223E5">
        <w:tc>
          <w:tcPr>
            <w:tcW w:w="5156" w:type="dxa"/>
          </w:tcPr>
          <w:p w14:paraId="71FD73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(кг)</w:t>
            </w:r>
          </w:p>
        </w:tc>
        <w:tc>
          <w:tcPr>
            <w:tcW w:w="5156" w:type="dxa"/>
          </w:tcPr>
          <w:p w14:paraId="234B0B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4679</w:t>
            </w:r>
          </w:p>
        </w:tc>
      </w:tr>
      <w:tr w:rsidR="007D5DF8" w:rsidRPr="00DB5D0D" w14:paraId="26B0B0B1" w14:textId="77777777" w:rsidTr="009223E5">
        <w:tc>
          <w:tcPr>
            <w:tcW w:w="5156" w:type="dxa"/>
          </w:tcPr>
          <w:p w14:paraId="18E7F0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горючего (кг)</w:t>
            </w:r>
          </w:p>
        </w:tc>
        <w:tc>
          <w:tcPr>
            <w:tcW w:w="5156" w:type="dxa"/>
          </w:tcPr>
          <w:p w14:paraId="151376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7500</w:t>
            </w:r>
          </w:p>
        </w:tc>
      </w:tr>
      <w:tr w:rsidR="007D5DF8" w:rsidRPr="00DB5D0D" w14:paraId="52876A42" w14:textId="77777777" w:rsidTr="009223E5">
        <w:tc>
          <w:tcPr>
            <w:tcW w:w="5156" w:type="dxa"/>
          </w:tcPr>
          <w:p w14:paraId="637747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(кг)</w:t>
            </w:r>
          </w:p>
        </w:tc>
        <w:tc>
          <w:tcPr>
            <w:tcW w:w="5156" w:type="dxa"/>
          </w:tcPr>
          <w:p w14:paraId="71F156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13,517</w:t>
            </w:r>
          </w:p>
        </w:tc>
      </w:tr>
      <w:tr w:rsidR="007D5DF8" w:rsidRPr="00DB5D0D" w14:paraId="2C7AA374" w14:textId="77777777" w:rsidTr="009223E5">
        <w:tc>
          <w:tcPr>
            <w:tcW w:w="5156" w:type="dxa"/>
          </w:tcPr>
          <w:p w14:paraId="300454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крыло (кг/м!)</w:t>
            </w:r>
          </w:p>
        </w:tc>
        <w:tc>
          <w:tcPr>
            <w:tcW w:w="5156" w:type="dxa"/>
          </w:tcPr>
          <w:p w14:paraId="311923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166</w:t>
            </w:r>
          </w:p>
        </w:tc>
      </w:tr>
      <w:tr w:rsidR="007D5DF8" w:rsidRPr="00DB5D0D" w14:paraId="3D11164F" w14:textId="77777777" w:rsidTr="009223E5">
        <w:tc>
          <w:tcPr>
            <w:tcW w:w="5156" w:type="dxa"/>
          </w:tcPr>
          <w:p w14:paraId="77DD59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максимальная (км/ч)</w:t>
            </w:r>
          </w:p>
        </w:tc>
        <w:tc>
          <w:tcPr>
            <w:tcW w:w="5156" w:type="dxa"/>
          </w:tcPr>
          <w:p w14:paraId="01BCA4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333</w:t>
            </w:r>
          </w:p>
        </w:tc>
      </w:tr>
      <w:tr w:rsidR="007D5DF8" w:rsidRPr="00DB5D0D" w14:paraId="6DF164C7" w14:textId="77777777" w:rsidTr="009223E5">
        <w:tc>
          <w:tcPr>
            <w:tcW w:w="5156" w:type="dxa"/>
          </w:tcPr>
          <w:p w14:paraId="53919D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крейсерская (км/ч)</w:t>
            </w:r>
          </w:p>
        </w:tc>
        <w:tc>
          <w:tcPr>
            <w:tcW w:w="5156" w:type="dxa"/>
          </w:tcPr>
          <w:p w14:paraId="1449CA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266</w:t>
            </w:r>
          </w:p>
        </w:tc>
      </w:tr>
      <w:tr w:rsidR="007D5DF8" w:rsidRPr="00DB5D0D" w14:paraId="01CFC9A9" w14:textId="77777777" w:rsidTr="009223E5">
        <w:tc>
          <w:tcPr>
            <w:tcW w:w="5156" w:type="dxa"/>
          </w:tcPr>
          <w:p w14:paraId="60B411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 на 8000 м (км/ч)</w:t>
            </w:r>
          </w:p>
        </w:tc>
        <w:tc>
          <w:tcPr>
            <w:tcW w:w="5156" w:type="dxa"/>
          </w:tcPr>
          <w:p w14:paraId="771F2B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328</w:t>
            </w:r>
          </w:p>
        </w:tc>
      </w:tr>
      <w:tr w:rsidR="007D5DF8" w:rsidRPr="00DB5D0D" w14:paraId="306DE818" w14:textId="77777777" w:rsidTr="009223E5">
        <w:tc>
          <w:tcPr>
            <w:tcW w:w="5156" w:type="dxa"/>
          </w:tcPr>
          <w:p w14:paraId="1B780C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при полетном весе 7500 кг (м). 11300</w:t>
            </w:r>
          </w:p>
        </w:tc>
        <w:tc>
          <w:tcPr>
            <w:tcW w:w="5156" w:type="dxa"/>
          </w:tcPr>
          <w:p w14:paraId="67833AA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C7EFBF4" w14:textId="77777777" w:rsidTr="009223E5">
        <w:tc>
          <w:tcPr>
            <w:tcW w:w="5156" w:type="dxa"/>
            <w:tcBorders>
              <w:bottom w:val="single" w:sz="12" w:space="0" w:color="auto"/>
            </w:tcBorders>
          </w:tcPr>
          <w:p w14:paraId="036DA8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при скорости 256 км/ч (км)</w:t>
            </w:r>
          </w:p>
        </w:tc>
        <w:tc>
          <w:tcPr>
            <w:tcW w:w="5156" w:type="dxa"/>
            <w:tcBorders>
              <w:bottom w:val="single" w:sz="12" w:space="0" w:color="auto"/>
            </w:tcBorders>
          </w:tcPr>
          <w:p w14:paraId="20F470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13500-23500 (11941).</w:t>
            </w:r>
          </w:p>
        </w:tc>
      </w:tr>
    </w:tbl>
    <w:p w14:paraId="0E94A88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129B5C" w14:textId="77777777" w:rsidR="00A25AD1" w:rsidRPr="00DB5D0D" w:rsidRDefault="00A25AD1" w:rsidP="00DB5D0D">
      <w:pPr>
        <w:pStyle w:val="a3"/>
        <w:rPr>
          <w:color w:val="000000" w:themeColor="text1"/>
          <w:lang w:val="ru-RU"/>
        </w:rPr>
      </w:pPr>
      <w:r w:rsidRPr="00DB5D0D">
        <w:rPr>
          <w:color w:val="000000" w:themeColor="text1"/>
          <w:lang w:val="ru-RU"/>
        </w:rPr>
        <w:t>1 июня 1940 было письмо военного представителя на заводе №75 М.Н. Федорова, описывающее обстановку, сложившуюся на пред</w:t>
      </w:r>
      <w:r w:rsidRPr="00DB5D0D">
        <w:rPr>
          <w:color w:val="000000" w:themeColor="text1"/>
          <w:lang w:val="ru-RU"/>
        </w:rPr>
        <w:softHyphen/>
        <w:t>приятии в связи с выходом этого приказа по производству авиационного дизеля М-40:</w:t>
      </w:r>
    </w:p>
    <w:p w14:paraId="7CDF0178" w14:textId="77777777" w:rsidR="00A25AD1" w:rsidRPr="00DB5D0D" w:rsidRDefault="00A25AD1" w:rsidP="00DB5D0D">
      <w:pPr>
        <w:pStyle w:val="a3"/>
        <w:rPr>
          <w:color w:val="000000" w:themeColor="text1"/>
          <w:lang w:val="ru-RU"/>
        </w:rPr>
      </w:pPr>
      <w:r w:rsidRPr="00DB5D0D">
        <w:rPr>
          <w:rStyle w:val="119"/>
          <w:rFonts w:ascii="Times New Roman" w:hAnsi="Times New Roman" w:cs="Times New Roman"/>
          <w:i w:val="0"/>
          <w:iCs w:val="0"/>
          <w:color w:val="000000" w:themeColor="text1"/>
          <w:spacing w:val="0"/>
          <w:sz w:val="16"/>
          <w:szCs w:val="16"/>
          <w:lang w:val="ru-RU"/>
        </w:rPr>
        <w:t>01 июня 1940 г.</w:t>
      </w:r>
    </w:p>
    <w:p w14:paraId="12484BE9"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Style w:val="1120"/>
          <w:rFonts w:ascii="Times New Roman" w:hAnsi="Times New Roman" w:cs="Times New Roman"/>
          <w:iCs/>
          <w:color w:val="000000" w:themeColor="text1"/>
          <w:sz w:val="16"/>
          <w:szCs w:val="16"/>
          <w:lang w:val="ru-RU"/>
        </w:rPr>
        <w:t>ЗАВОД №75 ПОАВИОМОТОРУ «М-40»</w:t>
      </w:r>
    </w:p>
    <w:p w14:paraId="7A94F219"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Завод №75 на основании приказа НКСМ т. Лихачева № 106с при</w:t>
      </w:r>
      <w:r w:rsidRPr="00DB5D0D">
        <w:rPr>
          <w:rFonts w:ascii="Times New Roman" w:hAnsi="Times New Roman" w:cs="Times New Roman"/>
          <w:i w:val="0"/>
          <w:iCs w:val="0"/>
          <w:color w:val="000000" w:themeColor="text1"/>
          <w:sz w:val="16"/>
          <w:szCs w:val="16"/>
          <w:lang w:val="ru-RU"/>
        </w:rPr>
        <w:softHyphen/>
        <w:t>ступил к изготовлению дизеля М-40 и готовится к обеспечению ли</w:t>
      </w:r>
      <w:r w:rsidRPr="00DB5D0D">
        <w:rPr>
          <w:rFonts w:ascii="Times New Roman" w:hAnsi="Times New Roman" w:cs="Times New Roman"/>
          <w:i w:val="0"/>
          <w:iCs w:val="0"/>
          <w:color w:val="000000" w:themeColor="text1"/>
          <w:sz w:val="16"/>
          <w:szCs w:val="16"/>
          <w:lang w:val="ru-RU"/>
        </w:rPr>
        <w:softHyphen/>
        <w:t>тьем, поковками и консультацией других заводов, получивших боль</w:t>
      </w:r>
      <w:r w:rsidRPr="00DB5D0D">
        <w:rPr>
          <w:rFonts w:ascii="Times New Roman" w:hAnsi="Times New Roman" w:cs="Times New Roman"/>
          <w:i w:val="0"/>
          <w:iCs w:val="0"/>
          <w:color w:val="000000" w:themeColor="text1"/>
          <w:sz w:val="16"/>
          <w:szCs w:val="16"/>
          <w:lang w:val="ru-RU"/>
        </w:rPr>
        <w:softHyphen/>
        <w:t>шую программу по М-40, в частности Кировский з-д в Ленинграде.</w:t>
      </w:r>
    </w:p>
    <w:p w14:paraId="3F189BB9"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Предварительные соображения по запуску в производство дета</w:t>
      </w:r>
      <w:r w:rsidRPr="00DB5D0D">
        <w:rPr>
          <w:rFonts w:ascii="Times New Roman" w:hAnsi="Times New Roman" w:cs="Times New Roman"/>
          <w:i w:val="0"/>
          <w:iCs w:val="0"/>
          <w:color w:val="000000" w:themeColor="text1"/>
          <w:sz w:val="16"/>
          <w:szCs w:val="16"/>
          <w:lang w:val="ru-RU"/>
        </w:rPr>
        <w:softHyphen/>
        <w:t>лей М-40, а так же обстановка на заводе №75 вызванная приказом 106с показывают, что основная программа завода по выпуску В-2 будет снижена по количеству и по качеству.</w:t>
      </w:r>
    </w:p>
    <w:p w14:paraId="2E1ADEC0" w14:textId="77777777" w:rsidR="00A25AD1" w:rsidRPr="00DB5D0D" w:rsidRDefault="00A25AD1" w:rsidP="00DB5D0D">
      <w:pPr>
        <w:pStyle w:val="1110"/>
        <w:shd w:val="clear" w:color="auto" w:fill="auto"/>
        <w:tabs>
          <w:tab w:val="left" w:pos="51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1.В данное время все основное технологическое бюро гл. тех</w:t>
      </w:r>
      <w:r w:rsidRPr="00DB5D0D">
        <w:rPr>
          <w:rFonts w:ascii="Times New Roman" w:hAnsi="Times New Roman" w:cs="Times New Roman"/>
          <w:i w:val="0"/>
          <w:iCs w:val="0"/>
          <w:color w:val="000000" w:themeColor="text1"/>
          <w:sz w:val="16"/>
          <w:szCs w:val="16"/>
          <w:lang w:val="ru-RU"/>
        </w:rPr>
        <w:softHyphen/>
        <w:t>нолога переключено на разработку техпроцесса для М-40. Кроме того из цеховых тех. бюро технологи так же частично переведены в бюро главного технолога для работы по М-40, а оставшиеся в цеху также получили задание работать по запуску деталей М-40. За ра</w:t>
      </w:r>
      <w:r w:rsidRPr="00DB5D0D">
        <w:rPr>
          <w:rFonts w:ascii="Times New Roman" w:hAnsi="Times New Roman" w:cs="Times New Roman"/>
          <w:i w:val="0"/>
          <w:iCs w:val="0"/>
          <w:color w:val="000000" w:themeColor="text1"/>
          <w:sz w:val="16"/>
          <w:szCs w:val="16"/>
          <w:lang w:val="ru-RU"/>
        </w:rPr>
        <w:softHyphen/>
        <w:t>боты по М-40 обещана аккордная оплата дающая возможность хо</w:t>
      </w:r>
      <w:r w:rsidRPr="00DB5D0D">
        <w:rPr>
          <w:rFonts w:ascii="Times New Roman" w:hAnsi="Times New Roman" w:cs="Times New Roman"/>
          <w:i w:val="0"/>
          <w:iCs w:val="0"/>
          <w:color w:val="000000" w:themeColor="text1"/>
          <w:sz w:val="16"/>
          <w:szCs w:val="16"/>
          <w:lang w:val="ru-RU"/>
        </w:rPr>
        <w:softHyphen/>
        <w:t>рошо заработать, поэтому работа технологов по серийной машине отошла на второй план.</w:t>
      </w:r>
    </w:p>
    <w:p w14:paraId="57E03DB8" w14:textId="77777777" w:rsidR="00A25AD1" w:rsidRPr="00DB5D0D" w:rsidRDefault="00A25AD1" w:rsidP="00DB5D0D">
      <w:pPr>
        <w:pStyle w:val="1110"/>
        <w:shd w:val="clear" w:color="auto" w:fill="auto"/>
        <w:tabs>
          <w:tab w:val="left" w:pos="553"/>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2.Предусмотренная кооперация завода №75 с другими заво</w:t>
      </w:r>
      <w:r w:rsidRPr="00DB5D0D">
        <w:rPr>
          <w:rFonts w:ascii="Times New Roman" w:hAnsi="Times New Roman" w:cs="Times New Roman"/>
          <w:i w:val="0"/>
          <w:iCs w:val="0"/>
          <w:color w:val="000000" w:themeColor="text1"/>
          <w:sz w:val="16"/>
          <w:szCs w:val="16"/>
          <w:lang w:val="ru-RU"/>
        </w:rPr>
        <w:softHyphen/>
        <w:t>дами по обеспечению М-40 не внушает доверия, поэтому руко</w:t>
      </w:r>
      <w:r w:rsidRPr="00DB5D0D">
        <w:rPr>
          <w:rFonts w:ascii="Times New Roman" w:hAnsi="Times New Roman" w:cs="Times New Roman"/>
          <w:i w:val="0"/>
          <w:iCs w:val="0"/>
          <w:color w:val="000000" w:themeColor="text1"/>
          <w:sz w:val="16"/>
          <w:szCs w:val="16"/>
          <w:lang w:val="ru-RU"/>
        </w:rPr>
        <w:softHyphen/>
        <w:t>водство заводом предусматривает возможность использования своего инструментального цеха для изготовления инструмента и приспособлений, чтобы не допустить срыва заказа М-40. Для М- 40 потребуется большое количество инструмента и приспособле</w:t>
      </w:r>
      <w:r w:rsidRPr="00DB5D0D">
        <w:rPr>
          <w:rFonts w:ascii="Times New Roman" w:hAnsi="Times New Roman" w:cs="Times New Roman"/>
          <w:i w:val="0"/>
          <w:iCs w:val="0"/>
          <w:color w:val="000000" w:themeColor="text1"/>
          <w:sz w:val="16"/>
          <w:szCs w:val="16"/>
          <w:lang w:val="ru-RU"/>
        </w:rPr>
        <w:softHyphen/>
        <w:t>ний, т.к. дизель М-40 совершенно другой размерности чем В-2. Инструмент и приспособления с В-2, а так же специальное обору</w:t>
      </w:r>
      <w:r w:rsidRPr="00DB5D0D">
        <w:rPr>
          <w:rFonts w:ascii="Times New Roman" w:hAnsi="Times New Roman" w:cs="Times New Roman"/>
          <w:i w:val="0"/>
          <w:iCs w:val="0"/>
          <w:color w:val="000000" w:themeColor="text1"/>
          <w:sz w:val="16"/>
          <w:szCs w:val="16"/>
          <w:lang w:val="ru-RU"/>
        </w:rPr>
        <w:softHyphen/>
        <w:t>дование станков и сами станки использованы быть не могут. Можно использовать только нормали. Видимо все детали дизеля М-40 придется изготавливать на универсальном оборудовании по раз</w:t>
      </w:r>
      <w:r w:rsidRPr="00DB5D0D">
        <w:rPr>
          <w:rFonts w:ascii="Times New Roman" w:hAnsi="Times New Roman" w:cs="Times New Roman"/>
          <w:i w:val="0"/>
          <w:iCs w:val="0"/>
          <w:color w:val="000000" w:themeColor="text1"/>
          <w:sz w:val="16"/>
          <w:szCs w:val="16"/>
          <w:lang w:val="ru-RU"/>
        </w:rPr>
        <w:softHyphen/>
        <w:t>метке с примитивными приспособлениями, которые придется, изготовлять по ходу работы. Следовательно, универсальное обо</w:t>
      </w:r>
      <w:r w:rsidRPr="00DB5D0D">
        <w:rPr>
          <w:rFonts w:ascii="Times New Roman" w:hAnsi="Times New Roman" w:cs="Times New Roman"/>
          <w:i w:val="0"/>
          <w:iCs w:val="0"/>
          <w:color w:val="000000" w:themeColor="text1"/>
          <w:sz w:val="16"/>
          <w:szCs w:val="16"/>
          <w:lang w:val="ru-RU"/>
        </w:rPr>
        <w:softHyphen/>
        <w:t>рудование на заводе будет исключительно занято деталями М-40, а это приведет к выводу всех основных линий завода по В-2 т.к. спец. станки будут остановлены за осуществлением в линии тех. операций для М-40 на универсальных станках (токарные, свер</w:t>
      </w:r>
      <w:r w:rsidRPr="00DB5D0D">
        <w:rPr>
          <w:rFonts w:ascii="Times New Roman" w:hAnsi="Times New Roman" w:cs="Times New Roman"/>
          <w:i w:val="0"/>
          <w:iCs w:val="0"/>
          <w:color w:val="000000" w:themeColor="text1"/>
          <w:sz w:val="16"/>
          <w:szCs w:val="16"/>
          <w:lang w:val="ru-RU"/>
        </w:rPr>
        <w:softHyphen/>
        <w:t>лильные, фрезерные).</w:t>
      </w:r>
    </w:p>
    <w:p w14:paraId="50ACB11B" w14:textId="77777777" w:rsidR="00A25AD1" w:rsidRPr="00DB5D0D" w:rsidRDefault="00A25AD1" w:rsidP="00DB5D0D">
      <w:pPr>
        <w:pStyle w:val="1110"/>
        <w:shd w:val="clear" w:color="auto" w:fill="auto"/>
        <w:tabs>
          <w:tab w:val="left" w:pos="51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3.На заводе №75 очень узким местом является нарезка шес</w:t>
      </w:r>
      <w:r w:rsidRPr="00DB5D0D">
        <w:rPr>
          <w:rFonts w:ascii="Times New Roman" w:hAnsi="Times New Roman" w:cs="Times New Roman"/>
          <w:i w:val="0"/>
          <w:iCs w:val="0"/>
          <w:color w:val="000000" w:themeColor="text1"/>
          <w:sz w:val="16"/>
          <w:szCs w:val="16"/>
          <w:lang w:val="ru-RU"/>
        </w:rPr>
        <w:softHyphen/>
        <w:t>терен, как конических, так и цилиндрических. Дизель М-40 ни одной общей шестерни с дизелем В-2 не имеет, кроме того, на дизеле М-40 имеется редуктор, который в сильной степени уве</w:t>
      </w:r>
      <w:r w:rsidRPr="00DB5D0D">
        <w:rPr>
          <w:rFonts w:ascii="Times New Roman" w:hAnsi="Times New Roman" w:cs="Times New Roman"/>
          <w:i w:val="0"/>
          <w:iCs w:val="0"/>
          <w:color w:val="000000" w:themeColor="text1"/>
          <w:sz w:val="16"/>
          <w:szCs w:val="16"/>
          <w:lang w:val="ru-RU"/>
        </w:rPr>
        <w:softHyphen/>
        <w:t xml:space="preserve">личивает объем зубонарезных работ. Предположение, что все зубонарезные работы будут для М-40 выполнены на </w:t>
      </w:r>
      <w:r w:rsidRPr="00DB5D0D">
        <w:rPr>
          <w:rFonts w:ascii="Times New Roman" w:hAnsi="Times New Roman" w:cs="Times New Roman"/>
          <w:i w:val="0"/>
          <w:iCs w:val="0"/>
          <w:color w:val="000000" w:themeColor="text1"/>
          <w:sz w:val="16"/>
          <w:szCs w:val="16"/>
        </w:rPr>
        <w:t>XI</w:t>
      </w:r>
      <w:r w:rsidRPr="00DB5D0D">
        <w:rPr>
          <w:rFonts w:ascii="Times New Roman" w:hAnsi="Times New Roman" w:cs="Times New Roman"/>
          <w:i w:val="0"/>
          <w:iCs w:val="0"/>
          <w:color w:val="000000" w:themeColor="text1"/>
          <w:sz w:val="16"/>
          <w:szCs w:val="16"/>
          <w:lang w:val="ru-RU"/>
        </w:rPr>
        <w:t>3, сомни</w:t>
      </w:r>
      <w:r w:rsidRPr="00DB5D0D">
        <w:rPr>
          <w:rFonts w:ascii="Times New Roman" w:hAnsi="Times New Roman" w:cs="Times New Roman"/>
          <w:i w:val="0"/>
          <w:iCs w:val="0"/>
          <w:color w:val="000000" w:themeColor="text1"/>
          <w:sz w:val="16"/>
          <w:szCs w:val="16"/>
          <w:lang w:val="ru-RU"/>
        </w:rPr>
        <w:softHyphen/>
        <w:t>тельно. Заводоуправление предусматривает возможность обра</w:t>
      </w:r>
      <w:r w:rsidRPr="00DB5D0D">
        <w:rPr>
          <w:rFonts w:ascii="Times New Roman" w:hAnsi="Times New Roman" w:cs="Times New Roman"/>
          <w:i w:val="0"/>
          <w:iCs w:val="0"/>
          <w:color w:val="000000" w:themeColor="text1"/>
          <w:sz w:val="16"/>
          <w:szCs w:val="16"/>
          <w:lang w:val="ru-RU"/>
        </w:rPr>
        <w:softHyphen/>
        <w:t>ботки шестерен у себя, на случай возможной задержки на коопе</w:t>
      </w:r>
      <w:r w:rsidRPr="00DB5D0D">
        <w:rPr>
          <w:rFonts w:ascii="Times New Roman" w:hAnsi="Times New Roman" w:cs="Times New Roman"/>
          <w:i w:val="0"/>
          <w:iCs w:val="0"/>
          <w:color w:val="000000" w:themeColor="text1"/>
          <w:sz w:val="16"/>
          <w:szCs w:val="16"/>
          <w:lang w:val="ru-RU"/>
        </w:rPr>
        <w:softHyphen/>
        <w:t>рированных заводах. Эти подготовительные работы уже отража</w:t>
      </w:r>
      <w:r w:rsidRPr="00DB5D0D">
        <w:rPr>
          <w:rFonts w:ascii="Times New Roman" w:hAnsi="Times New Roman" w:cs="Times New Roman"/>
          <w:i w:val="0"/>
          <w:iCs w:val="0"/>
          <w:color w:val="000000" w:themeColor="text1"/>
          <w:sz w:val="16"/>
          <w:szCs w:val="16"/>
          <w:lang w:val="ru-RU"/>
        </w:rPr>
        <w:softHyphen/>
        <w:t>ются на изготовлении В-2, т.к. линия шестерен по В-2 не отлаже</w:t>
      </w:r>
      <w:r w:rsidRPr="00DB5D0D">
        <w:rPr>
          <w:rFonts w:ascii="Times New Roman" w:hAnsi="Times New Roman" w:cs="Times New Roman"/>
          <w:i w:val="0"/>
          <w:iCs w:val="0"/>
          <w:color w:val="000000" w:themeColor="text1"/>
          <w:sz w:val="16"/>
          <w:szCs w:val="16"/>
          <w:lang w:val="ru-RU"/>
        </w:rPr>
        <w:softHyphen/>
        <w:t>на, приспособления для проверки и наладки Глиссонов не вне</w:t>
      </w:r>
      <w:r w:rsidRPr="00DB5D0D">
        <w:rPr>
          <w:rFonts w:ascii="Times New Roman" w:hAnsi="Times New Roman" w:cs="Times New Roman"/>
          <w:i w:val="0"/>
          <w:iCs w:val="0"/>
          <w:color w:val="000000" w:themeColor="text1"/>
          <w:sz w:val="16"/>
          <w:szCs w:val="16"/>
          <w:lang w:val="ru-RU"/>
        </w:rPr>
        <w:softHyphen/>
        <w:t>дрены в производство, поэтому по коническим шестерням имеет</w:t>
      </w:r>
      <w:r w:rsidRPr="00DB5D0D">
        <w:rPr>
          <w:rFonts w:ascii="Times New Roman" w:hAnsi="Times New Roman" w:cs="Times New Roman"/>
          <w:i w:val="0"/>
          <w:iCs w:val="0"/>
          <w:color w:val="000000" w:themeColor="text1"/>
          <w:sz w:val="16"/>
          <w:szCs w:val="16"/>
          <w:lang w:val="ru-RU"/>
        </w:rPr>
        <w:softHyphen/>
        <w:t>ся громадный брак и постоянный срыв программы.</w:t>
      </w:r>
    </w:p>
    <w:p w14:paraId="0C133CEB" w14:textId="77777777" w:rsidR="00A25AD1" w:rsidRPr="00DB5D0D" w:rsidRDefault="00A25AD1" w:rsidP="00DB5D0D">
      <w:pPr>
        <w:pStyle w:val="1110"/>
        <w:shd w:val="clear" w:color="auto" w:fill="auto"/>
        <w:tabs>
          <w:tab w:val="left" w:pos="519"/>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4.Цех топливной аппаратуры в данное время совершенно не обеспечивает потребности выпуска В-2. Этот цех самое узкое и уяз</w:t>
      </w:r>
      <w:r w:rsidRPr="00DB5D0D">
        <w:rPr>
          <w:rFonts w:ascii="Times New Roman" w:hAnsi="Times New Roman" w:cs="Times New Roman"/>
          <w:i w:val="0"/>
          <w:iCs w:val="0"/>
          <w:color w:val="000000" w:themeColor="text1"/>
          <w:sz w:val="16"/>
          <w:szCs w:val="16"/>
          <w:lang w:val="ru-RU"/>
        </w:rPr>
        <w:softHyphen/>
        <w:t>вимое место на заводе №75 для программы по В-2. Однако прика</w:t>
      </w:r>
      <w:r w:rsidRPr="00DB5D0D">
        <w:rPr>
          <w:rFonts w:ascii="Times New Roman" w:hAnsi="Times New Roman" w:cs="Times New Roman"/>
          <w:i w:val="0"/>
          <w:iCs w:val="0"/>
          <w:color w:val="000000" w:themeColor="text1"/>
          <w:sz w:val="16"/>
          <w:szCs w:val="16"/>
          <w:lang w:val="ru-RU"/>
        </w:rPr>
        <w:softHyphen/>
        <w:t>зом 106с цех топливной аппаратуры должен целиком и полностью обеспечить заказ по М-40 не только своего завода, но и ряда коопе</w:t>
      </w:r>
      <w:r w:rsidRPr="00DB5D0D">
        <w:rPr>
          <w:rFonts w:ascii="Times New Roman" w:hAnsi="Times New Roman" w:cs="Times New Roman"/>
          <w:i w:val="0"/>
          <w:iCs w:val="0"/>
          <w:color w:val="000000" w:themeColor="text1"/>
          <w:sz w:val="16"/>
          <w:szCs w:val="16"/>
          <w:lang w:val="ru-RU"/>
        </w:rPr>
        <w:softHyphen/>
        <w:t>ративных заводов. Эта задача совершенно не выполнима. Всякая новая работа в цеху 0500, безусловно, будет срывать и ту слабую работу, которую он выполняет на сегодня для В-2.</w:t>
      </w:r>
    </w:p>
    <w:p w14:paraId="5914AA42" w14:textId="77777777" w:rsidR="00A25AD1" w:rsidRPr="00DB5D0D" w:rsidRDefault="00A25AD1" w:rsidP="00DB5D0D">
      <w:pPr>
        <w:pStyle w:val="1110"/>
        <w:shd w:val="clear" w:color="auto" w:fill="auto"/>
        <w:tabs>
          <w:tab w:val="left" w:pos="524"/>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5.Что бы выполнить приказ 106с заводоуправление приняло решение запускать в производство детали М-40 из материалов, полученных по фондам для В-2. Известно, что программа В-2 сры</w:t>
      </w:r>
      <w:r w:rsidRPr="00DB5D0D">
        <w:rPr>
          <w:rFonts w:ascii="Times New Roman" w:hAnsi="Times New Roman" w:cs="Times New Roman"/>
          <w:i w:val="0"/>
          <w:iCs w:val="0"/>
          <w:color w:val="000000" w:themeColor="text1"/>
          <w:sz w:val="16"/>
          <w:szCs w:val="16"/>
          <w:lang w:val="ru-RU"/>
        </w:rPr>
        <w:softHyphen/>
        <w:t>вается из-за отсутствия ряда материалов. Следовательно, до по</w:t>
      </w:r>
      <w:r w:rsidRPr="00DB5D0D">
        <w:rPr>
          <w:rFonts w:ascii="Times New Roman" w:hAnsi="Times New Roman" w:cs="Times New Roman"/>
          <w:i w:val="0"/>
          <w:iCs w:val="0"/>
          <w:color w:val="000000" w:themeColor="text1"/>
          <w:sz w:val="16"/>
          <w:szCs w:val="16"/>
          <w:lang w:val="ru-RU"/>
        </w:rPr>
        <w:softHyphen/>
        <w:t>лучения материалов на завод по заявкам на М-40 завод будет рас</w:t>
      </w:r>
      <w:r w:rsidRPr="00DB5D0D">
        <w:rPr>
          <w:rFonts w:ascii="Times New Roman" w:hAnsi="Times New Roman" w:cs="Times New Roman"/>
          <w:i w:val="0"/>
          <w:iCs w:val="0"/>
          <w:color w:val="000000" w:themeColor="text1"/>
          <w:sz w:val="16"/>
          <w:szCs w:val="16"/>
          <w:lang w:val="ru-RU"/>
        </w:rPr>
        <w:softHyphen/>
        <w:t>ходовать материал, предназначенный для В-2, и этим самым бу</w:t>
      </w:r>
      <w:r w:rsidRPr="00DB5D0D">
        <w:rPr>
          <w:rFonts w:ascii="Times New Roman" w:hAnsi="Times New Roman" w:cs="Times New Roman"/>
          <w:i w:val="0"/>
          <w:iCs w:val="0"/>
          <w:color w:val="000000" w:themeColor="text1"/>
          <w:sz w:val="16"/>
          <w:szCs w:val="16"/>
          <w:lang w:val="ru-RU"/>
        </w:rPr>
        <w:softHyphen/>
        <w:t>дет срывать программу.</w:t>
      </w:r>
    </w:p>
    <w:p w14:paraId="08D48A3C" w14:textId="77777777" w:rsidR="00A25AD1" w:rsidRPr="00DB5D0D" w:rsidRDefault="00A25AD1" w:rsidP="00DB5D0D">
      <w:pPr>
        <w:pStyle w:val="1110"/>
        <w:shd w:val="clear" w:color="auto" w:fill="auto"/>
        <w:tabs>
          <w:tab w:val="left" w:pos="505"/>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6.Для обработки чертежей М-40 в производство на заводе создана специальная группа конструкторов, в которую вошли все наиболее квалифицированные и ведущие конструктора. Это ме</w:t>
      </w:r>
      <w:r w:rsidRPr="00DB5D0D">
        <w:rPr>
          <w:rFonts w:ascii="Times New Roman" w:hAnsi="Times New Roman" w:cs="Times New Roman"/>
          <w:i w:val="0"/>
          <w:iCs w:val="0"/>
          <w:color w:val="000000" w:themeColor="text1"/>
          <w:sz w:val="16"/>
          <w:szCs w:val="16"/>
          <w:lang w:val="ru-RU"/>
        </w:rPr>
        <w:softHyphen/>
        <w:t>роприятие затормозило все работы связанные с В-2. Конструк</w:t>
      </w:r>
      <w:r w:rsidRPr="00DB5D0D">
        <w:rPr>
          <w:rFonts w:ascii="Times New Roman" w:hAnsi="Times New Roman" w:cs="Times New Roman"/>
          <w:i w:val="0"/>
          <w:iCs w:val="0"/>
          <w:color w:val="000000" w:themeColor="text1"/>
          <w:sz w:val="16"/>
          <w:szCs w:val="16"/>
          <w:lang w:val="ru-RU"/>
        </w:rPr>
        <w:softHyphen/>
        <w:t>торская группа по вертикальной передаче числится только на бу</w:t>
      </w:r>
      <w:r w:rsidRPr="00DB5D0D">
        <w:rPr>
          <w:rFonts w:ascii="Times New Roman" w:hAnsi="Times New Roman" w:cs="Times New Roman"/>
          <w:i w:val="0"/>
          <w:iCs w:val="0"/>
          <w:color w:val="000000" w:themeColor="text1"/>
          <w:sz w:val="16"/>
          <w:szCs w:val="16"/>
          <w:lang w:val="ru-RU"/>
        </w:rPr>
        <w:softHyphen/>
        <w:t>маге, т.к. в ней остался один человек, который болен, и к работе приступить не сможет. Главный конструктор высказывал мне свои соображения, что он будет вынужден пересмотреть работы АБТУ в частности по форсированному дизелю для КВ», т.к. выполнить их он не имеет людей.</w:t>
      </w:r>
    </w:p>
    <w:p w14:paraId="5CC7D49F" w14:textId="77777777" w:rsidR="00A25AD1" w:rsidRPr="00DB5D0D" w:rsidRDefault="00A25AD1" w:rsidP="00DB5D0D">
      <w:pPr>
        <w:pStyle w:val="1110"/>
        <w:shd w:val="clear" w:color="auto" w:fill="auto"/>
        <w:tabs>
          <w:tab w:val="left" w:pos="476"/>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7.В литейном цеху имеются большие возможности производить отливку для М-40, но у него имеется узкое мест, модельный цех, который должен срочно подготовить модели для М-250 форсиро</w:t>
      </w:r>
      <w:r w:rsidRPr="00DB5D0D">
        <w:rPr>
          <w:rFonts w:ascii="Times New Roman" w:hAnsi="Times New Roman" w:cs="Times New Roman"/>
          <w:i w:val="0"/>
          <w:iCs w:val="0"/>
          <w:color w:val="000000" w:themeColor="text1"/>
          <w:sz w:val="16"/>
          <w:szCs w:val="16"/>
          <w:lang w:val="ru-RU"/>
        </w:rPr>
        <w:softHyphen/>
        <w:t>ванной. Модельные работы по М-40, безусловно, задержат модель</w:t>
      </w:r>
      <w:r w:rsidRPr="00DB5D0D">
        <w:rPr>
          <w:rFonts w:ascii="Times New Roman" w:hAnsi="Times New Roman" w:cs="Times New Roman"/>
          <w:i w:val="0"/>
          <w:iCs w:val="0"/>
          <w:color w:val="000000" w:themeColor="text1"/>
          <w:sz w:val="16"/>
          <w:szCs w:val="16"/>
          <w:lang w:val="ru-RU"/>
        </w:rPr>
        <w:softHyphen/>
        <w:t>ные работы по М-250.</w:t>
      </w:r>
    </w:p>
    <w:p w14:paraId="7934B3C5" w14:textId="77777777" w:rsidR="00A25AD1" w:rsidRPr="00DB5D0D" w:rsidRDefault="00A25AD1" w:rsidP="00DB5D0D">
      <w:pPr>
        <w:pStyle w:val="1110"/>
        <w:shd w:val="clear" w:color="auto" w:fill="auto"/>
        <w:tabs>
          <w:tab w:val="left" w:pos="481"/>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8.Для того, что бы выполнить заказы по поковке, завод №75 нуждается в установке дополнительного парового молота и рас</w:t>
      </w:r>
      <w:r w:rsidRPr="00DB5D0D">
        <w:rPr>
          <w:rFonts w:ascii="Times New Roman" w:hAnsi="Times New Roman" w:cs="Times New Roman"/>
          <w:i w:val="0"/>
          <w:iCs w:val="0"/>
          <w:color w:val="000000" w:themeColor="text1"/>
          <w:sz w:val="16"/>
          <w:szCs w:val="16"/>
          <w:lang w:val="ru-RU"/>
        </w:rPr>
        <w:softHyphen/>
        <w:t>ширении механического цеха, изготовляющего штампы, в против</w:t>
      </w:r>
      <w:r w:rsidRPr="00DB5D0D">
        <w:rPr>
          <w:rFonts w:ascii="Times New Roman" w:hAnsi="Times New Roman" w:cs="Times New Roman"/>
          <w:i w:val="0"/>
          <w:iCs w:val="0"/>
          <w:color w:val="000000" w:themeColor="text1"/>
          <w:sz w:val="16"/>
          <w:szCs w:val="16"/>
          <w:lang w:val="ru-RU"/>
        </w:rPr>
        <w:softHyphen/>
        <w:t>ном случае он должен выполнять работы за счет задержек про</w:t>
      </w:r>
      <w:r w:rsidRPr="00DB5D0D">
        <w:rPr>
          <w:rFonts w:ascii="Times New Roman" w:hAnsi="Times New Roman" w:cs="Times New Roman"/>
          <w:i w:val="0"/>
          <w:iCs w:val="0"/>
          <w:color w:val="000000" w:themeColor="text1"/>
          <w:sz w:val="16"/>
          <w:szCs w:val="16"/>
          <w:lang w:val="ru-RU"/>
        </w:rPr>
        <w:softHyphen/>
        <w:t>граммы В-2.</w:t>
      </w:r>
    </w:p>
    <w:p w14:paraId="75E18EDD" w14:textId="77777777" w:rsidR="00A25AD1" w:rsidRPr="00DB5D0D" w:rsidRDefault="00A25AD1" w:rsidP="00DB5D0D">
      <w:pPr>
        <w:pStyle w:val="1110"/>
        <w:shd w:val="clear" w:color="auto" w:fill="auto"/>
        <w:tabs>
          <w:tab w:val="left" w:pos="505"/>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9.Завод №75 при существующем положении не в состоянии освоить проектную мощность по В-2 и, следовательно, выпол</w:t>
      </w:r>
      <w:r w:rsidRPr="00DB5D0D">
        <w:rPr>
          <w:rFonts w:ascii="Times New Roman" w:hAnsi="Times New Roman" w:cs="Times New Roman"/>
          <w:i w:val="0"/>
          <w:iCs w:val="0"/>
          <w:color w:val="000000" w:themeColor="text1"/>
          <w:sz w:val="16"/>
          <w:szCs w:val="16"/>
          <w:lang w:val="ru-RU"/>
        </w:rPr>
        <w:softHyphen/>
        <w:t>нить предъявленные к нему требования. Заказ М-40 совершенно исключает всякую надежду по освоению заводом №75 проектной мощности.</w:t>
      </w:r>
    </w:p>
    <w:p w14:paraId="6932AFB1" w14:textId="77777777" w:rsidR="00A25AD1" w:rsidRPr="00DB5D0D" w:rsidRDefault="00A25AD1" w:rsidP="00DB5D0D">
      <w:pPr>
        <w:pStyle w:val="1110"/>
        <w:shd w:val="clear" w:color="auto" w:fill="auto"/>
        <w:tabs>
          <w:tab w:val="left" w:pos="591"/>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10.Приказом 106с выделено 2.000.000 рублей для премирова</w:t>
      </w:r>
      <w:r w:rsidRPr="00DB5D0D">
        <w:rPr>
          <w:rFonts w:ascii="Times New Roman" w:hAnsi="Times New Roman" w:cs="Times New Roman"/>
          <w:i w:val="0"/>
          <w:iCs w:val="0"/>
          <w:color w:val="000000" w:themeColor="text1"/>
          <w:sz w:val="16"/>
          <w:szCs w:val="16"/>
          <w:lang w:val="ru-RU"/>
        </w:rPr>
        <w:softHyphen/>
        <w:t>ния работников выполняющих задание М-40. Задано изготовить до 1 января 1941 года 50 шт. М-40. На каждый изготовленный дизель приходится 40.000рублей премий. Люди, привлекаемые к работам по М-40, совершенно забывают свои обязанности по В-2.</w:t>
      </w:r>
    </w:p>
    <w:p w14:paraId="588AF96F" w14:textId="77777777" w:rsidR="00A25AD1" w:rsidRPr="00DB5D0D" w:rsidRDefault="00A25AD1" w:rsidP="00DB5D0D">
      <w:pPr>
        <w:pStyle w:val="1110"/>
        <w:shd w:val="clear" w:color="auto" w:fill="auto"/>
        <w:tabs>
          <w:tab w:val="left" w:pos="591"/>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11.Уже пол месяца оторваны от своей работы Гл. Инженер тов. НЕВЯЖСКИЙ, зам. Гл. инженера тов. ПОДДУБНЫЙ, Начальник СКБ тов. ТРАШУТИН, Гл. технолог тов. КАШАРНОВСКИЙ, которые цели</w:t>
      </w:r>
      <w:r w:rsidRPr="00DB5D0D">
        <w:rPr>
          <w:rFonts w:ascii="Times New Roman" w:hAnsi="Times New Roman" w:cs="Times New Roman"/>
          <w:i w:val="0"/>
          <w:iCs w:val="0"/>
          <w:color w:val="000000" w:themeColor="text1"/>
          <w:sz w:val="16"/>
          <w:szCs w:val="16"/>
          <w:lang w:val="ru-RU"/>
        </w:rPr>
        <w:softHyphen/>
        <w:t>ком занимаются работами по М-40.</w:t>
      </w:r>
    </w:p>
    <w:p w14:paraId="668FF2E2" w14:textId="77777777" w:rsidR="00A25AD1" w:rsidRPr="00DB5D0D" w:rsidRDefault="00A25AD1" w:rsidP="00DB5D0D">
      <w:pPr>
        <w:pStyle w:val="1110"/>
        <w:shd w:val="clear" w:color="auto" w:fill="auto"/>
        <w:tabs>
          <w:tab w:val="left" w:pos="586"/>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12.На сборке моторов сборочные стенды не подходят для М-40. На испытательной станции их испытывать то же нельзя т.к. не про</w:t>
      </w:r>
      <w:r w:rsidRPr="00DB5D0D">
        <w:rPr>
          <w:rFonts w:ascii="Times New Roman" w:hAnsi="Times New Roman" w:cs="Times New Roman"/>
          <w:i w:val="0"/>
          <w:iCs w:val="0"/>
          <w:color w:val="000000" w:themeColor="text1"/>
          <w:sz w:val="16"/>
          <w:szCs w:val="16"/>
          <w:lang w:val="ru-RU"/>
        </w:rPr>
        <w:softHyphen/>
        <w:t>ходят по габаритам и тормоза не удовлетворяют мощности.</w:t>
      </w:r>
    </w:p>
    <w:p w14:paraId="3B65C6F5"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Данные соображения изложены на основании анализа настоя</w:t>
      </w:r>
      <w:r w:rsidRPr="00DB5D0D">
        <w:rPr>
          <w:rFonts w:ascii="Times New Roman" w:hAnsi="Times New Roman" w:cs="Times New Roman"/>
          <w:i w:val="0"/>
          <w:iCs w:val="0"/>
          <w:color w:val="000000" w:themeColor="text1"/>
          <w:sz w:val="16"/>
          <w:szCs w:val="16"/>
          <w:lang w:val="ru-RU"/>
        </w:rPr>
        <w:softHyphen/>
        <w:t>щего положения на заводе №75. Если не будут приняты особые меры со стороны директивных органов по увязке программы В-2 с зада</w:t>
      </w:r>
      <w:r w:rsidRPr="00DB5D0D">
        <w:rPr>
          <w:rFonts w:ascii="Times New Roman" w:hAnsi="Times New Roman" w:cs="Times New Roman"/>
          <w:i w:val="0"/>
          <w:iCs w:val="0"/>
          <w:color w:val="000000" w:themeColor="text1"/>
          <w:sz w:val="16"/>
          <w:szCs w:val="16"/>
          <w:lang w:val="ru-RU"/>
        </w:rPr>
        <w:softHyphen/>
        <w:t>нием по М-40, то возможности завода по выпуску В-2 будут значи</w:t>
      </w:r>
      <w:r w:rsidRPr="00DB5D0D">
        <w:rPr>
          <w:rFonts w:ascii="Times New Roman" w:hAnsi="Times New Roman" w:cs="Times New Roman"/>
          <w:i w:val="0"/>
          <w:iCs w:val="0"/>
          <w:color w:val="000000" w:themeColor="text1"/>
          <w:sz w:val="16"/>
          <w:szCs w:val="16"/>
          <w:lang w:val="ru-RU"/>
        </w:rPr>
        <w:softHyphen/>
        <w:t>тельно снижены.</w:t>
      </w:r>
    </w:p>
    <w:p w14:paraId="4A8E6C56"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Врид. Ст. Военпреда АБТУ КА Военинженер 2 ранга Федоров М.Н. [11]</w:t>
      </w:r>
    </w:p>
    <w:p w14:paraId="54DEF615" w14:textId="77777777" w:rsidR="00A25AD1" w:rsidRPr="00DB5D0D" w:rsidRDefault="00A25AD1" w:rsidP="00DB5D0D">
      <w:pPr>
        <w:pStyle w:val="a3"/>
        <w:rPr>
          <w:color w:val="000000" w:themeColor="text1"/>
          <w:lang w:val="ru-RU"/>
        </w:rPr>
      </w:pPr>
      <w:r w:rsidRPr="00DB5D0D">
        <w:rPr>
          <w:color w:val="000000" w:themeColor="text1"/>
          <w:lang w:val="ru-RU"/>
        </w:rPr>
        <w:t>Напомним, что в 1940 г. завод №75 должен был изготовить:</w:t>
      </w:r>
    </w:p>
    <w:p w14:paraId="0893717A" w14:textId="77777777" w:rsidR="00A25AD1" w:rsidRPr="00DB5D0D" w:rsidRDefault="00A25AD1" w:rsidP="00DB5D0D">
      <w:pPr>
        <w:pStyle w:val="a3"/>
        <w:tabs>
          <w:tab w:val="left" w:pos="428"/>
        </w:tabs>
        <w:rPr>
          <w:color w:val="000000" w:themeColor="text1"/>
          <w:lang w:val="ru-RU"/>
        </w:rPr>
      </w:pPr>
      <w:r w:rsidRPr="00DB5D0D">
        <w:rPr>
          <w:color w:val="000000" w:themeColor="text1"/>
          <w:lang w:val="ru-RU"/>
        </w:rPr>
        <w:t>- с января по май (по старому плану) - 805 двигателей В-2 с поставкой их на сборочные заводы ЛКЗ, завод №183 и СТЗ (факти</w:t>
      </w:r>
      <w:r w:rsidRPr="00DB5D0D">
        <w:rPr>
          <w:color w:val="000000" w:themeColor="text1"/>
          <w:lang w:val="ru-RU"/>
        </w:rPr>
        <w:softHyphen/>
        <w:t>чески изготовлено 576 штук).</w:t>
      </w:r>
    </w:p>
    <w:p w14:paraId="1B7513BD" w14:textId="77777777" w:rsidR="00A25AD1" w:rsidRPr="00DB5D0D" w:rsidRDefault="00A25AD1" w:rsidP="00DB5D0D">
      <w:pPr>
        <w:pStyle w:val="a3"/>
        <w:tabs>
          <w:tab w:val="left" w:pos="409"/>
        </w:tabs>
        <w:rPr>
          <w:color w:val="000000" w:themeColor="text1"/>
          <w:lang w:val="ru-RU"/>
        </w:rPr>
      </w:pPr>
      <w:r w:rsidRPr="00DB5D0D">
        <w:rPr>
          <w:color w:val="000000" w:themeColor="text1"/>
          <w:lang w:val="ru-RU"/>
        </w:rPr>
        <w:t>- с июня по декабрь (согласно Постановлению СНК СССР и ЦК ВКП (б) №976-368сс) - 2100 двигателей В-2 с поставкой их на сбо</w:t>
      </w:r>
      <w:r w:rsidRPr="00DB5D0D">
        <w:rPr>
          <w:color w:val="000000" w:themeColor="text1"/>
          <w:lang w:val="ru-RU"/>
        </w:rPr>
        <w:softHyphen/>
        <w:t>рочные заводы ЛКЗ, завод №183 и СТЗ.</w:t>
      </w:r>
    </w:p>
    <w:p w14:paraId="7582F8E6" w14:textId="77777777" w:rsidR="00A25AD1" w:rsidRPr="00DB5D0D" w:rsidRDefault="00A25AD1" w:rsidP="00DB5D0D">
      <w:pPr>
        <w:pStyle w:val="a3"/>
        <w:tabs>
          <w:tab w:val="left" w:pos="409"/>
        </w:tabs>
        <w:rPr>
          <w:color w:val="000000" w:themeColor="text1"/>
          <w:lang w:val="ru-RU"/>
        </w:rPr>
      </w:pPr>
      <w:r w:rsidRPr="00DB5D0D">
        <w:rPr>
          <w:color w:val="000000" w:themeColor="text1"/>
          <w:lang w:val="ru-RU"/>
        </w:rPr>
        <w:t>- с января по декабрь (согласно договору с АБТУ) - 350 двигате</w:t>
      </w:r>
      <w:r w:rsidRPr="00DB5D0D">
        <w:rPr>
          <w:color w:val="000000" w:themeColor="text1"/>
          <w:lang w:val="ru-RU"/>
        </w:rPr>
        <w:softHyphen/>
        <w:t>лей В-2, предназначенных для замены выработавших гарантийный срок двигателей, с поставкой их на ремонтные базы АБТУ.</w:t>
      </w:r>
    </w:p>
    <w:p w14:paraId="3C937515" w14:textId="77777777" w:rsidR="00A25AD1" w:rsidRPr="00DB5D0D" w:rsidRDefault="00A25AD1" w:rsidP="00DB5D0D">
      <w:pPr>
        <w:pStyle w:val="a3"/>
        <w:tabs>
          <w:tab w:val="left" w:pos="433"/>
        </w:tabs>
        <w:rPr>
          <w:color w:val="000000" w:themeColor="text1"/>
          <w:lang w:val="ru-RU"/>
        </w:rPr>
      </w:pPr>
      <w:r w:rsidRPr="00DB5D0D">
        <w:rPr>
          <w:color w:val="000000" w:themeColor="text1"/>
          <w:lang w:val="ru-RU"/>
        </w:rPr>
        <w:t>- с января по декабрь - запасных частей к двигателю В-2 на общую сумму более четырех с половиной миллионов рублей.</w:t>
      </w:r>
    </w:p>
    <w:p w14:paraId="7FFF8542" w14:textId="77777777" w:rsidR="00A25AD1" w:rsidRPr="00DB5D0D" w:rsidRDefault="00A25AD1" w:rsidP="00DB5D0D">
      <w:pPr>
        <w:pStyle w:val="a3"/>
        <w:rPr>
          <w:color w:val="000000" w:themeColor="text1"/>
          <w:lang w:val="ru-RU"/>
        </w:rPr>
      </w:pPr>
      <w:r w:rsidRPr="00DB5D0D">
        <w:rPr>
          <w:color w:val="000000" w:themeColor="text1"/>
          <w:lang w:val="ru-RU"/>
        </w:rPr>
        <w:t>Учитывая существенное увеличение плана согласно Постанов</w:t>
      </w:r>
      <w:r w:rsidRPr="00DB5D0D">
        <w:rPr>
          <w:color w:val="000000" w:themeColor="text1"/>
          <w:lang w:val="ru-RU"/>
        </w:rPr>
        <w:softHyphen/>
        <w:t>лению СНК СССР и ЦК ВКП (б) №976-368сс от 7 июня 1940 г. и недостаточные темпы развертывания производства В-2 в пер</w:t>
      </w:r>
      <w:r w:rsidRPr="00DB5D0D">
        <w:rPr>
          <w:color w:val="000000" w:themeColor="text1"/>
          <w:lang w:val="ru-RU"/>
        </w:rPr>
        <w:softHyphen/>
        <w:t>вом полугодии 1940 г., можно сделать вывод, что дополнительная нагрузка на завод в виде двигателя М-40 действительно ставила под угрозу выполнение программы по танковым дизелям на 1940-1941 гг. (11906).</w:t>
      </w:r>
    </w:p>
    <w:p w14:paraId="08A844FE" w14:textId="77777777" w:rsidR="00A25AD1" w:rsidRPr="00DB5D0D" w:rsidRDefault="00A25AD1" w:rsidP="00DB5D0D">
      <w:pPr>
        <w:pStyle w:val="a3"/>
        <w:rPr>
          <w:color w:val="000000" w:themeColor="text1"/>
          <w:lang w:val="ru-RU"/>
        </w:rPr>
      </w:pPr>
    </w:p>
    <w:p w14:paraId="3A6B7C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вышел приказ НКАП N 246cc во исполнение постановления Правительства N 870-319сс от 27 мая 1940 об оргструктуре Центрального аппарата НКАП:</w:t>
      </w:r>
    </w:p>
    <w:p w14:paraId="488A4A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ПГУ (самолетное) с заводами: 1, 22, 39, 305, 29, 47, 81, 84, 301, 18, 21, 135, 49, 31, 125, 153, СВК, 124, 126, 207, строительствами 118, 130, 121, 122, 123, 127, 128, 129, 131 (1647,17).</w:t>
      </w:r>
    </w:p>
    <w:p w14:paraId="7C5F24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ГУ (самолетно-агрегатное) с заводами: 32, 34, 119, 120, 145, 261 и строительствами 34бис, 315 и 120бис (1647,18).</w:t>
      </w:r>
    </w:p>
    <w:p w14:paraId="68F75E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ГУ (моторное) с заводами: 16, 19, 24, 26, 27, 29, 28, 150 (винты), строительствами 333, 334, 335, 336, 337, 338</w:t>
      </w:r>
    </w:p>
    <w:p w14:paraId="74F1CC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ГУ (мотоагрегатное) с заводами: 20, 25, 33, 132, 266, 339, и строительствами 20бис, 339бис, 132бис, 266бис, 307</w:t>
      </w:r>
    </w:p>
    <w:p w14:paraId="7B4280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ГУ (приборов) с заводами 213, 214, 224, 230, 278, Точизмеритель, ОЗПО и строительствами 149, 155, 279, 328, 117, 329, К, литья под давлением (б. 10 ГУ НКОП и 8 ГУ НКАП).</w:t>
      </w:r>
    </w:p>
    <w:p w14:paraId="413AC3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ГУ (ремонтное) с заводами 41, 162, 163, 164, 165, 167, 168, 169, 35, 43, 45, 99, 83, 116 и строительствами 166, 377 (б. 10 ГУ винтов и лыж).</w:t>
      </w:r>
    </w:p>
    <w:p w14:paraId="066787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ГУ (б. 11 ГУ НКАП).</w:t>
      </w:r>
    </w:p>
    <w:p w14:paraId="4CC0A3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8 ГУ (опытное по моторам).</w:t>
      </w:r>
    </w:p>
    <w:p w14:paraId="1554C4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ГУ КС с трестами 11, 12, 14, 18, 20, 30, 31, 41</w:t>
      </w:r>
    </w:p>
    <w:p w14:paraId="6FF983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ГУ учебных заведений</w:t>
      </w:r>
    </w:p>
    <w:p w14:paraId="5245CE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ГУ снабжения</w:t>
      </w:r>
    </w:p>
    <w:p w14:paraId="5B08E9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ПВО и Охрана (1647,18).</w:t>
      </w:r>
    </w:p>
    <w:p w14:paraId="7FF083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Непосредственно наркому подчинялись заводы 95, 269, 219, 150, строительства 269, трест Оборонгиз, трест Оргавиапром с заводом 154, трест Ширпотреб, ЦИТ с двумя предприятиями и строительством завода 4</w:t>
      </w:r>
    </w:p>
    <w:p w14:paraId="48E210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вышло постановление КО N 238 "О создании высотного ДБ 102 с двумя М-1202ТК" о постройке 2 экз. высотного дальнего бомбардировщика с 2хМ-1202ТК силами ОТБ и 156 завода. 1-й экз. - к 01.05.1940, 2-й - к 01.06.1941 (822).</w:t>
      </w:r>
    </w:p>
    <w:p w14:paraId="23AF380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4050A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вышло постановление СНК о передаче з-ду № 315 НКАП территории б Кировской областной с/х выставки со всеми расположенными на ней зданиями и сооружениями (1191, 68).</w:t>
      </w:r>
    </w:p>
    <w:p w14:paraId="2069412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F567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вышло постановление СНК о передаче заводу 315 НКАП территории бывшей Кировской областной с/х выставки (1191).</w:t>
      </w:r>
    </w:p>
    <w:p w14:paraId="619C469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4CF9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вышло постановление КО N 242с "Об обеспечении зимней эксплуатации аэродромов НКО, НКВМФ и ГУГВФ".</w:t>
      </w:r>
    </w:p>
    <w:p w14:paraId="7B03153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51E0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производилась буксировка ПСН-2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(10223).</w:t>
      </w:r>
    </w:p>
    <w:p w14:paraId="20255D3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76A1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июня по 1 августа 1940 на НИП АВ проходили полигонные испытания турели под два спаренные пулемета Шкас конструкции Можаровского-Веневидова, турели под два спаренные пулемета Шкас конструкции Шибанова, турели под два пулемета Шкас конструкции Михайлова, турель под два пулемета Шкас дуговой системы завода № 39, турель под два пулемета Шкас клычковой системы завода № 39, люковой установки МВ-2 на самолете СБ (7313, 12).</w:t>
      </w:r>
    </w:p>
    <w:p w14:paraId="661CFD7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3490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июня 1940 на ЦХП в Вольске в соответствии с приказом НКО №0022 от 16 мая 1940 г. проходили войсковые испытания ХАБ-100, ХАБ-200М, ХАБ-500М ударного действия, снаряженные НОВ - ХАБ-100, ХАБ-500М – результаты положительные. ХАБ-200М – результаты отрицательные; ХАБ-100 ударного действия снаряженные СОВ и вязкими ОВ - ХАБ-100с СОВ – результаты положительные. ХАБ-100 с вязкими ОВ – результаты отрицательные; ХАБ-200М, ХАБ-500М дистанционного действия снаряженные СОВ - ХАБ-500М – результаты положительные. ХАБ-200М – окончательные результаты не известны; ХАРП-500 (разового прибора) дистанционного действия снаряженный стойкими ОВ и гранулированным фосфором, ЗАРП-500 зажигательного прибора дистанционного действия снаряженный термитными шарами (7313, 12).</w:t>
      </w:r>
    </w:p>
    <w:p w14:paraId="589E290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9849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года закончились заводские полетные испытания опытных образцов фотобомб Фотаб-25, изготовленных ГСКБ-47 и НИИ-6 НКБ, которые проводились на летной базе НИИ ГУАС с 28 мая 1940.</w:t>
      </w:r>
    </w:p>
    <w:p w14:paraId="5B554B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испытания – ст. инженер Сафронов Л.Т.</w:t>
      </w:r>
    </w:p>
    <w:p w14:paraId="723836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717F5F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пригодность для целей ночной аэрофотосъемки опытных фотобомб Фотаб-25.</w:t>
      </w:r>
    </w:p>
    <w:p w14:paraId="3E7421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83F0D0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Продолжить заводские испытания Фотаб-25 …………………..(7536).</w:t>
      </w:r>
    </w:p>
    <w:p w14:paraId="75E3965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370A73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был подготовлен проект Постановления СНК СССР по крупнока</w:t>
      </w:r>
      <w:r w:rsidRPr="00DB5D0D">
        <w:rPr>
          <w:rFonts w:ascii="Times New Roman" w:hAnsi="Times New Roman"/>
          <w:color w:val="000000" w:themeColor="text1"/>
          <w:sz w:val="16"/>
          <w:szCs w:val="16"/>
        </w:rPr>
        <w:softHyphen/>
        <w:t>либерному пушечному и ракетному вооружению авиации, в третьем пункте которого, в частности говорилось: «В целях обеспечения эффективности действий авиации против танков и современных самолетов и соответст</w:t>
      </w:r>
      <w:r w:rsidRPr="00DB5D0D">
        <w:rPr>
          <w:rFonts w:ascii="Times New Roman" w:hAnsi="Times New Roman"/>
          <w:color w:val="000000" w:themeColor="text1"/>
          <w:sz w:val="16"/>
          <w:szCs w:val="16"/>
        </w:rPr>
        <w:softHyphen/>
        <w:t>венного перевооружения авиации под оружие крупного калибра СНК СССР постановляет: Обязать Наркомат боеприпасов тов. И.П.Сергеева внедрить в производство и изготовить в 1940 г. бронебойный тип РБС-82 в количестве 30.000 шт. и РБС-132 в количестве 10.000 шт. Подать к 1 ав</w:t>
      </w:r>
      <w:r w:rsidRPr="00DB5D0D">
        <w:rPr>
          <w:rFonts w:ascii="Times New Roman" w:hAnsi="Times New Roman"/>
          <w:color w:val="000000" w:themeColor="text1"/>
          <w:sz w:val="16"/>
          <w:szCs w:val="16"/>
        </w:rPr>
        <w:softHyphen/>
        <w:t>густа 1940 г. для контрольных отстрелов по 400 шт. РБС-82 и взрывателей АВ-96 к ним».</w:t>
      </w:r>
    </w:p>
    <w:p w14:paraId="270DFE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поступление на полигонные испытания РБС-132 сдерживало только запаздывание выполнения механическими заводами заказа на корпуса опытных БЧ. Кроме того, корпуса двигателей под новые (усиленные) ракетные заряды также требовали повышенного внимания. К примеру, на стендах НИИ-3 НКБ каждый из них подвергали испыта</w:t>
      </w:r>
      <w:r w:rsidRPr="00DB5D0D">
        <w:rPr>
          <w:rFonts w:ascii="Times New Roman" w:hAnsi="Times New Roman"/>
          <w:color w:val="000000" w:themeColor="text1"/>
          <w:sz w:val="16"/>
          <w:szCs w:val="16"/>
        </w:rPr>
        <w:softHyphen/>
        <w:t>нию давлением 300 атм в течение 2 мин. (11402).</w:t>
      </w:r>
    </w:p>
    <w:p w14:paraId="5EDADF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обеспечения эффективности действий авиации против танков и современных самолетов и соответственного перевооружения авиации под оужие крупного калибра СНК СССР постановляет: Обязать НКБ тов. Сергеева:</w:t>
      </w:r>
    </w:p>
    <w:p w14:paraId="0DCA79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разработать и к 1 ноября 1940 г. изготовить на базе производства БРАБ-200ДС и БЕТАБ-150ДС по 50 шт. ракетных бронебойных РБС-203 для стрельбы с самолетов;</w:t>
      </w:r>
    </w:p>
    <w:p w14:paraId="2BB52B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разработать в 1940 г. совместно с НКАП установку на самолеты ДБ-3 и СБ для РС-203» (11402).</w:t>
      </w:r>
    </w:p>
    <w:p w14:paraId="60493D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4C905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 в проекте Постановления СНК СССР по крупнокалиберному пушеч</w:t>
      </w:r>
      <w:r w:rsidRPr="00DB5D0D">
        <w:rPr>
          <w:rFonts w:ascii="Times New Roman" w:hAnsi="Times New Roman"/>
          <w:color w:val="000000" w:themeColor="text1"/>
          <w:sz w:val="16"/>
          <w:szCs w:val="16"/>
        </w:rPr>
        <w:softHyphen/>
        <w:t>ному и ракетному вооружению авиации в последний раз упоминания о разработках Гнилосырова «В целях обес</w:t>
      </w:r>
      <w:r w:rsidRPr="00DB5D0D">
        <w:rPr>
          <w:rFonts w:ascii="Times New Roman" w:hAnsi="Times New Roman"/>
          <w:color w:val="000000" w:themeColor="text1"/>
          <w:sz w:val="16"/>
          <w:szCs w:val="16"/>
        </w:rPr>
        <w:softHyphen/>
        <w:t>печения эффективности действий авиации против танков и современ</w:t>
      </w:r>
      <w:r w:rsidRPr="00DB5D0D">
        <w:rPr>
          <w:rFonts w:ascii="Times New Roman" w:hAnsi="Times New Roman"/>
          <w:color w:val="000000" w:themeColor="text1"/>
          <w:sz w:val="16"/>
          <w:szCs w:val="16"/>
        </w:rPr>
        <w:softHyphen/>
        <w:t>ных самолетов и соответственного перевооружения авиации под оружие крупного калибра СНК СССР постановляет: 3. Обязать НКБ тов. И.П.Сергеева: г) доработать в 1940 г. ДТГ-3 с установкой из кабины лет</w:t>
      </w:r>
      <w:r w:rsidRPr="00DB5D0D">
        <w:rPr>
          <w:rFonts w:ascii="Times New Roman" w:hAnsi="Times New Roman"/>
          <w:color w:val="000000" w:themeColor="text1"/>
          <w:sz w:val="16"/>
          <w:szCs w:val="16"/>
        </w:rPr>
        <w:softHyphen/>
        <w:t>чика и подготовить ее к запуску в серийное производство (провести го</w:t>
      </w:r>
      <w:r w:rsidRPr="00DB5D0D">
        <w:rPr>
          <w:rFonts w:ascii="Times New Roman" w:hAnsi="Times New Roman"/>
          <w:color w:val="000000" w:themeColor="text1"/>
          <w:sz w:val="16"/>
          <w:szCs w:val="16"/>
        </w:rPr>
        <w:softHyphen/>
        <w:t>сиспытания трубки и монтажа управления на серийном самолете)». Документы должны были подписать председатель Комитета Обороны Маршал Советского Союза Ворошилов и секретарь Комитета Обороны при СНК СССР Сафонов (11401).</w:t>
      </w:r>
    </w:p>
    <w:p w14:paraId="5EEAD3A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C75E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 из проекта Постановления СНК СССР по крупнокалиберному пу</w:t>
      </w:r>
      <w:r w:rsidRPr="00DB5D0D">
        <w:rPr>
          <w:rFonts w:ascii="Times New Roman" w:hAnsi="Times New Roman"/>
          <w:color w:val="000000" w:themeColor="text1"/>
          <w:sz w:val="16"/>
          <w:szCs w:val="16"/>
        </w:rPr>
        <w:softHyphen/>
        <w:t>шечному и ракетному вооружению авиации от «В целях обеспечения эффективности действий авиации против танков и совре</w:t>
      </w:r>
      <w:r w:rsidRPr="00DB5D0D">
        <w:rPr>
          <w:rFonts w:ascii="Times New Roman" w:hAnsi="Times New Roman"/>
          <w:color w:val="000000" w:themeColor="text1"/>
          <w:sz w:val="16"/>
          <w:szCs w:val="16"/>
        </w:rPr>
        <w:softHyphen/>
        <w:t>менных самолетов и соответственного перевооружения авиации под оружие крупного калибра СНК СССР постановляет: 2) Обязать НКАП тов. Шахурина: г) перевооружить к 1 января 1941 г. в частях ВВС 600 са</w:t>
      </w:r>
      <w:r w:rsidRPr="00DB5D0D">
        <w:rPr>
          <w:rFonts w:ascii="Times New Roman" w:hAnsi="Times New Roman"/>
          <w:color w:val="000000" w:themeColor="text1"/>
          <w:sz w:val="16"/>
          <w:szCs w:val="16"/>
        </w:rPr>
        <w:softHyphen/>
        <w:t>молетов И-15 бис под РС-82;</w:t>
      </w:r>
    </w:p>
    <w:p w14:paraId="089463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 счет общего заказа на самолеты, к 1 января 1941 г. поставить НКО 250 (100) бомбардировщиков СБ с установками под РС-132. 600 (250) самолетов И-16 с установками под РС-82 и 800 (250) самолетов И-153 с шестью установками под РС-82. В дальнейшем предусматрива</w:t>
      </w:r>
      <w:r w:rsidRPr="00DB5D0D">
        <w:rPr>
          <w:rFonts w:ascii="Times New Roman" w:hAnsi="Times New Roman"/>
          <w:color w:val="000000" w:themeColor="text1"/>
          <w:sz w:val="16"/>
          <w:szCs w:val="16"/>
        </w:rPr>
        <w:softHyphen/>
        <w:t>ется не менее 20% выпуска истребителей с установками под РС.</w:t>
      </w:r>
    </w:p>
    <w:p w14:paraId="3FCB89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в 15-дневный срок представить Комитету Обороны план меро-\ приятии по дополнительной поставке сверх утвержденного заказа 150.000 РС-82 и 50.000 РС-132».</w:t>
      </w:r>
    </w:p>
    <w:p w14:paraId="7E6C38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должен был подписать председатель Комитета Обороны Маршал Советского Союза Ворошилов и секретарь Комитета Обороны : при СНК СССР Сафонов. Между тем предвоенные планы Маршала Тимошенко остались всего лишь благими намерениями. Далеко не последнюю роль здесь сыграли кадровые перестановки накануне войны в высшем армейском руководстве. Как результат, многие ветераны-летчики отмечают, что до конца 1941 - начала 1942 гг. им ничего не было извест</w:t>
      </w:r>
      <w:r w:rsidRPr="00DB5D0D">
        <w:rPr>
          <w:rFonts w:ascii="Times New Roman" w:hAnsi="Times New Roman"/>
          <w:color w:val="000000" w:themeColor="text1"/>
          <w:sz w:val="16"/>
          <w:szCs w:val="16"/>
        </w:rPr>
        <w:softHyphen/>
        <w:t>но об авиационном ракетном вооружении. В начале 40-х годов РС в авиаполках просто складировали, а секретную литературу по боевому применению этого оружия не выдавали «до особого распоряжения».</w:t>
      </w:r>
    </w:p>
    <w:p w14:paraId="18AE9A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 временем, в главном штабе ВВС на основе личного конфликта начальника Главного управления ВВС Красной Армии комкора П.В.Рычагова с И.В.Сталиным уже начались «политические интриж</w:t>
      </w:r>
      <w:r w:rsidRPr="00DB5D0D">
        <w:rPr>
          <w:rFonts w:ascii="Times New Roman" w:hAnsi="Times New Roman"/>
          <w:color w:val="000000" w:themeColor="text1"/>
          <w:sz w:val="16"/>
          <w:szCs w:val="16"/>
        </w:rPr>
        <w:softHyphen/>
        <w:t>ки». В бытность еще майором, Рычагов уже вписал яркую страницу в историю отечественных ВВС, приблизив дату принятия авиацион</w:t>
      </w:r>
      <w:r w:rsidRPr="00DB5D0D">
        <w:rPr>
          <w:rFonts w:ascii="Times New Roman" w:hAnsi="Times New Roman"/>
          <w:color w:val="000000" w:themeColor="text1"/>
          <w:sz w:val="16"/>
          <w:szCs w:val="16"/>
        </w:rPr>
        <w:softHyphen/>
        <w:t>ных ракет на вооружение. Но теперь ближайшее окружение опального главкома опасалось поддерживать его начинания в деле увеличения группировки самолетов-ракетоносцев. Кроме того, весной 1940 г. был арестован ряд высших и старших офицеров ВВС, в том числе дивизи</w:t>
      </w:r>
      <w:r w:rsidRPr="00DB5D0D">
        <w:rPr>
          <w:rFonts w:ascii="Times New Roman" w:hAnsi="Times New Roman"/>
          <w:color w:val="000000" w:themeColor="text1"/>
          <w:sz w:val="16"/>
          <w:szCs w:val="16"/>
        </w:rPr>
        <w:softHyphen/>
        <w:t>онный инженер И.Ф.Сакриер, «лоббировавшие» в авиации ракетное оружие (11402).</w:t>
      </w:r>
    </w:p>
    <w:p w14:paraId="7D7727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F3D2E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 в проекте Постановления СНК по крупнокалиберному пушечному и ракетному вооружению авиации во втором пункте говорилось: «В целях обеспечения эф</w:t>
      </w:r>
      <w:r w:rsidRPr="00DB5D0D">
        <w:rPr>
          <w:rFonts w:ascii="Times New Roman" w:hAnsi="Times New Roman"/>
          <w:color w:val="000000" w:themeColor="text1"/>
          <w:sz w:val="16"/>
          <w:szCs w:val="16"/>
        </w:rPr>
        <w:softHyphen/>
        <w:t>фективности действий авиации против танков, современных самолетов и соответственного перевооружения авиации под оружие крупного ка</w:t>
      </w:r>
      <w:r w:rsidRPr="00DB5D0D">
        <w:rPr>
          <w:rFonts w:ascii="Times New Roman" w:hAnsi="Times New Roman"/>
          <w:color w:val="000000" w:themeColor="text1"/>
          <w:sz w:val="16"/>
          <w:szCs w:val="16"/>
        </w:rPr>
        <w:softHyphen/>
        <w:t>либра, СНК СССР постановляет обязать Наркомат авиационной про</w:t>
      </w:r>
      <w:r w:rsidRPr="00DB5D0D">
        <w:rPr>
          <w:rFonts w:ascii="Times New Roman" w:hAnsi="Times New Roman"/>
          <w:color w:val="000000" w:themeColor="text1"/>
          <w:sz w:val="16"/>
          <w:szCs w:val="16"/>
        </w:rPr>
        <w:softHyphen/>
        <w:t>мышленности А.И.Шахурина приспособить к 1 августа 1940 г. пять само</w:t>
      </w:r>
      <w:r w:rsidRPr="00DB5D0D">
        <w:rPr>
          <w:rFonts w:ascii="Times New Roman" w:hAnsi="Times New Roman"/>
          <w:color w:val="000000" w:themeColor="text1"/>
          <w:sz w:val="16"/>
          <w:szCs w:val="16"/>
        </w:rPr>
        <w:softHyphen/>
        <w:t>летов И-153 под 4-6 штук РС-132 и подать их на войсковые испытания. Одновременно приспособить в 1940 г. один из вновь осваиваемых в про</w:t>
      </w:r>
      <w:r w:rsidRPr="00DB5D0D">
        <w:rPr>
          <w:rFonts w:ascii="Times New Roman" w:hAnsi="Times New Roman"/>
          <w:color w:val="000000" w:themeColor="text1"/>
          <w:sz w:val="16"/>
          <w:szCs w:val="16"/>
        </w:rPr>
        <w:softHyphen/>
        <w:t>изводстве типов истребителей также под 4-6 штук РС-132». Проект готовили представлять председатель Комитета Обороны Маршал Советского Союза Ворошилов и секретарь Комитета Обороны при Совнаркоме СССР Сафонов (11402).</w:t>
      </w:r>
    </w:p>
    <w:p w14:paraId="493807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58920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июня 1940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w:t>
      </w:r>
      <w:r w:rsidRPr="00DB5D0D">
        <w:rPr>
          <w:rFonts w:ascii="Times New Roman" w:hAnsi="Times New Roman"/>
          <w:color w:val="000000" w:themeColor="text1"/>
          <w:sz w:val="16"/>
          <w:szCs w:val="16"/>
        </w:rPr>
        <w:lastRenderedPageBreak/>
        <w:t>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78A707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3ADD415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1FD4B5" w14:textId="77777777" w:rsidR="00A25AD1" w:rsidRPr="00DB5D0D" w:rsidRDefault="00B30AFA"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1300F80"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p>
    <w:p w14:paraId="6BCF82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 директором завода № 92 был назначен Амо Елян — родственник всесильного главы НКВД Лаврентия Берии. Новый начальник относился к совсем другому типу руководителей, не похожему на прежних директоров. Управлял он круто и грубо, как царь, не терпел возражений. Характерный факт: когда машина директора утром подъезжала к заводу, «вохровцы» должны были заранее открыть ворота. Если же они вдруг этого не успевали, автомобиль Еляна, кстати, предпочитавшего внедорожники, попросту таранил и вышибал их. В своих приказах по заводу Амо Евсеевич, первым из директоров завода, стал официально ссылаться на анонимные записки и доносы. В то же время рабочие отзывались о Еляне хорошо, он часто помогал нуждающимся, справедливо разрешал споры с начальством, заботился о снабжении их продуктами. Внедрение гаубицы М-30 опять осложнялось нехваткой инструмента. Инструментальный цех не справлялся с работой, сказывались плохая подготовка производства и простои станков. Потребовались срочные меры: организация работы в три смены, дополнительная переброска рабочей силы. Качество литья в связи с внедрением новой системы также снизилось. Большие проблемы опять возникали из-за хаотичного внесения технологических изменений в проект по ходу освоения. В итоге оснащение инструментарием технологии первой очереди М-30 закончилось только в середине июля. Сталь для щита гаубицы была получена заводом 29 июня, однако из-за халатности ряда работников ее испытание задержалось до 4 июля. Оказывал заметное влияние выход из строя оборудования. Например, 3 июля произошла авария пресса № 3 в кузнечно-прессовом цехе с тяжелыми последствиями. Героическими усилиями ремонтников он затем был восстановлен за семь суток. По-прежнему возникали большие сложности в организации технологического процесса. В приказе директора от 26 июля говорилось: «Начальник техбюро сборочного цеха Ганичев формально вел журнал технологических изменений, в результате большинство выявленных дефектов М-30 не были доведены до цехов. Плановый отдел, получая извещения КО на изменения, не планирует подготовки производства по внесенным изменениям. В КО часть изменений, предусмотренных протоколами, до сих пор не проведены. Технологи не отмечают даты исполнения, давая заключения по изменениям, не подписывают их». [70 — ГУ ЦАНО, Ф. 2491, Д. 442, Л. 89.] (11741).</w:t>
      </w:r>
    </w:p>
    <w:p w14:paraId="12E0BD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2C2D0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 начали сборку ИЖ-9 на конвейере [4.124]; в этом же году на ИжМЗ планировали изготовить ИЖ-8 - 1450, а ИЖ-9 - 4050, все</w:t>
      </w:r>
      <w:r w:rsidRPr="00DB5D0D">
        <w:rPr>
          <w:rFonts w:ascii="Times New Roman" w:hAnsi="Times New Roman"/>
          <w:color w:val="000000" w:themeColor="text1"/>
          <w:sz w:val="16"/>
          <w:szCs w:val="16"/>
        </w:rPr>
        <w:softHyphen/>
        <w:t>го - 5500 экземпляров. Однако из-за неудачной подготовки се</w:t>
      </w:r>
      <w:r w:rsidRPr="00DB5D0D">
        <w:rPr>
          <w:rFonts w:ascii="Times New Roman" w:hAnsi="Times New Roman"/>
          <w:color w:val="000000" w:themeColor="text1"/>
          <w:sz w:val="16"/>
          <w:szCs w:val="16"/>
        </w:rPr>
        <w:softHyphen/>
        <w:t>рийного производства ИЖ-9 сделали гораздо меньше - 833, зато ИЖ-8 - несколько больше плана - 1556, всего - 2389 экземпля</w:t>
      </w:r>
      <w:r w:rsidRPr="00DB5D0D">
        <w:rPr>
          <w:rFonts w:ascii="Times New Roman" w:hAnsi="Times New Roman"/>
          <w:color w:val="000000" w:themeColor="text1"/>
          <w:sz w:val="16"/>
          <w:szCs w:val="16"/>
        </w:rPr>
        <w:softHyphen/>
        <w:t>ров. При этом сделали два мотоцикла ИЖ-12, прообразом кото</w:t>
      </w:r>
      <w:r w:rsidRPr="00DB5D0D">
        <w:rPr>
          <w:rFonts w:ascii="Times New Roman" w:hAnsi="Times New Roman"/>
          <w:color w:val="000000" w:themeColor="text1"/>
          <w:sz w:val="16"/>
          <w:szCs w:val="16"/>
        </w:rPr>
        <w:softHyphen/>
        <w:t>рого была новая модель ленинградского завода «Красный Ок</w:t>
      </w:r>
      <w:r w:rsidRPr="00DB5D0D">
        <w:rPr>
          <w:rFonts w:ascii="Times New Roman" w:hAnsi="Times New Roman"/>
          <w:color w:val="000000" w:themeColor="text1"/>
          <w:sz w:val="16"/>
          <w:szCs w:val="16"/>
        </w:rPr>
        <w:softHyphen/>
        <w:t>тябрь» Л-8 [4.129] (11429).</w:t>
      </w:r>
    </w:p>
    <w:p w14:paraId="16B390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1CDD15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FE5B10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9C453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июня 1940 г. в штурмовой авиации насчитывалось уже больше И-15бис, чем в истребительной. В штурмовых полках числились 1105 машин (из них 972 ис</w:t>
      </w:r>
      <w:r w:rsidRPr="00DB5D0D">
        <w:rPr>
          <w:rFonts w:ascii="Times New Roman" w:hAnsi="Times New Roman"/>
          <w:color w:val="000000" w:themeColor="text1"/>
          <w:sz w:val="16"/>
          <w:szCs w:val="16"/>
        </w:rPr>
        <w:softHyphen/>
        <w:t>правных), в истребительной авиации - 599 (514 исправных). Ещё 296 бипланов направили в лётные школы. Согласно приказам командования ВВС, по мере замены И-15бис в истребительных пол</w:t>
      </w:r>
      <w:r w:rsidRPr="00DB5D0D">
        <w:rPr>
          <w:rFonts w:ascii="Times New Roman" w:hAnsi="Times New Roman"/>
          <w:color w:val="000000" w:themeColor="text1"/>
          <w:sz w:val="16"/>
          <w:szCs w:val="16"/>
        </w:rPr>
        <w:softHyphen/>
        <w:t>ках освобождающаяся техника должна была передаваться в штурмовые части и учебные заведения. Правда, разре</w:t>
      </w:r>
      <w:r w:rsidRPr="00DB5D0D">
        <w:rPr>
          <w:rFonts w:ascii="Times New Roman" w:hAnsi="Times New Roman"/>
          <w:color w:val="000000" w:themeColor="text1"/>
          <w:sz w:val="16"/>
          <w:szCs w:val="16"/>
        </w:rPr>
        <w:softHyphen/>
        <w:t>шалось временно вооружать ими вновь создаваемые истребительные полки до поступления туда машин новых типов (12294).</w:t>
      </w:r>
    </w:p>
    <w:p w14:paraId="3BC421B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E4DC5D0" w14:textId="77777777" w:rsidR="00A95E43" w:rsidRPr="00DB5D0D" w:rsidRDefault="00A95E43" w:rsidP="00DB5D0D">
      <w:pPr>
        <w:pStyle w:val="ae"/>
        <w:shd w:val="clear" w:color="auto" w:fill="FFFFFF"/>
        <w:spacing w:before="0" w:after="0"/>
        <w:jc w:val="both"/>
        <w:textAlignment w:val="baseline"/>
        <w:rPr>
          <w:color w:val="000000" w:themeColor="text1"/>
          <w:sz w:val="16"/>
          <w:szCs w:val="16"/>
        </w:rPr>
      </w:pPr>
      <w:r w:rsidRPr="00DB5D0D">
        <w:rPr>
          <w:color w:val="000000" w:themeColor="text1"/>
          <w:sz w:val="16"/>
          <w:szCs w:val="16"/>
        </w:rPr>
        <w:t>На 1 июня 1940 г. в ВВС сохранилось 332 И-5, но летать из них были способны примерно две трети (19176).</w:t>
      </w:r>
    </w:p>
    <w:p w14:paraId="38AAAB15" w14:textId="77777777" w:rsidR="00A95E43" w:rsidRPr="00DB5D0D" w:rsidRDefault="00A95E43" w:rsidP="00DB5D0D">
      <w:pPr>
        <w:pStyle w:val="ae"/>
        <w:shd w:val="clear" w:color="auto" w:fill="FFFFFF"/>
        <w:spacing w:before="0" w:after="0"/>
        <w:jc w:val="both"/>
        <w:textAlignment w:val="baseline"/>
        <w:rPr>
          <w:color w:val="000000" w:themeColor="text1"/>
          <w:sz w:val="16"/>
          <w:szCs w:val="16"/>
        </w:rPr>
      </w:pPr>
    </w:p>
    <w:p w14:paraId="06721B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июня 1940 г. авиационная группировка Закавказского военного округа была увеличена до 1023 с 246 самолетов на I марта. Поставка новейших истребителей на Кавказ в 1941-м году должна была обезопасить основной источник нефтепродуктов от всех возможных ударов с воздуха. В июне 1941 г. Англия планировала быть готовой к немедленному нанесению авиационных ударов по нефтеперерабатывающим предприятиям Баку с авиабаз на территории Ирака. Английская разведка в условиях широкомасштабной дезинформации со стороны Германии считала, что концентрация германских войск в приграничных с СССР районах связана не с возможными боевыми действиями, а с предъявлением Германией какого-то ультиматума Советскому Союзу. Создав угрозу кавказской нефти, Англия рассчитывала оказать давление на СССР, чтобы он не уступил возможным немецким требованиям. Твердая позиция последнего стимулировала бы напряженность в Восточной Европе и облегчила бы положение Англии. В начале 1940-го года такие же удары планировались Англией и Францией, чтобы остановить войну в Финляндии, и в апреле даже была проведена аэрофотосъемка нефтепромыслов Баку и Сухуми (12948).</w:t>
      </w:r>
    </w:p>
    <w:p w14:paraId="6294B87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E7485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1 июня 1940 года с 1 октября 1939 года - абсолютный рост численности бипланов И-15бис, И-153, ДИ-6 в строевых частях составил 1344 самолета (за счет производства И-153), а их удельный вес состав</w:t>
      </w:r>
      <w:r w:rsidRPr="00DB5D0D">
        <w:rPr>
          <w:rFonts w:ascii="Times New Roman" w:hAnsi="Times New Roman"/>
          <w:color w:val="000000" w:themeColor="text1"/>
          <w:sz w:val="16"/>
          <w:szCs w:val="16"/>
        </w:rPr>
        <w:softHyphen/>
        <w:t>лял 45,2% (Подсчитано по: Красная армия за год до фашистской агрессии // Военно-исторический жур</w:t>
      </w:r>
      <w:r w:rsidRPr="00DB5D0D">
        <w:rPr>
          <w:rFonts w:ascii="Times New Roman" w:hAnsi="Times New Roman"/>
          <w:color w:val="000000" w:themeColor="text1"/>
          <w:sz w:val="16"/>
          <w:szCs w:val="16"/>
        </w:rPr>
        <w:softHyphen/>
        <w:t>нал. 1996. № 3 С. 12; Мельтюхов М. Упущенный шанс Сталина. М.: Вече, 2000. С. 602.).</w:t>
      </w:r>
    </w:p>
    <w:p w14:paraId="57310B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 из всей гаммы советских конструкций стал единственным, выбранным испанцами для серийного производства. Эти успехи заставили некоторых говорить об И-15 как о более совершенной машине, нежели И-16. И хотя на</w:t>
      </w:r>
      <w:r w:rsidRPr="00DB5D0D">
        <w:rPr>
          <w:rFonts w:ascii="Times New Roman" w:hAnsi="Times New Roman"/>
          <w:color w:val="000000" w:themeColor="text1"/>
          <w:sz w:val="16"/>
          <w:szCs w:val="16"/>
        </w:rPr>
        <w:softHyphen/>
        <w:t>чальник ВВС Я. Алкснис скептически относился к этой точке зрения, подкре</w:t>
      </w:r>
      <w:r w:rsidRPr="00DB5D0D">
        <w:rPr>
          <w:rFonts w:ascii="Times New Roman" w:hAnsi="Times New Roman"/>
          <w:color w:val="000000" w:themeColor="text1"/>
          <w:sz w:val="16"/>
          <w:szCs w:val="16"/>
        </w:rPr>
        <w:softHyphen/>
        <w:t>пить фактами свои слова не мог, ибо изучение «испанского опыта» им тол</w:t>
      </w:r>
      <w:r w:rsidRPr="00DB5D0D">
        <w:rPr>
          <w:rFonts w:ascii="Times New Roman" w:hAnsi="Times New Roman"/>
          <w:color w:val="000000" w:themeColor="text1"/>
          <w:sz w:val="16"/>
          <w:szCs w:val="16"/>
        </w:rPr>
        <w:softHyphen/>
        <w:t>ком организовано не было. Тем временем борцы за И-15 действовали более активно. Один из сторонников этого самолета - комиссар Ф. А Агальцов - в одном из своих докладов просто восхвалял этот самолет, а его «сильно умных» противников записал во врагов народа, агентов гестапо и иностранных разве</w:t>
      </w:r>
      <w:r w:rsidRPr="00DB5D0D">
        <w:rPr>
          <w:rFonts w:ascii="Times New Roman" w:hAnsi="Times New Roman"/>
          <w:color w:val="000000" w:themeColor="text1"/>
          <w:sz w:val="16"/>
          <w:szCs w:val="16"/>
        </w:rPr>
        <w:softHyphen/>
        <w:t>док». С.В. Абросов констатирует, что «едва ли мы узнаем правду о том, почему истребитель И-15 бис, безусловно, устаревший к тому времени, что очевидно показали бои в Испании, был запущен в массовое производство уже в конце 1937 года, а те самолеты, которые, по мнению летчиков, были крайне необхо</w:t>
      </w:r>
      <w:r w:rsidRPr="00DB5D0D">
        <w:rPr>
          <w:rFonts w:ascii="Times New Roman" w:hAnsi="Times New Roman"/>
          <w:color w:val="000000" w:themeColor="text1"/>
          <w:sz w:val="16"/>
          <w:szCs w:val="16"/>
        </w:rPr>
        <w:softHyphen/>
        <w:t>димы, появились лишь спустя годы» (Абросов С.В. Указ. соч. С. 313, 391.) (11710,422).</w:t>
      </w:r>
    </w:p>
    <w:p w14:paraId="0F9FCF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 бис не отвечал современным требованиям еще до запуска в серию, и на вооружение в ВВС РККА стали массово поступать истребители-бипланы, которые морально устарели еще на уровне проектирования.</w:t>
      </w:r>
    </w:p>
    <w:p w14:paraId="00F7D5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Запуск в серию в конце 1938 года И-153 был стратегическим просчетом советского военно-политического руководства. Эта машина морально устарела уже к моменту начала производства, опоздав со своим появлением минимум на 1,5 - 2 года. Но даже если бы она и выпускалась с рубежа 1936- 1937 годов, ее выпуск однозначно должен был быть свернут если не к началу 1939 года, то, по крайней мере, к началу Второй мировой войны. В действительности все происходило как раз наоборот.</w:t>
      </w:r>
    </w:p>
    <w:p w14:paraId="3ED37B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Нельзя сказать, что выпуск бипланов был обоснован и с экономической точки зрения. Примечательно, что истребитель-биплан И-153 производс</w:t>
      </w:r>
      <w:r w:rsidRPr="00DB5D0D">
        <w:rPr>
          <w:rFonts w:ascii="Times New Roman" w:hAnsi="Times New Roman"/>
          <w:color w:val="000000" w:themeColor="text1"/>
          <w:sz w:val="16"/>
          <w:szCs w:val="16"/>
        </w:rPr>
        <w:softHyphen/>
        <w:t>тва авиазавода № 1 имел отпускную цену в 1939 году несколько выше, чем моноплан И-16 пулеметный производства авиазавода № 21 (138,5 тысяч рублей и 137 тысяч рублей соответственно). В 1940 году за счет резкого рас</w:t>
      </w:r>
      <w:r w:rsidRPr="00DB5D0D">
        <w:rPr>
          <w:rFonts w:ascii="Times New Roman" w:hAnsi="Times New Roman"/>
          <w:color w:val="000000" w:themeColor="text1"/>
          <w:sz w:val="16"/>
          <w:szCs w:val="16"/>
        </w:rPr>
        <w:softHyphen/>
        <w:t>ширения производства И-153 его отпускная цена значительно снизилась, но, тем не менее, относительная разница с отпускной ценой И-16 (которая также снизилась в абсолютном отношении) была невелика: моноплан заво</w:t>
      </w:r>
      <w:r w:rsidRPr="00DB5D0D">
        <w:rPr>
          <w:rFonts w:ascii="Times New Roman" w:hAnsi="Times New Roman"/>
          <w:color w:val="000000" w:themeColor="text1"/>
          <w:sz w:val="16"/>
          <w:szCs w:val="16"/>
        </w:rPr>
        <w:softHyphen/>
        <w:t>да № 21 стоил дороже И-153 всего на 5,7% при несравненно более высоких характеристиках по скорости и надежности (РГАЭ. Ф. 8044. Оп. 1. Д. 673. Л. 12.).</w:t>
      </w:r>
    </w:p>
    <w:p w14:paraId="5240B0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1938 - 1939 годах доля выпущенных бипланов составляла 64% от общего производства истребителей (Подсчитано по: Маслов М. Истребитель И-16. С. 33; Самолетостроение в СССР. 1917-1945. Кн. I. С. 432-433.). Подоб</w:t>
      </w:r>
      <w:r w:rsidRPr="00DB5D0D">
        <w:rPr>
          <w:rFonts w:ascii="Times New Roman" w:hAnsi="Times New Roman"/>
          <w:color w:val="000000" w:themeColor="text1"/>
          <w:sz w:val="16"/>
          <w:szCs w:val="16"/>
        </w:rPr>
        <w:softHyphen/>
        <w:t>ное обстоятельство негативным образом сказывалось на состоянии боего</w:t>
      </w:r>
      <w:r w:rsidRPr="00DB5D0D">
        <w:rPr>
          <w:rFonts w:ascii="Times New Roman" w:hAnsi="Times New Roman"/>
          <w:color w:val="000000" w:themeColor="text1"/>
          <w:sz w:val="16"/>
          <w:szCs w:val="16"/>
        </w:rPr>
        <w:softHyphen/>
        <w:t>товности советской авиации. Это было тем более заметно на фоне прак</w:t>
      </w:r>
      <w:r w:rsidRPr="00DB5D0D">
        <w:rPr>
          <w:rFonts w:ascii="Times New Roman" w:hAnsi="Times New Roman"/>
          <w:color w:val="000000" w:themeColor="text1"/>
          <w:sz w:val="16"/>
          <w:szCs w:val="16"/>
        </w:rPr>
        <w:softHyphen/>
        <w:t>тически полного отхода ведущих авиационных держав от использования самолетов подобной схемы. Например, в Соединенных Штатах истребите</w:t>
      </w:r>
      <w:r w:rsidRPr="00DB5D0D">
        <w:rPr>
          <w:rFonts w:ascii="Times New Roman" w:hAnsi="Times New Roman"/>
          <w:color w:val="000000" w:themeColor="text1"/>
          <w:sz w:val="16"/>
          <w:szCs w:val="16"/>
        </w:rPr>
        <w:softHyphen/>
        <w:t>ли-бипланы дольше всего использовались в частях морской авиации, но и там с декабря 1939 года началось перевооружение на монопланы, которое полностью завершилось в июне 1941 года.</w:t>
      </w:r>
    </w:p>
    <w:p w14:paraId="16B951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сложный и ответственный период произошло своего рода «размыва</w:t>
      </w:r>
      <w:r w:rsidRPr="00DB5D0D">
        <w:rPr>
          <w:rFonts w:ascii="Times New Roman" w:hAnsi="Times New Roman"/>
          <w:color w:val="000000" w:themeColor="text1"/>
          <w:sz w:val="16"/>
          <w:szCs w:val="16"/>
        </w:rPr>
        <w:softHyphen/>
        <w:t>ние» боевого состава истребительных частей советской военной авиации морально устаревшими самолетами, выпуск которых резко вырос как абсо</w:t>
      </w:r>
      <w:r w:rsidRPr="00DB5D0D">
        <w:rPr>
          <w:rFonts w:ascii="Times New Roman" w:hAnsi="Times New Roman"/>
          <w:color w:val="000000" w:themeColor="text1"/>
          <w:sz w:val="16"/>
          <w:szCs w:val="16"/>
        </w:rPr>
        <w:softHyphen/>
        <w:t>лютно, так и относительно общих объемов производства.</w:t>
      </w:r>
    </w:p>
    <w:p w14:paraId="5E764E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Следует отметить, что поступление в строевые части вплоть до начала Великой Отечественной войны устаревшей техники проявлялось не только в плане морального устаревания ВВС РККА, но и создавало серьезные про</w:t>
      </w:r>
      <w:r w:rsidRPr="00DB5D0D">
        <w:rPr>
          <w:rFonts w:ascii="Times New Roman" w:hAnsi="Times New Roman"/>
          <w:color w:val="000000" w:themeColor="text1"/>
          <w:sz w:val="16"/>
          <w:szCs w:val="16"/>
        </w:rPr>
        <w:softHyphen/>
        <w:t>блемы в эксплуатации большого количества типов различных машин.</w:t>
      </w:r>
    </w:p>
    <w:p w14:paraId="7BAD13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окончания войны с Финляндией появился обобщающий документ по анализу эксплуатации авиатехники: «Предложения совещания инженеров действующих армий на Финляндском фронте по устранению дефектов, выяв</w:t>
      </w:r>
      <w:r w:rsidRPr="00DB5D0D">
        <w:rPr>
          <w:rFonts w:ascii="Times New Roman" w:hAnsi="Times New Roman"/>
          <w:color w:val="000000" w:themeColor="text1"/>
          <w:sz w:val="16"/>
          <w:szCs w:val="16"/>
        </w:rPr>
        <w:softHyphen/>
        <w:t>ленных на самолетах, моторах, вооружении и спецоборудовании, на основе опыта эксплуатации материальной части в боевых условиях», утвержденный начальником ВВС КА генерал-лейтенантом авиации Смушкевичем и военко</w:t>
      </w:r>
      <w:r w:rsidRPr="00DB5D0D">
        <w:rPr>
          <w:rFonts w:ascii="Times New Roman" w:hAnsi="Times New Roman"/>
          <w:color w:val="000000" w:themeColor="text1"/>
          <w:sz w:val="16"/>
          <w:szCs w:val="16"/>
        </w:rPr>
        <w:softHyphen/>
        <w:t>мом ВВС КА дивизионным комиссаром Агальцовым 10 мая 1940 года (РГАВМФ.Ф.Р-б1.Оп.7.Д. 105.Л.). В до</w:t>
      </w:r>
      <w:r w:rsidRPr="00DB5D0D">
        <w:rPr>
          <w:rFonts w:ascii="Times New Roman" w:hAnsi="Times New Roman"/>
          <w:color w:val="000000" w:themeColor="text1"/>
          <w:sz w:val="16"/>
          <w:szCs w:val="16"/>
        </w:rPr>
        <w:softHyphen/>
        <w:t>кументе содержалось следующее важное положение: «Создать заводы, изго</w:t>
      </w:r>
      <w:r w:rsidRPr="00DB5D0D">
        <w:rPr>
          <w:rFonts w:ascii="Times New Roman" w:hAnsi="Times New Roman"/>
          <w:color w:val="000000" w:themeColor="text1"/>
          <w:sz w:val="16"/>
          <w:szCs w:val="16"/>
        </w:rPr>
        <w:softHyphen/>
        <w:t>товляющие запасные части для самолетов, снятых с производства, но эксплуа</w:t>
      </w:r>
      <w:r w:rsidRPr="00DB5D0D">
        <w:rPr>
          <w:rFonts w:ascii="Times New Roman" w:hAnsi="Times New Roman"/>
          <w:color w:val="000000" w:themeColor="text1"/>
          <w:sz w:val="16"/>
          <w:szCs w:val="16"/>
        </w:rPr>
        <w:softHyphen/>
        <w:t>тирующихся в частях (И-16 тип 5, И-15 бис и тд.)» (РГАВМФ.Ф.Р-б1.Оп.7.Д. 105. Л. 92) (11710,422).</w:t>
      </w:r>
    </w:p>
    <w:p w14:paraId="39C1DD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D492B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июня 1940 г. в ВВС в общей сложности сохранилось 332 И-5, летать из них могли примерно две трети. Все они числились учебными. В морской авиации к концу сентября того же года имелось 43 машины, причем семь истребителей на Черноморском флоте всё ещё считались боевыми.</w:t>
      </w:r>
    </w:p>
    <w:p w14:paraId="5B1BDA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октябре того же года Комитет обороны своим решением списал 66 самолётов, ещё 276 предписал передать Осо- авиахиму. Аэроклубы последнего и ранее использовали И-5 как спортивно-акробатическую машину, а также вели на ней тренировки лётчиков запаса. В частности, И-5 имелись в Центральном аэроклубе в Москве и в Ленинградском аэроклубе.</w:t>
      </w:r>
    </w:p>
    <w:p w14:paraId="56A36C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Выполнить решение в полном объёме не успели по разным причинам. Школам и училищам ВВС не хватало машин более современных типов, Осоавиахим не рвался принимать изношенные истребители, многие из которых числились годными только на бумаге. Поэтому много самолётов хранилось в консервации (11997).</w:t>
      </w:r>
    </w:p>
    <w:p w14:paraId="567E0E6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FA5B42" w14:textId="77777777" w:rsidR="00A25AD1" w:rsidRPr="00DB5D0D" w:rsidRDefault="00A25AD1" w:rsidP="00DB5D0D">
      <w:pPr>
        <w:pStyle w:val="a3"/>
        <w:rPr>
          <w:color w:val="000000" w:themeColor="text1"/>
          <w:lang w:val="ru-RU"/>
        </w:rPr>
      </w:pPr>
      <w:r w:rsidRPr="00DB5D0D">
        <w:rPr>
          <w:color w:val="000000" w:themeColor="text1"/>
          <w:lang w:val="ru-RU"/>
        </w:rPr>
        <w:t>К 1 июня 1940 количество остававшихся машин Р-5 вдвое пре</w:t>
      </w:r>
      <w:r w:rsidRPr="00DB5D0D">
        <w:rPr>
          <w:color w:val="000000" w:themeColor="text1"/>
          <w:lang w:val="ru-RU"/>
        </w:rPr>
        <w:softHyphen/>
        <w:t>вышало плановое. С учетом школ общий итог выглядел еще более внушительным. На 25 сентября в ВВС числились 2445 Р-5, хотя летать были способны только 1631. В морской авиации оставалось еще 1237 Р-5 (11936).</w:t>
      </w:r>
    </w:p>
    <w:p w14:paraId="6B8BB968" w14:textId="77777777" w:rsidR="00A25AD1" w:rsidRPr="00DB5D0D" w:rsidRDefault="00A25AD1" w:rsidP="00DB5D0D">
      <w:pPr>
        <w:pStyle w:val="11a"/>
        <w:shd w:val="clear" w:color="auto" w:fill="auto"/>
        <w:spacing w:after="0" w:line="240" w:lineRule="auto"/>
        <w:jc w:val="both"/>
        <w:rPr>
          <w:rFonts w:ascii="Times New Roman" w:hAnsi="Times New Roman" w:cs="Times New Roman"/>
          <w:b w:val="0"/>
          <w:noProof w:val="0"/>
          <w:color w:val="000000" w:themeColor="text1"/>
          <w:sz w:val="16"/>
          <w:szCs w:val="16"/>
          <w:lang w:val="ru-RU"/>
        </w:rPr>
      </w:pPr>
    </w:p>
    <w:p w14:paraId="6A54C1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июня 1940 года ВВС РККА имели всего 11 самолетов ПС-84 (возможно, в это число включены и импортные ДС-3) (Мельтюхов М.И. Упущенный шанс Сталина. С. 539.). Авиация флота имела к октябрю 1940 года 4 машины этого типа (РГАВМФ. Ф. Р-61. Оп. 4. Д. 493. Л. 17 об. - 18.). Заявка ВВС ВМФ на 1941 год составляла 50 ПС-84 (проходивших под обозначением ДС-3 М-62 ИР), но Комитет Обороны санкционировал поставку лишь 14 из них (РГАВМФ. Ф. Р-61. Оп. 4. Д. 491. Л. 22 об.). По данным В. Р. Котельникова, на 22 июня 1941 года ВВС РККА принадлежало 49 ПС-84,5 - авиации ВМФ, и еще несколько машин эксплуатировалось в НКВД (Котельников В.Р. От ОС-3 ДО Ли-2. С. 21.).</w:t>
      </w:r>
    </w:p>
    <w:p w14:paraId="508088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всех положительных моментах, связанных с ПС-84, отметим одно важное обстоятельство. Его выпуск в 1939 - 1940 годах составил всего 67 машин (из изготовленных авиапромом 817 транспортных всех типов). ПС-84 являлся практически единственным серийным транспортно-пасса-жирским самолетом (не считая модификаций У-2), который выпускался для советской авиации в 1939 - 1941 годах. Еще 100 таких самолетов только предполагалось изготовить в первой половине 1941 года, согласно Поста</w:t>
      </w:r>
      <w:r w:rsidRPr="00DB5D0D">
        <w:rPr>
          <w:rFonts w:ascii="Times New Roman" w:hAnsi="Times New Roman"/>
          <w:color w:val="000000" w:themeColor="text1"/>
          <w:sz w:val="16"/>
          <w:szCs w:val="16"/>
        </w:rPr>
        <w:softHyphen/>
        <w:t>новлению СНК СССР и ЦК ВКП(б) № 24б6-109бсс от 7 декабря 1940 года. Между тем в Германии только в 1939 году было изготовлено для люфтваф</w:t>
      </w:r>
      <w:r w:rsidRPr="00DB5D0D">
        <w:rPr>
          <w:rFonts w:ascii="Times New Roman" w:hAnsi="Times New Roman"/>
          <w:color w:val="000000" w:themeColor="text1"/>
          <w:sz w:val="16"/>
          <w:szCs w:val="16"/>
        </w:rPr>
        <w:softHyphen/>
        <w:t>фе 400 надежных трехмоторных транспортных самолетов «Юнкерс-52», а в течение 1936 - 1938 годов средний объем ежегодных поставок составлял 300 машин. Но даже с таким количеством транспортных самолетов люф</w:t>
      </w:r>
      <w:r w:rsidRPr="00DB5D0D">
        <w:rPr>
          <w:rFonts w:ascii="Times New Roman" w:hAnsi="Times New Roman"/>
          <w:color w:val="000000" w:themeColor="text1"/>
          <w:sz w:val="16"/>
          <w:szCs w:val="16"/>
        </w:rPr>
        <w:softHyphen/>
        <w:t>тваффе вскоре оказались в тяжелом положении. Если к началу Второй ми</w:t>
      </w:r>
      <w:r w:rsidRPr="00DB5D0D">
        <w:rPr>
          <w:rFonts w:ascii="Times New Roman" w:hAnsi="Times New Roman"/>
          <w:color w:val="000000" w:themeColor="text1"/>
          <w:sz w:val="16"/>
          <w:szCs w:val="16"/>
        </w:rPr>
        <w:softHyphen/>
        <w:t>ровой войны они располагали 552 «Юнкерс-52», то уже в боях на Западе в первой половине 1940 года потери составили 214 машин и для восстанов</w:t>
      </w:r>
      <w:r w:rsidRPr="00DB5D0D">
        <w:rPr>
          <w:rFonts w:ascii="Times New Roman" w:hAnsi="Times New Roman"/>
          <w:color w:val="000000" w:themeColor="text1"/>
          <w:sz w:val="16"/>
          <w:szCs w:val="16"/>
        </w:rPr>
        <w:softHyphen/>
        <w:t>ления только этих потерь требовалось полгода работы авиапромышлен</w:t>
      </w:r>
      <w:r w:rsidRPr="00DB5D0D">
        <w:rPr>
          <w:rFonts w:ascii="Times New Roman" w:hAnsi="Times New Roman"/>
          <w:color w:val="000000" w:themeColor="text1"/>
          <w:sz w:val="16"/>
          <w:szCs w:val="16"/>
        </w:rPr>
        <w:softHyphen/>
        <w:t>ности, которая смогла выпустить в 1940 году 401 самолет этого типа. А Советский Союз еще в 1941 году только лишь приближался к подобному темпу производства современной транспортной авиации (Степанов А.С. Гражданская авиация СССР — важный резерв РККА накануне Великой Отечественной войны // Чтения по военной истории: Сборник статей. СПб, 2005. С. 443.).</w:t>
      </w:r>
    </w:p>
    <w:p w14:paraId="6DFC3F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началом войны в течение второй половины 1941 года ГУГВФ, пере</w:t>
      </w:r>
      <w:r w:rsidRPr="00DB5D0D">
        <w:rPr>
          <w:rFonts w:ascii="Times New Roman" w:hAnsi="Times New Roman"/>
          <w:color w:val="000000" w:themeColor="text1"/>
          <w:sz w:val="16"/>
          <w:szCs w:val="16"/>
        </w:rPr>
        <w:softHyphen/>
        <w:t>давшему в особые подразделения практически весь свой наличный парк ПС-84, удалось задействовать в интересах фронта в общей сложности лишь около 170 ПС-84 (с учетом поступления их от промышленности). А потери только за первые четыре с небольшим месяца с начала войны (на 1 ноября 1941 года) составили 57 машин этого типа (РГАЭ.Ф.9527.Д. 1724. Л. 17,21.) (11710,447).</w:t>
      </w:r>
    </w:p>
    <w:p w14:paraId="010B21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316AE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июня 1940 г. только в составе военно-воздушных сил числилось три с половиной тысячи У-2, из которых 790 было неисправно. Гарантийный срок службы до первого ремонта составлял 500 часов (12049).</w:t>
      </w:r>
    </w:p>
    <w:p w14:paraId="381E27E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7ED3EC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638DBAC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F4302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Разведданные на 1 июня 1940 года снизили цифры авиации Румынии до 658 боевых и 500 вспомогательных самолетов. Имелись и другие дан</w:t>
      </w:r>
      <w:r w:rsidRPr="00DB5D0D">
        <w:rPr>
          <w:rFonts w:ascii="Times New Roman" w:hAnsi="Times New Roman"/>
          <w:color w:val="000000" w:themeColor="text1"/>
          <w:sz w:val="16"/>
          <w:szCs w:val="16"/>
        </w:rPr>
        <w:softHyphen/>
        <w:t>ные, согласно которым в ВВС Румынии насчитывалось 1150 самолетов, в том числе в сухопутной авиации - 520, учебных - 335, в резерве - 120, прочих - 226 (Мельтюхов М. Освободительный поход Сталина. Бессарабский вопрос в советско-румынских отношениях (1917 - 1940 годы). М., 2006. С. 269-270,495.). В распоряжении разведслужб флота имелись несколько меньшие цифры — 1061 машина (с учетом вновь поступивших). Но все-таки и эти оценки авиации Румынии, содержащиеся в деле «Материалы о ВВС и ПВО Японии, Турции, Румынии, Германии, Италии, Англии (развед</w:t>
      </w:r>
      <w:r w:rsidRPr="00DB5D0D">
        <w:rPr>
          <w:rFonts w:ascii="Times New Roman" w:hAnsi="Times New Roman"/>
          <w:color w:val="000000" w:themeColor="text1"/>
          <w:sz w:val="16"/>
          <w:szCs w:val="16"/>
        </w:rPr>
        <w:softHyphen/>
        <w:t>сводки, схемы, тактико-технические данные самолетов)», обнаруживали тенденцию к явному завышению сил потенциального противника (РГАВМФ.Ф.Р-1877.Оп. 1,Д. 142. Л. 23). На самом же деле реальная их численность была значительно ниже: так, к сентябрю 1940 года, то есть тремя месяцами спустя после Бессарабского кризиса ВВС Румынии имели всего 276 боевых самолетов, и еще 440 на</w:t>
      </w:r>
      <w:r w:rsidRPr="00DB5D0D">
        <w:rPr>
          <w:rFonts w:ascii="Times New Roman" w:hAnsi="Times New Roman"/>
          <w:color w:val="000000" w:themeColor="text1"/>
          <w:sz w:val="16"/>
          <w:szCs w:val="16"/>
        </w:rPr>
        <w:softHyphen/>
        <w:t>ходились в летных школах и центрах подготовки (Жирохов М., СтратулатА По сигналу «Ардялул». Румынская авиация 22 июня 1941 года. С. 54.) (11710,415).</w:t>
      </w:r>
    </w:p>
    <w:p w14:paraId="58B7D7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FD2870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A93600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2D8AF43" w14:textId="3590BAD4" w:rsidR="001C296F" w:rsidRPr="00DB5D0D" w:rsidRDefault="001C29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 июня</w:t>
      </w:r>
      <w:r w:rsidRPr="00DB5D0D">
        <w:rPr>
          <w:rFonts w:ascii="Times New Roman" w:hAnsi="Times New Roman"/>
          <w:color w:val="000000" w:themeColor="text1"/>
          <w:sz w:val="16"/>
          <w:szCs w:val="16"/>
        </w:rPr>
        <w:t xml:space="preserve"> в 1940 году французский дальний бомбардировщик </w:t>
      </w:r>
      <w:hyperlink r:id="rId95" w:tgtFrame="_blank" w:history="1">
        <w:r w:rsidRPr="00DB5D0D">
          <w:rPr>
            <w:rFonts w:ascii="Times New Roman" w:hAnsi="Times New Roman"/>
            <w:color w:val="000000" w:themeColor="text1"/>
            <w:sz w:val="16"/>
            <w:szCs w:val="16"/>
          </w:rPr>
          <w:t xml:space="preserve">«MB.162-01» </w:t>
        </w:r>
      </w:hyperlink>
      <w:r w:rsidRPr="00DB5D0D">
        <w:rPr>
          <w:rFonts w:ascii="Times New Roman" w:hAnsi="Times New Roman"/>
          <w:color w:val="000000" w:themeColor="text1"/>
          <w:sz w:val="16"/>
          <w:szCs w:val="16"/>
        </w:rPr>
        <w:t>впервые поднялся в воздух, когда немецкие войска приблизились к Виллакублэ. Самолет окончательно собрали в Виллакублэ только весной 1940 года. «MB. 162» имел цельнометаллическую конструкцию. Силовой набор крыла был типичен для фирмы "Блок": два лонжерона, связанные наклонными стержнями, образовывали работающую на кручение коробку; носок и законцовки являлись отъемными. У задней кромки подвешивались щитки, приводимые в действие гидросистемой. Крыло делилось на четыре части и обшивалось листами "ведаля". Бензобаки размещались между главными лонжеронами. Максимальный запас горючего равнялся 6500 л, распределенных между восемью баками. Фюзеляж представлял из себя цельнометаллический монокок. Экипаж из пяти человек состоял из двух пилотов, штурмана-бомбардира, стрелка-радиста и верхнего стрелка. Основные стойки шасси убирались вперед по полету во внутренние мотогондолы и частично закрывались каждая двумя створками. Оборонительное вооружение было примечательно тем, что в его состав входила 20-мм пушка на механизированной верхней турели, такая же пушка плюс 7,5-мм пулемет в нижней установке (тоже механизированной) и еще один 7,5-мм пулемет в самом носу у штурмана-бомбардира (14909).</w:t>
      </w:r>
    </w:p>
    <w:p w14:paraId="3DC85D54" w14:textId="77777777" w:rsidR="001C296F" w:rsidRPr="00DB5D0D" w:rsidRDefault="001C296F" w:rsidP="00DB5D0D">
      <w:pPr>
        <w:spacing w:after="0" w:line="240" w:lineRule="auto"/>
        <w:jc w:val="both"/>
        <w:rPr>
          <w:rFonts w:ascii="Times New Roman" w:hAnsi="Times New Roman"/>
          <w:color w:val="000000" w:themeColor="text1"/>
          <w:sz w:val="16"/>
          <w:szCs w:val="16"/>
        </w:rPr>
      </w:pPr>
    </w:p>
    <w:p w14:paraId="4AB13E0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1 июня 1940 Франция лишила бельгийского короля Леопольда ордена Почетного легиона за капитуляцию Бельгиинемцам</w:t>
      </w:r>
      <w:r w:rsidRPr="00DB5D0D">
        <w:rPr>
          <w:rFonts w:ascii="Times New Roman" w:hAnsi="Times New Roman"/>
          <w:color w:val="000000" w:themeColor="text1"/>
          <w:sz w:val="16"/>
          <w:szCs w:val="16"/>
          <w:lang w:val="en-US"/>
        </w:rPr>
        <w:t xml:space="preserve"> (4962).</w:t>
      </w:r>
    </w:p>
    <w:p w14:paraId="0CA461B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lang w:val="en-US"/>
        </w:rPr>
      </w:pPr>
    </w:p>
    <w:p w14:paraId="1945698C"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1st, 1940: In the West, the evacuation of the British Expeditionary Force from Dunkirk continues, with another 64,400 men taken off the beaches. The British destroyers Keith, Basilisk and Havant and the transport Scotia are sunk by Luftwaffe dive bombers (3819).</w:t>
      </w:r>
    </w:p>
    <w:p w14:paraId="16EEDEF4"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64EBE7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продолжилась эвакуация из Дюнкерка и было эвакуировано еще 64 тыс. чел. Два английских эсминца и транспорт были потоплены немецкой авиацией (3819).</w:t>
      </w:r>
    </w:p>
    <w:p w14:paraId="492B167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091B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r w:rsidRPr="00DB5D0D">
        <w:rPr>
          <w:rFonts w:ascii="Times New Roman" w:hAnsi="Times New Roman"/>
          <w:color w:val="000000" w:themeColor="text1"/>
          <w:sz w:val="16"/>
          <w:szCs w:val="16"/>
          <w:lang w:val="en-US"/>
        </w:rPr>
        <w:t>June</w:t>
      </w:r>
      <w:r w:rsidRPr="00DB5D0D">
        <w:rPr>
          <w:rFonts w:ascii="Times New Roman" w:hAnsi="Times New Roman"/>
          <w:color w:val="000000" w:themeColor="text1"/>
          <w:sz w:val="16"/>
          <w:szCs w:val="16"/>
        </w:rPr>
        <w:t xml:space="preserve"> 1940 </w:t>
      </w:r>
      <w:r w:rsidRPr="00DB5D0D">
        <w:rPr>
          <w:rFonts w:ascii="Times New Roman" w:hAnsi="Times New Roman"/>
          <w:color w:val="000000" w:themeColor="text1"/>
          <w:sz w:val="16"/>
          <w:szCs w:val="16"/>
          <w:lang w:val="en-US"/>
        </w:rPr>
        <w:t>MorebombingraidsonEngland</w:t>
      </w:r>
      <w:r w:rsidRPr="00DB5D0D">
        <w:rPr>
          <w:rFonts w:ascii="Times New Roman" w:hAnsi="Times New Roman"/>
          <w:color w:val="000000" w:themeColor="text1"/>
          <w:sz w:val="16"/>
          <w:szCs w:val="16"/>
        </w:rPr>
        <w:t xml:space="preserve"> (270).</w:t>
      </w:r>
    </w:p>
    <w:p w14:paraId="1978D81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0746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усилились бомбардировки Англии (270).</w:t>
      </w:r>
    </w:p>
    <w:p w14:paraId="4E19E39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23CC08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FB3602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F7D63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 состоялось совещание по дефектам на самолете ББ-1 М-88 выпуска завода N 135</w:t>
      </w:r>
    </w:p>
    <w:p w14:paraId="28597F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 зам. наркома НКАП Воронина....</w:t>
      </w:r>
    </w:p>
    <w:p w14:paraId="0C6F3C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w:t>
      </w:r>
    </w:p>
    <w:p w14:paraId="227D66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возможным производить сдачу и прием самолетов ББ-1 с М-88 в части ВВС для изучения, подготовки летного состава и выявления дефектов в ходе их эксплуатации.</w:t>
      </w:r>
    </w:p>
    <w:p w14:paraId="3FC12D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N 135 совместно с НИИ ГУАС разработать к 15 июня с.г. инструкцию по эксплуатации самолета с указанием ограничений при непрерывном наборе высоты.</w:t>
      </w:r>
    </w:p>
    <w:p w14:paraId="70FBA8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Обязать завод N 135 (директор Карпов):</w:t>
      </w:r>
    </w:p>
    <w:p w14:paraId="01885C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довести винтомоторную группу самолета по температурным режимам к 1 июля 1940 года.</w:t>
      </w:r>
    </w:p>
    <w:p w14:paraId="6760D0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Закончить совместно с НИИ ГУАС летные испытания самолета ББ-1 с М-88с доведенной винтомоторной группой к 10 июля 1940 г.</w:t>
      </w:r>
    </w:p>
    <w:p w14:paraId="0839FB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Выходящие из производства завода N 135 самолеты принимать до 10 июля 1940 г. с ограничением набора высоты до 500 м при условии нормальных температурных режимов на подъеме.</w:t>
      </w:r>
    </w:p>
    <w:p w14:paraId="337B69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июля 1940 г. ББ-1 М-88 должны передаваться частям ВВС только с полностью доведенной по температурным режимам винтомоторной группой.</w:t>
      </w:r>
    </w:p>
    <w:p w14:paraId="208017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 1 сентября 1940 г. произвести доводку винтомоторной группы на всех ранее выпушенных самолетах, находящихся в частях ВВС.</w:t>
      </w:r>
    </w:p>
    <w:p w14:paraId="6D1296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Немедленно оборудовать все самолеты ББ-1, находяшиеся на войсковых испытаниях замками на шасси по образцу, разработанному заводом и до 10 июня 1940 г. произвести испытание замка шасси на заводе, сделав для этого не менее 100 посадок.</w:t>
      </w:r>
    </w:p>
    <w:p w14:paraId="7D1F5A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получении удовлетворительных результатов, оборудовать замками на шасси до 20 июня 1940 г. все ранее выпушенные самолеты.</w:t>
      </w:r>
    </w:p>
    <w:p w14:paraId="36D476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К 1 июня 1940 г. предъявить на испытание 2 самолета ББ-1 с М-88, оборудованных установками заполнения бензобаков нейтральным газом (из баллона и отработанными газами) (3444,14-16).</w:t>
      </w:r>
    </w:p>
    <w:p w14:paraId="0FDE5E5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D59DC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 вышел приказ НИИ ВВС № 0100</w:t>
      </w:r>
    </w:p>
    <w:p w14:paraId="7E1285E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самолета ДБ3Ф 2М88 за № 390204 с модифицированными стрелковыми установками МВ-2 и МВ-3 (6891, 205).</w:t>
      </w:r>
    </w:p>
    <w:p w14:paraId="27A8BC8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F54477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 вышел приказ НИИ ВВС № 0101</w:t>
      </w:r>
    </w:p>
    <w:p w14:paraId="2F45F58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 пикирование самолета ДБ3Ф-2М87 с ВИШ-23 за № 390612, проводимых заводом № 39 с участием НИИ ГУАС (6891, 208).</w:t>
      </w:r>
    </w:p>
    <w:p w14:paraId="29E8DAF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525F6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вышел приказ НКАП N 247c, согласно которому (403,31):</w:t>
      </w:r>
    </w:p>
    <w:p w14:paraId="7C6B77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получения исчерпывающих характеристик винтомоторной группы самолета ДБ-3Ф с моторами М-88 и для разработки необходимых мероприятий на по ее окончательной доводке - ПРИКАЗЫВАЮ:</w:t>
      </w:r>
    </w:p>
    <w:p w14:paraId="41CAF9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Параграф 1</w:t>
      </w:r>
    </w:p>
    <w:p w14:paraId="22D7DA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Провести в ЦАГИ-Раменском специальные летные испытания винтомоторной группы самолета ДБ-3Ф.</w:t>
      </w:r>
    </w:p>
    <w:p w14:paraId="4DDF82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Закончить испытания и дать заключение с перечнем необходимых мероприятий к 19 июня 1940..." (403,31).</w:t>
      </w:r>
    </w:p>
    <w:p w14:paraId="129EA5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Для проведения испытаний, обработки материалов и раз</w:t>
      </w:r>
      <w:r w:rsidRPr="00DB5D0D">
        <w:rPr>
          <w:rFonts w:ascii="Times New Roman" w:hAnsi="Times New Roman"/>
          <w:color w:val="000000" w:themeColor="text1"/>
          <w:sz w:val="16"/>
          <w:szCs w:val="16"/>
        </w:rPr>
        <w:softHyphen/>
        <w:t>работки необходимых мероприятий выделить специальную группу под руководством Зам. Начальнмка ЦАГИ тов. ПОЛИКОВСКОГО.</w:t>
      </w:r>
    </w:p>
    <w:p w14:paraId="6B4769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 ходе выполнения работы не реже одного раза в шести</w:t>
      </w:r>
      <w:r w:rsidRPr="00DB5D0D">
        <w:rPr>
          <w:rFonts w:ascii="Times New Roman" w:hAnsi="Times New Roman"/>
          <w:color w:val="000000" w:themeColor="text1"/>
          <w:sz w:val="16"/>
          <w:szCs w:val="16"/>
        </w:rPr>
        <w:softHyphen/>
        <w:t>дневку тов. ПОЛИКОВСКОМУ докладывать моему Заместителю тов. ВОРОНИНУ.</w:t>
      </w:r>
    </w:p>
    <w:p w14:paraId="2DB259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w:t>
      </w:r>
    </w:p>
    <w:p w14:paraId="2E14EC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Заводу № 39 передать в ЦАГИ не позднее 1-го июня 1940 года для прохождения испытаний два самолета ДБ-ЗФ с экипажем и прикрепить к ЦАГИ на время испытаний лётчика-испытателя тов. ФЕДОРОВА Н.К.</w:t>
      </w:r>
    </w:p>
    <w:p w14:paraId="73B7E3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Прикрепить к ЦАГИ на время испытаний ведущего инженера завода.</w:t>
      </w:r>
    </w:p>
    <w:p w14:paraId="70AE3B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Обеспечить своевременное проведение всех необходи</w:t>
      </w:r>
      <w:r w:rsidRPr="00DB5D0D">
        <w:rPr>
          <w:rFonts w:ascii="Times New Roman" w:hAnsi="Times New Roman"/>
          <w:color w:val="000000" w:themeColor="text1"/>
          <w:sz w:val="16"/>
          <w:szCs w:val="16"/>
        </w:rPr>
        <w:softHyphen/>
        <w:t>мых доводочных работ и работ по подготовке самолета к испы танию.</w:t>
      </w:r>
    </w:p>
    <w:p w14:paraId="6728CF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w:t>
      </w:r>
    </w:p>
    <w:p w14:paraId="23B9DE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Заводам №№ 29 и 34 прикрепить к ЦАГИ с 1-го июня 1940 года ведущих инженеров по проведению указанных испытаний и обеспечить своевременное проведение доводочных работ и работ по подготовке винтомоторной группы к испытаниям в части моторов и радиаторных установок.</w:t>
      </w:r>
    </w:p>
    <w:p w14:paraId="2CA8B9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w:t>
      </w:r>
    </w:p>
    <w:p w14:paraId="5FE9F9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ЦИАМ тов. КАШИРИНУ прикрепить к ЦАГИ на вре</w:t>
      </w:r>
      <w:r w:rsidRPr="00DB5D0D">
        <w:rPr>
          <w:rFonts w:ascii="Times New Roman" w:hAnsi="Times New Roman"/>
          <w:color w:val="000000" w:themeColor="text1"/>
          <w:sz w:val="16"/>
          <w:szCs w:val="16"/>
        </w:rPr>
        <w:softHyphen/>
        <w:t>мя испытаний группу работников ЦИАМ, предоставив в ее распоряжение необходимую испытательную аппаратуру.</w:t>
      </w:r>
    </w:p>
    <w:p w14:paraId="2E20F0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Оплату всех работ по проведенным летным испытаниям винтомоторных групп самолетов ДБ-ЗФ произвести за счет за</w:t>
      </w:r>
      <w:r w:rsidRPr="00DB5D0D">
        <w:rPr>
          <w:rFonts w:ascii="Times New Roman" w:hAnsi="Times New Roman"/>
          <w:color w:val="000000" w:themeColor="text1"/>
          <w:sz w:val="16"/>
          <w:szCs w:val="16"/>
        </w:rPr>
        <w:softHyphen/>
        <w:t>водов № 39 и 29 на равных началах.</w:t>
      </w:r>
    </w:p>
    <w:p w14:paraId="40AA21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Авиационной Промышленности (403,31).</w:t>
      </w:r>
    </w:p>
    <w:p w14:paraId="59DB8A7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5C11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из-за падения давления масла произошла авария СПБ N3/1 и М.А.Липкин попробовал сесть с выключенным двигателем, но не дотянул до ВПП и задел стабилизатором винт СБ, вновь подлетел на 60 м и упал (1759,8).</w:t>
      </w:r>
    </w:p>
    <w:p w14:paraId="251881F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3FB7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 произошла авария самолета СПБ опытной серии № 3/1.</w:t>
      </w:r>
    </w:p>
    <w:p w14:paraId="7F81CF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заявлению экипажа (кроме летчика-испытателя М.А.Липкина, в составе экипажа были заместитель начальника техбюро А. А. Розенфельд и ведущий инженер техбюро А.И.Зеленко) в ходе проведения испытаний на высоте 2000 м левый мотор давал перебои и затем остановился.</w:t>
      </w:r>
    </w:p>
    <w:p w14:paraId="31FBBD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включения системы окольцевания моторы «разработались». Затем упало давление масла на правом моторе и он был выключен летчиком.</w:t>
      </w:r>
    </w:p>
    <w:p w14:paraId="21AA7E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находился в районе Химок. Липкин решил совершить посадку на одном моторе, вместо Центрального аэродрома, на аэродром завода №22, который имел весьма ограниченные размеры.</w:t>
      </w:r>
    </w:p>
    <w:p w14:paraId="24BB77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600 м. выпустил шасси, сделалразворот и пошел на планирование. На высоте 400 м выпустил щитки и пробовал дать газ левому мотору, но он «не забрал».</w:t>
      </w:r>
    </w:p>
    <w:p w14:paraId="46EC35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200 м убрал щитки (что нельзя было делать), до посадочной площадки он не дотянул, зацепил стабилизатором винт стоявшего на земле самолета СБ, потерял окончательно скорость и при падении подломал правую стойку шасси, после чего самолет взмыв вверх через 60 м зацепил землю правой плоскостью, развернулся на 180°, снес левую стойку шасси, костыльное колесо и радиатор правого мотора, лег на моторные отсеки и фюзеляж. Самолет требовал капитального ремонта (9649).</w:t>
      </w:r>
    </w:p>
    <w:p w14:paraId="6ED2BB1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5FDA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 Начальник ГУАС комдив Алексеев и Военком ГУАС бригадный комиссар Князев утвердили Отчет по испытанию упрощенной схемы воздушного тральщика на самолете Р-6</w:t>
      </w:r>
    </w:p>
    <w:p w14:paraId="695565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начаты 22 июня 1939 года</w:t>
      </w:r>
    </w:p>
    <w:p w14:paraId="0C230D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окончены 31 июля 1939 года</w:t>
      </w:r>
    </w:p>
    <w:p w14:paraId="37D658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35067D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капитан Гуров М.Д.</w:t>
      </w:r>
    </w:p>
    <w:p w14:paraId="5507B2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2 ранга Доброхотов Н.Д.</w:t>
      </w:r>
    </w:p>
    <w:p w14:paraId="234AEC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0C5031B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Изучение столкновения воздушного тральщика с тросами аэростатов заграждения при малом угле стрельчатости расположения лобовых тросов самолета (лобовые тросы натянуты сзади винтов от моторов к концам крыльев).</w:t>
      </w:r>
    </w:p>
    <w:p w14:paraId="7B8FB03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Изучение столкновения металлических винтов с тросами аэростатов заграждения на подлетах в условиях различной слабины троса в полете.</w:t>
      </w:r>
    </w:p>
    <w:p w14:paraId="52670D8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Замер нагрузок, действующих на конструкцию при столкновении (4433).</w:t>
      </w:r>
    </w:p>
    <w:p w14:paraId="568004F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84C0F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 Ворошилову.</w:t>
      </w:r>
    </w:p>
    <w:p w14:paraId="690777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(Лешуков) и НИИ (Филин) еще раз выехав на место производства самолета Грушина (МАИ), просмотрели этот самолет и его технологию и пришли к совместному выводу о целесообразности постройки 2-го экземпляра самолета Грушина по следующим соображениям:</w:t>
      </w:r>
    </w:p>
    <w:p w14:paraId="5E7A9A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Постройка второго экземпляра самолета на трехколесном шасси гарантирует получение более подробных данных о преимуществах трехколесного шасси...</w:t>
      </w:r>
    </w:p>
    <w:p w14:paraId="209556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Имеющийся на сегодняшний день одномоторный бомбардировщик конструкции Сухого ББ-1 по своим летным данным хуже, чем однотипный с ним самолет Грушина (за исключением вооружения).</w:t>
      </w:r>
    </w:p>
    <w:p w14:paraId="1C1BAA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tblGrid>
      <w:tr w:rsidR="007D5DF8" w:rsidRPr="00DB5D0D" w14:paraId="5D5961EE" w14:textId="77777777" w:rsidTr="009223E5">
        <w:tc>
          <w:tcPr>
            <w:tcW w:w="2874" w:type="dxa"/>
            <w:tcBorders>
              <w:top w:val="single" w:sz="12" w:space="0" w:color="auto"/>
            </w:tcBorders>
          </w:tcPr>
          <w:p w14:paraId="6C73449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Borders>
              <w:top w:val="single" w:sz="12" w:space="0" w:color="auto"/>
            </w:tcBorders>
          </w:tcPr>
          <w:p w14:paraId="1D1C67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ШБ-1 М-88</w:t>
            </w:r>
          </w:p>
        </w:tc>
        <w:tc>
          <w:tcPr>
            <w:tcW w:w="2874" w:type="dxa"/>
            <w:tcBorders>
              <w:top w:val="single" w:sz="12" w:space="0" w:color="auto"/>
            </w:tcBorders>
          </w:tcPr>
          <w:p w14:paraId="65C1F8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Грушина М-105</w:t>
            </w:r>
          </w:p>
        </w:tc>
      </w:tr>
      <w:tr w:rsidR="007D5DF8" w:rsidRPr="00DB5D0D" w14:paraId="71787CCB" w14:textId="77777777" w:rsidTr="009223E5">
        <w:tc>
          <w:tcPr>
            <w:tcW w:w="2874" w:type="dxa"/>
          </w:tcPr>
          <w:p w14:paraId="490ED4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w:t>
            </w:r>
          </w:p>
        </w:tc>
        <w:tc>
          <w:tcPr>
            <w:tcW w:w="2874" w:type="dxa"/>
          </w:tcPr>
          <w:p w14:paraId="58E918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 км/час</w:t>
            </w:r>
          </w:p>
        </w:tc>
        <w:tc>
          <w:tcPr>
            <w:tcW w:w="2874" w:type="dxa"/>
          </w:tcPr>
          <w:p w14:paraId="015694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 км/час</w:t>
            </w:r>
          </w:p>
        </w:tc>
      </w:tr>
      <w:tr w:rsidR="007D5DF8" w:rsidRPr="00DB5D0D" w14:paraId="733DC7B3" w14:textId="77777777" w:rsidTr="009223E5">
        <w:tc>
          <w:tcPr>
            <w:tcW w:w="2874" w:type="dxa"/>
          </w:tcPr>
          <w:p w14:paraId="36586B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расчетной</w:t>
            </w:r>
          </w:p>
        </w:tc>
        <w:tc>
          <w:tcPr>
            <w:tcW w:w="2874" w:type="dxa"/>
          </w:tcPr>
          <w:p w14:paraId="792CD78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Pr>
          <w:p w14:paraId="4854AB5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0296E67" w14:textId="77777777" w:rsidTr="009223E5">
        <w:tc>
          <w:tcPr>
            <w:tcW w:w="2874" w:type="dxa"/>
          </w:tcPr>
          <w:p w14:paraId="242306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высоте</w:t>
            </w:r>
          </w:p>
        </w:tc>
        <w:tc>
          <w:tcPr>
            <w:tcW w:w="2874" w:type="dxa"/>
          </w:tcPr>
          <w:p w14:paraId="6EBC58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км/час</w:t>
            </w:r>
          </w:p>
        </w:tc>
        <w:tc>
          <w:tcPr>
            <w:tcW w:w="2874" w:type="dxa"/>
          </w:tcPr>
          <w:p w14:paraId="4A9278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560 км/час</w:t>
            </w:r>
          </w:p>
        </w:tc>
      </w:tr>
      <w:tr w:rsidR="007D5DF8" w:rsidRPr="00DB5D0D" w14:paraId="2534CAEB" w14:textId="77777777" w:rsidTr="009223E5">
        <w:tc>
          <w:tcPr>
            <w:tcW w:w="2874" w:type="dxa"/>
          </w:tcPr>
          <w:p w14:paraId="007D6A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w:t>
            </w:r>
          </w:p>
        </w:tc>
        <w:tc>
          <w:tcPr>
            <w:tcW w:w="2874" w:type="dxa"/>
          </w:tcPr>
          <w:p w14:paraId="6659EEF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Pr>
          <w:p w14:paraId="2330E10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5FCA6C1" w14:textId="77777777" w:rsidTr="009223E5">
        <w:tc>
          <w:tcPr>
            <w:tcW w:w="2874" w:type="dxa"/>
          </w:tcPr>
          <w:p w14:paraId="75594D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скорости</w:t>
            </w:r>
          </w:p>
        </w:tc>
        <w:tc>
          <w:tcPr>
            <w:tcW w:w="2874" w:type="dxa"/>
          </w:tcPr>
          <w:p w14:paraId="7E0E30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 км</w:t>
            </w:r>
          </w:p>
        </w:tc>
        <w:tc>
          <w:tcPr>
            <w:tcW w:w="2874" w:type="dxa"/>
          </w:tcPr>
          <w:p w14:paraId="016EE2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 км</w:t>
            </w:r>
          </w:p>
        </w:tc>
      </w:tr>
      <w:tr w:rsidR="007D5DF8" w:rsidRPr="00DB5D0D" w14:paraId="772F3CAD" w14:textId="77777777" w:rsidTr="009223E5">
        <w:tc>
          <w:tcPr>
            <w:tcW w:w="2874" w:type="dxa"/>
          </w:tcPr>
          <w:p w14:paraId="189601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(нормальная)</w:t>
            </w:r>
          </w:p>
        </w:tc>
        <w:tc>
          <w:tcPr>
            <w:tcW w:w="2874" w:type="dxa"/>
          </w:tcPr>
          <w:p w14:paraId="4DD393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 кг</w:t>
            </w:r>
          </w:p>
        </w:tc>
        <w:tc>
          <w:tcPr>
            <w:tcW w:w="2874" w:type="dxa"/>
          </w:tcPr>
          <w:p w14:paraId="48E0E7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 кг</w:t>
            </w:r>
          </w:p>
        </w:tc>
      </w:tr>
      <w:tr w:rsidR="007D5DF8" w:rsidRPr="00DB5D0D" w14:paraId="4A8D8805" w14:textId="77777777" w:rsidTr="009223E5">
        <w:tc>
          <w:tcPr>
            <w:tcW w:w="2874" w:type="dxa"/>
          </w:tcPr>
          <w:p w14:paraId="6A37AC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Бомбовая нагрузка с перегрузкой</w:t>
            </w:r>
          </w:p>
        </w:tc>
        <w:tc>
          <w:tcPr>
            <w:tcW w:w="2874" w:type="dxa"/>
          </w:tcPr>
          <w:p w14:paraId="74D48F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 кг</w:t>
            </w:r>
          </w:p>
        </w:tc>
        <w:tc>
          <w:tcPr>
            <w:tcW w:w="2874" w:type="dxa"/>
          </w:tcPr>
          <w:p w14:paraId="199A2B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 кг</w:t>
            </w:r>
          </w:p>
        </w:tc>
      </w:tr>
      <w:tr w:rsidR="007D5DF8" w:rsidRPr="00DB5D0D" w14:paraId="77EB9E96" w14:textId="77777777" w:rsidTr="009223E5">
        <w:tc>
          <w:tcPr>
            <w:tcW w:w="2874" w:type="dxa"/>
            <w:tcBorders>
              <w:bottom w:val="single" w:sz="12" w:space="0" w:color="auto"/>
            </w:tcBorders>
          </w:tcPr>
          <w:p w14:paraId="32A7F9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2874" w:type="dxa"/>
            <w:tcBorders>
              <w:bottom w:val="single" w:sz="12" w:space="0" w:color="auto"/>
            </w:tcBorders>
          </w:tcPr>
          <w:p w14:paraId="712689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пулем.</w:t>
            </w:r>
          </w:p>
        </w:tc>
        <w:tc>
          <w:tcPr>
            <w:tcW w:w="2874" w:type="dxa"/>
            <w:tcBorders>
              <w:bottom w:val="single" w:sz="12" w:space="0" w:color="auto"/>
            </w:tcBorders>
          </w:tcPr>
          <w:p w14:paraId="6E6D73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пулем.</w:t>
            </w:r>
          </w:p>
        </w:tc>
      </w:tr>
    </w:tbl>
    <w:p w14:paraId="252FEB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Одномоторный бомбардировщик особенно необходим ввиду отставания нашей авиамоторной промышленности, которая тормозит выпумк дувхмоторных бомбардировщиков в нужном количестве. Там, где условия дальности позволят применить одномоторный бомбардировщик, три таких бомбардировщика по меньшей мере равноценны двум двухмоторным бомбардировщикам как в отношении бомбовой нагрузки, так и отношении их живучести. Кроме того, три одномоторных бомбардировщика можно сделать быстрее и дешевле, чем два двухмоторных.</w:t>
      </w:r>
    </w:p>
    <w:p w14:paraId="3A5E4C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Самолет Грушина довольно прост по своей технологии, фюзеляж и кессонные крылья изготовляются из более низкосортной, чем обычно фанеры. Расход алюминия на самолете сведен у минимуму.</w:t>
      </w:r>
    </w:p>
    <w:p w14:paraId="4EA22B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 самолете Грушина предусмотрена и возможна установка еще одного переднего синхронного пулемета, без каких-либо переделок в конструкции.</w:t>
      </w:r>
    </w:p>
    <w:p w14:paraId="3E5FF5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Возможна установка более мощного мотора типа АМ-37, чем скорость будет повышена до 600 км/час (3386).</w:t>
      </w:r>
    </w:p>
    <w:p w14:paraId="025475E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D3B201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 вышел приказ НИИ ВВС № 099</w:t>
      </w:r>
    </w:p>
    <w:p w14:paraId="6049F22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принятии на гос. испытания самолета И-26 М-105П (6891, 201).</w:t>
      </w:r>
    </w:p>
    <w:p w14:paraId="0FDBF27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3F1F5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И-26 М-105П ВИШ-61 А.С.Я. в ходе гос. испытаний, которые проходили с 1 по 15 июня 1940 выполнил 3 полета: для проверки машины л завода Корзинщиковым (0:10) и 2 для ознакомления л НИИ ВВС Николаевым. Погасла сигнализация шасси (0:26) и Николаев сделал 5-7 кругов, чтобы убедится, что шасси выпущено (2924).</w:t>
      </w:r>
    </w:p>
    <w:p w14:paraId="7456DA4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0061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вышел приказ НКАП N 253c "О мероприятиях по выполнению программы на 2 кв. 1940 по заводу 26". План по сдаче моторов М-105 за 4 месяца был выполнен только на 12.8% и за 29 дней мая - на 6% (403,82).</w:t>
      </w:r>
    </w:p>
    <w:p w14:paraId="00AE52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26 не выполнил основной задачи, поставленной правительством и партией, по серийному выпуску моторов М-105.</w:t>
      </w:r>
    </w:p>
    <w:p w14:paraId="3A9834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тем, что мотор М-105 прошел госиспытания с большим опозданием - только 19 апреля т.г., план по сдаче этих моторов за 4 месяца 1940 г. выполнен всего на 12,8% и за 29 дней мая - 6% от месячного плана.</w:t>
      </w:r>
    </w:p>
    <w:p w14:paraId="7C27EA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Руководство на заводе не обеспечило в установленные сроки доводку и внедренив серийное производство мотора М-120.</w:t>
      </w:r>
    </w:p>
    <w:p w14:paraId="225AC4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обеспечения быстрейшего перелома в работе повыпуску моторов М-105, ПРИКАЗЫВАЮ:</w:t>
      </w:r>
    </w:p>
    <w:p w14:paraId="0F38EF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w:t>
      </w:r>
    </w:p>
    <w:p w14:paraId="16451D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Директоу завода № 26 тов. Завитаеву:</w:t>
      </w:r>
    </w:p>
    <w:p w14:paraId="747F3F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Немедленно проанализировать работу всех узких мест производства и в кратчаший срок реализовать необходимые шаги по расшивке их.</w:t>
      </w:r>
    </w:p>
    <w:p w14:paraId="50C5D7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Организовать решительную борьбу за стопроцентное вы</w:t>
      </w:r>
      <w:r w:rsidRPr="00DB5D0D">
        <w:rPr>
          <w:rFonts w:ascii="Times New Roman" w:hAnsi="Times New Roman"/>
          <w:color w:val="000000" w:themeColor="text1"/>
          <w:sz w:val="16"/>
          <w:szCs w:val="16"/>
        </w:rPr>
        <w:softHyphen/>
        <w:t>полнение плана июня месяца по М-105, добившись также частичного покрытия недодела предыдущих месяцев.</w:t>
      </w:r>
    </w:p>
    <w:p w14:paraId="50E06B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w:t>
      </w:r>
    </w:p>
    <w:p w14:paraId="4C8F9E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Отдела Кооперированля НКАП тов. ФАРМАНЯНЦУ:</w:t>
      </w:r>
    </w:p>
    <w:p w14:paraId="3CB1CF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Принять решительные меры к обеспечению-завода № 26 магнето БСМ-12 и свечей СВ-08, поставляемых заводом АТЕ-1;</w:t>
      </w:r>
    </w:p>
    <w:p w14:paraId="0C78CD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w:t>
      </w:r>
    </w:p>
    <w:p w14:paraId="116153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4-го Главного Управ.л е ния тов. МИХАЙЛОВУ:</w:t>
      </w:r>
    </w:p>
    <w:p w14:paraId="5DCF6B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Принятъ меры к немедленному -обеспечению завода № 26 кондиционными карбюраторами К-105, а также к своевременной поставке других агрегатов с заводов №№ 20 и 33 (403,82).</w:t>
      </w:r>
    </w:p>
    <w:p w14:paraId="794D33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1B966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была подготовлена КРАТКАЯ ХАРАКТЕРИСТИКА САМОЛЕТА И-26 М-105П КОНСТРУКЦИИ ИНЖЕНЕРА ЯКОВЛЕВА ПРОИЗВОДСТВА ЗАВОДА № 115</w:t>
      </w:r>
    </w:p>
    <w:p w14:paraId="60AADB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Летные данные представленные в отчете по заводским испытаниям: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57123267" w14:textId="77777777" w:rsidTr="009223E5">
        <w:tc>
          <w:tcPr>
            <w:tcW w:w="5636" w:type="dxa"/>
            <w:tcBorders>
              <w:top w:val="single" w:sz="12" w:space="0" w:color="auto"/>
            </w:tcBorders>
            <w:shd w:val="clear" w:color="auto" w:fill="FFFFFF"/>
          </w:tcPr>
          <w:p w14:paraId="15B7CE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w:t>
            </w:r>
          </w:p>
        </w:tc>
        <w:tc>
          <w:tcPr>
            <w:tcW w:w="5636" w:type="dxa"/>
            <w:tcBorders>
              <w:top w:val="single" w:sz="12" w:space="0" w:color="auto"/>
            </w:tcBorders>
            <w:shd w:val="clear" w:color="auto" w:fill="FFFFFF"/>
          </w:tcPr>
          <w:p w14:paraId="477B0F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485 км/час</w:t>
            </w:r>
          </w:p>
        </w:tc>
      </w:tr>
      <w:tr w:rsidR="007D5DF8" w:rsidRPr="00DB5D0D" w14:paraId="1D4B3A2A" w14:textId="77777777" w:rsidTr="009223E5">
        <w:tc>
          <w:tcPr>
            <w:tcW w:w="5636" w:type="dxa"/>
            <w:shd w:val="clear" w:color="auto" w:fill="FFFFFF"/>
          </w:tcPr>
          <w:p w14:paraId="702480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Н=5000м</w:t>
            </w:r>
          </w:p>
        </w:tc>
        <w:tc>
          <w:tcPr>
            <w:tcW w:w="5636" w:type="dxa"/>
            <w:shd w:val="clear" w:color="auto" w:fill="FFFFFF"/>
          </w:tcPr>
          <w:p w14:paraId="436BE5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595</w:t>
            </w:r>
          </w:p>
        </w:tc>
      </w:tr>
      <w:tr w:rsidR="007D5DF8" w:rsidRPr="00DB5D0D" w14:paraId="7B1ACCAB" w14:textId="77777777" w:rsidTr="009223E5">
        <w:tc>
          <w:tcPr>
            <w:tcW w:w="5636" w:type="dxa"/>
            <w:shd w:val="clear" w:color="auto" w:fill="FFFFFF"/>
          </w:tcPr>
          <w:p w14:paraId="6A0330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w:t>
            </w:r>
          </w:p>
        </w:tc>
        <w:tc>
          <w:tcPr>
            <w:tcW w:w="5636" w:type="dxa"/>
            <w:shd w:val="clear" w:color="auto" w:fill="FFFFFF"/>
          </w:tcPr>
          <w:p w14:paraId="175A37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летал</w:t>
            </w:r>
          </w:p>
        </w:tc>
      </w:tr>
      <w:tr w:rsidR="007D5DF8" w:rsidRPr="00DB5D0D" w14:paraId="5DA6E4B8" w14:textId="77777777" w:rsidTr="009223E5">
        <w:tc>
          <w:tcPr>
            <w:tcW w:w="5636" w:type="dxa"/>
            <w:shd w:val="clear" w:color="auto" w:fill="FFFFFF"/>
          </w:tcPr>
          <w:p w14:paraId="4E2AB4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до Н=5000м.</w:t>
            </w:r>
          </w:p>
        </w:tc>
        <w:tc>
          <w:tcPr>
            <w:tcW w:w="5636" w:type="dxa"/>
            <w:shd w:val="clear" w:color="auto" w:fill="FFFFFF"/>
          </w:tcPr>
          <w:p w14:paraId="57511B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 мин.</w:t>
            </w:r>
          </w:p>
        </w:tc>
      </w:tr>
      <w:tr w:rsidR="007D5DF8" w:rsidRPr="00DB5D0D" w14:paraId="2C1FDF52" w14:textId="77777777" w:rsidTr="009223E5">
        <w:tc>
          <w:tcPr>
            <w:tcW w:w="5636" w:type="dxa"/>
            <w:shd w:val="clear" w:color="auto" w:fill="FFFFFF"/>
          </w:tcPr>
          <w:p w14:paraId="66A155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w:t>
            </w:r>
          </w:p>
        </w:tc>
        <w:tc>
          <w:tcPr>
            <w:tcW w:w="5636" w:type="dxa"/>
            <w:shd w:val="clear" w:color="auto" w:fill="FFFFFF"/>
          </w:tcPr>
          <w:p w14:paraId="564EE7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определял</w:t>
            </w:r>
          </w:p>
        </w:tc>
      </w:tr>
      <w:tr w:rsidR="007D5DF8" w:rsidRPr="00DB5D0D" w14:paraId="2F8AF762" w14:textId="77777777" w:rsidTr="009223E5">
        <w:tc>
          <w:tcPr>
            <w:tcW w:w="5636" w:type="dxa"/>
            <w:shd w:val="clear" w:color="auto" w:fill="FFFFFF"/>
          </w:tcPr>
          <w:p w14:paraId="5DC70E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w:t>
            </w:r>
          </w:p>
        </w:tc>
        <w:tc>
          <w:tcPr>
            <w:tcW w:w="5636" w:type="dxa"/>
            <w:shd w:val="clear" w:color="auto" w:fill="FFFFFF"/>
          </w:tcPr>
          <w:p w14:paraId="388709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 м</w:t>
            </w:r>
          </w:p>
        </w:tc>
      </w:tr>
      <w:tr w:rsidR="007D5DF8" w:rsidRPr="00DB5D0D" w14:paraId="494D0F17" w14:textId="77777777" w:rsidTr="009223E5">
        <w:tc>
          <w:tcPr>
            <w:tcW w:w="5636" w:type="dxa"/>
            <w:shd w:val="clear" w:color="auto" w:fill="FFFFFF"/>
          </w:tcPr>
          <w:p w14:paraId="014133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пробега</w:t>
            </w:r>
          </w:p>
        </w:tc>
        <w:tc>
          <w:tcPr>
            <w:tcW w:w="5636" w:type="dxa"/>
            <w:shd w:val="clear" w:color="auto" w:fill="FFFFFF"/>
          </w:tcPr>
          <w:p w14:paraId="3D6791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 м</w:t>
            </w:r>
          </w:p>
        </w:tc>
      </w:tr>
      <w:tr w:rsidR="007D5DF8" w:rsidRPr="00DB5D0D" w14:paraId="39740BD9" w14:textId="77777777" w:rsidTr="009223E5">
        <w:tc>
          <w:tcPr>
            <w:tcW w:w="5636" w:type="dxa"/>
            <w:shd w:val="clear" w:color="auto" w:fill="FFFFFF"/>
          </w:tcPr>
          <w:p w14:paraId="2C48B7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5636" w:type="dxa"/>
            <w:shd w:val="clear" w:color="auto" w:fill="FFFFFF"/>
          </w:tcPr>
          <w:p w14:paraId="7CC1FF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сек.</w:t>
            </w:r>
          </w:p>
        </w:tc>
      </w:tr>
      <w:tr w:rsidR="007D5DF8" w:rsidRPr="00DB5D0D" w14:paraId="263A7B5B" w14:textId="77777777" w:rsidTr="009223E5">
        <w:tc>
          <w:tcPr>
            <w:tcW w:w="5636" w:type="dxa"/>
            <w:shd w:val="clear" w:color="auto" w:fill="FFFFFF"/>
          </w:tcPr>
          <w:p w14:paraId="33F753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горючего на 0,9 максим.</w:t>
            </w:r>
          </w:p>
        </w:tc>
        <w:tc>
          <w:tcPr>
            <w:tcW w:w="5636" w:type="dxa"/>
            <w:shd w:val="clear" w:color="auto" w:fill="FFFFFF"/>
          </w:tcPr>
          <w:p w14:paraId="3255F2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час.</w:t>
            </w:r>
          </w:p>
        </w:tc>
      </w:tr>
      <w:tr w:rsidR="007D5DF8" w:rsidRPr="00DB5D0D" w14:paraId="24557D97" w14:textId="77777777" w:rsidTr="009223E5">
        <w:tc>
          <w:tcPr>
            <w:tcW w:w="5636" w:type="dxa"/>
            <w:tcBorders>
              <w:bottom w:val="single" w:sz="12" w:space="0" w:color="auto"/>
            </w:tcBorders>
            <w:shd w:val="clear" w:color="auto" w:fill="FFFFFF"/>
          </w:tcPr>
          <w:p w14:paraId="2C9B15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w:t>
            </w:r>
          </w:p>
        </w:tc>
        <w:tc>
          <w:tcPr>
            <w:tcW w:w="5636" w:type="dxa"/>
            <w:tcBorders>
              <w:bottom w:val="single" w:sz="12" w:space="0" w:color="auto"/>
            </w:tcBorders>
            <w:shd w:val="clear" w:color="auto" w:fill="FFFFFF"/>
          </w:tcPr>
          <w:p w14:paraId="5488EF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24-25,1 сек.</w:t>
            </w:r>
          </w:p>
        </w:tc>
      </w:tr>
    </w:tbl>
    <w:p w14:paraId="7EBFD9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Заводом величины максимальных скоростей определены недостаточно полно, в результате чего величины скоростей в действятельности могут быть меньше.</w:t>
      </w:r>
    </w:p>
    <w:p w14:paraId="210DC6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Оценка летных свойств.</w:t>
      </w:r>
    </w:p>
    <w:p w14:paraId="288B50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Уравляемость самолета хорошая. Продольная устойчивость</w:t>
      </w:r>
      <w:r w:rsidRPr="00DB5D0D">
        <w:rPr>
          <w:rFonts w:ascii="Times New Roman" w:hAnsi="Times New Roman"/>
          <w:smallCaps/>
          <w:color w:val="000000" w:themeColor="text1"/>
          <w:sz w:val="16"/>
          <w:szCs w:val="16"/>
        </w:rPr>
        <w:t xml:space="preserve"> -</w:t>
      </w:r>
      <w:r w:rsidRPr="00DB5D0D">
        <w:rPr>
          <w:rFonts w:ascii="Times New Roman" w:hAnsi="Times New Roman"/>
          <w:color w:val="000000" w:themeColor="text1"/>
          <w:sz w:val="16"/>
          <w:szCs w:val="16"/>
        </w:rPr>
        <w:t xml:space="preserve"> достаточна, устойчивость пути - нейтральна, поперечная устойчивость "близка к нейтральной". Обзор самолета вперед недостаточен, назад - удовлетворителен. Пилотаж вследствие, недостаточной прочности крыла (67%) произведен не полностью, не выполняли бочки, иммельман.</w:t>
      </w:r>
    </w:p>
    <w:p w14:paraId="0393C2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Характеристика я состояние вооружения</w:t>
      </w:r>
    </w:p>
    <w:p w14:paraId="56A915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вооружен одной пушкой "Швак" 20 мм с запасом патронов 120 шт. и двумя пулеметами Швак калибром 12,7 мм с запасом патронов по 420 шт. на пулемет. Вооружение недоведено, установка не жесткая, при стрельбе имеется большая вибрация, в результате чего простреливают охлаждающие трубы. Запас патронов очень мал.</w:t>
      </w:r>
    </w:p>
    <w:p w14:paraId="2FAD73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Оценка эксплоатационных свойств.</w:t>
      </w:r>
    </w:p>
    <w:p w14:paraId="2C2E4F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имеет много эксплоатационных недостатков: крыло неразрезное, при монтаже и сборке самолета требуется наличие средств механизации - подъемного крана и специаль</w:t>
      </w:r>
      <w:r w:rsidRPr="00DB5D0D">
        <w:rPr>
          <w:rFonts w:ascii="Times New Roman" w:hAnsi="Times New Roman"/>
          <w:color w:val="000000" w:themeColor="text1"/>
          <w:sz w:val="16"/>
          <w:szCs w:val="16"/>
        </w:rPr>
        <w:softHyphen/>
        <w:t>ных козелков для крыльев и фюзеляжа. При транспортировке требуют специального ложного шасси.</w:t>
      </w:r>
    </w:p>
    <w:p w14:paraId="07BD45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разрезное крыло и моторная рама представляющая одно целое с фюзеляжем сильно осложняют ремонт самолета. Не отъемная моторама усложняет и удлиняет срок по съемке и установке мотора. Длительная заправка горючего (10-12 м). Не обеспечен полный слив из маслосистемы. Плохие подходы к задку мотора и маслобака. Моторные ка поты крепятся свыше ста замками " Дзус", что удлинняет сроки заправки в подготовки самолета к полету. •</w:t>
      </w:r>
    </w:p>
    <w:p w14:paraId="0318DE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Материал конструкция</w:t>
      </w:r>
    </w:p>
    <w:p w14:paraId="6C1B2A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самолета деревянное не разрезное, фюзеляж металлический сварной из хромансилевых труб вместе _с моторамой. Обшивка фюзеляжа полотнянная. Горизонтальное и вертикальное оперение деревянные. Рули и элероны дюралевые, обшитые полотном.</w:t>
      </w:r>
    </w:p>
    <w:p w14:paraId="69490E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Оценка технологии производства.</w:t>
      </w:r>
    </w:p>
    <w:p w14:paraId="32ABD8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имеются некоторые детали которые требуют большого расхода металла и осложняется обработка их (так, например, полувилка колеса шасси и верхний узел крепления шасси невозможно обработать на станках - обра</w:t>
      </w:r>
      <w:r w:rsidRPr="00DB5D0D">
        <w:rPr>
          <w:rFonts w:ascii="Times New Roman" w:hAnsi="Times New Roman"/>
          <w:color w:val="000000" w:themeColor="text1"/>
          <w:sz w:val="16"/>
          <w:szCs w:val="16"/>
        </w:rPr>
        <w:softHyphen/>
        <w:t>батываются в ручную, что удорожает изготовление последих.</w:t>
      </w:r>
    </w:p>
    <w:p w14:paraId="05A00B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Заключеняе по статиспытаниям агрегатов самолета</w:t>
      </w:r>
    </w:p>
    <w:p w14:paraId="67D658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статиспытаниях самолета слабым местом оказался носок крыла, который выдержал 40% нагрузки, а после усиления - 67%.</w:t>
      </w:r>
    </w:p>
    <w:p w14:paraId="24FDF8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прочность самолета в связи с увеличением веса с 2300 кг до 2700 кг недостаточна, что составляет 11 кратный запас вместо 13, положенного по нормам прочности для истребителя.</w:t>
      </w:r>
    </w:p>
    <w:p w14:paraId="3E36A6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Ви2р Максимов (10514,36).</w:t>
      </w:r>
    </w:p>
    <w:p w14:paraId="5197A6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1D983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 Контрольном листе учета выполнения постановления КО СНК СССР № 105сс от 4 марта 1940 г. представителем КО СНК СССР - контролером Вахрушевым была сделана запись:</w:t>
      </w:r>
    </w:p>
    <w:p w14:paraId="50A93E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ЭОИ М-105 2 ТК</w:t>
      </w:r>
    </w:p>
    <w:p w14:paraId="07C41A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Готовность чертежей 85-90%. Запущено в производство на три экземпляра 2150 чертежей.</w:t>
      </w:r>
    </w:p>
    <w:p w14:paraId="0940F5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Задерживается продувка модели в ЦАГИ и изготовление стенда для статиспытаний (10395,36).</w:t>
      </w:r>
    </w:p>
    <w:p w14:paraId="1C0EA41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BA1D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 Контрольном листе учета выполнения постановления КО СНК СССР № 103сс от 4 марта 1940 г. представителем КО СНК СССР - контролером Вахрушевым была сделана запись:</w:t>
      </w:r>
    </w:p>
    <w:p w14:paraId="171865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И-200</w:t>
      </w:r>
    </w:p>
    <w:p w14:paraId="1DF6EA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заводские испытания закончены. Самолет подготавливается к госиспытаниям. Задержки из-за карбюратора к мотору М-105 (10395,33).</w:t>
      </w:r>
    </w:p>
    <w:p w14:paraId="2484635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E340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была подготовлена КРАТКАЯ ХАРАКТЕРИСТИКА САМОЛЕТА И-200 АМ-35А, КОНСТРУКЦИИ МИКОЯНА ПРОИЗВОДСТВА ЗАВОДА № 1.</w:t>
      </w:r>
    </w:p>
    <w:p w14:paraId="7A1EA3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Фактически полученные летные данные по заводским испытаниям: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7D5DF8" w:rsidRPr="00DB5D0D" w14:paraId="6898EF2A" w14:textId="77777777" w:rsidTr="009223E5">
        <w:tc>
          <w:tcPr>
            <w:tcW w:w="3757" w:type="dxa"/>
            <w:tcBorders>
              <w:top w:val="single" w:sz="12" w:space="0" w:color="auto"/>
            </w:tcBorders>
            <w:shd w:val="clear" w:color="auto" w:fill="FFFFFF"/>
          </w:tcPr>
          <w:p w14:paraId="047323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пробега с тормозами а щитками</w:t>
            </w:r>
          </w:p>
        </w:tc>
        <w:tc>
          <w:tcPr>
            <w:tcW w:w="3757" w:type="dxa"/>
            <w:tcBorders>
              <w:top w:val="single" w:sz="12" w:space="0" w:color="auto"/>
            </w:tcBorders>
            <w:shd w:val="clear" w:color="auto" w:fill="FFFFFF"/>
          </w:tcPr>
          <w:p w14:paraId="502A2E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 м, время</w:t>
            </w:r>
          </w:p>
        </w:tc>
        <w:tc>
          <w:tcPr>
            <w:tcW w:w="3757" w:type="dxa"/>
            <w:tcBorders>
              <w:top w:val="single" w:sz="12" w:space="0" w:color="auto"/>
            </w:tcBorders>
            <w:shd w:val="clear" w:color="auto" w:fill="FFFFFF"/>
          </w:tcPr>
          <w:p w14:paraId="7D3B57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сек.</w:t>
            </w:r>
          </w:p>
        </w:tc>
      </w:tr>
      <w:tr w:rsidR="007D5DF8" w:rsidRPr="00DB5D0D" w14:paraId="64295B5A" w14:textId="77777777" w:rsidTr="009223E5">
        <w:tc>
          <w:tcPr>
            <w:tcW w:w="3757" w:type="dxa"/>
            <w:shd w:val="clear" w:color="auto" w:fill="FFFFFF"/>
          </w:tcPr>
          <w:p w14:paraId="4E1C0F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w:t>
            </w:r>
          </w:p>
        </w:tc>
        <w:tc>
          <w:tcPr>
            <w:tcW w:w="3757" w:type="dxa"/>
            <w:shd w:val="clear" w:color="auto" w:fill="FFFFFF"/>
          </w:tcPr>
          <w:p w14:paraId="258A80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 м, время</w:t>
            </w:r>
          </w:p>
        </w:tc>
        <w:tc>
          <w:tcPr>
            <w:tcW w:w="3757" w:type="dxa"/>
            <w:shd w:val="clear" w:color="auto" w:fill="FFFFFF"/>
          </w:tcPr>
          <w:p w14:paraId="4D6CDB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 сек.</w:t>
            </w:r>
          </w:p>
        </w:tc>
      </w:tr>
      <w:tr w:rsidR="007D5DF8" w:rsidRPr="00DB5D0D" w14:paraId="6C65FE8A" w14:textId="77777777" w:rsidTr="009223E5">
        <w:tc>
          <w:tcPr>
            <w:tcW w:w="3757" w:type="dxa"/>
            <w:shd w:val="clear" w:color="auto" w:fill="FFFFFF"/>
          </w:tcPr>
          <w:p w14:paraId="21A265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 скорость Н=6800 м</w:t>
            </w:r>
          </w:p>
        </w:tc>
        <w:tc>
          <w:tcPr>
            <w:tcW w:w="3757" w:type="dxa"/>
            <w:shd w:val="clear" w:color="auto" w:fill="FFFFFF"/>
          </w:tcPr>
          <w:p w14:paraId="6E128A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- 650 км/час.</w:t>
            </w:r>
          </w:p>
        </w:tc>
        <w:tc>
          <w:tcPr>
            <w:tcW w:w="3757" w:type="dxa"/>
            <w:shd w:val="clear" w:color="auto" w:fill="FFFFFF"/>
          </w:tcPr>
          <w:p w14:paraId="5869C2E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979EC52" w14:textId="77777777" w:rsidTr="009223E5">
        <w:tc>
          <w:tcPr>
            <w:tcW w:w="3757" w:type="dxa"/>
            <w:shd w:val="clear" w:color="auto" w:fill="FFFFFF"/>
          </w:tcPr>
          <w:p w14:paraId="1FE2D4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Н=0</w:t>
            </w:r>
          </w:p>
        </w:tc>
        <w:tc>
          <w:tcPr>
            <w:tcW w:w="3757" w:type="dxa"/>
            <w:shd w:val="clear" w:color="auto" w:fill="FFFFFF"/>
          </w:tcPr>
          <w:p w14:paraId="5C0FEF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 км/час.</w:t>
            </w:r>
          </w:p>
        </w:tc>
        <w:tc>
          <w:tcPr>
            <w:tcW w:w="3757" w:type="dxa"/>
            <w:shd w:val="clear" w:color="auto" w:fill="FFFFFF"/>
          </w:tcPr>
          <w:p w14:paraId="6A54923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74CBBD5" w14:textId="77777777" w:rsidTr="009223E5">
        <w:tc>
          <w:tcPr>
            <w:tcW w:w="3757" w:type="dxa"/>
            <w:tcBorders>
              <w:bottom w:val="single" w:sz="12" w:space="0" w:color="auto"/>
            </w:tcBorders>
            <w:shd w:val="clear" w:color="auto" w:fill="FFFFFF"/>
          </w:tcPr>
          <w:p w14:paraId="656BE3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посадочнад</w:t>
            </w:r>
          </w:p>
        </w:tc>
        <w:tc>
          <w:tcPr>
            <w:tcW w:w="3757" w:type="dxa"/>
            <w:tcBorders>
              <w:bottom w:val="single" w:sz="12" w:space="0" w:color="auto"/>
            </w:tcBorders>
            <w:shd w:val="clear" w:color="auto" w:fill="FFFFFF"/>
          </w:tcPr>
          <w:p w14:paraId="76FBCE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- 140-145 км/час.</w:t>
            </w:r>
          </w:p>
        </w:tc>
        <w:tc>
          <w:tcPr>
            <w:tcW w:w="3757" w:type="dxa"/>
            <w:tcBorders>
              <w:bottom w:val="single" w:sz="12" w:space="0" w:color="auto"/>
            </w:tcBorders>
            <w:shd w:val="clear" w:color="auto" w:fill="FFFFFF"/>
          </w:tcPr>
          <w:p w14:paraId="353A43E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75CEA0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Оценка летных свойств:</w:t>
      </w:r>
    </w:p>
    <w:p w14:paraId="1301DB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Управляемость хорошая.</w:t>
      </w:r>
    </w:p>
    <w:p w14:paraId="494517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оценкам летчика, устойчивость во всех трех измерениях удовлетворительная.</w:t>
      </w:r>
    </w:p>
    <w:p w14:paraId="7A90DC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Обзор плохой из-за больших искажений, вносимых овальной поверхностью козырька</w:t>
      </w:r>
    </w:p>
    <w:p w14:paraId="22662C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Из-за ненормальной работы карбюратора, полеты на маневренность не производились.</w:t>
      </w:r>
    </w:p>
    <w:p w14:paraId="44C512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самолете установлено 2 пулемета Шкас и 1 пулемет Березина. Произведен отстрел пулеметов в тире. В воздухе отстрел пулеметов не производился. Пулеметы расположены в развале мотора, стреляют через винт.</w:t>
      </w:r>
    </w:p>
    <w:p w14:paraId="5756F1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Зксплоатация самолета еще не выявлена. Винто-моторная группа еще недоведена.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217DD222" w14:textId="77777777" w:rsidTr="009223E5">
        <w:tc>
          <w:tcPr>
            <w:tcW w:w="5636" w:type="dxa"/>
            <w:tcBorders>
              <w:top w:val="single" w:sz="12" w:space="0" w:color="auto"/>
            </w:tcBorders>
            <w:shd w:val="clear" w:color="auto" w:fill="FFFFFF"/>
          </w:tcPr>
          <w:p w14:paraId="3D7251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масла</w:t>
            </w:r>
          </w:p>
        </w:tc>
        <w:tc>
          <w:tcPr>
            <w:tcW w:w="5636" w:type="dxa"/>
            <w:tcBorders>
              <w:top w:val="single" w:sz="12" w:space="0" w:color="auto"/>
            </w:tcBorders>
            <w:shd w:val="clear" w:color="auto" w:fill="FFFFFF"/>
          </w:tcPr>
          <w:p w14:paraId="65AFB9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90-95/112°</w:t>
            </w:r>
          </w:p>
        </w:tc>
      </w:tr>
      <w:tr w:rsidR="007D5DF8" w:rsidRPr="00DB5D0D" w14:paraId="0E1E3A27" w14:textId="77777777" w:rsidTr="009223E5">
        <w:tc>
          <w:tcPr>
            <w:tcW w:w="5636" w:type="dxa"/>
            <w:tcBorders>
              <w:bottom w:val="single" w:sz="12" w:space="0" w:color="auto"/>
            </w:tcBorders>
            <w:shd w:val="clear" w:color="auto" w:fill="FFFFFF"/>
          </w:tcPr>
          <w:p w14:paraId="72F32B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воды</w:t>
            </w:r>
          </w:p>
        </w:tc>
        <w:tc>
          <w:tcPr>
            <w:tcW w:w="5636" w:type="dxa"/>
            <w:tcBorders>
              <w:bottom w:val="single" w:sz="12" w:space="0" w:color="auto"/>
            </w:tcBorders>
            <w:shd w:val="clear" w:color="auto" w:fill="FFFFFF"/>
          </w:tcPr>
          <w:p w14:paraId="75E931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100/125°</w:t>
            </w:r>
          </w:p>
        </w:tc>
      </w:tr>
    </w:tbl>
    <w:p w14:paraId="38A994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Одиннадцать раз меняли водяной радиатор, все время лопаются обичайки. Производится усиление-радиатора. Подход к мотору удовлетворительный. При установке прототипа мотора АМ-37 затруднен подход редукционному клапану масляной помпы.</w:t>
      </w:r>
    </w:p>
    <w:p w14:paraId="5CB2E4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Конструкция самолета смешанная. Носовая часть фюзеляжа и центроплан металлический, а консоли и хво</w:t>
      </w:r>
      <w:r w:rsidRPr="00DB5D0D">
        <w:rPr>
          <w:rFonts w:ascii="Times New Roman" w:hAnsi="Times New Roman"/>
          <w:color w:val="000000" w:themeColor="text1"/>
          <w:sz w:val="16"/>
          <w:szCs w:val="16"/>
        </w:rPr>
        <w:softHyphen/>
        <w:t>ро вая часть фюзеляжа деревянные (дельта древесина).</w:t>
      </w:r>
    </w:p>
    <w:p w14:paraId="55F0AD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 точки зрения производства самолет трудностей не представляет. Самолет может строится как с деревянными, так и с металлическими крыльями.</w:t>
      </w:r>
    </w:p>
    <w:p w14:paraId="0D46FF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Статиспытания все агрегаты поошли удовлетворительно, расчет проиводился на полетный вес 3000 кг., а фактически лолетныл вес 2983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3F4EEA84" w14:textId="77777777" w:rsidTr="009223E5">
        <w:tc>
          <w:tcPr>
            <w:tcW w:w="5636" w:type="dxa"/>
            <w:tcBorders>
              <w:top w:val="single" w:sz="12" w:space="0" w:color="auto"/>
            </w:tcBorders>
            <w:shd w:val="clear" w:color="auto" w:fill="FFFFFF"/>
          </w:tcPr>
          <w:p w14:paraId="77B4C2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Металляческий лонжерон выдержал</w:t>
            </w:r>
          </w:p>
        </w:tc>
        <w:tc>
          <w:tcPr>
            <w:tcW w:w="5636" w:type="dxa"/>
            <w:tcBorders>
              <w:top w:val="single" w:sz="12" w:space="0" w:color="auto"/>
            </w:tcBorders>
            <w:shd w:val="clear" w:color="auto" w:fill="FFFFFF"/>
          </w:tcPr>
          <w:p w14:paraId="6C9230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- 150%.</w:t>
            </w:r>
          </w:p>
        </w:tc>
      </w:tr>
      <w:tr w:rsidR="007D5DF8" w:rsidRPr="00DB5D0D" w14:paraId="24E83E23" w14:textId="77777777" w:rsidTr="009223E5">
        <w:tc>
          <w:tcPr>
            <w:tcW w:w="5636" w:type="dxa"/>
            <w:shd w:val="clear" w:color="auto" w:fill="FFFFFF"/>
          </w:tcPr>
          <w:p w14:paraId="51879E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Деревянный лонжерон</w:t>
            </w:r>
          </w:p>
        </w:tc>
        <w:tc>
          <w:tcPr>
            <w:tcW w:w="5636" w:type="dxa"/>
            <w:shd w:val="clear" w:color="auto" w:fill="FFFFFF"/>
          </w:tcPr>
          <w:p w14:paraId="5AD47D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- 104%</w:t>
            </w:r>
          </w:p>
        </w:tc>
      </w:tr>
      <w:tr w:rsidR="007D5DF8" w:rsidRPr="00DB5D0D" w14:paraId="766EDABF" w14:textId="77777777" w:rsidTr="009223E5">
        <w:tc>
          <w:tcPr>
            <w:tcW w:w="5636" w:type="dxa"/>
            <w:shd w:val="clear" w:color="auto" w:fill="FFFFFF"/>
          </w:tcPr>
          <w:p w14:paraId="7CA477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w:t>
            </w:r>
          </w:p>
        </w:tc>
        <w:tc>
          <w:tcPr>
            <w:tcW w:w="5636" w:type="dxa"/>
            <w:shd w:val="clear" w:color="auto" w:fill="FFFFFF"/>
          </w:tcPr>
          <w:p w14:paraId="4C9B21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- 100%.</w:t>
            </w:r>
          </w:p>
        </w:tc>
      </w:tr>
      <w:tr w:rsidR="007D5DF8" w:rsidRPr="00DB5D0D" w14:paraId="56507D97" w14:textId="77777777" w:rsidTr="009223E5">
        <w:tc>
          <w:tcPr>
            <w:tcW w:w="5636" w:type="dxa"/>
            <w:tcBorders>
              <w:bottom w:val="single" w:sz="12" w:space="0" w:color="auto"/>
            </w:tcBorders>
            <w:shd w:val="clear" w:color="auto" w:fill="FFFFFF"/>
          </w:tcPr>
          <w:p w14:paraId="15CACB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Консоль</w:t>
            </w:r>
          </w:p>
        </w:tc>
        <w:tc>
          <w:tcPr>
            <w:tcW w:w="5636" w:type="dxa"/>
            <w:tcBorders>
              <w:bottom w:val="single" w:sz="12" w:space="0" w:color="auto"/>
            </w:tcBorders>
            <w:shd w:val="clear" w:color="auto" w:fill="FFFFFF"/>
          </w:tcPr>
          <w:p w14:paraId="1FFA09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109%.</w:t>
            </w:r>
          </w:p>
        </w:tc>
      </w:tr>
    </w:tbl>
    <w:p w14:paraId="68EEFF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Ви1р Никитченко (10514,40).</w:t>
      </w:r>
    </w:p>
    <w:p w14:paraId="33D504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E2C70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 Контрольном листе учета выполнения постановления КО СНК СССР № 115сс от 4 марта 1940 г. представителем КО СНК СССР - контролером Вахрушевым была сделана запись:</w:t>
      </w:r>
    </w:p>
    <w:p w14:paraId="59EDE9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И-135 М-105</w:t>
      </w:r>
    </w:p>
    <w:p w14:paraId="173375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Самолета закончен постройкой 25 апреля 1940 и в настоящее время перевозится из Харькова в ЦАГИ (Раменское), где и будет проходить заводские испытания. Задержало выпуск самолета в срок несвоевременная поставка кондиционным мотором М-105 и винта ВИШ-21.</w:t>
      </w:r>
    </w:p>
    <w:p w14:paraId="2C1D37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Находится в постройке с общей технической готовностью 30-35% (10395,44).</w:t>
      </w:r>
    </w:p>
    <w:p w14:paraId="77F29E6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B36A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 Контрольном листе учета выполнения постановления КО СНК СССР № 114сс от 4 марта 1940 г. представителем КО СНК СССР - контролером Вахрушевым была сделана запись:</w:t>
      </w:r>
    </w:p>
    <w:p w14:paraId="4AFFDF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 М-65Р</w:t>
      </w:r>
    </w:p>
    <w:p w14:paraId="553DAC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Готовность самолета в производстве определяется в 30-35%. Основное затруднение, испытываемое КБ, это отсутствие опытного цеха. Сейчас для этой цели выделен цех № 2. Наметилось отставание от графика, на что указано директору завода т. Горину (10395,42).</w:t>
      </w:r>
    </w:p>
    <w:p w14:paraId="3A0180E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BBBF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 Контрольном листе учета выполнения постановления КО СНК СССР № 106сс от 4 марта 1940 г. представителем КО СНК СССР - контролером Вахрушевым была сделана запись:</w:t>
      </w:r>
    </w:p>
    <w:p w14:paraId="4BA0A7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И-21 Пашинина</w:t>
      </w:r>
    </w:p>
    <w:p w14:paraId="6D33FD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Рабочие чертежи изготовлены и сданы в производство на 100%.</w:t>
      </w:r>
    </w:p>
    <w:p w14:paraId="7E874D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агрегаты изготовлены и состыкованы. Сейчас ведется монтажная и общая сборка.</w:t>
      </w:r>
    </w:p>
    <w:p w14:paraId="27C64B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Задерживают водорадиатор (завод № 34) и винт (завод № 28). НКАП дал указание заводам форсировать эти работы (10395,36).</w:t>
      </w:r>
    </w:p>
    <w:p w14:paraId="7D3A219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277E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была подготовлена КРАТКАЯ ХАРАКТЕРИСТИКА САМОЛЕТА ОКО-6 2М-88 б/р. КОНСТРУКЦИИ Т.ТАИРОВА ПРОИЗВОДСТВА ЗАВОДА №- 43,</w:t>
      </w:r>
    </w:p>
    <w:p w14:paraId="183E8C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на основе результатов заводских испытанний).</w:t>
      </w:r>
    </w:p>
    <w:p w14:paraId="32AC11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Фактически полученные летные данные при нормальном полетном весе - 4530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7D5DF8" w:rsidRPr="00DB5D0D" w14:paraId="2B87D6B8" w14:textId="77777777" w:rsidTr="009223E5">
        <w:tc>
          <w:tcPr>
            <w:tcW w:w="3757" w:type="dxa"/>
            <w:tcBorders>
              <w:top w:val="single" w:sz="12" w:space="0" w:color="auto"/>
            </w:tcBorders>
            <w:shd w:val="clear" w:color="auto" w:fill="FFFFFF"/>
          </w:tcPr>
          <w:p w14:paraId="0E1605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максим.</w:t>
            </w:r>
          </w:p>
        </w:tc>
        <w:tc>
          <w:tcPr>
            <w:tcW w:w="3757" w:type="dxa"/>
            <w:tcBorders>
              <w:top w:val="single" w:sz="12" w:space="0" w:color="auto"/>
            </w:tcBorders>
            <w:shd w:val="clear" w:color="auto" w:fill="FFFFFF"/>
          </w:tcPr>
          <w:p w14:paraId="7DE73F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567,5 км/час, на Н-7550 м.</w:t>
            </w:r>
          </w:p>
        </w:tc>
      </w:tr>
      <w:tr w:rsidR="007D5DF8" w:rsidRPr="00DB5D0D" w14:paraId="2236B7A7" w14:textId="77777777" w:rsidTr="009223E5">
        <w:tc>
          <w:tcPr>
            <w:tcW w:w="3757" w:type="dxa"/>
            <w:shd w:val="clear" w:color="auto" w:fill="FFFFFF"/>
          </w:tcPr>
          <w:p w14:paraId="154527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максим.</w:t>
            </w:r>
          </w:p>
        </w:tc>
        <w:tc>
          <w:tcPr>
            <w:tcW w:w="3757" w:type="dxa"/>
            <w:shd w:val="clear" w:color="auto" w:fill="FFFFFF"/>
          </w:tcPr>
          <w:p w14:paraId="191052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448 км/час, на Н=0</w:t>
            </w:r>
          </w:p>
        </w:tc>
      </w:tr>
      <w:tr w:rsidR="007D5DF8" w:rsidRPr="00DB5D0D" w14:paraId="7BB488C1" w14:textId="77777777" w:rsidTr="009223E5">
        <w:tc>
          <w:tcPr>
            <w:tcW w:w="3757" w:type="dxa"/>
            <w:shd w:val="clear" w:color="auto" w:fill="FFFFFF"/>
          </w:tcPr>
          <w:p w14:paraId="283040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5000 м.</w:t>
            </w:r>
          </w:p>
        </w:tc>
        <w:tc>
          <w:tcPr>
            <w:tcW w:w="3757" w:type="dxa"/>
            <w:shd w:val="clear" w:color="auto" w:fill="FFFFFF"/>
          </w:tcPr>
          <w:p w14:paraId="5E36E9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- 5,5 мин.</w:t>
            </w:r>
          </w:p>
        </w:tc>
      </w:tr>
      <w:tr w:rsidR="007D5DF8" w:rsidRPr="00DB5D0D" w14:paraId="63E43C70" w14:textId="77777777" w:rsidTr="009223E5">
        <w:tc>
          <w:tcPr>
            <w:tcW w:w="3757" w:type="dxa"/>
            <w:shd w:val="clear" w:color="auto" w:fill="FFFFFF"/>
          </w:tcPr>
          <w:p w14:paraId="57EF5D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8000 м.</w:t>
            </w:r>
          </w:p>
        </w:tc>
        <w:tc>
          <w:tcPr>
            <w:tcW w:w="3757" w:type="dxa"/>
            <w:shd w:val="clear" w:color="auto" w:fill="FFFFFF"/>
          </w:tcPr>
          <w:p w14:paraId="14D5A9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- 10.4 мин.</w:t>
            </w:r>
          </w:p>
        </w:tc>
      </w:tr>
      <w:tr w:rsidR="007D5DF8" w:rsidRPr="00DB5D0D" w14:paraId="4DAA2E52" w14:textId="77777777" w:rsidTr="009223E5">
        <w:tc>
          <w:tcPr>
            <w:tcW w:w="3757" w:type="dxa"/>
            <w:shd w:val="clear" w:color="auto" w:fill="FFFFFF"/>
          </w:tcPr>
          <w:p w14:paraId="45EF8B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Практический.потолок</w:t>
            </w:r>
          </w:p>
        </w:tc>
        <w:tc>
          <w:tcPr>
            <w:tcW w:w="3757" w:type="dxa"/>
            <w:shd w:val="clear" w:color="auto" w:fill="FFFFFF"/>
          </w:tcPr>
          <w:p w14:paraId="11B451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- 11100 м.</w:t>
            </w:r>
          </w:p>
        </w:tc>
      </w:tr>
      <w:tr w:rsidR="007D5DF8" w:rsidRPr="00DB5D0D" w14:paraId="4FBDBC6F" w14:textId="77777777" w:rsidTr="009223E5">
        <w:tc>
          <w:tcPr>
            <w:tcW w:w="3757" w:type="dxa"/>
            <w:shd w:val="clear" w:color="auto" w:fill="FFFFFF"/>
          </w:tcPr>
          <w:p w14:paraId="14BFE9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с закрылками</w:t>
            </w:r>
          </w:p>
        </w:tc>
        <w:tc>
          <w:tcPr>
            <w:tcW w:w="3757" w:type="dxa"/>
            <w:shd w:val="clear" w:color="auto" w:fill="FFFFFF"/>
          </w:tcPr>
          <w:p w14:paraId="21658C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- 150 км/час.</w:t>
            </w:r>
          </w:p>
        </w:tc>
      </w:tr>
      <w:tr w:rsidR="007D5DF8" w:rsidRPr="00DB5D0D" w14:paraId="5EB54A80" w14:textId="77777777" w:rsidTr="009223E5">
        <w:tc>
          <w:tcPr>
            <w:tcW w:w="3757" w:type="dxa"/>
            <w:shd w:val="clear" w:color="auto" w:fill="FFFFFF"/>
          </w:tcPr>
          <w:p w14:paraId="3CF2BE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3757" w:type="dxa"/>
            <w:shd w:val="clear" w:color="auto" w:fill="FFFFFF"/>
          </w:tcPr>
          <w:p w14:paraId="477496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- 380 метров - 15 сек.</w:t>
            </w:r>
          </w:p>
        </w:tc>
      </w:tr>
      <w:tr w:rsidR="007D5DF8" w:rsidRPr="00DB5D0D" w14:paraId="6623167F" w14:textId="77777777" w:rsidTr="009223E5">
        <w:tc>
          <w:tcPr>
            <w:tcW w:w="3757" w:type="dxa"/>
            <w:shd w:val="clear" w:color="auto" w:fill="FFFFFF"/>
          </w:tcPr>
          <w:p w14:paraId="6BF7F9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3757" w:type="dxa"/>
            <w:shd w:val="clear" w:color="auto" w:fill="FFFFFF"/>
          </w:tcPr>
          <w:p w14:paraId="2321E3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- 470 метров - 20 сек.</w:t>
            </w:r>
          </w:p>
        </w:tc>
      </w:tr>
      <w:tr w:rsidR="007D5DF8" w:rsidRPr="00DB5D0D" w14:paraId="0AE41E36" w14:textId="77777777" w:rsidTr="009223E5">
        <w:tc>
          <w:tcPr>
            <w:tcW w:w="3757" w:type="dxa"/>
            <w:shd w:val="clear" w:color="auto" w:fill="FFFFFF"/>
          </w:tcPr>
          <w:p w14:paraId="6B22FF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w:t>
            </w:r>
          </w:p>
        </w:tc>
        <w:tc>
          <w:tcPr>
            <w:tcW w:w="3757" w:type="dxa"/>
            <w:shd w:val="clear" w:color="auto" w:fill="FFFFFF"/>
          </w:tcPr>
          <w:p w14:paraId="38B1750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2853F56" w14:textId="77777777" w:rsidTr="009223E5">
        <w:tc>
          <w:tcPr>
            <w:tcW w:w="3757" w:type="dxa"/>
            <w:shd w:val="clear" w:color="auto" w:fill="FFFFFF"/>
          </w:tcPr>
          <w:p w14:paraId="6C67B0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нормальным запасом горючего</w:t>
            </w:r>
          </w:p>
        </w:tc>
        <w:tc>
          <w:tcPr>
            <w:tcW w:w="3757" w:type="dxa"/>
            <w:shd w:val="clear" w:color="auto" w:fill="FFFFFF"/>
          </w:tcPr>
          <w:p w14:paraId="60F358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- 700 км.</w:t>
            </w:r>
          </w:p>
        </w:tc>
      </w:tr>
      <w:tr w:rsidR="007D5DF8" w:rsidRPr="00DB5D0D" w14:paraId="6F0589F7" w14:textId="77777777" w:rsidTr="009223E5">
        <w:tc>
          <w:tcPr>
            <w:tcW w:w="3757" w:type="dxa"/>
            <w:tcBorders>
              <w:bottom w:val="single" w:sz="12" w:space="0" w:color="auto"/>
            </w:tcBorders>
            <w:shd w:val="clear" w:color="auto" w:fill="FFFFFF"/>
          </w:tcPr>
          <w:p w14:paraId="7CDBBF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дополнительным баком</w:t>
            </w:r>
          </w:p>
        </w:tc>
        <w:tc>
          <w:tcPr>
            <w:tcW w:w="3757" w:type="dxa"/>
            <w:tcBorders>
              <w:bottom w:val="single" w:sz="12" w:space="0" w:color="auto"/>
            </w:tcBorders>
            <w:shd w:val="clear" w:color="auto" w:fill="FFFFFF"/>
          </w:tcPr>
          <w:p w14:paraId="155EC0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- 1250 км.</w:t>
            </w:r>
          </w:p>
        </w:tc>
      </w:tr>
    </w:tbl>
    <w:p w14:paraId="428ACA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этими летными данными, кроме дальности, самолет преимуществ не имеет по сравнению с И-28 и И-180.</w:t>
      </w:r>
    </w:p>
    <w:p w14:paraId="617668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Летные свойства.</w:t>
      </w:r>
    </w:p>
    <w:p w14:paraId="169BB7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Управляемость в продольном и поперечном отношении неудовлетворительная (велики усилия на ручке управления).</w:t>
      </w:r>
    </w:p>
    <w:p w14:paraId="6EE067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Продольная устойчивость самолета недостаточная, боковая устойчивость хорошая. На пикировании при выводе самолета без моторов развивается зна</w:t>
      </w:r>
      <w:r w:rsidRPr="00DB5D0D">
        <w:rPr>
          <w:rFonts w:ascii="Times New Roman" w:hAnsi="Times New Roman"/>
          <w:color w:val="000000" w:themeColor="text1"/>
          <w:sz w:val="16"/>
          <w:szCs w:val="16"/>
        </w:rPr>
        <w:softHyphen/>
        <w:t>чительные усилия на ручке руля глубины.</w:t>
      </w:r>
    </w:p>
    <w:p w14:paraId="31DFC1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Обзор вперед и в бок удовлетворительный, назад недостаточный.</w:t>
      </w:r>
    </w:p>
    <w:p w14:paraId="701918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На фигурах появляются значительные усилия на ручке управления рулем глубины и элеронов.</w:t>
      </w:r>
    </w:p>
    <w:p w14:paraId="0DD19F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Взлет простой. Посадочную скорость необходимо уменьшить.</w:t>
      </w:r>
    </w:p>
    <w:p w14:paraId="3DE90C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При испытании на пикирование в облете майора тов. Супруна была замечена тряска самолета, характер которой не выявлен.</w:t>
      </w:r>
    </w:p>
    <w:p w14:paraId="308A5B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Вооружение состоит аз батареи 4х "Швак" калиб</w:t>
      </w:r>
      <w:r w:rsidRPr="00DB5D0D">
        <w:rPr>
          <w:rFonts w:ascii="Times New Roman" w:hAnsi="Times New Roman"/>
          <w:color w:val="000000" w:themeColor="text1"/>
          <w:sz w:val="16"/>
          <w:szCs w:val="16"/>
        </w:rPr>
        <w:softHyphen/>
        <w:t>ром 20 мм. Запас снарядов в нормальном варианте по 200 шт. на пушку в перегрузочном по 275 шт.</w:t>
      </w:r>
    </w:p>
    <w:p w14:paraId="46DCF3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Эксплоатация самолета и ВМГ удобна.</w:t>
      </w:r>
    </w:p>
    <w:p w14:paraId="258502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Конструкция самолета смешанная: передняя часть фюзеляжа, центроплан и консоли металлические (дюраль), задняя часть фюзеляжа деревянная. Лонжероны хромансилевые.</w:t>
      </w:r>
    </w:p>
    <w:p w14:paraId="7AB68F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Производственное выполнение самолета сложно, главным образом в части центроплана и шасси.</w:t>
      </w:r>
    </w:p>
    <w:p w14:paraId="48A842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7. Самолет удовлетворяет нормам прочности 1937 г., имеет запас прочности 14.</w:t>
      </w:r>
    </w:p>
    <w:p w14:paraId="79FF97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Ви3р Николаев (10514,88).</w:t>
      </w:r>
    </w:p>
    <w:p w14:paraId="5D6703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4098C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была подготовлена КРАТКАЯ ХАРАКТЕРИСТИКА САМОЛЕТА "К" М-105П КОНСТРУК</w:t>
      </w:r>
      <w:r w:rsidR="006F121E" w:rsidRPr="00DB5D0D">
        <w:rPr>
          <w:rFonts w:ascii="Times New Roman" w:hAnsi="Times New Roman"/>
          <w:color w:val="000000" w:themeColor="text1"/>
          <w:sz w:val="16"/>
          <w:szCs w:val="16"/>
        </w:rPr>
        <w:t>ЦИИ</w:t>
      </w:r>
      <w:r w:rsidRPr="00DB5D0D">
        <w:rPr>
          <w:rFonts w:ascii="Times New Roman" w:hAnsi="Times New Roman"/>
          <w:color w:val="000000" w:themeColor="text1"/>
          <w:sz w:val="16"/>
          <w:szCs w:val="16"/>
        </w:rPr>
        <w:t xml:space="preserve"> Т.Т.</w:t>
      </w:r>
      <w:r w:rsidR="006F121E" w:rsidRPr="00DB5D0D">
        <w:rPr>
          <w:rFonts w:ascii="Times New Roman" w:hAnsi="Times New Roman"/>
          <w:color w:val="000000" w:themeColor="text1"/>
          <w:sz w:val="16"/>
          <w:szCs w:val="16"/>
        </w:rPr>
        <w:t xml:space="preserve"> </w:t>
      </w:r>
      <w:r w:rsidRPr="00DB5D0D">
        <w:rPr>
          <w:rFonts w:ascii="Times New Roman" w:hAnsi="Times New Roman"/>
          <w:color w:val="000000" w:themeColor="text1"/>
          <w:sz w:val="16"/>
          <w:szCs w:val="16"/>
        </w:rPr>
        <w:t xml:space="preserve">ГОРБУНОВА, </w:t>
      </w:r>
      <w:r w:rsidRPr="00DB5D0D">
        <w:rPr>
          <w:rFonts w:ascii="Times New Roman" w:hAnsi="Times New Roman"/>
          <w:smallCaps/>
          <w:color w:val="000000" w:themeColor="text1"/>
          <w:sz w:val="16"/>
          <w:szCs w:val="16"/>
        </w:rPr>
        <w:t>лавочкина игудкова, производства завода № 301</w:t>
      </w:r>
    </w:p>
    <w:p w14:paraId="0D6CE4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РЕЗУЛЬТАТАМ ЗАВОДСКИХ ИСПЫАНИЙ</w:t>
      </w:r>
    </w:p>
    <w:p w14:paraId="25955E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Летные данные</w:t>
      </w:r>
    </w:p>
    <w:p w14:paraId="6E4CFD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данныв, получе иные без фонаря над головой летчика и со старой схемой всасывания воздуха в карбюратор: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3E1B363C" w14:textId="77777777" w:rsidTr="009223E5">
        <w:tc>
          <w:tcPr>
            <w:tcW w:w="5636" w:type="dxa"/>
            <w:tcBorders>
              <w:top w:val="single" w:sz="12" w:space="0" w:color="auto"/>
            </w:tcBorders>
            <w:shd w:val="clear" w:color="auto" w:fill="FFFFFF"/>
          </w:tcPr>
          <w:p w14:paraId="1A9708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 у земли</w:t>
            </w:r>
          </w:p>
        </w:tc>
        <w:tc>
          <w:tcPr>
            <w:tcW w:w="5636" w:type="dxa"/>
            <w:tcBorders>
              <w:top w:val="single" w:sz="12" w:space="0" w:color="auto"/>
            </w:tcBorders>
            <w:shd w:val="clear" w:color="auto" w:fill="FFFFFF"/>
          </w:tcPr>
          <w:p w14:paraId="2F3923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503 км/час</w:t>
            </w:r>
          </w:p>
        </w:tc>
      </w:tr>
      <w:tr w:rsidR="007D5DF8" w:rsidRPr="00DB5D0D" w14:paraId="522AD373" w14:textId="77777777" w:rsidTr="009223E5">
        <w:tc>
          <w:tcPr>
            <w:tcW w:w="5636" w:type="dxa"/>
            <w:shd w:val="clear" w:color="auto" w:fill="FFFFFF"/>
          </w:tcPr>
          <w:p w14:paraId="34FC7C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 на 4430 м</w:t>
            </w:r>
          </w:p>
        </w:tc>
        <w:tc>
          <w:tcPr>
            <w:tcW w:w="5636" w:type="dxa"/>
            <w:shd w:val="clear" w:color="auto" w:fill="FFFFFF"/>
          </w:tcPr>
          <w:p w14:paraId="5530F4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583 км/час</w:t>
            </w:r>
          </w:p>
        </w:tc>
      </w:tr>
      <w:tr w:rsidR="007D5DF8" w:rsidRPr="00DB5D0D" w14:paraId="7B9D0ADC" w14:textId="77777777" w:rsidTr="009223E5">
        <w:tc>
          <w:tcPr>
            <w:tcW w:w="5636" w:type="dxa"/>
            <w:tcBorders>
              <w:bottom w:val="single" w:sz="12" w:space="0" w:color="auto"/>
            </w:tcBorders>
            <w:shd w:val="clear" w:color="auto" w:fill="FFFFFF"/>
          </w:tcPr>
          <w:p w14:paraId="4FFED1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высоту 5000 м</w:t>
            </w:r>
          </w:p>
        </w:tc>
        <w:tc>
          <w:tcPr>
            <w:tcW w:w="5636" w:type="dxa"/>
            <w:tcBorders>
              <w:bottom w:val="single" w:sz="12" w:space="0" w:color="auto"/>
            </w:tcBorders>
            <w:shd w:val="clear" w:color="auto" w:fill="FFFFFF"/>
          </w:tcPr>
          <w:p w14:paraId="7DAD47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5,53 сек.</w:t>
            </w:r>
          </w:p>
        </w:tc>
      </w:tr>
    </w:tbl>
    <w:p w14:paraId="52B682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проработана установка ТК-З. Второй экз. самолета будет испытываться с ТК-3. Винтомоторная группа самолета с ТК-3 в настоящее время испытывается на стенде. Установка ТК-3 повысят боевую высоту с-та до 9000 м и увеличит максимальную скорость на 50-70 км/час.</w:t>
      </w:r>
    </w:p>
    <w:p w14:paraId="3EB738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Оценка летных свойств.</w:t>
      </w:r>
    </w:p>
    <w:p w14:paraId="15F55A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Управляемость хорошая;</w:t>
      </w:r>
    </w:p>
    <w:p w14:paraId="009AA8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Устойчивость - самолет обладает хорошей устойчивостью относительно осей. На самолете возможен полет с брошенным управлением. По технике пилотирования самолет доступен для летчиков средней квалификации.</w:t>
      </w:r>
    </w:p>
    <w:p w14:paraId="482D7A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0 б з о р - хороший</w:t>
      </w:r>
    </w:p>
    <w:p w14:paraId="13BE65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Маневренность:</w:t>
      </w:r>
    </w:p>
    <w:p w14:paraId="0A4B32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Маневренность у самолета хорошая.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7D5DF8" w:rsidRPr="00DB5D0D" w14:paraId="376F9EF5" w14:textId="77777777" w:rsidTr="009223E5">
        <w:tc>
          <w:tcPr>
            <w:tcW w:w="3757" w:type="dxa"/>
            <w:tcBorders>
              <w:top w:val="single" w:sz="12" w:space="0" w:color="auto"/>
            </w:tcBorders>
            <w:shd w:val="clear" w:color="auto" w:fill="FFFFFF"/>
          </w:tcPr>
          <w:p w14:paraId="01EDCA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Время виража на высоте 4500 м </w:t>
            </w:r>
          </w:p>
        </w:tc>
        <w:tc>
          <w:tcPr>
            <w:tcW w:w="3757" w:type="dxa"/>
            <w:tcBorders>
              <w:top w:val="single" w:sz="12" w:space="0" w:color="auto"/>
            </w:tcBorders>
            <w:shd w:val="clear" w:color="auto" w:fill="FFFFFF"/>
          </w:tcPr>
          <w:p w14:paraId="1A8600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- 38-30 сек.</w:t>
            </w:r>
          </w:p>
        </w:tc>
        <w:tc>
          <w:tcPr>
            <w:tcW w:w="3757" w:type="dxa"/>
            <w:tcBorders>
              <w:top w:val="single" w:sz="12" w:space="0" w:color="auto"/>
            </w:tcBorders>
            <w:shd w:val="clear" w:color="auto" w:fill="FFFFFF"/>
          </w:tcPr>
          <w:p w14:paraId="21D304E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9D084DC" w14:textId="77777777" w:rsidTr="009223E5">
        <w:tc>
          <w:tcPr>
            <w:tcW w:w="3757" w:type="dxa"/>
            <w:shd w:val="clear" w:color="auto" w:fill="FFFFFF"/>
          </w:tcPr>
          <w:p w14:paraId="5031E7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петли -"- -“-</w:t>
            </w:r>
          </w:p>
        </w:tc>
        <w:tc>
          <w:tcPr>
            <w:tcW w:w="3757" w:type="dxa"/>
            <w:shd w:val="clear" w:color="auto" w:fill="FFFFFF"/>
          </w:tcPr>
          <w:p w14:paraId="2592E8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3757" w:type="dxa"/>
            <w:shd w:val="clear" w:color="auto" w:fill="FFFFFF"/>
          </w:tcPr>
          <w:p w14:paraId="0FE5468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2D7A2A9" w14:textId="77777777" w:rsidTr="009223E5">
        <w:tc>
          <w:tcPr>
            <w:tcW w:w="3757" w:type="dxa"/>
            <w:shd w:val="clear" w:color="auto" w:fill="FFFFFF"/>
          </w:tcPr>
          <w:p w14:paraId="7F85CC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Одинарного переворота</w:t>
            </w:r>
          </w:p>
        </w:tc>
        <w:tc>
          <w:tcPr>
            <w:tcW w:w="3757" w:type="dxa"/>
            <w:shd w:val="clear" w:color="auto" w:fill="FFFFFF"/>
          </w:tcPr>
          <w:p w14:paraId="4B034F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3757" w:type="dxa"/>
            <w:shd w:val="clear" w:color="auto" w:fill="FFFFFF"/>
          </w:tcPr>
          <w:p w14:paraId="591C042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7F35E7C" w14:textId="77777777" w:rsidTr="009223E5">
        <w:tc>
          <w:tcPr>
            <w:tcW w:w="3757" w:type="dxa"/>
            <w:shd w:val="clear" w:color="auto" w:fill="FFFFFF"/>
          </w:tcPr>
          <w:p w14:paraId="4587EF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vertAlign w:val="superscript"/>
              </w:rPr>
              <w:t>п</w:t>
            </w:r>
            <w:r w:rsidRPr="00DB5D0D">
              <w:rPr>
                <w:rFonts w:ascii="Times New Roman" w:hAnsi="Times New Roman"/>
                <w:color w:val="000000" w:themeColor="text1"/>
                <w:sz w:val="16"/>
                <w:szCs w:val="16"/>
              </w:rPr>
              <w:t>- боевого разворота</w:t>
            </w:r>
          </w:p>
        </w:tc>
        <w:tc>
          <w:tcPr>
            <w:tcW w:w="3757" w:type="dxa"/>
            <w:shd w:val="clear" w:color="auto" w:fill="FFFFFF"/>
          </w:tcPr>
          <w:p w14:paraId="0AECC4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с набором высоты 1000-1500 м</w:t>
            </w:r>
          </w:p>
        </w:tc>
        <w:tc>
          <w:tcPr>
            <w:tcW w:w="3757" w:type="dxa"/>
            <w:shd w:val="clear" w:color="auto" w:fill="FFFFFF"/>
          </w:tcPr>
          <w:p w14:paraId="382C563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89CC816" w14:textId="77777777" w:rsidTr="009223E5">
        <w:tc>
          <w:tcPr>
            <w:tcW w:w="3757" w:type="dxa"/>
            <w:shd w:val="clear" w:color="auto" w:fill="FFFFFF"/>
          </w:tcPr>
          <w:p w14:paraId="6E7C75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Взлетно-посадочные данные:</w:t>
            </w:r>
          </w:p>
        </w:tc>
        <w:tc>
          <w:tcPr>
            <w:tcW w:w="3757" w:type="dxa"/>
            <w:shd w:val="clear" w:color="auto" w:fill="FFFFFF"/>
          </w:tcPr>
          <w:p w14:paraId="37C28FA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57" w:type="dxa"/>
            <w:shd w:val="clear" w:color="auto" w:fill="FFFFFF"/>
          </w:tcPr>
          <w:p w14:paraId="3E0ECB5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540CADD" w14:textId="77777777" w:rsidTr="009223E5">
        <w:tc>
          <w:tcPr>
            <w:tcW w:w="3757" w:type="dxa"/>
            <w:shd w:val="clear" w:color="auto" w:fill="FFFFFF"/>
          </w:tcPr>
          <w:p w14:paraId="11B4E6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3757" w:type="dxa"/>
            <w:shd w:val="clear" w:color="auto" w:fill="FFFFFF"/>
          </w:tcPr>
          <w:p w14:paraId="63F24B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280-300 м, время</w:t>
            </w:r>
          </w:p>
        </w:tc>
        <w:tc>
          <w:tcPr>
            <w:tcW w:w="3757" w:type="dxa"/>
            <w:shd w:val="clear" w:color="auto" w:fill="FFFFFF"/>
          </w:tcPr>
          <w:p w14:paraId="615642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11-13 сек.</w:t>
            </w:r>
          </w:p>
        </w:tc>
      </w:tr>
      <w:tr w:rsidR="007D5DF8" w:rsidRPr="00DB5D0D" w14:paraId="36BFFFD0" w14:textId="77777777" w:rsidTr="009223E5">
        <w:tc>
          <w:tcPr>
            <w:tcW w:w="3757" w:type="dxa"/>
            <w:tcBorders>
              <w:bottom w:val="single" w:sz="12" w:space="0" w:color="auto"/>
            </w:tcBorders>
            <w:shd w:val="clear" w:color="auto" w:fill="FFFFFF"/>
          </w:tcPr>
          <w:p w14:paraId="61B34E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Длинна пробега с торм.</w:t>
            </w:r>
          </w:p>
        </w:tc>
        <w:tc>
          <w:tcPr>
            <w:tcW w:w="3757" w:type="dxa"/>
            <w:tcBorders>
              <w:bottom w:val="single" w:sz="12" w:space="0" w:color="auto"/>
            </w:tcBorders>
            <w:shd w:val="clear" w:color="auto" w:fill="FFFFFF"/>
          </w:tcPr>
          <w:p w14:paraId="36E622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200-320 м., время</w:t>
            </w:r>
          </w:p>
        </w:tc>
        <w:tc>
          <w:tcPr>
            <w:tcW w:w="3757" w:type="dxa"/>
            <w:tcBorders>
              <w:bottom w:val="single" w:sz="12" w:space="0" w:color="auto"/>
            </w:tcBorders>
            <w:shd w:val="clear" w:color="auto" w:fill="FFFFFF"/>
          </w:tcPr>
          <w:p w14:paraId="35CDE4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13-14</w:t>
            </w:r>
          </w:p>
        </w:tc>
      </w:tr>
    </w:tbl>
    <w:p w14:paraId="7EC591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Характеристика и состояние вооружения.</w:t>
      </w:r>
    </w:p>
    <w:p w14:paraId="7C6AB0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устанавливается следующее вооружение:</w:t>
      </w:r>
    </w:p>
    <w:p w14:paraId="24083E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Таубина - калибра 23 мм</w:t>
      </w:r>
    </w:p>
    <w:p w14:paraId="6B471F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пулемета Березина</w:t>
      </w:r>
    </w:p>
    <w:p w14:paraId="2295AC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пулемета ШКАС.</w:t>
      </w:r>
    </w:p>
    <w:p w14:paraId="6310F1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могут быть устэновлены 8 шт. РС-82 и бомбы общим весом до 100 кг.</w:t>
      </w:r>
    </w:p>
    <w:p w14:paraId="1BFB8A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смонтировано на спец. стенде и отстреливается, под наблюдением спец.камиссии от ГУАС КА (Нырков).</w:t>
      </w:r>
    </w:p>
    <w:p w14:paraId="1C0FBF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Пушечное вооружение уже отработано и установлено на самолет для отстрела в воздухе.</w:t>
      </w:r>
    </w:p>
    <w:p w14:paraId="2333CA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Оценка эксплоатационных данных</w:t>
      </w:r>
    </w:p>
    <w:p w14:paraId="14E7BC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эксплоатации самолет прост. Самолет легко и быстро разбирается для транспортировки его по ж.д.. При снятых консолях крыльев самолет может транспортироваться на собственном ходу.</w:t>
      </w:r>
    </w:p>
    <w:p w14:paraId="1932F0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Материал конструкции.</w:t>
      </w:r>
    </w:p>
    <w:p w14:paraId="525212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цельно-деревянной конструкции. Ответственные элементы изготовлены из пресованной ревесины. Покрытие самолета высокого качества по отделке, стойкое и не сложное в производстве.</w:t>
      </w:r>
    </w:p>
    <w:p w14:paraId="31935D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Оценка технологии, производства!</w:t>
      </w:r>
    </w:p>
    <w:p w14:paraId="7D75A9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Технология производства самолета проста и не требует сложного оборудования. Основной материал конструкции - дерево.</w:t>
      </w:r>
    </w:p>
    <w:p w14:paraId="25E9C7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Заключение по статиспытаниям агрегатов с-та.</w:t>
      </w:r>
    </w:p>
    <w:p w14:paraId="149275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Статиспытания самолет прошел вполне удовлетвовительно.</w:t>
      </w:r>
    </w:p>
    <w:p w14:paraId="51AFE8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ЛЕТЧИК-ИСПЫТАТЕЛЬ ВОЕШНЖЕНЕР I РАНГА Никашин</w:t>
      </w:r>
    </w:p>
    <w:p w14:paraId="647F49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 ВОЕШЖЕНЕР 3 РАНГА Таракановский (10514,41).</w:t>
      </w:r>
    </w:p>
    <w:p w14:paraId="022968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9A27612" w14:textId="77777777" w:rsidR="006F121E" w:rsidRPr="00DB5D0D" w:rsidRDefault="006F121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ведущие инженеры НИИ ВВС, наблюдавшие за ходом по</w:t>
      </w:r>
      <w:r w:rsidRPr="00DB5D0D">
        <w:rPr>
          <w:rFonts w:ascii="Times New Roman" w:hAnsi="Times New Roman"/>
          <w:color w:val="000000" w:themeColor="text1"/>
          <w:sz w:val="16"/>
          <w:szCs w:val="16"/>
        </w:rPr>
        <w:softHyphen/>
        <w:t>стройки и испытаний всех опытных само</w:t>
      </w:r>
      <w:r w:rsidRPr="00DB5D0D">
        <w:rPr>
          <w:rFonts w:ascii="Times New Roman" w:hAnsi="Times New Roman"/>
          <w:color w:val="000000" w:themeColor="text1"/>
          <w:sz w:val="16"/>
          <w:szCs w:val="16"/>
        </w:rPr>
        <w:softHyphen/>
        <w:t>летов, представили командованию свои справки, в которых были отражены состо</w:t>
      </w:r>
      <w:r w:rsidRPr="00DB5D0D">
        <w:rPr>
          <w:rFonts w:ascii="Times New Roman" w:hAnsi="Times New Roman"/>
          <w:color w:val="000000" w:themeColor="text1"/>
          <w:sz w:val="16"/>
          <w:szCs w:val="16"/>
        </w:rPr>
        <w:softHyphen/>
        <w:t>яние работ, положительные и отрицатель</w:t>
      </w:r>
      <w:r w:rsidRPr="00DB5D0D">
        <w:rPr>
          <w:rFonts w:ascii="Times New Roman" w:hAnsi="Times New Roman"/>
          <w:color w:val="000000" w:themeColor="text1"/>
          <w:sz w:val="16"/>
          <w:szCs w:val="16"/>
        </w:rPr>
        <w:softHyphen/>
        <w:t>ные стороны каждой машины и перспек</w:t>
      </w:r>
      <w:r w:rsidRPr="00DB5D0D">
        <w:rPr>
          <w:rFonts w:ascii="Times New Roman" w:hAnsi="Times New Roman"/>
          <w:color w:val="000000" w:themeColor="text1"/>
          <w:sz w:val="16"/>
          <w:szCs w:val="16"/>
        </w:rPr>
        <w:softHyphen/>
        <w:t>тивы серийного производства. И-301 вы</w:t>
      </w:r>
      <w:r w:rsidRPr="00DB5D0D">
        <w:rPr>
          <w:rFonts w:ascii="Times New Roman" w:hAnsi="Times New Roman"/>
          <w:color w:val="000000" w:themeColor="text1"/>
          <w:sz w:val="16"/>
          <w:szCs w:val="16"/>
        </w:rPr>
        <w:softHyphen/>
        <w:t>глядел в них наиболее благоприятно: лет</w:t>
      </w:r>
      <w:r w:rsidRPr="00DB5D0D">
        <w:rPr>
          <w:rFonts w:ascii="Times New Roman" w:hAnsi="Times New Roman"/>
          <w:color w:val="000000" w:themeColor="text1"/>
          <w:sz w:val="16"/>
          <w:szCs w:val="16"/>
        </w:rPr>
        <w:softHyphen/>
        <w:t>ные данные, устойчивость и пилотажные характеристики хорошие, вооружение мощное, прочность достаточная, техноло</w:t>
      </w:r>
      <w:r w:rsidRPr="00DB5D0D">
        <w:rPr>
          <w:rFonts w:ascii="Times New Roman" w:hAnsi="Times New Roman"/>
          <w:color w:val="000000" w:themeColor="text1"/>
          <w:sz w:val="16"/>
          <w:szCs w:val="16"/>
        </w:rPr>
        <w:softHyphen/>
        <w:t>гия и эксплуатация просты. И никаких не</w:t>
      </w:r>
      <w:r w:rsidRPr="00DB5D0D">
        <w:rPr>
          <w:rFonts w:ascii="Times New Roman" w:hAnsi="Times New Roman"/>
          <w:color w:val="000000" w:themeColor="text1"/>
          <w:sz w:val="16"/>
          <w:szCs w:val="16"/>
        </w:rPr>
        <w:softHyphen/>
        <w:t>достатков. Этому способствовало то, что проводил заводские испытания инженер- летчик-испытатель НИИ ГУАС КАА.И. Ни кашин, а не заводские летчики, как у дру</w:t>
      </w:r>
      <w:r w:rsidRPr="00DB5D0D">
        <w:rPr>
          <w:rFonts w:ascii="Times New Roman" w:hAnsi="Times New Roman"/>
          <w:color w:val="000000" w:themeColor="text1"/>
          <w:sz w:val="16"/>
          <w:szCs w:val="16"/>
        </w:rPr>
        <w:softHyphen/>
        <w:t>гих конструкторов. Благодаря ему руко</w:t>
      </w:r>
      <w:r w:rsidRPr="00DB5D0D">
        <w:rPr>
          <w:rFonts w:ascii="Times New Roman" w:hAnsi="Times New Roman"/>
          <w:color w:val="000000" w:themeColor="text1"/>
          <w:sz w:val="16"/>
          <w:szCs w:val="16"/>
        </w:rPr>
        <w:softHyphen/>
        <w:t>водство ВВС гораздо лучше было осве</w:t>
      </w:r>
      <w:r w:rsidRPr="00DB5D0D">
        <w:rPr>
          <w:rFonts w:ascii="Times New Roman" w:hAnsi="Times New Roman"/>
          <w:color w:val="000000" w:themeColor="text1"/>
          <w:sz w:val="16"/>
          <w:szCs w:val="16"/>
        </w:rPr>
        <w:softHyphen/>
        <w:t>домлено об И-301 (19734).</w:t>
      </w:r>
    </w:p>
    <w:p w14:paraId="38983841" w14:textId="77777777" w:rsidR="006F121E" w:rsidRPr="00DB5D0D" w:rsidRDefault="006F121E" w:rsidP="00DB5D0D">
      <w:pPr>
        <w:spacing w:after="0" w:line="240" w:lineRule="auto"/>
        <w:jc w:val="both"/>
        <w:rPr>
          <w:rFonts w:ascii="Times New Roman" w:hAnsi="Times New Roman"/>
          <w:color w:val="000000" w:themeColor="text1"/>
          <w:sz w:val="16"/>
          <w:szCs w:val="16"/>
        </w:rPr>
      </w:pPr>
    </w:p>
    <w:p w14:paraId="42B2EA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была подготовлена КРАТКАЯ ХАРАКТЕРИСТИКА САМОЛЕТА И-180 М-88 ВИШ-23Е КОНСТРУКЦИИ инженера ПОЛИКАРПОВА производства з-да № 1 и завода № 21.</w:t>
      </w:r>
    </w:p>
    <w:p w14:paraId="64D813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результатов заводских испы</w:t>
      </w:r>
      <w:r w:rsidRPr="00DB5D0D">
        <w:rPr>
          <w:rFonts w:ascii="Times New Roman" w:hAnsi="Times New Roman"/>
          <w:color w:val="000000" w:themeColor="text1"/>
          <w:sz w:val="16"/>
          <w:szCs w:val="16"/>
        </w:rPr>
        <w:softHyphen/>
        <w:t>таний).</w:t>
      </w:r>
    </w:p>
    <w:p w14:paraId="506F9B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Фактически полученные летные данные при нормальном полетном весе 2440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7B683789" w14:textId="77777777" w:rsidTr="009223E5">
        <w:tc>
          <w:tcPr>
            <w:tcW w:w="5636" w:type="dxa"/>
            <w:tcBorders>
              <w:top w:val="single" w:sz="12" w:space="0" w:color="auto"/>
            </w:tcBorders>
            <w:shd w:val="clear" w:color="auto" w:fill="FFFFFF"/>
          </w:tcPr>
          <w:p w14:paraId="649D99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w:t>
            </w:r>
          </w:p>
        </w:tc>
        <w:tc>
          <w:tcPr>
            <w:tcW w:w="5636" w:type="dxa"/>
            <w:tcBorders>
              <w:top w:val="single" w:sz="12" w:space="0" w:color="auto"/>
            </w:tcBorders>
            <w:shd w:val="clear" w:color="auto" w:fill="FFFFFF"/>
          </w:tcPr>
          <w:p w14:paraId="0D1861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560 км/час, на Н=7100 м.</w:t>
            </w:r>
          </w:p>
        </w:tc>
      </w:tr>
      <w:tr w:rsidR="007D5DF8" w:rsidRPr="00DB5D0D" w14:paraId="36755A18" w14:textId="77777777" w:rsidTr="009223E5">
        <w:tc>
          <w:tcPr>
            <w:tcW w:w="5636" w:type="dxa"/>
            <w:shd w:val="clear" w:color="auto" w:fill="FFFFFF"/>
          </w:tcPr>
          <w:p w14:paraId="68276F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w:t>
            </w:r>
          </w:p>
        </w:tc>
        <w:tc>
          <w:tcPr>
            <w:tcW w:w="5636" w:type="dxa"/>
            <w:shd w:val="clear" w:color="auto" w:fill="FFFFFF"/>
          </w:tcPr>
          <w:p w14:paraId="4BDE9E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459 км/час, па Н=0</w:t>
            </w:r>
          </w:p>
        </w:tc>
      </w:tr>
      <w:tr w:rsidR="007D5DF8" w:rsidRPr="00DB5D0D" w14:paraId="27C37E0F" w14:textId="77777777" w:rsidTr="009223E5">
        <w:tc>
          <w:tcPr>
            <w:tcW w:w="5636" w:type="dxa"/>
            <w:shd w:val="clear" w:color="auto" w:fill="FFFFFF"/>
          </w:tcPr>
          <w:p w14:paraId="4F0E20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5000 м.</w:t>
            </w:r>
          </w:p>
        </w:tc>
        <w:tc>
          <w:tcPr>
            <w:tcW w:w="5636" w:type="dxa"/>
            <w:shd w:val="clear" w:color="auto" w:fill="FFFFFF"/>
          </w:tcPr>
          <w:p w14:paraId="6C021A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- 5,6 мин.</w:t>
            </w:r>
          </w:p>
        </w:tc>
      </w:tr>
      <w:tr w:rsidR="007D5DF8" w:rsidRPr="00DB5D0D" w14:paraId="41331E56" w14:textId="77777777" w:rsidTr="009223E5">
        <w:tc>
          <w:tcPr>
            <w:tcW w:w="5636" w:type="dxa"/>
            <w:shd w:val="clear" w:color="auto" w:fill="FFFFFF"/>
          </w:tcPr>
          <w:p w14:paraId="11C7BF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7000 м.</w:t>
            </w:r>
          </w:p>
        </w:tc>
        <w:tc>
          <w:tcPr>
            <w:tcW w:w="5636" w:type="dxa"/>
            <w:shd w:val="clear" w:color="auto" w:fill="FFFFFF"/>
          </w:tcPr>
          <w:p w14:paraId="370B22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- 8,7 мин.</w:t>
            </w:r>
          </w:p>
        </w:tc>
      </w:tr>
      <w:tr w:rsidR="007D5DF8" w:rsidRPr="00DB5D0D" w14:paraId="404D342F" w14:textId="77777777" w:rsidTr="009223E5">
        <w:tc>
          <w:tcPr>
            <w:tcW w:w="5636" w:type="dxa"/>
            <w:shd w:val="clear" w:color="auto" w:fill="FFFFFF"/>
          </w:tcPr>
          <w:p w14:paraId="611F92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5636" w:type="dxa"/>
            <w:shd w:val="clear" w:color="auto" w:fill="FFFFFF"/>
          </w:tcPr>
          <w:p w14:paraId="1333AB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11050 м.</w:t>
            </w:r>
          </w:p>
        </w:tc>
      </w:tr>
      <w:tr w:rsidR="007D5DF8" w:rsidRPr="00DB5D0D" w14:paraId="7E0207AE" w14:textId="77777777" w:rsidTr="009223E5">
        <w:tc>
          <w:tcPr>
            <w:tcW w:w="5636" w:type="dxa"/>
            <w:shd w:val="clear" w:color="auto" w:fill="FFFFFF"/>
          </w:tcPr>
          <w:p w14:paraId="6CD7B4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Посадочнан скорость с закрылками</w:t>
            </w:r>
          </w:p>
        </w:tc>
        <w:tc>
          <w:tcPr>
            <w:tcW w:w="5636" w:type="dxa"/>
            <w:shd w:val="clear" w:color="auto" w:fill="FFFFFF"/>
          </w:tcPr>
          <w:p w14:paraId="2A46ED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- 135 км/час.</w:t>
            </w:r>
          </w:p>
        </w:tc>
      </w:tr>
      <w:tr w:rsidR="007D5DF8" w:rsidRPr="00DB5D0D" w14:paraId="577D0844" w14:textId="77777777" w:rsidTr="009223E5">
        <w:tc>
          <w:tcPr>
            <w:tcW w:w="5636" w:type="dxa"/>
            <w:shd w:val="clear" w:color="auto" w:fill="FFFFFF"/>
          </w:tcPr>
          <w:p w14:paraId="2EEDA2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5636" w:type="dxa"/>
            <w:shd w:val="clear" w:color="auto" w:fill="FFFFFF"/>
          </w:tcPr>
          <w:p w14:paraId="6D75B3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240 м, 12 сек.</w:t>
            </w:r>
          </w:p>
        </w:tc>
      </w:tr>
      <w:tr w:rsidR="007D5DF8" w:rsidRPr="00DB5D0D" w14:paraId="3BE74C09" w14:textId="77777777" w:rsidTr="009223E5">
        <w:tc>
          <w:tcPr>
            <w:tcW w:w="5636" w:type="dxa"/>
            <w:tcBorders>
              <w:bottom w:val="single" w:sz="12" w:space="0" w:color="auto"/>
            </w:tcBorders>
            <w:shd w:val="clear" w:color="auto" w:fill="FFFFFF"/>
          </w:tcPr>
          <w:p w14:paraId="72B2F1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5636" w:type="dxa"/>
            <w:tcBorders>
              <w:bottom w:val="single" w:sz="12" w:space="0" w:color="auto"/>
            </w:tcBorders>
            <w:shd w:val="clear" w:color="auto" w:fill="FFFFFF"/>
          </w:tcPr>
          <w:p w14:paraId="55F891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200 м, 10 сек.</w:t>
            </w:r>
          </w:p>
        </w:tc>
      </w:tr>
    </w:tbl>
    <w:p w14:paraId="335CCE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Летные свойства:</w:t>
      </w:r>
    </w:p>
    <w:p w14:paraId="0A6858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Управляемость хорошая.</w:t>
      </w:r>
    </w:p>
    <w:p w14:paraId="60051C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Устрйчивость поперечная и пути удовлетворительная, продельная - нейтральная. Изготовлено горизонтальное оперение с увеличенной площадью. С таким оперением продольная устойчивость самолета еще улучшится.</w:t>
      </w:r>
    </w:p>
    <w:p w14:paraId="3F3055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Обзор вперед и вбок удовлетворительный, назад недостаточный.</w:t>
      </w:r>
    </w:p>
    <w:p w14:paraId="3C4616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Маневренностъ хорошая.</w:t>
      </w:r>
    </w:p>
    <w:p w14:paraId="67CFE7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Взлет и посадка очень похожи на И-16.</w:t>
      </w:r>
    </w:p>
    <w:p w14:paraId="2DFB40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Проверка штопора до 3-х витков на опытном и серийном самолетах показала, что из штопора с-т выходит без запаздывания.</w:t>
      </w:r>
    </w:p>
    <w:p w14:paraId="1AE9BA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Вооружение - 2 пулемета ШКАС и 2 БС, патрон для мелкокалиберн. 1500 шт., для БС - 400 шт. Вооружение в основном отлажено, исправляются звеньеотводы БС. Предполагают закончить отладку 2.6., отстрел 3.6. На экз. № 1 войсковой серии на заводе № 21 вооружение на земле работало без задержек.</w:t>
      </w:r>
    </w:p>
    <w:p w14:paraId="13A090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эксплуатационным свойствам самолет очень близок к И-16, слабое место - шасси. Необходимо ускорить выпуск самолета с одностоечным шасси на заводе № 21.</w:t>
      </w:r>
    </w:p>
    <w:p w14:paraId="11E1E5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Материал конструкции: крыло - лонжероны из хромансилевых труб и или открытых профилей, нервюры и обшивка - дюралевая. Обшивка нижней поверхности крыла - полотно</w:t>
      </w:r>
    </w:p>
    <w:p w14:paraId="221DB0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 деревянный мопокок.</w:t>
      </w:r>
    </w:p>
    <w:p w14:paraId="67FFFA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Оперение- дюралевый каркас, обшивка полотняная.</w:t>
      </w:r>
    </w:p>
    <w:p w14:paraId="623B78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 производственной точки зрения для серийного изготовления самолета заводом № 21 трудностей нет.</w:t>
      </w:r>
    </w:p>
    <w:p w14:paraId="1E7DE3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7. По статиспытаниям агрегатов самолета получены результаты, показывающие - прочность свыше 100% при расчетном весе 2400 кг (фактический вес серийного с-та завода № 21 - 2403 кг). Таким образом прочность самолета соответствует нормам прочности.</w:t>
      </w:r>
    </w:p>
    <w:p w14:paraId="5E7AB8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Ви2р Ерышев (10514,35).</w:t>
      </w:r>
    </w:p>
    <w:p w14:paraId="24FDC7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6CEFB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была подготовлена КРАТКАЯ ХАРАКТЕРИСТИКА</w:t>
      </w:r>
    </w:p>
    <w:p w14:paraId="3D9A6F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САМОЛЕТА И-190 М-88, КОНСТРУКЦИИ т. ПОЛИКАРПОВА ПРОИЗВОДСТВА ЗАВОДА № 1.</w:t>
      </w:r>
    </w:p>
    <w:p w14:paraId="68C09F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Фактические полученные летные данные по заводским испытаниям с мотором М-88 без редуктора.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1EFAFEDA" w14:textId="77777777" w:rsidTr="009223E5">
        <w:tc>
          <w:tcPr>
            <w:tcW w:w="5636" w:type="dxa"/>
            <w:tcBorders>
              <w:top w:val="single" w:sz="12" w:space="0" w:color="auto"/>
            </w:tcBorders>
            <w:shd w:val="clear" w:color="auto" w:fill="FFFFFF"/>
          </w:tcPr>
          <w:p w14:paraId="40BF9D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на 5000 м</w:t>
            </w:r>
          </w:p>
        </w:tc>
        <w:tc>
          <w:tcPr>
            <w:tcW w:w="5636" w:type="dxa"/>
            <w:tcBorders>
              <w:top w:val="single" w:sz="12" w:space="0" w:color="auto"/>
            </w:tcBorders>
            <w:shd w:val="clear" w:color="auto" w:fill="FFFFFF"/>
          </w:tcPr>
          <w:p w14:paraId="121732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 минут</w:t>
            </w:r>
          </w:p>
        </w:tc>
      </w:tr>
      <w:tr w:rsidR="007D5DF8" w:rsidRPr="00DB5D0D" w14:paraId="6031AD80" w14:textId="77777777" w:rsidTr="009223E5">
        <w:tc>
          <w:tcPr>
            <w:tcW w:w="5636" w:type="dxa"/>
            <w:shd w:val="clear" w:color="auto" w:fill="FFFFFF"/>
          </w:tcPr>
          <w:p w14:paraId="1E0FAA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Н=6000 м</w:t>
            </w:r>
          </w:p>
        </w:tc>
        <w:tc>
          <w:tcPr>
            <w:tcW w:w="5636" w:type="dxa"/>
            <w:shd w:val="clear" w:color="auto" w:fill="FFFFFF"/>
          </w:tcPr>
          <w:p w14:paraId="5A0A82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 км/час</w:t>
            </w:r>
          </w:p>
        </w:tc>
      </w:tr>
      <w:tr w:rsidR="007D5DF8" w:rsidRPr="00DB5D0D" w14:paraId="0E6FD80A" w14:textId="77777777" w:rsidTr="009223E5">
        <w:tc>
          <w:tcPr>
            <w:tcW w:w="5636" w:type="dxa"/>
            <w:tcBorders>
              <w:bottom w:val="single" w:sz="12" w:space="0" w:color="auto"/>
            </w:tcBorders>
            <w:shd w:val="clear" w:color="auto" w:fill="FFFFFF"/>
          </w:tcPr>
          <w:p w14:paraId="6CD9F2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Н=0</w:t>
            </w:r>
          </w:p>
        </w:tc>
        <w:tc>
          <w:tcPr>
            <w:tcW w:w="5636" w:type="dxa"/>
            <w:tcBorders>
              <w:bottom w:val="single" w:sz="12" w:space="0" w:color="auto"/>
            </w:tcBorders>
            <w:shd w:val="clear" w:color="auto" w:fill="FFFFFF"/>
          </w:tcPr>
          <w:p w14:paraId="003BBA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 км/час</w:t>
            </w:r>
          </w:p>
        </w:tc>
      </w:tr>
    </w:tbl>
    <w:p w14:paraId="73BFA8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Оценка летных свойств:</w:t>
      </w:r>
    </w:p>
    <w:p w14:paraId="1AC0D4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Управляемость удовлетворительная</w:t>
      </w:r>
    </w:p>
    <w:p w14:paraId="72B6C2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Устойчивость удовлетворительная (по заклю</w:t>
      </w:r>
      <w:r w:rsidRPr="00DB5D0D">
        <w:rPr>
          <w:rFonts w:ascii="Times New Roman" w:hAnsi="Times New Roman"/>
          <w:color w:val="000000" w:themeColor="text1"/>
          <w:sz w:val="16"/>
          <w:szCs w:val="16"/>
        </w:rPr>
        <w:softHyphen/>
        <w:t>чению летчика ЖУКОВА)</w:t>
      </w:r>
    </w:p>
    <w:p w14:paraId="6846E5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Обзор такол же как на самолете И-153.</w:t>
      </w:r>
    </w:p>
    <w:p w14:paraId="02E98C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Маневренность удовлетворительная, время виража - 12-13 сек.</w:t>
      </w:r>
    </w:p>
    <w:p w14:paraId="54B4BE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самолете установлено 4 пулемета ШКАС с запасом патронов 2500 шт. Произведен отстрел пулеметов до п=1800 об/мин. (требуется до 2200 об/мин.).</w:t>
      </w:r>
    </w:p>
    <w:p w14:paraId="35048C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Эксплоатация самолета аналогична самолету И-153. Винто-моторная группа недоведена. Установленый мотор М-88 безредукторныий и винт с шириной лопасти 217 мм показали плохой КПД, что и сказалось на скорости. Принято решение установить мотор М-88 Р (редукторвый).</w:t>
      </w:r>
    </w:p>
    <w:p w14:paraId="0A94D9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Конструкция самолета смешанная. Фюзеляж форменный, их хромансилевых труб. Коробка крыльев деревянная с фанерной неработающей обшивкой.</w:t>
      </w:r>
    </w:p>
    <w:p w14:paraId="0B6067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Расчет самолета на прочность производится на полетный вес 2050 кг., фактическай полетный вес ока</w:t>
      </w:r>
      <w:r w:rsidRPr="00DB5D0D">
        <w:rPr>
          <w:rFonts w:ascii="Times New Roman" w:hAnsi="Times New Roman"/>
          <w:color w:val="000000" w:themeColor="text1"/>
          <w:sz w:val="16"/>
          <w:szCs w:val="16"/>
        </w:rPr>
        <w:softHyphen/>
        <w:t>зался 2287 кг., а если учесть, что будет установлен мотор редукторний, то это еще увеличит вес на 50-70 кг.</w:t>
      </w:r>
    </w:p>
    <w:p w14:paraId="0C655E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фюзеляж придется усилить, так как даже при полетном весе 2050 кг. Фюзеляж выдержал на испытании 91%</w:t>
      </w:r>
    </w:p>
    <w:p w14:paraId="27F8C8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 1 РАНГА НИКИТЧЕНКО (10514,43).</w:t>
      </w:r>
    </w:p>
    <w:p w14:paraId="0E1D90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F3E4D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 Контрольном листе учета выполнения постановления КО СНК СССР № 102сс от 4 марта 1940 г. представителем КО СНК СССР - контролером Вахрушевым была сделана запись:</w:t>
      </w:r>
    </w:p>
    <w:p w14:paraId="342D4C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И-185</w:t>
      </w:r>
    </w:p>
    <w:p w14:paraId="48D324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статиспытаний изготовлены все агрегаты. Подготавиваются статиспытания.</w:t>
      </w:r>
    </w:p>
    <w:p w14:paraId="672DB4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производства продувок в трубе изготовлена летающая модель с работающим вонтом.</w:t>
      </w:r>
    </w:p>
    <w:p w14:paraId="5F7446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летный экземпляр поступил в общую сборку.</w:t>
      </w:r>
    </w:p>
    <w:p w14:paraId="0AC984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Задерживается подача мотора М-90.</w:t>
      </w:r>
    </w:p>
    <w:p w14:paraId="6FED91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летный экземпляр - все агрегаты находятся в стапельной сборке.</w:t>
      </w:r>
    </w:p>
    <w:p w14:paraId="0805C5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3-й и 4-й экземпляры - изготавливаются детали, начинается агрегатная сборка.</w:t>
      </w:r>
    </w:p>
    <w:p w14:paraId="6063EF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5-й экз. Запущен в производство (10395,28).</w:t>
      </w:r>
    </w:p>
    <w:p w14:paraId="74F7A61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BABC8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Зам. наркома П.А.Воронин писал Нач. ГВФ Молокову письмо N 4429-4 (копия директору завода 23 Баранову), что самолет СХ-1, который вы заказывали на 1940 в количестве 10 штук, является конструктивно малоприспособленным для серийного производства и требуется полная переработка конструкции и выпуск 100% новых чертежей. Предназначенный для машины мотор МГ-31 серийно не выпускается. Заказ не может быть принят (1206).</w:t>
      </w:r>
    </w:p>
    <w:p w14:paraId="6837B1F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B408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 НИИ ВВС завершили возобновленные c 26 мая 1940 и прерванные в декабре 1939 испытания японского И-97 в НИИ ВВС. Прерывали т.к. машину не смогли поставить на лыжи. Машина была доставлена с Халхин-Гола осенью и 17 ноября 1939 совершил первый полет. В 1940 провели бои с И-153 с М-63 и пушечным И-16 М-25В. Машину продемонстрировали руководству страны. Всего выполнили 38 полетов и налетали 10.5 час. Супрун испытывал и вторую машину более позднего выпуска (2643,17).</w:t>
      </w:r>
    </w:p>
    <w:p w14:paraId="04B455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этап проходил с 15 ноября по 16 декабря 1939 г. Зимой самолет не летал из-за невозможности установки лыж для взлета и посадки. Всего во время испытаний произвели 38 полетов общей продолжительностью 10 часов 30 минут (7573,30).</w:t>
      </w:r>
    </w:p>
    <w:p w14:paraId="154B89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работал на земле 8 часов 50 минут, на станке - 20 часов 15 минут. Летные характеристики снимали с углом установки лопастей винта (33°) и наддувом, которые соответствовали японской регулировке в боевых условиях. При испытаниях с самолета демонтировали кольцевой(лобовой)масляный радиатор, так как при пробах мотора на земле масло в нем сильно переохлаждалось (7573,30).</w:t>
      </w:r>
    </w:p>
    <w:p w14:paraId="0DF0C8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вооружения и спецоборудования в НИИ ВВС не проводилось, поскольку оно уже было знакомо по самолетам И-95бис и И-96 (7573,30).</w:t>
      </w:r>
    </w:p>
    <w:p w14:paraId="6955D9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изучения вышеупомянутой машины, был произведен облет самолета И-97 более позднего выпуска летчиками НИИ ВВС и летчиками Н-ской авиационной части (предположительно - на территории Монголии) (7573,30).</w:t>
      </w:r>
    </w:p>
    <w:p w14:paraId="1D8574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Источником информации для специалистов института служили также отчеты по проведению воздушных боев с И-97 (Ки-27) советских самолетов И-16 и И-153 во время операций в районе озера Халхин-Гол (7573,30).</w:t>
      </w:r>
    </w:p>
    <w:p w14:paraId="23C559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группу непосредственных участников испытаний входили: ведущий инженер военинженер 3-го ранга М.И.Та-ракановский, помощник ведущего инженера военинженер 3-го ранга Раб кин, ведущий летчик-испытатель капитан А.С.Николаев, ведущий инженер по ВМГ военинженер 3-го ранга Золото-рев, ведущий инженер по вооружению военинженер 3-го ранга Березин, техник самолета воентехник 2-го ранга Стрелков, техник по вооружению воентехник 2-го ранга Наумов, моторист старшина Сидоркин, техники-расчетчики Андросова и Сорина, техник по приборам Быков, техник-кислородчик Коробков (7573,30).</w:t>
      </w:r>
    </w:p>
    <w:p w14:paraId="6514D2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облетывали: генерал-майор авиации А.И.Филин, полковой комиссар Холопцев, летчики-испытатели майоры С.П.Супрун и П.М.Стефа-новский, военинженер 2-го ранга капитан А.Г.Кочетков, военинженер 2-го ранга капитан А.Г.Прошаков, старший лейтенантА.Г.Кубышкин, старший лейтенант Шапоров, летчик-испытатель Н-ской части К.К.Коккинаки и командир эскадрильи Олейниченко (7573,30).</w:t>
      </w:r>
    </w:p>
    <w:p w14:paraId="6AE3A99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EED9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 показом машины высшему руководству страны на Центральном аэродроме столицы завершились испытания К1-27 в НИИ ВВС. В выводах отчета по ре</w:t>
      </w:r>
      <w:r w:rsidRPr="00DB5D0D">
        <w:rPr>
          <w:rFonts w:ascii="Times New Roman" w:hAnsi="Times New Roman"/>
          <w:color w:val="000000" w:themeColor="text1"/>
          <w:sz w:val="16"/>
          <w:szCs w:val="16"/>
        </w:rPr>
        <w:softHyphen/>
        <w:t>зультатам испытаний «японца» отмечалось, в частности:</w:t>
      </w:r>
    </w:p>
    <w:p w14:paraId="7820D1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«Живучесть И-97 меньше, чем у отечественных истре</w:t>
      </w:r>
      <w:r w:rsidRPr="00DB5D0D">
        <w:rPr>
          <w:rFonts w:ascii="Times New Roman" w:hAnsi="Times New Roman"/>
          <w:color w:val="000000" w:themeColor="text1"/>
          <w:sz w:val="16"/>
          <w:szCs w:val="16"/>
        </w:rPr>
        <w:softHyphen/>
        <w:t>бителей &lt;...&gt; из-за отсутствия бронирования, протекти-рованных баков и заполнения их нейтральным газом.</w:t>
      </w:r>
    </w:p>
    <w:p w14:paraId="1E245C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Сравнительно высокие летные данные, при моторе мощ</w:t>
      </w:r>
      <w:r w:rsidRPr="00DB5D0D">
        <w:rPr>
          <w:rFonts w:ascii="Times New Roman" w:hAnsi="Times New Roman"/>
          <w:color w:val="000000" w:themeColor="text1"/>
          <w:sz w:val="16"/>
          <w:szCs w:val="16"/>
        </w:rPr>
        <w:softHyphen/>
        <w:t>ностью 650 л.с., с неубирающимся шасси и при небольшой по</w:t>
      </w:r>
      <w:r w:rsidRPr="00DB5D0D">
        <w:rPr>
          <w:rFonts w:ascii="Times New Roman" w:hAnsi="Times New Roman"/>
          <w:color w:val="000000" w:themeColor="text1"/>
          <w:sz w:val="16"/>
          <w:szCs w:val="16"/>
        </w:rPr>
        <w:softHyphen/>
        <w:t>садочной скорости получены в основном за счет меньшего &lt;...&gt; миделя фюзеляжа, так как диаметр звезды мотора меньше на шесть процентов, металлической обшивки &lt;...&gt; с заклепками впотаи, меньшей относительной толщины крыла &lt;...&gt; и наличия редуктора на моторе.</w:t>
      </w:r>
    </w:p>
    <w:p w14:paraId="740738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Стремление к снижению полетного веса привело к ус</w:t>
      </w:r>
      <w:r w:rsidRPr="00DB5D0D">
        <w:rPr>
          <w:rFonts w:ascii="Times New Roman" w:hAnsi="Times New Roman"/>
          <w:color w:val="000000" w:themeColor="text1"/>
          <w:sz w:val="16"/>
          <w:szCs w:val="16"/>
        </w:rPr>
        <w:softHyphen/>
        <w:t>ложнению эксплуатации и транспортировки, а также к недостаточной прочности самолета» (10745,113).</w:t>
      </w:r>
    </w:p>
    <w:p w14:paraId="541123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09C4FF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 вышел приказ НИИ ВВС № 0106</w:t>
      </w:r>
    </w:p>
    <w:p w14:paraId="77B526F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Специальные гос. испытания одномоторного одноместного истребителя «Мессершмидт Ме-109» с мотором ДВ-601 (6891, 222).</w:t>
      </w:r>
    </w:p>
    <w:p w14:paraId="7BA41F2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24C04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вышел приказ НКАП N 248с "Об увеличении срока службы авиамоторов" (1002,2).</w:t>
      </w:r>
    </w:p>
    <w:p w14:paraId="1947C55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6AD3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 составлен:</w:t>
      </w:r>
    </w:p>
    <w:p w14:paraId="2A3647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АКТ</w:t>
      </w:r>
    </w:p>
    <w:p w14:paraId="7F6164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Настоящий акт составлен на заводе № 289 10 мая 1940 в присутствии: Зам. ГК з-да № 289 т. Фельснер Е.О., Представителя ЦИАМ ст. И т. Ливермана И.М., ст. И ЛИС з-да № 289 Сергеева В.Г., борт механика з-да № 289 т. Семчурина М.М. и и представителя завода № 26 механи</w:t>
      </w:r>
      <w:r w:rsidRPr="00DB5D0D">
        <w:rPr>
          <w:rFonts w:ascii="Times New Roman" w:hAnsi="Times New Roman"/>
          <w:color w:val="000000" w:themeColor="text1"/>
          <w:sz w:val="16"/>
          <w:szCs w:val="16"/>
        </w:rPr>
        <w:softHyphen/>
        <w:t>ка т. Новодерова И.А. в том, что при испытании мотера М-105П № 954-1, стенда самолета М</w:t>
      </w:r>
      <w:r w:rsidRPr="00DB5D0D">
        <w:rPr>
          <w:rFonts w:ascii="Times New Roman" w:hAnsi="Times New Roman"/>
          <w:smallCaps/>
          <w:color w:val="000000" w:themeColor="text1"/>
          <w:sz w:val="16"/>
          <w:szCs w:val="16"/>
        </w:rPr>
        <w:t xml:space="preserve"> 3</w:t>
      </w:r>
      <w:r w:rsidRPr="00DB5D0D">
        <w:rPr>
          <w:rFonts w:ascii="Times New Roman" w:hAnsi="Times New Roman"/>
          <w:color w:val="000000" w:themeColor="text1"/>
          <w:sz w:val="16"/>
          <w:szCs w:val="16"/>
        </w:rPr>
        <w:t xml:space="preserve">30 по программе ЦИАМ пункт 1У (проверка надежности работы мотора и турбокомпрессорной установки) на 45-й минуте первого </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часа третьего этапа в первом правом цилиндре мотора сгорел выпускной клапан, два куска которого выбросило через выхлопной коллектор наружу (874,14).</w:t>
      </w:r>
    </w:p>
    <w:p w14:paraId="564BC2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65E1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вышло постановление № 752-294с Об организации закрытой торговли на строительствах НКАП. Упоминаются з-ды: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5245"/>
      </w:tblGrid>
      <w:tr w:rsidR="007D5DF8" w:rsidRPr="00DB5D0D" w14:paraId="340F47CC" w14:textId="77777777" w:rsidTr="009223E5">
        <w:tc>
          <w:tcPr>
            <w:tcW w:w="1242" w:type="dxa"/>
            <w:tcBorders>
              <w:top w:val="single" w:sz="12" w:space="0" w:color="auto"/>
            </w:tcBorders>
          </w:tcPr>
          <w:p w14:paraId="668C27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333</w:t>
            </w:r>
          </w:p>
        </w:tc>
        <w:tc>
          <w:tcPr>
            <w:tcW w:w="5245" w:type="dxa"/>
            <w:tcBorders>
              <w:top w:val="single" w:sz="12" w:space="0" w:color="auto"/>
            </w:tcBorders>
          </w:tcPr>
          <w:p w14:paraId="29C635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Комсомольск</w:t>
            </w:r>
          </w:p>
        </w:tc>
      </w:tr>
      <w:tr w:rsidR="007D5DF8" w:rsidRPr="00DB5D0D" w14:paraId="52C67A78" w14:textId="77777777" w:rsidTr="009223E5">
        <w:tc>
          <w:tcPr>
            <w:tcW w:w="1242" w:type="dxa"/>
          </w:tcPr>
          <w:p w14:paraId="494225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334</w:t>
            </w:r>
          </w:p>
        </w:tc>
        <w:tc>
          <w:tcPr>
            <w:tcW w:w="5245" w:type="dxa"/>
          </w:tcPr>
          <w:p w14:paraId="099C78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Иркутск</w:t>
            </w:r>
          </w:p>
        </w:tc>
      </w:tr>
      <w:tr w:rsidR="007D5DF8" w:rsidRPr="00DB5D0D" w14:paraId="1DE79A0D" w14:textId="77777777" w:rsidTr="009223E5">
        <w:tc>
          <w:tcPr>
            <w:tcW w:w="1242" w:type="dxa"/>
          </w:tcPr>
          <w:p w14:paraId="235536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335</w:t>
            </w:r>
          </w:p>
        </w:tc>
        <w:tc>
          <w:tcPr>
            <w:tcW w:w="5245" w:type="dxa"/>
          </w:tcPr>
          <w:p w14:paraId="171865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Новосибирск</w:t>
            </w:r>
          </w:p>
        </w:tc>
      </w:tr>
      <w:tr w:rsidR="007D5DF8" w:rsidRPr="00DB5D0D" w14:paraId="70E382F5" w14:textId="77777777" w:rsidTr="009223E5">
        <w:tc>
          <w:tcPr>
            <w:tcW w:w="1242" w:type="dxa"/>
          </w:tcPr>
          <w:p w14:paraId="590DB1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336</w:t>
            </w:r>
          </w:p>
        </w:tc>
        <w:tc>
          <w:tcPr>
            <w:tcW w:w="5245" w:type="dxa"/>
          </w:tcPr>
          <w:p w14:paraId="7D6042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Саратов</w:t>
            </w:r>
          </w:p>
        </w:tc>
      </w:tr>
      <w:tr w:rsidR="007D5DF8" w:rsidRPr="00DB5D0D" w14:paraId="35AEF05C" w14:textId="77777777" w:rsidTr="009223E5">
        <w:tc>
          <w:tcPr>
            <w:tcW w:w="1242" w:type="dxa"/>
          </w:tcPr>
          <w:p w14:paraId="6323F1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306</w:t>
            </w:r>
          </w:p>
        </w:tc>
        <w:tc>
          <w:tcPr>
            <w:tcW w:w="5245" w:type="dxa"/>
          </w:tcPr>
          <w:p w14:paraId="74E94F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Саратов</w:t>
            </w:r>
          </w:p>
        </w:tc>
      </w:tr>
      <w:tr w:rsidR="007D5DF8" w:rsidRPr="00DB5D0D" w14:paraId="54F8DA38" w14:textId="77777777" w:rsidTr="009223E5">
        <w:tc>
          <w:tcPr>
            <w:tcW w:w="1242" w:type="dxa"/>
          </w:tcPr>
          <w:p w14:paraId="1347C3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w:t>
            </w:r>
          </w:p>
        </w:tc>
        <w:tc>
          <w:tcPr>
            <w:tcW w:w="5245" w:type="dxa"/>
          </w:tcPr>
          <w:p w14:paraId="432A9D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Куйбышев</w:t>
            </w:r>
          </w:p>
        </w:tc>
      </w:tr>
      <w:tr w:rsidR="007D5DF8" w:rsidRPr="00DB5D0D" w14:paraId="3D73617E" w14:textId="77777777" w:rsidTr="009223E5">
        <w:tc>
          <w:tcPr>
            <w:tcW w:w="1242" w:type="dxa"/>
          </w:tcPr>
          <w:p w14:paraId="69D889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338</w:t>
            </w:r>
          </w:p>
        </w:tc>
        <w:tc>
          <w:tcPr>
            <w:tcW w:w="5245" w:type="dxa"/>
          </w:tcPr>
          <w:p w14:paraId="3328C0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Уфа</w:t>
            </w:r>
          </w:p>
        </w:tc>
      </w:tr>
      <w:tr w:rsidR="007D5DF8" w:rsidRPr="00DB5D0D" w14:paraId="6C47739C" w14:textId="77777777" w:rsidTr="009223E5">
        <w:tc>
          <w:tcPr>
            <w:tcW w:w="1242" w:type="dxa"/>
            <w:tcBorders>
              <w:bottom w:val="single" w:sz="12" w:space="0" w:color="auto"/>
            </w:tcBorders>
          </w:tcPr>
          <w:p w14:paraId="0E6FF9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377</w:t>
            </w:r>
          </w:p>
        </w:tc>
        <w:tc>
          <w:tcPr>
            <w:tcW w:w="5245" w:type="dxa"/>
            <w:tcBorders>
              <w:bottom w:val="single" w:sz="12" w:space="0" w:color="auto"/>
            </w:tcBorders>
          </w:tcPr>
          <w:p w14:paraId="78C9AE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Амурская обл.</w:t>
            </w:r>
          </w:p>
        </w:tc>
      </w:tr>
    </w:tbl>
    <w:p w14:paraId="0C2B21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(1268, 205).</w:t>
      </w:r>
    </w:p>
    <w:p w14:paraId="6DB418F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2F5C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состоялось заседание коллегии НКАП (прот. 13) о ходе строительства и подготовки к пуску завода 27 (зам. дир. завода 27 Михайлов, нач. 3ГУ Дукин, нач. ГУКС Кац) (1180).</w:t>
      </w:r>
    </w:p>
    <w:p w14:paraId="01081BF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2661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вышел приказ НКАП N 254с о том, что Комбинат 150 за январь-апрель оказался неподготовленным к выполнению установленной программы (78.3% в первом квартале и 74.9% во втором квартале) по винтам (403,85).</w:t>
      </w:r>
    </w:p>
    <w:p w14:paraId="6E7816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Комбинат № 150 за истекшие январь-апрель 1940 г. оказал</w:t>
      </w:r>
      <w:r w:rsidRPr="00DB5D0D">
        <w:rPr>
          <w:rFonts w:ascii="Times New Roman" w:hAnsi="Times New Roman"/>
          <w:color w:val="000000" w:themeColor="text1"/>
          <w:sz w:val="16"/>
          <w:szCs w:val="16"/>
        </w:rPr>
        <w:softHyphen/>
        <w:t>ся неподготовленным к выполнению установленной ему программы (выполнение- в 1-м квартале по товарной продукции- 78,3% и в апреле- 74,9%).</w:t>
      </w:r>
    </w:p>
    <w:p w14:paraId="0FFFCE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Неудовлетворительная работа Комбината явилась следст</w:t>
      </w:r>
      <w:r w:rsidRPr="00DB5D0D">
        <w:rPr>
          <w:rFonts w:ascii="Times New Roman" w:hAnsi="Times New Roman"/>
          <w:color w:val="000000" w:themeColor="text1"/>
          <w:sz w:val="16"/>
          <w:szCs w:val="16"/>
        </w:rPr>
        <w:softHyphen/>
        <w:t>вием:</w:t>
      </w:r>
    </w:p>
    <w:p w14:paraId="63B380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отсутствяя твердой технологической дисциплины и долж</w:t>
      </w:r>
      <w:r w:rsidRPr="00DB5D0D">
        <w:rPr>
          <w:rFonts w:ascii="Times New Roman" w:hAnsi="Times New Roman"/>
          <w:color w:val="000000" w:themeColor="text1"/>
          <w:sz w:val="16"/>
          <w:szCs w:val="16"/>
        </w:rPr>
        <w:softHyphen/>
        <w:t>ной организованности производства (простои, не оснащенность производства приспособлениями, не организованность инструменталь ного хозяйства, брак вследствие не отработанности и нарушения технологии);</w:t>
      </w:r>
    </w:p>
    <w:p w14:paraId="784E92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неудовлетворительности внутризаводского планирования и межцеховой диспетчеризации, что приводило к нарушению потока производства и систематической штурмовщине;</w:t>
      </w:r>
    </w:p>
    <w:p w14:paraId="794A67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срыва поставки заводом "Электросталь" поковок для винтов и недостаточностью удовлетворения инструментом и абразивами.</w:t>
      </w:r>
    </w:p>
    <w:p w14:paraId="366982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комплектного и равномерного выполнения программы июня с.г. и создания нормальных переходящих заделов, - ПРИКАЗЫВАЮ:</w:t>
      </w:r>
    </w:p>
    <w:p w14:paraId="08CD16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Директору Комбината № 150 тов. ВИЗИРЯН проработать вместе с инженерно-техническими работниками комбината конкрет</w:t>
      </w:r>
      <w:r w:rsidRPr="00DB5D0D">
        <w:rPr>
          <w:rFonts w:ascii="Times New Roman" w:hAnsi="Times New Roman"/>
          <w:color w:val="000000" w:themeColor="text1"/>
          <w:sz w:val="16"/>
          <w:szCs w:val="16"/>
        </w:rPr>
        <w:softHyphen/>
        <w:t>ные практические мероприятия до устранению брака, усиления межоперационного контроля, укреплению, технологической дисцицлины, улучшению техпроцесса и организации производства.</w:t>
      </w:r>
    </w:p>
    <w:p w14:paraId="3EE2F0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Начальнику 3-го Главного Управления тов. Лукину уста</w:t>
      </w:r>
      <w:r w:rsidRPr="00DB5D0D">
        <w:rPr>
          <w:rFonts w:ascii="Times New Roman" w:hAnsi="Times New Roman"/>
          <w:color w:val="000000" w:themeColor="text1"/>
          <w:sz w:val="16"/>
          <w:szCs w:val="16"/>
        </w:rPr>
        <w:softHyphen/>
        <w:t>новить вместе с директором комбината № 150 тов. Визирян график суточной сдачи винтов на июнь месяц....(402,85).</w:t>
      </w:r>
    </w:p>
    <w:p w14:paraId="234181F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32316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 начальник 1 отдела 3 управления ГУАС бригинженер Пономарев писал письмо № 519130 в КО Лунину</w:t>
      </w:r>
    </w:p>
    <w:p w14:paraId="1424FF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имеющегося у Вас заявления начальника ОКБ-15 Шпитального о том, что ему ГУАС не давало ТТТ на 37 мм авиационную пушку, препровождаю при сем копию ТТТ завизированных Шпитальным 14 января 1939 года и высланных ему 9 марта 1939 года при № 358868с.</w:t>
      </w:r>
    </w:p>
    <w:p w14:paraId="6A7660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w:t>
      </w:r>
    </w:p>
    <w:p w14:paraId="5A6E249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Копия ТТТ на 2-х листах.</w:t>
      </w:r>
    </w:p>
    <w:p w14:paraId="4E7ECB2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Копия препроводительн. на 1 листе (3375,30).</w:t>
      </w:r>
    </w:p>
    <w:p w14:paraId="7144CB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Тактико-технические требования на 37 мм автоматическую авиационную пушку большой мощности</w:t>
      </w:r>
    </w:p>
    <w:p w14:paraId="7751CE6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мм пушка большой мощности предназначается для неподвижной установки на специальные пушечные скоростные самолеты</w:t>
      </w:r>
    </w:p>
    <w:p w14:paraId="1867E8B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пушки вместе с магазином без патронов или приемником патронов не более 160 кг.</w:t>
      </w:r>
    </w:p>
    <w:p w14:paraId="655756D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Начальная скорость снаряда не менее 925 м/сек.</w:t>
      </w:r>
    </w:p>
    <w:p w14:paraId="62AC912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снаряда 0,7 кг (по чертежу АУ РККА).</w:t>
      </w:r>
    </w:p>
    <w:p w14:paraId="1149BE2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 стрельбы не менее 200 выстр./мин.</w:t>
      </w:r>
    </w:p>
    <w:p w14:paraId="55113D2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Питание должно обеспечивать непрерывный огонь не менее чем на 50 выстрелов.</w:t>
      </w:r>
    </w:p>
    <w:p w14:paraId="1163F09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быть правого и левого питания.</w:t>
      </w:r>
    </w:p>
    <w:p w14:paraId="4211882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Усиление на цапфах при выстреле не должно превышать 1300 кг без применения дульного тормоза.</w:t>
      </w:r>
    </w:p>
    <w:p w14:paraId="35A11BF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Живучесть пушки должна быть не менее 5000 выстрелов, а живучесть отдельных мелких деталей, идущих в запас (защелки, второстепенные оси, шпильки и т.п.) должна быть не менее 1500 выстрелов.</w:t>
      </w:r>
    </w:p>
    <w:p w14:paraId="00BA4D0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иметь пневматическую перезарядку и пневматический или электрический спуск, позволяющие летчику управлять стрельбой пушки в полете из кабины летчика.</w:t>
      </w:r>
    </w:p>
    <w:p w14:paraId="062A339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Габариты пушки должны позволять удобно разместить ее в самолете, не нарушая аэродинамических качеств современного самолета.</w:t>
      </w:r>
    </w:p>
    <w:p w14:paraId="1C0A72E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быть совершенно безопасной при уходе и при стрельбе (за исключением самолетов противника).</w:t>
      </w:r>
    </w:p>
    <w:p w14:paraId="57E7436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безотказно работать при всех углах возвышения от – 65 градусов до + 50 градусов.</w:t>
      </w:r>
    </w:p>
    <w:p w14:paraId="5E125A9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не должна иметь задержек неустранимых в воздухе перезаряжанием. Задержки устранимые в воздухе перезаряжением, допускаются не более 0,5%.</w:t>
      </w:r>
    </w:p>
    <w:p w14:paraId="0129440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допускать безотказную стрельбу без чистки не менее 200 выстрелов.</w:t>
      </w:r>
    </w:p>
    <w:p w14:paraId="27242BE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допускать безотказную стрельбу в воздухе и на земле очередью в 30 патронов без перерыва на охлаждение ствола.</w:t>
      </w:r>
    </w:p>
    <w:p w14:paraId="31B4B82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должна безотказно работать на высоте до 10000 метров.</w:t>
      </w:r>
    </w:p>
    <w:p w14:paraId="7D0870F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Виза Михно - 1 января</w:t>
      </w:r>
    </w:p>
    <w:p w14:paraId="47E3756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Виза Шпитального - 14 января 1939 (3375,31).</w:t>
      </w:r>
    </w:p>
    <w:p w14:paraId="7C1D0B8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марта 1939 п/п Нач. 3 Отделения 1 Отдела 3 Управления ВВС РККА ви2р Михно писал письмо Нач. ОКБ-15 </w:t>
      </w:r>
    </w:p>
    <w:p w14:paraId="0150ED1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Копия: Нач. 15 ГУНКВ</w:t>
      </w:r>
    </w:p>
    <w:p w14:paraId="18A4C00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дополнение к высланному ранее договору препровождаются при сем согласованные ТТТ на 37 мм авиационную пушку большой мощности с непрерывным питанием на 50 выстрелов.</w:t>
      </w:r>
    </w:p>
    <w:p w14:paraId="0366E41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2 листа (3375,33)</w:t>
      </w:r>
    </w:p>
    <w:p w14:paraId="1D494A1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1FAD37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 начальник НИП АВ ГУАС полковник Шевченко и военком НИП АВ ГУАС в/инженер 2 ранга Щербинин утвердили Отчет по полигонным испытаниям ампул диаметром 260 мм со взрывателями конструкции завода № 145 на самолете СБ</w:t>
      </w:r>
    </w:p>
    <w:p w14:paraId="53362B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Начато 10 апреля 1940 года</w:t>
      </w:r>
    </w:p>
    <w:p w14:paraId="604136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Окончено 15 мая 1940 года</w:t>
      </w:r>
    </w:p>
    <w:p w14:paraId="40C268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7D2D45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4 отделения опытного отдела НИП АВ ГУАС Комарницкий</w:t>
      </w:r>
    </w:p>
    <w:p w14:paraId="4CD08E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7FB85E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боевые, эксплуатационные и конструктивные качества ампул диаметром 260 мм со взрывателями.</w:t>
      </w:r>
    </w:p>
    <w:p w14:paraId="074C04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A44FFC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Ампулы диаметром 260 мм со взрывателями полигонные испытания выдержали (7819).</w:t>
      </w:r>
    </w:p>
    <w:p w14:paraId="14155BF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127526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Королев пишет записку прокурору Осипенко, просит вызвать его для беседы. Никто не вызывает. Через неделю пишет Главному прокурору СССР Панкратьеву: "...прошу Вас вызвать меня для беседы с Вами, или с лицом по Вашему указанию... Убедительно прошу Вас не отказать в моей просьбе" (10676).</w:t>
      </w:r>
    </w:p>
    <w:p w14:paraId="336283E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69E9E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B40738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29DE0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 с ОКБ № 92 был заключен договор на эскизное проектирование пушки Ф-34 с НКСМ, озабоченным созданием танка Т-34 «частичной модер</w:t>
      </w:r>
      <w:r w:rsidRPr="00DB5D0D">
        <w:rPr>
          <w:rFonts w:ascii="Times New Roman" w:hAnsi="Times New Roman"/>
          <w:color w:val="000000" w:themeColor="text1"/>
          <w:sz w:val="16"/>
          <w:szCs w:val="16"/>
        </w:rPr>
        <w:softHyphen/>
        <w:t>низации» (танк А-41). Согласно требованиям НКСМ, вы</w:t>
      </w:r>
      <w:r w:rsidRPr="00DB5D0D">
        <w:rPr>
          <w:rFonts w:ascii="Times New Roman" w:hAnsi="Times New Roman"/>
          <w:color w:val="000000" w:themeColor="text1"/>
          <w:sz w:val="16"/>
          <w:szCs w:val="16"/>
        </w:rPr>
        <w:softHyphen/>
        <w:t>двинутым на основании решения КО при СНК и ЦК ВКПб от 13 июня 1940 г., для вооружения нового среднего танка требовалось 76-мм орудие с баллистикой дивизионной пушки Ф-22. Приказом по НКВ № 164 от 14 июня 1940 г. заводу № 92 предписывалось начать испытания нового орудия с полевого станка 1 сентября 1940 г. Для экономии времени ОКБ № 92 использовало практи</w:t>
      </w:r>
      <w:r w:rsidRPr="00DB5D0D">
        <w:rPr>
          <w:rFonts w:ascii="Times New Roman" w:hAnsi="Times New Roman"/>
          <w:color w:val="000000" w:themeColor="text1"/>
          <w:sz w:val="16"/>
          <w:szCs w:val="16"/>
        </w:rPr>
        <w:softHyphen/>
        <w:t>чески законченный проект 76-мм танковой пушки с баллис</w:t>
      </w:r>
      <w:r w:rsidRPr="00DB5D0D">
        <w:rPr>
          <w:rFonts w:ascii="Times New Roman" w:hAnsi="Times New Roman"/>
          <w:color w:val="000000" w:themeColor="text1"/>
          <w:sz w:val="16"/>
          <w:szCs w:val="16"/>
        </w:rPr>
        <w:softHyphen/>
        <w:t>тикой зенитного орудия обр. 1931/38 гг. — Ф-27. В проекте были сделаны лишь те изменения, которые требовались для уравновешивания более короткого ствола, а также упроще</w:t>
      </w:r>
      <w:r w:rsidRPr="00DB5D0D">
        <w:rPr>
          <w:rFonts w:ascii="Times New Roman" w:hAnsi="Times New Roman"/>
          <w:color w:val="000000" w:themeColor="text1"/>
          <w:sz w:val="16"/>
          <w:szCs w:val="16"/>
        </w:rPr>
        <w:softHyphen/>
        <w:t>ния технологии изготовления. С 15 по 25 сентября орудие Ф-34 проходило программу отстрела с полевого станка (от орудия Ф-22УСВ). К 1 октября опытное орудие было установлено в башне танка БТ-7А и поступило на заводские ис</w:t>
      </w:r>
      <w:r w:rsidRPr="00DB5D0D">
        <w:rPr>
          <w:rFonts w:ascii="Times New Roman" w:hAnsi="Times New Roman"/>
          <w:color w:val="000000" w:themeColor="text1"/>
          <w:sz w:val="16"/>
          <w:szCs w:val="16"/>
        </w:rPr>
        <w:softHyphen/>
        <w:t xml:space="preserve">пытания обкаткой и стрельбой. Испытания завершились 20 ноября, а поскольку </w:t>
      </w:r>
      <w:r w:rsidRPr="00DB5D0D">
        <w:rPr>
          <w:rFonts w:ascii="Times New Roman" w:hAnsi="Times New Roman"/>
          <w:color w:val="000000" w:themeColor="text1"/>
          <w:sz w:val="16"/>
          <w:szCs w:val="16"/>
        </w:rPr>
        <w:lastRenderedPageBreak/>
        <w:t>никаких серьезных недоработок в конструкции пушки найдено не было, то уже 21 ноября ору</w:t>
      </w:r>
      <w:r w:rsidRPr="00DB5D0D">
        <w:rPr>
          <w:rFonts w:ascii="Times New Roman" w:hAnsi="Times New Roman"/>
          <w:color w:val="000000" w:themeColor="text1"/>
          <w:sz w:val="16"/>
          <w:szCs w:val="16"/>
        </w:rPr>
        <w:softHyphen/>
        <w:t>дие было рекомендовано для принятия на вооружение и предстало перед приемочной комиссией НКО (10782).</w:t>
      </w:r>
    </w:p>
    <w:p w14:paraId="5DB9BC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993AB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директор и главный конструктор завода № 92 сообщили в артиллерийский комитет ГАУ и в АБТУ КА:</w:t>
      </w:r>
    </w:p>
    <w:p w14:paraId="7115B8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известно, что 76,2-мм танковая пушка Ф-34 выдержала полигонные испытания с оценкой на «хорошо». Просим дать заключение об использовании данной пушки в системе вооружения Красной Армии».</w:t>
      </w:r>
    </w:p>
    <w:p w14:paraId="6949BD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своим баллистическим данным Ф-34 превосходила Л-11, к тому же была значительно проще и дешевле. Поэтому 13 июня 1940 года нарком обороны вышел в Совет народных комиссаров СССР со следующим предложением:</w:t>
      </w:r>
    </w:p>
    <w:p w14:paraId="4CFA79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«Т-34 вооружить пушкой Ф-34 и пулеметами ДС с утолщенными стволами. Как временная мера, на 1940 год Т-34 № 1. ввиду недостатка Ф-32 вооружать 45-мм пушкой, а Т-34 №2 - пушкой Ф-32. До изготовления в достаточном количестве Ф-34 и ДС оставить на 1940 год на вооружении танков пушки Л-11 и пулемет ДТ» (12217).</w:t>
      </w:r>
    </w:p>
    <w:p w14:paraId="40239A6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E6B16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вышло постановление СНК № 234, согласно которому вся прибыль от ТШП из отходов оставляли в распоряжении предприятияю Потом возродили 21 июня 1945 постановлением СНК № 1464 О восстановлении цехов ТШП на промышленных предприятиях (7543, 27).</w:t>
      </w:r>
    </w:p>
    <w:p w14:paraId="1D30129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846B6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 № 234 вышло постановление Совнаркома, согласно которому вся прибыль от изготовления товаров широкого потребления из промышленных отходов оставалась в распоряжении соответствующего предприятия (7543).</w:t>
      </w:r>
    </w:p>
    <w:p w14:paraId="2BE27EC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2746A1" w14:textId="77777777" w:rsidR="00CB30A8" w:rsidRPr="00DB5D0D" w:rsidRDefault="00CB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июня 1940 г. была отпечатана Первая часть приложения к отчету, которая содержала в себе текст программы войсковых испытаний, краткое описание танков А-34, 17 карт испытаний, в каждой из которых были изложены методика, цели и результаты проведенных испытаний, а также сводные таблицы со сведениями, полученными в процессе пробеговых испытаний и длительной эксплуатации танков. Кроме этого первая часть приложения содержала сводные ведомости с данными о проведенных за время войсковых испытаний ремонтах танков А-34. Следует заметить, что в описание танков А-34 были включены изменения, внесенные в конструкцию танка Т-34 на момент составления отчета и приложения к нему. Вторая часть приложения к отчету по войсковым испытаниям содержала в себе сведения по микрометражу основных механизмов и деталей трансмиссии и ходовой части танка А-34 № 1 (17610). </w:t>
      </w:r>
    </w:p>
    <w:p w14:paraId="1CCD6542" w14:textId="77777777" w:rsidR="00CB30A8" w:rsidRPr="00DB5D0D" w:rsidRDefault="00CB30A8" w:rsidP="00DB5D0D">
      <w:pPr>
        <w:pStyle w:val="128"/>
        <w:shd w:val="clear" w:color="auto" w:fill="auto"/>
        <w:spacing w:before="0" w:line="240" w:lineRule="auto"/>
        <w:ind w:firstLine="0"/>
        <w:rPr>
          <w:rFonts w:ascii="Times New Roman" w:hAnsi="Times New Roman"/>
          <w:color w:val="000000" w:themeColor="text1"/>
          <w:spacing w:val="0"/>
          <w:sz w:val="16"/>
          <w:szCs w:val="16"/>
        </w:rPr>
      </w:pPr>
    </w:p>
    <w:p w14:paraId="0EB2557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 июня 1940 было напечатано</w:t>
      </w:r>
    </w:p>
    <w:p w14:paraId="6A8685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СОВ. СЕКРЕТНО. </w:t>
      </w:r>
    </w:p>
    <w:p w14:paraId="45B50CE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ПРИЛОЖЕНИЕ № 021</w:t>
      </w:r>
    </w:p>
    <w:p w14:paraId="4DBDC92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 отчету по войсковым испытаниям танков Т-34.</w:t>
      </w:r>
    </w:p>
    <w:p w14:paraId="04DA839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(часть 1-ая)</w:t>
      </w:r>
    </w:p>
    <w:p w14:paraId="4DF7B21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Февраль – апрель 1940 г.</w:t>
      </w:r>
    </w:p>
    <w:p w14:paraId="3278F67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КРАТКОЕ ОПИСАНИЕ ТАНКА Т-34.</w:t>
      </w:r>
    </w:p>
    <w:p w14:paraId="6593738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Танк Т-34: представляет гусеничную боевую машину весом в 25 тонн, с одной вращающейся башней, допускающей горизонтальный круговой обстрел. Танк может двигаться со скоростями от 7-ми до 47 км/час и обслуживается командой из 4-х человек. </w:t>
      </w:r>
    </w:p>
    <w:p w14:paraId="64C4663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1 – Вид танка Т-34 спереди. Фото № 2 – Вид танка Т-34 сбоку. Фото № 3 – Вид танка Т-34 сзади.</w:t>
      </w:r>
    </w:p>
    <w:p w14:paraId="5D91900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Корпус танка: представляет броневую коробку цельносварной конструкции с отдельными заклепочными соединениями. Все броневые листы корпуса соединены между собой в замок. </w:t>
      </w:r>
    </w:p>
    <w:p w14:paraId="344F9D7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увеличения снарядоустойчивости, корпус выполнен с наклонно-расположенными носовыми, кормовыми и бортовыми листами, причем бортовые листы наклонены, только в верхней своей части, в виде подкрылка, идущего по всей длине корпуса. </w:t>
      </w:r>
    </w:p>
    <w:p w14:paraId="6D596D5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Толщины и наклоны броневых листов следующие: </w:t>
      </w:r>
    </w:p>
    <w:p w14:paraId="1AC3C36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Внутри корпус разделен моторной и вентиляционной перегородками на 3 отделения: переднее – боевое отделение (место расположения экипажа, боеприпасов и органов управления танком), среднее – моторное отделение и заднее – трансмиссионное отделение. </w:t>
      </w:r>
    </w:p>
    <w:p w14:paraId="632AF29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носовом листе корпуса смонтирован люк водителя, уравновешивающийся внутренней пружиной. Справа от люка водителя (в месте расположения стрелка) имеется забронированная шаровая установка с пулеметом "ДТ", обеспечивающая углы возвышения до 16° , углы снижения до 6° и горизонтальные углы в пределах ± 12°. </w:t>
      </w:r>
    </w:p>
    <w:p w14:paraId="01A99E5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Впереди сиденья стрелка, в днище, имеется люк-лаз для выхода команды в боевой обстановке, когда движение танка невозможно и выход через верхние люки является опасным. </w:t>
      </w:r>
    </w:p>
    <w:p w14:paraId="632B4EE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установки двигателя, в моторном отделении имеется подмоторный фундамент, состоящий из съемных боковин и приваренных к корпусу стоек. Для доступа к водяной и масляной помпам двигателя, в днище корпуса имеется люк. </w:t>
      </w:r>
    </w:p>
    <w:p w14:paraId="0F7E1C8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крепления передней части коробки передач, в трансмиссионном отделении установлена перегородка. В месте расположения коробки передач, в днище корпуса имеется люк. </w:t>
      </w:r>
    </w:p>
    <w:p w14:paraId="741A3A7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кормовой части корпуса приварены и прикреплены картера бортовых передач, имеющие броневые кожуха. </w:t>
      </w:r>
    </w:p>
    <w:p w14:paraId="2D41E0F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Из учета условий монтажа механизмов трансмиссии, верхний кормовой лист сделан съемным и снабжен люком, служащим для обслуживания трансмиссии в процессе эксплоатации. </w:t>
      </w:r>
    </w:p>
    <w:p w14:paraId="53612A3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Крыша корпуса состоит из отдельных листов, причем передний, подвешенный лист, приварен к корпусу, а задние листы, расположенные над двигателем и трансмиссией, съемные. Средняя часть крыши, расположенная над двигателем имеет возвышение (выштамповку), для размещения воздушного фильтра (изнутри). </w:t>
      </w:r>
    </w:p>
    <w:p w14:paraId="519C834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Над радиаторами и вентилятором в крыше имеются окна, служащие для циркуляции воздуха. Окна перекрываются жалюзи. Управление вентиляторными жалюзи осуществляется через привод, рычагом и сектором, расположенными у места водителя. </w:t>
      </w:r>
    </w:p>
    <w:p w14:paraId="7C65F13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Управление радиаторными жалюзи осуществляется из боевого отделения, двумя рычагами и секторами, смонтированными на моторной перегородке, через независимые приводы для правой и левой сторон. </w:t>
      </w:r>
    </w:p>
    <w:p w14:paraId="6DE3DFC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защиты от грязи, корпус снабжен грязевыми щитками и полками над гусеницами. </w:t>
      </w:r>
    </w:p>
    <w:p w14:paraId="5A0D185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носовой и кормовой частях корпуса установлены по 2 буксирных рымы. </w:t>
      </w:r>
    </w:p>
    <w:p w14:paraId="436B478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Башня танка – установлена на шариковой опоре над боевым отделением и представляет цельносварную коническую коробку с нишей в задней части. Все броневые листы башни соединены между собой в замок. </w:t>
      </w:r>
    </w:p>
    <w:p w14:paraId="05A3C6E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Боковые листы башни изготовлены из 45 мм брони, установленной под углом 30° к вертикали, толщина броневых листов крыши равна 15 мм, а днище ниши – 13 мм. </w:t>
      </w:r>
    </w:p>
    <w:p w14:paraId="77137DD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Диаметр башни в свету равен 1400 мм. </w:t>
      </w:r>
    </w:p>
    <w:p w14:paraId="41CF71B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передней части башни, в маске пушки, установлена танковая 76 мм пушка Л-11, спаренная с пулеметом "ДТ". Маска укреплена в сварной рамке внутри башни на цапфах, на которых она может проворачиваться по вертикали с помощью подъемного механизма. Предельный угол возвышения пушки и спаренного с ней пулемета составляет 30°, предельный угол снижения –5° на нос и борта и –1,5° на корму. Прицельным приспособлением для пушки пулемета служит телескоп "ТОД" и перископ "ПТ-1". Фиксация маски пушки при горизонтальном положении ствола орудия осуществляется стопором, расположенным справа у орудия. </w:t>
      </w:r>
    </w:p>
    <w:p w14:paraId="4E4AD77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Вращение башни осуществляется поворотным механизмом, установленным в башне, слева по ходу машины. Шестерни вала поворотного механизма зацепляются с зубчатым венцом погона корпуса, и имеет ручной и электрический приводы. </w:t>
      </w:r>
    </w:p>
    <w:p w14:paraId="2839DE5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Наличие в поворотном механизме планетарной передачи обеспечивает независимое действие обоих приводов. Передаточное отношение механизма при ручном приводе i=384. При работе поворотного механизма от электромотора, последний может вращать башню с числом оборотов n = 2 ÷ 4,2 об/м. </w:t>
      </w:r>
    </w:p>
    <w:p w14:paraId="4F13296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Башня может стопориться в любом положении стопором, установленным на задней стенке погона башни. </w:t>
      </w:r>
    </w:p>
    <w:p w14:paraId="2D2791E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крыше башни смонтирован люк, уравновешенный внутренней пружиной и служащий для входа и выхода команды башни. На крышке люка имеется вентиляционный люк и лючок для сигнализации. </w:t>
      </w:r>
    </w:p>
    <w:p w14:paraId="6214598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Башня оборудована двумя открытыми сиденьями. </w:t>
      </w:r>
    </w:p>
    <w:p w14:paraId="41BC56E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нише башни размещена рация 71-ТК-3. </w:t>
      </w:r>
    </w:p>
    <w:p w14:paraId="715DDB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Дизельмотор танка "Т-34" марки В-2, блочной конструкции, 4-х тактный, 12-ти цилиндровый, водяного охлаждения с V – образным расположением цилиндров под углом 60°. </w:t>
      </w:r>
    </w:p>
    <w:p w14:paraId="38C2DD7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Максимальная мощность мотора при n=1800 об/м. равна 500 л.с. Крепится к фундаменту 8-ю болтами, из них 6 с зазором в отверстиях и 2 – призонных, препятствующих перемещению двигателя при увеличении температуры картера, в сторону коробки передач, и нарушению положения оси двигателя, относительно оси коробки передач, устанавливаемых по специальным техническим условиям. Соединение двигателя с коробкой передач полужесткое – через зубчатую муфту. </w:t>
      </w:r>
    </w:p>
    <w:p w14:paraId="26B7CE5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Топливом для двигателя служит газойль – марки "Э" или "ДТ" удельный вес 0,876. </w:t>
      </w:r>
    </w:p>
    <w:p w14:paraId="7474AA5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Смазкой для трущихся деталей двигателя служат масла "СО" или "СС" уд. вес 0,89. </w:t>
      </w:r>
    </w:p>
    <w:p w14:paraId="3AB79C4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Система охлаждения – состоит из 2-х радиаторов, расположенных слева и справа двигателя, отдающих тепло омывающему их воздуху, тройника с воздушным клапаном, установленного над мотором (тройник служит для заливки системы водой), парового клапана, установленного у моторной перегородки и трубопровода, соединяемые дюритовыми шлангами. Система охлаждения закрытого типа – сообщается с атмосферой через паровой клапан, открывающийся при давлении внутри системы, равном 1,6 ÷ 1,8 атм. абс. предохраняя, таким образом, радиаторы от раздутия внутренним давлением и через воздушный клапан, открывающийся при давлении внутри системы, равном 0,87 – 0,92 атм. абс. предохраняя радиаторы от разрушения внешним давлением. </w:t>
      </w:r>
    </w:p>
    <w:p w14:paraId="30F427F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связи с тем, что паровой клапан отрегулирован на давление в системе 1,6 – 1,8 атм. абс., температура кипения воды в системе находится в пределах 112 ÷ 116°С. Емкость системы 90 – 95 литров. </w:t>
      </w:r>
    </w:p>
    <w:p w14:paraId="21AD069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Температура выходящей из мотора воды контролируется дистанционным термометром. Слив воды из системы осуществляется через краник на водяной помпе (см. фото №-4). </w:t>
      </w:r>
    </w:p>
    <w:p w14:paraId="05E2B7F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Система смазки – состоит из двух баков-радиаторов, размещенных по бортам машины в моторном отделении, помещающих в себе масло и отдающих тепло, омывающему их воздуху, запорного крана, служащего для отключения баков-радиаторов, чтобы масло не имело возможности переливаться в картер при неработающем двигателе, расширительного бачка, распределяющего выходящее из мотора масло в оба бака-радиатора и трубопровода. </w:t>
      </w:r>
    </w:p>
    <w:p w14:paraId="65B8EBF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зависимости от температуры окружающего воздуха, радиаторы, изготовленные заодно с баками, могут быть включены или отключены перепускными клапанами, смонтированными непосредственно на баках. При повреждении одного из баков-радиаторов, последний может быть отключен от системы. Отключение должно производиться одновременно как запорным краном, так и перепускным и притом, обязательно при неработающем двигателе. При включенном запорном кране, т.е. при сообщенных баках-радиаторах с двигателем, на щитке электроприборов горит лампочка зеленого цвета. Полная емкость каждого бака 57 литров, заправочная – 40 л. Минимальное допустимое количество масла в баках-радиаторах 10-15 л. в каждом. Температура входящего и выходящего из мотора масла контролируется дистанционным термометром. Давление масла после насоса двигателя контролируется манометром с приемником. </w:t>
      </w:r>
    </w:p>
    <w:p w14:paraId="0240CC5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Масло очищается от примесей фильтром, установленным на двигателе. </w:t>
      </w:r>
    </w:p>
    <w:p w14:paraId="0AEB807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Слив масла производится из баков через сливные пробки, а из двигателя через сливной кран на масляном насосе (см. фото №-5). </w:t>
      </w:r>
    </w:p>
    <w:p w14:paraId="07AB454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4 – Схема водяной системы. Фото № 5 – Схема масляной системы.</w:t>
      </w:r>
    </w:p>
    <w:p w14:paraId="508E41B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Воздухоочиститель установлен непосредственно на всасывающих коллекторах двигателя и принадлежит к группе очистителей комбинированного типа. Очищение от пыли происходит при повороте воздуха над масляной ванной вследствие возникновения центробежных сил в частицах пыли и при прохождении воздуха через фильтрующий элемент – промасленную канитель. В первом случае выделяются крупные частицы, во втором – мелкие. Период работы воздухоочистителя до помывки зависит от времени года и местности, на которой эксплуатируется машина, но не должен превышать 10-ти часов работы двигателя. Емкость масляной ванны воздухоочистителя равна 1 л. </w:t>
      </w:r>
    </w:p>
    <w:p w14:paraId="7C7B5D7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Топливная система состоит из: двух кормовых баков соединенных между собой трубкой, 2-х баков передних, расположенных в боевом отделении по бортам (каждый передний бак состоит из 2-х бачков верхнего и нижнего – соединенных между собой), трубопровода, подсоединяющего баки к распределительному крану, трубопровода, соединяющего распределительный кран с подкачивающей помпой двигателя, воздушного насоса, краника и трубопровода, соединяющего их между собой и баками (для подачи воздуха в баки перед запуском двигателя для заполнения трубопровода топливом). Топливо очищается фильтром, установленным на двигателе. Для спуска воздуха из фильтра, во избежание попадания его в топливный насос, установлен сливной краник под щитком контрольных приборов, соединенный с фильтром трубкой, в которую включен манометр, контролирующий давление топлива в трубопроводе перед топливным насосом. Суммарная емкость баков – 465 литров (см.фото №-6). </w:t>
      </w:r>
    </w:p>
    <w:p w14:paraId="23BCED8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Выхлопной трубопровод предназначен для отвода за пределы танка продуктов сгорания топлива в двигателе, и состоит из двух труб, идущих от двигателя к корме через трансмиссионное отделение, и выходящих затем наружу через задний наклонный лист корпуса. </w:t>
      </w:r>
    </w:p>
    <w:p w14:paraId="21F12B7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Центробежный вентилятор установленный на маховике главного фрикциона, вращающийся с числом оборотов равным числу оборотов двигателя, предназначается для всасывания окружающего воздуха в машину и выбрасывания его затем наружу. Всасываемый воздух необходим для обдувки водяных и масляных радиаторов, коробки перемены передач и компрессора в целях охлаждения этих агрегатов во избежание перегрева. </w:t>
      </w:r>
    </w:p>
    <w:p w14:paraId="3C1E0CE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Вентилятор состоит из основного диска, лопаток и направляющего кольца с накладкой, соединенных между собой заклепками. </w:t>
      </w:r>
    </w:p>
    <w:p w14:paraId="67E230D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Привод к плунжерному насосу предназначен для изменения подачи количества топлива в цилиндры двигателя с места водителя. Изменение подачи количества топлива может производиться как ногой, с помощью ножной педали, так и рукой, с помощью ручного привода, сблокированного с ножным приводом. Привод к плунжерному насосу состоит из ножной педали с подкаблучником, ручного привода, тяг и рычагов. Для возвращения ножной педали в исходное положение (подача топлива закрыта) установлена пружина на горизонтальной тяге. Для выборки зазоров в шарнирных соединенных вертикальных тяг – установлена пружина на вертикальной тяге (см. фото №-7). </w:t>
      </w:r>
    </w:p>
    <w:p w14:paraId="6B77AA8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Система воздушного пуска – Предназначена для запуска двигателя сжатым воздухом и является вторым и запасным средством запуска двигателя. Система состоит из 2-х баллонов, емкостью 10 л. каждый, редукционного крана, тройника для зарядки баллонов на месте и трубопровода, присоединенного к воздухораспределителю на двигателе. Управление подачей сжатого воздуха в воздухораспределитель на двигателе производиться редукционным краном. Максимальное давление воздуха в баллонах 150 атм. Пусковое давление воздуха зависит от температуры окружающего воздуха (времени года) и от состояния мотора (степени износа и температуры его); по этому оно может быть различным и может достигать 150 атм. Контролируется пусковое давление и давление в баллонах двумя манометрами, смонтированными на редукционном кране (см.фото №-8). </w:t>
      </w:r>
    </w:p>
    <w:p w14:paraId="68D5C66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6 – Схема топливной системы. Фото № 7 – Привод к топливному насосу. Фото № 8 – Воздушный пуск двигателя В-2.</w:t>
      </w:r>
    </w:p>
    <w:p w14:paraId="6C290A4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Контрольные приборы – установленные на танке обеспечиваю возможность контроля работы двигателя: </w:t>
      </w:r>
    </w:p>
    <w:p w14:paraId="7D7CFE3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Тахометр показывает число оборотов вала мотора в мин. </w:t>
      </w:r>
    </w:p>
    <w:p w14:paraId="3F327B7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Температурный режим агрегатов, обслуживающих мотор, контролируют – термометры в системе охлаждения и смазки. </w:t>
      </w:r>
    </w:p>
    <w:p w14:paraId="0EB6A60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Манометры показывают давление топлива и масла в трубопроводе перед двигателем. </w:t>
      </w:r>
    </w:p>
    <w:p w14:paraId="100CE7D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Для наблюдения за скоростью движения танка и суммирования пройденного пути установлен спидометр. </w:t>
      </w:r>
    </w:p>
    <w:p w14:paraId="5A26CF8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Авиочасы. Все указанные приборы смонтированы на одном щитке, установленном у места водителя – впереди. </w:t>
      </w:r>
    </w:p>
    <w:p w14:paraId="1DF4AFF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Главный фрикцион – смонтирован в маховике, сидящем на носке коленчатого вала двигателя (на шлицах). Крутящий момент двигателя передается от маховика к ведомому барабану, через набор из 10-ти ведущих и 12-ти ведомых стальных дисков сухого трения. </w:t>
      </w:r>
    </w:p>
    <w:p w14:paraId="4F0F272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Диски трения прижимаются друг к другу 16 спиралевидными пружинами. </w:t>
      </w:r>
    </w:p>
    <w:p w14:paraId="135D617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Маховик центрируется на шлицевом хвостовике носка коленчатого вала 2-мя бронзовыми конусами и крепится пробкой, снабженной стопорным распорным конусом. </w:t>
      </w:r>
    </w:p>
    <w:p w14:paraId="00705CA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Ведомый барабан со ступицей, укрепленной на барабане болтами, установлен на одном роликоподшипнике, сидящем на ступице маховика и на 2-х шарикоподшипниках, сидящих на носке коленчатого вала. </w:t>
      </w:r>
    </w:p>
    <w:p w14:paraId="719F77B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Выключение фрикциона, т.е. освобождение дисков трения от усилий нажимных пружин, осуществляется шариковым механизмом, состоящим из 3-х шариков, помещенных в наклонных шаровых канавках кольца поводковой коробки и чашки выключения. </w:t>
      </w:r>
    </w:p>
    <w:p w14:paraId="0DC17E4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Соединение ведомого барабана фрикциона с коробкой передач выполнено при помощи 2-х скрепленных болтами, зубчатых муфт, из которых одна устанавливается на зубцах ступицы ведомого барабана, другая на зубчатке ведущей шестерни коробки передач. </w:t>
      </w:r>
    </w:p>
    <w:p w14:paraId="53164F7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Благодаря значительным зазорам между зубцами муфт, такое полужесткое сочленение фрикциона с коробкой передач разгружает механизмы от дополнительных нагрузок, возникающих при нарушении соостности между двигателем и коробкой передач (см. фото №-9). </w:t>
      </w:r>
    </w:p>
    <w:p w14:paraId="19F39B1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Коробка передач. Имеет 4 передачи для переднего хода танка и одну для заднего хода. Коробка выполнена без прямой передачи, с передним расположением конической пары и с поперечными валами, расположенными в горизонтальной плоскости. Включение передач производится перемещением по валам подвижных шестерен (кареток). </w:t>
      </w:r>
    </w:p>
    <w:p w14:paraId="31919BC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Смонтирована коробка передач в алюминиевом картере, состоящем из 2-х половин. Первичный вал выполнен заодно с ведущей конической шестерней и установлен в горловине картера на коническом, упорном и роликовом подшипниках, смонтированных в общем гнезде. </w:t>
      </w:r>
    </w:p>
    <w:p w14:paraId="3A129DC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Ведущая коническая шестерня первичного вала находится в постоянном зацеплении с ведомой конической шестерней, укрепленной на передаточном валу. Передаточный и главный валы установлены в картере каждый на 3-х опорах. Крайними опорами валов являются роликоподшипники, средние опоры состоят каждая из 2-х конических роликоподшипников, заключенных в общие гнезда. Средние опоры воспринимают осевые усилия, действующие на валы, и фиксируют положение валов в картере. Все шестерни главного и передаточного валов установлены на шлицах. </w:t>
      </w:r>
    </w:p>
    <w:p w14:paraId="773CA04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Каретка заднего хода установлена на 2-х роликоподшипниках на отдельном валике, жестко укрепленном в верхней половине картера. </w:t>
      </w:r>
    </w:p>
    <w:p w14:paraId="6BDCD53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Перемещение кареток на валах осуществляется при помощи вилок, укрепленных на поводковых валиках. </w:t>
      </w:r>
    </w:p>
    <w:p w14:paraId="11EBDB7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Смазочным материалом для деталей коробки передач служит авиационное масло. Смазка трущихся деталей в коробке осуществляется разбрызгиванием. </w:t>
      </w:r>
    </w:p>
    <w:p w14:paraId="204F719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Коробка в соборе с бортовыми фрикционами крепится и центруется на фланцах бортовых передач через наружные барабаны бортовых фрикционов, в ступице которых установлены сферические шарикоподшипники, поддерживающие коробку через хвостовики главного вала. Передняя часть коробки передач поддерживается кронштейном горловины, укрепленным на перегородке трансмиссионного отделения корпуса. </w:t>
      </w:r>
    </w:p>
    <w:p w14:paraId="22C6B13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Принятое крепление коробки передач позволяет производить установку и выемку коробки передач с бортовыми фрикционами, монтаж и демонтаж бортовых передач независимо одно от другого (см. фото №-10). </w:t>
      </w:r>
    </w:p>
    <w:p w14:paraId="3B8A27C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9 – Главный фрикцион. Фото № 10 – Коробка перемены передач.</w:t>
      </w:r>
    </w:p>
    <w:p w14:paraId="3E250D7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Бортовые фрикционы – смонтированы на главном валу коробки передач. Внутренние (ведущие) барабаны связаны шлицевым соединением с главным валом коробки передач, наружные (ведомые) барабаны укреплены на фланцах бортовых передач. Крутящий момент от внутреннего барабана к наружному, передается через набор из 21-го ведущего и 22-х ведомых стальных дисков сухого трения. Диски трения прижимаются друг к другу 18-ю спиральными пружинами. </w:t>
      </w:r>
    </w:p>
    <w:p w14:paraId="2E82074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Выключение фрикциона, т.е. освобождение дисков трения от усилий пружин, осуществляется шариковым механизмом, состоящим из 3-х шариков, помещенных в наклонных шаровых канавках колец поводковой коробки и крышки гнезда главного вала коробки передач. </w:t>
      </w:r>
    </w:p>
    <w:p w14:paraId="4D5D734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установке фрикционов с коробкой передач в машину, наружные барабаны бортовых фрикционов сдвигаются в сторону коробки, а затем раздвигаются до упора торцов цилиндрических выточек барабанов в торцы фланцев бортовых передач и притягиваются к фланцам болтами (см. фото №-11). </w:t>
      </w:r>
    </w:p>
    <w:p w14:paraId="151D224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Тормоза ленточного дифференциального типа и действуют на наружные барабаны бортовых фрикционов. </w:t>
      </w:r>
    </w:p>
    <w:p w14:paraId="19B88DF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Наружные барабаны бортовых фрикционов снабжены тормозными ободами, которые охватываются тормозными лентами. Пространство между ободом и барабанов обдувается воздухом и способствует лучшей теплоотдаче. </w:t>
      </w:r>
    </w:p>
    <w:p w14:paraId="582B92A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Тормозные ленты выполнены из 2-х мм стали с приклепанными к ним лентами из ферродо. </w:t>
      </w:r>
    </w:p>
    <w:p w14:paraId="1AA5DA8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Концы ленты шарнирно соединены с приводным рычажком, причем пальцы шарниров установлены в профильных вырезах кронштейна, укрепленного в корпусе. Пальцы могут свободно перемещаться в вырезах. </w:t>
      </w:r>
    </w:p>
    <w:p w14:paraId="67BE0A7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Отсутствие постоянных точек закрепления концов лент позволяет производить торможение с одинаковым усилием при переднем и заднем ходе машины. </w:t>
      </w:r>
    </w:p>
    <w:p w14:paraId="00A38C3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равномерного распределения зазора между лентой и барабаном, при отпущенном тормозе, и во избежание произвольного захвата тормоза, лента снабжена 4-мя оттягивающими пружинами (см.фото №-12). </w:t>
      </w:r>
    </w:p>
    <w:p w14:paraId="1D47A4F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11 – Бортовой фрикцион. Фото № 12 – Тормозная лента.</w:t>
      </w:r>
    </w:p>
    <w:p w14:paraId="608FDF3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Бортовые передачи размещены в забронированных стальных картерах, вваренных в корму корпуса и представляют одноступенчатый редуктор с передаточным отношением i = 5,7. </w:t>
      </w:r>
    </w:p>
    <w:p w14:paraId="0A73E7C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Ведущая шестерня бортовой передачи выполнена заодно с валом и установлена в горловине картера на бочкообразном сферическом и роликовом подшипниках. На шлицевом хвостовике шестерни установлен фланец, соединяющийся с наружным барабаном бортового фрикциона. </w:t>
      </w:r>
    </w:p>
    <w:p w14:paraId="1B8FEA3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ведущей шестерне левой бортовой передачи (на ступице фланца) смонтирован привод к спидометру. </w:t>
      </w:r>
    </w:p>
    <w:p w14:paraId="7B19959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Вал с ведомой шестерни бортовой передачи, установленный на его внутреннем шлицевом хвостовике, смонтирован в броневой крышке картера на 2-х конических роликовых подшипниках. На наружных шлицевых хвостовиках вала установлены, своими ступицами, ведущие гусеничные колеса (см.фото №-14 и №-15). </w:t>
      </w:r>
    </w:p>
    <w:p w14:paraId="1F8D095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13 – Ленивец (2-й вариант). Фото № 14 – Разрез бортовой передачи. Фото № 15 – Вид с торца на бортовую передачу.</w:t>
      </w:r>
    </w:p>
    <w:p w14:paraId="00AB304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Гусеничное колесо состоит из укрепленных на ступице, 2-х стальных штампованных дисков, с напрессованными стальными бандажами. </w:t>
      </w:r>
    </w:p>
    <w:p w14:paraId="42681B6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Перематывание гусеничной ленты осуществляется 6-ю роликами, установленными между дисками, на пальцах и втулках. </w:t>
      </w:r>
    </w:p>
    <w:p w14:paraId="2EF0828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Поддерживающие колеса представляют двойные катки, состоящие из стальных дисков с напрессованными металлическими бандажами; расположенные по 5-ти с каждого борта танка. </w:t>
      </w:r>
    </w:p>
    <w:p w14:paraId="5BCB81B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Колеса связаны с корпусом с помощью балансирных устройств, представляющих балансиры, установлены на осях в трубах корпуса каждый на 2-х бронзовых втулках. В балансиры впрессованы оси катков, на которые одеваются колеса. </w:t>
      </w:r>
    </w:p>
    <w:p w14:paraId="293CA7D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Каждое колесо опирается на 2 шариковых подшипника, сидящих на ступице. Передние колеса с балансирными устройствами фиксируются в корпусе гайками изнутри; остальные колеса, со своими балансирными устройствами, фиксируются в корпусе струнами, проходящими сквозь оси балансиров. </w:t>
      </w:r>
    </w:p>
    <w:p w14:paraId="1700CDB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Подъем колес ограничивается резиновыми амортизаторами, укрепленными на корпусе. </w:t>
      </w:r>
    </w:p>
    <w:p w14:paraId="14DF8AD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Подвеска корпуса танка осуществляется с помощью цилиндрических спиральных пружин, действующих индивидуально на каждое колесо. Пружины расположены внутри корпуса, причем подвески передних колес снабжены защитным кожухом, а остальные подвески заключены в шахты. Пружины действуют на колеса через опорные подушки штоков, связанные с цапфами балансиров. В корпус пружины опираются через регулировочные стаканы, которые ввернуты в гайки, шарнирно укрепленные в корпусе. </w:t>
      </w:r>
    </w:p>
    <w:p w14:paraId="5EDE32E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Ленивец представляет литое стальное колесо с двумя напрессованными обрезиненными металлическими бандажами, установленное на наружном хвостовике кривошипа, на роликовом и шариковом подшипниках. </w:t>
      </w:r>
    </w:p>
    <w:p w14:paraId="0D535E6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Внутренний хвостовик кривошипа установлен в броневом литом кронштейне, вваренном в носовую часть корпуса. Кривошип крепится к кронштейну гайкой, расположенной внутри корпуса, причем положение его фиксируется зубцами (см.фото №-13). </w:t>
      </w:r>
    </w:p>
    <w:p w14:paraId="5259356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внутреннем хвостовике кривошипа установлено на шлицах червячное колесо связанное с червяком. Вращением червяка осуществляется необходимый, при натяжке гусеницы, поворот кривошипа. </w:t>
      </w:r>
    </w:p>
    <w:p w14:paraId="4362EC7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 На втором испытуемом танке "Т-34" механизм для натяжки гусеницы расположен снаружи корпуса танка, сзади кривошипа и представляет собой винтовой шток, соединенный своей проушиной с пальцем кривошипа, а нарезанным хвостовиком с стаканом, имеющим нарезку внутри. </w:t>
      </w:r>
    </w:p>
    <w:p w14:paraId="45174E1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Стакан имеет на своем хвостовике шлицы под ключ-трещотку и проходит сквозь муфту, укрепленную на двух цапфах. Необходимый поворот кривошипа достигается вращением стакана. Благодаря тому, что стакан не имеет продольного перемещения, шток ввинчивается в него, увлекая за собой кривошип. При этом муфта, о которую упирается стакан, вращаясь вокруг своей оси на цапфах, обеспечивает угловой поворот штока. </w:t>
      </w:r>
    </w:p>
    <w:p w14:paraId="2A1C1B5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Гусеница представляет собой бесконечную цепь шарнирно-связанных между собой стальных штампованных траков. Каждая гусеничная лента состоит из чередующихся между собой 37-ми плоских и 37-ми траков с гребнями. Траки снабжены ушками и связываются между собой стальными пальцами (по два на каждом шарнире) плавающего типа. </w:t>
      </w:r>
    </w:p>
    <w:p w14:paraId="135238B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Зацепление гусеницы с ведущим гусеничным колесом – гребневое и осуществляется роликами гусеничного колеса, передающими усилие гребням траков. Вес танка передается на почву поддерживающими колесами через нижнюю ветвь гусеницы, которая образует опорную поверхность танка. Верхняя ветвь гусеницы поддерживается ленивцем и поддерживающими колесами. </w:t>
      </w:r>
    </w:p>
    <w:p w14:paraId="5456A95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движения в особо тяжелых дорожных условиях гусеница может быть снабжена шпорами, крепящимися к ней болтами. </w:t>
      </w:r>
    </w:p>
    <w:p w14:paraId="1BAB0E7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Сиденье водителя и стрелка установлены в носовой части корпуса на кронштейнах. Сиденье водителя расположено с левой стороны (по ходу машины), сиденье стрелка – с правой стороны. Каждое сиденье состоит из мягкой подушки, спинки и боковин. Сиденья выполнены с откидывающимися спинками и имеют регулировку в горизонтальном направлении. </w:t>
      </w:r>
    </w:p>
    <w:p w14:paraId="0C56333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Все приводы управления механизмами танка расположены в непосредственной близости к сиденью водителя. </w:t>
      </w:r>
    </w:p>
    <w:p w14:paraId="61F6710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Управление главным фрикционом осуществляется педалью, установленной на валике в носовой части корпуса. Педаль соединяется тягой с рычажком уравнительного валика, от которого через тягу, идущую по днищу корпуса, передается движение коленчатому рычажку. </w:t>
      </w:r>
    </w:p>
    <w:p w14:paraId="465A38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Последний, через поперечную тягу, приводит в движение рычаг поводковой коробки фрикциона при выключении. </w:t>
      </w:r>
    </w:p>
    <w:p w14:paraId="0E452A2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Управление коробкой передач осуществляется кулисой, установленной справа от сиденья водителя. В продольных пазах основания кулисы расположены 3 призматических поводка, приводящиеся в движение переводным рычагом. Переводной рычаг установлен в верней части корпуса кулисы, на полушариях. Все поводки кулисы снабжены шариковыми фиксаторами, определяющими и ограничивающими хода поводков. Для предотвращения произвольного выключения шестерен коробки передач, на фиксаторах смонтирован дисковый стопорный замок. </w:t>
      </w:r>
    </w:p>
    <w:p w14:paraId="0E6F74F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Поводки кулисы соединяются продольными тягами, проходящими по днищу машины, с рычажками вертикальных валиков, установленных у коробки передач. Вертикальные валики состоят из средней и наружной труб, смонтированных на внутреннем валике. </w:t>
      </w:r>
    </w:p>
    <w:p w14:paraId="64E6C3D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перемещении переводного рычага кулисы, поступательное движение поводка в основании кулисы, через продольные тяги, передается соответствующему вертикальному валику. Валик, проворачиваясь, через рычажок и серьги перемещает поводковый валик коробки передач и вводит в зацепление соответствующую подвижную шестерню с неподвижной или выводит их из зацепления, тем самым включая или выключая требуемую передачу. </w:t>
      </w:r>
    </w:p>
    <w:p w14:paraId="03F37A4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Управление бортовыми фрикционами и тормозами осуществляется двумя бортовыми рычагами, установленными по обеим сторонам сиденья водителя. Выключение бортовых фрикционов и затяжка тормозных лент производится пневматическим сервомеханизмом, включенным в систему управления, что значительно облегчает работу водителя. </w:t>
      </w:r>
    </w:p>
    <w:p w14:paraId="2EA6BC9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перемещении бортовых рычагов включаются в работу воздушные цилиндры сервоуправления, штоки которых, тягами связаны с рычажками уравнительного валика, установленного под сиденьем водителя. От уравнительного валика, через тяги, идущие по днищу корпуса, движение передается передаточным валикам, установленным в корме корпуса. Рычажки передаточных валиков через тяги, приводят в движение поводковую коробку бортового фрикциона и приводной рычажок тормоза, причем затяжка тормоза начинается, только после выключения бортового фрикциона. </w:t>
      </w:r>
    </w:p>
    <w:p w14:paraId="4D9E2C5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Управление тормозами возможно также при помощи педали горного тормоза, действующего на оба тормоза одновременно. Педаль установлена на общем валике с педалью главного фрикциона и снабжена стопорной защелкой. </w:t>
      </w:r>
    </w:p>
    <w:p w14:paraId="48191CD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Конструкция приводов управления предусматривает возможность работы без сервоустройства, для чего бортовые рычаги выполнены регулируемые по длине. При работе без сервоуправления усилие на выключение бортового фрикциона и торможение соответствует 65 ÷ 80 кгр., при сервоуправлении последнее снижается до 10 ÷ 20 кгр. </w:t>
      </w:r>
    </w:p>
    <w:p w14:paraId="0674464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пневматическое сервоуправление входят: </w:t>
      </w:r>
    </w:p>
    <w:p w14:paraId="35B8503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Компрессор, установленный на коробке передач. </w:t>
      </w:r>
    </w:p>
    <w:p w14:paraId="7AEAC3B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Баллон высокого давления емкостью 10 литров, установленный в левом подкрылке моторного отделения. </w:t>
      </w:r>
    </w:p>
    <w:p w14:paraId="1B6447D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Баллон низкого давления, емкостью в 12 литров, установленный под коробкой передач. </w:t>
      </w:r>
    </w:p>
    <w:p w14:paraId="7124A14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Питающий и предохранительный клапан с манометром, установленный на левом борту у сиденья водителя. </w:t>
      </w:r>
    </w:p>
    <w:p w14:paraId="254CE88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Два воздушных цилиндра с клапанными механизмами, установленные у бортовых рычагов. </w:t>
      </w:r>
    </w:p>
    <w:p w14:paraId="1281701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Компрессор, являющийся источником сжатого воздуха системы, выполнен двухцилиндровым, одноступенчатого сжатия, воздушного охлаждения, с производительностью в 200 литров воздуха в минуту. Коленчатый вал компрессора получает вращение через шестеренчатый привод, от передаточного вала коробки передач и смонтирован в алюминиевом картере на 2-х подшипниках. </w:t>
      </w:r>
    </w:p>
    <w:p w14:paraId="0AB4FAA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шейках вала установлены шатуны с крышками, рабочие поверхности которых имеют баббитовую заливку. Поршни компрессора чугунные, и снабжены 3-мя поршневыми кольцами каждый. Цилиндры компрессора снабжены алюминиевыми головками, в которые вставлены, в стальных гнездах, всасывающие и нагнетательные клапана грибкового типа. </w:t>
      </w:r>
    </w:p>
    <w:p w14:paraId="5C01385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Смазка компрессора производиться разбрызгиванием, черпачками крышек шатунов, причем в картере автоматически поддерживается постоянный минимальный уровень смазки. Основной же запас смазки находиться в герметически закрытом масляном баке, установленном на картере компрессора. </w:t>
      </w:r>
    </w:p>
    <w:p w14:paraId="35DACFE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воздушном цилиндре помещен поршень с кожаным манжетом, снабженный штоком, в котором смонтирована отводящая пружина. Подача воздуха в цилиндр производиться через клапанный механизм, управляемый "следящим" рычажком, установленным на уравнительном валике. "Следящий" рычажок приводиться в движение рукой водителя через рычаг бортового фрикциона, причем система "следящего" рычажка и клапанный механизм обеспечивают пропорциональность хода штока цилиндра, углу поворота бортового рычага. </w:t>
      </w:r>
    </w:p>
    <w:p w14:paraId="26676FA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Вся пневматическая система построена по замкнутому циклу. </w:t>
      </w:r>
    </w:p>
    <w:p w14:paraId="6933D24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Компрессор нагнетает воздух в баллон высокого давления, обеспечивающий постоянный резерв сжатого воздуха со средним давлением 6 атмосфер. При угловых поворотах бортовых рычагов, воздух из баллона высокого давления поступает в воздушные цилиндры, откуда он, после окончания рабочего процесса в цилиндрах, направляется в баллон низкого давления. Из баллона низкого давления воздух снова засасывается в компрессор (см.фото №-16). </w:t>
      </w:r>
    </w:p>
    <w:p w14:paraId="0416E1D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16 – Схема сервоуправления. Фото № 17 – Принципиальная схема электрооборудования.</w:t>
      </w:r>
    </w:p>
    <w:p w14:paraId="7CE3764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Электрооборудование и средства связи танка. </w:t>
      </w:r>
    </w:p>
    <w:p w14:paraId="3D3CAAC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Источником питания электросети является генератор ГТ-4563А с реле-регулятором РРТ 4576А, работающий параллельно с четырьмя аккумуляторными батареями 6СТЭ-128. Генератор получает вращение от двигателя и установлен на приливе у нижнего картера двигателя. Аккумуляторы установлены на постелях, по обеим сторонам двигателя (см.фото №-17). Напряжение в сети генератора, стартера и мотора поворотного механизма башни равно 24V, напряжение в сети всех остальных потребителей равно 12V. </w:t>
      </w:r>
    </w:p>
    <w:p w14:paraId="5B7158C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Потребителями электроэнергии являются: стартер, мотор поворотного механизма башни, мотор вентилятора, сигнал, прожектор, фары, задний фонарь, плафоны внутреннего освещения, фонари освещения щитков, рация и переговорное устройство. </w:t>
      </w:r>
    </w:p>
    <w:p w14:paraId="2668CAF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Схема проводки выполнена однопроводной, причем подвод питания ко всем потребителям, установленным в башне, осуществляется через вращающееся электроконтактное устройство, установленное на днище боевого отделения по центру башни. </w:t>
      </w:r>
    </w:p>
    <w:p w14:paraId="1D3FA12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Управление и защита предохранителями всех потребителей, расположенных в корпусе, осуществляется блоком защиты аккумуляторов или распределительным щитком водителя, на котором также установлены вольтметр и амперметр, через распределительный щиток башни производиться управление и защита предохранителями всех потребителей, расположенных в башне, кроме мотора поворотного механизма, который предохранен на блоке аккумуляторов. </w:t>
      </w:r>
    </w:p>
    <w:p w14:paraId="2D152D5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танке установлен аварийный щиток с розеткой и плафоном, питающимися непосредственно от аккумуляторов по двухпроводной системе. </w:t>
      </w:r>
    </w:p>
    <w:p w14:paraId="2078CE2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Электрический запуск двигателя осуществляется при помощи стартера СТ-700 в 15 л.с., установленного на коробке передач. При включении стартера, шестерня его входит в зацепление с зубчатым венцом, на маховике главного фрикциона. </w:t>
      </w:r>
    </w:p>
    <w:p w14:paraId="5589717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Внутренняя телефонная и сигнальная связь между командиром танка и водителем осуществляется при помощи переговорного устройства типа ТПУ-2. </w:t>
      </w:r>
    </w:p>
    <w:p w14:paraId="14D24D5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внешней радиосвязи, в нише башни установлена приемо-передаточная радиостанция типа 71-ТК-3. </w:t>
      </w:r>
    </w:p>
    <w:p w14:paraId="62ED4F5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Наблюдение из танка осуществляется через 6 смотровых приборов, из которых 3 прибора (один центральный и два боковых) установлены в носовой части для водителя, 2 прибора – на боковых стенках башни и один прибор кругового обзора – на крыше люка башни. </w:t>
      </w:r>
    </w:p>
    <w:p w14:paraId="450A269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Смотровые приборы представляют собой перископы с двумя плоскими зеркалами, установленными одно под другим под углом 45° к горизонту. </w:t>
      </w:r>
    </w:p>
    <w:p w14:paraId="3177EC4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Прибор кругового обзора смонтирован в погоне, установленном на шариках. Вращаясь вместе с погоном, прибор обеспечивает горизонтальный обзор в 360°. </w:t>
      </w:r>
    </w:p>
    <w:p w14:paraId="60AFAC0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замены приборов предусмотрена возможность выстрой замены пораженных зеркал и защитных стекол. </w:t>
      </w:r>
    </w:p>
    <w:p w14:paraId="4E6701F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Укладка боеприпасов танка выполнена в боевом отделении водителя и стрелка. Основной запас снарядов, в количестве 68 штук, уложен под полом боевого отделения, причем снаряды размещены на резиновых подушках, ящиках-чемоданах, по 2 или 3 штуки в каждом. 9 снарядов расположены на стеллажах, укрепленных на стенках боевого отделения. </w:t>
      </w:r>
    </w:p>
    <w:p w14:paraId="60C2A1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Пулеметные магазины в количестве 49 штук, размещены в 9-ти отдельных рамках-стеллажах, укрепленных в носовой части танка, на правой стенке боевого отделения и под полом боевого отделения. </w:t>
      </w:r>
    </w:p>
    <w:p w14:paraId="25C2CC8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Укладка возимых инструментов и принадлежностей произведена снаружи и внутри корпуса, и состоит из общего, специального, и шанцевого инструментов, тяговых и подъемных приспособлений, запасных частей, принадлежностей и материалов. </w:t>
      </w:r>
    </w:p>
    <w:p w14:paraId="3D2D828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общий инструмент входят все нормальные инструменты, как-то гаечные ключи, молотки, отвертки и прочие. К специальному инструменту относятся приспособления и инструмент, необходимые для механизмов и отдельных деталей только данного танка. В шанцевый инструмент входят: топор, лопаты, пила и лом. </w:t>
      </w:r>
    </w:p>
    <w:p w14:paraId="15F652D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Тяговые и подъемные приспособления состоят из буксирных тросов и петель и 2-х домкратов, грузоподъемностью 5 тонн каждый. </w:t>
      </w:r>
    </w:p>
    <w:p w14:paraId="25D3A52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Из запасных частей, в танке уложены детали, подверженные быстрому износу, причем замена их может быть произведена командой танка, в походных и боевых условиях. </w:t>
      </w:r>
    </w:p>
    <w:p w14:paraId="43733D0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принадлежности входят все необходимые приспособления для заправки танка горючим, смазкой и водой. </w:t>
      </w:r>
    </w:p>
    <w:p w14:paraId="36F9256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 материалам, уложенным в танке, относятся: проволока, изоляционная лента, наждачная бумага и прочие материалы, необходимые для производства командой танка мелкого ремонта. </w:t>
      </w:r>
    </w:p>
    <w:p w14:paraId="0F1D0E4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Противопожарное оборудование. </w:t>
      </w:r>
    </w:p>
    <w:p w14:paraId="68B896A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Состоит из 2-х ручных тетрахлорных огнетушителей. </w:t>
      </w:r>
    </w:p>
    <w:p w14:paraId="0C79342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Копия. </w:t>
      </w:r>
    </w:p>
    <w:p w14:paraId="20D1A23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2548013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"УТВЕРЖДАЮ" </w:t>
      </w:r>
    </w:p>
    <w:p w14:paraId="5663D63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АБТУ КА </w:t>
      </w:r>
    </w:p>
    <w:p w14:paraId="4F1E45D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"УТВЕРЖДАЮ" </w:t>
      </w:r>
    </w:p>
    <w:p w14:paraId="576A099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ВОЕННЫЙ КОМИССАР АБТУ КА </w:t>
      </w:r>
    </w:p>
    <w:p w14:paraId="19FFDB4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ПРОГРАММА</w:t>
      </w:r>
    </w:p>
    <w:p w14:paraId="078CD7D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войсковых испытаний опытных танков Т-34 в зимних условиях.</w:t>
      </w:r>
    </w:p>
    <w:p w14:paraId="414115C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 ЦЕЛЬ ИСПЫТАНИЯ.</w:t>
      </w:r>
    </w:p>
    <w:p w14:paraId="78EDD98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Определить пригодность танка для принятия на вооружение РККА. </w:t>
      </w:r>
    </w:p>
    <w:p w14:paraId="57BFB0A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 ОСНОВНЫЕ ВОПРОСЫ ИСПЫТАНИЯ.</w:t>
      </w:r>
    </w:p>
    <w:p w14:paraId="6FE95DA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Выявить прочность и надежность работы танка и отдельных его агрегатов. </w:t>
      </w:r>
    </w:p>
    <w:p w14:paraId="66BB693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Установить удобство обслуживания и ремонта в полевых условиях. </w:t>
      </w:r>
    </w:p>
    <w:p w14:paraId="3EC1871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Установить время и километраж безостановочных и суточных переходов в зимних условиях по состоянию экипажа, заправке и обслуживанию. </w:t>
      </w:r>
    </w:p>
    <w:p w14:paraId="2168DBE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Оценить танк как огневую платформу при стрельбе с места и схода в различных дорожных условиях. </w:t>
      </w:r>
    </w:p>
    <w:p w14:paraId="4EC8A5C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Выявить степень защищенности от проникновения горящей жидкости внутрь танка и возможность возникновения пожара. </w:t>
      </w:r>
    </w:p>
    <w:p w14:paraId="028D798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Установить причины, влияющие на утомляемость экипажа. </w:t>
      </w:r>
    </w:p>
    <w:p w14:paraId="087AD6A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III. ОБЪЕМ ИСПЫТАНИЙ.</w:t>
      </w:r>
    </w:p>
    <w:p w14:paraId="6B8A870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Общий километраж пробега каждого танка 3000 км из них: </w:t>
      </w:r>
    </w:p>
    <w:p w14:paraId="3C6A589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Заводская обкатка – 500 км. </w:t>
      </w:r>
    </w:p>
    <w:p w14:paraId="56D59A1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По шоссе – 300 км. </w:t>
      </w:r>
    </w:p>
    <w:p w14:paraId="5B85E4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грунтовым дорогам – 1000 км. </w:t>
      </w:r>
    </w:p>
    <w:p w14:paraId="3A94971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целине и пересеченной местности – 1200 км. </w:t>
      </w:r>
    </w:p>
    <w:p w14:paraId="717653B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Маршруты выбираются председателем комиссии. </w:t>
      </w:r>
    </w:p>
    <w:p w14:paraId="6377141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Преодоление естественных и искусственных препятствий: </w:t>
      </w:r>
    </w:p>
    <w:p w14:paraId="6A4B54A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предельные подъемы и спуски. </w:t>
      </w:r>
    </w:p>
    <w:p w14:paraId="66FB8CB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предельные крены. </w:t>
      </w:r>
    </w:p>
    <w:p w14:paraId="5B533B7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каменная стенка преодолевается статически и динамически до 2-й передачи включительно с максимальным числом оборотов двигателя. </w:t>
      </w:r>
    </w:p>
    <w:p w14:paraId="231C903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движение по лесу с ломкой предельно сваливаемых деревьев. </w:t>
      </w:r>
    </w:p>
    <w:p w14:paraId="19D5FF0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преодоление рвов и окопов. </w:t>
      </w:r>
    </w:p>
    <w:p w14:paraId="41A56FF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Начало преодоления препятствий определятся председателем комиссии (допускается повторение). </w:t>
      </w:r>
    </w:p>
    <w:p w14:paraId="02C5D21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Стрельба по мишеням из пушки, пулемета, пистолета с места и схода, и гранатометание. </w:t>
      </w:r>
    </w:p>
    <w:p w14:paraId="7A1A8BE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Составить тактико-техническую характеристику танка. </w:t>
      </w:r>
    </w:p>
    <w:p w14:paraId="677545C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IV. КРАТКАЯ МЕТОДИКА ИСПЫТАНИЙ.</w:t>
      </w:r>
    </w:p>
    <w:p w14:paraId="1902CA9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Танки должны быть полностью укомплектованы, взвешены, определена нагрузка на каждое колесо и найден центр тяжести. </w:t>
      </w:r>
    </w:p>
    <w:p w14:paraId="1B23FBB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Пробеги должны совершаться на максимально возможных скоростях, допускаемых условиями местности, причем, средняя техническая скорость за время испытаний должна быть не ниже 25 км/час. </w:t>
      </w:r>
    </w:p>
    <w:p w14:paraId="4E7D9A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Темп эксплоатации – 2-х – 3-х дневные переходы с 8 – 10 часовым ежедневным пробегом. После 2-х – 3-х дневного перехода, один день для отдыха экипажа и восстановления танков. </w:t>
      </w:r>
    </w:p>
    <w:p w14:paraId="43ABE1C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Стрельба по мишеням. Стрельба проводится по дополнительной программе с учетом условий полигонных возможностей. </w:t>
      </w:r>
    </w:p>
    <w:p w14:paraId="3400D3E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V. В ПРОЦЕССЕ ИСПЫТАНИЙ ОПРЕДЕЛЯЕТСЯ:</w:t>
      </w:r>
    </w:p>
    <w:p w14:paraId="1ECD10A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Запас хода при полной заправке танка горючим и маслом. </w:t>
      </w:r>
    </w:p>
    <w:p w14:paraId="3C043C5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Расход горючего и смазки 1 час работы мотора и на один километр пути. </w:t>
      </w:r>
    </w:p>
    <w:p w14:paraId="098CC55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Максимальные и минимально-устойчивые скорости танка на местности. </w:t>
      </w:r>
    </w:p>
    <w:p w14:paraId="787BFA6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Пути разгона и торможения по шоссе и местности. </w:t>
      </w:r>
    </w:p>
    <w:p w14:paraId="4742A3D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Определение динамики проводится в начале и в конце испытаний. </w:t>
      </w:r>
    </w:p>
    <w:p w14:paraId="6294B90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Средние технические, оперативные и чистого движения скорости в различных дорожных условиях. </w:t>
      </w:r>
    </w:p>
    <w:p w14:paraId="7E8B7C1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Минимальные радиусы поворота. </w:t>
      </w:r>
    </w:p>
    <w:p w14:paraId="4825495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Температурный режим работы двигателя и состав воздуха в танке в различных условиях движения в походном и боевом положениях. </w:t>
      </w:r>
    </w:p>
    <w:p w14:paraId="597A67B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Характер и особенности запуска двигателя дизель в зимних условиях. </w:t>
      </w:r>
    </w:p>
    <w:p w14:paraId="47EAAA2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9. Удобство пользования приборами наблюдения, наводки и величина мертвых пространств. </w:t>
      </w:r>
    </w:p>
    <w:p w14:paraId="108E9AF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10. Надежность крепления артсистемы, удобство ведения стрельбы, кучность и степень концентрации С.О. при стрельбе. Удобство ведения огня из пистолета и метание гранат. </w:t>
      </w:r>
    </w:p>
    <w:p w14:paraId="49DBFF2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11. Надежность крепления боеукладки, удобство пользования при стрельбе и степень защищенности ее от загрязнения. </w:t>
      </w:r>
    </w:p>
    <w:p w14:paraId="17D8339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12. Удобство размещения экипажа. </w:t>
      </w:r>
    </w:p>
    <w:p w14:paraId="5C3FF91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13. Возможность и удобство выхода экипажа с вооружением через люк лаза в днище танка. </w:t>
      </w:r>
    </w:p>
    <w:p w14:paraId="1D434A3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14. Время, потребное на заправку танка горючим, маслом, водой. Удобство обслуживания и время потребное на освобождение резервуаров от топлива, масла и воды. </w:t>
      </w:r>
    </w:p>
    <w:p w14:paraId="3982BA3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15. Оценка внешней и внутренней освещенности. </w:t>
      </w:r>
    </w:p>
    <w:p w14:paraId="672E4CC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16. Испытание и оценка средств внешней и внутренней связи. </w:t>
      </w:r>
    </w:p>
    <w:p w14:paraId="76438F9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17. Микрометраж производится в конце испытаний агрегатам и деталям по решению комиссии. При этом допускается использование предварительных микрометражных данных завода. Оформление производится дополнительным отчетом. </w:t>
      </w:r>
    </w:p>
    <w:p w14:paraId="18E8308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18. В процессе ходовых испытаний определяются возможности и способы буксировки танка в различных дорожных условиях при: </w:t>
      </w:r>
    </w:p>
    <w:p w14:paraId="1E9B80F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Исправной ходовой части. </w:t>
      </w:r>
    </w:p>
    <w:p w14:paraId="4EAE70B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Заклиненных одной и двух гусениц </w:t>
      </w:r>
    </w:p>
    <w:p w14:paraId="1527348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без гусениц. </w:t>
      </w:r>
    </w:p>
    <w:p w14:paraId="1C164E1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Километраж буксировки устанавливается председателем комиссии, но не должен превышать 50 км на каждый отдельный случай, причем допускается повторение. </w:t>
      </w:r>
    </w:p>
    <w:p w14:paraId="1EBFCE8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19. При разрушении в пробегах элементов ходовой части или подвески, пробеги должны продолжаться с целью определения возможности и длительности дальнейшего движения. В случае отсутствия подобного рода разрушений в процессе ходовых испытаний, то данные разрушения имитируются. </w:t>
      </w:r>
    </w:p>
    <w:p w14:paraId="3F62238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отсутствии заклинок гусеницы, гусеницы заклиниваются искусственно, как-то: деревом, камнем, гильзой снаряда и др. металлическими предметами. </w:t>
      </w:r>
    </w:p>
    <w:p w14:paraId="32F8A9E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ДОКУМЕНТАЦИЯ ИСПЫТАНИЙ.</w:t>
      </w:r>
    </w:p>
    <w:p w14:paraId="089B234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Путевой журнал. </w:t>
      </w:r>
    </w:p>
    <w:p w14:paraId="42A4B67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Протокол испытаний. </w:t>
      </w:r>
    </w:p>
    <w:p w14:paraId="43F856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Итоговые карты. </w:t>
      </w:r>
    </w:p>
    <w:p w14:paraId="2913EA3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Отчет.</w:t>
      </w:r>
    </w:p>
    <w:p w14:paraId="7C0C3D4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Отчет должен состоять: </w:t>
      </w:r>
    </w:p>
    <w:p w14:paraId="7C98BB9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из кратких выводов и заключения комиссии. </w:t>
      </w:r>
    </w:p>
    <w:p w14:paraId="0A60889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приложения к отчету, которое должно содержать ответы на все поставленные программой вопросы в сравнении с танком БТ, проходившим ранее испытания. </w:t>
      </w:r>
    </w:p>
    <w:p w14:paraId="3465A7E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Приложение по микрометражу. </w:t>
      </w:r>
    </w:p>
    <w:p w14:paraId="3AE743F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Отчет и приложения должны быть иллюстрированы фотоснимками, графиками и таблицами. </w:t>
      </w:r>
    </w:p>
    <w:p w14:paraId="5526A4D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ОБЪЕМ ПРОВЕДЕННЫХ ИСПЫТАНИЙ</w:t>
      </w:r>
    </w:p>
    <w:p w14:paraId="468F4EC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Войсковым испытаниям были подвергнуты два танка "Т-34" № 1 (311-11-3) № 2 (311-18-3). </w:t>
      </w:r>
    </w:p>
    <w:p w14:paraId="02CD433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 время испытаний линейными пробегами танками пройдено: </w:t>
      </w:r>
    </w:p>
    <w:p w14:paraId="17986D8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ДВИГАТЕЛИ ПРОРАБОТАЛИ: </w:t>
      </w:r>
    </w:p>
    <w:p w14:paraId="4DAF622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период линейных испытаний танков было проведено два длительных пробега, по маршрутам: </w:t>
      </w:r>
    </w:p>
    <w:p w14:paraId="5C55A89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Харьков – Москва с 12 по 17 марта 1940 г. </w:t>
      </w:r>
    </w:p>
    <w:p w14:paraId="5D329A8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Москва – Харьков с 2 по 10 апреля 1940 г. </w:t>
      </w:r>
    </w:p>
    <w:p w14:paraId="795FF54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ПОМИМО ХОДОВЫХ ИСПЫТАНИЙ ПРОИЗВЕДЕНО:</w:t>
      </w:r>
    </w:p>
    <w:p w14:paraId="7152824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Отстрел системы вооружения. </w:t>
      </w:r>
    </w:p>
    <w:p w14:paraId="055BFE6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Пробный обстрел башни и корпуса 37 и 45 мм бронебойными снарядами. </w:t>
      </w:r>
    </w:p>
    <w:p w14:paraId="353BD34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Испытание установки рации 71-ТК-3. </w:t>
      </w:r>
    </w:p>
    <w:p w14:paraId="5325B33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Преодоление естественных и искусственных препятствий в зимних и весенних условиях: </w:t>
      </w:r>
    </w:p>
    <w:p w14:paraId="6859566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Подъемы </w:t>
      </w:r>
    </w:p>
    <w:p w14:paraId="4655100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Косогоры </w:t>
      </w:r>
    </w:p>
    <w:p w14:paraId="4853B4A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Снежные массивы </w:t>
      </w:r>
    </w:p>
    <w:p w14:paraId="4E455C2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Заболоченные участки </w:t>
      </w:r>
    </w:p>
    <w:p w14:paraId="55ED31F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Отдельные деревья и лесные участки </w:t>
      </w:r>
    </w:p>
    <w:p w14:paraId="07A1A20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е) М.З.П. </w:t>
      </w:r>
    </w:p>
    <w:p w14:paraId="5ED09D5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Испытание герметичности корпуса путем обливания горючей жидкостью. </w:t>
      </w:r>
    </w:p>
    <w:p w14:paraId="0431B79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Взвешивание и определение центра тяжести. </w:t>
      </w:r>
    </w:p>
    <w:p w14:paraId="025C647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По окончании испытаний на танке № 1 произведена контрольная разборка и микрометраж деталей. </w:t>
      </w:r>
    </w:p>
    <w:p w14:paraId="2D87B9F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 Данные микрометража см. 2-ю часть приложения к отчету. </w:t>
      </w:r>
    </w:p>
    <w:p w14:paraId="4AF63F8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1</w:t>
      </w:r>
    </w:p>
    <w:p w14:paraId="63F0061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 Цель: Определить вес и среднее удельное давление танка Т-34. </w:t>
      </w:r>
    </w:p>
    <w:p w14:paraId="0A27923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 Время и место: 12 января 1940 г. Железнодорожные весы (весовая при заводе им. Коминтерна). </w:t>
      </w:r>
    </w:p>
    <w:p w14:paraId="2B209E8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III. Методика: – Танк Т-34 установить на железнодорожную платформу и взвесить на весах. Тару платформы проверить взвешиванием. </w:t>
      </w:r>
    </w:p>
    <w:p w14:paraId="1D6F298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IV. Состояние танка: – Танк Т-34 полностью укомплектован за исключением: </w:t>
      </w:r>
    </w:p>
    <w:p w14:paraId="4C99745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Не установлена бронировка на пушку </w:t>
      </w:r>
    </w:p>
    <w:p w14:paraId="3610117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Отсутствовал экипаж. </w:t>
      </w:r>
    </w:p>
    <w:p w14:paraId="217A7AA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V. Результаты: Общий вес танка 25600 кгр. при среднем клиренсе – 400 мм. </w:t>
      </w:r>
    </w:p>
    <w:p w14:paraId="72C0985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 В общий вес танка вошли вес бронировки пушки и экипажа, взвешенных отдельно. </w:t>
      </w:r>
    </w:p>
    <w:p w14:paraId="61A0E72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Расчетная нагрузка на колеса и регулировка подвески приводятся в таблице: </w:t>
      </w:r>
    </w:p>
    <w:p w14:paraId="74D0506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Нагрузка на поддерживающие колеса взвешиванием не определялась. </w:t>
      </w:r>
    </w:p>
    <w:p w14:paraId="76AA6B9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Среднее удельное давление танка на почву 25600/42244 = 0,606 кг/см². </w:t>
      </w:r>
    </w:p>
    <w:p w14:paraId="02ED913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2</w:t>
      </w:r>
    </w:p>
    <w:p w14:paraId="6EE7AD7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 Цель: – Определить координаты центра тяжести танка Т-34. </w:t>
      </w:r>
    </w:p>
    <w:p w14:paraId="48F7601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 Время и место: – февраль мес. 1940 г. цех "530" завода им. Коминтерна. </w:t>
      </w:r>
    </w:p>
    <w:p w14:paraId="552E2E7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III. Методика: – Определение центра тяжести производилось согласно методики, разработанной в проекте стандарта Главного управления "Методы испытания танков опытного образца" изд. 1938 г. </w:t>
      </w:r>
    </w:p>
    <w:p w14:paraId="67B887F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IV. Состояние танка: – Танк Т-34 полностью укомплектован за исключением брезента, бронировки пушки и экипажа. </w:t>
      </w:r>
    </w:p>
    <w:p w14:paraId="2D4492D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V. Результаты: – см. таблицу и фото №-18. </w:t>
      </w:r>
    </w:p>
    <w:p w14:paraId="3AC28EA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18. </w:t>
      </w:r>
    </w:p>
    <w:p w14:paraId="54E7BE9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w:t>
      </w:r>
    </w:p>
    <w:p w14:paraId="59876E7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X – расстояние от оси гусеничного колеса до Ц.Т. по горизонтали. </w:t>
      </w:r>
    </w:p>
    <w:p w14:paraId="3BA67DC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Z – расстояние от оси гусеничного колеса до Ц.Т. по вертикали. </w:t>
      </w:r>
    </w:p>
    <w:p w14:paraId="7D337F3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Z' – расстояние от грунта до центра тяжести. </w:t>
      </w:r>
    </w:p>
    <w:p w14:paraId="3BA3ADC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114F8F6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В отношении расположения Ц.Т. по горизонтали, танк Т-34 находится в лучших условиях, чем танки Т-7, Т-7М и Т-32, а отсюда распределение нагрузок по отдельным колесам будет равномернее. </w:t>
      </w:r>
    </w:p>
    <w:p w14:paraId="343E2F6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По высоте Ц.Т. на танке Т-34 расположен выше, чем на танке Т-32 на 59 мм, это объясняется тем, что бронировка корпуса и башни более мощная, а так же тем, что пушка Л-11 тяжелее пушки Л-10. </w:t>
      </w:r>
    </w:p>
    <w:p w14:paraId="50AD3DF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Однако повышенное расположение Ц.Т. не снижает его устойчивости (против других танков) на подъемах и косогорах благодаря более широкой колеи. </w:t>
      </w:r>
    </w:p>
    <w:p w14:paraId="212FD5E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3</w:t>
      </w:r>
    </w:p>
    <w:p w14:paraId="432D9AD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Испытаний танков "Т-34"</w:t>
      </w:r>
    </w:p>
    <w:p w14:paraId="479B06F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Цель: – Определить надежность крепления системы "Л-11" и пулемета "ДТ" в башне и в носу танка "Т-34" и удобство ведения огня. </w:t>
      </w:r>
    </w:p>
    <w:p w14:paraId="21674D8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Время и место: – 22 февраля 1940 г. Полигон г. Чугуев. </w:t>
      </w:r>
    </w:p>
    <w:p w14:paraId="13153FE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Методика – Стрельбой из пушки и пулеметов определить: надежность крепления системы и пулеметов, максимальные углы возвышения и снижения, скорость и кучность стрельбы. </w:t>
      </w:r>
    </w:p>
    <w:p w14:paraId="31416C4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Результаты: 1. Для определения надежности крепления арт. системы из орудия было произведено 66 выстрелов. Стрельба производилась под разными углами возвышения и снижения и при разных положениях башни (на нос, корму и борта). </w:t>
      </w:r>
    </w:p>
    <w:p w14:paraId="35E437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Осмотром крепления орудия в башне, маски и самой башни после стрельбы никаких дефектов не обнаружено. </w:t>
      </w:r>
    </w:p>
    <w:p w14:paraId="0F40D39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Максимальный угол возвышения 24˚30’ – при этом угле возвышения ведение огня не вызывает затруднений. </w:t>
      </w:r>
    </w:p>
    <w:p w14:paraId="4502E0D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Максимальный угол снижения на нос и на борта 2˚30’, а на корму 1˚30’. </w:t>
      </w:r>
    </w:p>
    <w:p w14:paraId="1A78516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При выстреле в сторону кормы с углом снижения 1˚30’ (максимальный) воздухом был выбит сектор сетки жалюзи. </w:t>
      </w:r>
    </w:p>
    <w:p w14:paraId="14D89A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Для определения мертвого пространства при стрельбе из пушки с места было произведено, под максимальными углами снижения, шесть выстрелов шрапнельными снарядами с установкой дистанционной трубки на картечь. Падение пуль от разрыва шрапнелей начинается: </w:t>
      </w:r>
    </w:p>
    <w:p w14:paraId="54B4295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при стрельбе на нос – 6 мт. (наибольший сноп пуль – 16 мет.) </w:t>
      </w:r>
    </w:p>
    <w:p w14:paraId="1EA28D5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при стрельбе на корму – 11 мет. (наибольший сноп пуль – 19 мет.) </w:t>
      </w:r>
    </w:p>
    <w:p w14:paraId="5D14951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Для выявления удобства ведения огня из орудия было произведено 20 выстрелов. </w:t>
      </w:r>
    </w:p>
    <w:p w14:paraId="79A9BCA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Первые 10 выстрелов производились по цели с одной установкой прицельных шкал с подготовленными для стрельбы патронами (патроны были вынуты из укладки, дистанционные трубки поставлены заранее). При этих условиях была достигнута скорость стрельбы – 4 выстрела в минуту. </w:t>
      </w:r>
    </w:p>
    <w:p w14:paraId="7FB705D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Вторые 10 выстрелов производились с переносом огня, при подготовленных патронах для стрельбы – скорость стрельбы – 2 выстрела в минуту. </w:t>
      </w:r>
    </w:p>
    <w:p w14:paraId="2B680BB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производстве выстрелов (при открывании и закрывании затвора) наблюдалось сбивание наводки, что сильно отражается на скорострельности и меткости ведения огня. </w:t>
      </w:r>
    </w:p>
    <w:p w14:paraId="5195E9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Вести огонь из орудия из-за тесноты в башне неудобно. </w:t>
      </w:r>
    </w:p>
    <w:p w14:paraId="7F244B4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Для определения кучности стрельбы из орудия на дистанции 1000 мт. по щиту 6×6 метров было произведено 12 прицельных выстрелов. (Перед стрельбой на кучность была проведена выверка прицельных приспособлений боевым выстрелом). </w:t>
      </w:r>
    </w:p>
    <w:p w14:paraId="2E68928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Результаты стрельбы: </w:t>
      </w:r>
    </w:p>
    <w:p w14:paraId="7CC9ED4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9. Ведение огня из пулемета ДТ (в башне) возможно в тех же пределах, что и у системы Л-11 т.к. пулемет установлен в той же маске. </w:t>
      </w:r>
    </w:p>
    <w:p w14:paraId="69A0AB6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Ведение огня из башенного и носового пулеметов в пределах, допускаемых установкой горизонтальных и вертикальных углов вполне возможно. </w:t>
      </w:r>
    </w:p>
    <w:p w14:paraId="53DBD2B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Укладка магазинов для пулеметов ДТ находится в отделении управления, поэтому не обеспечивает нормального ведения огня из пулемета в башне. </w:t>
      </w:r>
    </w:p>
    <w:p w14:paraId="332EFFC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Мертвое пространство при стрельбе из носового пулемета равно 11 метрам. </w:t>
      </w:r>
    </w:p>
    <w:p w14:paraId="2D1784E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Шаровую установку пулемета ДТ в носу танка можно вынуть снаружи, т.к. крепление ее только наружное несквозными болтами. </w:t>
      </w:r>
    </w:p>
    <w:p w14:paraId="7A53802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7068C61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Башня танка тесная. Пушка и прицельные приспособления смонтированы так, что пользование ими затруднительно – отражается на меткость и скорострельность ведения огня, как из пушки, так и из пулеметов. </w:t>
      </w:r>
    </w:p>
    <w:p w14:paraId="7E8348E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Углы возвышения и снижения, допускаемые прицельными приспособлениями, полностью не использованы, что увеличивает мертвые пространства и уменьшает предельную дальность арт. огня танка. </w:t>
      </w:r>
    </w:p>
    <w:p w14:paraId="0D91825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угол возвышения довести до +30˚, а угол снижения на нос и на борта довести до –5˚. </w:t>
      </w:r>
    </w:p>
    <w:p w14:paraId="2242202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 расширить башню без переделки погона, уменьшить габариты гильзоулавливателя, перемонтировать прицельные приспособления – обеспечив к ним более свободный доступ и устранить сбивание наводки во время заряжания. </w:t>
      </w:r>
    </w:p>
    <w:p w14:paraId="5DD7EB6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Крепление системы Л-11 и пулемета в башне надежно. Для более надежной проверки крепления системы необходимо произвести дополнительный отстрел снарядами в количестве 200 шт. </w:t>
      </w:r>
    </w:p>
    <w:p w14:paraId="3F6FB97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Шаровую установку пулемета ДТ в носу танка необходимо крепить двумя сквозными болтами, а также проверить ее пулевым обстрелом на заклинивание. </w:t>
      </w:r>
    </w:p>
    <w:p w14:paraId="3C2A262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Изменить конструкцию сетки над жалюзи трансмиссионного отделения. </w:t>
      </w:r>
    </w:p>
    <w:p w14:paraId="3805800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4</w:t>
      </w:r>
    </w:p>
    <w:p w14:paraId="460E582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Испытания танков "Т-34"</w:t>
      </w:r>
    </w:p>
    <w:p w14:paraId="2F598DF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Цель: – Определить удобство пользования приборами наблюдения, прицеливания и боеукладкой. </w:t>
      </w:r>
    </w:p>
    <w:p w14:paraId="19A716F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Время и место. </w:t>
      </w:r>
    </w:p>
    <w:p w14:paraId="3A29C9D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Испытание: – 22 февраля 1940 г. полигон г. Чугуев. </w:t>
      </w:r>
    </w:p>
    <w:p w14:paraId="7031267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Результаты испытания: – При ведении огня с места установлено: </w:t>
      </w:r>
    </w:p>
    <w:p w14:paraId="289D18D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По приборам прицеливания и наблюдения. </w:t>
      </w:r>
    </w:p>
    <w:p w14:paraId="2DCDDA5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Затруднено пользование приборами наводки, а барабанчиком прицела ТОД пользование невозможно. </w:t>
      </w:r>
    </w:p>
    <w:p w14:paraId="4D3D782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Затруднен доступ к тяге прицела ПТ-1. Отсутствует цепочка, предохраняющая прицел от выпадания. </w:t>
      </w:r>
    </w:p>
    <w:p w14:paraId="4A37F78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Окуляры ПТ-1 и ТОД расположены не в одной плоскости и не на одном уровне по отношению к стрелку, что неудобно для пользования. </w:t>
      </w:r>
    </w:p>
    <w:p w14:paraId="602054E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Нельзя установить державку налобника ТОД. </w:t>
      </w:r>
    </w:p>
    <w:p w14:paraId="53651D3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При отстреле системы наружные защитные стекла смотровых приборов и частично их зеркала разбиваются. </w:t>
      </w:r>
    </w:p>
    <w:p w14:paraId="691ED33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е) Прибор кругового обзора не обеспечивает удобного наблюдения и не защищен от поражения. </w:t>
      </w:r>
    </w:p>
    <w:p w14:paraId="5E9AF2E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По боеукладке. </w:t>
      </w:r>
    </w:p>
    <w:p w14:paraId="79663C2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На выемку чемодана (трехпатронного) и патрона из него затрачивается 15 минут, что очень утомляет заряжающего. </w:t>
      </w:r>
    </w:p>
    <w:p w14:paraId="621F482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Крышки чемоданов без применения инструмента открыть и закрыть невозможно. </w:t>
      </w:r>
    </w:p>
    <w:p w14:paraId="6520478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в) Крепление патронов двумя ремнями затрудняет выемку и укладку. </w:t>
      </w:r>
    </w:p>
    <w:p w14:paraId="2265D35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Выполнение бутылочных застежек для крепления снарядов на бортах небрежное. </w:t>
      </w:r>
    </w:p>
    <w:p w14:paraId="3768EE9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Укладка магазинов, для пулемета ДТ, только в носовой части танка не обеспечивает нормального ведения огня из спаренного пулемета в башне. </w:t>
      </w:r>
    </w:p>
    <w:p w14:paraId="4F96161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4BDA0DC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обеспечения удобства пользования приборами прицеливания и наблюдения необходимо: </w:t>
      </w:r>
    </w:p>
    <w:p w14:paraId="07505A1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Учитывая расширение башни сместить ПТ-1 влево, обеспечив доступ к установке прицела ТОД. </w:t>
      </w:r>
    </w:p>
    <w:p w14:paraId="309C544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Окуляры ПТ-1 и ТОД установить в одной плоскости (горизонт. и вертик.). </w:t>
      </w:r>
    </w:p>
    <w:p w14:paraId="78593B2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Поставить цепочку для предохранения ПТ-1 от выпадания. </w:t>
      </w:r>
    </w:p>
    <w:p w14:paraId="123EEC1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Смотровой прибор кругового обзора конструктивно доработать с целью обеспечения удобной хорошей видимости и предохранить от поражения. </w:t>
      </w:r>
    </w:p>
    <w:p w14:paraId="12F4B6C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Смотровые приборы водителя и в башне конструктивно доработать, устранив возможность разрушения их при поражении близлежащих участков брони и предусмотреть очистку наружных стекол при забивании снегом или грязью. </w:t>
      </w:r>
    </w:p>
    <w:p w14:paraId="5114CA8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обеспечения нормального ведения огня и облегчения труда заряжающего необходимо: </w:t>
      </w:r>
    </w:p>
    <w:p w14:paraId="25A9AB6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Обеспечить свободную выемку и вставку чемоданов. </w:t>
      </w:r>
    </w:p>
    <w:p w14:paraId="79206D0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Обеспечить свободное открытие и закрытие крышек чемоданов. </w:t>
      </w:r>
    </w:p>
    <w:p w14:paraId="6C034F4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Конструктивно изменить крепление снарядов двумя ремешками, обеспечив при этом удобную и быструю подготовку снаряда к выстрелу. </w:t>
      </w:r>
    </w:p>
    <w:p w14:paraId="5605376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Для ведения нормального огня из спаренного пулемета разработать укладку дисков, обеспечив удобную выемку их заряжающим. </w:t>
      </w:r>
    </w:p>
    <w:p w14:paraId="212A3CF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5</w:t>
      </w:r>
    </w:p>
    <w:p w14:paraId="6C71701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Испытания танков "Т-34"</w:t>
      </w:r>
    </w:p>
    <w:p w14:paraId="56E65AE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Цель: Определить удобство рабочих мест в танке "Т-34". </w:t>
      </w:r>
    </w:p>
    <w:p w14:paraId="5E3A387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Время и место: – За период испытания танков, февраль – апрель мес. 1940 г. </w:t>
      </w:r>
    </w:p>
    <w:p w14:paraId="7A942FC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Методика: – Для определения удобства рабочих мест в танке экипажу необходимо производить все работы в танке (наблюдение, прицеливание, стрельбу и т.д.) с полной укомплектовкой машины, при закрытых люках. </w:t>
      </w:r>
    </w:p>
    <w:p w14:paraId="21FAA2C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Результаты: </w:t>
      </w:r>
    </w:p>
    <w:p w14:paraId="2743043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 Рабочее место водителя. </w:t>
      </w:r>
    </w:p>
    <w:p w14:paraId="5105384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Сиденье водителя по своим размерам, устройству и амортизации достаточно удобно. </w:t>
      </w:r>
    </w:p>
    <w:p w14:paraId="504CB92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Горизонтальная подвижность сиденья по конструкции рассчитана приблизительно на 100 мм, но фактически возможна в пределах только 60 мм, что является недостаточным. Ограничение подвижности имеет место по направлению назад, благодаря чему сидение не может быть приспособлено для водителя высокого роста. Ножные педали управления при крайнем заднем положении сиденья расположены близко к нему, поэтому у водителя высокого роста ноги будут значительно сгибаться в коленных суставах. </w:t>
      </w:r>
    </w:p>
    <w:p w14:paraId="2A682AA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Рычаги борт. фрикционов расположены наоборот – очень далеко от сиденья: удаленность их от плечевых точек около 800 мм, что значительно превышает средние размеры длины рук, вследствие этого водитель при работе рычагами принимает согнутое положение и отрывается от спинки сиденья. </w:t>
      </w:r>
    </w:p>
    <w:p w14:paraId="7939B49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Высота сиденья не соответствует высоте отделения управления. Расстояние от сиденья до потолка не вполне обеспечивает свободного размещения водителя выше среднего роста. При росте в 175 см. зазор между головой и потолком равен всего лишь 10 мм, что не вполне гарантирует от ушиба головы о верхний броневой лист. </w:t>
      </w:r>
    </w:p>
    <w:p w14:paraId="35D2EA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Контрольные приборы расположены на передней стенке отделения управления и не требуют от водителя поворота головы. Освещение приборов осуществлено таким образом, что прямой свет от лампочек не попадает в глаза водителя. Видимость приборов хорошая. Смотровых приборов у водителя три: один центральный и два боковых. По отношению к водителю расположены удобно, но по своему устройству не обеспечивают достаточной видимости (забиваются грязью, снегом и т.д.). </w:t>
      </w:r>
    </w:p>
    <w:p w14:paraId="778335B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 Рабочее место стрелка-радиста. </w:t>
      </w:r>
    </w:p>
    <w:p w14:paraId="7FB1638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Сиденье стрелка в отделение управления танком выполнено аналогично сиденью водителя. </w:t>
      </w:r>
    </w:p>
    <w:p w14:paraId="53444A8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Размещение стрелка по отношению к пулемету нормальное. Наблюдение стрелка-радиста весьма ограничено, т.к. наблюдать он может только через прицельное отверстие в шаровой установке. </w:t>
      </w:r>
    </w:p>
    <w:p w14:paraId="7DEBC2B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Горизонтальная подвижность сиденья недостаточна и само сиденье расположено высоко от днища, поэтому стрелок упирается головой в наклонный лист передней брони. </w:t>
      </w:r>
    </w:p>
    <w:p w14:paraId="589A67C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Размещение боеукладки пулеметных дисков в нише у борта стесняет стрелка-радиста и уменьшает угол горизонтального обстрела из пулемета. </w:t>
      </w:r>
    </w:p>
    <w:p w14:paraId="368C5A9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III. Рабочее место командира танка. </w:t>
      </w:r>
    </w:p>
    <w:p w14:paraId="417B50A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Размещение командира в танке стеснено. Расстояние от гильзоулавливателя до упора левого плеча равно 450 мм, т.е. несколько меньше средней ширины плеч. При наличии зимнего обмундирования стесненность командира еще больше. </w:t>
      </w:r>
    </w:p>
    <w:p w14:paraId="32D1162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Сиденье не дает вогнутости под тяжестью тела, поэтому положение командира недостаточно устойчивое. </w:t>
      </w:r>
    </w:p>
    <w:p w14:paraId="1A4C35C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Сиденье недостаточно надежно фиксируется на кронштейне – имеет боковое качание. </w:t>
      </w:r>
    </w:p>
    <w:p w14:paraId="78B7078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Пользование маховичками поворотного и подъемного механизмов башни и системы недостаточно удобно. При перекрещивании рук, правая рука плотно прилегает к левой, вследствие чего проворачивание башни затруднено. </w:t>
      </w:r>
    </w:p>
    <w:p w14:paraId="20A98F4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Спусковая педаль расположена близко к сиденью. Нога находится в согнутом положении, что затрудняет движение ступни при пользовании педалью спуска. Необходимо усилить крепление ножного спуска, сместив его влево, с целью возможности постановки обоих ног на подставку и чтобы правая нога не зажималась гильзоулавливателем и казенной частью пушки. </w:t>
      </w:r>
    </w:p>
    <w:p w14:paraId="23EA75B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Окуляры ПТ-1 и ТОД расположены не в одной плоскости, что затрудняет пользование ими. </w:t>
      </w:r>
    </w:p>
    <w:p w14:paraId="74B33FB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К маховичку ТОДа плохой доступ для наводки. </w:t>
      </w:r>
    </w:p>
    <w:p w14:paraId="1BA0B6A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Расположение рации в нише загружает командира танка, отвлекая его от непосредственной работы. </w:t>
      </w:r>
    </w:p>
    <w:p w14:paraId="7F8B4CA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Установленный в люке башни прибор кругового обзора не обеспечивает наблюдения, а также не защищен от поражения. </w:t>
      </w:r>
    </w:p>
    <w:p w14:paraId="1E0785E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IV. Рабочее место заряжающего. </w:t>
      </w:r>
    </w:p>
    <w:p w14:paraId="21A9628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По пунктам 1, 2 и 3 рабочего места командира аналогичные недостатки и на рабочем месте заряжающего. </w:t>
      </w:r>
    </w:p>
    <w:p w14:paraId="7A3502C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Отсутствие укладки пулеметных магазинов в башне не обеспечивает интенсивного ведения огня из спаренного пулемета. </w:t>
      </w:r>
    </w:p>
    <w:p w14:paraId="5EB82ED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5AE9978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 Рабочее место водителя</w:t>
      </w:r>
    </w:p>
    <w:p w14:paraId="4E67742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Сиденье водителя по своим размерам, устройству спинки и амортизации достаточно удобно. </w:t>
      </w:r>
    </w:p>
    <w:p w14:paraId="71DEFE8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Горизонтальная подвижность сиденья недостаточна – необходимо увеличить возможность горизонтальной регулировки. </w:t>
      </w:r>
    </w:p>
    <w:p w14:paraId="12D6D05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Рычаги управления борт. фрикционами распложены далеко от сиденья – необходимо, за счет приближения рычагов борт. фрикционов к сиденью, уменьшить расстояние от плечевых точек водителя к рычагам до 550 – 600 мм. </w:t>
      </w:r>
    </w:p>
    <w:p w14:paraId="5603710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 Рабочее место стрелка-радиста</w:t>
      </w:r>
    </w:p>
    <w:p w14:paraId="5D14B23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Сиденье стрелка-радиста в отделении управления достаточно удобно. </w:t>
      </w:r>
    </w:p>
    <w:p w14:paraId="7E061EE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Установить сиденье ниже на 40 – 50 мм т.к. при настоящей установке сиденья стрелок упирается головой в наклонный броневой лист. </w:t>
      </w:r>
    </w:p>
    <w:p w14:paraId="4BDB865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Размещение боеукладки, пулеметных дисков в нише борта стесняет стрелка-радиста и уменьшает угол горизонтального обстрела из пулемета. </w:t>
      </w:r>
    </w:p>
    <w:p w14:paraId="3FBD80F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Наблюдение стрелка-радиста весьма ограничено – только через прицельное отверстие в шаровой установке пулемета, что является недостаточным. </w:t>
      </w:r>
    </w:p>
    <w:p w14:paraId="6409308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III. Рабочее место командира танка и заряжающего</w:t>
      </w:r>
    </w:p>
    <w:p w14:paraId="4F97E96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Сиденье командира танка для более удобного им пользования наклонить вправо и поднять вверх. Уменьшить по ширине в передней части закруглив углы – подобно сиденью мотоцикла. Подушку сиденья сделать мягкой. </w:t>
      </w:r>
    </w:p>
    <w:p w14:paraId="11E3363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 целью увеличения габаритов места командира и заряжающего – гильзоулавливатель сделать фигурным. </w:t>
      </w:r>
    </w:p>
    <w:p w14:paraId="54A3D59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Увеличить габариты места командира танка и заряжающего за счет уширения башни, не увеличивая диаметра погона, сохранив существующий угол наклона брони башни. </w:t>
      </w:r>
    </w:p>
    <w:p w14:paraId="2C45D42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Расположение рации в нише башни загружает командира танка, отвлекая его от основной работы. </w:t>
      </w:r>
    </w:p>
    <w:p w14:paraId="0DE7BA6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Ножной спуск перенести влево с целью возможности постановки обоих ног на подставку (левая нога для упора, а правой работать спуском). </w:t>
      </w:r>
    </w:p>
    <w:p w14:paraId="0DE6AEA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У рабочих мест необходимо: </w:t>
      </w:r>
    </w:p>
    <w:p w14:paraId="65C7F19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Установить термоса для питьевой воды экипажу. </w:t>
      </w:r>
    </w:p>
    <w:p w14:paraId="428C50C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Предусмотреть размещение неприкосновенного запаса продуктов питания экипажа и положенного ему имущества по табелю. </w:t>
      </w:r>
    </w:p>
    <w:p w14:paraId="1C02AB3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Предусмотреть установку захватов для распора рук и обшивку острых углов с целью защиты от ушибов головы при преодолении препятствий. </w:t>
      </w:r>
    </w:p>
    <w:p w14:paraId="2D704D0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6</w:t>
      </w:r>
    </w:p>
    <w:p w14:paraId="4847E7C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Испытаний танков "Т-34"</w:t>
      </w:r>
    </w:p>
    <w:p w14:paraId="099375C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I. Цель: – Определить концентрацию С.О. при стрельбе. </w:t>
      </w:r>
    </w:p>
    <w:p w14:paraId="791A9E9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 Время и место: – 22 февраля 1940 г. Полигон у гор. Чугуева. </w:t>
      </w:r>
    </w:p>
    <w:p w14:paraId="0D423F3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III. Методика: – При производстве выстрелов из пушки брать воздух для пробы в башне при закрытых люках с работающим мотором и вентилятором и при выключенном вентиляторе и неработающем моторе. </w:t>
      </w:r>
    </w:p>
    <w:p w14:paraId="4180550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IV. Результаты: – При определении концентрации СО в танке при стрельбе из пушки с закрытыми люками получены следующие данные: </w:t>
      </w:r>
    </w:p>
    <w:p w14:paraId="734B004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При стрельбе из пушки при работающем моторе и включенной вентиляции за 10 выстрелов в течение 2-х минут концентрация СО была: </w:t>
      </w:r>
    </w:p>
    <w:p w14:paraId="1F558A1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после 5 выстрелов – 0,071 мгр/л. </w:t>
      </w:r>
    </w:p>
    <w:p w14:paraId="2FA065E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после 10 выстрелов – 0,21 мгр/л. </w:t>
      </w:r>
    </w:p>
    <w:p w14:paraId="37725A4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При стрельбе из пушки с неработающим мотором танка и выключенной вентиляцией, за 10 выстрелов в течение 7 мин. 15 секунд концентрация СО в танке была: </w:t>
      </w:r>
    </w:p>
    <w:p w14:paraId="38FE76A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после 5 выстрелов – 0,99 мгр/л. </w:t>
      </w:r>
    </w:p>
    <w:p w14:paraId="151B30E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после 10 выстрелов – 1,52 мгр/л. </w:t>
      </w:r>
    </w:p>
    <w:p w14:paraId="4F30AD6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При стрельбе из двух пулеметов по 3 диска на каждый в течение 6 минут концентрация СО в танке была 0,024 мгр/л, т.е. в нормальных пределах. </w:t>
      </w:r>
    </w:p>
    <w:p w14:paraId="1979B9F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6DE0E9C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Полученные данные при определении концентрации СО в воздухе в танке показывают, что при выключенной вентиляции и неработающем моторе наличие СО достигает больших размеров требующих применения специальных защитных мероприятий. </w:t>
      </w:r>
    </w:p>
    <w:p w14:paraId="6874C94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Включение вентиляции при работающем моторе значительно снижает концентрацию СО, но не доводит ее до гигиенической нормы (0,02 – 0,03 мгр/л). </w:t>
      </w:r>
    </w:p>
    <w:p w14:paraId="635AE1A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После 10 выстрелов концентрация СО была обнаружена в воздухе в размере 0,21 мгр/л, что в 10 раз превышает гигиеническую норму, поэтому следует считать вентиляцию танка недостаточной. Необходимо производительность вытяжного вентилятора, установленного в правом углу боевого отделения увеличить. </w:t>
      </w:r>
    </w:p>
    <w:p w14:paraId="308F2E8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7</w:t>
      </w:r>
    </w:p>
    <w:p w14:paraId="7FF9356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Испытание броневой защиты танка Т-34 на снарядостойкость.</w:t>
      </w:r>
    </w:p>
    <w:p w14:paraId="168399E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Испытаниям на снарядостойкость была подвергнута левая верхняя бортовая броня толщиной 40 мм, расположенная под углом 40˚ и левая боковая стенка башни толщиной 45 мм, имеющая угол наклона – 30˚. Испытания производились с дистанции 100 м. бронебойными снарядами из противотанковой пушки калибра 37 мм, выпуска 1940 года производства Valtion Tykkitehdas, смонтированной на 6 тонном танке Виккерс и из отечественной противотанковой пушки калибра 45 мм, образца 1934 года, установленной на танке БТ-7. </w:t>
      </w:r>
    </w:p>
    <w:p w14:paraId="51B2E2D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определения поражения команды в башню обстреливаемого танка, на место артиллериста, был посажен макет человека. По броневой защите танка Т-34 было произведено четыре выстрела, по два из каждой пушки. </w:t>
      </w:r>
    </w:p>
    <w:p w14:paraId="56B5425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Порядок обстрела: </w:t>
      </w:r>
    </w:p>
    <w:p w14:paraId="02BF2DE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Первое поражение 37 мм бронебойным снарядом произведено в башню. Поражение кондиционное, имеет форму сферической воронки глубиной 17 мм с диаметрами 60 и 63 мм. От удара снаряда произошли следующие разрушения: </w:t>
      </w:r>
    </w:p>
    <w:p w14:paraId="7B51653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Разбито стекло и зеркала левого смотрового прибора башни, и вышел из пазов налобник вследствие ненадежной фиксации. </w:t>
      </w:r>
    </w:p>
    <w:p w14:paraId="7CA3D3F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Сварной шов бронезащиты левого смотрового прибора башни дал трещину длиной до 190 мм с незначительными местными вырывами наплавленного металла. </w:t>
      </w:r>
    </w:p>
    <w:p w14:paraId="34072F9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макете человека поражений не обнаружено. Мотор обстреливаемого танка, работавший на 600 об/мин не был заглушен. </w:t>
      </w:r>
    </w:p>
    <w:p w14:paraId="12B9F97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Второе поражение произведено 37 мм бронебойным снарядом в бортовую броню. Поражение кондиционное, имеет ту же форму, что и первое, но глубина его – 12 мм и диаметры 52 и 55 мм. </w:t>
      </w:r>
    </w:p>
    <w:p w14:paraId="03A33D5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 удара снаряда других разрушений не обнаружено. Уменьшение объема выбитого металла из бортовой брони, по сравнению с объемом выбитого металла из боковой стенки башни, объясняется увеличенным наклоном бортовой брони. Увеличение угла наклона брони на 10° в пределах от 30° до 40° при уменьшении её толщины на 5 мм по сравнению с толщиной и углом наклона стенки башни оставляет преимущество по снарядостойкости за бортовой броней. На макете человека поражений не обнаружено. Мотор, работавший на 600 об/мин не был заглушен. </w:t>
      </w:r>
    </w:p>
    <w:p w14:paraId="2876066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Третье поражение 45 мм бронебойным снарядом произведено в нижний обрез боковой стенки башни от которой снаряд примерно половиной своей площади поперечного сечения срезал угол кромки и ударился о броню стенки подбашенной коробки. Оставил на её лицевой части след глубиной 10 мм, длинной 60 мм и шириной 55 мм, и рикошетировал в сварной шов в днище ниши башни, имеющего толщину 13 мм. От острого угла днища, приваренного к стенке башни и к обечайке, снаряд отколол четыре примерно одинаковых куска, средние размеры, каждого из которых – 60×25×13 мм. Сварные швы разрушены, три куска сместились один относительно другого, но остались зажатыми между стенками ниши башни и обечайкой. Четвертый кусок был выбит вместе с наплавленным металлом шва и обнаружен внутри корпуса. Ни снаряд, ни его осколки за броней не обнаружены. От удара снаряда произошли следующие разрушения: </w:t>
      </w:r>
    </w:p>
    <w:p w14:paraId="52E093A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Башня заклинилась, и её вращение прекратилось вследствие вмятины, образовавшейся на погоне и смещения шариков с из траектории. </w:t>
      </w:r>
    </w:p>
    <w:p w14:paraId="0C8D5FA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Заклинка частично устранена силами экипажа с помощью домкрата за 3 часа. Башня проворачивается от электромотора. </w:t>
      </w:r>
    </w:p>
    <w:p w14:paraId="269AAE4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Три болта погона Ø 10 мм – сорваны. </w:t>
      </w:r>
    </w:p>
    <w:p w14:paraId="171BDCB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Захват погона, крепящийся на 3-х болтах Ø 10 мм сорван. </w:t>
      </w:r>
    </w:p>
    <w:p w14:paraId="22F0126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Спинка сидения артиллериста, крепящаяся на 2-х болтах Ø 10 мм – сорвана. </w:t>
      </w:r>
    </w:p>
    <w:p w14:paraId="6EFFE2A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Разбито наружное стекло правого смотрового прибора башни (толщина стекла – 4 мм.). </w:t>
      </w:r>
    </w:p>
    <w:p w14:paraId="69A6C83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макете человека обнаружено три поражения (два в голову и одно в бок). Мотор, работавший на 600 об/мин не был заглушен. </w:t>
      </w:r>
    </w:p>
    <w:p w14:paraId="3E5C55A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4-е поражение 45 мм бронебойным снарядом произведено в башню. Поражение кондиционное. Оно отличается от двух первых тем, что имеет более вытянутую форму. Длина его = 62 мм, ширина = 50 мм и глубина = 14 мм. Металл в месте удара снаряда выбит под значительно большим углом. С внутренней стороны брони образовалась выпуклость. От удара снаряда других разрушений не обнаружено. Стрельба производилась по танку с заглушенным мотором. </w:t>
      </w:r>
    </w:p>
    <w:p w14:paraId="774FAA4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4645781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Испытания на снарядостойкость броневой защиты танка Т-34 показали, что последняя изготовлена из вязкой брони повышенной твердости. </w:t>
      </w:r>
    </w:p>
    <w:p w14:paraId="721CA04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Обстрел борта башни и наклонного бортового листа корпуса 37 мм бронебойными снарядами танковой пушки выпуска 1940 года производства Valtion Tykkitehdas и 45 мм бронебойными снарядами танковой пушки образца 1934 г. отечественного производства с дистанции 100 мет. показал, что данные броневые листы бронебойными снарядами указанного калибра не пробиваются. </w:t>
      </w:r>
    </w:p>
    <w:p w14:paraId="4F3ED90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Настоящие испытания показали, что при попадании бронебойных снарядов (калибра 37 мм или 45 мм) в башню, целый ряд агрегатов боевого отделения танка получают серьезные повреждения (перечисленные в результатах испытания), угрожающих безопасности экипажа, во избежание чего необходимо: </w:t>
      </w:r>
    </w:p>
    <w:p w14:paraId="3917E13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Увеличить толщину днища ниши башни. </w:t>
      </w:r>
    </w:p>
    <w:p w14:paraId="6426E8D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Улучшить качество сварных швов. </w:t>
      </w:r>
    </w:p>
    <w:p w14:paraId="43C0853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Устранить возможность разрушения смотровых приборов при поражении близлежащих участков брони. </w:t>
      </w:r>
    </w:p>
    <w:p w14:paraId="4BC3260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Усилить болты, крепящие захваты и спинки сидений стрелков. </w:t>
      </w:r>
    </w:p>
    <w:p w14:paraId="1897E53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Усилить фиксатор налобника смотровых приборов. </w:t>
      </w:r>
    </w:p>
    <w:p w14:paraId="1640572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19 – Места попадания 37 и 45 мм бронебойных снарядов в башню и борт.</w:t>
      </w:r>
    </w:p>
    <w:p w14:paraId="3D5D330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20 – Места попадания 37 и 45 мм бронебойных снарядов в башню.</w:t>
      </w:r>
    </w:p>
    <w:p w14:paraId="3B7BCA5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8</w:t>
      </w:r>
    </w:p>
    <w:p w14:paraId="170F59C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Испытаний танка Т-34</w:t>
      </w:r>
    </w:p>
    <w:p w14:paraId="42F41B2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Цель испытания – Установить возможность проникновения горящей жидкости в танк при закрытых люках. </w:t>
      </w:r>
    </w:p>
    <w:p w14:paraId="29C1BA2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Время и место испытания – 22/IV-40 г. Яр, в районе завода им. Коминтерна. </w:t>
      </w:r>
    </w:p>
    <w:p w14:paraId="080F12A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Метеорологические условия: – Погода ясная, сухая, температура окружающего воздуха t˚ = 13,7˚С. </w:t>
      </w:r>
    </w:p>
    <w:p w14:paraId="454A87A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Условия испытания – Установленный на место испытания танк при работающем двигателе (n = 1200 об/мин) с закрытыми люками и бортовыми жалюзи (кормовые жалюзи открыты) и с укрепленными на крыше пучками пакли, смоченной смесью из бензина и авиационного масла в определенном порядке забрасывался бутылками емкостью 0,5 литра, заполненными горючей жидкостью. Пучки пакли, расположенные в тех местах, куда бросалась бутылка с жидкостью, были подожжены. </w:t>
      </w:r>
    </w:p>
    <w:p w14:paraId="5741D67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В процессе проведения испытания экипаж в танке не находился. </w:t>
      </w:r>
    </w:p>
    <w:p w14:paraId="13CEAA0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Результаты испытаний сведены в таблицу. </w:t>
      </w:r>
    </w:p>
    <w:p w14:paraId="7A5D3A2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За время проведения вышеуказанных испытаний сильно повысилась (закрыты бортовые жалюзи) температура охлаждающей воды и масла в моторе, поэтому в испытаниях был сделан перерыв. При возобновлении испытаний режим мотора был установлен n = 1000 об/мин. </w:t>
      </w:r>
    </w:p>
    <w:p w14:paraId="658D278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результате проникновения горящего бензина в моторное отделение через 20 сек. с момента бросания бутылки выхлоп мотора стал дымным (из выхлопной трубы вылетал густой черный дым). В этот момент двигатель был остановлен на 5 сек. и вновь запущен и проработав после запуска 15 сек. заглох. </w:t>
      </w:r>
    </w:p>
    <w:p w14:paraId="7331A6B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осмотре моторного отделения обнаружено пламя в корпусе воздухоочистителя. Завести двигатель не удалось, так как отказал электростартер. Огонь в моторном отделении был потушен с помощью огнетушителя "Богатырь". </w:t>
      </w:r>
    </w:p>
    <w:p w14:paraId="52D61B1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осмотре моторного отделения обнаружено: </w:t>
      </w:r>
    </w:p>
    <w:p w14:paraId="7ADB16F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1. Подплавлены водяные радиаторы. </w:t>
      </w:r>
    </w:p>
    <w:p w14:paraId="420C6C4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Сгорело дюритовое сочленение всасывающего раструба мотора. </w:t>
      </w:r>
    </w:p>
    <w:p w14:paraId="71A3A1E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Обгорели дюритовые шланги верхних водяных труб. </w:t>
      </w:r>
    </w:p>
    <w:p w14:paraId="2D873C9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Обгорели уплотнительные резиновые прокладки штуцеров форсунок двигателя. </w:t>
      </w:r>
    </w:p>
    <w:p w14:paraId="382D2C4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Сгорело масло в корпусе воздухоочистителя. </w:t>
      </w:r>
    </w:p>
    <w:p w14:paraId="3808601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Попал пепел во всасывающий коллектор мотора. </w:t>
      </w:r>
    </w:p>
    <w:p w14:paraId="345AD9A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1C5B9A5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Защита танка от проникновения горящей жидкости недостаточна. </w:t>
      </w:r>
    </w:p>
    <w:p w14:paraId="013D56A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Необходимо обеспечить от поражения горящей жидкостью экипажа путем увеличения герметичности погона башни, люков и смотровых приборов. </w:t>
      </w:r>
    </w:p>
    <w:p w14:paraId="2930E92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Для защиты от повреждений двигателя и систем охлаждения, питания и смазки следует: </w:t>
      </w:r>
    </w:p>
    <w:p w14:paraId="546C68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Обеспечить быстрое и легкое управление надрадиаторными жалюзи. </w:t>
      </w:r>
    </w:p>
    <w:p w14:paraId="5E009FE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Ввести огнестойкие соединения и прокладки системы охлаждения и питания. </w:t>
      </w:r>
    </w:p>
    <w:p w14:paraId="59030B0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Ввести негорящий заменитель масла в воздухоочиститель. </w:t>
      </w:r>
    </w:p>
    <w:p w14:paraId="64CAE88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Углубление на наружной крыше под нишей башни защитить от попадания бросаемых снаружи предметов. </w:t>
      </w:r>
    </w:p>
    <w:p w14:paraId="57476CD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Целесообразно разработать конструкцию броневого колпака над крышей танка (или съемный колпак из 2-х мм железа). Колпак должен иметь скаты во все стороны и иметь зазор между скатами колпака и наклонной бронью 50 – 100 мм. Зазор должен сохранить нормальный температурный режим двигателя при работе в летних условиях. </w:t>
      </w:r>
    </w:p>
    <w:p w14:paraId="6A27603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21 – Забрасывание на сетку левой борт. жалюзи бутылки с горящим бензином.</w:t>
      </w:r>
    </w:p>
    <w:p w14:paraId="03A36F0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22 – Забрасывание на моторный люк бутылки с горящим бензином.</w:t>
      </w:r>
    </w:p>
    <w:p w14:paraId="2FE7573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23 – Забрасывание на смотр. приб. и люк водителя бутылки с горящим бензином.</w:t>
      </w:r>
    </w:p>
    <w:p w14:paraId="590942C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9</w:t>
      </w:r>
    </w:p>
    <w:p w14:paraId="5354954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Испытания танка "Т-34"</w:t>
      </w:r>
    </w:p>
    <w:p w14:paraId="6EF09B3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 Цель испытаний. </w:t>
      </w:r>
    </w:p>
    <w:p w14:paraId="1F7F6A9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Проверка надежности радио связи между машинами на стоянке и при движении машин по Т.У. УС и АБТУ КА. </w:t>
      </w:r>
    </w:p>
    <w:p w14:paraId="7628119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Проверить работу переговорного устройства ТПУ-2 на внутреннюю и внешнюю связь через рацию. </w:t>
      </w:r>
    </w:p>
    <w:p w14:paraId="7A36E02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Проверка удобства пользования всеми приборами радиостанции 71ТК-3 и переговорного устройства ТПУ-2. </w:t>
      </w:r>
    </w:p>
    <w:p w14:paraId="264261B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Проверка надежности крепления всех приборов радиостанции и переговорного устройства ТПУ-2. </w:t>
      </w:r>
    </w:p>
    <w:p w14:paraId="5BAC1ED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Испытать механические качества штыревых антенн. </w:t>
      </w:r>
    </w:p>
    <w:p w14:paraId="752925F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 Условия испытаний. </w:t>
      </w:r>
    </w:p>
    <w:p w14:paraId="46A2E74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Испытание на радиосвязь производить в полевых условиях вне радиуса действия индустриальных помех согласно техусловий 1940 г. УС и АБТУ КА на рацию 71ТК-3. </w:t>
      </w:r>
    </w:p>
    <w:p w14:paraId="728F413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Надежность связи определяется 100% прохождением при двухкратной передаче контрольных радиограмм. </w:t>
      </w:r>
    </w:p>
    <w:p w14:paraId="7CC5E48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Наличие помех и нарушений контактов определялось на слух при работе на прием, а также пользуясь контрольными приборами, установленными на панелях приемника и передатчика. </w:t>
      </w:r>
    </w:p>
    <w:p w14:paraId="4EDDBB9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Испытание механических качеств антенн производилось согласно Т.У. УС КА при прохождении машины под препятствием, расположенным на высоте 0,75 мтр. над антенным изолятором. </w:t>
      </w:r>
    </w:p>
    <w:p w14:paraId="2B720C3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Удобство пользованием радиостанцией, переговорным устройством ТПУ-2, надежность крепления всех приборов и монтажа определялось в процессе эксплоатации машины, при прохождении войсковых испытаний. </w:t>
      </w:r>
    </w:p>
    <w:p w14:paraId="514A44B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Результаты испытаний.</w:t>
      </w:r>
    </w:p>
    <w:p w14:paraId="293BBC1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При испытании на двухстороннюю радио связь по Т.У., как на стоянке, так и при движении машин, радио связь была уверенной и непрерывной. Помех радиоприему от электро и радиооборудования, а также нарушения контактов в монтаже не наблюдалось. При вращении башни, как от ручного привода, так и электромотором, радиостанция работала нормально без помех. </w:t>
      </w:r>
    </w:p>
    <w:p w14:paraId="73AB5F0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При испытании ТПУ-2 на внутреннюю переговорную и сигнальную связь, и на внешнюю – через радиостанцию (при нормальном положении ключей) работа ТПУ-2, как на стоянке, так и при движении машин была удовлетворительной и бесперебойной. </w:t>
      </w:r>
    </w:p>
    <w:p w14:paraId="10694A8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При прохождении машины на третьей скорости (около 30 клм. в час) под препятствием, расположенным на высоте 0,75 мтр. один из трех испытанных комплектов штыревых антенн типа А.Ш.Т. имел поломки звеньев. </w:t>
      </w:r>
    </w:p>
    <w:p w14:paraId="325C5BA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тех же условиях штыревые антенны типа АШ повреждений не имели. В процессе эксплоатации антенн типа АШТ выявлено, что указанные антенны имеют следующие недостатки: </w:t>
      </w:r>
    </w:p>
    <w:p w14:paraId="1C3419B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Материал звеньев жесткий, хрупкий, в результате чего подвергается излому при ударах. </w:t>
      </w:r>
    </w:p>
    <w:p w14:paraId="15CC30D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Свановские замки звеньев антенны недостаточно прочно закреплены в звене и при ударах возможны случаи поломки. </w:t>
      </w:r>
    </w:p>
    <w:p w14:paraId="557B79E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Конструкция антенного ввода чрезмерно сложна. Контактные пружины подвержены легкому излому. Шплинты, вставленные в прорез натяжного винта пружины качающегося сочленения, недостаточно прочно закреплены в прорезе и выскакивают, что приводит к самоотворачиванию натяжной гайки и нарушению правильной работы сочленения». </w:t>
      </w:r>
    </w:p>
    <w:p w14:paraId="7CFFA6A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В процессе гарантийных испытаний машин нарушений в креплении приборов не наблюдалось. Вследствие недостаточной механической прочности, красномедная оплетка шлангов приемника, передатчика и умформеров имела повреждение (перетерлась). </w:t>
      </w:r>
    </w:p>
    <w:p w14:paraId="76A8F61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4AF5846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Как показало испытание, радиостанция 71-ТК-3 обеспечивает дальность связи согласно техусловий УС и АБТУ КА, как на стоянке, так и при движении машин. </w:t>
      </w:r>
    </w:p>
    <w:p w14:paraId="47E6531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 части размещения радиостанции 71-ТК-3 в нише башни необходимо считать наиболее удобным размещение на машине № 2, где учтены вопросы крепления шлангов крепления запасного аккумулятора, амортизация РУН-10 и РУН-75. </w:t>
      </w:r>
    </w:p>
    <w:p w14:paraId="6A0E7F1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Вследствие большого уклона боковых листов башни, больших размеров гильзоулавливателя и самой радиостанции, размещение радиостанции в нише башни крайне стеснено и пользование ею затруднительно. </w:t>
      </w:r>
    </w:p>
    <w:p w14:paraId="492F224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Учитывая то обстоятельство, что на машине Т-34 экипаж состоит из 4-х человек, причем четвертый член экипажа, стрелок радист, помещается рядом с водителем, считать более целесообразным установку радиостанции в носовой части машины, тем самым разгрузить командира машины и заряжающего от излишнего стеснения в башне. </w:t>
      </w:r>
    </w:p>
    <w:p w14:paraId="3042ADC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Радиостанция 71-ТК-3 имеет большие габариты и при любом ее размещении, как в носовой части машины, так и в нише башни, крайне стесняет действие экипажа и усложняет пользование другими приборами и агрегатами машины. Наличие двух раздельных аппаратов (приемника и передатчика), а также большое количество ручек управления радиостанцией, делают последнюю неудобной и сложной в управлении. </w:t>
      </w:r>
    </w:p>
    <w:p w14:paraId="09105BD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Наличие вышеуказанных дефектов в значительной степени снижает эксплоатационные возможности радиостанции и в некоторых случаях совершенно устраняет возможность использования последней как средства связи. На основании вышеизложенного считать вопрос рации в танке Т-34 не разрешенным. </w:t>
      </w:r>
    </w:p>
    <w:p w14:paraId="539F3C3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Вследствие целого ряда недостатков штыревых антенн типа АШТ, последние к установке на машину Т-34 непригодны. Как показала практика длительной эксплоатации и данные испытаний штыревых антенн типа АШ, указанные антенны в работе надежны и отвечают Т.У. </w:t>
      </w:r>
    </w:p>
    <w:p w14:paraId="1ED4E06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Переговорное устройство ТПУ-2 обеспечивает четкую и надежную внутреннюю сигнально-переговорную связь между двумя лицами экипажа. </w:t>
      </w:r>
    </w:p>
    <w:p w14:paraId="67B240A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машине Т-34 № 1 аппарат ТПУ-2 № 1 укреплен на левой стенке башни таким образом, что мешает работе и правильной посадке командира машины на сидении. На машине Т-34 № 2 аппарат № 1 перемещен ближе к передатчику рации. Несмотря на то, что в этом случае аппарат не мешает работе командира машины, месторасположение этого аппарата нельзя признать удачным, т.к. подаваемые водителем световые сигналы командир может видеть только обернувшись лицом к аппарату (назад). </w:t>
      </w:r>
    </w:p>
    <w:p w14:paraId="3C68754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 на машине не установлено запасное имущество рации и ящик с зап. лампами, не предусмотрено крепление чехла со штыревой антенной, а также отсутствует прибор Р.Р.Н., указанный в спецификации рации 71ТК-3. </w:t>
      </w:r>
    </w:p>
    <w:p w14:paraId="0E6820B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10</w:t>
      </w:r>
    </w:p>
    <w:p w14:paraId="4BBC43A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Определение проходимости танка Т-34. Естественные препятствия (в зимних условиях).</w:t>
      </w:r>
    </w:p>
    <w:p w14:paraId="107D485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Место испытания овраг у д. Павленки. Дата – 3.3.40 г. </w:t>
      </w:r>
    </w:p>
    <w:p w14:paraId="314C510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Выводы: – Танк "Т-34" в зимних условиях обладает более высокой проходимостью, чем танк Т-7М. </w:t>
      </w:r>
    </w:p>
    <w:p w14:paraId="57CD27D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Предельным подъемом при глубине снежного покрова 1300 – 1600 мм является 15 – 16°. Данный подъем танк преодолевает с 1 попытки. </w:t>
      </w:r>
    </w:p>
    <w:p w14:paraId="747E936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Предельный бортовой крен – 14 – 15°, при увеличении крена имеет место сползание танка. </w:t>
      </w:r>
    </w:p>
    <w:p w14:paraId="36EA0C5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Танк преодолевает снежные массивы (естественные) глубиной до 1800 мм. </w:t>
      </w:r>
    </w:p>
    <w:p w14:paraId="4BE866B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Фото № 24 – Танк преодолевает на 2-й передаче кустарник занесенный снегом глуб. 0,9 мтр.</w:t>
      </w:r>
    </w:p>
    <w:p w14:paraId="2DB9065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25 – Танк преодолевает на 1-й передаче овраг крутизной 15°, занесенный снегом, с незамерзшим ручьем.</w:t>
      </w:r>
    </w:p>
    <w:p w14:paraId="2E34461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26 – Танк преодолевает на 1-й передаче тот же овраг, что показан на фото № 25, но в обратном направлении и ниже по течению ручья на 20 м.</w:t>
      </w:r>
    </w:p>
    <w:p w14:paraId="2671B31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 Помещенные выше фотографии показывают проходимость танка по снежным массивам, однако к приводимой карте они отношения не имеют, т.к. засняты на другой местности. </w:t>
      </w:r>
    </w:p>
    <w:p w14:paraId="72EFCE1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11</w:t>
      </w:r>
    </w:p>
    <w:p w14:paraId="74C35C8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Испытания танка "Т-34"</w:t>
      </w:r>
    </w:p>
    <w:p w14:paraId="05C12B7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Цель испытания: Определить проходимость танка по пересеченной местности и заболоченным участкам. </w:t>
      </w:r>
    </w:p>
    <w:p w14:paraId="5EAD434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Время и место испытания: Овраг у села Павлинки 16/IV-40 года. </w:t>
      </w:r>
    </w:p>
    <w:p w14:paraId="37FAECD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Условия испытания: – Пасмурно, грунт сырой (грязь). </w:t>
      </w:r>
    </w:p>
    <w:p w14:paraId="305C92C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Результаты испытания: – Сведения в таблице. </w:t>
      </w:r>
    </w:p>
    <w:p w14:paraId="6A76B4C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Танк преодолевал все указанные выше подъемы и косогоры с гусеницами, забитыми грязью, т.к. танк до этого прошел по заболоченной местности. </w:t>
      </w:r>
    </w:p>
    <w:p w14:paraId="6701244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31D8D12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Танк "Т-34" в весенних условиях имеет следующую проходимость: </w:t>
      </w:r>
    </w:p>
    <w:p w14:paraId="65DC31C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Предельным подъемом, при глубине погружения 200 мм, является 15˚. Данный подъем танк преодолевает с первой попытки. </w:t>
      </w:r>
    </w:p>
    <w:p w14:paraId="4B6DDDF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Предельный бортовой крен – 14,5˚, при увеличении крена имеет место сползание танка. </w:t>
      </w:r>
    </w:p>
    <w:p w14:paraId="50E8CAD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Танк преодолевает болото с суглинистым грунтом, нижний слой лед. Среднее погружение 300 мм. Местами погружение доходило до 430 мм. </w:t>
      </w:r>
    </w:p>
    <w:p w14:paraId="0DBB1F0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27 – Танк после того как не преодолел на 1-й передаче подъем крутизной 10˚ (грунт - трясина).</w:t>
      </w:r>
    </w:p>
    <w:p w14:paraId="5EA1555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28 – Танк преодолевает на 1-й передаче подъем крутизной 15°. Подъем преодолен.</w:t>
      </w:r>
    </w:p>
    <w:p w14:paraId="6E53944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29 – Танк преодолевает на 1-й передаче подъем крутизной 19˚. Подъем не преодолен.</w:t>
      </w:r>
    </w:p>
    <w:p w14:paraId="176BCE3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30 – Танк преодолевает на 1-й передаче подъем крутизной 14,5°. Подъем преодолен.</w:t>
      </w:r>
    </w:p>
    <w:p w14:paraId="1DD3FCC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31 – Тоже, что и на фото № 30.</w:t>
      </w:r>
    </w:p>
    <w:p w14:paraId="68948F5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32 – Танк преодолевает на 1-й передаче подъем крутизной 13˚. Подъем преодолен.</w:t>
      </w:r>
    </w:p>
    <w:p w14:paraId="264B056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33 – Танк подходит на 1-й передаче к подъему крутизной 12°. Подъем преодолен.</w:t>
      </w:r>
    </w:p>
    <w:p w14:paraId="271ACDE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34 – Танк преодолевает на 1-й передаче косогор крутизной 14,5° длиной 150 метров. Косогор преодолен.</w:t>
      </w:r>
    </w:p>
    <w:p w14:paraId="4A5A0B6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35 – Танк преодолевает на 1-й передаче косогор крутизной 32˚. Косогор не преодолен.</w:t>
      </w:r>
    </w:p>
    <w:p w14:paraId="7B75661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36 – Танк преодолевает на 2-й передаче косогор крутизной 26°. Косогор не преодолен.</w:t>
      </w:r>
    </w:p>
    <w:p w14:paraId="61DB104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37 – Танк преодолевает на 1-й передаче косогор крутизной 28°. Косогор не преодолен.</w:t>
      </w:r>
    </w:p>
    <w:p w14:paraId="2C0C07A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38 – Танк преодолевает на 2-й передаче болото с суглинистым грунтом, нижний слой лед. Болото преодолено.</w:t>
      </w:r>
    </w:p>
    <w:p w14:paraId="648E4A5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39 – Тоже , что на фото № 38.</w:t>
      </w:r>
    </w:p>
    <w:p w14:paraId="41C5C53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12</w:t>
      </w:r>
    </w:p>
    <w:p w14:paraId="5B2AB26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Определение проходимости танка Т-34 по лесу.</w:t>
      </w:r>
    </w:p>
    <w:p w14:paraId="100A1B5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Место и время испытания: – Лес в окрестностях села Андреевка, 18/IV-40 г. </w:t>
      </w:r>
    </w:p>
    <w:p w14:paraId="6EC6B15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Результаты испытания сведены в таблице: </w:t>
      </w:r>
    </w:p>
    <w:p w14:paraId="578F2CC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2AB6A39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Танк "Т-34" сваливает деревья: </w:t>
      </w:r>
    </w:p>
    <w:p w14:paraId="3BAEC00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Сосну – 605 мм на 2-й передаче со 2-й попытки и легко сваливает сосны меньшего диаметра на 2-й передаче. </w:t>
      </w:r>
    </w:p>
    <w:p w14:paraId="3A08D2A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Валит группу сосен 5 – 7 шт. среднего диаметра 255 – 446 мм. с 4-й – 5-й попытки и проходит вперед через груду наваленных сосен. </w:t>
      </w:r>
    </w:p>
    <w:p w14:paraId="7F857CB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Сбивает сосну диаметром 879 мм на 3-й передаче с 1-й попытки. </w:t>
      </w:r>
    </w:p>
    <w:p w14:paraId="3F0F9AC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Танк Т-34 может двигаться на 1 и 2-й передаче по лесным участкам средней густоты с преобладающей толщиной деревьев в 200 – 300 мм. </w:t>
      </w:r>
    </w:p>
    <w:p w14:paraId="54B2AE9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Танк Т-34 обладает хорошей проходимостью при преодолении лесных участков, групп деревьев и отдельных деревьев, значительно превышая по этому показателю танк Т-7М. </w:t>
      </w:r>
    </w:p>
    <w:p w14:paraId="65DFF9C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40 – Танк преодолевает на 2-й передаче сосну Ø 457 мм, сосна свалена.</w:t>
      </w:r>
    </w:p>
    <w:p w14:paraId="5C7ECA0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41 – Тоже, что и на фото № 40.</w:t>
      </w:r>
    </w:p>
    <w:p w14:paraId="0719038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42 – Танк проходит на 2-й передаче через сваленную сосну Ø 457 мм. </w:t>
      </w:r>
    </w:p>
    <w:p w14:paraId="65A9001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43 – Танк преодолевает на 2-й передаче сосну Ø 605 мм.</w:t>
      </w:r>
    </w:p>
    <w:p w14:paraId="1F769A4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44 – Танк свалил сосну Ø 605 мм.</w:t>
      </w:r>
    </w:p>
    <w:p w14:paraId="240A4B2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45 – Танк свалил на 2-й передаче сосну Ø 350 мм. </w:t>
      </w:r>
    </w:p>
    <w:p w14:paraId="39F2B09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46 – Танк подходит на 2-й передаче к группе сосен, среднего диаметра 250 – 400 мм для их преодоления.</w:t>
      </w:r>
    </w:p>
    <w:p w14:paraId="2E6DC0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47 – Танк преодолевает на 2-й передаче группу сосен из 5 шт. среднего диам. 250 – 400 мм. Группа сосен свалена с 4-й попытки.</w:t>
      </w:r>
    </w:p>
    <w:p w14:paraId="4386EBD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48 – Тоже, что и на фото № 47.</w:t>
      </w:r>
    </w:p>
    <w:p w14:paraId="2A13971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49 – Танк проходит на 2-й передаче через сваленные сосны, 5 шт. ср. диаметра 250 – 400 мм. </w:t>
      </w:r>
    </w:p>
    <w:p w14:paraId="4C9909D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50 – Танк подходит на 2-й передаче к группе сосен из 7 шт. среднего диаметра 300 – 440 мм для их преодоления.</w:t>
      </w:r>
    </w:p>
    <w:p w14:paraId="261BD3A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51 – Танк преодолевает на 2-й передаче группу сосен 7 шт. ср. диам. 300 – 446 мм. Сосны свалены на 5-й попытке.</w:t>
      </w:r>
    </w:p>
    <w:p w14:paraId="14927C6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52 – Тоже, что на фото № 51. </w:t>
      </w:r>
    </w:p>
    <w:p w14:paraId="52BAC4F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53 – Танк преодолевает на 2-й передаче сосну Ø 446 мм. Сосна свалена.</w:t>
      </w:r>
    </w:p>
    <w:p w14:paraId="62224FB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54 – Танк проходит на 2-й передаче через сваленную сосну Ø 446 мм.</w:t>
      </w:r>
    </w:p>
    <w:p w14:paraId="59598E4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55 – Танк проходит на 2-й передаче через сваленную сосну Ø 414 мм. </w:t>
      </w:r>
    </w:p>
    <w:p w14:paraId="5BB40F5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56 – Танк преодолел на 3-й передаче с 1-й попытки сосну Ø 879 мм. Сосна упала на танк.</w:t>
      </w:r>
    </w:p>
    <w:p w14:paraId="25BE26E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57 – Тоже, что на фото № 57.</w:t>
      </w:r>
    </w:p>
    <w:p w14:paraId="0AE6FD4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58 – Танк проходит на 1 – 2-й передачах по дубовому лесу, диаметр деревьев 200 – 300 мм.</w:t>
      </w:r>
    </w:p>
    <w:p w14:paraId="5A90523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13</w:t>
      </w:r>
    </w:p>
    <w:p w14:paraId="6DAE8FE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Испытание танка "Т-34"</w:t>
      </w:r>
    </w:p>
    <w:p w14:paraId="5CD4345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Цель испытания: – Установить проходимость танка по малозаметному препятствию. </w:t>
      </w:r>
    </w:p>
    <w:p w14:paraId="53E7CA5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Время и место испытания: – 18/IV-40 года, поле стерня в районе завода им. Коминтерна. </w:t>
      </w:r>
    </w:p>
    <w:p w14:paraId="7E4A26F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Метеоусловия: – Погода солнечная, сухая, температура окружающего воздуха Т ср. = 10,3˚С. </w:t>
      </w:r>
    </w:p>
    <w:p w14:paraId="7DC50CB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Характеристика М.З.П. – Расставлено 4 пакета ст. проволоки диаметром 0,8 мм по фронту 10 мт. в глубину 40 мтр. </w:t>
      </w:r>
    </w:p>
    <w:p w14:paraId="0B85E3F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Условия и результаты испытания: Танк прошел по центру М.З.П. на III-й передаче при 1800 об/мин, преодолел препятствие легко. Водитель даже не почувствовал препятствие. Вся проволока танком была сорвана, намотана на гусеничные ленты и на оси катков всех колес. Танк пройдя от препятствия 100 метров был остановлен и осмотрен. Пи осмотре дефектов не было обнаружено. </w:t>
      </w:r>
    </w:p>
    <w:p w14:paraId="2A87043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После осмотра танк развернулся вправо на 180˚ и прошел 1,5 км. на III-й передаче, затем развернулся на 180˚ влево и прошел 1,5 км. на III-й передаче. После этого танк был остановлен и осмотрен. При осмотре обнаружено: </w:t>
      </w:r>
    </w:p>
    <w:p w14:paraId="18BAC15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При движении сброшена проволока с левой гусеницы и частично сброшена с правой гусеницы. </w:t>
      </w:r>
    </w:p>
    <w:p w14:paraId="4F9852B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погнуты задние грязевые щитки. </w:t>
      </w:r>
    </w:p>
    <w:p w14:paraId="21AA191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Частично порезана резина на бандажах ленивцев. </w:t>
      </w:r>
    </w:p>
    <w:p w14:paraId="15913C5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Много намотано проволоки на осях поддерживающих колес. </w:t>
      </w:r>
    </w:p>
    <w:p w14:paraId="7FC44C7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ВЫВОДЫ: – Танк Т-34 легко преодолевает МЗП (4-ре пакета) и сохраняет подвижность. </w:t>
      </w:r>
    </w:p>
    <w:p w14:paraId="28B644E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59 – Танк преодолевает на 3-й передаче МЗП.</w:t>
      </w:r>
    </w:p>
    <w:p w14:paraId="737F0DE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Фото № 60 – Танк после преодоления М.З.П.</w:t>
      </w:r>
    </w:p>
    <w:p w14:paraId="6C44BCD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Фото № 61 – Танк движется на 3-й передаче по стерне после преодоления М.З.П. </w:t>
      </w:r>
    </w:p>
    <w:p w14:paraId="240D7C3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ЭКСПЛОАТАЦИОННЫЕ ВОЗМОЖНОСТИ ТАНКА "Т-34"</w:t>
      </w:r>
    </w:p>
    <w:p w14:paraId="34632A6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ЗИМНИХ И ВЕСЕННИХ УСЛОВИЯХ.</w:t>
      </w:r>
    </w:p>
    <w:p w14:paraId="5B5EF59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Средние скорости движения, в указанных дорожных условиях получены следующие: </w:t>
      </w:r>
    </w:p>
    <w:p w14:paraId="65001D2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Большая разность между средними скоростями чистого движения и средней технической скоростью объясняется длительными задержками, проходившими за время пробега Харьков – Москва – Харьков по причине поломок и замены: масляной помпы, вентилятора, покоробленных дисков главного фрикциона и т.д. </w:t>
      </w:r>
    </w:p>
    <w:p w14:paraId="506A908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Примечание: – Данные скорости за каждый пробег см. в картах №№ 1, 2, 3 и 4 стр. 95 – 98. </w:t>
      </w:r>
    </w:p>
    <w:p w14:paraId="2338139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 Расход горючего и масла в литрах.</w:t>
      </w:r>
    </w:p>
    <w:p w14:paraId="3955563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(Средний, выведен за период испытаний) </w:t>
      </w:r>
    </w:p>
    <w:p w14:paraId="19D8355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 Данные расхода горючего и масла за каждый пробег см. в картах №№ 1, 2, 3 и 4 стр. 95 – 98. </w:t>
      </w:r>
    </w:p>
    <w:p w14:paraId="16835CD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 Запас хода.</w:t>
      </w:r>
    </w:p>
    <w:p w14:paraId="488E79B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(Средний, выведен за период испытаний) </w:t>
      </w:r>
    </w:p>
    <w:p w14:paraId="1CDFCC0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остальном запас хода ничем не лимитируется. </w:t>
      </w:r>
    </w:p>
    <w:p w14:paraId="50A3EA8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Рабочая емкость топливных баков 470 литр., масла 60 литров. </w:t>
      </w:r>
    </w:p>
    <w:p w14:paraId="3B686A9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4. Суточные переходы и безостановочные пробеги.</w:t>
      </w:r>
    </w:p>
    <w:p w14:paraId="2FCF371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период ходовых испытаний танков были совершены максимальные суточные переходы по 228, 241, 261 и 301 км. В процессе суточных переходов танки дозаправлялись горючим. </w:t>
      </w:r>
    </w:p>
    <w:p w14:paraId="3B816BA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Ограничивались суточные переходы необходимостью обеспечения текущего ремонта танков и предоставления нормального отдыха экипажу. </w:t>
      </w:r>
    </w:p>
    <w:p w14:paraId="6F0CFBD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Максимальные безостановочные переходы совершались до 75 км. Ограничивались безостановочные пробеги следующим: </w:t>
      </w:r>
    </w:p>
    <w:p w14:paraId="6026CDE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тяжелыми дорожными условиями, в зимне-весенний период. </w:t>
      </w:r>
    </w:p>
    <w:p w14:paraId="4BB5425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Утомляемостью водителя. </w:t>
      </w:r>
    </w:p>
    <w:p w14:paraId="03BE413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Частично ремонтом некоторых мелких деталей. </w:t>
      </w:r>
    </w:p>
    <w:p w14:paraId="34D8DDB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14</w:t>
      </w:r>
    </w:p>
    <w:p w14:paraId="7EBF275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Испытания танков "Т-34"</w:t>
      </w:r>
    </w:p>
    <w:p w14:paraId="0655681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 Цель: Определить возможность поворота башни от руки и электромотором при различных углах наклона машины. </w:t>
      </w:r>
    </w:p>
    <w:p w14:paraId="1585E27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 Время и место: Цех "540" завода № 183, февраль мес. 1940 г. </w:t>
      </w:r>
    </w:p>
    <w:p w14:paraId="4C4EA37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III. Методика: Башня для проверки усилий при повороте на разных углах наклона машины ставилась в наихудшее для поворотного механизма положение, т.е. перпендикулярно к продольной оси танка. </w:t>
      </w:r>
    </w:p>
    <w:p w14:paraId="7FE2B03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IV. Результаты – Приведены в таблицах "А" и "Б". </w:t>
      </w:r>
    </w:p>
    <w:p w14:paraId="368F754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Таблица "А" </w:t>
      </w:r>
    </w:p>
    <w:p w14:paraId="3893780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Таблица "Б"</w:t>
      </w:r>
    </w:p>
    <w:p w14:paraId="0C700D0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После подтяжки пружины поворотного механизма при углах наклона машины выше 15˚ сила тока и напряжение не замерялось. Предохранители на 150А перегорали, пробуксовки не наблюдалось. </w:t>
      </w:r>
    </w:p>
    <w:p w14:paraId="41B02AF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1E6C4D4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результате проведенных испытаний на проворачивание башни установлено, что в горизонтальном положении и до 10˚ наклона машины башня проворачивается легко как от руки, так и электромотором. </w:t>
      </w:r>
    </w:p>
    <w:p w14:paraId="3BDC40B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Выше 10˚ (до 15˚) башня проворачивается с большой нагрузкой для электромотора и с большим усилием на рукоятку маховика при ручном проворачивании до 45 – 50 кг по динамометру. </w:t>
      </w:r>
    </w:p>
    <w:p w14:paraId="0BAC0D6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16˚ наклона машины повернуть башню от руки возможно, прилагая большое усилие, с помощью электромотора башня проворачивается тяжело, при посаженных аккумуляторах перегорают предохранители га 165А. </w:t>
      </w:r>
    </w:p>
    <w:p w14:paraId="628B804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15</w:t>
      </w:r>
    </w:p>
    <w:p w14:paraId="1CC5562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Испытания танка "Т-34"</w:t>
      </w:r>
    </w:p>
    <w:p w14:paraId="5985C8C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Цель испытания: Установить время необходимое на выход экипажа из танка и удобство выхода через люк "ЛАЗ" (в днище танка). </w:t>
      </w:r>
    </w:p>
    <w:p w14:paraId="7C74CBF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Время и место испытания. 21/IV-1940 г. Цех "540". </w:t>
      </w:r>
    </w:p>
    <w:p w14:paraId="27C0BF3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Характеристика: Люк "Лаз" расположен в отделении водителя, впереди сидения стрелка радиста. Люк имеет эллиптическую форму с диаметрами d1 – 350 мм, d2 – 450 мм. На одном конце оси большого диаметра расположена петля, которая шарнирно соединяет крышку люка с днищем. Крепится крышка люка шестью захватами, которые в свою очередь крепятся шестью болтами. </w:t>
      </w:r>
    </w:p>
    <w:p w14:paraId="28751CD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Условия испытания: 1. Выход из машины производится экипажем танка – 4 человека, все выше среднего роста. При выходе из танка два человека, каждый в отдельности, имели пулемет "ДТ", сумку с пулеметными дисками (4 шт.) и сумку с гранатами. </w:t>
      </w:r>
    </w:p>
    <w:p w14:paraId="2FDF445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Средний клиренс танка, замеренный на месте испытания, равен 400 мм. </w:t>
      </w:r>
    </w:p>
    <w:p w14:paraId="234E4D5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Результаты испытания: 1. Время, затраченное на открытие люка 2 м. 30 сек. </w:t>
      </w:r>
    </w:p>
    <w:p w14:paraId="0DFB081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Данные по выходу экипажа из танка следующие: </w:t>
      </w:r>
    </w:p>
    <w:p w14:paraId="7271EDE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Выводы. Время, затрачиваемое на открытие люка "ЛАЗ" в среднем 2 мин. 30 сек. </w:t>
      </w:r>
    </w:p>
    <w:p w14:paraId="17C0ED2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Натренированный экипаж (4 человека выше среднего роста) выходит из танка через люк "ЛАЗ" за 50 сек. </w:t>
      </w:r>
    </w:p>
    <w:p w14:paraId="5F5674B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Петлю крышки люка "Лаз" необходимо усилить, т.к. она разгибается. </w:t>
      </w:r>
    </w:p>
    <w:p w14:paraId="12C7726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16</w:t>
      </w:r>
    </w:p>
    <w:p w14:paraId="087BE96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Испытания электрооборудования танка "Т-34"</w:t>
      </w:r>
    </w:p>
    <w:p w14:paraId="14B5D90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Цель испытаний. </w:t>
      </w:r>
    </w:p>
    <w:p w14:paraId="1F54B04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Проверить удобство монтажа электрооборудования на машине. </w:t>
      </w:r>
    </w:p>
    <w:p w14:paraId="0EFA49A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Выяснить недоработки в чертежах, по которым производился монтаж. </w:t>
      </w:r>
    </w:p>
    <w:p w14:paraId="32E7C98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Проверить удобство пользования приборами и агрегатами электрооборудования в эксплоатационных условиях. </w:t>
      </w:r>
    </w:p>
    <w:p w14:paraId="012A4B2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Выявить дефекты в работе электрооборудования при эксплоатации. </w:t>
      </w:r>
    </w:p>
    <w:p w14:paraId="4E92099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Время и место испытаний. </w:t>
      </w:r>
    </w:p>
    <w:p w14:paraId="538680F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Монтаж электрооборудования производится силами работников 540 рад. Наблюдение за работой радиооборудования и удобством пользования ведется в течение всего процесса испытаний машины. </w:t>
      </w:r>
    </w:p>
    <w:p w14:paraId="6A0EF90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Условия испытаний: </w:t>
      </w:r>
    </w:p>
    <w:p w14:paraId="5B750F5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Сборка и установка приборов и аппаратов электрооборудования на машине производится по чертежам, согласно детальной описи. </w:t>
      </w:r>
    </w:p>
    <w:p w14:paraId="34DB19A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Испытание электрооборудования и проверка удобства пользования им производится путем систематического наблюдения за его работой в эксплоатационных условиях. </w:t>
      </w:r>
    </w:p>
    <w:p w14:paraId="5473343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Результаты испытаний. </w:t>
      </w:r>
    </w:p>
    <w:p w14:paraId="62A61B8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результате проведения монтажа эл. оборудования на двух машинах и наблюдения за его работой в эксплоатационных условиях констатировано следующее: </w:t>
      </w:r>
    </w:p>
    <w:p w14:paraId="197C1C0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Реле-регулятор РРТ-88 смонтирован на машине слишком близко от спаренных манометров. Поэтому подключать провода в смонтированный регулятор невозможно. Для этого коробку РРТ-88 необходимо снимать с места закрепления и только после включения проводов закреплять на посадочном месте. </w:t>
      </w:r>
    </w:p>
    <w:p w14:paraId="494C4C0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Желоб для перехода эл. проводов с левого борта машины на правый (на перегородке боевого отделения) мешает свободному доступу к двигателю со стороны боевого отделения, особенно во время ремонта машины и двигателя. </w:t>
      </w:r>
    </w:p>
    <w:p w14:paraId="0F0C87D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Скобы для крепления труб, подводящих электропровода к аппарату ВКУ-3А при закреплении труб выгибаются. </w:t>
      </w:r>
    </w:p>
    <w:p w14:paraId="6EC36BB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Бонки для крепления проводов, подходящих к аварийному щитку по правому борту мешают свободной установке бака для горючего. </w:t>
      </w:r>
    </w:p>
    <w:p w14:paraId="5A09137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Стартер СТ-700, вследствие наличия в его конструкции ряда недоработок и дефектов в таком исполнении не пригоден для работы на машинах Т-34. </w:t>
      </w:r>
    </w:p>
    <w:p w14:paraId="293BB18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Содержание дефектов стартера СТ-700.</w:t>
      </w:r>
    </w:p>
    <w:p w14:paraId="7216CCA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Непрочная конструкция посадочного места игольчатого подшипника в крышке со стороны привода. </w:t>
      </w:r>
    </w:p>
    <w:p w14:paraId="6FB6147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Внутрь фрикциона и стартера проникает масло со стороны подшипника вала якоря. </w:t>
      </w:r>
    </w:p>
    <w:p w14:paraId="373CAF9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Самоотворачивание болтов крепления чашек фрикционной муфты. </w:t>
      </w:r>
    </w:p>
    <w:p w14:paraId="2E2905E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Непрочное крепление защитного колпака привода. </w:t>
      </w:r>
    </w:p>
    <w:p w14:paraId="76D444C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Недостаточная твердость шлицованной поверхности вала якоря. </w:t>
      </w:r>
    </w:p>
    <w:p w14:paraId="485FB30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е) Ненадежное крепление реле РСТ на корпусе стартера. </w:t>
      </w:r>
    </w:p>
    <w:p w14:paraId="1A62FB1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ж) Недостаточная механическая прочность шайбы, удерживающей якорь стартера в подшипнике со стороны коллектора. </w:t>
      </w:r>
    </w:p>
    <w:p w14:paraId="62467C8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 Недостаточная прочность стенок паза для удержания буферной пружины в торцевой части хвостовика шестерни. </w:t>
      </w:r>
    </w:p>
    <w:p w14:paraId="4523966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Ненадежное крепление стартера СТ-700 на постели и постели на коробке перемены передач. Неоднократно при запуске двигателя замечался сдвиг стартера относительно постели и постели относительно коробки передач. </w:t>
      </w:r>
    </w:p>
    <w:p w14:paraId="014E3EC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Габариты окна в перегородке боевого отделения для помещения блока защиты недостаточны для свободного доступа к предохранителям, вследствие чего замену предохранителей и подключение к блоку проводов производить затруднительно. </w:t>
      </w:r>
    </w:p>
    <w:p w14:paraId="31CAD26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8. При эксплоатации машины выяснилось, что расположение поводковой трубы аппарата ВКУ-3А стесняет работу экипажа машины, особенно при посадке и высадке экипажа из машины (стрелка радиста и водителя). </w:t>
      </w:r>
    </w:p>
    <w:p w14:paraId="4CF5794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9. При резком закрытии сетки трансмиссионного отделения от удара осыпаются нити электроламп заднего фонаря. </w:t>
      </w:r>
    </w:p>
    <w:p w14:paraId="003B6EC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10. Вследствие забрасывания раструба электросигнала густой смазкой (со стороны пружинных подвесок колес) сила звука сигнала ослабевает. Наблюдались отказы сигналов в работе по этой причине. </w:t>
      </w:r>
    </w:p>
    <w:p w14:paraId="03169F5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11. Электропровода, проложенные по полке левого борта, не защищены от действия на них масла и горючего. </w:t>
      </w:r>
    </w:p>
    <w:p w14:paraId="15EAAF0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12. Передняя крышка щитка электроприборов от тряски на петле разбалтывается. Возможны короткие замыкания крышки с предохранителями. </w:t>
      </w:r>
    </w:p>
    <w:p w14:paraId="6749AE7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13. При прямом попадании снаряда в башню, стекла близ расположенных плафонов и эл. лампы выпадают из посадочных мест или лопаются. </w:t>
      </w:r>
    </w:p>
    <w:p w14:paraId="10B8079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5. ВЫВОДЫ</w:t>
      </w:r>
    </w:p>
    <w:p w14:paraId="7F088FC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основании полученных результатов испытаний электрооборудования на двух машинах Т-34 необходимо для обеспечения нормальной работы его и удобства пользования им провести следующие мероприятия: </w:t>
      </w:r>
    </w:p>
    <w:p w14:paraId="068100F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Изыскать более удобное место для расположения реле-регулятора РРТ-88 или перенести в другое место находящиеся вблизи реле манометры. </w:t>
      </w:r>
    </w:p>
    <w:p w14:paraId="1E0FC43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Желоб для перехода эл. проводов с левого борта на правый не ставить. Провода проложить под погонами башни со стороны двигателя. </w:t>
      </w:r>
    </w:p>
    <w:p w14:paraId="5DE6ADA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Скобы для крепления труб изготовлять из более жесткого материала. </w:t>
      </w:r>
    </w:p>
    <w:p w14:paraId="75A079F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Бонки для крепления эл. проводов, подходящих к аварийному щиту по правому борту перенести вглубь ниши борта. </w:t>
      </w:r>
    </w:p>
    <w:p w14:paraId="2873EF9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Требовать от завода "ЗЭМ" устранения всех перечисленных выше дефектов стартера СТ-700, обратив внимание на отсутствие надежной конструкции пускового реле РСП для работы в комплекте со стартерами СТ-700. </w:t>
      </w:r>
    </w:p>
    <w:p w14:paraId="02BA6AD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Разработать способ наиболее надежного крепления стартера СТ-700 на машине: </w:t>
      </w:r>
    </w:p>
    <w:p w14:paraId="44A07EE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Крепление пастели на коробке перемены передач осуществлять при помощи призонных болтов или установочных штифтов. </w:t>
      </w:r>
    </w:p>
    <w:p w14:paraId="5C327AB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Разработать жесткую конструкцию "бороды" с разъемным натяжным приспособлением для надежного закрепления крышки стартера в гнезде "бороды". </w:t>
      </w:r>
    </w:p>
    <w:p w14:paraId="179A411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Утолстить затяжные ленты крепления стартера к постели. </w:t>
      </w:r>
    </w:p>
    <w:p w14:paraId="13C06A0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Увеличить габариты окна в перегородке боевого отделения для блока защиты батарей. </w:t>
      </w:r>
    </w:p>
    <w:p w14:paraId="57AF368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Изменить место крепления планки поводковой трубы ВКУ-3А на погоне башни. Крепление трубы осуществить на том же захвате, на котором крепится кронштейн ножного спуска системы. </w:t>
      </w:r>
    </w:p>
    <w:p w14:paraId="77CB992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9. Предохранить электросигнал от забрасывания густой смазкой со стороны "шахты". </w:t>
      </w:r>
    </w:p>
    <w:p w14:paraId="58C0662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10. Провода, проходящие по левому борту прокладывать в сальной трубе, учтя затруднения в снабжении завода проводами в металлической оплетке. </w:t>
      </w:r>
    </w:p>
    <w:p w14:paraId="681AF9E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11. Для предохранения передней крышки щитка электроприборов от разбалтывания на петле, на панели щитка ввести соответствующие упоры для крышки. </w:t>
      </w:r>
    </w:p>
    <w:p w14:paraId="6DF1B45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12. Устранить возможность повреждения эл. ламп и стекол в башне при попадании по башне снарядами и в заднем фонаре в момент закрытия сетки трансмиссионного отделения. </w:t>
      </w:r>
    </w:p>
    <w:p w14:paraId="6CA02187"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13. Вследствие недостаточной мощности мотора поворотного механизма башни предусмотреть более мощную конструкцию мотора или увеличить общее передаточное отношение привода к шестерне погона. </w:t>
      </w:r>
    </w:p>
    <w:p w14:paraId="5633339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14. Защитить переходную колодочку, установленную около реле РСП на кронштейне, от забрасывания маслом и грязью. </w:t>
      </w:r>
    </w:p>
    <w:p w14:paraId="054F62A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15. Усилить конструкцию постели для крепления стартера СТ-700. </w:t>
      </w:r>
    </w:p>
    <w:p w14:paraId="518873F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КАРТА № 17</w:t>
      </w:r>
    </w:p>
    <w:p w14:paraId="7AD68A2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Цель: – Определить возможность буксировки танка Т-34 танком Т-34. </w:t>
      </w:r>
    </w:p>
    <w:p w14:paraId="137EBA7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Время и место испытания: – 10/IV-40 г. на участке шоссе Харьков – Белгород. </w:t>
      </w:r>
    </w:p>
    <w:p w14:paraId="7FC3EEA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Характеристика: – Щебенчатое и гудронированное шоссе в низинах покрыто снегом до 0,5 мет., на ровных участках глубина снежного покрова 0,1 метр. </w:t>
      </w:r>
    </w:p>
    <w:p w14:paraId="1AA72F7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Метеорологические условия: – Ветер, сопровождающийся снежными осадками. Средняя температура окружающего воздуха равна +1˚С. </w:t>
      </w:r>
    </w:p>
    <w:p w14:paraId="1AD4EE6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Результаты испытания. Танк № 2 буксировал Танк № 1 на дистанции 53 км (управление у буксируемого танка № 1 было исправно). Буксировка производилась на 1-й и 2-й и 3-й передачах. Время, затраченное на буксировку равно 5 часам. </w:t>
      </w:r>
    </w:p>
    <w:p w14:paraId="75CBB1A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Средняя скорость чистого движения (буксировки) определилась равной 16,7 км/ч. </w:t>
      </w:r>
    </w:p>
    <w:p w14:paraId="226B1648"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Средняя техническая скорость (буксировки) равна 11,4 км/ч. </w:t>
      </w:r>
    </w:p>
    <w:p w14:paraId="01428E1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процессе буксировки обнаружено, что при рывках буксирные троса рвутся (за время буксировки были порваны четыре троса). Проушины тросов изготовлены несколько шире проушин буксирных рым, а поэтому соединение тросов с рымами производилось с помощью кувалды, с затратой времени на прицеп танка к танку от 20 – 30 мин. </w:t>
      </w:r>
    </w:p>
    <w:p w14:paraId="7150E7B5"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47D5FA2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Буксировка танка танком на тяжелых участках пути возможна на 1-й и 2-й передачах, а по хорошей дороге на 3-й передаче со средней скоростью чистого движения (буксировки) 20–25 км/ч. </w:t>
      </w:r>
    </w:p>
    <w:p w14:paraId="76EB5341"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сравнению с трактором "Ворошиловец" буксирные качества танка Т-34 значительно выше. </w:t>
      </w:r>
    </w:p>
    <w:p w14:paraId="3CE5ECA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 целях удобного и быстрого взятия танка на буксир, проушины рым сделать более свободными с установкой в них крюков. </w:t>
      </w:r>
    </w:p>
    <w:p w14:paraId="5BB5CA0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Увеличить сечение буксирных тросов. </w:t>
      </w:r>
    </w:p>
    <w:p w14:paraId="6813F07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В кормовой части установить буксирный крюк для буксировки артсистемы. </w:t>
      </w:r>
    </w:p>
    <w:p w14:paraId="5FFDE0F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ТАБЛИЦА № 1</w:t>
      </w:r>
    </w:p>
    <w:p w14:paraId="29AC8A1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ДАННЫЕ ПРОБЕГОВ НА ШОССЕ ТАНКА Т-34 № 1 (№ 311-11-3). </w:t>
      </w:r>
    </w:p>
    <w:p w14:paraId="5B39B7AB"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w:t>
      </w:r>
    </w:p>
    <w:p w14:paraId="504800DF"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Машина двигалась на буксире: 1. 4/III – 13 клм. 2. 5/III – 18 клм. 3. 9,10/IV – 185 клм. Всего 216 километров. Километраж, указанный в карте исключает буксирные километры и, естественно, последние не учитывались при расчете средних скоростей. </w:t>
      </w:r>
    </w:p>
    <w:p w14:paraId="75565E7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Расчеты средних скоростей расхода горючего и масла за весь пройденный путь машиной по шоссе производились из расчета суммарных – километража, времени работы мотора, времени работы машины, расхода горючего и масла. Запас хода подсчитан из расчета среднего расхода горючего и масла на 1 клм пути, считая рабочую емкость баков горючего 470 литров, масла 60 литров. </w:t>
      </w:r>
    </w:p>
    <w:p w14:paraId="0D7344A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ТАБЛИЦА № 2</w:t>
      </w:r>
    </w:p>
    <w:p w14:paraId="1A1D04A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ДАННЫЕ ПРОБЕГОВ НА ШОССЕ ТАНКА Т-34 № 2 (№ 311-18-3). </w:t>
      </w:r>
    </w:p>
    <w:p w14:paraId="6648093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vertAlign w:val="superscript"/>
          <w:lang w:eastAsia="ru-RU"/>
        </w:rPr>
        <w:t>Х)</w:t>
      </w:r>
      <w:r w:rsidRPr="00DB5D0D">
        <w:rPr>
          <w:rFonts w:ascii="Times New Roman" w:eastAsia="Times New Roman" w:hAnsi="Times New Roman"/>
          <w:color w:val="000000" w:themeColor="text1"/>
          <w:sz w:val="16"/>
          <w:szCs w:val="16"/>
          <w:lang w:eastAsia="ru-RU"/>
        </w:rPr>
        <w:t xml:space="preserve"> Расход масла не выведен, так как в пробегах была потеря масла. </w:t>
      </w:r>
    </w:p>
    <w:p w14:paraId="7495F2D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ТАБЛИЦА № 3</w:t>
      </w:r>
    </w:p>
    <w:p w14:paraId="37932CD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ДАННЫЕ ПРОБЕГОВ НА ЦЕЛИНЕ ТАНКА Т-34 № 1 (№ 311-11-3). </w:t>
      </w:r>
    </w:p>
    <w:p w14:paraId="242B965C"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vertAlign w:val="superscript"/>
          <w:lang w:eastAsia="ru-RU"/>
        </w:rPr>
        <w:t>Х)</w:t>
      </w:r>
      <w:r w:rsidRPr="00DB5D0D">
        <w:rPr>
          <w:rFonts w:ascii="Times New Roman" w:eastAsia="Times New Roman" w:hAnsi="Times New Roman"/>
          <w:color w:val="000000" w:themeColor="text1"/>
          <w:sz w:val="16"/>
          <w:szCs w:val="16"/>
          <w:lang w:eastAsia="ru-RU"/>
        </w:rPr>
        <w:t xml:space="preserve"> Расход топлива преувеличен, вследствие ненормальной работы двигателя (сбился угол опережения топлива). </w:t>
      </w:r>
    </w:p>
    <w:p w14:paraId="37341CFE"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ТАБЛИЦА № 4</w:t>
      </w:r>
    </w:p>
    <w:p w14:paraId="6549006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ДАННЫЕ ПРОБЕГОВ НА ЦЕЛИНЕ ТАНКА Т-34 № 2 (№ 311-18-3). </w:t>
      </w:r>
    </w:p>
    <w:p w14:paraId="3CA08DB6"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&lt; ...&gt;</w:t>
      </w:r>
    </w:p>
    <w:p w14:paraId="76695E59"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Отпеч. 5 экз. </w:t>
      </w:r>
    </w:p>
    <w:p w14:paraId="4355775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 в адрес </w:t>
      </w:r>
    </w:p>
    <w:p w14:paraId="40D10E84"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 в д. № 41 </w:t>
      </w:r>
    </w:p>
    <w:p w14:paraId="2F26AEBA"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Гололобов </w:t>
      </w:r>
    </w:p>
    <w:p w14:paraId="7A09E810"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пор. № 2507 </w:t>
      </w:r>
    </w:p>
    <w:p w14:paraId="6918AD7D"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о.с. 2/VI-40 г. </w:t>
      </w:r>
    </w:p>
    <w:p w14:paraId="72C48207" w14:textId="77777777" w:rsidR="00114775" w:rsidRPr="00DB5D0D" w:rsidRDefault="00114775"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"Ведомость технического обслуживания и удобства работы экипажа по смазке и заправке танка Т-34";</w:t>
      </w:r>
    </w:p>
    <w:p w14:paraId="77BD3CC7" w14:textId="77777777" w:rsidR="00114775" w:rsidRPr="00DB5D0D" w:rsidRDefault="00114775"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"Ведомость затраченного времени на монтаж и демонтаж деталей и агрегатов танка Т-34 в заводских и полевых условиях" </w:t>
      </w:r>
    </w:p>
    <w:p w14:paraId="31D19069" w14:textId="77777777" w:rsidR="00114775" w:rsidRPr="00DB5D0D" w:rsidRDefault="00114775" w:rsidP="00DB5D0D">
      <w:pPr>
        <w:spacing w:after="0" w:line="240" w:lineRule="auto"/>
        <w:jc w:val="both"/>
        <w:rPr>
          <w:rFonts w:ascii="Times New Roman" w:hAnsi="Times New Roman"/>
          <w:color w:val="000000" w:themeColor="text1"/>
          <w:sz w:val="16"/>
          <w:szCs w:val="16"/>
        </w:rPr>
      </w:pPr>
      <w:r w:rsidRPr="00DB5D0D">
        <w:rPr>
          <w:rFonts w:ascii="Times New Roman" w:eastAsia="Times New Roman" w:hAnsi="Times New Roman"/>
          <w:iCs/>
          <w:color w:val="000000" w:themeColor="text1"/>
          <w:sz w:val="16"/>
          <w:szCs w:val="16"/>
          <w:lang w:eastAsia="ru-RU"/>
        </w:rPr>
        <w:t>и "Сводная ведомость ремонта и замены деталей на машинах Т-34, проходивших войсковые испытания"</w:t>
      </w:r>
      <w:r w:rsidRPr="00DB5D0D">
        <w:rPr>
          <w:rFonts w:ascii="Times New Roman" w:eastAsia="Times New Roman" w:hAnsi="Times New Roman"/>
          <w:color w:val="000000" w:themeColor="text1"/>
          <w:sz w:val="16"/>
          <w:szCs w:val="16"/>
          <w:lang w:eastAsia="ru-RU"/>
        </w:rPr>
        <w:t xml:space="preserve"> – </w:t>
      </w:r>
      <w:r w:rsidRPr="00DB5D0D">
        <w:rPr>
          <w:rFonts w:ascii="Times New Roman" w:eastAsia="Times New Roman" w:hAnsi="Times New Roman"/>
          <w:bCs/>
          <w:color w:val="000000" w:themeColor="text1"/>
          <w:sz w:val="16"/>
          <w:szCs w:val="16"/>
          <w:lang w:eastAsia="ru-RU"/>
        </w:rPr>
        <w:t>не публикуются.</w:t>
      </w:r>
    </w:p>
    <w:p w14:paraId="4F9DD832"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3 Дело 2003 Лист 1 – 120</w:t>
      </w:r>
      <w:r w:rsidRPr="00DB5D0D">
        <w:rPr>
          <w:rFonts w:ascii="Times New Roman" w:eastAsia="Times New Roman" w:hAnsi="Times New Roman"/>
          <w:color w:val="000000" w:themeColor="text1"/>
          <w:sz w:val="16"/>
          <w:szCs w:val="16"/>
          <w:lang w:eastAsia="ru-RU"/>
        </w:rPr>
        <w:t xml:space="preserve"> (17616).</w:t>
      </w:r>
    </w:p>
    <w:p w14:paraId="757BDE03" w14:textId="77777777" w:rsidR="00114775" w:rsidRPr="00DB5D0D" w:rsidRDefault="00114775" w:rsidP="00DB5D0D">
      <w:pPr>
        <w:spacing w:after="0" w:line="240" w:lineRule="auto"/>
        <w:jc w:val="both"/>
        <w:rPr>
          <w:rFonts w:ascii="Times New Roman" w:eastAsia="Times New Roman" w:hAnsi="Times New Roman"/>
          <w:color w:val="000000" w:themeColor="text1"/>
          <w:sz w:val="16"/>
          <w:szCs w:val="16"/>
          <w:lang w:eastAsia="ru-RU"/>
        </w:rPr>
      </w:pPr>
    </w:p>
    <w:p w14:paraId="22CC80BD"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июня 1940 года</w:t>
      </w:r>
    </w:p>
    <w:p w14:paraId="1A738923"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ГАРФ Фонд Р8418 Опись 24 Дело 936 лист 94</w:t>
      </w:r>
    </w:p>
    <w:p w14:paraId="5D60B936"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Секретно</w:t>
      </w:r>
    </w:p>
    <w:p w14:paraId="62AE40FB"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Экз. № ___</w:t>
      </w:r>
    </w:p>
    <w:p w14:paraId="51FFBA65"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ПРЕДСЕДАТЕЛЮ КОМИТЕТА ОБОРОНЫ –</w:t>
      </w:r>
    </w:p>
    <w:p w14:paraId="5A9E8D08"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МАРШАЛУ СОВЕТСКОГО СОЮЗА ВОРОШИЛОВУ К.Е.</w:t>
      </w:r>
    </w:p>
    <w:p w14:paraId="0F954BAB"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апреле месяце мною послано на имя тов. Молотова предложение по усовершенствованию поворотного механизма для танков. Это предложение разработано мною и ст. преподавателем Академии Моторизации и Механизации тов. Благонравовым.</w:t>
      </w:r>
    </w:p>
    <w:p w14:paraId="6D8497D7"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распоряжению тов. Молотова это предложение рассматривалось в секретариате Комитета Обороны при участии представителей наркоматов Среднего машиностроения, Тяжелого машиностроения и НКО. Предложение признано ценным и рекомендовалось дать задание наркоматам сделать технические проекты для танков Т-34 и КВ.</w:t>
      </w:r>
    </w:p>
    <w:p w14:paraId="12C20034"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Предлагаемое усовершенствование в поворотном механизме дает возможность танкам совершать поворот вокруг центра (на радиусе равном 1/2 ширины колеса), путем перекатывания гусениц одной вперед, другой назад, а не торможением одной из гусениц, как это происходит теперь. Механизм даст возможность осуществлять полный реверс, а применение этого механизма и в главном фрикционе даст возможность в коробке передач иметь максимум две передачи, что сильно сократит ее габарит и лучшее конструктивное размещение агрегатов танка. Механизм также оставляет все качества существующего поворотного механизма. Предлагаемый механизм особенно ценен для средних и тяжелых танков, который увеличит их маневренность (поворотливость) в полосе заграждений и укреплений.</w:t>
      </w:r>
    </w:p>
    <w:p w14:paraId="378E905A"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Прошу Вас рассмотреть данный вопрос и дать указания наркоматам о проектировании этого механизма и постройке опытных образцов на указанных танках. Наркоматы и отдельные конструкторы заводов этот механизм считают ценным.</w:t>
      </w:r>
    </w:p>
    <w:p w14:paraId="73448EC7"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 УПРАВЛЕНИЯ ГОСРЕЗЕРВОВ при СНК СССР</w:t>
      </w:r>
    </w:p>
    <w:p w14:paraId="28267071"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БРИГИНЖЕНЕР подпись (ДАНЧЕНКО)</w:t>
      </w:r>
    </w:p>
    <w:p w14:paraId="65B4542C"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июня 1940 года (20378).</w:t>
      </w:r>
    </w:p>
    <w:p w14:paraId="520E13DE" w14:textId="77777777" w:rsidR="00F06892" w:rsidRPr="00DB5D0D" w:rsidRDefault="00F06892" w:rsidP="00DB5D0D">
      <w:pPr>
        <w:spacing w:after="0" w:line="240" w:lineRule="auto"/>
        <w:jc w:val="both"/>
        <w:rPr>
          <w:rFonts w:ascii="Times New Roman" w:hAnsi="Times New Roman"/>
          <w:color w:val="0070C0"/>
          <w:sz w:val="16"/>
          <w:szCs w:val="16"/>
        </w:rPr>
      </w:pPr>
    </w:p>
    <w:p w14:paraId="2C010F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 вышло Постановление Экономсовета о передаче строительства завода № 298 НКВ в ведение НК электропромышленности (9186).</w:t>
      </w:r>
    </w:p>
    <w:p w14:paraId="3FC9F44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AD89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 Комитет обороны выдал институту (ГС НИИ-9 НКОП, НКАП, НКЭП, Ленинградский электрофизический институт (ЛЭФИ, ЭФИ) НКТП /г. Ленинград/) задание изготовить к 03.1941 г. опытную станцию «Луна», но это не было выполнено. Впервые в мире создана телевизонно-РЛ доплеровская система дальнего обнаружения системы оповещения ПВО, применявшаяся в годы войны в Ленинграде (Э.И. Голованевский) (11982).</w:t>
      </w:r>
    </w:p>
    <w:p w14:paraId="397D4268" w14:textId="77777777" w:rsidR="00CE1694" w:rsidRPr="00DB5D0D" w:rsidRDefault="00CE1694" w:rsidP="00DB5D0D">
      <w:pPr>
        <w:spacing w:after="0" w:line="240" w:lineRule="auto"/>
        <w:jc w:val="both"/>
        <w:rPr>
          <w:rFonts w:ascii="Times New Roman" w:hAnsi="Times New Roman"/>
          <w:color w:val="000000" w:themeColor="text1"/>
          <w:sz w:val="16"/>
          <w:szCs w:val="16"/>
        </w:rPr>
      </w:pPr>
    </w:p>
    <w:p w14:paraId="156971A4" w14:textId="77777777" w:rsidR="00CB30A8" w:rsidRPr="00DB5D0D" w:rsidRDefault="00CB30A8" w:rsidP="00DB5D0D">
      <w:pPr>
        <w:pStyle w:val="Bodytext1"/>
        <w:shd w:val="clear" w:color="auto" w:fill="auto"/>
        <w:spacing w:line="240" w:lineRule="auto"/>
        <w:ind w:firstLine="0"/>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 июня 1940 г. в докладной записке отмечалось:</w:t>
      </w:r>
    </w:p>
    <w:p w14:paraId="09395C99" w14:textId="77777777" w:rsidR="00CB30A8" w:rsidRPr="00DB5D0D" w:rsidRDefault="00CB30A8" w:rsidP="00DB5D0D">
      <w:pPr>
        <w:pStyle w:val="Bodytext21"/>
        <w:shd w:val="clear" w:color="auto" w:fill="auto"/>
        <w:spacing w:line="240" w:lineRule="auto"/>
        <w:ind w:firstLine="0"/>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«Решения IX областной и VII городской объединенной партийной конференции, поста</w:t>
      </w:r>
      <w:r w:rsidRPr="00DB5D0D">
        <w:rPr>
          <w:rFonts w:ascii="Times New Roman" w:hAnsi="Times New Roman" w:cs="Times New Roman"/>
          <w:i w:val="0"/>
          <w:color w:val="000000" w:themeColor="text1"/>
          <w:sz w:val="16"/>
          <w:szCs w:val="16"/>
        </w:rPr>
        <w:softHyphen/>
        <w:t>вили перед Ленинградской промышленностью задачу «дальнейшего создания и освоения но</w:t>
      </w:r>
      <w:r w:rsidRPr="00DB5D0D">
        <w:rPr>
          <w:rFonts w:ascii="Times New Roman" w:hAnsi="Times New Roman" w:cs="Times New Roman"/>
          <w:i w:val="0"/>
          <w:color w:val="000000" w:themeColor="text1"/>
          <w:sz w:val="16"/>
          <w:szCs w:val="16"/>
        </w:rPr>
        <w:softHyphen/>
        <w:t>вых, более совершенных машин для всех отра</w:t>
      </w:r>
      <w:r w:rsidRPr="00DB5D0D">
        <w:rPr>
          <w:rFonts w:ascii="Times New Roman" w:hAnsi="Times New Roman" w:cs="Times New Roman"/>
          <w:i w:val="0"/>
          <w:color w:val="000000" w:themeColor="text1"/>
          <w:sz w:val="16"/>
          <w:szCs w:val="16"/>
        </w:rPr>
        <w:softHyphen/>
        <w:t>слей народного хозяйства». В соответствии с этим решением отдел оборонной промышлен</w:t>
      </w:r>
      <w:r w:rsidRPr="00DB5D0D">
        <w:rPr>
          <w:rFonts w:ascii="Times New Roman" w:hAnsi="Times New Roman" w:cs="Times New Roman"/>
          <w:i w:val="0"/>
          <w:color w:val="000000" w:themeColor="text1"/>
          <w:sz w:val="16"/>
          <w:szCs w:val="16"/>
        </w:rPr>
        <w:softHyphen/>
        <w:t>ности ГК ВКП(б) проверил 15 предприятий и НИИ о состоянии технической политики на эти предприятиях.</w:t>
      </w:r>
    </w:p>
    <w:p w14:paraId="78A22003" w14:textId="77777777" w:rsidR="00CB30A8" w:rsidRPr="00DB5D0D" w:rsidRDefault="00CB30A8" w:rsidP="00DB5D0D">
      <w:pPr>
        <w:pStyle w:val="Bodytext21"/>
        <w:shd w:val="clear" w:color="auto" w:fill="auto"/>
        <w:spacing w:line="240" w:lineRule="auto"/>
        <w:ind w:firstLine="0"/>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Проверкой установлено, что наряду с не</w:t>
      </w:r>
      <w:r w:rsidRPr="00DB5D0D">
        <w:rPr>
          <w:rFonts w:ascii="Times New Roman" w:hAnsi="Times New Roman" w:cs="Times New Roman"/>
          <w:i w:val="0"/>
          <w:color w:val="000000" w:themeColor="text1"/>
          <w:sz w:val="16"/>
          <w:szCs w:val="16"/>
        </w:rPr>
        <w:softHyphen/>
        <w:t>которыми успехами имеются и крупнейшие недостатки:</w:t>
      </w:r>
    </w:p>
    <w:p w14:paraId="7EB30966" w14:textId="77777777" w:rsidR="00CB30A8" w:rsidRPr="00DB5D0D" w:rsidRDefault="00CB30A8" w:rsidP="00DB5D0D">
      <w:pPr>
        <w:pStyle w:val="Bodytext21"/>
        <w:numPr>
          <w:ilvl w:val="0"/>
          <w:numId w:val="9"/>
        </w:numPr>
        <w:shd w:val="clear" w:color="auto" w:fill="auto"/>
        <w:tabs>
          <w:tab w:val="left" w:pos="390"/>
        </w:tabs>
        <w:spacing w:line="240" w:lineRule="auto"/>
        <w:ind w:firstLine="0"/>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так длительность проектирования в частности объясняется и частой сменой за</w:t>
      </w:r>
      <w:r w:rsidRPr="00DB5D0D">
        <w:rPr>
          <w:rFonts w:ascii="Times New Roman" w:hAnsi="Times New Roman" w:cs="Times New Roman"/>
          <w:i w:val="0"/>
          <w:color w:val="000000" w:themeColor="text1"/>
          <w:sz w:val="16"/>
          <w:szCs w:val="16"/>
        </w:rPr>
        <w:softHyphen/>
        <w:t>дания по ходу проектирования, несвоевремен</w:t>
      </w:r>
      <w:r w:rsidRPr="00DB5D0D">
        <w:rPr>
          <w:rFonts w:ascii="Times New Roman" w:hAnsi="Times New Roman" w:cs="Times New Roman"/>
          <w:i w:val="0"/>
          <w:color w:val="000000" w:themeColor="text1"/>
          <w:sz w:val="16"/>
          <w:szCs w:val="16"/>
        </w:rPr>
        <w:softHyphen/>
        <w:t>ной выдачи ТТЗ, длительностью рассмотрения спорных вопросов в главках и управлениях КА;</w:t>
      </w:r>
    </w:p>
    <w:p w14:paraId="357C8711" w14:textId="77777777" w:rsidR="00CB30A8" w:rsidRPr="00DB5D0D" w:rsidRDefault="00CB30A8" w:rsidP="00DB5D0D">
      <w:pPr>
        <w:pStyle w:val="Bodytext21"/>
        <w:numPr>
          <w:ilvl w:val="0"/>
          <w:numId w:val="9"/>
        </w:numPr>
        <w:shd w:val="clear" w:color="auto" w:fill="auto"/>
        <w:tabs>
          <w:tab w:val="left" w:pos="366"/>
        </w:tabs>
        <w:spacing w:line="240" w:lineRule="auto"/>
        <w:ind w:firstLine="0"/>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плохое обеспечение КБ технической ин</w:t>
      </w:r>
      <w:r w:rsidRPr="00DB5D0D">
        <w:rPr>
          <w:rFonts w:ascii="Times New Roman" w:hAnsi="Times New Roman" w:cs="Times New Roman"/>
          <w:i w:val="0"/>
          <w:color w:val="000000" w:themeColor="text1"/>
          <w:sz w:val="16"/>
          <w:szCs w:val="16"/>
        </w:rPr>
        <w:softHyphen/>
        <w:t>формацией, отсутствием обмена опытом вследствие излишней засекреченности;</w:t>
      </w:r>
    </w:p>
    <w:p w14:paraId="05565824" w14:textId="77777777" w:rsidR="00CB30A8" w:rsidRPr="00DB5D0D" w:rsidRDefault="00CB30A8" w:rsidP="00DB5D0D">
      <w:pPr>
        <w:pStyle w:val="Bodytext21"/>
        <w:numPr>
          <w:ilvl w:val="0"/>
          <w:numId w:val="9"/>
        </w:numPr>
        <w:shd w:val="clear" w:color="auto" w:fill="auto"/>
        <w:tabs>
          <w:tab w:val="left" w:pos="375"/>
        </w:tabs>
        <w:spacing w:line="240" w:lineRule="auto"/>
        <w:ind w:firstLine="0"/>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ведущие конструктора в проводящихся маневрах и больших войсковых испытаниях не участвуют, что лишает их возможности из</w:t>
      </w:r>
      <w:r w:rsidRPr="00DB5D0D">
        <w:rPr>
          <w:rFonts w:ascii="Times New Roman" w:hAnsi="Times New Roman" w:cs="Times New Roman"/>
          <w:i w:val="0"/>
          <w:color w:val="000000" w:themeColor="text1"/>
          <w:sz w:val="16"/>
          <w:szCs w:val="16"/>
        </w:rPr>
        <w:softHyphen/>
        <w:t>учения созданных систем в действии и своев</w:t>
      </w:r>
      <w:r w:rsidRPr="00DB5D0D">
        <w:rPr>
          <w:rFonts w:ascii="Times New Roman" w:hAnsi="Times New Roman" w:cs="Times New Roman"/>
          <w:i w:val="0"/>
          <w:color w:val="000000" w:themeColor="text1"/>
          <w:sz w:val="16"/>
          <w:szCs w:val="16"/>
        </w:rPr>
        <w:softHyphen/>
        <w:t>ременного устранения недостатков.</w:t>
      </w:r>
    </w:p>
    <w:p w14:paraId="5C80230F" w14:textId="77777777" w:rsidR="00CB30A8" w:rsidRPr="00DB5D0D" w:rsidRDefault="00CB30A8" w:rsidP="00DB5D0D">
      <w:pPr>
        <w:pStyle w:val="Bodytext21"/>
        <w:shd w:val="clear" w:color="auto" w:fill="auto"/>
        <w:spacing w:line="240" w:lineRule="auto"/>
        <w:ind w:firstLine="0"/>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Для устранения недостатков бюро ГК ВКП(б) постановляет:</w:t>
      </w:r>
    </w:p>
    <w:p w14:paraId="3ACDE951" w14:textId="77777777" w:rsidR="00CB30A8" w:rsidRPr="00DB5D0D" w:rsidRDefault="00CB30A8" w:rsidP="00DB5D0D">
      <w:pPr>
        <w:pStyle w:val="Bodytext21"/>
        <w:numPr>
          <w:ilvl w:val="0"/>
          <w:numId w:val="9"/>
        </w:numPr>
        <w:shd w:val="clear" w:color="auto" w:fill="auto"/>
        <w:tabs>
          <w:tab w:val="left" w:pos="375"/>
        </w:tabs>
        <w:spacing w:line="240" w:lineRule="auto"/>
        <w:ind w:firstLine="0"/>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просить ЦК ВКП(б) пересмотреть сис</w:t>
      </w:r>
      <w:r w:rsidRPr="00DB5D0D">
        <w:rPr>
          <w:rFonts w:ascii="Times New Roman" w:hAnsi="Times New Roman" w:cs="Times New Roman"/>
          <w:i w:val="0"/>
          <w:color w:val="000000" w:themeColor="text1"/>
          <w:sz w:val="16"/>
          <w:szCs w:val="16"/>
        </w:rPr>
        <w:softHyphen/>
        <w:t>тему планирования, организации, финансиро</w:t>
      </w:r>
      <w:r w:rsidRPr="00DB5D0D">
        <w:rPr>
          <w:rFonts w:ascii="Times New Roman" w:hAnsi="Times New Roman" w:cs="Times New Roman"/>
          <w:i w:val="0"/>
          <w:color w:val="000000" w:themeColor="text1"/>
          <w:sz w:val="16"/>
          <w:szCs w:val="16"/>
        </w:rPr>
        <w:softHyphen/>
        <w:t>вания и учета опытных работ;</w:t>
      </w:r>
    </w:p>
    <w:p w14:paraId="087C8D5D" w14:textId="77777777" w:rsidR="00CB30A8" w:rsidRPr="00DB5D0D" w:rsidRDefault="00CB30A8" w:rsidP="00DB5D0D">
      <w:pPr>
        <w:pStyle w:val="Bodytext21"/>
        <w:numPr>
          <w:ilvl w:val="0"/>
          <w:numId w:val="9"/>
        </w:numPr>
        <w:shd w:val="clear" w:color="auto" w:fill="auto"/>
        <w:tabs>
          <w:tab w:val="left" w:pos="366"/>
        </w:tabs>
        <w:spacing w:line="240" w:lineRule="auto"/>
        <w:ind w:firstLine="0"/>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для усиления связи предприятий с воин</w:t>
      </w:r>
      <w:r w:rsidRPr="00DB5D0D">
        <w:rPr>
          <w:rFonts w:ascii="Times New Roman" w:hAnsi="Times New Roman" w:cs="Times New Roman"/>
          <w:i w:val="0"/>
          <w:color w:val="000000" w:themeColor="text1"/>
          <w:sz w:val="16"/>
          <w:szCs w:val="16"/>
        </w:rPr>
        <w:softHyphen/>
        <w:t>скими частями считать целесообразным про</w:t>
      </w:r>
      <w:r w:rsidRPr="00DB5D0D">
        <w:rPr>
          <w:rFonts w:ascii="Times New Roman" w:hAnsi="Times New Roman" w:cs="Times New Roman"/>
          <w:i w:val="0"/>
          <w:color w:val="000000" w:themeColor="text1"/>
          <w:sz w:val="16"/>
          <w:szCs w:val="16"/>
        </w:rPr>
        <w:softHyphen/>
        <w:t>ведение конференций по качеству» (17746).</w:t>
      </w:r>
    </w:p>
    <w:p w14:paraId="2D47E075" w14:textId="77777777" w:rsidR="00CB30A8" w:rsidRPr="00DB5D0D" w:rsidRDefault="00CB30A8" w:rsidP="00DB5D0D">
      <w:pPr>
        <w:spacing w:after="0" w:line="240" w:lineRule="auto"/>
        <w:jc w:val="both"/>
        <w:rPr>
          <w:rFonts w:ascii="Times New Roman" w:eastAsia="Times New Roman" w:hAnsi="Times New Roman"/>
          <w:color w:val="000000" w:themeColor="text1"/>
          <w:sz w:val="16"/>
          <w:szCs w:val="16"/>
          <w:lang w:eastAsia="ru-RU"/>
        </w:rPr>
      </w:pPr>
    </w:p>
    <w:p w14:paraId="397AC0C5" w14:textId="77777777" w:rsidR="00CE1694" w:rsidRPr="00DB5D0D" w:rsidRDefault="00CE1694" w:rsidP="00DB5D0D">
      <w:pPr>
        <w:spacing w:after="0" w:line="240" w:lineRule="auto"/>
        <w:jc w:val="both"/>
        <w:rPr>
          <w:rFonts w:ascii="Times New Roman" w:hAnsi="Times New Roman"/>
          <w:color w:val="000000" w:themeColor="text1"/>
          <w:sz w:val="16"/>
          <w:szCs w:val="16"/>
          <w:shd w:val="clear" w:color="auto" w:fill="C0C0C0"/>
        </w:rPr>
      </w:pPr>
      <w:r w:rsidRPr="00DB5D0D">
        <w:rPr>
          <w:rFonts w:ascii="Times New Roman" w:hAnsi="Times New Roman"/>
          <w:color w:val="000000" w:themeColor="text1"/>
          <w:sz w:val="16"/>
          <w:szCs w:val="16"/>
        </w:rPr>
        <w:t xml:space="preserve">2 </w:t>
      </w:r>
      <w:bookmarkStart w:id="36" w:name="YANDEX_0"/>
      <w:bookmarkEnd w:id="36"/>
      <w:r w:rsidRPr="00DB5D0D">
        <w:rPr>
          <w:rFonts w:ascii="Times New Roman" w:hAnsi="Times New Roman"/>
          <w:color w:val="000000" w:themeColor="text1"/>
          <w:sz w:val="16"/>
          <w:szCs w:val="16"/>
        </w:rPr>
        <w:t> </w:t>
      </w:r>
      <w:r w:rsidRPr="00DB5D0D">
        <w:rPr>
          <w:rStyle w:val="highlight"/>
          <w:rFonts w:ascii="Times New Roman" w:hAnsi="Times New Roman"/>
          <w:color w:val="000000" w:themeColor="text1"/>
          <w:sz w:val="16"/>
          <w:szCs w:val="16"/>
        </w:rPr>
        <w:t> июня </w:t>
      </w:r>
      <w:bookmarkStart w:id="37" w:name="YANDEX_1"/>
      <w:bookmarkEnd w:id="37"/>
      <w:r w:rsidRPr="00DB5D0D">
        <w:rPr>
          <w:rStyle w:val="highlight"/>
          <w:rFonts w:ascii="Times New Roman" w:hAnsi="Times New Roman"/>
          <w:color w:val="000000" w:themeColor="text1"/>
          <w:sz w:val="16"/>
          <w:szCs w:val="16"/>
        </w:rPr>
        <w:t> 1940 </w:t>
      </w:r>
      <w:r w:rsidRPr="00DB5D0D">
        <w:rPr>
          <w:rFonts w:ascii="Times New Roman" w:hAnsi="Times New Roman"/>
          <w:color w:val="000000" w:themeColor="text1"/>
          <w:sz w:val="16"/>
          <w:szCs w:val="16"/>
        </w:rPr>
        <w:t xml:space="preserve"> года, когда решением НКВД был создан </w:t>
      </w:r>
      <w:bookmarkStart w:id="38" w:name="YANDEX_2"/>
      <w:bookmarkEnd w:id="38"/>
      <w:r w:rsidRPr="00DB5D0D">
        <w:rPr>
          <w:rStyle w:val="highlight"/>
          <w:rFonts w:ascii="Times New Roman" w:hAnsi="Times New Roman"/>
          <w:color w:val="000000" w:themeColor="text1"/>
          <w:sz w:val="16"/>
          <w:szCs w:val="16"/>
        </w:rPr>
        <w:t> завод </w:t>
      </w:r>
      <w:bookmarkStart w:id="39" w:name="YANDEX_LAST"/>
      <w:bookmarkEnd w:id="39"/>
      <w:r w:rsidRPr="00DB5D0D">
        <w:rPr>
          <w:rFonts w:ascii="Times New Roman" w:hAnsi="Times New Roman"/>
          <w:color w:val="000000" w:themeColor="text1"/>
          <w:sz w:val="16"/>
          <w:szCs w:val="16"/>
        </w:rPr>
        <w:t xml:space="preserve"> "Стройдеталь" № 2 для обслуживания потребностей ХОЗУ НКВД. В 1942 году завод "Стройдеталь" № 2 был преобразован в "Завод № 2 ХОЗУ НКВД".</w:t>
      </w:r>
    </w:p>
    <w:p w14:paraId="35421E5B" w14:textId="77777777" w:rsidR="00CE1694" w:rsidRPr="00DB5D0D" w:rsidRDefault="00CE169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Великой Отечественной войны завод работал на нужды фронта.</w:t>
      </w:r>
    </w:p>
    <w:p w14:paraId="44936C44" w14:textId="77777777" w:rsidR="00B8798C" w:rsidRPr="00DB5D0D" w:rsidRDefault="00B8798C" w:rsidP="00DB5D0D">
      <w:pPr>
        <w:pStyle w:val="4"/>
        <w:keepNext w:val="0"/>
        <w:keepLines w:val="0"/>
        <w:overflowPunct/>
        <w:autoSpaceDE/>
        <w:autoSpaceDN/>
        <w:adjustRightInd/>
        <w:spacing w:before="0"/>
        <w:jc w:val="both"/>
        <w:textAlignment w:val="auto"/>
        <w:rPr>
          <w:rFonts w:ascii="Times New Roman" w:hAnsi="Times New Roman"/>
          <w:i w:val="0"/>
          <w:color w:val="000000" w:themeColor="text1"/>
          <w:sz w:val="16"/>
          <w:szCs w:val="16"/>
        </w:rPr>
      </w:pPr>
      <w:r w:rsidRPr="00DB5D0D">
        <w:rPr>
          <w:rFonts w:ascii="Times New Roman" w:hAnsi="Times New Roman"/>
          <w:i w:val="0"/>
          <w:color w:val="000000" w:themeColor="text1"/>
          <w:sz w:val="16"/>
          <w:szCs w:val="16"/>
        </w:rPr>
        <w:t>Распоряжением Совета Министров СССР от 20.11.53 г. "Завод № 2 ХОЗУ НКВД" был переименован в Новоховринский машиностроительный завод ММ СССР</w:t>
      </w:r>
      <w:r w:rsidRPr="00DB5D0D">
        <w:rPr>
          <w:rFonts w:ascii="Times New Roman" w:hAnsi="Times New Roman"/>
          <w:i w:val="0"/>
          <w:color w:val="000000" w:themeColor="text1"/>
          <w:sz w:val="16"/>
          <w:szCs w:val="16"/>
          <w:shd w:val="clear" w:color="auto" w:fill="C0C0C0"/>
        </w:rPr>
        <w:t xml:space="preserve">, </w:t>
      </w:r>
      <w:r w:rsidRPr="00DB5D0D">
        <w:rPr>
          <w:rFonts w:ascii="Times New Roman" w:hAnsi="Times New Roman"/>
          <w:i w:val="0"/>
          <w:color w:val="000000" w:themeColor="text1"/>
          <w:sz w:val="16"/>
          <w:szCs w:val="16"/>
        </w:rPr>
        <w:t>а с 10.09.54 г. Распоряжением Совета Министров СССР № 9957-Р передан Министерству тракторного и сельскохозяйственного машиностроения и стал именоваться завод "Моссельмаш".</w:t>
      </w:r>
    </w:p>
    <w:p w14:paraId="66AD330F" w14:textId="77777777" w:rsidR="00CE1694" w:rsidRPr="00DB5D0D" w:rsidRDefault="00CE1694" w:rsidP="00DB5D0D">
      <w:pPr>
        <w:spacing w:after="0" w:line="240" w:lineRule="auto"/>
        <w:jc w:val="both"/>
        <w:rPr>
          <w:rFonts w:ascii="Times New Roman" w:hAnsi="Times New Roman"/>
          <w:color w:val="000000" w:themeColor="text1"/>
          <w:sz w:val="16"/>
          <w:szCs w:val="16"/>
          <w:lang w:eastAsia="ru-RU"/>
        </w:rPr>
      </w:pPr>
      <w:r w:rsidRPr="00DB5D0D">
        <w:rPr>
          <w:rFonts w:ascii="Times New Roman" w:hAnsi="Times New Roman"/>
          <w:color w:val="000000" w:themeColor="text1"/>
          <w:sz w:val="16"/>
          <w:szCs w:val="16"/>
        </w:rPr>
        <w:t>Приказом Министерства от 26.12.89 года № 805 завод получил название "Опытный Экспериментальный Завод "Моссельмаш" (17408).</w:t>
      </w:r>
    </w:p>
    <w:p w14:paraId="1D8CB5CC" w14:textId="77777777" w:rsidR="00B8798C" w:rsidRPr="00DB5D0D" w:rsidRDefault="00B8798C" w:rsidP="00DB5D0D">
      <w:pPr>
        <w:shd w:val="clear" w:color="auto" w:fill="FFFFFF"/>
        <w:spacing w:after="0" w:line="240" w:lineRule="auto"/>
        <w:jc w:val="both"/>
        <w:rPr>
          <w:rFonts w:ascii="Times New Roman" w:hAnsi="Times New Roman"/>
          <w:color w:val="000000" w:themeColor="text1"/>
          <w:sz w:val="16"/>
          <w:szCs w:val="16"/>
        </w:rPr>
      </w:pPr>
    </w:p>
    <w:p w14:paraId="3A270370" w14:textId="77777777" w:rsidR="00FE5681" w:rsidRPr="00DB5D0D" w:rsidRDefault="00FE5681"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 xml:space="preserve">2 июня 1940 года, когда решением НКВД был создан завод "Стройдеталь" № 2 для обслуживания потребностей ХОЗУ НКВД. В 1942 году завод "Стройдеталь" № 2 был преобразован в "Завод № 2 ХОЗУ НКВД". Во время Великой Отечественной войны завод работал на нужды фронта. </w:t>
      </w:r>
    </w:p>
    <w:p w14:paraId="05BBBF99" w14:textId="77777777" w:rsidR="00FE5681" w:rsidRPr="00DB5D0D" w:rsidRDefault="00FE5681"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 xml:space="preserve">Распоряжением Совета Министров СССР от 20.11.53 г. "Завод № 2 ХОЗУ НКВД" был переименован в Новоховринский машиностроительный завод ММ СССР, </w:t>
      </w:r>
    </w:p>
    <w:p w14:paraId="0EB2173E" w14:textId="77777777" w:rsidR="00FE5681" w:rsidRPr="00DB5D0D" w:rsidRDefault="00FE5681"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а с 10.09.54 г. Распоряжением Совета Министров СССР № 9957-Р передан Министерству тракторного и сельскохозяйственного машиностроения и стал именоваться завод "Моссельмаш". Приказом Министерства от 26.12.89 года № 805 завод получил название "Опытный Экспериментальный Завод "Моссельмаш".</w:t>
      </w:r>
    </w:p>
    <w:p w14:paraId="61326403" w14:textId="77777777" w:rsidR="00FE5681" w:rsidRPr="00DB5D0D" w:rsidRDefault="00FE5681"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До 1951 года завод выпускал скобяные изделия, механизмы и цветное литье для строившихся высотных зданий, грузовые и пассажирские лифты, металлические кровати, производил ремонт грузовых и легковых автомобилей всех марок.</w:t>
      </w:r>
    </w:p>
    <w:p w14:paraId="6533B3A9" w14:textId="77777777" w:rsidR="00FE5681" w:rsidRPr="00DB5D0D" w:rsidRDefault="00FE5681"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В 1951-1953 г.г. завод изготавливал автомобили специалного назначения.</w:t>
      </w:r>
    </w:p>
    <w:p w14:paraId="0B803BCE" w14:textId="77777777" w:rsidR="00FE5681" w:rsidRPr="00DB5D0D" w:rsidRDefault="00FE5681"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С 1953 года завод перешел на выпуск сельскохозяйственной техники - картофелеуборочных машин, капустоуборочных машин, зерносушильных установок, разбрасывателей органических удобрений и ряд других.</w:t>
      </w:r>
    </w:p>
    <w:p w14:paraId="51830668" w14:textId="77777777" w:rsidR="00FE5681" w:rsidRPr="00DB5D0D" w:rsidRDefault="00FE5681"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В 1968 году завод решением Министерства перепрофилирован на выпуск редукторов для сельскохозяйственной техники, став головным предприятием отрасли, нарастив мощности до 560000 штук в год и обеспечивая ими все предпрятия Советского Союза.</w:t>
      </w:r>
    </w:p>
    <w:p w14:paraId="2A99A2F1" w14:textId="77777777" w:rsidR="00FE5681" w:rsidRPr="00DB5D0D" w:rsidRDefault="00FE5681"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С 1991 года ОЭЗ "Моссельмаш" переименован в Государственное предприятие "Моссельмаш", а в 1993 году, в результате приватизации, ГП "Моссельмаш" преобразовано в акционерное общество "Моссельмаш" (17437).</w:t>
      </w:r>
    </w:p>
    <w:p w14:paraId="630CC540" w14:textId="77777777" w:rsidR="00FE5681" w:rsidRPr="00DB5D0D" w:rsidRDefault="00FE5681" w:rsidP="00DB5D0D">
      <w:pPr>
        <w:pStyle w:val="a8"/>
        <w:jc w:val="both"/>
        <w:rPr>
          <w:rFonts w:ascii="Times New Roman" w:hAnsi="Times New Roman" w:cs="Times New Roman"/>
          <w:color w:val="000000" w:themeColor="text1"/>
        </w:rPr>
      </w:pPr>
    </w:p>
    <w:p w14:paraId="7BF80F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 от наркома ВМФ Кузнецова поступило предложение назвать крейсер Лютцов «Выборгом», но принято оно не было, и 2 октября 1940-го крейсеру было присвоено название «Петропавловск». Причем «Петропавловск» был назван не легким крейсером, как «Киров», и не тяжелым крейсером, как проект 69, а просто крейсером проекта 83 (10670,256).</w:t>
      </w:r>
    </w:p>
    <w:p w14:paraId="7688C6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824B1C7"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32C5138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D8A31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 нарком обороны и начальник Генштаба представили в Политбюро и СНК план создания танковых корпусов. Предлагалось сформировать 8 танковых корпусов, 18 танковых и 8 моторизованных дивизий, которые бы раз</w:t>
      </w:r>
      <w:r w:rsidRPr="00DB5D0D">
        <w:rPr>
          <w:rFonts w:ascii="Times New Roman" w:hAnsi="Times New Roman"/>
          <w:color w:val="000000" w:themeColor="text1"/>
          <w:sz w:val="16"/>
          <w:szCs w:val="16"/>
        </w:rPr>
        <w:softHyphen/>
        <w:t>мещались по одному в МВО, ЛВО, ОдВО и ЗабВО, по 2 в БОВО и КОВО и по 1 танковой дивизии в ЗакВО и САВО. 6 июля 1940 г. СНК постановлением № 1193-464сс утвердил предложенную организацию, размещение и штатную чис</w:t>
      </w:r>
      <w:r w:rsidRPr="00DB5D0D">
        <w:rPr>
          <w:rFonts w:ascii="Times New Roman" w:hAnsi="Times New Roman"/>
          <w:color w:val="000000" w:themeColor="text1"/>
          <w:sz w:val="16"/>
          <w:szCs w:val="16"/>
        </w:rPr>
        <w:softHyphen/>
        <w:t>ленность танковых войск. Но НКО признал, что это привело к временному сокращению части танковых бригад стрелковых корпусов. Чтобы не оставлять пехоту без танков сопровождения, требовалось иметь еще около 6000 танков (10782).</w:t>
      </w:r>
    </w:p>
    <w:p w14:paraId="499CBB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CE35A8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914D38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F0467EC" w14:textId="77777777" w:rsidR="001C296F" w:rsidRPr="00DB5D0D" w:rsidRDefault="001C29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 июня</w:t>
      </w:r>
      <w:r w:rsidRPr="00DB5D0D">
        <w:rPr>
          <w:rFonts w:ascii="Times New Roman" w:hAnsi="Times New Roman"/>
          <w:color w:val="000000" w:themeColor="text1"/>
          <w:sz w:val="16"/>
          <w:szCs w:val="16"/>
        </w:rPr>
        <w:t xml:space="preserve"> в 1940 году заключен контракт на постройку прототипа итальянского истребителя </w:t>
      </w:r>
      <w:hyperlink r:id="rId96" w:tgtFrame="_blank" w:history="1">
        <w:r w:rsidRPr="00DB5D0D">
          <w:rPr>
            <w:rFonts w:ascii="Times New Roman" w:hAnsi="Times New Roman"/>
            <w:color w:val="000000" w:themeColor="text1"/>
            <w:sz w:val="16"/>
            <w:szCs w:val="16"/>
          </w:rPr>
          <w:t xml:space="preserve">«Р.119». </w:t>
        </w:r>
      </w:hyperlink>
      <w:r w:rsidRPr="00DB5D0D">
        <w:rPr>
          <w:rFonts w:ascii="Times New Roman" w:hAnsi="Times New Roman"/>
          <w:color w:val="000000" w:themeColor="text1"/>
          <w:sz w:val="16"/>
          <w:szCs w:val="16"/>
        </w:rPr>
        <w:t xml:space="preserve">Был заказан всего один прототип («ММ.497»), законченный с постройкой в конце 1942 году. К опытному истребителю </w:t>
      </w:r>
      <w:hyperlink r:id="rId97" w:tgtFrame="_blank" w:history="1">
        <w:r w:rsidRPr="00DB5D0D">
          <w:rPr>
            <w:rFonts w:ascii="Times New Roman" w:hAnsi="Times New Roman"/>
            <w:color w:val="000000" w:themeColor="text1"/>
            <w:sz w:val="16"/>
            <w:szCs w:val="16"/>
          </w:rPr>
          <w:t xml:space="preserve">«Р.119» </w:t>
        </w:r>
      </w:hyperlink>
      <w:r w:rsidRPr="00DB5D0D">
        <w:rPr>
          <w:rFonts w:ascii="Times New Roman" w:hAnsi="Times New Roman"/>
          <w:color w:val="000000" w:themeColor="text1"/>
          <w:sz w:val="16"/>
          <w:szCs w:val="16"/>
        </w:rPr>
        <w:t>большого интереса никто не проявил, поэтому восстановление поврежденного в 1943 году самолёта прервали, разобрав его на металл (14910).</w:t>
      </w:r>
    </w:p>
    <w:p w14:paraId="371375D8" w14:textId="77777777" w:rsidR="001C296F" w:rsidRPr="00DB5D0D" w:rsidRDefault="001C296F" w:rsidP="00DB5D0D">
      <w:pPr>
        <w:spacing w:after="0" w:line="240" w:lineRule="auto"/>
        <w:jc w:val="both"/>
        <w:rPr>
          <w:rFonts w:ascii="Times New Roman" w:hAnsi="Times New Roman"/>
          <w:color w:val="000000" w:themeColor="text1"/>
          <w:sz w:val="16"/>
          <w:szCs w:val="16"/>
        </w:rPr>
      </w:pPr>
    </w:p>
    <w:p w14:paraId="009CA04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2nd, 1940: At Dunkirk, 26,200 British and French troops are evacuated from the beaches. The luftwaffe carries out raids on Lyon and targets in the Rhone valley (3819).</w:t>
      </w:r>
    </w:p>
    <w:p w14:paraId="13BDC892"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2C437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в Дюнкерке прямо с побережья было эвакуировано 26 тыс. британских и французских солдат. Люфтваффе нанесли удар по Лиону и Ронской долине (3819).</w:t>
      </w:r>
    </w:p>
    <w:p w14:paraId="6C8EF9E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16A02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июня 1940 Вступил в строй вспомогательный крейсер "Комет", самый маленький рейдер Третьего Рейха. 14,02,1942 он быд потоплн британским торпедным катером МТВ-236 (4963 ).</w:t>
      </w:r>
    </w:p>
    <w:p w14:paraId="330A2A9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811C95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D64DAB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12700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на ДБ-3Ф 2М-88 N 390204 в ходе гос. испытаний нового вооружения провели полет на стрельбу по конусу из МВ-3, а также 3 полета на стрельбу по земным мишеням и сбрасывание ампул. С правой кассеты ампулы не сбросились (2686).</w:t>
      </w:r>
    </w:p>
    <w:p w14:paraId="405121F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91FB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вышел приказ НКАП N 261сс по перелету Нестеренко (1313,18):</w:t>
      </w:r>
    </w:p>
    <w:p w14:paraId="127851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обеспечения беспосадочного перелета экипажа т. Нестеренко на ДБ-3, приказываю:</w:t>
      </w:r>
    </w:p>
    <w:p w14:paraId="2CD6FF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Директору завода 39 Журавлеву:</w:t>
      </w:r>
    </w:p>
    <w:p w14:paraId="4F0F2F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закончить подготовку самолета и летные испытания его к 7 июня 1940;</w:t>
      </w:r>
    </w:p>
    <w:p w14:paraId="1497B1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сдать самолет экипажу 11 июня 1940;</w:t>
      </w:r>
    </w:p>
    <w:p w14:paraId="1A849B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сменить моторы и подготовить самолет для перегонки по воздуху на Восток к 23 июня (1313,18).</w:t>
      </w:r>
    </w:p>
    <w:p w14:paraId="6C5F14D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B0317D" w14:textId="77777777" w:rsidR="00A25AD1" w:rsidRPr="00DB5D0D" w:rsidRDefault="00A25AD1" w:rsidP="00DB5D0D">
      <w:pPr>
        <w:pStyle w:val="a3"/>
        <w:widowControl/>
        <w:rPr>
          <w:color w:val="000000" w:themeColor="text1"/>
          <w:lang w:val="ru-RU"/>
        </w:rPr>
      </w:pPr>
      <w:r w:rsidRPr="00DB5D0D">
        <w:rPr>
          <w:color w:val="000000" w:themeColor="text1"/>
          <w:lang w:val="ru-RU"/>
        </w:rPr>
        <w:t>3 июня 1940 года зам. начальника ГУАС бригинженер П. Федоров писал письмо № 501143сс в КО, члену Совета оборонной промышленности дивинженеру Репину</w:t>
      </w:r>
    </w:p>
    <w:p w14:paraId="00673BBE" w14:textId="77777777" w:rsidR="00A25AD1" w:rsidRPr="00DB5D0D" w:rsidRDefault="00A25AD1" w:rsidP="00DB5D0D">
      <w:pPr>
        <w:pStyle w:val="a3"/>
        <w:widowControl/>
        <w:rPr>
          <w:color w:val="000000" w:themeColor="text1"/>
          <w:lang w:val="ru-RU"/>
        </w:rPr>
      </w:pPr>
      <w:r w:rsidRPr="00DB5D0D">
        <w:rPr>
          <w:color w:val="000000" w:themeColor="text1"/>
          <w:lang w:val="ru-RU"/>
        </w:rPr>
        <w:t>По Вашей просьбе направляю краткие характеристики самолетов (опытных), составленные ведущими инженерами НИИ ГУАС.</w:t>
      </w:r>
    </w:p>
    <w:p w14:paraId="136B8566" w14:textId="77777777" w:rsidR="00A25AD1" w:rsidRPr="00DB5D0D" w:rsidRDefault="00A25AD1" w:rsidP="00DB5D0D">
      <w:pPr>
        <w:pStyle w:val="a3"/>
        <w:widowControl/>
        <w:rPr>
          <w:color w:val="000000" w:themeColor="text1"/>
          <w:lang w:val="ru-RU"/>
        </w:rPr>
      </w:pPr>
      <w:r w:rsidRPr="00DB5D0D">
        <w:rPr>
          <w:color w:val="000000" w:themeColor="text1"/>
          <w:lang w:val="ru-RU"/>
        </w:rPr>
        <w:t>Приложение: упомянутое (3377, 49).</w:t>
      </w:r>
    </w:p>
    <w:p w14:paraId="1EE95554" w14:textId="77777777" w:rsidR="00A25AD1" w:rsidRPr="00DB5D0D" w:rsidRDefault="00A25AD1" w:rsidP="00DB5D0D">
      <w:pPr>
        <w:pStyle w:val="a3"/>
        <w:widowControl/>
        <w:rPr>
          <w:color w:val="000000" w:themeColor="text1"/>
          <w:lang w:val="ru-RU"/>
        </w:rPr>
      </w:pPr>
      <w:r w:rsidRPr="00DB5D0D">
        <w:rPr>
          <w:color w:val="000000" w:themeColor="text1"/>
          <w:lang w:val="ru-RU"/>
        </w:rPr>
        <w:t>Краткая характеристика самолета И-190 М-88 конструкции Поликарпова, производства завода № 1</w:t>
      </w:r>
    </w:p>
    <w:p w14:paraId="787B2CFE"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Фактически полученные летные данные по заводским испытаниям с мотором М-88 без редуктора.</w:t>
      </w:r>
    </w:p>
    <w:p w14:paraId="287A0882" w14:textId="77777777" w:rsidR="00A25AD1" w:rsidRPr="00DB5D0D" w:rsidRDefault="00A25AD1" w:rsidP="00DB5D0D">
      <w:pPr>
        <w:pStyle w:val="a3"/>
        <w:widowControl/>
        <w:rPr>
          <w:color w:val="000000" w:themeColor="text1"/>
          <w:lang w:val="ru-RU"/>
        </w:rPr>
      </w:pPr>
      <w:r w:rsidRPr="00DB5D0D">
        <w:rPr>
          <w:color w:val="000000" w:themeColor="text1"/>
          <w:lang w:val="ru-RU"/>
        </w:rPr>
        <w:t>Скороподъемность на 5000 м – 5,5 мин.</w:t>
      </w:r>
    </w:p>
    <w:p w14:paraId="6CA51CFE" w14:textId="77777777" w:rsidR="00A25AD1" w:rsidRPr="00DB5D0D" w:rsidRDefault="00A25AD1" w:rsidP="00DB5D0D">
      <w:pPr>
        <w:pStyle w:val="a3"/>
        <w:widowControl/>
        <w:rPr>
          <w:color w:val="000000" w:themeColor="text1"/>
          <w:lang w:val="ru-RU"/>
        </w:rPr>
      </w:pPr>
      <w:r w:rsidRPr="00DB5D0D">
        <w:rPr>
          <w:color w:val="000000" w:themeColor="text1"/>
          <w:lang w:val="ru-RU"/>
        </w:rPr>
        <w:t>V max Н=6000 м – 460 км/час</w:t>
      </w:r>
    </w:p>
    <w:p w14:paraId="15563E34" w14:textId="77777777" w:rsidR="00A25AD1" w:rsidRPr="00DB5D0D" w:rsidRDefault="00A25AD1" w:rsidP="00DB5D0D">
      <w:pPr>
        <w:pStyle w:val="a3"/>
        <w:widowControl/>
        <w:rPr>
          <w:color w:val="000000" w:themeColor="text1"/>
          <w:lang w:val="ru-RU"/>
        </w:rPr>
      </w:pPr>
      <w:r w:rsidRPr="00DB5D0D">
        <w:rPr>
          <w:color w:val="000000" w:themeColor="text1"/>
          <w:lang w:val="ru-RU"/>
        </w:rPr>
        <w:t>V max Н=0 м – 375 км/час</w:t>
      </w:r>
    </w:p>
    <w:p w14:paraId="289D032B"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Оценка летных свойств:</w:t>
      </w:r>
    </w:p>
    <w:p w14:paraId="2A8F5DE4" w14:textId="77777777" w:rsidR="00A25AD1" w:rsidRPr="00DB5D0D" w:rsidRDefault="00A25AD1" w:rsidP="00DB5D0D">
      <w:pPr>
        <w:pStyle w:val="a3"/>
        <w:widowControl/>
        <w:rPr>
          <w:color w:val="000000" w:themeColor="text1"/>
          <w:lang w:val="ru-RU"/>
        </w:rPr>
      </w:pPr>
      <w:r w:rsidRPr="00DB5D0D">
        <w:rPr>
          <w:color w:val="000000" w:themeColor="text1"/>
          <w:lang w:val="ru-RU"/>
        </w:rPr>
        <w:t>а) управляемость удовлетворительная,</w:t>
      </w:r>
    </w:p>
    <w:p w14:paraId="5911C26D" w14:textId="77777777" w:rsidR="00A25AD1" w:rsidRPr="00DB5D0D" w:rsidRDefault="00A25AD1" w:rsidP="00DB5D0D">
      <w:pPr>
        <w:pStyle w:val="a3"/>
        <w:widowControl/>
        <w:rPr>
          <w:color w:val="000000" w:themeColor="text1"/>
          <w:lang w:val="ru-RU"/>
        </w:rPr>
      </w:pPr>
      <w:r w:rsidRPr="00DB5D0D">
        <w:rPr>
          <w:color w:val="000000" w:themeColor="text1"/>
          <w:lang w:val="ru-RU"/>
        </w:rPr>
        <w:t>б) устойчивость удовлетворительная (по заключению летчика Жукова),</w:t>
      </w:r>
    </w:p>
    <w:p w14:paraId="195CBE32" w14:textId="77777777" w:rsidR="00A25AD1" w:rsidRPr="00DB5D0D" w:rsidRDefault="00A25AD1" w:rsidP="00DB5D0D">
      <w:pPr>
        <w:pStyle w:val="a3"/>
        <w:widowControl/>
        <w:rPr>
          <w:color w:val="000000" w:themeColor="text1"/>
          <w:lang w:val="ru-RU"/>
        </w:rPr>
      </w:pPr>
      <w:r w:rsidRPr="00DB5D0D">
        <w:rPr>
          <w:color w:val="000000" w:themeColor="text1"/>
          <w:lang w:val="ru-RU"/>
        </w:rPr>
        <w:t>в) обзор такой же, как на самолете И-153,</w:t>
      </w:r>
    </w:p>
    <w:p w14:paraId="15F93B8A" w14:textId="77777777" w:rsidR="00A25AD1" w:rsidRPr="00DB5D0D" w:rsidRDefault="00A25AD1" w:rsidP="00DB5D0D">
      <w:pPr>
        <w:pStyle w:val="a3"/>
        <w:widowControl/>
        <w:rPr>
          <w:color w:val="000000" w:themeColor="text1"/>
          <w:lang w:val="ru-RU"/>
        </w:rPr>
      </w:pPr>
      <w:r w:rsidRPr="00DB5D0D">
        <w:rPr>
          <w:color w:val="000000" w:themeColor="text1"/>
          <w:lang w:val="ru-RU"/>
        </w:rPr>
        <w:t>г) маневренность удовлетворительная, время виража 12-13 сек.</w:t>
      </w:r>
    </w:p>
    <w:p w14:paraId="156DD987"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На самолете установлено 4 пулемета ШКАС с запасом патрон 2500 штук. Произведен отстрел пулеметов до п-1800 об/мин. (требуется до 220 об/мин.).</w:t>
      </w:r>
    </w:p>
    <w:p w14:paraId="323ED2F5"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Эксплуатация самолета аналогична самолету И-153, винтомоторная группа не доведена. Установлен мотор М-88 безредукторный и винт с шириной лопасти 217 мм показали плохое КПД, что и сказалось на скорости. Принято решение установить мотор М-88 Р (редукторный).</w:t>
      </w:r>
    </w:p>
    <w:p w14:paraId="2F2FBC59"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Конструкция самолета смешанная. Фюзеляж ферменный, из хромансилевых труб. Коробка крыльев деревянная с фанерной неработающей обшивкой.</w:t>
      </w:r>
    </w:p>
    <w:p w14:paraId="555976C6"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Расчет самолета на прочность производится на полетный вес 2050 кг. Фактический полетный вес оказался 2287 кг, а если учесть, что будет установлен мотор редукторный, то это еще увеличит вес на 50-70 кг.</w:t>
      </w:r>
    </w:p>
    <w:p w14:paraId="642E7EF7" w14:textId="77777777" w:rsidR="00A25AD1" w:rsidRPr="00DB5D0D" w:rsidRDefault="00A25AD1" w:rsidP="00DB5D0D">
      <w:pPr>
        <w:pStyle w:val="a3"/>
        <w:widowControl/>
        <w:rPr>
          <w:color w:val="000000" w:themeColor="text1"/>
          <w:lang w:val="ru-RU"/>
        </w:rPr>
      </w:pPr>
      <w:r w:rsidRPr="00DB5D0D">
        <w:rPr>
          <w:color w:val="000000" w:themeColor="text1"/>
          <w:lang w:val="ru-RU"/>
        </w:rPr>
        <w:t>Таким образом, фюзеляж придется усилить, так как даже при полетном весе 2050 кг, фюзеляж выдержал на статиспытания 91%.</w:t>
      </w:r>
    </w:p>
    <w:p w14:paraId="66C9BF4A" w14:textId="77777777" w:rsidR="00A25AD1" w:rsidRPr="00DB5D0D" w:rsidRDefault="00A25AD1" w:rsidP="00DB5D0D">
      <w:pPr>
        <w:pStyle w:val="a3"/>
        <w:widowControl/>
        <w:rPr>
          <w:color w:val="000000" w:themeColor="text1"/>
          <w:lang w:val="ru-RU"/>
        </w:rPr>
      </w:pPr>
      <w:r w:rsidRPr="00DB5D0D">
        <w:rPr>
          <w:color w:val="000000" w:themeColor="text1"/>
          <w:lang w:val="ru-RU"/>
        </w:rPr>
        <w:t>(в/инженер 1 ранга Никитченко) (3377, 50).</w:t>
      </w:r>
    </w:p>
    <w:p w14:paraId="64BC79DC" w14:textId="77777777" w:rsidR="00A25AD1" w:rsidRPr="00DB5D0D" w:rsidRDefault="00A25AD1" w:rsidP="00DB5D0D">
      <w:pPr>
        <w:pStyle w:val="a3"/>
        <w:widowControl/>
        <w:rPr>
          <w:color w:val="000000" w:themeColor="text1"/>
          <w:lang w:val="ru-RU"/>
        </w:rPr>
      </w:pPr>
      <w:r w:rsidRPr="00DB5D0D">
        <w:rPr>
          <w:color w:val="000000" w:themeColor="text1"/>
          <w:lang w:val="ru-RU"/>
        </w:rPr>
        <w:t>Краткая характеристика самолета "К" М-105п конструкции Горбунова, Лавочкина, Гудкова производства завода № 301</w:t>
      </w:r>
    </w:p>
    <w:p w14:paraId="2D9BD00E" w14:textId="77777777" w:rsidR="00A25AD1" w:rsidRPr="00DB5D0D" w:rsidRDefault="00A25AD1" w:rsidP="00DB5D0D">
      <w:pPr>
        <w:pStyle w:val="a3"/>
        <w:widowControl/>
        <w:rPr>
          <w:color w:val="000000" w:themeColor="text1"/>
          <w:lang w:val="ru-RU"/>
        </w:rPr>
      </w:pPr>
      <w:r w:rsidRPr="00DB5D0D">
        <w:rPr>
          <w:color w:val="000000" w:themeColor="text1"/>
          <w:lang w:val="ru-RU"/>
        </w:rPr>
        <w:t>По результатам заводских испытаний</w:t>
      </w:r>
    </w:p>
    <w:p w14:paraId="4D89687A"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Летные данные:</w:t>
      </w:r>
    </w:p>
    <w:p w14:paraId="2B79DD6C" w14:textId="77777777" w:rsidR="00A25AD1" w:rsidRPr="00DB5D0D" w:rsidRDefault="00A25AD1" w:rsidP="00DB5D0D">
      <w:pPr>
        <w:pStyle w:val="a3"/>
        <w:widowControl/>
        <w:rPr>
          <w:color w:val="000000" w:themeColor="text1"/>
          <w:lang w:val="ru-RU"/>
        </w:rPr>
      </w:pPr>
      <w:r w:rsidRPr="00DB5D0D">
        <w:rPr>
          <w:color w:val="000000" w:themeColor="text1"/>
          <w:lang w:val="ru-RU"/>
        </w:rPr>
        <w:t>Летные данные, полученные без фонаря над головой летчика и со тсарой схемой всасывания воздуха в карбюратор:</w:t>
      </w:r>
    </w:p>
    <w:p w14:paraId="7D304E8C" w14:textId="77777777" w:rsidR="00A25AD1" w:rsidRPr="00DB5D0D" w:rsidRDefault="00A25AD1" w:rsidP="00DB5D0D">
      <w:pPr>
        <w:pStyle w:val="a3"/>
        <w:widowControl/>
        <w:rPr>
          <w:color w:val="000000" w:themeColor="text1"/>
          <w:lang w:val="ru-RU"/>
        </w:rPr>
      </w:pPr>
      <w:r w:rsidRPr="00DB5D0D">
        <w:rPr>
          <w:color w:val="000000" w:themeColor="text1"/>
          <w:lang w:val="ru-RU"/>
        </w:rPr>
        <w:t>Максимальная скорость у земли – 503 км/час</w:t>
      </w:r>
    </w:p>
    <w:p w14:paraId="41425AA7" w14:textId="77777777" w:rsidR="00A25AD1" w:rsidRPr="00DB5D0D" w:rsidRDefault="00A25AD1" w:rsidP="00DB5D0D">
      <w:pPr>
        <w:pStyle w:val="a3"/>
        <w:widowControl/>
        <w:rPr>
          <w:color w:val="000000" w:themeColor="text1"/>
          <w:lang w:val="ru-RU"/>
        </w:rPr>
      </w:pPr>
      <w:r w:rsidRPr="00DB5D0D">
        <w:rPr>
          <w:color w:val="000000" w:themeColor="text1"/>
          <w:lang w:val="ru-RU"/>
        </w:rPr>
        <w:t>Максимальная скорость на 4430 м – 583 км/час</w:t>
      </w:r>
    </w:p>
    <w:p w14:paraId="299C9402"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подъема на высоту 5000 м – 5,52 мин.</w:t>
      </w:r>
    </w:p>
    <w:p w14:paraId="76E6D44F" w14:textId="77777777" w:rsidR="00A25AD1" w:rsidRPr="00DB5D0D" w:rsidRDefault="00A25AD1" w:rsidP="00DB5D0D">
      <w:pPr>
        <w:pStyle w:val="a3"/>
        <w:widowControl/>
        <w:rPr>
          <w:color w:val="000000" w:themeColor="text1"/>
          <w:lang w:val="ru-RU"/>
        </w:rPr>
      </w:pPr>
      <w:r w:rsidRPr="00DB5D0D">
        <w:rPr>
          <w:color w:val="000000" w:themeColor="text1"/>
          <w:lang w:val="ru-RU"/>
        </w:rPr>
        <w:t>На самолете проработана установка ТК-2. Второй экземпляр самолета будет испытываться с ТК-2. Винтомоторная группа самолета с ТК-2 в настоящее время испытывается на стенде. Установка ТК-2 повысит боевую высоту самолета до 9000 м увеличит максимальную скорость на 50-70 км/час.</w:t>
      </w:r>
    </w:p>
    <w:p w14:paraId="106BD4C3"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Оценка летных свойств:</w:t>
      </w:r>
    </w:p>
    <w:p w14:paraId="13CDEC46" w14:textId="77777777" w:rsidR="00A25AD1" w:rsidRPr="00DB5D0D" w:rsidRDefault="00A25AD1" w:rsidP="00DB5D0D">
      <w:pPr>
        <w:pStyle w:val="a3"/>
        <w:widowControl/>
        <w:rPr>
          <w:color w:val="000000" w:themeColor="text1"/>
          <w:lang w:val="ru-RU"/>
        </w:rPr>
      </w:pPr>
      <w:r w:rsidRPr="00DB5D0D">
        <w:rPr>
          <w:color w:val="000000" w:themeColor="text1"/>
          <w:lang w:val="ru-RU"/>
        </w:rPr>
        <w:t>а) управляемость хорошая;</w:t>
      </w:r>
    </w:p>
    <w:p w14:paraId="5DEDEC14" w14:textId="77777777" w:rsidR="00A25AD1" w:rsidRPr="00DB5D0D" w:rsidRDefault="00A25AD1" w:rsidP="00DB5D0D">
      <w:pPr>
        <w:pStyle w:val="a3"/>
        <w:widowControl/>
        <w:rPr>
          <w:color w:val="000000" w:themeColor="text1"/>
          <w:lang w:val="ru-RU"/>
        </w:rPr>
      </w:pPr>
      <w:r w:rsidRPr="00DB5D0D">
        <w:rPr>
          <w:color w:val="000000" w:themeColor="text1"/>
          <w:lang w:val="ru-RU"/>
        </w:rPr>
        <w:t>б) устойчивость –</w:t>
      </w:r>
    </w:p>
    <w:p w14:paraId="0B86B361" w14:textId="77777777" w:rsidR="00A25AD1" w:rsidRPr="00DB5D0D" w:rsidRDefault="00A25AD1" w:rsidP="00DB5D0D">
      <w:pPr>
        <w:pStyle w:val="a3"/>
        <w:widowControl/>
        <w:rPr>
          <w:color w:val="000000" w:themeColor="text1"/>
          <w:lang w:val="ru-RU"/>
        </w:rPr>
      </w:pPr>
      <w:r w:rsidRPr="00DB5D0D">
        <w:rPr>
          <w:color w:val="000000" w:themeColor="text1"/>
          <w:lang w:val="ru-RU"/>
        </w:rPr>
        <w:t>Самолет обладает хорошей устойчивостью относительно всех осей. На самолете возможен полет с брошенным управлением. По технике пилотирования самолет доступен для летчиков средней квалификации.</w:t>
      </w:r>
    </w:p>
    <w:p w14:paraId="499C4A3C" w14:textId="77777777" w:rsidR="00A25AD1" w:rsidRPr="00DB5D0D" w:rsidRDefault="00A25AD1" w:rsidP="00DB5D0D">
      <w:pPr>
        <w:pStyle w:val="a3"/>
        <w:widowControl/>
        <w:rPr>
          <w:color w:val="000000" w:themeColor="text1"/>
          <w:lang w:val="ru-RU"/>
        </w:rPr>
      </w:pPr>
      <w:r w:rsidRPr="00DB5D0D">
        <w:rPr>
          <w:color w:val="000000" w:themeColor="text1"/>
          <w:lang w:val="ru-RU"/>
        </w:rPr>
        <w:t>в) обзор хороший,</w:t>
      </w:r>
    </w:p>
    <w:p w14:paraId="0BD8A9E8" w14:textId="77777777" w:rsidR="00A25AD1" w:rsidRPr="00DB5D0D" w:rsidRDefault="00A25AD1" w:rsidP="00DB5D0D">
      <w:pPr>
        <w:pStyle w:val="a3"/>
        <w:widowControl/>
        <w:rPr>
          <w:color w:val="000000" w:themeColor="text1"/>
          <w:lang w:val="ru-RU"/>
        </w:rPr>
      </w:pPr>
      <w:r w:rsidRPr="00DB5D0D">
        <w:rPr>
          <w:color w:val="000000" w:themeColor="text1"/>
          <w:lang w:val="ru-RU"/>
        </w:rPr>
        <w:t>г) маневренность:</w:t>
      </w:r>
    </w:p>
    <w:p w14:paraId="11FACF0C" w14:textId="77777777" w:rsidR="00A25AD1" w:rsidRPr="00DB5D0D" w:rsidRDefault="00A25AD1" w:rsidP="00DB5D0D">
      <w:pPr>
        <w:pStyle w:val="a3"/>
        <w:widowControl/>
        <w:rPr>
          <w:color w:val="000000" w:themeColor="text1"/>
          <w:lang w:val="ru-RU"/>
        </w:rPr>
      </w:pPr>
      <w:r w:rsidRPr="00DB5D0D">
        <w:rPr>
          <w:color w:val="000000" w:themeColor="text1"/>
          <w:lang w:val="ru-RU"/>
        </w:rPr>
        <w:t>маневренность у самолета хорошая.</w:t>
      </w:r>
    </w:p>
    <w:p w14:paraId="5DE5C7D0"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виража на высоте 4500 м – 28-30 сек.</w:t>
      </w:r>
    </w:p>
    <w:p w14:paraId="532F6934"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петли на высоте 4500 м – 30 сек.</w:t>
      </w:r>
    </w:p>
    <w:p w14:paraId="5CE3C648"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одинарного переворота – 15 сек.</w:t>
      </w:r>
    </w:p>
    <w:p w14:paraId="293AA28E"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боевого разворота – 20 сек. с набором высоты 1000-1200 м</w:t>
      </w:r>
    </w:p>
    <w:p w14:paraId="497AF8BA" w14:textId="77777777" w:rsidR="00A25AD1" w:rsidRPr="00DB5D0D" w:rsidRDefault="00A25AD1" w:rsidP="00DB5D0D">
      <w:pPr>
        <w:pStyle w:val="a3"/>
        <w:widowControl/>
        <w:rPr>
          <w:color w:val="000000" w:themeColor="text1"/>
          <w:lang w:val="ru-RU"/>
        </w:rPr>
      </w:pPr>
      <w:r w:rsidRPr="00DB5D0D">
        <w:rPr>
          <w:color w:val="000000" w:themeColor="text1"/>
          <w:lang w:val="ru-RU"/>
        </w:rPr>
        <w:t>д) взлетно-посадочные данные:</w:t>
      </w:r>
    </w:p>
    <w:p w14:paraId="0DA4DAEE" w14:textId="77777777" w:rsidR="00A25AD1" w:rsidRPr="00DB5D0D" w:rsidRDefault="00A25AD1" w:rsidP="00DB5D0D">
      <w:pPr>
        <w:pStyle w:val="a3"/>
        <w:widowControl/>
        <w:rPr>
          <w:color w:val="000000" w:themeColor="text1"/>
          <w:lang w:val="ru-RU"/>
        </w:rPr>
      </w:pPr>
      <w:r w:rsidRPr="00DB5D0D">
        <w:rPr>
          <w:color w:val="000000" w:themeColor="text1"/>
          <w:lang w:val="ru-RU"/>
        </w:rPr>
        <w:t>на взлете и посадке – самолет прост</w:t>
      </w:r>
    </w:p>
    <w:p w14:paraId="086F8A65" w14:textId="77777777" w:rsidR="00A25AD1" w:rsidRPr="00DB5D0D" w:rsidRDefault="00A25AD1" w:rsidP="00DB5D0D">
      <w:pPr>
        <w:pStyle w:val="a3"/>
        <w:widowControl/>
        <w:rPr>
          <w:color w:val="000000" w:themeColor="text1"/>
          <w:lang w:val="ru-RU"/>
        </w:rPr>
      </w:pPr>
      <w:r w:rsidRPr="00DB5D0D">
        <w:rPr>
          <w:color w:val="000000" w:themeColor="text1"/>
          <w:lang w:val="ru-RU"/>
        </w:rPr>
        <w:t>длина разбега 280-300 м; время 11-12 сек., длина пробега с торм. 200-220 м, время 13-14 сек.</w:t>
      </w:r>
    </w:p>
    <w:p w14:paraId="3A1D056E"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Характеристика и состояние вооружения:</w:t>
      </w:r>
    </w:p>
    <w:p w14:paraId="06662468" w14:textId="77777777" w:rsidR="00A25AD1" w:rsidRPr="00DB5D0D" w:rsidRDefault="00A25AD1" w:rsidP="00DB5D0D">
      <w:pPr>
        <w:pStyle w:val="a3"/>
        <w:widowControl/>
        <w:rPr>
          <w:color w:val="000000" w:themeColor="text1"/>
          <w:lang w:val="ru-RU"/>
        </w:rPr>
      </w:pPr>
      <w:r w:rsidRPr="00DB5D0D">
        <w:rPr>
          <w:color w:val="000000" w:themeColor="text1"/>
          <w:lang w:val="ru-RU"/>
        </w:rPr>
        <w:t>На самолете устанавливается следующее вооружение:</w:t>
      </w:r>
    </w:p>
    <w:p w14:paraId="178F5C49" w14:textId="77777777" w:rsidR="00A25AD1" w:rsidRPr="00DB5D0D" w:rsidRDefault="00A25AD1" w:rsidP="00DB5D0D">
      <w:pPr>
        <w:pStyle w:val="a3"/>
        <w:widowControl/>
        <w:rPr>
          <w:color w:val="000000" w:themeColor="text1"/>
          <w:lang w:val="ru-RU"/>
        </w:rPr>
      </w:pPr>
      <w:r w:rsidRPr="00DB5D0D">
        <w:rPr>
          <w:color w:val="000000" w:themeColor="text1"/>
          <w:lang w:val="ru-RU"/>
        </w:rPr>
        <w:t>Пушка Таубина калибра 23 мм</w:t>
      </w:r>
    </w:p>
    <w:p w14:paraId="71D42054" w14:textId="77777777" w:rsidR="00A25AD1" w:rsidRPr="00DB5D0D" w:rsidRDefault="00A25AD1" w:rsidP="00DB5D0D">
      <w:pPr>
        <w:pStyle w:val="a3"/>
        <w:widowControl/>
        <w:rPr>
          <w:color w:val="000000" w:themeColor="text1"/>
          <w:lang w:val="ru-RU"/>
        </w:rPr>
      </w:pPr>
      <w:r w:rsidRPr="00DB5D0D">
        <w:rPr>
          <w:color w:val="000000" w:themeColor="text1"/>
          <w:lang w:val="ru-RU"/>
        </w:rPr>
        <w:t>2 пулемета Березина</w:t>
      </w:r>
    </w:p>
    <w:p w14:paraId="71E91F1D" w14:textId="77777777" w:rsidR="00A25AD1" w:rsidRPr="00DB5D0D" w:rsidRDefault="00A25AD1" w:rsidP="00DB5D0D">
      <w:pPr>
        <w:pStyle w:val="a3"/>
        <w:widowControl/>
        <w:rPr>
          <w:color w:val="000000" w:themeColor="text1"/>
          <w:lang w:val="ru-RU"/>
        </w:rPr>
      </w:pPr>
      <w:r w:rsidRPr="00DB5D0D">
        <w:rPr>
          <w:color w:val="000000" w:themeColor="text1"/>
          <w:lang w:val="ru-RU"/>
        </w:rPr>
        <w:t>2 пулемета ШКАС</w:t>
      </w:r>
    </w:p>
    <w:p w14:paraId="175B8B42" w14:textId="77777777" w:rsidR="00A25AD1" w:rsidRPr="00DB5D0D" w:rsidRDefault="00A25AD1" w:rsidP="00DB5D0D">
      <w:pPr>
        <w:pStyle w:val="a3"/>
        <w:widowControl/>
        <w:rPr>
          <w:color w:val="000000" w:themeColor="text1"/>
          <w:lang w:val="ru-RU"/>
        </w:rPr>
      </w:pPr>
      <w:r w:rsidRPr="00DB5D0D">
        <w:rPr>
          <w:color w:val="000000" w:themeColor="text1"/>
          <w:lang w:val="ru-RU"/>
        </w:rPr>
        <w:t>Кроме того, на самолете могут быть установлены 8 штук РС-82 и бомбы общим весом до 100 кг.</w:t>
      </w:r>
    </w:p>
    <w:p w14:paraId="2DFA0FDC" w14:textId="77777777" w:rsidR="00A25AD1" w:rsidRPr="00DB5D0D" w:rsidRDefault="00A25AD1" w:rsidP="00DB5D0D">
      <w:pPr>
        <w:pStyle w:val="a3"/>
        <w:widowControl/>
        <w:rPr>
          <w:color w:val="000000" w:themeColor="text1"/>
          <w:lang w:val="ru-RU"/>
        </w:rPr>
      </w:pPr>
      <w:r w:rsidRPr="00DB5D0D">
        <w:rPr>
          <w:color w:val="000000" w:themeColor="text1"/>
          <w:lang w:val="ru-RU"/>
        </w:rPr>
        <w:t>Вооружение самолета смонтировано на спецстенде и отстреливается под наблюдением спецкомиссии от ГУАС (Нырков).</w:t>
      </w:r>
    </w:p>
    <w:p w14:paraId="6D3F3D31" w14:textId="77777777" w:rsidR="00A25AD1" w:rsidRPr="00DB5D0D" w:rsidRDefault="00A25AD1" w:rsidP="00DB5D0D">
      <w:pPr>
        <w:pStyle w:val="a3"/>
        <w:widowControl/>
        <w:rPr>
          <w:color w:val="000000" w:themeColor="text1"/>
          <w:lang w:val="ru-RU"/>
        </w:rPr>
      </w:pPr>
      <w:r w:rsidRPr="00DB5D0D">
        <w:rPr>
          <w:color w:val="000000" w:themeColor="text1"/>
          <w:lang w:val="ru-RU"/>
        </w:rPr>
        <w:t>Пушечное вооружение уже отработано и установлено на самолет для отстрела в воздухе.</w:t>
      </w:r>
    </w:p>
    <w:p w14:paraId="2E1B6B93"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Оценка эксплуатационных данных</w:t>
      </w:r>
    </w:p>
    <w:p w14:paraId="6CFABA18" w14:textId="77777777" w:rsidR="00A25AD1" w:rsidRPr="00DB5D0D" w:rsidRDefault="00A25AD1" w:rsidP="00DB5D0D">
      <w:pPr>
        <w:pStyle w:val="a3"/>
        <w:widowControl/>
        <w:rPr>
          <w:color w:val="000000" w:themeColor="text1"/>
          <w:lang w:val="ru-RU"/>
        </w:rPr>
      </w:pPr>
      <w:r w:rsidRPr="00DB5D0D">
        <w:rPr>
          <w:color w:val="000000" w:themeColor="text1"/>
          <w:lang w:val="ru-RU"/>
        </w:rPr>
        <w:t>В эксплуатации самолет прост. Самолет легко и быстро разбирается для транспортировки его по ж/д при снятых консолях крыльев может транспортироваться на собственном ходу.</w:t>
      </w:r>
    </w:p>
    <w:p w14:paraId="69C226CC"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Материал конструкции</w:t>
      </w:r>
    </w:p>
    <w:p w14:paraId="58575885" w14:textId="77777777" w:rsidR="00A25AD1" w:rsidRPr="00DB5D0D" w:rsidRDefault="00A25AD1" w:rsidP="00DB5D0D">
      <w:pPr>
        <w:pStyle w:val="a3"/>
        <w:widowControl/>
        <w:rPr>
          <w:color w:val="000000" w:themeColor="text1"/>
          <w:lang w:val="ru-RU"/>
        </w:rPr>
      </w:pPr>
      <w:r w:rsidRPr="00DB5D0D">
        <w:rPr>
          <w:color w:val="000000" w:themeColor="text1"/>
          <w:lang w:val="ru-RU"/>
        </w:rPr>
        <w:t>Самолет цельнодеревянной конструкции. Ответственные элементы изготовлены из прессованной древесины. Покрытие самолета высокого качества по отделке – стойкое и не сложное в производстве.</w:t>
      </w:r>
    </w:p>
    <w:p w14:paraId="29EBBC30"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Оценка технологии производства.</w:t>
      </w:r>
    </w:p>
    <w:p w14:paraId="539F370E" w14:textId="77777777" w:rsidR="00A25AD1" w:rsidRPr="00DB5D0D" w:rsidRDefault="00A25AD1" w:rsidP="00DB5D0D">
      <w:pPr>
        <w:pStyle w:val="a3"/>
        <w:widowControl/>
        <w:rPr>
          <w:color w:val="000000" w:themeColor="text1"/>
          <w:lang w:val="ru-RU"/>
        </w:rPr>
      </w:pPr>
      <w:r w:rsidRPr="00DB5D0D">
        <w:rPr>
          <w:color w:val="000000" w:themeColor="text1"/>
          <w:lang w:val="ru-RU"/>
        </w:rPr>
        <w:t>Технология производства самолета проста и не требует сложного оборудования. Основной материал конструкции – дерево.</w:t>
      </w:r>
    </w:p>
    <w:p w14:paraId="1E100814"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Заключение по статиспытаниям агрегатов самолета</w:t>
      </w:r>
    </w:p>
    <w:p w14:paraId="6812A1A2" w14:textId="77777777" w:rsidR="00A25AD1" w:rsidRPr="00DB5D0D" w:rsidRDefault="00A25AD1" w:rsidP="00DB5D0D">
      <w:pPr>
        <w:pStyle w:val="a3"/>
        <w:widowControl/>
        <w:rPr>
          <w:color w:val="000000" w:themeColor="text1"/>
          <w:lang w:val="ru-RU"/>
        </w:rPr>
      </w:pPr>
      <w:r w:rsidRPr="00DB5D0D">
        <w:rPr>
          <w:color w:val="000000" w:themeColor="text1"/>
          <w:lang w:val="ru-RU"/>
        </w:rPr>
        <w:t>Статиспытания самолет прошел вполне удовлетворительно.</w:t>
      </w:r>
    </w:p>
    <w:p w14:paraId="2DCFB0CC" w14:textId="77777777" w:rsidR="00A25AD1" w:rsidRPr="00DB5D0D" w:rsidRDefault="00A25AD1" w:rsidP="00DB5D0D">
      <w:pPr>
        <w:pStyle w:val="a3"/>
        <w:widowControl/>
        <w:rPr>
          <w:color w:val="000000" w:themeColor="text1"/>
          <w:lang w:val="ru-RU"/>
        </w:rPr>
      </w:pPr>
      <w:r w:rsidRPr="00DB5D0D">
        <w:rPr>
          <w:color w:val="000000" w:themeColor="text1"/>
          <w:lang w:val="ru-RU"/>
        </w:rPr>
        <w:t>(Летчик-испытатель в/инженер 1 ранга Никашин, ведущий инженер в/инженер 3 ранга Таракановский) (3377, 51-52).</w:t>
      </w:r>
    </w:p>
    <w:p w14:paraId="13BE5FFF" w14:textId="77777777" w:rsidR="00A25AD1" w:rsidRPr="00DB5D0D" w:rsidRDefault="00A25AD1" w:rsidP="00DB5D0D">
      <w:pPr>
        <w:pStyle w:val="a3"/>
        <w:widowControl/>
        <w:rPr>
          <w:color w:val="000000" w:themeColor="text1"/>
          <w:lang w:val="ru-RU"/>
        </w:rPr>
      </w:pPr>
      <w:r w:rsidRPr="00DB5D0D">
        <w:rPr>
          <w:color w:val="000000" w:themeColor="text1"/>
          <w:lang w:val="ru-RU"/>
        </w:rPr>
        <w:t>Краткая характеристика самолета И-200 АМ-35А конструкции Микояна, производства завода № 1</w:t>
      </w:r>
    </w:p>
    <w:p w14:paraId="097583F8"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Фактически полученные летные данные по заводским испытаниям:</w:t>
      </w:r>
    </w:p>
    <w:p w14:paraId="7C547BC2" w14:textId="77777777" w:rsidR="00A25AD1" w:rsidRPr="00DB5D0D" w:rsidRDefault="00A25AD1" w:rsidP="00DB5D0D">
      <w:pPr>
        <w:pStyle w:val="a3"/>
        <w:widowControl/>
        <w:rPr>
          <w:color w:val="000000" w:themeColor="text1"/>
          <w:lang w:val="ru-RU"/>
        </w:rPr>
      </w:pPr>
      <w:r w:rsidRPr="00DB5D0D">
        <w:rPr>
          <w:color w:val="000000" w:themeColor="text1"/>
          <w:lang w:val="ru-RU"/>
        </w:rPr>
        <w:t>Длина пробега с тормозами и щитками – 350 м</w:t>
      </w:r>
    </w:p>
    <w:p w14:paraId="501CCA4C"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 19 сек.</w:t>
      </w:r>
    </w:p>
    <w:p w14:paraId="7B899328" w14:textId="77777777" w:rsidR="00A25AD1" w:rsidRPr="00DB5D0D" w:rsidRDefault="00A25AD1" w:rsidP="00DB5D0D">
      <w:pPr>
        <w:pStyle w:val="a3"/>
        <w:widowControl/>
        <w:rPr>
          <w:color w:val="000000" w:themeColor="text1"/>
          <w:lang w:val="ru-RU"/>
        </w:rPr>
      </w:pPr>
      <w:r w:rsidRPr="00DB5D0D">
        <w:rPr>
          <w:color w:val="000000" w:themeColor="text1"/>
          <w:lang w:val="ru-RU"/>
        </w:rPr>
        <w:t>Длина разбега – 230 м</w:t>
      </w:r>
    </w:p>
    <w:p w14:paraId="67DF65A8"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 7,9 сек.</w:t>
      </w:r>
    </w:p>
    <w:p w14:paraId="004BCF41" w14:textId="77777777" w:rsidR="00A25AD1" w:rsidRPr="00DB5D0D" w:rsidRDefault="00A25AD1" w:rsidP="00DB5D0D">
      <w:pPr>
        <w:pStyle w:val="a3"/>
        <w:widowControl/>
        <w:rPr>
          <w:color w:val="000000" w:themeColor="text1"/>
          <w:lang w:val="ru-RU"/>
        </w:rPr>
      </w:pPr>
      <w:r w:rsidRPr="00DB5D0D">
        <w:rPr>
          <w:color w:val="000000" w:themeColor="text1"/>
          <w:lang w:val="ru-RU"/>
        </w:rPr>
        <w:lastRenderedPageBreak/>
        <w:t>V max Н-6800 м – 650 км/час</w:t>
      </w:r>
    </w:p>
    <w:p w14:paraId="775A8F55" w14:textId="77777777" w:rsidR="00A25AD1" w:rsidRPr="00DB5D0D" w:rsidRDefault="00A25AD1" w:rsidP="00DB5D0D">
      <w:pPr>
        <w:pStyle w:val="a3"/>
        <w:widowControl/>
        <w:rPr>
          <w:color w:val="000000" w:themeColor="text1"/>
          <w:lang w:val="ru-RU"/>
        </w:rPr>
      </w:pPr>
      <w:r w:rsidRPr="00DB5D0D">
        <w:rPr>
          <w:color w:val="000000" w:themeColor="text1"/>
          <w:lang w:val="ru-RU"/>
        </w:rPr>
        <w:t>V max Н-0 – 508 км/час</w:t>
      </w:r>
    </w:p>
    <w:p w14:paraId="68399BDA" w14:textId="77777777" w:rsidR="00A25AD1" w:rsidRPr="00DB5D0D" w:rsidRDefault="00A25AD1" w:rsidP="00DB5D0D">
      <w:pPr>
        <w:pStyle w:val="a3"/>
        <w:widowControl/>
        <w:rPr>
          <w:color w:val="000000" w:themeColor="text1"/>
          <w:lang w:val="ru-RU"/>
        </w:rPr>
      </w:pPr>
      <w:r w:rsidRPr="00DB5D0D">
        <w:rPr>
          <w:color w:val="000000" w:themeColor="text1"/>
          <w:lang w:val="ru-RU"/>
        </w:rPr>
        <w:t>V посадочная – 140-145 км/час</w:t>
      </w:r>
    </w:p>
    <w:p w14:paraId="051CD8AF"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Оценка летных свойств:</w:t>
      </w:r>
    </w:p>
    <w:p w14:paraId="3EB166EC" w14:textId="77777777" w:rsidR="00A25AD1" w:rsidRPr="00DB5D0D" w:rsidRDefault="00A25AD1" w:rsidP="00DB5D0D">
      <w:pPr>
        <w:pStyle w:val="a3"/>
        <w:widowControl/>
        <w:rPr>
          <w:color w:val="000000" w:themeColor="text1"/>
          <w:lang w:val="ru-RU"/>
        </w:rPr>
      </w:pPr>
      <w:r w:rsidRPr="00DB5D0D">
        <w:rPr>
          <w:color w:val="000000" w:themeColor="text1"/>
          <w:lang w:val="ru-RU"/>
        </w:rPr>
        <w:t>а) управляемость хорошая,</w:t>
      </w:r>
    </w:p>
    <w:p w14:paraId="36C6522A" w14:textId="77777777" w:rsidR="00A25AD1" w:rsidRPr="00DB5D0D" w:rsidRDefault="00A25AD1" w:rsidP="00DB5D0D">
      <w:pPr>
        <w:pStyle w:val="a3"/>
        <w:widowControl/>
        <w:rPr>
          <w:color w:val="000000" w:themeColor="text1"/>
          <w:lang w:val="ru-RU"/>
        </w:rPr>
      </w:pPr>
      <w:r w:rsidRPr="00DB5D0D">
        <w:rPr>
          <w:color w:val="000000" w:themeColor="text1"/>
          <w:lang w:val="ru-RU"/>
        </w:rPr>
        <w:t>б) по оценке летчика устойчивость во всех трех измерениях удовлетворительная,</w:t>
      </w:r>
    </w:p>
    <w:p w14:paraId="714AD458" w14:textId="77777777" w:rsidR="00A25AD1" w:rsidRPr="00DB5D0D" w:rsidRDefault="00A25AD1" w:rsidP="00DB5D0D">
      <w:pPr>
        <w:pStyle w:val="a3"/>
        <w:widowControl/>
        <w:rPr>
          <w:color w:val="000000" w:themeColor="text1"/>
          <w:lang w:val="ru-RU"/>
        </w:rPr>
      </w:pPr>
      <w:r w:rsidRPr="00DB5D0D">
        <w:rPr>
          <w:color w:val="000000" w:themeColor="text1"/>
          <w:lang w:val="ru-RU"/>
        </w:rPr>
        <w:t>в) обзор плохой из-за больших искажений вносимых овальной поверхностью козырька,</w:t>
      </w:r>
    </w:p>
    <w:p w14:paraId="5EC131EC" w14:textId="77777777" w:rsidR="00A25AD1" w:rsidRPr="00DB5D0D" w:rsidRDefault="00A25AD1" w:rsidP="00DB5D0D">
      <w:pPr>
        <w:pStyle w:val="a3"/>
        <w:widowControl/>
        <w:rPr>
          <w:color w:val="000000" w:themeColor="text1"/>
          <w:lang w:val="ru-RU"/>
        </w:rPr>
      </w:pPr>
      <w:r w:rsidRPr="00DB5D0D">
        <w:rPr>
          <w:color w:val="000000" w:themeColor="text1"/>
          <w:lang w:val="ru-RU"/>
        </w:rPr>
        <w:t>г) из-за ненормальной работы карбюратора полеты на маневренность не производились.</w:t>
      </w:r>
    </w:p>
    <w:p w14:paraId="34A5119D"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На самолете установлено 2 пулемета ШКАС и 1 пулемет Березина. Произведен отстрел пулеметов в тире.</w:t>
      </w:r>
    </w:p>
    <w:p w14:paraId="3BA17692" w14:textId="77777777" w:rsidR="00A25AD1" w:rsidRPr="00DB5D0D" w:rsidRDefault="00A25AD1" w:rsidP="00DB5D0D">
      <w:pPr>
        <w:pStyle w:val="a3"/>
        <w:widowControl/>
        <w:rPr>
          <w:color w:val="000000" w:themeColor="text1"/>
          <w:lang w:val="ru-RU"/>
        </w:rPr>
      </w:pPr>
      <w:r w:rsidRPr="00DB5D0D">
        <w:rPr>
          <w:color w:val="000000" w:themeColor="text1"/>
          <w:lang w:val="ru-RU"/>
        </w:rPr>
        <w:t>В воздухе отстрел пулеметов не производился. Пулеметы расположены в развале мотора, стреляют через винт.</w:t>
      </w:r>
    </w:p>
    <w:p w14:paraId="3C4EA445"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Эксплуатация самолета еще не выявлена. Винтомоторная группа еще не доведена.</w:t>
      </w:r>
    </w:p>
    <w:p w14:paraId="3000ADC1" w14:textId="77777777" w:rsidR="00A25AD1" w:rsidRPr="00DB5D0D" w:rsidRDefault="00A25AD1" w:rsidP="00DB5D0D">
      <w:pPr>
        <w:pStyle w:val="a3"/>
        <w:widowControl/>
        <w:rPr>
          <w:color w:val="000000" w:themeColor="text1"/>
          <w:lang w:val="ru-RU"/>
        </w:rPr>
      </w:pPr>
      <w:r w:rsidRPr="00DB5D0D">
        <w:rPr>
          <w:color w:val="000000" w:themeColor="text1"/>
          <w:lang w:val="ru-RU"/>
        </w:rPr>
        <w:t>Температура масла – 90-95/112 градусов</w:t>
      </w:r>
    </w:p>
    <w:p w14:paraId="251691EB" w14:textId="77777777" w:rsidR="00A25AD1" w:rsidRPr="00DB5D0D" w:rsidRDefault="00A25AD1" w:rsidP="00DB5D0D">
      <w:pPr>
        <w:pStyle w:val="a3"/>
        <w:widowControl/>
        <w:rPr>
          <w:color w:val="000000" w:themeColor="text1"/>
          <w:lang w:val="ru-RU"/>
        </w:rPr>
      </w:pPr>
      <w:r w:rsidRPr="00DB5D0D">
        <w:rPr>
          <w:color w:val="000000" w:themeColor="text1"/>
          <w:lang w:val="ru-RU"/>
        </w:rPr>
        <w:t>Температура воды – 100-125 градусов</w:t>
      </w:r>
    </w:p>
    <w:p w14:paraId="6DE89ED0" w14:textId="77777777" w:rsidR="00A25AD1" w:rsidRPr="00DB5D0D" w:rsidRDefault="00A25AD1" w:rsidP="00DB5D0D">
      <w:pPr>
        <w:pStyle w:val="a3"/>
        <w:widowControl/>
        <w:rPr>
          <w:color w:val="000000" w:themeColor="text1"/>
          <w:lang w:val="ru-RU"/>
        </w:rPr>
      </w:pPr>
      <w:r w:rsidRPr="00DB5D0D">
        <w:rPr>
          <w:color w:val="000000" w:themeColor="text1"/>
          <w:lang w:val="ru-RU"/>
        </w:rPr>
        <w:t>Одиннадцать раз меняли водяной радиатор, все время лопаются по обичайке. Производится усиление радиатора, Подход к мотору удовлетворительный. При установке прототипа мотора АМ-37 затруднен подход к редукционному клапану масляной помпы.</w:t>
      </w:r>
    </w:p>
    <w:p w14:paraId="1021857B"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Конструкция самолета смешанная. Носовая часть фюзеляжа и центроплан металлические, а консоли и хвостовая часть фюзеляжа деревянные (дельта древесина).</w:t>
      </w:r>
    </w:p>
    <w:p w14:paraId="710A7328"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С точки зрения производства самолет трудностей не представляет. Самолет может строиться как с деревянными, так и металлическими крыльями.</w:t>
      </w:r>
    </w:p>
    <w:p w14:paraId="38F0BD91"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Статиспытания все агрегаты прошли удовлетворительно, расчет производился на полетный вес 3000 кг, а фактически полетный вес 2988 кг.</w:t>
      </w:r>
    </w:p>
    <w:p w14:paraId="06A53D38" w14:textId="77777777" w:rsidR="00A25AD1" w:rsidRPr="00DB5D0D" w:rsidRDefault="00A25AD1" w:rsidP="00DB5D0D">
      <w:pPr>
        <w:pStyle w:val="a3"/>
        <w:widowControl/>
        <w:rPr>
          <w:color w:val="000000" w:themeColor="text1"/>
          <w:lang w:val="ru-RU"/>
        </w:rPr>
      </w:pPr>
      <w:r w:rsidRPr="00DB5D0D">
        <w:rPr>
          <w:color w:val="000000" w:themeColor="text1"/>
          <w:lang w:val="ru-RU"/>
        </w:rPr>
        <w:t>Металлический лонжерон выдержал – 150%</w:t>
      </w:r>
    </w:p>
    <w:p w14:paraId="0C2A4325" w14:textId="77777777" w:rsidR="00A25AD1" w:rsidRPr="00DB5D0D" w:rsidRDefault="00A25AD1" w:rsidP="00DB5D0D">
      <w:pPr>
        <w:pStyle w:val="a3"/>
        <w:widowControl/>
        <w:rPr>
          <w:color w:val="000000" w:themeColor="text1"/>
          <w:lang w:val="ru-RU"/>
        </w:rPr>
      </w:pPr>
      <w:r w:rsidRPr="00DB5D0D">
        <w:rPr>
          <w:color w:val="000000" w:themeColor="text1"/>
          <w:lang w:val="ru-RU"/>
        </w:rPr>
        <w:t>Деревянный лонжерон выдержал – 104%</w:t>
      </w:r>
    </w:p>
    <w:p w14:paraId="4C5EA5F4" w14:textId="77777777" w:rsidR="00A25AD1" w:rsidRPr="00DB5D0D" w:rsidRDefault="00A25AD1" w:rsidP="00DB5D0D">
      <w:pPr>
        <w:pStyle w:val="a3"/>
        <w:widowControl/>
        <w:rPr>
          <w:color w:val="000000" w:themeColor="text1"/>
          <w:lang w:val="ru-RU"/>
        </w:rPr>
      </w:pPr>
      <w:r w:rsidRPr="00DB5D0D">
        <w:rPr>
          <w:color w:val="000000" w:themeColor="text1"/>
          <w:lang w:val="ru-RU"/>
        </w:rPr>
        <w:t>Фюзеляж – 100%</w:t>
      </w:r>
    </w:p>
    <w:p w14:paraId="66114E5D" w14:textId="77777777" w:rsidR="00A25AD1" w:rsidRPr="00DB5D0D" w:rsidRDefault="00A25AD1" w:rsidP="00DB5D0D">
      <w:pPr>
        <w:pStyle w:val="a3"/>
        <w:widowControl/>
        <w:rPr>
          <w:color w:val="000000" w:themeColor="text1"/>
          <w:lang w:val="ru-RU"/>
        </w:rPr>
      </w:pPr>
      <w:r w:rsidRPr="00DB5D0D">
        <w:rPr>
          <w:color w:val="000000" w:themeColor="text1"/>
          <w:lang w:val="ru-RU"/>
        </w:rPr>
        <w:t>Консоль – 109%</w:t>
      </w:r>
    </w:p>
    <w:p w14:paraId="40F845FD" w14:textId="77777777" w:rsidR="00A25AD1" w:rsidRPr="00DB5D0D" w:rsidRDefault="00A25AD1" w:rsidP="00DB5D0D">
      <w:pPr>
        <w:pStyle w:val="a3"/>
        <w:widowControl/>
        <w:rPr>
          <w:color w:val="000000" w:themeColor="text1"/>
          <w:lang w:val="ru-RU"/>
        </w:rPr>
      </w:pPr>
      <w:r w:rsidRPr="00DB5D0D">
        <w:rPr>
          <w:color w:val="000000" w:themeColor="text1"/>
          <w:lang w:val="ru-RU"/>
        </w:rPr>
        <w:t>(в/инженер 1 ранга Никитченко) (3377, 53-54).</w:t>
      </w:r>
    </w:p>
    <w:p w14:paraId="0FA1CC96" w14:textId="77777777" w:rsidR="00A25AD1" w:rsidRPr="00DB5D0D" w:rsidRDefault="00A25AD1" w:rsidP="00DB5D0D">
      <w:pPr>
        <w:pStyle w:val="a3"/>
        <w:widowControl/>
        <w:rPr>
          <w:color w:val="000000" w:themeColor="text1"/>
          <w:lang w:val="ru-RU"/>
        </w:rPr>
      </w:pPr>
      <w:r w:rsidRPr="00DB5D0D">
        <w:rPr>
          <w:color w:val="000000" w:themeColor="text1"/>
          <w:lang w:val="ru-RU"/>
        </w:rPr>
        <w:t>Краткая характеристика самолета ОКО-6 2М-88 б/р конструкции Таирова, производства завода № 43</w:t>
      </w:r>
    </w:p>
    <w:p w14:paraId="4D324985" w14:textId="77777777" w:rsidR="00A25AD1" w:rsidRPr="00DB5D0D" w:rsidRDefault="00A25AD1" w:rsidP="00DB5D0D">
      <w:pPr>
        <w:pStyle w:val="a3"/>
        <w:widowControl/>
        <w:rPr>
          <w:color w:val="000000" w:themeColor="text1"/>
          <w:lang w:val="ru-RU"/>
        </w:rPr>
      </w:pPr>
      <w:r w:rsidRPr="00DB5D0D">
        <w:rPr>
          <w:color w:val="000000" w:themeColor="text1"/>
          <w:lang w:val="ru-RU"/>
        </w:rPr>
        <w:t>(Справка на основе результатов заводских испытаний).</w:t>
      </w:r>
    </w:p>
    <w:p w14:paraId="1D3B418B"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Фактически полученные летные данные при нормальном полетном весе – 4530 кг:</w:t>
      </w:r>
    </w:p>
    <w:p w14:paraId="054E3D41" w14:textId="77777777" w:rsidR="00A25AD1" w:rsidRPr="00DB5D0D" w:rsidRDefault="00A25AD1" w:rsidP="00DB5D0D">
      <w:pPr>
        <w:pStyle w:val="a3"/>
        <w:widowControl/>
        <w:rPr>
          <w:color w:val="000000" w:themeColor="text1"/>
          <w:lang w:val="ru-RU"/>
        </w:rPr>
      </w:pPr>
      <w:r w:rsidRPr="00DB5D0D">
        <w:rPr>
          <w:color w:val="000000" w:themeColor="text1"/>
          <w:lang w:val="ru-RU"/>
        </w:rPr>
        <w:t>V max – 567,5 км/час на Н-7550 м</w:t>
      </w:r>
    </w:p>
    <w:p w14:paraId="25908C3B" w14:textId="77777777" w:rsidR="00A25AD1" w:rsidRPr="00DB5D0D" w:rsidRDefault="00A25AD1" w:rsidP="00DB5D0D">
      <w:pPr>
        <w:pStyle w:val="a3"/>
        <w:widowControl/>
        <w:rPr>
          <w:color w:val="000000" w:themeColor="text1"/>
          <w:lang w:val="ru-RU"/>
        </w:rPr>
      </w:pPr>
      <w:r w:rsidRPr="00DB5D0D">
        <w:rPr>
          <w:color w:val="000000" w:themeColor="text1"/>
          <w:lang w:val="ru-RU"/>
        </w:rPr>
        <w:t>V max – 448 км/час на Н-0 м</w:t>
      </w:r>
    </w:p>
    <w:p w14:paraId="35606DF4"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набора 5000 м – 5,5 мин</w:t>
      </w:r>
    </w:p>
    <w:p w14:paraId="4F66FE29"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набора 8000 м – 10,4 мин.</w:t>
      </w:r>
    </w:p>
    <w:p w14:paraId="3D31408A" w14:textId="77777777" w:rsidR="00A25AD1" w:rsidRPr="00DB5D0D" w:rsidRDefault="00A25AD1" w:rsidP="00DB5D0D">
      <w:pPr>
        <w:pStyle w:val="a3"/>
        <w:widowControl/>
        <w:rPr>
          <w:color w:val="000000" w:themeColor="text1"/>
          <w:lang w:val="ru-RU"/>
        </w:rPr>
      </w:pPr>
      <w:r w:rsidRPr="00DB5D0D">
        <w:rPr>
          <w:color w:val="000000" w:themeColor="text1"/>
          <w:lang w:val="ru-RU"/>
        </w:rPr>
        <w:t>Практический потолок – 11100 м</w:t>
      </w:r>
    </w:p>
    <w:p w14:paraId="2585B937" w14:textId="77777777" w:rsidR="00A25AD1" w:rsidRPr="00DB5D0D" w:rsidRDefault="00A25AD1" w:rsidP="00DB5D0D">
      <w:pPr>
        <w:pStyle w:val="a3"/>
        <w:widowControl/>
        <w:rPr>
          <w:color w:val="000000" w:themeColor="text1"/>
          <w:lang w:val="ru-RU"/>
        </w:rPr>
      </w:pPr>
      <w:r w:rsidRPr="00DB5D0D">
        <w:rPr>
          <w:color w:val="000000" w:themeColor="text1"/>
          <w:lang w:val="ru-RU"/>
        </w:rPr>
        <w:t>Посадочная скорость с закрылками – 150 км/час</w:t>
      </w:r>
    </w:p>
    <w:p w14:paraId="161F269C" w14:textId="77777777" w:rsidR="00A25AD1" w:rsidRPr="00DB5D0D" w:rsidRDefault="00A25AD1" w:rsidP="00DB5D0D">
      <w:pPr>
        <w:pStyle w:val="a3"/>
        <w:widowControl/>
        <w:rPr>
          <w:color w:val="000000" w:themeColor="text1"/>
          <w:lang w:val="ru-RU"/>
        </w:rPr>
      </w:pPr>
      <w:r w:rsidRPr="00DB5D0D">
        <w:rPr>
          <w:color w:val="000000" w:themeColor="text1"/>
          <w:lang w:val="ru-RU"/>
        </w:rPr>
        <w:t>Разбег – 380 м – 15 сек.</w:t>
      </w:r>
    </w:p>
    <w:p w14:paraId="4418E7EB" w14:textId="77777777" w:rsidR="00A25AD1" w:rsidRPr="00DB5D0D" w:rsidRDefault="00A25AD1" w:rsidP="00DB5D0D">
      <w:pPr>
        <w:pStyle w:val="a3"/>
        <w:widowControl/>
        <w:rPr>
          <w:color w:val="000000" w:themeColor="text1"/>
          <w:lang w:val="ru-RU"/>
        </w:rPr>
      </w:pPr>
      <w:r w:rsidRPr="00DB5D0D">
        <w:rPr>
          <w:color w:val="000000" w:themeColor="text1"/>
          <w:lang w:val="ru-RU"/>
        </w:rPr>
        <w:t>Пробег – 470 м – 20 сек.</w:t>
      </w:r>
    </w:p>
    <w:p w14:paraId="0A85F386" w14:textId="77777777" w:rsidR="00A25AD1" w:rsidRPr="00DB5D0D" w:rsidRDefault="00A25AD1" w:rsidP="00DB5D0D">
      <w:pPr>
        <w:pStyle w:val="a3"/>
        <w:widowControl/>
        <w:rPr>
          <w:color w:val="000000" w:themeColor="text1"/>
          <w:lang w:val="ru-RU"/>
        </w:rPr>
      </w:pPr>
      <w:r w:rsidRPr="00DB5D0D">
        <w:rPr>
          <w:color w:val="000000" w:themeColor="text1"/>
          <w:lang w:val="ru-RU"/>
        </w:rPr>
        <w:t>Дальность:</w:t>
      </w:r>
    </w:p>
    <w:p w14:paraId="4FDC044A" w14:textId="77777777" w:rsidR="00A25AD1" w:rsidRPr="00DB5D0D" w:rsidRDefault="00A25AD1" w:rsidP="00DB5D0D">
      <w:pPr>
        <w:pStyle w:val="a3"/>
        <w:widowControl/>
        <w:rPr>
          <w:color w:val="000000" w:themeColor="text1"/>
          <w:lang w:val="ru-RU"/>
        </w:rPr>
      </w:pPr>
      <w:r w:rsidRPr="00DB5D0D">
        <w:rPr>
          <w:color w:val="000000" w:themeColor="text1"/>
          <w:lang w:val="ru-RU"/>
        </w:rPr>
        <w:t>с нормальным запасом горючего – 700 км</w:t>
      </w:r>
    </w:p>
    <w:p w14:paraId="469D75F5" w14:textId="77777777" w:rsidR="00A25AD1" w:rsidRPr="00DB5D0D" w:rsidRDefault="00A25AD1" w:rsidP="00DB5D0D">
      <w:pPr>
        <w:pStyle w:val="a3"/>
        <w:widowControl/>
        <w:rPr>
          <w:color w:val="000000" w:themeColor="text1"/>
          <w:lang w:val="ru-RU"/>
        </w:rPr>
      </w:pPr>
      <w:r w:rsidRPr="00DB5D0D">
        <w:rPr>
          <w:color w:val="000000" w:themeColor="text1"/>
          <w:lang w:val="ru-RU"/>
        </w:rPr>
        <w:t>с дополнительным баком – 1250 км</w:t>
      </w:r>
    </w:p>
    <w:p w14:paraId="21C30123" w14:textId="77777777" w:rsidR="00A25AD1" w:rsidRPr="00DB5D0D" w:rsidRDefault="00A25AD1" w:rsidP="00DB5D0D">
      <w:pPr>
        <w:pStyle w:val="a3"/>
        <w:widowControl/>
        <w:rPr>
          <w:color w:val="000000" w:themeColor="text1"/>
          <w:lang w:val="ru-RU"/>
        </w:rPr>
      </w:pPr>
      <w:r w:rsidRPr="00DB5D0D">
        <w:rPr>
          <w:color w:val="000000" w:themeColor="text1"/>
          <w:lang w:val="ru-RU"/>
        </w:rPr>
        <w:t>С этими летными данными, кроме дальности самолет преимуществ не имеет по сравнению с самолетами И-28 и И-180.</w:t>
      </w:r>
    </w:p>
    <w:p w14:paraId="510F59FB"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Летные свойства.</w:t>
      </w:r>
    </w:p>
    <w:p w14:paraId="54FBC9D9" w14:textId="77777777" w:rsidR="00A25AD1" w:rsidRPr="00DB5D0D" w:rsidRDefault="00A25AD1" w:rsidP="00DB5D0D">
      <w:pPr>
        <w:pStyle w:val="a3"/>
        <w:widowControl/>
        <w:rPr>
          <w:color w:val="000000" w:themeColor="text1"/>
          <w:lang w:val="ru-RU"/>
        </w:rPr>
      </w:pPr>
      <w:r w:rsidRPr="00DB5D0D">
        <w:rPr>
          <w:color w:val="000000" w:themeColor="text1"/>
          <w:lang w:val="ru-RU"/>
        </w:rPr>
        <w:t>а) Управляемость в продольном и поперечном отношении неудовлетворительная (велики усилия на ручке управления).</w:t>
      </w:r>
    </w:p>
    <w:p w14:paraId="5A7B779A" w14:textId="77777777" w:rsidR="00A25AD1" w:rsidRPr="00DB5D0D" w:rsidRDefault="00A25AD1" w:rsidP="00DB5D0D">
      <w:pPr>
        <w:pStyle w:val="a3"/>
        <w:widowControl/>
        <w:rPr>
          <w:color w:val="000000" w:themeColor="text1"/>
          <w:lang w:val="ru-RU"/>
        </w:rPr>
      </w:pPr>
      <w:r w:rsidRPr="00DB5D0D">
        <w:rPr>
          <w:color w:val="000000" w:themeColor="text1"/>
          <w:lang w:val="ru-RU"/>
        </w:rPr>
        <w:t>б) Продольная устойчивость самолета недостаточная, боковая устойчивость хорошая. На пикировании при выводе самолета без моторов развиваются значительные усилия на ручке от руля глубины.</w:t>
      </w:r>
    </w:p>
    <w:p w14:paraId="4DA82CC1" w14:textId="77777777" w:rsidR="00A25AD1" w:rsidRPr="00DB5D0D" w:rsidRDefault="00A25AD1" w:rsidP="00DB5D0D">
      <w:pPr>
        <w:pStyle w:val="a3"/>
        <w:widowControl/>
        <w:rPr>
          <w:color w:val="000000" w:themeColor="text1"/>
          <w:lang w:val="ru-RU"/>
        </w:rPr>
      </w:pPr>
      <w:r w:rsidRPr="00DB5D0D">
        <w:rPr>
          <w:color w:val="000000" w:themeColor="text1"/>
          <w:lang w:val="ru-RU"/>
        </w:rPr>
        <w:t>в) Обзор вперед и в бок удовлетворительный, назад недостаточный.</w:t>
      </w:r>
    </w:p>
    <w:p w14:paraId="47C9D1D6" w14:textId="77777777" w:rsidR="00A25AD1" w:rsidRPr="00DB5D0D" w:rsidRDefault="00A25AD1" w:rsidP="00DB5D0D">
      <w:pPr>
        <w:pStyle w:val="a3"/>
        <w:widowControl/>
        <w:rPr>
          <w:color w:val="000000" w:themeColor="text1"/>
          <w:lang w:val="ru-RU"/>
        </w:rPr>
      </w:pPr>
      <w:r w:rsidRPr="00DB5D0D">
        <w:rPr>
          <w:color w:val="000000" w:themeColor="text1"/>
          <w:lang w:val="ru-RU"/>
        </w:rPr>
        <w:t>г) На фигурах появляются значительные усилия на ручке управления рулем глубины и элеронов.</w:t>
      </w:r>
    </w:p>
    <w:p w14:paraId="2483E3E6" w14:textId="77777777" w:rsidR="00A25AD1" w:rsidRPr="00DB5D0D" w:rsidRDefault="00A25AD1" w:rsidP="00DB5D0D">
      <w:pPr>
        <w:pStyle w:val="a3"/>
        <w:widowControl/>
        <w:rPr>
          <w:color w:val="000000" w:themeColor="text1"/>
          <w:lang w:val="ru-RU"/>
        </w:rPr>
      </w:pPr>
      <w:r w:rsidRPr="00DB5D0D">
        <w:rPr>
          <w:color w:val="000000" w:themeColor="text1"/>
          <w:lang w:val="ru-RU"/>
        </w:rPr>
        <w:t>д) Взлет простой. Посадочную скорость необходимо уменьшить.</w:t>
      </w:r>
    </w:p>
    <w:p w14:paraId="72CAAA45" w14:textId="77777777" w:rsidR="00A25AD1" w:rsidRPr="00DB5D0D" w:rsidRDefault="00A25AD1" w:rsidP="00DB5D0D">
      <w:pPr>
        <w:pStyle w:val="a3"/>
        <w:widowControl/>
        <w:rPr>
          <w:color w:val="000000" w:themeColor="text1"/>
          <w:lang w:val="ru-RU"/>
        </w:rPr>
      </w:pPr>
      <w:r w:rsidRPr="00DB5D0D">
        <w:rPr>
          <w:color w:val="000000" w:themeColor="text1"/>
          <w:lang w:val="ru-RU"/>
        </w:rPr>
        <w:t>е) При испытании на пикирование и облете майора Супруна была замечена тряска самолета, характер которой не выявлен.</w:t>
      </w:r>
    </w:p>
    <w:p w14:paraId="63F3105A"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Вооружение состоит их батареи 4-х ШВАК калибром 20 мм. Запас снарядов в нормальном варианте по 200 штук на пушку в перегрузочном по 275 штук.</w:t>
      </w:r>
    </w:p>
    <w:p w14:paraId="7EC72D20"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Эксплуатация самолета и ВМГ удобны.</w:t>
      </w:r>
    </w:p>
    <w:p w14:paraId="3A1B1C10"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Конструкция самолета смешанная: передняя часть фюзеляжа, центроплан и консоли металлические (дюраль), задняя часть фюзеляжа деревянная. Лонжероны хромансилевые.</w:t>
      </w:r>
    </w:p>
    <w:p w14:paraId="3D1059F8"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Производственное выполнение самолета сложно, главным образом, в части центроплан и шасси.</w:t>
      </w:r>
    </w:p>
    <w:p w14:paraId="375855DD"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Самолет удовлетворяет нормам прочности 1937 года, имеет запас прочности 14.</w:t>
      </w:r>
    </w:p>
    <w:p w14:paraId="52E2BFCC" w14:textId="77777777" w:rsidR="00A25AD1" w:rsidRPr="00DB5D0D" w:rsidRDefault="00A25AD1" w:rsidP="00DB5D0D">
      <w:pPr>
        <w:pStyle w:val="a3"/>
        <w:widowControl/>
        <w:rPr>
          <w:color w:val="000000" w:themeColor="text1"/>
          <w:lang w:val="ru-RU"/>
        </w:rPr>
      </w:pPr>
      <w:r w:rsidRPr="00DB5D0D">
        <w:rPr>
          <w:color w:val="000000" w:themeColor="text1"/>
          <w:lang w:val="ru-RU"/>
        </w:rPr>
        <w:t>(в/инженер 1 ранга Николаев) (3377, 55-56).</w:t>
      </w:r>
    </w:p>
    <w:p w14:paraId="5FE4DE02" w14:textId="77777777" w:rsidR="00A25AD1" w:rsidRPr="00DB5D0D" w:rsidRDefault="00A25AD1" w:rsidP="00DB5D0D">
      <w:pPr>
        <w:pStyle w:val="a3"/>
        <w:widowControl/>
        <w:rPr>
          <w:color w:val="000000" w:themeColor="text1"/>
          <w:lang w:val="ru-RU"/>
        </w:rPr>
      </w:pPr>
      <w:r w:rsidRPr="00DB5D0D">
        <w:rPr>
          <w:color w:val="000000" w:themeColor="text1"/>
          <w:lang w:val="ru-RU"/>
        </w:rPr>
        <w:t>Краткая характеристика самолета И-180 М-88 ВИШ-23Е конструкции инженера Поликарпова, производства завода № 1 и завода № 21</w:t>
      </w:r>
    </w:p>
    <w:p w14:paraId="6A25D7F4" w14:textId="77777777" w:rsidR="00A25AD1" w:rsidRPr="00DB5D0D" w:rsidRDefault="00A25AD1" w:rsidP="00DB5D0D">
      <w:pPr>
        <w:pStyle w:val="a3"/>
        <w:widowControl/>
        <w:rPr>
          <w:color w:val="000000" w:themeColor="text1"/>
          <w:lang w:val="ru-RU"/>
        </w:rPr>
      </w:pPr>
      <w:r w:rsidRPr="00DB5D0D">
        <w:rPr>
          <w:color w:val="000000" w:themeColor="text1"/>
          <w:lang w:val="ru-RU"/>
        </w:rPr>
        <w:t>(На основе результатов заводских испытаний).</w:t>
      </w:r>
    </w:p>
    <w:p w14:paraId="48DA94B1"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Фактически полученные летные данные при нормальном полетном весе G=2440 кг</w:t>
      </w:r>
    </w:p>
    <w:p w14:paraId="0487171B" w14:textId="77777777" w:rsidR="00A25AD1" w:rsidRPr="00DB5D0D" w:rsidRDefault="00A25AD1" w:rsidP="00DB5D0D">
      <w:pPr>
        <w:pStyle w:val="a3"/>
        <w:widowControl/>
        <w:rPr>
          <w:color w:val="000000" w:themeColor="text1"/>
          <w:lang w:val="ru-RU"/>
        </w:rPr>
      </w:pPr>
      <w:r w:rsidRPr="00DB5D0D">
        <w:rPr>
          <w:color w:val="000000" w:themeColor="text1"/>
          <w:lang w:val="ru-RU"/>
        </w:rPr>
        <w:t>= 560 км/час на Н=7100 м</w:t>
      </w:r>
    </w:p>
    <w:p w14:paraId="4D8E2141" w14:textId="77777777" w:rsidR="00A25AD1" w:rsidRPr="00DB5D0D" w:rsidRDefault="00A25AD1" w:rsidP="00DB5D0D">
      <w:pPr>
        <w:pStyle w:val="a3"/>
        <w:widowControl/>
        <w:rPr>
          <w:color w:val="000000" w:themeColor="text1"/>
          <w:lang w:val="ru-RU"/>
        </w:rPr>
      </w:pPr>
      <w:r w:rsidRPr="00DB5D0D">
        <w:rPr>
          <w:color w:val="000000" w:themeColor="text1"/>
          <w:lang w:val="ru-RU"/>
        </w:rPr>
        <w:t>= 439 км/час на Н=0 м</w:t>
      </w:r>
    </w:p>
    <w:p w14:paraId="609E882A"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набора 5000 м – 5,6 мин.</w:t>
      </w:r>
    </w:p>
    <w:p w14:paraId="3CDA8D06"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набора 7000 м – 8,7 мин.</w:t>
      </w:r>
    </w:p>
    <w:p w14:paraId="2760E9E3" w14:textId="77777777" w:rsidR="00A25AD1" w:rsidRPr="00DB5D0D" w:rsidRDefault="00A25AD1" w:rsidP="00DB5D0D">
      <w:pPr>
        <w:pStyle w:val="a3"/>
        <w:widowControl/>
        <w:rPr>
          <w:color w:val="000000" w:themeColor="text1"/>
          <w:lang w:val="ru-RU"/>
        </w:rPr>
      </w:pPr>
      <w:r w:rsidRPr="00DB5D0D">
        <w:rPr>
          <w:color w:val="000000" w:themeColor="text1"/>
          <w:lang w:val="ru-RU"/>
        </w:rPr>
        <w:t>Практический потолок – 11500 м</w:t>
      </w:r>
    </w:p>
    <w:p w14:paraId="4BF9609D" w14:textId="77777777" w:rsidR="00A25AD1" w:rsidRPr="00DB5D0D" w:rsidRDefault="00A25AD1" w:rsidP="00DB5D0D">
      <w:pPr>
        <w:pStyle w:val="a3"/>
        <w:widowControl/>
        <w:rPr>
          <w:color w:val="000000" w:themeColor="text1"/>
          <w:lang w:val="ru-RU"/>
        </w:rPr>
      </w:pPr>
      <w:r w:rsidRPr="00DB5D0D">
        <w:rPr>
          <w:color w:val="000000" w:themeColor="text1"/>
          <w:lang w:val="ru-RU"/>
        </w:rPr>
        <w:t>Посадочная скорость с закрылками – 135 км/час</w:t>
      </w:r>
    </w:p>
    <w:p w14:paraId="38FC34E3" w14:textId="77777777" w:rsidR="00A25AD1" w:rsidRPr="00DB5D0D" w:rsidRDefault="00A25AD1" w:rsidP="00DB5D0D">
      <w:pPr>
        <w:pStyle w:val="a3"/>
        <w:widowControl/>
        <w:rPr>
          <w:color w:val="000000" w:themeColor="text1"/>
          <w:lang w:val="ru-RU"/>
        </w:rPr>
      </w:pPr>
      <w:r w:rsidRPr="00DB5D0D">
        <w:rPr>
          <w:color w:val="000000" w:themeColor="text1"/>
          <w:lang w:val="ru-RU"/>
        </w:rPr>
        <w:t>Разбег 240 м, 12 сек., пробег 200 м – 10 сек.</w:t>
      </w:r>
    </w:p>
    <w:p w14:paraId="3E85B7BD"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Летные свойства:</w:t>
      </w:r>
    </w:p>
    <w:p w14:paraId="2AE6AE3F" w14:textId="77777777" w:rsidR="00A25AD1" w:rsidRPr="00DB5D0D" w:rsidRDefault="00A25AD1" w:rsidP="00DB5D0D">
      <w:pPr>
        <w:pStyle w:val="a3"/>
        <w:widowControl/>
        <w:rPr>
          <w:color w:val="000000" w:themeColor="text1"/>
          <w:lang w:val="ru-RU"/>
        </w:rPr>
      </w:pPr>
      <w:r w:rsidRPr="00DB5D0D">
        <w:rPr>
          <w:color w:val="000000" w:themeColor="text1"/>
          <w:lang w:val="ru-RU"/>
        </w:rPr>
        <w:t>а) Управляемость хорошая.</w:t>
      </w:r>
    </w:p>
    <w:p w14:paraId="6EB75F88" w14:textId="77777777" w:rsidR="00A25AD1" w:rsidRPr="00DB5D0D" w:rsidRDefault="00A25AD1" w:rsidP="00DB5D0D">
      <w:pPr>
        <w:pStyle w:val="a3"/>
        <w:widowControl/>
        <w:rPr>
          <w:color w:val="000000" w:themeColor="text1"/>
          <w:lang w:val="ru-RU"/>
        </w:rPr>
      </w:pPr>
      <w:r w:rsidRPr="00DB5D0D">
        <w:rPr>
          <w:color w:val="000000" w:themeColor="text1"/>
          <w:lang w:val="ru-RU"/>
        </w:rPr>
        <w:t>б) Устойчивость поперечная и пути удовлетворительная, продольная нейтральная. Изготовлено горизонтальное оперение с увеличенной площадью. С таким оперением продольная устойчивость самолета еще улучшится.</w:t>
      </w:r>
    </w:p>
    <w:p w14:paraId="0BD8CA89" w14:textId="77777777" w:rsidR="00A25AD1" w:rsidRPr="00DB5D0D" w:rsidRDefault="00A25AD1" w:rsidP="00DB5D0D">
      <w:pPr>
        <w:pStyle w:val="a3"/>
        <w:widowControl/>
        <w:rPr>
          <w:color w:val="000000" w:themeColor="text1"/>
          <w:lang w:val="ru-RU"/>
        </w:rPr>
      </w:pPr>
      <w:r w:rsidRPr="00DB5D0D">
        <w:rPr>
          <w:color w:val="000000" w:themeColor="text1"/>
          <w:lang w:val="ru-RU"/>
        </w:rPr>
        <w:t>в) Обзор вперед и вбок удовлетворительный, назад недостаточный.</w:t>
      </w:r>
    </w:p>
    <w:p w14:paraId="16DEB36D" w14:textId="77777777" w:rsidR="00A25AD1" w:rsidRPr="00DB5D0D" w:rsidRDefault="00A25AD1" w:rsidP="00DB5D0D">
      <w:pPr>
        <w:pStyle w:val="a3"/>
        <w:widowControl/>
        <w:rPr>
          <w:color w:val="000000" w:themeColor="text1"/>
          <w:lang w:val="ru-RU"/>
        </w:rPr>
      </w:pPr>
      <w:r w:rsidRPr="00DB5D0D">
        <w:rPr>
          <w:color w:val="000000" w:themeColor="text1"/>
          <w:lang w:val="ru-RU"/>
        </w:rPr>
        <w:t>г) Маневренность хорошая.</w:t>
      </w:r>
    </w:p>
    <w:p w14:paraId="78962546" w14:textId="77777777" w:rsidR="00A25AD1" w:rsidRPr="00DB5D0D" w:rsidRDefault="00A25AD1" w:rsidP="00DB5D0D">
      <w:pPr>
        <w:pStyle w:val="a3"/>
        <w:widowControl/>
        <w:rPr>
          <w:color w:val="000000" w:themeColor="text1"/>
          <w:lang w:val="ru-RU"/>
        </w:rPr>
      </w:pPr>
      <w:r w:rsidRPr="00DB5D0D">
        <w:rPr>
          <w:color w:val="000000" w:themeColor="text1"/>
          <w:lang w:val="ru-RU"/>
        </w:rPr>
        <w:t>д) Взлет и посадка очень похожи на И-16.</w:t>
      </w:r>
    </w:p>
    <w:p w14:paraId="3320F5FA" w14:textId="77777777" w:rsidR="00A25AD1" w:rsidRPr="00DB5D0D" w:rsidRDefault="00A25AD1" w:rsidP="00DB5D0D">
      <w:pPr>
        <w:pStyle w:val="a3"/>
        <w:widowControl/>
        <w:rPr>
          <w:color w:val="000000" w:themeColor="text1"/>
          <w:lang w:val="ru-RU"/>
        </w:rPr>
      </w:pPr>
      <w:r w:rsidRPr="00DB5D0D">
        <w:rPr>
          <w:color w:val="000000" w:themeColor="text1"/>
          <w:lang w:val="ru-RU"/>
        </w:rPr>
        <w:t>е) Проверка штопора до трех витков на опытном и серийном самолетах показала, что из штопора самолет выходит без запаздывания.</w:t>
      </w:r>
    </w:p>
    <w:p w14:paraId="128941ED"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Вооружение – 2 пулемета ШКАС и 2 БС, патрон для мелкокалиберн. 1500 штук для БС 400 штук. Вооружение в основном отлажено, исправляются звеньеотводы БС. Предполагают закончить отладку 2,6, отстрел 3,6. На экземпляре № 1 войсковой серии на заводе № 21 вооружение на земле работало без задержек.</w:t>
      </w:r>
    </w:p>
    <w:p w14:paraId="36B2ED3A"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По эксплуатационным свойствам самолет очень близок к И-16, слабое место шасси, необходимо ускорить выпуск самолета с одностоечным шасси на заводе № 21.</w:t>
      </w:r>
    </w:p>
    <w:p w14:paraId="09439288"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Материал конструкции: крыло – лонжероны из хромонсилевых труб или открытых профилей, нервюры и обшивка дюралевые. Обшивка нижней поверхности крыла – полотно.</w:t>
      </w:r>
    </w:p>
    <w:p w14:paraId="00591153" w14:textId="77777777" w:rsidR="00A25AD1" w:rsidRPr="00DB5D0D" w:rsidRDefault="00A25AD1" w:rsidP="00DB5D0D">
      <w:pPr>
        <w:pStyle w:val="a3"/>
        <w:widowControl/>
        <w:rPr>
          <w:color w:val="000000" w:themeColor="text1"/>
          <w:lang w:val="ru-RU"/>
        </w:rPr>
      </w:pPr>
      <w:r w:rsidRPr="00DB5D0D">
        <w:rPr>
          <w:color w:val="000000" w:themeColor="text1"/>
          <w:lang w:val="ru-RU"/>
        </w:rPr>
        <w:t>Фюзеляж – деревянный монокок.</w:t>
      </w:r>
    </w:p>
    <w:p w14:paraId="73FA4D2E" w14:textId="77777777" w:rsidR="00A25AD1" w:rsidRPr="00DB5D0D" w:rsidRDefault="00A25AD1" w:rsidP="00DB5D0D">
      <w:pPr>
        <w:pStyle w:val="a3"/>
        <w:widowControl/>
        <w:rPr>
          <w:color w:val="000000" w:themeColor="text1"/>
          <w:lang w:val="ru-RU"/>
        </w:rPr>
      </w:pPr>
      <w:r w:rsidRPr="00DB5D0D">
        <w:rPr>
          <w:color w:val="000000" w:themeColor="text1"/>
          <w:lang w:val="ru-RU"/>
        </w:rPr>
        <w:t>Оперение – дюралевый каркас, обшивка полотняная.</w:t>
      </w:r>
    </w:p>
    <w:p w14:paraId="646FC81C"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С производственной точки зрения дял серийного изготовления самолета заводом № 21 трудностей нет.</w:t>
      </w:r>
    </w:p>
    <w:p w14:paraId="2F5CBFB3"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По статиспытаниям агрегата самолета получены результаты, показывающие прочность свыше 100% при расчетном весе 2400 кг (фактический вес серийного самолета завода № 21 – 2406 кг).</w:t>
      </w:r>
    </w:p>
    <w:p w14:paraId="14331497" w14:textId="77777777" w:rsidR="00A25AD1" w:rsidRPr="00DB5D0D" w:rsidRDefault="00A25AD1" w:rsidP="00DB5D0D">
      <w:pPr>
        <w:pStyle w:val="a3"/>
        <w:widowControl/>
        <w:rPr>
          <w:color w:val="000000" w:themeColor="text1"/>
          <w:lang w:val="ru-RU"/>
        </w:rPr>
      </w:pPr>
      <w:r w:rsidRPr="00DB5D0D">
        <w:rPr>
          <w:color w:val="000000" w:themeColor="text1"/>
          <w:lang w:val="ru-RU"/>
        </w:rPr>
        <w:t>Таким образом прочность самолета соответствует нормам прочности.</w:t>
      </w:r>
    </w:p>
    <w:p w14:paraId="06A9A12D" w14:textId="77777777" w:rsidR="00A25AD1" w:rsidRPr="00DB5D0D" w:rsidRDefault="00A25AD1" w:rsidP="00DB5D0D">
      <w:pPr>
        <w:pStyle w:val="a3"/>
        <w:widowControl/>
        <w:rPr>
          <w:color w:val="000000" w:themeColor="text1"/>
          <w:lang w:val="ru-RU"/>
        </w:rPr>
      </w:pPr>
      <w:r w:rsidRPr="00DB5D0D">
        <w:rPr>
          <w:color w:val="000000" w:themeColor="text1"/>
          <w:lang w:val="ru-RU"/>
        </w:rPr>
        <w:t>(ведущий инженер в/инженер 2 ранга Ерышев) (3377, 57-58).</w:t>
      </w:r>
    </w:p>
    <w:p w14:paraId="3498F74B" w14:textId="77777777" w:rsidR="00A25AD1" w:rsidRPr="00DB5D0D" w:rsidRDefault="00A25AD1" w:rsidP="00DB5D0D">
      <w:pPr>
        <w:pStyle w:val="a3"/>
        <w:widowControl/>
        <w:rPr>
          <w:color w:val="000000" w:themeColor="text1"/>
          <w:lang w:val="ru-RU"/>
        </w:rPr>
      </w:pPr>
      <w:r w:rsidRPr="00DB5D0D">
        <w:rPr>
          <w:color w:val="000000" w:themeColor="text1"/>
          <w:lang w:val="ru-RU"/>
        </w:rPr>
        <w:t>Краткая характеристика самолета И-26 М-105П конструкции инженера Яковлева производства завода № 115</w:t>
      </w:r>
    </w:p>
    <w:p w14:paraId="6B53B7B5"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Летные данные представленные в отчете по заводским испытаниям:</w:t>
      </w:r>
    </w:p>
    <w:p w14:paraId="05BB9531" w14:textId="77777777" w:rsidR="00A25AD1" w:rsidRPr="00DB5D0D" w:rsidRDefault="00A25AD1" w:rsidP="00DB5D0D">
      <w:pPr>
        <w:pStyle w:val="a3"/>
        <w:widowControl/>
        <w:rPr>
          <w:color w:val="000000" w:themeColor="text1"/>
          <w:lang w:val="ru-RU"/>
        </w:rPr>
      </w:pPr>
      <w:r w:rsidRPr="00DB5D0D">
        <w:rPr>
          <w:color w:val="000000" w:themeColor="text1"/>
          <w:lang w:val="ru-RU"/>
        </w:rPr>
        <w:lastRenderedPageBreak/>
        <w:t>Максимальная скорость у земли – 485 км/час</w:t>
      </w:r>
    </w:p>
    <w:p w14:paraId="085724CA" w14:textId="77777777" w:rsidR="00A25AD1" w:rsidRPr="00DB5D0D" w:rsidRDefault="00A25AD1" w:rsidP="00DB5D0D">
      <w:pPr>
        <w:pStyle w:val="a3"/>
        <w:widowControl/>
        <w:rPr>
          <w:color w:val="000000" w:themeColor="text1"/>
          <w:lang w:val="ru-RU"/>
        </w:rPr>
      </w:pPr>
      <w:r w:rsidRPr="00DB5D0D">
        <w:rPr>
          <w:color w:val="000000" w:themeColor="text1"/>
          <w:lang w:val="ru-RU"/>
        </w:rPr>
        <w:t>Максимальная скорость на Н=5000 м – 595 км/час</w:t>
      </w:r>
    </w:p>
    <w:p w14:paraId="122AFE67" w14:textId="77777777" w:rsidR="00A25AD1" w:rsidRPr="00DB5D0D" w:rsidRDefault="00A25AD1" w:rsidP="00DB5D0D">
      <w:pPr>
        <w:pStyle w:val="a3"/>
        <w:widowControl/>
        <w:rPr>
          <w:color w:val="000000" w:themeColor="text1"/>
          <w:lang w:val="ru-RU"/>
        </w:rPr>
      </w:pPr>
      <w:r w:rsidRPr="00DB5D0D">
        <w:rPr>
          <w:color w:val="000000" w:themeColor="text1"/>
          <w:lang w:val="ru-RU"/>
        </w:rPr>
        <w:t>Потолок – не летали</w:t>
      </w:r>
    </w:p>
    <w:p w14:paraId="166E5E8E" w14:textId="77777777" w:rsidR="00A25AD1" w:rsidRPr="00DB5D0D" w:rsidRDefault="00A25AD1" w:rsidP="00DB5D0D">
      <w:pPr>
        <w:pStyle w:val="a3"/>
        <w:widowControl/>
        <w:rPr>
          <w:color w:val="000000" w:themeColor="text1"/>
          <w:lang w:val="ru-RU"/>
        </w:rPr>
      </w:pPr>
      <w:r w:rsidRPr="00DB5D0D">
        <w:rPr>
          <w:color w:val="000000" w:themeColor="text1"/>
          <w:lang w:val="ru-RU"/>
        </w:rPr>
        <w:t>Скороподъемность до Н=5000 м – 5,3 мин.</w:t>
      </w:r>
    </w:p>
    <w:p w14:paraId="232E3CB6" w14:textId="77777777" w:rsidR="00A25AD1" w:rsidRPr="00DB5D0D" w:rsidRDefault="00A25AD1" w:rsidP="00DB5D0D">
      <w:pPr>
        <w:pStyle w:val="a3"/>
        <w:widowControl/>
        <w:rPr>
          <w:color w:val="000000" w:themeColor="text1"/>
          <w:lang w:val="ru-RU"/>
        </w:rPr>
      </w:pPr>
      <w:r w:rsidRPr="00DB5D0D">
        <w:rPr>
          <w:color w:val="000000" w:themeColor="text1"/>
          <w:lang w:val="ru-RU"/>
        </w:rPr>
        <w:t>Посадочная скорость – не определялась</w:t>
      </w:r>
    </w:p>
    <w:p w14:paraId="3FDBE4C3" w14:textId="77777777" w:rsidR="00A25AD1" w:rsidRPr="00DB5D0D" w:rsidRDefault="00A25AD1" w:rsidP="00DB5D0D">
      <w:pPr>
        <w:pStyle w:val="a3"/>
        <w:widowControl/>
        <w:rPr>
          <w:color w:val="000000" w:themeColor="text1"/>
          <w:lang w:val="ru-RU"/>
        </w:rPr>
      </w:pPr>
      <w:r w:rsidRPr="00DB5D0D">
        <w:rPr>
          <w:color w:val="000000" w:themeColor="text1"/>
          <w:lang w:val="ru-RU"/>
        </w:rPr>
        <w:t>Длина разбега – 250 м</w:t>
      </w:r>
    </w:p>
    <w:p w14:paraId="71E3F417" w14:textId="77777777" w:rsidR="00A25AD1" w:rsidRPr="00DB5D0D" w:rsidRDefault="00A25AD1" w:rsidP="00DB5D0D">
      <w:pPr>
        <w:pStyle w:val="a3"/>
        <w:widowControl/>
        <w:rPr>
          <w:color w:val="000000" w:themeColor="text1"/>
          <w:lang w:val="ru-RU"/>
        </w:rPr>
      </w:pPr>
      <w:r w:rsidRPr="00DB5D0D">
        <w:rPr>
          <w:color w:val="000000" w:themeColor="text1"/>
          <w:lang w:val="ru-RU"/>
        </w:rPr>
        <w:t>Длина пробега – 360 м</w:t>
      </w:r>
    </w:p>
    <w:p w14:paraId="5117FBBC" w14:textId="77777777" w:rsidR="00A25AD1" w:rsidRPr="00DB5D0D" w:rsidRDefault="00A25AD1" w:rsidP="00DB5D0D">
      <w:pPr>
        <w:pStyle w:val="a3"/>
        <w:widowControl/>
        <w:rPr>
          <w:color w:val="000000" w:themeColor="text1"/>
          <w:lang w:val="ru-RU"/>
        </w:rPr>
      </w:pPr>
      <w:r w:rsidRPr="00DB5D0D">
        <w:rPr>
          <w:color w:val="000000" w:themeColor="text1"/>
          <w:lang w:val="ru-RU"/>
        </w:rPr>
        <w:t>Разбег – 11 сек.</w:t>
      </w:r>
    </w:p>
    <w:p w14:paraId="20212BFF" w14:textId="77777777" w:rsidR="00A25AD1" w:rsidRPr="00DB5D0D" w:rsidRDefault="00A25AD1" w:rsidP="00DB5D0D">
      <w:pPr>
        <w:pStyle w:val="a3"/>
        <w:widowControl/>
        <w:rPr>
          <w:color w:val="000000" w:themeColor="text1"/>
          <w:lang w:val="ru-RU"/>
        </w:rPr>
      </w:pPr>
      <w:r w:rsidRPr="00DB5D0D">
        <w:rPr>
          <w:color w:val="000000" w:themeColor="text1"/>
          <w:lang w:val="ru-RU"/>
        </w:rPr>
        <w:t>Запас горючего на 0,9 максим. – 1,3 часа</w:t>
      </w:r>
    </w:p>
    <w:p w14:paraId="33A1A12A" w14:textId="77777777" w:rsidR="00A25AD1" w:rsidRPr="00DB5D0D" w:rsidRDefault="00A25AD1" w:rsidP="00DB5D0D">
      <w:pPr>
        <w:pStyle w:val="a3"/>
        <w:widowControl/>
        <w:rPr>
          <w:color w:val="000000" w:themeColor="text1"/>
          <w:lang w:val="ru-RU"/>
        </w:rPr>
      </w:pPr>
      <w:r w:rsidRPr="00DB5D0D">
        <w:rPr>
          <w:color w:val="000000" w:themeColor="text1"/>
          <w:lang w:val="ru-RU"/>
        </w:rPr>
        <w:t>Время виража – 24-25,1 сек.</w:t>
      </w:r>
    </w:p>
    <w:p w14:paraId="5AB0A5B1" w14:textId="77777777" w:rsidR="00A25AD1" w:rsidRPr="00DB5D0D" w:rsidRDefault="00A25AD1" w:rsidP="00DB5D0D">
      <w:pPr>
        <w:pStyle w:val="a3"/>
        <w:widowControl/>
        <w:rPr>
          <w:color w:val="000000" w:themeColor="text1"/>
          <w:lang w:val="ru-RU"/>
        </w:rPr>
      </w:pPr>
      <w:r w:rsidRPr="00DB5D0D">
        <w:rPr>
          <w:color w:val="000000" w:themeColor="text1"/>
          <w:lang w:val="ru-RU"/>
        </w:rPr>
        <w:t>(Заводом величины максимальных скоростей определены недостаточно полно, в результате чего величины скоростей в действительности могут быть меньше).</w:t>
      </w:r>
    </w:p>
    <w:p w14:paraId="45D1648C"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Оценка летных свойств.</w:t>
      </w:r>
    </w:p>
    <w:p w14:paraId="0D0B2242" w14:textId="77777777" w:rsidR="00A25AD1" w:rsidRPr="00DB5D0D" w:rsidRDefault="00A25AD1" w:rsidP="00DB5D0D">
      <w:pPr>
        <w:pStyle w:val="a3"/>
        <w:widowControl/>
        <w:rPr>
          <w:color w:val="000000" w:themeColor="text1"/>
          <w:lang w:val="ru-RU"/>
        </w:rPr>
      </w:pPr>
      <w:r w:rsidRPr="00DB5D0D">
        <w:rPr>
          <w:color w:val="000000" w:themeColor="text1"/>
          <w:lang w:val="ru-RU"/>
        </w:rPr>
        <w:t>Управляемость самолета хорошая. Продольная устойчивость самолета достаточна, устойчивость пути нейтральна, поперечная устойчивость близка к нейтральной. Обзор самолета вперед недостаточен, назад – удовлетворительный. Пилотаж вследствие недостаточной прочности крыла (67%) произведен не полностью, не выполняли бочки, иммельманы.</w:t>
      </w:r>
    </w:p>
    <w:p w14:paraId="7F2DF7D1"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Характеристика и состояние вооружения.</w:t>
      </w:r>
    </w:p>
    <w:p w14:paraId="218915D2" w14:textId="77777777" w:rsidR="00A25AD1" w:rsidRPr="00DB5D0D" w:rsidRDefault="00A25AD1" w:rsidP="00DB5D0D">
      <w:pPr>
        <w:pStyle w:val="a3"/>
        <w:widowControl/>
        <w:rPr>
          <w:color w:val="000000" w:themeColor="text1"/>
          <w:lang w:val="ru-RU"/>
        </w:rPr>
      </w:pPr>
      <w:r w:rsidRPr="00DB5D0D">
        <w:rPr>
          <w:color w:val="000000" w:themeColor="text1"/>
          <w:lang w:val="ru-RU"/>
        </w:rPr>
        <w:t>Самолет вооружен одной пушкой ШВАК 20 мм с запасом патрон 120 шт. и двумя пулеметами ШКАС с запасом патрон по 420 штук на пулемет.</w:t>
      </w:r>
    </w:p>
    <w:p w14:paraId="2316EDBC" w14:textId="77777777" w:rsidR="00A25AD1" w:rsidRPr="00DB5D0D" w:rsidRDefault="00A25AD1" w:rsidP="00DB5D0D">
      <w:pPr>
        <w:pStyle w:val="a3"/>
        <w:widowControl/>
        <w:rPr>
          <w:color w:val="000000" w:themeColor="text1"/>
          <w:lang w:val="ru-RU"/>
        </w:rPr>
      </w:pPr>
      <w:r w:rsidRPr="00DB5D0D">
        <w:rPr>
          <w:color w:val="000000" w:themeColor="text1"/>
          <w:lang w:val="ru-RU"/>
        </w:rPr>
        <w:t>Вооружение не доведено, установка не жесткая, при стрельбе имеется большая вибрация, в результате чего простреливают охлаждающие трубы. Запас патронов очень мал.</w:t>
      </w:r>
    </w:p>
    <w:p w14:paraId="41AB13F9"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Оценка эксплуатационных свойств.</w:t>
      </w:r>
    </w:p>
    <w:p w14:paraId="5B2A06A8" w14:textId="77777777" w:rsidR="00A25AD1" w:rsidRPr="00DB5D0D" w:rsidRDefault="00A25AD1" w:rsidP="00DB5D0D">
      <w:pPr>
        <w:pStyle w:val="a3"/>
        <w:widowControl/>
        <w:rPr>
          <w:color w:val="000000" w:themeColor="text1"/>
          <w:lang w:val="ru-RU"/>
        </w:rPr>
      </w:pPr>
      <w:r w:rsidRPr="00DB5D0D">
        <w:rPr>
          <w:color w:val="000000" w:themeColor="text1"/>
          <w:lang w:val="ru-RU"/>
        </w:rPr>
        <w:t>Машина имеет много эксплуатационных недостатков: крыло не разрезное, при монтаже и сборке самолета требует наличие средств механизации – подъемного крана и специальных козелков для крыльев и фюзеляжа.</w:t>
      </w:r>
    </w:p>
    <w:p w14:paraId="764E34A4" w14:textId="77777777" w:rsidR="00A25AD1" w:rsidRPr="00DB5D0D" w:rsidRDefault="00A25AD1" w:rsidP="00DB5D0D">
      <w:pPr>
        <w:pStyle w:val="a3"/>
        <w:widowControl/>
        <w:rPr>
          <w:color w:val="000000" w:themeColor="text1"/>
          <w:lang w:val="ru-RU"/>
        </w:rPr>
      </w:pPr>
      <w:r w:rsidRPr="00DB5D0D">
        <w:rPr>
          <w:color w:val="000000" w:themeColor="text1"/>
          <w:lang w:val="ru-RU"/>
        </w:rPr>
        <w:t>Не разрезное крыло и моторная рама представляющая одно целое с фюзеляжем сильно осложняет ремонт самолета. Не отъемная моторама усложняет и удлиняет срок по съемке и установке мотора. Длительная заправка горючего (10-12 м.). не обеспечен полный слив из маслосистемы. Плохие подходы к задку мотора и маслобака. Моторные капоты крепятся свыше ста замками, что удлиняет сроки заправки и подготовки самолета к полету.</w:t>
      </w:r>
    </w:p>
    <w:p w14:paraId="31468113"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Материал конструкции.</w:t>
      </w:r>
    </w:p>
    <w:p w14:paraId="78D2755D" w14:textId="77777777" w:rsidR="00A25AD1" w:rsidRPr="00DB5D0D" w:rsidRDefault="00A25AD1" w:rsidP="00DB5D0D">
      <w:pPr>
        <w:pStyle w:val="a3"/>
        <w:widowControl/>
        <w:rPr>
          <w:color w:val="000000" w:themeColor="text1"/>
          <w:lang w:val="ru-RU"/>
        </w:rPr>
      </w:pPr>
      <w:r w:rsidRPr="00DB5D0D">
        <w:rPr>
          <w:color w:val="000000" w:themeColor="text1"/>
          <w:lang w:val="ru-RU"/>
        </w:rPr>
        <w:t>Крыло самолета деревянное не разрезное. Фюзеляж металлический сварной их хромансилевых труб вместе с моторамой. Обшивка фюзеляжа полотняная. Горизонтальное и вертикальное оперение деревянные. Рули и элероны дюралевые обшитые полотном.</w:t>
      </w:r>
    </w:p>
    <w:p w14:paraId="3CED6B38"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Оценка технологии производства.</w:t>
      </w:r>
    </w:p>
    <w:p w14:paraId="7B3715B0" w14:textId="77777777" w:rsidR="00A25AD1" w:rsidRPr="00DB5D0D" w:rsidRDefault="00A25AD1" w:rsidP="00DB5D0D">
      <w:pPr>
        <w:pStyle w:val="a3"/>
        <w:widowControl/>
        <w:rPr>
          <w:color w:val="000000" w:themeColor="text1"/>
          <w:lang w:val="ru-RU"/>
        </w:rPr>
      </w:pPr>
      <w:r w:rsidRPr="00DB5D0D">
        <w:rPr>
          <w:color w:val="000000" w:themeColor="text1"/>
          <w:lang w:val="ru-RU"/>
        </w:rPr>
        <w:t>В конструкции самолета имеются некоторые детали, которые требуют большого расхода металла и осложняется обработка их. (Так например, полувилка колеса шасси и верхний узел крепления шасси невозможно обработать на станках – обрабатываются вручную, что удорожает изготовление последних).</w:t>
      </w:r>
    </w:p>
    <w:p w14:paraId="0B47F2AF"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Заключение по статиспытаниям агрегатов самолета.</w:t>
      </w:r>
    </w:p>
    <w:p w14:paraId="6235CCDC" w14:textId="77777777" w:rsidR="00A25AD1" w:rsidRPr="00DB5D0D" w:rsidRDefault="00A25AD1" w:rsidP="00DB5D0D">
      <w:pPr>
        <w:pStyle w:val="a3"/>
        <w:widowControl/>
        <w:rPr>
          <w:color w:val="000000" w:themeColor="text1"/>
          <w:lang w:val="ru-RU"/>
        </w:rPr>
      </w:pPr>
      <w:r w:rsidRPr="00DB5D0D">
        <w:rPr>
          <w:color w:val="000000" w:themeColor="text1"/>
          <w:lang w:val="ru-RU"/>
        </w:rPr>
        <w:t>При испытаниях самолета слабым местом оказался носок крыла, который выдержал 40% нагрузки, а после усиления – 67%.</w:t>
      </w:r>
    </w:p>
    <w:p w14:paraId="4500F0FC" w14:textId="77777777" w:rsidR="00A25AD1" w:rsidRPr="00DB5D0D" w:rsidRDefault="00A25AD1" w:rsidP="00DB5D0D">
      <w:pPr>
        <w:pStyle w:val="a3"/>
        <w:widowControl/>
        <w:rPr>
          <w:color w:val="000000" w:themeColor="text1"/>
          <w:lang w:val="ru-RU"/>
        </w:rPr>
      </w:pPr>
      <w:r w:rsidRPr="00DB5D0D">
        <w:rPr>
          <w:color w:val="000000" w:themeColor="text1"/>
          <w:lang w:val="ru-RU"/>
        </w:rPr>
        <w:t>Общая прочность самолета в связи с увеличением веса с 2300 кг до 2700 кг недостаточна, что составляет 11 кратный запас вместо 13, положенный по нормам прочности для истребителя.</w:t>
      </w:r>
    </w:p>
    <w:p w14:paraId="5029BDF3" w14:textId="77777777" w:rsidR="00A25AD1" w:rsidRPr="00DB5D0D" w:rsidRDefault="00A25AD1" w:rsidP="00DB5D0D">
      <w:pPr>
        <w:pStyle w:val="a3"/>
        <w:widowControl/>
        <w:rPr>
          <w:color w:val="000000" w:themeColor="text1"/>
          <w:lang w:val="ru-RU"/>
        </w:rPr>
      </w:pPr>
      <w:r w:rsidRPr="00DB5D0D">
        <w:rPr>
          <w:color w:val="000000" w:themeColor="text1"/>
          <w:lang w:val="ru-RU"/>
        </w:rPr>
        <w:t>(ведущий инженер в/инженер 2 ранга Максимов) (3377, 59-60).</w:t>
      </w:r>
    </w:p>
    <w:p w14:paraId="6C68FB47" w14:textId="77777777" w:rsidR="00A25AD1" w:rsidRPr="00DB5D0D" w:rsidRDefault="00A25AD1" w:rsidP="00DB5D0D">
      <w:pPr>
        <w:pStyle w:val="a3"/>
        <w:widowControl/>
        <w:rPr>
          <w:color w:val="000000" w:themeColor="text1"/>
          <w:lang w:val="ru-RU"/>
        </w:rPr>
      </w:pPr>
    </w:p>
    <w:p w14:paraId="127CB1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И-26 М-105П ВИШ-61 А.С.Я. в ходе гос. испытаний, которые проходили с 1 по 15 июня 1940 выполнил полет на определение границ высотности но задание не выполнил из-за перегрева мотора, выбивания масла из суфлера и втулки винта и отказа сигнализации шасси (0:40). Провели повторный полет (0:40) и задание также не выполнили по тем же причинам и из-за выпадения ноги шасси. Третий полет (0:50) на высотность и планирование до скорости 1.1 макс. было выполнено (2924).</w:t>
      </w:r>
    </w:p>
    <w:p w14:paraId="54A40CD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48D63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вышел приказ НКАП N 258с о начале заводских и полетных испытаний И-220 А.В.Сильванского (408,73).</w:t>
      </w:r>
    </w:p>
    <w:p w14:paraId="2F2A60D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D137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вышел приказ НКАП N 260сс в исполнение постановления КО N 223сс от 25 мая 1940 о запуске в серию И-180 М-88 с ВИШ-22Е на 21 заводе (1295,185). Точно "О постановке производства самолетов И-180 конструкции Н.Н.П. на заводе 21" (1295,181).</w:t>
      </w:r>
    </w:p>
    <w:p w14:paraId="004344B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B0D0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 состоялось заседание Технического совета при НИИ ВВС по самолету И-301 с М-105П конструкции Горбунова, Гудкова, Лавочкина (4388).</w:t>
      </w:r>
    </w:p>
    <w:p w14:paraId="2D319C3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439D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3 июня 1940 машина с Болховитинова выполнила 8 полетов. Испытания начались 19 марта, а первый полет был выполнен 20 марта 1940 (1195,14).</w:t>
      </w:r>
    </w:p>
    <w:p w14:paraId="33FD894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087F323" w14:textId="77777777" w:rsidR="00D926C6" w:rsidRPr="00DB5D0D" w:rsidRDefault="00D926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рабочие чертежи ЭОИ Беляева были полностью сданы в производство, а срок сдачи на испытания 15 октября, что заведомо невыполнимо. Самолет Беляева очень сложный для серийного производства. В отношении предкрылков подчеркивалось: "имеют очень сложный механизм установки в рабочее положение, велика вероятность отказа в работе". Положительные стороны ЭОИ также отмечались, тем не менее, его постройку предлагалось прекратить. Понятно, что Беляев защищал свое детище всеми силами. Он сумел доказать необходимость существования ЭОИ, и его строительство продолжилось, хотя и весьма неспешно (15538).</w:t>
      </w:r>
    </w:p>
    <w:p w14:paraId="1A873BBE" w14:textId="77777777" w:rsidR="00D926C6" w:rsidRPr="00DB5D0D" w:rsidRDefault="00D926C6" w:rsidP="00DB5D0D">
      <w:pPr>
        <w:spacing w:after="0" w:line="240" w:lineRule="auto"/>
        <w:jc w:val="both"/>
        <w:rPr>
          <w:rFonts w:ascii="Times New Roman" w:hAnsi="Times New Roman"/>
          <w:color w:val="000000" w:themeColor="text1"/>
          <w:sz w:val="16"/>
          <w:szCs w:val="16"/>
        </w:rPr>
      </w:pPr>
    </w:p>
    <w:p w14:paraId="510B9A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пробный перелет на уборку и выпуск шасси продолжительностью 0:20 (2923).</w:t>
      </w:r>
    </w:p>
    <w:p w14:paraId="4522B1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F0548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НКАП сообщил письмом нач. ВВС РККА, ГСС Я.В.Смушкевичу о необходимости ускорить составление перспективного плана и передачу его в НКАП c целью своевременной постановки и решения задач, необходимых для выполнения требований, предъявляемых к будущим самолетам, моторам и винтам (2090,118).</w:t>
      </w:r>
    </w:p>
    <w:p w14:paraId="68B9513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6EC6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 начальник НИП АВ полковник Шевченко и военком НИП АВ в/инженер 2 ранга Щербинин утвердили:</w:t>
      </w:r>
    </w:p>
    <w:p w14:paraId="3CB5F3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контрольным испытаниям осколочных авиабомб АО-2,5 сталистого чугуна (литье) снаряженных смесью К-2 (ТНТ+ДНН 80/20) методом раздельного снаряжения</w:t>
      </w:r>
    </w:p>
    <w:p w14:paraId="2B42F4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–9 апреля 1940 года</w:t>
      </w:r>
    </w:p>
    <w:p w14:paraId="42B699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15 мая 1940 года</w:t>
      </w:r>
    </w:p>
    <w:p w14:paraId="722681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4A4D15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0A30F7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определить:</w:t>
      </w:r>
    </w:p>
    <w:p w14:paraId="138BE3B2"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бомбы.</w:t>
      </w:r>
    </w:p>
    <w:p w14:paraId="78AAE945" w14:textId="77777777" w:rsidR="00A25AD1" w:rsidRPr="00DB5D0D" w:rsidRDefault="00A25AD1"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4FC3F274"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в действии.</w:t>
      </w:r>
    </w:p>
    <w:p w14:paraId="2B3925AE" w14:textId="77777777" w:rsidR="00A25AD1" w:rsidRPr="00DB5D0D" w:rsidRDefault="00A25AD1" w:rsidP="00DB5D0D">
      <w:pPr>
        <w:pStyle w:val="24"/>
        <w:widowControl/>
        <w:tabs>
          <w:tab w:val="left" w:pos="360"/>
        </w:tabs>
        <w:rPr>
          <w:color w:val="000000" w:themeColor="text1"/>
        </w:rPr>
      </w:pPr>
      <w:r w:rsidRPr="00DB5D0D">
        <w:rPr>
          <w:color w:val="000000" w:themeColor="text1"/>
        </w:rPr>
        <w:t>Устойчивость бомб на траектории.</w:t>
      </w:r>
    </w:p>
    <w:p w14:paraId="4A6760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AE9066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АО-2,5 сталистого чугуна (литье) снаряженные смесью К-2 (ТНТ+ДНН 80/20) методом раздельного снаряжения по осколочному действию, рациональному дроблению корпуса бомбы взрывчатым веществом, по безотказности действия и устойчивости на траектории дали удовлетворительные результаты и поэтому контрольные испытания выдержали (7549).</w:t>
      </w:r>
    </w:p>
    <w:p w14:paraId="58A6D0B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12A0F02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32966C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657AD24" w14:textId="77777777" w:rsidR="00CB30A8" w:rsidRPr="00DB5D0D" w:rsidRDefault="00CB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 Постановление СНК СССР и приказ НКБ СССР от 8 июня 1940 г. утвердили новую структуру наркомата боеприпасов. В него вошли главные управления; 1</w:t>
      </w:r>
      <w:r w:rsidRPr="00DB5D0D">
        <w:rPr>
          <w:rFonts w:ascii="Times New Roman" w:hAnsi="Times New Roman"/>
          <w:color w:val="000000" w:themeColor="text1"/>
          <w:sz w:val="16"/>
          <w:szCs w:val="16"/>
        </w:rPr>
        <w:noBreakHyphen/>
        <w:t>е (взрывчатых веществ и снаряжения снарядов), 2</w:t>
      </w:r>
      <w:r w:rsidRPr="00DB5D0D">
        <w:rPr>
          <w:rFonts w:ascii="Times New Roman" w:hAnsi="Times New Roman"/>
          <w:color w:val="000000" w:themeColor="text1"/>
          <w:sz w:val="16"/>
          <w:szCs w:val="16"/>
        </w:rPr>
        <w:noBreakHyphen/>
        <w:t>е (взрывателей, капсюлей, средств воспламенения), 3</w:t>
      </w:r>
      <w:r w:rsidRPr="00DB5D0D">
        <w:rPr>
          <w:rFonts w:ascii="Times New Roman" w:hAnsi="Times New Roman"/>
          <w:color w:val="000000" w:themeColor="text1"/>
          <w:sz w:val="16"/>
          <w:szCs w:val="16"/>
        </w:rPr>
        <w:noBreakHyphen/>
        <w:t>е (порохов), 4</w:t>
      </w:r>
      <w:r w:rsidRPr="00DB5D0D">
        <w:rPr>
          <w:rFonts w:ascii="Times New Roman" w:hAnsi="Times New Roman"/>
          <w:color w:val="000000" w:themeColor="text1"/>
          <w:sz w:val="16"/>
          <w:szCs w:val="16"/>
        </w:rPr>
        <w:noBreakHyphen/>
        <w:t>е (корпусов снарядов), учебными заведениями, снабжения, отделы: 1</w:t>
      </w:r>
      <w:r w:rsidRPr="00DB5D0D">
        <w:rPr>
          <w:rFonts w:ascii="Times New Roman" w:hAnsi="Times New Roman"/>
          <w:color w:val="000000" w:themeColor="text1"/>
          <w:sz w:val="16"/>
          <w:szCs w:val="16"/>
        </w:rPr>
        <w:noBreakHyphen/>
        <w:t xml:space="preserve">й, производственно-распорядительный, технический с бюро изобретательства, планово-экономический, рабочих кадров и зарплаты, мобилизационный, капитального строительства, охраны труда и техники безопасности, кадров, финансовый, энергетический, транспортный, а также </w:t>
      </w:r>
      <w:r w:rsidRPr="00DB5D0D">
        <w:rPr>
          <w:rFonts w:ascii="Times New Roman" w:hAnsi="Times New Roman"/>
          <w:color w:val="000000" w:themeColor="text1"/>
          <w:sz w:val="16"/>
          <w:szCs w:val="16"/>
        </w:rPr>
        <w:lastRenderedPageBreak/>
        <w:t>технический совет, иностранный сектор, секретариат, контрольно-инспекторская группа, сектор специального машиностроения и др. Помимо этого, в ведении НКБ СССР находились хозрасчетные организации: Управление комплектации, техническая инспекция по качеству, тресты: “Ширпотреб”, “Артсбыт” и “Рекуперация”, НИИ № 6 и КБ № 47. (ГА РФ. Ф. Р</w:t>
      </w:r>
      <w:r w:rsidRPr="00DB5D0D">
        <w:rPr>
          <w:rFonts w:ascii="Times New Roman" w:hAnsi="Times New Roman"/>
          <w:color w:val="000000" w:themeColor="text1"/>
          <w:sz w:val="16"/>
          <w:szCs w:val="16"/>
        </w:rPr>
        <w:noBreakHyphen/>
        <w:t>8418. Оп. 28. Д. 21. Л. 36</w:t>
      </w:r>
      <w:r w:rsidRPr="00DB5D0D">
        <w:rPr>
          <w:rFonts w:ascii="Times New Roman" w:hAnsi="Times New Roman"/>
          <w:color w:val="000000" w:themeColor="text1"/>
          <w:sz w:val="16"/>
          <w:szCs w:val="16"/>
        </w:rPr>
        <w:noBreakHyphen/>
        <w:t>37, 78, 179; РГАЭ. Ф. 7516. Оп. 2. Л. 1</w:t>
      </w:r>
      <w:r w:rsidRPr="00DB5D0D">
        <w:rPr>
          <w:rFonts w:ascii="Times New Roman" w:hAnsi="Times New Roman"/>
          <w:color w:val="000000" w:themeColor="text1"/>
          <w:sz w:val="16"/>
          <w:szCs w:val="16"/>
        </w:rPr>
        <w:noBreakHyphen/>
        <w:t>3.) (17816).</w:t>
      </w:r>
    </w:p>
    <w:p w14:paraId="0C9A0C4F" w14:textId="77777777" w:rsidR="00CB30A8" w:rsidRPr="00DB5D0D" w:rsidRDefault="00CB30A8" w:rsidP="00DB5D0D">
      <w:pPr>
        <w:spacing w:after="0" w:line="240" w:lineRule="auto"/>
        <w:jc w:val="both"/>
        <w:rPr>
          <w:rFonts w:ascii="Times New Roman" w:hAnsi="Times New Roman"/>
          <w:color w:val="000000" w:themeColor="text1"/>
          <w:sz w:val="16"/>
          <w:szCs w:val="16"/>
        </w:rPr>
      </w:pPr>
    </w:p>
    <w:p w14:paraId="0CD6D8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 в соответствии с пост. СНК № 937-353сс и приказом № 208сс от 8.06.1940 г. была утверждена структура НКБ: 1, 2, 3 и 4-е ГУ. В 09.1940 г. организовано ГУ полигонов. В соответствии с пост. СНК № 936-352сс от 3.06.1940 г. и приказом № 174сс от 19.06.1940 г. утверждена структура НКВ: 1ГУ (7 заводов), 2ГУ (12 заводов и ГОИ), ЗГУ (9); кроме того, входило 5 НИИ, 10 КБ, 25 учебных заведений. Перед войной в составе НКВ было 43 завода (14 - артиллерийских, 9 - стрелкового оружия, 8 - патронных, 12 - оптико-механических). Всего на начало 1941 г. в состав четырех военно-промышленных наркоматов входило около 300 производственных предприятий. Таким образом, военно-промышленные наркоматы специализировались на производстве военных изделий 1-й и 2-й группы. Выпуск изделий 3-й группы, в основном, осваивалось «запасными» предприятиями Наркоматов Общего, Тяжелого и Среднего машиностроения, НКЭП и НКХП. НКСМ образован 8.02.1939г., в его ведение передан Спецмаштрест НКОП; оборонные предприятия в НКСМ (танкостроение) были сосредоточены в Главспецмаше. Предприятия электро- и радиопромышленности были сосредоточены в Наркомате электростанций и электропромышленности, а с 04.1940 г. - НКЭП. Высшим государственным органом управления наркоматами военной промышленности и военными производствами гражданской промышленности стал Комитет Обороны при СНК СССР и его органы: Экономический Совет (ЭКОСО) и Военно-Промышленная Комиссия (11982).</w:t>
      </w:r>
    </w:p>
    <w:p w14:paraId="292CB65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D12063" w14:textId="77777777" w:rsidR="00F06892" w:rsidRPr="00DB5D0D" w:rsidRDefault="00F06892"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июня 1940 г. заводом №7 был направлен в Москву новый план по ОКР, в котором отдельно сообщалось о проведенном перераспределении имеющейся общей нагрузки ОГК и опытного цеха в оставшееся время до конца 1940 г., позволявшем полностью сконцентрироваться на проектировании и производстве минометных систем. Кадровый состав ОГК также позволял выполнить поставленные задачи в полном объеме – в новом конструкторском подразделении (после объединения КБ-3 и СКБ-4) работали 122 человека, большая часть которых занималась минометами: минометная группа (проектная) составляла 34 чел., артиллерийская группа (проектная) – 6 чел., группа транспортных средств по минометам и артиллерийским системам (проектная) – 8 чел., расчетная группа - 5 чел., чертежно-копировальная группа - 36 чел., сектор обслуживания валового производства - 18 чел., управление и обслуживание КБ и опытного цеха - 15 чел.</w:t>
      </w:r>
    </w:p>
    <w:p w14:paraId="08D436B5" w14:textId="77777777" w:rsidR="00F06892" w:rsidRPr="00DB5D0D" w:rsidRDefault="00F06892" w:rsidP="00DB5D0D">
      <w:pPr>
        <w:pStyle w:val="Default"/>
        <w:jc w:val="both"/>
        <w:rPr>
          <w:color w:val="0070C0"/>
          <w:sz w:val="16"/>
          <w:szCs w:val="16"/>
        </w:rPr>
      </w:pPr>
      <w:r w:rsidRPr="00DB5D0D">
        <w:rPr>
          <w:color w:val="0070C0"/>
          <w:sz w:val="16"/>
          <w:szCs w:val="16"/>
        </w:rPr>
        <w:t xml:space="preserve">Данный план был утвержден совместно Техническим советом НКВ и 1 ГУ НКВ СССР. В письмах, направленных заводом №7 в их адрес в апреле-мае 1940 г., сообщалось о целесообразности снятия с завода работ по проектированию и изготовлению мин, зарядов и т.д., поскольку работы по данному направлению должны были быть сконцентрированы в ЦКБ №47 НКБ, а завод, в соответствии с приказом №107с от 8 апреля 1940 г. должен был сосредоточиться на работах по проектированию только минометных систем. Основным аргументом было отсутствие квалифицированных кадров и опыта по отработке мин и зарядов различных типов и, как следствие, срыв выполнения годовой программы. Несмотря на полученное принципиальное согласие одного из представителей Управления, работы по отработке мин и зарядов были оставлены заводу. После еще одного раунда обращений завода к руководству НКВ о снятии с завода работ по минам, протокольным решением заместителя </w:t>
      </w:r>
    </w:p>
    <w:p w14:paraId="50436ED5"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Наркома обороны СССР Г. И. Кулика и Наркома вооружений СССР Б. Л. Ванникова, принятым в октябре 1940 г., с завода были сняты работы по изготовлению учебных мин для 50-мм, 107-мм и 120-мм минометов и 82-мм осветительных мин. Основной объем работ – проектирование и изготовление 107-мм и 120-мм химических, 160-мм фугасных мин, зарядов к ним и приборов для снаряжения мин - в планах завода был сохранен (20074)</w:t>
      </w:r>
    </w:p>
    <w:p w14:paraId="45FFBA3E" w14:textId="77777777" w:rsidR="00F06892" w:rsidRPr="00DB5D0D" w:rsidRDefault="00F06892" w:rsidP="00DB5D0D">
      <w:pPr>
        <w:autoSpaceDE w:val="0"/>
        <w:autoSpaceDN w:val="0"/>
        <w:adjustRightInd w:val="0"/>
        <w:spacing w:after="0" w:line="240" w:lineRule="auto"/>
        <w:jc w:val="both"/>
        <w:rPr>
          <w:rFonts w:ascii="Times New Roman" w:hAnsi="Times New Roman"/>
          <w:color w:val="0070C0"/>
          <w:sz w:val="16"/>
          <w:szCs w:val="16"/>
        </w:rPr>
      </w:pPr>
    </w:p>
    <w:p w14:paraId="335BBB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 завод № 7 направил в ГАУ проект 160-мм дивизионного миномета "7-17". Миномет дульнозарядный гладкоствольный. Схема мнимого треугольника, система воспламенения Стокса Брандта. При стрельбе колесный ход отсоединяется. Тело миномета состояло из ствола и навинтного казенника. Тело миномета опорной пятой казенника опиралось в плиту, а ствол через обойму амортизатора и вертлюг опирался на двуногу. Прицел оптический ПМ-5. Колесный ход подрессорен. Колеса от автомобиля ГАЗ-АА. При конной тяге миномет 7-17 должен был транспортироваться с передком. Кроме того, был спроектирован зарядный ящик (3861).</w:t>
      </w:r>
    </w:p>
    <w:p w14:paraId="613EFC5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642B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вышло постановление СНК N 937-353, во исполнение которого 8 июня вышел приказ НКБ N 208c утвердил новую структуру НКБ, согласно которому ПГУ ведало производством снарядов, авиабомб, и ВВ, 2ГУ - производством капсюлей и взрывателей, 3ГУ - производством пороха и взрывчатки мирного назначения 4ГУ - производством корпусов снарядов для морской и сухопутной артиллерии (4302).</w:t>
      </w:r>
    </w:p>
    <w:p w14:paraId="45D4F64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F7F59B" w14:textId="77777777" w:rsidR="000321AF" w:rsidRPr="00DB5D0D" w:rsidRDefault="000321A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июня 1940 г. в АБТУ РККА был подготовлен приказ № 025, обязывавший сотрудников управления и военной приемки взять на особый контроль выполнение промышленностью новой программы по выпуску танков, при этом оказывая заводам всю возможную помощь. Этот приказ 7 июня 1940 г. в день выхода Постановления СНК СССР и ЦК ВКП(б) № 976-368сс был подписан Д.Г. Павловым на тот момент уже передавшим дела Я.Н. Федоренко. Вот текст этого приказа: </w:t>
      </w:r>
    </w:p>
    <w:p w14:paraId="6495F48D"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«Подводя итоги совещания, проведенного мною 2.6.40 г., основной задачей ставлю: путем повседневного систематического контроля и реальной помощи заводам – добиться полного, качественного выполнения и в указанные сроки плана выпуска танков "КВ" и "Т-34". </w:t>
      </w:r>
    </w:p>
    <w:p w14:paraId="67D3BCBB"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ПРИКАЗЫВАЮ:</w:t>
      </w:r>
    </w:p>
    <w:p w14:paraId="40FC4746"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Начальнику 8 отдела Военинженеру 1 ранга тов. АФОНИНУ обеспечить срочную доводку танков до полного соответствия их тактико-техническим требованиям и отработку чертежей на серийный выпуск. 5, 15 и 25 числа каждого месяца докладывать мне сводные данные по обеспеченности заводов броней и по выполнению заводами работ по доводке танков на серийное производство. </w:t>
      </w:r>
    </w:p>
    <w:p w14:paraId="29470D24"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Для обеспечения систематического контроля по доводке машин закрепить ведущих инженеров: </w:t>
      </w:r>
    </w:p>
    <w:p w14:paraId="25CFE736"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а) по танку "КВ" – Военинженера 3 ранга тов. ВОРОШИЛОВА, </w:t>
      </w:r>
    </w:p>
    <w:p w14:paraId="33E5C0E2"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б) по танку "Т-34" – Майора тов. ПАНОВА, </w:t>
      </w:r>
    </w:p>
    <w:p w14:paraId="102575C5"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 по танку "СП" – Майора тов. КОВАЛЕВА, </w:t>
      </w:r>
    </w:p>
    <w:p w14:paraId="0823CDFA"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г) по мотору В-2 форсир. Военинженера 3 ранга тов. ЛАВРУШЕНКОВА. </w:t>
      </w:r>
    </w:p>
    <w:p w14:paraId="60A1A744"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Начальнику 4 отдела Военинженеру 1 ранга т. АЛЫМОВУ 5, 15 и 25 числа каждого месяца докладывать мне сводные данные по выпуску танков танкостроительными заводами. </w:t>
      </w:r>
    </w:p>
    <w:p w14:paraId="349AC56E"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Потребовать от заводов составления инструкций по "КВ" и "Т-34". Инструкция должна быть краткой, указывающей что, где, когда и как нужно делать по обслуживанию, эксплоатации и ремонту машин, как в стационарных, так и в полевых условиях, дополняя содержание отдельными рисунками и схемами. Инструкцией должен снабжаться каждый серийный танк, начиная с первой машины. </w:t>
      </w:r>
    </w:p>
    <w:p w14:paraId="3094CBC1"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Для обеспечения систематического контроля за серией закрепить ведущих инженеров: </w:t>
      </w:r>
    </w:p>
    <w:p w14:paraId="575966D4"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а) по танку "КВ" – Военинженер 3 ранга т. КАУЛИН, </w:t>
      </w:r>
    </w:p>
    <w:p w14:paraId="1BCACA4E"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б) по танку "Т-34" – на заводе № 183 Военинженера 3 ранга т. ГОРЮШКИНА, </w:t>
      </w:r>
    </w:p>
    <w:p w14:paraId="4DBFCC68"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 по танку "Т-34" на СТЗ Военинженера 2 ранга т. СИВОВА. </w:t>
      </w:r>
    </w:p>
    <w:p w14:paraId="521182DA"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Начальнику 4-го отдела Военинженеру 1 ранга т. АЛЫМОВУ со всеми ведущими инженерами по всем машинам, в том числе и для "КВ" и "Т-34" поставить задачу перед Главспецмашем и директорами всех заводов и добиться в кратчайший срок выполнения по следующим вопросам: </w:t>
      </w:r>
    </w:p>
    <w:p w14:paraId="04D5D392"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а) Помимо имеющихся мощностей подыскать и определить предприятия, на которых можно дополнительно или вновь разместить для производства, как наиболее дефицитные, так и необходимые запасные части ко всем машинам. </w:t>
      </w:r>
    </w:p>
    <w:p w14:paraId="1A222A82"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б) Окончательно отработать и составить для машин "КВ" и "Т-34" комплекты ЗИПа и инструмента по машинам, включив в них самое необходимое. </w:t>
      </w:r>
    </w:p>
    <w:p w14:paraId="2BC585FC"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Начальникам 3 отдела и 7-го отдела с ведущими инженерами по этим отделам, отработать комплект инструмента и приспособлений, необходимых для ремонта машин КВ и Т-34, как средствами мастерских типа А, Б, В, АРВБ, так и на ремонтных базах, определив последние для производства капитального ремонта указанных машин. </w:t>
      </w:r>
    </w:p>
    <w:p w14:paraId="53B1D655"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Военпреды танкостроительных и броневых заводов должны направить всю свою работу на выполнение программы выпуска машин. Качество выпускаемых машин должно соответствовать требованиям АБТУ Красной Армии. </w:t>
      </w:r>
    </w:p>
    <w:p w14:paraId="68786726"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 случаях затруднений по линии кооперации с другими заводами, надо помочь основным танкостроительным заводам через приемки кооперированных заводов, обеспечить своевременность донесений и оперативность в деле бесперебойного снабжения кооперированными материалами по всем танкам. </w:t>
      </w:r>
    </w:p>
    <w:p w14:paraId="6E1A08B3"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Старшим военпредам АБТУ КА Военинженерам 2 ранга т.т. ШПИТАНОВУ, ДМИТРУСЕНКО, КОЗЫРЕВУ, ФЕДОРОВУ, ЛЕВИНУ, ЗУХЕРУ и Военинженеру 3 ранга тов. МОРОЗОВУ каждую декаду доносить мне по вопросам: </w:t>
      </w:r>
    </w:p>
    <w:p w14:paraId="77CCAA71"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а) отработка чертежей машин серийного выпуска. </w:t>
      </w:r>
    </w:p>
    <w:p w14:paraId="01B3B527"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б) отработка технологии производства. </w:t>
      </w:r>
    </w:p>
    <w:p w14:paraId="663955A2"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 подготовка штампов, приспособлений и инструментов. </w:t>
      </w:r>
    </w:p>
    <w:p w14:paraId="40971819"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г) обеспеченность станочным оборудованием. </w:t>
      </w:r>
    </w:p>
    <w:p w14:paraId="7F84454E"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д) график выпуска по месяцам и выполнение. </w:t>
      </w:r>
    </w:p>
    <w:p w14:paraId="1063B374"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е) причины невыполнения отдельных работ и мероприятия. </w:t>
      </w:r>
    </w:p>
    <w:p w14:paraId="5BE83531"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Старшим военпредам предлагаю принять непосредственное участие в составлении инструкции к машинам, обеспечив выпуск ее с первым серийным танком. </w:t>
      </w:r>
    </w:p>
    <w:p w14:paraId="764D80A6" w14:textId="77777777" w:rsidR="000321AF" w:rsidRPr="00DB5D0D" w:rsidRDefault="000321A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lastRenderedPageBreak/>
        <w:t xml:space="preserve">Моим помощникам Комбригу т. ПАНФИЛОВУ и Военинженеру 1 ранга тов. КОРОБКОВУ докладывать мне ежедекадно о ходе выполнения всех работ, принимая решительные меры к устранению всех недостатков. </w:t>
      </w:r>
    </w:p>
    <w:p w14:paraId="164D5712" w14:textId="77777777" w:rsidR="000321AF" w:rsidRPr="00DB5D0D" w:rsidRDefault="000321AF"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Служебное соответствие и работу состава АБТУ КА и лиц военпредовской приемки буду оценивать по действительным результатам выполнения правительственного постановления по выпуску танков»</w:t>
      </w:r>
      <w:r w:rsidRPr="00DB5D0D">
        <w:rPr>
          <w:rFonts w:ascii="Times New Roman" w:hAnsi="Times New Roman"/>
          <w:color w:val="000000" w:themeColor="text1"/>
          <w:sz w:val="16"/>
          <w:szCs w:val="16"/>
        </w:rPr>
        <w:t xml:space="preserve">. </w:t>
      </w:r>
    </w:p>
    <w:p w14:paraId="3011FD45" w14:textId="77777777" w:rsidR="000321AF" w:rsidRPr="00DB5D0D" w:rsidRDefault="000321AF" w:rsidP="00DB5D0D">
      <w:pPr>
        <w:pStyle w:val="ae"/>
        <w:spacing w:before="0" w:after="0"/>
        <w:jc w:val="both"/>
        <w:rPr>
          <w:color w:val="000000" w:themeColor="text1"/>
          <w:sz w:val="16"/>
          <w:szCs w:val="16"/>
        </w:rPr>
      </w:pPr>
      <w:r w:rsidRPr="00DB5D0D">
        <w:rPr>
          <w:bCs/>
          <w:color w:val="000000" w:themeColor="text1"/>
          <w:sz w:val="16"/>
          <w:szCs w:val="16"/>
        </w:rPr>
        <w:t>[РГВА. Ф. 31811. Оп. 2. Д. 1038. Л. 33 – 35]</w:t>
      </w:r>
    </w:p>
    <w:p w14:paraId="3D2E0E97" w14:textId="77777777" w:rsidR="000321AF" w:rsidRPr="00DB5D0D" w:rsidRDefault="000321A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Столь категоричный тон приказа № 025с был вызван, прежде всего, всё нараставшей угрозой со стороны нацистской Германии и её союзников. Вторая мировая война или, как её называли в то время в СССР – Вторая империалистическая война, всё больше и больше разворачивалась в Европе. На западе вермахт громил французские войска, на севере 10 июня 1940 г. завершилась военная операция по оккупации немецкими войсками Норвегии, и в этот же день фашистская Италия объявила войну Англии и Франции (18076). </w:t>
      </w:r>
    </w:p>
    <w:p w14:paraId="2AF29E7C" w14:textId="77777777" w:rsidR="000321AF" w:rsidRPr="00DB5D0D" w:rsidRDefault="000321AF" w:rsidP="00DB5D0D">
      <w:pPr>
        <w:spacing w:after="0" w:line="240" w:lineRule="auto"/>
        <w:jc w:val="both"/>
        <w:rPr>
          <w:rFonts w:ascii="Times New Roman" w:hAnsi="Times New Roman"/>
          <w:color w:val="000000" w:themeColor="text1"/>
          <w:sz w:val="16"/>
          <w:szCs w:val="16"/>
        </w:rPr>
      </w:pPr>
    </w:p>
    <w:p w14:paraId="38B6B68A" w14:textId="77777777" w:rsidR="00A25AD1" w:rsidRPr="00DB5D0D" w:rsidRDefault="00A25AD1" w:rsidP="00DB5D0D">
      <w:pPr>
        <w:pStyle w:val="a3"/>
        <w:rPr>
          <w:color w:val="000000" w:themeColor="text1"/>
          <w:lang w:val="ru-RU"/>
        </w:rPr>
      </w:pPr>
      <w:r w:rsidRPr="00DB5D0D">
        <w:rPr>
          <w:color w:val="000000" w:themeColor="text1"/>
          <w:lang w:val="ru-RU"/>
        </w:rPr>
        <w:t>3 июня 1940 г. в заводом № 183 в АБТУ был направлен отчет по испытаниям литых траков Т-34 для рассмотрения и принятия ре</w:t>
      </w:r>
      <w:r w:rsidRPr="00DB5D0D">
        <w:rPr>
          <w:color w:val="000000" w:themeColor="text1"/>
          <w:lang w:val="ru-RU"/>
        </w:rPr>
        <w:softHyphen/>
        <w:t>шения о вводе литой гусеницы в серийное производство. В конце июня начальник 8 отдела АБТУ Военинженер 1 -го ранка С А Афонин уведомил письмом №74005с от 29 июня 1940 г. о своем решении по данному вопросу руководство завода №183 и Главспецмаш:</w:t>
      </w:r>
    </w:p>
    <w:p w14:paraId="5485AE83" w14:textId="77777777" w:rsidR="00A25AD1" w:rsidRPr="00DB5D0D" w:rsidRDefault="00A25AD1" w:rsidP="00DB5D0D">
      <w:pPr>
        <w:pStyle w:val="201"/>
        <w:shd w:val="clear" w:color="auto" w:fill="auto"/>
        <w:spacing w:before="0" w:line="240" w:lineRule="auto"/>
        <w:rPr>
          <w:b w:val="0"/>
          <w:i w:val="0"/>
          <w:iCs w:val="0"/>
          <w:color w:val="000000" w:themeColor="text1"/>
          <w:sz w:val="16"/>
          <w:szCs w:val="16"/>
          <w:lang w:val="ru-RU"/>
        </w:rPr>
      </w:pPr>
      <w:r w:rsidRPr="00DB5D0D">
        <w:rPr>
          <w:b w:val="0"/>
          <w:bCs w:val="0"/>
          <w:i w:val="0"/>
          <w:iCs w:val="0"/>
          <w:color w:val="000000" w:themeColor="text1"/>
          <w:sz w:val="16"/>
          <w:szCs w:val="16"/>
          <w:lang w:val="ru-RU"/>
        </w:rPr>
        <w:t>Хотя предварительные испытания литой гусеницы дали ряд по</w:t>
      </w:r>
      <w:r w:rsidRPr="00DB5D0D">
        <w:rPr>
          <w:b w:val="0"/>
          <w:bCs w:val="0"/>
          <w:i w:val="0"/>
          <w:iCs w:val="0"/>
          <w:color w:val="000000" w:themeColor="text1"/>
          <w:sz w:val="16"/>
          <w:szCs w:val="16"/>
          <w:lang w:val="ru-RU"/>
        </w:rPr>
        <w:softHyphen/>
        <w:t>ложительных результатов, но, несмотря на это окончательного вы</w:t>
      </w:r>
      <w:r w:rsidRPr="00DB5D0D">
        <w:rPr>
          <w:b w:val="0"/>
          <w:bCs w:val="0"/>
          <w:i w:val="0"/>
          <w:iCs w:val="0"/>
          <w:color w:val="000000" w:themeColor="text1"/>
          <w:sz w:val="16"/>
          <w:szCs w:val="16"/>
          <w:lang w:val="ru-RU"/>
        </w:rPr>
        <w:softHyphen/>
        <w:t>вода о введении на серийное производство сделать нельзя, так как пройденный километраж за время испытаний (417 км) недостато</w:t>
      </w:r>
      <w:r w:rsidRPr="00DB5D0D">
        <w:rPr>
          <w:b w:val="0"/>
          <w:bCs w:val="0"/>
          <w:i w:val="0"/>
          <w:iCs w:val="0"/>
          <w:color w:val="000000" w:themeColor="text1"/>
          <w:sz w:val="16"/>
          <w:szCs w:val="16"/>
          <w:lang w:val="ru-RU"/>
        </w:rPr>
        <w:softHyphen/>
        <w:t>чен. АБТУ КА считает необходимым испытываемый образец литой гусеницы подвергнуть испытанию до полного ее износа. Необходи</w:t>
      </w:r>
      <w:r w:rsidRPr="00DB5D0D">
        <w:rPr>
          <w:b w:val="0"/>
          <w:bCs w:val="0"/>
          <w:i w:val="0"/>
          <w:iCs w:val="0"/>
          <w:color w:val="000000" w:themeColor="text1"/>
          <w:sz w:val="16"/>
          <w:szCs w:val="16"/>
          <w:lang w:val="ru-RU"/>
        </w:rPr>
        <w:softHyphen/>
        <w:t>мо устранить указанные в отчете недоработки по тракам и изгото</w:t>
      </w:r>
      <w:r w:rsidRPr="00DB5D0D">
        <w:rPr>
          <w:b w:val="0"/>
          <w:bCs w:val="0"/>
          <w:i w:val="0"/>
          <w:iCs w:val="0"/>
          <w:color w:val="000000" w:themeColor="text1"/>
          <w:sz w:val="16"/>
          <w:szCs w:val="16"/>
          <w:lang w:val="ru-RU"/>
        </w:rPr>
        <w:softHyphen/>
        <w:t>вить 2 комплекта этой гусеницы, которые подвергнул, испытанию на гарантийный километраж на танках, предъявленных госкомиссии для испытания двигателя М-250.</w:t>
      </w:r>
      <w:r w:rsidRPr="00DB5D0D">
        <w:rPr>
          <w:rStyle w:val="20MSMincho30pt55"/>
          <w:rFonts w:ascii="Times New Roman" w:cs="Times New Roman"/>
          <w:bCs/>
          <w:iCs/>
          <w:color w:val="000000" w:themeColor="text1"/>
          <w:spacing w:val="0"/>
          <w:lang w:val="ru-RU"/>
        </w:rPr>
        <w:t xml:space="preserve"> [</w:t>
      </w:r>
      <w:r w:rsidRPr="00DB5D0D">
        <w:rPr>
          <w:b w:val="0"/>
          <w:bCs w:val="0"/>
          <w:i w:val="0"/>
          <w:iCs w:val="0"/>
          <w:color w:val="000000" w:themeColor="text1"/>
          <w:sz w:val="16"/>
          <w:szCs w:val="16"/>
          <w:lang w:val="ru-RU"/>
        </w:rPr>
        <w:t>РГВА. Ф.31811. Оп.2. Д. 1181. Л. 117.</w:t>
      </w:r>
      <w:r w:rsidRPr="00DB5D0D">
        <w:rPr>
          <w:rStyle w:val="20MSMincho30pt55"/>
          <w:rFonts w:ascii="Times New Roman" w:cs="Times New Roman"/>
          <w:bCs/>
          <w:iCs/>
          <w:color w:val="000000" w:themeColor="text1"/>
          <w:spacing w:val="0"/>
          <w:lang w:val="ru-RU"/>
        </w:rPr>
        <w:t>]</w:t>
      </w:r>
      <w:r w:rsidRPr="00DB5D0D">
        <w:rPr>
          <w:rStyle w:val="20MSMincho30pt55"/>
          <w:rFonts w:ascii="Times New Roman" w:cs="Times New Roman"/>
          <w:bCs/>
          <w:iCs/>
          <w:noProof w:val="0"/>
          <w:color w:val="000000" w:themeColor="text1"/>
          <w:spacing w:val="0"/>
          <w:lang w:val="ru-RU"/>
        </w:rPr>
        <w:t xml:space="preserve"> (11904).</w:t>
      </w:r>
    </w:p>
    <w:p w14:paraId="2784C463" w14:textId="77777777" w:rsidR="00A25AD1" w:rsidRPr="00DB5D0D" w:rsidRDefault="00A25AD1" w:rsidP="00DB5D0D">
      <w:pPr>
        <w:pStyle w:val="a3"/>
        <w:rPr>
          <w:color w:val="000000" w:themeColor="text1"/>
          <w:lang w:val="ru-RU"/>
        </w:rPr>
      </w:pPr>
    </w:p>
    <w:p w14:paraId="2B6ED9EA" w14:textId="77777777" w:rsidR="00CB30A8" w:rsidRPr="00DB5D0D" w:rsidRDefault="00CB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июня 1940 подготовленный в самом конце мая 1940 г. Отчет № 014 об испытании литых траков и окончательно оформленный и подписанный, с препроводительными письмами № СО2854 отправлен с завода № 183 в АБТУ РККА и Главспецмаш НКСМ для принятия решения о вводе литых траков в серийное производство. Изучив результаты испытаний литых траков, 29 июня 1940 г. начальник 8-го отдела АБТУ РККА военинженер 1 ранга С.А. Афонин направил начальнику Главспецмаша НКСМ СССР Г.С. Суреняну письмо № 74005с следующего содержания: </w:t>
      </w:r>
    </w:p>
    <w:p w14:paraId="56AAB894" w14:textId="77777777" w:rsidR="00CB30A8" w:rsidRPr="00DB5D0D" w:rsidRDefault="00CB30A8"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«Хотя предварительные испытания литой гусеницы дали ряд положительных результатов, но несмотря на это окончательного вывода о введении на серийное производство сделать нельзя, так как пройденный километраж за время испытаний (417 км) недостаточен. </w:t>
      </w:r>
    </w:p>
    <w:p w14:paraId="6E77E60C" w14:textId="77777777" w:rsidR="00CB30A8" w:rsidRPr="00DB5D0D" w:rsidRDefault="00CB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АБТУ КА считает необходимым испытываемый образец литой гусеницы подвергнуть испытанию до полного износа. Необходимо устранить указанные в отчете недоработки по тракам и изготовить 2 комплекта этой гусеницы, которые подвергнуть испытанию на гарантийный километраж на танках, предъявленных госкомиссии для испытания двигателя М-250».</w:t>
      </w:r>
      <w:r w:rsidRPr="00DB5D0D">
        <w:rPr>
          <w:rFonts w:ascii="Times New Roman" w:hAnsi="Times New Roman"/>
          <w:color w:val="000000" w:themeColor="text1"/>
          <w:sz w:val="16"/>
          <w:szCs w:val="16"/>
        </w:rPr>
        <w:t xml:space="preserve"> </w:t>
      </w:r>
    </w:p>
    <w:p w14:paraId="08C143DD" w14:textId="77777777" w:rsidR="00CB30A8" w:rsidRPr="00DB5D0D" w:rsidRDefault="00CB30A8" w:rsidP="00DB5D0D">
      <w:pPr>
        <w:pStyle w:val="ae"/>
        <w:spacing w:before="0" w:after="0"/>
        <w:jc w:val="both"/>
        <w:rPr>
          <w:color w:val="000000" w:themeColor="text1"/>
          <w:sz w:val="16"/>
          <w:szCs w:val="16"/>
        </w:rPr>
      </w:pPr>
      <w:r w:rsidRPr="00DB5D0D">
        <w:rPr>
          <w:bCs/>
          <w:color w:val="000000" w:themeColor="text1"/>
          <w:sz w:val="16"/>
          <w:szCs w:val="16"/>
        </w:rPr>
        <w:t>[РГВА. Ф.31811. Оп. 2. Д. 1181. Л 117]</w:t>
      </w:r>
    </w:p>
    <w:p w14:paraId="79551F2B" w14:textId="77777777" w:rsidR="00CB30A8" w:rsidRPr="00DB5D0D" w:rsidRDefault="00CB30A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Ход дальнейших событий показал, что во время испытаний литых траков, проведенных одновременно с государственными испытаниями дизеля М-250 в августе – сентябре 1940 г., все траки бездефектно проработали до 600 – 700 км, а часть из них выдержала испытание на дистанции вдвое большей. Однако, из-за недостаточного гарантийного срока службы, литые траки, так и небыли утверждены руководством АБТУ РККА на серийное производство. Но исходя из экономических и технологических факторов, а так же надежды на то, что СТЗ удастся в кратчайшие сроки улучшить качество литых траков и добиться требуемых показателей по гарантийному ресурсу (до 2000 км), в 1940 г. на серийные танки Т-34 устанавливались именно они, вместо утвержденных АБТУ РККА штампованных (17625). </w:t>
      </w:r>
    </w:p>
    <w:p w14:paraId="5199A311" w14:textId="77777777" w:rsidR="00CB30A8" w:rsidRPr="00DB5D0D" w:rsidRDefault="00CB30A8" w:rsidP="00DB5D0D">
      <w:pPr>
        <w:spacing w:after="0" w:line="240" w:lineRule="auto"/>
        <w:jc w:val="both"/>
        <w:rPr>
          <w:rFonts w:ascii="Times New Roman" w:hAnsi="Times New Roman"/>
          <w:color w:val="000000" w:themeColor="text1"/>
          <w:sz w:val="16"/>
          <w:szCs w:val="16"/>
        </w:rPr>
      </w:pPr>
    </w:p>
    <w:p w14:paraId="0E119321"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 июня 1940</w:t>
      </w:r>
    </w:p>
    <w:p w14:paraId="5346053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40422F7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 СО 2854 </w:t>
      </w:r>
    </w:p>
    <w:p w14:paraId="462311EA"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3/VI 1940 г. "УТВЕРЖДАЮ" </w:t>
      </w:r>
    </w:p>
    <w:p w14:paraId="4A730E41"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 ГЛ. КОНСТРУКТОР ЗАВОДА подпись Морозова А.А. </w:t>
      </w:r>
    </w:p>
    <w:p w14:paraId="3AF6C20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"СОГЛАСЕН" </w:t>
      </w:r>
    </w:p>
    <w:p w14:paraId="277F8940"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В.П. АБТУ </w:t>
      </w:r>
    </w:p>
    <w:p w14:paraId="62C120E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ОТЧЕТ № 014</w:t>
      </w:r>
    </w:p>
    <w:p w14:paraId="261766A1"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Бюро "540" от 21/V-40 года.</w:t>
      </w:r>
    </w:p>
    <w:p w14:paraId="6AC8F0D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испытанию литых гусеничных лент из стали Гатфильда на танке "А-34".</w:t>
      </w:r>
    </w:p>
    <w:p w14:paraId="39CD98AB"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ОСНОВАНИЕ: Распоряжение директора завода им. Коминтерна от 6/III-40 г. Письмо СТЗ им. Дзержинского за № 0824. Заказ № 354058. </w:t>
      </w:r>
    </w:p>
    <w:p w14:paraId="1F66A320"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 ХАРАКТЕРИСТИКА.</w:t>
      </w:r>
    </w:p>
    <w:p w14:paraId="3F8CD5A5"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Гусеничные ленты собраны из траков закрашенных зеленой краской с тремя штампами ОТК, которые, по мнению завода изготовителя (СТЗ им. Дзержинского), являются лучшими из присланной партии траков. Литые траки гусеничных лент (дет. 34-44-004 и 34-44-005) с шагом 167 мм и шириной 550 мм отличаются от существующих (штампованных, материал сталь хромансиль) тем, что опытные траки отлиты из стали Гатфильда. Литые траки гусеничных лент механической обработке не подвергались. </w:t>
      </w:r>
    </w:p>
    <w:p w14:paraId="18ECFEAC"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осмотре траков были обнаружены трещины внутри гребня, от усадки материала при остывании, мелкие раковины у подножия почвозацепов и у проушин на 103 траках из комплекта гус. лент (148 шт.). </w:t>
      </w:r>
    </w:p>
    <w:p w14:paraId="56F2DD4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Из траков с указанными дефектами собраны 2 гусеничные ленты по 74 трака в каждой. Пальцы изготовлены из материала ст. 40СХ Ø18–0.2 мм, L=262–1.5 мм (ставятся по 2 шт. на трак). </w:t>
      </w:r>
    </w:p>
    <w:p w14:paraId="3E1EFF79"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сборке обнаружено, что заусенцы от литья на проушинах, в углах пазов для проушин и перекосы траков не позволяют соединить их пальцами, а если и возможно соединить, то не обеспечится относительное проворачивание траков. Заусенцы от литья на проушинах и боковые кромки проушин были сточены на наждачном точиле и только путем индивидуальной подгонки каждого трака в отдельности были собраны гусеничные ленты. </w:t>
      </w:r>
    </w:p>
    <w:p w14:paraId="463B9E46"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 Цель.</w:t>
      </w:r>
    </w:p>
    <w:p w14:paraId="7833AAA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Определить пригодность к эксплоатации литых гусеничных лент из стали Гатфильда на танке "Т-34". </w:t>
      </w:r>
    </w:p>
    <w:p w14:paraId="7127F1C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III. Программа.</w:t>
      </w:r>
    </w:p>
    <w:p w14:paraId="24748451"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Лабораторные испытания. </w:t>
      </w:r>
    </w:p>
    <w:p w14:paraId="2504E37B"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Произвести динамические испытания на копре (ударом) траков гусеничных лент – 4 трака стального литья (2 плоских и 2 гребневых) и 4 трака штампованных (2 плоских и 2 гребневых) для сравнения. </w:t>
      </w:r>
    </w:p>
    <w:p w14:paraId="4797A72C"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Произвести статическое испытание на разрыв 3 – 4 трака (цепочку) литых и штампованных для сравнения. </w:t>
      </w:r>
    </w:p>
    <w:p w14:paraId="1FF5136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В случае невозможности разрыва траков, необходимо составить цепочку из кусков траков по 2–3 проушины и также испытать на разрыв (разрыв обязателен). </w:t>
      </w:r>
    </w:p>
    <w:p w14:paraId="17F56C9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Произвести статическое испытание траков на изгиб под прессом – 4 трака литых (2 пл. и 2 гр.) и 4 трака штампованных (2 пл. и 2 гр.). </w:t>
      </w:r>
    </w:p>
    <w:p w14:paraId="3D54D75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Испытать траки на истирание, изготовив образцы из траков и пальцев. </w:t>
      </w:r>
    </w:p>
    <w:p w14:paraId="7AD52A2B"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Определить твердость по Бринеллю, макро и микроструктуру, вязкость и механические свойства траков штампованных и литых. </w:t>
      </w:r>
    </w:p>
    <w:p w14:paraId="5EBFBB77"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Ходовые испытания. </w:t>
      </w:r>
    </w:p>
    <w:p w14:paraId="7C87AA34"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Перед началом испытаний произвести замеры проушин и пальцев 3 – 4 траков. </w:t>
      </w:r>
    </w:p>
    <w:p w14:paraId="7B99954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Собрать гусеничные ленты по 74 трака согласно ТУ. </w:t>
      </w:r>
    </w:p>
    <w:p w14:paraId="4DFFF54B"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Первые 50 км гусеничные ленты подвергнуть испытаниям на твердом грунте (булыжное шоссе, щебенка). </w:t>
      </w:r>
    </w:p>
    <w:p w14:paraId="6F7222D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Во время испытаний на булыжном шоссе произвести 10 торможений на IV передаче при 1700 – 1800 об/мин. вала мотора. </w:t>
      </w:r>
    </w:p>
    <w:p w14:paraId="08B0C30B"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После испытаний на булыжном шоссе гусеничные ленты разобрать и каждый трак осмотреть через лупу, для выявления трещин, и определить разработку проушин и пальцев путем замеров. </w:t>
      </w:r>
    </w:p>
    <w:p w14:paraId="0037448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IV. Объем проведенных работ и результаты испытаний</w:t>
      </w:r>
    </w:p>
    <w:p w14:paraId="634DC0F8"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а) Лабораторные испытания.</w:t>
      </w:r>
    </w:p>
    <w:p w14:paraId="38F0CB94"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 Произведено динамическое испытание траков гусеничных лент на копре (ударом) при весе бабы копра 0,5 тонны при переменной высоте падения. </w:t>
      </w:r>
    </w:p>
    <w:p w14:paraId="08BEBAB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Траки перед испытанием устанавливались на двух опорах с расстоянием между ними = 400 – 450 мм. Траки с гребнем устанавливались гребнем вверх, причем удар бабы воспринимался вершиной гребня. Плоские траки устанавливались беговой дорожкой вверх. Углы изгиба траков после удара замерялись с обоих сторон. </w:t>
      </w:r>
    </w:p>
    <w:p w14:paraId="180CEE8C"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Результаты испытаний. </w:t>
      </w:r>
    </w:p>
    <w:p w14:paraId="432826F5"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Штампованный трак – плоский (из хромансиля) </w:t>
      </w:r>
    </w:p>
    <w:p w14:paraId="766B646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Высота падения бабы Н = 2 мт. – трак согнут на угол 10°, следов трещин нет. </w:t>
      </w:r>
    </w:p>
    <w:p w14:paraId="10F70C93"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б) Н = 3,5 мт. – трак лопнул на 2 части по середине при изгибе на угол ~ 25°. </w:t>
      </w:r>
    </w:p>
    <w:p w14:paraId="70AA1860"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Литой трак – плоский (сталь Гатфильда) </w:t>
      </w:r>
    </w:p>
    <w:p w14:paraId="487604D3"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 = 2 мт. – трак согнут на угле 20 – 30°, следов трещин нет. </w:t>
      </w:r>
    </w:p>
    <w:p w14:paraId="72A3E67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Н = 3,5 мт. – трак согнут на угле 30 – 40°, следов трещин нет. </w:t>
      </w:r>
    </w:p>
    <w:p w14:paraId="14CE79CB"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Н = 6 мт. – трак согнут на угле 30 – 45°, трещина-разрыв на почвозацепе глубиной 25 мм. </w:t>
      </w:r>
    </w:p>
    <w:p w14:paraId="50232AB3"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Штампованный трак с гребнем (из хромансиля) </w:t>
      </w:r>
    </w:p>
    <w:p w14:paraId="7029F994"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 = 2 мт. – трак согнут на угле 15°, следов трещин нет. </w:t>
      </w:r>
    </w:p>
    <w:p w14:paraId="155899D4"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Н = 4 мт. – трак согнут на угле 20 – 25°, трещина-разрыв на почвозацепе глубиной 25 мм. </w:t>
      </w:r>
    </w:p>
    <w:p w14:paraId="0312259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Н = 6 мт. – трак согнут с одной стороны на угол 60°, трещина-разрыв у гребня, выходящая на плицу с одной стороны на 10 мм, а с другой стороны на 40 мм. </w:t>
      </w:r>
    </w:p>
    <w:p w14:paraId="6A3A02CD"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Литой трак с гребнем (сталь Гатфильда) </w:t>
      </w:r>
    </w:p>
    <w:p w14:paraId="4E8A5B99"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 = 2 мт. – трак согнут на угле 30°, трещин нет, смята средняя проушина и вершина гребня. </w:t>
      </w:r>
    </w:p>
    <w:p w14:paraId="2CE8E75B"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Н = 4 мт. – трак согнут на угле 35°, следов трещин нет, смята и погнута вершина гребня. </w:t>
      </w:r>
    </w:p>
    <w:p w14:paraId="7E0061AD"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Н = 6 мт. – трак согнут на угле 30°, заметное удлинение (вытяжка) почвозацепа, смята средняя проушина и согнута вершина гребня. </w:t>
      </w:r>
    </w:p>
    <w:p w14:paraId="6FB01EF5"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Данные по испытаниям на копре говорят за то, что литые траки из стали Гатфильда по вязкости лучше, чем штампованные из стали Хромансиль. </w:t>
      </w:r>
    </w:p>
    <w:p w14:paraId="52A0999C"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 Произведено статическое испытание траков на изгиб под прессом. </w:t>
      </w:r>
    </w:p>
    <w:p w14:paraId="7631D235"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Траки устанавливались на одну опору по центру. В верхней упорной части были установлены две опоры, расстояние между которыми равно 440 мм. </w:t>
      </w:r>
    </w:p>
    <w:p w14:paraId="705A219A"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Траки устанавливались на опоры так, что изгиб происходил в сторону почвозацепа – аналогично действию сил на изгиб траков установленных на танке. Испытаниям на изгиб подвергались только плоские траки, т.к. на существующем прессе в лаборатории невозможно было установить гребневые траки. Результаты испытаний: см. в таблице №1 </w:t>
      </w:r>
    </w:p>
    <w:p w14:paraId="4CC815F1"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Таблица № 1.</w:t>
      </w:r>
    </w:p>
    <w:p w14:paraId="32FEA847"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Данная таблица показывает, что литые траки из стали Гатфильда при меньшей нагрузке дают больший угол и при этом дефекты такие же, как и у штампованных траков при большей нагрузке и при меньших углах изгибов. </w:t>
      </w:r>
    </w:p>
    <w:p w14:paraId="6E8A6A95"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 Ходовые испытания.</w:t>
      </w:r>
    </w:p>
    <w:p w14:paraId="4F27B836"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Комплект литых гусеничных лент, собранных из траков ст. Гатфильда был смонтирован на танк А-34 № 311-18-3 и за период с 12/V-40 по 17/V-40г. прошел 417 км, из них: по грунтовой дороге – 195 км, по песчаной дороге – 80 км и по булыжному шоссе – 142 км. Средняя скорость чистого движения за время испытаний была по грунтовой дороге – 22,9 км/час и 37 км/час по булыжному шоссе. </w:t>
      </w:r>
    </w:p>
    <w:p w14:paraId="41D2C09D"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За пройденный километраж имело место: сработка заклепок и утеря их на 50%, выход пальцев из проушин (2 случая в начале испытаний, первый на 61 км, второй на 120 км пути). Выход пальцев из проушин объясняется тем, что палец еще не приработался по месту благодаря большим зазорам в отверстиях проушин для пальца (Ø18 +1,0 мм, а палец Ø18 –0,12 мм). Кроме этого производилась 3 раза подтяжка гусеничных лент. </w:t>
      </w:r>
    </w:p>
    <w:p w14:paraId="4D342E70"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Гусеничные ленты из литых траков подвергались специспытаниям на булыжном шоссе, которые заключались в следующем: </w:t>
      </w:r>
    </w:p>
    <w:p w14:paraId="65E64BA3"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Движение танка по булыжному шоссе на IV передаче при 1700 – 1800 об./мин. коленвала мотора. </w:t>
      </w:r>
    </w:p>
    <w:p w14:paraId="4EF09AF5"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3 торможения на IV передаче при 1700 – 1800 об./мин. коленвала мотора. </w:t>
      </w:r>
    </w:p>
    <w:p w14:paraId="7F7594AC"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Движение танка по камням (булыжник). </w:t>
      </w:r>
    </w:p>
    <w:p w14:paraId="5CD58B5C"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движении танка по булыжному шоссе на IV передаче при 1700 – 1800 об./мин. коленвала мотора была выдержана скорость 36 – 37 км/час – танк прошел 111 км. Дефектов в пути по гусеничным лентам не обнаружено, за исключением утери шплинтов пальцев. </w:t>
      </w:r>
    </w:p>
    <w:p w14:paraId="07503273"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Торможение: </w:t>
      </w:r>
    </w:p>
    <w:p w14:paraId="2AAC1A14"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При 1600 об./мин. коленвала мотора на IV передаче с разгона 300 – 350 метров было произведено торможение – путь торможения 7 метров, при этом дефектов не обнаружено. </w:t>
      </w:r>
    </w:p>
    <w:p w14:paraId="277142DD"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Разгон 360 – 400 метров на IV передаче при 1800 об./мин. коленвала мотора произведено торможение – путь торможения 12 метров за время 4 секунды. Дефектов не обнаружено. </w:t>
      </w:r>
    </w:p>
    <w:p w14:paraId="3F1EEAB5"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Разгон 250 – 300 метров на IV передаче при 1800 об./мин. коленвала мотора произведено торможение – путь торможения 12 метров за время 5 секунд. Дефектов не обнаружено. </w:t>
      </w:r>
    </w:p>
    <w:p w14:paraId="201EF41A"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Кроме этого танк двигался по специально подложенным камням на булыжном шоссе, танк прошел через камни – дефектов не обнаружено. </w:t>
      </w:r>
    </w:p>
    <w:p w14:paraId="5E8754D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После пройденного километража и специспытаний гусеничные ленты были сняты с танка и произведен тщательный осмотр правой гусеничной ленты, при этом было обнаружено отсутствие шплинтов на ~ 50%. Гусеничная лента была разобрана, и каждый трак в отдельности был осмотрен через лупу. </w:t>
      </w:r>
    </w:p>
    <w:p w14:paraId="08CDF228"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Результаты осмотра:</w:t>
      </w:r>
    </w:p>
    <w:p w14:paraId="5FCF914A"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Плоские траки трещин от ударов и эксплоатации по булыжному шоссе, а также механических повреждений не имеют. </w:t>
      </w:r>
    </w:p>
    <w:p w14:paraId="3905BCE5"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Гребневые траки, из количества просмотренных 37 штук, имеют следующие: </w:t>
      </w:r>
    </w:p>
    <w:p w14:paraId="2C2C5E15"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6 шт. трещин и повреждений не имеют. </w:t>
      </w:r>
    </w:p>
    <w:p w14:paraId="3D220AA5"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29 шт. – имеют трещины на беговой дорожке у подножия гребня, со стороны соприкосновения гребня с роликом гусеничного колеса (со стороны почвозацепа), размером от 10 мм до 40 мм. </w:t>
      </w:r>
    </w:p>
    <w:p w14:paraId="5DFF2C90"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2 шт. – имеют сквозные трещины до середины. </w:t>
      </w:r>
    </w:p>
    <w:p w14:paraId="215D7B3D"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Трещины у подножия гребня во всех просмотренных траках имеют один и тот же характер – это значит, что гребневой трак имеет слабое место у подножия гребня, которое необходимо усилить (конструктивный дефект), см. эскиз. </w:t>
      </w:r>
    </w:p>
    <w:p w14:paraId="1A4D8E5B"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сравнения были подвергнуты наружному осмотру штампованные траки гусеничных лент, прошедшие 3131 км, при этом была обнаружена только одна трещина размером 15 – 20 мм на 1-м траке у гребня из просмотренных 40 шт. траков. </w:t>
      </w:r>
    </w:p>
    <w:p w14:paraId="2C5AFF91"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Проведен замер пальцев и проушин литых траков, результаты замеров следующие: </w:t>
      </w:r>
    </w:p>
    <w:p w14:paraId="3A0B3498"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Данная таблица средних износов пальцев и проушин характеризует то, что пальцы литых гусеничных лент срабатываются меньше, чем проушины траков, а пальцы штампованных гусеничных лент срабатываются также как и проушины траков. Большой износ проушин литых траков из ст. Гатфильда против пальцев является недостатком гусеничных лент, т.к. при восстановлении гусеничных лент желательно заменять пальцы, а не траки. </w:t>
      </w:r>
    </w:p>
    <w:p w14:paraId="5AED79AB"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ПРИМЕЧАНИЕ: Данные по износу пальцев и проушин как литой гусеничной ленты из ст. Гатфильда, так и штампованной из ст. Хромансиль, нельзя рассматривать как окончательные, т.к. штампованные траки испытывались в зимних условиях, а литые в летних. </w:t>
      </w:r>
    </w:p>
    <w:p w14:paraId="636175C7"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Выводы</w:t>
      </w:r>
    </w:p>
    <w:p w14:paraId="2CF03946"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Проведенные испытания показали, что машина, оборудованная гусеничными лентами из литых траков стали Гатфильда за все время испытания (417 км) остановок и аварий по вине гусеничных лент не имела. Работа литой гусеницы на машине проходила нормально, без заклиниваний, соскакиваний и прочих дефектов, и в основном, была аналогична работе штампованной гусеницы. </w:t>
      </w:r>
    </w:p>
    <w:p w14:paraId="16D1EE13"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Результаты сборки и испытаний литой гусеницы выявили необходимость проведения следующих мероприятий: </w:t>
      </w:r>
    </w:p>
    <w:p w14:paraId="0EA718DC"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 Устранение литейных пороков траков (трещины и крупные раковины). </w:t>
      </w:r>
    </w:p>
    <w:p w14:paraId="3B716E1D"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 Получение более чистых отливок, обеспечивающих нормальное сопряжение траков в проушинах и свободное их относительное проворачивание на пальцах, без индивидуальной подгонки траков, которая имела место при сборке испытываемой гусеницы. </w:t>
      </w:r>
    </w:p>
    <w:p w14:paraId="099A1F3D"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 Обеспечение чистоты отверстий проушин траков для лучшей приработки пальцев. </w:t>
      </w:r>
    </w:p>
    <w:p w14:paraId="78AD0C5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 Проведение усиления гребневого трака у подножия гребня для исключения появления трещин в указанных местах. </w:t>
      </w:r>
    </w:p>
    <w:p w14:paraId="21BEA997"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Считаем, что проведенные испытания подтвердили полную возможность применения на маш. "А-34" литой гусеницы из ст. Гатфильда взамен штампованной и с приведением вышеперечисленных мероприятий литая гусеница будет пригодна для эксплоатации на машине "А-34". </w:t>
      </w:r>
    </w:p>
    <w:p w14:paraId="2A7CCCD0"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Литая гусеница, как не требующая механической обработки и дорогостоящего штамповочного оборудования, является нетрудоемкой в изготовлении и экономически выгодной. </w:t>
      </w:r>
    </w:p>
    <w:p w14:paraId="10CA21EE"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Что же касается срока службы литой гусеницы, то для дачи окончательного заключения необходимо гусеницу, изготовленную с учетом всех указанных мероприятий, подвергнуть испытаниям на гарантийный километраж в летних условиях. Одновременно считаем необходимым, продолжать испытания первой гусеницы, прошедшей 417 км, до ее окончательного износа, согласно имеющийся программы, для определения влияния выявленных дефектов на работоспособность гусеницы. </w:t>
      </w:r>
    </w:p>
    <w:p w14:paraId="35845D2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 500 подпись (ГУТНИК)</w:t>
      </w:r>
    </w:p>
    <w:p w14:paraId="31F7B6FB"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 540 подпись (ГОРЮН)</w:t>
      </w:r>
    </w:p>
    <w:p w14:paraId="07338C09"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Ст. инж. подпись (АМИРАГОВ)</w:t>
      </w:r>
    </w:p>
    <w:p w14:paraId="5F8FE85E"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Техник подпись 31.5.40 (ГУБКИН)</w:t>
      </w:r>
    </w:p>
    <w:p w14:paraId="2ED259B5"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Конструктор подпись (БАРОН)</w:t>
      </w:r>
    </w:p>
    <w:p w14:paraId="56C83C62"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ВП 500 подпись (БАЙКОВ)</w:t>
      </w:r>
    </w:p>
    <w:p w14:paraId="5AC16E51"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Отп. 6 экз. </w:t>
      </w:r>
    </w:p>
    <w:p w14:paraId="49B1F6C9"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Губкин </w:t>
      </w:r>
    </w:p>
    <w:p w14:paraId="4B55634C"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2371 </w:t>
      </w:r>
    </w:p>
    <w:p w14:paraId="25CF3221"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23/V-40 г. </w:t>
      </w:r>
    </w:p>
    <w:p w14:paraId="18C2D576"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На документе пометы:</w:t>
      </w:r>
      <w:r w:rsidRPr="00DB5D0D">
        <w:rPr>
          <w:rFonts w:ascii="Times New Roman" w:eastAsia="Times New Roman" w:hAnsi="Times New Roman"/>
          <w:color w:val="000000" w:themeColor="text1"/>
          <w:sz w:val="16"/>
          <w:szCs w:val="16"/>
          <w:lang w:eastAsia="ru-RU"/>
        </w:rPr>
        <w:t xml:space="preserve"> </w:t>
      </w:r>
    </w:p>
    <w:p w14:paraId="0583CF8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w:t>
      </w:r>
    </w:p>
    <w:p w14:paraId="2CBE6390"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Шероховатость в ушках траков организовать устранение путем шлифовки или отливки. </w:t>
      </w:r>
    </w:p>
    <w:p w14:paraId="1EFE5126"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Усилить слабое место гребневого трака. </w:t>
      </w:r>
    </w:p>
    <w:p w14:paraId="1D7BDD5F"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Срочно дать заказ изготовить не меньше 5 компл. </w:t>
      </w:r>
    </w:p>
    <w:p w14:paraId="33E852B0"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15.6.40 подпись И.Г. Панова»</w:t>
      </w:r>
    </w:p>
    <w:p w14:paraId="72B90738"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листы 119 – 126</w:t>
      </w:r>
      <w:r w:rsidRPr="00DB5D0D">
        <w:rPr>
          <w:rFonts w:ascii="Times New Roman" w:eastAsia="Times New Roman" w:hAnsi="Times New Roman"/>
          <w:color w:val="000000" w:themeColor="text1"/>
          <w:sz w:val="16"/>
          <w:szCs w:val="16"/>
          <w:lang w:eastAsia="ru-RU"/>
        </w:rPr>
        <w:t xml:space="preserve"> (18076).</w:t>
      </w:r>
    </w:p>
    <w:p w14:paraId="3F56F504" w14:textId="77777777" w:rsidR="00EB6542" w:rsidRPr="00DB5D0D" w:rsidRDefault="00EB6542" w:rsidP="00DB5D0D">
      <w:pPr>
        <w:spacing w:after="0" w:line="240" w:lineRule="auto"/>
        <w:jc w:val="both"/>
        <w:rPr>
          <w:rFonts w:ascii="Times New Roman" w:eastAsia="Times New Roman" w:hAnsi="Times New Roman"/>
          <w:color w:val="000000" w:themeColor="text1"/>
          <w:sz w:val="16"/>
          <w:szCs w:val="16"/>
          <w:lang w:eastAsia="ru-RU"/>
        </w:rPr>
      </w:pPr>
    </w:p>
    <w:p w14:paraId="06027618" w14:textId="77777777" w:rsidR="006D5885" w:rsidRPr="00DB5D0D" w:rsidRDefault="006D58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июня 1940 г. отчет № 014 с препроводительным письмом № СО2854 был отправлен с завода № 183 в АБТУ РККА и Главспецмаш НКСМ для принятия решения о вводе литых траков в серийное производство. </w:t>
      </w:r>
    </w:p>
    <w:p w14:paraId="27792FD1" w14:textId="77777777" w:rsidR="006D5885" w:rsidRPr="00DB5D0D" w:rsidRDefault="006D58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29 июня 1940 г. начальник 8-го отдела АБТУ РККА военинженер 1 ранга С.А. Афонин направил начальнику Главспецмаша НКСМ Г.С. Суреняну и директору завода № 183 Ю.Е. Максареву письмо № 74005с следующего содержания: </w:t>
      </w:r>
    </w:p>
    <w:p w14:paraId="6F2C2822" w14:textId="77777777" w:rsidR="006D5885" w:rsidRPr="00DB5D0D" w:rsidRDefault="006D588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«Хотя предварительные испытания литой гусеницы дали ряд положительных результатов, но несмотря на это окончательного вывода о введении на серийное производство сделать нельзя, так как пройденный километраж за время испытаний (417 км) недостаточен. </w:t>
      </w:r>
    </w:p>
    <w:p w14:paraId="0C0C9DEF" w14:textId="77777777" w:rsidR="006D5885" w:rsidRPr="00DB5D0D" w:rsidRDefault="006D58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АБТУ КА считает необходимым испытываемый образец литой гусеницы подвергнуть испытанию до полного износа. Необходимо устранить указанные в отчете недоработки по тракам и изготовить 2 комплекта этой гусеницы, которые подвергнуть испытанию на гарантийный километраж на танках, предъявленных госкомиссии для испытания двигателя М-250»</w:t>
      </w:r>
      <w:r w:rsidRPr="00DB5D0D">
        <w:rPr>
          <w:rFonts w:ascii="Times New Roman" w:hAnsi="Times New Roman"/>
          <w:color w:val="000000" w:themeColor="text1"/>
          <w:sz w:val="16"/>
          <w:szCs w:val="16"/>
        </w:rPr>
        <w:t xml:space="preserve">. </w:t>
      </w:r>
    </w:p>
    <w:p w14:paraId="5B139DC8" w14:textId="77777777" w:rsidR="006D5885" w:rsidRPr="00DB5D0D" w:rsidRDefault="006D5885" w:rsidP="00DB5D0D">
      <w:pPr>
        <w:pStyle w:val="ae"/>
        <w:spacing w:before="0" w:after="0"/>
        <w:jc w:val="both"/>
        <w:rPr>
          <w:color w:val="000000" w:themeColor="text1"/>
          <w:sz w:val="16"/>
          <w:szCs w:val="16"/>
        </w:rPr>
      </w:pPr>
      <w:r w:rsidRPr="00DB5D0D">
        <w:rPr>
          <w:bCs/>
          <w:color w:val="000000" w:themeColor="text1"/>
          <w:sz w:val="16"/>
          <w:szCs w:val="16"/>
        </w:rPr>
        <w:t>[РГВА. Ф. 31811. Оп. 2. Д. 1181. Л. 117]</w:t>
      </w:r>
    </w:p>
    <w:p w14:paraId="1A98F832" w14:textId="77777777" w:rsidR="006D5885" w:rsidRPr="00DB5D0D" w:rsidRDefault="006D58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Дальнейший ход событий показал, что во время испытаний литых траков на гарантийный километраж, проведенных одновременно с государственными испытаниями дизеля М-250 в августе – сентябре 1940 г., все литые траки бездефектно проработали до 600 – 700 км, а часть траков выдержала испытание на дистанции в два раза большей. Однако из-за недостаточного гарантийного срока службы литые траки производства СТЗ руководством АБТУ РККА в 1940 г. не были утверждены для серийного производства. Но, исходя из экономических и технологических соображений, а также в надежде на то, что металлургам СТЗ удастся в кратчайшие сроки улучшить качество литых траков и добиться требуемых показателей по гарантийному ресурсу (до 2000 км), до конца 1940 г. на машины установочной партии и все серийные танки Т-34, вместо утвержденных АБТУ РККА штампованных устанавливались литые траки производства СТЗ, изготовленные по чертежам 34.44.004 и 34.44.005 (18076). </w:t>
      </w:r>
    </w:p>
    <w:p w14:paraId="79765746" w14:textId="77777777" w:rsidR="006D5885" w:rsidRPr="00DB5D0D" w:rsidRDefault="006D5885" w:rsidP="00DB5D0D">
      <w:pPr>
        <w:spacing w:after="0" w:line="240" w:lineRule="auto"/>
        <w:jc w:val="both"/>
        <w:rPr>
          <w:rFonts w:ascii="Times New Roman" w:eastAsia="Times New Roman" w:hAnsi="Times New Roman"/>
          <w:color w:val="000000" w:themeColor="text1"/>
          <w:sz w:val="16"/>
          <w:szCs w:val="16"/>
          <w:lang w:eastAsia="ru-RU"/>
        </w:rPr>
      </w:pPr>
    </w:p>
    <w:p w14:paraId="4BFF12B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37DBAB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971D0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 состоялся первый полет прообраза «Ме-163». Несмотря на проблемы с двигателем и топливом для него, а также небольшую продолжительность полета в целом, испытания были признаны успешными. Скороподъемность оказалась отличной, а летом 1940 года была достигнута скорость 547 км/ч.</w:t>
      </w:r>
    </w:p>
    <w:p w14:paraId="7E6086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Успешная апробация нового двигателя на «DFS-194» способствовало резкому увеличению темпу работ над самим «Me-163». Кроме того, из фирмы «Вальтер» поступали внушающие оптимизм сообщения о работах над созданием усовершенствованного ракетного двигателя «Walter HWK R.II. 203», тягу которого можно было регулировать в пределах от 150 до 750 кг. В качестве топлива в этих ЖРД использовалось вещество «Т-Stoff», в качестве окислителя – «Z-Stoff». При соединении топлива с окислителем образовывалась самовоспламеняющаяся смесь, что позволяло обходиться без элементов зажигания в камере сгорания. Липпиш планировал оснастить двигателями Вальтера машины новой модификации «Me-163A», а пока сосредоточился на достройке экспериментальных образцов «Me-163V1» и «Ме-163V2».</w:t>
      </w:r>
    </w:p>
    <w:p w14:paraId="581E22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над первым из них были завершены зимой 1941-42 годов в Лехфельде. Повышенный интерес со стороны ВВС повлек за собой размещение заказа на постройку еще четырех прототипов.</w:t>
      </w:r>
    </w:p>
    <w:p w14:paraId="172A15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Планерные испытания начались следующей весной. Образец под управлением Дитмара был поднят на буксире за самолетом «Bf.110C».</w:t>
      </w:r>
    </w:p>
    <w:p w14:paraId="4482C3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«Me-163V1» и тут продемонстрировал отличные аэродинамические качества – скорость снижения была только 1,5 м/с при скорости полета 220 км/ч. Но хорошие парящие качества и отсутствие закрылков сделали ракетоплан трудным при посадке в пределах выбранного аэродрома – пилот перелетел несколько сот метров от выбранной точки посадки.</w:t>
      </w:r>
    </w:p>
    <w:p w14:paraId="67A0D3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Затем «Me-163V1» был отбуксирован в Аугсбург, но перегон чуть не закончился потерей экспериментального самолета. Видя, что он промахивается мимо аэродрома, Дитмар был вынужден накренить самолет, чтобы проскочить в узкий промежуток между двумя ангарами, и приземлился уже за строениями аэродрома.</w:t>
      </w:r>
    </w:p>
    <w:p w14:paraId="1FE908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летные характеристики «Me-163V1» оказались очень хорошими. Эрнст Удет, шеф службы вооружений и поставок люфтваффе, наблюдая один из скоростных планирующих полетов «Ме-163» настолько впечатлился новой машиной, что проекту был придан высший приоритет (11688).</w:t>
      </w:r>
    </w:p>
    <w:p w14:paraId="49EF723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FDB3CD" w14:textId="77777777" w:rsidR="00D926C6" w:rsidRPr="00DB5D0D" w:rsidRDefault="00D926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 июня</w:t>
      </w:r>
      <w:r w:rsidRPr="00DB5D0D">
        <w:rPr>
          <w:rFonts w:ascii="Times New Roman" w:hAnsi="Times New Roman"/>
          <w:color w:val="000000" w:themeColor="text1"/>
          <w:sz w:val="16"/>
          <w:szCs w:val="16"/>
        </w:rPr>
        <w:t xml:space="preserve"> в 1940 году итальянская фирма «C.N.A». подписала контракт №1390 на поставку одного прототипа многоцелевого вспомогательного самолета </w:t>
      </w:r>
      <w:hyperlink r:id="rId98" w:tgtFrame="_blank" w:history="1">
        <w:r w:rsidRPr="00DB5D0D">
          <w:rPr>
            <w:rFonts w:ascii="Times New Roman" w:hAnsi="Times New Roman"/>
            <w:color w:val="000000" w:themeColor="text1"/>
            <w:sz w:val="16"/>
            <w:szCs w:val="16"/>
          </w:rPr>
          <w:t xml:space="preserve">«Р.М.1» </w:t>
        </w:r>
      </w:hyperlink>
      <w:r w:rsidRPr="00DB5D0D">
        <w:rPr>
          <w:rFonts w:ascii="Times New Roman" w:hAnsi="Times New Roman"/>
          <w:color w:val="000000" w:themeColor="text1"/>
          <w:sz w:val="16"/>
          <w:szCs w:val="16"/>
        </w:rPr>
        <w:t>стоимостью 90.500 лир, которому был сразу присвоен военный номер «ММ.417». Испытания «Р.М.1» («Politecnico Dilani» «mod.1») прошли без особых нареканий, но в серийное производство его передавать не спешили. Причиной тому было несколько факторов. С 1939 года в массовых количествах начали появляться тренировочные самолёты «AVIA» «FL.3», которые можно было использовать и как связные. Успешные испытания также прошел аналогичный «РМ.1» самолёт «IMAM» «Ro.63», несколько образцов которого передали в 1940 году в распоряжение Ливийского Авиационного Командования. Кроме того, имели место многочисленные бюрократические проволочки, а с началом войны интерес к «РМ.1» быстро угас. Единственный изготовленный прототип в 1944 году оказался на аэродроме Реджио Эмилия, принадлежавшем фирме Reggiane. Во время очередной бомбардировки он получил повреждения и восстановлению не подлежал. После завершения войны инженер Баззокки снова обратился к теме строительство «РМ.1», но на этот раз существенно переработав проект. Впоследствии этот самолёт выпускался серийно под названием «МВ.308» на фирме «Macchi» (14911).</w:t>
      </w:r>
    </w:p>
    <w:p w14:paraId="7CE770B2" w14:textId="77777777" w:rsidR="00D926C6" w:rsidRPr="00DB5D0D" w:rsidRDefault="00D926C6" w:rsidP="00DB5D0D">
      <w:pPr>
        <w:spacing w:after="0" w:line="240" w:lineRule="auto"/>
        <w:jc w:val="both"/>
        <w:rPr>
          <w:rFonts w:ascii="Times New Roman" w:hAnsi="Times New Roman"/>
          <w:color w:val="000000" w:themeColor="text1"/>
          <w:sz w:val="16"/>
          <w:szCs w:val="16"/>
        </w:rPr>
      </w:pPr>
    </w:p>
    <w:p w14:paraId="581674BC" w14:textId="77777777" w:rsidR="00F06892" w:rsidRPr="00DB5D0D" w:rsidRDefault="00F06892"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июня 1940 г. совершил первый полет небольшой экспериментальный самолет Нортроп N-1M, на котором Нортроп проверил устойчивость и управляемость «летающего крыла». А для углубленных исследований выбранной компоновки бомбардировщика были заложены четыре машины N-9M, уменьшенные копии ХВ-35 в масштабе 1:3. Хотя одна из них потерпела аварию, в целом испытания завершились успешно (22970).</w:t>
      </w:r>
    </w:p>
    <w:p w14:paraId="70894867" w14:textId="77777777" w:rsidR="00F06892" w:rsidRPr="00DB5D0D" w:rsidRDefault="00F06892" w:rsidP="00DB5D0D">
      <w:pPr>
        <w:autoSpaceDE w:val="0"/>
        <w:autoSpaceDN w:val="0"/>
        <w:adjustRightInd w:val="0"/>
        <w:spacing w:after="0" w:line="240" w:lineRule="auto"/>
        <w:jc w:val="both"/>
        <w:rPr>
          <w:rFonts w:ascii="Times New Roman" w:hAnsi="Times New Roman"/>
          <w:color w:val="0070C0"/>
          <w:sz w:val="16"/>
          <w:szCs w:val="16"/>
        </w:rPr>
      </w:pPr>
    </w:p>
    <w:p w14:paraId="55DB69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 немцы нанесли еще один массированный удар по аэродромам французских ВВС. Результат: 16 самолетов уничтожено и 7 повреждено на земле, 32 сбито в ходе завязавшихся над аэродромами воздушных боев. Еще более красноречиво выглядят цифры потерь английской авиации в ходе майских боев над Францией. За первые шесть дней Королевские ВВС потеряли 74 истребителя в воздухе и только 4 на земле. За следующие два дня англичане потеряли 28 „Харрикейнов“ в воздухе – и ни одного на аэродромах [А. C. Степанов. Пиррова победа люфтваффе на Западе // „История авиации“.– 2000.– № 3.] (11678).</w:t>
      </w:r>
    </w:p>
    <w:p w14:paraId="5D77E30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A16819"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июня 1940 Немецкие люфтваффе проводят операцию «Паула» - крупную атаку 640 бомбардировщиков и 460 истребителей, предназначенную для уничтожения оставшихся частей французских ВВС, атакуя французские аэродромы, заводы, железные дороги и сортировочные станции. Французы предупреждены об атаке взломав код, но из-за проблем со связью только 80 французских истребителей взлетают, чтобы противостоять приближающимся немецким самолетам. Немцы теряют только четыре бомбардировщика и шесть истребителей и считают, что они нанесли смертельный удар французским ВВС, заявив, что 75 французских самолетов уничтожены в воздухе и 400 на земле, а также разрушены многие заводы и железнодорожные объекты. На самом деле они уничтожают только 15 французских самолетов в воздухе и 20 на земле и не наносят значительного ущерба другим целям. Днем немцы впервые во Второй мировой войне бомбят Париж (20795).</w:t>
      </w:r>
    </w:p>
    <w:p w14:paraId="4223809E" w14:textId="77777777" w:rsidR="00F06892" w:rsidRPr="00DB5D0D" w:rsidRDefault="00F06892" w:rsidP="00DB5D0D">
      <w:pPr>
        <w:spacing w:after="0" w:line="240" w:lineRule="auto"/>
        <w:jc w:val="both"/>
        <w:rPr>
          <w:rFonts w:ascii="Times New Roman" w:hAnsi="Times New Roman"/>
          <w:color w:val="0070C0"/>
          <w:sz w:val="16"/>
          <w:szCs w:val="16"/>
        </w:rPr>
      </w:pPr>
    </w:p>
    <w:p w14:paraId="5B4D446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немцы впервые бомбили Париж, сбросив на него 1100 бомб (4962).</w:t>
      </w:r>
    </w:p>
    <w:p w14:paraId="3E47155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80A7B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Люфтваффе сбросили на Париж 1100 бомб (2100).</w:t>
      </w:r>
    </w:p>
    <w:p w14:paraId="55264AF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17D3D5" w14:textId="77777777" w:rsidR="00D926C6" w:rsidRPr="00DB5D0D" w:rsidRDefault="00D926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 июня</w:t>
      </w:r>
      <w:r w:rsidRPr="00DB5D0D">
        <w:rPr>
          <w:rFonts w:ascii="Times New Roman" w:hAnsi="Times New Roman"/>
          <w:color w:val="000000" w:themeColor="text1"/>
          <w:sz w:val="16"/>
          <w:szCs w:val="16"/>
        </w:rPr>
        <w:t xml:space="preserve"> в 1940 году бомбардировка немецкой авиацией Парижа (14911).</w:t>
      </w:r>
    </w:p>
    <w:p w14:paraId="622658E2" w14:textId="77777777" w:rsidR="00D926C6" w:rsidRPr="00DB5D0D" w:rsidRDefault="00D926C6" w:rsidP="00DB5D0D">
      <w:pPr>
        <w:spacing w:after="0" w:line="240" w:lineRule="auto"/>
        <w:jc w:val="both"/>
        <w:rPr>
          <w:rFonts w:ascii="Times New Roman" w:hAnsi="Times New Roman"/>
          <w:color w:val="000000" w:themeColor="text1"/>
          <w:sz w:val="16"/>
          <w:szCs w:val="16"/>
        </w:rPr>
      </w:pPr>
    </w:p>
    <w:p w14:paraId="742CD36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3 1940 Germans bomb Paris (1050).</w:t>
      </w:r>
    </w:p>
    <w:p w14:paraId="76B6250C"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44B84475"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lastRenderedPageBreak/>
        <w:t xml:space="preserve">3 </w:t>
      </w:r>
      <w:r w:rsidRPr="00DB5D0D">
        <w:rPr>
          <w:rFonts w:ascii="Times New Roman" w:hAnsi="Times New Roman"/>
          <w:color w:val="000000" w:themeColor="text1"/>
          <w:sz w:val="16"/>
          <w:szCs w:val="16"/>
        </w:rPr>
        <w:t>июня</w:t>
      </w:r>
      <w:r w:rsidRPr="00DB5D0D">
        <w:rPr>
          <w:rFonts w:ascii="Times New Roman" w:hAnsi="Times New Roman"/>
          <w:color w:val="000000" w:themeColor="text1"/>
          <w:sz w:val="16"/>
          <w:szCs w:val="16"/>
          <w:lang w:val="en-US"/>
        </w:rPr>
        <w:t xml:space="preserve"> 1940 </w:t>
      </w:r>
      <w:r w:rsidRPr="00DB5D0D">
        <w:rPr>
          <w:rFonts w:ascii="Times New Roman" w:hAnsi="Times New Roman"/>
          <w:color w:val="000000" w:themeColor="text1"/>
          <w:sz w:val="16"/>
          <w:szCs w:val="16"/>
        </w:rPr>
        <w:t>немцыбомбилиПариж</w:t>
      </w:r>
      <w:r w:rsidRPr="00DB5D0D">
        <w:rPr>
          <w:rFonts w:ascii="Times New Roman" w:hAnsi="Times New Roman"/>
          <w:color w:val="000000" w:themeColor="text1"/>
          <w:sz w:val="16"/>
          <w:szCs w:val="16"/>
          <w:lang w:val="en-US"/>
        </w:rPr>
        <w:t xml:space="preserve"> (1050).</w:t>
      </w:r>
    </w:p>
    <w:p w14:paraId="6C27032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2FB120C0"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3rd, 1940: In Norway, British and French forces (24,000 men) abandon Narvik, while the last Allied troops are evacuated from Dunkirk (in all, 218,226 British and 120,000 French) (3819).</w:t>
      </w:r>
    </w:p>
    <w:p w14:paraId="39422C1C"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AA2F7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в Норвегии британские и французские войска (24 тыс. чел.) оставили Нарвик и из Дюнкерка были эвакуированы последние солдаты (всего 218.2 тыс. англичан и 120 тыс. французов) (3819).</w:t>
      </w:r>
    </w:p>
    <w:p w14:paraId="18F069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19FCD4" w14:textId="77777777" w:rsidR="00D926C6" w:rsidRPr="00DB5D0D" w:rsidRDefault="00D926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 июня</w:t>
      </w:r>
      <w:r w:rsidRPr="00DB5D0D">
        <w:rPr>
          <w:rFonts w:ascii="Times New Roman" w:hAnsi="Times New Roman"/>
          <w:color w:val="000000" w:themeColor="text1"/>
          <w:sz w:val="16"/>
          <w:szCs w:val="16"/>
        </w:rPr>
        <w:t xml:space="preserve"> в 1940 году войска союзников, теснимые гитлеровцами, начинают отходить из Норвегии. Эвакуация закончится 8 июня (14911).</w:t>
      </w:r>
    </w:p>
    <w:p w14:paraId="32053E0A" w14:textId="77777777" w:rsidR="00D926C6" w:rsidRPr="00DB5D0D" w:rsidRDefault="00D926C6" w:rsidP="00DB5D0D">
      <w:pPr>
        <w:spacing w:after="0" w:line="240" w:lineRule="auto"/>
        <w:jc w:val="both"/>
        <w:rPr>
          <w:rFonts w:ascii="Times New Roman" w:hAnsi="Times New Roman"/>
          <w:color w:val="000000" w:themeColor="text1"/>
          <w:sz w:val="16"/>
          <w:szCs w:val="16"/>
        </w:rPr>
      </w:pPr>
    </w:p>
    <w:p w14:paraId="0E29C4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3 июня 1940 продолжалась эвакуация франко-британской группировки из Дюнкерка. Было выведено из-под удара 346 тыс. британских солдат - практически весь личный состав британского контингента. Одновременно на Британские острова эвакуировалось 112 тыс. французов. 40 тыс. французских солдат не смогли переправиться в Великобританию и капитулировали. "Дюнкеркская катастрофа" оказала сильное деморализующее влияние на союзные войска и усилила позиции сторонников сепаратного мира с Германией в кругах французского руководства (3871).</w:t>
      </w:r>
    </w:p>
    <w:p w14:paraId="7355C5D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935D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(4 - 2240) июня 1940 закончилась эвакуация из Дюнкерка (1050).</w:t>
      </w:r>
    </w:p>
    <w:p w14:paraId="7C81C6F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BA5D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June 3 1940 Dunkirk evacuation ends (1050).</w:t>
      </w:r>
    </w:p>
    <w:p w14:paraId="1DAD4F5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C8F26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глава абвера адмирал В. Канарис приказал своим агентам в США провести диверсию в Нью-Йорке против французского лайнера «Нормандия» (4962).</w:t>
      </w:r>
    </w:p>
    <w:p w14:paraId="6409202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D2463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первый полет совершил экспериментальный самолет летающее крыло Нортропа NM 1М смешанной конструкции с двумя поршневыми двигателями по 65 нр и вся летная программа составила 200 взлетов (1803,43).</w:t>
      </w:r>
    </w:p>
    <w:p w14:paraId="08126FF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5E6D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Harteck сообщил о своей идее реактора с использованием окиси урана и сухого льда. 185 кг урана оказалось недостаточно для умножения нейтронов, но группа Гейзенберга отказалась дать больше и потребовала тяжелую воду (2221).</w:t>
      </w:r>
    </w:p>
    <w:p w14:paraId="2F89DA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немецкая компания Auer заказала в Бельгии 60 т очищенной окиси урана (2221).</w:t>
      </w:r>
    </w:p>
    <w:p w14:paraId="568A474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DD121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90B9EA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DD30D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на совещании у А.И.Шахурина в присутствии Я.В.Смушкевича, К.М.Гусева, П.В.Рычагова, А.А.Филина, А.С.Я., Лукина, Шишкина, Кравченко - Нач. ОТБ НКВД, Кутепова и Таирова (NB - С.В.И. и В.М.П. не было) было принято постановление о целесообразности производства в 1940 10 самолетов БШ-2 (в двухместном варианте) с мотором АМ-35 на заводе 30 для проведения войсковых испытаний (469).</w:t>
      </w:r>
    </w:p>
    <w:p w14:paraId="24C023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Точный текст:</w:t>
      </w:r>
    </w:p>
    <w:p w14:paraId="7A1154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"ПРИСУТСТВУЮТ: т.т. Смушкевич Я.В.</w:t>
      </w:r>
      <w:r w:rsidRPr="00DB5D0D">
        <w:rPr>
          <w:rFonts w:ascii="Times New Roman" w:hAnsi="Times New Roman"/>
          <w:color w:val="000000" w:themeColor="text1"/>
          <w:sz w:val="16"/>
          <w:szCs w:val="16"/>
        </w:rPr>
        <w:tab/>
        <w:t>Нач.ВВС</w:t>
      </w:r>
    </w:p>
    <w:p w14:paraId="05DCE7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Гусев К.М.</w:t>
      </w:r>
      <w:r w:rsidRPr="00DB5D0D">
        <w:rPr>
          <w:rFonts w:ascii="Times New Roman" w:hAnsi="Times New Roman"/>
          <w:color w:val="000000" w:themeColor="text1"/>
          <w:sz w:val="16"/>
          <w:szCs w:val="16"/>
        </w:rPr>
        <w:tab/>
        <w:t>Зам. Нач. ВВС</w:t>
      </w:r>
    </w:p>
    <w:p w14:paraId="069A4F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Рычагов П.В.</w:t>
      </w:r>
      <w:r w:rsidRPr="00DB5D0D">
        <w:rPr>
          <w:rFonts w:ascii="Times New Roman" w:hAnsi="Times New Roman"/>
          <w:color w:val="000000" w:themeColor="text1"/>
          <w:sz w:val="16"/>
          <w:szCs w:val="16"/>
        </w:rPr>
        <w:tab/>
        <w:t>Командующиий ВВС 1-й ОКЗКА</w:t>
      </w:r>
    </w:p>
    <w:p w14:paraId="68F320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Филин А.И</w:t>
      </w:r>
      <w:r w:rsidRPr="00DB5D0D">
        <w:rPr>
          <w:rFonts w:ascii="Times New Roman" w:hAnsi="Times New Roman"/>
          <w:color w:val="000000" w:themeColor="text1"/>
          <w:sz w:val="16"/>
          <w:szCs w:val="16"/>
        </w:rPr>
        <w:tab/>
        <w:t>Нач. НИИ ГУАС КА</w:t>
      </w:r>
    </w:p>
    <w:p w14:paraId="522F79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Баландин В.П.</w:t>
      </w:r>
      <w:r w:rsidRPr="00DB5D0D">
        <w:rPr>
          <w:rFonts w:ascii="Times New Roman" w:hAnsi="Times New Roman"/>
          <w:color w:val="000000" w:themeColor="text1"/>
          <w:sz w:val="16"/>
          <w:szCs w:val="16"/>
        </w:rPr>
        <w:tab/>
        <w:t>Зам. НКАП</w:t>
      </w:r>
    </w:p>
    <w:p w14:paraId="024C22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Воронин П.А.</w:t>
      </w:r>
      <w:r w:rsidRPr="00DB5D0D">
        <w:rPr>
          <w:rFonts w:ascii="Times New Roman" w:hAnsi="Times New Roman"/>
          <w:color w:val="000000" w:themeColor="text1"/>
          <w:sz w:val="16"/>
          <w:szCs w:val="16"/>
        </w:rPr>
        <w:tab/>
        <w:t>Зам. НКАП</w:t>
      </w:r>
    </w:p>
    <w:p w14:paraId="3DC46D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Яковлев А.С.</w:t>
      </w:r>
      <w:r w:rsidRPr="00DB5D0D">
        <w:rPr>
          <w:rFonts w:ascii="Times New Roman" w:hAnsi="Times New Roman"/>
          <w:color w:val="000000" w:themeColor="text1"/>
          <w:sz w:val="16"/>
          <w:szCs w:val="16"/>
        </w:rPr>
        <w:tab/>
        <w:t>Яковлев А.С.</w:t>
      </w:r>
    </w:p>
    <w:p w14:paraId="33AB7F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Лукин М.Н.</w:t>
      </w:r>
      <w:r w:rsidRPr="00DB5D0D">
        <w:rPr>
          <w:rFonts w:ascii="Times New Roman" w:hAnsi="Times New Roman"/>
          <w:color w:val="000000" w:themeColor="text1"/>
          <w:sz w:val="16"/>
          <w:szCs w:val="16"/>
        </w:rPr>
        <w:tab/>
        <w:t>Нач. 3 ГУ</w:t>
      </w:r>
    </w:p>
    <w:p w14:paraId="554B55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Шишкин С.Н.</w:t>
      </w:r>
      <w:r w:rsidRPr="00DB5D0D">
        <w:rPr>
          <w:rFonts w:ascii="Times New Roman" w:hAnsi="Times New Roman"/>
          <w:color w:val="000000" w:themeColor="text1"/>
          <w:sz w:val="16"/>
          <w:szCs w:val="16"/>
        </w:rPr>
        <w:tab/>
        <w:t>Зам. Нач. 7 ГУ</w:t>
      </w:r>
    </w:p>
    <w:p w14:paraId="462729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Кравченко В.А.</w:t>
      </w:r>
      <w:r w:rsidRPr="00DB5D0D">
        <w:rPr>
          <w:rFonts w:ascii="Times New Roman" w:hAnsi="Times New Roman"/>
          <w:color w:val="000000" w:themeColor="text1"/>
          <w:sz w:val="16"/>
          <w:szCs w:val="16"/>
        </w:rPr>
        <w:tab/>
        <w:t>Нач. ОТБ НКВД</w:t>
      </w:r>
    </w:p>
    <w:p w14:paraId="677314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Кутепов Г.И.</w:t>
      </w:r>
      <w:r w:rsidRPr="00DB5D0D">
        <w:rPr>
          <w:rFonts w:ascii="Times New Roman" w:hAnsi="Times New Roman"/>
          <w:color w:val="000000" w:themeColor="text1"/>
          <w:sz w:val="16"/>
          <w:szCs w:val="16"/>
        </w:rPr>
        <w:tab/>
        <w:t>Нач. 28 отд. З-да № 156</w:t>
      </w:r>
    </w:p>
    <w:p w14:paraId="44F922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Таиров В.К.</w:t>
      </w:r>
      <w:r w:rsidRPr="00DB5D0D">
        <w:rPr>
          <w:rFonts w:ascii="Times New Roman" w:hAnsi="Times New Roman"/>
          <w:color w:val="000000" w:themeColor="text1"/>
          <w:sz w:val="16"/>
          <w:szCs w:val="16"/>
        </w:rPr>
        <w:tab/>
        <w:t>ГК з-да № 81</w:t>
      </w:r>
    </w:p>
    <w:p w14:paraId="24A4B4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w:t>
      </w:r>
    </w:p>
    <w:p w14:paraId="5DB2CF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внедрении в серию самолета "100" с 2 моторами М-105 конструкции ОТБ НКВД"</w:t>
      </w:r>
    </w:p>
    <w:p w14:paraId="2FDF4A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Постановили:</w:t>
      </w:r>
    </w:p>
    <w:p w14:paraId="242BB3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целесообразным поставить на серийное производство самолет "100" в варианте пикирующего бомбардировщика, без герметической кабины и ТК. Изменения самолета по сравнению с экз., прошедшим гос. испытания, произвести в соответствии с макетом, предъявленным 156 заводом.</w:t>
      </w:r>
    </w:p>
    <w:p w14:paraId="3B81A6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построить в 1940 году в 10 экз. на заводе N 39.</w:t>
      </w:r>
    </w:p>
    <w:p w14:paraId="77E280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Приспособление для автоматического вывода из пикирования установить на машине 6-й серии.</w:t>
      </w:r>
    </w:p>
    <w:p w14:paraId="476F2E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Воздушные тормоза установить на 7-й машине серии.</w:t>
      </w:r>
    </w:p>
    <w:p w14:paraId="0F6868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первой половине 1941 выпустить 10 экз. самолета 100 с ГК и с ТК в т. виде, как самолет прошел гос. испытания</w:t>
      </w:r>
    </w:p>
    <w:p w14:paraId="33879D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целью освоения ВВС высотной аппаратуры в первой половине 1941 выпустить 10 экз. самолета "100" с герметической кабиной и ТК, в том виде, как самолет прошел гос. испытания (469);</w:t>
      </w:r>
    </w:p>
    <w:p w14:paraId="74B0A0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w:t>
      </w:r>
    </w:p>
    <w:p w14:paraId="370BC4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внедрении в серию бронированного штурмовика БШ-2 с мотором АМ-35 конструкции тов. Ильюшина С.В.</w:t>
      </w:r>
    </w:p>
    <w:p w14:paraId="598A7B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Постановили:</w:t>
      </w:r>
    </w:p>
    <w:p w14:paraId="30AA84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целесообразным поставить на серийное производство самолет БШ-2 (1293).</w:t>
      </w:r>
    </w:p>
    <w:p w14:paraId="18A1A9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постройки самолета определить завод 30, где организовать всю необходимую подготовку к серии и в 1940 году выпустить 10 экземпляров самолета" (469).</w:t>
      </w:r>
    </w:p>
    <w:p w14:paraId="0CF185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постановили:</w:t>
      </w:r>
    </w:p>
    <w:p w14:paraId="2889F1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w:t>
      </w:r>
    </w:p>
    <w:p w14:paraId="4F02BB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внедрении в серию бронированного истребителя ОКО-6 с 2 моторами М-88 конструкции тов. Таирова"</w:t>
      </w:r>
    </w:p>
    <w:p w14:paraId="36CDDB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Постановили:</w:t>
      </w:r>
    </w:p>
    <w:p w14:paraId="126018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целесообразным для определения постановки на серийное производство самолета ОКО-6 организовать на заводе N 43 всю необходимую подготовку для производства в 1940 10 экз. самолета в том виде, как самолет представляется на гос. испытания (469), а именно:</w:t>
      </w:r>
    </w:p>
    <w:p w14:paraId="0B8CB4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М-88 безредукторные разного вращения</w:t>
      </w:r>
    </w:p>
    <w:p w14:paraId="2FED66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Вертикальное оперение двухкилевое</w:t>
      </w:r>
    </w:p>
    <w:p w14:paraId="417B90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Предложить т. Таирову к 1 августа выпустить на заводские испытания модифицированный самолет ОКО-6 с редукторными моторами М-88Р одинакового вращения, с удлиненным хвостом, увеличенным разнесенным хвостовым оперением и облегченным управлением элеронами.</w:t>
      </w:r>
    </w:p>
    <w:p w14:paraId="3C62DB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Предусмотреть в дальнейшем, по прохождении.госиспыта -ний модифицированным самолетом ОКО-6, замену первого типа самолета на модифицированный.</w:t>
      </w:r>
    </w:p>
    <w:p w14:paraId="37890A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w:t>
      </w:r>
    </w:p>
    <w:p w14:paraId="1F729C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комплексе учебных и учебно-тренировочных самолетов (469).</w:t>
      </w:r>
    </w:p>
    <w:p w14:paraId="0AE8AB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Постановили:</w:t>
      </w:r>
    </w:p>
    <w:p w14:paraId="1B0002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Считать целесообразным иметь на снабжении ВВС следующие типы учебных и УТ самолетов:</w:t>
      </w:r>
    </w:p>
    <w:p w14:paraId="6A70F4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тип: Самолет первоначального обучения, двухместный, одномоторный, со скоростью 150-170 км/час, моноплан с летно-пилотажными свойствами, близкими к У-2</w:t>
      </w:r>
    </w:p>
    <w:p w14:paraId="0A6117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Такой самолет д.б. спроектирован и построен на одном из заводов НКАП, предпочтительно на заводе 23</w:t>
      </w:r>
    </w:p>
    <w:p w14:paraId="49C63E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тип: Самолет УТ, переходной к истребителю, одномоторный, одноместный с одним фотокинопулеметом и одним пулеметом и запасом патронов к нему. Самолет д. иметь скорость порядка 300 км/час, быть простым в пилотажном отношении и иметь хорошие штопорные свойства.</w:t>
      </w:r>
    </w:p>
    <w:p w14:paraId="55615A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Такой самолет д.б. спроектирован и построен на одном из заводов НКАП, предпочтительно на заводе N 290.</w:t>
      </w:r>
    </w:p>
    <w:p w14:paraId="12CCA2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3-й тип: Самолет УТ, одномоторный, двухместный с хорошими летно-пилотажными свойствами и простой в управлении. Вооружение - фотокинопулемет, один пулемет и мелкокалиберные бомбы.</w:t>
      </w:r>
    </w:p>
    <w:p w14:paraId="4F8886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 возможности увеличить выпуск УТ-2, отвечающего ряду требований этого типа. Одновременно необходимо построить на заводе 115 самолет У-23 конструкции А.С.Я., отвечающий полностью требованиям этого типа.</w:t>
      </w:r>
    </w:p>
    <w:p w14:paraId="439459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4-й тип: УТ многоцелевой самолет, двухмоторный, двухместный, близкий по типу к Фокке-Вульф в вариантах:</w:t>
      </w:r>
    </w:p>
    <w:p w14:paraId="2D28A9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вывозном, оборудованном для слепого полета</w:t>
      </w:r>
    </w:p>
    <w:p w14:paraId="0BEE12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стрелковом и</w:t>
      </w:r>
    </w:p>
    <w:p w14:paraId="475480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бомбардировочном</w:t>
      </w:r>
    </w:p>
    <w:p w14:paraId="0FD7ED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Такой самолет целесообразно спроектировать и построить на одном из заводов НКАП, предположительно на 47, возможно более близко придерживаясь немецкого образца.</w:t>
      </w:r>
    </w:p>
    <w:p w14:paraId="69C1B3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5-й тип: Переходно-тренировочный истребитель для вывоза и подготовки к полетам на современных истребителях.</w:t>
      </w:r>
    </w:p>
    <w:p w14:paraId="4707C8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создания этого типа самолета целесообразно модифицировать на двухместный вариант с двойным управлением один из новейших истребителей, идущих в серию, предположительно И-26 конструкции А.С.Я.</w:t>
      </w:r>
    </w:p>
    <w:p w14:paraId="10AA17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Считать целесообразным закрепить как производственную баз для УТ авиации заводы 23,и 47, не загружая их постройкой боевых самолетов.</w:t>
      </w:r>
    </w:p>
    <w:p w14:paraId="6844DE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Пополнить указанные заводы конструкторскими кадрами и укомплектовать оборудованием." (469,57 и 1293,90).</w:t>
      </w:r>
    </w:p>
    <w:p w14:paraId="3523DA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Интересно, каков статус постановления о целесообразности?</w:t>
      </w:r>
    </w:p>
    <w:p w14:paraId="3B90A8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Вообще-то - очень необычная форма - без постановления КО и приказа НКАП. Или они были?</w:t>
      </w:r>
    </w:p>
    <w:p w14:paraId="378A06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Важно понять, что это не совсем принятие в серию, так как планировалась только войсковая, небольшая, а большая была уже в проекте постановления КО от 20, так и не принятого. Настоящее решение вышло 26 июля по линии КО и 1 августа по линии НКАП в отношении Ленинграда.</w:t>
      </w:r>
    </w:p>
    <w:p w14:paraId="451628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Важно, что серия ПБ-100 - такая же как у БШ.</w:t>
      </w:r>
    </w:p>
    <w:p w14:paraId="7E1562D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7EEE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состоялось совещание у НКАП:</w:t>
      </w:r>
    </w:p>
    <w:p w14:paraId="419987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Протокол</w:t>
      </w:r>
    </w:p>
    <w:p w14:paraId="39F108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w:t>
      </w:r>
    </w:p>
    <w:p w14:paraId="6EE8BA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Смушкевич Я.В. - нач. ВВС</w:t>
      </w:r>
    </w:p>
    <w:p w14:paraId="71509F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Гусев К.М. - зам. Нач. ВВС</w:t>
      </w:r>
    </w:p>
    <w:p w14:paraId="3CF49C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Рычагов П.В. - командующий ВВС 1 отд. ККА</w:t>
      </w:r>
    </w:p>
    <w:p w14:paraId="0F1F4F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Филин А.И. - нач. НИИ ГУАС КА</w:t>
      </w:r>
    </w:p>
    <w:p w14:paraId="3F308F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Баландин В.П. - зам. НКАП</w:t>
      </w:r>
    </w:p>
    <w:p w14:paraId="44EB3F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Воронин П.А. - зам. НКАП</w:t>
      </w:r>
    </w:p>
    <w:p w14:paraId="0FEF1F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Яковлев А.С. - зам. НКАП</w:t>
      </w:r>
    </w:p>
    <w:p w14:paraId="63A7F9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Лукин М.М. - нач. 3 ГУ НКАП</w:t>
      </w:r>
    </w:p>
    <w:p w14:paraId="3E178A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Шишкин С.Н. - зам. Нач. 7 ГУ НКАП</w:t>
      </w:r>
    </w:p>
    <w:p w14:paraId="281735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Кравченко В.А. - нач. ОТБ НКВД</w:t>
      </w:r>
    </w:p>
    <w:p w14:paraId="1D775A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Кутепов Г.И. нач. 29 отд. зав. № 156</w:t>
      </w:r>
    </w:p>
    <w:p w14:paraId="06E725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Таиров В.К. - ГК завода №81</w:t>
      </w:r>
    </w:p>
    <w:p w14:paraId="6C98D0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 О внедрении в серию с-та 100 с 2хМ-105 конструкции ОТБ НКВД</w:t>
      </w:r>
    </w:p>
    <w:p w14:paraId="3D7F66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 О вненедрении в серию бронированного штурмовика БШ-2 с мотором АМ-35 конструкции тов. Ильюшина</w:t>
      </w:r>
    </w:p>
    <w:p w14:paraId="5B8511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Постановили: Считать целесообразным поставить на серийное производство самолет БШ-2</w:t>
      </w:r>
    </w:p>
    <w:p w14:paraId="1AEE37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постройки самолета определить завод № 30, где организовать всю необходимую подготовку к серии и в 1940 году выпустить 10 экз. Самолета (469,92)</w:t>
      </w:r>
    </w:p>
    <w:p w14:paraId="3FCBDC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 1 экз.</w:t>
      </w:r>
    </w:p>
    <w:p w14:paraId="0AE003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 1773</w:t>
      </w:r>
    </w:p>
    <w:p w14:paraId="4EFC7B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Визы:</w:t>
      </w:r>
    </w:p>
    <w:p w14:paraId="472DB5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 и Воронина</w:t>
      </w:r>
    </w:p>
    <w:p w14:paraId="3F9EEDE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1AC5FC" w14:textId="77777777" w:rsidR="00CB30A8" w:rsidRPr="00DB5D0D" w:rsidRDefault="00CB30A8"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4 июня 1940 г. состоялось совместное совеща</w:t>
      </w:r>
      <w:r w:rsidRPr="00DB5D0D">
        <w:rPr>
          <w:rFonts w:ascii="Times New Roman" w:hAnsi="Times New Roman"/>
          <w:color w:val="000000" w:themeColor="text1"/>
          <w:spacing w:val="0"/>
          <w:sz w:val="16"/>
          <w:szCs w:val="16"/>
        </w:rPr>
        <w:softHyphen/>
        <w:t>ние НКАП и ВВС по вопросам серийного производ</w:t>
      </w:r>
      <w:r w:rsidRPr="00DB5D0D">
        <w:rPr>
          <w:rFonts w:ascii="Times New Roman" w:hAnsi="Times New Roman"/>
          <w:color w:val="000000" w:themeColor="text1"/>
          <w:spacing w:val="0"/>
          <w:sz w:val="16"/>
          <w:szCs w:val="16"/>
        </w:rPr>
        <w:softHyphen/>
        <w:t>ства самолетов нового типа. Помимо А. И. Шахурина и ответственных работников наркомата, от ВВС на нем присутствовали Я. В. Смушкевич, К. М. Гусев, П. В. Рычагов, начальник НИИ ВВС комбриг А. И. Фи</w:t>
      </w:r>
      <w:r w:rsidRPr="00DB5D0D">
        <w:rPr>
          <w:rFonts w:ascii="Times New Roman" w:hAnsi="Times New Roman"/>
          <w:color w:val="000000" w:themeColor="text1"/>
          <w:spacing w:val="0"/>
          <w:sz w:val="16"/>
          <w:szCs w:val="16"/>
        </w:rPr>
        <w:softHyphen/>
        <w:t>лин. На совещании было принято решение о по</w:t>
      </w:r>
      <w:r w:rsidRPr="00DB5D0D">
        <w:rPr>
          <w:rFonts w:ascii="Times New Roman" w:hAnsi="Times New Roman"/>
          <w:color w:val="000000" w:themeColor="text1"/>
          <w:spacing w:val="0"/>
          <w:sz w:val="16"/>
          <w:szCs w:val="16"/>
        </w:rPr>
        <w:softHyphen/>
        <w:t>стройке на заводе № 30 в Иваньково (Московская область) 10 самолетов БШ-2 АМ-35 по образцу про</w:t>
      </w:r>
      <w:r w:rsidRPr="00DB5D0D">
        <w:rPr>
          <w:rFonts w:ascii="Times New Roman" w:hAnsi="Times New Roman"/>
          <w:color w:val="000000" w:themeColor="text1"/>
          <w:spacing w:val="0"/>
          <w:sz w:val="16"/>
          <w:szCs w:val="16"/>
        </w:rPr>
        <w:softHyphen/>
        <w:t>шедшего государственные испытания, то есть двух</w:t>
      </w:r>
      <w:r w:rsidRPr="00DB5D0D">
        <w:rPr>
          <w:rFonts w:ascii="Times New Roman" w:hAnsi="Times New Roman"/>
          <w:color w:val="000000" w:themeColor="text1"/>
          <w:spacing w:val="0"/>
          <w:sz w:val="16"/>
          <w:szCs w:val="16"/>
        </w:rPr>
        <w:softHyphen/>
        <w:t>местного. При этом военные настаивали на том, чтобы на самолетах войсковой серии были устра</w:t>
      </w:r>
      <w:r w:rsidRPr="00DB5D0D">
        <w:rPr>
          <w:rFonts w:ascii="Times New Roman" w:hAnsi="Times New Roman"/>
          <w:color w:val="000000" w:themeColor="text1"/>
          <w:spacing w:val="0"/>
          <w:sz w:val="16"/>
          <w:szCs w:val="16"/>
        </w:rPr>
        <w:softHyphen/>
        <w:t>нены все недостатки и дефекты, выявленные при прохождении самолетом государственных испыта</w:t>
      </w:r>
      <w:r w:rsidRPr="00DB5D0D">
        <w:rPr>
          <w:rFonts w:ascii="Times New Roman" w:hAnsi="Times New Roman"/>
          <w:color w:val="000000" w:themeColor="text1"/>
          <w:spacing w:val="0"/>
          <w:sz w:val="16"/>
          <w:szCs w:val="16"/>
        </w:rPr>
        <w:softHyphen/>
        <w:t>ний, а также установлены 2 пушки Таубина—Бабу- рина калибра 23 мм и 2 пулемета ШКАС в крыле, как рекомендовал Технический совет при НИИ ВВС.</w:t>
      </w:r>
    </w:p>
    <w:p w14:paraId="512A3E6B" w14:textId="77777777" w:rsidR="00CB30A8" w:rsidRPr="00DB5D0D" w:rsidRDefault="00CB30A8"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Неожиданно с такой постановкой вопроса не согласился С. В. Ильюшин. Вопреки ранее данным обещаниям, он предложил немедленно запустить БШ-2 АМ-35 в том виде, как самолет прошел госу</w:t>
      </w:r>
      <w:r w:rsidRPr="00DB5D0D">
        <w:rPr>
          <w:rFonts w:ascii="Times New Roman" w:hAnsi="Times New Roman"/>
          <w:color w:val="000000" w:themeColor="text1"/>
          <w:spacing w:val="0"/>
          <w:sz w:val="16"/>
          <w:szCs w:val="16"/>
        </w:rPr>
        <w:softHyphen/>
        <w:t>дарственные испытания. Уже при серийном про</w:t>
      </w:r>
      <w:r w:rsidRPr="00DB5D0D">
        <w:rPr>
          <w:rFonts w:ascii="Times New Roman" w:hAnsi="Times New Roman"/>
          <w:color w:val="000000" w:themeColor="text1"/>
          <w:spacing w:val="0"/>
          <w:sz w:val="16"/>
          <w:szCs w:val="16"/>
        </w:rPr>
        <w:softHyphen/>
        <w:t>изводстве предполагалось установить на самолет низковысотный мотор АМ-38, улучшить продоль</w:t>
      </w:r>
      <w:r w:rsidRPr="00DB5D0D">
        <w:rPr>
          <w:rFonts w:ascii="Times New Roman" w:hAnsi="Times New Roman"/>
          <w:color w:val="000000" w:themeColor="text1"/>
          <w:spacing w:val="0"/>
          <w:sz w:val="16"/>
          <w:szCs w:val="16"/>
        </w:rPr>
        <w:softHyphen/>
        <w:t>ную устойчивость самолета, увеличить толщину брони бронекорпуса в наиболее ответственных местах, установить бронестекло в лобовых стеклах фонаря кабины летчика, а также устранить все мел</w:t>
      </w:r>
      <w:r w:rsidRPr="00DB5D0D">
        <w:rPr>
          <w:rFonts w:ascii="Times New Roman" w:hAnsi="Times New Roman"/>
          <w:color w:val="000000" w:themeColor="text1"/>
          <w:spacing w:val="0"/>
          <w:sz w:val="16"/>
          <w:szCs w:val="16"/>
        </w:rPr>
        <w:softHyphen/>
        <w:t>кие замечания, отмеченные НИИ ВВС. Срок предъ</w:t>
      </w:r>
      <w:r w:rsidRPr="00DB5D0D">
        <w:rPr>
          <w:rFonts w:ascii="Times New Roman" w:hAnsi="Times New Roman"/>
          <w:color w:val="000000" w:themeColor="text1"/>
          <w:spacing w:val="0"/>
          <w:sz w:val="16"/>
          <w:szCs w:val="16"/>
        </w:rPr>
        <w:softHyphen/>
        <w:t>явления самолета с этими изменениями в НИИ ВВС для производства государственных испытаний оце</w:t>
      </w:r>
      <w:r w:rsidRPr="00DB5D0D">
        <w:rPr>
          <w:rFonts w:ascii="Times New Roman" w:hAnsi="Times New Roman"/>
          <w:color w:val="000000" w:themeColor="text1"/>
          <w:spacing w:val="0"/>
          <w:sz w:val="16"/>
          <w:szCs w:val="16"/>
        </w:rPr>
        <w:softHyphen/>
        <w:t>нивался не позже 15 августа при условии подачи заводу № 39 мотора АМ-38 с винтом не позднее 1 июля.</w:t>
      </w:r>
    </w:p>
    <w:p w14:paraId="5CA981F6" w14:textId="77777777" w:rsidR="00CB30A8" w:rsidRPr="00DB5D0D" w:rsidRDefault="00CB30A8"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Вторым этапом предлагалось установить на БШ-2 2 пушки ШВАК калибра 20 мм (вместо 23-мм пушек ПТБ-23) и с ними предъявить самолет на го</w:t>
      </w:r>
      <w:r w:rsidRPr="00DB5D0D">
        <w:rPr>
          <w:rFonts w:ascii="Times New Roman" w:hAnsi="Times New Roman"/>
          <w:color w:val="000000" w:themeColor="text1"/>
          <w:spacing w:val="0"/>
          <w:sz w:val="16"/>
          <w:szCs w:val="16"/>
        </w:rPr>
        <w:softHyphen/>
        <w:t>сударственные испытания в ноябре 1940 г.</w:t>
      </w:r>
    </w:p>
    <w:p w14:paraId="6DEB9434" w14:textId="77777777" w:rsidR="00CB30A8" w:rsidRPr="00DB5D0D" w:rsidRDefault="00CB30A8"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Надо полагать, к этому времени в ОКБ Илью</w:t>
      </w:r>
      <w:r w:rsidRPr="00DB5D0D">
        <w:rPr>
          <w:rFonts w:ascii="Times New Roman" w:hAnsi="Times New Roman"/>
          <w:color w:val="000000" w:themeColor="text1"/>
          <w:spacing w:val="0"/>
          <w:sz w:val="16"/>
          <w:szCs w:val="16"/>
        </w:rPr>
        <w:softHyphen/>
        <w:t>шина уже осознали все трудности, с которыми придется столкнуться при установке в крыле БШ-2 пушек Таубина—Бабурина и обеспечении их нор</w:t>
      </w:r>
      <w:r w:rsidRPr="00DB5D0D">
        <w:rPr>
          <w:rFonts w:ascii="Times New Roman" w:hAnsi="Times New Roman"/>
          <w:color w:val="000000" w:themeColor="text1"/>
          <w:spacing w:val="0"/>
          <w:sz w:val="16"/>
          <w:szCs w:val="16"/>
        </w:rPr>
        <w:softHyphen/>
        <w:t>мальной работы при стрельбе в воздухе. Действи</w:t>
      </w:r>
      <w:r w:rsidRPr="00DB5D0D">
        <w:rPr>
          <w:rFonts w:ascii="Times New Roman" w:hAnsi="Times New Roman"/>
          <w:color w:val="000000" w:themeColor="text1"/>
          <w:spacing w:val="0"/>
          <w:sz w:val="16"/>
          <w:szCs w:val="16"/>
        </w:rPr>
        <w:softHyphen/>
        <w:t>тельно, автомат ОКБ-16 имел магазин на 81 патрон заметных размеров. Это предполагало серьезную переделку крыла самолета, на что Ильюшину идти не хотелось, так как «уходили» сроки готовности пушечного штурмовика к испытаниям и внедре</w:t>
      </w:r>
      <w:r w:rsidRPr="00DB5D0D">
        <w:rPr>
          <w:rFonts w:ascii="Times New Roman" w:hAnsi="Times New Roman"/>
          <w:color w:val="000000" w:themeColor="text1"/>
          <w:spacing w:val="0"/>
          <w:sz w:val="16"/>
          <w:szCs w:val="16"/>
        </w:rPr>
        <w:softHyphen/>
        <w:t>нию его в серийное производство. Относительно быстро установить пушки на БШ-2 можно было, если разместить их под крылом, но габариты об</w:t>
      </w:r>
      <w:r w:rsidRPr="00DB5D0D">
        <w:rPr>
          <w:rFonts w:ascii="Times New Roman" w:hAnsi="Times New Roman"/>
          <w:color w:val="000000" w:themeColor="text1"/>
          <w:spacing w:val="0"/>
          <w:sz w:val="16"/>
          <w:szCs w:val="16"/>
        </w:rPr>
        <w:softHyphen/>
        <w:t>текателей пушек получались довольно значитель</w:t>
      </w:r>
      <w:r w:rsidRPr="00DB5D0D">
        <w:rPr>
          <w:rFonts w:ascii="Times New Roman" w:hAnsi="Times New Roman"/>
          <w:color w:val="000000" w:themeColor="text1"/>
          <w:spacing w:val="0"/>
          <w:sz w:val="16"/>
          <w:szCs w:val="16"/>
        </w:rPr>
        <w:softHyphen/>
        <w:t>ными. Ухудшалась аэродинамика самолета. К то</w:t>
      </w:r>
      <w:r w:rsidRPr="00DB5D0D">
        <w:rPr>
          <w:rFonts w:ascii="Times New Roman" w:hAnsi="Times New Roman"/>
          <w:color w:val="000000" w:themeColor="text1"/>
          <w:spacing w:val="0"/>
          <w:sz w:val="16"/>
          <w:szCs w:val="16"/>
        </w:rPr>
        <w:softHyphen/>
        <w:t>му же необходимо было решить проблему сбора патронных обойм в специальный отсек. На этом фоне установка пушек ШВАК с ленточным питани</w:t>
      </w:r>
      <w:r w:rsidRPr="00DB5D0D">
        <w:rPr>
          <w:rFonts w:ascii="Times New Roman" w:hAnsi="Times New Roman"/>
          <w:color w:val="000000" w:themeColor="text1"/>
          <w:spacing w:val="0"/>
          <w:sz w:val="16"/>
          <w:szCs w:val="16"/>
        </w:rPr>
        <w:softHyphen/>
        <w:t>ем в крыле самолета БШ-2 представлялась техни</w:t>
      </w:r>
      <w:r w:rsidRPr="00DB5D0D">
        <w:rPr>
          <w:rFonts w:ascii="Times New Roman" w:hAnsi="Times New Roman"/>
          <w:color w:val="000000" w:themeColor="text1"/>
          <w:spacing w:val="0"/>
          <w:sz w:val="16"/>
          <w:szCs w:val="16"/>
        </w:rPr>
        <w:softHyphen/>
        <w:t>чески и политически менее рискованным меро</w:t>
      </w:r>
      <w:r w:rsidRPr="00DB5D0D">
        <w:rPr>
          <w:rFonts w:ascii="Times New Roman" w:hAnsi="Times New Roman"/>
          <w:color w:val="000000" w:themeColor="text1"/>
          <w:spacing w:val="0"/>
          <w:sz w:val="16"/>
          <w:szCs w:val="16"/>
        </w:rPr>
        <w:softHyphen/>
        <w:t>приятием.</w:t>
      </w:r>
    </w:p>
    <w:p w14:paraId="01A186EE" w14:textId="77777777" w:rsidR="00CB30A8" w:rsidRPr="00DB5D0D" w:rsidRDefault="00CB30A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hAnsi="Times New Roman"/>
          <w:color w:val="000000" w:themeColor="text1"/>
          <w:sz w:val="16"/>
          <w:szCs w:val="16"/>
        </w:rPr>
        <w:t>Из документов не ясно, была ли дискуссия по предложению Ильюшина. Скорее всего, обсужде</w:t>
      </w:r>
      <w:r w:rsidRPr="00DB5D0D">
        <w:rPr>
          <w:rFonts w:ascii="Times New Roman" w:hAnsi="Times New Roman"/>
          <w:color w:val="000000" w:themeColor="text1"/>
          <w:sz w:val="16"/>
          <w:szCs w:val="16"/>
        </w:rPr>
        <w:softHyphen/>
        <w:t>ние этого вопроса все же было, поскольку 26 ию</w:t>
      </w:r>
      <w:r w:rsidRPr="00DB5D0D">
        <w:rPr>
          <w:rFonts w:ascii="Times New Roman" w:hAnsi="Times New Roman"/>
          <w:color w:val="000000" w:themeColor="text1"/>
          <w:sz w:val="16"/>
          <w:szCs w:val="16"/>
        </w:rPr>
        <w:softHyphen/>
        <w:t>ня председатель Комитета обороны при СНК СССР маршал К. Е. Ворошилов подписал постановление о выпуске к концу года 10 БШ-2 АМ-35 войсковой серии в редакции: «по образцу, прошедшему го</w:t>
      </w:r>
      <w:r w:rsidRPr="00DB5D0D">
        <w:rPr>
          <w:rFonts w:ascii="Times New Roman" w:hAnsi="Times New Roman"/>
          <w:color w:val="000000" w:themeColor="text1"/>
          <w:sz w:val="16"/>
          <w:szCs w:val="16"/>
        </w:rPr>
        <w:softHyphen/>
        <w:t>сударственные испытания в НИИ ВВС ГУАС КА». То есть с устранением всех недостатков и дефектов самолета, выявленных в ходе государственных ис</w:t>
      </w:r>
      <w:r w:rsidRPr="00DB5D0D">
        <w:rPr>
          <w:rFonts w:ascii="Times New Roman" w:hAnsi="Times New Roman"/>
          <w:color w:val="000000" w:themeColor="text1"/>
          <w:sz w:val="16"/>
          <w:szCs w:val="16"/>
        </w:rPr>
        <w:softHyphen/>
        <w:t>пытаний, и со стрелковым вооружением в составе четырех крыльевых пулеметов ШКАС и одного пу</w:t>
      </w:r>
      <w:r w:rsidRPr="00DB5D0D">
        <w:rPr>
          <w:rFonts w:ascii="Times New Roman" w:hAnsi="Times New Roman"/>
          <w:color w:val="000000" w:themeColor="text1"/>
          <w:sz w:val="16"/>
          <w:szCs w:val="16"/>
        </w:rPr>
        <w:softHyphen/>
        <w:t>лемета ШКАС на турели. При этом подготовку про</w:t>
      </w:r>
      <w:r w:rsidRPr="00DB5D0D">
        <w:rPr>
          <w:rFonts w:ascii="Times New Roman" w:hAnsi="Times New Roman"/>
          <w:color w:val="000000" w:themeColor="text1"/>
          <w:sz w:val="16"/>
          <w:szCs w:val="16"/>
        </w:rPr>
        <w:softHyphen/>
        <w:t>изводства требовалось вести из расчета выпуска в 1941 г. 150 самолетов этого типа. Очевидно, для повышения интереса НКАП к этому заданию (17500).</w:t>
      </w:r>
    </w:p>
    <w:p w14:paraId="2CC20BA3" w14:textId="77777777" w:rsidR="00CB30A8" w:rsidRPr="00DB5D0D" w:rsidRDefault="00CB30A8" w:rsidP="00DB5D0D">
      <w:pPr>
        <w:spacing w:after="0" w:line="240" w:lineRule="auto"/>
        <w:jc w:val="both"/>
        <w:rPr>
          <w:rFonts w:ascii="Times New Roman" w:eastAsia="Times New Roman" w:hAnsi="Times New Roman"/>
          <w:color w:val="000000" w:themeColor="text1"/>
          <w:sz w:val="16"/>
          <w:szCs w:val="16"/>
          <w:lang w:eastAsia="ru-RU"/>
        </w:rPr>
      </w:pPr>
    </w:p>
    <w:p w14:paraId="2B454861" w14:textId="77777777" w:rsidR="007C4D7B" w:rsidRPr="00DB5D0D" w:rsidRDefault="007C4D7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4 июня 1940 г. состоялось совместное совещание НКАП и ВВС по вопросам серийного производства самолетов нового типа. Помимо Шахурина и ответственных работников Наркомата, от ВВС на нем присутствовали начальник ГУ ВВС командарм 2-го ранга Смушкевич, его заместители - комкоры К.М. Гусев и П.В. Рычагов, и начальник НИИ ВВС бригинженер Филин. На совещании было принято решение о постройке на заводе № 30 в рабочем поселке Иваньково (Калининская область) 10 самолетов БШ-2 АМ-35 по образцу прошедшего государственные испытания, то есть двух</w:t>
      </w:r>
      <w:r w:rsidRPr="00DB5D0D">
        <w:rPr>
          <w:rFonts w:ascii="Times New Roman" w:hAnsi="Times New Roman" w:cs="Times New Roman"/>
          <w:color w:val="000000" w:themeColor="text1"/>
          <w:sz w:val="16"/>
          <w:szCs w:val="16"/>
        </w:rPr>
        <w:softHyphen/>
        <w:t>местного. Бронекорпуса предполагалось изготавливать на заводе им. Орджони</w:t>
      </w:r>
      <w:r w:rsidRPr="00DB5D0D">
        <w:rPr>
          <w:rFonts w:ascii="Times New Roman" w:hAnsi="Times New Roman" w:cs="Times New Roman"/>
          <w:color w:val="000000" w:themeColor="text1"/>
          <w:sz w:val="16"/>
          <w:szCs w:val="16"/>
        </w:rPr>
        <w:softHyphen/>
        <w:t>кидзе в Подольске. При этом военные настаивали на том, чтобы на самолетах войсковой серии были устранены все недостатки и дефекты, выявленные при прохождении самолетом государственных испытаний, а также установлены две пушки Таубина-Бабурина ПТБ-23 калибра 23 мм и два пулемета ШКАС в крыле, как рекомендовал Технический совет при НИИ ВВС.</w:t>
      </w:r>
    </w:p>
    <w:p w14:paraId="1BF68041" w14:textId="77777777" w:rsidR="007C4D7B" w:rsidRPr="00DB5D0D" w:rsidRDefault="007C4D7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«Неожиданно» с такой постановкой вопроса не согласился Ильюшин. В официальном письме начальнику ВВС командарму 2-го ранга Смушкевичу и наркому Шахурину от 9 июня 1940 г. Ильюшин вопреки ранее данным обеща</w:t>
      </w:r>
      <w:r w:rsidRPr="00DB5D0D">
        <w:rPr>
          <w:rFonts w:ascii="Times New Roman" w:hAnsi="Times New Roman" w:cs="Times New Roman"/>
          <w:color w:val="000000" w:themeColor="text1"/>
          <w:sz w:val="16"/>
          <w:szCs w:val="16"/>
        </w:rPr>
        <w:softHyphen/>
        <w:t>ниям предложил немедленно запустить БШ-2 АМ-35 в том виде, в каком самолет прошел государственные испытания. То есть, в двухместном варианте со следующими изменениями: «облегчить управление элеронами», «уширить рукава и патронные коробки крыльевых установок», «изменить тягу управления жалюзи масляных радиаторов, мешающих сбрасыванию крайней бомбы».</w:t>
      </w:r>
    </w:p>
    <w:p w14:paraId="5AA2F2A0" w14:textId="77777777" w:rsidR="007C4D7B" w:rsidRPr="00DB5D0D" w:rsidRDefault="007C4D7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Уже при серийном производстве предполагалось оснастить БШ-2 невысотным мотором АМ-38, улучшить продольную устойчивость самолета, увеличить толщину брони бронекорпуса в наиболее ответственных местах, уста</w:t>
      </w:r>
      <w:r w:rsidRPr="00DB5D0D">
        <w:rPr>
          <w:rFonts w:ascii="Times New Roman" w:hAnsi="Times New Roman" w:cs="Times New Roman"/>
          <w:color w:val="000000" w:themeColor="text1"/>
          <w:sz w:val="16"/>
          <w:szCs w:val="16"/>
        </w:rPr>
        <w:softHyphen/>
        <w:t>новить бронестекло толщиной 64 мм в лобовых стеклах фонаря кабины летчика, а также устранить все мелкие замечания, отмеченные НИИ ВВС.</w:t>
      </w:r>
    </w:p>
    <w:p w14:paraId="3842BE60" w14:textId="77777777" w:rsidR="007C4D7B" w:rsidRPr="00DB5D0D" w:rsidRDefault="007C4D7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 предварительным оценкам Ильюшина, при установке на БШ-2 мотора АМ-38 толщина задней бронестенки штурмана и бронеперегородки между летчиком и штурманом в ее верхней ча</w:t>
      </w:r>
      <w:r w:rsidRPr="00DB5D0D">
        <w:rPr>
          <w:rFonts w:ascii="Times New Roman" w:hAnsi="Times New Roman"/>
          <w:color w:val="000000" w:themeColor="text1"/>
          <w:sz w:val="16"/>
          <w:szCs w:val="16"/>
        </w:rPr>
        <w:softHyphen/>
        <w:t>сти могла достигать 15 мм (вместо 7 мм). Это обеспечивало вполне надежную защиту в типовых условиях воздушного боя при обстреле из авиационных пушек калибра 20 мм. Одновременно увеличи</w:t>
      </w:r>
      <w:r w:rsidRPr="00DB5D0D">
        <w:rPr>
          <w:rFonts w:ascii="Times New Roman" w:hAnsi="Times New Roman"/>
          <w:color w:val="000000" w:themeColor="text1"/>
          <w:sz w:val="16"/>
          <w:szCs w:val="16"/>
        </w:rPr>
        <w:softHyphen/>
        <w:t>вались толщины брони боковых стенок кабины летчика и штурмана в верхней части - с 6 до 8 мм, боковых бронестенок, прикрывающих нижний бензобак, и боковых стенок бронекорзины маслора- диатора - с 5 до 6 мм. Остальная броня оставалась прежней - 4 мм.</w:t>
      </w:r>
    </w:p>
    <w:p w14:paraId="738E4DBA" w14:textId="77777777" w:rsidR="007C4D7B" w:rsidRPr="00DB5D0D" w:rsidRDefault="007C4D7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Срок предъявления самолета с этими изменениями в НИИ ВВС для производства государственных испытаний оценивался не позже 15 августа при усло</w:t>
      </w:r>
      <w:r w:rsidRPr="00DB5D0D">
        <w:rPr>
          <w:rFonts w:ascii="Times New Roman" w:hAnsi="Times New Roman" w:cs="Times New Roman"/>
          <w:color w:val="000000" w:themeColor="text1"/>
          <w:sz w:val="16"/>
          <w:szCs w:val="16"/>
        </w:rPr>
        <w:softHyphen/>
        <w:t>вии подачи заводу №39 мотора АМ-38 и воздушного винта не позднее 1 июля.</w:t>
      </w:r>
    </w:p>
    <w:p w14:paraId="3548C524" w14:textId="77777777" w:rsidR="007C4D7B" w:rsidRPr="00DB5D0D" w:rsidRDefault="007C4D7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Вторым этапом предлагалось установить на БШ-2 две пушки ШВАК калибра 20 мм и с ними в ноябре 1940 г. предъявить самолет на государственные испытания.</w:t>
      </w:r>
    </w:p>
    <w:p w14:paraId="43BFD78F" w14:textId="77777777" w:rsidR="007C4D7B" w:rsidRPr="00DB5D0D" w:rsidRDefault="007C4D7B"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В обоснование своей позиции Ильюшин указывал:«</w:t>
      </w:r>
      <w:r w:rsidRPr="00DB5D0D">
        <w:rPr>
          <w:rFonts w:ascii="Times New Roman" w:hAnsi="Times New Roman"/>
          <w:color w:val="000000" w:themeColor="text1"/>
          <w:sz w:val="16"/>
          <w:szCs w:val="16"/>
        </w:rPr>
        <w:t>Таким образом, с точки зрения боевого вооружения, летных данных, пилотажных свойств, надежности работы боевого и эксплуатационного вооружения, а также быстрота, с которой самолет прошел гос. испытания (в течение 19 дней), говорит о том, что самолет может быть немедленно запущен в серийное производство./.../ Бронированный самолет БШ-2 АМ-35 является новым самолетом с мощным стрелковым вооружением и мощным разнообразным бомбовым вооружением, с броневой защитой, которая обеспечивает нам значительно меньший урон и меньшие потери при атаке целей, по сравнению с самолетами, не имеющими брони./.../Бро</w:t>
      </w:r>
      <w:r w:rsidRPr="00DB5D0D">
        <w:rPr>
          <w:rFonts w:ascii="Times New Roman" w:hAnsi="Times New Roman"/>
          <w:color w:val="000000" w:themeColor="text1"/>
          <w:sz w:val="16"/>
          <w:szCs w:val="16"/>
        </w:rPr>
        <w:softHyphen/>
        <w:t>невая защита сначала отдельных частей, а потом и всех жизненных частей, в даль</w:t>
      </w:r>
      <w:r w:rsidRPr="00DB5D0D">
        <w:rPr>
          <w:rFonts w:ascii="Times New Roman" w:hAnsi="Times New Roman"/>
          <w:color w:val="000000" w:themeColor="text1"/>
          <w:sz w:val="16"/>
          <w:szCs w:val="16"/>
        </w:rPr>
        <w:softHyphen/>
        <w:t>нейшем, несомненно, будет находить все большее и большее применение. С одной стороны, вследствие того, что в этом имеется насущнейшая потребность для уменьшения потерь, а с другой стороны, авиационная техника на сегодня такова, что она может позволить ввести брони</w:t>
      </w:r>
      <w:r w:rsidRPr="00DB5D0D">
        <w:rPr>
          <w:rFonts w:ascii="Times New Roman" w:hAnsi="Times New Roman"/>
          <w:color w:val="000000" w:themeColor="text1"/>
          <w:sz w:val="16"/>
          <w:szCs w:val="16"/>
        </w:rPr>
        <w:softHyphen/>
        <w:t>рование, не ухудшающее сильно активных боевых свойств бронированного самолета. Поэтому начинать внедрять бронирован</w:t>
      </w:r>
      <w:r w:rsidRPr="00DB5D0D">
        <w:rPr>
          <w:rFonts w:ascii="Times New Roman" w:hAnsi="Times New Roman"/>
          <w:color w:val="000000" w:themeColor="text1"/>
          <w:sz w:val="16"/>
          <w:szCs w:val="16"/>
        </w:rPr>
        <w:softHyphen/>
        <w:t>ные самолеты, совершенно необходимо уже по одному тому, чтобы преодолеть возможные технические затруднения, связанные с этим нововведением».</w:t>
      </w:r>
    </w:p>
    <w:p w14:paraId="31BD6EDA" w14:textId="77777777" w:rsidR="007C4D7B" w:rsidRPr="00DB5D0D" w:rsidRDefault="007C4D7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Интересна попытка Ильюшина подвергнуть ревизии основные выводы отчета НИИ ВВС по результатам государ</w:t>
      </w:r>
      <w:r w:rsidRPr="00DB5D0D">
        <w:rPr>
          <w:rFonts w:ascii="Times New Roman" w:hAnsi="Times New Roman" w:cs="Times New Roman"/>
          <w:color w:val="000000" w:themeColor="text1"/>
          <w:sz w:val="16"/>
          <w:szCs w:val="16"/>
        </w:rPr>
        <w:softHyphen/>
        <w:t>ственных испытаний БШ-2 №2 в части недостатков самолета и поставить под сомнение ТТТ ВВС к самолету и требова</w:t>
      </w:r>
      <w:r w:rsidRPr="00DB5D0D">
        <w:rPr>
          <w:rFonts w:ascii="Times New Roman" w:hAnsi="Times New Roman" w:cs="Times New Roman"/>
          <w:color w:val="000000" w:themeColor="text1"/>
          <w:sz w:val="16"/>
          <w:szCs w:val="16"/>
        </w:rPr>
        <w:softHyphen/>
        <w:t>ния постановления Комитета Обороны от 29 июля 1939 г.</w:t>
      </w:r>
    </w:p>
    <w:p w14:paraId="4B527C3C" w14:textId="77777777" w:rsidR="007C4D7B" w:rsidRPr="00DB5D0D" w:rsidRDefault="007C4D7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xml:space="preserve">По поводу неудовлетворительного обзора вперед для летчика Ильюшин </w:t>
      </w:r>
      <w:r w:rsidRPr="00DB5D0D">
        <w:rPr>
          <w:rStyle w:val="174"/>
          <w:rFonts w:ascii="Times New Roman" w:hAnsi="Times New Roman" w:cs="Times New Roman"/>
          <w:i w:val="0"/>
          <w:color w:val="000000" w:themeColor="text1"/>
          <w:sz w:val="16"/>
          <w:szCs w:val="16"/>
        </w:rPr>
        <w:t>утверждал, что «с</w:t>
      </w:r>
      <w:r w:rsidRPr="00DB5D0D">
        <w:rPr>
          <w:rFonts w:ascii="Times New Roman" w:hAnsi="Times New Roman" w:cs="Times New Roman"/>
          <w:color w:val="000000" w:themeColor="text1"/>
          <w:sz w:val="16"/>
          <w:szCs w:val="16"/>
        </w:rPr>
        <w:t xml:space="preserve"> точки зрения пилотаж</w:t>
      </w:r>
      <w:r w:rsidRPr="00DB5D0D">
        <w:rPr>
          <w:rFonts w:ascii="Times New Roman" w:hAnsi="Times New Roman" w:cs="Times New Roman"/>
          <w:color w:val="000000" w:themeColor="text1"/>
          <w:sz w:val="16"/>
          <w:szCs w:val="16"/>
        </w:rPr>
        <w:softHyphen/>
        <w:t>ных свойств это явление присуще всем одномоторным самолетам</w:t>
      </w:r>
      <w:r w:rsidRPr="00DB5D0D">
        <w:rPr>
          <w:rStyle w:val="174"/>
          <w:rFonts w:ascii="Times New Roman" w:hAnsi="Times New Roman" w:cs="Times New Roman"/>
          <w:i w:val="0"/>
          <w:color w:val="000000" w:themeColor="text1"/>
          <w:sz w:val="16"/>
          <w:szCs w:val="16"/>
        </w:rPr>
        <w:t>», а «с</w:t>
      </w:r>
      <w:r w:rsidRPr="00DB5D0D">
        <w:rPr>
          <w:rFonts w:ascii="Times New Roman" w:hAnsi="Times New Roman" w:cs="Times New Roman"/>
          <w:color w:val="000000" w:themeColor="text1"/>
          <w:sz w:val="16"/>
          <w:szCs w:val="16"/>
        </w:rPr>
        <w:t xml:space="preserve"> точки зрения стрельбы по наземным целям, то, как проверено на испытаниях стрельбой, /.../стрельба по наземным целям может производиться вполне нормально». </w:t>
      </w:r>
      <w:r w:rsidRPr="00DB5D0D">
        <w:rPr>
          <w:rStyle w:val="174"/>
          <w:rFonts w:ascii="Times New Roman" w:hAnsi="Times New Roman" w:cs="Times New Roman"/>
          <w:i w:val="0"/>
          <w:color w:val="000000" w:themeColor="text1"/>
          <w:sz w:val="16"/>
          <w:szCs w:val="16"/>
        </w:rPr>
        <w:t>В отношении неудовлетворительного обзора у штурмана,«</w:t>
      </w:r>
      <w:r w:rsidRPr="00DB5D0D">
        <w:rPr>
          <w:rFonts w:ascii="Times New Roman" w:hAnsi="Times New Roman" w:cs="Times New Roman"/>
          <w:color w:val="000000" w:themeColor="text1"/>
          <w:sz w:val="16"/>
          <w:szCs w:val="16"/>
        </w:rPr>
        <w:t xml:space="preserve">то точно также это вытекает из одномоторной схемы самолета и это обстоятельство ни в коей мере не лишает возможности вести нормальную боевую работу летчика- наблюдателя из штурманской кабины». </w:t>
      </w:r>
      <w:r w:rsidRPr="00DB5D0D">
        <w:rPr>
          <w:rStyle w:val="174"/>
          <w:rFonts w:ascii="Times New Roman" w:hAnsi="Times New Roman" w:cs="Times New Roman"/>
          <w:i w:val="0"/>
          <w:color w:val="000000" w:themeColor="text1"/>
          <w:sz w:val="16"/>
          <w:szCs w:val="16"/>
        </w:rPr>
        <w:t>И главное:«</w:t>
      </w:r>
      <w:r w:rsidRPr="00DB5D0D">
        <w:rPr>
          <w:rFonts w:ascii="Times New Roman" w:hAnsi="Times New Roman" w:cs="Times New Roman"/>
          <w:color w:val="000000" w:themeColor="text1"/>
          <w:sz w:val="16"/>
          <w:szCs w:val="16"/>
        </w:rPr>
        <w:t>Все одноместные самолеты, проходившие испытания в НИИ ВВС, имеют в отчетах записанным пункт о неудовлетворительном обзоре вперед. Поэтому записанный в таком виде пункт мы не можем рассматривать как дефект». «Для кардинального решения вопроса о характере обзора вперед» предлагалось «перейти на какую-либо новую схему самолета, но этот вопрос не может относиться к конкретному самолету БШ-2 АМ-35».</w:t>
      </w:r>
    </w:p>
    <w:p w14:paraId="3674D7E0" w14:textId="77777777" w:rsidR="007C4D7B" w:rsidRPr="00DB5D0D" w:rsidRDefault="007C4D7B"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По замечанию о недостаточной про</w:t>
      </w:r>
      <w:r w:rsidRPr="00DB5D0D">
        <w:rPr>
          <w:rStyle w:val="174"/>
          <w:rFonts w:ascii="Times New Roman" w:hAnsi="Times New Roman" w:cs="Times New Roman"/>
          <w:i w:val="0"/>
          <w:color w:val="000000" w:themeColor="text1"/>
          <w:sz w:val="16"/>
          <w:szCs w:val="16"/>
        </w:rPr>
        <w:softHyphen/>
        <w:t>дольной устойчивости БШ-2 отмечалось следующее:«</w:t>
      </w:r>
      <w:r w:rsidRPr="00DB5D0D">
        <w:rPr>
          <w:rFonts w:ascii="Times New Roman" w:hAnsi="Times New Roman"/>
          <w:color w:val="000000" w:themeColor="text1"/>
          <w:sz w:val="16"/>
          <w:szCs w:val="16"/>
        </w:rPr>
        <w:t>Этот пункт относится к пилотажным свойствам самолета. Но/.../ на гос. испытаниях найдено и зафикси</w:t>
      </w:r>
      <w:r w:rsidRPr="00DB5D0D">
        <w:rPr>
          <w:rFonts w:ascii="Times New Roman" w:hAnsi="Times New Roman"/>
          <w:color w:val="000000" w:themeColor="text1"/>
          <w:sz w:val="16"/>
          <w:szCs w:val="16"/>
        </w:rPr>
        <w:softHyphen/>
        <w:t>ровано в отчете об испытаниях, что са</w:t>
      </w:r>
      <w:r w:rsidRPr="00DB5D0D">
        <w:rPr>
          <w:rFonts w:ascii="Times New Roman" w:hAnsi="Times New Roman"/>
          <w:color w:val="000000" w:themeColor="text1"/>
          <w:sz w:val="16"/>
          <w:szCs w:val="16"/>
        </w:rPr>
        <w:softHyphen/>
        <w:t>молет в пилотажном отношении прост и конкретно недостаточная продольная устойчивость в отношении самолета БШ-2 не вносит каких-либо осложнений или затруднений в его пилотирование. Что же касается дальнейшего повышения продольной устойчивости самолета, то это можно рассматривать как дальнейшее упрощение уже простых пилотажных свойств самолета БШ-2. Таким образом, мы считаем необходимым установить, что пилотажные свойства самолета БШ-2 АМ-35 просты (несмотря на его недостаточную продольную устойчивость) и считаем, что рассма</w:t>
      </w:r>
      <w:r w:rsidRPr="00DB5D0D">
        <w:rPr>
          <w:rFonts w:ascii="Times New Roman" w:hAnsi="Times New Roman"/>
          <w:color w:val="000000" w:themeColor="text1"/>
          <w:sz w:val="16"/>
          <w:szCs w:val="16"/>
        </w:rPr>
        <w:softHyphen/>
        <w:t>тривать этот пункт как препятствие к запуску в серию самолета БШ-2 АМ-35 неправильно».</w:t>
      </w:r>
    </w:p>
    <w:p w14:paraId="3B8A6A31" w14:textId="77777777" w:rsidR="007C4D7B" w:rsidRPr="00DB5D0D" w:rsidRDefault="007C4D7B"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Весьма «оригинальными» были возражения по пункту отчета «о недоста</w:t>
      </w:r>
      <w:r w:rsidRPr="00DB5D0D">
        <w:rPr>
          <w:rStyle w:val="174"/>
          <w:rFonts w:ascii="Times New Roman" w:hAnsi="Times New Roman" w:cs="Times New Roman"/>
          <w:i w:val="0"/>
          <w:color w:val="000000" w:themeColor="text1"/>
          <w:sz w:val="16"/>
          <w:szCs w:val="16"/>
        </w:rPr>
        <w:softHyphen/>
        <w:t xml:space="preserve">точной маневренности и управляемости вследствие большого сравнительно веса самолета», а именно: поскольку </w:t>
      </w:r>
      <w:r w:rsidRPr="00DB5D0D">
        <w:rPr>
          <w:rFonts w:ascii="Times New Roman" w:hAnsi="Times New Roman"/>
          <w:color w:val="000000" w:themeColor="text1"/>
          <w:sz w:val="16"/>
          <w:szCs w:val="16"/>
        </w:rPr>
        <w:t>«критерия в отношении элементов маневренности у нас для штурмовиков не установлено и нет»,</w:t>
      </w:r>
      <w:r w:rsidRPr="00DB5D0D">
        <w:rPr>
          <w:rStyle w:val="174"/>
          <w:rFonts w:ascii="Times New Roman" w:hAnsi="Times New Roman" w:cs="Times New Roman"/>
          <w:i w:val="0"/>
          <w:color w:val="000000" w:themeColor="text1"/>
          <w:sz w:val="16"/>
          <w:szCs w:val="16"/>
        </w:rPr>
        <w:t xml:space="preserve"> то «</w:t>
      </w:r>
      <w:r w:rsidRPr="00DB5D0D">
        <w:rPr>
          <w:rFonts w:ascii="Times New Roman" w:hAnsi="Times New Roman"/>
          <w:color w:val="000000" w:themeColor="text1"/>
          <w:sz w:val="16"/>
          <w:szCs w:val="16"/>
        </w:rPr>
        <w:t>этот пункт, к тому же зафиксированный в таком общем виде, мы не можем принять как дефект».</w:t>
      </w:r>
    </w:p>
    <w:p w14:paraId="4818AE05" w14:textId="77777777" w:rsidR="007C4D7B" w:rsidRPr="00DB5D0D" w:rsidRDefault="007C4D7B"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Но самыми «показательными» в этой истории были соображения о недоста</w:t>
      </w:r>
      <w:r w:rsidRPr="00DB5D0D">
        <w:rPr>
          <w:rStyle w:val="174"/>
          <w:rFonts w:ascii="Times New Roman" w:hAnsi="Times New Roman" w:cs="Times New Roman"/>
          <w:i w:val="0"/>
          <w:color w:val="000000" w:themeColor="text1"/>
          <w:sz w:val="16"/>
          <w:szCs w:val="16"/>
        </w:rPr>
        <w:softHyphen/>
        <w:t>точной дальности полета БШ-2. По этому вопросу Ильюшин писал:«</w:t>
      </w:r>
      <w:r w:rsidRPr="00DB5D0D">
        <w:rPr>
          <w:rFonts w:ascii="Times New Roman" w:hAnsi="Times New Roman"/>
          <w:color w:val="000000" w:themeColor="text1"/>
          <w:sz w:val="16"/>
          <w:szCs w:val="16"/>
        </w:rPr>
        <w:t>Кроме этой общей формулировки ничего не сказано, а какая дальность нужна?</w:t>
      </w:r>
      <w:r w:rsidRPr="00DB5D0D">
        <w:rPr>
          <w:rStyle w:val="174"/>
          <w:rFonts w:ascii="Times New Roman" w:hAnsi="Times New Roman" w:cs="Times New Roman"/>
          <w:i w:val="0"/>
          <w:color w:val="000000" w:themeColor="text1"/>
          <w:sz w:val="16"/>
          <w:szCs w:val="16"/>
        </w:rPr>
        <w:t xml:space="preserve"> (прим. авт.)/.../ </w:t>
      </w:r>
      <w:r w:rsidRPr="00DB5D0D">
        <w:rPr>
          <w:rFonts w:ascii="Times New Roman" w:hAnsi="Times New Roman"/>
          <w:color w:val="000000" w:themeColor="text1"/>
          <w:sz w:val="16"/>
          <w:szCs w:val="16"/>
        </w:rPr>
        <w:t>На гос. испытаниях зафиксировано, что техническая дальность самолета 618 км, причем эта дальность была замерена при полете на высоте 200 м от земли и при скорости 330 км/час. Даже при этой скорости дальность для подобного типа самолета вполне достаточная, т.к. он будет иметь тактическую дальность 500 км. Но эта дальность не максималь</w:t>
      </w:r>
      <w:r w:rsidRPr="00DB5D0D">
        <w:rPr>
          <w:rFonts w:ascii="Times New Roman" w:hAnsi="Times New Roman"/>
          <w:color w:val="000000" w:themeColor="text1"/>
          <w:sz w:val="16"/>
          <w:szCs w:val="16"/>
        </w:rPr>
        <w:softHyphen/>
        <w:t>ная. Мы просим НИИ ГУАС произвести проверку дальности на скорости не 330, а 300 км/час, но НИИ ГУАС/.../не определило дальность на этой скорости,/.../очевидно, что при скорости 300 км/час на той же высоте 200 м техническая дальность полета увеличится до 700-750 км, что даст тактическую дальность 600 км. Мы считаем, что такая дальность вполне достаточна для бронированного штур</w:t>
      </w:r>
      <w:r w:rsidRPr="00DB5D0D">
        <w:rPr>
          <w:rFonts w:ascii="Times New Roman" w:hAnsi="Times New Roman"/>
          <w:color w:val="000000" w:themeColor="text1"/>
          <w:sz w:val="16"/>
          <w:szCs w:val="16"/>
        </w:rPr>
        <w:softHyphen/>
        <w:t>мовика. Увеличение дальности полета для самолета БШ-2 АМ-35 заставляет увеличивать горючее, а т.к. горючее поместить в забронированную часть фюзеляжа невозможно, то приходится ставить дополнительный бак в незащи</w:t>
      </w:r>
      <w:r w:rsidRPr="00DB5D0D">
        <w:rPr>
          <w:rFonts w:ascii="Times New Roman" w:hAnsi="Times New Roman"/>
          <w:color w:val="000000" w:themeColor="text1"/>
          <w:sz w:val="16"/>
          <w:szCs w:val="16"/>
        </w:rPr>
        <w:softHyphen/>
        <w:t>щенной броней части фюзеляжа за задним стрелком, что сразу же:</w:t>
      </w:r>
    </w:p>
    <w:p w14:paraId="75D8D5F2" w14:textId="77777777" w:rsidR="007C4D7B" w:rsidRPr="00DB5D0D" w:rsidRDefault="007C4D7B" w:rsidP="00DB5D0D">
      <w:pPr>
        <w:tabs>
          <w:tab w:val="left" w:pos="48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резко увеличит уязвимость самолета;</w:t>
      </w:r>
    </w:p>
    <w:p w14:paraId="1A94A6D8" w14:textId="77777777" w:rsidR="007C4D7B" w:rsidRPr="00DB5D0D" w:rsidRDefault="007C4D7B" w:rsidP="00DB5D0D">
      <w:pPr>
        <w:tabs>
          <w:tab w:val="left" w:pos="46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ухудшит центровку;</w:t>
      </w:r>
    </w:p>
    <w:p w14:paraId="53D15EBF" w14:textId="77777777" w:rsidR="007C4D7B" w:rsidRPr="00DB5D0D" w:rsidRDefault="007C4D7B" w:rsidP="00DB5D0D">
      <w:pPr>
        <w:tabs>
          <w:tab w:val="left" w:pos="48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усложнит бензиновую схему само</w:t>
      </w:r>
      <w:r w:rsidRPr="00DB5D0D">
        <w:rPr>
          <w:rFonts w:ascii="Times New Roman" w:hAnsi="Times New Roman"/>
          <w:color w:val="000000" w:themeColor="text1"/>
          <w:sz w:val="16"/>
          <w:szCs w:val="16"/>
        </w:rPr>
        <w:softHyphen/>
        <w:t>лета и уменьшит надежность работы, что недопустимо для полета на низких высотах и может быть причиной отказа в работе бензосистемы. Гарантировать безотказную работу такой системы невозможно;</w:t>
      </w:r>
    </w:p>
    <w:p w14:paraId="222C9AA8" w14:textId="77777777" w:rsidR="007C4D7B" w:rsidRPr="00DB5D0D" w:rsidRDefault="007C4D7B" w:rsidP="00DB5D0D">
      <w:pPr>
        <w:tabs>
          <w:tab w:val="left" w:pos="48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значительно увеличит вес само</w:t>
      </w:r>
      <w:r w:rsidRPr="00DB5D0D">
        <w:rPr>
          <w:rFonts w:ascii="Times New Roman" w:hAnsi="Times New Roman"/>
          <w:color w:val="000000" w:themeColor="text1"/>
          <w:sz w:val="16"/>
          <w:szCs w:val="16"/>
        </w:rPr>
        <w:softHyphen/>
        <w:t>лета. Таким образом, с одной стороны, мы имеем достаточную все же для брониро</w:t>
      </w:r>
      <w:r w:rsidRPr="00DB5D0D">
        <w:rPr>
          <w:rFonts w:ascii="Times New Roman" w:hAnsi="Times New Roman"/>
          <w:color w:val="000000" w:themeColor="text1"/>
          <w:sz w:val="16"/>
          <w:szCs w:val="16"/>
        </w:rPr>
        <w:softHyphen/>
        <w:t>ванного штурмовика дальность и с другой стороны, увеличение дальности влечет за собой ухудшение самолета, как отмечено выше. Мы считаем, что увеличивать дальность не следует».</w:t>
      </w:r>
    </w:p>
    <w:p w14:paraId="2435EDA2" w14:textId="77777777" w:rsidR="007C4D7B" w:rsidRPr="00DB5D0D" w:rsidRDefault="007C4D7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Напомним, что максимальная даль</w:t>
      </w:r>
      <w:r w:rsidRPr="00DB5D0D">
        <w:rPr>
          <w:rFonts w:ascii="Times New Roman" w:hAnsi="Times New Roman"/>
          <w:color w:val="000000" w:themeColor="text1"/>
          <w:sz w:val="16"/>
          <w:szCs w:val="16"/>
        </w:rPr>
        <w:softHyphen/>
        <w:t>ность полета БШ-2 АМ-35 - 800-1000 км, была определена тактико-техническими тебованиями к самолету и уточнена "остановлением Комитета Обороны от 19 июля 1939 г. Скоростная дальность самолета БШ-2 у земли должна была дости</w:t>
      </w:r>
      <w:r w:rsidRPr="00DB5D0D">
        <w:rPr>
          <w:rFonts w:ascii="Times New Roman" w:hAnsi="Times New Roman"/>
          <w:color w:val="000000" w:themeColor="text1"/>
          <w:sz w:val="16"/>
          <w:szCs w:val="16"/>
        </w:rPr>
        <w:softHyphen/>
        <w:t>чь 700 км. Именно поэтому специалисты - НИИ ВВС были обязаны определить дальность полета на скорости 0,9</w:t>
      </w:r>
      <w:r w:rsidRPr="00DB5D0D">
        <w:rPr>
          <w:rFonts w:ascii="Times New Roman" w:hAnsi="Times New Roman"/>
          <w:color w:val="000000" w:themeColor="text1"/>
          <w:sz w:val="16"/>
          <w:szCs w:val="16"/>
          <w:lang w:val="en-US"/>
        </w:rPr>
        <w:t>V</w:t>
      </w:r>
      <w:r w:rsidRPr="00DB5D0D">
        <w:rPr>
          <w:rFonts w:ascii="Times New Roman" w:hAnsi="Times New Roman"/>
          <w:color w:val="000000" w:themeColor="text1"/>
          <w:sz w:val="16"/>
          <w:szCs w:val="16"/>
          <w:vertAlign w:val="subscript"/>
          <w:lang w:val="en-US"/>
        </w:rPr>
        <w:t>max</w:t>
      </w:r>
      <w:r w:rsidRPr="00DB5D0D">
        <w:rPr>
          <w:rFonts w:ascii="Times New Roman" w:hAnsi="Times New Roman"/>
          <w:color w:val="000000" w:themeColor="text1"/>
          <w:sz w:val="16"/>
          <w:szCs w:val="16"/>
        </w:rPr>
        <w:t xml:space="preserve"> у земли, а не на наивыгоднейшей скорости для получения максимальной дальности.</w:t>
      </w:r>
    </w:p>
    <w:p w14:paraId="43EA2815" w14:textId="77777777" w:rsidR="007C4D7B" w:rsidRPr="00DB5D0D" w:rsidRDefault="007C4D7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воспоминаниям Ильюшина, письмо аналогичного содержания он тогда же направил для рассмотрения в ЦК ВКП(б).</w:t>
      </w:r>
    </w:p>
    <w:p w14:paraId="09108B5E" w14:textId="77777777" w:rsidR="007C4D7B" w:rsidRPr="00DB5D0D" w:rsidRDefault="007C4D7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Между тем сам Ильюшин и его заместитель по самолету Мальцев непосредственно принимали участие в работеТехнического совета при НИИ ВВС и согласились со всеми пунктами протокола совещания. Кроме того, Ильюшин согласовал выводы и заключение отчета по дарственным испытаниям БШ-2 Надо полагать, основной причиной неожиданной смены позиции Ильюшина по самолету БШ-2 и появления письма от 9 июня следует считать, что на том же самом совещании НКАП от 4 июня принято решение о запуске в большую серию пикирующего бом</w:t>
      </w:r>
      <w:r w:rsidR="000C1D82" w:rsidRPr="00DB5D0D">
        <w:rPr>
          <w:rFonts w:ascii="Times New Roman" w:hAnsi="Times New Roman" w:cs="Times New Roman"/>
          <w:color w:val="000000" w:themeColor="text1"/>
          <w:sz w:val="16"/>
          <w:szCs w:val="16"/>
        </w:rPr>
        <w:t>б</w:t>
      </w:r>
      <w:r w:rsidRPr="00DB5D0D">
        <w:rPr>
          <w:rFonts w:ascii="Times New Roman" w:hAnsi="Times New Roman" w:cs="Times New Roman"/>
          <w:color w:val="000000" w:themeColor="text1"/>
          <w:sz w:val="16"/>
          <w:szCs w:val="16"/>
        </w:rPr>
        <w:t xml:space="preserve">ардировщика В.М. Петлякова ПБ-100 </w:t>
      </w:r>
      <w:r w:rsidRPr="00DB5D0D">
        <w:rPr>
          <w:rFonts w:ascii="Times New Roman" w:hAnsi="Times New Roman" w:cs="Times New Roman"/>
          <w:color w:val="000000" w:themeColor="text1"/>
          <w:sz w:val="16"/>
          <w:szCs w:val="16"/>
          <w:lang w:val="en-US"/>
        </w:rPr>
        <w:t>M</w:t>
      </w:r>
      <w:r w:rsidRPr="00DB5D0D">
        <w:rPr>
          <w:rFonts w:ascii="Times New Roman" w:hAnsi="Times New Roman" w:cs="Times New Roman"/>
          <w:color w:val="000000" w:themeColor="text1"/>
          <w:sz w:val="16"/>
          <w:szCs w:val="16"/>
        </w:rPr>
        <w:t>-105 (будущий Пе-2). Соответственно, велась активная работа по подготовке проекта постановления Комитета Обороны по этому вопросу (вышло 13 июня 1940 г.). Для серии ПБ-100 предполагалось задействовать завод №22 и завод №39, который выпускал дальний бомьардировщик конструкции Ильюшина ДБ-Зф 2М-88. В перспективе завод № 39 «уходил» под «контроль» другого другого конструктора.</w:t>
      </w:r>
    </w:p>
    <w:p w14:paraId="5ABF518A" w14:textId="77777777" w:rsidR="007C4D7B" w:rsidRPr="00DB5D0D" w:rsidRDefault="007C4D7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Прложение осложнялось еще и тем обстоятельством, что серийные образцы ДБ-Зф при испытании показывали удручающие результаты. По этому поводу Начальник ГУАС КА комдив Алексеев в докладной записке маршалу Ворошилову от 13 февраля указывал:«</w:t>
      </w:r>
      <w:r w:rsidRPr="00DB5D0D">
        <w:rPr>
          <w:rStyle w:val="173"/>
          <w:rFonts w:ascii="Times New Roman" w:eastAsia="Arial Narrow" w:hAnsi="Times New Roman" w:cs="Times New Roman"/>
          <w:color w:val="000000" w:themeColor="text1"/>
          <w:sz w:val="16"/>
          <w:szCs w:val="16"/>
        </w:rPr>
        <w:t xml:space="preserve">Самолеты конструктора тов. Ильюшина оказались недоработанными. Самолет ДБ-Зф при эксплоатации в боевых условиях выявил ряд серьезных дефектов, что в основном является причиной большой убыли их на фронте /.../ Согласно Постановлению КО. т. Ильюшин должен был к сентябрю 1939 </w:t>
      </w:r>
      <w:r w:rsidRPr="00DB5D0D">
        <w:rPr>
          <w:rFonts w:ascii="Times New Roman" w:hAnsi="Times New Roman" w:cs="Times New Roman"/>
          <w:color w:val="000000" w:themeColor="text1"/>
          <w:sz w:val="16"/>
          <w:szCs w:val="16"/>
        </w:rPr>
        <w:t>г. представить на государственные испытания самолет ДБ-Зф М-88. Самолет был предъявлен 12 декабря 1939 г. и снят с испытаний 25 декабря в силу явной недоработки винто-моторной группы. ВМГ была настолько недоработана, что не позволяло произвести в гори</w:t>
      </w:r>
      <w:r w:rsidRPr="00DB5D0D">
        <w:rPr>
          <w:rFonts w:ascii="Times New Roman" w:hAnsi="Times New Roman" w:cs="Times New Roman"/>
          <w:color w:val="000000" w:themeColor="text1"/>
          <w:sz w:val="16"/>
          <w:szCs w:val="16"/>
        </w:rPr>
        <w:softHyphen/>
        <w:t>зонтальном полете замеры скоростей. До настоящего времени самолет ДБ-Зф еще не доведен до надежного состояния в полете./.../Дефекты по самолету т. Ильюшина ему хорошо известны, как из актов испытаний, так и из претензий, предъявляемых ему военной приемкой. Вместо быстрой доработки конструкции самолетов, т. Ильюшин обычно пытается оспаривать предъявленные претензии. Тов. Ильюшин отличается особенной не</w:t>
      </w:r>
      <w:r w:rsidRPr="00DB5D0D">
        <w:rPr>
          <w:rFonts w:ascii="Times New Roman" w:hAnsi="Times New Roman" w:cs="Times New Roman"/>
          <w:color w:val="000000" w:themeColor="text1"/>
          <w:sz w:val="16"/>
          <w:szCs w:val="16"/>
        </w:rPr>
        <w:softHyphen/>
        <w:t>терпимостью к требованиям, как военной приемки, так и НИИ. Такое же отношение к самолету т. Ильюшина проявляет и летчик-испытатель тов. Коккинаки. Так, например, в начале декабря месяца т. Коккинаки лично убеждал меня в полной доработке самолета ДБ-Зф, что оказалось совершенно неправильно. На заводах №18 и №39 скопилось большое количество самолетов ДБ-Зф, которые взять в строй, в силу их недоработки, мы не можем» (19087).</w:t>
      </w:r>
    </w:p>
    <w:p w14:paraId="78A80467" w14:textId="77777777" w:rsidR="007C4D7B" w:rsidRPr="00DB5D0D" w:rsidRDefault="007C4D7B"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60BDEB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было принято решение о выпуске на заводе № 1 10 самолетов БШ-2 (Ил-2) с мотором АМ-35 для войсковых испытаний. 26.06.1940 г. вышло соответствующее постановление КО. На 1941 г. был запланирован выпуск еще 150 машин. Пост. ГКО № 594 от 27.08.1941 г. заводу поручено производство Ил-2. 23.09.1941 г. вышло постановление ГКО № 708 о ежедневном плане выпуска самолета МиГ-3 - 6 машин с 6-ю РС-82 (11982).</w:t>
      </w:r>
    </w:p>
    <w:p w14:paraId="70FFEED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7B163C" w14:textId="77777777" w:rsidR="00D926C6" w:rsidRPr="00DB5D0D" w:rsidRDefault="00D926C6"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4 июня</w:t>
      </w:r>
      <w:r w:rsidRPr="00DB5D0D">
        <w:rPr>
          <w:rFonts w:ascii="Times New Roman" w:hAnsi="Times New Roman"/>
          <w:color w:val="000000" w:themeColor="text1"/>
          <w:sz w:val="16"/>
          <w:szCs w:val="16"/>
        </w:rPr>
        <w:t xml:space="preserve"> в 1940 году на совместном совещании руководства Наркомата авиационной промышленности и ВВС Красной Армии у А.И.Шахурина в присутствии Начальника ВВС Я.В.Смушкевича, его 1-го заместителя П.В.Рычагова, начальника НИИ ВВС А.И.Филина, и заместителей наркома авиапромышленности П.А.Воронина и А.С.Яковлева было принято решение об изготовлении на 1-м авиазаводе (город Москва) в 1940 году 10 самолетов </w:t>
      </w:r>
      <w:hyperlink r:id="rId99" w:tgtFrame="_blank" w:history="1">
        <w:r w:rsidRPr="00DB5D0D">
          <w:rPr>
            <w:rFonts w:ascii="Times New Roman" w:hAnsi="Times New Roman"/>
            <w:color w:val="000000" w:themeColor="text1"/>
            <w:sz w:val="16"/>
            <w:szCs w:val="16"/>
          </w:rPr>
          <w:t xml:space="preserve">«БШ-2» </w:t>
        </w:r>
      </w:hyperlink>
      <w:r w:rsidRPr="00DB5D0D">
        <w:rPr>
          <w:rFonts w:ascii="Times New Roman" w:hAnsi="Times New Roman"/>
          <w:color w:val="000000" w:themeColor="text1"/>
          <w:sz w:val="16"/>
          <w:szCs w:val="16"/>
        </w:rPr>
        <w:t>с мотором «АМ-35» по образцу прошедшего госиспытания с целью проведения войсковых испытаний</w:t>
      </w:r>
    </w:p>
    <w:p w14:paraId="7E10CB24" w14:textId="77777777" w:rsidR="00D926C6" w:rsidRPr="00DB5D0D" w:rsidRDefault="00D926C6" w:rsidP="00DB5D0D">
      <w:pPr>
        <w:spacing w:after="0" w:line="240" w:lineRule="auto"/>
        <w:jc w:val="both"/>
        <w:rPr>
          <w:rFonts w:ascii="Times New Roman" w:hAnsi="Times New Roman"/>
          <w:bCs/>
          <w:color w:val="000000" w:themeColor="text1"/>
          <w:sz w:val="16"/>
          <w:szCs w:val="16"/>
        </w:rPr>
      </w:pPr>
    </w:p>
    <w:p w14:paraId="654E31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на совместном совещании НКАП и ВВС принимается решение о постройке на заводе №30 в Иваньково (Московская область) 10 самолетов БШ-2 АМ-35 по образцу прошедшего госиспытания, то есть двухместного. Бронекорпуса предполагалось изготавливать на заводе им. Орджоникидзе в Подольске.</w:t>
      </w:r>
    </w:p>
    <w:p w14:paraId="03E0B8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Отметим, что предложение уменьшить войсковую серию БШ-2 АМ-35 с 65 (как предлагал Технический совет НИИ ВВС) до 10 машин исходило от наркома обороны маршала С.К. Тимошенко. В докладной записке от 16 мая председателю Комитета обороны маршалу Ворошилову Тимошенко писал: "Технический Совет при НИИ ГУАС Красной Армии, рассмотрев результаты испытаний самолета БШ-2 АМ-35 конструктора т. Ильюшина, вынес заключение о постройке 65 самолетов БШ-2 АМ-</w:t>
      </w:r>
      <w:r w:rsidRPr="00DB5D0D">
        <w:rPr>
          <w:rFonts w:ascii="Times New Roman" w:hAnsi="Times New Roman"/>
          <w:color w:val="000000" w:themeColor="text1"/>
          <w:sz w:val="16"/>
          <w:szCs w:val="16"/>
        </w:rPr>
        <w:lastRenderedPageBreak/>
        <w:t>35 для вооружения одного штурмового авиаполка. При испытаниях самолета БШ-2 АМ-35 выявлены серьезные летно-технические недостатки самолета, из которых основными являются:</w:t>
      </w:r>
    </w:p>
    <w:p w14:paraId="5F0BA3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Заниженная скорость (у земли - 350 км/час, на границе высотности - 422 км/час).</w:t>
      </w:r>
    </w:p>
    <w:p w14:paraId="5C7E59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Недостаточная дальность полета (618 км).</w:t>
      </w:r>
    </w:p>
    <w:p w14:paraId="764B7A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Неудовлетворительный обзор вперед для летчика и штурмана.</w:t>
      </w:r>
    </w:p>
    <w:p w14:paraId="48A3EE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Недостаточная продольная устойчивость самолета.</w:t>
      </w:r>
    </w:p>
    <w:p w14:paraId="53F8F5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Недостаточная маневренность и управляемость вследствие большого веса.</w:t>
      </w:r>
    </w:p>
    <w:p w14:paraId="10EC5C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Недоведенность мотора АМ-35.</w:t>
      </w:r>
    </w:p>
    <w:p w14:paraId="56A25E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Недоведенность неподвижных (крыльевых) стрелковых установок.</w:t>
      </w:r>
    </w:p>
    <w:p w14:paraId="2E0E12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что строить 65 самолетов БШ-2 АМ-35 до устранения указанных недостатков нецелесообразно, а достаточно построить лишь опытную серию для войсковых испытаний в количестве 10-15 самолетов, на которых устранить указанные дефекты и выявить окончательную боевую пригодность самолета БШ-2 АМ-35... Прошу Вашего решения".</w:t>
      </w:r>
    </w:p>
    <w:p w14:paraId="6CED94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Комитета Обороны о выпуске 10 БШ-2 АМ-35 войсковой серии маршал Ворошилов подписал 26 июня. При этом намечалось в 1941 г. выпустить еще 150 таких машин.</w:t>
      </w:r>
    </w:p>
    <w:p w14:paraId="7172BF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Здесь следует сказать несколько слов о заводе №30. По замыслу этот завод, расположенный на берегу Иваньковского водохранилища, должен был стать крупным центром морского самолетостроения, но таковым не стал. После почти пяти лет строительства завод к лету 1940 г. все еще не имел завершенного главного корпуса. Завод не был обеспечен металлорежущими станками в количестве, необходимом для крупносерийного производства. По этим причинам завод не имел своего самолета. Специалистов высокой квалификации в цехах насчитывалось единицы.</w:t>
      </w:r>
    </w:p>
    <w:p w14:paraId="5A3276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Очевидно, выбор этого завода в качестве "застрельщика" серийного производства БШ-2 являлся вынужденной и главное временной мерой. Поэтому, как только в конце июля решился вопрос о передаче в состав НКАП двух мощных ленинградских заводов - "Ленметаллургстрой" и Вагоноремонтный завод им. Ленсовета, получивших номера 381 и 380, сразу же была сделана попытка наладить на них выпуск бронированных штурмовиков. До конца года предполагалось построить 10 БШ-2, а в следующем еще 600 таких самолетов. Поставку броне- корпусов для этих заводов планировалось организовать с Ижорского завода НКСудпрома (12020).</w:t>
      </w:r>
    </w:p>
    <w:p w14:paraId="5D091DA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C3EC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в одном из первых полетов на ШБ П.О.С. из-за ошибки в расчете действующих сил при выпуске шасси произошло заедание во втулке амортстойки. В очередном вылете не смог совладать с самолетом летчик В.Т.Сахранов - еще одна авария 16 июля серьезно задержала испытания ШБ. Поломки продолжали преследовать машину, и в конце осени 1940 г. Сухой получил указание Шахурина использовать ШБ для отработки температурных режимов М-88. После появления «настоящих» штурмовиков Ил-2 и Су-6 машину посчитали неперспективной. Все работы по ШБ прекратили в конце апреля 1941 г. (5360).</w:t>
      </w:r>
    </w:p>
    <w:p w14:paraId="1445B07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90555F" w14:textId="77777777" w:rsidR="00D926C6" w:rsidRPr="00DB5D0D" w:rsidRDefault="00D926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4 июня</w:t>
      </w:r>
      <w:r w:rsidRPr="00DB5D0D">
        <w:rPr>
          <w:rFonts w:ascii="Times New Roman" w:hAnsi="Times New Roman"/>
          <w:color w:val="000000" w:themeColor="text1"/>
          <w:sz w:val="16"/>
          <w:szCs w:val="16"/>
        </w:rPr>
        <w:t xml:space="preserve"> в 1940 году авария прототипа ШБ (иначе называемый ББ-2) самолета «Су-2», из-за ошибки в расчете действующих сил при выпуске шасси произошло заедание во втулке амортизационной стойки (14912).</w:t>
      </w:r>
    </w:p>
    <w:p w14:paraId="4C27EC90" w14:textId="77777777" w:rsidR="00D926C6" w:rsidRPr="00DB5D0D" w:rsidRDefault="00D926C6" w:rsidP="00DB5D0D">
      <w:pPr>
        <w:spacing w:after="0" w:line="240" w:lineRule="auto"/>
        <w:jc w:val="both"/>
        <w:rPr>
          <w:rFonts w:ascii="Times New Roman" w:hAnsi="Times New Roman"/>
          <w:color w:val="000000" w:themeColor="text1"/>
          <w:sz w:val="16"/>
          <w:szCs w:val="16"/>
        </w:rPr>
      </w:pPr>
    </w:p>
    <w:p w14:paraId="32AB1BFE" w14:textId="77777777" w:rsidR="00D926C6" w:rsidRPr="00DB5D0D" w:rsidRDefault="00D926C6" w:rsidP="00DB5D0D">
      <w:pPr>
        <w:pStyle w:val="a3"/>
        <w:rPr>
          <w:color w:val="000000" w:themeColor="text1"/>
          <w:lang w:val="ru-RU"/>
        </w:rPr>
      </w:pPr>
      <w:r w:rsidRPr="00DB5D0D">
        <w:rPr>
          <w:color w:val="000000" w:themeColor="text1"/>
          <w:lang w:val="ru-RU"/>
        </w:rPr>
        <w:t>4 июня 1940 после выполнения полётного задания не выпустилось шасси. Испробовав основной и аварийный варианты выпуска, капитан Сахранов произвёл посадку на аэродром с полувы</w:t>
      </w:r>
      <w:r w:rsidRPr="00DB5D0D">
        <w:rPr>
          <w:color w:val="000000" w:themeColor="text1"/>
          <w:lang w:val="ru-RU"/>
        </w:rPr>
        <w:softHyphen/>
        <w:t>пущенными шасси. Самолёт получил незначительные повреждения.</w:t>
      </w:r>
    </w:p>
    <w:p w14:paraId="695DA448" w14:textId="77777777" w:rsidR="00D926C6" w:rsidRPr="00DB5D0D" w:rsidRDefault="00D926C6" w:rsidP="00DB5D0D">
      <w:pPr>
        <w:pStyle w:val="a3"/>
        <w:rPr>
          <w:color w:val="000000" w:themeColor="text1"/>
          <w:lang w:val="ru-RU"/>
        </w:rPr>
      </w:pPr>
      <w:r w:rsidRPr="00DB5D0D">
        <w:rPr>
          <w:color w:val="000000" w:themeColor="text1"/>
          <w:lang w:val="ru-RU"/>
        </w:rPr>
        <w:t>Аварийная комиссия сочла действия экипажа правильными, а причиной аварии, по её мне</w:t>
      </w:r>
      <w:r w:rsidRPr="00DB5D0D">
        <w:rPr>
          <w:color w:val="000000" w:themeColor="text1"/>
          <w:lang w:val="ru-RU"/>
        </w:rPr>
        <w:softHyphen/>
        <w:t>нию, стал конструктивный недостаток шасси. С этим выводом не согласился заместитель глав</w:t>
      </w:r>
      <w:r w:rsidRPr="00DB5D0D">
        <w:rPr>
          <w:color w:val="000000" w:themeColor="text1"/>
          <w:lang w:val="ru-RU"/>
        </w:rPr>
        <w:softHyphen/>
        <w:t>ного конструктора Д.А. Ромейко-Гурко. По его версии невыпуск шасси произошёл по причине слабого знания экипажем инструкции по эксплуатации.</w:t>
      </w:r>
    </w:p>
    <w:p w14:paraId="48744329" w14:textId="77777777" w:rsidR="00D926C6" w:rsidRPr="00DB5D0D" w:rsidRDefault="00D926C6" w:rsidP="00DB5D0D">
      <w:pPr>
        <w:pStyle w:val="a3"/>
        <w:rPr>
          <w:color w:val="000000" w:themeColor="text1"/>
          <w:lang w:val="ru-RU"/>
        </w:rPr>
      </w:pPr>
      <w:r w:rsidRPr="00DB5D0D">
        <w:rPr>
          <w:color w:val="000000" w:themeColor="text1"/>
          <w:lang w:val="ru-RU"/>
        </w:rPr>
        <w:t>После ремонта испытания самолёта продолжились (15975).</w:t>
      </w:r>
    </w:p>
    <w:p w14:paraId="2F41500A" w14:textId="77777777" w:rsidR="00D926C6" w:rsidRPr="00DB5D0D" w:rsidRDefault="00D926C6" w:rsidP="00DB5D0D">
      <w:pPr>
        <w:pStyle w:val="a3"/>
        <w:rPr>
          <w:color w:val="000000" w:themeColor="text1"/>
          <w:lang w:val="ru-RU"/>
        </w:rPr>
      </w:pPr>
    </w:p>
    <w:p w14:paraId="77A868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после выполнения полет</w:t>
      </w:r>
      <w:r w:rsidRPr="00DB5D0D">
        <w:rPr>
          <w:rFonts w:ascii="Times New Roman" w:hAnsi="Times New Roman"/>
          <w:color w:val="000000" w:themeColor="text1"/>
          <w:sz w:val="16"/>
          <w:szCs w:val="16"/>
        </w:rPr>
        <w:softHyphen/>
        <w:t>ного задания у ШБ не выпустилось шасси. Испробовав все варианты выпуска (основной и аварийный) капитан В.Т.Сахранов произвел посадку на аэродром с полувыпущенными стой</w:t>
      </w:r>
      <w:r w:rsidRPr="00DB5D0D">
        <w:rPr>
          <w:rFonts w:ascii="Times New Roman" w:hAnsi="Times New Roman"/>
          <w:color w:val="000000" w:themeColor="text1"/>
          <w:sz w:val="16"/>
          <w:szCs w:val="16"/>
        </w:rPr>
        <w:softHyphen/>
        <w:t>ками. Самолет получил незначитель</w:t>
      </w:r>
      <w:r w:rsidRPr="00DB5D0D">
        <w:rPr>
          <w:rFonts w:ascii="Times New Roman" w:hAnsi="Times New Roman"/>
          <w:color w:val="000000" w:themeColor="text1"/>
          <w:sz w:val="16"/>
          <w:szCs w:val="16"/>
        </w:rPr>
        <w:softHyphen/>
        <w:t>ные повреждения.</w:t>
      </w:r>
    </w:p>
    <w:p w14:paraId="12C939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Аварийная комиссия сочла дей</w:t>
      </w:r>
      <w:r w:rsidRPr="00DB5D0D">
        <w:rPr>
          <w:rFonts w:ascii="Times New Roman" w:hAnsi="Times New Roman"/>
          <w:color w:val="000000" w:themeColor="text1"/>
          <w:sz w:val="16"/>
          <w:szCs w:val="16"/>
        </w:rPr>
        <w:softHyphen/>
        <w:t>ствия экипажа правильными, а при</w:t>
      </w:r>
      <w:r w:rsidRPr="00DB5D0D">
        <w:rPr>
          <w:rFonts w:ascii="Times New Roman" w:hAnsi="Times New Roman"/>
          <w:color w:val="000000" w:themeColor="text1"/>
          <w:sz w:val="16"/>
          <w:szCs w:val="16"/>
        </w:rPr>
        <w:softHyphen/>
        <w:t>чиной аварии, по ее мнению, стал недостаток конструктивной схемы</w:t>
      </w:r>
    </w:p>
    <w:p w14:paraId="4CBAF8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С этим выводом комиссии не согласился заместитель главного кон</w:t>
      </w:r>
      <w:r w:rsidRPr="00DB5D0D">
        <w:rPr>
          <w:rFonts w:ascii="Times New Roman" w:hAnsi="Times New Roman"/>
          <w:color w:val="000000" w:themeColor="text1"/>
          <w:sz w:val="16"/>
          <w:szCs w:val="16"/>
        </w:rPr>
        <w:softHyphen/>
        <w:t>структора Д.А.Ромейко-Гурко. По его версии невыпуск шасси произошел по причине слабого знания экипа</w:t>
      </w:r>
      <w:r w:rsidRPr="00DB5D0D">
        <w:rPr>
          <w:rFonts w:ascii="Times New Roman" w:hAnsi="Times New Roman"/>
          <w:color w:val="000000" w:themeColor="text1"/>
          <w:sz w:val="16"/>
          <w:szCs w:val="16"/>
        </w:rPr>
        <w:softHyphen/>
        <w:t>жем инструкции по эксплуатации шасси.</w:t>
      </w:r>
    </w:p>
    <w:p w14:paraId="3BECE1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ремонта испытания само</w:t>
      </w:r>
      <w:r w:rsidRPr="00DB5D0D">
        <w:rPr>
          <w:rFonts w:ascii="Times New Roman" w:hAnsi="Times New Roman"/>
          <w:color w:val="000000" w:themeColor="text1"/>
          <w:sz w:val="16"/>
          <w:szCs w:val="16"/>
        </w:rPr>
        <w:softHyphen/>
        <w:t>лета продолжились (11849).</w:t>
      </w:r>
    </w:p>
    <w:p w14:paraId="0980F1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2AC6C12" w14:textId="77777777" w:rsidR="002D6636" w:rsidRPr="00DB5D0D" w:rsidRDefault="002D6636"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4 июня 1940 после выполнения полетного задания не выпустилось шасси. Испро</w:t>
      </w:r>
      <w:r w:rsidRPr="00DB5D0D">
        <w:rPr>
          <w:rFonts w:ascii="Times New Roman" w:cs="Times New Roman"/>
          <w:color w:val="000000" w:themeColor="text1"/>
          <w:spacing w:val="0"/>
        </w:rPr>
        <w:softHyphen/>
        <w:t>бовав все варианты выпуска (основной и аварийный), Сахранов произвел посадку на аэродром с полувыпущенным шасси. Самолет получил незначительные пов</w:t>
      </w:r>
      <w:r w:rsidRPr="00DB5D0D">
        <w:rPr>
          <w:rFonts w:ascii="Times New Roman" w:cs="Times New Roman"/>
          <w:color w:val="000000" w:themeColor="text1"/>
          <w:spacing w:val="0"/>
        </w:rPr>
        <w:softHyphen/>
        <w:t>реждения.</w:t>
      </w:r>
    </w:p>
    <w:p w14:paraId="1BBABB0B" w14:textId="77777777" w:rsidR="002D6636" w:rsidRPr="00DB5D0D" w:rsidRDefault="002D6636"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Аварийная комиссия сочла действия экипажа правильными, а причиной, по ее мнению, стап конструктивный недо</w:t>
      </w:r>
      <w:r w:rsidRPr="00DB5D0D">
        <w:rPr>
          <w:rFonts w:ascii="Times New Roman" w:cs="Times New Roman"/>
          <w:color w:val="000000" w:themeColor="text1"/>
          <w:spacing w:val="0"/>
        </w:rPr>
        <w:softHyphen/>
        <w:t>статок. С этим выводом не согласился заместитель главного конструктора Д А Ромейко-Гурко. По его версии, шасси не выпустилось из-за слабого знания эки</w:t>
      </w:r>
      <w:r w:rsidRPr="00DB5D0D">
        <w:rPr>
          <w:rFonts w:ascii="Times New Roman" w:cs="Times New Roman"/>
          <w:color w:val="000000" w:themeColor="text1"/>
          <w:spacing w:val="0"/>
        </w:rPr>
        <w:softHyphen/>
        <w:t>пажем инструкции по эксплуатации.</w:t>
      </w:r>
    </w:p>
    <w:p w14:paraId="65A659EE" w14:textId="77777777" w:rsidR="002D6636" w:rsidRPr="00DB5D0D" w:rsidRDefault="002D6636"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После ремонта машины испытания продолжились 16 июля 1940 г. на ру</w:t>
      </w:r>
      <w:r w:rsidRPr="00DB5D0D">
        <w:rPr>
          <w:rFonts w:ascii="Times New Roman" w:cs="Times New Roman"/>
          <w:color w:val="000000" w:themeColor="text1"/>
          <w:spacing w:val="0"/>
        </w:rPr>
        <w:softHyphen/>
        <w:t>лении после посадки капитан Сахранов по невнимательности вместо закрылков убрал шасси Приказом наркома А И Шахурина его отстранили, а к испытаниям подключили летчика 8-го отдела ЦАГИ А И Емельянова После очередного ремонта заводские испытания возобно</w:t>
      </w:r>
      <w:r w:rsidRPr="00DB5D0D">
        <w:rPr>
          <w:rFonts w:ascii="Times New Roman" w:cs="Times New Roman"/>
          <w:color w:val="000000" w:themeColor="text1"/>
          <w:spacing w:val="0"/>
        </w:rPr>
        <w:softHyphen/>
        <w:t>вили (19102).</w:t>
      </w:r>
    </w:p>
    <w:p w14:paraId="39D4DD7F" w14:textId="77777777" w:rsidR="002D6636" w:rsidRPr="00DB5D0D" w:rsidRDefault="002D6636" w:rsidP="00DB5D0D">
      <w:pPr>
        <w:pStyle w:val="27"/>
        <w:shd w:val="clear" w:color="auto" w:fill="auto"/>
        <w:spacing w:after="0" w:line="240" w:lineRule="auto"/>
        <w:ind w:firstLine="0"/>
        <w:rPr>
          <w:rFonts w:ascii="Times New Roman" w:cs="Times New Roman"/>
          <w:color w:val="000000" w:themeColor="text1"/>
          <w:spacing w:val="0"/>
        </w:rPr>
      </w:pPr>
    </w:p>
    <w:p w14:paraId="36422967" w14:textId="77777777" w:rsidR="002D6636" w:rsidRPr="00DB5D0D" w:rsidRDefault="002D6636"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4 июня 1940 после выполнения полетного задания у скоростного штурмовика-бомбарди</w:t>
      </w:r>
      <w:r w:rsidRPr="00DB5D0D">
        <w:rPr>
          <w:rFonts w:ascii="Times New Roman" w:cs="Times New Roman"/>
          <w:color w:val="000000" w:themeColor="text1"/>
          <w:spacing w:val="0"/>
        </w:rPr>
        <w:softHyphen/>
        <w:t>ровщика ШБ - ББ-2 не выпустилось шасси. Испро</w:t>
      </w:r>
      <w:r w:rsidRPr="00DB5D0D">
        <w:rPr>
          <w:rFonts w:ascii="Times New Roman" w:cs="Times New Roman"/>
          <w:color w:val="000000" w:themeColor="text1"/>
          <w:spacing w:val="0"/>
        </w:rPr>
        <w:softHyphen/>
        <w:t>бовав все варианты выпуска (основной и аварийный), Сахранов произвел посадку на аэродром с полувыпущенным шасси. Самолет получил незначительные пов</w:t>
      </w:r>
      <w:r w:rsidRPr="00DB5D0D">
        <w:rPr>
          <w:rFonts w:ascii="Times New Roman" w:cs="Times New Roman"/>
          <w:color w:val="000000" w:themeColor="text1"/>
          <w:spacing w:val="0"/>
        </w:rPr>
        <w:softHyphen/>
        <w:t>реждения.</w:t>
      </w:r>
    </w:p>
    <w:p w14:paraId="233B2D36" w14:textId="77777777" w:rsidR="002D6636" w:rsidRPr="00DB5D0D" w:rsidRDefault="002D6636"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Аварийная комиссия сочла действия экипажа правильными, а причиной, по ее мнению, стап конструктивный недо</w:t>
      </w:r>
      <w:r w:rsidRPr="00DB5D0D">
        <w:rPr>
          <w:rFonts w:ascii="Times New Roman" w:cs="Times New Roman"/>
          <w:color w:val="000000" w:themeColor="text1"/>
          <w:spacing w:val="0"/>
        </w:rPr>
        <w:softHyphen/>
        <w:t>статок. С этим выводом не согласился заместитель главного конструктора Д А Ромейко-Гурко. По его версии, шасси не выпустилось из-за слабого знания эки</w:t>
      </w:r>
      <w:r w:rsidRPr="00DB5D0D">
        <w:rPr>
          <w:rFonts w:ascii="Times New Roman" w:cs="Times New Roman"/>
          <w:color w:val="000000" w:themeColor="text1"/>
          <w:spacing w:val="0"/>
        </w:rPr>
        <w:softHyphen/>
        <w:t>пажем инструкции по эксплуатации.</w:t>
      </w:r>
    </w:p>
    <w:p w14:paraId="30422D76" w14:textId="77777777" w:rsidR="002D6636" w:rsidRPr="00DB5D0D" w:rsidRDefault="002D6636"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После ремонта машины испытания продолжились 16 июля 1940 г. на ру</w:t>
      </w:r>
      <w:r w:rsidRPr="00DB5D0D">
        <w:rPr>
          <w:rFonts w:ascii="Times New Roman" w:cs="Times New Roman"/>
          <w:color w:val="000000" w:themeColor="text1"/>
          <w:spacing w:val="0"/>
        </w:rPr>
        <w:softHyphen/>
        <w:t>лении после посадки капитан Сахранов по невнимательности вместо закрылков убрал шасси Приказом наркома А И Шахурина его отстранили, а к испытаниям подключили летчика 8-го отдела ЦАГИ А И Емельянова После очередного ремонта заводские испытания возобно</w:t>
      </w:r>
      <w:r w:rsidRPr="00DB5D0D">
        <w:rPr>
          <w:rFonts w:ascii="Times New Roman" w:cs="Times New Roman"/>
          <w:color w:val="000000" w:themeColor="text1"/>
          <w:spacing w:val="0"/>
        </w:rPr>
        <w:softHyphen/>
        <w:t>вили (19102).</w:t>
      </w:r>
    </w:p>
    <w:p w14:paraId="75D6CE39" w14:textId="77777777" w:rsidR="002D6636" w:rsidRPr="00DB5D0D" w:rsidRDefault="002D6636" w:rsidP="00DB5D0D">
      <w:pPr>
        <w:pStyle w:val="27"/>
        <w:shd w:val="clear" w:color="auto" w:fill="auto"/>
        <w:spacing w:after="0" w:line="240" w:lineRule="auto"/>
        <w:ind w:firstLine="0"/>
        <w:rPr>
          <w:rFonts w:ascii="Times New Roman" w:cs="Times New Roman"/>
          <w:color w:val="000000" w:themeColor="text1"/>
          <w:spacing w:val="0"/>
        </w:rPr>
      </w:pPr>
    </w:p>
    <w:p w14:paraId="4CB250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новая схема уборки шасси - главные стойки убирались назад в центроплан и закрывались створками, при этом колеса разворачивались на 90°, привела к аварии в одном из первых полетов. Не смог освоить самолет летчик В.Т. Сахранов - еще одна авария 16 июля серьезно задержала испытания самолета ШБ. Поломки преследовали машину и в дальнейшем, и после появления штурмовика Ил-2 ее посчитали попросту ненужной. Все работы по ШБ прекратили в конце апреля 1941 г. (12028).</w:t>
      </w:r>
    </w:p>
    <w:p w14:paraId="6FB5D99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6857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в связи с задержкой поставок новых авиамоторов семейства «AM» а расширенном совещании у А.И.Шахурина в присутствии Начальника ВВС Я.В.Смушкевича, его 1-го заместителя П.В.Рычагова, начальника НИИ ВВС А.И.Филина, и заместителей наркома авиапромышленности П.А.Воронина и А.С.Яковлева было принято решение об изготовлении на 1-м авиазаводе (г. Москва) &lt;30 заводе в Иваньково/Подберезье - сейчас НПО Радуга, Дубна)&gt; в 1940 г. 10 самолетов БШ-2 с мотором АМ-35 по образцу прошедшего госиспытания с целью проведения войсковых испытаний.</w:t>
      </w:r>
    </w:p>
    <w:p w14:paraId="73E47E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Отметим, что указанное выше совещание состоялось исключительно по настоянию ВВС и лично Начальника ВВС КА командарма Я.В.Смушкевича, а предложение уменьшить войсковую серию БШ-2 АМ-35 с 65 (как предлагал Технический совет НИИ ВВС) до 10 машин исходило от наркома обороны маршала С.К.Тимошенко (9649).</w:t>
      </w:r>
    </w:p>
    <w:p w14:paraId="1FD4420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F67D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в связи с задержкой поставок новых авиамоторов семейства "AM" на расширенном совещании у А.И.Шахурина в присутствии Начальни</w:t>
      </w:r>
      <w:r w:rsidRPr="00DB5D0D">
        <w:rPr>
          <w:rFonts w:ascii="Times New Roman" w:hAnsi="Times New Roman"/>
          <w:color w:val="000000" w:themeColor="text1"/>
          <w:sz w:val="16"/>
          <w:szCs w:val="16"/>
        </w:rPr>
        <w:softHyphen/>
        <w:t>ка ВВС Я.В.Смушкевича, его 1 -го замес</w:t>
      </w:r>
      <w:r w:rsidRPr="00DB5D0D">
        <w:rPr>
          <w:rFonts w:ascii="Times New Roman" w:hAnsi="Times New Roman"/>
          <w:color w:val="000000" w:themeColor="text1"/>
          <w:sz w:val="16"/>
          <w:szCs w:val="16"/>
        </w:rPr>
        <w:softHyphen/>
        <w:t>тителя П.В.Рычагова, начальника НИИ ВВС А.И.Филина и заместителей нар</w:t>
      </w:r>
      <w:r w:rsidRPr="00DB5D0D">
        <w:rPr>
          <w:rFonts w:ascii="Times New Roman" w:hAnsi="Times New Roman"/>
          <w:color w:val="000000" w:themeColor="text1"/>
          <w:sz w:val="16"/>
          <w:szCs w:val="16"/>
        </w:rPr>
        <w:softHyphen/>
        <w:t>кома авиапромышленности П.А.Ворони</w:t>
      </w:r>
      <w:r w:rsidRPr="00DB5D0D">
        <w:rPr>
          <w:rFonts w:ascii="Times New Roman" w:hAnsi="Times New Roman"/>
          <w:color w:val="000000" w:themeColor="text1"/>
          <w:sz w:val="16"/>
          <w:szCs w:val="16"/>
        </w:rPr>
        <w:softHyphen/>
        <w:t>на и А.С.Яковлева было принято реше</w:t>
      </w:r>
      <w:r w:rsidRPr="00DB5D0D">
        <w:rPr>
          <w:rFonts w:ascii="Times New Roman" w:hAnsi="Times New Roman"/>
          <w:color w:val="000000" w:themeColor="text1"/>
          <w:sz w:val="16"/>
          <w:szCs w:val="16"/>
        </w:rPr>
        <w:softHyphen/>
        <w:t>ние об изготовлении на 30-м авиазаво</w:t>
      </w:r>
      <w:r w:rsidRPr="00DB5D0D">
        <w:rPr>
          <w:rFonts w:ascii="Times New Roman" w:hAnsi="Times New Roman"/>
          <w:color w:val="000000" w:themeColor="text1"/>
          <w:sz w:val="16"/>
          <w:szCs w:val="16"/>
        </w:rPr>
        <w:softHyphen/>
        <w:t>де (г. Москва) в 1940 г. 10 самолетов БШ-2 с мотором АМ-35 по образцу про</w:t>
      </w:r>
      <w:r w:rsidRPr="00DB5D0D">
        <w:rPr>
          <w:rFonts w:ascii="Times New Roman" w:hAnsi="Times New Roman"/>
          <w:color w:val="000000" w:themeColor="text1"/>
          <w:sz w:val="16"/>
          <w:szCs w:val="16"/>
        </w:rPr>
        <w:softHyphen/>
        <w:t>шедшего гос. испытания с целью прове</w:t>
      </w:r>
      <w:r w:rsidRPr="00DB5D0D">
        <w:rPr>
          <w:rFonts w:ascii="Times New Roman" w:hAnsi="Times New Roman"/>
          <w:color w:val="000000" w:themeColor="text1"/>
          <w:sz w:val="16"/>
          <w:szCs w:val="16"/>
        </w:rPr>
        <w:softHyphen/>
        <w:t>дения войсковых испытаний. Отметим, что указанное выше сове</w:t>
      </w:r>
      <w:r w:rsidRPr="00DB5D0D">
        <w:rPr>
          <w:rFonts w:ascii="Times New Roman" w:hAnsi="Times New Roman"/>
          <w:color w:val="000000" w:themeColor="text1"/>
          <w:sz w:val="16"/>
          <w:szCs w:val="16"/>
        </w:rPr>
        <w:softHyphen/>
        <w:t>щание состоялось исключительно по настоянию ВВС и лично Начальника ВВС КА командарма Я.В.Смушкевича, а пред</w:t>
      </w:r>
      <w:r w:rsidRPr="00DB5D0D">
        <w:rPr>
          <w:rFonts w:ascii="Times New Roman" w:hAnsi="Times New Roman"/>
          <w:color w:val="000000" w:themeColor="text1"/>
          <w:sz w:val="16"/>
          <w:szCs w:val="16"/>
        </w:rPr>
        <w:softHyphen/>
        <w:t>ложение уменьшить войсковую серию БШ-2 АМ-35 с 65 (как предлагал Техни</w:t>
      </w:r>
      <w:r w:rsidRPr="00DB5D0D">
        <w:rPr>
          <w:rFonts w:ascii="Times New Roman" w:hAnsi="Times New Roman"/>
          <w:color w:val="000000" w:themeColor="text1"/>
          <w:sz w:val="16"/>
          <w:szCs w:val="16"/>
        </w:rPr>
        <w:softHyphen/>
        <w:t>ческий совет НИИ ВВС) до 10 машин исходило от наркома обороны маршала С.К.Тимошенко (6467).</w:t>
      </w:r>
    </w:p>
    <w:p w14:paraId="0736D23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2B0E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в связи с задержкой поставок но</w:t>
      </w:r>
      <w:r w:rsidRPr="00DB5D0D">
        <w:rPr>
          <w:rFonts w:ascii="Times New Roman" w:hAnsi="Times New Roman"/>
          <w:color w:val="000000" w:themeColor="text1"/>
          <w:sz w:val="16"/>
          <w:szCs w:val="16"/>
        </w:rPr>
        <w:softHyphen/>
        <w:t>вых моторов Микулина на расширенном совещании у А. Я. Шахурина в присутствии Я. В. Смушкевича, его 1-го замести</w:t>
      </w:r>
      <w:r w:rsidRPr="00DB5D0D">
        <w:rPr>
          <w:rFonts w:ascii="Times New Roman" w:hAnsi="Times New Roman"/>
          <w:color w:val="000000" w:themeColor="text1"/>
          <w:sz w:val="16"/>
          <w:szCs w:val="16"/>
        </w:rPr>
        <w:softHyphen/>
        <w:t>теля П. В. Рычагова, начальника НИИ ВВС А. И. Филина и заместите</w:t>
      </w:r>
      <w:r w:rsidRPr="00DB5D0D">
        <w:rPr>
          <w:rFonts w:ascii="Times New Roman" w:hAnsi="Times New Roman"/>
          <w:color w:val="000000" w:themeColor="text1"/>
          <w:sz w:val="16"/>
          <w:szCs w:val="16"/>
        </w:rPr>
        <w:softHyphen/>
        <w:t>лей наркома авиапромышленности П. А. Воронина и А. С. Яковлева бы</w:t>
      </w:r>
      <w:r w:rsidRPr="00DB5D0D">
        <w:rPr>
          <w:rFonts w:ascii="Times New Roman" w:hAnsi="Times New Roman"/>
          <w:color w:val="000000" w:themeColor="text1"/>
          <w:sz w:val="16"/>
          <w:szCs w:val="16"/>
        </w:rPr>
        <w:softHyphen/>
        <w:t>ло принято решение об изготовле</w:t>
      </w:r>
      <w:r w:rsidRPr="00DB5D0D">
        <w:rPr>
          <w:rFonts w:ascii="Times New Roman" w:hAnsi="Times New Roman"/>
          <w:color w:val="000000" w:themeColor="text1"/>
          <w:sz w:val="16"/>
          <w:szCs w:val="16"/>
        </w:rPr>
        <w:softHyphen/>
        <w:t>нии на 30-м авиазаводе в 1940 г. только 10 самолетов БШ-2 с мотором АМ-35 по образцу прошед</w:t>
      </w:r>
      <w:r w:rsidRPr="00DB5D0D">
        <w:rPr>
          <w:rFonts w:ascii="Times New Roman" w:hAnsi="Times New Roman"/>
          <w:color w:val="000000" w:themeColor="text1"/>
          <w:sz w:val="16"/>
          <w:szCs w:val="16"/>
        </w:rPr>
        <w:softHyphen/>
        <w:t>шего гос. испытания с целью проведе</w:t>
      </w:r>
      <w:r w:rsidRPr="00DB5D0D">
        <w:rPr>
          <w:rFonts w:ascii="Times New Roman" w:hAnsi="Times New Roman"/>
          <w:color w:val="000000" w:themeColor="text1"/>
          <w:sz w:val="16"/>
          <w:szCs w:val="16"/>
        </w:rPr>
        <w:softHyphen/>
        <w:t>ния войсковых испытаний. Совещание состоялось ис</w:t>
      </w:r>
      <w:r w:rsidRPr="00DB5D0D">
        <w:rPr>
          <w:rFonts w:ascii="Times New Roman" w:hAnsi="Times New Roman"/>
          <w:color w:val="000000" w:themeColor="text1"/>
          <w:sz w:val="16"/>
          <w:szCs w:val="16"/>
        </w:rPr>
        <w:softHyphen/>
        <w:t>ключительно по настоянию ВВС и лично командарма Я. В. Смушкеви</w:t>
      </w:r>
      <w:r w:rsidRPr="00DB5D0D">
        <w:rPr>
          <w:rFonts w:ascii="Times New Roman" w:hAnsi="Times New Roman"/>
          <w:color w:val="000000" w:themeColor="text1"/>
          <w:sz w:val="16"/>
          <w:szCs w:val="16"/>
        </w:rPr>
        <w:softHyphen/>
        <w:t>ча, а предложение уменьшить вой</w:t>
      </w:r>
      <w:r w:rsidRPr="00DB5D0D">
        <w:rPr>
          <w:rFonts w:ascii="Times New Roman" w:hAnsi="Times New Roman"/>
          <w:color w:val="000000" w:themeColor="text1"/>
          <w:sz w:val="16"/>
          <w:szCs w:val="16"/>
        </w:rPr>
        <w:softHyphen/>
        <w:t xml:space="preserve">сковую серию </w:t>
      </w:r>
      <w:r w:rsidRPr="00DB5D0D">
        <w:rPr>
          <w:rFonts w:ascii="Times New Roman" w:hAnsi="Times New Roman"/>
          <w:color w:val="000000" w:themeColor="text1"/>
          <w:sz w:val="16"/>
          <w:szCs w:val="16"/>
        </w:rPr>
        <w:lastRenderedPageBreak/>
        <w:t>БШ-2 АМ-35 до 10 ма</w:t>
      </w:r>
      <w:r w:rsidRPr="00DB5D0D">
        <w:rPr>
          <w:rFonts w:ascii="Times New Roman" w:hAnsi="Times New Roman"/>
          <w:color w:val="000000" w:themeColor="text1"/>
          <w:sz w:val="16"/>
          <w:szCs w:val="16"/>
        </w:rPr>
        <w:softHyphen/>
        <w:t>шин исходило от наркома обороны маршала С. К. Тимошенко. Послед</w:t>
      </w:r>
      <w:r w:rsidRPr="00DB5D0D">
        <w:rPr>
          <w:rFonts w:ascii="Times New Roman" w:hAnsi="Times New Roman"/>
          <w:color w:val="000000" w:themeColor="text1"/>
          <w:sz w:val="16"/>
          <w:szCs w:val="16"/>
        </w:rPr>
        <w:softHyphen/>
        <w:t>ний в своем письме от 15.05.40 г. на имя председателя Совнаркома и од</w:t>
      </w:r>
      <w:r w:rsidRPr="00DB5D0D">
        <w:rPr>
          <w:rFonts w:ascii="Times New Roman" w:hAnsi="Times New Roman"/>
          <w:color w:val="000000" w:themeColor="text1"/>
          <w:sz w:val="16"/>
          <w:szCs w:val="16"/>
        </w:rPr>
        <w:softHyphen/>
        <w:t>новременно председателя Комитета обороны при СНК маршала К. Е. Во</w:t>
      </w:r>
      <w:r w:rsidRPr="00DB5D0D">
        <w:rPr>
          <w:rFonts w:ascii="Times New Roman" w:hAnsi="Times New Roman"/>
          <w:color w:val="000000" w:themeColor="text1"/>
          <w:sz w:val="16"/>
          <w:szCs w:val="16"/>
        </w:rPr>
        <w:softHyphen/>
        <w:t>рошилова по поводу войсковой се</w:t>
      </w:r>
      <w:r w:rsidRPr="00DB5D0D">
        <w:rPr>
          <w:rFonts w:ascii="Times New Roman" w:hAnsi="Times New Roman"/>
          <w:color w:val="000000" w:themeColor="text1"/>
          <w:sz w:val="16"/>
          <w:szCs w:val="16"/>
        </w:rPr>
        <w:softHyphen/>
        <w:t>рии БШ-2 писал: “...Технический Совет НИИ ВВС КА вынес решение о постройке 65 самолетов БШ-2 АМ-35 для вооруже</w:t>
      </w:r>
      <w:r w:rsidRPr="00DB5D0D">
        <w:rPr>
          <w:rFonts w:ascii="Times New Roman" w:hAnsi="Times New Roman"/>
          <w:color w:val="000000" w:themeColor="text1"/>
          <w:sz w:val="16"/>
          <w:szCs w:val="16"/>
        </w:rPr>
        <w:softHyphen/>
        <w:t>ния одного штурмового авиаполка... При испытаниях самолета БШ-2 АМ-35 бы</w:t>
      </w:r>
      <w:r w:rsidRPr="00DB5D0D">
        <w:rPr>
          <w:rFonts w:ascii="Times New Roman" w:hAnsi="Times New Roman"/>
          <w:color w:val="000000" w:themeColor="text1"/>
          <w:sz w:val="16"/>
          <w:szCs w:val="16"/>
        </w:rPr>
        <w:softHyphen/>
        <w:t>ли выявлены серьезные летно-технические недостатки...</w:t>
      </w:r>
    </w:p>
    <w:p w14:paraId="57DDD6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что строить 65 самолетов БШ-2 АМ-35 до устранения указанных недостатков нецелесообразно, а доста</w:t>
      </w:r>
      <w:r w:rsidRPr="00DB5D0D">
        <w:rPr>
          <w:rFonts w:ascii="Times New Roman" w:hAnsi="Times New Roman"/>
          <w:color w:val="000000" w:themeColor="text1"/>
          <w:sz w:val="16"/>
          <w:szCs w:val="16"/>
        </w:rPr>
        <w:softHyphen/>
        <w:t>точно построить опытную серию для войсковых испытаний в количестве 10-15 самолетов, на которых устра</w:t>
      </w:r>
      <w:r w:rsidRPr="00DB5D0D">
        <w:rPr>
          <w:rFonts w:ascii="Times New Roman" w:hAnsi="Times New Roman"/>
          <w:color w:val="000000" w:themeColor="text1"/>
          <w:sz w:val="16"/>
          <w:szCs w:val="16"/>
        </w:rPr>
        <w:softHyphen/>
        <w:t>нить указанные дефекты и выявить окончательную боевую пригодность само</w:t>
      </w:r>
      <w:r w:rsidRPr="00DB5D0D">
        <w:rPr>
          <w:rFonts w:ascii="Times New Roman" w:hAnsi="Times New Roman"/>
          <w:color w:val="000000" w:themeColor="text1"/>
          <w:sz w:val="16"/>
          <w:szCs w:val="16"/>
        </w:rPr>
        <w:softHyphen/>
        <w:t>лета БШ-2 АМ-35 (4140).</w:t>
      </w:r>
    </w:p>
    <w:p w14:paraId="747B42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докладываю, что в настоя</w:t>
      </w:r>
      <w:r w:rsidRPr="00DB5D0D">
        <w:rPr>
          <w:rFonts w:ascii="Times New Roman" w:hAnsi="Times New Roman"/>
          <w:color w:val="000000" w:themeColor="text1"/>
          <w:sz w:val="16"/>
          <w:szCs w:val="16"/>
        </w:rPr>
        <w:softHyphen/>
        <w:t>щее время находится в производстве опытный самолет</w:t>
      </w:r>
      <w:r w:rsidRPr="00DB5D0D">
        <w:rPr>
          <w:rFonts w:ascii="Times New Roman" w:hAnsi="Times New Roman"/>
          <w:bCs/>
          <w:color w:val="000000" w:themeColor="text1"/>
          <w:sz w:val="16"/>
          <w:szCs w:val="16"/>
        </w:rPr>
        <w:t xml:space="preserve"> БШ-М-</w:t>
      </w:r>
      <w:r w:rsidRPr="00DB5D0D">
        <w:rPr>
          <w:rFonts w:ascii="Times New Roman" w:hAnsi="Times New Roman"/>
          <w:color w:val="000000" w:themeColor="text1"/>
          <w:sz w:val="16"/>
          <w:szCs w:val="16"/>
        </w:rPr>
        <w:t xml:space="preserve"> 71 аналогично</w:t>
      </w:r>
      <w:r w:rsidRPr="00DB5D0D">
        <w:rPr>
          <w:rFonts w:ascii="Times New Roman" w:hAnsi="Times New Roman"/>
          <w:color w:val="000000" w:themeColor="text1"/>
          <w:sz w:val="16"/>
          <w:szCs w:val="16"/>
        </w:rPr>
        <w:softHyphen/>
        <w:t>го класса конструктора Сухого* расчет</w:t>
      </w:r>
      <w:r w:rsidRPr="00DB5D0D">
        <w:rPr>
          <w:rFonts w:ascii="Times New Roman" w:hAnsi="Times New Roman"/>
          <w:color w:val="000000" w:themeColor="text1"/>
          <w:sz w:val="16"/>
          <w:szCs w:val="16"/>
        </w:rPr>
        <w:softHyphen/>
        <w:t>ные данные у которого выше, чем у само</w:t>
      </w:r>
      <w:r w:rsidRPr="00DB5D0D">
        <w:rPr>
          <w:rFonts w:ascii="Times New Roman" w:hAnsi="Times New Roman"/>
          <w:color w:val="000000" w:themeColor="text1"/>
          <w:sz w:val="16"/>
          <w:szCs w:val="16"/>
        </w:rPr>
        <w:softHyphen/>
        <w:t>лета</w:t>
      </w:r>
      <w:r w:rsidRPr="00DB5D0D">
        <w:rPr>
          <w:rFonts w:ascii="Times New Roman" w:hAnsi="Times New Roman"/>
          <w:bCs/>
          <w:color w:val="000000" w:themeColor="text1"/>
          <w:sz w:val="16"/>
          <w:szCs w:val="16"/>
        </w:rPr>
        <w:t xml:space="preserve"> БШ-2,</w:t>
      </w:r>
      <w:r w:rsidRPr="00DB5D0D">
        <w:rPr>
          <w:rFonts w:ascii="Times New Roman" w:hAnsi="Times New Roman"/>
          <w:color w:val="000000" w:themeColor="text1"/>
          <w:sz w:val="16"/>
          <w:szCs w:val="16"/>
        </w:rPr>
        <w:t xml:space="preserve"> а именно: скорость у земли -510 км/час, дальность нормальная -800 км, при перегрузке - 1200 км, 4 пуле</w:t>
      </w:r>
      <w:r w:rsidRPr="00DB5D0D">
        <w:rPr>
          <w:rFonts w:ascii="Times New Roman" w:hAnsi="Times New Roman"/>
          <w:color w:val="000000" w:themeColor="text1"/>
          <w:sz w:val="16"/>
          <w:szCs w:val="16"/>
        </w:rPr>
        <w:softHyphen/>
        <w:t>мета 7,62 мм, бомб 120-200 кг. Первый экземпляр должен быть предъявлен на Гос. испытания 15.11.40 г... Прошу Вашего решения” (4140).</w:t>
      </w:r>
    </w:p>
    <w:p w14:paraId="37A473A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F4D5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Протокол № 17. Решения ПБ за 27 мая - 23 нюня 1940 г.</w:t>
      </w:r>
    </w:p>
    <w:p w14:paraId="5DB762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29.5.40 г.</w:t>
      </w:r>
    </w:p>
    <w:p w14:paraId="5F37DE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28. Вопрос КО. О производстве самолетов и бомбардировщиков*.</w:t>
      </w:r>
    </w:p>
    <w:p w14:paraId="7D4FD9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04. 6. 40 г.</w:t>
      </w:r>
    </w:p>
    <w:p w14:paraId="7B53C4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95. Вопрос КО. О ближнем бомбардировщике*.</w:t>
      </w:r>
    </w:p>
    <w:p w14:paraId="57ABB6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100. Вопрос КО. О проектировании и изготовлении опытных образцов танков*.</w:t>
      </w:r>
    </w:p>
    <w:p w14:paraId="718133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106. Об экранировании машин Т-28 (постановление СНК СССР и ЦК ВКП (б))*.</w:t>
      </w:r>
    </w:p>
    <w:p w14:paraId="049DFA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107. О производстве танков Т-34 в 1940 г. (постановление СНК СССР и ЦК ВКП (б)*.</w:t>
      </w:r>
    </w:p>
    <w:p w14:paraId="3B921D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108. О производстве танков KB (постановление СНК СССР и ЦК ВКП (б)*.</w:t>
      </w:r>
    </w:p>
    <w:p w14:paraId="6F82C3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125. Вопрос КО. Об организации производства пистолетов-пулеметов «ППД»*.</w:t>
      </w:r>
    </w:p>
    <w:p w14:paraId="068BD2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175. О тракторах и грузовиках для НКО.</w:t>
      </w:r>
    </w:p>
    <w:p w14:paraId="3D04CA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15.6.40 г.</w:t>
      </w:r>
    </w:p>
    <w:p w14:paraId="7BD2E1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184. Вопросы КО. О постройке новых авиационных моторов*.</w:t>
      </w:r>
    </w:p>
    <w:p w14:paraId="641E84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19.6.40 г.</w:t>
      </w:r>
    </w:p>
    <w:p w14:paraId="01D709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197. Об организации производства танков типа «KB» на Челябинском тракторном заводе</w:t>
      </w:r>
    </w:p>
    <w:p w14:paraId="319148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 Сталина (постановление СНК СССР и ЦК ВКП (б))*.</w:t>
      </w:r>
    </w:p>
    <w:p w14:paraId="2D842B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198. Об обеспечении производства танков «KB» на Челябинском тракторном заводе бронекорпусами и башнями (постановление СНК СССР и ЦК ВКП (б)).</w:t>
      </w:r>
    </w:p>
    <w:p w14:paraId="427476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22.6.40 г.</w:t>
      </w:r>
    </w:p>
    <w:p w14:paraId="08F8B1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228. О внедрении в серийное производство «100» в варианте пикирующего бомбардировщика*.</w:t>
      </w:r>
    </w:p>
    <w:p w14:paraId="47CB88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245. Вопрос НКО. О принятии пушек от фирмы «Шкода» (11773).</w:t>
      </w:r>
    </w:p>
    <w:p w14:paraId="664A336C"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47A391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Шахурин писал письмо N 1395сс секретарю КО Сафонову.</w:t>
      </w:r>
    </w:p>
    <w:p w14:paraId="691FF7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представленному мне на заключение проекту постановления КО при СНК "О самолетах ББ-22 и ББ-1" сообщаю, что на всех самолетных заводах в 1940 г. внедряются или уже приняты к серийной постройке новые образцы самолетов. Необходимость в ускорении внедрения новых образцов обязывало принимать решения, в некоторых случаях, до окончания полной и исчерпывающей производственной доводки этих образцов.</w:t>
      </w:r>
    </w:p>
    <w:p w14:paraId="0A65A0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Такие решения принимались намеренно, обдуманно и после тщательной оценки их совместно с НКО и на основании заключений командования ГУАС и ВВС.</w:t>
      </w:r>
    </w:p>
    <w:p w14:paraId="77BE68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Такое положение имело место и при внедрении ББ-22 и ББ-1.</w:t>
      </w:r>
    </w:p>
    <w:p w14:paraId="5EC8C4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Достаточно указать, что в текущем месяце начальник ГУАС комдив Алексеев заявил протест против снижения плана поставок самолетов ББ-1, с другой стороны представляется проект о приостановке производства этого типа.</w:t>
      </w:r>
    </w:p>
    <w:p w14:paraId="571690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Во-первых это ведет к дезорганизации заводов НКАП, во-вторых - усматриваю в такой постановке беспринципность и нежелание нести ответственность до конца за ранее принятые решения, в связи с чем категорически возражаю против проекта, присланного на заключение.</w:t>
      </w:r>
    </w:p>
    <w:p w14:paraId="17AF6D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Конкретно по машинам сообщаю следующее:</w:t>
      </w:r>
    </w:p>
    <w:p w14:paraId="400F7C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самолету ББ-22 КО 25 мая 1940 г. принято решение N 224сс, в котором точно указано в каком виде самолет ББ-22 должен сдаваться на вооружение.</w:t>
      </w:r>
    </w:p>
    <w:p w14:paraId="2D1543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что выносить какое-либо дополнительное решение по этому самолету не следует.</w:t>
      </w:r>
    </w:p>
    <w:p w14:paraId="23D3F8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производству самолетов ББ-1 с мотором М-88, постановлением КО за N 77сс от 26 февраля 1940 года установлена программа на первое полугодие: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tblGrid>
      <w:tr w:rsidR="007D5DF8" w:rsidRPr="00DB5D0D" w14:paraId="36DFABC7" w14:textId="77777777" w:rsidTr="009223E5">
        <w:tc>
          <w:tcPr>
            <w:tcW w:w="2299" w:type="dxa"/>
            <w:tcBorders>
              <w:top w:val="single" w:sz="12" w:space="0" w:color="auto"/>
            </w:tcBorders>
          </w:tcPr>
          <w:p w14:paraId="15FA06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заводу </w:t>
            </w:r>
          </w:p>
        </w:tc>
        <w:tc>
          <w:tcPr>
            <w:tcW w:w="2299" w:type="dxa"/>
            <w:tcBorders>
              <w:top w:val="single" w:sz="12" w:space="0" w:color="auto"/>
            </w:tcBorders>
          </w:tcPr>
          <w:p w14:paraId="33DF3E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N 135 </w:t>
            </w:r>
          </w:p>
        </w:tc>
        <w:tc>
          <w:tcPr>
            <w:tcW w:w="2299" w:type="dxa"/>
            <w:tcBorders>
              <w:top w:val="single" w:sz="12" w:space="0" w:color="auto"/>
            </w:tcBorders>
          </w:tcPr>
          <w:p w14:paraId="167B95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количестве </w:t>
            </w:r>
          </w:p>
        </w:tc>
        <w:tc>
          <w:tcPr>
            <w:tcW w:w="2299" w:type="dxa"/>
            <w:tcBorders>
              <w:top w:val="single" w:sz="12" w:space="0" w:color="auto"/>
            </w:tcBorders>
          </w:tcPr>
          <w:p w14:paraId="1E261A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 самолетов</w:t>
            </w:r>
          </w:p>
        </w:tc>
      </w:tr>
      <w:tr w:rsidR="007D5DF8" w:rsidRPr="00DB5D0D" w14:paraId="4427D2F6" w14:textId="77777777" w:rsidTr="009223E5">
        <w:tc>
          <w:tcPr>
            <w:tcW w:w="2299" w:type="dxa"/>
          </w:tcPr>
          <w:p w14:paraId="3DCDC1B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Pr>
          <w:p w14:paraId="198C79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 207</w:t>
            </w:r>
          </w:p>
        </w:tc>
        <w:tc>
          <w:tcPr>
            <w:tcW w:w="2299" w:type="dxa"/>
          </w:tcPr>
          <w:p w14:paraId="3D17065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Pr>
          <w:p w14:paraId="375B49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0C03D032" w14:textId="77777777" w:rsidTr="009223E5">
        <w:tc>
          <w:tcPr>
            <w:tcW w:w="2299" w:type="dxa"/>
            <w:tcBorders>
              <w:bottom w:val="single" w:sz="12" w:space="0" w:color="auto"/>
            </w:tcBorders>
          </w:tcPr>
          <w:p w14:paraId="46D50D4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bottom w:val="single" w:sz="12" w:space="0" w:color="auto"/>
            </w:tcBorders>
          </w:tcPr>
          <w:p w14:paraId="766AEB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 31</w:t>
            </w:r>
          </w:p>
        </w:tc>
        <w:tc>
          <w:tcPr>
            <w:tcW w:w="2299" w:type="dxa"/>
            <w:tcBorders>
              <w:bottom w:val="single" w:sz="12" w:space="0" w:color="auto"/>
            </w:tcBorders>
          </w:tcPr>
          <w:p w14:paraId="7ECA38E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bottom w:val="single" w:sz="12" w:space="0" w:color="auto"/>
            </w:tcBorders>
          </w:tcPr>
          <w:p w14:paraId="2EF51A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r>
    </w:tbl>
    <w:p w14:paraId="0956C6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 NN 135, 207 и 31 развернули производство этих самолетов и, если в настоящее время приостановить изготовление задела и выпуск готовой продукции - заводы будут иметь массовые простои и фактически приостановят свою деятельность.</w:t>
      </w:r>
    </w:p>
    <w:p w14:paraId="611019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самолета показали, что самолет ББ-1 с мотором М-88 эксплуатировать можно и последние данные завода N 135 показывают, что самолет может идти без промежуточных площадок до высоты 7000 метров.</w:t>
      </w:r>
    </w:p>
    <w:p w14:paraId="41B261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с своей стороны предлагает принимать самолеты на вооружение с таким расчетом, чтобы в течение июня окончательно доработать на этих заводах, по согласованию с НКОП все недоработанные места, выявленные в процессе гос. испытаний - во втором полугодии закончить в частях доработку выпущенных в первом полугодии машин.</w:t>
      </w:r>
    </w:p>
    <w:p w14:paraId="734C21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не возражает, после устранения дефектов, указанных в протоколе Техсовета при НИИ ГУАС, предъявить самолет ББ-1 с мотором М-88 на контрольные испытания к 20 июня 1940 г. (3444,12-13).</w:t>
      </w:r>
    </w:p>
    <w:p w14:paraId="4AA9BF5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1D2C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года А.И.Ш. писал письмо N 1395сс/от Секретарю КО при СНК Сафонову:</w:t>
      </w:r>
    </w:p>
    <w:p w14:paraId="13493B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представленному мне на заключение проекту постановления КО при СНК "О самолетах ББ-22 и ББ-1" сообщаю, что на всех самолетных заводах в 1940 году внедряются или уже приняты к серийной постройке новые образцы самолетов. Необходимость в ускорении внедрения новых образцов обязывало принимать решения, в некоторых случаях, до окончания полной и исчерпывающей производственной доработки этих образцов.</w:t>
      </w:r>
    </w:p>
    <w:p w14:paraId="7B76C1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Такие решения принимались намеренно, обдуманно и после тщательной оценки их совместно с НКО и на основании заключений командования ГУАС и ВВС.</w:t>
      </w:r>
    </w:p>
    <w:p w14:paraId="15EF71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Такое положение имело место и при внедрении ББ-22 и ББ-1.</w:t>
      </w:r>
    </w:p>
    <w:p w14:paraId="1DD548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Достаточно указать, что в текущем месяце начальник ГУАС комдив Алексеев заявил протест против снижения плана поставок самолетов ББ-1, с другой стороны представляется проект о приостановке производства этого типа.</w:t>
      </w:r>
    </w:p>
    <w:p w14:paraId="1A4294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первых это ведет к дезорганизации заводов НКАП, во-вторых - усматриваю в такой постановке беспринципность и нежелание нести ответственность до конца за ранее принятые решения, в связи с чем категорически возражаю против проекта, присланного на заключение.</w:t>
      </w:r>
    </w:p>
    <w:p w14:paraId="0746C7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Конкретно по машинам сообщаю следующее:</w:t>
      </w:r>
    </w:p>
    <w:p w14:paraId="41527A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самолету ББ-22 КО 25 мая 1940 года принято решение N 224сс, в котором точно указано в каком виде самолет ББ-22 должен сдаваться на вооружение.</w:t>
      </w:r>
    </w:p>
    <w:p w14:paraId="142349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что выносить какое-либо дополнительное решение по этому самолету не следует.</w:t>
      </w:r>
    </w:p>
    <w:p w14:paraId="28C10E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производству самолетов ББ-1 с мотором М-88, постановлением КО за N 77сс от 26 февраля 1940 года установлена программа на первое полугодие:</w:t>
      </w:r>
    </w:p>
    <w:p w14:paraId="11546A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N 135 в количестве 110 самолетов.</w:t>
      </w:r>
    </w:p>
    <w:p w14:paraId="6E82F1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N 207 в количестве 5 самолетов.</w:t>
      </w:r>
    </w:p>
    <w:p w14:paraId="307F12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N 31 в количестве 30 самолетов.</w:t>
      </w:r>
    </w:p>
    <w:p w14:paraId="15EE0F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 NN 135, 207 и 31 развернули производство этих самолетов и, если в настоящее время приостановить изготовление задела и выпуск готовой продукции - заводы будут иметь массовые простои и фактически приостановят свою деятельность.</w:t>
      </w:r>
    </w:p>
    <w:p w14:paraId="68DC5B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Государственные испытания самолета показали, что самолет ББ-1 с мотором М-88 эксплуатировать можно и последние данные завода N 135 показывают, что самолет может идти без промежуточных площадок до высоты 7000 метров.</w:t>
      </w:r>
    </w:p>
    <w:p w14:paraId="68B9CB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Наркомат Аиапрома с совей стороны предлагает принимать самолеты на вооружение с таким расчетом, чтобы в течение июня окончательно доработать на этих заводах, по согласованию с народным комиссаром Обороны, все недоработанные места, выявленные в процессе государственных испытаний - и во втором полугодии закончить в частях доработку выпущенных в первом полугодии машин.</w:t>
      </w:r>
    </w:p>
    <w:p w14:paraId="3ACAFC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не возражает, после устранения дефектов, указанных в протоколе Техсовета при НИИ ГУАС, предъявить самолет ББ-1 с мотором М-88 на контрольные испытания к 20 июня 1940 года." (Шахурин) (1165,222).</w:t>
      </w:r>
    </w:p>
    <w:p w14:paraId="183E684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3400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на ДБ-3Ф 2М-88 N 390204 в ходе гос. испытаний нового вооружения провели полет на стрельбу по конусу (2686).</w:t>
      </w:r>
    </w:p>
    <w:p w14:paraId="3EFB876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28530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А.И.Ш. писал И.о. Нач. ПГУ Шиц, Нач. ПЭУ НКАП Водяницкому и Нач. Гл. инспекции Фокину:</w:t>
      </w:r>
    </w:p>
    <w:p w14:paraId="5AAA90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к 1 июня 1940 сдать НКВМФ в счет плана второго квартала 1940 48 самолетов типа ДБ-3, укомплектованных матчастью ВВС ЧФ." (1295).</w:t>
      </w:r>
    </w:p>
    <w:p w14:paraId="5C83FA1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E1F6B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на совещании у Наркома А.И.Ш. было принято решение "Считать целесообразным поставить в серию самолет 100 с 2М-105 конструкции ОТБ НКВД 1 в варианте пикирующего бомбардировщика без гермокабин и ТК" (1806,23).</w:t>
      </w:r>
    </w:p>
    <w:p w14:paraId="267C35D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298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на совещании у наркома авиапромышленности А. И. Шахурина было принято решение: "Считать целесообразным поставить в серию самолет "100 с 2М-105" конструкции ОТБ НКВД в варианте пикирующего бомбардировщика без гермокабин и турбокомпрессоров" (9655).</w:t>
      </w:r>
    </w:p>
    <w:p w14:paraId="014C49B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B42906" w14:textId="77777777" w:rsidR="00156671" w:rsidRPr="00DB5D0D" w:rsidRDefault="001566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4-го июня 1940 года на совещании у Наркома А.И. Шахурина было принято окончательное решение по высотному истребителю: «Считать целесообразным поставить в серию самолет «100 с 2М-105» в варианте пикирующего бомбардировщика без гермокабин и турбокомпрессоров» (18293).</w:t>
      </w:r>
    </w:p>
    <w:p w14:paraId="2896B295" w14:textId="77777777" w:rsidR="00156671" w:rsidRPr="00DB5D0D" w:rsidRDefault="00156671" w:rsidP="00DB5D0D">
      <w:pPr>
        <w:spacing w:after="0" w:line="240" w:lineRule="auto"/>
        <w:jc w:val="both"/>
        <w:rPr>
          <w:rFonts w:ascii="Times New Roman" w:hAnsi="Times New Roman"/>
          <w:color w:val="000000" w:themeColor="text1"/>
          <w:sz w:val="16"/>
          <w:szCs w:val="16"/>
        </w:rPr>
      </w:pPr>
    </w:p>
    <w:p w14:paraId="384DD6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на совещании у наркома авиапромышленности А.И.Шахурина было окончательно принято решение о "перепрофилировании" высотного истребителя "100" в пикировщик. Такому превращению способствовало то, что он уже обладал некоторыми чертами пикирующего бомбардировщика, например, высокой устойчивостью на пикировании и достаточными запасами прочности. В заключении по испытаниям самолета "100" была специально подчеркнута его способность нести 1000 кг бомб (3542).</w:t>
      </w:r>
    </w:p>
    <w:p w14:paraId="1D2C793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E335A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на совещании у наркома авиапромышленности А.И.Шахурина посчитали целесооб</w:t>
      </w:r>
      <w:r w:rsidRPr="00DB5D0D">
        <w:rPr>
          <w:rFonts w:ascii="Times New Roman" w:hAnsi="Times New Roman"/>
          <w:color w:val="000000" w:themeColor="text1"/>
          <w:sz w:val="16"/>
          <w:szCs w:val="16"/>
        </w:rPr>
        <w:softHyphen/>
        <w:t>разным поставить в серию самолёт «100» конструкции ОТБ НКВД в ва</w:t>
      </w:r>
      <w:r w:rsidRPr="00DB5D0D">
        <w:rPr>
          <w:rFonts w:ascii="Times New Roman" w:hAnsi="Times New Roman"/>
          <w:color w:val="000000" w:themeColor="text1"/>
          <w:sz w:val="16"/>
          <w:szCs w:val="16"/>
        </w:rPr>
        <w:softHyphen/>
        <w:t>рианте пикирующего бомбардиров</w:t>
      </w:r>
      <w:r w:rsidRPr="00DB5D0D">
        <w:rPr>
          <w:rFonts w:ascii="Times New Roman" w:hAnsi="Times New Roman"/>
          <w:color w:val="000000" w:themeColor="text1"/>
          <w:sz w:val="16"/>
          <w:szCs w:val="16"/>
        </w:rPr>
        <w:softHyphen/>
        <w:t>щика без гермокабин и турбокомп</w:t>
      </w:r>
      <w:r w:rsidRPr="00DB5D0D">
        <w:rPr>
          <w:rFonts w:ascii="Times New Roman" w:hAnsi="Times New Roman"/>
          <w:color w:val="000000" w:themeColor="text1"/>
          <w:sz w:val="16"/>
          <w:szCs w:val="16"/>
        </w:rPr>
        <w:softHyphen/>
        <w:t>рессоров. И хотя «сотка» В.М.Пет-лякова создавалась в варианте вы</w:t>
      </w:r>
      <w:r w:rsidRPr="00DB5D0D">
        <w:rPr>
          <w:rFonts w:ascii="Times New Roman" w:hAnsi="Times New Roman"/>
          <w:color w:val="000000" w:themeColor="text1"/>
          <w:sz w:val="16"/>
          <w:szCs w:val="16"/>
        </w:rPr>
        <w:softHyphen/>
        <w:t xml:space="preserve">сотного истребителя, навечно войти </w:t>
      </w:r>
      <w:r w:rsidRPr="00DB5D0D">
        <w:rPr>
          <w:rFonts w:ascii="Times New Roman" w:hAnsi="Times New Roman"/>
          <w:iCs/>
          <w:color w:val="000000" w:themeColor="text1"/>
          <w:sz w:val="16"/>
          <w:szCs w:val="16"/>
        </w:rPr>
        <w:t xml:space="preserve">в </w:t>
      </w:r>
      <w:r w:rsidRPr="00DB5D0D">
        <w:rPr>
          <w:rFonts w:ascii="Times New Roman" w:hAnsi="Times New Roman"/>
          <w:color w:val="000000" w:themeColor="text1"/>
          <w:sz w:val="16"/>
          <w:szCs w:val="16"/>
        </w:rPr>
        <w:t>историю авиации (как самый мас</w:t>
      </w:r>
      <w:r w:rsidRPr="00DB5D0D">
        <w:rPr>
          <w:rFonts w:ascii="Times New Roman" w:hAnsi="Times New Roman"/>
          <w:color w:val="000000" w:themeColor="text1"/>
          <w:sz w:val="16"/>
          <w:szCs w:val="16"/>
        </w:rPr>
        <w:softHyphen/>
        <w:t>совый советский двухмоторный само</w:t>
      </w:r>
      <w:r w:rsidRPr="00DB5D0D">
        <w:rPr>
          <w:rFonts w:ascii="Times New Roman" w:hAnsi="Times New Roman"/>
          <w:color w:val="000000" w:themeColor="text1"/>
          <w:sz w:val="16"/>
          <w:szCs w:val="16"/>
        </w:rPr>
        <w:softHyphen/>
        <w:t>лёт) ей было суждено в роли фрон</w:t>
      </w:r>
      <w:r w:rsidRPr="00DB5D0D">
        <w:rPr>
          <w:rFonts w:ascii="Times New Roman" w:hAnsi="Times New Roman"/>
          <w:color w:val="000000" w:themeColor="text1"/>
          <w:sz w:val="16"/>
          <w:szCs w:val="16"/>
        </w:rPr>
        <w:softHyphen/>
        <w:t>тового бомбардировщика.</w:t>
      </w:r>
    </w:p>
    <w:p w14:paraId="232A3F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Единственный оборонительный пулемет ШКАС «сотки» никак не соответствовал новому назначению машины. Стрелковое вооружение следовало усилить.</w:t>
      </w:r>
    </w:p>
    <w:p w14:paraId="26D66C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Смена «амплуа» предполагала перекомпоновку самолёта: размеще</w:t>
      </w:r>
      <w:r w:rsidRPr="00DB5D0D">
        <w:rPr>
          <w:rFonts w:ascii="Times New Roman" w:hAnsi="Times New Roman"/>
          <w:color w:val="000000" w:themeColor="text1"/>
          <w:sz w:val="16"/>
          <w:szCs w:val="16"/>
        </w:rPr>
        <w:softHyphen/>
        <w:t>ние основного бомбового груза на внутренней подвеске, перемещение штурмана-бомбардира в переднюю кабину для обеспечения «живой свя</w:t>
      </w:r>
      <w:r w:rsidRPr="00DB5D0D">
        <w:rPr>
          <w:rFonts w:ascii="Times New Roman" w:hAnsi="Times New Roman"/>
          <w:color w:val="000000" w:themeColor="text1"/>
          <w:sz w:val="16"/>
          <w:szCs w:val="16"/>
        </w:rPr>
        <w:softHyphen/>
        <w:t>зи» с пилотом и оснащение принци</w:t>
      </w:r>
      <w:r w:rsidRPr="00DB5D0D">
        <w:rPr>
          <w:rFonts w:ascii="Times New Roman" w:hAnsi="Times New Roman"/>
          <w:color w:val="000000" w:themeColor="text1"/>
          <w:sz w:val="16"/>
          <w:szCs w:val="16"/>
        </w:rPr>
        <w:softHyphen/>
        <w:t>пиально иным оборудованием.</w:t>
      </w:r>
    </w:p>
    <w:p w14:paraId="0B000E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касается заложенных на эта</w:t>
      </w:r>
      <w:r w:rsidRPr="00DB5D0D">
        <w:rPr>
          <w:rFonts w:ascii="Times New Roman" w:hAnsi="Times New Roman"/>
          <w:color w:val="000000" w:themeColor="text1"/>
          <w:sz w:val="16"/>
          <w:szCs w:val="16"/>
        </w:rPr>
        <w:softHyphen/>
        <w:t>пе проектирования «истребительных» запасов прочности, то они весьма пригодились пикирующему бомбар</w:t>
      </w:r>
      <w:r w:rsidRPr="00DB5D0D">
        <w:rPr>
          <w:rFonts w:ascii="Times New Roman" w:hAnsi="Times New Roman"/>
          <w:color w:val="000000" w:themeColor="text1"/>
          <w:sz w:val="16"/>
          <w:szCs w:val="16"/>
        </w:rPr>
        <w:softHyphen/>
        <w:t>дировщику. На всю переделку НКАП выделил всего полтора месяца - срок весьма короткий для радикального изменения облика машины (11432).</w:t>
      </w:r>
    </w:p>
    <w:p w14:paraId="1C345C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FCE97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на совещании у наркома авиапромышленности А.И. Шахурина было сформулировано решение: "Считать целесообразным поставить в серию самолет "100 с 2М-105" конструкции ОТБ НКВД в варианте пикирующего бомбардировщика без гермокабин и турбокомпрессоров".</w:t>
      </w:r>
    </w:p>
    <w:p w14:paraId="538BC9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для подстраховки ПБ-100 в соответствии с решением правительства Приказом по НКАП № 317 от 27 июня 1940 г. "директору завода № 81 тов. Климовицкому и начальнику конструкторского отдела тов. Курбала" приказывалось "к 18 августа выпустить на заводские испытания модификацию ББ-22 в качестве пикирующего бомбардировщика и разведчика с моторами М-105". Максимальная скорость самолета ББ-22ПБ (другое обозначение БПБ-22) на высоте 4800-5000 м устанавливалась равной 570 км/ч, а нормальная бомбовая нагрузка должна была состоять из двух ФАБ-250 на наружной подвеске или четырех ФАБ-100 внутри фюзеляжа (12042).</w:t>
      </w:r>
    </w:p>
    <w:p w14:paraId="34B3DBB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01AC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на совещании у наркома авиапромышленности А.И. Шахурина было окончательно принято решение о "перепрофилировании" высотного истребителя "100" в пикировщик. Такому превращению способствовало то, что он уже обладал некоторыми чертами пикирующего бомбардировщика, например, высокой устойчивостью на пикировании и достаточными запасами прочности. В этот же день бронированный штурмовик БШ-2 конструкции С. В. Ильюшина и бронированный истребитель ОКО-6, созданный В.К. Таировым, рекомендовались в серийное производство. Вслед за этим 23 июня 1940 г. Комитет Обороны принял постановление о развертывании серийного производства самолета "100" в варианте пикирующего бомбардировщика на двух московских заводах - № 22 и № 39. Этим постановлением задавались основные летно-технические характеристики новой машины и предусматривался в 1940 г. выпуск 30 новых пикировщиков на заводе № 39 и 50 таких машин на заводе № 22. Вместе с тем все еще оставалось в силе решение о выпуске десяти высотных истребителей "100" на заводе № 39.</w:t>
      </w:r>
    </w:p>
    <w:p w14:paraId="224129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Ожидаемые летно-технические характеристики пикирующего бомбардировщика, получившего обозначение ПБ-100, являлись следующими: максимальная скорость полета 535 км/ч на высоте 4800-4900 м, дальность полета на скорости 0,9 от максимальной на высоте 5000 м - 1600 км, а с учетом расхода топлива на руление, взлет и набор высоты - 1300 км. Практический потолок ПБ-100 определялся в 8000 м. При нормальной полетной массе разрушающая перегрузка принималась равной 10, а при перегрузочной массе - 9,5.</w:t>
      </w:r>
    </w:p>
    <w:p w14:paraId="38D520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45 дней выделялось В.М. Петляко- ву и его коллективу на весьма серьезную переделку самолета: разработку и испытание практически нового фюзеляжа, тормозных щитков и системы управления ими, коренной пересмотр размещения экипажа, изменение винтомоторной установки. К 1 августа 1940 г. следовало представить комплекты рабочих чертежей нового бомбардировщика на оба завода. Даже тот изматывающий темп работы, который был характерен для СТО в период проектирования истребителя "100", признали недостаточно напряженным. Решением наркомата коллектив "зеков" (впрочем, летом 1940 г. Владимира Михайловича освободили, а в октябре назначили главным конструктором завода № 39) усилили почти сотней специалистов из конструкторских бюро Яковлева, Ильюшина и Архангельского. Кроме того, для арестованных конструкторов ввели дополнительный ужин в 22 ч, после которого они работали на статических еще 2-3 часа.</w:t>
      </w:r>
    </w:p>
    <w:p w14:paraId="6349CC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Сверхнапряжение сил дало свои результаты - в установленный срок все чертежи были сданы. Сбывались обещания, данные Л.П. Берией: "машина - в воздух, вы - на свободу". Однако титанический труд разработчиков в значительной степени обесценила неподготовленность авиационных заводов к производству машины. Опытного самолета по-существу не было, сделали только деревянный макет и собранный "на коленке" фюзеляж. Пикирующий бомбардировщик П Б-100 с самого начала строили как серийный самолет. Но на заводах не сумели своевременно подготовить и отработать многочисленные шаблоны, стапели, сборочные стенды, словом, отсутствовала технология изготовления этой во многом совершенно оригинальной машины.</w:t>
      </w:r>
    </w:p>
    <w:p w14:paraId="212C32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Между тем производство ПБ-100 было непростым. Особенно много трудностей пришлось преодолеть при налаживании изготовления двухлонжеронного крыла со сравнительно тонкой обшивкой из дюраля толщиной 0,6-0,8 мм и плотным набором стрингеров-угольников и нервюр. Впоследствии это крыло преподнесло создателям самолета ряд неприятных сюрпризов. Кроме того, в "наследство" пикировщику достались электромеханические дистанционные механизмы управления. Электромоторы приводили в движение посадочные щитки, тормозные решетки, жалюзи и заслонки радиаторов, триммеры рулевых поверхностей, изменяли угол установки стабилизатора, выполняли ряд других функций. Серийное производство ПБ-100 потребовало развернуть выпуск нескольких типов электромоторов, работающих от бортовой сети.</w:t>
      </w:r>
    </w:p>
    <w:p w14:paraId="37AA52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Немало времени ушло на изготовление и отладку автомата пикирования АП-1. На первых порах автоматы пикирования намеревались покупать в Германии через наркомат внешней торговли, затем разработали два отечественных варианта. Один автомат являлся копией немецкого электрогидравлического, а другой работал по оригинальной пневматической схеме. Оба устройства вместе с тормозными решетками для будущего ПБ-100 испытывались в июле 1940 г. на одном из трех закупленных Ju 88А-1. В итоге выбрали пневматический вариант. У "юн- керса" позаимствовали также нанесение на боковых стеклах кабины линий, соответствующих определенным углам пикирования.</w:t>
      </w:r>
    </w:p>
    <w:p w14:paraId="1C2C50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сравнению с высотным истребителем "100" внешний вид новой машины существенно изменился. Штурман теперь располагался вместе с летчиком в общей негерметичной кабине. Исчезли выступавшие за кили "рога" стабилизатора. Другие отличия были связаны в основном с изменениями в винтомоторной установке. Так, снятие турбокомпрессоров позволило уменьшить мидель мотогондол на 20-25%, что в сочетании с использованием реактивных выхлопных патрубков несколько увеличило скорость полета. С этой же целью была изменена форма тоннелей маслорадиаторов, а их площадь охлаждения увеличена на 60% для улучшения температурных режимов моторов М-105. Увеличили и охлаждаемую поверхность водорадиаторов (на 30%), а также установили жалюзи вместо створок на выходе соответствующих тоннелей. Однако новый выступающий фонарь кабины пилота- штурмана, тормозные решетки и обтекатель люковой установки увеличили сопротивление самолета. Пришлось заменить опытный винт ВИШ-42, применявшийся на "сотке", серийным ВИШ-61Б.</w:t>
      </w:r>
    </w:p>
    <w:p w14:paraId="6B088C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Сравнение проекта ПБ-100 с "конкурентами" - самолетами Ар-2 и Як-4 - было не в пользу последних. Новый бомбардировщик Петлякова мог летать на 60 км/ч быстрее Ар-2 и нести заметно большую бомбовую нагрузку, чем Як-4. И самое важное - он мог применяться с крутого пикирования, вплоть до углов порядка 70-75°.</w:t>
      </w:r>
    </w:p>
    <w:p w14:paraId="41FA02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все усилия, предпринятые серийными заводами для обеспечения выпуска установленного количества ПБ-100 в 1940 г., выполнить план не удалось. Не смогли они реализовать и другое указание НКАП, посланное вслед за первым и явно нацеленное на смягчение последствий невыполнения задания Комитета Обороны - сдать первый самолет к 7 ноября 1940 г. Наказание последовало незамедлительно: со своих постов сняли директоров заводов № 39 и № 156, получил взыскание директор завода № 22. Полет хотя бы одного серийного ПБ-100 еще в 1940 г. являлся "последним шансом" для руководства НКАП. Он состоялся 15 декабря 1940 г., когда летчик- испытатель завода № 39 Н. Федоров поднял в воздух Пе-2 зав. № 390101 - головной самолет первой серии. Название Пе-2 вместо ПБ-100 было принято в соответствии с введенными в декабре 1940 г. новыми правилами обозначения типа самолета по двум первым буквам фамилии главного конструктора.</w:t>
      </w:r>
    </w:p>
    <w:p w14:paraId="2F4703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течение нескольких следующих декабрьских дней на заводе ускоренно провели краткие испытания новой машины. С полетной массой 6800 кг головной Пе-2 развил максимальную скорость 540 км/ч на высоте 5000 м, что полностью соответствовало техническому заданию. Впрочем, и этот и последующие четыре самолета лишь условно можно считать серийными. Макетное стрелковое и бомбардировочное вооружение, длинный перечень дефектов по планеру, силовой установке и оборудованию обесценивали их боевые возможности. По распоряжению наркомата самолет № 3 оставили в распоряжении главного конструктора для отработки вводимых изменений, первым из которых было оборудование машины двойным управлением (с рабочего места штурмана). Самолеты № 1 и № 5, выработавшие к маю моторесурс на 100%, передали в одну из технических школ ВВС. Но это случилось позднее, а 16 января 1941 г. военная приемка приняла первый Пе-2, изготовленный на заводе № 22. Вместе с головными машинами завода № 39 его отправили на государственные испытания в НИИ ВВС (12042).</w:t>
      </w:r>
    </w:p>
    <w:p w14:paraId="526295C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188A73" w14:textId="77777777" w:rsidR="00D926C6" w:rsidRPr="00DB5D0D" w:rsidRDefault="00D926C6"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4-го июня 1940 года на совещании у Наркома А.И. Шахурина было принято окончательное решение по высотному истребителю: «Считать целесообразным поставить в серию самолет «100 с 2М-105» в варианте пикирующего бомбардировщика без гермокабин и турбокомпрессоров» (15223).</w:t>
      </w:r>
    </w:p>
    <w:p w14:paraId="6784161F" w14:textId="77777777" w:rsidR="00D926C6" w:rsidRPr="00DB5D0D" w:rsidRDefault="00D926C6" w:rsidP="00DB5D0D">
      <w:pPr>
        <w:shd w:val="clear" w:color="auto" w:fill="FFFFFF"/>
        <w:spacing w:after="0" w:line="240" w:lineRule="auto"/>
        <w:jc w:val="both"/>
        <w:rPr>
          <w:rFonts w:ascii="Times New Roman" w:hAnsi="Times New Roman"/>
          <w:color w:val="000000" w:themeColor="text1"/>
          <w:sz w:val="16"/>
          <w:szCs w:val="16"/>
        </w:rPr>
      </w:pPr>
    </w:p>
    <w:p w14:paraId="515193E1" w14:textId="77777777" w:rsidR="00D926C6" w:rsidRPr="00DB5D0D" w:rsidRDefault="00D926C6"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4 июня 1940 на совещании у Шахурина предложение о переделке ВИ-100 в пи</w:t>
      </w:r>
      <w:r w:rsidRPr="00DB5D0D">
        <w:rPr>
          <w:rFonts w:ascii="Times New Roman" w:cs="Times New Roman"/>
          <w:color w:val="000000" w:themeColor="text1"/>
          <w:spacing w:val="0"/>
        </w:rPr>
        <w:softHyphen/>
        <w:t>кирующий бомбардировщик ПБ-100 (бу</w:t>
      </w:r>
      <w:r w:rsidRPr="00DB5D0D">
        <w:rPr>
          <w:rFonts w:ascii="Times New Roman" w:cs="Times New Roman"/>
          <w:color w:val="000000" w:themeColor="text1"/>
          <w:spacing w:val="0"/>
        </w:rPr>
        <w:softHyphen/>
        <w:t>дущий Пе-2) стало совместным решени</w:t>
      </w:r>
      <w:r w:rsidRPr="00DB5D0D">
        <w:rPr>
          <w:rFonts w:ascii="Times New Roman" w:cs="Times New Roman"/>
          <w:color w:val="000000" w:themeColor="text1"/>
          <w:spacing w:val="0"/>
        </w:rPr>
        <w:softHyphen/>
        <w:t>ем ВВС и НКАП (15755).</w:t>
      </w:r>
    </w:p>
    <w:p w14:paraId="41A2F8CD" w14:textId="77777777" w:rsidR="00D926C6" w:rsidRPr="00DB5D0D" w:rsidRDefault="00D926C6" w:rsidP="00DB5D0D">
      <w:pPr>
        <w:pStyle w:val="27"/>
        <w:shd w:val="clear" w:color="auto" w:fill="auto"/>
        <w:tabs>
          <w:tab w:val="left" w:pos="462"/>
        </w:tabs>
        <w:spacing w:after="0" w:line="240" w:lineRule="auto"/>
        <w:ind w:firstLine="0"/>
        <w:rPr>
          <w:rFonts w:ascii="Times New Roman" w:cs="Times New Roman"/>
          <w:color w:val="000000" w:themeColor="text1"/>
          <w:spacing w:val="0"/>
        </w:rPr>
      </w:pPr>
    </w:p>
    <w:p w14:paraId="242FB7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на совместном совещании руководства Наркомата авиационной промышленности и ВВС Красной Армии, в тот самый день, когда было принято решение о серийном производстве бомбардировщика Пе-2 и штурмовика Ил-2, рекомендовали к серийному производству машину Таирова. Однако на деле Та-3 в серию не попал из-за целого ряда объективных и субъективных причин (12042).</w:t>
      </w:r>
    </w:p>
    <w:p w14:paraId="558E3AB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70A7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И-26 М-105П ВИШ-61 А.С.Я. в ходе гос. испытаний, которые проходили с 1 по 15 июня 1940 выполнил полет на пилотаж и задание было выполнено (2924).</w:t>
      </w:r>
    </w:p>
    <w:p w14:paraId="18C751A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938E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вышел приказ НКАП N 263сс в исполнение постановления КО N235сс "О постановке производства самолетов И-26 конструкции А.С.Я. на заводе 292 и о снятии с производства самолетов И-28" от 29 мая 1940 (1316,334).</w:t>
      </w:r>
    </w:p>
    <w:p w14:paraId="04D7CF2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3344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4 июня по 28 августа 1940 проходили заводские испытания И-200-3 АМ-35А (2090,234).</w:t>
      </w:r>
    </w:p>
    <w:p w14:paraId="57D0AAE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38FA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Зам. Нач. ГУАС КА би П.Федоров писал письмо № 501148сс в Главный контроль КО СНК тов. Семину (вход. № 5277 от 4 июня 1940):</w:t>
      </w:r>
    </w:p>
    <w:p w14:paraId="53E9C6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Вашей просьбе направляю материал - краткие характеристики самолетов, составленные ведущими инженерами НИИ ГУАС КА.</w:t>
      </w:r>
    </w:p>
    <w:p w14:paraId="4A7330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упомянутое на 14 л. (10514,87).</w:t>
      </w:r>
    </w:p>
    <w:p w14:paraId="401FE0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была подготовлена КРАТКАЯ ХАРАКТЕРИСТИКА САМОЛЕТА ОКО-6 2М-88 б/р. КОНСТРУКЦИИ Т.ТАИРОВА ПРОИЗВОДСТВА ЗАВОДА №- 43,</w:t>
      </w:r>
    </w:p>
    <w:p w14:paraId="2201C9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на основе результатов заводских испытанний).</w:t>
      </w:r>
    </w:p>
    <w:p w14:paraId="39ABCA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Фактически полученные летные данные при нормальном полетном весе - 4530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7D5DF8" w:rsidRPr="00DB5D0D" w14:paraId="45365E78" w14:textId="77777777" w:rsidTr="009223E5">
        <w:tc>
          <w:tcPr>
            <w:tcW w:w="3757" w:type="dxa"/>
            <w:tcBorders>
              <w:top w:val="single" w:sz="12" w:space="0" w:color="auto"/>
            </w:tcBorders>
            <w:shd w:val="clear" w:color="auto" w:fill="FFFFFF"/>
          </w:tcPr>
          <w:p w14:paraId="0E8E49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максим.</w:t>
            </w:r>
          </w:p>
        </w:tc>
        <w:tc>
          <w:tcPr>
            <w:tcW w:w="3757" w:type="dxa"/>
            <w:tcBorders>
              <w:top w:val="single" w:sz="12" w:space="0" w:color="auto"/>
            </w:tcBorders>
            <w:shd w:val="clear" w:color="auto" w:fill="FFFFFF"/>
          </w:tcPr>
          <w:p w14:paraId="03A753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567,5 км/час, на Н-7550 м.</w:t>
            </w:r>
          </w:p>
        </w:tc>
      </w:tr>
      <w:tr w:rsidR="007D5DF8" w:rsidRPr="00DB5D0D" w14:paraId="0B1B37FC" w14:textId="77777777" w:rsidTr="009223E5">
        <w:tc>
          <w:tcPr>
            <w:tcW w:w="3757" w:type="dxa"/>
            <w:shd w:val="clear" w:color="auto" w:fill="FFFFFF"/>
          </w:tcPr>
          <w:p w14:paraId="51D2FE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максим.</w:t>
            </w:r>
          </w:p>
        </w:tc>
        <w:tc>
          <w:tcPr>
            <w:tcW w:w="3757" w:type="dxa"/>
            <w:shd w:val="clear" w:color="auto" w:fill="FFFFFF"/>
          </w:tcPr>
          <w:p w14:paraId="266EFE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448 км/час, на Н=0</w:t>
            </w:r>
          </w:p>
        </w:tc>
      </w:tr>
      <w:tr w:rsidR="007D5DF8" w:rsidRPr="00DB5D0D" w14:paraId="198DEA4F" w14:textId="77777777" w:rsidTr="009223E5">
        <w:tc>
          <w:tcPr>
            <w:tcW w:w="3757" w:type="dxa"/>
            <w:shd w:val="clear" w:color="auto" w:fill="FFFFFF"/>
          </w:tcPr>
          <w:p w14:paraId="2E3F74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5000 м.</w:t>
            </w:r>
          </w:p>
        </w:tc>
        <w:tc>
          <w:tcPr>
            <w:tcW w:w="3757" w:type="dxa"/>
            <w:shd w:val="clear" w:color="auto" w:fill="FFFFFF"/>
          </w:tcPr>
          <w:p w14:paraId="535C5D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- 5,5 мин.</w:t>
            </w:r>
          </w:p>
        </w:tc>
      </w:tr>
      <w:tr w:rsidR="007D5DF8" w:rsidRPr="00DB5D0D" w14:paraId="47E4C3D4" w14:textId="77777777" w:rsidTr="009223E5">
        <w:tc>
          <w:tcPr>
            <w:tcW w:w="3757" w:type="dxa"/>
            <w:shd w:val="clear" w:color="auto" w:fill="FFFFFF"/>
          </w:tcPr>
          <w:p w14:paraId="74628B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8000 м.</w:t>
            </w:r>
          </w:p>
        </w:tc>
        <w:tc>
          <w:tcPr>
            <w:tcW w:w="3757" w:type="dxa"/>
            <w:shd w:val="clear" w:color="auto" w:fill="FFFFFF"/>
          </w:tcPr>
          <w:p w14:paraId="039A0C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- 10.4 мин.</w:t>
            </w:r>
          </w:p>
        </w:tc>
      </w:tr>
      <w:tr w:rsidR="007D5DF8" w:rsidRPr="00DB5D0D" w14:paraId="486BC856" w14:textId="77777777" w:rsidTr="009223E5">
        <w:tc>
          <w:tcPr>
            <w:tcW w:w="3757" w:type="dxa"/>
            <w:shd w:val="clear" w:color="auto" w:fill="FFFFFF"/>
          </w:tcPr>
          <w:p w14:paraId="2E396F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Практический.потолок</w:t>
            </w:r>
          </w:p>
        </w:tc>
        <w:tc>
          <w:tcPr>
            <w:tcW w:w="3757" w:type="dxa"/>
            <w:shd w:val="clear" w:color="auto" w:fill="FFFFFF"/>
          </w:tcPr>
          <w:p w14:paraId="6C710F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- 11100 м.</w:t>
            </w:r>
          </w:p>
        </w:tc>
      </w:tr>
      <w:tr w:rsidR="007D5DF8" w:rsidRPr="00DB5D0D" w14:paraId="52C0FBAC" w14:textId="77777777" w:rsidTr="009223E5">
        <w:tc>
          <w:tcPr>
            <w:tcW w:w="3757" w:type="dxa"/>
            <w:shd w:val="clear" w:color="auto" w:fill="FFFFFF"/>
          </w:tcPr>
          <w:p w14:paraId="69F15F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с закрылками</w:t>
            </w:r>
          </w:p>
        </w:tc>
        <w:tc>
          <w:tcPr>
            <w:tcW w:w="3757" w:type="dxa"/>
            <w:shd w:val="clear" w:color="auto" w:fill="FFFFFF"/>
          </w:tcPr>
          <w:p w14:paraId="6BE532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- 150 км/час.</w:t>
            </w:r>
          </w:p>
        </w:tc>
      </w:tr>
      <w:tr w:rsidR="007D5DF8" w:rsidRPr="00DB5D0D" w14:paraId="31428273" w14:textId="77777777" w:rsidTr="009223E5">
        <w:tc>
          <w:tcPr>
            <w:tcW w:w="3757" w:type="dxa"/>
            <w:shd w:val="clear" w:color="auto" w:fill="FFFFFF"/>
          </w:tcPr>
          <w:p w14:paraId="5083CD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3757" w:type="dxa"/>
            <w:shd w:val="clear" w:color="auto" w:fill="FFFFFF"/>
          </w:tcPr>
          <w:p w14:paraId="6B7637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- 380 метров - 15 сек.</w:t>
            </w:r>
          </w:p>
        </w:tc>
      </w:tr>
      <w:tr w:rsidR="007D5DF8" w:rsidRPr="00DB5D0D" w14:paraId="668A82CB" w14:textId="77777777" w:rsidTr="009223E5">
        <w:tc>
          <w:tcPr>
            <w:tcW w:w="3757" w:type="dxa"/>
            <w:shd w:val="clear" w:color="auto" w:fill="FFFFFF"/>
          </w:tcPr>
          <w:p w14:paraId="5F933B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3757" w:type="dxa"/>
            <w:shd w:val="clear" w:color="auto" w:fill="FFFFFF"/>
          </w:tcPr>
          <w:p w14:paraId="2E6B54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- 470 метров - 20 сек.</w:t>
            </w:r>
          </w:p>
        </w:tc>
      </w:tr>
      <w:tr w:rsidR="007D5DF8" w:rsidRPr="00DB5D0D" w14:paraId="1923B30E" w14:textId="77777777" w:rsidTr="009223E5">
        <w:tc>
          <w:tcPr>
            <w:tcW w:w="3757" w:type="dxa"/>
            <w:shd w:val="clear" w:color="auto" w:fill="FFFFFF"/>
          </w:tcPr>
          <w:p w14:paraId="6AC884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w:t>
            </w:r>
          </w:p>
        </w:tc>
        <w:tc>
          <w:tcPr>
            <w:tcW w:w="3757" w:type="dxa"/>
            <w:shd w:val="clear" w:color="auto" w:fill="FFFFFF"/>
          </w:tcPr>
          <w:p w14:paraId="2982C74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84A7C5F" w14:textId="77777777" w:rsidTr="009223E5">
        <w:tc>
          <w:tcPr>
            <w:tcW w:w="3757" w:type="dxa"/>
            <w:shd w:val="clear" w:color="auto" w:fill="FFFFFF"/>
          </w:tcPr>
          <w:p w14:paraId="0998E5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нормальным запасом горючего</w:t>
            </w:r>
          </w:p>
        </w:tc>
        <w:tc>
          <w:tcPr>
            <w:tcW w:w="3757" w:type="dxa"/>
            <w:shd w:val="clear" w:color="auto" w:fill="FFFFFF"/>
          </w:tcPr>
          <w:p w14:paraId="49B38D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- 700 км.</w:t>
            </w:r>
          </w:p>
        </w:tc>
      </w:tr>
      <w:tr w:rsidR="007D5DF8" w:rsidRPr="00DB5D0D" w14:paraId="10271396" w14:textId="77777777" w:rsidTr="009223E5">
        <w:tc>
          <w:tcPr>
            <w:tcW w:w="3757" w:type="dxa"/>
            <w:tcBorders>
              <w:bottom w:val="single" w:sz="12" w:space="0" w:color="auto"/>
            </w:tcBorders>
            <w:shd w:val="clear" w:color="auto" w:fill="FFFFFF"/>
          </w:tcPr>
          <w:p w14:paraId="2C91FE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дополнительным баком</w:t>
            </w:r>
          </w:p>
        </w:tc>
        <w:tc>
          <w:tcPr>
            <w:tcW w:w="3757" w:type="dxa"/>
            <w:tcBorders>
              <w:bottom w:val="single" w:sz="12" w:space="0" w:color="auto"/>
            </w:tcBorders>
            <w:shd w:val="clear" w:color="auto" w:fill="FFFFFF"/>
          </w:tcPr>
          <w:p w14:paraId="77E465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- 1250 км.</w:t>
            </w:r>
          </w:p>
        </w:tc>
      </w:tr>
    </w:tbl>
    <w:p w14:paraId="462716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этими летными данными, кроме дальности, самолет преимуществ не имеет по сравнению с И-28 и И-180.</w:t>
      </w:r>
    </w:p>
    <w:p w14:paraId="64A6FC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Летные свойства.</w:t>
      </w:r>
    </w:p>
    <w:p w14:paraId="752DDC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Управляемость в продольном и поперечном отношении неудовлетворительная (велики усилия на ручке управления).</w:t>
      </w:r>
    </w:p>
    <w:p w14:paraId="7B7A89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Продольная устойчивость самолета недостаточная, боковая устойчивость хорошая. На пикировании при выводе самолета без моторов развивается зна</w:t>
      </w:r>
      <w:r w:rsidRPr="00DB5D0D">
        <w:rPr>
          <w:rFonts w:ascii="Times New Roman" w:hAnsi="Times New Roman"/>
          <w:color w:val="000000" w:themeColor="text1"/>
          <w:sz w:val="16"/>
          <w:szCs w:val="16"/>
        </w:rPr>
        <w:softHyphen/>
        <w:t>чительные усилия на ручке руля глубины.</w:t>
      </w:r>
    </w:p>
    <w:p w14:paraId="270214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Обзор вперед и в бок удовлетворительный, назад недостаточный.</w:t>
      </w:r>
    </w:p>
    <w:p w14:paraId="15E909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На фигурах появляются значительные усилия на ручке управления рулем глубины и элеронов.</w:t>
      </w:r>
    </w:p>
    <w:p w14:paraId="2830CC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Взлет простой. Посадочную скорость необходимо уменьшить.</w:t>
      </w:r>
    </w:p>
    <w:p w14:paraId="731408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При испытании на пикирование в облете майора тов. Супруна была замечена тряска самолета, характер которой не выявлен.</w:t>
      </w:r>
    </w:p>
    <w:p w14:paraId="62858A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Вооружение состоит аз батареи 4х "Швак" калиб</w:t>
      </w:r>
      <w:r w:rsidRPr="00DB5D0D">
        <w:rPr>
          <w:rFonts w:ascii="Times New Roman" w:hAnsi="Times New Roman"/>
          <w:color w:val="000000" w:themeColor="text1"/>
          <w:sz w:val="16"/>
          <w:szCs w:val="16"/>
        </w:rPr>
        <w:softHyphen/>
        <w:t>ром 20 мм. Запас снарядов в нормальном варианте по 200 шт. на пушку в перегрузочном по 275 шт.</w:t>
      </w:r>
    </w:p>
    <w:p w14:paraId="380EF3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Эксплоатация самолета и ВМГ удобна.</w:t>
      </w:r>
    </w:p>
    <w:p w14:paraId="309919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Конструкция самолета смешанная: передняя часть фюзеляжа, центроплан и консоли металлические (дюраль), задняя часть фюзеляжа деревянная. Лонжероны хромансилевые.</w:t>
      </w:r>
    </w:p>
    <w:p w14:paraId="7C849F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Производственное выполнение самолета сложно, главным образом в части центроплана и шасси.</w:t>
      </w:r>
    </w:p>
    <w:p w14:paraId="06E5A6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Самолет удовлетворяет нормам прочности 1937 г., имеет запас прочности 14.</w:t>
      </w:r>
    </w:p>
    <w:p w14:paraId="331FAE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Ви3р Николаев (10514,88).</w:t>
      </w:r>
    </w:p>
    <w:p w14:paraId="617112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была подготовлена КРАТКАЯ ХАРАКТЕРИСТИКА САМОЛЕТА И-180 М-88 ВИШ-23Е КОНСТРУКЦИИ инженера ПОЛИКАРПОВА производства з-да № 1 и завода № 21.</w:t>
      </w:r>
    </w:p>
    <w:p w14:paraId="49E86D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результатов заводских испы</w:t>
      </w:r>
      <w:r w:rsidRPr="00DB5D0D">
        <w:rPr>
          <w:rFonts w:ascii="Times New Roman" w:hAnsi="Times New Roman"/>
          <w:color w:val="000000" w:themeColor="text1"/>
          <w:sz w:val="16"/>
          <w:szCs w:val="16"/>
        </w:rPr>
        <w:softHyphen/>
        <w:t>таний).</w:t>
      </w:r>
    </w:p>
    <w:p w14:paraId="74C9DB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Фактически полученные летные данные при нормальном полетном весе 2440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0B51A139" w14:textId="77777777" w:rsidTr="009223E5">
        <w:tc>
          <w:tcPr>
            <w:tcW w:w="5636" w:type="dxa"/>
            <w:tcBorders>
              <w:top w:val="single" w:sz="12" w:space="0" w:color="auto"/>
            </w:tcBorders>
            <w:shd w:val="clear" w:color="auto" w:fill="FFFFFF"/>
          </w:tcPr>
          <w:p w14:paraId="7EFB1D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w:t>
            </w:r>
          </w:p>
        </w:tc>
        <w:tc>
          <w:tcPr>
            <w:tcW w:w="5636" w:type="dxa"/>
            <w:tcBorders>
              <w:top w:val="single" w:sz="12" w:space="0" w:color="auto"/>
            </w:tcBorders>
            <w:shd w:val="clear" w:color="auto" w:fill="FFFFFF"/>
          </w:tcPr>
          <w:p w14:paraId="02A4E7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560 км/час, на Н=7100 м.</w:t>
            </w:r>
          </w:p>
        </w:tc>
      </w:tr>
      <w:tr w:rsidR="007D5DF8" w:rsidRPr="00DB5D0D" w14:paraId="1E52B25B" w14:textId="77777777" w:rsidTr="009223E5">
        <w:tc>
          <w:tcPr>
            <w:tcW w:w="5636" w:type="dxa"/>
            <w:shd w:val="clear" w:color="auto" w:fill="FFFFFF"/>
          </w:tcPr>
          <w:p w14:paraId="55A2B0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w:t>
            </w:r>
          </w:p>
        </w:tc>
        <w:tc>
          <w:tcPr>
            <w:tcW w:w="5636" w:type="dxa"/>
            <w:shd w:val="clear" w:color="auto" w:fill="FFFFFF"/>
          </w:tcPr>
          <w:p w14:paraId="5D4796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459 км/час, па Н=0</w:t>
            </w:r>
          </w:p>
        </w:tc>
      </w:tr>
      <w:tr w:rsidR="007D5DF8" w:rsidRPr="00DB5D0D" w14:paraId="4CB85FBE" w14:textId="77777777" w:rsidTr="009223E5">
        <w:tc>
          <w:tcPr>
            <w:tcW w:w="5636" w:type="dxa"/>
            <w:shd w:val="clear" w:color="auto" w:fill="FFFFFF"/>
          </w:tcPr>
          <w:p w14:paraId="659108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5000 м.</w:t>
            </w:r>
          </w:p>
        </w:tc>
        <w:tc>
          <w:tcPr>
            <w:tcW w:w="5636" w:type="dxa"/>
            <w:shd w:val="clear" w:color="auto" w:fill="FFFFFF"/>
          </w:tcPr>
          <w:p w14:paraId="0801EB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- 5,6 мин.</w:t>
            </w:r>
          </w:p>
        </w:tc>
      </w:tr>
      <w:tr w:rsidR="007D5DF8" w:rsidRPr="00DB5D0D" w14:paraId="49DA06D3" w14:textId="77777777" w:rsidTr="009223E5">
        <w:tc>
          <w:tcPr>
            <w:tcW w:w="5636" w:type="dxa"/>
            <w:shd w:val="clear" w:color="auto" w:fill="FFFFFF"/>
          </w:tcPr>
          <w:p w14:paraId="583DCB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7000 м.</w:t>
            </w:r>
          </w:p>
        </w:tc>
        <w:tc>
          <w:tcPr>
            <w:tcW w:w="5636" w:type="dxa"/>
            <w:shd w:val="clear" w:color="auto" w:fill="FFFFFF"/>
          </w:tcPr>
          <w:p w14:paraId="55C6E2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- 8,7 мин.</w:t>
            </w:r>
          </w:p>
        </w:tc>
      </w:tr>
      <w:tr w:rsidR="007D5DF8" w:rsidRPr="00DB5D0D" w14:paraId="1C24BEF4" w14:textId="77777777" w:rsidTr="009223E5">
        <w:tc>
          <w:tcPr>
            <w:tcW w:w="5636" w:type="dxa"/>
            <w:shd w:val="clear" w:color="auto" w:fill="FFFFFF"/>
          </w:tcPr>
          <w:p w14:paraId="4C44B6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5636" w:type="dxa"/>
            <w:shd w:val="clear" w:color="auto" w:fill="FFFFFF"/>
          </w:tcPr>
          <w:p w14:paraId="030CC6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11050 м.</w:t>
            </w:r>
          </w:p>
        </w:tc>
      </w:tr>
      <w:tr w:rsidR="007D5DF8" w:rsidRPr="00DB5D0D" w14:paraId="29C1B766" w14:textId="77777777" w:rsidTr="009223E5">
        <w:tc>
          <w:tcPr>
            <w:tcW w:w="5636" w:type="dxa"/>
            <w:shd w:val="clear" w:color="auto" w:fill="FFFFFF"/>
          </w:tcPr>
          <w:p w14:paraId="48BE66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Посадочнан скорость с закрылками</w:t>
            </w:r>
          </w:p>
        </w:tc>
        <w:tc>
          <w:tcPr>
            <w:tcW w:w="5636" w:type="dxa"/>
            <w:shd w:val="clear" w:color="auto" w:fill="FFFFFF"/>
          </w:tcPr>
          <w:p w14:paraId="4B6CD8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- 135 км/час.</w:t>
            </w:r>
          </w:p>
        </w:tc>
      </w:tr>
      <w:tr w:rsidR="007D5DF8" w:rsidRPr="00DB5D0D" w14:paraId="4C39ABB2" w14:textId="77777777" w:rsidTr="009223E5">
        <w:tc>
          <w:tcPr>
            <w:tcW w:w="5636" w:type="dxa"/>
            <w:shd w:val="clear" w:color="auto" w:fill="FFFFFF"/>
          </w:tcPr>
          <w:p w14:paraId="07A587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5636" w:type="dxa"/>
            <w:shd w:val="clear" w:color="auto" w:fill="FFFFFF"/>
          </w:tcPr>
          <w:p w14:paraId="744312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240 м, 12 сек.</w:t>
            </w:r>
          </w:p>
        </w:tc>
      </w:tr>
      <w:tr w:rsidR="007D5DF8" w:rsidRPr="00DB5D0D" w14:paraId="0DECCA28" w14:textId="77777777" w:rsidTr="009223E5">
        <w:tc>
          <w:tcPr>
            <w:tcW w:w="5636" w:type="dxa"/>
            <w:tcBorders>
              <w:bottom w:val="single" w:sz="12" w:space="0" w:color="auto"/>
            </w:tcBorders>
            <w:shd w:val="clear" w:color="auto" w:fill="FFFFFF"/>
          </w:tcPr>
          <w:p w14:paraId="5B7C9B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5636" w:type="dxa"/>
            <w:tcBorders>
              <w:bottom w:val="single" w:sz="12" w:space="0" w:color="auto"/>
            </w:tcBorders>
            <w:shd w:val="clear" w:color="auto" w:fill="FFFFFF"/>
          </w:tcPr>
          <w:p w14:paraId="567628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200 м, 10 сек.</w:t>
            </w:r>
          </w:p>
        </w:tc>
      </w:tr>
    </w:tbl>
    <w:p w14:paraId="501425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Летные свойства:</w:t>
      </w:r>
    </w:p>
    <w:p w14:paraId="2FE2A4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Управляемость хорошая.</w:t>
      </w:r>
    </w:p>
    <w:p w14:paraId="24D875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Устрйчивость поперечная и пути удовлетворительная, продельная - нейтральная. Изготовлено горизонтальное оперение с увеличенной площадью. С таким оперением продольная устойчивость самолета еще улучшится.</w:t>
      </w:r>
    </w:p>
    <w:p w14:paraId="1F1CEE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Обзор вперед и вбок удовлетворительный, назад недостаточный.</w:t>
      </w:r>
    </w:p>
    <w:p w14:paraId="33E619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Маневренностъ хорошая.</w:t>
      </w:r>
    </w:p>
    <w:p w14:paraId="1D79CC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Взлет и посадка очень похожи на И-16.</w:t>
      </w:r>
    </w:p>
    <w:p w14:paraId="64A47F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Проверка штопора до 3-х витков на опытном и серийном самолетах показала, что из штопора с-т выходит без запаздывания.</w:t>
      </w:r>
    </w:p>
    <w:p w14:paraId="15C81E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Вооружение - 2 пулемета ШКАС и 2 БС, патрон для мелкокалиберн. 1500 шт., для БС - 400 шт. Вооружение в основном отлажено, исправляются звеньеотводы БС. Предполагают закончить отладку 2.6., отстрел 3.6. На экз. № 1 войсковой серии на заводе № 21 вооружение на земле работало без задержек.</w:t>
      </w:r>
    </w:p>
    <w:p w14:paraId="395899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эксплуатационным свойствам самолет очень близок к И-16, слабое место - шасси. Необходимо ускорить выпуск самолета с одностоечным шасси на заводе № 21.</w:t>
      </w:r>
    </w:p>
    <w:p w14:paraId="170132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5. Материал конструкции: крыло - лонжероны из хромансилевых труб и или открытых профилей, нервюры и обшивка - дюралевая. Обшивка нижней поверхности крыла - полотно</w:t>
      </w:r>
    </w:p>
    <w:p w14:paraId="23FC04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 деревянный мопокок.</w:t>
      </w:r>
    </w:p>
    <w:p w14:paraId="1634BB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Оперение- дюралевый каркас, обшивка полотняная.</w:t>
      </w:r>
    </w:p>
    <w:p w14:paraId="000212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 производственной точки зрения для серийного изготовления самолета заводом № 21 трудностей нет.</w:t>
      </w:r>
    </w:p>
    <w:p w14:paraId="6A7F16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 статиспытаниям агрегатов самолета получены результаты, показывающие - прочность свыше 100% при расчетном весе 2400 кг (фактический вес серийного с-та завода № 21 - 2403 кг). Таким образом прочность самолета соответствует нормам прочности.</w:t>
      </w:r>
    </w:p>
    <w:p w14:paraId="289C2A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Ви2р Ерышев (10514,35).</w:t>
      </w:r>
    </w:p>
    <w:p w14:paraId="0A1908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была подготовлена КРАТКАЯ ХАРАКТЕРИСТИКА САМОЛЕТА И-26 М-105П КОНСТРУКЦИИ ИНЖЕНЕРА ЯКОВЛЕВА ПРОИЗВОДСТВА ЗАВОДА № 115</w:t>
      </w:r>
    </w:p>
    <w:p w14:paraId="7D695B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Летные данные представленные в отчете по заводским испытаниям: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0A12DB19" w14:textId="77777777" w:rsidTr="009223E5">
        <w:tc>
          <w:tcPr>
            <w:tcW w:w="5636" w:type="dxa"/>
            <w:tcBorders>
              <w:top w:val="single" w:sz="12" w:space="0" w:color="auto"/>
            </w:tcBorders>
            <w:shd w:val="clear" w:color="auto" w:fill="FFFFFF"/>
          </w:tcPr>
          <w:p w14:paraId="4DDA59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w:t>
            </w:r>
          </w:p>
        </w:tc>
        <w:tc>
          <w:tcPr>
            <w:tcW w:w="5636" w:type="dxa"/>
            <w:tcBorders>
              <w:top w:val="single" w:sz="12" w:space="0" w:color="auto"/>
            </w:tcBorders>
            <w:shd w:val="clear" w:color="auto" w:fill="FFFFFF"/>
          </w:tcPr>
          <w:p w14:paraId="4C984E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485 км/час</w:t>
            </w:r>
          </w:p>
        </w:tc>
      </w:tr>
      <w:tr w:rsidR="007D5DF8" w:rsidRPr="00DB5D0D" w14:paraId="05ED9CA0" w14:textId="77777777" w:rsidTr="009223E5">
        <w:tc>
          <w:tcPr>
            <w:tcW w:w="5636" w:type="dxa"/>
            <w:shd w:val="clear" w:color="auto" w:fill="FFFFFF"/>
          </w:tcPr>
          <w:p w14:paraId="106C07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Н=5000м</w:t>
            </w:r>
          </w:p>
        </w:tc>
        <w:tc>
          <w:tcPr>
            <w:tcW w:w="5636" w:type="dxa"/>
            <w:shd w:val="clear" w:color="auto" w:fill="FFFFFF"/>
          </w:tcPr>
          <w:p w14:paraId="1B64D2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595</w:t>
            </w:r>
          </w:p>
        </w:tc>
      </w:tr>
      <w:tr w:rsidR="007D5DF8" w:rsidRPr="00DB5D0D" w14:paraId="4FD8CD18" w14:textId="77777777" w:rsidTr="009223E5">
        <w:tc>
          <w:tcPr>
            <w:tcW w:w="5636" w:type="dxa"/>
            <w:shd w:val="clear" w:color="auto" w:fill="FFFFFF"/>
          </w:tcPr>
          <w:p w14:paraId="079E6B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w:t>
            </w:r>
          </w:p>
        </w:tc>
        <w:tc>
          <w:tcPr>
            <w:tcW w:w="5636" w:type="dxa"/>
            <w:shd w:val="clear" w:color="auto" w:fill="FFFFFF"/>
          </w:tcPr>
          <w:p w14:paraId="6383BC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летал</w:t>
            </w:r>
          </w:p>
        </w:tc>
      </w:tr>
      <w:tr w:rsidR="007D5DF8" w:rsidRPr="00DB5D0D" w14:paraId="2B4D6B97" w14:textId="77777777" w:rsidTr="009223E5">
        <w:tc>
          <w:tcPr>
            <w:tcW w:w="5636" w:type="dxa"/>
            <w:shd w:val="clear" w:color="auto" w:fill="FFFFFF"/>
          </w:tcPr>
          <w:p w14:paraId="4B40EB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до Н=5000м.</w:t>
            </w:r>
          </w:p>
        </w:tc>
        <w:tc>
          <w:tcPr>
            <w:tcW w:w="5636" w:type="dxa"/>
            <w:shd w:val="clear" w:color="auto" w:fill="FFFFFF"/>
          </w:tcPr>
          <w:p w14:paraId="148E1F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 мин.</w:t>
            </w:r>
          </w:p>
        </w:tc>
      </w:tr>
      <w:tr w:rsidR="007D5DF8" w:rsidRPr="00DB5D0D" w14:paraId="7E0C00C3" w14:textId="77777777" w:rsidTr="009223E5">
        <w:tc>
          <w:tcPr>
            <w:tcW w:w="5636" w:type="dxa"/>
            <w:shd w:val="clear" w:color="auto" w:fill="FFFFFF"/>
          </w:tcPr>
          <w:p w14:paraId="54254C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w:t>
            </w:r>
          </w:p>
        </w:tc>
        <w:tc>
          <w:tcPr>
            <w:tcW w:w="5636" w:type="dxa"/>
            <w:shd w:val="clear" w:color="auto" w:fill="FFFFFF"/>
          </w:tcPr>
          <w:p w14:paraId="35F7C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определял</w:t>
            </w:r>
          </w:p>
        </w:tc>
      </w:tr>
      <w:tr w:rsidR="007D5DF8" w:rsidRPr="00DB5D0D" w14:paraId="5CE5DA09" w14:textId="77777777" w:rsidTr="009223E5">
        <w:tc>
          <w:tcPr>
            <w:tcW w:w="5636" w:type="dxa"/>
            <w:shd w:val="clear" w:color="auto" w:fill="FFFFFF"/>
          </w:tcPr>
          <w:p w14:paraId="2D8638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w:t>
            </w:r>
          </w:p>
        </w:tc>
        <w:tc>
          <w:tcPr>
            <w:tcW w:w="5636" w:type="dxa"/>
            <w:shd w:val="clear" w:color="auto" w:fill="FFFFFF"/>
          </w:tcPr>
          <w:p w14:paraId="1135ED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 м</w:t>
            </w:r>
          </w:p>
        </w:tc>
      </w:tr>
      <w:tr w:rsidR="007D5DF8" w:rsidRPr="00DB5D0D" w14:paraId="79381E44" w14:textId="77777777" w:rsidTr="009223E5">
        <w:tc>
          <w:tcPr>
            <w:tcW w:w="5636" w:type="dxa"/>
            <w:shd w:val="clear" w:color="auto" w:fill="FFFFFF"/>
          </w:tcPr>
          <w:p w14:paraId="78EA79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пробега</w:t>
            </w:r>
          </w:p>
        </w:tc>
        <w:tc>
          <w:tcPr>
            <w:tcW w:w="5636" w:type="dxa"/>
            <w:shd w:val="clear" w:color="auto" w:fill="FFFFFF"/>
          </w:tcPr>
          <w:p w14:paraId="564391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 м</w:t>
            </w:r>
          </w:p>
        </w:tc>
      </w:tr>
      <w:tr w:rsidR="007D5DF8" w:rsidRPr="00DB5D0D" w14:paraId="38E996B3" w14:textId="77777777" w:rsidTr="009223E5">
        <w:tc>
          <w:tcPr>
            <w:tcW w:w="5636" w:type="dxa"/>
            <w:shd w:val="clear" w:color="auto" w:fill="FFFFFF"/>
          </w:tcPr>
          <w:p w14:paraId="78EE0C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5636" w:type="dxa"/>
            <w:shd w:val="clear" w:color="auto" w:fill="FFFFFF"/>
          </w:tcPr>
          <w:p w14:paraId="5F50C6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сек.</w:t>
            </w:r>
          </w:p>
        </w:tc>
      </w:tr>
      <w:tr w:rsidR="007D5DF8" w:rsidRPr="00DB5D0D" w14:paraId="32EBA35E" w14:textId="77777777" w:rsidTr="009223E5">
        <w:tc>
          <w:tcPr>
            <w:tcW w:w="5636" w:type="dxa"/>
            <w:shd w:val="clear" w:color="auto" w:fill="FFFFFF"/>
          </w:tcPr>
          <w:p w14:paraId="744734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горючего на 0,9 максим.</w:t>
            </w:r>
          </w:p>
        </w:tc>
        <w:tc>
          <w:tcPr>
            <w:tcW w:w="5636" w:type="dxa"/>
            <w:shd w:val="clear" w:color="auto" w:fill="FFFFFF"/>
          </w:tcPr>
          <w:p w14:paraId="6AB167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час.</w:t>
            </w:r>
          </w:p>
        </w:tc>
      </w:tr>
      <w:tr w:rsidR="007D5DF8" w:rsidRPr="00DB5D0D" w14:paraId="35A52DDA" w14:textId="77777777" w:rsidTr="009223E5">
        <w:tc>
          <w:tcPr>
            <w:tcW w:w="5636" w:type="dxa"/>
            <w:tcBorders>
              <w:bottom w:val="single" w:sz="12" w:space="0" w:color="auto"/>
            </w:tcBorders>
            <w:shd w:val="clear" w:color="auto" w:fill="FFFFFF"/>
          </w:tcPr>
          <w:p w14:paraId="14E72B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w:t>
            </w:r>
          </w:p>
        </w:tc>
        <w:tc>
          <w:tcPr>
            <w:tcW w:w="5636" w:type="dxa"/>
            <w:tcBorders>
              <w:bottom w:val="single" w:sz="12" w:space="0" w:color="auto"/>
            </w:tcBorders>
            <w:shd w:val="clear" w:color="auto" w:fill="FFFFFF"/>
          </w:tcPr>
          <w:p w14:paraId="037EE1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24-25,1 сек.</w:t>
            </w:r>
          </w:p>
        </w:tc>
      </w:tr>
    </w:tbl>
    <w:p w14:paraId="1CDCC2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Заводом величины максимальных скоростей определены недостаточно полно, в результате чего величины скоростей в действятельности могут быть меньше.</w:t>
      </w:r>
    </w:p>
    <w:p w14:paraId="5C2E3F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Оценка летных свойств.</w:t>
      </w:r>
    </w:p>
    <w:p w14:paraId="7550CA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Уравляемость самолета хорошая. Продольная устойчивость</w:t>
      </w:r>
      <w:r w:rsidRPr="00DB5D0D">
        <w:rPr>
          <w:rFonts w:ascii="Times New Roman" w:hAnsi="Times New Roman"/>
          <w:smallCaps/>
          <w:color w:val="000000" w:themeColor="text1"/>
          <w:sz w:val="16"/>
          <w:szCs w:val="16"/>
        </w:rPr>
        <w:t xml:space="preserve"> -</w:t>
      </w:r>
      <w:r w:rsidRPr="00DB5D0D">
        <w:rPr>
          <w:rFonts w:ascii="Times New Roman" w:hAnsi="Times New Roman"/>
          <w:color w:val="000000" w:themeColor="text1"/>
          <w:sz w:val="16"/>
          <w:szCs w:val="16"/>
        </w:rPr>
        <w:t xml:space="preserve"> достаточна, устойчивость пути - нейтральна, поперечная устойчивость "близка к нейтральной". Обзор самолета вперед недостаточен, назад - удовлетворителен. Пилотаж вследствие, недостаточной прочности крыла (67%) произведен не полностью, не выполняли бочки, иммельман.</w:t>
      </w:r>
    </w:p>
    <w:p w14:paraId="377630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Характеристика я состояние вооружения</w:t>
      </w:r>
    </w:p>
    <w:p w14:paraId="4C2AA7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вооружен одной пушкой "Швак" 20 мм с запасом патронов 120 шт. и двумя пулеметами Швак калибром 12,7 мм с запасом патронов по 420 шт. на пулемет. Вооружение недоведено, установка не жесткая, при стрельбе имеется большая вибрация, в результате чего простреливают охлаждающие трубы. Запас патронов очень мал.</w:t>
      </w:r>
    </w:p>
    <w:p w14:paraId="1B6D42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Оценка эксплоатационных свойств.</w:t>
      </w:r>
    </w:p>
    <w:p w14:paraId="49AE22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имеет много эксплоатационных недостатков: крыло неразрезное, при монтаже и сборке самолета требуется наличие средств механизации - подъемного крана и специаль</w:t>
      </w:r>
      <w:r w:rsidRPr="00DB5D0D">
        <w:rPr>
          <w:rFonts w:ascii="Times New Roman" w:hAnsi="Times New Roman"/>
          <w:color w:val="000000" w:themeColor="text1"/>
          <w:sz w:val="16"/>
          <w:szCs w:val="16"/>
        </w:rPr>
        <w:softHyphen/>
        <w:t>ных козелков для крыльев и фюзеляжа. При транспортировке требуют специального ложного шасси.</w:t>
      </w:r>
    </w:p>
    <w:p w14:paraId="388145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разрезное крыло и моторная рама представляющая одно целое с фюзеляжем сильно осложняют ремонт самолета. Не отъемная моторама усложняет и удлиняет срок по съемке и установке мотора. Длительная заправка горючего (10-12 м). Не обеспечен полный слив из маслосистемы. Плохие подходы к задку мотора и маслобака. Моторные ка поты крепятся свыше ста замками " Дзус", что удлинняет сроки заправки в подготовки самолета к полету. •</w:t>
      </w:r>
    </w:p>
    <w:p w14:paraId="524FBC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Материал конструкция</w:t>
      </w:r>
    </w:p>
    <w:p w14:paraId="57EC78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самолета деревянное не разрезное, фюзеляж металлический сварной из хромансилевых труб вместе _с моторамой. Обшивка фюзеляжа полотнянная. Горизонтальное и вертикальное оперение деревянные. Рули и элероны дюралевые, обшитые полотном.</w:t>
      </w:r>
    </w:p>
    <w:p w14:paraId="25E28B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Оценка технологии производства.</w:t>
      </w:r>
    </w:p>
    <w:p w14:paraId="7F12E2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имеются некоторые детали которые требуют большого расхода металла и осложняется обработка их (так, например, полувилка колеса шасси и верхний узел крепления шасси невозможно обработать на станках - обра</w:t>
      </w:r>
      <w:r w:rsidRPr="00DB5D0D">
        <w:rPr>
          <w:rFonts w:ascii="Times New Roman" w:hAnsi="Times New Roman"/>
          <w:color w:val="000000" w:themeColor="text1"/>
          <w:sz w:val="16"/>
          <w:szCs w:val="16"/>
        </w:rPr>
        <w:softHyphen/>
        <w:t>батываются в ручную, что удорожает изготовление последих.</w:t>
      </w:r>
    </w:p>
    <w:p w14:paraId="128DC1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Заключеняе по статиспытаниям агрегатов самолета</w:t>
      </w:r>
    </w:p>
    <w:p w14:paraId="633C01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статиспытаниях самолета слабым местом оказался носок крыла, который выдержал 40% нагрузки, а после усиления - 67%.</w:t>
      </w:r>
    </w:p>
    <w:p w14:paraId="101D12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прочность самолета в связи с увеличением веса с 2300 кг до 2700 кг недостаточна, что составляет 11 кратный запас вместо 13, положенного по нормам прочности для истребителя.</w:t>
      </w:r>
    </w:p>
    <w:p w14:paraId="4655BF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Ви2р Максимов (10514,36).</w:t>
      </w:r>
    </w:p>
    <w:p w14:paraId="6291B3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была подготовлена КРАТКАЯ ХАРАКТЕРИСТИКА САМОЛЕТА И-200 АМ-35А, КОНСТРУКЦИИ МИКОЯНА ПРОИЗВОДСТВА ЗАВОДА № 1.</w:t>
      </w:r>
    </w:p>
    <w:p w14:paraId="0A9182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Фактически полученные летные данные по заводским испытаниям: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7D5DF8" w:rsidRPr="00DB5D0D" w14:paraId="35AB80BD" w14:textId="77777777" w:rsidTr="009223E5">
        <w:tc>
          <w:tcPr>
            <w:tcW w:w="3757" w:type="dxa"/>
            <w:tcBorders>
              <w:top w:val="single" w:sz="12" w:space="0" w:color="auto"/>
            </w:tcBorders>
            <w:shd w:val="clear" w:color="auto" w:fill="FFFFFF"/>
          </w:tcPr>
          <w:p w14:paraId="0B3CEB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пробега с тормозами а щитками</w:t>
            </w:r>
          </w:p>
        </w:tc>
        <w:tc>
          <w:tcPr>
            <w:tcW w:w="3757" w:type="dxa"/>
            <w:tcBorders>
              <w:top w:val="single" w:sz="12" w:space="0" w:color="auto"/>
            </w:tcBorders>
            <w:shd w:val="clear" w:color="auto" w:fill="FFFFFF"/>
          </w:tcPr>
          <w:p w14:paraId="3B3086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 м, время</w:t>
            </w:r>
          </w:p>
        </w:tc>
        <w:tc>
          <w:tcPr>
            <w:tcW w:w="3757" w:type="dxa"/>
            <w:tcBorders>
              <w:top w:val="single" w:sz="12" w:space="0" w:color="auto"/>
            </w:tcBorders>
            <w:shd w:val="clear" w:color="auto" w:fill="FFFFFF"/>
          </w:tcPr>
          <w:p w14:paraId="4FB6DF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сек.</w:t>
            </w:r>
          </w:p>
        </w:tc>
      </w:tr>
      <w:tr w:rsidR="007D5DF8" w:rsidRPr="00DB5D0D" w14:paraId="2EE15D4A" w14:textId="77777777" w:rsidTr="009223E5">
        <w:tc>
          <w:tcPr>
            <w:tcW w:w="3757" w:type="dxa"/>
            <w:shd w:val="clear" w:color="auto" w:fill="FFFFFF"/>
          </w:tcPr>
          <w:p w14:paraId="0F769B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w:t>
            </w:r>
          </w:p>
        </w:tc>
        <w:tc>
          <w:tcPr>
            <w:tcW w:w="3757" w:type="dxa"/>
            <w:shd w:val="clear" w:color="auto" w:fill="FFFFFF"/>
          </w:tcPr>
          <w:p w14:paraId="544938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 м, время</w:t>
            </w:r>
          </w:p>
        </w:tc>
        <w:tc>
          <w:tcPr>
            <w:tcW w:w="3757" w:type="dxa"/>
            <w:shd w:val="clear" w:color="auto" w:fill="FFFFFF"/>
          </w:tcPr>
          <w:p w14:paraId="181313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 сек.</w:t>
            </w:r>
          </w:p>
        </w:tc>
      </w:tr>
      <w:tr w:rsidR="007D5DF8" w:rsidRPr="00DB5D0D" w14:paraId="315F8BE7" w14:textId="77777777" w:rsidTr="009223E5">
        <w:tc>
          <w:tcPr>
            <w:tcW w:w="3757" w:type="dxa"/>
            <w:shd w:val="clear" w:color="auto" w:fill="FFFFFF"/>
          </w:tcPr>
          <w:p w14:paraId="16C4B6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 скорость Н=6800 м</w:t>
            </w:r>
          </w:p>
        </w:tc>
        <w:tc>
          <w:tcPr>
            <w:tcW w:w="3757" w:type="dxa"/>
            <w:shd w:val="clear" w:color="auto" w:fill="FFFFFF"/>
          </w:tcPr>
          <w:p w14:paraId="139FE5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- 650 км/час.</w:t>
            </w:r>
          </w:p>
        </w:tc>
        <w:tc>
          <w:tcPr>
            <w:tcW w:w="3757" w:type="dxa"/>
            <w:shd w:val="clear" w:color="auto" w:fill="FFFFFF"/>
          </w:tcPr>
          <w:p w14:paraId="7827FE9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8AD1EEF" w14:textId="77777777" w:rsidTr="009223E5">
        <w:tc>
          <w:tcPr>
            <w:tcW w:w="3757" w:type="dxa"/>
            <w:shd w:val="clear" w:color="auto" w:fill="FFFFFF"/>
          </w:tcPr>
          <w:p w14:paraId="3986DF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Н=0</w:t>
            </w:r>
          </w:p>
        </w:tc>
        <w:tc>
          <w:tcPr>
            <w:tcW w:w="3757" w:type="dxa"/>
            <w:shd w:val="clear" w:color="auto" w:fill="FFFFFF"/>
          </w:tcPr>
          <w:p w14:paraId="063FE9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 км/час.</w:t>
            </w:r>
          </w:p>
        </w:tc>
        <w:tc>
          <w:tcPr>
            <w:tcW w:w="3757" w:type="dxa"/>
            <w:shd w:val="clear" w:color="auto" w:fill="FFFFFF"/>
          </w:tcPr>
          <w:p w14:paraId="5D001ED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C4C3D01" w14:textId="77777777" w:rsidTr="009223E5">
        <w:tc>
          <w:tcPr>
            <w:tcW w:w="3757" w:type="dxa"/>
            <w:tcBorders>
              <w:bottom w:val="single" w:sz="12" w:space="0" w:color="auto"/>
            </w:tcBorders>
            <w:shd w:val="clear" w:color="auto" w:fill="FFFFFF"/>
          </w:tcPr>
          <w:p w14:paraId="5488B3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посадочнад</w:t>
            </w:r>
          </w:p>
        </w:tc>
        <w:tc>
          <w:tcPr>
            <w:tcW w:w="3757" w:type="dxa"/>
            <w:tcBorders>
              <w:bottom w:val="single" w:sz="12" w:space="0" w:color="auto"/>
            </w:tcBorders>
            <w:shd w:val="clear" w:color="auto" w:fill="FFFFFF"/>
          </w:tcPr>
          <w:p w14:paraId="1B585F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- 140-145 км/час.</w:t>
            </w:r>
          </w:p>
        </w:tc>
        <w:tc>
          <w:tcPr>
            <w:tcW w:w="3757" w:type="dxa"/>
            <w:tcBorders>
              <w:bottom w:val="single" w:sz="12" w:space="0" w:color="auto"/>
            </w:tcBorders>
            <w:shd w:val="clear" w:color="auto" w:fill="FFFFFF"/>
          </w:tcPr>
          <w:p w14:paraId="2851919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73CD2A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Оценка летных свойств:</w:t>
      </w:r>
    </w:p>
    <w:p w14:paraId="20EBFE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Управляемость хорошая.</w:t>
      </w:r>
    </w:p>
    <w:p w14:paraId="18A190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оценкам летчика, устойчивость во всех трех измерениях удовлетворительная.</w:t>
      </w:r>
    </w:p>
    <w:p w14:paraId="0937AD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Обзор плохой из-за больших искажений, вносимых овальной поверхностью козырька</w:t>
      </w:r>
    </w:p>
    <w:p w14:paraId="380485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Из-за ненормальной работы карбюратора, полеты на маневренность не производились.</w:t>
      </w:r>
    </w:p>
    <w:p w14:paraId="207B24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самолете установлено 2 пулемета Шкас и 1 пулемет Березина. Произведен отстрел пулеметов в тире. В воздухе отстрел пулеметов не производился. Пулеметы расположены в развале мотора, стреляют через винт.</w:t>
      </w:r>
    </w:p>
    <w:p w14:paraId="2F3B00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Зксплоатация самолета еще не выявлена. Винто-моторная группа еще недоведена.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2D49A66C" w14:textId="77777777" w:rsidTr="009223E5">
        <w:tc>
          <w:tcPr>
            <w:tcW w:w="5636" w:type="dxa"/>
            <w:tcBorders>
              <w:top w:val="single" w:sz="12" w:space="0" w:color="auto"/>
            </w:tcBorders>
            <w:shd w:val="clear" w:color="auto" w:fill="FFFFFF"/>
          </w:tcPr>
          <w:p w14:paraId="0581A2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масла</w:t>
            </w:r>
          </w:p>
        </w:tc>
        <w:tc>
          <w:tcPr>
            <w:tcW w:w="5636" w:type="dxa"/>
            <w:tcBorders>
              <w:top w:val="single" w:sz="12" w:space="0" w:color="auto"/>
            </w:tcBorders>
            <w:shd w:val="clear" w:color="auto" w:fill="FFFFFF"/>
          </w:tcPr>
          <w:p w14:paraId="595502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90-95/112°</w:t>
            </w:r>
          </w:p>
        </w:tc>
      </w:tr>
      <w:tr w:rsidR="007D5DF8" w:rsidRPr="00DB5D0D" w14:paraId="5C38B0CF" w14:textId="77777777" w:rsidTr="009223E5">
        <w:tc>
          <w:tcPr>
            <w:tcW w:w="5636" w:type="dxa"/>
            <w:tcBorders>
              <w:bottom w:val="single" w:sz="12" w:space="0" w:color="auto"/>
            </w:tcBorders>
            <w:shd w:val="clear" w:color="auto" w:fill="FFFFFF"/>
          </w:tcPr>
          <w:p w14:paraId="7D824C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воды</w:t>
            </w:r>
          </w:p>
        </w:tc>
        <w:tc>
          <w:tcPr>
            <w:tcW w:w="5636" w:type="dxa"/>
            <w:tcBorders>
              <w:bottom w:val="single" w:sz="12" w:space="0" w:color="auto"/>
            </w:tcBorders>
            <w:shd w:val="clear" w:color="auto" w:fill="FFFFFF"/>
          </w:tcPr>
          <w:p w14:paraId="0ACC57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100/125°</w:t>
            </w:r>
          </w:p>
        </w:tc>
      </w:tr>
    </w:tbl>
    <w:p w14:paraId="05E3EB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Одиннадцать раз меняли водяной радиатор, все время лопаются обичайки. Производится усиление-радиатора. Подход к мотору удовлетворительный. При установке прототипа мотора АМ-37 затруднен подход редукционному клапану масляной помпы.</w:t>
      </w:r>
    </w:p>
    <w:p w14:paraId="13C073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Конструкция самолета смешанная. Носовая часть фюзеляжа и центроплан металлический, а консоли и хво</w:t>
      </w:r>
      <w:r w:rsidRPr="00DB5D0D">
        <w:rPr>
          <w:rFonts w:ascii="Times New Roman" w:hAnsi="Times New Roman"/>
          <w:color w:val="000000" w:themeColor="text1"/>
          <w:sz w:val="16"/>
          <w:szCs w:val="16"/>
        </w:rPr>
        <w:softHyphen/>
        <w:t>ро вая часть фюзеляжа деревянные (дельта древесина).</w:t>
      </w:r>
    </w:p>
    <w:p w14:paraId="59279A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 точки зрения производства самолет трудностей не представляет. Самолет может строится как с деревянными, так и с металлическими крыльями.</w:t>
      </w:r>
    </w:p>
    <w:p w14:paraId="5F6792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Статиспытания все агрегаты поошли удовлетворительно, расчет проиводился на полетный вес 3000 кг., а фактически лолетныл вес 2983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2AE1DA25" w14:textId="77777777" w:rsidTr="009223E5">
        <w:tc>
          <w:tcPr>
            <w:tcW w:w="5636" w:type="dxa"/>
            <w:tcBorders>
              <w:top w:val="single" w:sz="12" w:space="0" w:color="auto"/>
            </w:tcBorders>
            <w:shd w:val="clear" w:color="auto" w:fill="FFFFFF"/>
          </w:tcPr>
          <w:p w14:paraId="2378D7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Металляческий лонжерон выдержал</w:t>
            </w:r>
          </w:p>
        </w:tc>
        <w:tc>
          <w:tcPr>
            <w:tcW w:w="5636" w:type="dxa"/>
            <w:tcBorders>
              <w:top w:val="single" w:sz="12" w:space="0" w:color="auto"/>
            </w:tcBorders>
            <w:shd w:val="clear" w:color="auto" w:fill="FFFFFF"/>
          </w:tcPr>
          <w:p w14:paraId="6DE5FB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- 150%.</w:t>
            </w:r>
          </w:p>
        </w:tc>
      </w:tr>
      <w:tr w:rsidR="007D5DF8" w:rsidRPr="00DB5D0D" w14:paraId="3F2EE2D7" w14:textId="77777777" w:rsidTr="009223E5">
        <w:tc>
          <w:tcPr>
            <w:tcW w:w="5636" w:type="dxa"/>
            <w:shd w:val="clear" w:color="auto" w:fill="FFFFFF"/>
          </w:tcPr>
          <w:p w14:paraId="357A8D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Деревянный лонжерон</w:t>
            </w:r>
          </w:p>
        </w:tc>
        <w:tc>
          <w:tcPr>
            <w:tcW w:w="5636" w:type="dxa"/>
            <w:shd w:val="clear" w:color="auto" w:fill="FFFFFF"/>
          </w:tcPr>
          <w:p w14:paraId="398F07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- 104%</w:t>
            </w:r>
          </w:p>
        </w:tc>
      </w:tr>
      <w:tr w:rsidR="007D5DF8" w:rsidRPr="00DB5D0D" w14:paraId="2D286303" w14:textId="77777777" w:rsidTr="009223E5">
        <w:tc>
          <w:tcPr>
            <w:tcW w:w="5636" w:type="dxa"/>
            <w:shd w:val="clear" w:color="auto" w:fill="FFFFFF"/>
          </w:tcPr>
          <w:p w14:paraId="04C115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w:t>
            </w:r>
          </w:p>
        </w:tc>
        <w:tc>
          <w:tcPr>
            <w:tcW w:w="5636" w:type="dxa"/>
            <w:shd w:val="clear" w:color="auto" w:fill="FFFFFF"/>
          </w:tcPr>
          <w:p w14:paraId="7E58BB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- 100%.</w:t>
            </w:r>
          </w:p>
        </w:tc>
      </w:tr>
      <w:tr w:rsidR="007D5DF8" w:rsidRPr="00DB5D0D" w14:paraId="1C76FF2D" w14:textId="77777777" w:rsidTr="009223E5">
        <w:tc>
          <w:tcPr>
            <w:tcW w:w="5636" w:type="dxa"/>
            <w:tcBorders>
              <w:bottom w:val="single" w:sz="12" w:space="0" w:color="auto"/>
            </w:tcBorders>
            <w:shd w:val="clear" w:color="auto" w:fill="FFFFFF"/>
          </w:tcPr>
          <w:p w14:paraId="016B3A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Консоль</w:t>
            </w:r>
          </w:p>
        </w:tc>
        <w:tc>
          <w:tcPr>
            <w:tcW w:w="5636" w:type="dxa"/>
            <w:tcBorders>
              <w:bottom w:val="single" w:sz="12" w:space="0" w:color="auto"/>
            </w:tcBorders>
            <w:shd w:val="clear" w:color="auto" w:fill="FFFFFF"/>
          </w:tcPr>
          <w:p w14:paraId="099E64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109%.</w:t>
            </w:r>
          </w:p>
        </w:tc>
      </w:tr>
    </w:tbl>
    <w:p w14:paraId="1C282F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Ви1р Никитченко (10514,40).</w:t>
      </w:r>
    </w:p>
    <w:p w14:paraId="4CC5B5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июня 1940 была подготовлена КРАТКАЯ ХАРАКТЕРИСТИКА САМОЛЕТА "К" М-105П КОНСТРУКШЖ Т.Т.ГОРБУНОВА, </w:t>
      </w:r>
      <w:r w:rsidRPr="00DB5D0D">
        <w:rPr>
          <w:rFonts w:ascii="Times New Roman" w:hAnsi="Times New Roman"/>
          <w:smallCaps/>
          <w:color w:val="000000" w:themeColor="text1"/>
          <w:sz w:val="16"/>
          <w:szCs w:val="16"/>
        </w:rPr>
        <w:t>лавочкина игудкова, производства завода № 301</w:t>
      </w:r>
    </w:p>
    <w:p w14:paraId="57CE9E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РЕЗУЛЬТАТАМ ЗАВОДСКИХ ИСПЫАНИЙ</w:t>
      </w:r>
    </w:p>
    <w:p w14:paraId="2CB30D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Летные данные</w:t>
      </w:r>
    </w:p>
    <w:p w14:paraId="6C0DBB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данныв, получе иные без фонаря над головой летчика и со старой схемой всасывания воздуха в карбюратор: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428EB065" w14:textId="77777777" w:rsidTr="009223E5">
        <w:tc>
          <w:tcPr>
            <w:tcW w:w="5636" w:type="dxa"/>
            <w:tcBorders>
              <w:top w:val="single" w:sz="12" w:space="0" w:color="auto"/>
            </w:tcBorders>
            <w:shd w:val="clear" w:color="auto" w:fill="FFFFFF"/>
          </w:tcPr>
          <w:p w14:paraId="65D6B8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 у земли</w:t>
            </w:r>
          </w:p>
        </w:tc>
        <w:tc>
          <w:tcPr>
            <w:tcW w:w="5636" w:type="dxa"/>
            <w:tcBorders>
              <w:top w:val="single" w:sz="12" w:space="0" w:color="auto"/>
            </w:tcBorders>
            <w:shd w:val="clear" w:color="auto" w:fill="FFFFFF"/>
          </w:tcPr>
          <w:p w14:paraId="798370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503 км/час</w:t>
            </w:r>
          </w:p>
        </w:tc>
      </w:tr>
      <w:tr w:rsidR="007D5DF8" w:rsidRPr="00DB5D0D" w14:paraId="2D9C5351" w14:textId="77777777" w:rsidTr="009223E5">
        <w:tc>
          <w:tcPr>
            <w:tcW w:w="5636" w:type="dxa"/>
            <w:shd w:val="clear" w:color="auto" w:fill="FFFFFF"/>
          </w:tcPr>
          <w:p w14:paraId="7711FD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 на 4430 м</w:t>
            </w:r>
          </w:p>
        </w:tc>
        <w:tc>
          <w:tcPr>
            <w:tcW w:w="5636" w:type="dxa"/>
            <w:shd w:val="clear" w:color="auto" w:fill="FFFFFF"/>
          </w:tcPr>
          <w:p w14:paraId="082FD2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583 км/час</w:t>
            </w:r>
          </w:p>
        </w:tc>
      </w:tr>
      <w:tr w:rsidR="007D5DF8" w:rsidRPr="00DB5D0D" w14:paraId="6F2AFA5B" w14:textId="77777777" w:rsidTr="009223E5">
        <w:tc>
          <w:tcPr>
            <w:tcW w:w="5636" w:type="dxa"/>
            <w:tcBorders>
              <w:bottom w:val="single" w:sz="12" w:space="0" w:color="auto"/>
            </w:tcBorders>
            <w:shd w:val="clear" w:color="auto" w:fill="FFFFFF"/>
          </w:tcPr>
          <w:p w14:paraId="613507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высоту 5000 м</w:t>
            </w:r>
          </w:p>
        </w:tc>
        <w:tc>
          <w:tcPr>
            <w:tcW w:w="5636" w:type="dxa"/>
            <w:tcBorders>
              <w:bottom w:val="single" w:sz="12" w:space="0" w:color="auto"/>
            </w:tcBorders>
            <w:shd w:val="clear" w:color="auto" w:fill="FFFFFF"/>
          </w:tcPr>
          <w:p w14:paraId="4A6A68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5,53 сек.</w:t>
            </w:r>
          </w:p>
        </w:tc>
      </w:tr>
    </w:tbl>
    <w:p w14:paraId="5ED372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 самолете проработана установка ТК-З. Второй экз. самолета будет испытываться с ТК-3. Винтомоторная группа самолета с ТК-3 в настоящее время испытывается на стенде. Установка ТК-3 повысят боевую высоту с-та до 9000 м и увеличит максимальную скорость на 50-70 км/час.</w:t>
      </w:r>
    </w:p>
    <w:p w14:paraId="70EA61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Оценка летных свойств.</w:t>
      </w:r>
    </w:p>
    <w:p w14:paraId="6AA0B8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Управляемость хорошая;</w:t>
      </w:r>
    </w:p>
    <w:p w14:paraId="32E041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Устойчивость - самолет обладает хорошей устойчивостью относительно осей. На самолете возможен полет с брошенным управлением. По технике пилотирования самолет доступен для летчиков средней квалификации.</w:t>
      </w:r>
    </w:p>
    <w:p w14:paraId="603C23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0 б з о р - хороший</w:t>
      </w:r>
    </w:p>
    <w:p w14:paraId="7E2C06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Маневренность:</w:t>
      </w:r>
    </w:p>
    <w:p w14:paraId="79F5CA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Маневренность у самолета хорошая.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7D5DF8" w:rsidRPr="00DB5D0D" w14:paraId="404B6C55" w14:textId="77777777" w:rsidTr="009223E5">
        <w:tc>
          <w:tcPr>
            <w:tcW w:w="3757" w:type="dxa"/>
            <w:tcBorders>
              <w:top w:val="single" w:sz="12" w:space="0" w:color="auto"/>
            </w:tcBorders>
            <w:shd w:val="clear" w:color="auto" w:fill="FFFFFF"/>
          </w:tcPr>
          <w:p w14:paraId="65594A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Время виража на высоте 4500 м </w:t>
            </w:r>
          </w:p>
        </w:tc>
        <w:tc>
          <w:tcPr>
            <w:tcW w:w="3757" w:type="dxa"/>
            <w:tcBorders>
              <w:top w:val="single" w:sz="12" w:space="0" w:color="auto"/>
            </w:tcBorders>
            <w:shd w:val="clear" w:color="auto" w:fill="FFFFFF"/>
          </w:tcPr>
          <w:p w14:paraId="2D8284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- 38-30 сек.</w:t>
            </w:r>
          </w:p>
        </w:tc>
        <w:tc>
          <w:tcPr>
            <w:tcW w:w="3757" w:type="dxa"/>
            <w:tcBorders>
              <w:top w:val="single" w:sz="12" w:space="0" w:color="auto"/>
            </w:tcBorders>
            <w:shd w:val="clear" w:color="auto" w:fill="FFFFFF"/>
          </w:tcPr>
          <w:p w14:paraId="032F152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C46388E" w14:textId="77777777" w:rsidTr="009223E5">
        <w:tc>
          <w:tcPr>
            <w:tcW w:w="3757" w:type="dxa"/>
            <w:shd w:val="clear" w:color="auto" w:fill="FFFFFF"/>
          </w:tcPr>
          <w:p w14:paraId="2887D9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петли -"- -“-</w:t>
            </w:r>
          </w:p>
        </w:tc>
        <w:tc>
          <w:tcPr>
            <w:tcW w:w="3757" w:type="dxa"/>
            <w:shd w:val="clear" w:color="auto" w:fill="FFFFFF"/>
          </w:tcPr>
          <w:p w14:paraId="7EB719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3757" w:type="dxa"/>
            <w:shd w:val="clear" w:color="auto" w:fill="FFFFFF"/>
          </w:tcPr>
          <w:p w14:paraId="5159C77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0505723" w14:textId="77777777" w:rsidTr="009223E5">
        <w:tc>
          <w:tcPr>
            <w:tcW w:w="3757" w:type="dxa"/>
            <w:shd w:val="clear" w:color="auto" w:fill="FFFFFF"/>
          </w:tcPr>
          <w:p w14:paraId="2CF4AA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Одинарного переворота</w:t>
            </w:r>
          </w:p>
        </w:tc>
        <w:tc>
          <w:tcPr>
            <w:tcW w:w="3757" w:type="dxa"/>
            <w:shd w:val="clear" w:color="auto" w:fill="FFFFFF"/>
          </w:tcPr>
          <w:p w14:paraId="413827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3757" w:type="dxa"/>
            <w:shd w:val="clear" w:color="auto" w:fill="FFFFFF"/>
          </w:tcPr>
          <w:p w14:paraId="225C771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DF2DD23" w14:textId="77777777" w:rsidTr="009223E5">
        <w:tc>
          <w:tcPr>
            <w:tcW w:w="3757" w:type="dxa"/>
            <w:shd w:val="clear" w:color="auto" w:fill="FFFFFF"/>
          </w:tcPr>
          <w:p w14:paraId="352BA7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vertAlign w:val="superscript"/>
              </w:rPr>
              <w:t>п</w:t>
            </w:r>
            <w:r w:rsidRPr="00DB5D0D">
              <w:rPr>
                <w:rFonts w:ascii="Times New Roman" w:hAnsi="Times New Roman"/>
                <w:color w:val="000000" w:themeColor="text1"/>
                <w:sz w:val="16"/>
                <w:szCs w:val="16"/>
              </w:rPr>
              <w:t>- боевого разворота</w:t>
            </w:r>
          </w:p>
        </w:tc>
        <w:tc>
          <w:tcPr>
            <w:tcW w:w="3757" w:type="dxa"/>
            <w:shd w:val="clear" w:color="auto" w:fill="FFFFFF"/>
          </w:tcPr>
          <w:p w14:paraId="66CB14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с набором высоты 1000-1500 м</w:t>
            </w:r>
          </w:p>
        </w:tc>
        <w:tc>
          <w:tcPr>
            <w:tcW w:w="3757" w:type="dxa"/>
            <w:shd w:val="clear" w:color="auto" w:fill="FFFFFF"/>
          </w:tcPr>
          <w:p w14:paraId="17EA98C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9325349" w14:textId="77777777" w:rsidTr="009223E5">
        <w:tc>
          <w:tcPr>
            <w:tcW w:w="3757" w:type="dxa"/>
            <w:shd w:val="clear" w:color="auto" w:fill="FFFFFF"/>
          </w:tcPr>
          <w:p w14:paraId="091A43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Взлетно-посадочные данные:</w:t>
            </w:r>
          </w:p>
        </w:tc>
        <w:tc>
          <w:tcPr>
            <w:tcW w:w="3757" w:type="dxa"/>
            <w:shd w:val="clear" w:color="auto" w:fill="FFFFFF"/>
          </w:tcPr>
          <w:p w14:paraId="4FADE95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57" w:type="dxa"/>
            <w:shd w:val="clear" w:color="auto" w:fill="FFFFFF"/>
          </w:tcPr>
          <w:p w14:paraId="5DDD988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1052F6D" w14:textId="77777777" w:rsidTr="009223E5">
        <w:tc>
          <w:tcPr>
            <w:tcW w:w="3757" w:type="dxa"/>
            <w:shd w:val="clear" w:color="auto" w:fill="FFFFFF"/>
          </w:tcPr>
          <w:p w14:paraId="3AB1C6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3757" w:type="dxa"/>
            <w:shd w:val="clear" w:color="auto" w:fill="FFFFFF"/>
          </w:tcPr>
          <w:p w14:paraId="512751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280-300 м, время</w:t>
            </w:r>
          </w:p>
        </w:tc>
        <w:tc>
          <w:tcPr>
            <w:tcW w:w="3757" w:type="dxa"/>
            <w:shd w:val="clear" w:color="auto" w:fill="FFFFFF"/>
          </w:tcPr>
          <w:p w14:paraId="6C6B72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11-13 сек.</w:t>
            </w:r>
          </w:p>
        </w:tc>
      </w:tr>
      <w:tr w:rsidR="007D5DF8" w:rsidRPr="00DB5D0D" w14:paraId="2FE1F898" w14:textId="77777777" w:rsidTr="009223E5">
        <w:tc>
          <w:tcPr>
            <w:tcW w:w="3757" w:type="dxa"/>
            <w:tcBorders>
              <w:bottom w:val="single" w:sz="12" w:space="0" w:color="auto"/>
            </w:tcBorders>
            <w:shd w:val="clear" w:color="auto" w:fill="FFFFFF"/>
          </w:tcPr>
          <w:p w14:paraId="6EF95C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Длинна пробега с торм.</w:t>
            </w:r>
          </w:p>
        </w:tc>
        <w:tc>
          <w:tcPr>
            <w:tcW w:w="3757" w:type="dxa"/>
            <w:tcBorders>
              <w:bottom w:val="single" w:sz="12" w:space="0" w:color="auto"/>
            </w:tcBorders>
            <w:shd w:val="clear" w:color="auto" w:fill="FFFFFF"/>
          </w:tcPr>
          <w:p w14:paraId="6F64A7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200-320 м., время</w:t>
            </w:r>
          </w:p>
        </w:tc>
        <w:tc>
          <w:tcPr>
            <w:tcW w:w="3757" w:type="dxa"/>
            <w:tcBorders>
              <w:bottom w:val="single" w:sz="12" w:space="0" w:color="auto"/>
            </w:tcBorders>
            <w:shd w:val="clear" w:color="auto" w:fill="FFFFFF"/>
          </w:tcPr>
          <w:p w14:paraId="036E0C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13-14</w:t>
            </w:r>
          </w:p>
        </w:tc>
      </w:tr>
    </w:tbl>
    <w:p w14:paraId="0B0AA9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Характеристика и состояние вооружения.</w:t>
      </w:r>
    </w:p>
    <w:p w14:paraId="330BC1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устанавливается следующее вооружение:</w:t>
      </w:r>
    </w:p>
    <w:p w14:paraId="6507A5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Таубина - калибра 23 мм</w:t>
      </w:r>
    </w:p>
    <w:p w14:paraId="716D76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пулемета Березина</w:t>
      </w:r>
    </w:p>
    <w:p w14:paraId="0F58EA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пулемета ШКАС.</w:t>
      </w:r>
    </w:p>
    <w:p w14:paraId="611926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могут быть устэновлены 8 шт. РС-82 и бомбы общим весом до 100 кг.</w:t>
      </w:r>
    </w:p>
    <w:p w14:paraId="1CEBEA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смонтировано на спец. стенде и отстреливается, под наблюдением спец.камиссии от ГУАС КА (Нырков).</w:t>
      </w:r>
    </w:p>
    <w:p w14:paraId="218175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Пушечное вооружение уже отработано и установлено на самолет для отстрела в воздухе.</w:t>
      </w:r>
    </w:p>
    <w:p w14:paraId="7E9367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Оценка эксплоатационных данных</w:t>
      </w:r>
    </w:p>
    <w:p w14:paraId="77F710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эксплоатации самолет прост. Самолет легко и быстро разбирается для транспортировки его по ж.д.. При снятых консолях крыльев самолет может транспортироваться на собственном ходу.</w:t>
      </w:r>
    </w:p>
    <w:p w14:paraId="5C4812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Материал конструкции.</w:t>
      </w:r>
    </w:p>
    <w:p w14:paraId="5404D9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цельно-деревянной конструкции. Ответственные элементы изготовлены из пресованной ревесины. Покрытие самолета высокого качества по отделке, стойкое и не сложное в производстве.</w:t>
      </w:r>
    </w:p>
    <w:p w14:paraId="5919A7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Оценка технологии, производства!</w:t>
      </w:r>
    </w:p>
    <w:p w14:paraId="4849E6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Технология производства самолета проста и не требует сложного оборудования. Основной материал конструкции - дерево.</w:t>
      </w:r>
    </w:p>
    <w:p w14:paraId="56249F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Заключение по статиспытаниям агрегатов с-та.</w:t>
      </w:r>
    </w:p>
    <w:p w14:paraId="560D5A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Статиспытания самолет прошел вполне удовлетвовительно.</w:t>
      </w:r>
    </w:p>
    <w:p w14:paraId="595102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ЛЕТЧИК-ИСПЫТАТЕЛЬ ВОЕШНЖЕНЕР I РАНГА Никашин</w:t>
      </w:r>
    </w:p>
    <w:p w14:paraId="13CB32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 ВОЕШЖЕНЕР 3 РАНГА Таракановский (10514,41).</w:t>
      </w:r>
    </w:p>
    <w:p w14:paraId="756337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была подготовлена КРАТКАЯ ХАРАКТЕРИСТИКА</w:t>
      </w:r>
    </w:p>
    <w:p w14:paraId="7A4B01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САМОЛЕТА И-190 М-88, КОНСТРУКЦИИ т. ПОЛИКАРПОВА ПРОИЗВОДСТВА ЗАВОДА № 1.</w:t>
      </w:r>
    </w:p>
    <w:p w14:paraId="2A8CB7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Фактические полученные летные данные по заводским испытаниям с мотором М-88 без редуктора.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342CE8BF" w14:textId="77777777" w:rsidTr="009223E5">
        <w:tc>
          <w:tcPr>
            <w:tcW w:w="5636" w:type="dxa"/>
            <w:tcBorders>
              <w:top w:val="single" w:sz="12" w:space="0" w:color="auto"/>
            </w:tcBorders>
            <w:shd w:val="clear" w:color="auto" w:fill="FFFFFF"/>
          </w:tcPr>
          <w:p w14:paraId="7371E9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на 5000 м</w:t>
            </w:r>
          </w:p>
        </w:tc>
        <w:tc>
          <w:tcPr>
            <w:tcW w:w="5636" w:type="dxa"/>
            <w:tcBorders>
              <w:top w:val="single" w:sz="12" w:space="0" w:color="auto"/>
            </w:tcBorders>
            <w:shd w:val="clear" w:color="auto" w:fill="FFFFFF"/>
          </w:tcPr>
          <w:p w14:paraId="7409B9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 минут</w:t>
            </w:r>
          </w:p>
        </w:tc>
      </w:tr>
      <w:tr w:rsidR="007D5DF8" w:rsidRPr="00DB5D0D" w14:paraId="406202D8" w14:textId="77777777" w:rsidTr="009223E5">
        <w:tc>
          <w:tcPr>
            <w:tcW w:w="5636" w:type="dxa"/>
            <w:shd w:val="clear" w:color="auto" w:fill="FFFFFF"/>
          </w:tcPr>
          <w:p w14:paraId="39E9B2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Н=6000 м</w:t>
            </w:r>
          </w:p>
        </w:tc>
        <w:tc>
          <w:tcPr>
            <w:tcW w:w="5636" w:type="dxa"/>
            <w:shd w:val="clear" w:color="auto" w:fill="FFFFFF"/>
          </w:tcPr>
          <w:p w14:paraId="557339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 км/час</w:t>
            </w:r>
          </w:p>
        </w:tc>
      </w:tr>
      <w:tr w:rsidR="007D5DF8" w:rsidRPr="00DB5D0D" w14:paraId="45CB360A" w14:textId="77777777" w:rsidTr="009223E5">
        <w:tc>
          <w:tcPr>
            <w:tcW w:w="5636" w:type="dxa"/>
            <w:tcBorders>
              <w:bottom w:val="single" w:sz="12" w:space="0" w:color="auto"/>
            </w:tcBorders>
            <w:shd w:val="clear" w:color="auto" w:fill="FFFFFF"/>
          </w:tcPr>
          <w:p w14:paraId="0B13E9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Н=0</w:t>
            </w:r>
          </w:p>
        </w:tc>
        <w:tc>
          <w:tcPr>
            <w:tcW w:w="5636" w:type="dxa"/>
            <w:tcBorders>
              <w:bottom w:val="single" w:sz="12" w:space="0" w:color="auto"/>
            </w:tcBorders>
            <w:shd w:val="clear" w:color="auto" w:fill="FFFFFF"/>
          </w:tcPr>
          <w:p w14:paraId="160480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 км/час</w:t>
            </w:r>
          </w:p>
        </w:tc>
      </w:tr>
    </w:tbl>
    <w:p w14:paraId="1FE4E8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Оценка летных свойств:</w:t>
      </w:r>
    </w:p>
    <w:p w14:paraId="2BBD88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Управляемость удовлетворительная</w:t>
      </w:r>
    </w:p>
    <w:p w14:paraId="212049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Устойчивость удовлетворительная (по заклю</w:t>
      </w:r>
      <w:r w:rsidRPr="00DB5D0D">
        <w:rPr>
          <w:rFonts w:ascii="Times New Roman" w:hAnsi="Times New Roman"/>
          <w:color w:val="000000" w:themeColor="text1"/>
          <w:sz w:val="16"/>
          <w:szCs w:val="16"/>
        </w:rPr>
        <w:softHyphen/>
        <w:t>чению летчика ЖУКОВА)</w:t>
      </w:r>
    </w:p>
    <w:p w14:paraId="6EB190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Обзор такол же как на самолете И-153.</w:t>
      </w:r>
    </w:p>
    <w:p w14:paraId="2D0D74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Маневренность удовлетворительная, время виража - 12-13 сек.</w:t>
      </w:r>
    </w:p>
    <w:p w14:paraId="78382C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самолете установлено 4 пулемета ШКАС с запасом патронов 2500 шт. Произведен отстрел пулеметов до п=1800 об/мин. (требуется до 2200 об/мин.).</w:t>
      </w:r>
    </w:p>
    <w:p w14:paraId="1E14C4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Эксплоатация самолета аналогична самолету И-153. Винто-моторная группа недоведена. Установленый мотор М-88 безредукторныий и винт с шириной лопасти 217 мм показали плохой КПД, что и сказалось на скорости. Принято решение установить мотор М-88 Р (редукторвый).</w:t>
      </w:r>
    </w:p>
    <w:p w14:paraId="1DBD7C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Конструкция самолета смешанная. Фюзеляж форменный, их хромансилевых труб. Коробка крыльев деревянная с фанерной неработающей обшивкой.</w:t>
      </w:r>
    </w:p>
    <w:p w14:paraId="095C13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Расчет самолета на прочность производится на полетный вес 2050 кг., фактическай полетный вес ока</w:t>
      </w:r>
      <w:r w:rsidRPr="00DB5D0D">
        <w:rPr>
          <w:rFonts w:ascii="Times New Roman" w:hAnsi="Times New Roman"/>
          <w:color w:val="000000" w:themeColor="text1"/>
          <w:sz w:val="16"/>
          <w:szCs w:val="16"/>
        </w:rPr>
        <w:softHyphen/>
        <w:t>зался 2287 кг., а если учесть, что будет установлен мотор редукторний, то это еще увеличит вес на 50-70 кг.</w:t>
      </w:r>
    </w:p>
    <w:p w14:paraId="2C6EB3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фюзеляж придется усилить, так как даже при полетном весе 2050 кг. Фюзеляж выдержал на испытании 91%</w:t>
      </w:r>
    </w:p>
    <w:p w14:paraId="2DFC12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 1 РАНГА НИКИТЧЕНКО (10514,43).</w:t>
      </w:r>
    </w:p>
    <w:p w14:paraId="3A515E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E96AF6D"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4 июня 1940 г. на совместном совещании руководства Наркомата авиационной промышленности и ВВС Красной Армии самолет Таирова Та-3 был рекомендован к серийному производству (4476).</w:t>
      </w:r>
    </w:p>
    <w:p w14:paraId="55D4C296" w14:textId="77777777" w:rsidR="00A25AD1" w:rsidRPr="00DB5D0D" w:rsidRDefault="00A25AD1" w:rsidP="00DB5D0D">
      <w:pPr>
        <w:pStyle w:val="Iauiue"/>
        <w:jc w:val="both"/>
        <w:rPr>
          <w:color w:val="000000" w:themeColor="text1"/>
          <w:sz w:val="16"/>
          <w:szCs w:val="16"/>
        </w:rPr>
      </w:pPr>
    </w:p>
    <w:p w14:paraId="5E39D419" w14:textId="77777777" w:rsidR="00D926C6" w:rsidRPr="00DB5D0D" w:rsidRDefault="00D926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4 июня</w:t>
      </w:r>
      <w:r w:rsidRPr="00DB5D0D">
        <w:rPr>
          <w:rFonts w:ascii="Times New Roman" w:hAnsi="Times New Roman"/>
          <w:color w:val="000000" w:themeColor="text1"/>
          <w:sz w:val="16"/>
          <w:szCs w:val="16"/>
        </w:rPr>
        <w:t xml:space="preserve"> в 1940 году на совместном совещании руководства Наркомата авиационной промышленности и ВВС Красной Армии (в тот самый день, когда было принято решение о серийном производстве бомбардировщика «Пе-2» и штурмовика «Ил-2») рекомендован к серийному производству самолет Таирова </w:t>
      </w:r>
      <w:hyperlink r:id="rId100" w:tgtFrame="_blank" w:history="1">
        <w:r w:rsidRPr="00DB5D0D">
          <w:rPr>
            <w:rFonts w:ascii="Times New Roman" w:hAnsi="Times New Roman"/>
            <w:color w:val="000000" w:themeColor="text1"/>
            <w:sz w:val="16"/>
            <w:szCs w:val="16"/>
          </w:rPr>
          <w:t xml:space="preserve">«Та-3». </w:t>
        </w:r>
      </w:hyperlink>
      <w:r w:rsidRPr="00DB5D0D">
        <w:rPr>
          <w:rFonts w:ascii="Times New Roman" w:hAnsi="Times New Roman"/>
          <w:color w:val="000000" w:themeColor="text1"/>
          <w:sz w:val="16"/>
          <w:szCs w:val="16"/>
        </w:rPr>
        <w:t>Однако на деле «Та-3» в серию не попал из-за целого ряда объективных и субъективных причин (14912).</w:t>
      </w:r>
    </w:p>
    <w:p w14:paraId="6B8ABA97" w14:textId="77777777" w:rsidR="00D926C6" w:rsidRPr="00DB5D0D" w:rsidRDefault="00D926C6" w:rsidP="00DB5D0D">
      <w:pPr>
        <w:spacing w:after="0" w:line="240" w:lineRule="auto"/>
        <w:jc w:val="both"/>
        <w:rPr>
          <w:rFonts w:ascii="Times New Roman" w:hAnsi="Times New Roman"/>
          <w:color w:val="000000" w:themeColor="text1"/>
          <w:sz w:val="16"/>
          <w:szCs w:val="16"/>
        </w:rPr>
      </w:pPr>
    </w:p>
    <w:p w14:paraId="44252831" w14:textId="77777777" w:rsidR="00156671" w:rsidRPr="00DB5D0D" w:rsidRDefault="001566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в соответствии с распоряжением замнаркома авиапромышленности по опытному строительству А. С. Яковлева, поступившим директору завода № 289 Голубкову, подготовительные работы по проведению дальнего перелета на самолетах БОК-15 прекращаются. С 5 июня прекратили все исследовательские работы по гермокабинам, за исключением пилотских фонарей для самолетов БОК-15 и БОК-15бис. Последней практической деятельностью по высотной тематике, осуществленной на заводе № 289, стала доводка истребителей И-153ГК в августе 1940 г. (19161).</w:t>
      </w:r>
    </w:p>
    <w:p w14:paraId="6083CB06" w14:textId="77777777" w:rsidR="00156671" w:rsidRPr="00DB5D0D" w:rsidRDefault="00156671" w:rsidP="00DB5D0D">
      <w:pPr>
        <w:spacing w:after="0" w:line="240" w:lineRule="auto"/>
        <w:jc w:val="both"/>
        <w:rPr>
          <w:rFonts w:ascii="Times New Roman" w:hAnsi="Times New Roman"/>
          <w:color w:val="000000" w:themeColor="text1"/>
          <w:sz w:val="16"/>
          <w:szCs w:val="16"/>
        </w:rPr>
      </w:pPr>
    </w:p>
    <w:p w14:paraId="3B107C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года в письме наркома авиапромышленности АИ. Шахурина на имя наркома внешней торговли АИ. Микояна за № Н- 32 /909 фигу</w:t>
      </w:r>
      <w:r w:rsidRPr="00DB5D0D">
        <w:rPr>
          <w:rFonts w:ascii="Times New Roman" w:hAnsi="Times New Roman"/>
          <w:color w:val="000000" w:themeColor="text1"/>
          <w:sz w:val="16"/>
          <w:szCs w:val="16"/>
        </w:rPr>
        <w:softHyphen/>
        <w:t>рируют почти 400 станков, предложенных германскими фирмами (11710,256).</w:t>
      </w:r>
    </w:p>
    <w:p w14:paraId="027B59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сле</w:t>
      </w:r>
      <w:r w:rsidRPr="00DB5D0D">
        <w:rPr>
          <w:rFonts w:ascii="Times New Roman" w:hAnsi="Times New Roman"/>
          <w:color w:val="000000" w:themeColor="text1"/>
          <w:sz w:val="16"/>
          <w:szCs w:val="16"/>
        </w:rPr>
        <w:softHyphen/>
        <w:t>дующем письме за № Н-32/9Ю от того же числа фигурируют, в частности, фирма «Гилле-Верке» - 150 станков различных типов, включая 100 быст</w:t>
      </w:r>
      <w:r w:rsidRPr="00DB5D0D">
        <w:rPr>
          <w:rFonts w:ascii="Times New Roman" w:hAnsi="Times New Roman"/>
          <w:color w:val="000000" w:themeColor="text1"/>
          <w:sz w:val="16"/>
          <w:szCs w:val="16"/>
        </w:rPr>
        <w:softHyphen/>
        <w:t>роходных станков для обработки легких сплавов, со сроками поставок в 1941 - 1942 годах; фирма «Ганн и Кольб» - 100 автоматов типа «Индекс» со сроками поставок в 1941 году; фирма «Геллер» -75 пил для резки материа</w:t>
      </w:r>
      <w:r w:rsidRPr="00DB5D0D">
        <w:rPr>
          <w:rFonts w:ascii="Times New Roman" w:hAnsi="Times New Roman"/>
          <w:color w:val="000000" w:themeColor="text1"/>
          <w:sz w:val="16"/>
          <w:szCs w:val="16"/>
        </w:rPr>
        <w:softHyphen/>
        <w:t>лов со сроками поставок в 1941 году. А.И. Шахурин подчеркивал: «Учитывая особую потребность в перечисленном оборудовании - прошу Ваших ука</w:t>
      </w:r>
      <w:r w:rsidRPr="00DB5D0D">
        <w:rPr>
          <w:rFonts w:ascii="Times New Roman" w:hAnsi="Times New Roman"/>
          <w:color w:val="000000" w:themeColor="text1"/>
          <w:sz w:val="16"/>
          <w:szCs w:val="16"/>
        </w:rPr>
        <w:softHyphen/>
        <w:t>заний «Станкоимпорту» о его реализации для заводов НКАП. Крайне жела</w:t>
      </w:r>
      <w:r w:rsidRPr="00DB5D0D">
        <w:rPr>
          <w:rFonts w:ascii="Times New Roman" w:hAnsi="Times New Roman"/>
          <w:color w:val="000000" w:themeColor="text1"/>
          <w:sz w:val="16"/>
          <w:szCs w:val="16"/>
        </w:rPr>
        <w:softHyphen/>
        <w:t>тельно ускорить сроки поставок» (</w:t>
      </w:r>
      <w:r w:rsidRPr="00DB5D0D">
        <w:rPr>
          <w:rFonts w:ascii="Times New Roman" w:hAnsi="Times New Roman"/>
          <w:smallCaps/>
          <w:color w:val="000000" w:themeColor="text1"/>
          <w:sz w:val="16"/>
          <w:szCs w:val="16"/>
        </w:rPr>
        <w:t xml:space="preserve">российский </w:t>
      </w:r>
      <w:r w:rsidRPr="00DB5D0D">
        <w:rPr>
          <w:rFonts w:ascii="Times New Roman" w:hAnsi="Times New Roman"/>
          <w:color w:val="000000" w:themeColor="text1"/>
          <w:sz w:val="16"/>
          <w:szCs w:val="16"/>
        </w:rPr>
        <w:t>государственный архив экономики (РГАЭ). Ф. 8044. Оп. 1. Д. 436. Л. 49-50.) (11710,257).</w:t>
      </w:r>
    </w:p>
    <w:p w14:paraId="511CAA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3D307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Штабом ВВС были представлены "Тактико-технические требования по разработке покрытий для самолетов". Эти требования состояли всего из 5 пунктов и оговаривали два вида маскировочной окраски: основную, наносимую на заводе, и временную -смываемую, "которая должна производиться в авиачастях в целях приближения цвета окраски к данному фону местности". Расцветка основных красочных смесей должна была соответствовать эталонам цветов, разработанных НИИИТом по фонам округов. Эти эталоны предусматривали цвета для одноцветной защитной и многоцветного камуфляжа самолетов. Основные краски должны быть недешифрируемыми, матовыми и довольно темными -яркость в пределах 0,08 -0,11. Временные краски должны были иметь те же характеристики и сохранять их при атмосферных воздействиях (2771,20).</w:t>
      </w:r>
    </w:p>
    <w:p w14:paraId="61C7FB2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FA056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5ADB67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43D53E9" w14:textId="77777777" w:rsidR="00C7362D" w:rsidRPr="00DB5D0D" w:rsidRDefault="00C736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на за</w:t>
      </w:r>
      <w:r w:rsidRPr="00DB5D0D">
        <w:rPr>
          <w:rFonts w:ascii="Times New Roman" w:hAnsi="Times New Roman"/>
          <w:color w:val="000000" w:themeColor="text1"/>
          <w:sz w:val="16"/>
          <w:szCs w:val="16"/>
        </w:rPr>
        <w:softHyphen/>
        <w:t>седании Политбюро ЦК ВКП(б) специально рассматривался вопрос «Об орга</w:t>
      </w:r>
      <w:r w:rsidRPr="00DB5D0D">
        <w:rPr>
          <w:rFonts w:ascii="Times New Roman" w:hAnsi="Times New Roman"/>
          <w:color w:val="000000" w:themeColor="text1"/>
          <w:sz w:val="16"/>
          <w:szCs w:val="16"/>
        </w:rPr>
        <w:softHyphen/>
        <w:t>низации производства пистолетов-пулеметов «ППД». Планы увеличения количества писто</w:t>
      </w:r>
      <w:r w:rsidRPr="00DB5D0D">
        <w:rPr>
          <w:rFonts w:ascii="Times New Roman" w:hAnsi="Times New Roman"/>
          <w:color w:val="000000" w:themeColor="text1"/>
          <w:sz w:val="16"/>
          <w:szCs w:val="16"/>
        </w:rPr>
        <w:softHyphen/>
        <w:t>летов-пулеметов требовали более надежной и, главное, более технологичной и дешевой в производстве конструкции. Тогда и можно было рассчитывать, что пистолет-пулемет как военное оружие сыграет свою основную роль - дешевого и быстрого решения проблемы «уси</w:t>
      </w:r>
      <w:r w:rsidRPr="00DB5D0D">
        <w:rPr>
          <w:rFonts w:ascii="Times New Roman" w:hAnsi="Times New Roman"/>
          <w:color w:val="000000" w:themeColor="text1"/>
          <w:sz w:val="16"/>
          <w:szCs w:val="16"/>
        </w:rPr>
        <w:softHyphen/>
        <w:t>ления мощи огня пехоты» в бою на ближних дистанциях и замены части карабинов и писто</w:t>
      </w:r>
      <w:r w:rsidRPr="00DB5D0D">
        <w:rPr>
          <w:rFonts w:ascii="Times New Roman" w:hAnsi="Times New Roman"/>
          <w:color w:val="000000" w:themeColor="text1"/>
          <w:sz w:val="16"/>
          <w:szCs w:val="16"/>
        </w:rPr>
        <w:softHyphen/>
        <w:t>летов в специальных войсках.</w:t>
      </w:r>
    </w:p>
    <w:p w14:paraId="2FC8EE55" w14:textId="77777777" w:rsidR="00C7362D" w:rsidRPr="00DB5D0D" w:rsidRDefault="00C736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Уменьшения времени обработки, расхода металла и стоимости можно было достичь за счет широкого использования все тех же тех</w:t>
      </w:r>
      <w:r w:rsidRPr="00DB5D0D">
        <w:rPr>
          <w:rFonts w:ascii="Times New Roman" w:hAnsi="Times New Roman"/>
          <w:color w:val="000000" w:themeColor="text1"/>
          <w:sz w:val="16"/>
          <w:szCs w:val="16"/>
        </w:rPr>
        <w:softHyphen/>
        <w:t>нологий массового производства - замены ре</w:t>
      </w:r>
      <w:r w:rsidRPr="00DB5D0D">
        <w:rPr>
          <w:rFonts w:ascii="Times New Roman" w:hAnsi="Times New Roman"/>
          <w:color w:val="000000" w:themeColor="text1"/>
          <w:sz w:val="16"/>
          <w:szCs w:val="16"/>
        </w:rPr>
        <w:softHyphen/>
        <w:t>зания металла обработкой давлением (горячая штамповка, холодное прессование без после</w:t>
      </w:r>
      <w:r w:rsidRPr="00DB5D0D">
        <w:rPr>
          <w:rFonts w:ascii="Times New Roman" w:hAnsi="Times New Roman"/>
          <w:color w:val="000000" w:themeColor="text1"/>
          <w:sz w:val="16"/>
          <w:szCs w:val="16"/>
        </w:rPr>
        <w:softHyphen/>
        <w:t>дующей механической обработки), внедрения точного литья, электросварки (15770).</w:t>
      </w:r>
    </w:p>
    <w:p w14:paraId="4A6C00CE" w14:textId="77777777" w:rsidR="00C7362D" w:rsidRPr="00DB5D0D" w:rsidRDefault="00C7362D" w:rsidP="00DB5D0D">
      <w:pPr>
        <w:spacing w:after="0" w:line="240" w:lineRule="auto"/>
        <w:jc w:val="both"/>
        <w:rPr>
          <w:rFonts w:ascii="Times New Roman" w:hAnsi="Times New Roman"/>
          <w:color w:val="000000" w:themeColor="text1"/>
          <w:sz w:val="16"/>
          <w:szCs w:val="16"/>
        </w:rPr>
      </w:pPr>
    </w:p>
    <w:p w14:paraId="2C67B514" w14:textId="77777777" w:rsidR="00A25AD1" w:rsidRPr="00DB5D0D" w:rsidRDefault="00A25AD1" w:rsidP="00DB5D0D">
      <w:pPr>
        <w:pStyle w:val="a3"/>
        <w:rPr>
          <w:color w:val="000000" w:themeColor="text1"/>
          <w:lang w:val="ru-RU"/>
        </w:rPr>
      </w:pPr>
      <w:r w:rsidRPr="00DB5D0D">
        <w:rPr>
          <w:color w:val="000000" w:themeColor="text1"/>
          <w:lang w:val="ru-RU"/>
        </w:rPr>
        <w:t>4 июня 1940 г. в АБТУ КА состоялось совещание под предсе</w:t>
      </w:r>
      <w:r w:rsidRPr="00DB5D0D">
        <w:rPr>
          <w:color w:val="000000" w:themeColor="text1"/>
          <w:lang w:val="ru-RU"/>
        </w:rPr>
        <w:softHyphen/>
        <w:t>дательством помощника АБТУ Б.М. Коробкова, посвященное вы</w:t>
      </w:r>
      <w:r w:rsidRPr="00DB5D0D">
        <w:rPr>
          <w:color w:val="000000" w:themeColor="text1"/>
          <w:lang w:val="ru-RU"/>
        </w:rPr>
        <w:softHyphen/>
        <w:t>полнению увеличенного годового задания по выпуску бронедеталей для Т-34 и выбору оптимальных путей для проведения опыт</w:t>
      </w:r>
      <w:r w:rsidRPr="00DB5D0D">
        <w:rPr>
          <w:color w:val="000000" w:themeColor="text1"/>
          <w:lang w:val="ru-RU"/>
        </w:rPr>
        <w:softHyphen/>
        <w:t>ных работ по упрощению конструкции наиболее трудоемких дета</w:t>
      </w:r>
      <w:r w:rsidRPr="00DB5D0D">
        <w:rPr>
          <w:color w:val="000000" w:themeColor="text1"/>
          <w:lang w:val="ru-RU"/>
        </w:rPr>
        <w:softHyphen/>
        <w:t>лей. На совещании присутствовали: начальник и главный инже</w:t>
      </w:r>
      <w:r w:rsidRPr="00DB5D0D">
        <w:rPr>
          <w:color w:val="000000" w:themeColor="text1"/>
          <w:lang w:val="ru-RU"/>
        </w:rPr>
        <w:softHyphen/>
        <w:t xml:space="preserve">нер 7-го ГУ НКСП </w:t>
      </w:r>
      <w:r w:rsidRPr="00DB5D0D">
        <w:rPr>
          <w:color w:val="000000" w:themeColor="text1"/>
        </w:rPr>
        <w:t>B</w:t>
      </w:r>
      <w:r w:rsidRPr="00DB5D0D">
        <w:rPr>
          <w:color w:val="000000" w:themeColor="text1"/>
          <w:lang w:val="ru-RU"/>
        </w:rPr>
        <w:t>.</w:t>
      </w:r>
      <w:r w:rsidRPr="00DB5D0D">
        <w:rPr>
          <w:color w:val="000000" w:themeColor="text1"/>
        </w:rPr>
        <w:t>C</w:t>
      </w:r>
      <w:r w:rsidRPr="00DB5D0D">
        <w:rPr>
          <w:color w:val="000000" w:themeColor="text1"/>
          <w:lang w:val="ru-RU"/>
        </w:rPr>
        <w:t>. Емельянов и А.А. Хабапашев, директор Мариупольского завода А.Ф. Гармашев, старший военпред Г.И. Зухер, а также начальники 8 отдела АБТУ С.А. Афонин и 4 отдела АБТУ Н.Н. Алымов. В ходе совещания сторонами были приняты следующие решения:</w:t>
      </w:r>
    </w:p>
    <w:p w14:paraId="219A9CBB" w14:textId="77777777" w:rsidR="00A25AD1" w:rsidRPr="00DB5D0D" w:rsidRDefault="00A25AD1" w:rsidP="00DB5D0D">
      <w:pPr>
        <w:pStyle w:val="a3"/>
        <w:tabs>
          <w:tab w:val="left" w:pos="519"/>
        </w:tabs>
        <w:rPr>
          <w:color w:val="000000" w:themeColor="text1"/>
          <w:lang w:val="ru-RU"/>
        </w:rPr>
      </w:pPr>
      <w:r w:rsidRPr="00DB5D0D">
        <w:rPr>
          <w:color w:val="000000" w:themeColor="text1"/>
          <w:lang w:val="ru-RU"/>
        </w:rPr>
        <w:t>1. Работу по обеспечению выпуска корпу</w:t>
      </w:r>
      <w:r w:rsidRPr="00DB5D0D">
        <w:rPr>
          <w:color w:val="000000" w:themeColor="text1"/>
          <w:lang w:val="ru-RU"/>
        </w:rPr>
        <w:softHyphen/>
        <w:t>сов танка Т-34 вести одновременно в несколь</w:t>
      </w:r>
      <w:r w:rsidRPr="00DB5D0D">
        <w:rPr>
          <w:color w:val="000000" w:themeColor="text1"/>
          <w:lang w:val="ru-RU"/>
        </w:rPr>
        <w:softHyphen/>
        <w:t>ких направлениях — литье и штамповка.</w:t>
      </w:r>
    </w:p>
    <w:p w14:paraId="437B6AF4" w14:textId="77777777" w:rsidR="00A25AD1" w:rsidRPr="00DB5D0D" w:rsidRDefault="00A25AD1" w:rsidP="00DB5D0D">
      <w:pPr>
        <w:pStyle w:val="a3"/>
        <w:tabs>
          <w:tab w:val="left" w:pos="514"/>
        </w:tabs>
        <w:rPr>
          <w:color w:val="000000" w:themeColor="text1"/>
          <w:lang w:val="ru-RU"/>
        </w:rPr>
      </w:pPr>
      <w:r w:rsidRPr="00DB5D0D">
        <w:rPr>
          <w:color w:val="000000" w:themeColor="text1"/>
          <w:lang w:val="ru-RU"/>
        </w:rPr>
        <w:t>2. Мариупольский завод немедленно при</w:t>
      </w:r>
      <w:r w:rsidRPr="00DB5D0D">
        <w:rPr>
          <w:color w:val="000000" w:themeColor="text1"/>
          <w:lang w:val="ru-RU"/>
        </w:rPr>
        <w:softHyphen/>
        <w:t>ступает к освоению штампованных бронедета- лей на 15000-тонном прессе (по предложению главного технолога Чижикова Д.И.) и к освое</w:t>
      </w:r>
      <w:r w:rsidRPr="00DB5D0D">
        <w:rPr>
          <w:color w:val="000000" w:themeColor="text1"/>
          <w:lang w:val="ru-RU"/>
        </w:rPr>
        <w:softHyphen/>
        <w:t>нию изготовления башен и кормы Т-34 мето</w:t>
      </w:r>
      <w:r w:rsidRPr="00DB5D0D">
        <w:rPr>
          <w:color w:val="000000" w:themeColor="text1"/>
          <w:lang w:val="ru-RU"/>
        </w:rPr>
        <w:softHyphen/>
        <w:t>дом литья.</w:t>
      </w:r>
    </w:p>
    <w:p w14:paraId="70C2F53E" w14:textId="77777777" w:rsidR="00A25AD1" w:rsidRPr="00DB5D0D" w:rsidRDefault="00A25AD1" w:rsidP="00DB5D0D">
      <w:pPr>
        <w:pStyle w:val="a3"/>
        <w:rPr>
          <w:color w:val="000000" w:themeColor="text1"/>
          <w:lang w:val="ru-RU"/>
        </w:rPr>
      </w:pPr>
      <w:r w:rsidRPr="00DB5D0D">
        <w:rPr>
          <w:color w:val="000000" w:themeColor="text1"/>
          <w:lang w:val="ru-RU"/>
        </w:rPr>
        <w:t>3. Основной упор в опытных работах сделать на освоении изго</w:t>
      </w:r>
      <w:r w:rsidRPr="00DB5D0D">
        <w:rPr>
          <w:color w:val="000000" w:themeColor="text1"/>
          <w:lang w:val="ru-RU"/>
        </w:rPr>
        <w:softHyphen/>
        <w:t>товления литых бронедеталей (11903).</w:t>
      </w:r>
    </w:p>
    <w:p w14:paraId="02474D3A" w14:textId="77777777" w:rsidR="00A25AD1" w:rsidRPr="00DB5D0D" w:rsidRDefault="00A25AD1" w:rsidP="00DB5D0D">
      <w:pPr>
        <w:pStyle w:val="a3"/>
        <w:rPr>
          <w:color w:val="000000" w:themeColor="text1"/>
          <w:lang w:val="ru-RU"/>
        </w:rPr>
      </w:pPr>
      <w:r w:rsidRPr="00DB5D0D">
        <w:rPr>
          <w:color w:val="000000" w:themeColor="text1"/>
          <w:lang w:val="ru-RU"/>
        </w:rPr>
        <w:t xml:space="preserve">5 июня 1940 г. по итогам совещания 4 июня, АБТУ и НКСП издали совместное распоряжение о форсировании работ по изготовлению литых узлов для танка Т-34. </w:t>
      </w:r>
      <w:r w:rsidRPr="00DB5D0D">
        <w:rPr>
          <w:rStyle w:val="60pt22"/>
          <w:rFonts w:ascii="Times New Roman" w:hAnsi="Times New Roman" w:cs="Times New Roman"/>
          <w:i w:val="0"/>
          <w:iCs w:val="0"/>
          <w:color w:val="000000" w:themeColor="text1"/>
          <w:lang w:val="ru-RU"/>
        </w:rPr>
        <w:t>№2231с</w:t>
      </w:r>
    </w:p>
    <w:p w14:paraId="046A6DBC"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ДИРЕКТОРУ МАРИУПОЛЬСКОГО ЗАВОДА т. ГАРМАШЕВУ ДИРЕКТОРУ ЗАВОДА № 183 т. МАКСАРЕВУ СТ. ВОЕНПРЕДУ АБТУ КА НА МАРИУПОЛЬСКОМ ЗАВОДЕт. ЗУХЕРУ</w:t>
      </w:r>
    </w:p>
    <w:p w14:paraId="0200799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 xml:space="preserve">СТ. ВОЕНПРЕДУ АБТУ КА НА ЗАВОДЕ № 183 т. КОЗЫРЕВУ </w:t>
      </w:r>
      <w:r w:rsidRPr="00DB5D0D">
        <w:rPr>
          <w:rStyle w:val="123"/>
          <w:rFonts w:ascii="Times New Roman" w:hAnsi="Times New Roman" w:cs="Times New Roman"/>
          <w:color w:val="000000" w:themeColor="text1"/>
          <w:lang w:val="ru-RU"/>
        </w:rPr>
        <w:t>КОПИЯ:</w:t>
      </w:r>
      <w:r w:rsidRPr="00DB5D0D">
        <w:rPr>
          <w:rFonts w:ascii="Times New Roman" w:hAnsi="Times New Roman" w:cs="Times New Roman"/>
          <w:i w:val="0"/>
          <w:iCs w:val="0"/>
          <w:color w:val="000000" w:themeColor="text1"/>
          <w:lang w:val="ru-RU"/>
        </w:rPr>
        <w:t xml:space="preserve"> И.О. ДИРЕКТОРА НИИ-48 тов. КОНЕВСКОМУ</w:t>
      </w:r>
    </w:p>
    <w:p w14:paraId="6745CB2C"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С целью быстрейшего внедрения в производство литых деталей для машины «А-34» предлагается:</w:t>
      </w:r>
    </w:p>
    <w:p w14:paraId="7B903772" w14:textId="77777777" w:rsidR="00A25AD1" w:rsidRPr="00DB5D0D" w:rsidRDefault="00A25AD1" w:rsidP="00DB5D0D">
      <w:pPr>
        <w:pStyle w:val="1210"/>
        <w:shd w:val="clear" w:color="auto" w:fill="auto"/>
        <w:tabs>
          <w:tab w:val="left" w:pos="519"/>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1.Мариупольскому заводу дополнительно к 10 литым встав</w:t>
      </w:r>
      <w:r w:rsidRPr="00DB5D0D">
        <w:rPr>
          <w:rFonts w:ascii="Times New Roman" w:hAnsi="Times New Roman" w:cs="Times New Roman"/>
          <w:i w:val="0"/>
          <w:iCs w:val="0"/>
          <w:color w:val="000000" w:themeColor="text1"/>
          <w:lang w:val="ru-RU"/>
        </w:rPr>
        <w:softHyphen/>
        <w:t>кам носовой детали А-34, изготовление которых разрешено теле</w:t>
      </w:r>
      <w:r w:rsidRPr="00DB5D0D">
        <w:rPr>
          <w:rFonts w:ascii="Times New Roman" w:hAnsi="Times New Roman" w:cs="Times New Roman"/>
          <w:i w:val="0"/>
          <w:iCs w:val="0"/>
          <w:color w:val="000000" w:themeColor="text1"/>
          <w:lang w:val="ru-RU"/>
        </w:rPr>
        <w:softHyphen/>
        <w:t>граммой АБТУ КА и 7 Главного Управления НКСП, изготовить еще 1 литую вставку, собрать носовой узел и провести контрольный отстрел его.</w:t>
      </w:r>
    </w:p>
    <w:p w14:paraId="66ABFFE8"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При получении на этом носовом узле стойкости, равной стойко</w:t>
      </w:r>
      <w:r w:rsidRPr="00DB5D0D">
        <w:rPr>
          <w:rFonts w:ascii="Times New Roman" w:hAnsi="Times New Roman" w:cs="Times New Roman"/>
          <w:i w:val="0"/>
          <w:iCs w:val="0"/>
          <w:color w:val="000000" w:themeColor="text1"/>
          <w:lang w:val="ru-RU"/>
        </w:rPr>
        <w:softHyphen/>
        <w:t>сти катаной 45 мм брони под теми же углами, носовые узлы с литой вставкой окончательно принимаются на валовое производство.</w:t>
      </w:r>
    </w:p>
    <w:p w14:paraId="6F854BE8" w14:textId="77777777" w:rsidR="00A25AD1" w:rsidRPr="00DB5D0D" w:rsidRDefault="00A25AD1" w:rsidP="00DB5D0D">
      <w:pPr>
        <w:pStyle w:val="1210"/>
        <w:shd w:val="clear" w:color="auto" w:fill="auto"/>
        <w:tabs>
          <w:tab w:val="left" w:pos="505"/>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2.Мариупольскому заводу к 20.</w:t>
      </w:r>
      <w:r w:rsidRPr="00DB5D0D">
        <w:rPr>
          <w:rFonts w:ascii="Times New Roman" w:hAnsi="Times New Roman" w:cs="Times New Roman"/>
          <w:i w:val="0"/>
          <w:iCs w:val="0"/>
          <w:color w:val="000000" w:themeColor="text1"/>
        </w:rPr>
        <w:t>V</w:t>
      </w:r>
      <w:r w:rsidRPr="00DB5D0D">
        <w:rPr>
          <w:rFonts w:ascii="Times New Roman" w:hAnsi="Times New Roman" w:cs="Times New Roman"/>
          <w:i w:val="0"/>
          <w:iCs w:val="0"/>
          <w:noProof w:val="0"/>
          <w:color w:val="000000" w:themeColor="text1"/>
        </w:rPr>
        <w:t>I</w:t>
      </w:r>
      <w:r w:rsidRPr="00DB5D0D">
        <w:rPr>
          <w:rFonts w:ascii="Times New Roman" w:hAnsi="Times New Roman" w:cs="Times New Roman"/>
          <w:i w:val="0"/>
          <w:iCs w:val="0"/>
          <w:color w:val="000000" w:themeColor="text1"/>
          <w:lang w:val="ru-RU"/>
        </w:rPr>
        <w:t xml:space="preserve"> изготовить по чертежам заво</w:t>
      </w:r>
      <w:r w:rsidRPr="00DB5D0D">
        <w:rPr>
          <w:rFonts w:ascii="Times New Roman" w:hAnsi="Times New Roman" w:cs="Times New Roman"/>
          <w:i w:val="0"/>
          <w:iCs w:val="0"/>
          <w:color w:val="000000" w:themeColor="text1"/>
          <w:lang w:val="ru-RU"/>
        </w:rPr>
        <w:softHyphen/>
        <w:t>да № 1835литых башен А-34, обеспечивающих бронестойкость рав</w:t>
      </w:r>
      <w:r w:rsidRPr="00DB5D0D">
        <w:rPr>
          <w:rFonts w:ascii="Times New Roman" w:hAnsi="Times New Roman" w:cs="Times New Roman"/>
          <w:i w:val="0"/>
          <w:iCs w:val="0"/>
          <w:color w:val="000000" w:themeColor="text1"/>
          <w:lang w:val="ru-RU"/>
        </w:rPr>
        <w:softHyphen/>
        <w:t>ную бронестойкости башни из 45 мм катанной брони при превыше</w:t>
      </w:r>
      <w:r w:rsidRPr="00DB5D0D">
        <w:rPr>
          <w:rFonts w:ascii="Times New Roman" w:hAnsi="Times New Roman" w:cs="Times New Roman"/>
          <w:i w:val="0"/>
          <w:iCs w:val="0"/>
          <w:color w:val="000000" w:themeColor="text1"/>
          <w:lang w:val="ru-RU"/>
        </w:rPr>
        <w:softHyphen/>
        <w:t>нии веса не более чем на 200кг по сравнению с башней из катанной брони, включая вес крепежа. Одну башню направить на полигонные испытания, а четыре сдать заводу № 183 для монтажа на серийных машинах, при получении положительных результатов.</w:t>
      </w:r>
    </w:p>
    <w:p w14:paraId="67BE014F" w14:textId="77777777" w:rsidR="00A25AD1" w:rsidRPr="00DB5D0D" w:rsidRDefault="00A25AD1" w:rsidP="00DB5D0D">
      <w:pPr>
        <w:pStyle w:val="1210"/>
        <w:shd w:val="clear" w:color="auto" w:fill="auto"/>
        <w:tabs>
          <w:tab w:val="left" w:pos="505"/>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 xml:space="preserve">3. Заводу № 183 сдать Мариупольскому заводу чертежи литой башни с уши рением не позднее 10. </w:t>
      </w:r>
      <w:r w:rsidRPr="00DB5D0D">
        <w:rPr>
          <w:rFonts w:ascii="Times New Roman" w:hAnsi="Times New Roman" w:cs="Times New Roman"/>
          <w:i w:val="0"/>
          <w:iCs w:val="0"/>
          <w:color w:val="000000" w:themeColor="text1"/>
        </w:rPr>
        <w:t>VI</w:t>
      </w:r>
      <w:r w:rsidRPr="00DB5D0D">
        <w:rPr>
          <w:rFonts w:ascii="Times New Roman" w:hAnsi="Times New Roman" w:cs="Times New Roman"/>
          <w:i w:val="0"/>
          <w:iCs w:val="0"/>
          <w:color w:val="000000" w:themeColor="text1"/>
          <w:lang w:val="ru-RU"/>
        </w:rPr>
        <w:t>-1940 г.</w:t>
      </w:r>
    </w:p>
    <w:p w14:paraId="7F45219E" w14:textId="77777777" w:rsidR="00A25AD1" w:rsidRPr="00DB5D0D" w:rsidRDefault="00A25AD1" w:rsidP="00DB5D0D">
      <w:pPr>
        <w:pStyle w:val="1210"/>
        <w:shd w:val="clear" w:color="auto" w:fill="auto"/>
        <w:tabs>
          <w:tab w:val="left" w:pos="51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4.</w:t>
      </w:r>
      <w:r w:rsidRPr="00DB5D0D">
        <w:rPr>
          <w:rFonts w:ascii="Times New Roman" w:hAnsi="Times New Roman" w:cs="Times New Roman"/>
          <w:i w:val="0"/>
          <w:iCs w:val="0"/>
          <w:color w:val="000000" w:themeColor="text1"/>
          <w:lang w:val="ru-RU"/>
        </w:rPr>
        <w:tab/>
        <w:t>Мариупольскому заводу на основе испытаний опытных ли</w:t>
      </w:r>
      <w:r w:rsidRPr="00DB5D0D">
        <w:rPr>
          <w:rFonts w:ascii="Times New Roman" w:hAnsi="Times New Roman" w:cs="Times New Roman"/>
          <w:i w:val="0"/>
          <w:iCs w:val="0"/>
          <w:color w:val="000000" w:themeColor="text1"/>
          <w:lang w:val="ru-RU"/>
        </w:rPr>
        <w:softHyphen/>
        <w:t xml:space="preserve">тых деталей дать не позднее 20. </w:t>
      </w:r>
      <w:r w:rsidRPr="00DB5D0D">
        <w:rPr>
          <w:rFonts w:ascii="Times New Roman" w:hAnsi="Times New Roman" w:cs="Times New Roman"/>
          <w:i w:val="0"/>
          <w:iCs w:val="0"/>
          <w:color w:val="000000" w:themeColor="text1"/>
        </w:rPr>
        <w:t>VI</w:t>
      </w:r>
      <w:r w:rsidRPr="00DB5D0D">
        <w:rPr>
          <w:rFonts w:ascii="Times New Roman" w:hAnsi="Times New Roman" w:cs="Times New Roman"/>
          <w:i w:val="0"/>
          <w:iCs w:val="0"/>
          <w:color w:val="000000" w:themeColor="text1"/>
          <w:lang w:val="ru-RU"/>
        </w:rPr>
        <w:t xml:space="preserve"> совместное с заводом № 183 заключение о возможности принятия на валовое производство литой кормы А-34.</w:t>
      </w:r>
    </w:p>
    <w:p w14:paraId="1A279626" w14:textId="77777777" w:rsidR="00A25AD1" w:rsidRPr="00DB5D0D" w:rsidRDefault="00A25AD1" w:rsidP="00DB5D0D">
      <w:pPr>
        <w:pStyle w:val="a3"/>
        <w:rPr>
          <w:color w:val="000000" w:themeColor="text1"/>
          <w:lang w:val="ru-RU"/>
        </w:rPr>
      </w:pPr>
      <w:r w:rsidRPr="00DB5D0D">
        <w:rPr>
          <w:color w:val="000000" w:themeColor="text1"/>
          <w:lang w:val="ru-RU"/>
        </w:rPr>
        <w:t>НАЧАЛЬНИК АБТУ КР. АРМИИ КОМАНДАРМ 2 РАНГА (ПАВЛОВ) ВОЕННЫЙ КО МИ САР АБТУ КР. АРМИИ ДИВИЗИОННЫЙ КОМИССАР (КУЛИКОВ) НАЧАЛЬНИК 7-го ГЛАВНОГО УПРАВЛЕНИЯ НКСП (ЕМЕЛЬЯНОВ).</w:t>
      </w:r>
      <w:r w:rsidRPr="00DB5D0D">
        <w:rPr>
          <w:rStyle w:val="1230pt21"/>
          <w:rFonts w:ascii="Times New Roman" w:hAnsi="Times New Roman" w:cs="Times New Roman"/>
          <w:i w:val="0"/>
          <w:color w:val="000000" w:themeColor="text1"/>
          <w:spacing w:val="0"/>
          <w:lang w:val="ru-RU"/>
        </w:rPr>
        <w:t xml:space="preserve"> [</w:t>
      </w:r>
      <w:r w:rsidRPr="00DB5D0D">
        <w:rPr>
          <w:color w:val="000000" w:themeColor="text1"/>
          <w:lang w:val="ru-RU"/>
        </w:rPr>
        <w:t>РГВА. Ф.31811. Оп.2. Д. 1176. Л. 115.</w:t>
      </w:r>
      <w:r w:rsidRPr="00DB5D0D">
        <w:rPr>
          <w:rStyle w:val="1230pt21"/>
          <w:rFonts w:ascii="Times New Roman" w:hAnsi="Times New Roman" w:cs="Times New Roman"/>
          <w:i w:val="0"/>
          <w:color w:val="000000" w:themeColor="text1"/>
          <w:spacing w:val="0"/>
          <w:lang w:val="ru-RU"/>
        </w:rPr>
        <w:t>] (11903</w:t>
      </w:r>
    </w:p>
    <w:p w14:paraId="7BB7EB1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C20561" w14:textId="77777777" w:rsidR="000321AF" w:rsidRPr="00DB5D0D" w:rsidRDefault="000321A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июня 1940 г. начальник АБТУ РККА Д.Г. Павлов направил народному комиссару среднего машиностроения И.А. Лихачеву с письмом № 73381с экземпляр отчета по войсковым испытаниям двух танков А-34. В препроводительном письме Д.Г. Павлов просил И.А. Лихачева дать указание заводу № 183 о скорейшем устранении всех недостатков танка Т-34, выявленных во время войсковых испытаний, а также настаивал на том, чтобы </w:t>
      </w:r>
      <w:r w:rsidRPr="00DB5D0D">
        <w:rPr>
          <w:rFonts w:ascii="Times New Roman" w:hAnsi="Times New Roman"/>
          <w:iCs/>
          <w:color w:val="000000" w:themeColor="text1"/>
          <w:sz w:val="16"/>
          <w:szCs w:val="16"/>
        </w:rPr>
        <w:t>«в этом 1940 году обеспечить выпуск танков Т-34 по заводу № 183 не менее 500 штук» (18076)</w:t>
      </w:r>
      <w:r w:rsidRPr="00DB5D0D">
        <w:rPr>
          <w:rFonts w:ascii="Times New Roman" w:hAnsi="Times New Roman"/>
          <w:color w:val="000000" w:themeColor="text1"/>
          <w:sz w:val="16"/>
          <w:szCs w:val="16"/>
        </w:rPr>
        <w:t>.</w:t>
      </w:r>
    </w:p>
    <w:p w14:paraId="03552D30" w14:textId="77777777" w:rsidR="000321AF" w:rsidRPr="00DB5D0D" w:rsidRDefault="000321AF" w:rsidP="00DB5D0D">
      <w:pPr>
        <w:spacing w:after="0" w:line="240" w:lineRule="auto"/>
        <w:jc w:val="both"/>
        <w:rPr>
          <w:rFonts w:ascii="Times New Roman" w:hAnsi="Times New Roman"/>
          <w:color w:val="000000" w:themeColor="text1"/>
          <w:sz w:val="16"/>
          <w:szCs w:val="16"/>
        </w:rPr>
      </w:pPr>
    </w:p>
    <w:p w14:paraId="75B340D5"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июня 1940 г. </w:t>
      </w:r>
    </w:p>
    <w:p w14:paraId="78CB26A3"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СОВ. СЕКРЕТНО. </w:t>
      </w:r>
    </w:p>
    <w:p w14:paraId="24962457"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2 </w:t>
      </w:r>
    </w:p>
    <w:p w14:paraId="2EFCF174"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июня 1940 г. </w:t>
      </w:r>
    </w:p>
    <w:p w14:paraId="38C7AC6F"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73381с </w:t>
      </w:r>
    </w:p>
    <w:p w14:paraId="5F2EE821"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НАРОДНОМУ КОМИССАРУ СРЕДНЕГО МАШИНОСТРОЕНИЯ СССР</w:t>
      </w:r>
    </w:p>
    <w:p w14:paraId="258C109B"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тов. ЛИХАЧЕВУ</w:t>
      </w:r>
    </w:p>
    <w:p w14:paraId="0965E341"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Представляю отчет комиссии по войсковым испытаниям опытных образцов танка Т-34, принятого на вооружение Красной Армии Постановлением Комитета Обороны при СНК Союза ССР № 443сс от 19-го декабря 1939 года. </w:t>
      </w:r>
    </w:p>
    <w:p w14:paraId="24CBD908"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вопросам, выдвинутым в особых мнениях (стр. 83 – 85 отчета) представителем АУ КА Военинженером 2 ранга тов. СОРКИНЫМ и завода № 183 тов. МОРОЗОВЫМ, сообщаю следующее: </w:t>
      </w:r>
    </w:p>
    <w:p w14:paraId="3B51C606"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Расширение башни на 160 мм, без переделки погона башни и корпуса, предложенное заводом № 183 мною утверждено. С увеличением высоты башни не согласен, т.к. это ведет к увеличению цели для противника, а надобности в этом нет, ибо угол склонения –5° вперед и по бортам обеспечен. </w:t>
      </w:r>
    </w:p>
    <w:p w14:paraId="4B269DE9"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С унификацией качающихся частей орудия с танками другого класса не согласен, т.к. это приведет к увеличению веса танка Т-34. </w:t>
      </w:r>
    </w:p>
    <w:p w14:paraId="2384C34C"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По работе главного фрикциона разногласий по существу нет, т.к. завод сам признал, что причины коробления дисков установить еще не удалось. Коробление же дисков является существенным дефектом. </w:t>
      </w:r>
    </w:p>
    <w:p w14:paraId="3744F14F"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Ленивец мною утвержден по второму варианту, с внутренним регулированием натяжения гусеницы, как наиболее прочный и защищенный от поражений. </w:t>
      </w:r>
    </w:p>
    <w:p w14:paraId="6AEA2E1A"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Установку рации настаиваю перенести в носовую часть танка, чтобы освободить командира танка для ведения боя. В носовой части танка предусмотрено место радиста-стрелка. </w:t>
      </w:r>
    </w:p>
    <w:p w14:paraId="34F78372"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Конструкцию смотровых приборов настаиваю переделать за счет применения металлических зеркал и триплекса. </w:t>
      </w:r>
    </w:p>
    <w:p w14:paraId="167A8AC0"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Прибор кругового обзора на 1940 год утвердил в том виде, как он представлен на опытных образцах. </w:t>
      </w:r>
    </w:p>
    <w:p w14:paraId="7629B586"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Прошу указаний заводу № 183 о скорейшем устранении всех отмеченных недостатков по прилагаемому отчету. Настаиваю в этом 1940 году обеспечить выпуск танков Т-34 по заводу № 183 не менее 500 штук. </w:t>
      </w:r>
    </w:p>
    <w:p w14:paraId="3925C459"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ПРИЛОЖЕНИЕ: Отчет по войсковым испытаниям танка Т-34 на 85 листах. </w:t>
      </w:r>
    </w:p>
    <w:p w14:paraId="78EA6F1C"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п/п НАЧАЛЬНИК АБТУ КРАСНОЙ АРМИИ КОМАНДАРМ 2 РАНГА (ПАВЛОВ)</w:t>
      </w:r>
    </w:p>
    <w:p w14:paraId="54B56AC6"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п/п ВОЕННЫЙ КОМИССАР АБТУ КРАСНОЙ АРМИИ ДИВИЗИОННЫЙ КОМИССАР (КУЛИКОВ)</w:t>
      </w:r>
    </w:p>
    <w:p w14:paraId="4ECE1375"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2 экз. </w:t>
      </w:r>
    </w:p>
    <w:p w14:paraId="52CD4E10"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Рогачев </w:t>
      </w:r>
    </w:p>
    <w:p w14:paraId="29389E7F"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20.5.40 г. № 3071 </w:t>
      </w:r>
    </w:p>
    <w:p w14:paraId="7C252A13"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На документе помета: </w:t>
      </w:r>
      <w:r w:rsidRPr="00DB5D0D">
        <w:rPr>
          <w:rFonts w:ascii="Times New Roman" w:eastAsia="Times New Roman" w:hAnsi="Times New Roman"/>
          <w:color w:val="000000" w:themeColor="text1"/>
          <w:sz w:val="16"/>
          <w:szCs w:val="16"/>
          <w:lang w:eastAsia="ru-RU"/>
        </w:rPr>
        <w:t>«Отчет выслан 1/VI за № 73283с на имя начальника ВО Наркомсредмаша»</w:t>
      </w:r>
    </w:p>
    <w:p w14:paraId="38CC2718"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листы 103 – 104</w:t>
      </w:r>
      <w:r w:rsidRPr="00DB5D0D">
        <w:rPr>
          <w:rFonts w:ascii="Times New Roman" w:eastAsia="Times New Roman" w:hAnsi="Times New Roman"/>
          <w:color w:val="000000" w:themeColor="text1"/>
          <w:sz w:val="16"/>
          <w:szCs w:val="16"/>
          <w:lang w:eastAsia="ru-RU"/>
        </w:rPr>
        <w:t xml:space="preserve"> (18076).</w:t>
      </w:r>
    </w:p>
    <w:p w14:paraId="0B0497DE" w14:textId="77777777" w:rsidR="003F50A2" w:rsidRPr="00DB5D0D" w:rsidRDefault="003F50A2" w:rsidP="00DB5D0D">
      <w:pPr>
        <w:spacing w:after="0" w:line="240" w:lineRule="auto"/>
        <w:jc w:val="both"/>
        <w:rPr>
          <w:rFonts w:ascii="Times New Roman" w:eastAsia="Times New Roman" w:hAnsi="Times New Roman"/>
          <w:color w:val="000000" w:themeColor="text1"/>
          <w:sz w:val="16"/>
          <w:szCs w:val="16"/>
          <w:lang w:eastAsia="ru-RU"/>
        </w:rPr>
      </w:pPr>
    </w:p>
    <w:p w14:paraId="4A42D273"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4 июня 1940</w:t>
      </w:r>
    </w:p>
    <w:p w14:paraId="00906577"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3E9137FC"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3 </w:t>
      </w:r>
    </w:p>
    <w:p w14:paraId="641D8966"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июня 1940 г. </w:t>
      </w:r>
    </w:p>
    <w:p w14:paraId="5C2D04F7"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73413с </w:t>
      </w:r>
    </w:p>
    <w:p w14:paraId="46245BAF"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ДИРЕКТОРУ ЗАВОДА № 183 им. КОМИНТЕРНА</w:t>
      </w:r>
    </w:p>
    <w:p w14:paraId="7BDE2E40"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тов. МАКСАРЕВУ</w:t>
      </w:r>
    </w:p>
    <w:p w14:paraId="15A139C0"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Копия: ВОЕНПРЕДУ ЗАВОДА № 183 им. КОМИНТЕРНА</w:t>
      </w:r>
    </w:p>
    <w:p w14:paraId="65312ED3"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2 РАНГА тов. КОЗЫРЕВУ</w:t>
      </w:r>
    </w:p>
    <w:p w14:paraId="2ADE37B6"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 Харьков</w:t>
      </w:r>
    </w:p>
    <w:p w14:paraId="2A0BF98A"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 Ваш № СО2635 от 21-го Мая с/г.</w:t>
      </w:r>
    </w:p>
    <w:p w14:paraId="2870F45B"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По вопросу: установки механического сервоуправления. </w:t>
      </w:r>
    </w:p>
    <w:p w14:paraId="105B1D01"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Механический сервопривод устанавливайте на опытную партию танков Т-34 взамен пневматического. </w:t>
      </w:r>
    </w:p>
    <w:p w14:paraId="12746FF4"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Срочно вышлите в АБТУ КА чертежи механического сервопривода с необходимыми пояснениями для принятия решения о серийном выпуске. </w:t>
      </w:r>
    </w:p>
    <w:p w14:paraId="17F7AD26"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п/п НАЧАЛЬНИК 8 ОТДЕЛА АБТУ КА ВОЕНИНЖЕНЕР 1 РАНГА (АФОНИН)</w:t>
      </w:r>
    </w:p>
    <w:p w14:paraId="13BA458D"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п/п НАЧАЛЬНИК 1 ОТДЕЛЕНИЯ 8 ОТДЕЛА АБТУ ВОЕНИНЖЕНЕР 2 РАНГА (КРАВЦЕВ)</w:t>
      </w:r>
    </w:p>
    <w:p w14:paraId="6C0AF548"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3 экз. </w:t>
      </w:r>
    </w:p>
    <w:p w14:paraId="7B70BACC"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Ковалев </w:t>
      </w:r>
    </w:p>
    <w:p w14:paraId="2EBB16D3"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3.6.1940 г. № 3436</w:t>
      </w:r>
    </w:p>
    <w:p w14:paraId="5A677A16"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 108</w:t>
      </w:r>
      <w:r w:rsidRPr="00DB5D0D">
        <w:rPr>
          <w:rFonts w:ascii="Times New Roman" w:eastAsia="Times New Roman" w:hAnsi="Times New Roman"/>
          <w:color w:val="000000" w:themeColor="text1"/>
          <w:sz w:val="16"/>
          <w:szCs w:val="16"/>
          <w:lang w:eastAsia="ru-RU"/>
        </w:rPr>
        <w:t xml:space="preserve"> (18076).</w:t>
      </w:r>
    </w:p>
    <w:p w14:paraId="4EC38B3D" w14:textId="77777777" w:rsidR="00E028AC" w:rsidRPr="00DB5D0D" w:rsidRDefault="00E028AC" w:rsidP="00DB5D0D">
      <w:pPr>
        <w:spacing w:after="0" w:line="240" w:lineRule="auto"/>
        <w:jc w:val="both"/>
        <w:rPr>
          <w:rFonts w:ascii="Times New Roman" w:eastAsia="Times New Roman" w:hAnsi="Times New Roman"/>
          <w:color w:val="000000" w:themeColor="text1"/>
          <w:sz w:val="16"/>
          <w:szCs w:val="16"/>
          <w:lang w:eastAsia="ru-RU"/>
        </w:rPr>
      </w:pPr>
    </w:p>
    <w:p w14:paraId="3EC176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Проекты постановления СНК СССР и ЦК ВКП(б) "Об экранировании машин Т-28". Д.12, л.28-39 (11775).</w:t>
      </w:r>
    </w:p>
    <w:p w14:paraId="1EEE05C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611F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вышла директива Комитета обороны (ЦГАСА, ф. 20, оп. 38, ед. хр. 3509, л. 87), обязывавшая один из радиозаводов совместно с НИИ-9 в шестимесячный срок изготовить опытный образец, соответствующий тактико-техническим характеристикам экспериментального радиоискателя «Мимас» и радиодальномера «Стрелец». Этому образцу было дано название «Луна» (11026).</w:t>
      </w:r>
    </w:p>
    <w:p w14:paraId="24F9BB2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8E01F7" w14:textId="77777777" w:rsidR="00D926C6"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31EE340D" w14:textId="77777777" w:rsidR="00D926C6" w:rsidRPr="00DB5D0D" w:rsidRDefault="00D926C6" w:rsidP="00DB5D0D">
      <w:pPr>
        <w:spacing w:after="0" w:line="240" w:lineRule="auto"/>
        <w:jc w:val="both"/>
        <w:rPr>
          <w:rFonts w:ascii="Times New Roman" w:hAnsi="Times New Roman"/>
          <w:iCs/>
          <w:color w:val="000000" w:themeColor="text1"/>
          <w:sz w:val="16"/>
          <w:szCs w:val="16"/>
        </w:rPr>
      </w:pPr>
    </w:p>
    <w:p w14:paraId="1A4FAFF7" w14:textId="77777777" w:rsidR="00D926C6" w:rsidRPr="00DB5D0D" w:rsidRDefault="00D926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4 июня</w:t>
      </w:r>
      <w:r w:rsidRPr="00DB5D0D">
        <w:rPr>
          <w:rFonts w:ascii="Times New Roman" w:hAnsi="Times New Roman"/>
          <w:color w:val="000000" w:themeColor="text1"/>
          <w:sz w:val="16"/>
          <w:szCs w:val="16"/>
        </w:rPr>
        <w:t xml:space="preserve"> в 1940 году Совет Народных Комиссаров СССР присвоил генеральские звания 556 высшим командирам. Звание генерала армии присвоено Георгию Жукову, Кириллу Мерецкову и Ивану Тюленеву (14912).</w:t>
      </w:r>
    </w:p>
    <w:p w14:paraId="7E1E5704" w14:textId="77777777" w:rsidR="00D926C6" w:rsidRPr="00DB5D0D" w:rsidRDefault="00D926C6" w:rsidP="00DB5D0D">
      <w:pPr>
        <w:spacing w:after="0" w:line="240" w:lineRule="auto"/>
        <w:jc w:val="both"/>
        <w:rPr>
          <w:rFonts w:ascii="Times New Roman" w:hAnsi="Times New Roman"/>
          <w:color w:val="000000" w:themeColor="text1"/>
          <w:sz w:val="16"/>
          <w:szCs w:val="16"/>
        </w:rPr>
      </w:pPr>
    </w:p>
    <w:p w14:paraId="6CFD2EC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47F9ACD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069894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в Москве открыт стадион «Динамо» (4962).</w:t>
      </w:r>
    </w:p>
    <w:p w14:paraId="7BC35CD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0CCFF2B" w14:textId="77777777" w:rsidR="00D926C6" w:rsidRPr="00DB5D0D" w:rsidRDefault="00D926C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4 июня</w:t>
      </w:r>
      <w:r w:rsidRPr="00DB5D0D">
        <w:rPr>
          <w:rFonts w:ascii="Times New Roman" w:hAnsi="Times New Roman"/>
          <w:color w:val="000000" w:themeColor="text1"/>
          <w:sz w:val="16"/>
          <w:szCs w:val="16"/>
        </w:rPr>
        <w:t xml:space="preserve"> в 1940 году открытие стадиона «Динамо» в Москве. В первом футбольном матче на поле нового стадиона встречаются команды московского и киевского «Динамо». Со счетом 8:5 побеждают москвичи. Подобной результативности обеих команд в первенстве СССР больше никогда не будет (14912).</w:t>
      </w:r>
    </w:p>
    <w:p w14:paraId="2365D97B" w14:textId="77777777" w:rsidR="00D926C6" w:rsidRPr="00DB5D0D" w:rsidRDefault="00D926C6" w:rsidP="00DB5D0D">
      <w:pPr>
        <w:spacing w:after="0" w:line="240" w:lineRule="auto"/>
        <w:jc w:val="both"/>
        <w:rPr>
          <w:rFonts w:ascii="Times New Roman" w:hAnsi="Times New Roman"/>
          <w:color w:val="000000" w:themeColor="text1"/>
          <w:sz w:val="16"/>
          <w:szCs w:val="16"/>
        </w:rPr>
      </w:pPr>
    </w:p>
    <w:p w14:paraId="15551AC1"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CF0142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1415B22" w14:textId="77777777" w:rsidR="00C7362D" w:rsidRPr="00DB5D0D" w:rsidRDefault="00C736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4 июня</w:t>
      </w:r>
      <w:r w:rsidRPr="00DB5D0D">
        <w:rPr>
          <w:rFonts w:ascii="Times New Roman" w:hAnsi="Times New Roman"/>
          <w:color w:val="000000" w:themeColor="text1"/>
          <w:sz w:val="16"/>
          <w:szCs w:val="16"/>
        </w:rPr>
        <w:t xml:space="preserve"> в 1940 году у города Гулбене разбился пилот латвийский ВВС Морканс. Разбился на «SV-5», на котором 31 мая предпринял попытку бегства в СССР лейтенант Леонс Вайдерс и который российские власти накануне вернули (14912).</w:t>
      </w:r>
    </w:p>
    <w:p w14:paraId="6351E7B7" w14:textId="77777777" w:rsidR="00C7362D" w:rsidRPr="00DB5D0D" w:rsidRDefault="00C7362D" w:rsidP="00DB5D0D">
      <w:pPr>
        <w:spacing w:after="0" w:line="240" w:lineRule="auto"/>
        <w:jc w:val="both"/>
        <w:rPr>
          <w:rFonts w:ascii="Times New Roman" w:hAnsi="Times New Roman"/>
          <w:color w:val="000000" w:themeColor="text1"/>
          <w:sz w:val="16"/>
          <w:szCs w:val="16"/>
        </w:rPr>
      </w:pPr>
    </w:p>
    <w:p w14:paraId="4513B7F1"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июня 1940 BOAC начинает два раза в неделю сообщение между Соединенным Королевством и Португалией, которое, как запланировано, соединится с рейсами Pan American Airways из Лиссабона в Нью-Йорк. Первые войска союзников начинают вывод из Норвегии, прикрытые самолетами британского авианосца HMS Ark Royal  (20795).</w:t>
      </w:r>
    </w:p>
    <w:p w14:paraId="20847F21" w14:textId="77777777" w:rsidR="00F06892" w:rsidRPr="00DB5D0D" w:rsidRDefault="00F06892" w:rsidP="00DB5D0D">
      <w:pPr>
        <w:spacing w:after="0" w:line="240" w:lineRule="auto"/>
        <w:jc w:val="both"/>
        <w:rPr>
          <w:rFonts w:ascii="Times New Roman" w:hAnsi="Times New Roman"/>
          <w:color w:val="0070C0"/>
          <w:sz w:val="16"/>
          <w:szCs w:val="16"/>
        </w:rPr>
      </w:pPr>
    </w:p>
    <w:p w14:paraId="5833327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сдались в плен 40 тысяч французских солдат, прикрывавших эвакуацию союзников из Дюнкерка (4962).</w:t>
      </w:r>
    </w:p>
    <w:p w14:paraId="3F23068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DBE049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4th, 1940: German troops enter Dunkirk, taking 40,000 French prisoners and huge quantities of abandoned British equipment: 84,000 vehicles, 2,500 guns and 650,000 tons of supplies and ammunition. French bombers carry out night raids on Munich and Frankfurt, with negligible results (3819).</w:t>
      </w:r>
    </w:p>
    <w:p w14:paraId="3DC3F53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21A42F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немецкие войска вошли в Дюнкерк и взяли в плен 40 тыс. французских солдат и множество оставленного Великобританией военного оборудования и вооружений, в т.ч. 84 тыс. автомобилей, 2500 пушек, 650000 т боеприпасов. Французские бомбардировщики выполнили ночной налет на Мюнхен и Франкфурт с незначительными последствиями (3819).</w:t>
      </w:r>
    </w:p>
    <w:p w14:paraId="32B2C18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EB6BB93" w14:textId="77777777" w:rsidR="00C7362D" w:rsidRPr="00DB5D0D" w:rsidRDefault="00C736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4 июня</w:t>
      </w:r>
      <w:r w:rsidRPr="00DB5D0D">
        <w:rPr>
          <w:rFonts w:ascii="Times New Roman" w:hAnsi="Times New Roman"/>
          <w:color w:val="000000" w:themeColor="text1"/>
          <w:sz w:val="16"/>
          <w:szCs w:val="16"/>
        </w:rPr>
        <w:t xml:space="preserve"> в 1940 году завершение эвакуации англо-французских войск из-под Дюнкерка. В ходе нее англичане потеряли 63 тысячи автомобилей, всю артиллерию, 6 эсминцев и 106 самолетов. Удалось эвакуировать основные силы британской экспедиционной армии (более 200 тысяч человек), а также более 100 тысяч французских солдат и офицеров. 40 тысяч французских солдат попало в плен (14912).</w:t>
      </w:r>
    </w:p>
    <w:p w14:paraId="1346A8FB" w14:textId="77777777" w:rsidR="00C7362D" w:rsidRPr="00DB5D0D" w:rsidRDefault="00C7362D" w:rsidP="00DB5D0D">
      <w:pPr>
        <w:spacing w:after="0" w:line="240" w:lineRule="auto"/>
        <w:jc w:val="both"/>
        <w:rPr>
          <w:rFonts w:ascii="Times New Roman" w:hAnsi="Times New Roman"/>
          <w:color w:val="000000" w:themeColor="text1"/>
          <w:sz w:val="16"/>
          <w:szCs w:val="16"/>
        </w:rPr>
      </w:pPr>
    </w:p>
    <w:p w14:paraId="18CD6FF7" w14:textId="77777777" w:rsidR="00C7362D" w:rsidRPr="00DB5D0D" w:rsidRDefault="00C736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4 июня</w:t>
      </w:r>
      <w:r w:rsidRPr="00DB5D0D">
        <w:rPr>
          <w:rFonts w:ascii="Times New Roman" w:hAnsi="Times New Roman"/>
          <w:color w:val="000000" w:themeColor="text1"/>
          <w:sz w:val="16"/>
          <w:szCs w:val="16"/>
        </w:rPr>
        <w:t xml:space="preserve"> в 1940 году немецкие войска входят в Париж (14912).</w:t>
      </w:r>
    </w:p>
    <w:p w14:paraId="1C4D14D9" w14:textId="77777777" w:rsidR="00C7362D" w:rsidRPr="00DB5D0D" w:rsidRDefault="00C7362D" w:rsidP="00DB5D0D">
      <w:pPr>
        <w:spacing w:after="0" w:line="240" w:lineRule="auto"/>
        <w:jc w:val="both"/>
        <w:rPr>
          <w:rFonts w:ascii="Times New Roman" w:hAnsi="Times New Roman"/>
          <w:color w:val="000000" w:themeColor="text1"/>
          <w:sz w:val="16"/>
          <w:szCs w:val="16"/>
        </w:rPr>
      </w:pPr>
    </w:p>
    <w:p w14:paraId="542592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Англия имела всего 446 боеготовых истребителя (340,11).</w:t>
      </w:r>
    </w:p>
    <w:p w14:paraId="40746DF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DAB53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генерал Арнольд принял решение из 4 проектов бомбардировщика остановиться на двух: ХВ-29 Боинга и ХВ-30 Локхида (на основе проекта пассажирского самолета Констелэйшн) (1051,11).</w:t>
      </w:r>
    </w:p>
    <w:p w14:paraId="40AC6D5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EC70C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6AFAD5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C9A49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Зам. нач. 11 ГУ Шишкин писал письмо N 54/1010 Нач. ЦАГИ Шульженко (копия директору завода 156 Ленкину) по вопросу оказания помощи КБ тов. Кочеригина.</w:t>
      </w:r>
    </w:p>
    <w:p w14:paraId="360F5F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включить в план работ ЦАГИ работу по исследованию ВМГ с центральным входом охлаждающего воздуха на проектируемом самолете ОПБ с М90 конструкции Кочеригина и окажите помощь тов. Кочеригину в разработке тормозных щитков для ограничения скорости пикирования... (2062,48).</w:t>
      </w:r>
    </w:p>
    <w:p w14:paraId="06BE34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М.б. то самое фото - не И-185, а ОПБ?</w:t>
      </w:r>
    </w:p>
    <w:p w14:paraId="49E0287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7C87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и завода 22 Камкин и Рубцов писали докладную записку N 6222с ЦК ВКП(б) И.В.С. и Зам. пред. СНК К.Е.В. с предложением создать тяжелый ПБ с двумя спарками АМ-37 или М-107 и обещали скорость 700 +/- 20 км/час и дальность 4250 с 1500 кг бомб и весе 15700 кг. Отклонили потом (1192,3).</w:t>
      </w:r>
    </w:p>
    <w:p w14:paraId="3F564EF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2172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вышло постановление КО N 243 (245 - 1302,354) "О ББ конструкции Грушина" о постройке 2 экз. одноместного ближнего бомбардировщика конструкции Грушина МАИ. 1-й экз. - М-105ТК - к августу 1940, 2-го - к сентябрю 1940 (822).</w:t>
      </w:r>
    </w:p>
    <w:p w14:paraId="373F72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 Спроектировать и построить в МАИ (директор Семичаснов и ГК Грушин) ближний бомбардировщик с мотором М-105 ТК-2 на трекхколесном шасси. Предусмотреть во 2-м варианте возможность установки более мощного мотора (1301,354).</w:t>
      </w:r>
    </w:p>
    <w:p w14:paraId="181E54B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A41D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года вышло Постановление N 243сс КО О ближнем бомбардировщике конструкции Грушина.</w:t>
      </w:r>
    </w:p>
    <w:p w14:paraId="590548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3AAADB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Наркомат Авиапрома:</w:t>
      </w:r>
    </w:p>
    <w:p w14:paraId="47BBDB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Спроектировать и построить в МАИ (директор - Семичастнов и гл. конструктор Грушин) ближний бомбардировщик с мотором М-105 ТК-2 на трехколесном шасси со следующими основными летно-техническими характеристиками: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3833"/>
      </w:tblGrid>
      <w:tr w:rsidR="007D5DF8" w:rsidRPr="00DB5D0D" w14:paraId="3E8164B0" w14:textId="77777777" w:rsidTr="009223E5">
        <w:tc>
          <w:tcPr>
            <w:tcW w:w="3833" w:type="dxa"/>
            <w:tcBorders>
              <w:top w:val="single" w:sz="12" w:space="0" w:color="auto"/>
            </w:tcBorders>
          </w:tcPr>
          <w:p w14:paraId="0CCDF2A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33" w:type="dxa"/>
            <w:tcBorders>
              <w:top w:val="single" w:sz="12" w:space="0" w:color="auto"/>
            </w:tcBorders>
          </w:tcPr>
          <w:p w14:paraId="53E203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ТК-2</w:t>
            </w:r>
          </w:p>
        </w:tc>
        <w:tc>
          <w:tcPr>
            <w:tcW w:w="3833" w:type="dxa"/>
            <w:tcBorders>
              <w:top w:val="single" w:sz="12" w:space="0" w:color="auto"/>
            </w:tcBorders>
          </w:tcPr>
          <w:p w14:paraId="20BE45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ТК-2</w:t>
            </w:r>
          </w:p>
        </w:tc>
      </w:tr>
      <w:tr w:rsidR="007D5DF8" w:rsidRPr="00DB5D0D" w14:paraId="5A3F55A1" w14:textId="77777777" w:rsidTr="009223E5">
        <w:tc>
          <w:tcPr>
            <w:tcW w:w="3833" w:type="dxa"/>
          </w:tcPr>
          <w:p w14:paraId="050086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w:t>
            </w:r>
          </w:p>
        </w:tc>
        <w:tc>
          <w:tcPr>
            <w:tcW w:w="3833" w:type="dxa"/>
          </w:tcPr>
          <w:p w14:paraId="004088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463 км/час</w:t>
            </w:r>
          </w:p>
        </w:tc>
        <w:tc>
          <w:tcPr>
            <w:tcW w:w="3833" w:type="dxa"/>
          </w:tcPr>
          <w:p w14:paraId="46D451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463 км/час</w:t>
            </w:r>
          </w:p>
        </w:tc>
      </w:tr>
      <w:tr w:rsidR="007D5DF8" w:rsidRPr="00DB5D0D" w14:paraId="65C68CD0" w14:textId="77777777" w:rsidTr="009223E5">
        <w:tc>
          <w:tcPr>
            <w:tcW w:w="3833" w:type="dxa"/>
          </w:tcPr>
          <w:p w14:paraId="4AC4F0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w:t>
            </w:r>
          </w:p>
        </w:tc>
        <w:tc>
          <w:tcPr>
            <w:tcW w:w="3833" w:type="dxa"/>
          </w:tcPr>
          <w:p w14:paraId="0040F3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560-570 км/час</w:t>
            </w:r>
          </w:p>
        </w:tc>
        <w:tc>
          <w:tcPr>
            <w:tcW w:w="3833" w:type="dxa"/>
          </w:tcPr>
          <w:p w14:paraId="56BB2D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525-540 км/час</w:t>
            </w:r>
          </w:p>
        </w:tc>
      </w:tr>
      <w:tr w:rsidR="007D5DF8" w:rsidRPr="00DB5D0D" w14:paraId="2116B3C7" w14:textId="77777777" w:rsidTr="009223E5">
        <w:tc>
          <w:tcPr>
            <w:tcW w:w="3833" w:type="dxa"/>
          </w:tcPr>
          <w:p w14:paraId="0D14F0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расчетной высоте</w:t>
            </w:r>
          </w:p>
        </w:tc>
        <w:tc>
          <w:tcPr>
            <w:tcW w:w="3833" w:type="dxa"/>
          </w:tcPr>
          <w:p w14:paraId="775F83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 м</w:t>
            </w:r>
          </w:p>
        </w:tc>
        <w:tc>
          <w:tcPr>
            <w:tcW w:w="3833" w:type="dxa"/>
          </w:tcPr>
          <w:p w14:paraId="265189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4800 м</w:t>
            </w:r>
          </w:p>
        </w:tc>
      </w:tr>
      <w:tr w:rsidR="007D5DF8" w:rsidRPr="00DB5D0D" w14:paraId="1626731E" w14:textId="77777777" w:rsidTr="009223E5">
        <w:tc>
          <w:tcPr>
            <w:tcW w:w="3833" w:type="dxa"/>
          </w:tcPr>
          <w:p w14:paraId="7EFB8C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высоту 5000 м</w:t>
            </w:r>
          </w:p>
        </w:tc>
        <w:tc>
          <w:tcPr>
            <w:tcW w:w="3833" w:type="dxa"/>
          </w:tcPr>
          <w:p w14:paraId="135153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 мин.</w:t>
            </w:r>
          </w:p>
        </w:tc>
        <w:tc>
          <w:tcPr>
            <w:tcW w:w="3833" w:type="dxa"/>
          </w:tcPr>
          <w:p w14:paraId="31F81A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 мин.</w:t>
            </w:r>
          </w:p>
        </w:tc>
      </w:tr>
      <w:tr w:rsidR="007D5DF8" w:rsidRPr="00DB5D0D" w14:paraId="51DA1A8C" w14:textId="77777777" w:rsidTr="009223E5">
        <w:tc>
          <w:tcPr>
            <w:tcW w:w="3833" w:type="dxa"/>
          </w:tcPr>
          <w:p w14:paraId="5C1B11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высоту 8000 м</w:t>
            </w:r>
          </w:p>
        </w:tc>
        <w:tc>
          <w:tcPr>
            <w:tcW w:w="3833" w:type="dxa"/>
          </w:tcPr>
          <w:p w14:paraId="156A00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17,8 мин.</w:t>
            </w:r>
          </w:p>
        </w:tc>
        <w:tc>
          <w:tcPr>
            <w:tcW w:w="3833" w:type="dxa"/>
          </w:tcPr>
          <w:p w14:paraId="1EA8EE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25,6 мин.</w:t>
            </w:r>
          </w:p>
        </w:tc>
      </w:tr>
      <w:tr w:rsidR="007D5DF8" w:rsidRPr="00DB5D0D" w14:paraId="7274B5FB" w14:textId="77777777" w:rsidTr="009223E5">
        <w:tc>
          <w:tcPr>
            <w:tcW w:w="3833" w:type="dxa"/>
          </w:tcPr>
          <w:p w14:paraId="37395E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Практический потолок</w:t>
            </w:r>
          </w:p>
        </w:tc>
        <w:tc>
          <w:tcPr>
            <w:tcW w:w="3833" w:type="dxa"/>
          </w:tcPr>
          <w:p w14:paraId="2EF1E9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11250 м</w:t>
            </w:r>
          </w:p>
        </w:tc>
        <w:tc>
          <w:tcPr>
            <w:tcW w:w="3833" w:type="dxa"/>
          </w:tcPr>
          <w:p w14:paraId="119093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8320 м</w:t>
            </w:r>
          </w:p>
        </w:tc>
      </w:tr>
      <w:tr w:rsidR="007D5DF8" w:rsidRPr="00DB5D0D" w14:paraId="54D2DF60" w14:textId="77777777" w:rsidTr="009223E5">
        <w:tc>
          <w:tcPr>
            <w:tcW w:w="3833" w:type="dxa"/>
          </w:tcPr>
          <w:p w14:paraId="027641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w:t>
            </w:r>
          </w:p>
        </w:tc>
        <w:tc>
          <w:tcPr>
            <w:tcW w:w="3833" w:type="dxa"/>
          </w:tcPr>
          <w:p w14:paraId="0DCB7ED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33" w:type="dxa"/>
          </w:tcPr>
          <w:p w14:paraId="52CE710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3F8D030" w14:textId="77777777" w:rsidTr="009223E5">
        <w:tc>
          <w:tcPr>
            <w:tcW w:w="3833" w:type="dxa"/>
          </w:tcPr>
          <w:p w14:paraId="38D04A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6000 м</w:t>
            </w:r>
          </w:p>
        </w:tc>
        <w:tc>
          <w:tcPr>
            <w:tcW w:w="3833" w:type="dxa"/>
          </w:tcPr>
          <w:p w14:paraId="29D28E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 км</w:t>
            </w:r>
          </w:p>
        </w:tc>
        <w:tc>
          <w:tcPr>
            <w:tcW w:w="3833" w:type="dxa"/>
          </w:tcPr>
          <w:p w14:paraId="0D9EE6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 км</w:t>
            </w:r>
          </w:p>
        </w:tc>
      </w:tr>
      <w:tr w:rsidR="007D5DF8" w:rsidRPr="00DB5D0D" w14:paraId="563ED909" w14:textId="77777777" w:rsidTr="009223E5">
        <w:tc>
          <w:tcPr>
            <w:tcW w:w="3833" w:type="dxa"/>
            <w:tcBorders>
              <w:bottom w:val="single" w:sz="12" w:space="0" w:color="auto"/>
            </w:tcBorders>
          </w:tcPr>
          <w:p w14:paraId="1B5776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w:t>
            </w:r>
          </w:p>
        </w:tc>
        <w:tc>
          <w:tcPr>
            <w:tcW w:w="3833" w:type="dxa"/>
            <w:tcBorders>
              <w:bottom w:val="single" w:sz="12" w:space="0" w:color="auto"/>
            </w:tcBorders>
          </w:tcPr>
          <w:p w14:paraId="057203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120-130 км/час</w:t>
            </w:r>
          </w:p>
        </w:tc>
        <w:tc>
          <w:tcPr>
            <w:tcW w:w="3833" w:type="dxa"/>
            <w:tcBorders>
              <w:bottom w:val="single" w:sz="12" w:space="0" w:color="auto"/>
            </w:tcBorders>
          </w:tcPr>
          <w:p w14:paraId="020007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120-130 км/час</w:t>
            </w:r>
          </w:p>
        </w:tc>
      </w:tr>
    </w:tbl>
    <w:p w14:paraId="441918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11D166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синхронный пулемет впереди кал. 7,62 мм</w:t>
      </w:r>
    </w:p>
    <w:p w14:paraId="29520F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на турели кал. 7,62 мм</w:t>
      </w:r>
    </w:p>
    <w:p w14:paraId="4C1A2D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Емкость бомбового отсека 600 кг</w:t>
      </w:r>
    </w:p>
    <w:p w14:paraId="234474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предъявить на гос. испытания в июле 1940 года, второй экземпляр в сентябре 1904 года.</w:t>
      </w:r>
    </w:p>
    <w:p w14:paraId="1448CC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Предусмотреть на втором экземпляре возможность установки более мощного мотора.</w:t>
      </w:r>
    </w:p>
    <w:p w14:paraId="47DEF1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Отменить постановление КО "О создании нового экспериментального двухместного штурмовика" от 29 июля 1939 года N 260 сс (3386).</w:t>
      </w:r>
    </w:p>
    <w:p w14:paraId="4ED9863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9FE58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года постановление № 243сс КО</w:t>
      </w:r>
    </w:p>
    <w:p w14:paraId="7DA736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ближнем бомбардировщике конструкции Грушина</w:t>
      </w:r>
    </w:p>
    <w:p w14:paraId="12F0E5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3EA5F21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w:t>
      </w:r>
    </w:p>
    <w:p w14:paraId="7F44E9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Спроектировать и построить в МАИ (директор Семичастнов и гл. конструктор Грушин) ближний бомбардировщик с мотором М-105 ТК-2 на трехколесном шасси со следующими основными летно-техническими характеристиками: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7D5DF8" w:rsidRPr="00DB5D0D" w14:paraId="09327F25" w14:textId="77777777" w:rsidTr="009223E5">
        <w:tc>
          <w:tcPr>
            <w:tcW w:w="3868" w:type="dxa"/>
          </w:tcPr>
          <w:p w14:paraId="11D1915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68" w:type="dxa"/>
          </w:tcPr>
          <w:p w14:paraId="2FC259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ТК-2</w:t>
            </w:r>
          </w:p>
        </w:tc>
        <w:tc>
          <w:tcPr>
            <w:tcW w:w="3868" w:type="dxa"/>
          </w:tcPr>
          <w:p w14:paraId="4DEC9C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ТК-2</w:t>
            </w:r>
          </w:p>
        </w:tc>
      </w:tr>
      <w:tr w:rsidR="007D5DF8" w:rsidRPr="00DB5D0D" w14:paraId="75B8C180" w14:textId="77777777" w:rsidTr="009223E5">
        <w:tc>
          <w:tcPr>
            <w:tcW w:w="3868" w:type="dxa"/>
          </w:tcPr>
          <w:p w14:paraId="71445D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w:t>
            </w:r>
          </w:p>
        </w:tc>
        <w:tc>
          <w:tcPr>
            <w:tcW w:w="3868" w:type="dxa"/>
          </w:tcPr>
          <w:p w14:paraId="66C96D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463 км/час</w:t>
            </w:r>
          </w:p>
        </w:tc>
        <w:tc>
          <w:tcPr>
            <w:tcW w:w="3868" w:type="dxa"/>
          </w:tcPr>
          <w:p w14:paraId="587759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463 км/час</w:t>
            </w:r>
          </w:p>
        </w:tc>
      </w:tr>
      <w:tr w:rsidR="007D5DF8" w:rsidRPr="00DB5D0D" w14:paraId="5772E6DD" w14:textId="77777777" w:rsidTr="009223E5">
        <w:tc>
          <w:tcPr>
            <w:tcW w:w="3868" w:type="dxa"/>
          </w:tcPr>
          <w:p w14:paraId="4BE442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расчетной высоте</w:t>
            </w:r>
          </w:p>
        </w:tc>
        <w:tc>
          <w:tcPr>
            <w:tcW w:w="3868" w:type="dxa"/>
          </w:tcPr>
          <w:p w14:paraId="0ED49A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560-570 км/час на 8000 м</w:t>
            </w:r>
          </w:p>
        </w:tc>
        <w:tc>
          <w:tcPr>
            <w:tcW w:w="3868" w:type="dxa"/>
          </w:tcPr>
          <w:p w14:paraId="0D2B76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525- 540 км/час на 4800 м</w:t>
            </w:r>
          </w:p>
        </w:tc>
      </w:tr>
      <w:tr w:rsidR="007D5DF8" w:rsidRPr="00DB5D0D" w14:paraId="5486CCBB" w14:textId="77777777" w:rsidTr="009223E5">
        <w:tc>
          <w:tcPr>
            <w:tcW w:w="3868" w:type="dxa"/>
          </w:tcPr>
          <w:p w14:paraId="6E0F87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высоту 5000 м</w:t>
            </w:r>
          </w:p>
        </w:tc>
        <w:tc>
          <w:tcPr>
            <w:tcW w:w="3868" w:type="dxa"/>
          </w:tcPr>
          <w:p w14:paraId="64BEA9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 мин.</w:t>
            </w:r>
          </w:p>
        </w:tc>
        <w:tc>
          <w:tcPr>
            <w:tcW w:w="3868" w:type="dxa"/>
          </w:tcPr>
          <w:p w14:paraId="017DDC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 мин.</w:t>
            </w:r>
          </w:p>
        </w:tc>
      </w:tr>
      <w:tr w:rsidR="007D5DF8" w:rsidRPr="00DB5D0D" w14:paraId="5BE16235" w14:textId="77777777" w:rsidTr="009223E5">
        <w:tc>
          <w:tcPr>
            <w:tcW w:w="3868" w:type="dxa"/>
          </w:tcPr>
          <w:p w14:paraId="526908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высоту 8000 м</w:t>
            </w:r>
          </w:p>
        </w:tc>
        <w:tc>
          <w:tcPr>
            <w:tcW w:w="3868" w:type="dxa"/>
          </w:tcPr>
          <w:p w14:paraId="227862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17,8 мин.</w:t>
            </w:r>
          </w:p>
        </w:tc>
        <w:tc>
          <w:tcPr>
            <w:tcW w:w="3868" w:type="dxa"/>
          </w:tcPr>
          <w:p w14:paraId="7F5786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25,6 мин.</w:t>
            </w:r>
          </w:p>
        </w:tc>
      </w:tr>
      <w:tr w:rsidR="007D5DF8" w:rsidRPr="00DB5D0D" w14:paraId="0660AB28" w14:textId="77777777" w:rsidTr="009223E5">
        <w:tc>
          <w:tcPr>
            <w:tcW w:w="3868" w:type="dxa"/>
          </w:tcPr>
          <w:p w14:paraId="708179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3868" w:type="dxa"/>
          </w:tcPr>
          <w:p w14:paraId="321278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11250 м</w:t>
            </w:r>
          </w:p>
        </w:tc>
        <w:tc>
          <w:tcPr>
            <w:tcW w:w="3868" w:type="dxa"/>
          </w:tcPr>
          <w:p w14:paraId="09AE7F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8320 м</w:t>
            </w:r>
          </w:p>
        </w:tc>
      </w:tr>
      <w:tr w:rsidR="007D5DF8" w:rsidRPr="00DB5D0D" w14:paraId="0BF56D95" w14:textId="77777777" w:rsidTr="009223E5">
        <w:tc>
          <w:tcPr>
            <w:tcW w:w="3868" w:type="dxa"/>
          </w:tcPr>
          <w:p w14:paraId="4592C9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на высоте 6000 м</w:t>
            </w:r>
          </w:p>
        </w:tc>
        <w:tc>
          <w:tcPr>
            <w:tcW w:w="3868" w:type="dxa"/>
          </w:tcPr>
          <w:p w14:paraId="2B5AD7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 км</w:t>
            </w:r>
          </w:p>
        </w:tc>
        <w:tc>
          <w:tcPr>
            <w:tcW w:w="3868" w:type="dxa"/>
          </w:tcPr>
          <w:p w14:paraId="570C3F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 км</w:t>
            </w:r>
          </w:p>
        </w:tc>
      </w:tr>
      <w:tr w:rsidR="007D5DF8" w:rsidRPr="00DB5D0D" w14:paraId="20B971CD" w14:textId="77777777" w:rsidTr="009223E5">
        <w:tc>
          <w:tcPr>
            <w:tcW w:w="3868" w:type="dxa"/>
          </w:tcPr>
          <w:p w14:paraId="6179AA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w:t>
            </w:r>
          </w:p>
        </w:tc>
        <w:tc>
          <w:tcPr>
            <w:tcW w:w="3868" w:type="dxa"/>
          </w:tcPr>
          <w:p w14:paraId="13945A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120-130 км/час</w:t>
            </w:r>
          </w:p>
        </w:tc>
        <w:tc>
          <w:tcPr>
            <w:tcW w:w="3868" w:type="dxa"/>
          </w:tcPr>
          <w:p w14:paraId="3D6682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120-130 км/час</w:t>
            </w:r>
          </w:p>
        </w:tc>
      </w:tr>
    </w:tbl>
    <w:p w14:paraId="054F85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56C87D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синхронный пулемет впереди калибра 7,62 мм</w:t>
      </w:r>
    </w:p>
    <w:p w14:paraId="64953C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на турели калибра 7,62 мм</w:t>
      </w:r>
    </w:p>
    <w:p w14:paraId="4C2EB2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Емкость бомбового отсека – 600 кг</w:t>
      </w:r>
    </w:p>
    <w:p w14:paraId="368ED6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предъявить на госиспытания в июле 1940 года, второй экземпляр – в сентябре 1940 года.</w:t>
      </w:r>
    </w:p>
    <w:p w14:paraId="20D3D0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Предусмотреть на втором экземпляре возможность установки более мощного мотора.</w:t>
      </w:r>
    </w:p>
    <w:p w14:paraId="78E1E23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Отменить постановление КО "О создании нового экспериментального двухместного штурмовика" от 29 июля 1939 года за № 260сс (7611, 80-81).</w:t>
      </w:r>
    </w:p>
    <w:p w14:paraId="0CB0EB4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7A3E770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года записка Ворошилову К.Е.</w:t>
      </w:r>
    </w:p>
    <w:p w14:paraId="496933E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подготовке проектов постановлений КО о постройке новых опытных истребителей конструкции Болховитинова и Бериева, с привлечением Смушкевича Я.А. и конструктора Болховитинова, возникли следующие разногласия по тактико-техническим данным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2"/>
        <w:gridCol w:w="2608"/>
        <w:gridCol w:w="1758"/>
        <w:gridCol w:w="1758"/>
        <w:gridCol w:w="1758"/>
        <w:gridCol w:w="1758"/>
      </w:tblGrid>
      <w:tr w:rsidR="007D5DF8" w:rsidRPr="00DB5D0D" w14:paraId="162680C4" w14:textId="77777777" w:rsidTr="009223E5">
        <w:tc>
          <w:tcPr>
            <w:tcW w:w="1932" w:type="dxa"/>
          </w:tcPr>
          <w:p w14:paraId="63F87E7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Чей самолет</w:t>
            </w:r>
          </w:p>
        </w:tc>
        <w:tc>
          <w:tcPr>
            <w:tcW w:w="2608" w:type="dxa"/>
          </w:tcPr>
          <w:p w14:paraId="4F19078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Летно-тактические данные</w:t>
            </w:r>
          </w:p>
        </w:tc>
        <w:tc>
          <w:tcPr>
            <w:tcW w:w="1758" w:type="dxa"/>
          </w:tcPr>
          <w:p w14:paraId="0E43A86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Записано в проекте НКАП</w:t>
            </w:r>
          </w:p>
        </w:tc>
        <w:tc>
          <w:tcPr>
            <w:tcW w:w="1758" w:type="dxa"/>
          </w:tcPr>
          <w:p w14:paraId="549F6A4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Смушкевича</w:t>
            </w:r>
          </w:p>
        </w:tc>
        <w:tc>
          <w:tcPr>
            <w:tcW w:w="1758" w:type="dxa"/>
          </w:tcPr>
          <w:p w14:paraId="02BC115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Болховитинова</w:t>
            </w:r>
          </w:p>
        </w:tc>
        <w:tc>
          <w:tcPr>
            <w:tcW w:w="1758" w:type="dxa"/>
          </w:tcPr>
          <w:p w14:paraId="03F2D6C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секретариата КО</w:t>
            </w:r>
          </w:p>
        </w:tc>
      </w:tr>
      <w:tr w:rsidR="007D5DF8" w:rsidRPr="00DB5D0D" w14:paraId="7A78D44E" w14:textId="77777777" w:rsidTr="009223E5">
        <w:tc>
          <w:tcPr>
            <w:tcW w:w="1932" w:type="dxa"/>
          </w:tcPr>
          <w:p w14:paraId="5E269BF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Болховитинова</w:t>
            </w:r>
          </w:p>
        </w:tc>
        <w:tc>
          <w:tcPr>
            <w:tcW w:w="2608" w:type="dxa"/>
          </w:tcPr>
          <w:p w14:paraId="0A3A02E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с 2М-103</w:t>
            </w:r>
          </w:p>
        </w:tc>
        <w:tc>
          <w:tcPr>
            <w:tcW w:w="1758" w:type="dxa"/>
          </w:tcPr>
          <w:p w14:paraId="6E8D06B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1758" w:type="dxa"/>
          </w:tcPr>
          <w:p w14:paraId="3347954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720</w:t>
            </w:r>
          </w:p>
        </w:tc>
        <w:tc>
          <w:tcPr>
            <w:tcW w:w="1758" w:type="dxa"/>
          </w:tcPr>
          <w:p w14:paraId="5C3706A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720</w:t>
            </w:r>
          </w:p>
        </w:tc>
        <w:tc>
          <w:tcPr>
            <w:tcW w:w="1758" w:type="dxa"/>
          </w:tcPr>
          <w:p w14:paraId="46064B0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720</w:t>
            </w:r>
          </w:p>
        </w:tc>
      </w:tr>
      <w:tr w:rsidR="007D5DF8" w:rsidRPr="00DB5D0D" w14:paraId="6B289DA5" w14:textId="77777777" w:rsidTr="009223E5">
        <w:tc>
          <w:tcPr>
            <w:tcW w:w="1932" w:type="dxa"/>
          </w:tcPr>
          <w:p w14:paraId="0875BE3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Бериева</w:t>
            </w:r>
          </w:p>
        </w:tc>
        <w:tc>
          <w:tcPr>
            <w:tcW w:w="2608" w:type="dxa"/>
          </w:tcPr>
          <w:p w14:paraId="280EB32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с 2М-105</w:t>
            </w:r>
          </w:p>
        </w:tc>
        <w:tc>
          <w:tcPr>
            <w:tcW w:w="1758" w:type="dxa"/>
          </w:tcPr>
          <w:p w14:paraId="56FA8B1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1758" w:type="dxa"/>
          </w:tcPr>
          <w:p w14:paraId="64B7FC7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740</w:t>
            </w:r>
          </w:p>
        </w:tc>
        <w:tc>
          <w:tcPr>
            <w:tcW w:w="1758" w:type="dxa"/>
          </w:tcPr>
          <w:p w14:paraId="015CBFF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758" w:type="dxa"/>
          </w:tcPr>
          <w:p w14:paraId="5E3D27B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740</w:t>
            </w:r>
          </w:p>
        </w:tc>
      </w:tr>
      <w:tr w:rsidR="007D5DF8" w:rsidRPr="00DB5D0D" w14:paraId="0986E8D0" w14:textId="77777777" w:rsidTr="009223E5">
        <w:tc>
          <w:tcPr>
            <w:tcW w:w="1932" w:type="dxa"/>
          </w:tcPr>
          <w:p w14:paraId="1034C14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Оба самолета</w:t>
            </w:r>
          </w:p>
        </w:tc>
        <w:tc>
          <w:tcPr>
            <w:tcW w:w="2608" w:type="dxa"/>
          </w:tcPr>
          <w:p w14:paraId="52E7577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с 2М-107</w:t>
            </w:r>
          </w:p>
        </w:tc>
        <w:tc>
          <w:tcPr>
            <w:tcW w:w="1758" w:type="dxa"/>
          </w:tcPr>
          <w:p w14:paraId="10147E6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w:t>
            </w:r>
          </w:p>
        </w:tc>
        <w:tc>
          <w:tcPr>
            <w:tcW w:w="1758" w:type="dxa"/>
          </w:tcPr>
          <w:p w14:paraId="7D41F20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780</w:t>
            </w:r>
          </w:p>
        </w:tc>
        <w:tc>
          <w:tcPr>
            <w:tcW w:w="1758" w:type="dxa"/>
          </w:tcPr>
          <w:p w14:paraId="65EF1B1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780</w:t>
            </w:r>
          </w:p>
        </w:tc>
        <w:tc>
          <w:tcPr>
            <w:tcW w:w="1758" w:type="dxa"/>
          </w:tcPr>
          <w:p w14:paraId="20EEF05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780</w:t>
            </w:r>
          </w:p>
        </w:tc>
      </w:tr>
      <w:tr w:rsidR="007D5DF8" w:rsidRPr="00DB5D0D" w14:paraId="762D9A82" w14:textId="77777777" w:rsidTr="009223E5">
        <w:tc>
          <w:tcPr>
            <w:tcW w:w="1932" w:type="dxa"/>
          </w:tcPr>
          <w:p w14:paraId="179E37A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Оба самолета</w:t>
            </w:r>
          </w:p>
        </w:tc>
        <w:tc>
          <w:tcPr>
            <w:tcW w:w="2608" w:type="dxa"/>
          </w:tcPr>
          <w:p w14:paraId="2BCA9F9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w:t>
            </w:r>
          </w:p>
        </w:tc>
        <w:tc>
          <w:tcPr>
            <w:tcW w:w="1758" w:type="dxa"/>
          </w:tcPr>
          <w:p w14:paraId="1759697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1758" w:type="dxa"/>
          </w:tcPr>
          <w:p w14:paraId="5C2F5BC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c>
          <w:tcPr>
            <w:tcW w:w="1758" w:type="dxa"/>
          </w:tcPr>
          <w:p w14:paraId="1FE1F7C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1758" w:type="dxa"/>
          </w:tcPr>
          <w:p w14:paraId="3AEB767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r>
      <w:tr w:rsidR="007D5DF8" w:rsidRPr="00DB5D0D" w14:paraId="271DDB40" w14:textId="77777777" w:rsidTr="009223E5">
        <w:tc>
          <w:tcPr>
            <w:tcW w:w="1932" w:type="dxa"/>
          </w:tcPr>
          <w:p w14:paraId="4E8D6C2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Оба самолета</w:t>
            </w:r>
          </w:p>
        </w:tc>
        <w:tc>
          <w:tcPr>
            <w:tcW w:w="2608" w:type="dxa"/>
          </w:tcPr>
          <w:p w14:paraId="227B08F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w:t>
            </w:r>
          </w:p>
        </w:tc>
        <w:tc>
          <w:tcPr>
            <w:tcW w:w="1758" w:type="dxa"/>
          </w:tcPr>
          <w:p w14:paraId="651465D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w:t>
            </w:r>
          </w:p>
        </w:tc>
        <w:tc>
          <w:tcPr>
            <w:tcW w:w="1758" w:type="dxa"/>
          </w:tcPr>
          <w:p w14:paraId="5A93CF1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758" w:type="dxa"/>
          </w:tcPr>
          <w:p w14:paraId="737C3AA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1758" w:type="dxa"/>
          </w:tcPr>
          <w:p w14:paraId="7FE2492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r>
      <w:tr w:rsidR="007D5DF8" w:rsidRPr="00DB5D0D" w14:paraId="1AE9065F" w14:textId="77777777" w:rsidTr="009223E5">
        <w:tc>
          <w:tcPr>
            <w:tcW w:w="1932" w:type="dxa"/>
          </w:tcPr>
          <w:p w14:paraId="3F70FDF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Оба самолета</w:t>
            </w:r>
          </w:p>
        </w:tc>
        <w:tc>
          <w:tcPr>
            <w:tcW w:w="2608" w:type="dxa"/>
          </w:tcPr>
          <w:p w14:paraId="6CCCC7A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перегрузкой</w:t>
            </w:r>
          </w:p>
        </w:tc>
        <w:tc>
          <w:tcPr>
            <w:tcW w:w="1758" w:type="dxa"/>
          </w:tcPr>
          <w:p w14:paraId="071404F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758" w:type="dxa"/>
          </w:tcPr>
          <w:p w14:paraId="26106E7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1758" w:type="dxa"/>
          </w:tcPr>
          <w:p w14:paraId="5F69F40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1758" w:type="dxa"/>
          </w:tcPr>
          <w:p w14:paraId="7EC306C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33281B30" w14:textId="77777777" w:rsidTr="009223E5">
        <w:tc>
          <w:tcPr>
            <w:tcW w:w="1932" w:type="dxa"/>
          </w:tcPr>
          <w:p w14:paraId="78A635F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Оба самолета</w:t>
            </w:r>
          </w:p>
        </w:tc>
        <w:tc>
          <w:tcPr>
            <w:tcW w:w="2608" w:type="dxa"/>
          </w:tcPr>
          <w:p w14:paraId="1B711B3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1758" w:type="dxa"/>
          </w:tcPr>
          <w:p w14:paraId="5D2D3EA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пушка 20-23 мм</w:t>
            </w:r>
          </w:p>
          <w:p w14:paraId="2BCA7A2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пулемета 12,7 мм</w:t>
            </w:r>
          </w:p>
        </w:tc>
        <w:tc>
          <w:tcPr>
            <w:tcW w:w="1758" w:type="dxa"/>
          </w:tcPr>
          <w:p w14:paraId="11BD9F1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 23 мм</w:t>
            </w:r>
          </w:p>
          <w:p w14:paraId="328DC6B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пулемета 12,7 мм или 1 пушка 60-76 мм</w:t>
            </w:r>
          </w:p>
          <w:p w14:paraId="040C661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 23 мм</w:t>
            </w:r>
          </w:p>
        </w:tc>
        <w:tc>
          <w:tcPr>
            <w:tcW w:w="1758" w:type="dxa"/>
          </w:tcPr>
          <w:p w14:paraId="6AB6635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 23 мм</w:t>
            </w:r>
          </w:p>
          <w:p w14:paraId="720ED82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пулемета 12,7 мм или 1 пушка 37 мм</w:t>
            </w:r>
          </w:p>
          <w:p w14:paraId="3E87233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 23 мм или</w:t>
            </w:r>
          </w:p>
          <w:p w14:paraId="615DCC2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пушки 23 мм</w:t>
            </w:r>
          </w:p>
        </w:tc>
        <w:tc>
          <w:tcPr>
            <w:tcW w:w="1758" w:type="dxa"/>
          </w:tcPr>
          <w:p w14:paraId="666E5E6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Принять предложение Болховитинова, т.к. авиапушки 60-76 мм еще нет. Обязать конструкторов предусмотреть возможность замены пулеметов 12,7 мм пушками 23 мм. Смушкевич согласен с этими предложен. самолета КО.</w:t>
            </w:r>
          </w:p>
        </w:tc>
      </w:tr>
      <w:tr w:rsidR="007D5DF8" w:rsidRPr="00DB5D0D" w14:paraId="689D9290" w14:textId="77777777" w:rsidTr="009223E5">
        <w:tc>
          <w:tcPr>
            <w:tcW w:w="1932" w:type="dxa"/>
          </w:tcPr>
          <w:p w14:paraId="24A7D9C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Болховитинова</w:t>
            </w:r>
          </w:p>
          <w:p w14:paraId="5659885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43D1746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Бериева</w:t>
            </w:r>
          </w:p>
        </w:tc>
        <w:tc>
          <w:tcPr>
            <w:tcW w:w="2608" w:type="dxa"/>
          </w:tcPr>
          <w:p w14:paraId="556AC59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предъявления 1-го экз. на гос. Испытания</w:t>
            </w:r>
          </w:p>
        </w:tc>
        <w:tc>
          <w:tcPr>
            <w:tcW w:w="1758" w:type="dxa"/>
          </w:tcPr>
          <w:p w14:paraId="7C2A301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ноября 1941</w:t>
            </w:r>
          </w:p>
          <w:p w14:paraId="7983586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3EE2C82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сентября 1941</w:t>
            </w:r>
          </w:p>
        </w:tc>
        <w:tc>
          <w:tcPr>
            <w:tcW w:w="1758" w:type="dxa"/>
          </w:tcPr>
          <w:p w14:paraId="1D2623B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1941</w:t>
            </w:r>
          </w:p>
          <w:p w14:paraId="5B34F44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198B341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1941</w:t>
            </w:r>
          </w:p>
        </w:tc>
        <w:tc>
          <w:tcPr>
            <w:tcW w:w="1758" w:type="dxa"/>
          </w:tcPr>
          <w:p w14:paraId="0C5AEF7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ноября 1941</w:t>
            </w:r>
          </w:p>
          <w:p w14:paraId="17A255A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49BD50F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ноября 1941</w:t>
            </w:r>
          </w:p>
        </w:tc>
        <w:tc>
          <w:tcPr>
            <w:tcW w:w="1758" w:type="dxa"/>
          </w:tcPr>
          <w:p w14:paraId="7ED9123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Принять предложение НКАП, так как самолеты совершенно новой схемы и их постройка будет сопровождаться проведением экспериментальных работ, что затянет сроки строительства.</w:t>
            </w:r>
          </w:p>
        </w:tc>
      </w:tr>
    </w:tbl>
    <w:p w14:paraId="000C877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(Зачеркнуто: проект постановления КО о постройке самолета Болховитинова секретариат КО дополнил пунктом, обеспечивающим НКАП форсировать строительство первой очереди опытного завода 293, строящегося на базе бывшего завода "Фотолет" и передать на этот завод необходимое число рабочих с других заводов НКАП. Эти мероприятия вызываются тем, что в настоящее время производственная база Болховитинова очень слаба и не позволяет в срок выполнить задание по новому истребителю.).</w:t>
      </w:r>
    </w:p>
    <w:p w14:paraId="7BB4A77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проголосовать проект Постановления КО в редакции Секретариата КО о создании двух опытных истребителей конструкции Болховитинова и Бериева и разрешить голосовать опросом членов КО (3420, 92-93).</w:t>
      </w:r>
    </w:p>
    <w:p w14:paraId="5C89103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113F03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И-26 М-105П ВИШ-61 А.С.Я. в ходе гос. испытаний, которые проходили с 1 по 15 июня 1940 выполнил пристрелку вооружения на земле (2924).</w:t>
      </w:r>
    </w:p>
    <w:p w14:paraId="3973BF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78D8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состоялось совещание постоянной комиссии по рассмотрению инициативных проектов, не вошедших в план 1940 (протокол 6):</w:t>
      </w:r>
    </w:p>
    <w:p w14:paraId="3F03E8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Рассмотрели проект экспериментального высотного самолета Чесалова, Скржинского, Кузнецова с 35 завода с М-107 с высотностью 17-19000 м - моноплана с крылом в форме обратной чайки. Решили, что осуществление целесообразно (1448,48).</w:t>
      </w:r>
    </w:p>
    <w:p w14:paraId="1401D27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F32F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вышло постановление КО N 245сс "Об обеспечении качественными пневматиками опытных самолетов" (1301,290).</w:t>
      </w:r>
    </w:p>
    <w:p w14:paraId="207574F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1522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целях обеспечения НКАП опытными высококачественными пгневматиками для скоростныхх самолетов, КО ПОСТАНОВЛЯЕТ:</w:t>
      </w:r>
    </w:p>
    <w:p w14:paraId="26C6B7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Наркомтяжпром - тов. Денисова М.Ф.</w:t>
      </w:r>
    </w:p>
    <w:p w14:paraId="3082AD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 15 ноября 1940 создать при НИЭИРПе (г. Москва) опытно-производственную базу и испытательную станцию с лабораторией по изготовлению и проведению всесторонних испытаний авиапневматиков, для чего выделить необходимые ассигнования, за счет средств, отпущенных НКХП по капитальному строительству на 1940</w:t>
      </w:r>
    </w:p>
    <w:p w14:paraId="2039FB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установить на вновь создаваемой экспериментальной базе порядок работ, обеспечивающий конструирование и выпуск новых образцов авиапневматиков для скоростных самолетов в срок не свыше 2-х месяцев</w:t>
      </w:r>
    </w:p>
    <w:p w14:paraId="6B689B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все выпускаемые опытные конструкции авиапневматиков снабжать техническими характеристиками, полученными в результате всесторонних испытаний, проведенных по программам, согласованным с НКАП</w:t>
      </w:r>
    </w:p>
    <w:p w14:paraId="2728CB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представить Наркомстрою рабочие чертежи по указанному строительству к 15 июля 1940</w:t>
      </w:r>
    </w:p>
    <w:p w14:paraId="6319D2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НКС тов. Гинзбург С.З. обеспечить окончание строительства опытно-производственной базы НИЭИРПа не позднее 15 августа 1940 и испытательной станции не позднее 15 сентября 1940 г.</w:t>
      </w:r>
    </w:p>
    <w:p w14:paraId="70ABB7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НКАП - т. Шахурина А.И. выдавать до начала конструирования новых видов авиапневматиков все необходимые технические требования КЮ НИЭИРП ((10464,1)</w:t>
      </w:r>
    </w:p>
    <w:p w14:paraId="06BD09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закончились заводские испытания МДР-6 2М-63 (2090,132), которые шли с 12 мая 1940 (2090,232).</w:t>
      </w:r>
    </w:p>
    <w:p w14:paraId="1D25F31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3EBC8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были получены ещё два «Хейнкеля-100». В конце мая немцы переправили в Ленинград недостроенный крейсер «Лютцов» (11208).</w:t>
      </w:r>
    </w:p>
    <w:p w14:paraId="177C3A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3E1F52D" w14:textId="77777777" w:rsidR="00FF6F32" w:rsidRPr="00DB5D0D" w:rsidRDefault="00FF6F3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июня 1940 были получены ещё два «Хейнкеля-100». </w:t>
      </w:r>
    </w:p>
    <w:p w14:paraId="5E878C26" w14:textId="77777777" w:rsidR="00FF6F32" w:rsidRPr="00DB5D0D" w:rsidRDefault="00FF6F3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фирмой Maschinenfabrik Augsburg-Nurnberg A.G. советскому внешнеторговому объединению «Машиноимпорт» были проданы семь дизельных двигателей типа G7Z52/70 мощностью 2200 л.с. и тринадцать типа G7V74 мощностью 1500 л.с., изучение которых способствовало развитию отечественного двигателестроения [579] (18279).</w:t>
      </w:r>
    </w:p>
    <w:p w14:paraId="11186E9D" w14:textId="77777777" w:rsidR="00FF6F32" w:rsidRPr="00DB5D0D" w:rsidRDefault="00FF6F32" w:rsidP="00DB5D0D">
      <w:pPr>
        <w:spacing w:after="0" w:line="240" w:lineRule="auto"/>
        <w:jc w:val="both"/>
        <w:rPr>
          <w:rFonts w:ascii="Times New Roman" w:hAnsi="Times New Roman"/>
          <w:color w:val="000000" w:themeColor="text1"/>
          <w:sz w:val="16"/>
          <w:szCs w:val="16"/>
        </w:rPr>
      </w:pPr>
    </w:p>
    <w:p w14:paraId="2E92CB95"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июня 1940 г. сообщалось о начале тренировки лично</w:t>
      </w:r>
      <w:r w:rsidRPr="00DB5D0D">
        <w:rPr>
          <w:rFonts w:ascii="Times New Roman" w:hAnsi="Times New Roman"/>
          <w:color w:val="0070C0"/>
          <w:sz w:val="16"/>
          <w:szCs w:val="16"/>
        </w:rPr>
        <w:softHyphen/>
        <w:t>го состава для получения опыта эксплуатации и примене</w:t>
      </w:r>
      <w:r w:rsidRPr="00DB5D0D">
        <w:rPr>
          <w:rFonts w:ascii="Times New Roman" w:hAnsi="Times New Roman"/>
          <w:color w:val="0070C0"/>
          <w:sz w:val="16"/>
          <w:szCs w:val="16"/>
        </w:rPr>
        <w:softHyphen/>
        <w:t>ния системы «Звено-СПБ». В НИИ прибыли два летно-тех</w:t>
      </w:r>
      <w:r w:rsidRPr="00DB5D0D">
        <w:rPr>
          <w:rFonts w:ascii="Times New Roman" w:hAnsi="Times New Roman"/>
          <w:color w:val="0070C0"/>
          <w:sz w:val="16"/>
          <w:szCs w:val="16"/>
        </w:rPr>
        <w:softHyphen/>
        <w:t>нических экипажа — по одному с ЧФ и КБФ. Для трениро</w:t>
      </w:r>
      <w:r w:rsidRPr="00DB5D0D">
        <w:rPr>
          <w:rFonts w:ascii="Times New Roman" w:hAnsi="Times New Roman"/>
          <w:color w:val="0070C0"/>
          <w:sz w:val="16"/>
          <w:szCs w:val="16"/>
        </w:rPr>
        <w:softHyphen/>
        <w:t>вок использовали ТБ-3, который взяли на заводе №289, и два И-16 тип 5 (№502 и №507).Кстати, в дальнейшем все упо</w:t>
      </w:r>
      <w:r w:rsidRPr="00DB5D0D">
        <w:rPr>
          <w:rFonts w:ascii="Times New Roman" w:hAnsi="Times New Roman"/>
          <w:color w:val="0070C0"/>
          <w:sz w:val="16"/>
          <w:szCs w:val="16"/>
        </w:rPr>
        <w:softHyphen/>
        <w:t>минания об использовании подвесных пикировщиков свя</w:t>
      </w:r>
      <w:r w:rsidRPr="00DB5D0D">
        <w:rPr>
          <w:rFonts w:ascii="Times New Roman" w:hAnsi="Times New Roman"/>
          <w:color w:val="0070C0"/>
          <w:sz w:val="16"/>
          <w:szCs w:val="16"/>
        </w:rPr>
        <w:softHyphen/>
        <w:t>заны исключительно с Черноморским флотом (20364).</w:t>
      </w:r>
    </w:p>
    <w:p w14:paraId="5098D5AA" w14:textId="77777777" w:rsidR="00F06892" w:rsidRPr="00DB5D0D" w:rsidRDefault="00F06892" w:rsidP="00DB5D0D">
      <w:pPr>
        <w:shd w:val="clear" w:color="auto" w:fill="FFFFFF"/>
        <w:spacing w:after="0" w:line="240" w:lineRule="auto"/>
        <w:jc w:val="both"/>
        <w:rPr>
          <w:rFonts w:ascii="Times New Roman" w:hAnsi="Times New Roman"/>
          <w:color w:val="0070C0"/>
          <w:sz w:val="16"/>
          <w:szCs w:val="16"/>
        </w:rPr>
      </w:pPr>
    </w:p>
    <w:p w14:paraId="71584A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приказом №88 по УПА ГУСМП в целях систематизации накопленного опыта полетов в Западном Секторе Арктики ДВ СССР-Н8 назначили в экспедицию по маршруту: Красноярск - Игарка - Хальмер-седе - у. Кары - Сея- га - Гыдо-Ямо - Лескин - Диксон - Сонкарга - Н. Порт - Дудинка - Игарка и отдельный полет о. Диксон - о. Белый и обратно. Экспедиция должна была составить лоции для всех отрезков заданного маршрута и провести корректировку карт этих районов. Кроме того, задачей экипажа стал выбор запасных гидроаэродромов на случай вынужденных посадок и изыскания гидроавиабазы на острове Белом.</w:t>
      </w:r>
    </w:p>
    <w:p w14:paraId="633236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экспедиции, он же командир самолета С.И.Антюшев, второй пилот Самохин, штурман Рогожкин, заместитель начальника экспедиции, инженер воздушной службы Г.П.Жемчужин, бортмеханик Краснопевков, бортрадист Кузнецов и техник-картограф экспедиции Терещенко. Вылет экспедиции из Красноярска планировался не позднее 20 июня 1940 г.</w:t>
      </w:r>
    </w:p>
    <w:p w14:paraId="18584C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Следующим приказом №117 по УПА ГУСМП от 18.07.40 г. Дорнье "Валь" СССР-Н8 Московской авиагруппы особого назначения на летнюю навигацию определили на изыскания в районе Якутск - Верхоянск. Командиром самолета был назначен пилот Л.Г.Крузе, 1-м бортмехаником Н.М.Степнов, 2-м бортмехаником Н.М.Поляков и бортрадистом А.Д.Камбу- лов.</w:t>
      </w:r>
    </w:p>
    <w:p w14:paraId="0E884C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 154 от 22.10.40 г. СССР-Н8 передали в Ленскую Авиагруппу, взамен однотипного самолета СССР-Н234, который поступил в Московскую Авиагруппу.</w:t>
      </w:r>
    </w:p>
    <w:p w14:paraId="1DEA36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летнюю навигацию 1941 г. самолет, теперь уже Игарского авиаотряда УПА, шел на линейную работу, как дежурная машина. Командир самолета - Михельсон, бортмеханик - Левин, радист - Пименов (11970).</w:t>
      </w:r>
    </w:p>
    <w:p w14:paraId="3D46A62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6019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г. Слонимер так отчитывался перед заместителем начальника 4-го ГУ НКБ Березиным о достижениях конкурентов: «...НИИ-3 не считает актуальным постановку в научном институте опытов по конструктивному предложению инженеров Малова, Осипова и Семенова. Ввиду того, что НИИ-3 не имеет производствен</w:t>
      </w:r>
      <w:r w:rsidRPr="00DB5D0D">
        <w:rPr>
          <w:rFonts w:ascii="Times New Roman" w:hAnsi="Times New Roman"/>
          <w:color w:val="000000" w:themeColor="text1"/>
          <w:sz w:val="16"/>
          <w:szCs w:val="16"/>
        </w:rPr>
        <w:softHyphen/>
        <w:t>ной возможности и оборудования, чтобы изготовить стабилизаторы без штамповочного оборудования, прошу Вашего указания изготовить са</w:t>
      </w:r>
      <w:r w:rsidRPr="00DB5D0D">
        <w:rPr>
          <w:rFonts w:ascii="Times New Roman" w:hAnsi="Times New Roman"/>
          <w:color w:val="000000" w:themeColor="text1"/>
          <w:sz w:val="16"/>
          <w:szCs w:val="16"/>
        </w:rPr>
        <w:softHyphen/>
        <w:t>мими авторами изделий на заводе №70».</w:t>
      </w:r>
    </w:p>
    <w:p w14:paraId="33C02C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со всеми упомянутыми новшествами, на заводе №70 изготовили пять партий снарядов РОС-82 (по 22 шт.) и в феврале 1941 г. отстреляли их на Софринском КИАП. Поскольку, согласно техническим условиям, рассеивание штатных боеприпасов должно было составлять по дальности не более 1/100, а по боковому направлению — не более 1/50, результаты стрельбы оказались очень неплохими. К этому времени чиновников любого уровня в НКБ уже не требовалось убеждать в том, -что при стрельбе с самолетов эти показатели рассеивания снарядов на</w:t>
      </w:r>
      <w:r w:rsidRPr="00DB5D0D">
        <w:rPr>
          <w:rFonts w:ascii="Times New Roman" w:hAnsi="Times New Roman"/>
          <w:color w:val="000000" w:themeColor="text1"/>
          <w:sz w:val="16"/>
          <w:szCs w:val="16"/>
        </w:rPr>
        <w:softHyphen/>
        <w:t>немного улучшатся (11402).</w:t>
      </w:r>
    </w:p>
    <w:p w14:paraId="6E6CB0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AC61BE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D2A534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BCA82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вышло решение ПБ ЦК ВКП(б) о производстве Т-34 в 1940 (3186).</w:t>
      </w:r>
    </w:p>
    <w:p w14:paraId="0302CD7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91C3D9" w14:textId="77777777" w:rsidR="00C7362D" w:rsidRPr="00DB5D0D" w:rsidRDefault="00C736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5 июня</w:t>
      </w:r>
      <w:r w:rsidRPr="00DB5D0D">
        <w:rPr>
          <w:rFonts w:ascii="Times New Roman" w:hAnsi="Times New Roman"/>
          <w:color w:val="000000" w:themeColor="text1"/>
          <w:sz w:val="16"/>
          <w:szCs w:val="16"/>
        </w:rPr>
        <w:t xml:space="preserve"> в 1940 году решение Политбюро ЦК ВКП (б) о производстве танков Т-34 в 1940 году (14913).</w:t>
      </w:r>
    </w:p>
    <w:p w14:paraId="7C131F57" w14:textId="77777777" w:rsidR="00C7362D" w:rsidRPr="00DB5D0D" w:rsidRDefault="00C7362D" w:rsidP="00DB5D0D">
      <w:pPr>
        <w:spacing w:after="0" w:line="240" w:lineRule="auto"/>
        <w:jc w:val="both"/>
        <w:rPr>
          <w:rFonts w:ascii="Times New Roman" w:hAnsi="Times New Roman"/>
          <w:color w:val="000000" w:themeColor="text1"/>
          <w:sz w:val="16"/>
          <w:szCs w:val="16"/>
        </w:rPr>
      </w:pPr>
    </w:p>
    <w:p w14:paraId="04A656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г. СНК и ЦК ВКП(б) принимает постановление о производстве танка Т-34 в 1940 г.: "Придавая особо важное значение оснащению Красной Армии танками Т-34, Совет Народных Комиссаров Союза ССР и ЦК ВКП(б) постановляют:..</w:t>
      </w:r>
    </w:p>
    <w:p w14:paraId="7C58E1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Народного Комиссара Среднего Машиностроения тов. Лихачева И. А.:.</w:t>
      </w:r>
    </w:p>
    <w:p w14:paraId="78DE27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изготовить в 1940 году - 600 танков Т-34, из них: на заводе №183 (им. Коминтерна) - 500 шт. на Сталинградском Тракторном -100 шт...</w:t>
      </w:r>
    </w:p>
    <w:p w14:paraId="7DAB38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обеспечить полностью программу 1940 г. по выпуску танков Т-34 дизелями, для чего увеличить выпуск моторов В-2 на заводе №75, изготовить до конца 1940 г. 2000 шт."..</w:t>
      </w:r>
    </w:p>
    <w:p w14:paraId="2CA169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выпуска Т-34 на 1940 г. был выполнен всего лишь на 19%. СТЗ приказано было выпустить до конца года 100 машин. Завод же не сдал ни одной, хотя в цехах и было собрано 23 танка. А сданы они не были потому, что не удовлетворяли тактико-техническим заданиям из-за множества недоделок и неисправностей. Новая машина требовала полной заводской оснастки для ее изготовления, расширения производственных площадей, строительства новых цехов. А ввод их в строй задерживался. Смежники медленно осваивали новые изделия, комплектующие Т-34..</w:t>
      </w:r>
    </w:p>
    <w:p w14:paraId="47561F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Мариупольский завод поставлял броню высокого качества, но задерживал освоение броневого литья. Поставляемая на ХПЗ броня требовала доработки непосредственно на месте, поскольку не была выдержана геометрия броневых деталей. Срывались поставки подшипников. Даже в четвертом квартале 1-й ГПЗ из 99 типоразмеров, необходимых для танковой промышленности, полностью сдал только 78. Медленно налаживалось производство дизелей В-2 на Харьковском заводе №75. Ненадежными оказывались детали трансмиссии, ходовой части, они нуждались в конструктивной и технологической доработке. И при том ХПЗ продолжал производить и свою серийную машину БТ-7М. (3862).</w:t>
      </w:r>
    </w:p>
    <w:p w14:paraId="4DFEF9E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C6AE39" w14:textId="77777777" w:rsidR="00A25AD1" w:rsidRPr="00DB5D0D" w:rsidRDefault="00A25AD1" w:rsidP="00DB5D0D">
      <w:pPr>
        <w:pStyle w:val="a3"/>
        <w:rPr>
          <w:color w:val="000000" w:themeColor="text1"/>
          <w:lang w:val="ru-RU"/>
        </w:rPr>
      </w:pPr>
      <w:r w:rsidRPr="00DB5D0D">
        <w:rPr>
          <w:color w:val="000000" w:themeColor="text1"/>
          <w:lang w:val="ru-RU"/>
        </w:rPr>
        <w:t xml:space="preserve">5 июня 1940 г. по итогам совещания 4 июня, АБТУ и НКСП издали совместное распоряжение о форсировании работ по изготовлению литых узлов для танка Т-34. </w:t>
      </w:r>
      <w:r w:rsidRPr="00DB5D0D">
        <w:rPr>
          <w:rStyle w:val="60pt22"/>
          <w:rFonts w:ascii="Times New Roman" w:hAnsi="Times New Roman" w:cs="Times New Roman"/>
          <w:i w:val="0"/>
          <w:iCs w:val="0"/>
          <w:color w:val="000000" w:themeColor="text1"/>
          <w:lang w:val="ru-RU"/>
        </w:rPr>
        <w:t>№2231с</w:t>
      </w:r>
    </w:p>
    <w:p w14:paraId="6616923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ДИРЕКТОРУ МАРИУПОЛЬСКОГО ЗАВОДА т. ГАРМАШЕВУ ДИРЕКТОРУ ЗАВОДА № 183 т. МАКСАРЕВУ СТ. ВОЕНПРЕДУ АБТУ КА НА МАРИУПОЛЬСКОМ ЗАВОДЕт. ЗУХЕРУ</w:t>
      </w:r>
    </w:p>
    <w:p w14:paraId="0AF4ACE4"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 xml:space="preserve">СТ. ВОЕНПРЕДУ АБТУ КА НА ЗАВОДЕ № 183 т. КОЗЫРЕВУ </w:t>
      </w:r>
      <w:r w:rsidRPr="00DB5D0D">
        <w:rPr>
          <w:rStyle w:val="123"/>
          <w:rFonts w:ascii="Times New Roman" w:hAnsi="Times New Roman" w:cs="Times New Roman"/>
          <w:color w:val="000000" w:themeColor="text1"/>
          <w:lang w:val="ru-RU"/>
        </w:rPr>
        <w:t>КОПИЯ:</w:t>
      </w:r>
      <w:r w:rsidRPr="00DB5D0D">
        <w:rPr>
          <w:rFonts w:ascii="Times New Roman" w:hAnsi="Times New Roman" w:cs="Times New Roman"/>
          <w:i w:val="0"/>
          <w:iCs w:val="0"/>
          <w:color w:val="000000" w:themeColor="text1"/>
          <w:lang w:val="ru-RU"/>
        </w:rPr>
        <w:t xml:space="preserve"> И.О. ДИРЕКТОРА НИИ-48 тов. КОНЕВСКОМУ</w:t>
      </w:r>
    </w:p>
    <w:p w14:paraId="679956EE"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С целью быстрейшего внедрения в производство литых деталей для машины «А-34» предлагается:</w:t>
      </w:r>
    </w:p>
    <w:p w14:paraId="00A8D9D5" w14:textId="77777777" w:rsidR="00A25AD1" w:rsidRPr="00DB5D0D" w:rsidRDefault="00A25AD1" w:rsidP="00DB5D0D">
      <w:pPr>
        <w:pStyle w:val="1210"/>
        <w:shd w:val="clear" w:color="auto" w:fill="auto"/>
        <w:tabs>
          <w:tab w:val="left" w:pos="519"/>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1.Мариупольскому заводу дополнительно к 10 литым встав</w:t>
      </w:r>
      <w:r w:rsidRPr="00DB5D0D">
        <w:rPr>
          <w:rFonts w:ascii="Times New Roman" w:hAnsi="Times New Roman" w:cs="Times New Roman"/>
          <w:i w:val="0"/>
          <w:iCs w:val="0"/>
          <w:color w:val="000000" w:themeColor="text1"/>
          <w:lang w:val="ru-RU"/>
        </w:rPr>
        <w:softHyphen/>
        <w:t>кам носовой детали А-34, изготовление которых разрешено теле</w:t>
      </w:r>
      <w:r w:rsidRPr="00DB5D0D">
        <w:rPr>
          <w:rFonts w:ascii="Times New Roman" w:hAnsi="Times New Roman" w:cs="Times New Roman"/>
          <w:i w:val="0"/>
          <w:iCs w:val="0"/>
          <w:color w:val="000000" w:themeColor="text1"/>
          <w:lang w:val="ru-RU"/>
        </w:rPr>
        <w:softHyphen/>
        <w:t>граммой АБТУ КА и 7 Главного Управления НКСП, изготовить еще 1 литую вставку, собрать носовой узел и провести контрольный отстрел его.</w:t>
      </w:r>
    </w:p>
    <w:p w14:paraId="68B96D09"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При получении на этом носовом узле стойкости, равной стойко</w:t>
      </w:r>
      <w:r w:rsidRPr="00DB5D0D">
        <w:rPr>
          <w:rFonts w:ascii="Times New Roman" w:hAnsi="Times New Roman" w:cs="Times New Roman"/>
          <w:i w:val="0"/>
          <w:iCs w:val="0"/>
          <w:color w:val="000000" w:themeColor="text1"/>
          <w:lang w:val="ru-RU"/>
        </w:rPr>
        <w:softHyphen/>
        <w:t>сти катаной 45 мм брони под теми же углами, носовые узлы с литой вставкой окончательно принимаются на валовое производство.</w:t>
      </w:r>
    </w:p>
    <w:p w14:paraId="2C98D600" w14:textId="77777777" w:rsidR="00A25AD1" w:rsidRPr="00DB5D0D" w:rsidRDefault="00A25AD1" w:rsidP="00DB5D0D">
      <w:pPr>
        <w:pStyle w:val="1210"/>
        <w:shd w:val="clear" w:color="auto" w:fill="auto"/>
        <w:tabs>
          <w:tab w:val="left" w:pos="505"/>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2.Мариупольскому заводу к 20.</w:t>
      </w:r>
      <w:r w:rsidRPr="00DB5D0D">
        <w:rPr>
          <w:rFonts w:ascii="Times New Roman" w:hAnsi="Times New Roman" w:cs="Times New Roman"/>
          <w:i w:val="0"/>
          <w:iCs w:val="0"/>
          <w:color w:val="000000" w:themeColor="text1"/>
        </w:rPr>
        <w:t>V</w:t>
      </w:r>
      <w:r w:rsidRPr="00DB5D0D">
        <w:rPr>
          <w:rFonts w:ascii="Times New Roman" w:hAnsi="Times New Roman" w:cs="Times New Roman"/>
          <w:i w:val="0"/>
          <w:iCs w:val="0"/>
          <w:noProof w:val="0"/>
          <w:color w:val="000000" w:themeColor="text1"/>
        </w:rPr>
        <w:t>I</w:t>
      </w:r>
      <w:r w:rsidRPr="00DB5D0D">
        <w:rPr>
          <w:rFonts w:ascii="Times New Roman" w:hAnsi="Times New Roman" w:cs="Times New Roman"/>
          <w:i w:val="0"/>
          <w:iCs w:val="0"/>
          <w:color w:val="000000" w:themeColor="text1"/>
          <w:lang w:val="ru-RU"/>
        </w:rPr>
        <w:t xml:space="preserve"> изготовить по чертежам заво</w:t>
      </w:r>
      <w:r w:rsidRPr="00DB5D0D">
        <w:rPr>
          <w:rFonts w:ascii="Times New Roman" w:hAnsi="Times New Roman" w:cs="Times New Roman"/>
          <w:i w:val="0"/>
          <w:iCs w:val="0"/>
          <w:color w:val="000000" w:themeColor="text1"/>
          <w:lang w:val="ru-RU"/>
        </w:rPr>
        <w:softHyphen/>
        <w:t>да № 1835литых башен А-34, обеспечивающих бронестойкость рав</w:t>
      </w:r>
      <w:r w:rsidRPr="00DB5D0D">
        <w:rPr>
          <w:rFonts w:ascii="Times New Roman" w:hAnsi="Times New Roman" w:cs="Times New Roman"/>
          <w:i w:val="0"/>
          <w:iCs w:val="0"/>
          <w:color w:val="000000" w:themeColor="text1"/>
          <w:lang w:val="ru-RU"/>
        </w:rPr>
        <w:softHyphen/>
        <w:t>ную бронестойкости башни из 45 мм катанной брони при превыше</w:t>
      </w:r>
      <w:r w:rsidRPr="00DB5D0D">
        <w:rPr>
          <w:rFonts w:ascii="Times New Roman" w:hAnsi="Times New Roman" w:cs="Times New Roman"/>
          <w:i w:val="0"/>
          <w:iCs w:val="0"/>
          <w:color w:val="000000" w:themeColor="text1"/>
          <w:lang w:val="ru-RU"/>
        </w:rPr>
        <w:softHyphen/>
        <w:t>нии веса не более чем на 200кг по сравнению с башней из катанной брони, включая вес крепежа. Одну башню направить на полигонные испытания, а четыре сдать заводу № 183 для монтажа на серийных машинах, при получении положительных результатов.</w:t>
      </w:r>
    </w:p>
    <w:p w14:paraId="7E569A3C" w14:textId="77777777" w:rsidR="00A25AD1" w:rsidRPr="00DB5D0D" w:rsidRDefault="00A25AD1" w:rsidP="00DB5D0D">
      <w:pPr>
        <w:pStyle w:val="1210"/>
        <w:shd w:val="clear" w:color="auto" w:fill="auto"/>
        <w:tabs>
          <w:tab w:val="left" w:pos="505"/>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lastRenderedPageBreak/>
        <w:t xml:space="preserve">3. Заводу № 183 сдать Мариупольскому заводу чертежи литой башни с уши рением не позднее 10. </w:t>
      </w:r>
      <w:r w:rsidRPr="00DB5D0D">
        <w:rPr>
          <w:rFonts w:ascii="Times New Roman" w:hAnsi="Times New Roman" w:cs="Times New Roman"/>
          <w:i w:val="0"/>
          <w:iCs w:val="0"/>
          <w:color w:val="000000" w:themeColor="text1"/>
        </w:rPr>
        <w:t>VI</w:t>
      </w:r>
      <w:r w:rsidRPr="00DB5D0D">
        <w:rPr>
          <w:rFonts w:ascii="Times New Roman" w:hAnsi="Times New Roman" w:cs="Times New Roman"/>
          <w:i w:val="0"/>
          <w:iCs w:val="0"/>
          <w:color w:val="000000" w:themeColor="text1"/>
          <w:lang w:val="ru-RU"/>
        </w:rPr>
        <w:t>-1940 г.</w:t>
      </w:r>
    </w:p>
    <w:p w14:paraId="5B67E0A3" w14:textId="77777777" w:rsidR="00A25AD1" w:rsidRPr="00DB5D0D" w:rsidRDefault="00A25AD1" w:rsidP="00DB5D0D">
      <w:pPr>
        <w:pStyle w:val="1210"/>
        <w:shd w:val="clear" w:color="auto" w:fill="auto"/>
        <w:tabs>
          <w:tab w:val="left" w:pos="51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4.</w:t>
      </w:r>
      <w:r w:rsidRPr="00DB5D0D">
        <w:rPr>
          <w:rFonts w:ascii="Times New Roman" w:hAnsi="Times New Roman" w:cs="Times New Roman"/>
          <w:i w:val="0"/>
          <w:iCs w:val="0"/>
          <w:color w:val="000000" w:themeColor="text1"/>
          <w:lang w:val="ru-RU"/>
        </w:rPr>
        <w:tab/>
        <w:t>Мариупольскому заводу на основе испытаний опытных ли</w:t>
      </w:r>
      <w:r w:rsidRPr="00DB5D0D">
        <w:rPr>
          <w:rFonts w:ascii="Times New Roman" w:hAnsi="Times New Roman" w:cs="Times New Roman"/>
          <w:i w:val="0"/>
          <w:iCs w:val="0"/>
          <w:color w:val="000000" w:themeColor="text1"/>
          <w:lang w:val="ru-RU"/>
        </w:rPr>
        <w:softHyphen/>
        <w:t xml:space="preserve">тых деталей дать не позднее 20. </w:t>
      </w:r>
      <w:r w:rsidRPr="00DB5D0D">
        <w:rPr>
          <w:rFonts w:ascii="Times New Roman" w:hAnsi="Times New Roman" w:cs="Times New Roman"/>
          <w:i w:val="0"/>
          <w:iCs w:val="0"/>
          <w:color w:val="000000" w:themeColor="text1"/>
        </w:rPr>
        <w:t>VI</w:t>
      </w:r>
      <w:r w:rsidRPr="00DB5D0D">
        <w:rPr>
          <w:rFonts w:ascii="Times New Roman" w:hAnsi="Times New Roman" w:cs="Times New Roman"/>
          <w:i w:val="0"/>
          <w:iCs w:val="0"/>
          <w:color w:val="000000" w:themeColor="text1"/>
          <w:lang w:val="ru-RU"/>
        </w:rPr>
        <w:t xml:space="preserve"> совместное с заводом № 183 заключение о возможности принятия на валовое производство литой кормы А-34.</w:t>
      </w:r>
    </w:p>
    <w:p w14:paraId="3B21BC56" w14:textId="77777777" w:rsidR="00A25AD1" w:rsidRPr="00DB5D0D" w:rsidRDefault="00A25AD1" w:rsidP="00DB5D0D">
      <w:pPr>
        <w:pStyle w:val="a3"/>
        <w:rPr>
          <w:color w:val="000000" w:themeColor="text1"/>
          <w:lang w:val="ru-RU"/>
        </w:rPr>
      </w:pPr>
      <w:r w:rsidRPr="00DB5D0D">
        <w:rPr>
          <w:color w:val="000000" w:themeColor="text1"/>
          <w:lang w:val="ru-RU"/>
        </w:rPr>
        <w:t>НАЧАЛЬНИК АБТУ КР. АРМИИ КОМАНДАРМ 2 РАНГА (ПАВЛОВ) ВОЕННЫЙ КО МИ САР АБТУ КР. АРМИИ ДИВИЗИОННЫЙ КОМИССАР (КУЛИКОВ) НАЧАЛЬНИК 7-го ГЛАВНОГО УПРАВЛЕНИЯ НКСП (ЕМЕЛЬЯНОВ).</w:t>
      </w:r>
      <w:r w:rsidRPr="00DB5D0D">
        <w:rPr>
          <w:rStyle w:val="1230pt21"/>
          <w:rFonts w:ascii="Times New Roman" w:hAnsi="Times New Roman" w:cs="Times New Roman"/>
          <w:i w:val="0"/>
          <w:color w:val="000000" w:themeColor="text1"/>
          <w:spacing w:val="0"/>
          <w:lang w:val="ru-RU"/>
        </w:rPr>
        <w:t xml:space="preserve"> [</w:t>
      </w:r>
      <w:r w:rsidRPr="00DB5D0D">
        <w:rPr>
          <w:color w:val="000000" w:themeColor="text1"/>
          <w:lang w:val="ru-RU"/>
        </w:rPr>
        <w:t>РГВА. Ф.31811. Оп.2. Д. 1176. Л. 115.</w:t>
      </w:r>
      <w:r w:rsidRPr="00DB5D0D">
        <w:rPr>
          <w:rStyle w:val="1230pt21"/>
          <w:rFonts w:ascii="Times New Roman" w:hAnsi="Times New Roman" w:cs="Times New Roman"/>
          <w:i w:val="0"/>
          <w:color w:val="000000" w:themeColor="text1"/>
          <w:spacing w:val="0"/>
          <w:lang w:val="ru-RU"/>
        </w:rPr>
        <w:t>] (11903</w:t>
      </w:r>
    </w:p>
    <w:p w14:paraId="1842F1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 Проекты постановления СНК СССР и ЦК ВКП(б) "Об экранировании машин Т-28". Д.12, л.28-39 (11775).</w:t>
      </w:r>
    </w:p>
    <w:p w14:paraId="5B2585D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8B6875" w14:textId="77777777" w:rsidR="00A25AD1" w:rsidRPr="00DB5D0D" w:rsidRDefault="00A25AD1" w:rsidP="00DB5D0D">
      <w:pPr>
        <w:pStyle w:val="a3"/>
        <w:rPr>
          <w:color w:val="000000" w:themeColor="text1"/>
          <w:lang w:val="ru-RU"/>
        </w:rPr>
      </w:pPr>
      <w:r w:rsidRPr="00DB5D0D">
        <w:rPr>
          <w:color w:val="000000" w:themeColor="text1"/>
          <w:lang w:val="ru-RU"/>
        </w:rPr>
        <w:t xml:space="preserve">5 июня 1940 начальник 7-го ГУ НКСП </w:t>
      </w:r>
      <w:r w:rsidRPr="00DB5D0D">
        <w:rPr>
          <w:color w:val="000000" w:themeColor="text1"/>
        </w:rPr>
        <w:t>B</w:t>
      </w:r>
      <w:r w:rsidRPr="00DB5D0D">
        <w:rPr>
          <w:color w:val="000000" w:themeColor="text1"/>
          <w:lang w:val="ru-RU"/>
        </w:rPr>
        <w:t>.</w:t>
      </w:r>
      <w:r w:rsidRPr="00DB5D0D">
        <w:rPr>
          <w:color w:val="000000" w:themeColor="text1"/>
        </w:rPr>
        <w:t>C</w:t>
      </w:r>
      <w:r w:rsidRPr="00DB5D0D">
        <w:rPr>
          <w:color w:val="000000" w:themeColor="text1"/>
          <w:lang w:val="ru-RU"/>
        </w:rPr>
        <w:t>. Емельянов обязал ди</w:t>
      </w:r>
      <w:r w:rsidRPr="00DB5D0D">
        <w:rPr>
          <w:color w:val="000000" w:themeColor="text1"/>
          <w:lang w:val="ru-RU"/>
        </w:rPr>
        <w:softHyphen/>
        <w:t>рекцию Мариупольского завода ускорить проведение опытных ра</w:t>
      </w:r>
      <w:r w:rsidRPr="00DB5D0D">
        <w:rPr>
          <w:color w:val="000000" w:themeColor="text1"/>
          <w:lang w:val="ru-RU"/>
        </w:rPr>
        <w:softHyphen/>
        <w:t xml:space="preserve">бот по изготовлению цельноштампованного носового узла корпуса </w:t>
      </w:r>
      <w:r w:rsidRPr="00DB5D0D">
        <w:rPr>
          <w:rStyle w:val="0pt20"/>
          <w:rFonts w:ascii="Times New Roman" w:hAnsi="Times New Roman" w:cs="Times New Roman"/>
          <w:color w:val="000000" w:themeColor="text1"/>
          <w:lang w:val="ru-RU"/>
        </w:rPr>
        <w:t>Т-34,</w:t>
      </w:r>
      <w:r w:rsidRPr="00DB5D0D">
        <w:rPr>
          <w:color w:val="000000" w:themeColor="text1"/>
          <w:lang w:val="ru-RU"/>
        </w:rPr>
        <w:t xml:space="preserve"> предложенного Д.</w:t>
      </w:r>
      <w:r w:rsidRPr="00DB5D0D">
        <w:rPr>
          <w:rStyle w:val="0pt20"/>
          <w:rFonts w:ascii="Times New Roman" w:hAnsi="Times New Roman" w:cs="Times New Roman"/>
          <w:color w:val="000000" w:themeColor="text1"/>
          <w:lang w:val="ru-RU"/>
        </w:rPr>
        <w:t xml:space="preserve">и. Чижиковым: </w:t>
      </w:r>
      <w:r w:rsidRPr="00DB5D0D">
        <w:rPr>
          <w:rStyle w:val="60pt22"/>
          <w:rFonts w:ascii="Times New Roman" w:hAnsi="Times New Roman" w:cs="Times New Roman"/>
          <w:i w:val="0"/>
          <w:iCs w:val="0"/>
          <w:color w:val="000000" w:themeColor="text1"/>
          <w:lang w:val="ru-RU"/>
        </w:rPr>
        <w:t>№ 2228с от 05.06.40 г.</w:t>
      </w:r>
    </w:p>
    <w:p w14:paraId="04333FED"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noProof w:val="0"/>
          <w:color w:val="000000" w:themeColor="text1"/>
          <w:lang w:val="ru-RU"/>
        </w:rPr>
      </w:pPr>
      <w:r w:rsidRPr="00DB5D0D">
        <w:rPr>
          <w:rFonts w:ascii="Times New Roman" w:hAnsi="Times New Roman" w:cs="Times New Roman"/>
          <w:i w:val="0"/>
          <w:iCs w:val="0"/>
          <w:color w:val="000000" w:themeColor="text1"/>
          <w:lang w:val="ru-RU"/>
        </w:rPr>
        <w:t>ДИРЕКТОРУ МАРИУПОЛЬСКОГО ЗАВОДА тов. ГАРМАШЕВУ</w:t>
      </w:r>
    </w:p>
    <w:p w14:paraId="3D281E65"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Style w:val="123"/>
          <w:rFonts w:ascii="Times New Roman" w:hAnsi="Times New Roman" w:cs="Times New Roman"/>
          <w:color w:val="000000" w:themeColor="text1"/>
          <w:lang w:val="ru-RU"/>
        </w:rPr>
        <w:t>Копия:</w:t>
      </w:r>
      <w:r w:rsidRPr="00DB5D0D">
        <w:rPr>
          <w:rFonts w:ascii="Times New Roman" w:hAnsi="Times New Roman" w:cs="Times New Roman"/>
          <w:i w:val="0"/>
          <w:iCs w:val="0"/>
          <w:color w:val="000000" w:themeColor="text1"/>
          <w:lang w:val="ru-RU"/>
        </w:rPr>
        <w:t xml:space="preserve"> НАЧАЛЬНИКУ АБТУ КА КОМАНДАРМУ 2-го РАНГА тов. ПАВЛОВУ</w:t>
      </w:r>
    </w:p>
    <w:p w14:paraId="4722E47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В целях быстрейшего проведения опытной работы по изготов</w:t>
      </w:r>
      <w:r w:rsidRPr="00DB5D0D">
        <w:rPr>
          <w:rFonts w:ascii="Times New Roman" w:hAnsi="Times New Roman" w:cs="Times New Roman"/>
          <w:i w:val="0"/>
          <w:iCs w:val="0"/>
          <w:color w:val="000000" w:themeColor="text1"/>
          <w:lang w:val="ru-RU"/>
        </w:rPr>
        <w:softHyphen/>
        <w:t xml:space="preserve">лению цельно-штампованного носа Т-34 на </w:t>
      </w:r>
      <w:r w:rsidRPr="00DB5D0D">
        <w:rPr>
          <w:rFonts w:ascii="Times New Roman" w:hAnsi="Times New Roman" w:cs="Times New Roman"/>
          <w:i w:val="0"/>
          <w:iCs w:val="0"/>
          <w:noProof w:val="0"/>
          <w:color w:val="000000" w:themeColor="text1"/>
          <w:lang w:val="ru-RU"/>
        </w:rPr>
        <w:t>15000</w:t>
      </w:r>
      <w:r w:rsidRPr="00DB5D0D">
        <w:rPr>
          <w:rStyle w:val="1265pt160pt19"/>
          <w:rFonts w:ascii="Times New Roman" w:hAnsi="Times New Roman" w:cs="Times New Roman"/>
          <w:noProof w:val="0"/>
          <w:color w:val="000000" w:themeColor="text1"/>
          <w:spacing w:val="0"/>
          <w:sz w:val="16"/>
          <w:szCs w:val="16"/>
        </w:rPr>
        <w:t>th</w:t>
      </w:r>
      <w:r w:rsidRPr="00DB5D0D">
        <w:rPr>
          <w:rFonts w:ascii="Times New Roman" w:hAnsi="Times New Roman" w:cs="Times New Roman"/>
          <w:i w:val="0"/>
          <w:iCs w:val="0"/>
          <w:noProof w:val="0"/>
          <w:color w:val="000000" w:themeColor="text1"/>
          <w:lang w:val="ru-RU"/>
        </w:rPr>
        <w:t xml:space="preserve">. </w:t>
      </w:r>
      <w:r w:rsidRPr="00DB5D0D">
        <w:rPr>
          <w:rFonts w:ascii="Times New Roman" w:hAnsi="Times New Roman" w:cs="Times New Roman"/>
          <w:i w:val="0"/>
          <w:iCs w:val="0"/>
          <w:color w:val="000000" w:themeColor="text1"/>
          <w:lang w:val="ru-RU"/>
        </w:rPr>
        <w:t>ковочном прессе и создания этим дополнительного резерва в мощностях, предлагаю в пятидневный срок выслать в Гпавк и АБТУ план работ, намеченных заводом в этом направлении, с указанием сроков исполнения, как отдельных этапов, так и работы в целом. К плану намеченных работ обязательно приложить эскиз цельно-штампованного носа, наме</w:t>
      </w:r>
      <w:r w:rsidRPr="00DB5D0D">
        <w:rPr>
          <w:rFonts w:ascii="Times New Roman" w:hAnsi="Times New Roman" w:cs="Times New Roman"/>
          <w:i w:val="0"/>
          <w:iCs w:val="0"/>
          <w:color w:val="000000" w:themeColor="text1"/>
          <w:lang w:val="ru-RU"/>
        </w:rPr>
        <w:softHyphen/>
        <w:t>ченного к изготовлению на 15000 тн. прессе, увязав предваритель</w:t>
      </w:r>
      <w:r w:rsidRPr="00DB5D0D">
        <w:rPr>
          <w:rFonts w:ascii="Times New Roman" w:hAnsi="Times New Roman" w:cs="Times New Roman"/>
          <w:i w:val="0"/>
          <w:iCs w:val="0"/>
          <w:color w:val="000000" w:themeColor="text1"/>
          <w:lang w:val="ru-RU"/>
        </w:rPr>
        <w:softHyphen/>
        <w:t>но конструкцию его с конструкторами завода № 183, находящимися на заводе им. ИЛЬИЧА.</w:t>
      </w:r>
    </w:p>
    <w:p w14:paraId="20A409B8"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Кроме этого дать: а) потребные размеры бронелистов; б) техно</w:t>
      </w:r>
      <w:r w:rsidRPr="00DB5D0D">
        <w:rPr>
          <w:rFonts w:ascii="Times New Roman" w:hAnsi="Times New Roman" w:cs="Times New Roman"/>
          <w:i w:val="0"/>
          <w:iCs w:val="0"/>
          <w:color w:val="000000" w:themeColor="text1"/>
          <w:lang w:val="ru-RU"/>
        </w:rPr>
        <w:softHyphen/>
        <w:t>логию правки термически обработанной детали; в) намечаемую тех</w:t>
      </w:r>
      <w:r w:rsidRPr="00DB5D0D">
        <w:rPr>
          <w:rFonts w:ascii="Times New Roman" w:hAnsi="Times New Roman" w:cs="Times New Roman"/>
          <w:i w:val="0"/>
          <w:iCs w:val="0"/>
          <w:color w:val="000000" w:themeColor="text1"/>
          <w:lang w:val="ru-RU"/>
        </w:rPr>
        <w:softHyphen/>
        <w:t>нологию механической обработки цельно-штампованного носа с ука</w:t>
      </w:r>
      <w:r w:rsidRPr="00DB5D0D">
        <w:rPr>
          <w:rFonts w:ascii="Times New Roman" w:hAnsi="Times New Roman" w:cs="Times New Roman"/>
          <w:i w:val="0"/>
          <w:iCs w:val="0"/>
          <w:color w:val="000000" w:themeColor="text1"/>
          <w:lang w:val="ru-RU"/>
        </w:rPr>
        <w:softHyphen/>
        <w:t>занием станочного оборудования для этих целей.</w:t>
      </w:r>
    </w:p>
    <w:p w14:paraId="501592D0"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Этот расчет дать в сравнении с технологией изготовления как штампованного носа, изготовленного по технологии принятой на первых 10-ти комплектах машин, так и в сравнении с техноло</w:t>
      </w:r>
      <w:r w:rsidRPr="00DB5D0D">
        <w:rPr>
          <w:rFonts w:ascii="Times New Roman" w:hAnsi="Times New Roman" w:cs="Times New Roman"/>
          <w:i w:val="0"/>
          <w:iCs w:val="0"/>
          <w:color w:val="000000" w:themeColor="text1"/>
          <w:lang w:val="ru-RU"/>
        </w:rPr>
        <w:softHyphen/>
        <w:t>гией изготовления разрезного нештампованного носа с литой вставкой.</w:t>
      </w:r>
    </w:p>
    <w:p w14:paraId="66AE0D87"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Указанную работу предлагаю провести в кратчайший срок и еже</w:t>
      </w:r>
      <w:r w:rsidRPr="00DB5D0D">
        <w:rPr>
          <w:rFonts w:ascii="Times New Roman" w:hAnsi="Times New Roman" w:cs="Times New Roman"/>
          <w:i w:val="0"/>
          <w:iCs w:val="0"/>
          <w:color w:val="000000" w:themeColor="text1"/>
          <w:lang w:val="ru-RU"/>
        </w:rPr>
        <w:softHyphen/>
        <w:t>декадно докладывать о ходе проведения работы в Гпавк и АБТУ.</w:t>
      </w:r>
    </w:p>
    <w:p w14:paraId="3E49D75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НАЧАЛЬНИК 7-го ГЛАВНОГО УПРАВЛЕНИЯ НКСП(ЕМЕЛЬЯНОВ). [РГВА. Ф.31811. Оп.2. Д. 1176. Л. 147</w:t>
      </w:r>
      <w:r w:rsidRPr="00DB5D0D">
        <w:rPr>
          <w:rFonts w:ascii="Times New Roman" w:hAnsi="Times New Roman" w:cs="Times New Roman"/>
          <w:i w:val="0"/>
          <w:color w:val="000000" w:themeColor="text1"/>
          <w:lang w:val="ru-RU"/>
        </w:rPr>
        <w:t>.</w:t>
      </w:r>
      <w:r w:rsidRPr="00DB5D0D">
        <w:rPr>
          <w:rFonts w:ascii="Times New Roman" w:hAnsi="Times New Roman" w:cs="Times New Roman"/>
          <w:i w:val="0"/>
          <w:iCs w:val="0"/>
          <w:color w:val="000000" w:themeColor="text1"/>
          <w:lang w:val="ru-RU"/>
        </w:rPr>
        <w:t>]</w:t>
      </w:r>
    </w:p>
    <w:p w14:paraId="31D6587B" w14:textId="77777777" w:rsidR="00A25AD1" w:rsidRPr="00DB5D0D" w:rsidRDefault="00A25AD1" w:rsidP="00DB5D0D">
      <w:pPr>
        <w:pStyle w:val="a3"/>
        <w:rPr>
          <w:color w:val="000000" w:themeColor="text1"/>
          <w:lang w:val="ru-RU"/>
        </w:rPr>
      </w:pPr>
      <w:r w:rsidRPr="00DB5D0D">
        <w:rPr>
          <w:color w:val="000000" w:themeColor="text1"/>
          <w:lang w:val="ru-RU"/>
        </w:rPr>
        <w:t>Необходимо отметить, что незадолго до этого старший военп</w:t>
      </w:r>
      <w:r w:rsidRPr="00DB5D0D">
        <w:rPr>
          <w:color w:val="000000" w:themeColor="text1"/>
          <w:lang w:val="ru-RU"/>
        </w:rPr>
        <w:softHyphen/>
        <w:t>ред на Мариупольском заводе Г.И. Зухер представил в АБТУ свои соображения о перспективах внедрения в производство цельнош- тампованного носа. В своем письме военпред скептически отнесся к предложению главного технолога ДИ. Чижикова, указав на явные недостатки данной конструкции. Однако, несмотря на это, опытные работы в этом направлении было решено провести (11903).</w:t>
      </w:r>
    </w:p>
    <w:p w14:paraId="070D2B8C" w14:textId="77777777" w:rsidR="00A25AD1" w:rsidRPr="00DB5D0D" w:rsidRDefault="00A25AD1" w:rsidP="00DB5D0D">
      <w:pPr>
        <w:pStyle w:val="a3"/>
        <w:rPr>
          <w:color w:val="000000" w:themeColor="text1"/>
          <w:lang w:val="ru-RU"/>
        </w:rPr>
      </w:pPr>
    </w:p>
    <w:p w14:paraId="1F4C4A91" w14:textId="77777777" w:rsidR="00FF6F32" w:rsidRPr="00DB5D0D" w:rsidRDefault="00FF6F3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г. начальник 8-го отдела АБТУ РККА С.А. Афонин сообщил Г.С. Суреняну следующее: </w:t>
      </w:r>
    </w:p>
    <w:p w14:paraId="4CD552B3" w14:textId="77777777" w:rsidR="00FF6F32" w:rsidRPr="00DB5D0D" w:rsidRDefault="00FF6F3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«Командование АБТУ считает необходимым рацию в танке Т-34 расположить в носовой части, как это указано в тактико-технических требованиях. Прошу принять все зависящие от Вас меры по быстрейшему оснащению танков Т-34 новыми рациями КРСТБ с расположением их в носовой части».</w:t>
      </w:r>
    </w:p>
    <w:p w14:paraId="2ED27572" w14:textId="77777777" w:rsidR="00FF6F32" w:rsidRPr="00DB5D0D" w:rsidRDefault="00FF6F3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31811. Оп. 2. Д. 1181. Л. 109] (18160).</w:t>
      </w:r>
    </w:p>
    <w:p w14:paraId="5AF056C7" w14:textId="77777777" w:rsidR="00FF6F32" w:rsidRPr="00DB5D0D" w:rsidRDefault="00FF6F32" w:rsidP="00DB5D0D">
      <w:pPr>
        <w:spacing w:after="0" w:line="240" w:lineRule="auto"/>
        <w:jc w:val="both"/>
        <w:rPr>
          <w:rFonts w:ascii="Times New Roman" w:hAnsi="Times New Roman"/>
          <w:color w:val="000000" w:themeColor="text1"/>
          <w:sz w:val="16"/>
          <w:szCs w:val="16"/>
        </w:rPr>
      </w:pPr>
    </w:p>
    <w:p w14:paraId="56C2CB42"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5/7 июня 1940 г.</w:t>
      </w:r>
    </w:p>
    <w:p w14:paraId="09FC8270"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ГАРФ Фонд Р8418 Опись 24 Дело 936 лист 93</w:t>
      </w:r>
    </w:p>
    <w:p w14:paraId="3724C5E6"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СОВ.СЕКРЕТНО</w:t>
      </w:r>
    </w:p>
    <w:p w14:paraId="18C8DFC6"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Экз. № 4</w:t>
      </w:r>
    </w:p>
    <w:p w14:paraId="6D3D72E3"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5/7 июня 1940 г.</w:t>
      </w:r>
    </w:p>
    <w:p w14:paraId="696D6500"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5286/КО</w:t>
      </w:r>
    </w:p>
    <w:p w14:paraId="24C898A1"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НКСМ – т. ЛИХАЧЕВУ И.А.</w:t>
      </w:r>
    </w:p>
    <w:p w14:paraId="3E9413FB"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НКТМ – т. ЕФРЕМОВУ А.И.</w:t>
      </w:r>
    </w:p>
    <w:p w14:paraId="51CF6690"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Копия: НКО – т. ТИМОШЕНКО С.К.</w:t>
      </w:r>
    </w:p>
    <w:p w14:paraId="1C9E8F1C"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окончательного решения вопроса о возможности использования предложенного т.т. Данченко и Благонравовым механизма поворота танка вместо бортовых фрикционов, Комитет Обороны при СНК Союза ССР предлагает:</w:t>
      </w:r>
    </w:p>
    <w:p w14:paraId="09E4F520"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НКТМ в конструкторском бюро Кировского завода к 1 августа 1940 г. разработать технический проект механизма поворота танка, применительно к танку "КВ".</w:t>
      </w:r>
    </w:p>
    <w:p w14:paraId="2F9C78D6"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НКСМ в конструкторском бюро завода № 183 к 1 августа 1940 г. разработать технический проект механизма поворота танка, применительно к танку "Т-34".</w:t>
      </w:r>
    </w:p>
    <w:p w14:paraId="20D463AA"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Проектирование и разработку технического проекта механизма поворота вести при обязательном участии т. Данченко и Благонравова по предложенной ими кинематической схеме (приложение № 1).</w:t>
      </w:r>
    </w:p>
    <w:p w14:paraId="0F0033E6"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Затраты на разработку технических проектов механизма поворота произвести в счет ассигнований НКСМашу и НКТМашу на оборонные научно-исследовательские работы на 1940 год.</w:t>
      </w:r>
    </w:p>
    <w:p w14:paraId="15D3A871"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ПРЕДСЕДАТЕЛЬ КОМИТЕТА ОБОРОНЫ при СНК Союза ССР</w:t>
      </w:r>
    </w:p>
    <w:p w14:paraId="73F1BF21"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 ВОРОШИЛОВ)</w:t>
      </w:r>
    </w:p>
    <w:p w14:paraId="1C3E4B27"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Отп. 4 экз.</w:t>
      </w:r>
    </w:p>
    <w:p w14:paraId="1CD5DBE1"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Исп. Рудько (20379).</w:t>
      </w:r>
    </w:p>
    <w:p w14:paraId="53610FDE" w14:textId="77777777" w:rsidR="00F06892" w:rsidRPr="00DB5D0D" w:rsidRDefault="00F06892" w:rsidP="00DB5D0D">
      <w:pPr>
        <w:spacing w:after="0" w:line="240" w:lineRule="auto"/>
        <w:jc w:val="both"/>
        <w:rPr>
          <w:rFonts w:ascii="Times New Roman" w:hAnsi="Times New Roman"/>
          <w:color w:val="0070C0"/>
          <w:sz w:val="16"/>
          <w:szCs w:val="16"/>
        </w:rPr>
      </w:pPr>
    </w:p>
    <w:p w14:paraId="4DAA9C47"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5 июня 1940 была Сопроводительная записка А. А. Жданова И. В. Сталину к проекту постановления СНК СССР и ЦК ВКП(б) "О производстве танков Т-34 в 1940 г." и проект постановления, утвержденный Политбюро ЦК ВКП(б) 5 июня 1940 г. (21919).</w:t>
      </w:r>
    </w:p>
    <w:p w14:paraId="253A2776" w14:textId="77777777" w:rsidR="00F06892" w:rsidRPr="00DB5D0D" w:rsidRDefault="00F06892" w:rsidP="00DB5D0D">
      <w:pPr>
        <w:spacing w:after="0" w:line="240" w:lineRule="auto"/>
        <w:jc w:val="both"/>
        <w:rPr>
          <w:rFonts w:ascii="Times New Roman" w:hAnsi="Times New Roman"/>
          <w:color w:val="0070C0"/>
          <w:sz w:val="16"/>
          <w:szCs w:val="16"/>
        </w:rPr>
      </w:pPr>
    </w:p>
    <w:p w14:paraId="4308A146"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июня 1940 вышло Постановления Политбюро ЦК ВКП(б) "Вопрос КО" (о проектировании и создании опытных образцов танков "СП") и "Об экранировании машин Т-28" (пр. № 17/17-оп за 29 мая - 23 июня 1940 г., п. 100, 106)</w:t>
      </w:r>
    </w:p>
    <w:p w14:paraId="3D1FD83E"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100.- Вопрос К.О.</w:t>
      </w:r>
    </w:p>
    <w:p w14:paraId="09B785E3"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Утвердить следующее решение КО:</w:t>
      </w:r>
    </w:p>
    <w:p w14:paraId="60981441"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 проектировании и изготовлении опытных образцов тан</w:t>
      </w:r>
      <w:r w:rsidRPr="00DB5D0D">
        <w:rPr>
          <w:rFonts w:ascii="Times New Roman" w:hAnsi="Times New Roman"/>
          <w:color w:val="0070C0"/>
          <w:sz w:val="16"/>
          <w:szCs w:val="16"/>
        </w:rPr>
        <w:softHyphen/>
        <w:t>ков «СП»</w:t>
      </w:r>
    </w:p>
    <w:p w14:paraId="454DE3B2"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"Отпустить Наркомтяжмашу для Кировского завода и Наркомсредмашу для завода № 174 - 5 млн. рублей (каждому по 2,5 млн. руб.) из резервного фонда СНК Союза ССР на проек</w:t>
      </w:r>
      <w:r w:rsidRPr="00DB5D0D">
        <w:rPr>
          <w:rFonts w:ascii="Times New Roman" w:hAnsi="Times New Roman"/>
          <w:color w:val="0070C0"/>
          <w:sz w:val="16"/>
          <w:szCs w:val="16"/>
        </w:rPr>
        <w:softHyphen/>
        <w:t>тирование и изготовление опытных образцов танков "СП"." Выписки посланы: т.т. Звереву, Сафонову.</w:t>
      </w:r>
    </w:p>
    <w:p w14:paraId="5824F496"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106,- Об экранировании машин Т-28.</w:t>
      </w:r>
    </w:p>
    <w:p w14:paraId="1CC7FEED"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(Постановление СНК СССР и ЦК ВКП/б/).</w:t>
      </w:r>
    </w:p>
    <w:p w14:paraId="3F8B9B2C"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Совнарком Союза ССР и ЦК ВКП(б) постановляют:</w:t>
      </w:r>
    </w:p>
    <w:p w14:paraId="69CCAEFD"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Обязать Наркомат судостроительной промышленности - ижорским завод и Наркомат тяжелого машиностроения - Кировский завод произвести полную экранировку танков Т-28 в ко</w:t>
      </w:r>
      <w:r w:rsidRPr="00DB5D0D">
        <w:rPr>
          <w:rFonts w:ascii="Times New Roman" w:hAnsi="Times New Roman"/>
          <w:color w:val="0070C0"/>
          <w:sz w:val="16"/>
          <w:szCs w:val="16"/>
        </w:rPr>
        <w:softHyphen/>
        <w:t>личестве 100 штук до 12 июля с.г.</w:t>
      </w:r>
    </w:p>
    <w:p w14:paraId="6C620F1A"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Экранировку танков Т-28 производить по чертежам Кировского завода, согласованным с Ижорским заводом (обра</w:t>
      </w:r>
      <w:r w:rsidRPr="00DB5D0D">
        <w:rPr>
          <w:rFonts w:ascii="Times New Roman" w:hAnsi="Times New Roman"/>
          <w:color w:val="0070C0"/>
          <w:sz w:val="16"/>
          <w:szCs w:val="16"/>
        </w:rPr>
        <w:softHyphen/>
        <w:t>зец выпуска 1940 года) и утвержденным АБТУ КА.</w:t>
      </w:r>
    </w:p>
    <w:p w14:paraId="08EA4791"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Обязать Наркомат обороны:</w:t>
      </w:r>
    </w:p>
    <w:p w14:paraId="1EC8478A"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поставить Кировскому заводу боевые машины, не тре</w:t>
      </w:r>
      <w:r w:rsidRPr="00DB5D0D">
        <w:rPr>
          <w:rFonts w:ascii="Times New Roman" w:hAnsi="Times New Roman"/>
          <w:color w:val="0070C0"/>
          <w:sz w:val="16"/>
          <w:szCs w:val="16"/>
        </w:rPr>
        <w:softHyphen/>
        <w:t>бующие никакого ремонта и модернизации, без ЗИП-а пульдисков, радиоаппаратуры, оптических приборов, пулеметов и инструмента.</w:t>
      </w:r>
    </w:p>
    <w:p w14:paraId="046D4603"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танки поставляются из гомогенной брони выпуска, не ранее 1936 года.</w:t>
      </w:r>
    </w:p>
    <w:p w14:paraId="6F23A280"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при проведении экранировки разрешить замену поручневых антенн штыревой антенной, для чего чего АБТУ обеспечить Кировскии завод 100 комплектами штыревых антенн.</w:t>
      </w:r>
    </w:p>
    <w:p w14:paraId="451DF84B"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АБТУ обеспечит завоз машин на завод в следующие сроки</w:t>
      </w:r>
    </w:p>
    <w:p w14:paraId="29CB2F63"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 машин к 5 и 50 – к 25 июня с использованием задела 15-ти машин, находящихся на Кировском заводе.</w:t>
      </w:r>
    </w:p>
    <w:p w14:paraId="72E5B025"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Ижорскому заводу обеспечить материалом и произвес</w:t>
      </w:r>
      <w:r w:rsidRPr="00DB5D0D">
        <w:rPr>
          <w:rFonts w:ascii="Times New Roman" w:hAnsi="Times New Roman"/>
          <w:color w:val="0070C0"/>
          <w:sz w:val="16"/>
          <w:szCs w:val="16"/>
        </w:rPr>
        <w:softHyphen/>
        <w:t>ти на Кировском заводе полную экранировку (сваркой;.</w:t>
      </w:r>
    </w:p>
    <w:p w14:paraId="70A36AB5"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Ленинградскому горкому и горисполкому направить 50 дипломированных сварщиков с заводов Ленинграда Ижорско</w:t>
      </w:r>
      <w:r w:rsidRPr="00DB5D0D">
        <w:rPr>
          <w:rFonts w:ascii="Times New Roman" w:hAnsi="Times New Roman"/>
          <w:color w:val="0070C0"/>
          <w:sz w:val="16"/>
          <w:szCs w:val="16"/>
        </w:rPr>
        <w:softHyphen/>
        <w:t>му заводу.</w:t>
      </w:r>
    </w:p>
    <w:p w14:paraId="484197EA"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Кировскому заводу произвести необходимую подготов</w:t>
      </w:r>
      <w:r w:rsidRPr="00DB5D0D">
        <w:rPr>
          <w:rFonts w:ascii="Times New Roman" w:hAnsi="Times New Roman"/>
          <w:color w:val="0070C0"/>
          <w:sz w:val="16"/>
          <w:szCs w:val="16"/>
        </w:rPr>
        <w:softHyphen/>
        <w:t>ку машин под экранировку и монтаж их после экранировки, для чего АБТУ из ремонтной базы выделить 50 квалифицированных механиков, слесарей и 10 человек водителей.</w:t>
      </w:r>
    </w:p>
    <w:p w14:paraId="176DD715"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Обязать Наркомат Электропромышленности - т. Богаты</w:t>
      </w:r>
      <w:r w:rsidRPr="00DB5D0D">
        <w:rPr>
          <w:rFonts w:ascii="Times New Roman" w:hAnsi="Times New Roman"/>
          <w:color w:val="0070C0"/>
          <w:sz w:val="16"/>
          <w:szCs w:val="16"/>
        </w:rPr>
        <w:softHyphen/>
        <w:t>рева отгрузить из наличия в пятидневный срок Ижорскому и Кировскому заводам по 10 сварочных машин СУГ-2Б и по 500 метров провода ПРГ-70, силовой кабель, осветительный про</w:t>
      </w:r>
      <w:r w:rsidRPr="00DB5D0D">
        <w:rPr>
          <w:rFonts w:ascii="Times New Roman" w:hAnsi="Times New Roman"/>
          <w:color w:val="0070C0"/>
          <w:sz w:val="16"/>
          <w:szCs w:val="16"/>
        </w:rPr>
        <w:softHyphen/>
        <w:t>вод и 4-х жильный шланговый провод для шлифовальных малин по спецификации Ижорского и Кировского заводов.</w:t>
      </w:r>
    </w:p>
    <w:p w14:paraId="6BE109C2"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9. В целях обеспечения производственной площадью для демонтажа и монтажа танков Т-28, обязать Артиллерийское управление немедленно вывезти готовую продукцию (капонир</w:t>
      </w:r>
      <w:r w:rsidRPr="00DB5D0D">
        <w:rPr>
          <w:rFonts w:ascii="Times New Roman" w:hAnsi="Times New Roman"/>
          <w:color w:val="0070C0"/>
          <w:sz w:val="16"/>
          <w:szCs w:val="16"/>
        </w:rPr>
        <w:softHyphen/>
        <w:t>ные установки, минометы и пушки Е-16) с Кировского завода.</w:t>
      </w:r>
    </w:p>
    <w:p w14:paraId="33403C1B"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Отпустить Кировскому заводу из резерва Экономсовета 1 тонну никеля и 10 тонн хрома СО для производства 20 тонн аустинитовых электродов.</w:t>
      </w:r>
    </w:p>
    <w:p w14:paraId="424EAF8D"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Обязать Наркомхимпром поставить Ижорскому и Ки</w:t>
      </w:r>
      <w:r w:rsidRPr="00DB5D0D">
        <w:rPr>
          <w:rFonts w:ascii="Times New Roman" w:hAnsi="Times New Roman"/>
          <w:color w:val="0070C0"/>
          <w:sz w:val="16"/>
          <w:szCs w:val="16"/>
        </w:rPr>
        <w:softHyphen/>
        <w:t>ровскому заводам 30 тонн карбида в 5-дневный срок.</w:t>
      </w:r>
    </w:p>
    <w:p w14:paraId="5FB18299"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Обязать Комбинат твердых сплавов Наркомцветмета (директор т.Егоров) в 5-дневный срок выделить для Ижор</w:t>
      </w:r>
      <w:r w:rsidRPr="00DB5D0D">
        <w:rPr>
          <w:rFonts w:ascii="Times New Roman" w:hAnsi="Times New Roman"/>
          <w:color w:val="0070C0"/>
          <w:sz w:val="16"/>
          <w:szCs w:val="16"/>
        </w:rPr>
        <w:softHyphen/>
        <w:t>ского завода 100 килограммов победита.</w:t>
      </w:r>
    </w:p>
    <w:p w14:paraId="37EC0146"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Выписки посланы:</w:t>
      </w:r>
    </w:p>
    <w:p w14:paraId="73F99E29"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т.т. Жданову/Носенко.Ефремову.Тимошенко,</w:t>
      </w:r>
    </w:p>
    <w:p w14:paraId="4A3592E4"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Павлову, Сазонову, Ленобком ВКП(б) - все;</w:t>
      </w:r>
    </w:p>
    <w:p w14:paraId="04510262"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Богатыреву - 8, Денисову - 11, Самохва</w:t>
      </w:r>
      <w:r w:rsidRPr="00DB5D0D">
        <w:rPr>
          <w:rFonts w:ascii="Times New Roman" w:hAnsi="Times New Roman"/>
          <w:color w:val="0070C0"/>
          <w:sz w:val="16"/>
          <w:szCs w:val="16"/>
        </w:rPr>
        <w:softHyphen/>
        <w:t>лову - 12.</w:t>
      </w:r>
    </w:p>
    <w:p w14:paraId="32D51D01"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107.- 0 производство танков Т-34 в 1940 г.</w:t>
      </w:r>
    </w:p>
    <w:p w14:paraId="34C67A11"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(Постановление СНК СССР и ЦК З.ОТ/б/).</w:t>
      </w:r>
    </w:p>
    <w:p w14:paraId="3D45BBB0"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Принять постановление "С производстве танков Т-34 в 1940 году" (см.приложение).</w:t>
      </w:r>
    </w:p>
    <w:p w14:paraId="373E1CCA"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Выписки посланы:</w:t>
      </w:r>
    </w:p>
    <w:p w14:paraId="64E340A8"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Жданову, Лихачеву,Тимошенко, Гинзбургу, Носенко, Ефремову, Тевосяну, Богатыреву, Самохвалову, Денисову, Вознесенскому, Сазонову; Московской обком В.К.П.(б), Ленинградский обком ВКП (б), Харьковков- ский обком ВКП(б)У, Днепропетровский обком ВКП(б)У, Сталинский обком ВКП (б)У, Сталинградский обком ВКП(б), Ярослав</w:t>
      </w:r>
      <w:r w:rsidRPr="00DB5D0D">
        <w:rPr>
          <w:rFonts w:ascii="Times New Roman" w:hAnsi="Times New Roman"/>
          <w:color w:val="0070C0"/>
          <w:sz w:val="16"/>
          <w:szCs w:val="16"/>
        </w:rPr>
        <w:softHyphen/>
        <w:t>ский обком ВКП(б), ЦК ВКП(б)У -‘все: Кагановичу - 5,19,21, Гроссману - б, Сергееву *Н.(Б) - 4. Звереву - 7-г,30, Вахрушеву - 7-в, 19, Лукину - 19,29. Каткову - 13. Соснину - 14,19, Сер</w:t>
      </w:r>
      <w:r w:rsidRPr="00DB5D0D">
        <w:rPr>
          <w:rFonts w:ascii="Times New Roman" w:hAnsi="Times New Roman"/>
          <w:color w:val="0070C0"/>
          <w:sz w:val="16"/>
          <w:szCs w:val="16"/>
        </w:rPr>
        <w:softHyphen/>
        <w:t>гееву (НКЛес) - 14.19, Микояну - 15-г, 16-г, 17, Паршину.Лазареву.- 19, Акимову - 19,29, Ванникову -8.9.19, Шахурин- ***, Уткину (Всекомпромсовет) – 19, Любимову -23 (21921).</w:t>
      </w:r>
    </w:p>
    <w:p w14:paraId="7D344D9C" w14:textId="77777777" w:rsidR="00F06892" w:rsidRPr="00DB5D0D" w:rsidRDefault="00F06892" w:rsidP="00DB5D0D">
      <w:pPr>
        <w:spacing w:after="0" w:line="240" w:lineRule="auto"/>
        <w:jc w:val="both"/>
        <w:rPr>
          <w:rFonts w:ascii="Times New Roman" w:hAnsi="Times New Roman"/>
          <w:color w:val="0070C0"/>
          <w:sz w:val="16"/>
          <w:szCs w:val="16"/>
        </w:rPr>
      </w:pPr>
    </w:p>
    <w:p w14:paraId="5A925F0B"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июня 1940 вышло Постановление Комитета обороны при СНК СССР № 246сс "О проектировании и изготовлении опытных образцов танков СП (сопровождения пехоты)" с приложениями</w:t>
      </w:r>
    </w:p>
    <w:p w14:paraId="3C550F20"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ОБОРОНЫ при СНК СОЮЗА ССР ПОСТАНОВЛЯЕТ:</w:t>
      </w:r>
    </w:p>
    <w:p w14:paraId="26320835"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Утвердить представленные Народным Комиссариатом Обо</w:t>
      </w:r>
      <w:r w:rsidRPr="00DB5D0D">
        <w:rPr>
          <w:rFonts w:ascii="Times New Roman" w:hAnsi="Times New Roman"/>
          <w:color w:val="0070C0"/>
          <w:sz w:val="16"/>
          <w:szCs w:val="16"/>
        </w:rPr>
        <w:softHyphen/>
        <w:t>роны Союза СССР тактико -технического требования на проектирова</w:t>
      </w:r>
      <w:r w:rsidRPr="00DB5D0D">
        <w:rPr>
          <w:rFonts w:ascii="Times New Roman" w:hAnsi="Times New Roman"/>
          <w:color w:val="0070C0"/>
          <w:sz w:val="16"/>
          <w:szCs w:val="16"/>
        </w:rPr>
        <w:softHyphen/>
        <w:t>ние и изготовление опытных образцов танков "СП" (сопровожде</w:t>
      </w:r>
      <w:r w:rsidRPr="00DB5D0D">
        <w:rPr>
          <w:rFonts w:ascii="Times New Roman" w:hAnsi="Times New Roman"/>
          <w:color w:val="0070C0"/>
          <w:sz w:val="16"/>
          <w:szCs w:val="16"/>
        </w:rPr>
        <w:softHyphen/>
        <w:t>ния пехоты).</w:t>
      </w:r>
    </w:p>
    <w:p w14:paraId="68719AF7"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Обязать Наркомтяжмаш - тов. Ефремова А.И. спроектиро</w:t>
      </w:r>
      <w:r w:rsidRPr="00DB5D0D">
        <w:rPr>
          <w:rFonts w:ascii="Times New Roman" w:hAnsi="Times New Roman"/>
          <w:color w:val="0070C0"/>
          <w:sz w:val="16"/>
          <w:szCs w:val="16"/>
        </w:rPr>
        <w:softHyphen/>
        <w:t>вать и изготовить на Кировском заводе к 1 октября 1940 года два опытных образца танков "СП" по тактико-техническим требо</w:t>
      </w:r>
      <w:r w:rsidRPr="00DB5D0D">
        <w:rPr>
          <w:rFonts w:ascii="Times New Roman" w:hAnsi="Times New Roman"/>
          <w:color w:val="0070C0"/>
          <w:sz w:val="16"/>
          <w:szCs w:val="16"/>
        </w:rPr>
        <w:softHyphen/>
        <w:t>ваниям НКО (приложение № 1).</w:t>
      </w:r>
    </w:p>
    <w:p w14:paraId="6952DB08"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Обязать Наркомсредмаш- тов. Лихачева И.А. спроектиро</w:t>
      </w:r>
      <w:r w:rsidRPr="00DB5D0D">
        <w:rPr>
          <w:rFonts w:ascii="Times New Roman" w:hAnsi="Times New Roman"/>
          <w:color w:val="0070C0"/>
          <w:sz w:val="16"/>
          <w:szCs w:val="16"/>
        </w:rPr>
        <w:softHyphen/>
        <w:t>вать и изготовить на заводе № 174 им. Ворошилова к 1 октяб</w:t>
      </w:r>
      <w:r w:rsidRPr="00DB5D0D">
        <w:rPr>
          <w:rFonts w:ascii="Times New Roman" w:hAnsi="Times New Roman"/>
          <w:color w:val="0070C0"/>
          <w:sz w:val="16"/>
          <w:szCs w:val="16"/>
        </w:rPr>
        <w:softHyphen/>
        <w:t>ря 1940 года два опытных образца танков "СП" по тактике-тех</w:t>
      </w:r>
      <w:r w:rsidRPr="00DB5D0D">
        <w:rPr>
          <w:rFonts w:ascii="Times New Roman" w:hAnsi="Times New Roman"/>
          <w:color w:val="0070C0"/>
          <w:sz w:val="16"/>
          <w:szCs w:val="16"/>
        </w:rPr>
        <w:softHyphen/>
        <w:t>ническим требованиям НКО (приложение № 1).</w:t>
      </w:r>
    </w:p>
    <w:p w14:paraId="2AA9B1ED"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Обязать Наркомсудпром - тов. Носенко И.И. изготовить на Ижорском заводе, не позднее 1 сентября 1940 года, четыре корпуса для опытных образцов танков "СП" по заказам Киров</w:t>
      </w:r>
      <w:r w:rsidRPr="00DB5D0D">
        <w:rPr>
          <w:rFonts w:ascii="Times New Roman" w:hAnsi="Times New Roman"/>
          <w:color w:val="0070C0"/>
          <w:sz w:val="16"/>
          <w:szCs w:val="16"/>
        </w:rPr>
        <w:softHyphen/>
        <w:t>ского завода Наркомтяжмаша и завода № 174 Наркомсредмаша.</w:t>
      </w:r>
    </w:p>
    <w:p w14:paraId="4B1B99C7" w14:textId="77777777" w:rsidR="00F06892" w:rsidRPr="00DB5D0D" w:rsidRDefault="00F0689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Отпустить Наркомтяжмашу для Кировского завода и Наркомсредмашу - для завода № 174 - 5 млн. рублей (каждому по 2,5 млн. руб.) из резервного фонда СНК Союза ССР на проектиро</w:t>
      </w:r>
      <w:r w:rsidRPr="00DB5D0D">
        <w:rPr>
          <w:rFonts w:ascii="Times New Roman" w:hAnsi="Times New Roman"/>
          <w:color w:val="0070C0"/>
          <w:sz w:val="16"/>
          <w:szCs w:val="16"/>
        </w:rPr>
        <w:softHyphen/>
        <w:t>вание и изготовление опытных образцов в танков "СП" (21922).</w:t>
      </w:r>
    </w:p>
    <w:p w14:paraId="7CE74879" w14:textId="77777777" w:rsidR="00F06892" w:rsidRPr="00DB5D0D" w:rsidRDefault="00F06892" w:rsidP="00DB5D0D">
      <w:pPr>
        <w:spacing w:after="0" w:line="240" w:lineRule="auto"/>
        <w:jc w:val="both"/>
        <w:rPr>
          <w:rFonts w:ascii="Times New Roman" w:hAnsi="Times New Roman"/>
          <w:color w:val="0070C0"/>
          <w:sz w:val="16"/>
          <w:szCs w:val="16"/>
        </w:rPr>
      </w:pPr>
    </w:p>
    <w:p w14:paraId="513DEB41" w14:textId="77777777" w:rsidR="00C7362D" w:rsidRPr="00DB5D0D" w:rsidRDefault="00C736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г. ход работ по изготовле</w:t>
      </w:r>
      <w:r w:rsidRPr="00DB5D0D">
        <w:rPr>
          <w:rFonts w:ascii="Times New Roman" w:hAnsi="Times New Roman"/>
          <w:color w:val="000000" w:themeColor="text1"/>
          <w:sz w:val="16"/>
          <w:szCs w:val="16"/>
        </w:rPr>
        <w:softHyphen/>
        <w:t>нию первых 20 установок 152,4-мм гаубиц обр. 1938 г. (М-10) в танках КВ обсудили на техническом совещании. Приня</w:t>
      </w:r>
      <w:r w:rsidRPr="00DB5D0D">
        <w:rPr>
          <w:rFonts w:ascii="Times New Roman" w:hAnsi="Times New Roman"/>
          <w:color w:val="000000" w:themeColor="text1"/>
          <w:sz w:val="16"/>
          <w:szCs w:val="16"/>
        </w:rPr>
        <w:softHyphen/>
        <w:t>тым решением подтверждалась возможность монтажа Кировским заводом качающейся час</w:t>
      </w:r>
      <w:r w:rsidRPr="00DB5D0D">
        <w:rPr>
          <w:rFonts w:ascii="Times New Roman" w:hAnsi="Times New Roman"/>
          <w:color w:val="000000" w:themeColor="text1"/>
          <w:sz w:val="16"/>
          <w:szCs w:val="16"/>
        </w:rPr>
        <w:softHyphen/>
        <w:t>ти и подъемного механизма гаубицы, получен</w:t>
      </w:r>
      <w:r w:rsidRPr="00DB5D0D">
        <w:rPr>
          <w:rFonts w:ascii="Times New Roman" w:hAnsi="Times New Roman"/>
          <w:color w:val="000000" w:themeColor="text1"/>
          <w:sz w:val="16"/>
          <w:szCs w:val="16"/>
        </w:rPr>
        <w:softHyphen/>
        <w:t>ных с завода №172 им. Молотова, в башне тан</w:t>
      </w:r>
      <w:r w:rsidRPr="00DB5D0D">
        <w:rPr>
          <w:rFonts w:ascii="Times New Roman" w:hAnsi="Times New Roman"/>
          <w:color w:val="000000" w:themeColor="text1"/>
          <w:sz w:val="16"/>
          <w:szCs w:val="16"/>
        </w:rPr>
        <w:softHyphen/>
        <w:t>ка КВ по чертежам первоначальных опытных образцов установки МТ-1 с внесением отдель</w:t>
      </w:r>
      <w:r w:rsidRPr="00DB5D0D">
        <w:rPr>
          <w:rFonts w:ascii="Times New Roman" w:hAnsi="Times New Roman"/>
          <w:color w:val="000000" w:themeColor="text1"/>
          <w:sz w:val="16"/>
          <w:szCs w:val="16"/>
        </w:rPr>
        <w:softHyphen/>
        <w:t>ных изменений. Чертежи, предназначенные для приемки 20 МТ-1, предлагалось предста</w:t>
      </w:r>
      <w:r w:rsidRPr="00DB5D0D">
        <w:rPr>
          <w:rFonts w:ascii="Times New Roman" w:hAnsi="Times New Roman"/>
          <w:color w:val="000000" w:themeColor="text1"/>
          <w:sz w:val="16"/>
          <w:szCs w:val="16"/>
        </w:rPr>
        <w:softHyphen/>
        <w:t>вить в Артком к 12 июня. Последующие уста</w:t>
      </w:r>
      <w:r w:rsidRPr="00DB5D0D">
        <w:rPr>
          <w:rFonts w:ascii="Times New Roman" w:hAnsi="Times New Roman"/>
          <w:color w:val="000000" w:themeColor="text1"/>
          <w:sz w:val="16"/>
          <w:szCs w:val="16"/>
        </w:rPr>
        <w:softHyphen/>
        <w:t>новки по заказу 1940 г. следовало выпускать по чертежам МТ-1 - проект N9402, переделан</w:t>
      </w:r>
      <w:r w:rsidRPr="00DB5D0D">
        <w:rPr>
          <w:rFonts w:ascii="Times New Roman" w:hAnsi="Times New Roman"/>
          <w:color w:val="000000" w:themeColor="text1"/>
          <w:sz w:val="16"/>
          <w:szCs w:val="16"/>
        </w:rPr>
        <w:softHyphen/>
        <w:t>ным ЛКЗ и согласованным с чертежами ва</w:t>
      </w:r>
      <w:r w:rsidRPr="00DB5D0D">
        <w:rPr>
          <w:rFonts w:ascii="Times New Roman" w:hAnsi="Times New Roman"/>
          <w:color w:val="000000" w:themeColor="text1"/>
          <w:sz w:val="16"/>
          <w:szCs w:val="16"/>
        </w:rPr>
        <w:softHyphen/>
        <w:t>лового производства 152,4-мм дивизионной гаубицы обр. 1938 г. (М-10) (15767).</w:t>
      </w:r>
    </w:p>
    <w:p w14:paraId="4F770A15" w14:textId="77777777" w:rsidR="00C7362D" w:rsidRPr="00DB5D0D" w:rsidRDefault="00C7362D" w:rsidP="00DB5D0D">
      <w:pPr>
        <w:spacing w:after="0" w:line="240" w:lineRule="auto"/>
        <w:jc w:val="both"/>
        <w:rPr>
          <w:rFonts w:ascii="Times New Roman" w:hAnsi="Times New Roman"/>
          <w:color w:val="000000" w:themeColor="text1"/>
          <w:sz w:val="16"/>
          <w:szCs w:val="16"/>
        </w:rPr>
      </w:pPr>
    </w:p>
    <w:p w14:paraId="24CAAF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г. Комитет Обороны постановлением № 246сс выдвинул ТТТ на изготовление опытного образца танка СП (Т-126-2), причем согласно разъяснениям АБТУ полагалось вынести двигатель в моторное отделение и ведущее колесо размещать в корме машины. Однако вскоре нарком Тимошенко узнал, что гомоген</w:t>
      </w:r>
      <w:r w:rsidRPr="00DB5D0D">
        <w:rPr>
          <w:rFonts w:ascii="Times New Roman" w:hAnsi="Times New Roman"/>
          <w:color w:val="000000" w:themeColor="text1"/>
          <w:sz w:val="16"/>
          <w:szCs w:val="16"/>
        </w:rPr>
        <w:softHyphen/>
        <w:t>ная броня Мариупольского завода была испытана зимой 1939—40 гг. обстрелом из 45-мм пушек новыми снарядами (эталон № 0130) и с дистанции 300—400 метров была неод</w:t>
      </w:r>
      <w:r w:rsidRPr="00DB5D0D">
        <w:rPr>
          <w:rFonts w:ascii="Times New Roman" w:hAnsi="Times New Roman"/>
          <w:color w:val="000000" w:themeColor="text1"/>
          <w:sz w:val="16"/>
          <w:szCs w:val="16"/>
        </w:rPr>
        <w:softHyphen/>
        <w:t>нократно пробита ими. И только листы толщиной 50-52 мм не пробивались из 45-мм пушки с любой дистанции любым типом снаряда без нарушения тыльной прочности. Требованием наркома было усилить бронирование но</w:t>
      </w:r>
      <w:r w:rsidRPr="00DB5D0D">
        <w:rPr>
          <w:rFonts w:ascii="Times New Roman" w:hAnsi="Times New Roman"/>
          <w:color w:val="000000" w:themeColor="text1"/>
          <w:sz w:val="16"/>
          <w:szCs w:val="16"/>
        </w:rPr>
        <w:softHyphen/>
        <w:t>вого танка до 55 мм вместо 45-мм по ТТТ. Кроме того, по опыту обстрела крыши танка из 20— 37-мм пушек (имита</w:t>
      </w:r>
      <w:r w:rsidRPr="00DB5D0D">
        <w:rPr>
          <w:rFonts w:ascii="Times New Roman" w:hAnsi="Times New Roman"/>
          <w:color w:val="000000" w:themeColor="text1"/>
          <w:sz w:val="16"/>
          <w:szCs w:val="16"/>
        </w:rPr>
        <w:softHyphen/>
        <w:t>ция нападения пикирующих бомбардировщиков), толщи</w:t>
      </w:r>
      <w:r w:rsidRPr="00DB5D0D">
        <w:rPr>
          <w:rFonts w:ascii="Times New Roman" w:hAnsi="Times New Roman"/>
          <w:color w:val="000000" w:themeColor="text1"/>
          <w:sz w:val="16"/>
          <w:szCs w:val="16"/>
        </w:rPr>
        <w:softHyphen/>
        <w:t>ну крыши вместо 20 мм предписали увеличить до 30, а дни</w:t>
      </w:r>
      <w:r w:rsidRPr="00DB5D0D">
        <w:rPr>
          <w:rFonts w:ascii="Times New Roman" w:hAnsi="Times New Roman"/>
          <w:color w:val="000000" w:themeColor="text1"/>
          <w:sz w:val="16"/>
          <w:szCs w:val="16"/>
        </w:rPr>
        <w:softHyphen/>
        <w:t>ще для лучшей защиты от противотанковых мин в его пе</w:t>
      </w:r>
      <w:r w:rsidRPr="00DB5D0D">
        <w:rPr>
          <w:rFonts w:ascii="Times New Roman" w:hAnsi="Times New Roman"/>
          <w:color w:val="000000" w:themeColor="text1"/>
          <w:sz w:val="16"/>
          <w:szCs w:val="16"/>
        </w:rPr>
        <w:softHyphen/>
        <w:t>редней части — выполнить толщиной 20 мм и при этом было разрешено довести вес танка до 17 т. Таким образом, к изготовлению приняли два танка СП (проект 126), один с толщиной брони 45 мм и массой 14 т, другой — с броней 55 мм и массой 17 т (10782).</w:t>
      </w:r>
    </w:p>
    <w:p w14:paraId="0ECC11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5C0C0FE" w14:textId="77777777" w:rsidR="00A25AD1" w:rsidRPr="00DB5D0D" w:rsidRDefault="00A25AD1" w:rsidP="00DB5D0D">
      <w:pPr>
        <w:pStyle w:val="a3"/>
        <w:rPr>
          <w:color w:val="000000" w:themeColor="text1"/>
          <w:lang w:val="ru-RU"/>
        </w:rPr>
      </w:pPr>
      <w:r w:rsidRPr="00DB5D0D">
        <w:rPr>
          <w:color w:val="000000" w:themeColor="text1"/>
          <w:lang w:val="ru-RU"/>
        </w:rPr>
        <w:t xml:space="preserve">5 июня 1940 г. решением Комитета обороны при СНК СССР от разработка и изготовление опытных образцов нового танка поручались не только заводу </w:t>
      </w:r>
      <w:r w:rsidRPr="00DB5D0D">
        <w:rPr>
          <w:color w:val="000000" w:themeColor="text1"/>
        </w:rPr>
        <w:t>N</w:t>
      </w:r>
      <w:r w:rsidRPr="00DB5D0D">
        <w:rPr>
          <w:color w:val="000000" w:themeColor="text1"/>
          <w:lang w:val="ru-RU"/>
        </w:rPr>
        <w:t xml:space="preserve"> 174, но и Кировскому заводу (12619).</w:t>
      </w:r>
    </w:p>
    <w:p w14:paraId="0EB89A15" w14:textId="77777777" w:rsidR="00A25AD1" w:rsidRPr="00DB5D0D" w:rsidRDefault="00A25AD1" w:rsidP="00DB5D0D">
      <w:pPr>
        <w:pStyle w:val="a3"/>
        <w:rPr>
          <w:color w:val="000000" w:themeColor="text1"/>
          <w:lang w:val="ru-RU"/>
        </w:rPr>
      </w:pPr>
    </w:p>
    <w:p w14:paraId="5AFBC7E2"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5 июня 1940 г. - из доклада наркома И.Т. Тевосяна на собрании хозяйственного актива работников Наркомата чёрной металлургии.</w:t>
      </w:r>
    </w:p>
    <w:p w14:paraId="0830020C"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Совет народных комиссаров и Центральный комитет партии вскрыли крупнейшие недочёты в чёрной металлургии... Чем вызвано сейчас вмешательство ЦК партии и Совнаркома в дела чёрной металлургии?..</w:t>
      </w:r>
    </w:p>
    <w:p w14:paraId="34CB2AC7"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За один 1939 год оборонная промышленность, которая объединяет основную массу машиностроительных заводов нашей страны, дала рост против 1938 года на 47%; тяжёлое и среднее машиностроение дали рост на 14-15%. В то же самое время чёрная металлургия за эти три года топчется на месте. В 1937, 1938 и 1939 гг. чёрная металлургия не дала прироста против того, что имели в 1936 г. (...)</w:t>
      </w:r>
    </w:p>
    <w:p w14:paraId="7134D26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Вот уже третий год мы топчемся на одном месте, а между тем за эти годы были введены в действие новые мощности...</w:t>
      </w:r>
    </w:p>
    <w:p w14:paraId="1278CFE1"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Спрашивается, куда девалась мощность агрегатов, введённых в действие за эти годы? Ведь они должны были добавить к выплавке чугуна в 1936 г. 2,2 млн. при выплавке стали 1,13 млн. т. Мощность этих агрегатов пошла на покрытие ухудшения работы действующих в 1936 г. домен и мартенов...</w:t>
      </w:r>
    </w:p>
    <w:p w14:paraId="3FCB9406"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Таким образом, за 3 года созданы мощности по выплавке чугуна только на 2,2 млн. т, тогда как по заданию товарища Сталина мы должны ежегодно давать прирост 2,0-2,5 млн. т...</w:t>
      </w:r>
    </w:p>
    <w:p w14:paraId="7FFA873D"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Чем объяснить, товарищи, это отставание в чёрной металлургии?.. Первый и главный вопрос сейчас для нас - это снабжение сырьём наших домен и мартенов... Второй серьёзный вопрос работы чёрной металлургии - это уровень технического руководства нашими предприятиями...</w:t>
      </w:r>
    </w:p>
    <w:p w14:paraId="49231FED"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Теперь я хочу остановиться на вопросе подбора кадров. Это есть самый главный вопрос. Вопрос подбора кадров отвечает на все другие вопросы: почему у нас слабое техническое руководство, почему не обеспечили сырьем, почему плохо организовали материально-техническое снабжение.</w:t>
      </w:r>
    </w:p>
    <w:p w14:paraId="638CAF2C"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Если человек дела не знает, он не сможет с ним справиться. Одно только его социальное происхождение недостаточно, одна только хорошая анкета недостаточна, надо, чтобы человек и дело знал. К сожалению, на многих заводах подбор шел у нас по тому, как человек умел красиво говорить, а не по тому, что человек умел работать, трудиться, не быть лентяем...</w:t>
      </w:r>
    </w:p>
    <w:p w14:paraId="2729104A"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За 1939 г. и 1 квартал 1940 г. было снято и переведено 42 директора и 37 главных инженеров предприятий. Из 159 начальников цехов (по номенклатуре Наркомата) снято 109; из 17 начальников доменных цехов уволено 14; из 23 управляющих рудоуправлений сняты 15 человек и т.д. (...)</w:t>
      </w:r>
    </w:p>
    <w:p w14:paraId="6D62B089"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И сейчас в решении ЦК партии и СНК СССР говорится о том, чтобы запретить по окончании вузов в течение двух лет занимать командные должности, а идти на производство и там пройти лестницу производственной школы...</w:t>
      </w:r>
    </w:p>
    <w:p w14:paraId="7E1B66CF"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Мне кажется, что заводы технической помощи от Главка наркомата не получили потому, что главный инженер, инженеры Главка были загружены текучкой, справками, очень много писали бумаг, но забывали своего ребенка - завод. У нас получается, что завод сам по себе, а аппарат день и ночь сидел, потел, писал, а потом работники женам рассказывали, что очень заняты (смех). Если бы большую времени проводили с заводами, было бы гораздо лучше.</w:t>
      </w:r>
    </w:p>
    <w:p w14:paraId="7C441AE4"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РГАЭ. Ф. 8875. Оп. 38. Д. 242. Л. 1а-7, 11-12, 15, 19-20, 22, 36-38, 42, 49-50 (11525).</w:t>
      </w:r>
    </w:p>
    <w:p w14:paraId="5BC89B3B"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39F810C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CA7B2A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87D71C8" w14:textId="77777777" w:rsidR="00C7362D" w:rsidRPr="00DB5D0D" w:rsidRDefault="00C736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5 июня</w:t>
      </w:r>
      <w:r w:rsidRPr="00DB5D0D">
        <w:rPr>
          <w:rFonts w:ascii="Times New Roman" w:hAnsi="Times New Roman"/>
          <w:color w:val="000000" w:themeColor="text1"/>
          <w:sz w:val="16"/>
          <w:szCs w:val="16"/>
        </w:rPr>
        <w:t xml:space="preserve"> в 1940 году первый полёт опытного образца итальянского торпедоносца </w:t>
      </w:r>
      <w:hyperlink r:id="rId101" w:tgtFrame="_blank" w:history="1">
        <w:r w:rsidRPr="00DB5D0D">
          <w:rPr>
            <w:rFonts w:ascii="Times New Roman" w:hAnsi="Times New Roman"/>
            <w:color w:val="000000" w:themeColor="text1"/>
            <w:sz w:val="16"/>
            <w:szCs w:val="16"/>
          </w:rPr>
          <w:t xml:space="preserve">«SM.84». </w:t>
        </w:r>
      </w:hyperlink>
      <w:r w:rsidRPr="00DB5D0D">
        <w:rPr>
          <w:rFonts w:ascii="Times New Roman" w:hAnsi="Times New Roman"/>
          <w:color w:val="000000" w:themeColor="text1"/>
          <w:sz w:val="16"/>
          <w:szCs w:val="16"/>
        </w:rPr>
        <w:t>«SM.84» стал первым итальянским не поплавковым торпедоносецем, с самого начала проектировавшийся как таковой (14913).</w:t>
      </w:r>
    </w:p>
    <w:p w14:paraId="0F82D9A7" w14:textId="77777777" w:rsidR="00C7362D" w:rsidRPr="00DB5D0D" w:rsidRDefault="00C7362D" w:rsidP="00DB5D0D">
      <w:pPr>
        <w:spacing w:after="0" w:line="240" w:lineRule="auto"/>
        <w:jc w:val="both"/>
        <w:rPr>
          <w:rFonts w:ascii="Times New Roman" w:hAnsi="Times New Roman"/>
          <w:color w:val="000000" w:themeColor="text1"/>
          <w:sz w:val="16"/>
          <w:szCs w:val="16"/>
        </w:rPr>
      </w:pPr>
    </w:p>
    <w:p w14:paraId="0DAA0583" w14:textId="77777777" w:rsidR="00FA316C" w:rsidRPr="00DB5D0D" w:rsidRDefault="00FA316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июня 1940 - Первый полёт опытного образца итальянского торпедоносца SM.84. SM.84 стал первым итальянским непоплавковым торпедоносецем, с самого начала проектировавшийся как таковой (22470).</w:t>
      </w:r>
    </w:p>
    <w:p w14:paraId="4EA22CA9" w14:textId="77777777" w:rsidR="00FA316C" w:rsidRPr="00DB5D0D" w:rsidRDefault="00FA316C" w:rsidP="00DB5D0D">
      <w:pPr>
        <w:spacing w:after="0" w:line="240" w:lineRule="auto"/>
        <w:jc w:val="both"/>
        <w:rPr>
          <w:rFonts w:ascii="Times New Roman" w:hAnsi="Times New Roman"/>
          <w:color w:val="0070C0"/>
          <w:sz w:val="16"/>
          <w:szCs w:val="16"/>
        </w:rPr>
      </w:pPr>
    </w:p>
    <w:p w14:paraId="3E982078" w14:textId="77777777" w:rsidR="00FA316C" w:rsidRPr="00DB5D0D" w:rsidRDefault="00FA316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июня 1940 года S.84 совершил первый полет, а через пять дней Муссолини не устоял перед нажимом своего «партнера» по «стальному пакту» и вступил во Вторую мировую войну. Но первый серийный S.84 был принят в 120 Stormo 410 Gruppo ВТ лишь 2 февраля 1941 года. Прирост летных данных по сравнению со старым S.79 был ниже ожидаемого, модифицированный S.84bis тоже не дал желаемой прибавки к скорости и строился малой серией, и к моменту капитуляции осенью 1943 было построено лишь 308 самолетов. Из задела после войны в варианте бомбардировщика достроили лишь один S.84ter. С моторами P.XII по 1500 л.с. в 1944 году он развил скорость 500 км/ч, но в 1946 году разбился (22845).</w:t>
      </w:r>
    </w:p>
    <w:p w14:paraId="6D226399" w14:textId="77777777" w:rsidR="00FA316C" w:rsidRPr="00DB5D0D" w:rsidRDefault="00FA316C" w:rsidP="00DB5D0D">
      <w:pPr>
        <w:spacing w:after="0" w:line="240" w:lineRule="auto"/>
        <w:jc w:val="both"/>
        <w:rPr>
          <w:rFonts w:ascii="Times New Roman" w:hAnsi="Times New Roman"/>
          <w:color w:val="0070C0"/>
          <w:sz w:val="16"/>
          <w:szCs w:val="16"/>
        </w:rPr>
      </w:pPr>
    </w:p>
    <w:p w14:paraId="29E4A6E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французский генерал Шарль де Голль назначен заместителем министра обороны Франции (4962).</w:t>
      </w:r>
    </w:p>
    <w:p w14:paraId="43E3871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AC3614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французы подбили и взяли в плен немецкого летчика-асса Вернера Молдерса (4962).</w:t>
      </w:r>
    </w:p>
    <w:p w14:paraId="04773F9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DCFBEE0"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 xml:space="preserve">5 июня 1940 небольшое число Ю-88 и Не-111 первый раз бомбили Англию ночью </w:t>
      </w:r>
      <w:r w:rsidRPr="00DB5D0D">
        <w:rPr>
          <w:rFonts w:ascii="Times New Roman" w:hAnsi="Times New Roman"/>
          <w:color w:val="000000" w:themeColor="text1"/>
          <w:sz w:val="16"/>
          <w:szCs w:val="16"/>
          <w:lang w:val="en-US"/>
        </w:rPr>
        <w:t>(2240).</w:t>
      </w:r>
    </w:p>
    <w:p w14:paraId="55DA7F9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A5E03E6"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5th, 1940: Beginning of Fall Rot (Operation Red), the second stage of the German invasion of France, also called the Battle of France (119 divisions, including 10 armored). Heeresgruppe B (von Kuchler), with 50 divisions, opens the offensive on the Somme against the fortified positions of the Weygand Line. Hptm. Molders, leader ofIII/JG 53 and Germany's top air ace (25 kills) is shot down near Compiegne and taken prisoner (3819).</w:t>
      </w:r>
    </w:p>
    <w:p w14:paraId="43C856E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7BBFA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началась Красная операция, вторая стадия германского вторжения во Францию, которую также называют Битвой за Францию. 119 дивизий, включая 10 танковых. 50 дивизий группы Б (фон Кюхлер) начали наступление на Сомме против линии Вейганга. Под Комптеном был сбит и пленен немецкий ас Молдерс (3819).</w:t>
      </w:r>
    </w:p>
    <w:p w14:paraId="0185B4A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702E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началась новая битва за Францию и Корсику, которая называлась Operation Rot (2244,4).</w:t>
      </w:r>
    </w:p>
    <w:p w14:paraId="47AE272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21EC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5-27 июня 1940 войска Германии оккупировали Северную и Юго-Западную Францию (3907,223).</w:t>
      </w:r>
    </w:p>
    <w:p w14:paraId="53868B4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9AFB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ставка ВГК германской армии через Германское информационное бюро сообщила, что с 10 мая по 3 июня Люфтваффе уничтожили в воздухе 1841 самолет противника + 1600-1700 на земле. Есть данные и о 1500 на земле с 11 мая по 5 июня. Немцы потеряли во Франции и в Норвегии 1239. Реальные данные с 10 мая по конец июня - 795, в т.ч. 320 в воздухе, 240 на аэродромах и 235 от аварий. Немцы потеряли за 42 дня компании - 2073, в т.ч. 547 и (3818).</w:t>
      </w:r>
    </w:p>
    <w:p w14:paraId="33B0AC8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D8B2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 июня 1940 эвакуировали англо-французские войска из Норвегии (3186).</w:t>
      </w:r>
    </w:p>
    <w:p w14:paraId="63358C9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85ECA4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в Англии запрещены забастовки (4962).</w:t>
      </w:r>
    </w:p>
    <w:p w14:paraId="0782EEB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50BE18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в Канаде запрещена деятельность 16 организаций, включая фашистов и коммунистов (4962).</w:t>
      </w:r>
    </w:p>
    <w:p w14:paraId="73D7E11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BE3228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 1940 в США продемонстрированы первые шины из синтетической резины (4962).</w:t>
      </w:r>
    </w:p>
    <w:p w14:paraId="13B0293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8295E0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609C80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04A99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года начальник серийного п/отдела объединенного конструкторского отдела "Д" завода N 22 Камкин и начальник сектора аэродинамики самолета объединенного конструкторского отдела "Д" Рубцов писали письмо N 6222с Сталину и Ворошилову.</w:t>
      </w:r>
    </w:p>
    <w:p w14:paraId="18ED5E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Докладная записка.</w:t>
      </w:r>
    </w:p>
    <w:p w14:paraId="653D85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Последние события показали, что наша авиация должна иметь более мощное и эффективное бомбардировочное вооружение и скорости самолетов большие чем мы имеем.</w:t>
      </w:r>
    </w:p>
    <w:p w14:paraId="042D6C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мы задались целью создать такой новый тип самолета, который в некоторой степени разрешает эту задачу.</w:t>
      </w:r>
    </w:p>
    <w:p w14:paraId="5DAED1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считаем необходимым и возможным иметь на вооружении такой тип самолета, который имел бы следующие данные:</w:t>
      </w:r>
    </w:p>
    <w:p w14:paraId="16A660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Максимальную скорость самолета 700+(-)20 км/час. Эту скорость можно обеспечить, наряду с хорошей аэродинамической формой самолета, увеличением мощности винтомоторной группы самолета. Мы не имеем достаточно мощных моторов на сегодня для решения этой задачи обычным путем. Поэтому мы решаем задачу спариванием моторов, работающих раздельно, что дает удвоенную мощность при одной моторной гондоле (установке) с ликвидацией реактивных моментов (винты одной установки имеют левое вращение) и вероятным повышением К.П.Д. винтов, что в целом улучшает аэродинамику самолета. Некоторый опыт с подобной установкой моторов мы имеем на самолете конструкции инженера Болховитинова.</w:t>
      </w:r>
    </w:p>
    <w:p w14:paraId="07D3D6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Моторами, обеспечивающим скорость 700+(-)20 км/час для выбранного нами типа самолета на сегодня являются моторы конструкции инженера Микулина АМ-37 или моторы М-107 конструкции инженера Климова.</w:t>
      </w:r>
    </w:p>
    <w:p w14:paraId="64E7F3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Опыт показал, что легкие бомбардировщики (по классификации - средние) не всегда могут решать необходимые задачи. Поэтому мы считаем необходимым и возможным увеличить бомбовую нагрузку до 1500 кг в нормальном варианте (при полетном весе 15700 кг) и при перегрузке до 3500 кг (при уменьшении дальности полета бомбовая нагрузка может быть повышена).</w:t>
      </w:r>
    </w:p>
    <w:p w14:paraId="318196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Калибр бомб:</w:t>
      </w:r>
    </w:p>
    <w:p w14:paraId="5388FC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4 шт. по 250 кг и 1 шт. - 500 кг (нормальн. вариант).</w:t>
      </w:r>
    </w:p>
    <w:p w14:paraId="494825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4 шт. по 250 кг 1 шт. 500 кг, 2 шт. по 1000 кг или 4 шт. по 500 кг (перегрузочный вариант).</w:t>
      </w:r>
    </w:p>
    <w:p w14:paraId="6FE4EB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Опыт также показал, что наиболее действенными бомбардировщиками являются пикирующие бомбардировщики.</w:t>
      </w:r>
    </w:p>
    <w:p w14:paraId="3C2633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мы считаем необходимым и возможным спроектировать и построить такой тяжелый бомбардировщик, который мог бы атаковать противника с пикирования.</w:t>
      </w:r>
    </w:p>
    <w:p w14:paraId="20A360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Эту задачу можно решить ограничением скорости пикирования при помощи специальных приспособлений:</w:t>
      </w:r>
    </w:p>
    <w:p w14:paraId="36B6C7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Специальные управляемые тормозные щитки.</w:t>
      </w:r>
    </w:p>
    <w:p w14:paraId="1D1929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Реверсивные (тормозные) винты-автоматы.</w:t>
      </w:r>
    </w:p>
    <w:p w14:paraId="694B82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Стрелковое сооружение - нормальное для бомбардировщика обеспечивающее отражение в строю атаки истребителей).</w:t>
      </w:r>
    </w:p>
    <w:p w14:paraId="10D836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Стрелковые точки располагаются:</w:t>
      </w:r>
    </w:p>
    <w:p w14:paraId="51B8DD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носу - 1 точка.</w:t>
      </w:r>
    </w:p>
    <w:p w14:paraId="3C0362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хвосте - 2 точки (верхняя и нижняя).</w:t>
      </w:r>
    </w:p>
    <w:p w14:paraId="68DC36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Дальность полета в нормальном варианте - 2380 км обеспечивает активную защиту наших границ при перегрузке самолета за счет горючего (бомб - 1500 кг, горючего и масла 5000 кг) - 4350 км.</w:t>
      </w:r>
    </w:p>
    <w:p w14:paraId="631E92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Посадочная скорость самолета - 124,5 км/час (при нормальном полетном весе - 15700 кг).</w:t>
      </w:r>
    </w:p>
    <w:p w14:paraId="26DAED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решения указанной задачи, просим помочь нам в следующем:</w:t>
      </w:r>
    </w:p>
    <w:p w14:paraId="37CFFB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Разрешить подобрать кадры конструкторов и создать на заводе N 22 базу для постройки первых опытных самолетов.</w:t>
      </w:r>
    </w:p>
    <w:p w14:paraId="40EC34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Дать задание инженеру Микулину разработать вариант спарки моторов АМ-37 и заводу - 24 построить их.</w:t>
      </w:r>
    </w:p>
    <w:p w14:paraId="40B621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Дать задание заводу N 28 построить втулки и винты - автоматы.</w:t>
      </w:r>
    </w:p>
    <w:p w14:paraId="263FD6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Обращаемся непосредственно к Вам потому, что задача очень ответственная и серьезная, а решить нужно быстро.</w:t>
      </w:r>
    </w:p>
    <w:p w14:paraId="7A277E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w:t>
      </w:r>
    </w:p>
    <w:p w14:paraId="5830B9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Предварительный общий вид самолета.</w:t>
      </w:r>
    </w:p>
    <w:p w14:paraId="6056CD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Основные расчетные данные самолета (1195,3).</w:t>
      </w:r>
    </w:p>
    <w:p w14:paraId="7D0B9BD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6626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 июня 1940 на И-26 М-105П ВИШ-61 А.С.Я. в ходе гос. испытаний, которые проходили с 1 по 15 июня 1940 выполнили чистку и регулировку вооружения и отстрел (2924).</w:t>
      </w:r>
    </w:p>
    <w:p w14:paraId="06F119C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760D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закончились заводские испытания И-190 М-88. Опробовали несколько типов винтов: АВ-2Л-1 диаметром 2.75 м, АВ-2Л-2 диаметром 2.65 м, АВ-2Л-3 диаметром 2.65 м. С винтом АВ-2Л-2 на 500 м получили скорость 410 км/час. Надейлись, что скорость вырастет с М-88Р и новым удлиненным капотом, позаимстваванном от И-180. До начала 1941 скорость 500 км/час так и не достигли - получили 488 (6156).</w:t>
      </w:r>
    </w:p>
    <w:p w14:paraId="4DEC1D4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62BFA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г. в полете на И-190 сорвало часть обшивки верхнего крыла. Во время ремонта безредукторный мотор заме</w:t>
      </w:r>
      <w:r w:rsidRPr="00DB5D0D">
        <w:rPr>
          <w:rFonts w:ascii="Times New Roman" w:hAnsi="Times New Roman"/>
          <w:color w:val="000000" w:themeColor="text1"/>
          <w:sz w:val="16"/>
          <w:szCs w:val="16"/>
        </w:rPr>
        <w:softHyphen/>
        <w:t>нили на редукторный М-88Р, что потребовало изготов-ления новых капотов. Испытания показали, что М-88Р перегревается, не дает требуемых оборотов, плохо рабо</w:t>
      </w:r>
      <w:r w:rsidRPr="00DB5D0D">
        <w:rPr>
          <w:rFonts w:ascii="Times New Roman" w:hAnsi="Times New Roman"/>
          <w:color w:val="000000" w:themeColor="text1"/>
          <w:sz w:val="16"/>
          <w:szCs w:val="16"/>
        </w:rPr>
        <w:softHyphen/>
        <w:t>тал карбюратор, имелись и другие дефекты двигателя. Специальным решением моторного завода № 29, куда вынужден был обратиться с рекламациями Николай Николаевич, полеты с данным мотором были запреще</w:t>
      </w:r>
      <w:r w:rsidRPr="00DB5D0D">
        <w:rPr>
          <w:rFonts w:ascii="Times New Roman" w:hAnsi="Times New Roman"/>
          <w:color w:val="000000" w:themeColor="text1"/>
          <w:sz w:val="16"/>
          <w:szCs w:val="16"/>
        </w:rPr>
        <w:softHyphen/>
        <w:t>ны. На И-190 поставили М-88А и винт АВ-2 (10667).</w:t>
      </w:r>
    </w:p>
    <w:p w14:paraId="1043FA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AFA6B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апреля 1940 г. у Давыдова в воздухе не вышла полностью правая стойка шасси, при посадке самолет получил небольшие повреждения. Спустя две недели И-190 отремонтировали и на нем продолжили полеты, которые, будучи засчитанными как заводские испытания, продолжались до </w:t>
      </w:r>
    </w:p>
    <w:p w14:paraId="13F39CC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D33BEB" w14:textId="77777777" w:rsidR="00F716D4" w:rsidRPr="00DB5D0D" w:rsidRDefault="00F716D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6 июня</w:t>
      </w:r>
      <w:r w:rsidRPr="00DB5D0D">
        <w:rPr>
          <w:rFonts w:ascii="Times New Roman" w:hAnsi="Times New Roman"/>
          <w:color w:val="000000" w:themeColor="text1"/>
          <w:sz w:val="16"/>
          <w:szCs w:val="16"/>
        </w:rPr>
        <w:t xml:space="preserve"> в 1940 году завершились заводские испытания «И-190». За период испытаний oпробовали три типа воздушных винтов «АВ-2Л-1» диаметром 2,75 м, «АВ-2Л-2» диаметром 2,65 м, «АВ-2Л-3» диаметром 2,65 С винтом «АВ-2А-2» максимальная скорость у земли составила 375 км/ч, а на высоте 5000 метров 410 км/ч. Полученные данные оценивались как неудовлетворительные, однако желаемые характеристики надеялись получить с новым редукторным двигателем «М-88Р». Мотоустановку этого двигателя вместе с новым, удлиненным и переделанным капотом, в значительной степени позаимствовали у истребителя «И-180». В таком вид «И-190» выполнил ряд полетов вплоть до наступления нового, 1941 года. Ожидаемую максимальную скорость 500 км/ч так и не достигли, работами по доводке машины занимались эпизодически. На этом история истребителя «И-190» завершилась (14914).</w:t>
      </w:r>
    </w:p>
    <w:p w14:paraId="59AE58DF" w14:textId="77777777" w:rsidR="00F716D4" w:rsidRPr="00DB5D0D" w:rsidRDefault="00F716D4" w:rsidP="00DB5D0D">
      <w:pPr>
        <w:spacing w:after="0" w:line="240" w:lineRule="auto"/>
        <w:jc w:val="both"/>
        <w:rPr>
          <w:rFonts w:ascii="Times New Roman" w:hAnsi="Times New Roman"/>
          <w:color w:val="000000" w:themeColor="text1"/>
          <w:sz w:val="16"/>
          <w:szCs w:val="16"/>
        </w:rPr>
      </w:pPr>
    </w:p>
    <w:p w14:paraId="10944D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года закончили испытания И-190, которые шли с 30 декабря 1939. За период испытаний были опробованы три типа воздушных винтов: AB-2J1-1 диаметром 2,75 м, AB-2J1-2 диаметром 2,65 м, AB-2J1-3 диаметром 2,65 м. С винтом АВ-2Л-2 самолет развивал максимальную скорость у земли 375 км/ч, а на высоте 5000 метров - 410 км/ч. Такие данные никого удовлетворить не могли, однако желаемые характеристики надеялись получить с новым редук- торным двигателем М-88Р. Мотоустановка этого двигателя вместе с новым, удлиненным и усовершенствованным капотом, была в значительной степени позаимствована у истребителя И-180. В таком виде самолет продолжал выполнять эпизодические полеты вплоть до наступления нового, 1941 года. Ожидаемая максимальная скорость 500 км/ч на нем так и не была достигнута, работами по доводке машины занимались эпизодически. Максимально, что удалось получить на И-190 до февраля 1941 г, это скорость 488 км/ч на пятикилометровой высоте. 13 февраля 1941 г. во время проверочного полета отказал двигатель М-88. Летчик Уляхин спланировал на Центральный аэродром, однако в ту зиму стоял очень глубокий снег и И-190, оборудованный колесным шасси, перевернулся. Уляхин не пострадал, но самолет был сильно поврежден. Особого значения событию не придали и скоро о нем забыли. Разбитый самолет не восстанавливали, второй экземпляр не достроили. История истребителя-биплана И-190 закончилась.</w:t>
      </w:r>
    </w:p>
    <w:p w14:paraId="2461ECA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BC172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лет</w:t>
      </w:r>
      <w:r w:rsidRPr="00DB5D0D">
        <w:rPr>
          <w:rFonts w:ascii="Times New Roman" w:hAnsi="Times New Roman"/>
          <w:color w:val="000000" w:themeColor="text1"/>
          <w:sz w:val="16"/>
          <w:szCs w:val="16"/>
        </w:rPr>
        <w:softHyphen/>
        <w:t>чик М.И.Марцелюк совершил на И-200 № 03 первый вылет (9984).</w:t>
      </w:r>
    </w:p>
    <w:p w14:paraId="274708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5030E67" w14:textId="77777777" w:rsidR="007C3C59" w:rsidRPr="00DB5D0D" w:rsidRDefault="007C3C59" w:rsidP="00DB5D0D">
      <w:pPr>
        <w:pStyle w:val="5b"/>
        <w:spacing w:line="240" w:lineRule="auto"/>
        <w:jc w:val="both"/>
        <w:rPr>
          <w:rFonts w:ascii="Times New Roman" w:hAnsi="Times New Roman" w:cs="Times New Roman"/>
          <w:color w:val="0070C0"/>
          <w:sz w:val="16"/>
          <w:szCs w:val="16"/>
          <w:lang w:val="ru-RU"/>
        </w:rPr>
      </w:pPr>
      <w:r w:rsidRPr="00DB5D0D">
        <w:rPr>
          <w:rStyle w:val="aff0"/>
          <w:rFonts w:ascii="Times New Roman" w:hAnsi="Times New Roman" w:cs="Times New Roman"/>
          <w:color w:val="0070C0"/>
          <w:spacing w:val="0"/>
          <w:sz w:val="16"/>
          <w:szCs w:val="16"/>
          <w:lang w:val="ru-RU"/>
        </w:rPr>
        <w:t>6 июня 1940 И-200-3 облетал Марцелюк (21696).</w:t>
      </w:r>
    </w:p>
    <w:p w14:paraId="514C48ED" w14:textId="77777777" w:rsidR="007C3C59" w:rsidRPr="00DB5D0D" w:rsidRDefault="007C3C59" w:rsidP="00DB5D0D">
      <w:pPr>
        <w:spacing w:after="0" w:line="240" w:lineRule="auto"/>
        <w:jc w:val="both"/>
        <w:rPr>
          <w:rFonts w:ascii="Times New Roman" w:hAnsi="Times New Roman"/>
          <w:color w:val="0070C0"/>
          <w:sz w:val="16"/>
          <w:szCs w:val="16"/>
        </w:rPr>
      </w:pPr>
    </w:p>
    <w:p w14:paraId="6B0D19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состоялся первый полет на третьем И-200 (1021,66), т.е. начались его заводские испытания (2090,133) и выполнил его М.И.Марцелюк (3549).</w:t>
      </w:r>
    </w:p>
    <w:p w14:paraId="70895C6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ABBB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М.И. Марцелюк совершил на И-200 третий экземпляр первый вылет (11757).</w:t>
      </w:r>
    </w:p>
    <w:p w14:paraId="3739B2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B8589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И-200-3 облетал Марцелюк (11938).</w:t>
      </w:r>
    </w:p>
    <w:p w14:paraId="0CF204A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A949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в ходе заводских испытаний И-200 А.И.М, которые проходили с 31 марта по 17 августа 1940, на И-200-3 состоялся первый полет, ознакомительный полет и уборка шасси. До 9 июня машина доводилась (2988).</w:t>
      </w:r>
    </w:p>
    <w:p w14:paraId="6880C36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D4BA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летчик М.И. Марцелюк совершил на третьем И-200 первый вылет. Третий опытный И-200 несколько отличался от своих предшественников - он имел металлические консоли. Четвертый экземпляр был построен осенью 1940 г. Он стал прототипом усовершенствованного варианта истребителя, имел значительно увеличенный объем бензобаков и впоследствии использовался для проведения испытаний на дальность полета.</w:t>
      </w:r>
    </w:p>
    <w:p w14:paraId="3206A5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Гипнотическое действие на руководство ВВС и НКАП возымела огромная по тем временам скорость полета, достигнутая уже в первых полетах И-200. 24 мая 1940 г. летчик А.Н. Екатов на первой опытной машине развил скорость 648,5 км/ч на высоте 6900 м. Реакция руководства страны была молниеносной: не дожидаясь окончания заводских испытаний (не говоря уже о государственных), решением Комитета Обороны от 25 мая и приказом наркомата авиапромышленности от 31 мая 1940 г. истребитель И-200 был официально запущен в серийное производство на заводе № 1. В соответствии с откорректированной программой выпуска заводу предписывалось в 1940 г. сдать 125 самолетов И-200 (12045).</w:t>
      </w:r>
    </w:p>
    <w:p w14:paraId="43FA4D1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46B49BB" w14:textId="77777777" w:rsidR="00F716D4" w:rsidRPr="00DB5D0D" w:rsidRDefault="00F716D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6 июня</w:t>
      </w:r>
      <w:r w:rsidRPr="00DB5D0D">
        <w:rPr>
          <w:rFonts w:ascii="Times New Roman" w:hAnsi="Times New Roman"/>
          <w:color w:val="000000" w:themeColor="text1"/>
          <w:sz w:val="16"/>
          <w:szCs w:val="16"/>
        </w:rPr>
        <w:t xml:space="preserve"> в 1940 году пилот М.И.Марцелюк совершил на третьем экземпляре истребителя </w:t>
      </w:r>
      <w:hyperlink r:id="rId102" w:tgtFrame="_blank" w:history="1">
        <w:r w:rsidRPr="00DB5D0D">
          <w:rPr>
            <w:rFonts w:ascii="Times New Roman" w:hAnsi="Times New Roman"/>
            <w:color w:val="000000" w:themeColor="text1"/>
            <w:sz w:val="16"/>
            <w:szCs w:val="16"/>
          </w:rPr>
          <w:t xml:space="preserve">«И-200» </w:t>
        </w:r>
      </w:hyperlink>
      <w:r w:rsidRPr="00DB5D0D">
        <w:rPr>
          <w:rFonts w:ascii="Times New Roman" w:hAnsi="Times New Roman"/>
          <w:color w:val="000000" w:themeColor="text1"/>
          <w:sz w:val="16"/>
          <w:szCs w:val="16"/>
        </w:rPr>
        <w:t>первый полет. «И-200» №03 несколько отличался от своих предшественников - он имел металлические консоли, а вместо факелодержателей «НГ-12» установили фару «ФС-155» (14914).</w:t>
      </w:r>
    </w:p>
    <w:p w14:paraId="52F892DA" w14:textId="77777777" w:rsidR="00F716D4" w:rsidRPr="00DB5D0D" w:rsidRDefault="00F716D4" w:rsidP="00DB5D0D">
      <w:pPr>
        <w:spacing w:after="0" w:line="240" w:lineRule="auto"/>
        <w:jc w:val="both"/>
        <w:rPr>
          <w:rFonts w:ascii="Times New Roman" w:hAnsi="Times New Roman"/>
          <w:color w:val="000000" w:themeColor="text1"/>
          <w:sz w:val="16"/>
          <w:szCs w:val="16"/>
        </w:rPr>
      </w:pPr>
    </w:p>
    <w:p w14:paraId="2526A238" w14:textId="77777777" w:rsidR="00F716D4" w:rsidRPr="00DB5D0D" w:rsidRDefault="00F716D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6 июня</w:t>
      </w:r>
      <w:r w:rsidRPr="00DB5D0D">
        <w:rPr>
          <w:rFonts w:ascii="Times New Roman" w:hAnsi="Times New Roman"/>
          <w:color w:val="000000" w:themeColor="text1"/>
          <w:sz w:val="16"/>
          <w:szCs w:val="16"/>
        </w:rPr>
        <w:t xml:space="preserve"> в 1940 году первый полет истребителя «Су-1», А.Попельнюшенко. «Су-1» отличался от других машин такого же назначения тем, что его спроектировали под двигатель «М-105П» мощностью 1100 л. с., оснащенный двумя турбокомпрессорами-нагнетателями, которые работали от выхлопных газов (14914).</w:t>
      </w:r>
    </w:p>
    <w:p w14:paraId="5629FCD5" w14:textId="77777777" w:rsidR="00F716D4" w:rsidRPr="00DB5D0D" w:rsidRDefault="00F716D4" w:rsidP="00DB5D0D">
      <w:pPr>
        <w:spacing w:after="0" w:line="240" w:lineRule="auto"/>
        <w:jc w:val="both"/>
        <w:rPr>
          <w:rFonts w:ascii="Times New Roman" w:hAnsi="Times New Roman"/>
          <w:color w:val="000000" w:themeColor="text1"/>
          <w:sz w:val="16"/>
          <w:szCs w:val="16"/>
        </w:rPr>
      </w:pPr>
    </w:p>
    <w:p w14:paraId="23D563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полет на растряску ПДББ-100 (2923).</w:t>
      </w:r>
    </w:p>
    <w:p w14:paraId="4C6842A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D312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Нач. ПЭО НКАП Водяницкий направил А.С.Я Справку по результатам анализа представленных КБ темфинпланов на 1940 и 3 кв. 1940 N 8/885c (вход. N 2626 от 9 июня) (А.С.Я. написал резолюцию: т. Алексееву Написать письмо в КО переговорив со мною):</w:t>
      </w:r>
    </w:p>
    <w:p w14:paraId="7A79E4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"Анализ представленных КБ темфинпланов на 1940 и на 3 кв7 1940 показывает, что ряд КБ не имеют загрузки на 2-е полугодие:</w:t>
      </w:r>
    </w:p>
    <w:p w14:paraId="313B77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КБ Грушина. Срок окончания ББ с М-105 - июль 1940. С мая конструкторский персонал работает на дублер ББ и затраты на эту неутвержденную машину составляют около 30 тыс. руб. Плана 2 полугодия КБ не имеет. Численность: ИТР - 54, рабочих 56, служащих 26 (2090,105).</w:t>
      </w:r>
    </w:p>
    <w:p w14:paraId="516A9C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ОКБ 30 Шевченко. 2-й экз. ИС д.б. закончен в июле 1940. Загрузка 2 полугодия совершенно не ясна и КБ отказывается от составления плана на 3-й кв. Численность: ИТР - 66, рабочих - 21, служащих - 33</w:t>
      </w:r>
    </w:p>
    <w:p w14:paraId="0203FD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КБ завода 288 Самсонова. Срок изготовления МДР 2М-88 - август 1940. Плана работы на 2 полугодие КБ не имеет. Численность: ИТР - 150, рабочих - 250, служащих - 100</w:t>
      </w:r>
    </w:p>
    <w:p w14:paraId="6E1567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ОКБ 31 Москалева. Работы, утвержденные правительством, заканчиваются к 1 октября. Имеющиеся сверх правительственных заданий договорные работы не могут загрузить имеющуюся мощность КБ во 2 полугодии. Численность: ИТР - 51, рабочих - 55, служащих - 18</w:t>
      </w:r>
    </w:p>
    <w:p w14:paraId="4636D2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Завод 240. Правительственные работы заканчиваются в 1 полугодии и дальнейшая перспектива - не ясна. Численность: ИТР - 186, рабочих - 418, служащих - 102</w:t>
      </w:r>
    </w:p>
    <w:p w14:paraId="402EDA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КБ Сильванского. Машина И-220 М-87 д.б. закончена в 2-м квартале с.г. Численность персонала, который может потребоваться для различного рода доделки и доводки не может загрузить весь состав КБ. Ввиду того, что работники КБ Сильванского работают в Москве в командировке, числясь за 153 заводом, вопрос об использовании лишних людей по этому КБ должен решаться немедленно. Состав КБ заводом не выделяется и числится в заводском составе.</w:t>
      </w:r>
    </w:p>
    <w:p w14:paraId="607A49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Завод 289 Вахмистрова и Привалова. Уже в 1 полугодии выполняли тематику, неутвержденную правительством и не санкционированную НКАП. 2 полугодие по работам этих конструкторов - совершенно не ясно.</w:t>
      </w:r>
    </w:p>
    <w:p w14:paraId="4E5F48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ОКБ завода 207 Боровкова. По машине И-107-3 д.б. проведены заводские испытания с доводками и машина будет сдана на гос. испытания 1 июля 1940. Требуется изготовить И-207-4 со сроком сдачи на гос. испытания 1 октября. Перспектив на 4 кв. КБ не имеет и планирует сокращение штатов. Численность: ИТР - 62, рабочих - 18, служащих - 16.</w:t>
      </w:r>
    </w:p>
    <w:p w14:paraId="386339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ОКБ завода 301 конструкторов ЛаГГ. Две машины, перешедшие от прошлого года, д.б. сданы 1-я - к 1 апреля, 2-я - к 1 июня 1940, причем приказом НКАП 1-я машина заканчивается к 15 мая. Перспектив на 2 полугодие КБ не имеет, но в своем плане мощность ОКБ оставляют за собой и штатов сокращать не планируют. Численность: ИТР -94, рабочих - 124, служащих - 35.</w:t>
      </w:r>
    </w:p>
    <w:p w14:paraId="51929E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ОКБ завода 47 Адлера. Два УТИ-4 д.б. спроектированы и сданы 1 августа. Перспектив на дальнейшее - не имеет.</w:t>
      </w:r>
    </w:p>
    <w:p w14:paraId="00DEDC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ОКБ завода 47 Бакшаева. Планер с раздвижным крылом в одном экз., начатый в 1939, д.б. закончен к 1 июля 1940. дальнейших перспектив КБ не имеет. Численность вместе с КБ Адлера: ИТР - 28, рабочих - 44, служащих - 2.</w:t>
      </w:r>
    </w:p>
    <w:p w14:paraId="00D0DD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12. ОКБ завода 135 П.О.С. Загрузку имеет только по 3 кв. с.г., включительно. В 4 кв. будет незагружено, а конструкторский персонал не будет иметь загрузки еще раньше. Численность: ИТР - 163, рабочих - 314, служащих - 91</w:t>
      </w:r>
    </w:p>
    <w:p w14:paraId="67C6DB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ОКБ завода 21 Пашинина. Производственная мощность ОКБ будет загружена по ноябрь с.г. включительно, декабрь и частично ноябрь будет вынуждено выполнять заказы завода по серии, конструкторам же с октября делать будет нечего, т.к. конструкторские работы по плану будут выполнены. Численность: ИТР - 102, рабочих - 208, служащих - 30.</w:t>
      </w:r>
    </w:p>
    <w:p w14:paraId="52EAD3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ОКБ завода 22 А.А.А. Производственная мощность будет загружена в течение года, а конструкторам с сентября делать будет нечего, т.к. план текущего года к этому времени будет выполнен. Численность: ИТР - 113, рабочих - 12, служащих - 63.</w:t>
      </w:r>
    </w:p>
    <w:p w14:paraId="15C64A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ОКБ завода 1 А.И.М. Загрузку имеет только на 7 месяцев, а на остальное время перспектив не имеет (2090,106).</w:t>
      </w:r>
    </w:p>
    <w:p w14:paraId="733100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необходимостью утверждения в ближайшее время оперативного плана 3 кв., в котором мощности КБ д.б. использованы в соответствии с имеющейся программой, прошу:</w:t>
      </w:r>
    </w:p>
    <w:p w14:paraId="39F2E0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Разрешить вопрос о тематике по перечисленным выше КБ, не имеющим достаточной загрузки на 2 полугодие, имея в виду, что по ряду КБ конструкторский персонал не имеет установленных заданий уже во 2 кв.</w:t>
      </w:r>
    </w:p>
    <w:p w14:paraId="359BAC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Разрешить прекратить планирование по труду и смете производства, а равно и финансирование тех КБ, которые не будут иметь программы, с момента окончания ими утвержденной тематики.</w:t>
      </w:r>
    </w:p>
    <w:p w14:paraId="3047AC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дать указание о размещении освобождающегося по этим КБ персонала, имея ввиду насыщение в первую очередь КБ и опытных заводов, не имеющих достаточных мощностей (156, 289).</w:t>
      </w:r>
    </w:p>
    <w:p w14:paraId="48BD98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Поручить 11 ГУ совместно с ПЭО установить наличные мощности имеющихся КБ и выявить узкие места по ним, как в отношении производственной базы, так и конструкторских работ и разработать меры по их устранению." (2090,105).</w:t>
      </w:r>
    </w:p>
    <w:p w14:paraId="2C7E370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121C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состоялось заседание постоянной комиссии по рассмотрению инициативных проектов, не вошедших в план 1940 (протокол 6). Рассмотрели:</w:t>
      </w:r>
    </w:p>
    <w:p w14:paraId="2EE4D7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Краткие данные эскизного проекта высотного самолета, предложенного Чесаловым, Скржинским, Кузнецовым для 35 завода. Крыло - низкорасположенная обратная чайка, шасси не убираются, мотор М-107 с высотностью 17-19000 м и мощностью 800 нр. Признали, что самолет реален и целесообразен для осуществления (1448,48).</w:t>
      </w:r>
    </w:p>
    <w:p w14:paraId="1C39763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795E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приказом НКАП А.Д.Шиц был утвержден первым зам. начальника ПГУ НКАП (863,314).</w:t>
      </w:r>
    </w:p>
    <w:p w14:paraId="422F461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A110E3" w14:textId="77777777" w:rsidR="00F716D4" w:rsidRPr="00DB5D0D" w:rsidRDefault="00F716D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6 июня</w:t>
      </w:r>
      <w:r w:rsidRPr="00DB5D0D">
        <w:rPr>
          <w:rFonts w:ascii="Times New Roman" w:hAnsi="Times New Roman"/>
          <w:color w:val="000000" w:themeColor="text1"/>
          <w:sz w:val="16"/>
          <w:szCs w:val="16"/>
        </w:rPr>
        <w:t xml:space="preserve"> в 1940 году образовано Московское агрегатное КБ "Темп", ныне ОАО "НПП "Электронно-гидравлическая автоматика" (НПП "ЭГА") - ведущий российский разработчик систем автоматического управления (САУ) газотурбинных двигателей авиационного и наземного назначения. Более чем за 60 лет успешной работы предприятием разработаны и внедрены в серийное производство агрегаты топливопитания и регулирования для самых различных типов авиационных двигателей: от карбюраторных поршневых моторов времен Второй мировой войны до современных систем авиационных газотурбинных двигателей четвертого поколения. Продукция НПП "ЭГА" обеспечивает надежную эксплуатацию двигателей отечественных как военных, так и гражданских самолетов, и вертолетов не только по всей России, но и во многих странах мира, в самых различных климатических условиях. Помимо этого, разработан и внедрен целый ряд систем для двигателей ракетных комплексов, находящихся на вооружении Российской армии. Высокие тактико-технические и летные качества таких известных во всем мире семейств самолетов как «МиГ-29» и «Су-27» достигаются во многом благодаря совершенству установленных на их двигателях САУ, разработанных в НПП "ЭГА". В настоящее время предприятие проводит модернизацию САУ этих двигателей, что позволяет адаптировать систему к специфическим условиям эксплуатации в различных регионах мира, полнее удовлетворять требованиям заказчиков в отношении ресурса, надежности, удобства технического обслуживания. Модернизация также позволяет значительно расширить выполняемые САУ функции, в частности, по управлению вектором тяги и воздухозаборником. Опыт разработки авиационных САУ уже более сорока лет успешно используется для создания высокоэффективных силовых приводов наземных энергетических и газоперекачивающих установок на жидком и газообразном топливе. Подобное оборудование с маркой "ЭГА" хорошо известно в России и за рубежом. НПП "ЭГА" располагает уникальным экспериментально-исследовательским комплексом, обеспечивающим полный объем испытаний разрабатываемых систем на соответствие стандартам, в том числе международным. Развитая современная электронная и гидромеханическая производственная база предприятия обеспечивает выпуск агрегатов и устройств САУ как в единичных экземплярах, так и серийно. НПП "ЭГА" постоянно расширяет ассортимент, совершенствует уровень и качество своей продукции. Около 30% прибыли инвестируется в проведение научно-исследовательских разработок и модернизацию производственно-испытательной базы. На предприятии успешно используются современные интегрированные интеллектуальные системы проектирования, производства и управления. Коллектив обладающих уникальным и богатейшим опытом высококвалифицированных специалистов способен выполнять самые сложные задачи на высочайшем уровне и в кратчайшие сроки. Именно это снискало НПП "ЭГА" уважение российских и зарубежных коллег и партнеров, обеспечило место в первых рядах мировой элиты авиационного двигателестроения. Среди партнеров и заказчиков НПП "ЭГА" - известные и авторитетные во всем мире российские и зарубежные предприятия и фирмы. Мы гордимся сотрудничеством с ними и делаем все возможное и необходимое для укрепления наших связей, а также для поиска новых партнеров и заказчиков, которые по достоинству оценят высокий уровень работы коллектива НПП "ЭГА" (14914).</w:t>
      </w:r>
    </w:p>
    <w:p w14:paraId="0011AC36" w14:textId="77777777" w:rsidR="00F716D4" w:rsidRPr="00DB5D0D" w:rsidRDefault="00F716D4" w:rsidP="00DB5D0D">
      <w:pPr>
        <w:spacing w:after="0" w:line="240" w:lineRule="auto"/>
        <w:jc w:val="both"/>
        <w:rPr>
          <w:rFonts w:ascii="Times New Roman" w:hAnsi="Times New Roman"/>
          <w:color w:val="000000" w:themeColor="text1"/>
          <w:sz w:val="16"/>
          <w:szCs w:val="16"/>
        </w:rPr>
      </w:pPr>
    </w:p>
    <w:p w14:paraId="41083B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6 по 26 июня 1940 прошли заводские испытания опытной партии картонных бензобаков, изготовленных экспериментальным заводом ВИАМ по чертежам завода N 2 НКЛП (3189).</w:t>
      </w:r>
    </w:p>
    <w:p w14:paraId="73E4692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A3DB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6 по 20 июня 1940 в Туле прошли 15 всесоюзные планерные состязания. 14 команд - 43 планериста и 37 планеров (438,784).</w:t>
      </w:r>
    </w:p>
    <w:p w14:paraId="551898A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A551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6 по 20 июня 1940 прошли пятнадцатые Всесоюзные планерные состязания (271,191) в Туле (438,784).</w:t>
      </w:r>
    </w:p>
    <w:p w14:paraId="003B423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C685F8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B2550D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19B93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6 июня по 2 октября 1940 на НИМАП проходили испытания 406 мм орудия Б-37 и боеприпасов (снаряд 1108 кг). Испытания дали положительные результаты. Сделали 173 выстрела. Предназначались для линкора Советский Союз. Баррикады сдела 12 и одно принимало участие в обороне Ленинграда (5484,198).</w:t>
      </w:r>
    </w:p>
    <w:p w14:paraId="78834E0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5497D6" w14:textId="77777777" w:rsidR="00A361CD" w:rsidRPr="00DB5D0D" w:rsidRDefault="00A361C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июня 1940 г. руководство завода № 183 направило в АБТУ РККА на имя А.П. Панфилова </w:t>
      </w:r>
      <w:hyperlink r:id="rId103" w:tgtFrame="_blank" w:history="1">
        <w:r w:rsidRPr="00DB5D0D">
          <w:rPr>
            <w:rStyle w:val="a5"/>
            <w:rFonts w:ascii="Times New Roman" w:hAnsi="Times New Roman"/>
            <w:color w:val="000000" w:themeColor="text1"/>
            <w:sz w:val="16"/>
            <w:szCs w:val="16"/>
          </w:rPr>
          <w:t>письмо № СО 2924</w:t>
        </w:r>
      </w:hyperlink>
      <w:r w:rsidRPr="00DB5D0D">
        <w:rPr>
          <w:rFonts w:ascii="Times New Roman" w:hAnsi="Times New Roman"/>
          <w:color w:val="000000" w:themeColor="text1"/>
          <w:sz w:val="16"/>
          <w:szCs w:val="16"/>
        </w:rPr>
        <w:t xml:space="preserve">, в котором, в частности, было сказано: </w:t>
      </w:r>
    </w:p>
    <w:p w14:paraId="2851E95A" w14:textId="77777777" w:rsidR="00A361CD" w:rsidRPr="00DB5D0D" w:rsidRDefault="00A361CD"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«Несмотря на наши напоминания 4-му Отделу АБТУ КА, упомянутые договора до настоящего времени нами не получены и ответ по данному вопросу от 4-го отдела АБТУ КА не получен. </w:t>
      </w:r>
    </w:p>
    <w:p w14:paraId="6971D7CB" w14:textId="77777777" w:rsidR="00A361CD" w:rsidRPr="00DB5D0D" w:rsidRDefault="00A361CD"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Прошу Вашего указания 4-му отд. АБТУ КА о немедленном подписании и высылке нам, перечисленных выше договоров».</w:t>
      </w:r>
      <w:r w:rsidRPr="00DB5D0D">
        <w:rPr>
          <w:rFonts w:ascii="Times New Roman" w:hAnsi="Times New Roman"/>
          <w:color w:val="000000" w:themeColor="text1"/>
          <w:sz w:val="16"/>
          <w:szCs w:val="16"/>
        </w:rPr>
        <w:t xml:space="preserve"> </w:t>
      </w:r>
    </w:p>
    <w:p w14:paraId="4F706621" w14:textId="77777777" w:rsidR="00A361CD" w:rsidRPr="00DB5D0D" w:rsidRDefault="00A361CD" w:rsidP="00DB5D0D">
      <w:pPr>
        <w:pStyle w:val="ae"/>
        <w:spacing w:before="0" w:after="0"/>
        <w:jc w:val="both"/>
        <w:rPr>
          <w:color w:val="000000" w:themeColor="text1"/>
          <w:sz w:val="16"/>
          <w:szCs w:val="16"/>
        </w:rPr>
      </w:pPr>
      <w:r w:rsidRPr="00DB5D0D">
        <w:rPr>
          <w:bCs/>
          <w:color w:val="000000" w:themeColor="text1"/>
          <w:sz w:val="16"/>
          <w:szCs w:val="16"/>
        </w:rPr>
        <w:t>[ЦАМО. Ф. 38. Оп. 11355. Д. 32. Л. 10]</w:t>
      </w:r>
    </w:p>
    <w:p w14:paraId="260AE299" w14:textId="77777777" w:rsidR="00A361CD" w:rsidRPr="00DB5D0D" w:rsidRDefault="00A361C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Подписание Заказчиком договора № 142 на ремонт танков А-20 и А-32 затянулось до начала июня 1940 г. Причем АБТУ РККА готово было оплатить ремонт только двух танков А-32. Оплачивать же ремонт танка А-20, который согласно Постановлению КО № 191сс должен был храниться на заводе № 183 и который руководство предприятия планировало использовать для проведения опытных работ, по мнению АБТУ РККА, завод должен был за счет собственных средств (17625). </w:t>
      </w:r>
    </w:p>
    <w:p w14:paraId="0AA3BC8F"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p>
    <w:p w14:paraId="46857D89"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июня 1940 г. </w:t>
      </w:r>
    </w:p>
    <w:p w14:paraId="0A2DC478"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18D6DEF3"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июня 1940 г. </w:t>
      </w:r>
    </w:p>
    <w:p w14:paraId="0633E254"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СО2924 </w:t>
      </w:r>
    </w:p>
    <w:p w14:paraId="0F7E6006"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БТУ К.А. Москва. Кр. Пл. 2-й д. НКО</w:t>
      </w:r>
    </w:p>
    <w:p w14:paraId="7E367FCC"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КОМКОРУ – тов. ПАНФИЛОВУ</w:t>
      </w:r>
    </w:p>
    <w:p w14:paraId="0BD1A91A"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15/IV и 23/IV-с.г. при письмах №№ СО2045 и СО2170 нами посланы на подписания в 4-й Отд. КА договора: </w:t>
      </w:r>
    </w:p>
    <w:p w14:paraId="055104D2"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Договор № 128 на производство нашим заводом экранирования машины А-7М. </w:t>
      </w:r>
    </w:p>
    <w:p w14:paraId="10328C83"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Договор № 141 на оборудование 2-х серийных тракторов "Ворошиловец". </w:t>
      </w:r>
    </w:p>
    <w:p w14:paraId="7E45351C"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Договор № 142 на восстановление 3-х первых опытных образцов маш. А-20 и А-32. </w:t>
      </w:r>
    </w:p>
    <w:p w14:paraId="401363DD"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Несмотря на наши напоминания 4-му Отделу АБТУ КА, упомянутые договора до настоящего времени нами не получены и ответ по данному вопросу от 4-го отдела АБТУ КА не получен. </w:t>
      </w:r>
    </w:p>
    <w:p w14:paraId="42EAF651"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Прошу Вашего указания 4-му отд. АБТУ КА о немедленном подписании и высылке нам, перечисленных выше договоров. </w:t>
      </w:r>
    </w:p>
    <w:p w14:paraId="4AF863E2"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 Отд. "7" подпись</w:t>
      </w:r>
    </w:p>
    <w:p w14:paraId="361CA281"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Отп. 2 экз. </w:t>
      </w:r>
    </w:p>
    <w:p w14:paraId="0392FAB2"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Шевчук </w:t>
      </w:r>
    </w:p>
    <w:p w14:paraId="38A82B3F"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5/VI-40 г. </w:t>
      </w:r>
    </w:p>
    <w:p w14:paraId="268FECA6" w14:textId="77777777" w:rsidR="00A361CD" w:rsidRPr="00DB5D0D" w:rsidRDefault="00A361CD" w:rsidP="00DB5D0D">
      <w:pPr>
        <w:spacing w:after="0" w:line="240" w:lineRule="auto"/>
        <w:jc w:val="both"/>
        <w:rPr>
          <w:rFonts w:ascii="Times New Roman" w:hAnsi="Times New Roman"/>
          <w:color w:val="000000" w:themeColor="text1"/>
          <w:sz w:val="16"/>
          <w:szCs w:val="16"/>
        </w:rPr>
      </w:pPr>
      <w:r w:rsidRPr="00DB5D0D">
        <w:rPr>
          <w:rFonts w:ascii="Times New Roman" w:eastAsia="Times New Roman" w:hAnsi="Times New Roman"/>
          <w:color w:val="000000" w:themeColor="text1"/>
          <w:sz w:val="16"/>
          <w:szCs w:val="16"/>
          <w:lang w:eastAsia="ru-RU"/>
        </w:rPr>
        <w:t>Е.К. пор. № 2562</w:t>
      </w:r>
    </w:p>
    <w:p w14:paraId="7A767132"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ЦАМО Фонд 38 Опись 11355 Дело 32 лист 10</w:t>
      </w:r>
      <w:r w:rsidRPr="00DB5D0D">
        <w:rPr>
          <w:rFonts w:ascii="Times New Roman" w:eastAsia="Times New Roman" w:hAnsi="Times New Roman"/>
          <w:color w:val="000000" w:themeColor="text1"/>
          <w:sz w:val="16"/>
          <w:szCs w:val="16"/>
          <w:lang w:eastAsia="ru-RU"/>
        </w:rPr>
        <w:t xml:space="preserve"> (17624).</w:t>
      </w:r>
    </w:p>
    <w:p w14:paraId="2CE183A6"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p>
    <w:p w14:paraId="62845424" w14:textId="77777777" w:rsidR="008F58EC" w:rsidRPr="00DB5D0D" w:rsidRDefault="008F58EC"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099CC4F2" w14:textId="77777777" w:rsidR="008F58EC" w:rsidRPr="00DB5D0D" w:rsidRDefault="008F58EC" w:rsidP="00DB5D0D">
      <w:pPr>
        <w:spacing w:after="0" w:line="240" w:lineRule="auto"/>
        <w:jc w:val="both"/>
        <w:rPr>
          <w:rFonts w:ascii="Times New Roman" w:hAnsi="Times New Roman"/>
          <w:iCs/>
          <w:color w:val="000000" w:themeColor="text1"/>
          <w:sz w:val="16"/>
          <w:szCs w:val="16"/>
        </w:rPr>
      </w:pPr>
    </w:p>
    <w:p w14:paraId="5E3C1F8D"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6 июня 1940 г.</w:t>
      </w:r>
    </w:p>
    <w:p w14:paraId="4393416F"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034217AB"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2 </w:t>
      </w:r>
    </w:p>
    <w:p w14:paraId="1992B485"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АКТ</w:t>
      </w:r>
    </w:p>
    <w:p w14:paraId="2C240B0A"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передаче командования Авто-бронетанковым Управлениям К.А. Начальником АБТУ К.А. Генерал-полковником танковых войск т. ПАВЛОВЫМ Д.Г. вновь назначенному Начальнику АБТУ КА Генерал-лейтенанту танковых войск т. ФЕДОРЕНКО Я.Н. </w:t>
      </w:r>
    </w:p>
    <w:p w14:paraId="7DC85C5D"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ОСНОВАНИЕ: Личный приказ Народного Комиссара Обороны Маршала Советского Союза т. ТИМОШЕНКО С.К. </w:t>
      </w:r>
    </w:p>
    <w:p w14:paraId="0A8C64E8"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передаче присутствовали: </w:t>
      </w:r>
    </w:p>
    <w:p w14:paraId="4707DB58"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Временно исполняющий должность Комиссара Генерального Штаба КА Комбриг т. ГУСЕВ Н.Г., Начальник Отдела Вооружения Генштаба КА Комдив т. ЕРМОЛИН П.А., Военный Комиссар АБТУ КА дивизионный Комиссар т. КУЛИКОВ П.Н. </w:t>
      </w:r>
    </w:p>
    <w:p w14:paraId="13768840"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Передача произведена путем: </w:t>
      </w:r>
    </w:p>
    <w:p w14:paraId="4555CB74"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Ознакомление со структурой организации АБТУ КА и его функциями по докладу за № 72876/сс от 13.5.40 г. со всеми приложениями о работе АБТУ КА, представленному Народному Комиссару Обороны при приеме Наркомата Обороны. </w:t>
      </w:r>
    </w:p>
    <w:p w14:paraId="076AF092"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Ознакомление с порядком взаимоотношений АБТУ КА с промышленностью и с объемом плана заказа, с намеченными мероприятиями по реорганизации управления и бронетанковых войск, с системой вооружения, наличием автобронетанкового вооружения и с системой организации ремонта. </w:t>
      </w:r>
    </w:p>
    <w:p w14:paraId="2C9BB2D5"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При передаче личного сейфа Нач. АБТУ КА передана записка, написанная от руки, определяющая систему танкового вооружения. </w:t>
      </w:r>
    </w:p>
    <w:p w14:paraId="6C286C25"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Секретное и совершенно секретное делопроизводство, вновь вступившим Нач. АБТУ КА будет проверено в рабочем порядке при заслушивании докладов Нач. отделов и назначении внутренних комиссий. </w:t>
      </w:r>
    </w:p>
    <w:p w14:paraId="65C9AE51"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АВТО-БРОНЕТАНКОВОЕ УПРАВЛЕНИЕ СДАЛ: </w:t>
      </w:r>
    </w:p>
    <w:p w14:paraId="05314267"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ГЕНЕРАЛ-ПОЛКОВНИК ТАНК. ВОЙСК подпись (ПАВЛОВ) </w:t>
      </w:r>
    </w:p>
    <w:p w14:paraId="4DCD2F40"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АВТО-БРОНЕТАНК. УПРАВЛЕН. КА ПРИНЯЛ: </w:t>
      </w:r>
    </w:p>
    <w:p w14:paraId="539A8F2D"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ГЕНЕРАЛ-ЛЕЙТЕНАНТ подпись (ФЕДОРЕНКО) </w:t>
      </w:r>
    </w:p>
    <w:p w14:paraId="6B73A4E2"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сдаче присутствовали: </w:t>
      </w:r>
    </w:p>
    <w:p w14:paraId="4E8975C0"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ВРИД ВНК ГЕНШТАБА КА КОМБРИГ подпись (ГУСЕВ) </w:t>
      </w:r>
    </w:p>
    <w:p w14:paraId="0A772623"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 ВООРУЖЕНИЯ ГЕНШТАБА КА КОМДИВ подпись (ЕРМОЛИН) </w:t>
      </w:r>
    </w:p>
    <w:p w14:paraId="17FEC8F6"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ВОЕНКОМ АБТУ КРАСНОЙ АРМИИ ДИВИЗИОННЫЙ КОМИССАР (КУЛИКОВ) </w:t>
      </w:r>
    </w:p>
    <w:p w14:paraId="24703A58"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"6" июня 1940 г.</w:t>
      </w:r>
    </w:p>
    <w:p w14:paraId="007B058F"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1107 лист 233 – 234</w:t>
      </w:r>
      <w:r w:rsidRPr="00DB5D0D">
        <w:rPr>
          <w:rFonts w:ascii="Times New Roman" w:eastAsia="Times New Roman" w:hAnsi="Times New Roman"/>
          <w:color w:val="000000" w:themeColor="text1"/>
          <w:sz w:val="16"/>
          <w:szCs w:val="16"/>
          <w:lang w:eastAsia="ru-RU"/>
        </w:rPr>
        <w:t xml:space="preserve"> (18076).</w:t>
      </w:r>
    </w:p>
    <w:p w14:paraId="0A90EC49" w14:textId="77777777" w:rsidR="008F58EC" w:rsidRPr="00DB5D0D" w:rsidRDefault="008F58EC" w:rsidP="00DB5D0D">
      <w:pPr>
        <w:spacing w:after="0" w:line="240" w:lineRule="auto"/>
        <w:jc w:val="both"/>
        <w:rPr>
          <w:rFonts w:ascii="Times New Roman" w:eastAsia="Times New Roman" w:hAnsi="Times New Roman"/>
          <w:color w:val="000000" w:themeColor="text1"/>
          <w:sz w:val="16"/>
          <w:szCs w:val="16"/>
          <w:lang w:eastAsia="ru-RU"/>
        </w:rPr>
      </w:pPr>
    </w:p>
    <w:p w14:paraId="74C55BD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2627DE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785AB5D" w14:textId="77777777" w:rsidR="00F716D4" w:rsidRPr="00DB5D0D" w:rsidRDefault="00F716D4"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bCs/>
          <w:color w:val="000000" w:themeColor="text1"/>
          <w:sz w:val="16"/>
          <w:szCs w:val="16"/>
        </w:rPr>
        <w:t>6 июня</w:t>
      </w:r>
      <w:r w:rsidRPr="00DB5D0D">
        <w:rPr>
          <w:rFonts w:ascii="Times New Roman" w:hAnsi="Times New Roman"/>
          <w:color w:val="000000" w:themeColor="text1"/>
          <w:sz w:val="16"/>
          <w:szCs w:val="16"/>
        </w:rPr>
        <w:t xml:space="preserve"> в 1940 году комиссия ВВС Англии приняла полноразмерный макет истребителя </w:t>
      </w:r>
      <w:hyperlink r:id="rId104" w:tgtFrame="_blank" w:history="1">
        <w:r w:rsidRPr="00DB5D0D">
          <w:rPr>
            <w:rFonts w:ascii="Times New Roman" w:hAnsi="Times New Roman"/>
            <w:color w:val="000000" w:themeColor="text1"/>
            <w:sz w:val="16"/>
            <w:szCs w:val="16"/>
          </w:rPr>
          <w:t xml:space="preserve">«Fairey Firefly». </w:t>
        </w:r>
      </w:hyperlink>
      <w:r w:rsidRPr="00DB5D0D">
        <w:rPr>
          <w:rFonts w:ascii="Times New Roman" w:hAnsi="Times New Roman"/>
          <w:color w:val="000000" w:themeColor="text1"/>
          <w:sz w:val="16"/>
          <w:szCs w:val="16"/>
        </w:rPr>
        <w:t xml:space="preserve">Это был цельнометаллический моноплан со свободнонесущим низкорасположенным крылом. "Сердцем" самолета являлся мощный 12-цилиндровый V-образный двигатель "Гриффон", вращавший трехлопастной винт-автомат "Ротол". Кок винта плавно переходил в очертания верхней части капота мотора. Под двигателем "бородой" "висел" радиатор жидкостного охлаждения. За противопожарной перегородкой находилась кабина пилота. За бронеспинкой сиденья летчика стоял большой бензобак - палубному истребителю, имевшему второе назначение - разведчика, требовалась большая дальность полета. За баком находилась кабина летнаба, выполнявшего функции штурмана и радиста. Интересно, что ни "Фульмар", ни "Файрфлай" не имели оборонительного вооружения. Очевидно, рассчитывали, что самолет сможет вести воздушный бой как обычный истребитель, пользуясь неподвижным оружием в крыле. А оно было весьма мощным - четыре 20-мм пушки "Испано". Там же, в крыле, располагался дополнительный запас горючего - еще два бака в передней кромке. И фюзеляжный, и крыльевые баки протектировались. Под крылом можно было подвешивать дополнительные сбрасываемые баки - две "сигары" по 409 литров. Само крыло складывалось, уменьшая место, занимаемое истребителем в ангаре авианосца или на площадке лифта. Причем оно не только "переламывалось" у стоек шасси, но и поворачивалось на шарнирах, позволяя его укладывать почти параллельно фюзеляжу. Складывание крыла осуществлялось вручную </w:t>
      </w:r>
      <w:r w:rsidRPr="00DB5D0D">
        <w:rPr>
          <w:rFonts w:ascii="Times New Roman" w:hAnsi="Times New Roman"/>
          <w:color w:val="000000" w:themeColor="text1"/>
          <w:sz w:val="16"/>
          <w:szCs w:val="16"/>
          <w:lang w:val="en-US"/>
        </w:rPr>
        <w:t>(14914).</w:t>
      </w:r>
    </w:p>
    <w:p w14:paraId="4E0BE673" w14:textId="77777777" w:rsidR="00F716D4" w:rsidRPr="00DB5D0D" w:rsidRDefault="00F716D4" w:rsidP="00DB5D0D">
      <w:pPr>
        <w:spacing w:after="0" w:line="240" w:lineRule="auto"/>
        <w:jc w:val="both"/>
        <w:rPr>
          <w:rFonts w:ascii="Times New Roman" w:hAnsi="Times New Roman"/>
          <w:color w:val="000000" w:themeColor="text1"/>
          <w:sz w:val="16"/>
          <w:szCs w:val="16"/>
          <w:lang w:val="en-US"/>
        </w:rPr>
      </w:pPr>
    </w:p>
    <w:p w14:paraId="3994B78C"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6th, 1940: In the West, 7. Panzerdivision (Rommel). advancing W of Amiens, penetratees 20 miles into French territory. U-46 (Kptlt. Sohler) sinks the British armed merchant cruiser Carinthia off the west coast of Ireland (3819).</w:t>
      </w:r>
    </w:p>
    <w:p w14:paraId="195253AC"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660B0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5ТД Роммеля продвигаясь на запад от Амьена, прошла 20 миль по французской территории. У-46 (Сохлер) потопила британский торговый крейсер Каринтия в районе западного побережья Ирландии (3819).</w:t>
      </w:r>
    </w:p>
    <w:p w14:paraId="466D339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623CD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6 June 1940 (6-10-June) Germans encircle Paris (270).</w:t>
      </w:r>
    </w:p>
    <w:p w14:paraId="61C4FB64"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5CED0B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 июня 1940 немцы окружили Париж (270).</w:t>
      </w:r>
    </w:p>
    <w:p w14:paraId="0CE908E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07C10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Военный комитет Франции постановил ограничиться обороной в Альпах и Африке, не предпринимая наступлений (4963 ).</w:t>
      </w:r>
    </w:p>
    <w:p w14:paraId="3B847F4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513DC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ЦК КП Франции обратилась к Правительству с требованием вооружения народа для защиты Парижа (3960, 221).</w:t>
      </w:r>
    </w:p>
    <w:p w14:paraId="45F6519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A4870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3DD502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C594A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июня 1940-го с новым штур</w:t>
      </w:r>
      <w:r w:rsidRPr="00DB5D0D">
        <w:rPr>
          <w:rFonts w:ascii="Times New Roman" w:hAnsi="Times New Roman"/>
          <w:color w:val="000000" w:themeColor="text1"/>
          <w:sz w:val="16"/>
          <w:szCs w:val="16"/>
        </w:rPr>
        <w:softHyphen/>
        <w:t>мовиком детально ознакомились веду</w:t>
      </w:r>
      <w:r w:rsidRPr="00DB5D0D">
        <w:rPr>
          <w:rFonts w:ascii="Times New Roman" w:hAnsi="Times New Roman"/>
          <w:color w:val="000000" w:themeColor="text1"/>
          <w:sz w:val="16"/>
          <w:szCs w:val="16"/>
        </w:rPr>
        <w:softHyphen/>
        <w:t>щие специалисты ЛИИ НКАП и дали довольно хорошую оценку БШ-2 № 2, беспристрастно оценив достоинства и недостатки новой машины.</w:t>
      </w:r>
    </w:p>
    <w:p w14:paraId="4892AC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июня 1940-го с новым штурмовиком детально ознакоми</w:t>
      </w:r>
      <w:r w:rsidRPr="00DB5D0D">
        <w:rPr>
          <w:rFonts w:ascii="Times New Roman" w:hAnsi="Times New Roman"/>
          <w:color w:val="000000" w:themeColor="text1"/>
          <w:sz w:val="16"/>
          <w:szCs w:val="16"/>
        </w:rPr>
        <w:softHyphen/>
        <w:t>лись ведущие специалисты ЛИИ НКАП во главе с его начальником, ав</w:t>
      </w:r>
      <w:r w:rsidRPr="00DB5D0D">
        <w:rPr>
          <w:rFonts w:ascii="Times New Roman" w:hAnsi="Times New Roman"/>
          <w:color w:val="000000" w:themeColor="text1"/>
          <w:sz w:val="16"/>
          <w:szCs w:val="16"/>
        </w:rPr>
        <w:softHyphen/>
        <w:t>торитетнейшим в СССР летчиком-ис</w:t>
      </w:r>
      <w:r w:rsidRPr="00DB5D0D">
        <w:rPr>
          <w:rFonts w:ascii="Times New Roman" w:hAnsi="Times New Roman"/>
          <w:color w:val="000000" w:themeColor="text1"/>
          <w:sz w:val="16"/>
          <w:szCs w:val="16"/>
        </w:rPr>
        <w:softHyphen/>
        <w:t>пытателем М. М. Громовым, и дали довольно хорошую оценку БШ-2 № 2 (4140).</w:t>
      </w:r>
    </w:p>
    <w:p w14:paraId="3DF0D30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DC07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июня 1940 г. с новым штурмовиком БШ-2 детально ознакомились ведущие специалисты новоиспеченного Летно-исследовательского института НКАП во главе с его начальником, са-мым авторитетнейшим в СССР летчиком-испытателем М. М. Громовым и дали довольно хорошую оценку БШ-2 № 2, беспристрастно оценив достоинства и недостатки новой машины (9649).</w:t>
      </w:r>
    </w:p>
    <w:p w14:paraId="4618016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F9BE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июня 1940 Павел Оси</w:t>
      </w:r>
      <w:r w:rsidRPr="00DB5D0D">
        <w:rPr>
          <w:rFonts w:ascii="Times New Roman" w:hAnsi="Times New Roman"/>
          <w:color w:val="000000" w:themeColor="text1"/>
          <w:sz w:val="16"/>
          <w:szCs w:val="16"/>
        </w:rPr>
        <w:softHyphen/>
        <w:t>пович представил А.И.Шахурину свои соображения по воп</w:t>
      </w:r>
      <w:r w:rsidRPr="00DB5D0D">
        <w:rPr>
          <w:rFonts w:ascii="Times New Roman" w:hAnsi="Times New Roman"/>
          <w:color w:val="000000" w:themeColor="text1"/>
          <w:sz w:val="16"/>
          <w:szCs w:val="16"/>
        </w:rPr>
        <w:softHyphen/>
        <w:t>росу за</w:t>
      </w:r>
      <w:r w:rsidRPr="00DB5D0D">
        <w:rPr>
          <w:rFonts w:ascii="Times New Roman" w:hAnsi="Times New Roman"/>
          <w:color w:val="000000" w:themeColor="text1"/>
          <w:sz w:val="16"/>
          <w:szCs w:val="16"/>
        </w:rPr>
        <w:softHyphen/>
        <w:t>мены М-71 в связи с задержкой подачи на мотор М-81 с одно</w:t>
      </w:r>
      <w:r w:rsidRPr="00DB5D0D">
        <w:rPr>
          <w:rFonts w:ascii="Times New Roman" w:hAnsi="Times New Roman"/>
          <w:color w:val="000000" w:themeColor="text1"/>
          <w:sz w:val="16"/>
          <w:szCs w:val="16"/>
        </w:rPr>
        <w:softHyphen/>
        <w:t>временным увеличением толщины брони, предложенному НКАП:</w:t>
      </w:r>
    </w:p>
    <w:p w14:paraId="0502B4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тактико-техничес</w:t>
      </w:r>
      <w:r w:rsidRPr="00DB5D0D">
        <w:rPr>
          <w:rFonts w:ascii="Times New Roman" w:hAnsi="Times New Roman"/>
          <w:color w:val="000000" w:themeColor="text1"/>
          <w:sz w:val="16"/>
          <w:szCs w:val="16"/>
        </w:rPr>
        <w:softHyphen/>
        <w:t>ких требований на самолет ОБШ при выборе толщины брони исхо</w:t>
      </w:r>
      <w:r w:rsidRPr="00DB5D0D">
        <w:rPr>
          <w:rFonts w:ascii="Times New Roman" w:hAnsi="Times New Roman"/>
          <w:color w:val="000000" w:themeColor="text1"/>
          <w:sz w:val="16"/>
          <w:szCs w:val="16"/>
        </w:rPr>
        <w:softHyphen/>
        <w:t>дили из полета самолета на высо</w:t>
      </w:r>
      <w:r w:rsidRPr="00DB5D0D">
        <w:rPr>
          <w:rFonts w:ascii="Times New Roman" w:hAnsi="Times New Roman"/>
          <w:color w:val="000000" w:themeColor="text1"/>
          <w:sz w:val="16"/>
          <w:szCs w:val="16"/>
        </w:rPr>
        <w:softHyphen/>
        <w:t>те 25 м и дистанции обстрела с земли, начиная от 200 м и больше; исходя из малокалиберной пули и углов подхода пули к броне, была получена максимальная толщина брони 8,5 мм. Вес брони при этих условиях равен 290 кг.</w:t>
      </w:r>
    </w:p>
    <w:p w14:paraId="53C6C9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увеличении толщины бро</w:t>
      </w:r>
      <w:r w:rsidRPr="00DB5D0D">
        <w:rPr>
          <w:rFonts w:ascii="Times New Roman" w:hAnsi="Times New Roman"/>
          <w:color w:val="000000" w:themeColor="text1"/>
          <w:sz w:val="16"/>
          <w:szCs w:val="16"/>
        </w:rPr>
        <w:softHyphen/>
        <w:t>ни от 15 мм до 10 мм (опечатка в документе, по-видимому, должно быть от 10 мм до 15 мм - прим. авт.) общий вес брони увеличива</w:t>
      </w:r>
      <w:r w:rsidRPr="00DB5D0D">
        <w:rPr>
          <w:rFonts w:ascii="Times New Roman" w:hAnsi="Times New Roman"/>
          <w:color w:val="000000" w:themeColor="text1"/>
          <w:sz w:val="16"/>
          <w:szCs w:val="16"/>
        </w:rPr>
        <w:softHyphen/>
        <w:t>ется до 590 кг.</w:t>
      </w:r>
    </w:p>
    <w:p w14:paraId="0C25C6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этим увели</w:t>
      </w:r>
      <w:r w:rsidRPr="00DB5D0D">
        <w:rPr>
          <w:rFonts w:ascii="Times New Roman" w:hAnsi="Times New Roman"/>
          <w:color w:val="000000" w:themeColor="text1"/>
          <w:sz w:val="16"/>
          <w:szCs w:val="16"/>
        </w:rPr>
        <w:softHyphen/>
        <w:t>чением веса самолета произойдет следующее изменение летных дан</w:t>
      </w:r>
      <w:r w:rsidRPr="00DB5D0D">
        <w:rPr>
          <w:rFonts w:ascii="Times New Roman" w:hAnsi="Times New Roman"/>
          <w:color w:val="000000" w:themeColor="text1"/>
          <w:sz w:val="16"/>
          <w:szCs w:val="16"/>
        </w:rPr>
        <w:softHyphen/>
        <w:t>ных:</w:t>
      </w:r>
    </w:p>
    <w:p w14:paraId="204D22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Вертикальная скорость у земли уменьшится на 2,4 м/сек.</w:t>
      </w:r>
    </w:p>
    <w:p w14:paraId="4A3CEE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Посадочная скорость увеличит</w:t>
      </w:r>
      <w:r w:rsidRPr="00DB5D0D">
        <w:rPr>
          <w:rFonts w:ascii="Times New Roman" w:hAnsi="Times New Roman"/>
          <w:color w:val="000000" w:themeColor="text1"/>
          <w:sz w:val="16"/>
          <w:szCs w:val="16"/>
        </w:rPr>
        <w:softHyphen/>
        <w:t>ся на 6 км/ч.</w:t>
      </w:r>
    </w:p>
    <w:p w14:paraId="1EA446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увеличится на 64 м.</w:t>
      </w:r>
    </w:p>
    <w:p w14:paraId="1F2B37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умень</w:t>
      </w:r>
      <w:r w:rsidRPr="00DB5D0D">
        <w:rPr>
          <w:rFonts w:ascii="Times New Roman" w:hAnsi="Times New Roman"/>
          <w:color w:val="000000" w:themeColor="text1"/>
          <w:sz w:val="16"/>
          <w:szCs w:val="16"/>
        </w:rPr>
        <w:softHyphen/>
        <w:t>шится на 2-5 км/ч...</w:t>
      </w:r>
    </w:p>
    <w:p w14:paraId="580F00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случае опоздания отработ</w:t>
      </w:r>
      <w:r w:rsidRPr="00DB5D0D">
        <w:rPr>
          <w:rFonts w:ascii="Times New Roman" w:hAnsi="Times New Roman"/>
          <w:color w:val="000000" w:themeColor="text1"/>
          <w:sz w:val="16"/>
          <w:szCs w:val="16"/>
        </w:rPr>
        <w:softHyphen/>
        <w:t>ки мотора М-71 возможна времен</w:t>
      </w:r>
      <w:r w:rsidRPr="00DB5D0D">
        <w:rPr>
          <w:rFonts w:ascii="Times New Roman" w:hAnsi="Times New Roman"/>
          <w:color w:val="000000" w:themeColor="text1"/>
          <w:sz w:val="16"/>
          <w:szCs w:val="16"/>
        </w:rPr>
        <w:softHyphen/>
        <w:t>ная замена его мотором М-81. Максимальная скорость самолета у земли при этой замене снизится на 40-50 км/ч...» (11845).</w:t>
      </w:r>
    </w:p>
    <w:p w14:paraId="528206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1425D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июня 1940 был рассмотрен макет 100 в варианте пикирующего бомбардировщика - будущего Пе-2, на котором отработали размещение вооружения. Проблемы были связаны с размещением бомб. В центроплане - только 4 ФАБ-100 + 2 ФАБ-100 в мотогондолах и 600 кг приняли в качестве нормального варианта, хотя бомбы не могли сбрасываться с пикирования (1806,24).</w:t>
      </w:r>
    </w:p>
    <w:p w14:paraId="4A18A14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F137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июня 1940 г. макет будущего бомбардировщи</w:t>
      </w:r>
      <w:r w:rsidRPr="00DB5D0D">
        <w:rPr>
          <w:rFonts w:ascii="Times New Roman" w:hAnsi="Times New Roman"/>
          <w:color w:val="000000" w:themeColor="text1"/>
          <w:sz w:val="16"/>
          <w:szCs w:val="16"/>
        </w:rPr>
        <w:softHyphen/>
        <w:t>ка Пе-2, на котором вчерне отработали вариант размещения вооружения, был готов. Уже на первом этапе конструкторы, стис</w:t>
      </w:r>
      <w:r w:rsidRPr="00DB5D0D">
        <w:rPr>
          <w:rFonts w:ascii="Times New Roman" w:hAnsi="Times New Roman"/>
          <w:color w:val="000000" w:themeColor="text1"/>
          <w:sz w:val="16"/>
          <w:szCs w:val="16"/>
        </w:rPr>
        <w:softHyphen/>
        <w:t>нутые рамками прежней аэродина</w:t>
      </w:r>
      <w:r w:rsidRPr="00DB5D0D">
        <w:rPr>
          <w:rFonts w:ascii="Times New Roman" w:hAnsi="Times New Roman"/>
          <w:color w:val="000000" w:themeColor="text1"/>
          <w:sz w:val="16"/>
          <w:szCs w:val="16"/>
        </w:rPr>
        <w:softHyphen/>
        <w:t>мической и силовой схемы, оказались перед проблемой. Единственным ме</w:t>
      </w:r>
      <w:r w:rsidRPr="00DB5D0D">
        <w:rPr>
          <w:rFonts w:ascii="Times New Roman" w:hAnsi="Times New Roman"/>
          <w:color w:val="000000" w:themeColor="text1"/>
          <w:sz w:val="16"/>
          <w:szCs w:val="16"/>
        </w:rPr>
        <w:softHyphen/>
        <w:t>стом для бомбоотсека (по сообра</w:t>
      </w:r>
      <w:r w:rsidRPr="00DB5D0D">
        <w:rPr>
          <w:rFonts w:ascii="Times New Roman" w:hAnsi="Times New Roman"/>
          <w:color w:val="000000" w:themeColor="text1"/>
          <w:sz w:val="16"/>
          <w:szCs w:val="16"/>
        </w:rPr>
        <w:softHyphen/>
        <w:t>жениям центровки) подходила внут-рифюзеляжная секция центроплана, но её объём ограничивали лонже</w:t>
      </w:r>
      <w:r w:rsidRPr="00DB5D0D">
        <w:rPr>
          <w:rFonts w:ascii="Times New Roman" w:hAnsi="Times New Roman"/>
          <w:color w:val="000000" w:themeColor="text1"/>
          <w:sz w:val="16"/>
          <w:szCs w:val="16"/>
        </w:rPr>
        <w:softHyphen/>
        <w:t>роны и нависавший сверху топлив</w:t>
      </w:r>
      <w:r w:rsidRPr="00DB5D0D">
        <w:rPr>
          <w:rFonts w:ascii="Times New Roman" w:hAnsi="Times New Roman"/>
          <w:color w:val="000000" w:themeColor="text1"/>
          <w:sz w:val="16"/>
          <w:szCs w:val="16"/>
        </w:rPr>
        <w:softHyphen/>
        <w:t>ный бак. Из-за низкого расположе</w:t>
      </w:r>
      <w:r w:rsidRPr="00DB5D0D">
        <w:rPr>
          <w:rFonts w:ascii="Times New Roman" w:hAnsi="Times New Roman"/>
          <w:color w:val="000000" w:themeColor="text1"/>
          <w:sz w:val="16"/>
          <w:szCs w:val="16"/>
        </w:rPr>
        <w:softHyphen/>
        <w:t>ния крыла в ней удалось разместить только четыре коротких авиабомбы калибром 100 кг (их длина не превы</w:t>
      </w:r>
      <w:r w:rsidRPr="00DB5D0D">
        <w:rPr>
          <w:rFonts w:ascii="Times New Roman" w:hAnsi="Times New Roman"/>
          <w:color w:val="000000" w:themeColor="text1"/>
          <w:sz w:val="16"/>
          <w:szCs w:val="16"/>
        </w:rPr>
        <w:softHyphen/>
        <w:t>шала 1,1 м, а следующая по номен</w:t>
      </w:r>
      <w:r w:rsidRPr="00DB5D0D">
        <w:rPr>
          <w:rFonts w:ascii="Times New Roman" w:hAnsi="Times New Roman"/>
          <w:color w:val="000000" w:themeColor="text1"/>
          <w:sz w:val="16"/>
          <w:szCs w:val="16"/>
        </w:rPr>
        <w:softHyphen/>
        <w:t>клатуре 250-кг авиабомба была вдвое длиннее). Ещё по одной ФАБ-100 конструкторы сумели «втиснуть» в свободные объёмы мотогондол позади ниш шасси. Этот вариант бомбовой нагрузки (600 кг) приняли в качестве нормального.</w:t>
      </w:r>
    </w:p>
    <w:p w14:paraId="19E567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Другие советские самолёты (ДБ-3, Су-2, Як-4 и пр.) также имели внут</w:t>
      </w:r>
      <w:r w:rsidRPr="00DB5D0D">
        <w:rPr>
          <w:rFonts w:ascii="Times New Roman" w:hAnsi="Times New Roman"/>
          <w:color w:val="000000" w:themeColor="text1"/>
          <w:sz w:val="16"/>
          <w:szCs w:val="16"/>
        </w:rPr>
        <w:softHyphen/>
        <w:t>реннюю подвеску, рассчитанную максимально на «стокилограммовки». Крупные авиабомбы - четыре ФАБ-250 или две ФАБ-500 — подвешива</w:t>
      </w:r>
      <w:r w:rsidRPr="00DB5D0D">
        <w:rPr>
          <w:rFonts w:ascii="Times New Roman" w:hAnsi="Times New Roman"/>
          <w:color w:val="000000" w:themeColor="text1"/>
          <w:sz w:val="16"/>
          <w:szCs w:val="16"/>
        </w:rPr>
        <w:softHyphen/>
        <w:t>ли снаружи.</w:t>
      </w:r>
    </w:p>
    <w:p w14:paraId="10CE5F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пикирования «петляковский» бомбардировщик мог сбрасывать только авиабомбы внешней подвес</w:t>
      </w:r>
      <w:r w:rsidRPr="00DB5D0D">
        <w:rPr>
          <w:rFonts w:ascii="Times New Roman" w:hAnsi="Times New Roman"/>
          <w:color w:val="000000" w:themeColor="text1"/>
          <w:sz w:val="16"/>
          <w:szCs w:val="16"/>
        </w:rPr>
        <w:softHyphen/>
        <w:t>ки, поскольку ни фюзеляжный, ни мотогондольные бомбоотсеки не оборудовали средствами для выво</w:t>
      </w:r>
      <w:r w:rsidRPr="00DB5D0D">
        <w:rPr>
          <w:rFonts w:ascii="Times New Roman" w:hAnsi="Times New Roman"/>
          <w:color w:val="000000" w:themeColor="text1"/>
          <w:sz w:val="16"/>
          <w:szCs w:val="16"/>
        </w:rPr>
        <w:softHyphen/>
        <w:t>да боеприпасов наружу. Максималь</w:t>
      </w:r>
      <w:r w:rsidRPr="00DB5D0D">
        <w:rPr>
          <w:rFonts w:ascii="Times New Roman" w:hAnsi="Times New Roman"/>
          <w:color w:val="000000" w:themeColor="text1"/>
          <w:sz w:val="16"/>
          <w:szCs w:val="16"/>
        </w:rPr>
        <w:softHyphen/>
        <w:t>ная бомбовая нагрузка, довольно скромная для самолёта такого клас</w:t>
      </w:r>
      <w:r w:rsidRPr="00DB5D0D">
        <w:rPr>
          <w:rFonts w:ascii="Times New Roman" w:hAnsi="Times New Roman"/>
          <w:color w:val="000000" w:themeColor="text1"/>
          <w:sz w:val="16"/>
          <w:szCs w:val="16"/>
        </w:rPr>
        <w:softHyphen/>
        <w:t>са, составляла всего 1000 кг. В зна</w:t>
      </w:r>
      <w:r w:rsidRPr="00DB5D0D">
        <w:rPr>
          <w:rFonts w:ascii="Times New Roman" w:hAnsi="Times New Roman"/>
          <w:color w:val="000000" w:themeColor="text1"/>
          <w:sz w:val="16"/>
          <w:szCs w:val="16"/>
        </w:rPr>
        <w:softHyphen/>
        <w:t>чительной мере это было обуслов</w:t>
      </w:r>
      <w:r w:rsidRPr="00DB5D0D">
        <w:rPr>
          <w:rFonts w:ascii="Times New Roman" w:hAnsi="Times New Roman"/>
          <w:color w:val="000000" w:themeColor="text1"/>
          <w:sz w:val="16"/>
          <w:szCs w:val="16"/>
        </w:rPr>
        <w:softHyphen/>
        <w:t>лено унаследованным от прототипа профилем крыла с невысокими несу</w:t>
      </w:r>
      <w:r w:rsidRPr="00DB5D0D">
        <w:rPr>
          <w:rFonts w:ascii="Times New Roman" w:hAnsi="Times New Roman"/>
          <w:color w:val="000000" w:themeColor="text1"/>
          <w:sz w:val="16"/>
          <w:szCs w:val="16"/>
        </w:rPr>
        <w:softHyphen/>
        <w:t>щими свойствами на этапах взлёта-посадки и моторами недостаточной мощности. Однако в условиях жёст</w:t>
      </w:r>
      <w:r w:rsidRPr="00DB5D0D">
        <w:rPr>
          <w:rFonts w:ascii="Times New Roman" w:hAnsi="Times New Roman"/>
          <w:color w:val="000000" w:themeColor="text1"/>
          <w:sz w:val="16"/>
          <w:szCs w:val="16"/>
        </w:rPr>
        <w:softHyphen/>
        <w:t>ких сроков, отведенных на передел</w:t>
      </w:r>
      <w:r w:rsidRPr="00DB5D0D">
        <w:rPr>
          <w:rFonts w:ascii="Times New Roman" w:hAnsi="Times New Roman"/>
          <w:color w:val="000000" w:themeColor="text1"/>
          <w:sz w:val="16"/>
          <w:szCs w:val="16"/>
        </w:rPr>
        <w:softHyphen/>
        <w:t>ку «сотки», тогда это сочли удовлет</w:t>
      </w:r>
      <w:r w:rsidRPr="00DB5D0D">
        <w:rPr>
          <w:rFonts w:ascii="Times New Roman" w:hAnsi="Times New Roman"/>
          <w:color w:val="000000" w:themeColor="text1"/>
          <w:sz w:val="16"/>
          <w:szCs w:val="16"/>
        </w:rPr>
        <w:softHyphen/>
        <w:t>ворительным.</w:t>
      </w:r>
    </w:p>
    <w:p w14:paraId="5841F9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Спешка и особенности статуса ОТБ НКВД, костяк которого состав</w:t>
      </w:r>
      <w:r w:rsidRPr="00DB5D0D">
        <w:rPr>
          <w:rFonts w:ascii="Times New Roman" w:hAnsi="Times New Roman"/>
          <w:color w:val="000000" w:themeColor="text1"/>
          <w:sz w:val="16"/>
          <w:szCs w:val="16"/>
        </w:rPr>
        <w:softHyphen/>
        <w:t>ляли изолированные от смежников «враги народа», не могли не отра</w:t>
      </w:r>
      <w:r w:rsidRPr="00DB5D0D">
        <w:rPr>
          <w:rFonts w:ascii="Times New Roman" w:hAnsi="Times New Roman"/>
          <w:color w:val="000000" w:themeColor="text1"/>
          <w:sz w:val="16"/>
          <w:szCs w:val="16"/>
        </w:rPr>
        <w:softHyphen/>
        <w:t>зиться на результатах работы. От</w:t>
      </w:r>
      <w:r w:rsidRPr="00DB5D0D">
        <w:rPr>
          <w:rFonts w:ascii="Times New Roman" w:hAnsi="Times New Roman"/>
          <w:color w:val="000000" w:themeColor="text1"/>
          <w:sz w:val="16"/>
          <w:szCs w:val="16"/>
        </w:rPr>
        <w:softHyphen/>
        <w:t>сутствие контактов со специалиста</w:t>
      </w:r>
      <w:r w:rsidRPr="00DB5D0D">
        <w:rPr>
          <w:rFonts w:ascii="Times New Roman" w:hAnsi="Times New Roman"/>
          <w:color w:val="000000" w:themeColor="text1"/>
          <w:sz w:val="16"/>
          <w:szCs w:val="16"/>
        </w:rPr>
        <w:softHyphen/>
        <w:t>ми-оружейниками вынуждало «петля-ковцев» самим проектировать почти все элементы установок стрелково</w:t>
      </w:r>
      <w:r w:rsidRPr="00DB5D0D">
        <w:rPr>
          <w:rFonts w:ascii="Times New Roman" w:hAnsi="Times New Roman"/>
          <w:color w:val="000000" w:themeColor="text1"/>
          <w:sz w:val="16"/>
          <w:szCs w:val="16"/>
        </w:rPr>
        <w:softHyphen/>
        <w:t>го и бомбардировочного вооруже</w:t>
      </w:r>
      <w:r w:rsidRPr="00DB5D0D">
        <w:rPr>
          <w:rFonts w:ascii="Times New Roman" w:hAnsi="Times New Roman"/>
          <w:color w:val="000000" w:themeColor="text1"/>
          <w:sz w:val="16"/>
          <w:szCs w:val="16"/>
        </w:rPr>
        <w:softHyphen/>
        <w:t>ния, в том числе замки держателей ЗУ-100. Размеры бомбоотсеков были рассчитаны на авиабомбы старых моделей, а многие новые, проекти</w:t>
      </w:r>
      <w:r w:rsidRPr="00DB5D0D">
        <w:rPr>
          <w:rFonts w:ascii="Times New Roman" w:hAnsi="Times New Roman"/>
          <w:color w:val="000000" w:themeColor="text1"/>
          <w:sz w:val="16"/>
          <w:szCs w:val="16"/>
        </w:rPr>
        <w:softHyphen/>
        <w:t>руемые конструкторами разных КБ и принимаемые военными разных управлений ВВС на вооружение, впоследствии «не лезли» внутрь.</w:t>
      </w:r>
    </w:p>
    <w:p w14:paraId="761B37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Особые варианты вооружения, доставшиеся «в наследство» от вы</w:t>
      </w:r>
      <w:r w:rsidRPr="00DB5D0D">
        <w:rPr>
          <w:rFonts w:ascii="Times New Roman" w:hAnsi="Times New Roman"/>
          <w:color w:val="000000" w:themeColor="text1"/>
          <w:sz w:val="16"/>
          <w:szCs w:val="16"/>
        </w:rPr>
        <w:softHyphen/>
        <w:t>сотного истребителя «100», были представлены кассетными держателями К-76 и К-100. На пикировщике размещали по четыре «ящика» (два — в фюзеляжном и по одному в мо-тогондольных бомбоотсеках). Из кас</w:t>
      </w:r>
      <w:r w:rsidRPr="00DB5D0D">
        <w:rPr>
          <w:rFonts w:ascii="Times New Roman" w:hAnsi="Times New Roman"/>
          <w:color w:val="000000" w:themeColor="text1"/>
          <w:sz w:val="16"/>
          <w:szCs w:val="16"/>
        </w:rPr>
        <w:softHyphen/>
        <w:t>сет К-76 рассчитывали залпом сбра</w:t>
      </w:r>
      <w:r w:rsidRPr="00DB5D0D">
        <w:rPr>
          <w:rFonts w:ascii="Times New Roman" w:hAnsi="Times New Roman"/>
          <w:color w:val="000000" w:themeColor="text1"/>
          <w:sz w:val="16"/>
          <w:szCs w:val="16"/>
        </w:rPr>
        <w:softHyphen/>
        <w:t>сывать 76,2-мм артснаряды с авиа</w:t>
      </w:r>
      <w:r w:rsidRPr="00DB5D0D">
        <w:rPr>
          <w:rFonts w:ascii="Times New Roman" w:hAnsi="Times New Roman"/>
          <w:color w:val="000000" w:themeColor="text1"/>
          <w:sz w:val="16"/>
          <w:szCs w:val="16"/>
        </w:rPr>
        <w:softHyphen/>
        <w:t>ционными дистанционными взрывате</w:t>
      </w:r>
      <w:r w:rsidRPr="00DB5D0D">
        <w:rPr>
          <w:rFonts w:ascii="Times New Roman" w:hAnsi="Times New Roman"/>
          <w:color w:val="000000" w:themeColor="text1"/>
          <w:sz w:val="16"/>
          <w:szCs w:val="16"/>
        </w:rPr>
        <w:softHyphen/>
        <w:t>лями - так называемое «противоса-молётное» оружие, когда «сотка» бу</w:t>
      </w:r>
      <w:r w:rsidRPr="00DB5D0D">
        <w:rPr>
          <w:rFonts w:ascii="Times New Roman" w:hAnsi="Times New Roman"/>
          <w:color w:val="000000" w:themeColor="text1"/>
          <w:sz w:val="16"/>
          <w:szCs w:val="16"/>
        </w:rPr>
        <w:softHyphen/>
        <w:t>дет пролетать над плотным строем неприятельских бомбардировщиков.</w:t>
      </w:r>
    </w:p>
    <w:p w14:paraId="0D34B2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время в авиационном мире существовала мода на противосамолетные гранаты. Теоретически это могло быть эффективным при различ</w:t>
      </w:r>
      <w:r w:rsidRPr="00DB5D0D">
        <w:rPr>
          <w:rFonts w:ascii="Times New Roman" w:hAnsi="Times New Roman"/>
          <w:color w:val="000000" w:themeColor="text1"/>
          <w:sz w:val="16"/>
          <w:szCs w:val="16"/>
        </w:rPr>
        <w:softHyphen/>
        <w:t>ной установке взрывателей, но на деле этого никто не проверял. А, кроме того, прицел «для метания авиабомб по самолётам так и не создали. Впрочем, конструкторы счи</w:t>
      </w:r>
      <w:r w:rsidRPr="00DB5D0D">
        <w:rPr>
          <w:rFonts w:ascii="Times New Roman" w:hAnsi="Times New Roman"/>
          <w:color w:val="000000" w:themeColor="text1"/>
          <w:sz w:val="16"/>
          <w:szCs w:val="16"/>
        </w:rPr>
        <w:softHyphen/>
        <w:t>тали, что здесь достаточно ввести по</w:t>
      </w:r>
      <w:r w:rsidRPr="00DB5D0D">
        <w:rPr>
          <w:rFonts w:ascii="Times New Roman" w:hAnsi="Times New Roman"/>
          <w:color w:val="000000" w:themeColor="text1"/>
          <w:sz w:val="16"/>
          <w:szCs w:val="16"/>
        </w:rPr>
        <w:softHyphen/>
        <w:t>правки в существующие прицелы для бомбометания с горизонтального полёта и просто натренировать штурманов.</w:t>
      </w:r>
    </w:p>
    <w:p w14:paraId="39B0EF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Несбрасываемая кассета К-100 представляла собой обычный контей</w:t>
      </w:r>
      <w:r w:rsidRPr="00DB5D0D">
        <w:rPr>
          <w:rFonts w:ascii="Times New Roman" w:hAnsi="Times New Roman"/>
          <w:color w:val="000000" w:themeColor="text1"/>
          <w:sz w:val="16"/>
          <w:szCs w:val="16"/>
        </w:rPr>
        <w:softHyphen/>
        <w:t>нер ящичного типа для мелких оско</w:t>
      </w:r>
      <w:r w:rsidRPr="00DB5D0D">
        <w:rPr>
          <w:rFonts w:ascii="Times New Roman" w:hAnsi="Times New Roman"/>
          <w:color w:val="000000" w:themeColor="text1"/>
          <w:sz w:val="16"/>
          <w:szCs w:val="16"/>
        </w:rPr>
        <w:softHyphen/>
        <w:t>лочных или зажигательных авиабомб, которые в неё укладывали навалом. Её особенность - электромеханичес</w:t>
      </w:r>
      <w:r w:rsidRPr="00DB5D0D">
        <w:rPr>
          <w:rFonts w:ascii="Times New Roman" w:hAnsi="Times New Roman"/>
          <w:color w:val="000000" w:themeColor="text1"/>
          <w:sz w:val="16"/>
          <w:szCs w:val="16"/>
        </w:rPr>
        <w:softHyphen/>
        <w:t>кий привод нижних створок (обычно в таких устройствах привод был ме</w:t>
      </w:r>
      <w:r w:rsidRPr="00DB5D0D">
        <w:rPr>
          <w:rFonts w:ascii="Times New Roman" w:hAnsi="Times New Roman"/>
          <w:color w:val="000000" w:themeColor="text1"/>
          <w:sz w:val="16"/>
          <w:szCs w:val="16"/>
        </w:rPr>
        <w:softHyphen/>
        <w:t>ханическим или электропиротехни</w:t>
      </w:r>
      <w:r w:rsidRPr="00DB5D0D">
        <w:rPr>
          <w:rFonts w:ascii="Times New Roman" w:hAnsi="Times New Roman"/>
          <w:color w:val="000000" w:themeColor="text1"/>
          <w:sz w:val="16"/>
          <w:szCs w:val="16"/>
        </w:rPr>
        <w:softHyphen/>
        <w:t>ческим).</w:t>
      </w:r>
    </w:p>
    <w:p w14:paraId="53CEDC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По-видимому, руководство НКАП было абсолютно уверено в успехе перевооружения «сотки». Для уско</w:t>
      </w:r>
      <w:r w:rsidRPr="00DB5D0D">
        <w:rPr>
          <w:rFonts w:ascii="Times New Roman" w:hAnsi="Times New Roman"/>
          <w:color w:val="000000" w:themeColor="text1"/>
          <w:sz w:val="16"/>
          <w:szCs w:val="16"/>
        </w:rPr>
        <w:softHyphen/>
        <w:t>рения работ серию запускали без изготовления опытной машины, до</w:t>
      </w:r>
      <w:r w:rsidRPr="00DB5D0D">
        <w:rPr>
          <w:rFonts w:ascii="Times New Roman" w:hAnsi="Times New Roman"/>
          <w:color w:val="000000" w:themeColor="text1"/>
          <w:sz w:val="16"/>
          <w:szCs w:val="16"/>
        </w:rPr>
        <w:softHyphen/>
        <w:t>водить конструкцию и вооружение предстояло по ходу дела (11432).</w:t>
      </w:r>
    </w:p>
    <w:p w14:paraId="41EED9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31F73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июня 1940 года после всех доработок И-180-3 был передан в НИИ ВВС для прохождения Государственных испытаний. Поначалу все шло неплохо, в рамках утвержденной программы (3203,10).</w:t>
      </w:r>
    </w:p>
    <w:p w14:paraId="68A0599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9AA5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июня 1940 И-180-3 после проведенных доработок, передали на Госиспытания (9979).</w:t>
      </w:r>
    </w:p>
    <w:p w14:paraId="49D636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A0343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июня 1940 самолет И-135 по железной дороге доставили в Раменское для проведения заводских летных испытаний. 11 июня 1940 года летчик-испытатель А.П.Чернав-ский проверил поведение самоле</w:t>
      </w:r>
      <w:r w:rsidRPr="00DB5D0D">
        <w:rPr>
          <w:rFonts w:ascii="Times New Roman" w:hAnsi="Times New Roman"/>
          <w:color w:val="000000" w:themeColor="text1"/>
          <w:sz w:val="16"/>
          <w:szCs w:val="16"/>
        </w:rPr>
        <w:softHyphen/>
        <w:t>та на рулении и выполнил скорос</w:t>
      </w:r>
      <w:r w:rsidRPr="00DB5D0D">
        <w:rPr>
          <w:rFonts w:ascii="Times New Roman" w:hAnsi="Times New Roman"/>
          <w:color w:val="000000" w:themeColor="text1"/>
          <w:sz w:val="16"/>
          <w:szCs w:val="16"/>
        </w:rPr>
        <w:softHyphen/>
        <w:t>тные пробежки, а 15 июня впервые поднял машину в воздух (11847).</w:t>
      </w:r>
    </w:p>
    <w:p w14:paraId="2A4369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73F38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июня 1940 с Черноморского и Балтийского флотов в Москву вызвали летно-технические экипажи будущих "Звеньев" - по экипажу ТБ-3 и по два летчика-испытателя, а также наземный техперсонал. Из них создали особую группу под командованием полковника Фомичева, которой поручалось в НИИ ВВС освоить технику эксплуатации "Звена-СПБ" в воздухе и на земле, а затем испытать и принять от завода 207 два первых комплекса. В ВВС ЧФ базой "спецназа" была определена 2-я эскадрилья 32-го ИАП, откуда прибыли летчики лейтенант Б.М.Литвинчук и младший лейтенант Е.М.Рыжов, из 2-го минно-торпедного полка, в качестве командира ТБ-3, капитан В.А. Разумов, а из КБФ известны лишь летчики-истребители старшие лейтенанты Б.И.Филимонов и Е.М.Ларионов. Обучение на старом опытном "Звене" проводили летчики-испытатели НИИ ВВС, а общее техническое руководство осуществлял B.C. Вахмистров (8636).</w:t>
      </w:r>
    </w:p>
    <w:p w14:paraId="4F66EA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BF3258" w14:textId="77777777" w:rsidR="007C3C59" w:rsidRPr="00DB5D0D" w:rsidRDefault="007C3C5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первых числах июня 1941 г. появилось предложение Н.Н.П. по БДП, причем это предложение, судя по всему, ста</w:t>
      </w:r>
      <w:r w:rsidRPr="00DB5D0D">
        <w:rPr>
          <w:rFonts w:ascii="Times New Roman" w:hAnsi="Times New Roman"/>
          <w:color w:val="0070C0"/>
          <w:sz w:val="16"/>
          <w:szCs w:val="16"/>
        </w:rPr>
        <w:softHyphen/>
        <w:t>ло неожиданностью для многих. На протяжении многих лет после этих событий работники авиапромышленности за</w:t>
      </w:r>
      <w:r w:rsidRPr="00DB5D0D">
        <w:rPr>
          <w:rFonts w:ascii="Times New Roman" w:hAnsi="Times New Roman"/>
          <w:color w:val="0070C0"/>
          <w:sz w:val="16"/>
          <w:szCs w:val="16"/>
        </w:rPr>
        <w:softHyphen/>
        <w:t>давались вопросом: зачем нужно было маститому конст</w:t>
      </w:r>
      <w:r w:rsidRPr="00DB5D0D">
        <w:rPr>
          <w:rFonts w:ascii="Times New Roman" w:hAnsi="Times New Roman"/>
          <w:color w:val="0070C0"/>
          <w:sz w:val="16"/>
          <w:szCs w:val="16"/>
        </w:rPr>
        <w:softHyphen/>
        <w:t>руктору «залезать в чужой огород» и заниматься разработ</w:t>
      </w:r>
      <w:r w:rsidRPr="00DB5D0D">
        <w:rPr>
          <w:rFonts w:ascii="Times New Roman" w:hAnsi="Times New Roman"/>
          <w:color w:val="0070C0"/>
          <w:sz w:val="16"/>
          <w:szCs w:val="16"/>
        </w:rPr>
        <w:softHyphen/>
        <w:t>кой конструкции заведомо непрестижной, вникать в тема</w:t>
      </w:r>
      <w:r w:rsidRPr="00DB5D0D">
        <w:rPr>
          <w:rFonts w:ascii="Times New Roman" w:hAnsi="Times New Roman"/>
          <w:color w:val="0070C0"/>
          <w:sz w:val="16"/>
          <w:szCs w:val="16"/>
        </w:rPr>
        <w:softHyphen/>
        <w:t>тику, находящуюся как бы на задворках магистрального развития авиации? Ведь для производства планеров пред</w:t>
      </w:r>
      <w:r w:rsidRPr="00DB5D0D">
        <w:rPr>
          <w:rFonts w:ascii="Times New Roman" w:hAnsi="Times New Roman"/>
          <w:color w:val="0070C0"/>
          <w:sz w:val="16"/>
          <w:szCs w:val="16"/>
        </w:rPr>
        <w:softHyphen/>
        <w:t>полагались даже не авиационные заводы, а второстепен</w:t>
      </w:r>
      <w:r w:rsidRPr="00DB5D0D">
        <w:rPr>
          <w:rFonts w:ascii="Times New Roman" w:hAnsi="Times New Roman"/>
          <w:color w:val="0070C0"/>
          <w:sz w:val="16"/>
          <w:szCs w:val="16"/>
        </w:rPr>
        <w:softHyphen/>
        <w:t>ные производства, деревообделочные и мебельные фаб</w:t>
      </w:r>
      <w:r w:rsidRPr="00DB5D0D">
        <w:rPr>
          <w:rFonts w:ascii="Times New Roman" w:hAnsi="Times New Roman"/>
          <w:color w:val="0070C0"/>
          <w:sz w:val="16"/>
          <w:szCs w:val="16"/>
        </w:rPr>
        <w:softHyphen/>
        <w:t>рики. Казалось, что причиной для столь неожиданного увлечения следует считать то, что Поликарпов имел свой взгляд на данную проблему и задумал нечто новое и ори</w:t>
      </w:r>
      <w:r w:rsidRPr="00DB5D0D">
        <w:rPr>
          <w:rFonts w:ascii="Times New Roman" w:hAnsi="Times New Roman"/>
          <w:color w:val="0070C0"/>
          <w:sz w:val="16"/>
          <w:szCs w:val="16"/>
        </w:rPr>
        <w:softHyphen/>
        <w:t>гинальное.</w:t>
      </w:r>
    </w:p>
    <w:p w14:paraId="30FB3AED" w14:textId="77777777" w:rsidR="007C3C59" w:rsidRPr="00DB5D0D" w:rsidRDefault="007C3C5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самом деле в решение проблемы ввязался нестан</w:t>
      </w:r>
      <w:r w:rsidRPr="00DB5D0D">
        <w:rPr>
          <w:rFonts w:ascii="Times New Roman" w:hAnsi="Times New Roman"/>
          <w:color w:val="0070C0"/>
          <w:sz w:val="16"/>
          <w:szCs w:val="16"/>
        </w:rPr>
        <w:softHyphen/>
        <w:t>дартный и неутомимый Вахмистров, который вспомнил свое совсем недавнее увлечение безмоторными аппара</w:t>
      </w:r>
      <w:r w:rsidRPr="00DB5D0D">
        <w:rPr>
          <w:rFonts w:ascii="Times New Roman" w:hAnsi="Times New Roman"/>
          <w:color w:val="0070C0"/>
          <w:sz w:val="16"/>
          <w:szCs w:val="16"/>
        </w:rPr>
        <w:softHyphen/>
        <w:t>тами. Это именно он предложил создать планер не просто для перевозки груза или десанта в условиях тыла (все рав</w:t>
      </w:r>
      <w:r w:rsidRPr="00DB5D0D">
        <w:rPr>
          <w:rFonts w:ascii="Times New Roman" w:hAnsi="Times New Roman"/>
          <w:color w:val="0070C0"/>
          <w:sz w:val="16"/>
          <w:szCs w:val="16"/>
        </w:rPr>
        <w:softHyphen/>
        <w:t>но какого — своего или вражеского), а как средство напа</w:t>
      </w:r>
      <w:r w:rsidRPr="00DB5D0D">
        <w:rPr>
          <w:rFonts w:ascii="Times New Roman" w:hAnsi="Times New Roman"/>
          <w:color w:val="0070C0"/>
          <w:sz w:val="16"/>
          <w:szCs w:val="16"/>
        </w:rPr>
        <w:softHyphen/>
        <w:t>дения на противника. Сопоставляя события по времени, можно предположить, что на направленность мысли кон</w:t>
      </w:r>
      <w:r w:rsidRPr="00DB5D0D">
        <w:rPr>
          <w:rFonts w:ascii="Times New Roman" w:hAnsi="Times New Roman"/>
          <w:color w:val="0070C0"/>
          <w:sz w:val="16"/>
          <w:szCs w:val="16"/>
        </w:rPr>
        <w:softHyphen/>
        <w:t>структора повлияли события последних чисел мая 1941 г. В эти дни фашистская Германия предприняла захват ос</w:t>
      </w:r>
      <w:r w:rsidRPr="00DB5D0D">
        <w:rPr>
          <w:rFonts w:ascii="Times New Roman" w:hAnsi="Times New Roman"/>
          <w:color w:val="0070C0"/>
          <w:sz w:val="16"/>
          <w:szCs w:val="16"/>
        </w:rPr>
        <w:softHyphen/>
        <w:t>трова Крит, обороняемого британскими войсками. Атаку на остров осуществили с воздуха, участвовали в ней и десант</w:t>
      </w:r>
      <w:r w:rsidRPr="00DB5D0D">
        <w:rPr>
          <w:rFonts w:ascii="Times New Roman" w:hAnsi="Times New Roman"/>
          <w:color w:val="0070C0"/>
          <w:sz w:val="16"/>
          <w:szCs w:val="16"/>
        </w:rPr>
        <w:softHyphen/>
        <w:t>ные планеры. Хотя цель была достигнута, немецкие поте</w:t>
      </w:r>
      <w:r w:rsidRPr="00DB5D0D">
        <w:rPr>
          <w:rFonts w:ascii="Times New Roman" w:hAnsi="Times New Roman"/>
          <w:color w:val="0070C0"/>
          <w:sz w:val="16"/>
          <w:szCs w:val="16"/>
        </w:rPr>
        <w:softHyphen/>
        <w:t>ри оказались весьма ощутимы. Анализируя эту операцию с точки зрения участия в ней авиации, Вахмистров прихо</w:t>
      </w:r>
      <w:r w:rsidRPr="00DB5D0D">
        <w:rPr>
          <w:rFonts w:ascii="Times New Roman" w:hAnsi="Times New Roman"/>
          <w:color w:val="0070C0"/>
          <w:sz w:val="16"/>
          <w:szCs w:val="16"/>
        </w:rPr>
        <w:softHyphen/>
        <w:t>дит к выводу, что нападающей стороне можно было избе</w:t>
      </w:r>
      <w:r w:rsidRPr="00DB5D0D">
        <w:rPr>
          <w:rFonts w:ascii="Times New Roman" w:hAnsi="Times New Roman"/>
          <w:color w:val="0070C0"/>
          <w:sz w:val="16"/>
          <w:szCs w:val="16"/>
        </w:rPr>
        <w:softHyphen/>
        <w:t>жать высоких потерь, если применить специальные хоро</w:t>
      </w:r>
      <w:r w:rsidRPr="00DB5D0D">
        <w:rPr>
          <w:rFonts w:ascii="Times New Roman" w:hAnsi="Times New Roman"/>
          <w:color w:val="0070C0"/>
          <w:sz w:val="16"/>
          <w:szCs w:val="16"/>
        </w:rPr>
        <w:softHyphen/>
        <w:t>шо вооруженные и защищенные броней посадочные сред</w:t>
      </w:r>
      <w:r w:rsidRPr="00DB5D0D">
        <w:rPr>
          <w:rFonts w:ascii="Times New Roman" w:hAnsi="Times New Roman"/>
          <w:color w:val="0070C0"/>
          <w:sz w:val="16"/>
          <w:szCs w:val="16"/>
        </w:rPr>
        <w:softHyphen/>
        <w:t>ства. В соответствии с этой идеей он предлагает Поликарпову спроектировать особый планер. Десантники, находящиеся в нем, еще на этапе планирования могут ве</w:t>
      </w:r>
      <w:r w:rsidRPr="00DB5D0D">
        <w:rPr>
          <w:rFonts w:ascii="Times New Roman" w:hAnsi="Times New Roman"/>
          <w:color w:val="0070C0"/>
          <w:sz w:val="16"/>
          <w:szCs w:val="16"/>
        </w:rPr>
        <w:softHyphen/>
        <w:t>сти огонь по наземному противнику из личного оружия. До</w:t>
      </w:r>
      <w:r w:rsidRPr="00DB5D0D">
        <w:rPr>
          <w:rFonts w:ascii="Times New Roman" w:hAnsi="Times New Roman"/>
          <w:color w:val="0070C0"/>
          <w:sz w:val="16"/>
          <w:szCs w:val="16"/>
        </w:rPr>
        <w:softHyphen/>
        <w:t>статочную защиту в воздухе обеспечивали бортовые сьем-ные бронеплиты, которые после приземления на открытой местности использовались как щиты для укрытия десант</w:t>
      </w:r>
      <w:r w:rsidRPr="00DB5D0D">
        <w:rPr>
          <w:rFonts w:ascii="Times New Roman" w:hAnsi="Times New Roman"/>
          <w:color w:val="0070C0"/>
          <w:sz w:val="16"/>
          <w:szCs w:val="16"/>
        </w:rPr>
        <w:softHyphen/>
        <w:t>ников (20364).</w:t>
      </w:r>
    </w:p>
    <w:p w14:paraId="31107196" w14:textId="77777777" w:rsidR="007C3C59" w:rsidRPr="00DB5D0D" w:rsidRDefault="007C3C59" w:rsidP="00DB5D0D">
      <w:pPr>
        <w:shd w:val="clear" w:color="auto" w:fill="FFFFFF"/>
        <w:spacing w:after="0" w:line="240" w:lineRule="auto"/>
        <w:jc w:val="both"/>
        <w:rPr>
          <w:rFonts w:ascii="Times New Roman" w:hAnsi="Times New Roman"/>
          <w:color w:val="0070C0"/>
          <w:sz w:val="16"/>
          <w:szCs w:val="16"/>
        </w:rPr>
      </w:pPr>
    </w:p>
    <w:p w14:paraId="3A49A6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июня 1940 г. в УВВС поступило письмо заместителя началь</w:t>
      </w:r>
      <w:r w:rsidRPr="00DB5D0D">
        <w:rPr>
          <w:rFonts w:ascii="Times New Roman" w:hAnsi="Times New Roman"/>
          <w:color w:val="000000" w:themeColor="text1"/>
          <w:sz w:val="16"/>
          <w:szCs w:val="16"/>
        </w:rPr>
        <w:softHyphen/>
        <w:t>ника штаба авиации ВМФ полковника Александрова: «Начальник Ави</w:t>
      </w:r>
      <w:r w:rsidRPr="00DB5D0D">
        <w:rPr>
          <w:rFonts w:ascii="Times New Roman" w:hAnsi="Times New Roman"/>
          <w:color w:val="000000" w:themeColor="text1"/>
          <w:sz w:val="16"/>
          <w:szCs w:val="16"/>
        </w:rPr>
        <w:softHyphen/>
        <w:t>ации ВМФ СССР разрешил Вам использовать имеющийся на Ногин</w:t>
      </w:r>
      <w:r w:rsidRPr="00DB5D0D">
        <w:rPr>
          <w:rFonts w:ascii="Times New Roman" w:hAnsi="Times New Roman"/>
          <w:color w:val="000000" w:themeColor="text1"/>
          <w:sz w:val="16"/>
          <w:szCs w:val="16"/>
        </w:rPr>
        <w:softHyphen/>
        <w:t>ском полигоне ДБ-3 Авиации ВМФ для испытаний РОФС-203. Испыта</w:t>
      </w:r>
      <w:r w:rsidRPr="00DB5D0D">
        <w:rPr>
          <w:rFonts w:ascii="Times New Roman" w:hAnsi="Times New Roman"/>
          <w:color w:val="000000" w:themeColor="text1"/>
          <w:sz w:val="16"/>
          <w:szCs w:val="16"/>
        </w:rPr>
        <w:softHyphen/>
        <w:t>ние можно провести только после окончания программы испытаний са</w:t>
      </w:r>
      <w:r w:rsidRPr="00DB5D0D">
        <w:rPr>
          <w:rFonts w:ascii="Times New Roman" w:hAnsi="Times New Roman"/>
          <w:color w:val="000000" w:themeColor="text1"/>
          <w:sz w:val="16"/>
          <w:szCs w:val="16"/>
        </w:rPr>
        <w:softHyphen/>
        <w:t>молета на стрельбу с пикирования РБС-203».</w:t>
      </w:r>
    </w:p>
    <w:p w14:paraId="367F2D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119 - РБС-203 - был разработан в 1-м конструкторском отде</w:t>
      </w:r>
      <w:r w:rsidRPr="00DB5D0D">
        <w:rPr>
          <w:rFonts w:ascii="Times New Roman" w:hAnsi="Times New Roman"/>
          <w:color w:val="000000" w:themeColor="text1"/>
          <w:sz w:val="16"/>
          <w:szCs w:val="16"/>
        </w:rPr>
        <w:softHyphen/>
        <w:t>ле военинженера 2 ранга Л.Э.Шварца сначала в единственном варианте (модель 133500) с дном БЧ, выполненным под новый перспективный взрыватель донного типа АВ-96. В следующем году по результатам заво</w:t>
      </w:r>
      <w:r w:rsidRPr="00DB5D0D">
        <w:rPr>
          <w:rFonts w:ascii="Times New Roman" w:hAnsi="Times New Roman"/>
          <w:color w:val="000000" w:themeColor="text1"/>
          <w:sz w:val="16"/>
          <w:szCs w:val="16"/>
        </w:rPr>
        <w:softHyphen/>
        <w:t>дских и полигонных испытаний снаряд доработали под старый взрыва</w:t>
      </w:r>
      <w:r w:rsidRPr="00DB5D0D">
        <w:rPr>
          <w:rFonts w:ascii="Times New Roman" w:hAnsi="Times New Roman"/>
          <w:color w:val="000000" w:themeColor="text1"/>
          <w:sz w:val="16"/>
          <w:szCs w:val="16"/>
        </w:rPr>
        <w:softHyphen/>
        <w:t>тель РД (РБС-203 модели 133800) аналогичного типа. Его рабочая доку</w:t>
      </w:r>
      <w:r w:rsidRPr="00DB5D0D">
        <w:rPr>
          <w:rFonts w:ascii="Times New Roman" w:hAnsi="Times New Roman"/>
          <w:color w:val="000000" w:themeColor="text1"/>
          <w:sz w:val="16"/>
          <w:szCs w:val="16"/>
        </w:rPr>
        <w:softHyphen/>
        <w:t>ментация была утверждена 13 декабря 1939 г. Ракетную часть объект 119 создавали с использованием основных компоновочных принципов 118-го объекта. Ведущим инженером по боеприпасу был военинженер 3 ранга В.К.Шитов (11402).</w:t>
      </w:r>
    </w:p>
    <w:p w14:paraId="48005A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0AD9D2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F73A81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303F4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первых числах июня 1940 г., согласно постановления Комитета Обороны № 885-ЗЗОе, необходимо было передать два серийных танка КВ, чтобы «провести необходимые испытания танка КВ для выявления всех дефектов» (10782).</w:t>
      </w:r>
    </w:p>
    <w:p w14:paraId="49BC99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359B431" w14:textId="77777777" w:rsidR="00A25AD1" w:rsidRPr="00DB5D0D" w:rsidRDefault="00A25AD1" w:rsidP="00DB5D0D">
      <w:pPr>
        <w:pStyle w:val="a3"/>
        <w:rPr>
          <w:color w:val="000000" w:themeColor="text1"/>
        </w:rPr>
      </w:pPr>
      <w:r w:rsidRPr="00DB5D0D">
        <w:rPr>
          <w:color w:val="000000" w:themeColor="text1"/>
          <w:lang w:val="ru-RU"/>
        </w:rPr>
        <w:t>К началу июня 1940 г. был разработан новый вариант расширен</w:t>
      </w:r>
      <w:r w:rsidRPr="00DB5D0D">
        <w:rPr>
          <w:color w:val="000000" w:themeColor="text1"/>
          <w:lang w:val="ru-RU"/>
        </w:rPr>
        <w:softHyphen/>
        <w:t>ной башни Т-34 (получивший впос</w:t>
      </w:r>
      <w:r w:rsidRPr="00DB5D0D">
        <w:rPr>
          <w:color w:val="000000" w:themeColor="text1"/>
          <w:lang w:val="ru-RU"/>
        </w:rPr>
        <w:softHyphen/>
        <w:t>ледствии индекс 34.30сб-1) и отличался от первоначального вари</w:t>
      </w:r>
      <w:r w:rsidRPr="00DB5D0D">
        <w:rPr>
          <w:color w:val="000000" w:themeColor="text1"/>
          <w:lang w:val="ru-RU"/>
        </w:rPr>
        <w:softHyphen/>
        <w:t>анта, не принятого в производство, в основном конструкцией боко</w:t>
      </w:r>
      <w:r w:rsidRPr="00DB5D0D">
        <w:rPr>
          <w:color w:val="000000" w:themeColor="text1"/>
          <w:lang w:val="ru-RU"/>
        </w:rPr>
        <w:softHyphen/>
        <w:t>вых листов - деталей 34.30.018-2 и 34.30.019-2. Увеличение внут</w:t>
      </w:r>
      <w:r w:rsidRPr="00DB5D0D">
        <w:rPr>
          <w:color w:val="000000" w:themeColor="text1"/>
          <w:lang w:val="ru-RU"/>
        </w:rPr>
        <w:softHyphen/>
        <w:t xml:space="preserve">реннего объема башни в зоне </w:t>
      </w:r>
      <w:r w:rsidRPr="00DB5D0D">
        <w:rPr>
          <w:color w:val="000000" w:themeColor="text1"/>
          <w:lang w:val="ru-RU"/>
        </w:rPr>
        <w:lastRenderedPageBreak/>
        <w:t>расположения экипажа и способ его достижения (смещение линии сгиба боковых листов от центра баш</w:t>
      </w:r>
      <w:r w:rsidRPr="00DB5D0D">
        <w:rPr>
          <w:color w:val="000000" w:themeColor="text1"/>
          <w:lang w:val="ru-RU"/>
        </w:rPr>
        <w:softHyphen/>
        <w:t xml:space="preserve">ни в сторону кормы на 162 мм) остались прежними. При этом по сравнению с первоначальным вариантом не претерпел изменений ряд деталей башни — лобовой лист, листы крыши, крышка люка и др. </w:t>
      </w:r>
      <w:r w:rsidRPr="00DB5D0D">
        <w:rPr>
          <w:color w:val="000000" w:themeColor="text1"/>
        </w:rPr>
        <w:t>(см. таблицу №7).</w:t>
      </w:r>
    </w:p>
    <w:p w14:paraId="0362B3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№7</w:t>
      </w:r>
    </w:p>
    <w:tbl>
      <w:tblPr>
        <w:tblW w:w="0" w:type="auto"/>
        <w:tblInd w:w="8" w:type="dxa"/>
        <w:tblLayout w:type="fixed"/>
        <w:tblCellMar>
          <w:left w:w="0" w:type="dxa"/>
          <w:right w:w="0" w:type="dxa"/>
        </w:tblCellMar>
        <w:tblLook w:val="0000" w:firstRow="0" w:lastRow="0" w:firstColumn="0" w:lastColumn="0" w:noHBand="0" w:noVBand="0"/>
      </w:tblPr>
      <w:tblGrid>
        <w:gridCol w:w="2582"/>
        <w:gridCol w:w="2746"/>
        <w:gridCol w:w="2482"/>
        <w:gridCol w:w="2419"/>
      </w:tblGrid>
      <w:tr w:rsidR="007D5DF8" w:rsidRPr="00DB5D0D" w14:paraId="37F84121" w14:textId="77777777" w:rsidTr="009223E5">
        <w:trPr>
          <w:trHeight w:val="581"/>
        </w:trPr>
        <w:tc>
          <w:tcPr>
            <w:tcW w:w="2582" w:type="dxa"/>
            <w:tcBorders>
              <w:top w:val="single" w:sz="6" w:space="0" w:color="auto"/>
              <w:left w:val="single" w:sz="6" w:space="0" w:color="auto"/>
              <w:bottom w:val="single" w:sz="6" w:space="0" w:color="auto"/>
              <w:right w:val="nil"/>
            </w:tcBorders>
            <w:shd w:val="clear" w:color="auto" w:fill="FFFFFF"/>
          </w:tcPr>
          <w:p w14:paraId="7C99F221" w14:textId="77777777" w:rsidR="00A25AD1" w:rsidRPr="00DB5D0D" w:rsidRDefault="00A25AD1" w:rsidP="00DB5D0D">
            <w:pPr>
              <w:pStyle w:val="a3"/>
              <w:rPr>
                <w:color w:val="000000" w:themeColor="text1"/>
              </w:rPr>
            </w:pPr>
            <w:r w:rsidRPr="00DB5D0D">
              <w:rPr>
                <w:color w:val="000000" w:themeColor="text1"/>
              </w:rPr>
              <w:t>Наименование детали</w:t>
            </w:r>
          </w:p>
        </w:tc>
        <w:tc>
          <w:tcPr>
            <w:tcW w:w="2746" w:type="dxa"/>
            <w:tcBorders>
              <w:top w:val="single" w:sz="6" w:space="0" w:color="auto"/>
              <w:left w:val="nil"/>
              <w:bottom w:val="single" w:sz="6" w:space="0" w:color="auto"/>
              <w:right w:val="single" w:sz="6" w:space="0" w:color="auto"/>
            </w:tcBorders>
            <w:shd w:val="clear" w:color="auto" w:fill="FFFFFF"/>
          </w:tcPr>
          <w:p w14:paraId="38EAD094" w14:textId="77777777" w:rsidR="00A25AD1" w:rsidRPr="00DB5D0D" w:rsidRDefault="00A25AD1" w:rsidP="00DB5D0D">
            <w:pPr>
              <w:pStyle w:val="a3"/>
              <w:rPr>
                <w:color w:val="000000" w:themeColor="text1"/>
                <w:lang w:val="ru-RU"/>
              </w:rPr>
            </w:pPr>
            <w:r w:rsidRPr="00DB5D0D">
              <w:rPr>
                <w:color w:val="000000" w:themeColor="text1"/>
                <w:lang w:val="ru-RU"/>
              </w:rPr>
              <w:t>«Узкая» башня (сборочный чертеж 34.30сб), изготовлено 37 комплектов</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23508985" w14:textId="77777777" w:rsidR="00A25AD1" w:rsidRPr="00DB5D0D" w:rsidRDefault="00A25AD1" w:rsidP="00DB5D0D">
            <w:pPr>
              <w:pStyle w:val="a3"/>
              <w:rPr>
                <w:color w:val="000000" w:themeColor="text1"/>
                <w:lang w:val="ru-RU"/>
              </w:rPr>
            </w:pPr>
            <w:r w:rsidRPr="00DB5D0D">
              <w:rPr>
                <w:color w:val="000000" w:themeColor="text1"/>
                <w:lang w:val="ru-RU"/>
              </w:rPr>
              <w:t>Первый вариант расширенной башни (в серию не пошел)</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63B87F4B" w14:textId="77777777" w:rsidR="00A25AD1" w:rsidRPr="00DB5D0D" w:rsidRDefault="00A25AD1" w:rsidP="00DB5D0D">
            <w:pPr>
              <w:pStyle w:val="a3"/>
              <w:rPr>
                <w:color w:val="000000" w:themeColor="text1"/>
                <w:lang w:val="ru-RU"/>
              </w:rPr>
            </w:pPr>
            <w:r w:rsidRPr="00DB5D0D">
              <w:rPr>
                <w:color w:val="000000" w:themeColor="text1"/>
                <w:lang w:val="ru-RU"/>
              </w:rPr>
              <w:t>Первый серийный вариант расширенной башни (сборочный чертеж 34.30сб-1)</w:t>
            </w:r>
          </w:p>
        </w:tc>
      </w:tr>
      <w:tr w:rsidR="007D5DF8" w:rsidRPr="00DB5D0D" w14:paraId="1F5274A8" w14:textId="77777777" w:rsidTr="009223E5">
        <w:trPr>
          <w:trHeight w:val="192"/>
        </w:trPr>
        <w:tc>
          <w:tcPr>
            <w:tcW w:w="2582" w:type="dxa"/>
            <w:tcBorders>
              <w:top w:val="single" w:sz="6" w:space="0" w:color="auto"/>
              <w:left w:val="single" w:sz="6" w:space="0" w:color="auto"/>
              <w:bottom w:val="single" w:sz="6" w:space="0" w:color="auto"/>
              <w:right w:val="nil"/>
            </w:tcBorders>
            <w:shd w:val="clear" w:color="auto" w:fill="FFFFFF"/>
          </w:tcPr>
          <w:p w14:paraId="49E76382" w14:textId="77777777" w:rsidR="00A25AD1" w:rsidRPr="00DB5D0D" w:rsidRDefault="00A25AD1" w:rsidP="00DB5D0D">
            <w:pPr>
              <w:pStyle w:val="a3"/>
              <w:rPr>
                <w:color w:val="000000" w:themeColor="text1"/>
              </w:rPr>
            </w:pPr>
            <w:r w:rsidRPr="00DB5D0D">
              <w:rPr>
                <w:color w:val="000000" w:themeColor="text1"/>
              </w:rPr>
              <w:t>Лобовой лист башни</w:t>
            </w:r>
          </w:p>
        </w:tc>
        <w:tc>
          <w:tcPr>
            <w:tcW w:w="2746" w:type="dxa"/>
            <w:tcBorders>
              <w:top w:val="single" w:sz="6" w:space="0" w:color="auto"/>
              <w:left w:val="nil"/>
              <w:bottom w:val="single" w:sz="6" w:space="0" w:color="auto"/>
              <w:right w:val="single" w:sz="6" w:space="0" w:color="auto"/>
            </w:tcBorders>
            <w:shd w:val="clear" w:color="auto" w:fill="FFFFFF"/>
          </w:tcPr>
          <w:p w14:paraId="4CE147DE" w14:textId="77777777" w:rsidR="00A25AD1" w:rsidRPr="00DB5D0D" w:rsidRDefault="00A25AD1" w:rsidP="00DB5D0D">
            <w:pPr>
              <w:pStyle w:val="a3"/>
              <w:rPr>
                <w:color w:val="000000" w:themeColor="text1"/>
              </w:rPr>
            </w:pPr>
            <w:r w:rsidRPr="00DB5D0D">
              <w:rPr>
                <w:color w:val="000000" w:themeColor="text1"/>
              </w:rPr>
              <w:t>34.30.001</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798F0116" w14:textId="77777777" w:rsidR="00A25AD1" w:rsidRPr="00DB5D0D" w:rsidRDefault="00A25AD1" w:rsidP="00DB5D0D">
            <w:pPr>
              <w:pStyle w:val="a3"/>
              <w:rPr>
                <w:color w:val="000000" w:themeColor="text1"/>
              </w:rPr>
            </w:pPr>
            <w:r w:rsidRPr="00DB5D0D">
              <w:rPr>
                <w:color w:val="000000" w:themeColor="text1"/>
              </w:rPr>
              <w:t>34.30.001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7E29A957" w14:textId="77777777" w:rsidR="00A25AD1" w:rsidRPr="00DB5D0D" w:rsidRDefault="00A25AD1" w:rsidP="00DB5D0D">
            <w:pPr>
              <w:pStyle w:val="a3"/>
              <w:rPr>
                <w:color w:val="000000" w:themeColor="text1"/>
              </w:rPr>
            </w:pPr>
            <w:r w:rsidRPr="00DB5D0D">
              <w:rPr>
                <w:color w:val="000000" w:themeColor="text1"/>
              </w:rPr>
              <w:t>34.30.001</w:t>
            </w:r>
          </w:p>
        </w:tc>
      </w:tr>
      <w:tr w:rsidR="007D5DF8" w:rsidRPr="00DB5D0D" w14:paraId="5B87C8B6" w14:textId="77777777" w:rsidTr="009223E5">
        <w:trPr>
          <w:trHeight w:val="197"/>
        </w:trPr>
        <w:tc>
          <w:tcPr>
            <w:tcW w:w="2582" w:type="dxa"/>
            <w:tcBorders>
              <w:top w:val="single" w:sz="6" w:space="0" w:color="auto"/>
              <w:left w:val="single" w:sz="6" w:space="0" w:color="auto"/>
              <w:bottom w:val="single" w:sz="6" w:space="0" w:color="auto"/>
              <w:right w:val="nil"/>
            </w:tcBorders>
            <w:shd w:val="clear" w:color="auto" w:fill="FFFFFF"/>
          </w:tcPr>
          <w:p w14:paraId="395202DC" w14:textId="77777777" w:rsidR="00A25AD1" w:rsidRPr="00DB5D0D" w:rsidRDefault="00A25AD1" w:rsidP="00DB5D0D">
            <w:pPr>
              <w:pStyle w:val="a3"/>
              <w:rPr>
                <w:color w:val="000000" w:themeColor="text1"/>
              </w:rPr>
            </w:pPr>
            <w:r w:rsidRPr="00DB5D0D">
              <w:rPr>
                <w:color w:val="000000" w:themeColor="text1"/>
              </w:rPr>
              <w:t>Передняя обечайка башни</w:t>
            </w:r>
          </w:p>
        </w:tc>
        <w:tc>
          <w:tcPr>
            <w:tcW w:w="2746" w:type="dxa"/>
            <w:tcBorders>
              <w:top w:val="single" w:sz="6" w:space="0" w:color="auto"/>
              <w:left w:val="nil"/>
              <w:bottom w:val="single" w:sz="6" w:space="0" w:color="auto"/>
              <w:right w:val="single" w:sz="6" w:space="0" w:color="auto"/>
            </w:tcBorders>
            <w:shd w:val="clear" w:color="auto" w:fill="FFFFFF"/>
          </w:tcPr>
          <w:p w14:paraId="1A4483BF" w14:textId="77777777" w:rsidR="00A25AD1" w:rsidRPr="00DB5D0D" w:rsidRDefault="00A25AD1" w:rsidP="00DB5D0D">
            <w:pPr>
              <w:pStyle w:val="a3"/>
              <w:rPr>
                <w:color w:val="000000" w:themeColor="text1"/>
              </w:rPr>
            </w:pPr>
            <w:r w:rsidRPr="00DB5D0D">
              <w:rPr>
                <w:color w:val="000000" w:themeColor="text1"/>
              </w:rPr>
              <w:t>34.30.006</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517EF759" w14:textId="77777777" w:rsidR="00A25AD1" w:rsidRPr="00DB5D0D" w:rsidRDefault="00A25AD1" w:rsidP="00DB5D0D">
            <w:pPr>
              <w:pStyle w:val="a3"/>
              <w:rPr>
                <w:color w:val="000000" w:themeColor="text1"/>
              </w:rPr>
            </w:pPr>
            <w:r w:rsidRPr="00DB5D0D">
              <w:rPr>
                <w:color w:val="000000" w:themeColor="text1"/>
              </w:rPr>
              <w:t>34.30.006-1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0EE3FDAF" w14:textId="77777777" w:rsidR="00A25AD1" w:rsidRPr="00DB5D0D" w:rsidRDefault="00A25AD1" w:rsidP="00DB5D0D">
            <w:pPr>
              <w:pStyle w:val="a3"/>
              <w:rPr>
                <w:color w:val="000000" w:themeColor="text1"/>
              </w:rPr>
            </w:pPr>
            <w:r w:rsidRPr="00DB5D0D">
              <w:rPr>
                <w:color w:val="000000" w:themeColor="text1"/>
              </w:rPr>
              <w:t>34.30.006-1</w:t>
            </w:r>
          </w:p>
        </w:tc>
      </w:tr>
      <w:tr w:rsidR="007D5DF8" w:rsidRPr="00DB5D0D" w14:paraId="517C9DFD" w14:textId="77777777" w:rsidTr="009223E5">
        <w:trPr>
          <w:trHeight w:val="197"/>
        </w:trPr>
        <w:tc>
          <w:tcPr>
            <w:tcW w:w="2582" w:type="dxa"/>
            <w:tcBorders>
              <w:top w:val="single" w:sz="6" w:space="0" w:color="auto"/>
              <w:left w:val="single" w:sz="6" w:space="0" w:color="auto"/>
              <w:bottom w:val="single" w:sz="6" w:space="0" w:color="auto"/>
              <w:right w:val="nil"/>
            </w:tcBorders>
            <w:shd w:val="clear" w:color="auto" w:fill="FFFFFF"/>
          </w:tcPr>
          <w:p w14:paraId="032BD96B" w14:textId="77777777" w:rsidR="00A25AD1" w:rsidRPr="00DB5D0D" w:rsidRDefault="00A25AD1" w:rsidP="00DB5D0D">
            <w:pPr>
              <w:pStyle w:val="a3"/>
              <w:rPr>
                <w:color w:val="000000" w:themeColor="text1"/>
              </w:rPr>
            </w:pPr>
            <w:r w:rsidRPr="00DB5D0D">
              <w:rPr>
                <w:color w:val="000000" w:themeColor="text1"/>
              </w:rPr>
              <w:t>Задняя обечайка башни</w:t>
            </w:r>
          </w:p>
        </w:tc>
        <w:tc>
          <w:tcPr>
            <w:tcW w:w="2746" w:type="dxa"/>
            <w:tcBorders>
              <w:top w:val="single" w:sz="6" w:space="0" w:color="auto"/>
              <w:left w:val="nil"/>
              <w:bottom w:val="single" w:sz="6" w:space="0" w:color="auto"/>
              <w:right w:val="single" w:sz="6" w:space="0" w:color="auto"/>
            </w:tcBorders>
            <w:shd w:val="clear" w:color="auto" w:fill="FFFFFF"/>
          </w:tcPr>
          <w:p w14:paraId="4440958B" w14:textId="77777777" w:rsidR="00A25AD1" w:rsidRPr="00DB5D0D" w:rsidRDefault="00A25AD1" w:rsidP="00DB5D0D">
            <w:pPr>
              <w:pStyle w:val="a3"/>
              <w:rPr>
                <w:color w:val="000000" w:themeColor="text1"/>
              </w:rPr>
            </w:pPr>
            <w:r w:rsidRPr="00DB5D0D">
              <w:rPr>
                <w:color w:val="000000" w:themeColor="text1"/>
              </w:rPr>
              <w:t>34.30.007</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7CB5CDC3" w14:textId="77777777" w:rsidR="00A25AD1" w:rsidRPr="00DB5D0D" w:rsidRDefault="00A25AD1" w:rsidP="00DB5D0D">
            <w:pPr>
              <w:pStyle w:val="a3"/>
              <w:rPr>
                <w:color w:val="000000" w:themeColor="text1"/>
              </w:rPr>
            </w:pPr>
            <w:r w:rsidRPr="00DB5D0D">
              <w:rPr>
                <w:color w:val="000000" w:themeColor="text1"/>
              </w:rPr>
              <w:t>34.30.007-1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65A3A1A2" w14:textId="77777777" w:rsidR="00A25AD1" w:rsidRPr="00DB5D0D" w:rsidRDefault="00A25AD1" w:rsidP="00DB5D0D">
            <w:pPr>
              <w:pStyle w:val="a3"/>
              <w:rPr>
                <w:color w:val="000000" w:themeColor="text1"/>
              </w:rPr>
            </w:pPr>
            <w:r w:rsidRPr="00DB5D0D">
              <w:rPr>
                <w:color w:val="000000" w:themeColor="text1"/>
              </w:rPr>
              <w:t>34.30.007-2</w:t>
            </w:r>
          </w:p>
        </w:tc>
      </w:tr>
      <w:tr w:rsidR="007D5DF8" w:rsidRPr="00DB5D0D" w14:paraId="126EF97F" w14:textId="77777777" w:rsidTr="009223E5">
        <w:trPr>
          <w:trHeight w:val="192"/>
        </w:trPr>
        <w:tc>
          <w:tcPr>
            <w:tcW w:w="2582" w:type="dxa"/>
            <w:tcBorders>
              <w:top w:val="single" w:sz="6" w:space="0" w:color="auto"/>
              <w:left w:val="single" w:sz="6" w:space="0" w:color="auto"/>
              <w:bottom w:val="single" w:sz="6" w:space="0" w:color="auto"/>
              <w:right w:val="nil"/>
            </w:tcBorders>
            <w:shd w:val="clear" w:color="auto" w:fill="FFFFFF"/>
          </w:tcPr>
          <w:p w14:paraId="34C5E075" w14:textId="77777777" w:rsidR="00A25AD1" w:rsidRPr="00DB5D0D" w:rsidRDefault="00A25AD1" w:rsidP="00DB5D0D">
            <w:pPr>
              <w:pStyle w:val="a3"/>
              <w:rPr>
                <w:color w:val="000000" w:themeColor="text1"/>
              </w:rPr>
            </w:pPr>
            <w:r w:rsidRPr="00DB5D0D">
              <w:rPr>
                <w:color w:val="000000" w:themeColor="text1"/>
              </w:rPr>
              <w:t>Передний лист крыши башни</w:t>
            </w:r>
          </w:p>
        </w:tc>
        <w:tc>
          <w:tcPr>
            <w:tcW w:w="2746" w:type="dxa"/>
            <w:tcBorders>
              <w:top w:val="single" w:sz="6" w:space="0" w:color="auto"/>
              <w:left w:val="nil"/>
              <w:bottom w:val="single" w:sz="6" w:space="0" w:color="auto"/>
              <w:right w:val="single" w:sz="6" w:space="0" w:color="auto"/>
            </w:tcBorders>
            <w:shd w:val="clear" w:color="auto" w:fill="FFFFFF"/>
          </w:tcPr>
          <w:p w14:paraId="2640B169" w14:textId="77777777" w:rsidR="00A25AD1" w:rsidRPr="00DB5D0D" w:rsidRDefault="00A25AD1" w:rsidP="00DB5D0D">
            <w:pPr>
              <w:pStyle w:val="a3"/>
              <w:rPr>
                <w:color w:val="000000" w:themeColor="text1"/>
              </w:rPr>
            </w:pPr>
            <w:r w:rsidRPr="00DB5D0D">
              <w:rPr>
                <w:color w:val="000000" w:themeColor="text1"/>
              </w:rPr>
              <w:t>34.30.008</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1AE2D8DF" w14:textId="77777777" w:rsidR="00A25AD1" w:rsidRPr="00DB5D0D" w:rsidRDefault="00A25AD1" w:rsidP="00DB5D0D">
            <w:pPr>
              <w:pStyle w:val="a3"/>
              <w:rPr>
                <w:color w:val="000000" w:themeColor="text1"/>
              </w:rPr>
            </w:pPr>
            <w:r w:rsidRPr="00DB5D0D">
              <w:rPr>
                <w:color w:val="000000" w:themeColor="text1"/>
              </w:rPr>
              <w:t>34.30.008-1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0BA6A0AE" w14:textId="77777777" w:rsidR="00A25AD1" w:rsidRPr="00DB5D0D" w:rsidRDefault="00A25AD1" w:rsidP="00DB5D0D">
            <w:pPr>
              <w:pStyle w:val="a3"/>
              <w:rPr>
                <w:color w:val="000000" w:themeColor="text1"/>
              </w:rPr>
            </w:pPr>
            <w:r w:rsidRPr="00DB5D0D">
              <w:rPr>
                <w:color w:val="000000" w:themeColor="text1"/>
              </w:rPr>
              <w:t>34.30.008-1</w:t>
            </w:r>
          </w:p>
        </w:tc>
      </w:tr>
      <w:tr w:rsidR="007D5DF8" w:rsidRPr="00DB5D0D" w14:paraId="57545F9C" w14:textId="77777777" w:rsidTr="009223E5">
        <w:trPr>
          <w:trHeight w:val="197"/>
        </w:trPr>
        <w:tc>
          <w:tcPr>
            <w:tcW w:w="2582" w:type="dxa"/>
            <w:tcBorders>
              <w:top w:val="single" w:sz="6" w:space="0" w:color="auto"/>
              <w:left w:val="single" w:sz="6" w:space="0" w:color="auto"/>
              <w:bottom w:val="single" w:sz="6" w:space="0" w:color="auto"/>
              <w:right w:val="single" w:sz="6" w:space="0" w:color="auto"/>
            </w:tcBorders>
            <w:shd w:val="clear" w:color="auto" w:fill="FFFFFF"/>
          </w:tcPr>
          <w:p w14:paraId="46663F26" w14:textId="77777777" w:rsidR="00A25AD1" w:rsidRPr="00DB5D0D" w:rsidRDefault="00A25AD1" w:rsidP="00DB5D0D">
            <w:pPr>
              <w:pStyle w:val="a3"/>
              <w:rPr>
                <w:color w:val="000000" w:themeColor="text1"/>
              </w:rPr>
            </w:pPr>
            <w:r w:rsidRPr="00DB5D0D">
              <w:rPr>
                <w:color w:val="000000" w:themeColor="text1"/>
              </w:rPr>
              <w:t>Днище ниши башни</w:t>
            </w:r>
          </w:p>
        </w:tc>
        <w:tc>
          <w:tcPr>
            <w:tcW w:w="2746" w:type="dxa"/>
            <w:tcBorders>
              <w:top w:val="single" w:sz="6" w:space="0" w:color="auto"/>
              <w:left w:val="single" w:sz="6" w:space="0" w:color="auto"/>
              <w:bottom w:val="single" w:sz="6" w:space="0" w:color="auto"/>
              <w:right w:val="single" w:sz="6" w:space="0" w:color="auto"/>
            </w:tcBorders>
            <w:shd w:val="clear" w:color="auto" w:fill="FFFFFF"/>
          </w:tcPr>
          <w:p w14:paraId="5B916F9E" w14:textId="77777777" w:rsidR="00A25AD1" w:rsidRPr="00DB5D0D" w:rsidRDefault="00A25AD1" w:rsidP="00DB5D0D">
            <w:pPr>
              <w:pStyle w:val="a3"/>
              <w:rPr>
                <w:color w:val="000000" w:themeColor="text1"/>
              </w:rPr>
            </w:pPr>
            <w:r w:rsidRPr="00DB5D0D">
              <w:rPr>
                <w:color w:val="000000" w:themeColor="text1"/>
              </w:rPr>
              <w:t>34.30.009</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7573DFEE" w14:textId="77777777" w:rsidR="00A25AD1" w:rsidRPr="00DB5D0D" w:rsidRDefault="00A25AD1" w:rsidP="00DB5D0D">
            <w:pPr>
              <w:pStyle w:val="a3"/>
              <w:rPr>
                <w:color w:val="000000" w:themeColor="text1"/>
              </w:rPr>
            </w:pPr>
            <w:r w:rsidRPr="00DB5D0D">
              <w:rPr>
                <w:color w:val="000000" w:themeColor="text1"/>
              </w:rPr>
              <w:t>34.30.009-1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79629E00" w14:textId="77777777" w:rsidR="00A25AD1" w:rsidRPr="00DB5D0D" w:rsidRDefault="00A25AD1" w:rsidP="00DB5D0D">
            <w:pPr>
              <w:pStyle w:val="a3"/>
              <w:rPr>
                <w:color w:val="000000" w:themeColor="text1"/>
              </w:rPr>
            </w:pPr>
            <w:r w:rsidRPr="00DB5D0D">
              <w:rPr>
                <w:color w:val="000000" w:themeColor="text1"/>
              </w:rPr>
              <w:t>34.30.009-2</w:t>
            </w:r>
          </w:p>
        </w:tc>
      </w:tr>
      <w:tr w:rsidR="007D5DF8" w:rsidRPr="00DB5D0D" w14:paraId="005E9AC0" w14:textId="77777777" w:rsidTr="009223E5">
        <w:trPr>
          <w:trHeight w:val="192"/>
        </w:trPr>
        <w:tc>
          <w:tcPr>
            <w:tcW w:w="2582" w:type="dxa"/>
            <w:tcBorders>
              <w:top w:val="single" w:sz="6" w:space="0" w:color="auto"/>
              <w:left w:val="single" w:sz="6" w:space="0" w:color="auto"/>
              <w:bottom w:val="single" w:sz="6" w:space="0" w:color="auto"/>
              <w:right w:val="single" w:sz="6" w:space="0" w:color="auto"/>
            </w:tcBorders>
            <w:shd w:val="clear" w:color="auto" w:fill="FFFFFF"/>
          </w:tcPr>
          <w:p w14:paraId="5AE4B604" w14:textId="77777777" w:rsidR="00A25AD1" w:rsidRPr="00DB5D0D" w:rsidRDefault="00A25AD1" w:rsidP="00DB5D0D">
            <w:pPr>
              <w:pStyle w:val="a3"/>
              <w:rPr>
                <w:color w:val="000000" w:themeColor="text1"/>
              </w:rPr>
            </w:pPr>
            <w:r w:rsidRPr="00DB5D0D">
              <w:rPr>
                <w:color w:val="000000" w:themeColor="text1"/>
              </w:rPr>
              <w:t>Крышка лкжа башни</w:t>
            </w:r>
          </w:p>
        </w:tc>
        <w:tc>
          <w:tcPr>
            <w:tcW w:w="2746" w:type="dxa"/>
            <w:tcBorders>
              <w:top w:val="single" w:sz="6" w:space="0" w:color="auto"/>
              <w:left w:val="single" w:sz="6" w:space="0" w:color="auto"/>
              <w:bottom w:val="single" w:sz="6" w:space="0" w:color="auto"/>
              <w:right w:val="single" w:sz="6" w:space="0" w:color="auto"/>
            </w:tcBorders>
            <w:shd w:val="clear" w:color="auto" w:fill="FFFFFF"/>
          </w:tcPr>
          <w:p w14:paraId="1327A933" w14:textId="77777777" w:rsidR="00A25AD1" w:rsidRPr="00DB5D0D" w:rsidRDefault="00A25AD1" w:rsidP="00DB5D0D">
            <w:pPr>
              <w:pStyle w:val="a3"/>
              <w:rPr>
                <w:color w:val="000000" w:themeColor="text1"/>
              </w:rPr>
            </w:pPr>
            <w:r w:rsidRPr="00DB5D0D">
              <w:rPr>
                <w:color w:val="000000" w:themeColor="text1"/>
              </w:rPr>
              <w:t>34.30.010</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7392B2A9" w14:textId="77777777" w:rsidR="00A25AD1" w:rsidRPr="00DB5D0D" w:rsidRDefault="00A25AD1" w:rsidP="00DB5D0D">
            <w:pPr>
              <w:pStyle w:val="a3"/>
              <w:rPr>
                <w:color w:val="000000" w:themeColor="text1"/>
              </w:rPr>
            </w:pPr>
            <w:r w:rsidRPr="00DB5D0D">
              <w:rPr>
                <w:color w:val="000000" w:themeColor="text1"/>
              </w:rPr>
              <w:t>34.30.010-1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5DDCF2E1" w14:textId="77777777" w:rsidR="00A25AD1" w:rsidRPr="00DB5D0D" w:rsidRDefault="00A25AD1" w:rsidP="00DB5D0D">
            <w:pPr>
              <w:pStyle w:val="a3"/>
              <w:rPr>
                <w:color w:val="000000" w:themeColor="text1"/>
              </w:rPr>
            </w:pPr>
            <w:r w:rsidRPr="00DB5D0D">
              <w:rPr>
                <w:color w:val="000000" w:themeColor="text1"/>
              </w:rPr>
              <w:t>34.30.010-1</w:t>
            </w:r>
          </w:p>
        </w:tc>
      </w:tr>
      <w:tr w:rsidR="007D5DF8" w:rsidRPr="00DB5D0D" w14:paraId="0529311C" w14:textId="77777777" w:rsidTr="009223E5">
        <w:trPr>
          <w:trHeight w:val="187"/>
        </w:trPr>
        <w:tc>
          <w:tcPr>
            <w:tcW w:w="2582" w:type="dxa"/>
            <w:tcBorders>
              <w:top w:val="single" w:sz="6" w:space="0" w:color="auto"/>
              <w:left w:val="single" w:sz="6" w:space="0" w:color="auto"/>
              <w:bottom w:val="single" w:sz="6" w:space="0" w:color="auto"/>
              <w:right w:val="single" w:sz="6" w:space="0" w:color="auto"/>
            </w:tcBorders>
            <w:shd w:val="clear" w:color="auto" w:fill="FFFFFF"/>
          </w:tcPr>
          <w:p w14:paraId="486378A3" w14:textId="77777777" w:rsidR="00A25AD1" w:rsidRPr="00DB5D0D" w:rsidRDefault="00A25AD1" w:rsidP="00DB5D0D">
            <w:pPr>
              <w:pStyle w:val="a3"/>
              <w:rPr>
                <w:color w:val="000000" w:themeColor="text1"/>
              </w:rPr>
            </w:pPr>
            <w:r w:rsidRPr="00DB5D0D">
              <w:rPr>
                <w:color w:val="000000" w:themeColor="text1"/>
              </w:rPr>
              <w:t>Дверка ниши башни</w:t>
            </w:r>
          </w:p>
        </w:tc>
        <w:tc>
          <w:tcPr>
            <w:tcW w:w="2746" w:type="dxa"/>
            <w:tcBorders>
              <w:top w:val="single" w:sz="6" w:space="0" w:color="auto"/>
              <w:left w:val="single" w:sz="6" w:space="0" w:color="auto"/>
              <w:bottom w:val="single" w:sz="6" w:space="0" w:color="auto"/>
              <w:right w:val="single" w:sz="6" w:space="0" w:color="auto"/>
            </w:tcBorders>
            <w:shd w:val="clear" w:color="auto" w:fill="FFFFFF"/>
          </w:tcPr>
          <w:p w14:paraId="2B17EA99" w14:textId="77777777" w:rsidR="00A25AD1" w:rsidRPr="00DB5D0D" w:rsidRDefault="00A25AD1" w:rsidP="00DB5D0D">
            <w:pPr>
              <w:pStyle w:val="a3"/>
              <w:rPr>
                <w:color w:val="000000" w:themeColor="text1"/>
              </w:rPr>
            </w:pPr>
            <w:r w:rsidRPr="00DB5D0D">
              <w:rPr>
                <w:color w:val="000000" w:themeColor="text1"/>
              </w:rPr>
              <w:t>34.30.011</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4F8FA83A" w14:textId="77777777" w:rsidR="00A25AD1" w:rsidRPr="00DB5D0D" w:rsidRDefault="00A25AD1" w:rsidP="00DB5D0D">
            <w:pPr>
              <w:pStyle w:val="a3"/>
              <w:rPr>
                <w:color w:val="000000" w:themeColor="text1"/>
              </w:rPr>
            </w:pPr>
            <w:r w:rsidRPr="00DB5D0D">
              <w:rPr>
                <w:color w:val="000000" w:themeColor="text1"/>
              </w:rPr>
              <w:t>34.30.011-1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55359F32" w14:textId="77777777" w:rsidR="00A25AD1" w:rsidRPr="00DB5D0D" w:rsidRDefault="00A25AD1" w:rsidP="00DB5D0D">
            <w:pPr>
              <w:pStyle w:val="a3"/>
              <w:rPr>
                <w:color w:val="000000" w:themeColor="text1"/>
              </w:rPr>
            </w:pPr>
            <w:r w:rsidRPr="00DB5D0D">
              <w:rPr>
                <w:color w:val="000000" w:themeColor="text1"/>
              </w:rPr>
              <w:t>34.30.011-2</w:t>
            </w:r>
          </w:p>
        </w:tc>
      </w:tr>
      <w:tr w:rsidR="007D5DF8" w:rsidRPr="00DB5D0D" w14:paraId="5DC6AA33" w14:textId="77777777" w:rsidTr="009223E5">
        <w:trPr>
          <w:trHeight w:val="202"/>
        </w:trPr>
        <w:tc>
          <w:tcPr>
            <w:tcW w:w="2582" w:type="dxa"/>
            <w:tcBorders>
              <w:top w:val="single" w:sz="6" w:space="0" w:color="auto"/>
              <w:left w:val="single" w:sz="6" w:space="0" w:color="auto"/>
              <w:bottom w:val="single" w:sz="6" w:space="0" w:color="auto"/>
              <w:right w:val="single" w:sz="6" w:space="0" w:color="auto"/>
            </w:tcBorders>
            <w:shd w:val="clear" w:color="auto" w:fill="FFFFFF"/>
          </w:tcPr>
          <w:p w14:paraId="184DC0E3" w14:textId="77777777" w:rsidR="00A25AD1" w:rsidRPr="00DB5D0D" w:rsidRDefault="00A25AD1" w:rsidP="00DB5D0D">
            <w:pPr>
              <w:pStyle w:val="a3"/>
              <w:rPr>
                <w:color w:val="000000" w:themeColor="text1"/>
              </w:rPr>
            </w:pPr>
            <w:r w:rsidRPr="00DB5D0D">
              <w:rPr>
                <w:color w:val="000000" w:themeColor="text1"/>
              </w:rPr>
              <w:t>Задний лист крыши башни</w:t>
            </w:r>
          </w:p>
        </w:tc>
        <w:tc>
          <w:tcPr>
            <w:tcW w:w="2746" w:type="dxa"/>
            <w:tcBorders>
              <w:top w:val="single" w:sz="6" w:space="0" w:color="auto"/>
              <w:left w:val="single" w:sz="6" w:space="0" w:color="auto"/>
              <w:bottom w:val="single" w:sz="6" w:space="0" w:color="auto"/>
              <w:right w:val="single" w:sz="6" w:space="0" w:color="auto"/>
            </w:tcBorders>
            <w:shd w:val="clear" w:color="auto" w:fill="FFFFFF"/>
          </w:tcPr>
          <w:p w14:paraId="79ED8367" w14:textId="77777777" w:rsidR="00A25AD1" w:rsidRPr="00DB5D0D" w:rsidRDefault="00A25AD1" w:rsidP="00DB5D0D">
            <w:pPr>
              <w:pStyle w:val="a3"/>
              <w:rPr>
                <w:color w:val="000000" w:themeColor="text1"/>
              </w:rPr>
            </w:pPr>
            <w:r w:rsidRPr="00DB5D0D">
              <w:rPr>
                <w:color w:val="000000" w:themeColor="text1"/>
              </w:rPr>
              <w:t>34.30.017</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27D6F670" w14:textId="77777777" w:rsidR="00A25AD1" w:rsidRPr="00DB5D0D" w:rsidRDefault="00A25AD1" w:rsidP="00DB5D0D">
            <w:pPr>
              <w:pStyle w:val="a3"/>
              <w:rPr>
                <w:color w:val="000000" w:themeColor="text1"/>
              </w:rPr>
            </w:pPr>
            <w:r w:rsidRPr="00DB5D0D">
              <w:rPr>
                <w:color w:val="000000" w:themeColor="text1"/>
              </w:rPr>
              <w:t>34.30.017-1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7CB8EF71" w14:textId="77777777" w:rsidR="00A25AD1" w:rsidRPr="00DB5D0D" w:rsidRDefault="00A25AD1" w:rsidP="00DB5D0D">
            <w:pPr>
              <w:pStyle w:val="a3"/>
              <w:rPr>
                <w:color w:val="000000" w:themeColor="text1"/>
              </w:rPr>
            </w:pPr>
            <w:r w:rsidRPr="00DB5D0D">
              <w:rPr>
                <w:color w:val="000000" w:themeColor="text1"/>
              </w:rPr>
              <w:t>34.30.017-1</w:t>
            </w:r>
          </w:p>
        </w:tc>
      </w:tr>
      <w:tr w:rsidR="007D5DF8" w:rsidRPr="00DB5D0D" w14:paraId="733B50F3" w14:textId="77777777" w:rsidTr="009223E5">
        <w:trPr>
          <w:trHeight w:val="192"/>
        </w:trPr>
        <w:tc>
          <w:tcPr>
            <w:tcW w:w="2582" w:type="dxa"/>
            <w:tcBorders>
              <w:top w:val="single" w:sz="6" w:space="0" w:color="auto"/>
              <w:left w:val="single" w:sz="6" w:space="0" w:color="auto"/>
              <w:bottom w:val="single" w:sz="6" w:space="0" w:color="auto"/>
              <w:right w:val="nil"/>
            </w:tcBorders>
            <w:shd w:val="clear" w:color="auto" w:fill="FFFFFF"/>
          </w:tcPr>
          <w:p w14:paraId="297C52F3" w14:textId="77777777" w:rsidR="00A25AD1" w:rsidRPr="00DB5D0D" w:rsidRDefault="00A25AD1" w:rsidP="00DB5D0D">
            <w:pPr>
              <w:pStyle w:val="a3"/>
              <w:rPr>
                <w:color w:val="000000" w:themeColor="text1"/>
              </w:rPr>
            </w:pPr>
            <w:r w:rsidRPr="00DB5D0D">
              <w:rPr>
                <w:color w:val="000000" w:themeColor="text1"/>
              </w:rPr>
              <w:t>Правый лист башни</w:t>
            </w:r>
          </w:p>
        </w:tc>
        <w:tc>
          <w:tcPr>
            <w:tcW w:w="2746" w:type="dxa"/>
            <w:tcBorders>
              <w:top w:val="single" w:sz="6" w:space="0" w:color="auto"/>
              <w:left w:val="nil"/>
              <w:bottom w:val="single" w:sz="6" w:space="0" w:color="auto"/>
              <w:right w:val="single" w:sz="6" w:space="0" w:color="auto"/>
            </w:tcBorders>
            <w:shd w:val="clear" w:color="auto" w:fill="FFFFFF"/>
          </w:tcPr>
          <w:p w14:paraId="218707C0" w14:textId="77777777" w:rsidR="00A25AD1" w:rsidRPr="00DB5D0D" w:rsidRDefault="00A25AD1" w:rsidP="00DB5D0D">
            <w:pPr>
              <w:pStyle w:val="a3"/>
              <w:rPr>
                <w:color w:val="000000" w:themeColor="text1"/>
              </w:rPr>
            </w:pPr>
            <w:r w:rsidRPr="00DB5D0D">
              <w:rPr>
                <w:color w:val="000000" w:themeColor="text1"/>
              </w:rPr>
              <w:t>34.30.018</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54411190" w14:textId="77777777" w:rsidR="00A25AD1" w:rsidRPr="00DB5D0D" w:rsidRDefault="00A25AD1" w:rsidP="00DB5D0D">
            <w:pPr>
              <w:pStyle w:val="a3"/>
              <w:rPr>
                <w:color w:val="000000" w:themeColor="text1"/>
              </w:rPr>
            </w:pPr>
            <w:r w:rsidRPr="00DB5D0D">
              <w:rPr>
                <w:color w:val="000000" w:themeColor="text1"/>
              </w:rPr>
              <w:t>34.30.018-1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5F4B9FB8" w14:textId="77777777" w:rsidR="00A25AD1" w:rsidRPr="00DB5D0D" w:rsidRDefault="00A25AD1" w:rsidP="00DB5D0D">
            <w:pPr>
              <w:pStyle w:val="a3"/>
              <w:rPr>
                <w:color w:val="000000" w:themeColor="text1"/>
              </w:rPr>
            </w:pPr>
            <w:r w:rsidRPr="00DB5D0D">
              <w:rPr>
                <w:color w:val="000000" w:themeColor="text1"/>
              </w:rPr>
              <w:t>34.30.018-2</w:t>
            </w:r>
          </w:p>
        </w:tc>
      </w:tr>
      <w:tr w:rsidR="007D5DF8" w:rsidRPr="00DB5D0D" w14:paraId="721248E1" w14:textId="77777777" w:rsidTr="009223E5">
        <w:trPr>
          <w:trHeight w:val="197"/>
        </w:trPr>
        <w:tc>
          <w:tcPr>
            <w:tcW w:w="2582" w:type="dxa"/>
            <w:tcBorders>
              <w:top w:val="single" w:sz="6" w:space="0" w:color="auto"/>
              <w:left w:val="single" w:sz="6" w:space="0" w:color="auto"/>
              <w:bottom w:val="single" w:sz="6" w:space="0" w:color="auto"/>
              <w:right w:val="nil"/>
            </w:tcBorders>
            <w:shd w:val="clear" w:color="auto" w:fill="FFFFFF"/>
          </w:tcPr>
          <w:p w14:paraId="459D64D3" w14:textId="77777777" w:rsidR="00A25AD1" w:rsidRPr="00DB5D0D" w:rsidRDefault="00A25AD1" w:rsidP="00DB5D0D">
            <w:pPr>
              <w:pStyle w:val="a3"/>
              <w:rPr>
                <w:color w:val="000000" w:themeColor="text1"/>
              </w:rPr>
            </w:pPr>
            <w:r w:rsidRPr="00DB5D0D">
              <w:rPr>
                <w:color w:val="000000" w:themeColor="text1"/>
              </w:rPr>
              <w:t>Правый лист башни</w:t>
            </w:r>
          </w:p>
        </w:tc>
        <w:tc>
          <w:tcPr>
            <w:tcW w:w="2746" w:type="dxa"/>
            <w:tcBorders>
              <w:top w:val="single" w:sz="6" w:space="0" w:color="auto"/>
              <w:left w:val="nil"/>
              <w:bottom w:val="single" w:sz="6" w:space="0" w:color="auto"/>
              <w:right w:val="single" w:sz="6" w:space="0" w:color="auto"/>
            </w:tcBorders>
            <w:shd w:val="clear" w:color="auto" w:fill="FFFFFF"/>
          </w:tcPr>
          <w:p w14:paraId="4231D7E1" w14:textId="77777777" w:rsidR="00A25AD1" w:rsidRPr="00DB5D0D" w:rsidRDefault="00A25AD1" w:rsidP="00DB5D0D">
            <w:pPr>
              <w:pStyle w:val="a3"/>
              <w:rPr>
                <w:color w:val="000000" w:themeColor="text1"/>
              </w:rPr>
            </w:pPr>
            <w:r w:rsidRPr="00DB5D0D">
              <w:rPr>
                <w:color w:val="000000" w:themeColor="text1"/>
              </w:rPr>
              <w:t>34.30.019</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0D33BBCB" w14:textId="77777777" w:rsidR="00A25AD1" w:rsidRPr="00DB5D0D" w:rsidRDefault="00A25AD1" w:rsidP="00DB5D0D">
            <w:pPr>
              <w:pStyle w:val="a3"/>
              <w:rPr>
                <w:color w:val="000000" w:themeColor="text1"/>
              </w:rPr>
            </w:pPr>
            <w:r w:rsidRPr="00DB5D0D">
              <w:rPr>
                <w:color w:val="000000" w:themeColor="text1"/>
              </w:rPr>
              <w:t>34.30.019-1</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14B80130" w14:textId="77777777" w:rsidR="00A25AD1" w:rsidRPr="00DB5D0D" w:rsidRDefault="00A25AD1" w:rsidP="00DB5D0D">
            <w:pPr>
              <w:pStyle w:val="a3"/>
              <w:rPr>
                <w:color w:val="000000" w:themeColor="text1"/>
              </w:rPr>
            </w:pPr>
            <w:r w:rsidRPr="00DB5D0D">
              <w:rPr>
                <w:color w:val="000000" w:themeColor="text1"/>
              </w:rPr>
              <w:t>34.30.019-2</w:t>
            </w:r>
          </w:p>
        </w:tc>
      </w:tr>
      <w:tr w:rsidR="007D5DF8" w:rsidRPr="00DB5D0D" w14:paraId="68297123" w14:textId="77777777" w:rsidTr="009223E5">
        <w:trPr>
          <w:trHeight w:val="206"/>
        </w:trPr>
        <w:tc>
          <w:tcPr>
            <w:tcW w:w="2582" w:type="dxa"/>
            <w:tcBorders>
              <w:top w:val="single" w:sz="6" w:space="0" w:color="auto"/>
              <w:left w:val="single" w:sz="6" w:space="0" w:color="auto"/>
              <w:bottom w:val="single" w:sz="6" w:space="0" w:color="auto"/>
              <w:right w:val="nil"/>
            </w:tcBorders>
            <w:shd w:val="clear" w:color="auto" w:fill="FFFFFF"/>
          </w:tcPr>
          <w:p w14:paraId="4282D3A7" w14:textId="77777777" w:rsidR="00A25AD1" w:rsidRPr="00DB5D0D" w:rsidRDefault="00A25AD1" w:rsidP="00DB5D0D">
            <w:pPr>
              <w:pStyle w:val="a3"/>
              <w:rPr>
                <w:color w:val="000000" w:themeColor="text1"/>
              </w:rPr>
            </w:pPr>
            <w:r w:rsidRPr="00DB5D0D">
              <w:rPr>
                <w:color w:val="000000" w:themeColor="text1"/>
              </w:rPr>
              <w:t>Основания смотрового прибора</w:t>
            </w:r>
          </w:p>
        </w:tc>
        <w:tc>
          <w:tcPr>
            <w:tcW w:w="2746" w:type="dxa"/>
            <w:tcBorders>
              <w:top w:val="single" w:sz="6" w:space="0" w:color="auto"/>
              <w:left w:val="nil"/>
              <w:bottom w:val="single" w:sz="6" w:space="0" w:color="auto"/>
              <w:right w:val="single" w:sz="6" w:space="0" w:color="auto"/>
            </w:tcBorders>
            <w:shd w:val="clear" w:color="auto" w:fill="FFFFFF"/>
          </w:tcPr>
          <w:p w14:paraId="2FFE8782" w14:textId="77777777" w:rsidR="00A25AD1" w:rsidRPr="00DB5D0D" w:rsidRDefault="00A25AD1" w:rsidP="00DB5D0D">
            <w:pPr>
              <w:pStyle w:val="a3"/>
              <w:rPr>
                <w:color w:val="000000" w:themeColor="text1"/>
              </w:rPr>
            </w:pPr>
            <w:r w:rsidRPr="00DB5D0D">
              <w:rPr>
                <w:color w:val="000000" w:themeColor="text1"/>
              </w:rPr>
              <w:t>34.30.051 (2 шт.)</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14:paraId="52A157E6" w14:textId="77777777" w:rsidR="00A25AD1" w:rsidRPr="00DB5D0D" w:rsidRDefault="00A25AD1" w:rsidP="00DB5D0D">
            <w:pPr>
              <w:pStyle w:val="a3"/>
              <w:rPr>
                <w:color w:val="000000" w:themeColor="text1"/>
              </w:rPr>
            </w:pPr>
            <w:r w:rsidRPr="00DB5D0D">
              <w:rPr>
                <w:color w:val="000000" w:themeColor="text1"/>
              </w:rPr>
              <w:t>34.30.183; 34.30.184</w:t>
            </w:r>
          </w:p>
        </w:tc>
        <w:tc>
          <w:tcPr>
            <w:tcW w:w="2419" w:type="dxa"/>
            <w:tcBorders>
              <w:top w:val="single" w:sz="6" w:space="0" w:color="auto"/>
              <w:left w:val="single" w:sz="6" w:space="0" w:color="auto"/>
              <w:bottom w:val="single" w:sz="6" w:space="0" w:color="auto"/>
              <w:right w:val="single" w:sz="6" w:space="0" w:color="auto"/>
            </w:tcBorders>
            <w:shd w:val="clear" w:color="auto" w:fill="FFFFFF"/>
          </w:tcPr>
          <w:p w14:paraId="12B5EBF2" w14:textId="77777777" w:rsidR="00A25AD1" w:rsidRPr="00DB5D0D" w:rsidRDefault="00A25AD1" w:rsidP="00DB5D0D">
            <w:pPr>
              <w:pStyle w:val="a3"/>
              <w:rPr>
                <w:color w:val="000000" w:themeColor="text1"/>
              </w:rPr>
            </w:pPr>
            <w:r w:rsidRPr="00DB5D0D">
              <w:rPr>
                <w:color w:val="000000" w:themeColor="text1"/>
              </w:rPr>
              <w:t>34.30.183; 34.30.184</w:t>
            </w:r>
          </w:p>
        </w:tc>
      </w:tr>
    </w:tbl>
    <w:p w14:paraId="18E63DD5" w14:textId="77777777" w:rsidR="00A25AD1" w:rsidRPr="00DB5D0D" w:rsidRDefault="00A25AD1" w:rsidP="00DB5D0D">
      <w:pPr>
        <w:pStyle w:val="a3"/>
        <w:rPr>
          <w:color w:val="000000" w:themeColor="text1"/>
          <w:lang w:val="ru-RU"/>
        </w:rPr>
      </w:pPr>
      <w:r w:rsidRPr="00DB5D0D">
        <w:rPr>
          <w:color w:val="000000" w:themeColor="text1"/>
          <w:lang w:val="ru-RU"/>
        </w:rPr>
        <w:t>(11903).</w:t>
      </w:r>
    </w:p>
    <w:p w14:paraId="53DEE05B" w14:textId="77777777" w:rsidR="00A25AD1" w:rsidRPr="00DB5D0D" w:rsidRDefault="00A25AD1" w:rsidP="00DB5D0D">
      <w:pPr>
        <w:pStyle w:val="a3"/>
        <w:rPr>
          <w:color w:val="000000" w:themeColor="text1"/>
          <w:lang w:val="ru-RU"/>
        </w:rPr>
      </w:pPr>
    </w:p>
    <w:p w14:paraId="2851E3F1" w14:textId="77777777" w:rsidR="00A25AD1" w:rsidRPr="00DB5D0D" w:rsidRDefault="00A25AD1" w:rsidP="00DB5D0D">
      <w:pPr>
        <w:pStyle w:val="a3"/>
        <w:rPr>
          <w:color w:val="000000" w:themeColor="text1"/>
          <w:lang w:val="ru-RU"/>
        </w:rPr>
      </w:pPr>
      <w:r w:rsidRPr="00DB5D0D">
        <w:rPr>
          <w:color w:val="000000" w:themeColor="text1"/>
          <w:lang w:val="ru-RU"/>
        </w:rPr>
        <w:t>В начале июня 1940 г. Г.И. Зухер составил справку-отзыв:</w:t>
      </w:r>
    </w:p>
    <w:p w14:paraId="68A26911"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Style w:val="123"/>
          <w:rFonts w:ascii="Times New Roman" w:hAnsi="Times New Roman" w:cs="Times New Roman"/>
          <w:color w:val="000000" w:themeColor="text1"/>
          <w:lang w:val="ru-RU"/>
        </w:rPr>
        <w:t>Справка-отзыв.</w:t>
      </w:r>
    </w:p>
    <w:p w14:paraId="39A5AD2F" w14:textId="77777777" w:rsidR="00A25AD1" w:rsidRPr="00DB5D0D" w:rsidRDefault="00A25AD1" w:rsidP="00DB5D0D">
      <w:pPr>
        <w:pStyle w:val="1210"/>
        <w:shd w:val="clear" w:color="auto" w:fill="auto"/>
        <w:tabs>
          <w:tab w:val="left" w:pos="506"/>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noProof w:val="0"/>
          <w:color w:val="000000" w:themeColor="text1"/>
          <w:lang w:val="ru-RU"/>
        </w:rPr>
        <w:t xml:space="preserve">- </w:t>
      </w:r>
      <w:r w:rsidRPr="00DB5D0D">
        <w:rPr>
          <w:rFonts w:ascii="Times New Roman" w:hAnsi="Times New Roman" w:cs="Times New Roman"/>
          <w:i w:val="0"/>
          <w:iCs w:val="0"/>
          <w:color w:val="000000" w:themeColor="text1"/>
          <w:lang w:val="ru-RU"/>
        </w:rPr>
        <w:t>Ориентировать выполнение программы на предлагаемый спо</w:t>
      </w:r>
      <w:r w:rsidRPr="00DB5D0D">
        <w:rPr>
          <w:rFonts w:ascii="Times New Roman" w:hAnsi="Times New Roman" w:cs="Times New Roman"/>
          <w:i w:val="0"/>
          <w:iCs w:val="0"/>
          <w:color w:val="000000" w:themeColor="text1"/>
          <w:lang w:val="ru-RU"/>
        </w:rPr>
        <w:softHyphen/>
        <w:t>соб штамповки нельзя, т.к. это еще не опробовано ни в какой мере.</w:t>
      </w:r>
    </w:p>
    <w:p w14:paraId="23F1AF28" w14:textId="77777777" w:rsidR="00A25AD1" w:rsidRPr="00DB5D0D" w:rsidRDefault="00A25AD1" w:rsidP="00DB5D0D">
      <w:pPr>
        <w:pStyle w:val="1210"/>
        <w:shd w:val="clear" w:color="auto" w:fill="auto"/>
        <w:tabs>
          <w:tab w:val="left" w:pos="554"/>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noProof w:val="0"/>
          <w:color w:val="000000" w:themeColor="text1"/>
          <w:lang w:val="ru-RU"/>
        </w:rPr>
        <w:t xml:space="preserve">- </w:t>
      </w:r>
      <w:r w:rsidRPr="00DB5D0D">
        <w:rPr>
          <w:rFonts w:ascii="Times New Roman" w:hAnsi="Times New Roman" w:cs="Times New Roman"/>
          <w:i w:val="0"/>
          <w:iCs w:val="0"/>
          <w:color w:val="000000" w:themeColor="text1"/>
          <w:lang w:val="ru-RU"/>
        </w:rPr>
        <w:t>15000 пресс на Заводе имеется, новый, ковочный. Возмож</w:t>
      </w:r>
      <w:r w:rsidRPr="00DB5D0D">
        <w:rPr>
          <w:rFonts w:ascii="Times New Roman" w:hAnsi="Times New Roman" w:cs="Times New Roman"/>
          <w:i w:val="0"/>
          <w:iCs w:val="0"/>
          <w:color w:val="000000" w:themeColor="text1"/>
          <w:lang w:val="ru-RU"/>
        </w:rPr>
        <w:softHyphen/>
        <w:t>ность штамповки не отработана, но при правильном центрировании штампа, очевидно, штамповка будет возможна.</w:t>
      </w:r>
    </w:p>
    <w:p w14:paraId="09D94529" w14:textId="77777777" w:rsidR="00A25AD1" w:rsidRPr="00DB5D0D" w:rsidRDefault="00A25AD1" w:rsidP="00DB5D0D">
      <w:pPr>
        <w:pStyle w:val="1210"/>
        <w:shd w:val="clear" w:color="auto" w:fill="auto"/>
        <w:tabs>
          <w:tab w:val="left" w:pos="52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noProof w:val="0"/>
          <w:color w:val="000000" w:themeColor="text1"/>
          <w:lang w:val="ru-RU"/>
        </w:rPr>
        <w:t xml:space="preserve">- </w:t>
      </w:r>
      <w:r w:rsidRPr="00DB5D0D">
        <w:rPr>
          <w:rFonts w:ascii="Times New Roman" w:hAnsi="Times New Roman" w:cs="Times New Roman"/>
          <w:i w:val="0"/>
          <w:iCs w:val="0"/>
          <w:color w:val="000000" w:themeColor="text1"/>
          <w:lang w:val="ru-RU"/>
        </w:rPr>
        <w:t>Приведенная цифра производительности 150 комплектов за трое суток возможна, т.к. сейчас на 3000 прессе при штамповке нынешней конструкции носа при несовершенном креплении и про</w:t>
      </w:r>
      <w:r w:rsidRPr="00DB5D0D">
        <w:rPr>
          <w:rFonts w:ascii="Times New Roman" w:hAnsi="Times New Roman" w:cs="Times New Roman"/>
          <w:i w:val="0"/>
          <w:iCs w:val="0"/>
          <w:color w:val="000000" w:themeColor="text1"/>
          <w:lang w:val="ru-RU"/>
        </w:rPr>
        <w:softHyphen/>
        <w:t>екте штампа (давление не центрально ввиду недостаточной высоты между траверсами) - получается до 10 штамповок за смену или за трое суток 10 х 3 х 3 = 90 штамповок.</w:t>
      </w:r>
    </w:p>
    <w:p w14:paraId="6F3EEF23" w14:textId="77777777" w:rsidR="00A25AD1" w:rsidRPr="00DB5D0D" w:rsidRDefault="00A25AD1" w:rsidP="00DB5D0D">
      <w:pPr>
        <w:pStyle w:val="1210"/>
        <w:shd w:val="clear" w:color="auto" w:fill="auto"/>
        <w:tabs>
          <w:tab w:val="left" w:pos="51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noProof w:val="0"/>
          <w:color w:val="000000" w:themeColor="text1"/>
          <w:lang w:val="ru-RU"/>
        </w:rPr>
        <w:t xml:space="preserve">- </w:t>
      </w:r>
      <w:r w:rsidRPr="00DB5D0D">
        <w:rPr>
          <w:rFonts w:ascii="Times New Roman" w:hAnsi="Times New Roman" w:cs="Times New Roman"/>
          <w:i w:val="0"/>
          <w:iCs w:val="0"/>
          <w:color w:val="000000" w:themeColor="text1"/>
          <w:lang w:val="ru-RU"/>
        </w:rPr>
        <w:t>Эксперименты по приведенному предложению следует орга</w:t>
      </w:r>
      <w:r w:rsidRPr="00DB5D0D">
        <w:rPr>
          <w:rFonts w:ascii="Times New Roman" w:hAnsi="Times New Roman" w:cs="Times New Roman"/>
          <w:i w:val="0"/>
          <w:iCs w:val="0"/>
          <w:color w:val="000000" w:themeColor="text1"/>
          <w:lang w:val="ru-RU"/>
        </w:rPr>
        <w:softHyphen/>
        <w:t>низовать, но при этом следует учесть следующие коренные недо</w:t>
      </w:r>
      <w:r w:rsidRPr="00DB5D0D">
        <w:rPr>
          <w:rFonts w:ascii="Times New Roman" w:hAnsi="Times New Roman" w:cs="Times New Roman"/>
          <w:i w:val="0"/>
          <w:iCs w:val="0"/>
          <w:color w:val="000000" w:themeColor="text1"/>
          <w:lang w:val="ru-RU"/>
        </w:rPr>
        <w:softHyphen/>
        <w:t>статки:</w:t>
      </w:r>
    </w:p>
    <w:p w14:paraId="5C690939"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а. Задолженность пресса сейчас (при изготовлении штампован</w:t>
      </w:r>
      <w:r w:rsidRPr="00DB5D0D">
        <w:rPr>
          <w:rFonts w:ascii="Times New Roman" w:hAnsi="Times New Roman" w:cs="Times New Roman"/>
          <w:i w:val="0"/>
          <w:iCs w:val="0"/>
          <w:color w:val="000000" w:themeColor="text1"/>
          <w:lang w:val="ru-RU"/>
        </w:rPr>
        <w:softHyphen/>
        <w:t>ного носа) слагается:</w:t>
      </w:r>
    </w:p>
    <w:p w14:paraId="4493C51F"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штамповка - около 1 часа на 1 шт.</w:t>
      </w:r>
    </w:p>
    <w:p w14:paraId="73FE01F0" w14:textId="77777777" w:rsidR="00A25AD1" w:rsidRPr="00DB5D0D" w:rsidRDefault="00A25AD1" w:rsidP="00DB5D0D">
      <w:pPr>
        <w:pStyle w:val="1210"/>
        <w:shd w:val="clear" w:color="auto" w:fill="auto"/>
        <w:tabs>
          <w:tab w:val="left" w:pos="579"/>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1-яправка перед мехобработкой - около 8 часов на 1 шт.</w:t>
      </w:r>
    </w:p>
    <w:p w14:paraId="729D3F8F" w14:textId="77777777" w:rsidR="00A25AD1" w:rsidRPr="00DB5D0D" w:rsidRDefault="00A25AD1" w:rsidP="00DB5D0D">
      <w:pPr>
        <w:pStyle w:val="1210"/>
        <w:shd w:val="clear" w:color="auto" w:fill="auto"/>
        <w:tabs>
          <w:tab w:val="left" w:pos="611"/>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2-яправка после окончательной термообработки - около 8 ча</w:t>
      </w:r>
      <w:r w:rsidRPr="00DB5D0D">
        <w:rPr>
          <w:rFonts w:ascii="Times New Roman" w:hAnsi="Times New Roman" w:cs="Times New Roman"/>
          <w:i w:val="0"/>
          <w:iCs w:val="0"/>
          <w:color w:val="000000" w:themeColor="text1"/>
          <w:lang w:val="ru-RU"/>
        </w:rPr>
        <w:softHyphen/>
        <w:t>сов на 1 шт.</w:t>
      </w:r>
    </w:p>
    <w:p w14:paraId="159C3608"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Приведенным предложением несколько сократится время на штамповку, но сильно усложнится правка, т.к. сейчас при прямых ветвях носа правку можно производить комбинированно и под прессом и в вальцах, а при предлагаемой конструкции как пра</w:t>
      </w:r>
      <w:r w:rsidRPr="00DB5D0D">
        <w:rPr>
          <w:rFonts w:ascii="Times New Roman" w:hAnsi="Times New Roman" w:cs="Times New Roman"/>
          <w:i w:val="0"/>
          <w:iCs w:val="0"/>
          <w:color w:val="000000" w:themeColor="text1"/>
          <w:lang w:val="ru-RU"/>
        </w:rPr>
        <w:softHyphen/>
        <w:t>вить? А поводка будет обязательно - будут разводиться отогну</w:t>
      </w:r>
      <w:r w:rsidRPr="00DB5D0D">
        <w:rPr>
          <w:rFonts w:ascii="Times New Roman" w:hAnsi="Times New Roman" w:cs="Times New Roman"/>
          <w:i w:val="0"/>
          <w:iCs w:val="0"/>
          <w:color w:val="000000" w:themeColor="text1"/>
          <w:lang w:val="ru-RU"/>
        </w:rPr>
        <w:softHyphen/>
        <w:t>тые края для подкрылков, будет разводить нижнюю ветвь носа. А как подгибать, если штамповка имеет отогнутые края, да еще толщину 45 мм и твердость 2,9-3,0. Все это приведет к усложне</w:t>
      </w:r>
      <w:r w:rsidRPr="00DB5D0D">
        <w:rPr>
          <w:rFonts w:ascii="Times New Roman" w:hAnsi="Times New Roman" w:cs="Times New Roman"/>
          <w:i w:val="0"/>
          <w:iCs w:val="0"/>
          <w:color w:val="000000" w:themeColor="text1"/>
          <w:lang w:val="ru-RU"/>
        </w:rPr>
        <w:softHyphen/>
        <w:t>нию сборки на заводе 183.</w:t>
      </w:r>
    </w:p>
    <w:p w14:paraId="24D185BC"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в. В приведенном виде штамповки будут иметь место сильные утонения, особенно в месте выштамповки пулеметного гнезда и над- лобника для водителя.</w:t>
      </w:r>
    </w:p>
    <w:p w14:paraId="150432F3"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с. Сильно усложняется мехобработка - фрезерование гнезд для смотровых приборов; гнезда для петли; опорных плоскостей в окне люка; расточка фланца пулеметного гнезда.</w:t>
      </w:r>
    </w:p>
    <w:p w14:paraId="5D2349D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noProof w:val="0"/>
          <w:color w:val="000000" w:themeColor="text1"/>
          <w:lang w:val="ru-RU"/>
        </w:rPr>
      </w:pPr>
      <w:r w:rsidRPr="00DB5D0D">
        <w:rPr>
          <w:rFonts w:ascii="Times New Roman" w:hAnsi="Times New Roman" w:cs="Times New Roman"/>
          <w:i w:val="0"/>
          <w:iCs w:val="0"/>
          <w:color w:val="000000" w:themeColor="text1"/>
          <w:lang w:val="ru-RU"/>
        </w:rPr>
        <w:t>Военинженер 2-го ранга (Зухер). [РГВА. Ф.31811. Оп.2. Д. 1176. Л. 119</w:t>
      </w:r>
      <w:r w:rsidRPr="00DB5D0D">
        <w:rPr>
          <w:rFonts w:ascii="Times New Roman" w:hAnsi="Times New Roman" w:cs="Times New Roman"/>
          <w:i w:val="0"/>
          <w:color w:val="000000" w:themeColor="text1"/>
          <w:lang w:val="ru-RU"/>
        </w:rPr>
        <w:t>.</w:t>
      </w:r>
      <w:r w:rsidRPr="00DB5D0D">
        <w:rPr>
          <w:rFonts w:ascii="Times New Roman" w:hAnsi="Times New Roman" w:cs="Times New Roman"/>
          <w:i w:val="0"/>
          <w:iCs w:val="0"/>
          <w:color w:val="000000" w:themeColor="text1"/>
          <w:lang w:val="ru-RU"/>
        </w:rPr>
        <w:t>]</w:t>
      </w:r>
      <w:r w:rsidRPr="00DB5D0D">
        <w:rPr>
          <w:rFonts w:ascii="Times New Roman" w:hAnsi="Times New Roman" w:cs="Times New Roman"/>
          <w:i w:val="0"/>
          <w:iCs w:val="0"/>
          <w:noProof w:val="0"/>
          <w:color w:val="000000" w:themeColor="text1"/>
          <w:lang w:val="ru-RU"/>
        </w:rPr>
        <w:t xml:space="preserve"> (11903).</w:t>
      </w:r>
    </w:p>
    <w:p w14:paraId="2DD5052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p>
    <w:p w14:paraId="6033F559" w14:textId="77777777" w:rsidR="00A25AD1" w:rsidRPr="00DB5D0D" w:rsidRDefault="00A25AD1" w:rsidP="00DB5D0D">
      <w:pPr>
        <w:pStyle w:val="a3"/>
        <w:rPr>
          <w:color w:val="000000" w:themeColor="text1"/>
          <w:lang w:val="ru-RU"/>
        </w:rPr>
      </w:pPr>
      <w:r w:rsidRPr="00DB5D0D">
        <w:rPr>
          <w:color w:val="000000" w:themeColor="text1"/>
          <w:lang w:val="ru-RU"/>
        </w:rPr>
        <w:t>В начале июня 1940 от АБТУ пришел ответ с указанием устанав</w:t>
      </w:r>
      <w:r w:rsidRPr="00DB5D0D">
        <w:rPr>
          <w:color w:val="000000" w:themeColor="text1"/>
          <w:lang w:val="ru-RU"/>
        </w:rPr>
        <w:softHyphen/>
        <w:t>ливать механическое сервоуправление на машины установоч</w:t>
      </w:r>
      <w:r w:rsidRPr="00DB5D0D">
        <w:rPr>
          <w:color w:val="000000" w:themeColor="text1"/>
          <w:lang w:val="ru-RU"/>
        </w:rPr>
        <w:softHyphen/>
        <w:t>ной серии и требованием о предоставлении всех необходимых чертежей на систему для принятия окончательного решения о ее се</w:t>
      </w:r>
      <w:r w:rsidRPr="00DB5D0D">
        <w:rPr>
          <w:color w:val="000000" w:themeColor="text1"/>
          <w:lang w:val="ru-RU"/>
        </w:rPr>
        <w:softHyphen/>
        <w:t>рийном производстве. В конечном итоге система механического сер- воуправления была внедрена в производство и стала использоваться на всех серийных машинах, а чертежи на пневматическую систему аннулировали. Но необходимо отметить, что на машинах установоч</w:t>
      </w:r>
      <w:r w:rsidRPr="00DB5D0D">
        <w:rPr>
          <w:color w:val="000000" w:themeColor="text1"/>
          <w:lang w:val="ru-RU"/>
        </w:rPr>
        <w:softHyphen/>
        <w:t>ной серии, изготовленных на заводе №183 (танки №311-01-3, 311-04-3, 311-05-3, 311-09-3, 311-15-3, 311-16-3, 311-19-3, 311-21-3 и 311-25-3), систему пневматического сервоуправления было решено оставить, ввиду сложности ее демонтажа и замены на механическую систему на уже собранных машинах (11904).</w:t>
      </w:r>
    </w:p>
    <w:p w14:paraId="4458300C" w14:textId="77777777" w:rsidR="00A25AD1" w:rsidRPr="00DB5D0D" w:rsidRDefault="00A25AD1" w:rsidP="00DB5D0D">
      <w:pPr>
        <w:pStyle w:val="a3"/>
        <w:rPr>
          <w:color w:val="000000" w:themeColor="text1"/>
          <w:lang w:val="ru-RU"/>
        </w:rPr>
      </w:pPr>
    </w:p>
    <w:p w14:paraId="0638189A" w14:textId="77777777" w:rsidR="00A25AD1" w:rsidRPr="00DB5D0D" w:rsidRDefault="00A25AD1" w:rsidP="00DB5D0D">
      <w:pPr>
        <w:pStyle w:val="a3"/>
        <w:rPr>
          <w:color w:val="000000" w:themeColor="text1"/>
          <w:lang w:val="ru-RU"/>
        </w:rPr>
      </w:pPr>
      <w:r w:rsidRPr="00DB5D0D">
        <w:rPr>
          <w:color w:val="000000" w:themeColor="text1"/>
          <w:lang w:val="ru-RU"/>
        </w:rPr>
        <w:t>В начале июня 1940 Д.М. Козырев выступил с предложением, начиная с июля 1940 г., собирать Т-34 одновремен</w:t>
      </w:r>
      <w:r w:rsidRPr="00DB5D0D">
        <w:rPr>
          <w:color w:val="000000" w:themeColor="text1"/>
          <w:lang w:val="ru-RU"/>
        </w:rPr>
        <w:softHyphen/>
        <w:t>но с БТ-7М на старом конвейере отдела «100», расширив при этом колею конвейера, параллельно вести постройку новой конвейерной ленты для Т-34 и постепенно, по мере готовности, вводить в произ</w:t>
      </w:r>
      <w:r w:rsidRPr="00DB5D0D">
        <w:rPr>
          <w:color w:val="000000" w:themeColor="text1"/>
          <w:lang w:val="ru-RU"/>
        </w:rPr>
        <w:softHyphen/>
        <w:t>водство новое оснащение. Но данное предложение не нашло откли</w:t>
      </w:r>
      <w:r w:rsidRPr="00DB5D0D">
        <w:rPr>
          <w:color w:val="000000" w:themeColor="text1"/>
          <w:lang w:val="ru-RU"/>
        </w:rPr>
        <w:softHyphen/>
        <w:t>ка у дирекции завода. Придавая большое значение этому вопросу, Д. М. Козырев в середине июня обратился к руководству АБТУ с пись</w:t>
      </w:r>
      <w:r w:rsidRPr="00DB5D0D">
        <w:rPr>
          <w:color w:val="000000" w:themeColor="text1"/>
          <w:lang w:val="ru-RU"/>
        </w:rPr>
        <w:softHyphen/>
        <w:t>мом (119016).</w:t>
      </w:r>
    </w:p>
    <w:p w14:paraId="31147010" w14:textId="77777777" w:rsidR="00A25AD1" w:rsidRPr="00DB5D0D" w:rsidRDefault="00A25AD1" w:rsidP="00DB5D0D">
      <w:pPr>
        <w:pStyle w:val="a3"/>
        <w:rPr>
          <w:color w:val="000000" w:themeColor="text1"/>
          <w:lang w:val="ru-RU"/>
        </w:rPr>
      </w:pPr>
    </w:p>
    <w:p w14:paraId="781BDE6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030891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107DF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ГК завода 156 Кочеригин писал Зам. наркома А.С.Я. письмо N 1292с:</w:t>
      </w:r>
    </w:p>
    <w:p w14:paraId="660853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дать указание ЦАГИ о внеочередном испытании самолета ОПБ с тормозными щитками и об исследовании ВМГ с центральным входом охлаждающего воздуха. Неоднократные обращения к нач. ЦАГИ лично не дали результата, так как никакого материала для решения вопроса по тормозным щиткам и по ВМГ не получено, чем задерживается разработка чертежей для производства. Модель самолета находится в ЦАГИ с 19 мая с.г." (2062,59).</w:t>
      </w:r>
    </w:p>
    <w:p w14:paraId="686DA82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D95A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С.А.Кочеригин в своем письме А.С.Яковлеву просил дать указание ЦАГИ о внеочередном испытании модели самолета ОПБ стормозными щитками и об исследовании ВМГ с центральным входом охлаждающего мотор воздуха. При этом, он отмечал, что модель ОПБ находится в ЦАГИ с 14 мая 1940 г.</w:t>
      </w:r>
    </w:p>
    <w:p w14:paraId="1A637C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письме Кочеригина всесильный замнаркома А.С.Яковлев наложил резолюцию:</w:t>
      </w:r>
    </w:p>
    <w:p w14:paraId="759A02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Петрову. Прошу срочно продувки Кочеригина провести в первую очередь». И. Ф. Петров 15 июня на этом же письме написал, что работа будет выполнена, но просил решить вопрос об оплате (9649).</w:t>
      </w:r>
    </w:p>
    <w:p w14:paraId="3069EEF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00CB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на ДБ-3Ф 2М-88 N 390204 в ходе гос. испытаний нового вооружения провели полет на бомбометание боевыми бомбами ФАБ-100 и ФАБ-250 (2686).</w:t>
      </w:r>
    </w:p>
    <w:p w14:paraId="189D03C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A746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состоялось заседание Правительственной комиссии по перелету Нестеренко (1313,20). Протокол:</w:t>
      </w:r>
    </w:p>
    <w:p w14:paraId="5E44DE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 Утверждение детализации маршрута т. Нестеренко</w:t>
      </w:r>
    </w:p>
    <w:p w14:paraId="13168D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Постановили: 1. для облегчения самолетовождения утвердить детализацию маршрута Хабаровск-Львов через пункты: Рухлово, Козлово (сев. оконечность Байкала), Краснояраск, Свердловск, Москва, Львов.</w:t>
      </w:r>
    </w:p>
    <w:p w14:paraId="632C7E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Общая протяженность маршрута составит 7480 при зачетной для рекорда 7200-7300</w:t>
      </w:r>
    </w:p>
    <w:p w14:paraId="3CFE39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исходя из условия необходимости окончания полета при дневном свете на участке Москва-Львов, старт из Хабаровска произвести в 15 по местному (8 утра по Москве) (2102,1).</w:t>
      </w:r>
    </w:p>
    <w:p w14:paraId="000177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рекордному самолету</w:t>
      </w:r>
    </w:p>
    <w:p w14:paraId="5354C5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перегон самолета с завода 39 на Раменский аэродром - 08.06.1940</w:t>
      </w:r>
    </w:p>
    <w:p w14:paraId="761D1E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окончание всех испытаний и тренировок экипажа - 15.06.1940</w:t>
      </w:r>
    </w:p>
    <w:p w14:paraId="5626E8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смена моторов и подготовка к перегону летом в Хабаровск - 23.06.1940</w:t>
      </w:r>
    </w:p>
    <w:p w14:paraId="2DB0F5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перелет в Хабаровск в период 23.06-04.07.1940</w:t>
      </w:r>
    </w:p>
    <w:p w14:paraId="78BE42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смена моторов и проведение контрольных полетов в Хабаровске - 04.07.-12.07.1940</w:t>
      </w:r>
    </w:p>
    <w:p w14:paraId="3602E6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подготовка к старту - 15.07.1940 (1313,20).</w:t>
      </w:r>
    </w:p>
    <w:p w14:paraId="28569A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тренировочному самолету</w:t>
      </w:r>
    </w:p>
    <w:p w14:paraId="1D64F1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а. Маршрутные полеты (3 полета) на замер расходов горючего и тренировки экипажа по радиосвязи и аэронавигации и ряд полетов по штурманским заданиям - с 8 июня по 13 июля</w:t>
      </w:r>
    </w:p>
    <w:p w14:paraId="448E0C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Длительный (около 18 час.) полет на проверку графика полета и тренировки экипажа по треугольнику на 5000 км - с 19 по 23 июня.</w:t>
      </w:r>
    </w:p>
    <w:p w14:paraId="188E1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Этим полетом устанавливаются два женских рекорда:</w:t>
      </w:r>
    </w:p>
    <w:p w14:paraId="1DDBA1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Дальность по замкнутой</w:t>
      </w:r>
    </w:p>
    <w:p w14:paraId="0DC00E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Скорость на 5000 км</w:t>
      </w:r>
    </w:p>
    <w:p w14:paraId="1BF93D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Полет на Дуглас для обследования этапа Москва-Львов - 25-28 июня</w:t>
      </w:r>
    </w:p>
    <w:p w14:paraId="43AE0B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Переброску экипажа в Хабаровск на Дугласе - с 30 июня по 3 июля</w:t>
      </w:r>
    </w:p>
    <w:p w14:paraId="070F05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Просить Меркулова и Рычагова организовать специальную охрану самолета в Москве, в Хабаровске и на промежуточных пунктах при его перегонке в Хабаровск, а также груза (моторов и запчастей), оправляемых по ж/д</w:t>
      </w:r>
    </w:p>
    <w:p w14:paraId="6644D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Штабу организовать воздушным путем переброску производственной бригады рабочих завода 39 совместив ее с обслуживанием рекордного самолета в пунктах посадки, для чего самолет выпустить на восток одновременно с рекордным.</w:t>
      </w:r>
    </w:p>
    <w:p w14:paraId="7B25B0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проверку техдокументации мотора.</w:t>
      </w:r>
    </w:p>
    <w:p w14:paraId="6FFA9D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7C65EE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 Утверждение принципиальных схем по радиосвязи, метеообслуживанию и плана мероприятий на случай вынужденной посадки (Гусев, Беляков, Антонов).</w:t>
      </w:r>
    </w:p>
    <w:p w14:paraId="6D7C8F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Постановили: 1. Схемы - утвердить</w:t>
      </w:r>
    </w:p>
    <w:p w14:paraId="5EA0C9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Поручить ВВС выставить радиомаяк в Козлово</w:t>
      </w:r>
    </w:p>
    <w:p w14:paraId="5961CB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Предложить штабу всю подготовку связи и метеообслуживания, а также реализацию плана аварийных мероприятий закончить к 12 июля, проведя проверку готовности.</w:t>
      </w:r>
    </w:p>
    <w:p w14:paraId="17BFD8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Дежурные самолеты по плану иметь в готовности в намеченных пунктах за 2 дня до старта." (2102,2).</w:t>
      </w:r>
    </w:p>
    <w:p w14:paraId="35EB30E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C061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был выпущен с завода 39 после окончательной окраски, тарировки баков и взвешивания ЦКБ-30 Украина для перелета Нестеренко и 8 июня 1940 начались его испытания (1313,36).</w:t>
      </w:r>
    </w:p>
    <w:p w14:paraId="61755C7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E698E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Зам. Секретаря КО И.Сафонов писал в НКАП А.И.Ш.:</w:t>
      </w:r>
    </w:p>
    <w:p w14:paraId="627CAC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доклада КО при СНК прошу Вашего заключения по письму С.К.Тимошенко о запуске в серийное производство самолета 100 в пикирующем варианте и выпуске опытной серии в количестве 10 шт. с ГК." (1293,74).</w:t>
      </w:r>
    </w:p>
    <w:p w14:paraId="63FA063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9CE9A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НКО м С.Тимошенко писал письмо N 16548с Пред. КО при СНК СССР м К.Е.В.:</w:t>
      </w:r>
    </w:p>
    <w:p w14:paraId="55F96F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гос. испытания 100 с 2М-105 ТК-2 конструкции ОТБ НКВД закончены.</w:t>
      </w:r>
    </w:p>
    <w:p w14:paraId="5D3EBA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поставить на рассмотрение КО вопрос о запуске в серийное производство самолета 100 в пикирующем варианте и выпуске опытной серии в количестве 100 с ГК." (1293,73).</w:t>
      </w:r>
    </w:p>
    <w:p w14:paraId="4A7C5177"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1E4E13C1" w14:textId="77777777" w:rsidR="0038388D" w:rsidRPr="00DB5D0D" w:rsidRDefault="0038388D" w:rsidP="00DB5D0D">
      <w:pPr>
        <w:pStyle w:val="27"/>
        <w:shd w:val="clear" w:color="auto" w:fill="auto"/>
        <w:tabs>
          <w:tab w:val="left" w:pos="462"/>
        </w:tabs>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7 июня 1940 материал по самолету «100» был доложен маршалом С.К. Тимошен</w:t>
      </w:r>
      <w:r w:rsidRPr="00DB5D0D">
        <w:rPr>
          <w:rFonts w:ascii="Times New Roman" w:cs="Times New Roman"/>
          <w:color w:val="000000" w:themeColor="text1"/>
          <w:spacing w:val="0"/>
        </w:rPr>
        <w:softHyphen/>
        <w:t>ко председателю Комитета Обороны маршалу К.Е. Ворошилову. После рас</w:t>
      </w:r>
      <w:r w:rsidRPr="00DB5D0D">
        <w:rPr>
          <w:rFonts w:ascii="Times New Roman" w:cs="Times New Roman"/>
          <w:color w:val="000000" w:themeColor="text1"/>
          <w:spacing w:val="0"/>
        </w:rPr>
        <w:softHyphen/>
        <w:t>смотрения этого вопроса Комитет Обо</w:t>
      </w:r>
      <w:r w:rsidRPr="00DB5D0D">
        <w:rPr>
          <w:rFonts w:ascii="Times New Roman" w:cs="Times New Roman"/>
          <w:color w:val="000000" w:themeColor="text1"/>
          <w:spacing w:val="0"/>
        </w:rPr>
        <w:softHyphen/>
        <w:t>роны 23 июня принял постановление «О внедрении в серийное производст</w:t>
      </w:r>
      <w:r w:rsidRPr="00DB5D0D">
        <w:rPr>
          <w:rFonts w:ascii="Times New Roman" w:cs="Times New Roman"/>
          <w:color w:val="000000" w:themeColor="text1"/>
          <w:spacing w:val="0"/>
        </w:rPr>
        <w:softHyphen/>
        <w:t>во самолетов «100» в варианте пикиру</w:t>
      </w:r>
      <w:r w:rsidRPr="00DB5D0D">
        <w:rPr>
          <w:rFonts w:ascii="Times New Roman" w:cs="Times New Roman"/>
          <w:color w:val="000000" w:themeColor="text1"/>
          <w:spacing w:val="0"/>
        </w:rPr>
        <w:softHyphen/>
        <w:t>ющего бомбардировщика». К концу года требовалось построить 30 машин на за</w:t>
      </w:r>
      <w:r w:rsidRPr="00DB5D0D">
        <w:rPr>
          <w:rFonts w:ascii="Times New Roman" w:cs="Times New Roman"/>
          <w:color w:val="000000" w:themeColor="text1"/>
          <w:spacing w:val="0"/>
        </w:rPr>
        <w:softHyphen/>
        <w:t>воде №39 и 50 - на заводе №22. Кроме этого, оставалось в силе решение о вы</w:t>
      </w:r>
      <w:r w:rsidRPr="00DB5D0D">
        <w:rPr>
          <w:rFonts w:ascii="Times New Roman" w:cs="Times New Roman"/>
          <w:color w:val="000000" w:themeColor="text1"/>
          <w:spacing w:val="0"/>
        </w:rPr>
        <w:softHyphen/>
        <w:t>пуске 10 самолетов ВИ-100 войсковой серии на заводе №39. Впрочем, ни один высотный истребитель так и не был по</w:t>
      </w:r>
      <w:r w:rsidRPr="00DB5D0D">
        <w:rPr>
          <w:rFonts w:ascii="Times New Roman" w:cs="Times New Roman"/>
          <w:color w:val="000000" w:themeColor="text1"/>
          <w:spacing w:val="0"/>
        </w:rPr>
        <w:softHyphen/>
        <w:t>строен (15755).</w:t>
      </w:r>
    </w:p>
    <w:p w14:paraId="34589E91" w14:textId="77777777" w:rsidR="0038388D" w:rsidRPr="00DB5D0D" w:rsidRDefault="0038388D" w:rsidP="00DB5D0D">
      <w:pPr>
        <w:pStyle w:val="27"/>
        <w:shd w:val="clear" w:color="auto" w:fill="auto"/>
        <w:tabs>
          <w:tab w:val="left" w:pos="462"/>
        </w:tabs>
        <w:spacing w:after="0" w:line="240" w:lineRule="auto"/>
        <w:ind w:firstLine="0"/>
        <w:rPr>
          <w:rFonts w:ascii="Times New Roman" w:cs="Times New Roman"/>
          <w:color w:val="000000" w:themeColor="text1"/>
          <w:spacing w:val="0"/>
        </w:rPr>
      </w:pPr>
    </w:p>
    <w:p w14:paraId="46C7F7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Нач. ГУАС КА Алексеев и Военком ГУАС КА Князев писали письмо N 501617сс НКО м Тимошенко:</w:t>
      </w:r>
    </w:p>
    <w:p w14:paraId="006111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"Представляя протокол Заседания Техсовета при НИИ ГУАС КА о результатах гос. испытаний самолетов 100 2М-105 конструкции ОТБ при НКВД, докладываю:</w:t>
      </w:r>
    </w:p>
    <w:p w14:paraId="26E715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ВВС КА не имеет на вооружении ПБ</w:t>
      </w:r>
    </w:p>
    <w:p w14:paraId="0A2E27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Запущенный в производство на заводе 22 СПБ Н.Н.П., изготовлен всего в 3-х экземплярах. Наличие серьезных дефектов конструктивного порядка не только задержало внедрение НПБ в серию, но и не позволило закончить заводские испытания.</w:t>
      </w:r>
    </w:p>
    <w:p w14:paraId="279D23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Гос. испытания 100 показали вполне удовлетворительные летные качества.</w:t>
      </w:r>
    </w:p>
    <w:p w14:paraId="525DF5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Статиспытания выявили прочность конструкции основных агрегатов выше расчетных.</w:t>
      </w:r>
    </w:p>
    <w:p w14:paraId="79A363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испытаний можно считать самолет 1000 годным для использования в качестве ПБ с небольшими переделками передней части фюзеляжа.</w:t>
      </w:r>
    </w:p>
    <w:p w14:paraId="0C2137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необходимость срочного вооружения ВВС ПБ, считаю целесообразным:</w:t>
      </w:r>
    </w:p>
    <w:p w14:paraId="715FD3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запустить в серийное производство на заводе 22 самолет 1000 с 2М-105 в пикирующем варианте, взамен СПБ. работы по СПБ прекратить.</w:t>
      </w:r>
    </w:p>
    <w:p w14:paraId="044023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обязать НКВД взять на себя техруководство по внедрению на заводе 22 в серийное производство самолета 100 в пикирующем варианте.</w:t>
      </w:r>
    </w:p>
    <w:p w14:paraId="2BA439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обязать НКАП А.И.Ш. определить программу выпуска самолетов 1000 на заводе 22 в 1940.</w:t>
      </w:r>
    </w:p>
    <w:p w14:paraId="563ACA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решением Техсовета по 100 2 М-105 ТК-2 с ГК согласен. Считаю целесообразным постройку опытной серии этих самолетов в количестве 10 шт. произвести на заводе 22.</w:t>
      </w:r>
    </w:p>
    <w:p w14:paraId="2870F5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Докладывая об изложенном, прошу Вашего ходатайства перед КО о рассмотрении вопроса о запуске в серию самолета 100</w:t>
      </w:r>
    </w:p>
    <w:p w14:paraId="107E42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Протокол Заседания Техсовета на 4-х л.</w:t>
      </w:r>
    </w:p>
    <w:p w14:paraId="56C8A6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А.Смушкевич наложил резолюцию: "Согласен, чтобы 100 пустить на 22 заводе вместо СПБ. СПБ с производства снять. С ГК строить на другом заводе." (1293,72).</w:t>
      </w:r>
    </w:p>
    <w:p w14:paraId="6AA36DD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года председатель КО К.Е. Ворошилов писал письмо № 5292/5ко в Наркомавиапром Шахурину А.И., НКО Тимошенко С.К.</w:t>
      </w:r>
    </w:p>
    <w:p w14:paraId="1ABAB1F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со снятием с производства на заводе № 292 самолета И-28, конструктор этого самолета Яценко обратился в КО с просьбой об оказании помощи в проведении работ по модификации самолета И-28, возложенных на него и завод № 292 постановлением КО от 4 марта 1940 года за № 113сс.</w:t>
      </w:r>
    </w:p>
    <w:p w14:paraId="074951A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Яценко, докладывая об отсутствии необходимых условий для нормальной работы возглавляемого им конструкторского коллектива, просит создать на базе цеха ширпотреба завода № 81, производственную базу для проведения дальнейших работ по созданию модифицированного самолета И-28.</w:t>
      </w:r>
    </w:p>
    <w:p w14:paraId="22CE4B1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предлагает в 5-ти дневный срок внести совместное предложение о дальнейшей работе КБ Яценко и мероприятиях по обеспечению выполнения постановления КО о модификации самолета И-28 (3420, 87).</w:t>
      </w:r>
    </w:p>
    <w:p w14:paraId="5F244A0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0E3925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состоялся первый полет по кругу первого серийного И-26 (198,16) с 301 завода. Пришлось заменять носки крыла более прочными. Доводка войсковой серии из 11 машин шла до октября 1940 (65,42).</w:t>
      </w:r>
    </w:p>
    <w:p w14:paraId="415E48A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15F8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Коллегия НКАП рассмотрела вопрос (прот. 14) "О внедрении в серийное производство самолета И-26" (1002,2). Результаты были неудовлетворительными (618,32).</w:t>
      </w:r>
    </w:p>
    <w:p w14:paraId="3AD8D1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этому вопросу докладывали Ю.Б.Эскин, дир. завода 301, Синельщиков, вед. инж. завода 115 по заводу 301) (1179).</w:t>
      </w:r>
    </w:p>
    <w:p w14:paraId="2AE435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рассмотрели:</w:t>
      </w:r>
    </w:p>
    <w:p w14:paraId="0FD209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Состояние технического нормирования на заводах НКАП;</w:t>
      </w:r>
    </w:p>
    <w:p w14:paraId="07C479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 работе Московского авиационного техникума (1179).</w:t>
      </w:r>
    </w:p>
    <w:p w14:paraId="177BCDF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985A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контролер Вахрушев - представитель КО СНК СССР - в журнале Учета выполнения постановлени правительства в отношении постановления КО N 235сс 1940 “Об организации серийного производства самолета И-26 конструкции Яковлева на заводе № 301” отметил:</w:t>
      </w:r>
    </w:p>
    <w:p w14:paraId="06E662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ходе внедрения в серийное производство с-та И-26 на з-де № 301 заслушан на коллегии НКАП.</w:t>
      </w:r>
    </w:p>
    <w:p w14:paraId="4F7052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Отмечено:</w:t>
      </w:r>
    </w:p>
    <w:p w14:paraId="231FF3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медленный темп постройки самолета в мае м-це (т. Эскин)</w:t>
      </w:r>
    </w:p>
    <w:p w14:paraId="1BCFB0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ухудшение темпа строительных работ (т. Кац)</w:t>
      </w:r>
    </w:p>
    <w:p w14:paraId="09BEB2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отсутствие серийных чертежей, что приведет к затруднению оказания техпомощи з-ду 292</w:t>
      </w:r>
    </w:p>
    <w:p w14:paraId="73CC95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всем затронутым вопросам коллегия НКАП приняла решение. Проверить 20 июня 1940.</w:t>
      </w:r>
    </w:p>
    <w:p w14:paraId="0A9D11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запросил справку о ходе выполнения данного постановления между НКАП и поставщиками (т. Фокин) (10385).</w:t>
      </w:r>
    </w:p>
    <w:p w14:paraId="46B9194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0BE5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7 июня 1940 в НИИ ГУАСК ВА закончились гос. испытания И-207-3 с М-63 и убирающимся шасси А.А.Боровкова и И.Ф.Флорова, которые проходили с 22 апреля. Ли завода 207 Максимов. Выполнили 30 полетов налетав 13:20. Скорость была до 486 км/час на 5300 м. По заключениям л машина имела хорошую устойчивость и управляемость и не отличалась от И-207-1, прошедшего гос. испытания в июне-октябре 1939 (2535,3).</w:t>
      </w:r>
    </w:p>
    <w:p w14:paraId="5167B3E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6C85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закончились заводские испытания И-207/3 с М-63 с убирающимся шасси, строительство которого было начато в июне 1939, закончено в апреле 1940, а испытания начались с 22 апреля (23 - 2090,133). Выполнили 30 полетов продолжительностью 13 час. 20 мин (1239).</w:t>
      </w:r>
    </w:p>
    <w:p w14:paraId="6849386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C0622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были закончены заводские летные испытания самолета И-207/3 М-63, которые начались 23 апреля 1940. Были закончены на 15 дней раньше срока, согласно приказа НКАП от 22 апреля 1940 N 174 по утвержденной программе. Сделано было 30 полетов (2050,52). Потом меняли вооружение (2090,132).</w:t>
      </w:r>
    </w:p>
    <w:p w14:paraId="7277F2C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EA9E4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 в НИИ ВВС КА закончились испытания И-207 М-63 с убирающимся шасси, которые проходили с 22 апреля 1940.</w:t>
      </w:r>
    </w:p>
    <w:p w14:paraId="56AD40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это время было выполнено 30 полетов общей продолжительностью 13 ч 20 мин.</w:t>
      </w:r>
    </w:p>
    <w:p w14:paraId="4F9EC7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вел летчик Максимов.</w:t>
      </w:r>
    </w:p>
    <w:p w14:paraId="1953FE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имел оригинальное убирающееся шасси. Основные колеса шасси убирались в фюзеляж. Шасси фер-менное из хромансилевых труб. Вырезы для колес в фюзеляже закрывались щитками. Хвостовое колесо не убирающееся, заключено в обтекатель/являющийся продолжением руля поворота.</w:t>
      </w:r>
    </w:p>
    <w:p w14:paraId="46451C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М-бЗ (номинальная мощность на высоте 4350 м 900 л. с.) был заключен в капот, имеющий регулируемый вход (жалюзи) и выход (юбку). Винт - автомат двухлопастный АВ-1 диаметром 2,8 м. Предельно задняя центровка 26% САХ.</w:t>
      </w:r>
    </w:p>
    <w:p w14:paraId="647457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включало 4 синхронных пулемета ШКАС с запасом 500-800 патронов на ствол.</w:t>
      </w:r>
    </w:p>
    <w:p w14:paraId="5E5D8A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испытаний были весьма обнадеживающими. По максимальной скорости полета И-207 М-бЗ не уступал истребителю моноплан-ной схемы И-16 с тем же мотором, превосходя его по всем остальным показателям.</w:t>
      </w:r>
    </w:p>
    <w:p w14:paraId="45911F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нормальном полетном весе 1849 кг максимальная скорость полета «двести седьмого» у земли составляла 437 км/ч, на высоте 2000 м - 453 км/ч, и на высоте 5300 м - 486 км/ч.</w:t>
      </w:r>
    </w:p>
    <w:p w14:paraId="6B7BAA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вертикальная скорость у земли равнялась 18,9 м/с, на высоте 2000 м - 20,4 м/с. Время набора высоты 5000 м - всего 4,6 мин.</w:t>
      </w:r>
    </w:p>
    <w:p w14:paraId="02502D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выполнения виража на высоте 1000 м - 17 с. Практический потолок самолета достигал 10 200 м. Скоростная дальность полета (на 0,9 Vmax) - 500 км.</w:t>
      </w:r>
    </w:p>
    <w:p w14:paraId="58DB5D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И-207 - 110 км/ч. Длина пробега с тормозами составляла всего 200 м. Длина разбега - 165 м (время разбега 8 с).</w:t>
      </w:r>
    </w:p>
    <w:p w14:paraId="72B1E9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 М-бЗ имел хорошую устойчивость и управляемость в полете во всем диапазоне скоростей. Пилотажные качества отличные.</w:t>
      </w:r>
    </w:p>
    <w:p w14:paraId="2E4F8A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рулил легко, рулей слушался хорошо, тенденций к разворотам не имел. На взлете самолет был простым/хорошо выдерживал направление. На наборе высоты - устойчив. Пикировал самолет устойчиво, скорость 600 км/ч по прибору набирал при потере высоты 1800 м. Из штопора самолет выходил легко, без запаздывания.</w:t>
      </w:r>
    </w:p>
    <w:p w14:paraId="3C891E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посадке самолет был прост, тенденций к сваливанию на крыло и к разворотам не имел. Техническая эксплуатация признавалась несложной (9649).</w:t>
      </w:r>
    </w:p>
    <w:p w14:paraId="7372E23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5CA2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полет на скороподъемность и сбрасывание ПДВБ продолжительностью 1:00. До этого подвешивали и проверяли на земле сбрасывание ПДВБ-400, ПДВБ-100 и ПДВБ-250 (2923).</w:t>
      </w:r>
    </w:p>
    <w:p w14:paraId="11CF4E9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05E1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вышло постановление КО N 248 "Об увеличении сроков службы авиационных моторов". Подписали К.Е.В. и Сафонов (1301,290).</w:t>
      </w:r>
    </w:p>
    <w:p w14:paraId="51B80A7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7791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вышло постановление КО N 247 "О системе оплаты летно-технического состава, работающего на испытаниях, доводке и обслуживании опытных боевых самолетов". Подписали К.Е.В. и Сафонов (1301,290).</w:t>
      </w:r>
    </w:p>
    <w:p w14:paraId="3205E8D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C321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вышел приказ НКАП № 246сс Об организационной структуре НКАП:</w:t>
      </w:r>
    </w:p>
    <w:p w14:paraId="03D6F2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Р И К А 3</w:t>
      </w:r>
    </w:p>
    <w:p w14:paraId="6833DD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НАРОДНОГО КОМИССАРА АВИАЦИОННОЙ ПРОМЫШЛЕННОСТИ СССР</w:t>
      </w:r>
    </w:p>
    <w:p w14:paraId="28C078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 Москва</w:t>
      </w:r>
    </w:p>
    <w:p w14:paraId="7ACB66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организационной структуре Народного Комиссариата Авиационной Промышленности Союза С.С.Р.</w:t>
      </w:r>
    </w:p>
    <w:p w14:paraId="682F5C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исполнение постановления правительства, в целях улучше</w:t>
      </w:r>
      <w:r w:rsidRPr="00DB5D0D">
        <w:rPr>
          <w:rFonts w:ascii="Times New Roman" w:hAnsi="Times New Roman"/>
          <w:color w:val="000000" w:themeColor="text1"/>
          <w:sz w:val="16"/>
          <w:szCs w:val="16"/>
        </w:rPr>
        <w:softHyphen/>
        <w:t>ния организационной структуры Народного Комиссариата Авиационной Промышленности Союза ССР - ПРИКАЗЫВАЮ:</w:t>
      </w:r>
    </w:p>
    <w:p w14:paraId="7BFACB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следующую организационную структуру централь</w:t>
      </w:r>
      <w:r w:rsidRPr="00DB5D0D">
        <w:rPr>
          <w:rFonts w:ascii="Times New Roman" w:hAnsi="Times New Roman"/>
          <w:color w:val="000000" w:themeColor="text1"/>
          <w:sz w:val="16"/>
          <w:szCs w:val="16"/>
        </w:rPr>
        <w:softHyphen/>
        <w:t>ного аппарата Народного Комиссариата Авиационной Промышленности:</w:t>
      </w:r>
    </w:p>
    <w:p w14:paraId="5F57DC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Главные Управления НКАП</w:t>
      </w:r>
    </w:p>
    <w:p w14:paraId="48BEFC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Первое Главное Управление(самолетное) с заводами: 1, 22, 39, 305, 23, 47, 81, 84, 301, 18, 21, 135, 49, 30, 31, 125, 153, СЗК, 124, 126, 207; строительствами: №№ 118, 130, 121, 122, 123, 127, 128, 129 и 131</w:t>
      </w:r>
    </w:p>
    <w:p w14:paraId="61E93A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Второе Главное Управление (самолето-агрегатное) с заво</w:t>
      </w:r>
      <w:r w:rsidRPr="00DB5D0D">
        <w:rPr>
          <w:rFonts w:ascii="Times New Roman" w:hAnsi="Times New Roman"/>
          <w:color w:val="000000" w:themeColor="text1"/>
          <w:sz w:val="16"/>
          <w:szCs w:val="16"/>
        </w:rPr>
        <w:softHyphen/>
        <w:t>дами: №№ 32, 34, 119, 120, 145, 261; строительствами: №№ 34 бис, 315, 120 бис</w:t>
      </w:r>
    </w:p>
    <w:p w14:paraId="4B8759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Третье Главное Управление (моторное) с заводами: №№ 16, 19, 24, 26, 27, 29, 32, 28, 150 (производство винтов); строительства</w:t>
      </w:r>
      <w:r w:rsidRPr="00DB5D0D">
        <w:rPr>
          <w:rFonts w:ascii="Times New Roman" w:hAnsi="Times New Roman"/>
          <w:color w:val="000000" w:themeColor="text1"/>
          <w:sz w:val="16"/>
          <w:szCs w:val="16"/>
        </w:rPr>
        <w:softHyphen/>
        <w:t>ми: №№ 333, 334, 335, 336, 337, 338.</w:t>
      </w:r>
    </w:p>
    <w:p w14:paraId="2283C8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Четвертое Главное Управление (моторно-агрегатное) с заводами: №№ 20, 25, 33, 132, 266, 339; строительствами: №№ 20 бис, 339 бис, 132 бис, 266 бис, 307..</w:t>
      </w:r>
    </w:p>
    <w:p w14:paraId="34B457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Пятое Главное Управление (приборов) с заводами: №№ 213, 214, 218, 224, 230, 278, Точизмеритель, ОЗПО; строительствами: №№ 149, 155, 279, 328, 117, 329, завод "К</w:t>
      </w:r>
      <w:r w:rsidRPr="00DB5D0D">
        <w:rPr>
          <w:rFonts w:ascii="Times New Roman" w:hAnsi="Times New Roman"/>
          <w:color w:val="000000" w:themeColor="text1"/>
          <w:sz w:val="16"/>
          <w:szCs w:val="16"/>
          <w:vertAlign w:val="superscript"/>
        </w:rPr>
        <w:t>п</w:t>
      </w:r>
      <w:r w:rsidRPr="00DB5D0D">
        <w:rPr>
          <w:rFonts w:ascii="Times New Roman" w:hAnsi="Times New Roman"/>
          <w:color w:val="000000" w:themeColor="text1"/>
          <w:sz w:val="16"/>
          <w:szCs w:val="16"/>
        </w:rPr>
        <w:t>, завод литья под давлением.</w:t>
      </w:r>
    </w:p>
    <w:p w14:paraId="0589C3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Шестое Главное Управление (ремонтное) с заводами: №№ 41, 162, 163, 164, 165, 167, 168, 169, 35, 43, 45, 83,116; строительствами: №№ 166 и 377.</w:t>
      </w:r>
    </w:p>
    <w:p w14:paraId="111E62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Седьмое Главное Управление (ояытные работы по самолетам)</w:t>
      </w:r>
    </w:p>
    <w:p w14:paraId="55A8BC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Восьмое Главное Управление (опытные работы по моторам).</w:t>
      </w:r>
    </w:p>
    <w:p w14:paraId="455358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Главное Управление Капитального Строительства с подчиненными ему трестами: №№ 11, 12, 14, 18, 20, 30, 31, 41 и проектным институтом № 1.</w:t>
      </w:r>
    </w:p>
    <w:p w14:paraId="296E92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Главное Управление Учебными Заведениями.</w:t>
      </w:r>
    </w:p>
    <w:p w14:paraId="11F087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 Главное Управление Снабжения (Главснаб), состоящее на полном хозяйственном расчете с подчинением ему центрального склада и технической приемки материалов от поставщиков.</w:t>
      </w:r>
    </w:p>
    <w:p w14:paraId="539DEF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 Управление ПВО и Охраны.</w:t>
      </w:r>
    </w:p>
    <w:p w14:paraId="6CEE15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Отделы НКАП</w:t>
      </w:r>
    </w:p>
    <w:p w14:paraId="04B8BC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Технический Совет.</w:t>
      </w:r>
    </w:p>
    <w:p w14:paraId="3E1BED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Технический Отдел (с бюро изобретательства, бюро стандарти</w:t>
      </w:r>
      <w:r w:rsidRPr="00DB5D0D">
        <w:rPr>
          <w:rFonts w:ascii="Times New Roman" w:hAnsi="Times New Roman"/>
          <w:color w:val="000000" w:themeColor="text1"/>
          <w:sz w:val="16"/>
          <w:szCs w:val="16"/>
        </w:rPr>
        <w:softHyphen/>
        <w:t>зации и бюро по качеству).</w:t>
      </w:r>
    </w:p>
    <w:p w14:paraId="506B5F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Диспетчерский Отдел.</w:t>
      </w:r>
    </w:p>
    <w:p w14:paraId="424D5B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Металлургический отдел.</w:t>
      </w:r>
    </w:p>
    <w:p w14:paraId="2CA9DC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Отдел механика и энергетика.</w:t>
      </w:r>
    </w:p>
    <w:p w14:paraId="0B748D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Отдел кооперирования.</w:t>
      </w:r>
    </w:p>
    <w:p w14:paraId="1168FF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Планово-экономический отдел.</w:t>
      </w:r>
    </w:p>
    <w:p w14:paraId="041CA2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Финансовый отдел.</w:t>
      </w:r>
    </w:p>
    <w:p w14:paraId="59963D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Центральная бухгалтерия.</w:t>
      </w:r>
    </w:p>
    <w:p w14:paraId="73B28B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От дел кадров.</w:t>
      </w:r>
    </w:p>
    <w:p w14:paraId="238E2B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Отдел труда и зарплаты.</w:t>
      </w:r>
    </w:p>
    <w:p w14:paraId="201743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Транспортный отдел</w:t>
      </w:r>
    </w:p>
    <w:p w14:paraId="377FD0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Иностранный сектор.</w:t>
      </w:r>
    </w:p>
    <w:p w14:paraId="3D6F96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Секретно-шифровальный отдел</w:t>
      </w:r>
    </w:p>
    <w:p w14:paraId="7CDC1D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Управление делами.</w:t>
      </w:r>
    </w:p>
    <w:p w14:paraId="235FF5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Главный юрисконсульт</w:t>
      </w:r>
    </w:p>
    <w:p w14:paraId="336BFB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Секретариат Народного Комиссара, его заместителей и Коллегии Наркомата.</w:t>
      </w:r>
    </w:p>
    <w:p w14:paraId="50AD26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Инспекция при Народном Комиссаре.</w:t>
      </w:r>
    </w:p>
    <w:p w14:paraId="1D983C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Уполномоченный НКАП на Д.В.</w:t>
      </w:r>
    </w:p>
    <w:p w14:paraId="745B73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Арбитраж.</w:t>
      </w:r>
    </w:p>
    <w:p w14:paraId="737B8A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 В непосредственном моем подчинении оставить следую</w:t>
      </w:r>
      <w:r w:rsidRPr="00DB5D0D">
        <w:rPr>
          <w:rFonts w:ascii="Times New Roman" w:hAnsi="Times New Roman"/>
          <w:color w:val="000000" w:themeColor="text1"/>
          <w:sz w:val="16"/>
          <w:szCs w:val="16"/>
        </w:rPr>
        <w:softHyphen/>
        <w:t>щие предприятия и организации:</w:t>
      </w:r>
    </w:p>
    <w:p w14:paraId="657EAD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Заводы №№ 95, 269, 219, 150 (прокатный), строительство № 268, трест "Оборонгиз", состоящий на хозяйственном расчете, трест "Ширпотреб", состоящий на хозяйственном расчете, трест "Оргавиапром", состоящий на хозяйственном расчете (с заводами) и Центральный институт Труда, состоящий: на хозяйственном рас</w:t>
      </w:r>
      <w:r w:rsidRPr="00DB5D0D">
        <w:rPr>
          <w:rFonts w:ascii="Times New Roman" w:hAnsi="Times New Roman"/>
          <w:color w:val="000000" w:themeColor="text1"/>
          <w:sz w:val="16"/>
          <w:szCs w:val="16"/>
        </w:rPr>
        <w:softHyphen/>
        <w:t>чете ( с двумя предприятиями и строительством завода № 4).</w:t>
      </w:r>
    </w:p>
    <w:p w14:paraId="47D580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 Ликвидировать следующие Главные Управления, Отделы, Сектора и Тресты Народного Комиссариата Авиационной Промышлен</w:t>
      </w:r>
      <w:r w:rsidRPr="00DB5D0D">
        <w:rPr>
          <w:rFonts w:ascii="Times New Roman" w:hAnsi="Times New Roman"/>
          <w:color w:val="000000" w:themeColor="text1"/>
          <w:sz w:val="16"/>
          <w:szCs w:val="16"/>
        </w:rPr>
        <w:softHyphen/>
        <w:t>ности:</w:t>
      </w:r>
    </w:p>
    <w:p w14:paraId="64C291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Пятое -Главное Управление (ДВК), передав заводы: №№ 83 и 116 Шестому Главному Управлению (ремонтному) и № 126 Первому Главному Управлению (самолетному), а новостроящиеся ремонтные базы - Пятому Главному Управлению(приборов);</w:t>
      </w:r>
    </w:p>
    <w:p w14:paraId="174189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Шестое Главное Управление (металлопрокатное) передав заводы №№ 28 и завод производства винтов комбината № 150 Третьему Главному Управлению(моторному), завод № 154 - Тресту "Оргавиапром".</w:t>
      </w:r>
    </w:p>
    <w:p w14:paraId="4834F3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Трест "Авиаснаб", сектор оборудования, передав их функции Главному Управлению Снабжения (Главснаб);</w:t>
      </w:r>
    </w:p>
    <w:p w14:paraId="327D8F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Девятое Управление (мобилизационное) передав его функции Планово-Экономическому Отделу;...(403,11).</w:t>
      </w:r>
    </w:p>
    <w:p w14:paraId="15F33BE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4D22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года была подготовлена справка:</w:t>
      </w:r>
    </w:p>
    <w:p w14:paraId="3D2985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37 мм авиационной мотор-пушке</w:t>
      </w:r>
    </w:p>
    <w:p w14:paraId="7CE967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письме на имя Молотова В.М. начальник ОКБ-15 Шпитальный докладывает о трудностях, которые он встречает при создании 37 мм авиационной мотор-пушки, а именно:</w:t>
      </w:r>
    </w:p>
    <w:p w14:paraId="2142D9B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Представители ГУАСКА выступают против мотор-пушки 37 мм и не заключают договора с ОКБ-15 на изготовление опытного образца. Кроме того, ГУАСКА до сих пор не имеет тактико-технических требований на мотор-пушку 37 мм.</w:t>
      </w:r>
    </w:p>
    <w:p w14:paraId="1CA7E7B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ОКБ-15 встречает трудности в получении средств на постройку мотор-пушки.</w:t>
      </w:r>
    </w:p>
    <w:p w14:paraId="707189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Шпитальный просит о проверке указанных им фактов и обсуждении на КО вопроса о мотор-пушках 37 мм.</w:t>
      </w:r>
    </w:p>
    <w:p w14:paraId="4EBAEF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Молотовым В.М. дано указание: «помочь Шпитальному двинуть это дело».</w:t>
      </w:r>
    </w:p>
    <w:p w14:paraId="74957D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письму тов. Шпитального Секретариат КО докладывает следующее: - вычеркнуто)</w:t>
      </w:r>
    </w:p>
    <w:p w14:paraId="25F981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в 1939 году по договору с ГУАСКА ОКБ-15 Шпитального должно было изготовить опытный образец 37 мм авиационной пушки в варианте крыльевой и фюзеляжной. Договор Шпитальным не был выполнен, работы над пушкой продолжаются в 1940 году и в июле 1940 года пушка должна быть сдана на испытания.</w:t>
      </w:r>
    </w:p>
    <w:p w14:paraId="6FDBDA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37 мм авиационным пушкам ведутся также КБ Таубина.</w:t>
      </w:r>
    </w:p>
    <w:p w14:paraId="605D48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во исполнение указаний тов. Молотова В.М. ГУАС КА выработало ТТТ на изготовление 37мм автоматической авиационной пушки в вариантах крыльевой, фюзеляжной и для стрельбы через втулку винта. Деньги на проектирование в сумме 50 0000 отпущены НКВ.</w:t>
      </w:r>
    </w:p>
    <w:p w14:paraId="75BF46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договоре на изготовление опытного образца 37 мм мотор-пушки ГУАСКА намерен решить после рассмотрения техпроекта, а также после выявления результатов испытаний изготовляемой в настоящее время 37мм авиац. Пушки.</w:t>
      </w:r>
    </w:p>
    <w:p w14:paraId="460EEE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СКБ-15 - тов. Шпитальный ТТТ ГУАСКА принял и просит утвердить правительственным решением строительство опытного образца 37мм илотор-пушки, а также самолета под мотор-пушку.</w:t>
      </w:r>
    </w:p>
    <w:p w14:paraId="45D1E0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считает целесообразным:</w:t>
      </w:r>
    </w:p>
    <w:p w14:paraId="1FA6DB4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Специальных решений по письмо тов. Шпитального в настоящее время не принимать, т.к. работы по 37мм авиац. Пушкам ведутся.</w:t>
      </w:r>
    </w:p>
    <w:p w14:paraId="5F37AE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Окончательное решение об изготовлении 37мм авиационной мотор-пушки принять в зависимости от результатов полигонных испытаний в июле месяце с.г., изготовляемой ОКБ-15 37мм мотор-пушки (3375,36).</w:t>
      </w:r>
    </w:p>
    <w:p w14:paraId="761C1DF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B60A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 директор НИИ-3 Б.М.Слонимер и главный инженер института военинженер 1-го ранга А.Г. Костиков направили на имя Члена Совета оборонной промышленности Комитета обороны при СНК СССР А.К. Ходякова развернутый доклад, в котором по итогам отработки ракетных снарядов различного типа предлагали форсировать работы по созданию систем ракетного вооружения для боевых самолетов, стоящих на вооружении ВВС КА. Предполагалось, что летающие ракетные батареи будут поражать трудноуязвимые для авиации цели, "имеющие броневое перекрытие (танки, надводный морской и речной флот и т.д.)", с пикирования под углами 45-60" ракетными бронебойными снарядами калибров 82 мм. 132 мм и 203 мм. При замене бронебойной головной части РБСов на бетонобойную, "что легко достигается стандартизацией ракетных частей", обеспечивалось поражение "наземных фортификационных сооружений". Поражение других целей с меньшей защитой (автомашины, артиллерия на позиции, огневые средства ПВО, пехота на марше и т.д.) предполагалось обеспечивать ракетными осколочно-фугасными снарядами калибра 132 мм - РОФС-132.</w:t>
      </w:r>
    </w:p>
    <w:p w14:paraId="75BFDF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 козырем применения ракетных снарядов с пикирования являлась повышенная точность стрельбы и мощь боевых частей снарядов, разработанных в НИИ-3. Стрельбу предполагалось вести как одиночно, так и залпом из двух. четырех и восьми снарядов. При этом считалось, что именно залповая стрельба будет давать наибольший эффект.</w:t>
      </w:r>
    </w:p>
    <w:p w14:paraId="5CF1CD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качестве основных носителей такого оружия предлагалось использовать самолеты И-15бис или И-16 (8 РБС-82), а также пикирующие варианты двухмоторных бомбардировщиков СБ (22 РБС-132) и ДБ-3 (9РБС-203).</w:t>
      </w:r>
    </w:p>
    <w:p w14:paraId="436AFD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Размещение ракетных снарядов на СБ предлагалось выполнить комбинированным: 10 РБС-132 разместить на ПУСКОВЫХ установках под плоскостями крыла и 12 РБСов - в специальной кассетнице, расположенной в бомболю-ке самолета и выдвигаемой при стрельбе из бомболюка в воздушный поток.</w:t>
      </w:r>
    </w:p>
    <w:p w14:paraId="7A8BC0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ДБ-3 ракетные снаряды РБС-203 предлагалось разместить следующим образом: 3 снаряда под фюзеляжем и К) - под крылом самолета.</w:t>
      </w:r>
    </w:p>
    <w:p w14:paraId="5E6CDC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Предполагалось, что "монтаж и демонтаж ракетного вооружения самолетов (за исключением.электропроводки в крыльях самолета)" в полевых условиях будет выполняться техническим составом авиачастей "в течение 1 ч. до 3,5 ч. в зависимости от типа самолета и калибра РБС".</w:t>
      </w:r>
    </w:p>
    <w:p w14:paraId="1148D2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отработки методики стрельбы ракетными снарядами с пикирования. совершенствования пусковых установок ракетных орудий, отработки тактики применения ракетных самолетов Слонимер и Костиков просили выделить для испытаний в НИП АВ ВВС КА один СБ. один ДБ-3 и звено самолетов И-15бис или И-16. Полигон под Ногинском требовалось оборудовать "бетонной и бронеплощадками размерами 50х50 м" (9655).</w:t>
      </w:r>
    </w:p>
    <w:p w14:paraId="31B5769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92C324"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7 июня</w:t>
      </w:r>
      <w:r w:rsidRPr="00DB5D0D">
        <w:rPr>
          <w:rFonts w:ascii="Times New Roman" w:hAnsi="Times New Roman"/>
          <w:color w:val="000000" w:themeColor="text1"/>
          <w:sz w:val="16"/>
          <w:szCs w:val="16"/>
        </w:rPr>
        <w:t xml:space="preserve"> в 1940 году директор НИИ-3 Б.М.Слонимер и главный инженер института военинженер 1-го ранга А.Г.Костиков направили на имя Члена Совета оборонной промышленности Комитета обороны при СНК СССР А.К.Ходякова развернутый доклад, в котором по итогам отработки ракетных снарядов различного типа предлагали форсировать работы по созданию систем ракетного вооружения для боевых самолетов, стоящих на вооружении ВВС КА. Предполагалось, что </w:t>
      </w:r>
      <w:hyperlink r:id="rId105" w:tgtFrame="_blank" w:history="1">
        <w:r w:rsidRPr="00DB5D0D">
          <w:rPr>
            <w:rFonts w:ascii="Times New Roman" w:hAnsi="Times New Roman"/>
            <w:color w:val="000000" w:themeColor="text1"/>
            <w:sz w:val="16"/>
            <w:szCs w:val="16"/>
          </w:rPr>
          <w:t xml:space="preserve">летающие ракетные батареи </w:t>
        </w:r>
      </w:hyperlink>
      <w:r w:rsidRPr="00DB5D0D">
        <w:rPr>
          <w:rFonts w:ascii="Times New Roman" w:hAnsi="Times New Roman"/>
          <w:color w:val="000000" w:themeColor="text1"/>
          <w:sz w:val="16"/>
          <w:szCs w:val="16"/>
        </w:rPr>
        <w:t>будут поражать трудноуязвимые для авиации цели, "имеющие броневое перекрытие (танки, надводный морской и речной флот и т.д.)", с пикирования под углами 45-60 град. ракетными бронебойными снаряда ми калибров 82 мм, 132 мм и 203 мм. При замене бронебойной головной части РБСов на бетонобойную, "что легко достигается стандартизацией ракетных частей", обеспечивалось поражение "наземных фортификационных сооружений". Поражение других целей с меньшей защитой (автомашины, артиллерия на позиции, огневые средства ПВО, пехота на марше и т.д.) предполагалось обеспечивать ракетными осколочно-фугасными снарядами калибра 132 мм – «РОФС-132». Основным козырем применения ракетных снарядов с пикирования являлась повышенная точность стрельбы и мощь боевых частей снарядов, разработанных в НИИ-3. Стрельбу предполагалось вести как одиночно, так и залпом из двух, четырех и восьми снарядов. При этом считалось, что именно залповая стрельба будет давать наибольший эффект. В качестве основных носителей такого оружия предлагалось использовать самолеты «И-15бис» или «И-16» (8 «РБС-82»), а также пикирующие варианты двух моторных бомбардировщиков «СБ» (22 «РБС-132») и «ДБ-3» (9 «РБС-203») (14915).</w:t>
      </w:r>
    </w:p>
    <w:p w14:paraId="2E54F879"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0CCCFCDF" w14:textId="77777777" w:rsidR="00847857" w:rsidRPr="00DB5D0D" w:rsidRDefault="00847857" w:rsidP="00DB5D0D">
      <w:pPr>
        <w:pStyle w:val="p1"/>
        <w:spacing w:before="0" w:beforeAutospacing="0" w:after="0" w:afterAutospacing="0"/>
        <w:jc w:val="both"/>
        <w:rPr>
          <w:color w:val="000000" w:themeColor="text1"/>
          <w:sz w:val="16"/>
          <w:szCs w:val="16"/>
        </w:rPr>
      </w:pPr>
      <w:r w:rsidRPr="00DB5D0D">
        <w:rPr>
          <w:color w:val="000000" w:themeColor="text1"/>
          <w:sz w:val="16"/>
          <w:szCs w:val="16"/>
        </w:rPr>
        <w:t xml:space="preserve">7 июня 1940 – директор НИИ-3 Б.М. Слонимер и А.Г. Костиков направили на имя члена Совета оборонной промышленности Комитета обороны при СНК СССР А.К. Ходякова развернутый доклад, в котором по итогам отработки ракетных снарядов различного типа предлагали форсировать работы по созданию систем ракетного вооружения для боевых самолетов, состоящих на вооружении ВВС КА. Предполагалось, что летающие ракетные батареи будут поражать трудноуязвимые для авиации цели, «имеющие броневое перекрытие (танки, надводный морской и речной флот и т. д.)», с пикирования под углами 45–60 град, ракетными бронебойными снарядами калибров 82, 132 и 203 мм. При замене бронебойной головной части РБСов на бетонобойную, «что легко достигается стандартизацией ракетных частей», обеспечивалось поражение «наземных фортификационных сооружений». Поражение других целей с меньшей защитой (автомашины, артиллерия на позиции, огневые средства ПВО, пехота на марше и т. д.) предполагалось обеспечивать ракетными осколочно-фугасными снарядами калибра 132 мм – РОФС-132. Основным козырем применения ракетных снарядов с пикирования являлась повышенная точность стрельбы и мощь боевых частей снарядов, разработанных в НИИ-3. Стрельбу предполагалось вести как одиночно, так и залпом из двух, четырех и восьми снарядов. При этом считалось, что именно залповая стрельба будет давать наибольший эффект. В качестве основных носителей такого оружия предлагалось использовать самолеты И-15бис или И-16 (8 РБС-82), а также пикирующие варианты двух моторных бомбардировщиков СБ (22 РБС-132) и ДБ-3 (9 РБС-203). Размещение ракетных снарядов на СБ предлагалось выполнить комбинированным: 10 РБС-132 разместить на пусковых установках под плоскостями крыла и 12 РБСов – в специальной кассетнице, расположенной в бомболюке самолета и выдвигаемой при стрельбе из бомболюка в воздушный поток. На ДБ-3 ракетные снаряды РБС-203 предлагалось разместить следующим образом: 3 снаряда под фюзеляжем и 10 – под крылом самолета. Предполагалось, что «монтаж и демонтаж ракетного вооружения самолетов (за исключением электропроводки в крыльях самолета)» в полевых </w:t>
      </w:r>
      <w:r w:rsidRPr="00DB5D0D">
        <w:rPr>
          <w:color w:val="000000" w:themeColor="text1"/>
          <w:sz w:val="16"/>
          <w:szCs w:val="16"/>
        </w:rPr>
        <w:lastRenderedPageBreak/>
        <w:t>условиях будет выполняться техническим составом авиачастей «в течение I ч. до 3,5 ч. в зависимости от типа самолета и калибра РБС». Для отработки методики стрельбы ракетными снарядами с пикирования, совершенствования пусковых установок ракетных орудий, отработки тактики применения ракетных самолетов Б.М. Слонимер и А.Г. Костиков просили выделить для испытаний в НИП АВ ВВС КА один СБ, один ДБ-3 и звено самолетов И-15бис или И-16. Полигон под Ногинском требовалось оборудовать «бетонноми и бронеплощадками размерами 50x50 м» (19588).</w:t>
      </w:r>
    </w:p>
    <w:p w14:paraId="2F0DB25B" w14:textId="77777777" w:rsidR="00847857" w:rsidRPr="00DB5D0D" w:rsidRDefault="00847857" w:rsidP="00DB5D0D">
      <w:pPr>
        <w:pStyle w:val="p1"/>
        <w:spacing w:before="0" w:beforeAutospacing="0" w:after="0" w:afterAutospacing="0"/>
        <w:jc w:val="both"/>
        <w:rPr>
          <w:color w:val="000000" w:themeColor="text1"/>
          <w:sz w:val="16"/>
          <w:szCs w:val="16"/>
        </w:rPr>
      </w:pPr>
    </w:p>
    <w:p w14:paraId="3B802181" w14:textId="77777777" w:rsidR="00A25AD1" w:rsidRPr="00DB5D0D" w:rsidRDefault="00A25AD1" w:rsidP="00DB5D0D">
      <w:pPr>
        <w:pStyle w:val="24"/>
        <w:widowControl/>
        <w:rPr>
          <w:color w:val="000000" w:themeColor="text1"/>
        </w:rPr>
      </w:pPr>
      <w:r w:rsidRPr="00DB5D0D">
        <w:rPr>
          <w:color w:val="000000" w:themeColor="text1"/>
        </w:rPr>
        <w:t>7 июня 1940 на НИП АВ закончились полигонные испытания металлических ампул АЖ-2 из двух сплошных полусфер со швом в "нахлест" конструкции завода № 67, которые проходили с 28 мая 1940</w:t>
      </w:r>
    </w:p>
    <w:p w14:paraId="3D92208A" w14:textId="77777777" w:rsidR="00A25AD1" w:rsidRPr="00DB5D0D" w:rsidRDefault="00A25AD1" w:rsidP="00DB5D0D">
      <w:pPr>
        <w:pStyle w:val="24"/>
        <w:widowControl/>
        <w:rPr>
          <w:color w:val="000000" w:themeColor="text1"/>
        </w:rPr>
      </w:pPr>
      <w:r w:rsidRPr="00DB5D0D">
        <w:rPr>
          <w:color w:val="000000" w:themeColor="text1"/>
        </w:rPr>
        <w:t>Отв. исполнитель:</w:t>
      </w:r>
    </w:p>
    <w:p w14:paraId="29F71D55" w14:textId="77777777" w:rsidR="00A25AD1" w:rsidRPr="00DB5D0D" w:rsidRDefault="00A25AD1" w:rsidP="00DB5D0D">
      <w:pPr>
        <w:pStyle w:val="24"/>
        <w:widowControl/>
        <w:rPr>
          <w:color w:val="000000" w:themeColor="text1"/>
        </w:rPr>
      </w:pPr>
      <w:r w:rsidRPr="00DB5D0D">
        <w:rPr>
          <w:color w:val="000000" w:themeColor="text1"/>
        </w:rPr>
        <w:t>В/инженер 3 ранга Лукашев</w:t>
      </w:r>
    </w:p>
    <w:p w14:paraId="082D1F7F" w14:textId="77777777" w:rsidR="00A25AD1" w:rsidRPr="00DB5D0D" w:rsidRDefault="00A25AD1" w:rsidP="00DB5D0D">
      <w:pPr>
        <w:pStyle w:val="24"/>
        <w:widowControl/>
        <w:rPr>
          <w:color w:val="000000" w:themeColor="text1"/>
        </w:rPr>
      </w:pPr>
      <w:r w:rsidRPr="00DB5D0D">
        <w:rPr>
          <w:color w:val="000000" w:themeColor="text1"/>
        </w:rPr>
        <w:t>Цель испытания</w:t>
      </w:r>
    </w:p>
    <w:p w14:paraId="461E07E7" w14:textId="77777777" w:rsidR="00A25AD1" w:rsidRPr="00DB5D0D" w:rsidRDefault="00A25AD1" w:rsidP="00DB5D0D">
      <w:pPr>
        <w:pStyle w:val="24"/>
        <w:widowControl/>
        <w:rPr>
          <w:color w:val="000000" w:themeColor="text1"/>
        </w:rPr>
      </w:pPr>
      <w:r w:rsidRPr="00DB5D0D">
        <w:rPr>
          <w:color w:val="000000" w:themeColor="text1"/>
        </w:rPr>
        <w:t>Целью полигонных испытаний ампул из двух сплошных полусфер, являлось определение следующих элементов:</w:t>
      </w:r>
    </w:p>
    <w:p w14:paraId="09220EAD" w14:textId="77777777" w:rsidR="00A25AD1" w:rsidRPr="00DB5D0D" w:rsidRDefault="00A25AD1" w:rsidP="00DB5D0D">
      <w:pPr>
        <w:pStyle w:val="24"/>
        <w:widowControl/>
        <w:rPr>
          <w:color w:val="000000" w:themeColor="text1"/>
        </w:rPr>
      </w:pPr>
      <w:r w:rsidRPr="00DB5D0D">
        <w:rPr>
          <w:color w:val="000000" w:themeColor="text1"/>
        </w:rPr>
        <w:t>а) прочности и надежности конструкции;</w:t>
      </w:r>
    </w:p>
    <w:p w14:paraId="7A99A995" w14:textId="77777777" w:rsidR="00A25AD1" w:rsidRPr="00DB5D0D" w:rsidRDefault="00A25AD1" w:rsidP="00DB5D0D">
      <w:pPr>
        <w:pStyle w:val="24"/>
        <w:widowControl/>
        <w:rPr>
          <w:color w:val="000000" w:themeColor="text1"/>
        </w:rPr>
      </w:pPr>
      <w:r w:rsidRPr="00DB5D0D">
        <w:rPr>
          <w:color w:val="000000" w:themeColor="text1"/>
        </w:rPr>
        <w:t>б) характера разрушения оболочки ампулы при ударе о преграду;</w:t>
      </w:r>
    </w:p>
    <w:p w14:paraId="740BB5CF" w14:textId="77777777" w:rsidR="00A25AD1" w:rsidRPr="00DB5D0D" w:rsidRDefault="00A25AD1" w:rsidP="00DB5D0D">
      <w:pPr>
        <w:pStyle w:val="24"/>
        <w:widowControl/>
        <w:rPr>
          <w:color w:val="000000" w:themeColor="text1"/>
        </w:rPr>
      </w:pPr>
      <w:r w:rsidRPr="00DB5D0D">
        <w:rPr>
          <w:color w:val="000000" w:themeColor="text1"/>
        </w:rPr>
        <w:t>в) характера разбрызгивания жидкости на площади (у ампул с полным и частичным разрушением оболочки);</w:t>
      </w:r>
    </w:p>
    <w:p w14:paraId="004AA9A2" w14:textId="77777777" w:rsidR="00A25AD1" w:rsidRPr="00DB5D0D" w:rsidRDefault="00A25AD1" w:rsidP="00DB5D0D">
      <w:pPr>
        <w:pStyle w:val="24"/>
        <w:widowControl/>
        <w:rPr>
          <w:color w:val="000000" w:themeColor="text1"/>
        </w:rPr>
      </w:pPr>
      <w:r w:rsidRPr="00DB5D0D">
        <w:rPr>
          <w:color w:val="000000" w:themeColor="text1"/>
        </w:rPr>
        <w:t>г) возможность замены серийной ампулы АЖ-2 на ампулу из двух сплошных полусфер.</w:t>
      </w:r>
    </w:p>
    <w:p w14:paraId="4B5A60D3" w14:textId="77777777" w:rsidR="00A25AD1" w:rsidRPr="00DB5D0D" w:rsidRDefault="00A25AD1" w:rsidP="00DB5D0D">
      <w:pPr>
        <w:pStyle w:val="24"/>
        <w:widowControl/>
        <w:rPr>
          <w:color w:val="000000" w:themeColor="text1"/>
        </w:rPr>
      </w:pPr>
      <w:r w:rsidRPr="00DB5D0D">
        <w:rPr>
          <w:color w:val="000000" w:themeColor="text1"/>
        </w:rPr>
        <w:t>Ампулы АЖ-2 из двух сплошных полусфер со швом в "нахлест" являются дальнейшей попыткой удешевления серийной ампулы АЖ-2, гл. образом за счет упрощения технологии изготовления.</w:t>
      </w:r>
    </w:p>
    <w:p w14:paraId="6541689A" w14:textId="77777777" w:rsidR="00A25AD1" w:rsidRPr="00DB5D0D" w:rsidRDefault="00A25AD1" w:rsidP="00DB5D0D">
      <w:pPr>
        <w:pStyle w:val="24"/>
        <w:widowControl/>
        <w:rPr>
          <w:color w:val="000000" w:themeColor="text1"/>
        </w:rPr>
      </w:pPr>
      <w:r w:rsidRPr="00DB5D0D">
        <w:rPr>
          <w:color w:val="000000" w:themeColor="text1"/>
        </w:rPr>
        <w:t>Заключение</w:t>
      </w:r>
    </w:p>
    <w:p w14:paraId="1956BE07" w14:textId="77777777" w:rsidR="00A25AD1" w:rsidRPr="00DB5D0D" w:rsidRDefault="00A25AD1" w:rsidP="00DB5D0D">
      <w:pPr>
        <w:pStyle w:val="24"/>
        <w:widowControl/>
        <w:tabs>
          <w:tab w:val="left" w:pos="360"/>
        </w:tabs>
        <w:rPr>
          <w:color w:val="000000" w:themeColor="text1"/>
        </w:rPr>
      </w:pPr>
      <w:r w:rsidRPr="00DB5D0D">
        <w:rPr>
          <w:color w:val="000000" w:themeColor="text1"/>
        </w:rPr>
        <w:t>Предъявленные на полигонные испытания ампулы из двух сплошных полусфер со швом в "нахлест", конструкции завода № 67, полигонные испытания не выдержали (7648).</w:t>
      </w:r>
    </w:p>
    <w:p w14:paraId="2FC4E378" w14:textId="77777777" w:rsidR="00A25AD1" w:rsidRPr="00DB5D0D" w:rsidRDefault="00A25AD1" w:rsidP="00DB5D0D">
      <w:pPr>
        <w:pStyle w:val="24"/>
        <w:widowControl/>
        <w:tabs>
          <w:tab w:val="left" w:pos="360"/>
        </w:tabs>
        <w:rPr>
          <w:color w:val="000000" w:themeColor="text1"/>
        </w:rPr>
      </w:pPr>
    </w:p>
    <w:p w14:paraId="2F572C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7 по 11 июня 1940 в НИИ ВВС проходили полигонные испытания модернизированных ампульных кассет АК-2ум и контрольным испытаниям ампульных кассет изготовленных по ТУ военного впемени (конструкции завода № 145) на самолете ДБ-3</w:t>
      </w:r>
    </w:p>
    <w:p w14:paraId="3E5946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1FF21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33B09B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955A9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полигонных испытаний модернизированных ампульных кассет АК-2ум и контрольных испытаний АК-2, изготовленных по ТУ военного времени являлось определение следующих элементов:</w:t>
      </w:r>
    </w:p>
    <w:p w14:paraId="0662827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Прочности и надежности конструкции.</w:t>
      </w:r>
    </w:p>
    <w:p w14:paraId="0C32E5E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Надежности и безотказности работы всех механизмов.</w:t>
      </w:r>
    </w:p>
    <w:p w14:paraId="17AA488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Вявление вариантов ампульной и бомбовой загрузок.</w:t>
      </w:r>
    </w:p>
    <w:p w14:paraId="7AAE123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Характера рассеивания ампул и бомб при сбрасывании с самолета.</w:t>
      </w:r>
    </w:p>
    <w:p w14:paraId="02FD2B9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Удобства и безопасности в эксплуатации.</w:t>
      </w:r>
    </w:p>
    <w:p w14:paraId="457DD3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718CD2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заводом № 145 на полигонные испытания кассеты АК-2 ум полигонных испытаний не выдержали.</w:t>
      </w:r>
    </w:p>
    <w:p w14:paraId="5D8395A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предъявленные на контрольные испытания кассеты АК-2у, изготовленные по ТУ военного времени контрольных испытаний не выдержали (7408).</w:t>
      </w:r>
    </w:p>
    <w:p w14:paraId="1C10255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327665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7 по 28 июня 1940 года на НИП АВ ВВС проходили заводские испытания авиационно-дымовых шашек (АДШ) конструкции завода № 145 на самолете СБ</w:t>
      </w:r>
    </w:p>
    <w:p w14:paraId="032E73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28055F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4 отделения Опытного отдела НИП АВ ВВС Комарницкий</w:t>
      </w:r>
    </w:p>
    <w:p w14:paraId="712A25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78F60E3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боевые и конструктивно-эксплуатационные качества авиационно-дымовых шашек (АДШ) конструкции завода № 145 на самолете СБ.</w:t>
      </w:r>
    </w:p>
    <w:p w14:paraId="128D00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АДШ предназначены для применения с самолета в целях создания наземных завес нейтрального или ядовитого дыма.</w:t>
      </w:r>
    </w:p>
    <w:p w14:paraId="4659B7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ADC952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Авиационно-дымовые шашки конструкции завода № 145 заводские испытания не выдержали (7596).</w:t>
      </w:r>
    </w:p>
    <w:p w14:paraId="7B5394C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507F370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B6F3CA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57660C1" w14:textId="77777777" w:rsidR="00A361CD" w:rsidRPr="00DB5D0D" w:rsidRDefault="00A361C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 Постановлением СНК СССР № 983</w:t>
      </w:r>
      <w:r w:rsidRPr="00DB5D0D">
        <w:rPr>
          <w:rFonts w:ascii="Times New Roman" w:hAnsi="Times New Roman"/>
          <w:color w:val="000000" w:themeColor="text1"/>
          <w:sz w:val="16"/>
          <w:szCs w:val="16"/>
        </w:rPr>
        <w:noBreakHyphen/>
        <w:t>372сс на Комитет обороны СССР была возложена разработка мобилизационных планов для народного хозяйства, для чего в его составе создан мобилизационно-плановый отдел, который просуществовал до 9 апреля 1941 г., когда был вновь слит с секретариатом. По этому же постановлению был пересмотрен штат секретариата. Количество его отделов сократилось до пяти: 1) текущий заказов (с отделениями: сводного плана; вооружения и боеприпасов; авиационное; автобронетанкового вооружения; химического, инженерного вооружения и связи); 2) морской (с отделениями: судостроения и судоремонта; вооружения и боеприпасов); 3) военно-хозяйственного снабжения (с отделениями: продовольственного снабжения; обозно-вещевого снабжения; санитарно-ветеринарного имущества); 4) капитального строительства НКО и НК ВМФ (с отделениями: капитального строительства НКО; капитального строительства НКВМФ); 5) общий (с отделениями: оформления постановлений КО; делопроизводство). Отдельно были выделены отделения финансов и воинских перевозок, а также Военно-техническое бюро. Комитету обороны были определены следующие основные задачи: подготовка и рассмотрение годовых и квартальных планов текущих военных заказов и планов воинских перевозок; подготовка вопросов, связанных с принятием на вооружение и на производство новых образцов вооружения, со снятием с производства и вооружения устаревших образцов, оборонительным и необоронительным строительством наркоматов обороны и ВМФ, их финансированием, а также хранение документов КО и ведение текущей переписки. 9 апреля 1941 г. Комитет обороны получил статус чрезвычайного органа управления с четко определенными функциями. В его состав, сокращенный в марте до 5 чел., вошли К. В. Ворошилов (председатель), А. А. Жданов (зам. председателя), И. В. Сталин, С. К. Тимошенко и Н. Г. Кузнецов. Комитет обороны при СНК СССР был упразднен 30 июня 1941 г. в связи с образованием Государственного комитета обороны СССР. (ГА РФ. Ф. Р</w:t>
      </w:r>
      <w:r w:rsidRPr="00DB5D0D">
        <w:rPr>
          <w:rFonts w:ascii="Times New Roman" w:hAnsi="Times New Roman"/>
          <w:color w:val="000000" w:themeColor="text1"/>
          <w:sz w:val="16"/>
          <w:szCs w:val="16"/>
        </w:rPr>
        <w:noBreakHyphen/>
        <w:t>5446. Оп. 3ос. Д. 2. Л. 102</w:t>
      </w:r>
      <w:r w:rsidRPr="00DB5D0D">
        <w:rPr>
          <w:rFonts w:ascii="Times New Roman" w:hAnsi="Times New Roman"/>
          <w:color w:val="000000" w:themeColor="text1"/>
          <w:sz w:val="16"/>
          <w:szCs w:val="16"/>
        </w:rPr>
        <w:noBreakHyphen/>
        <w:t>109.) (17750).</w:t>
      </w:r>
    </w:p>
    <w:p w14:paraId="196AABA6" w14:textId="77777777" w:rsidR="00A361CD" w:rsidRPr="00DB5D0D" w:rsidRDefault="00A361CD" w:rsidP="00DB5D0D">
      <w:pPr>
        <w:spacing w:after="0" w:line="240" w:lineRule="auto"/>
        <w:jc w:val="both"/>
        <w:rPr>
          <w:rFonts w:ascii="Times New Roman" w:eastAsia="Times New Roman" w:hAnsi="Times New Roman"/>
          <w:color w:val="000000" w:themeColor="text1"/>
          <w:sz w:val="16"/>
          <w:szCs w:val="16"/>
          <w:lang w:eastAsia="ru-RU"/>
        </w:rPr>
      </w:pPr>
    </w:p>
    <w:p w14:paraId="5AA08150" w14:textId="77777777" w:rsidR="007C3C59" w:rsidRPr="00DB5D0D" w:rsidRDefault="007C3C5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7 июня 1940 г. вышло постановле</w:t>
      </w:r>
      <w:r w:rsidRPr="00DB5D0D">
        <w:rPr>
          <w:rFonts w:ascii="Times New Roman" w:hAnsi="Times New Roman"/>
          <w:color w:val="0070C0"/>
          <w:sz w:val="16"/>
          <w:szCs w:val="16"/>
          <w:lang w:eastAsia="ru-RU" w:bidi="ru-RU"/>
        </w:rPr>
        <w:softHyphen/>
        <w:t>ние СНК № 978/372сс «О реорганизации аппарата КО», согласно которому, аппарат КО должен был состоять из Мобилиза</w:t>
      </w:r>
      <w:r w:rsidRPr="00DB5D0D">
        <w:rPr>
          <w:rFonts w:ascii="Times New Roman" w:hAnsi="Times New Roman"/>
          <w:color w:val="0070C0"/>
          <w:sz w:val="16"/>
          <w:szCs w:val="16"/>
          <w:lang w:eastAsia="ru-RU" w:bidi="ru-RU"/>
        </w:rPr>
        <w:softHyphen/>
        <w:t>ционно-планового отдела и секретариата. В задачи отдела вхо</w:t>
      </w:r>
      <w:r w:rsidRPr="00DB5D0D">
        <w:rPr>
          <w:rFonts w:ascii="Times New Roman" w:hAnsi="Times New Roman"/>
          <w:color w:val="0070C0"/>
          <w:sz w:val="16"/>
          <w:szCs w:val="16"/>
          <w:lang w:eastAsia="ru-RU" w:bidi="ru-RU"/>
        </w:rPr>
        <w:softHyphen/>
        <w:t>дила «разработка мобпланов промышленности, транспорта и ПВО, на основе заявок НКО, НКВМФ (Наркомата военно</w:t>
      </w:r>
      <w:r w:rsidRPr="00DB5D0D">
        <w:rPr>
          <w:rFonts w:ascii="Times New Roman" w:hAnsi="Times New Roman"/>
          <w:color w:val="0070C0"/>
          <w:sz w:val="16"/>
          <w:szCs w:val="16"/>
          <w:lang w:eastAsia="ru-RU" w:bidi="ru-RU"/>
        </w:rPr>
        <w:softHyphen/>
        <w:t>морского флота) и войск НКВД (Наркомата внутрен</w:t>
      </w:r>
      <w:r w:rsidRPr="00DB5D0D">
        <w:rPr>
          <w:rFonts w:ascii="Times New Roman" w:hAnsi="Times New Roman"/>
          <w:color w:val="0070C0"/>
          <w:sz w:val="16"/>
          <w:szCs w:val="16"/>
          <w:lang w:eastAsia="ru-RU" w:bidi="ru-RU"/>
        </w:rPr>
        <w:softHyphen/>
        <w:t>них дел)</w:t>
      </w:r>
      <w:r w:rsidRPr="00DB5D0D">
        <w:rPr>
          <w:rFonts w:ascii="Times New Roman" w:hAnsi="Times New Roman"/>
          <w:i/>
          <w:iCs/>
          <w:color w:val="0070C0"/>
          <w:sz w:val="16"/>
          <w:szCs w:val="16"/>
          <w:lang w:eastAsia="ru-RU" w:bidi="ru-RU"/>
        </w:rPr>
        <w:t>,</w:t>
      </w:r>
      <w:r w:rsidRPr="00DB5D0D">
        <w:rPr>
          <w:rFonts w:ascii="Times New Roman" w:hAnsi="Times New Roman"/>
          <w:color w:val="0070C0"/>
          <w:sz w:val="16"/>
          <w:szCs w:val="16"/>
          <w:lang w:eastAsia="ru-RU" w:bidi="ru-RU"/>
        </w:rPr>
        <w:t xml:space="preserve"> а также подготовка к рассмотрению на КО всех вопросов, связанных с мобилизацией промышленности и транспорта. Секретариат должен был готовить к рассмотрению на КО вопросы, связанные с текущим нуждами военведа: годо</w:t>
      </w:r>
      <w:r w:rsidRPr="00DB5D0D">
        <w:rPr>
          <w:rFonts w:ascii="Times New Roman" w:hAnsi="Times New Roman"/>
          <w:color w:val="0070C0"/>
          <w:sz w:val="16"/>
          <w:szCs w:val="16"/>
          <w:lang w:eastAsia="ru-RU" w:bidi="ru-RU"/>
        </w:rPr>
        <w:softHyphen/>
        <w:t>вые и квартальные планы ТВЗ, планы воинских перевозок, воп</w:t>
      </w:r>
      <w:r w:rsidRPr="00DB5D0D">
        <w:rPr>
          <w:rFonts w:ascii="Times New Roman" w:hAnsi="Times New Roman"/>
          <w:color w:val="0070C0"/>
          <w:sz w:val="16"/>
          <w:szCs w:val="16"/>
          <w:lang w:eastAsia="ru-RU" w:bidi="ru-RU"/>
        </w:rPr>
        <w:softHyphen/>
        <w:t>росы строительства НКО и НКВМФ, принятия и снятия с про</w:t>
      </w:r>
      <w:r w:rsidRPr="00DB5D0D">
        <w:rPr>
          <w:rFonts w:ascii="Times New Roman" w:hAnsi="Times New Roman"/>
          <w:color w:val="0070C0"/>
          <w:sz w:val="16"/>
          <w:szCs w:val="16"/>
          <w:lang w:eastAsia="ru-RU" w:bidi="ru-RU"/>
        </w:rPr>
        <w:softHyphen/>
        <w:t>изводства видов вооружений, финансирования военведа (ГАРФ. Ф. 8418. Оп. 24. Д. 226. Л. 1—2. Постановление СНК № 983/372сс «О реорганизации аппарата КО» от 07.06.1940) (22647).</w:t>
      </w:r>
    </w:p>
    <w:p w14:paraId="5A8DBB9E" w14:textId="77777777" w:rsidR="007C3C59" w:rsidRPr="00DB5D0D" w:rsidRDefault="007C3C59" w:rsidP="00DB5D0D">
      <w:pPr>
        <w:spacing w:after="0" w:line="240" w:lineRule="auto"/>
        <w:jc w:val="both"/>
        <w:rPr>
          <w:rFonts w:ascii="Times New Roman" w:hAnsi="Times New Roman"/>
          <w:i/>
          <w:iCs/>
          <w:color w:val="0070C0"/>
          <w:sz w:val="16"/>
          <w:szCs w:val="16"/>
          <w:lang w:eastAsia="ru-RU" w:bidi="ru-RU"/>
        </w:rPr>
      </w:pPr>
    </w:p>
    <w:p w14:paraId="2C47C97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года вышел приказ № 155с НКВ</w:t>
      </w:r>
    </w:p>
    <w:p w14:paraId="59096D2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 №№ 221, 232, 371, 172, 235, 352 подчинить непосредственно мне, выделив из состава соответствующих главных управлений (6241, 17).</w:t>
      </w:r>
    </w:p>
    <w:p w14:paraId="59ACE8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96AE6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7 июня по 29 июля 1940 года на НИЗАПе были проведены испытания 100-мм зенитной пушки 73-К. За это время сделано 885 выстрелов из трубы с мелкой нарезкой и 60 из трубы с глубокой нарезкой, система прошла 1000 км. По заводскому расчету начальная скорость 73-К была 850 м/с или 875 м/с, а в результате испытаний была определена 820 м/с. Тем не менее при этой начальной скорости заряд патронировался с трудом - мала гильза. Для испытаний 73-К (трубы с нормальными нарезами) было представлено 3 чертежа снарядов:</w:t>
      </w:r>
    </w:p>
    <w:p w14:paraId="752AA4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чертежа 2-965, специально спроектированный для данной системы;</w:t>
      </w:r>
    </w:p>
    <w:p w14:paraId="000088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чертежа 1767 принят на вооружение в ВМФ для Б-34;</w:t>
      </w:r>
    </w:p>
    <w:p w14:paraId="2F8D6C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чертежа 2-349, сконструированный и изготовленный в 1938 году.</w:t>
      </w:r>
    </w:p>
    <w:p w14:paraId="5F8E1B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ночь с 29 на 30 июня 1940 года у 100-мм зенитной пушки 73-К разорвался дульный тормоз, а через 6 выстрелов разорвался второй дульный тормоз. Досылатель и затвор действовали без отказов. Система буксировалась автомобилем ЗИС-5, ЯГ-4 и тракторами СТЗ, НАТИ. Лучшие результаты достигнуты при буксировке ЗИС-5: максимальная скорость 3035 км/час, средняя 25 км/час. Пределом считается 50 км/час. Фактический темп стрельбы 1517 выстр./мин. без применения АУТ. По результатам испытаний пушка 73-К была рекомендована к принятию на вооружение Красной армии после устранения дефектов, указанных в отчете (3861).</w:t>
      </w:r>
    </w:p>
    <w:p w14:paraId="69BD689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639CCA" w14:textId="77777777" w:rsidR="00620392" w:rsidRPr="00DB5D0D" w:rsidRDefault="0062039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7 июня 1940 г. было принято Постановление Комитета обороны при СНК СССР № 250сс “Об организации производства пистолетов-пулеметов “ППД” на заводе № 367 Наркомвооружения в г. Загорске” (ГА РФ. Ф. Р</w:t>
      </w:r>
      <w:r w:rsidRPr="00DB5D0D">
        <w:rPr>
          <w:rFonts w:ascii="Times New Roman" w:hAnsi="Times New Roman"/>
          <w:color w:val="000000" w:themeColor="text1"/>
          <w:sz w:val="16"/>
          <w:szCs w:val="16"/>
        </w:rPr>
        <w:noBreakHyphen/>
        <w:t>8418. Оп. 28. Д. 116. Л. 215</w:t>
      </w:r>
      <w:r w:rsidRPr="00DB5D0D">
        <w:rPr>
          <w:rFonts w:ascii="Times New Roman" w:hAnsi="Times New Roman"/>
          <w:color w:val="000000" w:themeColor="text1"/>
          <w:sz w:val="16"/>
          <w:szCs w:val="16"/>
        </w:rPr>
        <w:noBreakHyphen/>
        <w:t>216) (17797).</w:t>
      </w:r>
    </w:p>
    <w:p w14:paraId="6282C2FA" w14:textId="77777777" w:rsidR="00620392" w:rsidRPr="00DB5D0D" w:rsidRDefault="00620392" w:rsidP="00DB5D0D">
      <w:pPr>
        <w:spacing w:after="0" w:line="240" w:lineRule="auto"/>
        <w:jc w:val="both"/>
        <w:rPr>
          <w:rFonts w:ascii="Times New Roman" w:hAnsi="Times New Roman"/>
          <w:color w:val="000000" w:themeColor="text1"/>
          <w:sz w:val="16"/>
          <w:szCs w:val="16"/>
        </w:rPr>
      </w:pPr>
    </w:p>
    <w:p w14:paraId="0CBC9971" w14:textId="77777777" w:rsidR="007C3C59" w:rsidRPr="00DB5D0D" w:rsidRDefault="007C3C5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7 июня 1940 вышло постановление Комитета обороны при СНК СССР "Об организации производства пистолетов-пулеметов “ППД” на заводе № 367 Наркомвооружения в г. Загорске" (21923).</w:t>
      </w:r>
    </w:p>
    <w:p w14:paraId="3A572937" w14:textId="77777777" w:rsidR="007C3C59" w:rsidRPr="00DB5D0D" w:rsidRDefault="007C3C59" w:rsidP="00DB5D0D">
      <w:pPr>
        <w:spacing w:after="0" w:line="240" w:lineRule="auto"/>
        <w:jc w:val="both"/>
        <w:rPr>
          <w:rFonts w:ascii="Times New Roman" w:hAnsi="Times New Roman"/>
          <w:color w:val="0070C0"/>
          <w:sz w:val="16"/>
          <w:szCs w:val="16"/>
        </w:rPr>
      </w:pPr>
    </w:p>
    <w:p w14:paraId="4D7EE9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вышло постановление СНК и ЦК ВКП(б) № 976-368сс “О производстве танков Т-34 в 1940” и определили программу в 600 танков, в т.ч. 500 на з-де № 183, а 100 - на СТЗ. З-д № 75 д.б. выпустить 2000 дизелей В-2 до конца года (4661, 42).</w:t>
      </w:r>
    </w:p>
    <w:p w14:paraId="18D4B1A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B045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 вышло ПОСТАНОВЛЕНИЕ СНК СССР И ЦК ВКП(б) "О ПРОИЗВОДСТВЕ ТАНКОВ Т-34 В 1940 ГОДУ" № 976-368сс</w:t>
      </w:r>
    </w:p>
    <w:p w14:paraId="2F639C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Сов. секретно </w:t>
      </w:r>
    </w:p>
    <w:p w14:paraId="1B7D35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Особой важности </w:t>
      </w:r>
    </w:p>
    <w:p w14:paraId="2D699F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Придавая особо важное значение оснащению Красной Армии танками Т-34, Совет Народных Комиссаров Союза ССР и ЦК ВКП(б) постановляют: </w:t>
      </w:r>
    </w:p>
    <w:p w14:paraId="482522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Обязать народного комиссара среднего машиностроения тов.Лихачева И.А.: </w:t>
      </w:r>
    </w:p>
    <w:p w14:paraId="53AAED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изготовить в 1940 году - 600 танков Т-34, из них: </w:t>
      </w:r>
    </w:p>
    <w:p w14:paraId="5F668B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 183 (им. Коминтерна) - 500 шт.</w:t>
      </w:r>
    </w:p>
    <w:p w14:paraId="7BF781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Сталинградском Тракторном - 100 шт., со следующей разбивкой по месяцам: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00"/>
        <w:gridCol w:w="720"/>
        <w:gridCol w:w="720"/>
        <w:gridCol w:w="1080"/>
        <w:gridCol w:w="1601"/>
        <w:gridCol w:w="1401"/>
        <w:gridCol w:w="1203"/>
        <w:gridCol w:w="1401"/>
      </w:tblGrid>
      <w:tr w:rsidR="007D5DF8" w:rsidRPr="00DB5D0D" w14:paraId="4EA495EF" w14:textId="77777777" w:rsidTr="009223E5">
        <w:tc>
          <w:tcPr>
            <w:tcW w:w="900" w:type="dxa"/>
            <w:tcBorders>
              <w:top w:val="single" w:sz="12" w:space="0" w:color="auto"/>
            </w:tcBorders>
          </w:tcPr>
          <w:p w14:paraId="61316CB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0" w:type="dxa"/>
            <w:tcBorders>
              <w:top w:val="single" w:sz="12" w:space="0" w:color="auto"/>
            </w:tcBorders>
          </w:tcPr>
          <w:p w14:paraId="402388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w:t>
            </w:r>
          </w:p>
        </w:tc>
        <w:tc>
          <w:tcPr>
            <w:tcW w:w="720" w:type="dxa"/>
            <w:tcBorders>
              <w:top w:val="single" w:sz="12" w:space="0" w:color="auto"/>
            </w:tcBorders>
          </w:tcPr>
          <w:p w14:paraId="2E4A03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w:t>
            </w:r>
          </w:p>
        </w:tc>
        <w:tc>
          <w:tcPr>
            <w:tcW w:w="1080" w:type="dxa"/>
            <w:tcBorders>
              <w:top w:val="single" w:sz="12" w:space="0" w:color="auto"/>
            </w:tcBorders>
          </w:tcPr>
          <w:p w14:paraId="6882D5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1601" w:type="dxa"/>
            <w:tcBorders>
              <w:top w:val="single" w:sz="12" w:space="0" w:color="auto"/>
            </w:tcBorders>
          </w:tcPr>
          <w:p w14:paraId="7E3734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1401" w:type="dxa"/>
            <w:tcBorders>
              <w:top w:val="single" w:sz="12" w:space="0" w:color="auto"/>
            </w:tcBorders>
          </w:tcPr>
          <w:p w14:paraId="26E1E5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1203" w:type="dxa"/>
            <w:tcBorders>
              <w:top w:val="single" w:sz="12" w:space="0" w:color="auto"/>
            </w:tcBorders>
          </w:tcPr>
          <w:p w14:paraId="43330A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1401" w:type="dxa"/>
            <w:tcBorders>
              <w:top w:val="single" w:sz="12" w:space="0" w:color="auto"/>
            </w:tcBorders>
          </w:tcPr>
          <w:p w14:paraId="182140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w:t>
            </w:r>
          </w:p>
        </w:tc>
      </w:tr>
      <w:tr w:rsidR="007D5DF8" w:rsidRPr="00DB5D0D" w14:paraId="51992643" w14:textId="77777777" w:rsidTr="009223E5">
        <w:tc>
          <w:tcPr>
            <w:tcW w:w="900" w:type="dxa"/>
          </w:tcPr>
          <w:p w14:paraId="1B18DB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720" w:type="dxa"/>
          </w:tcPr>
          <w:p w14:paraId="23974FE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20" w:type="dxa"/>
          </w:tcPr>
          <w:p w14:paraId="7EE1C2E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080" w:type="dxa"/>
          </w:tcPr>
          <w:p w14:paraId="36003F7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01" w:type="dxa"/>
          </w:tcPr>
          <w:p w14:paraId="4290713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01" w:type="dxa"/>
          </w:tcPr>
          <w:p w14:paraId="3A53CD1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03" w:type="dxa"/>
          </w:tcPr>
          <w:p w14:paraId="3BEF556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01" w:type="dxa"/>
          </w:tcPr>
          <w:p w14:paraId="67AC21C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0F7BC5E" w14:textId="77777777" w:rsidTr="009223E5">
        <w:tc>
          <w:tcPr>
            <w:tcW w:w="900" w:type="dxa"/>
          </w:tcPr>
          <w:p w14:paraId="7B5DB7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№183</w:t>
            </w:r>
          </w:p>
        </w:tc>
        <w:tc>
          <w:tcPr>
            <w:tcW w:w="720" w:type="dxa"/>
          </w:tcPr>
          <w:p w14:paraId="554437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20" w:type="dxa"/>
          </w:tcPr>
          <w:p w14:paraId="35244B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080" w:type="dxa"/>
          </w:tcPr>
          <w:p w14:paraId="4C82E3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601" w:type="dxa"/>
          </w:tcPr>
          <w:p w14:paraId="546061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w:t>
            </w:r>
          </w:p>
        </w:tc>
        <w:tc>
          <w:tcPr>
            <w:tcW w:w="1401" w:type="dxa"/>
          </w:tcPr>
          <w:p w14:paraId="107AFE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1203" w:type="dxa"/>
          </w:tcPr>
          <w:p w14:paraId="598A70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1401" w:type="dxa"/>
          </w:tcPr>
          <w:p w14:paraId="2EFD28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r>
      <w:tr w:rsidR="007D5DF8" w:rsidRPr="00DB5D0D" w14:paraId="54641C28" w14:textId="77777777" w:rsidTr="009223E5">
        <w:tc>
          <w:tcPr>
            <w:tcW w:w="900" w:type="dxa"/>
            <w:tcBorders>
              <w:bottom w:val="single" w:sz="12" w:space="0" w:color="auto"/>
            </w:tcBorders>
          </w:tcPr>
          <w:p w14:paraId="7B023C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СТЗ</w:t>
            </w:r>
          </w:p>
        </w:tc>
        <w:tc>
          <w:tcPr>
            <w:tcW w:w="720" w:type="dxa"/>
            <w:tcBorders>
              <w:bottom w:val="single" w:sz="12" w:space="0" w:color="auto"/>
            </w:tcBorders>
          </w:tcPr>
          <w:p w14:paraId="1FE988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20" w:type="dxa"/>
            <w:tcBorders>
              <w:bottom w:val="single" w:sz="12" w:space="0" w:color="auto"/>
            </w:tcBorders>
          </w:tcPr>
          <w:p w14:paraId="5D35D0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080" w:type="dxa"/>
            <w:tcBorders>
              <w:bottom w:val="single" w:sz="12" w:space="0" w:color="auto"/>
            </w:tcBorders>
          </w:tcPr>
          <w:p w14:paraId="748002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601" w:type="dxa"/>
            <w:tcBorders>
              <w:bottom w:val="single" w:sz="12" w:space="0" w:color="auto"/>
            </w:tcBorders>
          </w:tcPr>
          <w:p w14:paraId="6DDB6C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01" w:type="dxa"/>
            <w:tcBorders>
              <w:bottom w:val="single" w:sz="12" w:space="0" w:color="auto"/>
            </w:tcBorders>
          </w:tcPr>
          <w:p w14:paraId="15EF00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203" w:type="dxa"/>
            <w:tcBorders>
              <w:bottom w:val="single" w:sz="12" w:space="0" w:color="auto"/>
            </w:tcBorders>
          </w:tcPr>
          <w:p w14:paraId="0CEAED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401" w:type="dxa"/>
            <w:tcBorders>
              <w:bottom w:val="single" w:sz="12" w:space="0" w:color="auto"/>
            </w:tcBorders>
          </w:tcPr>
          <w:p w14:paraId="2B9D80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bl>
    <w:p w14:paraId="1F990D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обеспечить полностью программу 1941 г. по выпуску танков Т-34 дизелями, для чего увеличить выпуск моторов Б-2 на заводе № 75 и изготовить до конца 1940 года 2000 шт., со следующей разбивкой по месяцам: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00"/>
        <w:gridCol w:w="737"/>
        <w:gridCol w:w="737"/>
        <w:gridCol w:w="1046"/>
        <w:gridCol w:w="1620"/>
        <w:gridCol w:w="1350"/>
        <w:gridCol w:w="1260"/>
        <w:gridCol w:w="1350"/>
      </w:tblGrid>
      <w:tr w:rsidR="007D5DF8" w:rsidRPr="00DB5D0D" w14:paraId="1579FC3D" w14:textId="77777777" w:rsidTr="009223E5">
        <w:tc>
          <w:tcPr>
            <w:tcW w:w="900" w:type="dxa"/>
            <w:tcBorders>
              <w:top w:val="single" w:sz="12" w:space="0" w:color="auto"/>
            </w:tcBorders>
          </w:tcPr>
          <w:p w14:paraId="4DB691C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37" w:type="dxa"/>
            <w:tcBorders>
              <w:top w:val="single" w:sz="12" w:space="0" w:color="auto"/>
            </w:tcBorders>
          </w:tcPr>
          <w:p w14:paraId="7002A6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w:t>
            </w:r>
          </w:p>
        </w:tc>
        <w:tc>
          <w:tcPr>
            <w:tcW w:w="737" w:type="dxa"/>
            <w:tcBorders>
              <w:top w:val="single" w:sz="12" w:space="0" w:color="auto"/>
            </w:tcBorders>
          </w:tcPr>
          <w:p w14:paraId="30BD53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w:t>
            </w:r>
          </w:p>
        </w:tc>
        <w:tc>
          <w:tcPr>
            <w:tcW w:w="1046" w:type="dxa"/>
            <w:tcBorders>
              <w:top w:val="single" w:sz="12" w:space="0" w:color="auto"/>
            </w:tcBorders>
          </w:tcPr>
          <w:p w14:paraId="6A2DF1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1620" w:type="dxa"/>
            <w:tcBorders>
              <w:top w:val="single" w:sz="12" w:space="0" w:color="auto"/>
            </w:tcBorders>
          </w:tcPr>
          <w:p w14:paraId="7F8AD5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1350" w:type="dxa"/>
            <w:tcBorders>
              <w:top w:val="single" w:sz="12" w:space="0" w:color="auto"/>
            </w:tcBorders>
          </w:tcPr>
          <w:p w14:paraId="0C3E63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1260" w:type="dxa"/>
            <w:tcBorders>
              <w:top w:val="single" w:sz="12" w:space="0" w:color="auto"/>
            </w:tcBorders>
          </w:tcPr>
          <w:p w14:paraId="5069F3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1350" w:type="dxa"/>
            <w:tcBorders>
              <w:top w:val="single" w:sz="12" w:space="0" w:color="auto"/>
            </w:tcBorders>
          </w:tcPr>
          <w:p w14:paraId="0BB763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w:t>
            </w:r>
          </w:p>
        </w:tc>
      </w:tr>
      <w:tr w:rsidR="007D5DF8" w:rsidRPr="00DB5D0D" w14:paraId="7707C177" w14:textId="77777777" w:rsidTr="009223E5">
        <w:tc>
          <w:tcPr>
            <w:tcW w:w="900" w:type="dxa"/>
            <w:tcBorders>
              <w:bottom w:val="single" w:sz="12" w:space="0" w:color="auto"/>
            </w:tcBorders>
          </w:tcPr>
          <w:p w14:paraId="03CE7A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tc>
        <w:tc>
          <w:tcPr>
            <w:tcW w:w="737" w:type="dxa"/>
            <w:tcBorders>
              <w:bottom w:val="single" w:sz="12" w:space="0" w:color="auto"/>
            </w:tcBorders>
          </w:tcPr>
          <w:p w14:paraId="234F2D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c>
          <w:tcPr>
            <w:tcW w:w="737" w:type="dxa"/>
            <w:tcBorders>
              <w:bottom w:val="single" w:sz="12" w:space="0" w:color="auto"/>
            </w:tcBorders>
          </w:tcPr>
          <w:p w14:paraId="2F97C2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c>
          <w:tcPr>
            <w:tcW w:w="1046" w:type="dxa"/>
            <w:tcBorders>
              <w:bottom w:val="single" w:sz="12" w:space="0" w:color="auto"/>
            </w:tcBorders>
          </w:tcPr>
          <w:p w14:paraId="6C1AF4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1620" w:type="dxa"/>
            <w:tcBorders>
              <w:bottom w:val="single" w:sz="12" w:space="0" w:color="auto"/>
            </w:tcBorders>
          </w:tcPr>
          <w:p w14:paraId="612FDF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w:t>
            </w:r>
          </w:p>
        </w:tc>
        <w:tc>
          <w:tcPr>
            <w:tcW w:w="1350" w:type="dxa"/>
            <w:tcBorders>
              <w:bottom w:val="single" w:sz="12" w:space="0" w:color="auto"/>
            </w:tcBorders>
          </w:tcPr>
          <w:p w14:paraId="049F2E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w:t>
            </w:r>
          </w:p>
        </w:tc>
        <w:tc>
          <w:tcPr>
            <w:tcW w:w="1260" w:type="dxa"/>
            <w:tcBorders>
              <w:bottom w:val="single" w:sz="12" w:space="0" w:color="auto"/>
            </w:tcBorders>
          </w:tcPr>
          <w:p w14:paraId="69D962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1350" w:type="dxa"/>
            <w:tcBorders>
              <w:bottom w:val="single" w:sz="12" w:space="0" w:color="auto"/>
            </w:tcBorders>
          </w:tcPr>
          <w:p w14:paraId="53B58DA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7F95D9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p>
    <w:p w14:paraId="32D388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Председатель Совета Народных Комиссаров Союза ССР В. Молотов </w:t>
      </w:r>
    </w:p>
    <w:p w14:paraId="78280C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Секретарь Центрального Комитета ВКП(б) И.Сталин </w:t>
      </w:r>
    </w:p>
    <w:p w14:paraId="338137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Ф.93. Коллекция документов. Машинопись, заверенная копия (10694).</w:t>
      </w:r>
    </w:p>
    <w:p w14:paraId="7F28AD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9617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 в итоге, после всестороннего изучения возможности увеличе</w:t>
      </w:r>
      <w:r w:rsidRPr="00DB5D0D">
        <w:rPr>
          <w:rFonts w:ascii="Times New Roman" w:hAnsi="Times New Roman"/>
          <w:color w:val="000000" w:themeColor="text1"/>
          <w:sz w:val="16"/>
          <w:szCs w:val="16"/>
        </w:rPr>
        <w:softHyphen/>
        <w:t>ния выпуска Т-34 на предприятиях страны, было принято совместное Постановление СНК СССР и ЦК ВЩб} №976- 368сс «О производстве танков Т-34 в 1940 г.» Факт принятия это</w:t>
      </w:r>
      <w:r w:rsidRPr="00DB5D0D">
        <w:rPr>
          <w:rFonts w:ascii="Times New Roman" w:hAnsi="Times New Roman"/>
          <w:color w:val="000000" w:themeColor="text1"/>
          <w:sz w:val="16"/>
          <w:szCs w:val="16"/>
        </w:rPr>
        <w:softHyphen/>
        <w:t>го документа по линии ЦК ВКП(б) лишний раз говорит о том, что советское руководство в предвоенный период придавало огром</w:t>
      </w:r>
      <w:r w:rsidRPr="00DB5D0D">
        <w:rPr>
          <w:rFonts w:ascii="Times New Roman" w:hAnsi="Times New Roman"/>
          <w:color w:val="000000" w:themeColor="text1"/>
          <w:sz w:val="16"/>
          <w:szCs w:val="16"/>
        </w:rPr>
        <w:softHyphen/>
        <w:t>ное значение скорейшему оснащению Красной Армии новейши</w:t>
      </w:r>
      <w:r w:rsidRPr="00DB5D0D">
        <w:rPr>
          <w:rFonts w:ascii="Times New Roman" w:hAnsi="Times New Roman"/>
          <w:color w:val="000000" w:themeColor="text1"/>
          <w:sz w:val="16"/>
          <w:szCs w:val="16"/>
        </w:rPr>
        <w:softHyphen/>
        <w:t>ми образцами бронетанковой техники. Приведем фрагменты из этого документа:</w:t>
      </w:r>
    </w:p>
    <w:p w14:paraId="571AA0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Совета Народных Комиссаров Союза ССР и Центрального Комитета ВКП(б) № 976-368сс</w:t>
      </w:r>
    </w:p>
    <w:p w14:paraId="339125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 Москва, Кремль</w:t>
      </w:r>
    </w:p>
    <w:p w14:paraId="626966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производстве танков Т-34 в 1940 году. Придавая особо важное значение оснащению Красной Армии танками Т-34, Совет Народных Комиссаров Союза ССР и Централь</w:t>
      </w:r>
      <w:r w:rsidRPr="00DB5D0D">
        <w:rPr>
          <w:rFonts w:ascii="Times New Roman" w:hAnsi="Times New Roman"/>
          <w:color w:val="000000" w:themeColor="text1"/>
          <w:sz w:val="16"/>
          <w:szCs w:val="16"/>
        </w:rPr>
        <w:softHyphen/>
        <w:t>ный Комитет ВЩб) ПОСТАНОВЛЯЮТ:</w:t>
      </w:r>
    </w:p>
    <w:p w14:paraId="008059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Народного Комиссара Среднего Машиностроения тов. Лихачева И А:</w:t>
      </w:r>
    </w:p>
    <w:p w14:paraId="5704EE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Изготовить в 1940 году - 600 танков Т-34, из них: на заводе № 183 (им. Коминтерна) - 500 шт. на Сталинградском Тракторном - 100 шт. со следующей разбивкой по месяцам:</w:t>
      </w:r>
    </w:p>
    <w:tbl>
      <w:tblPr>
        <w:tblW w:w="0" w:type="auto"/>
        <w:tblInd w:w="8" w:type="dxa"/>
        <w:tblLayout w:type="fixed"/>
        <w:tblCellMar>
          <w:left w:w="0" w:type="dxa"/>
          <w:right w:w="0" w:type="dxa"/>
        </w:tblCellMar>
        <w:tblLook w:val="0000" w:firstRow="0" w:lastRow="0" w:firstColumn="0" w:lastColumn="0" w:noHBand="0" w:noVBand="0"/>
      </w:tblPr>
      <w:tblGrid>
        <w:gridCol w:w="610"/>
        <w:gridCol w:w="514"/>
        <w:gridCol w:w="523"/>
        <w:gridCol w:w="610"/>
        <w:gridCol w:w="758"/>
        <w:gridCol w:w="696"/>
        <w:gridCol w:w="638"/>
        <w:gridCol w:w="725"/>
      </w:tblGrid>
      <w:tr w:rsidR="007D5DF8" w:rsidRPr="00DB5D0D" w14:paraId="5308E7FA" w14:textId="77777777" w:rsidTr="009223E5">
        <w:trPr>
          <w:trHeight w:val="206"/>
        </w:trPr>
        <w:tc>
          <w:tcPr>
            <w:tcW w:w="610" w:type="dxa"/>
            <w:tcBorders>
              <w:top w:val="single" w:sz="6" w:space="0" w:color="auto"/>
              <w:left w:val="single" w:sz="6" w:space="0" w:color="auto"/>
              <w:bottom w:val="single" w:sz="6" w:space="0" w:color="auto"/>
              <w:right w:val="single" w:sz="6" w:space="0" w:color="auto"/>
            </w:tcBorders>
            <w:shd w:val="clear" w:color="auto" w:fill="FFFFFF"/>
          </w:tcPr>
          <w:p w14:paraId="7344FF7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90992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3F4EFE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548FFE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31F18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4B0435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638" w:type="dxa"/>
            <w:tcBorders>
              <w:top w:val="single" w:sz="6" w:space="0" w:color="auto"/>
              <w:left w:val="single" w:sz="6" w:space="0" w:color="auto"/>
              <w:bottom w:val="single" w:sz="6" w:space="0" w:color="auto"/>
              <w:right w:val="single" w:sz="6" w:space="0" w:color="auto"/>
            </w:tcBorders>
            <w:shd w:val="clear" w:color="auto" w:fill="FFFFFF"/>
          </w:tcPr>
          <w:p w14:paraId="7B7B62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4784F7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w:t>
            </w:r>
          </w:p>
        </w:tc>
      </w:tr>
      <w:tr w:rsidR="007D5DF8" w:rsidRPr="00DB5D0D" w14:paraId="2AF0C89B" w14:textId="77777777" w:rsidTr="009223E5">
        <w:trPr>
          <w:trHeight w:val="370"/>
        </w:trPr>
        <w:tc>
          <w:tcPr>
            <w:tcW w:w="610" w:type="dxa"/>
            <w:tcBorders>
              <w:top w:val="single" w:sz="6" w:space="0" w:color="auto"/>
              <w:left w:val="single" w:sz="6" w:space="0" w:color="auto"/>
              <w:bottom w:val="single" w:sz="6" w:space="0" w:color="auto"/>
              <w:right w:val="single" w:sz="6" w:space="0" w:color="auto"/>
            </w:tcBorders>
            <w:shd w:val="clear" w:color="auto" w:fill="FFFFFF"/>
          </w:tcPr>
          <w:p w14:paraId="17B856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№183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5E905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27764F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00E327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56F65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3D9A2B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638" w:type="dxa"/>
            <w:tcBorders>
              <w:top w:val="single" w:sz="6" w:space="0" w:color="auto"/>
              <w:left w:val="single" w:sz="6" w:space="0" w:color="auto"/>
              <w:bottom w:val="single" w:sz="6" w:space="0" w:color="auto"/>
              <w:right w:val="single" w:sz="6" w:space="0" w:color="auto"/>
            </w:tcBorders>
            <w:shd w:val="clear" w:color="auto" w:fill="FFFFFF"/>
          </w:tcPr>
          <w:p w14:paraId="5E83AF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7CE9A8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r>
      <w:tr w:rsidR="007D5DF8" w:rsidRPr="00DB5D0D" w14:paraId="1506ECF8" w14:textId="77777777" w:rsidTr="009223E5">
        <w:trPr>
          <w:trHeight w:val="206"/>
        </w:trPr>
        <w:tc>
          <w:tcPr>
            <w:tcW w:w="610" w:type="dxa"/>
            <w:tcBorders>
              <w:top w:val="single" w:sz="6" w:space="0" w:color="auto"/>
              <w:left w:val="single" w:sz="6" w:space="0" w:color="auto"/>
              <w:bottom w:val="single" w:sz="6" w:space="0" w:color="auto"/>
              <w:right w:val="single" w:sz="6" w:space="0" w:color="auto"/>
            </w:tcBorders>
            <w:shd w:val="clear" w:color="auto" w:fill="FFFFFF"/>
          </w:tcPr>
          <w:p w14:paraId="724CA1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СТЗ</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0CA3E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23" w:type="dxa"/>
            <w:tcBorders>
              <w:top w:val="single" w:sz="6" w:space="0" w:color="auto"/>
              <w:left w:val="single" w:sz="6" w:space="0" w:color="auto"/>
              <w:bottom w:val="single" w:sz="6" w:space="0" w:color="auto"/>
              <w:right w:val="single" w:sz="6" w:space="0" w:color="auto"/>
            </w:tcBorders>
            <w:shd w:val="clear" w:color="auto" w:fill="FFFFFF"/>
          </w:tcPr>
          <w:p w14:paraId="69C498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10" w:type="dxa"/>
            <w:tcBorders>
              <w:top w:val="single" w:sz="6" w:space="0" w:color="auto"/>
              <w:left w:val="single" w:sz="6" w:space="0" w:color="auto"/>
              <w:bottom w:val="single" w:sz="6" w:space="0" w:color="auto"/>
              <w:right w:val="single" w:sz="6" w:space="0" w:color="auto"/>
            </w:tcBorders>
            <w:shd w:val="clear" w:color="auto" w:fill="FFFFFF"/>
          </w:tcPr>
          <w:p w14:paraId="36132E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8FCB3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31833C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638" w:type="dxa"/>
            <w:tcBorders>
              <w:top w:val="single" w:sz="6" w:space="0" w:color="auto"/>
              <w:left w:val="single" w:sz="6" w:space="0" w:color="auto"/>
              <w:bottom w:val="single" w:sz="6" w:space="0" w:color="auto"/>
              <w:right w:val="single" w:sz="6" w:space="0" w:color="auto"/>
            </w:tcBorders>
            <w:shd w:val="clear" w:color="auto" w:fill="FFFFFF"/>
          </w:tcPr>
          <w:p w14:paraId="12ABD9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30</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65BCBF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bl>
    <w:p w14:paraId="45BD9B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Обеспечить полностью программу 1941 г. по выпуску танков Т-34 дизелями, для чего увеличить выпуск моторов В-2 на заводе №75 и изготовить до конца 1940 года 2000 шт., со следующей раз</w:t>
      </w:r>
      <w:r w:rsidRPr="00DB5D0D">
        <w:rPr>
          <w:rFonts w:ascii="Times New Roman" w:hAnsi="Times New Roman"/>
          <w:color w:val="000000" w:themeColor="text1"/>
          <w:sz w:val="16"/>
          <w:szCs w:val="16"/>
        </w:rPr>
        <w:softHyphen/>
        <w:t>бивкой по месяцам:</w:t>
      </w:r>
    </w:p>
    <w:tbl>
      <w:tblPr>
        <w:tblW w:w="0" w:type="auto"/>
        <w:tblInd w:w="8" w:type="dxa"/>
        <w:tblLayout w:type="fixed"/>
        <w:tblCellMar>
          <w:left w:w="0" w:type="dxa"/>
          <w:right w:w="0" w:type="dxa"/>
        </w:tblCellMar>
        <w:tblLook w:val="0000" w:firstRow="0" w:lastRow="0" w:firstColumn="0" w:lastColumn="0" w:noHBand="0" w:noVBand="0"/>
      </w:tblPr>
      <w:tblGrid>
        <w:gridCol w:w="634"/>
        <w:gridCol w:w="624"/>
        <w:gridCol w:w="672"/>
        <w:gridCol w:w="840"/>
        <w:gridCol w:w="778"/>
        <w:gridCol w:w="725"/>
        <w:gridCol w:w="792"/>
      </w:tblGrid>
      <w:tr w:rsidR="007D5DF8" w:rsidRPr="00DB5D0D" w14:paraId="3DC225EB" w14:textId="77777777" w:rsidTr="009223E5">
        <w:trPr>
          <w:trHeight w:val="202"/>
        </w:trPr>
        <w:tc>
          <w:tcPr>
            <w:tcW w:w="634" w:type="dxa"/>
            <w:tcBorders>
              <w:top w:val="single" w:sz="6" w:space="0" w:color="auto"/>
              <w:left w:val="single" w:sz="6" w:space="0" w:color="auto"/>
              <w:bottom w:val="single" w:sz="6" w:space="0" w:color="auto"/>
              <w:right w:val="single" w:sz="6" w:space="0" w:color="auto"/>
            </w:tcBorders>
            <w:shd w:val="clear" w:color="auto" w:fill="FFFFFF"/>
          </w:tcPr>
          <w:p w14:paraId="160F83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w:t>
            </w:r>
          </w:p>
        </w:tc>
        <w:tc>
          <w:tcPr>
            <w:tcW w:w="624" w:type="dxa"/>
            <w:tcBorders>
              <w:top w:val="single" w:sz="6" w:space="0" w:color="auto"/>
              <w:left w:val="single" w:sz="6" w:space="0" w:color="auto"/>
              <w:bottom w:val="single" w:sz="6" w:space="0" w:color="auto"/>
              <w:right w:val="single" w:sz="6" w:space="0" w:color="auto"/>
            </w:tcBorders>
            <w:shd w:val="clear" w:color="auto" w:fill="FFFFFF"/>
          </w:tcPr>
          <w:p w14:paraId="6C4153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w:t>
            </w: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2122B1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B01AA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778" w:type="dxa"/>
            <w:tcBorders>
              <w:top w:val="single" w:sz="6" w:space="0" w:color="auto"/>
              <w:left w:val="single" w:sz="6" w:space="0" w:color="auto"/>
              <w:bottom w:val="single" w:sz="6" w:space="0" w:color="auto"/>
              <w:right w:val="single" w:sz="6" w:space="0" w:color="auto"/>
            </w:tcBorders>
            <w:shd w:val="clear" w:color="auto" w:fill="FFFFFF"/>
          </w:tcPr>
          <w:p w14:paraId="19E7F0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71F2FF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1250B8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w:t>
            </w:r>
          </w:p>
        </w:tc>
      </w:tr>
      <w:tr w:rsidR="007D5DF8" w:rsidRPr="00DB5D0D" w14:paraId="7348EA23" w14:textId="77777777" w:rsidTr="009223E5">
        <w:trPr>
          <w:trHeight w:val="206"/>
        </w:trPr>
        <w:tc>
          <w:tcPr>
            <w:tcW w:w="634" w:type="dxa"/>
            <w:tcBorders>
              <w:top w:val="single" w:sz="6" w:space="0" w:color="auto"/>
              <w:left w:val="single" w:sz="6" w:space="0" w:color="auto"/>
              <w:bottom w:val="single" w:sz="6" w:space="0" w:color="auto"/>
              <w:right w:val="single" w:sz="6" w:space="0" w:color="auto"/>
            </w:tcBorders>
            <w:shd w:val="clear" w:color="auto" w:fill="FFFFFF"/>
          </w:tcPr>
          <w:p w14:paraId="5C357D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tc>
        <w:tc>
          <w:tcPr>
            <w:tcW w:w="624" w:type="dxa"/>
            <w:tcBorders>
              <w:top w:val="single" w:sz="6" w:space="0" w:color="auto"/>
              <w:left w:val="single" w:sz="6" w:space="0" w:color="auto"/>
              <w:bottom w:val="single" w:sz="6" w:space="0" w:color="auto"/>
              <w:right w:val="single" w:sz="6" w:space="0" w:color="auto"/>
            </w:tcBorders>
            <w:shd w:val="clear" w:color="auto" w:fill="FFFFFF"/>
          </w:tcPr>
          <w:p w14:paraId="0B0ACC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c>
          <w:tcPr>
            <w:tcW w:w="672" w:type="dxa"/>
            <w:tcBorders>
              <w:top w:val="single" w:sz="6" w:space="0" w:color="auto"/>
              <w:left w:val="single" w:sz="6" w:space="0" w:color="auto"/>
              <w:bottom w:val="single" w:sz="6" w:space="0" w:color="auto"/>
              <w:right w:val="single" w:sz="6" w:space="0" w:color="auto"/>
            </w:tcBorders>
            <w:shd w:val="clear" w:color="auto" w:fill="FFFFFF"/>
          </w:tcPr>
          <w:p w14:paraId="38491C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67E358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778" w:type="dxa"/>
            <w:tcBorders>
              <w:top w:val="single" w:sz="6" w:space="0" w:color="auto"/>
              <w:left w:val="single" w:sz="6" w:space="0" w:color="auto"/>
              <w:bottom w:val="single" w:sz="6" w:space="0" w:color="auto"/>
              <w:right w:val="single" w:sz="6" w:space="0" w:color="auto"/>
            </w:tcBorders>
            <w:shd w:val="clear" w:color="auto" w:fill="FFFFFF"/>
          </w:tcPr>
          <w:p w14:paraId="17CD4A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w:t>
            </w:r>
          </w:p>
        </w:tc>
        <w:tc>
          <w:tcPr>
            <w:tcW w:w="725" w:type="dxa"/>
            <w:tcBorders>
              <w:top w:val="single" w:sz="6" w:space="0" w:color="auto"/>
              <w:left w:val="single" w:sz="6" w:space="0" w:color="auto"/>
              <w:bottom w:val="single" w:sz="6" w:space="0" w:color="auto"/>
              <w:right w:val="single" w:sz="6" w:space="0" w:color="auto"/>
            </w:tcBorders>
            <w:shd w:val="clear" w:color="auto" w:fill="FFFFFF"/>
          </w:tcPr>
          <w:p w14:paraId="39A920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284ED4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r>
    </w:tbl>
    <w:p w14:paraId="4F4B48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Изготовить для НКХП Юпрессформдля обрезинки катков танка Т-34.</w:t>
      </w:r>
    </w:p>
    <w:p w14:paraId="1622DC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Народного Комиссара по Строительству тов. Гинз- бургС.З.:</w:t>
      </w:r>
    </w:p>
    <w:p w14:paraId="526DB7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Закончить строительство первоочередных пусковых объектов на заводах №183, СТЗ и №75 в следующие сроки:</w:t>
      </w:r>
    </w:p>
    <w:p w14:paraId="561DF0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№183</w:t>
      </w:r>
    </w:p>
    <w:p w14:paraId="558EC5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Тяжелый пролет отд. «700» полностью к 15.VI. 1940 г.</w:t>
      </w:r>
    </w:p>
    <w:p w14:paraId="613B31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Застройка разрыва между корпусами отд. «700» к 15.Ш 1940 г.</w:t>
      </w:r>
    </w:p>
    <w:p w14:paraId="36D524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Усиление конструкции и замена кровли отд. «700»к 1.DC 1940 г.</w:t>
      </w:r>
    </w:p>
    <w:p w14:paraId="29DE65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Реконструкция отд. «100" к 1. VIII. 1940 г.</w:t>
      </w:r>
    </w:p>
    <w:p w14:paraId="53E418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Расширение отд. «200» к 1.Х. 1940 г.</w:t>
      </w:r>
    </w:p>
    <w:p w14:paraId="707B6E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Инструментальный отдел «Н-750», 1-я очередь к 15.XII. 1940 г.</w:t>
      </w:r>
    </w:p>
    <w:p w14:paraId="4A3B00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Кислородный цех, 1-я очередь к 15.XII. 1940 г.</w:t>
      </w:r>
    </w:p>
    <w:p w14:paraId="5499DA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Молярно-укомплектовочныйцех(свводомвжсплоатациюЗО% общей площади застройки) к 1.1. 1940 г.</w:t>
      </w:r>
    </w:p>
    <w:p w14:paraId="2D6F15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№75.</w:t>
      </w:r>
    </w:p>
    <w:p w14:paraId="1991E9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Сталинградском тракторном заводе.</w:t>
      </w:r>
    </w:p>
    <w:p w14:paraId="0DB1A6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Постройка механического цеха к IX 1940 г.</w:t>
      </w:r>
    </w:p>
    <w:p w14:paraId="73587A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Сборочно-сдаточный цех к 1.ТХ. 1940 г.</w:t>
      </w:r>
    </w:p>
    <w:p w14:paraId="24685E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Цех цветного литья к 15.X1I. 1940 г.</w:t>
      </w:r>
    </w:p>
    <w:p w14:paraId="52EED8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Обеспечить окончание строительства 15-ти брусковых домов к 1 сентября 1940 г. и 15-ти брусковых домов к 1 октября 1940 г. для заводов№183, №75иСТЗ.</w:t>
      </w:r>
    </w:p>
    <w:p w14:paraId="2FE509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Обеспечить в сроки, согласованные с НКСМ, выполнение ос</w:t>
      </w:r>
      <w:r w:rsidRPr="00DB5D0D">
        <w:rPr>
          <w:rFonts w:ascii="Times New Roman" w:hAnsi="Times New Roman"/>
          <w:color w:val="000000" w:themeColor="text1"/>
          <w:sz w:val="16"/>
          <w:szCs w:val="16"/>
        </w:rPr>
        <w:softHyphen/>
        <w:t>тальных объектов строительства, предусмотренных увеличенными титульными списками на 1940 год по заводам №183, №75 и СТЗ.</w:t>
      </w:r>
    </w:p>
    <w:p w14:paraId="00BBAB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Народному Комиссару Среднего Машиностроения тов. Ли</w:t>
      </w:r>
      <w:r w:rsidRPr="00DB5D0D">
        <w:rPr>
          <w:rFonts w:ascii="Times New Roman" w:hAnsi="Times New Roman"/>
          <w:color w:val="000000" w:themeColor="text1"/>
          <w:sz w:val="16"/>
          <w:szCs w:val="16"/>
        </w:rPr>
        <w:softHyphen/>
        <w:t>хачеву И.А. в декадный срок согласовать с Наркомстроем сроки проектирования строительства заводов №183, №75 и СТЗ, обес</w:t>
      </w:r>
      <w:r w:rsidRPr="00DB5D0D">
        <w:rPr>
          <w:rFonts w:ascii="Times New Roman" w:hAnsi="Times New Roman"/>
          <w:color w:val="000000" w:themeColor="text1"/>
          <w:sz w:val="16"/>
          <w:szCs w:val="16"/>
        </w:rPr>
        <w:softHyphen/>
        <w:t>печивающие выполнение строительно-монтажных работ, указан</w:t>
      </w:r>
      <w:r w:rsidRPr="00DB5D0D">
        <w:rPr>
          <w:rFonts w:ascii="Times New Roman" w:hAnsi="Times New Roman"/>
          <w:color w:val="000000" w:themeColor="text1"/>
          <w:sz w:val="16"/>
          <w:szCs w:val="16"/>
        </w:rPr>
        <w:softHyphen/>
        <w:t>ных в §.2.</w:t>
      </w:r>
    </w:p>
    <w:p w14:paraId="3AAC9A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Комиссару Боеприпасов тов. Сергееву, Народно</w:t>
      </w:r>
      <w:r w:rsidRPr="00DB5D0D">
        <w:rPr>
          <w:rFonts w:ascii="Times New Roman" w:hAnsi="Times New Roman"/>
          <w:color w:val="000000" w:themeColor="text1"/>
          <w:sz w:val="16"/>
          <w:szCs w:val="16"/>
        </w:rPr>
        <w:softHyphen/>
        <w:t>му Комиссару Судостроения тов. Носенко - обеспечить выполнение проектных работ в IV ТЛИ и 46-ом строительном тресте по заводам №183, №75 и СТЗ до 15 июня 1940 г.</w:t>
      </w:r>
    </w:p>
    <w:p w14:paraId="0AA9CD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метрострой закончить к 15 октября 1940 года строи</w:t>
      </w:r>
      <w:r w:rsidRPr="00DB5D0D">
        <w:rPr>
          <w:rFonts w:ascii="Times New Roman" w:hAnsi="Times New Roman"/>
          <w:color w:val="000000" w:themeColor="text1"/>
          <w:sz w:val="16"/>
          <w:szCs w:val="16"/>
        </w:rPr>
        <w:softHyphen/>
        <w:t>тельство Административного корпуса Московского завода АТЭ.</w:t>
      </w:r>
    </w:p>
    <w:p w14:paraId="2F37E1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Промбанку юв. Гроссман финансировать до 1.1.1941 г. объек</w:t>
      </w:r>
      <w:r w:rsidRPr="00DB5D0D">
        <w:rPr>
          <w:rFonts w:ascii="Times New Roman" w:hAnsi="Times New Roman"/>
          <w:color w:val="000000" w:themeColor="text1"/>
          <w:sz w:val="16"/>
          <w:szCs w:val="16"/>
        </w:rPr>
        <w:softHyphen/>
        <w:t>ты строительства заводов №183, №75 и СТЗ, Мариупольского заво</w:t>
      </w:r>
      <w:r w:rsidRPr="00DB5D0D">
        <w:rPr>
          <w:rFonts w:ascii="Times New Roman" w:hAnsi="Times New Roman"/>
          <w:color w:val="000000" w:themeColor="text1"/>
          <w:sz w:val="16"/>
          <w:szCs w:val="16"/>
        </w:rPr>
        <w:softHyphen/>
        <w:t>да им. Ильича и Кулебакского завода, не имеющие утвержденной комплектной техдокументации по фактически выполняемому объему работ и единичным расценкам, утвержденным НКСМ, НКАП и НКСП.</w:t>
      </w:r>
    </w:p>
    <w:p w14:paraId="0DD36D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Комиссару Судостроительной Промышленности тов. Носенко:</w:t>
      </w:r>
    </w:p>
    <w:p w14:paraId="0318EA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Организовать на Мариупольском заводе им. Ильича изготовле</w:t>
      </w:r>
      <w:r w:rsidRPr="00DB5D0D">
        <w:rPr>
          <w:rFonts w:ascii="Times New Roman" w:hAnsi="Times New Roman"/>
          <w:color w:val="000000" w:themeColor="text1"/>
          <w:sz w:val="16"/>
          <w:szCs w:val="16"/>
        </w:rPr>
        <w:softHyphen/>
        <w:t>ние бронедеталей и дисков колес танка Т-34 и поставить заводу № 183 (НКСМ) в 1940 году 775 комплектов в следующие сроки; июнь - 20 компл., июль - 40, август - 75, сентябрь - 125, октябрь - 145, ноябрь — 170, декабрь - 200.</w:t>
      </w:r>
    </w:p>
    <w:p w14:paraId="6DDD81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Организовать на Кулебакском заводе им. Кирова изготовле</w:t>
      </w:r>
      <w:r w:rsidRPr="00DB5D0D">
        <w:rPr>
          <w:rFonts w:ascii="Times New Roman" w:hAnsi="Times New Roman"/>
          <w:color w:val="000000" w:themeColor="text1"/>
          <w:sz w:val="16"/>
          <w:szCs w:val="16"/>
        </w:rPr>
        <w:softHyphen/>
        <w:t>ние колец (погоны) и поставить заведу № 183 (НКСМ) в 1940 году 775 комплектов, начиная с июня равными партиями.</w:t>
      </w:r>
    </w:p>
    <w:p w14:paraId="65CEC5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Изготовленный заводом «Кр. Гидропресс• пресс мощнос</w:t>
      </w:r>
      <w:r w:rsidRPr="00DB5D0D">
        <w:rPr>
          <w:rFonts w:ascii="Times New Roman" w:hAnsi="Times New Roman"/>
          <w:color w:val="000000" w:themeColor="text1"/>
          <w:sz w:val="16"/>
          <w:szCs w:val="16"/>
        </w:rPr>
        <w:softHyphen/>
        <w:t>тью 800 тонн для Наркомугля передать Мариупольскому заводу им, Ильича.</w:t>
      </w:r>
    </w:p>
    <w:p w14:paraId="486C83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г) Совместно с НКФ СССР определить затраты на подготови</w:t>
      </w:r>
      <w:r w:rsidRPr="00DB5D0D">
        <w:rPr>
          <w:rFonts w:ascii="Times New Roman" w:hAnsi="Times New Roman"/>
          <w:color w:val="000000" w:themeColor="text1"/>
          <w:sz w:val="16"/>
          <w:szCs w:val="16"/>
        </w:rPr>
        <w:softHyphen/>
        <w:t>тельные работы по реконструкции цехов, занятых производством танков БТ, и представить в СНК СССР для покрытия из резервного фонда.</w:t>
      </w:r>
    </w:p>
    <w:p w14:paraId="05F939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НКГМ тов. Ефремова;</w:t>
      </w:r>
    </w:p>
    <w:p w14:paraId="453294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Закончить изготовление на Уралмашзаводе и обеспечить по</w:t>
      </w:r>
      <w:r w:rsidRPr="00DB5D0D">
        <w:rPr>
          <w:rFonts w:ascii="Times New Roman" w:hAnsi="Times New Roman"/>
          <w:color w:val="000000" w:themeColor="text1"/>
          <w:sz w:val="16"/>
          <w:szCs w:val="16"/>
        </w:rPr>
        <w:softHyphen/>
        <w:t>ставку Мариупольскому заводу им. Ильича (НКСП) гибочного прес</w:t>
      </w:r>
      <w:r w:rsidRPr="00DB5D0D">
        <w:rPr>
          <w:rFonts w:ascii="Times New Roman" w:hAnsi="Times New Roman"/>
          <w:color w:val="000000" w:themeColor="text1"/>
          <w:sz w:val="16"/>
          <w:szCs w:val="16"/>
        </w:rPr>
        <w:softHyphen/>
        <w:t>са в 5000 тонн к 1Х-1940 года комплектно с насосом, аккумулято</w:t>
      </w:r>
      <w:r w:rsidRPr="00DB5D0D">
        <w:rPr>
          <w:rFonts w:ascii="Times New Roman" w:hAnsi="Times New Roman"/>
          <w:color w:val="000000" w:themeColor="text1"/>
          <w:sz w:val="16"/>
          <w:szCs w:val="16"/>
        </w:rPr>
        <w:softHyphen/>
        <w:t>ром и электрооборудованием, для чего обязать НКВ поставить бал</w:t>
      </w:r>
      <w:r w:rsidRPr="00DB5D0D">
        <w:rPr>
          <w:rFonts w:ascii="Times New Roman" w:hAnsi="Times New Roman"/>
          <w:color w:val="000000" w:themeColor="text1"/>
          <w:sz w:val="16"/>
          <w:szCs w:val="16"/>
        </w:rPr>
        <w:softHyphen/>
        <w:t>лоны для гидроаккумулятров к 15.VIII. 1940 г. и НКЭП изготовить электрооборудование к этому прессу к 1.IX. 1940 г.</w:t>
      </w:r>
    </w:p>
    <w:p w14:paraId="407C7F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Изготовить в 1940 году Для Мариупольского завода им. Ильи</w:t>
      </w:r>
      <w:r w:rsidRPr="00DB5D0D">
        <w:rPr>
          <w:rFonts w:ascii="Times New Roman" w:hAnsi="Times New Roman"/>
          <w:color w:val="000000" w:themeColor="text1"/>
          <w:sz w:val="16"/>
          <w:szCs w:val="16"/>
        </w:rPr>
        <w:softHyphen/>
        <w:t>ча 20 правильных вальцев.</w:t>
      </w:r>
    </w:p>
    <w:p w14:paraId="032CFA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Комиссару Черной Металлургии тов. Тевосянупо- ставить заводу им. Ильича с завода «Красный Октябрь» 1000 тонн броневого отожженного обрезного автогеном листа.</w:t>
      </w:r>
    </w:p>
    <w:p w14:paraId="6FA422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Комиссару Электропромышленности тов. Бога</w:t>
      </w:r>
      <w:r w:rsidRPr="00DB5D0D">
        <w:rPr>
          <w:rFonts w:ascii="Times New Roman" w:hAnsi="Times New Roman"/>
          <w:color w:val="000000" w:themeColor="text1"/>
          <w:sz w:val="16"/>
          <w:szCs w:val="16"/>
        </w:rPr>
        <w:softHyphen/>
        <w:t>тыреву:</w:t>
      </w:r>
    </w:p>
    <w:p w14:paraId="06D718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Организовать на электромеханических заводах г. Ярославля и Харькова изготовление стартеров, реле и аптечек к ним для танка Т- 34 и дизеля В-2, и обеспечить с 1.1. 1941 г. поставку их заводам №183, №75 и СТЗ на программу 1941 года. Экономсовету в 15- тидневный срок рассмотреть мероприятия НКЭП, обеспечивающие выпуск танкового электрооборудования.</w:t>
      </w:r>
    </w:p>
    <w:p w14:paraId="04DC0E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Увеличить выпуск панцирного провода для обеспечения про</w:t>
      </w:r>
      <w:r w:rsidRPr="00DB5D0D">
        <w:rPr>
          <w:rFonts w:ascii="Times New Roman" w:hAnsi="Times New Roman"/>
          <w:color w:val="000000" w:themeColor="text1"/>
          <w:sz w:val="16"/>
          <w:szCs w:val="16"/>
        </w:rPr>
        <w:softHyphen/>
        <w:t>граммы по танкам на 1940-1941 гт. НКЧМ - обеспечить поставку НКЭП железной оцинкованной проволоки.</w:t>
      </w:r>
    </w:p>
    <w:p w14:paraId="093684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Для производства изделий к танку Т-34, перечисленных в ве</w:t>
      </w:r>
      <w:r w:rsidRPr="00DB5D0D">
        <w:rPr>
          <w:rFonts w:ascii="Times New Roman" w:hAnsi="Times New Roman"/>
          <w:color w:val="000000" w:themeColor="text1"/>
          <w:sz w:val="16"/>
          <w:szCs w:val="16"/>
        </w:rPr>
        <w:softHyphen/>
        <w:t>домости №6, выделить Наркомэлектропрому в июле 1940 года из Госрезерва 70 тонн меди и 70 тонн свинца.</w:t>
      </w:r>
    </w:p>
    <w:p w14:paraId="0B8F98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Комиссару Цветной Металлургии тов. Самохва- лову:</w:t>
      </w:r>
    </w:p>
    <w:p w14:paraId="1EECD0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Организовать на Кольчугинском заводе изготовление радиа</w:t>
      </w:r>
      <w:r w:rsidRPr="00DB5D0D">
        <w:rPr>
          <w:rFonts w:ascii="Times New Roman" w:hAnsi="Times New Roman"/>
          <w:color w:val="000000" w:themeColor="text1"/>
          <w:sz w:val="16"/>
          <w:szCs w:val="16"/>
        </w:rPr>
        <w:softHyphen/>
        <w:t>торов с эллиптическими трубками для ганка Т-34 и поставлять, на</w:t>
      </w:r>
      <w:r w:rsidRPr="00DB5D0D">
        <w:rPr>
          <w:rFonts w:ascii="Times New Roman" w:hAnsi="Times New Roman"/>
          <w:color w:val="000000" w:themeColor="text1"/>
          <w:sz w:val="16"/>
          <w:szCs w:val="16"/>
        </w:rPr>
        <w:softHyphen/>
        <w:t>чинало 1.VII. 1940 г. заводам №183 и СТЗ по графику НКСМ, согла</w:t>
      </w:r>
      <w:r w:rsidRPr="00DB5D0D">
        <w:rPr>
          <w:rFonts w:ascii="Times New Roman" w:hAnsi="Times New Roman"/>
          <w:color w:val="000000" w:themeColor="text1"/>
          <w:sz w:val="16"/>
          <w:szCs w:val="16"/>
        </w:rPr>
        <w:softHyphen/>
        <w:t>сованному с НКЦМ.</w:t>
      </w:r>
    </w:p>
    <w:p w14:paraId="7DFCB1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Увеличить выпуск прутков БАЖМ до полного обеспечения вы</w:t>
      </w:r>
      <w:r w:rsidRPr="00DB5D0D">
        <w:rPr>
          <w:rFonts w:ascii="Times New Roman" w:hAnsi="Times New Roman"/>
          <w:color w:val="000000" w:themeColor="text1"/>
          <w:sz w:val="16"/>
          <w:szCs w:val="16"/>
        </w:rPr>
        <w:softHyphen/>
        <w:t>пуска танков и моторов В-2, организовав производство их на Коль</w:t>
      </w:r>
      <w:r w:rsidRPr="00DB5D0D">
        <w:rPr>
          <w:rFonts w:ascii="Times New Roman" w:hAnsi="Times New Roman"/>
          <w:color w:val="000000" w:themeColor="text1"/>
          <w:sz w:val="16"/>
          <w:szCs w:val="16"/>
        </w:rPr>
        <w:softHyphen/>
        <w:t>чугинском заводе.</w:t>
      </w:r>
    </w:p>
    <w:p w14:paraId="6234A4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Комиссару Обороны тов. Тимошенко:</w:t>
      </w:r>
    </w:p>
    <w:p w14:paraId="188A20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Выделить в распоряжение НКСМ 15 инженеров в помощь по организации производства танка Т-34.</w:t>
      </w:r>
    </w:p>
    <w:p w14:paraId="060F4D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Обеспечить полностью и комплектно вооружением и оптикой программу заводов №183 и СТЗ по танку Т-34.</w:t>
      </w:r>
    </w:p>
    <w:p w14:paraId="140C2D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Комиссару Электростанций тов. Леткову постав</w:t>
      </w:r>
      <w:r w:rsidRPr="00DB5D0D">
        <w:rPr>
          <w:rFonts w:ascii="Times New Roman" w:hAnsi="Times New Roman"/>
          <w:color w:val="000000" w:themeColor="text1"/>
          <w:sz w:val="16"/>
          <w:szCs w:val="16"/>
        </w:rPr>
        <w:softHyphen/>
        <w:t>лять заводам № 183 и №75 в течении 1940 года не менее 65 тонн пара в час, давлением 11 атм., и обеспечивать завод “Проводник” (НКХП) электроэнергией наравне со спецзаводами.</w:t>
      </w:r>
    </w:p>
    <w:p w14:paraId="322B84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Выделить Наркомсредмашу дополнительные ассигнования по капитальному строительству из Резервного фонда СНК СССР 84,5 миллионов рублей; на заготовку инструмента, штампов, приспособ</w:t>
      </w:r>
      <w:r w:rsidRPr="00DB5D0D">
        <w:rPr>
          <w:rFonts w:ascii="Times New Roman" w:hAnsi="Times New Roman"/>
          <w:color w:val="000000" w:themeColor="text1"/>
          <w:sz w:val="16"/>
          <w:szCs w:val="16"/>
        </w:rPr>
        <w:softHyphen/>
        <w:t>лений и подготовку производства танка Т-34 из Резервного фонда СНК СССР 20 миллионов рублей целевым назначением для заводов №183, №75 и СТЗ.</w:t>
      </w:r>
    </w:p>
    <w:p w14:paraId="4A7D9F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Обязать Наркомвнешторг (тов. Микояна) обеспечить постав</w:t>
      </w:r>
      <w:r w:rsidRPr="00DB5D0D">
        <w:rPr>
          <w:rFonts w:ascii="Times New Roman" w:hAnsi="Times New Roman"/>
          <w:color w:val="000000" w:themeColor="text1"/>
          <w:sz w:val="16"/>
          <w:szCs w:val="16"/>
        </w:rPr>
        <w:softHyphen/>
        <w:t>ку НКСМ импортного оборудования. Разрешить НКВТ передать за</w:t>
      </w:r>
      <w:r w:rsidRPr="00DB5D0D">
        <w:rPr>
          <w:rFonts w:ascii="Times New Roman" w:hAnsi="Times New Roman"/>
          <w:color w:val="000000" w:themeColor="text1"/>
          <w:sz w:val="16"/>
          <w:szCs w:val="16"/>
        </w:rPr>
        <w:softHyphen/>
        <w:t>водам №183, №75, СТЗ и им. Ильича (НКСП) поступающее для дру</w:t>
      </w:r>
      <w:r w:rsidRPr="00DB5D0D">
        <w:rPr>
          <w:rFonts w:ascii="Times New Roman" w:hAnsi="Times New Roman"/>
          <w:color w:val="000000" w:themeColor="text1"/>
          <w:sz w:val="16"/>
          <w:szCs w:val="16"/>
        </w:rPr>
        <w:softHyphen/>
        <w:t>гих потребителей оборудование, подходящее для производства танка Т-34. Обеспечить в первую очередь карусельными, шлифовальны</w:t>
      </w:r>
      <w:r w:rsidRPr="00DB5D0D">
        <w:rPr>
          <w:rFonts w:ascii="Times New Roman" w:hAnsi="Times New Roman"/>
          <w:color w:val="000000" w:themeColor="text1"/>
          <w:sz w:val="16"/>
          <w:szCs w:val="16"/>
        </w:rPr>
        <w:softHyphen/>
        <w:t>ми, зубодолбежными и расточными станками.</w:t>
      </w:r>
    </w:p>
    <w:p w14:paraId="50698F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Всем вышеперечисленным Наркоматам отгружать материа</w:t>
      </w:r>
      <w:r w:rsidRPr="00DB5D0D">
        <w:rPr>
          <w:rFonts w:ascii="Times New Roman" w:hAnsi="Times New Roman"/>
          <w:color w:val="000000" w:themeColor="text1"/>
          <w:sz w:val="16"/>
          <w:szCs w:val="16"/>
        </w:rPr>
        <w:softHyphen/>
        <w:t>лы, полуфабрикаты, покупные изделия, инструмент и оборудование заводам № 183. №75, СТЗ и заводу им. Ильича в порядке выполне</w:t>
      </w:r>
      <w:r w:rsidRPr="00DB5D0D">
        <w:rPr>
          <w:rFonts w:ascii="Times New Roman" w:hAnsi="Times New Roman"/>
          <w:color w:val="000000" w:themeColor="text1"/>
          <w:sz w:val="16"/>
          <w:szCs w:val="16"/>
        </w:rPr>
        <w:softHyphen/>
        <w:t>ния правительственного задания с отме ткой “П П.”</w:t>
      </w:r>
    </w:p>
    <w:p w14:paraId="7CB831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Предупредить руководителей предприятий, выполняющих зака - зыдля танка Т-34, чю они персонально отвечают за исполнение как по качеству, так и в срок.</w:t>
      </w:r>
    </w:p>
    <w:p w14:paraId="4144CC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Народному Комиссару Путей Сообщения СССР тов. Богаеву принимать вне всякой очереди грузы, отправляемые в адрес заво</w:t>
      </w:r>
      <w:r w:rsidRPr="00DB5D0D">
        <w:rPr>
          <w:rFonts w:ascii="Times New Roman" w:hAnsi="Times New Roman"/>
          <w:color w:val="000000" w:themeColor="text1"/>
          <w:sz w:val="16"/>
          <w:szCs w:val="16"/>
        </w:rPr>
        <w:softHyphen/>
        <w:t>дов № 183, №75, СТЗ, АТЭ, ЗЭМ (НКСМ) и завода им. Ильича (НКСП), в отдельных случаях переводить пассажирской скоростью и предос</w:t>
      </w:r>
      <w:r w:rsidRPr="00DB5D0D">
        <w:rPr>
          <w:rFonts w:ascii="Times New Roman" w:hAnsi="Times New Roman"/>
          <w:color w:val="000000" w:themeColor="text1"/>
          <w:sz w:val="16"/>
          <w:szCs w:val="16"/>
        </w:rPr>
        <w:softHyphen/>
        <w:t>тавлять для перевозки необходимых материалов (небольшими парти</w:t>
      </w:r>
      <w:r w:rsidRPr="00DB5D0D">
        <w:rPr>
          <w:rFonts w:ascii="Times New Roman" w:hAnsi="Times New Roman"/>
          <w:color w:val="000000" w:themeColor="text1"/>
          <w:sz w:val="16"/>
          <w:szCs w:val="16"/>
        </w:rPr>
        <w:softHyphen/>
        <w:t>ями) право на багаж по заявкам НКСМ.</w:t>
      </w:r>
    </w:p>
    <w:p w14:paraId="0753A8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Народному Комиссару Торговли СССР тов. Любимову:</w:t>
      </w:r>
    </w:p>
    <w:p w14:paraId="2F7E55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Улучшить общественное питание на заводах №183, №75, СТЗ, заводе им. Ильича и Кулебакском, обеспечив трехсменное обслужи</w:t>
      </w:r>
      <w:r w:rsidRPr="00DB5D0D">
        <w:rPr>
          <w:rFonts w:ascii="Times New Roman" w:hAnsi="Times New Roman"/>
          <w:color w:val="000000" w:themeColor="text1"/>
          <w:sz w:val="16"/>
          <w:szCs w:val="16"/>
        </w:rPr>
        <w:softHyphen/>
        <w:t>вание.</w:t>
      </w:r>
    </w:p>
    <w:p w14:paraId="1CB410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Организовать к 15 июня 1940 года на заводах № 183, №75 и Кулебакском закрытые распределители.</w:t>
      </w:r>
    </w:p>
    <w:p w14:paraId="42ED25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Разрешить Наркомстрою установить с 1.V1. 1940 г. к та</w:t>
      </w:r>
      <w:r w:rsidRPr="00DB5D0D">
        <w:rPr>
          <w:rFonts w:ascii="Times New Roman" w:hAnsi="Times New Roman"/>
          <w:color w:val="000000" w:themeColor="text1"/>
          <w:sz w:val="16"/>
          <w:szCs w:val="16"/>
        </w:rPr>
        <w:softHyphen/>
        <w:t>рифной сетке рабочих и должностным окладам ИГР и служащих, занятых на строительстве заводов № 183, №75 и СТЗ - коэффи</w:t>
      </w:r>
      <w:r w:rsidRPr="00DB5D0D">
        <w:rPr>
          <w:rFonts w:ascii="Times New Roman" w:hAnsi="Times New Roman"/>
          <w:color w:val="000000" w:themeColor="text1"/>
          <w:sz w:val="16"/>
          <w:szCs w:val="16"/>
        </w:rPr>
        <w:softHyphen/>
        <w:t>циент 1,1.</w:t>
      </w:r>
    </w:p>
    <w:p w14:paraId="1EB181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 Выделить из резервного фонда СНК СССР спец. фонд для премирования рабочих, ИГР и служащих, как участвующих в изго</w:t>
      </w:r>
      <w:r w:rsidRPr="00DB5D0D">
        <w:rPr>
          <w:rFonts w:ascii="Times New Roman" w:hAnsi="Times New Roman"/>
          <w:color w:val="000000" w:themeColor="text1"/>
          <w:sz w:val="16"/>
          <w:szCs w:val="16"/>
        </w:rPr>
        <w:softHyphen/>
        <w:t>товлении танка Т-34, так и занятых в строительстве заводов № 183, №75 и СТЗ:</w:t>
      </w:r>
    </w:p>
    <w:p w14:paraId="1ABD8D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183 - 2 миллиона рублей; Заводу №75 - 1,5 милли</w:t>
      </w:r>
      <w:r w:rsidRPr="00DB5D0D">
        <w:rPr>
          <w:rFonts w:ascii="Times New Roman" w:hAnsi="Times New Roman"/>
          <w:color w:val="000000" w:themeColor="text1"/>
          <w:sz w:val="16"/>
          <w:szCs w:val="16"/>
        </w:rPr>
        <w:softHyphen/>
        <w:t>она рублей; СТЗ - 1 миллион рублей: Заводу им. Ильича- 1,5 миллиона рублей: АТЭ и ЗЭМ - 200 тысяч рублей; Кулебакскому заводу - 300 тысяч рублей; Наркомстрою для Треста №26 и Волгопромст- роя - 500 тысяч рублей.</w:t>
      </w:r>
    </w:p>
    <w:p w14:paraId="74EF2B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1654BD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 Поручить Главному Контролеру КО при СНК СССР тов. Нови</w:t>
      </w:r>
      <w:r w:rsidRPr="00DB5D0D">
        <w:rPr>
          <w:rFonts w:ascii="Times New Roman" w:hAnsi="Times New Roman"/>
          <w:color w:val="000000" w:themeColor="text1"/>
          <w:sz w:val="16"/>
          <w:szCs w:val="16"/>
        </w:rPr>
        <w:softHyphen/>
        <w:t>кову установить особый контроль за ходом выполнения настоящего Постановления и ежемесячно докладывать КО при СНК СССР.</w:t>
      </w:r>
    </w:p>
    <w:p w14:paraId="4BF35D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Совета Народных Комиссаров СССР В. Молотов Секретарь Центрального Комитета ВКП(б) И. Сталин (11901).</w:t>
      </w:r>
    </w:p>
    <w:p w14:paraId="526465F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A777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года постановлением СНК СССР и ЦК ВКП (б) № 967-368сс «О производстве танков Т-34 в 1940 г», утверждался план выпуска новых боевых машин в 600 штук, из них 500 должен был дать завод № 183 и 100 – СТЗ (12217).</w:t>
      </w:r>
    </w:p>
    <w:p w14:paraId="63A76A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Прежде чем писать об организации производства Т-34, хотелось бы сделать небольшое отступление, посвященное способу подсчета выпушенных танков и способу их приемки. Дело в том, что большинство авторов, пишущих о производстве танков (и тридцатьчетверки в частности), не очень хорошо представляют себе, как велась отчетность. Например, встречаются упоминания о двойной бухгалтерии, о сдаче танков заводами по сборке, а приемке армией по «бою» и т.п. На основании этого делается вывод о том, что вообще нельзя абсолютно точно определить количество изготовленных Т-34. На самом деле, это не так, нужно только знать, что и как искать.</w:t>
      </w:r>
    </w:p>
    <w:p w14:paraId="289CBA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Прежде всего, между заказчиком (АБТУ КА) и исполнителем (завод N° 183) заключался «Договор на продукцию, сдаваемую через военпреда Заказчика». В этом документе определялись цены на танки, порядок их приема, отправки и оплаты, сроки поставки и т.п. Что касается приемки готовых машин Т-34. то она велась по определенной схеме, утвержденной АБТУ КА и наркоматом среднего машиностроения специальными приказами и письмами. В этих документах определялся порядок приемки готовых боевых машин, который происходил следующим образом.</w:t>
      </w:r>
    </w:p>
    <w:p w14:paraId="1FAA01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того, как танк был собран, он направлялся в 30-километровый заводской пробег, в котором проверялась правильность монтажа и регулировки узлов и агрегатов. После устранения выявленных недостатков (если они обнаруживались), Т-34 поступал на сдаточный пробег (в документах завода № 183 он часто именуются большим пробегом, его дистанция составляла 50 км), который проводили представители военной приемки АБТУ КА при участии ОТК завода. При этом машина считалась принятой, если она прошла его без серьезных поломок. В слуЧАЕ, если в танке что-то ломалось, после ремонта он снова шел в большой пробег. и так до тех пор, пока не проходил его (некоторые Т-34та- ким образом испытывались до трех раз). Кроме того, существовали контрольные пробеги, также проводимые военпредами. Они велись для проверки работы каких-то отдельных узлов и деталей. Например, в ходе большого пробега у танка обнаруживалась течь масла какого-то сальника. Данный дефект не влиял на прохождение большого пробега (машина его прошла), но требовал устранения, после которого танк вновь испытывался на дистанцию не более 30 км. При этом проверялась работа только того узла, который ремонтировался. Данное испытание и называлось контрольным пробегом, а небольшая дистанция объяснялась необходимостью беречь ресурс новых танков для их последующей эксплуатации в войсках. Причем испытания большим пробегом велись без установки в танк вооружения.</w:t>
      </w:r>
    </w:p>
    <w:p w14:paraId="58122E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военпредов АБТУ КА на заводе № 183 (и на других танковых заводах) существовала приемка Главного артиллерийского управления Красной Армии - она принимала установку на Т-34 орудия Л- 11, пулеметов ДТ, оптических прицелов (ТОД-6 и ПТ-6), работу подъемного и поворотного механизмов, а также проверяла пушку искусственным откатом.</w:t>
      </w:r>
    </w:p>
    <w:p w14:paraId="4C8E68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приемки военпредами АБТУ КА и 1АУ КА, машина поступала в малярный цех, где окрашивалась, затем направлялась на участок окончательной сборки, где проверялась подтяжка всех соединений, а также осуществлялась заправка горючим, снаряжение ЗИПом, инструментом, боекомплектом и осмотр представителем ОТК завода. Затем танк вновь предъявляли военпреду АБТУ КА, который принимал его под пломбу - в таком виде он ждал отправки в войска. Кстати, если машина оставалась в распоряжении завода (например, для проведения опытных работ) это тоже отражалось в документах военной приемки.</w:t>
      </w:r>
    </w:p>
    <w:p w14:paraId="0E47D5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начале изготовления на заводе на каждый Т-34 заводилось дело машины, в которое вносились номера корпуса, башни, двигателя, пушки и т.д., а также информация о ходе ее сборки (включая фамилию бригадира), дефектах, обнаруженных в ходе заводского и военпредовского пробегов. При приемке каждого Т-34 военпредами составлялся акт, который подписывали представители завода и военные. Отметка об этом делалась в деле машины, а также в журнале пробегов и журнале окончательно принятых танков (два последних вели военпреды). Только посте составления акта приемки заказчик (АБТУ КА) выписывал исполнителю (заводу № 183) документы на оплату танка. При передаче Т-34 в войска на нее заводился формуляр, содержащий основные сведения о ней (номер корпуса, башни, двигателя и </w:t>
      </w:r>
      <w:r w:rsidRPr="00DB5D0D">
        <w:rPr>
          <w:rFonts w:ascii="Times New Roman" w:hAnsi="Times New Roman"/>
          <w:color w:val="000000" w:themeColor="text1"/>
          <w:sz w:val="16"/>
          <w:szCs w:val="16"/>
        </w:rPr>
        <w:lastRenderedPageBreak/>
        <w:t>т.п.), который отправлялся вместе с танком. Дело машины оставалось на заводе - в случае поступления рекламации по нему легко можно было установить тех. кто допустил некачественную сборку.</w:t>
      </w:r>
    </w:p>
    <w:p w14:paraId="74DAC9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отгрузке танка в войска вместе с ним отправляли следующие документы: формуляр на машину, инструкция по ее эксплуатации, инструкция по эксплуатации и уходу за двигателем, инструкция и описание топливо- подкачивающей помпы, инструкция по генератору и реле-регулятору, ведомость возимого на машине ЗИПа, описание по уходу и эксплуатации стартера, описание по уходу и эксплуатации аккумуляторов, инструкция на мотор поворота башни, описание и инструкция ТПУ, инструкция по радиостанции, описание и паспорт умформера РУН-10 и РУН-75, контрольно-проверочные карты передатчика и приемника радиостанции 71-ТК-3 (все эти документы находились и возились внутри машины). Кроме того, имелись документы, придаваемые каждому танку, но не перевозившиеся в нем (хранились в штабе части в ведении помпотеха): паспорта и акты на корпус, башню, орудийную маску, съемные бронедетали, формуляры на: противооткатные устройства и ствол пушки, пулеметы ДТ (на каждый свой), двигатель (с находящимися при немдокументами согласно техусловий завода № 75),радиостанцию , аккумуляторные батареи радиостанции, стартер, тахометр, аэротермометр, манометр топлива, манометр, масла, ТОД-6, ПТ-6, а также аттестат на часы и выписка из договора с заво-: дом № 183 о гарантии машины.</w:t>
      </w:r>
    </w:p>
    <w:p w14:paraId="087492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Теперь что касается учета изготовленных танков. Заводы промышленности направляли в вышестоящую инстанцию (наркомат) ежемесячные и годовые сводки о выполнении плана. В них указывалось количество собранных за каждый месяц танков, прошедших заводской пробег и предъявленных представителям военной приемки на заводе. Таким образом, можно говорить о том, что промышленость предоставляла ежемесячные сведения о числе окончательно собранных машин.</w:t>
      </w:r>
    </w:p>
    <w:p w14:paraId="7B2DC0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Военпреды в своих документах, которые назывались «Оперативная сводка о выполнении заводом № 183 им. Комитерна в счет заказа АБТУ РККА на 1940г.» и подавались ежемесячно, указывали сколько надлежало поставить танков по плану и сколько поставлено (то есть принято приемкой) с начала года и за текущий месяц. Если среди поставленных машин имелись более ранней сборки (например, среди принятых в октябре были изготовленные в сентябре), то их количество указывалось в примечании. Наряду с числом готовых танков в сводках давались сведения о том, сколько еще Т-34 находится в заделе на первое число месяца.</w:t>
      </w:r>
    </w:p>
    <w:p w14:paraId="254129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 этих документах указывалось и число отгруженных с завода машин, причем если отправлялись танки более ранней сборки (например, среди отправленных в декабре могли быть принятые в ноябре), их количество указывалось в примечании. Оперсводки за прошедший месяц направлялись в АБТУ КА как правило не позднее третьего числа нового месяца.</w:t>
      </w:r>
    </w:p>
    <w:p w14:paraId="4FEAC7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оперативных сводок за месяц, существовали еще и так называемые декадные сводки (за декаду каждого месяца), составляемые военпредами. В них указывалось количество танков, принятых ОТК завода и военпредами, а также давались сведения о числе отгруженных Т-34 с указанием заводского номера каждого, даты отправки и места назначения (военный округ, станция, иногда воинская часть).</w:t>
      </w:r>
    </w:p>
    <w:p w14:paraId="7CF32C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изложенного, автор считает, что наиболее точные и отражающие реальное положение дел сведения о количестве выпущенных танков содержатся в документах военной приемки. Дело связано и с более четкой системой учета принятых машин, и, что более важно, содержит информацию об их отправке в войска. Последнее обстоятельство позволяет с большой долей достоверности определить, сколько Т-34 было в частях на определенные даты.</w:t>
      </w:r>
    </w:p>
    <w:p w14:paraId="18101E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статистику производства танков Т-34 можно производить двумя способами. Первый - на основе документов заводов, он дает представление о том, сколько машин было собрано в месяц и прошло заводской пробег. На основе этих данных можно представить мощность того или иного предприятия. Второй — на основе документов военной приемки, из которых видно, сколько танков приняли военные, и сколько было отгружено в войска. Смешивать подсчеты, проведенные по этим способам некорректно, в таком случае появляются расхождения в цифрах.</w:t>
      </w:r>
    </w:p>
    <w:p w14:paraId="3D6B0A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Одной из основныхпроблем. возникших при организации производства бронедеталей для Т-34, стало изготовление передней части бронекорпуса. Она сгибалась из цельного бронелис- та. который сначала подвергали термоотпуску, после чего его нагревали и гнули на 1000-тонном прессе (использовался для корабельной брони), затем вели механическую и снова термическую обработку. Естественно, что столь сложный процесс, который к тому же приводил к значительному браку, мог использоваться для опытных машин (тем не менее, при сборке двух А-34 в брак ушло 8 заготовок передней части корпуса), но был совершенно непригоден для серийных танков. Поэтому для упрощения технологии, инженеры Мариупольского завода предложили переднюю часть корпуса собирать из трех деталей — верхнего и нижнего лобовых листов и соединяющей их катанной носовой балки. Однако такая конструкция утяжеляла корпус Т-34 на 100 кг, что встретило возражение со стороны работников КБ-520 завода № 183. Для разрешения возникшей проблемы 19 мая 1940 года прошло совместное совещание конструкторов обеих предприятий и представителей Госплана СССР. В ходе обсуждения Госплан дал «добро» на введение носовой балки (12217).</w:t>
      </w:r>
    </w:p>
    <w:p w14:paraId="4E8BC78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715AD4"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июня 1940 года </w:t>
      </w:r>
    </w:p>
    <w:p w14:paraId="0EB67559"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08C09441"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1 </w:t>
      </w:r>
    </w:p>
    <w:p w14:paraId="5F042893"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ПРИКАЗ</w:t>
      </w:r>
    </w:p>
    <w:p w14:paraId="3D957AA0"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АВТО-БРОНЕТАНКОВОМУ УПРАВЛЕНИЮ КР. АРМИИ</w:t>
      </w:r>
    </w:p>
    <w:p w14:paraId="2A8E2331"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025с</w:t>
      </w:r>
    </w:p>
    <w:p w14:paraId="29E8EB30"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июня 1940 года. </w:t>
      </w:r>
    </w:p>
    <w:p w14:paraId="679368DA"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 Москва</w:t>
      </w:r>
    </w:p>
    <w:p w14:paraId="1D2A59ED"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Подводя итоги совещания, проведенного мною 2.6.40 г., основной задачей ставлю: путем повседневного систематического контроля и реальной помощи заводам – добиться полного, качественного выполнения и в указанные сроки плана выпуска танков "КВ" и "Т-34". </w:t>
      </w:r>
    </w:p>
    <w:p w14:paraId="7CC88DB2"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ПРИКАЗЫВАЮ:</w:t>
      </w:r>
    </w:p>
    <w:p w14:paraId="34F0D323"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Начальнику 8 отдела Военинженеру 1 ранга тов. АФОНИНУ обеспечить срочную доводку танков до полного соответствия их тактико-техническим требованиям и отработку чертежей на серийный выпуск. 5, 15 и 25 числа каждого месяца докладывать мне сводные данные по обеспеченности заводов броней и по выполнению заводами работ по доводке танков на серийное производство. </w:t>
      </w:r>
    </w:p>
    <w:p w14:paraId="15E0A7BB"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обеспечения систематического контроля по доводке машин закрепить ведущих инженеров: </w:t>
      </w:r>
    </w:p>
    <w:p w14:paraId="668F6562"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по танку "КВ" – Военинженера 3 ранга тов. ВОРОШИЛОВА, </w:t>
      </w:r>
    </w:p>
    <w:p w14:paraId="26314023"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по танку "Т-34" – Майора тов. ПАНОВА, </w:t>
      </w:r>
    </w:p>
    <w:p w14:paraId="4A7648E5"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по танку "СП" – Майора тов. КОВАЛЕВА, </w:t>
      </w:r>
    </w:p>
    <w:p w14:paraId="36D74C4A"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по мотору В-2 форсир. Военинженера 3 ранга тов. ЛАВРУШЕНКОВА. </w:t>
      </w:r>
    </w:p>
    <w:p w14:paraId="7C967737"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Начальнику 4 отдела Военинженеру 1 ранга т. АЛЫМОВУ 5, 15 и 25 числа каждого месяца докладывать мне сводные данные по выпуску танков танкостроительными заводами. </w:t>
      </w:r>
    </w:p>
    <w:p w14:paraId="33686BFF"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Потребовать от заводов составления инструкций по "КВ" и "Т-34". </w:t>
      </w:r>
    </w:p>
    <w:p w14:paraId="4803E895"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Инструкция должна быть краткой, указывающей что, где, когда и как нужно делать по обслуживанию, эксплоатации и ремонту машин, как в стационарных, так и в полевых условиях, дополняя содержание отдельными рисунками и схемами. </w:t>
      </w:r>
    </w:p>
    <w:p w14:paraId="58FE78E4"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Инструкцией должен снабжаться каждый серийный танк, начиная с первой машины. </w:t>
      </w:r>
    </w:p>
    <w:p w14:paraId="357097B9"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обеспечения систематического контроля за серией закрепить ведущих инженеров: </w:t>
      </w:r>
    </w:p>
    <w:p w14:paraId="3B796654"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по танку "КВ" – Военинженер 3 ранга т. КАУЛИН, </w:t>
      </w:r>
    </w:p>
    <w:p w14:paraId="3B57815A"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по танку "Т-34" – на заводе № 183 Военинженера 3 ранга т. ГОРЮШКИНА, </w:t>
      </w:r>
    </w:p>
    <w:p w14:paraId="270A358F"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по танку "Т-34" на СТЗ Военинженера 2 ранга т. СИВОВА. </w:t>
      </w:r>
    </w:p>
    <w:p w14:paraId="4DB57CF3"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Начальнику 4-го отдела Военинженеру 1 ранга т. АЛЫМОВУ со всеми ведущими инженерами по всем машинам, в том числе и для "КВ" и "Т-34" поставить задачу перед Главспецмашем и директорами всех заводов и добиться в кратчайший срок выполнения по следующим вопросам: </w:t>
      </w:r>
    </w:p>
    <w:p w14:paraId="4687537D"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Помимо имеющихся мощностей подыскать и определить предприятия, на которых можно дополнительно или вновь разместить для производства, как наиболее дефицитные, так и необходимые запасные части ко всем машинам. </w:t>
      </w:r>
    </w:p>
    <w:p w14:paraId="509ABAC0"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Окончательно отработать и составить для машин "КВ" и "Т-34" комплекты ЗИПа и инструмента по машинам, включив в них самое необходимое. </w:t>
      </w:r>
    </w:p>
    <w:p w14:paraId="5AFB3782"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Начальникам 3 отдела и 7-го отдела с ведущими инженерами по этим отделам, отработать комплект инструмента и приспособлений, необходимых для ремонта машин КВ и Т-34, как средствами мастерских типа А, Б, В, АРВБ, так и на ремонтных базах, определив последние для производства капитального ремонта указанных машин. </w:t>
      </w:r>
    </w:p>
    <w:p w14:paraId="728D554F"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Военпреды танкостроительных и броневых заводов должны направить всю свою работу на выполнение программы выпуска машин. Качество выпускаемых машин должно соответствовать требованиям АБТУ Красной Армии. </w:t>
      </w:r>
    </w:p>
    <w:p w14:paraId="330EA4CC"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случаях затруднений по линии кооперации с другими заводами, надо помочь основным танкостроительным заводам через приемки кооперированных заводов, обеспечить своевременность донесений и оперативность в деле бесперебойного снабжения кооперированными материалами по всем танкам. </w:t>
      </w:r>
    </w:p>
    <w:p w14:paraId="53D4EB91"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Старшим военпредам АБТУ КА Военинженерам 2 ранга т.т. ШПИТАНОВУ, ДМИТРУСЕНКО, КОЗЫРЕВУ, ФЕДОРОВУ, ЛЕВИНУ, ЗУХЕРУ и Военинженеру 3 ранга тов. МОРОЗОВУ каждую декаду доносить мне по вопросам: </w:t>
      </w:r>
    </w:p>
    <w:p w14:paraId="2A5E0221"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отработка чертежей машин серийного выпуска. </w:t>
      </w:r>
    </w:p>
    <w:p w14:paraId="73846767"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отработка технологии производства. </w:t>
      </w:r>
    </w:p>
    <w:p w14:paraId="397FDC32"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подготовка штампов, приспособлений и инструментов. </w:t>
      </w:r>
    </w:p>
    <w:p w14:paraId="792F34B7"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г) обеспеченность станочным оборудованием. </w:t>
      </w:r>
    </w:p>
    <w:p w14:paraId="2306466B"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график выпуска по месяцам и выполнение. </w:t>
      </w:r>
    </w:p>
    <w:p w14:paraId="42C84D1D"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е) причины невыполнения отдельных работ и мероприятия. </w:t>
      </w:r>
    </w:p>
    <w:p w14:paraId="19432E00"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Старшим военпредам предлагаю принять непосредственное участие в составлении инструкции к машинам, обеспечив выпуск ее с первым серийным танком. </w:t>
      </w:r>
    </w:p>
    <w:p w14:paraId="41486F05"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Моим помощникам Комбригу т. ПАНФИЛОВУ и Военинженеру 1 ранга тов. КОРОБКОВУ докладывать мне ежедекадно о ходе выполнения всех работ, принимая решительные меры к устранению всех недостатков. </w:t>
      </w:r>
    </w:p>
    <w:p w14:paraId="12D7F56D"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Служебное соответствие и работу состава АБТУ КА и лиц военпредовской приемки буду оценивать по действительным результатам выполнения правительственного постановления по выпуску танков. </w:t>
      </w:r>
    </w:p>
    <w:p w14:paraId="01EF0B93"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 АБТУ КР. АРМИИ КОМАНДАРМ 2 РАНГА подпись (ПАВЛОВ</w:t>
      </w:r>
    </w:p>
    <w:p w14:paraId="4A9BC9FD"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ВОЕННЫЙ КОМИССАР АБТУ КА ДИВИЗИОННЫЙ КОМИССАР подпись (КУЛИКОВ)</w:t>
      </w:r>
    </w:p>
    <w:p w14:paraId="55A0C29B"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два экз. </w:t>
      </w:r>
    </w:p>
    <w:p w14:paraId="1356A108"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3.6.40</w:t>
      </w:r>
    </w:p>
    <w:p w14:paraId="7D6C78E2"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1038 листы 33 – 35</w:t>
      </w:r>
      <w:r w:rsidRPr="00DB5D0D">
        <w:rPr>
          <w:rFonts w:ascii="Times New Roman" w:eastAsia="Times New Roman" w:hAnsi="Times New Roman"/>
          <w:color w:val="000000" w:themeColor="text1"/>
          <w:sz w:val="16"/>
          <w:szCs w:val="16"/>
          <w:lang w:eastAsia="ru-RU"/>
        </w:rPr>
        <w:t xml:space="preserve"> (18076).</w:t>
      </w:r>
    </w:p>
    <w:p w14:paraId="45667328" w14:textId="77777777" w:rsidR="00A0725A" w:rsidRPr="00DB5D0D" w:rsidRDefault="00A0725A" w:rsidP="00DB5D0D">
      <w:pPr>
        <w:spacing w:after="0" w:line="240" w:lineRule="auto"/>
        <w:jc w:val="both"/>
        <w:rPr>
          <w:rFonts w:ascii="Times New Roman" w:eastAsia="Times New Roman" w:hAnsi="Times New Roman"/>
          <w:color w:val="000000" w:themeColor="text1"/>
          <w:sz w:val="16"/>
          <w:szCs w:val="16"/>
          <w:lang w:eastAsia="ru-RU"/>
        </w:rPr>
      </w:pPr>
    </w:p>
    <w:p w14:paraId="065CA585" w14:textId="77777777" w:rsidR="00A611DA" w:rsidRPr="00DB5D0D" w:rsidRDefault="00A611D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июня 1940 г., в этот день вышло совместное </w:t>
      </w:r>
      <w:hyperlink r:id="rId106" w:tgtFrame="_blank" w:history="1">
        <w:r w:rsidRPr="00DB5D0D">
          <w:rPr>
            <w:rStyle w:val="a5"/>
            <w:rFonts w:ascii="Times New Roman" w:hAnsi="Times New Roman"/>
            <w:color w:val="000000" w:themeColor="text1"/>
            <w:sz w:val="16"/>
            <w:szCs w:val="16"/>
            <w:u w:val="none"/>
          </w:rPr>
          <w:t>Постановление СНК СССР и ЦК ВКП(б) № 976-368сс «О производстве танков Т-34 в 1940 году»</w:t>
        </w:r>
      </w:hyperlink>
      <w:r w:rsidRPr="00DB5D0D">
        <w:rPr>
          <w:rFonts w:ascii="Times New Roman" w:hAnsi="Times New Roman"/>
          <w:color w:val="000000" w:themeColor="text1"/>
          <w:sz w:val="16"/>
          <w:szCs w:val="16"/>
        </w:rPr>
        <w:t xml:space="preserve">, в котором, в частности, было указано: </w:t>
      </w:r>
    </w:p>
    <w:p w14:paraId="2B468695" w14:textId="77777777" w:rsidR="00A611DA" w:rsidRPr="00DB5D0D" w:rsidRDefault="00A611D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«Придавая особо важное значение оснащению Красной Армии танками Т-34, Совет Народных Комисаров СССР и ЦК ВКП(б) постановляют: </w:t>
      </w:r>
    </w:p>
    <w:p w14:paraId="4BA5BC7F" w14:textId="77777777" w:rsidR="00A611DA" w:rsidRPr="00DB5D0D" w:rsidRDefault="00A611D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Обязать Народного комиссара среднего машиностроения тов. Лихачева И.А.: </w:t>
      </w:r>
    </w:p>
    <w:p w14:paraId="303D4115" w14:textId="77777777" w:rsidR="00A611DA" w:rsidRPr="00DB5D0D" w:rsidRDefault="00A611D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а) изготовить в 1940 году – 600 танков Т-34, из них: </w:t>
      </w:r>
    </w:p>
    <w:p w14:paraId="38F6A084" w14:textId="77777777" w:rsidR="00A611DA" w:rsidRPr="00DB5D0D" w:rsidRDefault="00A611D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на заводе № 183 (им. Коминтерна) – 500 шт.; </w:t>
      </w:r>
    </w:p>
    <w:p w14:paraId="6878B248" w14:textId="77777777" w:rsidR="00A611DA" w:rsidRPr="00DB5D0D" w:rsidRDefault="00A611DA"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на Сталинградском Тракторном – 100 шт.»</w:t>
      </w:r>
      <w:r w:rsidRPr="00DB5D0D">
        <w:rPr>
          <w:rFonts w:ascii="Times New Roman" w:hAnsi="Times New Roman"/>
          <w:color w:val="000000" w:themeColor="text1"/>
          <w:sz w:val="16"/>
          <w:szCs w:val="16"/>
        </w:rPr>
        <w:t xml:space="preserve">. </w:t>
      </w:r>
    </w:p>
    <w:p w14:paraId="795C552F" w14:textId="77777777" w:rsidR="000321AF" w:rsidRPr="00DB5D0D" w:rsidRDefault="00A611DA" w:rsidP="00DB5D0D">
      <w:pPr>
        <w:pStyle w:val="ae"/>
        <w:spacing w:before="0" w:after="0"/>
        <w:jc w:val="both"/>
        <w:rPr>
          <w:bCs/>
          <w:color w:val="000000" w:themeColor="text1"/>
          <w:sz w:val="16"/>
          <w:szCs w:val="16"/>
        </w:rPr>
      </w:pPr>
      <w:r w:rsidRPr="00DB5D0D">
        <w:rPr>
          <w:bCs/>
          <w:color w:val="000000" w:themeColor="text1"/>
          <w:sz w:val="16"/>
          <w:szCs w:val="16"/>
        </w:rPr>
        <w:t>[ГАРФ. Ф. Р-5446. Оп. 1в. Д. 523. Л. 216]</w:t>
      </w:r>
      <w:r w:rsidR="000321AF" w:rsidRPr="00DB5D0D">
        <w:rPr>
          <w:bCs/>
          <w:color w:val="000000" w:themeColor="text1"/>
          <w:sz w:val="16"/>
          <w:szCs w:val="16"/>
        </w:rPr>
        <w:t>.</w:t>
      </w:r>
    </w:p>
    <w:p w14:paraId="663CF4E4" w14:textId="77777777" w:rsidR="00A611DA" w:rsidRPr="00DB5D0D" w:rsidRDefault="000321AF" w:rsidP="00DB5D0D">
      <w:pPr>
        <w:pStyle w:val="ae"/>
        <w:spacing w:before="0" w:after="0"/>
        <w:jc w:val="both"/>
        <w:rPr>
          <w:bCs/>
          <w:color w:val="000000" w:themeColor="text1"/>
          <w:sz w:val="16"/>
          <w:szCs w:val="16"/>
        </w:rPr>
      </w:pPr>
      <w:r w:rsidRPr="00DB5D0D">
        <w:rPr>
          <w:color w:val="000000" w:themeColor="text1"/>
          <w:sz w:val="16"/>
          <w:szCs w:val="16"/>
        </w:rPr>
        <w:t>Таким образом, как уже отмечалось в предыдущей главе, по сравнению с программой, определенной Постановлением Комитета обороны при СНК СССР № 443сс от 19 декабря 1939 г., согласно Постановлению СНК СССР и ЦК ВКП(б) № 976-368сс завод № 183 в 1940 г. должен был увеличить выпуск «тридцатьчетвёрки» в 2,5 раза, а СТЗ – в 5 раз</w:t>
      </w:r>
      <w:r w:rsidR="00A611DA" w:rsidRPr="00DB5D0D">
        <w:rPr>
          <w:bCs/>
          <w:color w:val="000000" w:themeColor="text1"/>
          <w:sz w:val="16"/>
          <w:szCs w:val="16"/>
        </w:rPr>
        <w:t xml:space="preserve"> (18076).</w:t>
      </w:r>
    </w:p>
    <w:p w14:paraId="4B8BC2BE" w14:textId="77777777" w:rsidR="00A611DA" w:rsidRPr="00DB5D0D" w:rsidRDefault="00A611DA" w:rsidP="00DB5D0D">
      <w:pPr>
        <w:pStyle w:val="ae"/>
        <w:spacing w:before="0" w:after="0"/>
        <w:jc w:val="both"/>
        <w:rPr>
          <w:color w:val="000000" w:themeColor="text1"/>
          <w:sz w:val="16"/>
          <w:szCs w:val="16"/>
        </w:rPr>
      </w:pPr>
    </w:p>
    <w:p w14:paraId="534DDC4F" w14:textId="77777777" w:rsidR="007C3C59" w:rsidRPr="00DB5D0D" w:rsidRDefault="007C3C5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июня 1940 г. председатель Комитета обороны при СНК СССР К.Е. Ворошилов подписал </w:t>
      </w:r>
      <w:hyperlink r:id="rId107" w:tgtFrame="_blank" w:history="1">
        <w:r w:rsidRPr="00DB5D0D">
          <w:rPr>
            <w:rStyle w:val="a5"/>
            <w:rFonts w:ascii="Times New Roman" w:hAnsi="Times New Roman"/>
            <w:color w:val="0070C0"/>
            <w:sz w:val="16"/>
            <w:szCs w:val="16"/>
            <w:u w:val="none"/>
          </w:rPr>
          <w:t>распоряжение № 5286/КО</w:t>
        </w:r>
      </w:hyperlink>
      <w:r w:rsidRPr="00DB5D0D">
        <w:rPr>
          <w:rFonts w:ascii="Times New Roman" w:hAnsi="Times New Roman"/>
          <w:color w:val="0070C0"/>
          <w:sz w:val="16"/>
          <w:szCs w:val="16"/>
        </w:rPr>
        <w:t>, согласно которому народным комиссарам среднего машиностроения И.А. Лихачеву и тяжелого машиностроения А.И. Ефремову предлагалось:</w:t>
      </w:r>
    </w:p>
    <w:p w14:paraId="6D0991D2" w14:textId="77777777" w:rsidR="007C3C59" w:rsidRPr="00DB5D0D" w:rsidRDefault="007C3C5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НКТМ в конструкторском бюро Кировского завода к 1 августа 1940 г. разработать технический проект механизма поворота танка, применительно к танку "КВ".</w:t>
      </w:r>
    </w:p>
    <w:p w14:paraId="232C1E4D" w14:textId="77777777" w:rsidR="007C3C59" w:rsidRPr="00DB5D0D" w:rsidRDefault="007C3C5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НКСМ в конструкторском бюро завода № 183 к 1 августа 1940 г. разработать технический проект механизма поворота танка, применительно к танку "Т-34".</w:t>
      </w:r>
    </w:p>
    <w:p w14:paraId="6E9330EF" w14:textId="77777777" w:rsidR="007C3C59" w:rsidRPr="00DB5D0D" w:rsidRDefault="007C3C5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Проектирование и разработку технического проекта механизма поворота вести при обязательном участии т. Данченко и Благонравова по предложенной ими кинематической схеме (приложение № 1).</w:t>
      </w:r>
    </w:p>
    <w:p w14:paraId="1FC92D2C" w14:textId="77777777" w:rsidR="007C3C59" w:rsidRPr="00DB5D0D" w:rsidRDefault="007C3C5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Затраты на разработку технических проектов механизма поворота произвести в счет ассигнований НКСМашу и НКТМашу на оборонные научно-исследовательские работы на 1940 год».</w:t>
      </w:r>
    </w:p>
    <w:p w14:paraId="03D6BDA4" w14:textId="77777777" w:rsidR="007C3C59" w:rsidRPr="00DB5D0D" w:rsidRDefault="007C3C5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[ГАРФ. Ф. Р8418. Оп. 24. Д. 936. Л. 93]</w:t>
      </w:r>
    </w:p>
    <w:p w14:paraId="6035E915" w14:textId="77777777" w:rsidR="007C3C59" w:rsidRPr="00DB5D0D" w:rsidRDefault="007C3C5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Однако в связи с отсутствием опыта по проектированию планетарных передач и большой загруженностью конструкторских бюро текущей работой, ни Кировский завод, ни завод № 183 не смогли разработать технические проекты механизмов поворота для танков КВ и Т-34 к указанному в распоряжении сроку (20377).</w:t>
      </w:r>
    </w:p>
    <w:p w14:paraId="0F3BC6CA" w14:textId="77777777" w:rsidR="007C3C59" w:rsidRPr="00DB5D0D" w:rsidRDefault="007C3C59" w:rsidP="00DB5D0D">
      <w:pPr>
        <w:spacing w:after="0" w:line="240" w:lineRule="auto"/>
        <w:jc w:val="both"/>
        <w:rPr>
          <w:rFonts w:ascii="Times New Roman" w:hAnsi="Times New Roman"/>
          <w:color w:val="0070C0"/>
          <w:sz w:val="16"/>
          <w:szCs w:val="16"/>
        </w:rPr>
      </w:pPr>
    </w:p>
    <w:p w14:paraId="4BBACC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 директор ГАЗа Лоскутов телеграфирует: “Москва. Кремль. Тов. Микояну. На заводе находятся 1749 машин ГАЗ-65 с приспособлением высокой проходимости. Заморожено 50 млн. руб. Машины стоят на площадке завода, портятся. Прошу ускорить решение о продаже машин. В связи с этим на заводе тяжелое финансовое состояние, прошу продлить предоставленную госбанком ссуду под машины ГАЗ-65 в 35 млн. руб. сроком на 30 дней”.</w:t>
      </w:r>
    </w:p>
    <w:p w14:paraId="584F2C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Микоян отправил бумагу по инстанциям с резолюцией:</w:t>
      </w:r>
    </w:p>
    <w:p w14:paraId="705B2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Молотову,</w:t>
      </w:r>
    </w:p>
    <w:p w14:paraId="73BA93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Булганину,</w:t>
      </w:r>
    </w:p>
    <w:p w14:paraId="57C1A2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Вознесенскому,</w:t>
      </w:r>
    </w:p>
    <w:p w14:paraId="3A9086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Малышеву.</w:t>
      </w:r>
    </w:p>
    <w:p w14:paraId="558A23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снизить цену на вездеходы, установив на 25-30% дороже обычных ГАЗ. Разницу в себестоимости этой партии взять на госбюджет или покрыть за счет прибылей НКСМ. Госбанку продлить ссуду на 10 дней.</w:t>
      </w:r>
    </w:p>
    <w:p w14:paraId="2F7E3B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Микоян. 09 июня” (9970).</w:t>
      </w:r>
    </w:p>
    <w:p w14:paraId="18C5553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61E262" w14:textId="77777777" w:rsidR="005B5719" w:rsidRPr="00DB5D0D" w:rsidRDefault="005B571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 Заместитель Наркома среднего машиностроения Горегляд по вопросу несвоевременности передачи военным мотоциклов Л-8 писал в Правительство: «Недопоставка НКО мотоциклов Л-8 и запчастей к ним произошла по следующим причинам:</w:t>
      </w:r>
    </w:p>
    <w:p w14:paraId="7736C288" w14:textId="77777777" w:rsidR="005B5719" w:rsidRPr="00DB5D0D" w:rsidRDefault="005B571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Новая модель мотоцикла Л-8 содержит принципиально отличные от мотоцикла Л-300 772 совершенно новые детали, что составляет 74 % от общего количества деталей мотоцикла Л-8, и ввиду трудности в их изготовлении произошла задержка в освоении.</w:t>
      </w:r>
    </w:p>
    <w:p w14:paraId="0AD1E20E" w14:textId="77777777" w:rsidR="005B5719" w:rsidRPr="00DB5D0D" w:rsidRDefault="005B571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Мотоциклетный цех был загружен специальным правительственным заданием для нужд фронта, каковое он и выполнил в установленные сроки.</w:t>
      </w:r>
    </w:p>
    <w:p w14:paraId="30D9F64C" w14:textId="77777777" w:rsidR="005B5719" w:rsidRPr="00DB5D0D" w:rsidRDefault="005B571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завод № 234 освоил производство мотоциклов Л-8, и дальнейший их выпуск зависит исключительно от нормального и бесперебойного снабжения завода №234 со стороны заводов смежников». Помимо завода № 234, Л-8 предполагали выпускать в Ижевске и в Серпухове. Для намеченных к поставке в армию мотоциклов в том же 1940 г. была утверждена единая спецификация «ИЖ-Л-8/51». Летом 1940 г., извещая Правительство о некомплекте легких мотоциклов в армии более чем в 20 000, маршал Кулик просил изготовить и поставить для НКО в 1940 году заводом № 234 7000 шт. мотоциклов Л-8 и в 1941 г. еще 10 000 шт. А ведь помимо армии, мотоциклы должны были поступать в милицию, внутренние войска и др. На 1 января 1941 в войсках НКВД по штату полагалось 1665 мотоциклов всех типов, но некомплект составлял 895 шт. На 1941 г. для войск НКВД была подана заявка на 300 мотоциклов всех типов, но был выделен лимит в 60 легких мотоциклов. 10 августа 1940 Постановлением ЦК ВКП(б) и СНК СССР № 1423–559сс Главмотовелопром Наркомобщемаша получил задание освоить на Ижевском, Серпуховском (СМЗ) и Ленинградском заводах производство мотоцикла Л-8. Освоение нового мотоцикла шло тяжело, с отставанием от заданных сроков, поскольку требовала существенной реорганизации производства. Хотя для легких мотоциклов обоих заводов была утверждена единая спецификация, в Ижевске в ходе адаптации конструкторской документации с учетом имевшегося оборудования спроектировали практически новый образец «мотоцикла Л-8 на базе экипажной части мотоцикла Ижевского завода ИЖ-9, с сохранением двигателя и коробки передач мотоцикла Л-8». Мотоцикл успешно прошел испытания и Нарком общего машиностроения А. Паршин 12 ноября 1940 письмом № 8564с обратился в Правительство с просьбой разрешить поставить на производство на Ижевском мотоциклетном заводе «частично модернизированный мотоцикл Л-8 /мотор и коробка скоростей Л-8 на экипажной части ИЖ-9/» с организацией его выпуска в течение III квартала 1941 г., с тем чтобы с IV квартала 1941 перейти на производство мотоцикла Л-8, модернизированного в соответствии с требованиями ГАБТУ КА. Оценка ГАБТУ модернизированного мотоцикла оказалась даже выше чем у Л-8: «произведенная Ижевским мотозаводом частичная модернизация удовлетворяет основные требования ГАБТУ как существующей конструкции мотоцикла Л-8 по снижению веса и повышению клиренса». Новый мотоцикл был одобрен военными, поэтому с планов производства Л-8 был снят, и 4 марта 1941 г. правительственным Постановлением он был утвержден к серийному производству в качестве основного легкого армейского мотоцикла под маркой ИЖ-12. Серийное производство ИЖ-12 предполагалось начать не только в Ижевске, но и в Серпухове вместо мопедов («малолитражных мотоциклов»). На Серпуховском заводе (СМЗ) выпуск ИЖ-12 должен был начаться с 1 декабря 1941 г. с одновременным прекращением постройки Л-8. В 3 квартале 1942 г. планировалось окончание реконструкции завода с выходом на мощность 10 000 мотоциклов в год. Начать выпуск мотоциклов ИЖ-12 на Ижевском заводе предполагали с мая 1941 г, прекратив производство мотоциклов ИЖ-9 с июля 1941 года. Реконструкцию Ижевского завода, с выходом на мощность 10 000 мотоциклов в год, следовало закончить в 1 квартале 1942 г. Завод № 234 планировалось перевести на выпуск военного мотоцикла с коляской. Еще одним заводом для выпуска ИЖ-12 намечался новостроящемся Рижском. К 1944 выпуск легких мотоциклов должен был составить 40 тыс. шт в год. Однако война разрушила все планы и Рижский завод в строй действующих вступить не успел. Освоение производства мотоциклов шло с отставанием от утвержденного Правительством графика, и 19 июня 1941 г вышло Постановление СНК СССР № 1674–702сс «О производстве мото циклов». В постановлении отмечалось не</w:t>
      </w:r>
      <w:r w:rsidRPr="00DB5D0D">
        <w:rPr>
          <w:rFonts w:ascii="Times New Roman" w:hAnsi="Times New Roman"/>
          <w:color w:val="000000" w:themeColor="text1"/>
          <w:sz w:val="16"/>
          <w:szCs w:val="16"/>
        </w:rPr>
        <w:softHyphen/>
        <w:t xml:space="preserve">выполнение НКСМ и НКБ плана производства мотоциклов за 5 месяцев 1941 г., а также отставание по срокам в подготовке производства и мощностей к выпуску новых типов мотоциклов. СНК поручал «принять все меры» и доложить о результатах в комиссию по военным и военно-морским делам при Правительстве к 10 июля. Постановлением был утвержден новый план производства мотоциклов на 3 квартал в объеме 15 600 шт., в том числе 2200 Иж-12 и 900 Л-8. Уже через три дня Постановление потеряло актуальность. Руководителями заводов были вскрыты мобилизационные пакеты, и предприятия переключились на выпуск новой продукции. С приближением германских войск к Москве, Серпуховский завод был эвакуирован в Ижевск, а на оставшемся оборудовании стали выполняться текущие военные заказы. До начала октября СМЗ сдал </w:t>
      </w:r>
      <w:r w:rsidRPr="00DB5D0D">
        <w:rPr>
          <w:rFonts w:ascii="Times New Roman" w:hAnsi="Times New Roman"/>
          <w:color w:val="000000" w:themeColor="text1"/>
          <w:sz w:val="16"/>
          <w:szCs w:val="16"/>
        </w:rPr>
        <w:lastRenderedPageBreak/>
        <w:t>280 мотоциклов Л-8. Ижевский мотозавод к этому времени сдал 3500 мотоциклов ИЖ-9 при плане в 3050. Однако темп освоения ИЖ-12 был неудовлетворительным — в январе сдали три мотоцикла, в апреле и июне по одному, в июле девять и в августе 15. Кроме того, СМЗ вне плана успел до эвакуации сдать 48 мопедов, собранных из задела прошлых лет.</w:t>
      </w:r>
    </w:p>
    <w:p w14:paraId="34CA98D4" w14:textId="77777777" w:rsidR="005B5719" w:rsidRPr="00DB5D0D" w:rsidRDefault="005B5719" w:rsidP="00DB5D0D">
      <w:pPr>
        <w:spacing w:after="0" w:line="240" w:lineRule="auto"/>
        <w:jc w:val="both"/>
        <w:rPr>
          <w:rFonts w:ascii="Times New Roman" w:hAnsi="Times New Roman"/>
          <w:color w:val="000000" w:themeColor="text1"/>
          <w:sz w:val="16"/>
          <w:szCs w:val="16"/>
        </w:rPr>
      </w:pPr>
    </w:p>
    <w:p w14:paraId="5B55C0F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3D906F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7EE25C0"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 Дик Рейнелл оторвал опытный Харрикейн с четырьмя пушками от взлетной полосы в Лэнгли. Самолет весил 3376 кг и скорость упала до 467 км/ч; но следует учесть, что это был уже потрепанный истребитель с изношенным мотором. За дюжиной полетов в Лэнгли последовал отстрел пушек на земле и в воздухе на полигоне в Боскомб-Даун, и уже 19 августа боевая 151-я эскадрилья приняла машину на войсковые испытания. Документальных свидетельств участия пушечного "Харрикейна" в воздушных боях, увы, не сохранилось (15129).</w:t>
      </w:r>
    </w:p>
    <w:p w14:paraId="462B0AAB"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7C452CBE"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7 июня</w:t>
      </w:r>
      <w:r w:rsidRPr="00DB5D0D">
        <w:rPr>
          <w:rFonts w:ascii="Times New Roman" w:hAnsi="Times New Roman"/>
          <w:color w:val="000000" w:themeColor="text1"/>
          <w:sz w:val="16"/>
          <w:szCs w:val="16"/>
        </w:rPr>
        <w:t xml:space="preserve"> в 1940 году итальянский средний бомбардировщик </w:t>
      </w:r>
      <w:hyperlink r:id="rId108" w:tgtFrame="_blank" w:history="1">
        <w:r w:rsidRPr="00DB5D0D">
          <w:rPr>
            <w:rFonts w:ascii="Times New Roman" w:hAnsi="Times New Roman"/>
            <w:color w:val="000000" w:themeColor="text1"/>
            <w:sz w:val="16"/>
            <w:szCs w:val="16"/>
          </w:rPr>
          <w:t xml:space="preserve">«Z.1018» «Leone» </w:t>
        </w:r>
      </w:hyperlink>
      <w:r w:rsidRPr="00DB5D0D">
        <w:rPr>
          <w:rFonts w:ascii="Times New Roman" w:hAnsi="Times New Roman"/>
          <w:color w:val="000000" w:themeColor="text1"/>
          <w:sz w:val="16"/>
          <w:szCs w:val="16"/>
        </w:rPr>
        <w:t>разогнался до 515 км/ч, но без дополнительного бронирования (14915).</w:t>
      </w:r>
    </w:p>
    <w:p w14:paraId="04D26113"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15E2C6AF"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7 июня</w:t>
      </w:r>
      <w:r w:rsidRPr="00DB5D0D">
        <w:rPr>
          <w:rFonts w:ascii="Times New Roman" w:hAnsi="Times New Roman"/>
          <w:color w:val="000000" w:themeColor="text1"/>
          <w:sz w:val="16"/>
          <w:szCs w:val="16"/>
        </w:rPr>
        <w:t xml:space="preserve"> в 1940 году состоялись крайние испытательные полеты латвийского учебного пикирующего бомбардировщика </w:t>
      </w:r>
      <w:hyperlink r:id="rId109" w:tgtFrame="_blank" w:history="1">
        <w:r w:rsidRPr="00DB5D0D">
          <w:rPr>
            <w:rFonts w:ascii="Times New Roman" w:hAnsi="Times New Roman"/>
            <w:color w:val="000000" w:themeColor="text1"/>
            <w:sz w:val="16"/>
            <w:szCs w:val="16"/>
          </w:rPr>
          <w:t xml:space="preserve">«C-6bis» </w:t>
        </w:r>
      </w:hyperlink>
      <w:r w:rsidRPr="00DB5D0D">
        <w:rPr>
          <w:rFonts w:ascii="Times New Roman" w:hAnsi="Times New Roman"/>
          <w:color w:val="000000" w:themeColor="text1"/>
          <w:sz w:val="16"/>
          <w:szCs w:val="16"/>
        </w:rPr>
        <w:t>конструкции Хербертса Цукурса. Построен в 1940 году. Единственный цельнометаллический самолет такого класса, построенный в Латвии. Создан на базе самолета «С-6» 2Tris Zvaigznes», совершившего перелет в Японию. На самолете был установлен новый, более мощный двигатель. Имелся заказ Управления вооружений Минобороны Латвии на постройку серии самолетов. Испытания проводили пилоты 2-й истребительной эскадрильи капитан Я.Балодис, старшие лейтенанты А.Граудиньш и А.Грантс (14915).</w:t>
      </w:r>
    </w:p>
    <w:p w14:paraId="37ECE491"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1AB2E33E" w14:textId="77777777" w:rsidR="00487F03" w:rsidRPr="00DB5D0D" w:rsidRDefault="00487F0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июня 1940 авианосец HMS Ark Royal доставит на борт пяти уцелевших летающих лодок Supermarine Walrus из 701-й эскадрильи из Харстада и HMS Glorious выжившие Hurricanes из 46-й эскадрильи и Gladiators из 263-й эскадрильи из Бардуфосса, пока продолжается эвакуация союзников из Норвегии (20795).</w:t>
      </w:r>
    </w:p>
    <w:p w14:paraId="5BC483AF" w14:textId="77777777" w:rsidR="00487F03" w:rsidRPr="00DB5D0D" w:rsidRDefault="00487F03" w:rsidP="00DB5D0D">
      <w:pPr>
        <w:spacing w:after="0" w:line="240" w:lineRule="auto"/>
        <w:jc w:val="both"/>
        <w:rPr>
          <w:rFonts w:ascii="Times New Roman" w:hAnsi="Times New Roman"/>
          <w:color w:val="0070C0"/>
          <w:sz w:val="16"/>
          <w:szCs w:val="16"/>
        </w:rPr>
      </w:pPr>
    </w:p>
    <w:p w14:paraId="1CFCB954" w14:textId="77777777" w:rsidR="00487F03" w:rsidRPr="00DB5D0D" w:rsidRDefault="00487F0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7–8 июня (ночь) 1940 бомбардировщик французской морской авиации SNCAC NC.223 «Жюль Верн» (регистрационный F-ARIN) совершает первый бомбардировочный налет на Берлин времен Второй мировой войны, совершив 22-часовой полет над Данией в подойти к Берлину со стороны Балтийского моря . Нацеленный на завод Сименс, Жюль Верн сбрасывает на город восемь 250-килограммовых (551 фунт) фугасных бомб и двенадцать 10-килограммовых (22,5 фунта) зажигательных бомб (20795).</w:t>
      </w:r>
    </w:p>
    <w:p w14:paraId="265E7C72" w14:textId="77777777" w:rsidR="00487F03" w:rsidRPr="00DB5D0D" w:rsidRDefault="00487F03" w:rsidP="00DB5D0D">
      <w:pPr>
        <w:spacing w:after="0" w:line="240" w:lineRule="auto"/>
        <w:jc w:val="both"/>
        <w:rPr>
          <w:rFonts w:ascii="Times New Roman" w:hAnsi="Times New Roman"/>
          <w:color w:val="0070C0"/>
          <w:sz w:val="16"/>
          <w:szCs w:val="16"/>
        </w:rPr>
      </w:pPr>
    </w:p>
    <w:p w14:paraId="11D8EC58" w14:textId="77777777" w:rsidR="00487F03" w:rsidRPr="00DB5D0D" w:rsidRDefault="00487F03"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7 июня 1940 года председатель Консультативной комиссии по вопросам обороны (National Defense Advisory Commission) в составе семи человек, созданной Президентов мае и представлявших основные секторы американского «большого бизнеса» (Рузвельт предоставил ей право размещения контрактов от имени президента США в рамках чрезвычайных ассигнований на военные цели, выделенных конгрессом), Кнудсен позвонил по телефону президенту автомобильной компании «Крайслер» К. Келлеру и предложил ему контракт на производство танков. Хотя фирма никогда прежде не занималась выпуском бронированных боевых машин, узнав сумму будущего заказа, Келлер без колебаний согласился. Однако при этом он поставил условие, что строительство сборочного завода правительство возьмет на себя, так как «Крайслер» не желал иметь избыточные мощности по выпуску бронетехники после войны. Было тут же решено, что государство возведет на территории Детройтского танкового арсенала армии США сборочный танковый завод, передав его в аренду «Крайслеру». Вслед за этим телефонным разговором инженеры и технологи компании немедленно выехали на Рок-Айлендский арсенал, где ознакомились на месте с конструкцией разработанного армией США среднего танка М-2А1. Вернулись они оттуда со 186 фунтами копий всей технической и технологической документации, связанной с танком. Так как М-2А1 оснащался 37-мм пушкой, а армия с учетом опыта войны в Европе нуждалась в машине с более мощным орудием, было решено сконструировать на базе М-2А1 средний танк, получивший впоследствии наименование М-3 «Грант». Выполнить это задание поручили Абердинскому арсеналу армии США (21541).</w:t>
      </w:r>
    </w:p>
    <w:p w14:paraId="49EFB805" w14:textId="77777777" w:rsidR="00487F03" w:rsidRPr="00DB5D0D" w:rsidRDefault="00487F03" w:rsidP="00DB5D0D">
      <w:pPr>
        <w:spacing w:after="0" w:line="240" w:lineRule="auto"/>
        <w:jc w:val="both"/>
        <w:rPr>
          <w:rFonts w:ascii="Times New Roman" w:hAnsi="Times New Roman"/>
          <w:color w:val="0070C0"/>
          <w:sz w:val="16"/>
          <w:szCs w:val="16"/>
        </w:rPr>
      </w:pPr>
    </w:p>
    <w:p w14:paraId="160962F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в Англии вручены первые в ходе второй мировой войны кресты Виктории - высшие военные награды Британии (4962).</w:t>
      </w:r>
    </w:p>
    <w:p w14:paraId="0126AB3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382749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королева Голландии Юлиана со своим правительством прибыла в Канаду, где получила убежище на время оккупации ее страны фашистами (4962).</w:t>
      </w:r>
    </w:p>
    <w:p w14:paraId="7EC0372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F1188A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французский бомбардировщик «Жюль Верн» (№ 2) совершил первый бомбовый налет на Берлин (4962).</w:t>
      </w:r>
    </w:p>
    <w:p w14:paraId="4EB31C7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858FAB8"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7 июня</w:t>
      </w:r>
      <w:r w:rsidRPr="00DB5D0D">
        <w:rPr>
          <w:rFonts w:ascii="Times New Roman" w:hAnsi="Times New Roman"/>
          <w:color w:val="000000" w:themeColor="text1"/>
          <w:sz w:val="16"/>
          <w:szCs w:val="16"/>
        </w:rPr>
        <w:t xml:space="preserve"> в 1940 году французский бомбардировщик </w:t>
      </w:r>
      <w:hyperlink r:id="rId110" w:tgtFrame="_blank" w:history="1">
        <w:r w:rsidRPr="00DB5D0D">
          <w:rPr>
            <w:rFonts w:ascii="Times New Roman" w:hAnsi="Times New Roman"/>
            <w:color w:val="000000" w:themeColor="text1"/>
            <w:sz w:val="16"/>
            <w:szCs w:val="16"/>
          </w:rPr>
          <w:t xml:space="preserve">«NC.223.4» «Жюль Верн» </w:t>
        </w:r>
      </w:hyperlink>
      <w:r w:rsidRPr="00DB5D0D">
        <w:rPr>
          <w:rFonts w:ascii="Times New Roman" w:hAnsi="Times New Roman"/>
          <w:color w:val="000000" w:themeColor="text1"/>
          <w:sz w:val="16"/>
          <w:szCs w:val="16"/>
        </w:rPr>
        <w:t>совершил первую бомбардировку Берлина. Берлин был атакован по длинному обходному маршруту через Северное море и Балтику (14915).</w:t>
      </w:r>
    </w:p>
    <w:p w14:paraId="189742BB"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7DE7CA42" w14:textId="77777777" w:rsidR="004B4675" w:rsidRPr="00DB5D0D" w:rsidRDefault="004B4675"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7 июня 1940 года</w:t>
      </w:r>
      <w:r w:rsidR="00F53E0D" w:rsidRPr="00DB5D0D">
        <w:rPr>
          <w:rFonts w:ascii="Times New Roman" w:hAnsi="Times New Roman"/>
          <w:bCs/>
          <w:color w:val="000000" w:themeColor="text1"/>
          <w:sz w:val="16"/>
          <w:szCs w:val="16"/>
        </w:rPr>
        <w:t xml:space="preserve"> был</w:t>
      </w:r>
      <w:r w:rsidRPr="00DB5D0D">
        <w:rPr>
          <w:rFonts w:ascii="Times New Roman" w:hAnsi="Times New Roman"/>
          <w:color w:val="000000" w:themeColor="text1"/>
          <w:sz w:val="16"/>
          <w:szCs w:val="16"/>
        </w:rPr>
        <w:t xml:space="preserve"> первый авианалет на Берлин совершили французы</w:t>
      </w:r>
      <w:r w:rsidR="00F53E0D"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rPr>
        <w:t xml:space="preserve"> В той «карательной» операции участвовал 1 (!!!) самолет типа «Фарман-223», сбросивший бомбы н юго-западе немецкой столицы. Тогда жертв среди населения не было, но уже </w:t>
      </w:r>
      <w:r w:rsidRPr="00DB5D0D">
        <w:rPr>
          <w:rFonts w:ascii="Times New Roman" w:hAnsi="Times New Roman"/>
          <w:bCs/>
          <w:color w:val="000000" w:themeColor="text1"/>
          <w:sz w:val="16"/>
          <w:szCs w:val="16"/>
        </w:rPr>
        <w:t>26 августа 1940 года</w:t>
      </w:r>
      <w:r w:rsidRPr="00DB5D0D">
        <w:rPr>
          <w:rFonts w:ascii="Times New Roman" w:hAnsi="Times New Roman"/>
          <w:color w:val="000000" w:themeColor="text1"/>
          <w:sz w:val="16"/>
          <w:szCs w:val="16"/>
        </w:rPr>
        <w:t xml:space="preserve"> случилась первая «серьезная» бомбардировка Берлина (17416).</w:t>
      </w:r>
    </w:p>
    <w:p w14:paraId="40474D5F" w14:textId="77777777" w:rsidR="004B4675" w:rsidRPr="00DB5D0D" w:rsidRDefault="004B4675" w:rsidP="00DB5D0D">
      <w:pPr>
        <w:spacing w:after="0" w:line="240" w:lineRule="auto"/>
        <w:jc w:val="both"/>
        <w:rPr>
          <w:rFonts w:ascii="Times New Roman" w:hAnsi="Times New Roman"/>
          <w:color w:val="000000" w:themeColor="text1"/>
          <w:sz w:val="16"/>
          <w:szCs w:val="16"/>
        </w:rPr>
      </w:pPr>
    </w:p>
    <w:p w14:paraId="0A7018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французская авиация бомбила Берлин (2259).</w:t>
      </w:r>
    </w:p>
    <w:p w14:paraId="0957325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3407D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создана государственная испанская авиакомпания «Иберия» (4962).</w:t>
      </w:r>
    </w:p>
    <w:p w14:paraId="741E2FE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51FA3F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9E2948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46999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года была подготовлена справка Ворошилову.</w:t>
      </w:r>
    </w:p>
    <w:p w14:paraId="523EFA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Тимошенко С.К. докладывает, что при гос. испытаниях самолета ББ-1 с мотором М-88 выявилась недоведенность винтомоторной группы самолета по температурным режимам, не позволяющая принимать самолет для нормальной эксплуатации в частях ВВС.</w:t>
      </w:r>
    </w:p>
    <w:p w14:paraId="5526CC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Тимошенко просит:</w:t>
      </w:r>
    </w:p>
    <w:p w14:paraId="4C8AC2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До полной доведенности винтомоторной группы с мотором М-88, выпуск самолетов ББ-1 производить с мотором М-87.</w:t>
      </w:r>
    </w:p>
    <w:p w14:paraId="02469C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НКАП довести мотор М-88 до надежной работы не мене 100 часов, довести винтомоторную группу самолета ББ-1 по температурным режимам и довести скорость самолета с 468 км/час до 500 км/час.</w:t>
      </w:r>
    </w:p>
    <w:p w14:paraId="69E9B2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категорически возражает против приостановления производства самолетов ББ-1 с мотором М-88 и перехода на выпуск самолетов с мотором М-87, т.к. это дезорганизует работу 3-х заводов НКАП, развернувших производство самолетов ББ-1.</w:t>
      </w:r>
    </w:p>
    <w:p w14:paraId="456AA4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докладывает, что НКАП проводит работу по доводке самолета ББ-1 с М-88 и что эта работа, будет закончена в июне и что НКАП может к 20 июня 1940 г. предъявить на контрольные испытания доведенный самолет ББ-1 с М-88.</w:t>
      </w:r>
    </w:p>
    <w:p w14:paraId="272429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Шахурин просит производство самолетов ББ-1 с М-88 не приостанавливать, разрешить сдавать самолеты не полностью доведенными с тем, чтобы во 2-м полугодии произвести в частях ВВС все доделки на самолетах, выпущенных в первом полугодии.</w:t>
      </w:r>
    </w:p>
    <w:p w14:paraId="3169C4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считает нецелесообразным временно переходить на выпуск самолетов ББ-1 с мотором М-87, т.к. это вызовет нарушение производственного процесса заводов в то время как доводка самолета с мотором М-88 может быть закончена в течение июня.</w:t>
      </w:r>
    </w:p>
    <w:p w14:paraId="419B23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необходимо обязать НКАП в кратчайший срок закончить доводку самолета, устранить все недоделки и к 1 июля 1940 г. предъявить самолет на контрольные испытания.</w:t>
      </w:r>
    </w:p>
    <w:p w14:paraId="77B33A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окончания контрольных испытаний разрешить НКАП сдавать самолеты ББ-1 с М-88 по состоянию доведенности на 15 июня 1940 г. (3444,6).</w:t>
      </w:r>
    </w:p>
    <w:p w14:paraId="31DBC84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9E93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8 по 16 июня 1940 проходили летные испытания ДБ-3 Украина. Сделали 9 полетов и 16 июня передали машину по акту экипажу (2102,4).</w:t>
      </w:r>
    </w:p>
    <w:p w14:paraId="7994057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A1F00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года начальник ГУ ВВС генерал-лейтенант авиации Смушкевич писал письмо № 466081сс председателю КО маршалу Ворошилову К.Е.</w:t>
      </w:r>
    </w:p>
    <w:p w14:paraId="65833CD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проекту постановления КО о задании конструкторам Болховитинову и Бериеву на постройку одноместных двухмоторных истребителей с двумя спаренными моторами и соосными толкающими винтами, докладываю:</w:t>
      </w:r>
    </w:p>
    <w:p w14:paraId="76C24305"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предъявления на гос. испытания необходимо сократить и установить:</w:t>
      </w:r>
    </w:p>
    <w:p w14:paraId="1592102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Главному конструктору Болховитинову:</w:t>
      </w:r>
    </w:p>
    <w:p w14:paraId="1F81787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 С 2М103 – 1 июня 1941 года</w:t>
      </w:r>
    </w:p>
    <w:p w14:paraId="44F722B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 С 2М107 – 1 октября 1941 года</w:t>
      </w:r>
    </w:p>
    <w:p w14:paraId="57FC2DE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Главному конструктору Бериеву:</w:t>
      </w:r>
    </w:p>
    <w:p w14:paraId="007B070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 С 2М103 – 1 июня 1941 года</w:t>
      </w:r>
    </w:p>
    <w:p w14:paraId="0AC9BC9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 С 2М107 – 1 октября 1941 года</w:t>
      </w:r>
    </w:p>
    <w:p w14:paraId="78558C6E"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что самолет выйдет в конце 1941 года, максимальные скорости необходимо увеличить:</w:t>
      </w:r>
    </w:p>
    <w:p w14:paraId="04F9428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5500 м с 2М103 – до 720 км/час</w:t>
      </w:r>
    </w:p>
    <w:p w14:paraId="697ACA5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5500 м с 2М105 – до 740 км/час</w:t>
      </w:r>
    </w:p>
    <w:p w14:paraId="26B1C23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7500 м с 2М107 – до 780 км/час</w:t>
      </w:r>
    </w:p>
    <w:p w14:paraId="0C7400C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посадочную скорость со 150 км/час следует сократить до 140 км/час.</w:t>
      </w:r>
    </w:p>
    <w:p w14:paraId="594DF156"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на скорости 0,9 необходимо увеличить и потребовать:</w:t>
      </w:r>
    </w:p>
    <w:p w14:paraId="1E30486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нормальную дальность – 1000 км</w:t>
      </w:r>
    </w:p>
    <w:p w14:paraId="3D579C2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перегрузке (с подвесными баками – 1500 км</w:t>
      </w:r>
    </w:p>
    <w:p w14:paraId="650E1EC4"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необходимо изменить и задать в двух вариантах:</w:t>
      </w:r>
    </w:p>
    <w:p w14:paraId="69BF318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вариант – 2 пушки 23 мм, 2 пулемета 12,7 мм</w:t>
      </w:r>
    </w:p>
    <w:p w14:paraId="66DCBAB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вариант – 1 пушка калибра 60-76 мм и 2 пушки по 23 мм (3420, 94).</w:t>
      </w:r>
    </w:p>
    <w:p w14:paraId="3CF4368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7FDBD0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в ходе заводских испытаний И-200 А.И.М, которые проходили с 31 марта по 17 августа 1940, на И-200-2 был выполнен контрольный полет на новом моторе и вновь не получился полет на определение температурных режимов ВМГ. Ремонтировали до 10 июня (2988).</w:t>
      </w:r>
    </w:p>
    <w:p w14:paraId="2EE9DFD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3C54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на И-200-2 поставили новый двигатель, в тот же день в полете на замере температур он отказал - очередная авария, и опять два дня ремонта (11938).</w:t>
      </w:r>
    </w:p>
    <w:p w14:paraId="6E78263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5ECA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ГК ОКБ завода 207 Боровков писал А.С.Я. письмо N 904:</w:t>
      </w:r>
    </w:p>
    <w:p w14:paraId="597BEA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летные испытания самолета И-207/3 М-63, начатые 23 апреля 1940, закончены на 15 дней раньше срока, 7 июня 1940 согласно приказа НКАП от 22 апреля 1940 N 174 по утвержденной программе. Сделано было 30 полетов. (2050,52).</w:t>
      </w:r>
    </w:p>
    <w:p w14:paraId="01EEDD1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A447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на И-26 М-105П ВИШ-61 А.С.Я. в ходе гос. испытаний, которые проходили с 1 по 15 июня 1940 после завершения отстрела пушек на земле машина была переведена из тира на аэродром. По том в дождь определяли взлетно-посадочные свойства и после 6-й посадки сдала левая нога (2924).</w:t>
      </w:r>
    </w:p>
    <w:p w14:paraId="105A76D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8D2B6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года закончился первый этап заводских испытаний ОКО-6 2М-88 б/р, который начался 31 декабря 1939 года на аэродроме ЦАГИ-Раменское, и самолет был перегнан на завод № 81 для доводок (7711, 71-75).</w:t>
      </w:r>
    </w:p>
    <w:p w14:paraId="37C71BC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заводских испытаниях первого экземпляра самолета ОКО-6 2М-88 б/р с винтами АВ-2 Д=2,6 м, 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3544"/>
        <w:gridCol w:w="3544"/>
      </w:tblGrid>
      <w:tr w:rsidR="007D5DF8" w:rsidRPr="00DB5D0D" w14:paraId="5DFF5878" w14:textId="77777777" w:rsidTr="009223E5">
        <w:tc>
          <w:tcPr>
            <w:tcW w:w="3510" w:type="dxa"/>
          </w:tcPr>
          <w:p w14:paraId="6C82A4B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544" w:type="dxa"/>
          </w:tcPr>
          <w:p w14:paraId="6AF717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полученные при заводских испытаниях</w:t>
            </w:r>
          </w:p>
        </w:tc>
        <w:tc>
          <w:tcPr>
            <w:tcW w:w="3544" w:type="dxa"/>
          </w:tcPr>
          <w:p w14:paraId="24474A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по Постановлению КО</w:t>
            </w:r>
          </w:p>
        </w:tc>
      </w:tr>
      <w:tr w:rsidR="007D5DF8" w:rsidRPr="00DB5D0D" w14:paraId="6F3324F1" w14:textId="77777777" w:rsidTr="009223E5">
        <w:tc>
          <w:tcPr>
            <w:tcW w:w="3510" w:type="dxa"/>
          </w:tcPr>
          <w:p w14:paraId="27F1CC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горизонтальная скорость у земли</w:t>
            </w:r>
          </w:p>
        </w:tc>
        <w:tc>
          <w:tcPr>
            <w:tcW w:w="3544" w:type="dxa"/>
          </w:tcPr>
          <w:p w14:paraId="02490E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448 км/час</w:t>
            </w:r>
          </w:p>
        </w:tc>
        <w:tc>
          <w:tcPr>
            <w:tcW w:w="3544" w:type="dxa"/>
          </w:tcPr>
          <w:p w14:paraId="47B1130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CE8CC57" w14:textId="77777777" w:rsidTr="009223E5">
        <w:tc>
          <w:tcPr>
            <w:tcW w:w="3510" w:type="dxa"/>
          </w:tcPr>
          <w:p w14:paraId="181D34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горизонтальная скорость на расчетной высоте</w:t>
            </w:r>
          </w:p>
        </w:tc>
        <w:tc>
          <w:tcPr>
            <w:tcW w:w="3544" w:type="dxa"/>
          </w:tcPr>
          <w:p w14:paraId="3360C6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567,5 км/час на 7550 м</w:t>
            </w:r>
          </w:p>
        </w:tc>
        <w:tc>
          <w:tcPr>
            <w:tcW w:w="3544" w:type="dxa"/>
          </w:tcPr>
          <w:p w14:paraId="22BE63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600-650 км/час на 6000-7000 м</w:t>
            </w:r>
          </w:p>
        </w:tc>
      </w:tr>
      <w:tr w:rsidR="007D5DF8" w:rsidRPr="00DB5D0D" w14:paraId="43A7A904" w14:textId="77777777" w:rsidTr="009223E5">
        <w:tc>
          <w:tcPr>
            <w:tcW w:w="3510" w:type="dxa"/>
          </w:tcPr>
          <w:p w14:paraId="09F421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5000 м</w:t>
            </w:r>
          </w:p>
        </w:tc>
        <w:tc>
          <w:tcPr>
            <w:tcW w:w="3544" w:type="dxa"/>
          </w:tcPr>
          <w:p w14:paraId="75B76F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 мин.</w:t>
            </w:r>
          </w:p>
        </w:tc>
        <w:tc>
          <w:tcPr>
            <w:tcW w:w="3544" w:type="dxa"/>
          </w:tcPr>
          <w:p w14:paraId="19393B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 мин.</w:t>
            </w:r>
          </w:p>
        </w:tc>
      </w:tr>
      <w:tr w:rsidR="007D5DF8" w:rsidRPr="00DB5D0D" w14:paraId="5E0FD6D1" w14:textId="77777777" w:rsidTr="009223E5">
        <w:tc>
          <w:tcPr>
            <w:tcW w:w="3510" w:type="dxa"/>
          </w:tcPr>
          <w:p w14:paraId="120BE1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3544" w:type="dxa"/>
          </w:tcPr>
          <w:p w14:paraId="6CE296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11100 м</w:t>
            </w:r>
          </w:p>
        </w:tc>
        <w:tc>
          <w:tcPr>
            <w:tcW w:w="3544" w:type="dxa"/>
          </w:tcPr>
          <w:p w14:paraId="4BB446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 м</w:t>
            </w:r>
          </w:p>
        </w:tc>
      </w:tr>
      <w:tr w:rsidR="007D5DF8" w:rsidRPr="00DB5D0D" w14:paraId="61EED9CA" w14:textId="77777777" w:rsidTr="009223E5">
        <w:tc>
          <w:tcPr>
            <w:tcW w:w="3510" w:type="dxa"/>
          </w:tcPr>
          <w:p w14:paraId="20B0E8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w:t>
            </w:r>
          </w:p>
        </w:tc>
        <w:tc>
          <w:tcPr>
            <w:tcW w:w="3544" w:type="dxa"/>
          </w:tcPr>
          <w:p w14:paraId="3DDF77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 км/час</w:t>
            </w:r>
          </w:p>
        </w:tc>
        <w:tc>
          <w:tcPr>
            <w:tcW w:w="3544" w:type="dxa"/>
          </w:tcPr>
          <w:p w14:paraId="40FA6B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110-120 км/час</w:t>
            </w:r>
          </w:p>
        </w:tc>
      </w:tr>
      <w:tr w:rsidR="007D5DF8" w:rsidRPr="00DB5D0D" w14:paraId="16CB0E7D" w14:textId="77777777" w:rsidTr="009223E5">
        <w:tc>
          <w:tcPr>
            <w:tcW w:w="3510" w:type="dxa"/>
          </w:tcPr>
          <w:p w14:paraId="232613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с бетонированной дорожки с открытыми щитками на 23 градуса</w:t>
            </w:r>
          </w:p>
        </w:tc>
        <w:tc>
          <w:tcPr>
            <w:tcW w:w="3544" w:type="dxa"/>
          </w:tcPr>
          <w:p w14:paraId="06D6E9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369 м</w:t>
            </w:r>
          </w:p>
        </w:tc>
        <w:tc>
          <w:tcPr>
            <w:tcW w:w="3544" w:type="dxa"/>
          </w:tcPr>
          <w:p w14:paraId="7DCF5A6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A1DD7C2" w14:textId="77777777" w:rsidTr="009223E5">
        <w:tc>
          <w:tcPr>
            <w:tcW w:w="3510" w:type="dxa"/>
          </w:tcPr>
          <w:p w14:paraId="06F77D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3544" w:type="dxa"/>
          </w:tcPr>
          <w:p w14:paraId="5F9257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14,8 сек.</w:t>
            </w:r>
          </w:p>
        </w:tc>
        <w:tc>
          <w:tcPr>
            <w:tcW w:w="3544" w:type="dxa"/>
          </w:tcPr>
          <w:p w14:paraId="0C231D0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8A094B7" w14:textId="77777777" w:rsidTr="009223E5">
        <w:tc>
          <w:tcPr>
            <w:tcW w:w="3510" w:type="dxa"/>
          </w:tcPr>
          <w:p w14:paraId="25EB00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по бетонированной дорожке со щитками на 45 градусов и торможением</w:t>
            </w:r>
          </w:p>
        </w:tc>
        <w:tc>
          <w:tcPr>
            <w:tcW w:w="3544" w:type="dxa"/>
          </w:tcPr>
          <w:p w14:paraId="43708C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466 м</w:t>
            </w:r>
          </w:p>
        </w:tc>
        <w:tc>
          <w:tcPr>
            <w:tcW w:w="3544" w:type="dxa"/>
          </w:tcPr>
          <w:p w14:paraId="4FCB62F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918ED81" w14:textId="77777777" w:rsidTr="009223E5">
        <w:tc>
          <w:tcPr>
            <w:tcW w:w="3510" w:type="dxa"/>
          </w:tcPr>
          <w:p w14:paraId="53761B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3544" w:type="dxa"/>
          </w:tcPr>
          <w:p w14:paraId="75061F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 сек.</w:t>
            </w:r>
          </w:p>
        </w:tc>
        <w:tc>
          <w:tcPr>
            <w:tcW w:w="3544" w:type="dxa"/>
          </w:tcPr>
          <w:p w14:paraId="0705805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B652DF8" w14:textId="77777777" w:rsidTr="009223E5">
        <w:tc>
          <w:tcPr>
            <w:tcW w:w="3510" w:type="dxa"/>
          </w:tcPr>
          <w:p w14:paraId="4C5C69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 при запасе горючего 535 кг</w:t>
            </w:r>
          </w:p>
        </w:tc>
        <w:tc>
          <w:tcPr>
            <w:tcW w:w="3544" w:type="dxa"/>
          </w:tcPr>
          <w:p w14:paraId="104DBB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 км</w:t>
            </w:r>
          </w:p>
        </w:tc>
        <w:tc>
          <w:tcPr>
            <w:tcW w:w="3544" w:type="dxa"/>
          </w:tcPr>
          <w:p w14:paraId="111E1D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 в нормальном варианте и в перегрузочном 1250 км</w:t>
            </w:r>
          </w:p>
        </w:tc>
      </w:tr>
      <w:tr w:rsidR="007D5DF8" w:rsidRPr="00DB5D0D" w14:paraId="185F9957" w14:textId="77777777" w:rsidTr="009223E5">
        <w:tc>
          <w:tcPr>
            <w:tcW w:w="3510" w:type="dxa"/>
          </w:tcPr>
          <w:p w14:paraId="03A15E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 на 1000 м</w:t>
            </w:r>
          </w:p>
        </w:tc>
        <w:tc>
          <w:tcPr>
            <w:tcW w:w="3544" w:type="dxa"/>
          </w:tcPr>
          <w:p w14:paraId="60BEEB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 сек.</w:t>
            </w:r>
          </w:p>
        </w:tc>
        <w:tc>
          <w:tcPr>
            <w:tcW w:w="3544" w:type="dxa"/>
          </w:tcPr>
          <w:p w14:paraId="17544E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4E27118" w14:textId="77777777" w:rsidTr="009223E5">
        <w:tc>
          <w:tcPr>
            <w:tcW w:w="3510" w:type="dxa"/>
          </w:tcPr>
          <w:p w14:paraId="268A5F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w:t>
            </w:r>
          </w:p>
        </w:tc>
        <w:tc>
          <w:tcPr>
            <w:tcW w:w="3544" w:type="dxa"/>
          </w:tcPr>
          <w:p w14:paraId="256D0A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пушки ШВАК с емкостью до 1000 штук снарядов</w:t>
            </w:r>
          </w:p>
        </w:tc>
        <w:tc>
          <w:tcPr>
            <w:tcW w:w="3544" w:type="dxa"/>
          </w:tcPr>
          <w:p w14:paraId="63490F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пушки ШВАК с 1000 штук снарядов или 4 пулемета БС калибра 12,7 мм</w:t>
            </w:r>
          </w:p>
        </w:tc>
      </w:tr>
      <w:tr w:rsidR="007D5DF8" w:rsidRPr="00DB5D0D" w14:paraId="53B81FB2" w14:textId="77777777" w:rsidTr="009223E5">
        <w:tc>
          <w:tcPr>
            <w:tcW w:w="3510" w:type="dxa"/>
          </w:tcPr>
          <w:p w14:paraId="7E194F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РС-82</w:t>
            </w:r>
          </w:p>
        </w:tc>
        <w:tc>
          <w:tcPr>
            <w:tcW w:w="3544" w:type="dxa"/>
          </w:tcPr>
          <w:p w14:paraId="2C1295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1-м экземпляре не установлен</w:t>
            </w:r>
          </w:p>
        </w:tc>
        <w:tc>
          <w:tcPr>
            <w:tcW w:w="3544" w:type="dxa"/>
          </w:tcPr>
          <w:p w14:paraId="5FF4F7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РС-82</w:t>
            </w:r>
          </w:p>
        </w:tc>
      </w:tr>
    </w:tbl>
    <w:p w14:paraId="59A4D08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дефекты самолета, выявленные на заводских испытаниях:</w:t>
      </w:r>
    </w:p>
    <w:p w14:paraId="22E15F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склонность самолета к развороту на разбеге и пробеге, вследствие того, что нет обдувки вертикального оперения;</w:t>
      </w:r>
    </w:p>
    <w:p w14:paraId="3B14E1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неустойчивость самолета на режиме подъема и на виражах и недостаточная устойчивость на других режимах;</w:t>
      </w:r>
    </w:p>
    <w:p w14:paraId="2B2A66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недоработанность конструкции костыля, который неоднократно складывался на рулежке и пробеге.</w:t>
      </w:r>
    </w:p>
    <w:p w14:paraId="149ECCB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данным заводских испытаний, боковая устойчивость самолета удовлетворительная: самолет пикировал под углом 50-60 градусов до скорости 640 км/час по прибору; бафтинга на самолете не обнаружено.</w:t>
      </w:r>
    </w:p>
    <w:p w14:paraId="2B1FCE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штопор самолет не испытывался (7711, 71-75).</w:t>
      </w:r>
    </w:p>
    <w:p w14:paraId="7E47145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E502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 был закончен первый этап испытаний ОКО-6 Таирова в ЦАГИ, которые проходили с 31 декабря 1939 и самолет был передан на завод № 81 для доводок (9649).</w:t>
      </w:r>
    </w:p>
    <w:p w14:paraId="77A7B7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ОКО-б все было направлено на достижение высокой скорости полета: установка двух моторов М-88 с суммарной мощностью 2000л. с. (на второй границе высотности - 7000 м), предельно малые размеры, минимальный мидель фюзеляжа и весьма обтекаемые формы.</w:t>
      </w:r>
    </w:p>
    <w:p w14:paraId="783F25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самолета, площадь и размах крыла практически совпадали с одномоторным «Харрикейном» и были меньше, чем у американского одномоторного самолета Р-47 «Тандерболт». Самолет отличался мощным наступательным вооружением, состоящем из 4 пушек ШВАК, повышенной живучестью в бою за счет достаточно эффективного бронирования летчика и использования более живучих в бою моторов воздушного охлаждения.</w:t>
      </w:r>
    </w:p>
    <w:p w14:paraId="297EE6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самолета состоял из трех частей. В передней части находились кабина и отсек вооружения.</w:t>
      </w:r>
    </w:p>
    <w:p w14:paraId="045432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Боковые стенки выполнялись из листового дюраля толщиной 12 мм. Спереди кабина закрывалась 8-мм бронеплитой, за головой и спиной лет-чика устанавливались бронеплиты толщиной 13 мм.</w:t>
      </w:r>
    </w:p>
    <w:p w14:paraId="2D108F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Снизу кабина пилота обшивалась 5-мм стальным листом. Фонарь кабины пилота откидывался назад, а за неподвижным прозрачным козырьком устанавливалось 45-мм бронестекло.</w:t>
      </w:r>
    </w:p>
    <w:p w14:paraId="6F4E16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Средняя часть фюзеляжа выполнялась за одно целое с центропланом. К средней части фюзеляжа болтами крепились передняя и хвостовая части. Хвостовая часть фюзеляжа представляла собой деревянный монокок.</w:t>
      </w:r>
    </w:p>
    <w:p w14:paraId="21C538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Центроплан и консоли крыла двухлонжеронные с полками из хро-мансилевой стали и дюралюминовы-ми стенками.</w:t>
      </w:r>
    </w:p>
    <w:p w14:paraId="2625E4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Поперечный силовой набор, хвостовые и носовые диафрагмы и обшивка выполнялись из дюраля, а мотогондолы - из электрона.</w:t>
      </w:r>
    </w:p>
    <w:p w14:paraId="16B7B9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Элероны типа Фрайз. Щитки типа Шренка - два в центроплане и по одному на консолях крыла, выпуск и уборка от пневматической системы. Профиль крыла RAF-34.</w:t>
      </w:r>
    </w:p>
    <w:p w14:paraId="215B0A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Стабилизатор - дюралевый. Киль, каркас элеронов, обшивка носка и за-концовок крыла выполнялись из электрона. Рули и элероны обшивались полотном.</w:t>
      </w:r>
    </w:p>
    <w:p w14:paraId="3CAF87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изготовлении самолета использовался плазово-шаблонный метод.</w:t>
      </w:r>
    </w:p>
    <w:p w14:paraId="34DB00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компенсации реактивного момента винтов, «заваливающего» ко-роткокрылую машину, моторы М-88 имели винты с противоположным вращением.</w:t>
      </w:r>
    </w:p>
    <w:p w14:paraId="50ABAE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Мотогондолы имели регулируемые «юбки» капотов, из-за которых коки винтов казались непропорционально большими, но сами гондолы приобретали каплевидную форму с хорошей аэродинамикой.</w:t>
      </w:r>
    </w:p>
    <w:p w14:paraId="65462C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центроплане размещались два протектированных бензобака емкостью по 365 л каждый. Кроме них, в фюзеляже имелся третий бензобак на 467 л.</w:t>
      </w:r>
    </w:p>
    <w:p w14:paraId="5023F6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самолета - трехстоечное с хвостовым колесом. Основные опоры шасси (800х260 мм) убирались в мотогондолы, а хвостовое колесо (400х150 мм) - в фюзеляж. Уборка и выпуск шасси - от пневматической системы. Для обеспечения безопасного противокапотажного угла основные опоры имели значительный вынос вперед.</w:t>
      </w:r>
    </w:p>
    <w:p w14:paraId="0EB13B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ОКО-б проходил с безредукторными моторами М-88. Летные данные были достаточно высокими.</w:t>
      </w:r>
    </w:p>
    <w:p w14:paraId="4031E1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При взлетной массе в 5250 кг максимальная скорость у земли достигла 488 км/ч, а на высоте 7550 м -567,5 км/ч.</w:t>
      </w:r>
    </w:p>
    <w:p w14:paraId="54A94A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 отметить хорошую скороподъемность самолета: высоту 5000 м он набирал за 5,5 мин. Потолок -11 100 м. Нормальная скоростная дальность полета составила 700 км. Разбег - 369 м (14,8 сек).</w:t>
      </w:r>
    </w:p>
    <w:p w14:paraId="7D8BDF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- 466 м (20,5 сек). Время выполнения виража на высоте 1000 м составляло всего 20,7 сек. Несколько великоватой была посадочная скорость - 150 км/ч.</w:t>
      </w:r>
    </w:p>
    <w:p w14:paraId="7A136D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Отмечались недостаточная продольная и путевая устойчивость однокилевой короткохвостой машины на режиме подъема и виражах, склонность самолета к развороту на разбеге и пробеге вследствие того, что отсутствовал обдув вертикального оперения (9649).</w:t>
      </w:r>
    </w:p>
    <w:p w14:paraId="5652A8A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1E0E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завершили первый этап заводских испытаний ОКО-6, которые начались 31 декабря 1939. В ходе испытаний однокилевое оперение заменили на двухкилевое. Второй этап начался в конце октября 1940 (4,56).</w:t>
      </w:r>
    </w:p>
    <w:p w14:paraId="681499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машину отправили на завод 81 в Тушино, где она была до 23 августа 1940, а потом отправили в ЦАГИ для продолжения испытаний (2181,23).</w:t>
      </w:r>
    </w:p>
    <w:p w14:paraId="796288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заводских испытаниях первого экземпляра самолета ОКО-6 2М-88 с безредукторными моторами, с винтами АВ-2 диаметром в 2,6 метра, получены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tblGrid>
      <w:tr w:rsidR="007D5DF8" w:rsidRPr="00DB5D0D" w14:paraId="18D7BA6A" w14:textId="77777777" w:rsidTr="009223E5">
        <w:tc>
          <w:tcPr>
            <w:tcW w:w="2874" w:type="dxa"/>
            <w:tcBorders>
              <w:top w:val="single" w:sz="12" w:space="0" w:color="auto"/>
            </w:tcBorders>
          </w:tcPr>
          <w:p w14:paraId="541570F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Borders>
              <w:top w:val="single" w:sz="12" w:space="0" w:color="auto"/>
            </w:tcBorders>
          </w:tcPr>
          <w:p w14:paraId="559C45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полученные</w:t>
            </w:r>
          </w:p>
        </w:tc>
        <w:tc>
          <w:tcPr>
            <w:tcW w:w="2874" w:type="dxa"/>
            <w:tcBorders>
              <w:top w:val="single" w:sz="12" w:space="0" w:color="auto"/>
            </w:tcBorders>
          </w:tcPr>
          <w:p w14:paraId="671B2E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по Пост. КО</w:t>
            </w:r>
          </w:p>
        </w:tc>
      </w:tr>
      <w:tr w:rsidR="007D5DF8" w:rsidRPr="00DB5D0D" w14:paraId="32A4F63C" w14:textId="77777777" w:rsidTr="009223E5">
        <w:tc>
          <w:tcPr>
            <w:tcW w:w="2874" w:type="dxa"/>
          </w:tcPr>
          <w:p w14:paraId="271740A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Pr>
          <w:p w14:paraId="421775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зав. испытаниях</w:t>
            </w:r>
          </w:p>
        </w:tc>
        <w:tc>
          <w:tcPr>
            <w:tcW w:w="2874" w:type="dxa"/>
          </w:tcPr>
          <w:p w14:paraId="190A13C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55554A7" w14:textId="77777777" w:rsidTr="009223E5">
        <w:tc>
          <w:tcPr>
            <w:tcW w:w="2874" w:type="dxa"/>
          </w:tcPr>
          <w:p w14:paraId="7D871F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горизонтальная</w:t>
            </w:r>
          </w:p>
        </w:tc>
        <w:tc>
          <w:tcPr>
            <w:tcW w:w="2874" w:type="dxa"/>
          </w:tcPr>
          <w:p w14:paraId="43DD058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Pr>
          <w:p w14:paraId="1129A2C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1A99323" w14:textId="77777777" w:rsidTr="009223E5">
        <w:tc>
          <w:tcPr>
            <w:tcW w:w="2874" w:type="dxa"/>
          </w:tcPr>
          <w:p w14:paraId="359D47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у земли</w:t>
            </w:r>
          </w:p>
        </w:tc>
        <w:tc>
          <w:tcPr>
            <w:tcW w:w="2874" w:type="dxa"/>
          </w:tcPr>
          <w:p w14:paraId="6DC493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448 км/час</w:t>
            </w:r>
          </w:p>
        </w:tc>
        <w:tc>
          <w:tcPr>
            <w:tcW w:w="2874" w:type="dxa"/>
          </w:tcPr>
          <w:p w14:paraId="29551F9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19CF16F" w14:textId="77777777" w:rsidTr="009223E5">
        <w:tc>
          <w:tcPr>
            <w:tcW w:w="2874" w:type="dxa"/>
          </w:tcPr>
          <w:p w14:paraId="217E70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горизонтальная</w:t>
            </w:r>
          </w:p>
        </w:tc>
        <w:tc>
          <w:tcPr>
            <w:tcW w:w="2874" w:type="dxa"/>
          </w:tcPr>
          <w:p w14:paraId="0AB9F5B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Pr>
          <w:p w14:paraId="1B150CE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49D6433" w14:textId="77777777" w:rsidTr="009223E5">
        <w:tc>
          <w:tcPr>
            <w:tcW w:w="2874" w:type="dxa"/>
          </w:tcPr>
          <w:p w14:paraId="4CE6D7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на расчетной высоте</w:t>
            </w:r>
          </w:p>
        </w:tc>
        <w:tc>
          <w:tcPr>
            <w:tcW w:w="2874" w:type="dxa"/>
          </w:tcPr>
          <w:p w14:paraId="4EF6D6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567,5 км/час</w:t>
            </w:r>
          </w:p>
        </w:tc>
        <w:tc>
          <w:tcPr>
            <w:tcW w:w="2874" w:type="dxa"/>
          </w:tcPr>
          <w:p w14:paraId="6E9EFE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600-650 км/час</w:t>
            </w:r>
          </w:p>
        </w:tc>
      </w:tr>
      <w:tr w:rsidR="007D5DF8" w:rsidRPr="00DB5D0D" w14:paraId="23C96994" w14:textId="77777777" w:rsidTr="009223E5">
        <w:tc>
          <w:tcPr>
            <w:tcW w:w="2874" w:type="dxa"/>
          </w:tcPr>
          <w:p w14:paraId="0519F6A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Pr>
          <w:p w14:paraId="501773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7550 м</w:t>
            </w:r>
          </w:p>
        </w:tc>
        <w:tc>
          <w:tcPr>
            <w:tcW w:w="2874" w:type="dxa"/>
          </w:tcPr>
          <w:p w14:paraId="2EAC51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6-7000 м</w:t>
            </w:r>
          </w:p>
        </w:tc>
      </w:tr>
      <w:tr w:rsidR="007D5DF8" w:rsidRPr="00DB5D0D" w14:paraId="639C6B5C" w14:textId="77777777" w:rsidTr="009223E5">
        <w:tc>
          <w:tcPr>
            <w:tcW w:w="2874" w:type="dxa"/>
          </w:tcPr>
          <w:p w14:paraId="00E40E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5000 м</w:t>
            </w:r>
          </w:p>
        </w:tc>
        <w:tc>
          <w:tcPr>
            <w:tcW w:w="2874" w:type="dxa"/>
          </w:tcPr>
          <w:p w14:paraId="47FB3C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 мин.</w:t>
            </w:r>
          </w:p>
        </w:tc>
        <w:tc>
          <w:tcPr>
            <w:tcW w:w="2874" w:type="dxa"/>
          </w:tcPr>
          <w:p w14:paraId="0C563E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 мин.</w:t>
            </w:r>
          </w:p>
        </w:tc>
      </w:tr>
      <w:tr w:rsidR="007D5DF8" w:rsidRPr="00DB5D0D" w14:paraId="4C10E107" w14:textId="77777777" w:rsidTr="009223E5">
        <w:tc>
          <w:tcPr>
            <w:tcW w:w="2874" w:type="dxa"/>
          </w:tcPr>
          <w:p w14:paraId="02CFA3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2874" w:type="dxa"/>
          </w:tcPr>
          <w:p w14:paraId="72CFBB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11100 м</w:t>
            </w:r>
          </w:p>
        </w:tc>
        <w:tc>
          <w:tcPr>
            <w:tcW w:w="2874" w:type="dxa"/>
          </w:tcPr>
          <w:p w14:paraId="266A03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 м</w:t>
            </w:r>
          </w:p>
        </w:tc>
      </w:tr>
      <w:tr w:rsidR="007D5DF8" w:rsidRPr="00DB5D0D" w14:paraId="1AA9F207" w14:textId="77777777" w:rsidTr="009223E5">
        <w:tc>
          <w:tcPr>
            <w:tcW w:w="2874" w:type="dxa"/>
          </w:tcPr>
          <w:p w14:paraId="3E95B1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 при</w:t>
            </w:r>
          </w:p>
        </w:tc>
        <w:tc>
          <w:tcPr>
            <w:tcW w:w="2874" w:type="dxa"/>
          </w:tcPr>
          <w:p w14:paraId="0FBD805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Pr>
          <w:p w14:paraId="73F1B49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E42197F" w14:textId="77777777" w:rsidTr="009223E5">
        <w:tc>
          <w:tcPr>
            <w:tcW w:w="2874" w:type="dxa"/>
          </w:tcPr>
          <w:p w14:paraId="04B6C3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запасе горючего 535 кг </w:t>
            </w:r>
          </w:p>
        </w:tc>
        <w:tc>
          <w:tcPr>
            <w:tcW w:w="2874" w:type="dxa"/>
          </w:tcPr>
          <w:p w14:paraId="726568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 км</w:t>
            </w:r>
          </w:p>
        </w:tc>
        <w:tc>
          <w:tcPr>
            <w:tcW w:w="2874" w:type="dxa"/>
          </w:tcPr>
          <w:p w14:paraId="375EE3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 км</w:t>
            </w:r>
          </w:p>
        </w:tc>
      </w:tr>
      <w:tr w:rsidR="007D5DF8" w:rsidRPr="00DB5D0D" w14:paraId="5FF81E80" w14:textId="77777777" w:rsidTr="009223E5">
        <w:tc>
          <w:tcPr>
            <w:tcW w:w="2874" w:type="dxa"/>
          </w:tcPr>
          <w:p w14:paraId="58D8FC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перегрузочном варианте</w:t>
            </w:r>
          </w:p>
        </w:tc>
        <w:tc>
          <w:tcPr>
            <w:tcW w:w="2874" w:type="dxa"/>
          </w:tcPr>
          <w:p w14:paraId="176ABC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км</w:t>
            </w:r>
          </w:p>
        </w:tc>
        <w:tc>
          <w:tcPr>
            <w:tcW w:w="2874" w:type="dxa"/>
          </w:tcPr>
          <w:p w14:paraId="74C5B6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1250 км</w:t>
            </w:r>
          </w:p>
        </w:tc>
      </w:tr>
      <w:tr w:rsidR="007D5DF8" w:rsidRPr="00DB5D0D" w14:paraId="4C16430B" w14:textId="77777777" w:rsidTr="009223E5">
        <w:tc>
          <w:tcPr>
            <w:tcW w:w="2874" w:type="dxa"/>
          </w:tcPr>
          <w:p w14:paraId="4CB6FD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w:t>
            </w:r>
          </w:p>
        </w:tc>
        <w:tc>
          <w:tcPr>
            <w:tcW w:w="2874" w:type="dxa"/>
          </w:tcPr>
          <w:p w14:paraId="2315B7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пушки ШВАК</w:t>
            </w:r>
          </w:p>
        </w:tc>
        <w:tc>
          <w:tcPr>
            <w:tcW w:w="2874" w:type="dxa"/>
          </w:tcPr>
          <w:p w14:paraId="133DFC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пуш. ШВАК с</w:t>
            </w:r>
          </w:p>
        </w:tc>
      </w:tr>
      <w:tr w:rsidR="007D5DF8" w:rsidRPr="00DB5D0D" w14:paraId="2AFEF879" w14:textId="77777777" w:rsidTr="009223E5">
        <w:tc>
          <w:tcPr>
            <w:tcW w:w="2874" w:type="dxa"/>
          </w:tcPr>
          <w:p w14:paraId="0D16C90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Pr>
          <w:p w14:paraId="3E2BB9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емкостью до</w:t>
            </w:r>
          </w:p>
        </w:tc>
        <w:tc>
          <w:tcPr>
            <w:tcW w:w="2874" w:type="dxa"/>
          </w:tcPr>
          <w:p w14:paraId="2E6D1D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шт. снарядов</w:t>
            </w:r>
          </w:p>
        </w:tc>
      </w:tr>
      <w:tr w:rsidR="007D5DF8" w:rsidRPr="00DB5D0D" w14:paraId="36D78D1C" w14:textId="77777777" w:rsidTr="009223E5">
        <w:tc>
          <w:tcPr>
            <w:tcW w:w="2874" w:type="dxa"/>
          </w:tcPr>
          <w:p w14:paraId="128F018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Pr>
          <w:p w14:paraId="1339EA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шт.</w:t>
            </w:r>
          </w:p>
        </w:tc>
        <w:tc>
          <w:tcPr>
            <w:tcW w:w="2874" w:type="dxa"/>
          </w:tcPr>
          <w:p w14:paraId="2FDFC6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или 4 пулемета БС</w:t>
            </w:r>
          </w:p>
        </w:tc>
      </w:tr>
      <w:tr w:rsidR="007D5DF8" w:rsidRPr="00DB5D0D" w14:paraId="0DD7EFE8" w14:textId="77777777" w:rsidTr="009223E5">
        <w:tc>
          <w:tcPr>
            <w:tcW w:w="2874" w:type="dxa"/>
          </w:tcPr>
          <w:p w14:paraId="064D463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Pr>
          <w:p w14:paraId="5D8B53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снарядов</w:t>
            </w:r>
          </w:p>
        </w:tc>
        <w:tc>
          <w:tcPr>
            <w:tcW w:w="2874" w:type="dxa"/>
          </w:tcPr>
          <w:p w14:paraId="451691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 12,7 мм</w:t>
            </w:r>
          </w:p>
        </w:tc>
      </w:tr>
      <w:tr w:rsidR="007D5DF8" w:rsidRPr="00DB5D0D" w14:paraId="640D926B" w14:textId="77777777" w:rsidTr="009223E5">
        <w:tc>
          <w:tcPr>
            <w:tcW w:w="2874" w:type="dxa"/>
            <w:tcBorders>
              <w:bottom w:val="single" w:sz="12" w:space="0" w:color="auto"/>
            </w:tcBorders>
          </w:tcPr>
          <w:p w14:paraId="301B510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Borders>
              <w:bottom w:val="single" w:sz="12" w:space="0" w:color="auto"/>
            </w:tcBorders>
          </w:tcPr>
          <w:p w14:paraId="23013B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РС-82</w:t>
            </w:r>
          </w:p>
        </w:tc>
        <w:tc>
          <w:tcPr>
            <w:tcW w:w="2874" w:type="dxa"/>
            <w:tcBorders>
              <w:bottom w:val="single" w:sz="12" w:space="0" w:color="auto"/>
            </w:tcBorders>
          </w:tcPr>
          <w:p w14:paraId="014C38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РС-82</w:t>
            </w:r>
          </w:p>
        </w:tc>
      </w:tr>
    </w:tbl>
    <w:p w14:paraId="77B710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дефекты самолета, выявленные на заводских испытаниях:</w:t>
      </w:r>
    </w:p>
    <w:p w14:paraId="44F0A2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склонность самолета к развороту на разбеге и пробеге, вследствие того, что нет обдувки вертикального оперения;</w:t>
      </w:r>
    </w:p>
    <w:p w14:paraId="5E8BCE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неустойчивость самолета на режиме подъема и виражах и недостаточная устойчивость на других режимах;</w:t>
      </w:r>
    </w:p>
    <w:p w14:paraId="347C14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недоработанность конструкции костыля, который неоднократно складывался на рулежке и пробеге.</w:t>
      </w:r>
    </w:p>
    <w:p w14:paraId="171838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данным заводских испытаний боковая устойчивость самолета удовлетворительная. Самолет пикировал под углом 50-60 градусов до скорости 640 км/час по прибору, бафтинга на самолете не обнаружено. На штопор самолет не испытывался (3370).</w:t>
      </w:r>
    </w:p>
    <w:p w14:paraId="1737250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9322FA"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июня 1940 года, истребитель-штурмовик </w:t>
      </w:r>
      <w:hyperlink r:id="rId111" w:tgtFrame="_blank" w:history="1">
        <w:r w:rsidRPr="00DB5D0D">
          <w:rPr>
            <w:rFonts w:ascii="Times New Roman" w:hAnsi="Times New Roman"/>
            <w:color w:val="000000" w:themeColor="text1"/>
            <w:sz w:val="16"/>
            <w:szCs w:val="16"/>
          </w:rPr>
          <w:t xml:space="preserve">«ОКО-6» («Та-3») </w:t>
        </w:r>
      </w:hyperlink>
      <w:r w:rsidRPr="00DB5D0D">
        <w:rPr>
          <w:rFonts w:ascii="Times New Roman" w:hAnsi="Times New Roman"/>
          <w:color w:val="000000" w:themeColor="text1"/>
          <w:sz w:val="16"/>
          <w:szCs w:val="16"/>
        </w:rPr>
        <w:t>завершил первый этап летных испытаний и был передан на завод № 81 для доводок. Постройка первого экземпляра ОКО-б была закончена 8 декабря 1939 г. Заводские испытания первого экземпляра были начаты в ЦАГИ 31 декабря 1939 г. Первый полет состоялся 21 января 1940 года (14916).</w:t>
      </w:r>
    </w:p>
    <w:p w14:paraId="5CB1B094"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27CFFC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 состоялся первый вылет ИС-1 под управлением летчика Г.М.Шиянова. Этот первый полет и еще несколько последующих выполнялись без убирания нижнего крыла. После выполнения 8 полетов на оценку устойчивости и управляемости было решено увеличить площадь горизонтального и вертикального оперения. В этот период на территории завода №156 шло расширение ЦКБ-29 НКВД (там строились двухмоторные самолеты Туполева, Петля- кова и Мясищева), поэтому весь коллектив ОКБ-30 вновь переместили на территорию московского авиатехникума.</w:t>
      </w:r>
    </w:p>
    <w:p w14:paraId="7123FD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Еще одной причиной перемещения стали особые обстоятельства существования ОКБ-30. Хотя официально заявлялось о начале работы ОКБ с мая 1939 г., на практике опытных конструкторов не хватало. Поэтому к проектированию привлекались сотрудники различных КБ, которые работали по договорам в свободное от основной деятельности время или по ночам. Необычное ведение работ было замечено "доброхотами", которые сообщили о недопустимой вольнице "куда следует". В результате, в августе 1940 г. с ОКБ-30 начала разбираться ревизионная комиссия, которая отмечала повышенное расходование средств. Припомнили, что Шевченко получал зарплату в двух местах: в ОКБ и Центральном Управлении НКО (как летчик-испытатель). После всех разбирательств, главного бухгалтера отдали под суд, Шевченко сняли с руководителя ОКБ (начальником был назначен некий Озимков), но оставили в должности главного конструктора, Никитина также понизили в ранге, он теперь стал замом главного конструктора. </w:t>
      </w:r>
    </w:p>
    <w:p w14:paraId="0CD158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Впрочем, Владимир Васильевич действительно обладал руководящим талантом. Предполагая, что могут настать более сложные времена, он еще в 1938 г. добился получения небольшой площадки в районе Центрального аэродрома для строительства собственного доводочного цеха. Поначалу это была небольшая территория, огороженная забором с импровизированным фанерным сараем. Именно здесь, практически под открытым небом, велась подготовка ИС-1 к продолжению испытаний. Полеты самолета удалось возобновить лишь в конце октября 1940 г. (11966).</w:t>
      </w:r>
    </w:p>
    <w:p w14:paraId="564D17E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9A94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года начальник ПЭО НКАП Водяницкий писал письмо N 8/855с зам. наркома Авиапрома Яковлеву.</w:t>
      </w:r>
    </w:p>
    <w:p w14:paraId="5350B8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Анализ представленных конструкторскими бюро темфинпланов на 1940 год и на 3 квартал доказывает, что ряд конструкторских бюро не имеют загрузки на 2-е полугодие.</w:t>
      </w:r>
    </w:p>
    <w:p w14:paraId="5AD001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таким КБ относятся:</w:t>
      </w:r>
    </w:p>
    <w:p w14:paraId="78D272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КБ Грушина.</w:t>
      </w:r>
    </w:p>
    <w:p w14:paraId="3C705D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окончания машины ББ с М-105 - июль 1940 г. С мая конструкторский персонал работает на "Дублер ББ" и затраты на эту неутвержденную машину составляют сумму около 30 тыс. руб. Плана 2-го полугодия КБ не имеет.</w:t>
      </w:r>
    </w:p>
    <w:p w14:paraId="3DC5EC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ИТР - 54 чел., рабочих - 56 чел., служащих - 26 чел.</w:t>
      </w:r>
    </w:p>
    <w:p w14:paraId="6D1FBD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ОКБ N 30 Шевченко.</w:t>
      </w:r>
    </w:p>
    <w:p w14:paraId="75B5E3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машины "ИС" должен быть закончен в июле 1940 г.; загрузка 2 полугодия совершенно неясна и КБ отказывается от составления плана на 3 квартал.</w:t>
      </w:r>
    </w:p>
    <w:p w14:paraId="5DE711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составе КБ: ИТР - 66 чел., рабочих - 21 чел., служащих - 33 чел.</w:t>
      </w:r>
    </w:p>
    <w:p w14:paraId="049F07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3.КБ з-да N 238. Самсонов.</w:t>
      </w:r>
    </w:p>
    <w:p w14:paraId="63FDDB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изготовления машины МДР 2М-88 - в августе 1940 г. Плана работы на 2-е полугодие КБ не имеет.</w:t>
      </w:r>
    </w:p>
    <w:p w14:paraId="1CEA7B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составе КБ свыше 150 чел. ИТР, около 250 чел. рабочих и свыше 100 чел. служащих.</w:t>
      </w:r>
    </w:p>
    <w:p w14:paraId="6A7F49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ОКБ N 31. Москалев.</w:t>
      </w:r>
    </w:p>
    <w:p w14:paraId="30310B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утвержденные правительством заканчиваются к 1 октября. Имеющиеся сверх правительственных заданий договорные работы не могут загрузить имеющуюся мощность КБ во 2-м полугодии.</w:t>
      </w:r>
    </w:p>
    <w:p w14:paraId="649328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КБ - ИТР - 51 чел., рабочих - 55 чел. и служащих - 18 чел.</w:t>
      </w:r>
    </w:p>
    <w:p w14:paraId="7C758D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Завод N 240.</w:t>
      </w:r>
    </w:p>
    <w:p w14:paraId="44CC4D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Правительственные работы заканчиваются в 1-м полугодии и дальнейшая перспектива завода - неясна.</w:t>
      </w:r>
    </w:p>
    <w:p w14:paraId="6CC241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на заводе: ИТР - 186 чел., рабочих - 418 чел. и служащих 102 чел.</w:t>
      </w:r>
    </w:p>
    <w:p w14:paraId="7346B1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КБ Сильванского.</w:t>
      </w:r>
    </w:p>
    <w:p w14:paraId="7A1CAE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И-220с М-87 должна быть закончена во 2-м квартале с.г. Численность персонала, которая может потребоваться на различного рода доделки и доводки этой машины не может загрузить весь состав этого КБ, причем ввиду того, что работники КБ Сильванского работают в Москве в командировке, числясь за заводом N 153, вопрос об использовании лишних людей по этому КБ должен решаться немедленно. Состав КБ заводом не выделяется и числится в заводском составе.</w:t>
      </w:r>
    </w:p>
    <w:p w14:paraId="3962D3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Завод N 289. Констр. Вахмистров. Констр. Привалов.</w:t>
      </w:r>
    </w:p>
    <w:p w14:paraId="1F5732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Уже в 1 полугодии выполняли тематику, неутвержденную правительством и не санкционированную Наркоматом. 2-е полугодие по работам этих конструкторов совершенно неясно.</w:t>
      </w:r>
    </w:p>
    <w:p w14:paraId="6F357F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ОКБ з-да 207 Боровкова.</w:t>
      </w:r>
    </w:p>
    <w:p w14:paraId="727387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машине И-207-3 должны быть проведены заводские испытания с доводками и сдать на гос. испытания к 1 июля 1940 года и изготовить машину И-207-4, со сроком сдачи на гос. испытания к 1 октября 1940 г. Перспектив на IV квартал конструктор не имеет и планирует сокращение штатов.</w:t>
      </w:r>
    </w:p>
    <w:p w14:paraId="5510D9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 КБ: ИТР - 62 чел., служащих - 16 чел., рабочих - 18 чел.</w:t>
      </w:r>
    </w:p>
    <w:p w14:paraId="02753D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ОКБ з-да 301. Горбунов, Лавочкин, Гудков.</w:t>
      </w:r>
    </w:p>
    <w:p w14:paraId="66CCBD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Две машины, перешедшие от п/года (И301) должны быть сданы: первая к 1 апреля и вторая к 1 июня, причем приказом Наркома N 169 - первая машина заканчивается испытаниями к 15 мая с.г. Перспектив на 2-е полугодие КБ не имеют, но в своем плане ОКБ мощность оставляют за собой и штатов сокращать не предполагают.</w:t>
      </w:r>
    </w:p>
    <w:p w14:paraId="57A080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 КБ: ИТР - 94 чел., служащих - 35 чел., рабочих - 124 чел.</w:t>
      </w:r>
    </w:p>
    <w:p w14:paraId="437182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ОКБ з-да N 47. Адлер.</w:t>
      </w:r>
    </w:p>
    <w:p w14:paraId="749760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экз. УТИ-4 должен спроектировать, изготовить и сдать к 1 августа. Перспектив на дальнейшее не имеет.</w:t>
      </w:r>
    </w:p>
    <w:p w14:paraId="6E5FD8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ОКБ з-да 47. Бакшаев.</w:t>
      </w:r>
    </w:p>
    <w:p w14:paraId="6E07CA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Планер с раздвижным крылом - в одном экземпляре, начатый в 1939 году, должен закончить к 1 июля 40 года. Дальнейших перспектив ОКБ не имеет.</w:t>
      </w:r>
    </w:p>
    <w:p w14:paraId="3BF7FF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 КБ з-да N 47 (по КБ Адлера и КБ Бакшаева): ИТР-28 чел., служащих - 2 чел., рабочих - 44 чел.</w:t>
      </w:r>
    </w:p>
    <w:p w14:paraId="342046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ОКБ з-да 135. Сухой.</w:t>
      </w:r>
    </w:p>
    <w:p w14:paraId="553444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Загрузку имеет только по 3 квартал с.г. включительно, в IV квартале 40 г. ОКБ будет не загружено, а конструкторский персонал не будет иметь загрузки еще раньше.</w:t>
      </w:r>
    </w:p>
    <w:p w14:paraId="5144B7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 КБ: рабочих - 314 чел., ИТР - 163 чел., служащих - 91 чел.</w:t>
      </w:r>
    </w:p>
    <w:p w14:paraId="5437D2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ОКБ з-да 21. Пашинин.</w:t>
      </w:r>
    </w:p>
    <w:p w14:paraId="7C8D52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Производственная мощность ОКБ будет загружена по ноябрь с.г. включительно, декабрь и частично с ноября будет вынуждено выполнять заказы завода по серии, конструкторам же, приблизительно с октября, делать будет нечего, т.к. конструкторские работы по плану будут выполнены.</w:t>
      </w:r>
    </w:p>
    <w:p w14:paraId="54A6FF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 КБ: рабочих - 208 чел., ИТР - 102 чел., служащих - 30 чел.</w:t>
      </w:r>
    </w:p>
    <w:p w14:paraId="25B58F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ОКБ з-да N 22. Архангельский.</w:t>
      </w:r>
    </w:p>
    <w:p w14:paraId="414753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Производственная мощность будет загружена в течение года, а конструкторам с сентября делать будет нечего, т.к. план тек. года к этому времени должен быть выполнен.</w:t>
      </w:r>
    </w:p>
    <w:p w14:paraId="684D61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 КБ: рабочих - 12 чел., ИТР - 113 чел., служащих - 63 чел.</w:t>
      </w:r>
    </w:p>
    <w:p w14:paraId="7BA501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ОКБ з-да N 1. Микоян.</w:t>
      </w:r>
    </w:p>
    <w:p w14:paraId="043913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Загрузку имеет только на 7 месяцев 40 г. на остальное время года перспектив не имеет.</w:t>
      </w:r>
    </w:p>
    <w:p w14:paraId="1CB6A5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необходимостью утверждения в ближайшее время оперативного плана 3 квартала, в котором мощности конструкторских бюро должны быть использованы в соответствии с имеющейся программой - прошу:</w:t>
      </w:r>
    </w:p>
    <w:p w14:paraId="25F825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Разрешить вопрос о тематике по перечисленным выше КБ, не имеющим достаточной загрузки на 2-е полугодие, имея ввиду, что по ряду КБ конструкторский персонал не имеет установленных заданий уже во 2-м квартале.</w:t>
      </w:r>
    </w:p>
    <w:p w14:paraId="3BB124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Разрешить прекратить планирование по труду и смете производства, а равно и финансирование тех конструкторских бюро, которые не будут иметь программы, с момента окончания ими утвержденной тематики.</w:t>
      </w:r>
    </w:p>
    <w:p w14:paraId="15E0B3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Дать указания о размещении освобождающегося по этим КБ персонала, имея в виду насыщение в первую очередь КБ и опытных заводов, не имеющих достаточных мощностей (заводы 156, 289 и т.д.).</w:t>
      </w:r>
    </w:p>
    <w:p w14:paraId="6850B8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Поручить 11 гл. управлению совместно с ПЭО установить наличные мощности имеющих КБ и выявить узкие места по ним, как в отношении производственной базы, так и конструкторских работ и разработать меры по их устранению (2090,115).</w:t>
      </w:r>
    </w:p>
    <w:p w14:paraId="7BC357D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0E0D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года была подготовлена Ведомость распределения ассигнований на работы по плану опытного самолетостроения на 1940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144"/>
        <w:gridCol w:w="2888"/>
        <w:gridCol w:w="1651"/>
        <w:gridCol w:w="2539"/>
      </w:tblGrid>
      <w:tr w:rsidR="007D5DF8" w:rsidRPr="00DB5D0D" w14:paraId="31B814CD" w14:textId="77777777" w:rsidTr="009223E5">
        <w:tc>
          <w:tcPr>
            <w:tcW w:w="2235" w:type="dxa"/>
            <w:tcBorders>
              <w:top w:val="single" w:sz="12" w:space="0" w:color="auto"/>
            </w:tcBorders>
          </w:tcPr>
          <w:p w14:paraId="0615AB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w:t>
            </w:r>
          </w:p>
        </w:tc>
        <w:tc>
          <w:tcPr>
            <w:tcW w:w="1144" w:type="dxa"/>
            <w:tcBorders>
              <w:top w:val="single" w:sz="12" w:space="0" w:color="auto"/>
            </w:tcBorders>
          </w:tcPr>
          <w:p w14:paraId="086F28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NN заводов</w:t>
            </w:r>
          </w:p>
        </w:tc>
        <w:tc>
          <w:tcPr>
            <w:tcW w:w="2888" w:type="dxa"/>
            <w:tcBorders>
              <w:top w:val="single" w:sz="12" w:space="0" w:color="auto"/>
            </w:tcBorders>
          </w:tcPr>
          <w:p w14:paraId="2B74BA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Шифр самолета</w:t>
            </w:r>
          </w:p>
        </w:tc>
        <w:tc>
          <w:tcPr>
            <w:tcW w:w="1651" w:type="dxa"/>
            <w:tcBorders>
              <w:top w:val="single" w:sz="12" w:space="0" w:color="auto"/>
            </w:tcBorders>
          </w:tcPr>
          <w:p w14:paraId="3816B5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w:t>
            </w:r>
          </w:p>
        </w:tc>
        <w:tc>
          <w:tcPr>
            <w:tcW w:w="2539" w:type="dxa"/>
            <w:tcBorders>
              <w:top w:val="single" w:sz="12" w:space="0" w:color="auto"/>
            </w:tcBorders>
          </w:tcPr>
          <w:p w14:paraId="5A3EAE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Сумма</w:t>
            </w:r>
          </w:p>
        </w:tc>
      </w:tr>
      <w:tr w:rsidR="007D5DF8" w:rsidRPr="00DB5D0D" w14:paraId="147BC9CD" w14:textId="77777777" w:rsidTr="009223E5">
        <w:tc>
          <w:tcPr>
            <w:tcW w:w="2235" w:type="dxa"/>
          </w:tcPr>
          <w:p w14:paraId="7E02C2D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4AF92E5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547456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мотора</w:t>
            </w:r>
          </w:p>
        </w:tc>
        <w:tc>
          <w:tcPr>
            <w:tcW w:w="1651" w:type="dxa"/>
          </w:tcPr>
          <w:p w14:paraId="0E1E363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38118DD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F551F86" w14:textId="77777777" w:rsidTr="009223E5">
        <w:tc>
          <w:tcPr>
            <w:tcW w:w="2235" w:type="dxa"/>
          </w:tcPr>
          <w:p w14:paraId="6BF97C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Яковлев</w:t>
            </w:r>
          </w:p>
        </w:tc>
        <w:tc>
          <w:tcPr>
            <w:tcW w:w="1144" w:type="dxa"/>
          </w:tcPr>
          <w:p w14:paraId="5D2F57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2888" w:type="dxa"/>
          </w:tcPr>
          <w:p w14:paraId="7C4729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И-26-М105П</w:t>
            </w:r>
          </w:p>
        </w:tc>
        <w:tc>
          <w:tcPr>
            <w:tcW w:w="1651" w:type="dxa"/>
          </w:tcPr>
          <w:p w14:paraId="5119E7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539" w:type="dxa"/>
          </w:tcPr>
          <w:p w14:paraId="69DB5B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6600</w:t>
            </w:r>
          </w:p>
        </w:tc>
      </w:tr>
      <w:tr w:rsidR="007D5DF8" w:rsidRPr="00DB5D0D" w14:paraId="56AC7FC3" w14:textId="77777777" w:rsidTr="009223E5">
        <w:tc>
          <w:tcPr>
            <w:tcW w:w="2235" w:type="dxa"/>
          </w:tcPr>
          <w:p w14:paraId="1FA71A9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68B3F48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5ABA0C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И26-М107</w:t>
            </w:r>
          </w:p>
        </w:tc>
        <w:tc>
          <w:tcPr>
            <w:tcW w:w="1651" w:type="dxa"/>
          </w:tcPr>
          <w:p w14:paraId="2E883D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3B9ED0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73DBD790" w14:textId="77777777" w:rsidTr="009223E5">
        <w:tc>
          <w:tcPr>
            <w:tcW w:w="2235" w:type="dxa"/>
          </w:tcPr>
          <w:p w14:paraId="32AE3EF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61B295D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1B2B72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ДИ26-М105П</w:t>
            </w:r>
          </w:p>
        </w:tc>
        <w:tc>
          <w:tcPr>
            <w:tcW w:w="1651" w:type="dxa"/>
          </w:tcPr>
          <w:p w14:paraId="6CE511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2ACF75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r>
      <w:tr w:rsidR="007D5DF8" w:rsidRPr="00DB5D0D" w14:paraId="07EE71BD" w14:textId="77777777" w:rsidTr="009223E5">
        <w:tc>
          <w:tcPr>
            <w:tcW w:w="2235" w:type="dxa"/>
          </w:tcPr>
          <w:p w14:paraId="53E9994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43A9732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56B4B5B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6DAC90B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103979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12100</w:t>
            </w:r>
          </w:p>
        </w:tc>
      </w:tr>
      <w:tr w:rsidR="007D5DF8" w:rsidRPr="00DB5D0D" w14:paraId="1070D837" w14:textId="77777777" w:rsidTr="009223E5">
        <w:tc>
          <w:tcPr>
            <w:tcW w:w="2235" w:type="dxa"/>
          </w:tcPr>
          <w:p w14:paraId="618E04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Поликарпов</w:t>
            </w:r>
          </w:p>
        </w:tc>
        <w:tc>
          <w:tcPr>
            <w:tcW w:w="1144" w:type="dxa"/>
          </w:tcPr>
          <w:p w14:paraId="203F31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888" w:type="dxa"/>
          </w:tcPr>
          <w:p w14:paraId="335646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И180-М88Р</w:t>
            </w:r>
          </w:p>
        </w:tc>
        <w:tc>
          <w:tcPr>
            <w:tcW w:w="1651" w:type="dxa"/>
          </w:tcPr>
          <w:p w14:paraId="0FD4FA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789BEA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50489496" w14:textId="77777777" w:rsidTr="009223E5">
        <w:tc>
          <w:tcPr>
            <w:tcW w:w="2235" w:type="dxa"/>
          </w:tcPr>
          <w:p w14:paraId="542377B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6FB3A69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5A0B51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И190-М88</w:t>
            </w:r>
          </w:p>
        </w:tc>
        <w:tc>
          <w:tcPr>
            <w:tcW w:w="1651" w:type="dxa"/>
          </w:tcPr>
          <w:p w14:paraId="7F5439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5D2E32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7F2A9084" w14:textId="77777777" w:rsidTr="009223E5">
        <w:tc>
          <w:tcPr>
            <w:tcW w:w="2235" w:type="dxa"/>
          </w:tcPr>
          <w:p w14:paraId="0B7911F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3EB2F18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71E93F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И185-М90</w:t>
            </w:r>
          </w:p>
        </w:tc>
        <w:tc>
          <w:tcPr>
            <w:tcW w:w="1651" w:type="dxa"/>
          </w:tcPr>
          <w:p w14:paraId="1C457C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539" w:type="dxa"/>
          </w:tcPr>
          <w:p w14:paraId="30B3DC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6500</w:t>
            </w:r>
          </w:p>
        </w:tc>
      </w:tr>
      <w:tr w:rsidR="007D5DF8" w:rsidRPr="00DB5D0D" w14:paraId="587DB1F6" w14:textId="77777777" w:rsidTr="009223E5">
        <w:tc>
          <w:tcPr>
            <w:tcW w:w="2235" w:type="dxa"/>
          </w:tcPr>
          <w:p w14:paraId="1EF7154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07F94D3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021334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И153-М62 дер. фюз.</w:t>
            </w:r>
          </w:p>
        </w:tc>
        <w:tc>
          <w:tcPr>
            <w:tcW w:w="1651" w:type="dxa"/>
          </w:tcPr>
          <w:p w14:paraId="35CA76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333377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383</w:t>
            </w:r>
          </w:p>
        </w:tc>
      </w:tr>
      <w:tr w:rsidR="007D5DF8" w:rsidRPr="00DB5D0D" w14:paraId="127BFF81" w14:textId="77777777" w:rsidTr="009223E5">
        <w:tc>
          <w:tcPr>
            <w:tcW w:w="2235" w:type="dxa"/>
          </w:tcPr>
          <w:p w14:paraId="6921197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35DB923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438474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И153-М63 герм. каб.</w:t>
            </w:r>
          </w:p>
        </w:tc>
        <w:tc>
          <w:tcPr>
            <w:tcW w:w="1651" w:type="dxa"/>
          </w:tcPr>
          <w:p w14:paraId="4B73B2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3088FD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943</w:t>
            </w:r>
          </w:p>
        </w:tc>
      </w:tr>
      <w:tr w:rsidR="007D5DF8" w:rsidRPr="00DB5D0D" w14:paraId="24F4441E" w14:textId="77777777" w:rsidTr="009223E5">
        <w:tc>
          <w:tcPr>
            <w:tcW w:w="2235" w:type="dxa"/>
          </w:tcPr>
          <w:p w14:paraId="3A05AD4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06D5B6E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4FD710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И153-М62 штурм. подв.</w:t>
            </w:r>
          </w:p>
        </w:tc>
        <w:tc>
          <w:tcPr>
            <w:tcW w:w="1651" w:type="dxa"/>
          </w:tcPr>
          <w:p w14:paraId="089AB1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319B11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179</w:t>
            </w:r>
          </w:p>
        </w:tc>
      </w:tr>
      <w:tr w:rsidR="007D5DF8" w:rsidRPr="00DB5D0D" w14:paraId="2E4D5E2D" w14:textId="77777777" w:rsidTr="009223E5">
        <w:tc>
          <w:tcPr>
            <w:tcW w:w="2235" w:type="dxa"/>
          </w:tcPr>
          <w:p w14:paraId="49E5F7C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165EA48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47DB44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И153-М62 с пул. Березина</w:t>
            </w:r>
          </w:p>
        </w:tc>
        <w:tc>
          <w:tcPr>
            <w:tcW w:w="1651" w:type="dxa"/>
          </w:tcPr>
          <w:p w14:paraId="41EE6A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727930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w:t>
            </w:r>
          </w:p>
        </w:tc>
      </w:tr>
      <w:tr w:rsidR="007D5DF8" w:rsidRPr="00DB5D0D" w14:paraId="7606E088" w14:textId="77777777" w:rsidTr="009223E5">
        <w:tc>
          <w:tcPr>
            <w:tcW w:w="2235" w:type="dxa"/>
          </w:tcPr>
          <w:p w14:paraId="6922AB9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721E29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2888" w:type="dxa"/>
          </w:tcPr>
          <w:p w14:paraId="0A1EBB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СПБ-2М105</w:t>
            </w:r>
          </w:p>
        </w:tc>
        <w:tc>
          <w:tcPr>
            <w:tcW w:w="1651" w:type="dxa"/>
          </w:tcPr>
          <w:p w14:paraId="5812C0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626920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3120</w:t>
            </w:r>
          </w:p>
        </w:tc>
      </w:tr>
      <w:tr w:rsidR="007D5DF8" w:rsidRPr="00DB5D0D" w14:paraId="0E2FB728" w14:textId="77777777" w:rsidTr="009223E5">
        <w:tc>
          <w:tcPr>
            <w:tcW w:w="2235" w:type="dxa"/>
          </w:tcPr>
          <w:p w14:paraId="00E0C4D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49EBE9E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7A7A45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СПБ-2М37</w:t>
            </w:r>
          </w:p>
        </w:tc>
        <w:tc>
          <w:tcPr>
            <w:tcW w:w="1651" w:type="dxa"/>
          </w:tcPr>
          <w:p w14:paraId="3FC53B9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0C8CBCB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5F66E78" w14:textId="77777777" w:rsidTr="009223E5">
        <w:tc>
          <w:tcPr>
            <w:tcW w:w="2235" w:type="dxa"/>
          </w:tcPr>
          <w:p w14:paraId="57923FB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20A4171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5215C61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285DFF5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39192D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12700</w:t>
            </w:r>
          </w:p>
        </w:tc>
      </w:tr>
      <w:tr w:rsidR="007D5DF8" w:rsidRPr="00DB5D0D" w14:paraId="25E643F5" w14:textId="77777777" w:rsidTr="009223E5">
        <w:tc>
          <w:tcPr>
            <w:tcW w:w="2235" w:type="dxa"/>
          </w:tcPr>
          <w:p w14:paraId="29F8B4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Ильюшин</w:t>
            </w:r>
          </w:p>
        </w:tc>
        <w:tc>
          <w:tcPr>
            <w:tcW w:w="1144" w:type="dxa"/>
          </w:tcPr>
          <w:p w14:paraId="45205B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2888" w:type="dxa"/>
          </w:tcPr>
          <w:p w14:paraId="055D2C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ДБ4-2М120ТК</w:t>
            </w:r>
          </w:p>
        </w:tc>
        <w:tc>
          <w:tcPr>
            <w:tcW w:w="1651" w:type="dxa"/>
          </w:tcPr>
          <w:p w14:paraId="62732D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77A592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r>
      <w:tr w:rsidR="007D5DF8" w:rsidRPr="00DB5D0D" w14:paraId="0AC3F239" w14:textId="77777777" w:rsidTr="009223E5">
        <w:tc>
          <w:tcPr>
            <w:tcW w:w="2235" w:type="dxa"/>
          </w:tcPr>
          <w:p w14:paraId="0DC9E60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158B1E3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151420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БШ-АМ35</w:t>
            </w:r>
          </w:p>
        </w:tc>
        <w:tc>
          <w:tcPr>
            <w:tcW w:w="1651" w:type="dxa"/>
          </w:tcPr>
          <w:p w14:paraId="401FFD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265E4D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6AD0FDB2" w14:textId="77777777" w:rsidTr="009223E5">
        <w:tc>
          <w:tcPr>
            <w:tcW w:w="2235" w:type="dxa"/>
          </w:tcPr>
          <w:p w14:paraId="1A3028A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4493A3F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6F0648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ДБ3Ф-2М88</w:t>
            </w:r>
          </w:p>
        </w:tc>
        <w:tc>
          <w:tcPr>
            <w:tcW w:w="1651" w:type="dxa"/>
          </w:tcPr>
          <w:p w14:paraId="5F099D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0EF512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0D51877" w14:textId="77777777" w:rsidTr="009223E5">
        <w:tc>
          <w:tcPr>
            <w:tcW w:w="2235" w:type="dxa"/>
          </w:tcPr>
          <w:p w14:paraId="6EA1798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43C0A84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5104A37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39FF760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1860B3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11500</w:t>
            </w:r>
          </w:p>
        </w:tc>
      </w:tr>
      <w:tr w:rsidR="007D5DF8" w:rsidRPr="00DB5D0D" w14:paraId="35D9A9FE" w14:textId="77777777" w:rsidTr="009223E5">
        <w:tc>
          <w:tcPr>
            <w:tcW w:w="2235" w:type="dxa"/>
          </w:tcPr>
          <w:p w14:paraId="1A186A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w:t>
            </w:r>
          </w:p>
        </w:tc>
        <w:tc>
          <w:tcPr>
            <w:tcW w:w="1144" w:type="dxa"/>
          </w:tcPr>
          <w:p w14:paraId="35C6A8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2888" w:type="dxa"/>
          </w:tcPr>
          <w:p w14:paraId="214472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И135-М105П-ТК</w:t>
            </w:r>
          </w:p>
        </w:tc>
        <w:tc>
          <w:tcPr>
            <w:tcW w:w="1651" w:type="dxa"/>
          </w:tcPr>
          <w:p w14:paraId="59EAF9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2662C2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w:t>
            </w:r>
          </w:p>
        </w:tc>
      </w:tr>
      <w:tr w:rsidR="007D5DF8" w:rsidRPr="00DB5D0D" w14:paraId="0E99F139" w14:textId="77777777" w:rsidTr="009223E5">
        <w:tc>
          <w:tcPr>
            <w:tcW w:w="2235" w:type="dxa"/>
          </w:tcPr>
          <w:p w14:paraId="7A5B40B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19CEF60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33C1A8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ББ1-М88</w:t>
            </w:r>
          </w:p>
        </w:tc>
        <w:tc>
          <w:tcPr>
            <w:tcW w:w="1651" w:type="dxa"/>
          </w:tcPr>
          <w:p w14:paraId="277507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4FBFDD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724F3593" w14:textId="77777777" w:rsidTr="009223E5">
        <w:tc>
          <w:tcPr>
            <w:tcW w:w="2235" w:type="dxa"/>
          </w:tcPr>
          <w:p w14:paraId="42C7E32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0962725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20CA24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ББ3-М90</w:t>
            </w:r>
          </w:p>
        </w:tc>
        <w:tc>
          <w:tcPr>
            <w:tcW w:w="1651" w:type="dxa"/>
          </w:tcPr>
          <w:p w14:paraId="05F22C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369E4F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w:t>
            </w:r>
          </w:p>
        </w:tc>
      </w:tr>
      <w:tr w:rsidR="007D5DF8" w:rsidRPr="00DB5D0D" w14:paraId="1A013B0B" w14:textId="77777777" w:rsidTr="009223E5">
        <w:tc>
          <w:tcPr>
            <w:tcW w:w="2235" w:type="dxa"/>
          </w:tcPr>
          <w:p w14:paraId="63C7414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6E1F80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2888" w:type="dxa"/>
          </w:tcPr>
          <w:p w14:paraId="499A54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ББ2-М88</w:t>
            </w:r>
          </w:p>
        </w:tc>
        <w:tc>
          <w:tcPr>
            <w:tcW w:w="1651" w:type="dxa"/>
          </w:tcPr>
          <w:p w14:paraId="409B74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26D6D0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1800</w:t>
            </w:r>
          </w:p>
        </w:tc>
      </w:tr>
      <w:tr w:rsidR="007D5DF8" w:rsidRPr="00DB5D0D" w14:paraId="1949DAAB" w14:textId="77777777" w:rsidTr="009223E5">
        <w:tc>
          <w:tcPr>
            <w:tcW w:w="2235" w:type="dxa"/>
          </w:tcPr>
          <w:p w14:paraId="3C42C32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684584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2888" w:type="dxa"/>
          </w:tcPr>
          <w:p w14:paraId="4E04EA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ОБШ-М71</w:t>
            </w:r>
          </w:p>
        </w:tc>
        <w:tc>
          <w:tcPr>
            <w:tcW w:w="1651" w:type="dxa"/>
          </w:tcPr>
          <w:p w14:paraId="2DAA6F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7E86ED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4250</w:t>
            </w:r>
          </w:p>
        </w:tc>
      </w:tr>
      <w:tr w:rsidR="007D5DF8" w:rsidRPr="00DB5D0D" w14:paraId="1E902D39" w14:textId="77777777" w:rsidTr="009223E5">
        <w:tc>
          <w:tcPr>
            <w:tcW w:w="2235" w:type="dxa"/>
          </w:tcPr>
          <w:p w14:paraId="4156A12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3371E0A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32C49EC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3C0BAA3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268D87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13550</w:t>
            </w:r>
          </w:p>
        </w:tc>
      </w:tr>
      <w:tr w:rsidR="007D5DF8" w:rsidRPr="00DB5D0D" w14:paraId="4D6FD238" w14:textId="77777777" w:rsidTr="009223E5">
        <w:tc>
          <w:tcPr>
            <w:tcW w:w="2235" w:type="dxa"/>
          </w:tcPr>
          <w:p w14:paraId="1C239D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Архангельский</w:t>
            </w:r>
          </w:p>
        </w:tc>
        <w:tc>
          <w:tcPr>
            <w:tcW w:w="1144" w:type="dxa"/>
          </w:tcPr>
          <w:p w14:paraId="1D4BED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2888" w:type="dxa"/>
          </w:tcPr>
          <w:p w14:paraId="04E937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СБ2-2М105ТК ("Б")</w:t>
            </w:r>
          </w:p>
        </w:tc>
        <w:tc>
          <w:tcPr>
            <w:tcW w:w="1651" w:type="dxa"/>
          </w:tcPr>
          <w:p w14:paraId="01F957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559843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6100</w:t>
            </w:r>
          </w:p>
        </w:tc>
      </w:tr>
      <w:tr w:rsidR="007D5DF8" w:rsidRPr="00DB5D0D" w14:paraId="7237BD2A" w14:textId="77777777" w:rsidTr="009223E5">
        <w:tc>
          <w:tcPr>
            <w:tcW w:w="2235" w:type="dxa"/>
          </w:tcPr>
          <w:p w14:paraId="55E09EE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253C3D9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131281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СБ2М105 уст. ТК</w:t>
            </w:r>
          </w:p>
        </w:tc>
        <w:tc>
          <w:tcPr>
            <w:tcW w:w="1651" w:type="dxa"/>
          </w:tcPr>
          <w:p w14:paraId="480489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712D4E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E7B288E" w14:textId="77777777" w:rsidTr="009223E5">
        <w:tc>
          <w:tcPr>
            <w:tcW w:w="2235" w:type="dxa"/>
          </w:tcPr>
          <w:p w14:paraId="5F60F3B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257265E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30BC587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449B79C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1B9B43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6100</w:t>
            </w:r>
          </w:p>
        </w:tc>
      </w:tr>
      <w:tr w:rsidR="007D5DF8" w:rsidRPr="00DB5D0D" w14:paraId="6FF3363C" w14:textId="77777777" w:rsidTr="009223E5">
        <w:tc>
          <w:tcPr>
            <w:tcW w:w="2235" w:type="dxa"/>
          </w:tcPr>
          <w:p w14:paraId="45CF89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Таиров</w:t>
            </w:r>
          </w:p>
        </w:tc>
        <w:tc>
          <w:tcPr>
            <w:tcW w:w="1144" w:type="dxa"/>
          </w:tcPr>
          <w:p w14:paraId="45CCA4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2888" w:type="dxa"/>
          </w:tcPr>
          <w:p w14:paraId="56BCC5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ОКО6-2М88</w:t>
            </w:r>
          </w:p>
        </w:tc>
        <w:tc>
          <w:tcPr>
            <w:tcW w:w="1651" w:type="dxa"/>
          </w:tcPr>
          <w:p w14:paraId="22F4AB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1F5DE3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4600</w:t>
            </w:r>
          </w:p>
        </w:tc>
      </w:tr>
      <w:tr w:rsidR="007D5DF8" w:rsidRPr="00DB5D0D" w14:paraId="520B71E1" w14:textId="77777777" w:rsidTr="009223E5">
        <w:tc>
          <w:tcPr>
            <w:tcW w:w="2235" w:type="dxa"/>
          </w:tcPr>
          <w:p w14:paraId="6074A15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755D94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2888" w:type="dxa"/>
          </w:tcPr>
          <w:p w14:paraId="221C26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ОКО8-М90</w:t>
            </w:r>
          </w:p>
        </w:tc>
        <w:tc>
          <w:tcPr>
            <w:tcW w:w="1651" w:type="dxa"/>
          </w:tcPr>
          <w:p w14:paraId="2D0B59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2785C6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6500</w:t>
            </w:r>
          </w:p>
        </w:tc>
      </w:tr>
      <w:tr w:rsidR="007D5DF8" w:rsidRPr="00DB5D0D" w14:paraId="06BD2A7D" w14:textId="77777777" w:rsidTr="009223E5">
        <w:tc>
          <w:tcPr>
            <w:tcW w:w="2235" w:type="dxa"/>
          </w:tcPr>
          <w:p w14:paraId="1C1CB56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14691DF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1FB07B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ОКО6-2М90 (модиф.)</w:t>
            </w:r>
          </w:p>
        </w:tc>
        <w:tc>
          <w:tcPr>
            <w:tcW w:w="1651" w:type="dxa"/>
          </w:tcPr>
          <w:p w14:paraId="508782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39" w:type="dxa"/>
          </w:tcPr>
          <w:p w14:paraId="799FE9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CC1DF6B" w14:textId="77777777" w:rsidTr="009223E5">
        <w:tc>
          <w:tcPr>
            <w:tcW w:w="2235" w:type="dxa"/>
          </w:tcPr>
          <w:p w14:paraId="2213B3E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68E8C0F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443F91B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55C6902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3D94B3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11100</w:t>
            </w:r>
          </w:p>
        </w:tc>
      </w:tr>
      <w:tr w:rsidR="007D5DF8" w:rsidRPr="00DB5D0D" w14:paraId="19DAC1ED" w14:textId="77777777" w:rsidTr="009223E5">
        <w:tc>
          <w:tcPr>
            <w:tcW w:w="2235" w:type="dxa"/>
          </w:tcPr>
          <w:p w14:paraId="04A4C4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Яценко</w:t>
            </w:r>
          </w:p>
        </w:tc>
        <w:tc>
          <w:tcPr>
            <w:tcW w:w="1144" w:type="dxa"/>
          </w:tcPr>
          <w:p w14:paraId="4016C1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2888" w:type="dxa"/>
          </w:tcPr>
          <w:p w14:paraId="441B73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И28-М88Р</w:t>
            </w:r>
          </w:p>
        </w:tc>
        <w:tc>
          <w:tcPr>
            <w:tcW w:w="1651" w:type="dxa"/>
          </w:tcPr>
          <w:p w14:paraId="6C1B6E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736C39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31C1AF60" w14:textId="77777777" w:rsidTr="009223E5">
        <w:tc>
          <w:tcPr>
            <w:tcW w:w="2235" w:type="dxa"/>
          </w:tcPr>
          <w:p w14:paraId="784E72B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7492E9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Саркомбайн</w:t>
            </w:r>
          </w:p>
        </w:tc>
        <w:tc>
          <w:tcPr>
            <w:tcW w:w="2888" w:type="dxa"/>
          </w:tcPr>
          <w:p w14:paraId="4304C3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И28-2М90</w:t>
            </w:r>
          </w:p>
        </w:tc>
        <w:tc>
          <w:tcPr>
            <w:tcW w:w="1651" w:type="dxa"/>
          </w:tcPr>
          <w:p w14:paraId="28C6AC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68C391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1D9DECE2" w14:textId="77777777" w:rsidTr="009223E5">
        <w:tc>
          <w:tcPr>
            <w:tcW w:w="2235" w:type="dxa"/>
          </w:tcPr>
          <w:p w14:paraId="6E71C8E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1E34DCE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6D0C1A9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04649F9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234B5F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r>
      <w:tr w:rsidR="007D5DF8" w:rsidRPr="00DB5D0D" w14:paraId="59D37C40" w14:textId="77777777" w:rsidTr="009223E5">
        <w:tc>
          <w:tcPr>
            <w:tcW w:w="2235" w:type="dxa"/>
          </w:tcPr>
          <w:p w14:paraId="4E955E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Микоян, Гуревич</w:t>
            </w:r>
          </w:p>
        </w:tc>
        <w:tc>
          <w:tcPr>
            <w:tcW w:w="1144" w:type="dxa"/>
          </w:tcPr>
          <w:p w14:paraId="534C1B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888" w:type="dxa"/>
          </w:tcPr>
          <w:p w14:paraId="29D08D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И200-АМ37</w:t>
            </w:r>
          </w:p>
        </w:tc>
        <w:tc>
          <w:tcPr>
            <w:tcW w:w="1651" w:type="dxa"/>
          </w:tcPr>
          <w:p w14:paraId="40DCEC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539" w:type="dxa"/>
          </w:tcPr>
          <w:p w14:paraId="7669F4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r>
      <w:tr w:rsidR="007D5DF8" w:rsidRPr="00DB5D0D" w14:paraId="7A4A3410" w14:textId="77777777" w:rsidTr="009223E5">
        <w:tc>
          <w:tcPr>
            <w:tcW w:w="2235" w:type="dxa"/>
          </w:tcPr>
          <w:p w14:paraId="21527D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Беляев</w:t>
            </w:r>
          </w:p>
        </w:tc>
        <w:tc>
          <w:tcPr>
            <w:tcW w:w="1144" w:type="dxa"/>
          </w:tcPr>
          <w:p w14:paraId="74B82B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2888" w:type="dxa"/>
          </w:tcPr>
          <w:p w14:paraId="5868B5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ЭИ-М105</w:t>
            </w:r>
          </w:p>
        </w:tc>
        <w:tc>
          <w:tcPr>
            <w:tcW w:w="1651" w:type="dxa"/>
          </w:tcPr>
          <w:p w14:paraId="440C67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2AEDA7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r>
      <w:tr w:rsidR="007D5DF8" w:rsidRPr="00DB5D0D" w14:paraId="6BDD9104" w14:textId="77777777" w:rsidTr="009223E5">
        <w:tc>
          <w:tcPr>
            <w:tcW w:w="2235" w:type="dxa"/>
          </w:tcPr>
          <w:p w14:paraId="0BBC418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502B7BE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2F3CA0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ДБЛК-2М88</w:t>
            </w:r>
          </w:p>
        </w:tc>
        <w:tc>
          <w:tcPr>
            <w:tcW w:w="1651" w:type="dxa"/>
          </w:tcPr>
          <w:p w14:paraId="43D73A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32EDE7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5332CDD4" w14:textId="77777777" w:rsidTr="009223E5">
        <w:tc>
          <w:tcPr>
            <w:tcW w:w="2235" w:type="dxa"/>
          </w:tcPr>
          <w:p w14:paraId="2E1136F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6577A7E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3A705B6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036E364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362562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5500</w:t>
            </w:r>
          </w:p>
        </w:tc>
      </w:tr>
      <w:tr w:rsidR="007D5DF8" w:rsidRPr="00DB5D0D" w14:paraId="6A211055" w14:textId="77777777" w:rsidTr="009223E5">
        <w:tc>
          <w:tcPr>
            <w:tcW w:w="2235" w:type="dxa"/>
          </w:tcPr>
          <w:p w14:paraId="5F0F14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Пашинин</w:t>
            </w:r>
          </w:p>
        </w:tc>
        <w:tc>
          <w:tcPr>
            <w:tcW w:w="1144" w:type="dxa"/>
          </w:tcPr>
          <w:p w14:paraId="608624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2888" w:type="dxa"/>
          </w:tcPr>
          <w:p w14:paraId="1535B2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И21-М105</w:t>
            </w:r>
          </w:p>
        </w:tc>
        <w:tc>
          <w:tcPr>
            <w:tcW w:w="1651" w:type="dxa"/>
          </w:tcPr>
          <w:p w14:paraId="480170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7A56AC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3800</w:t>
            </w:r>
          </w:p>
        </w:tc>
      </w:tr>
      <w:tr w:rsidR="007D5DF8" w:rsidRPr="00DB5D0D" w14:paraId="327AB341" w14:textId="77777777" w:rsidTr="009223E5">
        <w:tc>
          <w:tcPr>
            <w:tcW w:w="2235" w:type="dxa"/>
          </w:tcPr>
          <w:p w14:paraId="117C85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Болховитинов</w:t>
            </w:r>
          </w:p>
        </w:tc>
        <w:tc>
          <w:tcPr>
            <w:tcW w:w="1144" w:type="dxa"/>
          </w:tcPr>
          <w:p w14:paraId="710C7E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2888" w:type="dxa"/>
          </w:tcPr>
          <w:p w14:paraId="074AFA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ББ"С"-2М103</w:t>
            </w:r>
          </w:p>
        </w:tc>
        <w:tc>
          <w:tcPr>
            <w:tcW w:w="1651" w:type="dxa"/>
          </w:tcPr>
          <w:p w14:paraId="628A2F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6A50A2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r>
      <w:tr w:rsidR="007D5DF8" w:rsidRPr="00DB5D0D" w14:paraId="175B308E" w14:textId="77777777" w:rsidTr="009223E5">
        <w:tc>
          <w:tcPr>
            <w:tcW w:w="2235" w:type="dxa"/>
          </w:tcPr>
          <w:p w14:paraId="283B9F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Голубков</w:t>
            </w:r>
          </w:p>
        </w:tc>
        <w:tc>
          <w:tcPr>
            <w:tcW w:w="1144" w:type="dxa"/>
          </w:tcPr>
          <w:p w14:paraId="125478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2888" w:type="dxa"/>
          </w:tcPr>
          <w:p w14:paraId="4DA552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СБ30-2М120</w:t>
            </w:r>
          </w:p>
        </w:tc>
        <w:tc>
          <w:tcPr>
            <w:tcW w:w="1651" w:type="dxa"/>
          </w:tcPr>
          <w:p w14:paraId="5A6CC5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19E8E9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r>
      <w:tr w:rsidR="007D5DF8" w:rsidRPr="00DB5D0D" w14:paraId="2B663220" w14:textId="77777777" w:rsidTr="009223E5">
        <w:tc>
          <w:tcPr>
            <w:tcW w:w="2235" w:type="dxa"/>
          </w:tcPr>
          <w:p w14:paraId="206282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Незваль</w:t>
            </w:r>
          </w:p>
        </w:tc>
        <w:tc>
          <w:tcPr>
            <w:tcW w:w="1144" w:type="dxa"/>
          </w:tcPr>
          <w:p w14:paraId="7E470D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2888" w:type="dxa"/>
          </w:tcPr>
          <w:p w14:paraId="06D35F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ПБ2-2М120</w:t>
            </w:r>
          </w:p>
        </w:tc>
        <w:tc>
          <w:tcPr>
            <w:tcW w:w="1651" w:type="dxa"/>
          </w:tcPr>
          <w:p w14:paraId="7605C3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562D85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6500</w:t>
            </w:r>
          </w:p>
        </w:tc>
      </w:tr>
      <w:tr w:rsidR="007D5DF8" w:rsidRPr="00DB5D0D" w14:paraId="5457112E" w14:textId="77777777" w:rsidTr="009223E5">
        <w:tc>
          <w:tcPr>
            <w:tcW w:w="2235" w:type="dxa"/>
          </w:tcPr>
          <w:p w14:paraId="0A9DAD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Горбунов, Гудков,</w:t>
            </w:r>
          </w:p>
        </w:tc>
        <w:tc>
          <w:tcPr>
            <w:tcW w:w="1144" w:type="dxa"/>
          </w:tcPr>
          <w:p w14:paraId="5E2233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w:t>
            </w:r>
          </w:p>
        </w:tc>
        <w:tc>
          <w:tcPr>
            <w:tcW w:w="2888" w:type="dxa"/>
          </w:tcPr>
          <w:p w14:paraId="613093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И301-М105ПТК</w:t>
            </w:r>
          </w:p>
        </w:tc>
        <w:tc>
          <w:tcPr>
            <w:tcW w:w="1651" w:type="dxa"/>
          </w:tcPr>
          <w:p w14:paraId="1F9395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7BE9D3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w:t>
            </w:r>
          </w:p>
        </w:tc>
      </w:tr>
      <w:tr w:rsidR="007D5DF8" w:rsidRPr="00DB5D0D" w14:paraId="744657BE" w14:textId="77777777" w:rsidTr="009223E5">
        <w:tc>
          <w:tcPr>
            <w:tcW w:w="2235" w:type="dxa"/>
          </w:tcPr>
          <w:p w14:paraId="2B3AF5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Лавочкин</w:t>
            </w:r>
          </w:p>
        </w:tc>
        <w:tc>
          <w:tcPr>
            <w:tcW w:w="1144" w:type="dxa"/>
          </w:tcPr>
          <w:p w14:paraId="0FEC809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7F0D04E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3182F88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0885136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E85C776" w14:textId="77777777" w:rsidTr="009223E5">
        <w:tc>
          <w:tcPr>
            <w:tcW w:w="2235" w:type="dxa"/>
          </w:tcPr>
          <w:p w14:paraId="49A101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Бисноват</w:t>
            </w:r>
          </w:p>
        </w:tc>
        <w:tc>
          <w:tcPr>
            <w:tcW w:w="1144" w:type="dxa"/>
          </w:tcPr>
          <w:p w14:paraId="40C327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w:t>
            </w:r>
          </w:p>
        </w:tc>
        <w:tc>
          <w:tcPr>
            <w:tcW w:w="2888" w:type="dxa"/>
          </w:tcPr>
          <w:p w14:paraId="19C1B7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СК-М105</w:t>
            </w:r>
          </w:p>
        </w:tc>
        <w:tc>
          <w:tcPr>
            <w:tcW w:w="1651" w:type="dxa"/>
          </w:tcPr>
          <w:p w14:paraId="37AE07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2A7326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2A26DD6D" w14:textId="77777777" w:rsidTr="009223E5">
        <w:tc>
          <w:tcPr>
            <w:tcW w:w="2235" w:type="dxa"/>
          </w:tcPr>
          <w:p w14:paraId="0D41BE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ОТБ</w:t>
            </w:r>
          </w:p>
        </w:tc>
        <w:tc>
          <w:tcPr>
            <w:tcW w:w="1144" w:type="dxa"/>
          </w:tcPr>
          <w:p w14:paraId="2E2A9D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2888" w:type="dxa"/>
          </w:tcPr>
          <w:p w14:paraId="33EAB0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"100"-2М105</w:t>
            </w:r>
          </w:p>
        </w:tc>
        <w:tc>
          <w:tcPr>
            <w:tcW w:w="1651" w:type="dxa"/>
          </w:tcPr>
          <w:p w14:paraId="4D7CDB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4A0E85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6500</w:t>
            </w:r>
          </w:p>
        </w:tc>
      </w:tr>
      <w:tr w:rsidR="007D5DF8" w:rsidRPr="00DB5D0D" w14:paraId="64EDA174" w14:textId="77777777" w:rsidTr="009223E5">
        <w:tc>
          <w:tcPr>
            <w:tcW w:w="2235" w:type="dxa"/>
          </w:tcPr>
          <w:p w14:paraId="300958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Шевченко,</w:t>
            </w:r>
          </w:p>
        </w:tc>
        <w:tc>
          <w:tcPr>
            <w:tcW w:w="1144" w:type="dxa"/>
          </w:tcPr>
          <w:p w14:paraId="719889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2888" w:type="dxa"/>
          </w:tcPr>
          <w:p w14:paraId="03D901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ИС-М63 и 88</w:t>
            </w:r>
          </w:p>
        </w:tc>
        <w:tc>
          <w:tcPr>
            <w:tcW w:w="1651" w:type="dxa"/>
          </w:tcPr>
          <w:p w14:paraId="3712EF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6C7F26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r>
      <w:tr w:rsidR="007D5DF8" w:rsidRPr="00DB5D0D" w14:paraId="07B28E9C" w14:textId="77777777" w:rsidTr="009223E5">
        <w:tc>
          <w:tcPr>
            <w:tcW w:w="2235" w:type="dxa"/>
          </w:tcPr>
          <w:p w14:paraId="0B57C9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Никитин</w:t>
            </w:r>
          </w:p>
        </w:tc>
        <w:tc>
          <w:tcPr>
            <w:tcW w:w="1144" w:type="dxa"/>
          </w:tcPr>
          <w:p w14:paraId="41DE6A2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0C9AECA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2E767D8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12BA148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2FD8523" w14:textId="77777777" w:rsidTr="009223E5">
        <w:tc>
          <w:tcPr>
            <w:tcW w:w="2235" w:type="dxa"/>
          </w:tcPr>
          <w:p w14:paraId="6815AB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Грушин</w:t>
            </w:r>
          </w:p>
        </w:tc>
        <w:tc>
          <w:tcPr>
            <w:tcW w:w="1144" w:type="dxa"/>
          </w:tcPr>
          <w:p w14:paraId="224FC3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МАИ</w:t>
            </w:r>
          </w:p>
        </w:tc>
        <w:tc>
          <w:tcPr>
            <w:tcW w:w="2888" w:type="dxa"/>
          </w:tcPr>
          <w:p w14:paraId="691C29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ББ4-М105</w:t>
            </w:r>
          </w:p>
        </w:tc>
        <w:tc>
          <w:tcPr>
            <w:tcW w:w="1651" w:type="dxa"/>
          </w:tcPr>
          <w:p w14:paraId="786D00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08C39A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1900</w:t>
            </w:r>
          </w:p>
        </w:tc>
      </w:tr>
      <w:tr w:rsidR="007D5DF8" w:rsidRPr="00DB5D0D" w14:paraId="137E6CF5" w14:textId="77777777" w:rsidTr="009223E5">
        <w:tc>
          <w:tcPr>
            <w:tcW w:w="2235" w:type="dxa"/>
          </w:tcPr>
          <w:p w14:paraId="62E967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Стронгин</w:t>
            </w:r>
          </w:p>
        </w:tc>
        <w:tc>
          <w:tcPr>
            <w:tcW w:w="1144" w:type="dxa"/>
          </w:tcPr>
          <w:p w14:paraId="2F3B61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888" w:type="dxa"/>
          </w:tcPr>
          <w:p w14:paraId="1417EC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ББ22-2М105</w:t>
            </w:r>
          </w:p>
        </w:tc>
        <w:tc>
          <w:tcPr>
            <w:tcW w:w="1651" w:type="dxa"/>
          </w:tcPr>
          <w:p w14:paraId="74C966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6D6695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33B4F1A4" w14:textId="77777777" w:rsidTr="009223E5">
        <w:tc>
          <w:tcPr>
            <w:tcW w:w="2235" w:type="dxa"/>
          </w:tcPr>
          <w:p w14:paraId="7426B3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Боровков, Флоров</w:t>
            </w:r>
          </w:p>
        </w:tc>
        <w:tc>
          <w:tcPr>
            <w:tcW w:w="1144" w:type="dxa"/>
          </w:tcPr>
          <w:p w14:paraId="0BB078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2888" w:type="dxa"/>
          </w:tcPr>
          <w:p w14:paraId="0C1090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И207-М63ТК</w:t>
            </w:r>
          </w:p>
        </w:tc>
        <w:tc>
          <w:tcPr>
            <w:tcW w:w="1651" w:type="dxa"/>
          </w:tcPr>
          <w:p w14:paraId="7279F5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4BD7DF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36E5F1B4" w14:textId="77777777" w:rsidTr="009223E5">
        <w:tc>
          <w:tcPr>
            <w:tcW w:w="2235" w:type="dxa"/>
          </w:tcPr>
          <w:p w14:paraId="3FA6E2D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0058354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5300DE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И207-М65</w:t>
            </w:r>
          </w:p>
        </w:tc>
        <w:tc>
          <w:tcPr>
            <w:tcW w:w="1651" w:type="dxa"/>
          </w:tcPr>
          <w:p w14:paraId="635E07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295EDA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6F122842" w14:textId="77777777" w:rsidTr="009223E5">
        <w:tc>
          <w:tcPr>
            <w:tcW w:w="2235" w:type="dxa"/>
          </w:tcPr>
          <w:p w14:paraId="2E76670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0F5C1D5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5BDE4E3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7A6CB73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37BD2A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0AEB43CD" w14:textId="77777777" w:rsidTr="009223E5">
        <w:tc>
          <w:tcPr>
            <w:tcW w:w="2235" w:type="dxa"/>
          </w:tcPr>
          <w:p w14:paraId="269F6B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Москалев</w:t>
            </w:r>
          </w:p>
        </w:tc>
        <w:tc>
          <w:tcPr>
            <w:tcW w:w="1144" w:type="dxa"/>
          </w:tcPr>
          <w:p w14:paraId="4CF793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КБ-31</w:t>
            </w:r>
          </w:p>
        </w:tc>
        <w:tc>
          <w:tcPr>
            <w:tcW w:w="2888" w:type="dxa"/>
          </w:tcPr>
          <w:p w14:paraId="50D621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САМ13-2МВ6</w:t>
            </w:r>
          </w:p>
        </w:tc>
        <w:tc>
          <w:tcPr>
            <w:tcW w:w="1651" w:type="dxa"/>
          </w:tcPr>
          <w:p w14:paraId="41C78B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1F368D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00252BA2" w14:textId="77777777" w:rsidTr="009223E5">
        <w:tc>
          <w:tcPr>
            <w:tcW w:w="2235" w:type="dxa"/>
          </w:tcPr>
          <w:p w14:paraId="7E94BDC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2B415EE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05E17A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САМ11-МВ6</w:t>
            </w:r>
          </w:p>
        </w:tc>
        <w:tc>
          <w:tcPr>
            <w:tcW w:w="1651" w:type="dxa"/>
          </w:tcPr>
          <w:p w14:paraId="361D24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170399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7D99A1FC" w14:textId="77777777" w:rsidTr="009223E5">
        <w:tc>
          <w:tcPr>
            <w:tcW w:w="2235" w:type="dxa"/>
          </w:tcPr>
          <w:p w14:paraId="2D078EB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15F9CF8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2B9C45B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252C449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2E513C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r>
      <w:tr w:rsidR="007D5DF8" w:rsidRPr="00DB5D0D" w14:paraId="155E6FF6" w14:textId="77777777" w:rsidTr="009223E5">
        <w:tc>
          <w:tcPr>
            <w:tcW w:w="2235" w:type="dxa"/>
          </w:tcPr>
          <w:p w14:paraId="09E832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Сильванский</w:t>
            </w:r>
          </w:p>
        </w:tc>
        <w:tc>
          <w:tcPr>
            <w:tcW w:w="1144" w:type="dxa"/>
          </w:tcPr>
          <w:p w14:paraId="2BE0F0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2888" w:type="dxa"/>
          </w:tcPr>
          <w:p w14:paraId="6F7098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И220-М88</w:t>
            </w:r>
          </w:p>
        </w:tc>
        <w:tc>
          <w:tcPr>
            <w:tcW w:w="1651" w:type="dxa"/>
          </w:tcPr>
          <w:p w14:paraId="4D96C2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2BA934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78647830" w14:textId="77777777" w:rsidTr="009223E5">
        <w:tc>
          <w:tcPr>
            <w:tcW w:w="2235" w:type="dxa"/>
          </w:tcPr>
          <w:p w14:paraId="62F9EA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Сеньков</w:t>
            </w:r>
          </w:p>
        </w:tc>
        <w:tc>
          <w:tcPr>
            <w:tcW w:w="1144" w:type="dxa"/>
          </w:tcPr>
          <w:p w14:paraId="28981C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2888" w:type="dxa"/>
          </w:tcPr>
          <w:p w14:paraId="6E81A8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Десант.-трансп. санит.</w:t>
            </w:r>
          </w:p>
        </w:tc>
        <w:tc>
          <w:tcPr>
            <w:tcW w:w="1651" w:type="dxa"/>
          </w:tcPr>
          <w:p w14:paraId="7F21BF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2200</w:t>
            </w:r>
          </w:p>
        </w:tc>
        <w:tc>
          <w:tcPr>
            <w:tcW w:w="2539" w:type="dxa"/>
          </w:tcPr>
          <w:p w14:paraId="4CC9E50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87E671D" w14:textId="77777777" w:rsidTr="009223E5">
        <w:tc>
          <w:tcPr>
            <w:tcW w:w="2235" w:type="dxa"/>
          </w:tcPr>
          <w:p w14:paraId="4163B52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292AADB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6556C6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ПС-84 ремонт.</w:t>
            </w:r>
          </w:p>
        </w:tc>
        <w:tc>
          <w:tcPr>
            <w:tcW w:w="1651" w:type="dxa"/>
          </w:tcPr>
          <w:p w14:paraId="4CFF98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047FDE4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3DD16BF" w14:textId="77777777" w:rsidTr="009223E5">
        <w:tc>
          <w:tcPr>
            <w:tcW w:w="2235" w:type="dxa"/>
          </w:tcPr>
          <w:p w14:paraId="644694E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02CB6C2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51013F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ПС-84 дублер</w:t>
            </w:r>
          </w:p>
        </w:tc>
        <w:tc>
          <w:tcPr>
            <w:tcW w:w="1651" w:type="dxa"/>
          </w:tcPr>
          <w:p w14:paraId="37F1E7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564D706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AE7C424" w14:textId="77777777" w:rsidTr="009223E5">
        <w:tc>
          <w:tcPr>
            <w:tcW w:w="2235" w:type="dxa"/>
          </w:tcPr>
          <w:p w14:paraId="03BE91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Антонов</w:t>
            </w:r>
          </w:p>
        </w:tc>
        <w:tc>
          <w:tcPr>
            <w:tcW w:w="1144" w:type="dxa"/>
          </w:tcPr>
          <w:p w14:paraId="40E490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2888" w:type="dxa"/>
          </w:tcPr>
          <w:p w14:paraId="1B8074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СС-МВ6</w:t>
            </w:r>
          </w:p>
        </w:tc>
        <w:tc>
          <w:tcPr>
            <w:tcW w:w="1651" w:type="dxa"/>
          </w:tcPr>
          <w:p w14:paraId="2A0D91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65806D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22E335B3" w14:textId="77777777" w:rsidTr="009223E5">
        <w:tc>
          <w:tcPr>
            <w:tcW w:w="2235" w:type="dxa"/>
          </w:tcPr>
          <w:p w14:paraId="785C46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Грибовский</w:t>
            </w:r>
          </w:p>
        </w:tc>
        <w:tc>
          <w:tcPr>
            <w:tcW w:w="1144" w:type="dxa"/>
          </w:tcPr>
          <w:p w14:paraId="06FD60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КБ-28</w:t>
            </w:r>
          </w:p>
        </w:tc>
        <w:tc>
          <w:tcPr>
            <w:tcW w:w="2888" w:type="dxa"/>
          </w:tcPr>
          <w:p w14:paraId="416255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УТ-6 МВ4</w:t>
            </w:r>
          </w:p>
        </w:tc>
        <w:tc>
          <w:tcPr>
            <w:tcW w:w="1651" w:type="dxa"/>
          </w:tcPr>
          <w:p w14:paraId="747FE9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6A1AD8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2A27D819" w14:textId="77777777" w:rsidTr="009223E5">
        <w:tc>
          <w:tcPr>
            <w:tcW w:w="2235" w:type="dxa"/>
          </w:tcPr>
          <w:p w14:paraId="018FCC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Адлер</w:t>
            </w:r>
          </w:p>
        </w:tc>
        <w:tc>
          <w:tcPr>
            <w:tcW w:w="1144" w:type="dxa"/>
          </w:tcPr>
          <w:p w14:paraId="049A89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2888" w:type="dxa"/>
          </w:tcPr>
          <w:p w14:paraId="37957D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УТИ-7 МВ-4</w:t>
            </w:r>
          </w:p>
        </w:tc>
        <w:tc>
          <w:tcPr>
            <w:tcW w:w="1651" w:type="dxa"/>
          </w:tcPr>
          <w:p w14:paraId="7CF3B1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2BE924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5A74D0A0" w14:textId="77777777" w:rsidTr="009223E5">
        <w:tc>
          <w:tcPr>
            <w:tcW w:w="2235" w:type="dxa"/>
          </w:tcPr>
          <w:p w14:paraId="5599F0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Смолин</w:t>
            </w:r>
          </w:p>
        </w:tc>
        <w:tc>
          <w:tcPr>
            <w:tcW w:w="1144" w:type="dxa"/>
          </w:tcPr>
          <w:p w14:paraId="0DB6D6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2888" w:type="dxa"/>
          </w:tcPr>
          <w:p w14:paraId="3A5E9F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УТ-8 с М85 автомобиль</w:t>
            </w:r>
          </w:p>
        </w:tc>
        <w:tc>
          <w:tcPr>
            <w:tcW w:w="1651" w:type="dxa"/>
          </w:tcPr>
          <w:p w14:paraId="5B0989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17E22A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r>
      <w:tr w:rsidR="007D5DF8" w:rsidRPr="00DB5D0D" w14:paraId="59BD845A" w14:textId="77777777" w:rsidTr="009223E5">
        <w:tc>
          <w:tcPr>
            <w:tcW w:w="2235" w:type="dxa"/>
          </w:tcPr>
          <w:p w14:paraId="4E746D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Камов</w:t>
            </w:r>
          </w:p>
        </w:tc>
        <w:tc>
          <w:tcPr>
            <w:tcW w:w="1144" w:type="dxa"/>
          </w:tcPr>
          <w:p w14:paraId="63879C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2888" w:type="dxa"/>
          </w:tcPr>
          <w:p w14:paraId="649571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А-10 МВ4</w:t>
            </w:r>
          </w:p>
        </w:tc>
        <w:tc>
          <w:tcPr>
            <w:tcW w:w="1651" w:type="dxa"/>
          </w:tcPr>
          <w:p w14:paraId="54330F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45F818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03F0DA72" w14:textId="77777777" w:rsidTr="009223E5">
        <w:tc>
          <w:tcPr>
            <w:tcW w:w="2235" w:type="dxa"/>
          </w:tcPr>
          <w:p w14:paraId="568B4E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Юрьев</w:t>
            </w:r>
          </w:p>
        </w:tc>
        <w:tc>
          <w:tcPr>
            <w:tcW w:w="1144" w:type="dxa"/>
          </w:tcPr>
          <w:p w14:paraId="393E55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МАИ</w:t>
            </w:r>
          </w:p>
        </w:tc>
        <w:tc>
          <w:tcPr>
            <w:tcW w:w="2888" w:type="dxa"/>
          </w:tcPr>
          <w:p w14:paraId="275DA8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Г-11ЭА</w:t>
            </w:r>
          </w:p>
        </w:tc>
        <w:tc>
          <w:tcPr>
            <w:tcW w:w="1651" w:type="dxa"/>
          </w:tcPr>
          <w:p w14:paraId="4F0E71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7830D1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50188EDC" w14:textId="77777777" w:rsidTr="009223E5">
        <w:tc>
          <w:tcPr>
            <w:tcW w:w="2235" w:type="dxa"/>
          </w:tcPr>
          <w:p w14:paraId="49F8E6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Братухин</w:t>
            </w:r>
          </w:p>
        </w:tc>
        <w:tc>
          <w:tcPr>
            <w:tcW w:w="1144" w:type="dxa"/>
          </w:tcPr>
          <w:p w14:paraId="6CC130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МАИ</w:t>
            </w:r>
          </w:p>
        </w:tc>
        <w:tc>
          <w:tcPr>
            <w:tcW w:w="2888" w:type="dxa"/>
          </w:tcPr>
          <w:p w14:paraId="4A7DD6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Г-2</w:t>
            </w:r>
          </w:p>
        </w:tc>
        <w:tc>
          <w:tcPr>
            <w:tcW w:w="1651" w:type="dxa"/>
          </w:tcPr>
          <w:p w14:paraId="58ACEC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7CEDF6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4879EC9D" w14:textId="77777777" w:rsidTr="009223E5">
        <w:tc>
          <w:tcPr>
            <w:tcW w:w="2235" w:type="dxa"/>
          </w:tcPr>
          <w:p w14:paraId="592D6FB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3F2327C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42BAD46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1472CFE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139EA7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r>
      <w:tr w:rsidR="007D5DF8" w:rsidRPr="00DB5D0D" w14:paraId="3696472A" w14:textId="77777777" w:rsidTr="009223E5">
        <w:tc>
          <w:tcPr>
            <w:tcW w:w="2235" w:type="dxa"/>
          </w:tcPr>
          <w:p w14:paraId="08772A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Щербаков</w:t>
            </w:r>
          </w:p>
        </w:tc>
        <w:tc>
          <w:tcPr>
            <w:tcW w:w="1144" w:type="dxa"/>
          </w:tcPr>
          <w:p w14:paraId="5EAC77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2888" w:type="dxa"/>
          </w:tcPr>
          <w:p w14:paraId="1967B4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И153-М62 с герм. каб.</w:t>
            </w:r>
          </w:p>
        </w:tc>
        <w:tc>
          <w:tcPr>
            <w:tcW w:w="1651" w:type="dxa"/>
          </w:tcPr>
          <w:p w14:paraId="3A8971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45CBCD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310ED1D8" w14:textId="77777777" w:rsidTr="009223E5">
        <w:tc>
          <w:tcPr>
            <w:tcW w:w="2235" w:type="dxa"/>
          </w:tcPr>
          <w:p w14:paraId="3E34F6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Привалов</w:t>
            </w:r>
          </w:p>
        </w:tc>
        <w:tc>
          <w:tcPr>
            <w:tcW w:w="1144" w:type="dxa"/>
          </w:tcPr>
          <w:p w14:paraId="10E2F5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2888" w:type="dxa"/>
          </w:tcPr>
          <w:p w14:paraId="6DF618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Десантно-трансп.</w:t>
            </w:r>
          </w:p>
        </w:tc>
        <w:tc>
          <w:tcPr>
            <w:tcW w:w="1651" w:type="dxa"/>
          </w:tcPr>
          <w:p w14:paraId="1507658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57CEBB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BE7BCD6" w14:textId="77777777" w:rsidTr="009223E5">
        <w:tc>
          <w:tcPr>
            <w:tcW w:w="2235" w:type="dxa"/>
          </w:tcPr>
          <w:p w14:paraId="20952BC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15BC4E4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7412BD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приспособления</w:t>
            </w:r>
          </w:p>
        </w:tc>
        <w:tc>
          <w:tcPr>
            <w:tcW w:w="1651" w:type="dxa"/>
          </w:tcPr>
          <w:p w14:paraId="0DFC9F9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2F82E71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7F54FFA" w14:textId="77777777" w:rsidTr="009223E5">
        <w:tc>
          <w:tcPr>
            <w:tcW w:w="2235" w:type="dxa"/>
          </w:tcPr>
          <w:p w14:paraId="14443E0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190C55A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093FC4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(людская кабина)</w:t>
            </w:r>
          </w:p>
        </w:tc>
        <w:tc>
          <w:tcPr>
            <w:tcW w:w="1651" w:type="dxa"/>
          </w:tcPr>
          <w:p w14:paraId="6E60AA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39" w:type="dxa"/>
          </w:tcPr>
          <w:p w14:paraId="0D8AFC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r>
      <w:tr w:rsidR="007D5DF8" w:rsidRPr="00DB5D0D" w14:paraId="6B1B2C53" w14:textId="77777777" w:rsidTr="009223E5">
        <w:tc>
          <w:tcPr>
            <w:tcW w:w="2235" w:type="dxa"/>
          </w:tcPr>
          <w:p w14:paraId="0909F2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Самсонов</w:t>
            </w:r>
          </w:p>
        </w:tc>
        <w:tc>
          <w:tcPr>
            <w:tcW w:w="1144" w:type="dxa"/>
          </w:tcPr>
          <w:p w14:paraId="5DBA38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288</w:t>
            </w:r>
          </w:p>
        </w:tc>
        <w:tc>
          <w:tcPr>
            <w:tcW w:w="2888" w:type="dxa"/>
          </w:tcPr>
          <w:p w14:paraId="4C25F3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МДР7-2М88</w:t>
            </w:r>
          </w:p>
        </w:tc>
        <w:tc>
          <w:tcPr>
            <w:tcW w:w="1651" w:type="dxa"/>
          </w:tcPr>
          <w:p w14:paraId="670C78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647EAF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r>
      <w:tr w:rsidR="007D5DF8" w:rsidRPr="00DB5D0D" w14:paraId="75BA6EC3" w14:textId="77777777" w:rsidTr="009223E5">
        <w:tc>
          <w:tcPr>
            <w:tcW w:w="2235" w:type="dxa"/>
          </w:tcPr>
          <w:p w14:paraId="0C8051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Четвериков</w:t>
            </w:r>
          </w:p>
        </w:tc>
        <w:tc>
          <w:tcPr>
            <w:tcW w:w="1144" w:type="dxa"/>
          </w:tcPr>
          <w:p w14:paraId="31BBFF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2888" w:type="dxa"/>
          </w:tcPr>
          <w:p w14:paraId="14483C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МДР-6-2М62 и 63</w:t>
            </w:r>
          </w:p>
        </w:tc>
        <w:tc>
          <w:tcPr>
            <w:tcW w:w="1651" w:type="dxa"/>
          </w:tcPr>
          <w:p w14:paraId="32472B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6F6E4E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r>
      <w:tr w:rsidR="007D5DF8" w:rsidRPr="00DB5D0D" w14:paraId="11917CA5" w14:textId="77777777" w:rsidTr="009223E5">
        <w:tc>
          <w:tcPr>
            <w:tcW w:w="2235" w:type="dxa"/>
          </w:tcPr>
          <w:p w14:paraId="0C381B4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5F7AACE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004748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МДР6-Б2М105</w:t>
            </w:r>
          </w:p>
        </w:tc>
        <w:tc>
          <w:tcPr>
            <w:tcW w:w="1651" w:type="dxa"/>
          </w:tcPr>
          <w:p w14:paraId="49AB73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516E5A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5400</w:t>
            </w:r>
          </w:p>
        </w:tc>
      </w:tr>
      <w:tr w:rsidR="007D5DF8" w:rsidRPr="00DB5D0D" w14:paraId="36125BD8" w14:textId="77777777" w:rsidTr="009223E5">
        <w:tc>
          <w:tcPr>
            <w:tcW w:w="2235" w:type="dxa"/>
          </w:tcPr>
          <w:p w14:paraId="1567919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414A45C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59637B9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5888642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037838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r>
      <w:tr w:rsidR="007D5DF8" w:rsidRPr="00DB5D0D" w14:paraId="0B1C4A93" w14:textId="77777777" w:rsidTr="009223E5">
        <w:tc>
          <w:tcPr>
            <w:tcW w:w="2235" w:type="dxa"/>
          </w:tcPr>
          <w:p w14:paraId="795A45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Бериев</w:t>
            </w:r>
          </w:p>
        </w:tc>
        <w:tc>
          <w:tcPr>
            <w:tcW w:w="1144" w:type="dxa"/>
          </w:tcPr>
          <w:p w14:paraId="172C56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2888" w:type="dxa"/>
          </w:tcPr>
          <w:p w14:paraId="1AF959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КОР2-М63</w:t>
            </w:r>
          </w:p>
        </w:tc>
        <w:tc>
          <w:tcPr>
            <w:tcW w:w="1651" w:type="dxa"/>
          </w:tcPr>
          <w:p w14:paraId="6AEB03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539" w:type="dxa"/>
          </w:tcPr>
          <w:p w14:paraId="54EC5F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4AE060E2" w14:textId="77777777" w:rsidTr="009223E5">
        <w:tc>
          <w:tcPr>
            <w:tcW w:w="2235" w:type="dxa"/>
          </w:tcPr>
          <w:p w14:paraId="5765A2A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711D8B7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157BB0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МБР7-М103 с ламинарн.</w:t>
            </w:r>
          </w:p>
        </w:tc>
        <w:tc>
          <w:tcPr>
            <w:tcW w:w="1651" w:type="dxa"/>
          </w:tcPr>
          <w:p w14:paraId="452033C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7F6E708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27E50D7" w14:textId="77777777" w:rsidTr="009223E5">
        <w:tc>
          <w:tcPr>
            <w:tcW w:w="2235" w:type="dxa"/>
          </w:tcPr>
          <w:p w14:paraId="1CF1969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7B2B0C8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3D8D54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крылом</w:t>
            </w:r>
          </w:p>
        </w:tc>
        <w:tc>
          <w:tcPr>
            <w:tcW w:w="1651" w:type="dxa"/>
          </w:tcPr>
          <w:p w14:paraId="71DED7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0D070C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35B1CA94" w14:textId="77777777" w:rsidTr="009223E5">
        <w:tc>
          <w:tcPr>
            <w:tcW w:w="2235" w:type="dxa"/>
          </w:tcPr>
          <w:p w14:paraId="22F03BF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753885B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146E65F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Pr>
          <w:p w14:paraId="6A49ABA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274C50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r>
      <w:tr w:rsidR="007D5DF8" w:rsidRPr="00DB5D0D" w14:paraId="2B42D3B1" w14:textId="77777777" w:rsidTr="009223E5">
        <w:tc>
          <w:tcPr>
            <w:tcW w:w="2235" w:type="dxa"/>
          </w:tcPr>
          <w:p w14:paraId="00B56E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Бакшаев</w:t>
            </w:r>
          </w:p>
        </w:tc>
        <w:tc>
          <w:tcPr>
            <w:tcW w:w="1144" w:type="dxa"/>
          </w:tcPr>
          <w:p w14:paraId="4B5C08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2888" w:type="dxa"/>
          </w:tcPr>
          <w:p w14:paraId="24C1C9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Планер с раздвижным</w:t>
            </w:r>
          </w:p>
        </w:tc>
        <w:tc>
          <w:tcPr>
            <w:tcW w:w="1651" w:type="dxa"/>
          </w:tcPr>
          <w:p w14:paraId="395ACC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539" w:type="dxa"/>
          </w:tcPr>
          <w:p w14:paraId="6B5B5E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D7D2472" w14:textId="77777777" w:rsidTr="009223E5">
        <w:tc>
          <w:tcPr>
            <w:tcW w:w="2235" w:type="dxa"/>
          </w:tcPr>
          <w:p w14:paraId="3DC0017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Pr>
          <w:p w14:paraId="0A044B9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Pr>
          <w:p w14:paraId="61D44C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крылом</w:t>
            </w:r>
          </w:p>
        </w:tc>
        <w:tc>
          <w:tcPr>
            <w:tcW w:w="1651" w:type="dxa"/>
          </w:tcPr>
          <w:p w14:paraId="2885AFE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Pr>
          <w:p w14:paraId="2BB9AF0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9922370" w14:textId="77777777" w:rsidTr="009223E5">
        <w:tc>
          <w:tcPr>
            <w:tcW w:w="2235" w:type="dxa"/>
            <w:tcBorders>
              <w:bottom w:val="single" w:sz="12" w:space="0" w:color="auto"/>
            </w:tcBorders>
          </w:tcPr>
          <w:p w14:paraId="14EBEF0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44" w:type="dxa"/>
            <w:tcBorders>
              <w:bottom w:val="single" w:sz="12" w:space="0" w:color="auto"/>
            </w:tcBorders>
          </w:tcPr>
          <w:p w14:paraId="3A3D893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88" w:type="dxa"/>
            <w:tcBorders>
              <w:bottom w:val="single" w:sz="12" w:space="0" w:color="auto"/>
            </w:tcBorders>
          </w:tcPr>
          <w:p w14:paraId="65C5696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651" w:type="dxa"/>
            <w:tcBorders>
              <w:bottom w:val="single" w:sz="12" w:space="0" w:color="auto"/>
            </w:tcBorders>
          </w:tcPr>
          <w:p w14:paraId="616A7D1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539" w:type="dxa"/>
            <w:tcBorders>
              <w:bottom w:val="single" w:sz="12" w:space="0" w:color="auto"/>
            </w:tcBorders>
          </w:tcPr>
          <w:p w14:paraId="4D4EF8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152550</w:t>
            </w:r>
          </w:p>
        </w:tc>
      </w:tr>
    </w:tbl>
    <w:p w14:paraId="26667F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начальника 7-го Гл. управления С. Шишкин) (2500,82).</w:t>
      </w:r>
    </w:p>
    <w:p w14:paraId="45451F8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D64A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Секретарь 7 ГУ Шведова направила Нач. ЦФУ Хавину и Нач. ПЭУ Водяницкому письмо N 1029:</w:t>
      </w:r>
    </w:p>
    <w:p w14:paraId="4303DB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сем препровождается ведомость распределения ассигнований на работы по опытному самолетостроению на 1940." (874):</w:t>
      </w:r>
    </w:p>
    <w:p w14:paraId="05F773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была подготовлена Ведомость распределения ассигнований на работы по плану опытного самолетостроения на 1940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1105"/>
        <w:gridCol w:w="3856"/>
        <w:gridCol w:w="1174"/>
        <w:gridCol w:w="1805"/>
      </w:tblGrid>
      <w:tr w:rsidR="007D5DF8" w:rsidRPr="00DB5D0D" w14:paraId="3B8874A0" w14:textId="77777777" w:rsidTr="009223E5">
        <w:tc>
          <w:tcPr>
            <w:tcW w:w="2518" w:type="dxa"/>
            <w:tcBorders>
              <w:top w:val="single" w:sz="12" w:space="0" w:color="auto"/>
            </w:tcBorders>
          </w:tcPr>
          <w:p w14:paraId="0123CB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w:t>
            </w:r>
          </w:p>
        </w:tc>
        <w:tc>
          <w:tcPr>
            <w:tcW w:w="1105" w:type="dxa"/>
            <w:tcBorders>
              <w:top w:val="single" w:sz="12" w:space="0" w:color="auto"/>
            </w:tcBorders>
          </w:tcPr>
          <w:p w14:paraId="5532C5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NN заводов</w:t>
            </w:r>
          </w:p>
        </w:tc>
        <w:tc>
          <w:tcPr>
            <w:tcW w:w="3856" w:type="dxa"/>
            <w:tcBorders>
              <w:top w:val="single" w:sz="12" w:space="0" w:color="auto"/>
            </w:tcBorders>
          </w:tcPr>
          <w:p w14:paraId="17D007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Шифр самолета</w:t>
            </w:r>
          </w:p>
        </w:tc>
        <w:tc>
          <w:tcPr>
            <w:tcW w:w="1174" w:type="dxa"/>
            <w:tcBorders>
              <w:top w:val="single" w:sz="12" w:space="0" w:color="auto"/>
            </w:tcBorders>
          </w:tcPr>
          <w:p w14:paraId="22AD9E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w:t>
            </w:r>
          </w:p>
        </w:tc>
        <w:tc>
          <w:tcPr>
            <w:tcW w:w="1805" w:type="dxa"/>
            <w:tcBorders>
              <w:top w:val="single" w:sz="12" w:space="0" w:color="auto"/>
            </w:tcBorders>
          </w:tcPr>
          <w:p w14:paraId="799DF3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Сумма</w:t>
            </w:r>
          </w:p>
        </w:tc>
      </w:tr>
      <w:tr w:rsidR="007D5DF8" w:rsidRPr="00DB5D0D" w14:paraId="528AE7CF" w14:textId="77777777" w:rsidTr="009223E5">
        <w:tc>
          <w:tcPr>
            <w:tcW w:w="2518" w:type="dxa"/>
          </w:tcPr>
          <w:p w14:paraId="7CEEEA7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74A627A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254D24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мотора</w:t>
            </w:r>
          </w:p>
        </w:tc>
        <w:tc>
          <w:tcPr>
            <w:tcW w:w="1174" w:type="dxa"/>
          </w:tcPr>
          <w:p w14:paraId="1B8366B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1B09659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2F4E0B1" w14:textId="77777777" w:rsidTr="009223E5">
        <w:tc>
          <w:tcPr>
            <w:tcW w:w="2518" w:type="dxa"/>
          </w:tcPr>
          <w:p w14:paraId="35EBD2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Яковлев</w:t>
            </w:r>
          </w:p>
        </w:tc>
        <w:tc>
          <w:tcPr>
            <w:tcW w:w="1105" w:type="dxa"/>
          </w:tcPr>
          <w:p w14:paraId="32F784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3856" w:type="dxa"/>
          </w:tcPr>
          <w:p w14:paraId="5CAA4E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И-26-М105П</w:t>
            </w:r>
          </w:p>
        </w:tc>
        <w:tc>
          <w:tcPr>
            <w:tcW w:w="1174" w:type="dxa"/>
          </w:tcPr>
          <w:p w14:paraId="0C8D64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805" w:type="dxa"/>
          </w:tcPr>
          <w:p w14:paraId="275D57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6600</w:t>
            </w:r>
          </w:p>
        </w:tc>
      </w:tr>
      <w:tr w:rsidR="007D5DF8" w:rsidRPr="00DB5D0D" w14:paraId="02B12986" w14:textId="77777777" w:rsidTr="009223E5">
        <w:tc>
          <w:tcPr>
            <w:tcW w:w="2518" w:type="dxa"/>
          </w:tcPr>
          <w:p w14:paraId="475CB4A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4A8C2A8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7E48B3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И26-М107</w:t>
            </w:r>
          </w:p>
        </w:tc>
        <w:tc>
          <w:tcPr>
            <w:tcW w:w="1174" w:type="dxa"/>
          </w:tcPr>
          <w:p w14:paraId="46292D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34BAF0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16530630" w14:textId="77777777" w:rsidTr="009223E5">
        <w:tc>
          <w:tcPr>
            <w:tcW w:w="2518" w:type="dxa"/>
          </w:tcPr>
          <w:p w14:paraId="61929E0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50C5035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311D92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ДИ26-М105П</w:t>
            </w:r>
          </w:p>
        </w:tc>
        <w:tc>
          <w:tcPr>
            <w:tcW w:w="1174" w:type="dxa"/>
          </w:tcPr>
          <w:p w14:paraId="56850C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4945D0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r>
      <w:tr w:rsidR="007D5DF8" w:rsidRPr="00DB5D0D" w14:paraId="6149BDDD" w14:textId="77777777" w:rsidTr="009223E5">
        <w:tc>
          <w:tcPr>
            <w:tcW w:w="2518" w:type="dxa"/>
          </w:tcPr>
          <w:p w14:paraId="0A21183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32AB838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78E086D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58A1A89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4CCCA1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12100</w:t>
            </w:r>
          </w:p>
        </w:tc>
      </w:tr>
      <w:tr w:rsidR="007D5DF8" w:rsidRPr="00DB5D0D" w14:paraId="48B2479F" w14:textId="77777777" w:rsidTr="009223E5">
        <w:tc>
          <w:tcPr>
            <w:tcW w:w="2518" w:type="dxa"/>
          </w:tcPr>
          <w:p w14:paraId="6505B5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Поликарпов</w:t>
            </w:r>
          </w:p>
        </w:tc>
        <w:tc>
          <w:tcPr>
            <w:tcW w:w="1105" w:type="dxa"/>
          </w:tcPr>
          <w:p w14:paraId="272236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3856" w:type="dxa"/>
          </w:tcPr>
          <w:p w14:paraId="668BAC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И180-М88Р</w:t>
            </w:r>
          </w:p>
        </w:tc>
        <w:tc>
          <w:tcPr>
            <w:tcW w:w="1174" w:type="dxa"/>
          </w:tcPr>
          <w:p w14:paraId="176979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446A9A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51A2EB95" w14:textId="77777777" w:rsidTr="009223E5">
        <w:tc>
          <w:tcPr>
            <w:tcW w:w="2518" w:type="dxa"/>
          </w:tcPr>
          <w:p w14:paraId="7A726F4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13250DA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0F89A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И190-М88</w:t>
            </w:r>
          </w:p>
        </w:tc>
        <w:tc>
          <w:tcPr>
            <w:tcW w:w="1174" w:type="dxa"/>
          </w:tcPr>
          <w:p w14:paraId="2E9ECD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1D333C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1381E5A0" w14:textId="77777777" w:rsidTr="009223E5">
        <w:tc>
          <w:tcPr>
            <w:tcW w:w="2518" w:type="dxa"/>
          </w:tcPr>
          <w:p w14:paraId="72348AD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64C05B6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427EBE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И185-М90</w:t>
            </w:r>
          </w:p>
        </w:tc>
        <w:tc>
          <w:tcPr>
            <w:tcW w:w="1174" w:type="dxa"/>
          </w:tcPr>
          <w:p w14:paraId="136AB6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805" w:type="dxa"/>
          </w:tcPr>
          <w:p w14:paraId="7FE872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6500</w:t>
            </w:r>
          </w:p>
        </w:tc>
      </w:tr>
      <w:tr w:rsidR="007D5DF8" w:rsidRPr="00DB5D0D" w14:paraId="0787B96F" w14:textId="77777777" w:rsidTr="009223E5">
        <w:tc>
          <w:tcPr>
            <w:tcW w:w="2518" w:type="dxa"/>
          </w:tcPr>
          <w:p w14:paraId="7952F6E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7ED5E1B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6E410A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И153-М62 дер. фюз.</w:t>
            </w:r>
          </w:p>
        </w:tc>
        <w:tc>
          <w:tcPr>
            <w:tcW w:w="1174" w:type="dxa"/>
          </w:tcPr>
          <w:p w14:paraId="503D26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54EC47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383</w:t>
            </w:r>
          </w:p>
        </w:tc>
      </w:tr>
      <w:tr w:rsidR="007D5DF8" w:rsidRPr="00DB5D0D" w14:paraId="45FB4DF7" w14:textId="77777777" w:rsidTr="009223E5">
        <w:tc>
          <w:tcPr>
            <w:tcW w:w="2518" w:type="dxa"/>
          </w:tcPr>
          <w:p w14:paraId="7CE1802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71FE7E8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4B4824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И153-М63 герм. каб.</w:t>
            </w:r>
          </w:p>
        </w:tc>
        <w:tc>
          <w:tcPr>
            <w:tcW w:w="1174" w:type="dxa"/>
          </w:tcPr>
          <w:p w14:paraId="29A79C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1E3A84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943</w:t>
            </w:r>
          </w:p>
        </w:tc>
      </w:tr>
      <w:tr w:rsidR="007D5DF8" w:rsidRPr="00DB5D0D" w14:paraId="76B494B9" w14:textId="77777777" w:rsidTr="009223E5">
        <w:tc>
          <w:tcPr>
            <w:tcW w:w="2518" w:type="dxa"/>
          </w:tcPr>
          <w:p w14:paraId="54EAE08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51B4BF8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1E23D2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И153-М62 штурм. подв.</w:t>
            </w:r>
          </w:p>
        </w:tc>
        <w:tc>
          <w:tcPr>
            <w:tcW w:w="1174" w:type="dxa"/>
          </w:tcPr>
          <w:p w14:paraId="5F6127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2D321D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179</w:t>
            </w:r>
          </w:p>
        </w:tc>
      </w:tr>
      <w:tr w:rsidR="007D5DF8" w:rsidRPr="00DB5D0D" w14:paraId="0C5E8E2C" w14:textId="77777777" w:rsidTr="009223E5">
        <w:tc>
          <w:tcPr>
            <w:tcW w:w="2518" w:type="dxa"/>
          </w:tcPr>
          <w:p w14:paraId="08BA710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738FAC4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69D209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И153-М62 с пул. Березина</w:t>
            </w:r>
          </w:p>
        </w:tc>
        <w:tc>
          <w:tcPr>
            <w:tcW w:w="1174" w:type="dxa"/>
          </w:tcPr>
          <w:p w14:paraId="39B3D9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439D80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w:t>
            </w:r>
          </w:p>
        </w:tc>
      </w:tr>
      <w:tr w:rsidR="007D5DF8" w:rsidRPr="00DB5D0D" w14:paraId="1F3B02CA" w14:textId="77777777" w:rsidTr="009223E5">
        <w:tc>
          <w:tcPr>
            <w:tcW w:w="2518" w:type="dxa"/>
          </w:tcPr>
          <w:p w14:paraId="2280E43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45C098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3856" w:type="dxa"/>
          </w:tcPr>
          <w:p w14:paraId="08B0FE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СПБ-2М105</w:t>
            </w:r>
          </w:p>
        </w:tc>
        <w:tc>
          <w:tcPr>
            <w:tcW w:w="1174" w:type="dxa"/>
          </w:tcPr>
          <w:p w14:paraId="091F6A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1541FA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3120</w:t>
            </w:r>
          </w:p>
        </w:tc>
      </w:tr>
      <w:tr w:rsidR="007D5DF8" w:rsidRPr="00DB5D0D" w14:paraId="32D1CC25" w14:textId="77777777" w:rsidTr="009223E5">
        <w:tc>
          <w:tcPr>
            <w:tcW w:w="2518" w:type="dxa"/>
          </w:tcPr>
          <w:p w14:paraId="35E6B27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6E5A143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10C756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СПБ-2М37</w:t>
            </w:r>
          </w:p>
        </w:tc>
        <w:tc>
          <w:tcPr>
            <w:tcW w:w="1174" w:type="dxa"/>
          </w:tcPr>
          <w:p w14:paraId="4A4108E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3BFEA37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28F6A90" w14:textId="77777777" w:rsidTr="009223E5">
        <w:tc>
          <w:tcPr>
            <w:tcW w:w="2518" w:type="dxa"/>
          </w:tcPr>
          <w:p w14:paraId="35917EF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29C05CD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53B663C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171F4BB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26A8BE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12700</w:t>
            </w:r>
          </w:p>
        </w:tc>
      </w:tr>
      <w:tr w:rsidR="007D5DF8" w:rsidRPr="00DB5D0D" w14:paraId="4741C212" w14:textId="77777777" w:rsidTr="009223E5">
        <w:tc>
          <w:tcPr>
            <w:tcW w:w="2518" w:type="dxa"/>
          </w:tcPr>
          <w:p w14:paraId="42F7E3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Ильюшин</w:t>
            </w:r>
          </w:p>
        </w:tc>
        <w:tc>
          <w:tcPr>
            <w:tcW w:w="1105" w:type="dxa"/>
          </w:tcPr>
          <w:p w14:paraId="3ADF0F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3856" w:type="dxa"/>
          </w:tcPr>
          <w:p w14:paraId="1A69FE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ДБ4-2М120ТК</w:t>
            </w:r>
          </w:p>
        </w:tc>
        <w:tc>
          <w:tcPr>
            <w:tcW w:w="1174" w:type="dxa"/>
          </w:tcPr>
          <w:p w14:paraId="6F6772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6E90E2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r>
      <w:tr w:rsidR="007D5DF8" w:rsidRPr="00DB5D0D" w14:paraId="78D03C79" w14:textId="77777777" w:rsidTr="009223E5">
        <w:tc>
          <w:tcPr>
            <w:tcW w:w="2518" w:type="dxa"/>
          </w:tcPr>
          <w:p w14:paraId="40BF11C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7D19754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54B40B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БШ-АМ35</w:t>
            </w:r>
          </w:p>
        </w:tc>
        <w:tc>
          <w:tcPr>
            <w:tcW w:w="1174" w:type="dxa"/>
          </w:tcPr>
          <w:p w14:paraId="1A26C2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5BFC4A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535592EA" w14:textId="77777777" w:rsidTr="009223E5">
        <w:tc>
          <w:tcPr>
            <w:tcW w:w="2518" w:type="dxa"/>
          </w:tcPr>
          <w:p w14:paraId="67ACDF6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6E03263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09DD13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ДБ3Ф-2М88</w:t>
            </w:r>
          </w:p>
        </w:tc>
        <w:tc>
          <w:tcPr>
            <w:tcW w:w="1174" w:type="dxa"/>
          </w:tcPr>
          <w:p w14:paraId="013C06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76CDE1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F4FE6E1" w14:textId="77777777" w:rsidTr="009223E5">
        <w:tc>
          <w:tcPr>
            <w:tcW w:w="2518" w:type="dxa"/>
          </w:tcPr>
          <w:p w14:paraId="14F1EDA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203706E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7A114AB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046D786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76AFBF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11500</w:t>
            </w:r>
          </w:p>
        </w:tc>
      </w:tr>
      <w:tr w:rsidR="007D5DF8" w:rsidRPr="00DB5D0D" w14:paraId="4EE9C912" w14:textId="77777777" w:rsidTr="009223E5">
        <w:tc>
          <w:tcPr>
            <w:tcW w:w="2518" w:type="dxa"/>
          </w:tcPr>
          <w:p w14:paraId="475932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Сухой</w:t>
            </w:r>
          </w:p>
        </w:tc>
        <w:tc>
          <w:tcPr>
            <w:tcW w:w="1105" w:type="dxa"/>
          </w:tcPr>
          <w:p w14:paraId="43FD21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3856" w:type="dxa"/>
          </w:tcPr>
          <w:p w14:paraId="60F480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И135-М105П-ТК</w:t>
            </w:r>
          </w:p>
        </w:tc>
        <w:tc>
          <w:tcPr>
            <w:tcW w:w="1174" w:type="dxa"/>
          </w:tcPr>
          <w:p w14:paraId="1EE2AD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792300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w:t>
            </w:r>
          </w:p>
        </w:tc>
      </w:tr>
      <w:tr w:rsidR="007D5DF8" w:rsidRPr="00DB5D0D" w14:paraId="3C99972E" w14:textId="77777777" w:rsidTr="009223E5">
        <w:tc>
          <w:tcPr>
            <w:tcW w:w="2518" w:type="dxa"/>
          </w:tcPr>
          <w:p w14:paraId="79D3856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42B11C9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1FA320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ББ1-М88</w:t>
            </w:r>
          </w:p>
        </w:tc>
        <w:tc>
          <w:tcPr>
            <w:tcW w:w="1174" w:type="dxa"/>
          </w:tcPr>
          <w:p w14:paraId="502979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62323E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187CD843" w14:textId="77777777" w:rsidTr="009223E5">
        <w:tc>
          <w:tcPr>
            <w:tcW w:w="2518" w:type="dxa"/>
          </w:tcPr>
          <w:p w14:paraId="6B49A0B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02A87B7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1495EB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ББ3-М90</w:t>
            </w:r>
          </w:p>
        </w:tc>
        <w:tc>
          <w:tcPr>
            <w:tcW w:w="1174" w:type="dxa"/>
          </w:tcPr>
          <w:p w14:paraId="566E36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5D3014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w:t>
            </w:r>
          </w:p>
        </w:tc>
      </w:tr>
      <w:tr w:rsidR="007D5DF8" w:rsidRPr="00DB5D0D" w14:paraId="6E8F3988" w14:textId="77777777" w:rsidTr="009223E5">
        <w:tc>
          <w:tcPr>
            <w:tcW w:w="2518" w:type="dxa"/>
          </w:tcPr>
          <w:p w14:paraId="0881510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640DD5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3856" w:type="dxa"/>
          </w:tcPr>
          <w:p w14:paraId="01CA41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ББ2-М88</w:t>
            </w:r>
          </w:p>
        </w:tc>
        <w:tc>
          <w:tcPr>
            <w:tcW w:w="1174" w:type="dxa"/>
          </w:tcPr>
          <w:p w14:paraId="47374A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2F29B8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1800</w:t>
            </w:r>
          </w:p>
        </w:tc>
      </w:tr>
      <w:tr w:rsidR="007D5DF8" w:rsidRPr="00DB5D0D" w14:paraId="1A583673" w14:textId="77777777" w:rsidTr="009223E5">
        <w:tc>
          <w:tcPr>
            <w:tcW w:w="2518" w:type="dxa"/>
          </w:tcPr>
          <w:p w14:paraId="079F0A0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7B5046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3856" w:type="dxa"/>
          </w:tcPr>
          <w:p w14:paraId="519FDB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ОБШ-М71</w:t>
            </w:r>
          </w:p>
        </w:tc>
        <w:tc>
          <w:tcPr>
            <w:tcW w:w="1174" w:type="dxa"/>
          </w:tcPr>
          <w:p w14:paraId="7CB854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469342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4250</w:t>
            </w:r>
          </w:p>
        </w:tc>
      </w:tr>
      <w:tr w:rsidR="007D5DF8" w:rsidRPr="00DB5D0D" w14:paraId="33E43382" w14:textId="77777777" w:rsidTr="009223E5">
        <w:tc>
          <w:tcPr>
            <w:tcW w:w="2518" w:type="dxa"/>
          </w:tcPr>
          <w:p w14:paraId="452D869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7E90F3C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19E5A1A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1976E3D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010EE7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13550</w:t>
            </w:r>
          </w:p>
        </w:tc>
      </w:tr>
      <w:tr w:rsidR="007D5DF8" w:rsidRPr="00DB5D0D" w14:paraId="16F9C6C1" w14:textId="77777777" w:rsidTr="009223E5">
        <w:tc>
          <w:tcPr>
            <w:tcW w:w="2518" w:type="dxa"/>
          </w:tcPr>
          <w:p w14:paraId="5498D5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Архангельский</w:t>
            </w:r>
          </w:p>
        </w:tc>
        <w:tc>
          <w:tcPr>
            <w:tcW w:w="1105" w:type="dxa"/>
          </w:tcPr>
          <w:p w14:paraId="0650C0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3856" w:type="dxa"/>
          </w:tcPr>
          <w:p w14:paraId="62E5CA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СБ2-2М105ТК ("Б")</w:t>
            </w:r>
          </w:p>
        </w:tc>
        <w:tc>
          <w:tcPr>
            <w:tcW w:w="1174" w:type="dxa"/>
          </w:tcPr>
          <w:p w14:paraId="2495BD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1F8A48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6100</w:t>
            </w:r>
          </w:p>
        </w:tc>
      </w:tr>
      <w:tr w:rsidR="007D5DF8" w:rsidRPr="00DB5D0D" w14:paraId="055A7C4F" w14:textId="77777777" w:rsidTr="009223E5">
        <w:tc>
          <w:tcPr>
            <w:tcW w:w="2518" w:type="dxa"/>
          </w:tcPr>
          <w:p w14:paraId="074A92E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52F2C25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461691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СБ2М105 уст. ТК</w:t>
            </w:r>
          </w:p>
        </w:tc>
        <w:tc>
          <w:tcPr>
            <w:tcW w:w="1174" w:type="dxa"/>
          </w:tcPr>
          <w:p w14:paraId="6ADF35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102563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4D12D36" w14:textId="77777777" w:rsidTr="009223E5">
        <w:tc>
          <w:tcPr>
            <w:tcW w:w="2518" w:type="dxa"/>
          </w:tcPr>
          <w:p w14:paraId="7B5F96B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1D252D1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3640948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668E63C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7F9651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6100</w:t>
            </w:r>
          </w:p>
        </w:tc>
      </w:tr>
      <w:tr w:rsidR="007D5DF8" w:rsidRPr="00DB5D0D" w14:paraId="0B0F5A5E" w14:textId="77777777" w:rsidTr="009223E5">
        <w:tc>
          <w:tcPr>
            <w:tcW w:w="2518" w:type="dxa"/>
          </w:tcPr>
          <w:p w14:paraId="27C05B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6. Таиров</w:t>
            </w:r>
          </w:p>
        </w:tc>
        <w:tc>
          <w:tcPr>
            <w:tcW w:w="1105" w:type="dxa"/>
          </w:tcPr>
          <w:p w14:paraId="19791F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3856" w:type="dxa"/>
          </w:tcPr>
          <w:p w14:paraId="56AF0B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ОКО6-2М88</w:t>
            </w:r>
          </w:p>
        </w:tc>
        <w:tc>
          <w:tcPr>
            <w:tcW w:w="1174" w:type="dxa"/>
          </w:tcPr>
          <w:p w14:paraId="144F45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40229D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4600</w:t>
            </w:r>
          </w:p>
        </w:tc>
      </w:tr>
      <w:tr w:rsidR="007D5DF8" w:rsidRPr="00DB5D0D" w14:paraId="245E1C55" w14:textId="77777777" w:rsidTr="009223E5">
        <w:tc>
          <w:tcPr>
            <w:tcW w:w="2518" w:type="dxa"/>
          </w:tcPr>
          <w:p w14:paraId="670A804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18E7B2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3856" w:type="dxa"/>
          </w:tcPr>
          <w:p w14:paraId="0BC262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ОКО8-М90</w:t>
            </w:r>
          </w:p>
        </w:tc>
        <w:tc>
          <w:tcPr>
            <w:tcW w:w="1174" w:type="dxa"/>
          </w:tcPr>
          <w:p w14:paraId="3B5212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5694C5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6500</w:t>
            </w:r>
          </w:p>
        </w:tc>
      </w:tr>
      <w:tr w:rsidR="007D5DF8" w:rsidRPr="00DB5D0D" w14:paraId="365AC326" w14:textId="77777777" w:rsidTr="009223E5">
        <w:tc>
          <w:tcPr>
            <w:tcW w:w="2518" w:type="dxa"/>
          </w:tcPr>
          <w:p w14:paraId="4971A47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27BE92C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55112B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ОКО6-2М90 (модиф.)</w:t>
            </w:r>
          </w:p>
        </w:tc>
        <w:tc>
          <w:tcPr>
            <w:tcW w:w="1174" w:type="dxa"/>
          </w:tcPr>
          <w:p w14:paraId="0EBF37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05" w:type="dxa"/>
          </w:tcPr>
          <w:p w14:paraId="58B86D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87ACBC5" w14:textId="77777777" w:rsidTr="009223E5">
        <w:tc>
          <w:tcPr>
            <w:tcW w:w="2518" w:type="dxa"/>
          </w:tcPr>
          <w:p w14:paraId="52FD4DD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5A9F099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223ED3D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5F50F87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405859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11100</w:t>
            </w:r>
          </w:p>
        </w:tc>
      </w:tr>
      <w:tr w:rsidR="007D5DF8" w:rsidRPr="00DB5D0D" w14:paraId="726035FF" w14:textId="77777777" w:rsidTr="009223E5">
        <w:tc>
          <w:tcPr>
            <w:tcW w:w="2518" w:type="dxa"/>
          </w:tcPr>
          <w:p w14:paraId="39E80F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Яценко</w:t>
            </w:r>
          </w:p>
        </w:tc>
        <w:tc>
          <w:tcPr>
            <w:tcW w:w="1105" w:type="dxa"/>
          </w:tcPr>
          <w:p w14:paraId="16A467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3856" w:type="dxa"/>
          </w:tcPr>
          <w:p w14:paraId="3C1C7A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И28-М88Р</w:t>
            </w:r>
          </w:p>
        </w:tc>
        <w:tc>
          <w:tcPr>
            <w:tcW w:w="1174" w:type="dxa"/>
          </w:tcPr>
          <w:p w14:paraId="2B906B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5E68B7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15CC7A65" w14:textId="77777777" w:rsidTr="009223E5">
        <w:tc>
          <w:tcPr>
            <w:tcW w:w="2518" w:type="dxa"/>
          </w:tcPr>
          <w:p w14:paraId="7004618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731DAB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Саркомбайн</w:t>
            </w:r>
          </w:p>
        </w:tc>
        <w:tc>
          <w:tcPr>
            <w:tcW w:w="3856" w:type="dxa"/>
          </w:tcPr>
          <w:p w14:paraId="5444FC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И28-2М90</w:t>
            </w:r>
          </w:p>
        </w:tc>
        <w:tc>
          <w:tcPr>
            <w:tcW w:w="1174" w:type="dxa"/>
          </w:tcPr>
          <w:p w14:paraId="758C78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28EC8C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04868D2A" w14:textId="77777777" w:rsidTr="009223E5">
        <w:tc>
          <w:tcPr>
            <w:tcW w:w="2518" w:type="dxa"/>
          </w:tcPr>
          <w:p w14:paraId="608028B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2FA5EA6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0B1DBAE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0E96CDD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4A644A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r>
      <w:tr w:rsidR="007D5DF8" w:rsidRPr="00DB5D0D" w14:paraId="0C6E1BCA" w14:textId="77777777" w:rsidTr="009223E5">
        <w:tc>
          <w:tcPr>
            <w:tcW w:w="2518" w:type="dxa"/>
          </w:tcPr>
          <w:p w14:paraId="38E225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Микоян, Гуревич</w:t>
            </w:r>
          </w:p>
        </w:tc>
        <w:tc>
          <w:tcPr>
            <w:tcW w:w="1105" w:type="dxa"/>
          </w:tcPr>
          <w:p w14:paraId="56C678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3856" w:type="dxa"/>
          </w:tcPr>
          <w:p w14:paraId="170598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И200-АМ37</w:t>
            </w:r>
          </w:p>
        </w:tc>
        <w:tc>
          <w:tcPr>
            <w:tcW w:w="1174" w:type="dxa"/>
          </w:tcPr>
          <w:p w14:paraId="4CA711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805" w:type="dxa"/>
          </w:tcPr>
          <w:p w14:paraId="404404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r>
      <w:tr w:rsidR="007D5DF8" w:rsidRPr="00DB5D0D" w14:paraId="648775A1" w14:textId="77777777" w:rsidTr="009223E5">
        <w:tc>
          <w:tcPr>
            <w:tcW w:w="2518" w:type="dxa"/>
          </w:tcPr>
          <w:p w14:paraId="772CD4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Беляев</w:t>
            </w:r>
          </w:p>
        </w:tc>
        <w:tc>
          <w:tcPr>
            <w:tcW w:w="1105" w:type="dxa"/>
          </w:tcPr>
          <w:p w14:paraId="0DD09F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3856" w:type="dxa"/>
          </w:tcPr>
          <w:p w14:paraId="178450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ЭИ-М105</w:t>
            </w:r>
          </w:p>
        </w:tc>
        <w:tc>
          <w:tcPr>
            <w:tcW w:w="1174" w:type="dxa"/>
          </w:tcPr>
          <w:p w14:paraId="4A1EF3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207C88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r>
      <w:tr w:rsidR="007D5DF8" w:rsidRPr="00DB5D0D" w14:paraId="23329D57" w14:textId="77777777" w:rsidTr="009223E5">
        <w:tc>
          <w:tcPr>
            <w:tcW w:w="2518" w:type="dxa"/>
          </w:tcPr>
          <w:p w14:paraId="3BB87D4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2FAAD3D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478D26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ДБЛК-2М88</w:t>
            </w:r>
          </w:p>
        </w:tc>
        <w:tc>
          <w:tcPr>
            <w:tcW w:w="1174" w:type="dxa"/>
          </w:tcPr>
          <w:p w14:paraId="0D1D69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3C65A9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5FC5CEA1" w14:textId="77777777" w:rsidTr="009223E5">
        <w:tc>
          <w:tcPr>
            <w:tcW w:w="2518" w:type="dxa"/>
          </w:tcPr>
          <w:p w14:paraId="67CAD77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6BB8C74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2AC28AF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045B312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397886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5500</w:t>
            </w:r>
          </w:p>
        </w:tc>
      </w:tr>
      <w:tr w:rsidR="007D5DF8" w:rsidRPr="00DB5D0D" w14:paraId="39DE4AF1" w14:textId="77777777" w:rsidTr="009223E5">
        <w:tc>
          <w:tcPr>
            <w:tcW w:w="2518" w:type="dxa"/>
          </w:tcPr>
          <w:p w14:paraId="4294E4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Пашинин</w:t>
            </w:r>
          </w:p>
        </w:tc>
        <w:tc>
          <w:tcPr>
            <w:tcW w:w="1105" w:type="dxa"/>
          </w:tcPr>
          <w:p w14:paraId="650875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3856" w:type="dxa"/>
          </w:tcPr>
          <w:p w14:paraId="109693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И21-М105</w:t>
            </w:r>
          </w:p>
        </w:tc>
        <w:tc>
          <w:tcPr>
            <w:tcW w:w="1174" w:type="dxa"/>
          </w:tcPr>
          <w:p w14:paraId="7BAA93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59E4CE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3800</w:t>
            </w:r>
          </w:p>
        </w:tc>
      </w:tr>
      <w:tr w:rsidR="007D5DF8" w:rsidRPr="00DB5D0D" w14:paraId="033DE2AF" w14:textId="77777777" w:rsidTr="009223E5">
        <w:tc>
          <w:tcPr>
            <w:tcW w:w="2518" w:type="dxa"/>
          </w:tcPr>
          <w:p w14:paraId="1FEDC9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Болховитинов</w:t>
            </w:r>
          </w:p>
        </w:tc>
        <w:tc>
          <w:tcPr>
            <w:tcW w:w="1105" w:type="dxa"/>
          </w:tcPr>
          <w:p w14:paraId="00555E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3856" w:type="dxa"/>
          </w:tcPr>
          <w:p w14:paraId="6618F5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ББ"С"-2М103</w:t>
            </w:r>
          </w:p>
        </w:tc>
        <w:tc>
          <w:tcPr>
            <w:tcW w:w="1174" w:type="dxa"/>
          </w:tcPr>
          <w:p w14:paraId="6695DF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1EA6E2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r>
      <w:tr w:rsidR="007D5DF8" w:rsidRPr="00DB5D0D" w14:paraId="61DB61B6" w14:textId="77777777" w:rsidTr="009223E5">
        <w:tc>
          <w:tcPr>
            <w:tcW w:w="2518" w:type="dxa"/>
          </w:tcPr>
          <w:p w14:paraId="782E0D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Голубков</w:t>
            </w:r>
          </w:p>
        </w:tc>
        <w:tc>
          <w:tcPr>
            <w:tcW w:w="1105" w:type="dxa"/>
          </w:tcPr>
          <w:p w14:paraId="19BA24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3856" w:type="dxa"/>
          </w:tcPr>
          <w:p w14:paraId="152747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СБ30-2М120</w:t>
            </w:r>
          </w:p>
        </w:tc>
        <w:tc>
          <w:tcPr>
            <w:tcW w:w="1174" w:type="dxa"/>
          </w:tcPr>
          <w:p w14:paraId="1EE45F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3A336C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r>
      <w:tr w:rsidR="007D5DF8" w:rsidRPr="00DB5D0D" w14:paraId="5FF22FE1" w14:textId="77777777" w:rsidTr="009223E5">
        <w:tc>
          <w:tcPr>
            <w:tcW w:w="2518" w:type="dxa"/>
          </w:tcPr>
          <w:p w14:paraId="38405B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Незваль</w:t>
            </w:r>
          </w:p>
        </w:tc>
        <w:tc>
          <w:tcPr>
            <w:tcW w:w="1105" w:type="dxa"/>
          </w:tcPr>
          <w:p w14:paraId="17FBB7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3856" w:type="dxa"/>
          </w:tcPr>
          <w:p w14:paraId="2EBC50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ПБ2-2М120</w:t>
            </w:r>
          </w:p>
        </w:tc>
        <w:tc>
          <w:tcPr>
            <w:tcW w:w="1174" w:type="dxa"/>
          </w:tcPr>
          <w:p w14:paraId="096E8F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719443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6500</w:t>
            </w:r>
          </w:p>
        </w:tc>
      </w:tr>
      <w:tr w:rsidR="007D5DF8" w:rsidRPr="00DB5D0D" w14:paraId="272EB049" w14:textId="77777777" w:rsidTr="009223E5">
        <w:tc>
          <w:tcPr>
            <w:tcW w:w="2518" w:type="dxa"/>
          </w:tcPr>
          <w:p w14:paraId="6923A8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Горбунов, Гудков, Лавочкин</w:t>
            </w:r>
          </w:p>
        </w:tc>
        <w:tc>
          <w:tcPr>
            <w:tcW w:w="1105" w:type="dxa"/>
          </w:tcPr>
          <w:p w14:paraId="180E8C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w:t>
            </w:r>
          </w:p>
        </w:tc>
        <w:tc>
          <w:tcPr>
            <w:tcW w:w="3856" w:type="dxa"/>
          </w:tcPr>
          <w:p w14:paraId="012532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И301-М105ПТК</w:t>
            </w:r>
          </w:p>
        </w:tc>
        <w:tc>
          <w:tcPr>
            <w:tcW w:w="1174" w:type="dxa"/>
          </w:tcPr>
          <w:p w14:paraId="0B209D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7D5454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w:t>
            </w:r>
          </w:p>
        </w:tc>
      </w:tr>
      <w:tr w:rsidR="007D5DF8" w:rsidRPr="00DB5D0D" w14:paraId="488597F5" w14:textId="77777777" w:rsidTr="009223E5">
        <w:tc>
          <w:tcPr>
            <w:tcW w:w="2518" w:type="dxa"/>
          </w:tcPr>
          <w:p w14:paraId="452D9F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Бисноват</w:t>
            </w:r>
          </w:p>
        </w:tc>
        <w:tc>
          <w:tcPr>
            <w:tcW w:w="1105" w:type="dxa"/>
          </w:tcPr>
          <w:p w14:paraId="024E1B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w:t>
            </w:r>
          </w:p>
        </w:tc>
        <w:tc>
          <w:tcPr>
            <w:tcW w:w="3856" w:type="dxa"/>
          </w:tcPr>
          <w:p w14:paraId="097DB6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СК-М105</w:t>
            </w:r>
          </w:p>
        </w:tc>
        <w:tc>
          <w:tcPr>
            <w:tcW w:w="1174" w:type="dxa"/>
          </w:tcPr>
          <w:p w14:paraId="36C596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553760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02A757CB" w14:textId="77777777" w:rsidTr="009223E5">
        <w:tc>
          <w:tcPr>
            <w:tcW w:w="2518" w:type="dxa"/>
          </w:tcPr>
          <w:p w14:paraId="48235F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ОТБ</w:t>
            </w:r>
          </w:p>
        </w:tc>
        <w:tc>
          <w:tcPr>
            <w:tcW w:w="1105" w:type="dxa"/>
          </w:tcPr>
          <w:p w14:paraId="100745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3856" w:type="dxa"/>
          </w:tcPr>
          <w:p w14:paraId="01EEC9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"100"-2М105</w:t>
            </w:r>
          </w:p>
        </w:tc>
        <w:tc>
          <w:tcPr>
            <w:tcW w:w="1174" w:type="dxa"/>
          </w:tcPr>
          <w:p w14:paraId="40C624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0C7514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6500</w:t>
            </w:r>
          </w:p>
        </w:tc>
      </w:tr>
      <w:tr w:rsidR="007D5DF8" w:rsidRPr="00DB5D0D" w14:paraId="232EA09F" w14:textId="77777777" w:rsidTr="009223E5">
        <w:tc>
          <w:tcPr>
            <w:tcW w:w="2518" w:type="dxa"/>
          </w:tcPr>
          <w:p w14:paraId="68DFAE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Шевченко, Никитин</w:t>
            </w:r>
          </w:p>
        </w:tc>
        <w:tc>
          <w:tcPr>
            <w:tcW w:w="1105" w:type="dxa"/>
          </w:tcPr>
          <w:p w14:paraId="683782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3856" w:type="dxa"/>
          </w:tcPr>
          <w:p w14:paraId="349868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ИС-М63 и 88</w:t>
            </w:r>
          </w:p>
        </w:tc>
        <w:tc>
          <w:tcPr>
            <w:tcW w:w="1174" w:type="dxa"/>
          </w:tcPr>
          <w:p w14:paraId="55F4FF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32F605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r>
      <w:tr w:rsidR="007D5DF8" w:rsidRPr="00DB5D0D" w14:paraId="6233110B" w14:textId="77777777" w:rsidTr="009223E5">
        <w:tc>
          <w:tcPr>
            <w:tcW w:w="2518" w:type="dxa"/>
          </w:tcPr>
          <w:p w14:paraId="4ED4B5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Грушин</w:t>
            </w:r>
          </w:p>
        </w:tc>
        <w:tc>
          <w:tcPr>
            <w:tcW w:w="1105" w:type="dxa"/>
          </w:tcPr>
          <w:p w14:paraId="5156E7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МАИ</w:t>
            </w:r>
          </w:p>
        </w:tc>
        <w:tc>
          <w:tcPr>
            <w:tcW w:w="3856" w:type="dxa"/>
          </w:tcPr>
          <w:p w14:paraId="0DF661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ББ4-М105</w:t>
            </w:r>
          </w:p>
        </w:tc>
        <w:tc>
          <w:tcPr>
            <w:tcW w:w="1174" w:type="dxa"/>
          </w:tcPr>
          <w:p w14:paraId="3FFCDF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63201E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1900</w:t>
            </w:r>
          </w:p>
        </w:tc>
      </w:tr>
      <w:tr w:rsidR="007D5DF8" w:rsidRPr="00DB5D0D" w14:paraId="6F1789AB" w14:textId="77777777" w:rsidTr="009223E5">
        <w:tc>
          <w:tcPr>
            <w:tcW w:w="2518" w:type="dxa"/>
          </w:tcPr>
          <w:p w14:paraId="5C21CB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Стронгин</w:t>
            </w:r>
          </w:p>
        </w:tc>
        <w:tc>
          <w:tcPr>
            <w:tcW w:w="1105" w:type="dxa"/>
          </w:tcPr>
          <w:p w14:paraId="178DCA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3856" w:type="dxa"/>
          </w:tcPr>
          <w:p w14:paraId="35953F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ББ22-2М105</w:t>
            </w:r>
          </w:p>
        </w:tc>
        <w:tc>
          <w:tcPr>
            <w:tcW w:w="1174" w:type="dxa"/>
          </w:tcPr>
          <w:p w14:paraId="39C38F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1E5648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4357D520" w14:textId="77777777" w:rsidTr="009223E5">
        <w:tc>
          <w:tcPr>
            <w:tcW w:w="2518" w:type="dxa"/>
          </w:tcPr>
          <w:p w14:paraId="750948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Боровков, Флоров</w:t>
            </w:r>
          </w:p>
        </w:tc>
        <w:tc>
          <w:tcPr>
            <w:tcW w:w="1105" w:type="dxa"/>
          </w:tcPr>
          <w:p w14:paraId="003404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3856" w:type="dxa"/>
          </w:tcPr>
          <w:p w14:paraId="6697F5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И207-М63ТК</w:t>
            </w:r>
          </w:p>
        </w:tc>
        <w:tc>
          <w:tcPr>
            <w:tcW w:w="1174" w:type="dxa"/>
          </w:tcPr>
          <w:p w14:paraId="6EC4F0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1448AE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06F246B4" w14:textId="77777777" w:rsidTr="009223E5">
        <w:tc>
          <w:tcPr>
            <w:tcW w:w="2518" w:type="dxa"/>
          </w:tcPr>
          <w:p w14:paraId="1B98047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31EF386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415350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И207-М65</w:t>
            </w:r>
          </w:p>
        </w:tc>
        <w:tc>
          <w:tcPr>
            <w:tcW w:w="1174" w:type="dxa"/>
          </w:tcPr>
          <w:p w14:paraId="343ADE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5174BF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61E6D3FB" w14:textId="77777777" w:rsidTr="009223E5">
        <w:tc>
          <w:tcPr>
            <w:tcW w:w="2518" w:type="dxa"/>
          </w:tcPr>
          <w:p w14:paraId="178F15B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6740313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24AE00B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425E93F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415E83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326A74C0" w14:textId="77777777" w:rsidTr="009223E5">
        <w:tc>
          <w:tcPr>
            <w:tcW w:w="2518" w:type="dxa"/>
          </w:tcPr>
          <w:p w14:paraId="6F5F3D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Москалев</w:t>
            </w:r>
          </w:p>
        </w:tc>
        <w:tc>
          <w:tcPr>
            <w:tcW w:w="1105" w:type="dxa"/>
          </w:tcPr>
          <w:p w14:paraId="33BE47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КБ-31</w:t>
            </w:r>
          </w:p>
        </w:tc>
        <w:tc>
          <w:tcPr>
            <w:tcW w:w="3856" w:type="dxa"/>
          </w:tcPr>
          <w:p w14:paraId="25DA0A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САМ13-2МВ6</w:t>
            </w:r>
          </w:p>
        </w:tc>
        <w:tc>
          <w:tcPr>
            <w:tcW w:w="1174" w:type="dxa"/>
          </w:tcPr>
          <w:p w14:paraId="38C106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601576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6285BDFE" w14:textId="77777777" w:rsidTr="009223E5">
        <w:tc>
          <w:tcPr>
            <w:tcW w:w="2518" w:type="dxa"/>
          </w:tcPr>
          <w:p w14:paraId="390DAE9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5CF06DB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0EAEC8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САМ11-МВ6</w:t>
            </w:r>
          </w:p>
        </w:tc>
        <w:tc>
          <w:tcPr>
            <w:tcW w:w="1174" w:type="dxa"/>
          </w:tcPr>
          <w:p w14:paraId="623D4C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64B72E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7E69EC56" w14:textId="77777777" w:rsidTr="009223E5">
        <w:tc>
          <w:tcPr>
            <w:tcW w:w="2518" w:type="dxa"/>
          </w:tcPr>
          <w:p w14:paraId="3FD6A6B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28C7AF5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0F9DD70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354DD84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066F7F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r>
      <w:tr w:rsidR="007D5DF8" w:rsidRPr="00DB5D0D" w14:paraId="26C4FE0A" w14:textId="77777777" w:rsidTr="009223E5">
        <w:tc>
          <w:tcPr>
            <w:tcW w:w="2518" w:type="dxa"/>
          </w:tcPr>
          <w:p w14:paraId="409C9E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Сильванский</w:t>
            </w:r>
          </w:p>
        </w:tc>
        <w:tc>
          <w:tcPr>
            <w:tcW w:w="1105" w:type="dxa"/>
          </w:tcPr>
          <w:p w14:paraId="537B2B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3856" w:type="dxa"/>
          </w:tcPr>
          <w:p w14:paraId="3748D0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И220-М88</w:t>
            </w:r>
          </w:p>
        </w:tc>
        <w:tc>
          <w:tcPr>
            <w:tcW w:w="1174" w:type="dxa"/>
          </w:tcPr>
          <w:p w14:paraId="7F7610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6F5B90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7F560B60" w14:textId="77777777" w:rsidTr="009223E5">
        <w:tc>
          <w:tcPr>
            <w:tcW w:w="2518" w:type="dxa"/>
          </w:tcPr>
          <w:p w14:paraId="6E527B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Сеньков</w:t>
            </w:r>
          </w:p>
        </w:tc>
        <w:tc>
          <w:tcPr>
            <w:tcW w:w="1105" w:type="dxa"/>
          </w:tcPr>
          <w:p w14:paraId="6D58F4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3856" w:type="dxa"/>
          </w:tcPr>
          <w:p w14:paraId="08B08C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Десант.-трансп. санит.</w:t>
            </w:r>
          </w:p>
        </w:tc>
        <w:tc>
          <w:tcPr>
            <w:tcW w:w="1174" w:type="dxa"/>
          </w:tcPr>
          <w:p w14:paraId="780B3F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2200</w:t>
            </w:r>
          </w:p>
        </w:tc>
        <w:tc>
          <w:tcPr>
            <w:tcW w:w="1805" w:type="dxa"/>
          </w:tcPr>
          <w:p w14:paraId="628E120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57B8058" w14:textId="77777777" w:rsidTr="009223E5">
        <w:tc>
          <w:tcPr>
            <w:tcW w:w="2518" w:type="dxa"/>
          </w:tcPr>
          <w:p w14:paraId="22FF5F9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3A038F5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359F6B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ПС-84 ремонт.</w:t>
            </w:r>
          </w:p>
        </w:tc>
        <w:tc>
          <w:tcPr>
            <w:tcW w:w="1174" w:type="dxa"/>
          </w:tcPr>
          <w:p w14:paraId="3FFC43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4BA64A4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C4932CA" w14:textId="77777777" w:rsidTr="009223E5">
        <w:tc>
          <w:tcPr>
            <w:tcW w:w="2518" w:type="dxa"/>
          </w:tcPr>
          <w:p w14:paraId="2DF79CE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0F4B9AE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62820D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ПС-84 дублер</w:t>
            </w:r>
          </w:p>
        </w:tc>
        <w:tc>
          <w:tcPr>
            <w:tcW w:w="1174" w:type="dxa"/>
          </w:tcPr>
          <w:p w14:paraId="324D88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6374A0C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AD2FB1D" w14:textId="77777777" w:rsidTr="009223E5">
        <w:tc>
          <w:tcPr>
            <w:tcW w:w="2518" w:type="dxa"/>
          </w:tcPr>
          <w:p w14:paraId="6F2E14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Антонов</w:t>
            </w:r>
          </w:p>
        </w:tc>
        <w:tc>
          <w:tcPr>
            <w:tcW w:w="1105" w:type="dxa"/>
          </w:tcPr>
          <w:p w14:paraId="55E29B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3856" w:type="dxa"/>
          </w:tcPr>
          <w:p w14:paraId="717EFE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СС-МВ6</w:t>
            </w:r>
          </w:p>
        </w:tc>
        <w:tc>
          <w:tcPr>
            <w:tcW w:w="1174" w:type="dxa"/>
          </w:tcPr>
          <w:p w14:paraId="2FE813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754E60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7C0D975B" w14:textId="77777777" w:rsidTr="009223E5">
        <w:tc>
          <w:tcPr>
            <w:tcW w:w="2518" w:type="dxa"/>
          </w:tcPr>
          <w:p w14:paraId="6AF87E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Грибовский</w:t>
            </w:r>
          </w:p>
        </w:tc>
        <w:tc>
          <w:tcPr>
            <w:tcW w:w="1105" w:type="dxa"/>
          </w:tcPr>
          <w:p w14:paraId="5A0C3F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КБ-28</w:t>
            </w:r>
          </w:p>
        </w:tc>
        <w:tc>
          <w:tcPr>
            <w:tcW w:w="3856" w:type="dxa"/>
          </w:tcPr>
          <w:p w14:paraId="22FBB7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УТ-6 МВ4</w:t>
            </w:r>
          </w:p>
        </w:tc>
        <w:tc>
          <w:tcPr>
            <w:tcW w:w="1174" w:type="dxa"/>
          </w:tcPr>
          <w:p w14:paraId="2DB830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0E194F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4A844428" w14:textId="77777777" w:rsidTr="009223E5">
        <w:tc>
          <w:tcPr>
            <w:tcW w:w="2518" w:type="dxa"/>
          </w:tcPr>
          <w:p w14:paraId="307474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Адлер</w:t>
            </w:r>
          </w:p>
        </w:tc>
        <w:tc>
          <w:tcPr>
            <w:tcW w:w="1105" w:type="dxa"/>
          </w:tcPr>
          <w:p w14:paraId="7EACB2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3856" w:type="dxa"/>
          </w:tcPr>
          <w:p w14:paraId="424E14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УТИ-7 МВ-4</w:t>
            </w:r>
          </w:p>
        </w:tc>
        <w:tc>
          <w:tcPr>
            <w:tcW w:w="1174" w:type="dxa"/>
          </w:tcPr>
          <w:p w14:paraId="486F5A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7302B9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0BEC9AF0" w14:textId="77777777" w:rsidTr="009223E5">
        <w:tc>
          <w:tcPr>
            <w:tcW w:w="2518" w:type="dxa"/>
          </w:tcPr>
          <w:p w14:paraId="4F379C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Смолин</w:t>
            </w:r>
          </w:p>
        </w:tc>
        <w:tc>
          <w:tcPr>
            <w:tcW w:w="1105" w:type="dxa"/>
          </w:tcPr>
          <w:p w14:paraId="23780E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3856" w:type="dxa"/>
          </w:tcPr>
          <w:p w14:paraId="4FD16B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УТ-8 с М85 автомобиль</w:t>
            </w:r>
          </w:p>
        </w:tc>
        <w:tc>
          <w:tcPr>
            <w:tcW w:w="1174" w:type="dxa"/>
          </w:tcPr>
          <w:p w14:paraId="30053C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53FC2A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r>
      <w:tr w:rsidR="007D5DF8" w:rsidRPr="00DB5D0D" w14:paraId="2E6CB3FA" w14:textId="77777777" w:rsidTr="009223E5">
        <w:tc>
          <w:tcPr>
            <w:tcW w:w="2518" w:type="dxa"/>
          </w:tcPr>
          <w:p w14:paraId="0F008E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Камов</w:t>
            </w:r>
          </w:p>
        </w:tc>
        <w:tc>
          <w:tcPr>
            <w:tcW w:w="1105" w:type="dxa"/>
          </w:tcPr>
          <w:p w14:paraId="236A8F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3856" w:type="dxa"/>
          </w:tcPr>
          <w:p w14:paraId="4A194C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А-10 МВ4</w:t>
            </w:r>
          </w:p>
        </w:tc>
        <w:tc>
          <w:tcPr>
            <w:tcW w:w="1174" w:type="dxa"/>
          </w:tcPr>
          <w:p w14:paraId="47A834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1AFE72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23E4BE47" w14:textId="77777777" w:rsidTr="009223E5">
        <w:tc>
          <w:tcPr>
            <w:tcW w:w="2518" w:type="dxa"/>
          </w:tcPr>
          <w:p w14:paraId="1B4157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Юрьев, Братухин</w:t>
            </w:r>
          </w:p>
        </w:tc>
        <w:tc>
          <w:tcPr>
            <w:tcW w:w="1105" w:type="dxa"/>
          </w:tcPr>
          <w:p w14:paraId="34D27F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МАИ</w:t>
            </w:r>
          </w:p>
        </w:tc>
        <w:tc>
          <w:tcPr>
            <w:tcW w:w="3856" w:type="dxa"/>
          </w:tcPr>
          <w:p w14:paraId="0A7DF9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Г-11ЭА</w:t>
            </w:r>
          </w:p>
        </w:tc>
        <w:tc>
          <w:tcPr>
            <w:tcW w:w="1174" w:type="dxa"/>
          </w:tcPr>
          <w:p w14:paraId="1DD39A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59D38D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37309C69" w14:textId="77777777" w:rsidTr="009223E5">
        <w:tc>
          <w:tcPr>
            <w:tcW w:w="2518" w:type="dxa"/>
          </w:tcPr>
          <w:p w14:paraId="1964681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3BF8DF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МАИ</w:t>
            </w:r>
          </w:p>
        </w:tc>
        <w:tc>
          <w:tcPr>
            <w:tcW w:w="3856" w:type="dxa"/>
          </w:tcPr>
          <w:p w14:paraId="559449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Г-2</w:t>
            </w:r>
          </w:p>
        </w:tc>
        <w:tc>
          <w:tcPr>
            <w:tcW w:w="1174" w:type="dxa"/>
          </w:tcPr>
          <w:p w14:paraId="34CD13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3A645C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6CAFDB02" w14:textId="77777777" w:rsidTr="009223E5">
        <w:tc>
          <w:tcPr>
            <w:tcW w:w="2518" w:type="dxa"/>
          </w:tcPr>
          <w:p w14:paraId="5EED4A3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504563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1119E7B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29DADBD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4C301C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r>
      <w:tr w:rsidR="007D5DF8" w:rsidRPr="00DB5D0D" w14:paraId="13256CD3" w14:textId="77777777" w:rsidTr="009223E5">
        <w:tc>
          <w:tcPr>
            <w:tcW w:w="2518" w:type="dxa"/>
          </w:tcPr>
          <w:p w14:paraId="3171CA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Щербаков</w:t>
            </w:r>
          </w:p>
        </w:tc>
        <w:tc>
          <w:tcPr>
            <w:tcW w:w="1105" w:type="dxa"/>
          </w:tcPr>
          <w:p w14:paraId="757FA8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3856" w:type="dxa"/>
          </w:tcPr>
          <w:p w14:paraId="3D7781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И153-М62 с герм. каб.</w:t>
            </w:r>
          </w:p>
        </w:tc>
        <w:tc>
          <w:tcPr>
            <w:tcW w:w="1174" w:type="dxa"/>
          </w:tcPr>
          <w:p w14:paraId="2CB173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2E97DD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5C971F03" w14:textId="77777777" w:rsidTr="009223E5">
        <w:tc>
          <w:tcPr>
            <w:tcW w:w="2518" w:type="dxa"/>
          </w:tcPr>
          <w:p w14:paraId="1DCCA2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Привалов</w:t>
            </w:r>
          </w:p>
        </w:tc>
        <w:tc>
          <w:tcPr>
            <w:tcW w:w="1105" w:type="dxa"/>
          </w:tcPr>
          <w:p w14:paraId="4E8616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3856" w:type="dxa"/>
          </w:tcPr>
          <w:p w14:paraId="09146D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Десантно-трансп. приспособления(людская кабина)</w:t>
            </w:r>
          </w:p>
        </w:tc>
        <w:tc>
          <w:tcPr>
            <w:tcW w:w="1174" w:type="dxa"/>
          </w:tcPr>
          <w:p w14:paraId="6FCA519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3FA94A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r>
      <w:tr w:rsidR="007D5DF8" w:rsidRPr="00DB5D0D" w14:paraId="34EFB8E3" w14:textId="77777777" w:rsidTr="009223E5">
        <w:tc>
          <w:tcPr>
            <w:tcW w:w="2518" w:type="dxa"/>
          </w:tcPr>
          <w:p w14:paraId="2C8DA3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 Самсонов</w:t>
            </w:r>
          </w:p>
        </w:tc>
        <w:tc>
          <w:tcPr>
            <w:tcW w:w="1105" w:type="dxa"/>
          </w:tcPr>
          <w:p w14:paraId="50CB6D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288</w:t>
            </w:r>
          </w:p>
        </w:tc>
        <w:tc>
          <w:tcPr>
            <w:tcW w:w="3856" w:type="dxa"/>
          </w:tcPr>
          <w:p w14:paraId="27260D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МДР7-2М88</w:t>
            </w:r>
          </w:p>
        </w:tc>
        <w:tc>
          <w:tcPr>
            <w:tcW w:w="1174" w:type="dxa"/>
          </w:tcPr>
          <w:p w14:paraId="79F360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08CCD4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r>
      <w:tr w:rsidR="007D5DF8" w:rsidRPr="00DB5D0D" w14:paraId="613285B4" w14:textId="77777777" w:rsidTr="009223E5">
        <w:tc>
          <w:tcPr>
            <w:tcW w:w="2518" w:type="dxa"/>
          </w:tcPr>
          <w:p w14:paraId="6B949E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 Четвериков</w:t>
            </w:r>
          </w:p>
        </w:tc>
        <w:tc>
          <w:tcPr>
            <w:tcW w:w="1105" w:type="dxa"/>
          </w:tcPr>
          <w:p w14:paraId="3F9EE8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3856" w:type="dxa"/>
          </w:tcPr>
          <w:p w14:paraId="4E49CE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МДР-6-2М62 и 63</w:t>
            </w:r>
          </w:p>
        </w:tc>
        <w:tc>
          <w:tcPr>
            <w:tcW w:w="1174" w:type="dxa"/>
          </w:tcPr>
          <w:p w14:paraId="00808B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5E759D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r>
      <w:tr w:rsidR="007D5DF8" w:rsidRPr="00DB5D0D" w14:paraId="7E6E1359" w14:textId="77777777" w:rsidTr="009223E5">
        <w:tc>
          <w:tcPr>
            <w:tcW w:w="2518" w:type="dxa"/>
          </w:tcPr>
          <w:p w14:paraId="6A40285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3A58D5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7D164E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МДР6-Б2М105</w:t>
            </w:r>
          </w:p>
        </w:tc>
        <w:tc>
          <w:tcPr>
            <w:tcW w:w="1174" w:type="dxa"/>
          </w:tcPr>
          <w:p w14:paraId="5BC243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46B3E5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5400</w:t>
            </w:r>
          </w:p>
        </w:tc>
      </w:tr>
      <w:tr w:rsidR="007D5DF8" w:rsidRPr="00DB5D0D" w14:paraId="137D7DC6" w14:textId="77777777" w:rsidTr="009223E5">
        <w:tc>
          <w:tcPr>
            <w:tcW w:w="2518" w:type="dxa"/>
          </w:tcPr>
          <w:p w14:paraId="5FE9346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108BD24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5F0F6BA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6DA1A86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6DC757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r>
      <w:tr w:rsidR="007D5DF8" w:rsidRPr="00DB5D0D" w14:paraId="099D988F" w14:textId="77777777" w:rsidTr="009223E5">
        <w:tc>
          <w:tcPr>
            <w:tcW w:w="2518" w:type="dxa"/>
          </w:tcPr>
          <w:p w14:paraId="504ECA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 Бериев</w:t>
            </w:r>
          </w:p>
        </w:tc>
        <w:tc>
          <w:tcPr>
            <w:tcW w:w="1105" w:type="dxa"/>
          </w:tcPr>
          <w:p w14:paraId="79BB8B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3856" w:type="dxa"/>
          </w:tcPr>
          <w:p w14:paraId="2AF043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КОР2-М63</w:t>
            </w:r>
          </w:p>
        </w:tc>
        <w:tc>
          <w:tcPr>
            <w:tcW w:w="1174" w:type="dxa"/>
          </w:tcPr>
          <w:p w14:paraId="5E592B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805" w:type="dxa"/>
          </w:tcPr>
          <w:p w14:paraId="1DE231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r>
      <w:tr w:rsidR="007D5DF8" w:rsidRPr="00DB5D0D" w14:paraId="136C1D45" w14:textId="77777777" w:rsidTr="009223E5">
        <w:tc>
          <w:tcPr>
            <w:tcW w:w="2518" w:type="dxa"/>
          </w:tcPr>
          <w:p w14:paraId="7DF26EE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5896772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1F65F3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МБР7-М103 с ламинарн. крылом</w:t>
            </w:r>
          </w:p>
        </w:tc>
        <w:tc>
          <w:tcPr>
            <w:tcW w:w="1174" w:type="dxa"/>
          </w:tcPr>
          <w:p w14:paraId="252DECC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Pr>
          <w:p w14:paraId="6DE208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77664372" w14:textId="77777777" w:rsidTr="009223E5">
        <w:tc>
          <w:tcPr>
            <w:tcW w:w="2518" w:type="dxa"/>
          </w:tcPr>
          <w:p w14:paraId="35AB97B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Pr>
          <w:p w14:paraId="12E905E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Pr>
          <w:p w14:paraId="10952DE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Pr>
          <w:p w14:paraId="460E40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2BD3CC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r>
      <w:tr w:rsidR="007D5DF8" w:rsidRPr="00DB5D0D" w14:paraId="13C068BB" w14:textId="77777777" w:rsidTr="009223E5">
        <w:tc>
          <w:tcPr>
            <w:tcW w:w="2518" w:type="dxa"/>
          </w:tcPr>
          <w:p w14:paraId="293669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 Бакшаев</w:t>
            </w:r>
          </w:p>
        </w:tc>
        <w:tc>
          <w:tcPr>
            <w:tcW w:w="1105" w:type="dxa"/>
          </w:tcPr>
          <w:p w14:paraId="277900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3856" w:type="dxa"/>
          </w:tcPr>
          <w:p w14:paraId="6817FB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Планер с раздвижным крылом</w:t>
            </w:r>
          </w:p>
        </w:tc>
        <w:tc>
          <w:tcPr>
            <w:tcW w:w="1174" w:type="dxa"/>
          </w:tcPr>
          <w:p w14:paraId="7B140C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05" w:type="dxa"/>
          </w:tcPr>
          <w:p w14:paraId="4B1F88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280420B" w14:textId="77777777" w:rsidTr="009223E5">
        <w:tc>
          <w:tcPr>
            <w:tcW w:w="2518" w:type="dxa"/>
            <w:tcBorders>
              <w:bottom w:val="single" w:sz="12" w:space="0" w:color="auto"/>
            </w:tcBorders>
          </w:tcPr>
          <w:p w14:paraId="577E7FD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05" w:type="dxa"/>
            <w:tcBorders>
              <w:bottom w:val="single" w:sz="12" w:space="0" w:color="auto"/>
            </w:tcBorders>
          </w:tcPr>
          <w:p w14:paraId="2AFB0D8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56" w:type="dxa"/>
            <w:tcBorders>
              <w:bottom w:val="single" w:sz="12" w:space="0" w:color="auto"/>
            </w:tcBorders>
          </w:tcPr>
          <w:p w14:paraId="7C42FD9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74" w:type="dxa"/>
            <w:tcBorders>
              <w:bottom w:val="single" w:sz="12" w:space="0" w:color="auto"/>
            </w:tcBorders>
          </w:tcPr>
          <w:p w14:paraId="3108366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805" w:type="dxa"/>
            <w:tcBorders>
              <w:bottom w:val="single" w:sz="12" w:space="0" w:color="auto"/>
            </w:tcBorders>
          </w:tcPr>
          <w:p w14:paraId="231B89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152550</w:t>
            </w:r>
          </w:p>
        </w:tc>
      </w:tr>
    </w:tbl>
    <w:p w14:paraId="3D72A2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начальника 7-го Гл. управления С. Шишкин) (2500,82).</w:t>
      </w:r>
    </w:p>
    <w:p w14:paraId="71C352E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509C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вышел приказ НКАП № 271с:</w:t>
      </w:r>
    </w:p>
    <w:p w14:paraId="48A1C3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Правительства № 271с от 27 марта 1940:</w:t>
      </w:r>
    </w:p>
    <w:p w14:paraId="00DFCD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Организовать ЦКБ мотороиспытательных установок,</w:t>
      </w:r>
    </w:p>
    <w:p w14:paraId="24D03B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ЦКБ включить в состав з-да 291 с подчинением последнего 8 ГУ</w:t>
      </w:r>
    </w:p>
    <w:p w14:paraId="63754E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(1321, 96).</w:t>
      </w:r>
    </w:p>
    <w:p w14:paraId="263FBA7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E0A3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вышел приказ НКАП N 271с в исполнение постановления Правительства N 420/159сс от 27 марта 1940 об организации Центрального конструкторского бюро мотороиспытательных установок. ЦКБ включили в состав 291 завода с подчинением 8 ГУ (1321,96).</w:t>
      </w:r>
    </w:p>
    <w:p w14:paraId="45F2D0E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F45E1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 по приказу № 271сс ЦКБ моторостроительных установок (начальник/ гл. конструктор- Л.Б. Евангулов), созданное 27 марта 1940 г. в соответствии с пост. СНК № 420- 159сс при МАИ, включили в состав завода. ЦКБ подчинено 8ГУ НКАП, и в нем сосредоточены все работы по конструированию моторостроительных установок. Фактически деятельность завода началась в 08.1940 г.</w:t>
      </w:r>
    </w:p>
    <w:p w14:paraId="06F436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Индивидуальное производство: баланеирный станок «УСБС», установка воздушного охлаждения «УВС», винтомоторная установка «ВМУ», гидротормоза ГТ-А6Д, -А4Д, -М4Р, -Л4Д, -Л1Д, -Т2Д. Проводились испытания оборудования для производства моторов для предприятий авиапрома. С 08.1941 г. началось развертывание работ по производству деталей для ЖРД истребителя «БИ».</w:t>
      </w:r>
    </w:p>
    <w:p w14:paraId="61E78C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1050сс от 8.10.1941 г. завод № 291 8ГУ НКАП эвакуирован в Уфу на площадку Завода горного оборудования и развернут на новом месте в период с 15.11.1941 по 1.01.1942 г. Планировалось влить завод в состав завода № 384, но это не было выполнено.</w:t>
      </w:r>
    </w:p>
    <w:p w14:paraId="0AF3A0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ГКО № 1404с от 7.03.1942 г. и приказом № 191с от 12.03.1942 г. завод № 291 НКАП со всем оборудованием и кадрами переведен из Уфы в Москву и влит в состав завода № 45 НКАП.</w:t>
      </w:r>
    </w:p>
    <w:p w14:paraId="3F5ED5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площадке эвакуированного завода планировалось начать разделку самолетов и моторов. Однако по приказу № 487с от 3.07.1942 г. здания и сооружения бывшего завода № 291 НКАП в Тушино были переданы заводу № 453 НКАП.</w:t>
      </w:r>
    </w:p>
    <w:p w14:paraId="343F25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(-05.1940; 03.1942 г.)- Л.Б. Евангулов, (05.1940 г.- С.В. Михайлов.</w:t>
      </w:r>
    </w:p>
    <w:p w14:paraId="7588AB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ОКБ-291 НКАП /г. Москва/</w:t>
      </w:r>
    </w:p>
    <w:p w14:paraId="172E54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Спецоборудование. Эвакуировано в 1941 г. в Уфу (11982).</w:t>
      </w:r>
    </w:p>
    <w:p w14:paraId="676E7D4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4C85D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приказом N 227к И.С.Левин был назначен директором завода 292 с освобождением от работы на 125 заводе (863,264).</w:t>
      </w:r>
    </w:p>
    <w:p w14:paraId="65BB330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A2B2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года вышел приказ НКАП № 271с, которым завод № 291 был обязан приступить к восстановлению завода на территории Тушино и к 25 июня 1940 года закончить все ремонтностроительные работы по механическому цеху……………..(9318).</w:t>
      </w:r>
    </w:p>
    <w:p w14:paraId="519549E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4111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8 июня по 24 августа 1940 года проходили контрольные испытания пяти турельных пулеметов "ШКАС" кал. 7,62 мм, изготовленных по чертежам 1938 года</w:t>
      </w:r>
    </w:p>
    <w:p w14:paraId="46386D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7DBE53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Ивашечкин</w:t>
      </w:r>
    </w:p>
    <w:p w14:paraId="0998A2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3F98B4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автоматику и живучесть деталей пулеметов "ШКАС", изготовленных по чертежам 1938 года, при стрельбе на земле и с самолета в воздухе большим количеством выстрелов.</w:t>
      </w:r>
    </w:p>
    <w:p w14:paraId="604420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0912AF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Пять турельных пулеметов "ШКАС", изготовленные по чертежам 1938 года контрольные испытания не выдержали, как показавшие низкую живучесть основных деталей и большой процент задержек при стрельбе (7509).</w:t>
      </w:r>
    </w:p>
    <w:p w14:paraId="4C2925A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6197850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CD6A72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1D715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вышел приказ НКБ N 208c вышел приказ НКБ во исполнение постановления СНК N 937-353 от 3 июня 1940, который утвердил новую структуру НКБ, согласно которому ПГУ ведало производством снарядов, авиабомб, и ВВ, 2ГУ - производством капсюлей и взрывателей, 3ГУ - производством пороха и взрывчатки мирного назначения 4ГУ - производством корпусов снарядов для морской и сухопутной артиллерии (4302).</w:t>
      </w:r>
    </w:p>
    <w:p w14:paraId="5356234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94CA31" w14:textId="77777777" w:rsidR="00AE4F54" w:rsidRPr="00DB5D0D" w:rsidRDefault="00AE4F5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hAnsi="Times New Roman"/>
          <w:color w:val="000000" w:themeColor="text1"/>
          <w:sz w:val="16"/>
          <w:szCs w:val="16"/>
        </w:rPr>
        <w:t>8 июня 1940 г. начальник 8-го отдела АБТУ РККА военинженер 1 ранга С.А. Афонин разрешил Мариупольскому заводу изготовить 50 комплектов броневых деталей башни по чертежам, ранее утвержденным для производства установочной партии. Такое решение было продиктовано тем, что чертежи новой расширенной башни на тот момент еще не были согласованы с Мариупольским заводом, и это ставило под угрозу выполнение программы по выпуску броневых деталей для танков Т-34 в июне 1940 г. (18076).</w:t>
      </w:r>
    </w:p>
    <w:p w14:paraId="291D7A64" w14:textId="77777777" w:rsidR="00AE4F54" w:rsidRPr="00DB5D0D" w:rsidRDefault="00AE4F54" w:rsidP="00DB5D0D">
      <w:pPr>
        <w:spacing w:after="0" w:line="240" w:lineRule="auto"/>
        <w:jc w:val="both"/>
        <w:rPr>
          <w:rFonts w:ascii="Times New Roman" w:hAnsi="Times New Roman"/>
          <w:color w:val="000000" w:themeColor="text1"/>
          <w:sz w:val="16"/>
          <w:szCs w:val="16"/>
        </w:rPr>
      </w:pPr>
    </w:p>
    <w:p w14:paraId="6AED17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 приказом № 208сс и 3 июня 1940 г. в соответствии с пост. СНК № 937-353сс была утверждена структура НКБ: 1, 2, 3 и 4-е ГУ. В 09.1940 г. организовано ГУ полигонов. В соответствии с пост. СНК № 936-352сс от 3.06.1940 г. и приказом № 174сс от 19.06.1940 г. утверждена структура НКВ: 1ГУ (7 заводов), 2ГУ (12 заводов и ГОИ), ЗГУ (9); кроме того, входило 5 НИИ, 10 КБ, 25 учебных заведений. Перед войной в составе НКВ было 43 завода (14 - артиллерийских, 9 - стрелкового оружия, 8 - патронных, 12 - оптико-механических). Всего на начало 1941 г. в состав четырех военно-промышленных наркоматов входило около 300 производственных предприятий. Таким образом, военно-промышленные наркоматы специализировались на производстве военных изделий 1-й и 2-й группы. Выпуск изделий 3-й группы, в основном, осваивалось «запасными» предприятиями Наркоматов Общего, Тяжелого и Среднего машиностроения, НКЭП и НКХП. НКСМ образован 8.02.1939г., в его ведение передан Спецмаштрест НКОП; оборонные предприятия в НКСМ (танкостроение) были сосредоточены в Главспецмаше. Предприятия электро- и радиопромышленности были сосредоточены в Наркомате электростанций и электропромышленности, а с 04.1940 г. - НКЭП. Высшим государственным органом управления наркоматами военной промышленности и военными производствами гражданской промышленности стал Комитет Обороны при СНК СССР и его органы: Экономический Совет (ЭКОСО) и Военно-Промышленная Комиссия (11982).</w:t>
      </w:r>
    </w:p>
    <w:p w14:paraId="24B8277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CFA9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года на ЛКЗ поступил приказ НКТМ № 160 с, согласно которому Кировский завод до 12 июля 1940 года должен был экраниро</w:t>
      </w:r>
      <w:r w:rsidRPr="00DB5D0D">
        <w:rPr>
          <w:rFonts w:ascii="Times New Roman" w:hAnsi="Times New Roman"/>
          <w:color w:val="000000" w:themeColor="text1"/>
          <w:sz w:val="16"/>
          <w:szCs w:val="16"/>
        </w:rPr>
        <w:softHyphen/>
        <w:t>вать 100 танков Т-28. Фактически к этому сроку было экранировано 44 машины. Остальные танки требовали капитального ремонта, поэтому их экранировку на время прекратили. Но после ремонта в 1940 году на 112 танках Т-28 экранировку возобновили и продолжали ее в войну. Некото</w:t>
      </w:r>
      <w:r w:rsidRPr="00DB5D0D">
        <w:rPr>
          <w:rFonts w:ascii="Times New Roman" w:hAnsi="Times New Roman"/>
          <w:color w:val="000000" w:themeColor="text1"/>
          <w:sz w:val="16"/>
          <w:szCs w:val="16"/>
        </w:rPr>
        <w:softHyphen/>
        <w:t>рые Т-28 оказались настолько живучими, что провоевав несколько лет, приняли участие в прорыве блокады Ленинграда, в январе 1943 года (11504).</w:t>
      </w:r>
    </w:p>
    <w:p w14:paraId="04A550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0773F49" w14:textId="77777777" w:rsidR="00487F03" w:rsidRPr="00DB5D0D" w:rsidRDefault="00487F0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8 июня 1940 было Письмо наркома обороны СССР С. К. Тимошенко председателю Комитета обороны при СНК СССР К. Е. Ворошилову о закупке в Германии аппаратуры и материалов для спецнужд Наркомата обороны СССР на сумму 122000 германских марок</w:t>
      </w:r>
    </w:p>
    <w:p w14:paraId="09C3B980" w14:textId="77777777" w:rsidR="00487F03" w:rsidRPr="00DB5D0D" w:rsidRDefault="00487F0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Прошу разрешить закупить в Германии аппаратуру и материалы для спецнужд Наркомата Обороны на сумму сто двадцать две тысячи (122.000) германских марок.</w:t>
      </w:r>
    </w:p>
    <w:p w14:paraId="34B01F25" w14:textId="77777777" w:rsidR="00487F03" w:rsidRPr="00DB5D0D" w:rsidRDefault="00487F0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Проверено - материалы, перечисленные в заявке поставить за счет отечественного производства не представляется возможным.</w:t>
      </w:r>
    </w:p>
    <w:p w14:paraId="63A79865" w14:textId="77777777" w:rsidR="00487F03" w:rsidRPr="00DB5D0D" w:rsidRDefault="00487F03"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Валютные расходы предусмотрены в смете Наркомата Обороны (21924).</w:t>
      </w:r>
    </w:p>
    <w:p w14:paraId="2F8E3F3F" w14:textId="77777777" w:rsidR="00487F03" w:rsidRPr="00DB5D0D" w:rsidRDefault="00487F03" w:rsidP="00DB5D0D">
      <w:pPr>
        <w:spacing w:after="0" w:line="240" w:lineRule="auto"/>
        <w:jc w:val="both"/>
        <w:rPr>
          <w:rFonts w:ascii="Times New Roman" w:hAnsi="Times New Roman"/>
          <w:color w:val="0070C0"/>
          <w:sz w:val="16"/>
          <w:szCs w:val="16"/>
        </w:rPr>
      </w:pPr>
    </w:p>
    <w:p w14:paraId="5504005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58EBF3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04A42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м Тимошенко в письме И.В.С. предложил ужесточить наказание за дезертирство и считать дезертиром тех, кто отсутствовал не 6 дней, а 6 часов (2536,112).</w:t>
      </w:r>
    </w:p>
    <w:p w14:paraId="5BF07CB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EC9F8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7B15A0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9D7CA23"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8 июня</w:t>
      </w:r>
      <w:r w:rsidRPr="00DB5D0D">
        <w:rPr>
          <w:rFonts w:ascii="Times New Roman" w:hAnsi="Times New Roman"/>
          <w:color w:val="000000" w:themeColor="text1"/>
          <w:sz w:val="16"/>
          <w:szCs w:val="16"/>
        </w:rPr>
        <w:t xml:space="preserve"> в 1940 году рейсом Нью-Йорк - Бербэнк (штат Калифорния) с промежуточными посадками в Чикаго, Канзас-Сити и Альбукерке началась эксплуатация среднемагистрального пассажирского самолета </w:t>
      </w:r>
      <w:hyperlink r:id="rId112" w:tgtFrame="_blank" w:history="1">
        <w:r w:rsidRPr="00DB5D0D">
          <w:rPr>
            <w:rFonts w:ascii="Times New Roman" w:hAnsi="Times New Roman"/>
            <w:color w:val="000000" w:themeColor="text1"/>
            <w:sz w:val="16"/>
            <w:szCs w:val="16"/>
          </w:rPr>
          <w:t xml:space="preserve">«Boeing» «SA-307B» «Stratoliner». </w:t>
        </w:r>
      </w:hyperlink>
      <w:r w:rsidRPr="00DB5D0D">
        <w:rPr>
          <w:rFonts w:ascii="Times New Roman" w:hAnsi="Times New Roman"/>
          <w:color w:val="000000" w:themeColor="text1"/>
          <w:sz w:val="16"/>
          <w:szCs w:val="16"/>
        </w:rPr>
        <w:t>Внешне «SA-307B» отличался от «S-307» тем, что имел треугольные обтекатели петель закрылков и узкие капоты двигателей с "лепестками" по задней кромке, как у «В-17Е» («S-307» имел широкие капоты по типу «В-17С») (14916).</w:t>
      </w:r>
    </w:p>
    <w:p w14:paraId="36726367"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5D5C3338"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8th, 1940: In Norway, the evacuation of British and French troops (24,000 men) from Narvik and Harstad is completed. The British aircraft carrier Glorious is sunk by the German heavy battle cruisers Scharnhorst and Gneisenau SW of Narvik. King Haakon and the Norwegian government leave Tromso for England (3819).</w:t>
      </w:r>
    </w:p>
    <w:p w14:paraId="3525CC2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615C1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закончилась эвакуация британских и французских войск (24 тыс. чел.) из Нарвика и Херштадта. Немецкий тяжелые крейсера Шарнхорст и Гнейзенау потопил британский авианосец Глориоус неподалеку от Нарвика. Король Хаокон у норвежское правительство оставили Тромсо и отправились в Великобританию (3819).</w:t>
      </w:r>
    </w:p>
    <w:p w14:paraId="0BB5899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53E102"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июня 1940 немецкие линейные крейсеры « Шарнхорст» и « Гнейзенау» застают врасплох HMS Glorious без самолета во время рейса из Норвегии в Соединенное Королевство и потопят его и два эсминца сопровождения артиллерийским огнем. Королевский флот и Королевские военно-воздушные силы теряют 1472 человека на борту Glorious и двух эсминцев; выжили только 43 человека (20795).</w:t>
      </w:r>
    </w:p>
    <w:p w14:paraId="01EBFF71" w14:textId="77777777" w:rsidR="005B746D" w:rsidRPr="00DB5D0D" w:rsidRDefault="005B746D" w:rsidP="00DB5D0D">
      <w:pPr>
        <w:spacing w:after="0" w:line="240" w:lineRule="auto"/>
        <w:jc w:val="both"/>
        <w:rPr>
          <w:rFonts w:ascii="Times New Roman" w:hAnsi="Times New Roman"/>
          <w:color w:val="0070C0"/>
          <w:sz w:val="16"/>
          <w:szCs w:val="16"/>
        </w:rPr>
      </w:pPr>
    </w:p>
    <w:p w14:paraId="4E6CF0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в Норвегии был потоплен авианосец Glorious, а линкор Шарнхост получил тяжелые повреждения (2244,4).</w:t>
      </w:r>
    </w:p>
    <w:p w14:paraId="444E706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3A53D2"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8 июня</w:t>
      </w:r>
      <w:r w:rsidRPr="00DB5D0D">
        <w:rPr>
          <w:rFonts w:ascii="Times New Roman" w:hAnsi="Times New Roman"/>
          <w:color w:val="000000" w:themeColor="text1"/>
          <w:sz w:val="16"/>
          <w:szCs w:val="16"/>
        </w:rPr>
        <w:t xml:space="preserve"> в 1940 году корабли Шарнхорст и Гнейзенау потопили авианосец Глориес и 3 эсминца соправождения. (Операция "Аlphabet") (14916).</w:t>
      </w:r>
    </w:p>
    <w:p w14:paraId="28AE4834"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4114AD1C"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немцы отбили Нарвик (2244,4).</w:t>
      </w:r>
    </w:p>
    <w:p w14:paraId="5141EA2E"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68C1CCD6"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8 июня 1940 г. союзные войска повторно эвакуировались из Норвегии. Вместе с ними страну покинуло королевское правительство (3871).</w:t>
      </w:r>
    </w:p>
    <w:p w14:paraId="6DDC1DAF"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306BAAA7" w14:textId="77777777" w:rsidR="0038388D" w:rsidRPr="00DB5D0D" w:rsidRDefault="0038388D"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8 июня</w:t>
      </w:r>
      <w:r w:rsidRPr="00DB5D0D">
        <w:rPr>
          <w:rFonts w:ascii="Times New Roman" w:hAnsi="Times New Roman"/>
          <w:color w:val="000000" w:themeColor="text1"/>
          <w:sz w:val="16"/>
          <w:szCs w:val="16"/>
        </w:rPr>
        <w:t xml:space="preserve"> в 1940 году закончилась вторая морская битва за Нарвик. Битва при Нарвике — серия сражений между немецкими армией и флотом с одной стороны и коалиционными силами Англии, Франции, Норвегии и Польши с другой. Битва за Нарвик продлилась с 9 апреля по 8 июня 1940 года. Битва разделилась на морскую фазу операции прошедшую в акватории Офотфьорда (другое распространённое название — «Нарвик фьорд») и наземную часть, где боестолкновения шли в окрестностях города Нарвика и прилегающих к нему Норвежскому скальному массиву. Нарвик - порт на севере Норвегии, связанный железной дорогой со шведским железорудным бассейном Кируна (до границы 34 км, только на этом участке проходит через 24 туннеля). Собственно других сухопутных коммуникаций там нет и в остальную Норвегию можно добраться исключительно по морю. Высадившиеся в апреле войска 3-й горнострелковой дивизии генерала Э.Дитля заняли Нарвик, но тут же оказались отрезанными от снабжения силами Роял Нэви, а вскоре англичане высадили в окрестностях Нарвика крупный десант. К концу мая 1940 соотношение сил достигло 28 тысяч союзников (плюс 6-я норвежская дивизия генерала Фляйшера - около 5 тысяч) против примерно 5 тысяч немцев (из них егеря - примерно половина, остальное - парашютисты и моряки с потопленных кораблей). Войска Дитля крайне страдали от недостатка боеприпасов, продовольствия, и даже тёплой одежды (Нарвик расположен за Полярным кругом, к тому же в горах, и там довольно прохладно даже летом). Союзники, напротив, от этого не страдали, успешно </w:t>
      </w:r>
      <w:r w:rsidRPr="00DB5D0D">
        <w:rPr>
          <w:rFonts w:ascii="Times New Roman" w:hAnsi="Times New Roman"/>
          <w:color w:val="000000" w:themeColor="text1"/>
          <w:sz w:val="16"/>
          <w:szCs w:val="16"/>
        </w:rPr>
        <w:lastRenderedPageBreak/>
        <w:t>поддерживая коммуникации с Англией и Францией (часть корпуса Корка составляли французы, снабжение велось французскими кораблями, боевые корабли так же участвовали) - ни один транспорт не был потерян.</w:t>
      </w:r>
    </w:p>
    <w:p w14:paraId="2D7E87AF"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Отчасти в этом виноват "торпедный кризис" - в то время подводные лодки Германии практически не могли потопить корабли противника, т.к. торпеды не взрывались; отчасти же большая удалённость Нарвика от аэродромов Люфтваффе (ближайший, Вернэс, находится в 600 км). 27 мая началось решающее наступление союзников, Нарвик был взят штурмом, а войска Дитля оттеснены (с большими потерями, из которых 2/3 составили пленные) к шведской границе. Числа 8-го июня планировалось додавить его окончательно. Но в Роял Нэви на этот момент уже было принято решение об эвакуации Нарвика под влиянием катастрофы во Франции и необходимостью - как тогда считалось - оборонять Англию от вторжения. Эвакуация прошла без сучка и задоринки как раз 8 июня, за исключением того, что авианосец "Глориес" некстати встретил в море германские линкоры и затонул. В заключении хочется отметить, что в этом сражении самое активное участие приняли польские части. Это была Польская бригада подхаланских стрелков, созданная 9 февраля 1940, успешно участвовала в Битве за Нарвик с 28 мая по 7 июня 1940 года. Это было первое сухопутное поражение Вермахта во Второй Мировой, в котором Вермахт не смог восстановить утраченные позиции собственными силами. Отход союзников из Нарвика 8 июня 1940 был вызван стратегическими соображениями из-за негативного для низ развития Битвы за Францию. Бригада состояла из 4-х батальонов. Для участия в Битве за Нарвик ей был придан один французский лёгкий горнострелковый дивизион (14916).</w:t>
      </w:r>
    </w:p>
    <w:p w14:paraId="6A281532"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1EC20A17"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8 июня</w:t>
      </w:r>
      <w:r w:rsidRPr="00DB5D0D">
        <w:rPr>
          <w:rFonts w:ascii="Times New Roman" w:hAnsi="Times New Roman"/>
          <w:color w:val="000000" w:themeColor="text1"/>
          <w:sz w:val="16"/>
          <w:szCs w:val="16"/>
        </w:rPr>
        <w:t xml:space="preserve"> в 1940 году принято решение считать подводную лодку «Orzel» пропавшей без вести. Эта большая подводная лодка, построенная в 1936-1938 гг. голландской верфью «Конинклейке маатсхапей де схельде» во Флнссингене, предназначалась для дальних плаваний. Она была куплена Польшей на собранные народом средства и 10 февраля 1939 г. прибыла в Гдыню. А 1 сентября, в день начала войны, она уже заняла свою позицию возле полуострова Хель для участия в боевой операции под шифром «Мешок». Через несколько дней лодку направили на север, однако по пути из-за аварии компрессора и болезни командира ей пришлось зайти в порт Таллин. Здесь ее интернировали эстонские буржуазные власти в нарушение норм международного права. Но команда уже с другим капитаном на частично разоруженной лодке и без карт сумела выйти из порта и пробиться в Англию. Корабль приписали ко второй флотилии подводных лодок, базировавшихся в Росайте. 18 января 1940 г. началась боевая жизнь «Орла» на Северном море в качестве патрульного корабля. В одно из патрульных плаваний лодке удалось одержать крупную победу - потопить немецкое судно «Рио-де-Жанейро» и одновременно вывести из строя вражеский тральщик, который, вероятно, также затонул. 23 мая 1940 г. «Орел» вышел в очередной рейс, из которого не вернулся на базу. Лодка затонула, очевидно, вблизи Гельголанда. Она либо наскочила на мину, либо была по ошибке торпедирована голландской подводной лодкой. Основные характеристики: длина - 84 м, ширина - 6,7 м, осадка - 4,2 м, водоизмещение - 1110/1650 т, мощность двигателей внутреннего сгорания - 4740 л. с, мощность электродвигателей - 1000 л. с, скорость - 20/10 уз, команда - 62 чел.</w:t>
      </w:r>
    </w:p>
    <w:p w14:paraId="1509CF8D"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105-миллиметровая пушка, две 40-миллиметровые зенитные пушки (1 X 2), 12 533-миллиметровых торпедных аппаратов. Окраска: нижняя часть корпуса - зеленая; палуба - естественный цвет древесины; верхняя часть корпуса, боевая рубка - серые; якорь, кабестан - черные; спасательные буи - белые с красным; тактические знаки - белые (14916).</w:t>
      </w:r>
    </w:p>
    <w:p w14:paraId="346C1ABB"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324A4ED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объявлено об открытии плутониума, 93-го элемента в периодической таблице (4962).</w:t>
      </w:r>
    </w:p>
    <w:p w14:paraId="67BFCFA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48DCD9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F154C9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F26EB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С.В.И. писал письмо N 637 А.И.Ш. и Я.В.Смушкевичу (1270):</w:t>
      </w:r>
    </w:p>
    <w:p w14:paraId="5336DF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некоторым прохладным отношением к заказу бронированного штурмовика БШ-2 АМ-35, прошедшему гос. испытания, считаем долгом изложить наши соображения по поводу этого самолета (1270).</w:t>
      </w:r>
    </w:p>
    <w:p w14:paraId="7B3A9E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w:t>
      </w:r>
    </w:p>
    <w:p w14:paraId="12E1A4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Бомбовое вооружение (1270):</w:t>
      </w:r>
    </w:p>
    <w:p w14:paraId="75763F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может везти при нормальной нагрузке следующие варианты бомб:</w:t>
      </w:r>
    </w:p>
    <w:p w14:paraId="547E8B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4 шт. по 100 кг = 400 кг</w:t>
      </w:r>
    </w:p>
    <w:p w14:paraId="15C1A1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16 шт. по 25 кг = 400 кг</w:t>
      </w:r>
    </w:p>
    <w:p w14:paraId="406523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24 шт. по 10 кг = 240 кг</w:t>
      </w:r>
    </w:p>
    <w:p w14:paraId="031B25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140 шт. по 2.5 кг = 350 кг (осколочные бомбы).</w:t>
      </w:r>
    </w:p>
    <w:p w14:paraId="4385D1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120 шт. по 1 кг = 120 кг (зажигательные бомбы).</w:t>
      </w:r>
    </w:p>
    <w:p w14:paraId="7FB11C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 перегрузке самолет может везти следующие варианты бомб:</w:t>
      </w:r>
    </w:p>
    <w:p w14:paraId="489FC1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2 шт. по 250 кг = 500 кг</w:t>
      </w:r>
    </w:p>
    <w:p w14:paraId="33BE0C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6 шт. по 100 кг = 600 кг</w:t>
      </w:r>
    </w:p>
    <w:p w14:paraId="1CF18E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24 шт. по 25 кг = 600 кг</w:t>
      </w:r>
    </w:p>
    <w:p w14:paraId="79FCFF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Химическое вооружение (1270):</w:t>
      </w:r>
    </w:p>
    <w:p w14:paraId="79F549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может везти в нормальном варианте следующее химическое вооружение:</w:t>
      </w:r>
    </w:p>
    <w:p w14:paraId="5220F7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2 универсальных бака с ОВ и ДВ по 90 кг каждый внутри крыла</w:t>
      </w:r>
    </w:p>
    <w:p w14:paraId="55BE79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2 ВАП с зажигательными приборами</w:t>
      </w:r>
    </w:p>
    <w:p w14:paraId="074952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2 дымовых прибора УХАП по 90 л каждый</w:t>
      </w:r>
    </w:p>
    <w:p w14:paraId="22FF96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Стрелковое вооружение (1270):</w:t>
      </w:r>
    </w:p>
    <w:p w14:paraId="424474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имеет для штурмового действия 4 пулемета ШКАС в крыле с 3000 патронами и для защиты сзади сверху один ШКАС на турельной установке</w:t>
      </w:r>
    </w:p>
    <w:p w14:paraId="573E72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Указанное выше вооружение самолета - бомбовое, химическое и стрелковое - является чрезвычайно мощным вооружением для самолета этого типа и не уступает по мощности 2-х моторным бомбардировщикам ближнего действия.</w:t>
      </w:r>
    </w:p>
    <w:p w14:paraId="11C38E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w:t>
      </w:r>
    </w:p>
    <w:p w14:paraId="1650E5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 самолета получены: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3AB1E071" w14:textId="77777777" w:rsidTr="009223E5">
        <w:tc>
          <w:tcPr>
            <w:tcW w:w="5749" w:type="dxa"/>
            <w:tcBorders>
              <w:top w:val="single" w:sz="12" w:space="0" w:color="auto"/>
            </w:tcBorders>
          </w:tcPr>
          <w:p w14:paraId="386E75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скорость максимальная у земли</w:t>
            </w:r>
          </w:p>
        </w:tc>
        <w:tc>
          <w:tcPr>
            <w:tcW w:w="5749" w:type="dxa"/>
            <w:tcBorders>
              <w:top w:val="single" w:sz="12" w:space="0" w:color="auto"/>
            </w:tcBorders>
          </w:tcPr>
          <w:p w14:paraId="00AE52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362 км/час (скорость получена при полете на номинальной мощности, а на максимальной - 375 км/час);</w:t>
            </w:r>
          </w:p>
        </w:tc>
      </w:tr>
      <w:tr w:rsidR="007D5DF8" w:rsidRPr="00DB5D0D" w14:paraId="04DF2792" w14:textId="77777777" w:rsidTr="009223E5">
        <w:tc>
          <w:tcPr>
            <w:tcW w:w="5749" w:type="dxa"/>
          </w:tcPr>
          <w:p w14:paraId="54FC1B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скорость на расчетной высоте</w:t>
            </w:r>
          </w:p>
        </w:tc>
        <w:tc>
          <w:tcPr>
            <w:tcW w:w="5749" w:type="dxa"/>
          </w:tcPr>
          <w:p w14:paraId="66B9E6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422 км/час</w:t>
            </w:r>
          </w:p>
        </w:tc>
      </w:tr>
      <w:tr w:rsidR="007D5DF8" w:rsidRPr="00DB5D0D" w14:paraId="06D37259" w14:textId="77777777" w:rsidTr="009223E5">
        <w:tc>
          <w:tcPr>
            <w:tcW w:w="5749" w:type="dxa"/>
          </w:tcPr>
          <w:p w14:paraId="7FFDAD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потолок</w:t>
            </w:r>
          </w:p>
        </w:tc>
        <w:tc>
          <w:tcPr>
            <w:tcW w:w="5749" w:type="dxa"/>
          </w:tcPr>
          <w:p w14:paraId="41EB9C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 м</w:t>
            </w:r>
          </w:p>
        </w:tc>
      </w:tr>
      <w:tr w:rsidR="007D5DF8" w:rsidRPr="00DB5D0D" w14:paraId="68C40D84" w14:textId="77777777" w:rsidTr="009223E5">
        <w:tc>
          <w:tcPr>
            <w:tcW w:w="5749" w:type="dxa"/>
            <w:tcBorders>
              <w:bottom w:val="single" w:sz="12" w:space="0" w:color="auto"/>
            </w:tcBorders>
          </w:tcPr>
          <w:p w14:paraId="78D667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техническая дальность</w:t>
            </w:r>
          </w:p>
        </w:tc>
        <w:tc>
          <w:tcPr>
            <w:tcW w:w="5749" w:type="dxa"/>
            <w:tcBorders>
              <w:bottom w:val="single" w:sz="12" w:space="0" w:color="auto"/>
            </w:tcBorders>
          </w:tcPr>
          <w:p w14:paraId="544B53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618 км (1270)</w:t>
            </w:r>
          </w:p>
        </w:tc>
      </w:tr>
    </w:tbl>
    <w:p w14:paraId="444765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Полученные летные данные самолета, особенно скорость у земли не уступают по своей величине летным данным небронированных самолетов этого типа (1270).</w:t>
      </w:r>
    </w:p>
    <w:p w14:paraId="01FCBD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w:t>
      </w:r>
    </w:p>
    <w:p w14:paraId="580660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БШ-2 АМ-35 по своим пилотажным свойствам, как это отмечено на гос. испытаниях: взлет, набор высоты, горизонтальный полет, вираж, планирование и посадка - просты (1270).</w:t>
      </w:r>
    </w:p>
    <w:p w14:paraId="07A885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w:t>
      </w:r>
    </w:p>
    <w:p w14:paraId="671073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работы различных видов бомбового вооружения такова (1270):</w:t>
      </w:r>
    </w:p>
    <w:p w14:paraId="7D3E5D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6 выводов "Бомбардировочное и химическое вооружение по своему объему соответствует ТТТ и при испытаниях действовало безотказно" (1270).</w:t>
      </w:r>
    </w:p>
    <w:p w14:paraId="5C92A7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(значит испытывали, интересно что и в скольких полетах).</w:t>
      </w:r>
    </w:p>
    <w:p w14:paraId="0136FD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касается работы стрелковой установки, то имели лишь отказы из-за недостаточной ширины патронных ящиков и рукавов питания и то только лишь для одного типа патронов (удлиненные). Недостаток этот на самолете уже устранен (1270).</w:t>
      </w:r>
    </w:p>
    <w:p w14:paraId="35B546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 выводах по отчету гос. испытаний отмечено (1270):</w:t>
      </w:r>
    </w:p>
    <w:p w14:paraId="066045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8-й выводов: "Пилотажно-навигационные приборы, приборы ВМГ, кислородное оборудование по своему объему полностью, а электрооборудование в основном соответствует техническому назначению самолета, за исключением радиостанции, которая на самолете не установлена (1270).</w:t>
      </w:r>
    </w:p>
    <w:p w14:paraId="3647A6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9-й выводов: "В конструктивном отношении самолет выполнен хорошо, основные агрегаты конструкции самолета - шасси, закрылки, управление самолетом и мотором - надежны и при испытаниях действовали безотказно (1270).</w:t>
      </w:r>
    </w:p>
    <w:p w14:paraId="75B91B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 выводов: "Дефектов, опасных для полетов при испытании не обнаружено" (1270).</w:t>
      </w:r>
    </w:p>
    <w:p w14:paraId="5952B0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с точки зрения боевого вооружения, летных данных, пилотажных свойств, надежности работы боевого и эксплуатационного вооружения, а также быстрота, с которой самолет прошел гос. испытания (в течение 19 дней) говорит о том, что самолет может быть немедленно запущен в серийное производство (1270).</w:t>
      </w:r>
    </w:p>
    <w:p w14:paraId="5457A2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Теперь необходимо остановиться на недочетах, выявленных при гос. испытаниях (1270):</w:t>
      </w:r>
    </w:p>
    <w:p w14:paraId="410B1D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отчета по гос. испытаниям написано:</w:t>
      </w:r>
    </w:p>
    <w:p w14:paraId="626667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"Основными недочетами самолета являются (1270):</w:t>
      </w:r>
    </w:p>
    <w:p w14:paraId="0D93A8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(не очень-то соответствует тексту отчета).</w:t>
      </w:r>
    </w:p>
    <w:p w14:paraId="74B2A9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Неудовлетворительный обзор вперед для летчика и штурмана, обусловленный аэродинамической схемы самолета и необычной формой козырька и фонаря;</w:t>
      </w:r>
    </w:p>
    <w:p w14:paraId="050F57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Недостаточная продольная устойчивость - полет с брошенной ручкой невозможен;</w:t>
      </w:r>
    </w:p>
    <w:p w14:paraId="3893A4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Недостаточные маневренность и управляемость, являющиеся следствием сравнительно большого веса самолета;</w:t>
      </w:r>
    </w:p>
    <w:p w14:paraId="131499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Недоведенность неподвижных (крыльевых) стрелковых установок;</w:t>
      </w:r>
    </w:p>
    <w:p w14:paraId="184787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Недоведенность мотора АМ-35;</w:t>
      </w:r>
    </w:p>
    <w:p w14:paraId="0B300C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Недостаточная дальность полета" (1270).</w:t>
      </w:r>
    </w:p>
    <w:p w14:paraId="4D4BEC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дальнейшего текста видно, что порядок - именно такой. Кроме того, вряд ли С.В.И. рискнул бы цитировать эти замечания вольно).</w:t>
      </w:r>
    </w:p>
    <w:p w14:paraId="74B41C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остановиться подробно на каждом из этих пунктов (1270).</w:t>
      </w:r>
    </w:p>
    <w:p w14:paraId="3CAA20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поводу неудовлетворительного обзора вперед для летчика необходимо сказать, что с точки зрения пилотажных свойств самолета, руление, взлет, планирование, посадка - самолет БШ-2 АМ-35 имеет обзор вперед не хуже, чем, например, И-15, И-16 и новые истребители с водяным мотором типа АМ-35. Таким образом, с точки зрения пилотажных свойств это явление присуще всем одномоторным самолетам (1270).</w:t>
      </w:r>
    </w:p>
    <w:p w14:paraId="65A7D8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рассматривать неудовлетворительный обзор вперед у летчика с точки зрения стрельбы по наземным целям, то как проверено на испытаниях стрельбой, с этой точки зрения, стрельба по наземным целям может производиться вполне нормально.</w:t>
      </w:r>
    </w:p>
    <w:p w14:paraId="731AAB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одноместные самолеты, проходившие испытания в НИИ, имеют в отчетах записанным пункт о неудовлетворительном обзоре вперед. Поэтому записанный в таком виде пункт мы не можем рассматривать как дефект (1270).</w:t>
      </w:r>
    </w:p>
    <w:p w14:paraId="614353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кардинального решения вопроса о характере обзора вперед, необходимо перейти на какую-либо новую схему самолета, но этот вопрос не может относиться к конкретному БШ-2 АМ-35.</w:t>
      </w:r>
    </w:p>
    <w:p w14:paraId="6EF3E2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отношении неудовлетворительного обзора у штурмана, то точно также это вытекает из одномоторной схемы самолета и это обстоятельство ни в коей мере не лишает возможности вести нормальную боевую работу летчика-наблюдателя из штурманской кабины (1270).</w:t>
      </w:r>
    </w:p>
    <w:p w14:paraId="1D3303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же касается собственно обзора вперед, то броневая металлическая перегородка, стоящая между наблюдателем и летчиком, может быть в последующем сделана из прозрачной брони (1270).</w:t>
      </w:r>
    </w:p>
    <w:p w14:paraId="491E1B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вопросу недостаточной продольной устойчивости отмечено, что "самолет имеет недостаточную продольную устойчивость - полет с брошенным управлением - невозможен". Этот пункт относится к пилотажным свойствам самолета. Но выше указано, что на гос. испытаниях найдено и зафиксировано в отчете об испытаниях, что самолет в пилотажном отношении прост и конкретно, недостаточная продольная устойчивость в отношении самолета БШ-2 не вносит каких-либо осложнений или затруднений в его пилотирование. Что же касается дальнейшего повышения продольной устойчивости самолета, то это можно рассматривать как дальнейшее упрощение уже простых пилотажных свойств самолета БШ-2 (1270).</w:t>
      </w:r>
    </w:p>
    <w:p w14:paraId="231FBC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мы считаем необходимым установить, что пилотажные свойства самолета БШ-2 АМ-35 просты (несмотря на его недостаточную продольную устойчивость) и считаем, что рассматривать этот пункт как препятствие к запуску в серию самолета БШ-2 АМ-35 неправильно (1270).</w:t>
      </w:r>
    </w:p>
    <w:p w14:paraId="139D1A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отношении пункта 3 о недостаточной маневренности и управляемости вследствие большого сравнительно веса самолета, необходимо отметить, что критерия в отношении элементов маневренности у нас для штурмовиков не установлено и нет. Очевидно, что чем меньше времени потрачено на маневр, тем лучше, но это слишком общая формулировка и поэтому неприемлемая. А кроме того, естественно, что при прочих равных условиях тот самолет будет иметь лучшую маневренность, который будет не бронирован. Очевидно, что этот пункт, к тому же зафиксированный в таком общем виде, мы не можем принять как дефект (1270).</w:t>
      </w:r>
    </w:p>
    <w:p w14:paraId="0CFBD9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пункту 4-му "о недоведенности неподвижных крыльевых установок" нами выше уже отмечалось, что эта недоведенность отмечается потому, что только для одного типа патронов оказались узки патронные ящики и патронные ленты. Ящик и патронные ленты уже изготовлены уширенные. За исключением стрельбы этими узкими патронами, стрелковая установка работала хорошо (1270).</w:t>
      </w:r>
    </w:p>
    <w:p w14:paraId="34E633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пункту 6-му "недостаточная дальность полета". Кроме этой общей формулировки ничего не сказано, а какая дальность нужна? Опять таки вообще говоря, чем больше дальность полета, тем лучше, если только увеличение дальности идет не за счет каких-либо других боевых или летных качеств самолета. Но это не всегда возможно и конкретно в применении к самолету БШ-2 АМ-35 увеличение дальности вызовет в других отношениях значительное ухудшение ряда качеств самолета, о которых будет сказано ниже (1270).</w:t>
      </w:r>
    </w:p>
    <w:p w14:paraId="7E507E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 испытаниях зафиксировано, что техническая дальность самолета 618 км, причем эта дальность была замерена при полете на высоте 200 м от земли и при скорости 330 км/час. Даже при этой скорости дальность для подобного типа самолета вполне достаточная, т.к. он будет иметь тактическую дальность 500 км. Но эта дальность не максимальная (1270).</w:t>
      </w:r>
    </w:p>
    <w:p w14:paraId="7108FF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просим НИИ ГУАС произвести проверку дальности на скорости не 330, а 300 км/час, но НИИ ГУАС почему то не определило дальность на этой скорости, а очевидно, что при скорости 300 км/час на той же высоте 200 м техническая дальность полета увеличится до 700-750 км, что даст тактическую дальность 600 км. Мы считаем, что такая дальность вполне достаточна для бронированного штурмовика (1270).</w:t>
      </w:r>
    </w:p>
    <w:p w14:paraId="013CA5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Увеличение дальности полета для самолета БШ-2 АМ-35 заставляет увеличивать горючее, а т.к. горючее поместить в забронированную часть фюзеляжа невозможно, то приходится ставить дополнительный бак в незащищенной броней части фюзеляжа за задним стрелком, что сразу же:</w:t>
      </w:r>
    </w:p>
    <w:p w14:paraId="0E9DB8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резко увеличит уязвимость самолета;</w:t>
      </w:r>
    </w:p>
    <w:p w14:paraId="53BC4F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ухудшит центровку;</w:t>
      </w:r>
    </w:p>
    <w:p w14:paraId="7A2FE7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усложнит бензиновую схему самолета и уменьшит надежность работы, что недопустимо для полета на низких высотах и может быть причиной отказа в работе бензосистемы. Гарантировать безотказную работу такой системы невозможно;</w:t>
      </w:r>
    </w:p>
    <w:p w14:paraId="1ADB18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значительно увеличит вес самолета.</w:t>
      </w:r>
    </w:p>
    <w:p w14:paraId="62563F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важно, так как вранье - оказалось очень даже возможно - просто не захотели и потеряли стрелка, а потом - почему не в крыло, почему сильно ухудшится надежность).</w:t>
      </w:r>
    </w:p>
    <w:p w14:paraId="21BF16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с одной стороны, мы имеем достаточную все же для бронированного штурмовика дальность и с другой стороны, увеличение дальности влечет за собой ухудшение самолета, как отмечено выше.</w:t>
      </w:r>
    </w:p>
    <w:p w14:paraId="3AD0AD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считаем, что увеличивать дальность не следует.</w:t>
      </w:r>
    </w:p>
    <w:p w14:paraId="72986F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следует еще и потому, что увеличение веса самолета более целесообразно вести за счет увеличения толщины брони. В данный момент самолет имеет следующую броню: задняя стенка штурмана и верхняя перегородка между летчиком и штурманом - толщина 7 мм, боковая броня на боках кабины штурмана и летчика - 6 мм, а остальная броня - 4-5 мм (1270).</w:t>
      </w:r>
    </w:p>
    <w:p w14:paraId="5CEB24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об утолщении брони является серьезным вопросом, т.к. с одной стороны, повышает увеличение неуязвимости самолета, а с другой стороны, прямо и непосредственно ухудшает его летные и боевые активные свойства. Таким образом, задача сводится к тому, чтобы найти оптимум (1270).</w:t>
      </w:r>
    </w:p>
    <w:p w14:paraId="43F22C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Можно взять такой толщины броню, что самолет по своим летным и боевым свойствам будет совершенно неприемлемым. Он будет иметь толстую броню, но будет иметь затяжной взлет с большим разбегом, плохую скороподъемность, будет еще более инертным и неприятным в пилотировании. Активная боевая ценность такого самолета, будет очень низкой.</w:t>
      </w:r>
    </w:p>
    <w:p w14:paraId="3C9641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Следовательно, для данного типа самолета, при сегодняшних наших средствах: моторы, материалы, минимума необходимого бомбового и стрелкового вооружения, потребная скорость и другие летные данные определяют толщину брони для самолета, у которого забронированы все жизненные части, как у самолета БШ-2 АМ-35 (1270).</w:t>
      </w:r>
    </w:p>
    <w:p w14:paraId="6B6CBB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же касается дальнейшего увеличения толщины брони, то это увеличение возможно при установке мотора АМ-28 (АМ-35 с уменьшенной крыльчаткой и поэтому название мотора под новым номером 38 неправильно. Следовало бы называть его мотором АМ-35-Ш, т.е. для штурмовиков (1270).</w:t>
      </w:r>
    </w:p>
    <w:p w14:paraId="45568F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предварительным подсчетам, при установке мотора АМ-35-Ш толщину брони в некоторых частях можно увеличить:</w:t>
      </w:r>
    </w:p>
    <w:p w14:paraId="24B926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заднюю стенку кабины штурмана и верхнюю перегородку между штурманом и летчиком с 7 мм до 15 мм;</w:t>
      </w:r>
    </w:p>
    <w:p w14:paraId="6E108A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верхние боковые стенки кабины штурмана и летчика с 6 мм до 8 мм;</w:t>
      </w:r>
    </w:p>
    <w:p w14:paraId="0BA179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боковые стенки, прикрывающие нижний бензобак с 5 мм до 6 мм;</w:t>
      </w:r>
    </w:p>
    <w:p w14:paraId="4CBE27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боковые вертикальные стенки тоннеля маслорадиатора с 5 мм до 6 мм. Остальная броня - 4 мм (1270).</w:t>
      </w:r>
    </w:p>
    <w:p w14:paraId="35F275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(1270).</w:t>
      </w:r>
    </w:p>
    <w:p w14:paraId="31A185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w:t>
      </w:r>
    </w:p>
    <w:p w14:paraId="1C91C2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Бронированный самолет БШ-2 АМ-35 является новым самолетом с мощным стрелковым вооружением и мощным разнообразным бомбовым вооружением, с броневой защитой, которая обеспечивает нам значительно меньший урон и меньшие потери при атаке целей, по сравнению с самолетами, не имеющими брони;</w:t>
      </w:r>
    </w:p>
    <w:p w14:paraId="1EEABF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Броневая защита сначала отдельных частей, а потом и всех жизненных частей в дальнейшем несомненно будет находить все большее и большее применение. С одной стороны, вследствие того, что в этом имеется насущнейшая потребность для уменьшения потерь, а с другой стороны, авиационная техника не сегодня такова, что она может позволить ввести бронирование, не ухудшающее сильно активных боевых свойств бронированного самолета;</w:t>
      </w:r>
    </w:p>
    <w:p w14:paraId="2EB36F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про бронированный истребитель).</w:t>
      </w:r>
    </w:p>
    <w:p w14:paraId="34DA3C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Поэтому начинать внедрять бронированные самолеты, совершенно необходимо уже по одному тому, чтобы преодолеть возможные технические затруднения, связанные с этим нововведением;</w:t>
      </w:r>
    </w:p>
    <w:p w14:paraId="334848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Несомненно, что и другие типы самолета, в недалеком будущем будут сначала может быть частично, а потом и в более широком масштабе бронироваться (1270).</w:t>
      </w:r>
    </w:p>
    <w:p w14:paraId="770B05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Самолет БШ-2 АМ-35 необходимо немедленно запустить в серийное производство в таком виде, как он прошел гос. испытания (самолет N 2 со следующими исправлениями (1270):</w:t>
      </w:r>
    </w:p>
    <w:p w14:paraId="7CEFE9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облегчить управление элеронов (облегчение уже сделано);</w:t>
      </w:r>
    </w:p>
    <w:p w14:paraId="1ADB1C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(видно появились балансиры).</w:t>
      </w:r>
    </w:p>
    <w:p w14:paraId="62F321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уширить рукава и патронные коробки крыльевых пулеметных установок (уширение произведено);</w:t>
      </w:r>
    </w:p>
    <w:p w14:paraId="244F4E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изменить тягу управления жалюзи масляных радиаторов, мешающих сбрасыванию крайней бомбы (1270).</w:t>
      </w:r>
    </w:p>
    <w:p w14:paraId="11908F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что-то новое).</w:t>
      </w:r>
    </w:p>
    <w:p w14:paraId="71EF7B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показали гос. испытания самолета в этом виде является серьезным боевым средством для работы по взаимодействию с наземными войсками (1270).</w:t>
      </w:r>
    </w:p>
    <w:p w14:paraId="0B62B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 хороша мощность - 4 ШКАС. Хоть бы 6).</w:t>
      </w:r>
    </w:p>
    <w:p w14:paraId="64D99F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отношении дальнейшей работы над бронированным штурмовиком мы предполагаем сделать нижеследующее (1270):</w:t>
      </w:r>
    </w:p>
    <w:p w14:paraId="0BCFA8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установить мотор АМ-38 (АМ-35-Ш);</w:t>
      </w:r>
    </w:p>
    <w:p w14:paraId="3873E1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увеличить продольную устойчивость;</w:t>
      </w:r>
    </w:p>
    <w:p w14:paraId="50B0F1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(видно увеличили стреловидность).</w:t>
      </w:r>
    </w:p>
    <w:p w14:paraId="2F2FEE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увеличить толщину брони как указано;</w:t>
      </w:r>
    </w:p>
    <w:p w14:paraId="5CDFEE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и не сделали).</w:t>
      </w:r>
    </w:p>
    <w:p w14:paraId="15D00B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сделать переднюю часть козырька пилота из прозрачной брони;</w:t>
      </w:r>
    </w:p>
    <w:p w14:paraId="6963F9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есть брони не было).</w:t>
      </w:r>
    </w:p>
    <w:p w14:paraId="3B5FB4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внести все мелкие замечания, отмеченные на гос. испытаниях (1270).</w:t>
      </w:r>
    </w:p>
    <w:p w14:paraId="619E33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указанными в вышестоящих 5 пунктах изменениями нами может быть представлен на гос. испытания 15 августа 1940, при условии подачи нам мотора АМ-38 с винтом не позднее 1 июля (1270).</w:t>
      </w:r>
    </w:p>
    <w:p w14:paraId="0D3725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побольше, чем захотел НИИ ВВС).</w:t>
      </w:r>
    </w:p>
    <w:p w14:paraId="179755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этими изменениями должен будет пройти гос. испытания и тогда будет решен вопрос о внедрении его в серию (1270).</w:t>
      </w:r>
    </w:p>
    <w:p w14:paraId="23B8D1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ясно, а этот то внедрять или ждать нового? видно первое).</w:t>
      </w:r>
    </w:p>
    <w:p w14:paraId="0459EE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Во время гос. испытаний было высказано пожелание Гусевым об установке на самолете БШ-2 вместо 4 пулеметов 2-х пушек калибра 20 мм, а также было высказано пожелание об установке второго управления самолетом в кабине штурмана, для вывозки и проверки летного состава, причем самолет, имеющий 2-е управление может быть небоевым (1270).</w:t>
      </w:r>
    </w:p>
    <w:p w14:paraId="092CE9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(интересно, почему только вместо пулеметов, почему только 20 мм и где переписка по вооружению и его испытаниям).</w:t>
      </w:r>
    </w:p>
    <w:p w14:paraId="1B1237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об установке двух пушек 20 мм калибра нами принято и с 1-го июля мы приступаем к разработке конструкции.</w:t>
      </w:r>
    </w:p>
    <w:p w14:paraId="24EF29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(поздновато и не соответствует работам по МП-6).</w:t>
      </w:r>
    </w:p>
    <w:p w14:paraId="06081C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установкой вместо 4-х пулеметов 2-х пушек может быть предъявлен на гос. испытания в ноябре 1940 (1270).</w:t>
      </w:r>
    </w:p>
    <w:p w14:paraId="002C61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касается установки второго управления, то это возможно только в том случае, если самолет будет уже не боевым, т.к. установка второго управления требует превращения его в небоевой самолет (1270).</w:t>
      </w:r>
    </w:p>
    <w:p w14:paraId="4198DB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Такая установка второго управления может быть нами сделана на одном из самолетов первой серии (1270).</w:t>
      </w:r>
    </w:p>
    <w:p w14:paraId="203738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все же была уже массовая в августе - но фиктивная).</w:t>
      </w:r>
    </w:p>
    <w:p w14:paraId="01833E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 С.В.И. явно пытался отбрехнуться от существенных переделок. То, что в письмах Я.В.Смушкевича К.Е.В. часть обещаний С.В.И. уже нашла отражение, говорит о том, что либо были еще письма, либо переговоры).</w:t>
      </w:r>
    </w:p>
    <w:p w14:paraId="22F6AEC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9AF5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 Начальник ГУАС комдив Алексеев и Военком ГУАС бригадный комиссар Князев утвердили Отчет по испытанию серийного самолета И-153 № 6566 с мотором М-62 и винтом АВ-1 (на колесах).</w:t>
      </w:r>
    </w:p>
    <w:p w14:paraId="0FD207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7786A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3 ранга Алексеенко</w:t>
      </w:r>
    </w:p>
    <w:p w14:paraId="31A594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 в/инженер 2 ранга Максимов</w:t>
      </w:r>
    </w:p>
    <w:p w14:paraId="38410F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2F2501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летных характеристик самолета И-153 М-62 на колесах.</w:t>
      </w:r>
    </w:p>
    <w:p w14:paraId="14F7F77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самолета.</w:t>
      </w:r>
    </w:p>
    <w:p w14:paraId="07DCAFE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теплового режима мотора на всех режимах полета в летных условиях.</w:t>
      </w:r>
    </w:p>
    <w:p w14:paraId="3853E7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проходил испытания на колесах в НИИ ГУАС в конце 1939 года, которые были прерваны из-за ухудшения погоды и увеличения снежного покрова.</w:t>
      </w:r>
    </w:p>
    <w:p w14:paraId="05E83C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14 по 20 мая были продолжены летные испытания самолета И-153 № 6566 (на колесах).</w:t>
      </w:r>
    </w:p>
    <w:p w14:paraId="396DD6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5BA8D7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Повторный замер максимальных горизонтальных скоростей самолета И-153 М-62 № 6566 с убранными шасси на колесах показал, что хорошее состояние поверхностной отделки самолета и тщательная подгонка капотов и обтекателей дает увеличение максимальной скорости самолета на 13 км/час по сравнению с самолетом И-153 М-62 АВ-1 № 6062, проходившим испытания в НИИ осенью 1939 года и имевший плохую поверхностную отделку.</w:t>
      </w:r>
    </w:p>
    <w:p w14:paraId="20D0E9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9072"/>
      </w:tblGrid>
      <w:tr w:rsidR="007D5DF8" w:rsidRPr="00DB5D0D" w14:paraId="42490224" w14:textId="77777777" w:rsidTr="009223E5">
        <w:tc>
          <w:tcPr>
            <w:tcW w:w="1526" w:type="dxa"/>
            <w:tcBorders>
              <w:top w:val="single" w:sz="12" w:space="0" w:color="auto"/>
            </w:tcBorders>
          </w:tcPr>
          <w:p w14:paraId="098DC4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w:t>
            </w:r>
          </w:p>
        </w:tc>
        <w:tc>
          <w:tcPr>
            <w:tcW w:w="9072" w:type="dxa"/>
            <w:tcBorders>
              <w:top w:val="single" w:sz="12" w:space="0" w:color="auto"/>
            </w:tcBorders>
          </w:tcPr>
          <w:p w14:paraId="1EABDC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два полета на скороподъемность и скорость по высотам (Н=5000 м и Н=8000 м)</w:t>
            </w:r>
          </w:p>
        </w:tc>
      </w:tr>
      <w:tr w:rsidR="007D5DF8" w:rsidRPr="00DB5D0D" w14:paraId="3479C48B" w14:textId="77777777" w:rsidTr="009223E5">
        <w:tc>
          <w:tcPr>
            <w:tcW w:w="1526" w:type="dxa"/>
          </w:tcPr>
          <w:p w14:paraId="05E3F6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9072" w:type="dxa"/>
          </w:tcPr>
          <w:p w14:paraId="1563E5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r>
      <w:tr w:rsidR="007D5DF8" w:rsidRPr="00DB5D0D" w14:paraId="57C20C1E" w14:textId="77777777" w:rsidTr="009223E5">
        <w:tc>
          <w:tcPr>
            <w:tcW w:w="1526" w:type="dxa"/>
          </w:tcPr>
          <w:p w14:paraId="3E75C8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9072" w:type="dxa"/>
          </w:tcPr>
          <w:p w14:paraId="47991B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температурного режима ВМГ</w:t>
            </w:r>
          </w:p>
        </w:tc>
      </w:tr>
      <w:tr w:rsidR="007D5DF8" w:rsidRPr="00DB5D0D" w14:paraId="5D597BE6" w14:textId="77777777" w:rsidTr="009223E5">
        <w:tc>
          <w:tcPr>
            <w:tcW w:w="1526" w:type="dxa"/>
          </w:tcPr>
          <w:p w14:paraId="4A57C1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w:t>
            </w:r>
          </w:p>
        </w:tc>
        <w:tc>
          <w:tcPr>
            <w:tcW w:w="9072" w:type="dxa"/>
          </w:tcPr>
          <w:p w14:paraId="23A072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температурного режима ВМГ и замера максимальных горизонтальных скоростей на некоторых высотах</w:t>
            </w:r>
          </w:p>
        </w:tc>
      </w:tr>
      <w:tr w:rsidR="007D5DF8" w:rsidRPr="00DB5D0D" w14:paraId="71DAFC42" w14:textId="77777777" w:rsidTr="009223E5">
        <w:tc>
          <w:tcPr>
            <w:tcW w:w="1526" w:type="dxa"/>
            <w:tcBorders>
              <w:bottom w:val="single" w:sz="12" w:space="0" w:color="auto"/>
            </w:tcBorders>
          </w:tcPr>
          <w:p w14:paraId="4CF30D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9072" w:type="dxa"/>
            <w:tcBorders>
              <w:bottom w:val="single" w:sz="12" w:space="0" w:color="auto"/>
            </w:tcBorders>
          </w:tcPr>
          <w:p w14:paraId="23543D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взлетно-посадочных свойств самолета. Произведено три тренировочных полета и 8 для выполнения задания.</w:t>
            </w:r>
          </w:p>
        </w:tc>
      </w:tr>
    </w:tbl>
    <w:p w14:paraId="790C58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самолет находился на испытании 7 дней, из которых полетных – 4 дня (4485).</w:t>
      </w:r>
    </w:p>
    <w:p w14:paraId="69B1CF1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619544" w14:textId="77777777" w:rsidR="0061095B" w:rsidRPr="00DB5D0D" w:rsidRDefault="0061095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9 июня 1940 г. в официальном письме начальнику ВВС командарму 2-го ранга Смушкевичу и наркому Шахурину Ильюшин вопреки ранее данным обеща</w:t>
      </w:r>
      <w:r w:rsidRPr="00DB5D0D">
        <w:rPr>
          <w:rFonts w:ascii="Times New Roman" w:hAnsi="Times New Roman" w:cs="Times New Roman"/>
          <w:color w:val="000000" w:themeColor="text1"/>
          <w:sz w:val="16"/>
          <w:szCs w:val="16"/>
        </w:rPr>
        <w:softHyphen/>
        <w:t>ниям предложил немедленно запустить БШ-2 АМ-35 в том виде, в каком самолет прошел государственные испытания. То есть, в двухместном варианте со следующими изменениями: «облегчить управление элеронами», «уширить рукава и патронные коробки крыльевых установок», «изменить тягу управления жалюзи масляных радиаторов, мешающих сбрасыванию крайней бомбы».</w:t>
      </w:r>
    </w:p>
    <w:p w14:paraId="6BA84697" w14:textId="77777777" w:rsidR="0061095B" w:rsidRPr="00DB5D0D" w:rsidRDefault="0061095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Уже при серийном производстве предполагалось оснастить БШ-2 невысотным мотором АМ-38, улучшить продольную устойчивость самолета, увеличить толщину брони бронекорпуса в наиболее ответственных местах, уста</w:t>
      </w:r>
      <w:r w:rsidRPr="00DB5D0D">
        <w:rPr>
          <w:rFonts w:ascii="Times New Roman" w:hAnsi="Times New Roman" w:cs="Times New Roman"/>
          <w:color w:val="000000" w:themeColor="text1"/>
          <w:sz w:val="16"/>
          <w:szCs w:val="16"/>
        </w:rPr>
        <w:softHyphen/>
        <w:t>новить бронестекло толщиной 64 мм в лобовых стеклах фонаря кабины летчика, а также устранить все мелкие замечания, отмеченные НИИ ВВС.</w:t>
      </w:r>
    </w:p>
    <w:p w14:paraId="31A8F67C" w14:textId="77777777" w:rsidR="0061095B" w:rsidRPr="00DB5D0D" w:rsidRDefault="0061095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предварительным оценкам Ильюшина, при установке на БШ-2 мотора АМ-38 толщина задней бронестенки штурмана и бронеперегородки между летчиком и штурманом в ее верхней ча</w:t>
      </w:r>
      <w:r w:rsidRPr="00DB5D0D">
        <w:rPr>
          <w:rFonts w:ascii="Times New Roman" w:hAnsi="Times New Roman"/>
          <w:color w:val="000000" w:themeColor="text1"/>
          <w:sz w:val="16"/>
          <w:szCs w:val="16"/>
        </w:rPr>
        <w:softHyphen/>
        <w:t>сти могла достигать 15 мм (вместо 7 мм). Это обеспечивало вполне надежную защиту в типовых условиях воздушного боя при обстреле из авиационных пушек калибра 20 мм. Одновременно увеличи</w:t>
      </w:r>
      <w:r w:rsidRPr="00DB5D0D">
        <w:rPr>
          <w:rFonts w:ascii="Times New Roman" w:hAnsi="Times New Roman"/>
          <w:color w:val="000000" w:themeColor="text1"/>
          <w:sz w:val="16"/>
          <w:szCs w:val="16"/>
        </w:rPr>
        <w:softHyphen/>
        <w:t>вались толщины брони боковых стенок кабины летчика и штурмана в верхней части - с 6 до 8 мм, боковых бронестенок, прикрывающих нижний бензобак, и боковых стенок бронекорзины маслора- диатора - с 5 до 6 мм. Остальная броня оставалась прежней - 4 мм.</w:t>
      </w:r>
    </w:p>
    <w:p w14:paraId="3A04AE9E" w14:textId="77777777" w:rsidR="0061095B" w:rsidRPr="00DB5D0D" w:rsidRDefault="0061095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Срок предъявления самолета с этими изменениями в НИИ ВВС для производства государственных испытаний оценивался не позже 15 августа при усло</w:t>
      </w:r>
      <w:r w:rsidRPr="00DB5D0D">
        <w:rPr>
          <w:rFonts w:ascii="Times New Roman" w:hAnsi="Times New Roman" w:cs="Times New Roman"/>
          <w:color w:val="000000" w:themeColor="text1"/>
          <w:sz w:val="16"/>
          <w:szCs w:val="16"/>
        </w:rPr>
        <w:softHyphen/>
        <w:t>вии подачи заводу №39 мотора АМ-38 и воздушного винта не позднее 1 июля.</w:t>
      </w:r>
    </w:p>
    <w:p w14:paraId="60ABA662" w14:textId="77777777" w:rsidR="0061095B" w:rsidRPr="00DB5D0D" w:rsidRDefault="0061095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Вторым этапом предлагалось установить на БШ-2 две пушки ШВАК калибра 20 мм и с ними в ноябре 1940 г. предъявить самолет на государственные испытания.</w:t>
      </w:r>
    </w:p>
    <w:p w14:paraId="341AE647" w14:textId="77777777" w:rsidR="0061095B" w:rsidRPr="00DB5D0D" w:rsidRDefault="0061095B"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В обоснование своей позиции Ильюшин указывал:«</w:t>
      </w:r>
      <w:r w:rsidRPr="00DB5D0D">
        <w:rPr>
          <w:rFonts w:ascii="Times New Roman" w:hAnsi="Times New Roman"/>
          <w:color w:val="000000" w:themeColor="text1"/>
          <w:sz w:val="16"/>
          <w:szCs w:val="16"/>
        </w:rPr>
        <w:t>Таким образом, с точки зрения боевого вооружения, летных данных, пилотажных свойств, надежности работы боевого и эксплуатационного вооружения, а также быстрота, с которой самолет прошел гос. испытания (в течение 19 дней), говорит о том, что самолет может быть немедленно запущен в серийное производство./.../ Бронированный самолет БШ-2 АМ-35 является новым самолетом с мощным стрелковым вооружением и мощным разнообразным бомбовым вооружением, с броневой защитой, которая обеспечивает нам значительно меньший урон и меньшие потери при атаке целей, по сравнению с самолетами, не имеющими брони./.../Бро</w:t>
      </w:r>
      <w:r w:rsidRPr="00DB5D0D">
        <w:rPr>
          <w:rFonts w:ascii="Times New Roman" w:hAnsi="Times New Roman"/>
          <w:color w:val="000000" w:themeColor="text1"/>
          <w:sz w:val="16"/>
          <w:szCs w:val="16"/>
        </w:rPr>
        <w:softHyphen/>
        <w:t>невая защита сначала отдельных частей, а потом и всех жизненных частей, в даль</w:t>
      </w:r>
      <w:r w:rsidRPr="00DB5D0D">
        <w:rPr>
          <w:rFonts w:ascii="Times New Roman" w:hAnsi="Times New Roman"/>
          <w:color w:val="000000" w:themeColor="text1"/>
          <w:sz w:val="16"/>
          <w:szCs w:val="16"/>
        </w:rPr>
        <w:softHyphen/>
        <w:t>нейшем, несомненно, будет находить все большее и большее применение. С одной стороны, вследствие того, что в этом имеется насущнейшая потребность для уменьшения потерь, а с другой стороны, авиационная техника на сегодня такова, что она может позволить ввести брони</w:t>
      </w:r>
      <w:r w:rsidRPr="00DB5D0D">
        <w:rPr>
          <w:rFonts w:ascii="Times New Roman" w:hAnsi="Times New Roman"/>
          <w:color w:val="000000" w:themeColor="text1"/>
          <w:sz w:val="16"/>
          <w:szCs w:val="16"/>
        </w:rPr>
        <w:softHyphen/>
        <w:t xml:space="preserve">рование, не ухудшающее сильно активных боевых свойств бронированного самолета. </w:t>
      </w:r>
      <w:r w:rsidRPr="00DB5D0D">
        <w:rPr>
          <w:rFonts w:ascii="Times New Roman" w:hAnsi="Times New Roman"/>
          <w:color w:val="000000" w:themeColor="text1"/>
          <w:sz w:val="16"/>
          <w:szCs w:val="16"/>
        </w:rPr>
        <w:lastRenderedPageBreak/>
        <w:t>Поэтому начинать внедрять бронирован</w:t>
      </w:r>
      <w:r w:rsidRPr="00DB5D0D">
        <w:rPr>
          <w:rFonts w:ascii="Times New Roman" w:hAnsi="Times New Roman"/>
          <w:color w:val="000000" w:themeColor="text1"/>
          <w:sz w:val="16"/>
          <w:szCs w:val="16"/>
        </w:rPr>
        <w:softHyphen/>
        <w:t>ные самолеты, совершенно необходимо уже по одному тому, чтобы преодолеть возможные технические затруднения, связанные с этим нововведением».</w:t>
      </w:r>
    </w:p>
    <w:p w14:paraId="0701021F" w14:textId="77777777" w:rsidR="0061095B" w:rsidRPr="00DB5D0D" w:rsidRDefault="0061095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Интересна попытка Ильюшина подвергнуть ревизии основные выводы отчета НИИ ВВС по результатам государ</w:t>
      </w:r>
      <w:r w:rsidRPr="00DB5D0D">
        <w:rPr>
          <w:rFonts w:ascii="Times New Roman" w:hAnsi="Times New Roman" w:cs="Times New Roman"/>
          <w:color w:val="000000" w:themeColor="text1"/>
          <w:sz w:val="16"/>
          <w:szCs w:val="16"/>
        </w:rPr>
        <w:softHyphen/>
        <w:t>ственных испытаний БШ-2 №2 в части недостатков самолета и поставить под сомнение ТТТ ВВС к самолету и требова</w:t>
      </w:r>
      <w:r w:rsidRPr="00DB5D0D">
        <w:rPr>
          <w:rFonts w:ascii="Times New Roman" w:hAnsi="Times New Roman" w:cs="Times New Roman"/>
          <w:color w:val="000000" w:themeColor="text1"/>
          <w:sz w:val="16"/>
          <w:szCs w:val="16"/>
        </w:rPr>
        <w:softHyphen/>
        <w:t>ния постановления Комитета Обороны от 29 июля 1939 г.</w:t>
      </w:r>
    </w:p>
    <w:p w14:paraId="4CBB07F3" w14:textId="77777777" w:rsidR="0061095B" w:rsidRPr="00DB5D0D" w:rsidRDefault="0061095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xml:space="preserve">По поводу неудовлетворительного обзора вперед для летчика Ильюшин </w:t>
      </w:r>
      <w:r w:rsidRPr="00DB5D0D">
        <w:rPr>
          <w:rStyle w:val="174"/>
          <w:rFonts w:ascii="Times New Roman" w:hAnsi="Times New Roman" w:cs="Times New Roman"/>
          <w:i w:val="0"/>
          <w:color w:val="000000" w:themeColor="text1"/>
          <w:sz w:val="16"/>
          <w:szCs w:val="16"/>
        </w:rPr>
        <w:t>утверждал, что «с</w:t>
      </w:r>
      <w:r w:rsidRPr="00DB5D0D">
        <w:rPr>
          <w:rFonts w:ascii="Times New Roman" w:hAnsi="Times New Roman" w:cs="Times New Roman"/>
          <w:color w:val="000000" w:themeColor="text1"/>
          <w:sz w:val="16"/>
          <w:szCs w:val="16"/>
        </w:rPr>
        <w:t xml:space="preserve"> точки зрения пилотаж</w:t>
      </w:r>
      <w:r w:rsidRPr="00DB5D0D">
        <w:rPr>
          <w:rFonts w:ascii="Times New Roman" w:hAnsi="Times New Roman" w:cs="Times New Roman"/>
          <w:color w:val="000000" w:themeColor="text1"/>
          <w:sz w:val="16"/>
          <w:szCs w:val="16"/>
        </w:rPr>
        <w:softHyphen/>
        <w:t>ных свойств это явление присуще всем одномоторным самолетам</w:t>
      </w:r>
      <w:r w:rsidRPr="00DB5D0D">
        <w:rPr>
          <w:rStyle w:val="174"/>
          <w:rFonts w:ascii="Times New Roman" w:hAnsi="Times New Roman" w:cs="Times New Roman"/>
          <w:i w:val="0"/>
          <w:color w:val="000000" w:themeColor="text1"/>
          <w:sz w:val="16"/>
          <w:szCs w:val="16"/>
        </w:rPr>
        <w:t>», а «с</w:t>
      </w:r>
      <w:r w:rsidRPr="00DB5D0D">
        <w:rPr>
          <w:rFonts w:ascii="Times New Roman" w:hAnsi="Times New Roman" w:cs="Times New Roman"/>
          <w:color w:val="000000" w:themeColor="text1"/>
          <w:sz w:val="16"/>
          <w:szCs w:val="16"/>
        </w:rPr>
        <w:t xml:space="preserve"> точки зрения стрельбы по наземным целям, то, как проверено на испытаниях стрельбой, /.../стрельба по наземным целям может производиться вполне нормально». </w:t>
      </w:r>
      <w:r w:rsidRPr="00DB5D0D">
        <w:rPr>
          <w:rStyle w:val="174"/>
          <w:rFonts w:ascii="Times New Roman" w:hAnsi="Times New Roman" w:cs="Times New Roman"/>
          <w:i w:val="0"/>
          <w:color w:val="000000" w:themeColor="text1"/>
          <w:sz w:val="16"/>
          <w:szCs w:val="16"/>
        </w:rPr>
        <w:t>В отношении неудовлетворительного обзора у штурмана,«</w:t>
      </w:r>
      <w:r w:rsidRPr="00DB5D0D">
        <w:rPr>
          <w:rFonts w:ascii="Times New Roman" w:hAnsi="Times New Roman" w:cs="Times New Roman"/>
          <w:color w:val="000000" w:themeColor="text1"/>
          <w:sz w:val="16"/>
          <w:szCs w:val="16"/>
        </w:rPr>
        <w:t xml:space="preserve">то точно также это вытекает из одномоторной схемы самолета и это обстоятельство ни в коей мере не лишает возможности вести нормальную боевую работу летчика- наблюдателя из штурманской кабины». </w:t>
      </w:r>
      <w:r w:rsidRPr="00DB5D0D">
        <w:rPr>
          <w:rStyle w:val="174"/>
          <w:rFonts w:ascii="Times New Roman" w:hAnsi="Times New Roman" w:cs="Times New Roman"/>
          <w:i w:val="0"/>
          <w:color w:val="000000" w:themeColor="text1"/>
          <w:sz w:val="16"/>
          <w:szCs w:val="16"/>
        </w:rPr>
        <w:t>И главное:«</w:t>
      </w:r>
      <w:r w:rsidRPr="00DB5D0D">
        <w:rPr>
          <w:rFonts w:ascii="Times New Roman" w:hAnsi="Times New Roman" w:cs="Times New Roman"/>
          <w:color w:val="000000" w:themeColor="text1"/>
          <w:sz w:val="16"/>
          <w:szCs w:val="16"/>
        </w:rPr>
        <w:t>Все одноместные самолеты, проходившие испытания в НИИ ВВС, имеют в отчетах записанным пункт о неудовлетворительном обзоре вперед. Поэтому записанный в таком виде пункт мы не можем рассматривать как дефект». «Для кардинального решения вопроса о характере обзора вперед» предлагалось «перейти на какую-либо новую схему самолета, но этот вопрос не может относиться к конкретному самолету БШ-2 АМ-35».</w:t>
      </w:r>
    </w:p>
    <w:p w14:paraId="3E2CC0F5" w14:textId="77777777" w:rsidR="0061095B" w:rsidRPr="00DB5D0D" w:rsidRDefault="0061095B"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По замечанию о недостаточной про</w:t>
      </w:r>
      <w:r w:rsidRPr="00DB5D0D">
        <w:rPr>
          <w:rStyle w:val="174"/>
          <w:rFonts w:ascii="Times New Roman" w:hAnsi="Times New Roman" w:cs="Times New Roman"/>
          <w:i w:val="0"/>
          <w:color w:val="000000" w:themeColor="text1"/>
          <w:sz w:val="16"/>
          <w:szCs w:val="16"/>
        </w:rPr>
        <w:softHyphen/>
        <w:t>дольной устойчивости БШ-2 отмечалось следующее:«</w:t>
      </w:r>
      <w:r w:rsidRPr="00DB5D0D">
        <w:rPr>
          <w:rFonts w:ascii="Times New Roman" w:hAnsi="Times New Roman"/>
          <w:color w:val="000000" w:themeColor="text1"/>
          <w:sz w:val="16"/>
          <w:szCs w:val="16"/>
        </w:rPr>
        <w:t>Этот пункт относится к пилотажным свойствам самолета. Но/.../ на гос. испытаниях найдено и зафикси</w:t>
      </w:r>
      <w:r w:rsidRPr="00DB5D0D">
        <w:rPr>
          <w:rFonts w:ascii="Times New Roman" w:hAnsi="Times New Roman"/>
          <w:color w:val="000000" w:themeColor="text1"/>
          <w:sz w:val="16"/>
          <w:szCs w:val="16"/>
        </w:rPr>
        <w:softHyphen/>
        <w:t>ровано в отчете об испытаниях, что са</w:t>
      </w:r>
      <w:r w:rsidRPr="00DB5D0D">
        <w:rPr>
          <w:rFonts w:ascii="Times New Roman" w:hAnsi="Times New Roman"/>
          <w:color w:val="000000" w:themeColor="text1"/>
          <w:sz w:val="16"/>
          <w:szCs w:val="16"/>
        </w:rPr>
        <w:softHyphen/>
        <w:t>молет в пилотажном отношении прост и конкретно недостаточная продольная устойчивость в отношении самолета БШ-2 не вносит каких-либо осложнений или затруднений в его пилотирование. Что же касается дальнейшего повышения продольной устойчивости самолета, то это можно рассматривать как дальнейшее упрощение уже простых пилотажных свойств самолета БШ-2. Таким образом, мы считаем необходимым установить, что пилотажные свойства самолета БШ-2 АМ-35 просты (несмотря на его недостаточную продольную устойчивость) и считаем, что рассма</w:t>
      </w:r>
      <w:r w:rsidRPr="00DB5D0D">
        <w:rPr>
          <w:rFonts w:ascii="Times New Roman" w:hAnsi="Times New Roman"/>
          <w:color w:val="000000" w:themeColor="text1"/>
          <w:sz w:val="16"/>
          <w:szCs w:val="16"/>
        </w:rPr>
        <w:softHyphen/>
        <w:t>тривать этот пункт как препятствие к запуску в серию самолета БШ-2 АМ-35 неправильно».</w:t>
      </w:r>
    </w:p>
    <w:p w14:paraId="55F33C03" w14:textId="77777777" w:rsidR="0061095B" w:rsidRPr="00DB5D0D" w:rsidRDefault="0061095B"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Весьма «оригинальными» были возражения по пункту отчета «о недоста</w:t>
      </w:r>
      <w:r w:rsidRPr="00DB5D0D">
        <w:rPr>
          <w:rStyle w:val="174"/>
          <w:rFonts w:ascii="Times New Roman" w:hAnsi="Times New Roman" w:cs="Times New Roman"/>
          <w:i w:val="0"/>
          <w:color w:val="000000" w:themeColor="text1"/>
          <w:sz w:val="16"/>
          <w:szCs w:val="16"/>
        </w:rPr>
        <w:softHyphen/>
        <w:t xml:space="preserve">точной маневренности и управляемости вследствие большого сравнительно веса самолета», а именно: поскольку </w:t>
      </w:r>
      <w:r w:rsidRPr="00DB5D0D">
        <w:rPr>
          <w:rFonts w:ascii="Times New Roman" w:hAnsi="Times New Roman"/>
          <w:color w:val="000000" w:themeColor="text1"/>
          <w:sz w:val="16"/>
          <w:szCs w:val="16"/>
        </w:rPr>
        <w:t>«критерия в отношении элементов маневренности у нас для штурмовиков не установлено и нет»,</w:t>
      </w:r>
      <w:r w:rsidRPr="00DB5D0D">
        <w:rPr>
          <w:rStyle w:val="174"/>
          <w:rFonts w:ascii="Times New Roman" w:hAnsi="Times New Roman" w:cs="Times New Roman"/>
          <w:i w:val="0"/>
          <w:color w:val="000000" w:themeColor="text1"/>
          <w:sz w:val="16"/>
          <w:szCs w:val="16"/>
        </w:rPr>
        <w:t xml:space="preserve"> то «</w:t>
      </w:r>
      <w:r w:rsidRPr="00DB5D0D">
        <w:rPr>
          <w:rFonts w:ascii="Times New Roman" w:hAnsi="Times New Roman"/>
          <w:color w:val="000000" w:themeColor="text1"/>
          <w:sz w:val="16"/>
          <w:szCs w:val="16"/>
        </w:rPr>
        <w:t>этот пункт, к тому же зафиксированный в таком общем виде, мы не можем принять как дефект».</w:t>
      </w:r>
    </w:p>
    <w:p w14:paraId="6F522417" w14:textId="77777777" w:rsidR="0061095B" w:rsidRPr="00DB5D0D" w:rsidRDefault="0061095B"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Но самыми «показательными» в этой истории были соображения о недоста</w:t>
      </w:r>
      <w:r w:rsidRPr="00DB5D0D">
        <w:rPr>
          <w:rStyle w:val="174"/>
          <w:rFonts w:ascii="Times New Roman" w:hAnsi="Times New Roman" w:cs="Times New Roman"/>
          <w:i w:val="0"/>
          <w:color w:val="000000" w:themeColor="text1"/>
          <w:sz w:val="16"/>
          <w:szCs w:val="16"/>
        </w:rPr>
        <w:softHyphen/>
        <w:t>точной дальности полета БШ-2. По этому вопросу Ильюшин писал:«</w:t>
      </w:r>
      <w:r w:rsidRPr="00DB5D0D">
        <w:rPr>
          <w:rFonts w:ascii="Times New Roman" w:hAnsi="Times New Roman"/>
          <w:color w:val="000000" w:themeColor="text1"/>
          <w:sz w:val="16"/>
          <w:szCs w:val="16"/>
        </w:rPr>
        <w:t>Кроме этой общей формулировки ничего не сказано, а какая дальность нужна?</w:t>
      </w:r>
      <w:r w:rsidRPr="00DB5D0D">
        <w:rPr>
          <w:rStyle w:val="174"/>
          <w:rFonts w:ascii="Times New Roman" w:hAnsi="Times New Roman" w:cs="Times New Roman"/>
          <w:i w:val="0"/>
          <w:color w:val="000000" w:themeColor="text1"/>
          <w:sz w:val="16"/>
          <w:szCs w:val="16"/>
        </w:rPr>
        <w:t xml:space="preserve"> (прим. авт.)/.../ </w:t>
      </w:r>
      <w:r w:rsidRPr="00DB5D0D">
        <w:rPr>
          <w:rFonts w:ascii="Times New Roman" w:hAnsi="Times New Roman"/>
          <w:color w:val="000000" w:themeColor="text1"/>
          <w:sz w:val="16"/>
          <w:szCs w:val="16"/>
        </w:rPr>
        <w:t>На гос. испытаниях зафиксировано, что техническая дальность самолета 618 км, причем эта дальность была замерена при полете на высоте 200 м от земли и при скорости 330 км/час. Даже при этой скорости дальность для подобного типа самолета вполне достаточная, т.к. он будет иметь тактическую дальность 500 км. Но эта дальность не максималь</w:t>
      </w:r>
      <w:r w:rsidRPr="00DB5D0D">
        <w:rPr>
          <w:rFonts w:ascii="Times New Roman" w:hAnsi="Times New Roman"/>
          <w:color w:val="000000" w:themeColor="text1"/>
          <w:sz w:val="16"/>
          <w:szCs w:val="16"/>
        </w:rPr>
        <w:softHyphen/>
        <w:t>ная. Мы просим НИИ ГУАС произвести проверку дальности на скорости не 330, а 300 км/час, но НИИ ГУАС/.../не определило дальность на этой скорости,/.../очевидно, что при скорости 300 км/час на той же высоте 200 м техническая дальность полета увеличится до 700-750 км, что даст тактическую дальность 600 км. Мы считаем, что такая дальность вполне достаточна для бронированного штур</w:t>
      </w:r>
      <w:r w:rsidRPr="00DB5D0D">
        <w:rPr>
          <w:rFonts w:ascii="Times New Roman" w:hAnsi="Times New Roman"/>
          <w:color w:val="000000" w:themeColor="text1"/>
          <w:sz w:val="16"/>
          <w:szCs w:val="16"/>
        </w:rPr>
        <w:softHyphen/>
        <w:t>мовика. Увеличение дальности полета для самолета БШ-2 АМ-35 заставляет увеличивать горючее, а т.к. горючее поместить в забронированную часть фюзеляжа невозможно, то приходится ставить дополнительный бак в незащи</w:t>
      </w:r>
      <w:r w:rsidRPr="00DB5D0D">
        <w:rPr>
          <w:rFonts w:ascii="Times New Roman" w:hAnsi="Times New Roman"/>
          <w:color w:val="000000" w:themeColor="text1"/>
          <w:sz w:val="16"/>
          <w:szCs w:val="16"/>
        </w:rPr>
        <w:softHyphen/>
        <w:t>щенной броней части фюзеляжа за задним стрелком, что сразу же:</w:t>
      </w:r>
    </w:p>
    <w:p w14:paraId="3D3F80DD" w14:textId="77777777" w:rsidR="0061095B" w:rsidRPr="00DB5D0D" w:rsidRDefault="0061095B" w:rsidP="00DB5D0D">
      <w:pPr>
        <w:tabs>
          <w:tab w:val="left" w:pos="48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резко увеличит уязвимость самолета;</w:t>
      </w:r>
    </w:p>
    <w:p w14:paraId="483F7786" w14:textId="77777777" w:rsidR="0061095B" w:rsidRPr="00DB5D0D" w:rsidRDefault="0061095B" w:rsidP="00DB5D0D">
      <w:pPr>
        <w:tabs>
          <w:tab w:val="left" w:pos="46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ухудшит центровку;</w:t>
      </w:r>
    </w:p>
    <w:p w14:paraId="45D93655" w14:textId="77777777" w:rsidR="0061095B" w:rsidRPr="00DB5D0D" w:rsidRDefault="0061095B" w:rsidP="00DB5D0D">
      <w:pPr>
        <w:tabs>
          <w:tab w:val="left" w:pos="48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усложнит бензиновую схему само</w:t>
      </w:r>
      <w:r w:rsidRPr="00DB5D0D">
        <w:rPr>
          <w:rFonts w:ascii="Times New Roman" w:hAnsi="Times New Roman"/>
          <w:color w:val="000000" w:themeColor="text1"/>
          <w:sz w:val="16"/>
          <w:szCs w:val="16"/>
        </w:rPr>
        <w:softHyphen/>
        <w:t>лета и уменьшит надежность работы, что недопустимо для полета на низких высотах и может быть причиной отказа в работе бензосистемы. Гарантировать безотказную работу такой системы невозможно;</w:t>
      </w:r>
    </w:p>
    <w:p w14:paraId="39062EE0" w14:textId="77777777" w:rsidR="0061095B" w:rsidRPr="00DB5D0D" w:rsidRDefault="0061095B" w:rsidP="00DB5D0D">
      <w:pPr>
        <w:tabs>
          <w:tab w:val="left" w:pos="48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значительно увеличит вес само</w:t>
      </w:r>
      <w:r w:rsidRPr="00DB5D0D">
        <w:rPr>
          <w:rFonts w:ascii="Times New Roman" w:hAnsi="Times New Roman"/>
          <w:color w:val="000000" w:themeColor="text1"/>
          <w:sz w:val="16"/>
          <w:szCs w:val="16"/>
        </w:rPr>
        <w:softHyphen/>
        <w:t>лета. Таким образом, с одной стороны, мы имеем достаточную все же для брониро</w:t>
      </w:r>
      <w:r w:rsidRPr="00DB5D0D">
        <w:rPr>
          <w:rFonts w:ascii="Times New Roman" w:hAnsi="Times New Roman"/>
          <w:color w:val="000000" w:themeColor="text1"/>
          <w:sz w:val="16"/>
          <w:szCs w:val="16"/>
        </w:rPr>
        <w:softHyphen/>
        <w:t>ванного штурмовика дальность и с другой стороны, увеличение дальности влечет за собой ухудшение самолета, как отмечено выше. Мы считаем, что увеличивать дальность не следует».</w:t>
      </w:r>
    </w:p>
    <w:p w14:paraId="3D41129A" w14:textId="77777777" w:rsidR="0061095B" w:rsidRPr="00DB5D0D" w:rsidRDefault="0061095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Напомним, что максимальная даль</w:t>
      </w:r>
      <w:r w:rsidRPr="00DB5D0D">
        <w:rPr>
          <w:rFonts w:ascii="Times New Roman" w:hAnsi="Times New Roman"/>
          <w:color w:val="000000" w:themeColor="text1"/>
          <w:sz w:val="16"/>
          <w:szCs w:val="16"/>
        </w:rPr>
        <w:softHyphen/>
        <w:t>ность полета БШ-2 АМ-35 - 800-1000 км, была определена тактико-техническими тебованиями к самолету и уточнена "остановлением Комитета Обороны от 19 июля 1939 г. Скоростная дальность самолета БШ-2 у земли должна была дости</w:t>
      </w:r>
      <w:r w:rsidRPr="00DB5D0D">
        <w:rPr>
          <w:rFonts w:ascii="Times New Roman" w:hAnsi="Times New Roman"/>
          <w:color w:val="000000" w:themeColor="text1"/>
          <w:sz w:val="16"/>
          <w:szCs w:val="16"/>
        </w:rPr>
        <w:softHyphen/>
        <w:t>чь 700 км. Именно поэтому специалисты - НИИ ВВС были обязаны определить дальность полета на скорости 0,9</w:t>
      </w:r>
      <w:r w:rsidRPr="00DB5D0D">
        <w:rPr>
          <w:rFonts w:ascii="Times New Roman" w:hAnsi="Times New Roman"/>
          <w:color w:val="000000" w:themeColor="text1"/>
          <w:sz w:val="16"/>
          <w:szCs w:val="16"/>
          <w:lang w:val="en-US"/>
        </w:rPr>
        <w:t>V</w:t>
      </w:r>
      <w:r w:rsidRPr="00DB5D0D">
        <w:rPr>
          <w:rFonts w:ascii="Times New Roman" w:hAnsi="Times New Roman"/>
          <w:color w:val="000000" w:themeColor="text1"/>
          <w:sz w:val="16"/>
          <w:szCs w:val="16"/>
          <w:vertAlign w:val="subscript"/>
          <w:lang w:val="en-US"/>
        </w:rPr>
        <w:t>max</w:t>
      </w:r>
      <w:r w:rsidRPr="00DB5D0D">
        <w:rPr>
          <w:rFonts w:ascii="Times New Roman" w:hAnsi="Times New Roman"/>
          <w:color w:val="000000" w:themeColor="text1"/>
          <w:sz w:val="16"/>
          <w:szCs w:val="16"/>
        </w:rPr>
        <w:t xml:space="preserve"> у земли, а не на наивыгоднейшей скорости для получения максимальной дальности.</w:t>
      </w:r>
    </w:p>
    <w:p w14:paraId="047385E0" w14:textId="77777777" w:rsidR="0061095B" w:rsidRPr="00DB5D0D" w:rsidRDefault="0061095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воспоминаниям Ильюшина, письмо аналогичного содержания он тогда же направил для рассмотрения в ЦК ВКП(б).</w:t>
      </w:r>
    </w:p>
    <w:p w14:paraId="5EE39360" w14:textId="77777777" w:rsidR="0061095B" w:rsidRPr="00DB5D0D" w:rsidRDefault="0061095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xml:space="preserve">Между тем сам Ильюшин и его заместитель по самолету Мальцев непосредственно принимали участие в работеТехнического совета при НИИ ВВС и согласились со всеми пунктами протокола совещания. Кроме того, Ильюшин согласовал выводы и заключение отчета по дарственным испытаниям БШ-2 Надо полагать, основной причиной неожиданной смены позиции Ильюшина по самолету БШ-2 и появления письма от 9 июня следует считать, что на том же самом совещании НКАП от 4 июня принято решение о запуске в большую серию пикирующего бомьардировщика В.М. Петлякова ПБ-100 </w:t>
      </w:r>
      <w:r w:rsidRPr="00DB5D0D">
        <w:rPr>
          <w:rFonts w:ascii="Times New Roman" w:hAnsi="Times New Roman" w:cs="Times New Roman"/>
          <w:color w:val="000000" w:themeColor="text1"/>
          <w:sz w:val="16"/>
          <w:szCs w:val="16"/>
          <w:lang w:val="en-US"/>
        </w:rPr>
        <w:t>M</w:t>
      </w:r>
      <w:r w:rsidRPr="00DB5D0D">
        <w:rPr>
          <w:rFonts w:ascii="Times New Roman" w:hAnsi="Times New Roman" w:cs="Times New Roman"/>
          <w:color w:val="000000" w:themeColor="text1"/>
          <w:sz w:val="16"/>
          <w:szCs w:val="16"/>
        </w:rPr>
        <w:t>-105 (будущий Пе-2). Соответственно, велась активная работа по подготовке проекта постановления Комитета Обороны по этому вопросу (вышло 13 июня 1940 г.). Для серии ПБ-100 предполагалось задействовать завод №22 и завод №39, который выпускал дальний бомьардировщик конструкции Ильюшина ДБ-Зф 2М-88. В перспективе завод № 39 «уходил» под «контроль» другого другого конструктора.</w:t>
      </w:r>
    </w:p>
    <w:p w14:paraId="5B99C222" w14:textId="77777777" w:rsidR="0061095B" w:rsidRPr="00DB5D0D" w:rsidRDefault="0061095B"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Прложение осложнялось еще и тем обстоятельством, что серийные образцы ДБ-Зф при испытании показывали удручающие результаты. По этому поводу Начальник ГУАС КА комдив Алексеев в докладной записке маршалу Ворошилову от 13 февраля указывал:«</w:t>
      </w:r>
      <w:r w:rsidRPr="00DB5D0D">
        <w:rPr>
          <w:rStyle w:val="173"/>
          <w:rFonts w:ascii="Times New Roman" w:eastAsia="Arial Narrow" w:hAnsi="Times New Roman" w:cs="Times New Roman"/>
          <w:color w:val="000000" w:themeColor="text1"/>
          <w:sz w:val="16"/>
          <w:szCs w:val="16"/>
        </w:rPr>
        <w:t xml:space="preserve">Самолеты конструктора тов. Ильюшина оказались недоработанными. Самолет ДБ-Зф при эксплоатации в боевых условиях выявил ряд серьезных дефектов, что в основном является причиной большой убыли их на фронте /.../ Согласно Постановлению КО. т. Ильюшин должен был к сентябрю 1939 </w:t>
      </w:r>
      <w:r w:rsidRPr="00DB5D0D">
        <w:rPr>
          <w:rFonts w:ascii="Times New Roman" w:hAnsi="Times New Roman" w:cs="Times New Roman"/>
          <w:color w:val="000000" w:themeColor="text1"/>
          <w:sz w:val="16"/>
          <w:szCs w:val="16"/>
        </w:rPr>
        <w:t>г. представить на государственные испытания самолет ДБ-Зф М-88. Самолет был предъявлен 12 декабря 1939 г. и снят с испытаний 25 декабря в силу явной недоработки винто-моторной группы. ВМГ была настолько недоработана, что не позволяло произвести в гори</w:t>
      </w:r>
      <w:r w:rsidRPr="00DB5D0D">
        <w:rPr>
          <w:rFonts w:ascii="Times New Roman" w:hAnsi="Times New Roman" w:cs="Times New Roman"/>
          <w:color w:val="000000" w:themeColor="text1"/>
          <w:sz w:val="16"/>
          <w:szCs w:val="16"/>
        </w:rPr>
        <w:softHyphen/>
        <w:t>зонтальном полете замеры скоростей. До настоящего времени самолет ДБ-Зф еще не доведен до надежного состояния в полете./.../Дефекты по самолету т. Ильюшина ему хорошо известны, как из актов испытаний, так и из претензий, предъявляемых ему военной приемкой. Вместо быстрой доработки конструкции самолетов, т. Ильюшин обычно пытается оспаривать предъявленные претензии. Тов. Ильюшин отличается особенной не</w:t>
      </w:r>
      <w:r w:rsidRPr="00DB5D0D">
        <w:rPr>
          <w:rFonts w:ascii="Times New Roman" w:hAnsi="Times New Roman" w:cs="Times New Roman"/>
          <w:color w:val="000000" w:themeColor="text1"/>
          <w:sz w:val="16"/>
          <w:szCs w:val="16"/>
        </w:rPr>
        <w:softHyphen/>
        <w:t>терпимостью к требованиям, как военной приемки, так и НИИ. Такое же отношение к самолету т. Ильюшина проявляет и летчик-испытатель тов. Коккинаки. Так, например, в начале декабря месяца т. Коккинаки лично убеждал меня в полной доработке самолета ДБ-Зф, что оказалось совершенно неправильно. На заводах №18 и №39 скопилось большое количество самолетов ДБ-Зф, которые взять в строй, в силу их недоработки, мы не можем» (19087).</w:t>
      </w:r>
    </w:p>
    <w:p w14:paraId="34B980A6" w14:textId="77777777" w:rsidR="0061095B" w:rsidRPr="00DB5D0D" w:rsidRDefault="0061095B"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4B8922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вышло постановление КО N 253, согласно которому от требовалось в месячный срок разработать план переоборудования И-16 типа 10 на тип 18 и утвердить его НКОП, НКАП и НК ВМФ (1296,270).</w:t>
      </w:r>
    </w:p>
    <w:p w14:paraId="66F0987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1727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 вышло постановление № 253сс КО О перевооружении самолетов И-16</w:t>
      </w:r>
    </w:p>
    <w:p w14:paraId="0E6305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изменение постановления КО № 77сс от 19 февраля 1940 года КО постановляет:</w:t>
      </w:r>
    </w:p>
    <w:p w14:paraId="07D473D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 Шахурина А.И.:</w:t>
      </w:r>
    </w:p>
    <w:p w14:paraId="7C6C53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обеспечить перевооружение 750 штук самолетов И-16 типа "10" с моторами М-25В на мотор М-62 в частях и мастерских ВВС КА и авиации НКВМФ, согласно графику, утвержденному наркомами обороны, ВМФ и авиапромышленности;</w:t>
      </w:r>
    </w:p>
    <w:p w14:paraId="62C094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перевооружение самолетов И-16 типа "5" производить исключительно во время капитального ремонта их на ремонтных заводах Нркомавиапрома.</w:t>
      </w:r>
    </w:p>
    <w:p w14:paraId="110B36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……………………..(7595, 115).</w:t>
      </w:r>
    </w:p>
    <w:p w14:paraId="76282E4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E8382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вышло постановление КО N 253cc "О перевооружении самолетов И-16" (1296,266).</w:t>
      </w:r>
    </w:p>
    <w:p w14:paraId="1632515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366BB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на И-26 М-105П ВИШ-61 А.С.Я. в ходе гос. испытаний, которые проходили с 1 по 15 июня 1940 выполнили 3 полета: на зубцы (0:15), повторный на зубцы (0:36), на определение маневренности на 3000 м при выполнении фигур (0:45). Л жаловался на запах гари - горела изолента (2924).</w:t>
      </w:r>
    </w:p>
    <w:p w14:paraId="3733783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9691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июня 1940 г. - начала поступления чертежей И-26 на завод № 292 - по 1 января 1941 г. в чертежи общим количеством всего 3118 штук было внесено 7460 изменений, вследствие которых приходилось (как и на заводе № 301) переделывать уже готовые узлы, агрегаты и системы. В брак было списано с задела более 1500 деталей и узлов, доработано 1230 наименований оснастки. Преимущество того, что завод № 292 получал рабочие чертежи с завода № 301 в уже частично доработанном варианте, было сведено на нет их поступленнием с опозданием на полтора месяца. Полный комплект всех чертежей заводу должны были передать к I июля, а сдали лишь 12 августа 1940 г.</w:t>
      </w:r>
    </w:p>
    <w:p w14:paraId="47620A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Имелись и внутренние заводские трудности. Тяжело поддавался освоению фюзеляж с моторамой (до Як-1 завод № 292 выпускал сельскохозяйственные комбайны, затем разведчики Р-10 конструктора И.Г. Немана и небольшую серию истребителей И-28 В.П. Яценко, имевших цельнодеревянную конструкцию). Первые опыты сварки фермы фюзеляжа были неудачными - непровар, пережог, коробление. Сложное крыло потребовало большого количества оснастки, ее доводки, выдерживания технологической температуры и влажности при склейке. Для ускорения освоения нового типа самолета наркомат авиапромышленности предпринял попытку организовать к 15 июля 1940 г. сборку 50 фюзеляжей по чертежам завода № 301 на старейшем в СССР заводе № 1, обладавшем опытным персоналом. Но завод № I, загруженный уже планом по изготовлению И-200, вынужден был от этого задания отказаться.</w:t>
      </w:r>
    </w:p>
    <w:p w14:paraId="174260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Для внедрения нового истребителя на должность директора Саратовского авиазавода 8 июня 1940 г. назначили Израиля Соломоновича Левина, занимавшего до того аналогичную позицию на заводе № 125 в Иркутске. В помощь коллективу завода № 292 ОКБ направило группу лучших конструкторов во главе с ведущим конструктором Як-1 Константином Синельщиковым.</w:t>
      </w:r>
    </w:p>
    <w:p w14:paraId="687194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трудности, коллектив завода выпустил первые три самолета И-26 в срок (два из трех самолетов были собраны из агрегатов, присланных россыпью с завода № 301). Первую машину вывезли на аэродром 22 сентября, вторую - 1 октября, а третью - 3 октября 1940 г. После проверки их систем и подготовки к облету летчик-испытатель полковник П.Н. Шустов поднял эти самолеты в воздух.</w:t>
      </w:r>
    </w:p>
    <w:p w14:paraId="685C50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Дальнейшая сборка и выпуск машин задерживались из-за отсутствия моторов и винтов. К 10 октября в наличии было всего пять моторов (7 - к 28 октября), а к 10 ноября 1940 г. - три комплекта винтов.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толше, увеличили угол отклонения хвостовой опоры шасси). В связи с этим 12 ноября 1940 г. план по выпуску И-26 завода № 292 (табл.2, с.25) был скорректирован: три машины головной серии следовало выпустить до 1 ноября, 20 машин - до 25 ноября, Цех начинки а 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388219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1E06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контролер Вахрушев - представитель КО СНК СССР - в журнале Учета выполнения постановлени правительства в отношении постановления КО N235сс 1940 “О постановке производства самолетов И-26 конструкции Яковлева на заводе № 292 и о снятии с производства самолетов И-28” отметил:</w:t>
      </w:r>
    </w:p>
    <w:p w14:paraId="04DA6B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Запросил справку НКАП (т. Фокин) о ходе выполнения постановления к 11 июня 1940 г. (10395)</w:t>
      </w:r>
    </w:p>
    <w:p w14:paraId="4A504F8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080E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были сданы в производство на 156 заводе чертежи ЭОИ М-105ТК-2 Беляева (2090,147).</w:t>
      </w:r>
    </w:p>
    <w:p w14:paraId="7E2E20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9A0D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чертежи самолета ЭОИ М-105 2 ТК Беляева были сданы в производство (10395,36).</w:t>
      </w:r>
    </w:p>
    <w:p w14:paraId="130F630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571E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в ходе заводских испытаний И-200 А.И.М, которые проходили с 31 марта по 17 августа 1940, на И-200-3 состоялось два полета на проверку температурных режимов. Потом с 10 по 15 июня машину отстреливали в тире и готовили для передачи в НИИ ВВС (2988).</w:t>
      </w:r>
    </w:p>
    <w:p w14:paraId="393F79A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329FF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июня по 23 августа 1940 года самолет ОКО-6 находился на заводе N 81. На самолете установлено новое разнесенное оперение. 23 августа самолет переправлен на аэродром ЦАГИ для окончания заводских испытаний (3370).</w:t>
      </w:r>
    </w:p>
    <w:p w14:paraId="0D3EFF2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CE3C1A"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9 июня</w:t>
      </w:r>
      <w:r w:rsidRPr="00DB5D0D">
        <w:rPr>
          <w:rFonts w:ascii="Times New Roman" w:hAnsi="Times New Roman"/>
          <w:color w:val="000000" w:themeColor="text1"/>
          <w:sz w:val="16"/>
          <w:szCs w:val="16"/>
        </w:rPr>
        <w:t xml:space="preserve"> в 1940 году на заводе № 81 начались работы (по 23 августа) по устранению недостатков ОКО-6, отмеченных на испытаниях. На самолете было установлено новое разнесенное оперение, удлинен фюзеляж. Затем машина была передана в ЦАГИ для производства повторных испытаний (14917).</w:t>
      </w:r>
    </w:p>
    <w:p w14:paraId="36E4843E"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77B20D58"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июня по 23 августа 1940 г на заводе № 81 установили новое разнесенное опере</w:t>
      </w:r>
      <w:r w:rsidRPr="00DB5D0D">
        <w:rPr>
          <w:rFonts w:ascii="Times New Roman" w:hAnsi="Times New Roman"/>
          <w:color w:val="000000" w:themeColor="text1"/>
          <w:sz w:val="16"/>
          <w:szCs w:val="16"/>
        </w:rPr>
        <w:softHyphen/>
        <w:t>ние, фюзеляж удлинили. Постройку второго экземпляра самолёта ОКО-6 — ОКО-ббис (позднее он получил наименование ТА-1) с безредукторными моторами М-88 закон</w:t>
      </w:r>
      <w:r w:rsidRPr="00DB5D0D">
        <w:rPr>
          <w:rFonts w:ascii="Times New Roman" w:hAnsi="Times New Roman"/>
          <w:color w:val="000000" w:themeColor="text1"/>
          <w:sz w:val="16"/>
          <w:szCs w:val="16"/>
        </w:rPr>
        <w:softHyphen/>
        <w:t>чили к 11 сентября 1940 г. (15828).</w:t>
      </w:r>
    </w:p>
    <w:p w14:paraId="04B6EC79"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789A890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июня по 23 августа 1940 года самолет ОКО-6 2М-88 находился на заводе № 81. За это время на самолете установлено новое, разнесенное оперение.</w:t>
      </w:r>
    </w:p>
    <w:p w14:paraId="5B882F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самолет переправлен на аэродром ЦАГИ-Раменское для окончания заводских испытаний (7711, 71-75).</w:t>
      </w:r>
    </w:p>
    <w:p w14:paraId="12925C6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3F073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июня по 23 августа 1940 г. на заводе № 81 проводились работы по устранению недостатков ОКО-6, отмеченных на испытаниях. На самолете было установлено новое разнесенное оперение, удлинен фюзеляж. Затем машина была передана в ЦАГИ для производства повторных испытаний (9649).</w:t>
      </w:r>
    </w:p>
    <w:p w14:paraId="0A974D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98F77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 Яковлев писал письмо N 1784 Молокову.</w:t>
      </w:r>
    </w:p>
    <w:p w14:paraId="3FEE09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постройки самолета ЭЛЬ-3 с мотором МГ-31 конструкции Элибекяна.</w:t>
      </w:r>
    </w:p>
    <w:p w14:paraId="29F03A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требований Управления санитарной авиации на снабжении необходимо иметь 3 основных типа санитарных машин:</w:t>
      </w:r>
    </w:p>
    <w:p w14:paraId="0011DA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Двухмоторный многоместный дальнего действия самолет. Требованиям к этому самолету удовлетворяет модификация Дуглас ДС-3. Самолет прошел гос. испытания, находится на серийной постройке и обеспечен моторами серийного изготовления.</w:t>
      </w:r>
    </w:p>
    <w:p w14:paraId="47EC24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Двухмоторный самолет на 2 лежачих и 2 сидячих места. Требованием к этому самолету, как по летным, так и по эксплуатационным данным, удовлетворяет УТ3-2МВ-6 в санитарном варианте. Самолет прошел гос. испытания получил хорошую оценку, находится в серийной постройке и обеспечен моторами серийного производства.</w:t>
      </w:r>
    </w:p>
    <w:p w14:paraId="494029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Одномоторный легкий самолет на одно лежачее и одно сидячее место, с особо высокими взлетно-посадочными свойствами.</w:t>
      </w:r>
    </w:p>
    <w:p w14:paraId="3D7C38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Указанным требованиям вполне удовлетворяет самолет типа "Аист".</w:t>
      </w:r>
    </w:p>
    <w:p w14:paraId="618E5B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тип самолета в санитарном и связном вариантах в настоящее время по постановлению Правительства изготовляется в опытном образце и в этом году будет предъявлен на гос. испытания.</w:t>
      </w:r>
    </w:p>
    <w:p w14:paraId="2D52B7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основные потребности санитарной авиации в соответствии с предъявленными требованиями полностью НКАПом удовлетворяются.</w:t>
      </w:r>
    </w:p>
    <w:p w14:paraId="595B56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это со стороны ГВФ и, гл. образом, со стороны конструктора Элибекяна.... поступают настойчивые требования об изготовлении самолета ЭЛЬ-3 с мотором МГ-31.</w:t>
      </w:r>
    </w:p>
    <w:p w14:paraId="20165E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Отсутствие ясной, действительно необходимости осуществлять проект самолета ЭЛЬ-3, загруженность КБ НКАП заданиями Правительства по заказам НКО, отсутствие конструкторской и производственной базы для работы по ЭЛЬ-3, тем более, что мотор МГ-31 на заводах НКАП не производится и базы для его производства нет, вынуждает сообщить Вам, что постройку ЭЛЬ-3 принять на себя НКАП не может (3401,39-40).</w:t>
      </w:r>
    </w:p>
    <w:p w14:paraId="152918A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A3B31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 вышел приказ НИИ ВВС № 0105</w:t>
      </w:r>
    </w:p>
    <w:p w14:paraId="771AF6F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проведении испытаний самолета ПС-84 (6891, 228).</w:t>
      </w:r>
    </w:p>
    <w:p w14:paraId="60821C2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A7DFE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полет на растряску и сбрасывание ПДББ-250 (2923).</w:t>
      </w:r>
    </w:p>
    <w:p w14:paraId="4E8AC6D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FA65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Зам. нач. 11 ГУ Н.Н.Леонтьев писал письмо N 636 в ПГУ:</w:t>
      </w:r>
    </w:p>
    <w:p w14:paraId="6D0CC3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сем сопровождаю сроки окончания этапов по опытным самолетам." (2090,1):</w:t>
      </w:r>
    </w:p>
    <w:p w14:paraId="1DB56D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окончания этапов по новым опытным самолетам, утвержденные КО при СНК 4 марта 1940 (2090,2).</w:t>
      </w:r>
    </w:p>
    <w:p w14:paraId="5438A8E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B417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 Главное управление ВВС создало комиссию по выработке эталонов окраски. Крупнопятнистый же камуфляж, использовавший черные и зеленые пятна, ввели в ВВС только летом 1941 г. (11987).</w:t>
      </w:r>
    </w:p>
    <w:p w14:paraId="43F79B0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03B8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по 19 июня 1940 года на НИП АВ ВВС прошли полигонные испытания на станке универсального авиационного пулемета "ДП" калибра 7,62 мм разработанного ЦКБ-14</w:t>
      </w:r>
    </w:p>
    <w:p w14:paraId="62C180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34656F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Филиппов</w:t>
      </w:r>
    </w:p>
    <w:p w14:paraId="327F28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534B0B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соответствие пулемета предъявленным к нему ТТТ и рациональность использования в частях ВВС.</w:t>
      </w:r>
    </w:p>
    <w:p w14:paraId="00FEEE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F082CA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ЦКБ-14 пулемет "ДП" калибра 7,62 мм № 7 конструкции Демина и Пономарева полигонные испытания на станке не выдержал вследствие низкой живучести основных деталей (7434).</w:t>
      </w:r>
    </w:p>
    <w:p w14:paraId="07A5DD1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012043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 конструкторы-изобретатели Можаровский и Веневидов писали письмо Ворошилову.</w:t>
      </w:r>
    </w:p>
    <w:p w14:paraId="4DC3C4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Данное нами обещание, при докладе Правительству в марте 1938 года о реализации наших изобретений в области стрелкового вооружения самолетов, нами выполнено.</w:t>
      </w:r>
    </w:p>
    <w:p w14:paraId="6A4DE5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настоящее время пущены в серийное производство и устанавливаются на целом ряде самолетов ВВС следующие стрелковые установки нашей конструкции:</w:t>
      </w:r>
    </w:p>
    <w:p w14:paraId="495858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Экранированная турельная стрелковая установка МВ-3, обеспечивающая высокую маневренность оружия, огневую защиту самолета и работу стрелка без очков в зимних условиях полета, для самолетов СБ, ДБ-3, МДР-6, МДР-7 и других вновь строящихся сухопутных и морских самолетов.</w:t>
      </w:r>
    </w:p>
    <w:p w14:paraId="5D3F2C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Люковая стрелковая установка МВ-2 с применением перископического прицела, обеспечивающая защиту хвостовой мертвой зоны самолета, исключающая защиту хвостовой мертвой зоны самолета, исключающая возможность безнаказанного подхода противника со стороны хвоста, для самолетов СБ, ДБ-3, ББ-1, ДБ-240 и других вновь строящихся самолетов.</w:t>
      </w:r>
    </w:p>
    <w:p w14:paraId="5B9278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Экранированная турельная стрелковая установка МВ-5 изготовляется на основе принципов конструкции МВ-3 для самолета ББ-1 (Иванов) и в носовой части морских самолетов МДР-6 и МДР-7.</w:t>
      </w:r>
    </w:p>
    <w:p w14:paraId="1D1790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Экранированная тяжелая аэродинамическая турельная установка ТАТ-МВ-1 под пушку ШВАК 20 мм для самолета N 42.</w:t>
      </w:r>
    </w:p>
    <w:p w14:paraId="2C0061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Агитационные авиабомба МВ, под все существующие самолеты, пущена в валовое производство и принята на снабжение ВВС.</w:t>
      </w:r>
    </w:p>
    <w:p w14:paraId="259FE7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перечисленные конструкции основаны на новых принципах...</w:t>
      </w:r>
    </w:p>
    <w:p w14:paraId="0288F6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внедрению в серийное производство экранированной турельной установки МВ-3 и люковой установки МВ-2 на самолеты СБ и ДБ-3 предшествовала трехлетняя недопустимая дискуссия и волокита со стороны НКАП.</w:t>
      </w:r>
    </w:p>
    <w:p w14:paraId="5B684D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Еще в начале 1937 года нами были перевооружены стрелковыми установками МВ-3 и МВ-2 самолеты СБ и ДБ-3 и испытаны в НИИ ВВС, которые в то время получили очень высокую оценку военного командования.</w:t>
      </w:r>
    </w:p>
    <w:p w14:paraId="4B7F85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Многим было совершенно ясно, что упомянутые стрелковые установки МВ-3 и МВ-2 должны были найти самое широкое применение на всех самолетах бомбардировщиках ВВС...</w:t>
      </w:r>
    </w:p>
    <w:p w14:paraId="7643BA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один месяц февраль 1940 года завод 32 НКАП сделал свыше 800 этих стр. установок и в тяжелых зимних фронтовых условиях организовал перевооружение самолетов.</w:t>
      </w:r>
    </w:p>
    <w:p w14:paraId="1F4C77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Воздушные бои с белофинами еще раз доказали огромное преимущество перевооруженных самолетов, так как было исключено безнаказанное нападение противника со стороны хвостовой зоны, стрелки же радисты, благодаря экранированной турельной установке МВ-3, были предохранены от обмораживания и ряд удобств, созданных в этих стрелковых установках обеспечили большую уверенность экипажам при выполнении боевых операций самолетов.</w:t>
      </w:r>
    </w:p>
    <w:p w14:paraId="5396EB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5FE2EE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просьба..</w:t>
      </w:r>
    </w:p>
    <w:p w14:paraId="1FD70D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Руководимое нами КБ при заводе N 32 НКАП выделить в самостоятельное КБ с экспериментальной лабораторией, тиром и самолетами для поверки изготовляемых опытных установок в условиях учебного воздушного боя.</w:t>
      </w:r>
    </w:p>
    <w:p w14:paraId="182D14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(3401,19-22).</w:t>
      </w:r>
    </w:p>
    <w:p w14:paraId="146C032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EC1AB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по 22 июня 1940 года на НИП АВ проходили полигонные испытания осколочных авиабомб АО-10 сталистого чугуна (литье) снаряженных ТНТ+ДНН 80/20 футлярным методом на горизонтальном шнекаппарате 1940 года, завода № 12</w:t>
      </w:r>
    </w:p>
    <w:p w14:paraId="36EAF5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6EE0F1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6AFD9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имело целью определить:</w:t>
      </w:r>
    </w:p>
    <w:p w14:paraId="6341F4DD"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бомбы.</w:t>
      </w:r>
    </w:p>
    <w:p w14:paraId="745BB91E" w14:textId="77777777" w:rsidR="00A25AD1" w:rsidRPr="00DB5D0D" w:rsidRDefault="00A25AD1"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7DD9B73F"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действия бомб.</w:t>
      </w:r>
    </w:p>
    <w:p w14:paraId="2457D5C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в полете.</w:t>
      </w:r>
    </w:p>
    <w:p w14:paraId="58B066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25E82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АО-10 сталистого чугуна (литье) снаряженные ТНТ+ДНН 80/20 футлярным методом на горизонтальном шнекаппарате 1940 года, завода № 12, по осколочному действию и дроблению корпуса бомбы взрывчатым веществом в сравнении со штатными бомбами АО-10 сталистого чугуна (литье) снаряженные ТНТ+ДНН 80/20 методом шнекования дали удовлетворительные результаты и полигонные испытания выдержали (7550).</w:t>
      </w:r>
    </w:p>
    <w:p w14:paraId="7EBCDD8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8AEA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вышел приказ 11 ГУ N 23:</w:t>
      </w:r>
    </w:p>
    <w:p w14:paraId="225B76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уточнения правильности проведения подбора тормозных колес на опытных самолетах И-26, И-200, И-301, ДС-3, ДБ-240, СПБ, ОКО-6, И-180 и с назначить специальную комиссию... (2031,40).</w:t>
      </w:r>
    </w:p>
    <w:p w14:paraId="29E2B38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0E7F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 приказом ВВС КА N 081 была организована "Комиссия для определения эталонов расцветок для защитной и деформирующей окраски самолетов", в состав которой вошли представители ВИА (А. М. Келейников), ВИАМ (В. В. Чеботаревский), НИИИТ (Д. М. Щеглов, Хлудов, П. А. Яковлев), ГУ ВВС КА (Седов), Штаба ВВС (М. В. Федосеев, Е. Ф. Бурче), НИИ ВВС КА (В. Л. Мицевич), ГЛАВКРАСКИ (Ежин), НКАП (А. Е. Кроль) и Научно-исследовательского Кино-Фото Института - НИКФИ (Стратонова). Председателем комиссии был назначен заместитель начальника Отдела Тыла Штаба ВВС полковник Романов. Результатом работы комиссии должно было стать утверждение эталонов расцветок и рецептур авиационных красок. Сроком исполнения назначено 25 июля 1940 г. Руководство ВВС, теперь уже в лице Смушкевича, сочло предложение Штаба рациональным и решило вместо множества разрозненных работ разных институтов, провести одно исследование, объединив усилия всех необходимых для этого организаций. Как и следовало ожидать, в работу комиссии наиболее активно включился Е.Ф.Бурче (2771,20).</w:t>
      </w:r>
    </w:p>
    <w:p w14:paraId="3C45528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7B41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 Шахурин писал письмо N 1448 сс Ворошилову.</w:t>
      </w:r>
    </w:p>
    <w:p w14:paraId="759964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Указом Верховного совета от 17 апреля 1940 года завод N 379 Авиапромом передан во вновь организованный наркомат Электропромышленности.</w:t>
      </w:r>
    </w:p>
    <w:p w14:paraId="18BE6B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завод N 379, согласно решения КО при СНК N 42 от 27 января 1940 года проводит телемеханизацию самолетов ДТ-3, ТБ-3 и СБ, которая должна быть закончена в 1940 г.</w:t>
      </w:r>
    </w:p>
    <w:p w14:paraId="5C2E7D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N 379, работая над телемеханическими самолетами, фактически занят разработкой и изготовлением комплекса приборов, автоматизирующих полет самолета, начиная от взлета и кончая посадкой.</w:t>
      </w:r>
    </w:p>
    <w:p w14:paraId="7E81BD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5255E2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изложенное, считаю нецелесообразным передавать завод в систему Наркомата электропромышленности (3401,3-4).</w:t>
      </w:r>
    </w:p>
    <w:p w14:paraId="43D478D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2D1C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 было письмо за подписью Б.М.Слонимера: «Необходимо отметить, что при замене БЧ бронебойной на бетонобойную, что легко достигает</w:t>
      </w:r>
      <w:r w:rsidRPr="00DB5D0D">
        <w:rPr>
          <w:rFonts w:ascii="Times New Roman" w:hAnsi="Times New Roman"/>
          <w:color w:val="000000" w:themeColor="text1"/>
          <w:sz w:val="16"/>
          <w:szCs w:val="16"/>
        </w:rPr>
        <w:softHyphen/>
        <w:t>ся стандартизацией РЧ, этот метод может быть использован для поражения наземных фортсооружений бетонобойными РС с пикирования. Конструкция приспособлений для подвески РБС, в зависимости от типа самоолета, осуществить при помощи:</w:t>
      </w:r>
    </w:p>
    <w:p w14:paraId="62A5D5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сочленения приспособлений с лонжеронами при подвеске РБС плоскостями самолета:</w:t>
      </w:r>
    </w:p>
    <w:p w14:paraId="0EED44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сочленения ПУ с замками бомбодержателей у машин типа СПБ;</w:t>
      </w:r>
    </w:p>
    <w:p w14:paraId="3F7A02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крепления убирающейся в полете кассетницы в бомбоотсекс салета;</w:t>
      </w:r>
    </w:p>
    <w:p w14:paraId="46D00F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комбинированного приспособления (подвески под плоскостями и крепления кассетницы в бомбоотсеке).</w:t>
      </w:r>
    </w:p>
    <w:p w14:paraId="36F818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монтаж и демонтаж приспособлений ракетного вооружения самолетов (за исключением прокладки электропроводки в крыльях) в поле</w:t>
      </w:r>
      <w:r w:rsidRPr="00DB5D0D">
        <w:rPr>
          <w:rFonts w:ascii="Times New Roman" w:hAnsi="Times New Roman"/>
          <w:color w:val="000000" w:themeColor="text1"/>
          <w:sz w:val="16"/>
          <w:szCs w:val="16"/>
        </w:rPr>
        <w:softHyphen/>
        <w:t>вых условиях затрачивалось от 1 до 3,5 ч, в зависимости от типа самолета и калибра РБС (11402).</w:t>
      </w:r>
    </w:p>
    <w:p w14:paraId="66C46C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88C41D7"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7C68AE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6CBA9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 АУ потребовало от завода № 172 обеспечить наложение на лафет М-50 еще и тела 280-мм мортиры Бр-5, то есть дуплекс превратился в триплекс. Для ускорения работы над М-50 в 1940 году на АПИОПе были испытаны 220-мм гаубица фирмы "Шкода" и 211-мм немецкая мортира. В конце концов завод № 172 разработал проект триплекса М-50. Лафет имел раздвижные клепаные станины. На первой повозке находился ствол и поддон (поворотный круг), на другой лафет. При переходе в боевое положение лафет наезжает на поддон. Тем не менее пассивное сопротивление КБ завода № 172 принесло свои плоды, и к 22 июня 1941 года триплекс М-50 был только на бумаге. Чтобы исправить положение ГАУ попыталось привлечь к проектированию триплекса заводы № 352 (Новочеркасск) и Уралмаш, но и те ничего не сделали или не хотели делать (3861).</w:t>
      </w:r>
    </w:p>
    <w:p w14:paraId="7E3D9D7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CF04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июня 1940 г. после возвращения Невяжского из Москвы состоялся партхозактив завода. С докладом выступил Кочетков. Главное - цех топливной аппаратуры. Ситуация напоминает военную - Харьковский обком партии мобилизует с предприятий города около 500 высококвалифицированных рабочих для поддержки завода. </w:t>
      </w:r>
      <w:r w:rsidRPr="00DB5D0D">
        <w:rPr>
          <w:rFonts w:ascii="Times New Roman" w:hAnsi="Times New Roman"/>
          <w:color w:val="000000" w:themeColor="text1"/>
          <w:sz w:val="16"/>
          <w:szCs w:val="16"/>
        </w:rPr>
        <w:lastRenderedPageBreak/>
        <w:t>В октябре 1940 г. на завод приехал новый нарком В.А. Малышев, сменивший Лихачева. Его беспокоила низкая надежность, прежде всего по причине несовершенства рабочего процесса, системы воздухоочистки (11224).</w:t>
      </w:r>
    </w:p>
    <w:p w14:paraId="4CF7D7D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B20CC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А.И.Микоян отправил бумагу по ГАЗ-65 по инстанциям с резолюцией:</w:t>
      </w:r>
    </w:p>
    <w:p w14:paraId="14621D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Молотову,</w:t>
      </w:r>
    </w:p>
    <w:p w14:paraId="13119D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Булганину,</w:t>
      </w:r>
    </w:p>
    <w:p w14:paraId="25D20D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Вознесенскому,</w:t>
      </w:r>
    </w:p>
    <w:p w14:paraId="065283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Малышеву.</w:t>
      </w:r>
    </w:p>
    <w:p w14:paraId="267B46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 снизить цену на вездеходы, установив на 25-30% дороже обычных ГАЗ. Разницу в себестоимости этой партии взять на госбюджет или покрыть за счет прибылей НКСМ. Госбанку продлить ссуду на 10 дней.</w:t>
      </w:r>
    </w:p>
    <w:p w14:paraId="624495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Микоян. 09 июня” (9970).</w:t>
      </w:r>
    </w:p>
    <w:p w14:paraId="7C2DB21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15B2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 Ст. Военпред 3 Упр. ГУАС КА на заводе № 32 ви1р Березкин писал письмо № 3619с ГЛАВНОМУ КОНТРОЛЕРУ КОМИТЕТА ОБОРОНЫ при СНК СССР тов. НОВИКОВУ.</w:t>
      </w:r>
    </w:p>
    <w:p w14:paraId="5B8041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доклад по хранению цветного металла</w:t>
      </w:r>
    </w:p>
    <w:p w14:paraId="62707B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Ваших указаний докладываю, что работа по замене цветных металлов и спецсталей на простые стали Заводом № 32 развернута достаточно. Патронные ящики стрелковых установок, обтекатели экранов МВ-3, аэродинамические компенсаторы, ручки управления и стопора МВ-3 и МВ-5, кассеты ДЕР-21 на сегодня изготавливаются из стали марки "М".До сих пор изготавли</w:t>
      </w:r>
      <w:r w:rsidRPr="00DB5D0D">
        <w:rPr>
          <w:rFonts w:ascii="Times New Roman" w:hAnsi="Times New Roman"/>
          <w:color w:val="000000" w:themeColor="text1"/>
          <w:sz w:val="16"/>
          <w:szCs w:val="16"/>
        </w:rPr>
        <w:softHyphen/>
        <w:t>вались из дюралюминия или цветного сплава. Рукава питания турелей МВ-3 и МВ-5 на сегодня изготавливают</w:t>
      </w:r>
      <w:r w:rsidRPr="00DB5D0D">
        <w:rPr>
          <w:rFonts w:ascii="Times New Roman" w:hAnsi="Times New Roman"/>
          <w:color w:val="000000" w:themeColor="text1"/>
          <w:sz w:val="16"/>
          <w:szCs w:val="16"/>
        </w:rPr>
        <w:softHyphen/>
        <w:t>ся из стали марки "М", до этого изготавливались из нержавеющей стали.</w:t>
      </w:r>
    </w:p>
    <w:p w14:paraId="104FF6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Подготовлены образцы и находятся на испытании: верхнее турельное кольцо (цветное литье заменено на сталь марки "М"), удлиненные рукава питания стрелко</w:t>
      </w:r>
      <w:r w:rsidRPr="00DB5D0D">
        <w:rPr>
          <w:rFonts w:ascii="Times New Roman" w:hAnsi="Times New Roman"/>
          <w:color w:val="000000" w:themeColor="text1"/>
          <w:sz w:val="16"/>
          <w:szCs w:val="16"/>
        </w:rPr>
        <w:softHyphen/>
        <w:t>вых установок (нержавеющая стадь заменена на сталь марки "М"). По окончании испытания и положительного результата данные узлы будут в серийном производстве так же изготавливаться из простой стали.</w:t>
      </w:r>
    </w:p>
    <w:p w14:paraId="66A192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докладываю, что завод идет охотно на замену, тогда когда эта замена не требует от него переделки конструкции узла и изменения технологии. На</w:t>
      </w:r>
      <w:r w:rsidRPr="00DB5D0D">
        <w:rPr>
          <w:rFonts w:ascii="Times New Roman" w:hAnsi="Times New Roman"/>
          <w:color w:val="000000" w:themeColor="text1"/>
          <w:sz w:val="16"/>
          <w:szCs w:val="16"/>
        </w:rPr>
        <w:softHyphen/>
        <w:t>до сказать, что завод мало работает над усовершенствованием конструкции узла при переходе на сталь нисшего качества и старается сохранить старую конструкцию и технологию. А это ведет к значительному увеличению веса. Борьба за уменьшение веса детали при переходе на простые стали среди конструкторов недос</w:t>
      </w:r>
      <w:r w:rsidRPr="00DB5D0D">
        <w:rPr>
          <w:rFonts w:ascii="Times New Roman" w:hAnsi="Times New Roman"/>
          <w:color w:val="000000" w:themeColor="text1"/>
          <w:sz w:val="16"/>
          <w:szCs w:val="16"/>
        </w:rPr>
        <w:softHyphen/>
        <w:t>таточна.</w:t>
      </w:r>
    </w:p>
    <w:p w14:paraId="5F7A21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сегодня на заводе нет положения, в котором бы предусматривалось поощрение за облегчение веса детали и узлов. Даже наоборот, получают премию за то, что если упростить технологию изготовления детали даже за счет прибавления ее веса.</w:t>
      </w:r>
    </w:p>
    <w:p w14:paraId="6B52F3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 и такие явления: разработан кронштейн под прицел для люковой установки из стали "М" (до этого был из цветного литья], кронштейн имеет помимо замены литья большие эксплоатационные преимущества и, несмот</w:t>
      </w:r>
      <w:r w:rsidRPr="00DB5D0D">
        <w:rPr>
          <w:rFonts w:ascii="Times New Roman" w:hAnsi="Times New Roman"/>
          <w:color w:val="000000" w:themeColor="text1"/>
          <w:sz w:val="16"/>
          <w:szCs w:val="16"/>
        </w:rPr>
        <w:softHyphen/>
        <w:t>ря на это, завод до сих пор не переходит на него, так как он требует изменения технологического процесса.</w:t>
      </w:r>
    </w:p>
    <w:p w14:paraId="684C82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Плохо обстоит дело на заводе с раскроем цветно</w:t>
      </w:r>
      <w:r w:rsidRPr="00DB5D0D">
        <w:rPr>
          <w:rFonts w:ascii="Times New Roman" w:hAnsi="Times New Roman"/>
          <w:color w:val="000000" w:themeColor="text1"/>
          <w:sz w:val="16"/>
          <w:szCs w:val="16"/>
        </w:rPr>
        <w:softHyphen/>
        <w:t>го металла и его отходами. Так например, при посещении завода Вашим заместителем тов. СЕМИНЫМ на складе отходов лежала остатки дюралюминиевых труб, длина ко</w:t>
      </w:r>
      <w:r w:rsidRPr="00DB5D0D">
        <w:rPr>
          <w:rFonts w:ascii="Times New Roman" w:hAnsi="Times New Roman"/>
          <w:color w:val="000000" w:themeColor="text1"/>
          <w:sz w:val="16"/>
          <w:szCs w:val="16"/>
        </w:rPr>
        <w:softHyphen/>
        <w:t>торых доходила до метра.</w:t>
      </w:r>
    </w:p>
    <w:p w14:paraId="5A4884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Еще более худшее явление пришлось наблюдать мне на том же складе отходов 5.У1-40 г., когда туда привезли со склада № 3 отходы листового дюралюминия. В отходах можно было видеть большое количество листов размером 0,5x0,7 метров, остальные листы представляют из себя полосы 0,25х0,7 метра. Вес вывезенного дюралюминия, приблизительно равен тонне. Причем весь этот материал за складом № 3 не числил</w:t>
      </w:r>
      <w:r w:rsidRPr="00DB5D0D">
        <w:rPr>
          <w:rFonts w:ascii="Times New Roman" w:hAnsi="Times New Roman"/>
          <w:color w:val="000000" w:themeColor="text1"/>
          <w:sz w:val="16"/>
          <w:szCs w:val="16"/>
        </w:rPr>
        <w:softHyphen/>
        <w:t>ся, так как он списан был на цеха, а значит вошел в стоимость изделия. На вопрос, заданный начальнику склада № 3 почему вывезены такие большие листы на утиль-базу, последний ответил, что перепутаны марки дюралюминия, а потому за не</w:t>
      </w:r>
      <w:r w:rsidRPr="00DB5D0D">
        <w:rPr>
          <w:rFonts w:ascii="Times New Roman" w:hAnsi="Times New Roman"/>
          <w:color w:val="000000" w:themeColor="text1"/>
          <w:sz w:val="16"/>
          <w:szCs w:val="16"/>
        </w:rPr>
        <w:softHyphen/>
        <w:t>известностью марки его и вывезли.</w:t>
      </w:r>
    </w:p>
    <w:p w14:paraId="2B010C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утиль-базе помимо этого, около двух лет уже лежит еще около двух тонн листового дюралюминия. Там же лежит около 2-х тонн свинца, 15000 латунных гильз, около 5-ти тонн цветного литья, ненужного для производства.</w:t>
      </w:r>
    </w:p>
    <w:p w14:paraId="623ECF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употребляется эмалированная медная проволо взамен шпагата для связка деталей при переноске в цех покрытия, а так же и для пломбирования. Плохо поставлено дело раскроем плексигласа и улавливанием его стружек.</w:t>
      </w:r>
    </w:p>
    <w:p w14:paraId="1EB232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совсем хорошо обстоит дело с запасами цветного металла. Вместо разрешенного 35 дневного запаса цветного металла, завод имеет 45 дневный запас.</w:t>
      </w:r>
    </w:p>
    <w:p w14:paraId="3544A4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Образовавшиеся на заводе излишки в количестве, примерно, 33 тонн цветного металла, ненужных для производства размеров. Главк до сих пор не реализует, хотя сведения об излишке поданы полтора м-ца тому назад (10493,144).</w:t>
      </w:r>
    </w:p>
    <w:p w14:paraId="256FA7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771C58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72B3D1B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78135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 Постановлением Политбюро ЦК ВКП(б) № П 17 / 140 от «О зам. начальника Воздушных сил Красной армии» на эту долж</w:t>
      </w:r>
      <w:r w:rsidRPr="00DB5D0D">
        <w:rPr>
          <w:rFonts w:ascii="Times New Roman" w:hAnsi="Times New Roman"/>
          <w:color w:val="000000" w:themeColor="text1"/>
          <w:sz w:val="16"/>
          <w:szCs w:val="16"/>
        </w:rPr>
        <w:softHyphen/>
        <w:t>ность был назначен генерал-лейтенант авиации П.В. Рычагов (РГАСПИ. Ф. 17. Оп. 162. Д. 26. Л. 112.). А вскоре в соответствии с новым постановлением Политбюро ЦК ВКП(б) № П 20 / 2 от 26 августа 1940 года П.В. Рычагов был утвержден начальником Главного Управления ВВС.</w:t>
      </w:r>
    </w:p>
    <w:p w14:paraId="32DF9F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DB5D0D">
        <w:rPr>
          <w:rFonts w:ascii="Times New Roman" w:hAnsi="Times New Roman"/>
          <w:color w:val="000000" w:themeColor="text1"/>
          <w:sz w:val="16"/>
          <w:szCs w:val="16"/>
        </w:rPr>
        <w:softHyphen/>
        <w:t>сано утвердить начальником ГУ ВВС КА генерал-лейтенанта авиации Жи-гарева П.Ф. и исключить из состава членов ГВС (Главного Военного Сове</w:t>
      </w:r>
      <w:r w:rsidRPr="00DB5D0D">
        <w:rPr>
          <w:rFonts w:ascii="Times New Roman" w:hAnsi="Times New Roman"/>
          <w:color w:val="000000" w:themeColor="text1"/>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47F42F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началу Великой Отечественной войны Главное управление ВВС ор</w:t>
      </w:r>
      <w:r w:rsidRPr="00DB5D0D">
        <w:rPr>
          <w:rFonts w:ascii="Times New Roman" w:hAnsi="Times New Roman"/>
          <w:color w:val="000000" w:themeColor="text1"/>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DB5D0D">
        <w:rPr>
          <w:rFonts w:ascii="Times New Roman" w:hAnsi="Times New Roman"/>
          <w:color w:val="000000" w:themeColor="text1"/>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DB5D0D">
        <w:rPr>
          <w:rFonts w:ascii="Times New Roman" w:hAnsi="Times New Roman"/>
          <w:color w:val="000000" w:themeColor="text1"/>
          <w:sz w:val="16"/>
          <w:szCs w:val="16"/>
        </w:rPr>
        <w:softHyphen/>
        <w:t>мов, снабжения и ремонта - и несколько самостоятельных отделов (об</w:t>
      </w:r>
      <w:r w:rsidRPr="00DB5D0D">
        <w:rPr>
          <w:rFonts w:ascii="Times New Roman" w:hAnsi="Times New Roman"/>
          <w:color w:val="000000" w:themeColor="text1"/>
          <w:sz w:val="16"/>
          <w:szCs w:val="16"/>
        </w:rPr>
        <w:softHyphen/>
        <w:t>щий, финансовый, редакция журнала «Вестник Воздушного Флота»). Че</w:t>
      </w:r>
      <w:r w:rsidRPr="00DB5D0D">
        <w:rPr>
          <w:rFonts w:ascii="Times New Roman" w:hAnsi="Times New Roman"/>
          <w:color w:val="000000" w:themeColor="text1"/>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DB5D0D">
        <w:rPr>
          <w:rFonts w:ascii="Times New Roman" w:hAnsi="Times New Roman"/>
          <w:color w:val="000000" w:themeColor="text1"/>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DB5D0D">
        <w:rPr>
          <w:rFonts w:ascii="Times New Roman" w:hAnsi="Times New Roman"/>
          <w:color w:val="000000" w:themeColor="text1"/>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DB5D0D">
        <w:rPr>
          <w:rFonts w:ascii="Times New Roman" w:hAnsi="Times New Roman"/>
          <w:color w:val="000000" w:themeColor="text1"/>
          <w:sz w:val="16"/>
          <w:szCs w:val="16"/>
        </w:rPr>
        <w:softHyphen/>
        <w:t>неральный штаб, контролировали выполнение мероприятий по реорга</w:t>
      </w:r>
      <w:r w:rsidRPr="00DB5D0D">
        <w:rPr>
          <w:rFonts w:ascii="Times New Roman" w:hAnsi="Times New Roman"/>
          <w:color w:val="000000" w:themeColor="text1"/>
          <w:sz w:val="16"/>
          <w:szCs w:val="16"/>
        </w:rPr>
        <w:softHyphen/>
        <w:t>низации и перевооружению ВВС, инспектировали авиационные части. В связи с тем, что в 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 24-25.) (11710,332).</w:t>
      </w:r>
    </w:p>
    <w:p w14:paraId="7DD21A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05C1D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 Наркомат обороны принял решение, представлявшее собой по сути другую крайность: о создании девяти механизированных корпусов. Они стали еще более громоздкими и трудно управляемыми, чем прежние танковые. Корпус новой организации должен был состоять из двух танковых и одной моторизованной дивизий, мотоциклетного полка и других частей. По штату в нем состояло 1031 танк в том числе 546 KB и Т-34 (остальные - БТ, Т-26 и химические танки). Численный состав корпуса превышал 36 тыс. человек. (3862).</w:t>
      </w:r>
    </w:p>
    <w:p w14:paraId="68E81D5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B9A9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 было принято решение о формировании девяти механизированных корпусов. По штату каждому корпусу полагалось иметь две танковых и одну моторизованную дивизию; каждой танковой дивизии - 63 тяжелых танка KB, 210 средних Т-34 и 102 легких танка (на тот момент - БТ и Т-26). На вооружении моторизованной дивизии должны были состоять 275 легких танков (в основном Т-26). Для замены всех легких танков "старых типов" и предназначался Т-50 (3862).</w:t>
      </w:r>
    </w:p>
    <w:p w14:paraId="0C9962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696A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был утвержден план формирования 9 мехкорпусов, а в феврале-марте 1941 стали формировать еще 20 (512,23).</w:t>
      </w:r>
    </w:p>
    <w:p w14:paraId="2E2B143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B3A1CD"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9 июня 1940 года нарком обороны утвердил план формирования новых мехкорпусов со специальным штатом. В 1940 году было сформировано 9 мехкорпусов. В состав нового мехкорпуса входили две танковые и одна моторизованная дивизии. В танковой дивизии – два танковых, мотострелковый и артиллерийский полки, танков – 375 единиц. Моторизованная дивизия имела в своем составе танковый, два мотострелковых и артиллерийский полки, танков – 275 единиц. Таким образом, в целом мехкорпус должен был иметь 1031 танк. Кроме 9 мехкорпусов, были сформированы 2 отдельные танковые дивизии. </w:t>
      </w:r>
    </w:p>
    <w:p w14:paraId="1753202C"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Но девяти мехкорпусов командованию РККА показалось мало. Вместо полного оснащения существующих в феврале 1941 г. Генеральный штаб разработал еще более широкий план формирования новых бронетанковых и механизированных войск, предусмотрев создание еще 21 корпуса (позже формирование одного мехкорпуса было отменено). И с апреля 1941 года началось их формирование. </w:t>
      </w:r>
    </w:p>
    <w:p w14:paraId="6B0604A2"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lastRenderedPageBreak/>
        <w:t xml:space="preserve">Для укомплектования 29 мехкорпусов и 2 отдельных дивизий требовалось создать 61 танковую дивизию (по 2 дивизии на корпус). Дивизии полагалось: личного состава – 11 343 человека, танков 375. В моторизованной дивизии мехкорпуса было 2 мотострелковых полка, танковый полк (275 танков) и пушечно-артиллерийский полк, а также отдельный истребительно-противотанковый дивизион (30 пушек 45 мм калибра). Кроме того, танки имелись в кавалерийских дивизиях (полк), а отдельные танковые батальоны – в воздушно-десантных войсках. </w:t>
      </w:r>
    </w:p>
    <w:p w14:paraId="60ECB415"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Полностью укомплектовать до штатной численности все 29 мехкорпусов к июню 1941 года не удалось. Об этом как ярчайшем доказательстве нашей «неготовности к войне» громко трубили историки из ведомства агитпропа, скрывая истинные масштабы бронетанковых войск РККА. Поэтому, в создавшихся условиях все мехкорпуса были разделены на 19 «боевых», 7 «сокращенных» и 3 «сокращенных второй очереди». К концу 1941 года планировалось иметь в составе мехкорпусов и 2 отдельных танковых дивизий 18 804 танка, в том числе 16 655 танков в «боевых мехкорпусах». При этом среднее количество танков (877) мехкорпуса равнялось или превосходило среднее количество танков (817) немецкой танковой группы (11589).</w:t>
      </w:r>
    </w:p>
    <w:p w14:paraId="73C585EF"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7BB008C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2B4D83F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7CBCA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СССР и Япония согласились прекратить столкновения на монголо-манчжурской границе (1285,20).</w:t>
      </w:r>
    </w:p>
    <w:p w14:paraId="40127D0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0546E5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21A84F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E6B740F"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9 июня</w:t>
      </w:r>
      <w:r w:rsidRPr="00DB5D0D">
        <w:rPr>
          <w:rFonts w:ascii="Times New Roman" w:hAnsi="Times New Roman"/>
          <w:color w:val="000000" w:themeColor="text1"/>
          <w:sz w:val="16"/>
          <w:szCs w:val="16"/>
        </w:rPr>
        <w:t xml:space="preserve"> в 1940 году первый прототип итальянского истребителя-бомбардировщика </w:t>
      </w:r>
      <w:hyperlink r:id="rId113" w:tgtFrame="_blank" w:history="1">
        <w:r w:rsidRPr="00DB5D0D">
          <w:rPr>
            <w:rFonts w:ascii="Times New Roman" w:hAnsi="Times New Roman"/>
            <w:color w:val="000000" w:themeColor="text1"/>
            <w:sz w:val="16"/>
            <w:szCs w:val="16"/>
          </w:rPr>
          <w:t xml:space="preserve">«Re.2001» </w:t>
        </w:r>
      </w:hyperlink>
      <w:r w:rsidRPr="00DB5D0D">
        <w:rPr>
          <w:rFonts w:ascii="Times New Roman" w:hAnsi="Times New Roman"/>
          <w:color w:val="000000" w:themeColor="text1"/>
          <w:sz w:val="16"/>
          <w:szCs w:val="16"/>
        </w:rPr>
        <w:t>с серийным номером ММ409, у которого конструктор фирмы Реджиане инженер Лонги произвел доработки планера с целью снижения веса и переконструировал фюзеляж, покинул сборочный цех и вскоре был успешно облетан (14917).</w:t>
      </w:r>
    </w:p>
    <w:p w14:paraId="6B50411B"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00DEAAF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9 1940 Norwegian high command ordered army to cease hostilities at midnight (1223).</w:t>
      </w:r>
    </w:p>
    <w:p w14:paraId="7951667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42D518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командование Норвегии приказало прекратить сопротивление в полночь (1223) и король Хаакон 7 бежал в Великобританию (3907,223).</w:t>
      </w:r>
    </w:p>
    <w:p w14:paraId="04107B5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595B0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король Норвегии Хаакон в числе последних эвакуирован из страны на английском корабле (4962).</w:t>
      </w:r>
    </w:p>
    <w:p w14:paraId="0A05F6E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1DCFFB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немцы отбили у англичан Нарвик (Норвегия) (4962).</w:t>
      </w:r>
    </w:p>
    <w:p w14:paraId="3649D6A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9BBDA9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Норвегия капитулировала немцам (4962).</w:t>
      </w:r>
    </w:p>
    <w:p w14:paraId="46BCE51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7AD52DC"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9 июня</w:t>
      </w:r>
      <w:r w:rsidRPr="00DB5D0D">
        <w:rPr>
          <w:rFonts w:ascii="Times New Roman" w:hAnsi="Times New Roman"/>
          <w:color w:val="000000" w:themeColor="text1"/>
          <w:sz w:val="16"/>
          <w:szCs w:val="16"/>
        </w:rPr>
        <w:t xml:space="preserve"> в 1940 году в Норвегии начинается германское наступление на Нарвик (по 13 июня) (14917).</w:t>
      </w:r>
    </w:p>
    <w:p w14:paraId="2F50A1E8"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43600EE8" w14:textId="77777777" w:rsidR="0038388D" w:rsidRPr="00DB5D0D" w:rsidRDefault="0038388D"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bCs/>
          <w:color w:val="000000" w:themeColor="text1"/>
          <w:sz w:val="16"/>
          <w:szCs w:val="16"/>
        </w:rPr>
        <w:t>9 июня</w:t>
      </w:r>
      <w:r w:rsidRPr="00DB5D0D">
        <w:rPr>
          <w:rFonts w:ascii="Times New Roman" w:hAnsi="Times New Roman"/>
          <w:color w:val="000000" w:themeColor="text1"/>
          <w:sz w:val="16"/>
          <w:szCs w:val="16"/>
        </w:rPr>
        <w:t xml:space="preserve"> в 1940 году в полночь прекращается сопротивление немецким войскам в Норвегии. КорольХокон</w:t>
      </w:r>
      <w:r w:rsidRPr="00DB5D0D">
        <w:rPr>
          <w:rFonts w:ascii="Times New Roman" w:hAnsi="Times New Roman"/>
          <w:color w:val="000000" w:themeColor="text1"/>
          <w:sz w:val="16"/>
          <w:szCs w:val="16"/>
          <w:lang w:val="en-US"/>
        </w:rPr>
        <w:t xml:space="preserve"> VII </w:t>
      </w:r>
      <w:r w:rsidRPr="00DB5D0D">
        <w:rPr>
          <w:rFonts w:ascii="Times New Roman" w:hAnsi="Times New Roman"/>
          <w:color w:val="000000" w:themeColor="text1"/>
          <w:sz w:val="16"/>
          <w:szCs w:val="16"/>
        </w:rPr>
        <w:t>вынужденбежатьвВеликобританию</w:t>
      </w:r>
      <w:r w:rsidRPr="00DB5D0D">
        <w:rPr>
          <w:rFonts w:ascii="Times New Roman" w:hAnsi="Times New Roman"/>
          <w:color w:val="000000" w:themeColor="text1"/>
          <w:sz w:val="16"/>
          <w:szCs w:val="16"/>
          <w:lang w:val="en-US"/>
        </w:rPr>
        <w:t xml:space="preserve"> (14917).</w:t>
      </w:r>
    </w:p>
    <w:p w14:paraId="5728BB03" w14:textId="77777777" w:rsidR="0038388D" w:rsidRPr="00DB5D0D" w:rsidRDefault="0038388D" w:rsidP="00DB5D0D">
      <w:pPr>
        <w:spacing w:after="0" w:line="240" w:lineRule="auto"/>
        <w:jc w:val="both"/>
        <w:rPr>
          <w:rFonts w:ascii="Times New Roman" w:hAnsi="Times New Roman"/>
          <w:color w:val="000000" w:themeColor="text1"/>
          <w:sz w:val="16"/>
          <w:szCs w:val="16"/>
          <w:lang w:val="en-US"/>
        </w:rPr>
      </w:pPr>
    </w:p>
    <w:p w14:paraId="509B4F0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9th, 1940: In the West, German forces of Heeresgruppe A (von Kuchler) advancing S from the Somme capture Rouen on the Seine (3819).</w:t>
      </w:r>
    </w:p>
    <w:p w14:paraId="7133EA2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6FAACA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войска группы А (фон Кюхлер) продвигаясь на юг от Соммы захватила Роен на Сене (3819).</w:t>
      </w:r>
    </w:p>
    <w:p w14:paraId="06353AF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23852C" w14:textId="77777777" w:rsidR="0038388D" w:rsidRPr="00DB5D0D" w:rsidRDefault="0038388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9 июня</w:t>
      </w:r>
      <w:r w:rsidRPr="00DB5D0D">
        <w:rPr>
          <w:rFonts w:ascii="Times New Roman" w:hAnsi="Times New Roman"/>
          <w:color w:val="000000" w:themeColor="text1"/>
          <w:sz w:val="16"/>
          <w:szCs w:val="16"/>
        </w:rPr>
        <w:t xml:space="preserve"> в 1940 году генерал Шарль де Голь впервые встречается с Уинстоном Черчиллем (14917).</w:t>
      </w:r>
    </w:p>
    <w:p w14:paraId="44B8BD5B"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7E4513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Италия объявила войну Франции и Великобритании (3263,316).</w:t>
      </w:r>
    </w:p>
    <w:p w14:paraId="3B14198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2402E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990D80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4BC322E" w14:textId="77777777" w:rsidR="009603C7" w:rsidRPr="00DB5D0D" w:rsidRDefault="009603C7"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 течение 10-11 июня 1940 по заданию наркома Шахурина с материалами отчета НИИ ВВС и самолетом БШ-2 №2 детально ознакомились специалисты летно-технической группы НКАП. При этом летчик-испытатель А.Б. Юмашев облетал самолет и сделал по нему заключение. В докладе начальника группы М.М. Громова на имя заместителя наркома авиапромышленности А.С. Яков</w:t>
      </w:r>
      <w:r w:rsidRPr="00DB5D0D">
        <w:rPr>
          <w:rFonts w:ascii="Times New Roman" w:hAnsi="Times New Roman" w:cs="Times New Roman"/>
          <w:color w:val="000000" w:themeColor="text1"/>
          <w:sz w:val="16"/>
          <w:szCs w:val="16"/>
        </w:rPr>
        <w:softHyphen/>
        <w:t>лева указывалось:</w:t>
      </w:r>
    </w:p>
    <w:p w14:paraId="42DDB393" w14:textId="77777777" w:rsidR="009603C7" w:rsidRPr="00DB5D0D" w:rsidRDefault="009603C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с мотором АМ-35 скомпонован хорошо как с боевой, так и с конструктивной точки зрения. У само</w:t>
      </w:r>
      <w:r w:rsidRPr="00DB5D0D">
        <w:rPr>
          <w:rFonts w:ascii="Times New Roman" w:hAnsi="Times New Roman"/>
          <w:color w:val="000000" w:themeColor="text1"/>
          <w:sz w:val="16"/>
          <w:szCs w:val="16"/>
        </w:rPr>
        <w:softHyphen/>
        <w:t>лета хороший обзор с пилотского сидения. Обеспечена непосредственная связь между летчиком и штурманом. Экипаж и жизненные части самолета очень хорошо защищены броней.</w:t>
      </w:r>
    </w:p>
    <w:p w14:paraId="4E3EF654" w14:textId="77777777" w:rsidR="009603C7" w:rsidRPr="00DB5D0D" w:rsidRDefault="009603C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 недостаткам следует отнести: а) небольшую скорость полета у земли (362 км/ч), б) небольшую дальность самолета (618 км), продольную неустойчивость самолета со свободным рулем высоты. При постановке мотора АМ-38 с номинальной мощностью у земли порядка 1500-1550 л.с. максимальная скорость самолета может быть доведена до 400 км/ч. Дальность полета может быть увеличена за счет подвесных сбрасываемых баков. Постановка же не</w:t>
      </w:r>
      <w:r w:rsidRPr="00DB5D0D">
        <w:rPr>
          <w:rFonts w:ascii="Times New Roman" w:hAnsi="Times New Roman"/>
          <w:color w:val="000000" w:themeColor="text1"/>
          <w:sz w:val="16"/>
          <w:szCs w:val="16"/>
        </w:rPr>
        <w:softHyphen/>
        <w:t>бронированного бака в фюзеляже, как это осуществляется конструктором, сводит на нет уязвимость самолета. Продольная неустойчивость самолета легко может быть излечена путем соответствующего изменения стреловидности крыла. В настоящее время КБ осуществляет изменение стреловидности без учета потребного смещения вперед ц.т. в отношении САХ, т.к. во время испытаний не определена центровка, при которой самолет устойчив со свободным рулем высоты. После устранения указанных недостатков самолет может быть предложен для большой серии».</w:t>
      </w:r>
    </w:p>
    <w:p w14:paraId="607CCBE1" w14:textId="77777777" w:rsidR="009603C7" w:rsidRPr="00DB5D0D" w:rsidRDefault="009603C7"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К сожалению, никакой реакции «высоких инстанций» на доклад Громова тогда не последовало. ОКБ Ильюшина продолжило доводку самолета в прежнем направлении (19087).</w:t>
      </w:r>
    </w:p>
    <w:p w14:paraId="2EA66F00" w14:textId="77777777" w:rsidR="009603C7" w:rsidRPr="00DB5D0D" w:rsidRDefault="009603C7"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41FD1A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директор завода 156 Ленкин и ГК Кочеригин писали письмо N 1327с Директору завода 29 (копия Зам. нач. 11 ГУ С.М.Шишкину) по вопросам комплектации М-90 по ТТТ ВВС на ОПБ (2062,56).</w:t>
      </w:r>
    </w:p>
    <w:p w14:paraId="25FF04B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63A0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ГК завода 289.П.О.С. писал А.И.Ш. письмо N 25/967с:</w:t>
      </w:r>
    </w:p>
    <w:p w14:paraId="601D33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вашего задания докладываю соображения по изменению данных одноместного бронированного штурмовика в связи с увеличением толщины брони и установкой М-81 взамен М-71.</w:t>
      </w:r>
    </w:p>
    <w:p w14:paraId="5B475A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ТТТ на самолет ОБШ при выборе толщины брони исходили из полета самолета на высоте 25 м и дистанции обстрела с земли, начиная с 200 м и больше; исходя из мелкокалиберной пули и углов подхода пули к броне была получена макс. толщина брони в 8.5 мм. Вес брони в этих условиях равен 290 кг.</w:t>
      </w:r>
    </w:p>
    <w:p w14:paraId="5B55E5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увеличении толщины брони от 15 мм до 10 мм общий вес брони увеличивается до 590 кг. В связи с этим увеличением веса самолета произойдет следующее изменение ЛД:</w:t>
      </w:r>
    </w:p>
    <w:p w14:paraId="094EB4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Вертикальная скорость у земли уменьшится на 2.4 м/чек</w:t>
      </w:r>
    </w:p>
    <w:p w14:paraId="2B68C3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увеличится на 6 м/сек</w:t>
      </w:r>
    </w:p>
    <w:p w14:paraId="6D1DD5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увеличится на 64 м</w:t>
      </w:r>
    </w:p>
    <w:p w14:paraId="2CA5FC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уменьшится на 2-5 км/час.</w:t>
      </w:r>
    </w:p>
    <w:p w14:paraId="76C2AB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ОБШ вооружен 6 пулеметами ШКАС; возможно предусмотреть установку 2-х ШВАК взамен 4-х крыльевых пулеметов.</w:t>
      </w:r>
    </w:p>
    <w:p w14:paraId="253F08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Бомбовый отсек в фюзеляже вмещает следующие варианты бомб:</w:t>
      </w:r>
    </w:p>
    <w:p w14:paraId="7E34BA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50х4 = 200</w:t>
      </w:r>
    </w:p>
    <w:p w14:paraId="47E122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25х10 = 250</w:t>
      </w:r>
    </w:p>
    <w:p w14:paraId="22E8B0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20х10 = 200</w:t>
      </w:r>
    </w:p>
    <w:p w14:paraId="53C9DE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М-1х20 = 400</w:t>
      </w:r>
    </w:p>
    <w:p w14:paraId="0265CC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10х20 = 200</w:t>
      </w:r>
    </w:p>
    <w:p w14:paraId="165D04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275х96 = 240</w:t>
      </w:r>
    </w:p>
    <w:p w14:paraId="099260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1х96 = 96</w:t>
      </w:r>
    </w:p>
    <w:p w14:paraId="4F9290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под крыльями размещаются по 2 шт. бомб калибра 100 кг или 50 кг с пикирующим замком; возможна подвеска химприбора ВАП-200 в количестве 2 шт.</w:t>
      </w:r>
    </w:p>
    <w:p w14:paraId="44BA9F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случае опоздания отработки мотора М-71 возможна временная замена его мотором М-81. Максимальная скорость у земли при этой замене снизится на 40-50 км/час.</w:t>
      </w:r>
    </w:p>
    <w:p w14:paraId="46961F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Сравнительные данные самолета с разными весами ми моторами указано в прилагаемой таблице.</w:t>
      </w:r>
    </w:p>
    <w:p w14:paraId="08356B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Приложения:</w:t>
      </w:r>
    </w:p>
    <w:p w14:paraId="047BAB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Таблица ЛД на 1 л</w:t>
      </w:r>
    </w:p>
    <w:p w14:paraId="177FDB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Сравнит. данные скоростей - 1 фото</w:t>
      </w:r>
    </w:p>
    <w:p w14:paraId="1F1191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Схема бронир. с-та - 4 фото</w:t>
      </w:r>
    </w:p>
    <w:p w14:paraId="00126D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основных ЛД самолета ОБШ с моторами М-71 и М-81 с нормальным и увеличенным бронированием</w:t>
      </w:r>
    </w:p>
    <w:p w14:paraId="5DFD3B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скорости гор. полета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7"/>
        <w:gridCol w:w="1277"/>
        <w:gridCol w:w="1277"/>
        <w:gridCol w:w="1277"/>
        <w:gridCol w:w="1277"/>
        <w:gridCol w:w="1277"/>
        <w:gridCol w:w="1277"/>
        <w:gridCol w:w="1277"/>
      </w:tblGrid>
      <w:tr w:rsidR="007D5DF8" w:rsidRPr="00DB5D0D" w14:paraId="6C161FD1" w14:textId="77777777" w:rsidTr="009223E5">
        <w:tc>
          <w:tcPr>
            <w:tcW w:w="1277" w:type="dxa"/>
            <w:tcBorders>
              <w:top w:val="single" w:sz="12" w:space="0" w:color="auto"/>
            </w:tcBorders>
          </w:tcPr>
          <w:p w14:paraId="56F2BA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км/час</w:t>
            </w:r>
          </w:p>
        </w:tc>
        <w:tc>
          <w:tcPr>
            <w:tcW w:w="1277" w:type="dxa"/>
            <w:tcBorders>
              <w:top w:val="single" w:sz="12" w:space="0" w:color="auto"/>
            </w:tcBorders>
          </w:tcPr>
          <w:p w14:paraId="38FA7D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w:t>
            </w:r>
          </w:p>
        </w:tc>
        <w:tc>
          <w:tcPr>
            <w:tcW w:w="1277" w:type="dxa"/>
            <w:tcBorders>
              <w:top w:val="single" w:sz="12" w:space="0" w:color="auto"/>
            </w:tcBorders>
          </w:tcPr>
          <w:p w14:paraId="7CBAE6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М-71</w:t>
            </w:r>
          </w:p>
        </w:tc>
        <w:tc>
          <w:tcPr>
            <w:tcW w:w="1277" w:type="dxa"/>
            <w:tcBorders>
              <w:top w:val="single" w:sz="12" w:space="0" w:color="auto"/>
            </w:tcBorders>
          </w:tcPr>
          <w:p w14:paraId="29398D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507/0</w:t>
            </w:r>
          </w:p>
        </w:tc>
        <w:tc>
          <w:tcPr>
            <w:tcW w:w="1277" w:type="dxa"/>
            <w:tcBorders>
              <w:top w:val="single" w:sz="12" w:space="0" w:color="auto"/>
            </w:tcBorders>
          </w:tcPr>
          <w:p w14:paraId="1FEBCB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542/форс.</w:t>
            </w:r>
          </w:p>
        </w:tc>
        <w:tc>
          <w:tcPr>
            <w:tcW w:w="1277" w:type="dxa"/>
            <w:tcBorders>
              <w:top w:val="single" w:sz="12" w:space="0" w:color="auto"/>
            </w:tcBorders>
          </w:tcPr>
          <w:p w14:paraId="33E706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554/2000</w:t>
            </w:r>
          </w:p>
        </w:tc>
        <w:tc>
          <w:tcPr>
            <w:tcW w:w="1277" w:type="dxa"/>
            <w:tcBorders>
              <w:top w:val="single" w:sz="12" w:space="0" w:color="auto"/>
            </w:tcBorders>
          </w:tcPr>
          <w:p w14:paraId="40ECC0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558/3000</w:t>
            </w:r>
          </w:p>
        </w:tc>
        <w:tc>
          <w:tcPr>
            <w:tcW w:w="1277" w:type="dxa"/>
            <w:tcBorders>
              <w:top w:val="single" w:sz="12" w:space="0" w:color="auto"/>
            </w:tcBorders>
          </w:tcPr>
          <w:p w14:paraId="55B06B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604/5000</w:t>
            </w:r>
          </w:p>
        </w:tc>
      </w:tr>
      <w:tr w:rsidR="007D5DF8" w:rsidRPr="00DB5D0D" w14:paraId="059C4940" w14:textId="77777777" w:rsidTr="009223E5">
        <w:tc>
          <w:tcPr>
            <w:tcW w:w="1277" w:type="dxa"/>
          </w:tcPr>
          <w:p w14:paraId="27CF925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77" w:type="dxa"/>
          </w:tcPr>
          <w:p w14:paraId="612E899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77" w:type="dxa"/>
          </w:tcPr>
          <w:p w14:paraId="516172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М-81</w:t>
            </w:r>
          </w:p>
        </w:tc>
        <w:tc>
          <w:tcPr>
            <w:tcW w:w="1277" w:type="dxa"/>
          </w:tcPr>
          <w:p w14:paraId="227529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466/0</w:t>
            </w:r>
          </w:p>
        </w:tc>
        <w:tc>
          <w:tcPr>
            <w:tcW w:w="1277" w:type="dxa"/>
          </w:tcPr>
          <w:p w14:paraId="03C6D5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491/ф</w:t>
            </w:r>
          </w:p>
        </w:tc>
        <w:tc>
          <w:tcPr>
            <w:tcW w:w="1277" w:type="dxa"/>
          </w:tcPr>
          <w:p w14:paraId="7DF543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520/2000</w:t>
            </w:r>
          </w:p>
        </w:tc>
        <w:tc>
          <w:tcPr>
            <w:tcW w:w="1277" w:type="dxa"/>
          </w:tcPr>
          <w:p w14:paraId="453528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515/3000</w:t>
            </w:r>
          </w:p>
        </w:tc>
        <w:tc>
          <w:tcPr>
            <w:tcW w:w="1277" w:type="dxa"/>
          </w:tcPr>
          <w:p w14:paraId="23621A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550/5000</w:t>
            </w:r>
          </w:p>
        </w:tc>
      </w:tr>
      <w:tr w:rsidR="007D5DF8" w:rsidRPr="00DB5D0D" w14:paraId="7B37AA74" w14:textId="77777777" w:rsidTr="009223E5">
        <w:tc>
          <w:tcPr>
            <w:tcW w:w="1277" w:type="dxa"/>
          </w:tcPr>
          <w:p w14:paraId="57B2CF9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77" w:type="dxa"/>
          </w:tcPr>
          <w:p w14:paraId="01D224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Усил.</w:t>
            </w:r>
          </w:p>
        </w:tc>
        <w:tc>
          <w:tcPr>
            <w:tcW w:w="1277" w:type="dxa"/>
          </w:tcPr>
          <w:p w14:paraId="75CF24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М-71</w:t>
            </w:r>
          </w:p>
        </w:tc>
        <w:tc>
          <w:tcPr>
            <w:tcW w:w="1277" w:type="dxa"/>
          </w:tcPr>
          <w:p w14:paraId="26A9F9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505/0</w:t>
            </w:r>
          </w:p>
        </w:tc>
        <w:tc>
          <w:tcPr>
            <w:tcW w:w="1277" w:type="dxa"/>
          </w:tcPr>
          <w:p w14:paraId="61E223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540/форс.</w:t>
            </w:r>
          </w:p>
        </w:tc>
        <w:tc>
          <w:tcPr>
            <w:tcW w:w="1277" w:type="dxa"/>
          </w:tcPr>
          <w:p w14:paraId="3B87AE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551/2000</w:t>
            </w:r>
          </w:p>
        </w:tc>
        <w:tc>
          <w:tcPr>
            <w:tcW w:w="1277" w:type="dxa"/>
          </w:tcPr>
          <w:p w14:paraId="5F4057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555/3000</w:t>
            </w:r>
          </w:p>
        </w:tc>
        <w:tc>
          <w:tcPr>
            <w:tcW w:w="1277" w:type="dxa"/>
          </w:tcPr>
          <w:p w14:paraId="4266C2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600/5000</w:t>
            </w:r>
          </w:p>
        </w:tc>
      </w:tr>
      <w:tr w:rsidR="007D5DF8" w:rsidRPr="00DB5D0D" w14:paraId="3C97BD2E" w14:textId="77777777" w:rsidTr="009223E5">
        <w:tc>
          <w:tcPr>
            <w:tcW w:w="1277" w:type="dxa"/>
            <w:tcBorders>
              <w:bottom w:val="single" w:sz="12" w:space="0" w:color="auto"/>
            </w:tcBorders>
          </w:tcPr>
          <w:p w14:paraId="219318B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77" w:type="dxa"/>
            <w:tcBorders>
              <w:bottom w:val="single" w:sz="12" w:space="0" w:color="auto"/>
            </w:tcBorders>
          </w:tcPr>
          <w:p w14:paraId="232889B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77" w:type="dxa"/>
            <w:tcBorders>
              <w:bottom w:val="single" w:sz="12" w:space="0" w:color="auto"/>
            </w:tcBorders>
          </w:tcPr>
          <w:p w14:paraId="6536F0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М-81</w:t>
            </w:r>
          </w:p>
        </w:tc>
        <w:tc>
          <w:tcPr>
            <w:tcW w:w="1277" w:type="dxa"/>
            <w:tcBorders>
              <w:bottom w:val="single" w:sz="12" w:space="0" w:color="auto"/>
            </w:tcBorders>
          </w:tcPr>
          <w:p w14:paraId="07C521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464/0</w:t>
            </w:r>
          </w:p>
        </w:tc>
        <w:tc>
          <w:tcPr>
            <w:tcW w:w="1277" w:type="dxa"/>
            <w:tcBorders>
              <w:bottom w:val="single" w:sz="12" w:space="0" w:color="auto"/>
            </w:tcBorders>
          </w:tcPr>
          <w:p w14:paraId="30B1FC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489/ф</w:t>
            </w:r>
          </w:p>
        </w:tc>
        <w:tc>
          <w:tcPr>
            <w:tcW w:w="1277" w:type="dxa"/>
            <w:tcBorders>
              <w:bottom w:val="single" w:sz="12" w:space="0" w:color="auto"/>
            </w:tcBorders>
          </w:tcPr>
          <w:p w14:paraId="372AB7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517/2000</w:t>
            </w:r>
          </w:p>
        </w:tc>
        <w:tc>
          <w:tcPr>
            <w:tcW w:w="1277" w:type="dxa"/>
            <w:tcBorders>
              <w:bottom w:val="single" w:sz="12" w:space="0" w:color="auto"/>
            </w:tcBorders>
          </w:tcPr>
          <w:p w14:paraId="7CE0BC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512/3000</w:t>
            </w:r>
          </w:p>
        </w:tc>
        <w:tc>
          <w:tcPr>
            <w:tcW w:w="1277" w:type="dxa"/>
            <w:tcBorders>
              <w:bottom w:val="single" w:sz="12" w:space="0" w:color="auto"/>
            </w:tcBorders>
          </w:tcPr>
          <w:p w14:paraId="54BB9D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546/5000 (1379,233)</w:t>
            </w:r>
          </w:p>
        </w:tc>
      </w:tr>
    </w:tbl>
    <w:p w14:paraId="244165D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EC40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на ДБ-3Ф 2М-88 N 390204 в ходе гос. испытаний нового вооружения провели полет на определение расхода горючего с пол. весом 8000 кг (2686).</w:t>
      </w:r>
    </w:p>
    <w:p w14:paraId="3181701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DB634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Нарком ВМФ Кузнецов писал А.И.Ш. письмо N 2541сс (1304,268).</w:t>
      </w:r>
    </w:p>
    <w:p w14:paraId="6215FA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УО N 77сс от 19 февраля 1940 завод 126 в 1 полугодии обязан изготовить для Авиации ВМФ 30 самолетов ДБ-3 2М-87Б (торпедоносцев). Кроме того, учитывая острую необходимость в самолетах этого типа на поплавках Вами было приказано (10-13 марта 1940) директору завода 126 Коломенскому об изготовлении в 1 полугодии в счет нашего плана 15 самолетов ДБ-3 2М-87Б на поплавках "Шорта" по чертежам завода 39.</w:t>
      </w:r>
    </w:p>
    <w:p w14:paraId="00272F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все время заключение договоров оттягивал и самолеты не поставлял.</w:t>
      </w:r>
    </w:p>
    <w:p w14:paraId="7A5511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Ваш приказ директор завода Коломенский и ГИ Хомский предложили нам договор с поставкой самолетов начиная с июля 1940, т.е. во 2 полугодии.</w:t>
      </w:r>
    </w:p>
    <w:p w14:paraId="2C9B54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и поплавки пришли на завод в апреле, но лежат без движения.</w:t>
      </w:r>
    </w:p>
    <w:p w14:paraId="5E04CB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создавшемся положении Авиация ВМФ по плану 1 полугодия с завода 126 ни одного самолета не получит.</w:t>
      </w:r>
    </w:p>
    <w:p w14:paraId="78ED84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прошу Вас лично вмешаться в действия руководителей завода 126 и еще раз обязать их:</w:t>
      </w:r>
    </w:p>
    <w:p w14:paraId="4B11CA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соответствии с решением КО N 77сс изготовить и сдать Авиации ВМФ в течение июля 1940 30 самолетов ДБ-3 2М-87Б</w:t>
      </w:r>
    </w:p>
    <w:p w14:paraId="0489A6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связи с тем, что поставка поплавковых самолетов заводом срывается, а поплавки и чертежи на заводе уже имеются, немедленно приступить к изготовлению 15 самолетов ДБ-3 2М-87Б серии Б в поплавковом варианте с расчетом получения их с завода не позднее 1 октября 1940 (1304,268).</w:t>
      </w:r>
    </w:p>
    <w:p w14:paraId="2FBB3E9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5CE4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вышел приказ НКАП N 278сс, который звучал "Для обеспечения производства самолетов ДБ-240 конструкции тов. Ермолаева, ПРИКАЗЫВАЮ: (404,114).</w:t>
      </w:r>
    </w:p>
    <w:p w14:paraId="2FC32E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Директору завода 18 тов. А.Б.Шенкману и главному конструктору тов. Ермолаеву организовать на заводе серийное производство самолетов ДБ-240.</w:t>
      </w:r>
    </w:p>
    <w:p w14:paraId="6DD9A3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Программу по выпуску самолетов заводу 18 утверждаю в следующих количествах:</w:t>
      </w:r>
    </w:p>
    <w:p w14:paraId="515AC3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ДБ-3Ф</w:t>
      </w:r>
      <w:r w:rsidRPr="00DB5D0D">
        <w:rPr>
          <w:rFonts w:ascii="Times New Roman" w:hAnsi="Times New Roman"/>
          <w:color w:val="000000" w:themeColor="text1"/>
          <w:sz w:val="16"/>
          <w:szCs w:val="16"/>
        </w:rPr>
        <w:tab/>
        <w:t>- 700 шт. в 1940 году</w:t>
      </w:r>
    </w:p>
    <w:p w14:paraId="221088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ДБ-240</w:t>
      </w:r>
      <w:r w:rsidRPr="00DB5D0D">
        <w:rPr>
          <w:rFonts w:ascii="Times New Roman" w:hAnsi="Times New Roman"/>
          <w:color w:val="000000" w:themeColor="text1"/>
          <w:sz w:val="16"/>
          <w:szCs w:val="16"/>
        </w:rPr>
        <w:tab/>
        <w:t>- 70 шт. в 1940 году и 800 шт. в 1941 году.</w:t>
      </w:r>
    </w:p>
    <w:p w14:paraId="6F5B18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Самолет ДБ-240 выпускать в 1940 по типу самолета N 1, выпущенного заводом N 240 с внесением изменений, полученных по результатам государственных испытаний.</w:t>
      </w:r>
    </w:p>
    <w:p w14:paraId="14CB80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Директору завода № 18 тов. Шенкман проследить за своевременным выполнением следующих работ Наркоматом Электропромышленности:</w:t>
      </w:r>
    </w:p>
    <w:p w14:paraId="5E00E2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окончанием монтажа и введении в эксплоатацию на Воро</w:t>
      </w:r>
      <w:r w:rsidRPr="00DB5D0D">
        <w:rPr>
          <w:rFonts w:ascii="Times New Roman" w:hAnsi="Times New Roman"/>
          <w:color w:val="000000" w:themeColor="text1"/>
          <w:sz w:val="16"/>
          <w:szCs w:val="16"/>
        </w:rPr>
        <w:softHyphen/>
        <w:t>нежской ГРЭС котла № 4 к 1 сентября 1940 года..." (404,114).</w:t>
      </w:r>
    </w:p>
    <w:p w14:paraId="630557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приказ был выпушен по постановлению КО N 236сс-40 (404,114).</w:t>
      </w:r>
    </w:p>
    <w:p w14:paraId="5EF8A4A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EE7F9FC"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июня 1940 был издан приказ НКАП № 278. Директору Шенкману предписывалось выпустить в текущем году 700 самолетов ДБ-3Ф и 70 самолетов ДБ-240 (Ер-2), а в 1941 году полностью переключиться на новую машину и произвести ее в количестве 800 единиц.</w:t>
      </w:r>
    </w:p>
    <w:p w14:paraId="346E2844"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Новые задачи потребовали увеличения численности персонала. Начался дополнительный набор рабочих. НКАП поручил Шенкману организовать через Воронежский облисполком набор 1000 человек (21518).</w:t>
      </w:r>
    </w:p>
    <w:p w14:paraId="010B8BE1" w14:textId="77777777" w:rsidR="005B746D" w:rsidRPr="00DB5D0D" w:rsidRDefault="005B746D" w:rsidP="00DB5D0D">
      <w:pPr>
        <w:spacing w:after="0" w:line="240" w:lineRule="auto"/>
        <w:jc w:val="both"/>
        <w:rPr>
          <w:rFonts w:ascii="Times New Roman" w:hAnsi="Times New Roman"/>
          <w:color w:val="0070C0"/>
          <w:sz w:val="16"/>
          <w:szCs w:val="16"/>
        </w:rPr>
      </w:pPr>
    </w:p>
    <w:p w14:paraId="03D083C4" w14:textId="77777777" w:rsidR="00620392" w:rsidRPr="00DB5D0D" w:rsidRDefault="00620392" w:rsidP="00DB5D0D">
      <w:pPr>
        <w:pStyle w:val="a3"/>
        <w:rPr>
          <w:color w:val="000000" w:themeColor="text1"/>
          <w:lang w:val="ru-RU"/>
        </w:rPr>
      </w:pPr>
      <w:r w:rsidRPr="00DB5D0D">
        <w:rPr>
          <w:color w:val="000000" w:themeColor="text1"/>
          <w:lang w:val="ru-RU"/>
        </w:rPr>
        <w:t>На 10 июня 1940, согласно справке о состоянии ра</w:t>
      </w:r>
      <w:r w:rsidRPr="00DB5D0D">
        <w:rPr>
          <w:color w:val="000000" w:themeColor="text1"/>
          <w:lang w:val="ru-RU"/>
        </w:rPr>
        <w:softHyphen/>
        <w:t>бот, по поводу ДВБ-102 было сказано:</w:t>
      </w:r>
      <w:r w:rsidRPr="00DB5D0D">
        <w:rPr>
          <w:rStyle w:val="35"/>
          <w:rFonts w:ascii="Times New Roman" w:cs="Times New Roman"/>
          <w:color w:val="000000" w:themeColor="text1"/>
          <w:spacing w:val="0"/>
          <w:sz w:val="16"/>
          <w:szCs w:val="16"/>
          <w:lang w:val="ru-RU"/>
        </w:rPr>
        <w:t xml:space="preserve"> «Работы по проектированию и изготовлению оснастки, как то: плазов, шаблонов, при</w:t>
      </w:r>
      <w:r w:rsidRPr="00DB5D0D">
        <w:rPr>
          <w:rStyle w:val="35"/>
          <w:rFonts w:ascii="Times New Roman" w:cs="Times New Roman"/>
          <w:color w:val="000000" w:themeColor="text1"/>
          <w:spacing w:val="0"/>
          <w:sz w:val="16"/>
          <w:szCs w:val="16"/>
          <w:lang w:val="ru-RU"/>
        </w:rPr>
        <w:softHyphen/>
        <w:t>способлений и пр. начаты производством.</w:t>
      </w:r>
    </w:p>
    <w:p w14:paraId="715BB06B" w14:textId="77777777" w:rsidR="00620392" w:rsidRPr="00DB5D0D" w:rsidRDefault="00620392"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Начаты также работы в производ</w:t>
      </w:r>
      <w:r w:rsidRPr="00DB5D0D">
        <w:rPr>
          <w:rFonts w:ascii="Times New Roman" w:cs="Times New Roman"/>
          <w:color w:val="000000" w:themeColor="text1"/>
          <w:spacing w:val="0"/>
          <w:sz w:val="16"/>
          <w:szCs w:val="16"/>
        </w:rPr>
        <w:softHyphen/>
        <w:t>стве по агрегатам опытного характера, как то: изготовление кессонов, лонжеро</w:t>
      </w:r>
      <w:r w:rsidRPr="00DB5D0D">
        <w:rPr>
          <w:rFonts w:ascii="Times New Roman" w:cs="Times New Roman"/>
          <w:color w:val="000000" w:themeColor="text1"/>
          <w:spacing w:val="0"/>
          <w:sz w:val="16"/>
          <w:szCs w:val="16"/>
        </w:rPr>
        <w:softHyphen/>
        <w:t>нов крыла, передней стойки шасси, ци</w:t>
      </w:r>
      <w:r w:rsidRPr="00DB5D0D">
        <w:rPr>
          <w:rFonts w:ascii="Times New Roman" w:cs="Times New Roman"/>
          <w:color w:val="000000" w:themeColor="text1"/>
          <w:spacing w:val="0"/>
          <w:sz w:val="16"/>
          <w:szCs w:val="16"/>
        </w:rPr>
        <w:softHyphen/>
        <w:t>линдра подъема шасси и др. Намечается опытных работ до 100 наименований. Опытные работы проводятся по эскизам.</w:t>
      </w:r>
    </w:p>
    <w:p w14:paraId="658BFE3E" w14:textId="77777777" w:rsidR="00620392" w:rsidRPr="00DB5D0D" w:rsidRDefault="00620392"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Работы по изготовлению агрегатов для статиспытаний и летным экз. в про</w:t>
      </w:r>
      <w:r w:rsidRPr="00DB5D0D">
        <w:rPr>
          <w:rFonts w:ascii="Times New Roman" w:cs="Times New Roman"/>
          <w:color w:val="000000" w:themeColor="text1"/>
          <w:spacing w:val="0"/>
          <w:sz w:val="16"/>
          <w:szCs w:val="16"/>
        </w:rPr>
        <w:softHyphen/>
        <w:t>изводстве не начаты из-за отсутствия чертежей.</w:t>
      </w:r>
    </w:p>
    <w:p w14:paraId="46A576A7" w14:textId="77777777" w:rsidR="00620392" w:rsidRPr="00DB5D0D" w:rsidRDefault="00620392"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Необходимые мероприятия:</w:t>
      </w:r>
    </w:p>
    <w:p w14:paraId="54C5AE3F" w14:textId="77777777" w:rsidR="00620392" w:rsidRPr="00DB5D0D" w:rsidRDefault="00620392" w:rsidP="00DB5D0D">
      <w:pPr>
        <w:pStyle w:val="34"/>
        <w:shd w:val="clear" w:color="auto" w:fill="auto"/>
        <w:tabs>
          <w:tab w:val="left" w:pos="500"/>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 В развитие подготовки производ</w:t>
      </w:r>
      <w:r w:rsidRPr="00DB5D0D">
        <w:rPr>
          <w:rFonts w:ascii="Times New Roman" w:cs="Times New Roman"/>
          <w:color w:val="000000" w:themeColor="text1"/>
          <w:spacing w:val="0"/>
          <w:sz w:val="16"/>
          <w:szCs w:val="16"/>
        </w:rPr>
        <w:softHyphen/>
        <w:t>ства необходимо обязать заводы-поставщики обеспечить завод 156 всеми мате</w:t>
      </w:r>
      <w:r w:rsidRPr="00DB5D0D">
        <w:rPr>
          <w:rFonts w:ascii="Times New Roman" w:cs="Times New Roman"/>
          <w:color w:val="000000" w:themeColor="text1"/>
          <w:spacing w:val="0"/>
          <w:sz w:val="16"/>
          <w:szCs w:val="16"/>
        </w:rPr>
        <w:softHyphen/>
        <w:t>риалами, полуфабрикатами, готовыми изделиями, приборами, вооружением для выпуска самолета в срок, установленный Правительством.</w:t>
      </w:r>
    </w:p>
    <w:p w14:paraId="3EBA8EF6" w14:textId="77777777" w:rsidR="00620392" w:rsidRPr="00DB5D0D" w:rsidRDefault="00620392" w:rsidP="00DB5D0D">
      <w:pPr>
        <w:pStyle w:val="34"/>
        <w:shd w:val="clear" w:color="auto" w:fill="auto"/>
        <w:tabs>
          <w:tab w:val="left" w:pos="476"/>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2. Выделить заводу 156 дополнитель</w:t>
      </w:r>
      <w:r w:rsidRPr="00DB5D0D">
        <w:rPr>
          <w:rFonts w:ascii="Times New Roman" w:cs="Times New Roman"/>
          <w:color w:val="000000" w:themeColor="text1"/>
          <w:spacing w:val="0"/>
          <w:sz w:val="16"/>
          <w:szCs w:val="16"/>
        </w:rPr>
        <w:softHyphen/>
        <w:t>ное механическое оборудование, согласно его заявок.</w:t>
      </w:r>
    </w:p>
    <w:p w14:paraId="160B58AC" w14:textId="77777777" w:rsidR="00620392" w:rsidRPr="00DB5D0D" w:rsidRDefault="00620392"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3. Обязать производственные Главки НКАП практиковать широкое коопериро</w:t>
      </w:r>
      <w:r w:rsidRPr="00DB5D0D">
        <w:rPr>
          <w:rFonts w:ascii="Times New Roman" w:cs="Times New Roman"/>
          <w:color w:val="000000" w:themeColor="text1"/>
          <w:spacing w:val="0"/>
          <w:sz w:val="16"/>
          <w:szCs w:val="16"/>
        </w:rPr>
        <w:softHyphen/>
        <w:t>вание по изготовлению отдельных изде</w:t>
      </w:r>
      <w:r w:rsidRPr="00DB5D0D">
        <w:rPr>
          <w:rFonts w:ascii="Times New Roman" w:cs="Times New Roman"/>
          <w:color w:val="000000" w:themeColor="text1"/>
          <w:spacing w:val="0"/>
          <w:sz w:val="16"/>
          <w:szCs w:val="16"/>
        </w:rPr>
        <w:softHyphen/>
        <w:t>лий и агрегатов, идущих на самолет».</w:t>
      </w:r>
    </w:p>
    <w:p w14:paraId="4C558823" w14:textId="77777777" w:rsidR="00620392" w:rsidRPr="00DB5D0D" w:rsidRDefault="0062039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на деле все обстояло не так хорошо.</w:t>
      </w:r>
    </w:p>
    <w:p w14:paraId="085495C3" w14:textId="77777777" w:rsidR="00620392" w:rsidRPr="00DB5D0D" w:rsidRDefault="0062039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характер предприятия не предполагал создания того объема оснастки, который заложил Мясищев для серийного выпуска ДВБ-102, тем не менее, ему удалось «протолкнуть» такой заказ еще до окончания сдачи в производство всех чертежей (17739).</w:t>
      </w:r>
    </w:p>
    <w:p w14:paraId="300214A9" w14:textId="77777777" w:rsidR="00620392" w:rsidRPr="00DB5D0D" w:rsidRDefault="00620392" w:rsidP="00DB5D0D">
      <w:pPr>
        <w:spacing w:after="0" w:line="240" w:lineRule="auto"/>
        <w:jc w:val="both"/>
        <w:rPr>
          <w:rFonts w:ascii="Times New Roman" w:eastAsia="Times New Roman" w:hAnsi="Times New Roman"/>
          <w:color w:val="000000" w:themeColor="text1"/>
          <w:sz w:val="16"/>
          <w:szCs w:val="16"/>
          <w:lang w:eastAsia="ru-RU"/>
        </w:rPr>
      </w:pPr>
    </w:p>
    <w:p w14:paraId="5ADF61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 Приказом НКАП № 278сс заводу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предписали выпустить в текущем году первые 70 Ер-2, а приказом № 330 от 12.04.1941 г. завод обязали прекратить производство ДБ-ЗФ и сосредоточить все внимание на Ер-2 (11982).</w:t>
      </w:r>
    </w:p>
    <w:p w14:paraId="46A957C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9987A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 исполнение постановления КО N 240cc вышел приказ НКАП N 279сс. По этому приказу "В целях перевода самолетов СБ на пикирующие бомбардировщики, на заводе 22 ПРИКАЗЫВАЮ: (404,121).</w:t>
      </w:r>
    </w:p>
    <w:p w14:paraId="198F36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Установить заводу 22 на второе полугодие 1940 года программу по самолетам СБ в количестве 885 штук, из них:</w:t>
      </w:r>
    </w:p>
    <w:p w14:paraId="263D61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самолетов СБ с мотором М-105 в пикирующем варианте 525 штук;</w:t>
      </w:r>
    </w:p>
    <w:p w14:paraId="1BDEB4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модифицированных самолетов СБ-РК с мотором М-105 в пикирующем варианте 360 штук.</w:t>
      </w:r>
    </w:p>
    <w:p w14:paraId="49B776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изменение приказа НКАП N 19сс от 19 января 1940 установить заводу 22 на 1940 программу по самолетам СПБ конструкции тов. Поликарпова - 15 штук, для проведения войсковых испытаний.</w:t>
      </w:r>
    </w:p>
    <w:p w14:paraId="1E4A74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Директору завода 22 тов. В.А.Окулову и главному конструктору тов. Архангельскому к 15 августа 1940 изготовить эталон пикирующего бомбардировщика СБ-РК с М-105 в количестве трех единиц с максимальной скоростью 490 км/час и запасом прочности не ниже 8.5 крат (404,121).</w:t>
      </w:r>
    </w:p>
    <w:p w14:paraId="296633D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DEB6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вышел приказ НКАП N 280сс в исполнение постановления КО N 239сс-40 от 1 июня 1940 "О переводе самолетов СБ на пикирующие бомбардировщики и внедрении пикирующего вооружения на эти бомбардировщики (1301,187).</w:t>
      </w:r>
    </w:p>
    <w:p w14:paraId="0B12542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331F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вышел приказ НКАП N 280сс в исполнение постановления КО N 240сс-40 от 1 июня 1940. Пожалуй, это постановление говорит о пикирующих бомбардировщиках, так как он же и по СБ и СБ-РК.</w:t>
      </w:r>
    </w:p>
    <w:p w14:paraId="193C23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"Для обеспечения самолетов пикирующим вооружением, ПРИКАЗЫВАЮ: (404,137).</w:t>
      </w:r>
    </w:p>
    <w:p w14:paraId="333CDB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Начальнику Второго ГУ тов. В.П.Соколову:</w:t>
      </w:r>
    </w:p>
    <w:p w14:paraId="40CCFB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организовать на заводе N 32 производство бомбодержателей для пикирующих бомбардировщиков СБ и ДБ-3Ф, обеспечив поставку последних самолетным заводам по утвержденной НКАП программе;</w:t>
      </w:r>
    </w:p>
    <w:p w14:paraId="12DCC5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организовать .на заводе КПГ дублер завода № 32 по произ</w:t>
      </w:r>
      <w:r w:rsidRPr="00DB5D0D">
        <w:rPr>
          <w:rFonts w:ascii="Times New Roman" w:hAnsi="Times New Roman"/>
          <w:color w:val="000000" w:themeColor="text1"/>
          <w:sz w:val="16"/>
          <w:szCs w:val="16"/>
        </w:rPr>
        <w:softHyphen/>
        <w:t>водству агрегатов вооружения с расчетом выпуска этих агрега</w:t>
      </w:r>
      <w:r w:rsidRPr="00DB5D0D">
        <w:rPr>
          <w:rFonts w:ascii="Times New Roman" w:hAnsi="Times New Roman"/>
          <w:color w:val="000000" w:themeColor="text1"/>
          <w:sz w:val="16"/>
          <w:szCs w:val="16"/>
        </w:rPr>
        <w:softHyphen/>
        <w:t>тов с 1 сентября 1940. года;</w:t>
      </w:r>
    </w:p>
    <w:p w14:paraId="3A8E73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 десятидневный срок проработать и представить моему заместителю тов. Воронину П.А. на утверждение:</w:t>
      </w:r>
    </w:p>
    <w:p w14:paraId="05F13F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подробную номенклатуру передаваемых с завода № 32 на завод КПГ агрегатов вооружения.</w:t>
      </w:r>
    </w:p>
    <w:p w14:paraId="131187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График перевода и запуска в производство агрегатов на заводе КПГ.</w:t>
      </w:r>
    </w:p>
    <w:p w14:paraId="2278BD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Организационную структуру и схему управления заво</w:t>
      </w:r>
      <w:r w:rsidRPr="00DB5D0D">
        <w:rPr>
          <w:rFonts w:ascii="Times New Roman" w:hAnsi="Times New Roman"/>
          <w:color w:val="000000" w:themeColor="text1"/>
          <w:sz w:val="16"/>
          <w:szCs w:val="16"/>
        </w:rPr>
        <w:softHyphen/>
        <w:t>да КПГ.</w:t>
      </w:r>
    </w:p>
    <w:p w14:paraId="0D0C7A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Состав инженерно-технических работников и производ</w:t>
      </w:r>
      <w:r w:rsidRPr="00DB5D0D">
        <w:rPr>
          <w:rFonts w:ascii="Times New Roman" w:hAnsi="Times New Roman"/>
          <w:color w:val="000000" w:themeColor="text1"/>
          <w:sz w:val="16"/>
          <w:szCs w:val="16"/>
        </w:rPr>
        <w:softHyphen/>
        <w:t>ственных рабочих, передаваемых с завода № 32</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 xml:space="preserve"> на завод КПГ..." (404,137).</w:t>
      </w:r>
    </w:p>
    <w:p w14:paraId="32B7F3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FB5813"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июня 1940 года генерал-лейтенант авиации Алексеев и бригадный комиссар Князев направили докладную записку № 501630сс Наркому обороны маршалу С.К. Тимошенко:</w:t>
      </w:r>
    </w:p>
    <w:p w14:paraId="4C6E9C6E"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«Докладываю: Самолет И-301 с М-105П конструкции Горбунова, Лавочкина и Гудкова прошел удовлетворительно заводские испытания. Самолет деревянной конструкции. По заключению проводившего испытания летчика НИИ ГУАС в/инженера 1 ранга Никишина, самолет обладает хорошей устойчивостью в полете и простой техникой посадки, взлета и управления в воздухе.</w:t>
      </w:r>
    </w:p>
    <w:p w14:paraId="4A740565"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заключению комиссии НКАП самолет 13 июня 1940 года поступает на госиспытания…</w:t>
      </w:r>
    </w:p>
    <w:p w14:paraId="5FFFE0EF"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 И-301 проще сравниваемых самолетов (И-200 и И-26) в производстве и имеет значительные преимущества по мощности вооружения. Самолет допускает установку мотора М-107 с переделкой только капотов. Постановка мотора М-107 увеличит скорость самолета до 640 км/час (по заявлению конструкторов).</w:t>
      </w:r>
    </w:p>
    <w:p w14:paraId="76652A94"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 мотором М-105 предусмотрена установка ТК, с которым на высоте 9-10000 м возможна скорость в пределах 650-700 км/час.</w:t>
      </w:r>
    </w:p>
    <w:p w14:paraId="221F7657"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 выполнении заводских испытаний летчиком НКО дефектов по самолету, препятствующих производству полетов обнаружено не было. Докладывая об изложенном, прошу Вашего ходатайства перед КО обязать НКАП: Немедленно приступить к выпуску серии самолета «И-301» с М-105П на заводе № 23. Завод № 23 освободить от производства «У-2». Производство самолетов «У-2» в пределах программы завода № 23 поручить заводу ОСОАВИАХИМа № 4 в Ленинграде.</w:t>
      </w:r>
    </w:p>
    <w:p w14:paraId="2C0BA3C6"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КБ Горбунова, Лавочкина и Гудкова перевести на завод № 23 с задачей внедрения самолета «И-301» в серийное производство» (23183).</w:t>
      </w:r>
    </w:p>
    <w:p w14:paraId="5596B74C" w14:textId="77777777" w:rsidR="005B746D" w:rsidRPr="00DB5D0D" w:rsidRDefault="005B746D" w:rsidP="00DB5D0D">
      <w:pPr>
        <w:spacing w:after="0" w:line="240" w:lineRule="auto"/>
        <w:jc w:val="both"/>
        <w:rPr>
          <w:rFonts w:ascii="Times New Roman" w:hAnsi="Times New Roman"/>
          <w:color w:val="0070C0"/>
          <w:sz w:val="16"/>
          <w:szCs w:val="16"/>
        </w:rPr>
      </w:pPr>
    </w:p>
    <w:p w14:paraId="560FF48E" w14:textId="7A1D2D26"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 появился Приказ НК ВМФ № 00155, которым "...все опытные работы по СПБ конструкции т. Вахмистрова с использованием самолетов ТБ-3-АМ34РН - ПРЕКРАЩЕНЫ.." (8636).</w:t>
      </w:r>
    </w:p>
    <w:p w14:paraId="3D25CE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этот Приказ не относился к уже заказанным комплексам, и 26 июня полковник Фомичев доложил рапортом о завершении обучения группы и принятии двух заводских "Звеньев-СПБ". Но только сам завод, чутко реагируя на обстановку, тут же прекратил дальнейшее переоборудование самолетов под "Звено-СПБ", хотя было заготовлено уже все необходимое для нескольких комплексов. На КБФ формирование "спецназа" тоже по каким-то причинам было отложено, и лишь стараниями Коробкова и Никитенко сохранена единственная эскадрилья СПБ на Черноморском флоте (8636).</w:t>
      </w:r>
    </w:p>
    <w:p w14:paraId="6E72687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1F7F1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 вышел приказ НИИ ВВС № 0117</w:t>
      </w:r>
    </w:p>
    <w:p w14:paraId="715C778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Полетные испытания самолета И16 М63 с винтом АВ-1 на исследование торможения при пикировании (6891, 239).</w:t>
      </w:r>
    </w:p>
    <w:p w14:paraId="0362DA9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26813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вышел приказ НКАП N 276 с о проведении летных испытаний самолета И-21 завода 21 конструкции М.М.Пашинина. Приказано приступить к летным испытаниям с 20 июня 1940 и закончить их к 20 августа. Л-и назначен П.У.Фокина (404,106).</w:t>
      </w:r>
    </w:p>
    <w:p w14:paraId="6DC282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проведении летних испытаний самолета И-21 заво</w:t>
      </w:r>
      <w:r w:rsidRPr="00DB5D0D">
        <w:rPr>
          <w:rFonts w:ascii="Times New Roman" w:hAnsi="Times New Roman"/>
          <w:color w:val="000000" w:themeColor="text1"/>
          <w:sz w:val="16"/>
          <w:szCs w:val="16"/>
        </w:rPr>
        <w:softHyphen/>
        <w:t>да И-21 главного конструктора тов. ПАШИНИНА - ПРИКАЗЫВАЮ:</w:t>
      </w:r>
    </w:p>
    <w:p w14:paraId="5A1C16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1</w:t>
      </w:r>
    </w:p>
    <w:p w14:paraId="028963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Приступить к проведение заводских летных испытаний с 20 июня и закончить их 20 августа 1940 года.</w:t>
      </w:r>
    </w:p>
    <w:p w14:paraId="6BBFCC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2</w:t>
      </w:r>
    </w:p>
    <w:p w14:paraId="380555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Летчиком-испытателем по заводским испытаниям само</w:t>
      </w:r>
      <w:r w:rsidRPr="00DB5D0D">
        <w:rPr>
          <w:rFonts w:ascii="Times New Roman" w:hAnsi="Times New Roman"/>
          <w:color w:val="000000" w:themeColor="text1"/>
          <w:sz w:val="16"/>
          <w:szCs w:val="16"/>
        </w:rPr>
        <w:softHyphen/>
        <w:t>лета И- 21 назначить летчика завода $ 21 тов. ШОКРША П. У.</w:t>
      </w:r>
    </w:p>
    <w:p w14:paraId="3FAC8F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3</w:t>
      </w:r>
    </w:p>
    <w:p w14:paraId="59FD55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Утвердить бригаду, прикрепленную к самолету И- 21 на период летных испытаний по прилагаемому списку:</w:t>
      </w:r>
    </w:p>
    <w:p w14:paraId="66CFFE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4</w:t>
      </w:r>
    </w:p>
    <w:p w14:paraId="545C59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летчику испытателю тов. ФОКИНУ дополнительную зарплату за проведетние испытаний в установленный срой, в сумме 50.000 рублей.</w:t>
      </w:r>
    </w:p>
    <w:p w14:paraId="75E312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Наземные и летные испытания проводить на.базе ЛИС"а завода № 21.</w:t>
      </w:r>
    </w:p>
    <w:p w14:paraId="235B6A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Авиационной Промышленности (404,106).</w:t>
      </w:r>
    </w:p>
    <w:p w14:paraId="051CB84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D731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 генерал-лейтенант авиации Алексеев и бригадный комиссар Князев писали письмо № 501630сс наркому обороны маршалу Тимошенко С.К.</w:t>
      </w:r>
    </w:p>
    <w:p w14:paraId="0F949D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w:t>
      </w:r>
    </w:p>
    <w:p w14:paraId="537C68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с М-105П конструкции Горбунова, Лавочкина и Гудкова прошел удовлетворительно заводские испытания.</w:t>
      </w:r>
    </w:p>
    <w:p w14:paraId="66B4FA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деревянной конструкции.</w:t>
      </w:r>
    </w:p>
    <w:p w14:paraId="480991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заключению проводившего испытания летчика НИИ ГУАС в/инженера 1 ранга Никишина, самолет обладает хорошей устойчивостью в полете и простой техникой посадки, взлета и управления в воздухе.</w:t>
      </w:r>
    </w:p>
    <w:p w14:paraId="323146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заключению комиссии НКАП самолет 13 июня 1940 года поступает на госиспытания.</w:t>
      </w:r>
    </w:p>
    <w:p w14:paraId="27660A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Сравнительные данные по заводским испытаниям «И-301» с самолетами «И-26» и «И-200»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1774"/>
        <w:gridCol w:w="1344"/>
        <w:gridCol w:w="851"/>
        <w:gridCol w:w="850"/>
        <w:gridCol w:w="1418"/>
      </w:tblGrid>
      <w:tr w:rsidR="007D5DF8" w:rsidRPr="00DB5D0D" w14:paraId="45A75321" w14:textId="77777777" w:rsidTr="009223E5">
        <w:trPr>
          <w:cantSplit/>
          <w:trHeight w:val="188"/>
        </w:trPr>
        <w:tc>
          <w:tcPr>
            <w:tcW w:w="1101" w:type="dxa"/>
          </w:tcPr>
          <w:p w14:paraId="10A9BB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w:t>
            </w:r>
          </w:p>
        </w:tc>
        <w:tc>
          <w:tcPr>
            <w:tcW w:w="1134" w:type="dxa"/>
          </w:tcPr>
          <w:p w14:paraId="5A77E7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мотора и мощность</w:t>
            </w:r>
          </w:p>
        </w:tc>
        <w:tc>
          <w:tcPr>
            <w:tcW w:w="1134" w:type="dxa"/>
          </w:tcPr>
          <w:p w14:paraId="45099C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у земли</w:t>
            </w:r>
          </w:p>
        </w:tc>
        <w:tc>
          <w:tcPr>
            <w:tcW w:w="1134" w:type="dxa"/>
          </w:tcPr>
          <w:p w14:paraId="1CB6A1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на расчетной высоте</w:t>
            </w:r>
          </w:p>
        </w:tc>
        <w:tc>
          <w:tcPr>
            <w:tcW w:w="1774" w:type="dxa"/>
          </w:tcPr>
          <w:p w14:paraId="255723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1344" w:type="dxa"/>
          </w:tcPr>
          <w:p w14:paraId="1B0AE9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w:t>
            </w:r>
          </w:p>
        </w:tc>
        <w:tc>
          <w:tcPr>
            <w:tcW w:w="1701" w:type="dxa"/>
            <w:gridSpan w:val="2"/>
          </w:tcPr>
          <w:p w14:paraId="0CA73E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w:t>
            </w:r>
          </w:p>
        </w:tc>
        <w:tc>
          <w:tcPr>
            <w:tcW w:w="1418" w:type="dxa"/>
          </w:tcPr>
          <w:p w14:paraId="070AD5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Транспортировка</w:t>
            </w:r>
          </w:p>
        </w:tc>
      </w:tr>
      <w:tr w:rsidR="007D5DF8" w:rsidRPr="00DB5D0D" w14:paraId="5936B8CC" w14:textId="77777777" w:rsidTr="009223E5">
        <w:trPr>
          <w:cantSplit/>
          <w:trHeight w:val="188"/>
        </w:trPr>
        <w:tc>
          <w:tcPr>
            <w:tcW w:w="1101" w:type="dxa"/>
          </w:tcPr>
          <w:p w14:paraId="3F2D01B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3CA886F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284E099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34" w:type="dxa"/>
          </w:tcPr>
          <w:p w14:paraId="54D1F21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774" w:type="dxa"/>
          </w:tcPr>
          <w:p w14:paraId="1541443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344" w:type="dxa"/>
          </w:tcPr>
          <w:p w14:paraId="03E275A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51" w:type="dxa"/>
          </w:tcPr>
          <w:p w14:paraId="21C85D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850" w:type="dxa"/>
          </w:tcPr>
          <w:p w14:paraId="1EBEF0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1418" w:type="dxa"/>
          </w:tcPr>
          <w:p w14:paraId="1E1CFD8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2CD51F8" w14:textId="77777777" w:rsidTr="009223E5">
        <w:trPr>
          <w:cantSplit/>
          <w:trHeight w:val="188"/>
        </w:trPr>
        <w:tc>
          <w:tcPr>
            <w:tcW w:w="1101" w:type="dxa"/>
          </w:tcPr>
          <w:p w14:paraId="235C50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w:t>
            </w:r>
          </w:p>
        </w:tc>
        <w:tc>
          <w:tcPr>
            <w:tcW w:w="1134" w:type="dxa"/>
          </w:tcPr>
          <w:p w14:paraId="27765E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 1200 л.с.</w:t>
            </w:r>
          </w:p>
        </w:tc>
        <w:tc>
          <w:tcPr>
            <w:tcW w:w="1134" w:type="dxa"/>
          </w:tcPr>
          <w:p w14:paraId="0305E6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w:t>
            </w:r>
          </w:p>
        </w:tc>
        <w:tc>
          <w:tcPr>
            <w:tcW w:w="1134" w:type="dxa"/>
          </w:tcPr>
          <w:p w14:paraId="1457D7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648,5</w:t>
            </w:r>
          </w:p>
        </w:tc>
        <w:tc>
          <w:tcPr>
            <w:tcW w:w="1774" w:type="dxa"/>
          </w:tcPr>
          <w:p w14:paraId="0905FF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Березина</w:t>
            </w:r>
          </w:p>
          <w:p w14:paraId="46277B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7,62 мм</w:t>
            </w:r>
          </w:p>
          <w:p w14:paraId="73C96C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 и бомбы в перегрузочном варианте</w:t>
            </w:r>
          </w:p>
        </w:tc>
        <w:tc>
          <w:tcPr>
            <w:tcW w:w="1344" w:type="dxa"/>
          </w:tcPr>
          <w:p w14:paraId="11467A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w:t>
            </w:r>
          </w:p>
        </w:tc>
        <w:tc>
          <w:tcPr>
            <w:tcW w:w="851" w:type="dxa"/>
          </w:tcPr>
          <w:p w14:paraId="57D23B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c>
          <w:tcPr>
            <w:tcW w:w="850" w:type="dxa"/>
          </w:tcPr>
          <w:p w14:paraId="3752A9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348</w:t>
            </w:r>
          </w:p>
        </w:tc>
        <w:tc>
          <w:tcPr>
            <w:tcW w:w="1418" w:type="dxa"/>
          </w:tcPr>
          <w:p w14:paraId="793008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Удобна, самолет разбирается на части</w:t>
            </w:r>
          </w:p>
        </w:tc>
      </w:tr>
      <w:tr w:rsidR="007D5DF8" w:rsidRPr="00DB5D0D" w14:paraId="1252F264" w14:textId="77777777" w:rsidTr="009223E5">
        <w:trPr>
          <w:cantSplit/>
          <w:trHeight w:val="188"/>
        </w:trPr>
        <w:tc>
          <w:tcPr>
            <w:tcW w:w="1101" w:type="dxa"/>
          </w:tcPr>
          <w:p w14:paraId="59CE80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w:t>
            </w:r>
          </w:p>
        </w:tc>
        <w:tc>
          <w:tcPr>
            <w:tcW w:w="1134" w:type="dxa"/>
          </w:tcPr>
          <w:p w14:paraId="6219B8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М-105П 1050 л.с.</w:t>
            </w:r>
          </w:p>
        </w:tc>
        <w:tc>
          <w:tcPr>
            <w:tcW w:w="1134" w:type="dxa"/>
          </w:tcPr>
          <w:p w14:paraId="0FB90D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503</w:t>
            </w:r>
          </w:p>
        </w:tc>
        <w:tc>
          <w:tcPr>
            <w:tcW w:w="1134" w:type="dxa"/>
          </w:tcPr>
          <w:p w14:paraId="493D11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582-592</w:t>
            </w:r>
          </w:p>
        </w:tc>
        <w:tc>
          <w:tcPr>
            <w:tcW w:w="1774" w:type="dxa"/>
          </w:tcPr>
          <w:p w14:paraId="46DA4A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Березина</w:t>
            </w:r>
          </w:p>
          <w:p w14:paraId="3F5957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7,62 мм</w:t>
            </w:r>
          </w:p>
          <w:p w14:paraId="61725F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пушка 23 мм</w:t>
            </w:r>
          </w:p>
          <w:p w14:paraId="7BB6FE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РС на 8 снарядов</w:t>
            </w:r>
          </w:p>
        </w:tc>
        <w:tc>
          <w:tcPr>
            <w:tcW w:w="1344" w:type="dxa"/>
          </w:tcPr>
          <w:p w14:paraId="364791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570-580</w:t>
            </w:r>
          </w:p>
        </w:tc>
        <w:tc>
          <w:tcPr>
            <w:tcW w:w="851" w:type="dxa"/>
          </w:tcPr>
          <w:p w14:paraId="72A552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250-280</w:t>
            </w:r>
          </w:p>
        </w:tc>
        <w:tc>
          <w:tcPr>
            <w:tcW w:w="850" w:type="dxa"/>
          </w:tcPr>
          <w:p w14:paraId="4B5846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200-220</w:t>
            </w:r>
          </w:p>
        </w:tc>
        <w:tc>
          <w:tcPr>
            <w:tcW w:w="1418" w:type="dxa"/>
          </w:tcPr>
          <w:p w14:paraId="14A829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Удобна, самолет разбирается на части</w:t>
            </w:r>
          </w:p>
        </w:tc>
      </w:tr>
      <w:tr w:rsidR="007D5DF8" w:rsidRPr="00DB5D0D" w14:paraId="7EBE6A7D" w14:textId="77777777" w:rsidTr="009223E5">
        <w:trPr>
          <w:cantSplit/>
          <w:trHeight w:val="188"/>
        </w:trPr>
        <w:tc>
          <w:tcPr>
            <w:tcW w:w="1101" w:type="dxa"/>
          </w:tcPr>
          <w:p w14:paraId="1329B0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w:t>
            </w:r>
          </w:p>
        </w:tc>
        <w:tc>
          <w:tcPr>
            <w:tcW w:w="1134" w:type="dxa"/>
          </w:tcPr>
          <w:p w14:paraId="41625E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М-105П 1050 л.с.</w:t>
            </w:r>
          </w:p>
        </w:tc>
        <w:tc>
          <w:tcPr>
            <w:tcW w:w="1134" w:type="dxa"/>
          </w:tcPr>
          <w:p w14:paraId="75CE50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485</w:t>
            </w:r>
          </w:p>
        </w:tc>
        <w:tc>
          <w:tcPr>
            <w:tcW w:w="1134" w:type="dxa"/>
          </w:tcPr>
          <w:p w14:paraId="06F6C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595</w:t>
            </w:r>
          </w:p>
        </w:tc>
        <w:tc>
          <w:tcPr>
            <w:tcW w:w="1774" w:type="dxa"/>
          </w:tcPr>
          <w:p w14:paraId="44AAD3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пушка 20 мм</w:t>
            </w:r>
          </w:p>
          <w:p w14:paraId="687F4E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7,62 мм</w:t>
            </w:r>
          </w:p>
        </w:tc>
        <w:tc>
          <w:tcPr>
            <w:tcW w:w="1344" w:type="dxa"/>
          </w:tcPr>
          <w:p w14:paraId="76E7EF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851" w:type="dxa"/>
          </w:tcPr>
          <w:p w14:paraId="3AE6FC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850" w:type="dxa"/>
          </w:tcPr>
          <w:p w14:paraId="4A7114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c>
          <w:tcPr>
            <w:tcW w:w="1418" w:type="dxa"/>
          </w:tcPr>
          <w:p w14:paraId="6F327B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удобен. Самолет не разбирается на отдельные части.</w:t>
            </w:r>
          </w:p>
        </w:tc>
      </w:tr>
    </w:tbl>
    <w:p w14:paraId="6A083F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проще сравниваемых самолетов в производстве и имеет значительные преимущества по мощности вооружения.</w:t>
      </w:r>
    </w:p>
    <w:p w14:paraId="5986BD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допускает установку мотора М-107 с переделкой только капотов. Постановка мотора М-107 увеличит скорость самолета до 640 км/час (по заявлению конструкторов).</w:t>
      </w:r>
    </w:p>
    <w:p w14:paraId="21301E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мотором М-105 предусмотрена установка ТК, с которым на высоте 9-10000 м возможна скорость в пределах 650-700 км/час.</w:t>
      </w:r>
    </w:p>
    <w:p w14:paraId="4E17E7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выполнении заводских испытаний летчиком НКО дефектов по самолету, препятствующих производству полетов обнаружено не было.</w:t>
      </w:r>
    </w:p>
    <w:p w14:paraId="061E54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Докладывая об изложенном, прошу Вашего ходатайства перед КО обязать НКАП:</w:t>
      </w:r>
    </w:p>
    <w:p w14:paraId="548EF9E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Немедленно приступить к выпуску серии самолета «И-301» с М-105П на заводе № 23.</w:t>
      </w:r>
    </w:p>
    <w:p w14:paraId="0C16641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23 освободить от производства «У-2».</w:t>
      </w:r>
    </w:p>
    <w:p w14:paraId="520BB22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самолетов «У-2» в пределах программы завода № 23 поручить заводу ОСОАВИАХИМа № 4 в Ленинграде.</w:t>
      </w:r>
    </w:p>
    <w:p w14:paraId="25BD970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 Горбунова, Лавочкина и Гудкова перевести на завод № 23 с задачей внедрения самолета «И-301» в серийное производство (7709, 444-445).</w:t>
      </w:r>
    </w:p>
    <w:p w14:paraId="75577E6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98D1E4" w14:textId="77777777" w:rsidR="006F4177" w:rsidRPr="00DB5D0D" w:rsidRDefault="006F417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они написали письмо Начальнику ГУАС КА генерал-лейтенанту Алексееву с докладом о проведенных заводских испытаниях и результатах переговоров в Ленинграде (ЛаГГ съе</w:t>
      </w:r>
      <w:r w:rsidRPr="00DB5D0D">
        <w:rPr>
          <w:rFonts w:ascii="Times New Roman" w:hAnsi="Times New Roman"/>
          <w:color w:val="000000" w:themeColor="text1"/>
          <w:sz w:val="16"/>
          <w:szCs w:val="16"/>
        </w:rPr>
        <w:softHyphen/>
        <w:t>здили лично и договорились с директо</w:t>
      </w:r>
      <w:r w:rsidRPr="00DB5D0D">
        <w:rPr>
          <w:rFonts w:ascii="Times New Roman" w:hAnsi="Times New Roman"/>
          <w:color w:val="000000" w:themeColor="text1"/>
          <w:sz w:val="16"/>
          <w:szCs w:val="16"/>
        </w:rPr>
        <w:softHyphen/>
        <w:t>ром завода С.С. Бариновым и руководи</w:t>
      </w:r>
      <w:r w:rsidRPr="00DB5D0D">
        <w:rPr>
          <w:rFonts w:ascii="Times New Roman" w:hAnsi="Times New Roman"/>
          <w:color w:val="000000" w:themeColor="text1"/>
          <w:sz w:val="16"/>
          <w:szCs w:val="16"/>
        </w:rPr>
        <w:softHyphen/>
        <w:t>телями парторганизации города). К письму был приложен проект постанов</w:t>
      </w:r>
      <w:r w:rsidRPr="00DB5D0D">
        <w:rPr>
          <w:rFonts w:ascii="Times New Roman" w:hAnsi="Times New Roman"/>
          <w:color w:val="000000" w:themeColor="text1"/>
          <w:sz w:val="16"/>
          <w:szCs w:val="16"/>
        </w:rPr>
        <w:softHyphen/>
        <w:t>ления КО о постройке войсковой серии И-301 в количестве 30 шт. в 1940 г. на за</w:t>
      </w:r>
      <w:r w:rsidRPr="00DB5D0D">
        <w:rPr>
          <w:rFonts w:ascii="Times New Roman" w:hAnsi="Times New Roman"/>
          <w:color w:val="000000" w:themeColor="text1"/>
          <w:sz w:val="16"/>
          <w:szCs w:val="16"/>
        </w:rPr>
        <w:softHyphen/>
        <w:t>воде №23 (19734).</w:t>
      </w:r>
    </w:p>
    <w:p w14:paraId="59B8F291" w14:textId="77777777" w:rsidR="006F4177" w:rsidRPr="00DB5D0D" w:rsidRDefault="006F4177" w:rsidP="00DB5D0D">
      <w:pPr>
        <w:spacing w:after="0" w:line="240" w:lineRule="auto"/>
        <w:jc w:val="both"/>
        <w:rPr>
          <w:rFonts w:ascii="Times New Roman" w:hAnsi="Times New Roman"/>
          <w:color w:val="000000" w:themeColor="text1"/>
          <w:sz w:val="16"/>
          <w:szCs w:val="16"/>
        </w:rPr>
      </w:pPr>
    </w:p>
    <w:p w14:paraId="273E7D3E" w14:textId="77777777" w:rsidR="006F4177" w:rsidRPr="00DB5D0D" w:rsidRDefault="006F417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10 июня 1940 Начальник ГУАС КА Алек</w:t>
      </w:r>
      <w:r w:rsidRPr="00DB5D0D">
        <w:rPr>
          <w:rFonts w:ascii="Times New Roman" w:hAnsi="Times New Roman"/>
          <w:color w:val="000000" w:themeColor="text1"/>
          <w:sz w:val="16"/>
          <w:szCs w:val="16"/>
        </w:rPr>
        <w:softHyphen/>
        <w:t>сеев препроводил доклад «триумви</w:t>
      </w:r>
      <w:r w:rsidRPr="00DB5D0D">
        <w:rPr>
          <w:rFonts w:ascii="Times New Roman" w:hAnsi="Times New Roman"/>
          <w:color w:val="000000" w:themeColor="text1"/>
          <w:sz w:val="16"/>
          <w:szCs w:val="16"/>
        </w:rPr>
        <w:softHyphen/>
        <w:t>рата» Наркому обороны Маршалу Совет</w:t>
      </w:r>
      <w:r w:rsidRPr="00DB5D0D">
        <w:rPr>
          <w:rFonts w:ascii="Times New Roman" w:hAnsi="Times New Roman"/>
          <w:color w:val="000000" w:themeColor="text1"/>
          <w:sz w:val="16"/>
          <w:szCs w:val="16"/>
        </w:rPr>
        <w:softHyphen/>
        <w:t>ского Союза С.К. Тимошенко со своим за</w:t>
      </w:r>
      <w:r w:rsidRPr="00DB5D0D">
        <w:rPr>
          <w:rFonts w:ascii="Times New Roman" w:hAnsi="Times New Roman"/>
          <w:color w:val="000000" w:themeColor="text1"/>
          <w:sz w:val="16"/>
          <w:szCs w:val="16"/>
        </w:rPr>
        <w:softHyphen/>
        <w:t>ключением:</w:t>
      </w:r>
    </w:p>
    <w:p w14:paraId="235781D3" w14:textId="77777777" w:rsidR="006F4177" w:rsidRPr="00DB5D0D" w:rsidRDefault="006F417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ходатайства пе</w:t>
      </w:r>
      <w:r w:rsidRPr="00DB5D0D">
        <w:rPr>
          <w:rFonts w:ascii="Times New Roman" w:hAnsi="Times New Roman"/>
          <w:color w:val="000000" w:themeColor="text1"/>
          <w:sz w:val="16"/>
          <w:szCs w:val="16"/>
        </w:rPr>
        <w:softHyphen/>
        <w:t>ред Комитетом Обороны обязать Народ</w:t>
      </w:r>
      <w:r w:rsidRPr="00DB5D0D">
        <w:rPr>
          <w:rFonts w:ascii="Times New Roman" w:hAnsi="Times New Roman"/>
          <w:color w:val="000000" w:themeColor="text1"/>
          <w:sz w:val="16"/>
          <w:szCs w:val="16"/>
        </w:rPr>
        <w:softHyphen/>
        <w:t>ный Комиссариат Авиационной Промыш</w:t>
      </w:r>
      <w:r w:rsidRPr="00DB5D0D">
        <w:rPr>
          <w:rFonts w:ascii="Times New Roman" w:hAnsi="Times New Roman"/>
          <w:color w:val="000000" w:themeColor="text1"/>
          <w:sz w:val="16"/>
          <w:szCs w:val="16"/>
        </w:rPr>
        <w:softHyphen/>
        <w:t>ленности:</w:t>
      </w:r>
    </w:p>
    <w:p w14:paraId="6F1C4E5F" w14:textId="77777777" w:rsidR="006F4177" w:rsidRPr="00DB5D0D" w:rsidRDefault="006F4177" w:rsidP="00DB5D0D">
      <w:pPr>
        <w:tabs>
          <w:tab w:val="left" w:pos="48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немедленно приступить к выпуску серии самолета «И-301» с М-105П на за</w:t>
      </w:r>
      <w:r w:rsidRPr="00DB5D0D">
        <w:rPr>
          <w:rFonts w:ascii="Times New Roman" w:hAnsi="Times New Roman"/>
          <w:color w:val="000000" w:themeColor="text1"/>
          <w:sz w:val="16"/>
          <w:szCs w:val="16"/>
        </w:rPr>
        <w:softHyphen/>
        <w:t>воде №23;</w:t>
      </w:r>
    </w:p>
    <w:p w14:paraId="2BF780BC" w14:textId="77777777" w:rsidR="006F4177" w:rsidRPr="00DB5D0D" w:rsidRDefault="006F4177" w:rsidP="00DB5D0D">
      <w:pPr>
        <w:tabs>
          <w:tab w:val="left" w:pos="47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завод №23 освободить от произ</w:t>
      </w:r>
      <w:r w:rsidRPr="00DB5D0D">
        <w:rPr>
          <w:rFonts w:ascii="Times New Roman" w:hAnsi="Times New Roman"/>
          <w:color w:val="000000" w:themeColor="text1"/>
          <w:sz w:val="16"/>
          <w:szCs w:val="16"/>
        </w:rPr>
        <w:softHyphen/>
        <w:t>водства «У-2»;</w:t>
      </w:r>
    </w:p>
    <w:p w14:paraId="51126744" w14:textId="77777777" w:rsidR="006F4177" w:rsidRPr="00DB5D0D" w:rsidRDefault="006F4177" w:rsidP="00DB5D0D">
      <w:pPr>
        <w:tabs>
          <w:tab w:val="left" w:pos="48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производство самолетов «У-2», в пределах программы завода №23, пору</w:t>
      </w:r>
      <w:r w:rsidRPr="00DB5D0D">
        <w:rPr>
          <w:rFonts w:ascii="Times New Roman" w:hAnsi="Times New Roman"/>
          <w:color w:val="000000" w:themeColor="text1"/>
          <w:sz w:val="16"/>
          <w:szCs w:val="16"/>
        </w:rPr>
        <w:softHyphen/>
        <w:t>чить заводу ОСОАВИАХИМа №4 в г.Ленин</w:t>
      </w:r>
      <w:r w:rsidRPr="00DB5D0D">
        <w:rPr>
          <w:rFonts w:ascii="Times New Roman" w:hAnsi="Times New Roman"/>
          <w:color w:val="000000" w:themeColor="text1"/>
          <w:sz w:val="16"/>
          <w:szCs w:val="16"/>
        </w:rPr>
        <w:softHyphen/>
        <w:t>граде;</w:t>
      </w:r>
    </w:p>
    <w:p w14:paraId="4A1073AB" w14:textId="77777777" w:rsidR="006F4177" w:rsidRPr="00DB5D0D" w:rsidRDefault="006F4177" w:rsidP="00DB5D0D">
      <w:pPr>
        <w:tabs>
          <w:tab w:val="left" w:pos="48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конструкторское бюро т.т. Горбу</w:t>
      </w:r>
      <w:r w:rsidRPr="00DB5D0D">
        <w:rPr>
          <w:rFonts w:ascii="Times New Roman" w:hAnsi="Times New Roman"/>
          <w:color w:val="000000" w:themeColor="text1"/>
          <w:sz w:val="16"/>
          <w:szCs w:val="16"/>
        </w:rPr>
        <w:softHyphen/>
        <w:t>нова, Лавочкина и Гудкова перевести на за</w:t>
      </w:r>
      <w:r w:rsidRPr="00DB5D0D">
        <w:rPr>
          <w:rFonts w:ascii="Times New Roman" w:hAnsi="Times New Roman"/>
          <w:color w:val="000000" w:themeColor="text1"/>
          <w:sz w:val="16"/>
          <w:szCs w:val="16"/>
        </w:rPr>
        <w:softHyphen/>
        <w:t>вод №23 с задачей внедрения самолета «И-301» в серийное производство.» (19734).</w:t>
      </w:r>
    </w:p>
    <w:p w14:paraId="74324A66" w14:textId="77777777" w:rsidR="006F4177" w:rsidRPr="00DB5D0D" w:rsidRDefault="006F4177" w:rsidP="00DB5D0D">
      <w:pPr>
        <w:spacing w:after="0" w:line="240" w:lineRule="auto"/>
        <w:jc w:val="both"/>
        <w:rPr>
          <w:rFonts w:ascii="Times New Roman" w:hAnsi="Times New Roman"/>
          <w:color w:val="000000" w:themeColor="text1"/>
          <w:sz w:val="16"/>
          <w:szCs w:val="16"/>
        </w:rPr>
      </w:pPr>
    </w:p>
    <w:p w14:paraId="485D1E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контролер Вахрушев - представитель КО СНК СССР - в журнале Учета выполнения постановлени правительства в отношении постановления КО N224сс 1940 “Об организации серийного производства самолета И-200 на заводе № 1 и о снятии с производства самолета ББ-22” отметил:</w:t>
      </w:r>
    </w:p>
    <w:p w14:paraId="37714A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2 - отсутстствие кондиционногомотора (ошибочно указано М-105) и карбюратора к нему срывает срок предъявления самолета на госиспытания</w:t>
      </w:r>
    </w:p>
    <w:p w14:paraId="103A29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3 - не выполнен и на 10 июня директор завода № 1 т. Соколов вызывается к тов. Молотову и Щербакову и предупреждается.</w:t>
      </w:r>
    </w:p>
    <w:p w14:paraId="226852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8 - дал указание т. Кантаровичу дать исчерпывающие объяснения к 11 июня 1940</w:t>
      </w:r>
    </w:p>
    <w:p w14:paraId="171FAE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9 т. Ванников опротестовал в КО (письмо № 707 от 27.05.40), т.к. указанные заводы не могут датьнужного литья, вследствие малой мощности печей (Дубов 25 июня 1940) (10395)</w:t>
      </w:r>
    </w:p>
    <w:p w14:paraId="3587D3B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D287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июня по 3 августа 1940 г. на самолете И-135 отрабатывали ВМГ (6496).</w:t>
      </w:r>
    </w:p>
    <w:p w14:paraId="45B449A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7AC0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на И-26 М-105П ВИШ-61 А.С.Я. в ходе гос. испытаний, которые проходили с 1 по 15 июня 1940 из-за плохой погоды выполнили только полеты вечером на снятие взлетно-посадочных характеристик (0:40) (2924).</w:t>
      </w:r>
    </w:p>
    <w:p w14:paraId="703F408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9A9E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вышел приказ НКАП N 277cc в исполнение постановления КО N 248 "Об увеличении сроков службы авиационных моторов". Подписали К.Е.В. и Сафонов (1301,290).</w:t>
      </w:r>
    </w:p>
    <w:p w14:paraId="57CE0E0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FE13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 ходе гос. испытаний ПС-84 в военных вариантах - транспортном, десантном и санитарном, которые проходили в НИИ ВВС с 11 мая по 29 июня 1940 на машине было выполнено несколько полетов, в т.ч. на определение взлетно-посадочных свойств с ПДББ-400 (0:40), на сбрасывание ПДББ-400 (0:20), на загрузку и разгрузку П-45 (0:20), загрузку и растряску П-76 (0:25) (2923).</w:t>
      </w:r>
    </w:p>
    <w:p w14:paraId="2C444B4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308AE52" w14:textId="77777777" w:rsidR="007B1371" w:rsidRPr="00DB5D0D" w:rsidRDefault="007B137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10 июня 1940 г. Наркомат ВМФ издал приказ о прекращении работ по СПБ </w:t>
      </w:r>
      <w:hyperlink r:id="rId114" w:history="1">
        <w:r w:rsidRPr="00DB5D0D">
          <w:rPr>
            <w:rFonts w:ascii="Times New Roman" w:eastAsia="Times New Roman" w:hAnsi="Times New Roman"/>
            <w:color w:val="000000" w:themeColor="text1"/>
            <w:sz w:val="16"/>
            <w:szCs w:val="16"/>
            <w:lang w:eastAsia="ru-RU"/>
          </w:rPr>
          <w:t>[107]</w:t>
        </w:r>
      </w:hyperlink>
      <w:r w:rsidRPr="00DB5D0D">
        <w:rPr>
          <w:rFonts w:ascii="Times New Roman" w:eastAsia="Times New Roman" w:hAnsi="Times New Roman"/>
          <w:color w:val="000000" w:themeColor="text1"/>
          <w:sz w:val="16"/>
          <w:szCs w:val="16"/>
          <w:lang w:eastAsia="ru-RU"/>
        </w:rPr>
        <w:t xml:space="preserve"> . Тогда же было остановлено изготовление «звеньев» на заводе № 207. 21 августа группу Вахмистрова расформировали, её работников (5 человек) передали в ОКБ П.О. Сухого (17489).</w:t>
      </w:r>
    </w:p>
    <w:p w14:paraId="0F145D3A" w14:textId="77777777" w:rsidR="007B1371" w:rsidRPr="00DB5D0D" w:rsidRDefault="007B1371" w:rsidP="00DB5D0D">
      <w:pPr>
        <w:spacing w:after="0" w:line="240" w:lineRule="auto"/>
        <w:jc w:val="both"/>
        <w:rPr>
          <w:rFonts w:ascii="Times New Roman" w:eastAsia="Times New Roman" w:hAnsi="Times New Roman"/>
          <w:color w:val="000000" w:themeColor="text1"/>
          <w:sz w:val="16"/>
          <w:szCs w:val="16"/>
          <w:lang w:eastAsia="ru-RU"/>
        </w:rPr>
      </w:pPr>
    </w:p>
    <w:p w14:paraId="1B4940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по 18 июня 1940 в НИИ ВВС проходил первый этап испытаний Ме-109Е N 2734 и 2738. Это были два из 5 закупленных. Ви был И.Г.Рабкин, а летали А.И.Филин, Холопуев - комиссар НИИ ВВС, а также А.И.Кабанов, А.И.Никашин, П.М.Стефановский, А.Г.Кочетков, А.С.Николаев, А.Г.Прошаков, А.Г.Кубышкин (2575,40).</w:t>
      </w:r>
    </w:p>
    <w:p w14:paraId="644DA40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9ACD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И.Ф.Петрова приказом НКАП назначили директором ЦАГИ. По И.Ф.Петрову в это время в ЦАГИ царствовал НКВД (262,41).</w:t>
      </w:r>
    </w:p>
    <w:p w14:paraId="7AC9A3D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9FB6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июня 1940 года, несмотря на то, что в мае 1940 года на собрании актива работников ЦАГИ большинство присутствовавших высказалось против назначения И.Ф. Пет</w:t>
      </w:r>
      <w:r w:rsidRPr="00DB5D0D">
        <w:rPr>
          <w:rFonts w:ascii="Times New Roman" w:hAnsi="Times New Roman"/>
          <w:color w:val="000000" w:themeColor="text1"/>
          <w:sz w:val="16"/>
          <w:szCs w:val="16"/>
        </w:rPr>
        <w:softHyphen/>
        <w:t>рова начальником института, его кандидатуру поддержал ЦК ВКП(б) и он занял эту должность (Петров И.Ф. Считаю своим долгом рассказать // Изобретатель и рационализатор. 1986. № 3. С. 32; № 4. С. 28. В некоторых источниках ошибочно указывается, что И.Ф. Петров стал началь</w:t>
      </w:r>
      <w:r w:rsidRPr="00DB5D0D">
        <w:rPr>
          <w:rFonts w:ascii="Times New Roman" w:hAnsi="Times New Roman"/>
          <w:color w:val="000000" w:themeColor="text1"/>
          <w:sz w:val="16"/>
          <w:szCs w:val="16"/>
        </w:rPr>
        <w:softHyphen/>
        <w:t>ником ЦАГИ в 1939 году. (См., например: Командный и начальствующий состав Красной армии в 1940 - 1941 гг.: Структура и кадры центрального аппарата НКО СССР, военных округов и об</w:t>
      </w:r>
      <w:r w:rsidRPr="00DB5D0D">
        <w:rPr>
          <w:rFonts w:ascii="Times New Roman" w:hAnsi="Times New Roman"/>
          <w:color w:val="000000" w:themeColor="text1"/>
          <w:sz w:val="16"/>
          <w:szCs w:val="16"/>
        </w:rPr>
        <w:softHyphen/>
        <w:t>щевойсковых армий. Документы и материалы. С. 181 -182).</w:t>
      </w:r>
    </w:p>
    <w:p w14:paraId="1E2BA0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А.С. Яковлева, И.Ф. Петров был твердым и авторитетным ру</w:t>
      </w:r>
      <w:r w:rsidRPr="00DB5D0D">
        <w:rPr>
          <w:rFonts w:ascii="Times New Roman" w:hAnsi="Times New Roman"/>
          <w:color w:val="000000" w:themeColor="text1"/>
          <w:sz w:val="16"/>
          <w:szCs w:val="16"/>
        </w:rPr>
        <w:softHyphen/>
        <w:t>ководителем, «человек передовой и энергичный, с огромным опытом прак</w:t>
      </w:r>
      <w:r w:rsidRPr="00DB5D0D">
        <w:rPr>
          <w:rFonts w:ascii="Times New Roman" w:hAnsi="Times New Roman"/>
          <w:color w:val="000000" w:themeColor="text1"/>
          <w:sz w:val="16"/>
          <w:szCs w:val="16"/>
        </w:rPr>
        <w:softHyphen/>
        <w:t>тической работы в авиации и серьезными инженерными знаниями» (Яковлев А.С. Рассказы авиаконструктора. С. 117.). Пос</w:t>
      </w:r>
      <w:r w:rsidRPr="00DB5D0D">
        <w:rPr>
          <w:rFonts w:ascii="Times New Roman" w:hAnsi="Times New Roman"/>
          <w:color w:val="000000" w:themeColor="text1"/>
          <w:sz w:val="16"/>
          <w:szCs w:val="16"/>
        </w:rPr>
        <w:softHyphen/>
        <w:t>тановление Политбюро ЦК ВКП(б) №П 32 / 58 от 6 мая 1941 года утвердило совместное постановление СНК СССР и ЦК ВКП(б) «О начальнике ЦАГИ», согласно которому И.Ф. Петров освобождался от исполнения обязанностей начальника ЦАГИ, заняв должность начальника НИИ ВВС (вместо снятого и репрессированного А.И. Филина) (РГАСПИ. Ф. 17. Оп. 3. Д. 1039. Л. 14.). А начало Великой Отечественной вой</w:t>
      </w:r>
      <w:r w:rsidRPr="00DB5D0D">
        <w:rPr>
          <w:rFonts w:ascii="Times New Roman" w:hAnsi="Times New Roman"/>
          <w:color w:val="000000" w:themeColor="text1"/>
          <w:sz w:val="16"/>
          <w:szCs w:val="16"/>
        </w:rPr>
        <w:softHyphen/>
        <w:t>ны он встретил в должности заместителя начальника Главного Управления ВВС Красной армии (Командный и начальствующий состав Красной армии в 1940 - 1941 гг.: Структура и кадры цент</w:t>
      </w:r>
      <w:r w:rsidRPr="00DB5D0D">
        <w:rPr>
          <w:rFonts w:ascii="Times New Roman" w:hAnsi="Times New Roman"/>
          <w:color w:val="000000" w:themeColor="text1"/>
          <w:sz w:val="16"/>
          <w:szCs w:val="16"/>
        </w:rPr>
        <w:softHyphen/>
        <w:t>рального аппарата НКО СССР, военных округов и общевойсковых армий. С. 80-81,181-182.) (11710,266).</w:t>
      </w:r>
    </w:p>
    <w:p w14:paraId="0ABA62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B67E4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вышел Указ Президиума ВС об ответственности за сдачу некондиционной продукции (1272).</w:t>
      </w:r>
    </w:p>
    <w:p w14:paraId="4BBFA7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Смушкевич исходя из того, что дефекты выявленные на гос. испытаниях ДБ-3Ф в марте-апреле 1940 завод 39 устранять отказывается, хотя по ряду вопросов, как видно из прилагаемой ведомости, есть решение конструкторского бюро С.В.И. о необходимости доводки самолета, хотел привлечь по этому указу к ответственности.</w:t>
      </w:r>
    </w:p>
    <w:p w14:paraId="128A3FE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5CC26F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вышел приказ НКАП ; 280сс (???), согласно которому на вновь принятом в НКАП заводе НКОМ им Компартии Германии образовали Опытный завод по проектированию и изготовлению опытных образцов установок артиллерийско-стрелкового вооружения. Туда перевели КБ И.П.Шебанова в полном составе (9651,75)</w:t>
      </w:r>
    </w:p>
    <w:p w14:paraId="2A42921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EA70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была подготовлена Программа завода № 156 на 1940 г.</w:t>
      </w:r>
    </w:p>
    <w:tbl>
      <w:tblPr>
        <w:tblW w:w="0" w:type="auto"/>
        <w:tblInd w:w="40" w:type="dxa"/>
        <w:tblLayout w:type="fixed"/>
        <w:tblCellMar>
          <w:left w:w="40" w:type="dxa"/>
          <w:right w:w="40" w:type="dxa"/>
        </w:tblCellMar>
        <w:tblLook w:val="0000" w:firstRow="0" w:lastRow="0" w:firstColumn="0" w:lastColumn="0" w:noHBand="0" w:noVBand="0"/>
      </w:tblPr>
      <w:tblGrid>
        <w:gridCol w:w="749"/>
        <w:gridCol w:w="1133"/>
        <w:gridCol w:w="998"/>
        <w:gridCol w:w="2454"/>
        <w:gridCol w:w="1640"/>
        <w:gridCol w:w="1107"/>
        <w:gridCol w:w="1911"/>
        <w:gridCol w:w="1943"/>
      </w:tblGrid>
      <w:tr w:rsidR="007D5DF8" w:rsidRPr="00DB5D0D" w14:paraId="41291737" w14:textId="77777777" w:rsidTr="009223E5">
        <w:trPr>
          <w:trHeight w:val="384"/>
        </w:trPr>
        <w:tc>
          <w:tcPr>
            <w:tcW w:w="749" w:type="dxa"/>
            <w:tcBorders>
              <w:top w:val="single" w:sz="6" w:space="0" w:color="auto"/>
              <w:left w:val="single" w:sz="12" w:space="0" w:color="auto"/>
              <w:bottom w:val="single" w:sz="6" w:space="0" w:color="auto"/>
              <w:right w:val="single" w:sz="6" w:space="0" w:color="auto"/>
            </w:tcBorders>
          </w:tcPr>
          <w:p w14:paraId="7AF1F9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1133" w:type="dxa"/>
            <w:tcBorders>
              <w:top w:val="single" w:sz="6" w:space="0" w:color="auto"/>
              <w:left w:val="single" w:sz="6" w:space="0" w:color="auto"/>
              <w:bottom w:val="single" w:sz="6" w:space="0" w:color="auto"/>
              <w:right w:val="single" w:sz="6" w:space="0" w:color="auto"/>
            </w:tcBorders>
          </w:tcPr>
          <w:p w14:paraId="300F2D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заказа</w:t>
            </w:r>
          </w:p>
        </w:tc>
        <w:tc>
          <w:tcPr>
            <w:tcW w:w="998" w:type="dxa"/>
            <w:tcBorders>
              <w:top w:val="single" w:sz="6" w:space="0" w:color="auto"/>
              <w:left w:val="single" w:sz="6" w:space="0" w:color="auto"/>
              <w:bottom w:val="single" w:sz="6" w:space="0" w:color="auto"/>
              <w:right w:val="single" w:sz="6" w:space="0" w:color="auto"/>
            </w:tcBorders>
          </w:tcPr>
          <w:p w14:paraId="513F5D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Потребная мощность на 1940</w:t>
            </w:r>
          </w:p>
        </w:tc>
        <w:tc>
          <w:tcPr>
            <w:tcW w:w="2454" w:type="dxa"/>
            <w:tcBorders>
              <w:top w:val="single" w:sz="6" w:space="0" w:color="auto"/>
              <w:left w:val="single" w:sz="6" w:space="0" w:color="auto"/>
              <w:bottom w:val="single" w:sz="6" w:space="0" w:color="auto"/>
              <w:right w:val="single" w:sz="6" w:space="0" w:color="auto"/>
            </w:tcBorders>
          </w:tcPr>
          <w:p w14:paraId="06F8B0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объекта</w:t>
            </w:r>
          </w:p>
        </w:tc>
        <w:tc>
          <w:tcPr>
            <w:tcW w:w="1640" w:type="dxa"/>
            <w:tcBorders>
              <w:top w:val="single" w:sz="6" w:space="0" w:color="auto"/>
              <w:left w:val="single" w:sz="6" w:space="0" w:color="auto"/>
              <w:bottom w:val="single" w:sz="6" w:space="0" w:color="auto"/>
              <w:right w:val="single" w:sz="6" w:space="0" w:color="auto"/>
            </w:tcBorders>
          </w:tcPr>
          <w:p w14:paraId="0D85C6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технической готовности на 1940</w:t>
            </w:r>
          </w:p>
        </w:tc>
        <w:tc>
          <w:tcPr>
            <w:tcW w:w="1107" w:type="dxa"/>
            <w:tcBorders>
              <w:top w:val="single" w:sz="6" w:space="0" w:color="auto"/>
              <w:left w:val="single" w:sz="6" w:space="0" w:color="auto"/>
              <w:bottom w:val="single" w:sz="6" w:space="0" w:color="auto"/>
              <w:right w:val="single" w:sz="6" w:space="0" w:color="auto"/>
            </w:tcBorders>
          </w:tcPr>
          <w:p w14:paraId="60229A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Готовность в производстве на 01.06.40</w:t>
            </w:r>
          </w:p>
        </w:tc>
        <w:tc>
          <w:tcPr>
            <w:tcW w:w="1911" w:type="dxa"/>
            <w:tcBorders>
              <w:top w:val="single" w:sz="6" w:space="0" w:color="auto"/>
              <w:left w:val="single" w:sz="6" w:space="0" w:color="auto"/>
              <w:bottom w:val="single" w:sz="6" w:space="0" w:color="auto"/>
              <w:right w:val="single" w:sz="6" w:space="0" w:color="auto"/>
            </w:tcBorders>
          </w:tcPr>
          <w:p w14:paraId="2A8B5C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окончания в производстве</w:t>
            </w:r>
          </w:p>
        </w:tc>
        <w:tc>
          <w:tcPr>
            <w:tcW w:w="1943" w:type="dxa"/>
            <w:tcBorders>
              <w:top w:val="single" w:sz="6" w:space="0" w:color="auto"/>
              <w:left w:val="single" w:sz="6" w:space="0" w:color="auto"/>
              <w:bottom w:val="single" w:sz="6" w:space="0" w:color="auto"/>
              <w:right w:val="single" w:sz="12" w:space="0" w:color="auto"/>
            </w:tcBorders>
          </w:tcPr>
          <w:p w14:paraId="3F7330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Сдача на госиспытания</w:t>
            </w:r>
          </w:p>
        </w:tc>
      </w:tr>
      <w:tr w:rsidR="007D5DF8" w:rsidRPr="00DB5D0D" w14:paraId="74548BE3" w14:textId="77777777" w:rsidTr="009223E5">
        <w:trPr>
          <w:trHeight w:val="384"/>
        </w:trPr>
        <w:tc>
          <w:tcPr>
            <w:tcW w:w="749" w:type="dxa"/>
            <w:tcBorders>
              <w:top w:val="single" w:sz="6" w:space="0" w:color="auto"/>
              <w:left w:val="single" w:sz="12" w:space="0" w:color="auto"/>
              <w:bottom w:val="single" w:sz="6" w:space="0" w:color="auto"/>
              <w:right w:val="single" w:sz="6" w:space="0" w:color="auto"/>
            </w:tcBorders>
          </w:tcPr>
          <w:p w14:paraId="606C83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133" w:type="dxa"/>
            <w:tcBorders>
              <w:top w:val="single" w:sz="6" w:space="0" w:color="auto"/>
              <w:left w:val="single" w:sz="6" w:space="0" w:color="auto"/>
              <w:bottom w:val="single" w:sz="6" w:space="0" w:color="auto"/>
              <w:right w:val="single" w:sz="6" w:space="0" w:color="auto"/>
            </w:tcBorders>
          </w:tcPr>
          <w:p w14:paraId="3DF8F7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306</w:t>
            </w:r>
          </w:p>
        </w:tc>
        <w:tc>
          <w:tcPr>
            <w:tcW w:w="998" w:type="dxa"/>
            <w:tcBorders>
              <w:top w:val="single" w:sz="6" w:space="0" w:color="auto"/>
              <w:left w:val="single" w:sz="6" w:space="0" w:color="auto"/>
              <w:bottom w:val="single" w:sz="6" w:space="0" w:color="auto"/>
              <w:right w:val="single" w:sz="6" w:space="0" w:color="auto"/>
            </w:tcBorders>
          </w:tcPr>
          <w:p w14:paraId="133727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5000 </w:t>
            </w:r>
          </w:p>
        </w:tc>
        <w:tc>
          <w:tcPr>
            <w:tcW w:w="2454" w:type="dxa"/>
            <w:tcBorders>
              <w:top w:val="single" w:sz="6" w:space="0" w:color="auto"/>
              <w:left w:val="single" w:sz="6" w:space="0" w:color="auto"/>
              <w:bottom w:val="single" w:sz="6" w:space="0" w:color="auto"/>
              <w:right w:val="single" w:sz="6" w:space="0" w:color="auto"/>
            </w:tcBorders>
          </w:tcPr>
          <w:p w14:paraId="45F6C6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Шванов --то в. Поликарпова </w:t>
            </w:r>
          </w:p>
        </w:tc>
        <w:tc>
          <w:tcPr>
            <w:tcW w:w="1640" w:type="dxa"/>
            <w:tcBorders>
              <w:top w:val="single" w:sz="6" w:space="0" w:color="auto"/>
              <w:left w:val="single" w:sz="6" w:space="0" w:color="auto"/>
              <w:bottom w:val="single" w:sz="6" w:space="0" w:color="auto"/>
              <w:right w:val="single" w:sz="6" w:space="0" w:color="auto"/>
            </w:tcBorders>
          </w:tcPr>
          <w:p w14:paraId="272A76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 </w:t>
            </w:r>
          </w:p>
        </w:tc>
        <w:tc>
          <w:tcPr>
            <w:tcW w:w="1107" w:type="dxa"/>
            <w:tcBorders>
              <w:top w:val="single" w:sz="6" w:space="0" w:color="auto"/>
              <w:left w:val="single" w:sz="6" w:space="0" w:color="auto"/>
              <w:bottom w:val="single" w:sz="6" w:space="0" w:color="auto"/>
              <w:right w:val="single" w:sz="6" w:space="0" w:color="auto"/>
            </w:tcBorders>
          </w:tcPr>
          <w:p w14:paraId="23183B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 </w:t>
            </w:r>
          </w:p>
        </w:tc>
        <w:tc>
          <w:tcPr>
            <w:tcW w:w="1911" w:type="dxa"/>
            <w:tcBorders>
              <w:top w:val="single" w:sz="6" w:space="0" w:color="auto"/>
              <w:left w:val="single" w:sz="6" w:space="0" w:color="auto"/>
              <w:bottom w:val="single" w:sz="6" w:space="0" w:color="auto"/>
              <w:right w:val="single" w:sz="6" w:space="0" w:color="auto"/>
            </w:tcBorders>
          </w:tcPr>
          <w:p w14:paraId="73B8C0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15/П </w:t>
            </w:r>
          </w:p>
        </w:tc>
        <w:tc>
          <w:tcPr>
            <w:tcW w:w="1943" w:type="dxa"/>
            <w:tcBorders>
              <w:top w:val="single" w:sz="6" w:space="0" w:color="auto"/>
              <w:left w:val="single" w:sz="6" w:space="0" w:color="auto"/>
              <w:bottom w:val="single" w:sz="6" w:space="0" w:color="auto"/>
              <w:right w:val="single" w:sz="12" w:space="0" w:color="auto"/>
            </w:tcBorders>
          </w:tcPr>
          <w:p w14:paraId="11CCAE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ПГУ 62с 26.11.39</w:t>
            </w:r>
          </w:p>
        </w:tc>
      </w:tr>
      <w:tr w:rsidR="007D5DF8" w:rsidRPr="00DB5D0D" w14:paraId="29B9E882" w14:textId="77777777" w:rsidTr="009223E5">
        <w:trPr>
          <w:trHeight w:val="346"/>
        </w:trPr>
        <w:tc>
          <w:tcPr>
            <w:tcW w:w="749" w:type="dxa"/>
            <w:tcBorders>
              <w:top w:val="single" w:sz="6" w:space="0" w:color="auto"/>
              <w:left w:val="single" w:sz="12" w:space="0" w:color="auto"/>
              <w:bottom w:val="single" w:sz="6" w:space="0" w:color="auto"/>
              <w:right w:val="single" w:sz="6" w:space="0" w:color="auto"/>
            </w:tcBorders>
          </w:tcPr>
          <w:p w14:paraId="6A877A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p>
        </w:tc>
        <w:tc>
          <w:tcPr>
            <w:tcW w:w="1133" w:type="dxa"/>
            <w:tcBorders>
              <w:top w:val="single" w:sz="6" w:space="0" w:color="auto"/>
              <w:left w:val="single" w:sz="6" w:space="0" w:color="auto"/>
              <w:bottom w:val="single" w:sz="6" w:space="0" w:color="auto"/>
              <w:right w:val="single" w:sz="6" w:space="0" w:color="auto"/>
            </w:tcBorders>
          </w:tcPr>
          <w:p w14:paraId="6A65F9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309 </w:t>
            </w:r>
          </w:p>
        </w:tc>
        <w:tc>
          <w:tcPr>
            <w:tcW w:w="998" w:type="dxa"/>
            <w:tcBorders>
              <w:top w:val="single" w:sz="6" w:space="0" w:color="auto"/>
              <w:left w:val="single" w:sz="6" w:space="0" w:color="auto"/>
              <w:bottom w:val="single" w:sz="6" w:space="0" w:color="auto"/>
              <w:right w:val="single" w:sz="6" w:space="0" w:color="auto"/>
            </w:tcBorders>
          </w:tcPr>
          <w:p w14:paraId="6516A5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25000 </w:t>
            </w:r>
          </w:p>
        </w:tc>
        <w:tc>
          <w:tcPr>
            <w:tcW w:w="2454" w:type="dxa"/>
            <w:tcBorders>
              <w:top w:val="single" w:sz="6" w:space="0" w:color="auto"/>
              <w:left w:val="single" w:sz="6" w:space="0" w:color="auto"/>
              <w:bottom w:val="single" w:sz="6" w:space="0" w:color="auto"/>
              <w:right w:val="single" w:sz="6" w:space="0" w:color="auto"/>
            </w:tcBorders>
          </w:tcPr>
          <w:p w14:paraId="30C59C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КБ-30 экспериментальный истребитель </w:t>
            </w:r>
          </w:p>
        </w:tc>
        <w:tc>
          <w:tcPr>
            <w:tcW w:w="1640" w:type="dxa"/>
            <w:tcBorders>
              <w:top w:val="single" w:sz="6" w:space="0" w:color="auto"/>
              <w:left w:val="single" w:sz="6" w:space="0" w:color="auto"/>
              <w:bottom w:val="single" w:sz="6" w:space="0" w:color="auto"/>
              <w:right w:val="single" w:sz="6" w:space="0" w:color="auto"/>
            </w:tcBorders>
          </w:tcPr>
          <w:p w14:paraId="2805C2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 </w:t>
            </w:r>
          </w:p>
        </w:tc>
        <w:tc>
          <w:tcPr>
            <w:tcW w:w="1107" w:type="dxa"/>
            <w:tcBorders>
              <w:top w:val="single" w:sz="6" w:space="0" w:color="auto"/>
              <w:left w:val="single" w:sz="6" w:space="0" w:color="auto"/>
              <w:bottom w:val="single" w:sz="6" w:space="0" w:color="auto"/>
              <w:right w:val="single" w:sz="6" w:space="0" w:color="auto"/>
            </w:tcBorders>
          </w:tcPr>
          <w:p w14:paraId="00013D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 </w:t>
            </w:r>
          </w:p>
        </w:tc>
        <w:tc>
          <w:tcPr>
            <w:tcW w:w="1911" w:type="dxa"/>
            <w:tcBorders>
              <w:top w:val="single" w:sz="6" w:space="0" w:color="auto"/>
              <w:left w:val="single" w:sz="6" w:space="0" w:color="auto"/>
              <w:bottom w:val="single" w:sz="6" w:space="0" w:color="auto"/>
              <w:right w:val="single" w:sz="6" w:space="0" w:color="auto"/>
            </w:tcBorders>
          </w:tcPr>
          <w:p w14:paraId="4A9580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1/Ш</w:t>
            </w:r>
          </w:p>
        </w:tc>
        <w:tc>
          <w:tcPr>
            <w:tcW w:w="1943" w:type="dxa"/>
            <w:tcBorders>
              <w:top w:val="single" w:sz="6" w:space="0" w:color="auto"/>
              <w:left w:val="single" w:sz="6" w:space="0" w:color="auto"/>
              <w:bottom w:val="single" w:sz="6" w:space="0" w:color="auto"/>
              <w:right w:val="single" w:sz="12" w:space="0" w:color="auto"/>
            </w:tcBorders>
          </w:tcPr>
          <w:p w14:paraId="6468F6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- 225сс 04.08.39</w:t>
            </w:r>
          </w:p>
        </w:tc>
      </w:tr>
      <w:tr w:rsidR="007D5DF8" w:rsidRPr="00DB5D0D" w14:paraId="4CF8FAF6" w14:textId="77777777" w:rsidTr="009223E5">
        <w:trPr>
          <w:trHeight w:val="346"/>
        </w:trPr>
        <w:tc>
          <w:tcPr>
            <w:tcW w:w="749" w:type="dxa"/>
            <w:tcBorders>
              <w:top w:val="single" w:sz="6" w:space="0" w:color="auto"/>
              <w:left w:val="single" w:sz="12" w:space="0" w:color="auto"/>
              <w:bottom w:val="single" w:sz="6" w:space="0" w:color="auto"/>
              <w:right w:val="single" w:sz="6" w:space="0" w:color="auto"/>
            </w:tcBorders>
          </w:tcPr>
          <w:p w14:paraId="5C197E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924FA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332</w:t>
            </w:r>
          </w:p>
        </w:tc>
        <w:tc>
          <w:tcPr>
            <w:tcW w:w="998" w:type="dxa"/>
            <w:tcBorders>
              <w:top w:val="single" w:sz="6" w:space="0" w:color="auto"/>
              <w:left w:val="single" w:sz="6" w:space="0" w:color="auto"/>
              <w:bottom w:val="single" w:sz="6" w:space="0" w:color="auto"/>
              <w:right w:val="single" w:sz="6" w:space="0" w:color="auto"/>
            </w:tcBorders>
          </w:tcPr>
          <w:p w14:paraId="7ABCBA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20000</w:t>
            </w:r>
          </w:p>
        </w:tc>
        <w:tc>
          <w:tcPr>
            <w:tcW w:w="2454" w:type="dxa"/>
            <w:tcBorders>
              <w:top w:val="single" w:sz="6" w:space="0" w:color="auto"/>
              <w:left w:val="single" w:sz="6" w:space="0" w:color="auto"/>
              <w:bottom w:val="single" w:sz="6" w:space="0" w:color="auto"/>
              <w:right w:val="single" w:sz="6" w:space="0" w:color="auto"/>
            </w:tcBorders>
          </w:tcPr>
          <w:p w14:paraId="354353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 1 летная</w:t>
            </w:r>
          </w:p>
        </w:tc>
        <w:tc>
          <w:tcPr>
            <w:tcW w:w="1640" w:type="dxa"/>
            <w:tcBorders>
              <w:top w:val="single" w:sz="6" w:space="0" w:color="auto"/>
              <w:left w:val="single" w:sz="6" w:space="0" w:color="auto"/>
              <w:bottom w:val="single" w:sz="6" w:space="0" w:color="auto"/>
              <w:right w:val="single" w:sz="6" w:space="0" w:color="auto"/>
            </w:tcBorders>
          </w:tcPr>
          <w:p w14:paraId="72DC56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0A0066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911" w:type="dxa"/>
            <w:tcBorders>
              <w:top w:val="single" w:sz="6" w:space="0" w:color="auto"/>
              <w:left w:val="single" w:sz="6" w:space="0" w:color="auto"/>
              <w:bottom w:val="single" w:sz="6" w:space="0" w:color="auto"/>
              <w:right w:val="single" w:sz="6" w:space="0" w:color="auto"/>
            </w:tcBorders>
          </w:tcPr>
          <w:p w14:paraId="4C621A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43" w:type="dxa"/>
            <w:tcBorders>
              <w:top w:val="single" w:sz="6" w:space="0" w:color="auto"/>
              <w:left w:val="single" w:sz="6" w:space="0" w:color="auto"/>
              <w:bottom w:val="single" w:sz="6" w:space="0" w:color="auto"/>
              <w:right w:val="single" w:sz="12" w:space="0" w:color="auto"/>
            </w:tcBorders>
          </w:tcPr>
          <w:p w14:paraId="6AA166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- 220сс 04.08.39</w:t>
            </w:r>
          </w:p>
        </w:tc>
      </w:tr>
      <w:tr w:rsidR="007D5DF8" w:rsidRPr="00DB5D0D" w14:paraId="1DA00CE7" w14:textId="77777777" w:rsidTr="009223E5">
        <w:trPr>
          <w:trHeight w:val="250"/>
        </w:trPr>
        <w:tc>
          <w:tcPr>
            <w:tcW w:w="749" w:type="dxa"/>
            <w:tcBorders>
              <w:top w:val="single" w:sz="6" w:space="0" w:color="auto"/>
              <w:left w:val="single" w:sz="12" w:space="0" w:color="auto"/>
              <w:bottom w:val="single" w:sz="6" w:space="0" w:color="auto"/>
              <w:right w:val="single" w:sz="6" w:space="0" w:color="auto"/>
            </w:tcBorders>
          </w:tcPr>
          <w:p w14:paraId="06C07D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w:t>
            </w:r>
          </w:p>
        </w:tc>
        <w:tc>
          <w:tcPr>
            <w:tcW w:w="1133" w:type="dxa"/>
            <w:tcBorders>
              <w:top w:val="single" w:sz="6" w:space="0" w:color="auto"/>
              <w:left w:val="single" w:sz="6" w:space="0" w:color="auto"/>
              <w:bottom w:val="single" w:sz="6" w:space="0" w:color="auto"/>
              <w:right w:val="single" w:sz="6" w:space="0" w:color="auto"/>
            </w:tcBorders>
          </w:tcPr>
          <w:p w14:paraId="21937C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333</w:t>
            </w:r>
          </w:p>
        </w:tc>
        <w:tc>
          <w:tcPr>
            <w:tcW w:w="998" w:type="dxa"/>
            <w:tcBorders>
              <w:top w:val="single" w:sz="6" w:space="0" w:color="auto"/>
              <w:left w:val="single" w:sz="6" w:space="0" w:color="auto"/>
              <w:bottom w:val="single" w:sz="6" w:space="0" w:color="auto"/>
              <w:right w:val="single" w:sz="6" w:space="0" w:color="auto"/>
            </w:tcBorders>
          </w:tcPr>
          <w:p w14:paraId="321BA3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160.000 </w:t>
            </w:r>
          </w:p>
        </w:tc>
        <w:tc>
          <w:tcPr>
            <w:tcW w:w="2454" w:type="dxa"/>
            <w:tcBorders>
              <w:top w:val="single" w:sz="6" w:space="0" w:color="auto"/>
              <w:left w:val="single" w:sz="6" w:space="0" w:color="auto"/>
              <w:bottom w:val="single" w:sz="6" w:space="0" w:color="auto"/>
              <w:right w:val="single" w:sz="6" w:space="0" w:color="auto"/>
            </w:tcBorders>
          </w:tcPr>
          <w:p w14:paraId="696A81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Дублер 100 </w:t>
            </w:r>
          </w:p>
        </w:tc>
        <w:tc>
          <w:tcPr>
            <w:tcW w:w="1640" w:type="dxa"/>
            <w:tcBorders>
              <w:top w:val="single" w:sz="6" w:space="0" w:color="auto"/>
              <w:left w:val="single" w:sz="6" w:space="0" w:color="auto"/>
              <w:bottom w:val="single" w:sz="6" w:space="0" w:color="auto"/>
              <w:right w:val="single" w:sz="6" w:space="0" w:color="auto"/>
            </w:tcBorders>
          </w:tcPr>
          <w:p w14:paraId="35F2E2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 </w:t>
            </w:r>
          </w:p>
        </w:tc>
        <w:tc>
          <w:tcPr>
            <w:tcW w:w="1107" w:type="dxa"/>
            <w:tcBorders>
              <w:top w:val="single" w:sz="6" w:space="0" w:color="auto"/>
              <w:left w:val="single" w:sz="6" w:space="0" w:color="auto"/>
              <w:bottom w:val="single" w:sz="6" w:space="0" w:color="auto"/>
              <w:right w:val="single" w:sz="6" w:space="0" w:color="auto"/>
            </w:tcBorders>
          </w:tcPr>
          <w:p w14:paraId="41E058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-400 </w:t>
            </w:r>
          </w:p>
        </w:tc>
        <w:tc>
          <w:tcPr>
            <w:tcW w:w="1911" w:type="dxa"/>
            <w:tcBorders>
              <w:top w:val="single" w:sz="6" w:space="0" w:color="auto"/>
              <w:left w:val="single" w:sz="6" w:space="0" w:color="auto"/>
              <w:bottom w:val="single" w:sz="6" w:space="0" w:color="auto"/>
              <w:right w:val="single" w:sz="6" w:space="0" w:color="auto"/>
            </w:tcBorders>
          </w:tcPr>
          <w:p w14:paraId="56C125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w:t>
            </w:r>
          </w:p>
        </w:tc>
        <w:tc>
          <w:tcPr>
            <w:tcW w:w="1943" w:type="dxa"/>
            <w:tcBorders>
              <w:top w:val="single" w:sz="6" w:space="0" w:color="auto"/>
              <w:left w:val="single" w:sz="6" w:space="0" w:color="auto"/>
              <w:bottom w:val="single" w:sz="6" w:space="0" w:color="auto"/>
              <w:right w:val="single" w:sz="12" w:space="0" w:color="auto"/>
            </w:tcBorders>
          </w:tcPr>
          <w:p w14:paraId="4AD662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- 220сс 04.08.39 </w:t>
            </w:r>
          </w:p>
        </w:tc>
      </w:tr>
      <w:tr w:rsidR="007D5DF8" w:rsidRPr="00DB5D0D" w14:paraId="739BB053" w14:textId="77777777" w:rsidTr="009223E5">
        <w:trPr>
          <w:trHeight w:val="250"/>
        </w:trPr>
        <w:tc>
          <w:tcPr>
            <w:tcW w:w="749" w:type="dxa"/>
            <w:tcBorders>
              <w:top w:val="single" w:sz="6" w:space="0" w:color="auto"/>
              <w:left w:val="single" w:sz="12" w:space="0" w:color="auto"/>
              <w:bottom w:val="single" w:sz="6" w:space="0" w:color="auto"/>
              <w:right w:val="single" w:sz="6" w:space="0" w:color="auto"/>
            </w:tcBorders>
          </w:tcPr>
          <w:p w14:paraId="201BCB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w:t>
            </w:r>
          </w:p>
        </w:tc>
        <w:tc>
          <w:tcPr>
            <w:tcW w:w="1133" w:type="dxa"/>
            <w:tcBorders>
              <w:top w:val="single" w:sz="6" w:space="0" w:color="auto"/>
              <w:left w:val="single" w:sz="6" w:space="0" w:color="auto"/>
              <w:bottom w:val="single" w:sz="6" w:space="0" w:color="auto"/>
              <w:right w:val="single" w:sz="6" w:space="0" w:color="auto"/>
            </w:tcBorders>
          </w:tcPr>
          <w:p w14:paraId="656C98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320 </w:t>
            </w:r>
          </w:p>
        </w:tc>
        <w:tc>
          <w:tcPr>
            <w:tcW w:w="998" w:type="dxa"/>
            <w:tcBorders>
              <w:top w:val="single" w:sz="6" w:space="0" w:color="auto"/>
              <w:left w:val="single" w:sz="6" w:space="0" w:color="auto"/>
              <w:bottom w:val="single" w:sz="6" w:space="0" w:color="auto"/>
              <w:right w:val="single" w:sz="6" w:space="0" w:color="auto"/>
            </w:tcBorders>
          </w:tcPr>
          <w:p w14:paraId="122705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35000 </w:t>
            </w:r>
          </w:p>
        </w:tc>
        <w:tc>
          <w:tcPr>
            <w:tcW w:w="2454" w:type="dxa"/>
            <w:tcBorders>
              <w:top w:val="single" w:sz="6" w:space="0" w:color="auto"/>
              <w:left w:val="single" w:sz="6" w:space="0" w:color="auto"/>
              <w:bottom w:val="single" w:sz="6" w:space="0" w:color="auto"/>
              <w:right w:val="single" w:sz="6" w:space="0" w:color="auto"/>
            </w:tcBorders>
          </w:tcPr>
          <w:p w14:paraId="7E0D59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БВ-2 </w:t>
            </w:r>
          </w:p>
        </w:tc>
        <w:tc>
          <w:tcPr>
            <w:tcW w:w="1640" w:type="dxa"/>
            <w:tcBorders>
              <w:top w:val="single" w:sz="6" w:space="0" w:color="auto"/>
              <w:left w:val="single" w:sz="6" w:space="0" w:color="auto"/>
              <w:bottom w:val="single" w:sz="6" w:space="0" w:color="auto"/>
              <w:right w:val="single" w:sz="6" w:space="0" w:color="auto"/>
            </w:tcBorders>
          </w:tcPr>
          <w:p w14:paraId="6127BF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 </w:t>
            </w:r>
          </w:p>
        </w:tc>
        <w:tc>
          <w:tcPr>
            <w:tcW w:w="1107" w:type="dxa"/>
            <w:tcBorders>
              <w:top w:val="single" w:sz="6" w:space="0" w:color="auto"/>
              <w:left w:val="single" w:sz="6" w:space="0" w:color="auto"/>
              <w:bottom w:val="single" w:sz="6" w:space="0" w:color="auto"/>
              <w:right w:val="single" w:sz="6" w:space="0" w:color="auto"/>
            </w:tcBorders>
          </w:tcPr>
          <w:p w14:paraId="4CF249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p w14:paraId="05F726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911" w:type="dxa"/>
            <w:tcBorders>
              <w:top w:val="single" w:sz="6" w:space="0" w:color="auto"/>
              <w:left w:val="single" w:sz="6" w:space="0" w:color="auto"/>
              <w:bottom w:val="single" w:sz="6" w:space="0" w:color="auto"/>
              <w:right w:val="single" w:sz="6" w:space="0" w:color="auto"/>
            </w:tcBorders>
          </w:tcPr>
          <w:p w14:paraId="757994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25/1У</w:t>
            </w:r>
          </w:p>
        </w:tc>
        <w:tc>
          <w:tcPr>
            <w:tcW w:w="1943" w:type="dxa"/>
            <w:tcBorders>
              <w:top w:val="single" w:sz="6" w:space="0" w:color="auto"/>
              <w:left w:val="single" w:sz="6" w:space="0" w:color="auto"/>
              <w:bottom w:val="single" w:sz="6" w:space="0" w:color="auto"/>
              <w:right w:val="single" w:sz="12" w:space="0" w:color="auto"/>
            </w:tcBorders>
          </w:tcPr>
          <w:p w14:paraId="543796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25/У1 248сс 07.08.39</w:t>
            </w:r>
          </w:p>
        </w:tc>
      </w:tr>
      <w:tr w:rsidR="007D5DF8" w:rsidRPr="00DB5D0D" w14:paraId="4FE7FAE3" w14:textId="77777777" w:rsidTr="009223E5">
        <w:trPr>
          <w:trHeight w:val="413"/>
        </w:trPr>
        <w:tc>
          <w:tcPr>
            <w:tcW w:w="749" w:type="dxa"/>
            <w:tcBorders>
              <w:top w:val="single" w:sz="6" w:space="0" w:color="auto"/>
              <w:left w:val="single" w:sz="12" w:space="0" w:color="auto"/>
              <w:bottom w:val="single" w:sz="6" w:space="0" w:color="auto"/>
              <w:right w:val="single" w:sz="6" w:space="0" w:color="auto"/>
            </w:tcBorders>
          </w:tcPr>
          <w:p w14:paraId="36C865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133" w:type="dxa"/>
            <w:tcBorders>
              <w:top w:val="single" w:sz="6" w:space="0" w:color="auto"/>
              <w:left w:val="single" w:sz="6" w:space="0" w:color="auto"/>
              <w:bottom w:val="single" w:sz="6" w:space="0" w:color="auto"/>
              <w:right w:val="single" w:sz="6" w:space="0" w:color="auto"/>
            </w:tcBorders>
          </w:tcPr>
          <w:p w14:paraId="40F16B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w:t>
            </w:r>
          </w:p>
        </w:tc>
        <w:tc>
          <w:tcPr>
            <w:tcW w:w="998" w:type="dxa"/>
            <w:tcBorders>
              <w:top w:val="single" w:sz="6" w:space="0" w:color="auto"/>
              <w:left w:val="single" w:sz="6" w:space="0" w:color="auto"/>
              <w:bottom w:val="single" w:sz="6" w:space="0" w:color="auto"/>
              <w:right w:val="single" w:sz="6" w:space="0" w:color="auto"/>
            </w:tcBorders>
          </w:tcPr>
          <w:p w14:paraId="08BD81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20000</w:t>
            </w:r>
          </w:p>
        </w:tc>
        <w:tc>
          <w:tcPr>
            <w:tcW w:w="2454" w:type="dxa"/>
            <w:tcBorders>
              <w:top w:val="single" w:sz="6" w:space="0" w:color="auto"/>
              <w:left w:val="single" w:sz="6" w:space="0" w:color="auto"/>
              <w:bottom w:val="single" w:sz="6" w:space="0" w:color="auto"/>
              <w:right w:val="single" w:sz="6" w:space="0" w:color="auto"/>
            </w:tcBorders>
          </w:tcPr>
          <w:p w14:paraId="691647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 -30 дублер - новый экспериментальный истребитель</w:t>
            </w:r>
          </w:p>
        </w:tc>
        <w:tc>
          <w:tcPr>
            <w:tcW w:w="1640" w:type="dxa"/>
            <w:tcBorders>
              <w:top w:val="single" w:sz="6" w:space="0" w:color="auto"/>
              <w:left w:val="single" w:sz="6" w:space="0" w:color="auto"/>
              <w:bottom w:val="single" w:sz="6" w:space="0" w:color="auto"/>
              <w:right w:val="single" w:sz="6" w:space="0" w:color="auto"/>
            </w:tcBorders>
          </w:tcPr>
          <w:p w14:paraId="16C3F1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76183A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1911" w:type="dxa"/>
            <w:tcBorders>
              <w:top w:val="single" w:sz="6" w:space="0" w:color="auto"/>
              <w:left w:val="single" w:sz="6" w:space="0" w:color="auto"/>
              <w:bottom w:val="single" w:sz="6" w:space="0" w:color="auto"/>
              <w:right w:val="single" w:sz="6" w:space="0" w:color="auto"/>
            </w:tcBorders>
          </w:tcPr>
          <w:p w14:paraId="1A8331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20/У1</w:t>
            </w:r>
          </w:p>
        </w:tc>
        <w:tc>
          <w:tcPr>
            <w:tcW w:w="1943" w:type="dxa"/>
            <w:tcBorders>
              <w:top w:val="single" w:sz="6" w:space="0" w:color="auto"/>
              <w:left w:val="single" w:sz="6" w:space="0" w:color="auto"/>
              <w:bottom w:val="single" w:sz="6" w:space="0" w:color="auto"/>
              <w:right w:val="single" w:sz="12" w:space="0" w:color="auto"/>
            </w:tcBorders>
          </w:tcPr>
          <w:p w14:paraId="361E9F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-223сс 04.08.39</w:t>
            </w:r>
          </w:p>
        </w:tc>
      </w:tr>
      <w:tr w:rsidR="007D5DF8" w:rsidRPr="00DB5D0D" w14:paraId="49E106EC" w14:textId="77777777" w:rsidTr="009223E5">
        <w:trPr>
          <w:trHeight w:val="518"/>
        </w:trPr>
        <w:tc>
          <w:tcPr>
            <w:tcW w:w="749" w:type="dxa"/>
            <w:tcBorders>
              <w:top w:val="single" w:sz="6" w:space="0" w:color="auto"/>
              <w:left w:val="single" w:sz="12" w:space="0" w:color="auto"/>
              <w:bottom w:val="single" w:sz="6" w:space="0" w:color="auto"/>
              <w:right w:val="single" w:sz="6" w:space="0" w:color="auto"/>
            </w:tcBorders>
          </w:tcPr>
          <w:p w14:paraId="1190BE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133" w:type="dxa"/>
            <w:tcBorders>
              <w:top w:val="single" w:sz="6" w:space="0" w:color="auto"/>
              <w:left w:val="single" w:sz="6" w:space="0" w:color="auto"/>
              <w:bottom w:val="single" w:sz="6" w:space="0" w:color="auto"/>
              <w:right w:val="single" w:sz="6" w:space="0" w:color="auto"/>
            </w:tcBorders>
          </w:tcPr>
          <w:p w14:paraId="78DF19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206'</w:t>
            </w:r>
          </w:p>
        </w:tc>
        <w:tc>
          <w:tcPr>
            <w:tcW w:w="998" w:type="dxa"/>
            <w:tcBorders>
              <w:top w:val="single" w:sz="6" w:space="0" w:color="auto"/>
              <w:left w:val="single" w:sz="6" w:space="0" w:color="auto"/>
              <w:bottom w:val="single" w:sz="6" w:space="0" w:color="auto"/>
              <w:right w:val="single" w:sz="6" w:space="0" w:color="auto"/>
            </w:tcBorders>
          </w:tcPr>
          <w:p w14:paraId="21F37F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80000</w:t>
            </w:r>
          </w:p>
        </w:tc>
        <w:tc>
          <w:tcPr>
            <w:tcW w:w="2454" w:type="dxa"/>
            <w:tcBorders>
              <w:top w:val="single" w:sz="6" w:space="0" w:color="auto"/>
              <w:left w:val="single" w:sz="6" w:space="0" w:color="auto"/>
              <w:bottom w:val="single" w:sz="6" w:space="0" w:color="auto"/>
              <w:right w:val="single" w:sz="6" w:space="0" w:color="auto"/>
            </w:tcBorders>
          </w:tcPr>
          <w:p w14:paraId="1579E2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 модификация</w:t>
            </w:r>
          </w:p>
        </w:tc>
        <w:tc>
          <w:tcPr>
            <w:tcW w:w="1640" w:type="dxa"/>
            <w:tcBorders>
              <w:top w:val="single" w:sz="6" w:space="0" w:color="auto"/>
              <w:left w:val="single" w:sz="6" w:space="0" w:color="auto"/>
              <w:bottom w:val="single" w:sz="6" w:space="0" w:color="auto"/>
              <w:right w:val="single" w:sz="6" w:space="0" w:color="auto"/>
            </w:tcBorders>
          </w:tcPr>
          <w:p w14:paraId="0002FA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0D5F7B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1911" w:type="dxa"/>
            <w:tcBorders>
              <w:top w:val="single" w:sz="6" w:space="0" w:color="auto"/>
              <w:left w:val="single" w:sz="6" w:space="0" w:color="auto"/>
              <w:bottom w:val="single" w:sz="6" w:space="0" w:color="auto"/>
              <w:right w:val="single" w:sz="6" w:space="0" w:color="auto"/>
            </w:tcBorders>
          </w:tcPr>
          <w:p w14:paraId="23198C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15/УП</w:t>
            </w:r>
          </w:p>
        </w:tc>
        <w:tc>
          <w:tcPr>
            <w:tcW w:w="1943" w:type="dxa"/>
            <w:tcBorders>
              <w:top w:val="single" w:sz="6" w:space="0" w:color="auto"/>
              <w:left w:val="single" w:sz="6" w:space="0" w:color="auto"/>
              <w:bottom w:val="single" w:sz="6" w:space="0" w:color="auto"/>
              <w:right w:val="single" w:sz="12" w:space="0" w:color="auto"/>
            </w:tcBorders>
          </w:tcPr>
          <w:p w14:paraId="263B3E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- 4/142 05.02.40</w:t>
            </w:r>
          </w:p>
        </w:tc>
      </w:tr>
      <w:tr w:rsidR="007D5DF8" w:rsidRPr="00DB5D0D" w14:paraId="4B470391" w14:textId="77777777" w:rsidTr="009223E5">
        <w:trPr>
          <w:trHeight w:val="355"/>
        </w:trPr>
        <w:tc>
          <w:tcPr>
            <w:tcW w:w="749" w:type="dxa"/>
            <w:tcBorders>
              <w:top w:val="single" w:sz="6" w:space="0" w:color="auto"/>
              <w:left w:val="single" w:sz="12" w:space="0" w:color="auto"/>
              <w:bottom w:val="single" w:sz="6" w:space="0" w:color="auto"/>
              <w:right w:val="single" w:sz="6" w:space="0" w:color="auto"/>
            </w:tcBorders>
          </w:tcPr>
          <w:p w14:paraId="58D35C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1133" w:type="dxa"/>
            <w:tcBorders>
              <w:top w:val="single" w:sz="6" w:space="0" w:color="auto"/>
              <w:left w:val="single" w:sz="6" w:space="0" w:color="auto"/>
              <w:bottom w:val="single" w:sz="6" w:space="0" w:color="auto"/>
              <w:right w:val="single" w:sz="6" w:space="0" w:color="auto"/>
            </w:tcBorders>
          </w:tcPr>
          <w:p w14:paraId="3F83CA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998" w:type="dxa"/>
            <w:tcBorders>
              <w:top w:val="single" w:sz="6" w:space="0" w:color="auto"/>
              <w:left w:val="single" w:sz="6" w:space="0" w:color="auto"/>
              <w:bottom w:val="single" w:sz="6" w:space="0" w:color="auto"/>
              <w:right w:val="single" w:sz="6" w:space="0" w:color="auto"/>
            </w:tcBorders>
          </w:tcPr>
          <w:p w14:paraId="3DF37B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50000</w:t>
            </w:r>
          </w:p>
        </w:tc>
        <w:tc>
          <w:tcPr>
            <w:tcW w:w="2454" w:type="dxa"/>
            <w:tcBorders>
              <w:top w:val="single" w:sz="6" w:space="0" w:color="auto"/>
              <w:left w:val="single" w:sz="6" w:space="0" w:color="auto"/>
              <w:bottom w:val="single" w:sz="6" w:space="0" w:color="auto"/>
              <w:right w:val="single" w:sz="6" w:space="0" w:color="auto"/>
            </w:tcBorders>
          </w:tcPr>
          <w:p w14:paraId="40C589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ВВА стат. Испытания - истребитель</w:t>
            </w:r>
          </w:p>
        </w:tc>
        <w:tc>
          <w:tcPr>
            <w:tcW w:w="1640" w:type="dxa"/>
            <w:tcBorders>
              <w:top w:val="single" w:sz="6" w:space="0" w:color="auto"/>
              <w:left w:val="single" w:sz="6" w:space="0" w:color="auto"/>
              <w:bottom w:val="single" w:sz="6" w:space="0" w:color="auto"/>
              <w:right w:val="single" w:sz="6" w:space="0" w:color="auto"/>
            </w:tcBorders>
          </w:tcPr>
          <w:p w14:paraId="7528A3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3320B9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1911" w:type="dxa"/>
            <w:tcBorders>
              <w:top w:val="single" w:sz="6" w:space="0" w:color="auto"/>
              <w:left w:val="single" w:sz="6" w:space="0" w:color="auto"/>
              <w:bottom w:val="single" w:sz="6" w:space="0" w:color="auto"/>
              <w:right w:val="single" w:sz="6" w:space="0" w:color="auto"/>
            </w:tcBorders>
          </w:tcPr>
          <w:p w14:paraId="097F0E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15/У1</w:t>
            </w:r>
          </w:p>
        </w:tc>
        <w:tc>
          <w:tcPr>
            <w:tcW w:w="1943" w:type="dxa"/>
            <w:tcBorders>
              <w:top w:val="single" w:sz="6" w:space="0" w:color="auto"/>
              <w:left w:val="single" w:sz="6" w:space="0" w:color="auto"/>
              <w:bottom w:val="single" w:sz="6" w:space="0" w:color="auto"/>
              <w:right w:val="single" w:sz="12" w:space="0" w:color="auto"/>
            </w:tcBorders>
          </w:tcPr>
          <w:p w14:paraId="6A6BF9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- 218сс 04.08.39</w:t>
            </w:r>
          </w:p>
        </w:tc>
      </w:tr>
      <w:tr w:rsidR="007D5DF8" w:rsidRPr="00DB5D0D" w14:paraId="2B6B2152" w14:textId="77777777" w:rsidTr="009223E5">
        <w:trPr>
          <w:trHeight w:val="288"/>
        </w:trPr>
        <w:tc>
          <w:tcPr>
            <w:tcW w:w="749" w:type="dxa"/>
            <w:tcBorders>
              <w:top w:val="single" w:sz="6" w:space="0" w:color="auto"/>
              <w:left w:val="single" w:sz="12" w:space="0" w:color="auto"/>
              <w:bottom w:val="single" w:sz="6" w:space="0" w:color="auto"/>
              <w:right w:val="single" w:sz="6" w:space="0" w:color="auto"/>
            </w:tcBorders>
          </w:tcPr>
          <w:p w14:paraId="7E60A5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1133" w:type="dxa"/>
            <w:tcBorders>
              <w:top w:val="single" w:sz="6" w:space="0" w:color="auto"/>
              <w:left w:val="single" w:sz="6" w:space="0" w:color="auto"/>
              <w:bottom w:val="single" w:sz="6" w:space="0" w:color="auto"/>
              <w:right w:val="single" w:sz="6" w:space="0" w:color="auto"/>
            </w:tcBorders>
          </w:tcPr>
          <w:p w14:paraId="5CB223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w:t>
            </w:r>
          </w:p>
        </w:tc>
        <w:tc>
          <w:tcPr>
            <w:tcW w:w="998" w:type="dxa"/>
            <w:tcBorders>
              <w:top w:val="single" w:sz="6" w:space="0" w:color="auto"/>
              <w:left w:val="single" w:sz="6" w:space="0" w:color="auto"/>
              <w:bottom w:val="single" w:sz="6" w:space="0" w:color="auto"/>
              <w:right w:val="single" w:sz="6" w:space="0" w:color="auto"/>
            </w:tcBorders>
          </w:tcPr>
          <w:p w14:paraId="390356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140000</w:t>
            </w:r>
          </w:p>
        </w:tc>
        <w:tc>
          <w:tcPr>
            <w:tcW w:w="2454" w:type="dxa"/>
            <w:tcBorders>
              <w:top w:val="single" w:sz="6" w:space="0" w:color="auto"/>
              <w:left w:val="single" w:sz="6" w:space="0" w:color="auto"/>
              <w:bottom w:val="single" w:sz="6" w:space="0" w:color="auto"/>
              <w:right w:val="single" w:sz="6" w:space="0" w:color="auto"/>
            </w:tcBorders>
          </w:tcPr>
          <w:p w14:paraId="502094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ВВА 1 летная истребитель</w:t>
            </w:r>
          </w:p>
        </w:tc>
        <w:tc>
          <w:tcPr>
            <w:tcW w:w="1640" w:type="dxa"/>
            <w:tcBorders>
              <w:top w:val="single" w:sz="6" w:space="0" w:color="auto"/>
              <w:left w:val="single" w:sz="6" w:space="0" w:color="auto"/>
              <w:bottom w:val="single" w:sz="6" w:space="0" w:color="auto"/>
              <w:right w:val="single" w:sz="6" w:space="0" w:color="auto"/>
            </w:tcBorders>
          </w:tcPr>
          <w:p w14:paraId="0CE307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7CAC4D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911" w:type="dxa"/>
            <w:tcBorders>
              <w:top w:val="single" w:sz="6" w:space="0" w:color="auto"/>
              <w:left w:val="single" w:sz="6" w:space="0" w:color="auto"/>
              <w:bottom w:val="single" w:sz="6" w:space="0" w:color="auto"/>
              <w:right w:val="single" w:sz="6" w:space="0" w:color="auto"/>
            </w:tcBorders>
          </w:tcPr>
          <w:p w14:paraId="791992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1/УП</w:t>
            </w:r>
          </w:p>
        </w:tc>
        <w:tc>
          <w:tcPr>
            <w:tcW w:w="1943" w:type="dxa"/>
            <w:tcBorders>
              <w:top w:val="single" w:sz="6" w:space="0" w:color="auto"/>
              <w:left w:val="single" w:sz="6" w:space="0" w:color="auto"/>
              <w:bottom w:val="single" w:sz="6" w:space="0" w:color="auto"/>
              <w:right w:val="single" w:sz="12" w:space="0" w:color="auto"/>
            </w:tcBorders>
          </w:tcPr>
          <w:p w14:paraId="651D2D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1/1Х 218сс 04.08.39</w:t>
            </w:r>
          </w:p>
        </w:tc>
      </w:tr>
      <w:tr w:rsidR="007D5DF8" w:rsidRPr="00DB5D0D" w14:paraId="6C9EDF30" w14:textId="77777777" w:rsidTr="009223E5">
        <w:trPr>
          <w:trHeight w:val="298"/>
        </w:trPr>
        <w:tc>
          <w:tcPr>
            <w:tcW w:w="749" w:type="dxa"/>
            <w:tcBorders>
              <w:top w:val="single" w:sz="6" w:space="0" w:color="auto"/>
              <w:left w:val="single" w:sz="12" w:space="0" w:color="auto"/>
              <w:bottom w:val="single" w:sz="6" w:space="0" w:color="auto"/>
              <w:right w:val="single" w:sz="6" w:space="0" w:color="auto"/>
            </w:tcBorders>
          </w:tcPr>
          <w:p w14:paraId="47EA1F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1133" w:type="dxa"/>
            <w:tcBorders>
              <w:top w:val="single" w:sz="6" w:space="0" w:color="auto"/>
              <w:left w:val="single" w:sz="6" w:space="0" w:color="auto"/>
              <w:bottom w:val="single" w:sz="6" w:space="0" w:color="auto"/>
              <w:right w:val="single" w:sz="6" w:space="0" w:color="auto"/>
            </w:tcBorders>
          </w:tcPr>
          <w:p w14:paraId="7BC1B4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166д</w:t>
            </w:r>
          </w:p>
        </w:tc>
        <w:tc>
          <w:tcPr>
            <w:tcW w:w="998" w:type="dxa"/>
            <w:tcBorders>
              <w:top w:val="single" w:sz="6" w:space="0" w:color="auto"/>
              <w:left w:val="single" w:sz="6" w:space="0" w:color="auto"/>
              <w:bottom w:val="single" w:sz="6" w:space="0" w:color="auto"/>
              <w:right w:val="single" w:sz="6" w:space="0" w:color="auto"/>
            </w:tcBorders>
          </w:tcPr>
          <w:p w14:paraId="513100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25000</w:t>
            </w:r>
          </w:p>
        </w:tc>
        <w:tc>
          <w:tcPr>
            <w:tcW w:w="2454" w:type="dxa"/>
            <w:tcBorders>
              <w:top w:val="single" w:sz="6" w:space="0" w:color="auto"/>
              <w:left w:val="single" w:sz="6" w:space="0" w:color="auto"/>
              <w:bottom w:val="single" w:sz="6" w:space="0" w:color="auto"/>
              <w:right w:val="single" w:sz="6" w:space="0" w:color="auto"/>
            </w:tcBorders>
          </w:tcPr>
          <w:p w14:paraId="5FDF53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22 1 летная Архангельского стат. испытан.</w:t>
            </w:r>
          </w:p>
        </w:tc>
        <w:tc>
          <w:tcPr>
            <w:tcW w:w="1640" w:type="dxa"/>
            <w:tcBorders>
              <w:top w:val="single" w:sz="6" w:space="0" w:color="auto"/>
              <w:left w:val="single" w:sz="6" w:space="0" w:color="auto"/>
              <w:bottom w:val="single" w:sz="6" w:space="0" w:color="auto"/>
              <w:right w:val="single" w:sz="6" w:space="0" w:color="auto"/>
            </w:tcBorders>
          </w:tcPr>
          <w:p w14:paraId="158B6B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20B5F4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1911" w:type="dxa"/>
            <w:tcBorders>
              <w:top w:val="single" w:sz="6" w:space="0" w:color="auto"/>
              <w:left w:val="single" w:sz="6" w:space="0" w:color="auto"/>
              <w:bottom w:val="single" w:sz="6" w:space="0" w:color="auto"/>
              <w:right w:val="single" w:sz="6" w:space="0" w:color="auto"/>
            </w:tcBorders>
          </w:tcPr>
          <w:p w14:paraId="7F7745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1/УП</w:t>
            </w:r>
          </w:p>
        </w:tc>
        <w:tc>
          <w:tcPr>
            <w:tcW w:w="1943" w:type="dxa"/>
            <w:tcBorders>
              <w:top w:val="single" w:sz="6" w:space="0" w:color="auto"/>
              <w:left w:val="single" w:sz="6" w:space="0" w:color="auto"/>
              <w:bottom w:val="single" w:sz="6" w:space="0" w:color="auto"/>
              <w:right w:val="single" w:sz="12" w:space="0" w:color="auto"/>
            </w:tcBorders>
          </w:tcPr>
          <w:p w14:paraId="1DAC0D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- 37с 08.02.40</w:t>
            </w:r>
          </w:p>
        </w:tc>
      </w:tr>
      <w:tr w:rsidR="007D5DF8" w:rsidRPr="00DB5D0D" w14:paraId="2D102001" w14:textId="77777777" w:rsidTr="009223E5">
        <w:trPr>
          <w:trHeight w:val="394"/>
        </w:trPr>
        <w:tc>
          <w:tcPr>
            <w:tcW w:w="749" w:type="dxa"/>
            <w:tcBorders>
              <w:top w:val="single" w:sz="6" w:space="0" w:color="auto"/>
              <w:left w:val="single" w:sz="12" w:space="0" w:color="auto"/>
              <w:bottom w:val="single" w:sz="6" w:space="0" w:color="auto"/>
              <w:right w:val="single" w:sz="6" w:space="0" w:color="auto"/>
            </w:tcBorders>
          </w:tcPr>
          <w:p w14:paraId="25E527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1133" w:type="dxa"/>
            <w:tcBorders>
              <w:top w:val="single" w:sz="6" w:space="0" w:color="auto"/>
              <w:left w:val="single" w:sz="6" w:space="0" w:color="auto"/>
              <w:bottom w:val="single" w:sz="6" w:space="0" w:color="auto"/>
              <w:right w:val="single" w:sz="6" w:space="0" w:color="auto"/>
            </w:tcBorders>
          </w:tcPr>
          <w:p w14:paraId="631900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166</w:t>
            </w:r>
          </w:p>
        </w:tc>
        <w:tc>
          <w:tcPr>
            <w:tcW w:w="998" w:type="dxa"/>
            <w:tcBorders>
              <w:top w:val="single" w:sz="6" w:space="0" w:color="auto"/>
              <w:left w:val="single" w:sz="6" w:space="0" w:color="auto"/>
              <w:bottom w:val="single" w:sz="6" w:space="0" w:color="auto"/>
              <w:right w:val="single" w:sz="6" w:space="0" w:color="auto"/>
            </w:tcBorders>
          </w:tcPr>
          <w:p w14:paraId="5140D7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90000</w:t>
            </w:r>
          </w:p>
        </w:tc>
        <w:tc>
          <w:tcPr>
            <w:tcW w:w="2454" w:type="dxa"/>
            <w:tcBorders>
              <w:top w:val="single" w:sz="6" w:space="0" w:color="auto"/>
              <w:left w:val="single" w:sz="6" w:space="0" w:color="auto"/>
              <w:bottom w:val="single" w:sz="6" w:space="0" w:color="auto"/>
              <w:right w:val="single" w:sz="6" w:space="0" w:color="auto"/>
            </w:tcBorders>
          </w:tcPr>
          <w:p w14:paraId="3F8B81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 22 1 летн. Архангельского</w:t>
            </w:r>
          </w:p>
        </w:tc>
        <w:tc>
          <w:tcPr>
            <w:tcW w:w="1640" w:type="dxa"/>
            <w:tcBorders>
              <w:top w:val="single" w:sz="6" w:space="0" w:color="auto"/>
              <w:left w:val="single" w:sz="6" w:space="0" w:color="auto"/>
              <w:bottom w:val="single" w:sz="6" w:space="0" w:color="auto"/>
              <w:right w:val="single" w:sz="6" w:space="0" w:color="auto"/>
            </w:tcBorders>
          </w:tcPr>
          <w:p w14:paraId="66029F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0DA281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1911" w:type="dxa"/>
            <w:tcBorders>
              <w:top w:val="single" w:sz="6" w:space="0" w:color="auto"/>
              <w:left w:val="single" w:sz="6" w:space="0" w:color="auto"/>
              <w:bottom w:val="single" w:sz="6" w:space="0" w:color="auto"/>
              <w:right w:val="single" w:sz="6" w:space="0" w:color="auto"/>
            </w:tcBorders>
          </w:tcPr>
          <w:p w14:paraId="2E4F16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1/УШ</w:t>
            </w:r>
          </w:p>
        </w:tc>
        <w:tc>
          <w:tcPr>
            <w:tcW w:w="1943" w:type="dxa"/>
            <w:tcBorders>
              <w:top w:val="single" w:sz="6" w:space="0" w:color="auto"/>
              <w:left w:val="single" w:sz="6" w:space="0" w:color="auto"/>
              <w:bottom w:val="single" w:sz="6" w:space="0" w:color="auto"/>
              <w:right w:val="single" w:sz="12" w:space="0" w:color="auto"/>
            </w:tcBorders>
          </w:tcPr>
          <w:p w14:paraId="2B1058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- 37с 08.02.40</w:t>
            </w:r>
          </w:p>
        </w:tc>
      </w:tr>
      <w:tr w:rsidR="007D5DF8" w:rsidRPr="00DB5D0D" w14:paraId="420D5B40" w14:textId="77777777" w:rsidTr="009223E5">
        <w:trPr>
          <w:trHeight w:val="384"/>
        </w:trPr>
        <w:tc>
          <w:tcPr>
            <w:tcW w:w="749" w:type="dxa"/>
            <w:tcBorders>
              <w:top w:val="single" w:sz="6" w:space="0" w:color="auto"/>
              <w:left w:val="single" w:sz="12" w:space="0" w:color="auto"/>
              <w:bottom w:val="single" w:sz="6" w:space="0" w:color="auto"/>
              <w:right w:val="single" w:sz="6" w:space="0" w:color="auto"/>
            </w:tcBorders>
          </w:tcPr>
          <w:p w14:paraId="5EA8A2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11</w:t>
            </w:r>
          </w:p>
        </w:tc>
        <w:tc>
          <w:tcPr>
            <w:tcW w:w="1133" w:type="dxa"/>
            <w:tcBorders>
              <w:top w:val="single" w:sz="6" w:space="0" w:color="auto"/>
              <w:left w:val="single" w:sz="6" w:space="0" w:color="auto"/>
              <w:bottom w:val="single" w:sz="6" w:space="0" w:color="auto"/>
              <w:right w:val="single" w:sz="6" w:space="0" w:color="auto"/>
            </w:tcBorders>
          </w:tcPr>
          <w:p w14:paraId="066738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410</w:t>
            </w:r>
          </w:p>
        </w:tc>
        <w:tc>
          <w:tcPr>
            <w:tcW w:w="998" w:type="dxa"/>
            <w:tcBorders>
              <w:top w:val="single" w:sz="6" w:space="0" w:color="auto"/>
              <w:left w:val="single" w:sz="6" w:space="0" w:color="auto"/>
              <w:bottom w:val="single" w:sz="6" w:space="0" w:color="auto"/>
              <w:right w:val="single" w:sz="6" w:space="0" w:color="auto"/>
            </w:tcBorders>
          </w:tcPr>
          <w:p w14:paraId="41004E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67000</w:t>
            </w:r>
          </w:p>
        </w:tc>
        <w:tc>
          <w:tcPr>
            <w:tcW w:w="2454" w:type="dxa"/>
            <w:tcBorders>
              <w:top w:val="single" w:sz="6" w:space="0" w:color="auto"/>
              <w:left w:val="single" w:sz="6" w:space="0" w:color="auto"/>
              <w:bottom w:val="single" w:sz="6" w:space="0" w:color="auto"/>
              <w:right w:val="single" w:sz="6" w:space="0" w:color="auto"/>
            </w:tcBorders>
          </w:tcPr>
          <w:p w14:paraId="43D5C2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КБ-16 ст. исп. Беляев</w:t>
            </w:r>
          </w:p>
        </w:tc>
        <w:tc>
          <w:tcPr>
            <w:tcW w:w="1640" w:type="dxa"/>
            <w:tcBorders>
              <w:top w:val="single" w:sz="6" w:space="0" w:color="auto"/>
              <w:left w:val="single" w:sz="6" w:space="0" w:color="auto"/>
              <w:bottom w:val="single" w:sz="6" w:space="0" w:color="auto"/>
              <w:right w:val="single" w:sz="6" w:space="0" w:color="auto"/>
            </w:tcBorders>
          </w:tcPr>
          <w:p w14:paraId="7A8B93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57A5C6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0DBDF1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15/УП</w:t>
            </w:r>
          </w:p>
        </w:tc>
        <w:tc>
          <w:tcPr>
            <w:tcW w:w="1943" w:type="dxa"/>
            <w:tcBorders>
              <w:top w:val="single" w:sz="6" w:space="0" w:color="auto"/>
              <w:left w:val="single" w:sz="6" w:space="0" w:color="auto"/>
              <w:bottom w:val="single" w:sz="6" w:space="0" w:color="auto"/>
              <w:right w:val="single" w:sz="12" w:space="0" w:color="auto"/>
            </w:tcBorders>
          </w:tcPr>
          <w:p w14:paraId="4AF207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- 82сс 05.03.40</w:t>
            </w:r>
          </w:p>
        </w:tc>
      </w:tr>
      <w:tr w:rsidR="007D5DF8" w:rsidRPr="00DB5D0D" w14:paraId="14694F0D" w14:textId="77777777" w:rsidTr="009223E5">
        <w:trPr>
          <w:trHeight w:val="470"/>
        </w:trPr>
        <w:tc>
          <w:tcPr>
            <w:tcW w:w="749" w:type="dxa"/>
            <w:tcBorders>
              <w:top w:val="single" w:sz="6" w:space="0" w:color="auto"/>
              <w:left w:val="single" w:sz="12" w:space="0" w:color="auto"/>
              <w:bottom w:val="single" w:sz="6" w:space="0" w:color="auto"/>
              <w:right w:val="single" w:sz="6" w:space="0" w:color="auto"/>
            </w:tcBorders>
          </w:tcPr>
          <w:p w14:paraId="15726B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133" w:type="dxa"/>
            <w:tcBorders>
              <w:top w:val="single" w:sz="6" w:space="0" w:color="auto"/>
              <w:left w:val="single" w:sz="6" w:space="0" w:color="auto"/>
              <w:bottom w:val="single" w:sz="6" w:space="0" w:color="auto"/>
              <w:right w:val="single" w:sz="6" w:space="0" w:color="auto"/>
            </w:tcBorders>
          </w:tcPr>
          <w:p w14:paraId="619DC7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414</w:t>
            </w:r>
          </w:p>
        </w:tc>
        <w:tc>
          <w:tcPr>
            <w:tcW w:w="998" w:type="dxa"/>
            <w:tcBorders>
              <w:top w:val="single" w:sz="6" w:space="0" w:color="auto"/>
              <w:left w:val="single" w:sz="6" w:space="0" w:color="auto"/>
              <w:bottom w:val="single" w:sz="6" w:space="0" w:color="auto"/>
              <w:right w:val="single" w:sz="6" w:space="0" w:color="auto"/>
            </w:tcBorders>
          </w:tcPr>
          <w:p w14:paraId="7CEB01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165000</w:t>
            </w:r>
          </w:p>
        </w:tc>
        <w:tc>
          <w:tcPr>
            <w:tcW w:w="2454" w:type="dxa"/>
            <w:tcBorders>
              <w:top w:val="single" w:sz="6" w:space="0" w:color="auto"/>
              <w:left w:val="single" w:sz="6" w:space="0" w:color="auto"/>
              <w:bottom w:val="single" w:sz="6" w:space="0" w:color="auto"/>
              <w:right w:val="single" w:sz="6" w:space="0" w:color="auto"/>
            </w:tcBorders>
          </w:tcPr>
          <w:p w14:paraId="5EA7CD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КБ-16 1 летн. Беляев</w:t>
            </w:r>
          </w:p>
        </w:tc>
        <w:tc>
          <w:tcPr>
            <w:tcW w:w="1640" w:type="dxa"/>
            <w:tcBorders>
              <w:top w:val="single" w:sz="6" w:space="0" w:color="auto"/>
              <w:left w:val="single" w:sz="6" w:space="0" w:color="auto"/>
              <w:bottom w:val="single" w:sz="6" w:space="0" w:color="auto"/>
              <w:right w:val="single" w:sz="6" w:space="0" w:color="auto"/>
            </w:tcBorders>
          </w:tcPr>
          <w:p w14:paraId="667425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10D17A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4F563A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1/1Х</w:t>
            </w:r>
          </w:p>
        </w:tc>
        <w:tc>
          <w:tcPr>
            <w:tcW w:w="1943" w:type="dxa"/>
            <w:tcBorders>
              <w:top w:val="single" w:sz="6" w:space="0" w:color="auto"/>
              <w:left w:val="single" w:sz="6" w:space="0" w:color="auto"/>
              <w:bottom w:val="single" w:sz="6" w:space="0" w:color="auto"/>
              <w:right w:val="single" w:sz="12" w:space="0" w:color="auto"/>
            </w:tcBorders>
          </w:tcPr>
          <w:p w14:paraId="3A100A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15/Х 82сс 05.03.40</w:t>
            </w:r>
          </w:p>
        </w:tc>
      </w:tr>
      <w:tr w:rsidR="007D5DF8" w:rsidRPr="00DB5D0D" w14:paraId="4EF04C31" w14:textId="77777777" w:rsidTr="009223E5">
        <w:trPr>
          <w:trHeight w:val="499"/>
        </w:trPr>
        <w:tc>
          <w:tcPr>
            <w:tcW w:w="749" w:type="dxa"/>
            <w:tcBorders>
              <w:top w:val="single" w:sz="6" w:space="0" w:color="auto"/>
              <w:left w:val="single" w:sz="12" w:space="0" w:color="auto"/>
              <w:bottom w:val="single" w:sz="6" w:space="0" w:color="auto"/>
              <w:right w:val="single" w:sz="6" w:space="0" w:color="auto"/>
            </w:tcBorders>
          </w:tcPr>
          <w:p w14:paraId="270A55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1133" w:type="dxa"/>
            <w:tcBorders>
              <w:top w:val="single" w:sz="6" w:space="0" w:color="auto"/>
              <w:left w:val="single" w:sz="6" w:space="0" w:color="auto"/>
              <w:bottom w:val="single" w:sz="6" w:space="0" w:color="auto"/>
              <w:right w:val="single" w:sz="6" w:space="0" w:color="auto"/>
            </w:tcBorders>
          </w:tcPr>
          <w:p w14:paraId="529130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422</w:t>
            </w:r>
          </w:p>
        </w:tc>
        <w:tc>
          <w:tcPr>
            <w:tcW w:w="998" w:type="dxa"/>
            <w:tcBorders>
              <w:top w:val="single" w:sz="6" w:space="0" w:color="auto"/>
              <w:left w:val="single" w:sz="6" w:space="0" w:color="auto"/>
              <w:bottom w:val="single" w:sz="6" w:space="0" w:color="auto"/>
              <w:right w:val="single" w:sz="6" w:space="0" w:color="auto"/>
            </w:tcBorders>
          </w:tcPr>
          <w:p w14:paraId="270873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135000</w:t>
            </w:r>
          </w:p>
        </w:tc>
        <w:tc>
          <w:tcPr>
            <w:tcW w:w="2454" w:type="dxa"/>
            <w:tcBorders>
              <w:top w:val="single" w:sz="6" w:space="0" w:color="auto"/>
              <w:left w:val="single" w:sz="6" w:space="0" w:color="auto"/>
              <w:bottom w:val="single" w:sz="6" w:space="0" w:color="auto"/>
              <w:right w:val="single" w:sz="6" w:space="0" w:color="auto"/>
            </w:tcBorders>
          </w:tcPr>
          <w:p w14:paraId="0A4858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 летн.</w:t>
            </w:r>
          </w:p>
        </w:tc>
        <w:tc>
          <w:tcPr>
            <w:tcW w:w="1640" w:type="dxa"/>
            <w:tcBorders>
              <w:top w:val="single" w:sz="6" w:space="0" w:color="auto"/>
              <w:left w:val="single" w:sz="6" w:space="0" w:color="auto"/>
              <w:bottom w:val="single" w:sz="6" w:space="0" w:color="auto"/>
              <w:right w:val="single" w:sz="6" w:space="0" w:color="auto"/>
            </w:tcBorders>
          </w:tcPr>
          <w:p w14:paraId="148679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05EEC0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3351E7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15/Х</w:t>
            </w:r>
          </w:p>
        </w:tc>
        <w:tc>
          <w:tcPr>
            <w:tcW w:w="1943" w:type="dxa"/>
            <w:tcBorders>
              <w:top w:val="single" w:sz="6" w:space="0" w:color="auto"/>
              <w:left w:val="single" w:sz="6" w:space="0" w:color="auto"/>
              <w:bottom w:val="single" w:sz="6" w:space="0" w:color="auto"/>
              <w:right w:val="single" w:sz="12" w:space="0" w:color="auto"/>
            </w:tcBorders>
          </w:tcPr>
          <w:p w14:paraId="682E2F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1/ХП - 82сс 05.03.40</w:t>
            </w:r>
          </w:p>
        </w:tc>
      </w:tr>
      <w:tr w:rsidR="007D5DF8" w:rsidRPr="00DB5D0D" w14:paraId="4927B6EC" w14:textId="77777777" w:rsidTr="009223E5">
        <w:trPr>
          <w:trHeight w:val="499"/>
        </w:trPr>
        <w:tc>
          <w:tcPr>
            <w:tcW w:w="749" w:type="dxa"/>
            <w:tcBorders>
              <w:top w:val="single" w:sz="6" w:space="0" w:color="auto"/>
              <w:left w:val="single" w:sz="12" w:space="0" w:color="auto"/>
              <w:bottom w:val="single" w:sz="6" w:space="0" w:color="auto"/>
              <w:right w:val="single" w:sz="6" w:space="0" w:color="auto"/>
            </w:tcBorders>
          </w:tcPr>
          <w:p w14:paraId="73A7D2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133" w:type="dxa"/>
            <w:tcBorders>
              <w:top w:val="single" w:sz="6" w:space="0" w:color="auto"/>
              <w:left w:val="single" w:sz="6" w:space="0" w:color="auto"/>
              <w:bottom w:val="single" w:sz="6" w:space="0" w:color="auto"/>
              <w:right w:val="single" w:sz="6" w:space="0" w:color="auto"/>
            </w:tcBorders>
          </w:tcPr>
          <w:p w14:paraId="083556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409</w:t>
            </w:r>
          </w:p>
        </w:tc>
        <w:tc>
          <w:tcPr>
            <w:tcW w:w="998" w:type="dxa"/>
            <w:tcBorders>
              <w:top w:val="single" w:sz="6" w:space="0" w:color="auto"/>
              <w:left w:val="single" w:sz="6" w:space="0" w:color="auto"/>
              <w:bottom w:val="single" w:sz="6" w:space="0" w:color="auto"/>
              <w:right w:val="single" w:sz="6" w:space="0" w:color="auto"/>
            </w:tcBorders>
          </w:tcPr>
          <w:p w14:paraId="0143E8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195000</w:t>
            </w:r>
          </w:p>
        </w:tc>
        <w:tc>
          <w:tcPr>
            <w:tcW w:w="2454" w:type="dxa"/>
            <w:tcBorders>
              <w:top w:val="single" w:sz="6" w:space="0" w:color="auto"/>
              <w:left w:val="single" w:sz="6" w:space="0" w:color="auto"/>
              <w:bottom w:val="single" w:sz="6" w:space="0" w:color="auto"/>
              <w:right w:val="single" w:sz="6" w:space="0" w:color="auto"/>
            </w:tcBorders>
          </w:tcPr>
          <w:p w14:paraId="2530EB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103 -стат. исп.</w:t>
            </w:r>
          </w:p>
        </w:tc>
        <w:tc>
          <w:tcPr>
            <w:tcW w:w="1640" w:type="dxa"/>
            <w:tcBorders>
              <w:top w:val="single" w:sz="6" w:space="0" w:color="auto"/>
              <w:left w:val="single" w:sz="6" w:space="0" w:color="auto"/>
              <w:bottom w:val="single" w:sz="6" w:space="0" w:color="auto"/>
              <w:right w:val="single" w:sz="6" w:space="0" w:color="auto"/>
            </w:tcBorders>
          </w:tcPr>
          <w:p w14:paraId="60CF7B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12C220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3C5751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15/Х</w:t>
            </w:r>
          </w:p>
        </w:tc>
        <w:tc>
          <w:tcPr>
            <w:tcW w:w="1943" w:type="dxa"/>
            <w:tcBorders>
              <w:top w:val="single" w:sz="6" w:space="0" w:color="auto"/>
              <w:left w:val="single" w:sz="6" w:space="0" w:color="auto"/>
              <w:bottom w:val="single" w:sz="6" w:space="0" w:color="auto"/>
              <w:right w:val="single" w:sz="12" w:space="0" w:color="auto"/>
            </w:tcBorders>
          </w:tcPr>
          <w:p w14:paraId="7CD9C3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- 293сс 16.06.40</w:t>
            </w:r>
          </w:p>
        </w:tc>
      </w:tr>
      <w:tr w:rsidR="007D5DF8" w:rsidRPr="00DB5D0D" w14:paraId="224383FF" w14:textId="77777777" w:rsidTr="009223E5">
        <w:trPr>
          <w:trHeight w:val="499"/>
        </w:trPr>
        <w:tc>
          <w:tcPr>
            <w:tcW w:w="749" w:type="dxa"/>
            <w:tcBorders>
              <w:top w:val="single" w:sz="6" w:space="0" w:color="auto"/>
              <w:left w:val="single" w:sz="12" w:space="0" w:color="auto"/>
              <w:bottom w:val="single" w:sz="6" w:space="0" w:color="auto"/>
              <w:right w:val="single" w:sz="6" w:space="0" w:color="auto"/>
            </w:tcBorders>
          </w:tcPr>
          <w:p w14:paraId="13A15F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1133" w:type="dxa"/>
            <w:tcBorders>
              <w:top w:val="single" w:sz="6" w:space="0" w:color="auto"/>
              <w:left w:val="single" w:sz="6" w:space="0" w:color="auto"/>
              <w:bottom w:val="single" w:sz="6" w:space="0" w:color="auto"/>
              <w:right w:val="single" w:sz="6" w:space="0" w:color="auto"/>
            </w:tcBorders>
          </w:tcPr>
          <w:p w14:paraId="30CCA9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413</w:t>
            </w:r>
          </w:p>
        </w:tc>
        <w:tc>
          <w:tcPr>
            <w:tcW w:w="998" w:type="dxa"/>
            <w:tcBorders>
              <w:top w:val="single" w:sz="6" w:space="0" w:color="auto"/>
              <w:left w:val="single" w:sz="6" w:space="0" w:color="auto"/>
              <w:bottom w:val="single" w:sz="6" w:space="0" w:color="auto"/>
              <w:right w:val="single" w:sz="6" w:space="0" w:color="auto"/>
            </w:tcBorders>
          </w:tcPr>
          <w:p w14:paraId="369036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275000</w:t>
            </w:r>
          </w:p>
        </w:tc>
        <w:tc>
          <w:tcPr>
            <w:tcW w:w="2454" w:type="dxa"/>
            <w:tcBorders>
              <w:top w:val="single" w:sz="6" w:space="0" w:color="auto"/>
              <w:left w:val="single" w:sz="6" w:space="0" w:color="auto"/>
              <w:bottom w:val="single" w:sz="6" w:space="0" w:color="auto"/>
              <w:right w:val="single" w:sz="6" w:space="0" w:color="auto"/>
            </w:tcBorders>
          </w:tcPr>
          <w:p w14:paraId="557FD9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103-1 летн. М-35</w:t>
            </w:r>
          </w:p>
        </w:tc>
        <w:tc>
          <w:tcPr>
            <w:tcW w:w="1640" w:type="dxa"/>
            <w:tcBorders>
              <w:top w:val="single" w:sz="6" w:space="0" w:color="auto"/>
              <w:left w:val="single" w:sz="6" w:space="0" w:color="auto"/>
              <w:bottom w:val="single" w:sz="6" w:space="0" w:color="auto"/>
              <w:right w:val="single" w:sz="6" w:space="0" w:color="auto"/>
            </w:tcBorders>
          </w:tcPr>
          <w:p w14:paraId="24C4FF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349B96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4FDAE7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15/Х1 </w:t>
            </w:r>
          </w:p>
        </w:tc>
        <w:tc>
          <w:tcPr>
            <w:tcW w:w="1943" w:type="dxa"/>
            <w:tcBorders>
              <w:top w:val="single" w:sz="6" w:space="0" w:color="auto"/>
              <w:left w:val="single" w:sz="6" w:space="0" w:color="auto"/>
              <w:bottom w:val="single" w:sz="6" w:space="0" w:color="auto"/>
              <w:right w:val="single" w:sz="12" w:space="0" w:color="auto"/>
            </w:tcBorders>
          </w:tcPr>
          <w:p w14:paraId="1BEB05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1/1-41 293сс 16.06.40</w:t>
            </w:r>
          </w:p>
        </w:tc>
      </w:tr>
      <w:tr w:rsidR="007D5DF8" w:rsidRPr="00DB5D0D" w14:paraId="402E181A" w14:textId="77777777" w:rsidTr="009223E5">
        <w:trPr>
          <w:trHeight w:val="269"/>
        </w:trPr>
        <w:tc>
          <w:tcPr>
            <w:tcW w:w="749" w:type="dxa"/>
            <w:tcBorders>
              <w:top w:val="single" w:sz="6" w:space="0" w:color="auto"/>
              <w:left w:val="single" w:sz="12" w:space="0" w:color="auto"/>
              <w:bottom w:val="single" w:sz="6" w:space="0" w:color="auto"/>
              <w:right w:val="single" w:sz="6" w:space="0" w:color="auto"/>
            </w:tcBorders>
          </w:tcPr>
          <w:p w14:paraId="132BA2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33" w:type="dxa"/>
            <w:tcBorders>
              <w:top w:val="single" w:sz="6" w:space="0" w:color="auto"/>
              <w:left w:val="single" w:sz="6" w:space="0" w:color="auto"/>
              <w:bottom w:val="single" w:sz="6" w:space="0" w:color="auto"/>
              <w:right w:val="single" w:sz="6" w:space="0" w:color="auto"/>
            </w:tcBorders>
          </w:tcPr>
          <w:p w14:paraId="0BFE6D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421</w:t>
            </w:r>
          </w:p>
        </w:tc>
        <w:tc>
          <w:tcPr>
            <w:tcW w:w="998" w:type="dxa"/>
            <w:tcBorders>
              <w:top w:val="single" w:sz="6" w:space="0" w:color="auto"/>
              <w:left w:val="single" w:sz="6" w:space="0" w:color="auto"/>
              <w:bottom w:val="single" w:sz="6" w:space="0" w:color="auto"/>
              <w:right w:val="single" w:sz="6" w:space="0" w:color="auto"/>
            </w:tcBorders>
          </w:tcPr>
          <w:p w14:paraId="3ACB93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270000</w:t>
            </w:r>
          </w:p>
        </w:tc>
        <w:tc>
          <w:tcPr>
            <w:tcW w:w="2454" w:type="dxa"/>
            <w:tcBorders>
              <w:top w:val="single" w:sz="6" w:space="0" w:color="auto"/>
              <w:left w:val="single" w:sz="6" w:space="0" w:color="auto"/>
              <w:bottom w:val="single" w:sz="6" w:space="0" w:color="auto"/>
              <w:right w:val="single" w:sz="6" w:space="0" w:color="auto"/>
            </w:tcBorders>
          </w:tcPr>
          <w:p w14:paraId="2EDB32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103-2 летн. М-120</w:t>
            </w:r>
          </w:p>
        </w:tc>
        <w:tc>
          <w:tcPr>
            <w:tcW w:w="1640" w:type="dxa"/>
            <w:tcBorders>
              <w:top w:val="single" w:sz="6" w:space="0" w:color="auto"/>
              <w:left w:val="single" w:sz="6" w:space="0" w:color="auto"/>
              <w:bottom w:val="single" w:sz="6" w:space="0" w:color="auto"/>
              <w:right w:val="single" w:sz="6" w:space="0" w:color="auto"/>
            </w:tcBorders>
          </w:tcPr>
          <w:p w14:paraId="2A4012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771F90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10F3B8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1/1 -41</w:t>
            </w:r>
          </w:p>
        </w:tc>
        <w:tc>
          <w:tcPr>
            <w:tcW w:w="1943" w:type="dxa"/>
            <w:tcBorders>
              <w:top w:val="single" w:sz="6" w:space="0" w:color="auto"/>
              <w:left w:val="single" w:sz="6" w:space="0" w:color="auto"/>
              <w:bottom w:val="single" w:sz="6" w:space="0" w:color="auto"/>
              <w:right w:val="single" w:sz="12" w:space="0" w:color="auto"/>
            </w:tcBorders>
          </w:tcPr>
          <w:p w14:paraId="70F9F4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1/Ш-41 293сс 16.06.40</w:t>
            </w:r>
          </w:p>
        </w:tc>
      </w:tr>
      <w:tr w:rsidR="007D5DF8" w:rsidRPr="00DB5D0D" w14:paraId="1095FAE2" w14:textId="77777777" w:rsidTr="009223E5">
        <w:trPr>
          <w:trHeight w:val="259"/>
        </w:trPr>
        <w:tc>
          <w:tcPr>
            <w:tcW w:w="749" w:type="dxa"/>
            <w:tcBorders>
              <w:top w:val="single" w:sz="6" w:space="0" w:color="auto"/>
              <w:left w:val="single" w:sz="12" w:space="0" w:color="auto"/>
              <w:bottom w:val="single" w:sz="6" w:space="0" w:color="auto"/>
              <w:right w:val="single" w:sz="6" w:space="0" w:color="auto"/>
            </w:tcBorders>
          </w:tcPr>
          <w:p w14:paraId="435F6E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w:t>
            </w:r>
          </w:p>
        </w:tc>
        <w:tc>
          <w:tcPr>
            <w:tcW w:w="1133" w:type="dxa"/>
            <w:tcBorders>
              <w:top w:val="single" w:sz="6" w:space="0" w:color="auto"/>
              <w:left w:val="single" w:sz="6" w:space="0" w:color="auto"/>
              <w:bottom w:val="single" w:sz="6" w:space="0" w:color="auto"/>
              <w:right w:val="single" w:sz="6" w:space="0" w:color="auto"/>
            </w:tcBorders>
          </w:tcPr>
          <w:p w14:paraId="3F228C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98" w:type="dxa"/>
            <w:tcBorders>
              <w:top w:val="single" w:sz="6" w:space="0" w:color="auto"/>
              <w:left w:val="single" w:sz="6" w:space="0" w:color="auto"/>
              <w:bottom w:val="single" w:sz="6" w:space="0" w:color="auto"/>
              <w:right w:val="single" w:sz="6" w:space="0" w:color="auto"/>
            </w:tcBorders>
          </w:tcPr>
          <w:p w14:paraId="2B691E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200000</w:t>
            </w:r>
          </w:p>
        </w:tc>
        <w:tc>
          <w:tcPr>
            <w:tcW w:w="2454" w:type="dxa"/>
            <w:tcBorders>
              <w:top w:val="single" w:sz="6" w:space="0" w:color="auto"/>
              <w:left w:val="single" w:sz="6" w:space="0" w:color="auto"/>
              <w:bottom w:val="single" w:sz="6" w:space="0" w:color="auto"/>
              <w:right w:val="single" w:sz="6" w:space="0" w:color="auto"/>
            </w:tcBorders>
          </w:tcPr>
          <w:p w14:paraId="7AD240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103-3 летн. М-120</w:t>
            </w:r>
          </w:p>
        </w:tc>
        <w:tc>
          <w:tcPr>
            <w:tcW w:w="1640" w:type="dxa"/>
            <w:tcBorders>
              <w:top w:val="single" w:sz="6" w:space="0" w:color="auto"/>
              <w:left w:val="single" w:sz="6" w:space="0" w:color="auto"/>
              <w:bottom w:val="single" w:sz="6" w:space="0" w:color="auto"/>
              <w:right w:val="single" w:sz="6" w:space="0" w:color="auto"/>
            </w:tcBorders>
          </w:tcPr>
          <w:p w14:paraId="6F0179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1107" w:type="dxa"/>
            <w:tcBorders>
              <w:top w:val="single" w:sz="6" w:space="0" w:color="auto"/>
              <w:left w:val="single" w:sz="6" w:space="0" w:color="auto"/>
              <w:bottom w:val="single" w:sz="6" w:space="0" w:color="auto"/>
              <w:right w:val="single" w:sz="6" w:space="0" w:color="auto"/>
            </w:tcBorders>
          </w:tcPr>
          <w:p w14:paraId="269EAE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3099CC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1/Ш-41</w:t>
            </w:r>
          </w:p>
        </w:tc>
        <w:tc>
          <w:tcPr>
            <w:tcW w:w="1943" w:type="dxa"/>
            <w:tcBorders>
              <w:top w:val="single" w:sz="6" w:space="0" w:color="auto"/>
              <w:left w:val="single" w:sz="6" w:space="0" w:color="auto"/>
              <w:bottom w:val="single" w:sz="6" w:space="0" w:color="auto"/>
              <w:right w:val="single" w:sz="12" w:space="0" w:color="auto"/>
            </w:tcBorders>
          </w:tcPr>
          <w:p w14:paraId="17436C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1/У-41 293сс 16.06.40</w:t>
            </w:r>
          </w:p>
        </w:tc>
      </w:tr>
      <w:tr w:rsidR="007D5DF8" w:rsidRPr="00DB5D0D" w14:paraId="1CDBDC36" w14:textId="77777777" w:rsidTr="009223E5">
        <w:trPr>
          <w:trHeight w:val="259"/>
        </w:trPr>
        <w:tc>
          <w:tcPr>
            <w:tcW w:w="749" w:type="dxa"/>
            <w:tcBorders>
              <w:top w:val="single" w:sz="6" w:space="0" w:color="auto"/>
              <w:left w:val="single" w:sz="12" w:space="0" w:color="auto"/>
              <w:bottom w:val="single" w:sz="6" w:space="0" w:color="auto"/>
              <w:right w:val="single" w:sz="6" w:space="0" w:color="auto"/>
            </w:tcBorders>
          </w:tcPr>
          <w:p w14:paraId="64C66B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33" w:type="dxa"/>
            <w:tcBorders>
              <w:top w:val="single" w:sz="6" w:space="0" w:color="auto"/>
              <w:left w:val="single" w:sz="6" w:space="0" w:color="auto"/>
              <w:bottom w:val="single" w:sz="6" w:space="0" w:color="auto"/>
              <w:right w:val="single" w:sz="6" w:space="0" w:color="auto"/>
            </w:tcBorders>
          </w:tcPr>
          <w:p w14:paraId="2B2048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411</w:t>
            </w:r>
          </w:p>
        </w:tc>
        <w:tc>
          <w:tcPr>
            <w:tcW w:w="998" w:type="dxa"/>
            <w:tcBorders>
              <w:top w:val="single" w:sz="6" w:space="0" w:color="auto"/>
              <w:left w:val="single" w:sz="6" w:space="0" w:color="auto"/>
              <w:bottom w:val="single" w:sz="6" w:space="0" w:color="auto"/>
              <w:right w:val="single" w:sz="6" w:space="0" w:color="auto"/>
            </w:tcBorders>
          </w:tcPr>
          <w:p w14:paraId="108416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52000</w:t>
            </w:r>
          </w:p>
        </w:tc>
        <w:tc>
          <w:tcPr>
            <w:tcW w:w="2454" w:type="dxa"/>
            <w:tcBorders>
              <w:top w:val="single" w:sz="6" w:space="0" w:color="auto"/>
              <w:left w:val="single" w:sz="6" w:space="0" w:color="auto"/>
              <w:bottom w:val="single" w:sz="6" w:space="0" w:color="auto"/>
              <w:right w:val="single" w:sz="6" w:space="0" w:color="auto"/>
            </w:tcBorders>
          </w:tcPr>
          <w:p w14:paraId="3652F3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 -17 ст.исп. Кочеригин</w:t>
            </w:r>
          </w:p>
        </w:tc>
        <w:tc>
          <w:tcPr>
            <w:tcW w:w="1640" w:type="dxa"/>
            <w:tcBorders>
              <w:top w:val="single" w:sz="6" w:space="0" w:color="auto"/>
              <w:left w:val="single" w:sz="6" w:space="0" w:color="auto"/>
              <w:bottom w:val="single" w:sz="6" w:space="0" w:color="auto"/>
              <w:right w:val="single" w:sz="6" w:space="0" w:color="auto"/>
            </w:tcBorders>
          </w:tcPr>
          <w:p w14:paraId="2757D9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704951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47D4D2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1/Х1</w:t>
            </w:r>
          </w:p>
        </w:tc>
        <w:tc>
          <w:tcPr>
            <w:tcW w:w="1943" w:type="dxa"/>
            <w:tcBorders>
              <w:top w:val="single" w:sz="6" w:space="0" w:color="auto"/>
              <w:left w:val="single" w:sz="6" w:space="0" w:color="auto"/>
              <w:bottom w:val="single" w:sz="6" w:space="0" w:color="auto"/>
              <w:right w:val="single" w:sz="12" w:space="0" w:color="auto"/>
            </w:tcBorders>
          </w:tcPr>
          <w:p w14:paraId="4A9DA5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CFA8D75" w14:textId="77777777" w:rsidTr="009223E5">
        <w:trPr>
          <w:trHeight w:val="259"/>
        </w:trPr>
        <w:tc>
          <w:tcPr>
            <w:tcW w:w="749" w:type="dxa"/>
            <w:tcBorders>
              <w:top w:val="single" w:sz="6" w:space="0" w:color="auto"/>
              <w:left w:val="single" w:sz="12" w:space="0" w:color="auto"/>
              <w:bottom w:val="single" w:sz="6" w:space="0" w:color="auto"/>
              <w:right w:val="single" w:sz="6" w:space="0" w:color="auto"/>
            </w:tcBorders>
          </w:tcPr>
          <w:p w14:paraId="399BB7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1133" w:type="dxa"/>
            <w:tcBorders>
              <w:top w:val="single" w:sz="6" w:space="0" w:color="auto"/>
              <w:left w:val="single" w:sz="6" w:space="0" w:color="auto"/>
              <w:bottom w:val="single" w:sz="6" w:space="0" w:color="auto"/>
              <w:right w:val="single" w:sz="6" w:space="0" w:color="auto"/>
            </w:tcBorders>
          </w:tcPr>
          <w:p w14:paraId="25DD24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415</w:t>
            </w:r>
          </w:p>
        </w:tc>
        <w:tc>
          <w:tcPr>
            <w:tcW w:w="998" w:type="dxa"/>
            <w:tcBorders>
              <w:top w:val="single" w:sz="6" w:space="0" w:color="auto"/>
              <w:left w:val="single" w:sz="6" w:space="0" w:color="auto"/>
              <w:bottom w:val="single" w:sz="6" w:space="0" w:color="auto"/>
              <w:right w:val="single" w:sz="6" w:space="0" w:color="auto"/>
            </w:tcBorders>
          </w:tcPr>
          <w:p w14:paraId="2FD282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165000</w:t>
            </w:r>
          </w:p>
        </w:tc>
        <w:tc>
          <w:tcPr>
            <w:tcW w:w="2454" w:type="dxa"/>
            <w:tcBorders>
              <w:top w:val="single" w:sz="6" w:space="0" w:color="auto"/>
              <w:left w:val="single" w:sz="6" w:space="0" w:color="auto"/>
              <w:bottom w:val="single" w:sz="6" w:space="0" w:color="auto"/>
              <w:right w:val="single" w:sz="6" w:space="0" w:color="auto"/>
            </w:tcBorders>
          </w:tcPr>
          <w:p w14:paraId="39D470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КБ-17 1 летн. Кочеригина</w:t>
            </w:r>
          </w:p>
        </w:tc>
        <w:tc>
          <w:tcPr>
            <w:tcW w:w="1640" w:type="dxa"/>
            <w:tcBorders>
              <w:top w:val="single" w:sz="6" w:space="0" w:color="auto"/>
              <w:left w:val="single" w:sz="6" w:space="0" w:color="auto"/>
              <w:bottom w:val="single" w:sz="6" w:space="0" w:color="auto"/>
              <w:right w:val="single" w:sz="6" w:space="0" w:color="auto"/>
            </w:tcBorders>
          </w:tcPr>
          <w:p w14:paraId="25E47D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49AFA7A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72BFEA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1/ХП</w:t>
            </w:r>
          </w:p>
        </w:tc>
        <w:tc>
          <w:tcPr>
            <w:tcW w:w="1943" w:type="dxa"/>
            <w:tcBorders>
              <w:top w:val="single" w:sz="6" w:space="0" w:color="auto"/>
              <w:left w:val="single" w:sz="6" w:space="0" w:color="auto"/>
              <w:bottom w:val="single" w:sz="6" w:space="0" w:color="auto"/>
              <w:right w:val="single" w:sz="12" w:space="0" w:color="auto"/>
            </w:tcBorders>
          </w:tcPr>
          <w:p w14:paraId="4794A7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1/П-41</w:t>
            </w:r>
          </w:p>
        </w:tc>
      </w:tr>
      <w:tr w:rsidR="007D5DF8" w:rsidRPr="00DB5D0D" w14:paraId="615BE263" w14:textId="77777777" w:rsidTr="009223E5">
        <w:trPr>
          <w:trHeight w:val="259"/>
        </w:trPr>
        <w:tc>
          <w:tcPr>
            <w:tcW w:w="749" w:type="dxa"/>
            <w:tcBorders>
              <w:top w:val="single" w:sz="6" w:space="0" w:color="auto"/>
              <w:left w:val="single" w:sz="12" w:space="0" w:color="auto"/>
              <w:bottom w:val="single" w:sz="6" w:space="0" w:color="auto"/>
              <w:right w:val="single" w:sz="6" w:space="0" w:color="auto"/>
            </w:tcBorders>
          </w:tcPr>
          <w:p w14:paraId="231185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133" w:type="dxa"/>
            <w:tcBorders>
              <w:top w:val="single" w:sz="6" w:space="0" w:color="auto"/>
              <w:left w:val="single" w:sz="6" w:space="0" w:color="auto"/>
              <w:bottom w:val="single" w:sz="6" w:space="0" w:color="auto"/>
              <w:right w:val="single" w:sz="6" w:space="0" w:color="auto"/>
            </w:tcBorders>
          </w:tcPr>
          <w:p w14:paraId="724E15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423</w:t>
            </w:r>
          </w:p>
        </w:tc>
        <w:tc>
          <w:tcPr>
            <w:tcW w:w="998" w:type="dxa"/>
            <w:tcBorders>
              <w:top w:val="single" w:sz="6" w:space="0" w:color="auto"/>
              <w:left w:val="single" w:sz="6" w:space="0" w:color="auto"/>
              <w:bottom w:val="single" w:sz="6" w:space="0" w:color="auto"/>
              <w:right w:val="single" w:sz="6" w:space="0" w:color="auto"/>
            </w:tcBorders>
          </w:tcPr>
          <w:p w14:paraId="389B9A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90000</w:t>
            </w:r>
          </w:p>
        </w:tc>
        <w:tc>
          <w:tcPr>
            <w:tcW w:w="2454" w:type="dxa"/>
            <w:tcBorders>
              <w:top w:val="single" w:sz="6" w:space="0" w:color="auto"/>
              <w:left w:val="single" w:sz="6" w:space="0" w:color="auto"/>
              <w:bottom w:val="single" w:sz="6" w:space="0" w:color="auto"/>
              <w:right w:val="single" w:sz="6" w:space="0" w:color="auto"/>
            </w:tcBorders>
          </w:tcPr>
          <w:p w14:paraId="4474BA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 -17 2 летн. Кочеригина</w:t>
            </w:r>
          </w:p>
        </w:tc>
        <w:tc>
          <w:tcPr>
            <w:tcW w:w="1640" w:type="dxa"/>
            <w:tcBorders>
              <w:top w:val="single" w:sz="6" w:space="0" w:color="auto"/>
              <w:left w:val="single" w:sz="6" w:space="0" w:color="auto"/>
              <w:bottom w:val="single" w:sz="6" w:space="0" w:color="auto"/>
              <w:right w:val="single" w:sz="6" w:space="0" w:color="auto"/>
            </w:tcBorders>
          </w:tcPr>
          <w:p w14:paraId="4D24C5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1107" w:type="dxa"/>
            <w:tcBorders>
              <w:top w:val="single" w:sz="6" w:space="0" w:color="auto"/>
              <w:left w:val="single" w:sz="6" w:space="0" w:color="auto"/>
              <w:bottom w:val="single" w:sz="6" w:space="0" w:color="auto"/>
              <w:right w:val="single" w:sz="6" w:space="0" w:color="auto"/>
            </w:tcBorders>
          </w:tcPr>
          <w:p w14:paraId="16B4E9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3560C7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1/П-41</w:t>
            </w:r>
          </w:p>
        </w:tc>
        <w:tc>
          <w:tcPr>
            <w:tcW w:w="1943" w:type="dxa"/>
            <w:tcBorders>
              <w:top w:val="single" w:sz="6" w:space="0" w:color="auto"/>
              <w:left w:val="single" w:sz="6" w:space="0" w:color="auto"/>
              <w:bottom w:val="single" w:sz="6" w:space="0" w:color="auto"/>
              <w:right w:val="single" w:sz="12" w:space="0" w:color="auto"/>
            </w:tcBorders>
          </w:tcPr>
          <w:p w14:paraId="5CDE90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1/1У-41</w:t>
            </w:r>
          </w:p>
        </w:tc>
      </w:tr>
      <w:tr w:rsidR="007D5DF8" w:rsidRPr="00DB5D0D" w14:paraId="3E5111D2" w14:textId="77777777" w:rsidTr="009223E5">
        <w:trPr>
          <w:trHeight w:val="355"/>
        </w:trPr>
        <w:tc>
          <w:tcPr>
            <w:tcW w:w="749" w:type="dxa"/>
            <w:tcBorders>
              <w:top w:val="single" w:sz="6" w:space="0" w:color="auto"/>
              <w:left w:val="single" w:sz="12" w:space="0" w:color="auto"/>
              <w:bottom w:val="single" w:sz="6" w:space="0" w:color="auto"/>
              <w:right w:val="single" w:sz="6" w:space="0" w:color="auto"/>
            </w:tcBorders>
          </w:tcPr>
          <w:p w14:paraId="1D08CB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1133" w:type="dxa"/>
            <w:tcBorders>
              <w:top w:val="single" w:sz="6" w:space="0" w:color="auto"/>
              <w:left w:val="single" w:sz="6" w:space="0" w:color="auto"/>
              <w:bottom w:val="single" w:sz="6" w:space="0" w:color="auto"/>
              <w:right w:val="single" w:sz="6" w:space="0" w:color="auto"/>
            </w:tcBorders>
          </w:tcPr>
          <w:p w14:paraId="756673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408</w:t>
            </w:r>
          </w:p>
        </w:tc>
        <w:tc>
          <w:tcPr>
            <w:tcW w:w="998" w:type="dxa"/>
            <w:tcBorders>
              <w:top w:val="single" w:sz="6" w:space="0" w:color="auto"/>
              <w:left w:val="single" w:sz="6" w:space="0" w:color="auto"/>
              <w:bottom w:val="single" w:sz="6" w:space="0" w:color="auto"/>
              <w:right w:val="single" w:sz="6" w:space="0" w:color="auto"/>
            </w:tcBorders>
          </w:tcPr>
          <w:p w14:paraId="765D87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225000</w:t>
            </w:r>
          </w:p>
        </w:tc>
        <w:tc>
          <w:tcPr>
            <w:tcW w:w="2454" w:type="dxa"/>
            <w:tcBorders>
              <w:top w:val="single" w:sz="6" w:space="0" w:color="auto"/>
              <w:left w:val="single" w:sz="6" w:space="0" w:color="auto"/>
              <w:bottom w:val="single" w:sz="6" w:space="0" w:color="auto"/>
              <w:right w:val="single" w:sz="6" w:space="0" w:color="auto"/>
            </w:tcBorders>
          </w:tcPr>
          <w:p w14:paraId="7D29C0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102-ст.исп.</w:t>
            </w:r>
          </w:p>
        </w:tc>
        <w:tc>
          <w:tcPr>
            <w:tcW w:w="1640" w:type="dxa"/>
            <w:tcBorders>
              <w:top w:val="single" w:sz="6" w:space="0" w:color="auto"/>
              <w:left w:val="single" w:sz="6" w:space="0" w:color="auto"/>
              <w:bottom w:val="single" w:sz="6" w:space="0" w:color="auto"/>
              <w:right w:val="single" w:sz="6" w:space="0" w:color="auto"/>
            </w:tcBorders>
          </w:tcPr>
          <w:p w14:paraId="45C4F6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c>
          <w:tcPr>
            <w:tcW w:w="1107" w:type="dxa"/>
            <w:tcBorders>
              <w:top w:val="single" w:sz="6" w:space="0" w:color="auto"/>
              <w:left w:val="single" w:sz="6" w:space="0" w:color="auto"/>
              <w:bottom w:val="single" w:sz="6" w:space="0" w:color="auto"/>
              <w:right w:val="single" w:sz="6" w:space="0" w:color="auto"/>
            </w:tcBorders>
          </w:tcPr>
          <w:p w14:paraId="30300E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3EB73A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1/П-41</w:t>
            </w:r>
          </w:p>
        </w:tc>
        <w:tc>
          <w:tcPr>
            <w:tcW w:w="1943" w:type="dxa"/>
            <w:tcBorders>
              <w:top w:val="single" w:sz="6" w:space="0" w:color="auto"/>
              <w:left w:val="single" w:sz="6" w:space="0" w:color="auto"/>
              <w:bottom w:val="single" w:sz="6" w:space="0" w:color="auto"/>
              <w:right w:val="single" w:sz="12" w:space="0" w:color="auto"/>
            </w:tcBorders>
          </w:tcPr>
          <w:p w14:paraId="163D07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- 292сс 16.06.40</w:t>
            </w:r>
          </w:p>
        </w:tc>
      </w:tr>
      <w:tr w:rsidR="007D5DF8" w:rsidRPr="00DB5D0D" w14:paraId="79BA2125" w14:textId="77777777" w:rsidTr="009223E5">
        <w:trPr>
          <w:trHeight w:val="509"/>
        </w:trPr>
        <w:tc>
          <w:tcPr>
            <w:tcW w:w="749" w:type="dxa"/>
            <w:tcBorders>
              <w:top w:val="single" w:sz="6" w:space="0" w:color="auto"/>
              <w:left w:val="single" w:sz="12" w:space="0" w:color="auto"/>
              <w:bottom w:val="single" w:sz="6" w:space="0" w:color="auto"/>
              <w:right w:val="single" w:sz="6" w:space="0" w:color="auto"/>
            </w:tcBorders>
          </w:tcPr>
          <w:p w14:paraId="472569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133" w:type="dxa"/>
            <w:tcBorders>
              <w:top w:val="single" w:sz="6" w:space="0" w:color="auto"/>
              <w:left w:val="single" w:sz="6" w:space="0" w:color="auto"/>
              <w:bottom w:val="single" w:sz="6" w:space="0" w:color="auto"/>
              <w:right w:val="single" w:sz="6" w:space="0" w:color="auto"/>
            </w:tcBorders>
          </w:tcPr>
          <w:p w14:paraId="01438C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412</w:t>
            </w:r>
          </w:p>
        </w:tc>
        <w:tc>
          <w:tcPr>
            <w:tcW w:w="998" w:type="dxa"/>
            <w:tcBorders>
              <w:top w:val="single" w:sz="6" w:space="0" w:color="auto"/>
              <w:left w:val="single" w:sz="6" w:space="0" w:color="auto"/>
              <w:bottom w:val="single" w:sz="6" w:space="0" w:color="auto"/>
              <w:right w:val="single" w:sz="6" w:space="0" w:color="auto"/>
            </w:tcBorders>
          </w:tcPr>
          <w:p w14:paraId="176EF2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200000</w:t>
            </w:r>
          </w:p>
        </w:tc>
        <w:tc>
          <w:tcPr>
            <w:tcW w:w="2454" w:type="dxa"/>
            <w:tcBorders>
              <w:top w:val="single" w:sz="6" w:space="0" w:color="auto"/>
              <w:left w:val="single" w:sz="6" w:space="0" w:color="auto"/>
              <w:bottom w:val="single" w:sz="6" w:space="0" w:color="auto"/>
              <w:right w:val="single" w:sz="6" w:space="0" w:color="auto"/>
            </w:tcBorders>
          </w:tcPr>
          <w:p w14:paraId="166204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102-1 летн.</w:t>
            </w:r>
          </w:p>
        </w:tc>
        <w:tc>
          <w:tcPr>
            <w:tcW w:w="1640" w:type="dxa"/>
            <w:tcBorders>
              <w:top w:val="single" w:sz="6" w:space="0" w:color="auto"/>
              <w:left w:val="single" w:sz="6" w:space="0" w:color="auto"/>
              <w:bottom w:val="single" w:sz="6" w:space="0" w:color="auto"/>
              <w:right w:val="single" w:sz="6" w:space="0" w:color="auto"/>
            </w:tcBorders>
          </w:tcPr>
          <w:p w14:paraId="4941C3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1107" w:type="dxa"/>
            <w:tcBorders>
              <w:top w:val="single" w:sz="6" w:space="0" w:color="auto"/>
              <w:left w:val="single" w:sz="6" w:space="0" w:color="auto"/>
              <w:bottom w:val="single" w:sz="6" w:space="0" w:color="auto"/>
              <w:right w:val="single" w:sz="6" w:space="0" w:color="auto"/>
            </w:tcBorders>
          </w:tcPr>
          <w:p w14:paraId="7AF1CE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297993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1/Ш-41</w:t>
            </w:r>
          </w:p>
        </w:tc>
        <w:tc>
          <w:tcPr>
            <w:tcW w:w="1943" w:type="dxa"/>
            <w:tcBorders>
              <w:top w:val="single" w:sz="6" w:space="0" w:color="auto"/>
              <w:left w:val="single" w:sz="6" w:space="0" w:color="auto"/>
              <w:bottom w:val="single" w:sz="6" w:space="0" w:color="auto"/>
              <w:right w:val="single" w:sz="12" w:space="0" w:color="auto"/>
            </w:tcBorders>
          </w:tcPr>
          <w:p w14:paraId="381E33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- 1/У-41 292сс 16.06.40</w:t>
            </w:r>
          </w:p>
        </w:tc>
      </w:tr>
      <w:tr w:rsidR="007D5DF8" w:rsidRPr="00DB5D0D" w14:paraId="5763D6DF"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74968E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133" w:type="dxa"/>
            <w:tcBorders>
              <w:top w:val="single" w:sz="6" w:space="0" w:color="auto"/>
              <w:left w:val="single" w:sz="6" w:space="0" w:color="auto"/>
              <w:bottom w:val="single" w:sz="6" w:space="0" w:color="auto"/>
              <w:right w:val="single" w:sz="6" w:space="0" w:color="auto"/>
            </w:tcBorders>
          </w:tcPr>
          <w:p w14:paraId="4EF0A9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420</w:t>
            </w:r>
          </w:p>
        </w:tc>
        <w:tc>
          <w:tcPr>
            <w:tcW w:w="998" w:type="dxa"/>
            <w:tcBorders>
              <w:top w:val="single" w:sz="6" w:space="0" w:color="auto"/>
              <w:left w:val="single" w:sz="6" w:space="0" w:color="auto"/>
              <w:bottom w:val="single" w:sz="6" w:space="0" w:color="auto"/>
              <w:right w:val="single" w:sz="6" w:space="0" w:color="auto"/>
            </w:tcBorders>
          </w:tcPr>
          <w:p w14:paraId="019372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120000</w:t>
            </w:r>
          </w:p>
        </w:tc>
        <w:tc>
          <w:tcPr>
            <w:tcW w:w="2454" w:type="dxa"/>
            <w:tcBorders>
              <w:top w:val="single" w:sz="6" w:space="0" w:color="auto"/>
              <w:left w:val="single" w:sz="6" w:space="0" w:color="auto"/>
              <w:bottom w:val="single" w:sz="6" w:space="0" w:color="auto"/>
              <w:right w:val="single" w:sz="6" w:space="0" w:color="auto"/>
            </w:tcBorders>
          </w:tcPr>
          <w:p w14:paraId="1098C9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102-2 летн.</w:t>
            </w:r>
          </w:p>
        </w:tc>
        <w:tc>
          <w:tcPr>
            <w:tcW w:w="1640" w:type="dxa"/>
            <w:tcBorders>
              <w:top w:val="single" w:sz="6" w:space="0" w:color="auto"/>
              <w:left w:val="single" w:sz="6" w:space="0" w:color="auto"/>
              <w:bottom w:val="single" w:sz="6" w:space="0" w:color="auto"/>
              <w:right w:val="single" w:sz="6" w:space="0" w:color="auto"/>
            </w:tcBorders>
          </w:tcPr>
          <w:p w14:paraId="506BF6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107" w:type="dxa"/>
            <w:tcBorders>
              <w:top w:val="single" w:sz="6" w:space="0" w:color="auto"/>
              <w:left w:val="single" w:sz="6" w:space="0" w:color="auto"/>
              <w:bottom w:val="single" w:sz="6" w:space="0" w:color="auto"/>
              <w:right w:val="single" w:sz="6" w:space="0" w:color="auto"/>
            </w:tcBorders>
          </w:tcPr>
          <w:p w14:paraId="58E643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14AB53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1/1У-41</w:t>
            </w:r>
          </w:p>
        </w:tc>
        <w:tc>
          <w:tcPr>
            <w:tcW w:w="1943" w:type="dxa"/>
            <w:tcBorders>
              <w:top w:val="single" w:sz="6" w:space="0" w:color="auto"/>
              <w:left w:val="single" w:sz="6" w:space="0" w:color="auto"/>
              <w:bottom w:val="single" w:sz="6" w:space="0" w:color="auto"/>
              <w:right w:val="single" w:sz="12" w:space="0" w:color="auto"/>
            </w:tcBorders>
          </w:tcPr>
          <w:p w14:paraId="0BABC2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1/У1-41 292сс 16.06.40</w:t>
            </w:r>
          </w:p>
        </w:tc>
      </w:tr>
      <w:tr w:rsidR="007D5DF8" w:rsidRPr="00DB5D0D" w14:paraId="4422D2B0"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2C3711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1133" w:type="dxa"/>
            <w:tcBorders>
              <w:top w:val="single" w:sz="6" w:space="0" w:color="auto"/>
              <w:left w:val="single" w:sz="6" w:space="0" w:color="auto"/>
              <w:bottom w:val="single" w:sz="6" w:space="0" w:color="auto"/>
              <w:right w:val="single" w:sz="6" w:space="0" w:color="auto"/>
            </w:tcBorders>
          </w:tcPr>
          <w:p w14:paraId="57B9DC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607</w:t>
            </w:r>
          </w:p>
        </w:tc>
        <w:tc>
          <w:tcPr>
            <w:tcW w:w="998" w:type="dxa"/>
            <w:tcBorders>
              <w:top w:val="single" w:sz="6" w:space="0" w:color="auto"/>
              <w:left w:val="single" w:sz="6" w:space="0" w:color="auto"/>
              <w:bottom w:val="single" w:sz="6" w:space="0" w:color="auto"/>
              <w:right w:val="single" w:sz="6" w:space="0" w:color="auto"/>
            </w:tcBorders>
          </w:tcPr>
          <w:p w14:paraId="105649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50000</w:t>
            </w:r>
          </w:p>
        </w:tc>
        <w:tc>
          <w:tcPr>
            <w:tcW w:w="2454" w:type="dxa"/>
            <w:tcBorders>
              <w:top w:val="single" w:sz="6" w:space="0" w:color="auto"/>
              <w:left w:val="single" w:sz="6" w:space="0" w:color="auto"/>
              <w:bottom w:val="single" w:sz="6" w:space="0" w:color="auto"/>
              <w:right w:val="single" w:sz="6" w:space="0" w:color="auto"/>
            </w:tcBorders>
          </w:tcPr>
          <w:p w14:paraId="595FE2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А-7 № 1</w:t>
            </w:r>
          </w:p>
        </w:tc>
        <w:tc>
          <w:tcPr>
            <w:tcW w:w="1640" w:type="dxa"/>
            <w:tcBorders>
              <w:top w:val="single" w:sz="6" w:space="0" w:color="auto"/>
              <w:left w:val="single" w:sz="6" w:space="0" w:color="auto"/>
              <w:bottom w:val="single" w:sz="6" w:space="0" w:color="auto"/>
              <w:right w:val="single" w:sz="6" w:space="0" w:color="auto"/>
            </w:tcBorders>
          </w:tcPr>
          <w:p w14:paraId="4E8D49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1D3E7B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1911" w:type="dxa"/>
            <w:tcBorders>
              <w:top w:val="single" w:sz="6" w:space="0" w:color="auto"/>
              <w:left w:val="single" w:sz="6" w:space="0" w:color="auto"/>
              <w:bottom w:val="single" w:sz="6" w:space="0" w:color="auto"/>
              <w:right w:val="single" w:sz="6" w:space="0" w:color="auto"/>
            </w:tcBorders>
          </w:tcPr>
          <w:p w14:paraId="01250E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1/УП</w:t>
            </w:r>
          </w:p>
        </w:tc>
        <w:tc>
          <w:tcPr>
            <w:tcW w:w="1943" w:type="dxa"/>
            <w:tcBorders>
              <w:top w:val="single" w:sz="6" w:space="0" w:color="auto"/>
              <w:left w:val="single" w:sz="6" w:space="0" w:color="auto"/>
              <w:bottom w:val="single" w:sz="6" w:space="0" w:color="auto"/>
              <w:right w:val="single" w:sz="12" w:space="0" w:color="auto"/>
            </w:tcBorders>
          </w:tcPr>
          <w:p w14:paraId="05B321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договор с ГАУ ВВС</w:t>
            </w:r>
          </w:p>
        </w:tc>
      </w:tr>
      <w:tr w:rsidR="007D5DF8" w:rsidRPr="00DB5D0D" w14:paraId="6645034B"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06F98C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1133" w:type="dxa"/>
            <w:tcBorders>
              <w:top w:val="single" w:sz="6" w:space="0" w:color="auto"/>
              <w:left w:val="single" w:sz="6" w:space="0" w:color="auto"/>
              <w:bottom w:val="single" w:sz="6" w:space="0" w:color="auto"/>
              <w:right w:val="single" w:sz="6" w:space="0" w:color="auto"/>
            </w:tcBorders>
          </w:tcPr>
          <w:p w14:paraId="2E95AD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607</w:t>
            </w:r>
          </w:p>
        </w:tc>
        <w:tc>
          <w:tcPr>
            <w:tcW w:w="998" w:type="dxa"/>
            <w:tcBorders>
              <w:top w:val="single" w:sz="6" w:space="0" w:color="auto"/>
              <w:left w:val="single" w:sz="6" w:space="0" w:color="auto"/>
              <w:bottom w:val="single" w:sz="6" w:space="0" w:color="auto"/>
              <w:right w:val="single" w:sz="6" w:space="0" w:color="auto"/>
            </w:tcBorders>
          </w:tcPr>
          <w:p w14:paraId="3F3472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50000</w:t>
            </w:r>
          </w:p>
        </w:tc>
        <w:tc>
          <w:tcPr>
            <w:tcW w:w="2454" w:type="dxa"/>
            <w:tcBorders>
              <w:top w:val="single" w:sz="6" w:space="0" w:color="auto"/>
              <w:left w:val="single" w:sz="6" w:space="0" w:color="auto"/>
              <w:bottom w:val="single" w:sz="6" w:space="0" w:color="auto"/>
              <w:right w:val="single" w:sz="6" w:space="0" w:color="auto"/>
            </w:tcBorders>
          </w:tcPr>
          <w:p w14:paraId="5A19A2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А-7 №2</w:t>
            </w:r>
          </w:p>
        </w:tc>
        <w:tc>
          <w:tcPr>
            <w:tcW w:w="1640" w:type="dxa"/>
            <w:tcBorders>
              <w:top w:val="single" w:sz="6" w:space="0" w:color="auto"/>
              <w:left w:val="single" w:sz="6" w:space="0" w:color="auto"/>
              <w:bottom w:val="single" w:sz="6" w:space="0" w:color="auto"/>
              <w:right w:val="single" w:sz="6" w:space="0" w:color="auto"/>
            </w:tcBorders>
          </w:tcPr>
          <w:p w14:paraId="247F71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4844EF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1911" w:type="dxa"/>
            <w:tcBorders>
              <w:top w:val="single" w:sz="6" w:space="0" w:color="auto"/>
              <w:left w:val="single" w:sz="6" w:space="0" w:color="auto"/>
              <w:bottom w:val="single" w:sz="6" w:space="0" w:color="auto"/>
              <w:right w:val="single" w:sz="6" w:space="0" w:color="auto"/>
            </w:tcBorders>
          </w:tcPr>
          <w:p w14:paraId="17AF31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15/УП</w:t>
            </w:r>
          </w:p>
        </w:tc>
        <w:tc>
          <w:tcPr>
            <w:tcW w:w="1943" w:type="dxa"/>
            <w:tcBorders>
              <w:top w:val="single" w:sz="6" w:space="0" w:color="auto"/>
              <w:left w:val="single" w:sz="6" w:space="0" w:color="auto"/>
              <w:bottom w:val="single" w:sz="6" w:space="0" w:color="auto"/>
              <w:right w:val="single" w:sz="12" w:space="0" w:color="auto"/>
            </w:tcBorders>
          </w:tcPr>
          <w:p w14:paraId="371972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договор с ГАУ ВВС</w:t>
            </w:r>
          </w:p>
        </w:tc>
      </w:tr>
      <w:tr w:rsidR="007D5DF8" w:rsidRPr="00DB5D0D" w14:paraId="6F31ECBC"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009C46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1133" w:type="dxa"/>
            <w:tcBorders>
              <w:top w:val="single" w:sz="6" w:space="0" w:color="auto"/>
              <w:left w:val="single" w:sz="6" w:space="0" w:color="auto"/>
              <w:bottom w:val="single" w:sz="6" w:space="0" w:color="auto"/>
              <w:right w:val="single" w:sz="6" w:space="0" w:color="auto"/>
            </w:tcBorders>
          </w:tcPr>
          <w:p w14:paraId="063E6A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607</w:t>
            </w:r>
          </w:p>
        </w:tc>
        <w:tc>
          <w:tcPr>
            <w:tcW w:w="998" w:type="dxa"/>
            <w:tcBorders>
              <w:top w:val="single" w:sz="6" w:space="0" w:color="auto"/>
              <w:left w:val="single" w:sz="6" w:space="0" w:color="auto"/>
              <w:bottom w:val="single" w:sz="6" w:space="0" w:color="auto"/>
              <w:right w:val="single" w:sz="6" w:space="0" w:color="auto"/>
            </w:tcBorders>
          </w:tcPr>
          <w:p w14:paraId="23762A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50000</w:t>
            </w:r>
          </w:p>
        </w:tc>
        <w:tc>
          <w:tcPr>
            <w:tcW w:w="2454" w:type="dxa"/>
            <w:tcBorders>
              <w:top w:val="single" w:sz="6" w:space="0" w:color="auto"/>
              <w:left w:val="single" w:sz="6" w:space="0" w:color="auto"/>
              <w:bottom w:val="single" w:sz="6" w:space="0" w:color="auto"/>
              <w:right w:val="single" w:sz="6" w:space="0" w:color="auto"/>
            </w:tcBorders>
          </w:tcPr>
          <w:p w14:paraId="075A3E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А-7 №</w:t>
            </w:r>
            <w:r w:rsidRPr="00DB5D0D">
              <w:rPr>
                <w:rFonts w:ascii="Times New Roman" w:hAnsi="Times New Roman"/>
                <w:smallCaps/>
                <w:color w:val="000000" w:themeColor="text1"/>
                <w:sz w:val="16"/>
                <w:szCs w:val="16"/>
              </w:rPr>
              <w:t xml:space="preserve"> 3</w:t>
            </w:r>
          </w:p>
        </w:tc>
        <w:tc>
          <w:tcPr>
            <w:tcW w:w="1640" w:type="dxa"/>
            <w:tcBorders>
              <w:top w:val="single" w:sz="6" w:space="0" w:color="auto"/>
              <w:left w:val="single" w:sz="6" w:space="0" w:color="auto"/>
              <w:bottom w:val="single" w:sz="6" w:space="0" w:color="auto"/>
              <w:right w:val="single" w:sz="6" w:space="0" w:color="auto"/>
            </w:tcBorders>
          </w:tcPr>
          <w:p w14:paraId="2C28BB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31B27C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911" w:type="dxa"/>
            <w:tcBorders>
              <w:top w:val="single" w:sz="6" w:space="0" w:color="auto"/>
              <w:left w:val="single" w:sz="6" w:space="0" w:color="auto"/>
              <w:bottom w:val="single" w:sz="6" w:space="0" w:color="auto"/>
              <w:right w:val="single" w:sz="6" w:space="0" w:color="auto"/>
            </w:tcBorders>
          </w:tcPr>
          <w:p w14:paraId="276D38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15/УП</w:t>
            </w:r>
          </w:p>
        </w:tc>
        <w:tc>
          <w:tcPr>
            <w:tcW w:w="1943" w:type="dxa"/>
            <w:tcBorders>
              <w:top w:val="single" w:sz="6" w:space="0" w:color="auto"/>
              <w:left w:val="single" w:sz="6" w:space="0" w:color="auto"/>
              <w:bottom w:val="single" w:sz="6" w:space="0" w:color="auto"/>
              <w:right w:val="single" w:sz="12" w:space="0" w:color="auto"/>
            </w:tcBorders>
          </w:tcPr>
          <w:p w14:paraId="241907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договор с ГАУ ВВС</w:t>
            </w:r>
          </w:p>
        </w:tc>
      </w:tr>
      <w:tr w:rsidR="007D5DF8" w:rsidRPr="00DB5D0D" w14:paraId="31067B20"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6953D5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c>
          <w:tcPr>
            <w:tcW w:w="1133" w:type="dxa"/>
            <w:tcBorders>
              <w:top w:val="single" w:sz="6" w:space="0" w:color="auto"/>
              <w:left w:val="single" w:sz="6" w:space="0" w:color="auto"/>
              <w:bottom w:val="single" w:sz="6" w:space="0" w:color="auto"/>
              <w:right w:val="single" w:sz="6" w:space="0" w:color="auto"/>
            </w:tcBorders>
          </w:tcPr>
          <w:p w14:paraId="503858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607</w:t>
            </w:r>
          </w:p>
        </w:tc>
        <w:tc>
          <w:tcPr>
            <w:tcW w:w="998" w:type="dxa"/>
            <w:tcBorders>
              <w:top w:val="single" w:sz="6" w:space="0" w:color="auto"/>
              <w:left w:val="single" w:sz="6" w:space="0" w:color="auto"/>
              <w:bottom w:val="single" w:sz="6" w:space="0" w:color="auto"/>
              <w:right w:val="single" w:sz="6" w:space="0" w:color="auto"/>
            </w:tcBorders>
          </w:tcPr>
          <w:p w14:paraId="1CB101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50000</w:t>
            </w:r>
          </w:p>
        </w:tc>
        <w:tc>
          <w:tcPr>
            <w:tcW w:w="2454" w:type="dxa"/>
            <w:tcBorders>
              <w:top w:val="single" w:sz="6" w:space="0" w:color="auto"/>
              <w:left w:val="single" w:sz="6" w:space="0" w:color="auto"/>
              <w:bottom w:val="single" w:sz="6" w:space="0" w:color="auto"/>
              <w:right w:val="single" w:sz="6" w:space="0" w:color="auto"/>
            </w:tcBorders>
          </w:tcPr>
          <w:p w14:paraId="4D9F30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А-7 №</w:t>
            </w:r>
            <w:r w:rsidRPr="00DB5D0D">
              <w:rPr>
                <w:rFonts w:ascii="Times New Roman" w:hAnsi="Times New Roman"/>
                <w:smallCaps/>
                <w:color w:val="000000" w:themeColor="text1"/>
                <w:sz w:val="16"/>
                <w:szCs w:val="16"/>
              </w:rPr>
              <w:t xml:space="preserve"> 4</w:t>
            </w:r>
          </w:p>
        </w:tc>
        <w:tc>
          <w:tcPr>
            <w:tcW w:w="1640" w:type="dxa"/>
            <w:tcBorders>
              <w:top w:val="single" w:sz="6" w:space="0" w:color="auto"/>
              <w:left w:val="single" w:sz="6" w:space="0" w:color="auto"/>
              <w:bottom w:val="single" w:sz="6" w:space="0" w:color="auto"/>
              <w:right w:val="single" w:sz="6" w:space="0" w:color="auto"/>
            </w:tcBorders>
          </w:tcPr>
          <w:p w14:paraId="6F0331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68A1E4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1911" w:type="dxa"/>
            <w:tcBorders>
              <w:top w:val="single" w:sz="6" w:space="0" w:color="auto"/>
              <w:left w:val="single" w:sz="6" w:space="0" w:color="auto"/>
              <w:bottom w:val="single" w:sz="6" w:space="0" w:color="auto"/>
              <w:right w:val="single" w:sz="6" w:space="0" w:color="auto"/>
            </w:tcBorders>
          </w:tcPr>
          <w:p w14:paraId="25BD17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15/УШ</w:t>
            </w:r>
          </w:p>
        </w:tc>
        <w:tc>
          <w:tcPr>
            <w:tcW w:w="1943" w:type="dxa"/>
            <w:tcBorders>
              <w:top w:val="single" w:sz="6" w:space="0" w:color="auto"/>
              <w:left w:val="single" w:sz="6" w:space="0" w:color="auto"/>
              <w:bottom w:val="single" w:sz="6" w:space="0" w:color="auto"/>
              <w:right w:val="single" w:sz="12" w:space="0" w:color="auto"/>
            </w:tcBorders>
          </w:tcPr>
          <w:p w14:paraId="62389D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договор с ГАУ ВВС</w:t>
            </w:r>
          </w:p>
        </w:tc>
      </w:tr>
      <w:tr w:rsidR="007D5DF8" w:rsidRPr="00DB5D0D" w14:paraId="5C8F273E"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60AE3C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w:t>
            </w:r>
          </w:p>
        </w:tc>
        <w:tc>
          <w:tcPr>
            <w:tcW w:w="1133" w:type="dxa"/>
            <w:tcBorders>
              <w:top w:val="single" w:sz="6" w:space="0" w:color="auto"/>
              <w:left w:val="single" w:sz="6" w:space="0" w:color="auto"/>
              <w:bottom w:val="single" w:sz="6" w:space="0" w:color="auto"/>
              <w:right w:val="single" w:sz="6" w:space="0" w:color="auto"/>
            </w:tcBorders>
          </w:tcPr>
          <w:p w14:paraId="175BF3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607</w:t>
            </w:r>
          </w:p>
        </w:tc>
        <w:tc>
          <w:tcPr>
            <w:tcW w:w="998" w:type="dxa"/>
            <w:tcBorders>
              <w:top w:val="single" w:sz="6" w:space="0" w:color="auto"/>
              <w:left w:val="single" w:sz="6" w:space="0" w:color="auto"/>
              <w:bottom w:val="single" w:sz="6" w:space="0" w:color="auto"/>
              <w:right w:val="single" w:sz="6" w:space="0" w:color="auto"/>
            </w:tcBorders>
          </w:tcPr>
          <w:p w14:paraId="3DA899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50000</w:t>
            </w:r>
          </w:p>
        </w:tc>
        <w:tc>
          <w:tcPr>
            <w:tcW w:w="2454" w:type="dxa"/>
            <w:tcBorders>
              <w:top w:val="single" w:sz="6" w:space="0" w:color="auto"/>
              <w:left w:val="single" w:sz="6" w:space="0" w:color="auto"/>
              <w:bottom w:val="single" w:sz="6" w:space="0" w:color="auto"/>
              <w:right w:val="single" w:sz="6" w:space="0" w:color="auto"/>
            </w:tcBorders>
          </w:tcPr>
          <w:p w14:paraId="082789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А-7 №</w:t>
            </w:r>
            <w:r w:rsidRPr="00DB5D0D">
              <w:rPr>
                <w:rFonts w:ascii="Times New Roman" w:hAnsi="Times New Roman"/>
                <w:smallCaps/>
                <w:color w:val="000000" w:themeColor="text1"/>
                <w:sz w:val="16"/>
                <w:szCs w:val="16"/>
              </w:rPr>
              <w:t xml:space="preserve"> 5</w:t>
            </w:r>
          </w:p>
        </w:tc>
        <w:tc>
          <w:tcPr>
            <w:tcW w:w="1640" w:type="dxa"/>
            <w:tcBorders>
              <w:top w:val="single" w:sz="6" w:space="0" w:color="auto"/>
              <w:left w:val="single" w:sz="6" w:space="0" w:color="auto"/>
              <w:bottom w:val="single" w:sz="6" w:space="0" w:color="auto"/>
              <w:right w:val="single" w:sz="6" w:space="0" w:color="auto"/>
            </w:tcBorders>
          </w:tcPr>
          <w:p w14:paraId="6FD874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5E08B1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1911" w:type="dxa"/>
            <w:tcBorders>
              <w:top w:val="single" w:sz="6" w:space="0" w:color="auto"/>
              <w:left w:val="single" w:sz="6" w:space="0" w:color="auto"/>
              <w:bottom w:val="single" w:sz="6" w:space="0" w:color="auto"/>
              <w:right w:val="single" w:sz="6" w:space="0" w:color="auto"/>
            </w:tcBorders>
          </w:tcPr>
          <w:p w14:paraId="0E9B06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15/Ш</w:t>
            </w:r>
          </w:p>
        </w:tc>
        <w:tc>
          <w:tcPr>
            <w:tcW w:w="1943" w:type="dxa"/>
            <w:tcBorders>
              <w:top w:val="single" w:sz="6" w:space="0" w:color="auto"/>
              <w:left w:val="single" w:sz="6" w:space="0" w:color="auto"/>
              <w:bottom w:val="single" w:sz="6" w:space="0" w:color="auto"/>
              <w:right w:val="single" w:sz="12" w:space="0" w:color="auto"/>
            </w:tcBorders>
          </w:tcPr>
          <w:p w14:paraId="6C6793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договор с ГАУ ВВС</w:t>
            </w:r>
          </w:p>
        </w:tc>
      </w:tr>
      <w:tr w:rsidR="007D5DF8" w:rsidRPr="00DB5D0D" w14:paraId="0CBE5DF7"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7AE158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c>
          <w:tcPr>
            <w:tcW w:w="1133" w:type="dxa"/>
            <w:tcBorders>
              <w:top w:val="single" w:sz="6" w:space="0" w:color="auto"/>
              <w:left w:val="single" w:sz="6" w:space="0" w:color="auto"/>
              <w:bottom w:val="single" w:sz="6" w:space="0" w:color="auto"/>
              <w:right w:val="single" w:sz="6" w:space="0" w:color="auto"/>
            </w:tcBorders>
          </w:tcPr>
          <w:p w14:paraId="320764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711</w:t>
            </w:r>
          </w:p>
        </w:tc>
        <w:tc>
          <w:tcPr>
            <w:tcW w:w="998" w:type="dxa"/>
            <w:tcBorders>
              <w:top w:val="single" w:sz="6" w:space="0" w:color="auto"/>
              <w:left w:val="single" w:sz="6" w:space="0" w:color="auto"/>
              <w:bottom w:val="single" w:sz="6" w:space="0" w:color="auto"/>
              <w:right w:val="single" w:sz="6" w:space="0" w:color="auto"/>
            </w:tcBorders>
          </w:tcPr>
          <w:p w14:paraId="60B828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2454" w:type="dxa"/>
            <w:tcBorders>
              <w:top w:val="single" w:sz="6" w:space="0" w:color="auto"/>
              <w:left w:val="single" w:sz="6" w:space="0" w:color="auto"/>
              <w:bottom w:val="single" w:sz="6" w:space="0" w:color="auto"/>
              <w:right w:val="single" w:sz="6" w:space="0" w:color="auto"/>
            </w:tcBorders>
          </w:tcPr>
          <w:p w14:paraId="1406C8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Геликопт. ЭА-11</w:t>
            </w:r>
          </w:p>
        </w:tc>
        <w:tc>
          <w:tcPr>
            <w:tcW w:w="1640" w:type="dxa"/>
            <w:tcBorders>
              <w:top w:val="single" w:sz="6" w:space="0" w:color="auto"/>
              <w:left w:val="single" w:sz="6" w:space="0" w:color="auto"/>
              <w:bottom w:val="single" w:sz="6" w:space="0" w:color="auto"/>
              <w:right w:val="single" w:sz="6" w:space="0" w:color="auto"/>
            </w:tcBorders>
          </w:tcPr>
          <w:p w14:paraId="63464C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1AF8B7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911" w:type="dxa"/>
            <w:tcBorders>
              <w:top w:val="single" w:sz="6" w:space="0" w:color="auto"/>
              <w:left w:val="single" w:sz="6" w:space="0" w:color="auto"/>
              <w:bottom w:val="single" w:sz="6" w:space="0" w:color="auto"/>
              <w:right w:val="single" w:sz="6" w:space="0" w:color="auto"/>
            </w:tcBorders>
          </w:tcPr>
          <w:p w14:paraId="529C19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15/Х</w:t>
            </w:r>
          </w:p>
        </w:tc>
        <w:tc>
          <w:tcPr>
            <w:tcW w:w="1943" w:type="dxa"/>
            <w:tcBorders>
              <w:top w:val="single" w:sz="6" w:space="0" w:color="auto"/>
              <w:left w:val="single" w:sz="6" w:space="0" w:color="auto"/>
              <w:bottom w:val="single" w:sz="6" w:space="0" w:color="auto"/>
              <w:right w:val="single" w:sz="12" w:space="0" w:color="auto"/>
            </w:tcBorders>
          </w:tcPr>
          <w:p w14:paraId="498EF7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договор с МАИ</w:t>
            </w:r>
          </w:p>
        </w:tc>
      </w:tr>
      <w:tr w:rsidR="007D5DF8" w:rsidRPr="00DB5D0D" w14:paraId="324B8EE9"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7E277F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133" w:type="dxa"/>
            <w:tcBorders>
              <w:top w:val="single" w:sz="6" w:space="0" w:color="auto"/>
              <w:left w:val="single" w:sz="6" w:space="0" w:color="auto"/>
              <w:bottom w:val="single" w:sz="6" w:space="0" w:color="auto"/>
              <w:right w:val="single" w:sz="6" w:space="0" w:color="auto"/>
            </w:tcBorders>
          </w:tcPr>
          <w:p w14:paraId="4C65A3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608</w:t>
            </w:r>
          </w:p>
        </w:tc>
        <w:tc>
          <w:tcPr>
            <w:tcW w:w="998" w:type="dxa"/>
            <w:tcBorders>
              <w:top w:val="single" w:sz="6" w:space="0" w:color="auto"/>
              <w:left w:val="single" w:sz="6" w:space="0" w:color="auto"/>
              <w:bottom w:val="single" w:sz="6" w:space="0" w:color="auto"/>
              <w:right w:val="single" w:sz="6" w:space="0" w:color="auto"/>
            </w:tcBorders>
          </w:tcPr>
          <w:p w14:paraId="723719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40000</w:t>
            </w:r>
          </w:p>
        </w:tc>
        <w:tc>
          <w:tcPr>
            <w:tcW w:w="2454" w:type="dxa"/>
            <w:tcBorders>
              <w:top w:val="single" w:sz="6" w:space="0" w:color="auto"/>
              <w:left w:val="single" w:sz="6" w:space="0" w:color="auto"/>
              <w:bottom w:val="single" w:sz="6" w:space="0" w:color="auto"/>
              <w:right w:val="single" w:sz="6" w:space="0" w:color="auto"/>
            </w:tcBorders>
          </w:tcPr>
          <w:p w14:paraId="46E913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 части к А-7</w:t>
            </w:r>
          </w:p>
        </w:tc>
        <w:tc>
          <w:tcPr>
            <w:tcW w:w="1640" w:type="dxa"/>
            <w:tcBorders>
              <w:top w:val="single" w:sz="6" w:space="0" w:color="auto"/>
              <w:left w:val="single" w:sz="6" w:space="0" w:color="auto"/>
              <w:bottom w:val="single" w:sz="6" w:space="0" w:color="auto"/>
              <w:right w:val="single" w:sz="6" w:space="0" w:color="auto"/>
            </w:tcBorders>
          </w:tcPr>
          <w:p w14:paraId="76AD30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6D39D9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1911" w:type="dxa"/>
            <w:tcBorders>
              <w:top w:val="single" w:sz="6" w:space="0" w:color="auto"/>
              <w:left w:val="single" w:sz="6" w:space="0" w:color="auto"/>
              <w:bottom w:val="single" w:sz="6" w:space="0" w:color="auto"/>
              <w:right w:val="single" w:sz="6" w:space="0" w:color="auto"/>
            </w:tcBorders>
          </w:tcPr>
          <w:p w14:paraId="5F5208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1/XI</w:t>
            </w:r>
          </w:p>
        </w:tc>
        <w:tc>
          <w:tcPr>
            <w:tcW w:w="1943" w:type="dxa"/>
            <w:tcBorders>
              <w:top w:val="single" w:sz="6" w:space="0" w:color="auto"/>
              <w:left w:val="single" w:sz="6" w:space="0" w:color="auto"/>
              <w:bottom w:val="single" w:sz="6" w:space="0" w:color="auto"/>
              <w:right w:val="single" w:sz="12" w:space="0" w:color="auto"/>
            </w:tcBorders>
          </w:tcPr>
          <w:p w14:paraId="6913A9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договор с МАИ</w:t>
            </w:r>
          </w:p>
        </w:tc>
      </w:tr>
      <w:tr w:rsidR="007D5DF8" w:rsidRPr="00DB5D0D" w14:paraId="3402FCD5"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17B63E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1133" w:type="dxa"/>
            <w:tcBorders>
              <w:top w:val="single" w:sz="6" w:space="0" w:color="auto"/>
              <w:left w:val="single" w:sz="6" w:space="0" w:color="auto"/>
              <w:bottom w:val="single" w:sz="6" w:space="0" w:color="auto"/>
              <w:right w:val="single" w:sz="6" w:space="0" w:color="auto"/>
            </w:tcBorders>
          </w:tcPr>
          <w:p w14:paraId="457B89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w:t>
            </w:r>
          </w:p>
        </w:tc>
        <w:tc>
          <w:tcPr>
            <w:tcW w:w="998" w:type="dxa"/>
            <w:tcBorders>
              <w:top w:val="single" w:sz="6" w:space="0" w:color="auto"/>
              <w:left w:val="single" w:sz="6" w:space="0" w:color="auto"/>
              <w:bottom w:val="single" w:sz="6" w:space="0" w:color="auto"/>
              <w:right w:val="single" w:sz="6" w:space="0" w:color="auto"/>
            </w:tcBorders>
          </w:tcPr>
          <w:p w14:paraId="2F5AC9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40000</w:t>
            </w:r>
          </w:p>
        </w:tc>
        <w:tc>
          <w:tcPr>
            <w:tcW w:w="2454" w:type="dxa"/>
            <w:tcBorders>
              <w:top w:val="single" w:sz="6" w:space="0" w:color="auto"/>
              <w:left w:val="single" w:sz="6" w:space="0" w:color="auto"/>
              <w:bottom w:val="single" w:sz="6" w:space="0" w:color="auto"/>
              <w:right w:val="single" w:sz="6" w:space="0" w:color="auto"/>
            </w:tcBorders>
          </w:tcPr>
          <w:p w14:paraId="48F373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 Крыло зак. 150, Зап. Шасси зак. 150</w:t>
            </w:r>
          </w:p>
        </w:tc>
        <w:tc>
          <w:tcPr>
            <w:tcW w:w="1640" w:type="dxa"/>
            <w:tcBorders>
              <w:top w:val="single" w:sz="6" w:space="0" w:color="auto"/>
              <w:left w:val="single" w:sz="6" w:space="0" w:color="auto"/>
              <w:bottom w:val="single" w:sz="6" w:space="0" w:color="auto"/>
              <w:right w:val="single" w:sz="6" w:space="0" w:color="auto"/>
            </w:tcBorders>
          </w:tcPr>
          <w:p w14:paraId="3E9E10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50E9FF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3BEEE3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15/Х</w:t>
            </w:r>
          </w:p>
        </w:tc>
        <w:tc>
          <w:tcPr>
            <w:tcW w:w="1943" w:type="dxa"/>
            <w:tcBorders>
              <w:top w:val="single" w:sz="6" w:space="0" w:color="auto"/>
              <w:left w:val="single" w:sz="6" w:space="0" w:color="auto"/>
              <w:bottom w:val="single" w:sz="6" w:space="0" w:color="auto"/>
              <w:right w:val="single" w:sz="12" w:space="0" w:color="auto"/>
            </w:tcBorders>
          </w:tcPr>
          <w:p w14:paraId="56AC88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218сс 04.08.39</w:t>
            </w:r>
          </w:p>
        </w:tc>
      </w:tr>
      <w:tr w:rsidR="007D5DF8" w:rsidRPr="00DB5D0D" w14:paraId="7D366C70"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71AA37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w:t>
            </w:r>
          </w:p>
        </w:tc>
        <w:tc>
          <w:tcPr>
            <w:tcW w:w="1133" w:type="dxa"/>
            <w:tcBorders>
              <w:top w:val="single" w:sz="6" w:space="0" w:color="auto"/>
              <w:left w:val="single" w:sz="6" w:space="0" w:color="auto"/>
              <w:bottom w:val="single" w:sz="6" w:space="0" w:color="auto"/>
              <w:right w:val="single" w:sz="6" w:space="0" w:color="auto"/>
            </w:tcBorders>
          </w:tcPr>
          <w:p w14:paraId="2A20AF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617</w:t>
            </w:r>
          </w:p>
        </w:tc>
        <w:tc>
          <w:tcPr>
            <w:tcW w:w="998" w:type="dxa"/>
            <w:tcBorders>
              <w:top w:val="single" w:sz="6" w:space="0" w:color="auto"/>
              <w:left w:val="single" w:sz="6" w:space="0" w:color="auto"/>
              <w:bottom w:val="single" w:sz="6" w:space="0" w:color="auto"/>
              <w:right w:val="single" w:sz="6" w:space="0" w:color="auto"/>
            </w:tcBorders>
          </w:tcPr>
          <w:p w14:paraId="42F4C9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15000</w:t>
            </w:r>
          </w:p>
        </w:tc>
        <w:tc>
          <w:tcPr>
            <w:tcW w:w="2454" w:type="dxa"/>
            <w:tcBorders>
              <w:top w:val="single" w:sz="6" w:space="0" w:color="auto"/>
              <w:left w:val="single" w:sz="6" w:space="0" w:color="auto"/>
              <w:bottom w:val="single" w:sz="6" w:space="0" w:color="auto"/>
              <w:right w:val="single" w:sz="6" w:space="0" w:color="auto"/>
            </w:tcBorders>
          </w:tcPr>
          <w:p w14:paraId="43DFFC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Автожир КБ-19 (завод № 289)</w:t>
            </w:r>
          </w:p>
        </w:tc>
        <w:tc>
          <w:tcPr>
            <w:tcW w:w="1640" w:type="dxa"/>
            <w:tcBorders>
              <w:top w:val="single" w:sz="6" w:space="0" w:color="auto"/>
              <w:left w:val="single" w:sz="6" w:space="0" w:color="auto"/>
              <w:bottom w:val="single" w:sz="6" w:space="0" w:color="auto"/>
              <w:right w:val="single" w:sz="6" w:space="0" w:color="auto"/>
            </w:tcBorders>
          </w:tcPr>
          <w:p w14:paraId="02D3FF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107" w:type="dxa"/>
            <w:tcBorders>
              <w:top w:val="single" w:sz="6" w:space="0" w:color="auto"/>
              <w:left w:val="single" w:sz="6" w:space="0" w:color="auto"/>
              <w:bottom w:val="single" w:sz="6" w:space="0" w:color="auto"/>
              <w:right w:val="single" w:sz="6" w:space="0" w:color="auto"/>
            </w:tcBorders>
          </w:tcPr>
          <w:p w14:paraId="1A06F1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175DD9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1/У-41</w:t>
            </w:r>
          </w:p>
        </w:tc>
        <w:tc>
          <w:tcPr>
            <w:tcW w:w="1943" w:type="dxa"/>
            <w:tcBorders>
              <w:top w:val="single" w:sz="6" w:space="0" w:color="auto"/>
              <w:left w:val="single" w:sz="6" w:space="0" w:color="auto"/>
              <w:bottom w:val="single" w:sz="6" w:space="0" w:color="auto"/>
              <w:right w:val="single" w:sz="12" w:space="0" w:color="auto"/>
            </w:tcBorders>
          </w:tcPr>
          <w:p w14:paraId="065EC8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1/УП</w:t>
            </w:r>
          </w:p>
        </w:tc>
      </w:tr>
      <w:tr w:rsidR="007D5DF8" w:rsidRPr="00DB5D0D" w14:paraId="1B96E4DB"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2BEAEF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w:t>
            </w:r>
          </w:p>
        </w:tc>
        <w:tc>
          <w:tcPr>
            <w:tcW w:w="1133" w:type="dxa"/>
            <w:tcBorders>
              <w:top w:val="single" w:sz="6" w:space="0" w:color="auto"/>
              <w:left w:val="single" w:sz="6" w:space="0" w:color="auto"/>
              <w:bottom w:val="single" w:sz="6" w:space="0" w:color="auto"/>
              <w:right w:val="single" w:sz="6" w:space="0" w:color="auto"/>
            </w:tcBorders>
          </w:tcPr>
          <w:p w14:paraId="6EEB95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c>
          <w:tcPr>
            <w:tcW w:w="998" w:type="dxa"/>
            <w:tcBorders>
              <w:top w:val="single" w:sz="6" w:space="0" w:color="auto"/>
              <w:left w:val="single" w:sz="6" w:space="0" w:color="auto"/>
              <w:bottom w:val="single" w:sz="6" w:space="0" w:color="auto"/>
              <w:right w:val="single" w:sz="6" w:space="0" w:color="auto"/>
            </w:tcBorders>
          </w:tcPr>
          <w:p w14:paraId="5EDF77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110000</w:t>
            </w:r>
          </w:p>
        </w:tc>
        <w:tc>
          <w:tcPr>
            <w:tcW w:w="2454" w:type="dxa"/>
            <w:tcBorders>
              <w:top w:val="single" w:sz="6" w:space="0" w:color="auto"/>
              <w:left w:val="single" w:sz="6" w:space="0" w:color="auto"/>
              <w:bottom w:val="single" w:sz="6" w:space="0" w:color="auto"/>
              <w:right w:val="single" w:sz="6" w:space="0" w:color="auto"/>
            </w:tcBorders>
          </w:tcPr>
          <w:p w14:paraId="3DEEA3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Крылья БОК-15 5 шт.</w:t>
            </w:r>
          </w:p>
        </w:tc>
        <w:tc>
          <w:tcPr>
            <w:tcW w:w="1640" w:type="dxa"/>
            <w:tcBorders>
              <w:top w:val="single" w:sz="6" w:space="0" w:color="auto"/>
              <w:left w:val="single" w:sz="6" w:space="0" w:color="auto"/>
              <w:bottom w:val="single" w:sz="6" w:space="0" w:color="auto"/>
              <w:right w:val="single" w:sz="6" w:space="0" w:color="auto"/>
            </w:tcBorders>
          </w:tcPr>
          <w:p w14:paraId="070ACE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44A152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w:t>
            </w:r>
          </w:p>
        </w:tc>
        <w:tc>
          <w:tcPr>
            <w:tcW w:w="1911" w:type="dxa"/>
            <w:tcBorders>
              <w:top w:val="single" w:sz="6" w:space="0" w:color="auto"/>
              <w:left w:val="single" w:sz="6" w:space="0" w:color="auto"/>
              <w:bottom w:val="single" w:sz="6" w:space="0" w:color="auto"/>
              <w:right w:val="single" w:sz="6" w:space="0" w:color="auto"/>
            </w:tcBorders>
          </w:tcPr>
          <w:p w14:paraId="7BDA79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Закрыт НКАП</w:t>
            </w:r>
          </w:p>
        </w:tc>
        <w:tc>
          <w:tcPr>
            <w:tcW w:w="1943" w:type="dxa"/>
            <w:tcBorders>
              <w:top w:val="single" w:sz="6" w:space="0" w:color="auto"/>
              <w:left w:val="single" w:sz="6" w:space="0" w:color="auto"/>
              <w:bottom w:val="single" w:sz="6" w:space="0" w:color="auto"/>
              <w:right w:val="single" w:sz="12" w:space="0" w:color="auto"/>
            </w:tcBorders>
          </w:tcPr>
          <w:p w14:paraId="076DD5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5DDC7E1"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06D655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1133" w:type="dxa"/>
            <w:tcBorders>
              <w:top w:val="single" w:sz="6" w:space="0" w:color="auto"/>
              <w:left w:val="single" w:sz="6" w:space="0" w:color="auto"/>
              <w:bottom w:val="single" w:sz="6" w:space="0" w:color="auto"/>
              <w:right w:val="single" w:sz="6" w:space="0" w:color="auto"/>
            </w:tcBorders>
          </w:tcPr>
          <w:p w14:paraId="678A26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1818</w:t>
            </w:r>
          </w:p>
        </w:tc>
        <w:tc>
          <w:tcPr>
            <w:tcW w:w="998" w:type="dxa"/>
            <w:tcBorders>
              <w:top w:val="single" w:sz="6" w:space="0" w:color="auto"/>
              <w:left w:val="single" w:sz="6" w:space="0" w:color="auto"/>
              <w:bottom w:val="single" w:sz="6" w:space="0" w:color="auto"/>
              <w:right w:val="single" w:sz="6" w:space="0" w:color="auto"/>
            </w:tcBorders>
          </w:tcPr>
          <w:p w14:paraId="39FF2D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42000</w:t>
            </w:r>
          </w:p>
        </w:tc>
        <w:tc>
          <w:tcPr>
            <w:tcW w:w="2454" w:type="dxa"/>
            <w:tcBorders>
              <w:top w:val="single" w:sz="6" w:space="0" w:color="auto"/>
              <w:left w:val="single" w:sz="6" w:space="0" w:color="auto"/>
              <w:bottom w:val="single" w:sz="6" w:space="0" w:color="auto"/>
              <w:right w:val="single" w:sz="6" w:space="0" w:color="auto"/>
            </w:tcBorders>
          </w:tcPr>
          <w:p w14:paraId="0D8A66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Вентилятор ля Т-106</w:t>
            </w:r>
          </w:p>
        </w:tc>
        <w:tc>
          <w:tcPr>
            <w:tcW w:w="1640" w:type="dxa"/>
            <w:tcBorders>
              <w:top w:val="single" w:sz="6" w:space="0" w:color="auto"/>
              <w:left w:val="single" w:sz="6" w:space="0" w:color="auto"/>
              <w:bottom w:val="single" w:sz="6" w:space="0" w:color="auto"/>
              <w:right w:val="single" w:sz="6" w:space="0" w:color="auto"/>
            </w:tcBorders>
          </w:tcPr>
          <w:p w14:paraId="117907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6B2124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911" w:type="dxa"/>
            <w:tcBorders>
              <w:top w:val="single" w:sz="6" w:space="0" w:color="auto"/>
              <w:left w:val="single" w:sz="6" w:space="0" w:color="auto"/>
              <w:bottom w:val="single" w:sz="6" w:space="0" w:color="auto"/>
              <w:right w:val="single" w:sz="6" w:space="0" w:color="auto"/>
            </w:tcBorders>
          </w:tcPr>
          <w:p w14:paraId="717A41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1/УШ</w:t>
            </w:r>
          </w:p>
        </w:tc>
        <w:tc>
          <w:tcPr>
            <w:tcW w:w="1943" w:type="dxa"/>
            <w:tcBorders>
              <w:top w:val="single" w:sz="6" w:space="0" w:color="auto"/>
              <w:left w:val="single" w:sz="6" w:space="0" w:color="auto"/>
              <w:bottom w:val="single" w:sz="6" w:space="0" w:color="auto"/>
              <w:right w:val="single" w:sz="12" w:space="0" w:color="auto"/>
            </w:tcBorders>
          </w:tcPr>
          <w:p w14:paraId="7A4075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274сс 10.06.40</w:t>
            </w:r>
          </w:p>
        </w:tc>
      </w:tr>
      <w:tr w:rsidR="007D5DF8" w:rsidRPr="00DB5D0D" w14:paraId="644CA3E1"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7849B0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1133" w:type="dxa"/>
            <w:tcBorders>
              <w:top w:val="single" w:sz="6" w:space="0" w:color="auto"/>
              <w:left w:val="single" w:sz="6" w:space="0" w:color="auto"/>
              <w:bottom w:val="single" w:sz="6" w:space="0" w:color="auto"/>
              <w:right w:val="single" w:sz="6" w:space="0" w:color="auto"/>
            </w:tcBorders>
          </w:tcPr>
          <w:p w14:paraId="3E1136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3809</w:t>
            </w:r>
          </w:p>
        </w:tc>
        <w:tc>
          <w:tcPr>
            <w:tcW w:w="998" w:type="dxa"/>
            <w:tcBorders>
              <w:top w:val="single" w:sz="6" w:space="0" w:color="auto"/>
              <w:left w:val="single" w:sz="6" w:space="0" w:color="auto"/>
              <w:bottom w:val="single" w:sz="6" w:space="0" w:color="auto"/>
              <w:right w:val="single" w:sz="6" w:space="0" w:color="auto"/>
            </w:tcBorders>
          </w:tcPr>
          <w:p w14:paraId="357671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24000</w:t>
            </w:r>
          </w:p>
        </w:tc>
        <w:tc>
          <w:tcPr>
            <w:tcW w:w="2454" w:type="dxa"/>
            <w:tcBorders>
              <w:top w:val="single" w:sz="6" w:space="0" w:color="auto"/>
              <w:left w:val="single" w:sz="6" w:space="0" w:color="auto"/>
              <w:bottom w:val="single" w:sz="6" w:space="0" w:color="auto"/>
              <w:right w:val="single" w:sz="6" w:space="0" w:color="auto"/>
            </w:tcBorders>
          </w:tcPr>
          <w:p w14:paraId="1BDCF3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Детали шасси завода № 135</w:t>
            </w:r>
          </w:p>
        </w:tc>
        <w:tc>
          <w:tcPr>
            <w:tcW w:w="1640" w:type="dxa"/>
            <w:tcBorders>
              <w:top w:val="single" w:sz="6" w:space="0" w:color="auto"/>
              <w:left w:val="single" w:sz="6" w:space="0" w:color="auto"/>
              <w:bottom w:val="single" w:sz="6" w:space="0" w:color="auto"/>
              <w:right w:val="single" w:sz="6" w:space="0" w:color="auto"/>
            </w:tcBorders>
          </w:tcPr>
          <w:p w14:paraId="068273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55A1D9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w:t>
            </w:r>
          </w:p>
        </w:tc>
        <w:tc>
          <w:tcPr>
            <w:tcW w:w="1911" w:type="dxa"/>
            <w:tcBorders>
              <w:top w:val="single" w:sz="6" w:space="0" w:color="auto"/>
              <w:left w:val="single" w:sz="6" w:space="0" w:color="auto"/>
              <w:bottom w:val="single" w:sz="6" w:space="0" w:color="auto"/>
              <w:right w:val="single" w:sz="6" w:space="0" w:color="auto"/>
            </w:tcBorders>
          </w:tcPr>
          <w:p w14:paraId="3D1127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15/УI</w:t>
            </w:r>
          </w:p>
        </w:tc>
        <w:tc>
          <w:tcPr>
            <w:tcW w:w="1943" w:type="dxa"/>
            <w:tcBorders>
              <w:top w:val="single" w:sz="6" w:space="0" w:color="auto"/>
              <w:left w:val="single" w:sz="6" w:space="0" w:color="auto"/>
              <w:bottom w:val="single" w:sz="6" w:space="0" w:color="auto"/>
              <w:right w:val="single" w:sz="12" w:space="0" w:color="auto"/>
            </w:tcBorders>
          </w:tcPr>
          <w:p w14:paraId="561AFC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E084B79"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6B37CD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w:t>
            </w:r>
          </w:p>
        </w:tc>
        <w:tc>
          <w:tcPr>
            <w:tcW w:w="1133" w:type="dxa"/>
            <w:tcBorders>
              <w:top w:val="single" w:sz="6" w:space="0" w:color="auto"/>
              <w:left w:val="single" w:sz="6" w:space="0" w:color="auto"/>
              <w:bottom w:val="single" w:sz="6" w:space="0" w:color="auto"/>
              <w:right w:val="single" w:sz="6" w:space="0" w:color="auto"/>
            </w:tcBorders>
          </w:tcPr>
          <w:p w14:paraId="56C5FF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401</w:t>
            </w:r>
          </w:p>
        </w:tc>
        <w:tc>
          <w:tcPr>
            <w:tcW w:w="998" w:type="dxa"/>
            <w:tcBorders>
              <w:top w:val="single" w:sz="6" w:space="0" w:color="auto"/>
              <w:left w:val="single" w:sz="6" w:space="0" w:color="auto"/>
              <w:bottom w:val="single" w:sz="6" w:space="0" w:color="auto"/>
              <w:right w:val="single" w:sz="6" w:space="0" w:color="auto"/>
            </w:tcBorders>
          </w:tcPr>
          <w:p w14:paraId="04E988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170000</w:t>
            </w:r>
          </w:p>
        </w:tc>
        <w:tc>
          <w:tcPr>
            <w:tcW w:w="2454" w:type="dxa"/>
            <w:tcBorders>
              <w:top w:val="single" w:sz="6" w:space="0" w:color="auto"/>
              <w:left w:val="single" w:sz="6" w:space="0" w:color="auto"/>
              <w:bottom w:val="single" w:sz="6" w:space="0" w:color="auto"/>
              <w:right w:val="single" w:sz="6" w:space="0" w:color="auto"/>
            </w:tcBorders>
          </w:tcPr>
          <w:p w14:paraId="0E25C2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Опытные работы по сам. 103</w:t>
            </w:r>
          </w:p>
        </w:tc>
        <w:tc>
          <w:tcPr>
            <w:tcW w:w="1640" w:type="dxa"/>
            <w:tcBorders>
              <w:top w:val="single" w:sz="6" w:space="0" w:color="auto"/>
              <w:left w:val="single" w:sz="6" w:space="0" w:color="auto"/>
              <w:bottom w:val="single" w:sz="6" w:space="0" w:color="auto"/>
              <w:right w:val="single" w:sz="6" w:space="0" w:color="auto"/>
            </w:tcBorders>
          </w:tcPr>
          <w:p w14:paraId="59AC56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438F97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76B47F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43" w:type="dxa"/>
            <w:tcBorders>
              <w:top w:val="single" w:sz="6" w:space="0" w:color="auto"/>
              <w:left w:val="single" w:sz="6" w:space="0" w:color="auto"/>
              <w:bottom w:val="single" w:sz="6" w:space="0" w:color="auto"/>
              <w:right w:val="single" w:sz="12" w:space="0" w:color="auto"/>
            </w:tcBorders>
          </w:tcPr>
          <w:p w14:paraId="058BC4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6884921"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7F444A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w:t>
            </w:r>
          </w:p>
        </w:tc>
        <w:tc>
          <w:tcPr>
            <w:tcW w:w="1133" w:type="dxa"/>
            <w:tcBorders>
              <w:top w:val="single" w:sz="6" w:space="0" w:color="auto"/>
              <w:left w:val="single" w:sz="6" w:space="0" w:color="auto"/>
              <w:bottom w:val="single" w:sz="6" w:space="0" w:color="auto"/>
              <w:right w:val="single" w:sz="6" w:space="0" w:color="auto"/>
            </w:tcBorders>
          </w:tcPr>
          <w:p w14:paraId="79EEFA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998" w:type="dxa"/>
            <w:tcBorders>
              <w:top w:val="single" w:sz="6" w:space="0" w:color="auto"/>
              <w:left w:val="single" w:sz="6" w:space="0" w:color="auto"/>
              <w:bottom w:val="single" w:sz="6" w:space="0" w:color="auto"/>
              <w:right w:val="single" w:sz="6" w:space="0" w:color="auto"/>
            </w:tcBorders>
          </w:tcPr>
          <w:p w14:paraId="600C9A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170000</w:t>
            </w:r>
          </w:p>
        </w:tc>
        <w:tc>
          <w:tcPr>
            <w:tcW w:w="2454" w:type="dxa"/>
            <w:tcBorders>
              <w:top w:val="single" w:sz="6" w:space="0" w:color="auto"/>
              <w:left w:val="single" w:sz="6" w:space="0" w:color="auto"/>
              <w:bottom w:val="single" w:sz="6" w:space="0" w:color="auto"/>
              <w:right w:val="single" w:sz="6" w:space="0" w:color="auto"/>
            </w:tcBorders>
          </w:tcPr>
          <w:p w14:paraId="5E7EBC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Опытные работы по сам. 102</w:t>
            </w:r>
          </w:p>
        </w:tc>
        <w:tc>
          <w:tcPr>
            <w:tcW w:w="1640" w:type="dxa"/>
            <w:tcBorders>
              <w:top w:val="single" w:sz="6" w:space="0" w:color="auto"/>
              <w:left w:val="single" w:sz="6" w:space="0" w:color="auto"/>
              <w:bottom w:val="single" w:sz="6" w:space="0" w:color="auto"/>
              <w:right w:val="single" w:sz="6" w:space="0" w:color="auto"/>
            </w:tcBorders>
          </w:tcPr>
          <w:p w14:paraId="3F0B2F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2B3813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21460E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43" w:type="dxa"/>
            <w:tcBorders>
              <w:top w:val="single" w:sz="6" w:space="0" w:color="auto"/>
              <w:left w:val="single" w:sz="6" w:space="0" w:color="auto"/>
              <w:bottom w:val="single" w:sz="6" w:space="0" w:color="auto"/>
              <w:right w:val="single" w:sz="12" w:space="0" w:color="auto"/>
            </w:tcBorders>
          </w:tcPr>
          <w:p w14:paraId="17A095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E4E7228"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356A1F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w:t>
            </w:r>
          </w:p>
        </w:tc>
        <w:tc>
          <w:tcPr>
            <w:tcW w:w="1133" w:type="dxa"/>
            <w:tcBorders>
              <w:top w:val="single" w:sz="6" w:space="0" w:color="auto"/>
              <w:left w:val="single" w:sz="6" w:space="0" w:color="auto"/>
              <w:bottom w:val="single" w:sz="6" w:space="0" w:color="auto"/>
              <w:right w:val="single" w:sz="6" w:space="0" w:color="auto"/>
            </w:tcBorders>
          </w:tcPr>
          <w:p w14:paraId="434DFB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402</w:t>
            </w:r>
          </w:p>
        </w:tc>
        <w:tc>
          <w:tcPr>
            <w:tcW w:w="998" w:type="dxa"/>
            <w:tcBorders>
              <w:top w:val="single" w:sz="6" w:space="0" w:color="auto"/>
              <w:left w:val="single" w:sz="6" w:space="0" w:color="auto"/>
              <w:bottom w:val="single" w:sz="6" w:space="0" w:color="auto"/>
              <w:right w:val="single" w:sz="6" w:space="0" w:color="auto"/>
            </w:tcBorders>
          </w:tcPr>
          <w:p w14:paraId="21B72F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25000</w:t>
            </w:r>
          </w:p>
        </w:tc>
        <w:tc>
          <w:tcPr>
            <w:tcW w:w="2454" w:type="dxa"/>
            <w:tcBorders>
              <w:top w:val="single" w:sz="6" w:space="0" w:color="auto"/>
              <w:left w:val="single" w:sz="6" w:space="0" w:color="auto"/>
              <w:bottom w:val="single" w:sz="6" w:space="0" w:color="auto"/>
              <w:right w:val="single" w:sz="6" w:space="0" w:color="auto"/>
            </w:tcBorders>
          </w:tcPr>
          <w:p w14:paraId="0B94EA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Опытные работы КБ 17</w:t>
            </w:r>
          </w:p>
        </w:tc>
        <w:tc>
          <w:tcPr>
            <w:tcW w:w="1640" w:type="dxa"/>
            <w:tcBorders>
              <w:top w:val="single" w:sz="6" w:space="0" w:color="auto"/>
              <w:left w:val="single" w:sz="6" w:space="0" w:color="auto"/>
              <w:bottom w:val="single" w:sz="6" w:space="0" w:color="auto"/>
              <w:right w:val="single" w:sz="6" w:space="0" w:color="auto"/>
            </w:tcBorders>
          </w:tcPr>
          <w:p w14:paraId="6AFDB5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223106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4DD8C7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43" w:type="dxa"/>
            <w:tcBorders>
              <w:top w:val="single" w:sz="6" w:space="0" w:color="auto"/>
              <w:left w:val="single" w:sz="6" w:space="0" w:color="auto"/>
              <w:bottom w:val="single" w:sz="6" w:space="0" w:color="auto"/>
              <w:right w:val="single" w:sz="12" w:space="0" w:color="auto"/>
            </w:tcBorders>
          </w:tcPr>
          <w:p w14:paraId="1074DC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E1C42B9"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527E54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1133" w:type="dxa"/>
            <w:tcBorders>
              <w:top w:val="single" w:sz="6" w:space="0" w:color="auto"/>
              <w:left w:val="single" w:sz="6" w:space="0" w:color="auto"/>
              <w:bottom w:val="single" w:sz="6" w:space="0" w:color="auto"/>
              <w:right w:val="single" w:sz="6" w:space="0" w:color="auto"/>
            </w:tcBorders>
          </w:tcPr>
          <w:p w14:paraId="538548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98" w:type="dxa"/>
            <w:tcBorders>
              <w:top w:val="single" w:sz="6" w:space="0" w:color="auto"/>
              <w:left w:val="single" w:sz="6" w:space="0" w:color="auto"/>
              <w:bottom w:val="single" w:sz="6" w:space="0" w:color="auto"/>
              <w:right w:val="single" w:sz="6" w:space="0" w:color="auto"/>
            </w:tcBorders>
          </w:tcPr>
          <w:p w14:paraId="3B3B23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100000</w:t>
            </w:r>
          </w:p>
        </w:tc>
        <w:tc>
          <w:tcPr>
            <w:tcW w:w="2454" w:type="dxa"/>
            <w:tcBorders>
              <w:top w:val="single" w:sz="6" w:space="0" w:color="auto"/>
              <w:left w:val="single" w:sz="6" w:space="0" w:color="auto"/>
              <w:bottom w:val="single" w:sz="6" w:space="0" w:color="auto"/>
              <w:right w:val="single" w:sz="6" w:space="0" w:color="auto"/>
            </w:tcBorders>
          </w:tcPr>
          <w:p w14:paraId="66D481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Доволдки по летным испытаниям заказов 350, 332, 333, 309, 310, 320, 711, 413, 424, 415, 422</w:t>
            </w:r>
          </w:p>
        </w:tc>
        <w:tc>
          <w:tcPr>
            <w:tcW w:w="1640" w:type="dxa"/>
            <w:tcBorders>
              <w:top w:val="single" w:sz="6" w:space="0" w:color="auto"/>
              <w:left w:val="single" w:sz="6" w:space="0" w:color="auto"/>
              <w:bottom w:val="single" w:sz="6" w:space="0" w:color="auto"/>
              <w:right w:val="single" w:sz="6" w:space="0" w:color="auto"/>
            </w:tcBorders>
          </w:tcPr>
          <w:p w14:paraId="016AD4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7A6D33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4A4B99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43" w:type="dxa"/>
            <w:tcBorders>
              <w:top w:val="single" w:sz="6" w:space="0" w:color="auto"/>
              <w:left w:val="single" w:sz="6" w:space="0" w:color="auto"/>
              <w:bottom w:val="single" w:sz="6" w:space="0" w:color="auto"/>
              <w:right w:val="single" w:sz="12" w:space="0" w:color="auto"/>
            </w:tcBorders>
          </w:tcPr>
          <w:p w14:paraId="514779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DBD88B3"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5D3888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w:t>
            </w:r>
          </w:p>
        </w:tc>
        <w:tc>
          <w:tcPr>
            <w:tcW w:w="1133" w:type="dxa"/>
            <w:tcBorders>
              <w:top w:val="single" w:sz="6" w:space="0" w:color="auto"/>
              <w:left w:val="single" w:sz="6" w:space="0" w:color="auto"/>
              <w:bottom w:val="single" w:sz="6" w:space="0" w:color="auto"/>
              <w:right w:val="single" w:sz="6" w:space="0" w:color="auto"/>
            </w:tcBorders>
          </w:tcPr>
          <w:p w14:paraId="5CE11E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98" w:type="dxa"/>
            <w:tcBorders>
              <w:top w:val="single" w:sz="6" w:space="0" w:color="auto"/>
              <w:left w:val="single" w:sz="6" w:space="0" w:color="auto"/>
              <w:bottom w:val="single" w:sz="6" w:space="0" w:color="auto"/>
              <w:right w:val="single" w:sz="6" w:space="0" w:color="auto"/>
            </w:tcBorders>
          </w:tcPr>
          <w:p w14:paraId="435D29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25000</w:t>
            </w:r>
          </w:p>
        </w:tc>
        <w:tc>
          <w:tcPr>
            <w:tcW w:w="2454" w:type="dxa"/>
            <w:tcBorders>
              <w:top w:val="single" w:sz="6" w:space="0" w:color="auto"/>
              <w:left w:val="single" w:sz="6" w:space="0" w:color="auto"/>
              <w:bottom w:val="single" w:sz="6" w:space="0" w:color="auto"/>
              <w:right w:val="single" w:sz="6" w:space="0" w:color="auto"/>
            </w:tcBorders>
          </w:tcPr>
          <w:p w14:paraId="681331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Доводки и сдача глиссера Г-8</w:t>
            </w:r>
          </w:p>
        </w:tc>
        <w:tc>
          <w:tcPr>
            <w:tcW w:w="1640" w:type="dxa"/>
            <w:tcBorders>
              <w:top w:val="single" w:sz="6" w:space="0" w:color="auto"/>
              <w:left w:val="single" w:sz="6" w:space="0" w:color="auto"/>
              <w:bottom w:val="single" w:sz="6" w:space="0" w:color="auto"/>
              <w:right w:val="single" w:sz="6" w:space="0" w:color="auto"/>
            </w:tcBorders>
          </w:tcPr>
          <w:p w14:paraId="434E7E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07" w:type="dxa"/>
            <w:tcBorders>
              <w:top w:val="single" w:sz="6" w:space="0" w:color="auto"/>
              <w:left w:val="single" w:sz="6" w:space="0" w:color="auto"/>
              <w:bottom w:val="single" w:sz="6" w:space="0" w:color="auto"/>
              <w:right w:val="single" w:sz="6" w:space="0" w:color="auto"/>
            </w:tcBorders>
          </w:tcPr>
          <w:p w14:paraId="354830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2D7B05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43" w:type="dxa"/>
            <w:tcBorders>
              <w:top w:val="single" w:sz="6" w:space="0" w:color="auto"/>
              <w:left w:val="single" w:sz="6" w:space="0" w:color="auto"/>
              <w:bottom w:val="single" w:sz="6" w:space="0" w:color="auto"/>
              <w:right w:val="single" w:sz="12" w:space="0" w:color="auto"/>
            </w:tcBorders>
          </w:tcPr>
          <w:p w14:paraId="638D45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6B599D0"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2B31FF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42</w:t>
            </w:r>
          </w:p>
        </w:tc>
        <w:tc>
          <w:tcPr>
            <w:tcW w:w="1133" w:type="dxa"/>
            <w:tcBorders>
              <w:top w:val="single" w:sz="6" w:space="0" w:color="auto"/>
              <w:left w:val="single" w:sz="6" w:space="0" w:color="auto"/>
              <w:bottom w:val="single" w:sz="6" w:space="0" w:color="auto"/>
              <w:right w:val="single" w:sz="6" w:space="0" w:color="auto"/>
            </w:tcBorders>
          </w:tcPr>
          <w:p w14:paraId="38355E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98" w:type="dxa"/>
            <w:tcBorders>
              <w:top w:val="single" w:sz="6" w:space="0" w:color="auto"/>
              <w:left w:val="single" w:sz="6" w:space="0" w:color="auto"/>
              <w:bottom w:val="single" w:sz="6" w:space="0" w:color="auto"/>
              <w:right w:val="single" w:sz="6" w:space="0" w:color="auto"/>
            </w:tcBorders>
          </w:tcPr>
          <w:p w14:paraId="72736D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200000</w:t>
            </w:r>
          </w:p>
        </w:tc>
        <w:tc>
          <w:tcPr>
            <w:tcW w:w="2454" w:type="dxa"/>
            <w:tcBorders>
              <w:top w:val="single" w:sz="6" w:space="0" w:color="auto"/>
              <w:left w:val="single" w:sz="6" w:space="0" w:color="auto"/>
              <w:bottom w:val="single" w:sz="6" w:space="0" w:color="auto"/>
              <w:right w:val="single" w:sz="6" w:space="0" w:color="auto"/>
            </w:tcBorders>
          </w:tcPr>
          <w:p w14:paraId="5143AB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 для 3-х лиц по договорам</w:t>
            </w:r>
          </w:p>
        </w:tc>
        <w:tc>
          <w:tcPr>
            <w:tcW w:w="1640" w:type="dxa"/>
            <w:tcBorders>
              <w:top w:val="single" w:sz="6" w:space="0" w:color="auto"/>
              <w:left w:val="single" w:sz="6" w:space="0" w:color="auto"/>
              <w:bottom w:val="single" w:sz="6" w:space="0" w:color="auto"/>
              <w:right w:val="single" w:sz="6" w:space="0" w:color="auto"/>
            </w:tcBorders>
          </w:tcPr>
          <w:p w14:paraId="2C11F2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07" w:type="dxa"/>
            <w:tcBorders>
              <w:top w:val="single" w:sz="6" w:space="0" w:color="auto"/>
              <w:left w:val="single" w:sz="6" w:space="0" w:color="auto"/>
              <w:bottom w:val="single" w:sz="6" w:space="0" w:color="auto"/>
              <w:right w:val="single" w:sz="6" w:space="0" w:color="auto"/>
            </w:tcBorders>
          </w:tcPr>
          <w:p w14:paraId="478043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1EAA70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43" w:type="dxa"/>
            <w:tcBorders>
              <w:top w:val="single" w:sz="6" w:space="0" w:color="auto"/>
              <w:left w:val="single" w:sz="6" w:space="0" w:color="auto"/>
              <w:bottom w:val="single" w:sz="6" w:space="0" w:color="auto"/>
              <w:right w:val="single" w:sz="12" w:space="0" w:color="auto"/>
            </w:tcBorders>
          </w:tcPr>
          <w:p w14:paraId="0BB340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1E777C0" w14:textId="77777777" w:rsidTr="009223E5">
        <w:trPr>
          <w:trHeight w:val="566"/>
        </w:trPr>
        <w:tc>
          <w:tcPr>
            <w:tcW w:w="749" w:type="dxa"/>
            <w:tcBorders>
              <w:top w:val="single" w:sz="6" w:space="0" w:color="auto"/>
              <w:left w:val="single" w:sz="12" w:space="0" w:color="auto"/>
              <w:bottom w:val="single" w:sz="6" w:space="0" w:color="auto"/>
              <w:right w:val="single" w:sz="6" w:space="0" w:color="auto"/>
            </w:tcBorders>
          </w:tcPr>
          <w:p w14:paraId="2FDABF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133" w:type="dxa"/>
            <w:tcBorders>
              <w:top w:val="single" w:sz="6" w:space="0" w:color="auto"/>
              <w:left w:val="single" w:sz="6" w:space="0" w:color="auto"/>
              <w:bottom w:val="single" w:sz="6" w:space="0" w:color="auto"/>
              <w:right w:val="single" w:sz="6" w:space="0" w:color="auto"/>
            </w:tcBorders>
          </w:tcPr>
          <w:p w14:paraId="75EB53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98" w:type="dxa"/>
            <w:tcBorders>
              <w:top w:val="single" w:sz="6" w:space="0" w:color="auto"/>
              <w:left w:val="single" w:sz="6" w:space="0" w:color="auto"/>
              <w:bottom w:val="single" w:sz="6" w:space="0" w:color="auto"/>
              <w:right w:val="single" w:sz="6" w:space="0" w:color="auto"/>
            </w:tcBorders>
          </w:tcPr>
          <w:p w14:paraId="5FE8BE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54" w:type="dxa"/>
            <w:tcBorders>
              <w:top w:val="single" w:sz="6" w:space="0" w:color="auto"/>
              <w:left w:val="single" w:sz="6" w:space="0" w:color="auto"/>
              <w:bottom w:val="single" w:sz="6" w:space="0" w:color="auto"/>
              <w:right w:val="single" w:sz="6" w:space="0" w:color="auto"/>
            </w:tcBorders>
          </w:tcPr>
          <w:p w14:paraId="7EEE2B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чертежей для серии по заказам 385, 380, 359</w:t>
            </w:r>
          </w:p>
        </w:tc>
        <w:tc>
          <w:tcPr>
            <w:tcW w:w="1640" w:type="dxa"/>
            <w:tcBorders>
              <w:top w:val="single" w:sz="6" w:space="0" w:color="auto"/>
              <w:left w:val="single" w:sz="6" w:space="0" w:color="auto"/>
              <w:bottom w:val="single" w:sz="6" w:space="0" w:color="auto"/>
              <w:right w:val="single" w:sz="6" w:space="0" w:color="auto"/>
            </w:tcBorders>
          </w:tcPr>
          <w:p w14:paraId="12104E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07" w:type="dxa"/>
            <w:tcBorders>
              <w:top w:val="single" w:sz="6" w:space="0" w:color="auto"/>
              <w:left w:val="single" w:sz="6" w:space="0" w:color="auto"/>
              <w:bottom w:val="single" w:sz="6" w:space="0" w:color="auto"/>
              <w:right w:val="single" w:sz="6" w:space="0" w:color="auto"/>
            </w:tcBorders>
          </w:tcPr>
          <w:p w14:paraId="169E37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11" w:type="dxa"/>
            <w:tcBorders>
              <w:top w:val="single" w:sz="6" w:space="0" w:color="auto"/>
              <w:left w:val="single" w:sz="6" w:space="0" w:color="auto"/>
              <w:bottom w:val="single" w:sz="6" w:space="0" w:color="auto"/>
              <w:right w:val="single" w:sz="6" w:space="0" w:color="auto"/>
            </w:tcBorders>
          </w:tcPr>
          <w:p w14:paraId="4EB738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943" w:type="dxa"/>
            <w:tcBorders>
              <w:top w:val="single" w:sz="6" w:space="0" w:color="auto"/>
              <w:left w:val="single" w:sz="6" w:space="0" w:color="auto"/>
              <w:bottom w:val="single" w:sz="6" w:space="0" w:color="auto"/>
              <w:right w:val="single" w:sz="12" w:space="0" w:color="auto"/>
            </w:tcBorders>
          </w:tcPr>
          <w:p w14:paraId="660326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47E9D6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4100000</w:t>
      </w:r>
    </w:p>
    <w:p w14:paraId="70D2AB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требуется для выполнения заданий на 1940 4100000, наличие мощностей - 300000, недостает 1100000</w:t>
      </w:r>
    </w:p>
    <w:p w14:paraId="5D147E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647ED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 по приказу № 280сс на заводе им. КПГ, переведенном из НКОМ в НКАП (далее это - завод № 487 НКАП им. КПГ), был образован Опытный отдел по проектированию и изготовлению опытных образцов установок стрелкового вооружения. В этот отдел в полном составе переведено КБ-3 И.П. Шебанова, а также некоторое количество личного состава и оборудования завода № 32. Далее это ОКБ действовало при заводе № 487.</w:t>
      </w:r>
    </w:p>
    <w:p w14:paraId="406648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1936 г. бригада № 12 КОСОС ЦАГИ по артиллерийско-стрелковым установкам И.П. Шебанова переведена на завод № 32.</w:t>
      </w:r>
    </w:p>
    <w:p w14:paraId="2EEBFD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(1938-40 г.)- И.П. Шебанов (11982).</w:t>
      </w:r>
    </w:p>
    <w:p w14:paraId="2E79588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46B8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 по приказу № 280сс на заводе им. КПГ был образован Опытный отдел по проектированию и изготовлению опытных образцов установок стрелкового вооружения (ОКБ завода № 487 НКАП, ОКБ-487 НКАП гл. конструктора И.П. Шебанова). Сюда в. полном составе переведена с завода № 32 бригада КБ-3 гл. конструктора И.П. Шебанова, а также часть оборудования с завода № 32, и образовано КБ при заводе под его руководством (ОКБ-487). Начальник опытного цеха- А.А. Ляпин, его зам.- К.А. Бацын.</w:t>
      </w:r>
    </w:p>
    <w:p w14:paraId="341FA3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установкам вооружения: установка ШКАС для Пе-2 и «103».</w:t>
      </w:r>
    </w:p>
    <w:p w14:paraId="3CD4BD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32/35 от 13.10.1941 г. ОКБ-487 7ГУ гл. конструктора И.П. Шебанова вместе с частью завода эвакуировано на территорию завода № 454 НКАП в Куйбышев и продолжило работу под названием ОКБ-454 (11982).</w:t>
      </w:r>
    </w:p>
    <w:p w14:paraId="48878ABC" w14:textId="77777777" w:rsidR="0038388D" w:rsidRPr="00DB5D0D" w:rsidRDefault="0038388D" w:rsidP="00DB5D0D">
      <w:pPr>
        <w:spacing w:after="0" w:line="240" w:lineRule="auto"/>
        <w:jc w:val="both"/>
        <w:rPr>
          <w:rFonts w:ascii="Times New Roman" w:hAnsi="Times New Roman"/>
          <w:color w:val="000000" w:themeColor="text1"/>
          <w:sz w:val="16"/>
          <w:szCs w:val="16"/>
        </w:rPr>
      </w:pPr>
    </w:p>
    <w:p w14:paraId="12E233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 начальник НИП АВ ВВС полковник Шевченко и военком НИП АВ ВВС ст. политрук Ангенов утвердили:</w:t>
      </w:r>
    </w:p>
    <w:p w14:paraId="0AD9C4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контрольным испытаниям универсальных посадочных шашек оранжевого дыма (УПШ-2).</w:t>
      </w:r>
    </w:p>
    <w:p w14:paraId="5F66F2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 9 мая 1940 года</w:t>
      </w:r>
    </w:p>
    <w:p w14:paraId="0B835A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13 мая 1940 года</w:t>
      </w:r>
    </w:p>
    <w:p w14:paraId="493B59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04EA05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20DCFAD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возможные изменения боевых качеств УПШ-2 опытной партии после хранения в складских условиях в течении трех лет.</w:t>
      </w:r>
    </w:p>
    <w:p w14:paraId="588F97B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видимость дымволны по дальности от УПШ-2 с самолета и возможность определения направления ветра для посадки самолета.</w:t>
      </w:r>
    </w:p>
    <w:p w14:paraId="17BD30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FEB85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Универсальные посадочные шашки оранжевого дыма (УПШ) после трехлетнего хранения в складских условиях к работе пригодны (7539).</w:t>
      </w:r>
    </w:p>
    <w:p w14:paraId="195D211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CC2F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 на НИП АВ ГУАС закончились полигонные испытания ампул диаметром 123 мм со взрывателями конструкции завода № 145 на самолете СБ, которые проходили с 22 мая 1940</w:t>
      </w:r>
    </w:p>
    <w:p w14:paraId="4833E8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0A5F8D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4 отделения опытного отдела НИП АВ ГУАС Комарницкий</w:t>
      </w:r>
    </w:p>
    <w:p w14:paraId="0ECF97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CF2673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характер и надежность действия конструкции ампул со взрывателями.</w:t>
      </w:r>
    </w:p>
    <w:p w14:paraId="0A6F025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площадь заражения, получаемую При разрыве ампул.</w:t>
      </w:r>
    </w:p>
    <w:p w14:paraId="5FB9E7D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характер дробления жидкости от разрыва ампул.</w:t>
      </w:r>
    </w:p>
    <w:p w14:paraId="7A004FA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эксплуатационные качества ампул.</w:t>
      </w:r>
    </w:p>
    <w:p w14:paraId="78FD12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FC7785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заводом № 145 ампулы диаметром 123 мм со взрывателями, как показавшие невысокую боевую эффективность и небезопасность в эксплуатации полигонные испытания не выдержали (7821).</w:t>
      </w:r>
    </w:p>
    <w:p w14:paraId="425FDBF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7287A9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НКЛеспром Сергеев писал письмо № 4/1748сс ПРЕДСЕДАТЕЛЮ КОМИТЕТА ОБОРОНЫ Тов. ВОРОШИЛОВУ К.Е.</w:t>
      </w:r>
    </w:p>
    <w:p w14:paraId="59766C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производства подвесных бензобаков для НКО и НКВМФ</w:t>
      </w:r>
    </w:p>
    <w:p w14:paraId="2F1C05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Комитета Обороны № 194сс ох 4/5-1940 г. Наркомлес СССР обязывается организовать производство клееных из бумаги подвесных бензобаков в районах: Комсомольска, Хабаровска, Читы, Владивостока и выпустить во 2-ом квартале с.г. по 500 шт. в каждой точке.</w:t>
      </w:r>
    </w:p>
    <w:p w14:paraId="610893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Наркомлес СССР начал организацию производства подвесных баков в районах Читы и Владивосхека с расчетом выпуска планов в 1940 г., в районе Хабаровска быстро организовахь это производство не представляется возможным, так как там нет отепленных помещений, которые совершенно необходимы для производства баков.</w:t>
      </w:r>
    </w:p>
    <w:p w14:paraId="210C36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того, чтобы обеспечить выпуск клееных бензобаков, со второй половины 1941 года, на Хабаровском лесозаводе с расчетом перевода завода в мирное время на выпуск гражданской продукции (ширпотреб - мебель), необходимо проивести капиталовложений на.сумму до двух миллионов рубл, (ориентировочно) на постройку отепленных производственных помещений, энергосиловых установок, складов и дополнительного жилстроительства.</w:t>
      </w:r>
    </w:p>
    <w:p w14:paraId="6C94BD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Комсомольске НКЛес не имеет никакого предприятия. Там имеются лесозаводы Наркомата Судостроительной Промышленности Наркомчермета, на которые можно возложить это задание. Или в крайнем случае можно организовать производство этих бензобаков на Малиновском заводе Главлесдрева Наркомлеса СССР, расположенном в пяти километрах от станции Бурея Амурской железной дороги, каковой по организации производства бензобаков аналогичен Хабаровскому лесозаводу и потребует капиталовложений до 2 млн. рублей.</w:t>
      </w:r>
    </w:p>
    <w:p w14:paraId="2145E6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случае, если Комитет Обороны не найдет возможным снять с Наркомлеса СССР часть задания по производству клееных подвесных бензобаков (в районах Хабаровска и Комсомольска) с передачей такового другим наркоматам, имеющим в этих районах промышленные предприятия, то прошу Вас:</w:t>
      </w:r>
    </w:p>
    <w:p w14:paraId="11B2A8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Поставить вопрос перед Экономсоветом при СНК СССР о выделении Наркомлесу СССР из резервного фонда Экономсовета в Ш и 1У-кварталах с/г. для проведения капитальных работ, связанных с организацией производства клееных бумажных подвесных бензобаков для переоборудования и оснащения цехов по производству бензобаков на Читинском лесозаводе и Океанском фанерном заводе 1200 тыс. рублей и на строительство спеццехов на Малиновском и Хабаровском лесозаводах 1500 тыс. рублей со сроком ввода их в эксплоатацию, во П квартале 1941 г., разрешив произ</w:t>
      </w:r>
      <w:r w:rsidRPr="00DB5D0D">
        <w:rPr>
          <w:rFonts w:ascii="Times New Roman" w:hAnsi="Times New Roman"/>
          <w:color w:val="000000" w:themeColor="text1"/>
          <w:sz w:val="16"/>
          <w:szCs w:val="16"/>
        </w:rPr>
        <w:softHyphen/>
        <w:t>водить пепеоборудование и строительство этих цехов бех технических проектов.</w:t>
      </w:r>
    </w:p>
    <w:p w14:paraId="0DF037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Госплан СССР: 1/ Предусмотреть в лимитах отпускаемых Наркомлесу СССР на 1941 год финансиро</w:t>
      </w:r>
      <w:r w:rsidRPr="00DB5D0D">
        <w:rPr>
          <w:rFonts w:ascii="Times New Roman" w:hAnsi="Times New Roman"/>
          <w:color w:val="000000" w:themeColor="text1"/>
          <w:sz w:val="16"/>
          <w:szCs w:val="16"/>
        </w:rPr>
        <w:softHyphen/>
        <w:t>вание окончания строительства спеццехов и дополнительного жилищного строительства по Малиновскому,.Хабаровскому и Читинскому лесозаводам в сумме 3000 тыс. руб.</w:t>
      </w:r>
    </w:p>
    <w:p w14:paraId="53955C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Выделить в Ш и 1У кварталах 1940 г. по заявкам НКЛеса СССР фонды на обооудование и материалы необходи</w:t>
      </w:r>
      <w:r w:rsidRPr="00DB5D0D">
        <w:rPr>
          <w:rFonts w:ascii="Times New Roman" w:hAnsi="Times New Roman"/>
          <w:color w:val="000000" w:themeColor="text1"/>
          <w:sz w:val="16"/>
          <w:szCs w:val="16"/>
        </w:rPr>
        <w:softHyphen/>
        <w:t>мые для организации производства подвесных бензобаков.</w:t>
      </w:r>
    </w:p>
    <w:p w14:paraId="240443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Изменить пункт 5 постановления Комитета Обороны № 194сс от 4/У-40 г. установив следующие сроки первого выпуска бензобаков:</w:t>
      </w:r>
    </w:p>
    <w:p w14:paraId="52A54E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Читинскому и Океанским заводам - Ш-кв. 1940 г.</w:t>
      </w:r>
    </w:p>
    <w:p w14:paraId="2ABD26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Хабаровскому и Малиновскому. заводам - П-кв. 1941 г. (10106,35).</w:t>
      </w:r>
    </w:p>
    <w:p w14:paraId="357CA8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A6BF3D7"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A76313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34B92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на территории артилле</w:t>
      </w:r>
      <w:r w:rsidRPr="00DB5D0D">
        <w:rPr>
          <w:rFonts w:ascii="Times New Roman" w:hAnsi="Times New Roman"/>
          <w:color w:val="000000" w:themeColor="text1"/>
          <w:sz w:val="16"/>
          <w:szCs w:val="16"/>
        </w:rPr>
        <w:softHyphen/>
        <w:t>рийского полигона под Ленинградом начались испытания КВ. В них участвовали два танка, вооруженных гаубицей М-10 , и один — с 76-мм пуш</w:t>
      </w:r>
      <w:r w:rsidRPr="00DB5D0D">
        <w:rPr>
          <w:rFonts w:ascii="Times New Roman" w:hAnsi="Times New Roman"/>
          <w:color w:val="000000" w:themeColor="text1"/>
          <w:sz w:val="16"/>
          <w:szCs w:val="16"/>
        </w:rPr>
        <w:softHyphen/>
        <w:t>кой Л-11. Интересно отметить, что среди указанных танков серийным был лишь один — У-21 с гаубицей М-10, тогда как машины У-1 и У-7 были еще предсерийными. Проводила ис</w:t>
      </w:r>
      <w:r w:rsidRPr="00DB5D0D">
        <w:rPr>
          <w:rFonts w:ascii="Times New Roman" w:hAnsi="Times New Roman"/>
          <w:color w:val="000000" w:themeColor="text1"/>
          <w:sz w:val="16"/>
          <w:szCs w:val="16"/>
        </w:rPr>
        <w:softHyphen/>
        <w:t>пытания комиссия АБТУ под председательством военинже-нера 1-го ранга Коробкова, которая констатировала, что за время испытаний танк У-1 прошел 2648 км, из них 1025 км по проселку и без дорог, машины же У-21 и У-7 1631 и 2050 км соответственно. За это время на танке У-1 было сменено два двигателя В-2, на машинах У-21 и У-7 - по одному. В результате в машинах было обнаружено такое коли</w:t>
      </w:r>
      <w:r w:rsidRPr="00DB5D0D">
        <w:rPr>
          <w:rFonts w:ascii="Times New Roman" w:hAnsi="Times New Roman"/>
          <w:color w:val="000000" w:themeColor="text1"/>
          <w:sz w:val="16"/>
          <w:szCs w:val="16"/>
        </w:rPr>
        <w:softHyphen/>
        <w:t>чество недостатков, что боеспособность танка КВ в сущес</w:t>
      </w:r>
      <w:r w:rsidRPr="00DB5D0D">
        <w:rPr>
          <w:rFonts w:ascii="Times New Roman" w:hAnsi="Times New Roman"/>
          <w:color w:val="000000" w:themeColor="text1"/>
          <w:sz w:val="16"/>
          <w:szCs w:val="16"/>
        </w:rPr>
        <w:softHyphen/>
        <w:t>твующем виде была подвергнута сомнению. Особенно много недостатков было обнаружено в дви</w:t>
      </w:r>
      <w:r w:rsidRPr="00DB5D0D">
        <w:rPr>
          <w:rFonts w:ascii="Times New Roman" w:hAnsi="Times New Roman"/>
          <w:color w:val="000000" w:themeColor="text1"/>
          <w:sz w:val="16"/>
          <w:szCs w:val="16"/>
        </w:rPr>
        <w:softHyphen/>
        <w:t>гателе и трансмиссии танка, и в частности в КПП и борто</w:t>
      </w:r>
      <w:r w:rsidRPr="00DB5D0D">
        <w:rPr>
          <w:rFonts w:ascii="Times New Roman" w:hAnsi="Times New Roman"/>
          <w:color w:val="000000" w:themeColor="text1"/>
          <w:sz w:val="16"/>
          <w:szCs w:val="16"/>
        </w:rPr>
        <w:softHyphen/>
        <w:t>вых передачах. При переключении передач в ходе движе</w:t>
      </w:r>
      <w:r w:rsidRPr="00DB5D0D">
        <w:rPr>
          <w:rFonts w:ascii="Times New Roman" w:hAnsi="Times New Roman"/>
          <w:color w:val="000000" w:themeColor="text1"/>
          <w:sz w:val="16"/>
          <w:szCs w:val="16"/>
        </w:rPr>
        <w:softHyphen/>
        <w:t>ния отмечались большие затруднения, вплоть до полной невозможности и поломки зубьев, особенно на самых рас</w:t>
      </w:r>
      <w:r w:rsidRPr="00DB5D0D">
        <w:rPr>
          <w:rFonts w:ascii="Times New Roman" w:hAnsi="Times New Roman"/>
          <w:color w:val="000000" w:themeColor="text1"/>
          <w:sz w:val="16"/>
          <w:szCs w:val="16"/>
        </w:rPr>
        <w:softHyphen/>
        <w:t xml:space="preserve">пространенных 2-4-й передачах. При длительном движе- -&lt; нии на 4-й передаче под нагрузкой она часто «вылетала», что приводило к невозможности ее фиксации, </w:t>
      </w:r>
      <w:r w:rsidRPr="00DB5D0D">
        <w:rPr>
          <w:rFonts w:ascii="Times New Roman" w:hAnsi="Times New Roman"/>
          <w:color w:val="000000" w:themeColor="text1"/>
          <w:sz w:val="16"/>
          <w:szCs w:val="16"/>
        </w:rPr>
        <w:lastRenderedPageBreak/>
        <w:t>так же как и сопряженной с ней 2-й передачи. Чтобы избежать этого, начиная с 31-го танка в конструкции КПП был введен спе</w:t>
      </w:r>
      <w:r w:rsidRPr="00DB5D0D">
        <w:rPr>
          <w:rFonts w:ascii="Times New Roman" w:hAnsi="Times New Roman"/>
          <w:color w:val="000000" w:themeColor="text1"/>
          <w:sz w:val="16"/>
          <w:szCs w:val="16"/>
        </w:rPr>
        <w:softHyphen/>
        <w:t>циальный замок-фиксатор. Кроме того, большие недостатки были обнаружены в системе охлаждения, так как при температуре окружающе</w:t>
      </w:r>
      <w:r w:rsidRPr="00DB5D0D">
        <w:rPr>
          <w:rFonts w:ascii="Times New Roman" w:hAnsi="Times New Roman"/>
          <w:color w:val="000000" w:themeColor="text1"/>
          <w:sz w:val="16"/>
          <w:szCs w:val="16"/>
        </w:rPr>
        <w:softHyphen/>
        <w:t>го воздуха более +20°С и длительном движении танка вода в радиаторе начинала кипеть, что требовало либо сниже</w:t>
      </w:r>
      <w:r w:rsidRPr="00DB5D0D">
        <w:rPr>
          <w:rFonts w:ascii="Times New Roman" w:hAnsi="Times New Roman"/>
          <w:color w:val="000000" w:themeColor="text1"/>
          <w:sz w:val="16"/>
          <w:szCs w:val="16"/>
        </w:rPr>
        <w:softHyphen/>
        <w:t>ния скорости движения, либо даже полной остановки. Из-за этого дефекта танк № У-7 не смог достичь скорости на мерном километре свыше 24 км/ч, тогда как, по расчетам, она должна была превышать 35 км/ч. Подлил масла в огонь и воздушный фильтр, который быстро засорялся от пыли и требовал чистки или смены уже через 1—1,5 часа после начала движения в колонне. «На закуску» отметились и другие узлы, которым в преж</w:t>
      </w:r>
      <w:r w:rsidRPr="00DB5D0D">
        <w:rPr>
          <w:rFonts w:ascii="Times New Roman" w:hAnsi="Times New Roman"/>
          <w:color w:val="000000" w:themeColor="text1"/>
          <w:sz w:val="16"/>
          <w:szCs w:val="16"/>
        </w:rPr>
        <w:softHyphen/>
        <w:t>ние годы внимания не уделяли. Например, поворотный ме</w:t>
      </w:r>
      <w:r w:rsidRPr="00DB5D0D">
        <w:rPr>
          <w:rFonts w:ascii="Times New Roman" w:hAnsi="Times New Roman"/>
          <w:color w:val="000000" w:themeColor="text1"/>
          <w:sz w:val="16"/>
          <w:szCs w:val="16"/>
        </w:rPr>
        <w:softHyphen/>
        <w:t>ханизм башни, спроектированный для пушечной башни танка Т-28 (массой около 3 т), с трудом справлялся с не вполне уравновешенной толстобронной башней КВ (массой около 7 т) и тем более КВ-2 (массой 12 т)! Электромоторы поворотных механизмов башен перегорали, на рукоятке по</w:t>
      </w:r>
      <w:r w:rsidRPr="00DB5D0D">
        <w:rPr>
          <w:rFonts w:ascii="Times New Roman" w:hAnsi="Times New Roman"/>
          <w:color w:val="000000" w:themeColor="text1"/>
          <w:sz w:val="16"/>
          <w:szCs w:val="16"/>
        </w:rPr>
        <w:softHyphen/>
        <w:t>воротного механизма фиксировались «чрезмерные усилия», практически полностью исключалась наводка орудия в дви</w:t>
      </w:r>
      <w:r w:rsidRPr="00DB5D0D">
        <w:rPr>
          <w:rFonts w:ascii="Times New Roman" w:hAnsi="Times New Roman"/>
          <w:color w:val="000000" w:themeColor="text1"/>
          <w:sz w:val="16"/>
          <w:szCs w:val="16"/>
        </w:rPr>
        <w:softHyphen/>
        <w:t>жении, так как плавность наводки была никуда не годной.</w:t>
      </w:r>
    </w:p>
    <w:p w14:paraId="1531D2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по испытаниям танка У-7 говорилось: «В це</w:t>
      </w:r>
      <w:r w:rsidRPr="00DB5D0D">
        <w:rPr>
          <w:rFonts w:ascii="Times New Roman" w:hAnsi="Times New Roman"/>
          <w:color w:val="000000" w:themeColor="text1"/>
          <w:sz w:val="16"/>
          <w:szCs w:val="16"/>
        </w:rPr>
        <w:softHyphen/>
        <w:t>лом машина КВ работоспособна, но обладает рядом узлов, ко</w:t>
      </w:r>
      <w:r w:rsidRPr="00DB5D0D">
        <w:rPr>
          <w:rFonts w:ascii="Times New Roman" w:hAnsi="Times New Roman"/>
          <w:color w:val="000000" w:themeColor="text1"/>
          <w:sz w:val="16"/>
          <w:szCs w:val="16"/>
        </w:rPr>
        <w:softHyphen/>
        <w:t>торые требуют срочной доводки. К таким узлам относятся коробка передан и бортовые фрикционы...</w:t>
      </w:r>
    </w:p>
    <w:p w14:paraId="3371FC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проводились лишь как ходовые, отсутство</w:t>
      </w:r>
      <w:r w:rsidRPr="00DB5D0D">
        <w:rPr>
          <w:rFonts w:ascii="Times New Roman" w:hAnsi="Times New Roman"/>
          <w:color w:val="000000" w:themeColor="text1"/>
          <w:sz w:val="16"/>
          <w:szCs w:val="16"/>
        </w:rPr>
        <w:softHyphen/>
        <w:t>вали специальные условия, как-то: заболоченные и лесные участки, водные преграды, искусственные препятствия, пыль. Кроме того, некоторый оттенок на испытания накладыеает непродолжительность по общем у времени. Таким образом, данные испытания не охватывают всех возможных рабочих положений машины в армейских' условиях- ее эксплуатации. Вследствие этого, надо полагать, данные испытания не выявили все слабые места машины». На основании результатов испытаний танков У-1, У-21 и У-7 летом 1940 года, Кировскому заводу был передан пе</w:t>
      </w:r>
      <w:r w:rsidRPr="00DB5D0D">
        <w:rPr>
          <w:rFonts w:ascii="Times New Roman" w:hAnsi="Times New Roman"/>
          <w:color w:val="000000" w:themeColor="text1"/>
          <w:sz w:val="16"/>
          <w:szCs w:val="16"/>
        </w:rPr>
        <w:softHyphen/>
        <w:t>речень изменений, которые необходимо было внести в конструкцию КВ (10782). Но СКБ-2 не успевало с ликвидацией обнаруженных не</w:t>
      </w:r>
      <w:r w:rsidRPr="00DB5D0D">
        <w:rPr>
          <w:rFonts w:ascii="Times New Roman" w:hAnsi="Times New Roman"/>
          <w:color w:val="000000" w:themeColor="text1"/>
          <w:sz w:val="16"/>
          <w:szCs w:val="16"/>
        </w:rPr>
        <w:softHyphen/>
        <w:t>достатков, а главное — технологи не успевали вносить изме</w:t>
      </w:r>
      <w:r w:rsidRPr="00DB5D0D">
        <w:rPr>
          <w:rFonts w:ascii="Times New Roman" w:hAnsi="Times New Roman"/>
          <w:color w:val="000000" w:themeColor="text1"/>
          <w:sz w:val="16"/>
          <w:szCs w:val="16"/>
        </w:rPr>
        <w:softHyphen/>
        <w:t>нения в ходе производства (10782).</w:t>
      </w:r>
    </w:p>
    <w:p w14:paraId="36FE68B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0380A1" w14:textId="77777777" w:rsidR="00990A0D" w:rsidRPr="00DB5D0D" w:rsidRDefault="00990A0D"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10 июня 1940 года начались заводские испытания тан</w:t>
      </w:r>
      <w:r w:rsidRPr="00DB5D0D">
        <w:rPr>
          <w:rFonts w:ascii="Times New Roman" w:cs="Times New Roman"/>
          <w:color w:val="000000" w:themeColor="text1"/>
          <w:spacing w:val="0"/>
        </w:rPr>
        <w:softHyphen/>
        <w:t xml:space="preserve">ка У-1 в районе Ленинграда, во время которых машина прошла 2648 км. Во второй половине июля испытывался танк У-21 со 152-мм гаубицей, а в августе — У-7 с 76-мм пушкой. Пробег У-21 и У-7 составил 1631 и 2050 км соответственно. В результате у танков </w:t>
      </w:r>
      <w:r w:rsidRPr="00DB5D0D">
        <w:rPr>
          <w:rFonts w:ascii="Times New Roman" w:cs="Times New Roman"/>
          <w:color w:val="000000" w:themeColor="text1"/>
          <w:spacing w:val="0"/>
          <w:lang w:val="en-US"/>
        </w:rPr>
        <w:t>KB</w:t>
      </w:r>
      <w:r w:rsidRPr="00DB5D0D">
        <w:rPr>
          <w:rFonts w:ascii="Times New Roman" w:cs="Times New Roman"/>
          <w:color w:val="000000" w:themeColor="text1"/>
          <w:spacing w:val="0"/>
        </w:rPr>
        <w:t xml:space="preserve"> были выявлены существенные недостатки в трансмис</w:t>
      </w:r>
      <w:r w:rsidRPr="00DB5D0D">
        <w:rPr>
          <w:rFonts w:ascii="Times New Roman" w:cs="Times New Roman"/>
          <w:color w:val="000000" w:themeColor="text1"/>
          <w:spacing w:val="0"/>
        </w:rPr>
        <w:softHyphen/>
        <w:t>сии, ходовой части и двигателе.</w:t>
      </w:r>
    </w:p>
    <w:p w14:paraId="766A8603" w14:textId="77777777" w:rsidR="00990A0D" w:rsidRPr="00DB5D0D" w:rsidRDefault="00990A0D"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Особенно много недочетов оказалось в конструкции трансмиссии, в частности, в коробке передач, надежность работы которой оставляла желать лучшего. В хо</w:t>
      </w:r>
      <w:r w:rsidRPr="00DB5D0D">
        <w:rPr>
          <w:rFonts w:ascii="Times New Roman" w:cs="Times New Roman"/>
          <w:color w:val="000000" w:themeColor="text1"/>
          <w:spacing w:val="0"/>
        </w:rPr>
        <w:softHyphen/>
        <w:t>де испытаний наблюдались повышенный износ зубьев шестерен и их поломка, возникали трудности в переключении передач в ходе движения. Кроме того, выяснилось, что при длительном движе</w:t>
      </w:r>
      <w:r w:rsidRPr="00DB5D0D">
        <w:rPr>
          <w:rFonts w:ascii="Times New Roman" w:cs="Times New Roman"/>
          <w:color w:val="000000" w:themeColor="text1"/>
          <w:spacing w:val="0"/>
        </w:rPr>
        <w:softHyphen/>
        <w:t>нии танка на четвертой передаче она и сопряженная с ней вторая передача вы</w:t>
      </w:r>
      <w:r w:rsidRPr="00DB5D0D">
        <w:rPr>
          <w:rFonts w:ascii="Times New Roman" w:cs="Times New Roman"/>
          <w:color w:val="000000" w:themeColor="text1"/>
          <w:spacing w:val="0"/>
        </w:rPr>
        <w:softHyphen/>
        <w:t>ходили из строя. Для устранения этого дефекта, начиная с 31-й машины, в кон</w:t>
      </w:r>
      <w:r w:rsidRPr="00DB5D0D">
        <w:rPr>
          <w:rFonts w:ascii="Times New Roman" w:cs="Times New Roman"/>
          <w:color w:val="000000" w:themeColor="text1"/>
          <w:spacing w:val="0"/>
        </w:rPr>
        <w:softHyphen/>
        <w:t>струкцию коробки передач ввели специ</w:t>
      </w:r>
      <w:r w:rsidRPr="00DB5D0D">
        <w:rPr>
          <w:rFonts w:ascii="Times New Roman" w:cs="Times New Roman"/>
          <w:color w:val="000000" w:themeColor="text1"/>
          <w:spacing w:val="0"/>
        </w:rPr>
        <w:softHyphen/>
        <w:t>альный замок.</w:t>
      </w:r>
    </w:p>
    <w:p w14:paraId="6FA42603"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отмечалась ненадежность работы поворотного механизма башни. Масса башни КВ-1 составляла 7 т, КВ-2 — 12 т, к тому же башни стали более неуравновешенными. В результате возникли проблемы, связанные с боль</w:t>
      </w:r>
      <w:r w:rsidRPr="00DB5D0D">
        <w:rPr>
          <w:rFonts w:ascii="Times New Roman" w:hAnsi="Times New Roman"/>
          <w:color w:val="000000" w:themeColor="text1"/>
          <w:sz w:val="16"/>
          <w:szCs w:val="16"/>
        </w:rPr>
        <w:softHyphen/>
        <w:t>шими усилиями на рукоятках ручных ме</w:t>
      </w:r>
      <w:r w:rsidRPr="00DB5D0D">
        <w:rPr>
          <w:rFonts w:ascii="Times New Roman" w:hAnsi="Times New Roman"/>
          <w:color w:val="000000" w:themeColor="text1"/>
          <w:sz w:val="16"/>
          <w:szCs w:val="16"/>
        </w:rPr>
        <w:softHyphen/>
        <w:t>ханизмов, мощностью электромоторов для поворота башен, а также со скоро</w:t>
      </w:r>
      <w:r w:rsidRPr="00DB5D0D">
        <w:rPr>
          <w:rFonts w:ascii="Times New Roman" w:hAnsi="Times New Roman"/>
          <w:color w:val="000000" w:themeColor="text1"/>
          <w:sz w:val="16"/>
          <w:szCs w:val="16"/>
        </w:rPr>
        <w:softHyphen/>
        <w:t xml:space="preserve">стью и плавностью наведения орудий. Так, при движении танков </w:t>
      </w:r>
      <w:r w:rsidRPr="00DB5D0D">
        <w:rPr>
          <w:rFonts w:ascii="Times New Roman" w:hAnsi="Times New Roman"/>
          <w:color w:val="000000" w:themeColor="text1"/>
          <w:sz w:val="16"/>
          <w:szCs w:val="16"/>
          <w:lang w:val="en-US"/>
        </w:rPr>
        <w:t>KB</w:t>
      </w:r>
      <w:r w:rsidRPr="00DB5D0D">
        <w:rPr>
          <w:rFonts w:ascii="Times New Roman" w:hAnsi="Times New Roman"/>
          <w:color w:val="000000" w:themeColor="text1"/>
          <w:sz w:val="16"/>
          <w:szCs w:val="16"/>
        </w:rPr>
        <w:t xml:space="preserve"> по скло</w:t>
      </w:r>
      <w:r w:rsidRPr="00DB5D0D">
        <w:rPr>
          <w:rFonts w:ascii="Times New Roman" w:hAnsi="Times New Roman"/>
          <w:color w:val="000000" w:themeColor="text1"/>
          <w:sz w:val="16"/>
          <w:szCs w:val="16"/>
        </w:rPr>
        <w:softHyphen/>
        <w:t>нам поворот башни КВ-1 в сторону был практически невозможен, не говоря уже о башне КВ-2 (15232).</w:t>
      </w:r>
    </w:p>
    <w:p w14:paraId="075323ED" w14:textId="77777777" w:rsidR="00990A0D" w:rsidRPr="00DB5D0D" w:rsidRDefault="00990A0D" w:rsidP="00DB5D0D">
      <w:pPr>
        <w:spacing w:after="0" w:line="240" w:lineRule="auto"/>
        <w:jc w:val="both"/>
        <w:rPr>
          <w:rFonts w:ascii="Times New Roman" w:hAnsi="Times New Roman"/>
          <w:color w:val="000000" w:themeColor="text1"/>
          <w:sz w:val="16"/>
          <w:szCs w:val="16"/>
        </w:rPr>
      </w:pPr>
    </w:p>
    <w:p w14:paraId="1B95DEB1"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10 июня 1940 г. в основном завершили выпуск рабочих чертежей установки 152,4-мм дивизионной гаубицы обр. 1938 г. (М-10) в КВ. В тот же день на Кировском заводе состоя</w:t>
      </w:r>
      <w:r w:rsidRPr="00DB5D0D">
        <w:rPr>
          <w:rFonts w:ascii="Times New Roman" w:hAnsi="Times New Roman"/>
          <w:color w:val="000000" w:themeColor="text1"/>
          <w:sz w:val="16"/>
          <w:szCs w:val="16"/>
        </w:rPr>
        <w:softHyphen/>
        <w:t>лось техническое совещание с представите</w:t>
      </w:r>
      <w:r w:rsidRPr="00DB5D0D">
        <w:rPr>
          <w:rFonts w:ascii="Times New Roman" w:hAnsi="Times New Roman"/>
          <w:color w:val="000000" w:themeColor="text1"/>
          <w:sz w:val="16"/>
          <w:szCs w:val="16"/>
        </w:rPr>
        <w:softHyphen/>
        <w:t>лями Арткома ГАУ и завода №172, на котором согласовали распределение обязанностей между двумя заводами и порядок производ</w:t>
      </w:r>
      <w:r w:rsidRPr="00DB5D0D">
        <w:rPr>
          <w:rFonts w:ascii="Times New Roman" w:hAnsi="Times New Roman"/>
          <w:color w:val="000000" w:themeColor="text1"/>
          <w:sz w:val="16"/>
          <w:szCs w:val="16"/>
        </w:rPr>
        <w:softHyphen/>
        <w:t>ства опытных образцов с указанием соответ</w:t>
      </w:r>
      <w:r w:rsidRPr="00DB5D0D">
        <w:rPr>
          <w:rFonts w:ascii="Times New Roman" w:hAnsi="Times New Roman"/>
          <w:color w:val="000000" w:themeColor="text1"/>
          <w:sz w:val="16"/>
          <w:szCs w:val="16"/>
        </w:rPr>
        <w:softHyphen/>
        <w:t>ствующих сроков.</w:t>
      </w:r>
    </w:p>
    <w:p w14:paraId="5F8CEA7D"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Кировский завод был обязан выслать за</w:t>
      </w:r>
      <w:r w:rsidRPr="00DB5D0D">
        <w:rPr>
          <w:rFonts w:ascii="Times New Roman" w:hAnsi="Times New Roman"/>
          <w:color w:val="000000" w:themeColor="text1"/>
          <w:sz w:val="16"/>
          <w:szCs w:val="16"/>
        </w:rPr>
        <w:softHyphen/>
        <w:t>воду №172 рабочие чертежи установки (про</w:t>
      </w:r>
      <w:r w:rsidRPr="00DB5D0D">
        <w:rPr>
          <w:rFonts w:ascii="Times New Roman" w:hAnsi="Times New Roman"/>
          <w:color w:val="000000" w:themeColor="text1"/>
          <w:sz w:val="16"/>
          <w:szCs w:val="16"/>
        </w:rPr>
        <w:softHyphen/>
        <w:t>ект №402) не позднее 15 июня 1940 г., но фак</w:t>
      </w:r>
      <w:r w:rsidRPr="00DB5D0D">
        <w:rPr>
          <w:rFonts w:ascii="Times New Roman" w:hAnsi="Times New Roman"/>
          <w:color w:val="000000" w:themeColor="text1"/>
          <w:sz w:val="16"/>
          <w:szCs w:val="16"/>
        </w:rPr>
        <w:softHyphen/>
        <w:t>тически их отправили июня. Одновременно на завод №172 откомандировали инженера- конструктора Е.Н. Рыбина для окончательной увязки чертежей и необходимых консультаций (15767).</w:t>
      </w:r>
    </w:p>
    <w:p w14:paraId="3C0CB479" w14:textId="77777777" w:rsidR="00990A0D" w:rsidRPr="00DB5D0D" w:rsidRDefault="00990A0D" w:rsidP="00DB5D0D">
      <w:pPr>
        <w:spacing w:after="0" w:line="240" w:lineRule="auto"/>
        <w:jc w:val="both"/>
        <w:rPr>
          <w:rFonts w:ascii="Times New Roman" w:hAnsi="Times New Roman"/>
          <w:color w:val="000000" w:themeColor="text1"/>
          <w:sz w:val="16"/>
          <w:szCs w:val="16"/>
        </w:rPr>
      </w:pPr>
    </w:p>
    <w:p w14:paraId="4E74517C"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 состоял</w:t>
      </w:r>
      <w:r w:rsidRPr="00DB5D0D">
        <w:rPr>
          <w:rFonts w:ascii="Times New Roman" w:hAnsi="Times New Roman"/>
          <w:color w:val="000000" w:themeColor="text1"/>
          <w:sz w:val="16"/>
          <w:szCs w:val="16"/>
        </w:rPr>
        <w:softHyphen/>
        <w:t>ся первый пробег в ходе заводских испыта</w:t>
      </w:r>
      <w:r w:rsidRPr="00DB5D0D">
        <w:rPr>
          <w:rFonts w:ascii="Times New Roman" w:hAnsi="Times New Roman"/>
          <w:color w:val="000000" w:themeColor="text1"/>
          <w:sz w:val="16"/>
          <w:szCs w:val="16"/>
        </w:rPr>
        <w:softHyphen/>
        <w:t>ний КВ №У-1 с «большой» башней  по маршруту Ленинград - Красное Село - деревня Виллози. 29-км мар</w:t>
      </w:r>
      <w:r w:rsidRPr="00DB5D0D">
        <w:rPr>
          <w:rFonts w:ascii="Times New Roman" w:hAnsi="Times New Roman"/>
          <w:color w:val="000000" w:themeColor="text1"/>
          <w:sz w:val="16"/>
          <w:szCs w:val="16"/>
        </w:rPr>
        <w:softHyphen/>
        <w:t>шрут, пролегавший по асфальтовому и булыж</w:t>
      </w:r>
      <w:r w:rsidRPr="00DB5D0D">
        <w:rPr>
          <w:rFonts w:ascii="Times New Roman" w:hAnsi="Times New Roman"/>
          <w:color w:val="000000" w:themeColor="text1"/>
          <w:sz w:val="16"/>
          <w:szCs w:val="16"/>
        </w:rPr>
        <w:softHyphen/>
        <w:t>ному шоссе, был в целом успешно преодолен за 2,5 ч при средней технической скорости 14,4 км/ч. Время вынужденной остановки со</w:t>
      </w:r>
      <w:r w:rsidRPr="00DB5D0D">
        <w:rPr>
          <w:rFonts w:ascii="Times New Roman" w:hAnsi="Times New Roman"/>
          <w:color w:val="000000" w:themeColor="text1"/>
          <w:sz w:val="16"/>
          <w:szCs w:val="16"/>
        </w:rPr>
        <w:softHyphen/>
        <w:t>ставило 10 мин и не было связано с ходовы</w:t>
      </w:r>
      <w:r w:rsidRPr="00DB5D0D">
        <w:rPr>
          <w:rFonts w:ascii="Times New Roman" w:hAnsi="Times New Roman"/>
          <w:color w:val="000000" w:themeColor="text1"/>
          <w:sz w:val="16"/>
          <w:szCs w:val="16"/>
        </w:rPr>
        <w:softHyphen/>
        <w:t>ми характеристиками машины: из-за непрове</w:t>
      </w:r>
      <w:r w:rsidRPr="00DB5D0D">
        <w:rPr>
          <w:rFonts w:ascii="Times New Roman" w:hAnsi="Times New Roman"/>
          <w:color w:val="000000" w:themeColor="text1"/>
          <w:sz w:val="16"/>
          <w:szCs w:val="16"/>
        </w:rPr>
        <w:softHyphen/>
        <w:t>ренного перед выездом параметра воздушно</w:t>
      </w:r>
      <w:r w:rsidRPr="00DB5D0D">
        <w:rPr>
          <w:rFonts w:ascii="Times New Roman" w:hAnsi="Times New Roman"/>
          <w:color w:val="000000" w:themeColor="text1"/>
          <w:sz w:val="16"/>
          <w:szCs w:val="16"/>
        </w:rPr>
        <w:softHyphen/>
        <w:t>го давления пушка скатилась до упора в зад</w:t>
      </w:r>
      <w:r w:rsidRPr="00DB5D0D">
        <w:rPr>
          <w:rFonts w:ascii="Times New Roman" w:hAnsi="Times New Roman"/>
          <w:color w:val="000000" w:themeColor="text1"/>
          <w:sz w:val="16"/>
          <w:szCs w:val="16"/>
        </w:rPr>
        <w:softHyphen/>
        <w:t>нюю стенку башни. После установки пушки на место и зарядки компрессора воздухом дви</w:t>
      </w:r>
      <w:r w:rsidRPr="00DB5D0D">
        <w:rPr>
          <w:rFonts w:ascii="Times New Roman" w:hAnsi="Times New Roman"/>
          <w:color w:val="000000" w:themeColor="text1"/>
          <w:sz w:val="16"/>
          <w:szCs w:val="16"/>
        </w:rPr>
        <w:softHyphen/>
        <w:t>жение танка возобновилось.</w:t>
      </w:r>
    </w:p>
    <w:p w14:paraId="5F66DF7B"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завершения испытаний 29 июля 1940 г. КВ прошел 2648</w:t>
      </w:r>
      <w:r w:rsidRPr="00DB5D0D">
        <w:rPr>
          <w:rStyle w:val="0pt1"/>
          <w:rFonts w:eastAsia="Arial Narrow"/>
          <w:b w:val="0"/>
          <w:color w:val="000000" w:themeColor="text1"/>
          <w:spacing w:val="0"/>
          <w:sz w:val="16"/>
          <w:szCs w:val="16"/>
        </w:rPr>
        <w:t xml:space="preserve"> км, из них</w:t>
      </w:r>
      <w:r w:rsidRPr="00DB5D0D">
        <w:rPr>
          <w:rFonts w:ascii="Times New Roman" w:hAnsi="Times New Roman"/>
          <w:color w:val="000000" w:themeColor="text1"/>
          <w:sz w:val="16"/>
          <w:szCs w:val="16"/>
        </w:rPr>
        <w:t xml:space="preserve"> 83 км - завод</w:t>
      </w:r>
      <w:r w:rsidRPr="00DB5D0D">
        <w:rPr>
          <w:rFonts w:ascii="Times New Roman" w:hAnsi="Times New Roman"/>
          <w:color w:val="000000" w:themeColor="text1"/>
          <w:sz w:val="16"/>
          <w:szCs w:val="16"/>
        </w:rPr>
        <w:softHyphen/>
        <w:t>ская обкатка, 2565</w:t>
      </w:r>
      <w:r w:rsidRPr="00DB5D0D">
        <w:rPr>
          <w:rStyle w:val="0pt1"/>
          <w:rFonts w:eastAsia="Arial Narrow"/>
          <w:b w:val="0"/>
          <w:color w:val="000000" w:themeColor="text1"/>
          <w:spacing w:val="0"/>
          <w:sz w:val="16"/>
          <w:szCs w:val="16"/>
        </w:rPr>
        <w:t xml:space="preserve"> км</w:t>
      </w:r>
      <w:r w:rsidRPr="00DB5D0D">
        <w:rPr>
          <w:rFonts w:ascii="Times New Roman" w:hAnsi="Times New Roman"/>
          <w:color w:val="000000" w:themeColor="text1"/>
          <w:sz w:val="16"/>
          <w:szCs w:val="16"/>
        </w:rPr>
        <w:t xml:space="preserve"> - заводские испыта</w:t>
      </w:r>
      <w:r w:rsidRPr="00DB5D0D">
        <w:rPr>
          <w:rFonts w:ascii="Times New Roman" w:hAnsi="Times New Roman"/>
          <w:color w:val="000000" w:themeColor="text1"/>
          <w:sz w:val="16"/>
          <w:szCs w:val="16"/>
        </w:rPr>
        <w:softHyphen/>
        <w:t>ния. Запас хода</w:t>
      </w:r>
      <w:r w:rsidRPr="00DB5D0D">
        <w:rPr>
          <w:rStyle w:val="0pt1"/>
          <w:rFonts w:eastAsia="Arial Narrow"/>
          <w:b w:val="0"/>
          <w:color w:val="000000" w:themeColor="text1"/>
          <w:spacing w:val="0"/>
          <w:sz w:val="16"/>
          <w:szCs w:val="16"/>
        </w:rPr>
        <w:t xml:space="preserve"> танка</w:t>
      </w:r>
      <w:r w:rsidRPr="00DB5D0D">
        <w:rPr>
          <w:rFonts w:ascii="Times New Roman" w:hAnsi="Times New Roman"/>
          <w:color w:val="000000" w:themeColor="text1"/>
          <w:sz w:val="16"/>
          <w:szCs w:val="16"/>
        </w:rPr>
        <w:t xml:space="preserve"> (по топливу) по шоссе составлял 256</w:t>
      </w:r>
      <w:r w:rsidRPr="00DB5D0D">
        <w:rPr>
          <w:rStyle w:val="0pt1"/>
          <w:rFonts w:eastAsia="Arial Narrow"/>
          <w:b w:val="0"/>
          <w:color w:val="000000" w:themeColor="text1"/>
          <w:spacing w:val="0"/>
          <w:sz w:val="16"/>
          <w:szCs w:val="16"/>
        </w:rPr>
        <w:t xml:space="preserve"> км,</w:t>
      </w:r>
      <w:r w:rsidRPr="00DB5D0D">
        <w:rPr>
          <w:rFonts w:ascii="Times New Roman" w:hAnsi="Times New Roman"/>
          <w:color w:val="000000" w:themeColor="text1"/>
          <w:sz w:val="16"/>
          <w:szCs w:val="16"/>
        </w:rPr>
        <w:t xml:space="preserve"> по</w:t>
      </w:r>
      <w:r w:rsidRPr="00DB5D0D">
        <w:rPr>
          <w:rStyle w:val="0pt1"/>
          <w:rFonts w:eastAsia="Arial Narrow"/>
          <w:b w:val="0"/>
          <w:color w:val="000000" w:themeColor="text1"/>
          <w:spacing w:val="0"/>
          <w:sz w:val="16"/>
          <w:szCs w:val="16"/>
        </w:rPr>
        <w:t xml:space="preserve"> маслу</w:t>
      </w:r>
      <w:r w:rsidRPr="00DB5D0D">
        <w:rPr>
          <w:rFonts w:ascii="Times New Roman" w:hAnsi="Times New Roman"/>
          <w:color w:val="000000" w:themeColor="text1"/>
          <w:sz w:val="16"/>
          <w:szCs w:val="16"/>
        </w:rPr>
        <w:t xml:space="preserve"> - 187 км, по це</w:t>
      </w:r>
      <w:r w:rsidRPr="00DB5D0D">
        <w:rPr>
          <w:rFonts w:ascii="Times New Roman" w:hAnsi="Times New Roman"/>
          <w:color w:val="000000" w:themeColor="text1"/>
          <w:sz w:val="16"/>
          <w:szCs w:val="16"/>
        </w:rPr>
        <w:softHyphen/>
        <w:t>лине - 162</w:t>
      </w:r>
      <w:r w:rsidRPr="00DB5D0D">
        <w:rPr>
          <w:rStyle w:val="0pt1"/>
          <w:rFonts w:eastAsia="Arial Narrow"/>
          <w:b w:val="0"/>
          <w:color w:val="000000" w:themeColor="text1"/>
          <w:spacing w:val="0"/>
          <w:sz w:val="16"/>
          <w:szCs w:val="16"/>
        </w:rPr>
        <w:t xml:space="preserve"> км и 92 км</w:t>
      </w:r>
      <w:r w:rsidRPr="00DB5D0D">
        <w:rPr>
          <w:rFonts w:ascii="Times New Roman" w:hAnsi="Times New Roman"/>
          <w:color w:val="000000" w:themeColor="text1"/>
          <w:sz w:val="16"/>
          <w:szCs w:val="16"/>
        </w:rPr>
        <w:t xml:space="preserve"> соответственно. Пробе</w:t>
      </w:r>
      <w:r w:rsidRPr="00DB5D0D">
        <w:rPr>
          <w:rFonts w:ascii="Times New Roman" w:hAnsi="Times New Roman"/>
          <w:color w:val="000000" w:themeColor="text1"/>
          <w:sz w:val="16"/>
          <w:szCs w:val="16"/>
        </w:rPr>
        <w:softHyphen/>
        <w:t>ги танка</w:t>
      </w:r>
      <w:r w:rsidRPr="00DB5D0D">
        <w:rPr>
          <w:rStyle w:val="0pt1"/>
          <w:rFonts w:eastAsia="Arial Narrow"/>
          <w:b w:val="0"/>
          <w:color w:val="000000" w:themeColor="text1"/>
          <w:spacing w:val="0"/>
          <w:sz w:val="16"/>
          <w:szCs w:val="16"/>
        </w:rPr>
        <w:t xml:space="preserve"> по шоссе с</w:t>
      </w:r>
      <w:r w:rsidRPr="00DB5D0D">
        <w:rPr>
          <w:rFonts w:ascii="Times New Roman" w:hAnsi="Times New Roman"/>
          <w:color w:val="000000" w:themeColor="text1"/>
          <w:sz w:val="16"/>
          <w:szCs w:val="16"/>
        </w:rPr>
        <w:t xml:space="preserve"> асфальтовым, щебеноч</w:t>
      </w:r>
      <w:r w:rsidRPr="00DB5D0D">
        <w:rPr>
          <w:rFonts w:ascii="Times New Roman" w:hAnsi="Times New Roman"/>
          <w:color w:val="000000" w:themeColor="text1"/>
          <w:sz w:val="16"/>
          <w:szCs w:val="16"/>
        </w:rPr>
        <w:softHyphen/>
        <w:t>ным</w:t>
      </w:r>
      <w:r w:rsidRPr="00DB5D0D">
        <w:rPr>
          <w:rStyle w:val="0pt1"/>
          <w:rFonts w:eastAsia="Arial Narrow"/>
          <w:b w:val="0"/>
          <w:color w:val="000000" w:themeColor="text1"/>
          <w:spacing w:val="0"/>
          <w:sz w:val="16"/>
          <w:szCs w:val="16"/>
        </w:rPr>
        <w:t xml:space="preserve"> и булыжным покрытием</w:t>
      </w:r>
      <w:r w:rsidRPr="00DB5D0D">
        <w:rPr>
          <w:rFonts w:ascii="Times New Roman" w:hAnsi="Times New Roman"/>
          <w:color w:val="000000" w:themeColor="text1"/>
          <w:sz w:val="16"/>
          <w:szCs w:val="16"/>
        </w:rPr>
        <w:t xml:space="preserve"> выполнялись по маршруту</w:t>
      </w:r>
      <w:r w:rsidRPr="00DB5D0D">
        <w:rPr>
          <w:rStyle w:val="0pt1"/>
          <w:rFonts w:eastAsia="Arial Narrow"/>
          <w:b w:val="0"/>
          <w:color w:val="000000" w:themeColor="text1"/>
          <w:spacing w:val="0"/>
          <w:sz w:val="16"/>
          <w:szCs w:val="16"/>
        </w:rPr>
        <w:t xml:space="preserve"> Красное Село</w:t>
      </w:r>
      <w:r w:rsidRPr="00DB5D0D">
        <w:rPr>
          <w:rFonts w:ascii="Times New Roman" w:hAnsi="Times New Roman"/>
          <w:color w:val="000000" w:themeColor="text1"/>
          <w:sz w:val="16"/>
          <w:szCs w:val="16"/>
        </w:rPr>
        <w:t xml:space="preserve"> - Ропша - Кипень - </w:t>
      </w:r>
      <w:r w:rsidRPr="00DB5D0D">
        <w:rPr>
          <w:rStyle w:val="0pt1"/>
          <w:rFonts w:eastAsia="Arial Narrow"/>
          <w:b w:val="0"/>
          <w:color w:val="000000" w:themeColor="text1"/>
          <w:spacing w:val="0"/>
          <w:sz w:val="16"/>
          <w:szCs w:val="16"/>
        </w:rPr>
        <w:t>Русско-Выгаирое</w:t>
      </w:r>
      <w:r w:rsidRPr="00DB5D0D">
        <w:rPr>
          <w:rFonts w:ascii="Times New Roman" w:hAnsi="Times New Roman"/>
          <w:color w:val="000000" w:themeColor="text1"/>
          <w:sz w:val="16"/>
          <w:szCs w:val="16"/>
        </w:rPr>
        <w:t xml:space="preserve"> - Красное Село. Проводи</w:t>
      </w:r>
      <w:r w:rsidRPr="00DB5D0D">
        <w:rPr>
          <w:rFonts w:ascii="Times New Roman" w:hAnsi="Times New Roman"/>
          <w:color w:val="000000" w:themeColor="text1"/>
          <w:sz w:val="16"/>
          <w:szCs w:val="16"/>
        </w:rPr>
        <w:softHyphen/>
      </w:r>
      <w:r w:rsidRPr="00DB5D0D">
        <w:rPr>
          <w:rStyle w:val="0pt1"/>
          <w:rFonts w:eastAsia="Arial Narrow"/>
          <w:b w:val="0"/>
          <w:color w:val="000000" w:themeColor="text1"/>
          <w:spacing w:val="0"/>
          <w:sz w:val="16"/>
          <w:szCs w:val="16"/>
        </w:rPr>
        <w:t>лись</w:t>
      </w:r>
      <w:r w:rsidRPr="00DB5D0D">
        <w:rPr>
          <w:rStyle w:val="Tahoma8pt-1pt"/>
          <w:rFonts w:ascii="Times New Roman" w:hAnsi="Times New Roman" w:cs="Times New Roman"/>
          <w:b w:val="0"/>
          <w:color w:val="000000" w:themeColor="text1"/>
          <w:spacing w:val="0"/>
        </w:rPr>
        <w:t xml:space="preserve"> также нспытания</w:t>
      </w:r>
      <w:r w:rsidRPr="00DB5D0D">
        <w:rPr>
          <w:rStyle w:val="0pt1"/>
          <w:rFonts w:eastAsia="Arial Narrow"/>
          <w:b w:val="0"/>
          <w:color w:val="000000" w:themeColor="text1"/>
          <w:spacing w:val="0"/>
          <w:sz w:val="16"/>
          <w:szCs w:val="16"/>
        </w:rPr>
        <w:t xml:space="preserve"> на</w:t>
      </w:r>
      <w:r w:rsidRPr="00DB5D0D">
        <w:rPr>
          <w:rFonts w:ascii="Times New Roman" w:hAnsi="Times New Roman"/>
          <w:color w:val="000000" w:themeColor="text1"/>
          <w:sz w:val="16"/>
          <w:szCs w:val="16"/>
        </w:rPr>
        <w:t xml:space="preserve"> проселочных доро</w:t>
      </w:r>
      <w:r w:rsidRPr="00DB5D0D">
        <w:rPr>
          <w:rFonts w:ascii="Times New Roman" w:hAnsi="Times New Roman"/>
          <w:color w:val="000000" w:themeColor="text1"/>
          <w:sz w:val="16"/>
          <w:szCs w:val="16"/>
        </w:rPr>
        <w:softHyphen/>
      </w:r>
      <w:r w:rsidRPr="00DB5D0D">
        <w:rPr>
          <w:rStyle w:val="0pt1"/>
          <w:rFonts w:eastAsia="Arial Narrow"/>
          <w:b w:val="0"/>
          <w:color w:val="000000" w:themeColor="text1"/>
          <w:spacing w:val="0"/>
          <w:sz w:val="16"/>
          <w:szCs w:val="16"/>
        </w:rPr>
        <w:t>гах, лесных</w:t>
      </w:r>
      <w:r w:rsidRPr="00DB5D0D">
        <w:rPr>
          <w:rStyle w:val="Tahoma8pt-1pt"/>
          <w:rFonts w:ascii="Times New Roman" w:hAnsi="Times New Roman" w:cs="Times New Roman"/>
          <w:b w:val="0"/>
          <w:color w:val="000000" w:themeColor="text1"/>
          <w:spacing w:val="0"/>
        </w:rPr>
        <w:t xml:space="preserve"> просеках</w:t>
      </w:r>
      <w:r w:rsidRPr="00DB5D0D">
        <w:rPr>
          <w:rStyle w:val="0pt1"/>
          <w:rFonts w:eastAsia="Arial Narrow"/>
          <w:b w:val="0"/>
          <w:color w:val="000000" w:themeColor="text1"/>
          <w:spacing w:val="0"/>
          <w:sz w:val="16"/>
          <w:szCs w:val="16"/>
        </w:rPr>
        <w:t xml:space="preserve"> с</w:t>
      </w:r>
      <w:r w:rsidRPr="00DB5D0D">
        <w:rPr>
          <w:rFonts w:ascii="Times New Roman" w:hAnsi="Times New Roman"/>
          <w:color w:val="000000" w:themeColor="text1"/>
          <w:sz w:val="16"/>
          <w:szCs w:val="16"/>
        </w:rPr>
        <w:t xml:space="preserve"> пнями и пересеченной рвами и покрытой валунами местности С</w:t>
      </w:r>
      <w:r w:rsidRPr="00DB5D0D">
        <w:rPr>
          <w:rStyle w:val="0pt1"/>
          <w:rFonts w:eastAsia="Arial Narrow"/>
          <w:b w:val="0"/>
          <w:color w:val="000000" w:themeColor="text1"/>
          <w:spacing w:val="0"/>
          <w:sz w:val="16"/>
          <w:szCs w:val="16"/>
        </w:rPr>
        <w:t>корости</w:t>
      </w:r>
      <w:r w:rsidRPr="00DB5D0D">
        <w:rPr>
          <w:rFonts w:ascii="Times New Roman" w:hAnsi="Times New Roman"/>
          <w:color w:val="000000" w:themeColor="text1"/>
          <w:sz w:val="16"/>
          <w:szCs w:val="16"/>
        </w:rPr>
        <w:t xml:space="preserve"> движения и запас </w:t>
      </w:r>
      <w:r w:rsidRPr="00DB5D0D">
        <w:rPr>
          <w:rStyle w:val="0pt1"/>
          <w:rFonts w:eastAsia="Arial Narrow"/>
          <w:b w:val="0"/>
          <w:color w:val="000000" w:themeColor="text1"/>
          <w:spacing w:val="0"/>
          <w:sz w:val="16"/>
          <w:szCs w:val="16"/>
        </w:rPr>
        <w:t>по горючему</w:t>
      </w:r>
      <w:r w:rsidRPr="00DB5D0D">
        <w:rPr>
          <w:rFonts w:ascii="Times New Roman" w:hAnsi="Times New Roman"/>
          <w:color w:val="000000" w:themeColor="text1"/>
          <w:sz w:val="16"/>
          <w:szCs w:val="16"/>
        </w:rPr>
        <w:t xml:space="preserve"> соответствовали за- данным. Необходимо было увеличить объем</w:t>
      </w:r>
      <w:r w:rsidRPr="00DB5D0D">
        <w:rPr>
          <w:rStyle w:val="0pt1"/>
          <w:rFonts w:eastAsia="Arial Narrow"/>
          <w:b w:val="0"/>
          <w:color w:val="000000" w:themeColor="text1"/>
          <w:spacing w:val="0"/>
          <w:sz w:val="16"/>
          <w:szCs w:val="16"/>
        </w:rPr>
        <w:t xml:space="preserve"> масляной</w:t>
      </w:r>
      <w:r w:rsidRPr="00DB5D0D">
        <w:rPr>
          <w:rFonts w:ascii="Times New Roman" w:hAnsi="Times New Roman"/>
          <w:color w:val="000000" w:themeColor="text1"/>
          <w:sz w:val="16"/>
          <w:szCs w:val="16"/>
        </w:rPr>
        <w:t xml:space="preserve"> системы, приве</w:t>
      </w:r>
      <w:r w:rsidRPr="00DB5D0D">
        <w:rPr>
          <w:rFonts w:ascii="Times New Roman" w:hAnsi="Times New Roman"/>
          <w:color w:val="000000" w:themeColor="text1"/>
          <w:sz w:val="16"/>
          <w:szCs w:val="16"/>
        </w:rPr>
        <w:softHyphen/>
        <w:t>дя ее в соответствие с обеспечением запаса хода по горючему.</w:t>
      </w:r>
    </w:p>
    <w:p w14:paraId="08985EEF"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Особо тяжелые неприятности случились 20 июня 1940 г. Определение средних скоро</w:t>
      </w:r>
      <w:r w:rsidRPr="00DB5D0D">
        <w:rPr>
          <w:rFonts w:ascii="Times New Roman" w:hAnsi="Times New Roman"/>
          <w:color w:val="000000" w:themeColor="text1"/>
          <w:sz w:val="16"/>
          <w:szCs w:val="16"/>
        </w:rPr>
        <w:softHyphen/>
        <w:t>стей движения танка проводили на проселоч</w:t>
      </w:r>
      <w:r w:rsidRPr="00DB5D0D">
        <w:rPr>
          <w:rFonts w:ascii="Times New Roman" w:hAnsi="Times New Roman"/>
          <w:color w:val="000000" w:themeColor="text1"/>
          <w:sz w:val="16"/>
          <w:szCs w:val="16"/>
        </w:rPr>
        <w:softHyphen/>
        <w:t>ной разбитой дороге в сухую, жаркую погоду, в условиях высокой запыленности. С самого на</w:t>
      </w:r>
      <w:r w:rsidRPr="00DB5D0D">
        <w:rPr>
          <w:rFonts w:ascii="Times New Roman" w:hAnsi="Times New Roman"/>
          <w:color w:val="000000" w:themeColor="text1"/>
          <w:sz w:val="16"/>
          <w:szCs w:val="16"/>
        </w:rPr>
        <w:softHyphen/>
        <w:t>чала пробега экипаж обратил внимание на рост температуры двигателя (воды и масла). Тем не менее, обеспечив приемлемый температурный режим, испытания продолжили. Через 36 км, во время вынужденной остановки для регулировки главного фрикциона, обнаружили выброс масла из сапуна двигателя. Движение возобновили и завершили круг через 23 км с пониженным до 1 атм. давлением масла. При осмотре воздуш</w:t>
      </w:r>
      <w:r w:rsidRPr="00DB5D0D">
        <w:rPr>
          <w:rFonts w:ascii="Times New Roman" w:hAnsi="Times New Roman"/>
          <w:color w:val="000000" w:themeColor="text1"/>
          <w:sz w:val="16"/>
          <w:szCs w:val="16"/>
        </w:rPr>
        <w:softHyphen/>
        <w:t>ного фильтра выяснилось, что за время движе</w:t>
      </w:r>
      <w:r w:rsidRPr="00DB5D0D">
        <w:rPr>
          <w:rFonts w:ascii="Times New Roman" w:hAnsi="Times New Roman"/>
          <w:color w:val="000000" w:themeColor="text1"/>
          <w:sz w:val="16"/>
          <w:szCs w:val="16"/>
        </w:rPr>
        <w:softHyphen/>
        <w:t>ния (5,5 ч) он полностью забился пылью. После обслуживания фильтра испытания продолжили, но через 40 мин вновь резко повысилась тем</w:t>
      </w:r>
      <w:r w:rsidRPr="00DB5D0D">
        <w:rPr>
          <w:rFonts w:ascii="Times New Roman" w:hAnsi="Times New Roman"/>
          <w:color w:val="000000" w:themeColor="text1"/>
          <w:sz w:val="16"/>
          <w:szCs w:val="16"/>
        </w:rPr>
        <w:softHyphen/>
        <w:t>пература, нарушилась регулировка главного фрикциона и вышел из строя левый стартер. На устранение неисправностей потратили 50 мин и вновь вернулись на маршрут. Через 20 мин, ког</w:t>
      </w:r>
      <w:r w:rsidRPr="00DB5D0D">
        <w:rPr>
          <w:rFonts w:ascii="Times New Roman" w:hAnsi="Times New Roman"/>
          <w:color w:val="000000" w:themeColor="text1"/>
          <w:sz w:val="16"/>
          <w:szCs w:val="16"/>
        </w:rPr>
        <w:softHyphen/>
        <w:t>да падение давления масла стал сопровождать и</w:t>
      </w:r>
      <w:r w:rsidRPr="00DB5D0D">
        <w:rPr>
          <w:rStyle w:val="aff6"/>
          <w:rFonts w:ascii="Times New Roman" w:eastAsia="Arial Narrow" w:hAnsi="Times New Roman" w:cs="Times New Roman"/>
          <w:i w:val="0"/>
          <w:color w:val="000000" w:themeColor="text1"/>
        </w:rPr>
        <w:t xml:space="preserve"> «подозрительный стук мотора»,</w:t>
      </w:r>
      <w:r w:rsidRPr="00DB5D0D">
        <w:rPr>
          <w:rFonts w:ascii="Times New Roman" w:hAnsi="Times New Roman"/>
          <w:color w:val="000000" w:themeColor="text1"/>
          <w:sz w:val="16"/>
          <w:szCs w:val="16"/>
        </w:rPr>
        <w:t xml:space="preserve"> испытания пришлось прервать из-за поломки шестого ле</w:t>
      </w:r>
      <w:r w:rsidRPr="00DB5D0D">
        <w:rPr>
          <w:rFonts w:ascii="Times New Roman" w:hAnsi="Times New Roman"/>
          <w:color w:val="000000" w:themeColor="text1"/>
          <w:sz w:val="16"/>
          <w:szCs w:val="16"/>
        </w:rPr>
        <w:softHyphen/>
        <w:t>вого торсиона подвески.</w:t>
      </w:r>
    </w:p>
    <w:p w14:paraId="587EA3DB"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Танк доставили на базу буксиром для за</w:t>
      </w:r>
      <w:r w:rsidRPr="00DB5D0D">
        <w:rPr>
          <w:rFonts w:ascii="Times New Roman" w:hAnsi="Times New Roman"/>
          <w:color w:val="000000" w:themeColor="text1"/>
          <w:sz w:val="16"/>
          <w:szCs w:val="16"/>
        </w:rPr>
        <w:softHyphen/>
        <w:t>мены двигателя. Осмотром было установле</w:t>
      </w:r>
      <w:r w:rsidRPr="00DB5D0D">
        <w:rPr>
          <w:rFonts w:ascii="Times New Roman" w:hAnsi="Times New Roman"/>
          <w:color w:val="000000" w:themeColor="text1"/>
          <w:sz w:val="16"/>
          <w:szCs w:val="16"/>
        </w:rPr>
        <w:softHyphen/>
        <w:t>но, что за 1 ч 17 мин работы двигателя фильтр (после обслуживания) вновь полностью забил</w:t>
      </w:r>
      <w:r w:rsidRPr="00DB5D0D">
        <w:rPr>
          <w:rFonts w:ascii="Times New Roman" w:hAnsi="Times New Roman"/>
          <w:color w:val="000000" w:themeColor="text1"/>
          <w:sz w:val="16"/>
          <w:szCs w:val="16"/>
        </w:rPr>
        <w:softHyphen/>
        <w:t>ся пылью (в нем обнаружили сухую и прома</w:t>
      </w:r>
      <w:r w:rsidRPr="00DB5D0D">
        <w:rPr>
          <w:rFonts w:ascii="Times New Roman" w:hAnsi="Times New Roman"/>
          <w:color w:val="000000" w:themeColor="text1"/>
          <w:sz w:val="16"/>
          <w:szCs w:val="16"/>
        </w:rPr>
        <w:softHyphen/>
        <w:t>сленную пыль массой 3,5 кг). Таким образом, в ходе пробега в первой половине дня двига</w:t>
      </w:r>
      <w:r w:rsidRPr="00DB5D0D">
        <w:rPr>
          <w:rFonts w:ascii="Times New Roman" w:hAnsi="Times New Roman"/>
          <w:color w:val="000000" w:themeColor="text1"/>
          <w:sz w:val="16"/>
          <w:szCs w:val="16"/>
        </w:rPr>
        <w:softHyphen/>
        <w:t>тель функционировал практически без пред</w:t>
      </w:r>
      <w:r w:rsidRPr="00DB5D0D">
        <w:rPr>
          <w:rFonts w:ascii="Times New Roman" w:hAnsi="Times New Roman"/>
          <w:color w:val="000000" w:themeColor="text1"/>
          <w:sz w:val="16"/>
          <w:szCs w:val="16"/>
        </w:rPr>
        <w:softHyphen/>
        <w:t>варительной очистки воздуха, что и привело к его выходу из строя. Требовалось срочно спро</w:t>
      </w:r>
      <w:r w:rsidRPr="00DB5D0D">
        <w:rPr>
          <w:rFonts w:ascii="Times New Roman" w:hAnsi="Times New Roman"/>
          <w:color w:val="000000" w:themeColor="text1"/>
          <w:sz w:val="16"/>
          <w:szCs w:val="16"/>
        </w:rPr>
        <w:softHyphen/>
        <w:t>ектировать новый работоспособный воздушный фильтр. Для обеспечения надежной эксплуата</w:t>
      </w:r>
      <w:r w:rsidRPr="00DB5D0D">
        <w:rPr>
          <w:rFonts w:ascii="Times New Roman" w:hAnsi="Times New Roman"/>
          <w:color w:val="000000" w:themeColor="text1"/>
          <w:sz w:val="16"/>
          <w:szCs w:val="16"/>
        </w:rPr>
        <w:softHyphen/>
        <w:t>ции замененного двигателя воздушный фильтр временно установили в башне, обеспечив за</w:t>
      </w:r>
      <w:r w:rsidRPr="00DB5D0D">
        <w:rPr>
          <w:rFonts w:ascii="Times New Roman" w:hAnsi="Times New Roman"/>
          <w:color w:val="000000" w:themeColor="text1"/>
          <w:sz w:val="16"/>
          <w:szCs w:val="16"/>
        </w:rPr>
        <w:softHyphen/>
        <w:t>бор воздуха через открытый люк. Кроме того, для снижения запыленности на входе в воз</w:t>
      </w:r>
      <w:r w:rsidRPr="00DB5D0D">
        <w:rPr>
          <w:rFonts w:ascii="Times New Roman" w:hAnsi="Times New Roman"/>
          <w:color w:val="000000" w:themeColor="text1"/>
          <w:sz w:val="16"/>
          <w:szCs w:val="16"/>
        </w:rPr>
        <w:softHyphen/>
        <w:t>душный фильтр при размещении его на штат</w:t>
      </w:r>
      <w:r w:rsidRPr="00DB5D0D">
        <w:rPr>
          <w:rFonts w:ascii="Times New Roman" w:hAnsi="Times New Roman"/>
          <w:color w:val="000000" w:themeColor="text1"/>
          <w:sz w:val="16"/>
          <w:szCs w:val="16"/>
        </w:rPr>
        <w:softHyphen/>
        <w:t>ном месте увеличили ширину крыльев машины (до ширины гусеницы), прикрепили брезенто</w:t>
      </w:r>
      <w:r w:rsidRPr="00DB5D0D">
        <w:rPr>
          <w:rFonts w:ascii="Times New Roman" w:hAnsi="Times New Roman"/>
          <w:color w:val="000000" w:themeColor="text1"/>
          <w:sz w:val="16"/>
          <w:szCs w:val="16"/>
        </w:rPr>
        <w:softHyphen/>
        <w:t>вые фартуки к передней части крыльев и увели</w:t>
      </w:r>
      <w:r w:rsidRPr="00DB5D0D">
        <w:rPr>
          <w:rFonts w:ascii="Times New Roman" w:hAnsi="Times New Roman"/>
          <w:color w:val="000000" w:themeColor="text1"/>
          <w:sz w:val="16"/>
          <w:szCs w:val="16"/>
        </w:rPr>
        <w:softHyphen/>
        <w:t>чили ширину заднего отражателя воздуха, отра</w:t>
      </w:r>
      <w:r w:rsidRPr="00DB5D0D">
        <w:rPr>
          <w:rFonts w:ascii="Times New Roman" w:hAnsi="Times New Roman"/>
          <w:color w:val="000000" w:themeColor="text1"/>
          <w:sz w:val="16"/>
          <w:szCs w:val="16"/>
        </w:rPr>
        <w:softHyphen/>
        <w:t>ботанного системой охлаждения.</w:t>
      </w:r>
    </w:p>
    <w:p w14:paraId="0D60E8C5"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Пробеги при температуре наружного воз</w:t>
      </w:r>
      <w:r w:rsidRPr="00DB5D0D">
        <w:rPr>
          <w:rFonts w:ascii="Times New Roman" w:hAnsi="Times New Roman"/>
          <w:color w:val="000000" w:themeColor="text1"/>
          <w:sz w:val="16"/>
          <w:szCs w:val="16"/>
        </w:rPr>
        <w:softHyphen/>
        <w:t>духа +20 - +30°С выявили также напряженный температурный режим работы двигателя, что свидетельствовало о необходимости срочной доработки системы охлаждения. Следовало обеспечить нормальную работу двигателя при температуре наружного воздуха до +40'С.</w:t>
      </w:r>
    </w:p>
    <w:p w14:paraId="59CE89BC"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предварительным оценкам, установ</w:t>
      </w:r>
      <w:r w:rsidRPr="00DB5D0D">
        <w:rPr>
          <w:rFonts w:ascii="Times New Roman" w:hAnsi="Times New Roman"/>
          <w:color w:val="000000" w:themeColor="text1"/>
          <w:sz w:val="16"/>
          <w:szCs w:val="16"/>
        </w:rPr>
        <w:softHyphen/>
      </w:r>
      <w:r w:rsidRPr="00DB5D0D">
        <w:rPr>
          <w:rStyle w:val="0pt1"/>
          <w:rFonts w:eastAsia="Arial Narrow"/>
          <w:b w:val="0"/>
          <w:color w:val="000000" w:themeColor="text1"/>
          <w:spacing w:val="0"/>
          <w:sz w:val="16"/>
          <w:szCs w:val="16"/>
        </w:rPr>
        <w:t>ленный</w:t>
      </w:r>
      <w:r w:rsidRPr="00DB5D0D">
        <w:rPr>
          <w:rFonts w:ascii="Times New Roman" w:hAnsi="Times New Roman"/>
          <w:color w:val="000000" w:themeColor="text1"/>
          <w:sz w:val="16"/>
          <w:szCs w:val="16"/>
        </w:rPr>
        <w:t xml:space="preserve"> в танке двигатель В-2-К по мощности обеспечивал нормальную динамику движени</w:t>
      </w:r>
      <w:r w:rsidRPr="00DB5D0D">
        <w:rPr>
          <w:rStyle w:val="0pt1"/>
          <w:rFonts w:eastAsia="Arial Narrow"/>
          <w:b w:val="0"/>
          <w:color w:val="000000" w:themeColor="text1"/>
          <w:spacing w:val="0"/>
          <w:sz w:val="16"/>
          <w:szCs w:val="16"/>
        </w:rPr>
        <w:t>я,</w:t>
      </w:r>
      <w:r w:rsidRPr="00DB5D0D">
        <w:rPr>
          <w:rFonts w:ascii="Times New Roman" w:hAnsi="Times New Roman"/>
          <w:color w:val="000000" w:themeColor="text1"/>
          <w:sz w:val="16"/>
          <w:szCs w:val="16"/>
        </w:rPr>
        <w:t xml:space="preserve"> оказался надежным и при нормальном обслуживании мог работать в танке более 100 ч. Требовалось довести эту цифру до 200 ч, чтобы моторесурс двигателя соответствовал сроку службы танка.</w:t>
      </w:r>
    </w:p>
    <w:p w14:paraId="6386C5AA"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Максимальную скорость танка опреде</w:t>
      </w:r>
      <w:r w:rsidRPr="00DB5D0D">
        <w:rPr>
          <w:rFonts w:ascii="Times New Roman" w:hAnsi="Times New Roman"/>
          <w:color w:val="000000" w:themeColor="text1"/>
          <w:sz w:val="16"/>
          <w:szCs w:val="16"/>
        </w:rPr>
        <w:softHyphen/>
        <w:t>лили на мерном километровом участке ас</w:t>
      </w:r>
      <w:r w:rsidRPr="00DB5D0D">
        <w:rPr>
          <w:rFonts w:ascii="Times New Roman" w:hAnsi="Times New Roman"/>
          <w:color w:val="000000" w:themeColor="text1"/>
          <w:sz w:val="16"/>
          <w:szCs w:val="16"/>
        </w:rPr>
        <w:softHyphen/>
        <w:t>фальтового шоссе. Она составила 37,8 км/ч. 23 июля 1940 г. на маршруте Ленинград - Красное Село - Виллози протяженностью 29 км (включал асфальтовое и булыжное шос</w:t>
      </w:r>
      <w:r w:rsidRPr="00DB5D0D">
        <w:rPr>
          <w:rFonts w:ascii="Times New Roman" w:hAnsi="Times New Roman"/>
          <w:color w:val="000000" w:themeColor="text1"/>
          <w:sz w:val="16"/>
          <w:szCs w:val="16"/>
        </w:rPr>
        <w:softHyphen/>
        <w:t>се) получили оперативную среднюю скорость движения 21,5 км/ч.</w:t>
      </w:r>
    </w:p>
    <w:p w14:paraId="4459F8D4"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провели специальные испытания по преодолению препятствий. Вертикальная стенка (бетонированный фундамент старого дома) высотой 1,2 м была сдвинута и преодо</w:t>
      </w:r>
      <w:r w:rsidRPr="00DB5D0D">
        <w:rPr>
          <w:rFonts w:ascii="Times New Roman" w:hAnsi="Times New Roman"/>
          <w:color w:val="000000" w:themeColor="text1"/>
          <w:sz w:val="16"/>
          <w:szCs w:val="16"/>
        </w:rPr>
        <w:softHyphen/>
        <w:t>лена с третьей попытки. Танк без труда прео</w:t>
      </w:r>
      <w:r w:rsidRPr="00DB5D0D">
        <w:rPr>
          <w:rFonts w:ascii="Times New Roman" w:hAnsi="Times New Roman"/>
          <w:color w:val="000000" w:themeColor="text1"/>
          <w:sz w:val="16"/>
          <w:szCs w:val="16"/>
        </w:rPr>
        <w:softHyphen/>
        <w:t>долел ров шириной 2,72 м и водную преграду глубиной 2 м и шириной 19 м.</w:t>
      </w:r>
    </w:p>
    <w:p w14:paraId="4AABB056"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Трансмиссия обеспечивала в целом гаран</w:t>
      </w:r>
      <w:r w:rsidRPr="00DB5D0D">
        <w:rPr>
          <w:rFonts w:ascii="Times New Roman" w:hAnsi="Times New Roman"/>
          <w:color w:val="000000" w:themeColor="text1"/>
          <w:sz w:val="16"/>
          <w:szCs w:val="16"/>
        </w:rPr>
        <w:softHyphen/>
        <w:t>тийный километраж танка в объеме 2000 км. Наряду с этим обращалось внимание на низкое качество монтажа и регулировки: после 1115 км вышли из строя оба бортовых фрикциона (труб</w:t>
      </w:r>
      <w:r w:rsidRPr="00DB5D0D">
        <w:rPr>
          <w:rFonts w:ascii="Times New Roman" w:hAnsi="Times New Roman"/>
          <w:color w:val="000000" w:themeColor="text1"/>
          <w:sz w:val="16"/>
          <w:szCs w:val="16"/>
        </w:rPr>
        <w:softHyphen/>
        <w:t>ки подвода смазки к подшипникам были смяты при монтаже) и шесть тормозных лент.</w:t>
      </w:r>
    </w:p>
    <w:p w14:paraId="3798AC7C"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Имелись проблемы и в ходовой части тан</w:t>
      </w:r>
      <w:r w:rsidRPr="00DB5D0D">
        <w:rPr>
          <w:rFonts w:ascii="Times New Roman" w:hAnsi="Times New Roman"/>
          <w:color w:val="000000" w:themeColor="text1"/>
          <w:sz w:val="16"/>
          <w:szCs w:val="16"/>
        </w:rPr>
        <w:softHyphen/>
        <w:t>ка. Так, за время испытаний вышли из строя 17 опорных катков. Из-за недостаточной жесткости нажимных дисков без ребер и их отгибания ре</w:t>
      </w:r>
      <w:r w:rsidRPr="00DB5D0D">
        <w:rPr>
          <w:rFonts w:ascii="Times New Roman" w:hAnsi="Times New Roman"/>
          <w:color w:val="000000" w:themeColor="text1"/>
          <w:sz w:val="16"/>
          <w:szCs w:val="16"/>
        </w:rPr>
        <w:softHyphen/>
        <w:t>зина амортизаторов опорных катков выдавлива</w:t>
      </w:r>
      <w:r w:rsidRPr="00DB5D0D">
        <w:rPr>
          <w:rFonts w:ascii="Times New Roman" w:hAnsi="Times New Roman"/>
          <w:color w:val="000000" w:themeColor="text1"/>
          <w:sz w:val="16"/>
          <w:szCs w:val="16"/>
        </w:rPr>
        <w:softHyphen/>
        <w:t>лась и они разваливались. Некоторые катки на</w:t>
      </w:r>
      <w:r w:rsidRPr="00DB5D0D">
        <w:rPr>
          <w:rFonts w:ascii="Times New Roman" w:hAnsi="Times New Roman"/>
          <w:color w:val="000000" w:themeColor="text1"/>
          <w:sz w:val="16"/>
          <w:szCs w:val="16"/>
        </w:rPr>
        <w:softHyphen/>
        <w:t>чинали выходить из строя через 165-212 км про</w:t>
      </w:r>
      <w:r w:rsidRPr="00DB5D0D">
        <w:rPr>
          <w:rFonts w:ascii="Times New Roman" w:hAnsi="Times New Roman"/>
          <w:color w:val="000000" w:themeColor="text1"/>
          <w:sz w:val="16"/>
          <w:szCs w:val="16"/>
        </w:rPr>
        <w:softHyphen/>
        <w:t>бега, что объяснялось их слабой запрессовкой.</w:t>
      </w:r>
    </w:p>
    <w:p w14:paraId="771DD155"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Артсистема М-10 проходила испытания 10-11 июля в объеме 40 усиленных выстрелов (начальная скорость - 530 м/с) при различных вертикальных углах наводки. Стрельба произ</w:t>
      </w:r>
      <w:r w:rsidRPr="00DB5D0D">
        <w:rPr>
          <w:rFonts w:ascii="Times New Roman" w:hAnsi="Times New Roman"/>
          <w:color w:val="000000" w:themeColor="text1"/>
          <w:sz w:val="16"/>
          <w:szCs w:val="16"/>
        </w:rPr>
        <w:softHyphen/>
        <w:t>водилась при двух курсовых углах (на борт и на корму танка) по 20 выстрелов с каждого.</w:t>
      </w:r>
    </w:p>
    <w:p w14:paraId="4DF4A43C"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испытание системы повтори</w:t>
      </w:r>
      <w:r w:rsidRPr="00DB5D0D">
        <w:rPr>
          <w:rFonts w:ascii="Times New Roman" w:hAnsi="Times New Roman"/>
          <w:color w:val="000000" w:themeColor="text1"/>
          <w:sz w:val="16"/>
          <w:szCs w:val="16"/>
        </w:rPr>
        <w:softHyphen/>
        <w:t>ли, причем сделали 70 выстрелов, из них 30 нормальных (начальная скорость - 507 м/с, стрельба на кучность по щиту на дистанции 1000 м) и 40 усиленных. Кучность боя на ди</w:t>
      </w:r>
      <w:r w:rsidRPr="00DB5D0D">
        <w:rPr>
          <w:rFonts w:ascii="Times New Roman" w:hAnsi="Times New Roman"/>
          <w:color w:val="000000" w:themeColor="text1"/>
          <w:sz w:val="16"/>
          <w:szCs w:val="16"/>
        </w:rPr>
        <w:softHyphen/>
        <w:t>станции 1000 м при курсовых углах 0 и 90' при</w:t>
      </w:r>
      <w:r w:rsidRPr="00DB5D0D">
        <w:rPr>
          <w:rFonts w:ascii="Times New Roman" w:hAnsi="Times New Roman"/>
          <w:color w:val="000000" w:themeColor="text1"/>
          <w:sz w:val="16"/>
          <w:szCs w:val="16"/>
        </w:rPr>
        <w:softHyphen/>
        <w:t>знали удовлетворительной. При разборке си</w:t>
      </w:r>
      <w:r w:rsidRPr="00DB5D0D">
        <w:rPr>
          <w:rFonts w:ascii="Times New Roman" w:hAnsi="Times New Roman"/>
          <w:color w:val="000000" w:themeColor="text1"/>
          <w:sz w:val="16"/>
          <w:szCs w:val="16"/>
        </w:rPr>
        <w:softHyphen/>
        <w:t>стемы после испытаний дефектов не обнару</w:t>
      </w:r>
      <w:r w:rsidRPr="00DB5D0D">
        <w:rPr>
          <w:rFonts w:ascii="Times New Roman" w:hAnsi="Times New Roman"/>
          <w:color w:val="000000" w:themeColor="text1"/>
          <w:sz w:val="16"/>
          <w:szCs w:val="16"/>
        </w:rPr>
        <w:softHyphen/>
        <w:t>жили. Для обеспечения проверки работоспо</w:t>
      </w:r>
      <w:r w:rsidRPr="00DB5D0D">
        <w:rPr>
          <w:rFonts w:ascii="Times New Roman" w:hAnsi="Times New Roman"/>
          <w:color w:val="000000" w:themeColor="text1"/>
          <w:sz w:val="16"/>
          <w:szCs w:val="16"/>
        </w:rPr>
        <w:softHyphen/>
        <w:t>собности тормоза отката системы в' условиях танка рекомендовалось доработать инструк</w:t>
      </w:r>
      <w:r w:rsidRPr="00DB5D0D">
        <w:rPr>
          <w:rFonts w:ascii="Times New Roman" w:hAnsi="Times New Roman"/>
          <w:color w:val="000000" w:themeColor="text1"/>
          <w:sz w:val="16"/>
          <w:szCs w:val="16"/>
        </w:rPr>
        <w:softHyphen/>
        <w:t>цию по обслуживанию системы.</w:t>
      </w:r>
    </w:p>
    <w:p w14:paraId="3D4D8377"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итогам испытаний отмечалось</w:t>
      </w:r>
      <w:r w:rsidRPr="00DB5D0D">
        <w:rPr>
          <w:rStyle w:val="aff6"/>
          <w:rFonts w:ascii="Times New Roman" w:eastAsia="Arial Narrow" w:hAnsi="Times New Roman" w:cs="Times New Roman"/>
          <w:i w:val="0"/>
          <w:color w:val="000000" w:themeColor="text1"/>
        </w:rPr>
        <w:t xml:space="preserve"> «несе</w:t>
      </w:r>
      <w:r w:rsidRPr="00DB5D0D">
        <w:rPr>
          <w:rStyle w:val="aff6"/>
          <w:rFonts w:ascii="Times New Roman" w:eastAsia="Arial Narrow" w:hAnsi="Times New Roman" w:cs="Times New Roman"/>
          <w:i w:val="0"/>
          <w:color w:val="000000" w:themeColor="text1"/>
        </w:rPr>
        <w:softHyphen/>
        <w:t>рьезное отношение работников завода к под</w:t>
      </w:r>
      <w:r w:rsidRPr="00DB5D0D">
        <w:rPr>
          <w:rStyle w:val="aff6"/>
          <w:rFonts w:ascii="Times New Roman" w:eastAsia="Arial Narrow" w:hAnsi="Times New Roman" w:cs="Times New Roman"/>
          <w:i w:val="0"/>
          <w:color w:val="000000" w:themeColor="text1"/>
        </w:rPr>
        <w:softHyphen/>
        <w:t>готовке испытаний. Танк №У-1 участвовал на фронте в Финляндии, после чего был произ</w:t>
      </w:r>
      <w:r w:rsidRPr="00DB5D0D">
        <w:rPr>
          <w:rStyle w:val="aff6"/>
          <w:rFonts w:ascii="Times New Roman" w:eastAsia="Arial Narrow" w:hAnsi="Times New Roman" w:cs="Times New Roman"/>
          <w:i w:val="0"/>
          <w:color w:val="000000" w:themeColor="text1"/>
        </w:rPr>
        <w:softHyphen/>
        <w:t>веден капитальный ремонт его и предъявлен на испытания. Отсюда срок работы некоторых агрегатов (бортовые передачи, ходовая часть и др.) установить невозможно».</w:t>
      </w:r>
      <w:r w:rsidRPr="00DB5D0D">
        <w:rPr>
          <w:rFonts w:ascii="Times New Roman" w:hAnsi="Times New Roman"/>
          <w:color w:val="000000" w:themeColor="text1"/>
          <w:sz w:val="16"/>
          <w:szCs w:val="16"/>
        </w:rPr>
        <w:t xml:space="preserve"> Предлагалось усилить контроль за сборкой и монтажом уз</w:t>
      </w:r>
      <w:r w:rsidRPr="00DB5D0D">
        <w:rPr>
          <w:rFonts w:ascii="Times New Roman" w:hAnsi="Times New Roman"/>
          <w:color w:val="000000" w:themeColor="text1"/>
          <w:sz w:val="16"/>
          <w:szCs w:val="16"/>
        </w:rPr>
        <w:softHyphen/>
        <w:t>лов и агрегатов, обязав представителей воен</w:t>
      </w:r>
      <w:r w:rsidRPr="00DB5D0D">
        <w:rPr>
          <w:rFonts w:ascii="Times New Roman" w:hAnsi="Times New Roman"/>
          <w:color w:val="000000" w:themeColor="text1"/>
          <w:sz w:val="16"/>
          <w:szCs w:val="16"/>
        </w:rPr>
        <w:softHyphen/>
        <w:t>ной приемки принимать все узлы и агрегаты в целом и некоторые отдельные детали (напри</w:t>
      </w:r>
      <w:r w:rsidRPr="00DB5D0D">
        <w:rPr>
          <w:rFonts w:ascii="Times New Roman" w:hAnsi="Times New Roman"/>
          <w:color w:val="000000" w:themeColor="text1"/>
          <w:sz w:val="16"/>
          <w:szCs w:val="16"/>
        </w:rPr>
        <w:softHyphen/>
        <w:t>мер, торсионы). Следовало ускорить введе</w:t>
      </w:r>
      <w:r w:rsidRPr="00DB5D0D">
        <w:rPr>
          <w:rFonts w:ascii="Times New Roman" w:hAnsi="Times New Roman"/>
          <w:color w:val="000000" w:themeColor="text1"/>
          <w:sz w:val="16"/>
          <w:szCs w:val="16"/>
        </w:rPr>
        <w:softHyphen/>
        <w:t xml:space="preserve">ние стендов для испытаний узлов и агрегатов и приспособлений для их </w:t>
      </w:r>
      <w:r w:rsidRPr="00DB5D0D">
        <w:rPr>
          <w:rFonts w:ascii="Times New Roman" w:hAnsi="Times New Roman"/>
          <w:color w:val="000000" w:themeColor="text1"/>
          <w:sz w:val="16"/>
          <w:szCs w:val="16"/>
        </w:rPr>
        <w:lastRenderedPageBreak/>
        <w:t>проверки на узловой сборке. В результате на заводе провели целый ряд мероприятий организационного характе</w:t>
      </w:r>
      <w:r w:rsidRPr="00DB5D0D">
        <w:rPr>
          <w:rFonts w:ascii="Times New Roman" w:hAnsi="Times New Roman"/>
          <w:color w:val="000000" w:themeColor="text1"/>
          <w:sz w:val="16"/>
          <w:szCs w:val="16"/>
        </w:rPr>
        <w:softHyphen/>
        <w:t>ра, опытный цех перевели в подчинение КБ и расширили его производственную базу.</w:t>
      </w:r>
    </w:p>
    <w:p w14:paraId="61B934C2" w14:textId="77777777" w:rsidR="00990A0D" w:rsidRPr="00DB5D0D" w:rsidRDefault="00990A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заключение указывалось, что танк с во</w:t>
      </w:r>
      <w:r w:rsidRPr="00DB5D0D">
        <w:rPr>
          <w:rFonts w:ascii="Times New Roman" w:hAnsi="Times New Roman"/>
          <w:color w:val="000000" w:themeColor="text1"/>
          <w:sz w:val="16"/>
          <w:szCs w:val="16"/>
        </w:rPr>
        <w:softHyphen/>
        <w:t>оружением соответствует предъявленным требованиям и после устранения выявлен</w:t>
      </w:r>
      <w:r w:rsidRPr="00DB5D0D">
        <w:rPr>
          <w:rFonts w:ascii="Times New Roman" w:hAnsi="Times New Roman"/>
          <w:color w:val="000000" w:themeColor="text1"/>
          <w:sz w:val="16"/>
          <w:szCs w:val="16"/>
        </w:rPr>
        <w:softHyphen/>
        <w:t>ных недостатков может быть предъявлен на войсковые испытания по особой программе ГАБТУ КА (15767).</w:t>
      </w:r>
    </w:p>
    <w:p w14:paraId="1929F016" w14:textId="77777777" w:rsidR="00990A0D" w:rsidRPr="00DB5D0D" w:rsidRDefault="00990A0D" w:rsidP="00DB5D0D">
      <w:pPr>
        <w:spacing w:after="0" w:line="240" w:lineRule="auto"/>
        <w:jc w:val="both"/>
        <w:rPr>
          <w:rFonts w:ascii="Times New Roman" w:hAnsi="Times New Roman"/>
          <w:color w:val="000000" w:themeColor="text1"/>
          <w:sz w:val="16"/>
          <w:szCs w:val="16"/>
        </w:rPr>
      </w:pPr>
    </w:p>
    <w:p w14:paraId="78EC4E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10 июня 1940 состояние производства Т-34 по докладу старшего военного представителя ХПЗ Козырева:</w:t>
      </w:r>
    </w:p>
    <w:p w14:paraId="1C834B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Чертежами и временными ТУ все производственные участки будут обеспечены к 12-15 июня,</w:t>
      </w:r>
    </w:p>
    <w:p w14:paraId="73E56B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Разработка технологических процессов заканчивается. Идет изготовление штампов и оснастки приблизительно 1000 наименований,</w:t>
      </w:r>
    </w:p>
    <w:p w14:paraId="434F8C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Уже разработано 537 наименований, сделано 250</w:t>
      </w:r>
    </w:p>
    <w:p w14:paraId="5DC086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недостаток - отсутствие инструментальных сталей.</w:t>
      </w:r>
    </w:p>
    <w:p w14:paraId="3DE9C1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20 июня планируется закончить установку 2=х стендов для сварки корпусов Т-34,</w:t>
      </w:r>
    </w:p>
    <w:p w14:paraId="4BBE81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сегодня изготовлено 5 корпусов и одна башня, из них один комплект был послан СТЗ, остальные корпуса и башни будут готовы в конце июня.</w:t>
      </w:r>
    </w:p>
    <w:p w14:paraId="6686FC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Сборку машин Т-34 могут задержать: гусеница, радиаторы, вентяляторы, стекла триплекс и зеркалки, стартеры, спаренная шаровая установка и др.” (4661, 42).</w:t>
      </w:r>
    </w:p>
    <w:p w14:paraId="63938DF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DB94A0" w14:textId="77777777" w:rsidR="005B746D" w:rsidRPr="00DB5D0D" w:rsidRDefault="005B746D"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10 июня 1940 года в предложениях по уточнению системы танкового вооружения значилась 76-мм пушка с баллистикой 3-К. Вместе с тем, 85-мм орудие появилось в планах по созданию истребителя танков на базе Т-34. Кроме того, в КБ завода №92 под руководством В.Г. Грабина начались работы по 85-мм дивизионной пушке, изначально именовавшейся как Ф-28 УДЛ (позже Ф-7). Это была попытка Грабина хоть как-то трудоустроить лафет дуплекса Ф-25/Ф-28, поскольку к лету 1940 года стало ясно: ГАУ КА явно выбрала 107-мм дивизионную пушку, поэтому Ф-28 с калибром 95 мм оставалась не у дел. Это орудие существовало и в виде танковой пушки Ф-39, которую даже испытали, но к тому моменту уже стало понятно - даже полигонных испытаний не будет. Поэтому Василий Гаврилович и начал работы по новой дивизионной пушке, а также танковому орудию. Тем более что данные работы утвердили тогда же, когда и истребитель танков на базе Т-34, то есть 16 июня 1940 года. Теоретически данная система должна была вписываться в "малую башню" КВ, то есть в КВ-1. Изначальным сроком изготовления орудия значилось 1 сентября 1940 года. Отчасти такая скорость объяснялась тем, что орудие, получившее обозначение Ф-30, создавалось на базе технических решений по системам Ф-34 и Ф-39. Но нельзя не признать, что Грабин слишком торопился. Увы, такова была ситуация: более мощное орудие потребовалось срочно, поэтому времени не осталось. Это сильно повлияло и на судьбу Ф-30, и на судьбу Ф-7 (21243).</w:t>
      </w:r>
    </w:p>
    <w:p w14:paraId="1DE1AA19" w14:textId="77777777" w:rsidR="005B746D" w:rsidRPr="00DB5D0D" w:rsidRDefault="005B746D"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2EB9B6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 вышел приказ № 162/38 НКВ и НК электропромышленности:</w:t>
      </w:r>
    </w:p>
    <w:p w14:paraId="259E76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исполнение Постановления Экономсовета от 2 июня 1940 года о передаче строительства завода № 298 НКВ в ведение НК электропромышленности (9186).</w:t>
      </w:r>
    </w:p>
    <w:p w14:paraId="4B30319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EA68B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5BFCA3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9BD47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вышел приказ НКО по поводу пролета Ю-52 в Москву незамеченным. В нем фиксировались недостатки в частях противовоздушной обороны и указывалось на «недоработки» командиров всех степеней. Намечались и весьма неспешные меры по устранению отмеченных недостатков:</w:t>
      </w:r>
    </w:p>
    <w:p w14:paraId="1D5A56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Военному совету Западного ВО тщательно расследовать факт пролета немецкого самолета Ю-52, выявить всех виновных и наложить на них взыскания. </w:t>
      </w:r>
    </w:p>
    <w:p w14:paraId="2DBACA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Немедленно восстановить телефонную связь Белостокского аэропорта с 9-й САД и штабом 4-й бригады ПВО. Проверить связь других аэропортов со штабами ПВО в срок до 20.6.41. </w:t>
      </w:r>
    </w:p>
    <w:p w14:paraId="720643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 срок до 1.7.41 проверить состояние ПВО на ДВО. </w:t>
      </w:r>
    </w:p>
    <w:p w14:paraId="754DDC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Начальнику ГУ ПВО также до 1.7.41 обследовать состояние ПВО в Западном и Московском ВО. </w:t>
      </w:r>
    </w:p>
    <w:p w14:paraId="4722C1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 срок до 1.7.41 обеспечить посты ВНОС силуэтами самолетов и организовать проверку знаний персоналом постов силуэтов и их умение определять по ним принадлежность самолетов». </w:t>
      </w:r>
    </w:p>
    <w:p w14:paraId="1B7684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заключительной части вышеупомянутого приказа провинившихся военноначальников слегка пожурили. Командующему Западной зоны ПВО генерал-майору Сазонову и начальнику штаба 4-й бригады майору Автономову объявили выговор, а начальнику штаба ВВС генерал-майору Володину и его подчиненному Грендалю – замечание. А вот командиру 1-го корпуса ПВО генерал-майору Тихонову и заместителю начальника Главного управления ПВО генерал-майору Осипову было лишь вежливо предложено  «обратить внимание на слабую организацию системы ВНОС» (11774).</w:t>
      </w:r>
    </w:p>
    <w:p w14:paraId="2CD8498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89B0A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3D4B1D7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5B5F81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 Москве подписана русско-немецкая конвенция о порядке урегулирования пограничных споров и конфликтов (4962).</w:t>
      </w:r>
    </w:p>
    <w:p w14:paraId="30FB161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B8C6A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была подписана советско-германская конвенция, которая предусматривала порядок урегулирования пограничных инцидентов (3481).</w:t>
      </w:r>
    </w:p>
    <w:p w14:paraId="44E2201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F4CD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 Москве подписывается «Конвенция о порядке урегулирования пограничных конфликтов и инцидентов СССР и Германии». И результат - 15 июня мы вошли в Литву, а 17 июня - в Эстонию и Латвию. 14 июля в этих странах провели выборы, победили "наши". Новые правительства "сами" попросились в дружную советскую семью. Кто ж им откажет! И мы получили 3 союзных республики. Накануне СССР заявил всем трем прибалтийским государствам о "грубом нарушении ими пактов", потребовал изменить составы правительств и допуска на их территорию советских войск. Пока прибалты размышляли, в столицах уже работали наши ребята. В Риге, например, действовали Меркулов (первый зам. Берии) и знаменитый Судоплатов. Утвердили составы правительств и ввели войска. Вот! Красное знамя гордо реет над Вильнюсом, Таллином и Ригой. Старые правительства арестованы. Нет, литовский президент сбежал. Дело не в стремлении нести светлые идеи Ильича по всему миру. Суворов слишком наивен (или притворяется), когда утверждает такое. СССР стал ведущей мировой державой, а такие державы всегда обладают достаточной силой, чтобы подчинить своему влиянию любые соседние государства. Иначе они не великие. А коммунистические лозунги - дымовая завеса (12629).</w:t>
      </w:r>
    </w:p>
    <w:p w14:paraId="17749B0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F6C1AC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14C503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7ACF9B6" w14:textId="77777777" w:rsidR="00423D34" w:rsidRPr="00DB5D0D" w:rsidRDefault="00423D34" w:rsidP="00DB5D0D">
      <w:pPr>
        <w:pStyle w:val="28"/>
        <w:shd w:val="clear" w:color="auto" w:fill="auto"/>
        <w:spacing w:before="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С 10 июня по 31 октября 1940 Германия  потеряла 1733 самолета!!! (из них 845 истребителей, в т.ч. 610 штук  Bf-109E) и были вынуждены уступить небо английским “Харрикейнам” (сбившим более половины немцев) и “Спитфайрам”….(15738).</w:t>
      </w:r>
    </w:p>
    <w:p w14:paraId="11F47E68" w14:textId="77777777" w:rsidR="00423D34" w:rsidRPr="00DB5D0D" w:rsidRDefault="00423D34" w:rsidP="00DB5D0D">
      <w:pPr>
        <w:pStyle w:val="28"/>
        <w:shd w:val="clear" w:color="auto" w:fill="auto"/>
        <w:spacing w:before="0" w:line="240" w:lineRule="auto"/>
        <w:jc w:val="both"/>
        <w:rPr>
          <w:rFonts w:ascii="Times New Roman" w:hAnsi="Times New Roman" w:cs="Times New Roman"/>
          <w:color w:val="000000" w:themeColor="text1"/>
          <w:sz w:val="16"/>
          <w:szCs w:val="16"/>
        </w:rPr>
      </w:pPr>
    </w:p>
    <w:p w14:paraId="726F54A5"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10–11 июня (ночь) 1940 бомбардировщик французской морской авиации SNCAC NC.223 Жюль Верн бомбит завод Heinkel в Ростоке, Германия (20795).</w:t>
      </w:r>
    </w:p>
    <w:p w14:paraId="340F40FE" w14:textId="77777777" w:rsidR="005B746D" w:rsidRPr="00DB5D0D" w:rsidRDefault="005B746D" w:rsidP="00DB5D0D">
      <w:pPr>
        <w:spacing w:after="0" w:line="240" w:lineRule="auto"/>
        <w:jc w:val="both"/>
        <w:rPr>
          <w:rFonts w:ascii="Times New Roman" w:hAnsi="Times New Roman"/>
          <w:color w:val="0070C0"/>
          <w:sz w:val="16"/>
          <w:szCs w:val="16"/>
        </w:rPr>
      </w:pPr>
    </w:p>
    <w:p w14:paraId="55C479D1"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июня 1940 Италия объявляет войну Великобритании и Франции. Итальянские королевские военно-воздушные силы (Regia Aeronautica ) и итальянский королевский флот (Regia Marina ) начинают «осаду Мальты » с многократных бомбардировок острова, который в воздухе защищают только бипланы Gloster Gladiator компании Hal Far Fighter Flight  (20795).</w:t>
      </w:r>
    </w:p>
    <w:p w14:paraId="6D822FAC" w14:textId="77777777" w:rsidR="005B746D" w:rsidRPr="00DB5D0D" w:rsidRDefault="005B746D" w:rsidP="00DB5D0D">
      <w:pPr>
        <w:spacing w:after="0" w:line="240" w:lineRule="auto"/>
        <w:jc w:val="both"/>
        <w:rPr>
          <w:rFonts w:ascii="Times New Roman" w:hAnsi="Times New Roman"/>
          <w:color w:val="0070C0"/>
          <w:sz w:val="16"/>
          <w:szCs w:val="16"/>
        </w:rPr>
      </w:pPr>
    </w:p>
    <w:p w14:paraId="366BD724"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10 июня 1940 года, когда Италия вступила в мировую войну, в ее авиации преобладали устаревшие S.79 и B.R.20, кроме них было 304 бомбардировщика S.81, самолетов Z.1007 серии I в 50-й и 51-й группах 16-го полка было тридцать еще четыре в 47-м полку (22845).</w:t>
      </w:r>
    </w:p>
    <w:p w14:paraId="62294B14" w14:textId="77777777" w:rsidR="005B746D" w:rsidRPr="00DB5D0D" w:rsidRDefault="005B746D" w:rsidP="00DB5D0D">
      <w:pPr>
        <w:spacing w:after="0" w:line="240" w:lineRule="auto"/>
        <w:jc w:val="both"/>
        <w:rPr>
          <w:rFonts w:ascii="Times New Roman" w:hAnsi="Times New Roman"/>
          <w:color w:val="0070C0"/>
          <w:sz w:val="16"/>
          <w:szCs w:val="16"/>
        </w:rPr>
      </w:pPr>
    </w:p>
    <w:p w14:paraId="6BA213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во Франции германская армия форсировала Сену под Руаном и французское правительство покинуло Париж, прибыл 14 июня в Бордо (3907,223).</w:t>
      </w:r>
    </w:p>
    <w:p w14:paraId="43D6E1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883F5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французское правительство переехало из Парижа в Тур (4962).</w:t>
      </w:r>
    </w:p>
    <w:p w14:paraId="76F343A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D771CFB" w14:textId="77777777" w:rsidR="00706D5D" w:rsidRPr="00DB5D0D" w:rsidRDefault="00706D5D"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Правительство Франции бежало из Парижа в Тур, 17 июня Петен запросил мира, 18 июня 5-я и 8-я армии Франции, находившиеся на востоке Франции по линии Страсбург-Базель, были окружены с запада! «Линия Мажино» Францию от немцев не защитила и осталась примером грандиозной военной ошибки. 22 июня 1940 г. было подписано перемирие (17398).</w:t>
      </w:r>
    </w:p>
    <w:p w14:paraId="0D9FB5C2" w14:textId="77777777" w:rsidR="00706D5D" w:rsidRPr="00DB5D0D" w:rsidRDefault="00706D5D" w:rsidP="00DB5D0D">
      <w:pPr>
        <w:tabs>
          <w:tab w:val="left" w:pos="11199"/>
        </w:tabs>
        <w:spacing w:after="0" w:line="240" w:lineRule="auto"/>
        <w:jc w:val="both"/>
        <w:rPr>
          <w:rFonts w:ascii="Times New Roman" w:hAnsi="Times New Roman"/>
          <w:color w:val="000000" w:themeColor="text1"/>
          <w:sz w:val="16"/>
          <w:szCs w:val="16"/>
        </w:rPr>
      </w:pPr>
    </w:p>
    <w:p w14:paraId="430C8E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когда несмотря на все усилия французского и британского кабинетов, активно поддержанных Соединенными Штатами, в войну против Франции и Великобритании вступила Италия. Однако итальянское наступление против французских войск в Приморских Альпах не имело успеха, а само участие Италии в европейской войне - самостоятельного военного значения (3871).</w:t>
      </w:r>
    </w:p>
    <w:p w14:paraId="53C7431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E66D74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lastRenderedPageBreak/>
        <w:t>10 июня 1940 Италия объявила войну Франции и Англии, Канада объявила войну Италии (4962). ИтальянскаяавиацияначалабомбардировкуМальты</w:t>
      </w:r>
      <w:r w:rsidRPr="00DB5D0D">
        <w:rPr>
          <w:rFonts w:ascii="Times New Roman" w:hAnsi="Times New Roman"/>
          <w:color w:val="000000" w:themeColor="text1"/>
          <w:sz w:val="16"/>
          <w:szCs w:val="16"/>
          <w:lang w:val="en-US"/>
        </w:rPr>
        <w:t xml:space="preserve"> (4963).</w:t>
      </w:r>
    </w:p>
    <w:p w14:paraId="6A5E730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lang w:val="en-US"/>
        </w:rPr>
      </w:pPr>
    </w:p>
    <w:p w14:paraId="447077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 xml:space="preserve">June 10 Mon. 1940 Italy declares war on France and Great Britain; Italian troops invade France. </w:t>
      </w:r>
      <w:r w:rsidRPr="00DB5D0D">
        <w:rPr>
          <w:rFonts w:ascii="Times New Roman" w:hAnsi="Times New Roman"/>
          <w:color w:val="000000" w:themeColor="text1"/>
          <w:sz w:val="16"/>
          <w:szCs w:val="16"/>
        </w:rPr>
        <w:t>Canada declares war on Italy. (1064).</w:t>
      </w:r>
    </w:p>
    <w:p w14:paraId="29A6BD5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CBB05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Италия объявила войну Франции и Англии. Итальянские войска вошли во Францию. Канада объявила войну Италии (1064).</w:t>
      </w:r>
    </w:p>
    <w:p w14:paraId="2DDB719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A11368"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10 июня</w:t>
      </w:r>
      <w:r w:rsidRPr="00DB5D0D">
        <w:rPr>
          <w:rFonts w:ascii="Times New Roman" w:hAnsi="Times New Roman"/>
          <w:color w:val="000000" w:themeColor="text1"/>
          <w:sz w:val="16"/>
          <w:szCs w:val="16"/>
        </w:rPr>
        <w:t xml:space="preserve"> в 1940 году Италия вступила во вторую мировую войну на стороне Германии. Во время первой мировой войны Италия выступила на стороне Антанты, однако не смогла вернуть себе земли, находившиеся в составе Австро-Венгерской империи. Рост националистических настроений, экономический кризис и безработица привели в 1922 году (марш чернорубашечников на Рим) к власти фашистскую партию во главе с Муссолини, которого поддержал король Виктор Эммануил III. В 1925 году после убийства социалиста Маттеотти в стране была открыто установлена фашистская диктатура, которая вначале не только имела популярность среди народных масс, но и получила поддержку со стороны некоторых политических деятелей за рубежом. Фашистская Италия захватила Эфиопию (1935-1936), Албанию (1939). Был заключен союз с нацистской Германией. 10 июня 1940 года Италия вступила во вторую мировую войну на стороне Германии. После начала военных действий США и Англии в июле 1943 года на Сицилии, а затем и в самой Италии, в сентябре 1943 года Муссолини был арестован, но вскоре по личному распоряжению Гитлера был освобожден немецкими парашютистами и отправлен под охраной на север Италии. 17 сентября 1943 года была провозглашена Итальянская Социальная Республика во главе с Муссолини. Новое фашистское правительство расположилось в городишке Сало на озере Гарда, который дал название режиму. Власть «режима Сало» распространялась только на Северную Италию, оккупированную немецкими войсками. Настоящими хозяевами страны стали эсесовцы, контролировавшие все государственные учреждения, правительство и даже самого Муссолини. Эсесовцы и фанатики из «черных бригад» развернули террор, какого фашистская Италия еще не знала. Начались массовые расстрелы тысяч заложников и «дезертиров», отказавшихся вступать в армию «Сало». Десятки тысячи людей были насильственно депортированы в Германию на каторжные работы. Но террор уже не мог остановить народ. Против захватчиков развернулось движение Сопротивления. Повстанцы совместно с англо-американскими войсками освободили в 1945 году всю страну. Фашистский режим просуществовал в Италии до 1945 года, когда диктатор Муссолини 28 апреля был казнен партизанами. 2 июня 1946 года Италия была провозглашена республикой. Страна вышла из войны ослабленной, однако с помощью плана Маршалла усилия итальянского народа, направленные на восстановление экономики, привели к стремительному развитию страны, особенно в промышленности. Что касается политической жизни Италии в послевоенные годы, то она отмечена чрезвычайно частыми сменами кабинетов министров и вспышкой политического терроризма в 1970-х годах («Красные бригады») (14918).</w:t>
      </w:r>
    </w:p>
    <w:p w14:paraId="7C72520C"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48C28B52"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10 июня</w:t>
      </w:r>
      <w:r w:rsidRPr="00DB5D0D">
        <w:rPr>
          <w:rFonts w:ascii="Times New Roman" w:hAnsi="Times New Roman"/>
          <w:color w:val="000000" w:themeColor="text1"/>
          <w:sz w:val="16"/>
          <w:szCs w:val="16"/>
        </w:rPr>
        <w:t xml:space="preserve"> в 1940 году заключение германо-итальянского соглашения об отправке рабочей силы из Италии в Германию (14918).</w:t>
      </w:r>
    </w:p>
    <w:p w14:paraId="6A67B775"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27F5E836"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10 июня</w:t>
      </w:r>
      <w:r w:rsidRPr="00DB5D0D">
        <w:rPr>
          <w:rFonts w:ascii="Times New Roman" w:hAnsi="Times New Roman"/>
          <w:color w:val="000000" w:themeColor="text1"/>
          <w:sz w:val="16"/>
          <w:szCs w:val="16"/>
        </w:rPr>
        <w:t xml:space="preserve"> в 1940 году капитуляция норвежской армии и завершение завоевания немцами Норвегии (14918).</w:t>
      </w:r>
    </w:p>
    <w:p w14:paraId="1FDA17E4"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0CD3491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10th, 1940: In Norway, the remaining troops of the Norwegian Army surrender. Italy declares war on Britain and France and begins an offensive along the coast of the Riviera (3819).</w:t>
      </w:r>
    </w:p>
    <w:p w14:paraId="20A8BBB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43668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в Норвегии остатки норвежской армии капитулировали. Италия объявила войну Англии и Франции и начала наступление вдоль побережья Ривьеры (3819).</w:t>
      </w:r>
    </w:p>
    <w:p w14:paraId="364264E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25FC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Норвегия капитулировала (340,8;2244,4).</w:t>
      </w:r>
    </w:p>
    <w:p w14:paraId="484A6F7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A361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(11 - 2240) июня 1940 Мальта стала использоваться как авиабаза для налетов на Италию и Ливию с использованием Велингтонов (2244,4).</w:t>
      </w:r>
    </w:p>
    <w:p w14:paraId="18DE799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9EB05D3" w14:textId="77777777" w:rsidR="009A0A59" w:rsidRPr="00DB5D0D" w:rsidRDefault="009A0A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июня 1940 президент США в обращении к сотрудникам Виргинского университета: «Мы будем в одно время преследовать две различные цели — помогать материально тем, кто противится агрессии, и не форсировать развитие этой помощи, чтобы мы сами были в состоянии обеспечить нашей армии должный уровень обучения и вооружения на случай возможной агрессии». </w:t>
      </w:r>
    </w:p>
    <w:p w14:paraId="384B2813" w14:textId="77777777" w:rsidR="009A0A59" w:rsidRPr="00DB5D0D" w:rsidRDefault="009A0A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Это значило, что США должны были добавить к военному производству, созданному на иностранные капиталы, производство, необходимое для выполнения как наших собственных, так и дополнительных иностранных заказов. При этом возникало несколько вопросов. </w:t>
      </w:r>
    </w:p>
    <w:p w14:paraId="364D3220" w14:textId="77777777" w:rsidR="009A0A59" w:rsidRPr="00DB5D0D" w:rsidRDefault="009A0A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каких масштабах развивать производство вооружений? От этого зависело, насколько быстро мы сможем вооружаться и выполнять заказы других демократических стран. </w:t>
      </w:r>
    </w:p>
    <w:p w14:paraId="4A88CB91" w14:textId="77777777" w:rsidR="009A0A59" w:rsidRPr="00DB5D0D" w:rsidRDefault="009A0A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Какого рода вооружения следует производить? Значительная часть уже существующих и строящихся военно-промышленных объектов была создана благодаря военным заказам. Часть из них производила вооружения, не соответствующие нашим стандартам. Надо было что-то делать, иначе мы получили бы много заводов, работающих по зарубежным стандартам, и нам было бы не так легко использовать их для наших нужд в случае агрессии. </w:t>
      </w:r>
    </w:p>
    <w:p w14:paraId="7CF660A0" w14:textId="77777777" w:rsidR="009A0A59" w:rsidRPr="00DB5D0D" w:rsidRDefault="009A0A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разделить продукцию новых заводов, принимая во внимание задачу, поставленную президентом: вооружаться самим и вооружать тех, кто сражается со странами оси, чтобы исключить войну в западном полушарии? (17417).</w:t>
      </w:r>
    </w:p>
    <w:p w14:paraId="12E5C9FF" w14:textId="77777777" w:rsidR="009A0A59" w:rsidRPr="00DB5D0D" w:rsidRDefault="009A0A59" w:rsidP="00DB5D0D">
      <w:pPr>
        <w:spacing w:after="0" w:line="240" w:lineRule="auto"/>
        <w:jc w:val="both"/>
        <w:rPr>
          <w:rFonts w:ascii="Times New Roman" w:hAnsi="Times New Roman"/>
          <w:color w:val="000000" w:themeColor="text1"/>
          <w:sz w:val="16"/>
          <w:szCs w:val="16"/>
        </w:rPr>
      </w:pPr>
    </w:p>
    <w:p w14:paraId="1482F67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F35B08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9C23C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в письме № 2201 на имя А.С.Яковлева начальник института М.М.Громов писал:</w:t>
      </w:r>
    </w:p>
    <w:p w14:paraId="3BA843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"В результате ознакомления с от</w:t>
      </w:r>
      <w:r w:rsidRPr="00DB5D0D">
        <w:rPr>
          <w:rFonts w:ascii="Times New Roman" w:hAnsi="Times New Roman"/>
          <w:iCs/>
          <w:color w:val="000000" w:themeColor="text1"/>
          <w:sz w:val="16"/>
          <w:szCs w:val="16"/>
        </w:rPr>
        <w:softHyphen/>
        <w:t>четом НИИ ВВС и облета самолета "БШ" т. Юмашевым А. Б. можно кон</w:t>
      </w:r>
      <w:r w:rsidRPr="00DB5D0D">
        <w:rPr>
          <w:rFonts w:ascii="Times New Roman" w:hAnsi="Times New Roman"/>
          <w:iCs/>
          <w:color w:val="000000" w:themeColor="text1"/>
          <w:sz w:val="16"/>
          <w:szCs w:val="16"/>
        </w:rPr>
        <w:softHyphen/>
        <w:t>статировать следующее:</w:t>
      </w:r>
    </w:p>
    <w:p w14:paraId="412382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Самолет с мотором АМ-35 ском</w:t>
      </w:r>
      <w:r w:rsidRPr="00DB5D0D">
        <w:rPr>
          <w:rFonts w:ascii="Times New Roman" w:hAnsi="Times New Roman"/>
          <w:iCs/>
          <w:color w:val="000000" w:themeColor="text1"/>
          <w:sz w:val="16"/>
          <w:szCs w:val="16"/>
        </w:rPr>
        <w:softHyphen/>
        <w:t>понован хорошо как с боевой, так и с конструктивной точки зрения. У само</w:t>
      </w:r>
      <w:r w:rsidRPr="00DB5D0D">
        <w:rPr>
          <w:rFonts w:ascii="Times New Roman" w:hAnsi="Times New Roman"/>
          <w:iCs/>
          <w:color w:val="000000" w:themeColor="text1"/>
          <w:sz w:val="16"/>
          <w:szCs w:val="16"/>
        </w:rPr>
        <w:softHyphen/>
        <w:t>лета хороший обзор с пилотского си</w:t>
      </w:r>
      <w:r w:rsidRPr="00DB5D0D">
        <w:rPr>
          <w:rFonts w:ascii="Times New Roman" w:hAnsi="Times New Roman"/>
          <w:iCs/>
          <w:color w:val="000000" w:themeColor="text1"/>
          <w:sz w:val="16"/>
          <w:szCs w:val="16"/>
        </w:rPr>
        <w:softHyphen/>
        <w:t>дения. Обеспечена непосредственная связь между летчиком и штурманом. Экипаж и жизненные части самолета очень хорошо защищены броней.</w:t>
      </w:r>
    </w:p>
    <w:p w14:paraId="0A4EA5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2) к недостаткам самолета следу</w:t>
      </w:r>
      <w:r w:rsidRPr="00DB5D0D">
        <w:rPr>
          <w:rFonts w:ascii="Times New Roman" w:hAnsi="Times New Roman"/>
          <w:iCs/>
          <w:color w:val="000000" w:themeColor="text1"/>
          <w:sz w:val="16"/>
          <w:szCs w:val="16"/>
        </w:rPr>
        <w:softHyphen/>
        <w:t>ет отнести:</w:t>
      </w:r>
    </w:p>
    <w:p w14:paraId="0632D1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 небольшую скорость у земли (362 км/ч),</w:t>
      </w:r>
    </w:p>
    <w:p w14:paraId="6698C7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б) небольшую дальность самоле</w:t>
      </w:r>
      <w:r w:rsidRPr="00DB5D0D">
        <w:rPr>
          <w:rFonts w:ascii="Times New Roman" w:hAnsi="Times New Roman"/>
          <w:iCs/>
          <w:color w:val="000000" w:themeColor="text1"/>
          <w:sz w:val="16"/>
          <w:szCs w:val="16"/>
        </w:rPr>
        <w:softHyphen/>
        <w:t>та (618 км),</w:t>
      </w:r>
    </w:p>
    <w:p w14:paraId="0E2ED8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в) продольную неустойчивость самолета со свободным рулем высо</w:t>
      </w:r>
      <w:r w:rsidRPr="00DB5D0D">
        <w:rPr>
          <w:rFonts w:ascii="Times New Roman" w:hAnsi="Times New Roman"/>
          <w:iCs/>
          <w:color w:val="000000" w:themeColor="text1"/>
          <w:sz w:val="16"/>
          <w:szCs w:val="16"/>
        </w:rPr>
        <w:softHyphen/>
        <w:t>ты.</w:t>
      </w:r>
    </w:p>
    <w:p w14:paraId="363E54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При постановке мотора АМ-38 с но</w:t>
      </w:r>
      <w:r w:rsidRPr="00DB5D0D">
        <w:rPr>
          <w:rFonts w:ascii="Times New Roman" w:hAnsi="Times New Roman"/>
          <w:iCs/>
          <w:color w:val="000000" w:themeColor="text1"/>
          <w:sz w:val="16"/>
          <w:szCs w:val="16"/>
        </w:rPr>
        <w:softHyphen/>
        <w:t>минальной мощностью у земли поряд</w:t>
      </w:r>
      <w:r w:rsidRPr="00DB5D0D">
        <w:rPr>
          <w:rFonts w:ascii="Times New Roman" w:hAnsi="Times New Roman"/>
          <w:iCs/>
          <w:color w:val="000000" w:themeColor="text1"/>
          <w:sz w:val="16"/>
          <w:szCs w:val="16"/>
        </w:rPr>
        <w:softHyphen/>
        <w:t>ка 1500-1550 л. с. максимальная ско</w:t>
      </w:r>
      <w:r w:rsidRPr="00DB5D0D">
        <w:rPr>
          <w:rFonts w:ascii="Times New Roman" w:hAnsi="Times New Roman"/>
          <w:iCs/>
          <w:color w:val="000000" w:themeColor="text1"/>
          <w:sz w:val="16"/>
          <w:szCs w:val="16"/>
        </w:rPr>
        <w:softHyphen/>
        <w:t>рость самолета может быть доведена до 400 км/ч.</w:t>
      </w:r>
    </w:p>
    <w:p w14:paraId="103FA4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Дальность полета может быть уве</w:t>
      </w:r>
      <w:r w:rsidRPr="00DB5D0D">
        <w:rPr>
          <w:rFonts w:ascii="Times New Roman" w:hAnsi="Times New Roman"/>
          <w:iCs/>
          <w:color w:val="000000" w:themeColor="text1"/>
          <w:sz w:val="16"/>
          <w:szCs w:val="16"/>
        </w:rPr>
        <w:softHyphen/>
        <w:t>личена за счет подвесных сбрасыва</w:t>
      </w:r>
      <w:r w:rsidRPr="00DB5D0D">
        <w:rPr>
          <w:rFonts w:ascii="Times New Roman" w:hAnsi="Times New Roman"/>
          <w:iCs/>
          <w:color w:val="000000" w:themeColor="text1"/>
          <w:sz w:val="16"/>
          <w:szCs w:val="16"/>
        </w:rPr>
        <w:softHyphen/>
        <w:t>емых баков. Постановка же неброни</w:t>
      </w:r>
      <w:r w:rsidRPr="00DB5D0D">
        <w:rPr>
          <w:rFonts w:ascii="Times New Roman" w:hAnsi="Times New Roman"/>
          <w:iCs/>
          <w:color w:val="000000" w:themeColor="text1"/>
          <w:sz w:val="16"/>
          <w:szCs w:val="16"/>
        </w:rPr>
        <w:softHyphen/>
        <w:t>рованного бака в фюзеляже, как это осуществляется конструктором, сводит на нет уязвимость самолета.</w:t>
      </w:r>
    </w:p>
    <w:p w14:paraId="748D40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Продольная неустойчивость само</w:t>
      </w:r>
      <w:r w:rsidRPr="00DB5D0D">
        <w:rPr>
          <w:rFonts w:ascii="Times New Roman" w:hAnsi="Times New Roman"/>
          <w:iCs/>
          <w:color w:val="000000" w:themeColor="text1"/>
          <w:sz w:val="16"/>
          <w:szCs w:val="16"/>
        </w:rPr>
        <w:softHyphen/>
        <w:t>лета легко может быть излечена пу</w:t>
      </w:r>
      <w:r w:rsidRPr="00DB5D0D">
        <w:rPr>
          <w:rFonts w:ascii="Times New Roman" w:hAnsi="Times New Roman"/>
          <w:iCs/>
          <w:color w:val="000000" w:themeColor="text1"/>
          <w:sz w:val="16"/>
          <w:szCs w:val="16"/>
        </w:rPr>
        <w:softHyphen/>
        <w:t>тем соответствующего изменения стреловидности крыла. В настоящее время КБ осуществляет изменение стреловидности без учета потребно</w:t>
      </w:r>
      <w:r w:rsidRPr="00DB5D0D">
        <w:rPr>
          <w:rFonts w:ascii="Times New Roman" w:hAnsi="Times New Roman"/>
          <w:iCs/>
          <w:color w:val="000000" w:themeColor="text1"/>
          <w:sz w:val="16"/>
          <w:szCs w:val="16"/>
        </w:rPr>
        <w:softHyphen/>
        <w:t>го смещения вперед ц. т. в отношении САХ, т.к. во время испытаний не опре</w:t>
      </w:r>
      <w:r w:rsidRPr="00DB5D0D">
        <w:rPr>
          <w:rFonts w:ascii="Times New Roman" w:hAnsi="Times New Roman"/>
          <w:iCs/>
          <w:color w:val="000000" w:themeColor="text1"/>
          <w:sz w:val="16"/>
          <w:szCs w:val="16"/>
        </w:rPr>
        <w:softHyphen/>
        <w:t>делена центровка, при которой само</w:t>
      </w:r>
      <w:r w:rsidRPr="00DB5D0D">
        <w:rPr>
          <w:rFonts w:ascii="Times New Roman" w:hAnsi="Times New Roman"/>
          <w:iCs/>
          <w:color w:val="000000" w:themeColor="text1"/>
          <w:sz w:val="16"/>
          <w:szCs w:val="16"/>
        </w:rPr>
        <w:softHyphen/>
        <w:t>лет устойчив со свободным рулем высоты.</w:t>
      </w:r>
    </w:p>
    <w:p w14:paraId="69EDAE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После устранения указанных недо</w:t>
      </w:r>
      <w:r w:rsidRPr="00DB5D0D">
        <w:rPr>
          <w:rFonts w:ascii="Times New Roman" w:hAnsi="Times New Roman"/>
          <w:iCs/>
          <w:color w:val="000000" w:themeColor="text1"/>
          <w:sz w:val="16"/>
          <w:szCs w:val="16"/>
        </w:rPr>
        <w:softHyphen/>
        <w:t>статков самолет может быть предло</w:t>
      </w:r>
      <w:r w:rsidRPr="00DB5D0D">
        <w:rPr>
          <w:rFonts w:ascii="Times New Roman" w:hAnsi="Times New Roman"/>
          <w:iCs/>
          <w:color w:val="000000" w:themeColor="text1"/>
          <w:sz w:val="16"/>
          <w:szCs w:val="16"/>
        </w:rPr>
        <w:softHyphen/>
        <w:t xml:space="preserve">жен для большой серии". </w:t>
      </w:r>
      <w:r w:rsidRPr="00DB5D0D">
        <w:rPr>
          <w:rFonts w:ascii="Times New Roman" w:hAnsi="Times New Roman"/>
          <w:color w:val="000000" w:themeColor="text1"/>
          <w:sz w:val="16"/>
          <w:szCs w:val="16"/>
        </w:rPr>
        <w:t>Как видим, НКАПовские пилоты были солидарны с военными летчиками как в отношении оценки летно-технических характеристик БШ-2, так и в отношении запуска последнего в большую серию (6467).</w:t>
      </w:r>
    </w:p>
    <w:p w14:paraId="5E50207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2FB2D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Нач. ЛТГ НКАП М.М.Г. докладывал Зам Наркома А.С.Я. (исход. 2201 от 11 июня 1940, вход. ? от 16 июня 1940):</w:t>
      </w:r>
    </w:p>
    <w:p w14:paraId="3908D7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ознакомления с отчетом НИИ ВВС и облета самолета БШ т. А.Б.Юмашевым можно констатировать следующее:</w:t>
      </w:r>
    </w:p>
    <w:p w14:paraId="23402D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с мотором АМ-35 скомпонован хорошо как с боевой, так и с конструктивной точки зрения. У самолета хороший обзор с пилотского сидения. Обеспечена непосредственная связь между л и ш. Экипаж и жизненные части самолета очень хорошо защищены броней.</w:t>
      </w:r>
    </w:p>
    <w:p w14:paraId="702260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 недостаткам самолета следует отнести:</w:t>
      </w:r>
    </w:p>
    <w:p w14:paraId="71DF32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небольшую скорость у земли (362 км/час),</w:t>
      </w:r>
    </w:p>
    <w:p w14:paraId="1A95D0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небольшую дальность полета (618 км),</w:t>
      </w:r>
    </w:p>
    <w:p w14:paraId="00622B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продольную неустойчивость самолета со свободным РВ.</w:t>
      </w:r>
    </w:p>
    <w:p w14:paraId="511C12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постановке мотора АМ-38 с номинальной мощностью у земли порядка 1500-1550 нр максимальная скорость самолета может быть доведена до 400 км/час.</w:t>
      </w:r>
    </w:p>
    <w:p w14:paraId="3CFA0B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самолета может быть увеличена за счет подвесных сбрасываемых баков. Постановка же небронированного бака в фюзеляже, как это осуществляется конструктором, сводит на нет неуязвимость самолета.</w:t>
      </w:r>
    </w:p>
    <w:p w14:paraId="5F8C84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Продольная неустойчивость самолета легко может быть излечена путем соответствующего изменения стреловидности крыла. В настоящее время КБ осуществляет изменение стреловидности без учета потребного смещения вперед ц.т. в отношении САХ, т.к. во время испытаний не определена центровка, при которой самолет устойчив со свободным РВ.</w:t>
      </w:r>
    </w:p>
    <w:p w14:paraId="2CBDA4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После устранения указанных недостатков самолет м.б. предложен для большой серии." (1379).</w:t>
      </w:r>
    </w:p>
    <w:p w14:paraId="0267D98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1041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 в письме № 2201 на имя заместителя наркома авиапро</w:t>
      </w:r>
      <w:r w:rsidRPr="00DB5D0D">
        <w:rPr>
          <w:rFonts w:ascii="Times New Roman" w:hAnsi="Times New Roman"/>
          <w:color w:val="000000" w:themeColor="text1"/>
          <w:sz w:val="16"/>
          <w:szCs w:val="16"/>
        </w:rPr>
        <w:softHyphen/>
        <w:t>мышленности по опытному строи</w:t>
      </w:r>
      <w:r w:rsidRPr="00DB5D0D">
        <w:rPr>
          <w:rFonts w:ascii="Times New Roman" w:hAnsi="Times New Roman"/>
          <w:color w:val="000000" w:themeColor="text1"/>
          <w:sz w:val="16"/>
          <w:szCs w:val="16"/>
        </w:rPr>
        <w:softHyphen/>
        <w:t>тельству и науке А. С. Яковлева М.М.Гро</w:t>
      </w:r>
      <w:r w:rsidRPr="00DB5D0D">
        <w:rPr>
          <w:rFonts w:ascii="Times New Roman" w:hAnsi="Times New Roman"/>
          <w:color w:val="000000" w:themeColor="text1"/>
          <w:sz w:val="16"/>
          <w:szCs w:val="16"/>
        </w:rPr>
        <w:softHyphen/>
        <w:t>мов писал:</w:t>
      </w:r>
    </w:p>
    <w:p w14:paraId="3BA5B7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ознакомления с отче</w:t>
      </w:r>
      <w:r w:rsidRPr="00DB5D0D">
        <w:rPr>
          <w:rFonts w:ascii="Times New Roman" w:hAnsi="Times New Roman"/>
          <w:color w:val="000000" w:themeColor="text1"/>
          <w:sz w:val="16"/>
          <w:szCs w:val="16"/>
        </w:rPr>
        <w:softHyphen/>
        <w:t>том НИИ ВВС и облета самолета “БШ” т. Юмашевым А. Б. можно констатировать следующее:</w:t>
      </w:r>
    </w:p>
    <w:p w14:paraId="5F8772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с мотором АМ-35 скомпо</w:t>
      </w:r>
      <w:r w:rsidRPr="00DB5D0D">
        <w:rPr>
          <w:rFonts w:ascii="Times New Roman" w:hAnsi="Times New Roman"/>
          <w:color w:val="000000" w:themeColor="text1"/>
          <w:sz w:val="16"/>
          <w:szCs w:val="16"/>
        </w:rPr>
        <w:softHyphen/>
        <w:t>нован хорошо как с боевой, так и с конст</w:t>
      </w:r>
      <w:r w:rsidRPr="00DB5D0D">
        <w:rPr>
          <w:rFonts w:ascii="Times New Roman" w:hAnsi="Times New Roman"/>
          <w:color w:val="000000" w:themeColor="text1"/>
          <w:sz w:val="16"/>
          <w:szCs w:val="16"/>
        </w:rPr>
        <w:softHyphen/>
        <w:t>руктивной точки зрения. У самолета хо</w:t>
      </w:r>
      <w:r w:rsidRPr="00DB5D0D">
        <w:rPr>
          <w:rFonts w:ascii="Times New Roman" w:hAnsi="Times New Roman"/>
          <w:color w:val="000000" w:themeColor="text1"/>
          <w:sz w:val="16"/>
          <w:szCs w:val="16"/>
        </w:rPr>
        <w:softHyphen/>
        <w:t>роший обзор с пилотского сидения. Обес</w:t>
      </w:r>
      <w:r w:rsidRPr="00DB5D0D">
        <w:rPr>
          <w:rFonts w:ascii="Times New Roman" w:hAnsi="Times New Roman"/>
          <w:color w:val="000000" w:themeColor="text1"/>
          <w:sz w:val="16"/>
          <w:szCs w:val="16"/>
        </w:rPr>
        <w:softHyphen/>
        <w:t>печена непосредственная связь между летчиком и штурманом. Экипаж и жиз</w:t>
      </w:r>
      <w:r w:rsidRPr="00DB5D0D">
        <w:rPr>
          <w:rFonts w:ascii="Times New Roman" w:hAnsi="Times New Roman"/>
          <w:color w:val="000000" w:themeColor="text1"/>
          <w:sz w:val="16"/>
          <w:szCs w:val="16"/>
        </w:rPr>
        <w:softHyphen/>
        <w:t>ненные части самолета очень хорошо за</w:t>
      </w:r>
      <w:r w:rsidRPr="00DB5D0D">
        <w:rPr>
          <w:rFonts w:ascii="Times New Roman" w:hAnsi="Times New Roman"/>
          <w:color w:val="000000" w:themeColor="text1"/>
          <w:sz w:val="16"/>
          <w:szCs w:val="16"/>
        </w:rPr>
        <w:softHyphen/>
        <w:t>щищены броней (4140).</w:t>
      </w:r>
    </w:p>
    <w:p w14:paraId="6A39ED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 недостаткам самолета следует отнести:</w:t>
      </w:r>
    </w:p>
    <w:p w14:paraId="4B4946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небольшую скорость у земли (362 км/ч),</w:t>
      </w:r>
    </w:p>
    <w:p w14:paraId="551E95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небольшую дальность самолета (618км),</w:t>
      </w:r>
    </w:p>
    <w:p w14:paraId="116CEA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продольную неустойчивость самоле</w:t>
      </w:r>
      <w:r w:rsidRPr="00DB5D0D">
        <w:rPr>
          <w:rFonts w:ascii="Times New Roman" w:hAnsi="Times New Roman"/>
          <w:color w:val="000000" w:themeColor="text1"/>
          <w:sz w:val="16"/>
          <w:szCs w:val="16"/>
        </w:rPr>
        <w:softHyphen/>
        <w:t>та со свободным рулем высоты (4140).</w:t>
      </w:r>
    </w:p>
    <w:p w14:paraId="1A5C82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постановке мотора АМ-38 с но</w:t>
      </w:r>
      <w:r w:rsidRPr="00DB5D0D">
        <w:rPr>
          <w:rFonts w:ascii="Times New Roman" w:hAnsi="Times New Roman"/>
          <w:color w:val="000000" w:themeColor="text1"/>
          <w:sz w:val="16"/>
          <w:szCs w:val="16"/>
        </w:rPr>
        <w:softHyphen/>
        <w:t>минальной мощностью у земли порядка 1500-1550 л. с. максимальная скорость самолета может быть доведена до 400 км/ч (4140).</w:t>
      </w:r>
    </w:p>
    <w:p w14:paraId="69FD45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может быть уве</w:t>
      </w:r>
      <w:r w:rsidRPr="00DB5D0D">
        <w:rPr>
          <w:rFonts w:ascii="Times New Roman" w:hAnsi="Times New Roman"/>
          <w:color w:val="000000" w:themeColor="text1"/>
          <w:sz w:val="16"/>
          <w:szCs w:val="16"/>
        </w:rPr>
        <w:softHyphen/>
        <w:t>личена за счет подвесных сбрасываемых баков. Постановка же небронированного бака в фюзеляже, как это осуществляет</w:t>
      </w:r>
      <w:r w:rsidRPr="00DB5D0D">
        <w:rPr>
          <w:rFonts w:ascii="Times New Roman" w:hAnsi="Times New Roman"/>
          <w:color w:val="000000" w:themeColor="text1"/>
          <w:sz w:val="16"/>
          <w:szCs w:val="16"/>
        </w:rPr>
        <w:softHyphen/>
        <w:t>ся конструктором, сводит па пет уязви</w:t>
      </w:r>
      <w:r w:rsidRPr="00DB5D0D">
        <w:rPr>
          <w:rFonts w:ascii="Times New Roman" w:hAnsi="Times New Roman"/>
          <w:color w:val="000000" w:themeColor="text1"/>
          <w:sz w:val="16"/>
          <w:szCs w:val="16"/>
        </w:rPr>
        <w:softHyphen/>
        <w:t>мость самолета (4140).</w:t>
      </w:r>
    </w:p>
    <w:p w14:paraId="346DF1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Продольная неустойчивость самоле</w:t>
      </w:r>
      <w:r w:rsidRPr="00DB5D0D">
        <w:rPr>
          <w:rFonts w:ascii="Times New Roman" w:hAnsi="Times New Roman"/>
          <w:color w:val="000000" w:themeColor="text1"/>
          <w:sz w:val="16"/>
          <w:szCs w:val="16"/>
        </w:rPr>
        <w:softHyphen/>
        <w:t>та легко может быть излечена путем со</w:t>
      </w:r>
      <w:r w:rsidRPr="00DB5D0D">
        <w:rPr>
          <w:rFonts w:ascii="Times New Roman" w:hAnsi="Times New Roman"/>
          <w:color w:val="000000" w:themeColor="text1"/>
          <w:sz w:val="16"/>
          <w:szCs w:val="16"/>
        </w:rPr>
        <w:softHyphen/>
        <w:t>ответствующего изменения стреловидности крыла. В настоящее время КБ осуще</w:t>
      </w:r>
      <w:r w:rsidRPr="00DB5D0D">
        <w:rPr>
          <w:rFonts w:ascii="Times New Roman" w:hAnsi="Times New Roman"/>
          <w:color w:val="000000" w:themeColor="text1"/>
          <w:sz w:val="16"/>
          <w:szCs w:val="16"/>
        </w:rPr>
        <w:softHyphen/>
        <w:t>ствляет изменение стреловидности без учета потребного смещения вперед ц.т, в отношении САХ, т.к. во время испыта</w:t>
      </w:r>
      <w:r w:rsidRPr="00DB5D0D">
        <w:rPr>
          <w:rFonts w:ascii="Times New Roman" w:hAnsi="Times New Roman"/>
          <w:color w:val="000000" w:themeColor="text1"/>
          <w:sz w:val="16"/>
          <w:szCs w:val="16"/>
        </w:rPr>
        <w:softHyphen/>
        <w:t>ний не определена центровка, при кото</w:t>
      </w:r>
      <w:r w:rsidRPr="00DB5D0D">
        <w:rPr>
          <w:rFonts w:ascii="Times New Roman" w:hAnsi="Times New Roman"/>
          <w:color w:val="000000" w:themeColor="text1"/>
          <w:sz w:val="16"/>
          <w:szCs w:val="16"/>
        </w:rPr>
        <w:softHyphen/>
        <w:t>рой самолет устойчив со свободным рулем высоты (4140).</w:t>
      </w:r>
    </w:p>
    <w:p w14:paraId="78E00A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устранения указанных недо</w:t>
      </w:r>
      <w:r w:rsidRPr="00DB5D0D">
        <w:rPr>
          <w:rFonts w:ascii="Times New Roman" w:hAnsi="Times New Roman"/>
          <w:color w:val="000000" w:themeColor="text1"/>
          <w:sz w:val="16"/>
          <w:szCs w:val="16"/>
        </w:rPr>
        <w:softHyphen/>
        <w:t>статков самолет может быть предло</w:t>
      </w:r>
      <w:r w:rsidRPr="00DB5D0D">
        <w:rPr>
          <w:rFonts w:ascii="Times New Roman" w:hAnsi="Times New Roman"/>
          <w:color w:val="000000" w:themeColor="text1"/>
          <w:sz w:val="16"/>
          <w:szCs w:val="16"/>
        </w:rPr>
        <w:softHyphen/>
        <w:t>жен для большой серии” (4140).</w:t>
      </w:r>
    </w:p>
    <w:p w14:paraId="4605491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3D2AA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 в письме № 2201 на имя заместителя наркома авиапромышленности по опытному строительству и науке А.С.Яковлева М.М.Громов писал:</w:t>
      </w:r>
    </w:p>
    <w:p w14:paraId="53D206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ознакомления с отчетом НИИ ВВС и облета самолета «БШ» т. Юмашевым А.Б. можно констатировать следующее:</w:t>
      </w:r>
    </w:p>
    <w:p w14:paraId="3B52C6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с мотором АМ-35 скомпонован хорошо как с боевой, так и с конструктивной точки зрения. У самолета хороший обзор с пилотского сидения. Обеспечена непосредственная связь между летчиком и штурманом. Экипаж и жизненные части самолета очень хорошо защищены броней.</w:t>
      </w:r>
    </w:p>
    <w:p w14:paraId="719E0C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 недостаткам самолето следует отнести:</w:t>
      </w:r>
    </w:p>
    <w:p w14:paraId="574DE4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небольшую скорость у земли (362 км/ч).</w:t>
      </w:r>
    </w:p>
    <w:p w14:paraId="623FB3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небольшую дальность самолета (618 км),</w:t>
      </w:r>
    </w:p>
    <w:p w14:paraId="40DA35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продольную неустойчивость самолета со свободным рулем высоты.</w:t>
      </w:r>
    </w:p>
    <w:p w14:paraId="0E3005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постановке мотора АМ-38 с номинальной мощностью у земли порядка 1500-1550 л. с. максимальная скорость самолета может быть доведена до 400 км/ч.</w:t>
      </w:r>
    </w:p>
    <w:p w14:paraId="635D9F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может быть увеличена за счет подвесных сбрасываемых баков. Постановка же небронированного бака в фюзеляже, как это осуществляется конструктором, сводит на нет неуязвимость самолета.</w:t>
      </w:r>
    </w:p>
    <w:p w14:paraId="19CF89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Продольная неустойчивость самолета легко может быть излечена путем соответствующего изменения стреловидности крыла. В настоящее время КБ осуществляет изменение стреловидности без учета потребного смещения вперед ц. т. в отношении САХ, т. к. во время испытаний не определена центровка, при которой самолет устойчив со свободным рулем высоты.</w:t>
      </w:r>
    </w:p>
    <w:p w14:paraId="49D301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устранения указанных недостатков самолет может быть предложен для большой серии» (9649).</w:t>
      </w:r>
    </w:p>
    <w:p w14:paraId="3EDB29E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E3843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А. Шахурин писал письмо № 1480сс/ог председателю КО маршалу Ворошилову К.Е.</w:t>
      </w:r>
    </w:p>
    <w:p w14:paraId="4B552BF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Представляю при этом на Ваше рассмотрение и утверждение проект постановления КО по вопросу создания нового одноместного пикирующего бомбардировщика конструктора Кочеригина (3420, 50).</w:t>
      </w:r>
    </w:p>
    <w:p w14:paraId="1D8597A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июня 1940 года председатель КО К. Ворошилов и секретарь КО М. Пугаев</w:t>
      </w:r>
    </w:p>
    <w:p w14:paraId="2917961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одноместного пикирующего бомбардировщика с одним мотором М-90</w:t>
      </w:r>
    </w:p>
    <w:p w14:paraId="08E6DC7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1BA35881"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Наркомавиапрому – директора завода № 156 – Ленкина и главного конструктора – Кочерыгина спроектировать и построить одноместный пикирующий бомбардировщик с мотором М-90 и предъявить на гос. испытания:</w:t>
      </w:r>
    </w:p>
    <w:p w14:paraId="64871FF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 1 февраля 1941 года</w:t>
      </w:r>
    </w:p>
    <w:p w14:paraId="2EE1E4B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 1 апреля 1941 года</w:t>
      </w:r>
    </w:p>
    <w:p w14:paraId="2B0F9A0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следующими летно-тактическими данными:</w:t>
      </w:r>
    </w:p>
    <w:p w14:paraId="10956AD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7000 м – 600 км/час</w:t>
      </w:r>
    </w:p>
    <w:p w14:paraId="4F319C7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140 км/час</w:t>
      </w:r>
    </w:p>
    <w:p w14:paraId="3D4B741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нормальной нагрузкой на 0,9 максимальной скорости – 1100 км</w:t>
      </w:r>
    </w:p>
    <w:p w14:paraId="12B081E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7000 м – 8,5 мин.</w:t>
      </w:r>
    </w:p>
    <w:p w14:paraId="18751B1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5F9D31D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2 пулемета 7,62 мм и в перегрузку 2 пулемета 12,7 мм</w:t>
      </w:r>
    </w:p>
    <w:p w14:paraId="2C8D37C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 – внутри фюзеляжа 1х500 или 1х250 кг, под крыльями – 2х250 кг</w:t>
      </w:r>
    </w:p>
    <w:p w14:paraId="40A1BC1D"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Отпустить из резервного фонда СНК Наркомавиапрому 9 млн. 400 тыс. рублей, из них: на постройку пикирующих бомбардировщиков с М-90 7 млн. рублей и на премирование конструкторов, инженерно-технических работников, служащих и рабочих завода № 156, в соответствии с Положением о премировании, за выполнение в срок одноместного пикирующего бомбардировщика под отчет наркома авиапромышленности:</w:t>
      </w:r>
    </w:p>
    <w:p w14:paraId="17BA70D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1-й экземпляр – 1600000 рублей</w:t>
      </w:r>
    </w:p>
    <w:p w14:paraId="6686B1F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2-й экземпляр – 900000 рублей (3420, 48-49).</w:t>
      </w:r>
    </w:p>
    <w:p w14:paraId="5865C80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53B7FE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на ДБ-3Ф 2М-88 N 390204 в ходе гос. испытаний нового вооружения провели полет на определение скороподъемности и скоростей по высотам (2686).</w:t>
      </w:r>
    </w:p>
    <w:p w14:paraId="54B5D54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C425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Маршал С.Тимошенко писал Пред. КО м К.Е.В. письмо N 16637с:</w:t>
      </w:r>
    </w:p>
    <w:p w14:paraId="25EB83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строевых частях, школах и училищах ВВС КА имеется 238 ТБ-3, требующих ремонта.</w:t>
      </w:r>
    </w:p>
    <w:p w14:paraId="5726E8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Многие из кораблей участвовали в операциях в МНР и на СЗФ и в настоящее время нуждаются в ремонте.</w:t>
      </w:r>
    </w:p>
    <w:p w14:paraId="0AA6C5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 НКАП от ремонта указанных машин отказались, мотивируя наличием большой программы по другим типам машин и отсутствием оборудования и запчастей.</w:t>
      </w:r>
    </w:p>
    <w:p w14:paraId="3AEF77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Мастерские ВВС КА к ремонту указанных с-тов приступили и развернули работу, но ввиду большого плана отхода в ремонт другой материальной части и объема ремонта без помощи заводов НКАП справиться с задачей не в состоянии.</w:t>
      </w:r>
    </w:p>
    <w:p w14:paraId="0FC852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обязать НКАП выделить для ремонта с-тов ТБ-3 с завода № 22 100 человек рабочих-специалистов в распоряжение ГУАС КА для посылки в войсковые части (1172,5).</w:t>
      </w:r>
    </w:p>
    <w:p w14:paraId="130278C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E123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Секретарь КО СНК И.Сафонов писал А.И.Ш. и НКО С.К.Тимошенко письмо N 5431/5КО</w:t>
      </w:r>
    </w:p>
    <w:p w14:paraId="38213C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доклада КО при СНК прошу срочно сообщить Ваши заключения по письму и завода 22 НКАП Камкина и Рубцова по вопросу о создании нового тяжелого ПБ." и ответ ждал 14 июня 1940 (1192,4).</w:t>
      </w:r>
    </w:p>
    <w:p w14:paraId="6E11056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E09AD1E"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11 июня 1940 года нарком обороны маршал С. Тимошенко и Шахурин писали письмо Ворошилову.</w:t>
      </w:r>
    </w:p>
    <w:p w14:paraId="74432A3E"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На N 5292/5</w:t>
      </w:r>
    </w:p>
    <w:p w14:paraId="4FB87E44"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По вопросу о базе и работе конструкторского бюро Яценко - докладываем:</w:t>
      </w:r>
    </w:p>
    <w:p w14:paraId="73D0C659"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(Просьба Яценко об организации для его бюро производственной базы на заводе N 81 НКАП удовлетворяется. Все необходимые мероприятия согласованы с конструктором Яценко и будут отражены в приказе по НКАП - вычеркнуто).</w:t>
      </w:r>
    </w:p>
    <w:p w14:paraId="2B5647C2"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&lt;Производственный коллектив КБ Яценко в ближайшее время должен был быть занят работой по окончанию строительства 10 самолетов на заводе 292. Конструкторский состав 9за исключением тех, кто будет занят на заводе 292) сейчас обеспечивается помещениями на заводе 81. Вопрос о производственной базе для КБ Яценко будет решен НКАП - вставлено&gt;</w:t>
      </w:r>
    </w:p>
    <w:p w14:paraId="280BA808"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Так как самолет И-28 забракован, считаем целесообразным отказаться от его модификации со скоростью 650 км/час, а конструкторскому бюро Яценко дать задание на проектирование и постройку нового истребителя со скоростью 700 км/час и сроком предъявления на гос. испытания 1.VI.1941 г., с чем конструктор Яценко полностью согласен.</w:t>
      </w:r>
    </w:p>
    <w:p w14:paraId="623A0A7A"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 xml:space="preserve">В связи с этим, просим разрешения доложить совместные предложения о дальнейшей работе конструкторского бюро Яценко 20-го июня с.г., после отработки </w:t>
      </w:r>
      <w:r w:rsidRPr="00DB5D0D">
        <w:rPr>
          <w:color w:val="000000" w:themeColor="text1"/>
          <w:sz w:val="16"/>
          <w:szCs w:val="16"/>
        </w:rPr>
        <w:lastRenderedPageBreak/>
        <w:t>предварительного расчета летных данных и выбранного типа мотора (2878,115).</w:t>
      </w:r>
    </w:p>
    <w:p w14:paraId="67B0E6C6" w14:textId="77777777" w:rsidR="00A25AD1" w:rsidRPr="00DB5D0D" w:rsidRDefault="00A25AD1" w:rsidP="00DB5D0D">
      <w:pPr>
        <w:pStyle w:val="Iauiue"/>
        <w:jc w:val="both"/>
        <w:rPr>
          <w:color w:val="000000" w:themeColor="text1"/>
          <w:sz w:val="16"/>
          <w:szCs w:val="16"/>
        </w:rPr>
      </w:pPr>
    </w:p>
    <w:p w14:paraId="08922ED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вышел приказ НИИ ВВС № 0109</w:t>
      </w:r>
    </w:p>
    <w:p w14:paraId="6B1AEF8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Специальное летное испытание серийного самолета И-153 М-62 оборудованного откидными турбокомпрессорами ТК-1 (6891, 229).</w:t>
      </w:r>
    </w:p>
    <w:p w14:paraId="0364D61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E759F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на И-26 М-105П ВИШ-61 А.С.Я. в ходе гос. испытаний, которые проходили с 1 по 15 июня 1940 выполнили 5 полетов: на скороподъемность и скорость по высотам до 5500 м (0:45), на километраж (0:35), на скороподъемность и скорости по высотам до 8000 м, который так и не был выполнен из-за того, что не убралось шасси (0:07), на скороподъемность и скорости по высотам до 8000 м и проверку автоматики пушки и пулеметов (1:17). выбрасывало масло, левый пулемет не перезаряжался, на маневренность и стрельбу (0:40). Гильзы попадали в стабилизатор (2924).</w:t>
      </w:r>
    </w:p>
    <w:p w14:paraId="1180297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CC41B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в ходе заводских испытаний И-200 А.И.М, которые проходили с 31 марта по 17 августа 1940, испытания на И-200-2 возобновились (3549) и был выполнен полет на проверку приемистости мотора по заданию 24 завода (2988).</w:t>
      </w:r>
    </w:p>
    <w:p w14:paraId="0A5B9EA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7E21F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на аэродроме ЦАГИ были проведены рулежки самолета И-135 под управлением А.П.Чернавский (2079,193).</w:t>
      </w:r>
    </w:p>
    <w:p w14:paraId="38E0FE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82CB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летчик А.П.Чернавский провел рулежки и пробежки на И-135 (6406).</w:t>
      </w:r>
    </w:p>
    <w:p w14:paraId="76D7027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8588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летчик-испытатель А.П.Чернавский проверил поведение самоле</w:t>
      </w:r>
      <w:r w:rsidRPr="00DB5D0D">
        <w:rPr>
          <w:rFonts w:ascii="Times New Roman" w:hAnsi="Times New Roman"/>
          <w:color w:val="000000" w:themeColor="text1"/>
          <w:sz w:val="16"/>
          <w:szCs w:val="16"/>
        </w:rPr>
        <w:softHyphen/>
        <w:t>та И-135 на рулении и выполнил скорос</w:t>
      </w:r>
      <w:r w:rsidRPr="00DB5D0D">
        <w:rPr>
          <w:rFonts w:ascii="Times New Roman" w:hAnsi="Times New Roman"/>
          <w:color w:val="000000" w:themeColor="text1"/>
          <w:sz w:val="16"/>
          <w:szCs w:val="16"/>
        </w:rPr>
        <w:softHyphen/>
        <w:t>тные пробежки. В начале июня 1940 самолет И-135 по железной дороге доставили в Раменское для проведения заводских летных испытаний. 15 июня впервые поднял машину в воздух (11847).</w:t>
      </w:r>
    </w:p>
    <w:p w14:paraId="6ADB6C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EDDC93A"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летчик-испытатель А.П.Чернавский проверил поведение самолета И-135 на рулении и выполнил скоростные пробежки, а 15 июня впервые поднял машину в воздух (15578).</w:t>
      </w:r>
    </w:p>
    <w:p w14:paraId="1D7DC3C3"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7CCBD5E5"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11 июня</w:t>
      </w:r>
      <w:r w:rsidRPr="00DB5D0D">
        <w:rPr>
          <w:rFonts w:ascii="Times New Roman" w:hAnsi="Times New Roman"/>
          <w:color w:val="000000" w:themeColor="text1"/>
          <w:sz w:val="16"/>
          <w:szCs w:val="16"/>
        </w:rPr>
        <w:t xml:space="preserve"> в 1940 году летчик А.П.Чернавский провел первые рулежки и пробежки первого опытного экземпляра «И-135» («Су-1») построенного к 25 мая 1940 года на 135-м заводе. Первый вылет он совершил 15 июня 1940 года, и до 15 июля состоялось четыре полета. Заводские испытания и доводку самолета уже полностью обеспечивали специалисты вновь созданного ОКБ П.О.Сухого (14919).</w:t>
      </w:r>
    </w:p>
    <w:p w14:paraId="32D9AC07"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63A94981" w14:textId="77777777" w:rsidR="006F4177" w:rsidRPr="00DB5D0D" w:rsidRDefault="006F417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 были начаты заводские испытания И-135 в ЛИИ, которые сильно затянулись. В августе случилась пер</w:t>
      </w:r>
      <w:r w:rsidRPr="00DB5D0D">
        <w:rPr>
          <w:rFonts w:ascii="Times New Roman" w:hAnsi="Times New Roman"/>
          <w:color w:val="000000" w:themeColor="text1"/>
          <w:sz w:val="16"/>
          <w:szCs w:val="16"/>
        </w:rPr>
        <w:softHyphen/>
        <w:t>вая поломка после посадки А.П. Чернав- ского без шасси. После ремонта испыта</w:t>
      </w:r>
      <w:r w:rsidRPr="00DB5D0D">
        <w:rPr>
          <w:rFonts w:ascii="Times New Roman" w:hAnsi="Times New Roman"/>
          <w:color w:val="000000" w:themeColor="text1"/>
          <w:sz w:val="16"/>
          <w:szCs w:val="16"/>
        </w:rPr>
        <w:softHyphen/>
        <w:t>ния 13 сентября продолжил летчик-испы- татель П.М. Попельнюшенко, но 2 октября в полете разрушился мотор, замена ко</w:t>
      </w:r>
      <w:r w:rsidRPr="00DB5D0D">
        <w:rPr>
          <w:rFonts w:ascii="Times New Roman" w:hAnsi="Times New Roman"/>
          <w:color w:val="000000" w:themeColor="text1"/>
          <w:sz w:val="16"/>
          <w:szCs w:val="16"/>
        </w:rPr>
        <w:softHyphen/>
        <w:t>торого заняла еще почти месяц. 10 ноя</w:t>
      </w:r>
      <w:r w:rsidRPr="00DB5D0D">
        <w:rPr>
          <w:rFonts w:ascii="Times New Roman" w:hAnsi="Times New Roman"/>
          <w:color w:val="000000" w:themeColor="text1"/>
          <w:sz w:val="16"/>
          <w:szCs w:val="16"/>
        </w:rPr>
        <w:softHyphen/>
        <w:t>бря испытания продолжил летчик В.П. Фе</w:t>
      </w:r>
      <w:r w:rsidRPr="00DB5D0D">
        <w:rPr>
          <w:rFonts w:ascii="Times New Roman" w:hAnsi="Times New Roman"/>
          <w:color w:val="000000" w:themeColor="text1"/>
          <w:sz w:val="16"/>
          <w:szCs w:val="16"/>
        </w:rPr>
        <w:softHyphen/>
        <w:t>доров. В полетах была получена мак</w:t>
      </w:r>
      <w:r w:rsidRPr="00DB5D0D">
        <w:rPr>
          <w:rFonts w:ascii="Times New Roman" w:hAnsi="Times New Roman"/>
          <w:color w:val="000000" w:themeColor="text1"/>
          <w:sz w:val="16"/>
          <w:szCs w:val="16"/>
        </w:rPr>
        <w:softHyphen/>
        <w:t>симальная скорость 580 км/ч на высоте 4000 м, но в январе 1941 г. вышли из строя ТК-2 (обгорели лопатки турбины). Пока ТК ремонтировались в ЦИАМ, на са</w:t>
      </w:r>
      <w:r w:rsidRPr="00DB5D0D">
        <w:rPr>
          <w:rFonts w:ascii="Times New Roman" w:hAnsi="Times New Roman"/>
          <w:color w:val="000000" w:themeColor="text1"/>
          <w:sz w:val="16"/>
          <w:szCs w:val="16"/>
        </w:rPr>
        <w:softHyphen/>
        <w:t>молете выполнили доработку маслоси- стемы и в феврале продолжили полеты без ТК. С 10 марта на самолете устанав</w:t>
      </w:r>
      <w:r w:rsidRPr="00DB5D0D">
        <w:rPr>
          <w:rFonts w:ascii="Times New Roman" w:hAnsi="Times New Roman"/>
          <w:color w:val="000000" w:themeColor="text1"/>
          <w:sz w:val="16"/>
          <w:szCs w:val="16"/>
        </w:rPr>
        <w:softHyphen/>
        <w:t>ливали новые ТК, и к 21 апреля 1941 г. он был готов продолжать летные испыта</w:t>
      </w:r>
      <w:r w:rsidRPr="00DB5D0D">
        <w:rPr>
          <w:rFonts w:ascii="Times New Roman" w:hAnsi="Times New Roman"/>
          <w:color w:val="000000" w:themeColor="text1"/>
          <w:sz w:val="16"/>
          <w:szCs w:val="16"/>
        </w:rPr>
        <w:softHyphen/>
        <w:t>ния. К этому времени был закончен в по</w:t>
      </w:r>
      <w:r w:rsidRPr="00DB5D0D">
        <w:rPr>
          <w:rFonts w:ascii="Times New Roman" w:hAnsi="Times New Roman"/>
          <w:color w:val="000000" w:themeColor="text1"/>
          <w:sz w:val="16"/>
          <w:szCs w:val="16"/>
        </w:rPr>
        <w:softHyphen/>
        <w:t>стройке и подготовлен к испытаниям вто</w:t>
      </w:r>
      <w:r w:rsidRPr="00DB5D0D">
        <w:rPr>
          <w:rFonts w:ascii="Times New Roman" w:hAnsi="Times New Roman"/>
          <w:color w:val="000000" w:themeColor="text1"/>
          <w:sz w:val="16"/>
          <w:szCs w:val="16"/>
        </w:rPr>
        <w:softHyphen/>
        <w:t>рой экземпляр И-135. Но к этому времени они давно потеряли актуальность - все заводы НКАП были загружены выпуском более удачливых конкурентов, и в осталь</w:t>
      </w:r>
      <w:r w:rsidRPr="00DB5D0D">
        <w:rPr>
          <w:rFonts w:ascii="Times New Roman" w:hAnsi="Times New Roman"/>
          <w:color w:val="000000" w:themeColor="text1"/>
          <w:sz w:val="16"/>
          <w:szCs w:val="16"/>
        </w:rPr>
        <w:softHyphen/>
        <w:t>ных уже не было необходимости.</w:t>
      </w:r>
    </w:p>
    <w:p w14:paraId="7075C635" w14:textId="77777777" w:rsidR="006F4177" w:rsidRPr="00DB5D0D" w:rsidRDefault="006F4177" w:rsidP="00DB5D0D">
      <w:pPr>
        <w:spacing w:after="0" w:line="240" w:lineRule="auto"/>
        <w:jc w:val="both"/>
        <w:rPr>
          <w:rFonts w:ascii="Times New Roman" w:hAnsi="Times New Roman"/>
          <w:color w:val="000000" w:themeColor="text1"/>
          <w:sz w:val="16"/>
          <w:szCs w:val="16"/>
        </w:rPr>
      </w:pPr>
    </w:p>
    <w:p w14:paraId="7141D2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в ходе гос. испытаний ПС-84 в военных вариантах - транспортном, десантном и санитарном, которые проходили в НИИ ВВС с 11 мая по 29 июня 1940 на машине было выполнено несколько полетов, в т.ч. на километраж (1:10), разгрузку П-76, загрузку 4-х моторов, определение взлетно-посадочных свойств с ПДББ-400 (0:55), на разгрузку моторов (2923).</w:t>
      </w:r>
    </w:p>
    <w:p w14:paraId="0526B44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DEA0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маршал С.К.Тимошенко писал А.И.Ш. о том, что мотор М-88 прошел гос. испытания в ноябре 1939. К 1 июня 1940 заводом было выпущено 850 моторов М-88. В результате заводских испытаний и эксплуатации были выявлены дефекты, среди которых перерасход топлива на 20% карбюратором АК-88. Указания гос. комиссии по отработке к 15 февраля 1940 надежной работы на минеральном масле в зимнее и летнее время не выполнены. Т.о. качество выпускаемых моторов М-88 не гарантирует надежной эксплуатации их в строевых частях ВВС (1188).</w:t>
      </w:r>
    </w:p>
    <w:p w14:paraId="4FB2868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EE0CA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Зам. Нач. ПГУ Шиц писал, что изготовление авиаремонтного инструмента на заводах ПГУ будет крайне нерентабельно... (1172,35).</w:t>
      </w:r>
    </w:p>
    <w:p w14:paraId="60CA628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3369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ЦК ВКП(б) и СНК СССР приняли решение, намечающее целый ряд мероприятий по развитию научно-исследовательских и опытных работ в авиации (405,87).</w:t>
      </w:r>
    </w:p>
    <w:p w14:paraId="026163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Там то и решили присваивать звания ГК (517).</w:t>
      </w:r>
    </w:p>
    <w:p w14:paraId="6D3CAA1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B554E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Решением Политбюро ЦК ВКП(б) № П 17 / 156 – ОП принималось Постановление СНК СССР и ЦК ВКП(б) «О мероприятиях по развитию опытных и научно-исследовательских работ в авиационной промышленности». В пункте первом первой же части Приложения к этому Постановлению, в частности, говорилось о присвоении главным конструкторам соответствующих степеней. Первую степень предполагалось присвоить главным конструкторам, имеющим в серии два самолета (мотора) своей конструкции. Вторую – главным конструкторам, имеющим в серии один самолет (мотор) своей конструкции.</w:t>
      </w:r>
    </w:p>
    <w:p w14:paraId="22C0E7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Третью – пока не имеющим ничего. Вторым пунктом нарком авиапромышленности обязывался присвоить соответствующие степени в двухнедельный срок. Третьим пунктом устанавливались оклады работникам ОКБ НКАП. Главный конструктор первой степени соответственно получал 4000 рублей, второй – 3000 рублей, третьей – 2000 рублей; заместители главных конструкторов – 80% от оклада последних. Рядовым работникам ОКБ оклады поднимались на 20% по сравнению с существовавшими ранее (РГАСПИ. Ф. 17. Оп. 162. Д. 27. Л. 153, 203.). Приложение к Постановлению содержало также перечень капиталовложений на строительство опытных заводских КБ и лабораторий НКАП на 1940 год. Среди конструкторских бюро наибольшее количество средств выделялось для ОКБ при заводе № 34 – 3 млн рублей. Для ОКБ Поликарпова при заводе № 51 и ОКБ № 2 Болховитинова при заводе № 84 выделялось по 2 млн рублей. По 1,5 млн рублей получали ОКБ Ильюшина при заводе № 39, Яценко при заводе № 81 и Сухого при опытном заводе № 289. Три ОКБ – Архангельского при заводе № 22, Грибовского при заводе № 28, Яковлева при опытном заводе № 115 получали 1 млн рублей. ОКБ Камова при опытном заводе № 290 получало 700 тысяч, а Боровкова при заводе № 207 – 500 тысяч рублей. Наименьшее количество средств – по 400 тысяч рублей – выделялось для ОКБ Москалева и Самсонова (Там же. Л. 205.) (11672).</w:t>
      </w:r>
    </w:p>
    <w:p w14:paraId="5D6DF16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D4233D" w14:textId="77777777" w:rsidR="006F4177" w:rsidRPr="00DB5D0D" w:rsidRDefault="006F417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 Решением Политбюро ЦК ВКП(б) № П 17 / 156 — ОП принималось Постановление СНК СССР и ЦК ВКП(б) «О мероприятиях по развитию опытных и научно-исследовательских работ в авиационной промышленности». В пункте первом первой же части Приложения к этому Постановлению, в частности, говорилось о присвоении Главным конструкторам соответствующих степеней. Первую степень предполагалось присвоить главным конструкторам, имеющим в серии два самолета (мотора) своей конструкции. Вторую – главным конструкторам, имеющим в серии один самолета (мотор) своей конструкции. Т ретью – пока не имеющим ничего. Вторым пунктом Нарком авиапромышленности обязывался присвоить соответствующие степени в двухнедельный срок. Третьим пунктом устанавливались оклады работникам ОКБ НКАП. Г лавный конструктор первой степени — соответственно получал 4000 руб., второй – 3000 руб., третьей – 2000 руб.; заместители главных конструкторов – 80% от оклада последних. Рядовым работникам ОКБ оклады поднимались на 20% по сравнению с существовавшими ранее (19541).</w:t>
      </w:r>
    </w:p>
    <w:p w14:paraId="2E58B4ED" w14:textId="77777777" w:rsidR="006F4177" w:rsidRPr="00DB5D0D" w:rsidRDefault="006F4177" w:rsidP="00DB5D0D">
      <w:pPr>
        <w:spacing w:after="0" w:line="240" w:lineRule="auto"/>
        <w:jc w:val="both"/>
        <w:rPr>
          <w:rFonts w:ascii="Times New Roman" w:hAnsi="Times New Roman"/>
          <w:color w:val="000000" w:themeColor="text1"/>
          <w:sz w:val="16"/>
          <w:szCs w:val="16"/>
        </w:rPr>
      </w:pPr>
    </w:p>
    <w:p w14:paraId="091BA010"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июня 1940 вышло Постановление СНК СССР и ЦК ВКП(б) "О мероприятиях по развитию опытных и научно-исследовательских работ в авиационной промышленности"</w:t>
      </w:r>
    </w:p>
    <w:p w14:paraId="03D83FBC"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 МЕРОПРИЯТИЯХ ПО РАЗВИТИЮ ОПЫТНЫХ и научно-исслЕдовательсКИХ работ В АВИАЦИОННОЙ промышленности.</w:t>
      </w:r>
    </w:p>
    <w:p w14:paraId="1A11D26F"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Постановление Совета Народных Комиссаров Союза ССР и Центрального Комитета ВКП (б)</w:t>
      </w:r>
    </w:p>
    <w:p w14:paraId="38C2BC93"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ПО ОПЫТНЫМ РАБОТАМ.</w:t>
      </w:r>
    </w:p>
    <w:p w14:paraId="21C91B7C"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улучшения качества работы опытных конструкторских бю</w:t>
      </w:r>
      <w:r w:rsidRPr="00DB5D0D">
        <w:rPr>
          <w:rFonts w:ascii="Times New Roman" w:hAnsi="Times New Roman"/>
          <w:color w:val="0070C0"/>
          <w:sz w:val="16"/>
          <w:szCs w:val="16"/>
        </w:rPr>
        <w:softHyphen/>
        <w:t>ро и стимулирования выпуска новых скоростных самолетов. Совет Народных комиссаров Союза ССР и Центральный Комитет ВКП(о) по</w:t>
      </w:r>
      <w:r w:rsidRPr="00DB5D0D">
        <w:rPr>
          <w:rFonts w:ascii="Times New Roman" w:hAnsi="Times New Roman"/>
          <w:color w:val="0070C0"/>
          <w:sz w:val="16"/>
          <w:szCs w:val="16"/>
        </w:rPr>
        <w:softHyphen/>
        <w:t>становляют:</w:t>
      </w:r>
    </w:p>
    <w:p w14:paraId="3B3033D9"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Главным конструкторам опытных заводов и бюро Наркомата Авиационной промышленности присвоить степени в зависимости от квалификации й опыта работы:</w:t>
      </w:r>
    </w:p>
    <w:p w14:paraId="4341D077"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первую степень - главным конструкторам, имеющим в серии два самолета (мотора) своей конструкции.</w:t>
      </w:r>
    </w:p>
    <w:p w14:paraId="4EE74DC1"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вторую степень - главным конструкторам, имеющим в серии сдан самолет (мотор).</w:t>
      </w:r>
    </w:p>
    <w:p w14:paraId="1A9ECDDE"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Третью степень - остальным, не имеющим в серый ни одного самолета (мотора).</w:t>
      </w:r>
    </w:p>
    <w:p w14:paraId="594C6E93"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Народному Комиссару Авиационной промышленности в двух</w:t>
      </w:r>
      <w:r w:rsidRPr="00DB5D0D">
        <w:rPr>
          <w:rFonts w:ascii="Times New Roman" w:hAnsi="Times New Roman"/>
          <w:color w:val="0070C0"/>
          <w:sz w:val="16"/>
          <w:szCs w:val="16"/>
        </w:rPr>
        <w:softHyphen/>
        <w:t>недельный срок присвоить степени главным конструкторам авиа</w:t>
      </w:r>
      <w:r w:rsidRPr="00DB5D0D">
        <w:rPr>
          <w:rFonts w:ascii="Times New Roman" w:hAnsi="Times New Roman"/>
          <w:color w:val="0070C0"/>
          <w:sz w:val="16"/>
          <w:szCs w:val="16"/>
        </w:rPr>
        <w:softHyphen/>
        <w:t>ционной промышленности и обеспечить своевременный перевод кон</w:t>
      </w:r>
      <w:r w:rsidRPr="00DB5D0D">
        <w:rPr>
          <w:rFonts w:ascii="Times New Roman" w:hAnsi="Times New Roman"/>
          <w:color w:val="0070C0"/>
          <w:sz w:val="16"/>
          <w:szCs w:val="16"/>
        </w:rPr>
        <w:softHyphen/>
        <w:t>структоров из степени в степень.</w:t>
      </w:r>
    </w:p>
    <w:p w14:paraId="643AEEB1"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3. Установить следующие оклады работникам опытно-конструк</w:t>
      </w:r>
      <w:r w:rsidRPr="00DB5D0D">
        <w:rPr>
          <w:rFonts w:ascii="Times New Roman" w:hAnsi="Times New Roman"/>
          <w:color w:val="0070C0"/>
          <w:sz w:val="16"/>
          <w:szCs w:val="16"/>
        </w:rPr>
        <w:softHyphen/>
        <w:t>торских бюро Наркомата Авиационном промышленности:</w:t>
      </w:r>
    </w:p>
    <w:p w14:paraId="43E3EEB7"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Главным нонструкторам первой степени 4.000 рублей</w:t>
      </w:r>
    </w:p>
    <w:p w14:paraId="1A49CA55"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Главным конструкторам второй степени 3.000</w:t>
      </w:r>
    </w:p>
    <w:p w14:paraId="1BE3EF48"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Главным конструкторам третьей степени 2.000</w:t>
      </w:r>
    </w:p>
    <w:p w14:paraId="125F4CD0"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Заместителям главных конструкторов установить оклад в размере 80% от склада главных конструкторов.</w:t>
      </w:r>
    </w:p>
    <w:p w14:paraId="6D128F1E"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Ведущим конструкторам установить оклад в размере 1.500 руб</w:t>
      </w:r>
      <w:r w:rsidRPr="00DB5D0D">
        <w:rPr>
          <w:rFonts w:ascii="Times New Roman" w:hAnsi="Times New Roman"/>
          <w:color w:val="0070C0"/>
          <w:sz w:val="16"/>
          <w:szCs w:val="16"/>
        </w:rPr>
        <w:softHyphen/>
        <w:t>лей.</w:t>
      </w:r>
    </w:p>
    <w:p w14:paraId="7C095DA4"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Рядовым конструкторам поднять оклады но сравнению с суще</w:t>
      </w:r>
      <w:r w:rsidRPr="00DB5D0D">
        <w:rPr>
          <w:rFonts w:ascii="Times New Roman" w:hAnsi="Times New Roman"/>
          <w:color w:val="0070C0"/>
          <w:sz w:val="16"/>
          <w:szCs w:val="16"/>
        </w:rPr>
        <w:softHyphen/>
        <w:t>ству ющин тарифным справочником на 20%.</w:t>
      </w:r>
    </w:p>
    <w:p w14:paraId="0E5A6494"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Предложить Комитету по делам высшей школы при СНК СССР. с целью поднятая значения и технического авторитета главных конструкторов авиационной промышленности по представлению НКАП, рассмотреть кандидатуры и присудить ученые степени доктора и кандидата технических наук без защиты диссертации, конструкто</w:t>
      </w:r>
      <w:r w:rsidRPr="00DB5D0D">
        <w:rPr>
          <w:rFonts w:ascii="Times New Roman" w:hAnsi="Times New Roman"/>
          <w:color w:val="0070C0"/>
          <w:sz w:val="16"/>
          <w:szCs w:val="16"/>
        </w:rPr>
        <w:softHyphen/>
        <w:t>рам, давшим наиболее ценные работы но увеличению боеспособно</w:t>
      </w:r>
      <w:r w:rsidRPr="00DB5D0D">
        <w:rPr>
          <w:rFonts w:ascii="Times New Roman" w:hAnsi="Times New Roman"/>
          <w:color w:val="0070C0"/>
          <w:sz w:val="16"/>
          <w:szCs w:val="16"/>
        </w:rPr>
        <w:softHyphen/>
        <w:t>сти воздушного флота СССР.</w:t>
      </w:r>
    </w:p>
    <w:p w14:paraId="3CD128F4"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Выделить спецсредства конструкторским бюро опытных и серийных заводов для инициативных, внеплановых работ в размере, конструкторами первой степени 500.000 рублей в год, конструкторами второй степени 300.000 рублей в год с последующий отче</w:t>
      </w:r>
      <w:r w:rsidRPr="00DB5D0D">
        <w:rPr>
          <w:rFonts w:ascii="Times New Roman" w:hAnsi="Times New Roman"/>
          <w:color w:val="0070C0"/>
          <w:sz w:val="16"/>
          <w:szCs w:val="16"/>
        </w:rPr>
        <w:softHyphen/>
        <w:t>том в израсходовании этих сумм в конце года.</w:t>
      </w:r>
    </w:p>
    <w:p w14:paraId="3F1CF268"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Выделить дополнительно сверх плана НКАП на строительство, расширение и ремонт производственных здании и создание новых лабораторий для опытннх заводов, опытно-конструкторских бюро и научно-исследовательских институтов в течение 1940 года 50.000.000 рублей согласно прилагаемого перечня.</w:t>
      </w:r>
    </w:p>
    <w:p w14:paraId="548C4A7C"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 указанных средств разрешается НКАП израсходовать 2.000.000 рублей на приобретение мебели, чертежного оборудова</w:t>
      </w:r>
      <w:r w:rsidRPr="00DB5D0D">
        <w:rPr>
          <w:rFonts w:ascii="Times New Roman" w:hAnsi="Times New Roman"/>
          <w:color w:val="0070C0"/>
          <w:sz w:val="16"/>
          <w:szCs w:val="16"/>
        </w:rPr>
        <w:softHyphen/>
        <w:t>ния и прозодежды для конструкторских бюро.</w:t>
      </w:r>
    </w:p>
    <w:p w14:paraId="2512548F"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Обязать директоров заводов из вновь вступающей в эксплоатацию в 1940-1941 г.г. жилплощади 10% ее выделять в распоряже</w:t>
      </w:r>
      <w:r w:rsidRPr="00DB5D0D">
        <w:rPr>
          <w:rFonts w:ascii="Times New Roman" w:hAnsi="Times New Roman"/>
          <w:color w:val="0070C0"/>
          <w:sz w:val="16"/>
          <w:szCs w:val="16"/>
        </w:rPr>
        <w:softHyphen/>
        <w:t>ние главного конструктора для распределения между работниками опытных конструкторских бюро и опытных цехов.</w:t>
      </w:r>
    </w:p>
    <w:p w14:paraId="4B42BFCD"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Разредить Народному Комиссару Авиационной проипьленности поредать из гаража наркомата конструкторским бюро 30 легко</w:t>
      </w:r>
      <w:r w:rsidRPr="00DB5D0D">
        <w:rPr>
          <w:rFonts w:ascii="Times New Roman" w:hAnsi="Times New Roman"/>
          <w:color w:val="0070C0"/>
          <w:sz w:val="16"/>
          <w:szCs w:val="16"/>
        </w:rPr>
        <w:softHyphen/>
        <w:t>вых машин из числа подлежащих сдаче Наркомату автотранспорта СССР по постановлению СНК СССР и ЦК ВКП(б) от 26 февраля 1940 г.</w:t>
      </w:r>
    </w:p>
    <w:p w14:paraId="5AC4EABF"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Разрешить Народному Комиссару Авиационной промышленности тов.Шахурииу. в случае выполнения ставов опытных работ в срок, немедленную выдачу прении с последующим отчетом перед Комитетом Оборони.</w:t>
      </w:r>
    </w:p>
    <w:p w14:paraId="4F6E81F8"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 ПО НАУЧНО-ИССЛЕОВАТЕЛЬСКОЙ РАБОТЕ.</w:t>
      </w:r>
    </w:p>
    <w:p w14:paraId="5D7CE61A"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Всемерно поднять роль и значение научно-исследовательской работы в системе НКАП.</w:t>
      </w:r>
    </w:p>
    <w:p w14:paraId="1B945993"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Сосредоточить внимание научно-исследовательских институтов НКАП на решении перспективных проблем авиация, обеспечивающих освещенье на ряд лет вперед путей развития советского самолето</w:t>
      </w:r>
      <w:r w:rsidRPr="00DB5D0D">
        <w:rPr>
          <w:rFonts w:ascii="Times New Roman" w:hAnsi="Times New Roman"/>
          <w:color w:val="0070C0"/>
          <w:sz w:val="16"/>
          <w:szCs w:val="16"/>
        </w:rPr>
        <w:softHyphen/>
        <w:t>строения.</w:t>
      </w:r>
    </w:p>
    <w:p w14:paraId="253D25FC"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Организовать широкое и полное использование иностранно</w:t>
      </w:r>
      <w:r w:rsidRPr="00DB5D0D">
        <w:rPr>
          <w:rFonts w:ascii="Times New Roman" w:hAnsi="Times New Roman"/>
          <w:color w:val="0070C0"/>
          <w:sz w:val="16"/>
          <w:szCs w:val="16"/>
        </w:rPr>
        <w:softHyphen/>
        <w:t>го опыта, создав при ЦАГИ централизованный технический аппарат, объединяющий всю информационную работу по авиации, подчинив ему все имеющиеся о системе НКАП разрозненные информацноные бюро.</w:t>
      </w:r>
    </w:p>
    <w:p w14:paraId="35E6F643"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В целях сосредоточения роботы научно-исследовательских институтов на решении важнейших проблем современного самолето</w:t>
      </w:r>
      <w:r w:rsidRPr="00DB5D0D">
        <w:rPr>
          <w:rFonts w:ascii="Times New Roman" w:hAnsi="Times New Roman"/>
          <w:color w:val="0070C0"/>
          <w:sz w:val="16"/>
          <w:szCs w:val="16"/>
        </w:rPr>
        <w:softHyphen/>
        <w:t>строения в соответствии с требованием больших скоростей, выде</w:t>
      </w:r>
      <w:r w:rsidRPr="00DB5D0D">
        <w:rPr>
          <w:rFonts w:ascii="Times New Roman" w:hAnsi="Times New Roman"/>
          <w:color w:val="0070C0"/>
          <w:sz w:val="16"/>
          <w:szCs w:val="16"/>
        </w:rPr>
        <w:softHyphen/>
        <w:t>лить в веду -их институтах премиальные фонды в размере 2% фонда зарплаты - специально на прёмирование за высококачественное выполнение в плановые сроки важнейших научно-исследовательских работ по перечню, утвержденному НКАП по каждому институту.</w:t>
      </w:r>
    </w:p>
    <w:p w14:paraId="78822747"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Поднять качество научных кадров по авиации, стимулируя повседневную работу научных работников над собой.</w:t>
      </w:r>
    </w:p>
    <w:p w14:paraId="3429BED0"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этого:</w:t>
      </w:r>
    </w:p>
    <w:p w14:paraId="4089FA51"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разрешить НКАП систему специальных надбавок к существую</w:t>
      </w:r>
      <w:r w:rsidRPr="00DB5D0D">
        <w:rPr>
          <w:rFonts w:ascii="Times New Roman" w:hAnsi="Times New Roman"/>
          <w:color w:val="0070C0"/>
          <w:sz w:val="16"/>
          <w:szCs w:val="16"/>
        </w:rPr>
        <w:softHyphen/>
        <w:t>щим окладам научных сотрудников: за наличие у сотрудника ученой степени кандидата наук – 20% оклада. доктора наук – 50% оклада и за знании иностранного языка и пределах свободного чтения тех</w:t>
      </w:r>
      <w:r w:rsidRPr="00DB5D0D">
        <w:rPr>
          <w:rFonts w:ascii="Times New Roman" w:hAnsi="Times New Roman"/>
          <w:color w:val="0070C0"/>
          <w:sz w:val="16"/>
          <w:szCs w:val="16"/>
        </w:rPr>
        <w:softHyphen/>
        <w:t>нической литературы без словаря – 20% оклада.</w:t>
      </w:r>
    </w:p>
    <w:p w14:paraId="0854DD94"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командировать ежегодно за границу не менее 15 научных сотрудников ведущих авиационных научно-исследовательских инсти</w:t>
      </w:r>
      <w:r w:rsidRPr="00DB5D0D">
        <w:rPr>
          <w:rFonts w:ascii="Times New Roman" w:hAnsi="Times New Roman"/>
          <w:color w:val="0070C0"/>
          <w:sz w:val="16"/>
          <w:szCs w:val="16"/>
        </w:rPr>
        <w:softHyphen/>
        <w:t>тутов по специальностям: аэродинамика, прочность самолета, винты, моторы и их оборудование, авиационные материалы.</w:t>
      </w:r>
    </w:p>
    <w:p w14:paraId="3AC53CAD"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рекомендовать Комитету по делам высшей школы при СНК СССР рассмотреть вопрос о присуждении научным работникам, особо отличившимся в области авиационной науки и техники, ученых степе</w:t>
      </w:r>
      <w:r w:rsidRPr="00DB5D0D">
        <w:rPr>
          <w:rFonts w:ascii="Times New Roman" w:hAnsi="Times New Roman"/>
          <w:color w:val="0070C0"/>
          <w:sz w:val="16"/>
          <w:szCs w:val="16"/>
        </w:rPr>
        <w:softHyphen/>
        <w:t>ней и званий но представлениюНКАП, без защити диссертации.</w:t>
      </w:r>
    </w:p>
    <w:p w14:paraId="3BB57E62" w14:textId="77777777" w:rsidR="005B746D" w:rsidRPr="00DB5D0D" w:rsidRDefault="005B746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предоставить Ученому совет ЦАГИ право приема диссертаций к присуждению ученых степеней доктора технических наук, а Ученым Советам ЦИАМ и ВИАМ - степени кандидата технических наук (21925).</w:t>
      </w:r>
    </w:p>
    <w:p w14:paraId="3CBE3EA8" w14:textId="77777777" w:rsidR="005B746D" w:rsidRPr="00DB5D0D" w:rsidRDefault="005B746D" w:rsidP="00DB5D0D">
      <w:pPr>
        <w:spacing w:after="0" w:line="240" w:lineRule="auto"/>
        <w:jc w:val="both"/>
        <w:rPr>
          <w:rFonts w:ascii="Times New Roman" w:hAnsi="Times New Roman"/>
          <w:color w:val="0070C0"/>
          <w:sz w:val="16"/>
          <w:szCs w:val="16"/>
        </w:rPr>
      </w:pPr>
    </w:p>
    <w:p w14:paraId="7BD47E41"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11 июня 1940 была Сопроводительная записка 1-го заместителя председателя СНК СССР Н. А. Вознесенского и наркома авиационной промышленности СССР А. И. Шахурина И. В. Сталину к проекту постановления СНК СССР и ЦК ВКП(б) "Об организации Института летных исследований НКАП" и проект постановления, утвержденный Политбюро ЦК ВКП(б) (21926).</w:t>
      </w:r>
    </w:p>
    <w:p w14:paraId="21FC78F4" w14:textId="77777777" w:rsidR="0074364A" w:rsidRPr="00DB5D0D" w:rsidRDefault="0074364A" w:rsidP="00DB5D0D">
      <w:pPr>
        <w:spacing w:after="0" w:line="240" w:lineRule="auto"/>
        <w:jc w:val="both"/>
        <w:rPr>
          <w:rFonts w:ascii="Times New Roman" w:hAnsi="Times New Roman"/>
          <w:color w:val="0070C0"/>
          <w:sz w:val="16"/>
          <w:szCs w:val="16"/>
        </w:rPr>
      </w:pPr>
    </w:p>
    <w:p w14:paraId="1C21B2CE" w14:textId="77777777" w:rsidR="006F4177" w:rsidRPr="00DB5D0D" w:rsidRDefault="006F417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Тимошенко, в свою очередь, направил все бумаги Председа</w:t>
      </w:r>
      <w:r w:rsidRPr="00DB5D0D">
        <w:rPr>
          <w:rFonts w:ascii="Times New Roman" w:hAnsi="Times New Roman"/>
          <w:color w:val="000000" w:themeColor="text1"/>
          <w:sz w:val="16"/>
          <w:szCs w:val="16"/>
        </w:rPr>
        <w:softHyphen/>
        <w:t>телю КО Ворошилову с просьбой утвер</w:t>
      </w:r>
      <w:r w:rsidRPr="00DB5D0D">
        <w:rPr>
          <w:rFonts w:ascii="Times New Roman" w:hAnsi="Times New Roman"/>
          <w:color w:val="000000" w:themeColor="text1"/>
          <w:sz w:val="16"/>
          <w:szCs w:val="16"/>
        </w:rPr>
        <w:softHyphen/>
        <w:t>дить представленный проект постанов</w:t>
      </w:r>
      <w:r w:rsidRPr="00DB5D0D">
        <w:rPr>
          <w:rFonts w:ascii="Times New Roman" w:hAnsi="Times New Roman"/>
          <w:color w:val="000000" w:themeColor="text1"/>
          <w:sz w:val="16"/>
          <w:szCs w:val="16"/>
        </w:rPr>
        <w:softHyphen/>
        <w:t>ления. Конечно же, Ворошилов не мог ут</w:t>
      </w:r>
      <w:r w:rsidRPr="00DB5D0D">
        <w:rPr>
          <w:rFonts w:ascii="Times New Roman" w:hAnsi="Times New Roman"/>
          <w:color w:val="000000" w:themeColor="text1"/>
          <w:sz w:val="16"/>
          <w:szCs w:val="16"/>
        </w:rPr>
        <w:softHyphen/>
        <w:t>вердить этот проект без согласования с НКАП и одобрения Сталина. Впервые из всех претендентов решение о запуске в серийное производство было отложено до официального прохождения госиспы</w:t>
      </w:r>
      <w:r w:rsidRPr="00DB5D0D">
        <w:rPr>
          <w:rFonts w:ascii="Times New Roman" w:hAnsi="Times New Roman"/>
          <w:color w:val="000000" w:themeColor="text1"/>
          <w:sz w:val="16"/>
          <w:szCs w:val="16"/>
        </w:rPr>
        <w:softHyphen/>
        <w:t>таний. Зато команда принять И-301 на го</w:t>
      </w:r>
      <w:r w:rsidRPr="00DB5D0D">
        <w:rPr>
          <w:rFonts w:ascii="Times New Roman" w:hAnsi="Times New Roman"/>
          <w:color w:val="000000" w:themeColor="text1"/>
          <w:sz w:val="16"/>
          <w:szCs w:val="16"/>
        </w:rPr>
        <w:softHyphen/>
        <w:t>сиспытания была дана тут же (19734).</w:t>
      </w:r>
    </w:p>
    <w:p w14:paraId="53D53FFB" w14:textId="77777777" w:rsidR="006F4177" w:rsidRPr="00DB5D0D" w:rsidRDefault="006F4177" w:rsidP="00DB5D0D">
      <w:pPr>
        <w:spacing w:after="0" w:line="240" w:lineRule="auto"/>
        <w:jc w:val="both"/>
        <w:rPr>
          <w:rFonts w:ascii="Times New Roman" w:hAnsi="Times New Roman"/>
          <w:color w:val="000000" w:themeColor="text1"/>
          <w:sz w:val="16"/>
          <w:szCs w:val="16"/>
        </w:rPr>
      </w:pPr>
    </w:p>
    <w:p w14:paraId="370474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вышел приказ № 70сс по НКХП</w:t>
      </w:r>
    </w:p>
    <w:p w14:paraId="40F23C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исполнение постановления Комитета Обороны при СНК СССР от 5 июня 1940 г. за № 245сс приказываю:</w:t>
      </w:r>
    </w:p>
    <w:p w14:paraId="280143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Председателю Техсовета НКХП тов. КАСАТКИНУ:</w:t>
      </w:r>
    </w:p>
    <w:p w14:paraId="5377F5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Организовать к 15 ноября 1940 г. при НИЭИРП"е опытно-производственную базу и испытательную станцию с лабораторией по изготовлению и проведению испытаний авиапневматиков для скоростных самолетов.</w:t>
      </w:r>
    </w:p>
    <w:p w14:paraId="3C0259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Немедленно выдать Резинопроекту техусловия на проектирование, связанное с организацией базы при НИЭИРП</w:t>
      </w:r>
    </w:p>
    <w:p w14:paraId="412FB3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Директору Резинопроекта тов. БУРМИСТЕНКО</w:t>
      </w:r>
    </w:p>
    <w:p w14:paraId="5E0AE9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Выделить специальную бригаду для составления проекта с учетом выпуска рабочих чертежей не позднее 15 июня 1940 г.</w:t>
      </w:r>
    </w:p>
    <w:p w14:paraId="63A12E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Директору НИЭИРП тов. ФЕДОТОВОЙ</w:t>
      </w:r>
    </w:p>
    <w:p w14:paraId="398E6B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Заключить договора с Наркомстроем СССР на произзодстао строителызых работ со срокам окончания работ Наркомстроем:</w:t>
      </w:r>
    </w:p>
    <w:p w14:paraId="27AD00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опытной произзодстзенной базы - не позднее 15 августа 40 г.</w:t>
      </w:r>
    </w:p>
    <w:p w14:paraId="330A4B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испытательной станции - не позднее 15 сентября 40 г.</w:t>
      </w:r>
    </w:p>
    <w:p w14:paraId="2CFDB7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Организовать работы на экспериментальной базе таким образом, чтобы выпуск новых образцов ааиапневматиков производился в срок не свыше 2-х месяцев.</w:t>
      </w:r>
    </w:p>
    <w:p w14:paraId="1C84B7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 конструировании новых образцов авиапневматиков строго руководствоваться техническими требованиями, предъявленными НКАП, для чего тахнические требования на новые конструкции заблаговременно получать от НКАП.</w:t>
      </w:r>
    </w:p>
    <w:p w14:paraId="2A88B4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Испытание авиапневматиков производить по программе, согласованной с НКАП.</w:t>
      </w:r>
    </w:p>
    <w:p w14:paraId="59706F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 выпускаемым новым опытным конструкциям авиапневматиков прилагать техническую характеристику на основе результатов всестороннего испытания.</w:t>
      </w:r>
    </w:p>
    <w:p w14:paraId="496CA9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Планового отдала НКХП</w:t>
      </w:r>
    </w:p>
    <w:p w14:paraId="68B39E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Выделить НИЭИРПу необходимые средства для организации опытной базы и испытательной станции за счет лимитов НКХП на 1940 г.</w:t>
      </w:r>
    </w:p>
    <w:p w14:paraId="4DCD38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Сектора Капитального Строительства НКХП.</w:t>
      </w:r>
    </w:p>
    <w:p w14:paraId="54F6E3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Взять строительство базы и испытательной станции под наблюдени и контроль.</w:t>
      </w:r>
    </w:p>
    <w:p w14:paraId="1E81AD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Нячальнику военного отдела НКХП тов. САВИЧЕВУ</w:t>
      </w:r>
    </w:p>
    <w:p w14:paraId="6FF9C7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Систематически проверять выполнение данного приказа и докладывать мне о ходе выполнения ежедекадно (10464,2).</w:t>
      </w:r>
    </w:p>
    <w:p w14:paraId="5C70A6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8BB09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был напечатан проект постановления КО</w:t>
      </w:r>
    </w:p>
    <w:p w14:paraId="6A70A1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постройке 37 мм мотор-пушки конструкции ОКБ-15</w:t>
      </w:r>
    </w:p>
    <w:p w14:paraId="7DE214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6545D87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Наркомвооружения Ванникова (ОКБ-15):</w:t>
      </w:r>
    </w:p>
    <w:p w14:paraId="438D2F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сконструировать и построить в одном экземпляре опытный образец мотор-пушки калибра 37 мм по тпктико-техническим требованиям ВВС (приложение № 1);</w:t>
      </w:r>
    </w:p>
    <w:p w14:paraId="1A58DB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провести заводские испытания мотор-пушки к 1 февраля 1941 года и предъявить на госиспытания к 1 марта 1941 года.</w:t>
      </w:r>
    </w:p>
    <w:p w14:paraId="5DD735B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НКО Тимошенко С.К.:</w:t>
      </w:r>
    </w:p>
    <w:p w14:paraId="2433B0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провести госиспытания мотор-пушки до 1 апреля 1941 года;</w:t>
      </w:r>
    </w:p>
    <w:p w14:paraId="6DFB79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выделить НКВ по плану опытных работ 1,1 млн. руб. на финансирование работ ОКБ-15 по мотор-пушке в 1940 году.</w:t>
      </w:r>
    </w:p>
    <w:p w14:paraId="637ACA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Обязать Наркомавиапром Шахурина А.И. в 10-ти дневный срок внести предложение в КО о постройке нового самолета с мотор-пушкой калибра 37 мм и приспособлении </w:t>
      </w:r>
    </w:p>
    <w:p w14:paraId="78AA7A3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1F32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начальник НИП АВ ВВС полковник Шевченко и военком НИП АВ ВВС ст. политрук Ангенов</w:t>
      </w:r>
    </w:p>
    <w:p w14:paraId="2ACDEF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заводским испытаниям приборов УХАП-250 п.м. конструкции завода № 145 на самолете СБ</w:t>
      </w:r>
    </w:p>
    <w:p w14:paraId="396843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25 марта 1940 года</w:t>
      </w:r>
    </w:p>
    <w:p w14:paraId="7003C9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21 мая 1940 года</w:t>
      </w:r>
    </w:p>
    <w:p w14:paraId="5C530F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798C1D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4 отделения Опытного отдела НИП АВ ВВС Комарницкий</w:t>
      </w:r>
    </w:p>
    <w:p w14:paraId="0F6250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49B6EE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работу приборов УХАП-250 п.м. в прменении в качестве ДАПов и ВАПов на самолете СБ.</w:t>
      </w:r>
    </w:p>
    <w:p w14:paraId="09E3DB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Приборы УХАП-250 п.м. предназначены для постановки маскирующих дымзавес и для заражения местности или поражения живой силы с самолета.</w:t>
      </w:r>
    </w:p>
    <w:p w14:paraId="057041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E8A3BC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Приборы УХАП-250 п.м., показавшие безопасность режимов работы и безотказность действия, заводские испытания выдержали (7601).</w:t>
      </w:r>
    </w:p>
    <w:p w14:paraId="5823101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542D05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 по приказу НКАП № 156с завод № 145 (Завод № 145 НКТП, НКОП, НКАП, МАП им С.М. Кирова, Завод № 2 МАП, Государственный Опытный союзный завод № 2 МАП /г. Москва 1 -й Павелецкий пр.; ст. Безымянка пос. Красная Глинка,  г. Куйбышев/) передан из НКМС в ГУАП НКТП, в 12.1936 г. завод № 145 передан в ведение 1ГУ НКОП, (и на 12.1938 г.) получил имя С.М. Кирова.</w:t>
      </w:r>
    </w:p>
    <w:p w14:paraId="5E49C2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Имел экспериментально-испытательную станцию, расположенную в Кузьминках на химическом полигоне. Она была создана в 1932 г. при ЦАГИ и вместе с опытным производством химвооружения была передана в 1936 г. заводу № 145. Испытания опытных образцов химвооружения (бригада гл. конструктора М.Н. Родионова).</w:t>
      </w:r>
    </w:p>
    <w:p w14:paraId="4EADC0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войной группа ИТР и рабочих с завода № 145 переведена для укрепления производства на завод № 455.</w:t>
      </w:r>
    </w:p>
    <w:p w14:paraId="7AC2CC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войны - единственный завод по агрегатам химвооружения (около 75% объема производства). С началом войны производство химвооружения начато также на заводах № 455, № 261 и № 479 НКАП.</w:t>
      </w:r>
    </w:p>
    <w:p w14:paraId="1E2694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 г. завод был эвакуирован. Сначала в 10.1941 г. началась эвакуация в Уфу. Затем это решение отменено, и по приказу № 1109сс от 11.11.1941 г. завод № 145 2ГУ НКАП вместе с КБ эвакуирован в Куйбышев ст. Безымянка на территорию Лаборатории Куйбышевского гидроузла в двух км от берега Волги и в 6 км от ст. Красная Глинка. Здесь по приказу № 1121сс от 15.11.1941 г. завод объединен с эвакуированным ранее на эту же площадку заводом № 455 НКАП в единый завод № 145 НКАП. Часть завода была эвакуирована в Свердловск, где затем на этой базе создан Свердловский завод эбонитовых изделий (далее- ЗАО «Уралэластотехника»). Поселки Красная Глинка и Управленческий в годы ВОВ включены в состав  г. Куйбышева.</w:t>
      </w:r>
    </w:p>
    <w:p w14:paraId="492C28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Площадка эвакуированного завода со всеми сооружениями, остатками оборудования и кадров по приказу № 134м/ 84мс от 31.12.1941 г. передана заводу № 221 НКТП. Однако здесь некоторое время продолжал действовать филиал ОКБ завода № 145. Затем по приказу № 277с от 14.04.1942 г. филиал был переведен и влит в состав филиала завода № 145 в Болшево.</w:t>
      </w:r>
    </w:p>
    <w:p w14:paraId="3E103A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1942 г. часть оборудования была передана на новый завод № 455 НКАП.</w:t>
      </w:r>
    </w:p>
    <w:p w14:paraId="0FB421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735с от 8.12.1943 г. с завода № 145 переведена группа специалистов для усиления ОКБ завода №219 НКАП.</w:t>
      </w:r>
    </w:p>
    <w:p w14:paraId="0C67B6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 СМ СССР № 874-366сс от 17.04.1946 г. и приказом МАП № 228сс от 19.04.1946 г. завод № 145 МАП передан из 2ГУ в непосредственное ведение министра и переименован в опытный завод № 2 МАП.</w:t>
      </w:r>
    </w:p>
    <w:p w14:paraId="01CA3E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Имел вторую производственную площадку в 3,5 га в двух км от основной на территории бывших авторемонтных мастерских УОС МВД. Разработка авиационных и ракетных двигателей. В 07.1946 г. завод передан в Особое управление и преобразован в опытный. В 1946-47 г. проведена коренная реконструкция производства, заводу выделено 1064 вагона трофейного оборудования и имущества. В 1948 г. начато строительство наземной испытательной станции. В связи с упразднением Особого управления с 15.06.1949 г. завод передан в 8ГУ (приказ № 422сс от 4.06.1949 г.).</w:t>
      </w:r>
    </w:p>
    <w:p w14:paraId="46D194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Работали специалисты из моторных ОТБ-1 и ОТБ-2, переведенных из Германии. Из немецких специалистов образовано 4 ОКБ. После 05.1949 г. все ОКБ объединены в одно, его начальником стал Квасов, зам. начальника- Брандлер.</w:t>
      </w:r>
    </w:p>
    <w:p w14:paraId="713465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1950 г. из ОКБ-16 МАП на завод переведен немецкий специалист М. Христиан для участия в создании ТВ-2. К 1953 г. все немцы отправлены в ГДР.</w:t>
      </w:r>
    </w:p>
    <w:p w14:paraId="022CDA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постановления правительства от 11.07.1951 г. на заводе началась разработка двигателя ТВ-2. После катастрофы самолета «95-1» во время испытаний с двигателями 2ТВ-2Ф работы по ним были прекращены, задел по ним передан ОКБ-478 и ОКБ-19.</w:t>
      </w:r>
    </w:p>
    <w:p w14:paraId="0DCC7B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постановлению СМ СССР от 29.03.1952 г. и приказу МАП от 1.04.1952 г. началась разработка ТВД ТВ-16 на базе ТВ-12.</w:t>
      </w:r>
      <w:r w:rsidRPr="00DB5D0D">
        <w:rPr>
          <w:rFonts w:ascii="Times New Roman" w:hAnsi="Times New Roman"/>
          <w:color w:val="000000" w:themeColor="text1"/>
          <w:sz w:val="16"/>
          <w:szCs w:val="16"/>
          <w:vertAlign w:val="superscript"/>
        </w:rPr>
        <w:t>30</w:t>
      </w:r>
    </w:p>
    <w:p w14:paraId="78B45B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работ по опытному двигателестроению, на заводе до 1952 г. продолжалось производство разовых химических бомб УХАП-500, а с 1952 г. планировалось начать выпуск РВП-200.</w:t>
      </w:r>
    </w:p>
    <w:p w14:paraId="3A17E9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Пост. СМ № 533-271 от 19.02.1953 г. предписывалось передать завод в подчинение КБ-1 «для усиления работ по заказам ТГУ при СМ СССР», но это не было выполнено. В 06.1953 г. завод № 2 переименован в завод № 276 </w:t>
      </w:r>
      <w:r w:rsidRPr="00DB5D0D">
        <w:rPr>
          <w:rFonts w:ascii="Times New Roman" w:hAnsi="Times New Roman"/>
          <w:color w:val="000000" w:themeColor="text1"/>
          <w:sz w:val="16"/>
          <w:szCs w:val="16"/>
          <w:lang w:val="en-US"/>
        </w:rPr>
        <w:t>MAII</w:t>
      </w:r>
      <w:r w:rsidRPr="00DB5D0D">
        <w:rPr>
          <w:rFonts w:ascii="Times New Roman" w:hAnsi="Times New Roman"/>
          <w:color w:val="000000" w:themeColor="text1"/>
          <w:sz w:val="16"/>
          <w:szCs w:val="16"/>
        </w:rPr>
        <w:t>.</w:t>
      </w:r>
    </w:p>
    <w:p w14:paraId="427648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территории (1948 г.)-14,03 га; застройки (1948 г.)- 28344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производственная (1948 г.)- 16563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w:t>
      </w:r>
    </w:p>
    <w:p w14:paraId="4EC70A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(19.01-14.07.1937 г.)- И.П. Тюкин-Косой, (14.07.1937-01.1944 г.-)- В.И. Крупнов, (-01-06.1945 г.-)- Данилевич, (1946-47 г.-)- Н.М. Олехнович. Ответственный руководитель (22.05.1950-53 г.)- Н.Д. Кузнецов.</w:t>
      </w:r>
    </w:p>
    <w:p w14:paraId="44F7E5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директора (-10.1940 г.)- Е.А. Рогов, (12.1940 г.-)-  Г.Т. Бучнев.</w:t>
      </w:r>
    </w:p>
    <w:p w14:paraId="753986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директор (16.04.1937 г.-)- Д.Д. Коротчаев (Каратчаев).</w:t>
      </w:r>
    </w:p>
    <w:p w14:paraId="3AE7FB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(-16.04.1937 г.)- В.А. Клименов, (-16.09.1937 г.)- Д.Д. Коротчаев, (31.10.1938-; 12.1940 г.-)-  Г.Т. Бучнев.</w:t>
      </w:r>
    </w:p>
    <w:p w14:paraId="709776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(02.1937 г.)- М.Н. Родионов, (1937-41 г.-)- И.И. Картуков, (15.04.1949-53 г.)- Н.Д. Кузнецов.</w:t>
      </w:r>
      <w:r w:rsidRPr="00DB5D0D">
        <w:rPr>
          <w:rFonts w:ascii="Times New Roman" w:hAnsi="Times New Roman"/>
          <w:color w:val="000000" w:themeColor="text1"/>
          <w:sz w:val="16"/>
          <w:szCs w:val="16"/>
          <w:vertAlign w:val="superscript"/>
        </w:rPr>
        <w:t>101</w:t>
      </w:r>
    </w:p>
    <w:p w14:paraId="7DA7C0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Создано: ТВД: ТВ-2,2ТВ-2Ф (1950-51), ТВ-12 (1951-53).</w:t>
      </w:r>
    </w:p>
    <w:p w14:paraId="279FBD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(ВОВ) выливные авиаприборы: ВАП-1000, ВАП-500, ВАП-250 (8-В-121м), ВАП-200 (8-В- 131), УХАП-250, УХАП-200, ХАРП, ЗАП; ампульные бомбовые кассеты: АБК-1, КМБ-2 («17-1»), КМБ-Ер-2 (АБК-2), КМБ-Пе-2, АБК-3 (8-А-159), АБК-240, АБКП-500 (8-А-161), АБКП-100; ампульные кассеты: АК-1, АК- 2; противотанковый ампуломет «37-1»; авиационные механические прицелы КП-5, КПТ-5, МК-4, МФ-5; замки- держатели Д-2, Дер-31 (У-7-Ш-711), Дер-32; балки для ВАП-250, БП-50; торпедодержатели Т-18, минодержатели МД-39 (11982).</w:t>
      </w:r>
    </w:p>
    <w:p w14:paraId="364031C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C208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на НИП АВ закончились полигонные испытания осколочных бомб АО-2,5 переделанных из 45 мм артснарядов опытного суррогатного снаряжения 1939 года, завода № 12, которые проходили с 8 апреля 1940</w:t>
      </w:r>
    </w:p>
    <w:p w14:paraId="49BC42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564395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9CD67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имело целью определить:</w:t>
      </w:r>
    </w:p>
    <w:p w14:paraId="580061A4"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w:t>
      </w:r>
    </w:p>
    <w:p w14:paraId="21AEAFD0" w14:textId="77777777" w:rsidR="00A25AD1" w:rsidRPr="00DB5D0D" w:rsidRDefault="00A25AD1"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459B933B"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действия бомб.</w:t>
      </w:r>
    </w:p>
    <w:p w14:paraId="7C6C220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в полете.</w:t>
      </w:r>
    </w:p>
    <w:p w14:paraId="5B61B6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E9B0F9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АО-2,5 переделанные из 45 мм артснарядов снаряженные АМТ 80/20 НБК и АМН 88/12 НБК по осколочному действию и рациональному дроблению корпуса бомбы взрывчатым веществом в сравнении с бомбами АО-2,5 снаряженных французской смесью-заливкой дали неудовлетворительные результаты и полигонные испытания не выдержали (7552).</w:t>
      </w:r>
    </w:p>
    <w:p w14:paraId="2DB31F5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4BC5A7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в НИИ ВВС закончились полигонные испытания модернизированных ампульных кассет АК-2ум и контрольным испытаниям ампульных кассет изготовленных по ТУ военного впемени (конструкции завода № 145) на самолете ДБ-3, которые проходили с 7 июня 1940</w:t>
      </w:r>
    </w:p>
    <w:p w14:paraId="78C3CF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B01DB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614195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2C06AA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полигонных испытаний модернизированных ампульных кассет АК-2ум и контрольных испытаний АК-2, изготовленных по ТУ военного времени являлось определение следующих элементов:</w:t>
      </w:r>
    </w:p>
    <w:p w14:paraId="16B5FE8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Прочности и надежности конструкции.</w:t>
      </w:r>
    </w:p>
    <w:p w14:paraId="5EF3348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Надежности и безотказности работы всех механизмов.</w:t>
      </w:r>
    </w:p>
    <w:p w14:paraId="3333CA1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Вявление вариантов ампульной и бомбовой загрузок.</w:t>
      </w:r>
    </w:p>
    <w:p w14:paraId="64DC5EB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Характера рассеивания ампул и бомб при сбрасывании с самолета.</w:t>
      </w:r>
    </w:p>
    <w:p w14:paraId="7529AF0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Удобства и безопасности в эксплуатации.</w:t>
      </w:r>
    </w:p>
    <w:p w14:paraId="5B2D5E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6814B7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заводом № 145 на полигонные испытания кассеты АК-2 ум полигонных испытаний не выдержали.</w:t>
      </w:r>
    </w:p>
    <w:p w14:paraId="5938090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предъявленные на контрольные испытания кассеты АК-2у, изготовленные по ТУ военного времени контрольных испытаний не выдержали (7408).</w:t>
      </w:r>
    </w:p>
    <w:p w14:paraId="55BEA5B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0DE806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на НИП АВ ГУАС закончились контрольные испытания двух вариантов ампул (АЖ-2) фосфорной и канифольной пайки конструкции завода № 67, которые проходили с 25 мая 1940</w:t>
      </w:r>
    </w:p>
    <w:p w14:paraId="196109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3AC4BA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283E4D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92CD5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контрольных испытаний ампул АЖ-2 являлось определение следующих элементов:</w:t>
      </w:r>
    </w:p>
    <w:p w14:paraId="480CD14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Прочность конструкции.</w:t>
      </w:r>
    </w:p>
    <w:p w14:paraId="2EC4EBB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разрушения оболочки ампул при встрече с преградой.</w:t>
      </w:r>
    </w:p>
    <w:p w14:paraId="5393359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импрегнированных прокладок (колец) против БВХ.</w:t>
      </w:r>
    </w:p>
    <w:p w14:paraId="517C2D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3E2294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на контрольные испытания заводом № 67 ампулы двух вариантов, фосфорной и канифольной пайки, контрольные испытания выдержали (7822).</w:t>
      </w:r>
    </w:p>
    <w:p w14:paraId="365667E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2BDBE9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11 июня 1940 г. УВС КА планировали программу показа Прави</w:t>
      </w:r>
      <w:r w:rsidRPr="00DB5D0D">
        <w:rPr>
          <w:rFonts w:ascii="Times New Roman" w:hAnsi="Times New Roman"/>
          <w:color w:val="000000" w:themeColor="text1"/>
          <w:sz w:val="16"/>
          <w:szCs w:val="16"/>
        </w:rPr>
        <w:softHyphen/>
        <w:t>тельству СССР авиационного вооружения на НИП ГУАС КА. Впол не ес</w:t>
      </w:r>
      <w:r w:rsidRPr="00DB5D0D">
        <w:rPr>
          <w:rFonts w:ascii="Times New Roman" w:hAnsi="Times New Roman"/>
          <w:color w:val="000000" w:themeColor="text1"/>
          <w:sz w:val="16"/>
          <w:szCs w:val="16"/>
        </w:rPr>
        <w:softHyphen/>
        <w:t>тественно, что ракетные боеприпасы различного назначения были пред</w:t>
      </w:r>
      <w:r w:rsidRPr="00DB5D0D">
        <w:rPr>
          <w:rFonts w:ascii="Times New Roman" w:hAnsi="Times New Roman"/>
          <w:color w:val="000000" w:themeColor="text1"/>
          <w:sz w:val="16"/>
          <w:szCs w:val="16"/>
        </w:rPr>
        <w:softHyphen/>
        <w:t>ставлены исключительно «авиационными калибрами». В третьем пункте «Реактивные снаряды» значились:</w:t>
      </w:r>
    </w:p>
    <w:p w14:paraId="2E988C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ракетно-осколочно-фугасные РОФС-82 и РОФС-132 как в комплекте с ракетными орудиями, так и от</w:t>
      </w:r>
      <w:r w:rsidRPr="00DB5D0D">
        <w:rPr>
          <w:rFonts w:ascii="Times New Roman" w:hAnsi="Times New Roman"/>
          <w:color w:val="000000" w:themeColor="text1"/>
          <w:sz w:val="16"/>
          <w:szCs w:val="16"/>
        </w:rPr>
        <w:softHyphen/>
        <w:t>дельно. 132-мм снарядами, в частности, предполагали стрелять для боль</w:t>
      </w:r>
      <w:r w:rsidRPr="00DB5D0D">
        <w:rPr>
          <w:rFonts w:ascii="Times New Roman" w:hAnsi="Times New Roman"/>
          <w:color w:val="000000" w:themeColor="text1"/>
          <w:sz w:val="16"/>
          <w:szCs w:val="16"/>
        </w:rPr>
        <w:softHyphen/>
        <w:t>шей убедительности из ракетной автомобильной установки «с разрывом в воздухе на дальности 2500-3000 м», а также из убирающейся в хвосте кассетницы, смонтированной в макете фюзеляжа опытного самолета СПБ.</w:t>
      </w:r>
    </w:p>
    <w:p w14:paraId="2D4FA6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планировалось продемонстрировать ракетно-зажигательпые РЗС-82 и РЗС-132 в комплекте с авиационными ракетными орудиями Однако выставка не состоялась из-за отказа наркома боеприпасов И.П.Сергеева предоставить макеты ракетных авиабомб и снарядов.</w:t>
      </w:r>
    </w:p>
    <w:p w14:paraId="63C4E6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ракетно-бронебойные РЬС-82 и РБС-132 в комплекте с авиационными ракетными орудиями. Этими снарядами стрелять не предполагали.</w:t>
      </w:r>
    </w:p>
    <w:p w14:paraId="13D688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ракетно-химичсские РХС-132 в комплекте с авиационными ракетными орудиями. Снарядами, в част</w:t>
      </w:r>
      <w:r w:rsidRPr="00DB5D0D">
        <w:rPr>
          <w:rFonts w:ascii="Times New Roman" w:hAnsi="Times New Roman"/>
          <w:color w:val="000000" w:themeColor="text1"/>
          <w:sz w:val="16"/>
          <w:szCs w:val="16"/>
        </w:rPr>
        <w:softHyphen/>
        <w:t>ности, предполагали стрелять для большей убедительности из ракетной автомобильной установки «с разрывом в воздухе на дальности 2500-3000 м».</w:t>
      </w:r>
    </w:p>
    <w:p w14:paraId="283CD4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ракетно-осветительно-сигналь</w:t>
      </w:r>
      <w:r w:rsidRPr="00DB5D0D">
        <w:rPr>
          <w:rFonts w:ascii="Times New Roman" w:hAnsi="Times New Roman"/>
          <w:color w:val="000000" w:themeColor="text1"/>
          <w:sz w:val="16"/>
          <w:szCs w:val="16"/>
        </w:rPr>
        <w:softHyphen/>
        <w:t>ные РОСС-132 в комплекте с авиационными ракетными орудиями. Сна</w:t>
      </w:r>
      <w:r w:rsidRPr="00DB5D0D">
        <w:rPr>
          <w:rFonts w:ascii="Times New Roman" w:hAnsi="Times New Roman"/>
          <w:color w:val="000000" w:themeColor="text1"/>
          <w:sz w:val="16"/>
          <w:szCs w:val="16"/>
        </w:rPr>
        <w:softHyphen/>
        <w:t>рядами, в частности, предполагали стрелять для большей убедительно</w:t>
      </w:r>
      <w:r w:rsidRPr="00DB5D0D">
        <w:rPr>
          <w:rFonts w:ascii="Times New Roman" w:hAnsi="Times New Roman"/>
          <w:color w:val="000000" w:themeColor="text1"/>
          <w:sz w:val="16"/>
          <w:szCs w:val="16"/>
        </w:rPr>
        <w:softHyphen/>
        <w:t>сти с наземной пусковой «для продолжительного освещения местности на высоте 3500-4000 м».</w:t>
      </w:r>
    </w:p>
    <w:p w14:paraId="40BF8B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значились ракетно-сигнальные РСС-132 в комплекте с авиационными ракетными орудиями. Снарядами, в част</w:t>
      </w:r>
      <w:r w:rsidRPr="00DB5D0D">
        <w:rPr>
          <w:rFonts w:ascii="Times New Roman" w:hAnsi="Times New Roman"/>
          <w:color w:val="000000" w:themeColor="text1"/>
          <w:sz w:val="16"/>
          <w:szCs w:val="16"/>
        </w:rPr>
        <w:softHyphen/>
        <w:t>ности, предполагали стрелять для большей убедительности с наземной пусковой «РСС-132 с дневными и ночными сигналами».</w:t>
      </w:r>
    </w:p>
    <w:p w14:paraId="0F5052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ракетно-агитационные РАС-132 в комплекте с авиационными ракетными орудиями. Такими же снарядами, в частности, предполагали стрелять для большей убедительности с назем</w:t>
      </w:r>
      <w:r w:rsidRPr="00DB5D0D">
        <w:rPr>
          <w:rFonts w:ascii="Times New Roman" w:hAnsi="Times New Roman"/>
          <w:color w:val="000000" w:themeColor="text1"/>
          <w:sz w:val="16"/>
          <w:szCs w:val="16"/>
        </w:rPr>
        <w:softHyphen/>
        <w:t>ной пусковой «для листования площади в глубину 1500-2500 м».</w:t>
      </w:r>
    </w:p>
    <w:p w14:paraId="176C97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выставка не состоялась из-за отказа наркома боеприпасов И.П.Сергеева предоставить макеты бомб и снарядов (11402).</w:t>
      </w:r>
    </w:p>
    <w:p w14:paraId="3BEBDB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258B6F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07050D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FDA0E89" w14:textId="77777777" w:rsidR="007B1371" w:rsidRPr="00DB5D0D" w:rsidRDefault="007B13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июня 1940 г. А.П. Панфилову дал указание начальнику 4-го отдела АБТУ РККА военинженеру 1 ранга Н.Н. Алымову составить договор на ремонт только двух опытных образцов танка А-32. Поручение А.П. Панфилова было исполнено, 17 июня 1940 г. договор № 213 на ремонт двух танков А-32 был отправлен в Харьков на завод № 183 с препроводительным письмом № 73726с. Оплатить произведенный к тому времени заводом № 183 ремонт танка А-20 АБТУ РККА отказалось. </w:t>
      </w:r>
    </w:p>
    <w:p w14:paraId="1B6C9416" w14:textId="77777777" w:rsidR="007B1371" w:rsidRPr="00DB5D0D" w:rsidRDefault="007B13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Однако к производству предусмотренного договором № 213 ремонта двух танков А-32 завод в 1940 г. приступить не смог, так как, начиная с июля 1940 г. танки А-32 были задействованы на организованных в эксплуатационном отделе «70» завода № 183 занятиях по подготовке экипажей машин Т-34. Кроме этого танки А-32 использовались на занятиях по изучению конструкции нового среднего танка командным и начальствующим составом воинских частей Харьковского военного округа; Харьковского и Киевского танкотехнического и Орловского бронетанкового училищ; Казанских курсов усовершенствования командного состава и Военной академии механизации и моторизации РККА им. Сталина. </w:t>
      </w:r>
    </w:p>
    <w:p w14:paraId="2F79C7D1" w14:textId="77777777" w:rsidR="007B1371" w:rsidRPr="00DB5D0D" w:rsidRDefault="007B13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отметить, что, кроме двух опытных образцов танков А-32, в эксплуатационном отделе «70» завода № 183 для подготовки экипажей, прибывавших на завод для получения новой материальной части, были задействованы еще четыре танка – два Т-34 и два – БТ-7М. Всего за период с 1 июля 1940 г. по 25 января 1941 г. с участием танков А-32 прошли обучение 60 человек среднего начальствующего состава, 229 командиров танков и 239 механиков-водителей. </w:t>
      </w:r>
    </w:p>
    <w:p w14:paraId="6DF35CC3" w14:textId="77777777" w:rsidR="007B1371" w:rsidRPr="00DB5D0D" w:rsidRDefault="007B13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Вследствие того что на протяжении всего второго полугодия 1940 г. танки А-32 были задействованы на занятиях по вождению и изучению материальной части, руководство завода № 183 в письмах № СО6070 от 12 ноября 1940 г. и № СО6945 от 22 декабря 1940 г. обращалось в ГАБТУ КА с просьбой о переносе сроков проведения их капитального ремонта с 1940 г. на 1941 г. Переписка по этому вопросу между заводом № 183 и ГАБТУ КА (до 26 июня 1940 г. – АБТУ РККА) продолжалась до тех пор, пока оба опытных образца танка А-32 во время обучения военнослужащих в эксплуатационном отделе «70» не выработали гарантийный ресурс. В конечном итоге переговоры между заводом № 183 и ГАБТУ КА завершились подписанием в апреле 1941 г. дополнительного соглашения № 100-2/Б1-314 к договору № Б1-221 от 8 марта 1941 г. В этом отпечатанном на заводе № 183 в пяти экземплярах документе было записано: </w:t>
      </w:r>
    </w:p>
    <w:p w14:paraId="2C3A9BC1" w14:textId="77777777" w:rsidR="007B1371" w:rsidRPr="00DB5D0D" w:rsidRDefault="007B137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«Заказчик: Главное Авто-Бронетанковое управление Красной Армии в лице начальника Бронетанкового Управления Красной Армии Военинженера 1 ранга тов. КОРОБКОВА Бориса Михайловича. </w:t>
      </w:r>
    </w:p>
    <w:p w14:paraId="5F75F8C7" w14:textId="77777777" w:rsidR="007B1371" w:rsidRPr="00DB5D0D" w:rsidRDefault="007B137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Поставщик: Завод № 183 им. Коминтерна в лице Зам. Директора завода № 183 т. МАХОНИНА Сергея Несторовича, заключили настоящее соглашение в нижеследующем: </w:t>
      </w:r>
    </w:p>
    <w:p w14:paraId="4BD5D6F0" w14:textId="77777777" w:rsidR="007B1371" w:rsidRPr="00DB5D0D" w:rsidRDefault="007B137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Поставщик берет на себя обязательство произвести капитальный ремонт двух опытных образцов танка А-32, изготовленных в 1939 году. </w:t>
      </w:r>
    </w:p>
    <w:p w14:paraId="65A39D90" w14:textId="77777777" w:rsidR="007B1371" w:rsidRPr="00DB5D0D" w:rsidRDefault="007B137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Восстановление указанных танков производится по чертежам Поставщика согласованными с военпредом ГАБТУ КА. Допускается максимальное использование деталей танка А-34. </w:t>
      </w:r>
    </w:p>
    <w:p w14:paraId="50E07820" w14:textId="77777777" w:rsidR="007B1371" w:rsidRPr="00DB5D0D" w:rsidRDefault="007B137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Срок восстановления Сентябрь – Октябрь 1941 года. </w:t>
      </w:r>
    </w:p>
    <w:p w14:paraId="4E6D4328" w14:textId="77777777" w:rsidR="007B1371" w:rsidRPr="00DB5D0D" w:rsidRDefault="007B137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Приемка машин производится представителем Заказчика на заводе Поставщика с пробегом 50 км. </w:t>
      </w:r>
    </w:p>
    <w:p w14:paraId="50B64613" w14:textId="77777777" w:rsidR="007B1371" w:rsidRPr="00DB5D0D" w:rsidRDefault="007B137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5. Стоимость капитального ремонта одного танка устанавливается договорная 150.000. Стороны оставляют за собой право окончательный расчет произвести на основании дефектных актов замененных деталей и механизмов. </w:t>
      </w:r>
    </w:p>
    <w:p w14:paraId="7BAB19FF" w14:textId="77777777" w:rsidR="007B1371" w:rsidRPr="00DB5D0D" w:rsidRDefault="007B137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6. Общая сумма договора составляет в рублях 300000 р. (триста тысяч). </w:t>
      </w:r>
    </w:p>
    <w:p w14:paraId="6E113655" w14:textId="77777777" w:rsidR="007B1371" w:rsidRPr="00DB5D0D" w:rsidRDefault="007B13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7. Все остальные условия согласно основного договора за № Б1-221 от 8 Марта 1941 г.».</w:t>
      </w:r>
      <w:r w:rsidRPr="00DB5D0D">
        <w:rPr>
          <w:rFonts w:ascii="Times New Roman" w:hAnsi="Times New Roman"/>
          <w:color w:val="000000" w:themeColor="text1"/>
          <w:sz w:val="16"/>
          <w:szCs w:val="16"/>
        </w:rPr>
        <w:t xml:space="preserve"> </w:t>
      </w:r>
    </w:p>
    <w:p w14:paraId="255E4DE5" w14:textId="77777777" w:rsidR="007B1371" w:rsidRPr="00DB5D0D" w:rsidRDefault="007B1371" w:rsidP="00DB5D0D">
      <w:pPr>
        <w:pStyle w:val="ae"/>
        <w:spacing w:before="0" w:after="0"/>
        <w:jc w:val="both"/>
        <w:rPr>
          <w:color w:val="000000" w:themeColor="text1"/>
          <w:sz w:val="16"/>
          <w:szCs w:val="16"/>
        </w:rPr>
      </w:pPr>
      <w:r w:rsidRPr="00DB5D0D">
        <w:rPr>
          <w:bCs/>
          <w:color w:val="000000" w:themeColor="text1"/>
          <w:sz w:val="16"/>
          <w:szCs w:val="16"/>
        </w:rPr>
        <w:t>[ЦАМО. Ф. 38. Оп. 11355. Д. 99. Л. 97]</w:t>
      </w:r>
    </w:p>
    <w:p w14:paraId="2DDF1D23" w14:textId="77777777" w:rsidR="007B1371" w:rsidRPr="00DB5D0D" w:rsidRDefault="007B13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 так, дальнейшая судьба танков А-32 была определена, через полгода – капитальный ремонт и новая «жизнь» в Красной Армии. Однако этого не произошло, начавшаяся 22 июня 1941 г. Великая Отечественная война не позволила опытным образцам вернуться в ряды Красной Армии. Летом и осенью 1941 г. все силы завода № 183 были сосредоточены на наращивании выпуска серийной продукции – танков Т-34, а заниматься восстановлением опытных образцов танка А-32 коллективу завода попросту было некогда. Принимали ли участие танки А-32 в качестве неподвижных огневых точек в защите Харькова в октябре 1941 г. достоверно не известно. Скорее всего, нет, так как ни в одном из извещений об отправке танков с завода № 183 за период с 22 июня по 19 октября 1941 г. опытные образцы танков А-32 не значатся. </w:t>
      </w:r>
    </w:p>
    <w:p w14:paraId="636DA479" w14:textId="77777777" w:rsidR="007B1371" w:rsidRPr="00DB5D0D" w:rsidRDefault="007B13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отличие от танков А-32 опытный образец колесно-гусеничного танка А-20 смог выполнить задачу, ради которой он и был создан, – выступить на защиту своего Отечества. Причем свою боевую деятельность танк А-20 начал, будучи уже экспонатом музея НИ Полигона ГАБТУ КА в подмосковной Кубинке. Но об этом чуть позже, а сейчас вернемся в довоенный Харьков (17625). </w:t>
      </w:r>
    </w:p>
    <w:p w14:paraId="004BB138" w14:textId="77777777" w:rsidR="007B1371" w:rsidRPr="00DB5D0D" w:rsidRDefault="007B1371" w:rsidP="00DB5D0D">
      <w:pPr>
        <w:spacing w:after="0" w:line="240" w:lineRule="auto"/>
        <w:jc w:val="both"/>
        <w:rPr>
          <w:rFonts w:ascii="Times New Roman" w:eastAsia="Times New Roman" w:hAnsi="Times New Roman"/>
          <w:color w:val="000000" w:themeColor="text1"/>
          <w:sz w:val="16"/>
          <w:szCs w:val="16"/>
          <w:lang w:eastAsia="ru-RU"/>
        </w:rPr>
      </w:pPr>
    </w:p>
    <w:p w14:paraId="72DA5D19" w14:textId="77777777" w:rsidR="00A25AD1" w:rsidRPr="00DB5D0D" w:rsidRDefault="00A25AD1" w:rsidP="00DB5D0D">
      <w:pPr>
        <w:pStyle w:val="a3"/>
        <w:rPr>
          <w:color w:val="000000" w:themeColor="text1"/>
          <w:lang w:val="ru-RU"/>
        </w:rPr>
      </w:pPr>
      <w:r w:rsidRPr="00DB5D0D">
        <w:rPr>
          <w:color w:val="000000" w:themeColor="text1"/>
          <w:lang w:val="ru-RU"/>
        </w:rPr>
        <w:t>11 июня 1940 г. повторное снарядное испытание комбинированного носового узла с литой балкой состоялось на полигоне Мариупольского завода. За время испытаний в носовой узел было произве</w:t>
      </w:r>
      <w:r w:rsidRPr="00DB5D0D">
        <w:rPr>
          <w:color w:val="000000" w:themeColor="text1"/>
          <w:lang w:val="ru-RU"/>
        </w:rPr>
        <w:softHyphen/>
        <w:t>дено десять выстрелов под углом 0° к нормали, из них семь выстре</w:t>
      </w:r>
      <w:r w:rsidRPr="00DB5D0D">
        <w:rPr>
          <w:color w:val="000000" w:themeColor="text1"/>
          <w:lang w:val="ru-RU"/>
        </w:rPr>
        <w:softHyphen/>
        <w:t>лов калибром 45 мм (при штатных скоростях) и три выстрела калиб</w:t>
      </w:r>
      <w:r w:rsidRPr="00DB5D0D">
        <w:rPr>
          <w:color w:val="000000" w:themeColor="text1"/>
          <w:lang w:val="ru-RU"/>
        </w:rPr>
        <w:softHyphen/>
        <w:t>ром 76 мм (при скоростях 519, 566 и 543 м/с). После проведенного обстрела нарушений прочности гуженных и сварных соединений обнаружено не было, за исключением небольших трещин шва, полу</w:t>
      </w:r>
      <w:r w:rsidRPr="00DB5D0D">
        <w:rPr>
          <w:color w:val="000000" w:themeColor="text1"/>
          <w:lang w:val="ru-RU"/>
        </w:rPr>
        <w:softHyphen/>
        <w:t>ченных в местах непосредственного попадания снаряда. О резуль</w:t>
      </w:r>
      <w:r w:rsidRPr="00DB5D0D">
        <w:rPr>
          <w:color w:val="000000" w:themeColor="text1"/>
          <w:lang w:val="ru-RU"/>
        </w:rPr>
        <w:softHyphen/>
        <w:t xml:space="preserve">татах этих испытаний, а также о результатах других работ по литым узлам танка Т-34 главный инженер Мариупольского завода </w:t>
      </w:r>
      <w:r w:rsidRPr="00DB5D0D">
        <w:rPr>
          <w:color w:val="000000" w:themeColor="text1"/>
        </w:rPr>
        <w:t>B</w:t>
      </w:r>
      <w:r w:rsidRPr="00DB5D0D">
        <w:rPr>
          <w:color w:val="000000" w:themeColor="text1"/>
          <w:lang w:val="ru-RU"/>
        </w:rPr>
        <w:t>.</w:t>
      </w:r>
      <w:r w:rsidRPr="00DB5D0D">
        <w:rPr>
          <w:color w:val="000000" w:themeColor="text1"/>
        </w:rPr>
        <w:t>C</w:t>
      </w:r>
      <w:r w:rsidRPr="00DB5D0D">
        <w:rPr>
          <w:color w:val="000000" w:themeColor="text1"/>
          <w:lang w:val="ru-RU"/>
        </w:rPr>
        <w:t xml:space="preserve">. Ниценко 14 июня 1940 г. проинформировал руководство АБТУ и НКСП: </w:t>
      </w:r>
      <w:r w:rsidRPr="00DB5D0D">
        <w:rPr>
          <w:rStyle w:val="60pt22"/>
          <w:rFonts w:ascii="Times New Roman" w:hAnsi="Times New Roman" w:cs="Times New Roman"/>
          <w:i w:val="0"/>
          <w:iCs w:val="0"/>
          <w:color w:val="000000" w:themeColor="text1"/>
          <w:lang w:val="ru-RU"/>
        </w:rPr>
        <w:t>№3047</w:t>
      </w:r>
    </w:p>
    <w:p w14:paraId="3E328B49"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Начальнику 7-го Гпавного управления НКСП т. Емельянову В. С.</w:t>
      </w:r>
    </w:p>
    <w:p w14:paraId="3416337B"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Начальнику АБТУ КА Гэнерал-полковнику т. Павлову Д. Г.</w:t>
      </w:r>
    </w:p>
    <w:p w14:paraId="52C1C5DB"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lastRenderedPageBreak/>
        <w:t>На Ваше письмо №2231 от 5/М-с/г по вопросу производства литых деталей по машине А-34 сообщаем:</w:t>
      </w:r>
    </w:p>
    <w:p w14:paraId="6ED04A08" w14:textId="77777777" w:rsidR="00A25AD1" w:rsidRPr="00DB5D0D" w:rsidRDefault="00A25AD1" w:rsidP="00DB5D0D">
      <w:pPr>
        <w:pStyle w:val="1210"/>
        <w:shd w:val="clear" w:color="auto" w:fill="auto"/>
        <w:tabs>
          <w:tab w:val="left" w:pos="572"/>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1.11/</w:t>
      </w:r>
      <w:r w:rsidRPr="00DB5D0D">
        <w:rPr>
          <w:rFonts w:ascii="Times New Roman" w:hAnsi="Times New Roman" w:cs="Times New Roman"/>
          <w:i w:val="0"/>
          <w:iCs w:val="0"/>
          <w:color w:val="000000" w:themeColor="text1"/>
        </w:rPr>
        <w:t>VI</w:t>
      </w:r>
      <w:r w:rsidRPr="00DB5D0D">
        <w:rPr>
          <w:rFonts w:ascii="Times New Roman" w:hAnsi="Times New Roman" w:cs="Times New Roman"/>
          <w:i w:val="0"/>
          <w:iCs w:val="0"/>
          <w:color w:val="000000" w:themeColor="text1"/>
          <w:lang w:val="ru-RU"/>
        </w:rPr>
        <w:t>-с/г Мариупольский Завод испытал вторую по счету носовую деталь с литой вставкой, на испытании присутствовал Нач. 8-го Отд. АБТУ КА Военинженер 1-го ранга т. Афонин. Ре</w:t>
      </w:r>
      <w:r w:rsidRPr="00DB5D0D">
        <w:rPr>
          <w:rFonts w:ascii="Times New Roman" w:hAnsi="Times New Roman" w:cs="Times New Roman"/>
          <w:i w:val="0"/>
          <w:iCs w:val="0"/>
          <w:color w:val="000000" w:themeColor="text1"/>
          <w:lang w:val="ru-RU"/>
        </w:rPr>
        <w:softHyphen/>
        <w:t>зультаты снарядного испытания вполне удовлетворительны, на ос</w:t>
      </w:r>
      <w:r w:rsidRPr="00DB5D0D">
        <w:rPr>
          <w:rFonts w:ascii="Times New Roman" w:hAnsi="Times New Roman" w:cs="Times New Roman"/>
          <w:i w:val="0"/>
          <w:iCs w:val="0"/>
          <w:color w:val="000000" w:themeColor="text1"/>
          <w:lang w:val="ru-RU"/>
        </w:rPr>
        <w:softHyphen/>
        <w:t>новании чего принимаем эти детали (нос с литой вставкой) на валовое производство.</w:t>
      </w:r>
    </w:p>
    <w:p w14:paraId="47B50F30" w14:textId="77777777" w:rsidR="00A25AD1" w:rsidRPr="00DB5D0D" w:rsidRDefault="00A25AD1" w:rsidP="00DB5D0D">
      <w:pPr>
        <w:pStyle w:val="1210"/>
        <w:shd w:val="clear" w:color="auto" w:fill="auto"/>
        <w:tabs>
          <w:tab w:val="left" w:pos="490"/>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 xml:space="preserve">2.По литым башням Мариупольский Завод не выдержит срока (к </w:t>
      </w:r>
      <w:r w:rsidRPr="00DB5D0D">
        <w:rPr>
          <w:rFonts w:ascii="Times New Roman" w:hAnsi="Times New Roman" w:cs="Times New Roman"/>
          <w:i w:val="0"/>
          <w:iCs w:val="0"/>
          <w:noProof w:val="0"/>
          <w:color w:val="000000" w:themeColor="text1"/>
          <w:lang w:val="ru-RU"/>
        </w:rPr>
        <w:t>20/</w:t>
      </w:r>
      <w:r w:rsidRPr="00DB5D0D">
        <w:rPr>
          <w:rFonts w:ascii="Times New Roman" w:hAnsi="Times New Roman" w:cs="Times New Roman"/>
          <w:i w:val="0"/>
          <w:iCs w:val="0"/>
          <w:noProof w:val="0"/>
          <w:color w:val="000000" w:themeColor="text1"/>
        </w:rPr>
        <w:t>VI</w:t>
      </w:r>
      <w:r w:rsidRPr="00DB5D0D">
        <w:rPr>
          <w:rFonts w:ascii="Times New Roman" w:hAnsi="Times New Roman" w:cs="Times New Roman"/>
          <w:i w:val="0"/>
          <w:iCs w:val="0"/>
          <w:noProof w:val="0"/>
          <w:color w:val="000000" w:themeColor="text1"/>
          <w:lang w:val="ru-RU"/>
        </w:rPr>
        <w:t xml:space="preserve">-) </w:t>
      </w:r>
      <w:r w:rsidRPr="00DB5D0D">
        <w:rPr>
          <w:rFonts w:ascii="Times New Roman" w:hAnsi="Times New Roman" w:cs="Times New Roman"/>
          <w:i w:val="0"/>
          <w:iCs w:val="0"/>
          <w:color w:val="000000" w:themeColor="text1"/>
          <w:lang w:val="ru-RU"/>
        </w:rPr>
        <w:t>ввиду сложности изготовления модели. График отливки башен намечен следующий:</w:t>
      </w:r>
    </w:p>
    <w:p w14:paraId="08148F10"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 xml:space="preserve">1-я башня - обрубка - </w:t>
      </w:r>
      <w:r w:rsidRPr="00DB5D0D">
        <w:rPr>
          <w:rFonts w:ascii="Times New Roman" w:hAnsi="Times New Roman" w:cs="Times New Roman"/>
          <w:i w:val="0"/>
          <w:iCs w:val="0"/>
          <w:noProof w:val="0"/>
          <w:color w:val="000000" w:themeColor="text1"/>
          <w:lang w:val="ru-RU"/>
        </w:rPr>
        <w:t>25/</w:t>
      </w:r>
      <w:r w:rsidRPr="00DB5D0D">
        <w:rPr>
          <w:rFonts w:ascii="Times New Roman" w:hAnsi="Times New Roman" w:cs="Times New Roman"/>
          <w:i w:val="0"/>
          <w:iCs w:val="0"/>
          <w:noProof w:val="0"/>
          <w:color w:val="000000" w:themeColor="text1"/>
        </w:rPr>
        <w:t>VI</w:t>
      </w:r>
      <w:r w:rsidRPr="00DB5D0D">
        <w:rPr>
          <w:rFonts w:ascii="Times New Roman" w:hAnsi="Times New Roman" w:cs="Times New Roman"/>
          <w:i w:val="0"/>
          <w:iCs w:val="0"/>
          <w:noProof w:val="0"/>
          <w:color w:val="000000" w:themeColor="text1"/>
          <w:lang w:val="ru-RU"/>
        </w:rPr>
        <w:t xml:space="preserve">-; </w:t>
      </w:r>
      <w:r w:rsidRPr="00DB5D0D">
        <w:rPr>
          <w:rFonts w:ascii="Times New Roman" w:hAnsi="Times New Roman" w:cs="Times New Roman"/>
          <w:i w:val="0"/>
          <w:iCs w:val="0"/>
          <w:color w:val="000000" w:themeColor="text1"/>
          <w:lang w:val="ru-RU"/>
        </w:rPr>
        <w:t>2-я башня - обрубка - 27/</w:t>
      </w:r>
      <w:r w:rsidRPr="00DB5D0D">
        <w:rPr>
          <w:rFonts w:ascii="Times New Roman" w:hAnsi="Times New Roman" w:cs="Times New Roman"/>
          <w:i w:val="0"/>
          <w:iCs w:val="0"/>
          <w:color w:val="000000" w:themeColor="text1"/>
        </w:rPr>
        <w:t>VI</w:t>
      </w:r>
      <w:r w:rsidRPr="00DB5D0D">
        <w:rPr>
          <w:rFonts w:ascii="Times New Roman" w:hAnsi="Times New Roman" w:cs="Times New Roman"/>
          <w:i w:val="0"/>
          <w:iCs w:val="0"/>
          <w:color w:val="000000" w:themeColor="text1"/>
          <w:lang w:val="ru-RU"/>
        </w:rPr>
        <w:t xml:space="preserve">-; 3-4-я башни - обрубка - </w:t>
      </w:r>
      <w:r w:rsidRPr="00DB5D0D">
        <w:rPr>
          <w:rFonts w:ascii="Times New Roman" w:hAnsi="Times New Roman" w:cs="Times New Roman"/>
          <w:i w:val="0"/>
          <w:iCs w:val="0"/>
          <w:noProof w:val="0"/>
          <w:color w:val="000000" w:themeColor="text1"/>
          <w:lang w:val="ru-RU"/>
        </w:rPr>
        <w:t>29/</w:t>
      </w:r>
      <w:r w:rsidRPr="00DB5D0D">
        <w:rPr>
          <w:rFonts w:ascii="Times New Roman" w:hAnsi="Times New Roman" w:cs="Times New Roman"/>
          <w:i w:val="0"/>
          <w:iCs w:val="0"/>
          <w:noProof w:val="0"/>
          <w:color w:val="000000" w:themeColor="text1"/>
        </w:rPr>
        <w:t>VI</w:t>
      </w:r>
      <w:r w:rsidRPr="00DB5D0D">
        <w:rPr>
          <w:rFonts w:ascii="Times New Roman" w:hAnsi="Times New Roman" w:cs="Times New Roman"/>
          <w:i w:val="0"/>
          <w:iCs w:val="0"/>
          <w:noProof w:val="0"/>
          <w:color w:val="000000" w:themeColor="text1"/>
          <w:lang w:val="ru-RU"/>
        </w:rPr>
        <w:t xml:space="preserve">-; </w:t>
      </w:r>
      <w:r w:rsidRPr="00DB5D0D">
        <w:rPr>
          <w:rFonts w:ascii="Times New Roman" w:hAnsi="Times New Roman" w:cs="Times New Roman"/>
          <w:i w:val="0"/>
          <w:iCs w:val="0"/>
          <w:color w:val="000000" w:themeColor="text1"/>
          <w:lang w:val="ru-RU"/>
        </w:rPr>
        <w:t xml:space="preserve">5-6-я башни - обрубка — </w:t>
      </w:r>
      <w:r w:rsidRPr="00DB5D0D">
        <w:rPr>
          <w:rFonts w:ascii="Times New Roman" w:hAnsi="Times New Roman" w:cs="Times New Roman"/>
          <w:i w:val="0"/>
          <w:iCs w:val="0"/>
          <w:noProof w:val="0"/>
          <w:color w:val="000000" w:themeColor="text1"/>
          <w:lang w:val="ru-RU"/>
        </w:rPr>
        <w:t>1/</w:t>
      </w:r>
      <w:r w:rsidRPr="00DB5D0D">
        <w:rPr>
          <w:rFonts w:ascii="Times New Roman" w:hAnsi="Times New Roman" w:cs="Times New Roman"/>
          <w:i w:val="0"/>
          <w:iCs w:val="0"/>
          <w:noProof w:val="0"/>
          <w:color w:val="000000" w:themeColor="text1"/>
        </w:rPr>
        <w:t>VII</w:t>
      </w:r>
      <w:r w:rsidRPr="00DB5D0D">
        <w:rPr>
          <w:rFonts w:ascii="Times New Roman" w:hAnsi="Times New Roman" w:cs="Times New Roman"/>
          <w:i w:val="0"/>
          <w:iCs w:val="0"/>
          <w:noProof w:val="0"/>
          <w:color w:val="000000" w:themeColor="text1"/>
          <w:lang w:val="ru-RU"/>
        </w:rPr>
        <w:t>-.</w:t>
      </w:r>
    </w:p>
    <w:p w14:paraId="17C11E80"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 xml:space="preserve">Таким образом, 1-я башня будет подготовлена к полигонному испытанию к </w:t>
      </w:r>
      <w:r w:rsidRPr="00DB5D0D">
        <w:rPr>
          <w:rFonts w:ascii="Times New Roman" w:hAnsi="Times New Roman" w:cs="Times New Roman"/>
          <w:i w:val="0"/>
          <w:iCs w:val="0"/>
          <w:noProof w:val="0"/>
          <w:color w:val="000000" w:themeColor="text1"/>
          <w:lang w:val="ru-RU"/>
        </w:rPr>
        <w:t>28-30/</w:t>
      </w:r>
      <w:r w:rsidRPr="00DB5D0D">
        <w:rPr>
          <w:rFonts w:ascii="Times New Roman" w:hAnsi="Times New Roman" w:cs="Times New Roman"/>
          <w:i w:val="0"/>
          <w:iCs w:val="0"/>
          <w:noProof w:val="0"/>
          <w:color w:val="000000" w:themeColor="text1"/>
        </w:rPr>
        <w:t>VI</w:t>
      </w:r>
      <w:r w:rsidRPr="00DB5D0D">
        <w:rPr>
          <w:rFonts w:ascii="Times New Roman" w:hAnsi="Times New Roman" w:cs="Times New Roman"/>
          <w:i w:val="0"/>
          <w:iCs w:val="0"/>
          <w:noProof w:val="0"/>
          <w:color w:val="000000" w:themeColor="text1"/>
          <w:lang w:val="ru-RU"/>
        </w:rPr>
        <w:t>-</w:t>
      </w:r>
      <w:r w:rsidRPr="00DB5D0D">
        <w:rPr>
          <w:rFonts w:ascii="Times New Roman" w:hAnsi="Times New Roman" w:cs="Times New Roman"/>
          <w:i w:val="0"/>
          <w:iCs w:val="0"/>
          <w:noProof w:val="0"/>
          <w:color w:val="000000" w:themeColor="text1"/>
        </w:rPr>
        <w:t>c</w:t>
      </w:r>
      <w:r w:rsidRPr="00DB5D0D">
        <w:rPr>
          <w:rFonts w:ascii="Times New Roman" w:hAnsi="Times New Roman" w:cs="Times New Roman"/>
          <w:i w:val="0"/>
          <w:iCs w:val="0"/>
          <w:noProof w:val="0"/>
          <w:color w:val="000000" w:themeColor="text1"/>
          <w:lang w:val="ru-RU"/>
        </w:rPr>
        <w:t>/</w:t>
      </w:r>
      <w:r w:rsidRPr="00DB5D0D">
        <w:rPr>
          <w:rFonts w:ascii="Times New Roman" w:hAnsi="Times New Roman" w:cs="Times New Roman"/>
          <w:i w:val="0"/>
          <w:iCs w:val="0"/>
          <w:noProof w:val="0"/>
          <w:color w:val="000000" w:themeColor="text1"/>
        </w:rPr>
        <w:t>r</w:t>
      </w:r>
      <w:r w:rsidRPr="00DB5D0D">
        <w:rPr>
          <w:rFonts w:ascii="Times New Roman" w:hAnsi="Times New Roman" w:cs="Times New Roman"/>
          <w:i w:val="0"/>
          <w:iCs w:val="0"/>
          <w:noProof w:val="0"/>
          <w:color w:val="000000" w:themeColor="text1"/>
          <w:lang w:val="ru-RU"/>
        </w:rPr>
        <w:t>.</w:t>
      </w:r>
    </w:p>
    <w:p w14:paraId="66BBC520" w14:textId="77777777" w:rsidR="00A25AD1" w:rsidRPr="00DB5D0D" w:rsidRDefault="00A25AD1" w:rsidP="00DB5D0D">
      <w:pPr>
        <w:pStyle w:val="1210"/>
        <w:shd w:val="clear" w:color="auto" w:fill="auto"/>
        <w:tabs>
          <w:tab w:val="left" w:pos="529"/>
        </w:tabs>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3.После изготовления моделей литой башни (</w:t>
      </w:r>
      <w:r w:rsidRPr="00DB5D0D">
        <w:rPr>
          <w:rFonts w:ascii="Times New Roman" w:hAnsi="Times New Roman" w:cs="Times New Roman"/>
          <w:i w:val="0"/>
          <w:iCs w:val="0"/>
          <w:noProof w:val="0"/>
          <w:color w:val="000000" w:themeColor="text1"/>
          <w:lang w:val="ru-RU"/>
        </w:rPr>
        <w:t>15/</w:t>
      </w:r>
      <w:r w:rsidRPr="00DB5D0D">
        <w:rPr>
          <w:rFonts w:ascii="Times New Roman" w:hAnsi="Times New Roman" w:cs="Times New Roman"/>
          <w:i w:val="0"/>
          <w:iCs w:val="0"/>
          <w:noProof w:val="0"/>
          <w:color w:val="000000" w:themeColor="text1"/>
        </w:rPr>
        <w:t>VI</w:t>
      </w:r>
      <w:r w:rsidRPr="00DB5D0D">
        <w:rPr>
          <w:rFonts w:ascii="Times New Roman" w:hAnsi="Times New Roman" w:cs="Times New Roman"/>
          <w:i w:val="0"/>
          <w:iCs w:val="0"/>
          <w:color w:val="000000" w:themeColor="text1"/>
          <w:lang w:val="ru-RU"/>
        </w:rPr>
        <w:t xml:space="preserve">и </w:t>
      </w:r>
      <w:r w:rsidRPr="00DB5D0D">
        <w:rPr>
          <w:rFonts w:ascii="Times New Roman" w:hAnsi="Times New Roman" w:cs="Times New Roman"/>
          <w:i w:val="0"/>
          <w:iCs w:val="0"/>
          <w:noProof w:val="0"/>
          <w:color w:val="000000" w:themeColor="text1"/>
          <w:lang w:val="ru-RU"/>
        </w:rPr>
        <w:t>22/</w:t>
      </w:r>
      <w:r w:rsidRPr="00DB5D0D">
        <w:rPr>
          <w:rFonts w:ascii="Times New Roman" w:hAnsi="Times New Roman" w:cs="Times New Roman"/>
          <w:i w:val="0"/>
          <w:iCs w:val="0"/>
          <w:noProof w:val="0"/>
          <w:color w:val="000000" w:themeColor="text1"/>
        </w:rPr>
        <w:t>VI</w:t>
      </w:r>
      <w:r w:rsidRPr="00DB5D0D">
        <w:rPr>
          <w:rFonts w:ascii="Times New Roman" w:hAnsi="Times New Roman" w:cs="Times New Roman"/>
          <w:i w:val="0"/>
          <w:iCs w:val="0"/>
          <w:noProof w:val="0"/>
          <w:color w:val="000000" w:themeColor="text1"/>
          <w:lang w:val="ru-RU"/>
        </w:rPr>
        <w:t xml:space="preserve">) </w:t>
      </w:r>
      <w:r w:rsidRPr="00DB5D0D">
        <w:rPr>
          <w:rFonts w:ascii="Times New Roman" w:hAnsi="Times New Roman" w:cs="Times New Roman"/>
          <w:i w:val="0"/>
          <w:iCs w:val="0"/>
          <w:color w:val="000000" w:themeColor="text1"/>
          <w:lang w:val="ru-RU"/>
        </w:rPr>
        <w:t xml:space="preserve">Завод приступит к изготовлению моделей опытной детали литой кормы. Полигонное испытание литой кормы нами намечается на </w:t>
      </w:r>
      <w:r w:rsidRPr="00DB5D0D">
        <w:rPr>
          <w:rFonts w:ascii="Times New Roman" w:hAnsi="Times New Roman" w:cs="Times New Roman"/>
          <w:i w:val="0"/>
          <w:iCs w:val="0"/>
          <w:noProof w:val="0"/>
          <w:color w:val="000000" w:themeColor="text1"/>
          <w:lang w:val="ru-RU"/>
        </w:rPr>
        <w:t>15-20/</w:t>
      </w:r>
      <w:r w:rsidRPr="00DB5D0D">
        <w:rPr>
          <w:rFonts w:ascii="Times New Roman" w:hAnsi="Times New Roman" w:cs="Times New Roman"/>
          <w:i w:val="0"/>
          <w:iCs w:val="0"/>
          <w:noProof w:val="0"/>
          <w:color w:val="000000" w:themeColor="text1"/>
        </w:rPr>
        <w:t>VI</w:t>
      </w:r>
      <w:r w:rsidRPr="00DB5D0D">
        <w:rPr>
          <w:rFonts w:ascii="Times New Roman" w:hAnsi="Times New Roman" w:cs="Times New Roman"/>
          <w:i w:val="0"/>
          <w:iCs w:val="0"/>
          <w:noProof w:val="0"/>
          <w:color w:val="000000" w:themeColor="text1"/>
          <w:lang w:val="ru-RU"/>
        </w:rPr>
        <w:t>-</w:t>
      </w:r>
      <w:r w:rsidRPr="00DB5D0D">
        <w:rPr>
          <w:rFonts w:ascii="Times New Roman" w:hAnsi="Times New Roman" w:cs="Times New Roman"/>
          <w:i w:val="0"/>
          <w:iCs w:val="0"/>
          <w:noProof w:val="0"/>
          <w:color w:val="000000" w:themeColor="text1"/>
        </w:rPr>
        <w:t>c</w:t>
      </w:r>
      <w:r w:rsidRPr="00DB5D0D">
        <w:rPr>
          <w:rFonts w:ascii="Times New Roman" w:hAnsi="Times New Roman" w:cs="Times New Roman"/>
          <w:i w:val="0"/>
          <w:iCs w:val="0"/>
          <w:noProof w:val="0"/>
          <w:color w:val="000000" w:themeColor="text1"/>
          <w:lang w:val="ru-RU"/>
        </w:rPr>
        <w:t>/</w:t>
      </w:r>
      <w:r w:rsidRPr="00DB5D0D">
        <w:rPr>
          <w:rFonts w:ascii="Times New Roman" w:hAnsi="Times New Roman" w:cs="Times New Roman"/>
          <w:i w:val="0"/>
          <w:iCs w:val="0"/>
          <w:noProof w:val="0"/>
          <w:color w:val="000000" w:themeColor="text1"/>
        </w:rPr>
        <w:t>r</w:t>
      </w:r>
      <w:r w:rsidRPr="00DB5D0D">
        <w:rPr>
          <w:rFonts w:ascii="Times New Roman" w:hAnsi="Times New Roman" w:cs="Times New Roman"/>
          <w:i w:val="0"/>
          <w:iCs w:val="0"/>
          <w:noProof w:val="0"/>
          <w:color w:val="000000" w:themeColor="text1"/>
          <w:lang w:val="ru-RU"/>
        </w:rPr>
        <w:t xml:space="preserve">. </w:t>
      </w:r>
      <w:r w:rsidRPr="00DB5D0D">
        <w:rPr>
          <w:rFonts w:ascii="Times New Roman" w:hAnsi="Times New Roman" w:cs="Times New Roman"/>
          <w:i w:val="0"/>
          <w:iCs w:val="0"/>
          <w:color w:val="000000" w:themeColor="text1"/>
          <w:lang w:val="ru-RU"/>
        </w:rPr>
        <w:t>после чего нами будет представлен материал для зак</w:t>
      </w:r>
      <w:r w:rsidRPr="00DB5D0D">
        <w:rPr>
          <w:rFonts w:ascii="Times New Roman" w:hAnsi="Times New Roman" w:cs="Times New Roman"/>
          <w:i w:val="0"/>
          <w:iCs w:val="0"/>
          <w:color w:val="000000" w:themeColor="text1"/>
          <w:lang w:val="ru-RU"/>
        </w:rPr>
        <w:softHyphen/>
        <w:t>лючения о возможности запуска литой кормы на валовое производ</w:t>
      </w:r>
      <w:r w:rsidRPr="00DB5D0D">
        <w:rPr>
          <w:rFonts w:ascii="Times New Roman" w:hAnsi="Times New Roman" w:cs="Times New Roman"/>
          <w:i w:val="0"/>
          <w:iCs w:val="0"/>
          <w:color w:val="000000" w:themeColor="text1"/>
          <w:lang w:val="ru-RU"/>
        </w:rPr>
        <w:softHyphen/>
        <w:t>ство и изыскание баз для их производства.</w:t>
      </w:r>
    </w:p>
    <w:p w14:paraId="4C865868" w14:textId="77777777" w:rsidR="00A25AD1" w:rsidRPr="00DB5D0D" w:rsidRDefault="00A25AD1" w:rsidP="00DB5D0D">
      <w:pPr>
        <w:pStyle w:val="1210"/>
        <w:shd w:val="clear" w:color="auto" w:fill="auto"/>
        <w:spacing w:before="0" w:line="240" w:lineRule="auto"/>
        <w:rPr>
          <w:rStyle w:val="1220pt18"/>
          <w:rFonts w:ascii="Times New Roman" w:hAnsi="Times New Roman" w:cs="Times New Roman"/>
          <w:noProof w:val="0"/>
          <w:color w:val="000000" w:themeColor="text1"/>
          <w:spacing w:val="0"/>
          <w:lang w:val="ru-RU"/>
        </w:rPr>
      </w:pPr>
      <w:r w:rsidRPr="00DB5D0D">
        <w:rPr>
          <w:rFonts w:ascii="Times New Roman" w:hAnsi="Times New Roman" w:cs="Times New Roman"/>
          <w:i w:val="0"/>
          <w:iCs w:val="0"/>
          <w:color w:val="000000" w:themeColor="text1"/>
          <w:lang w:val="ru-RU"/>
        </w:rPr>
        <w:t xml:space="preserve">Гпавный инженер завода НИЦЕНКО </w:t>
      </w:r>
      <w:r w:rsidRPr="00DB5D0D">
        <w:rPr>
          <w:rFonts w:ascii="Times New Roman" w:hAnsi="Times New Roman" w:cs="Times New Roman"/>
          <w:i w:val="0"/>
          <w:iCs w:val="0"/>
          <w:noProof w:val="0"/>
          <w:color w:val="000000" w:themeColor="text1"/>
        </w:rPr>
        <w:t>B</w:t>
      </w:r>
      <w:r w:rsidRPr="00DB5D0D">
        <w:rPr>
          <w:rFonts w:ascii="Times New Roman" w:hAnsi="Times New Roman" w:cs="Times New Roman"/>
          <w:i w:val="0"/>
          <w:iCs w:val="0"/>
          <w:noProof w:val="0"/>
          <w:color w:val="000000" w:themeColor="text1"/>
          <w:lang w:val="ru-RU"/>
        </w:rPr>
        <w:t>.</w:t>
      </w:r>
      <w:r w:rsidRPr="00DB5D0D">
        <w:rPr>
          <w:rFonts w:ascii="Times New Roman" w:hAnsi="Times New Roman" w:cs="Times New Roman"/>
          <w:i w:val="0"/>
          <w:iCs w:val="0"/>
          <w:noProof w:val="0"/>
          <w:color w:val="000000" w:themeColor="text1"/>
        </w:rPr>
        <w:t>C</w:t>
      </w:r>
      <w:r w:rsidRPr="00DB5D0D">
        <w:rPr>
          <w:rFonts w:ascii="Times New Roman" w:hAnsi="Times New Roman" w:cs="Times New Roman"/>
          <w:i w:val="0"/>
          <w:iCs w:val="0"/>
          <w:noProof w:val="0"/>
          <w:color w:val="000000" w:themeColor="text1"/>
          <w:lang w:val="ru-RU"/>
        </w:rPr>
        <w:t xml:space="preserve">. </w:t>
      </w:r>
      <w:r w:rsidRPr="00DB5D0D">
        <w:rPr>
          <w:rFonts w:ascii="Times New Roman" w:hAnsi="Times New Roman" w:cs="Times New Roman"/>
          <w:i w:val="0"/>
          <w:iCs w:val="0"/>
          <w:color w:val="000000" w:themeColor="text1"/>
          <w:lang w:val="ru-RU"/>
        </w:rPr>
        <w:t>[</w:t>
      </w:r>
      <w:r w:rsidRPr="00DB5D0D">
        <w:rPr>
          <w:rFonts w:ascii="Times New Roman" w:hAnsi="Times New Roman" w:cs="Times New Roman"/>
          <w:i w:val="0"/>
          <w:color w:val="000000" w:themeColor="text1"/>
          <w:lang w:val="ru-RU"/>
        </w:rPr>
        <w:t>РГВА. Ф.31811. Оп.2 Д. 1174. Л. 139.</w:t>
      </w:r>
      <w:r w:rsidRPr="00DB5D0D">
        <w:rPr>
          <w:rStyle w:val="1220pt18"/>
          <w:rFonts w:ascii="Times New Roman" w:hAnsi="Times New Roman" w:cs="Times New Roman"/>
          <w:color w:val="000000" w:themeColor="text1"/>
          <w:spacing w:val="0"/>
          <w:lang w:val="ru-RU"/>
        </w:rPr>
        <w:t>]</w:t>
      </w:r>
      <w:r w:rsidRPr="00DB5D0D">
        <w:rPr>
          <w:rStyle w:val="1220pt18"/>
          <w:rFonts w:ascii="Times New Roman" w:hAnsi="Times New Roman" w:cs="Times New Roman"/>
          <w:noProof w:val="0"/>
          <w:color w:val="000000" w:themeColor="text1"/>
          <w:spacing w:val="0"/>
          <w:lang w:val="ru-RU"/>
        </w:rPr>
        <w:t xml:space="preserve"> (11903).</w:t>
      </w:r>
    </w:p>
    <w:p w14:paraId="58FA6A51"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p>
    <w:p w14:paraId="19CD8BC8" w14:textId="77777777" w:rsidR="004A0330" w:rsidRPr="00DB5D0D" w:rsidRDefault="004A0330" w:rsidP="00DB5D0D">
      <w:pPr>
        <w:pStyle w:val="a3"/>
        <w:rPr>
          <w:color w:val="000000" w:themeColor="text1"/>
          <w:lang w:val="ru-RU"/>
        </w:rPr>
      </w:pPr>
      <w:r w:rsidRPr="00DB5D0D">
        <w:rPr>
          <w:color w:val="000000" w:themeColor="text1"/>
          <w:lang w:val="ru-RU"/>
        </w:rPr>
        <w:t>11 июня 1940 года появился документ «Предложения по уточнению системы танкового вооружения», в котором нашлось место и штурмовым САУ</w:t>
      </w:r>
    </w:p>
    <w:p w14:paraId="7D782FC6" w14:textId="77777777" w:rsidR="004A0330" w:rsidRPr="00DB5D0D" w:rsidRDefault="004A0330"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 xml:space="preserve">«1. Танк </w:t>
      </w:r>
      <w:r w:rsidRPr="00DB5D0D">
        <w:rPr>
          <w:i w:val="0"/>
          <w:color w:val="000000" w:themeColor="text1"/>
          <w:sz w:val="16"/>
          <w:szCs w:val="16"/>
          <w:lang w:val="en-US"/>
        </w:rPr>
        <w:t>KB</w:t>
      </w:r>
      <w:r w:rsidRPr="00DB5D0D">
        <w:rPr>
          <w:i w:val="0"/>
          <w:color w:val="000000" w:themeColor="text1"/>
          <w:sz w:val="16"/>
          <w:szCs w:val="16"/>
        </w:rPr>
        <w:t xml:space="preserve"> должен иметь 76мм пушку с начальной скоростью не ниже 800 метров в секунду для того, чтобы иметь возможность проби</w:t>
      </w:r>
      <w:r w:rsidRPr="00DB5D0D">
        <w:rPr>
          <w:i w:val="0"/>
          <w:color w:val="000000" w:themeColor="text1"/>
          <w:sz w:val="16"/>
          <w:szCs w:val="16"/>
        </w:rPr>
        <w:softHyphen/>
        <w:t xml:space="preserve"> вать броню от 70 до 80мм толщиной. Орудие должно быть скоро</w:t>
      </w:r>
      <w:r w:rsidRPr="00DB5D0D">
        <w:rPr>
          <w:i w:val="0"/>
          <w:color w:val="000000" w:themeColor="text1"/>
          <w:sz w:val="16"/>
          <w:szCs w:val="16"/>
        </w:rPr>
        <w:softHyphen/>
        <w:t>стрельным с достаточным запасом выстрелов.</w:t>
      </w:r>
    </w:p>
    <w:p w14:paraId="06CDC102" w14:textId="77777777" w:rsidR="004A0330" w:rsidRPr="00DB5D0D" w:rsidRDefault="004A0330"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В данное время наиболее подходящим для этой цели орудием яв</w:t>
      </w:r>
      <w:r w:rsidRPr="00DB5D0D">
        <w:rPr>
          <w:i w:val="0"/>
          <w:color w:val="000000" w:themeColor="text1"/>
          <w:sz w:val="16"/>
          <w:szCs w:val="16"/>
        </w:rPr>
        <w:softHyphen/>
        <w:t>ляется 76 мм зенитная пушка обр. 1931 г. Танк должен иметь бро</w:t>
      </w:r>
      <w:r w:rsidRPr="00DB5D0D">
        <w:rPr>
          <w:i w:val="0"/>
          <w:color w:val="000000" w:themeColor="text1"/>
          <w:sz w:val="16"/>
          <w:szCs w:val="16"/>
        </w:rPr>
        <w:softHyphen/>
        <w:t>ню от 90 мм до 100 мм.</w:t>
      </w:r>
    </w:p>
    <w:p w14:paraId="1E7229CB" w14:textId="77777777" w:rsidR="004A0330" w:rsidRPr="00DB5D0D" w:rsidRDefault="004A0330" w:rsidP="00DB5D0D">
      <w:pPr>
        <w:pStyle w:val="Bodytext141"/>
        <w:shd w:val="clear" w:color="auto" w:fill="auto"/>
        <w:tabs>
          <w:tab w:val="left" w:pos="1441"/>
        </w:tabs>
        <w:spacing w:line="240" w:lineRule="auto"/>
        <w:ind w:firstLine="0"/>
        <w:jc w:val="both"/>
        <w:rPr>
          <w:i w:val="0"/>
          <w:color w:val="000000" w:themeColor="text1"/>
          <w:sz w:val="16"/>
          <w:szCs w:val="16"/>
        </w:rPr>
      </w:pPr>
      <w:r w:rsidRPr="00DB5D0D">
        <w:rPr>
          <w:i w:val="0"/>
          <w:color w:val="000000" w:themeColor="text1"/>
          <w:sz w:val="16"/>
          <w:szCs w:val="16"/>
        </w:rPr>
        <w:t>2. Танк КВ-2 должен иметь 107мм пушку с начальной скоростью по</w:t>
      </w:r>
      <w:r w:rsidRPr="00DB5D0D">
        <w:rPr>
          <w:i w:val="0"/>
          <w:color w:val="000000" w:themeColor="text1"/>
          <w:sz w:val="16"/>
          <w:szCs w:val="16"/>
        </w:rPr>
        <w:softHyphen/>
        <w:t>рядка 730-750метров в секунду для того, чтобы обладать способ</w:t>
      </w:r>
      <w:r w:rsidRPr="00DB5D0D">
        <w:rPr>
          <w:i w:val="0"/>
          <w:color w:val="000000" w:themeColor="text1"/>
          <w:sz w:val="16"/>
          <w:szCs w:val="16"/>
        </w:rPr>
        <w:softHyphen/>
        <w:t>ностью пробивать броню толщиной 100-110 мм. Орудие должно быть скорострельным, обладать большой пробивной способностью, с достаточным запасом снарядов, стрелять наряду с бронебойной и дистанционной гранатой.</w:t>
      </w:r>
    </w:p>
    <w:p w14:paraId="1CBA0FD7" w14:textId="77777777" w:rsidR="004A0330" w:rsidRPr="00DB5D0D" w:rsidRDefault="004A0330"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Наиболее подходящим типом орудия в данное время является 107мм пушка М-60.</w:t>
      </w:r>
    </w:p>
    <w:p w14:paraId="28FE5C56" w14:textId="77777777" w:rsidR="004A0330" w:rsidRPr="00DB5D0D" w:rsidRDefault="004A0330" w:rsidP="00DB5D0D">
      <w:pPr>
        <w:pStyle w:val="Bodytext141"/>
        <w:shd w:val="clear" w:color="auto" w:fill="auto"/>
        <w:tabs>
          <w:tab w:val="left" w:pos="1426"/>
        </w:tabs>
        <w:spacing w:line="240" w:lineRule="auto"/>
        <w:ind w:firstLine="0"/>
        <w:jc w:val="both"/>
        <w:rPr>
          <w:i w:val="0"/>
          <w:color w:val="000000" w:themeColor="text1"/>
          <w:sz w:val="16"/>
          <w:szCs w:val="16"/>
        </w:rPr>
      </w:pPr>
      <w:r w:rsidRPr="00DB5D0D">
        <w:rPr>
          <w:i w:val="0"/>
          <w:color w:val="000000" w:themeColor="text1"/>
          <w:sz w:val="16"/>
          <w:szCs w:val="16"/>
        </w:rPr>
        <w:t>3. Иметь самоходную бронированную тяжелую артиллерию с задачей разрушения ДОТов. В качестве вооружения самоходов использо</w:t>
      </w:r>
      <w:r w:rsidRPr="00DB5D0D">
        <w:rPr>
          <w:i w:val="0"/>
          <w:color w:val="000000" w:themeColor="text1"/>
          <w:sz w:val="16"/>
          <w:szCs w:val="16"/>
        </w:rPr>
        <w:softHyphen/>
        <w:t>вать пушки 122 мм, 152 мм и 180 мм.</w:t>
      </w:r>
    </w:p>
    <w:p w14:paraId="41290FAE" w14:textId="77777777" w:rsidR="004A0330" w:rsidRPr="00DB5D0D" w:rsidRDefault="004A0330" w:rsidP="00DB5D0D">
      <w:pPr>
        <w:pStyle w:val="Bodytext141"/>
        <w:shd w:val="clear" w:color="auto" w:fill="auto"/>
        <w:tabs>
          <w:tab w:val="left" w:pos="1710"/>
        </w:tabs>
        <w:spacing w:line="240" w:lineRule="auto"/>
        <w:ind w:firstLine="0"/>
        <w:jc w:val="both"/>
        <w:rPr>
          <w:i w:val="0"/>
          <w:color w:val="000000" w:themeColor="text1"/>
          <w:sz w:val="16"/>
          <w:szCs w:val="16"/>
        </w:rPr>
      </w:pPr>
      <w:r w:rsidRPr="00DB5D0D">
        <w:rPr>
          <w:i w:val="0"/>
          <w:color w:val="000000" w:themeColor="text1"/>
          <w:sz w:val="16"/>
          <w:szCs w:val="16"/>
        </w:rPr>
        <w:t>а) Наиболее реальный путь для разрешения этой задачи заключает</w:t>
      </w:r>
      <w:r w:rsidRPr="00DB5D0D">
        <w:rPr>
          <w:i w:val="0"/>
          <w:color w:val="000000" w:themeColor="text1"/>
          <w:sz w:val="16"/>
          <w:szCs w:val="16"/>
        </w:rPr>
        <w:softHyphen/>
        <w:t>ся в том, чтобы организовать производство и установку на танк 100-130мм пушки, обеспечивши его настоящим бронебойным сна</w:t>
      </w:r>
      <w:r w:rsidRPr="00DB5D0D">
        <w:rPr>
          <w:i w:val="0"/>
          <w:color w:val="000000" w:themeColor="text1"/>
          <w:sz w:val="16"/>
          <w:szCs w:val="16"/>
        </w:rPr>
        <w:softHyphen/>
        <w:t>рядом для возможности пробивать броню толщиной 130-150мм.</w:t>
      </w:r>
    </w:p>
    <w:p w14:paraId="5F4B6824" w14:textId="77777777" w:rsidR="004A0330" w:rsidRPr="00DB5D0D" w:rsidRDefault="004A0330" w:rsidP="00DB5D0D">
      <w:pPr>
        <w:pStyle w:val="Bodytext141"/>
        <w:shd w:val="clear" w:color="auto" w:fill="auto"/>
        <w:tabs>
          <w:tab w:val="left" w:pos="1714"/>
        </w:tabs>
        <w:spacing w:line="240" w:lineRule="auto"/>
        <w:ind w:firstLine="0"/>
        <w:jc w:val="both"/>
        <w:rPr>
          <w:i w:val="0"/>
          <w:color w:val="000000" w:themeColor="text1"/>
          <w:sz w:val="16"/>
          <w:szCs w:val="16"/>
        </w:rPr>
      </w:pPr>
      <w:r w:rsidRPr="00DB5D0D">
        <w:rPr>
          <w:i w:val="0"/>
          <w:color w:val="000000" w:themeColor="text1"/>
          <w:sz w:val="16"/>
          <w:szCs w:val="16"/>
        </w:rPr>
        <w:t>б) В срочном порядке изготовить опытный образец установки 152 мм пушки обр. 1935 г. (БР-2) на танк СМ К и обеспечить эту систему бронебойной гранатой, способной пробивать броню тол</w:t>
      </w:r>
      <w:r w:rsidRPr="00DB5D0D">
        <w:rPr>
          <w:i w:val="0"/>
          <w:color w:val="000000" w:themeColor="text1"/>
          <w:sz w:val="16"/>
          <w:szCs w:val="16"/>
        </w:rPr>
        <w:softHyphen/>
        <w:t>щиной 150-160мм и бетонную стенку толщиной 1,5 метра.</w:t>
      </w:r>
    </w:p>
    <w:p w14:paraId="6AE7166D" w14:textId="77777777" w:rsidR="004A0330" w:rsidRPr="00DB5D0D" w:rsidRDefault="004A0330"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Орудие должно быть защищено броней 60-70 мм толщины и вся система должна быть весом не более 65 тонн.</w:t>
      </w:r>
    </w:p>
    <w:p w14:paraId="3E543C46" w14:textId="77777777" w:rsidR="004A0330" w:rsidRPr="00DB5D0D" w:rsidRDefault="004A0330" w:rsidP="00DB5D0D">
      <w:pPr>
        <w:pStyle w:val="Bodytext141"/>
        <w:shd w:val="clear" w:color="auto" w:fill="auto"/>
        <w:tabs>
          <w:tab w:val="left" w:pos="1710"/>
        </w:tabs>
        <w:spacing w:line="240" w:lineRule="auto"/>
        <w:ind w:firstLine="0"/>
        <w:jc w:val="both"/>
        <w:rPr>
          <w:i w:val="0"/>
          <w:color w:val="000000" w:themeColor="text1"/>
          <w:sz w:val="16"/>
          <w:szCs w:val="16"/>
        </w:rPr>
      </w:pPr>
      <w:r w:rsidRPr="00DB5D0D">
        <w:rPr>
          <w:i w:val="0"/>
          <w:color w:val="000000" w:themeColor="text1"/>
          <w:sz w:val="16"/>
          <w:szCs w:val="16"/>
        </w:rPr>
        <w:t>в) Поставить 180 мм пушку на самоход (СМК) и в случае нужды переделать ходовую часть и для уменьшения веса уменьшить толщину брони.</w:t>
      </w:r>
    </w:p>
    <w:p w14:paraId="409919D4" w14:textId="77777777" w:rsidR="004A0330" w:rsidRPr="00DB5D0D" w:rsidRDefault="004A0330" w:rsidP="00DB5D0D">
      <w:pPr>
        <w:pStyle w:val="Bodytext141"/>
        <w:shd w:val="clear" w:color="auto" w:fill="auto"/>
        <w:tabs>
          <w:tab w:val="left" w:pos="1378"/>
        </w:tabs>
        <w:spacing w:line="240" w:lineRule="auto"/>
        <w:ind w:firstLine="0"/>
        <w:jc w:val="both"/>
        <w:rPr>
          <w:i w:val="0"/>
          <w:color w:val="000000" w:themeColor="text1"/>
          <w:sz w:val="16"/>
          <w:szCs w:val="16"/>
        </w:rPr>
      </w:pPr>
      <w:r w:rsidRPr="00DB5D0D">
        <w:rPr>
          <w:i w:val="0"/>
          <w:color w:val="000000" w:themeColor="text1"/>
          <w:sz w:val="16"/>
          <w:szCs w:val="16"/>
        </w:rPr>
        <w:t>3. Для переходного периода принять следующие решения:</w:t>
      </w:r>
    </w:p>
    <w:p w14:paraId="4C80B008" w14:textId="77777777" w:rsidR="004A0330" w:rsidRPr="00DB5D0D" w:rsidRDefault="004A0330" w:rsidP="00DB5D0D">
      <w:pPr>
        <w:pStyle w:val="Bodytext141"/>
        <w:shd w:val="clear" w:color="auto" w:fill="auto"/>
        <w:tabs>
          <w:tab w:val="left" w:pos="1724"/>
        </w:tabs>
        <w:spacing w:line="240" w:lineRule="auto"/>
        <w:ind w:firstLine="0"/>
        <w:jc w:val="both"/>
        <w:rPr>
          <w:i w:val="0"/>
          <w:color w:val="000000" w:themeColor="text1"/>
          <w:sz w:val="16"/>
          <w:szCs w:val="16"/>
        </w:rPr>
      </w:pPr>
      <w:r w:rsidRPr="00DB5D0D">
        <w:rPr>
          <w:i w:val="0"/>
          <w:color w:val="000000" w:themeColor="text1"/>
          <w:sz w:val="16"/>
          <w:szCs w:val="16"/>
        </w:rPr>
        <w:t xml:space="preserve">а) Танки </w:t>
      </w:r>
      <w:r w:rsidRPr="00DB5D0D">
        <w:rPr>
          <w:i w:val="0"/>
          <w:color w:val="000000" w:themeColor="text1"/>
          <w:sz w:val="16"/>
          <w:szCs w:val="16"/>
          <w:lang w:val="en-US"/>
        </w:rPr>
        <w:t>KB</w:t>
      </w:r>
      <w:r w:rsidRPr="00DB5D0D">
        <w:rPr>
          <w:i w:val="0"/>
          <w:color w:val="000000" w:themeColor="text1"/>
          <w:sz w:val="16"/>
          <w:szCs w:val="16"/>
        </w:rPr>
        <w:t xml:space="preserve"> — выпускать вооруженными 152 мм гаубицами обр. 1938 г. (М-10).</w:t>
      </w:r>
    </w:p>
    <w:p w14:paraId="7FEE10D3" w14:textId="77777777" w:rsidR="004A0330" w:rsidRPr="00DB5D0D" w:rsidRDefault="004A0330" w:rsidP="00DB5D0D">
      <w:pPr>
        <w:pStyle w:val="Bodytext141"/>
        <w:shd w:val="clear" w:color="auto" w:fill="auto"/>
        <w:tabs>
          <w:tab w:val="left" w:pos="1734"/>
        </w:tabs>
        <w:spacing w:line="240" w:lineRule="auto"/>
        <w:ind w:firstLine="0"/>
        <w:jc w:val="both"/>
        <w:rPr>
          <w:i w:val="0"/>
          <w:color w:val="000000" w:themeColor="text1"/>
          <w:sz w:val="16"/>
          <w:szCs w:val="16"/>
        </w:rPr>
      </w:pPr>
      <w:r w:rsidRPr="00DB5D0D">
        <w:rPr>
          <w:i w:val="0"/>
          <w:color w:val="000000" w:themeColor="text1"/>
          <w:sz w:val="16"/>
          <w:szCs w:val="16"/>
        </w:rPr>
        <w:t xml:space="preserve">б) Танк </w:t>
      </w:r>
      <w:r w:rsidRPr="00DB5D0D">
        <w:rPr>
          <w:i w:val="0"/>
          <w:color w:val="000000" w:themeColor="text1"/>
          <w:sz w:val="16"/>
          <w:szCs w:val="16"/>
          <w:lang w:val="en-US"/>
        </w:rPr>
        <w:t>KB</w:t>
      </w:r>
      <w:r w:rsidRPr="00DB5D0D">
        <w:rPr>
          <w:i w:val="0"/>
          <w:color w:val="000000" w:themeColor="text1"/>
          <w:sz w:val="16"/>
          <w:szCs w:val="16"/>
        </w:rPr>
        <w:t xml:space="preserve"> — выпускать вооруженными 76 мм пушками Л-11 с вы</w:t>
      </w:r>
      <w:r w:rsidRPr="00DB5D0D">
        <w:rPr>
          <w:i w:val="0"/>
          <w:color w:val="000000" w:themeColor="text1"/>
          <w:sz w:val="16"/>
          <w:szCs w:val="16"/>
        </w:rPr>
        <w:softHyphen/>
        <w:t>стрелами с нормальными зарядами.</w:t>
      </w:r>
    </w:p>
    <w:p w14:paraId="6B085A66" w14:textId="77777777" w:rsidR="004A0330" w:rsidRPr="00DB5D0D" w:rsidRDefault="004A0330" w:rsidP="00DB5D0D">
      <w:pPr>
        <w:pStyle w:val="Bodytext141"/>
        <w:shd w:val="clear" w:color="auto" w:fill="auto"/>
        <w:tabs>
          <w:tab w:val="left" w:pos="1705"/>
        </w:tabs>
        <w:spacing w:line="240" w:lineRule="auto"/>
        <w:ind w:firstLine="0"/>
        <w:jc w:val="both"/>
        <w:rPr>
          <w:i w:val="0"/>
          <w:color w:val="000000" w:themeColor="text1"/>
          <w:sz w:val="16"/>
          <w:szCs w:val="16"/>
        </w:rPr>
      </w:pPr>
      <w:r w:rsidRPr="00DB5D0D">
        <w:rPr>
          <w:i w:val="0"/>
          <w:color w:val="000000" w:themeColor="text1"/>
          <w:sz w:val="16"/>
          <w:szCs w:val="16"/>
        </w:rPr>
        <w:t>в) Немедленно организовать конструирование установок 76 мм зе</w:t>
      </w:r>
      <w:r w:rsidRPr="00DB5D0D">
        <w:rPr>
          <w:i w:val="0"/>
          <w:color w:val="000000" w:themeColor="text1"/>
          <w:sz w:val="16"/>
          <w:szCs w:val="16"/>
        </w:rPr>
        <w:softHyphen/>
        <w:t>нитной пушки обр. 1931 г. и 107-мм пушки (М-60).</w:t>
      </w:r>
    </w:p>
    <w:p w14:paraId="3A80DCB0" w14:textId="77777777" w:rsidR="004A0330" w:rsidRPr="00DB5D0D" w:rsidRDefault="004A0330" w:rsidP="00DB5D0D">
      <w:pPr>
        <w:pStyle w:val="Bodytext141"/>
        <w:shd w:val="clear" w:color="auto" w:fill="auto"/>
        <w:tabs>
          <w:tab w:val="left" w:pos="1705"/>
        </w:tabs>
        <w:spacing w:line="240" w:lineRule="auto"/>
        <w:ind w:firstLine="0"/>
        <w:jc w:val="both"/>
        <w:rPr>
          <w:i w:val="0"/>
          <w:color w:val="000000" w:themeColor="text1"/>
          <w:sz w:val="16"/>
          <w:szCs w:val="16"/>
        </w:rPr>
      </w:pPr>
      <w:r w:rsidRPr="00DB5D0D">
        <w:rPr>
          <w:i w:val="0"/>
          <w:color w:val="000000" w:themeColor="text1"/>
          <w:sz w:val="16"/>
          <w:szCs w:val="16"/>
        </w:rPr>
        <w:t>г) Немедленно начать производство Т-100 с установкой 130 м пу</w:t>
      </w:r>
      <w:r w:rsidRPr="00DB5D0D">
        <w:rPr>
          <w:i w:val="0"/>
          <w:color w:val="000000" w:themeColor="text1"/>
          <w:sz w:val="16"/>
          <w:szCs w:val="16"/>
        </w:rPr>
        <w:softHyphen/>
        <w:t>шек и самом срочном порядке произвести работу по установке на СМК 152 мм пушки обр. 1935 г. (БР-2).</w:t>
      </w:r>
    </w:p>
    <w:p w14:paraId="7C9F197C" w14:textId="77777777" w:rsidR="004A0330" w:rsidRPr="00DB5D0D" w:rsidRDefault="004A0330" w:rsidP="00DB5D0D">
      <w:pPr>
        <w:pStyle w:val="Bodytext141"/>
        <w:shd w:val="clear" w:color="auto" w:fill="auto"/>
        <w:tabs>
          <w:tab w:val="left" w:pos="1710"/>
        </w:tabs>
        <w:spacing w:line="240" w:lineRule="auto"/>
        <w:ind w:firstLine="0"/>
        <w:jc w:val="both"/>
        <w:rPr>
          <w:i w:val="0"/>
          <w:color w:val="000000" w:themeColor="text1"/>
          <w:sz w:val="16"/>
          <w:szCs w:val="16"/>
        </w:rPr>
      </w:pPr>
      <w:r w:rsidRPr="00DB5D0D">
        <w:rPr>
          <w:i w:val="0"/>
          <w:color w:val="000000" w:themeColor="text1"/>
          <w:sz w:val="16"/>
          <w:szCs w:val="16"/>
        </w:rPr>
        <w:t>д) Поставить на Т-35 пушку 122 мм или 152 мм и испытать одно</w:t>
      </w:r>
      <w:r w:rsidRPr="00DB5D0D">
        <w:rPr>
          <w:i w:val="0"/>
          <w:color w:val="000000" w:themeColor="text1"/>
          <w:sz w:val="16"/>
          <w:szCs w:val="16"/>
        </w:rPr>
        <w:softHyphen/>
        <w:t>временно экранирование.</w:t>
      </w:r>
    </w:p>
    <w:p w14:paraId="7EA1AA2C"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Танки Т-34 иметь дух типов: вооруженными 45 мм пушками и 76 мм пушками. Улучшитьь бронебойное действие 45 мм сна</w:t>
      </w:r>
      <w:r w:rsidRPr="00DB5D0D">
        <w:rPr>
          <w:rFonts w:ascii="Times New Roman" w:hAnsi="Times New Roman"/>
          <w:color w:val="000000" w:themeColor="text1"/>
          <w:sz w:val="16"/>
          <w:szCs w:val="16"/>
        </w:rPr>
        <w:softHyphen/>
        <w:t>ряда и поставить в производство 76 мм пушки Ф-32 или Ф-34</w:t>
      </w:r>
    </w:p>
    <w:p w14:paraId="1B0A4B34" w14:textId="77777777" w:rsidR="004A0330" w:rsidRPr="00DB5D0D" w:rsidRDefault="004A0330"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ж) Все танки вооружать пулеметами ДС с утолщенным стволом, допускающим возможность более продолжительной стрельбы, чем ДТ» (17484).</w:t>
      </w:r>
    </w:p>
    <w:p w14:paraId="74F3CF0C" w14:textId="77777777" w:rsidR="004A0330" w:rsidRPr="00DB5D0D" w:rsidRDefault="004A0330" w:rsidP="00DB5D0D">
      <w:pPr>
        <w:spacing w:after="0" w:line="240" w:lineRule="auto"/>
        <w:jc w:val="both"/>
        <w:rPr>
          <w:rFonts w:ascii="Times New Roman" w:hAnsi="Times New Roman"/>
          <w:color w:val="000000" w:themeColor="text1"/>
          <w:sz w:val="16"/>
          <w:szCs w:val="16"/>
        </w:rPr>
      </w:pPr>
    </w:p>
    <w:p w14:paraId="485AF24D" w14:textId="77777777" w:rsidR="00423D34" w:rsidRPr="00DB5D0D" w:rsidRDefault="00423D34" w:rsidP="00DB5D0D">
      <w:pPr>
        <w:pStyle w:val="ae"/>
        <w:shd w:val="clear" w:color="auto" w:fill="FFFFFF"/>
        <w:spacing w:before="0" w:after="0"/>
        <w:jc w:val="both"/>
        <w:rPr>
          <w:color w:val="000000" w:themeColor="text1"/>
          <w:sz w:val="16"/>
          <w:szCs w:val="16"/>
        </w:rPr>
      </w:pPr>
      <w:r w:rsidRPr="00DB5D0D">
        <w:rPr>
          <w:color w:val="000000" w:themeColor="text1"/>
          <w:sz w:val="16"/>
          <w:szCs w:val="16"/>
        </w:rPr>
        <w:t>11 июня 1940 года в предложениях по уточнению системы танкового вооружения появился любопытный пункт. КВ-2 вместо 152-мм гаубицы предлагалось вооружить 107-мм пушкой на основе корпусного орудия М-60, разработанного КБ завода №172 (г. Молотов, ныне — Пермь). Проведённые испытания показали, что на дистанции 800 метров М-60 способна пробить броню толщиной до 107–110 мм, поставленную под углом 30 градусов. Снова эта система всплывает в ведомости танковых, самоходных и противотанковых систем, подлежащих разработке. Пунктом 4 в ней упоминается «107 мм танковая пушка с установкой в башне танка КВ (качающаяся часть от новой 107 мм корпусной пушки М-60)». Сроком её изготовления указывалось 1 ноября 1940 года, исполнителем работ – Кировский завод. О том, что Кировский завод занимался подобными системами, до сей поры было неизвестно. Между тем, 107-мм пушку с баллистикой М-60 артиллерийское КБ Кировского завода взяло в работу, хоть и не сразу — первоначально оно от неё отказалось. В январе 1941 года Кировский завод представил Главному артиллерийскому управлению Красной Армии (ГАУ) проект танковой пушки большой мощности, имевший индекс «412». Такие 400-е индексы на Кировской заводе с 1940 года получали артиллерийские системы. Например, установка 152-мм гаубицы в КВ-2 с «пониженной» башней имела индекс «402» (15614).</w:t>
      </w:r>
    </w:p>
    <w:p w14:paraId="640E4006" w14:textId="77777777" w:rsidR="00423D34" w:rsidRPr="00DB5D0D" w:rsidRDefault="00423D34" w:rsidP="00DB5D0D">
      <w:pPr>
        <w:pStyle w:val="ae"/>
        <w:shd w:val="clear" w:color="auto" w:fill="FFFFFF"/>
        <w:spacing w:before="0" w:after="0"/>
        <w:jc w:val="both"/>
        <w:rPr>
          <w:color w:val="000000" w:themeColor="text1"/>
          <w:sz w:val="16"/>
          <w:szCs w:val="16"/>
        </w:rPr>
      </w:pPr>
    </w:p>
    <w:p w14:paraId="11BB0E09" w14:textId="77777777" w:rsidR="007B1371" w:rsidRPr="00DB5D0D" w:rsidRDefault="007B137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11 июня 1940 года в предложениях по уточнению системы танкового вооружения появился любопытный пункт. КВ-2 вместо 152-мм гаубицы предлагалось вооружить 107-мм пушкой на основе корпусного орудия М-60, разработанного КБ завода №172 (г. Молотов, ныне — Пермь). Проведённые испытания показали, что на дистанции 800 метров М-60 способна пробить броню толщиной до 107–110 мм, поставленную под углом 30 градусов. Снова эта система всплывает в ведомости танковых, самоходных и противотанковых систем, подлежащих разработке. Пунктом 4 в ней упоминается «107 мм танковая пушка с установкой в башне танка КВ (качающаяся часть от новой 107 мм корпусной пушки М-60)».Сроком её изготовления указывалось 1 ноября 1940 года, исполнителем работ – Кировский завод.</w:t>
      </w:r>
    </w:p>
    <w:p w14:paraId="5016194E" w14:textId="77777777" w:rsidR="007B1371" w:rsidRPr="00DB5D0D" w:rsidRDefault="007B137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 том, что Кировский завод занимался подобными системами, до сей поры было неизвестно. Между тем, 107-мм пушку с баллистикой М-60 артиллерийское КБ Кировского завода взяло в работу, хоть и не сразу — первоначально оно от неё отказалось. В январе 1941 года Кировский завод представил Главному артиллерийскому управлению Красной Армии (ГАУ) проект танковой пушки большой мощности, имевший индекс «412». Такие 400-е индексы на Кировской заводе с 1940 года получали артиллерийские системы. Например, установка 152-мм гаубицы в КВ-2 с «пониженной» башней имела индекс «402».</w:t>
      </w:r>
    </w:p>
    <w:p w14:paraId="7AD59B5A" w14:textId="77777777" w:rsidR="007B1371" w:rsidRPr="00DB5D0D" w:rsidRDefault="007B137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Система «412» была предложена сразу в двух вариантах. «412–1в» представляла собой танковую версию 100-мм морской пушки Б-24. От этой системы ГАУ отказалось сразу, поскольку в ней от Б-24 брались только труба, снаряд и гильза. Более того, бронебойного снаряда для Б-24 не существовало в природе, а в ГАУ вполне справедливо полагали, что номенклатура танковой артиллерии должна соответствовать полевой. Так что первое пришествие танковой пушки калибром 100 мм завершилось полным фиаско.</w:t>
      </w:r>
    </w:p>
    <w:p w14:paraId="6FB5B99D" w14:textId="77777777" w:rsidR="007B1371" w:rsidRPr="00DB5D0D" w:rsidRDefault="007B137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Что же касается второй системы, имевшей индекс «412–2в», она имела калибр 107 мм. Её разработку Кировскому заводу предложили производить за свой счёт, потому как в 1940 году они от этой работы, как указывалось выше, отказались. За прошедшее время проявил инициативу другой завод, который в январе 1941 года свою пушку уже изготовил. На этом история 107-мм пушки разработки Кировского завода закончилась (17642).</w:t>
      </w:r>
    </w:p>
    <w:p w14:paraId="299EA7DC" w14:textId="77777777" w:rsidR="007B1371" w:rsidRPr="00DB5D0D" w:rsidRDefault="007B1371" w:rsidP="00DB5D0D">
      <w:pPr>
        <w:spacing w:after="0" w:line="240" w:lineRule="auto"/>
        <w:jc w:val="both"/>
        <w:rPr>
          <w:rFonts w:ascii="Times New Roman" w:hAnsi="Times New Roman"/>
          <w:color w:val="000000" w:themeColor="text1"/>
          <w:sz w:val="16"/>
          <w:szCs w:val="16"/>
        </w:rPr>
      </w:pPr>
    </w:p>
    <w:p w14:paraId="469A6515" w14:textId="77777777" w:rsidR="00423D34" w:rsidRPr="00DB5D0D" w:rsidRDefault="00423D34" w:rsidP="00DB5D0D">
      <w:pPr>
        <w:pStyle w:val="ae"/>
        <w:shd w:val="clear" w:color="auto" w:fill="FFFFFF"/>
        <w:spacing w:before="0" w:after="0"/>
        <w:jc w:val="both"/>
        <w:rPr>
          <w:color w:val="000000" w:themeColor="text1"/>
          <w:sz w:val="16"/>
          <w:szCs w:val="16"/>
        </w:rPr>
      </w:pPr>
      <w:r w:rsidRPr="00DB5D0D">
        <w:rPr>
          <w:color w:val="000000" w:themeColor="text1"/>
          <w:sz w:val="16"/>
          <w:szCs w:val="16"/>
        </w:rPr>
        <w:t>11 июня 1940 года появились предложения по улучшению системы танкового вооружения, первым пунктом в которых идёт танк КВ. Согласно этому пункту, танк должен был иметь пушку 76 мм с начальной скоростью не ниже 800 м/с для того, чтобы пробивать броню толщиной от 70 до 80 мм. Наиболее подходящим орудием являлась 76-мм зенитная пушка обр.1931 г. (3-К). В этом же предложении шла речь об усилении бронирования КВ до 90–100 мм. Задание по новой пушке появилось 21 июня 1940 года в ведомости по опытным образцам танковых, самоходных и противотанковых систем, подлежащих разработке. Значилась она как «76-мм танковая пушка, установленная в танк КВ с малой башней». Исполнителем указывался завод №92, срок изготовления – 1 сентября 1940 года (15616).</w:t>
      </w:r>
    </w:p>
    <w:p w14:paraId="2C24BF61" w14:textId="77777777" w:rsidR="00423D34" w:rsidRPr="00DB5D0D" w:rsidRDefault="00423D34" w:rsidP="00DB5D0D">
      <w:pPr>
        <w:pStyle w:val="ae"/>
        <w:shd w:val="clear" w:color="auto" w:fill="FFFFFF"/>
        <w:spacing w:before="0" w:after="0"/>
        <w:jc w:val="both"/>
        <w:rPr>
          <w:color w:val="000000" w:themeColor="text1"/>
          <w:sz w:val="16"/>
          <w:szCs w:val="16"/>
        </w:rPr>
      </w:pPr>
    </w:p>
    <w:p w14:paraId="18CEC388" w14:textId="77777777" w:rsidR="000321AF" w:rsidRPr="00DB5D0D" w:rsidRDefault="000321A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июня 1940 г. для обеспечения выполнения Постановления СНК СССР и ЦК ВКП(б) № 976-368сс народным комиссаром среднего машиностроения И.А. Лихачевым был издан приказ по наркомату № 120с. Этим приказом до руководства завода № 183 доводился новый план по выпуску танков Т-34 в 1940 г., согласно которому завод должен был выпустить в июне – 10, июле – 20, августе – 30, сентябре – 80, октябре – 115, ноябре – 120 и декабре – 125 танков Т-34 (18076). </w:t>
      </w:r>
    </w:p>
    <w:p w14:paraId="4F300355" w14:textId="77777777" w:rsidR="000321AF" w:rsidRPr="00DB5D0D" w:rsidRDefault="000321AF" w:rsidP="00DB5D0D">
      <w:pPr>
        <w:spacing w:after="0" w:line="240" w:lineRule="auto"/>
        <w:jc w:val="both"/>
        <w:rPr>
          <w:rFonts w:ascii="Times New Roman" w:hAnsi="Times New Roman"/>
          <w:color w:val="000000" w:themeColor="text1"/>
          <w:sz w:val="16"/>
          <w:szCs w:val="16"/>
        </w:rPr>
      </w:pPr>
    </w:p>
    <w:p w14:paraId="7FFCC64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вышел приказ № 159 НКВ</w:t>
      </w:r>
    </w:p>
    <w:p w14:paraId="1F50131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 №№ 2,74, 66, 314, 71, строительства «Т», 54, 359, 313 и строительство Загорского завода подчинить непосредственно мне, выделив из состава соответствующих главных управлений.</w:t>
      </w:r>
    </w:p>
    <w:p w14:paraId="5DF976A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Что в непосредственном подчинении Наркомата состоят следующие организации: НИИ-13, ГСПИ-7, ОКБ-15, ОКБ-16, ОКБ-43, ЦКБ-40, влив в него ГСПИ-3, ОТБ, ЦКБ-14 (6241, 31).</w:t>
      </w:r>
    </w:p>
    <w:p w14:paraId="4648E27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523EE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вышел приказ НКВ № 159/с:</w:t>
      </w:r>
    </w:p>
    <w:p w14:paraId="7E8A421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ЦКБ-40 произвести приемку дел от ГСПИ-3.</w:t>
      </w:r>
    </w:p>
    <w:p w14:paraId="191560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Приемку произвести в соответствии с постановлением СНК от 2 марта 1938 года № 248 (9186).</w:t>
      </w:r>
    </w:p>
    <w:p w14:paraId="64284A2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B2130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6290273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F3C59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м Тимошенко издал приказ "О ликвидации безобразий и установлении строгого режима на гауптвахтах (2536,112).</w:t>
      </w:r>
    </w:p>
    <w:p w14:paraId="5936973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E5356A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E30C17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F7B399E"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11 июня</w:t>
      </w:r>
      <w:r w:rsidRPr="00DB5D0D">
        <w:rPr>
          <w:rFonts w:ascii="Times New Roman" w:hAnsi="Times New Roman"/>
          <w:color w:val="000000" w:themeColor="text1"/>
          <w:sz w:val="16"/>
          <w:szCs w:val="16"/>
        </w:rPr>
        <w:t xml:space="preserve"> в 1940 году первый полет </w:t>
      </w:r>
      <w:hyperlink r:id="rId115" w:tgtFrame="_blank" w:history="1">
        <w:r w:rsidRPr="00DB5D0D">
          <w:rPr>
            <w:rFonts w:ascii="Times New Roman" w:hAnsi="Times New Roman"/>
            <w:color w:val="000000" w:themeColor="text1"/>
            <w:sz w:val="16"/>
            <w:szCs w:val="16"/>
          </w:rPr>
          <w:t xml:space="preserve">"Харрикейна" </w:t>
        </w:r>
      </w:hyperlink>
      <w:r w:rsidRPr="00DB5D0D">
        <w:rPr>
          <w:rFonts w:ascii="Times New Roman" w:hAnsi="Times New Roman"/>
          <w:color w:val="000000" w:themeColor="text1"/>
          <w:sz w:val="16"/>
          <w:szCs w:val="16"/>
        </w:rPr>
        <w:t>с двигателем "Мерлин" XX с двухступенчатым нагнетателем, развивавшим тогда 1 185 л.с. При практически тех же габаритах и незначительном увеличении веса он сулил существенное улучшение скоростных качеств, особенно на средних и больших высотах. Такое сочетание позволяло без снижения темпов производства несколько поднять данные истребителя. В полете удалось достичь скорости 565 км/ч. Серийные машины в это время давали не более 515-530 км/ч. После ряда доработок (изменили радиатор, увеличили зеркало заднего обзора и добавили кое-что из оборудования) вес несколько возрос, и максимальная скорость упала до 560 км/ч. Новая модификация, названная "Харрикейн" II, очень быстро пошла в серию: уже в начале сентября 1940 г. все истребители, сходившие с конвейера в Лэнгли, оснащались "Мерлином" XX. Через два месяца после израсходования запаса старых моторов на выпуск модификации II перешли другие заводы (14919).</w:t>
      </w:r>
    </w:p>
    <w:p w14:paraId="255E2337"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2779AD07"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 "Мерлин" XX впервые облетали на "Харрикейне". Еще в 1939 г. "Хаукер" начала работы по поиску альтернативных двигателей для своего истребителя. Правда, тогда думали не столько о повышении летных данных, сколько об уязвимости британской авиамоторной промышленности. Машины слишком многих типов оснащались двигателями "Мерлин". Мощный удар по  заводам  "Роллс-Ройс” мог оставить королевские  ВВС  без истребителей и, частично, без бомбардировщиков. Сотрудники Сиднея Кэмма выполнили проекты установки на "Харрикейн'' 24-Цилиндрового Н-образного "Дэггера", 14-цилиндрового звездообразного ''Геркулеса", а позднее и новейшего мотора "Роллс-Ройс" - "Гриффона" (он тогда еще не имел названия). Но основным путем все-таки остались попытки замены двигателя "Мерлин" III на усовершенствованные модели того же проверенного мотора. Самым перспективным выглядел "Мерлин" XX с двухступенчатым нагнетателем, развивавшим тогда 1185 л.с. При практически тех же габаритах и незначительном увеличении веса он сулил существенное улучшение скоростных качеств, особенно на средних и больших высотах. Такое сочетание позволяло без снижения темпов производства несколько поднять данные истребителя.</w:t>
      </w:r>
    </w:p>
    <w:p w14:paraId="01EFBA4A"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полете удалось достичь скорости 565 км/ ч. Серийные машины в это время давали не более 515-530 км/ч. После ряда доработок (изменили радиатор, увеличили зеркало заднего обзора и добавили кое-что из оборудования) вес несколько возрос, и максимальная скорость упала до 560 км/ч. Новая модификация, названная "Харрикейн" II, очень быстро пошла в серию: уже в начале сентября 1940 г. все истребители, сходившие с конвейера в Лэнгли, оснащались "Мерлином" XX. Через два месяца после израсходования запаса старых моторов на выпуск модификации II перешли другие  заводы  (15129).</w:t>
      </w:r>
    </w:p>
    <w:p w14:paraId="64CA6D11"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44C70A42"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11 июня</w:t>
      </w:r>
      <w:r w:rsidRPr="00DB5D0D">
        <w:rPr>
          <w:rFonts w:ascii="Times New Roman" w:hAnsi="Times New Roman"/>
          <w:color w:val="000000" w:themeColor="text1"/>
          <w:sz w:val="16"/>
          <w:szCs w:val="16"/>
        </w:rPr>
        <w:t xml:space="preserve"> в 1940 году состоялся первый полет самолета </w:t>
      </w:r>
      <w:hyperlink r:id="rId116" w:tgtFrame="_blank" w:history="1">
        <w:r w:rsidRPr="00DB5D0D">
          <w:rPr>
            <w:rFonts w:ascii="Times New Roman" w:hAnsi="Times New Roman"/>
            <w:color w:val="000000" w:themeColor="text1"/>
            <w:sz w:val="16"/>
            <w:szCs w:val="16"/>
          </w:rPr>
          <w:t xml:space="preserve">«Cr.760». </w:t>
        </w:r>
      </w:hyperlink>
      <w:r w:rsidRPr="00DB5D0D">
        <w:rPr>
          <w:rFonts w:ascii="Times New Roman" w:hAnsi="Times New Roman"/>
          <w:color w:val="000000" w:themeColor="text1"/>
          <w:sz w:val="16"/>
          <w:szCs w:val="16"/>
        </w:rPr>
        <w:t>«Cr.7602 - легкий истребитель, разработанный французской фирмой «Caudron». Самолет стал дальнейшим развитием легкого истребителя «Cr.714» «Cyclone». На новый истребитель планировалось установить мощный поршневой двигатель фирмы Renault. однако задержки с двигателем привели к тому, что на «Cr.760» установили итальянский поршневой двенадцатицилиндровый двигатель с воздушным охлаждением «Isotta-Fraschini Delta» «RC.40» мощностью 760 л.с. Самолет получил усиленное вооружение состоящее из шести 7.5-мм пулеметов «MAC-34». Дальнейшим работам над самолетом помешало немецкое вторжение во Францию (14919).</w:t>
      </w:r>
    </w:p>
    <w:p w14:paraId="22E151BB"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15CCC721"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июня 1940 - Состоялся первый полет самолета Cr.760. Cr.760 - легкий истребитель, разработанный французской фирмой Caudron. Самолет стал дальнейшим развитием легкого истребителя Cr.714 Cyclone. На новый истребитель планировалось установить мощный поршневой двигатель фирмы Renault. однако задержки с двигателем привели к тому, что на Cr.760 установили итальянский поршневой двенадцатицилиндровый двигатель с воздушным охлаждением Isotta-Fraschini Delta RC.40 мощностью 760 л.с. Самолет получил усиленное вооружение состоящее из шести 7.5-мм пулеметов MAC-34. Дальнейшим работам над самолетом помешало немецкое вторжение во Францию (22454).</w:t>
      </w:r>
    </w:p>
    <w:p w14:paraId="6BFFF196" w14:textId="77777777" w:rsidR="0074364A" w:rsidRPr="00DB5D0D" w:rsidRDefault="0074364A" w:rsidP="00DB5D0D">
      <w:pPr>
        <w:spacing w:after="0" w:line="240" w:lineRule="auto"/>
        <w:jc w:val="both"/>
        <w:rPr>
          <w:rFonts w:ascii="Times New Roman" w:hAnsi="Times New Roman"/>
          <w:color w:val="0070C0"/>
          <w:sz w:val="16"/>
          <w:szCs w:val="16"/>
        </w:rPr>
      </w:pPr>
    </w:p>
    <w:p w14:paraId="3A14716D"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июня 1940 «пикши Force» - две эскадрильи RAF Bomber Command на Веллингтонах получают приказ бомбить Италию с баз вокруг Марселя, Франция. Первый рейд терпит неудачу, когда французские солдаты блокируют взлетно-посадочные полосы после того, как местные французские власти выступили против рейда. Haddock Force распускается и на следующий день возвращается в Соединенное Королевство (20795).</w:t>
      </w:r>
    </w:p>
    <w:p w14:paraId="3D502D4D" w14:textId="77777777" w:rsidR="0074364A" w:rsidRPr="00DB5D0D" w:rsidRDefault="0074364A" w:rsidP="00DB5D0D">
      <w:pPr>
        <w:spacing w:after="0" w:line="240" w:lineRule="auto"/>
        <w:jc w:val="both"/>
        <w:rPr>
          <w:rFonts w:ascii="Times New Roman" w:hAnsi="Times New Roman"/>
          <w:color w:val="0070C0"/>
          <w:sz w:val="16"/>
          <w:szCs w:val="16"/>
        </w:rPr>
      </w:pPr>
    </w:p>
    <w:p w14:paraId="47E6C07C"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11–12 июня (ночь) 1940 Бомбардировочное командование Королевских ВВС впервые совершает налет на Италию, когда 36 Уитли намеревались атаковать промышленные цели в Турине; 23 поворачивают назад через Альпы, два других бомбят Геную, но девяти удается атаковать Турин. Бомбардировщик французской морской авиации SNCAC NC.223 Жюль Верн бомбит нефтеперерабатывающий завод недалеко от Ливорно, Италия (20795).</w:t>
      </w:r>
    </w:p>
    <w:p w14:paraId="7A7322E5" w14:textId="77777777" w:rsidR="0074364A" w:rsidRPr="00DB5D0D" w:rsidRDefault="0074364A" w:rsidP="00DB5D0D">
      <w:pPr>
        <w:spacing w:after="0" w:line="240" w:lineRule="auto"/>
        <w:jc w:val="both"/>
        <w:rPr>
          <w:rFonts w:ascii="Times New Roman" w:hAnsi="Times New Roman"/>
          <w:color w:val="0070C0"/>
          <w:sz w:val="16"/>
          <w:szCs w:val="16"/>
        </w:rPr>
      </w:pPr>
    </w:p>
    <w:p w14:paraId="707B1D54"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июня 1940 года в 05.00 десять итальянских S. 79 атаковали почти пустой аэродром Халь-Фар на Мальте и, не найдя достойных целей, сбросили остаток бомб на город Ла-Валетту. За первый день итальянцы выполнили 8 налетов, но удержать темп не смогли. Боеготовность группировки неуклонно снижалась не только из-за противодействия англичан, но и по причине низкой надежности собственных самолетов, постоянно нуждавшихся в ремонте. За последующие 20 дней удалось выполнить лишь 28 бомбардировок. В августе 1940 на помощь итальянцам пришли бомбардировщики Люфтваффе, однако и они не смогли добиться успеха в воздушном наступлении, которое с перерывами продолжалось до конца 1942 года. Это был крах всей воздушной стратегии Италии, крах всей концепции строительства авиации, которая с таким упорством воплощалась в жизнь Муссолини и его генералами (22812).</w:t>
      </w:r>
    </w:p>
    <w:p w14:paraId="3E2123C4" w14:textId="77777777" w:rsidR="0074364A" w:rsidRPr="00DB5D0D" w:rsidRDefault="0074364A" w:rsidP="00DB5D0D">
      <w:pPr>
        <w:spacing w:after="0" w:line="240" w:lineRule="auto"/>
        <w:jc w:val="both"/>
        <w:rPr>
          <w:rFonts w:ascii="Times New Roman" w:hAnsi="Times New Roman"/>
          <w:color w:val="0070C0"/>
          <w:sz w:val="16"/>
          <w:szCs w:val="16"/>
        </w:rPr>
      </w:pPr>
    </w:p>
    <w:p w14:paraId="39093E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А.Г. в интервью ж Карлу фон Вигнаду оповестил мир, что в его намерения не входит враждебные действия против Западного полушария и разрушение Английской империи (2536,115).</w:t>
      </w:r>
    </w:p>
    <w:p w14:paraId="32BF51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A77C8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британская авиация бомбит Турин (4963 ).</w:t>
      </w:r>
    </w:p>
    <w:p w14:paraId="646275F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05403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Витлей бомбили заводы Фиат в Турине (2244,4).</w:t>
      </w:r>
    </w:p>
    <w:p w14:paraId="2209F67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41F4E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итальянская авиация совершила первый авианалет на Мальту (4962).</w:t>
      </w:r>
    </w:p>
    <w:p w14:paraId="445CED1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BFFE3B8"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11 June 1940 (11-29-Jun) Italy bombs Egypt, Malta and Gibraltar (270).</w:t>
      </w:r>
    </w:p>
    <w:p w14:paraId="62CFE04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5BDD28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11 июня 1940 (с 11 по 29 июня) Италия проводила бомбардировки Египта, Мальты и Гибралтара (270).</w:t>
      </w:r>
    </w:p>
    <w:p w14:paraId="4E56E7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6F04CE4"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11th, 1940: In the West, German forces capture Rheims. The French government of Premier Reynaud leaves Paris for Tours. The RAF carries out raids on Genoa and Turin in Italy. The British cruiser Calypso is sunk by an Italian submarine off Crete (3819).</w:t>
      </w:r>
    </w:p>
    <w:p w14:paraId="7BC2BDF6"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8FE7F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германские войска заняли Реймс. Французский премьер-министр Рейно оставил Париж и перебрался в Тур. Королевские ВВС бомбили Геную и Турин. Немецкая п/л потопила крейсер Калипсо около Крита (3819).</w:t>
      </w:r>
    </w:p>
    <w:p w14:paraId="56696D3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8F29F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04922C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0C6E0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на И-26 М-105П ВИШ-61 А.С.Я. в ходе гос. испытаний, которые проходили с 1 по 15 июня 1940 выполнили ремонт и 2 полета: на скороподъемность и скорость по высотам до 8000 м и отстрел - полет сорван, т.к. не убралась правая нога шасси (1:15), полет на стрельбу - опять гильзы били по стабилизатору (0:45) (2924).</w:t>
      </w:r>
    </w:p>
    <w:p w14:paraId="38A1D2B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1DE6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закончились заводские испытания И-301 (ЛаГГ-1), которые шли с 28 марта 1940. Летал на ЦА А.И.Никашин из НИИ ВВС (1204,67).</w:t>
      </w:r>
    </w:p>
    <w:p w14:paraId="1D199F0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F75F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вышло постановление КО при СНК о развитии реактивной авиации (172,294).</w:t>
      </w:r>
    </w:p>
    <w:p w14:paraId="7F0D4C6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38C989" w14:textId="77777777" w:rsidR="006F4177" w:rsidRPr="00DB5D0D" w:rsidRDefault="006F417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12 июня 1940 г. СНК СССР принял постановление о создании первых отечественных самолетов с реактивными двигателями различных типов /с ЖРД и ПВРД/, в том числе и для истребителей-перехватчиков. Для разработки проекта истребителя-перехватчика в 40-м г. в НИИ-3 была организована группа М.К.Тихонравова, которая после изучения ряда компоновочных схем, предложила проект самолета «302» со смешанной силовой установкой: ЖРД Душкина в хвостовой части фюзеляжа и 2-мя ПВРД Зуева под крыльями (19590).</w:t>
      </w:r>
    </w:p>
    <w:p w14:paraId="69985692" w14:textId="77777777" w:rsidR="006F4177" w:rsidRPr="00DB5D0D" w:rsidRDefault="006F4177" w:rsidP="00DB5D0D">
      <w:pPr>
        <w:spacing w:after="0" w:line="240" w:lineRule="auto"/>
        <w:jc w:val="both"/>
        <w:rPr>
          <w:rFonts w:ascii="Times New Roman" w:hAnsi="Times New Roman"/>
          <w:color w:val="000000" w:themeColor="text1"/>
          <w:sz w:val="16"/>
          <w:szCs w:val="16"/>
        </w:rPr>
      </w:pPr>
    </w:p>
    <w:p w14:paraId="143E1C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состоялось совещание по авиации у И.В.С. Предложил упорядочить испытания новых образцов.</w:t>
      </w:r>
    </w:p>
    <w:p w14:paraId="2DC5C4C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71A11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года заводом № 288 был изготовлен МДР-7 2М-88 конструкции Самсонова и 23 августа 1940 года произошла катастрофа. Погибли пилот Рябенко и борттехник Орлов. По мнению комиссии, причиной явилась потеря скорости на глубоком вираже. «Комиссия считает необходимым перед выпуском в полет дублера продуть его модель в ЦАГИ. Считает недопустимым выпуск ЦАГИ недоработанных отчетов с непонятными заключениями.</w:t>
      </w:r>
    </w:p>
    <w:p w14:paraId="5E14CF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устойчивости МДР-7 имелись замечания: «Наблюдались непонятные или необъяснимые явления», или «Нельзя считать, что данный вариант модели обладает окончательно отработанной продольной и путевой устойчивостью».</w:t>
      </w:r>
    </w:p>
    <w:p w14:paraId="5F5995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отзыв ЦАГИ был положительным (об устойчивости)» (Самарский филиал РГАНТД. Ф. Р-217. Оп. 1-6. Д. 26. Л. 12-13.). По этому поводу в докладе командующего авиацией Военно-Морского Флота генераллейтенанта авиации С.Ф. Жаворонкова говорилось: «Должны были быть закончены государственные испытания к концу этого года, но так как первый самолет был разбит, мы приступаем к заводским испытаниям этого самолета только сейчас. Самолет этот был запущен в опытное строительство по предложению НКАП. В 1938 году с его характеристикой согласились, т.к. промышленность ничего другого предложить не могла. ...Есть основания полагать, что одной из причин катастрофы явились... недостатки гидродинамики самолета, не допускающие сколь-нибудь глубоких виражей, требующие очень внимательного пилотирования. Так, по крайней мере, не совсем определенно нам было сказано комиссией, которая расследовала причины катастрофы. Больше всего причины катастрофы сваливали на летчика. Во всяком случае, ближайшее будущее покажет, пойдет ли этот самолет как серийный самолет» (Русский архив: Великая Отечественная. Накануне войны. Т. 12 (1-2). Материалы совещания высшего руководящего состава ВМФ СССР в конце 1940 г. / Под общ. ред. Золотарева В.А.М., 1997. С. 370-371.). Выше уже говорилось, что Комитет Обороны не санкционировал серийный выпуск МДР-7 на 1941 год (11672).</w:t>
      </w:r>
    </w:p>
    <w:p w14:paraId="0AC72C6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002E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в Туле И.Л.Карташов установил рекорд на дальность на двухместном планере Стахановец с пассажиром по маршруту Тула-Ухолово-Тула и прошел 416 км (438,784).</w:t>
      </w:r>
    </w:p>
    <w:p w14:paraId="200AD3C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6C211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13F0D8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AF602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в докладе старшего военного представителя ХПЗ Козырева сообщалось, что:</w:t>
      </w:r>
    </w:p>
    <w:p w14:paraId="7AB7A8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сборку 20 машин А-34 завод также планировал проводить в отделе 500 по старой технологии, мотивируя тем. Что в отделе 100 идет сборка серийных А-7 (БТ-7), неготовностью оснастки, и намечает постройку дополнительной конвейерной ленты в отделе 100, для сборки А-34. Считаю такое решение директора ХПЗ тов. Иаскарева принципиально не верным и прошу добиться его немедленной отмены...(т.к.) на постройку дополнительной ленты необходимо 2-3 месяца. Считаю необходимым сборку машин А-34, начиная с программы июля месяца, проводить на старом конвейере отдела 100 без особой реконструкции, только расширив ширину конвейера, одновременнно со сборкой А-7М. Для обеспечения программы по А-34 снизить основную программу по А-7М с 380 до 230 машин.</w:t>
      </w:r>
    </w:p>
    <w:p w14:paraId="72CE98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реализации постановления Правительства и ЦК ВКП(б) по выпуску танков Т-34 необходимо принять чрезвычайные меры в деле организации пр-ва на з-де № 183 и на коорерируемых з-х.</w:t>
      </w:r>
    </w:p>
    <w:p w14:paraId="7ABAE5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производства на 10 июня 1940:</w:t>
      </w:r>
    </w:p>
    <w:p w14:paraId="6EFC2C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Чертежами и временными ТУ все производственные участки будут обеспечены к 12-15 июня,</w:t>
      </w:r>
    </w:p>
    <w:p w14:paraId="5B373C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Разработка технологических процессов заканчивается. Идет изготовление штампов и оснастки приблизительно 1000 наименований,</w:t>
      </w:r>
    </w:p>
    <w:p w14:paraId="71085F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Уже разработано 537 наименований, сделано 250</w:t>
      </w:r>
    </w:p>
    <w:p w14:paraId="693BC7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недостаток - отсутствие инструментальных сталей.</w:t>
      </w:r>
    </w:p>
    <w:p w14:paraId="354E9C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20 июня планируется закончить установку 2=х стендов для сварки корпусов Т-34,</w:t>
      </w:r>
    </w:p>
    <w:p w14:paraId="23C84F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сегодня изготовлено 5 корпусов и одна башня, из них один комплект был послан СТЗ, остальные корпуса и башни будут готовы в конце июня.</w:t>
      </w:r>
    </w:p>
    <w:p w14:paraId="56ADB6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Сборку машин Т-34 могут задержать: гусеница, радиаторы, вентяляторы, стекла триплекс и зеркалки, стартеры, спаренная шаровая установка и др.” (4661, 42).</w:t>
      </w:r>
    </w:p>
    <w:p w14:paraId="6143AE9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C8E36AA"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12 Июня 1940 г. </w:t>
      </w:r>
    </w:p>
    <w:p w14:paraId="76D40719"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3F21474A"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2 </w:t>
      </w:r>
    </w:p>
    <w:p w14:paraId="7AB8A970"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12 Июня 1940 г. </w:t>
      </w:r>
    </w:p>
    <w:p w14:paraId="19491970"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276с </w:t>
      </w:r>
    </w:p>
    <w:p w14:paraId="246198F5"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4 ОТДЕЛА АБТУ КА</w:t>
      </w:r>
    </w:p>
    <w:p w14:paraId="4F35BC7B"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I РАНГА тов. АЛЫМОВУ</w:t>
      </w:r>
    </w:p>
    <w:p w14:paraId="5B8C8D7A"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Копия: НАЧАЛЬНИКУ 8 ОТДЕЛА АБТУ КА</w:t>
      </w:r>
    </w:p>
    <w:p w14:paraId="3A1C7682"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1 РАНГА тов. АФОНИНУ</w:t>
      </w:r>
    </w:p>
    <w:p w14:paraId="70FB365C"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СВОДКА</w:t>
      </w:r>
    </w:p>
    <w:p w14:paraId="70615F28"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реализации Постановления Правительства и ЦК ВКП(б) по выпуску танков Т-34 необходимо принять чрезвычайные меры в деле организации производства на заводе № 183 и на кооперируемых заводах. </w:t>
      </w:r>
    </w:p>
    <w:p w14:paraId="628C658F"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Состояние подготовки производства на 10 Июня т.г. </w:t>
      </w:r>
    </w:p>
    <w:p w14:paraId="3F210BAC"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 Чертежами и временными техническими условиями все производственные участки будут обеспечены к 12 – 15 Июня. </w:t>
      </w:r>
    </w:p>
    <w:p w14:paraId="71C98E76"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 ТЕХНОЛОГИЯ: разработка технологических процессов закончена. Идет проектирование и изготовление приспособлений, штампов и специнструмента. </w:t>
      </w:r>
    </w:p>
    <w:p w14:paraId="5C6B41EC"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К 1 Июля должно быть разработано около 1000 первоочередных наименований штампов и приспособлений. </w:t>
      </w:r>
    </w:p>
    <w:p w14:paraId="19CCDAB8"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В настоящее время разработано 537 наименований, сделано 250 наименований. </w:t>
      </w:r>
    </w:p>
    <w:p w14:paraId="62EF9278"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Основное затруднение в изготовлении инструмента на заводе № 183, а так же на других заводах кооперирующие его (СТЗ, ХТЗ, ЗИС и 1 ГПЗ) заключается в недостатке инструментальных сталей. </w:t>
      </w:r>
    </w:p>
    <w:p w14:paraId="1BD2E654"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III. Капитальное строительство и реконструкция отделов 100 и 700 до настоящего времени развернуты слабо, только к 20 Июня т.г. намечено закончить установку 2-х стендов для сварки корпусов Т-34. </w:t>
      </w:r>
    </w:p>
    <w:p w14:paraId="04DAEB1A"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IV. Состояние работ по выполнению Июньской и Июльской программ: </w:t>
      </w:r>
    </w:p>
    <w:p w14:paraId="5D79FBF7"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Завод запланировал сборку машин в количестве 20 штук (Июльская программа) производить в отделе 500 по технологии опытной серии, такое решение может затянуть период освоения серийного выпуска танков Т-34. Поэтому заводу предложено сборку машин А-34 начиная с программы Июля мес. одновременно с маш. А-7 производить на старом конвейере отдела 100 (расширив при этом колею конвейера). Одновременно с этим вести постройку новой конвейерной ленты и постепенно вводить в производство новое оснащение. </w:t>
      </w:r>
    </w:p>
    <w:p w14:paraId="2BC4236D"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На сегодня заводом изготовлено 5 корпусов и одна башня, из них один комплект был послан СТЗ, остальные корпуса и башни будут готовы в конце Июня мес. т.г. Для ускорения выпуска корпусов и башен необходимо Мариупольскому заводу выслать бригаду на завод № 183 по налаживанию технологического процесса литых броневых деталей. </w:t>
      </w:r>
    </w:p>
    <w:p w14:paraId="1E8FC745"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Сборку машин Т-34 могут задержать: гусеница, грузошины, радиаторы, вентиляторы, стекла "ТРИПЛЕКС" и зеркала, стартеры, спаренная шаровая установка и др. </w:t>
      </w:r>
    </w:p>
    <w:p w14:paraId="0CDC5E2A"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w:t>
      </w:r>
    </w:p>
    <w:p w14:paraId="7D15184B"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Немедленно принять меры по налаживанию производства по выпуску стартеров. Опытный стартер СТ-700 при испытании показал неудовлетворительные результаты и для эксплоатации не пригоден. </w:t>
      </w:r>
    </w:p>
    <w:p w14:paraId="2D51E770"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Ускорить отливку более крупной серии траков из стали Гатфильда на СТЗ. </w:t>
      </w:r>
    </w:p>
    <w:p w14:paraId="3A2886A2"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Ускорить высылку на завод № 183 спаренной шаровой установки (ШАУ). </w:t>
      </w:r>
    </w:p>
    <w:p w14:paraId="3FC1D19D"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Заводу Красный Треугольник немедленно отгрузить необходимое количество грузолент на первые десять машин. </w:t>
      </w:r>
    </w:p>
    <w:p w14:paraId="099348EF"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Необходимо добиться планомерного снабжения завода № 183 листовой сталью (30ХМА для лопаток вентилятора). В настоящее время этого материала на заводе нет. </w:t>
      </w:r>
    </w:p>
    <w:p w14:paraId="7261A494"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е) Необходимо передать изготовление подшипников №№ 1494, 1495 и 1496 на I ГПЗ по чертежам завода № 183 </w:t>
      </w:r>
    </w:p>
    <w:p w14:paraId="26F3C4F8"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V. Со стороны Военной приемки АБТУ КА для обеспечения выполнения Правительственного задания по выпуску маш. А-34 мною приняты следующие меры: </w:t>
      </w:r>
    </w:p>
    <w:p w14:paraId="70D813AA"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а) Выделены работники приемки для контроля проведения в сроки капитального строительства и реконструкции цехов, техпроцессов, приспособлений, инструмента, техдокументации, обеспечения по линии снабжения и кооперации с другими заводами. </w:t>
      </w:r>
    </w:p>
    <w:p w14:paraId="2C775C17"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Все остальные работники приемки всех отделов ведут контроль за изготовлением в сроки деталей, механизмов и узлов на своих участках. </w:t>
      </w:r>
    </w:p>
    <w:p w14:paraId="7A14B798"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Военпредам кооперирующих заводов: Красный Треугольник, СТЗ и АТЭ, которые могут задерживать выпуск первой серии машин А-34, посланы телеграфные запросы об ускорении отгрузки необходимых деталей. </w:t>
      </w:r>
    </w:p>
    <w:p w14:paraId="07D428E0"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Следующая очередная сводка о ходе производства маш. А-34 будет дана за вторую декаду Июня мес. </w:t>
      </w:r>
    </w:p>
    <w:p w14:paraId="7130C727"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СТ. ВОЕНПРЕД АБТУ КА ВОЕНИНЖЕНЕР 2 РАНГА подпись (КОЗЫРЕВ)</w:t>
      </w:r>
    </w:p>
    <w:p w14:paraId="775522B1"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Отпечатано 3 экз. </w:t>
      </w:r>
    </w:p>
    <w:p w14:paraId="1820E680"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 Байков</w:t>
      </w:r>
    </w:p>
    <w:p w14:paraId="41377C44"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листы 137 – 138</w:t>
      </w:r>
      <w:r w:rsidRPr="00DB5D0D">
        <w:rPr>
          <w:rFonts w:ascii="Times New Roman" w:eastAsia="Times New Roman" w:hAnsi="Times New Roman"/>
          <w:color w:val="000000" w:themeColor="text1"/>
          <w:sz w:val="16"/>
          <w:szCs w:val="16"/>
          <w:lang w:eastAsia="ru-RU"/>
        </w:rPr>
        <w:t xml:space="preserve"> (18076).</w:t>
      </w:r>
    </w:p>
    <w:p w14:paraId="08A70649" w14:textId="77777777" w:rsidR="00E413E0" w:rsidRPr="00DB5D0D" w:rsidRDefault="00E413E0" w:rsidP="00DB5D0D">
      <w:pPr>
        <w:spacing w:after="0" w:line="240" w:lineRule="auto"/>
        <w:jc w:val="both"/>
        <w:rPr>
          <w:rFonts w:ascii="Times New Roman" w:eastAsia="Times New Roman" w:hAnsi="Times New Roman"/>
          <w:color w:val="000000" w:themeColor="text1"/>
          <w:sz w:val="16"/>
          <w:szCs w:val="16"/>
          <w:lang w:eastAsia="ru-RU"/>
        </w:rPr>
      </w:pPr>
    </w:p>
    <w:p w14:paraId="0AA8E03C" w14:textId="77777777" w:rsidR="00A25AD1" w:rsidRPr="00DB5D0D" w:rsidRDefault="00A25AD1" w:rsidP="00DB5D0D">
      <w:pPr>
        <w:pStyle w:val="a3"/>
        <w:rPr>
          <w:color w:val="000000" w:themeColor="text1"/>
          <w:lang w:val="ru-RU"/>
        </w:rPr>
      </w:pPr>
      <w:r w:rsidRPr="00DB5D0D">
        <w:rPr>
          <w:color w:val="000000" w:themeColor="text1"/>
          <w:lang w:val="ru-RU"/>
        </w:rPr>
        <w:t>12 июня 1940 Козырев обратился к руководству АБТУ с пись</w:t>
      </w:r>
      <w:r w:rsidRPr="00DB5D0D">
        <w:rPr>
          <w:color w:val="000000" w:themeColor="text1"/>
          <w:lang w:val="ru-RU"/>
        </w:rPr>
        <w:softHyphen/>
        <w:t xml:space="preserve">мом следующего содержания: </w:t>
      </w:r>
      <w:r w:rsidRPr="00DB5D0D">
        <w:rPr>
          <w:rStyle w:val="143"/>
          <w:rFonts w:ascii="Times New Roman" w:hAnsi="Times New Roman" w:cs="Times New Roman"/>
          <w:i w:val="0"/>
          <w:iCs w:val="0"/>
          <w:color w:val="000000" w:themeColor="text1"/>
          <w:spacing w:val="0"/>
          <w:sz w:val="16"/>
          <w:szCs w:val="16"/>
          <w:lang w:val="ru-RU"/>
        </w:rPr>
        <w:t>12.06.1940№272сс</w:t>
      </w:r>
    </w:p>
    <w:p w14:paraId="0BAF1CBD"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noProof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 xml:space="preserve">НАЧАЛЬНИКУ 4 ОТДЕЛА АБТУ КА ВОЕНИНЖЕНЕРУ </w:t>
      </w:r>
      <w:r w:rsidRPr="00DB5D0D">
        <w:rPr>
          <w:rFonts w:ascii="Times New Roman" w:hAnsi="Times New Roman" w:cs="Times New Roman"/>
          <w:i w:val="0"/>
          <w:iCs w:val="0"/>
          <w:color w:val="000000" w:themeColor="text1"/>
          <w:sz w:val="16"/>
          <w:szCs w:val="16"/>
        </w:rPr>
        <w:t>I</w:t>
      </w:r>
      <w:r w:rsidRPr="00DB5D0D">
        <w:rPr>
          <w:rFonts w:ascii="Times New Roman" w:hAnsi="Times New Roman" w:cs="Times New Roman"/>
          <w:i w:val="0"/>
          <w:iCs w:val="0"/>
          <w:color w:val="000000" w:themeColor="text1"/>
          <w:sz w:val="16"/>
          <w:szCs w:val="16"/>
          <w:lang w:val="ru-RU"/>
        </w:rPr>
        <w:t xml:space="preserve"> РАНГА т. АЛЫМОВУ</w:t>
      </w:r>
    </w:p>
    <w:p w14:paraId="57EE4850"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 июле мес. с. г. сборку 20 машин А-34 завод планирует про</w:t>
      </w:r>
      <w:r w:rsidRPr="00DB5D0D">
        <w:rPr>
          <w:rFonts w:ascii="Times New Roman" w:hAnsi="Times New Roman" w:cs="Times New Roman"/>
          <w:i w:val="0"/>
          <w:iCs w:val="0"/>
          <w:color w:val="000000" w:themeColor="text1"/>
          <w:sz w:val="16"/>
          <w:szCs w:val="16"/>
          <w:lang w:val="ru-RU"/>
        </w:rPr>
        <w:softHyphen/>
        <w:t>изводить на опытной базе в отделе 500, там где идет сборка пер</w:t>
      </w:r>
      <w:r w:rsidRPr="00DB5D0D">
        <w:rPr>
          <w:rFonts w:ascii="Times New Roman" w:hAnsi="Times New Roman" w:cs="Times New Roman"/>
          <w:i w:val="0"/>
          <w:iCs w:val="0"/>
          <w:color w:val="000000" w:themeColor="text1"/>
          <w:sz w:val="16"/>
          <w:szCs w:val="16"/>
          <w:lang w:val="ru-RU"/>
        </w:rPr>
        <w:softHyphen/>
        <w:t>вых 10 машин, по старой технологии, мотивируя это тем, что в отделе 100 идет сборка серийной машины А-7, неготовностью оснастки и намечает постройку дополнительной конвейерной ленты в отделе 100 для сборки А-34. Считаю такое решение Директора завода тов. МАКСАРЕВА принципиально неверным и прошу до</w:t>
      </w:r>
      <w:r w:rsidRPr="00DB5D0D">
        <w:rPr>
          <w:rFonts w:ascii="Times New Roman" w:hAnsi="Times New Roman" w:cs="Times New Roman"/>
          <w:i w:val="0"/>
          <w:iCs w:val="0"/>
          <w:color w:val="000000" w:themeColor="text1"/>
          <w:sz w:val="16"/>
          <w:szCs w:val="16"/>
          <w:lang w:val="ru-RU"/>
        </w:rPr>
        <w:softHyphen/>
        <w:t>биться немедленной его отмены.</w:t>
      </w:r>
    </w:p>
    <w:p w14:paraId="6B59141B" w14:textId="77777777" w:rsidR="00A25AD1" w:rsidRPr="00DB5D0D" w:rsidRDefault="00A25AD1" w:rsidP="00DB5D0D">
      <w:pPr>
        <w:pStyle w:val="1110"/>
        <w:shd w:val="clear" w:color="auto" w:fill="auto"/>
        <w:tabs>
          <w:tab w:val="left" w:pos="482"/>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а)На постройку дополнительной ленты необходимо 2-3 месяца.</w:t>
      </w:r>
    </w:p>
    <w:p w14:paraId="536530FD" w14:textId="77777777" w:rsidR="00A25AD1" w:rsidRPr="00DB5D0D" w:rsidRDefault="00A25AD1" w:rsidP="00DB5D0D">
      <w:pPr>
        <w:pStyle w:val="1110"/>
        <w:shd w:val="clear" w:color="auto" w:fill="auto"/>
        <w:tabs>
          <w:tab w:val="left" w:pos="51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 xml:space="preserve">б)Для окончания программы по машине А-7М в отделе 100 необходимо собрать с </w:t>
      </w:r>
      <w:r w:rsidRPr="00DB5D0D">
        <w:rPr>
          <w:rFonts w:ascii="Times New Roman" w:hAnsi="Times New Roman" w:cs="Times New Roman"/>
          <w:i w:val="0"/>
          <w:iCs w:val="0"/>
          <w:noProof w:val="0"/>
          <w:color w:val="000000" w:themeColor="text1"/>
          <w:sz w:val="16"/>
          <w:szCs w:val="16"/>
        </w:rPr>
        <w:t>l</w:t>
      </w:r>
      <w:r w:rsidRPr="00DB5D0D">
        <w:rPr>
          <w:rFonts w:ascii="Times New Roman" w:hAnsi="Times New Roman" w:cs="Times New Roman"/>
          <w:i w:val="0"/>
          <w:iCs w:val="0"/>
          <w:color w:val="000000" w:themeColor="text1"/>
          <w:sz w:val="16"/>
          <w:szCs w:val="16"/>
          <w:lang w:val="ru-RU"/>
        </w:rPr>
        <w:t>/</w:t>
      </w:r>
      <w:r w:rsidRPr="00DB5D0D">
        <w:rPr>
          <w:rFonts w:ascii="Times New Roman" w:hAnsi="Times New Roman" w:cs="Times New Roman"/>
          <w:i w:val="0"/>
          <w:iCs w:val="0"/>
          <w:noProof w:val="0"/>
          <w:color w:val="000000" w:themeColor="text1"/>
          <w:sz w:val="16"/>
          <w:szCs w:val="16"/>
        </w:rPr>
        <w:t>VI</w:t>
      </w:r>
      <w:r w:rsidRPr="00DB5D0D">
        <w:rPr>
          <w:rFonts w:ascii="Times New Roman" w:hAnsi="Times New Roman" w:cs="Times New Roman"/>
          <w:i w:val="0"/>
          <w:iCs w:val="0"/>
          <w:color w:val="000000" w:themeColor="text1"/>
          <w:sz w:val="16"/>
          <w:szCs w:val="16"/>
          <w:lang w:val="ru-RU"/>
        </w:rPr>
        <w:t>-</w:t>
      </w:r>
      <w:r w:rsidRPr="00DB5D0D">
        <w:rPr>
          <w:rFonts w:ascii="Times New Roman" w:hAnsi="Times New Roman" w:cs="Times New Roman"/>
          <w:i w:val="0"/>
          <w:iCs w:val="0"/>
          <w:noProof w:val="0"/>
          <w:color w:val="000000" w:themeColor="text1"/>
          <w:sz w:val="16"/>
          <w:szCs w:val="16"/>
        </w:rPr>
        <w:t>c</w:t>
      </w:r>
      <w:r w:rsidRPr="00DB5D0D">
        <w:rPr>
          <w:rFonts w:ascii="Times New Roman" w:hAnsi="Times New Roman" w:cs="Times New Roman"/>
          <w:i w:val="0"/>
          <w:iCs w:val="0"/>
          <w:color w:val="000000" w:themeColor="text1"/>
          <w:sz w:val="16"/>
          <w:szCs w:val="16"/>
          <w:lang w:val="ru-RU"/>
        </w:rPr>
        <w:t>. г. еще 380 машин, на это как минимум при самых лучших условиях обеспечения завода потребуется 2-2,5 мес. В результате получится большая потеря во времени на освоение в серийном производстве маш. А-34.</w:t>
      </w:r>
    </w:p>
    <w:p w14:paraId="6C154A60"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Считаю необходимым: сборку машины А-34 начинать с програм</w:t>
      </w:r>
      <w:r w:rsidRPr="00DB5D0D">
        <w:rPr>
          <w:rFonts w:ascii="Times New Roman" w:hAnsi="Times New Roman" w:cs="Times New Roman"/>
          <w:i w:val="0"/>
          <w:iCs w:val="0"/>
          <w:color w:val="000000" w:themeColor="text1"/>
          <w:sz w:val="16"/>
          <w:szCs w:val="16"/>
          <w:lang w:val="ru-RU"/>
        </w:rPr>
        <w:softHyphen/>
        <w:t>мы Июля мес. производить на старом конвейере отдела 100 без особой реконструкции, только расширив колею конвейера, одно</w:t>
      </w:r>
      <w:r w:rsidRPr="00DB5D0D">
        <w:rPr>
          <w:rFonts w:ascii="Times New Roman" w:hAnsi="Times New Roman" w:cs="Times New Roman"/>
          <w:i w:val="0"/>
          <w:iCs w:val="0"/>
          <w:color w:val="000000" w:themeColor="text1"/>
          <w:sz w:val="16"/>
          <w:szCs w:val="16"/>
          <w:lang w:val="ru-RU"/>
        </w:rPr>
        <w:softHyphen/>
        <w:t>временно со сборкой машины А-7М.</w:t>
      </w:r>
    </w:p>
    <w:p w14:paraId="07D3375F"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Не ожидая постройки новой ленты вводить в производство по мере готовности новую оснастку.</w:t>
      </w:r>
    </w:p>
    <w:p w14:paraId="4CFFD99B"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Для обеспечения выполнения программы по А-34 сократить ори</w:t>
      </w:r>
      <w:r w:rsidRPr="00DB5D0D">
        <w:rPr>
          <w:rFonts w:ascii="Times New Roman" w:hAnsi="Times New Roman" w:cs="Times New Roman"/>
          <w:i w:val="0"/>
          <w:iCs w:val="0"/>
          <w:color w:val="000000" w:themeColor="text1"/>
          <w:sz w:val="16"/>
          <w:szCs w:val="16"/>
          <w:lang w:val="ru-RU"/>
        </w:rPr>
        <w:softHyphen/>
        <w:t>ентировочно на 150 машин программу по А-7М. Необходимость в этом следующая:</w:t>
      </w:r>
    </w:p>
    <w:p w14:paraId="0E4BDB97" w14:textId="77777777" w:rsidR="00A25AD1" w:rsidRPr="00DB5D0D" w:rsidRDefault="00A25AD1" w:rsidP="00DB5D0D">
      <w:pPr>
        <w:pStyle w:val="1110"/>
        <w:shd w:val="clear" w:color="auto" w:fill="auto"/>
        <w:tabs>
          <w:tab w:val="left" w:pos="505"/>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а)Выпуск А-34 должен быть в Июне 10 шт., Июль 20 шт., Август 30 шт., Сентябрь 80 с нарастанием.</w:t>
      </w:r>
    </w:p>
    <w:p w14:paraId="0F33DFE3"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Для этого механические цеха уже должны работать на А-7 и на А-34, осваивая новые детали по новой технологии и к Сентябрю обес</w:t>
      </w:r>
      <w:r w:rsidRPr="00DB5D0D">
        <w:rPr>
          <w:rFonts w:ascii="Times New Roman" w:hAnsi="Times New Roman" w:cs="Times New Roman"/>
          <w:i w:val="0"/>
          <w:iCs w:val="0"/>
          <w:color w:val="000000" w:themeColor="text1"/>
          <w:sz w:val="16"/>
          <w:szCs w:val="16"/>
          <w:lang w:val="ru-RU"/>
        </w:rPr>
        <w:softHyphen/>
        <w:t>печить уже большую программу, кроме того к Августу закончить вы</w:t>
      </w:r>
      <w:r w:rsidRPr="00DB5D0D">
        <w:rPr>
          <w:rFonts w:ascii="Times New Roman" w:hAnsi="Times New Roman" w:cs="Times New Roman"/>
          <w:i w:val="0"/>
          <w:iCs w:val="0"/>
          <w:color w:val="000000" w:themeColor="text1"/>
          <w:sz w:val="16"/>
          <w:szCs w:val="16"/>
          <w:lang w:val="ru-RU"/>
        </w:rPr>
        <w:softHyphen/>
        <w:t>полнение запчастей. В результате получится, что ни А-7, ни А-34, ни запчасти не будут выполнены.</w:t>
      </w:r>
    </w:p>
    <w:p w14:paraId="5420CB80" w14:textId="77777777" w:rsidR="00A25AD1" w:rsidRPr="00DB5D0D" w:rsidRDefault="00A25AD1" w:rsidP="00DB5D0D">
      <w:pPr>
        <w:pStyle w:val="1110"/>
        <w:shd w:val="clear" w:color="auto" w:fill="auto"/>
        <w:tabs>
          <w:tab w:val="left" w:pos="505"/>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 xml:space="preserve">б)Моторов В-2 в связи с выпуском машин с мотором М-17 на </w:t>
      </w:r>
      <w:r w:rsidRPr="00DB5D0D">
        <w:rPr>
          <w:rFonts w:ascii="Times New Roman" w:hAnsi="Times New Roman" w:cs="Times New Roman"/>
          <w:i w:val="0"/>
          <w:iCs w:val="0"/>
          <w:noProof w:val="0"/>
          <w:color w:val="000000" w:themeColor="text1"/>
          <w:sz w:val="16"/>
          <w:szCs w:val="16"/>
        </w:rPr>
        <w:t>ll</w:t>
      </w:r>
      <w:r w:rsidRPr="00DB5D0D">
        <w:rPr>
          <w:rFonts w:ascii="Times New Roman" w:hAnsi="Times New Roman" w:cs="Times New Roman"/>
          <w:i w:val="0"/>
          <w:iCs w:val="0"/>
          <w:color w:val="000000" w:themeColor="text1"/>
          <w:sz w:val="16"/>
          <w:szCs w:val="16"/>
          <w:lang w:val="ru-RU"/>
        </w:rPr>
        <w:t>/</w:t>
      </w:r>
      <w:r w:rsidRPr="00DB5D0D">
        <w:rPr>
          <w:rFonts w:ascii="Times New Roman" w:hAnsi="Times New Roman" w:cs="Times New Roman"/>
          <w:i w:val="0"/>
          <w:iCs w:val="0"/>
          <w:noProof w:val="0"/>
          <w:color w:val="000000" w:themeColor="text1"/>
          <w:sz w:val="16"/>
          <w:szCs w:val="16"/>
        </w:rPr>
        <w:t>VI</w:t>
      </w:r>
      <w:r w:rsidRPr="00DB5D0D">
        <w:rPr>
          <w:rFonts w:ascii="Times New Roman" w:hAnsi="Times New Roman" w:cs="Times New Roman"/>
          <w:i w:val="0"/>
          <w:iCs w:val="0"/>
          <w:color w:val="000000" w:themeColor="text1"/>
          <w:sz w:val="16"/>
          <w:szCs w:val="16"/>
          <w:lang w:val="ru-RU"/>
        </w:rPr>
        <w:t>-</w:t>
      </w:r>
      <w:r w:rsidRPr="00DB5D0D">
        <w:rPr>
          <w:rFonts w:ascii="Times New Roman" w:hAnsi="Times New Roman" w:cs="Times New Roman"/>
          <w:i w:val="0"/>
          <w:iCs w:val="0"/>
          <w:noProof w:val="0"/>
          <w:color w:val="000000" w:themeColor="text1"/>
          <w:sz w:val="16"/>
          <w:szCs w:val="16"/>
        </w:rPr>
        <w:t>c</w:t>
      </w:r>
      <w:r w:rsidRPr="00DB5D0D">
        <w:rPr>
          <w:rFonts w:ascii="Times New Roman" w:hAnsi="Times New Roman" w:cs="Times New Roman"/>
          <w:i w:val="0"/>
          <w:iCs w:val="0"/>
          <w:color w:val="000000" w:themeColor="text1"/>
          <w:sz w:val="16"/>
          <w:szCs w:val="16"/>
          <w:lang w:val="ru-RU"/>
        </w:rPr>
        <w:t>. г. накоплено всего около 40 шт. и нет уверенности, что завод №75 по моторам обеспечит программу маш. А-7 и А-34.</w:t>
      </w:r>
    </w:p>
    <w:p w14:paraId="092BC4A5" w14:textId="77777777" w:rsidR="00A25AD1" w:rsidRPr="00DB5D0D" w:rsidRDefault="00A25AD1" w:rsidP="00DB5D0D">
      <w:pPr>
        <w:pStyle w:val="1110"/>
        <w:shd w:val="clear" w:color="auto" w:fill="auto"/>
        <w:tabs>
          <w:tab w:val="left" w:pos="495"/>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в)Снабжение металлом маш. А-7 находится в плохом состоя</w:t>
      </w:r>
      <w:r w:rsidRPr="00DB5D0D">
        <w:rPr>
          <w:rFonts w:ascii="Times New Roman" w:hAnsi="Times New Roman" w:cs="Times New Roman"/>
          <w:i w:val="0"/>
          <w:iCs w:val="0"/>
          <w:color w:val="000000" w:themeColor="text1"/>
          <w:sz w:val="16"/>
          <w:szCs w:val="16"/>
          <w:lang w:val="ru-RU"/>
        </w:rPr>
        <w:softHyphen/>
        <w:t>нии и металл, предназначенный для А-34, может быть использо</w:t>
      </w:r>
      <w:r w:rsidRPr="00DB5D0D">
        <w:rPr>
          <w:rFonts w:ascii="Times New Roman" w:hAnsi="Times New Roman" w:cs="Times New Roman"/>
          <w:i w:val="0"/>
          <w:iCs w:val="0"/>
          <w:color w:val="000000" w:themeColor="text1"/>
          <w:sz w:val="16"/>
          <w:szCs w:val="16"/>
          <w:lang w:val="ru-RU"/>
        </w:rPr>
        <w:softHyphen/>
        <w:t>ван на А-7.</w:t>
      </w:r>
    </w:p>
    <w:p w14:paraId="6F23AAEE"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Ваши решения поданным вопросам прошу срочно сообщить мне.</w:t>
      </w:r>
    </w:p>
    <w:p w14:paraId="4661671E"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 xml:space="preserve">СТ. ВОЕНПРЕД АБТУ КА ВОЕНИНЖЕНЕР 2 РАНГА КОЗЫРЕВ. [ЦАМО. Ф.38. </w:t>
      </w:r>
      <w:r w:rsidRPr="00DB5D0D">
        <w:rPr>
          <w:rFonts w:ascii="Times New Roman" w:hAnsi="Times New Roman" w:cs="Times New Roman"/>
          <w:i w:val="0"/>
          <w:iCs w:val="0"/>
          <w:noProof w:val="0"/>
          <w:color w:val="000000" w:themeColor="text1"/>
          <w:sz w:val="16"/>
          <w:szCs w:val="16"/>
        </w:rPr>
        <w:t>On</w:t>
      </w:r>
      <w:r w:rsidRPr="00DB5D0D">
        <w:rPr>
          <w:rFonts w:ascii="Times New Roman" w:hAnsi="Times New Roman" w:cs="Times New Roman"/>
          <w:i w:val="0"/>
          <w:iCs w:val="0"/>
          <w:noProof w:val="0"/>
          <w:color w:val="000000" w:themeColor="text1"/>
          <w:sz w:val="16"/>
          <w:szCs w:val="16"/>
          <w:lang w:val="ru-RU"/>
        </w:rPr>
        <w:t xml:space="preserve">. </w:t>
      </w:r>
      <w:r w:rsidRPr="00DB5D0D">
        <w:rPr>
          <w:rFonts w:ascii="Times New Roman" w:hAnsi="Times New Roman" w:cs="Times New Roman"/>
          <w:i w:val="0"/>
          <w:iCs w:val="0"/>
          <w:color w:val="000000" w:themeColor="text1"/>
          <w:sz w:val="16"/>
          <w:szCs w:val="16"/>
          <w:lang w:val="ru-RU"/>
        </w:rPr>
        <w:t>11355. Д.32. Л. 11</w:t>
      </w:r>
      <w:r w:rsidRPr="00DB5D0D">
        <w:rPr>
          <w:rFonts w:ascii="Times New Roman" w:hAnsi="Times New Roman" w:cs="Times New Roman"/>
          <w:bCs/>
          <w:i w:val="0"/>
          <w:color w:val="000000" w:themeColor="text1"/>
          <w:sz w:val="16"/>
          <w:szCs w:val="16"/>
          <w:lang w:val="ru-RU"/>
        </w:rPr>
        <w:t>.</w:t>
      </w:r>
      <w:r w:rsidRPr="00DB5D0D">
        <w:rPr>
          <w:rFonts w:ascii="Times New Roman" w:hAnsi="Times New Roman" w:cs="Times New Roman"/>
          <w:i w:val="0"/>
          <w:iCs w:val="0"/>
          <w:color w:val="000000" w:themeColor="text1"/>
          <w:sz w:val="16"/>
          <w:szCs w:val="16"/>
          <w:lang w:val="ru-RU"/>
        </w:rPr>
        <w:t>]</w:t>
      </w:r>
    </w:p>
    <w:p w14:paraId="21BDD114" w14:textId="77777777" w:rsidR="00A25AD1" w:rsidRPr="00DB5D0D" w:rsidRDefault="00A25AD1" w:rsidP="00DB5D0D">
      <w:pPr>
        <w:pStyle w:val="a3"/>
        <w:rPr>
          <w:color w:val="000000" w:themeColor="text1"/>
          <w:lang w:val="ru-RU"/>
        </w:rPr>
      </w:pPr>
      <w:r w:rsidRPr="00DB5D0D">
        <w:rPr>
          <w:color w:val="000000" w:themeColor="text1"/>
          <w:lang w:val="ru-RU"/>
        </w:rPr>
        <w:t>В остальном же проблемы с подготовкой серийного производ</w:t>
      </w:r>
      <w:r w:rsidRPr="00DB5D0D">
        <w:rPr>
          <w:color w:val="000000" w:themeColor="text1"/>
          <w:lang w:val="ru-RU"/>
        </w:rPr>
        <w:softHyphen/>
        <w:t>ства Т-34 на заводе №183 остались прежними: недостаточные тем</w:t>
      </w:r>
      <w:r w:rsidRPr="00DB5D0D">
        <w:rPr>
          <w:color w:val="000000" w:themeColor="text1"/>
          <w:lang w:val="ru-RU"/>
        </w:rPr>
        <w:softHyphen/>
        <w:t>пы изготовления инструмента, приспособлений и оснастки, связан</w:t>
      </w:r>
      <w:r w:rsidRPr="00DB5D0D">
        <w:rPr>
          <w:color w:val="000000" w:themeColor="text1"/>
          <w:lang w:val="ru-RU"/>
        </w:rPr>
        <w:softHyphen/>
        <w:t>ные с ненадлежащим снабжением сырьем и материалами предпри</w:t>
      </w:r>
      <w:r w:rsidRPr="00DB5D0D">
        <w:rPr>
          <w:color w:val="000000" w:themeColor="text1"/>
          <w:lang w:val="ru-RU"/>
        </w:rPr>
        <w:softHyphen/>
        <w:t>ятий, задействованных в этой программе; низкие темпы строитель</w:t>
      </w:r>
      <w:r w:rsidRPr="00DB5D0D">
        <w:rPr>
          <w:color w:val="000000" w:themeColor="text1"/>
          <w:lang w:val="ru-RU"/>
        </w:rPr>
        <w:softHyphen/>
        <w:t>ства новых и реконструкции уже имеющихся производственных пло</w:t>
      </w:r>
      <w:r w:rsidRPr="00DB5D0D">
        <w:rPr>
          <w:color w:val="000000" w:themeColor="text1"/>
          <w:lang w:val="ru-RU"/>
        </w:rPr>
        <w:softHyphen/>
        <w:t>щадей завода №183; невыполнение своих обязательств предприя- тиями-смежниками по поставкам необходимой для производства танка Т-34 продукции (11906).</w:t>
      </w:r>
    </w:p>
    <w:p w14:paraId="0A0AA451" w14:textId="77777777" w:rsidR="00A25AD1" w:rsidRPr="00DB5D0D" w:rsidRDefault="00A25AD1" w:rsidP="00DB5D0D">
      <w:pPr>
        <w:pStyle w:val="a3"/>
        <w:rPr>
          <w:color w:val="000000" w:themeColor="text1"/>
          <w:lang w:val="ru-RU"/>
        </w:rPr>
      </w:pPr>
    </w:p>
    <w:p w14:paraId="554E65CE"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12 июня 1940</w:t>
      </w:r>
    </w:p>
    <w:p w14:paraId="3BA47A62"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Сов.СЕКРЕТНО. </w:t>
      </w:r>
    </w:p>
    <w:p w14:paraId="2FF7E6AE"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1 </w:t>
      </w:r>
    </w:p>
    <w:p w14:paraId="54597C53"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12.06.1940 г. </w:t>
      </w:r>
    </w:p>
    <w:p w14:paraId="08035133"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272сс </w:t>
      </w:r>
    </w:p>
    <w:p w14:paraId="024ECB3A"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4 ОТДЕЛА АБТУ КА</w:t>
      </w:r>
    </w:p>
    <w:p w14:paraId="23D71E4E"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I РАНГА т. АЛЫМОВУ</w:t>
      </w:r>
    </w:p>
    <w:p w14:paraId="0EB24C97"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июле мес. с.г. сборку 20 машин А-34 завод планирует производить на опытной базе в отделе 500, там где идет сборка первых 10 машин, по старой технологии, мотивируя это тем, что в отделе 100 идет сборка серийной машины А-7, неготовностью оснастки и намечает постройку дополнительной конвейерной ленты в отделе 100 для сборки А-34. Считаю такое решение Директора завода тов. МАКСАРЕВА принципиально неверным и прошу добиться немедленной его отмены. </w:t>
      </w:r>
    </w:p>
    <w:p w14:paraId="6930F473"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На постройку дополнительной ленты необходимо 2 – 3 месяца. </w:t>
      </w:r>
    </w:p>
    <w:p w14:paraId="161ED771"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Для окончания программы по машине А-7М в отделе 100 необходимо собрать с 1/VI–с.г. еще 380 машин, на это как минимум при самых лучших условиях обеспечения завода потребуется 2 – 2 1/2 мес. В результате получится большая потеря во времени на освоение в серийном производстве маш. А-34. </w:t>
      </w:r>
    </w:p>
    <w:p w14:paraId="383BC099"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Считаю необходимым: сборку машины А-34 начинать с программы Июля мес. производить на старом конвейере отдела 100 без особой реконструкции, только расширив колею конвейера, одновременно со сборкой машины А-7М. </w:t>
      </w:r>
    </w:p>
    <w:p w14:paraId="67589069"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 ожидая постройки новой ленты вводить в производство по мере готовности новую оснастку. </w:t>
      </w:r>
    </w:p>
    <w:p w14:paraId="4BA8FC63"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обеспечения выполнения программы по А-34 сократить ориентировочно на 150 машин программу по А-7М. Необходимость в этом следующая: </w:t>
      </w:r>
    </w:p>
    <w:p w14:paraId="2CE73F8D"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Выпуск А-34 должен быть в Июне 10 шт., Июль 20 шт., Август 30 шт., Сентябрь 80 с нарастанием. </w:t>
      </w:r>
    </w:p>
    <w:p w14:paraId="3E7DD90B"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этого механические цеха уже должны работать на А-7 и на А-34, осваивая новые детали по новой технологии и к Сентябрю обеспечить уже большую программу, кроме того к Августу закончить выполнение запчастей. В результате получится, что ни А-7, ни А-34, ни запчасти не будут выполнены. </w:t>
      </w:r>
    </w:p>
    <w:p w14:paraId="7CFC4625"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Моторов В-2 в связи с выпуском машин с мотором М-17 на II/VI-с.г. накоплено всего около 40 шт. и нет уверенности, что завод № 75 по моторам обеспечит программу маш. А-7 и А-34. </w:t>
      </w:r>
    </w:p>
    <w:p w14:paraId="751C00C2"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Снабжение металлом маш. А-7 находится в плохом состоянии и металл, предназначенный для А-34, может быть использован на А-7. </w:t>
      </w:r>
    </w:p>
    <w:p w14:paraId="4E56147A"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Ваши решения по данным вопросам прошу срочно сообщить мне. </w:t>
      </w:r>
    </w:p>
    <w:p w14:paraId="575C6BDA"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СТ. ВОЕНПРЕД АБТУ КА ВОЕНИНЖЕНЕР 2 РАНГА подпись (КОЗЫРЕВ)</w:t>
      </w:r>
    </w:p>
    <w:p w14:paraId="0FA27ABE"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На документе помета:</w:t>
      </w:r>
    </w:p>
    <w:p w14:paraId="674B77C1"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указанию тов. Панфилова письмо подготовленное заводу не посылать, дело завода где они будут собирать. подпись Н.М. Ковалева»</w:t>
      </w:r>
    </w:p>
    <w:p w14:paraId="553E11CF"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ЦАМО Фонд 38 Опись 11355 Дело 32 лист 11</w:t>
      </w:r>
      <w:r w:rsidRPr="00DB5D0D">
        <w:rPr>
          <w:rFonts w:ascii="Times New Roman" w:eastAsia="Times New Roman" w:hAnsi="Times New Roman"/>
          <w:color w:val="000000" w:themeColor="text1"/>
          <w:sz w:val="16"/>
          <w:szCs w:val="16"/>
          <w:lang w:eastAsia="ru-RU"/>
        </w:rPr>
        <w:t xml:space="preserve"> (18076).</w:t>
      </w:r>
    </w:p>
    <w:p w14:paraId="493E2537" w14:textId="77777777" w:rsidR="00AE5A48" w:rsidRPr="00DB5D0D" w:rsidRDefault="00AE5A48" w:rsidP="00DB5D0D">
      <w:pPr>
        <w:spacing w:after="0" w:line="240" w:lineRule="auto"/>
        <w:jc w:val="both"/>
        <w:rPr>
          <w:rFonts w:ascii="Times New Roman" w:eastAsia="Times New Roman" w:hAnsi="Times New Roman"/>
          <w:color w:val="000000" w:themeColor="text1"/>
          <w:sz w:val="16"/>
          <w:szCs w:val="16"/>
          <w:lang w:eastAsia="ru-RU"/>
        </w:rPr>
      </w:pPr>
    </w:p>
    <w:p w14:paraId="702681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года старший военпред Автобронетанкового управления на заводе № 183 военинженер 2-го ранга Козырев докладывал об этом начальнику 4-го отдела АБТУ КА военинженеру 1 -го ранга Алымову:</w:t>
      </w:r>
    </w:p>
    <w:p w14:paraId="10505D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Танк Т-34 с ранним вариантом литой башни выходит из противотанкового рва. НИБТ полигон, весна 1941 года (ЦАМО).</w:t>
      </w:r>
    </w:p>
    <w:p w14:paraId="76328B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реализации Постановления Правительства и ЦК ВКП (б) по выпуску танков Т-34 необходимо принять чрезвычайные меры в деле организации производства на заводе № 183 и на кооперируемых заводах.</w:t>
      </w:r>
    </w:p>
    <w:p w14:paraId="0C31B4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подготовки производства на 10 июня т.г.</w:t>
      </w:r>
    </w:p>
    <w:p w14:paraId="69EEAC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Чертежами и временными техническими условиями все производственные участки будут обеспечены к 12-15 Июня.</w:t>
      </w:r>
    </w:p>
    <w:p w14:paraId="0464D9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ТЕХНОЛОГИЯ: Разработка технологических процессов закончена. Идет проектирование и изготовление приспособлений, штампов и спец. инструмента.</w:t>
      </w:r>
    </w:p>
    <w:p w14:paraId="2BF20D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 1 Июля должно быть разработано около 1000 первоочередных наименований штампов и приспособлений.</w:t>
      </w:r>
    </w:p>
    <w:p w14:paraId="0006A5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настоящее время разработано 537 наименований, сделано - 250 наименований.</w:t>
      </w:r>
    </w:p>
    <w:p w14:paraId="1A0F45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Основное затруднение в изготовлении инструмента на заводе № 183, а также на других заводах кооперирующих его (СТЗ, ХТЗ, ЗИС 1-й ГПЗ), заключается в недостатке инструментальных сталей.</w:t>
      </w:r>
    </w:p>
    <w:p w14:paraId="56E837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Капитальное строительстве и ре- реконструкция отделов 100 и 700 (цеха сборки танков и бронекорпусной. - Прим. автора) до настоящего времени развернуты слабо, только к 20 Июня их намечено закончить установку 2-х стендов для сварки корпусов Т-34.</w:t>
      </w:r>
    </w:p>
    <w:p w14:paraId="25B65C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Состояние работ по выполнению Июньской и Июльской программ.</w:t>
      </w:r>
    </w:p>
    <w:p w14:paraId="6014F2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 запланировал сборку машин в количестве 20 шт. (Июльская программа) производить в отделе 500 по технологии опытной серии, такое решение может затянуть период освоения серийного выпуска танков Т-34. Поэтому заводу предложено сборку машин А-34 начиная с программы Июля мес. одновременно с маш. А-7 производить на старом конвейере отдела 100 (расширив при этом колею конвейера).</w:t>
      </w:r>
    </w:p>
    <w:p w14:paraId="1E97F6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этим вести постройку новой конвейерной ленты и постепенно вводить в производство новое оснащение.</w:t>
      </w:r>
    </w:p>
    <w:p w14:paraId="46CA3C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сегодня заводом изготовлено 5 корпусов и одна башня, из них один комплект был послан СТЗ, остальные корпуса и башни будут готовы в конце Июня мес. т.г.</w:t>
      </w:r>
    </w:p>
    <w:p w14:paraId="577C5B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Для ускорения выпуска корпусов и башен необходимо Мариупольскому заводу выслать бригаду на завод № 183 по налаживанию технологического процесса, литых броневых деталей.</w:t>
      </w:r>
    </w:p>
    <w:p w14:paraId="58D37D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Сборку машин Т-34 могут задержать: гусеница, грузошины, радиаторы, вентиляторы, стекла «Триплекс» и зеркала, стартеры, спаренная шаровая установка и др.</w:t>
      </w:r>
    </w:p>
    <w:p w14:paraId="44775F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w:t>
      </w:r>
    </w:p>
    <w:p w14:paraId="328564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A) .</w:t>
      </w:r>
      <w:r w:rsidRPr="00DB5D0D">
        <w:rPr>
          <w:rFonts w:ascii="Times New Roman" w:hAnsi="Times New Roman"/>
          <w:color w:val="000000" w:themeColor="text1"/>
          <w:sz w:val="16"/>
          <w:szCs w:val="16"/>
        </w:rPr>
        <w:tab/>
        <w:t>Немедленно принять меры по налаживанию производства по выпуску стартеров.</w:t>
      </w:r>
    </w:p>
    <w:p w14:paraId="42652F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стартер СТ-700 при испытании показал неудовлетворительные результаты и для эксплуатации не пригоден.</w:t>
      </w:r>
    </w:p>
    <w:p w14:paraId="3ECB84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Ускорить отливку более крупной серии траков из стали Гатфиль- да на СТЗ.</w:t>
      </w:r>
    </w:p>
    <w:p w14:paraId="209D8C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B) .</w:t>
      </w:r>
      <w:r w:rsidRPr="00DB5D0D">
        <w:rPr>
          <w:rFonts w:ascii="Times New Roman" w:hAnsi="Times New Roman"/>
          <w:color w:val="000000" w:themeColor="text1"/>
          <w:sz w:val="16"/>
          <w:szCs w:val="16"/>
        </w:rPr>
        <w:tab/>
        <w:t>Ускорить высылку на завод № 183 спаренной шаровой установки (ШАУ).</w:t>
      </w:r>
    </w:p>
    <w:p w14:paraId="572C90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Заводу «Красный треугольник» немедленно отгрузить необходимое количество грузолент на первые десять машин.</w:t>
      </w:r>
    </w:p>
    <w:p w14:paraId="63B4B7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Необходимо добиться планомерного снабжения завода № 183 листовой сталью ЗОХМА (для лопаток вентилятора). В настоящее время этого материала на заводе нет.</w:t>
      </w:r>
    </w:p>
    <w:p w14:paraId="26E0E8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Необходимо передать изготовление подшипников №№ 1494, 1495 и 1496 на 1 ГПЗ по чертежам завода № 183.</w:t>
      </w:r>
    </w:p>
    <w:p w14:paraId="1D3D21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Со стороны военной приемки АБТУ КА для обеспечения выполнения Правительственного задания по выпуску маш. А-34, мной приняты следующие меры:</w:t>
      </w:r>
    </w:p>
    <w:p w14:paraId="4D41B0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Выделены работники приемки для контроля проведения в сроки капитального строительства и реконструкции цехов, тех. процессов, приспособлений, инструмента, тех. документации, обеспечения по линии снабжения и кооперации с другими заводами.</w:t>
      </w:r>
    </w:p>
    <w:p w14:paraId="6C28A9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Все остальные работники приемки всех отделов, ведут контроль за изготовлением в сроки деталей, механизмов узлов на своих участках.</w:t>
      </w:r>
    </w:p>
    <w:p w14:paraId="6EEFE5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Военпредам кооперирующих заводов: «Кр. Треугольник», СТЗ и АТЭ, которые могут задерживать выпуск первой серии машин А-34, посланы телеграфные запросы, об ускорении отгрузки необходимых деталей.</w:t>
      </w:r>
    </w:p>
    <w:p w14:paraId="04489B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Следующая очередная сводка о ходе производства маш. А-34 будет дана за вторую декаду Июня мес.»</w:t>
      </w:r>
    </w:p>
    <w:p w14:paraId="706FC0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и за вторую декаду июня 1940 года ситуация не сильно изменилась, что можно видеть (12217).</w:t>
      </w:r>
    </w:p>
    <w:p w14:paraId="0A32CC4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D3B79A" w14:textId="77777777" w:rsidR="00C84644" w:rsidRPr="00DB5D0D" w:rsidRDefault="00C8464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июня 1940 г. после ознакомления с приказом № 025 в части его касавшейся, старший военный представитель АБТУ РККА на заводе № 183 военинженер 2 ранга Д.М. Козырев направил своему руководству в АБТУ РККА два письма. Первое № 276с, направленное начальникам 4-го и 8-го отделов АБТУ РККА военинженерам 1 ранга Н.Н. Алымову и С.А. Афонину являлось декадной сводкой о выполнении заводом № 183 новой программы по танкам Т-34 и о подготовке производства к их серийному выпуску: </w:t>
      </w:r>
    </w:p>
    <w:p w14:paraId="2A3779CB"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«Для реализации Постановления Правительства и ЦК ВКП(б) по выпуску танков Т-34 необходимо принять чрезвычайные меры в деле организации производства на заводе № 183 и на кооперируемых заводах. </w:t>
      </w:r>
    </w:p>
    <w:p w14:paraId="2D483B56"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Состояние подготовки производства на 10 Июня т.г. </w:t>
      </w:r>
    </w:p>
    <w:p w14:paraId="47191CDF"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I. Чертежами и временными техническими условиями все производственные участки будут обеспечены к 12 – 15 Июня. </w:t>
      </w:r>
    </w:p>
    <w:p w14:paraId="29756D8E"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II. ТЕХНОЛОГИЯ: разработка технологических процессов закончена. Идет проектирование и изготовление приспособлений, штампов и специнструмента. </w:t>
      </w:r>
    </w:p>
    <w:p w14:paraId="18F8B28F"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К 1 Июля должно быть разработано около 1000 первоочередных наименований штампов и приспособлений. </w:t>
      </w:r>
    </w:p>
    <w:p w14:paraId="17E6E6DA"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В настоящее время разработано 537 наименований, сделано 250 наименований. </w:t>
      </w:r>
    </w:p>
    <w:p w14:paraId="1032F6F1"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Основное затруднение в изготовлении инструмента на заводе № 183, а так же на других заводах кооперирующие его (СТЗ, ХТЗ, ЗИС и 1 ГПЗ) заключается в недостатке инструментальных сталей. </w:t>
      </w:r>
    </w:p>
    <w:p w14:paraId="0E382271"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III. Капитальное строительство и реконструкция отделов 100 и 700 до настоящего времени развернуты слабо, только к 20 Июня т.г. намечено закончить установку 2-х стендов для сварки корпусов Т-34. </w:t>
      </w:r>
    </w:p>
    <w:p w14:paraId="1A8E06F2"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IV. Состояние работ по выполнению Июньской и Июльской программ: </w:t>
      </w:r>
    </w:p>
    <w:p w14:paraId="55AD26BD"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Завод запланировал сборку машин в количестве 20 штук (Июльская программа) производить в отделе 500 по технологии опытной серии, такое решение может затянуть период освоения серийного выпуска танков Т-34. Поэтому заводу предложено сборку машин А-34 начиная с программы Июля мес. одновременно с маш. А-7 производить на старом конвейере отдела 100 (расширив при этом колею конвейера). Одновременно с этим вести постройку новой конвейерной ленты и постепенно вводить в производство новое оснащение. </w:t>
      </w:r>
    </w:p>
    <w:p w14:paraId="6EB3FCAB"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На сегодня заводом изготовлено 5 корпусов и одна башня, из них один комплект был послан СТЗ, остальные корпуса и башни будут готовы в конце Июня мес. т.г. Для ускорения выпуска корпусов и башен необходимо Мариупольскому заводу выслать бригаду на завод № 183 по налаживанию технологического процесса литых броневых деталей. </w:t>
      </w:r>
    </w:p>
    <w:p w14:paraId="09F12E6D"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Сборку машин Т-34 могут задержать: гусеница, грузошины, радиаторы, вентиляторы, стекла "ТРИПЛЕКС" и зеркала, стартеры, спаренная шаровая установка и др. </w:t>
      </w:r>
    </w:p>
    <w:p w14:paraId="048EBA48"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НЕОБХОДИМО:</w:t>
      </w:r>
    </w:p>
    <w:p w14:paraId="728D15D9"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а) Немедленно принять меры по налаживанию производства по выпуску стартеров. Опытный стартер СТ-700 при испытании показал неудовлетворительные результаты и для эксплоатации не пригоден. </w:t>
      </w:r>
    </w:p>
    <w:p w14:paraId="298C20CB"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б) Ускорить отливку более крупной серии траков из стали Гатфильда на СТЗ. </w:t>
      </w:r>
    </w:p>
    <w:p w14:paraId="7FD2C211"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 Ускорить высылку на завод № 183 спаренной шаровой установки (ШАУ). </w:t>
      </w:r>
    </w:p>
    <w:p w14:paraId="536BFA77"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г) Заводу Красный Треугольник немедленно отгрузить необходимое количество грузолент на первые десять машин. </w:t>
      </w:r>
    </w:p>
    <w:p w14:paraId="70747D78"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д) Необходимо добиться планомерного снабжения завода № 183 листовой сталью (30ХМА для лопаток вентилятора). В настоящее время этого материала на заводе нет. </w:t>
      </w:r>
    </w:p>
    <w:p w14:paraId="3FFE676B"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е) Необходимо передать изготовление подшипников №№ 1494, 1495 и 1496 на I ГПЗ по чертежам завода № 183. </w:t>
      </w:r>
    </w:p>
    <w:p w14:paraId="1DD25368"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V. Со стороны Военной приемки АБТУ КА для обеспечения выполнения Правительственного задания по выпуску маш. А-34 мною приняты следующие меры: </w:t>
      </w:r>
    </w:p>
    <w:p w14:paraId="28D686F6"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а) Выделены работники приемки для контроля проведения в сроки капитального строительства и реконструкции цехов, техпроцессов, приспособлений, инструмента, техдокументации, обеспечения по линии снабжения и кооперации с другими заводами. </w:t>
      </w:r>
    </w:p>
    <w:p w14:paraId="49045E76"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б) Все остальные работники приемки всех отделов ведут контроль за изготовлением в сроки деталей, механизмов и узлов на своих участках. </w:t>
      </w:r>
    </w:p>
    <w:p w14:paraId="47A8BF91" w14:textId="77777777" w:rsidR="00C84644" w:rsidRPr="00DB5D0D" w:rsidRDefault="00C8464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 Военпредам кооперирующих заводов: Красный Треугольник, СТЗ и АТЭ, которые могут задерживать выпуск первой серии машин А-34, посланы телеграфные запросы об ускорении отгрузки необходимых деталей. </w:t>
      </w:r>
    </w:p>
    <w:p w14:paraId="2FC9EA54" w14:textId="77777777" w:rsidR="00C84644" w:rsidRPr="00DB5D0D" w:rsidRDefault="00C84644"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Следующая очередная сводка о ходе производства маш. А-34 будет дана за вторую декаду Июня мес.»</w:t>
      </w:r>
      <w:r w:rsidRPr="00DB5D0D">
        <w:rPr>
          <w:rFonts w:ascii="Times New Roman" w:hAnsi="Times New Roman"/>
          <w:color w:val="000000" w:themeColor="text1"/>
          <w:sz w:val="16"/>
          <w:szCs w:val="16"/>
        </w:rPr>
        <w:t xml:space="preserve">. </w:t>
      </w:r>
    </w:p>
    <w:p w14:paraId="702F6B62" w14:textId="77777777" w:rsidR="00C84644" w:rsidRPr="00DB5D0D" w:rsidRDefault="00C84644" w:rsidP="00DB5D0D">
      <w:pPr>
        <w:pStyle w:val="ae"/>
        <w:spacing w:before="0" w:after="0"/>
        <w:jc w:val="both"/>
        <w:rPr>
          <w:color w:val="000000" w:themeColor="text1"/>
          <w:sz w:val="16"/>
          <w:szCs w:val="16"/>
        </w:rPr>
      </w:pPr>
      <w:r w:rsidRPr="00DB5D0D">
        <w:rPr>
          <w:bCs/>
          <w:color w:val="000000" w:themeColor="text1"/>
          <w:sz w:val="16"/>
          <w:szCs w:val="16"/>
        </w:rPr>
        <w:t>[Ф. 38. Оп. 11355. Д. 32. Л. 12 – 13]</w:t>
      </w:r>
    </w:p>
    <w:p w14:paraId="66378AC1" w14:textId="77777777" w:rsidR="00C84644" w:rsidRPr="00DB5D0D" w:rsidRDefault="00C8464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втором № 272, адресованном только начальнику 4-го отдела АБТУ РККА Н.Н. Алымову, Д.М. Козырев просил добиться отмены решения директора завода № 183 Ю.Е. Максарева об изготовлении в июле 1940 г. двадцати танков Т-34 в отделе «500» по технологии, разработанной для установочной партии. В письме Д.М. Козырев предлагал производство этих машин организовать в отделе «100» параллельно с производством танков БТ-7М, при этом сократив программу по БТ-7М ориентировочно на 150 машин. В противном случае освоение серийного производства танков Т-34, по мнению Д.М. Козырева, могло сильно затянуться, что ставило под угрозу выполнение программы 1940 г. </w:t>
      </w:r>
    </w:p>
    <w:p w14:paraId="7BD30D90" w14:textId="77777777" w:rsidR="00C84644" w:rsidRPr="00DB5D0D" w:rsidRDefault="00C8464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руководство АБТУ РККА не поддержало предложения Д.М. Козырева, решив предоставить право заводу № 183 самому решать, в каком отделе и по какой технологии организовывать производство танков Т-34 июльской программы (18076).</w:t>
      </w:r>
    </w:p>
    <w:p w14:paraId="6ABC4C63" w14:textId="77777777" w:rsidR="00C84644" w:rsidRPr="00DB5D0D" w:rsidRDefault="00C84644" w:rsidP="00DB5D0D">
      <w:pPr>
        <w:spacing w:after="0" w:line="240" w:lineRule="auto"/>
        <w:jc w:val="both"/>
        <w:rPr>
          <w:rFonts w:ascii="Times New Roman" w:hAnsi="Times New Roman"/>
          <w:color w:val="000000" w:themeColor="text1"/>
          <w:sz w:val="16"/>
          <w:szCs w:val="16"/>
        </w:rPr>
      </w:pPr>
    </w:p>
    <w:p w14:paraId="54CB7490" w14:textId="77777777" w:rsidR="005C2FF2" w:rsidRPr="00DB5D0D" w:rsidRDefault="005C2FF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w:t>
      </w:r>
    </w:p>
    <w:p w14:paraId="1C43A928"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6ABD2C22"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ПРОТОКОЛ</w:t>
      </w:r>
    </w:p>
    <w:p w14:paraId="765314ED"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Технического совещания по рассмотрению чертежей 183-го завода на составной нос и башню Т-34.</w:t>
      </w:r>
    </w:p>
    <w:p w14:paraId="6C56BC9C"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 12 июня 1940 г.</w:t>
      </w:r>
    </w:p>
    <w:p w14:paraId="568E97E5"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ПРИСУТСТВОВАЛИ: </w:t>
      </w:r>
    </w:p>
    <w:p w14:paraId="37660355"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Главный инженер завода – Ниценко </w:t>
      </w:r>
    </w:p>
    <w:p w14:paraId="5F9AB73B"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ПТО – Арехов </w:t>
      </w:r>
    </w:p>
    <w:p w14:paraId="4D744D17"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 8-го Отдела АБТУ КА Военинженер 1-го ранга – т. Афонин </w:t>
      </w:r>
    </w:p>
    <w:p w14:paraId="01BE5276"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 Военпред АБТУ КА Военинженер II-го ранга – т. Зухер </w:t>
      </w:r>
    </w:p>
    <w:p w14:paraId="7D6E29F1"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 Конструктор завода № 183 – т. Таршинов </w:t>
      </w:r>
    </w:p>
    <w:p w14:paraId="064C01C9"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цеха № 5 – т. Варфоломеев </w:t>
      </w:r>
    </w:p>
    <w:p w14:paraId="2CED308C"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Зам. Начальника цеха № 5 – т. Заседский </w:t>
      </w:r>
    </w:p>
    <w:p w14:paraId="226C2B00"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По детали № 34-29-906 </w:t>
      </w:r>
    </w:p>
    <w:p w14:paraId="2ABA650F"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а) К изготовлению принять, при этом допускается углубление средней части по R-20 мм, делать по усмотрению Завода им. Ильича в зависимости от результатов термической обработки. </w:t>
      </w:r>
    </w:p>
    <w:p w14:paraId="4BC3C3EB"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Маргосзаводу приступить к опытным работам по отливке деталей 29-906 и 29-905 заодно целое. </w:t>
      </w:r>
    </w:p>
    <w:p w14:paraId="303FF58C"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По деталям 34-30-018-2 и 34-30-019-2 к изготовлению принимаются с 38 комплекта. </w:t>
      </w:r>
    </w:p>
    <w:p w14:paraId="20BBDA45"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По деталям №№ 34-30-007-2 и 34-30-006 Маргосзавод к изготовлению принимает и настаивает на расширение следующих допусков: по R-887 допустить местное неприлегание по сегменту на дуге 130° на участке длиной 120 мм не более 3 мм. </w:t>
      </w:r>
    </w:p>
    <w:p w14:paraId="61B15DCF"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 детали № 34-30-001 на размеры 270 и 286,6 изменить допуск до ± 3 мм вместо ± 2 мм. </w:t>
      </w:r>
    </w:p>
    <w:p w14:paraId="6C68B8BF"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В дальнейшем на 1940 г. для обеспечения выполнения программы заводы взаимно прекращают претензии на изменение конструкции деталей и допусков за исключением опытных работ. </w:t>
      </w:r>
    </w:p>
    <w:p w14:paraId="08845C78"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Главный инженер завода Ильича подпись (Ниценко) </w:t>
      </w:r>
    </w:p>
    <w:p w14:paraId="58DC1C6B"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8-го Отдела АБТУ КА Военинженер 1-го ранга (Афонин) </w:t>
      </w:r>
    </w:p>
    <w:p w14:paraId="0F3B10E3"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 ПРОИЗ. ТЕХ. ОТДЕЛА З-ДА подпись (Арехов) </w:t>
      </w:r>
    </w:p>
    <w:p w14:paraId="68038A09"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 ВОЕНПРЕД АБТУ КА Военинженер II-го ранга подпись (Зухер) </w:t>
      </w:r>
    </w:p>
    <w:p w14:paraId="6AD37699"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 Конструктор завода № 183 подпись 16.VI.40 (Таршинов) </w:t>
      </w:r>
    </w:p>
    <w:p w14:paraId="4D79CB09"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 цеха № 5 подпись (Варфоломеев) </w:t>
      </w:r>
    </w:p>
    <w:p w14:paraId="546EF10F"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Зам. Нач. цеха № 5 подпись (Заседский)</w:t>
      </w:r>
    </w:p>
    <w:p w14:paraId="3F22AFA8"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Отп. 7 экз.</w:t>
      </w:r>
    </w:p>
    <w:p w14:paraId="30B98664"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1176 листы 145 – 146</w:t>
      </w:r>
      <w:r w:rsidRPr="00DB5D0D">
        <w:rPr>
          <w:rFonts w:ascii="Times New Roman" w:eastAsia="Times New Roman" w:hAnsi="Times New Roman"/>
          <w:color w:val="000000" w:themeColor="text1"/>
          <w:sz w:val="16"/>
          <w:szCs w:val="16"/>
          <w:lang w:eastAsia="ru-RU"/>
        </w:rPr>
        <w:t xml:space="preserve"> (18076).</w:t>
      </w:r>
    </w:p>
    <w:p w14:paraId="5865734F" w14:textId="77777777" w:rsidR="005C2FF2" w:rsidRPr="00DB5D0D" w:rsidRDefault="005C2FF2" w:rsidP="00DB5D0D">
      <w:pPr>
        <w:spacing w:after="0" w:line="240" w:lineRule="auto"/>
        <w:jc w:val="both"/>
        <w:rPr>
          <w:rFonts w:ascii="Times New Roman" w:eastAsia="Times New Roman" w:hAnsi="Times New Roman"/>
          <w:color w:val="000000" w:themeColor="text1"/>
          <w:sz w:val="16"/>
          <w:szCs w:val="16"/>
          <w:lang w:eastAsia="ru-RU"/>
        </w:rPr>
      </w:pPr>
    </w:p>
    <w:p w14:paraId="47057464" w14:textId="77777777" w:rsidR="00AE4F54" w:rsidRPr="00DB5D0D" w:rsidRDefault="00AE4F5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июня 1940 г. в Мариуполе состоялось Техническое совещание по рассмотрению чертежей расширенной башни 34.30сб-1. На совещании присутствовали: от Мариупольского завода – главный инженер В.С. Ниценко, начальник производственно-технического отдела Н.И. Арехов, начальник цеха № 5 А.Я. Варфоломеев и его заместитель Г.Ф. Заседский; от завода № 183 старший конструктор М.И. Таршинов; от АБТУ РККА военинженер 1 ранга С.А. Афонин, а также старший военный представитель на Мариупольском заводе военинженер 2 ранга Г.Э. Зухер. Предложенная заводом № 183 конструкция расширенной башни 34.30.сб-1 устроила все заинтересованные стороны, и решением совещания броневые детали для новой башни были приняты Мариупольским заводом для серийного производства, начиная с 38 комплекта. </w:t>
      </w:r>
    </w:p>
    <w:p w14:paraId="374F003D" w14:textId="77777777" w:rsidR="00AE4F54" w:rsidRPr="00DB5D0D" w:rsidRDefault="00AE4F5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этом же техническом совещании было принято решение о вводе в серийное производство комбинированного носового узла корпуса танка Т-34, состоявшего из двух катанных броневых деталей – верхнего и нижнего листов носа (детали 34.29.904 и 34.29.905) и связывающей их литой балки (деталь 34.29.906). Данная конструкция была разработана в КБ-520 завода № 183 под руководством М.И. Таршинова, а технология изготовления литой балки – совместной бригадой по литым узлам танка Т-34, состоявшей из сотрудников НИИ-48 и Мариупольского завода. Комбинированный носовой узел принимался на производство взамен цельноштампованного листа носа (деталь 34.29.876-1) в целях упрощения технологии производства броневых деталей. Решения, принятые в Мариуполе 12 июня 1940 г. были зафиксированы в протоколе, подписанном всеми участниками технического совещания (18076).</w:t>
      </w:r>
    </w:p>
    <w:p w14:paraId="6CC8EAD1" w14:textId="77777777" w:rsidR="00AE4F54" w:rsidRPr="00DB5D0D" w:rsidRDefault="00AE4F54" w:rsidP="00DB5D0D">
      <w:pPr>
        <w:spacing w:after="0" w:line="240" w:lineRule="auto"/>
        <w:jc w:val="both"/>
        <w:rPr>
          <w:rFonts w:ascii="Times New Roman" w:eastAsia="Times New Roman" w:hAnsi="Times New Roman"/>
          <w:color w:val="000000" w:themeColor="text1"/>
          <w:sz w:val="16"/>
          <w:szCs w:val="16"/>
          <w:lang w:eastAsia="ru-RU"/>
        </w:rPr>
      </w:pPr>
    </w:p>
    <w:p w14:paraId="72E538C7" w14:textId="77777777" w:rsidR="00706D5D" w:rsidRPr="00DB5D0D" w:rsidRDefault="00706D5D"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12 июня 1940 г. была подготовлена ЗАПИСКА НАРКОМА ВНЕШНЕЙ ТОРГОВЛИ СССР А.И.МИКОЯНА В ЦК ВКП(б) - И.В.СТАЛИНУ И СНК СССР - В.М.МОЛОТОВУ №61/1196</w:t>
      </w:r>
    </w:p>
    <w:p w14:paraId="5EC017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0A3FBD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Направляю при этом представленные народными комиссарами Военно-Морского флота, судостроительной промышленности и вооружения следующие проекты: </w:t>
      </w:r>
    </w:p>
    <w:p w14:paraId="4A5601E3" w14:textId="77777777" w:rsidR="00A25AD1" w:rsidRPr="00DB5D0D" w:rsidRDefault="00A25AD1" w:rsidP="00DB5D0D">
      <w:pPr>
        <w:tabs>
          <w:tab w:val="left" w:pos="72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Список заказов в счет Хозяйственного соглашения с Германией, реализуемых для НКВ СССР; </w:t>
      </w:r>
    </w:p>
    <w:p w14:paraId="60933D40" w14:textId="77777777" w:rsidR="00A25AD1" w:rsidRPr="00DB5D0D" w:rsidRDefault="00A25AD1" w:rsidP="00DB5D0D">
      <w:pPr>
        <w:tabs>
          <w:tab w:val="left" w:pos="72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Список заказов в счет Хозяйственного соглашения с Германией, реализуемых для НКСП; </w:t>
      </w:r>
    </w:p>
    <w:p w14:paraId="0BA1ADA6" w14:textId="77777777" w:rsidR="00A25AD1" w:rsidRPr="00DB5D0D" w:rsidRDefault="00A25AD1" w:rsidP="00DB5D0D">
      <w:pPr>
        <w:tabs>
          <w:tab w:val="left" w:pos="72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Список заказов в счет Хозяйственного соглашения с Германией, реализуемых для НКВМФ; </w:t>
      </w:r>
    </w:p>
    <w:p w14:paraId="548F7446" w14:textId="77777777" w:rsidR="00A25AD1" w:rsidRPr="00DB5D0D" w:rsidRDefault="00A25AD1" w:rsidP="00DB5D0D">
      <w:pPr>
        <w:tabs>
          <w:tab w:val="left" w:pos="72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Список реализуемых заказов в счет Хозяйственного соглашения с Германией для Наркомата электропромышленности; </w:t>
      </w:r>
    </w:p>
    <w:p w14:paraId="1E6C7966" w14:textId="77777777" w:rsidR="00A25AD1" w:rsidRPr="00DB5D0D" w:rsidRDefault="00A25AD1" w:rsidP="00DB5D0D">
      <w:pPr>
        <w:tabs>
          <w:tab w:val="left" w:pos="72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Положение о контрольно-приемном аппарате по реализации заказов в счет Хозяйственного соглашения с Германией.</w:t>
      </w:r>
    </w:p>
    <w:p w14:paraId="4279FA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эти предложения приемлемыми и прошу их утвердить</w:t>
      </w:r>
    </w:p>
    <w:p w14:paraId="5C9DEF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А.Микоян </w:t>
      </w:r>
    </w:p>
    <w:p w14:paraId="3204B6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1</w:t>
      </w:r>
    </w:p>
    <w:p w14:paraId="79E8ACCD" w14:textId="77777777" w:rsidR="00706D5D" w:rsidRPr="00DB5D0D" w:rsidRDefault="00706D5D" w:rsidP="00DB5D0D">
      <w:pPr>
        <w:spacing w:after="0" w:line="240" w:lineRule="auto"/>
        <w:jc w:val="both"/>
        <w:rPr>
          <w:rFonts w:ascii="Times New Roman" w:eastAsia="Arial Unicode MS" w:hAnsi="Times New Roman"/>
          <w:color w:val="000000" w:themeColor="text1"/>
          <w:sz w:val="16"/>
          <w:szCs w:val="16"/>
        </w:rPr>
      </w:pPr>
      <w:r w:rsidRPr="00DB5D0D">
        <w:rPr>
          <w:rFonts w:ascii="Times New Roman" w:eastAsia="Arial Unicode MS" w:hAnsi="Times New Roman"/>
          <w:bCs/>
          <w:color w:val="000000" w:themeColor="text1"/>
          <w:sz w:val="16"/>
          <w:szCs w:val="16"/>
        </w:rPr>
        <w:t>Список заказов в счет Хозяйственного соглашения с Германией, реализуемых по линии НКВ СССР</w:t>
      </w:r>
    </w:p>
    <w:p w14:paraId="6E3A37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Сов. секретно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7"/>
        <w:gridCol w:w="7082"/>
        <w:gridCol w:w="894"/>
        <w:gridCol w:w="894"/>
      </w:tblGrid>
      <w:tr w:rsidR="007D5DF8" w:rsidRPr="00DB5D0D" w14:paraId="0A05CF8F" w14:textId="77777777" w:rsidTr="009223E5">
        <w:tc>
          <w:tcPr>
            <w:tcW w:w="487" w:type="dxa"/>
            <w:tcBorders>
              <w:top w:val="single" w:sz="12" w:space="0" w:color="auto"/>
            </w:tcBorders>
          </w:tcPr>
          <w:p w14:paraId="4A655E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7082" w:type="dxa"/>
            <w:tcBorders>
              <w:top w:val="single" w:sz="12" w:space="0" w:color="auto"/>
            </w:tcBorders>
          </w:tcPr>
          <w:p w14:paraId="2DDB91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894" w:type="dxa"/>
            <w:tcBorders>
              <w:top w:val="single" w:sz="12" w:space="0" w:color="auto"/>
            </w:tcBorders>
          </w:tcPr>
          <w:p w14:paraId="5B7A5B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w:t>
            </w:r>
          </w:p>
        </w:tc>
        <w:tc>
          <w:tcPr>
            <w:tcW w:w="894" w:type="dxa"/>
            <w:tcBorders>
              <w:top w:val="single" w:sz="12" w:space="0" w:color="auto"/>
            </w:tcBorders>
          </w:tcPr>
          <w:p w14:paraId="001A3F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6BE10B6A" w14:textId="77777777" w:rsidTr="009223E5">
        <w:tc>
          <w:tcPr>
            <w:tcW w:w="487" w:type="dxa"/>
          </w:tcPr>
          <w:p w14:paraId="1BF85C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082" w:type="dxa"/>
          </w:tcPr>
          <w:p w14:paraId="2207EB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94" w:type="dxa"/>
          </w:tcPr>
          <w:p w14:paraId="24DF5A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894" w:type="dxa"/>
          </w:tcPr>
          <w:p w14:paraId="27A479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r>
      <w:tr w:rsidR="007D5DF8" w:rsidRPr="00DB5D0D" w14:paraId="49564C92" w14:textId="77777777" w:rsidTr="009223E5">
        <w:tc>
          <w:tcPr>
            <w:tcW w:w="487" w:type="dxa"/>
          </w:tcPr>
          <w:p w14:paraId="337FDF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082" w:type="dxa"/>
          </w:tcPr>
          <w:p w14:paraId="4BB0E8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381 -мм двухорудийная корабельная башня</w:t>
            </w:r>
          </w:p>
        </w:tc>
        <w:tc>
          <w:tcPr>
            <w:tcW w:w="894" w:type="dxa"/>
          </w:tcPr>
          <w:p w14:paraId="5CD7A8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894" w:type="dxa"/>
          </w:tcPr>
          <w:p w14:paraId="586F853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978AFB1" w14:textId="77777777" w:rsidTr="009223E5">
        <w:tc>
          <w:tcPr>
            <w:tcW w:w="487" w:type="dxa"/>
          </w:tcPr>
          <w:p w14:paraId="0EC462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7082" w:type="dxa"/>
          </w:tcPr>
          <w:p w14:paraId="1F0BF2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406-мм трехорудийной корабельной башни. Чертежи</w:t>
            </w:r>
          </w:p>
        </w:tc>
        <w:tc>
          <w:tcPr>
            <w:tcW w:w="894" w:type="dxa"/>
          </w:tcPr>
          <w:p w14:paraId="28753B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94" w:type="dxa"/>
          </w:tcPr>
          <w:p w14:paraId="346F360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6A58BBB" w14:textId="77777777" w:rsidTr="009223E5">
        <w:tc>
          <w:tcPr>
            <w:tcW w:w="487" w:type="dxa"/>
          </w:tcPr>
          <w:p w14:paraId="15F8EA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7082" w:type="dxa"/>
          </w:tcPr>
          <w:p w14:paraId="0949EC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149,1-мм трехорудийные корабельные башни</w:t>
            </w:r>
          </w:p>
        </w:tc>
        <w:tc>
          <w:tcPr>
            <w:tcW w:w="894" w:type="dxa"/>
          </w:tcPr>
          <w:p w14:paraId="740776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894" w:type="dxa"/>
          </w:tcPr>
          <w:p w14:paraId="5D6213F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73FD57D" w14:textId="77777777" w:rsidTr="009223E5">
        <w:tc>
          <w:tcPr>
            <w:tcW w:w="487" w:type="dxa"/>
          </w:tcPr>
          <w:p w14:paraId="67EE4E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7082" w:type="dxa"/>
          </w:tcPr>
          <w:p w14:paraId="3C581E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105-мм двухорудийная щитовая корабельная стабилиз. система</w:t>
            </w:r>
          </w:p>
        </w:tc>
        <w:tc>
          <w:tcPr>
            <w:tcW w:w="894" w:type="dxa"/>
          </w:tcPr>
          <w:p w14:paraId="1BA5DD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894" w:type="dxa"/>
          </w:tcPr>
          <w:p w14:paraId="452BAAA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4A0A30C" w14:textId="77777777" w:rsidTr="009223E5">
        <w:tc>
          <w:tcPr>
            <w:tcW w:w="487" w:type="dxa"/>
          </w:tcPr>
          <w:p w14:paraId="26EDF5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082" w:type="dxa"/>
          </w:tcPr>
          <w:p w14:paraId="11DEC8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88-мм антикоррозийная пушка</w:t>
            </w:r>
          </w:p>
        </w:tc>
        <w:tc>
          <w:tcPr>
            <w:tcW w:w="894" w:type="dxa"/>
          </w:tcPr>
          <w:p w14:paraId="2AD186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94" w:type="dxa"/>
          </w:tcPr>
          <w:p w14:paraId="4330079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188CA52" w14:textId="77777777" w:rsidTr="009223E5">
        <w:tc>
          <w:tcPr>
            <w:tcW w:w="487" w:type="dxa"/>
          </w:tcPr>
          <w:p w14:paraId="419BBF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7082" w:type="dxa"/>
          </w:tcPr>
          <w:p w14:paraId="0F1812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Дальномер с базой 1 м</w:t>
            </w:r>
          </w:p>
        </w:tc>
        <w:tc>
          <w:tcPr>
            <w:tcW w:w="894" w:type="dxa"/>
          </w:tcPr>
          <w:p w14:paraId="297851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894" w:type="dxa"/>
          </w:tcPr>
          <w:p w14:paraId="07EA45E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893B7BD" w14:textId="77777777" w:rsidTr="009223E5">
        <w:tc>
          <w:tcPr>
            <w:tcW w:w="487" w:type="dxa"/>
          </w:tcPr>
          <w:p w14:paraId="37C67A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7082" w:type="dxa"/>
          </w:tcPr>
          <w:p w14:paraId="546915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Прибор для измерения диаметров гладких каналов</w:t>
            </w:r>
          </w:p>
        </w:tc>
        <w:tc>
          <w:tcPr>
            <w:tcW w:w="894" w:type="dxa"/>
          </w:tcPr>
          <w:p w14:paraId="5E6B98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компл.</w:t>
            </w:r>
          </w:p>
        </w:tc>
        <w:tc>
          <w:tcPr>
            <w:tcW w:w="894" w:type="dxa"/>
          </w:tcPr>
          <w:p w14:paraId="60D222F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524C0C8" w14:textId="77777777" w:rsidTr="009223E5">
        <w:tc>
          <w:tcPr>
            <w:tcW w:w="487" w:type="dxa"/>
          </w:tcPr>
          <w:p w14:paraId="55FCCA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7082" w:type="dxa"/>
          </w:tcPr>
          <w:p w14:paraId="5DEB4F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Многорезцовая нарезательная головка для орудия 406-мм</w:t>
            </w:r>
          </w:p>
        </w:tc>
        <w:tc>
          <w:tcPr>
            <w:tcW w:w="894" w:type="dxa"/>
          </w:tcPr>
          <w:p w14:paraId="2743E7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94" w:type="dxa"/>
          </w:tcPr>
          <w:p w14:paraId="73162F6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2B16730" w14:textId="77777777" w:rsidTr="009223E5">
        <w:tc>
          <w:tcPr>
            <w:tcW w:w="487" w:type="dxa"/>
          </w:tcPr>
          <w:p w14:paraId="5E048E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7082" w:type="dxa"/>
          </w:tcPr>
          <w:p w14:paraId="6FC86B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8-м перископы для ПЛ</w:t>
            </w:r>
          </w:p>
        </w:tc>
        <w:tc>
          <w:tcPr>
            <w:tcW w:w="894" w:type="dxa"/>
          </w:tcPr>
          <w:p w14:paraId="76D384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894" w:type="dxa"/>
          </w:tcPr>
          <w:p w14:paraId="2B8183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B071AF8" w14:textId="77777777" w:rsidTr="009223E5">
        <w:tc>
          <w:tcPr>
            <w:tcW w:w="487" w:type="dxa"/>
          </w:tcPr>
          <w:p w14:paraId="0AD073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082" w:type="dxa"/>
          </w:tcPr>
          <w:p w14:paraId="79FD37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Перископы для ПЛ с неподвижным окуляром</w:t>
            </w:r>
          </w:p>
        </w:tc>
        <w:tc>
          <w:tcPr>
            <w:tcW w:w="894" w:type="dxa"/>
          </w:tcPr>
          <w:p w14:paraId="024603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94" w:type="dxa"/>
          </w:tcPr>
          <w:p w14:paraId="52EE4CD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523AB16" w14:textId="77777777" w:rsidTr="009223E5">
        <w:tc>
          <w:tcPr>
            <w:tcW w:w="487" w:type="dxa"/>
            <w:tcBorders>
              <w:bottom w:val="single" w:sz="12" w:space="0" w:color="auto"/>
            </w:tcBorders>
          </w:tcPr>
          <w:p w14:paraId="7AA269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7082" w:type="dxa"/>
            <w:tcBorders>
              <w:bottom w:val="single" w:sz="12" w:space="0" w:color="auto"/>
            </w:tcBorders>
          </w:tcPr>
          <w:p w14:paraId="43B319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Комбинированные прожекторные установки 90 или 120 см с прожекторными преобразователями</w:t>
            </w:r>
          </w:p>
        </w:tc>
        <w:tc>
          <w:tcPr>
            <w:tcW w:w="894" w:type="dxa"/>
            <w:tcBorders>
              <w:bottom w:val="single" w:sz="12" w:space="0" w:color="auto"/>
            </w:tcBorders>
          </w:tcPr>
          <w:p w14:paraId="48D684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894" w:type="dxa"/>
            <w:tcBorders>
              <w:bottom w:val="single" w:sz="12" w:space="0" w:color="auto"/>
            </w:tcBorders>
          </w:tcPr>
          <w:p w14:paraId="68B3CF4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546752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ПРИЛОЖЕНИЕ 2 </w:t>
      </w:r>
    </w:p>
    <w:p w14:paraId="1AC53A2A"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Положение о контрольно-приемном аппарате по реализации заказов в счет Хозяйственного соглашения с Германией</w:t>
      </w:r>
    </w:p>
    <w:p w14:paraId="1B550F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Для выполнения решения Правительства № 138сс о порядке реализации заказов в счет Хозяйственного соглашения с Германией создаются Контрольно-приемный аппарат (КПА) НКВМФ и Конструкторское бюро (КБ) НКСП и НКВ в Германии, возглавляемый старшим уполномоченным НКВМФ.</w:t>
      </w:r>
    </w:p>
    <w:p w14:paraId="294A6F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КПА и КБ в Германии работают под общим руководством Торгпреда СССР в Германии и в административно-хозяйственном отношении обеспечивается Торгпредством (помещения для работы, обслуживающий персонал: машинистки, переводчики, командировочное довольствие и бытовое обслуживание).</w:t>
      </w:r>
    </w:p>
    <w:p w14:paraId="27AA1B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Старший уполномоченный подчиняется непосредственно НКВМФ.</w:t>
      </w:r>
    </w:p>
    <w:p w14:paraId="43FD5C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 старшего уполномоченного возлагается функция контроля за своевременным выполнением заказов в полном соответствии с договором и заказами, за приемкой готовых объектов и оборудования и их своевременной отправкой в СССР по соответствующим адресам.</w:t>
      </w:r>
    </w:p>
    <w:p w14:paraId="69D7AC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Старший уполномоченный в своем распоряжении имеет КПА и КБ НКСП и НКВ.</w:t>
      </w:r>
    </w:p>
    <w:p w14:paraId="11FD1D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В оперативно-организационном отношении уполномоченный АУ и старшие приемщики Минно-Торпедного управления, Гидрографического управления и Управления связи подчиняются старшему уполномоченному.</w:t>
      </w:r>
    </w:p>
    <w:p w14:paraId="3658A8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техническом отношении они имеют право самостоятельного решения вопросов и переписки с ЦУ ВМФ через ОВЗ НКВМФ за исключением поставок, входящих в комплект корабля, по которым решение всех вопросов и переписка должны проходить через старшего уполномоченного.</w:t>
      </w:r>
    </w:p>
    <w:p w14:paraId="0248C8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На уполномоченных и старших приемщиков возлагается: </w:t>
      </w:r>
    </w:p>
    <w:p w14:paraId="3D4D3F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Руководство КПА по своей отрасли, осуществление приемки готовых объектов и оборудования в точном соответствии с заказами, своевременная отправка принятого оборудования в соответствующие адреса в СССР.</w:t>
      </w:r>
    </w:p>
    <w:p w14:paraId="5781BE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Самостоятельное решение всех технических вопросов, не связанных с комплектом корабля, и в случае необходимости, переписка с соответствующими ЦУ НКВМФ через ОВЗ НКВМФ, а по заказам, реализуемым через другие наркоматы, - с соответствующими наркоматами с копией в ОВЗ НКВМФ.</w:t>
      </w:r>
    </w:p>
    <w:p w14:paraId="276E2D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Решение всех принципиальных вопросов, связанных с кораблем, производить с санкцией старшего уполномоченного.</w:t>
      </w:r>
    </w:p>
    <w:p w14:paraId="48E289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Приемка всех проектных материалов и технической документации производится специальным конструкторским бюро НКСП и НКВ при старшем уполномоченном.</w:t>
      </w:r>
    </w:p>
    <w:p w14:paraId="35C948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принятые материалы старший уполномоченный через соответствующие наркоматы направляет в Конструкторские бюро в СССР, где они переводятся, размножаются и рассылаются заинтересованным наркоматам, сообщая об этом в ОВЗ НКВМФ.</w:t>
      </w:r>
    </w:p>
    <w:p w14:paraId="05F52A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Уполномоченные АУ, а также старшие приемщики КБ и ЦУ ВМФ, несут полную ответственность за комплектность проектного материала, чертежей, технических условий и сертификатов по своей отрасли.</w:t>
      </w:r>
    </w:p>
    <w:p w14:paraId="296A5A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10. Руководители конструкторских бюро ведут самостоятельную переписку с НКСП к НКВ и соответствующими КБ в СССР, при обязательной копии переписки старшему уполномоченному и ОВЗ НКВМФ.</w:t>
      </w:r>
    </w:p>
    <w:p w14:paraId="701795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Ф.З. On.64. Д.668. Лл. 105-128. Машинопись, автограф. Имеются пометы (10694).</w:t>
      </w:r>
    </w:p>
    <w:p w14:paraId="53CBE1F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6AA1B58"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июня 1940 г.</w:t>
      </w:r>
    </w:p>
    <w:p w14:paraId="66E7B6A3"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ЗАПИСКА НАРКОМА ВНЕШНЕЙ ТОРГОВЛИ СССР А.И.МИКОЯНА В ЦК ВКП(б) - И.В.СТАЛИНУ И СНК СССР - В.М.МОЛОТОВУ</w:t>
      </w:r>
    </w:p>
    <w:p w14:paraId="625689D8"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№61/1196</w:t>
      </w:r>
    </w:p>
    <w:p w14:paraId="2CF2FC43"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июня 1940 г.</w:t>
      </w:r>
    </w:p>
    <w:p w14:paraId="00C45330"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Секретно</w:t>
      </w:r>
    </w:p>
    <w:p w14:paraId="06B7F870"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Направляю при этом представленные народными комиссарами Военно-Морского флота, судостроительной промышленности и вооружения следующие проекты:</w:t>
      </w:r>
    </w:p>
    <w:p w14:paraId="5AC2834E"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Список заказов в счет Хозяйственного соглашения с Германией, реализуемых для НКВ СССР;</w:t>
      </w:r>
    </w:p>
    <w:p w14:paraId="73342987"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Список заказов в счет Хозяйственного соглашения с Германией, реализуемых для НКСП;</w:t>
      </w:r>
    </w:p>
    <w:p w14:paraId="332A0EA3"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Список заказов в счет Хозяйственного соглашения с Германией, реализуемых для НКВМФ;</w:t>
      </w:r>
    </w:p>
    <w:p w14:paraId="6F8060F3"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Список реализуемых заказов в счет Хозяйственного соглашения с Германией для Наркомата электропромышленности;</w:t>
      </w:r>
    </w:p>
    <w:p w14:paraId="2B142D09"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Положение о контрольно-приемном аппарате по реализации заказов в счет Хозяйственного соглашения с Германией.</w:t>
      </w:r>
    </w:p>
    <w:p w14:paraId="40107555"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Считаю эти предложения приемлемыми и прошу их утвердить.</w:t>
      </w:r>
    </w:p>
    <w:p w14:paraId="52720728"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Микоян</w:t>
      </w:r>
    </w:p>
    <w:p w14:paraId="7B897C18"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1</w:t>
      </w:r>
    </w:p>
    <w:p w14:paraId="646A9A81"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Список заказов в счет Хозяйственного соглашения с Германией, реализуемых по линии НКВ СССР</w:t>
      </w:r>
    </w:p>
    <w:p w14:paraId="68B63561"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 секретно</w:t>
      </w:r>
    </w:p>
    <w:p w14:paraId="312AC75F"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п/п</w:t>
      </w:r>
      <w:r w:rsidRPr="00DB5D0D">
        <w:rPr>
          <w:rFonts w:ascii="Times New Roman" w:hAnsi="Times New Roman"/>
          <w:color w:val="0070C0"/>
          <w:sz w:val="16"/>
          <w:szCs w:val="16"/>
        </w:rPr>
        <w:tab/>
        <w:t>Наименование</w:t>
      </w:r>
      <w:r w:rsidRPr="00DB5D0D">
        <w:rPr>
          <w:rFonts w:ascii="Times New Roman" w:hAnsi="Times New Roman"/>
          <w:color w:val="0070C0"/>
          <w:sz w:val="16"/>
          <w:szCs w:val="16"/>
        </w:rPr>
        <w:tab/>
        <w:t>Количество</w:t>
      </w:r>
      <w:r w:rsidRPr="00DB5D0D">
        <w:rPr>
          <w:rFonts w:ascii="Times New Roman" w:hAnsi="Times New Roman"/>
          <w:color w:val="0070C0"/>
          <w:sz w:val="16"/>
          <w:szCs w:val="16"/>
        </w:rPr>
        <w:tab/>
        <w:t>Примечание</w:t>
      </w:r>
    </w:p>
    <w:p w14:paraId="512F4806"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w:t>
      </w:r>
      <w:r w:rsidRPr="00DB5D0D">
        <w:rPr>
          <w:rFonts w:ascii="Times New Roman" w:hAnsi="Times New Roman"/>
          <w:color w:val="0070C0"/>
          <w:sz w:val="16"/>
          <w:szCs w:val="16"/>
        </w:rPr>
        <w:tab/>
        <w:t>2</w:t>
      </w:r>
      <w:r w:rsidRPr="00DB5D0D">
        <w:rPr>
          <w:rFonts w:ascii="Times New Roman" w:hAnsi="Times New Roman"/>
          <w:color w:val="0070C0"/>
          <w:sz w:val="16"/>
          <w:szCs w:val="16"/>
        </w:rPr>
        <w:tab/>
        <w:t>3</w:t>
      </w:r>
      <w:r w:rsidRPr="00DB5D0D">
        <w:rPr>
          <w:rFonts w:ascii="Times New Roman" w:hAnsi="Times New Roman"/>
          <w:color w:val="0070C0"/>
          <w:sz w:val="16"/>
          <w:szCs w:val="16"/>
        </w:rPr>
        <w:tab/>
        <w:t>4</w:t>
      </w:r>
    </w:p>
    <w:p w14:paraId="1DEAF715"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w:t>
      </w:r>
      <w:r w:rsidRPr="00DB5D0D">
        <w:rPr>
          <w:rFonts w:ascii="Times New Roman" w:hAnsi="Times New Roman"/>
          <w:color w:val="0070C0"/>
          <w:sz w:val="16"/>
          <w:szCs w:val="16"/>
        </w:rPr>
        <w:tab/>
        <w:t>381-мм двухорудийная корабельная башня 6</w:t>
      </w:r>
    </w:p>
    <w:p w14:paraId="5A159F7E"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w:t>
      </w:r>
      <w:r w:rsidRPr="00DB5D0D">
        <w:rPr>
          <w:rFonts w:ascii="Times New Roman" w:hAnsi="Times New Roman"/>
          <w:color w:val="0070C0"/>
          <w:sz w:val="16"/>
          <w:szCs w:val="16"/>
        </w:rPr>
        <w:tab/>
        <w:t>Проект 406-мм трехорудийной корабельной башни. Чертежи</w:t>
      </w:r>
      <w:r w:rsidRPr="00DB5D0D">
        <w:rPr>
          <w:rFonts w:ascii="Times New Roman" w:hAnsi="Times New Roman"/>
          <w:color w:val="0070C0"/>
          <w:sz w:val="16"/>
          <w:szCs w:val="16"/>
        </w:rPr>
        <w:tab/>
        <w:t>1</w:t>
      </w:r>
    </w:p>
    <w:p w14:paraId="0A948DD4"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w:t>
      </w:r>
      <w:r w:rsidRPr="00DB5D0D">
        <w:rPr>
          <w:rFonts w:ascii="Times New Roman" w:hAnsi="Times New Roman"/>
          <w:color w:val="0070C0"/>
          <w:sz w:val="16"/>
          <w:szCs w:val="16"/>
        </w:rPr>
        <w:tab/>
        <w:t>149,1-мм трехорудийные корабельные башни</w:t>
      </w:r>
      <w:r w:rsidRPr="00DB5D0D">
        <w:rPr>
          <w:rFonts w:ascii="Times New Roman" w:hAnsi="Times New Roman"/>
          <w:color w:val="0070C0"/>
          <w:sz w:val="16"/>
          <w:szCs w:val="16"/>
        </w:rPr>
        <w:tab/>
        <w:t>4</w:t>
      </w:r>
    </w:p>
    <w:p w14:paraId="0011A475"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w:t>
      </w:r>
      <w:r w:rsidRPr="00DB5D0D">
        <w:rPr>
          <w:rFonts w:ascii="Times New Roman" w:hAnsi="Times New Roman"/>
          <w:color w:val="0070C0"/>
          <w:sz w:val="16"/>
          <w:szCs w:val="16"/>
        </w:rPr>
        <w:tab/>
        <w:t>105-мм двухорудийная щитовая корабельная стабилиз. система</w:t>
      </w:r>
      <w:r w:rsidRPr="00DB5D0D">
        <w:rPr>
          <w:rFonts w:ascii="Times New Roman" w:hAnsi="Times New Roman"/>
          <w:color w:val="0070C0"/>
          <w:sz w:val="16"/>
          <w:szCs w:val="16"/>
        </w:rPr>
        <w:tab/>
        <w:t>14</w:t>
      </w:r>
    </w:p>
    <w:p w14:paraId="3FDED6F3"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w:t>
      </w:r>
      <w:r w:rsidRPr="00DB5D0D">
        <w:rPr>
          <w:rFonts w:ascii="Times New Roman" w:hAnsi="Times New Roman"/>
          <w:color w:val="0070C0"/>
          <w:sz w:val="16"/>
          <w:szCs w:val="16"/>
        </w:rPr>
        <w:tab/>
        <w:t>88-мм антикоррозийная пушка</w:t>
      </w:r>
      <w:r w:rsidRPr="00DB5D0D">
        <w:rPr>
          <w:rFonts w:ascii="Times New Roman" w:hAnsi="Times New Roman"/>
          <w:color w:val="0070C0"/>
          <w:sz w:val="16"/>
          <w:szCs w:val="16"/>
        </w:rPr>
        <w:tab/>
        <w:t>1</w:t>
      </w:r>
    </w:p>
    <w:p w14:paraId="62E8F5D4"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w:t>
      </w:r>
      <w:r w:rsidRPr="00DB5D0D">
        <w:rPr>
          <w:rFonts w:ascii="Times New Roman" w:hAnsi="Times New Roman"/>
          <w:color w:val="0070C0"/>
          <w:sz w:val="16"/>
          <w:szCs w:val="16"/>
        </w:rPr>
        <w:tab/>
        <w:t>Дальномер с базой 1 м</w:t>
      </w:r>
      <w:r w:rsidRPr="00DB5D0D">
        <w:rPr>
          <w:rFonts w:ascii="Times New Roman" w:hAnsi="Times New Roman"/>
          <w:color w:val="0070C0"/>
          <w:sz w:val="16"/>
          <w:szCs w:val="16"/>
        </w:rPr>
        <w:tab/>
        <w:t>10</w:t>
      </w:r>
    </w:p>
    <w:p w14:paraId="1E2BAD6B"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w:t>
      </w:r>
      <w:r w:rsidRPr="00DB5D0D">
        <w:rPr>
          <w:rFonts w:ascii="Times New Roman" w:hAnsi="Times New Roman"/>
          <w:color w:val="0070C0"/>
          <w:sz w:val="16"/>
          <w:szCs w:val="16"/>
        </w:rPr>
        <w:tab/>
        <w:t>Прибор для измерения диаметров гладких каналов</w:t>
      </w:r>
      <w:r w:rsidRPr="00DB5D0D">
        <w:rPr>
          <w:rFonts w:ascii="Times New Roman" w:hAnsi="Times New Roman"/>
          <w:color w:val="0070C0"/>
          <w:sz w:val="16"/>
          <w:szCs w:val="16"/>
        </w:rPr>
        <w:tab/>
        <w:t>5 компл.</w:t>
      </w:r>
    </w:p>
    <w:p w14:paraId="0CA8AED3"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w:t>
      </w:r>
      <w:r w:rsidRPr="00DB5D0D">
        <w:rPr>
          <w:rFonts w:ascii="Times New Roman" w:hAnsi="Times New Roman"/>
          <w:color w:val="0070C0"/>
          <w:sz w:val="16"/>
          <w:szCs w:val="16"/>
        </w:rPr>
        <w:tab/>
        <w:t>Многорезцовая нарезательная головка для орудия 406-мм</w:t>
      </w:r>
      <w:r w:rsidRPr="00DB5D0D">
        <w:rPr>
          <w:rFonts w:ascii="Times New Roman" w:hAnsi="Times New Roman"/>
          <w:color w:val="0070C0"/>
          <w:sz w:val="16"/>
          <w:szCs w:val="16"/>
        </w:rPr>
        <w:tab/>
        <w:t>1</w:t>
      </w:r>
    </w:p>
    <w:p w14:paraId="3E479D09"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w:t>
      </w:r>
      <w:r w:rsidRPr="00DB5D0D">
        <w:rPr>
          <w:rFonts w:ascii="Times New Roman" w:hAnsi="Times New Roman"/>
          <w:color w:val="0070C0"/>
          <w:sz w:val="16"/>
          <w:szCs w:val="16"/>
        </w:rPr>
        <w:tab/>
        <w:t>8-м перископы для ПЛ</w:t>
      </w:r>
      <w:r w:rsidRPr="00DB5D0D">
        <w:rPr>
          <w:rFonts w:ascii="Times New Roman" w:hAnsi="Times New Roman"/>
          <w:color w:val="0070C0"/>
          <w:sz w:val="16"/>
          <w:szCs w:val="16"/>
        </w:rPr>
        <w:tab/>
        <w:t>3</w:t>
      </w:r>
    </w:p>
    <w:p w14:paraId="5C602794"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w:t>
      </w:r>
      <w:r w:rsidRPr="00DB5D0D">
        <w:rPr>
          <w:rFonts w:ascii="Times New Roman" w:hAnsi="Times New Roman"/>
          <w:color w:val="0070C0"/>
          <w:sz w:val="16"/>
          <w:szCs w:val="16"/>
        </w:rPr>
        <w:tab/>
        <w:t>Перископы для ПЛ с неподвижным окуляром</w:t>
      </w:r>
      <w:r w:rsidRPr="00DB5D0D">
        <w:rPr>
          <w:rFonts w:ascii="Times New Roman" w:hAnsi="Times New Roman"/>
          <w:color w:val="0070C0"/>
          <w:sz w:val="16"/>
          <w:szCs w:val="16"/>
        </w:rPr>
        <w:tab/>
        <w:t>1</w:t>
      </w:r>
    </w:p>
    <w:p w14:paraId="6FDB3347"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w:t>
      </w:r>
      <w:r w:rsidRPr="00DB5D0D">
        <w:rPr>
          <w:rFonts w:ascii="Times New Roman" w:hAnsi="Times New Roman"/>
          <w:color w:val="0070C0"/>
          <w:sz w:val="16"/>
          <w:szCs w:val="16"/>
        </w:rPr>
        <w:tab/>
        <w:t>Комбинированные прожекторные установки 90 или 120 см с прожекторными преобразователями</w:t>
      </w:r>
      <w:r w:rsidRPr="00DB5D0D">
        <w:rPr>
          <w:rFonts w:ascii="Times New Roman" w:hAnsi="Times New Roman"/>
          <w:color w:val="0070C0"/>
          <w:sz w:val="16"/>
          <w:szCs w:val="16"/>
        </w:rPr>
        <w:tab/>
        <w:t>15 (20995).</w:t>
      </w:r>
    </w:p>
    <w:p w14:paraId="474B14D1"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июня 1940 г. Положение о контрольно-приемном аппарате по реализации заказов в счет Хозяйственного соглашения с Германией // АП РФ. Ф. З. Оп. 64. Д. 668. Лл. 105-128. Машинопись, автограф.</w:t>
      </w:r>
    </w:p>
    <w:p w14:paraId="266A70AA"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2</w:t>
      </w:r>
    </w:p>
    <w:p w14:paraId="5C710252"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Положение о контрольно-приемном аппарате по реализации заказов в счет Хозяйственного соглашения с Германией</w:t>
      </w:r>
    </w:p>
    <w:p w14:paraId="7672F873"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Для выполнения решения Правительства № 138сс о порядке реализации заказов в счет Хозяйственного соглашения с Германией создаются Контрольно -приемный аппарат (КПА) НКВМФ и Конструкторское бюро (КБ) НКСП и НКВ в Германии, возглавляемый старшим уполномоченным НКВМФ.</w:t>
      </w:r>
    </w:p>
    <w:p w14:paraId="33B24CDD"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КПА и КБ в Германии работают под общим руководством Торгпреда СССР в Германии и в административно-хозяйственном отношении обеспечивается Торгпредством (помещения для работы, обслуживающий персонал: машинистки, переводчики, командировочное довольствие и бытовое обслуживание).</w:t>
      </w:r>
    </w:p>
    <w:p w14:paraId="5A3B8224"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Старший уполномоченный подчиняется непосредственно НКВМФ.</w:t>
      </w:r>
    </w:p>
    <w:p w14:paraId="37FC8056"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На старшего уполномоченного возлагается функция контроля за своевременным выполнением заказов в полном соответствии с договором и заказами, за приемкой готовых объектов и оборудования и их своевременной отправкой в СССР по соответствующим адресам.</w:t>
      </w:r>
    </w:p>
    <w:p w14:paraId="6CD4343D"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Старший уполномоченный в своем распоряжении имеет КПА и КБ НКСП и НКВ.</w:t>
      </w:r>
    </w:p>
    <w:p w14:paraId="23E4EF90"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В оперативно-организационном отношении уполномоченный АУ и старшие приемщики Минно-Торпедного управления, Гидрографического управления и Управления связи подчиняются старшему уполномоченному.</w:t>
      </w:r>
    </w:p>
    <w:p w14:paraId="20C73444"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техническом отношении они имеют право самостоятельного решения вопросов и переписки с ЦУ ВМФ через ОВЗ НКВМФ за исключением поставок, входящих в комплект корабля, по которым решение всех вопросов и переписка должны проходить через старшего уполномоченного.</w:t>
      </w:r>
    </w:p>
    <w:p w14:paraId="152CDD16"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На уполномоченных и старших приемщиков возлагается:</w:t>
      </w:r>
    </w:p>
    <w:p w14:paraId="752A5A4C"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Руководство КПА по своей отрасли, осуществление приемки готовых объектов и оборудования в точном соответствии с заказами, своевременная отправка принятого оборудования в соответствующие адреса в СССР.</w:t>
      </w:r>
    </w:p>
    <w:p w14:paraId="74D7167C"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Самостоятельное решение всех технических вопросов, не связанных с комплектом корабля, и в случае необходимости, переписка с соответствующими ЦУ НКВМФ через ОВЗ НКВМФ, а по заказам, реализуемым через другие наркоматы, - с соответствующими наркоматами с копией в ОВЗ НКВМФ.</w:t>
      </w:r>
    </w:p>
    <w:p w14:paraId="7A867D11"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Решение всех принципиальных вопросов, связанных с кораблем, производить с санкцией старшего уполномоченного.</w:t>
      </w:r>
    </w:p>
    <w:p w14:paraId="1478F648"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Приемка всех проектных материалов и технической документации производится специальным конструкторским бюро НКСП и НКВ при старшем уполномоченном.</w:t>
      </w:r>
    </w:p>
    <w:p w14:paraId="7F8CDA6E"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 принятые материалы старший уполномоченный через соответствующие наркоматы направляет в Конструкторские бюро в СССР, где они переводятся, размножаются и рассылаются заинтересованным наркоматам, сообщая об этом в ОВЗ НКВМФ.</w:t>
      </w:r>
    </w:p>
    <w:p w14:paraId="59A4A997"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Уполномоченные АУ, а также старшие приемщики КБ и ЦУ ВМФ, несут полную ответственность за комплектность проектного материала, чертежей, технических условий и сертификатов по своей отрасли.</w:t>
      </w:r>
    </w:p>
    <w:p w14:paraId="1D0AFAF9"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Руководители конструкторских бюро ведут самостоятельную переписку с НКСП к НКВ и соответствующими КБ в СССР, при обязательной копии переписки старшему уполномоченному и ОВЗ НКВМФ.</w:t>
      </w:r>
    </w:p>
    <w:p w14:paraId="494AD243"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АП РФ. Ф.З. Оп.64. Д.668. Лл. 105-128. Машинопись, автограф. Имеются пометы (20995).</w:t>
      </w:r>
    </w:p>
    <w:p w14:paraId="567129D5" w14:textId="77777777" w:rsidR="0074364A" w:rsidRPr="00DB5D0D" w:rsidRDefault="0074364A" w:rsidP="00DB5D0D">
      <w:pPr>
        <w:spacing w:after="0" w:line="240" w:lineRule="auto"/>
        <w:jc w:val="both"/>
        <w:rPr>
          <w:rFonts w:ascii="Times New Roman" w:hAnsi="Times New Roman"/>
          <w:color w:val="0070C0"/>
          <w:sz w:val="16"/>
          <w:szCs w:val="16"/>
        </w:rPr>
      </w:pPr>
    </w:p>
    <w:p w14:paraId="4FA9A90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3AC791D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532EC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м Тимошенко ввел дисбаты, а ВС издал указ "Об уголовной ответственности за самовольные отлучки и дезертирство (2536,112).</w:t>
      </w:r>
    </w:p>
    <w:p w14:paraId="5DB34C7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28847F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013DC26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9586E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СССР предъявил ультиматум Литве и до 17 ее вместе с Латвией и Эстонией оккупировали (1103,226).</w:t>
      </w:r>
    </w:p>
    <w:p w14:paraId="108465C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241B7D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E37B66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A5DB029"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12 июня</w:t>
      </w:r>
      <w:r w:rsidRPr="00DB5D0D">
        <w:rPr>
          <w:rFonts w:ascii="Times New Roman" w:hAnsi="Times New Roman"/>
          <w:color w:val="000000" w:themeColor="text1"/>
          <w:sz w:val="16"/>
          <w:szCs w:val="16"/>
        </w:rPr>
        <w:t xml:space="preserve"> в 1940 году совершил свой первый полет прототип </w:t>
      </w:r>
      <w:hyperlink r:id="rId117" w:tgtFrame="_blank" w:history="1">
        <w:r w:rsidRPr="00DB5D0D">
          <w:rPr>
            <w:rFonts w:ascii="Times New Roman" w:hAnsi="Times New Roman"/>
            <w:color w:val="000000" w:themeColor="text1"/>
            <w:sz w:val="16"/>
            <w:szCs w:val="16"/>
          </w:rPr>
          <w:t xml:space="preserve">«Heston» «J.5» или "Napier-Racer", </w:t>
        </w:r>
      </w:hyperlink>
      <w:r w:rsidRPr="00DB5D0D">
        <w:rPr>
          <w:rFonts w:ascii="Times New Roman" w:hAnsi="Times New Roman"/>
          <w:color w:val="000000" w:themeColor="text1"/>
          <w:sz w:val="16"/>
          <w:szCs w:val="16"/>
        </w:rPr>
        <w:t>с регистрационным кодом G-AFOK. Самолёт, обозначенный как «Heston» «J.5» или "Napier-Racer", имел идеальные очертания с минимальным количеством выступающих частей и деталей. Его оснастили чрезвычайно мощным двигателем «Napier» "Sabre" (2560 л.с.), который хотя и требовал значительной доработки, мог позволить развить скорость порядка 772 км/ч. Однако, через несколько минут первого полета, двигатель начал давать сбои и "Napier-Racer" пришлось вести на вынужденную посадку. Самолёт получил вполне поправимые повреждения, и все же работы по нему были прекращены в связи с военными действиями. О его боевом применении руководство RAF даже не поднимало вопрос (14920).</w:t>
      </w:r>
    </w:p>
    <w:p w14:paraId="273C02D1"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4444D1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года состоялся первый полет (лет</w:t>
      </w:r>
      <w:r w:rsidRPr="00DB5D0D">
        <w:rPr>
          <w:rFonts w:ascii="Times New Roman" w:hAnsi="Times New Roman"/>
          <w:color w:val="000000" w:themeColor="text1"/>
          <w:sz w:val="16"/>
          <w:szCs w:val="16"/>
        </w:rPr>
        <w:softHyphen/>
        <w:t>чик Карл Боде) вертолета Ра 223 состоялся. В том же 1940 году, 26 и 28 октября, в испытательном цен</w:t>
      </w:r>
      <w:r w:rsidRPr="00DB5D0D">
        <w:rPr>
          <w:rFonts w:ascii="Times New Roman" w:hAnsi="Times New Roman"/>
          <w:color w:val="000000" w:themeColor="text1"/>
          <w:sz w:val="16"/>
          <w:szCs w:val="16"/>
        </w:rPr>
        <w:softHyphen/>
        <w:t>тре Люфтваффе вертолет (взлетная масса его составляла 3705 кг, а мас</w:t>
      </w:r>
      <w:r w:rsidRPr="00DB5D0D">
        <w:rPr>
          <w:rFonts w:ascii="Times New Roman" w:hAnsi="Times New Roman"/>
          <w:color w:val="000000" w:themeColor="text1"/>
          <w:sz w:val="16"/>
          <w:szCs w:val="16"/>
        </w:rPr>
        <w:softHyphen/>
        <w:t>са полезной нагрузки — 1284 кг), пи</w:t>
      </w:r>
      <w:r w:rsidRPr="00DB5D0D">
        <w:rPr>
          <w:rFonts w:ascii="Times New Roman" w:hAnsi="Times New Roman"/>
          <w:color w:val="000000" w:themeColor="text1"/>
          <w:sz w:val="16"/>
          <w:szCs w:val="16"/>
        </w:rPr>
        <w:softHyphen/>
        <w:t>лотируемый Карлом Боде, показал рекордную скорость 1 82 км/ч и высо</w:t>
      </w:r>
      <w:r w:rsidRPr="00DB5D0D">
        <w:rPr>
          <w:rFonts w:ascii="Times New Roman" w:hAnsi="Times New Roman"/>
          <w:color w:val="000000" w:themeColor="text1"/>
          <w:sz w:val="16"/>
          <w:szCs w:val="16"/>
        </w:rPr>
        <w:softHyphen/>
        <w:t>ту полета 7090 м. Однако эти резуль</w:t>
      </w:r>
      <w:r w:rsidRPr="00DB5D0D">
        <w:rPr>
          <w:rFonts w:ascii="Times New Roman" w:hAnsi="Times New Roman"/>
          <w:color w:val="000000" w:themeColor="text1"/>
          <w:sz w:val="16"/>
          <w:szCs w:val="16"/>
        </w:rPr>
        <w:softHyphen/>
        <w:t>таты не были зарегистрированы как мировые рекорды, время для этого было неподходящее — в Европе уже шли военные действия, началась Вто</w:t>
      </w:r>
      <w:r w:rsidRPr="00DB5D0D">
        <w:rPr>
          <w:rFonts w:ascii="Times New Roman" w:hAnsi="Times New Roman"/>
          <w:color w:val="000000" w:themeColor="text1"/>
          <w:sz w:val="16"/>
          <w:szCs w:val="16"/>
        </w:rPr>
        <w:softHyphen/>
        <w:t>рая мировая война (11401).</w:t>
      </w:r>
    </w:p>
    <w:p w14:paraId="1F1EA5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E9560F6"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12–13 июня (ночь) 1940 бомбардировщик французской морской авиации SNCAC NC.223 Жюль Верн бомбит промышленный комплекс к югу от Венеции, Италия (20795).</w:t>
      </w:r>
    </w:p>
    <w:p w14:paraId="63B58F7D" w14:textId="77777777" w:rsidR="0074364A" w:rsidRPr="00DB5D0D" w:rsidRDefault="0074364A" w:rsidP="00DB5D0D">
      <w:pPr>
        <w:spacing w:after="0" w:line="240" w:lineRule="auto"/>
        <w:jc w:val="both"/>
        <w:rPr>
          <w:rFonts w:ascii="Times New Roman" w:hAnsi="Times New Roman"/>
          <w:color w:val="0070C0"/>
          <w:sz w:val="16"/>
          <w:szCs w:val="16"/>
        </w:rPr>
      </w:pPr>
    </w:p>
    <w:p w14:paraId="75B3BB9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 xml:space="preserve">12 июня 1940 английская авиация совершила первые налеты на Италию </w:t>
      </w:r>
      <w:r w:rsidRPr="00DB5D0D">
        <w:rPr>
          <w:rFonts w:ascii="Times New Roman" w:hAnsi="Times New Roman"/>
          <w:color w:val="000000" w:themeColor="text1"/>
          <w:sz w:val="16"/>
          <w:szCs w:val="16"/>
          <w:lang w:val="en-US"/>
        </w:rPr>
        <w:t>(</w:t>
      </w:r>
      <w:r w:rsidRPr="00DB5D0D">
        <w:rPr>
          <w:rFonts w:ascii="Times New Roman" w:hAnsi="Times New Roman"/>
          <w:color w:val="000000" w:themeColor="text1"/>
          <w:sz w:val="16"/>
          <w:szCs w:val="16"/>
        </w:rPr>
        <w:t>наМиланиГеную</w:t>
      </w:r>
      <w:r w:rsidRPr="00DB5D0D">
        <w:rPr>
          <w:rFonts w:ascii="Times New Roman" w:hAnsi="Times New Roman"/>
          <w:color w:val="000000" w:themeColor="text1"/>
          <w:sz w:val="16"/>
          <w:szCs w:val="16"/>
          <w:lang w:val="en-US"/>
        </w:rPr>
        <w:t>) (4962).</w:t>
      </w:r>
    </w:p>
    <w:p w14:paraId="0B31511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lang w:val="en-US"/>
        </w:rPr>
      </w:pPr>
    </w:p>
    <w:p w14:paraId="7E00140D"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12th, 1940: On orders from General Weygand, C-in-C of the French Army, the French forces opposing the advance of Heeresgruppe A withdraw to the south, offering little resistance. The Soviet Union issues an ultimatum to Lithuania which is soon followed by the occupation of the country by the Red Army (3819).</w:t>
      </w:r>
    </w:p>
    <w:p w14:paraId="640E21D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D3638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по приказу г Вейганда, командующего войсками Франции, французские войска отступили на юг (3819).</w:t>
      </w:r>
    </w:p>
    <w:p w14:paraId="74192A6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47D410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немцы захватили Реймс и Руан (Франция) (4962), немецкие войска форсировали французскую реку Сена (4963 ).</w:t>
      </w:r>
    </w:p>
    <w:p w14:paraId="5434BAF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5F5F851" w14:textId="77777777" w:rsidR="00423D34" w:rsidRPr="00DB5D0D" w:rsidRDefault="00423D34"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12 июня</w:t>
      </w:r>
      <w:r w:rsidRPr="00DB5D0D">
        <w:rPr>
          <w:rFonts w:ascii="Times New Roman" w:hAnsi="Times New Roman"/>
          <w:color w:val="000000" w:themeColor="text1"/>
          <w:sz w:val="16"/>
          <w:szCs w:val="16"/>
        </w:rPr>
        <w:t xml:space="preserve"> в 1940 году немцы захватили Реймс и Руан (Франция)</w:t>
      </w:r>
    </w:p>
    <w:p w14:paraId="4843F9B1" w14:textId="77777777" w:rsidR="00423D34" w:rsidRPr="00DB5D0D" w:rsidRDefault="00423D34" w:rsidP="00DB5D0D">
      <w:pPr>
        <w:spacing w:after="0" w:line="240" w:lineRule="auto"/>
        <w:jc w:val="both"/>
        <w:rPr>
          <w:rFonts w:ascii="Times New Roman" w:hAnsi="Times New Roman"/>
          <w:bCs/>
          <w:color w:val="000000" w:themeColor="text1"/>
          <w:sz w:val="16"/>
          <w:szCs w:val="16"/>
        </w:rPr>
      </w:pPr>
    </w:p>
    <w:p w14:paraId="72CED2F7"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12 июня</w:t>
      </w:r>
      <w:r w:rsidRPr="00DB5D0D">
        <w:rPr>
          <w:rFonts w:ascii="Times New Roman" w:hAnsi="Times New Roman"/>
          <w:color w:val="000000" w:themeColor="text1"/>
          <w:sz w:val="16"/>
          <w:szCs w:val="16"/>
        </w:rPr>
        <w:t xml:space="preserve"> в 1940 году немецкие войска форсировали французскую реку Сена (14920).</w:t>
      </w:r>
    </w:p>
    <w:p w14:paraId="03803B81"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29DD4D8E"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июня 1940 г. Париж был объявлен «открытым городом». 14 июня 1940 г. утром Париж без боя занят германскими войсками. Кампания 1940 г. во Франции...</w:t>
      </w:r>
    </w:p>
    <w:p w14:paraId="29F504EC"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Потери германской армии: 27 тыс. убитых, 111 тыс. раненых и 18,3 тыс. пропавших без вести. Потери союзников составили 112 тыс. убитыми, 245 тыс. ранеными и 1,5 млн. пленными. Это была третья большая победа немцев в ходе Второй мировой войны после разгрома Польши и оккупации Дании и Норвегии (21190).</w:t>
      </w:r>
    </w:p>
    <w:p w14:paraId="37CA9E63" w14:textId="77777777" w:rsidR="0074364A" w:rsidRPr="00DB5D0D" w:rsidRDefault="0074364A" w:rsidP="00DB5D0D">
      <w:pPr>
        <w:spacing w:after="0" w:line="240" w:lineRule="auto"/>
        <w:jc w:val="both"/>
        <w:rPr>
          <w:rFonts w:ascii="Times New Roman" w:hAnsi="Times New Roman"/>
          <w:color w:val="0070C0"/>
          <w:sz w:val="16"/>
          <w:szCs w:val="16"/>
        </w:rPr>
      </w:pPr>
    </w:p>
    <w:p w14:paraId="69777B62"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12 июня</w:t>
      </w:r>
      <w:r w:rsidRPr="00DB5D0D">
        <w:rPr>
          <w:rFonts w:ascii="Times New Roman" w:hAnsi="Times New Roman"/>
          <w:color w:val="000000" w:themeColor="text1"/>
          <w:sz w:val="16"/>
          <w:szCs w:val="16"/>
        </w:rPr>
        <w:t xml:space="preserve"> в 1940 году на первой конфертенции стран-союзниц в Лондоне участники декларируют верность принципу взаимопомощи (14920).</w:t>
      </w:r>
    </w:p>
    <w:p w14:paraId="27C54F4C"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577FD147" w14:textId="77777777" w:rsidR="00423D34" w:rsidRPr="00DB5D0D" w:rsidRDefault="00423D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12 июня</w:t>
      </w:r>
      <w:r w:rsidRPr="00DB5D0D">
        <w:rPr>
          <w:rFonts w:ascii="Times New Roman" w:hAnsi="Times New Roman"/>
          <w:color w:val="000000" w:themeColor="text1"/>
          <w:sz w:val="16"/>
          <w:szCs w:val="16"/>
        </w:rPr>
        <w:t xml:space="preserve"> в 1940 году Испания объявила себя невоюющей страной (14920).</w:t>
      </w:r>
    </w:p>
    <w:p w14:paraId="5D8C733F" w14:textId="77777777" w:rsidR="00423D34" w:rsidRPr="00DB5D0D" w:rsidRDefault="00423D34" w:rsidP="00DB5D0D">
      <w:pPr>
        <w:spacing w:after="0" w:line="240" w:lineRule="auto"/>
        <w:jc w:val="both"/>
        <w:rPr>
          <w:rFonts w:ascii="Times New Roman" w:hAnsi="Times New Roman"/>
          <w:color w:val="000000" w:themeColor="text1"/>
          <w:sz w:val="16"/>
          <w:szCs w:val="16"/>
        </w:rPr>
      </w:pPr>
    </w:p>
    <w:p w14:paraId="702E2B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франкистское правительство объявило Испанию невоюющей страной (2443,416).</w:t>
      </w:r>
    </w:p>
    <w:p w14:paraId="364D717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07E81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Испания объявила себя «невоюющей страной» (4962).</w:t>
      </w:r>
    </w:p>
    <w:p w14:paraId="4E5F4A6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8B5B3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Япония и Таиланд заключили союзнический договор (3186).</w:t>
      </w:r>
    </w:p>
    <w:p w14:paraId="2DA963D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6798D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F5FBF0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73170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вышел приказ НКАП N 282сс о постройке ближнего бомбардировщика с мотором М-105 ТК-2 (1070).</w:t>
      </w:r>
    </w:p>
    <w:p w14:paraId="3EB3C8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был ББ с М-105 на трехколесном шасси конструкции Грушина (1279) в исполнение постановления КО N 343 (245 - 1302,354) о постройке 2 экз. одноместного ближнего бомбардировщика конструкции Грушина МАИ. 1-й экз. - М-105ТК - к августу 1940, 2-го - к сентябрю 1940 (822).</w:t>
      </w:r>
    </w:p>
    <w:p w14:paraId="12326A4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22F9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была напечатана справка по состоянию на 10 июня 1940 по состоянию работ по опытным самолетам (2090,154).</w:t>
      </w:r>
    </w:p>
    <w:p w14:paraId="5FB7A0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опытному самолету ОБШ</w:t>
      </w:r>
    </w:p>
    <w:p w14:paraId="22A112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П.О.С.</w:t>
      </w:r>
    </w:p>
    <w:p w14:paraId="1847B3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289</w:t>
      </w:r>
    </w:p>
    <w:p w14:paraId="11AD7B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ОБШ - одноместный бронированный штурмовик с одним мотором М-71, низкоплан смешанной конструкции.</w:t>
      </w:r>
    </w:p>
    <w:p w14:paraId="476C8A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Постройка производится на основании постановления Правительства N 107сс</w:t>
      </w:r>
    </w:p>
    <w:p w14:paraId="2A19C1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 двухлонжеронное, состоит из консолей и центроплана. Передний лонжерон имеет тавровые, хромансиливые пояса. Задний - одностенный, из листового дюраля.</w:t>
      </w:r>
    </w:p>
    <w:p w14:paraId="392894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 деревянный</w:t>
      </w:r>
    </w:p>
    <w:p w14:paraId="64CAF7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убирающиеся, одностоечные</w:t>
      </w:r>
    </w:p>
    <w:p w14:paraId="5995C8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Рули и элероны - дюралевые, обшиты полотном</w:t>
      </w:r>
    </w:p>
    <w:p w14:paraId="62384B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- 4хШКАС в крыле с 2600 п, 2хШКАС синхронных с 1400 п</w:t>
      </w:r>
    </w:p>
    <w:p w14:paraId="24BF12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- 440, от 1 до 100 кг</w:t>
      </w:r>
    </w:p>
    <w:p w14:paraId="513EBE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М.б. поставлены 2хВАП-200 или 8хРС-82</w:t>
      </w:r>
    </w:p>
    <w:p w14:paraId="6F1FB0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на выполнение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7DF3ECAD" w14:textId="77777777" w:rsidTr="009223E5">
        <w:tc>
          <w:tcPr>
            <w:tcW w:w="2299" w:type="dxa"/>
            <w:tcBorders>
              <w:top w:val="single" w:sz="12" w:space="0" w:color="auto"/>
            </w:tcBorders>
          </w:tcPr>
          <w:p w14:paraId="2DBC99A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376051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1 </w:t>
            </w:r>
          </w:p>
        </w:tc>
        <w:tc>
          <w:tcPr>
            <w:tcW w:w="2299" w:type="dxa"/>
            <w:tcBorders>
              <w:top w:val="single" w:sz="12" w:space="0" w:color="auto"/>
            </w:tcBorders>
          </w:tcPr>
          <w:p w14:paraId="052ED1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2 </w:t>
            </w:r>
          </w:p>
        </w:tc>
        <w:tc>
          <w:tcPr>
            <w:tcW w:w="2299" w:type="dxa"/>
            <w:tcBorders>
              <w:top w:val="single" w:sz="12" w:space="0" w:color="auto"/>
            </w:tcBorders>
          </w:tcPr>
          <w:p w14:paraId="702EE0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 гос.</w:t>
            </w:r>
          </w:p>
        </w:tc>
        <w:tc>
          <w:tcPr>
            <w:tcW w:w="2299" w:type="dxa"/>
            <w:tcBorders>
              <w:top w:val="single" w:sz="12" w:space="0" w:color="auto"/>
            </w:tcBorders>
          </w:tcPr>
          <w:p w14:paraId="51672B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3</w:t>
            </w:r>
          </w:p>
        </w:tc>
      </w:tr>
      <w:tr w:rsidR="007D5DF8" w:rsidRPr="00DB5D0D" w14:paraId="217B9FD3" w14:textId="77777777" w:rsidTr="009223E5">
        <w:tc>
          <w:tcPr>
            <w:tcW w:w="2299" w:type="dxa"/>
          </w:tcPr>
          <w:p w14:paraId="11CB97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w:t>
            </w:r>
          </w:p>
        </w:tc>
        <w:tc>
          <w:tcPr>
            <w:tcW w:w="2299" w:type="dxa"/>
          </w:tcPr>
          <w:p w14:paraId="4A77E8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07.40</w:t>
            </w:r>
          </w:p>
        </w:tc>
        <w:tc>
          <w:tcPr>
            <w:tcW w:w="2299" w:type="dxa"/>
          </w:tcPr>
          <w:p w14:paraId="751398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2299" w:type="dxa"/>
          </w:tcPr>
          <w:p w14:paraId="0BD744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15.11.40</w:t>
            </w:r>
          </w:p>
        </w:tc>
        <w:tc>
          <w:tcPr>
            <w:tcW w:w="2299" w:type="dxa"/>
          </w:tcPr>
          <w:p w14:paraId="5C6ECB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01.41</w:t>
            </w:r>
          </w:p>
        </w:tc>
      </w:tr>
      <w:tr w:rsidR="007D5DF8" w:rsidRPr="00DB5D0D" w14:paraId="4E463FF9" w14:textId="77777777" w:rsidTr="009223E5">
        <w:tc>
          <w:tcPr>
            <w:tcW w:w="2299" w:type="dxa"/>
            <w:tcBorders>
              <w:bottom w:val="single" w:sz="12" w:space="0" w:color="auto"/>
            </w:tcBorders>
          </w:tcPr>
          <w:p w14:paraId="1EAF25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w:t>
            </w:r>
          </w:p>
        </w:tc>
        <w:tc>
          <w:tcPr>
            <w:tcW w:w="2299" w:type="dxa"/>
            <w:tcBorders>
              <w:bottom w:val="single" w:sz="12" w:space="0" w:color="auto"/>
            </w:tcBorders>
          </w:tcPr>
          <w:p w14:paraId="4042C8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08.40</w:t>
            </w:r>
          </w:p>
        </w:tc>
        <w:tc>
          <w:tcPr>
            <w:tcW w:w="2299" w:type="dxa"/>
            <w:tcBorders>
              <w:bottom w:val="single" w:sz="12" w:space="0" w:color="auto"/>
            </w:tcBorders>
          </w:tcPr>
          <w:p w14:paraId="5D0780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15.10.40</w:t>
            </w:r>
          </w:p>
        </w:tc>
        <w:tc>
          <w:tcPr>
            <w:tcW w:w="2299" w:type="dxa"/>
            <w:tcBorders>
              <w:bottom w:val="single" w:sz="12" w:space="0" w:color="auto"/>
            </w:tcBorders>
          </w:tcPr>
          <w:p w14:paraId="03E259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15.12.40</w:t>
            </w:r>
          </w:p>
        </w:tc>
        <w:tc>
          <w:tcPr>
            <w:tcW w:w="2299" w:type="dxa"/>
            <w:tcBorders>
              <w:bottom w:val="single" w:sz="12" w:space="0" w:color="auto"/>
            </w:tcBorders>
          </w:tcPr>
          <w:p w14:paraId="1D9DEA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02.41</w:t>
            </w:r>
          </w:p>
        </w:tc>
      </w:tr>
    </w:tbl>
    <w:p w14:paraId="78110A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40CAB3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Готовность чертежей - 40% В цехах ведется заготовка шаблонов, изготовление механических деталей, заготовка отдельных деталей.</w:t>
      </w:r>
    </w:p>
    <w:p w14:paraId="3B4961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Техническая готовность по производству - 5%</w:t>
      </w:r>
    </w:p>
    <w:p w14:paraId="0935F6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Отставание производства происходит из-за: медленного разворачивания опытных цехов, неукомплектованность оборудования, недостатков РС и инструмента.</w:t>
      </w:r>
    </w:p>
    <w:p w14:paraId="7639C5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Необходимые мероприятия</w:t>
      </w:r>
    </w:p>
    <w:p w14:paraId="216325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Выделить средства в объеме 200-300 тыс. для переоборудования цехов завода 289, не ожидая утверждения генеральной сметы.</w:t>
      </w:r>
    </w:p>
    <w:p w14:paraId="73B28E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Доукомплектовать завод недостающим мех. оборудованием</w:t>
      </w:r>
    </w:p>
    <w:p w14:paraId="241D0D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Доукомплектовать цеха режущим и мерительным инструментов</w:t>
      </w:r>
    </w:p>
    <w:p w14:paraId="099E25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Доукомплектовать завод дюральщиками-медниками - 11 и столярами - 34 4 и 6 разряда (2090,154).</w:t>
      </w:r>
    </w:p>
    <w:p w14:paraId="130058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опытному самолету ББ-3 М-90:</w:t>
      </w:r>
    </w:p>
    <w:p w14:paraId="0F4E80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П.О.С.</w:t>
      </w:r>
    </w:p>
    <w:p w14:paraId="51A6B1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135</w:t>
      </w:r>
    </w:p>
    <w:p w14:paraId="02FB68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ББ-3 - одномоторный, двухместный низкоплан смешанной конструкции с М-90.</w:t>
      </w:r>
    </w:p>
    <w:p w14:paraId="01D986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 ближний бомбардировщик-штурмовик</w:t>
      </w:r>
    </w:p>
    <w:p w14:paraId="111286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Строится на основании постановления Правительства 115 сс.</w:t>
      </w:r>
    </w:p>
    <w:p w14:paraId="0EC799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 состоит из отъемных консолей и центроплана. Передний лонжерон - стальной, таврового сечения их хромансилевой стали. Задний лонжерон - одностеночный из листового дюраля. Обшивка крыла - дюралевая.</w:t>
      </w:r>
    </w:p>
    <w:p w14:paraId="1A6273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 деревянный</w:t>
      </w:r>
    </w:p>
    <w:p w14:paraId="4E0601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убирающиеся, одностоечные</w:t>
      </w:r>
    </w:p>
    <w:p w14:paraId="576972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Рули и элероны - дюралевые, с полотняной обшивкой</w:t>
      </w:r>
    </w:p>
    <w:p w14:paraId="035B09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- 4хШКАС в крыле с 2600 п, 1хШКАС на турели, 1хШКАС в люке с 4000 п, 1350 п и 500 п</w:t>
      </w:r>
    </w:p>
    <w:p w14:paraId="56985F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- 140-880 в зависимости от калибров, от 1 до 500 кг</w:t>
      </w:r>
    </w:p>
    <w:p w14:paraId="2E9A56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М.б. поставлены 2хВАП-200</w:t>
      </w:r>
    </w:p>
    <w:p w14:paraId="720839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на выполнение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7A5755A5" w14:textId="77777777" w:rsidTr="009223E5">
        <w:tc>
          <w:tcPr>
            <w:tcW w:w="2299" w:type="dxa"/>
            <w:tcBorders>
              <w:top w:val="single" w:sz="12" w:space="0" w:color="auto"/>
            </w:tcBorders>
          </w:tcPr>
          <w:p w14:paraId="4092943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524C6B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1 </w:t>
            </w:r>
          </w:p>
        </w:tc>
        <w:tc>
          <w:tcPr>
            <w:tcW w:w="2299" w:type="dxa"/>
            <w:tcBorders>
              <w:top w:val="single" w:sz="12" w:space="0" w:color="auto"/>
            </w:tcBorders>
          </w:tcPr>
          <w:p w14:paraId="58C21A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2 </w:t>
            </w:r>
          </w:p>
        </w:tc>
        <w:tc>
          <w:tcPr>
            <w:tcW w:w="2299" w:type="dxa"/>
            <w:tcBorders>
              <w:top w:val="single" w:sz="12" w:space="0" w:color="auto"/>
            </w:tcBorders>
          </w:tcPr>
          <w:p w14:paraId="2990BA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 гос.</w:t>
            </w:r>
          </w:p>
        </w:tc>
        <w:tc>
          <w:tcPr>
            <w:tcW w:w="2299" w:type="dxa"/>
            <w:tcBorders>
              <w:top w:val="single" w:sz="12" w:space="0" w:color="auto"/>
            </w:tcBorders>
          </w:tcPr>
          <w:p w14:paraId="3059A6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3</w:t>
            </w:r>
          </w:p>
        </w:tc>
      </w:tr>
      <w:tr w:rsidR="007D5DF8" w:rsidRPr="00DB5D0D" w14:paraId="11E5F380" w14:textId="77777777" w:rsidTr="009223E5">
        <w:tc>
          <w:tcPr>
            <w:tcW w:w="2299" w:type="dxa"/>
          </w:tcPr>
          <w:p w14:paraId="037DA6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w:t>
            </w:r>
          </w:p>
        </w:tc>
        <w:tc>
          <w:tcPr>
            <w:tcW w:w="2299" w:type="dxa"/>
          </w:tcPr>
          <w:p w14:paraId="067338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04.40</w:t>
            </w:r>
          </w:p>
        </w:tc>
        <w:tc>
          <w:tcPr>
            <w:tcW w:w="2299" w:type="dxa"/>
          </w:tcPr>
          <w:p w14:paraId="0D408A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2299" w:type="dxa"/>
          </w:tcPr>
          <w:p w14:paraId="00168E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01.09.40</w:t>
            </w:r>
          </w:p>
        </w:tc>
        <w:tc>
          <w:tcPr>
            <w:tcW w:w="2299" w:type="dxa"/>
          </w:tcPr>
          <w:p w14:paraId="7C66E1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w:t>
            </w:r>
          </w:p>
        </w:tc>
      </w:tr>
      <w:tr w:rsidR="007D5DF8" w:rsidRPr="00DB5D0D" w14:paraId="60D530D7" w14:textId="77777777" w:rsidTr="009223E5">
        <w:tc>
          <w:tcPr>
            <w:tcW w:w="2299" w:type="dxa"/>
            <w:tcBorders>
              <w:bottom w:val="single" w:sz="12" w:space="0" w:color="auto"/>
            </w:tcBorders>
          </w:tcPr>
          <w:p w14:paraId="3DBB2A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w:t>
            </w:r>
          </w:p>
        </w:tc>
        <w:tc>
          <w:tcPr>
            <w:tcW w:w="2299" w:type="dxa"/>
            <w:tcBorders>
              <w:bottom w:val="single" w:sz="12" w:space="0" w:color="auto"/>
            </w:tcBorders>
          </w:tcPr>
          <w:p w14:paraId="50538E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04.40</w:t>
            </w:r>
          </w:p>
        </w:tc>
        <w:tc>
          <w:tcPr>
            <w:tcW w:w="2299" w:type="dxa"/>
            <w:tcBorders>
              <w:bottom w:val="single" w:sz="12" w:space="0" w:color="auto"/>
            </w:tcBorders>
          </w:tcPr>
          <w:p w14:paraId="3081BD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15.07.40</w:t>
            </w:r>
          </w:p>
        </w:tc>
        <w:tc>
          <w:tcPr>
            <w:tcW w:w="2299" w:type="dxa"/>
            <w:tcBorders>
              <w:bottom w:val="single" w:sz="12" w:space="0" w:color="auto"/>
            </w:tcBorders>
          </w:tcPr>
          <w:p w14:paraId="7C43FC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2299" w:type="dxa"/>
            <w:tcBorders>
              <w:bottom w:val="single" w:sz="12" w:space="0" w:color="auto"/>
            </w:tcBorders>
          </w:tcPr>
          <w:p w14:paraId="572C7D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w:t>
            </w:r>
          </w:p>
        </w:tc>
      </w:tr>
    </w:tbl>
    <w:p w14:paraId="6DBF8B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685042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Готовность чертежей - 90%. Макет утвержден.</w:t>
      </w:r>
    </w:p>
    <w:p w14:paraId="6A10F2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производстве изготавливаются для 1-го экз. и 2-го экз.: моторамы, центропланы, крылья, отдельные детали шасси и ВМГ. Фюзеляж используется серийный.</w:t>
      </w:r>
    </w:p>
    <w:p w14:paraId="272BDE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Готовность в производстве ориентировочно - 50%</w:t>
      </w:r>
    </w:p>
    <w:p w14:paraId="590556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задержкой в изготовлении чертежей и деталей в производстве является отсутствие М-90.</w:t>
      </w:r>
    </w:p>
    <w:p w14:paraId="3CCBF5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завод-поставщик имеет указание о подаче одного собранного мотор-макета М-90 (2090,156).</w:t>
      </w:r>
    </w:p>
    <w:p w14:paraId="779803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опытному самолету 103 2АМ-35 и 2М-120ТК-2:</w:t>
      </w:r>
    </w:p>
    <w:p w14:paraId="1DCD36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ОТБ НКВД</w:t>
      </w:r>
    </w:p>
    <w:p w14:paraId="64B2A2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156</w:t>
      </w:r>
    </w:p>
    <w:p w14:paraId="3416BB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103 - пикирующий Б, свободнонесущий моноплан, с 2 моторами, подвешенными под крыльями у разъемов консолей.</w:t>
      </w:r>
    </w:p>
    <w:p w14:paraId="67347C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Имеет убирающиеся двухколесные шасси и разнесенные кили хвостового оперения.</w:t>
      </w:r>
    </w:p>
    <w:p w14:paraId="6396D2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самолета - цельнометаллическая</w:t>
      </w:r>
    </w:p>
    <w:p w14:paraId="2C2463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 кессонного типа</w:t>
      </w:r>
    </w:p>
    <w:p w14:paraId="0B1CDC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- 2хШВАК в крыле, 4хШКАС</w:t>
      </w:r>
    </w:p>
    <w:p w14:paraId="6D510E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- 1000 или 2000 в перегруз</w:t>
      </w:r>
    </w:p>
    <w:p w14:paraId="59A921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ЛД самолета, запроектированные и утвержденные постановлением Правительства:</w:t>
      </w:r>
    </w:p>
    <w:p w14:paraId="48856D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АМ-35 на 7000 макс. скорость 560</w:t>
      </w:r>
    </w:p>
    <w:p w14:paraId="41CACE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М-120 на 7000 макс. скорость 625</w:t>
      </w:r>
    </w:p>
    <w:p w14:paraId="1C5AC3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М-120ТК на 12000 макс. скорость 720</w:t>
      </w:r>
    </w:p>
    <w:p w14:paraId="60FECB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- 1000 км</w:t>
      </w:r>
    </w:p>
    <w:p w14:paraId="29C917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- 10000 с АМ-35 и 13000 с М-120 без ТК</w:t>
      </w:r>
    </w:p>
    <w:p w14:paraId="228AA5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составлен, но не оформлен и не разослан. Заключение по эскизному проекту - не давалось.</w:t>
      </w:r>
    </w:p>
    <w:p w14:paraId="3BEFF0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изготовлен и утвержден комиссией 21 апреля 1940.</w:t>
      </w:r>
    </w:p>
    <w:p w14:paraId="7EF355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Разрабатываются эскизы для постройки второго рабочего макета</w:t>
      </w:r>
    </w:p>
    <w:p w14:paraId="581F58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со сроками подачи чертежей производству составлен и сдан заводу 156. Окончательный срок подачи чертежей производству по плану установлены:</w:t>
      </w:r>
    </w:p>
    <w:p w14:paraId="459161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изготовление агрегатов для статиспытаний - 25 августа 1940</w:t>
      </w:r>
    </w:p>
    <w:p w14:paraId="756326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изготовление 1-го летного экз. - 25 сентября 1940</w:t>
      </w:r>
    </w:p>
    <w:p w14:paraId="77D0D1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изготовление 2-го и 3-го летных экз. намечается дать те же чертежи, но с внесением изменений, выявленных при постройке 1-го. План подачи чертежей с заводом 156 не согласован.</w:t>
      </w:r>
    </w:p>
    <w:p w14:paraId="20F013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данным срокам подачи чертежей выпустить самолет в срок, установленный Правительством, будет затруднительно.</w:t>
      </w:r>
    </w:p>
    <w:p w14:paraId="352F79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установлены следующие сроки: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3833"/>
      </w:tblGrid>
      <w:tr w:rsidR="007D5DF8" w:rsidRPr="00DB5D0D" w14:paraId="369A93B3" w14:textId="77777777" w:rsidTr="009223E5">
        <w:tc>
          <w:tcPr>
            <w:tcW w:w="3833" w:type="dxa"/>
            <w:tcBorders>
              <w:top w:val="single" w:sz="12" w:space="0" w:color="auto"/>
            </w:tcBorders>
          </w:tcPr>
          <w:p w14:paraId="7950A4E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33" w:type="dxa"/>
            <w:tcBorders>
              <w:top w:val="single" w:sz="12" w:space="0" w:color="auto"/>
            </w:tcBorders>
          </w:tcPr>
          <w:p w14:paraId="25D224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1 </w:t>
            </w:r>
          </w:p>
        </w:tc>
        <w:tc>
          <w:tcPr>
            <w:tcW w:w="3833" w:type="dxa"/>
            <w:tcBorders>
              <w:top w:val="single" w:sz="12" w:space="0" w:color="auto"/>
            </w:tcBorders>
          </w:tcPr>
          <w:p w14:paraId="09CA72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 гос.</w:t>
            </w:r>
          </w:p>
        </w:tc>
      </w:tr>
      <w:tr w:rsidR="007D5DF8" w:rsidRPr="00DB5D0D" w14:paraId="28DF3423" w14:textId="77777777" w:rsidTr="009223E5">
        <w:tc>
          <w:tcPr>
            <w:tcW w:w="3833" w:type="dxa"/>
          </w:tcPr>
          <w:p w14:paraId="6320FE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w:t>
            </w:r>
          </w:p>
        </w:tc>
        <w:tc>
          <w:tcPr>
            <w:tcW w:w="3833" w:type="dxa"/>
          </w:tcPr>
          <w:p w14:paraId="03C262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01.09.40</w:t>
            </w:r>
          </w:p>
        </w:tc>
        <w:tc>
          <w:tcPr>
            <w:tcW w:w="3833" w:type="dxa"/>
          </w:tcPr>
          <w:p w14:paraId="535617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r>
      <w:tr w:rsidR="007D5DF8" w:rsidRPr="00DB5D0D" w14:paraId="26066CEB" w14:textId="77777777" w:rsidTr="009223E5">
        <w:tc>
          <w:tcPr>
            <w:tcW w:w="3833" w:type="dxa"/>
          </w:tcPr>
          <w:p w14:paraId="15DFDF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w:t>
            </w:r>
          </w:p>
        </w:tc>
        <w:tc>
          <w:tcPr>
            <w:tcW w:w="3833" w:type="dxa"/>
          </w:tcPr>
          <w:p w14:paraId="489E96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01.11.40</w:t>
            </w:r>
          </w:p>
        </w:tc>
        <w:tc>
          <w:tcPr>
            <w:tcW w:w="3833" w:type="dxa"/>
          </w:tcPr>
          <w:p w14:paraId="0706AC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01.03.41</w:t>
            </w:r>
          </w:p>
        </w:tc>
      </w:tr>
      <w:tr w:rsidR="007D5DF8" w:rsidRPr="00DB5D0D" w14:paraId="47DBAE6E" w14:textId="77777777" w:rsidTr="009223E5">
        <w:tc>
          <w:tcPr>
            <w:tcW w:w="3833" w:type="dxa"/>
            <w:tcBorders>
              <w:bottom w:val="single" w:sz="12" w:space="0" w:color="auto"/>
            </w:tcBorders>
          </w:tcPr>
          <w:p w14:paraId="5F8D41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3-й</w:t>
            </w:r>
          </w:p>
        </w:tc>
        <w:tc>
          <w:tcPr>
            <w:tcW w:w="3833" w:type="dxa"/>
            <w:tcBorders>
              <w:bottom w:val="single" w:sz="12" w:space="0" w:color="auto"/>
            </w:tcBorders>
          </w:tcPr>
          <w:p w14:paraId="491D36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c>
          <w:tcPr>
            <w:tcW w:w="3833" w:type="dxa"/>
            <w:tcBorders>
              <w:bottom w:val="single" w:sz="12" w:space="0" w:color="auto"/>
            </w:tcBorders>
          </w:tcPr>
          <w:p w14:paraId="00B557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01.05.41</w:t>
            </w:r>
          </w:p>
        </w:tc>
      </w:tr>
    </w:tbl>
    <w:p w14:paraId="51BF82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Отдельные чертежи, сданные производству, находятся в технологической разработке.</w:t>
      </w:r>
    </w:p>
    <w:p w14:paraId="3B0FE3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сданным чертежам в июне, будут начаты в производстве с 1 июля 1940.</w:t>
      </w:r>
    </w:p>
    <w:p w14:paraId="6BA5A6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проектированию и изготовлению оснастки в производстве начаты с мая с.г. Изготовлены 45 наименований приспособлений, шаблонов, плазов.</w:t>
      </w:r>
    </w:p>
    <w:p w14:paraId="4D026F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Необходимые мероприятия</w:t>
      </w:r>
    </w:p>
    <w:p w14:paraId="718D95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заводы-смежники обеспечить завод 156 всеми материалами, полуфабрикатами, готовыми изделиями, приборами и вооружением - для выпуска самолета с производства в срок, установленный Правительством.</w:t>
      </w:r>
    </w:p>
    <w:p w14:paraId="5FB1AE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Подать чертежи производству раньше сроков, установленных ОТБ НКВД.</w:t>
      </w:r>
    </w:p>
    <w:p w14:paraId="3E7313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Выделить заводу 156 дополнительные мех. оборудование, согласно заявок.</w:t>
      </w:r>
    </w:p>
    <w:p w14:paraId="5FCA1A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производственные Главки НКАП практиковать широкое кооперирование по изготовлению отдельных изделий и агрегатов, идущих на самолет (2090,159).</w:t>
      </w:r>
    </w:p>
    <w:p w14:paraId="6775C0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на 10 июня с.г. опытного самолета Б</w:t>
      </w:r>
    </w:p>
    <w:p w14:paraId="2B6A4A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А.А.А.</w:t>
      </w:r>
    </w:p>
    <w:p w14:paraId="27A7D5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22</w:t>
      </w:r>
    </w:p>
    <w:p w14:paraId="6CC2D8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 - ББ с 2М-105ТК-2.</w:t>
      </w:r>
    </w:p>
    <w:p w14:paraId="09EDAA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 состоит из 3 частей: а) центроплана, имеющего стальные швеллерные полки и дюралевую обшивку; б) консолей, обшитых дюралем и частично бакелитовой фанерой и имеющих двутавровые лонжероны с полками из прессованных уголков.</w:t>
      </w:r>
    </w:p>
    <w:p w14:paraId="7DB84E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 цельнометаллический, дюралевый монокок, состоит из 3-х частей</w:t>
      </w:r>
    </w:p>
    <w:p w14:paraId="22B177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убирающиеся</w:t>
      </w:r>
    </w:p>
    <w:p w14:paraId="0D41AD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Оперение - дюралевое двухкилевое</w:t>
      </w:r>
    </w:p>
    <w:p w14:paraId="2B9DB5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- 3 чел.</w:t>
      </w:r>
    </w:p>
    <w:p w14:paraId="5C46BA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УШ в яблоке вперед, УШ или БС назад.</w:t>
      </w:r>
    </w:p>
    <w:p w14:paraId="2065AD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- 600 кг.</w:t>
      </w:r>
    </w:p>
    <w:p w14:paraId="77CF5A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на выполнение работ по этапам: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0EB16CF4" w14:textId="77777777" w:rsidTr="009223E5">
        <w:tc>
          <w:tcPr>
            <w:tcW w:w="2299" w:type="dxa"/>
            <w:tcBorders>
              <w:top w:val="single" w:sz="12" w:space="0" w:color="auto"/>
            </w:tcBorders>
          </w:tcPr>
          <w:p w14:paraId="68C6700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1FC516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1 </w:t>
            </w:r>
          </w:p>
        </w:tc>
        <w:tc>
          <w:tcPr>
            <w:tcW w:w="2299" w:type="dxa"/>
            <w:tcBorders>
              <w:top w:val="single" w:sz="12" w:space="0" w:color="auto"/>
            </w:tcBorders>
          </w:tcPr>
          <w:p w14:paraId="66F7A2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2 </w:t>
            </w:r>
          </w:p>
        </w:tc>
        <w:tc>
          <w:tcPr>
            <w:tcW w:w="2299" w:type="dxa"/>
            <w:tcBorders>
              <w:top w:val="single" w:sz="12" w:space="0" w:color="auto"/>
            </w:tcBorders>
          </w:tcPr>
          <w:p w14:paraId="451D77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 гос.</w:t>
            </w:r>
          </w:p>
        </w:tc>
        <w:tc>
          <w:tcPr>
            <w:tcW w:w="2299" w:type="dxa"/>
            <w:tcBorders>
              <w:top w:val="single" w:sz="12" w:space="0" w:color="auto"/>
            </w:tcBorders>
          </w:tcPr>
          <w:p w14:paraId="166DD5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3</w:t>
            </w:r>
          </w:p>
        </w:tc>
      </w:tr>
      <w:tr w:rsidR="007D5DF8" w:rsidRPr="00DB5D0D" w14:paraId="61C9D5AC" w14:textId="77777777" w:rsidTr="009223E5">
        <w:tc>
          <w:tcPr>
            <w:tcW w:w="2299" w:type="dxa"/>
          </w:tcPr>
          <w:p w14:paraId="47AD89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w:t>
            </w:r>
          </w:p>
        </w:tc>
        <w:tc>
          <w:tcPr>
            <w:tcW w:w="2299" w:type="dxa"/>
          </w:tcPr>
          <w:p w14:paraId="67915F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06.40</w:t>
            </w:r>
          </w:p>
        </w:tc>
        <w:tc>
          <w:tcPr>
            <w:tcW w:w="2299" w:type="dxa"/>
          </w:tcPr>
          <w:p w14:paraId="4F0E7A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2299" w:type="dxa"/>
          </w:tcPr>
          <w:p w14:paraId="796F36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15.11.40</w:t>
            </w:r>
          </w:p>
        </w:tc>
        <w:tc>
          <w:tcPr>
            <w:tcW w:w="2299" w:type="dxa"/>
          </w:tcPr>
          <w:p w14:paraId="3A942E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02.41</w:t>
            </w:r>
          </w:p>
        </w:tc>
      </w:tr>
      <w:tr w:rsidR="007D5DF8" w:rsidRPr="00DB5D0D" w14:paraId="68758E8E" w14:textId="77777777" w:rsidTr="009223E5">
        <w:tc>
          <w:tcPr>
            <w:tcW w:w="2299" w:type="dxa"/>
            <w:tcBorders>
              <w:bottom w:val="single" w:sz="12" w:space="0" w:color="auto"/>
            </w:tcBorders>
          </w:tcPr>
          <w:p w14:paraId="1716FF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w:t>
            </w:r>
          </w:p>
        </w:tc>
        <w:tc>
          <w:tcPr>
            <w:tcW w:w="2299" w:type="dxa"/>
            <w:tcBorders>
              <w:bottom w:val="single" w:sz="12" w:space="0" w:color="auto"/>
            </w:tcBorders>
          </w:tcPr>
          <w:p w14:paraId="684742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08.40</w:t>
            </w:r>
          </w:p>
        </w:tc>
        <w:tc>
          <w:tcPr>
            <w:tcW w:w="2299" w:type="dxa"/>
            <w:tcBorders>
              <w:bottom w:val="single" w:sz="12" w:space="0" w:color="auto"/>
            </w:tcBorders>
          </w:tcPr>
          <w:p w14:paraId="10D1DF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01.11.40</w:t>
            </w:r>
          </w:p>
        </w:tc>
        <w:tc>
          <w:tcPr>
            <w:tcW w:w="2299" w:type="dxa"/>
            <w:tcBorders>
              <w:bottom w:val="single" w:sz="12" w:space="0" w:color="auto"/>
            </w:tcBorders>
          </w:tcPr>
          <w:p w14:paraId="5E6D04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c>
          <w:tcPr>
            <w:tcW w:w="2299" w:type="dxa"/>
            <w:tcBorders>
              <w:bottom w:val="single" w:sz="12" w:space="0" w:color="auto"/>
            </w:tcBorders>
          </w:tcPr>
          <w:p w14:paraId="174C62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02.41</w:t>
            </w:r>
          </w:p>
        </w:tc>
      </w:tr>
    </w:tbl>
    <w:p w14:paraId="00EAD4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4BF54F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по самолету изготовлены на 90%</w:t>
      </w:r>
    </w:p>
    <w:p w14:paraId="1CF599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самолета построен и утвержден</w:t>
      </w:r>
    </w:p>
    <w:p w14:paraId="150E23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производства статиспытаний собираются в стапелях: фюзеляж, центроплан, консоли крыльев и оперение. Готовность в среднем 35% Шасси изготовлены.</w:t>
      </w:r>
    </w:p>
    <w:p w14:paraId="5A8355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первому экз. самолета: детали крыла, центроплана и фюзеляжа находятся в заготовке. Шасси изготовлено на 80% и оперение на 30%.</w:t>
      </w:r>
    </w:p>
    <w:p w14:paraId="7B83D0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второму экз. самолета работы в производстве не ведутся, т.к. вопрос о месте его постройки не решен.</w:t>
      </w:r>
    </w:p>
    <w:p w14:paraId="0ADF6D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ускорение разрешения вопроса о месте постройки 2-го экз. самолета.</w:t>
      </w:r>
    </w:p>
    <w:p w14:paraId="387D0A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Часть агрегатов для стат. испытаний и для 1-го экз. самолета изготавливаются на заводе 156 (2090,161).</w:t>
      </w:r>
    </w:p>
    <w:p w14:paraId="300EBB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отношению к самолету ОПБ</w:t>
      </w:r>
    </w:p>
    <w:p w14:paraId="402BC5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Кочеригин</w:t>
      </w:r>
    </w:p>
    <w:p w14:paraId="6A3B4A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156</w:t>
      </w:r>
    </w:p>
    <w:p w14:paraId="7FA1E1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ОПБ М-90 одноместный пикирующий бомбардировщик, низкоплан, с убирающимся шасси, смешанной конструкции.</w:t>
      </w:r>
    </w:p>
    <w:p w14:paraId="004A54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и оперение металлические, рули имеют полотняную обшивку, фюзеляж смешанной конструкции.</w:t>
      </w:r>
    </w:p>
    <w:p w14:paraId="3E9591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защищен бронированным сидением, спинкой и козырьком. Вооружение состоит из</w:t>
      </w:r>
    </w:p>
    <w:p w14:paraId="0B09DB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стрелкового в нормальном варианте:</w:t>
      </w:r>
    </w:p>
    <w:p w14:paraId="142EDF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1хБС и 150 п</w:t>
      </w:r>
    </w:p>
    <w:p w14:paraId="6534C9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и 1000 п</w:t>
      </w:r>
    </w:p>
    <w:p w14:paraId="351462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Через винт</w:t>
      </w:r>
    </w:p>
    <w:p w14:paraId="6A2064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стрелкового в перегрузочном варианте:</w:t>
      </w:r>
    </w:p>
    <w:p w14:paraId="77BDCF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 и 400</w:t>
      </w:r>
    </w:p>
    <w:p w14:paraId="47DB06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и 1500</w:t>
      </w:r>
    </w:p>
    <w:p w14:paraId="388516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бомбардировочного в нормальном варианте:</w:t>
      </w:r>
    </w:p>
    <w:p w14:paraId="64AD4E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внутри для сбрасывания с пикирования ФАБ-500 или БРАБ-500</w:t>
      </w:r>
    </w:p>
    <w:p w14:paraId="67ADCA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бомбардировочного в перегрузочном варианте:</w:t>
      </w:r>
    </w:p>
    <w:p w14:paraId="11331F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3х250 одна внутри и две под крылом</w:t>
      </w:r>
    </w:p>
    <w:p w14:paraId="71533A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Запроектированы и утверждены следующие основные ЛД:</w:t>
      </w:r>
    </w:p>
    <w:p w14:paraId="20F9A2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7000 - 580-600</w:t>
      </w:r>
    </w:p>
    <w:p w14:paraId="23D3C8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Потолок - 10500</w:t>
      </w:r>
    </w:p>
    <w:p w14:paraId="0ECFEF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н/п - 700/900</w:t>
      </w:r>
    </w:p>
    <w:p w14:paraId="5A365F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Разработка эскизного проекта закончена. Проект разослан в НИИ ГУАС КА и НКАП 14 апреля 1940. Макет построен и предъявлен Макетной комиссии без мотора 20 мая с.г. С ВМГ мотор будет предъявлен для окончательного утверждения 13-15 июня 1940</w:t>
      </w:r>
    </w:p>
    <w:p w14:paraId="730434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Модель размером 1:4 натуры изготовлена и сдана 19 мая в ЦАГИ-Раменское для продувки, но до сих пор работы по продувке модели не начаты.</w:t>
      </w:r>
    </w:p>
    <w:p w14:paraId="03590D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Разработка чертежей в КБ-17 развернута полностью. Эта работа производится по планировке, утвержденной директором завода 156. Сроки сдачи чертежей производству установлены: по агрегатам для стат. испытаний - 15 июня 1940, по двум летным экз. - 15 июля 1940. Сроки выдерживаются. На 10 июня сдано чертежей в производство около 700.</w:t>
      </w:r>
    </w:p>
    <w:p w14:paraId="0A7638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Проектирование, заготовка и сборка оснастки в производстве начаты.</w:t>
      </w:r>
    </w:p>
    <w:p w14:paraId="746600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опытным работам изготовлена стендовая установка для проверки механизма сбрасывания бомб с пикирования. Не начат изготовлением стенд для испытания ВМГ.</w:t>
      </w:r>
    </w:p>
    <w:p w14:paraId="082D19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Заготовки по агрегатам для стат. испытаний и летным экз. производством еще не начаты.</w:t>
      </w:r>
    </w:p>
    <w:p w14:paraId="45311F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готовые изделия, необходимые для оборудования самолета - заказаны. До сих пор не размещены заказы:</w:t>
      </w:r>
    </w:p>
    <w:p w14:paraId="08A1B4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проектирование и изготовление спец. прицела и визира л для сбрасывания бомб с пикирования.</w:t>
      </w:r>
    </w:p>
    <w:p w14:paraId="3EA360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проектирование и изготовление автомата для вывода самолета из пикирования.</w:t>
      </w:r>
    </w:p>
    <w:p w14:paraId="1CB4BB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Необходимые мероприятия</w:t>
      </w:r>
    </w:p>
    <w:p w14:paraId="5C96B1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Необходимо решение Правительства о включении этого объекта в план опытного строительства на 1940-41 как признанного Макетной комиссией особо важным объектом.</w:t>
      </w:r>
    </w:p>
    <w:p w14:paraId="1C1F5E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сроки изготовления для завода с указанием директору завода о формировании работ по выпуску этих объектов на испытание.</w:t>
      </w:r>
    </w:p>
    <w:p w14:paraId="7A89AC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ЦАГИ ускорить окончание работ по продувкам модели, ускорить исследования ВМГ этого самолета и испытания на стенде механизма сбрасывания бомб с пикирования.</w:t>
      </w:r>
    </w:p>
    <w:p w14:paraId="0EBE98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НКВ ускоренным порядком произвести проектирование и изготовление двух экз. визиров л и двух прицелов для сбрасывания бомб с пикирования.</w:t>
      </w:r>
    </w:p>
    <w:p w14:paraId="410000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Форсировать работы на заводе 29 по доводке и окончанию изготовления моторов М-90, как для стендовых испытаний, так и для летных экземпляров.</w:t>
      </w:r>
    </w:p>
    <w:p w14:paraId="3821BE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дать распоряжение комбинату 150 об изготовлении винтов типа АВ-5 и реверсивного финта, в сроки просимые заводом 156.</w:t>
      </w:r>
    </w:p>
    <w:p w14:paraId="01886F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Доукомплектовать КБ Кочеригина авиаконструкторами 1 и 2 категории в количестве 15 чел. до 1 июля 1940 (2090,163).</w:t>
      </w:r>
    </w:p>
    <w:p w14:paraId="6A2F33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опытному самолету ДБ-240 с М-30</w:t>
      </w:r>
    </w:p>
    <w:p w14:paraId="2FD0EE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Ермолаев</w:t>
      </w:r>
    </w:p>
    <w:p w14:paraId="7D49CB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240</w:t>
      </w:r>
    </w:p>
    <w:p w14:paraId="130674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ДБ-240 д.б. построен и сдан на гос. испытания, согласно постановлению КО N 200сс от 12 мая с.г. к 1 октября 1940.</w:t>
      </w:r>
    </w:p>
    <w:p w14:paraId="79A098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завод 240 приступил к эскизному проектированию по указанному самолету.</w:t>
      </w:r>
    </w:p>
    <w:p w14:paraId="210D3A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Проектирование самолета ведется на базе существующего ДБ-240 2М-105, с внесением изменений, вызванных постановкой новой ВМГ. Основные агрегаты самолета предполагается оставить без изменений.</w:t>
      </w:r>
    </w:p>
    <w:p w14:paraId="1376EB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Модификации подвергается центроплан и мотоотсек.</w:t>
      </w:r>
    </w:p>
    <w:p w14:paraId="542B69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Возможно, что для шасси потребуется произвести усиления.</w:t>
      </w:r>
    </w:p>
    <w:p w14:paraId="208724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будет представлен в НКАП 1 июля.</w:t>
      </w:r>
    </w:p>
    <w:p w14:paraId="7B924D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сдачи на гос. испытания к 1 октября 1940 не будет выполнен. Реальный срок сдачи на гос. испытания м.б. февраль 1941.</w:t>
      </w:r>
    </w:p>
    <w:p w14:paraId="36A79F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Финансирование постройки самолета ДБ-240 с М-30 не обеспечена, т.к. в постановлении КО N 200 сс вопросы финансирования не оговорены." (2090,166).</w:t>
      </w:r>
    </w:p>
    <w:p w14:paraId="579617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опытному двухмоторному морскому дальнему разведчику МДР-7 с М-88</w:t>
      </w:r>
    </w:p>
    <w:p w14:paraId="341E9E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Самсонов</w:t>
      </w:r>
    </w:p>
    <w:p w14:paraId="15C1E1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288</w:t>
      </w:r>
    </w:p>
    <w:p w14:paraId="49F6A0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строится на основании постановления Правительства от 4 марта 1940 N 123сс.</w:t>
      </w:r>
    </w:p>
    <w:p w14:paraId="157698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Гидросамолет МДР-7 лодочный моноплан. Крыло помещено на пилоне, моторы расположены в крыле. ВО разнесенное. Боковые поплавки обираются в мотогондолы. Конструкция - цельнометаллическая, дюралевая. При проектировании крыла использован опыт фирмы Северский и для лодки - фирмы Дуглас.</w:t>
      </w:r>
    </w:p>
    <w:p w14:paraId="01BA95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2хШКАС. В варианте бомбардировщика берется 1000 кг бом.</w:t>
      </w:r>
    </w:p>
    <w:p w14:paraId="6E14A4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Утверждены следующие сроки окончания этапов: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279E3863" w14:textId="77777777" w:rsidTr="009223E5">
        <w:tc>
          <w:tcPr>
            <w:tcW w:w="2299" w:type="dxa"/>
            <w:tcBorders>
              <w:top w:val="single" w:sz="12" w:space="0" w:color="auto"/>
            </w:tcBorders>
          </w:tcPr>
          <w:p w14:paraId="28E6028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1AFBDF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1 </w:t>
            </w:r>
          </w:p>
        </w:tc>
        <w:tc>
          <w:tcPr>
            <w:tcW w:w="2299" w:type="dxa"/>
            <w:tcBorders>
              <w:top w:val="single" w:sz="12" w:space="0" w:color="auto"/>
            </w:tcBorders>
          </w:tcPr>
          <w:p w14:paraId="4BB4E9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2 </w:t>
            </w:r>
          </w:p>
        </w:tc>
        <w:tc>
          <w:tcPr>
            <w:tcW w:w="2299" w:type="dxa"/>
            <w:tcBorders>
              <w:top w:val="single" w:sz="12" w:space="0" w:color="auto"/>
            </w:tcBorders>
          </w:tcPr>
          <w:p w14:paraId="7667D6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 гос.</w:t>
            </w:r>
          </w:p>
        </w:tc>
        <w:tc>
          <w:tcPr>
            <w:tcW w:w="2299" w:type="dxa"/>
            <w:tcBorders>
              <w:top w:val="single" w:sz="12" w:space="0" w:color="auto"/>
            </w:tcBorders>
          </w:tcPr>
          <w:p w14:paraId="0893C2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3</w:t>
            </w:r>
          </w:p>
        </w:tc>
      </w:tr>
      <w:tr w:rsidR="007D5DF8" w:rsidRPr="00DB5D0D" w14:paraId="0AE87917" w14:textId="77777777" w:rsidTr="009223E5">
        <w:tc>
          <w:tcPr>
            <w:tcW w:w="2299" w:type="dxa"/>
          </w:tcPr>
          <w:p w14:paraId="7BE5F3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w:t>
            </w:r>
          </w:p>
        </w:tc>
        <w:tc>
          <w:tcPr>
            <w:tcW w:w="2299" w:type="dxa"/>
          </w:tcPr>
          <w:p w14:paraId="3FC0FE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01.40</w:t>
            </w:r>
          </w:p>
        </w:tc>
        <w:tc>
          <w:tcPr>
            <w:tcW w:w="2299" w:type="dxa"/>
          </w:tcPr>
          <w:p w14:paraId="69E87F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01.05.40</w:t>
            </w:r>
          </w:p>
        </w:tc>
        <w:tc>
          <w:tcPr>
            <w:tcW w:w="2299" w:type="dxa"/>
          </w:tcPr>
          <w:p w14:paraId="1760EB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2299" w:type="dxa"/>
          </w:tcPr>
          <w:p w14:paraId="7C48AB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09.40</w:t>
            </w:r>
          </w:p>
        </w:tc>
      </w:tr>
      <w:tr w:rsidR="007D5DF8" w:rsidRPr="00DB5D0D" w14:paraId="3AE3FE25" w14:textId="77777777" w:rsidTr="009223E5">
        <w:tc>
          <w:tcPr>
            <w:tcW w:w="2299" w:type="dxa"/>
            <w:tcBorders>
              <w:bottom w:val="single" w:sz="12" w:space="0" w:color="auto"/>
            </w:tcBorders>
          </w:tcPr>
          <w:p w14:paraId="137A19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w:t>
            </w:r>
          </w:p>
        </w:tc>
        <w:tc>
          <w:tcPr>
            <w:tcW w:w="2299" w:type="dxa"/>
            <w:tcBorders>
              <w:bottom w:val="single" w:sz="12" w:space="0" w:color="auto"/>
            </w:tcBorders>
          </w:tcPr>
          <w:p w14:paraId="4E2AB1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03.40</w:t>
            </w:r>
          </w:p>
        </w:tc>
        <w:tc>
          <w:tcPr>
            <w:tcW w:w="2299" w:type="dxa"/>
            <w:tcBorders>
              <w:bottom w:val="single" w:sz="12" w:space="0" w:color="auto"/>
            </w:tcBorders>
          </w:tcPr>
          <w:p w14:paraId="56ED99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01.06.40</w:t>
            </w:r>
          </w:p>
        </w:tc>
        <w:tc>
          <w:tcPr>
            <w:tcW w:w="2299" w:type="dxa"/>
            <w:tcBorders>
              <w:bottom w:val="single" w:sz="12" w:space="0" w:color="auto"/>
            </w:tcBorders>
          </w:tcPr>
          <w:p w14:paraId="741EE5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01.08.41</w:t>
            </w:r>
          </w:p>
        </w:tc>
        <w:tc>
          <w:tcPr>
            <w:tcW w:w="2299" w:type="dxa"/>
            <w:tcBorders>
              <w:bottom w:val="single" w:sz="12" w:space="0" w:color="auto"/>
            </w:tcBorders>
          </w:tcPr>
          <w:p w14:paraId="605F16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10.40</w:t>
            </w:r>
          </w:p>
        </w:tc>
      </w:tr>
    </w:tbl>
    <w:p w14:paraId="579993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закончен в производстве и готовится к прохождению заводских испытаний.</w:t>
      </w:r>
    </w:p>
    <w:p w14:paraId="39C903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находится в производстве. Лодка обшивается. По остальным элементам производится агрегатная сборка. Готовность - 50%." (2090,167).</w:t>
      </w:r>
    </w:p>
    <w:p w14:paraId="6F90B8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опытному двухмоторному морскому дальнему разведчику МДР-6</w:t>
      </w:r>
    </w:p>
    <w:p w14:paraId="1E07C4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Четвериков</w:t>
      </w:r>
    </w:p>
    <w:p w14:paraId="2B0BCA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31</w:t>
      </w:r>
    </w:p>
    <w:p w14:paraId="7E5378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строится на основании постановления Правительства от 4 марта 1940 N 124сс.</w:t>
      </w:r>
    </w:p>
    <w:p w14:paraId="634EBB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 лодочный моноплан с фиксированными боковыми поплавками. Крыло типа чайка. Моторы расположены в крыле.</w:t>
      </w:r>
    </w:p>
    <w:p w14:paraId="5E8855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самолет прошел заводские и гос. испытания с М-25Е и заводские с М-63.</w:t>
      </w:r>
    </w:p>
    <w:p w14:paraId="2F4AFD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подлежит испытанию с М-62.</w:t>
      </w:r>
    </w:p>
    <w:p w14:paraId="6AE162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внедряется в серию на заводе 31 с М-62.</w:t>
      </w:r>
    </w:p>
    <w:p w14:paraId="639920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 цельнометаллическая, дюралевая. В серии строится по шаблонно-плазовому методу с максимальным применением прессованных профилей.</w:t>
      </w:r>
    </w:p>
    <w:p w14:paraId="048C44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3хШКАС. В варианте бомбардировщика берется 1200 кг бомб.</w:t>
      </w:r>
    </w:p>
    <w:p w14:paraId="143BD8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Утверждены следующие сроки окончания этапов: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2C2682E6" w14:textId="77777777" w:rsidTr="009223E5">
        <w:tc>
          <w:tcPr>
            <w:tcW w:w="2299" w:type="dxa"/>
            <w:tcBorders>
              <w:top w:val="single" w:sz="12" w:space="0" w:color="auto"/>
            </w:tcBorders>
          </w:tcPr>
          <w:p w14:paraId="56F3B29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5E1669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1 </w:t>
            </w:r>
          </w:p>
        </w:tc>
        <w:tc>
          <w:tcPr>
            <w:tcW w:w="2299" w:type="dxa"/>
            <w:tcBorders>
              <w:top w:val="single" w:sz="12" w:space="0" w:color="auto"/>
            </w:tcBorders>
          </w:tcPr>
          <w:p w14:paraId="1CD835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2 </w:t>
            </w:r>
          </w:p>
        </w:tc>
        <w:tc>
          <w:tcPr>
            <w:tcW w:w="2299" w:type="dxa"/>
            <w:tcBorders>
              <w:top w:val="single" w:sz="12" w:space="0" w:color="auto"/>
            </w:tcBorders>
          </w:tcPr>
          <w:p w14:paraId="2D8A19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 гос.</w:t>
            </w:r>
          </w:p>
        </w:tc>
        <w:tc>
          <w:tcPr>
            <w:tcW w:w="2299" w:type="dxa"/>
            <w:tcBorders>
              <w:top w:val="single" w:sz="12" w:space="0" w:color="auto"/>
            </w:tcBorders>
          </w:tcPr>
          <w:p w14:paraId="260F18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3</w:t>
            </w:r>
          </w:p>
        </w:tc>
      </w:tr>
      <w:tr w:rsidR="007D5DF8" w:rsidRPr="00DB5D0D" w14:paraId="4968737F" w14:textId="77777777" w:rsidTr="009223E5">
        <w:tc>
          <w:tcPr>
            <w:tcW w:w="2299" w:type="dxa"/>
          </w:tcPr>
          <w:p w14:paraId="5C7886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w:t>
            </w:r>
          </w:p>
        </w:tc>
        <w:tc>
          <w:tcPr>
            <w:tcW w:w="2299" w:type="dxa"/>
          </w:tcPr>
          <w:p w14:paraId="16D07B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99" w:type="dxa"/>
          </w:tcPr>
          <w:p w14:paraId="572417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01.04.40</w:t>
            </w:r>
          </w:p>
        </w:tc>
        <w:tc>
          <w:tcPr>
            <w:tcW w:w="2299" w:type="dxa"/>
          </w:tcPr>
          <w:p w14:paraId="1E99CF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01.06.40</w:t>
            </w:r>
          </w:p>
        </w:tc>
        <w:tc>
          <w:tcPr>
            <w:tcW w:w="2299" w:type="dxa"/>
          </w:tcPr>
          <w:p w14:paraId="0DBDE7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08.40</w:t>
            </w:r>
          </w:p>
        </w:tc>
      </w:tr>
      <w:tr w:rsidR="007D5DF8" w:rsidRPr="00DB5D0D" w14:paraId="395ED3B8" w14:textId="77777777" w:rsidTr="009223E5">
        <w:tc>
          <w:tcPr>
            <w:tcW w:w="2299" w:type="dxa"/>
            <w:tcBorders>
              <w:bottom w:val="single" w:sz="12" w:space="0" w:color="auto"/>
            </w:tcBorders>
          </w:tcPr>
          <w:p w14:paraId="4723AB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w:t>
            </w:r>
          </w:p>
        </w:tc>
        <w:tc>
          <w:tcPr>
            <w:tcW w:w="2299" w:type="dxa"/>
            <w:tcBorders>
              <w:bottom w:val="single" w:sz="12" w:space="0" w:color="auto"/>
            </w:tcBorders>
          </w:tcPr>
          <w:p w14:paraId="3E6C8C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02.40</w:t>
            </w:r>
          </w:p>
        </w:tc>
        <w:tc>
          <w:tcPr>
            <w:tcW w:w="2299" w:type="dxa"/>
            <w:tcBorders>
              <w:bottom w:val="single" w:sz="12" w:space="0" w:color="auto"/>
            </w:tcBorders>
          </w:tcPr>
          <w:p w14:paraId="655B33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01.05.40</w:t>
            </w:r>
          </w:p>
        </w:tc>
        <w:tc>
          <w:tcPr>
            <w:tcW w:w="2299" w:type="dxa"/>
            <w:tcBorders>
              <w:bottom w:val="single" w:sz="12" w:space="0" w:color="auto"/>
            </w:tcBorders>
          </w:tcPr>
          <w:p w14:paraId="76E23E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01.07.41</w:t>
            </w:r>
          </w:p>
        </w:tc>
        <w:tc>
          <w:tcPr>
            <w:tcW w:w="2299" w:type="dxa"/>
            <w:tcBorders>
              <w:bottom w:val="single" w:sz="12" w:space="0" w:color="auto"/>
            </w:tcBorders>
          </w:tcPr>
          <w:p w14:paraId="608715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09.40</w:t>
            </w:r>
          </w:p>
        </w:tc>
      </w:tr>
    </w:tbl>
    <w:p w14:paraId="05ED0D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721EDD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закончил заводские испытания 5 июня 1940. Опоздание объясняется тем, что установленные на самолете моторы М-63 были сменены по требованию завода N 19 по причине некондиционности.</w:t>
      </w:r>
    </w:p>
    <w:p w14:paraId="252437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в настоящее время готов к прохождению заводских испытаний с М-62 (2090,168).</w:t>
      </w:r>
    </w:p>
    <w:p w14:paraId="797D14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опытному двухмоторному морскому дальнему разведчику МДР-6Б с М-105</w:t>
      </w:r>
    </w:p>
    <w:p w14:paraId="4E8958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Четвериков</w:t>
      </w:r>
    </w:p>
    <w:p w14:paraId="0609C9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31</w:t>
      </w:r>
    </w:p>
    <w:p w14:paraId="407437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строится на основании постановления Правительства от 4 марта 1940 N 122сс.</w:t>
      </w:r>
    </w:p>
    <w:p w14:paraId="45708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Гидросамолет МДР-6Б - лодочный моноплан. Крыло типа чайка. Моторы расположены в крыле. Боковые поплавки убираются в крыло. Вертикальное оперение - разнесенное.</w:t>
      </w:r>
    </w:p>
    <w:p w14:paraId="0969DB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 цельнометаллическая, дюралевая.</w:t>
      </w:r>
    </w:p>
    <w:p w14:paraId="3D0E8A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3хШКАС. В варианте бомбардировщика берется 600 кг бомб при нормальной и 1000 кг бомб при перегрузке.</w:t>
      </w:r>
    </w:p>
    <w:p w14:paraId="71F01A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на выполнение работ по этапам: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3EBB8E92" w14:textId="77777777" w:rsidTr="009223E5">
        <w:tc>
          <w:tcPr>
            <w:tcW w:w="2299" w:type="dxa"/>
            <w:tcBorders>
              <w:top w:val="single" w:sz="12" w:space="0" w:color="auto"/>
            </w:tcBorders>
          </w:tcPr>
          <w:p w14:paraId="233EA1F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34D7A0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1 </w:t>
            </w:r>
          </w:p>
        </w:tc>
        <w:tc>
          <w:tcPr>
            <w:tcW w:w="2299" w:type="dxa"/>
            <w:tcBorders>
              <w:top w:val="single" w:sz="12" w:space="0" w:color="auto"/>
            </w:tcBorders>
          </w:tcPr>
          <w:p w14:paraId="4F2D66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2 </w:t>
            </w:r>
          </w:p>
        </w:tc>
        <w:tc>
          <w:tcPr>
            <w:tcW w:w="2299" w:type="dxa"/>
            <w:tcBorders>
              <w:top w:val="single" w:sz="12" w:space="0" w:color="auto"/>
            </w:tcBorders>
          </w:tcPr>
          <w:p w14:paraId="1BB727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 гос.</w:t>
            </w:r>
          </w:p>
        </w:tc>
        <w:tc>
          <w:tcPr>
            <w:tcW w:w="2299" w:type="dxa"/>
            <w:tcBorders>
              <w:top w:val="single" w:sz="12" w:space="0" w:color="auto"/>
            </w:tcBorders>
          </w:tcPr>
          <w:p w14:paraId="5C6C38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3</w:t>
            </w:r>
          </w:p>
        </w:tc>
      </w:tr>
      <w:tr w:rsidR="007D5DF8" w:rsidRPr="00DB5D0D" w14:paraId="5F66B173" w14:textId="77777777" w:rsidTr="009223E5">
        <w:tc>
          <w:tcPr>
            <w:tcW w:w="2299" w:type="dxa"/>
          </w:tcPr>
          <w:p w14:paraId="3C594C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w:t>
            </w:r>
          </w:p>
        </w:tc>
        <w:tc>
          <w:tcPr>
            <w:tcW w:w="2299" w:type="dxa"/>
          </w:tcPr>
          <w:p w14:paraId="48E280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09.40</w:t>
            </w:r>
          </w:p>
        </w:tc>
        <w:tc>
          <w:tcPr>
            <w:tcW w:w="2299" w:type="dxa"/>
          </w:tcPr>
          <w:p w14:paraId="34696A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01.12.40</w:t>
            </w:r>
          </w:p>
        </w:tc>
        <w:tc>
          <w:tcPr>
            <w:tcW w:w="2299" w:type="dxa"/>
          </w:tcPr>
          <w:p w14:paraId="4B295C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15.02.41</w:t>
            </w:r>
          </w:p>
        </w:tc>
        <w:tc>
          <w:tcPr>
            <w:tcW w:w="2299" w:type="dxa"/>
          </w:tcPr>
          <w:p w14:paraId="0CDB98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04.41</w:t>
            </w:r>
          </w:p>
        </w:tc>
      </w:tr>
      <w:tr w:rsidR="007D5DF8" w:rsidRPr="00DB5D0D" w14:paraId="719EEADA" w14:textId="77777777" w:rsidTr="009223E5">
        <w:tc>
          <w:tcPr>
            <w:tcW w:w="2299" w:type="dxa"/>
            <w:tcBorders>
              <w:bottom w:val="single" w:sz="12" w:space="0" w:color="auto"/>
            </w:tcBorders>
          </w:tcPr>
          <w:p w14:paraId="01B275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w:t>
            </w:r>
          </w:p>
        </w:tc>
        <w:tc>
          <w:tcPr>
            <w:tcW w:w="2299" w:type="dxa"/>
            <w:tcBorders>
              <w:bottom w:val="single" w:sz="12" w:space="0" w:color="auto"/>
            </w:tcBorders>
          </w:tcPr>
          <w:p w14:paraId="365B18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10.40</w:t>
            </w:r>
          </w:p>
        </w:tc>
        <w:tc>
          <w:tcPr>
            <w:tcW w:w="2299" w:type="dxa"/>
            <w:tcBorders>
              <w:bottom w:val="single" w:sz="12" w:space="0" w:color="auto"/>
            </w:tcBorders>
          </w:tcPr>
          <w:p w14:paraId="5FB81B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c>
          <w:tcPr>
            <w:tcW w:w="2299" w:type="dxa"/>
            <w:tcBorders>
              <w:bottom w:val="single" w:sz="12" w:space="0" w:color="auto"/>
            </w:tcBorders>
          </w:tcPr>
          <w:p w14:paraId="34F293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15.03.41</w:t>
            </w:r>
          </w:p>
        </w:tc>
        <w:tc>
          <w:tcPr>
            <w:tcW w:w="2299" w:type="dxa"/>
            <w:tcBorders>
              <w:bottom w:val="single" w:sz="12" w:space="0" w:color="auto"/>
            </w:tcBorders>
          </w:tcPr>
          <w:p w14:paraId="590D63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05.41</w:t>
            </w:r>
          </w:p>
        </w:tc>
      </w:tr>
    </w:tbl>
    <w:p w14:paraId="78A49F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5E808C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Сделан эскизный проект. Закончены продувки и протаски моделей в ЦАГИ. Закончено предварительное проектирование. закончен макет самолета.</w:t>
      </w:r>
    </w:p>
    <w:p w14:paraId="048C1C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Ведется рабочее проектирование." (2090,169).</w:t>
      </w:r>
    </w:p>
    <w:p w14:paraId="0E2CB2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опытному самолету ББ-4 М-105</w:t>
      </w:r>
    </w:p>
    <w:p w14:paraId="63BE79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 П.Д.Грушин</w:t>
      </w:r>
    </w:p>
    <w:p w14:paraId="1D4F69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МАИ</w:t>
      </w:r>
    </w:p>
    <w:p w14:paraId="0A92D4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 ББ с М-105, имеющим 2 ТК-2.</w:t>
      </w:r>
    </w:p>
    <w:p w14:paraId="3DECE6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проектировался на основании Постановления Правительства от 29 июля 1939 N 260сс, как дублер экспериментального двухместного ш.</w:t>
      </w:r>
    </w:p>
    <w:p w14:paraId="444B8C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Измененное задание, утвержденное ПП от 5 июня 1940 N 243сс, предусматривает постройку самолета, как ББ, со сроком сдачи на гос. испытания в июле месяце с.г. ББ-4 моноплан, цельнодеревянной конструкции с трехколесным шасси.</w:t>
      </w:r>
    </w:p>
    <w:p w14:paraId="215FF8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2хШКАС, одного вперед и 1 на турели.</w:t>
      </w:r>
    </w:p>
    <w:p w14:paraId="79D990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2A9482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заканчивается общей сборкой.</w:t>
      </w:r>
    </w:p>
    <w:p w14:paraId="1E6FAD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его на заводские испытания ожидается в конце июня с.г.</w:t>
      </w:r>
    </w:p>
    <w:p w14:paraId="3D607E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задержкой в постройке самолета является недостача квалифицированных рабочих: медников высоких разрядов и слесарей-сборщиков.</w:t>
      </w:r>
    </w:p>
    <w:p w14:paraId="39E628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ускорения выпуска самолета требуется помощь рабочими требуемых квалификаций с других заводов." (2090,170).</w:t>
      </w:r>
    </w:p>
    <w:p w14:paraId="4DB8ED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опытному самолету 102 2М-120 2 ТК</w:t>
      </w:r>
    </w:p>
    <w:p w14:paraId="4A8333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ОТБ НКВД</w:t>
      </w:r>
    </w:p>
    <w:p w14:paraId="266B23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156</w:t>
      </w:r>
    </w:p>
    <w:p w14:paraId="77340B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102 - высотный дальний бомбардировщик, свободнонесущий моноплан с двумя М-120, расположенными на крыльях, с гермокабинами и терхколесным шасси. Конструкция - металлическая с кессонным крылом. Экипаж - 4 чел.</w:t>
      </w:r>
    </w:p>
    <w:p w14:paraId="229D3D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1хБ, 3хШКАС, бомбовая нагрузка 1000 нормальная и 2000 кг в перегрузочном варианте.</w:t>
      </w:r>
    </w:p>
    <w:p w14:paraId="055E58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ЛД самолета запроектированы и утверждены ПП:</w:t>
      </w:r>
    </w:p>
    <w:p w14:paraId="0F680D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скорость максимальная на 10000 м - 610 км/час</w:t>
      </w:r>
    </w:p>
    <w:p w14:paraId="25E58E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дальность нормальная - 3300 км</w:t>
      </w:r>
    </w:p>
    <w:p w14:paraId="728714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дальность с доп. горючим - 5000 км</w:t>
      </w:r>
    </w:p>
    <w:p w14:paraId="4326E6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установлены следующие сроки:</w:t>
      </w:r>
    </w:p>
    <w:p w14:paraId="4673D4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 сдача на гос. 01.05.41</w:t>
      </w:r>
    </w:p>
    <w:p w14:paraId="649AC4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 сдача на гос. 01.06.41</w:t>
      </w:r>
    </w:p>
    <w:p w14:paraId="207CAA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составлен, но не оформлен и не разослан. Заключения по эскизному проекту этого самолета не давалось, между тем макет изготовлен и утвержден макетной комиссией.</w:t>
      </w:r>
    </w:p>
    <w:p w14:paraId="699DAD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подачи чертежей производству с указанием сроков агрегатно, сдан заводу 156.</w:t>
      </w:r>
    </w:p>
    <w:p w14:paraId="61069E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Окончательные сроки подачи чертежей производству по плану установлены:</w:t>
      </w:r>
    </w:p>
    <w:p w14:paraId="55FE6F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 изготовление агрегатов для стат. испытаний - 25 сентября 1940;</w:t>
      </w:r>
    </w:p>
    <w:p w14:paraId="1D01C2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 изготовление первой летной машины - 1 января 1941.</w:t>
      </w:r>
    </w:p>
    <w:p w14:paraId="677C8E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окончания подачи чертежей по второму экз. не установлены.</w:t>
      </w:r>
    </w:p>
    <w:p w14:paraId="3062AC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Настоящий план с заводом 156 согласован и является удовлетворительным для окончания производства и выпуска на испытания самолета в срок, установленный Правительством.</w:t>
      </w:r>
    </w:p>
    <w:p w14:paraId="547880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проектированию и изготовлению оснастки, как то: плазов, шаблонов, приспособлений и пр. начаты производством.</w:t>
      </w:r>
    </w:p>
    <w:p w14:paraId="2DEF44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Начаты также работы в производстве по агрегатам опытного характера, как то: изготовление кессонов лонжеронов крыла, передней стойки шасси, цилиндра подъема шасси и др. Намечается опытных работ до 100 наименований. Опытные работы проводятся по эскизам.</w:t>
      </w:r>
    </w:p>
    <w:p w14:paraId="4F1DEF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изготовлению агрегатов для статиспытаний и летным экз. в производстве не начаты из-за отсутствия чертежей.</w:t>
      </w:r>
    </w:p>
    <w:p w14:paraId="4A8A89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Необходимые мероприятия</w:t>
      </w:r>
    </w:p>
    <w:p w14:paraId="3FC420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развитие ПП необходимо обязать заводы-поставщики обеспечить завод 156 всеми материалами, полуфабрикатами, готовыми изделиями, приборами, вооружением для выпуска самолета в срок, установленный Правительством.</w:t>
      </w:r>
    </w:p>
    <w:p w14:paraId="621640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Выделить заводу 156 дополнительное механическое оборудование, согласно его заявок.</w:t>
      </w:r>
    </w:p>
    <w:p w14:paraId="0AAD5F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производственные Главки НКАП практиковать широкое кооперирование по изготовлению отдельных изделий и агрегатов, идущих на самолет." (2090,171).</w:t>
      </w:r>
    </w:p>
    <w:p w14:paraId="38378A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опытной модификации самолета ББ-22 2М-105</w:t>
      </w:r>
    </w:p>
    <w:p w14:paraId="45B7E8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Я.Н.Стронгин</w:t>
      </w:r>
    </w:p>
    <w:p w14:paraId="3B6A85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1</w:t>
      </w:r>
    </w:p>
    <w:p w14:paraId="00A152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 ББ</w:t>
      </w:r>
    </w:p>
    <w:p w14:paraId="47E144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Построен на основании ПП от 4 марта 1940 N 116сс</w:t>
      </w:r>
    </w:p>
    <w:p w14:paraId="28193A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 цельное, деревянной конструкции.</w:t>
      </w:r>
    </w:p>
    <w:p w14:paraId="6AF37B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 смешанный.</w:t>
      </w:r>
    </w:p>
    <w:p w14:paraId="19E854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Передняя часть металлическая, сварная из труб; средняя часть - деревянная; хвостовая часть - мателлическая, сварная из труб. Стабилизатор - деревянный, рули - дюралевые, обшитые полотном.</w:t>
      </w:r>
    </w:p>
    <w:p w14:paraId="010375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Передняя точка - 1хШКАС с 500 шт. патронов, задняя 1хШКАС с 1200 шт. патронов.</w:t>
      </w:r>
    </w:p>
    <w:p w14:paraId="7CBEFD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подачи на гос. испытания - 1 июля 1940</w:t>
      </w:r>
    </w:p>
    <w:p w14:paraId="460DF1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окончен постройкой 23 марта 1940</w:t>
      </w:r>
    </w:p>
    <w:p w14:paraId="1FFF66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Проходил заводские испытания с 31 марта по 23 апреля 1940.</w:t>
      </w:r>
    </w:p>
    <w:p w14:paraId="241C83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Потерпел аварию при рулежке 23 апреля с.г.</w:t>
      </w:r>
    </w:p>
    <w:p w14:paraId="74F4DE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основные характеристики самолета сняты за время заводских испытаний.</w:t>
      </w:r>
    </w:p>
    <w:p w14:paraId="71169B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Заводом 1 выделен серийный ББ-22, который находится в процессе переделок под М-105. Самолет будет подан на гос. испытания 1 июля с.г.</w:t>
      </w:r>
    </w:p>
    <w:p w14:paraId="0B5E27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Задержки: завод 26 задерживает подачу заводу 1 двух М-105.</w:t>
      </w:r>
    </w:p>
    <w:p w14:paraId="36266D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ускорения выпуска самолета требуется подать два М-105 на летный экз. и 2 мотора в резерв." (2090,173).</w:t>
      </w:r>
    </w:p>
    <w:p w14:paraId="7B40AF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опытной модификации самолета ББ-22бис 2М-107</w:t>
      </w:r>
    </w:p>
    <w:p w14:paraId="7B8D8D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Я.Н.Стронгин</w:t>
      </w:r>
    </w:p>
    <w:p w14:paraId="008B37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1</w:t>
      </w:r>
    </w:p>
    <w:p w14:paraId="77E5F1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"Строится на основании ПП от 4 марта 1940 N 116сс</w:t>
      </w:r>
    </w:p>
    <w:p w14:paraId="4B6AC8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 цельное, деревянной конструкции. Фюзеляж - смешанный: передняя часть металлическая, сварная из труб; средняя часть - деревянная; хвостовая часть - мателлическая, сварная из труб. Стабилизатор - деревянный, рули - дюралевые, обшитые полотном.</w:t>
      </w:r>
    </w:p>
    <w:p w14:paraId="5A9C76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Передняя точка - 1хШКАС с 500 шт. патронов, задняя 1хШКАС с 1200 шт. патронов.</w:t>
      </w:r>
    </w:p>
    <w:p w14:paraId="3F887A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 срок окончания первого этапа - сентябрь 1940, второго - 15 декабря 1940, сдачи на гос. испытания - 1 февраля 1940, окончания 1 этапа - апрель 1941.</w:t>
      </w:r>
    </w:p>
    <w:p w14:paraId="71DB58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 Эскизный проект находится в незаконченном состоянии, ввиду выявления нецелесообразности постановки на самолет М-107 из-за получающихся больших нагрузок на крыло.</w:t>
      </w:r>
    </w:p>
    <w:p w14:paraId="06F013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Предлагается выйти в Правительство с ходатайством об отмене задания." (2090,175).</w:t>
      </w:r>
    </w:p>
    <w:p w14:paraId="432083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опытному самолету СБ 2М-120</w:t>
      </w:r>
    </w:p>
    <w:p w14:paraId="515637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Голубков</w:t>
      </w:r>
    </w:p>
    <w:p w14:paraId="73A5ED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30</w:t>
      </w:r>
    </w:p>
    <w:p w14:paraId="3F9395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проектируется на основании ПП N 109сс</w:t>
      </w:r>
    </w:p>
    <w:p w14:paraId="1BDAE3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сроки на окончание работ по этапам: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2C7831CA" w14:textId="77777777" w:rsidTr="009223E5">
        <w:tc>
          <w:tcPr>
            <w:tcW w:w="2299" w:type="dxa"/>
            <w:tcBorders>
              <w:top w:val="single" w:sz="12" w:space="0" w:color="auto"/>
            </w:tcBorders>
          </w:tcPr>
          <w:p w14:paraId="3756B8C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14FCBB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1 </w:t>
            </w:r>
          </w:p>
        </w:tc>
        <w:tc>
          <w:tcPr>
            <w:tcW w:w="2299" w:type="dxa"/>
            <w:tcBorders>
              <w:top w:val="single" w:sz="12" w:space="0" w:color="auto"/>
            </w:tcBorders>
          </w:tcPr>
          <w:p w14:paraId="3EA205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2 </w:t>
            </w:r>
          </w:p>
        </w:tc>
        <w:tc>
          <w:tcPr>
            <w:tcW w:w="2299" w:type="dxa"/>
            <w:tcBorders>
              <w:top w:val="single" w:sz="12" w:space="0" w:color="auto"/>
            </w:tcBorders>
          </w:tcPr>
          <w:p w14:paraId="68B2FB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 гос.</w:t>
            </w:r>
          </w:p>
        </w:tc>
        <w:tc>
          <w:tcPr>
            <w:tcW w:w="2299" w:type="dxa"/>
            <w:tcBorders>
              <w:top w:val="single" w:sz="12" w:space="0" w:color="auto"/>
            </w:tcBorders>
          </w:tcPr>
          <w:p w14:paraId="357389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3</w:t>
            </w:r>
          </w:p>
        </w:tc>
      </w:tr>
      <w:tr w:rsidR="007D5DF8" w:rsidRPr="00DB5D0D" w14:paraId="72CDA244" w14:textId="77777777" w:rsidTr="009223E5">
        <w:tc>
          <w:tcPr>
            <w:tcW w:w="2299" w:type="dxa"/>
          </w:tcPr>
          <w:p w14:paraId="1A1ADE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w:t>
            </w:r>
          </w:p>
        </w:tc>
        <w:tc>
          <w:tcPr>
            <w:tcW w:w="2299" w:type="dxa"/>
          </w:tcPr>
          <w:p w14:paraId="13CB90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w:t>
            </w:r>
          </w:p>
        </w:tc>
        <w:tc>
          <w:tcPr>
            <w:tcW w:w="2299" w:type="dxa"/>
          </w:tcPr>
          <w:p w14:paraId="0375C1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01.03.41</w:t>
            </w:r>
          </w:p>
        </w:tc>
        <w:tc>
          <w:tcPr>
            <w:tcW w:w="2299" w:type="dxa"/>
          </w:tcPr>
          <w:p w14:paraId="577CCA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01.05.41</w:t>
            </w:r>
          </w:p>
        </w:tc>
        <w:tc>
          <w:tcPr>
            <w:tcW w:w="2299" w:type="dxa"/>
          </w:tcPr>
          <w:p w14:paraId="697CC6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07.41</w:t>
            </w:r>
          </w:p>
        </w:tc>
      </w:tr>
      <w:tr w:rsidR="007D5DF8" w:rsidRPr="00DB5D0D" w14:paraId="432E2AFF" w14:textId="77777777" w:rsidTr="009223E5">
        <w:tc>
          <w:tcPr>
            <w:tcW w:w="2299" w:type="dxa"/>
            <w:tcBorders>
              <w:bottom w:val="single" w:sz="12" w:space="0" w:color="auto"/>
            </w:tcBorders>
          </w:tcPr>
          <w:p w14:paraId="55D70C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w:t>
            </w:r>
          </w:p>
        </w:tc>
        <w:tc>
          <w:tcPr>
            <w:tcW w:w="2299" w:type="dxa"/>
            <w:tcBorders>
              <w:bottom w:val="single" w:sz="12" w:space="0" w:color="auto"/>
            </w:tcBorders>
          </w:tcPr>
          <w:p w14:paraId="3617D4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12.40</w:t>
            </w:r>
          </w:p>
        </w:tc>
        <w:tc>
          <w:tcPr>
            <w:tcW w:w="2299" w:type="dxa"/>
            <w:tcBorders>
              <w:bottom w:val="single" w:sz="12" w:space="0" w:color="auto"/>
            </w:tcBorders>
          </w:tcPr>
          <w:p w14:paraId="4B444F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01.04.41</w:t>
            </w:r>
          </w:p>
        </w:tc>
        <w:tc>
          <w:tcPr>
            <w:tcW w:w="2299" w:type="dxa"/>
            <w:tcBorders>
              <w:bottom w:val="single" w:sz="12" w:space="0" w:color="auto"/>
            </w:tcBorders>
          </w:tcPr>
          <w:p w14:paraId="16B6FB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01.06.41</w:t>
            </w:r>
          </w:p>
        </w:tc>
        <w:tc>
          <w:tcPr>
            <w:tcW w:w="2299" w:type="dxa"/>
            <w:tcBorders>
              <w:bottom w:val="single" w:sz="12" w:space="0" w:color="auto"/>
            </w:tcBorders>
          </w:tcPr>
          <w:p w14:paraId="04D6E5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08.41</w:t>
            </w:r>
          </w:p>
        </w:tc>
      </w:tr>
    </w:tbl>
    <w:p w14:paraId="5D3462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3DC267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Производится проектирование самолета, делается уточненный эскизный проект." (2090,176).</w:t>
      </w:r>
    </w:p>
    <w:p w14:paraId="660FF6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состоянии работ на 10 июня 1940 по опытному самолету ДБ-4</w:t>
      </w:r>
    </w:p>
    <w:p w14:paraId="0D78C4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С.В.И.</w:t>
      </w:r>
    </w:p>
    <w:p w14:paraId="6D12F8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 39</w:t>
      </w:r>
    </w:p>
    <w:p w14:paraId="0BC524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ДБ-4 - ДБ с двумя М-120.</w:t>
      </w:r>
    </w:p>
    <w:p w14:paraId="251498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строится на основании ПП N 226сс от 29 июля 1939.</w:t>
      </w:r>
    </w:p>
    <w:p w14:paraId="221A65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базирования самолета на два типа моторов - водяной и воздушный - на 2-й экз. ставится М-71.</w:t>
      </w:r>
    </w:p>
    <w:p w14:paraId="69B292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цельнометаллический, дюралевой конструкции, лонжероны крыльев - стальные. Обшивка рулей - полотняная.</w:t>
      </w:r>
    </w:p>
    <w:p w14:paraId="02B546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3хШКАС с 3000 шт. патронов.</w:t>
      </w:r>
    </w:p>
    <w:p w14:paraId="7F60E8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в фюзеляже - 1000, с перегрузкой - 2000 кг.</w:t>
      </w:r>
    </w:p>
    <w:p w14:paraId="43C7C0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Установлены следующие сроки окончания работ по этапам: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gridCol w:w="2299"/>
      </w:tblGrid>
      <w:tr w:rsidR="007D5DF8" w:rsidRPr="00DB5D0D" w14:paraId="38CB4FEA" w14:textId="77777777" w:rsidTr="009223E5">
        <w:tc>
          <w:tcPr>
            <w:tcW w:w="2299" w:type="dxa"/>
            <w:tcBorders>
              <w:top w:val="single" w:sz="12" w:space="0" w:color="auto"/>
            </w:tcBorders>
          </w:tcPr>
          <w:p w14:paraId="612BF36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6E265A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1 </w:t>
            </w:r>
          </w:p>
        </w:tc>
        <w:tc>
          <w:tcPr>
            <w:tcW w:w="2299" w:type="dxa"/>
            <w:tcBorders>
              <w:top w:val="single" w:sz="12" w:space="0" w:color="auto"/>
            </w:tcBorders>
          </w:tcPr>
          <w:p w14:paraId="505EC9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Конец 2 </w:t>
            </w:r>
          </w:p>
        </w:tc>
        <w:tc>
          <w:tcPr>
            <w:tcW w:w="2299" w:type="dxa"/>
            <w:tcBorders>
              <w:top w:val="single" w:sz="12" w:space="0" w:color="auto"/>
            </w:tcBorders>
          </w:tcPr>
          <w:p w14:paraId="5F564A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 гос.</w:t>
            </w:r>
          </w:p>
        </w:tc>
        <w:tc>
          <w:tcPr>
            <w:tcW w:w="2299" w:type="dxa"/>
            <w:tcBorders>
              <w:top w:val="single" w:sz="12" w:space="0" w:color="auto"/>
            </w:tcBorders>
          </w:tcPr>
          <w:p w14:paraId="0C65CF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3</w:t>
            </w:r>
          </w:p>
        </w:tc>
      </w:tr>
      <w:tr w:rsidR="007D5DF8" w:rsidRPr="00DB5D0D" w14:paraId="50615189" w14:textId="77777777" w:rsidTr="009223E5">
        <w:tc>
          <w:tcPr>
            <w:tcW w:w="2299" w:type="dxa"/>
          </w:tcPr>
          <w:p w14:paraId="6AC5A3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w:t>
            </w:r>
          </w:p>
        </w:tc>
        <w:tc>
          <w:tcPr>
            <w:tcW w:w="2299" w:type="dxa"/>
          </w:tcPr>
          <w:p w14:paraId="3B1176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03.40</w:t>
            </w:r>
          </w:p>
        </w:tc>
        <w:tc>
          <w:tcPr>
            <w:tcW w:w="2299" w:type="dxa"/>
          </w:tcPr>
          <w:p w14:paraId="27F50F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06.40</w:t>
            </w:r>
          </w:p>
        </w:tc>
        <w:tc>
          <w:tcPr>
            <w:tcW w:w="2299" w:type="dxa"/>
          </w:tcPr>
          <w:p w14:paraId="7F62F7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01.08.40</w:t>
            </w:r>
          </w:p>
        </w:tc>
        <w:tc>
          <w:tcPr>
            <w:tcW w:w="2299" w:type="dxa"/>
          </w:tcPr>
          <w:p w14:paraId="12AEA0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10.40</w:t>
            </w:r>
          </w:p>
        </w:tc>
      </w:tr>
      <w:tr w:rsidR="007D5DF8" w:rsidRPr="00DB5D0D" w14:paraId="562A08DE" w14:textId="77777777" w:rsidTr="009223E5">
        <w:tc>
          <w:tcPr>
            <w:tcW w:w="2299" w:type="dxa"/>
            <w:tcBorders>
              <w:bottom w:val="single" w:sz="12" w:space="0" w:color="auto"/>
            </w:tcBorders>
          </w:tcPr>
          <w:p w14:paraId="4081C4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w:t>
            </w:r>
          </w:p>
        </w:tc>
        <w:tc>
          <w:tcPr>
            <w:tcW w:w="2299" w:type="dxa"/>
            <w:tcBorders>
              <w:bottom w:val="single" w:sz="12" w:space="0" w:color="auto"/>
            </w:tcBorders>
          </w:tcPr>
          <w:p w14:paraId="4D61B9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05.40</w:t>
            </w:r>
          </w:p>
        </w:tc>
        <w:tc>
          <w:tcPr>
            <w:tcW w:w="2299" w:type="dxa"/>
            <w:tcBorders>
              <w:bottom w:val="single" w:sz="12" w:space="0" w:color="auto"/>
            </w:tcBorders>
          </w:tcPr>
          <w:p w14:paraId="3917ED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08.40</w:t>
            </w:r>
          </w:p>
        </w:tc>
        <w:tc>
          <w:tcPr>
            <w:tcW w:w="2299" w:type="dxa"/>
            <w:tcBorders>
              <w:bottom w:val="single" w:sz="12" w:space="0" w:color="auto"/>
            </w:tcBorders>
          </w:tcPr>
          <w:p w14:paraId="660E79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01.10.40</w:t>
            </w:r>
          </w:p>
        </w:tc>
        <w:tc>
          <w:tcPr>
            <w:tcW w:w="2299" w:type="dxa"/>
            <w:tcBorders>
              <w:bottom w:val="single" w:sz="12" w:space="0" w:color="auto"/>
            </w:tcBorders>
          </w:tcPr>
          <w:p w14:paraId="545EDB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12.40</w:t>
            </w:r>
          </w:p>
        </w:tc>
      </w:tr>
    </w:tbl>
    <w:p w14:paraId="25A320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p w14:paraId="7E336D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крыло, центроплан, шасси и оперение изготовлены для 2-х экз.</w:t>
      </w:r>
    </w:p>
    <w:p w14:paraId="15F9F1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1-м экз. все монтажи кроме ВМГ, закончены и приняты ОТК.</w:t>
      </w:r>
    </w:p>
    <w:p w14:paraId="30AF9B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2-м экз. монтажи на стадии окончания.</w:t>
      </w:r>
    </w:p>
    <w:p w14:paraId="5BF79E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самолетов задерживается из-за отсутствия ряда агрегатов:</w:t>
      </w:r>
    </w:p>
    <w:p w14:paraId="4591D8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1-му экз. - М-120 с 26, ВИШ-64 с 28, усиленные тормоза с 120</w:t>
      </w:r>
    </w:p>
    <w:p w14:paraId="072AD1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2-му экз. - М-71 с 19, винты со 150, маслорадиаторы с 34, усиленные тормоза с 120</w:t>
      </w:r>
    </w:p>
    <w:p w14:paraId="10AF69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ускорения выпуска 2-х экз. необходимо обеспечение соответствующими агрегатами." (2090,177).</w:t>
      </w:r>
    </w:p>
    <w:p w14:paraId="3465B57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F02B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на ДБ-3Ф 2М-88 N 390204 в ходе гос. испытаний нового вооружения провели полет на определение девиации компаса РПК-2 и точность пеленгации (2686).</w:t>
      </w:r>
    </w:p>
    <w:p w14:paraId="64CEB01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84767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 Начальник ГУАС комдив Алексеев и Военком ГУАС бригадный комиссар Князев утвердили Отчет по гос. испытаниям серийного самолета И-153 М-62 № 6566 с винтом АВ-1 на штопор на лыжах и на колесах</w:t>
      </w:r>
    </w:p>
    <w:p w14:paraId="164798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53A24E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1 ранга Никитченко</w:t>
      </w:r>
    </w:p>
    <w:p w14:paraId="149AE1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по испытанию на лыжах ст. лейтенант Кубышкин</w:t>
      </w:r>
    </w:p>
    <w:p w14:paraId="14BE9D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по испытанию на колесах капитан Прошаков</w:t>
      </w:r>
    </w:p>
    <w:p w14:paraId="6F9CAE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68D2F11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степень безопасности выполнения штопора на самолете И-153 М-62 с винтом АВ-1.</w:t>
      </w:r>
    </w:p>
    <w:p w14:paraId="7F785CE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поведение самолета при вводе в штопор в зависимости от количественной и качественной дачи рулей.</w:t>
      </w:r>
    </w:p>
    <w:p w14:paraId="4791817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наиболее эффективный способ вывода самолета из штопора в зависимости от количественной и качественной дачи рулей, по методу изложенному в книге «Штопор самолета» – Филина и Петрова.</w:t>
      </w:r>
    </w:p>
    <w:p w14:paraId="34212AE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параметры ввода в штопор, самого штопора и вывода из него: скорость ввода, потерю высоты за один виток, время одного витка, скорость по прибору, потерю высоты за время пикирования после вывода из штопора и скорость при выводе самолета из штопора.</w:t>
      </w:r>
    </w:p>
    <w:p w14:paraId="77784E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D56B93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Штопор на самолете И-153 с мотором М-62, винтом АВ-1 и с запасом горючего 150 кг при строгом выполнении «Инструкции по производству штопора» безопасен.</w:t>
      </w:r>
    </w:p>
    <w:p w14:paraId="630C35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испытание 29 февраля 1940 года</w:t>
      </w:r>
    </w:p>
    <w:p w14:paraId="667C4D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закончил испытания 13 мая 1940 года</w:t>
      </w:r>
    </w:p>
    <w:p w14:paraId="49B755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 75 дней, из них летные испытания – 11 дней</w:t>
      </w:r>
    </w:p>
    <w:p w14:paraId="194CED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p w14:paraId="374615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21 декабря по 1 марта 1940 года проходил гос. испытание.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8789"/>
      </w:tblGrid>
      <w:tr w:rsidR="007D5DF8" w:rsidRPr="00DB5D0D" w14:paraId="17EA962A" w14:textId="77777777" w:rsidTr="009223E5">
        <w:tc>
          <w:tcPr>
            <w:tcW w:w="1809" w:type="dxa"/>
            <w:tcBorders>
              <w:top w:val="single" w:sz="12" w:space="0" w:color="auto"/>
            </w:tcBorders>
          </w:tcPr>
          <w:p w14:paraId="16A952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марта 1940 года</w:t>
            </w:r>
          </w:p>
        </w:tc>
        <w:tc>
          <w:tcPr>
            <w:tcW w:w="8789" w:type="dxa"/>
            <w:tcBorders>
              <w:top w:val="single" w:sz="12" w:space="0" w:color="auto"/>
            </w:tcBorders>
          </w:tcPr>
          <w:p w14:paraId="78BD79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w:t>
            </w:r>
          </w:p>
        </w:tc>
      </w:tr>
      <w:tr w:rsidR="007D5DF8" w:rsidRPr="00DB5D0D" w14:paraId="657692DF" w14:textId="77777777" w:rsidTr="009223E5">
        <w:tc>
          <w:tcPr>
            <w:tcW w:w="1809" w:type="dxa"/>
          </w:tcPr>
          <w:p w14:paraId="1D8F96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марта 1940 года</w:t>
            </w:r>
          </w:p>
        </w:tc>
        <w:tc>
          <w:tcPr>
            <w:tcW w:w="8789" w:type="dxa"/>
          </w:tcPr>
          <w:p w14:paraId="288DDD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определение взлетно-посадочных свойств – 9 посадок</w:t>
            </w:r>
          </w:p>
        </w:tc>
      </w:tr>
      <w:tr w:rsidR="007D5DF8" w:rsidRPr="00DB5D0D" w14:paraId="67FE66DD" w14:textId="77777777" w:rsidTr="009223E5">
        <w:tc>
          <w:tcPr>
            <w:tcW w:w="1809" w:type="dxa"/>
          </w:tcPr>
          <w:p w14:paraId="10ED51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марта 1940 года</w:t>
            </w:r>
          </w:p>
        </w:tc>
        <w:tc>
          <w:tcPr>
            <w:tcW w:w="8789" w:type="dxa"/>
          </w:tcPr>
          <w:p w14:paraId="7B4A2F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срыв в штопор</w:t>
            </w:r>
          </w:p>
        </w:tc>
      </w:tr>
      <w:tr w:rsidR="007D5DF8" w:rsidRPr="00DB5D0D" w14:paraId="514474E4" w14:textId="77777777" w:rsidTr="009223E5">
        <w:tc>
          <w:tcPr>
            <w:tcW w:w="1809" w:type="dxa"/>
          </w:tcPr>
          <w:p w14:paraId="25BD2B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марта 1940 года</w:t>
            </w:r>
          </w:p>
        </w:tc>
        <w:tc>
          <w:tcPr>
            <w:tcW w:w="8789" w:type="dxa"/>
          </w:tcPr>
          <w:p w14:paraId="65498A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штопор</w:t>
            </w:r>
          </w:p>
        </w:tc>
      </w:tr>
      <w:tr w:rsidR="007D5DF8" w:rsidRPr="00DB5D0D" w14:paraId="70EDD979" w14:textId="77777777" w:rsidTr="009223E5">
        <w:tc>
          <w:tcPr>
            <w:tcW w:w="1809" w:type="dxa"/>
          </w:tcPr>
          <w:p w14:paraId="4A4540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марта 1940 года</w:t>
            </w:r>
          </w:p>
        </w:tc>
        <w:tc>
          <w:tcPr>
            <w:tcW w:w="8789" w:type="dxa"/>
          </w:tcPr>
          <w:p w14:paraId="5DC530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штопор</w:t>
            </w:r>
          </w:p>
        </w:tc>
      </w:tr>
      <w:tr w:rsidR="007D5DF8" w:rsidRPr="00DB5D0D" w14:paraId="1F1DE89A" w14:textId="77777777" w:rsidTr="009223E5">
        <w:tc>
          <w:tcPr>
            <w:tcW w:w="1809" w:type="dxa"/>
          </w:tcPr>
          <w:p w14:paraId="6FBCEF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марта 1940 года</w:t>
            </w:r>
          </w:p>
        </w:tc>
        <w:tc>
          <w:tcPr>
            <w:tcW w:w="8789" w:type="dxa"/>
          </w:tcPr>
          <w:p w14:paraId="3E31FF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Ночные полеты – сделано 11 посадок (летчики Стефановский, Кубышкин, Николаев, Прошаков)</w:t>
            </w:r>
          </w:p>
        </w:tc>
      </w:tr>
      <w:tr w:rsidR="007D5DF8" w:rsidRPr="00DB5D0D" w14:paraId="0B425574" w14:textId="77777777" w:rsidTr="009223E5">
        <w:tc>
          <w:tcPr>
            <w:tcW w:w="1809" w:type="dxa"/>
          </w:tcPr>
          <w:p w14:paraId="59712B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марта 1940 года</w:t>
            </w:r>
          </w:p>
        </w:tc>
        <w:tc>
          <w:tcPr>
            <w:tcW w:w="8789" w:type="dxa"/>
          </w:tcPr>
          <w:p w14:paraId="65A523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штопор</w:t>
            </w:r>
          </w:p>
        </w:tc>
      </w:tr>
      <w:tr w:rsidR="007D5DF8" w:rsidRPr="00DB5D0D" w14:paraId="385B13B8" w14:textId="77777777" w:rsidTr="009223E5">
        <w:tc>
          <w:tcPr>
            <w:tcW w:w="1809" w:type="dxa"/>
          </w:tcPr>
          <w:p w14:paraId="0AD505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марта 1940 года</w:t>
            </w:r>
          </w:p>
        </w:tc>
        <w:tc>
          <w:tcPr>
            <w:tcW w:w="8789" w:type="dxa"/>
          </w:tcPr>
          <w:p w14:paraId="293383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Перестановка на колеса</w:t>
            </w:r>
          </w:p>
        </w:tc>
      </w:tr>
      <w:tr w:rsidR="007D5DF8" w:rsidRPr="00DB5D0D" w14:paraId="64830120" w14:textId="77777777" w:rsidTr="009223E5">
        <w:tc>
          <w:tcPr>
            <w:tcW w:w="1809" w:type="dxa"/>
          </w:tcPr>
          <w:p w14:paraId="191044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апреля 1940 года</w:t>
            </w:r>
          </w:p>
        </w:tc>
        <w:tc>
          <w:tcPr>
            <w:tcW w:w="8789" w:type="dxa"/>
          </w:tcPr>
          <w:p w14:paraId="200E6D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и полет на штопор</w:t>
            </w:r>
          </w:p>
        </w:tc>
      </w:tr>
      <w:tr w:rsidR="007D5DF8" w:rsidRPr="00DB5D0D" w14:paraId="43635292" w14:textId="77777777" w:rsidTr="009223E5">
        <w:tc>
          <w:tcPr>
            <w:tcW w:w="1809" w:type="dxa"/>
          </w:tcPr>
          <w:p w14:paraId="10CF1B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w:t>
            </w:r>
          </w:p>
        </w:tc>
        <w:tc>
          <w:tcPr>
            <w:tcW w:w="8789" w:type="dxa"/>
          </w:tcPr>
          <w:p w14:paraId="746435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Контрольный полет после замены цилиндра</w:t>
            </w:r>
          </w:p>
        </w:tc>
      </w:tr>
      <w:tr w:rsidR="007D5DF8" w:rsidRPr="00DB5D0D" w14:paraId="4B30DBA1" w14:textId="77777777" w:rsidTr="009223E5">
        <w:tc>
          <w:tcPr>
            <w:tcW w:w="1809" w:type="dxa"/>
          </w:tcPr>
          <w:p w14:paraId="546384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года</w:t>
            </w:r>
          </w:p>
        </w:tc>
        <w:tc>
          <w:tcPr>
            <w:tcW w:w="8789" w:type="dxa"/>
          </w:tcPr>
          <w:p w14:paraId="08D0BE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штопор</w:t>
            </w:r>
          </w:p>
        </w:tc>
      </w:tr>
      <w:tr w:rsidR="007D5DF8" w:rsidRPr="00DB5D0D" w14:paraId="3102983E" w14:textId="77777777" w:rsidTr="009223E5">
        <w:tc>
          <w:tcPr>
            <w:tcW w:w="1809" w:type="dxa"/>
          </w:tcPr>
          <w:p w14:paraId="2C667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w:t>
            </w:r>
          </w:p>
        </w:tc>
        <w:tc>
          <w:tcPr>
            <w:tcW w:w="8789" w:type="dxa"/>
          </w:tcPr>
          <w:p w14:paraId="7261E7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штопор</w:t>
            </w:r>
          </w:p>
        </w:tc>
      </w:tr>
      <w:tr w:rsidR="007D5DF8" w:rsidRPr="00DB5D0D" w14:paraId="765733F2" w14:textId="77777777" w:rsidTr="009223E5">
        <w:tc>
          <w:tcPr>
            <w:tcW w:w="1809" w:type="dxa"/>
          </w:tcPr>
          <w:p w14:paraId="4B9750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w:t>
            </w:r>
          </w:p>
        </w:tc>
        <w:tc>
          <w:tcPr>
            <w:tcW w:w="8789" w:type="dxa"/>
          </w:tcPr>
          <w:p w14:paraId="06FEC1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штопор и облет летчиком Кубышкиным</w:t>
            </w:r>
          </w:p>
        </w:tc>
      </w:tr>
      <w:tr w:rsidR="007D5DF8" w:rsidRPr="00DB5D0D" w14:paraId="4635FDB3" w14:textId="77777777" w:rsidTr="009223E5">
        <w:tc>
          <w:tcPr>
            <w:tcW w:w="1809" w:type="dxa"/>
            <w:tcBorders>
              <w:bottom w:val="single" w:sz="12" w:space="0" w:color="auto"/>
            </w:tcBorders>
          </w:tcPr>
          <w:p w14:paraId="0A70D1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w:t>
            </w:r>
          </w:p>
        </w:tc>
        <w:tc>
          <w:tcPr>
            <w:tcW w:w="8789" w:type="dxa"/>
            <w:tcBorders>
              <w:bottom w:val="single" w:sz="12" w:space="0" w:color="auto"/>
            </w:tcBorders>
          </w:tcPr>
          <w:p w14:paraId="252CE4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летчиком Максимовым</w:t>
            </w:r>
          </w:p>
        </w:tc>
      </w:tr>
    </w:tbl>
    <w:p w14:paraId="205285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(4486).</w:t>
      </w:r>
    </w:p>
    <w:p w14:paraId="18CE140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4E34A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на И-26 М-105П ВИШ-61 А.С.Я. в ходе гос. испытаний, которые проходили с 1 по 15 июня 1940 выполнили полета: на скороподъемность и скорость по высотам до 5000 м (1:05), на скороподъемность и скорость по высотам до 8000 м - перегрелось масло (2924).</w:t>
      </w:r>
    </w:p>
    <w:p w14:paraId="0EAC0BE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5237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13 июня по 15 августа 1940 состоялись повторные специальные летные испытания моторов М-105П N 025-2 и 015-2 производства завода 26 на самолете СБ (АНТ-40) завода 22 (831).</w:t>
      </w:r>
    </w:p>
    <w:p w14:paraId="6215B6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FF68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был подготовлен Краткий отчет о заводских летных испытаниях И-207/3 с М-63 с убирающимися шасси, которые проходили с 22 апреля по 7 июня 1940 (2535,2).</w:t>
      </w:r>
    </w:p>
    <w:p w14:paraId="625E05B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0D0E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 Боровков направил в адрес А.С.Яковлева краткий отчет по заводским испытаниям этого самолета И-207 М-63 с убирающимся шасси, которые проходили в НИИ ВВС с 22 апреля по 7 июня 1940 г. За время импытаний л Максимов выполнил 30 полетов общей продолжительностью 13 ч 20 мин.</w:t>
      </w:r>
    </w:p>
    <w:p w14:paraId="2BE1C0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Реакция Яковлева была немедленной и положительной. Уже 14 июня на письме он написал резолюцию М. М. Громову: «Прошу ознакомиться и собрать комиссию по передаче на гос. исп.». Однако дальше дело не пошло...(9649).</w:t>
      </w:r>
    </w:p>
    <w:p w14:paraId="0E9A215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FCB2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полет, в т.ч. на выпрыгивание инструкторов (1:20) (2923).</w:t>
      </w:r>
    </w:p>
    <w:p w14:paraId="7E55306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2E93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вышло постановление КО N 257с "Об увеличении производственной мощности завода 29".</w:t>
      </w:r>
    </w:p>
    <w:p w14:paraId="06CECC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прекращением производства моторов типа М-88 на заводе № 24 и для обеспечения самолетного парка моторами КО при СНК СССР постановляет:</w:t>
      </w:r>
    </w:p>
    <w:p w14:paraId="468CF1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довести мощность завода № 29 до выпуска с 1 января 1941 - 6000 штук моторов типа М-88 в год.</w:t>
      </w:r>
    </w:p>
    <w:p w14:paraId="2809C6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 изменение постановлений КО при СНК СССР № 23сс и № 77сс установить программу заводу № 29 на 1940 4800 моторов М-87 и М-88.</w:t>
      </w:r>
    </w:p>
    <w:p w14:paraId="1A0F85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Программу второго полугодия 1940 утвердить в 2800 моторов М-87 и М-88 со следующей разбивкой по месяцам: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3CEF6C45" w14:textId="77777777" w:rsidTr="009223E5">
        <w:tc>
          <w:tcPr>
            <w:tcW w:w="5636" w:type="dxa"/>
            <w:tcBorders>
              <w:top w:val="single" w:sz="12" w:space="0" w:color="auto"/>
            </w:tcBorders>
          </w:tcPr>
          <w:p w14:paraId="607496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w:t>
            </w:r>
          </w:p>
        </w:tc>
        <w:tc>
          <w:tcPr>
            <w:tcW w:w="5636" w:type="dxa"/>
            <w:tcBorders>
              <w:top w:val="single" w:sz="12" w:space="0" w:color="auto"/>
            </w:tcBorders>
          </w:tcPr>
          <w:p w14:paraId="73BD36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w:t>
            </w:r>
          </w:p>
        </w:tc>
      </w:tr>
      <w:tr w:rsidR="007D5DF8" w:rsidRPr="00DB5D0D" w14:paraId="68BCF79F" w14:textId="77777777" w:rsidTr="009223E5">
        <w:tc>
          <w:tcPr>
            <w:tcW w:w="5636" w:type="dxa"/>
          </w:tcPr>
          <w:p w14:paraId="481969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5636" w:type="dxa"/>
          </w:tcPr>
          <w:p w14:paraId="11FB17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w:t>
            </w:r>
          </w:p>
        </w:tc>
      </w:tr>
      <w:tr w:rsidR="007D5DF8" w:rsidRPr="00DB5D0D" w14:paraId="55C92DB7" w14:textId="77777777" w:rsidTr="009223E5">
        <w:tc>
          <w:tcPr>
            <w:tcW w:w="5636" w:type="dxa"/>
          </w:tcPr>
          <w:p w14:paraId="347473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сентябрь</w:t>
            </w:r>
          </w:p>
        </w:tc>
        <w:tc>
          <w:tcPr>
            <w:tcW w:w="5636" w:type="dxa"/>
          </w:tcPr>
          <w:p w14:paraId="72843A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r>
      <w:tr w:rsidR="007D5DF8" w:rsidRPr="00DB5D0D" w14:paraId="2F564ED3" w14:textId="77777777" w:rsidTr="009223E5">
        <w:tc>
          <w:tcPr>
            <w:tcW w:w="5636" w:type="dxa"/>
          </w:tcPr>
          <w:p w14:paraId="21EBA4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5636" w:type="dxa"/>
          </w:tcPr>
          <w:p w14:paraId="680F55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r>
      <w:tr w:rsidR="007D5DF8" w:rsidRPr="00DB5D0D" w14:paraId="2464718F" w14:textId="77777777" w:rsidTr="009223E5">
        <w:tc>
          <w:tcPr>
            <w:tcW w:w="5636" w:type="dxa"/>
          </w:tcPr>
          <w:p w14:paraId="1D1AB5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5636" w:type="dxa"/>
          </w:tcPr>
          <w:p w14:paraId="24C493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r>
      <w:tr w:rsidR="007D5DF8" w:rsidRPr="00DB5D0D" w14:paraId="5BD6313F" w14:textId="77777777" w:rsidTr="009223E5">
        <w:tc>
          <w:tcPr>
            <w:tcW w:w="5636" w:type="dxa"/>
            <w:tcBorders>
              <w:bottom w:val="single" w:sz="12" w:space="0" w:color="auto"/>
            </w:tcBorders>
          </w:tcPr>
          <w:p w14:paraId="3C6541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w:t>
            </w:r>
          </w:p>
        </w:tc>
        <w:tc>
          <w:tcPr>
            <w:tcW w:w="5636" w:type="dxa"/>
            <w:tcBorders>
              <w:bottom w:val="single" w:sz="12" w:space="0" w:color="auto"/>
            </w:tcBorders>
          </w:tcPr>
          <w:p w14:paraId="13987B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(10395,19).</w:t>
            </w:r>
          </w:p>
        </w:tc>
      </w:tr>
    </w:tbl>
    <w:p w14:paraId="432C20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Для обеспечения выпуска указанного количества моторов разрешить НКАП - заводу № 29 построить в течение 1940-1941 гг на заводе № 29: заготовительный цех, цех электронного литья и механической обработки его, цнг главного механика и центральную лабораторию.</w:t>
      </w:r>
    </w:p>
    <w:p w14:paraId="0ED61D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Выделить заводу № 29 дополнительно в 1940 году из резервного фонда СНК СССР 12 мллн. Руб. На капстроительство промышленных и жилищных объектов и переоборудование цехов завода.</w:t>
      </w:r>
    </w:p>
    <w:p w14:paraId="474569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Экономсовету при СНК Союза ССР выделить заводу № 29 в 3 и 4 кв. 1940 сферх фондов НКАП:</w:t>
      </w:r>
    </w:p>
    <w:p w14:paraId="4CF7C8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200 шт. металлорежущих станков по пригагаемой спецификации (приложение № 1)</w:t>
      </w:r>
    </w:p>
    <w:p w14:paraId="58DCE5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заменитель быстрореждущей стали ЭИ-290</w:t>
      </w:r>
      <w:r w:rsidRPr="00DB5D0D">
        <w:rPr>
          <w:rFonts w:ascii="Times New Roman" w:hAnsi="Times New Roman"/>
          <w:color w:val="000000" w:themeColor="text1"/>
          <w:sz w:val="16"/>
          <w:szCs w:val="16"/>
        </w:rPr>
        <w:tab/>
        <w:t>30 т.</w:t>
      </w:r>
    </w:p>
    <w:p w14:paraId="2D5D86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автопокрышек ЗИС-5 и ЯГ</w:t>
      </w:r>
      <w:r w:rsidRPr="00DB5D0D">
        <w:rPr>
          <w:rFonts w:ascii="Times New Roman" w:hAnsi="Times New Roman"/>
          <w:color w:val="000000" w:themeColor="text1"/>
          <w:sz w:val="16"/>
          <w:szCs w:val="16"/>
        </w:rPr>
        <w:tab/>
        <w:t>300 комп.</w:t>
      </w:r>
    </w:p>
    <w:p w14:paraId="7809CA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кабельную продукцию</w:t>
      </w:r>
      <w:r w:rsidRPr="00DB5D0D">
        <w:rPr>
          <w:rFonts w:ascii="Times New Roman" w:hAnsi="Times New Roman"/>
          <w:color w:val="000000" w:themeColor="text1"/>
          <w:sz w:val="16"/>
          <w:szCs w:val="16"/>
        </w:rPr>
        <w:tab/>
        <w:t>10 клм</w:t>
      </w:r>
    </w:p>
    <w:p w14:paraId="2AAC80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проводов разных сечений </w:t>
      </w:r>
      <w:r w:rsidRPr="00DB5D0D">
        <w:rPr>
          <w:rFonts w:ascii="Times New Roman" w:hAnsi="Times New Roman"/>
          <w:color w:val="000000" w:themeColor="text1"/>
          <w:sz w:val="16"/>
          <w:szCs w:val="16"/>
        </w:rPr>
        <w:tab/>
        <w:t>40 клм</w:t>
      </w:r>
    </w:p>
    <w:p w14:paraId="36BC44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электроаппаратуру и электрооборудование</w:t>
      </w:r>
    </w:p>
    <w:p w14:paraId="6F8AE3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Разрешить заводу № 29 импорт образцов и сложного фасонного инструмента на 1 млн. руб.</w:t>
      </w:r>
    </w:p>
    <w:p w14:paraId="3E3895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НКлес поставить заводу № 29 (г. Запорожье) сверх лимитов НКАП в 3 кв. С..г. сплавом 15 тысю. Кубов пиловочной древесины и в 4 кв. - 5000</w:t>
      </w:r>
    </w:p>
    <w:p w14:paraId="1BD3C1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Обящать СНК СССР полностью обеспечить в течение 1940-1941 г.г. промышленное и жилищное строительство завода № 29 кирпичем, известь.ю, алебастром, другими стройматериалами по заявке завода</w:t>
      </w:r>
    </w:p>
    <w:p w14:paraId="25BBE4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Цекомбанку выделить дополнительно заводу № 29 на индивидуальное жилстроителство в 1940 г. 1 млн. руб. Сверх сумм, ассигнованных НКАП по плану 1940 г. (10395,21).</w:t>
      </w:r>
    </w:p>
    <w:p w14:paraId="343113E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9D4F0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А.Н.Т. писал Л.П.Б. письмо:</w:t>
      </w:r>
    </w:p>
    <w:p w14:paraId="590B69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"Будучи по клевете и лжи арестованным, я не считаю возможным, чтобы столь ценный коллектив, который был одновременно со мной арестован, сколь либо долго не работал над созданием новых типов самолетов для нашего воздушного флота... Я обращаюсь с просьбой, учитывая всю мою работу на пользу Советского Союза по созданию воздушного флота, отменить решение военной коллегии, восстановить меня в правах советского гражданина и предоставить мне полноценную возможность и далее быть полезным Советскому Союзу созданием новых военных и гражданских самолетов.</w:t>
      </w:r>
    </w:p>
    <w:p w14:paraId="25CE3C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же касается вынужденно подписанных мною ложных протоколов, то за свое малодушие я достаточно наказан почти трехлетним лишением свободы".</w:t>
      </w:r>
    </w:p>
    <w:p w14:paraId="73FAE9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Народный комиссар, я очень прошу принять меня и лично заслушать. А.Н.Т. (1835,11).</w:t>
      </w:r>
    </w:p>
    <w:p w14:paraId="7BEC25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Л.П.Б. принял и подтвердил, свое обещание - "машина в воздухе - вы на свободе" (1835,11).</w:t>
      </w:r>
    </w:p>
    <w:p w14:paraId="2D5721F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BE04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 А.Н.Т. направил следующее письмо Берии:</w:t>
      </w:r>
    </w:p>
    <w:p w14:paraId="4ECDD5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«Будучи по клевете и лжи аресто</w:t>
      </w:r>
      <w:r w:rsidRPr="00DB5D0D">
        <w:rPr>
          <w:rFonts w:ascii="Times New Roman" w:hAnsi="Times New Roman"/>
          <w:color w:val="000000" w:themeColor="text1"/>
          <w:sz w:val="16"/>
          <w:szCs w:val="16"/>
        </w:rPr>
        <w:softHyphen/>
        <w:t>ван, я не считал возможным, чтобы столь ценный коллектив, который был одновременно со мной арестован, сколь-либо долго не работал над со</w:t>
      </w:r>
      <w:r w:rsidRPr="00DB5D0D">
        <w:rPr>
          <w:rFonts w:ascii="Times New Roman" w:hAnsi="Times New Roman"/>
          <w:color w:val="000000" w:themeColor="text1"/>
          <w:sz w:val="16"/>
          <w:szCs w:val="16"/>
        </w:rPr>
        <w:softHyphen/>
        <w:t>зданием новых типов самолетов для нашего воздушного флота... сделал ряд предложений по созданию пики</w:t>
      </w:r>
      <w:r w:rsidRPr="00DB5D0D">
        <w:rPr>
          <w:rFonts w:ascii="Times New Roman" w:hAnsi="Times New Roman"/>
          <w:color w:val="000000" w:themeColor="text1"/>
          <w:sz w:val="16"/>
          <w:szCs w:val="16"/>
        </w:rPr>
        <w:softHyphen/>
        <w:t>рующих бомбардировщиков в мае 1939 г., а именно ФБ - скоростной 4 -моторный или 2-моторный дальний пикирующий бомбардировщик был под моим руководством разработан не только в форме эскизного проекта, но и технического проекта и, частично, и рабочего проекта...</w:t>
      </w:r>
    </w:p>
    <w:p w14:paraId="498643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1939 г. предложил создать пикирующий 2-моторный бомбарди</w:t>
      </w:r>
      <w:r w:rsidRPr="00DB5D0D">
        <w:rPr>
          <w:rFonts w:ascii="Times New Roman" w:hAnsi="Times New Roman"/>
          <w:color w:val="000000" w:themeColor="text1"/>
          <w:sz w:val="16"/>
          <w:szCs w:val="16"/>
        </w:rPr>
        <w:softHyphen/>
        <w:t>ровщик ближнего действия СРБ (име</w:t>
      </w:r>
      <w:r w:rsidRPr="00DB5D0D">
        <w:rPr>
          <w:rFonts w:ascii="Times New Roman" w:hAnsi="Times New Roman"/>
          <w:color w:val="000000" w:themeColor="text1"/>
          <w:sz w:val="16"/>
          <w:szCs w:val="16"/>
        </w:rPr>
        <w:softHyphen/>
        <w:t>лось ввиду «ФБ»), который сейчас и находится в постройке и макетной ко</w:t>
      </w:r>
      <w:r w:rsidRPr="00DB5D0D">
        <w:rPr>
          <w:rFonts w:ascii="Times New Roman" w:hAnsi="Times New Roman"/>
          <w:color w:val="000000" w:themeColor="text1"/>
          <w:sz w:val="16"/>
          <w:szCs w:val="16"/>
        </w:rPr>
        <w:softHyphen/>
        <w:t>миссией военно-воздушного флота признан особо важным для обороны страны и подлежащим самому спеш</w:t>
      </w:r>
      <w:r w:rsidRPr="00DB5D0D">
        <w:rPr>
          <w:rFonts w:ascii="Times New Roman" w:hAnsi="Times New Roman"/>
          <w:color w:val="000000" w:themeColor="text1"/>
          <w:sz w:val="16"/>
          <w:szCs w:val="16"/>
        </w:rPr>
        <w:softHyphen/>
        <w:t>ному осуществлению...</w:t>
      </w:r>
    </w:p>
    <w:p w14:paraId="3ED225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обращаюсь с просьбой, учиты</w:t>
      </w:r>
      <w:r w:rsidRPr="00DB5D0D">
        <w:rPr>
          <w:rFonts w:ascii="Times New Roman" w:hAnsi="Times New Roman"/>
          <w:color w:val="000000" w:themeColor="text1"/>
          <w:sz w:val="16"/>
          <w:szCs w:val="16"/>
        </w:rPr>
        <w:softHyphen/>
        <w:t>вая всю мою работу на пользу Советс</w:t>
      </w:r>
      <w:r w:rsidRPr="00DB5D0D">
        <w:rPr>
          <w:rFonts w:ascii="Times New Roman" w:hAnsi="Times New Roman"/>
          <w:color w:val="000000" w:themeColor="text1"/>
          <w:sz w:val="16"/>
          <w:szCs w:val="16"/>
        </w:rPr>
        <w:softHyphen/>
        <w:t>кого Союза по созданию воздушного флота, отменить решение военной коллегии, восстановить меня в правах советского гражданина и представить мне полноценную возможность и да</w:t>
      </w:r>
      <w:r w:rsidRPr="00DB5D0D">
        <w:rPr>
          <w:rFonts w:ascii="Times New Roman" w:hAnsi="Times New Roman"/>
          <w:color w:val="000000" w:themeColor="text1"/>
          <w:sz w:val="16"/>
          <w:szCs w:val="16"/>
        </w:rPr>
        <w:softHyphen/>
        <w:t>лее быть полезным Советскому Союзу созданием новых военных и граждан</w:t>
      </w:r>
      <w:r w:rsidRPr="00DB5D0D">
        <w:rPr>
          <w:rFonts w:ascii="Times New Roman" w:hAnsi="Times New Roman"/>
          <w:color w:val="000000" w:themeColor="text1"/>
          <w:sz w:val="16"/>
          <w:szCs w:val="16"/>
        </w:rPr>
        <w:softHyphen/>
        <w:t>ских самолетов.</w:t>
      </w:r>
    </w:p>
    <w:p w14:paraId="1EE89D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же касается вынужденно под</w:t>
      </w:r>
      <w:r w:rsidRPr="00DB5D0D">
        <w:rPr>
          <w:rFonts w:ascii="Times New Roman" w:hAnsi="Times New Roman"/>
          <w:color w:val="000000" w:themeColor="text1"/>
          <w:sz w:val="16"/>
          <w:szCs w:val="16"/>
        </w:rPr>
        <w:softHyphen/>
        <w:t>писанных мною ложных протоколов, то за свое малодушие я достаточно наказан почти трехлетним лишением свободы.</w:t>
      </w:r>
    </w:p>
    <w:p w14:paraId="5CFB21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ТУПОЛЕВ.</w:t>
      </w:r>
    </w:p>
    <w:p w14:paraId="293E76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w:t>
      </w:r>
    </w:p>
    <w:p w14:paraId="5C4AF6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я очень про</w:t>
      </w:r>
      <w:r w:rsidRPr="00DB5D0D">
        <w:rPr>
          <w:rFonts w:ascii="Times New Roman" w:hAnsi="Times New Roman"/>
          <w:color w:val="000000" w:themeColor="text1"/>
          <w:sz w:val="16"/>
          <w:szCs w:val="16"/>
        </w:rPr>
        <w:softHyphen/>
        <w:t>шу принять меня и лично заслушать. А.Туполев».</w:t>
      </w:r>
    </w:p>
    <w:p w14:paraId="42F18F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Берия принял А.Н.Туполева и под</w:t>
      </w:r>
      <w:r w:rsidRPr="00DB5D0D">
        <w:rPr>
          <w:rFonts w:ascii="Times New Roman" w:hAnsi="Times New Roman"/>
          <w:color w:val="000000" w:themeColor="text1"/>
          <w:sz w:val="16"/>
          <w:szCs w:val="16"/>
        </w:rPr>
        <w:softHyphen/>
        <w:t>твердил свое ранее данное обещание - «самолет в воздухе - вы на свободе» (10728).</w:t>
      </w:r>
    </w:p>
    <w:p w14:paraId="480C31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6D450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- 13 (74,165). 1940 в системе НКАП был создан ЛИИ во главе с М.М.Громовым (66,219).</w:t>
      </w:r>
    </w:p>
    <w:p w14:paraId="6A24C7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29 июня 1940</w:t>
      </w:r>
    </w:p>
    <w:p w14:paraId="2007B75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10BB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 постановлением ЦК ВКП(б) и Совета Народных Комиссаров СССР был создан Институт летных испытаний (ЛИИ). Первым директором института был генерал -полковник авиации, Герой Советского Союза М. М. Громов, имя которого было присвоено институту постановлением Совета Министров СССР от 26 апреля 1986 г. В августе 1943 г. переименован в Летно-исследовательский институт (ЛИИ). Указом Президиума Верховного Совета СССР от 16 сентября 1945 г. награжден орденом Красного Знамени (12102).</w:t>
      </w:r>
    </w:p>
    <w:p w14:paraId="140365BA" w14:textId="77777777" w:rsidR="00CA68C7" w:rsidRPr="00DB5D0D" w:rsidRDefault="00CA68C7" w:rsidP="00DB5D0D">
      <w:pPr>
        <w:spacing w:after="0" w:line="240" w:lineRule="auto"/>
        <w:jc w:val="both"/>
        <w:rPr>
          <w:rFonts w:ascii="Times New Roman" w:hAnsi="Times New Roman"/>
          <w:color w:val="000000" w:themeColor="text1"/>
          <w:sz w:val="16"/>
          <w:szCs w:val="16"/>
        </w:rPr>
      </w:pPr>
    </w:p>
    <w:p w14:paraId="616247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 Постановлением СНК и ЦК ВКП(б) и 8 марта 1941 года приказом НКАП за № 104 на базе 8 отдела ЦАГИ был организован ЛИИ. Самостоятельно институт начал функционировать с 10 марта 1941 года.</w:t>
      </w:r>
    </w:p>
    <w:p w14:paraId="12634B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Институт расположен на двух площадках. Основная площадка – аэродром с комплексом производственных объектов, строительство которого начато в 1935 году и продолжается по настоящее время. Другая площадка – это территория и здания бывш. санатория ВЦСПС им. В.И. Ленина, переданных институту согласно постановлению секретариата ВЦСПС от 20 марта 1941 года (9426).</w:t>
      </w:r>
    </w:p>
    <w:p w14:paraId="0660B1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Звучало: “Организовать при НКАП институт летных исследований НКАП на базе аэродрома в Раменском” (5995).</w:t>
      </w:r>
    </w:p>
    <w:p w14:paraId="4674F99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9712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 в соответствии с постановлением СНК СССР и ЦК ВКП(б) в ведении наркомата авиационной промышленности был образован Институт летных исследований (ИЛИ), а соответствующим приказом наркомата от 8 марта 1941 года на основании вышеуказанного Постановления утверждено «Положение об Институте Летных исследований НКАП». В его состав были переведены лаборатории авиационного вооружения, летных испытаний в натуру, исследования винтомоторной группы, самолетных приборов (Самарский филиал РГАНТД. Ф. Р-220. Предисловие к Оп. 4-1. Л. 5.). Его начальником И.В. Сталин назначил М.М. Громова (учреждение позже именовалось несколько по-иному – Летно-исследовательский институт НКАП) (11672).</w:t>
      </w:r>
    </w:p>
    <w:p w14:paraId="0EA24FA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D574D6" w14:textId="77777777" w:rsidR="006F4177" w:rsidRPr="00DB5D0D" w:rsidRDefault="006F4177" w:rsidP="00DB5D0D">
      <w:pPr>
        <w:spacing w:after="0" w:line="240" w:lineRule="auto"/>
        <w:jc w:val="both"/>
        <w:rPr>
          <w:rFonts w:ascii="Times New Roman" w:hAnsi="Times New Roman"/>
          <w:color w:val="000000" w:themeColor="text1"/>
          <w:sz w:val="16"/>
          <w:szCs w:val="16"/>
        </w:rPr>
      </w:pPr>
      <w:r w:rsidRPr="00DB5D0D">
        <w:rPr>
          <w:rStyle w:val="af0"/>
          <w:rFonts w:ascii="Times New Roman" w:hAnsi="Times New Roman"/>
          <w:i w:val="0"/>
          <w:color w:val="000000" w:themeColor="text1"/>
          <w:sz w:val="16"/>
          <w:szCs w:val="16"/>
          <w:bdr w:val="none" w:sz="0" w:space="0" w:color="auto" w:frame="1"/>
          <w:shd w:val="clear" w:color="auto" w:fill="FFFFFF"/>
        </w:rPr>
        <w:t>13 июня 1940 года в соответствии с Постановлением СНК СССР и ЦК ВКП(б) на базе нескольких подразделений Центрального аэрогидродинамического института был создан Летно-исследовательский институт с размещением на вновь созданном аэродроме «Раменское». Официальным днем начала функционирования ЛИИ является 8 марта 1941 (19569).</w:t>
      </w:r>
    </w:p>
    <w:p w14:paraId="2EEFE2B3" w14:textId="77777777" w:rsidR="006F4177" w:rsidRPr="00DB5D0D" w:rsidRDefault="006F4177" w:rsidP="00DB5D0D">
      <w:pPr>
        <w:spacing w:after="0" w:line="240" w:lineRule="auto"/>
        <w:jc w:val="both"/>
        <w:rPr>
          <w:rFonts w:ascii="Times New Roman" w:hAnsi="Times New Roman"/>
          <w:color w:val="000000" w:themeColor="text1"/>
          <w:sz w:val="16"/>
          <w:szCs w:val="16"/>
        </w:rPr>
      </w:pPr>
    </w:p>
    <w:p w14:paraId="43D8C6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 была подготовлена справка тов. Ворошилову</w:t>
      </w:r>
    </w:p>
    <w:p w14:paraId="6E3B05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37 мм авиационной мотор-пушке</w:t>
      </w:r>
    </w:p>
    <w:p w14:paraId="694948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письме на имя Молотова В.М. начальник ОКБ-15 Шпитальный докладывает о трудностях, которые он встречает при создании 37 мм авиационной мотор-пушки, а именно:</w:t>
      </w:r>
    </w:p>
    <w:p w14:paraId="3B5E0C6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Представители ГУАСКА выступают против мотор-пушки 37 мм и не заключают договора с ОКБ-15 на изготовление опытного образца. Кроме того, ГУАСКА до сих пор не имеет тактико-технических требований на мотор-пушку 37 мм.</w:t>
      </w:r>
    </w:p>
    <w:p w14:paraId="220E20D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ОКБ-15 встречает трудности в получении средств на постройку мотор-пушки.</w:t>
      </w:r>
    </w:p>
    <w:p w14:paraId="130F6B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Шпитальный просит о проверке указанных им фактов и обсуждении на КО вопроса о мотор-пушках 37 мм.</w:t>
      </w:r>
    </w:p>
    <w:p w14:paraId="518F22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Молотовым В.М. дано указание: «помочь Шпитальному двинуть это дело».</w:t>
      </w:r>
    </w:p>
    <w:p w14:paraId="7B3A6F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в 1939 году по договору с ГУАСКА ОКБ-15 Шпитального должно было изготовить опытный образец 37 мм авиационной пушки в варианте крыльевой и фюзеляжной. Договор Шпитальным не был выполнен, работы над пушкой продолжаются в 1940 году и в июле 1940 года пушка должна быть сдана на испытания.</w:t>
      </w:r>
    </w:p>
    <w:p w14:paraId="0BD83A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Работы по 37 мм авиационным пушкам ведутся также КБ Таубина.</w:t>
      </w:r>
    </w:p>
    <w:p w14:paraId="014B9B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вызовом представителей ОКБ-15 Шпитального и ГУАСКА Никонова (начальника 3 гл. управления ГУАСКА) установил, что между ОКБ-15 и ГУАСКА существуют нездоровые взаимоотношения. В частности, ГУАСКА утверждает, что Шпитальный не выполняет технические требования ГУАСКА на изготовляемый опытный образец 37 мм авиапушки, т.е. он делает образец 37 мм пушки только в варианте крыльевой и фюзеляжной, а на мотор-пушку требует новый договор и новые технические требования, тогда как пушка должна быть универсальной.</w:t>
      </w:r>
    </w:p>
    <w:p w14:paraId="4C967A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совещания в секретариате КО ГУАСКА предъявило к ОКБ-15 новые технические требования на изготовление 37 мм мотор-пушки (в старых технических требованиях этого не было). Причем ГУАСКА намерено заключить второй договор на 37 мм мотор-пушку после рассмотрения технического проекта этой пушки, проектирование которой финансируется НКВ в сумме 50000 рублей и после выявления результатов испытаний, изготовляемой в настоящее время 37 мм авиапушки в варианте крыльевой и фюзеляжной.</w:t>
      </w:r>
    </w:p>
    <w:p w14:paraId="43F086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Шпитальный принял технические требования ГУАСКА на изготовление 37 мм мотор-пушки и просит утвердить правительственным решением ее изготовление, а также и самолет под эту мотор-пушку.</w:t>
      </w:r>
    </w:p>
    <w:p w14:paraId="7D6C49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(вычеркнуто - Секретариат КО считает необходимым:</w:t>
      </w:r>
    </w:p>
    <w:p w14:paraId="3E51A61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ОКБ-15 т. Шпитального сконструировать и изготовить 37мм мотор-пушку к 1 февраля 1941 г. по техническим требованиям ГУАСКА.</w:t>
      </w:r>
    </w:p>
    <w:p w14:paraId="5D5CA85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НКАП - тов. Шахурину внести предложение в КО о постройке нового с-та с мотор-пушкой калибра 37мм и приспособлении имеющихся с-тов для установки на них мотор-пушки калибра 37мм</w:t>
      </w:r>
    </w:p>
    <w:p w14:paraId="46B263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разрешания послать на заключение проект постановления КО в НКО, НКАП и в НКВ (3375,37).</w:t>
      </w:r>
    </w:p>
    <w:p w14:paraId="449851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 был напечатан проект постановления КО</w:t>
      </w:r>
    </w:p>
    <w:p w14:paraId="226B00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постройке 37 мм мотор-пушки конструкции ОКБ-15</w:t>
      </w:r>
    </w:p>
    <w:p w14:paraId="7DEDA4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20C8C74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Наркомвооружения Ванникова (ОКБ-15):</w:t>
      </w:r>
    </w:p>
    <w:p w14:paraId="5192C4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сконструировать и построить в одном экземпляре опытный образец мотор-пушки калибра 37 мм по тпктико-техническим требованиям ВВС (приложение № 1);</w:t>
      </w:r>
    </w:p>
    <w:p w14:paraId="06908D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провести заводские испытания мотор-пушки к 1 февраля 1941 года и предъявить на госиспытания к 1 марта 1941 года.</w:t>
      </w:r>
    </w:p>
    <w:p w14:paraId="7290264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НКО Тимошенко С.К.:</w:t>
      </w:r>
    </w:p>
    <w:p w14:paraId="1F18A0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провести госиспытания мотор-пушки до 1 апреля 1941 года;</w:t>
      </w:r>
    </w:p>
    <w:p w14:paraId="0EE05E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выделить НКВ по плану опытных работ 1,1 млн. руб. на финансирование работ ОКБ-15 по мотор-пушке в 1940 году.</w:t>
      </w:r>
    </w:p>
    <w:p w14:paraId="508CDC3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Наркомавиапром Шахурина А.И. в 10-ти дневный срок внести предложение в КО о постройке нового самолета с мотор-пушкой калибра 37 мм и приспособлении имеющихся самолетов для установки мотор-пушки калибра 37 мм (3375,38).</w:t>
      </w:r>
    </w:p>
    <w:p w14:paraId="46EA47A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24CBF2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13 по 26 июня 1940 года на НИП АВ ВВС проходили полигонные испытания 5 вариантов дымпатронов ДП-40, изготовленных заводом № 12</w:t>
      </w:r>
    </w:p>
    <w:p w14:paraId="3F1052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702E6B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Лавров</w:t>
      </w:r>
    </w:p>
    <w:p w14:paraId="3FCDF3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5B1448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видимость разрывов бомб П-40 при бомбометании с высоты 8000 м.</w:t>
      </w:r>
    </w:p>
    <w:p w14:paraId="342003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были предъявлены дымпатроны следующих рецептур:</w:t>
      </w:r>
    </w:p>
    <w:p w14:paraId="4B2723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валового снаряжения (метод заливки).</w:t>
      </w:r>
    </w:p>
    <w:p w14:paraId="377D4D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опытного (метод набивики).</w:t>
      </w:r>
    </w:p>
    <w:p w14:paraId="5D22D8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Аммотол опытного</w:t>
      </w:r>
    </w:p>
    <w:p w14:paraId="1CD121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Французская смесь</w:t>
      </w:r>
    </w:p>
    <w:p w14:paraId="1DFBF4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ДНН/ТНТ</w:t>
      </w:r>
    </w:p>
    <w:p w14:paraId="65CFF7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65B130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Дымпатроны ДП-40, снаряженные:</w:t>
      </w:r>
    </w:p>
    <w:p w14:paraId="1EF601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валового снаряжения (метод заливки).</w:t>
      </w:r>
    </w:p>
    <w:p w14:paraId="5E9D00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опытного (метод набивики).</w:t>
      </w:r>
    </w:p>
    <w:p w14:paraId="482ECF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Аммотол опытного</w:t>
      </w:r>
    </w:p>
    <w:p w14:paraId="46C9EB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Французская смесь</w:t>
      </w:r>
    </w:p>
    <w:p w14:paraId="4B4A6C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ДНН/ТНТ</w:t>
      </w:r>
    </w:p>
    <w:p w14:paraId="012E2E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обеспечению видимости разрывов с высоты 8000 м – полигонные испытания не выдержали.</w:t>
      </w:r>
    </w:p>
    <w:p w14:paraId="63C9E1D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наблюдений разрывов с высоты бомбометания не больше 6000 м, считать равноценными ДП-40:</w:t>
      </w:r>
    </w:p>
    <w:p w14:paraId="52EA60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валового снаряжения</w:t>
      </w:r>
    </w:p>
    <w:p w14:paraId="0477BC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опытного снаряжения</w:t>
      </w:r>
    </w:p>
    <w:p w14:paraId="00841F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ДНН/ТНТ (7537).</w:t>
      </w:r>
    </w:p>
    <w:p w14:paraId="67ADC88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F3F86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A8D86A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27352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 Комитет обороны при СНК СССР принял решение о форсированном строительстве комбината № 179 с введением в действие в 1940 г. мощностей: по производству снарядов - на 75 %, взрывателей - на 50, патронов - на 50, деревотарному производству - на 60 %. Строительство всего комбината этим решением предлагалось закончить к 1 декабря 1941 г. Поэтому решением Комитета обороны было доведено задание освоить на строительстве комбината 362 млн р. вместо ранее установленного плана в 178 млн р. В связи с тем, что за первое полугодие 1940 г. строители освоили только 59,2 млн р., во втором полугодии необходимо было производить строительные работы на сумму 50 млн р. ежемесячно. Для выполнения задания Комитета обороны необходимо было расширить производственно-техническую базу стройки, увеличить материально-технические фонды, дополнительно набрать около 20 тыс. чел. строительных и монтажных рабочих, укомплектовать стройку комбината дополнительно инженерно-техническими работниками, особенно монтажниками.</w:t>
      </w:r>
    </w:p>
    <w:p w14:paraId="3D220B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Новосибирский обком мобилизовал в области 1,7 тыс. рабочих и просил ЦК ВКП(б) (секретарей А. А. Андреева, Г. М. Маленкова) обязать наркоматы боеприпасов и строительства принять меры по вербовке рабочей силы для выполнения программы строительных работ во втором полугодии, увеличить мощность двух кирпичных заводов, прикрепить для обеспечения стройки цементом Яшкинский цементный завод, получить строительный лес из Асинлага НКВД, обязать 4-й проектный институт наркомата боеприпасов осуществлять проектирование непосредственно на строительной площадке снарядного завода на базе оборудования фирмы «Шкода», прокатного завода, ТЭЦ и других важнейших объектов. Также необходимо было ускорить решение вопроса о строительстве Коммунального моста через р. Обь, так как создаваемые на левом берегу Оби крупные предприятия с десятками тысяч рабочих были отрезаны от основной части города.</w:t>
      </w:r>
    </w:p>
    <w:p w14:paraId="5E14E6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наркомат боеприпасов, несмотря на докладные записки в ЦК ВКП(б) от 16 марта, 11 мая и 25 июля 1940 г. и решение ЦК, не принял мер к развертыванию строительства в соответствии с заданиями Комитета обороны. Снарядное производство не имело комплексных мощностей, его оборудование было смонтировано по временной планировке на 10 % проектной мощности. Взрывательное производство было оборудовано на 7,5 %, а патронное - на 8 % проектной мощности.</w:t>
      </w:r>
    </w:p>
    <w:p w14:paraId="62EC7A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со строительством, комбинат № 179 с 1939 г. начал выпускать оборонную продукцию. В 1940 г. его коллектив изготовил 261 тыс. шт. 76-миллиметровых снарядов, выполнив годовой план на 65,3 %; взрывателей: КТМ 1 - 170 тыс. шт., 97 % от плана; ГВМЗ - 250 тыс. шт., 104,2 % от плана; винтовых патронов - 25 970 тыс. шт., 10,4 % от плана. Основные производственные трудности заключались в том, что комбинат испытывал недостаток в режущем, контрольно-измерительном инструменте и сложных приборах, а также в неудовлетворительном снабжении спецсталями и твердыми сплавами. На комбинате работало 4 454 рабочих, или 73,3 % от планового показателя, ИТР - 856 чел., 85,6 % от плана. При общей необеспеченности уровень квалификации рабочих и ИТР не соответствовал требованиям технически сложного и трудоемкого производства. Большая часть руководящего состава и ИТР не имела никакого опыта работы на данном производстве. Весь состав рабочих кадров был сформирован из лиц, впервые пришедших на работу в оборонную промышленность; причем основная масса рабочих получала подготовку либо на заводе (система ученичества), либо в школах ФЗ У. 67,5 % от всего количества рабочих имели стаж работы в среднем 11 месяцев, возраст - до 25 лет. К началу 1940 г. на производственных площадях, где осуществлялся выпуск взрывателей, снарядов и патронов в годовом объеме, продолжалось строительство и монтаж оборудования. Поэтому ни одному из действующих производств не удалось отработать и внедрить единую постоянную технологию по всему циклу изготовления изделий. Несмотря на эти и другие трудности, 1940 г. был переломным в освоении и выпуске новых видов продукции. По сравнению с 1939 г. объем всей выпущенной комбинатом продукции увеличился в два раза, а оборонной - в десять раз (9684).</w:t>
      </w:r>
    </w:p>
    <w:p w14:paraId="252831A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048C23" w14:textId="77777777" w:rsidR="00CA68C7" w:rsidRPr="00DB5D0D" w:rsidRDefault="00CA68C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июня 1940 г. Комитет обороны при СНК СССР принял решение о форсированном строительстве </w:t>
      </w:r>
      <w:bookmarkStart w:id="40" w:name="YANDEX_21"/>
      <w:bookmarkEnd w:id="40"/>
      <w:r w:rsidRPr="00DB5D0D">
        <w:rPr>
          <w:rFonts w:ascii="Times New Roman" w:hAnsi="Times New Roman"/>
          <w:color w:val="000000" w:themeColor="text1"/>
          <w:sz w:val="16"/>
          <w:szCs w:val="16"/>
        </w:rPr>
        <w:t> комбината  № </w:t>
      </w:r>
      <w:bookmarkStart w:id="41" w:name="YANDEX_22"/>
      <w:bookmarkEnd w:id="41"/>
      <w:r w:rsidRPr="00DB5D0D">
        <w:rPr>
          <w:rFonts w:ascii="Times New Roman" w:hAnsi="Times New Roman"/>
          <w:color w:val="000000" w:themeColor="text1"/>
          <w:sz w:val="16"/>
          <w:szCs w:val="16"/>
        </w:rPr>
        <w:t xml:space="preserve"> 179  с введением в действие в 1940 г. мощностей: по производству снарядов — на 75 %, взрывателей — на 50, патронов — на 50, деревотарному производству — на 60 %. Строительство всего комбината этим </w:t>
      </w:r>
      <w:r w:rsidRPr="00DB5D0D">
        <w:rPr>
          <w:rFonts w:ascii="Times New Roman" w:hAnsi="Times New Roman"/>
          <w:color w:val="000000" w:themeColor="text1"/>
          <w:sz w:val="16"/>
          <w:szCs w:val="16"/>
        </w:rPr>
        <w:lastRenderedPageBreak/>
        <w:t>решением предлагалось закончить к 1 декабря 1941 г. Поэтому решением Комитета обороны было доведено задание освоить на строительстве комбината 362 млн р. вместо ранее установленного плана в 178 млн р. В связи с тем, что за первое полугодие 1940 г. строители освоили только 59,2 млн р., во втором полугодии необходимо было производить строительные работы на сумму 50 млн р. ежемесячно. Для выполнения задания Комитета обороны необходимо было расширить производственно-техническую базу стройки, увеличить материально-технические фонды, дополнительно набрать около 20 тыс. чел. строительных и монтажных рабочих, укомплектовать стройку комбината дополнительно инженерно-техническими работниками, особенно монтажниками (15733).</w:t>
      </w:r>
    </w:p>
    <w:p w14:paraId="5380D95B" w14:textId="77777777" w:rsidR="00CA68C7" w:rsidRPr="00DB5D0D" w:rsidRDefault="00CA68C7" w:rsidP="00DB5D0D">
      <w:pPr>
        <w:spacing w:after="0" w:line="240" w:lineRule="auto"/>
        <w:jc w:val="both"/>
        <w:rPr>
          <w:rFonts w:ascii="Times New Roman" w:hAnsi="Times New Roman"/>
          <w:color w:val="000000" w:themeColor="text1"/>
          <w:sz w:val="16"/>
          <w:szCs w:val="16"/>
        </w:rPr>
      </w:pPr>
    </w:p>
    <w:p w14:paraId="111F4C35"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w:t>
      </w:r>
    </w:p>
    <w:p w14:paraId="78BB400D"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148. Докладная записка наркома обороны СССР С. К. Тимошенко в Политбюро ЦК ВКП(б) и СНК СССР о мероприятиях по снабжению армии новыми 107</w:t>
      </w:r>
      <w:r w:rsidRPr="00DB5D0D">
        <w:rPr>
          <w:rFonts w:ascii="Times New Roman" w:hAnsi="Times New Roman"/>
          <w:color w:val="000000" w:themeColor="text1"/>
          <w:sz w:val="16"/>
          <w:szCs w:val="16"/>
        </w:rPr>
        <w:noBreakHyphen/>
        <w:t>мм дивизионными пушками</w:t>
      </w:r>
    </w:p>
    <w:p w14:paraId="429538C5"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71AFB5C1"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616-617.</w:t>
      </w:r>
    </w:p>
    <w:p w14:paraId="7CDCA54B"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37BE3BF0"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24. Д. 494. Л. 18-19. Подлинник.</w:t>
      </w:r>
    </w:p>
    <w:p w14:paraId="180E2C40"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72C4405B"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172 им. Молотова спроектировал и изготовил новую 107</w:t>
      </w:r>
      <w:r w:rsidRPr="00DB5D0D">
        <w:rPr>
          <w:rFonts w:ascii="Times New Roman" w:hAnsi="Times New Roman"/>
          <w:color w:val="000000" w:themeColor="text1"/>
          <w:sz w:val="16"/>
          <w:szCs w:val="16"/>
        </w:rPr>
        <w:noBreakHyphen/>
        <w:t>мм пушку по тактико-техническим требованиям НКО (АУ Красной армии)[</w:t>
      </w:r>
      <w:hyperlink r:id="rId118"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Полигонные испытания опытного образца этой пушки показали, что новая 107</w:t>
      </w:r>
      <w:r w:rsidRPr="00DB5D0D">
        <w:rPr>
          <w:rFonts w:ascii="Times New Roman" w:hAnsi="Times New Roman"/>
          <w:color w:val="000000" w:themeColor="text1"/>
          <w:sz w:val="16"/>
          <w:szCs w:val="16"/>
        </w:rPr>
        <w:noBreakHyphen/>
        <w:t>мм пушка имеет ряд боевых и тактических преимуществ по сравнению со штатной 107</w:t>
      </w:r>
      <w:r w:rsidRPr="00DB5D0D">
        <w:rPr>
          <w:rFonts w:ascii="Times New Roman" w:hAnsi="Times New Roman"/>
          <w:color w:val="000000" w:themeColor="text1"/>
          <w:sz w:val="16"/>
          <w:szCs w:val="16"/>
        </w:rPr>
        <w:noBreakHyphen/>
        <w:t>мм пушкой обр. 1910/1930 г. и не уступает по своим данным 105</w:t>
      </w:r>
      <w:r w:rsidRPr="00DB5D0D">
        <w:rPr>
          <w:rFonts w:ascii="Times New Roman" w:hAnsi="Times New Roman"/>
          <w:color w:val="000000" w:themeColor="text1"/>
          <w:sz w:val="16"/>
          <w:szCs w:val="16"/>
        </w:rPr>
        <w:noBreakHyphen/>
        <w:t>мм пушке фирмы “Шкода”, которая явилась ее прототипом. Выявленные испытаниями недостатки этой пушки могут быть устранены в течение 1</w:t>
      </w:r>
      <w:r w:rsidRPr="00DB5D0D">
        <w:rPr>
          <w:rFonts w:ascii="Times New Roman" w:hAnsi="Times New Roman"/>
          <w:color w:val="000000" w:themeColor="text1"/>
          <w:sz w:val="16"/>
          <w:szCs w:val="16"/>
        </w:rPr>
        <w:noBreakHyphen/>
        <w:t>1,5 месяцев.</w:t>
      </w:r>
    </w:p>
    <w:p w14:paraId="6DE5CA3B"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наличии бронебойного снаряда в боекомплекте новая 107</w:t>
      </w:r>
      <w:r w:rsidRPr="00DB5D0D">
        <w:rPr>
          <w:rFonts w:ascii="Times New Roman" w:hAnsi="Times New Roman"/>
          <w:color w:val="000000" w:themeColor="text1"/>
          <w:sz w:val="16"/>
          <w:szCs w:val="16"/>
        </w:rPr>
        <w:noBreakHyphen/>
        <w:t>мм пушка сможет вести борьбу с тяжелыми танками противника, и ее необходимо будет иметь в составе дивизионной артиллерии. На особо трудных участках (по условиям  местности) эта пушка будет включаться в состав корпусной артиллерии.</w:t>
      </w:r>
    </w:p>
    <w:p w14:paraId="238C3E49"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снабжения армии этими пушками в 1941 г. необходимо в  настоящее время провести следующие мероприятия.</w:t>
      </w:r>
    </w:p>
    <w:p w14:paraId="563E2BF1"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Обязать народного комиссара вооружения:</w:t>
      </w:r>
    </w:p>
    <w:p w14:paraId="2A28A9F3"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доработать к 15 июля с. г. опытные образцы пушки на заводе № 172 им. Молотова;</w:t>
      </w:r>
    </w:p>
    <w:p w14:paraId="750C8A3E"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изготовить к 1 декабря с. г. серию пушек в количестве 24 шт. на заводе № 352, отработав на этой серии чертежи для валового производства;</w:t>
      </w:r>
    </w:p>
    <w:p w14:paraId="7D206AD9"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подготовить к 1 января 1941 г. валовое производство этих пушек на заводе № 352 с выпуском 1 тыс. шт. в течение 1941 г.</w:t>
      </w:r>
    </w:p>
    <w:p w14:paraId="5FB010A0"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Обязать народного комиссара боеприпасов:</w:t>
      </w:r>
    </w:p>
    <w:p w14:paraId="007AA577"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Доработать к 1 августа с. г. выстрелы к этой пушке и изготовить 3,5 тыс. выстрелов для войсковых испытаний;</w:t>
      </w:r>
    </w:p>
    <w:p w14:paraId="7C2A89D0"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изготовить к 1 ноября с. г. 26 тыс. выстрелов в обеспечение серийного выпуска пушек.</w:t>
      </w:r>
    </w:p>
    <w:p w14:paraId="06F5EAA0"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НКО — в августе месяце сего года провести войсковые испытания пушек.</w:t>
      </w:r>
    </w:p>
    <w:p w14:paraId="2336B718"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Представляю проект постановления КО “О подготовке производства новых 107</w:t>
      </w:r>
      <w:r w:rsidRPr="00DB5D0D">
        <w:rPr>
          <w:rFonts w:ascii="Times New Roman" w:hAnsi="Times New Roman"/>
          <w:color w:val="000000" w:themeColor="text1"/>
          <w:sz w:val="16"/>
          <w:szCs w:val="16"/>
        </w:rPr>
        <w:noBreakHyphen/>
        <w:t>мм дивизионных пушек и боеприпасов к ним”.</w:t>
      </w:r>
    </w:p>
    <w:p w14:paraId="051AEBB0"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утвердить[</w:t>
      </w:r>
      <w:hyperlink r:id="rId119" w:anchor="p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w:t>
      </w:r>
    </w:p>
    <w:p w14:paraId="74D07BDA"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w:t>
      </w:r>
      <w:hyperlink r:id="rId120" w:anchor="p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 1) проект постановления КО на 2 л.; 2) краткое описание на  2 л.; 3) краткая сводка результатов испытаний на 3 л.; 4) таблица основных характеристик на 1 л.</w:t>
      </w:r>
    </w:p>
    <w:p w14:paraId="7D2C4DE2"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Маршал Советского СоюзаС. Тимошенко</w:t>
      </w:r>
    </w:p>
    <w:p w14:paraId="27B4C253"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p w14:paraId="5C8FC14B"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21"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Проектирование 107</w:t>
      </w:r>
      <w:r w:rsidRPr="00DB5D0D">
        <w:rPr>
          <w:rFonts w:ascii="Times New Roman" w:hAnsi="Times New Roman"/>
          <w:color w:val="000000" w:themeColor="text1"/>
          <w:sz w:val="16"/>
          <w:szCs w:val="16"/>
        </w:rPr>
        <w:noBreakHyphen/>
        <w:t>мм дивизионной пушки началось осенью 1938 г. в конструкторском бюро завода № 172. Руководил работами Ф. Ф. Петров. Орудие разрабатывалось в нескольких вариантах, получивших индексы М</w:t>
      </w:r>
      <w:r w:rsidRPr="00DB5D0D">
        <w:rPr>
          <w:rFonts w:ascii="Times New Roman" w:hAnsi="Times New Roman"/>
          <w:color w:val="000000" w:themeColor="text1"/>
          <w:sz w:val="16"/>
          <w:szCs w:val="16"/>
        </w:rPr>
        <w:noBreakHyphen/>
        <w:t>25, М</w:t>
      </w:r>
      <w:r w:rsidRPr="00DB5D0D">
        <w:rPr>
          <w:rFonts w:ascii="Times New Roman" w:hAnsi="Times New Roman"/>
          <w:color w:val="000000" w:themeColor="text1"/>
          <w:sz w:val="16"/>
          <w:szCs w:val="16"/>
        </w:rPr>
        <w:noBreakHyphen/>
        <w:t>45 и М</w:t>
      </w:r>
      <w:r w:rsidRPr="00DB5D0D">
        <w:rPr>
          <w:rFonts w:ascii="Times New Roman" w:hAnsi="Times New Roman"/>
          <w:color w:val="000000" w:themeColor="text1"/>
          <w:sz w:val="16"/>
          <w:szCs w:val="16"/>
        </w:rPr>
        <w:noBreakHyphen/>
        <w:t>60. Пушки М</w:t>
      </w:r>
      <w:r w:rsidRPr="00DB5D0D">
        <w:rPr>
          <w:rFonts w:ascii="Times New Roman" w:hAnsi="Times New Roman"/>
          <w:color w:val="000000" w:themeColor="text1"/>
          <w:sz w:val="16"/>
          <w:szCs w:val="16"/>
        </w:rPr>
        <w:noBreakHyphen/>
        <w:t>25 и М</w:t>
      </w:r>
      <w:r w:rsidRPr="00DB5D0D">
        <w:rPr>
          <w:rFonts w:ascii="Times New Roman" w:hAnsi="Times New Roman"/>
          <w:color w:val="000000" w:themeColor="text1"/>
          <w:sz w:val="16"/>
          <w:szCs w:val="16"/>
        </w:rPr>
        <w:noBreakHyphen/>
        <w:t>45 являлись дуплексами 152</w:t>
      </w:r>
      <w:r w:rsidRPr="00DB5D0D">
        <w:rPr>
          <w:rFonts w:ascii="Times New Roman" w:hAnsi="Times New Roman"/>
          <w:color w:val="000000" w:themeColor="text1"/>
          <w:sz w:val="16"/>
          <w:szCs w:val="16"/>
        </w:rPr>
        <w:noBreakHyphen/>
        <w:t>мм гаубицы М</w:t>
      </w:r>
      <w:r w:rsidRPr="00DB5D0D">
        <w:rPr>
          <w:rFonts w:ascii="Times New Roman" w:hAnsi="Times New Roman"/>
          <w:color w:val="000000" w:themeColor="text1"/>
          <w:sz w:val="16"/>
          <w:szCs w:val="16"/>
        </w:rPr>
        <w:noBreakHyphen/>
        <w:t>10 (107</w:t>
      </w:r>
      <w:r w:rsidRPr="00DB5D0D">
        <w:rPr>
          <w:rFonts w:ascii="Times New Roman" w:hAnsi="Times New Roman"/>
          <w:color w:val="000000" w:themeColor="text1"/>
          <w:sz w:val="16"/>
          <w:szCs w:val="16"/>
        </w:rPr>
        <w:noBreakHyphen/>
        <w:t>мм ствол был наложен на лафет этой гаубицы). Несмотря на то что их опытные образцы прошли испытания, был выбран проект М</w:t>
      </w:r>
      <w:r w:rsidRPr="00DB5D0D">
        <w:rPr>
          <w:rFonts w:ascii="Times New Roman" w:hAnsi="Times New Roman"/>
          <w:color w:val="000000" w:themeColor="text1"/>
          <w:sz w:val="16"/>
          <w:szCs w:val="16"/>
        </w:rPr>
        <w:noBreakHyphen/>
        <w:t>60 с заново разработанным  лафетом. М</w:t>
      </w:r>
      <w:r w:rsidRPr="00DB5D0D">
        <w:rPr>
          <w:rFonts w:ascii="Times New Roman" w:hAnsi="Times New Roman"/>
          <w:color w:val="000000" w:themeColor="text1"/>
          <w:sz w:val="16"/>
          <w:szCs w:val="16"/>
        </w:rPr>
        <w:noBreakHyphen/>
        <w:t>60 также имел два варианта: с оттягивающимся при транспортировке стволом и с поворотом ствола на 180° при переходе в походное положение. В результате предпочтение отдали первому варианту. 13 декабря 1939 г. прошедшие заводские испытания опытные образцы пушки были отправлены на полигонные испытания, выявившие некоторые недоработки системы. В октябре 1940 г. пушка М</w:t>
      </w:r>
      <w:r w:rsidRPr="00DB5D0D">
        <w:rPr>
          <w:rFonts w:ascii="Times New Roman" w:hAnsi="Times New Roman"/>
          <w:color w:val="000000" w:themeColor="text1"/>
          <w:sz w:val="16"/>
          <w:szCs w:val="16"/>
        </w:rPr>
        <w:noBreakHyphen/>
        <w:t>60 с уже устраненными недостатками успешно прошла войсковые испытания и была принята на вооружение Красной армии под официальным названием «107</w:t>
      </w:r>
      <w:r w:rsidRPr="00DB5D0D">
        <w:rPr>
          <w:rFonts w:ascii="Times New Roman" w:hAnsi="Times New Roman"/>
          <w:color w:val="000000" w:themeColor="text1"/>
          <w:sz w:val="16"/>
          <w:szCs w:val="16"/>
        </w:rPr>
        <w:noBreakHyphen/>
        <w:t>мм универсальная дивизионная пушка большой мощности обр. 1940 г.». Серийный выпуск орудия поручили заводу № 352, который в 1940 г. произвел 25 пушек, а в 1941 г. — 101. Вскоре после начала войны серийное производство орудия было прекращено по ряду причин.</w:t>
      </w:r>
    </w:p>
    <w:p w14:paraId="11F73D9B"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22" w:anchor="s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Постановление Комитета обороны при СНК СССР № 265сс “О подготовке производства новых 107</w:t>
      </w:r>
      <w:r w:rsidRPr="00DB5D0D">
        <w:rPr>
          <w:rFonts w:ascii="Times New Roman" w:hAnsi="Times New Roman"/>
          <w:color w:val="000000" w:themeColor="text1"/>
          <w:sz w:val="16"/>
          <w:szCs w:val="16"/>
        </w:rPr>
        <w:noBreakHyphen/>
        <w:t>мм дивизионных пушек и боеприпасов к ним” было принято 16 июня 1940 г. Оно закрепило положения, содержащиеся в докладной записке. Постановление содержало также требование «представить к 20 июня 1940 г. на утверждение Комитета обороны предложения о необходимых мероприятиях по обеспечению развертывания на заводе № 352 валового производства и выпуска в 1941 г. 1 тыс. шт. 107</w:t>
      </w:r>
      <w:r w:rsidRPr="00DB5D0D">
        <w:rPr>
          <w:rFonts w:ascii="Times New Roman" w:hAnsi="Times New Roman"/>
          <w:color w:val="000000" w:themeColor="text1"/>
          <w:sz w:val="16"/>
          <w:szCs w:val="16"/>
        </w:rPr>
        <w:noBreakHyphen/>
        <w:t>мм пушек». Задания  наркому боеприпасов были сформулированы следующим образом: «а) доработать к 20 июля 1940 г. осколочно-фугасный снаряд, донный взрыватель к бронебойному снаряду, заряд и гильзу новой 107</w:t>
      </w:r>
      <w:r w:rsidRPr="00DB5D0D">
        <w:rPr>
          <w:rFonts w:ascii="Times New Roman" w:hAnsi="Times New Roman"/>
          <w:color w:val="000000" w:themeColor="text1"/>
          <w:sz w:val="16"/>
          <w:szCs w:val="16"/>
        </w:rPr>
        <w:noBreakHyphen/>
        <w:t>мм пушки по техническим требованиям НКО. Одновременно изготовить и сдать к указанному сроку 3 тыс. выстрелов с осколочно-фугасными снарядами и 500 выстрелов с бронебойными снарядами для обеспечения войсковых испытаний; б) изготовить к 1 ноября с. г. 24 тыс. выстрелов с осколочно-фугасными снарядами и 2 тыс. выстрелов с бронебойными снарядами; в) подготовить к 1 января 1941 г. заводы к валовому производству выстрелов новой 107</w:t>
      </w:r>
      <w:r w:rsidRPr="00DB5D0D">
        <w:rPr>
          <w:rFonts w:ascii="Times New Roman" w:hAnsi="Times New Roman"/>
          <w:color w:val="000000" w:themeColor="text1"/>
          <w:sz w:val="16"/>
          <w:szCs w:val="16"/>
        </w:rPr>
        <w:noBreakHyphen/>
        <w:t>мм дивизионной пушки в комплектном виде из расчета 1 млн. выстрелов с осколочно-фугасными снарядами и 100 тыс. выстрелов с бронебойными снарядами». Народному комиссару обороны предписывалось: «а) передать в июне месяце 1940 г. в распоряжение народного комиссара боеприпасов Союза ССР для отработки выстрела один опытный образец новой 107</w:t>
      </w:r>
      <w:r w:rsidRPr="00DB5D0D">
        <w:rPr>
          <w:rFonts w:ascii="Times New Roman" w:hAnsi="Times New Roman"/>
          <w:color w:val="000000" w:themeColor="text1"/>
          <w:sz w:val="16"/>
          <w:szCs w:val="16"/>
        </w:rPr>
        <w:noBreakHyphen/>
        <w:t>мм дивизионной пушки; б) организовать и провести войсковые испытания новой 107</w:t>
      </w:r>
      <w:r w:rsidRPr="00DB5D0D">
        <w:rPr>
          <w:rFonts w:ascii="Times New Roman" w:hAnsi="Times New Roman"/>
          <w:color w:val="000000" w:themeColor="text1"/>
          <w:sz w:val="16"/>
          <w:szCs w:val="16"/>
        </w:rPr>
        <w:noBreakHyphen/>
        <w:t>мм дивизионной пушки на двух образцах, отработанных на заводе № 172 им. Молотова, в период с 1 по 20 августа 1940 г. и о результатах доложить к 1 сентября 1940 г. Комитету обороны». (ГА РФ. Ф. Р</w:t>
      </w:r>
      <w:r w:rsidRPr="00DB5D0D">
        <w:rPr>
          <w:rFonts w:ascii="Times New Roman" w:hAnsi="Times New Roman"/>
          <w:color w:val="000000" w:themeColor="text1"/>
          <w:sz w:val="16"/>
          <w:szCs w:val="16"/>
        </w:rPr>
        <w:noBreakHyphen/>
        <w:t>8418. Оп. 28. Д. 116. Л. 244</w:t>
      </w:r>
      <w:r w:rsidRPr="00DB5D0D">
        <w:rPr>
          <w:rFonts w:ascii="Times New Roman" w:hAnsi="Times New Roman"/>
          <w:color w:val="000000" w:themeColor="text1"/>
          <w:sz w:val="16"/>
          <w:szCs w:val="16"/>
        </w:rPr>
        <w:noBreakHyphen/>
        <w:t>245.)</w:t>
      </w:r>
    </w:p>
    <w:p w14:paraId="5503113D"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23" w:anchor="s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 Приложения не публикуются: см. там же, Л. 3</w:t>
      </w:r>
      <w:r w:rsidRPr="00DB5D0D">
        <w:rPr>
          <w:rFonts w:ascii="Times New Roman" w:hAnsi="Times New Roman"/>
          <w:color w:val="000000" w:themeColor="text1"/>
          <w:sz w:val="16"/>
          <w:szCs w:val="16"/>
        </w:rPr>
        <w:noBreakHyphen/>
        <w:t>7.</w:t>
      </w:r>
    </w:p>
    <w:p w14:paraId="71B93842" w14:textId="77777777" w:rsidR="00981D68" w:rsidRPr="00DB5D0D" w:rsidRDefault="00981D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24. Д. 494. Л. 18-19. Подлинник (17907).</w:t>
      </w:r>
    </w:p>
    <w:p w14:paraId="69B039C7" w14:textId="77777777" w:rsidR="00981D68" w:rsidRPr="00DB5D0D" w:rsidRDefault="00981D68" w:rsidP="00DB5D0D">
      <w:pPr>
        <w:spacing w:after="0" w:line="240" w:lineRule="auto"/>
        <w:jc w:val="both"/>
        <w:rPr>
          <w:rFonts w:ascii="Times New Roman" w:hAnsi="Times New Roman"/>
          <w:color w:val="000000" w:themeColor="text1"/>
          <w:sz w:val="16"/>
          <w:szCs w:val="16"/>
        </w:rPr>
      </w:pPr>
    </w:p>
    <w:p w14:paraId="28A586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13 июня 1940 началось строительство будущего завода № 75 в Юрге. Завод основан в годы ВОВ на базе эвакуированных сюда Новокраматорского машиностроительного, Ленинградского машиностроительного заводов, заводов «Большевик» и «Баррикады». В 1965 г. завод из системы СНХ передан в ведение 4ГУ МОМ.77 Акционирован в 1994 г. В 2004 г. после завершения конкурсного производства на базе ОАО «Юрмаш» создано пять дочерних ООО, куда выведены все активы. Затем, в том же году, они вновь сведены в ООО «ПО «Юрмаш». Управление осуществляет УК «Юрмаш-холдинг».</w:t>
      </w:r>
    </w:p>
    <w:p w14:paraId="712966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(1960-е)- В.Н. Есаулов. Гендиректор (2002 г.)- В.В. Кочетов.</w:t>
      </w:r>
    </w:p>
    <w:p w14:paraId="5C48BB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(2002 г.)- Б.М. Ефременков.</w:t>
      </w:r>
    </w:p>
    <w:p w14:paraId="6D5D56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железнодорожных ПУ для МБР РТ-23УТТХ (1980-е),58 наземное стартовое оборудование для РН «Буран»; (2004) горно-шахтное оборудование; краны, погрузчики, сельхозтехника.69</w:t>
      </w:r>
    </w:p>
    <w:p w14:paraId="30D4CD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 «Юрмаш-холдинг»</w:t>
      </w:r>
    </w:p>
    <w:p w14:paraId="6EE8F0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совета директоров (2005 г.)- Д. Вовк (10776).</w:t>
      </w:r>
    </w:p>
    <w:p w14:paraId="7962C1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Юргинский машиностроительный завод (ЮМЗ, Юрмаш) СНХ, МОМ, ОАО «Юрмаш», ООО «ПО «Юрмаш»</w:t>
      </w:r>
    </w:p>
    <w:p w14:paraId="5CB938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652050 г. Юрга Кемеровской обл. Ул. Шоссейная, 3 тел. 74100</w:t>
      </w:r>
    </w:p>
    <w:p w14:paraId="48B0607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70C3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 вышло решение КО при СНК и ЦК ВКПб, согласно которому для вооружения нового среднего танка требовалось 76-мм орудие с баллистикой дивизионной пушки Ф-22. Приказом по НКВ № 164 от 14 июня 1940 г. заводу № 92 предписывалось начать испытания нового орудия с полевого станка 1 сентября 1940 г. Для экономии времени ОКБ № 92 использовало практи</w:t>
      </w:r>
      <w:r w:rsidRPr="00DB5D0D">
        <w:rPr>
          <w:rFonts w:ascii="Times New Roman" w:hAnsi="Times New Roman"/>
          <w:color w:val="000000" w:themeColor="text1"/>
          <w:sz w:val="16"/>
          <w:szCs w:val="16"/>
        </w:rPr>
        <w:softHyphen/>
        <w:t>чески законченный проект 76-мм танковой пушки с баллис</w:t>
      </w:r>
      <w:r w:rsidRPr="00DB5D0D">
        <w:rPr>
          <w:rFonts w:ascii="Times New Roman" w:hAnsi="Times New Roman"/>
          <w:color w:val="000000" w:themeColor="text1"/>
          <w:sz w:val="16"/>
          <w:szCs w:val="16"/>
        </w:rPr>
        <w:softHyphen/>
        <w:t>тикой зенитного орудия обр. 1931/38 гг. — Ф-27. В проекте были сделаны лишь те изменения, которые требовались для уравновешивания более короткого ствола, а также упроще</w:t>
      </w:r>
      <w:r w:rsidRPr="00DB5D0D">
        <w:rPr>
          <w:rFonts w:ascii="Times New Roman" w:hAnsi="Times New Roman"/>
          <w:color w:val="000000" w:themeColor="text1"/>
          <w:sz w:val="16"/>
          <w:szCs w:val="16"/>
        </w:rPr>
        <w:softHyphen/>
        <w:t>ния технологии изготовления. С 15 по 25 сентября орудие Ф-34 проходило программу отстрела с полевого станка (от орудия Ф-22УСВ). К 1 октября опытное орудие было установлено в башне танка БТ-7А и поступило на заводские ис</w:t>
      </w:r>
      <w:r w:rsidRPr="00DB5D0D">
        <w:rPr>
          <w:rFonts w:ascii="Times New Roman" w:hAnsi="Times New Roman"/>
          <w:color w:val="000000" w:themeColor="text1"/>
          <w:sz w:val="16"/>
          <w:szCs w:val="16"/>
        </w:rPr>
        <w:softHyphen/>
        <w:t>пытания обкаткой и стрельбой. Испытания завершились 20 ноября, а поскольку никаких серьезных недоработок в конструкции пушки найдено не было, то уже 21 ноября ору</w:t>
      </w:r>
      <w:r w:rsidRPr="00DB5D0D">
        <w:rPr>
          <w:rFonts w:ascii="Times New Roman" w:hAnsi="Times New Roman"/>
          <w:color w:val="000000" w:themeColor="text1"/>
          <w:sz w:val="16"/>
          <w:szCs w:val="16"/>
        </w:rPr>
        <w:softHyphen/>
        <w:t>дие было рекомендовано для принятия на вооружение и предстало перед приемочной комиссией НКО (10782).</w:t>
      </w:r>
    </w:p>
    <w:p w14:paraId="4E13F6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ED3FA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Наркомат обо</w:t>
      </w:r>
      <w:r w:rsidRPr="00DB5D0D">
        <w:rPr>
          <w:rFonts w:ascii="Times New Roman" w:hAnsi="Times New Roman"/>
          <w:color w:val="000000" w:themeColor="text1"/>
          <w:sz w:val="16"/>
          <w:szCs w:val="16"/>
        </w:rPr>
        <w:softHyphen/>
        <w:t>роны в письме рекомендовал вооружать «улучшенный танк Т-34» именно образцом танкового орудия Ф-34, которое было в то время самым мощным в мире, но которое еще предстояло создать и испытать (10782).</w:t>
      </w:r>
    </w:p>
    <w:p w14:paraId="554320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B4FF2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13 июня 1940 г. вышло ре</w:t>
      </w:r>
      <w:r w:rsidRPr="00DB5D0D">
        <w:rPr>
          <w:rFonts w:ascii="Times New Roman" w:hAnsi="Times New Roman"/>
          <w:color w:val="000000" w:themeColor="text1"/>
          <w:sz w:val="16"/>
          <w:szCs w:val="16"/>
        </w:rPr>
        <w:softHyphen/>
        <w:t>шение КО при СНК и-ЦК ВКП(б) о том, что для вооружения нового среднего танка требовалось 76-мм орудие с баллистикой пушки Ф-22 (длина ствола — 50 калиб</w:t>
      </w:r>
      <w:r w:rsidRPr="00DB5D0D">
        <w:rPr>
          <w:rFonts w:ascii="Times New Roman" w:hAnsi="Times New Roman"/>
          <w:color w:val="000000" w:themeColor="text1"/>
          <w:sz w:val="16"/>
          <w:szCs w:val="16"/>
        </w:rPr>
        <w:softHyphen/>
        <w:t>ров). Приказом по НКВ № 164 ее от 14 июня 1940 г. заводу № 92 предписывалось начать испытания нового орудия с полевого станка с 1 сентября 1940 г. Для ускорения разработки П. Муравьев и В. Норкин использовали задел по эскизному проекту 76,2-мм танко</w:t>
      </w:r>
      <w:r w:rsidRPr="00DB5D0D">
        <w:rPr>
          <w:rFonts w:ascii="Times New Roman" w:hAnsi="Times New Roman"/>
          <w:color w:val="000000" w:themeColor="text1"/>
          <w:sz w:val="16"/>
          <w:szCs w:val="16"/>
        </w:rPr>
        <w:softHyphen/>
        <w:t>вой пушки большой мощности Ф-27, разработанной в инициативном порядке в начале 1940 г., а также докумен</w:t>
      </w:r>
      <w:r w:rsidRPr="00DB5D0D">
        <w:rPr>
          <w:rFonts w:ascii="Times New Roman" w:hAnsi="Times New Roman"/>
          <w:color w:val="000000" w:themeColor="text1"/>
          <w:sz w:val="16"/>
          <w:szCs w:val="16"/>
        </w:rPr>
        <w:softHyphen/>
        <w:t>тацию на уже освоенное в серии орудие Ф-32. Несмотря на то что прототипом при разработке всех указанных ору</w:t>
      </w:r>
      <w:r w:rsidRPr="00DB5D0D">
        <w:rPr>
          <w:rFonts w:ascii="Times New Roman" w:hAnsi="Times New Roman"/>
          <w:color w:val="000000" w:themeColor="text1"/>
          <w:sz w:val="16"/>
          <w:szCs w:val="16"/>
        </w:rPr>
        <w:softHyphen/>
        <w:t>дий являлась пушка Ф-22, новая танковая пушка отлича</w:t>
      </w:r>
      <w:r w:rsidRPr="00DB5D0D">
        <w:rPr>
          <w:rFonts w:ascii="Times New Roman" w:hAnsi="Times New Roman"/>
          <w:color w:val="000000" w:themeColor="text1"/>
          <w:sz w:val="16"/>
          <w:szCs w:val="16"/>
        </w:rPr>
        <w:softHyphen/>
        <w:t>лась от нее не только установкой, а от серийной танковой Ф-32 (выпуск которой велся на Кировском заводе) не только длиной ствола. Была значительно снижена трудо</w:t>
      </w:r>
      <w:r w:rsidRPr="00DB5D0D">
        <w:rPr>
          <w:rFonts w:ascii="Times New Roman" w:hAnsi="Times New Roman"/>
          <w:color w:val="000000" w:themeColor="text1"/>
          <w:sz w:val="16"/>
          <w:szCs w:val="16"/>
        </w:rPr>
        <w:softHyphen/>
        <w:t>емкость изготовления казенника. В частности, вместо ме-ханообработки введено фасонное литье, штамповка, то</w:t>
      </w:r>
      <w:r w:rsidRPr="00DB5D0D">
        <w:rPr>
          <w:rFonts w:ascii="Times New Roman" w:hAnsi="Times New Roman"/>
          <w:color w:val="000000" w:themeColor="text1"/>
          <w:sz w:val="16"/>
          <w:szCs w:val="16"/>
        </w:rPr>
        <w:softHyphen/>
        <w:t>чечная сварка, уменьшено количество легирующих метал</w:t>
      </w:r>
      <w:r w:rsidRPr="00DB5D0D">
        <w:rPr>
          <w:rFonts w:ascii="Times New Roman" w:hAnsi="Times New Roman"/>
          <w:color w:val="000000" w:themeColor="text1"/>
          <w:sz w:val="16"/>
          <w:szCs w:val="16"/>
        </w:rPr>
        <w:softHyphen/>
        <w:t>лов в пользу углеродистой стали (10782).</w:t>
      </w:r>
    </w:p>
    <w:p w14:paraId="151273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FE0A7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 председатель Совета Обороны С.Тимошенко направил в ЦК ВКП(б) и СНК СССР докладную записку исх. № 16651 о "...недостаточной мощности вооружения новых танков KB и Т-34, а также иных образцов перспективных танков, находящихся в проектировании" (3862). Писал:</w:t>
      </w:r>
    </w:p>
    <w:p w14:paraId="689433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3 танк Т-34 вооружать пушкой Ф-34...</w:t>
      </w:r>
    </w:p>
    <w:p w14:paraId="189074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Танк Т-34 № 1 на 1940 ввиду недостачи (пушек) Ф-32, вооружать 45 мм пушкой, а № 2 - 76 мм Ф-32.</w:t>
      </w:r>
    </w:p>
    <w:p w14:paraId="78D62D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изготовления в достаточном кол-ве 76 мм Ф-32, на 1940 оставить на вооружении Л-11.” (4829, 23).</w:t>
      </w:r>
    </w:p>
    <w:p w14:paraId="4B9F8DB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0C5E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 наркомат обороны обратился в правительство СССР с просьбой разрешить вооружение танка Т-34 пушкой Ф-34 и пулеметами ДС (с утолщенным стволом), а в качестве временной меры «на 1940 год Т-34 № 1, ввиду недостатка Ф-32 вооружать 45-мм пушкой, а Т-34 № 2 - пушкой Ф-32. До изготовления в достаточном количестве Ф-34 и ДС оставить на 1940 год на вооружении танков пушки Л-11 и пулемет ДТ». Однако, несмотря на то, что вопрос вооружения танков обсуждался на заседании СНК СССР 17 июля 1940 года, никакого решения по Т-34 принято не было.</w:t>
      </w:r>
    </w:p>
    <w:p w14:paraId="4C86B7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концу июля 1940 года артиллерийское КБ Кировского завода сумело устранить наиболее существенные недостатки в конструкции пушки Л-11, а также подготовить документацию и технологию для ее серийного выпуска, о чем Маршал Советского Союза Г. Кулик доложил К. Ворошилову:</w:t>
      </w:r>
    </w:p>
    <w:p w14:paraId="673F3A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«...Система может быть рекомендована на временное вооружение... впредь до замены ее пушкой Ф-32 (12217).</w:t>
      </w:r>
    </w:p>
    <w:p w14:paraId="7FB74E9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4E65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 нарком обороны вышел в Совет народных комиссаров СССР со следующим предложением:</w:t>
      </w:r>
    </w:p>
    <w:p w14:paraId="789A87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«Т-34 вооружить пушкой Ф-34 и пулеметами ДС с утолщенными стволами. Как временная мера, на 1940 год Т-34 № 1. ввиду недостатка Ф-32 вооружать 45-мм пушкой, а Т-34 №2 - пушкой Ф-32. До изготовления в достаточном количестве Ф-34 и ДС оставить на 1940 год на вооружении танков пушки Л-11 и пулемет ДТ» (12217).</w:t>
      </w:r>
    </w:p>
    <w:p w14:paraId="5B4732D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76C7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 председатель Совета обороны С.Тимо</w:t>
      </w:r>
      <w:r w:rsidRPr="00DB5D0D">
        <w:rPr>
          <w:rFonts w:ascii="Times New Roman" w:hAnsi="Times New Roman"/>
          <w:color w:val="000000" w:themeColor="text1"/>
          <w:sz w:val="16"/>
          <w:szCs w:val="16"/>
        </w:rPr>
        <w:softHyphen/>
        <w:t>шенко направил в ЦК ВКП (б) и СНК СССР докладную записку о «...недостаточной мощности вооружения новых танков КВ и Т-34, а также иных образцов перспективных танков, находящихся в проектировании», 27 июня было назначено специальное заседание СНК и ЦК ВКП (б), посвященное этому вопросу. (10782).</w:t>
      </w:r>
    </w:p>
    <w:p w14:paraId="48BD948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02EE3D8" w14:textId="77777777" w:rsidR="0074364A" w:rsidRPr="00DB5D0D" w:rsidRDefault="0074364A"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13 июня 1940 года датирован проект постановления СНК Союза ССР и ЦК ВКП(б) №1288–495сс, в котором изначально фигурировало 3 танка - 2 КВ со 100-мм броней и 76-мм орудиями, позже получившими обозначение Ф-27, плюс 1 КВ с орудием Ф-30. Дальше это всё переигрывали несколько раз, но работа на заводе №92 уже шла. К концу июля КБ разработало рабочие чертежи орудия, и тут выявилась простая истина. В существующую башню орудие не вписывалось. Винить Грабина и его КБ не в чем, и показывать на более поздние 85-мм орудия тоже не стоит. На всякий случай напоминаю, что установка вооружения КВ была рассчитана на 76-мм пушку Л-11. Поэтому более крупное орудие может и как-то вписывалось, но стрелять из него оказывалось крайне затруднительно. Решений было два: либо выносить установку вооружения вперед, либо переделывать всю башню. Как не странно, СКБ-2 Кировского завода выбрало второй путь. Ну а дальше пошло-поехало. В списке заданий СКБ-2 значилась еще и тяжелая САУ "212", которая и так по заданию получалась массой 55 тонн. В результате вместо КВ-1 с усиленной броневой защитой и вооружением образовалось два танка. Первый получался в габаритах исходной машины, а вот второй оказывался длиннее, существенно тяжелее и с новой башней. Судя по гробовому молчанию в ГАБТУ КА, там с подобным развитием событий были вполне согласны. Похоронив СМК с Т-100, а также САУ на их базе, ГАБТУ КА стало выращивать их прямые аналоги (21243).</w:t>
      </w:r>
    </w:p>
    <w:p w14:paraId="61E7A929" w14:textId="77777777" w:rsidR="0074364A" w:rsidRPr="00DB5D0D" w:rsidRDefault="0074364A"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0F5185FB" w14:textId="77777777" w:rsidR="0074364A" w:rsidRPr="00DB5D0D" w:rsidRDefault="0074364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июня 1940 года на защите макета (там танк назывался либо "СП", либо "проект 126") завод начал откровенно мухлевать. Боевая масса указывалась в 15 тонн, при этом толщина 45 мм была только у лба корпуса и башни. Борта делали толщиной 40 мм, а кормы - 30 мм. Диаметр погона в свету составлял 1200 мм. Это, конечно, больше Т-26, но совсем ненамного. Опорные катки делали с резиновыми бандажами. Комиссии хватало пунктов для претензий. Там припомнили и массу, превышающую расчетную на 2 тонны, и затрудненный доступ к агрегатам МТО. Комиссия потребовала форсировать работу по планетарной трансмиссии. Смотровой прибор механика-водителя предлагалось переделать. Погон башни предлагалось увеличить минимум до 1300 мм. Имелись претензии и по установке вооружения. С массой 15 тонн комиссия всё же согласилась, более того, предложила построить два танка. Один с толщиной брони 45 мм, а второй с толщиной 55 мм. Связано это оказалось с тем, что броня толщиной 45 мм не обеспечивала гарантированной защиты от 37-мм бронебойных снарядов. Это показали испытания обстрелом корпуса Т-34 (21824).</w:t>
      </w:r>
    </w:p>
    <w:p w14:paraId="458D99DE" w14:textId="77777777" w:rsidR="0074364A" w:rsidRPr="00DB5D0D" w:rsidRDefault="0074364A" w:rsidP="00DB5D0D">
      <w:pPr>
        <w:spacing w:after="0" w:line="240" w:lineRule="auto"/>
        <w:jc w:val="both"/>
        <w:rPr>
          <w:rFonts w:ascii="Times New Roman" w:hAnsi="Times New Roman"/>
          <w:color w:val="0070C0"/>
          <w:sz w:val="16"/>
          <w:szCs w:val="16"/>
        </w:rPr>
      </w:pPr>
    </w:p>
    <w:p w14:paraId="24B6C544"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июня 1940 в соответствии с распоряжением зам. Наркома среднего машиностроения В.И. Елисе</w:t>
      </w:r>
      <w:r w:rsidRPr="00DB5D0D">
        <w:rPr>
          <w:rFonts w:ascii="Times New Roman" w:hAnsi="Times New Roman"/>
          <w:color w:val="0070C0"/>
          <w:sz w:val="16"/>
          <w:szCs w:val="16"/>
        </w:rPr>
        <w:softHyphen/>
        <w:t>ева о проектировании и изготовлении опытного об</w:t>
      </w:r>
      <w:r w:rsidRPr="00DB5D0D">
        <w:rPr>
          <w:rFonts w:ascii="Times New Roman" w:hAnsi="Times New Roman"/>
          <w:color w:val="0070C0"/>
          <w:sz w:val="16"/>
          <w:szCs w:val="16"/>
        </w:rPr>
        <w:softHyphen/>
        <w:t>разца вездехода с принудительным зацеплением гусеницы начальнику автоотдела Ф.П. Фомину при</w:t>
      </w:r>
      <w:r w:rsidRPr="00DB5D0D">
        <w:rPr>
          <w:rFonts w:ascii="Times New Roman" w:hAnsi="Times New Roman"/>
          <w:color w:val="0070C0"/>
          <w:sz w:val="16"/>
          <w:szCs w:val="16"/>
        </w:rPr>
        <w:softHyphen/>
        <w:t>казывалось изготовить чертежи движителя с резино</w:t>
      </w:r>
      <w:r w:rsidRPr="00DB5D0D">
        <w:rPr>
          <w:rFonts w:ascii="Times New Roman" w:hAnsi="Times New Roman"/>
          <w:color w:val="0070C0"/>
          <w:sz w:val="16"/>
          <w:szCs w:val="16"/>
        </w:rPr>
        <w:softHyphen/>
        <w:t>металлическим траком и резиновой гусеницей на базе вездеходов ЗИС-22. Изготовить их планирова</w:t>
      </w:r>
      <w:r w:rsidRPr="00DB5D0D">
        <w:rPr>
          <w:rFonts w:ascii="Times New Roman" w:hAnsi="Times New Roman"/>
          <w:color w:val="0070C0"/>
          <w:sz w:val="16"/>
          <w:szCs w:val="16"/>
        </w:rPr>
        <w:softHyphen/>
        <w:t>лось на Опытном заводе.</w:t>
      </w:r>
    </w:p>
    <w:p w14:paraId="12BA7555"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постройки опытного образца на базе ГАЗ-60 с новым движителем инсти</w:t>
      </w:r>
      <w:r w:rsidRPr="00DB5D0D">
        <w:rPr>
          <w:rFonts w:ascii="Times New Roman" w:hAnsi="Times New Roman"/>
          <w:color w:val="0070C0"/>
          <w:sz w:val="16"/>
          <w:szCs w:val="16"/>
        </w:rPr>
        <w:softHyphen/>
        <w:t>туту поручалось подготовить компоновочные черте</w:t>
      </w:r>
      <w:r w:rsidRPr="00DB5D0D">
        <w:rPr>
          <w:rFonts w:ascii="Times New Roman" w:hAnsi="Times New Roman"/>
          <w:color w:val="0070C0"/>
          <w:sz w:val="16"/>
          <w:szCs w:val="16"/>
        </w:rPr>
        <w:softHyphen/>
        <w:t>жи и передать их на ГАЗ (22518).</w:t>
      </w:r>
    </w:p>
    <w:p w14:paraId="1633F721" w14:textId="77777777" w:rsidR="00F40BC0" w:rsidRPr="00DB5D0D" w:rsidRDefault="00F40BC0" w:rsidP="00DB5D0D">
      <w:pPr>
        <w:spacing w:after="0" w:line="240" w:lineRule="auto"/>
        <w:jc w:val="both"/>
        <w:rPr>
          <w:rFonts w:ascii="Times New Roman" w:hAnsi="Times New Roman"/>
          <w:color w:val="0070C0"/>
          <w:sz w:val="16"/>
          <w:szCs w:val="16"/>
        </w:rPr>
      </w:pPr>
    </w:p>
    <w:p w14:paraId="2BF8FCF4"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13 июня 1940 года зам. наркома вооружения В. И. Рябиков и зам. начальника Артиллерийского управления В. Н. Мельников докладывали зам. Председателя СНК А. И. Микояну [Там же, л. 33-41] о перспективах выполнения условий контракта, заключенного 11 февраля 1940 года с Германией, что сроки выполнения заказов, определенные договором между СССР и Германией от 11 февраля 1940 года на постановку башен и приборов управления артиллерийским огнѐ</w:t>
      </w:r>
      <w:r w:rsidRPr="00DB5D0D">
        <w:rPr>
          <w:rFonts w:ascii="Times New Roman" w:eastAsia="MS Mincho" w:hAnsi="Times New Roman"/>
          <w:color w:val="000000" w:themeColor="text1"/>
          <w:sz w:val="16"/>
          <w:szCs w:val="16"/>
        </w:rPr>
        <w:t>м</w:t>
      </w:r>
      <w:r w:rsidRPr="00DB5D0D">
        <w:rPr>
          <w:rFonts w:ascii="Times New Roman" w:eastAsia="TimesNewRoman" w:hAnsi="Times New Roman"/>
          <w:color w:val="000000" w:themeColor="text1"/>
          <w:sz w:val="16"/>
          <w:szCs w:val="16"/>
        </w:rPr>
        <w:t xml:space="preserve"> (ПУАО), понимались немцами как сроки, предъявленные к приемке на заводе, таким образом, дата отправки в Советский Союз башен переносилась на 3-4 месяца, а ПУАО – на 2-3 месяца. Поэтому исполнение контракта ожидалось:</w:t>
      </w:r>
    </w:p>
    <w:p w14:paraId="0A0CEFAA"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а) артиллерийские башни с июня-июля 1941 года по июнь-июль 1942 года;</w:t>
      </w:r>
    </w:p>
    <w:p w14:paraId="2D530A20"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б) ПУАО – с декабря 1941 года по ноябрь 1942 года.</w:t>
      </w:r>
    </w:p>
    <w:p w14:paraId="65B83E65"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При этом в докладе отмечалось, что все усилия советской стороны добиться сокращения сроков выполнения заказов ни к чему не привели. Вместе с тем, морское министерство Германии официально заявило, что по решению германского правительства подетальная приемка продукции военным представительством СССР на производстве разрешена не будет из-за военного положения в стране. Приемка объектов по узлам сокращалась до минимума и должна была производиться совместно с приемщиками немецкого морского министерства по их техническим условиям, правилам, нормам. Наряду с этим, цены основных заказов, заявленные германскими фирмами, были завышены. Немцы объясняли это тем, что набавляют 25-30% за передачу опыта создания и эксплуатации новейшей техники. Советским представителям удалось добиться снижения заявленных цен не более чем 3-8%. По основным заказам это выражалось в следующем [Там же]:</w:t>
      </w:r>
    </w:p>
    <w:p w14:paraId="683EA18C" w14:textId="77777777" w:rsidR="00A25AD1" w:rsidRPr="00DB5D0D" w:rsidRDefault="00A25AD1" w:rsidP="00DB5D0D">
      <w:pPr>
        <w:spacing w:after="0" w:line="240" w:lineRule="auto"/>
        <w:jc w:val="both"/>
        <w:rPr>
          <w:rFonts w:ascii="Times New Roman" w:eastAsia="TimesNewRoman" w:hAnsi="Times New Roman"/>
          <w:bCs/>
          <w:color w:val="000000" w:themeColor="text1"/>
          <w:sz w:val="16"/>
          <w:szCs w:val="16"/>
        </w:rPr>
      </w:pPr>
      <w:r w:rsidRPr="00DB5D0D">
        <w:rPr>
          <w:rFonts w:ascii="Times New Roman" w:eastAsia="TimesNewRoman" w:hAnsi="Times New Roman"/>
          <w:bCs/>
          <w:color w:val="000000" w:themeColor="text1"/>
          <w:sz w:val="16"/>
          <w:szCs w:val="16"/>
        </w:rPr>
        <w:t>№</w:t>
      </w:r>
    </w:p>
    <w:p w14:paraId="45C8778A" w14:textId="77777777" w:rsidR="00A25AD1" w:rsidRPr="00DB5D0D" w:rsidRDefault="00A25AD1" w:rsidP="00DB5D0D">
      <w:pPr>
        <w:spacing w:after="0" w:line="240" w:lineRule="auto"/>
        <w:jc w:val="both"/>
        <w:rPr>
          <w:rFonts w:ascii="Times New Roman" w:eastAsia="TimesNewRoman" w:hAnsi="Times New Roman"/>
          <w:bCs/>
          <w:color w:val="000000" w:themeColor="text1"/>
          <w:sz w:val="16"/>
          <w:szCs w:val="16"/>
        </w:rPr>
      </w:pPr>
      <w:r w:rsidRPr="00DB5D0D">
        <w:rPr>
          <w:rFonts w:ascii="Times New Roman" w:eastAsia="TimesNewRoman" w:hAnsi="Times New Roman"/>
          <w:bCs/>
          <w:color w:val="000000" w:themeColor="text1"/>
          <w:sz w:val="16"/>
          <w:szCs w:val="16"/>
        </w:rPr>
        <w:t>п/п Наименование продукции Цены, заявленные</w:t>
      </w:r>
    </w:p>
    <w:p w14:paraId="369EB064" w14:textId="77777777" w:rsidR="00A25AD1" w:rsidRPr="00DB5D0D" w:rsidRDefault="00A25AD1" w:rsidP="00DB5D0D">
      <w:pPr>
        <w:spacing w:after="0" w:line="240" w:lineRule="auto"/>
        <w:jc w:val="both"/>
        <w:rPr>
          <w:rFonts w:ascii="Times New Roman" w:eastAsia="TimesNewRoman" w:hAnsi="Times New Roman"/>
          <w:bCs/>
          <w:color w:val="000000" w:themeColor="text1"/>
          <w:sz w:val="16"/>
          <w:szCs w:val="16"/>
        </w:rPr>
      </w:pPr>
      <w:r w:rsidRPr="00DB5D0D">
        <w:rPr>
          <w:rFonts w:ascii="Times New Roman" w:eastAsia="TimesNewRoman" w:hAnsi="Times New Roman"/>
          <w:bCs/>
          <w:color w:val="000000" w:themeColor="text1"/>
          <w:sz w:val="16"/>
          <w:szCs w:val="16"/>
        </w:rPr>
        <w:t>германской стороной</w:t>
      </w:r>
    </w:p>
    <w:p w14:paraId="00E1BC35" w14:textId="77777777" w:rsidR="00A25AD1" w:rsidRPr="00DB5D0D" w:rsidRDefault="00A25AD1" w:rsidP="00DB5D0D">
      <w:pPr>
        <w:spacing w:after="0" w:line="240" w:lineRule="auto"/>
        <w:jc w:val="both"/>
        <w:rPr>
          <w:rFonts w:ascii="Times New Roman" w:eastAsia="TimesNewRoman" w:hAnsi="Times New Roman"/>
          <w:bCs/>
          <w:color w:val="000000" w:themeColor="text1"/>
          <w:sz w:val="16"/>
          <w:szCs w:val="16"/>
        </w:rPr>
      </w:pPr>
      <w:r w:rsidRPr="00DB5D0D">
        <w:rPr>
          <w:rFonts w:ascii="Times New Roman" w:eastAsia="TimesNewRoman" w:hAnsi="Times New Roman"/>
          <w:bCs/>
          <w:color w:val="000000" w:themeColor="text1"/>
          <w:sz w:val="16"/>
          <w:szCs w:val="16"/>
        </w:rPr>
        <w:t>Цены, согласованные</w:t>
      </w:r>
    </w:p>
    <w:p w14:paraId="6EFDE27E" w14:textId="77777777" w:rsidR="00A25AD1" w:rsidRPr="00DB5D0D" w:rsidRDefault="00A25AD1" w:rsidP="00DB5D0D">
      <w:pPr>
        <w:spacing w:after="0" w:line="240" w:lineRule="auto"/>
        <w:jc w:val="both"/>
        <w:rPr>
          <w:rFonts w:ascii="Times New Roman" w:eastAsia="TimesNewRoman" w:hAnsi="Times New Roman"/>
          <w:bCs/>
          <w:color w:val="000000" w:themeColor="text1"/>
          <w:sz w:val="16"/>
          <w:szCs w:val="16"/>
        </w:rPr>
      </w:pPr>
      <w:r w:rsidRPr="00DB5D0D">
        <w:rPr>
          <w:rFonts w:ascii="Times New Roman" w:eastAsia="TimesNewRoman" w:hAnsi="Times New Roman"/>
          <w:bCs/>
          <w:color w:val="000000" w:themeColor="text1"/>
          <w:sz w:val="16"/>
          <w:szCs w:val="16"/>
        </w:rPr>
        <w:t>после переговоров</w:t>
      </w:r>
    </w:p>
    <w:p w14:paraId="1CE6E02E"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1. 280-мм 3-х орудийные корабельные башни без боезапаса 75-85 млн 70-80 млн</w:t>
      </w:r>
    </w:p>
    <w:p w14:paraId="60331302"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2. 149,1-мм 3-х орудийные корабельные башни без боезапаса 18 млн 16 млн</w:t>
      </w:r>
    </w:p>
    <w:p w14:paraId="226D2CD0"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3. 105-мм 2-х орудийная щитовая корабельная стабилизированная система с запасными стволами 11 млн 10-10,5 млн</w:t>
      </w:r>
    </w:p>
    <w:p w14:paraId="515CEF6B"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4. ПУАО для всех артиллерийских систем с оборудованием 41 млн 11 тыс. 38-39 млн</w:t>
      </w:r>
    </w:p>
    <w:p w14:paraId="7559BD20"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Одновременно с этим германские фирмы устанавливали размеры и сроки предоплаты заказов: от 15% до 30% общей стоимости контракта при заключении договора; затем от 10 до 30% через равные промежутки времени, не связанные со сроками поставок, но последний платеж по заказу после сдачи окончательной продукции.</w:t>
      </w:r>
    </w:p>
    <w:p w14:paraId="0EB96BFD"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Немецкая сторона также оговаривала для себя форс-мажорные обстоятельства, а именно война с СССР, распоряжение своего правительства, брак поставляемых субподрядчиками деталей. Вместе с тем, представители СССР намечали сделать заказы германским фирмам по расчетным проектам морской артиллерии.</w:t>
      </w:r>
    </w:p>
    <w:p w14:paraId="7A708A05"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Однако от рабочих чертежей 280-мм 3-х орудийной корабельной башни советская сторона отказалась, потому что фирма «Крупп», представив чертежи, отказалась передать и технологию, потребовав за них 19 млн германских марок. Наши специалисты на выбор просмотрели отдельные чертежи, подлежавшие поставке, и пришли к выводу, что без предварительной, 12-ти месячной обработки их в отечественном конструкторском бюро они на производство переданы быть не могут (12700).</w:t>
      </w:r>
    </w:p>
    <w:p w14:paraId="4A6BDC19"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p>
    <w:p w14:paraId="26E795B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1D67067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46ECD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 в Кремле состоялось совещание высшего военно-политического руководства страны с участием И.В. Сталина, посвященное подготовке операции против Румынии. Результатом всей этой работы стала Директива наркома обороны и начальника Генштаба № 101396/СС, кото</w:t>
      </w:r>
      <w:r w:rsidRPr="00DB5D0D">
        <w:rPr>
          <w:rFonts w:ascii="Times New Roman" w:hAnsi="Times New Roman"/>
          <w:color w:val="000000" w:themeColor="text1"/>
          <w:sz w:val="16"/>
          <w:szCs w:val="16"/>
        </w:rPr>
        <w:softHyphen/>
        <w:t>рая в 21.45 20 июня 1940 года была вручена Г.К. Жукову. В ней предписы</w:t>
      </w:r>
      <w:r w:rsidRPr="00DB5D0D">
        <w:rPr>
          <w:rFonts w:ascii="Times New Roman" w:hAnsi="Times New Roman"/>
          <w:color w:val="000000" w:themeColor="text1"/>
          <w:sz w:val="16"/>
          <w:szCs w:val="16"/>
        </w:rPr>
        <w:softHyphen/>
        <w:t>валось «быть готовым к 22 часам 24 июня к решительному наступлению, с целью разгромить румынскую армию и занять Бессарабию». Менее чем через час - в 22.40 - начальник Генштаба сообщил командующему войска</w:t>
      </w:r>
      <w:r w:rsidRPr="00DB5D0D">
        <w:rPr>
          <w:rFonts w:ascii="Times New Roman" w:hAnsi="Times New Roman"/>
          <w:color w:val="000000" w:themeColor="text1"/>
          <w:sz w:val="16"/>
          <w:szCs w:val="16"/>
        </w:rPr>
        <w:softHyphen/>
        <w:t>ми ОдВО о том, что «с 10 часов 21 июня Вы подчиняетесь командующему КОВО генералу армии Жукову». На следующий день нарком ВМФ также приказал Военному совету Черноморского флота перейти в оперативное подчинение командующему КОВО, начиная с 22 часов 21 июня. Согласно Директиве № 101396/СС, из состава Управления КОВО выделялось Управ</w:t>
      </w:r>
      <w:r w:rsidRPr="00DB5D0D">
        <w:rPr>
          <w:rFonts w:ascii="Times New Roman" w:hAnsi="Times New Roman"/>
          <w:color w:val="000000" w:themeColor="text1"/>
          <w:sz w:val="16"/>
          <w:szCs w:val="16"/>
        </w:rPr>
        <w:softHyphen/>
        <w:t xml:space="preserve">ление Южного фронта. Авиация </w:t>
      </w:r>
      <w:r w:rsidRPr="00DB5D0D">
        <w:rPr>
          <w:rFonts w:ascii="Times New Roman" w:hAnsi="Times New Roman"/>
          <w:iCs/>
          <w:color w:val="000000" w:themeColor="text1"/>
          <w:sz w:val="16"/>
          <w:szCs w:val="16"/>
        </w:rPr>
        <w:t xml:space="preserve">12-й А </w:t>
      </w:r>
      <w:r w:rsidRPr="00DB5D0D">
        <w:rPr>
          <w:rFonts w:ascii="Times New Roman" w:hAnsi="Times New Roman"/>
          <w:color w:val="000000" w:themeColor="text1"/>
          <w:sz w:val="16"/>
          <w:szCs w:val="16"/>
        </w:rPr>
        <w:t>составляла пять полков СБ, два лег</w:t>
      </w:r>
      <w:r w:rsidRPr="00DB5D0D">
        <w:rPr>
          <w:rFonts w:ascii="Times New Roman" w:hAnsi="Times New Roman"/>
          <w:color w:val="000000" w:themeColor="text1"/>
          <w:sz w:val="16"/>
          <w:szCs w:val="16"/>
        </w:rPr>
        <w:softHyphen/>
        <w:t>кобомбардировочных и восемь истребительных полков; авиация 5-й А — два полка СБ, один легкобомбардировочный и три истребительных полка; авиация 9-й А - один полк ДБ, пять полков СБ, один легкобомбардировоч</w:t>
      </w:r>
      <w:r w:rsidRPr="00DB5D0D">
        <w:rPr>
          <w:rFonts w:ascii="Times New Roman" w:hAnsi="Times New Roman"/>
          <w:color w:val="000000" w:themeColor="text1"/>
          <w:sz w:val="16"/>
          <w:szCs w:val="16"/>
        </w:rPr>
        <w:softHyphen/>
        <w:t xml:space="preserve">ный и шесть истребительных полков. «Для оказания и содействия развитию успеха </w:t>
      </w:r>
      <w:r w:rsidRPr="00DB5D0D">
        <w:rPr>
          <w:rFonts w:ascii="Times New Roman" w:hAnsi="Times New Roman"/>
          <w:iCs/>
          <w:color w:val="000000" w:themeColor="text1"/>
          <w:sz w:val="16"/>
          <w:szCs w:val="16"/>
        </w:rPr>
        <w:t xml:space="preserve">12 и 9 </w:t>
      </w:r>
      <w:r w:rsidRPr="00DB5D0D">
        <w:rPr>
          <w:rFonts w:ascii="Times New Roman" w:hAnsi="Times New Roman"/>
          <w:color w:val="000000" w:themeColor="text1"/>
          <w:sz w:val="16"/>
          <w:szCs w:val="16"/>
        </w:rPr>
        <w:t>армий в распоряжении командующего фронтом иметь три авиаполка ДБ и для высадки авиадесанта четыре полка ТБ».</w:t>
      </w:r>
    </w:p>
    <w:p w14:paraId="79D561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Пунктом 7 Директивы предписывалось: «Распоряжением фронта под</w:t>
      </w:r>
      <w:r w:rsidRPr="00DB5D0D">
        <w:rPr>
          <w:rFonts w:ascii="Times New Roman" w:hAnsi="Times New Roman"/>
          <w:color w:val="000000" w:themeColor="text1"/>
          <w:sz w:val="16"/>
          <w:szCs w:val="16"/>
        </w:rPr>
        <w:softHyphen/>
        <w:t>готовить выброску воздушного десанта для совместного удара с частями 12 армии в районе Тыргу-Фрумос. Выброску десанта произвести только после выхода в этот район механизированных частей».</w:t>
      </w:r>
    </w:p>
    <w:p w14:paraId="0A0F3A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Пунктом 8 Директивы авиации ставились следующие основные задачи: тесное взаимодействие с войсками на поле боя; удар по группировкам про</w:t>
      </w:r>
      <w:r w:rsidRPr="00DB5D0D">
        <w:rPr>
          <w:rFonts w:ascii="Times New Roman" w:hAnsi="Times New Roman"/>
          <w:color w:val="000000" w:themeColor="text1"/>
          <w:sz w:val="16"/>
          <w:szCs w:val="16"/>
        </w:rPr>
        <w:softHyphen/>
        <w:t>тивника, стоящим перед нашими частями; содействие штурмовыми дейс</w:t>
      </w:r>
      <w:r w:rsidRPr="00DB5D0D">
        <w:rPr>
          <w:rFonts w:ascii="Times New Roman" w:hAnsi="Times New Roman"/>
          <w:color w:val="000000" w:themeColor="text1"/>
          <w:sz w:val="16"/>
          <w:szCs w:val="16"/>
        </w:rPr>
        <w:softHyphen/>
        <w:t>твиями продвижению наших частей (в первую очередь - механизирован</w:t>
      </w:r>
      <w:r w:rsidRPr="00DB5D0D">
        <w:rPr>
          <w:rFonts w:ascii="Times New Roman" w:hAnsi="Times New Roman"/>
          <w:color w:val="000000" w:themeColor="text1"/>
          <w:sz w:val="16"/>
          <w:szCs w:val="16"/>
        </w:rPr>
        <w:softHyphen/>
        <w:t>ных и конных); уничтожение авиации противника на аэродромах; атака подходящих колонн противника и их штабов; прикрытие районов сосре</w:t>
      </w:r>
      <w:r w:rsidRPr="00DB5D0D">
        <w:rPr>
          <w:rFonts w:ascii="Times New Roman" w:hAnsi="Times New Roman"/>
          <w:color w:val="000000" w:themeColor="text1"/>
          <w:sz w:val="16"/>
          <w:szCs w:val="16"/>
        </w:rPr>
        <w:softHyphen/>
        <w:t>доточения своих войск; выброска воздушного десанта.</w:t>
      </w:r>
    </w:p>
    <w:p w14:paraId="0531DE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операции также предписывалось поднять посты ВНОС КОВО, ОдВО и Киева в порядке учебных сборов и организовать ПВО важней</w:t>
      </w:r>
      <w:r w:rsidRPr="00DB5D0D">
        <w:rPr>
          <w:rFonts w:ascii="Times New Roman" w:hAnsi="Times New Roman"/>
          <w:color w:val="000000" w:themeColor="text1"/>
          <w:sz w:val="16"/>
          <w:szCs w:val="16"/>
        </w:rPr>
        <w:softHyphen/>
        <w:t>ших пунктов, складов, аэродромов и районов сосредоточения войск (Мельтюхов М. Указ. соч. С. 285-288, 290-292.).</w:t>
      </w:r>
    </w:p>
    <w:p w14:paraId="6535C5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Таблицах 85-87 представлено число авиаполков, наличие самолетов (в том числе исправных и боеготовых экипажей) в ВВС КОВО и ОдВО по состоянию на 19 июня 1940 года (11710,415).</w:t>
      </w:r>
    </w:p>
    <w:p w14:paraId="5AF0A1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C6DDFC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E2E1DC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89E6A5F"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июня 1940 пятнадцать Blackburn Skua из эскадрилий № 800 и № 803 с HMS Ark Royal присоединяются к торпедоносцам Королевских ВВС Bristol Beaufort в сопровождении истребителей Bristol Blenheim для атаки на Шарнхорст и другие немецкие военные корабли, стоящие на якоре в Тронхеймс-фьорде, Норвегия. После атаки Бофорта раньше, чем планировалось, Скуа сталкиваются с сильным зенитным огнем во время атаки, и восемь из них сбиты (20795).</w:t>
      </w:r>
    </w:p>
    <w:p w14:paraId="60637A14" w14:textId="77777777" w:rsidR="00F40BC0" w:rsidRPr="00DB5D0D" w:rsidRDefault="00F40BC0" w:rsidP="00DB5D0D">
      <w:pPr>
        <w:spacing w:after="0" w:line="240" w:lineRule="auto"/>
        <w:jc w:val="both"/>
        <w:rPr>
          <w:rFonts w:ascii="Times New Roman" w:hAnsi="Times New Roman"/>
          <w:color w:val="0070C0"/>
          <w:sz w:val="16"/>
          <w:szCs w:val="16"/>
        </w:rPr>
      </w:pPr>
    </w:p>
    <w:p w14:paraId="4A38F7E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в Париже объявлено начало эвакуации перед нашествием фашистов (4962).</w:t>
      </w:r>
    </w:p>
    <w:p w14:paraId="068BB4D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8A52D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началась эвакуация из Парижа (2100).</w:t>
      </w:r>
    </w:p>
    <w:p w14:paraId="33D4B36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1F2A965"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13th, 1940: In the West, German troops reach the northern outskirts of Paris which has been declared an 'open city'. Italian bombers attack the French naval base at Toulon. The British auxiliary cruiser Scotstown is sunk by U-25 (Kptlt. Beduhn) off the Irish coast. The German raider Orion lays mines off Auckland, New Zealand (3819).</w:t>
      </w:r>
    </w:p>
    <w:p w14:paraId="555945A8"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5CD220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германские войска достигли северных окраин Парижа, который был объявлен открытым городом. Итальянские ВВС атаковали французский флот в Тулоне. У-25 (Бедун) потопила британский артиллерийский крейсер Орион, который ставил мины у побережья Новой Зеландии (3819).</w:t>
      </w:r>
    </w:p>
    <w:p w14:paraId="0429C05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C450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У.Черчиль посетил французского премьер-министра Франции П.Рейно в Туре для того, чтобы просить французское правительство о продолжении сопротивления и рекомендовал обратиться к США (3907,223).</w:t>
      </w:r>
    </w:p>
    <w:p w14:paraId="1642ADE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71614F8" w14:textId="77777777" w:rsidR="00CA68C7" w:rsidRPr="00DB5D0D" w:rsidRDefault="00CA68C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13 июня</w:t>
      </w:r>
      <w:r w:rsidRPr="00DB5D0D">
        <w:rPr>
          <w:rFonts w:ascii="Times New Roman" w:hAnsi="Times New Roman"/>
          <w:color w:val="000000" w:themeColor="text1"/>
          <w:sz w:val="16"/>
          <w:szCs w:val="16"/>
        </w:rPr>
        <w:t xml:space="preserve"> в 1940 году Уинстон Черчилль посещает французского премьер-министра Поля Рейно в Type для того, чтобы попросить французское правительство о продолжении сопротивления немцам и рекомендовать ему обратиться за поддержкой к США (14921).</w:t>
      </w:r>
    </w:p>
    <w:p w14:paraId="452F1B5A" w14:textId="77777777" w:rsidR="00CA68C7" w:rsidRPr="00DB5D0D" w:rsidRDefault="00CA68C7" w:rsidP="00DB5D0D">
      <w:pPr>
        <w:spacing w:after="0" w:line="240" w:lineRule="auto"/>
        <w:jc w:val="both"/>
        <w:rPr>
          <w:rFonts w:ascii="Times New Roman" w:hAnsi="Times New Roman"/>
          <w:color w:val="000000" w:themeColor="text1"/>
          <w:sz w:val="16"/>
          <w:szCs w:val="16"/>
        </w:rPr>
      </w:pPr>
    </w:p>
    <w:p w14:paraId="3B391A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Поль Рейно, премьер министр Франции, пытался призвать американцев высадиться в стране (2244,4).</w:t>
      </w:r>
    </w:p>
    <w:p w14:paraId="18B85D9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EAF29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76AA14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0B98F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состоялось заседание макетной комиссии по рассмотрению макета самолета одноместного пикирующего бомбардировщика с М-90 конструкции тов. Кочеригина, представленного заводом 156. Макет был окончательно утвержден с замечаниями: 16 по кабине, 15 по ВМГ, 8 по общим вопросам (2062,62).</w:t>
      </w:r>
    </w:p>
    <w:p w14:paraId="19D3A2B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14EB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на ДБ-3Ф 2М-88 N 390204 в ходе гос. испытаний нового вооружения провели полет на определение скорости у земли (2686).</w:t>
      </w:r>
    </w:p>
    <w:p w14:paraId="28AB4FC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1FF1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 начальник летной группы НКАП М.И.Громов после ознакомления с результатам испытаний, материалами продувок и собеседования с летчиками-испытателями Кудриным, Липкиным и с заместителем Главного конструктора Жемчужиным в письме А.С.Яковлеву дал следующую оценку самолету:</w:t>
      </w:r>
    </w:p>
    <w:p w14:paraId="17786A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«СБП 2 М-105:</w:t>
      </w:r>
    </w:p>
    <w:p w14:paraId="019EF4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Моторный агрегат не доведен, вследствии чего бывают вынужденные посадки. Проводить полеты с заводского № 22 аэродрома опасно. Следует продолжать испытание с большого аэродрома.</w:t>
      </w:r>
    </w:p>
    <w:p w14:paraId="4A245E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продувкам с Ц.Т. 26% самолет имеет незначительную положительную устойчивость с зажатым управлением. Полеты производились до сих пор с Ц.Т. 31%. Самолет с этим Ц.Т. весьма неустойчив» (9649).</w:t>
      </w:r>
    </w:p>
    <w:p w14:paraId="7037548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B1E6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нач. летной группы НКАП М.М.Громов дал характеристику СПБ Н.Н.П. для А.С.Я. (исх. N 2239, вход. ? от 16 июня), ознакомившись с результатами испытаний и продувок (1759,9):</w:t>
      </w:r>
    </w:p>
    <w:p w14:paraId="64D55C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я совместно с тт. Юмашевым и Чесаловым ездил на завод N 22, где знакомился с результатами испытаний СПЮ М-105 конструкции Н.Н.П.</w:t>
      </w:r>
    </w:p>
    <w:p w14:paraId="684761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ознакомления c материалами продувок и собеседования с ли тт. Кудриным, Липкиным и зам. конструктора Жемчужиным, можно констатировать следующее:</w:t>
      </w:r>
    </w:p>
    <w:p w14:paraId="1563AE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Моторный агрегат не доведен, вследствие чего бывают вынужденные посадки.</w:t>
      </w:r>
    </w:p>
    <w:p w14:paraId="2C1B0E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Проводить полету с заводского 22 аэродрома опасно. Следует продолжать испытания с большого аэродрома.</w:t>
      </w:r>
    </w:p>
    <w:p w14:paraId="251AB6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продувкам с ЦТ 26% самолет имеет незначительную положительную устойчивость с зажатым управлением. Полеты производились до сих пор с ЦТ 31% Самолет с этим ЦТ весьма неустойчив.</w:t>
      </w:r>
    </w:p>
    <w:p w14:paraId="0CE4E8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Для устранения неустойчивости конструктор по рекомендации ЦАГИ увеличил стабилизатор, уменьшив по хорде РВ.</w:t>
      </w:r>
    </w:p>
    <w:p w14:paraId="44BF83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Уменьшение РВ по хорде увеличивает компенсацию руля с 20% до 23% (по заявлению зам. конструктора).</w:t>
      </w:r>
    </w:p>
    <w:p w14:paraId="02277D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завода выпустить этот самолет с ЦТ 31% считаю опасным, т.к. и без того неустойчивый самолет может перекомпенсированным РВ привести к катастрофе.</w:t>
      </w:r>
    </w:p>
    <w:p w14:paraId="40144A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Считаем обязательным предварительно с прежним РВ произвести ряд полетов с целью определения центровки, при которой самолет будет иметь хотя бы небольшую положительную устойчивость.</w:t>
      </w:r>
    </w:p>
    <w:p w14:paraId="657AC1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того, как определена центровка, при которой самолет устойчив, можно будет:</w:t>
      </w:r>
    </w:p>
    <w:p w14:paraId="31589B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Заменить РВ с большим процентом компенсации.</w:t>
      </w:r>
    </w:p>
    <w:p w14:paraId="2F3FFC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Производить любые испытания</w:t>
      </w:r>
    </w:p>
    <w:p w14:paraId="44BE64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Определить степень изменения стрельчатости для радикального устранения неустойчивости.</w:t>
      </w:r>
    </w:p>
    <w:p w14:paraId="572EA0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летной группы, рекомендация ЦАГИ по увеличению площади ГО должного эффекта не даст." (1379).</w:t>
      </w:r>
    </w:p>
    <w:p w14:paraId="32C21C0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BB9428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14 или 15 по 27 июня 1940 года проходили гос. испытания самолета И-301 М-105П конструкции Горбунова, Лавочкина и Гудкова (6895).</w:t>
      </w:r>
    </w:p>
    <w:p w14:paraId="6D3A320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C9DE91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 майор Супрун, майор Стефановский</w:t>
      </w:r>
    </w:p>
    <w:p w14:paraId="0105151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Вед. инженер в/инженер 3 ранга Таракановский</w:t>
      </w:r>
    </w:p>
    <w:p w14:paraId="3B07E50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38EB3D0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в пределах проведенных заводских испытаний.</w:t>
      </w:r>
    </w:p>
    <w:p w14:paraId="33910CE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конструкции самолета и доведенности его винтомоторной группы и спецоборудования.</w:t>
      </w:r>
    </w:p>
    <w:p w14:paraId="5EA9188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181F546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постройки завода № 301 был изготовлен по тактико-техническим требованиям ВВС и должен был иметь следующие данные:</w:t>
      </w:r>
    </w:p>
    <w:p w14:paraId="04F6C1D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мотором М-105 и ТК-2</w:t>
      </w:r>
    </w:p>
    <w:p w14:paraId="0976888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9000 м – 650-675 км/час</w:t>
      </w:r>
    </w:p>
    <w:p w14:paraId="23608AD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12000 м</w:t>
      </w:r>
    </w:p>
    <w:p w14:paraId="49BA63B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2БС калибра 12,7 мм, 2 ШКАС 7,62 мм</w:t>
      </w:r>
    </w:p>
    <w:p w14:paraId="0E9063F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мотором М-106П</w:t>
      </w:r>
    </w:p>
    <w:p w14:paraId="545881B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6000-7000 м – 600-625 км/час</w:t>
      </w:r>
    </w:p>
    <w:p w14:paraId="6275ABD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11000 м</w:t>
      </w:r>
    </w:p>
    <w:p w14:paraId="574E26D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пушка калибра 20-23 мм, 2 ШКАС 7,62 мм</w:t>
      </w:r>
    </w:p>
    <w:p w14:paraId="6C34770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 счет перегрузки в обоих вариантах предусматривалась установка 8 шт. РС-82 мм и бомб общим весом до 100 кг.</w:t>
      </w:r>
    </w:p>
    <w:p w14:paraId="33C7CDA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Оба варианте самолета должны были иметь следующие данные:</w:t>
      </w:r>
    </w:p>
    <w:p w14:paraId="1328F51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 скорости – 600 км</w:t>
      </w:r>
    </w:p>
    <w:p w14:paraId="254FCF3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подвесными баками – 1000 км</w:t>
      </w:r>
    </w:p>
    <w:p w14:paraId="01CC887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 – 16-18 сек.</w:t>
      </w:r>
    </w:p>
    <w:p w14:paraId="1E9BBB6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 не более 200 м</w:t>
      </w:r>
    </w:p>
    <w:p w14:paraId="57725D6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пробега не более – 150 м</w:t>
      </w:r>
    </w:p>
    <w:p w14:paraId="59752AB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предусматривалось применение уплотненной древесины и материала дюрамольд.</w:t>
      </w:r>
    </w:p>
    <w:p w14:paraId="7EF50F4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представления самолетов на гос. испытания был установлен:</w:t>
      </w:r>
    </w:p>
    <w:p w14:paraId="1A577A8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1-го экземпляра – февраль 1940 года</w:t>
      </w:r>
    </w:p>
    <w:p w14:paraId="2905146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2-го экземпляра – май 1940 года</w:t>
      </w:r>
    </w:p>
    <w:p w14:paraId="42ED124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14 июня 1940 года на гос. испытания самолет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w:t>
      </w:r>
    </w:p>
    <w:p w14:paraId="1BE2291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 патронов.</w:t>
      </w:r>
    </w:p>
    <w:p w14:paraId="4E4F639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 счет перегрузки на самолете могут быть установлены пулеметы Шкас калибра 7,62 мм с боезапасом 1300-1500 шт. патронов.</w:t>
      </w:r>
    </w:p>
    <w:p w14:paraId="56ADA5C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бомб, РС-82 и подвесных баков для горючего на данном экземпляре самолета не осуществлена.</w:t>
      </w:r>
    </w:p>
    <w:p w14:paraId="5EBE778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самолета И-301 в НИИ ВВС (15-27 июня 1940 года) на самолете было сделано 42 полета общей продолжительностью 16 час. 30 мин.</w:t>
      </w:r>
    </w:p>
    <w:p w14:paraId="4BFD1A0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7DCC5D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был предъявлен на гос. испытания с недоведенным вооружением и не испытан на штопор, пикирование и высший пилотаж.</w:t>
      </w:r>
    </w:p>
    <w:p w14:paraId="7B9F1C5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гос. испытаний не прошел из-за отсутствия испытания вооружения и испытаний на штопор и пикирование.</w:t>
      </w:r>
    </w:p>
    <w:p w14:paraId="220E9E1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7D5DF8" w:rsidRPr="00DB5D0D" w14:paraId="360669D3" w14:textId="77777777" w:rsidTr="009223E5">
        <w:tc>
          <w:tcPr>
            <w:tcW w:w="1951" w:type="dxa"/>
            <w:tcBorders>
              <w:top w:val="single" w:sz="12" w:space="0" w:color="auto"/>
            </w:tcBorders>
          </w:tcPr>
          <w:p w14:paraId="25D33DE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w:t>
            </w:r>
          </w:p>
        </w:tc>
        <w:tc>
          <w:tcPr>
            <w:tcW w:w="8647" w:type="dxa"/>
            <w:tcBorders>
              <w:top w:val="single" w:sz="12" w:space="0" w:color="auto"/>
            </w:tcBorders>
          </w:tcPr>
          <w:p w14:paraId="33FAC28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гос. испытания в НИИ ВВС</w:t>
            </w:r>
          </w:p>
        </w:tc>
      </w:tr>
      <w:tr w:rsidR="007D5DF8" w:rsidRPr="00DB5D0D" w14:paraId="3D3B0680" w14:textId="77777777" w:rsidTr="009223E5">
        <w:tc>
          <w:tcPr>
            <w:tcW w:w="1951" w:type="dxa"/>
          </w:tcPr>
          <w:p w14:paraId="2F168BE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8647" w:type="dxa"/>
          </w:tcPr>
          <w:p w14:paraId="0F013AD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летчика Стефановского</w:t>
            </w:r>
          </w:p>
        </w:tc>
      </w:tr>
      <w:tr w:rsidR="007D5DF8" w:rsidRPr="00DB5D0D" w14:paraId="24B8DFA4" w14:textId="77777777" w:rsidTr="009223E5">
        <w:tc>
          <w:tcPr>
            <w:tcW w:w="1951" w:type="dxa"/>
          </w:tcPr>
          <w:p w14:paraId="1C751F6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8647" w:type="dxa"/>
          </w:tcPr>
          <w:p w14:paraId="5442E0D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сверхмаксимальную скорость</w:t>
            </w:r>
          </w:p>
        </w:tc>
      </w:tr>
      <w:tr w:rsidR="007D5DF8" w:rsidRPr="00DB5D0D" w14:paraId="45AD2E2D" w14:textId="77777777" w:rsidTr="009223E5">
        <w:tc>
          <w:tcPr>
            <w:tcW w:w="1951" w:type="dxa"/>
          </w:tcPr>
          <w:p w14:paraId="6368654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8647" w:type="dxa"/>
          </w:tcPr>
          <w:p w14:paraId="37013DD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второго ведущего летчика Супруна</w:t>
            </w:r>
          </w:p>
        </w:tc>
      </w:tr>
      <w:tr w:rsidR="007D5DF8" w:rsidRPr="00DB5D0D" w14:paraId="07CFAB02" w14:textId="77777777" w:rsidTr="009223E5">
        <w:tc>
          <w:tcPr>
            <w:tcW w:w="1951" w:type="dxa"/>
          </w:tcPr>
          <w:p w14:paraId="1FD1577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8647" w:type="dxa"/>
          </w:tcPr>
          <w:p w14:paraId="3D15C91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 Полет на скороподъемность и скорости по высотам до 5000 м.</w:t>
            </w:r>
          </w:p>
        </w:tc>
      </w:tr>
      <w:tr w:rsidR="007D5DF8" w:rsidRPr="00DB5D0D" w14:paraId="6DB4FFD7" w14:textId="77777777" w:rsidTr="009223E5">
        <w:tc>
          <w:tcPr>
            <w:tcW w:w="1951" w:type="dxa"/>
          </w:tcPr>
          <w:p w14:paraId="44E01BA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w:t>
            </w:r>
          </w:p>
        </w:tc>
        <w:tc>
          <w:tcPr>
            <w:tcW w:w="8647" w:type="dxa"/>
          </w:tcPr>
          <w:p w14:paraId="6492C5A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 Тренировочный полет на пилотаж. Полет на пилотаж с засечкой фигур с земли.</w:t>
            </w:r>
          </w:p>
        </w:tc>
      </w:tr>
      <w:tr w:rsidR="007D5DF8" w:rsidRPr="00DB5D0D" w14:paraId="56579F6A" w14:textId="77777777" w:rsidTr="009223E5">
        <w:tc>
          <w:tcPr>
            <w:tcW w:w="1951" w:type="dxa"/>
          </w:tcPr>
          <w:p w14:paraId="53C7BE1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w:t>
            </w:r>
          </w:p>
        </w:tc>
        <w:tc>
          <w:tcPr>
            <w:tcW w:w="8647" w:type="dxa"/>
          </w:tcPr>
          <w:p w14:paraId="30D429E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 Полет на 8000 м. Полет на 8000 м и скорости по высотам.</w:t>
            </w:r>
          </w:p>
        </w:tc>
      </w:tr>
      <w:tr w:rsidR="007D5DF8" w:rsidRPr="00DB5D0D" w14:paraId="0BF8EB27" w14:textId="77777777" w:rsidTr="009223E5">
        <w:tc>
          <w:tcPr>
            <w:tcW w:w="1951" w:type="dxa"/>
          </w:tcPr>
          <w:p w14:paraId="7A8B76F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w:t>
            </w:r>
          </w:p>
        </w:tc>
        <w:tc>
          <w:tcPr>
            <w:tcW w:w="8647" w:type="dxa"/>
          </w:tcPr>
          <w:p w14:paraId="535F597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Полет на расход горючего.</w:t>
            </w:r>
          </w:p>
        </w:tc>
      </w:tr>
      <w:tr w:rsidR="007D5DF8" w:rsidRPr="00DB5D0D" w14:paraId="435F9149" w14:textId="77777777" w:rsidTr="009223E5">
        <w:tc>
          <w:tcPr>
            <w:tcW w:w="1951" w:type="dxa"/>
          </w:tcPr>
          <w:p w14:paraId="6761E95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w:t>
            </w:r>
          </w:p>
        </w:tc>
        <w:tc>
          <w:tcPr>
            <w:tcW w:w="8647" w:type="dxa"/>
          </w:tcPr>
          <w:p w14:paraId="3242AFD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первой скорости нагнетателя. Полет на высоту 8000 м. Полет на расход горючего на второй скорости нагнетателя. Полет для определения устойчивости при средней центровке. Полет на устойчивость при передней центровке.</w:t>
            </w:r>
          </w:p>
        </w:tc>
      </w:tr>
      <w:tr w:rsidR="007D5DF8" w:rsidRPr="00DB5D0D" w14:paraId="0DAEEA5A" w14:textId="77777777" w:rsidTr="009223E5">
        <w:tc>
          <w:tcPr>
            <w:tcW w:w="1951" w:type="dxa"/>
          </w:tcPr>
          <w:p w14:paraId="4455656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8647" w:type="dxa"/>
          </w:tcPr>
          <w:p w14:paraId="1B1EF52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с задней центровкой. Полет на высоту 6000 м и снятие скоростей по высотам.</w:t>
            </w:r>
          </w:p>
        </w:tc>
      </w:tr>
      <w:tr w:rsidR="007D5DF8" w:rsidRPr="00DB5D0D" w14:paraId="00CC4BA3" w14:textId="77777777" w:rsidTr="009223E5">
        <w:tc>
          <w:tcPr>
            <w:tcW w:w="1951" w:type="dxa"/>
          </w:tcPr>
          <w:p w14:paraId="0A613FB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w:t>
            </w:r>
          </w:p>
        </w:tc>
        <w:tc>
          <w:tcPr>
            <w:tcW w:w="8647" w:type="dxa"/>
          </w:tcPr>
          <w:p w14:paraId="4FD6DC3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w:t>
            </w:r>
          </w:p>
        </w:tc>
      </w:tr>
      <w:tr w:rsidR="007D5DF8" w:rsidRPr="00DB5D0D" w14:paraId="50651145" w14:textId="77777777" w:rsidTr="009223E5">
        <w:tc>
          <w:tcPr>
            <w:tcW w:w="1951" w:type="dxa"/>
            <w:tcBorders>
              <w:bottom w:val="single" w:sz="12" w:space="0" w:color="auto"/>
            </w:tcBorders>
          </w:tcPr>
          <w:p w14:paraId="387E4B2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8647" w:type="dxa"/>
            <w:tcBorders>
              <w:bottom w:val="single" w:sz="12" w:space="0" w:color="auto"/>
            </w:tcBorders>
          </w:tcPr>
          <w:p w14:paraId="60163E6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полет для снятия скоростей по высотам</w:t>
            </w:r>
          </w:p>
        </w:tc>
      </w:tr>
    </w:tbl>
    <w:p w14:paraId="505456B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гос. испытания 14 июня 1940 года. Начало испытаний – 15 июня 1940 года. Количество летных дней – 10. Конец испытания 27 июня 1940 года. За время испытаний проведено 42 полета общей продолжительностью 16 час. 30 мин. (6895).</w:t>
      </w:r>
    </w:p>
    <w:p w14:paraId="4E8F6B5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B0A5FB5"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июня 1940г на государственные испытания в НИИ ВВС КА был принятый самолет И-301 М-105П, по своему назначению является одноместным скоростным истребителем. Конструкция цельнодеревянная с применением прессованой древесины на лонжеронах крыла.</w:t>
      </w:r>
    </w:p>
    <w:p w14:paraId="48065CAC"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Крыло двухлонжеронное с работающей деревянной обшивкой. Консоли крыла отъемные, щитки типа Шренк, элероны типа Фриз.</w:t>
      </w:r>
    </w:p>
    <w:p w14:paraId="371E1BFC"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Фюзеляж типа монокок, кабина летчика закрытая.</w:t>
      </w:r>
    </w:p>
    <w:p w14:paraId="192462CC"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Шасси убирающееся в полете. Хвостовое колесо ориентирующееся и убирающееся в полете.</w:t>
      </w:r>
    </w:p>
    <w:p w14:paraId="23EEF431"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Оперение свободнонесущее. На руле высоты и руле поворотов установлены триммера, управляемые из кабины летчика. На элероне установлена пластинка регулируемая на земле.</w:t>
      </w:r>
    </w:p>
    <w:p w14:paraId="211ACB9A"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Винто-моторная группа состоит из мотора М-105П жидкостного охлаждения. Винт трехлопастной изменяемого в полете шага ВИШ-61 Д-3м. Бензобаки протектированные общей емкостью 380л. /285кг/ но полной заправки осуществить нельзя из-за неудачного расположения горловин. Емкость бензобаков практическая 340л /250кг/.</w:t>
      </w:r>
    </w:p>
    <w:p w14:paraId="1C019795"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Вооружение самолета состоит из пушки Таубина калибра 23мм установленной для стрельбы сквозь вал редуктора мотора и двух пулеметов БС калибра 12.7мм.</w:t>
      </w:r>
    </w:p>
    <w:p w14:paraId="0420F14B"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Кроме того на самолете в счет перегрузки могут быть установлены пулеметы ШКАС калибра 7.62мм. Установка бомб, РС-82 и подвесных баков для горючего на этом экземпляре не осуществлена.</w:t>
      </w:r>
    </w:p>
    <w:p w14:paraId="7ED58CA1"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самолете установлено кислородное оборудование, АНО и освещение приборной доски.</w:t>
      </w:r>
    </w:p>
    <w:p w14:paraId="6180FA24"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Радиостанция и оборудование для ночных полетов на самолете не установлены.</w:t>
      </w:r>
    </w:p>
    <w:p w14:paraId="2C092872"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 принят на госиспытания в НИИ ВВС КА в объеме программы проведенной при заводских испытаниях. На заводских испытаниях не было полетов на штопор, пикирование выше 510км/ч по прибору, полетов на высоты выше 5500м и пилотаж с фигурами иммельманы и бочки. Вооружение самолета и спецоборудование не проверялось ни на земле, ни в воздухе.</w:t>
      </w:r>
    </w:p>
    <w:p w14:paraId="7661706E"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ПЕРЕЧЕНЬ ОТСТУПЛЕНИЙ ОТ ТАКТИКО-ТЕХНИЧЕСКИХ ТРЕБОВАНИЙ.</w:t>
      </w:r>
    </w:p>
    <w:p w14:paraId="1323360F"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самолете не установлено:</w:t>
      </w:r>
    </w:p>
    <w:p w14:paraId="48DD87EF"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Турбокомпрессоры ТК-2.</w:t>
      </w:r>
    </w:p>
    <w:p w14:paraId="75B4B549"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2 бомбодержателя ДЕР-31 и два бомбодержателя ДЕР-33.</w:t>
      </w:r>
    </w:p>
    <w:p w14:paraId="309BAD14"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Электросбрасыватель ЭСБР-3П.</w:t>
      </w:r>
    </w:p>
    <w:p w14:paraId="5F4B9FF8"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Механический аварийный сбрасыватель.</w:t>
      </w:r>
    </w:p>
    <w:p w14:paraId="7344E6C6"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Держатели и проводка РС-82.</w:t>
      </w:r>
    </w:p>
    <w:p w14:paraId="35563989"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Радиостанция с жесткой антенной.</w:t>
      </w:r>
    </w:p>
    <w:p w14:paraId="47E9FD22"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Бронированный козырек и броня сиденья летчика, броня спинки установлена 5мм вместо 8.65мм по ттт.</w:t>
      </w:r>
    </w:p>
    <w:p w14:paraId="76A0DC50"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Факелодержатели НГ-12.</w:t>
      </w:r>
    </w:p>
    <w:p w14:paraId="1430D689"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Агрегаты заполнения бензобаков инертным газом.</w:t>
      </w:r>
    </w:p>
    <w:p w14:paraId="30A307C8"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Заливной бензиновый бачок расположен не в основном бензобаке, а отдельно и не изолирован противопожарной перегородкой.</w:t>
      </w:r>
    </w:p>
    <w:p w14:paraId="796E5E77"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11. Подвесные сбрасывающиеся бензобаки для увеличения дальности полета самолета.</w:t>
      </w:r>
    </w:p>
    <w:p w14:paraId="1A2B0121"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ВЫВОДЫ.</w:t>
      </w:r>
    </w:p>
    <w:p w14:paraId="7ED7193D"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Летные данные самолета И-301 выше чем у всех современных отечественных самолетов с мотором М-105.</w:t>
      </w:r>
    </w:p>
    <w:p w14:paraId="1CF03997"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На самолете установлено мощное крупнокалиберное оружие /пушка Таубина, калибра 23мм, 2БС калибра 12,7мм/ и имеются кронштейны и патронные ящики для 2 пулеметов ШКАС. Кроме того на самолете могут быть установлены 8 шт РС 82мм. По мощности предусмотренного вооружения среди одномоторных истребителей самолет стоит на 1-м месте. Недостатком пушечной установки является отсутствие приливов на картере мотора для крепления пушки.</w:t>
      </w:r>
    </w:p>
    <w:p w14:paraId="46DE1638"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В производстве самолет прост. Цельнодеревянная конструкция с применением уплотненной древесины на лонжеронах крыла имеет широкую базу для производства. Отделка поверхности самолета трудности не представляет.</w:t>
      </w:r>
    </w:p>
    <w:p w14:paraId="51073D4E"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В технике пилотирования самолет достаточно прост. Статическая устойчивость при центровке 24,6% с зажатым управлением в пределах требуемых тактико-техническими требованиями, но динамически с брошенными рулями самолет не устойчив. Соотношение площади руля высоты и стабилизатора значительно меньше нежели у аналогичных немецких самолетов. Динамическая устойчивость у самолета с брошенным управлением наступает при центровке порядка 22% по САХ. На серийных самолетах необходимо улучшить продольную динамическую устойчивость, путем создания более передней центровки, подбором веса балансира руля высоты, удачным соотношением площадей стабилизатора и руля высоты, а также увеличением поперечного V крыла до 6-7град. Давление на ручку необходимо снизить путем увеличения компенсации руля высоты и элеронов. Устойчивость на пробеге необходимо улучшить установкой стопорящегося хвостового колеса и баллонного хвостового колеса.</w:t>
      </w:r>
    </w:p>
    <w:p w14:paraId="1DC7C6CF"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Самолет не обладает достаточной вибрационной прочностью и не может пикировать на скоростях выше 520км/ч по прибору на высоте 4-5 тыс метров. Необходимо увеличить допустимую скорость пикирования до скорости установившегося пикирования самолета.</w:t>
      </w:r>
    </w:p>
    <w:p w14:paraId="1422B524"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Полетный вес самолета велик и должен быть снижен за счет лучшего использования нового материала, примененного в конструкции самолета. Уменьшение полетного веса улучшит летно-тактические данные самолета.</w:t>
      </w:r>
    </w:p>
    <w:p w14:paraId="128BD390"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По данным испытаний пневматиков колес размером 600х180 мм статическая нагрузка на колесо выражается цифрой 1340кг при давлении в 4 атм. Для полетного веса в 2968кг нагрузка на колесо в 1340 кг является предельной, что исключает возможность его нормальной работы и эксплоатации.</w:t>
      </w:r>
    </w:p>
    <w:p w14:paraId="193FF89B"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Конструкция самолета в целом удовлетворительная, но ряд агрегатов еще не доведен и монтаж на самолете сделан недостаточно хорошо. В процессе доводки самолета необходимо устранить все дефекты и произвести следующие доделки:</w:t>
      </w:r>
    </w:p>
    <w:p w14:paraId="46311C1D"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Перенести замок шасси с оси самолета на стойку и устранить возможность непроизвольного их выпуска при повреждении магистрали. Нижние щитки установить по типу Хе-100.</w:t>
      </w:r>
    </w:p>
    <w:p w14:paraId="65105B26"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Устранить открывание правого щитка крыла в полетах при низких температурах наружного воздуха за счет установки одного цилиндра вместо двух. Открывание щитков сделать более плавными и улучшить конструкцию визуальных указателей.</w:t>
      </w:r>
    </w:p>
    <w:p w14:paraId="3F85C01C"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Сделать люки в левом борту фюзеляжа для установки радиостанции и просмотра замка костыля, а люки для осмотра тяг управления в крыле увеличить по размеру.</w:t>
      </w:r>
    </w:p>
    <w:p w14:paraId="0927BCF4"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Улучшить остекление фонаря для обеспечения хорошего обзора вперед, в стороны и особенно назад.</w:t>
      </w:r>
    </w:p>
    <w:p w14:paraId="54889AC1"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3АКЛЮЧЕНИЕ.</w:t>
      </w:r>
    </w:p>
    <w:p w14:paraId="17A5CE35"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 И-301 М-105П конструкции инженеров т.т ЛАВОЧКИНА, ГУДКОВА и ГОРБУНОВА производства завода №301 был предъявлен на государственные испытания с недоведенным вооружением и не испытан на штопор, пикирование и высший пилотаж с выполнением фигур: иммельман, бочки.</w:t>
      </w:r>
    </w:p>
    <w:p w14:paraId="4EE496E7"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Самолет И-301 М-105П государственных испытаний не прошел из-за отсутствия испытания вооружения и испытаний на штопор и пикирование.</w:t>
      </w:r>
    </w:p>
    <w:p w14:paraId="327DF8FB"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Конструкторам самолета И-301 т.т ЛАВОЧКИНУ, ГУДКОВУ и ГОРБУНОВУ и директору завода № 301 надлежит на опытном самолете после отстрела пушки в воздухе в кратчайший срок довести все стрелковое вооружение, заменить руль высоты, довести винто-моторную группу, улучшить устойчивость на пробеге, устранить дефекты по щиткам, закрылкам и шасси и испытать самолет на штопор, пикирование, пилотаж и отстрел вооружения в воздухе.</w:t>
      </w:r>
    </w:p>
    <w:p w14:paraId="25C57F97"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После проведения этих испытаний самолет передать в НИИ ВВС КА на контрольные испытания.</w:t>
      </w:r>
    </w:p>
    <w:p w14:paraId="24BC857F"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На дублере самолета должны быть устранены ограничения в скорости пикирования и устранены основные дефекты, выявленные при госиспытаниях 1-го экземпляра самолета.</w:t>
      </w:r>
    </w:p>
    <w:p w14:paraId="6F5A111B"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Считать целесообразным построить войсковую серию самолетов И-301 М-105П и вести подготовку к серийной постройке самолетов, поскольку самолет И-301 имеет:</w:t>
      </w:r>
    </w:p>
    <w:p w14:paraId="6D4F2CF2"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Максимальную скорость 603 км/час, на высоте 4960 мт.</w:t>
      </w:r>
    </w:p>
    <w:p w14:paraId="117C2EBC"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Мощное вооружение одна пушка калибра 23мм, 2 пулемета Березина калибра 12.7 мм, 2 пулемета ШКАС калибра 7,62 мм. и 8 РС-82.</w:t>
      </w:r>
    </w:p>
    <w:p w14:paraId="6419AEA6"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Удобство в эксплоатации за счет наличия отъемных консолей крыла, съемной моторамы и стойкого покрытия самолета.</w:t>
      </w:r>
    </w:p>
    <w:p w14:paraId="484DF3AA"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самолете И-301 М-105П конструктивно разрешена в основном задача создания целиком деревянного самолета с применением упрочненной древесины.</w:t>
      </w:r>
    </w:p>
    <w:p w14:paraId="7189A708"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самолете И-301 возможна установка ТК-2 на мотор М-105П и установка более мощного мотора АМ-37 / без пушки/.</w:t>
      </w:r>
    </w:p>
    <w:p w14:paraId="48D9DBC9"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самолетах войсковой серии должны быть устранеы основные дефекты.</w:t>
      </w:r>
    </w:p>
    <w:p w14:paraId="68D18DDA"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Считать необходимым потребовать от главных конструкторов т.т ЛАВОЧКИНА, ГОРБУНОВА и ГУДКОВА подобрать для самолета колеса соответствующие весу самолета размера и провести их эксплоатационные испытания.</w:t>
      </w:r>
    </w:p>
    <w:p w14:paraId="4A3BCA3F"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Считать необходимым просить Наркома Авиационной промышленности тов. Шахурина о повышении внимания со стороны НКАП в деле доводки, испытания и постройки самолета И-301 М-105П.</w:t>
      </w:r>
    </w:p>
    <w:p w14:paraId="72CABBDC"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 НИИ ВВС КРАСНОЙ АРМИИ ГЕНЕРАЛ-МАЙОР АВИАЦИИ /ФИЛИН/</w:t>
      </w:r>
    </w:p>
    <w:p w14:paraId="6695D31E"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ВОЕНКОМ НИИ ВВС КРАСНОЙ АРМИИ ПОЛКОВОЙ КОМИССАР /ХОЛОПЦЕВ/ (20536).</w:t>
      </w:r>
    </w:p>
    <w:p w14:paraId="1CD10AD4" w14:textId="77777777" w:rsidR="00F40BC0" w:rsidRPr="00DB5D0D" w:rsidRDefault="00F40BC0" w:rsidP="00DB5D0D">
      <w:pPr>
        <w:spacing w:after="0" w:line="240" w:lineRule="auto"/>
        <w:jc w:val="both"/>
        <w:rPr>
          <w:rFonts w:ascii="Times New Roman" w:hAnsi="Times New Roman"/>
          <w:color w:val="0070C0"/>
          <w:sz w:val="16"/>
          <w:szCs w:val="16"/>
        </w:rPr>
      </w:pPr>
    </w:p>
    <w:p w14:paraId="1A993432"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июня И-301 прибыл в НИИ ВВС и в 19:00 был принят на государственные испытания. Позднее в отчете было отмечено: «Конструкция самолета цельнодеревянная с применением прессованной древесины на лонжеронах крыла. 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 патронов. Кроме того, в счет перегрузки на самолете могут быть установлены пулеметы ШКАС калибра 7,62 мм с боезапасом 1300- 1500 шт. патронов. Установка бомб, РС-82 и подвесных баков для горючего на данном экземпляре самолета не осуществлена… Самолет И-301 М-105П был предъявлен на госиспытания с недоведенным вооружением и не испытан на штопор, пикирование и высший пилотаж».</w:t>
      </w:r>
    </w:p>
    <w:p w14:paraId="02741917"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Несмотря на все недоделки, на самолете был выполнен ряд доработок. В частности, была установлена подвижная створка фонаря и полностью изменена система всасывания – воздухозаборники нагнетателя вывели в корни центроплана. Ведущими летчиками назначили майора Супруна и майора Стефановского, ведущим инженером, как и на заводских испытаниях оставался военинженер 3 ранга Таракановский, его помощником был военинженер 3 ранга Цыпаев. В состав испытательной бригады включили ведущего инженера по ВМГ военинженера 3 ранга Пономарева, ведущего инженера по спецоборудованию военинженера 3 ранга Салихова, ведущего инженера по вооружению военинженера 3 ранга Березина, ведущего техника воентехника 1 ранга Жулева, ведущего техника воентехника 2 ранга Стрельнова, ведущего электротехника младшего техника Аверьянова и ряд гражданских специалистов. Общее руководство испытаниями было возложено на начальника отделения истребительных самолетов военинженера 1 ранга Воеводина. Испытания прошли в рекордно сжатые сроки – за 13 календарных дней. Причем, 10 из них были засчитаны летными! На устранение дефектов был затрачен всего один день, еще один день «съела» погода и 24 июня Александр Сергеевич Воеводин объявил выходным. За время испытания И-301 в НИИ ВВС на самолете было выполнено 42 полета общей продолжительностью 16 часов 30 минут.</w:t>
      </w:r>
    </w:p>
    <w:p w14:paraId="3AF3404D"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Хронология событий выглядела так:</w:t>
      </w:r>
    </w:p>
    <w:p w14:paraId="20F6A59D"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июня. Взвешивание, устранение девиации компаса, установка испытательной аппаратуры. Пробный полет майора Стефановского. Устранение трещин в обшивке фюзеляжа, обнаруженных после полета. Демонтаж и осмотр винта ВИШ-61 по запросу представителя завода № 28.</w:t>
      </w:r>
    </w:p>
    <w:p w14:paraId="313C4822"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июня – установка колес с увеличенной колодкой тормоза. Регулировка сигнализации шасси. Полет на определение границ высотности мотора. Полет на сверхмаксимальную скорость.</w:t>
      </w:r>
    </w:p>
    <w:p w14:paraId="70A820DB"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 июня. Погода нелетная, облачность и сильный ветер. Фотографирование и обмер самолета. Установка дополнительной аппаратуры. Пробные полеты второго ведущего летчика майора Супруна.</w:t>
      </w:r>
    </w:p>
    <w:p w14:paraId="7D016FF6"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июня. Полет на километраж. Полет на скороподъемность и скорости по высотам до 5000 м. Устранение дефектов, обнаруженных после полета: выброс масла из суфлера мотора, устранение утечки воздуха, замена барографа.</w:t>
      </w:r>
    </w:p>
    <w:p w14:paraId="3B311AB1"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 июня. Полет на скороподъемность и скорости по высотам до 5000 м. Вынужденная посадка из-за отсоединения тяги нормального газа мотора. Заварка выхлопного коллектора. Устранение причин вынужденной посадки. Тренировочный полет на пилотаж. После полета обнаружены следы пожара во всасывающем патрубке мотора. Демонтаж и осмотр патрубка. Полет на пилотаж с засечкой фигур с земли. Ремонт гибкого валика счетчика оборотов.</w:t>
      </w:r>
    </w:p>
    <w:p w14:paraId="65D9C88C"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июня. Полет на километраж. Полет на 8000 м. Вынужденная посадка без тормозов, т.к. лопнула воздушная трубка. Полет на 8000 м и скорости по высотам. Определение взлетно-посадочных свойств самолета. Подготовка к испытанию на расход горючего. Дозаправка гидрожидкости в систему щитков-закрылков. Устранение неисправностей во всасывающем патрубке к нагнетателю. Замена самописцев наддува.</w:t>
      </w:r>
    </w:p>
    <w:p w14:paraId="6EEF914D"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21 июня – замена покрышек колес, которые деформировались из-за чего шасси не убиралось. Установка аппаратуры для замера расхода горючего и устойчивости. Устранение течи воды в пауке водяной системы.</w:t>
      </w:r>
    </w:p>
    <w:p w14:paraId="77A62D22"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 июня – полет на скороподъемность после устранения утечки воздуха из всасывающего патрубка и вынужденная посадка из-за течи шланга уборки шасси, которые в полете непроизвольно встали на замки в выпущенном положении. Полет на расход горючего. Вынужденная посадка из-за срыва нижнего щитка шасси. Шасси после взлета не убрались. Устранение дефектов, установка нового щитка.</w:t>
      </w:r>
    </w:p>
    <w:p w14:paraId="3D1E5C6D"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июня – полет на расход горючего на первой скорости нагнетателя. Устранение течи воды в пауке водяной системы. Полет на высоту 8000 м. Полет на расход горючего на второй скорости нагнетателя. Полет на устойчивость при средней центровке. Полет на устойчивость при передней центровке. Установка новых выхлопных патрубков.</w:t>
      </w:r>
    </w:p>
    <w:p w14:paraId="50CC8ACD"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 июня – полет на устойчивость с задней центровкой. Полет на высоту 6000 м и снятие скоростей по высотам с новым всасывающим патрубком. Определение взлетно-посадочных свойств. В первом полете вторично сорвало нижний щиток колеса шасси.</w:t>
      </w:r>
    </w:p>
    <w:p w14:paraId="51F5C612"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июня – облет самолета. Летали в облете: генерал-майор авиации Филин, полковой комиссар Холопцев и полковник Кабанов. При посадке обнаружили течь водорадиатора. Радиатор снят и течь устранена. Установка направляющих во всасывающем патрубке и новых выхлопных патрубков. Установка нового нижнего щитка шасси.</w:t>
      </w:r>
    </w:p>
    <w:p w14:paraId="5CBC7415"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27 июня – экспериментальный полет для снятия скоростей по высотам с новыми всасывающими патрубками (с направляющими пластинками), новыми выхлопными патрубками, при законтренных щитках-закрылках, чтобы оценить влияние их отсасывания на высоте на максимальную скорость. В полете произошел пожар в карбюраторах. Посадка нормальная. Госиспытания были закончены.</w:t>
      </w:r>
    </w:p>
    <w:p w14:paraId="44BE37C6"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Специалисты НИИ ВВС зафиксировали следующие результаты: максимальная скорость на высоте 4950 метра – 605 км/час, время набора 5000 м -5,85 минуты, практический потолок – 9600 м, Дальность на 0,9 максимальной скорости – 556 км, время виража – 20 секунд, разбег – 355 м, посадочная скорость – 140 км/час, пробег – 400 м.</w:t>
      </w:r>
    </w:p>
    <w:p w14:paraId="506E8138"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Военные пришли к обнадеживающим для молодого КБ выводам. В отчете отмечалось, что летные данные И-301 выше, чем у всех современных отечественных самолетов с М-105. По мощности предусмотренного вооружения среди одноместных истребителей самолет стоял на первом месте. В плане производства был прост. Цельнодеревянная конструкция с использованием упрочненной древесины на лонжеронах крыла имела в стране широкую базу. Отделка внешней поверхности с точки зрения военных трудности не представляла. В технике пилотирования самолет был достаточно прост, статически устойчив при центровке 24,6% и соответствовал ТТТ.</w:t>
      </w:r>
    </w:p>
    <w:p w14:paraId="3A601677"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Военные рекомендовали на серийных самолетах улучшить продольную динамическую устойчивость путем создания более передней центровки подбором веса балансира руля высоты и оптимизации соотношения площади стабилизатора и руля, а также увеличения поперечного V крыла до 6-7 градусов. Давление на ручку они считали необходимым снизить путем увеличения компенсации рулей высоты и элеронов. Для повышения устойчивости на пробеге предлагалось установить стопорящееся хвостовое колесо с пневматиком баллонного типа вместо гусматика. Ради улучшения удобства эксплуатации машины рекомендовалось сделать люки в левом борту фюзеляжа для установки радиостанции, аккумулятора, а также просмотра замка костыля и тяг управления, а лючки для осмотра тяг управления в крыле увеличить по размеру.</w:t>
      </w:r>
    </w:p>
    <w:p w14:paraId="134A93E6"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Больше всего претензий было к мотоустановке: «Мотор М-105 с карбюраторами К-105 с регулировкой по методу ЦИАМ за время испытаний работал неудовлетворительно. При работе нагнетателя на второй скорости при среднем положении дросселя мотор имеет плохую приемистость, сильно трясется и работает с перебоями. В полете на малом газу было два случая воспламенения смеси в карбюраторе. Маслосистема не обеспечивает нормальный температурный режим работы мотора в летнее время при температуре у земли 20 градусов, как на режиме скороподъемности, так и в горизонтальном полете на полном газе». Достаточно курьезно в отчете была отмечена еще одно упущение мотористов М-105: «Недостатком пушечного вооружения является отсутствие приливов на картере мотора для крепления пушки» (23183).</w:t>
      </w:r>
    </w:p>
    <w:p w14:paraId="2F1888AA" w14:textId="77777777" w:rsidR="00F40BC0" w:rsidRPr="00DB5D0D" w:rsidRDefault="00F40BC0" w:rsidP="00DB5D0D">
      <w:pPr>
        <w:spacing w:after="0" w:line="240" w:lineRule="auto"/>
        <w:jc w:val="both"/>
        <w:rPr>
          <w:rFonts w:ascii="Times New Roman" w:hAnsi="Times New Roman"/>
          <w:color w:val="0070C0"/>
          <w:sz w:val="16"/>
          <w:szCs w:val="16"/>
        </w:rPr>
      </w:pPr>
    </w:p>
    <w:p w14:paraId="6F16DA8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 на гос. испытания в НИИ ВВС был принят самолет И-301 М-105П и испытания проходили с 15 по 27 июня 1940. (6599).</w:t>
      </w:r>
    </w:p>
    <w:p w14:paraId="5ACA3DA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BAC8DAF" w14:textId="77777777" w:rsidR="00AC076F" w:rsidRPr="00DB5D0D" w:rsidRDefault="00AC07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14 по 27 июня 1940 г. опытный И-301 испытывали С.П. Суп</w:t>
      </w:r>
      <w:r w:rsidRPr="00DB5D0D">
        <w:rPr>
          <w:rFonts w:ascii="Times New Roman" w:hAnsi="Times New Roman"/>
          <w:color w:val="000000" w:themeColor="text1"/>
          <w:sz w:val="16"/>
          <w:szCs w:val="16"/>
        </w:rPr>
        <w:softHyphen/>
        <w:t>рун и П.М. Стефановский. Было совершено 42 полета и получена максимальная ско</w:t>
      </w:r>
      <w:r w:rsidRPr="00DB5D0D">
        <w:rPr>
          <w:rFonts w:ascii="Times New Roman" w:hAnsi="Times New Roman"/>
          <w:color w:val="000000" w:themeColor="text1"/>
          <w:sz w:val="16"/>
          <w:szCs w:val="16"/>
        </w:rPr>
        <w:softHyphen/>
        <w:t>рость 605 км/ч на высоте 4950 м. Надо отметить, что перед госиспытаниями по рекомендации работников НИИ ВВС на И-301 установили новый всасывающий патрубок по типу И-26, что дало прирост скорости примерно 20 км/ч.</w:t>
      </w:r>
    </w:p>
    <w:p w14:paraId="45C42DC4" w14:textId="77777777" w:rsidR="00AC076F" w:rsidRPr="00DB5D0D" w:rsidRDefault="00AC07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НИИ ВВС по И-301 вкратце были таковы:</w:t>
      </w:r>
    </w:p>
    <w:p w14:paraId="121CA514" w14:textId="77777777" w:rsidR="00AC076F" w:rsidRPr="00DB5D0D" w:rsidRDefault="00AC076F" w:rsidP="00DB5D0D">
      <w:pPr>
        <w:numPr>
          <w:ilvl w:val="0"/>
          <w:numId w:val="10"/>
        </w:numPr>
        <w:tabs>
          <w:tab w:val="left" w:pos="39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данные выше, чем у всех оте</w:t>
      </w:r>
      <w:r w:rsidRPr="00DB5D0D">
        <w:rPr>
          <w:rFonts w:ascii="Times New Roman" w:hAnsi="Times New Roman"/>
          <w:color w:val="000000" w:themeColor="text1"/>
          <w:sz w:val="16"/>
          <w:szCs w:val="16"/>
        </w:rPr>
        <w:softHyphen/>
        <w:t>чественных самолетов с М-105;</w:t>
      </w:r>
    </w:p>
    <w:p w14:paraId="6FF5A0D1" w14:textId="77777777" w:rsidR="00AC076F" w:rsidRPr="00DB5D0D" w:rsidRDefault="00AC076F" w:rsidP="00DB5D0D">
      <w:pPr>
        <w:numPr>
          <w:ilvl w:val="0"/>
          <w:numId w:val="10"/>
        </w:numPr>
        <w:tabs>
          <w:tab w:val="left" w:pos="40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мощное вооружение: пушка Таубина, 2 БС и предусмотрена установка 2 ШКАС и 8 РС-82;</w:t>
      </w:r>
    </w:p>
    <w:p w14:paraId="3D2766BD" w14:textId="77777777" w:rsidR="00AC076F" w:rsidRPr="00DB5D0D" w:rsidRDefault="00AC076F" w:rsidP="00DB5D0D">
      <w:pPr>
        <w:numPr>
          <w:ilvl w:val="0"/>
          <w:numId w:val="10"/>
        </w:numPr>
        <w:tabs>
          <w:tab w:val="left" w:pos="3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широкая база для производства, в производстве прост, отделка трудности не представляет;</w:t>
      </w:r>
    </w:p>
    <w:p w14:paraId="2B9D4165" w14:textId="77777777" w:rsidR="00AC076F" w:rsidRPr="00DB5D0D" w:rsidRDefault="00AC076F" w:rsidP="00DB5D0D">
      <w:pPr>
        <w:numPr>
          <w:ilvl w:val="0"/>
          <w:numId w:val="10"/>
        </w:numPr>
        <w:tabs>
          <w:tab w:val="left" w:pos="41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технике пилотирования достаточно прост, необходимо увеличить продольную динамическую устойчивость и устойчи</w:t>
      </w:r>
      <w:r w:rsidRPr="00DB5D0D">
        <w:rPr>
          <w:rFonts w:ascii="Times New Roman" w:hAnsi="Times New Roman"/>
          <w:color w:val="000000" w:themeColor="text1"/>
          <w:sz w:val="16"/>
          <w:szCs w:val="16"/>
        </w:rPr>
        <w:softHyphen/>
        <w:t>вость при пробеге, допустимую скорость пикирования;</w:t>
      </w:r>
    </w:p>
    <w:p w14:paraId="4AE28646" w14:textId="77777777" w:rsidR="00AC076F" w:rsidRPr="00DB5D0D" w:rsidRDefault="00AC076F" w:rsidP="00DB5D0D">
      <w:pPr>
        <w:numPr>
          <w:ilvl w:val="0"/>
          <w:numId w:val="10"/>
        </w:numPr>
        <w:tabs>
          <w:tab w:val="left" w:pos="39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уменьшить полетный вес за счет кон</w:t>
      </w:r>
      <w:r w:rsidRPr="00DB5D0D">
        <w:rPr>
          <w:rFonts w:ascii="Times New Roman" w:hAnsi="Times New Roman"/>
          <w:color w:val="000000" w:themeColor="text1"/>
          <w:sz w:val="16"/>
          <w:szCs w:val="16"/>
        </w:rPr>
        <w:softHyphen/>
        <w:t xml:space="preserve">струкции; </w:t>
      </w:r>
      <w:r w:rsidRPr="00DB5D0D">
        <w:rPr>
          <w:rFonts w:ascii="Times New Roman" w:hAnsi="Times New Roman"/>
          <w:color w:val="000000" w:themeColor="text1"/>
          <w:sz w:val="16"/>
          <w:szCs w:val="16"/>
          <w:lang w:val="en-US"/>
        </w:rPr>
        <w:t>i</w:t>
      </w:r>
    </w:p>
    <w:p w14:paraId="6F460950" w14:textId="77777777" w:rsidR="00AC076F" w:rsidRPr="00DB5D0D" w:rsidRDefault="00AC076F" w:rsidP="00DB5D0D">
      <w:pPr>
        <w:numPr>
          <w:ilvl w:val="0"/>
          <w:numId w:val="10"/>
        </w:numPr>
        <w:tabs>
          <w:tab w:val="left" w:pos="39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доведена ВМГ;</w:t>
      </w:r>
    </w:p>
    <w:p w14:paraId="6CE032C1" w14:textId="77777777" w:rsidR="00AC076F" w:rsidRPr="00DB5D0D" w:rsidRDefault="00AC076F" w:rsidP="00DB5D0D">
      <w:pPr>
        <w:numPr>
          <w:ilvl w:val="0"/>
          <w:numId w:val="10"/>
        </w:numPr>
        <w:tabs>
          <w:tab w:val="left" w:pos="40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установить РСИ-3 и по</w:t>
      </w:r>
      <w:r w:rsidRPr="00DB5D0D">
        <w:rPr>
          <w:rFonts w:ascii="Times New Roman" w:hAnsi="Times New Roman"/>
          <w:color w:val="000000" w:themeColor="text1"/>
          <w:sz w:val="16"/>
          <w:szCs w:val="16"/>
        </w:rPr>
        <w:softHyphen/>
        <w:t>садочную фару (19734).</w:t>
      </w:r>
    </w:p>
    <w:p w14:paraId="7007F725" w14:textId="77777777" w:rsidR="00AC076F" w:rsidRPr="00DB5D0D" w:rsidRDefault="00AC076F" w:rsidP="00DB5D0D">
      <w:pPr>
        <w:spacing w:after="0" w:line="240" w:lineRule="auto"/>
        <w:jc w:val="both"/>
        <w:rPr>
          <w:rFonts w:ascii="Times New Roman" w:hAnsi="Times New Roman"/>
          <w:color w:val="000000" w:themeColor="text1"/>
          <w:sz w:val="16"/>
          <w:szCs w:val="16"/>
        </w:rPr>
      </w:pPr>
    </w:p>
    <w:p w14:paraId="7CA128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А.И.Никашин начал испытания ЛаГГ-3, доработанного И-301 (670,40). Не выдержал, так как не было испытаний на штопор, пикирование и отстрел вооружения (756,5).</w:t>
      </w:r>
    </w:p>
    <w:p w14:paraId="4DADAC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вед. ли были П.М.Стефановский и С.П.Супрун, а А.И.Никашин только познакомил их с машиной и больше не вмешивался, так как проводил заводские испытания (1204,67).</w:t>
      </w:r>
    </w:p>
    <w:p w14:paraId="1ACEE8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закончили за 10 летных дней проведя 42 полета. Меняли покрышки, устраняли течь воды и воздуха, меняли водорадиатор и карбюратор, который воспламенял бензин. Самолет испытаний не прошел, так как был предъявлен недоведенным и не был испытан на штопор. Решили на втором устранить, выпустить серию из 25-30 машин для прохождения войсковых испытаний в 1940 и начать подготовку к серии (1204,70).</w:t>
      </w:r>
    </w:p>
    <w:p w14:paraId="0EC0BE4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350F2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14 по 27 июня 1940 проходили гос. испытания И-301 М-105П Горбунова, С.А.Л. и Гудкова. Отв. исполнители: вл Супрун и П.М.Стефановский, ви Таракановский. Испытания на самом деле начались 15 июня (2922).</w:t>
      </w:r>
    </w:p>
    <w:p w14:paraId="236F30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B9FDB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Определение ЛТД в пределах проведения заводских испытаний</w:t>
      </w:r>
    </w:p>
    <w:p w14:paraId="3EB369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Оценка конструкции и доведенности его ВМГ</w:t>
      </w:r>
    </w:p>
    <w:p w14:paraId="03E15F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Определение соответствия самолета ТТТ</w:t>
      </w:r>
    </w:p>
    <w:p w14:paraId="7818D1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предусматривалось использование уплотненной древесины и материала дюрамольд. Срок представления самолетов на гос. испытания был установлен для 1-го - февраль 1940, для 2-го - май 1940.</w:t>
      </w:r>
    </w:p>
    <w:p w14:paraId="6B27BB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была принята в НИИ ВВС на испытания машина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 (2922).</w:t>
      </w:r>
    </w:p>
    <w:p w14:paraId="6E42F48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AB85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14 по 27 июня 1940 года проходили гос. испытания самолета И-301 М-105П конструкции Горбунова, Лавочкина и Гудкова</w:t>
      </w:r>
    </w:p>
    <w:p w14:paraId="642121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5FF07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Супрун, майор Стефановский</w:t>
      </w:r>
    </w:p>
    <w:p w14:paraId="03D4A6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Таракановский</w:t>
      </w:r>
    </w:p>
    <w:p w14:paraId="0FF100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2BB8982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в пределах, проведенных заводских испытаний.</w:t>
      </w:r>
    </w:p>
    <w:p w14:paraId="63B20EA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конструкции самолета и доведенности его винтомоторной группы и спецоборудования.</w:t>
      </w:r>
    </w:p>
    <w:p w14:paraId="40E8C12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3C4706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Горбунова, Лавочкина и Гудкова, постройки завода № 301 был изготовлен по тактико-техническим требованиям ВВС и должен был иметь следующие данные:</w:t>
      </w:r>
    </w:p>
    <w:p w14:paraId="0BE390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мотором М-105 и ТК-2</w:t>
      </w:r>
    </w:p>
    <w:p w14:paraId="34368B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2B9CDE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БС калибра 12,7 мм</w:t>
      </w:r>
    </w:p>
    <w:p w14:paraId="3C018D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ШКАС калибра 7,62 мм</w:t>
      </w:r>
    </w:p>
    <w:p w14:paraId="22B04C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мотором М-106П</w:t>
      </w:r>
    </w:p>
    <w:p w14:paraId="608592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калибра 20-23 мм</w:t>
      </w:r>
    </w:p>
    <w:p w14:paraId="7F5E5C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калибра 7,62 мм</w:t>
      </w:r>
    </w:p>
    <w:p w14:paraId="62012F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предусматривалось использование уплотненной древесины и материала дюрамольд.</w:t>
      </w:r>
    </w:p>
    <w:p w14:paraId="628E3F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представления самолетов на гос. испытания был установлен:</w:t>
      </w:r>
    </w:p>
    <w:p w14:paraId="06378F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1-го экземпляра – февраль 1940 года</w:t>
      </w:r>
    </w:p>
    <w:p w14:paraId="1C9BA0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2-го экземпляра – май 1940 года</w:t>
      </w:r>
    </w:p>
    <w:p w14:paraId="19661B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14-го июня 1940 года на гос. испытания самолет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w:t>
      </w:r>
    </w:p>
    <w:p w14:paraId="7D4B86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штук патронов.</w:t>
      </w:r>
    </w:p>
    <w:p w14:paraId="556870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в счет перегрузки могут быть установлены пулеметы ШКАС калибра 7,62 мм с боезапасом 1300-1500 шт. патронов. Установка бомб, РС-82 и подвесных баков для горючего на данном экземпляре самолета не осуществлена.</w:t>
      </w:r>
    </w:p>
    <w:p w14:paraId="22C10D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самолета И-301 в НИИ ВВС (15-27 июня 1940 года) на самолете было сделано 42 полета общей продолжительностью 16 час. 30 мин.</w:t>
      </w:r>
    </w:p>
    <w:p w14:paraId="633502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3A906C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И-301 гос. испытаний не прошел из-за отсутствия испытания вооружения и испытаний на штопор и пикирование.</w:t>
      </w:r>
    </w:p>
    <w:p w14:paraId="0674C07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целесообразным построить войсковую серию с-тов И-301 М-105П и вести подготовку к серийному производству.</w:t>
      </w:r>
    </w:p>
    <w:p w14:paraId="4808E22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конструкторами решена в основном задача создания целиком деревянного с-та с применением упроченной древесины.</w:t>
      </w:r>
    </w:p>
    <w:p w14:paraId="17D9109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Считать необходимым просить НКАП т. Шахурина о повышении внимания со стороны НКАП в дело доводки, испытания и эксплуатации с-тов</w:t>
      </w:r>
    </w:p>
    <w:p w14:paraId="7D5D641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дублере с-та д.б. устранены ограничения в скорости пикирования и изжиты основные дефекты, выявленные госиспытаниями 1-го экз. (706,1)</w:t>
      </w:r>
    </w:p>
    <w:p w14:paraId="02D4AE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8789"/>
      </w:tblGrid>
      <w:tr w:rsidR="007D5DF8" w:rsidRPr="00DB5D0D" w14:paraId="17BF8541" w14:textId="77777777" w:rsidTr="009223E5">
        <w:tc>
          <w:tcPr>
            <w:tcW w:w="1809" w:type="dxa"/>
            <w:tcBorders>
              <w:top w:val="single" w:sz="12" w:space="0" w:color="auto"/>
            </w:tcBorders>
          </w:tcPr>
          <w:p w14:paraId="343371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8789" w:type="dxa"/>
            <w:tcBorders>
              <w:top w:val="single" w:sz="12" w:space="0" w:color="auto"/>
            </w:tcBorders>
          </w:tcPr>
          <w:p w14:paraId="348970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0CC448F3" w14:textId="77777777" w:rsidTr="009223E5">
        <w:tc>
          <w:tcPr>
            <w:tcW w:w="1809" w:type="dxa"/>
          </w:tcPr>
          <w:p w14:paraId="2967DA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8789" w:type="dxa"/>
          </w:tcPr>
          <w:p w14:paraId="102594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летчика Стефановского.</w:t>
            </w:r>
          </w:p>
        </w:tc>
      </w:tr>
      <w:tr w:rsidR="007D5DF8" w:rsidRPr="00DB5D0D" w14:paraId="27692A5C" w14:textId="77777777" w:rsidTr="009223E5">
        <w:tc>
          <w:tcPr>
            <w:tcW w:w="1809" w:type="dxa"/>
          </w:tcPr>
          <w:p w14:paraId="612F3E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8789" w:type="dxa"/>
          </w:tcPr>
          <w:p w14:paraId="6C8E3A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сверхмаксимальную скорость.</w:t>
            </w:r>
          </w:p>
        </w:tc>
      </w:tr>
      <w:tr w:rsidR="007D5DF8" w:rsidRPr="00DB5D0D" w14:paraId="17BA4FFA" w14:textId="77777777" w:rsidTr="009223E5">
        <w:tc>
          <w:tcPr>
            <w:tcW w:w="1809" w:type="dxa"/>
          </w:tcPr>
          <w:p w14:paraId="088ADE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8789" w:type="dxa"/>
          </w:tcPr>
          <w:p w14:paraId="527619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второго вед. летчика Супруна.</w:t>
            </w:r>
          </w:p>
        </w:tc>
      </w:tr>
      <w:tr w:rsidR="007D5DF8" w:rsidRPr="00DB5D0D" w14:paraId="20B3D05C" w14:textId="77777777" w:rsidTr="009223E5">
        <w:tc>
          <w:tcPr>
            <w:tcW w:w="1809" w:type="dxa"/>
          </w:tcPr>
          <w:p w14:paraId="619AFA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8789" w:type="dxa"/>
          </w:tcPr>
          <w:p w14:paraId="1186AB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768051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33B0CC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дефектов, обнаруженных после полета: выброс масла из суфлера мотора, устранение утечки воздуха, замена барографа</w:t>
            </w:r>
          </w:p>
        </w:tc>
      </w:tr>
      <w:tr w:rsidR="007D5DF8" w:rsidRPr="00DB5D0D" w14:paraId="2A72328E" w14:textId="77777777" w:rsidTr="009223E5">
        <w:tc>
          <w:tcPr>
            <w:tcW w:w="1809" w:type="dxa"/>
          </w:tcPr>
          <w:p w14:paraId="2D4D2E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w:t>
            </w:r>
          </w:p>
        </w:tc>
        <w:tc>
          <w:tcPr>
            <w:tcW w:w="8789" w:type="dxa"/>
          </w:tcPr>
          <w:p w14:paraId="050ACA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0A0CDB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из-за отсоединения тяги нормального газа мотора. Заварка выхлопного коллектора. Устранение причин, вызвавших вынужденную посадку</w:t>
            </w:r>
          </w:p>
          <w:p w14:paraId="2A5E17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на пилотаж. После полета обнаружены следы пожара во всасывающем патрубке мотора. Патрубок снят и осмотрен.</w:t>
            </w:r>
          </w:p>
          <w:p w14:paraId="76C97A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пилотаж с засечкой фигур с земли. Ремонт гибкого валика счетчика оборотов</w:t>
            </w:r>
          </w:p>
        </w:tc>
      </w:tr>
      <w:tr w:rsidR="007D5DF8" w:rsidRPr="00DB5D0D" w14:paraId="47BCB8AF" w14:textId="77777777" w:rsidTr="009223E5">
        <w:tc>
          <w:tcPr>
            <w:tcW w:w="1809" w:type="dxa"/>
          </w:tcPr>
          <w:p w14:paraId="7A0A30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w:t>
            </w:r>
          </w:p>
        </w:tc>
        <w:tc>
          <w:tcPr>
            <w:tcW w:w="8789" w:type="dxa"/>
          </w:tcPr>
          <w:p w14:paraId="73FD14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4F00FD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w:t>
            </w:r>
          </w:p>
          <w:p w14:paraId="740B14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без пользования тормозами, т.к. лопнула воздушная трубка</w:t>
            </w:r>
          </w:p>
          <w:p w14:paraId="6818F1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 и скорости по высотам.</w:t>
            </w:r>
          </w:p>
          <w:p w14:paraId="2007D4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с-та. Подготовка с-та к испытанию на расход горючего.</w:t>
            </w:r>
          </w:p>
          <w:p w14:paraId="67767D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неисправновстей во всасявающем патрубке, подводящим воздух к нагнетателю</w:t>
            </w:r>
          </w:p>
        </w:tc>
      </w:tr>
      <w:tr w:rsidR="007D5DF8" w:rsidRPr="00DB5D0D" w14:paraId="6D5AE9B0" w14:textId="77777777" w:rsidTr="009223E5">
        <w:tc>
          <w:tcPr>
            <w:tcW w:w="1809" w:type="dxa"/>
          </w:tcPr>
          <w:p w14:paraId="2E05FF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w:t>
            </w:r>
          </w:p>
        </w:tc>
        <w:tc>
          <w:tcPr>
            <w:tcW w:w="8789" w:type="dxa"/>
          </w:tcPr>
          <w:p w14:paraId="372A50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Замена покрышек колес, т.к. смонтированные покрышки деформировались и не убирается шасси. Устранение течи воды в пауке водосистемы</w:t>
            </w:r>
          </w:p>
        </w:tc>
      </w:tr>
      <w:tr w:rsidR="007D5DF8" w:rsidRPr="00DB5D0D" w14:paraId="02D3790A" w14:textId="77777777" w:rsidTr="009223E5">
        <w:tc>
          <w:tcPr>
            <w:tcW w:w="1809" w:type="dxa"/>
          </w:tcPr>
          <w:p w14:paraId="53C3EB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w:t>
            </w:r>
          </w:p>
        </w:tc>
        <w:tc>
          <w:tcPr>
            <w:tcW w:w="8789" w:type="dxa"/>
          </w:tcPr>
          <w:p w14:paraId="1E2374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p w14:paraId="513BEB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w:t>
            </w:r>
          </w:p>
        </w:tc>
      </w:tr>
      <w:tr w:rsidR="007D5DF8" w:rsidRPr="00DB5D0D" w14:paraId="629DA1F4" w14:textId="77777777" w:rsidTr="009223E5">
        <w:tc>
          <w:tcPr>
            <w:tcW w:w="1809" w:type="dxa"/>
          </w:tcPr>
          <w:p w14:paraId="05D737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w:t>
            </w:r>
          </w:p>
        </w:tc>
        <w:tc>
          <w:tcPr>
            <w:tcW w:w="8789" w:type="dxa"/>
          </w:tcPr>
          <w:p w14:paraId="2C7D91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первой скорости нагнетателя.</w:t>
            </w:r>
          </w:p>
          <w:p w14:paraId="68336D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8000 м.</w:t>
            </w:r>
          </w:p>
          <w:p w14:paraId="17F1DA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второй скорости нагнетателя.</w:t>
            </w:r>
          </w:p>
          <w:p w14:paraId="345602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при передней центровке.</w:t>
            </w:r>
          </w:p>
        </w:tc>
      </w:tr>
      <w:tr w:rsidR="007D5DF8" w:rsidRPr="00DB5D0D" w14:paraId="4F62977E" w14:textId="77777777" w:rsidTr="009223E5">
        <w:tc>
          <w:tcPr>
            <w:tcW w:w="1809" w:type="dxa"/>
          </w:tcPr>
          <w:p w14:paraId="545AFD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8789" w:type="dxa"/>
          </w:tcPr>
          <w:p w14:paraId="41B3A5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с задней центровкой.</w:t>
            </w:r>
          </w:p>
          <w:p w14:paraId="23E979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6000 м и снятие скоростей по высотам.</w:t>
            </w:r>
          </w:p>
          <w:p w14:paraId="4EEC04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tc>
      </w:tr>
      <w:tr w:rsidR="007D5DF8" w:rsidRPr="00DB5D0D" w14:paraId="1625B01F" w14:textId="77777777" w:rsidTr="009223E5">
        <w:tc>
          <w:tcPr>
            <w:tcW w:w="1809" w:type="dxa"/>
          </w:tcPr>
          <w:p w14:paraId="145AA3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w:t>
            </w:r>
          </w:p>
        </w:tc>
        <w:tc>
          <w:tcPr>
            <w:tcW w:w="8789" w:type="dxa"/>
          </w:tcPr>
          <w:p w14:paraId="744500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 Летали в облете: генерал-майор авиации Филин, полковой комиссар Холопцев и полковник Кабанов.</w:t>
            </w:r>
          </w:p>
        </w:tc>
      </w:tr>
      <w:tr w:rsidR="007D5DF8" w:rsidRPr="00DB5D0D" w14:paraId="1B5293F7" w14:textId="77777777" w:rsidTr="009223E5">
        <w:tc>
          <w:tcPr>
            <w:tcW w:w="1809" w:type="dxa"/>
            <w:tcBorders>
              <w:bottom w:val="single" w:sz="12" w:space="0" w:color="auto"/>
            </w:tcBorders>
          </w:tcPr>
          <w:p w14:paraId="3EE258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8789" w:type="dxa"/>
            <w:tcBorders>
              <w:bottom w:val="single" w:sz="12" w:space="0" w:color="auto"/>
            </w:tcBorders>
          </w:tcPr>
          <w:p w14:paraId="0C57B1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полет для снятия скоростей по высотам с новыми всасывающими патрубками (с направляющими пластинками), новыми выхлопными патрубками, при законтренных щитках-закрылках, чтобы оценить влияние их открывания на высоте на максимальную скорость.</w:t>
            </w:r>
          </w:p>
        </w:tc>
      </w:tr>
    </w:tbl>
    <w:p w14:paraId="4A0338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испытания 14 июня 1940 года</w:t>
      </w:r>
    </w:p>
    <w:p w14:paraId="78A15B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Начало испытаний – 15 июня 1940 года</w:t>
      </w:r>
    </w:p>
    <w:p w14:paraId="613768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летных дней – 10</w:t>
      </w:r>
    </w:p>
    <w:p w14:paraId="25BFD2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испытания – 27 июня 1940 года</w:t>
      </w:r>
    </w:p>
    <w:p w14:paraId="4AF603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проведено 42 полета общей продолжительностью 16 час. 30 мин. (4559).</w:t>
      </w:r>
    </w:p>
    <w:p w14:paraId="5B02EDD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6AA2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 И-301 приняли в НИИ ВВС. Ведущим инженером назначили М.И. Таракановского (участвовавшего еще в заводских испытаниях), ведущим летчиком - П.М. Стефановского; в испытательных полетах также принимал участие С.П. Супрун. Довольно быстро выявилась масса дефектов еще "сырой" машины, дававших о себе знать почти в каждом полете. Поначалу никак не могли достичь скорости более 585 км/ч. Причиной оказалось недостаточное сечение всасывающих патрубков мотора. Заводская бригада переделала их за одну ночь. После этого удалось довести максимальную скорость до 605 км/ч.</w:t>
      </w:r>
    </w:p>
    <w:p w14:paraId="07E323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испытаний заменили потекший водяной радиатор, сняли, разобрали и поставили опять карбюратор, сменили покрышки колес. Но все это делалось без снижения темпа полетов. Всего совершили 42 полета общей продолжительностью 16,5 ч. Они позволили определить основные характеристики машины, но никто не знал, как она поведет себя на пикировании, при выполнении фигур высшего пилотажа, включая штопор; не удалось проверить в воздухе работу вооружения.</w:t>
      </w:r>
    </w:p>
    <w:p w14:paraId="2FCFE0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Государственные испытания заняли всего шесть дней, закончившись 27 июня. В заключении отчета НИИ ВВС говорилось: </w:t>
      </w:r>
    </w:p>
    <w:p w14:paraId="54D900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Предъявленный на государственные испытания 1-й экземпляр... И-301 с мотором М-105П их не выдержал...</w:t>
      </w:r>
    </w:p>
    <w:p w14:paraId="23FC12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отвечает заданным летным данным по постановлению КО № 243, за исключением большой посадочной скорости 140 км/ч, вместо заданной 110 - 120 км/ч.</w:t>
      </w:r>
    </w:p>
    <w:p w14:paraId="1861FC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Признать, что... И-301 представляет несомненный интерес для ВВС, как в части своего материала - упрочненная древесина, мощного вооружения, так и в части максимальной скорости - 605 км/ч.</w:t>
      </w:r>
    </w:p>
    <w:p w14:paraId="022480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Необходимо в кратчайший срок построить второй экземпляр этого самолета, устранить на нем основные дефекты, выявленные при испытаниях первого экземпляра, довести стрелковое вооружение, провести заводские испытания по полной программе и передать его на госиспытания...</w:t>
      </w:r>
    </w:p>
    <w:p w14:paraId="4D5AFA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Признать целесообразным немедленно начать подготовку серийного производства... И-301 с М-105П, обеспечив выпуск 25 - 30 самолетов для прохождения войсковых испытаний в 1940 г. Необходимо просить НКАП особо обратить внимание на этот самолет в части быстроты его доводки и постройки войсковой серии с устранением дефектов...".</w:t>
      </w:r>
    </w:p>
    <w:p w14:paraId="36468D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Среди подробно перечислявшихся далее недостатков отмечались высокая температура в пилотской кабине, плохой обзор из нее (из-за низкого качества отечественного плексигласа), перегрев воды и масла при наборе высоты, недостаточная продольная устойчивость, слишком большая нагрузка на основные стойки шасси при взлете, отсутствие посадочной фары и радиостанции.</w:t>
      </w:r>
    </w:p>
    <w:p w14:paraId="4BA2FD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Машину отправили в Химки на переделку. После доработки заводские испытания первого образца И-301 продолжили, но в августе 1940 г. он потерпел аварию. К этому времени было совершено 79 полетов общей продолжительностью свыше 32 ч. 11 августа машину подготовили к полету лишь к вечеру. Около 19 часов Никашин вырулил на старт. Полет проходил нормально, и через полчаса истребитель зашел на посадку против солнца. Именно это обстоятельство в совокупности с малыми размерами заводского аэродрома привело к грубой посадке с поломкой шасси.</w:t>
      </w:r>
    </w:p>
    <w:p w14:paraId="46D744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образец И-301 потом отремонтировали, а попутно внесли некоторые изменения в планер и оборудование. В частности, на машине появился радиополукомпас. На этом самолете проводили испытания на пикирование и отстрел вооружения. Машина летала до 4 января 1941 г., когда в полете расплавились коренные подшипники мотора. Летчик из НИИ ВВС совершил посадку на "брюхо", но истребитель получил тяжелые повреждения и более не восстанавливался.</w:t>
      </w:r>
    </w:p>
    <w:p w14:paraId="4B6009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Постройка второго образца задержалась до октября 1940 г. Поскольку заводские испытания он не прошел, то и на государственные его не допустили. Зато в ноябре на этом самолете впервые опробовали в полете вооружение. Надо сказать, что первые летные испытания магазинной пушки ПТБ-23 конструкции Н.Б. Таубина и М.Н. Бабурина на будущем Ил-2 показали ее непригодность для эксплуатации на самолете из- за чрезмерной отдачи при выстреле. Доработанный вариант, предназначенный для установки в развале цилиндров мотора М-105П, получил обозначение МП-6. По результатам испытаний на втором И-301 в ноябре 1940 г. МП-6 внедрили в серийное производство сразу на двух заводах (хотя на вооружение официально не приняли). Таубина и Бабурина наградили орденами Ленина (11983).</w:t>
      </w:r>
    </w:p>
    <w:p w14:paraId="3E54B89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3393C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П.О.С. и нач. 8 отдела ЦАГИ Ляпидевский утвердили Акт о рулежке самолета И-135 N 32/441с (2079).</w:t>
      </w:r>
    </w:p>
    <w:p w14:paraId="55D2488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3510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в ходе заводских испытаний И-200 А.И.М, которые проходили с 31 марта по 17 августа 1940, на И-200-2 был выполнен полет на определение температурных режимов ВМГ. Неудачно (2988).</w:t>
      </w:r>
    </w:p>
    <w:p w14:paraId="31CAA83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A3BF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 члены партии парторганизации ОКБ-2 при заводе 84 писали письмо писали письмо.</w:t>
      </w:r>
    </w:p>
    <w:p w14:paraId="12E3B4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Товарищ нарком Авиационной промышленности!</w:t>
      </w:r>
    </w:p>
    <w:p w14:paraId="447F28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Коллектив опытного конструкторского отдела Болховитинова (завод N 84) обращался к Вам 16/I с письмом, в котором поднимал ряд вопросов и основным из них поднимал вопрос о постройке производственной базы для Опытного конструкторского бюро Болховитинова на базе "Фотолет". До настоящего времени на это письмо с вашей стороны нет ответа и нет Вашего положительного решения о постройке базы, несмотря на то, что о постройке опытной производственной базы при заводе N 84 имеется решение Правительства и есть Ваш приказ о назначении Болховитинова главным конструктором завода "Фотолет".</w:t>
      </w:r>
    </w:p>
    <w:p w14:paraId="5D2F24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Коллектив Бюро, обращаясь к вам с просьбой о скорейшей постройке опытной Производственной базы, исходил из того твердо сложившегося у него мнения, что без наличия своей производственной базы нельзя в короткий срок - 8-12 месяцев - на серийном заводе спроектировать и построить новую опытную машину, так как это мешает основной программе завода. Строить же опытную машину в течении 2-3 лет коллектив считает недопустимым, потому что за 2-3 года каждое опытное Бюро обязано и спроектировать, и построить 2-3 новых опытных машины.</w:t>
      </w:r>
    </w:p>
    <w:p w14:paraId="74A0D6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Наше Бюро лишено такой возможности, так как не имеет своей производственной базы. Опыт проектирования и постройки машины "С" наглядно это подтверждает.</w:t>
      </w:r>
    </w:p>
    <w:p w14:paraId="594DF7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Вот коротко поучительная история машины "С".</w:t>
      </w:r>
    </w:p>
    <w:p w14:paraId="1F14FC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машины "С" был готов в январе 1937 года. В марте 1937 года Отдел переводится на 124 завод, что замедлило разработку предварительного проекта машины "С".</w:t>
      </w:r>
    </w:p>
    <w:p w14:paraId="03219E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декабре 1937 года предварительный проект машины "С",.... вариантах был представлен на обсуждение Военного совета..., который утвердил вариант самолета "С", как легкого бомбардировщика ближнего действия.</w:t>
      </w:r>
    </w:p>
    <w:p w14:paraId="3BD308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1938 года Бюро было переведено на завод N 84.</w:t>
      </w:r>
    </w:p>
    <w:p w14:paraId="29F938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сентября 1938 года по январь 1939 года перебрасывались рабочие чертежи машины "С" применительно к технологии завода 84.</w:t>
      </w:r>
    </w:p>
    <w:p w14:paraId="58F53F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2-го апреля 1939 года Комиссия ВВС принимала макет самолета и вынесла следующее решение, выдержки из которого мы и приводим:</w:t>
      </w:r>
    </w:p>
    <w:p w14:paraId="539C7A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Пункт 2: "Машина решает целый ряд важных для скоростей самолетов вопросов, могущих быть использованными для коренной модернизации существующих и вновь проектируемых машин. Поэтому для ВВС можно получить эту машину в наикратчайший срок и проверить все нововведения и ее расчетные летные данные".</w:t>
      </w:r>
    </w:p>
    <w:p w14:paraId="3523BF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Пункт 4: "Комиссия считает, что строительству самолета "С" не уделено внимание со стороны Главка Наркомата, благодаря чему завод N 84, в настоящее время, прекратил изготовление агрегатов и налицо явная угроза срыва установленных Правительством сроков сдачи машины на гос. испытания".</w:t>
      </w:r>
    </w:p>
    <w:p w14:paraId="37875A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это с января по июнь 1939 года детали по машине "С" производятся на заводе только за счет простойных рабочих. Каждую деталь работникам Бюро, конструкторам, инженерам, брошенным в цеха, приходилось получать с большими трудностями. Инженеры, конструктора вынуждены были, в связи с тем, что завод по существу над машиной не работал, выполнять работу агентов, диспетчеров, кладовщиков, подносчиков материала, заготовителей и т.д., что отрывало их от основной конструкторской работы.</w:t>
      </w:r>
    </w:p>
    <w:p w14:paraId="5E9800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"С" в основную программу завода включена не была, хотя решение Правительства о ее постройке - было.</w:t>
      </w:r>
    </w:p>
    <w:p w14:paraId="0858B1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Партийная организация Бюро неоднократно ставила вопрос о постройке машины перед Парторгом ЦК на заводе 84, перед парторганизацией завода, перед дирекцией, обращалась в Наркомат, МК ВКП(б) и наконец, вынуждена была обратиться с письмом к Сталину.</w:t>
      </w:r>
    </w:p>
    <w:p w14:paraId="4DAADE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Главный конструктор Болховитинов также обратился с письмом к Сталину, в котором вынужден был ставить вопрос о том, что если машина не нужна, то нужно чтобы об этом было сказано, если же машина нужна, то ее нужно строить, а в письме к Наркому ставит вопрос об отказе от конструкторской работы, так как в процессе этой борьбы за машину в атмосфере недоверия к ней, противодействия постройке, косности и рутины, которые он встречал, он издергался, стал страдать сердечными припадками.</w:t>
      </w:r>
    </w:p>
    <w:p w14:paraId="2F2FF8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того, чтобы постройка самолета "С" сдвинулась с рабских...., потребовалось вторичное решение Правительства, и только после этого завод взялся за постройку машины и первую машину сделал за 3 месяца, закончив ее 26 сентября 1939 года. До декабря наземные испытания механизмов машины и статиспытания агрегатов так как агрегаты для статиспытаний завод дал в августе-октябре... 1939 года.</w:t>
      </w:r>
    </w:p>
    <w:p w14:paraId="5E6B07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января состоялся первый вылет первой машины и к 5 марта она закончила летные испытания, за 14 летных дней, по расширенной программе, так как дополнительно проводились полеты на определение давления по капоту и фонарю с тем, чтобы доказать ЦАГИ, что нормы по капотам и фонарям, рекомендованные им - неправильны, что и было доказано.</w:t>
      </w:r>
    </w:p>
    <w:p w14:paraId="4B1D1B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многие конструкторские бюро пользуются нашими данными, в том числе и само ЦАГИ.</w:t>
      </w:r>
    </w:p>
    <w:p w14:paraId="36B0BF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сборки второй машины завод отказался, и бюро Болховитинова вынуждено было сборку второй машины производить своими силами, в группе доводок бюро. Сборка второй машины была закончена, в результате этого 4 марта 1940 года, а не 15 декабря 39 года, как это было в плане завода.</w:t>
      </w:r>
    </w:p>
    <w:p w14:paraId="35BF66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характеристики работы завода над машиной, нужно добавить, что после изготовления агрегатов завод сломал и выкинул стапеля машины, часть на свалку, часть на двор завода. Для восстановления этих стапелей потребуется много времени.</w:t>
      </w:r>
    </w:p>
    <w:p w14:paraId="0ABDA5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марта вторая машина совершила первый полет, она в настоящее время проходит летные испытания. За время с 19 марта по 3-е июня машина сделала 8 полетов, из которых 2 было продолжительностью 25-30 минут. Эти полеты показывают жизненность спарки, безотказность работы механизмов, и подтверждают, что расчетную скорость машина будет иметь. Затяжка же испытаний объясняется двумя причинами:</w:t>
      </w:r>
    </w:p>
    <w:p w14:paraId="2886E5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недоброкачественностью одного из моторов, недоброкачественностью колес, что является виной поставщиков и что повлекло большие доработки и большую потерю времени (два месяца на доработки по мотору и 14 дней на доработки по колесам);</w:t>
      </w:r>
    </w:p>
    <w:p w14:paraId="5A2BCA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недоработанностью для летных условий маслосистемы, что является виной бюро и что повлекло за собой доработки продолжительностью в 7 дней.</w:t>
      </w:r>
    </w:p>
    <w:p w14:paraId="5D05BF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Такова коротко история проектирования и постройки машины "С".</w:t>
      </w:r>
    </w:p>
    <w:p w14:paraId="408D10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которая могла бы летать в 1938 году при достаточном к ней внимании стала летать в 1940 году. Два года для нашей Советской авиации потеряны, так как богатейшие возможности использования спарок и других механизмов на наших Советских машинах - не применялись. И только сейчас различные конструкторские бюро обращаются к нам с просьбами о высылке чертежей спарки и фаулеров.</w:t>
      </w:r>
    </w:p>
    <w:p w14:paraId="7EC224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Наше бюро также имеет эскизные проекты двух новых скоростных боевых машин, но не развертывает работы над ними, так как не имеет своей производственной базы.</w:t>
      </w:r>
    </w:p>
    <w:p w14:paraId="78FE62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Еще при решении вопроса в правительстве по машине "С" руководство бюро подняло вопрос о создании для нашего бюро опытного производства на базе "Фотолет" и просило поручить построить эту базу дирекции завода N 84 и Главку. правительство учло просьбу нашего руководства и в своем решении от 29/VII-39 г. за N 217/сс записало: "для организации опытно-производственной базы передать заводу N 84 помещения "Фотолет", расположенные на территории завода N 84".</w:t>
      </w:r>
    </w:p>
    <w:p w14:paraId="520DA8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такое прямое постановление ни Главк, ни директор завода не взялись за строительство опытного производства. В сентябре прошлого года, руководство бюро само принялось за это дело и с помощью группы контроля комитета Обороны при Совнаркоме добилось:</w:t>
      </w:r>
    </w:p>
    <w:p w14:paraId="7101F9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Освобождения основных помещений Фотолета.</w:t>
      </w:r>
    </w:p>
    <w:p w14:paraId="73D6B9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Начала работ УКСа завода по проектированию опытной базы.</w:t>
      </w:r>
    </w:p>
    <w:p w14:paraId="0F9EF3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Начала строительных работ по корпусу N 1 (10 ноября начали работать по реконструкции корпуса N 1).</w:t>
      </w:r>
    </w:p>
    <w:p w14:paraId="5FF234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составления генерального плана площадки опытной базы.</w:t>
      </w:r>
    </w:p>
    <w:p w14:paraId="69E348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Составило заявки на оборудование.</w:t>
      </w:r>
    </w:p>
    <w:p w14:paraId="4F576E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Совместно с УКСом завода был составлен график изготовления сдачи рабочих проектов. Все проекты УКС взялся закончить к 1/III-1940 года.</w:t>
      </w:r>
    </w:p>
    <w:p w14:paraId="683DE2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Совместно с УКСом и нач. 3-й Стройконторы был составлен график строительных работ на первый корпус. Последний взялся закончить и сдать первый корпус к 1 марта 1940 года.</w:t>
      </w:r>
    </w:p>
    <w:p w14:paraId="291C9C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Графики строительных работ остальных объектов договорились составлять по мере сдачи проектов подрядчику.</w:t>
      </w:r>
    </w:p>
    <w:p w14:paraId="49B8DE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документы были завизированы начальником и гл. инженером УКСа, начальником 3-й стройконторы Шумахером и утверждены гл. конструктором и директором завода Яруниным.</w:t>
      </w:r>
    </w:p>
    <w:p w14:paraId="543460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Казалось бы, что толкнув дело с мертвой точки и подписавшись под взятыми на себя обязательствами, директор и нач. УКСа должны были бы заняться вопросом обеспечения строительства финансированием лимитами на стройматериалы и оборудование и составлением соответствующей сметы. Но вместо этого директор завода и нач. УКСа продолжали оставаться на своих прежних позициях по отношению к строительству опытной базы, так например: не поставив в известность руководство бюро, для которого строится база, и которое заинтересовано в ней, в титуле завода предусматривается на строительство базы на 1940 год 2 млн. 500 тыс. руб. ПГУ утвердило 450 тыс. руб. в то время, как на одно проектирование УКС требует 410 тыс. руб., строительная часть первого корпуса по смете УКСа должна стоить более полутора миллионов рублей, т.е. ответственные люди взяли курс на срыв этой работы в 1940 году. Руководство бюро узнав о мероприятиях директора и нач. УКСа подписавших титул решило само составить смету-заявку и представить в ПГУ.</w:t>
      </w:r>
    </w:p>
    <w:p w14:paraId="786BA6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Совместно с УКСом была составлена смета-заявка на 8 млн.... тыс. рублей на 1940 год и направлена нач. ПГУ Лукину с просьбой утвердить ее и выделить указанную сумму в титуле завода N 84. Эту смету-заявку Ярунин отказался подписать и она была направлена за подписью только Болховитинова.</w:t>
      </w:r>
    </w:p>
    <w:p w14:paraId="54D5D4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Лукин смету-заявку утвердил и наложил резолюцию Львову: "Выделить в титуле завода 84 отдельно".</w:t>
      </w:r>
    </w:p>
    <w:p w14:paraId="2A3582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никто до сего дня это распоряжение не выполнил.</w:t>
      </w:r>
    </w:p>
    <w:p w14:paraId="61EB42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смены руководства Наркоматом Болховитинов обратился к Яковлеву и к Вам, тов. нарком по вопросу о производственной базе. вы обещали помочь и двинуть этот вопрос. Через несколько дней на строительство Фотолета приехал нач. ГУКСа НКАП Кац, но его посещение не помогло, так как бегло ознакомившись с ходом работ он заявил: "нужно закончить только первый корпус, дальше делать ничего не надо". Обещал выделить два миллиона рублей пока велел подрядчику работать в долг. На этом его "помощь" закончилась. После Вашего приказа о назначении Болховитинова гл. конструктором еще не существующего завода "Фотолет"..... созвал совещание по вопросу строительства "Фотолет". На этом совещании выяснилось, что наше проектное задание не годится, так как по решению комиссии Маленкова завод "Фотолет" должен быть рассчитан на выпуск новых опытных экземпляров и малой серии, а проектное задание должно быть утверждено Наркомом.</w:t>
      </w:r>
    </w:p>
    <w:p w14:paraId="195711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Лукин обязал бюро и завод представить 31 марта новое... задание и 10 апреля новое проектное задание в 9 отдел... на рассмотрение, после чего представить ему на утверждение.</w:t>
      </w:r>
    </w:p>
    <w:p w14:paraId="3C4F70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опозданием на два дня эти документы были представлены в отдел и потребовалось 20 дней на проталкивание их по комнатам и только 28 апреля протокол рассмотрения нашего проектного задания был утвержден врид. нач. ПГУ Шиц и зам. нач. 11-го гл. управления Шишкиным. Затем все материалы с приложением проекта приказа по НКАП были переданы руководством бюро Яковлеву 22/V, который обещал доложить Вам в ближайшие дни, но уже прошло 18 дней, а материалы Вам не доложены.</w:t>
      </w:r>
    </w:p>
    <w:p w14:paraId="4EAEC6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мы имеем в настоящее время такое положение: строительная часть первого корпуса через полтора-два месяца будет закончена, а строительство котельной, трансформаторного киоска, компрессорной, ацетиленовой и др. еще не начато. Без тепла, энергии, сжатого воздуха, сварочной, оборудования первый корпус не может быть принят в эксплуатацию.</w:t>
      </w:r>
    </w:p>
    <w:p w14:paraId="2200CF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Работники Наркомата, имея подготовленными нашим руководством все материалы (планы, проекты сметы и т.д.), недопустимо затянули это дело, проявив бездушный формализм и по существу явное нежелание выполнять это решение Правительства.</w:t>
      </w:r>
    </w:p>
    <w:p w14:paraId="142AD5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Между тем нерешение этого вопроса в ближайшие 3-5 дней приведет к тому, что строительный сезон 1940 года будет сорван, так как финансовые и строительные фонды будут распределены по другим объектам и производственная база в 1940 году построена не будет.</w:t>
      </w:r>
    </w:p>
    <w:p w14:paraId="4A5D5E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Партийная организация отдела обращается к Вам, тов. Нарком, с ходатайством о немедленном решении этого вопроса еще и потому, что гл. конструктор, без наличия производственной базы, считает для себя невозможным продолжать дальнейшую конструкторскую работу, так как вместо плодотворной практической работы ему приходится тратить время на согласование, решения и увязки различных вопросов в Главках НКАП, а при наличии базы этого бы не было.</w:t>
      </w:r>
    </w:p>
    <w:p w14:paraId="7AF3D5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Парторганизация разделяет взгляд гл. конструктора о невозможности его дальнейшей работы в таких условиях, но вместе с тем считает недопустимым уход его с конструкторской работы, так как на протяжении 6-ти лет его работы с нашим коллективом он доказал, что является подлинным представителем советской технической школы, для которой прежде всего важны интересы Родины - которая не замыкаясь передает свой технический опыт, умело сочетает свою работу с другими научными и производственными организациями, выращивает новые кадры советских специалистов. Его смелый подход к решению технических вопросов выдвигает его в ряд виднейших конструкторов, которые предвидят пути развития авиации. Он смело берется за решение вопросов являющихся на сегодняшний день проблемами.</w:t>
      </w:r>
    </w:p>
    <w:p w14:paraId="775EA6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уход Болховитинова с конструкторской работы нанесет большой ущерб развитию советской авиации.</w:t>
      </w:r>
    </w:p>
    <w:p w14:paraId="052500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нарком!</w:t>
      </w:r>
    </w:p>
    <w:p w14:paraId="779767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Партийная организация отдела посылая Вам это письмо, знает, что 9-го числа этот вопрос будет Вами рассматриваться, она также знает, что у работников Наркомата имеются компромиссные решения, которые не обеспечивают постройку опытной базы в 40 году, поэтому партийная организация отдела просит Вас тов. нарком, со всей полнотой рассмотреть поднятый в данном письме вопрос и вынести положительное решение, обеспечивающее постройку базы в 1940 году для того, чтобы наш коллектив, смог с конца 1940 года приступить к нормальной творческой работе (1195,16).</w:t>
      </w:r>
    </w:p>
    <w:p w14:paraId="065A44A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07B0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на И-26 М-105П ВИШ-61 А.С.Я. в ходе гос. испытаний, которые проходили с 1 по 15 июня 1940 выполнили полеты: на расход горючего (1:20), облет л Кубышкиным и Кабановым, полет на устойчивость (0:15) (2924).</w:t>
      </w:r>
    </w:p>
    <w:p w14:paraId="52139A0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09AD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Нач. ЛТГ НКАП М.М.Г. докладывал Зам Наркома А.С.Я. (исход. 2238 от 14 июня 1940, вход. ? от 16 июня 1940):</w:t>
      </w:r>
    </w:p>
    <w:p w14:paraId="6F4B49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я, совместно с тт. Юмашевым и Чесаловым ознакомились с результатом продувок и полетов на самолете ЦАГИ СК.</w:t>
      </w:r>
    </w:p>
    <w:p w14:paraId="365859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продувкам, которые производились до первого полета, получается, что при зажатых рулях самолет имеет достаточную продольную и путевую устойчивость. Такие продувки недостаточны для суждения о статической устойчивости самолета с брошенным управлением.</w:t>
      </w:r>
    </w:p>
    <w:p w14:paraId="765E65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брошенном управлении, как правило, устойчивость получается меньшей, чем при зажатых рулях.</w:t>
      </w:r>
    </w:p>
    <w:p w14:paraId="1E7633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обстоятельство не было учтено при выпуске самолета в первый полет, в результате чего, в первом полете была обнаружена большая неустойчивость самолета в продольном направлении и в отношении курса, что могло привести к катастрофе самолета.</w:t>
      </w:r>
    </w:p>
    <w:p w14:paraId="37996D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последующих полетах конструктором применялись некоторые паллиативные мероприятия по улучшению путевой устойчивости (путем увеличения на 15% площади киля) и продольной устойчивости путем небольшого увеличения площади стабилизатора.</w:t>
      </w:r>
    </w:p>
    <w:p w14:paraId="141910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эти мероприятия, в настоящее время при центровке 25.3% самолет все еще неустойчив с брошенной ручкой в продольном управлении и по-видимому неустойчив в пути с брошенными педалями.</w:t>
      </w:r>
    </w:p>
    <w:p w14:paraId="20A38E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Большая разница в продольной и путевой устойчивости при зажатых и свободных рулях у этого самолета объясняется большим отклонением хорд рулей к хордам стабилизатора и киля при полной весовой компенсации РВ.</w:t>
      </w:r>
    </w:p>
    <w:p w14:paraId="3D8D8A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подсчетам получается, что продольная статическая нейтральность при свободном РВ у этого самолета наступает при центровке 5-6% более передней, чем при зажатой ручке.</w:t>
      </w:r>
    </w:p>
    <w:p w14:paraId="7A129A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весовой балансировки с РВ могло бы кардинальной изменить лицо машины в части продольной устойчивости.</w:t>
      </w:r>
    </w:p>
    <w:p w14:paraId="36BF5F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этот вопрос о возможности снятия весовых балансиров с РВ, выясняется со специалистами ЦАГИ по флаттеру.</w:t>
      </w:r>
    </w:p>
    <w:p w14:paraId="66B4E5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Доводка машины СК в части путевой устойчивости на наш взгляд должна бы идти по линии уменьшения площади руля направления за счет увеличения площади киля, т.е. при данном ВО РН д.б. уменьшен по площади за свет его хорды.</w:t>
      </w:r>
    </w:p>
    <w:p w14:paraId="44D33B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конструкторы совместно с 4-й лабораторией ЦАГИ принимают меры к лечению машины в этом направлении.</w:t>
      </w:r>
    </w:p>
    <w:p w14:paraId="769120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Дальнейшие полеты на этом самолете, на наш взгляд, можно производить только при искусственной предельно-передней центровки." (1379).</w:t>
      </w:r>
    </w:p>
    <w:p w14:paraId="38A65BA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1171D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на заводские испытания был передан И-220 М-87Б Сильванского (2090,133).</w:t>
      </w:r>
    </w:p>
    <w:p w14:paraId="4ED9D03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1660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А.С.Я. на письме Боровкова с кратким отчетом по заводским испытаниям самолета И-207 М-63 с убирающимся шасси, которые проходили в НИИ ВВС с 22 апреля по 7 июня 1940 г., написал резолюцию М.М.Громову: «Прошу ознакомиться и собрать комиссию по передаче на гос. исп.». Однако дальше дело не пошло...(9649).</w:t>
      </w:r>
    </w:p>
    <w:p w14:paraId="1684760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B161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перелет в Реблицы (ЛВО) для сбрасывания десанта (2923).</w:t>
      </w:r>
    </w:p>
    <w:p w14:paraId="19E826B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226B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14 июня 1940 вышло постановление КО при СНК СССР № 259сс О прекращении строительства некоторых объектов плана, утвержденного на 1939.</w:t>
      </w:r>
    </w:p>
    <w:p w14:paraId="1578C9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СССР постановляет:</w:t>
      </w:r>
    </w:p>
    <w:p w14:paraId="55D4DC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Разрешить НКАП прекратить работы по следующим объектам, утвержденным постановлениями Правительства в 1939 году:</w:t>
      </w:r>
    </w:p>
    <w:p w14:paraId="621EDC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М-88А производства завода № 29 (постановление Правительства № 1514-348сс от 20 сентября 1939).</w:t>
      </w:r>
    </w:p>
    <w:p w14:paraId="54F09B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 М-88 б/р (безредукторный) производства завода № 29 (постановление Правительства № 1514-348сс от 20 сентября 1939)</w:t>
      </w:r>
    </w:p>
    <w:p w14:paraId="2D88C8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 М-104 производства завода № 26 (постановление КО от 26 апреля 1939 № 91сс)</w:t>
      </w:r>
    </w:p>
    <w:p w14:paraId="738C06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Мотор М-106, как промежуточный вариант между М-105 и М-107 производства завода № 26 (постановление Правительства № 227сс от 29 июля 1939 г.)</w:t>
      </w:r>
    </w:p>
    <w:p w14:paraId="5DD53A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Мотор М-12 производства завода № 16 (постановление Правительства № 208сс от 15 июля 1939).</w:t>
      </w:r>
    </w:p>
    <w:p w14:paraId="583B81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представить в Комитет Обороны отчет о произведенных затратах по этим работам на предмет их финансирования (10359,19).</w:t>
      </w:r>
    </w:p>
    <w:p w14:paraId="7DF491C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8964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 нарком ВМФ адмирал Кузнецов писал письмо члену совета Оборонпрома при СНК Ходякову и наркому боеприпасов Сергееву.</w:t>
      </w:r>
    </w:p>
    <w:p w14:paraId="73F36A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марте-апреле 1940 г. прошли полигонные испытания реактивные авиабомбы БЕТАБ-750 ДС и БЕТАБ-450 ДС с увеличенными дополнительными скоростями.</w:t>
      </w:r>
    </w:p>
    <w:p w14:paraId="5C4FDD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 испытаний - удовлетворительный.</w:t>
      </w:r>
    </w:p>
    <w:p w14:paraId="7EE473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Бетонобойные и бронебойные авиабомбы с дополнительными скоростями, являются наиболее совершенным и эффективным вооружением бомбардировочной авиации.</w:t>
      </w:r>
    </w:p>
    <w:p w14:paraId="1D23FD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виду важности этих объектов, необходимо в срочном порядке изготовить партию БРАБ-800 ДС - 50 штук и БЕТАБ-450 ДС - 100 штук, для проведения государственных и войсковых испытаний.</w:t>
      </w:r>
    </w:p>
    <w:p w14:paraId="08D294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Работу по изготовлению БРАБ-800 ДС и БЕТАБ-450 ДС вести с таким расчетом, чтобы подать их на испытания не позже сентября 1940 г. (3354,10).</w:t>
      </w:r>
    </w:p>
    <w:p w14:paraId="118CF79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80448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 начальник НИП АВ ВВС полковник Шевченко и военком НИП АВ ВВС старший политрук Ангенов утвердил:</w:t>
      </w:r>
    </w:p>
    <w:p w14:paraId="0770A4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зажигательных авиабомб ЗАБ-Э-1 оп. партии 1, 2 и ЗАБ-10 ТГ оп. партии 1 опытного суррогатного снаряжения завода № 80 изготовления 1940 года</w:t>
      </w:r>
    </w:p>
    <w:p w14:paraId="0757D1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9 мая 1940 года</w:t>
      </w:r>
    </w:p>
    <w:p w14:paraId="4F1D61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31 мая 1940 года</w:t>
      </w:r>
    </w:p>
    <w:p w14:paraId="3520A4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405B99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Дьячков</w:t>
      </w:r>
    </w:p>
    <w:p w14:paraId="150B9E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79BD3A7C" w14:textId="77777777" w:rsidR="00A25AD1" w:rsidRPr="00DB5D0D" w:rsidRDefault="00A25AD1" w:rsidP="00DB5D0D">
      <w:pPr>
        <w:pStyle w:val="24"/>
        <w:widowControl/>
        <w:rPr>
          <w:color w:val="000000" w:themeColor="text1"/>
        </w:rPr>
      </w:pPr>
      <w:r w:rsidRPr="00DB5D0D">
        <w:rPr>
          <w:color w:val="000000" w:themeColor="text1"/>
        </w:rPr>
        <w:t>Испытание имело цель определить:</w:t>
      </w:r>
    </w:p>
    <w:p w14:paraId="6B79AE97" w14:textId="77777777" w:rsidR="00A25AD1" w:rsidRPr="00DB5D0D" w:rsidRDefault="00A25AD1" w:rsidP="00DB5D0D">
      <w:pPr>
        <w:pStyle w:val="24"/>
        <w:widowControl/>
        <w:tabs>
          <w:tab w:val="left" w:pos="360"/>
        </w:tabs>
        <w:rPr>
          <w:color w:val="000000" w:themeColor="text1"/>
        </w:rPr>
      </w:pPr>
      <w:r w:rsidRPr="00DB5D0D">
        <w:rPr>
          <w:color w:val="000000" w:themeColor="text1"/>
        </w:rPr>
        <w:t>Зажигательную способность.</w:t>
      </w:r>
    </w:p>
    <w:p w14:paraId="362BC753" w14:textId="77777777" w:rsidR="00A25AD1" w:rsidRPr="00DB5D0D" w:rsidRDefault="00A25AD1" w:rsidP="00DB5D0D">
      <w:pPr>
        <w:pStyle w:val="24"/>
        <w:widowControl/>
        <w:tabs>
          <w:tab w:val="left" w:pos="360"/>
        </w:tabs>
        <w:rPr>
          <w:color w:val="000000" w:themeColor="text1"/>
        </w:rPr>
      </w:pPr>
      <w:r w:rsidRPr="00DB5D0D">
        <w:rPr>
          <w:color w:val="000000" w:themeColor="text1"/>
        </w:rPr>
        <w:t>Полноту и время горения.</w:t>
      </w:r>
    </w:p>
    <w:p w14:paraId="488A875B" w14:textId="77777777" w:rsidR="00A25AD1" w:rsidRPr="00DB5D0D" w:rsidRDefault="00A25AD1" w:rsidP="00DB5D0D">
      <w:pPr>
        <w:pStyle w:val="24"/>
        <w:widowControl/>
        <w:tabs>
          <w:tab w:val="left" w:pos="360"/>
        </w:tabs>
        <w:rPr>
          <w:color w:val="000000" w:themeColor="text1"/>
        </w:rPr>
      </w:pPr>
      <w:r w:rsidRPr="00DB5D0D">
        <w:rPr>
          <w:color w:val="000000" w:themeColor="text1"/>
        </w:rPr>
        <w:t>Интенсивность горения.</w:t>
      </w:r>
    </w:p>
    <w:p w14:paraId="05777D7D" w14:textId="77777777" w:rsidR="00A25AD1" w:rsidRPr="00DB5D0D" w:rsidRDefault="00A25AD1" w:rsidP="00DB5D0D">
      <w:pPr>
        <w:pStyle w:val="24"/>
        <w:widowControl/>
        <w:tabs>
          <w:tab w:val="left" w:pos="360"/>
        </w:tabs>
        <w:rPr>
          <w:color w:val="000000" w:themeColor="text1"/>
        </w:rPr>
      </w:pPr>
      <w:r w:rsidRPr="00DB5D0D">
        <w:rPr>
          <w:color w:val="000000" w:themeColor="text1"/>
        </w:rPr>
        <w:t>Проплавляющую способность.</w:t>
      </w:r>
    </w:p>
    <w:p w14:paraId="5415C634"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в действии.</w:t>
      </w:r>
    </w:p>
    <w:p w14:paraId="62618FA8" w14:textId="77777777" w:rsidR="00A25AD1" w:rsidRPr="00DB5D0D" w:rsidRDefault="00A25AD1" w:rsidP="00DB5D0D">
      <w:pPr>
        <w:pStyle w:val="24"/>
        <w:widowControl/>
        <w:tabs>
          <w:tab w:val="left" w:pos="360"/>
        </w:tabs>
        <w:rPr>
          <w:color w:val="000000" w:themeColor="text1"/>
        </w:rPr>
      </w:pPr>
      <w:r w:rsidRPr="00DB5D0D">
        <w:rPr>
          <w:color w:val="000000" w:themeColor="text1"/>
        </w:rPr>
        <w:t>Устойчивость бомб на траектории.</w:t>
      </w:r>
    </w:p>
    <w:p w14:paraId="53D106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502DB2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ЗАБ-1-Э оп. партии № 1 и ЗАБ-10 ТГ устан. партии № 1 опытного суррогатного снаряжения завода № 80 полигонные испытания не выдержали.</w:t>
      </w:r>
    </w:p>
    <w:p w14:paraId="299F58F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ЗАБ-1-Э оп. партии № 2 суррогатного снаряжения по безотказности действия, полноте сгорания и зажигательной способности дали удовлетворительные результаты и полигонные испытания выдержали.</w:t>
      </w:r>
    </w:p>
    <w:p w14:paraId="6123D83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ЗАБ-10 ТГ с коробчатым стабилизатором уменьшают боевую нагрузку самолета СБ на 25% в сравнении с нагрузкой бомбами с перистыми стабилизаторами (в ведро-кассету входят 3 бомбы с коробчатыми стабилизаторами вместо 4 штук с перистыми), а поэтому НИП АВ считает целесообразным оставить у бомб ЗАБ-10 ТГ прежний перистый стабилизатор (7585).</w:t>
      </w:r>
    </w:p>
    <w:p w14:paraId="372B68F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176686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 начальник НИП АВ ВВС полковник Шевченко и военком НИП АВ ВВС в/инженер 2 ранга Щербинин утвердили:</w:t>
      </w:r>
    </w:p>
    <w:p w14:paraId="533639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осколочных бомб АО-8м6 опытного суррогатного снаряжения, 1939 года завода № 12</w:t>
      </w:r>
    </w:p>
    <w:p w14:paraId="625806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9 апреля 1940 года</w:t>
      </w:r>
    </w:p>
    <w:p w14:paraId="65F742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31 мая 1940 года</w:t>
      </w:r>
    </w:p>
    <w:p w14:paraId="59BEB9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4D6F3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Дьячков</w:t>
      </w:r>
    </w:p>
    <w:p w14:paraId="454352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42CBC99A" w14:textId="77777777" w:rsidR="00A25AD1" w:rsidRPr="00DB5D0D" w:rsidRDefault="00A25AD1" w:rsidP="00DB5D0D">
      <w:pPr>
        <w:pStyle w:val="24"/>
        <w:widowControl/>
        <w:rPr>
          <w:color w:val="000000" w:themeColor="text1"/>
        </w:rPr>
      </w:pPr>
      <w:r w:rsidRPr="00DB5D0D">
        <w:rPr>
          <w:color w:val="000000" w:themeColor="text1"/>
        </w:rPr>
        <w:t>Испытание имело цель определить:</w:t>
      </w:r>
    </w:p>
    <w:p w14:paraId="1F01F7F5"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бомбы.</w:t>
      </w:r>
    </w:p>
    <w:p w14:paraId="299231C5" w14:textId="77777777" w:rsidR="00A25AD1" w:rsidRPr="00DB5D0D" w:rsidRDefault="00A25AD1"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688C1C25"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действия.</w:t>
      </w:r>
    </w:p>
    <w:p w14:paraId="62209F84" w14:textId="77777777" w:rsidR="00A25AD1" w:rsidRPr="00DB5D0D" w:rsidRDefault="00A25AD1" w:rsidP="00DB5D0D">
      <w:pPr>
        <w:pStyle w:val="24"/>
        <w:widowControl/>
        <w:tabs>
          <w:tab w:val="left" w:pos="360"/>
        </w:tabs>
        <w:rPr>
          <w:color w:val="000000" w:themeColor="text1"/>
        </w:rPr>
      </w:pPr>
      <w:r w:rsidRPr="00DB5D0D">
        <w:rPr>
          <w:color w:val="000000" w:themeColor="text1"/>
        </w:rPr>
        <w:t>Устойчивость бомб на траектории.</w:t>
      </w:r>
    </w:p>
    <w:p w14:paraId="189470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1A35D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АО-8м6 снаряженные АМТ 80/20 и АМН 88/12 методом шнекования и набивкой и бомбы АО-8м6 снаряженные тротилом методом набивкой по соколочному действию в сравнении со штатными бомбами снаряженными тротилом методом заливкой дали неудовлетворительные результаты и полигонные исптыания не выдержали (7589).</w:t>
      </w:r>
    </w:p>
    <w:p w14:paraId="434BD88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BEBA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w:t>
      </w:r>
      <w:r w:rsidRPr="00DB5D0D">
        <w:rPr>
          <w:rFonts w:ascii="Times New Roman" w:hAnsi="Times New Roman"/>
          <w:color w:val="000000" w:themeColor="text1"/>
          <w:sz w:val="16"/>
          <w:szCs w:val="16"/>
        </w:rPr>
        <w:softHyphen/>
        <w:t>ня 1940 заместитель начальника авиации ВМФ генерал-майор Коробков утвердил ее программу полигонных испытаний РБС-132, взрывателей АВ-96 и ракетных орудий, которую составили временный начальник 7 отдела УА ВМФ военинженер 1 ранга Кудров и временный начальник 2 от</w:t>
      </w:r>
      <w:r w:rsidRPr="00DB5D0D">
        <w:rPr>
          <w:rFonts w:ascii="Times New Roman" w:hAnsi="Times New Roman"/>
          <w:color w:val="000000" w:themeColor="text1"/>
          <w:sz w:val="16"/>
          <w:szCs w:val="16"/>
        </w:rPr>
        <w:softHyphen/>
        <w:t>деления 7 отдела военинжснер 3 ранга Г.И.Мельников. Там. в частности, говорилось, что потребуется оценить точность и кучность огня РБС-132 обеих моделей, проверить их пригодность к стрельбе с самолета (в том числе по бетонированной площадке с пикиро</w:t>
      </w:r>
      <w:r w:rsidRPr="00DB5D0D">
        <w:rPr>
          <w:rFonts w:ascii="Times New Roman" w:hAnsi="Times New Roman"/>
          <w:color w:val="000000" w:themeColor="text1"/>
          <w:sz w:val="16"/>
          <w:szCs w:val="16"/>
        </w:rPr>
        <w:softHyphen/>
        <w:t>вания) и безопасность в эксплуатации, соответствие боеприпасов заданны</w:t>
      </w:r>
      <w:r w:rsidRPr="00DB5D0D">
        <w:rPr>
          <w:rFonts w:ascii="Times New Roman" w:hAnsi="Times New Roman"/>
          <w:color w:val="000000" w:themeColor="text1"/>
          <w:sz w:val="16"/>
          <w:szCs w:val="16"/>
        </w:rPr>
        <w:softHyphen/>
        <w:t>ми ТТТ, а также устойчивость снарядов на траектории и глубину их прони</w:t>
      </w:r>
      <w:r w:rsidRPr="00DB5D0D">
        <w:rPr>
          <w:rFonts w:ascii="Times New Roman" w:hAnsi="Times New Roman"/>
          <w:color w:val="000000" w:themeColor="text1"/>
          <w:sz w:val="16"/>
          <w:szCs w:val="16"/>
        </w:rPr>
        <w:softHyphen/>
        <w:t>кания в преграду. Кроме того, моряков интересовала пригодность, безопас</w:t>
      </w:r>
      <w:r w:rsidRPr="00DB5D0D">
        <w:rPr>
          <w:rFonts w:ascii="Times New Roman" w:hAnsi="Times New Roman"/>
          <w:color w:val="000000" w:themeColor="text1"/>
          <w:sz w:val="16"/>
          <w:szCs w:val="16"/>
        </w:rPr>
        <w:softHyphen/>
        <w:t>ность, надежность действия у цели, время замедления взрывателя АВ-96 сн1 ЦКБ-22 и его соответствие заданным ТТТ, а также прочность конст</w:t>
      </w:r>
      <w:r w:rsidRPr="00DB5D0D">
        <w:rPr>
          <w:rFonts w:ascii="Times New Roman" w:hAnsi="Times New Roman"/>
          <w:color w:val="000000" w:themeColor="text1"/>
          <w:sz w:val="16"/>
          <w:szCs w:val="16"/>
        </w:rPr>
        <w:softHyphen/>
        <w:t>рукции ракетных орудий с электроконтактными приспособлениями к пиросвечам, удобство в эксплуатации РО- 132 и действие выстрела на самолет.</w:t>
      </w:r>
    </w:p>
    <w:p w14:paraId="6308FC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этого требовалось выполнить растрясенный полет с полным (10 штук) боекомплектом в нейтральном снаряжении, затем отстрелять его с земли при работающих моторах: четыре выстрела по одному снаряду, залп двумя и залп четырьмя снарядами (11402).</w:t>
      </w:r>
    </w:p>
    <w:p w14:paraId="6ADA55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513A7B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E15707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BE7DB0E"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14 июня 1940 вышло Постановление Комитета обороны при СНК СССР № 262сс "Об изготовлении артиллерийских систем большой мощности на железнодорожных транспортерах" с приложениями (21927).</w:t>
      </w:r>
    </w:p>
    <w:p w14:paraId="18CB78F0" w14:textId="77777777" w:rsidR="00F40BC0" w:rsidRPr="00DB5D0D" w:rsidRDefault="00F40BC0" w:rsidP="00DB5D0D">
      <w:pPr>
        <w:spacing w:after="0" w:line="240" w:lineRule="auto"/>
        <w:jc w:val="both"/>
        <w:rPr>
          <w:rFonts w:ascii="Times New Roman" w:hAnsi="Times New Roman"/>
          <w:color w:val="0070C0"/>
          <w:sz w:val="16"/>
          <w:szCs w:val="16"/>
        </w:rPr>
      </w:pPr>
    </w:p>
    <w:p w14:paraId="478786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 Приказом по НКВ № 164 заводу № 92 предписывалось начать испытания нового орудия с полевого станка 1 сентября 1940 г. Для экономии времени ОКБ № 92 использовало практи</w:t>
      </w:r>
      <w:r w:rsidRPr="00DB5D0D">
        <w:rPr>
          <w:rFonts w:ascii="Times New Roman" w:hAnsi="Times New Roman"/>
          <w:color w:val="000000" w:themeColor="text1"/>
          <w:sz w:val="16"/>
          <w:szCs w:val="16"/>
        </w:rPr>
        <w:softHyphen/>
        <w:t>чески законченный проект 76-мм танковой пушки с баллис</w:t>
      </w:r>
      <w:r w:rsidRPr="00DB5D0D">
        <w:rPr>
          <w:rFonts w:ascii="Times New Roman" w:hAnsi="Times New Roman"/>
          <w:color w:val="000000" w:themeColor="text1"/>
          <w:sz w:val="16"/>
          <w:szCs w:val="16"/>
        </w:rPr>
        <w:softHyphen/>
        <w:t>тикой зенитного орудия обр. 1931/38 гг. — Ф-27. В проекте были сделаны лишь те изменения, которые требовались для уравновешивания более короткого ствола, а также упроще</w:t>
      </w:r>
      <w:r w:rsidRPr="00DB5D0D">
        <w:rPr>
          <w:rFonts w:ascii="Times New Roman" w:hAnsi="Times New Roman"/>
          <w:color w:val="000000" w:themeColor="text1"/>
          <w:sz w:val="16"/>
          <w:szCs w:val="16"/>
        </w:rPr>
        <w:softHyphen/>
        <w:t>ния технологии изготовления. С 15 по 25 сентября орудие Ф-34 проходило программу отстрела с полевого станка (от орудия Ф-22УСВ). К 1 октября опытное орудие было установлено в башне танка БТ-7А и поступило на заводские ис</w:t>
      </w:r>
      <w:r w:rsidRPr="00DB5D0D">
        <w:rPr>
          <w:rFonts w:ascii="Times New Roman" w:hAnsi="Times New Roman"/>
          <w:color w:val="000000" w:themeColor="text1"/>
          <w:sz w:val="16"/>
          <w:szCs w:val="16"/>
        </w:rPr>
        <w:softHyphen/>
        <w:t>пытания обкаткой и стрельбой. Испытания завершились 20 ноября, а поскольку никаких серьезных недоработок в конструкции пушки найдено не было, то уже 21 ноября ору</w:t>
      </w:r>
      <w:r w:rsidRPr="00DB5D0D">
        <w:rPr>
          <w:rFonts w:ascii="Times New Roman" w:hAnsi="Times New Roman"/>
          <w:color w:val="000000" w:themeColor="text1"/>
          <w:sz w:val="16"/>
          <w:szCs w:val="16"/>
        </w:rPr>
        <w:softHyphen/>
        <w:t>дие было рекомендовано для принятия на вооружение и предстало перед приемочной комиссией НКО (10782).</w:t>
      </w:r>
    </w:p>
    <w:p w14:paraId="354F1C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703E5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 Приказом по НКВ № 164сс заводу № 92 предписывалось начать испытания нового орудия с полевого станка с 1 сентября 1940 г. Для ускорения разработки П. Муравьев и В. Норкин использовали задел по эскизному проекту 76,2-мм танко</w:t>
      </w:r>
      <w:r w:rsidRPr="00DB5D0D">
        <w:rPr>
          <w:rFonts w:ascii="Times New Roman" w:hAnsi="Times New Roman"/>
          <w:color w:val="000000" w:themeColor="text1"/>
          <w:sz w:val="16"/>
          <w:szCs w:val="16"/>
        </w:rPr>
        <w:softHyphen/>
        <w:t>вой пушки большой мощности Ф-27, разработанной в инициативном порядке в начале 1940 г., а также докумен</w:t>
      </w:r>
      <w:r w:rsidRPr="00DB5D0D">
        <w:rPr>
          <w:rFonts w:ascii="Times New Roman" w:hAnsi="Times New Roman"/>
          <w:color w:val="000000" w:themeColor="text1"/>
          <w:sz w:val="16"/>
          <w:szCs w:val="16"/>
        </w:rPr>
        <w:softHyphen/>
        <w:t>тацию на уже освоенное в серии орудие Ф-32. Несмотря на то что прототипом при разработке всех указанных ору</w:t>
      </w:r>
      <w:r w:rsidRPr="00DB5D0D">
        <w:rPr>
          <w:rFonts w:ascii="Times New Roman" w:hAnsi="Times New Roman"/>
          <w:color w:val="000000" w:themeColor="text1"/>
          <w:sz w:val="16"/>
          <w:szCs w:val="16"/>
        </w:rPr>
        <w:softHyphen/>
        <w:t>дий являлась пушка Ф-22, новая танковая пушка отлича</w:t>
      </w:r>
      <w:r w:rsidRPr="00DB5D0D">
        <w:rPr>
          <w:rFonts w:ascii="Times New Roman" w:hAnsi="Times New Roman"/>
          <w:color w:val="000000" w:themeColor="text1"/>
          <w:sz w:val="16"/>
          <w:szCs w:val="16"/>
        </w:rPr>
        <w:softHyphen/>
        <w:t xml:space="preserve">лась от нее не только установкой, а от серийной танковой Ф-32 (выпуск которой велся на Кировском заводе) не </w:t>
      </w:r>
      <w:r w:rsidRPr="00DB5D0D">
        <w:rPr>
          <w:rFonts w:ascii="Times New Roman" w:hAnsi="Times New Roman"/>
          <w:color w:val="000000" w:themeColor="text1"/>
          <w:sz w:val="16"/>
          <w:szCs w:val="16"/>
        </w:rPr>
        <w:lastRenderedPageBreak/>
        <w:t>только длиной ствола. Была значительно снижена трудо</w:t>
      </w:r>
      <w:r w:rsidRPr="00DB5D0D">
        <w:rPr>
          <w:rFonts w:ascii="Times New Roman" w:hAnsi="Times New Roman"/>
          <w:color w:val="000000" w:themeColor="text1"/>
          <w:sz w:val="16"/>
          <w:szCs w:val="16"/>
        </w:rPr>
        <w:softHyphen/>
        <w:t>емкость изготовления казенника. В частности, вместо ме-ханообработки введено фасонное литье, штамповка, то</w:t>
      </w:r>
      <w:r w:rsidRPr="00DB5D0D">
        <w:rPr>
          <w:rFonts w:ascii="Times New Roman" w:hAnsi="Times New Roman"/>
          <w:color w:val="000000" w:themeColor="text1"/>
          <w:sz w:val="16"/>
          <w:szCs w:val="16"/>
        </w:rPr>
        <w:softHyphen/>
        <w:t>чечная сварка, уменьшено количество легирующих метал</w:t>
      </w:r>
      <w:r w:rsidRPr="00DB5D0D">
        <w:rPr>
          <w:rFonts w:ascii="Times New Roman" w:hAnsi="Times New Roman"/>
          <w:color w:val="000000" w:themeColor="text1"/>
          <w:sz w:val="16"/>
          <w:szCs w:val="16"/>
        </w:rPr>
        <w:softHyphen/>
        <w:t>лов в пользу углеродистой стали (10782).</w:t>
      </w:r>
    </w:p>
    <w:p w14:paraId="2B7C21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427AF3F"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w:t>
      </w:r>
    </w:p>
    <w:p w14:paraId="117ADE54"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149. Письмо начальника специального технического бюро Наркомата тяжелого машиностроения СССР Н. А. Рудакова секретарю Ленинградского обкома ВКП(б) А. А. Жданову об изготовлении на Кировском и Ижорском заводах опытного корпуса танка КВ</w:t>
      </w:r>
    </w:p>
    <w:p w14:paraId="31AFF935"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46F8450A"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617-618.</w:t>
      </w:r>
    </w:p>
    <w:p w14:paraId="3D7D61DB"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0E1FE481"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4. Оп. 14. Д. 2892. Л. 30-31. Заверенная копия.</w:t>
      </w:r>
    </w:p>
    <w:p w14:paraId="788DE973"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7741D0A4"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20-27 мая 1940 г. комиссия Комитета обороны под председательством помощника начальника АБТУ т. Алымова провела сравнительные испытания опытной литой башни танка КВ, цементованной во время отливки, разработанной специальным техническим бюро НКТМ, опытной литой гомогенной башни танка КВ, изготовленной НИИ</w:t>
      </w:r>
      <w:r w:rsidRPr="00DB5D0D">
        <w:rPr>
          <w:rFonts w:ascii="Times New Roman" w:hAnsi="Times New Roman"/>
          <w:color w:val="000000" w:themeColor="text1"/>
          <w:sz w:val="16"/>
          <w:szCs w:val="16"/>
        </w:rPr>
        <w:noBreakHyphen/>
        <w:t>48, и катаной гомогенной плиты для танка КВ, изготовленной Ижорским заводом в валовом порядке.</w:t>
      </w:r>
    </w:p>
    <w:p w14:paraId="32EE2B20"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показали, что катаная гомогенная броня танка КВ, хорошо сопротивлялась тупоголовым снарядам 76</w:t>
      </w:r>
      <w:r w:rsidRPr="00DB5D0D">
        <w:rPr>
          <w:rFonts w:ascii="Times New Roman" w:hAnsi="Times New Roman"/>
          <w:color w:val="000000" w:themeColor="text1"/>
          <w:sz w:val="16"/>
          <w:szCs w:val="16"/>
        </w:rPr>
        <w:noBreakHyphen/>
        <w:t>мм калибра (предел тыльной прочности при 630</w:t>
      </w:r>
      <w:r w:rsidRPr="00DB5D0D">
        <w:rPr>
          <w:rFonts w:ascii="Times New Roman" w:hAnsi="Times New Roman"/>
          <w:color w:val="000000" w:themeColor="text1"/>
          <w:sz w:val="16"/>
          <w:szCs w:val="16"/>
        </w:rPr>
        <w:noBreakHyphen/>
        <w:t>640 м/с), пробивается остроголовыми снарядами того же калибра при 530</w:t>
      </w:r>
      <w:r w:rsidRPr="00DB5D0D">
        <w:rPr>
          <w:rFonts w:ascii="Times New Roman" w:hAnsi="Times New Roman"/>
          <w:color w:val="000000" w:themeColor="text1"/>
          <w:sz w:val="16"/>
          <w:szCs w:val="16"/>
        </w:rPr>
        <w:noBreakHyphen/>
        <w:t>550 м/с, причем сами снаряды остаются целыми.</w:t>
      </w:r>
    </w:p>
    <w:p w14:paraId="75F934BA"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на вооружении КА находятся только тупоголовые снаряды 76</w:t>
      </w:r>
      <w:r w:rsidRPr="00DB5D0D">
        <w:rPr>
          <w:rFonts w:ascii="Times New Roman" w:hAnsi="Times New Roman"/>
          <w:color w:val="000000" w:themeColor="text1"/>
          <w:sz w:val="16"/>
          <w:szCs w:val="16"/>
        </w:rPr>
        <w:noBreakHyphen/>
        <w:t>мм калибра, а, с другой стороны, существует мнение, что вероятность попадания в танк снарядов по нормали исключена, технические условия на приемку катаной гомогенной брони для КВ не предусматривают испытания ее остроголовыми снарядами. Между тем находящийся на Кировском заводе один танк КВ, участвовавший в боевых действиях на финском фронте, из 6 попаданий снарядами 37</w:t>
      </w:r>
      <w:r w:rsidRPr="00DB5D0D">
        <w:rPr>
          <w:rFonts w:ascii="Times New Roman" w:hAnsi="Times New Roman"/>
          <w:color w:val="000000" w:themeColor="text1"/>
          <w:sz w:val="16"/>
          <w:szCs w:val="16"/>
        </w:rPr>
        <w:noBreakHyphen/>
        <w:t>мм калибра имеет одно попадание по нормали (в борт); другой танк из 10 попаданий — одно попадание по нормали в носовую часть, причем в обоих случаях снаряды углублялись в броню на 68 мм.</w:t>
      </w:r>
    </w:p>
    <w:p w14:paraId="7468B60F"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катаная гомогенная броня, выпускаемая Ижорским заводом в валовом порядке, является неполноценной броней, легко уязвима остроголовыми снарядами, которые, несомненно, противник будет применять наряду с тупоголовыми. Надо немедленно серьезно заняться улучшением ее качества в направлении либо поверхностной цементации, либо повышения ее общей твердости.</w:t>
      </w:r>
    </w:p>
    <w:p w14:paraId="701D4C44"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испытаниях установлено также, что опытная литая броня танка КВ, цементованная во время отливки (башня), толщиной 80</w:t>
      </w:r>
      <w:r w:rsidRPr="00DB5D0D">
        <w:rPr>
          <w:rFonts w:ascii="Times New Roman" w:hAnsi="Times New Roman"/>
          <w:color w:val="000000" w:themeColor="text1"/>
          <w:sz w:val="16"/>
          <w:szCs w:val="16"/>
        </w:rPr>
        <w:noBreakHyphen/>
        <w:t>82 мм, по снарядостойкости против тупоголовых снарядов почти не уступает катаной гомогенной броне толщиной 75  мм, но в то же время не пробивается остроголовыми снарядами при скорости 560</w:t>
      </w:r>
      <w:r w:rsidRPr="00DB5D0D">
        <w:rPr>
          <w:rFonts w:ascii="Times New Roman" w:hAnsi="Times New Roman"/>
          <w:color w:val="000000" w:themeColor="text1"/>
          <w:sz w:val="16"/>
          <w:szCs w:val="16"/>
        </w:rPr>
        <w:noBreakHyphen/>
        <w:t>580 м/с.</w:t>
      </w:r>
    </w:p>
    <w:p w14:paraId="2F03BF6B"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Преимущества литой брони, цементованной во время отливки, еще более подкрепляют технико-экономические показатели. Так, например, опытная литая башня танка КВ, цементованная во время отливки, требует времени на изготовление на 20% меньше и имеет стоимость на 50% меньше, чем такая же башня из катаной гомогенной стали.</w:t>
      </w:r>
    </w:p>
    <w:p w14:paraId="3DD3494F"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Изготовление танков КВ можно значительно ускорить, если решить задачу отливки и термообработки целых корпусов этого танка. Условия на  Ижорском заводе для этого есть. Коллектив товарищей, желающих взяться за это дело, подобран.</w:t>
      </w:r>
    </w:p>
    <w:p w14:paraId="6DB02294"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получении руководством Кировского и Ижорского заводов категорических указаний обеспечить внеочередное проведение всех необходимых работ такой опытный целый литой корпус танка КВ с толщиной брони 85 мм будет отлит и термически обработан к 15 августа 1940 г.</w:t>
      </w:r>
    </w:p>
    <w:p w14:paraId="192B8187"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Рудаков</w:t>
      </w:r>
    </w:p>
    <w:p w14:paraId="3514D1F7"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Резолюция: «Разослать заинтересованным наркомам, спросив их мнение. Жданов».</w:t>
      </w:r>
    </w:p>
    <w:p w14:paraId="7AC7B3DD" w14:textId="77777777" w:rsidR="00025089" w:rsidRPr="00DB5D0D" w:rsidRDefault="0002508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4. Оп. 14. Д. 2892. Л. 30-31. Заверенная копия (17909).</w:t>
      </w:r>
    </w:p>
    <w:p w14:paraId="5A4C1BE5" w14:textId="77777777" w:rsidR="00025089" w:rsidRPr="00DB5D0D" w:rsidRDefault="00025089" w:rsidP="00DB5D0D">
      <w:pPr>
        <w:spacing w:after="0" w:line="240" w:lineRule="auto"/>
        <w:jc w:val="both"/>
        <w:rPr>
          <w:rFonts w:ascii="Times New Roman" w:hAnsi="Times New Roman"/>
          <w:color w:val="000000" w:themeColor="text1"/>
          <w:sz w:val="16"/>
          <w:szCs w:val="16"/>
        </w:rPr>
      </w:pPr>
    </w:p>
    <w:p w14:paraId="34D70EB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395C32E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118EE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14 июня по 3 июля 1940 г.:</w:t>
      </w:r>
    </w:p>
    <w:p w14:paraId="5494D5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88 (Составлена по: РГАЭ. Ф.9527. Оп. 1.Д. 1585. Л.25.).</w:t>
      </w:r>
    </w:p>
    <w:p w14:paraId="6CD7D9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Перевозки грузов авиаотрядами ГВФ во время Прибалтийского и Бессарабского походов (с 14 июня по 3 июля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7D5DF8" w:rsidRPr="00DB5D0D" w14:paraId="3FA75695" w14:textId="77777777" w:rsidTr="009223E5">
        <w:tc>
          <w:tcPr>
            <w:tcW w:w="5605" w:type="dxa"/>
            <w:tcBorders>
              <w:top w:val="single" w:sz="12" w:space="0" w:color="auto"/>
            </w:tcBorders>
            <w:shd w:val="clear" w:color="auto" w:fill="FFFFFF"/>
          </w:tcPr>
          <w:p w14:paraId="2FAF70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Категории</w:t>
            </w:r>
          </w:p>
        </w:tc>
        <w:tc>
          <w:tcPr>
            <w:tcW w:w="5605" w:type="dxa"/>
            <w:tcBorders>
              <w:top w:val="single" w:sz="12" w:space="0" w:color="auto"/>
            </w:tcBorders>
            <w:shd w:val="clear" w:color="auto" w:fill="FFFFFF"/>
          </w:tcPr>
          <w:p w14:paraId="787F1D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т</w:t>
            </w:r>
          </w:p>
        </w:tc>
      </w:tr>
      <w:tr w:rsidR="007D5DF8" w:rsidRPr="00DB5D0D" w14:paraId="720FE854" w14:textId="77777777" w:rsidTr="009223E5">
        <w:tc>
          <w:tcPr>
            <w:tcW w:w="5605" w:type="dxa"/>
            <w:shd w:val="clear" w:color="auto" w:fill="FFFFFF"/>
          </w:tcPr>
          <w:p w14:paraId="11B157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оружие, боеприпасы, другие спецгрузы</w:t>
            </w:r>
          </w:p>
        </w:tc>
        <w:tc>
          <w:tcPr>
            <w:tcW w:w="5605" w:type="dxa"/>
            <w:shd w:val="clear" w:color="auto" w:fill="FFFFFF"/>
          </w:tcPr>
          <w:p w14:paraId="5B79FD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278,8</w:t>
            </w:r>
          </w:p>
        </w:tc>
      </w:tr>
      <w:tr w:rsidR="007D5DF8" w:rsidRPr="00DB5D0D" w14:paraId="77CFF30B" w14:textId="77777777" w:rsidTr="009223E5">
        <w:tc>
          <w:tcPr>
            <w:tcW w:w="5605" w:type="dxa"/>
            <w:shd w:val="clear" w:color="auto" w:fill="FFFFFF"/>
          </w:tcPr>
          <w:p w14:paraId="6750E0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почта, газеты, литература</w:t>
            </w:r>
          </w:p>
        </w:tc>
        <w:tc>
          <w:tcPr>
            <w:tcW w:w="5605" w:type="dxa"/>
            <w:shd w:val="clear" w:color="auto" w:fill="FFFFFF"/>
          </w:tcPr>
          <w:p w14:paraId="24B967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202,1</w:t>
            </w:r>
          </w:p>
        </w:tc>
      </w:tr>
      <w:tr w:rsidR="007D5DF8" w:rsidRPr="00DB5D0D" w14:paraId="703FA254" w14:textId="77777777" w:rsidTr="009223E5">
        <w:tc>
          <w:tcPr>
            <w:tcW w:w="5605" w:type="dxa"/>
            <w:tcBorders>
              <w:bottom w:val="single" w:sz="12" w:space="0" w:color="auto"/>
            </w:tcBorders>
            <w:shd w:val="clear" w:color="auto" w:fill="FFFFFF"/>
          </w:tcPr>
          <w:p w14:paraId="7FABE9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5605" w:type="dxa"/>
            <w:tcBorders>
              <w:bottom w:val="single" w:sz="12" w:space="0" w:color="auto"/>
            </w:tcBorders>
            <w:shd w:val="clear" w:color="auto" w:fill="FFFFFF"/>
          </w:tcPr>
          <w:p w14:paraId="0127D5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480,9</w:t>
            </w:r>
          </w:p>
        </w:tc>
      </w:tr>
    </w:tbl>
    <w:p w14:paraId="544355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(11710,530).</w:t>
      </w:r>
    </w:p>
    <w:p w14:paraId="36292F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510C3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два МБР-2 сбили финский Ю-52 OH-ALL Калева, летевший из Эстонии. Там была диппочта, один американский, два немецких и два французских дипломата, которых подобрала п/л Щ-301 (6273, 36).</w:t>
      </w:r>
    </w:p>
    <w:p w14:paraId="4F2AE7F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AAE5A1"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июня 1940 два советских Ильюшин ДБ-3Т сбивают финский Aero O / Y Junkers Ju 52 авиалайнер Калева вскоре после того, как он взлетает из Таллинна, Эстония. Он врезается в Финский залив, в результате чего погибли все девять человек на борту, в том числе американский дипломатический клерк Генри У. Антейл младший, младший брат композитора Джорджа Антейла (20795).</w:t>
      </w:r>
    </w:p>
    <w:p w14:paraId="18383333" w14:textId="77777777" w:rsidR="00F40BC0" w:rsidRPr="00DB5D0D" w:rsidRDefault="00F40BC0" w:rsidP="00DB5D0D">
      <w:pPr>
        <w:spacing w:after="0" w:line="240" w:lineRule="auto"/>
        <w:jc w:val="both"/>
        <w:rPr>
          <w:rFonts w:ascii="Times New Roman" w:hAnsi="Times New Roman"/>
          <w:color w:val="0070C0"/>
          <w:sz w:val="16"/>
          <w:szCs w:val="16"/>
        </w:rPr>
      </w:pPr>
    </w:p>
    <w:p w14:paraId="3F10D99C"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июня 1940 г. пара ДБ-3 перехватила над нейтральны</w:t>
      </w:r>
      <w:r w:rsidRPr="00DB5D0D">
        <w:rPr>
          <w:rFonts w:ascii="Times New Roman" w:hAnsi="Times New Roman"/>
          <w:color w:val="0070C0"/>
          <w:sz w:val="16"/>
          <w:szCs w:val="16"/>
        </w:rPr>
        <w:softHyphen/>
        <w:t xml:space="preserve">ми водами пассажирский </w:t>
      </w:r>
      <w:r w:rsidRPr="00DB5D0D">
        <w:rPr>
          <w:rFonts w:ascii="Times New Roman" w:hAnsi="Times New Roman"/>
          <w:color w:val="0070C0"/>
          <w:sz w:val="16"/>
          <w:szCs w:val="16"/>
          <w:lang w:val="en-US"/>
        </w:rPr>
        <w:t>Ju</w:t>
      </w:r>
      <w:r w:rsidRPr="00DB5D0D">
        <w:rPr>
          <w:rFonts w:ascii="Times New Roman" w:hAnsi="Times New Roman"/>
          <w:color w:val="0070C0"/>
          <w:sz w:val="16"/>
          <w:szCs w:val="16"/>
        </w:rPr>
        <w:t>-52/3</w:t>
      </w:r>
      <w:r w:rsidRPr="00DB5D0D">
        <w:rPr>
          <w:rFonts w:ascii="Times New Roman" w:hAnsi="Times New Roman"/>
          <w:color w:val="0070C0"/>
          <w:sz w:val="16"/>
          <w:szCs w:val="16"/>
          <w:lang w:val="en-US"/>
        </w:rPr>
        <w:t>mge</w:t>
      </w:r>
      <w:r w:rsidRPr="00DB5D0D">
        <w:rPr>
          <w:rFonts w:ascii="Times New Roman" w:hAnsi="Times New Roman"/>
          <w:color w:val="0070C0"/>
          <w:sz w:val="16"/>
          <w:szCs w:val="16"/>
        </w:rPr>
        <w:t xml:space="preserve"> </w:t>
      </w:r>
      <w:r w:rsidRPr="00DB5D0D">
        <w:rPr>
          <w:rFonts w:ascii="Times New Roman" w:hAnsi="Times New Roman"/>
          <w:color w:val="0070C0"/>
          <w:sz w:val="16"/>
          <w:szCs w:val="16"/>
          <w:lang w:val="en-US"/>
        </w:rPr>
        <w:t>OH</w:t>
      </w:r>
      <w:r w:rsidRPr="00DB5D0D">
        <w:rPr>
          <w:rFonts w:ascii="Times New Roman" w:hAnsi="Times New Roman"/>
          <w:color w:val="0070C0"/>
          <w:sz w:val="16"/>
          <w:szCs w:val="16"/>
        </w:rPr>
        <w:t>-</w:t>
      </w:r>
      <w:r w:rsidRPr="00DB5D0D">
        <w:rPr>
          <w:rFonts w:ascii="Times New Roman" w:hAnsi="Times New Roman"/>
          <w:color w:val="0070C0"/>
          <w:sz w:val="16"/>
          <w:szCs w:val="16"/>
          <w:lang w:val="en-US"/>
        </w:rPr>
        <w:t>OLL</w:t>
      </w:r>
      <w:r w:rsidRPr="00DB5D0D">
        <w:rPr>
          <w:rFonts w:ascii="Times New Roman" w:hAnsi="Times New Roman"/>
          <w:color w:val="0070C0"/>
          <w:sz w:val="16"/>
          <w:szCs w:val="16"/>
        </w:rPr>
        <w:t xml:space="preserve"> </w:t>
      </w:r>
      <w:r w:rsidRPr="00DB5D0D">
        <w:rPr>
          <w:rFonts w:ascii="Times New Roman" w:hAnsi="Times New Roman"/>
          <w:color w:val="0070C0"/>
          <w:sz w:val="16"/>
          <w:szCs w:val="16"/>
          <w:lang w:val="en-US"/>
        </w:rPr>
        <w:t>Kaleva</w:t>
      </w:r>
      <w:r w:rsidRPr="00DB5D0D">
        <w:rPr>
          <w:rFonts w:ascii="Times New Roman" w:hAnsi="Times New Roman"/>
          <w:color w:val="0070C0"/>
          <w:sz w:val="16"/>
          <w:szCs w:val="16"/>
        </w:rPr>
        <w:t xml:space="preserve"> финской авиакомпании </w:t>
      </w:r>
      <w:r w:rsidRPr="00DB5D0D">
        <w:rPr>
          <w:rFonts w:ascii="Times New Roman" w:hAnsi="Times New Roman"/>
          <w:color w:val="0070C0"/>
          <w:sz w:val="16"/>
          <w:szCs w:val="16"/>
          <w:lang w:val="en-US"/>
        </w:rPr>
        <w:t>Aero</w:t>
      </w:r>
      <w:r w:rsidRPr="00DB5D0D">
        <w:rPr>
          <w:rFonts w:ascii="Times New Roman" w:hAnsi="Times New Roman"/>
          <w:color w:val="0070C0"/>
          <w:sz w:val="16"/>
          <w:szCs w:val="16"/>
        </w:rPr>
        <w:t xml:space="preserve"> </w:t>
      </w:r>
      <w:r w:rsidRPr="00DB5D0D">
        <w:rPr>
          <w:rFonts w:ascii="Times New Roman" w:hAnsi="Times New Roman"/>
          <w:color w:val="0070C0"/>
          <w:sz w:val="16"/>
          <w:szCs w:val="16"/>
          <w:lang w:val="en-US"/>
        </w:rPr>
        <w:t>O</w:t>
      </w:r>
      <w:r w:rsidRPr="00DB5D0D">
        <w:rPr>
          <w:rFonts w:ascii="Times New Roman" w:hAnsi="Times New Roman"/>
          <w:color w:val="0070C0"/>
          <w:sz w:val="16"/>
          <w:szCs w:val="16"/>
        </w:rPr>
        <w:t>/</w:t>
      </w:r>
      <w:r w:rsidRPr="00DB5D0D">
        <w:rPr>
          <w:rFonts w:ascii="Times New Roman" w:hAnsi="Times New Roman"/>
          <w:color w:val="0070C0"/>
          <w:sz w:val="16"/>
          <w:szCs w:val="16"/>
          <w:lang w:val="en-US"/>
        </w:rPr>
        <w:t>Y</w:t>
      </w:r>
      <w:r w:rsidRPr="00DB5D0D">
        <w:rPr>
          <w:rFonts w:ascii="Times New Roman" w:hAnsi="Times New Roman"/>
          <w:color w:val="0070C0"/>
          <w:sz w:val="16"/>
          <w:szCs w:val="16"/>
        </w:rPr>
        <w:t>, шедший из Таллинна в Хель</w:t>
      </w:r>
      <w:r w:rsidRPr="00DB5D0D">
        <w:rPr>
          <w:rFonts w:ascii="Times New Roman" w:hAnsi="Times New Roman"/>
          <w:color w:val="0070C0"/>
          <w:sz w:val="16"/>
          <w:szCs w:val="16"/>
        </w:rPr>
        <w:softHyphen/>
        <w:t>синки, и сбила его. Погибли 9 человек (19944).</w:t>
      </w:r>
    </w:p>
    <w:p w14:paraId="0479045A" w14:textId="77777777" w:rsidR="00F40BC0" w:rsidRPr="00DB5D0D" w:rsidRDefault="00F40BC0" w:rsidP="00DB5D0D">
      <w:pPr>
        <w:spacing w:after="0" w:line="240" w:lineRule="auto"/>
        <w:jc w:val="both"/>
        <w:rPr>
          <w:rFonts w:ascii="Times New Roman" w:hAnsi="Times New Roman"/>
          <w:color w:val="0070C0"/>
          <w:sz w:val="16"/>
          <w:szCs w:val="16"/>
        </w:rPr>
      </w:pPr>
    </w:p>
    <w:p w14:paraId="3C10DBB9" w14:textId="77777777" w:rsidR="00CA68C7" w:rsidRPr="00DB5D0D" w:rsidRDefault="00CA68C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14 июня</w:t>
      </w:r>
      <w:r w:rsidRPr="00DB5D0D">
        <w:rPr>
          <w:rFonts w:ascii="Times New Roman" w:hAnsi="Times New Roman"/>
          <w:color w:val="000000" w:themeColor="text1"/>
          <w:sz w:val="16"/>
          <w:szCs w:val="16"/>
        </w:rPr>
        <w:t xml:space="preserve"> в 1940 году катастрофа самолёта «Junkers» «Ju-52/3m», командир воздушного судна шеф-пилот финской авиационной компании «Aero O/Y» полковник Виллебрандт Б. Экипаж выполнял рейс по маршруту Таллин - Хельсинки (Мальми). На борту находились дипломаты США и Франции. Самолёт был атакован и сбит парой советских «ДБ-3Т» в нейтральных водах Финского залива. На борту находилось 9 человек, все погибли. Три сотрудника западных посольств с объемистым багажом покидали Эстонию в то время, когда в адрес правительств западных стран от имени Народного комиссариата иностранных дел отправлены требования закрыть свои посольства в Эстонии, Латвии и Литве в связи с вхождением этих стран в состав СССР. В акватории Финского залива было организовано патрулирование. Одна из советских подводных лодок, «Щ-301», находилась на позиции точно под трассой пролета финского «Юнкерса». Моряки уже получили приказ о начале блокады Эстонии. В нем содержалось задание проверять все суда, покидающие Эстонию, а также всех пассажиров и весь груз на борту. Предполагалось, что эстонское правительство попытается покинуть страну и, возможно, будет находиться на каком-либо судне. В случае если некое судно не остановится или окажет сопротивление, разрешалось открывать по нему огонь; национальная принадлежность судна не имеет значения. То же относилось и к самолетам. Пара самолётов «ДБ-3Т» из состава 1-го минно-торпедного авиаполка ВВС КБФ, ведущий - командир авиационного полка полковник Бедзинашвили Ш.Б. и ведомый капитан Бабушкин М.А., вылетела на разведку в северо-западную часть Балтийского моря. Заметив взлетевший с аэродрома Лагсберг (Таллин) Юнкерс, советские лётчики сблизились с ним. Правый пилот ведущего самолёта Хохлов П.И. (будущий генерал-лейтенант авиации, ГСС), открыв крышку астролюка, рукой показал пилоту Юнкерса на разворот в сторону аэродрома посадки. Пилот Юнкерса не повиновался и продолжал лететь с прежним курсом. После предупредительной стрельбы двумя очередями и последующим игнорированием команд, Юнкерс был сбит (14922).</w:t>
      </w:r>
    </w:p>
    <w:p w14:paraId="6DCA1382" w14:textId="77777777" w:rsidR="00CA68C7" w:rsidRPr="00DB5D0D" w:rsidRDefault="00CA68C7" w:rsidP="00DB5D0D">
      <w:pPr>
        <w:spacing w:after="0" w:line="240" w:lineRule="auto"/>
        <w:jc w:val="both"/>
        <w:rPr>
          <w:rFonts w:ascii="Times New Roman" w:hAnsi="Times New Roman"/>
          <w:color w:val="000000" w:themeColor="text1"/>
          <w:sz w:val="16"/>
          <w:szCs w:val="16"/>
        </w:rPr>
      </w:pPr>
    </w:p>
    <w:p w14:paraId="7C5B511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5643E58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5C87E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И.В.С. в своем кабинете в Кремле открыл сейф, достал бестужевские капли и уехал на дачу с микроинфарктом (2536,102).</w:t>
      </w:r>
    </w:p>
    <w:p w14:paraId="77AC98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6E0028" w14:textId="77777777" w:rsidR="00CA68C7" w:rsidRPr="00DB5D0D" w:rsidRDefault="00CA68C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14 июня</w:t>
      </w:r>
      <w:r w:rsidRPr="00DB5D0D">
        <w:rPr>
          <w:rFonts w:ascii="Times New Roman" w:hAnsi="Times New Roman"/>
          <w:color w:val="000000" w:themeColor="text1"/>
          <w:sz w:val="16"/>
          <w:szCs w:val="16"/>
        </w:rPr>
        <w:t xml:space="preserve"> в 1940 году советское правительство обратилось к правительствам Латвии, Литвы и Эстонии с осуждением нарушений ими договоров о взаимной помощи (14922).</w:t>
      </w:r>
    </w:p>
    <w:p w14:paraId="1E08CDBC" w14:textId="77777777" w:rsidR="00CA68C7" w:rsidRPr="00DB5D0D" w:rsidRDefault="00CA68C7" w:rsidP="00DB5D0D">
      <w:pPr>
        <w:spacing w:after="0" w:line="240" w:lineRule="auto"/>
        <w:jc w:val="both"/>
        <w:rPr>
          <w:rFonts w:ascii="Times New Roman" w:hAnsi="Times New Roman"/>
          <w:color w:val="000000" w:themeColor="text1"/>
          <w:sz w:val="16"/>
          <w:szCs w:val="16"/>
        </w:rPr>
      </w:pPr>
    </w:p>
    <w:p w14:paraId="52C9588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1156D5F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B5C30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14-16 июня 1940 СССР предъявил ультиматум Эстонии, Латвии и Литве, требуя немедленно разрешить ввод советских войск на их территорию и создание просоветских правительств (1348,244).</w:t>
      </w:r>
    </w:p>
    <w:p w14:paraId="2AC3B6D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4AEC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 Отряд легких сил КБФ установил воздушную и мор</w:t>
      </w:r>
      <w:r w:rsidRPr="00DB5D0D">
        <w:rPr>
          <w:rFonts w:ascii="Times New Roman" w:hAnsi="Times New Roman"/>
          <w:color w:val="000000" w:themeColor="text1"/>
          <w:sz w:val="16"/>
          <w:szCs w:val="16"/>
        </w:rPr>
        <w:softHyphen/>
        <w:t>скую блокаду Прибалтики. На границах Литвы войска завершили сосредо</w:t>
      </w:r>
      <w:r w:rsidRPr="00DB5D0D">
        <w:rPr>
          <w:rFonts w:ascii="Times New Roman" w:hAnsi="Times New Roman"/>
          <w:color w:val="000000" w:themeColor="text1"/>
          <w:sz w:val="16"/>
          <w:szCs w:val="16"/>
        </w:rPr>
        <w:softHyphen/>
        <w:t>точение и развертывание к 15 июня, а на границах Латвии и Эстонии - к 16 июня. Группировка выделенных для операции против Литвы, Латвии и Эстонии ВВС РККА насчитывала 2601 самолет. Она включала в себя 18 сред-небомбардировочных, 3 дальнебомбардировочных, 5 тяжелобомбардиро</w:t>
      </w:r>
      <w:r w:rsidRPr="00DB5D0D">
        <w:rPr>
          <w:rFonts w:ascii="Times New Roman" w:hAnsi="Times New Roman"/>
          <w:color w:val="000000" w:themeColor="text1"/>
          <w:sz w:val="16"/>
          <w:szCs w:val="16"/>
        </w:rPr>
        <w:softHyphen/>
        <w:t>вочных, 3 легкобомбардировочных, 2 штурмовых и 16 истребительных авиаполков. Советские войска заняли 15—16 июня большую часть терри</w:t>
      </w:r>
      <w:r w:rsidRPr="00DB5D0D">
        <w:rPr>
          <w:rFonts w:ascii="Times New Roman" w:hAnsi="Times New Roman"/>
          <w:color w:val="000000" w:themeColor="text1"/>
          <w:sz w:val="16"/>
          <w:szCs w:val="16"/>
        </w:rPr>
        <w:softHyphen/>
        <w:t>тории Литвы, а к 21 июня под их контролем уже находилась почти вся тер</w:t>
      </w:r>
      <w:r w:rsidRPr="00DB5D0D">
        <w:rPr>
          <w:rFonts w:ascii="Times New Roman" w:hAnsi="Times New Roman"/>
          <w:color w:val="000000" w:themeColor="text1"/>
          <w:sz w:val="16"/>
          <w:szCs w:val="16"/>
        </w:rPr>
        <w:softHyphen/>
        <w:t>ритория Прибалтики (Мельтюхов М.И. Упущенный шанс Сталина. С. 162-163, 168.). Никаких шансов противостоять этой армаде балтийские страны не име</w:t>
      </w:r>
      <w:r w:rsidRPr="00DB5D0D">
        <w:rPr>
          <w:rFonts w:ascii="Times New Roman" w:hAnsi="Times New Roman"/>
          <w:color w:val="000000" w:themeColor="text1"/>
          <w:sz w:val="16"/>
          <w:szCs w:val="16"/>
        </w:rPr>
        <w:softHyphen/>
        <w:t>ли. Самым слабым потенциальным противником была Эстония, о которой речь шла выше (11710,411).</w:t>
      </w:r>
    </w:p>
    <w:p w14:paraId="2255C3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F3D53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 посол французской республики в СССР Э. Лабонн передал Молотову некоторые соображения французского правительства: "Изменение военной обстановки на суше подрывает в настоящее время равновесие европейских сил. Не считает ли Советское правительство, что имеющийся одновременно для Франции и СССР риск увеличил идентичность их интересов. Если Советское правительство имеет ту же точку зрения, как и французское, согласится ли оно на обмен мнениями о средствах сохранения равновесия, которое находится под угрозой?" По существу, французским правительством делалась попытка наладить отношения с СССР. Однако в этой беседе с Лабонном Молотов заявил, что "позиция Советского Союза определяется договорами, заключёнными им с другими странами, и политикой нейтралитета, о которой было заявлено в начале европейской войны". Чтобы "улучшить отношения с Советским Союзом", французское правительство намеревалось послать в Москву известного просоветского деятеля Пьера Кота. Министр общественных работ Де Монзи говорил Эренбургу, находящемуся в то время в Париже: "Если русские нам продадут самолёты, мы сможем выстоять. Неужели Советский Союз выиграет от разгрома Франции? Гитлер пойдёт на вас... Мы просим об одном: продайте нам самолёты... Сообщите в Москву... Если нам не продадут самолётов, через месяц или два немцы займут всю Францию". Разумеется, все подобные инициативы Франции не встречали в Москве никакого ответа (9492).</w:t>
      </w:r>
    </w:p>
    <w:p w14:paraId="7EAA88E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51F7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сбили финский пассажирский Ju-52. Самолет, имевший собственное название "Калева" совершал рейс Таллин - Хельсинки. На его борту кроме экипажа находились американский и два французских дипломата, вывозившие посольские документы, а также два немецких и шведский бизнесмен и одна женщина. Обнаруженный в воздухе почти сразу после вылета парой ДБ-3 1-го мтап (ведущим пары был сам командир полка полковник Ш.Б. Бедзиношвили) "Калева" был сбит после отказа подчиниться требованию вернуться в Таллин, которое выражалось посредством предупредительных очередей. Большая часть дипломатической почты была подобрана патрулировавшей в заливе советской подводной лодкой "Щ-301" (12002).</w:t>
      </w:r>
    </w:p>
    <w:p w14:paraId="3692D7E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729B1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9B525E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57B4F75" w14:textId="77777777" w:rsidR="00CA68C7" w:rsidRPr="00DB5D0D" w:rsidRDefault="00CA68C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14 июня</w:t>
      </w:r>
      <w:r w:rsidRPr="00DB5D0D">
        <w:rPr>
          <w:rFonts w:ascii="Times New Roman" w:hAnsi="Times New Roman"/>
          <w:color w:val="000000" w:themeColor="text1"/>
          <w:sz w:val="16"/>
          <w:szCs w:val="16"/>
        </w:rPr>
        <w:t xml:space="preserve"> в 1940 году рано утром, спустя месяц после начала Германией активных военных операций против Франции, немецкие войска без боя вошли в Париж. Военный губернатор генерал Анри Фернан Денц объявил столицу «открытым городом», и она на три четверти опустела. Оставшиеся же жители были разбужены речью из громкоговорителей на французском языке с сильным немецким акцентом: с восьми часов вечера до пяти утра устанавливается комендантский час. Кроме того: «Парижане! В течение двух ближайших дней войска Рейха будут проходить торжественным маршем по Парижу, всем оставаться дома!» Часы повелевалось перевести на час вперед. Город зажил по нацистским законам и берлинскому времени. Французские триколоры исчезли, и над Эйфелевой башней и Триумфальной аркой на долгих четыре года взвились знамена с гигантской свастикой (14922).</w:t>
      </w:r>
    </w:p>
    <w:p w14:paraId="36A3F4C0" w14:textId="77777777" w:rsidR="00CA68C7" w:rsidRPr="00DB5D0D" w:rsidRDefault="00CA68C7" w:rsidP="00DB5D0D">
      <w:pPr>
        <w:spacing w:after="0" w:line="240" w:lineRule="auto"/>
        <w:jc w:val="both"/>
        <w:rPr>
          <w:rFonts w:ascii="Times New Roman" w:hAnsi="Times New Roman"/>
          <w:color w:val="000000" w:themeColor="text1"/>
          <w:sz w:val="16"/>
          <w:szCs w:val="16"/>
        </w:rPr>
      </w:pPr>
    </w:p>
    <w:p w14:paraId="4AF13AE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фашистские войска заняли Париж (4962).</w:t>
      </w:r>
    </w:p>
    <w:p w14:paraId="236D588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4EA1E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германские войска вошли в Париж. Накануне французское правительство обратилось к британскому с просьбой освободить его от обязательства по франко-британскому соглашению от 28 марта 1940 о незаключении сепаратного мира. Британский кабинет с учетом фактического положения дел и неспособности Франции к сопротивлению в принципе был готов согласиться с французской просьбой, но при условии гарантий того, что французский флот и авиация не будут использованы против Великобритании (3871).</w:t>
      </w:r>
    </w:p>
    <w:p w14:paraId="14922E0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FCA72C"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14th, 1940: German troops enter Paris which has been evacuated by most of its inhabitants. Heeresgruppe C (von Leeb), with 24 divisions, prepares to cross the upper Rhine to attack the Maginot Line in Alsace. The French government leaves Tours for Bordeaux. All remaining British troops in France are ordered to return to England (3819).</w:t>
      </w:r>
    </w:p>
    <w:p w14:paraId="65A61AA6"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05940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германские войска вошли в Париж, жители которого в основном эвакуировались. Группа С с 24 дивизией (фон Лееб) подготовилась к форсированию верхнего Рейна для атаки в направлении линии Мажино в Эльзасе. Французской правительство перебралось из Тура в Бордо. Все оставшиеся во Франции британские части получили приказ возвратиться в Англию (3819).</w:t>
      </w:r>
    </w:p>
    <w:p w14:paraId="6AFBF6B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F348D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пал Париж (74,141).</w:t>
      </w:r>
    </w:p>
    <w:p w14:paraId="7E32565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26E3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June 14 1940 German troops enter Paris (1223).</w:t>
      </w:r>
    </w:p>
    <w:p w14:paraId="2B02EE6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8120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немецкие войска вошли в Париж (1223).</w:t>
      </w:r>
    </w:p>
    <w:p w14:paraId="36DA70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Разгром Франции нарушился баланс сил в Европе и политика нейтралитета СССР стала глупой, так как А.Гитлер обратил внимание на восток. Реакцией И.В.С. стал захват Эстонии, Латвии, Литвы и поход на Бессарабию и Буковину, а также меры по милитаризации труда (2070,11).</w:t>
      </w:r>
    </w:p>
    <w:p w14:paraId="7507D31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3B104C" w14:textId="77777777" w:rsidR="00184BB3" w:rsidRPr="00DB5D0D" w:rsidRDefault="00184BB3"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14 июня</w:t>
      </w:r>
      <w:r w:rsidRPr="00DB5D0D">
        <w:rPr>
          <w:rFonts w:ascii="Times New Roman" w:hAnsi="Times New Roman"/>
          <w:color w:val="000000" w:themeColor="text1"/>
          <w:sz w:val="16"/>
          <w:szCs w:val="16"/>
        </w:rPr>
        <w:t xml:space="preserve"> в 1940 году французская эскадра (4 крейсера и 12 эсминцев) обстреляла промышленные райoны Генуи и Савоны (14922).</w:t>
      </w:r>
    </w:p>
    <w:p w14:paraId="1CED0AC1" w14:textId="77777777" w:rsidR="00184BB3" w:rsidRPr="00DB5D0D" w:rsidRDefault="00184BB3" w:rsidP="00DB5D0D">
      <w:pPr>
        <w:spacing w:after="0" w:line="240" w:lineRule="auto"/>
        <w:jc w:val="both"/>
        <w:rPr>
          <w:rFonts w:ascii="Times New Roman" w:hAnsi="Times New Roman"/>
          <w:color w:val="000000" w:themeColor="text1"/>
          <w:sz w:val="16"/>
          <w:szCs w:val="16"/>
        </w:rPr>
      </w:pPr>
    </w:p>
    <w:p w14:paraId="4CC24B1B" w14:textId="77777777" w:rsidR="00184BB3" w:rsidRPr="00DB5D0D" w:rsidRDefault="00184BB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 когда после нападения Италии на Францию британское и французское правительства обратились к Турции с требованием вступить на их стороне в войну, то она не только отказалась сделать это, но и объявила себя "невоюющим государством" (3871).</w:t>
      </w:r>
    </w:p>
    <w:p w14:paraId="54C81F1A" w14:textId="77777777" w:rsidR="00184BB3" w:rsidRPr="00DB5D0D" w:rsidRDefault="00184BB3" w:rsidP="00DB5D0D">
      <w:pPr>
        <w:spacing w:after="0" w:line="240" w:lineRule="auto"/>
        <w:jc w:val="both"/>
        <w:rPr>
          <w:rFonts w:ascii="Times New Roman" w:hAnsi="Times New Roman"/>
          <w:color w:val="000000" w:themeColor="text1"/>
          <w:sz w:val="16"/>
          <w:szCs w:val="16"/>
        </w:rPr>
      </w:pPr>
    </w:p>
    <w:p w14:paraId="1C5E0F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Испания захватила международный порт Танжер (2443,416).</w:t>
      </w:r>
    </w:p>
    <w:p w14:paraId="5F87454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7A73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1 и 7 пехотные армии группы Ц г-п фон Лееба атаковали линию Мажино и прорвали ее. Линия Мажино была построена в 1929-1934 и совершенствовалась до мая 1940. Включала 3 укрепрайона, 5600 ДОС, в т.ч. 520 артиллерийских и 3200 пулеметных (2144,2).</w:t>
      </w:r>
    </w:p>
    <w:p w14:paraId="6BBAC2E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6D4739B" w14:textId="77777777" w:rsidR="00CA68C7" w:rsidRPr="00DB5D0D" w:rsidRDefault="00CA68C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14 июня</w:t>
      </w:r>
      <w:r w:rsidRPr="00DB5D0D">
        <w:rPr>
          <w:rFonts w:ascii="Times New Roman" w:hAnsi="Times New Roman"/>
          <w:color w:val="000000" w:themeColor="text1"/>
          <w:sz w:val="16"/>
          <w:szCs w:val="16"/>
        </w:rPr>
        <w:t xml:space="preserve"> в 1940 году Турция заявила о своем нейтралитете в войне Германии и западных союзников (14922).</w:t>
      </w:r>
    </w:p>
    <w:p w14:paraId="4F63F107" w14:textId="77777777" w:rsidR="00CA68C7" w:rsidRPr="00DB5D0D" w:rsidRDefault="00CA68C7" w:rsidP="00DB5D0D">
      <w:pPr>
        <w:spacing w:after="0" w:line="240" w:lineRule="auto"/>
        <w:jc w:val="both"/>
        <w:rPr>
          <w:rFonts w:ascii="Times New Roman" w:hAnsi="Times New Roman"/>
          <w:color w:val="000000" w:themeColor="text1"/>
          <w:sz w:val="16"/>
          <w:szCs w:val="16"/>
        </w:rPr>
      </w:pPr>
    </w:p>
    <w:p w14:paraId="48226CCA" w14:textId="77777777" w:rsidR="00CA68C7" w:rsidRPr="00DB5D0D" w:rsidRDefault="00CA68C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14 июня</w:t>
      </w:r>
      <w:r w:rsidRPr="00DB5D0D">
        <w:rPr>
          <w:rFonts w:ascii="Times New Roman" w:hAnsi="Times New Roman"/>
          <w:color w:val="000000" w:themeColor="text1"/>
          <w:sz w:val="16"/>
          <w:szCs w:val="16"/>
        </w:rPr>
        <w:t xml:space="preserve"> в 1940 году США замораживают активы Германии и Италии на своей территории (14922).</w:t>
      </w:r>
    </w:p>
    <w:p w14:paraId="6BB453A7" w14:textId="77777777" w:rsidR="00CA68C7" w:rsidRPr="00DB5D0D" w:rsidRDefault="00CA68C7" w:rsidP="00DB5D0D">
      <w:pPr>
        <w:spacing w:after="0" w:line="240" w:lineRule="auto"/>
        <w:jc w:val="both"/>
        <w:rPr>
          <w:rFonts w:ascii="Times New Roman" w:hAnsi="Times New Roman"/>
          <w:color w:val="000000" w:themeColor="text1"/>
          <w:sz w:val="16"/>
          <w:szCs w:val="16"/>
        </w:rPr>
      </w:pPr>
    </w:p>
    <w:p w14:paraId="7FFA187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фашисты открыли в Польше концлагерь Освенцим (4962).</w:t>
      </w:r>
    </w:p>
    <w:p w14:paraId="38887AB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6D9C7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в Освенцим прибыла первая партия заключенных - поляков (3263,328).</w:t>
      </w:r>
    </w:p>
    <w:p w14:paraId="4BBB08B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14A9951" w14:textId="77777777" w:rsidR="00CA68C7" w:rsidRPr="00DB5D0D" w:rsidRDefault="00CA68C7"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14 июня</w:t>
      </w:r>
      <w:r w:rsidRPr="00DB5D0D">
        <w:rPr>
          <w:rFonts w:ascii="Times New Roman" w:hAnsi="Times New Roman"/>
          <w:color w:val="000000" w:themeColor="text1"/>
          <w:sz w:val="16"/>
          <w:szCs w:val="16"/>
        </w:rPr>
        <w:t xml:space="preserve"> в 1940 году в концлагерь Освенцим была доставлена первая партия заключенных - свыше 700 поляков. Приказ о создании концлагеря в Освенциме появился 27 апреля 1940 года, а 14 июня сюда привезли первый транспорт - 728 поляков. Освенцим был выбран как важный железнодорожный узел, куда удобно было доставлять обреченных; кроме того, пригодились опустевшие казармы Войска Польского, где и устроили концлагерь Аушвиц. Он стал крупнейшим в Европе местом уничтожения людей разных национальностей, главным образом, евреев. Масштабы террора росли, и в следующем, 1941 году, в трех километрах от Освенцима - деревне Бжезинке, переименованной в Биркенау, построили новый лагерь - Аушвиц-II. Еще через год в Моновицах под Освенцимом появился Аушвиц-III, для которого во время войны соорудили около четырех десятков филиалов. Концлагерь в Освенциме был не только самым большим. Его недаром называли лагерем смерти: из примерно 7,5 миллионов человек, погибших в гитлеровских концлагерях с 1939 по 1945 год, на его долю приходится 4 миллиона. Если в остальных лагерях, по мнению исследователей, выжил лишь каждый десятый, то в Освенциме победы дождались только те, кого не успели уничтожить. Один из бывших узников концлагеря Антони Кемпиньский, профессор психиатрии, писал: «Благодаря богатой лагерной литературе можно представить себе, как выглядела жизнь в лагере. </w:t>
      </w:r>
      <w:r w:rsidRPr="00DB5D0D">
        <w:rPr>
          <w:rFonts w:ascii="Times New Roman" w:hAnsi="Times New Roman"/>
          <w:color w:val="000000" w:themeColor="text1"/>
          <w:sz w:val="16"/>
          <w:szCs w:val="16"/>
        </w:rPr>
        <w:lastRenderedPageBreak/>
        <w:t>Однако это представление далекое и туманное. Кажется, что пропасть, отделяющая людей из лагеря и тех, кто в нем не был, - непреодолима, ибо никто не в состоянии почувствовать все то, что они пережили. Их переживания - вне границ человеческого понимания». В 1947 году в Освенциме создан Государственный музей «Освенцим-Бжезинка», на месте бывших концлагерей Аушвиц-Биркенау. Он стал памятником миллионам жертв фашистского террора. На территории бывшего лагеря Биркенау в 1967 году открыт международный памятник жертвам фашизма. С 1992 года в Освенциме действует центр информации, где собраны материалы о концлагере и его идеологах. Здесь организуют многочисленные международные встречи, дискуссии, симпозиумы. Это также место общих молитв людей разного вероисповедания (14922).</w:t>
      </w:r>
    </w:p>
    <w:p w14:paraId="05E898CA" w14:textId="77777777" w:rsidR="00CA68C7" w:rsidRPr="00DB5D0D" w:rsidRDefault="00CA68C7" w:rsidP="00DB5D0D">
      <w:pPr>
        <w:spacing w:after="0" w:line="240" w:lineRule="auto"/>
        <w:jc w:val="both"/>
        <w:rPr>
          <w:rFonts w:ascii="Times New Roman" w:hAnsi="Times New Roman"/>
          <w:color w:val="000000" w:themeColor="text1"/>
          <w:sz w:val="16"/>
          <w:szCs w:val="16"/>
        </w:rPr>
      </w:pPr>
    </w:p>
    <w:p w14:paraId="473A212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C1594C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2F878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Нач. ЦАГИ Петров на письме Кочеригина по поволу продувки ВМГ ОПБ в ЦАГИ написал, что работа будет выполнена, но просил решить вопрос об оплате (9649).</w:t>
      </w:r>
    </w:p>
    <w:p w14:paraId="1136455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0E0AD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 Ворошилову К.Е.</w:t>
      </w:r>
    </w:p>
    <w:p w14:paraId="37C1F55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А.И. представил проект постановления КО о создании на заводе № 156 нового одномоторного одноместного пикирующего бомбардировщика конструкции Кочерыгина со следующими данными:</w:t>
      </w:r>
    </w:p>
    <w:p w14:paraId="26ED659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7000 м – 600 км/час</w:t>
      </w:r>
    </w:p>
    <w:p w14:paraId="7C5F360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нормальной нагрузкой – 700 км</w:t>
      </w:r>
    </w:p>
    <w:p w14:paraId="6BA8CB7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перегрузкой – 1100 км</w:t>
      </w:r>
    </w:p>
    <w:p w14:paraId="45935A8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4105622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2 пулемета 7,62 мм или 2 пулемета 12,7 мм в перегрузку.</w:t>
      </w:r>
    </w:p>
    <w:p w14:paraId="069291D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 – одна в 500 кг внутри фюзеляжа или 1 в 250 кг внутри фюзеляжа и две по 250 кг под крыльями.</w:t>
      </w:r>
    </w:p>
    <w:p w14:paraId="3FF09BC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представления самолета на гос. испытания:</w:t>
      </w:r>
    </w:p>
    <w:p w14:paraId="0C94D22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–го экземпляра – к 1 февраля 1941 года</w:t>
      </w:r>
    </w:p>
    <w:p w14:paraId="444EBFC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–го экземпляра – к 1 апреля 1941 года</w:t>
      </w:r>
    </w:p>
    <w:p w14:paraId="1C1F926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создание нового пикирующего бомбардировщика Шахурин А.И. просит отпустить из резервного фонда СНК 7 млн. рублей и на премирование конструкторов, ИТР, рабочих и служащих завода № 156 – 2 млн. 400 тыс. рублей.</w:t>
      </w:r>
    </w:p>
    <w:p w14:paraId="023F545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проголосовать проект постановления КО в редакции Секретариата и разрешить голосовать опросом членов КО.</w:t>
      </w:r>
    </w:p>
    <w:p w14:paraId="5293D49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(Пометка: Об этом решении Ворошилова К.Е. сообщено Шахурину А.И. по телефону. Пугаев. 16 июня 1940 года) (3420, 47).</w:t>
      </w:r>
    </w:p>
    <w:p w14:paraId="0C5075A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05BEB1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на ДБ-3Ф 2М-88 N 390204 в ходе гос. испытаний нового вооружения провели полет на определение расхода горючего с полетным весом 8000 кг на 4000 м с 3хФАБ-250 (2686).</w:t>
      </w:r>
    </w:p>
    <w:p w14:paraId="7F9C408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297BB8"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июня 1940 года для обеспечения производства самолета ДБ-240 М. Б. Шенкману предписывалось: немедленно приступить к проектированию и изготовлению стапелей, всей оснастки, приспособлений и специнструмента для серийного производства самолета ДБ-240; не ожидая результатов госиспытаний запустить в производство задел на 70 самолетов выпуска 1940 года; «по получении чертежей самолета, исправленных и уточненных на основании данных госиспытаний приступить к серийному производству, обеспечив в 1.01.41 создание комплексного задела деталей, агрегатов и готовых изделий не менее, чем на 150 самолетов (21518).</w:t>
      </w:r>
    </w:p>
    <w:p w14:paraId="2C7C1637" w14:textId="77777777" w:rsidR="00F40BC0" w:rsidRPr="00DB5D0D" w:rsidRDefault="00F40BC0" w:rsidP="00DB5D0D">
      <w:pPr>
        <w:spacing w:after="0" w:line="240" w:lineRule="auto"/>
        <w:jc w:val="both"/>
        <w:rPr>
          <w:rFonts w:ascii="Times New Roman" w:hAnsi="Times New Roman"/>
          <w:color w:val="0070C0"/>
          <w:sz w:val="16"/>
          <w:szCs w:val="16"/>
        </w:rPr>
      </w:pPr>
    </w:p>
    <w:p w14:paraId="28655D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состоялось заседание макетной комиссии по рассмотрению макета модификации 100 в варианте ПБ с 2М-105 (1077,312).</w:t>
      </w:r>
    </w:p>
    <w:p w14:paraId="53CD6A8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7D89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был утвержден макет самолета "100" в варианте пикирующего бомбардировщика ПБ-100 (9655).</w:t>
      </w:r>
    </w:p>
    <w:p w14:paraId="0D13AAE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8FA2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 макетной комиссией вынесено решение преду</w:t>
      </w:r>
      <w:r w:rsidRPr="00DB5D0D">
        <w:rPr>
          <w:rFonts w:ascii="Times New Roman" w:hAnsi="Times New Roman"/>
          <w:color w:val="000000" w:themeColor="text1"/>
          <w:sz w:val="16"/>
          <w:szCs w:val="16"/>
        </w:rPr>
        <w:softHyphen/>
        <w:t>смотреть возможность подвески РО-132 на консольные части крыла Пе-2 по четыре штуки на плоскость. Решение макетной комиссии не выполнено. В постановлении Комитета Обороны №374сс от 7 сентября 1940 г. уста</w:t>
      </w:r>
      <w:r w:rsidRPr="00DB5D0D">
        <w:rPr>
          <w:rFonts w:ascii="Times New Roman" w:hAnsi="Times New Roman"/>
          <w:color w:val="000000" w:themeColor="text1"/>
          <w:sz w:val="16"/>
          <w:szCs w:val="16"/>
        </w:rPr>
        <w:softHyphen/>
        <w:t>новка РО-132 на самолете Пе-2 не указана (11402).</w:t>
      </w:r>
    </w:p>
    <w:p w14:paraId="0F4D7EC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B0557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 закончились дополнительные испытания для определения возможности пикирования на СБ, которые велись на полигоне авиационных вооружений с 25 мая. СБ №15/266 пикировал под углами от 50 до 90. осуществлялся сброс ФАБ-250 и ФАБ-500. при этом легчнк пользовался прицелом ПАН-23, момент выхода определял штурман при помощи прицела ОПБ-1. Общая опенка: «самолет слепой, летчик не видит цели до 70, НУЖНО УЛУЧШИТЬ обзор, поставить воздушные тормоза» (6413).</w:t>
      </w:r>
    </w:p>
    <w:p w14:paraId="06F622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8A98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 закончились дополнительные испытания для определения возможности пикирования на СБ, которые велись на полигоне авиационных вооружений с 25 мая. СБ № 15/266 пикировал под углами от 50 до 90°, осуществлялся сброс ФАБ-250 и ФАБ-500, при этом летчик пользовался прицелом ПАН-23, момент выхода определял штурман при помощи прицела ОПБ-1.</w:t>
      </w:r>
    </w:p>
    <w:p w14:paraId="7F0D2D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отчетных документах по этим испытаниям указывалось, что в пикирование самолет входит легко, для перехода на углы 70-80° требуется 4-5 секунд. Элеронов и руля поворота на пикировании СБ почти не слушает, вследствие чего довороты на цель трудно осуществимы. Механизм ПБ-3 действовал безотказно.</w:t>
      </w:r>
    </w:p>
    <w:p w14:paraId="37A5D3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оценка: "самолет слепой, летчик не видит цели до 70°, нужно улучшить обзор, поставить воздушные тормоза". Быстрое нарастание скорости затрудняет отыскание цели и создает большие перегрузки при выводе" (12027).</w:t>
      </w:r>
    </w:p>
    <w:p w14:paraId="6FB8490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BD696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в ходе заводских испытаний И-200 А.И.М, которые проходили с 31 марта по 17 августа 1940, на И-200-2 был выполнен полет на определение температурных режимов ВМГ и проверку работы мотора на максимальной мощности. Неудачно. Потом до 18 июня ремонтировали (2988).</w:t>
      </w:r>
    </w:p>
    <w:p w14:paraId="424BB69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A826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закончились гос. испытания И-26-2, которые проводились с 1 июня 1940 (65,17). Не было полетов на пикирование и штопор (2090,147).</w:t>
      </w:r>
    </w:p>
    <w:p w14:paraId="66CB9C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выдержал из-за недостаточной прочности носка крыла, перегрева масла, недоведенности вооружения и шасси и предложили в кратчайшие сроки устранить обнаруженные результаты и предъявить в кратчайшие сроки на повторные испытания (1204,54).</w:t>
      </w:r>
    </w:p>
    <w:p w14:paraId="2C2F67E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B120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закончились гос. испытания одноместного истребителя И-26 М-105П с винтом ВИШ-61 Д-3 м постройки завода 115 конструкции А.С.Я., которые шлис 1 июня 1940. Отв. исполнители: ви ви2р Максимов, 1-й вл к Николаев и 2-й вл м Стефановский (2924).</w:t>
      </w:r>
    </w:p>
    <w:p w14:paraId="7348AC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Самолет И-26 М-105П был предъявлен на гос. испытания в недоведенном состоянии и не был испытан на пикирование, высший пилотаж с перегрузками и штопор.</w:t>
      </w:r>
    </w:p>
    <w:p w14:paraId="4616BE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Предъявленный экз. гос. испытаний не выдержал.</w:t>
      </w:r>
    </w:p>
    <w:p w14:paraId="7185BC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ГК А.С.Я. и дир. завода 115 надлежит в кратчайший срок довести самолет и устранив основные дефекты, затрудняющие нормальную эксплуатацию, предъявить И-26 вновь на гос. испытания.</w:t>
      </w:r>
    </w:p>
    <w:p w14:paraId="32AFD5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Просить А.И.Ш. о даче указания заводам 301 и 292 о необходимости устранения всех основных дефектов, выявленных при первых гос. испытаниях И-26, на серийных самолетах (2924).</w:t>
      </w:r>
    </w:p>
    <w:p w14:paraId="1E940F9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265D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на И-26 М-105П ВИШ-61 А.С.Я. в ходе гос. испытаний, которые проходили с 1 по 15 июня 1940 выполнили полеты: на устойчивость на высоте 3000 м и облеты л Холопцевым, Филиным (2924).</w:t>
      </w:r>
    </w:p>
    <w:p w14:paraId="27E7AFC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E4EFF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 закончились гос. испытания одноместного истребителя И-26 М-105П с винтом ВИШ-61 постройки завода № 115 конструкции Яковлева, которые проходили с 1 июня</w:t>
      </w:r>
    </w:p>
    <w:p w14:paraId="37B31A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D0EDF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6E978B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вед. летчик капитан Николаев</w:t>
      </w:r>
    </w:p>
    <w:p w14:paraId="46CB5F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вед. летчик майор Стефановский</w:t>
      </w:r>
    </w:p>
    <w:p w14:paraId="032D11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30E9AC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Определение летно-тактических данных самолета, его устойчивости, управляемости.</w:t>
      </w:r>
    </w:p>
    <w:p w14:paraId="1254048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доведенности самолета, винтомоторной группы, вооружения и спецоборудования.</w:t>
      </w:r>
    </w:p>
    <w:p w14:paraId="3C3EB02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4BF854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проводились с 1 июня по 15 июня 1940 года.</w:t>
      </w:r>
    </w:p>
    <w:p w14:paraId="10BB9F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15 дней, из них летных – 8.</w:t>
      </w:r>
    </w:p>
    <w:p w14:paraId="08D0A2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период испытаний выполнено 52 полета общей продолжительностью 21 час. 11 мин.</w:t>
      </w:r>
    </w:p>
    <w:p w14:paraId="46EDD2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CB399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И-26 М-105П конструкции инженера Яковлева был предъявлен на гос. испытания в недоведенном состоянии и не испытан на пикирование, высший пилотаж с перегрузками и штопор.</w:t>
      </w:r>
    </w:p>
    <w:p w14:paraId="010957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самолет гос. испытаний не выдержал.</w:t>
      </w:r>
    </w:p>
    <w:p w14:paraId="5E6519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8789"/>
      </w:tblGrid>
      <w:tr w:rsidR="007D5DF8" w:rsidRPr="00DB5D0D" w14:paraId="0139F0F8" w14:textId="77777777" w:rsidTr="009223E5">
        <w:tc>
          <w:tcPr>
            <w:tcW w:w="1809" w:type="dxa"/>
            <w:tcBorders>
              <w:top w:val="single" w:sz="12" w:space="0" w:color="auto"/>
            </w:tcBorders>
          </w:tcPr>
          <w:p w14:paraId="6795E8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8789" w:type="dxa"/>
            <w:tcBorders>
              <w:top w:val="single" w:sz="12" w:space="0" w:color="auto"/>
            </w:tcBorders>
          </w:tcPr>
          <w:p w14:paraId="7D09EF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005944ED" w14:textId="77777777" w:rsidTr="009223E5">
        <w:tc>
          <w:tcPr>
            <w:tcW w:w="1809" w:type="dxa"/>
          </w:tcPr>
          <w:p w14:paraId="26DDFD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w:t>
            </w:r>
          </w:p>
        </w:tc>
        <w:tc>
          <w:tcPr>
            <w:tcW w:w="8789" w:type="dxa"/>
          </w:tcPr>
          <w:p w14:paraId="2D5A0721" w14:textId="77777777" w:rsidR="00A25AD1" w:rsidRPr="00DB5D0D" w:rsidRDefault="00A25AD1" w:rsidP="00DB5D0D">
            <w:pPr>
              <w:pStyle w:val="a3"/>
              <w:widowControl/>
              <w:rPr>
                <w:color w:val="000000" w:themeColor="text1"/>
                <w:lang w:val="ru-RU"/>
              </w:rPr>
            </w:pPr>
            <w:r w:rsidRPr="00DB5D0D">
              <w:rPr>
                <w:color w:val="000000" w:themeColor="text1"/>
                <w:lang w:val="ru-RU"/>
              </w:rPr>
              <w:t>Произведено 3 полета:</w:t>
            </w:r>
          </w:p>
          <w:p w14:paraId="71D059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полет для проверки самолета летчиком завода Корзинщиковым.</w:t>
            </w:r>
          </w:p>
          <w:p w14:paraId="60FA60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полет для ознакомления летчика НИИ ВВС Николаева.</w:t>
            </w:r>
          </w:p>
        </w:tc>
      </w:tr>
      <w:tr w:rsidR="007D5DF8" w:rsidRPr="00DB5D0D" w14:paraId="46649A8A" w14:textId="77777777" w:rsidTr="009223E5">
        <w:tc>
          <w:tcPr>
            <w:tcW w:w="1809" w:type="dxa"/>
          </w:tcPr>
          <w:p w14:paraId="7BB5DC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8789" w:type="dxa"/>
          </w:tcPr>
          <w:p w14:paraId="0AC832DA"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определение границ высотности мотора.</w:t>
            </w:r>
          </w:p>
          <w:p w14:paraId="3D537963" w14:textId="77777777" w:rsidR="00A25AD1" w:rsidRPr="00DB5D0D" w:rsidRDefault="00A25AD1" w:rsidP="00DB5D0D">
            <w:pPr>
              <w:pStyle w:val="a3"/>
              <w:widowControl/>
              <w:rPr>
                <w:color w:val="000000" w:themeColor="text1"/>
                <w:lang w:val="ru-RU"/>
              </w:rPr>
            </w:pPr>
            <w:r w:rsidRPr="00DB5D0D">
              <w:rPr>
                <w:color w:val="000000" w:themeColor="text1"/>
                <w:lang w:val="ru-RU"/>
              </w:rPr>
              <w:t>2-й полет на определение границ высотности мотора.</w:t>
            </w:r>
          </w:p>
        </w:tc>
      </w:tr>
      <w:tr w:rsidR="007D5DF8" w:rsidRPr="00DB5D0D" w14:paraId="10D877D9" w14:textId="77777777" w:rsidTr="009223E5">
        <w:tc>
          <w:tcPr>
            <w:tcW w:w="1809" w:type="dxa"/>
          </w:tcPr>
          <w:p w14:paraId="1C89763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789" w:type="dxa"/>
          </w:tcPr>
          <w:p w14:paraId="60895D98" w14:textId="77777777" w:rsidR="00A25AD1" w:rsidRPr="00DB5D0D" w:rsidRDefault="00A25AD1" w:rsidP="00DB5D0D">
            <w:pPr>
              <w:pStyle w:val="a3"/>
              <w:widowControl/>
              <w:rPr>
                <w:color w:val="000000" w:themeColor="text1"/>
                <w:lang w:val="ru-RU"/>
              </w:rPr>
            </w:pPr>
            <w:r w:rsidRPr="00DB5D0D">
              <w:rPr>
                <w:color w:val="000000" w:themeColor="text1"/>
                <w:lang w:val="ru-RU"/>
              </w:rPr>
              <w:t>3-й полет на определение границ высотности мотора.</w:t>
            </w:r>
          </w:p>
        </w:tc>
      </w:tr>
      <w:tr w:rsidR="007D5DF8" w:rsidRPr="00DB5D0D" w14:paraId="3A79AB34" w14:textId="77777777" w:rsidTr="009223E5">
        <w:tc>
          <w:tcPr>
            <w:tcW w:w="1809" w:type="dxa"/>
          </w:tcPr>
          <w:p w14:paraId="5B7A7B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года</w:t>
            </w:r>
          </w:p>
        </w:tc>
        <w:tc>
          <w:tcPr>
            <w:tcW w:w="8789" w:type="dxa"/>
          </w:tcPr>
          <w:p w14:paraId="04DA018A" w14:textId="77777777" w:rsidR="00A25AD1" w:rsidRPr="00DB5D0D" w:rsidRDefault="00A25AD1" w:rsidP="00DB5D0D">
            <w:pPr>
              <w:pStyle w:val="a3"/>
              <w:widowControl/>
              <w:rPr>
                <w:color w:val="000000" w:themeColor="text1"/>
                <w:lang w:val="ru-RU"/>
              </w:rPr>
            </w:pPr>
            <w:r w:rsidRPr="00DB5D0D">
              <w:rPr>
                <w:color w:val="000000" w:themeColor="text1"/>
                <w:lang w:val="ru-RU"/>
              </w:rPr>
              <w:t>Произведен пилотаж.</w:t>
            </w:r>
          </w:p>
        </w:tc>
      </w:tr>
      <w:tr w:rsidR="007D5DF8" w:rsidRPr="00DB5D0D" w14:paraId="2BD6B022" w14:textId="77777777" w:rsidTr="009223E5">
        <w:tc>
          <w:tcPr>
            <w:tcW w:w="1809" w:type="dxa"/>
          </w:tcPr>
          <w:p w14:paraId="68A9B9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года</w:t>
            </w:r>
          </w:p>
        </w:tc>
        <w:tc>
          <w:tcPr>
            <w:tcW w:w="8789" w:type="dxa"/>
          </w:tcPr>
          <w:p w14:paraId="524B3FAD" w14:textId="77777777" w:rsidR="00A25AD1" w:rsidRPr="00DB5D0D" w:rsidRDefault="00A25AD1" w:rsidP="00DB5D0D">
            <w:pPr>
              <w:pStyle w:val="a3"/>
              <w:widowControl/>
              <w:rPr>
                <w:color w:val="000000" w:themeColor="text1"/>
                <w:lang w:val="ru-RU"/>
              </w:rPr>
            </w:pPr>
            <w:r w:rsidRPr="00DB5D0D">
              <w:rPr>
                <w:color w:val="000000" w:themeColor="text1"/>
                <w:lang w:val="ru-RU"/>
              </w:rPr>
              <w:t>6 полетов на определение взлетно-посадочных свойств самолета.</w:t>
            </w:r>
          </w:p>
        </w:tc>
      </w:tr>
      <w:tr w:rsidR="007D5DF8" w:rsidRPr="00DB5D0D" w14:paraId="10E3011F" w14:textId="77777777" w:rsidTr="009223E5">
        <w:tc>
          <w:tcPr>
            <w:tcW w:w="1809" w:type="dxa"/>
          </w:tcPr>
          <w:p w14:paraId="662FCB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w:t>
            </w:r>
          </w:p>
        </w:tc>
        <w:tc>
          <w:tcPr>
            <w:tcW w:w="8789" w:type="dxa"/>
          </w:tcPr>
          <w:p w14:paraId="529E4AA8" w14:textId="77777777" w:rsidR="00A25AD1" w:rsidRPr="00DB5D0D" w:rsidRDefault="00A25AD1" w:rsidP="00DB5D0D">
            <w:pPr>
              <w:pStyle w:val="a3"/>
              <w:widowControl/>
              <w:rPr>
                <w:color w:val="000000" w:themeColor="text1"/>
                <w:lang w:val="ru-RU"/>
              </w:rPr>
            </w:pPr>
            <w:r w:rsidRPr="00DB5D0D">
              <w:rPr>
                <w:color w:val="000000" w:themeColor="text1"/>
                <w:lang w:val="ru-RU"/>
              </w:rPr>
              <w:t>2 полета на зубцы.</w:t>
            </w:r>
          </w:p>
          <w:p w14:paraId="1DA2FD7A"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определение маневренности самолета на высоте 3000 м.</w:t>
            </w:r>
          </w:p>
        </w:tc>
      </w:tr>
      <w:tr w:rsidR="007D5DF8" w:rsidRPr="00DB5D0D" w14:paraId="702D804D" w14:textId="77777777" w:rsidTr="009223E5">
        <w:tc>
          <w:tcPr>
            <w:tcW w:w="1809" w:type="dxa"/>
          </w:tcPr>
          <w:p w14:paraId="6FAEC6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8789" w:type="dxa"/>
          </w:tcPr>
          <w:p w14:paraId="1F1127B8" w14:textId="77777777" w:rsidR="00A25AD1" w:rsidRPr="00DB5D0D" w:rsidRDefault="00A25AD1" w:rsidP="00DB5D0D">
            <w:pPr>
              <w:pStyle w:val="a3"/>
              <w:widowControl/>
              <w:rPr>
                <w:color w:val="000000" w:themeColor="text1"/>
                <w:lang w:val="ru-RU"/>
              </w:rPr>
            </w:pPr>
            <w:r w:rsidRPr="00DB5D0D">
              <w:rPr>
                <w:color w:val="000000" w:themeColor="text1"/>
                <w:lang w:val="ru-RU"/>
              </w:rPr>
              <w:t>8 полетов на снятие взлетно-посадочных свойств самолета.</w:t>
            </w:r>
          </w:p>
        </w:tc>
      </w:tr>
      <w:tr w:rsidR="007D5DF8" w:rsidRPr="00DB5D0D" w14:paraId="13AE6592" w14:textId="77777777" w:rsidTr="009223E5">
        <w:tc>
          <w:tcPr>
            <w:tcW w:w="1809" w:type="dxa"/>
          </w:tcPr>
          <w:p w14:paraId="1CA00E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8789" w:type="dxa"/>
          </w:tcPr>
          <w:p w14:paraId="435CCA8A"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Н=5500 м.</w:t>
            </w:r>
          </w:p>
          <w:p w14:paraId="59D2EA7F"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километраж.</w:t>
            </w:r>
          </w:p>
          <w:p w14:paraId="0B7AE63A"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Н=8000 м.</w:t>
            </w:r>
          </w:p>
          <w:p w14:paraId="04DEFB9E"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Н=8000 м и отстрел на автоматику из пушки и пулеметов.</w:t>
            </w:r>
          </w:p>
          <w:p w14:paraId="796786E1"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маневренность и стрельбу.</w:t>
            </w:r>
          </w:p>
        </w:tc>
      </w:tr>
      <w:tr w:rsidR="007D5DF8" w:rsidRPr="00DB5D0D" w14:paraId="10CDEB04" w14:textId="77777777" w:rsidTr="009223E5">
        <w:tc>
          <w:tcPr>
            <w:tcW w:w="1809" w:type="dxa"/>
          </w:tcPr>
          <w:p w14:paraId="247B41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года</w:t>
            </w:r>
          </w:p>
        </w:tc>
        <w:tc>
          <w:tcPr>
            <w:tcW w:w="8789" w:type="dxa"/>
          </w:tcPr>
          <w:p w14:paraId="277A3263"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Н=8000 м и отстрел вооружения на автоматику.</w:t>
            </w:r>
          </w:p>
          <w:p w14:paraId="15EBC414"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стрельбу.</w:t>
            </w:r>
          </w:p>
        </w:tc>
      </w:tr>
      <w:tr w:rsidR="007D5DF8" w:rsidRPr="00DB5D0D" w14:paraId="30D415ED" w14:textId="77777777" w:rsidTr="009223E5">
        <w:tc>
          <w:tcPr>
            <w:tcW w:w="1809" w:type="dxa"/>
          </w:tcPr>
          <w:p w14:paraId="46BDB1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w:t>
            </w:r>
          </w:p>
        </w:tc>
        <w:tc>
          <w:tcPr>
            <w:tcW w:w="8789" w:type="dxa"/>
          </w:tcPr>
          <w:p w14:paraId="764891D1"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Н=5000 м.</w:t>
            </w:r>
          </w:p>
          <w:p w14:paraId="590F08DE"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определение расхода горючего.</w:t>
            </w:r>
          </w:p>
        </w:tc>
      </w:tr>
      <w:tr w:rsidR="007D5DF8" w:rsidRPr="00DB5D0D" w14:paraId="2EA99975" w14:textId="77777777" w:rsidTr="009223E5">
        <w:tc>
          <w:tcPr>
            <w:tcW w:w="1809" w:type="dxa"/>
          </w:tcPr>
          <w:p w14:paraId="5359E0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w:t>
            </w:r>
          </w:p>
        </w:tc>
        <w:tc>
          <w:tcPr>
            <w:tcW w:w="8789" w:type="dxa"/>
          </w:tcPr>
          <w:p w14:paraId="3A04237F"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расход горючего.</w:t>
            </w:r>
          </w:p>
          <w:p w14:paraId="4BD28DD0" w14:textId="77777777" w:rsidR="00A25AD1" w:rsidRPr="00DB5D0D" w:rsidRDefault="00A25AD1" w:rsidP="00DB5D0D">
            <w:pPr>
              <w:pStyle w:val="a3"/>
              <w:widowControl/>
              <w:rPr>
                <w:color w:val="000000" w:themeColor="text1"/>
                <w:lang w:val="ru-RU"/>
              </w:rPr>
            </w:pPr>
            <w:r w:rsidRPr="00DB5D0D">
              <w:rPr>
                <w:color w:val="000000" w:themeColor="text1"/>
                <w:lang w:val="ru-RU"/>
              </w:rPr>
              <w:t>Облет самолета летчиками Кубышкиным, Кабановым.</w:t>
            </w:r>
          </w:p>
          <w:p w14:paraId="679733C2"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устойчивость.</w:t>
            </w:r>
          </w:p>
        </w:tc>
      </w:tr>
      <w:tr w:rsidR="007D5DF8" w:rsidRPr="00DB5D0D" w14:paraId="3E7D41B9" w14:textId="77777777" w:rsidTr="009223E5">
        <w:tc>
          <w:tcPr>
            <w:tcW w:w="1809" w:type="dxa"/>
          </w:tcPr>
          <w:p w14:paraId="3B70DA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8789" w:type="dxa"/>
          </w:tcPr>
          <w:p w14:paraId="73726ED1"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устойчивость Н=3000 м.</w:t>
            </w:r>
          </w:p>
          <w:p w14:paraId="08123B65" w14:textId="77777777" w:rsidR="00A25AD1" w:rsidRPr="00DB5D0D" w:rsidRDefault="00A25AD1" w:rsidP="00DB5D0D">
            <w:pPr>
              <w:pStyle w:val="a3"/>
              <w:widowControl/>
              <w:rPr>
                <w:color w:val="000000" w:themeColor="text1"/>
                <w:lang w:val="ru-RU"/>
              </w:rPr>
            </w:pPr>
            <w:r w:rsidRPr="00DB5D0D">
              <w:rPr>
                <w:color w:val="000000" w:themeColor="text1"/>
                <w:lang w:val="ru-RU"/>
              </w:rPr>
              <w:t>Облет самолета летчиками полковым комиссаром Холопцевым, в/инженером 1 ранга генерал-майором Филиным.</w:t>
            </w:r>
          </w:p>
        </w:tc>
      </w:tr>
      <w:tr w:rsidR="007D5DF8" w:rsidRPr="00DB5D0D" w14:paraId="5B63C41D" w14:textId="77777777" w:rsidTr="009223E5">
        <w:tc>
          <w:tcPr>
            <w:tcW w:w="1809" w:type="dxa"/>
            <w:tcBorders>
              <w:bottom w:val="single" w:sz="12" w:space="0" w:color="auto"/>
            </w:tcBorders>
          </w:tcPr>
          <w:p w14:paraId="664F1A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8789" w:type="dxa"/>
            <w:tcBorders>
              <w:bottom w:val="single" w:sz="12" w:space="0" w:color="auto"/>
            </w:tcBorders>
          </w:tcPr>
          <w:p w14:paraId="03AE93AB" w14:textId="77777777" w:rsidR="00A25AD1" w:rsidRPr="00DB5D0D" w:rsidRDefault="00A25AD1" w:rsidP="00DB5D0D">
            <w:pPr>
              <w:pStyle w:val="a3"/>
              <w:widowControl/>
              <w:rPr>
                <w:color w:val="000000" w:themeColor="text1"/>
                <w:lang w:val="ru-RU"/>
              </w:rPr>
            </w:pPr>
            <w:r w:rsidRPr="00DB5D0D">
              <w:rPr>
                <w:color w:val="000000" w:themeColor="text1"/>
                <w:lang w:val="ru-RU"/>
              </w:rPr>
              <w:t>Облет самолета летчиками: в/инженером 1 ранга Никашиным, в/инженером 2 ранга Максимовым, в/инженером 2 ранга Кочетковым, капитаном Прошаковым, майором Малышевым, ст. лейтенантом Шапоровым.</w:t>
            </w:r>
          </w:p>
        </w:tc>
      </w:tr>
    </w:tbl>
    <w:p w14:paraId="1D6760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(4557).</w:t>
      </w:r>
    </w:p>
    <w:p w14:paraId="21FA8C1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3DE32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закончились госиспытания одноместного истребителя И-26 М-105П с винтом ВИШ-61 Д-3 м постройки завода 115 конструкции А.С.Я., которые проходили с 1 июня 1940.</w:t>
      </w:r>
    </w:p>
    <w:p w14:paraId="1E3E0C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15 дней, из них наземные испытания 4 дня, нелетная погода 3 дня</w:t>
      </w:r>
    </w:p>
    <w:p w14:paraId="4D7141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Заводской ли Корзинщиков пароизвел три полета для проверки с-та 2 июня 1940 г.</w:t>
      </w:r>
    </w:p>
    <w:p w14:paraId="0CF4E4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был утвержден Отчет по испытаниям одноместного истребителя И-26 М-105П с винтом ВИШ-61 Д-3 м постройки завода 115 конструкции А.С.Я.</w:t>
      </w:r>
    </w:p>
    <w:p w14:paraId="29FA7C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97B36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56F8B9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вед. летчик капитан Николаев</w:t>
      </w:r>
    </w:p>
    <w:p w14:paraId="1EFB36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вед. летчик майор Стефановский</w:t>
      </w:r>
    </w:p>
    <w:p w14:paraId="2661AD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Нач. ГУАС КА Алексееву за № 395 было направлено</w:t>
      </w:r>
    </w:p>
    <w:p w14:paraId="0C53BD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по передаче на госиспытания с-та И-26 конструкции и постройки з-да № 115:</w:t>
      </w:r>
    </w:p>
    <w:p w14:paraId="03A333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Отчет по заводским летным испытаниям с-та И-26 утвердить</w:t>
      </w:r>
    </w:p>
    <w:p w14:paraId="26EE7F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Принять, что с-т может быть передан га госиспытания</w:t>
      </w:r>
    </w:p>
    <w:p w14:paraId="269EB9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Рез-ты летных испытаний близки к заданным и расчетным</w:t>
      </w:r>
    </w:p>
    <w:p w14:paraId="324704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Приложения:</w:t>
      </w:r>
    </w:p>
    <w:p w14:paraId="6986B7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 Комиссии А.С.Я., М.Громов, Корзинщиков (699).</w:t>
      </w:r>
    </w:p>
    <w:p w14:paraId="70384D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Акт</w:t>
      </w:r>
    </w:p>
    <w:p w14:paraId="3B0422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составлен на предмет приемки с-та И-26 М-105П в винтом ВИШ-61 № 2 постройки з-да № 115 на госиспытания представителями НИИ ВВС КА в составе ви ви2р Н.М.Максимова, испытателя по вооружению ви1р В.А.Березина, исп. По ВМГ ви2р Иванова, техн. С-та вт1р В.Ф.Сбитнева, техн. По спецобор. Ви1р Н.Т.Баранец.</w:t>
      </w:r>
    </w:p>
    <w:p w14:paraId="28B88A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осмотрела и проверила матчасть с-та, вооружение, отчет по заводским испытаниям и документацию, и нашла следующее:</w:t>
      </w:r>
    </w:p>
    <w:p w14:paraId="4AB3F9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Программа заводских летных испытаний выполнена на 65%</w:t>
      </w:r>
    </w:p>
    <w:p w14:paraId="756768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заводских летных испытаниях не выполнено:</w:t>
      </w:r>
    </w:p>
    <w:p w14:paraId="1B1A46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штопор до 2-х витков</w:t>
      </w:r>
    </w:p>
    <w:p w14:paraId="5A0494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 отработана ВМГ на высоте более 5000 м. Полеты выше 5500 м не проводились</w:t>
      </w:r>
    </w:p>
    <w:p w14:paraId="7CCD81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полеты с перегрузками (пикирование, бочки, иммельман)</w:t>
      </w:r>
    </w:p>
    <w:p w14:paraId="72DE62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полеты на устойчивость с-та</w:t>
      </w:r>
    </w:p>
    <w:p w14:paraId="588491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полеты на определение расхода горючего</w:t>
      </w:r>
    </w:p>
    <w:p w14:paraId="70C82E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полеты на отработку стрелково-пушечного вооружения</w:t>
      </w:r>
    </w:p>
    <w:p w14:paraId="4ABB9F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Прочность с-та</w:t>
      </w:r>
    </w:p>
    <w:p w14:paraId="1AE192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Носок крыла слаб. На статиспытаниях носок крыла после усиления выдержал всего 67% нагрузки по нормам прочности с-тов редакции 1940 г. Общая прочность недостаточна, т.к. расчет с-та произведен на вес 2300 кг, а действительный вес с-та 2700 кг, что составляет 11 кратный запас прочности вместо 13 положенных для истребителей по нормам прочности.</w:t>
      </w:r>
    </w:p>
    <w:p w14:paraId="5AC735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 осмотре матчасти с-та обнаружен ряд дефектов, часть которых заводом была устранена.</w:t>
      </w:r>
    </w:p>
    <w:p w14:paraId="2768BF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Неустраненными дефектами остались:</w:t>
      </w:r>
    </w:p>
    <w:p w14:paraId="78811E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с-ту (6)</w:t>
      </w:r>
    </w:p>
    <w:p w14:paraId="0C767A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ВМГ (5)</w:t>
      </w:r>
    </w:p>
    <w:p w14:paraId="383DBA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спецоборудованию (13)</w:t>
      </w:r>
    </w:p>
    <w:p w14:paraId="3339EF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 015-33 наработал 36:57 до выработки ресурса осталось 13:03</w:t>
      </w:r>
    </w:p>
    <w:p w14:paraId="509B03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не установлен генератор</w:t>
      </w:r>
    </w:p>
    <w:p w14:paraId="65D861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не оборудован ночными посадочными средствами</w:t>
      </w:r>
    </w:p>
    <w:p w14:paraId="392CCE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Отсутствует розетка для питания сети от аэродромного аккумулятора</w:t>
      </w:r>
    </w:p>
    <w:p w14:paraId="06EC03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Нет обогрева трубки Пито</w:t>
      </w:r>
    </w:p>
    <w:p w14:paraId="275AC4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Электропроводка не экранирована и отсутствует металлизация</w:t>
      </w:r>
    </w:p>
    <w:p w14:paraId="602EC4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не установлен приемник-передатчик радиостанции</w:t>
      </w:r>
    </w:p>
    <w:p w14:paraId="7D4549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установлен вариометр</w:t>
      </w:r>
    </w:p>
    <w:p w14:paraId="661273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Кислородное оборудование в воздухе не проверялось</w:t>
      </w:r>
    </w:p>
    <w:p w14:paraId="6CE844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вооружене с-та не доработано</w:t>
      </w:r>
    </w:p>
    <w:p w14:paraId="25A1CF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велась от синхронизатора с однокулачковой шайбой.</w:t>
      </w:r>
    </w:p>
    <w:p w14:paraId="4BB31C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Пушечное вооружение не отрабоано</w:t>
      </w:r>
    </w:p>
    <w:p w14:paraId="3168A7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из пушки не производилась</w:t>
      </w:r>
    </w:p>
    <w:p w14:paraId="16E635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Кроме указанного, заводом не выполнены ТТТ по следующим пунктам:</w:t>
      </w:r>
    </w:p>
    <w:p w14:paraId="188ECB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 установлено бомбардировочное вооружение, не предусмотрена установка для подвески бомбосбрасывателя</w:t>
      </w:r>
    </w:p>
    <w:p w14:paraId="3910B7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установлен на 2-м экз. ТК</w:t>
      </w:r>
    </w:p>
    <w:p w14:paraId="516C98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заводом не представлена следующая документация по с-ту - - расчеты на прочность шасси и костыля, замков шасси, узлов крепления фюзеляжа, весовой сводки, материалов статиспытаний, объяснительной записки к расчету на прочность, инструкции по эксплуатации, описания и чертежей по вооружению, невилировочный чертеж, компоновочный чертеж.</w:t>
      </w:r>
    </w:p>
    <w:p w14:paraId="4E2050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Комиссия считает, что с-т И-26 М-105П завода № 115 не доведен и заводские летные испытания согласно Постановлению Правительства не закончены, ввиду недостаточной прочности носка крыла и недоработки ВМГ выше 5000 м. С-т может быть принят на госиспытания с целлью проверки данных в объеме заводских испытаний.</w:t>
      </w:r>
    </w:p>
    <w:p w14:paraId="48B1ED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приказу Нач. ГУАС КА комдива Алексеенко № 071 от 29 мая 1940 с-т И-26 М-105П ВИШ-61 принят на госиспытания 1 июня 1940.</w:t>
      </w:r>
    </w:p>
    <w:p w14:paraId="6CEF39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подписали:</w:t>
      </w:r>
    </w:p>
    <w:p w14:paraId="3085A1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 ви2р Максимов</w:t>
      </w:r>
    </w:p>
    <w:p w14:paraId="11A204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0FA2B2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вооружению ви3р Берлин</w:t>
      </w:r>
    </w:p>
    <w:p w14:paraId="6FA446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ВМГ ви2р</w:t>
      </w:r>
    </w:p>
    <w:p w14:paraId="0C2173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спецоборудованию</w:t>
      </w:r>
    </w:p>
    <w:p w14:paraId="7A65BB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характеристики с-та</w:t>
      </w:r>
    </w:p>
    <w:p w14:paraId="2BCE40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2206</w:t>
      </w:r>
    </w:p>
    <w:p w14:paraId="2298C0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нагрузки 494</w:t>
      </w:r>
    </w:p>
    <w:p w14:paraId="591737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Полный полетный вес 2700 кг</w:t>
      </w:r>
    </w:p>
    <w:p w14:paraId="6AC377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мотора 1050 лс</w:t>
      </w:r>
    </w:p>
    <w:p w14:paraId="67DCA6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1 м2 153.5 кг</w:t>
      </w:r>
    </w:p>
    <w:p w14:paraId="16EC49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1 лс 2,535 кг</w:t>
      </w:r>
    </w:p>
    <w:p w14:paraId="01CAAF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Сравнительная таблица: с-ты И-28 М-88 (ГИ), И-180 М-88 (ЗИ), И-3-1 М-105П (ЗИ), И-200 (ЗИ), Хе-100, Ме-109, Спитфайр, Бедд ХР-39</w:t>
      </w:r>
    </w:p>
    <w:p w14:paraId="57BC6C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2AE00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И-26 М-105П конструкции инженера Яковлева был предъявлен на гос. испытания в недоведенном состоянии и не испытан на пикирование, высший пилотаж с перегрузками и штопор.</w:t>
      </w:r>
    </w:p>
    <w:p w14:paraId="185330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Предъявленный самолет гос. испытаний не выдержал вследствие наличия следующих основных дефектов:</w:t>
      </w:r>
    </w:p>
    <w:p w14:paraId="4A6F4C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недостаточной прочности носка крыла (составляет 67% от норм прочности), что лимитурует полет с перегрузками</w:t>
      </w:r>
    </w:p>
    <w:p w14:paraId="2AC6C8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недоведенности шасси с-та и невозможности их уборки при наборе высоты</w:t>
      </w:r>
    </w:p>
    <w:p w14:paraId="2700EE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наличие высокой температуры воздуха в кабине пилота и попадание в нее отработанных газов, что приводит к быстрому утомлению летчика</w:t>
      </w:r>
    </w:p>
    <w:p w14:paraId="69D5FA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недоведенности ВМГ, вследствие чего невозможна эксплуатация мотора на номинальной мощности при наборе высоты (перегрев масла)</w:t>
      </w:r>
    </w:p>
    <w:p w14:paraId="50FBAE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недоведенность вооружения, когда при производстве стрельбы звенья и гильзы попадают в стабилизатор</w:t>
      </w:r>
    </w:p>
    <w:p w14:paraId="625E71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недостаточный запас продольной устойчивости</w:t>
      </w:r>
    </w:p>
    <w:p w14:paraId="5C3C90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ГК с-та И-26 т. А.С.Я. и директору з-да № 115 надлежит в кратчайший срок довести с-т и устранив основные дефекты, затрудняющие нормальную эксплуатацию, предъявить вновь на госиспытания</w:t>
      </w:r>
    </w:p>
    <w:p w14:paraId="1A6F53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Просить НКАП т. А.И.Ш. о даче указаний з-дам № 301 и № 292 о необходимости устранения всех основных дефектов, выявленных при первых госиспытаниях с-та И-26, на серийных с-тах</w:t>
      </w:r>
    </w:p>
    <w:p w14:paraId="3BE293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Плодписали Нач. НИИ ВВС Филин и Военком НИИ ВВС полк. Комиссар Холопов</w:t>
      </w:r>
    </w:p>
    <w:p w14:paraId="7E357B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деревянное с двумя деревянными лонжеронами коробчатого сечения.</w:t>
      </w:r>
    </w:p>
    <w:p w14:paraId="64DAEF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и моторама - из хромансилевых труб - одно целое.</w:t>
      </w:r>
    </w:p>
    <w:p w14:paraId="3E1139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облета Холопцев, Никашин, Малышев, Кубышкин, Максимов, Кабанов, Корчергин, Шапотов (маневренность лучше, чем у Ме-109), Прошаков (перекладывание из виража в вираж легкое, посадка простая, пробег устойчив, в кабине душно, машина представляет больше удовлетворение).</w:t>
      </w:r>
    </w:p>
    <w:p w14:paraId="35E398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максимальных скоростей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D5DF8" w:rsidRPr="00DB5D0D" w14:paraId="277A1F7D" w14:textId="77777777" w:rsidTr="009223E5">
        <w:tc>
          <w:tcPr>
            <w:tcW w:w="2802" w:type="dxa"/>
            <w:tcBorders>
              <w:top w:val="single" w:sz="12" w:space="0" w:color="auto"/>
            </w:tcBorders>
          </w:tcPr>
          <w:p w14:paraId="77626D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2802" w:type="dxa"/>
            <w:tcBorders>
              <w:top w:val="single" w:sz="12" w:space="0" w:color="auto"/>
            </w:tcBorders>
          </w:tcPr>
          <w:p w14:paraId="160C66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2802" w:type="dxa"/>
            <w:tcBorders>
              <w:top w:val="single" w:sz="12" w:space="0" w:color="auto"/>
            </w:tcBorders>
          </w:tcPr>
          <w:p w14:paraId="74B40C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2802" w:type="dxa"/>
            <w:tcBorders>
              <w:top w:val="single" w:sz="12" w:space="0" w:color="auto"/>
            </w:tcBorders>
          </w:tcPr>
          <w:p w14:paraId="3A4942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r>
      <w:tr w:rsidR="007D5DF8" w:rsidRPr="00DB5D0D" w14:paraId="069895FA" w14:textId="77777777" w:rsidTr="009223E5">
        <w:tc>
          <w:tcPr>
            <w:tcW w:w="2802" w:type="dxa"/>
          </w:tcPr>
          <w:p w14:paraId="1316C6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2802" w:type="dxa"/>
          </w:tcPr>
          <w:p w14:paraId="6BD51F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w:t>
            </w:r>
          </w:p>
        </w:tc>
        <w:tc>
          <w:tcPr>
            <w:tcW w:w="2802" w:type="dxa"/>
          </w:tcPr>
          <w:p w14:paraId="6A1536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4ADC75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2861B107" w14:textId="77777777" w:rsidTr="009223E5">
        <w:tc>
          <w:tcPr>
            <w:tcW w:w="2802" w:type="dxa"/>
          </w:tcPr>
          <w:p w14:paraId="26BE43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802" w:type="dxa"/>
          </w:tcPr>
          <w:p w14:paraId="6C1F42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519</w:t>
            </w:r>
          </w:p>
        </w:tc>
        <w:tc>
          <w:tcPr>
            <w:tcW w:w="2802" w:type="dxa"/>
          </w:tcPr>
          <w:p w14:paraId="064747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77919D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56E6CB62" w14:textId="77777777" w:rsidTr="009223E5">
        <w:tc>
          <w:tcPr>
            <w:tcW w:w="2802" w:type="dxa"/>
          </w:tcPr>
          <w:p w14:paraId="46D124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2802" w:type="dxa"/>
          </w:tcPr>
          <w:p w14:paraId="6079A1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546,5</w:t>
            </w:r>
          </w:p>
        </w:tc>
        <w:tc>
          <w:tcPr>
            <w:tcW w:w="2802" w:type="dxa"/>
          </w:tcPr>
          <w:p w14:paraId="353A2C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13C064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037A783E" w14:textId="77777777" w:rsidTr="009223E5">
        <w:tc>
          <w:tcPr>
            <w:tcW w:w="2802" w:type="dxa"/>
          </w:tcPr>
          <w:p w14:paraId="6F1545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 1 гв</w:t>
            </w:r>
          </w:p>
        </w:tc>
        <w:tc>
          <w:tcPr>
            <w:tcW w:w="2802" w:type="dxa"/>
          </w:tcPr>
          <w:p w14:paraId="1E078E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564</w:t>
            </w:r>
          </w:p>
        </w:tc>
        <w:tc>
          <w:tcPr>
            <w:tcW w:w="2802" w:type="dxa"/>
          </w:tcPr>
          <w:p w14:paraId="22F43D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0EEBB4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268D8775" w14:textId="77777777" w:rsidTr="009223E5">
        <w:tc>
          <w:tcPr>
            <w:tcW w:w="2802" w:type="dxa"/>
          </w:tcPr>
          <w:p w14:paraId="0C638F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2802" w:type="dxa"/>
          </w:tcPr>
          <w:p w14:paraId="6272FB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567,5</w:t>
            </w:r>
          </w:p>
        </w:tc>
        <w:tc>
          <w:tcPr>
            <w:tcW w:w="2802" w:type="dxa"/>
          </w:tcPr>
          <w:p w14:paraId="702EDB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509606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0F5B8D5F" w14:textId="77777777" w:rsidTr="009223E5">
        <w:tc>
          <w:tcPr>
            <w:tcW w:w="2802" w:type="dxa"/>
          </w:tcPr>
          <w:p w14:paraId="1E9264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2802" w:type="dxa"/>
          </w:tcPr>
          <w:p w14:paraId="712949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577</w:t>
            </w:r>
          </w:p>
        </w:tc>
        <w:tc>
          <w:tcPr>
            <w:tcW w:w="2802" w:type="dxa"/>
          </w:tcPr>
          <w:p w14:paraId="57FFF9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121D76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890</w:t>
            </w:r>
          </w:p>
        </w:tc>
      </w:tr>
      <w:tr w:rsidR="007D5DF8" w:rsidRPr="00DB5D0D" w14:paraId="75DD8505" w14:textId="77777777" w:rsidTr="009223E5">
        <w:tc>
          <w:tcPr>
            <w:tcW w:w="2802" w:type="dxa"/>
          </w:tcPr>
          <w:p w14:paraId="464B3B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4800 2 гв</w:t>
            </w:r>
          </w:p>
        </w:tc>
        <w:tc>
          <w:tcPr>
            <w:tcW w:w="2802" w:type="dxa"/>
          </w:tcPr>
          <w:p w14:paraId="4F3363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585,5</w:t>
            </w:r>
          </w:p>
        </w:tc>
        <w:tc>
          <w:tcPr>
            <w:tcW w:w="2802" w:type="dxa"/>
          </w:tcPr>
          <w:p w14:paraId="018745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3D86C2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656A14D2" w14:textId="77777777" w:rsidTr="009223E5">
        <w:tc>
          <w:tcPr>
            <w:tcW w:w="2802" w:type="dxa"/>
          </w:tcPr>
          <w:p w14:paraId="4E4509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2802" w:type="dxa"/>
          </w:tcPr>
          <w:p w14:paraId="49910B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572,5</w:t>
            </w:r>
          </w:p>
        </w:tc>
        <w:tc>
          <w:tcPr>
            <w:tcW w:w="2802" w:type="dxa"/>
          </w:tcPr>
          <w:p w14:paraId="5C68F1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2802" w:type="dxa"/>
          </w:tcPr>
          <w:p w14:paraId="41012E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r>
      <w:tr w:rsidR="007D5DF8" w:rsidRPr="00DB5D0D" w14:paraId="62251B32" w14:textId="77777777" w:rsidTr="009223E5">
        <w:tc>
          <w:tcPr>
            <w:tcW w:w="2802" w:type="dxa"/>
          </w:tcPr>
          <w:p w14:paraId="31AD9D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2802" w:type="dxa"/>
          </w:tcPr>
          <w:p w14:paraId="6C737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553</w:t>
            </w:r>
          </w:p>
        </w:tc>
        <w:tc>
          <w:tcPr>
            <w:tcW w:w="2802" w:type="dxa"/>
          </w:tcPr>
          <w:p w14:paraId="246FAB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2802" w:type="dxa"/>
          </w:tcPr>
          <w:p w14:paraId="6B1365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r>
      <w:tr w:rsidR="007D5DF8" w:rsidRPr="00DB5D0D" w14:paraId="193ABE5F" w14:textId="77777777" w:rsidTr="009223E5">
        <w:tc>
          <w:tcPr>
            <w:tcW w:w="2802" w:type="dxa"/>
            <w:tcBorders>
              <w:bottom w:val="single" w:sz="12" w:space="0" w:color="auto"/>
            </w:tcBorders>
          </w:tcPr>
          <w:p w14:paraId="449128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2802" w:type="dxa"/>
            <w:tcBorders>
              <w:bottom w:val="single" w:sz="12" w:space="0" w:color="auto"/>
            </w:tcBorders>
          </w:tcPr>
          <w:p w14:paraId="0FD71F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529</w:t>
            </w:r>
          </w:p>
        </w:tc>
        <w:tc>
          <w:tcPr>
            <w:tcW w:w="2802" w:type="dxa"/>
            <w:tcBorders>
              <w:bottom w:val="single" w:sz="12" w:space="0" w:color="auto"/>
            </w:tcBorders>
          </w:tcPr>
          <w:p w14:paraId="4AF0D7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2802" w:type="dxa"/>
            <w:tcBorders>
              <w:bottom w:val="single" w:sz="12" w:space="0" w:color="auto"/>
            </w:tcBorders>
          </w:tcPr>
          <w:p w14:paraId="14764B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w:t>
            </w:r>
          </w:p>
        </w:tc>
      </w:tr>
    </w:tbl>
    <w:p w14:paraId="7DA612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теоретический 10400, практический 10200, время набора 26,5</w:t>
      </w:r>
    </w:p>
    <w:p w14:paraId="6727AB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скороподъемности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842"/>
        <w:gridCol w:w="1843"/>
        <w:gridCol w:w="1843"/>
        <w:gridCol w:w="1843"/>
        <w:gridCol w:w="1843"/>
      </w:tblGrid>
      <w:tr w:rsidR="007D5DF8" w:rsidRPr="00DB5D0D" w14:paraId="1449CD77" w14:textId="77777777" w:rsidTr="009223E5">
        <w:tc>
          <w:tcPr>
            <w:tcW w:w="1668" w:type="dxa"/>
            <w:tcBorders>
              <w:top w:val="single" w:sz="12" w:space="0" w:color="auto"/>
            </w:tcBorders>
          </w:tcPr>
          <w:p w14:paraId="77D9E5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1842" w:type="dxa"/>
            <w:tcBorders>
              <w:top w:val="single" w:sz="12" w:space="0" w:color="auto"/>
            </w:tcBorders>
          </w:tcPr>
          <w:p w14:paraId="7D4E8F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верт.</w:t>
            </w:r>
          </w:p>
        </w:tc>
        <w:tc>
          <w:tcPr>
            <w:tcW w:w="1843" w:type="dxa"/>
            <w:tcBorders>
              <w:top w:val="single" w:sz="12" w:space="0" w:color="auto"/>
            </w:tcBorders>
          </w:tcPr>
          <w:p w14:paraId="49D38D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1843" w:type="dxa"/>
            <w:tcBorders>
              <w:top w:val="single" w:sz="12" w:space="0" w:color="auto"/>
            </w:tcBorders>
          </w:tcPr>
          <w:p w14:paraId="53E6E5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горизонт.</w:t>
            </w:r>
          </w:p>
        </w:tc>
        <w:tc>
          <w:tcPr>
            <w:tcW w:w="1843" w:type="dxa"/>
            <w:tcBorders>
              <w:top w:val="single" w:sz="12" w:space="0" w:color="auto"/>
            </w:tcBorders>
          </w:tcPr>
          <w:p w14:paraId="5C05D0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1843" w:type="dxa"/>
            <w:tcBorders>
              <w:top w:val="single" w:sz="12" w:space="0" w:color="auto"/>
            </w:tcBorders>
          </w:tcPr>
          <w:p w14:paraId="6616D0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r>
      <w:tr w:rsidR="007D5DF8" w:rsidRPr="00DB5D0D" w14:paraId="45E12CE7" w14:textId="77777777" w:rsidTr="009223E5">
        <w:tc>
          <w:tcPr>
            <w:tcW w:w="1668" w:type="dxa"/>
          </w:tcPr>
          <w:p w14:paraId="6E5C17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842" w:type="dxa"/>
          </w:tcPr>
          <w:p w14:paraId="5E01A8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1843" w:type="dxa"/>
          </w:tcPr>
          <w:p w14:paraId="00B04D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843" w:type="dxa"/>
          </w:tcPr>
          <w:p w14:paraId="068EE7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43" w:type="dxa"/>
          </w:tcPr>
          <w:p w14:paraId="334401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530D72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7BE549CE" w14:textId="77777777" w:rsidTr="009223E5">
        <w:tc>
          <w:tcPr>
            <w:tcW w:w="1668" w:type="dxa"/>
          </w:tcPr>
          <w:p w14:paraId="6A847D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842" w:type="dxa"/>
          </w:tcPr>
          <w:p w14:paraId="77C6BA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1843" w:type="dxa"/>
          </w:tcPr>
          <w:p w14:paraId="1DF632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843" w:type="dxa"/>
          </w:tcPr>
          <w:p w14:paraId="08F4D8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43" w:type="dxa"/>
          </w:tcPr>
          <w:p w14:paraId="3414B5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1994C8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4505AE8E" w14:textId="77777777" w:rsidTr="009223E5">
        <w:tc>
          <w:tcPr>
            <w:tcW w:w="1668" w:type="dxa"/>
          </w:tcPr>
          <w:p w14:paraId="264D53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842" w:type="dxa"/>
          </w:tcPr>
          <w:p w14:paraId="7F8B41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15,9</w:t>
            </w:r>
          </w:p>
        </w:tc>
        <w:tc>
          <w:tcPr>
            <w:tcW w:w="1843" w:type="dxa"/>
          </w:tcPr>
          <w:p w14:paraId="1C695A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843" w:type="dxa"/>
          </w:tcPr>
          <w:p w14:paraId="10C77D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43" w:type="dxa"/>
          </w:tcPr>
          <w:p w14:paraId="501BFB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5C9115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1CC90A6A" w14:textId="77777777" w:rsidTr="009223E5">
        <w:tc>
          <w:tcPr>
            <w:tcW w:w="1668" w:type="dxa"/>
          </w:tcPr>
          <w:p w14:paraId="06064C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842" w:type="dxa"/>
          </w:tcPr>
          <w:p w14:paraId="3A9FD5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1843" w:type="dxa"/>
          </w:tcPr>
          <w:p w14:paraId="20DECB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1843" w:type="dxa"/>
          </w:tcPr>
          <w:p w14:paraId="1E2179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w:t>
            </w:r>
          </w:p>
        </w:tc>
        <w:tc>
          <w:tcPr>
            <w:tcW w:w="1843" w:type="dxa"/>
          </w:tcPr>
          <w:p w14:paraId="054EA9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35CD37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810</w:t>
            </w:r>
          </w:p>
        </w:tc>
      </w:tr>
      <w:tr w:rsidR="007D5DF8" w:rsidRPr="00DB5D0D" w14:paraId="02FF3171" w14:textId="77777777" w:rsidTr="009223E5">
        <w:tc>
          <w:tcPr>
            <w:tcW w:w="1668" w:type="dxa"/>
          </w:tcPr>
          <w:p w14:paraId="67A150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1842" w:type="dxa"/>
          </w:tcPr>
          <w:p w14:paraId="328846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13.4</w:t>
            </w:r>
          </w:p>
        </w:tc>
        <w:tc>
          <w:tcPr>
            <w:tcW w:w="1843" w:type="dxa"/>
          </w:tcPr>
          <w:p w14:paraId="310D54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843" w:type="dxa"/>
          </w:tcPr>
          <w:p w14:paraId="6774C4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w:t>
            </w:r>
          </w:p>
        </w:tc>
        <w:tc>
          <w:tcPr>
            <w:tcW w:w="1843" w:type="dxa"/>
          </w:tcPr>
          <w:p w14:paraId="05A774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043BBE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865</w:t>
            </w:r>
          </w:p>
        </w:tc>
      </w:tr>
      <w:tr w:rsidR="007D5DF8" w:rsidRPr="00DB5D0D" w14:paraId="70848717" w14:textId="77777777" w:rsidTr="009223E5">
        <w:tc>
          <w:tcPr>
            <w:tcW w:w="1668" w:type="dxa"/>
          </w:tcPr>
          <w:p w14:paraId="13185D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1842" w:type="dxa"/>
          </w:tcPr>
          <w:p w14:paraId="28C3BF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w:t>
            </w:r>
          </w:p>
        </w:tc>
        <w:tc>
          <w:tcPr>
            <w:tcW w:w="1843" w:type="dxa"/>
          </w:tcPr>
          <w:p w14:paraId="7883C6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1843" w:type="dxa"/>
          </w:tcPr>
          <w:p w14:paraId="725C88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1843" w:type="dxa"/>
          </w:tcPr>
          <w:p w14:paraId="62EC12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158027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830</w:t>
            </w:r>
          </w:p>
        </w:tc>
      </w:tr>
      <w:tr w:rsidR="007D5DF8" w:rsidRPr="00DB5D0D" w14:paraId="06C0038F" w14:textId="77777777" w:rsidTr="009223E5">
        <w:tc>
          <w:tcPr>
            <w:tcW w:w="1668" w:type="dxa"/>
          </w:tcPr>
          <w:p w14:paraId="273F7B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842" w:type="dxa"/>
          </w:tcPr>
          <w:p w14:paraId="49702C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1843" w:type="dxa"/>
          </w:tcPr>
          <w:p w14:paraId="6F6100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w:t>
            </w:r>
          </w:p>
        </w:tc>
        <w:tc>
          <w:tcPr>
            <w:tcW w:w="1843" w:type="dxa"/>
          </w:tcPr>
          <w:p w14:paraId="774D0B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235</w:t>
            </w:r>
          </w:p>
        </w:tc>
        <w:tc>
          <w:tcPr>
            <w:tcW w:w="1843" w:type="dxa"/>
          </w:tcPr>
          <w:p w14:paraId="61C31B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14FE9C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725</w:t>
            </w:r>
          </w:p>
        </w:tc>
      </w:tr>
      <w:tr w:rsidR="007D5DF8" w:rsidRPr="00DB5D0D" w14:paraId="63AE0079" w14:textId="77777777" w:rsidTr="009223E5">
        <w:tc>
          <w:tcPr>
            <w:tcW w:w="1668" w:type="dxa"/>
          </w:tcPr>
          <w:p w14:paraId="0F552B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1842" w:type="dxa"/>
          </w:tcPr>
          <w:p w14:paraId="517415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1843" w:type="dxa"/>
          </w:tcPr>
          <w:p w14:paraId="6D6A2E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w:t>
            </w:r>
          </w:p>
        </w:tc>
        <w:tc>
          <w:tcPr>
            <w:tcW w:w="1843" w:type="dxa"/>
          </w:tcPr>
          <w:p w14:paraId="1D7D9A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229</w:t>
            </w:r>
          </w:p>
        </w:tc>
        <w:tc>
          <w:tcPr>
            <w:tcW w:w="1843" w:type="dxa"/>
          </w:tcPr>
          <w:p w14:paraId="76AA87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07124A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w:t>
            </w:r>
          </w:p>
        </w:tc>
      </w:tr>
      <w:tr w:rsidR="007D5DF8" w:rsidRPr="00DB5D0D" w14:paraId="12BEAC9C" w14:textId="77777777" w:rsidTr="009223E5">
        <w:tc>
          <w:tcPr>
            <w:tcW w:w="1668" w:type="dxa"/>
          </w:tcPr>
          <w:p w14:paraId="255502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1842" w:type="dxa"/>
          </w:tcPr>
          <w:p w14:paraId="4946A7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1843" w:type="dxa"/>
          </w:tcPr>
          <w:p w14:paraId="3695D8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1843" w:type="dxa"/>
          </w:tcPr>
          <w:p w14:paraId="2DA0C8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222</w:t>
            </w:r>
          </w:p>
        </w:tc>
        <w:tc>
          <w:tcPr>
            <w:tcW w:w="1843" w:type="dxa"/>
          </w:tcPr>
          <w:p w14:paraId="0C2E25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615B9D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540</w:t>
            </w:r>
          </w:p>
        </w:tc>
      </w:tr>
      <w:tr w:rsidR="007D5DF8" w:rsidRPr="00DB5D0D" w14:paraId="7445D644" w14:textId="77777777" w:rsidTr="009223E5">
        <w:tc>
          <w:tcPr>
            <w:tcW w:w="1668" w:type="dxa"/>
          </w:tcPr>
          <w:p w14:paraId="37F08D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1842" w:type="dxa"/>
          </w:tcPr>
          <w:p w14:paraId="226F58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w:t>
            </w:r>
          </w:p>
        </w:tc>
        <w:tc>
          <w:tcPr>
            <w:tcW w:w="1843" w:type="dxa"/>
          </w:tcPr>
          <w:p w14:paraId="2494E4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w:t>
            </w:r>
          </w:p>
        </w:tc>
        <w:tc>
          <w:tcPr>
            <w:tcW w:w="1843" w:type="dxa"/>
          </w:tcPr>
          <w:p w14:paraId="7F1475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Pr>
          <w:p w14:paraId="4EDAFE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Pr>
          <w:p w14:paraId="425FE7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C8866A8" w14:textId="77777777" w:rsidTr="009223E5">
        <w:tc>
          <w:tcPr>
            <w:tcW w:w="1668" w:type="dxa"/>
            <w:tcBorders>
              <w:bottom w:val="single" w:sz="12" w:space="0" w:color="auto"/>
            </w:tcBorders>
          </w:tcPr>
          <w:p w14:paraId="3639D3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842" w:type="dxa"/>
            <w:tcBorders>
              <w:bottom w:val="single" w:sz="12" w:space="0" w:color="auto"/>
            </w:tcBorders>
          </w:tcPr>
          <w:p w14:paraId="63677B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w:t>
            </w:r>
          </w:p>
        </w:tc>
        <w:tc>
          <w:tcPr>
            <w:tcW w:w="1843" w:type="dxa"/>
            <w:tcBorders>
              <w:bottom w:val="single" w:sz="12" w:space="0" w:color="auto"/>
            </w:tcBorders>
          </w:tcPr>
          <w:p w14:paraId="14083D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23,6</w:t>
            </w:r>
          </w:p>
        </w:tc>
        <w:tc>
          <w:tcPr>
            <w:tcW w:w="1843" w:type="dxa"/>
            <w:tcBorders>
              <w:bottom w:val="single" w:sz="12" w:space="0" w:color="auto"/>
            </w:tcBorders>
          </w:tcPr>
          <w:p w14:paraId="1B26A5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Borders>
              <w:bottom w:val="single" w:sz="12" w:space="0" w:color="auto"/>
            </w:tcBorders>
          </w:tcPr>
          <w:p w14:paraId="3494BB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Borders>
              <w:bottom w:val="single" w:sz="12" w:space="0" w:color="auto"/>
            </w:tcBorders>
          </w:tcPr>
          <w:p w14:paraId="48F4A5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47D731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Взлетно-посадочные данные:</w:t>
      </w:r>
    </w:p>
    <w:p w14:paraId="258150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300, время 12.3, скорость 1,2 м/сек, скорость отрыва 175 км/час</w:t>
      </w:r>
    </w:p>
    <w:p w14:paraId="6CEBF9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350 м, время 33, скорость 1-2, скорость посадочная 135 км/час</w:t>
      </w:r>
    </w:p>
    <w:p w14:paraId="33D812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Маневренность на 1000 м на скорости 300</w:t>
      </w:r>
    </w:p>
    <w:p w14:paraId="033AB4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левый 22</w:t>
      </w:r>
    </w:p>
    <w:p w14:paraId="7E3607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вираж правый 22</w:t>
      </w:r>
    </w:p>
    <w:p w14:paraId="79CB28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серийный левый 1:15</w:t>
      </w:r>
    </w:p>
    <w:p w14:paraId="01ECD7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серийный правый 1:25</w:t>
      </w:r>
    </w:p>
    <w:p w14:paraId="76068D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Размеры</w:t>
      </w:r>
    </w:p>
    <w:p w14:paraId="746845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10000 мм, удилинение 5,83</w:t>
      </w:r>
    </w:p>
    <w:p w14:paraId="5F387D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на стоянке 8475</w:t>
      </w:r>
    </w:p>
    <w:p w14:paraId="1531D8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2485</w:t>
      </w:r>
    </w:p>
    <w:p w14:paraId="344CA9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17,58</w:t>
      </w:r>
    </w:p>
    <w:p w14:paraId="7C1DF9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Профиль Кларк УН, у фюзеляжа 15%, на концах - 7%</w:t>
      </w:r>
    </w:p>
    <w:p w14:paraId="250218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Вкс пустого 2206 кг</w:t>
      </w:r>
    </w:p>
    <w:p w14:paraId="5C5FCA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полетный 2691,2</w:t>
      </w:r>
    </w:p>
    <w:p w14:paraId="61E7D5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w:t>
      </w:r>
    </w:p>
    <w:p w14:paraId="15E37F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с парашютом 90</w:t>
      </w:r>
    </w:p>
    <w:p w14:paraId="538CE6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 305</w:t>
      </w:r>
    </w:p>
    <w:p w14:paraId="5F63E3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 29</w:t>
      </w:r>
    </w:p>
    <w:p w14:paraId="160F72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патроны для пулемета 27,7</w:t>
      </w:r>
    </w:p>
    <w:p w14:paraId="69A16B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патроны для пушки 25.5</w:t>
      </w:r>
    </w:p>
    <w:p w14:paraId="709326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аккумулятор 8</w:t>
      </w:r>
    </w:p>
    <w:p w14:paraId="584883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ЦТ пустого 18,55%, при нормальном полетном - 25,2%</w:t>
      </w:r>
    </w:p>
    <w:p w14:paraId="70F50A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 01533</w:t>
      </w:r>
    </w:p>
    <w:p w14:paraId="0392E9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Диаметр цилиндра 170 мм, ход поршня 148 мм</w:t>
      </w:r>
    </w:p>
    <w:p w14:paraId="3615FA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Степень сжатия 7, пер. число к нагнетателю 1: 7,85, 1:20</w:t>
      </w:r>
    </w:p>
    <w:p w14:paraId="0430F5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Редукция 2/3</w:t>
      </w:r>
    </w:p>
    <w:p w14:paraId="654913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Направление вращения - мотор правое, винт левое</w:t>
      </w:r>
    </w:p>
    <w:p w14:paraId="3F75DB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 вес 580 кг</w:t>
      </w:r>
    </w:p>
    <w:p w14:paraId="276E7F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мощность 1100 лс, Рк 950, обор. 2600</w:t>
      </w:r>
    </w:p>
    <w:p w14:paraId="551FC6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 Мощность 1020, Рк 910, обороты 2650</w:t>
      </w:r>
    </w:p>
    <w:p w14:paraId="3F1954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 Мощность на расчетной высоте 1100/1050 (1 и 2)</w:t>
      </w:r>
    </w:p>
    <w:p w14:paraId="49BE14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высотность 2000/4000</w:t>
      </w:r>
    </w:p>
    <w:p w14:paraId="1C3155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Расход горючего 230/260 г/лс/ч</w:t>
      </w:r>
    </w:p>
    <w:p w14:paraId="2BB130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Автоматы - РПД и Р-6</w:t>
      </w:r>
    </w:p>
    <w:p w14:paraId="47AD0F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Габариты:</w:t>
      </w:r>
    </w:p>
    <w:p w14:paraId="554483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2027</w:t>
      </w:r>
    </w:p>
    <w:p w14:paraId="4083A5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946</w:t>
      </w:r>
    </w:p>
    <w:p w14:paraId="15696A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777</w:t>
      </w:r>
    </w:p>
    <w:p w14:paraId="0814FC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отличия от М-105 - двухскоростной нагнетатель, степеньт сжатия 7 вместо 6</w:t>
      </w:r>
    </w:p>
    <w:p w14:paraId="282CC3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ВИШ-61 завода № 28, шир. Лопасти 250 мм.</w:t>
      </w:r>
    </w:p>
    <w:p w14:paraId="584B0D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Установочный угол макс. 50 гр., мин. 23:40</w:t>
      </w:r>
    </w:p>
    <w:p w14:paraId="524051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винта 131 кг</w:t>
      </w:r>
    </w:p>
    <w:p w14:paraId="089430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3805BC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ШКАСх2 = 37 кг, 760 патронов - 24,3 кг</w:t>
      </w:r>
    </w:p>
    <w:p w14:paraId="4F147B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Мотор-пушка ШВАК 20мм - 53 кг, патронов 120 - 25,8 кг</w:t>
      </w:r>
    </w:p>
    <w:p w14:paraId="5FDAA4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 дефектов, опасных для полета на с-те И-26</w:t>
      </w:r>
    </w:p>
    <w:p w14:paraId="61D348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 большихх скоростях фонарь кабины сдвигается вперед и при открывании требуются большие усилия</w:t>
      </w:r>
    </w:p>
    <w:p w14:paraId="019BE8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звенья и гильзы пушки попадают в стаюбилизатор и пробивают обшивку</w:t>
      </w:r>
    </w:p>
    <w:p w14:paraId="55422A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шасси не убирается на скорости свыше 210-220 км/час</w:t>
      </w:r>
    </w:p>
    <w:p w14:paraId="6659C9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с-ту - 31 дефект, по ВМГ - выброс масла через суфлер, перегрев мотора и т.д. (699).</w:t>
      </w:r>
    </w:p>
    <w:p w14:paraId="1D8BC3E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E701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 были закончены госиспытания испытания И-26-11 в НИИ ВВС ГУАСК, которые проходили с 1 июня и были выполнены полностью в установленные приказом начальника ГУАС сроки. 16 июня самолет был облетан летчиками НИИ ВВС. За время испытаний провели 52 полета с общим налетом 21 час 11 минут.</w:t>
      </w:r>
    </w:p>
    <w:p w14:paraId="5A3FF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Недостаточная прочность носков крыла (увеличившаяся после проведения усиления с 40 до 67 %) и недостаточная общая прочность самолета явились следствием перетя- желения конструкции. Расчет самолета был произведен для полетного веса 2300 кг, с учетом весовой сводки готовых изделии, представленной заводами-поставщиками. Выдержать заявленные веса многим из них не удалось, поскольку эти изделия они не выпускали раньше, а создавали специально для нового истребителя. Об уровне весовой культуры в отечественной авиационной промышленности может служить тот факт, что при проведении контрольного взвешивания готовых изделий в апреле 1944 года (в процессе подготовки к выпуску истребителя Як-3 на Саратовском авиазаводе) была обнаружена разница в весах серийных моторов до 17 кг, винтов - до 8 кг (ЦАМО ф.35 оп.М287 Д.22М л.198). В результате полетный вес И-26 возрос до 2700 кг. Это уменьшило запас прочности с 13-кратного, положенного для истребителя по Нормам прочности 1939 г., до 11-кратного. Самолет допустили к полетам, но ограничили допустимую эксплуатационную перегрузку 6,5 единицами. В связи этим программу испытаний сократили, исключив штопор и пикирование.</w:t>
      </w:r>
    </w:p>
    <w:p w14:paraId="642039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невозможности длительной работы мотора на номинальных оборотах, вследствие недоведенности маслосистемы, отдельные элементы программы изменили из условия работы мотора на полных оборотах не более двух-трех минут. По свидетельству И.Г. Рабкина, инженера-испытателя НИИ ВВС в то время, взлет, например, производили в два приема: сначала выруливание на старт, затем 10-15 минут охлаждение мотора, после чего снова запуск и взлет на полных оборотах. Полеты на определение скороподъемности проводили с площадками на охлаждение мотора.</w:t>
      </w:r>
    </w:p>
    <w:p w14:paraId="4345E5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Существует расхожее мнение, что такая "дикая" методика испытаний предпринималась под давлением или в угоду главному конструктору машины А.С.Яковлеву (и "стоящему за его спиной" И.В. Сталину). Нет, для существующего момента, когда серийное производство И-26 уже началось, было важно как можно скорее определиться в правильности выбора будущего истребителя ВВС. В случае обнаружения принципиальных недостатков конструкции самолета (а не мотора или другого оборудования), не поддающихся изменению или доводке, и низких летных данных, выпуск И-26 можно было немедленно свернуть.</w:t>
      </w:r>
    </w:p>
    <w:p w14:paraId="6B7C80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не имела полагавшегося для истребителей специального оборудования: средств радиосвязи, генератора, ночного освещения и ночных посадочных средств. Система уборки и выпуска шасси не обеспечивши! требование ВВС КА о возможности уборки шасси в наборе высоты. Опасное попадание стреляных гильз и звеньев в стабилизатор и большие усилия (27 кг) на спусковых гашетках пулеметов, вынудили прекратить отстрел вооружения.</w:t>
      </w:r>
    </w:p>
    <w:p w14:paraId="225A30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государственных испытаний в горизонтальном полете на высоте 5000 м была достигнута максимальная скорость 585,5 км/ч, а набор этой высоты выполнен за 6 мин. Несколько позже, в 1941 г., изменилась методика обработки результатов испытаний и порядок пересчета максимальной скорости, полученной при испытаниях, на условия стандартной атмосферы. Для сравнения с серийными образцами данные И-26-11 задним числом были пересчитаны. Максимальная скорость получилась равной 592 км/ч. По общему мнению ведущих лет- чиков-испытателей самолета Николаева и Стефан о вс ко го, а также других летчиков НИИ ВВС КА, производивших облет (генерал-майор Филин, полковой комиссар Хо- лоппев, военинженер 1-го ранга Никашин, военинженер 2-го ранга Максимов, военинженер 2-го ранга Кочетков, майор Малышев, капитан Прошаков, старший лейтенант Шапоров), самолет мог быть освоен летчиками строевых частей средней квалификации. Отмечались также недостаточная продольная устойчивость (принесенная в жертву маневренности), отсутствие вентиляции кабины, недоведенность шасси, маслосисте- мы, вооружения.</w:t>
      </w:r>
    </w:p>
    <w:p w14:paraId="79073A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Подведя итоги, НИИ ВВС вынес заключение, что опытный истребитель И-26 государственные испытания не выдержал. Главному конструктору А.С. Яковлеву предложили в кратчайшие сроки устранить обнаруженные недостатки и предъявить самолет на повторные государственные испытания. Справедливости ради следует сказать, что опытный истребитель И-301 С.А. Лавочкина. В.П. Горбунова и М.И. Гудкова (с теми же мотором и винтом) закончил государственные испытания с аналогичным результатом (12048).</w:t>
      </w:r>
    </w:p>
    <w:p w14:paraId="2564763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180003" w14:textId="77777777" w:rsidR="00184BB3" w:rsidRPr="00DB5D0D" w:rsidRDefault="00184BB3"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15 июня</w:t>
      </w:r>
      <w:r w:rsidRPr="00DB5D0D">
        <w:rPr>
          <w:rFonts w:ascii="Times New Roman" w:hAnsi="Times New Roman"/>
          <w:color w:val="000000" w:themeColor="text1"/>
          <w:sz w:val="16"/>
          <w:szCs w:val="16"/>
        </w:rPr>
        <w:t xml:space="preserve"> в 1940 году в НИИ ВВС завершились (с 1 июня) государственные испытания истребителя </w:t>
      </w:r>
      <w:hyperlink r:id="rId124" w:tgtFrame="_blank" w:history="1">
        <w:r w:rsidRPr="00DB5D0D">
          <w:rPr>
            <w:rFonts w:ascii="Times New Roman" w:hAnsi="Times New Roman"/>
            <w:color w:val="000000" w:themeColor="text1"/>
            <w:sz w:val="16"/>
            <w:szCs w:val="16"/>
          </w:rPr>
          <w:t xml:space="preserve">«И-26-II». </w:t>
        </w:r>
      </w:hyperlink>
      <w:r w:rsidRPr="00DB5D0D">
        <w:rPr>
          <w:rFonts w:ascii="Times New Roman" w:hAnsi="Times New Roman"/>
          <w:color w:val="000000" w:themeColor="text1"/>
          <w:sz w:val="16"/>
          <w:szCs w:val="16"/>
        </w:rPr>
        <w:t>Подведя итоги, НИИ ВВС КА вынес заключение, что опытный истребитель «И-26» государственные испытания не выдержал (14923).</w:t>
      </w:r>
    </w:p>
    <w:p w14:paraId="25C53960" w14:textId="77777777" w:rsidR="00184BB3" w:rsidRPr="00DB5D0D" w:rsidRDefault="00184BB3" w:rsidP="00DB5D0D">
      <w:pPr>
        <w:spacing w:after="0" w:line="240" w:lineRule="auto"/>
        <w:jc w:val="both"/>
        <w:rPr>
          <w:rFonts w:ascii="Times New Roman" w:hAnsi="Times New Roman"/>
          <w:color w:val="000000" w:themeColor="text1"/>
          <w:sz w:val="16"/>
          <w:szCs w:val="16"/>
        </w:rPr>
      </w:pPr>
    </w:p>
    <w:p w14:paraId="1A36D9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15 июня 1940 в ходе гос. испытаний И-301 М-105 П, которые проводились в НИИ ВВС с 14 по 27 июня 1940 л Супруном и П.М.Стефановским самолет был взвешен, устранена девиация компаса, машину оборудовали приборами для испытаний. П.М.Стефановский совершил пробный полет. Устранили трещины в обшивке фюзеляжа, обнаруженные после посадки. Сняли винт ВИШ-61 (2922).</w:t>
      </w:r>
    </w:p>
    <w:p w14:paraId="4551B44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7DE75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по 27 июня 1940 проходили гос. испытания самолета И-301 М-105П конструкции Горбунова, Лавочина и Гудкова (6599).</w:t>
      </w:r>
    </w:p>
    <w:p w14:paraId="7B204BB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2104BEC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Супрун, майор Стефановский</w:t>
      </w:r>
    </w:p>
    <w:p w14:paraId="4E17034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Таракановский</w:t>
      </w:r>
    </w:p>
    <w:p w14:paraId="63E481D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505716C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в пределах, проведенных заводских испытаний.</w:t>
      </w:r>
    </w:p>
    <w:p w14:paraId="38110D02"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конструкции самолета и доведенности его винто-моторной группы и спецоборудования.</w:t>
      </w:r>
    </w:p>
    <w:p w14:paraId="012CDB3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30E2D6D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Горбунова, Лавочина и Гудкова, постройки завода № 301 был изготовлен по тактико-техническим требованиям ВВС и должен был иметь следующие данные:</w:t>
      </w:r>
    </w:p>
    <w:p w14:paraId="0959251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мотором М-105 и ТК-2</w:t>
      </w:r>
    </w:p>
    <w:p w14:paraId="3BEFC12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77D29BD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БС калибра 12,7 мм</w:t>
      </w:r>
    </w:p>
    <w:p w14:paraId="65B0BFE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калибра 7,62 мм</w:t>
      </w:r>
    </w:p>
    <w:p w14:paraId="48BFABA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мотором М-106П</w:t>
      </w:r>
    </w:p>
    <w:p w14:paraId="7C292D9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калибра 20-23 мм</w:t>
      </w:r>
    </w:p>
    <w:p w14:paraId="52C6C05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калибра 7,62 мм</w:t>
      </w:r>
    </w:p>
    <w:p w14:paraId="2DCE86C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предусматривалось использование уплотненной древесины и материала дюрамольд.</w:t>
      </w:r>
    </w:p>
    <w:p w14:paraId="671555B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представления самолетов на гос. испытания был установлен:</w:t>
      </w:r>
    </w:p>
    <w:p w14:paraId="388603A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1-го экземпляра – февраль 1940 года</w:t>
      </w:r>
    </w:p>
    <w:p w14:paraId="0847040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2-го экземпляра – май 1940 года</w:t>
      </w:r>
    </w:p>
    <w:p w14:paraId="2772124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14-го июня 1940 года на гос. испытания самолет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w:t>
      </w:r>
    </w:p>
    <w:p w14:paraId="5E34EFA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штук патронов.</w:t>
      </w:r>
    </w:p>
    <w:p w14:paraId="2FDBF30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в счет перегрузки могут быть установлены пулеметы ШКАС калибра 7,62 мм с боезапасом 1300-1500 шт. патронов. Установка бомб, РС-82 и подвесных баков для горючего на данном экземпляре самолета не осуществлена.</w:t>
      </w:r>
    </w:p>
    <w:p w14:paraId="24062C7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самолета И-301 в НИИ ВВС (15-27 июня 1940 года) на самолете было сделано 42 полета общей продолжительностью 16 час. 30 мин.</w:t>
      </w:r>
    </w:p>
    <w:p w14:paraId="1BE435B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CEE2DB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инженеров Горбунова, Лавочина и Гудкова производства завода № 301 был предъявлен на гос. испытания с недоведенным вооружением и не испытан на штопор, пикирование и высший пилотаж.</w:t>
      </w:r>
    </w:p>
    <w:p w14:paraId="785D673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гос. испытаний не прошел из-за отсутствия испытания вооружения и испытаний на штопор и пикирование.</w:t>
      </w:r>
    </w:p>
    <w:p w14:paraId="324E056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7D5DF8" w:rsidRPr="00DB5D0D" w14:paraId="5C1DBF0E" w14:textId="77777777" w:rsidTr="009223E5">
        <w:tc>
          <w:tcPr>
            <w:tcW w:w="1951" w:type="dxa"/>
            <w:tcBorders>
              <w:top w:val="single" w:sz="12" w:space="0" w:color="auto"/>
            </w:tcBorders>
          </w:tcPr>
          <w:p w14:paraId="7632C2B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8647" w:type="dxa"/>
            <w:tcBorders>
              <w:top w:val="single" w:sz="12" w:space="0" w:color="auto"/>
            </w:tcBorders>
          </w:tcPr>
          <w:p w14:paraId="146404E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7876E243" w14:textId="77777777" w:rsidTr="009223E5">
        <w:tc>
          <w:tcPr>
            <w:tcW w:w="1951" w:type="dxa"/>
          </w:tcPr>
          <w:p w14:paraId="7C37567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8647" w:type="dxa"/>
          </w:tcPr>
          <w:p w14:paraId="71FC55D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летчика Стефановского.</w:t>
            </w:r>
          </w:p>
        </w:tc>
      </w:tr>
      <w:tr w:rsidR="007D5DF8" w:rsidRPr="00DB5D0D" w14:paraId="0027FBBA" w14:textId="77777777" w:rsidTr="009223E5">
        <w:tc>
          <w:tcPr>
            <w:tcW w:w="1951" w:type="dxa"/>
          </w:tcPr>
          <w:p w14:paraId="03D3229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8647" w:type="dxa"/>
          </w:tcPr>
          <w:p w14:paraId="55E2FD9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сверхмаксимальную скорость.</w:t>
            </w:r>
          </w:p>
        </w:tc>
      </w:tr>
      <w:tr w:rsidR="007D5DF8" w:rsidRPr="00DB5D0D" w14:paraId="4462F7DB" w14:textId="77777777" w:rsidTr="009223E5">
        <w:tc>
          <w:tcPr>
            <w:tcW w:w="1951" w:type="dxa"/>
          </w:tcPr>
          <w:p w14:paraId="18F0CEF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8647" w:type="dxa"/>
          </w:tcPr>
          <w:p w14:paraId="693F81C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второго вед. летчика Супруна.</w:t>
            </w:r>
          </w:p>
        </w:tc>
      </w:tr>
      <w:tr w:rsidR="007D5DF8" w:rsidRPr="00DB5D0D" w14:paraId="4E5ACE51" w14:textId="77777777" w:rsidTr="009223E5">
        <w:tc>
          <w:tcPr>
            <w:tcW w:w="1951" w:type="dxa"/>
          </w:tcPr>
          <w:p w14:paraId="23CB77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8647" w:type="dxa"/>
          </w:tcPr>
          <w:p w14:paraId="4FC4CA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4B980B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22F93B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дефектов, обнаруженных после полета: выброс масла из суфлера мотора, устранение утечки воздуха, замена барографа</w:t>
            </w:r>
          </w:p>
        </w:tc>
      </w:tr>
      <w:tr w:rsidR="007D5DF8" w:rsidRPr="00DB5D0D" w14:paraId="28C2781D" w14:textId="77777777" w:rsidTr="009223E5">
        <w:tc>
          <w:tcPr>
            <w:tcW w:w="1951" w:type="dxa"/>
          </w:tcPr>
          <w:p w14:paraId="0CA9D1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w:t>
            </w:r>
          </w:p>
        </w:tc>
        <w:tc>
          <w:tcPr>
            <w:tcW w:w="8647" w:type="dxa"/>
          </w:tcPr>
          <w:p w14:paraId="69D88C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338D1D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из-за отсоединения тяги нормального газа мотора. Заварка выхлопного коллектора. Устранение причин, вызвавших вынужденную посадку</w:t>
            </w:r>
          </w:p>
          <w:p w14:paraId="47BC47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на пилотаж. После полета обнаружены следы пожара во всасывающем патрубке мотора. Патрубок снят и осмотрен.</w:t>
            </w:r>
          </w:p>
          <w:p w14:paraId="1D06CB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пилотаж с засечкой фигур с земли. Ремонт гибкого валика счетчика оборотов</w:t>
            </w:r>
          </w:p>
        </w:tc>
      </w:tr>
      <w:tr w:rsidR="007D5DF8" w:rsidRPr="00DB5D0D" w14:paraId="57FE7F44" w14:textId="77777777" w:rsidTr="009223E5">
        <w:tc>
          <w:tcPr>
            <w:tcW w:w="1951" w:type="dxa"/>
          </w:tcPr>
          <w:p w14:paraId="4786A6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w:t>
            </w:r>
          </w:p>
        </w:tc>
        <w:tc>
          <w:tcPr>
            <w:tcW w:w="8647" w:type="dxa"/>
          </w:tcPr>
          <w:p w14:paraId="13A7F4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2D655C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w:t>
            </w:r>
          </w:p>
          <w:p w14:paraId="24A77D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без пользования тормозами, т.к. лопнула воздушная трубка</w:t>
            </w:r>
          </w:p>
          <w:p w14:paraId="48977E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 и скорости по высотам.</w:t>
            </w:r>
          </w:p>
          <w:p w14:paraId="76E019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с-та. Подготовка с-та к испытанию на расход горючего.</w:t>
            </w:r>
          </w:p>
          <w:p w14:paraId="0E4DC1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неисправновстей во всасявающем патрубке, подводящим воздух к нагнетателю</w:t>
            </w:r>
          </w:p>
        </w:tc>
      </w:tr>
      <w:tr w:rsidR="007D5DF8" w:rsidRPr="00DB5D0D" w14:paraId="468B3042" w14:textId="77777777" w:rsidTr="009223E5">
        <w:tc>
          <w:tcPr>
            <w:tcW w:w="1951" w:type="dxa"/>
          </w:tcPr>
          <w:p w14:paraId="596546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w:t>
            </w:r>
          </w:p>
        </w:tc>
        <w:tc>
          <w:tcPr>
            <w:tcW w:w="8647" w:type="dxa"/>
          </w:tcPr>
          <w:p w14:paraId="1D3CF4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Замена покрышек колес, т.к. смонтированные покрышки деформировались и не убирается шасси. Устранение течи воды в пауке водосистемы</w:t>
            </w:r>
          </w:p>
        </w:tc>
      </w:tr>
      <w:tr w:rsidR="007D5DF8" w:rsidRPr="00DB5D0D" w14:paraId="406DDD54" w14:textId="77777777" w:rsidTr="009223E5">
        <w:tc>
          <w:tcPr>
            <w:tcW w:w="1951" w:type="dxa"/>
          </w:tcPr>
          <w:p w14:paraId="64C7299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w:t>
            </w:r>
          </w:p>
        </w:tc>
        <w:tc>
          <w:tcPr>
            <w:tcW w:w="8647" w:type="dxa"/>
          </w:tcPr>
          <w:p w14:paraId="479483D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p w14:paraId="2792A91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w:t>
            </w:r>
          </w:p>
        </w:tc>
      </w:tr>
      <w:tr w:rsidR="007D5DF8" w:rsidRPr="00DB5D0D" w14:paraId="2C3A111B" w14:textId="77777777" w:rsidTr="009223E5">
        <w:tc>
          <w:tcPr>
            <w:tcW w:w="1951" w:type="dxa"/>
          </w:tcPr>
          <w:p w14:paraId="51D0B0A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w:t>
            </w:r>
          </w:p>
        </w:tc>
        <w:tc>
          <w:tcPr>
            <w:tcW w:w="8647" w:type="dxa"/>
          </w:tcPr>
          <w:p w14:paraId="4E1638B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первой скорости нагнетателя.</w:t>
            </w:r>
          </w:p>
          <w:p w14:paraId="458B490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8000 м.</w:t>
            </w:r>
          </w:p>
          <w:p w14:paraId="0B7C9AD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второй скорости нагнетателя.</w:t>
            </w:r>
          </w:p>
          <w:p w14:paraId="464DA83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при передней центровке.</w:t>
            </w:r>
          </w:p>
        </w:tc>
      </w:tr>
      <w:tr w:rsidR="007D5DF8" w:rsidRPr="00DB5D0D" w14:paraId="62F45D72" w14:textId="77777777" w:rsidTr="009223E5">
        <w:tc>
          <w:tcPr>
            <w:tcW w:w="1951" w:type="dxa"/>
          </w:tcPr>
          <w:p w14:paraId="4AAF003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8647" w:type="dxa"/>
          </w:tcPr>
          <w:p w14:paraId="36A81BC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с задней центровкой.</w:t>
            </w:r>
          </w:p>
          <w:p w14:paraId="6A3EFE1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6000 м и снятие скоростей по высотам.</w:t>
            </w:r>
          </w:p>
          <w:p w14:paraId="0DA736F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tc>
      </w:tr>
      <w:tr w:rsidR="007D5DF8" w:rsidRPr="00DB5D0D" w14:paraId="48FDC3F0" w14:textId="77777777" w:rsidTr="009223E5">
        <w:tc>
          <w:tcPr>
            <w:tcW w:w="1951" w:type="dxa"/>
          </w:tcPr>
          <w:p w14:paraId="53B1D5B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w:t>
            </w:r>
          </w:p>
        </w:tc>
        <w:tc>
          <w:tcPr>
            <w:tcW w:w="8647" w:type="dxa"/>
          </w:tcPr>
          <w:p w14:paraId="6860147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 Летали в облете: генерал-майор авиации Филин, полковой комиссар Холопцев и полковник Кабанов.</w:t>
            </w:r>
          </w:p>
        </w:tc>
      </w:tr>
      <w:tr w:rsidR="007D5DF8" w:rsidRPr="00DB5D0D" w14:paraId="3E5DFB69" w14:textId="77777777" w:rsidTr="009223E5">
        <w:tc>
          <w:tcPr>
            <w:tcW w:w="1951" w:type="dxa"/>
            <w:tcBorders>
              <w:bottom w:val="single" w:sz="12" w:space="0" w:color="auto"/>
            </w:tcBorders>
          </w:tcPr>
          <w:p w14:paraId="4A52BC8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8647" w:type="dxa"/>
            <w:tcBorders>
              <w:bottom w:val="single" w:sz="12" w:space="0" w:color="auto"/>
            </w:tcBorders>
          </w:tcPr>
          <w:p w14:paraId="631882C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полет для снятия скоростей по высотам с новыми всасывающими патрубками (с направляющими пластинками), новыми выхлопными патрубками, при законтренных щитках-закрылках, чтобы оценить влияние их открывания на высоте на максимальную скорость.</w:t>
            </w:r>
          </w:p>
        </w:tc>
      </w:tr>
    </w:tbl>
    <w:p w14:paraId="3682D34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испытания 14 июня 1940 года</w:t>
      </w:r>
    </w:p>
    <w:p w14:paraId="53F0D08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Начало испытаний – 15 июня 1940 года</w:t>
      </w:r>
    </w:p>
    <w:p w14:paraId="587C43D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летных дней – 10</w:t>
      </w:r>
    </w:p>
    <w:p w14:paraId="3243CB4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испытания – 27 июня 1940 года</w:t>
      </w:r>
    </w:p>
    <w:p w14:paraId="6DD933E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проведено 42 полета общей продолжительностью 16 час. 30 мин (6599).</w:t>
      </w:r>
    </w:p>
    <w:p w14:paraId="40A94D6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A0C62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по 27 июня 1940 проходили гос. испытания И-301 (65,17). Летали С.П.Супрун и В.А.Степанчонок. Выполнили 42 полета (697) продолжительностью 16 час. 30 мин (706).</w:t>
      </w:r>
    </w:p>
    <w:p w14:paraId="0828FE4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AF2430" w14:textId="77777777" w:rsidR="00153967" w:rsidRPr="00DB5D0D" w:rsidRDefault="0015396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по 27 июня 1940 г. прошли госиспытания И-301. Ведущими летчиками по И-301 назначили П.М. Стефановского и С.П. Супруна. Было выполне</w:t>
      </w:r>
      <w:r w:rsidRPr="00DB5D0D">
        <w:rPr>
          <w:rFonts w:ascii="Times New Roman" w:hAnsi="Times New Roman"/>
          <w:color w:val="000000" w:themeColor="text1"/>
          <w:sz w:val="16"/>
          <w:szCs w:val="16"/>
        </w:rPr>
        <w:softHyphen/>
        <w:t>но 42 полета общей продолжительностью 16,5 ч. Удалось до</w:t>
      </w:r>
      <w:r w:rsidRPr="00DB5D0D">
        <w:rPr>
          <w:rFonts w:ascii="Times New Roman" w:hAnsi="Times New Roman"/>
          <w:color w:val="000000" w:themeColor="text1"/>
          <w:sz w:val="16"/>
          <w:szCs w:val="16"/>
        </w:rPr>
        <w:softHyphen/>
        <w:t xml:space="preserve">стичь максимальной скорости 605 км/ч. Испытатели хвалили самолет за хорошую маневренность и простоту пилотирования, однако тут же отмечали, что нагрузки на органы управления по крену и тангажу слишком велики, самолет имеет недостаточную продольную </w:t>
      </w:r>
      <w:r w:rsidRPr="00DB5D0D">
        <w:rPr>
          <w:rFonts w:ascii="Times New Roman" w:hAnsi="Times New Roman"/>
          <w:color w:val="000000" w:themeColor="text1"/>
          <w:sz w:val="16"/>
          <w:szCs w:val="16"/>
        </w:rPr>
        <w:lastRenderedPageBreak/>
        <w:t>устойчивость, и надо сместить диапазон центровок вперед, в кабине жарко, обзор из нее плохой, система охлажде</w:t>
      </w:r>
      <w:r w:rsidRPr="00DB5D0D">
        <w:rPr>
          <w:rFonts w:ascii="Times New Roman" w:hAnsi="Times New Roman"/>
          <w:color w:val="000000" w:themeColor="text1"/>
          <w:sz w:val="16"/>
          <w:szCs w:val="16"/>
        </w:rPr>
        <w:softHyphen/>
        <w:t>ния двигателя, шасси и посадочные щитки требуют доводки. Высказывались пожелания об установке посадочной фары, ра</w:t>
      </w:r>
      <w:r w:rsidRPr="00DB5D0D">
        <w:rPr>
          <w:rFonts w:ascii="Times New Roman" w:hAnsi="Times New Roman"/>
          <w:color w:val="000000" w:themeColor="text1"/>
          <w:sz w:val="16"/>
          <w:szCs w:val="16"/>
        </w:rPr>
        <w:softHyphen/>
        <w:t>диостанции и общем облегчении конструкции планера (19106).</w:t>
      </w:r>
    </w:p>
    <w:p w14:paraId="050C02BC" w14:textId="77777777" w:rsidR="00153967" w:rsidRPr="00DB5D0D" w:rsidRDefault="00153967" w:rsidP="00DB5D0D">
      <w:pPr>
        <w:spacing w:after="0" w:line="240" w:lineRule="auto"/>
        <w:jc w:val="both"/>
        <w:rPr>
          <w:rFonts w:ascii="Times New Roman" w:hAnsi="Times New Roman"/>
          <w:color w:val="000000" w:themeColor="text1"/>
          <w:sz w:val="16"/>
          <w:szCs w:val="16"/>
        </w:rPr>
      </w:pPr>
    </w:p>
    <w:p w14:paraId="38D189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по 27 июня 1940 г. в НИИ ВВС проводились государственные испытания И-301 (4707).</w:t>
      </w:r>
    </w:p>
    <w:p w14:paraId="599DEE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Ведущими летчиками на И-301 назначили - П.М.Стефановского и С.П.Супруна. Никашин ознакомил их с особенностями техники пилотирования и выпустил в первый полет. Погода полетам благоприятствовала, серьезных отказов матчасти не произошло, и уже через четыре дня Таракановский смог подвести предварительные итоги, в частности определить максимальную скорость горизонтального полета - получилось 585 км/ч. Начальник бригады испытателей рассчитывал получить больше. Сравнительный анализ полетов И-301 с уже испытанным яковлевским И-26 показал, что изделие из Химок при том же двигателе имеет меньшую границу высотности. Причину определили быстро, опять же путем сравнения: площадь входных отверстий всасывающих патрубков И-301 оказалась меньше, чем на И-26. Доложили Лавочкину - он дал согласие на проведение доработки, прислал рабочих и материалы для изготовления новых патрубков. За ночь машину доработали, а утром Супрун 40 минут гонял ее в небе на разных режимах. Приведенная к условиям стандартной атмосферы максимальная скорость теперь составила 605 км/ ч (4707).</w:t>
      </w:r>
    </w:p>
    <w:p w14:paraId="1ACAF2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госиспытаний на И-301 выполнили 42 полета. Конечно, машина была сырой - меняли покрышки колес шасси, водорадиатор и карбюраторы, устраняли течь в системе охлаждения мотора и утечки воздуха из пневмосис-темы, но серьезных отказов, которые могли бы замедлить испытания, не было. В доработках активное участие принимала заводская бригада рабочих под руководством ведущего инженера П.Г.Питерина. Подобно И-26, И-301 госиспытания не прошел, но как И-26 по результатам госиспытаний И-301 рекомендовали к запуску в серию.</w:t>
      </w:r>
    </w:p>
    <w:p w14:paraId="76CEE1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конструкции инженеров Лавочкина, Горбунова, Гудко-ва был предъявлен на государственные испытания с недоведенным вооружением и не испытан на штопор, пикирование и высший пилотаж... На дублере (2-м экземпляре) должны быть сняты ограничения в скорости пикирования и устранены недостатки, выявленные гос испытаниями 1-го экземпляра. Считать целесообразным построить серию самолетов И-301 в количестве 25-30 экземпляров для прохождения войсковых испытаний в 1940 г. и немедленно начать подготовку к серийной постройке самолетов... Считать необходимым просить народного комиссара авиационной промышленности Шахурина о повышении внимания со стороны НКАП в деле доводки, испытания и постройки самолета И-301.</w:t>
      </w:r>
    </w:p>
    <w:p w14:paraId="799D7A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Недостатков по И-301 нашлось достаточно: жара в кабине, плохой обзор вперед и в стороны из-за некачественного остекления фонаря, перегрев воды и масла при наборе высоты (в отношении нагрева воды и масла И-301, все-таки, до И-26 было очень далеко), большие нагрузки на ручке от элеронов и руля высоты, недостаточная продольная устойчивость, предельные нагрузки на опоры шасси при взлете, замечания в отношении удобства эксплуатации истребителя на полевых аэродромах; "наличие отсутствия" посадочной фары и радиостанции (4707).</w:t>
      </w:r>
    </w:p>
    <w:p w14:paraId="296CCB6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DC42B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июня 1940 г. Г-л авиации Алексеев и бк Князев писали письмо № 519438сс ГЛАВНОМУ КОНТРОЛЕРУ КОМИТЕТА ОБОРОНЫ при с.н.к. </w:t>
      </w:r>
      <w:r w:rsidRPr="00DB5D0D">
        <w:rPr>
          <w:rFonts w:ascii="Times New Roman" w:hAnsi="Times New Roman"/>
          <w:smallCaps/>
          <w:color w:val="000000" w:themeColor="text1"/>
          <w:sz w:val="16"/>
          <w:szCs w:val="16"/>
        </w:rPr>
        <w:t xml:space="preserve">союза </w:t>
      </w:r>
      <w:r w:rsidRPr="00DB5D0D">
        <w:rPr>
          <w:rFonts w:ascii="Times New Roman" w:hAnsi="Times New Roman"/>
          <w:color w:val="000000" w:themeColor="text1"/>
          <w:sz w:val="16"/>
          <w:szCs w:val="16"/>
        </w:rPr>
        <w:t>с с р - тов. НОВИКОВУ.</w:t>
      </w:r>
    </w:p>
    <w:p w14:paraId="79C4A0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совместного решения ВВС, ГУАС, НКАП и НКВ, - завод № 1 подготовил 3 самолета И-153 с установками под синхронные пушки ШВАК, к отправке на войсковые испытания.</w:t>
      </w:r>
    </w:p>
    <w:p w14:paraId="075C2B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отправка самолетов срывается, так как Начальник ОКБ-13 тоз. ШПИТАЛЬНЫЙ отказывает</w:t>
      </w:r>
      <w:r w:rsidRPr="00DB5D0D">
        <w:rPr>
          <w:rFonts w:ascii="Times New Roman" w:hAnsi="Times New Roman"/>
          <w:color w:val="000000" w:themeColor="text1"/>
          <w:sz w:val="16"/>
          <w:szCs w:val="16"/>
        </w:rPr>
        <w:softHyphen/>
        <w:t>ся подать синхронные пушки ШВАК заводу № 1 для совместной отправки их с самолетами, под предлогом того, что он не имеет отчета по полигонным испытаниям совершенно другого самолета (И-16) с этими пушками.</w:t>
      </w:r>
    </w:p>
    <w:p w14:paraId="75F634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Указанный отчет по самолету И-16 с синхронными пушками ШВАК не утвержден Военным Сове</w:t>
      </w:r>
      <w:r w:rsidRPr="00DB5D0D">
        <w:rPr>
          <w:rFonts w:ascii="Times New Roman" w:hAnsi="Times New Roman"/>
          <w:color w:val="000000" w:themeColor="text1"/>
          <w:sz w:val="16"/>
          <w:szCs w:val="16"/>
        </w:rPr>
        <w:softHyphen/>
        <w:t>том ВВС Красной Армии и не имеет никакого отно</w:t>
      </w:r>
      <w:r w:rsidRPr="00DB5D0D">
        <w:rPr>
          <w:rFonts w:ascii="Times New Roman" w:hAnsi="Times New Roman"/>
          <w:color w:val="000000" w:themeColor="text1"/>
          <w:sz w:val="16"/>
          <w:szCs w:val="16"/>
        </w:rPr>
        <w:softHyphen/>
        <w:t>шения к войсковым испытаниям самолетов И-153.</w:t>
      </w:r>
    </w:p>
    <w:p w14:paraId="013FE1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вмешательства (10493,264).</w:t>
      </w:r>
    </w:p>
    <w:p w14:paraId="0AC952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8624F3B" w14:textId="77777777" w:rsidR="00184BB3" w:rsidRPr="00DB5D0D" w:rsidRDefault="00184BB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летчик-испытатель А.П.Чернавский впервые поднял машину И-135 в воздух. Первые полеты выполнялись с целью отработки ВМГ (проверка работы ТК-2, подбор маслорадиаторов и др.) (15578).</w:t>
      </w:r>
    </w:p>
    <w:p w14:paraId="1E866955" w14:textId="77777777" w:rsidR="00184BB3" w:rsidRPr="00DB5D0D" w:rsidRDefault="00184BB3" w:rsidP="00DB5D0D">
      <w:pPr>
        <w:spacing w:after="0" w:line="240" w:lineRule="auto"/>
        <w:jc w:val="both"/>
        <w:rPr>
          <w:rFonts w:ascii="Times New Roman" w:hAnsi="Times New Roman"/>
          <w:color w:val="000000" w:themeColor="text1"/>
          <w:sz w:val="16"/>
          <w:szCs w:val="16"/>
        </w:rPr>
      </w:pPr>
    </w:p>
    <w:p w14:paraId="2583AA69" w14:textId="77777777" w:rsidR="00153967" w:rsidRPr="00DB5D0D" w:rsidRDefault="0015396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 первый опытный экземпляр И-135 совер</w:t>
      </w:r>
      <w:r w:rsidRPr="00DB5D0D">
        <w:rPr>
          <w:rFonts w:ascii="Times New Roman" w:hAnsi="Times New Roman"/>
          <w:color w:val="000000" w:themeColor="text1"/>
          <w:sz w:val="16"/>
          <w:szCs w:val="16"/>
        </w:rPr>
        <w:softHyphen/>
        <w:t>шил первый вылет на аэродроме ЛИИ в Раменском под управлением летчика-ис- пытателя А.П. Чернавского. Машина была оборудована ТК-2, что потребовало отра</w:t>
      </w:r>
      <w:r w:rsidRPr="00DB5D0D">
        <w:rPr>
          <w:rFonts w:ascii="Times New Roman" w:hAnsi="Times New Roman"/>
          <w:color w:val="000000" w:themeColor="text1"/>
          <w:sz w:val="16"/>
          <w:szCs w:val="16"/>
        </w:rPr>
        <w:softHyphen/>
        <w:t>ботки ВМГ в воздухе и доводок (подбора радиаторов и др.). Однако 3 августа са</w:t>
      </w:r>
      <w:r w:rsidRPr="00DB5D0D">
        <w:rPr>
          <w:rFonts w:ascii="Times New Roman" w:hAnsi="Times New Roman"/>
          <w:color w:val="000000" w:themeColor="text1"/>
          <w:sz w:val="16"/>
          <w:szCs w:val="16"/>
        </w:rPr>
        <w:softHyphen/>
        <w:t>молет также потерпел серьезную поломку (Чернавский по ошибке совершил по</w:t>
      </w:r>
      <w:r w:rsidRPr="00DB5D0D">
        <w:rPr>
          <w:rFonts w:ascii="Times New Roman" w:hAnsi="Times New Roman"/>
          <w:color w:val="000000" w:themeColor="text1"/>
          <w:sz w:val="16"/>
          <w:szCs w:val="16"/>
        </w:rPr>
        <w:softHyphen/>
        <w:t>садку с убранным шасси) и убыл на завод для ремонта (19734).</w:t>
      </w:r>
    </w:p>
    <w:p w14:paraId="472D5164" w14:textId="77777777" w:rsidR="00153967" w:rsidRPr="00DB5D0D" w:rsidRDefault="00153967" w:rsidP="00DB5D0D">
      <w:pPr>
        <w:spacing w:after="0" w:line="240" w:lineRule="auto"/>
        <w:jc w:val="both"/>
        <w:rPr>
          <w:rFonts w:ascii="Times New Roman" w:hAnsi="Times New Roman"/>
          <w:color w:val="000000" w:themeColor="text1"/>
          <w:sz w:val="16"/>
          <w:szCs w:val="16"/>
        </w:rPr>
      </w:pPr>
    </w:p>
    <w:p w14:paraId="30983B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июня по 2 октября 1940 в лаборатории № 8 ЦАГИ проходили испытания с-та И-135 М-105П 2ТК-2 конструкции т.Сухого П.О. производства з-да № 135.</w:t>
      </w:r>
    </w:p>
    <w:p w14:paraId="5B3347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Было произведено 33 полета, самолет пробыл в воздухе 7,5 час.</w:t>
      </w:r>
    </w:p>
    <w:p w14:paraId="594541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 посадка и движение самолета по земле устойчивы, тенденции к разворотам и рысканью не наблюдалось при разном открытии щитков (от 0° до 55°).</w:t>
      </w:r>
    </w:p>
    <w:p w14:paraId="50F57E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предварительной (качественной) оценке летчиков т.т. Черняв</w:t>
      </w:r>
      <w:r w:rsidRPr="00DB5D0D">
        <w:rPr>
          <w:rFonts w:ascii="Times New Roman" w:hAnsi="Times New Roman"/>
          <w:color w:val="000000" w:themeColor="text1"/>
          <w:sz w:val="16"/>
          <w:szCs w:val="16"/>
        </w:rPr>
        <w:softHyphen/>
        <w:t>ского и Попельнушенко самолет устойчив по всем трем осям, приятен и прост в управлении. Несколько великоваты усилия на ручке управления от рулем высоты.</w:t>
      </w:r>
    </w:p>
    <w:p w14:paraId="751479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Вибрации типа бафтинг и флаттер на самолете отсутствуют. Испы</w:t>
      </w:r>
      <w:r w:rsidRPr="00DB5D0D">
        <w:rPr>
          <w:rFonts w:ascii="Times New Roman" w:hAnsi="Times New Roman"/>
          <w:color w:val="000000" w:themeColor="text1"/>
          <w:sz w:val="16"/>
          <w:szCs w:val="16"/>
        </w:rPr>
        <w:softHyphen/>
        <w:t>тания проводились в диапазоне скоростей от 150 км/час. до 600 км/ час. по прибору.</w:t>
      </w:r>
    </w:p>
    <w:p w14:paraId="2D8752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Винто-мторная группа и шасси нуждаются в дальнейшей доводке (были случаи затирания и невыпуска шасси в воздухе гидропомпой, установленной на моторе).</w:t>
      </w:r>
    </w:p>
    <w:p w14:paraId="3B6BB7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аварией мотора испытания самолета с 2/Х-40 г. прекращены и последний отправлен на з-д №- 289 для смены мотора, установки вооружения и устранения выявленных при испытании дефектов.</w:t>
      </w:r>
    </w:p>
    <w:p w14:paraId="2E7B9B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испытании самолет находился 85 дней на устра</w:t>
      </w:r>
      <w:r w:rsidRPr="00DB5D0D">
        <w:rPr>
          <w:rFonts w:ascii="Times New Roman" w:hAnsi="Times New Roman"/>
          <w:color w:val="000000" w:themeColor="text1"/>
          <w:sz w:val="16"/>
          <w:szCs w:val="16"/>
        </w:rPr>
        <w:softHyphen/>
        <w:t>нении дефектов и в ремонте после 1-й аварии (874,75).</w:t>
      </w:r>
    </w:p>
    <w:p w14:paraId="570C0A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4064C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П.О.С. передал на заводские испытания И-135 с М-105П (2090,133).</w:t>
      </w:r>
    </w:p>
    <w:p w14:paraId="00BF623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27F7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 летчик А.П.Чернавский на истребителе П.О.С. И-135 совершел первый вылет, и до 15 июля состоялось четыре полета. Заводские испытания и доводку самолета уже полностью обеспечивали специалисты вновь созданного ОКБ П.О.Сухого (6406).</w:t>
      </w:r>
    </w:p>
    <w:p w14:paraId="1D4BFED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7B84A7" w14:textId="77777777" w:rsidR="00153967" w:rsidRPr="00DB5D0D" w:rsidRDefault="0015396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 первый опытный экземпляр И-135 совер</w:t>
      </w:r>
      <w:r w:rsidRPr="00DB5D0D">
        <w:rPr>
          <w:rFonts w:ascii="Times New Roman" w:hAnsi="Times New Roman"/>
          <w:color w:val="000000" w:themeColor="text1"/>
          <w:sz w:val="16"/>
          <w:szCs w:val="16"/>
        </w:rPr>
        <w:softHyphen/>
        <w:t>шил первый вылет на аэродроме ЛИИ в Раменском под управлением летчика-ис- пытателя А.П. Чернавского. Машина была оборудована ТК-2, что потребовало отра</w:t>
      </w:r>
      <w:r w:rsidRPr="00DB5D0D">
        <w:rPr>
          <w:rFonts w:ascii="Times New Roman" w:hAnsi="Times New Roman"/>
          <w:color w:val="000000" w:themeColor="text1"/>
          <w:sz w:val="16"/>
          <w:szCs w:val="16"/>
        </w:rPr>
        <w:softHyphen/>
        <w:t>ботки ВМГ в воздухе и доводок (подбора радиаторов и др.). Однако 3 августа са</w:t>
      </w:r>
      <w:r w:rsidRPr="00DB5D0D">
        <w:rPr>
          <w:rFonts w:ascii="Times New Roman" w:hAnsi="Times New Roman"/>
          <w:color w:val="000000" w:themeColor="text1"/>
          <w:sz w:val="16"/>
          <w:szCs w:val="16"/>
        </w:rPr>
        <w:softHyphen/>
        <w:t>молет также потерпел серьезную поломку (Чернавский по ошибке совершил по</w:t>
      </w:r>
      <w:r w:rsidRPr="00DB5D0D">
        <w:rPr>
          <w:rFonts w:ascii="Times New Roman" w:hAnsi="Times New Roman"/>
          <w:color w:val="000000" w:themeColor="text1"/>
          <w:sz w:val="16"/>
          <w:szCs w:val="16"/>
        </w:rPr>
        <w:softHyphen/>
        <w:t>садку с убранным шасси) и убыл на завод для ремонта (19734).</w:t>
      </w:r>
    </w:p>
    <w:p w14:paraId="289C9D49" w14:textId="77777777" w:rsidR="00153967" w:rsidRPr="00DB5D0D" w:rsidRDefault="00153967" w:rsidP="00DB5D0D">
      <w:pPr>
        <w:spacing w:after="0" w:line="240" w:lineRule="auto"/>
        <w:jc w:val="both"/>
        <w:rPr>
          <w:rFonts w:ascii="Times New Roman" w:hAnsi="Times New Roman"/>
          <w:color w:val="000000" w:themeColor="text1"/>
          <w:sz w:val="16"/>
          <w:szCs w:val="16"/>
        </w:rPr>
      </w:pPr>
    </w:p>
    <w:p w14:paraId="1B4AD0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летчик-испытатель А.П.Чернавский впервые поднял машину в воздух. 11 июня 1940 года проверил поведение самоле</w:t>
      </w:r>
      <w:r w:rsidRPr="00DB5D0D">
        <w:rPr>
          <w:rFonts w:ascii="Times New Roman" w:hAnsi="Times New Roman"/>
          <w:color w:val="000000" w:themeColor="text1"/>
          <w:sz w:val="16"/>
          <w:szCs w:val="16"/>
        </w:rPr>
        <w:softHyphen/>
        <w:t>та И-135 на рулении и выполнил скорос</w:t>
      </w:r>
      <w:r w:rsidRPr="00DB5D0D">
        <w:rPr>
          <w:rFonts w:ascii="Times New Roman" w:hAnsi="Times New Roman"/>
          <w:color w:val="000000" w:themeColor="text1"/>
          <w:sz w:val="16"/>
          <w:szCs w:val="16"/>
        </w:rPr>
        <w:softHyphen/>
        <w:t>тные пробежки. В начале июня 1940 самолет И-135 по железной дороге доставили в Раменское для проведения заводских летных испытаний. Первые полеты выполнялись с це</w:t>
      </w:r>
      <w:r w:rsidRPr="00DB5D0D">
        <w:rPr>
          <w:rFonts w:ascii="Times New Roman" w:hAnsi="Times New Roman"/>
          <w:color w:val="000000" w:themeColor="text1"/>
          <w:sz w:val="16"/>
          <w:szCs w:val="16"/>
        </w:rPr>
        <w:softHyphen/>
        <w:t>лью отработки ВМГ (проверка ра</w:t>
      </w:r>
      <w:r w:rsidRPr="00DB5D0D">
        <w:rPr>
          <w:rFonts w:ascii="Times New Roman" w:hAnsi="Times New Roman"/>
          <w:color w:val="000000" w:themeColor="text1"/>
          <w:sz w:val="16"/>
          <w:szCs w:val="16"/>
        </w:rPr>
        <w:softHyphen/>
        <w:t>боты ТК-2, подбор маслорадиаторов и др.) (11847).</w:t>
      </w:r>
    </w:p>
    <w:p w14:paraId="202287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7B60C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15 июня 1940 на 47 з-де были построены два экз. модифицированного УТ-1 с пулеметами. Ви Л.И.Лис - прошли заводские испытания и отправились на з-д № 115 для передачи на гос. испытания (7526, 11).</w:t>
      </w:r>
    </w:p>
    <w:p w14:paraId="4E1213E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6918B50"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На 15 июня 1940 "Аэрофлот" принял уже 23 самолета БШ-1, но летать могли не все. Простоявшие два года под открытым небом машины нуждались в ремонте. Из-за этого и из-за нехватки двигателей в конце 1940 г. 16 ПС-43 пришлось законсервировать. Тем не менее в конце 1940 - начале 1941 годов ПС-43 стали поступать в различные управления ГВФ. В частности, они эксплуатировались на авиалиниях Москва-Киев, Москва-Ташкент и Киев-Одесса. </w:t>
      </w:r>
    </w:p>
    <w:p w14:paraId="389A371B"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Гражданские летчики приняли машину хорошо, вполне одобряя удобную кабину с продуманным размещением приборов, относительно надежные механизмы уборки и выпуска шасси. Появилось предложение переделать часть ПС-43 в пассажирские на шесть мест. </w:t>
      </w:r>
    </w:p>
    <w:p w14:paraId="0F40E5BF"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 началом Великой Отечественной войны ПС-43 вместе с другими самолетами "Аэрофлота" привлекли к военно-транспортным перевозкам. С 25 июня 1941 г. начали формировать особые авиагруппы и отряды, придававшиеся фронтам и флотам. Первые два ПС-43, принадлежавшие ранее Украинскому управлению ГВФ, вошли в состав Киевской авиагруппы. К 1 июля они уже были потеряны, но группа получила третью машину. </w:t>
      </w:r>
    </w:p>
    <w:p w14:paraId="47BA892F"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Один ПС-43 непонятным образом оказался в 69-м истребительном полку, действовавшем под Одессой. Его включили в созданную в полку нештатную штурмовую эскадрилью. Как и чем вооружили этот самолет -неизвестно. Он действовал совместно с четырьмя Ил-2, одним Р-5 и бывшим югославским бомбардировщиком "Савойя" S.79. </w:t>
      </w:r>
    </w:p>
    <w:p w14:paraId="5A2D9DC6"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При эвакуации из Одессы в октябре 1941 г. машину перегнали в Крым, но на посадке произошла авария. Пилот майор Рыкачев и пассажиры не пострадали, а самолет пришлось списать (11470).</w:t>
      </w:r>
    </w:p>
    <w:p w14:paraId="230A9CA2"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6927B550" w14:textId="77777777" w:rsidR="00153967" w:rsidRPr="00DB5D0D" w:rsidRDefault="00153967" w:rsidP="00DB5D0D">
      <w:pPr>
        <w:pStyle w:val="rtejustify"/>
        <w:shd w:val="clear" w:color="auto" w:fill="FFFFFF"/>
        <w:spacing w:before="0" w:after="0"/>
        <w:rPr>
          <w:color w:val="000000" w:themeColor="text1"/>
          <w:sz w:val="16"/>
          <w:szCs w:val="16"/>
        </w:rPr>
      </w:pPr>
      <w:r w:rsidRPr="00DB5D0D">
        <w:rPr>
          <w:color w:val="000000" w:themeColor="text1"/>
          <w:sz w:val="16"/>
          <w:szCs w:val="16"/>
        </w:rPr>
        <w:lastRenderedPageBreak/>
        <w:t>На 15 июня 1940 «Аэро</w:t>
      </w:r>
      <w:r w:rsidRPr="00DB5D0D">
        <w:rPr>
          <w:color w:val="000000" w:themeColor="text1"/>
          <w:sz w:val="16"/>
          <w:szCs w:val="16"/>
        </w:rPr>
        <w:softHyphen/>
        <w:t>флот» принял уже 23 самолета ПС-43, но летать могли не все. Простоявшие два года под открытым небом машины нуждались в ремонте. Из-за этого и из-за нехватки двигателей в конце 1940 г. 16 ПС-43 пришлось законсервировать. Тем не менее в конце 1940 – начале 1941 годов ПС-43 стали поступать в различные управления ГВФ. В частности, они эксплуатировались на авиалиниях Москва – Киев, Москва – Ташкент и Киев – Одесса.</w:t>
      </w:r>
    </w:p>
    <w:p w14:paraId="33639C53" w14:textId="77777777" w:rsidR="00153967" w:rsidRPr="00DB5D0D" w:rsidRDefault="00153967" w:rsidP="00DB5D0D">
      <w:pPr>
        <w:pStyle w:val="rtejustify"/>
        <w:shd w:val="clear" w:color="auto" w:fill="FFFFFF"/>
        <w:spacing w:before="0" w:after="0"/>
        <w:rPr>
          <w:color w:val="000000" w:themeColor="text1"/>
          <w:sz w:val="16"/>
          <w:szCs w:val="16"/>
        </w:rPr>
      </w:pPr>
      <w:r w:rsidRPr="00DB5D0D">
        <w:rPr>
          <w:color w:val="000000" w:themeColor="text1"/>
          <w:sz w:val="16"/>
          <w:szCs w:val="16"/>
        </w:rPr>
        <w:t>Гражданские летчики приняли машину хорошо, вполне одобряя удобную кабину с продуманным размещением приборов, относительно надежные механизмы уборки и выпуска шасси. Появилось предложение переделать часть ПС-43 в пассажирские на шесть мест.</w:t>
      </w:r>
    </w:p>
    <w:p w14:paraId="0F70E2F6" w14:textId="77777777" w:rsidR="00153967" w:rsidRPr="00DB5D0D" w:rsidRDefault="00153967" w:rsidP="00DB5D0D">
      <w:pPr>
        <w:pStyle w:val="rtejustify"/>
        <w:shd w:val="clear" w:color="auto" w:fill="FFFFFF"/>
        <w:spacing w:before="0" w:after="0"/>
        <w:rPr>
          <w:color w:val="000000" w:themeColor="text1"/>
          <w:sz w:val="16"/>
          <w:szCs w:val="16"/>
        </w:rPr>
      </w:pPr>
      <w:r w:rsidRPr="00DB5D0D">
        <w:rPr>
          <w:color w:val="000000" w:themeColor="text1"/>
          <w:sz w:val="16"/>
          <w:szCs w:val="16"/>
        </w:rPr>
        <w:t>В 1940 г. машина прошла испытания в НИИ ГВФ, на ней летал А. А. Колосов (19199).</w:t>
      </w:r>
    </w:p>
    <w:p w14:paraId="78BFC3CA" w14:textId="77777777" w:rsidR="00153967" w:rsidRPr="00DB5D0D" w:rsidRDefault="00153967" w:rsidP="00DB5D0D">
      <w:pPr>
        <w:shd w:val="clear" w:color="auto" w:fill="FFFFFF"/>
        <w:spacing w:after="0" w:line="240" w:lineRule="auto"/>
        <w:jc w:val="both"/>
        <w:textAlignment w:val="baseline"/>
        <w:rPr>
          <w:rFonts w:ascii="Times New Roman" w:hAnsi="Times New Roman"/>
          <w:color w:val="000000" w:themeColor="text1"/>
          <w:sz w:val="16"/>
          <w:szCs w:val="16"/>
        </w:rPr>
      </w:pPr>
    </w:p>
    <w:p w14:paraId="6FC727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Протокол № 17. Решения ПБ за 27 мая - 23 нюня 1940 г.</w:t>
      </w:r>
    </w:p>
    <w:p w14:paraId="4632E6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29.5.40 г.</w:t>
      </w:r>
    </w:p>
    <w:p w14:paraId="29B385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28. Вопрос КО. О производстве самолетов и бомбардировщиков*.</w:t>
      </w:r>
    </w:p>
    <w:p w14:paraId="670D20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04. 6. 40 г.</w:t>
      </w:r>
    </w:p>
    <w:p w14:paraId="7DAB80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95. Вопрос КО. О ближнем бомбардировщике*.</w:t>
      </w:r>
    </w:p>
    <w:p w14:paraId="377D52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100. Вопрос КО. О проектировании и изготовлении опытных образцов танков*.</w:t>
      </w:r>
    </w:p>
    <w:p w14:paraId="5DCCE2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106. Об экранировании машин Т-28 (постановление СНК СССР и ЦК ВКП (б))*.</w:t>
      </w:r>
    </w:p>
    <w:p w14:paraId="182564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107. О производстве танков Т-34 в 1940 г. (постановление СНК СССР и ЦК ВКП (б)*.</w:t>
      </w:r>
    </w:p>
    <w:p w14:paraId="6D7A67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108. О производстве танков KB (постановление СНК СССР и ЦК ВКП (б)*.</w:t>
      </w:r>
    </w:p>
    <w:p w14:paraId="0BE2BF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125. Вопрос КО. Об организации производства пистолетов-пулеметов «ППД»*.</w:t>
      </w:r>
    </w:p>
    <w:p w14:paraId="14CDC5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175. О тракторах и грузовиках для НКО.</w:t>
      </w:r>
    </w:p>
    <w:p w14:paraId="351E54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15.6.40 г.</w:t>
      </w:r>
    </w:p>
    <w:p w14:paraId="67AD06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184. Вопросы КО. О постройке новых авиационных моторов*.</w:t>
      </w:r>
    </w:p>
    <w:p w14:paraId="73D987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19.6.40 г.</w:t>
      </w:r>
    </w:p>
    <w:p w14:paraId="7B1D29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197. Об организации производства танков типа «KB» на Челябинском тракторном заводе</w:t>
      </w:r>
    </w:p>
    <w:p w14:paraId="28C167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 Сталина (постановление СНК СССР и ЦК ВКП (б))*.</w:t>
      </w:r>
    </w:p>
    <w:p w14:paraId="1EBC10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198. Об обеспечении производства танков «KB» на Челябинском тракторном заводе бронекорпусами и башнями (постановление СНК СССР и ЦК ВКП (б)).</w:t>
      </w:r>
    </w:p>
    <w:p w14:paraId="2FE1AE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22.6.40 г.</w:t>
      </w:r>
    </w:p>
    <w:p w14:paraId="7FEF9D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228. О внедрении в серийное производство «100» в варианте пикирующего бомбардировщика*.</w:t>
      </w:r>
    </w:p>
    <w:p w14:paraId="268736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245. Вопрос НКО. О принятии пушек от фирмы «Шкода» (11773).</w:t>
      </w:r>
    </w:p>
    <w:p w14:paraId="2C3AB862"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63C058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 постановление № 263сс КО</w:t>
      </w:r>
    </w:p>
    <w:p w14:paraId="65222C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постройке новых опытных авиамоторов на заводе № 29 НКАП</w:t>
      </w:r>
    </w:p>
    <w:p w14:paraId="6B0BBD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дополнение к постановлению ЦК ВКП(б) и СНК за № 1514-348сс от 20 сентября 1939 года, КО постановляет:</w:t>
      </w:r>
    </w:p>
    <w:p w14:paraId="3C8303E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директора завода № 29 Громова и гл. конструктора Туманского:</w:t>
      </w:r>
    </w:p>
    <w:p w14:paraId="093942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обеспечить изготовление и доводку мотора М-89 в виде двухрядной 14-ти цилиндровой звезды воздушного охлаждения со следующими тактико-техническими данными:</w:t>
      </w:r>
    </w:p>
    <w:p w14:paraId="74B27E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 1300 л.с.</w:t>
      </w:r>
    </w:p>
    <w:p w14:paraId="7E9AF4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на расчетной высоте – 1150 л.с.</w:t>
      </w:r>
    </w:p>
    <w:p w14:paraId="19AB06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p w14:paraId="512AAC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октановое число топлива не выше – 95</w:t>
      </w:r>
    </w:p>
    <w:p w14:paraId="6D2E4B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провести 50-часовые совместные (НКО и НКАП) испытания мотора М-89 к 1 декабря 1940 года;</w:t>
      </w:r>
    </w:p>
    <w:p w14:paraId="241EB5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провести госиспытания мотора М-89 к 1 марта 1941 года (7611, 90).</w:t>
      </w:r>
    </w:p>
    <w:p w14:paraId="492EEB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Отпустить из резервного фонда СНК под отчет в распоряжение НКАП для премирования ИТР, рабочих и служащих завода № 29 в соответствии с Положением о премировании 2 млн.</w:t>
      </w:r>
    </w:p>
    <w:p w14:paraId="28099C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представить отчет об израсходовании премиальных сумм в КО к 20 января 1941 г. (10395).</w:t>
      </w:r>
    </w:p>
    <w:p w14:paraId="13D0F17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CB19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вышло постановление КО N 263с "О постройке новых опытных авиамоторов на заводе 29".</w:t>
      </w:r>
    </w:p>
    <w:p w14:paraId="779B25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0883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 появилось постановление Комитета обороны, предписы</w:t>
      </w:r>
      <w:r w:rsidRPr="00DB5D0D">
        <w:rPr>
          <w:rFonts w:ascii="Times New Roman" w:hAnsi="Times New Roman"/>
          <w:color w:val="000000" w:themeColor="text1"/>
          <w:sz w:val="16"/>
          <w:szCs w:val="16"/>
        </w:rPr>
        <w:softHyphen/>
        <w:t>вавшее представить двигатель на госиспытания к 1 марта 1941 г.</w:t>
      </w:r>
    </w:p>
    <w:p w14:paraId="5F9B35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Первые пять опытных экземпляров М-89 собрали еще в первом квар</w:t>
      </w:r>
      <w:r w:rsidRPr="00DB5D0D">
        <w:rPr>
          <w:rFonts w:ascii="Times New Roman" w:hAnsi="Times New Roman"/>
          <w:color w:val="000000" w:themeColor="text1"/>
          <w:sz w:val="16"/>
          <w:szCs w:val="16"/>
        </w:rPr>
        <w:softHyphen/>
        <w:t>тале 1941 г. В процессе доводки за счет повышения степени сжатия уда</w:t>
      </w:r>
      <w:r w:rsidRPr="00DB5D0D">
        <w:rPr>
          <w:rFonts w:ascii="Times New Roman" w:hAnsi="Times New Roman"/>
          <w:color w:val="000000" w:themeColor="text1"/>
          <w:sz w:val="16"/>
          <w:szCs w:val="16"/>
        </w:rPr>
        <w:softHyphen/>
        <w:t>лось существенно поднять мощность двигателя. Если у М-88А максималь</w:t>
      </w:r>
      <w:r w:rsidRPr="00DB5D0D">
        <w:rPr>
          <w:rFonts w:ascii="Times New Roman" w:hAnsi="Times New Roman"/>
          <w:color w:val="000000" w:themeColor="text1"/>
          <w:sz w:val="16"/>
          <w:szCs w:val="16"/>
        </w:rPr>
        <w:softHyphen/>
        <w:t>ная мощность составляла 1100 л.с., то у модернизированного М-89 — 1550 л.с. В июне 1941 г. модернизированный М-89 прошел 50-часовые испытания. В это время завод уже начал производство первой серии таких двигателей. Несмотря на эвакуацию завода в связи с подходом немецких войск в августе 1941 г., выпуск М-89 продолжался на новой площадке в Омске. До конца года собрали 107 двигателей. Но затем недостаточно доведенным М-89 решили пожертвовать для увеличения выпуска основной продукции завода — моторов М-88Б.</w:t>
      </w:r>
    </w:p>
    <w:p w14:paraId="6062FE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М-89 стал не последним 14-цилиндровым потомком двигателя Гном-Рон 14К, созданным в Советском Союзе. В эвакуации Урмин работал над дви</w:t>
      </w:r>
      <w:r w:rsidRPr="00DB5D0D">
        <w:rPr>
          <w:rFonts w:ascii="Times New Roman" w:hAnsi="Times New Roman"/>
          <w:color w:val="000000" w:themeColor="text1"/>
          <w:sz w:val="16"/>
          <w:szCs w:val="16"/>
        </w:rPr>
        <w:softHyphen/>
        <w:t>гателем ЗМ на базе М-89. Но дальше опытных образцов дело не пошло.</w:t>
      </w:r>
    </w:p>
    <w:p w14:paraId="50D5D3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Несколько дольше развивалась побочная линия, не имевшая непосред</w:t>
      </w:r>
      <w:r w:rsidRPr="00DB5D0D">
        <w:rPr>
          <w:rFonts w:ascii="Times New Roman" w:hAnsi="Times New Roman"/>
          <w:color w:val="000000" w:themeColor="text1"/>
          <w:sz w:val="16"/>
          <w:szCs w:val="16"/>
        </w:rPr>
        <w:softHyphen/>
        <w:t>ственного французского прародителя. Речь идет о 18-цилиндровых мо</w:t>
      </w:r>
      <w:r w:rsidRPr="00DB5D0D">
        <w:rPr>
          <w:rFonts w:ascii="Times New Roman" w:hAnsi="Times New Roman"/>
          <w:color w:val="000000" w:themeColor="text1"/>
          <w:sz w:val="16"/>
          <w:szCs w:val="16"/>
        </w:rPr>
        <w:softHyphen/>
        <w:t>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такого двигателя включи</w:t>
      </w:r>
      <w:r w:rsidRPr="00DB5D0D">
        <w:rPr>
          <w:rFonts w:ascii="Times New Roman" w:hAnsi="Times New Roman"/>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DB5D0D">
        <w:rPr>
          <w:rFonts w:ascii="Times New Roman" w:hAnsi="Times New Roman"/>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DB5D0D">
        <w:rPr>
          <w:rFonts w:ascii="Times New Roman" w:hAnsi="Times New Roman"/>
          <w:color w:val="000000" w:themeColor="text1"/>
          <w:sz w:val="16"/>
          <w:szCs w:val="16"/>
        </w:rPr>
        <w:softHyphen/>
        <w:t>циальных сертификационных испытаний (11852).</w:t>
      </w:r>
    </w:p>
    <w:p w14:paraId="361A8F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3F726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 постановление № 264сс КО</w:t>
      </w:r>
    </w:p>
    <w:p w14:paraId="2B9C47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проектировании нового мотора на заводе № 27 НКАП</w:t>
      </w:r>
    </w:p>
    <w:p w14:paraId="257A91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6A32B7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директора завода № 27 Михайлова и гл. конструктора Ро спроектировать к 1 октября 1940 года 24-цилиндровый "Н"-образный мотор М-130 жидкостного охлаждения со следующими тактико-техническими данными:</w:t>
      </w:r>
    </w:p>
    <w:p w14:paraId="36AC9D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 2500 л.с.</w:t>
      </w:r>
    </w:p>
    <w:p w14:paraId="173107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на расчетной высоте –2300 л.с.</w:t>
      </w:r>
    </w:p>
    <w:p w14:paraId="4EE810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p w14:paraId="37BDBC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мотора не более – 1100 кг</w:t>
      </w:r>
    </w:p>
    <w:p w14:paraId="04F001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октановое число топлива не выше – 95 (7611, 91).</w:t>
      </w:r>
    </w:p>
    <w:p w14:paraId="066C8F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Отпустить из резервного фонда СНК под отчет в распоряжение НКАП для премирования конструкторов завода № 27 за изготовления проекта мотора М-130 в соответствии с Положением о премировании 200 тыс. руб.</w:t>
      </w:r>
    </w:p>
    <w:p w14:paraId="0DDC25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представить отчет об израсходовании премиальных сумм в КО к 20 января 1941 г. (10395).</w:t>
      </w:r>
    </w:p>
    <w:p w14:paraId="518D709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2481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вышло постановление КО N 264с "О проектировании нового мотора на заводе 27".</w:t>
      </w:r>
    </w:p>
    <w:p w14:paraId="259A639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EAFA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ви1р Фофанов подготовил для КОМИТЕТА ОБОРОНЫ ПРИ СНК СССР (вход КО № 8122 от 6 сентября 1940)</w:t>
      </w:r>
    </w:p>
    <w:p w14:paraId="07A698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по предложениям тов. Гроховского</w:t>
      </w:r>
    </w:p>
    <w:p w14:paraId="1D3335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Снаряды, предлагаемые тов. ГРОХОВСКИМ, по идее не являются новыми, подобные 'снаряды интересовали многих исследователей и изобретателей. В СССР изучением подобных скарядов занимался, например, известный артиллерист В.И. ТРОФИМОВ. Однако, будучи сложными в производстве, такие снаряды при некоторое выигрыше в дальности, дава</w:t>
      </w:r>
      <w:r w:rsidRPr="00DB5D0D">
        <w:rPr>
          <w:rFonts w:ascii="Times New Roman" w:hAnsi="Times New Roman"/>
          <w:color w:val="000000" w:themeColor="text1"/>
          <w:sz w:val="16"/>
          <w:szCs w:val="16"/>
        </w:rPr>
        <w:softHyphen/>
        <w:t>ли плохую кучность.</w:t>
      </w:r>
    </w:p>
    <w:p w14:paraId="5086A2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тов. ГРОХОВСКОГО представляет собой литшь общую схему. Из материала не видно, как она должна быть конструктивно оформлена, каково назначение снаряда. Без этих конкретных данных вопрос о выгодах такого снаряда решать трудно.</w:t>
      </w:r>
    </w:p>
    <w:p w14:paraId="581477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поводу этой схемы можно сказать следующее:</w:t>
      </w:r>
    </w:p>
    <w:p w14:paraId="24446D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Конструкция такого снаряда должна быть очень сдожной</w:t>
      </w:r>
      <w:r w:rsidRPr="00DB5D0D">
        <w:rPr>
          <w:rFonts w:ascii="Times New Roman" w:hAnsi="Times New Roman"/>
          <w:smallCaps/>
          <w:color w:val="000000" w:themeColor="text1"/>
          <w:sz w:val="16"/>
          <w:szCs w:val="16"/>
        </w:rPr>
        <w:t xml:space="preserve">, </w:t>
      </w:r>
      <w:r w:rsidRPr="00DB5D0D">
        <w:rPr>
          <w:rFonts w:ascii="Times New Roman" w:hAnsi="Times New Roman"/>
          <w:color w:val="000000" w:themeColor="text1"/>
          <w:sz w:val="16"/>
          <w:szCs w:val="16"/>
        </w:rPr>
        <w:t>а следовательно, и изготовление трудным и дорогим.</w:t>
      </w:r>
    </w:p>
    <w:p w14:paraId="701D4D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Хотя дальность такого снаряда будет несколько больше, однако едва ли можно добиться удовлетворительной кучности, благодаря тому, что стабилизацию такого снаряда осуществить трудно.</w:t>
      </w:r>
    </w:p>
    <w:p w14:paraId="2F391E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Форма такого снаряда повлечет за собой уменьшение емкости снаряда и, следовательно, для такого снаряда характерным будут меньший процент наполнения.</w:t>
      </w:r>
    </w:p>
    <w:p w14:paraId="3D65CA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Поддон будет являться лишним весом, на который придется расчитывать заряд. Кроме того, удлиненная часть снаряда вместе с поддоном потребует увеличения каморы. Все это вместе повлечет за собой утяжелэние орудия.</w:t>
      </w:r>
    </w:p>
    <w:p w14:paraId="05097E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Усложнится и вопрос эксплоатации и хранения.</w:t>
      </w:r>
    </w:p>
    <w:p w14:paraId="58404A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Разрабатывать снаряд в том виде, в каком он прздложенавтором, в настоящее время, считаю нецелесообразным (10516,23).</w:t>
      </w:r>
    </w:p>
    <w:p w14:paraId="3585AF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83F726B"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15 июня 1940 года в аэроклубах ОАХ было 3.710 самолетов (ГАРФ. Ф.Р – 8355. Оп. 6. Д. 65. Л. 40.). В 1930 году у ОАХ не было самолетов, в 1931 году их было 103, в 1932 году – 281 самолет, в 1933 году – 388. В 1934 году их число удвоилось и составило 747 самолетов, в 1935 году – 1004 (ГАРФ. Ф.Р – 8355. Оп. 6. Д. 16. Л. 154.) (21402).</w:t>
      </w:r>
    </w:p>
    <w:p w14:paraId="4515613E" w14:textId="77777777" w:rsidR="00F40BC0" w:rsidRPr="00DB5D0D" w:rsidRDefault="00F40BC0" w:rsidP="00DB5D0D">
      <w:pPr>
        <w:spacing w:after="0" w:line="240" w:lineRule="auto"/>
        <w:jc w:val="both"/>
        <w:rPr>
          <w:rFonts w:ascii="Times New Roman" w:hAnsi="Times New Roman"/>
          <w:color w:val="0070C0"/>
          <w:sz w:val="16"/>
          <w:szCs w:val="16"/>
        </w:rPr>
      </w:pPr>
    </w:p>
    <w:p w14:paraId="64A2BF5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2943AE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BA5CF19" w14:textId="77777777" w:rsidR="00A25AD1" w:rsidRPr="00DB5D0D" w:rsidRDefault="00A25AD1" w:rsidP="00DB5D0D">
      <w:pPr>
        <w:pStyle w:val="a3"/>
        <w:rPr>
          <w:color w:val="000000" w:themeColor="text1"/>
          <w:lang w:val="ru-RU"/>
        </w:rPr>
      </w:pPr>
      <w:r w:rsidRPr="00DB5D0D">
        <w:rPr>
          <w:color w:val="000000" w:themeColor="text1"/>
          <w:lang w:val="ru-RU"/>
        </w:rPr>
        <w:t>15 июня 1940 г. на Мариупольском заводе в присут</w:t>
      </w:r>
      <w:r w:rsidRPr="00DB5D0D">
        <w:rPr>
          <w:color w:val="000000" w:themeColor="text1"/>
          <w:lang w:val="ru-RU"/>
        </w:rPr>
        <w:softHyphen/>
        <w:t>ствии старшего конструктора завода №183 М.И. Таршинова состоя</w:t>
      </w:r>
      <w:r w:rsidRPr="00DB5D0D">
        <w:rPr>
          <w:color w:val="000000" w:themeColor="text1"/>
          <w:lang w:val="ru-RU"/>
        </w:rPr>
        <w:softHyphen/>
        <w:t>лось совещание по вопросу изыскания возможности штамповки но</w:t>
      </w:r>
      <w:r w:rsidRPr="00DB5D0D">
        <w:rPr>
          <w:color w:val="000000" w:themeColor="text1"/>
          <w:lang w:val="ru-RU"/>
        </w:rPr>
        <w:softHyphen/>
        <w:t>совой детали на ковочном 15000-тонном прессе. Рассмотрев эскиз цельноштампованной носовой детали с выштамповкой надлобника, будкой «ДТ» и отогнутыми подкрылками (предложенный Д.И. Чижи- ковым), специалисты Мариупольского завода пришли к выводу, что производить штамповку по данному эскизу нецелесообразно по сле</w:t>
      </w:r>
      <w:r w:rsidRPr="00DB5D0D">
        <w:rPr>
          <w:color w:val="000000" w:themeColor="text1"/>
          <w:lang w:val="ru-RU"/>
        </w:rPr>
        <w:softHyphen/>
        <w:t>дующим причинам:</w:t>
      </w:r>
    </w:p>
    <w:p w14:paraId="4306B79E" w14:textId="77777777" w:rsidR="00A25AD1" w:rsidRPr="00DB5D0D" w:rsidRDefault="00A25AD1" w:rsidP="00DB5D0D">
      <w:pPr>
        <w:pStyle w:val="201"/>
        <w:shd w:val="clear" w:color="auto" w:fill="auto"/>
        <w:tabs>
          <w:tab w:val="left" w:pos="48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1.Требуются больших габаритов листы для отгибки подкрылков.</w:t>
      </w:r>
    </w:p>
    <w:p w14:paraId="73BEF173" w14:textId="77777777" w:rsidR="00A25AD1" w:rsidRPr="00DB5D0D" w:rsidRDefault="00A25AD1" w:rsidP="00DB5D0D">
      <w:pPr>
        <w:pStyle w:val="201"/>
        <w:shd w:val="clear" w:color="auto" w:fill="auto"/>
        <w:tabs>
          <w:tab w:val="left" w:pos="51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2.При выштамповке будки «ДТ» с одного раза получится боль</w:t>
      </w:r>
      <w:r w:rsidRPr="00DB5D0D">
        <w:rPr>
          <w:b w:val="0"/>
          <w:bCs w:val="0"/>
          <w:i w:val="0"/>
          <w:iCs w:val="0"/>
          <w:color w:val="000000" w:themeColor="text1"/>
          <w:sz w:val="16"/>
          <w:szCs w:val="16"/>
          <w:lang w:val="ru-RU"/>
        </w:rPr>
        <w:softHyphen/>
        <w:t>шая вытяжка (утонение металла), для устранения чего необходимо вести штамповку в несколько нагревов.</w:t>
      </w:r>
    </w:p>
    <w:p w14:paraId="7F41CCCC" w14:textId="77777777" w:rsidR="00A25AD1" w:rsidRPr="00DB5D0D" w:rsidRDefault="00A25AD1" w:rsidP="00DB5D0D">
      <w:pPr>
        <w:pStyle w:val="201"/>
        <w:shd w:val="clear" w:color="auto" w:fill="auto"/>
        <w:tabs>
          <w:tab w:val="left" w:pos="52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3.Механическая обработка цельноштампованного носа потре</w:t>
      </w:r>
      <w:r w:rsidRPr="00DB5D0D">
        <w:rPr>
          <w:b w:val="0"/>
          <w:bCs w:val="0"/>
          <w:i w:val="0"/>
          <w:iCs w:val="0"/>
          <w:color w:val="000000" w:themeColor="text1"/>
          <w:sz w:val="16"/>
          <w:szCs w:val="16"/>
          <w:lang w:val="ru-RU"/>
        </w:rPr>
        <w:softHyphen/>
        <w:t>бует больших габаритов станков. Обработка пулеметного гнезда по внутренней сфере весьма сложна на гнутой детали больших габари</w:t>
      </w:r>
      <w:r w:rsidRPr="00DB5D0D">
        <w:rPr>
          <w:b w:val="0"/>
          <w:bCs w:val="0"/>
          <w:i w:val="0"/>
          <w:iCs w:val="0"/>
          <w:color w:val="000000" w:themeColor="text1"/>
          <w:sz w:val="16"/>
          <w:szCs w:val="16"/>
          <w:lang w:val="ru-RU"/>
        </w:rPr>
        <w:softHyphen/>
        <w:t>тов и необходимых станков на заводе им. Ильича нет.</w:t>
      </w:r>
    </w:p>
    <w:p w14:paraId="1A5AB06A" w14:textId="77777777" w:rsidR="00A25AD1" w:rsidRPr="00DB5D0D" w:rsidRDefault="00A25AD1" w:rsidP="00DB5D0D">
      <w:pPr>
        <w:pStyle w:val="201"/>
        <w:shd w:val="clear" w:color="auto" w:fill="auto"/>
        <w:tabs>
          <w:tab w:val="left" w:pos="52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4.Штамповка такой детали не устраняет поводки в дальнейшей термической обработке и не расшивает узкое мест пресса, а наобо</w:t>
      </w:r>
      <w:r w:rsidRPr="00DB5D0D">
        <w:rPr>
          <w:b w:val="0"/>
          <w:bCs w:val="0"/>
          <w:i w:val="0"/>
          <w:iCs w:val="0"/>
          <w:color w:val="000000" w:themeColor="text1"/>
          <w:sz w:val="16"/>
          <w:szCs w:val="16"/>
          <w:lang w:val="ru-RU"/>
        </w:rPr>
        <w:softHyphen/>
        <w:t>рот усугубляет, т.к. правка такой детали потребует много времени работы 3000 тн. правильного пресса. Подправка же подкрылков по</w:t>
      </w:r>
      <w:r w:rsidRPr="00DB5D0D">
        <w:rPr>
          <w:b w:val="0"/>
          <w:bCs w:val="0"/>
          <w:i w:val="0"/>
          <w:iCs w:val="0"/>
          <w:color w:val="000000" w:themeColor="text1"/>
          <w:sz w:val="16"/>
          <w:szCs w:val="16"/>
          <w:lang w:val="ru-RU"/>
        </w:rPr>
        <w:softHyphen/>
        <w:t xml:space="preserve">требует сложных приспособлений (бойки, штампы). Правка в вальцах совершенно исключается ввиду невозможности задать в вальцы. [РГВА. Ф.31811. </w:t>
      </w:r>
      <w:r w:rsidRPr="00DB5D0D">
        <w:rPr>
          <w:b w:val="0"/>
          <w:bCs w:val="0"/>
          <w:i w:val="0"/>
          <w:iCs w:val="0"/>
          <w:noProof w:val="0"/>
          <w:color w:val="000000" w:themeColor="text1"/>
          <w:sz w:val="16"/>
          <w:szCs w:val="16"/>
        </w:rPr>
        <w:t>On</w:t>
      </w:r>
      <w:r w:rsidRPr="00DB5D0D">
        <w:rPr>
          <w:b w:val="0"/>
          <w:bCs w:val="0"/>
          <w:i w:val="0"/>
          <w:iCs w:val="0"/>
          <w:noProof w:val="0"/>
          <w:color w:val="000000" w:themeColor="text1"/>
          <w:sz w:val="16"/>
          <w:szCs w:val="16"/>
          <w:lang w:val="ru-RU"/>
        </w:rPr>
        <w:t>.</w:t>
      </w:r>
      <w:r w:rsidRPr="00DB5D0D">
        <w:rPr>
          <w:b w:val="0"/>
          <w:bCs w:val="0"/>
          <w:i w:val="0"/>
          <w:iCs w:val="0"/>
          <w:color w:val="000000" w:themeColor="text1"/>
          <w:sz w:val="16"/>
          <w:szCs w:val="16"/>
          <w:lang w:val="ru-RU"/>
        </w:rPr>
        <w:t>2. Д. 1176. Л. 153.</w:t>
      </w:r>
      <w:r w:rsidRPr="00DB5D0D">
        <w:rPr>
          <w:rStyle w:val="200pt65"/>
          <w:rFonts w:ascii="Times New Roman" w:hAnsi="Times New Roman" w:cs="Times New Roman"/>
          <w:b w:val="0"/>
          <w:bCs w:val="0"/>
          <w:color w:val="000000" w:themeColor="text1"/>
          <w:spacing w:val="0"/>
          <w:lang w:val="ru-RU"/>
        </w:rPr>
        <w:t>]</w:t>
      </w:r>
    </w:p>
    <w:p w14:paraId="242E8131" w14:textId="77777777" w:rsidR="00A25AD1" w:rsidRPr="00DB5D0D" w:rsidRDefault="00A25AD1" w:rsidP="00DB5D0D">
      <w:pPr>
        <w:pStyle w:val="a3"/>
        <w:rPr>
          <w:color w:val="000000" w:themeColor="text1"/>
          <w:lang w:val="ru-RU"/>
        </w:rPr>
      </w:pPr>
      <w:r w:rsidRPr="00DB5D0D">
        <w:rPr>
          <w:color w:val="000000" w:themeColor="text1"/>
          <w:lang w:val="ru-RU"/>
        </w:rPr>
        <w:t>Кроме того, специалисты Мариупольского завода отклонили по</w:t>
      </w:r>
      <w:r w:rsidRPr="00DB5D0D">
        <w:rPr>
          <w:color w:val="000000" w:themeColor="text1"/>
          <w:lang w:val="ru-RU"/>
        </w:rPr>
        <w:softHyphen/>
        <w:t>вторное предложение КБ 520 о штамповке на 15000-тонном ковоч</w:t>
      </w:r>
      <w:r w:rsidRPr="00DB5D0D">
        <w:rPr>
          <w:color w:val="000000" w:themeColor="text1"/>
          <w:lang w:val="ru-RU"/>
        </w:rPr>
        <w:softHyphen/>
        <w:t>ном прессе носовой детали по чертежу 34.29.001, разработанной конструкторами завода № 183 еще в феврале 1940 г. Напомним, что эта деталь представляла собой цельноштампованный лобовой лист, выполненный зацело с перемычкой над люком водителя (с выштам</w:t>
      </w:r>
      <w:r w:rsidRPr="00DB5D0D">
        <w:rPr>
          <w:color w:val="000000" w:themeColor="text1"/>
          <w:lang w:val="ru-RU"/>
        </w:rPr>
        <w:softHyphen/>
        <w:t>повкой надлобника), и в силу своей сложности не была принята на установочную серию.</w:t>
      </w:r>
    </w:p>
    <w:p w14:paraId="271EEE7F" w14:textId="77777777" w:rsidR="00A25AD1" w:rsidRPr="00DB5D0D" w:rsidRDefault="00A25AD1" w:rsidP="00DB5D0D">
      <w:pPr>
        <w:pStyle w:val="a3"/>
        <w:rPr>
          <w:color w:val="000000" w:themeColor="text1"/>
          <w:lang w:val="ru-RU"/>
        </w:rPr>
      </w:pPr>
      <w:r w:rsidRPr="00DB5D0D">
        <w:rPr>
          <w:color w:val="000000" w:themeColor="text1"/>
          <w:lang w:val="ru-RU"/>
        </w:rPr>
        <w:t>В конечном итоге на совещании приняли решение приступить к опытным работам по штамповке на ковочном 15000-тонном прессе верхней части разрезного носа с отштамповкой надлобника, боко</w:t>
      </w:r>
      <w:r w:rsidRPr="00DB5D0D">
        <w:rPr>
          <w:color w:val="000000" w:themeColor="text1"/>
          <w:lang w:val="ru-RU"/>
        </w:rPr>
        <w:softHyphen/>
        <w:t>вых листов новой расширенной башни (детали 34.30.018-2 и 34.30.019-2) и нижнего кормового листа корпуса (деталь 34.29.007). И, кроме того, провести опыты по штамповке нового варианта раз</w:t>
      </w:r>
      <w:r w:rsidRPr="00DB5D0D">
        <w:rPr>
          <w:color w:val="000000" w:themeColor="text1"/>
          <w:lang w:val="ru-RU"/>
        </w:rPr>
        <w:softHyphen/>
        <w:t>резного носа (с выштамповкой надлобника и будки «ДТ»), для чего заводу №183 предписывалось разработать чертежи на эту деталь и представить их не позднее середины июля (11904).</w:t>
      </w:r>
    </w:p>
    <w:p w14:paraId="68B052BB" w14:textId="77777777" w:rsidR="00A25AD1" w:rsidRPr="00DB5D0D" w:rsidRDefault="00A25AD1" w:rsidP="00DB5D0D">
      <w:pPr>
        <w:pStyle w:val="a3"/>
        <w:rPr>
          <w:color w:val="000000" w:themeColor="text1"/>
          <w:lang w:val="ru-RU"/>
        </w:rPr>
      </w:pPr>
    </w:p>
    <w:p w14:paraId="4F62AC8B" w14:textId="77777777" w:rsidR="00A25AD1" w:rsidRPr="00DB5D0D" w:rsidRDefault="00A25AD1" w:rsidP="00DB5D0D">
      <w:pPr>
        <w:pStyle w:val="a3"/>
        <w:rPr>
          <w:color w:val="000000" w:themeColor="text1"/>
          <w:lang w:val="ru-RU"/>
        </w:rPr>
      </w:pPr>
      <w:r w:rsidRPr="00DB5D0D">
        <w:rPr>
          <w:color w:val="000000" w:themeColor="text1"/>
          <w:lang w:val="ru-RU"/>
        </w:rPr>
        <w:t>15 июня 1940 г. на сове</w:t>
      </w:r>
      <w:r w:rsidRPr="00DB5D0D">
        <w:rPr>
          <w:color w:val="000000" w:themeColor="text1"/>
          <w:lang w:val="ru-RU"/>
        </w:rPr>
        <w:softHyphen/>
        <w:t>щании у заместителя народного комиссара обороны Г.И. Кулика по вопросу «Новых опытных работ по танковому и противотанковому во</w:t>
      </w:r>
      <w:r w:rsidRPr="00DB5D0D">
        <w:rPr>
          <w:color w:val="000000" w:themeColor="text1"/>
          <w:lang w:val="ru-RU"/>
        </w:rPr>
        <w:softHyphen/>
        <w:t>оружению» было принято решение о проектиро</w:t>
      </w:r>
      <w:r w:rsidRPr="00DB5D0D">
        <w:rPr>
          <w:color w:val="000000" w:themeColor="text1"/>
          <w:lang w:val="ru-RU"/>
        </w:rPr>
        <w:softHyphen/>
        <w:t>вании самоходной 85-мм пушки на шасси Т-34, предназначенной для борьбы с танками противника. Приведем выписки из протокола этого совещания:</w:t>
      </w:r>
    </w:p>
    <w:p w14:paraId="17823DD2" w14:textId="77777777" w:rsidR="00A25AD1" w:rsidRPr="00DB5D0D" w:rsidRDefault="00A25AD1" w:rsidP="00DB5D0D">
      <w:pPr>
        <w:pStyle w:val="a3"/>
        <w:rPr>
          <w:rStyle w:val="152"/>
          <w:rFonts w:ascii="Times New Roman" w:hAnsi="Times New Roman" w:cs="Times New Roman"/>
          <w:i w:val="0"/>
          <w:iCs w:val="0"/>
          <w:color w:val="000000" w:themeColor="text1"/>
          <w:spacing w:val="0"/>
          <w:sz w:val="16"/>
          <w:szCs w:val="16"/>
          <w:lang w:val="ru-RU"/>
        </w:rPr>
      </w:pPr>
      <w:r w:rsidRPr="00DB5D0D">
        <w:rPr>
          <w:rStyle w:val="152"/>
          <w:rFonts w:ascii="Times New Roman" w:hAnsi="Times New Roman" w:cs="Times New Roman"/>
          <w:i w:val="0"/>
          <w:iCs w:val="0"/>
          <w:color w:val="000000" w:themeColor="text1"/>
          <w:spacing w:val="0"/>
          <w:sz w:val="16"/>
          <w:szCs w:val="16"/>
          <w:lang w:val="ru-RU"/>
        </w:rPr>
        <w:t>СОВЕЩАНИЕ ПОСТАНОВИЛО:</w:t>
      </w:r>
    </w:p>
    <w:p w14:paraId="7A8A5549" w14:textId="77777777" w:rsidR="00A25AD1" w:rsidRPr="00DB5D0D" w:rsidRDefault="00A25AD1" w:rsidP="00DB5D0D">
      <w:pPr>
        <w:pStyle w:val="a3"/>
        <w:rPr>
          <w:color w:val="000000" w:themeColor="text1"/>
          <w:lang w:val="ru-RU"/>
        </w:rPr>
      </w:pPr>
      <w:r w:rsidRPr="00DB5D0D">
        <w:rPr>
          <w:rStyle w:val="152"/>
          <w:rFonts w:ascii="Times New Roman" w:hAnsi="Times New Roman" w:cs="Times New Roman"/>
          <w:i w:val="0"/>
          <w:iCs w:val="0"/>
          <w:color w:val="000000" w:themeColor="text1"/>
          <w:spacing w:val="0"/>
          <w:sz w:val="16"/>
          <w:szCs w:val="16"/>
        </w:rPr>
        <w:t>I</w:t>
      </w:r>
      <w:r w:rsidRPr="00DB5D0D">
        <w:rPr>
          <w:rStyle w:val="152"/>
          <w:rFonts w:ascii="Times New Roman" w:hAnsi="Times New Roman" w:cs="Times New Roman"/>
          <w:i w:val="0"/>
          <w:iCs w:val="0"/>
          <w:color w:val="000000" w:themeColor="text1"/>
          <w:spacing w:val="0"/>
          <w:sz w:val="16"/>
          <w:szCs w:val="16"/>
          <w:lang w:val="ru-RU"/>
        </w:rPr>
        <w:t>. Противотанковое вооружение.</w:t>
      </w:r>
    </w:p>
    <w:p w14:paraId="27F6D3F9" w14:textId="77777777" w:rsidR="00A25AD1" w:rsidRPr="00DB5D0D" w:rsidRDefault="00A25AD1" w:rsidP="00DB5D0D">
      <w:pPr>
        <w:pStyle w:val="1110"/>
        <w:shd w:val="clear" w:color="auto" w:fill="auto"/>
        <w:tabs>
          <w:tab w:val="left" w:pos="52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1.На шасси танка Т-34 сконструировать самоходную пушку для борьбы с танками (истребитель танков). Пушка должна обладать следующими основными характеристиками:</w:t>
      </w:r>
    </w:p>
    <w:p w14:paraId="432EB413" w14:textId="77777777" w:rsidR="00A25AD1" w:rsidRPr="00DB5D0D" w:rsidRDefault="00A25AD1" w:rsidP="00DB5D0D">
      <w:pPr>
        <w:pStyle w:val="1110"/>
        <w:shd w:val="clear" w:color="auto" w:fill="auto"/>
        <w:tabs>
          <w:tab w:val="left" w:pos="507"/>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а)калибр - 85 мм.</w:t>
      </w:r>
    </w:p>
    <w:p w14:paraId="71BF14B7" w14:textId="77777777" w:rsidR="00A25AD1" w:rsidRPr="00DB5D0D" w:rsidRDefault="00A25AD1" w:rsidP="00DB5D0D">
      <w:pPr>
        <w:pStyle w:val="1110"/>
        <w:shd w:val="clear" w:color="auto" w:fill="auto"/>
        <w:tabs>
          <w:tab w:val="left" w:pos="512"/>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б)начальная скорость - 800 м/с.</w:t>
      </w:r>
    </w:p>
    <w:p w14:paraId="4A8AAC30" w14:textId="77777777" w:rsidR="00A25AD1" w:rsidRPr="00DB5D0D" w:rsidRDefault="00A25AD1" w:rsidP="00DB5D0D">
      <w:pPr>
        <w:pStyle w:val="1110"/>
        <w:shd w:val="clear" w:color="auto" w:fill="auto"/>
        <w:tabs>
          <w:tab w:val="left" w:pos="51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в)бронепробиваемость - 80—85мм броню на дистанции 1000 м под углом 30°.</w:t>
      </w:r>
    </w:p>
    <w:p w14:paraId="44FC8315" w14:textId="77777777" w:rsidR="00A25AD1" w:rsidRPr="00DB5D0D" w:rsidRDefault="00A25AD1" w:rsidP="00DB5D0D">
      <w:pPr>
        <w:pStyle w:val="1110"/>
        <w:shd w:val="clear" w:color="auto" w:fill="auto"/>
        <w:tabs>
          <w:tab w:val="left" w:pos="493"/>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г)вертикальный обстрел - -5° +45°</w:t>
      </w:r>
    </w:p>
    <w:p w14:paraId="263D87B5" w14:textId="77777777" w:rsidR="00A25AD1" w:rsidRPr="00DB5D0D" w:rsidRDefault="00A25AD1" w:rsidP="00DB5D0D">
      <w:pPr>
        <w:pStyle w:val="1110"/>
        <w:shd w:val="clear" w:color="auto" w:fill="auto"/>
        <w:tabs>
          <w:tab w:val="left" w:pos="531"/>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д)горизонтальный обстрел - 360°.</w:t>
      </w:r>
    </w:p>
    <w:p w14:paraId="218C04BF" w14:textId="77777777" w:rsidR="00A25AD1" w:rsidRPr="00DB5D0D" w:rsidRDefault="00A25AD1" w:rsidP="00DB5D0D">
      <w:pPr>
        <w:pStyle w:val="1110"/>
        <w:shd w:val="clear" w:color="auto" w:fill="auto"/>
        <w:tabs>
          <w:tab w:val="left" w:pos="512"/>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е)скорострельность практическая Н6 М6НСС 15 выстр./мин.</w:t>
      </w:r>
    </w:p>
    <w:p w14:paraId="139ECCA3" w14:textId="77777777" w:rsidR="00A25AD1" w:rsidRPr="00DB5D0D" w:rsidRDefault="00A25AD1" w:rsidP="00DB5D0D">
      <w:pPr>
        <w:pStyle w:val="1110"/>
        <w:shd w:val="clear" w:color="auto" w:fill="auto"/>
        <w:tabs>
          <w:tab w:val="left" w:pos="534"/>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ж)бортовая броня должна защищать от поражения крупнокали</w:t>
      </w:r>
      <w:r w:rsidRPr="00DB5D0D">
        <w:rPr>
          <w:rFonts w:ascii="Times New Roman" w:hAnsi="Times New Roman" w:cs="Times New Roman"/>
          <w:i w:val="0"/>
          <w:iCs w:val="0"/>
          <w:color w:val="000000" w:themeColor="text1"/>
          <w:sz w:val="16"/>
          <w:szCs w:val="16"/>
          <w:lang w:val="ru-RU"/>
        </w:rPr>
        <w:softHyphen/>
        <w:t>берными пулями и иметь толщину не менее 20 мм.</w:t>
      </w:r>
    </w:p>
    <w:p w14:paraId="4E1D3400" w14:textId="77777777" w:rsidR="00A25AD1" w:rsidRPr="00DB5D0D" w:rsidRDefault="00A25AD1" w:rsidP="00DB5D0D">
      <w:pPr>
        <w:pStyle w:val="1110"/>
        <w:shd w:val="clear" w:color="auto" w:fill="auto"/>
        <w:tabs>
          <w:tab w:val="left" w:pos="496"/>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2.АБТУ подать на завод №8 два танка Т-34 и прикомандировать к заводу №8 конструкторов танкистов с завода № 183.</w:t>
      </w:r>
    </w:p>
    <w:p w14:paraId="5160B2F9" w14:textId="77777777" w:rsidR="00A25AD1" w:rsidRPr="00DB5D0D" w:rsidRDefault="00A25AD1" w:rsidP="00DB5D0D">
      <w:pPr>
        <w:pStyle w:val="1110"/>
        <w:shd w:val="clear" w:color="auto" w:fill="auto"/>
        <w:tabs>
          <w:tab w:val="left" w:pos="501"/>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3.Две самоходные установки должны быть сданы в месячный срок со дня подачи шасси. Работу считать первоочередной.</w:t>
      </w:r>
    </w:p>
    <w:p w14:paraId="05BEE589" w14:textId="77777777" w:rsidR="00A25AD1" w:rsidRPr="00DB5D0D" w:rsidRDefault="00A25AD1" w:rsidP="00DB5D0D">
      <w:pPr>
        <w:pStyle w:val="1110"/>
        <w:shd w:val="clear" w:color="auto" w:fill="auto"/>
        <w:tabs>
          <w:tab w:val="left" w:pos="472"/>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4.АУи НИИ-24 немедленно спроектировать, изготовить и испы</w:t>
      </w:r>
      <w:r w:rsidRPr="00DB5D0D">
        <w:rPr>
          <w:rFonts w:ascii="Times New Roman" w:hAnsi="Times New Roman" w:cs="Times New Roman"/>
          <w:i w:val="0"/>
          <w:iCs w:val="0"/>
          <w:color w:val="000000" w:themeColor="text1"/>
          <w:sz w:val="16"/>
          <w:szCs w:val="16"/>
          <w:lang w:val="ru-RU"/>
        </w:rPr>
        <w:softHyphen/>
        <w:t>тать 85 мм бронебойный снаряд.</w:t>
      </w:r>
    </w:p>
    <w:p w14:paraId="07785B8A"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Народный Комиссар Вооружения СССР ВАННИКОВ Заместитель Народного Комиссара Обороны Союза ССР Маршал Советского Союза КУЛИК Начальник АБТУ КА Гэнерал-лейтенант Танковых войск ФЕДОРЕНКО Начальник Арт. Управления КА Генерал-майор Артиллерии САВЧЕНКО.</w:t>
      </w:r>
      <w:r w:rsidRPr="00DB5D0D">
        <w:rPr>
          <w:rStyle w:val="1190"/>
          <w:rFonts w:ascii="Times New Roman" w:hAnsi="Times New Roman" w:cs="Times New Roman"/>
          <w:iCs/>
          <w:color w:val="000000" w:themeColor="text1"/>
          <w:spacing w:val="0"/>
          <w:sz w:val="16"/>
          <w:szCs w:val="16"/>
          <w:lang w:val="ru-RU"/>
        </w:rPr>
        <w:t xml:space="preserve"> [</w:t>
      </w:r>
      <w:r w:rsidRPr="00DB5D0D">
        <w:rPr>
          <w:rFonts w:ascii="Times New Roman" w:hAnsi="Times New Roman" w:cs="Times New Roman"/>
          <w:i w:val="0"/>
          <w:iCs w:val="0"/>
          <w:color w:val="000000" w:themeColor="text1"/>
          <w:sz w:val="16"/>
          <w:szCs w:val="16"/>
          <w:lang w:val="ru-RU"/>
        </w:rPr>
        <w:t xml:space="preserve">РГВА. Ф.31811. </w:t>
      </w:r>
      <w:r w:rsidRPr="00DB5D0D">
        <w:rPr>
          <w:rFonts w:ascii="Times New Roman" w:hAnsi="Times New Roman" w:cs="Times New Roman"/>
          <w:i w:val="0"/>
          <w:iCs w:val="0"/>
          <w:noProof w:val="0"/>
          <w:color w:val="000000" w:themeColor="text1"/>
          <w:sz w:val="16"/>
          <w:szCs w:val="16"/>
        </w:rPr>
        <w:t>On</w:t>
      </w:r>
      <w:r w:rsidRPr="00DB5D0D">
        <w:rPr>
          <w:rFonts w:ascii="Times New Roman" w:hAnsi="Times New Roman" w:cs="Times New Roman"/>
          <w:i w:val="0"/>
          <w:iCs w:val="0"/>
          <w:noProof w:val="0"/>
          <w:color w:val="000000" w:themeColor="text1"/>
          <w:sz w:val="16"/>
          <w:szCs w:val="16"/>
          <w:lang w:val="ru-RU"/>
        </w:rPr>
        <w:t>.</w:t>
      </w:r>
      <w:r w:rsidRPr="00DB5D0D">
        <w:rPr>
          <w:rFonts w:ascii="Times New Roman" w:hAnsi="Times New Roman" w:cs="Times New Roman"/>
          <w:i w:val="0"/>
          <w:iCs w:val="0"/>
          <w:color w:val="000000" w:themeColor="text1"/>
          <w:sz w:val="16"/>
          <w:szCs w:val="16"/>
          <w:lang w:val="ru-RU"/>
        </w:rPr>
        <w:t>2. Д. 1053. Л.65-68</w:t>
      </w:r>
      <w:r w:rsidRPr="00DB5D0D">
        <w:rPr>
          <w:rFonts w:ascii="Times New Roman" w:hAnsi="Times New Roman" w:cs="Times New Roman"/>
          <w:bCs/>
          <w:i w:val="0"/>
          <w:color w:val="000000" w:themeColor="text1"/>
          <w:sz w:val="16"/>
          <w:szCs w:val="16"/>
          <w:lang w:val="ru-RU"/>
        </w:rPr>
        <w:t>.</w:t>
      </w:r>
      <w:r w:rsidRPr="00DB5D0D">
        <w:rPr>
          <w:rStyle w:val="1190"/>
          <w:rFonts w:ascii="Times New Roman" w:hAnsi="Times New Roman" w:cs="Times New Roman"/>
          <w:iCs/>
          <w:color w:val="000000" w:themeColor="text1"/>
          <w:spacing w:val="0"/>
          <w:sz w:val="16"/>
          <w:szCs w:val="16"/>
          <w:lang w:val="ru-RU"/>
        </w:rPr>
        <w:t>]</w:t>
      </w:r>
    </w:p>
    <w:p w14:paraId="2F5C7B66" w14:textId="77777777" w:rsidR="00A25AD1" w:rsidRPr="00DB5D0D" w:rsidRDefault="00A25AD1" w:rsidP="00DB5D0D">
      <w:pPr>
        <w:pStyle w:val="a3"/>
        <w:rPr>
          <w:color w:val="000000" w:themeColor="text1"/>
          <w:lang w:val="ru-RU"/>
        </w:rPr>
      </w:pPr>
      <w:r w:rsidRPr="00DB5D0D">
        <w:rPr>
          <w:color w:val="000000" w:themeColor="text1"/>
          <w:lang w:val="ru-RU"/>
        </w:rPr>
        <w:t>Забегая вперед, скажем, что эти опытные работы не увенчались успехом. Конструкторам завода №8 не удалось установить 85-мм пушку в корпус танка Т-34 без существенных переделок последнего, о чем главный конструктор завода №8 М.Н. Логинов уведомил руко</w:t>
      </w:r>
      <w:r w:rsidRPr="00DB5D0D">
        <w:rPr>
          <w:color w:val="000000" w:themeColor="text1"/>
          <w:lang w:val="ru-RU"/>
        </w:rPr>
        <w:softHyphen/>
        <w:t>водство АБТУ в конце июля 1940 г. (11906).</w:t>
      </w:r>
    </w:p>
    <w:p w14:paraId="09F6CFB9" w14:textId="77777777" w:rsidR="00A25AD1" w:rsidRPr="00DB5D0D" w:rsidRDefault="00A25AD1" w:rsidP="00DB5D0D">
      <w:pPr>
        <w:pStyle w:val="a3"/>
        <w:rPr>
          <w:color w:val="000000" w:themeColor="text1"/>
          <w:lang w:val="ru-RU"/>
        </w:rPr>
      </w:pPr>
    </w:p>
    <w:p w14:paraId="0538A70B" w14:textId="77777777" w:rsidR="00F40BC0" w:rsidRPr="00DB5D0D" w:rsidRDefault="00F40BC0" w:rsidP="00DB5D0D">
      <w:pPr>
        <w:pStyle w:val="ae"/>
        <w:shd w:val="clear" w:color="auto" w:fill="FFFFFF"/>
        <w:spacing w:before="0" w:after="0"/>
        <w:jc w:val="both"/>
        <w:textAlignment w:val="baseline"/>
        <w:rPr>
          <w:color w:val="0070C0"/>
          <w:sz w:val="16"/>
          <w:szCs w:val="16"/>
        </w:rPr>
      </w:pPr>
      <w:r w:rsidRPr="00DB5D0D">
        <w:rPr>
          <w:color w:val="0070C0"/>
          <w:sz w:val="16"/>
          <w:szCs w:val="16"/>
        </w:rPr>
        <w:t>15 июня 1940 года на Гороховецком АНИОП начались испытания стрельбой Т-100Y, и СУ-14. Туда отправилось все три машины. На СУ-14-1 отмечалось тугое открытие затвора, а подвижная бронировка системы мешала при повороте орудия, поскольку упиралась в выхлопные трубы и петли люка доступа к трансмиссии. Имелись проблемы с синхронизацией работы перископического прицела, а прицельный огонь из пулемётов вести было невозможно. Возникли претензии и к лямкам, которые использовались для переноски снарядов для заряжания, а также к системе продувки канала ствола. Но имелись и положительные результаты. Выяснилось, что сошники для стрельбы опускать не обязательно, СУ-14 и так оказалась стабильной огневой платформой. Вполне удачно были организованы места расчёта боевого отделения. Да и конструкция рубки получилась вполне удачной. Всего набралось 8 пунктов необходимых переделок. Примерно те же самые данные были получены и на СУ-14, обе машины произвели по 5 выстрелов. При этом указывалось, что реальный угол возвышения орудия составлял 15 градусов, а не 31, как в описании.</w:t>
      </w:r>
    </w:p>
    <w:p w14:paraId="696CFE7A" w14:textId="77777777" w:rsidR="00F40BC0" w:rsidRPr="00DB5D0D" w:rsidRDefault="00F40BC0"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shd w:val="clear" w:color="auto" w:fill="FFFFFF"/>
        </w:rPr>
        <w:t>В случае с Т-100Y объём пробных испытаний составил 6 выстрелов. К машине также имелись претензии по поводу подвижной бронировки системы, но иного порядка. Дело в том, что бронировка производилась без уравновешивания системы, что привело к определённым проблемам с наводкой. Впрочем, главной претензией стала теснота боевого отделения. Для удобства работы расчёта предлагалось сделать упоры под ноги заряжающих. Боеукладку требовалось переделать, поскольку её сделали нерационально. Снаряды надлежало ставить с правой стороны рубки, а заряды — с левой. Для устранения недостатков все машины отравились на завод №174. Дело в том, что к тому моменту опытного завода №185 уже не было — его влили в завод №174. И вот тут на сцене появилась фигура Гинзбурга, который к тому моменту являлся главным конструктором отдела «20» на заводе №174. На АНИОП машины уже не вернулись: в июле их вместе с КВ-2 направили на специспытания в КОВО, где вёлся огонь по бывшим польским укреплениям. Здесь выявились большие проблемы с ходовой частью, особенно это касалось СУ-14. На этом испытания для данных машин закончились, в июле 1940 года они вернулись на завод №174, а ближе к сентябрю отправились на НИБТ Полигон в Кубинку. Судя по их состоянию, машины, отправившиеся на консервацию, уже были слегка «ушатанными», особенно с точки зрения ходовой части (19857).</w:t>
      </w:r>
    </w:p>
    <w:p w14:paraId="156B71FA" w14:textId="77777777" w:rsidR="00F40BC0" w:rsidRPr="00DB5D0D" w:rsidRDefault="00F40BC0"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5C8BB39D" w14:textId="77777777" w:rsidR="00152A61" w:rsidRPr="00DB5D0D" w:rsidRDefault="00152A61" w:rsidP="00DB5D0D">
      <w:pPr>
        <w:pStyle w:val="a3"/>
        <w:rPr>
          <w:color w:val="000000" w:themeColor="text1"/>
          <w:lang w:val="ru-RU"/>
        </w:rPr>
      </w:pPr>
      <w:r w:rsidRPr="00DB5D0D">
        <w:rPr>
          <w:color w:val="000000" w:themeColor="text1"/>
          <w:lang w:val="ru-RU"/>
        </w:rPr>
        <w:t>15 июня 1940 г. замнаркома обороны Маршал Григорий Кулик направил в правительство проект Постановления</w:t>
      </w:r>
      <w:r w:rsidRPr="00DB5D0D">
        <w:rPr>
          <w:rStyle w:val="4e"/>
          <w:rFonts w:ascii="Times New Roman" w:hAnsi="Times New Roman" w:cs="Times New Roman"/>
          <w:i w:val="0"/>
          <w:color w:val="000000" w:themeColor="text1"/>
          <w:sz w:val="16"/>
          <w:szCs w:val="16"/>
          <w:lang w:val="ru-RU"/>
        </w:rPr>
        <w:t xml:space="preserve"> «Об обеспечении мотоциклами войсковых частей Красной Армии».</w:t>
      </w:r>
      <w:r w:rsidRPr="00DB5D0D">
        <w:rPr>
          <w:color w:val="000000" w:themeColor="text1"/>
          <w:lang w:val="ru-RU"/>
        </w:rPr>
        <w:t xml:space="preserve"> В сопроводительном письме он от</w:t>
      </w:r>
      <w:r w:rsidRPr="00DB5D0D">
        <w:rPr>
          <w:color w:val="000000" w:themeColor="text1"/>
          <w:lang w:val="ru-RU"/>
        </w:rPr>
        <w:softHyphen/>
        <w:t>мечал, что для штатного укомплектования войсковых частей и соедине</w:t>
      </w:r>
      <w:r w:rsidRPr="00DB5D0D">
        <w:rPr>
          <w:color w:val="000000" w:themeColor="text1"/>
          <w:lang w:val="ru-RU"/>
        </w:rPr>
        <w:softHyphen/>
        <w:t>ний Красной Армии требуется 27740 мотоциклов с коляской и 30270 мо</w:t>
      </w:r>
      <w:r w:rsidRPr="00DB5D0D">
        <w:rPr>
          <w:color w:val="000000" w:themeColor="text1"/>
          <w:lang w:val="ru-RU"/>
        </w:rPr>
        <w:softHyphen/>
        <w:t>тоциклов без коляски. Фактически же в Красной Армии на 1 мая 1940 г. имелось 1460 мотоциклов с коляской и 7925 мотоциклов без коляски. Из имевшихся в наличии к устаревшим типам, подлежащим снятию с воо</w:t>
      </w:r>
      <w:r w:rsidRPr="00DB5D0D">
        <w:rPr>
          <w:color w:val="000000" w:themeColor="text1"/>
          <w:lang w:val="ru-RU"/>
        </w:rPr>
        <w:softHyphen/>
        <w:t>ружения, относились 2950 мотоциклов Л-300, ИЖ-7 и НАТИ А-750.</w:t>
      </w:r>
    </w:p>
    <w:p w14:paraId="76766BD8" w14:textId="77777777" w:rsidR="00152A61" w:rsidRPr="00DB5D0D" w:rsidRDefault="00152A61" w:rsidP="00DB5D0D">
      <w:pPr>
        <w:pStyle w:val="1010"/>
        <w:shd w:val="clear" w:color="auto" w:fill="auto"/>
        <w:spacing w:after="0" w:line="240" w:lineRule="auto"/>
        <w:jc w:val="both"/>
        <w:rPr>
          <w:rFonts w:ascii="Times New Roman" w:hAnsi="Times New Roman" w:cs="Times New Roman"/>
          <w:b w:val="0"/>
          <w:color w:val="000000" w:themeColor="text1"/>
          <w:sz w:val="16"/>
          <w:szCs w:val="16"/>
        </w:rPr>
      </w:pPr>
      <w:r w:rsidRPr="00DB5D0D">
        <w:rPr>
          <w:rStyle w:val="1041"/>
          <w:rFonts w:ascii="Times New Roman" w:eastAsia="Arial Unicode MS" w:hAnsi="Times New Roman" w:cs="Times New Roman"/>
          <w:b w:val="0"/>
          <w:iCs/>
          <w:color w:val="000000" w:themeColor="text1"/>
          <w:sz w:val="16"/>
          <w:szCs w:val="16"/>
          <w:lang w:val="ru-RU"/>
        </w:rPr>
        <w:t>Маршал Кулик писал:</w:t>
      </w:r>
      <w:r w:rsidRPr="00DB5D0D">
        <w:rPr>
          <w:rFonts w:ascii="Times New Roman" w:hAnsi="Times New Roman" w:cs="Times New Roman"/>
          <w:b w:val="0"/>
          <w:color w:val="000000" w:themeColor="text1"/>
          <w:sz w:val="16"/>
          <w:szCs w:val="16"/>
        </w:rPr>
        <w:t xml:space="preserve"> «Для вооружения Красной Армии крайне не</w:t>
      </w:r>
      <w:r w:rsidRPr="00DB5D0D">
        <w:rPr>
          <w:rFonts w:ascii="Times New Roman" w:hAnsi="Times New Roman" w:cs="Times New Roman"/>
          <w:b w:val="0"/>
          <w:color w:val="000000" w:themeColor="text1"/>
          <w:sz w:val="16"/>
          <w:szCs w:val="16"/>
        </w:rPr>
        <w:softHyphen/>
        <w:t>обходимы мотоциклы</w:t>
      </w:r>
      <w:r w:rsidRPr="00DB5D0D">
        <w:rPr>
          <w:rStyle w:val="1011"/>
          <w:rFonts w:ascii="Times New Roman" w:eastAsia="Arial Unicode MS" w:hAnsi="Times New Roman" w:cs="Times New Roman"/>
          <w:i w:val="0"/>
          <w:iCs w:val="0"/>
          <w:color w:val="000000" w:themeColor="text1"/>
          <w:sz w:val="16"/>
          <w:szCs w:val="16"/>
          <w:lang w:val="ru-RU"/>
        </w:rPr>
        <w:t xml:space="preserve"> с</w:t>
      </w:r>
      <w:r w:rsidRPr="00DB5D0D">
        <w:rPr>
          <w:rFonts w:ascii="Times New Roman" w:hAnsi="Times New Roman" w:cs="Times New Roman"/>
          <w:b w:val="0"/>
          <w:color w:val="000000" w:themeColor="text1"/>
          <w:sz w:val="16"/>
          <w:szCs w:val="16"/>
        </w:rPr>
        <w:t xml:space="preserve"> колясками, изготовлением которых занимает</w:t>
      </w:r>
      <w:r w:rsidRPr="00DB5D0D">
        <w:rPr>
          <w:rFonts w:ascii="Times New Roman" w:hAnsi="Times New Roman" w:cs="Times New Roman"/>
          <w:b w:val="0"/>
          <w:color w:val="000000" w:themeColor="text1"/>
          <w:sz w:val="16"/>
          <w:szCs w:val="16"/>
        </w:rPr>
        <w:softHyphen/>
        <w:t>ся только</w:t>
      </w:r>
      <w:r w:rsidRPr="00DB5D0D">
        <w:rPr>
          <w:rStyle w:val="1011"/>
          <w:rFonts w:ascii="Times New Roman" w:eastAsia="Arial Unicode MS" w:hAnsi="Times New Roman" w:cs="Times New Roman"/>
          <w:i w:val="0"/>
          <w:iCs w:val="0"/>
          <w:color w:val="000000" w:themeColor="text1"/>
          <w:sz w:val="16"/>
          <w:szCs w:val="16"/>
          <w:lang w:val="ru-RU"/>
        </w:rPr>
        <w:t xml:space="preserve"> завод</w:t>
      </w:r>
      <w:r w:rsidRPr="00DB5D0D">
        <w:rPr>
          <w:rFonts w:ascii="Times New Roman" w:hAnsi="Times New Roman" w:cs="Times New Roman"/>
          <w:b w:val="0"/>
          <w:color w:val="000000" w:themeColor="text1"/>
          <w:sz w:val="16"/>
          <w:szCs w:val="16"/>
        </w:rPr>
        <w:t xml:space="preserve"> №65</w:t>
      </w:r>
      <w:r w:rsidRPr="00DB5D0D">
        <w:rPr>
          <w:rStyle w:val="1011"/>
          <w:rFonts w:ascii="Times New Roman" w:eastAsia="Arial Unicode MS" w:hAnsi="Times New Roman" w:cs="Times New Roman"/>
          <w:i w:val="0"/>
          <w:iCs w:val="0"/>
          <w:color w:val="000000" w:themeColor="text1"/>
          <w:sz w:val="16"/>
          <w:szCs w:val="16"/>
          <w:lang w:val="ru-RU"/>
        </w:rPr>
        <w:t xml:space="preserve"> и в</w:t>
      </w:r>
      <w:r w:rsidRPr="00DB5D0D">
        <w:rPr>
          <w:rFonts w:ascii="Times New Roman" w:hAnsi="Times New Roman" w:cs="Times New Roman"/>
          <w:b w:val="0"/>
          <w:color w:val="000000" w:themeColor="text1"/>
          <w:sz w:val="16"/>
          <w:szCs w:val="16"/>
        </w:rPr>
        <w:t xml:space="preserve"> весьма ограниченном количестве. За 5 меся</w:t>
      </w:r>
      <w:r w:rsidRPr="00DB5D0D">
        <w:rPr>
          <w:rFonts w:ascii="Times New Roman" w:hAnsi="Times New Roman" w:cs="Times New Roman"/>
          <w:b w:val="0"/>
          <w:color w:val="000000" w:themeColor="text1"/>
          <w:sz w:val="16"/>
          <w:szCs w:val="16"/>
        </w:rPr>
        <w:softHyphen/>
        <w:t>цев текущего</w:t>
      </w:r>
      <w:r w:rsidRPr="00DB5D0D">
        <w:rPr>
          <w:rStyle w:val="1011"/>
          <w:rFonts w:ascii="Times New Roman" w:eastAsia="Arial Unicode MS" w:hAnsi="Times New Roman" w:cs="Times New Roman"/>
          <w:i w:val="0"/>
          <w:iCs w:val="0"/>
          <w:color w:val="000000" w:themeColor="text1"/>
          <w:sz w:val="16"/>
          <w:szCs w:val="16"/>
          <w:lang w:val="ru-RU"/>
        </w:rPr>
        <w:t xml:space="preserve"> года завод</w:t>
      </w:r>
      <w:r w:rsidRPr="00DB5D0D">
        <w:rPr>
          <w:rFonts w:ascii="Times New Roman" w:hAnsi="Times New Roman" w:cs="Times New Roman"/>
          <w:b w:val="0"/>
          <w:color w:val="000000" w:themeColor="text1"/>
          <w:sz w:val="16"/>
          <w:szCs w:val="16"/>
        </w:rPr>
        <w:t xml:space="preserve"> №65 изготовил для НКО всего 91 мотоцикл с </w:t>
      </w:r>
      <w:r w:rsidRPr="00DB5D0D">
        <w:rPr>
          <w:rStyle w:val="1011"/>
          <w:rFonts w:ascii="Times New Roman" w:eastAsia="Arial Unicode MS" w:hAnsi="Times New Roman" w:cs="Times New Roman"/>
          <w:i w:val="0"/>
          <w:iCs w:val="0"/>
          <w:color w:val="000000" w:themeColor="text1"/>
          <w:sz w:val="16"/>
          <w:szCs w:val="16"/>
          <w:lang w:val="ru-RU"/>
        </w:rPr>
        <w:t>коляской. Ижевский</w:t>
      </w:r>
      <w:r w:rsidRPr="00DB5D0D">
        <w:rPr>
          <w:rFonts w:ascii="Times New Roman" w:hAnsi="Times New Roman" w:cs="Times New Roman"/>
          <w:b w:val="0"/>
          <w:color w:val="000000" w:themeColor="text1"/>
          <w:sz w:val="16"/>
          <w:szCs w:val="16"/>
        </w:rPr>
        <w:t xml:space="preserve"> мотоциклетный завод и завод №234 выпускают мо</w:t>
      </w:r>
      <w:r w:rsidRPr="00DB5D0D">
        <w:rPr>
          <w:rFonts w:ascii="Times New Roman" w:hAnsi="Times New Roman" w:cs="Times New Roman"/>
          <w:b w:val="0"/>
          <w:color w:val="000000" w:themeColor="text1"/>
          <w:sz w:val="16"/>
          <w:szCs w:val="16"/>
        </w:rPr>
        <w:softHyphen/>
      </w:r>
      <w:r w:rsidRPr="00DB5D0D">
        <w:rPr>
          <w:rStyle w:val="1011"/>
          <w:rFonts w:ascii="Times New Roman" w:eastAsia="Arial Unicode MS" w:hAnsi="Times New Roman" w:cs="Times New Roman"/>
          <w:i w:val="0"/>
          <w:iCs w:val="0"/>
          <w:color w:val="000000" w:themeColor="text1"/>
          <w:sz w:val="16"/>
          <w:szCs w:val="16"/>
          <w:lang w:val="ru-RU"/>
        </w:rPr>
        <w:t>тоциклы без колясок.</w:t>
      </w:r>
      <w:r w:rsidRPr="00DB5D0D">
        <w:rPr>
          <w:rFonts w:ascii="Times New Roman" w:hAnsi="Times New Roman" w:cs="Times New Roman"/>
          <w:b w:val="0"/>
          <w:color w:val="000000" w:themeColor="text1"/>
          <w:sz w:val="16"/>
          <w:szCs w:val="16"/>
        </w:rPr>
        <w:t xml:space="preserve"> Вследствие прекращения выпуска мотоциклов на </w:t>
      </w:r>
      <w:r w:rsidRPr="00DB5D0D">
        <w:rPr>
          <w:rStyle w:val="1011"/>
          <w:rFonts w:ascii="Times New Roman" w:eastAsia="Arial Unicode MS" w:hAnsi="Times New Roman" w:cs="Times New Roman"/>
          <w:i w:val="0"/>
          <w:iCs w:val="0"/>
          <w:color w:val="000000" w:themeColor="text1"/>
          <w:sz w:val="16"/>
          <w:szCs w:val="16"/>
          <w:lang w:val="ru-RU"/>
        </w:rPr>
        <w:t>Подольском</w:t>
      </w:r>
      <w:r w:rsidRPr="00DB5D0D">
        <w:rPr>
          <w:rFonts w:ascii="Times New Roman" w:hAnsi="Times New Roman" w:cs="Times New Roman"/>
          <w:b w:val="0"/>
          <w:color w:val="000000" w:themeColor="text1"/>
          <w:sz w:val="16"/>
          <w:szCs w:val="16"/>
        </w:rPr>
        <w:t xml:space="preserve"> Механическом заводе, сокращения производственных пло</w:t>
      </w:r>
      <w:r w:rsidRPr="00DB5D0D">
        <w:rPr>
          <w:rFonts w:ascii="Times New Roman" w:hAnsi="Times New Roman" w:cs="Times New Roman"/>
          <w:b w:val="0"/>
          <w:color w:val="000000" w:themeColor="text1"/>
          <w:sz w:val="16"/>
          <w:szCs w:val="16"/>
        </w:rPr>
        <w:softHyphen/>
      </w:r>
      <w:r w:rsidRPr="00DB5D0D">
        <w:rPr>
          <w:rStyle w:val="1011"/>
          <w:rFonts w:ascii="Times New Roman" w:eastAsia="Arial Unicode MS" w:hAnsi="Times New Roman" w:cs="Times New Roman"/>
          <w:i w:val="0"/>
          <w:iCs w:val="0"/>
          <w:color w:val="000000" w:themeColor="text1"/>
          <w:sz w:val="16"/>
          <w:szCs w:val="16"/>
          <w:lang w:val="ru-RU"/>
        </w:rPr>
        <w:t>щадей, занятых</w:t>
      </w:r>
      <w:r w:rsidRPr="00DB5D0D">
        <w:rPr>
          <w:rFonts w:ascii="Times New Roman" w:hAnsi="Times New Roman" w:cs="Times New Roman"/>
          <w:b w:val="0"/>
          <w:color w:val="000000" w:themeColor="text1"/>
          <w:sz w:val="16"/>
          <w:szCs w:val="16"/>
        </w:rPr>
        <w:t xml:space="preserve"> мотоциклостроением на заводе №65, исключительно </w:t>
      </w:r>
      <w:r w:rsidRPr="00DB5D0D">
        <w:rPr>
          <w:rStyle w:val="1011"/>
          <w:rFonts w:ascii="Times New Roman" w:eastAsia="Arial Unicode MS" w:hAnsi="Times New Roman" w:cs="Times New Roman"/>
          <w:i w:val="0"/>
          <w:iCs w:val="0"/>
          <w:color w:val="000000" w:themeColor="text1"/>
          <w:sz w:val="16"/>
          <w:szCs w:val="16"/>
          <w:lang w:val="ru-RU"/>
        </w:rPr>
        <w:t>плохого</w:t>
      </w:r>
      <w:r w:rsidRPr="00DB5D0D">
        <w:rPr>
          <w:rFonts w:ascii="Times New Roman" w:hAnsi="Times New Roman" w:cs="Times New Roman"/>
          <w:b w:val="0"/>
          <w:color w:val="000000" w:themeColor="text1"/>
          <w:sz w:val="16"/>
          <w:szCs w:val="16"/>
        </w:rPr>
        <w:t xml:space="preserve"> снабжения мотоциклетных заводов, общий выпуск мотоциклов </w:t>
      </w:r>
      <w:r w:rsidRPr="00DB5D0D">
        <w:rPr>
          <w:rStyle w:val="1011"/>
          <w:rFonts w:ascii="Times New Roman" w:eastAsia="Arial Unicode MS" w:hAnsi="Times New Roman" w:cs="Times New Roman"/>
          <w:i w:val="0"/>
          <w:iCs w:val="0"/>
          <w:color w:val="000000" w:themeColor="text1"/>
          <w:sz w:val="16"/>
          <w:szCs w:val="16"/>
          <w:lang w:val="ru-RU"/>
        </w:rPr>
        <w:t>в стране с</w:t>
      </w:r>
      <w:r w:rsidRPr="00DB5D0D">
        <w:rPr>
          <w:rFonts w:ascii="Times New Roman" w:hAnsi="Times New Roman" w:cs="Times New Roman"/>
          <w:b w:val="0"/>
          <w:color w:val="000000" w:themeColor="text1"/>
          <w:sz w:val="16"/>
          <w:szCs w:val="16"/>
        </w:rPr>
        <w:t xml:space="preserve"> 1939 года начал падать [...] Все это говорит о том, что</w:t>
      </w:r>
      <w:r w:rsidRPr="00DB5D0D">
        <w:rPr>
          <w:rStyle w:val="1041"/>
          <w:rFonts w:ascii="Times New Roman" w:eastAsia="Arial Unicode MS" w:hAnsi="Times New Roman" w:cs="Times New Roman"/>
          <w:b w:val="0"/>
          <w:iCs/>
          <w:color w:val="000000" w:themeColor="text1"/>
          <w:sz w:val="16"/>
          <w:szCs w:val="16"/>
          <w:lang w:val="ru-RU"/>
        </w:rPr>
        <w:t xml:space="preserve"> мота</w:t>
      </w:r>
      <w:r w:rsidRPr="00DB5D0D">
        <w:rPr>
          <w:rFonts w:ascii="Times New Roman" w:hAnsi="Times New Roman" w:cs="Times New Roman"/>
          <w:b w:val="0"/>
          <w:color w:val="000000" w:themeColor="text1"/>
          <w:sz w:val="16"/>
          <w:szCs w:val="16"/>
        </w:rPr>
        <w:t xml:space="preserve"> циклостроениев нашей стра</w:t>
      </w:r>
      <w:r w:rsidRPr="00DB5D0D">
        <w:rPr>
          <w:rFonts w:ascii="Times New Roman" w:hAnsi="Times New Roman" w:cs="Times New Roman"/>
          <w:b w:val="0"/>
          <w:color w:val="000000" w:themeColor="text1"/>
          <w:sz w:val="16"/>
          <w:szCs w:val="16"/>
        </w:rPr>
        <w:softHyphen/>
        <w:t>не нуждается в немедленном расширении и капитальных затратах».</w:t>
      </w:r>
    </w:p>
    <w:p w14:paraId="38142732" w14:textId="77777777" w:rsidR="00152A61" w:rsidRPr="00DB5D0D" w:rsidRDefault="00152A61" w:rsidP="00DB5D0D">
      <w:pPr>
        <w:pStyle w:val="a3"/>
        <w:rPr>
          <w:color w:val="000000" w:themeColor="text1"/>
          <w:lang w:val="ru-RU"/>
        </w:rPr>
      </w:pPr>
      <w:r w:rsidRPr="00DB5D0D">
        <w:rPr>
          <w:color w:val="000000" w:themeColor="text1"/>
          <w:lang w:val="ru-RU"/>
        </w:rPr>
        <w:t>Проект постановления предполагал существенное увеличение объемов выпуска мотоциклов военного назна</w:t>
      </w:r>
      <w:r w:rsidRPr="00DB5D0D">
        <w:rPr>
          <w:color w:val="000000" w:themeColor="text1"/>
          <w:lang w:val="ru-RU"/>
        </w:rPr>
        <w:softHyphen/>
        <w:t>чения, для чего требовалось реконструировать имеющие</w:t>
      </w:r>
      <w:r w:rsidRPr="00DB5D0D">
        <w:rPr>
          <w:color w:val="000000" w:themeColor="text1"/>
          <w:lang w:val="ru-RU"/>
        </w:rPr>
        <w:softHyphen/>
        <w:t xml:space="preserve">ся </w:t>
      </w:r>
      <w:r w:rsidRPr="00DB5D0D">
        <w:rPr>
          <w:color w:val="000000" w:themeColor="text1"/>
          <w:lang w:val="ru-RU"/>
        </w:rPr>
        <w:lastRenderedPageBreak/>
        <w:t>заводы, построить новый завод мощностью 15 тыс. мо</w:t>
      </w:r>
      <w:r w:rsidRPr="00DB5D0D">
        <w:rPr>
          <w:color w:val="000000" w:themeColor="text1"/>
          <w:lang w:val="ru-RU"/>
        </w:rPr>
        <w:softHyphen/>
        <w:t>тоциклов в год, а также орга</w:t>
      </w:r>
      <w:r w:rsidRPr="00DB5D0D">
        <w:rPr>
          <w:color w:val="000000" w:themeColor="text1"/>
          <w:lang w:val="ru-RU"/>
        </w:rPr>
        <w:softHyphen/>
        <w:t>низовать на базе КАТИ Цен</w:t>
      </w:r>
      <w:r w:rsidRPr="00DB5D0D">
        <w:rPr>
          <w:color w:val="000000" w:themeColor="text1"/>
          <w:lang w:val="ru-RU"/>
        </w:rPr>
        <w:softHyphen/>
        <w:t>тральный конструкторский экеперйментально-исследо- ватёльский отдел Мотоциклетной промышленности.</w:t>
      </w:r>
    </w:p>
    <w:p w14:paraId="78306807" w14:textId="77777777" w:rsidR="00152A61" w:rsidRPr="00DB5D0D" w:rsidRDefault="00152A61" w:rsidP="00DB5D0D">
      <w:pPr>
        <w:pStyle w:val="a3"/>
        <w:rPr>
          <w:color w:val="000000" w:themeColor="text1"/>
          <w:lang w:val="ru-RU"/>
        </w:rPr>
      </w:pPr>
      <w:r w:rsidRPr="00DB5D0D">
        <w:rPr>
          <w:color w:val="000000" w:themeColor="text1"/>
          <w:lang w:val="ru-RU"/>
        </w:rPr>
        <w:t>Проект постановления обсуждался с заинтересованными ведомст</w:t>
      </w:r>
      <w:r w:rsidRPr="00DB5D0D">
        <w:rPr>
          <w:color w:val="000000" w:themeColor="text1"/>
          <w:lang w:val="ru-RU"/>
        </w:rPr>
        <w:softHyphen/>
        <w:t>вами, и к концу июля в правительство был внесен план объема выпуска мотоциклов на вторую половину 1940 г. и на 1941 г. Запчасти к мотоци</w:t>
      </w:r>
      <w:r w:rsidRPr="00DB5D0D">
        <w:rPr>
          <w:color w:val="000000" w:themeColor="text1"/>
          <w:lang w:val="ru-RU"/>
        </w:rPr>
        <w:softHyphen/>
        <w:t>клам предполагалось поставить НКО в объеме не более 12% от плана производства мотоциклов в денежном эквиваленте. Комплектование мотоциклов пулеметными установками возлагалось на НКО. После не</w:t>
      </w:r>
      <w:r w:rsidRPr="00DB5D0D">
        <w:rPr>
          <w:color w:val="000000" w:themeColor="text1"/>
          <w:lang w:val="ru-RU"/>
        </w:rPr>
        <w:softHyphen/>
        <w:t>долгих обсуждений вышло секретное постановление правительства по вопросу мотоциклостроения. основными армейскими мотоциклами с коляской должны были стать ТИЗ-50 и мотоцикл</w:t>
      </w:r>
      <w:r w:rsidRPr="00DB5D0D">
        <w:rPr>
          <w:rStyle w:val="38"/>
          <w:rFonts w:ascii="Times New Roman" w:hAnsi="Times New Roman" w:cs="Times New Roman"/>
          <w:i w:val="0"/>
          <w:color w:val="000000" w:themeColor="text1"/>
          <w:sz w:val="16"/>
          <w:szCs w:val="16"/>
          <w:lang w:val="ru-RU"/>
        </w:rPr>
        <w:t xml:space="preserve"> «нового типа, подле</w:t>
      </w:r>
      <w:r w:rsidRPr="00DB5D0D">
        <w:rPr>
          <w:rStyle w:val="38"/>
          <w:rFonts w:ascii="Times New Roman" w:hAnsi="Times New Roman" w:cs="Times New Roman"/>
          <w:i w:val="0"/>
          <w:color w:val="000000" w:themeColor="text1"/>
          <w:sz w:val="16"/>
          <w:szCs w:val="16"/>
          <w:lang w:val="ru-RU"/>
        </w:rPr>
        <w:softHyphen/>
        <w:t>жащий установлению на 750</w:t>
      </w:r>
      <w:r w:rsidRPr="00DB5D0D">
        <w:rPr>
          <w:color w:val="000000" w:themeColor="text1"/>
          <w:lang w:val="ru-RU"/>
        </w:rPr>
        <w:t xml:space="preserve"> см</w:t>
      </w:r>
      <w:r w:rsidRPr="00DB5D0D">
        <w:rPr>
          <w:color w:val="000000" w:themeColor="text1"/>
          <w:vertAlign w:val="superscript"/>
          <w:lang w:val="ru-RU"/>
        </w:rPr>
        <w:t>3</w:t>
      </w:r>
      <w:r w:rsidRPr="00DB5D0D">
        <w:rPr>
          <w:color w:val="000000" w:themeColor="text1"/>
          <w:lang w:val="ru-RU"/>
        </w:rPr>
        <w:t xml:space="preserve"> с</w:t>
      </w:r>
      <w:r w:rsidRPr="00DB5D0D">
        <w:rPr>
          <w:rStyle w:val="38"/>
          <w:rFonts w:ascii="Times New Roman" w:hAnsi="Times New Roman" w:cs="Times New Roman"/>
          <w:i w:val="0"/>
          <w:color w:val="000000" w:themeColor="text1"/>
          <w:sz w:val="16"/>
          <w:szCs w:val="16"/>
          <w:lang w:val="ru-RU"/>
        </w:rPr>
        <w:t xml:space="preserve"> карданной передачей с пулеметной установкой с коляской» </w:t>
      </w:r>
      <w:r w:rsidRPr="00DB5D0D">
        <w:rPr>
          <w:color w:val="000000" w:themeColor="text1"/>
          <w:lang w:val="ru-RU"/>
        </w:rPr>
        <w:t>(15753).</w:t>
      </w:r>
    </w:p>
    <w:p w14:paraId="7413BD97" w14:textId="77777777" w:rsidR="00152A61" w:rsidRPr="00DB5D0D" w:rsidRDefault="00152A61" w:rsidP="00DB5D0D">
      <w:pPr>
        <w:pStyle w:val="aff1"/>
        <w:shd w:val="clear" w:color="auto" w:fill="auto"/>
        <w:spacing w:line="240" w:lineRule="auto"/>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Выпуск тяжелых мотоциклов в довоенный период</w:t>
      </w:r>
    </w:p>
    <w:tbl>
      <w:tblPr>
        <w:tblW w:w="0" w:type="auto"/>
        <w:tblInd w:w="5" w:type="dxa"/>
        <w:tblLayout w:type="fixed"/>
        <w:tblCellMar>
          <w:left w:w="0" w:type="dxa"/>
          <w:right w:w="0" w:type="dxa"/>
        </w:tblCellMar>
        <w:tblLook w:val="0000" w:firstRow="0" w:lastRow="0" w:firstColumn="0" w:lastColumn="0" w:noHBand="0" w:noVBand="0"/>
      </w:tblPr>
      <w:tblGrid>
        <w:gridCol w:w="600"/>
        <w:gridCol w:w="494"/>
        <w:gridCol w:w="499"/>
        <w:gridCol w:w="494"/>
        <w:gridCol w:w="494"/>
        <w:gridCol w:w="994"/>
        <w:gridCol w:w="494"/>
        <w:gridCol w:w="998"/>
      </w:tblGrid>
      <w:tr w:rsidR="007D5DF8" w:rsidRPr="00DB5D0D" w14:paraId="77C021C0" w14:textId="77777777" w:rsidTr="00A61CD2">
        <w:trPr>
          <w:trHeight w:val="240"/>
        </w:trPr>
        <w:tc>
          <w:tcPr>
            <w:tcW w:w="600" w:type="dxa"/>
            <w:tcBorders>
              <w:top w:val="single" w:sz="4" w:space="0" w:color="auto"/>
              <w:left w:val="single" w:sz="4" w:space="0" w:color="auto"/>
              <w:bottom w:val="single" w:sz="4" w:space="0" w:color="auto"/>
              <w:right w:val="single" w:sz="4" w:space="0" w:color="auto"/>
            </w:tcBorders>
            <w:shd w:val="clear" w:color="auto" w:fill="FFFFFF"/>
          </w:tcPr>
          <w:p w14:paraId="345D3D2C" w14:textId="77777777" w:rsidR="00152A61" w:rsidRPr="00DB5D0D" w:rsidRDefault="00152A61" w:rsidP="00DB5D0D">
            <w:pPr>
              <w:pStyle w:val="671"/>
              <w:shd w:val="clear" w:color="auto" w:fill="auto"/>
              <w:spacing w:line="240" w:lineRule="auto"/>
              <w:jc w:val="both"/>
              <w:rPr>
                <w:rFonts w:ascii="Times New Roman" w:hAnsi="Times New Roman" w:cs="Times New Roman"/>
                <w:b w:val="0"/>
                <w:color w:val="000000" w:themeColor="text1"/>
                <w:spacing w:val="0"/>
                <w:sz w:val="16"/>
                <w:szCs w:val="16"/>
              </w:rPr>
            </w:pPr>
            <w:r w:rsidRPr="00DB5D0D">
              <w:rPr>
                <w:rFonts w:ascii="Times New Roman" w:hAnsi="Times New Roman" w:cs="Times New Roman"/>
                <w:b w:val="0"/>
                <w:color w:val="000000" w:themeColor="text1"/>
                <w:spacing w:val="0"/>
                <w:sz w:val="16"/>
                <w:szCs w:val="16"/>
              </w:rPr>
              <w:t>Марка</w:t>
            </w:r>
          </w:p>
        </w:tc>
        <w:tc>
          <w:tcPr>
            <w:tcW w:w="494" w:type="dxa"/>
            <w:tcBorders>
              <w:top w:val="single" w:sz="4" w:space="0" w:color="auto"/>
              <w:left w:val="single" w:sz="4" w:space="0" w:color="auto"/>
              <w:bottom w:val="single" w:sz="4" w:space="0" w:color="auto"/>
              <w:right w:val="single" w:sz="4" w:space="0" w:color="auto"/>
            </w:tcBorders>
            <w:shd w:val="clear" w:color="auto" w:fill="FFFFFF"/>
          </w:tcPr>
          <w:p w14:paraId="78008970" w14:textId="77777777" w:rsidR="00152A61" w:rsidRPr="00DB5D0D" w:rsidRDefault="00152A61"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1933</w:t>
            </w:r>
          </w:p>
        </w:tc>
        <w:tc>
          <w:tcPr>
            <w:tcW w:w="993" w:type="dxa"/>
            <w:gridSpan w:val="2"/>
            <w:tcBorders>
              <w:top w:val="single" w:sz="4" w:space="0" w:color="auto"/>
              <w:left w:val="single" w:sz="4" w:space="0" w:color="auto"/>
              <w:bottom w:val="single" w:sz="4" w:space="0" w:color="auto"/>
              <w:right w:val="single" w:sz="4" w:space="0" w:color="auto"/>
            </w:tcBorders>
            <w:shd w:val="clear" w:color="auto" w:fill="FFFFFF"/>
          </w:tcPr>
          <w:p w14:paraId="47A58054" w14:textId="77777777" w:rsidR="00152A61" w:rsidRPr="00DB5D0D" w:rsidRDefault="00152A61"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1934 ! 1935</w:t>
            </w:r>
          </w:p>
        </w:tc>
        <w:tc>
          <w:tcPr>
            <w:tcW w:w="494" w:type="dxa"/>
            <w:tcBorders>
              <w:top w:val="single" w:sz="4" w:space="0" w:color="auto"/>
              <w:left w:val="single" w:sz="4" w:space="0" w:color="auto"/>
              <w:bottom w:val="single" w:sz="4" w:space="0" w:color="auto"/>
              <w:right w:val="single" w:sz="4" w:space="0" w:color="auto"/>
            </w:tcBorders>
            <w:shd w:val="clear" w:color="auto" w:fill="FFFFFF"/>
          </w:tcPr>
          <w:p w14:paraId="3338ED0F" w14:textId="77777777" w:rsidR="00152A61" w:rsidRPr="00DB5D0D" w:rsidRDefault="00152A61"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1936</w:t>
            </w:r>
          </w:p>
        </w:tc>
        <w:tc>
          <w:tcPr>
            <w:tcW w:w="994" w:type="dxa"/>
            <w:tcBorders>
              <w:top w:val="single" w:sz="4" w:space="0" w:color="auto"/>
              <w:left w:val="single" w:sz="4" w:space="0" w:color="auto"/>
              <w:bottom w:val="single" w:sz="4" w:space="0" w:color="auto"/>
              <w:right w:val="single" w:sz="4" w:space="0" w:color="auto"/>
            </w:tcBorders>
            <w:shd w:val="clear" w:color="auto" w:fill="FFFFFF"/>
          </w:tcPr>
          <w:p w14:paraId="29EB2A6C" w14:textId="77777777" w:rsidR="00152A61" w:rsidRPr="00DB5D0D" w:rsidRDefault="00152A61"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1937 1938</w:t>
            </w:r>
          </w:p>
        </w:tc>
        <w:tc>
          <w:tcPr>
            <w:tcW w:w="494" w:type="dxa"/>
            <w:tcBorders>
              <w:top w:val="single" w:sz="4" w:space="0" w:color="auto"/>
              <w:left w:val="single" w:sz="4" w:space="0" w:color="auto"/>
              <w:bottom w:val="single" w:sz="4" w:space="0" w:color="auto"/>
              <w:right w:val="single" w:sz="4" w:space="0" w:color="auto"/>
            </w:tcBorders>
            <w:shd w:val="clear" w:color="auto" w:fill="FFFFFF"/>
          </w:tcPr>
          <w:p w14:paraId="3DC74022" w14:textId="77777777" w:rsidR="00152A61" w:rsidRPr="00DB5D0D" w:rsidRDefault="00152A61"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193Я</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1FF43C75" w14:textId="77777777" w:rsidR="00152A61" w:rsidRPr="00DB5D0D" w:rsidRDefault="00152A61"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1940 1941</w:t>
            </w:r>
          </w:p>
        </w:tc>
      </w:tr>
      <w:tr w:rsidR="007D5DF8" w:rsidRPr="00DB5D0D" w14:paraId="145F9623" w14:textId="77777777" w:rsidTr="00A61CD2">
        <w:trPr>
          <w:trHeight w:val="250"/>
        </w:trPr>
        <w:tc>
          <w:tcPr>
            <w:tcW w:w="600" w:type="dxa"/>
            <w:tcBorders>
              <w:top w:val="single" w:sz="4" w:space="0" w:color="auto"/>
              <w:left w:val="single" w:sz="4" w:space="0" w:color="auto"/>
              <w:bottom w:val="single" w:sz="4" w:space="0" w:color="auto"/>
              <w:right w:val="single" w:sz="4" w:space="0" w:color="auto"/>
            </w:tcBorders>
            <w:shd w:val="clear" w:color="auto" w:fill="FFFFFF"/>
          </w:tcPr>
          <w:p w14:paraId="20DBCD5F"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А-750</w:t>
            </w:r>
          </w:p>
        </w:tc>
        <w:tc>
          <w:tcPr>
            <w:tcW w:w="494" w:type="dxa"/>
            <w:tcBorders>
              <w:top w:val="single" w:sz="4" w:space="0" w:color="auto"/>
              <w:left w:val="single" w:sz="4" w:space="0" w:color="auto"/>
              <w:bottom w:val="single" w:sz="4" w:space="0" w:color="auto"/>
              <w:right w:val="single" w:sz="4" w:space="0" w:color="auto"/>
            </w:tcBorders>
            <w:shd w:val="clear" w:color="auto" w:fill="FFFFFF"/>
          </w:tcPr>
          <w:p w14:paraId="2B626A7D"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4</w:t>
            </w:r>
          </w:p>
        </w:tc>
        <w:tc>
          <w:tcPr>
            <w:tcW w:w="993" w:type="dxa"/>
            <w:gridSpan w:val="2"/>
            <w:tcBorders>
              <w:top w:val="single" w:sz="4" w:space="0" w:color="auto"/>
              <w:left w:val="single" w:sz="4" w:space="0" w:color="auto"/>
              <w:bottom w:val="single" w:sz="4" w:space="0" w:color="auto"/>
              <w:right w:val="single" w:sz="4" w:space="0" w:color="auto"/>
            </w:tcBorders>
            <w:shd w:val="clear" w:color="auto" w:fill="FFFFFF"/>
          </w:tcPr>
          <w:p w14:paraId="799C00FE"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 |           9</w:t>
            </w:r>
          </w:p>
        </w:tc>
        <w:tc>
          <w:tcPr>
            <w:tcW w:w="494" w:type="dxa"/>
            <w:tcBorders>
              <w:top w:val="single" w:sz="4" w:space="0" w:color="auto"/>
              <w:left w:val="single" w:sz="4" w:space="0" w:color="auto"/>
              <w:bottom w:val="single" w:sz="4" w:space="0" w:color="auto"/>
              <w:right w:val="single" w:sz="4" w:space="0" w:color="auto"/>
            </w:tcBorders>
            <w:shd w:val="clear" w:color="auto" w:fill="FFFFFF"/>
          </w:tcPr>
          <w:p w14:paraId="70DF0A54"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1005</w:t>
            </w:r>
          </w:p>
        </w:tc>
        <w:tc>
          <w:tcPr>
            <w:tcW w:w="994" w:type="dxa"/>
            <w:tcBorders>
              <w:top w:val="single" w:sz="4" w:space="0" w:color="auto"/>
              <w:left w:val="single" w:sz="4" w:space="0" w:color="auto"/>
              <w:bottom w:val="single" w:sz="4" w:space="0" w:color="auto"/>
              <w:right w:val="single" w:sz="4" w:space="0" w:color="auto"/>
            </w:tcBorders>
            <w:shd w:val="clear" w:color="auto" w:fill="FFFFFF"/>
          </w:tcPr>
          <w:p w14:paraId="379C34AC"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1259 2180</w:t>
            </w:r>
          </w:p>
        </w:tc>
        <w:tc>
          <w:tcPr>
            <w:tcW w:w="494" w:type="dxa"/>
            <w:tcBorders>
              <w:top w:val="single" w:sz="4" w:space="0" w:color="auto"/>
              <w:left w:val="single" w:sz="4" w:space="0" w:color="auto"/>
              <w:bottom w:val="single" w:sz="4" w:space="0" w:color="auto"/>
              <w:right w:val="single" w:sz="4" w:space="0" w:color="auto"/>
            </w:tcBorders>
            <w:shd w:val="clear" w:color="auto" w:fill="FFFFFF"/>
          </w:tcPr>
          <w:p w14:paraId="7E9D8392"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182</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BCD771D" w14:textId="77777777" w:rsidR="00152A61" w:rsidRPr="00DB5D0D" w:rsidRDefault="00152A61" w:rsidP="00DB5D0D">
            <w:pPr>
              <w:pStyle w:val="691"/>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xml:space="preserve"> -           -</w:t>
            </w:r>
          </w:p>
        </w:tc>
      </w:tr>
      <w:tr w:rsidR="007D5DF8" w:rsidRPr="00DB5D0D" w14:paraId="303724F9" w14:textId="77777777" w:rsidTr="00A61CD2">
        <w:trPr>
          <w:trHeight w:val="240"/>
        </w:trPr>
        <w:tc>
          <w:tcPr>
            <w:tcW w:w="600" w:type="dxa"/>
            <w:tcBorders>
              <w:top w:val="single" w:sz="4" w:space="0" w:color="auto"/>
              <w:left w:val="single" w:sz="4" w:space="0" w:color="auto"/>
              <w:bottom w:val="single" w:sz="4" w:space="0" w:color="auto"/>
              <w:right w:val="single" w:sz="4" w:space="0" w:color="auto"/>
            </w:tcBorders>
            <w:shd w:val="clear" w:color="auto" w:fill="FFFFFF"/>
          </w:tcPr>
          <w:p w14:paraId="320F8745"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АМ-600</w:t>
            </w:r>
          </w:p>
        </w:tc>
        <w:tc>
          <w:tcPr>
            <w:tcW w:w="494" w:type="dxa"/>
            <w:tcBorders>
              <w:top w:val="single" w:sz="4" w:space="0" w:color="auto"/>
              <w:left w:val="single" w:sz="4" w:space="0" w:color="auto"/>
              <w:bottom w:val="single" w:sz="4" w:space="0" w:color="auto"/>
              <w:right w:val="single" w:sz="4" w:space="0" w:color="auto"/>
            </w:tcBorders>
            <w:shd w:val="clear" w:color="auto" w:fill="FFFFFF"/>
          </w:tcPr>
          <w:p w14:paraId="18C531A5" w14:textId="77777777" w:rsidR="00152A61" w:rsidRPr="00DB5D0D" w:rsidRDefault="00152A61" w:rsidP="00DB5D0D">
            <w:pPr>
              <w:spacing w:after="0" w:line="240" w:lineRule="auto"/>
              <w:jc w:val="both"/>
              <w:rPr>
                <w:rFonts w:ascii="Times New Roman" w:hAnsi="Times New Roman"/>
                <w:color w:val="000000" w:themeColor="text1"/>
                <w:sz w:val="16"/>
                <w:szCs w:val="16"/>
              </w:rPr>
            </w:pPr>
          </w:p>
        </w:tc>
        <w:tc>
          <w:tcPr>
            <w:tcW w:w="499" w:type="dxa"/>
            <w:tcBorders>
              <w:top w:val="single" w:sz="4" w:space="0" w:color="auto"/>
              <w:left w:val="single" w:sz="4" w:space="0" w:color="auto"/>
              <w:bottom w:val="single" w:sz="4" w:space="0" w:color="auto"/>
              <w:right w:val="single" w:sz="4" w:space="0" w:color="auto"/>
            </w:tcBorders>
            <w:shd w:val="clear" w:color="auto" w:fill="FFFFFF"/>
          </w:tcPr>
          <w:p w14:paraId="600E36AB" w14:textId="77777777" w:rsidR="00152A61" w:rsidRPr="00DB5D0D" w:rsidRDefault="00152A61" w:rsidP="00DB5D0D">
            <w:pPr>
              <w:pStyle w:val="681"/>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noProof w:val="0"/>
                <w:color w:val="000000" w:themeColor="text1"/>
                <w:sz w:val="16"/>
                <w:szCs w:val="16"/>
              </w:rPr>
              <w:t>-</w:t>
            </w:r>
          </w:p>
        </w:tc>
        <w:tc>
          <w:tcPr>
            <w:tcW w:w="494" w:type="dxa"/>
            <w:tcBorders>
              <w:top w:val="single" w:sz="4" w:space="0" w:color="auto"/>
              <w:left w:val="single" w:sz="4" w:space="0" w:color="auto"/>
              <w:bottom w:val="single" w:sz="4" w:space="0" w:color="auto"/>
              <w:right w:val="single" w:sz="4" w:space="0" w:color="auto"/>
            </w:tcBorders>
            <w:shd w:val="clear" w:color="auto" w:fill="FFFFFF"/>
          </w:tcPr>
          <w:p w14:paraId="1C543303"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521</w:t>
            </w:r>
          </w:p>
        </w:tc>
        <w:tc>
          <w:tcPr>
            <w:tcW w:w="494" w:type="dxa"/>
            <w:tcBorders>
              <w:top w:val="single" w:sz="4" w:space="0" w:color="auto"/>
              <w:left w:val="single" w:sz="4" w:space="0" w:color="auto"/>
              <w:bottom w:val="single" w:sz="4" w:space="0" w:color="auto"/>
              <w:right w:val="single" w:sz="4" w:space="0" w:color="auto"/>
            </w:tcBorders>
            <w:shd w:val="clear" w:color="auto" w:fill="FFFFFF"/>
          </w:tcPr>
          <w:p w14:paraId="6535BB5A"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1500</w:t>
            </w:r>
          </w:p>
        </w:tc>
        <w:tc>
          <w:tcPr>
            <w:tcW w:w="994" w:type="dxa"/>
            <w:tcBorders>
              <w:top w:val="single" w:sz="4" w:space="0" w:color="auto"/>
              <w:left w:val="single" w:sz="4" w:space="0" w:color="auto"/>
              <w:bottom w:val="single" w:sz="4" w:space="0" w:color="auto"/>
              <w:right w:val="single" w:sz="4" w:space="0" w:color="auto"/>
            </w:tcBorders>
            <w:shd w:val="clear" w:color="auto" w:fill="FFFFFF"/>
          </w:tcPr>
          <w:p w14:paraId="59614D8D"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1545 | 1530</w:t>
            </w:r>
          </w:p>
        </w:tc>
        <w:tc>
          <w:tcPr>
            <w:tcW w:w="494" w:type="dxa"/>
            <w:tcBorders>
              <w:top w:val="single" w:sz="4" w:space="0" w:color="auto"/>
              <w:left w:val="single" w:sz="4" w:space="0" w:color="auto"/>
              <w:bottom w:val="single" w:sz="4" w:space="0" w:color="auto"/>
              <w:right w:val="single" w:sz="4" w:space="0" w:color="auto"/>
            </w:tcBorders>
            <w:shd w:val="clear" w:color="auto" w:fill="FFFFFF"/>
          </w:tcPr>
          <w:p w14:paraId="04E8FC9C"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1500</w:t>
            </w:r>
          </w:p>
        </w:tc>
        <w:tc>
          <w:tcPr>
            <w:tcW w:w="998" w:type="dxa"/>
            <w:tcBorders>
              <w:top w:val="single" w:sz="4" w:space="0" w:color="auto"/>
              <w:left w:val="single" w:sz="4" w:space="0" w:color="auto"/>
              <w:bottom w:val="single" w:sz="4" w:space="0" w:color="auto"/>
              <w:right w:val="single" w:sz="4" w:space="0" w:color="auto"/>
            </w:tcBorders>
            <w:shd w:val="clear" w:color="auto" w:fill="FFFFFF"/>
          </w:tcPr>
          <w:p w14:paraId="792F8CBD" w14:textId="77777777" w:rsidR="00152A61" w:rsidRPr="00DB5D0D" w:rsidRDefault="00152A61"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2826    2970</w:t>
            </w:r>
          </w:p>
        </w:tc>
      </w:tr>
    </w:tbl>
    <w:p w14:paraId="4E92371A" w14:textId="77777777" w:rsidR="00152A61" w:rsidRPr="00DB5D0D" w:rsidRDefault="00152A61" w:rsidP="00DB5D0D">
      <w:pPr>
        <w:pStyle w:val="aff1"/>
        <w:shd w:val="clear" w:color="auto" w:fill="auto"/>
        <w:spacing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(15753).</w:t>
      </w:r>
    </w:p>
    <w:p w14:paraId="5A58C7B2" w14:textId="77777777" w:rsidR="00152A61" w:rsidRPr="00DB5D0D" w:rsidRDefault="00152A61" w:rsidP="00DB5D0D">
      <w:pPr>
        <w:pStyle w:val="aff1"/>
        <w:shd w:val="clear" w:color="auto" w:fill="auto"/>
        <w:spacing w:line="240" w:lineRule="auto"/>
        <w:rPr>
          <w:rFonts w:ascii="Times New Roman" w:hAnsi="Times New Roman" w:cs="Times New Roman"/>
          <w:i w:val="0"/>
          <w:color w:val="000000" w:themeColor="text1"/>
          <w:sz w:val="16"/>
          <w:szCs w:val="16"/>
        </w:rPr>
      </w:pPr>
    </w:p>
    <w:p w14:paraId="1AF1DD0B" w14:textId="77777777" w:rsidR="00152A61" w:rsidRPr="00DB5D0D" w:rsidRDefault="00152A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 Маршал Кулик в письме №16673сс маршалу Ворошилову отмечал, что по штатам недостает 26280 мотоциклов с коляской, и 22345 - без колясок. Как видно, общий дефи</w:t>
      </w:r>
      <w:r w:rsidRPr="00DB5D0D">
        <w:rPr>
          <w:rFonts w:ascii="Times New Roman" w:hAnsi="Times New Roman"/>
          <w:color w:val="000000" w:themeColor="text1"/>
          <w:sz w:val="16"/>
          <w:szCs w:val="16"/>
        </w:rPr>
        <w:softHyphen/>
        <w:t>цит мотоциклов в армии п ревышая весь мото- I циклетный парк народного хозяйства. И это без учета пригодности имеющегося мотопара народного хозяйства для военных целей (15769).</w:t>
      </w:r>
    </w:p>
    <w:p w14:paraId="4BB9BF9E" w14:textId="77777777" w:rsidR="00152A61" w:rsidRPr="00DB5D0D" w:rsidRDefault="00152A61" w:rsidP="00DB5D0D">
      <w:pPr>
        <w:spacing w:after="0" w:line="240" w:lineRule="auto"/>
        <w:jc w:val="both"/>
        <w:rPr>
          <w:rFonts w:ascii="Times New Roman" w:hAnsi="Times New Roman"/>
          <w:color w:val="000000" w:themeColor="text1"/>
          <w:sz w:val="16"/>
          <w:szCs w:val="16"/>
        </w:rPr>
      </w:pPr>
    </w:p>
    <w:p w14:paraId="2FF8FB53" w14:textId="77777777" w:rsidR="00153967" w:rsidRPr="00DB5D0D" w:rsidRDefault="0015396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Маршал Кулик в письме № 16673сс маршалу Ворошилову отмечал, что по штатам недостает 26 280 мотоциклов с коляской и 22 345 без колясок. Как видно, общий дефицит мотоциклов в армии, без учета потребностей других силовых структур, превышал весь мотоциклетный парк народного хозяйства. И это без учета пригодности наличного мотопарка народного хозяйства для военных целей. За счет потерь первых дней войны и мобилизации для нужд обороны, наличный парк мотоциклов народного хозяйства к 1 января 1942 г. сократился до 12 606 шт. К 1 мая того же года мотопарк уменьшился до 12 536 шт., включая 5228 шт. у частных владельцев. При этом технически исправные мотоциклы составляли 59 % парка народного хозяйства. Кроме того, технически исправных, но не имеющих резины мотоциклов было 1,3 % парка. Согласно докладу «Сведения о наличии автомобилей, тракторов, прицепов и мотоциклов в Красной Армии на 1.01.42 г.», который подготовил Начальник 1 отдела АТУ военинженер 1 ранга Гольберг, к этому времени у военных имелось 11640 шт. мотоциклов при потребности РККА в 24104 шт. (19776).</w:t>
      </w:r>
    </w:p>
    <w:p w14:paraId="7DCE5A58" w14:textId="77777777" w:rsidR="00153967" w:rsidRPr="00DB5D0D" w:rsidRDefault="00153967" w:rsidP="00DB5D0D">
      <w:pPr>
        <w:spacing w:after="0" w:line="240" w:lineRule="auto"/>
        <w:jc w:val="both"/>
        <w:rPr>
          <w:rFonts w:ascii="Times New Roman" w:hAnsi="Times New Roman"/>
          <w:color w:val="000000" w:themeColor="text1"/>
          <w:sz w:val="16"/>
          <w:szCs w:val="16"/>
        </w:rPr>
      </w:pPr>
    </w:p>
    <w:p w14:paraId="706CCED6" w14:textId="77777777" w:rsidR="00153967" w:rsidRPr="00DB5D0D" w:rsidRDefault="0015396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 в связи с нерешенностью вопроса оснащения армии мотоциклами Замнаркома Обороны Маршал Кулик направил в правительство проект Постановления «Об обеспечении мотоциклами войсковых частей Красной Армии», в сопроводительном письме к которому отмечал, что для штатного укомплектования войсковых частей и соединений Красной Армии требуется 27 740 мотоциклов с коляской и 30 270 мотоциклов без коляски. Фактически же в Красной Армии на 1 мая 1940 имелось 1460 мотоциклов с коляской и 7925 мотоцикл без коляски. Из имевшихся в наличии к устаревшим типам, подлежащим снятию с вооружения относились 2950 мотоциклов Л-300, ИЖ-7 и НАТИ А-750. Маршал Кулик писал: «Для вооружения Красной Армии крайне необходимы мотоциклы с колясками, изготовлением которых занимается только завод № 65 и в весьма ограниченном количестве. За 5 месяцев текущего года завод № 65 изготовил для НКО всего 91 мотоцикл с коляской. Ижевский мотоциклетный завод и завод № 234 выпускают мотоциклы без колясок. Вследствие прекращения выпуска мотоциклов на Подольском Механическом заводе, сокращения производственных площадей, занятых мотоциклостроением на заводе №65, исключительно плохого снабжения мотоциклетных заводов, общий выпуск мотоциклов в стране с 1939 года начал падать […] Все это говорит о том, что мотоциклостроение в нашей стране нуждается в немедленном расширении и капитальных затратах». Предложенный в Правительство проект Постановления предполагал существенное увеличение объемов выпуска мотоциклов военного назначения, для чего требовалось реконструировать имеющиеся заводы, построить новый мощностью 15 тыс. мотоциклов в год, а также организовать на базе НАТИ «Центральный, Конструкторский, Экспериментально-Исследовательский Отдел Мотоциклетной Промышленности». Проект Постановления обсуждался с заинтересованными ведомствами, и к концу июля в Правительство был внесен план объема выпуска мотоциклов на вторую половину 1940 г. и 1941 г. Запчасти к мотоциклам предполагалось поставить НКО в объеме не более 12 % от плана производства мотоциклов в денежном эквиваленте. Комплектование мотоциклов пулеметными установками возлагалось на НКО. После недолгих обсуждений вышло секретное Постановление Правительства по вопросу мотоциклостроения. Основными армейскими мотоциклами с коляской должны были стать ТИЗ-50 и «Нового типа, подлежащего установлению на 750 см3 с карданной передачей, с пулеметной установкой, с коляской». К лету 1941 г. освоить производство в Таганроге нового перспективного мотоцикла не успели, поэтому в программе завода сохранялись АМ-600. Объем выпуска мотоциклов был утвержден 9 марта 1941 г. Постановлением № 456–189сс СНК и ЦК ВКП(б). До конца года завод дол жен был сдать 6000 мотоциклов АМ-600 и 1500 новой модели. С началом войны завод был эвакуирован в Тюмень на площади бывшего пивоваренного завода. Эвакуация проходила с потерями ценного оборудования. Заводские испытатели своим ходом добирались до Тюмени на опытных мотоциклах. Вновь организованное предприятие получило название «Тюменьский мотоциклетный завод» или ТМЗ. В соответствии с правилами современной орфографии «тюменский» пишется без мягкого знака. Официально, согласно решения ГКО от 16 марта 1942 г., ТМЗ должен был вести выпуск запчастей для мотоциклов АМ-600 и с 4 квартала начать производство армейского мотоцикла М-72. Однако фактически, кроме производства неходовых деталей М-72, работы по освоению нового мотоцикла не продвинулись. Поэтому военные и руководство промышленности пришли к выводу, что лучше не переходить на новую модель, а возобновить производство АМ-600 с использованием вывезенного из Таганрога задела. В сентябре 1942 г. были сданы первые 30 мотоциклов. В последующие три месяца изготовили 102, 5 и 50 мотоциклов соответственно. Вопрос числа изготовленных мотоциклов и запчастей к ним также неоднозначен, хотя техника и принималась военпредом. Статистические документы завода из архивов Тюменской области и Наркомата в Москве содержат противоречия. Например, в одном из источников указано, что в 1942 г. завод вновь изготовил четыре мотоцикла М-72, а в другом, что мотоциклов этой марки вообще не изготавливал, и на самом деле мотоциклы прошли капремонт. Впрочем, мотоцикл новой марки завод все-таки сумел изготовить. Это были опытные образцы уникального ТМЗ-53 с приводом на колесо коляски и колесами с широкопрофильными шинами. В ноябре 1943 г. решением ГКО деятельность ТМЗ была прекращена. Оборудование и кадры были направлены на укомплектование Горьковского мотоциклетного завода. Существенная часть архивов поступила в областное архивное управление НКВД и позднее стала доступна исследователям в составе фондов Государтвенного архива Тюменской области. Мотоциклы ТИЗ разных лет выпуска сохранились в бывшем СССР у ряда коллекционеров. Скудость информации (сложно найти инструкции, технические описания и чертежную документацию) способствует тому, что далеко не все из них на ходу и в приемлемом состоянии. При сборке АМ-600 в Тюмени активно использовались комплектующие от М-72, наиболее заметными были седла и иногда даже коляски. Имея в виду освоение перспективного ТИЗ-50 и с учетом использования комплектующих от М-72, в ряде документов мотоцикл именовали АМ-650 (19776).</w:t>
      </w:r>
    </w:p>
    <w:p w14:paraId="1947E51A" w14:textId="77777777" w:rsidR="00153967" w:rsidRPr="00DB5D0D" w:rsidRDefault="00153967" w:rsidP="00DB5D0D">
      <w:pPr>
        <w:spacing w:after="0" w:line="240" w:lineRule="auto"/>
        <w:jc w:val="both"/>
        <w:rPr>
          <w:rFonts w:ascii="Times New Roman" w:hAnsi="Times New Roman"/>
          <w:color w:val="000000" w:themeColor="text1"/>
          <w:sz w:val="16"/>
          <w:szCs w:val="16"/>
        </w:rPr>
      </w:pPr>
    </w:p>
    <w:p w14:paraId="762CC59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2EA47BE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73255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15 июня 1940 г. в ВВС РККА ещё имелось 433 (389 исправных) строевых и 90 (26 исправных) учебных Р-Зет (11995).</w:t>
      </w:r>
    </w:p>
    <w:p w14:paraId="6107617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3251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 в войсковой авиации имелось всего 300 Р-5 (включая Р-5Ш) и 88 ССС. Но с учетом школ общий итог еше выглядел очень внушительным. На 25 сентября в ВВС числились 2445 Р-5, хотя летать были способны только 1631 из них. ССС было значительно меньше - 220 (171 исправный). К этому следует добавить 1237 Р-5 морской авиации.</w:t>
      </w:r>
    </w:p>
    <w:p w14:paraId="6C5ECB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началу Великой Отечественной войны в штурмовых полках Р-5Ш и ССС в основном сменились устаревшими истребителями И-15бис. В войсковой же авиации, бывшей тогда довольно малочисленной, еще сохранялись и Р-5, и ССС. Всего в составе боевых частей ВВС РККА на 22 июня 1941 г. имелось 191 Р-5 и 104 ССС. В большинстве округов старых бипланов оставалось немного - по 30-50 машин. Крупные группировки имелись только в Западном особом округе и на Дальнем Востоке, где несколько полков еше летали на Р-5 и Р-5Ш. Значительная доля этих самолетов была небоеспособна. Для Р-5 процент годных к полетам машин составлял около 70%, для ССС - менее 50% (12934).</w:t>
      </w:r>
    </w:p>
    <w:p w14:paraId="0BB7CB4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FDC4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июня 1940 года в письме начальника химической службы ЗабВО автор извещал начальников химической службы дивизий, располагавшихся тогда на территории нынешней Читинской области - 15-й кавалерийской (ст. Даурия), а также 65-й (ст. Мациевская) и 109-й стрелковых (ст. Харанор), - что в их распоряжение "для отработки занятий по преодолению участка заражения действительными ОВ" выделено по 4 бочки иприта. Показные учения проводились прямо в местах расположения частей: 15-я Кубанская кавалерийская дивизия провела свои учения с ипритом в августе 1940 года в районе своего постоянного расположения в районе ст.Даурия, 109-я стрелковая дивизия - в районе ст. Харанор, 22-я кавалерийская дивизия - на ст. Хадабулак (они закончились поражением химинструктора), 152-я стрелковая дивизия - на ст. Чиндант (Читинская область), 114-я стрелковая дивизия - на ст. Дивизионная (недалеко от Улан-Удэ), 93-я стрелковая дивизия - на ст. Антипиха (недалеко от Читы), ну и т.д. Однако израсходовала 15-я кавалерийская дивизия не 4, а лишь одну бочку иприта, равно как и 109-я стрелковая дивизия потратила не более одной бочки (остальное осталось "под охраной часовых при 544-м стрелковом полку"). В принципе эти 12 бочек иприта могла ждать несколько более определенная судьба, чем тысячи предыдущих их сестер, однако жизнь по-прежнему оказалась сложнее схем - на будущий 1941 год "спущенные" со складов в </w:t>
      </w:r>
      <w:r w:rsidRPr="00DB5D0D">
        <w:rPr>
          <w:rFonts w:ascii="Times New Roman" w:hAnsi="Times New Roman"/>
          <w:color w:val="000000" w:themeColor="text1"/>
          <w:sz w:val="16"/>
          <w:szCs w:val="16"/>
        </w:rPr>
        <w:lastRenderedPageBreak/>
        <w:t>войска и оставшиеся не израсходованными бочки с ипритом скорее всего уже не были потрачены на обучение войск. Они, как и многое другое, по существу растворились в истории (9065).</w:t>
      </w:r>
    </w:p>
    <w:p w14:paraId="366633F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9E4497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15E2758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BC391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 16 июня 1940 г. СССР предъявил правительствам Литвы, Латвии и Эстонии требования относительно размещения на их территории дополнительных контингентов советских войск. Эти требования были приняты (3871).</w:t>
      </w:r>
    </w:p>
    <w:p w14:paraId="08A1D90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109C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15 июня 1940 войска завершили сосредо</w:t>
      </w:r>
      <w:r w:rsidRPr="00DB5D0D">
        <w:rPr>
          <w:rFonts w:ascii="Times New Roman" w:hAnsi="Times New Roman"/>
          <w:color w:val="000000" w:themeColor="text1"/>
          <w:sz w:val="16"/>
          <w:szCs w:val="16"/>
        </w:rPr>
        <w:softHyphen/>
        <w:t>точение и развертывание на границах Литвы, а на границах Латвии и Эстонии - к 16 июня. Группировка выделенных для операции против Литвы, Латвии и Эстонии ВВС РККА насчитывала 2601 самолет. Она включала в себя 18 сред-небомбардировочных, 3 дальнебомбардировочных, 5 тяжелобомбардиро</w:t>
      </w:r>
      <w:r w:rsidRPr="00DB5D0D">
        <w:rPr>
          <w:rFonts w:ascii="Times New Roman" w:hAnsi="Times New Roman"/>
          <w:color w:val="000000" w:themeColor="text1"/>
          <w:sz w:val="16"/>
          <w:szCs w:val="16"/>
        </w:rPr>
        <w:softHyphen/>
        <w:t>вочных, 3 легкобомбардировочных, 2 штурмовых и 16 истребительных авиаполков. Советские войска заняли 15—16 июня большую часть терри</w:t>
      </w:r>
      <w:r w:rsidRPr="00DB5D0D">
        <w:rPr>
          <w:rFonts w:ascii="Times New Roman" w:hAnsi="Times New Roman"/>
          <w:color w:val="000000" w:themeColor="text1"/>
          <w:sz w:val="16"/>
          <w:szCs w:val="16"/>
        </w:rPr>
        <w:softHyphen/>
        <w:t>тории Литвы, а к 21 июня под их контролем уже находилась почти вся тер</w:t>
      </w:r>
      <w:r w:rsidRPr="00DB5D0D">
        <w:rPr>
          <w:rFonts w:ascii="Times New Roman" w:hAnsi="Times New Roman"/>
          <w:color w:val="000000" w:themeColor="text1"/>
          <w:sz w:val="16"/>
          <w:szCs w:val="16"/>
        </w:rPr>
        <w:softHyphen/>
        <w:t>ритория Прибалтики (Мельтюхов М.И. Упущенный шанс Сталина. С. 162-163, 168.). Никаких шансов противостоять этой армаде балтийские страны не име</w:t>
      </w:r>
      <w:r w:rsidRPr="00DB5D0D">
        <w:rPr>
          <w:rFonts w:ascii="Times New Roman" w:hAnsi="Times New Roman"/>
          <w:color w:val="000000" w:themeColor="text1"/>
          <w:sz w:val="16"/>
          <w:szCs w:val="16"/>
        </w:rPr>
        <w:softHyphen/>
        <w:t>ли. Самым слабым потенциальным противником была Эстония, о которой речь шла выше (11710,411).</w:t>
      </w:r>
    </w:p>
    <w:p w14:paraId="4C49AC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159C2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части КА перешли границу Литвы и с августа самостоятельная Литовская республика перестала существовать (126,16).</w:t>
      </w:r>
    </w:p>
    <w:p w14:paraId="2B8AF5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этот день над Каунасском аэродроме зафиксировали посадку 3 И-153, а затем транспортного, с которого стали выгружать технику и солдат. Поставили часовых у ангаров. У литовцев было 120 военных самолета 19 типов в Каунасе, Шауляее и Паневежисе (238,129).</w:t>
      </w:r>
    </w:p>
    <w:p w14:paraId="0CEE416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50FB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15 июня 1940:</w:t>
      </w:r>
    </w:p>
    <w:p w14:paraId="5CDB44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80. Состав ВВС Латвии в 1939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14"/>
        <w:gridCol w:w="1994"/>
        <w:gridCol w:w="3074"/>
      </w:tblGrid>
      <w:tr w:rsidR="007D5DF8" w:rsidRPr="00DB5D0D" w14:paraId="3646E878" w14:textId="77777777" w:rsidTr="009223E5">
        <w:trPr>
          <w:trHeight w:val="360"/>
        </w:trPr>
        <w:tc>
          <w:tcPr>
            <w:tcW w:w="1814" w:type="dxa"/>
            <w:tcBorders>
              <w:top w:val="single" w:sz="12" w:space="0" w:color="auto"/>
            </w:tcBorders>
          </w:tcPr>
          <w:p w14:paraId="62DF95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соединение</w:t>
            </w:r>
          </w:p>
        </w:tc>
        <w:tc>
          <w:tcPr>
            <w:tcW w:w="1994" w:type="dxa"/>
            <w:tcBorders>
              <w:top w:val="single" w:sz="12" w:space="0" w:color="auto"/>
            </w:tcBorders>
          </w:tcPr>
          <w:p w14:paraId="367B0A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w:t>
            </w:r>
          </w:p>
        </w:tc>
        <w:tc>
          <w:tcPr>
            <w:tcW w:w="3074" w:type="dxa"/>
            <w:tcBorders>
              <w:top w:val="single" w:sz="12" w:space="0" w:color="auto"/>
            </w:tcBorders>
          </w:tcPr>
          <w:p w14:paraId="2940CE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и их количество</w:t>
            </w:r>
          </w:p>
        </w:tc>
      </w:tr>
      <w:tr w:rsidR="007D5DF8" w:rsidRPr="00DB5D0D" w14:paraId="0541404D" w14:textId="77777777" w:rsidTr="009223E5">
        <w:trPr>
          <w:trHeight w:val="367"/>
        </w:trPr>
        <w:tc>
          <w:tcPr>
            <w:tcW w:w="1814" w:type="dxa"/>
          </w:tcPr>
          <w:p w14:paraId="595120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1-я эскадрилья</w:t>
            </w:r>
          </w:p>
        </w:tc>
        <w:tc>
          <w:tcPr>
            <w:tcW w:w="1994" w:type="dxa"/>
          </w:tcPr>
          <w:p w14:paraId="186A16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истребительная</w:t>
            </w:r>
          </w:p>
        </w:tc>
        <w:tc>
          <w:tcPr>
            <w:tcW w:w="3074" w:type="dxa"/>
          </w:tcPr>
          <w:p w14:paraId="38FE0C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Gloster Gladiator - 13</w:t>
            </w:r>
          </w:p>
        </w:tc>
      </w:tr>
      <w:tr w:rsidR="007D5DF8" w:rsidRPr="00DB5D0D" w14:paraId="7C0D97E5" w14:textId="77777777" w:rsidTr="009223E5">
        <w:trPr>
          <w:trHeight w:val="346"/>
        </w:trPr>
        <w:tc>
          <w:tcPr>
            <w:tcW w:w="1814" w:type="dxa"/>
          </w:tcPr>
          <w:p w14:paraId="334C89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2-ая эскадрилья</w:t>
            </w:r>
          </w:p>
        </w:tc>
        <w:tc>
          <w:tcPr>
            <w:tcW w:w="1994" w:type="dxa"/>
          </w:tcPr>
          <w:p w14:paraId="1A4A01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истребительная</w:t>
            </w:r>
          </w:p>
        </w:tc>
        <w:tc>
          <w:tcPr>
            <w:tcW w:w="3074" w:type="dxa"/>
          </w:tcPr>
          <w:p w14:paraId="24235F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Gloster Gladiator - 12</w:t>
            </w:r>
          </w:p>
        </w:tc>
      </w:tr>
      <w:tr w:rsidR="007D5DF8" w:rsidRPr="00DB5D0D" w14:paraId="75F4E315" w14:textId="77777777" w:rsidTr="009223E5">
        <w:trPr>
          <w:trHeight w:val="346"/>
        </w:trPr>
        <w:tc>
          <w:tcPr>
            <w:tcW w:w="1814" w:type="dxa"/>
          </w:tcPr>
          <w:p w14:paraId="30891F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3-я эскадрилья</w:t>
            </w:r>
          </w:p>
        </w:tc>
        <w:tc>
          <w:tcPr>
            <w:tcW w:w="1994" w:type="dxa"/>
          </w:tcPr>
          <w:p w14:paraId="179326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истребительная</w:t>
            </w:r>
          </w:p>
        </w:tc>
        <w:tc>
          <w:tcPr>
            <w:tcW w:w="3074" w:type="dxa"/>
          </w:tcPr>
          <w:p w14:paraId="0333D1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Bristol Bulldog - 6</w:t>
            </w:r>
          </w:p>
        </w:tc>
      </w:tr>
      <w:tr w:rsidR="007D5DF8" w:rsidRPr="00DB5D0D" w14:paraId="1EEBBB52" w14:textId="77777777" w:rsidTr="009223E5">
        <w:trPr>
          <w:trHeight w:val="353"/>
        </w:trPr>
        <w:tc>
          <w:tcPr>
            <w:tcW w:w="1814" w:type="dxa"/>
          </w:tcPr>
          <w:p w14:paraId="4EB8A3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4-я эскадрилья (Придавалась 1-й пехотной дивизии.)</w:t>
            </w:r>
          </w:p>
        </w:tc>
        <w:tc>
          <w:tcPr>
            <w:tcW w:w="1994" w:type="dxa"/>
          </w:tcPr>
          <w:p w14:paraId="1C59D5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разведывательная</w:t>
            </w:r>
          </w:p>
        </w:tc>
        <w:tc>
          <w:tcPr>
            <w:tcW w:w="3074" w:type="dxa"/>
          </w:tcPr>
          <w:p w14:paraId="3D5271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De Yaviland DH89A-12</w:t>
            </w:r>
          </w:p>
        </w:tc>
      </w:tr>
      <w:tr w:rsidR="007D5DF8" w:rsidRPr="00DB5D0D" w14:paraId="50265FEB" w14:textId="77777777" w:rsidTr="009223E5">
        <w:trPr>
          <w:trHeight w:val="533"/>
        </w:trPr>
        <w:tc>
          <w:tcPr>
            <w:tcW w:w="1814" w:type="dxa"/>
          </w:tcPr>
          <w:p w14:paraId="547E0C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5-я эскадрилья (Придавалась 2-й пехотной дивизии.)</w:t>
            </w:r>
          </w:p>
        </w:tc>
        <w:tc>
          <w:tcPr>
            <w:tcW w:w="1994" w:type="dxa"/>
          </w:tcPr>
          <w:p w14:paraId="02AEE6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разведывательная</w:t>
            </w:r>
          </w:p>
        </w:tc>
        <w:tc>
          <w:tcPr>
            <w:tcW w:w="3074" w:type="dxa"/>
          </w:tcPr>
          <w:p w14:paraId="0ADCB5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Howker Hind - 2 Letov Smolik S-16 - 5</w:t>
            </w:r>
          </w:p>
        </w:tc>
      </w:tr>
      <w:tr w:rsidR="007D5DF8" w:rsidRPr="00DB5D0D" w14:paraId="6E384F40" w14:textId="77777777" w:rsidTr="009223E5">
        <w:trPr>
          <w:trHeight w:val="389"/>
        </w:trPr>
        <w:tc>
          <w:tcPr>
            <w:tcW w:w="1814" w:type="dxa"/>
          </w:tcPr>
          <w:p w14:paraId="6B3A8E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6-я эскадрилья (Придавалась 3-й пехотной дивизии.)</w:t>
            </w:r>
          </w:p>
        </w:tc>
        <w:tc>
          <w:tcPr>
            <w:tcW w:w="1994" w:type="dxa"/>
          </w:tcPr>
          <w:p w14:paraId="4079DB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разведывательная</w:t>
            </w:r>
          </w:p>
        </w:tc>
        <w:tc>
          <w:tcPr>
            <w:tcW w:w="3074" w:type="dxa"/>
          </w:tcPr>
          <w:p w14:paraId="1DD778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Stampet-Vetrongen SV-5 - 10</w:t>
            </w:r>
          </w:p>
        </w:tc>
      </w:tr>
      <w:tr w:rsidR="007D5DF8" w:rsidRPr="00DB5D0D" w14:paraId="495CE72C" w14:textId="77777777" w:rsidTr="009223E5">
        <w:trPr>
          <w:trHeight w:val="562"/>
        </w:trPr>
        <w:tc>
          <w:tcPr>
            <w:tcW w:w="1814" w:type="dxa"/>
          </w:tcPr>
          <w:p w14:paraId="014533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7-я эскадрилья</w:t>
            </w:r>
          </w:p>
        </w:tc>
        <w:tc>
          <w:tcPr>
            <w:tcW w:w="1994" w:type="dxa"/>
          </w:tcPr>
          <w:p w14:paraId="56D67D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 разведки</w:t>
            </w:r>
            <w:r w:rsidRPr="00DB5D0D">
              <w:rPr>
                <w:rFonts w:ascii="Times New Roman" w:hAnsi="Times New Roman"/>
                <w:color w:val="000000" w:themeColor="text1"/>
                <w:sz w:val="16"/>
                <w:szCs w:val="16"/>
                <w:vertAlign w:val="superscript"/>
              </w:rPr>
              <w:t>141</w:t>
            </w:r>
          </w:p>
        </w:tc>
        <w:tc>
          <w:tcPr>
            <w:tcW w:w="3074" w:type="dxa"/>
          </w:tcPr>
          <w:p w14:paraId="7D97F3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Woawker Hind B - 1 Letov Smolik S-16 - 5</w:t>
            </w:r>
          </w:p>
        </w:tc>
      </w:tr>
      <w:tr w:rsidR="007D5DF8" w:rsidRPr="00DB5D0D" w14:paraId="5D11DA10" w14:textId="77777777" w:rsidTr="009223E5">
        <w:trPr>
          <w:trHeight w:val="691"/>
        </w:trPr>
        <w:tc>
          <w:tcPr>
            <w:tcW w:w="1814" w:type="dxa"/>
            <w:tcBorders>
              <w:bottom w:val="single" w:sz="12" w:space="0" w:color="auto"/>
            </w:tcBorders>
          </w:tcPr>
          <w:p w14:paraId="0C1D70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8-я эскадрилья</w:t>
            </w:r>
          </w:p>
        </w:tc>
        <w:tc>
          <w:tcPr>
            <w:tcW w:w="1994" w:type="dxa"/>
            <w:tcBorders>
              <w:bottom w:val="single" w:sz="12" w:space="0" w:color="auto"/>
            </w:tcBorders>
          </w:tcPr>
          <w:p w14:paraId="608139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морская</w:t>
            </w:r>
          </w:p>
        </w:tc>
        <w:tc>
          <w:tcPr>
            <w:tcW w:w="3074" w:type="dxa"/>
            <w:tcBorders>
              <w:bottom w:val="single" w:sz="12" w:space="0" w:color="auto"/>
            </w:tcBorders>
          </w:tcPr>
          <w:p w14:paraId="588E10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Fairey Seal 525 - 5 Heinkel He-4 - 1 Pirate - 1</w:t>
            </w:r>
          </w:p>
        </w:tc>
      </w:tr>
    </w:tbl>
    <w:p w14:paraId="10E772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(11710,527).</w:t>
      </w:r>
    </w:p>
    <w:p w14:paraId="1A2DE34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74B2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15 июня 1940:</w:t>
      </w:r>
    </w:p>
    <w:p w14:paraId="30E6EF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81. Боевые соединения ВВС Литвы (по состоянию на 15 июня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0"/>
        <w:gridCol w:w="1843"/>
        <w:gridCol w:w="3564"/>
      </w:tblGrid>
      <w:tr w:rsidR="007D5DF8" w:rsidRPr="00DB5D0D" w14:paraId="6C79D7DF" w14:textId="77777777" w:rsidTr="009223E5">
        <w:trPr>
          <w:trHeight w:val="245"/>
        </w:trPr>
        <w:tc>
          <w:tcPr>
            <w:tcW w:w="1490" w:type="dxa"/>
            <w:tcBorders>
              <w:top w:val="single" w:sz="12" w:space="0" w:color="auto"/>
            </w:tcBorders>
          </w:tcPr>
          <w:p w14:paraId="266FBE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соединение</w:t>
            </w:r>
          </w:p>
        </w:tc>
        <w:tc>
          <w:tcPr>
            <w:tcW w:w="1843" w:type="dxa"/>
            <w:tcBorders>
              <w:top w:val="single" w:sz="12" w:space="0" w:color="auto"/>
            </w:tcBorders>
          </w:tcPr>
          <w:p w14:paraId="27FCFF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w:t>
            </w:r>
          </w:p>
        </w:tc>
        <w:tc>
          <w:tcPr>
            <w:tcW w:w="3564" w:type="dxa"/>
            <w:tcBorders>
              <w:top w:val="single" w:sz="12" w:space="0" w:color="auto"/>
            </w:tcBorders>
          </w:tcPr>
          <w:p w14:paraId="2FD3D4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и их количество</w:t>
            </w:r>
          </w:p>
        </w:tc>
      </w:tr>
      <w:tr w:rsidR="007D5DF8" w:rsidRPr="00DB5D0D" w14:paraId="7380B474" w14:textId="77777777" w:rsidTr="009223E5">
        <w:trPr>
          <w:trHeight w:val="598"/>
        </w:trPr>
        <w:tc>
          <w:tcPr>
            <w:tcW w:w="1490" w:type="dxa"/>
          </w:tcPr>
          <w:p w14:paraId="195B83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1-ая эскадрилья</w:t>
            </w:r>
          </w:p>
        </w:tc>
        <w:tc>
          <w:tcPr>
            <w:tcW w:w="1843" w:type="dxa"/>
          </w:tcPr>
          <w:p w14:paraId="66C5C2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истребительная</w:t>
            </w:r>
          </w:p>
        </w:tc>
        <w:tc>
          <w:tcPr>
            <w:tcW w:w="3564" w:type="dxa"/>
          </w:tcPr>
          <w:p w14:paraId="4BD2DD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 xml:space="preserve">Dewoitine D5011 - 13Buker </w:t>
            </w:r>
            <w:r w:rsidRPr="00DB5D0D">
              <w:rPr>
                <w:rFonts w:ascii="Times New Roman" w:hAnsi="Times New Roman"/>
                <w:color w:val="000000" w:themeColor="text1"/>
                <w:sz w:val="16"/>
                <w:szCs w:val="16"/>
              </w:rPr>
              <w:t>В</w:t>
            </w:r>
            <w:r w:rsidRPr="00DB5D0D">
              <w:rPr>
                <w:rFonts w:ascii="Times New Roman" w:hAnsi="Times New Roman"/>
                <w:color w:val="000000" w:themeColor="text1"/>
                <w:sz w:val="16"/>
                <w:szCs w:val="16"/>
                <w:lang w:val="en-US"/>
              </w:rPr>
              <w:t xml:space="preserve">u 1 33 </w:t>
            </w:r>
            <w:r w:rsidRPr="00DB5D0D">
              <w:rPr>
                <w:rFonts w:ascii="Times New Roman" w:hAnsi="Times New Roman"/>
                <w:color w:val="000000" w:themeColor="text1"/>
                <w:sz w:val="16"/>
                <w:szCs w:val="16"/>
              </w:rPr>
              <w:t>С</w:t>
            </w:r>
            <w:r w:rsidRPr="00DB5D0D">
              <w:rPr>
                <w:rFonts w:ascii="Times New Roman" w:hAnsi="Times New Roman"/>
                <w:color w:val="000000" w:themeColor="text1"/>
                <w:sz w:val="16"/>
                <w:szCs w:val="16"/>
                <w:lang w:val="en-US"/>
              </w:rPr>
              <w:t xml:space="preserve"> «Jungmeister » - 1</w:t>
            </w:r>
          </w:p>
        </w:tc>
      </w:tr>
      <w:tr w:rsidR="007D5DF8" w:rsidRPr="00DB5D0D" w14:paraId="57FEE44C" w14:textId="77777777" w:rsidTr="009223E5">
        <w:trPr>
          <w:trHeight w:val="540"/>
        </w:trPr>
        <w:tc>
          <w:tcPr>
            <w:tcW w:w="1490" w:type="dxa"/>
          </w:tcPr>
          <w:p w14:paraId="2B97AC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5-я эскадрилья</w:t>
            </w:r>
          </w:p>
        </w:tc>
        <w:tc>
          <w:tcPr>
            <w:tcW w:w="1843" w:type="dxa"/>
          </w:tcPr>
          <w:p w14:paraId="74AFFD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истребительная</w:t>
            </w:r>
          </w:p>
        </w:tc>
        <w:tc>
          <w:tcPr>
            <w:tcW w:w="3564" w:type="dxa"/>
          </w:tcPr>
          <w:p w14:paraId="1E8B10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 xml:space="preserve">Gloster Gladiator-14 Buker </w:t>
            </w:r>
            <w:r w:rsidRPr="00DB5D0D">
              <w:rPr>
                <w:rFonts w:ascii="Times New Roman" w:hAnsi="Times New Roman"/>
                <w:color w:val="000000" w:themeColor="text1"/>
                <w:sz w:val="16"/>
                <w:szCs w:val="16"/>
              </w:rPr>
              <w:t>В</w:t>
            </w:r>
            <w:r w:rsidRPr="00DB5D0D">
              <w:rPr>
                <w:rFonts w:ascii="Times New Roman" w:hAnsi="Times New Roman"/>
                <w:color w:val="000000" w:themeColor="text1"/>
                <w:sz w:val="16"/>
                <w:szCs w:val="16"/>
                <w:lang w:val="en-US"/>
              </w:rPr>
              <w:t xml:space="preserve">u 1 33 </w:t>
            </w:r>
            <w:r w:rsidRPr="00DB5D0D">
              <w:rPr>
                <w:rFonts w:ascii="Times New Roman" w:hAnsi="Times New Roman"/>
                <w:color w:val="000000" w:themeColor="text1"/>
                <w:sz w:val="16"/>
                <w:szCs w:val="16"/>
              </w:rPr>
              <w:t>С</w:t>
            </w:r>
            <w:r w:rsidRPr="00DB5D0D">
              <w:rPr>
                <w:rFonts w:ascii="Times New Roman" w:hAnsi="Times New Roman"/>
                <w:color w:val="000000" w:themeColor="text1"/>
                <w:sz w:val="16"/>
                <w:szCs w:val="16"/>
                <w:lang w:val="en-US"/>
              </w:rPr>
              <w:t xml:space="preserve"> «Jungmeister » - 2</w:t>
            </w:r>
          </w:p>
        </w:tc>
      </w:tr>
      <w:tr w:rsidR="007D5DF8" w:rsidRPr="00DB5D0D" w14:paraId="2A5C315B" w14:textId="77777777" w:rsidTr="009223E5">
        <w:trPr>
          <w:trHeight w:val="360"/>
        </w:trPr>
        <w:tc>
          <w:tcPr>
            <w:tcW w:w="1490" w:type="dxa"/>
          </w:tcPr>
          <w:p w14:paraId="688919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7-я эскадрилья</w:t>
            </w:r>
          </w:p>
        </w:tc>
        <w:tc>
          <w:tcPr>
            <w:tcW w:w="1843" w:type="dxa"/>
          </w:tcPr>
          <w:p w14:paraId="6EAE4C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истребительная</w:t>
            </w:r>
          </w:p>
        </w:tc>
        <w:tc>
          <w:tcPr>
            <w:tcW w:w="3564" w:type="dxa"/>
          </w:tcPr>
          <w:p w14:paraId="2FAA11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Fiat CR-20 - 7, АNBO-51 - 1</w:t>
            </w:r>
          </w:p>
        </w:tc>
      </w:tr>
      <w:tr w:rsidR="007D5DF8" w:rsidRPr="00DB5D0D" w14:paraId="69DD134D" w14:textId="77777777" w:rsidTr="009223E5">
        <w:trPr>
          <w:trHeight w:val="331"/>
        </w:trPr>
        <w:tc>
          <w:tcPr>
            <w:tcW w:w="1490" w:type="dxa"/>
          </w:tcPr>
          <w:p w14:paraId="2DDE34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2-я эскадрилья</w:t>
            </w:r>
          </w:p>
        </w:tc>
        <w:tc>
          <w:tcPr>
            <w:tcW w:w="1843" w:type="dxa"/>
          </w:tcPr>
          <w:p w14:paraId="409293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разведывательная</w:t>
            </w:r>
          </w:p>
        </w:tc>
        <w:tc>
          <w:tcPr>
            <w:tcW w:w="3564" w:type="dxa"/>
          </w:tcPr>
          <w:p w14:paraId="52217D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АNВО-41 - 7</w:t>
            </w:r>
          </w:p>
        </w:tc>
      </w:tr>
      <w:tr w:rsidR="007D5DF8" w:rsidRPr="00DB5D0D" w14:paraId="6E86B430" w14:textId="77777777" w:rsidTr="009223E5">
        <w:trPr>
          <w:trHeight w:val="338"/>
        </w:trPr>
        <w:tc>
          <w:tcPr>
            <w:tcW w:w="1490" w:type="dxa"/>
          </w:tcPr>
          <w:p w14:paraId="613A69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6-я эскадрилья</w:t>
            </w:r>
          </w:p>
        </w:tc>
        <w:tc>
          <w:tcPr>
            <w:tcW w:w="1843" w:type="dxa"/>
          </w:tcPr>
          <w:p w14:paraId="18E6CA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разведывательная</w:t>
            </w:r>
          </w:p>
        </w:tc>
        <w:tc>
          <w:tcPr>
            <w:tcW w:w="3564" w:type="dxa"/>
          </w:tcPr>
          <w:p w14:paraId="68F733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АNВО-41 - 3, АNВО-1У М - 3, Аlbatros JII - 1</w:t>
            </w:r>
          </w:p>
        </w:tc>
      </w:tr>
      <w:tr w:rsidR="007D5DF8" w:rsidRPr="00DB5D0D" w14:paraId="3B47401A" w14:textId="77777777" w:rsidTr="009223E5">
        <w:trPr>
          <w:trHeight w:val="353"/>
        </w:trPr>
        <w:tc>
          <w:tcPr>
            <w:tcW w:w="1490" w:type="dxa"/>
          </w:tcPr>
          <w:p w14:paraId="40BB79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8-я эскадрилья</w:t>
            </w:r>
          </w:p>
        </w:tc>
        <w:tc>
          <w:tcPr>
            <w:tcW w:w="1843" w:type="dxa"/>
          </w:tcPr>
          <w:p w14:paraId="733856A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разведывательная</w:t>
            </w:r>
          </w:p>
        </w:tc>
        <w:tc>
          <w:tcPr>
            <w:tcW w:w="3564" w:type="dxa"/>
          </w:tcPr>
          <w:p w14:paraId="536095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АNВО-1УL - 6, АNВО-51 - 1, Аlbatros JII - 1</w:t>
            </w:r>
          </w:p>
        </w:tc>
      </w:tr>
      <w:tr w:rsidR="007D5DF8" w:rsidRPr="00DB5D0D" w14:paraId="48154A97" w14:textId="77777777" w:rsidTr="009223E5">
        <w:trPr>
          <w:trHeight w:val="374"/>
        </w:trPr>
        <w:tc>
          <w:tcPr>
            <w:tcW w:w="1490" w:type="dxa"/>
          </w:tcPr>
          <w:p w14:paraId="377309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3-я эскадрилья</w:t>
            </w:r>
          </w:p>
        </w:tc>
        <w:tc>
          <w:tcPr>
            <w:tcW w:w="1843" w:type="dxa"/>
          </w:tcPr>
          <w:p w14:paraId="5330F4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бомбардировочная</w:t>
            </w:r>
          </w:p>
        </w:tc>
        <w:tc>
          <w:tcPr>
            <w:tcW w:w="3564" w:type="dxa"/>
          </w:tcPr>
          <w:p w14:paraId="181711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w:t>
            </w:r>
            <w:r w:rsidRPr="00DB5D0D">
              <w:rPr>
                <w:rFonts w:ascii="Times New Roman" w:hAnsi="Times New Roman"/>
                <w:color w:val="000000" w:themeColor="text1"/>
                <w:sz w:val="16"/>
                <w:szCs w:val="16"/>
                <w:lang w:val="en-US"/>
              </w:rPr>
              <w:t xml:space="preserve">nsaldo </w:t>
            </w:r>
            <w:r w:rsidRPr="00DB5D0D">
              <w:rPr>
                <w:rFonts w:ascii="Times New Roman" w:hAnsi="Times New Roman"/>
                <w:color w:val="000000" w:themeColor="text1"/>
                <w:sz w:val="16"/>
                <w:szCs w:val="16"/>
              </w:rPr>
              <w:t>А</w:t>
            </w:r>
            <w:r w:rsidRPr="00DB5D0D">
              <w:rPr>
                <w:rFonts w:ascii="Times New Roman" w:hAnsi="Times New Roman"/>
                <w:color w:val="000000" w:themeColor="text1"/>
                <w:sz w:val="16"/>
                <w:szCs w:val="16"/>
                <w:lang w:val="en-US"/>
              </w:rPr>
              <w:t xml:space="preserve">120 - 14, De </w:t>
            </w:r>
            <w:r w:rsidRPr="00DB5D0D">
              <w:rPr>
                <w:rFonts w:ascii="Times New Roman" w:hAnsi="Times New Roman"/>
                <w:color w:val="000000" w:themeColor="text1"/>
                <w:sz w:val="16"/>
                <w:szCs w:val="16"/>
              </w:rPr>
              <w:t>На</w:t>
            </w:r>
            <w:r w:rsidRPr="00DB5D0D">
              <w:rPr>
                <w:rFonts w:ascii="Times New Roman" w:hAnsi="Times New Roman"/>
                <w:color w:val="000000" w:themeColor="text1"/>
                <w:sz w:val="16"/>
                <w:szCs w:val="16"/>
                <w:lang w:val="en-US"/>
              </w:rPr>
              <w:t>viland D</w:t>
            </w:r>
            <w:r w:rsidRPr="00DB5D0D">
              <w:rPr>
                <w:rFonts w:ascii="Times New Roman" w:hAnsi="Times New Roman"/>
                <w:color w:val="000000" w:themeColor="text1"/>
                <w:sz w:val="16"/>
                <w:szCs w:val="16"/>
              </w:rPr>
              <w:t>Н</w:t>
            </w:r>
            <w:r w:rsidRPr="00DB5D0D">
              <w:rPr>
                <w:rFonts w:ascii="Times New Roman" w:hAnsi="Times New Roman"/>
                <w:color w:val="000000" w:themeColor="text1"/>
                <w:sz w:val="16"/>
                <w:szCs w:val="16"/>
                <w:lang w:val="en-US"/>
              </w:rPr>
              <w:t xml:space="preserve"> 89</w:t>
            </w:r>
            <w:r w:rsidRPr="00DB5D0D">
              <w:rPr>
                <w:rFonts w:ascii="Times New Roman" w:hAnsi="Times New Roman"/>
                <w:color w:val="000000" w:themeColor="text1"/>
                <w:sz w:val="16"/>
                <w:szCs w:val="16"/>
              </w:rPr>
              <w:t>А</w:t>
            </w:r>
            <w:r w:rsidRPr="00DB5D0D">
              <w:rPr>
                <w:rFonts w:ascii="Times New Roman" w:hAnsi="Times New Roman"/>
                <w:color w:val="000000" w:themeColor="text1"/>
                <w:sz w:val="16"/>
                <w:szCs w:val="16"/>
                <w:lang w:val="en-US"/>
              </w:rPr>
              <w:t xml:space="preserve"> - 2,ANBO-51 - 1? </w:t>
            </w:r>
            <w:r w:rsidRPr="00DB5D0D">
              <w:rPr>
                <w:rFonts w:ascii="Times New Roman" w:hAnsi="Times New Roman"/>
                <w:color w:val="000000" w:themeColor="text1"/>
                <w:sz w:val="16"/>
                <w:szCs w:val="16"/>
              </w:rPr>
              <w:t>LVG CVI -1</w:t>
            </w:r>
          </w:p>
        </w:tc>
      </w:tr>
      <w:tr w:rsidR="007D5DF8" w:rsidRPr="00DB5D0D" w14:paraId="21AF0232" w14:textId="77777777" w:rsidTr="009223E5">
        <w:trPr>
          <w:trHeight w:val="439"/>
        </w:trPr>
        <w:tc>
          <w:tcPr>
            <w:tcW w:w="1490" w:type="dxa"/>
            <w:tcBorders>
              <w:bottom w:val="single" w:sz="12" w:space="0" w:color="auto"/>
            </w:tcBorders>
          </w:tcPr>
          <w:p w14:paraId="73DB4D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4-я эскадрилья</w:t>
            </w:r>
          </w:p>
        </w:tc>
        <w:tc>
          <w:tcPr>
            <w:tcW w:w="1843" w:type="dxa"/>
            <w:tcBorders>
              <w:bottom w:val="single" w:sz="12" w:space="0" w:color="auto"/>
            </w:tcBorders>
          </w:tcPr>
          <w:p w14:paraId="3F3E24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бомбардировочная</w:t>
            </w:r>
          </w:p>
        </w:tc>
        <w:tc>
          <w:tcPr>
            <w:tcW w:w="3564" w:type="dxa"/>
            <w:tcBorders>
              <w:bottom w:val="single" w:sz="12" w:space="0" w:color="auto"/>
            </w:tcBorders>
          </w:tcPr>
          <w:p w14:paraId="4E049A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АNBО-41- 10, LVGCV1 - 1</w:t>
            </w:r>
          </w:p>
        </w:tc>
      </w:tr>
    </w:tbl>
    <w:p w14:paraId="51F3EA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(11710,528).</w:t>
      </w:r>
    </w:p>
    <w:p w14:paraId="158145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B5FADF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0A1335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E602300" w14:textId="77777777" w:rsidR="00F40BC0" w:rsidRPr="00DB5D0D" w:rsidRDefault="00F40BC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15–18 июня 1940 прикрытие истребителей Королевских ВВС позволяет без потерь эвакуировать по морю из Франции в Соединенное Королевство 52 104 военнослужащих из Шербура и Сен-Мало , Франция (20795).</w:t>
      </w:r>
    </w:p>
    <w:p w14:paraId="092B9B2F" w14:textId="77777777" w:rsidR="00F40BC0" w:rsidRPr="00DB5D0D" w:rsidRDefault="00F40BC0" w:rsidP="00DB5D0D">
      <w:pPr>
        <w:spacing w:after="0" w:line="240" w:lineRule="auto"/>
        <w:jc w:val="both"/>
        <w:rPr>
          <w:rFonts w:ascii="Times New Roman" w:hAnsi="Times New Roman"/>
          <w:color w:val="0070C0"/>
          <w:sz w:val="16"/>
          <w:szCs w:val="16"/>
        </w:rPr>
      </w:pPr>
    </w:p>
    <w:p w14:paraId="033C932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начата эвакуация английских войск из Шербурга (Франция) (4962).</w:t>
      </w:r>
    </w:p>
    <w:p w14:paraId="45E668F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355496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немцам капитулировала французская крепость Верден, над дворцом Версаля поднят флаг со свастикой (4962).</w:t>
      </w:r>
    </w:p>
    <w:p w14:paraId="69EE19C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E6009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немцы захватили крепость Верден (2100).</w:t>
      </w:r>
    </w:p>
    <w:p w14:paraId="75512A7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D79F5A"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15th, 1940: In the West, German forces of 7. Armee break into the Maginot Line and capture Verdun. 30,600 British and Canadian troops are evacuated from Cherbourg, Brest and St. Malo (3819).</w:t>
      </w:r>
    </w:p>
    <w:p w14:paraId="7C092478"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5C91B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германские войска прорвались через линию Мажино и захватили Верден. 30 тыс. британских и канадских войск были эвакуированы из Шербура, Бреста и Ст. Мало (3819).</w:t>
      </w:r>
    </w:p>
    <w:p w14:paraId="0F33227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BE80E1" w14:textId="77777777" w:rsidR="00996372" w:rsidRPr="00DB5D0D" w:rsidRDefault="009963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15 июня</w:t>
      </w:r>
      <w:r w:rsidRPr="00DB5D0D">
        <w:rPr>
          <w:rFonts w:ascii="Times New Roman" w:hAnsi="Times New Roman"/>
          <w:color w:val="000000" w:themeColor="text1"/>
          <w:sz w:val="16"/>
          <w:szCs w:val="16"/>
        </w:rPr>
        <w:t xml:space="preserve"> в 1940 году количество беженцев с севера Франции на юг достигло 6 миллионов (в том числе Париж покинуло три четверти населения) (14923).</w:t>
      </w:r>
    </w:p>
    <w:p w14:paraId="22631A6C" w14:textId="77777777" w:rsidR="00996372" w:rsidRPr="00DB5D0D" w:rsidRDefault="00996372" w:rsidP="00DB5D0D">
      <w:pPr>
        <w:spacing w:after="0" w:line="240" w:lineRule="auto"/>
        <w:jc w:val="both"/>
        <w:rPr>
          <w:rFonts w:ascii="Times New Roman" w:hAnsi="Times New Roman"/>
          <w:color w:val="000000" w:themeColor="text1"/>
          <w:sz w:val="16"/>
          <w:szCs w:val="16"/>
        </w:rPr>
      </w:pPr>
    </w:p>
    <w:p w14:paraId="4EF95D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французские войска оставили Линию Мажино (2244,5).</w:t>
      </w:r>
    </w:p>
    <w:p w14:paraId="4F786D2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012B6A" w14:textId="77777777" w:rsidR="00996372" w:rsidRPr="00DB5D0D" w:rsidRDefault="009963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15 июня</w:t>
      </w:r>
      <w:r w:rsidRPr="00DB5D0D">
        <w:rPr>
          <w:rFonts w:ascii="Times New Roman" w:hAnsi="Times New Roman"/>
          <w:color w:val="000000" w:themeColor="text1"/>
          <w:sz w:val="16"/>
          <w:szCs w:val="16"/>
        </w:rPr>
        <w:t xml:space="preserve"> в 1940 году французское правительство эвакуировалось из Тура в Бордо (14923).</w:t>
      </w:r>
    </w:p>
    <w:p w14:paraId="79EB7A10" w14:textId="77777777" w:rsidR="00996372" w:rsidRPr="00DB5D0D" w:rsidRDefault="00996372" w:rsidP="00DB5D0D">
      <w:pPr>
        <w:spacing w:after="0" w:line="240" w:lineRule="auto"/>
        <w:jc w:val="both"/>
        <w:rPr>
          <w:rFonts w:ascii="Times New Roman" w:hAnsi="Times New Roman"/>
          <w:color w:val="000000" w:themeColor="text1"/>
          <w:sz w:val="16"/>
          <w:szCs w:val="16"/>
        </w:rPr>
      </w:pPr>
    </w:p>
    <w:p w14:paraId="59B6C1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А.Г. демобилизовал 40 дивизий из 160 и сделал вид, что война закончена, т.к. англичане сами предложат начать переговоры (2536,114).</w:t>
      </w:r>
    </w:p>
    <w:p w14:paraId="533C91E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B6FF7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15 Sat. 1940 President approves an act to increase naval aviation to a strength of not more than 10,000 aircraft (1064).</w:t>
      </w:r>
    </w:p>
    <w:p w14:paraId="68739EA5"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69A0A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Франция обратилась за помощью к США, но получила отказ (3907,223).</w:t>
      </w:r>
    </w:p>
    <w:p w14:paraId="4E80034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00A15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Ф.Д.Р. принял закон, предусматривающий рост морской авиации до 10000 самолетов (1064).</w:t>
      </w:r>
    </w:p>
    <w:p w14:paraId="3DDB588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DF420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президент США Ф. Рузвельт отдал приказ о создании атомной бомбы (4962).</w:t>
      </w:r>
    </w:p>
    <w:p w14:paraId="69F5C9D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54DCE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Philip Abelson и Edwin McMillan показали, что облучение урана 238 приводит к образолванияю нептуния, который вскоре преобразутся в плутоний. Британское правительство запретило публикацию и с этого дня все публикации в области деления прекратились (2220).</w:t>
      </w:r>
    </w:p>
    <w:p w14:paraId="64EFF72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E865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Э.Ферми на заседании Уранового комитета в Вашингтоне доложил, что измерения показали хорошую поглощающую способность чистого графита и что он может использоваться в качестве замедлителя. В соответствии с новыми правилами секретности это открытие не было опубликовано (2220).</w:t>
      </w:r>
    </w:p>
    <w:p w14:paraId="42845E7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2A08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по указанию Ф.Д.Р. преобразовал Урановый комитет в часть Национального комитета по оборонным исследованиям (NDRC), возглавляемый Vannevar Bush. Руководство перешло к ученым. Американские университеты и предприятия стали получать контракты на исследования в области деления (2220).</w:t>
      </w:r>
    </w:p>
    <w:p w14:paraId="4689731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119FE9" w14:textId="77777777" w:rsidR="00996372" w:rsidRPr="00DB5D0D" w:rsidRDefault="009963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15 июня</w:t>
      </w:r>
      <w:r w:rsidRPr="00DB5D0D">
        <w:rPr>
          <w:rFonts w:ascii="Times New Roman" w:hAnsi="Times New Roman"/>
          <w:color w:val="000000" w:themeColor="text1"/>
          <w:sz w:val="16"/>
          <w:szCs w:val="16"/>
        </w:rPr>
        <w:t xml:space="preserve"> в 1940 году в американской прессе появилось сообщение об открытии плутония (14923).</w:t>
      </w:r>
    </w:p>
    <w:p w14:paraId="193083F7" w14:textId="77777777" w:rsidR="00996372" w:rsidRPr="00DB5D0D" w:rsidRDefault="00996372" w:rsidP="00DB5D0D">
      <w:pPr>
        <w:spacing w:after="0" w:line="240" w:lineRule="auto"/>
        <w:jc w:val="both"/>
        <w:rPr>
          <w:rFonts w:ascii="Times New Roman" w:hAnsi="Times New Roman"/>
          <w:color w:val="000000" w:themeColor="text1"/>
          <w:sz w:val="16"/>
          <w:szCs w:val="16"/>
        </w:rPr>
      </w:pPr>
    </w:p>
    <w:p w14:paraId="754357CB" w14:textId="77777777" w:rsidR="00996372" w:rsidRPr="00DB5D0D" w:rsidRDefault="009963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15 июня</w:t>
      </w:r>
      <w:r w:rsidRPr="00DB5D0D">
        <w:rPr>
          <w:rFonts w:ascii="Times New Roman" w:hAnsi="Times New Roman"/>
          <w:color w:val="000000" w:themeColor="text1"/>
          <w:sz w:val="16"/>
          <w:szCs w:val="16"/>
        </w:rPr>
        <w:t xml:space="preserve"> в 1940 году создание Правительства Литовской республики в изгнании во главе с дипломатическим представителем Литвы в Италии С.Лозорайтисом в Риме. После ввода на территорию Латвии, Литвы и Эстонии частей Красной Армии в них были созданы (15-17 июня) просоветские правительства и проведены выборы в высшие органы власти. Новые парламенты обратились к советскому правительству с просьбой о принятии их в состав СССР. 3-6 августа Верховный Совет СССР принял решение о вхождении Латвии, Литвы и Эстонии в СССР на правах союзных республик (14923).</w:t>
      </w:r>
    </w:p>
    <w:p w14:paraId="338C0860" w14:textId="77777777" w:rsidR="00996372" w:rsidRPr="00DB5D0D" w:rsidRDefault="00996372" w:rsidP="00DB5D0D">
      <w:pPr>
        <w:spacing w:after="0" w:line="240" w:lineRule="auto"/>
        <w:jc w:val="both"/>
        <w:rPr>
          <w:rFonts w:ascii="Times New Roman" w:hAnsi="Times New Roman"/>
          <w:color w:val="000000" w:themeColor="text1"/>
          <w:sz w:val="16"/>
          <w:szCs w:val="16"/>
        </w:rPr>
      </w:pPr>
    </w:p>
    <w:p w14:paraId="1E2A07A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D74045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6D6FDF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июня 1940 года председатель КО К. Ворошилов и секретарь КО М. Пугаев</w:t>
      </w:r>
    </w:p>
    <w:p w14:paraId="30DA5C8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одноместного пикирующего бомбардировщика с одним мотором М-90</w:t>
      </w:r>
    </w:p>
    <w:p w14:paraId="441B7DE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6DBAEEB9"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Наркомавиапрому – директора завода № 156 – Ленкина и главного конструктора – Кочерыгина спроектировать и построить одноместный пикирующий бомбардировщик с мотором М-90 и предъявить на гос. испытания:</w:t>
      </w:r>
    </w:p>
    <w:p w14:paraId="3765123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 1 февраля 1941 года</w:t>
      </w:r>
    </w:p>
    <w:p w14:paraId="3B77935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 1 апреля 1941 года</w:t>
      </w:r>
    </w:p>
    <w:p w14:paraId="755BD9D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следующими летно-тактическими данными:</w:t>
      </w:r>
    </w:p>
    <w:p w14:paraId="5FC06B7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7000 м – 600 км/час</w:t>
      </w:r>
    </w:p>
    <w:p w14:paraId="73E778C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140 км/час</w:t>
      </w:r>
    </w:p>
    <w:p w14:paraId="1211BEF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нормальной нагрузкой на 0,9 максимальной скорости – 1100 км</w:t>
      </w:r>
    </w:p>
    <w:p w14:paraId="4DD6EA3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7000 м – 8,5 мин.</w:t>
      </w:r>
    </w:p>
    <w:p w14:paraId="48E3D81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67E6706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2 пулемета 7,62 мм и в перегрузку 2 пулемета 12,7 мм</w:t>
      </w:r>
    </w:p>
    <w:p w14:paraId="0E721AA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 – внутри фюзеляжа 1х500 или 1х250 кг, под крыльями – 2х250 кг</w:t>
      </w:r>
    </w:p>
    <w:p w14:paraId="4A750AE0"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Отпустить из резервного фонда СНК Наркомавиапрому 9 млн. 400 тыс. рублей, из них: на постройку пикирующих бомбардировщиков с М-90 7 млн. рублей и на премирование конструкторов, инженерно-технических работников, служащих и рабочих завода № 156, в соответствии с Положением о премировании, за выполнение в срок одноместного пикирующего бомбардировщика под отчет наркома авиапромышленности:</w:t>
      </w:r>
    </w:p>
    <w:p w14:paraId="072F128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1-й экземпляр – 1600000 рублей</w:t>
      </w:r>
    </w:p>
    <w:p w14:paraId="33E6DF7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2-й экземпляр – 900000 рублей (3420, 48-49).</w:t>
      </w:r>
    </w:p>
    <w:p w14:paraId="3B17E64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1EEAB4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середины июня 1940 с з-да 39 пошли вперемежку самолеты ДБ-3М с сочетаниями МВ-3 и УЛУ или МВ-3 и МВ-2. (это была 9-я серия, на ДБ-3М нумерацию серий начали заново). Полный переход на новые турели произошел только на 12-й серии в сентябре (7494).</w:t>
      </w:r>
    </w:p>
    <w:p w14:paraId="2D0AF4C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85E23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середины июня 1940 пошли вперемежку самолеты с сочетаниями МВ-3 и УЛУ или МВ-3 и МВ-2 (это была 9-я серия, на ДБ-ЗМ нумерацию серий начали заново). Полный переход на новые турели произошел только на 12-й серии в сентябре. На заводе № 18 в Воронеже МВ-2 и МВ-3 ввели одновременно, на 16-й серии, точнее с самолета № 180416, в июле 1940 г. (12021).</w:t>
      </w:r>
    </w:p>
    <w:p w14:paraId="6E7C4D9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B9317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8AB37B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24601B1" w14:textId="77777777" w:rsidR="001858DE" w:rsidRPr="00DB5D0D" w:rsidRDefault="001858DE"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К середине июня 1940 года был подготовлен эскизный проект орудия БР-23, который попал на рассмотрение Арткома ГАУ. На тот момент боевая масса системы составляла 175 тонн, она включая в себя всё оборудование, включая повозки и прочее оборудование. В общей сложности для перевозки БР-23 требовалось 6 повозок. Не так уж и много: схожая по назначению немецкая система 35.5 cm Haubitze M 1 требовала 7 повозок, хотя и имело заметно меньшую массу.</w:t>
      </w:r>
    </w:p>
    <w:p w14:paraId="32BBD3C5" w14:textId="77777777" w:rsidR="001858DE" w:rsidRPr="00DB5D0D" w:rsidRDefault="001858DE"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Конструкция орудия была такова, что для установки его в боевом положении требовалось рыть котлован размером 5Х12Х1 метр. Он был необходим для установки основания орудия. Далее на основание устанавливался рельсовый путь, по которому перемещался сборный козловой кран, при помощи которого производилась сборка орудия. На все операции по сборке системы требовалось 6 часов, это во многом объясняет, посему в ряде стран пытались подобные системы сделать самоходными. Хотя всё относительно. Правильнее сравнивать БР-23 не с "Большой Бертой", а с более мощной и тяжелой Gamma Mörser. Там требовалось еще больше повозок, да еще и бетонное основание. В идеале бетонная подушка требовалась и БР-23, но при необходимости можно было обойтись и без нее.</w:t>
      </w:r>
    </w:p>
    <w:p w14:paraId="6AB7F8B1" w14:textId="77777777" w:rsidR="001858DE" w:rsidRPr="00DB5D0D" w:rsidRDefault="001858DE"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В собранном виде БР-23 имела горизонтальное наведение в пределах 50 градусов (по 25 градусов в каждую сторону). Наведение проводилось при помощи электродвигателей, но имелась возможность и ручной наводки. Наиболее интересно, можно сказать, остроумно выглядел процесс заряжания. При массе снаряда более чем тонну процесс доставки боеприпасов выглядел непростой задачей. Так что в Сталинграде решили попросту процесс механизировать, используя для подвоза снарядов грузовики. Предполагалось, что скорострельность орудия составит 1 выстрел в 5 минут. Для подобных систем вполне нормальный показатель (у Gamma Mörser он составлял один выстрел в 8 минут) (20880).</w:t>
      </w:r>
    </w:p>
    <w:p w14:paraId="2ECC8D1F" w14:textId="77777777" w:rsidR="001858DE" w:rsidRPr="00DB5D0D" w:rsidRDefault="001858DE" w:rsidP="00DB5D0D">
      <w:pPr>
        <w:pStyle w:val="article-renderblock"/>
        <w:shd w:val="clear" w:color="auto" w:fill="FFFFFF"/>
        <w:spacing w:before="0" w:beforeAutospacing="0" w:after="0" w:afterAutospacing="0"/>
        <w:jc w:val="both"/>
        <w:rPr>
          <w:color w:val="0070C0"/>
          <w:sz w:val="16"/>
          <w:szCs w:val="16"/>
        </w:rPr>
      </w:pPr>
    </w:p>
    <w:p w14:paraId="4B860628" w14:textId="77777777" w:rsidR="002D6121" w:rsidRPr="00DB5D0D" w:rsidRDefault="002D612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середине июня 1940 года заместитель Народного комиссара обороны маршал Кулик поднимал вопрос о недостаточной мощности орудия тяжёлого танка КВ-1. На совещании 16 июня 1940 года было принято решение о разработке 85-мм танковой пушки с баллистикой зенитного орудия 52-К. Созданием орудия, получившего </w:t>
      </w:r>
      <w:r w:rsidRPr="00DB5D0D">
        <w:rPr>
          <w:rFonts w:ascii="Times New Roman" w:eastAsia="Times New Roman" w:hAnsi="Times New Roman"/>
          <w:color w:val="000000" w:themeColor="text1"/>
          <w:sz w:val="16"/>
          <w:szCs w:val="16"/>
          <w:lang w:eastAsia="ru-RU"/>
        </w:rPr>
        <w:lastRenderedPageBreak/>
        <w:t xml:space="preserve">индекс Ф-30, занимался коллектив КБ во главе с В. Г. Грабиным. Пушку поставили в опытный тяжёлый танк </w:t>
      </w:r>
      <w:hyperlink r:id="rId125" w:history="1">
        <w:r w:rsidRPr="00DB5D0D">
          <w:rPr>
            <w:rFonts w:ascii="Times New Roman" w:eastAsia="Times New Roman" w:hAnsi="Times New Roman"/>
            <w:color w:val="000000" w:themeColor="text1"/>
            <w:sz w:val="16"/>
            <w:szCs w:val="16"/>
            <w:lang w:eastAsia="ru-RU"/>
          </w:rPr>
          <w:t>Т-220</w:t>
        </w:r>
      </w:hyperlink>
      <w:r w:rsidRPr="00DB5D0D">
        <w:rPr>
          <w:rFonts w:ascii="Times New Roman" w:eastAsia="Times New Roman" w:hAnsi="Times New Roman"/>
          <w:color w:val="000000" w:themeColor="text1"/>
          <w:sz w:val="16"/>
          <w:szCs w:val="16"/>
          <w:lang w:eastAsia="ru-RU"/>
        </w:rPr>
        <w:t>, после чего работы прекратились в связи с началом разработки 107-мм орудия ЗИС-6.</w:t>
      </w:r>
    </w:p>
    <w:p w14:paraId="6FA704B8" w14:textId="77777777" w:rsidR="002D6121" w:rsidRPr="00DB5D0D" w:rsidRDefault="002D612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Вторая попытка создать 85-мм танковую пушку для КВ-1 была предпринята в конце 1941 года. Орудие У-12, разрабатывавшееся конструкторским бюро Уральского завода тяжёлого машиностроения (КБ УЗТМ) под руководством Ф. Ф. Петрова, даже не достигло стадии опытного образца. Третью попытку весной 1942 года предприняли также в Свердловске. Результат был тем же: пушка ЗИК-1, предназначенная для КВ-1 и Т-34, не продвинулась дальше технического проекта (17698).</w:t>
      </w:r>
    </w:p>
    <w:p w14:paraId="756CFF07" w14:textId="77777777" w:rsidR="002D6121" w:rsidRPr="00DB5D0D" w:rsidRDefault="002D6121" w:rsidP="00DB5D0D">
      <w:pPr>
        <w:spacing w:after="0" w:line="240" w:lineRule="auto"/>
        <w:jc w:val="both"/>
        <w:rPr>
          <w:rFonts w:ascii="Times New Roman" w:hAnsi="Times New Roman"/>
          <w:color w:val="000000" w:themeColor="text1"/>
          <w:sz w:val="16"/>
          <w:szCs w:val="16"/>
        </w:rPr>
      </w:pPr>
    </w:p>
    <w:p w14:paraId="718096DE" w14:textId="77777777" w:rsidR="00A25AD1" w:rsidRPr="00DB5D0D" w:rsidRDefault="00A25AD1" w:rsidP="00DB5D0D">
      <w:pPr>
        <w:pStyle w:val="a3"/>
        <w:rPr>
          <w:color w:val="000000" w:themeColor="text1"/>
          <w:lang w:val="ru-RU"/>
        </w:rPr>
      </w:pPr>
      <w:r w:rsidRPr="00DB5D0D">
        <w:rPr>
          <w:color w:val="000000" w:themeColor="text1"/>
          <w:lang w:val="ru-RU"/>
        </w:rPr>
        <w:t>В середине июня 1940 на Мариупольском заводе состоялось несколько технических сове</w:t>
      </w:r>
      <w:r w:rsidRPr="00DB5D0D">
        <w:rPr>
          <w:color w:val="000000" w:themeColor="text1"/>
          <w:lang w:val="ru-RU"/>
        </w:rPr>
        <w:softHyphen/>
        <w:t>щаний, на которых рассматривались новые чертежи бронедеталей Т-34 для серийного производства. В ходе этих совещаний стороны разрешили основные противоречия, в результате чего новые детали корпуса и башни Т-34 были приняты Мариупольским заводом в про</w:t>
      </w:r>
      <w:r w:rsidRPr="00DB5D0D">
        <w:rPr>
          <w:color w:val="000000" w:themeColor="text1"/>
          <w:lang w:val="ru-RU"/>
        </w:rPr>
        <w:softHyphen/>
        <w:t>изводство. Ниже приведем выписку из протокола технического со</w:t>
      </w:r>
      <w:r w:rsidRPr="00DB5D0D">
        <w:rPr>
          <w:color w:val="000000" w:themeColor="text1"/>
          <w:lang w:val="ru-RU"/>
        </w:rPr>
        <w:softHyphen/>
        <w:t>вещания по рассмотрению чертежей завода № 183 на составной нос и расширенную башню:</w:t>
      </w:r>
    </w:p>
    <w:p w14:paraId="6D28AF11" w14:textId="77777777" w:rsidR="00A25AD1" w:rsidRPr="00DB5D0D" w:rsidRDefault="00A25AD1" w:rsidP="00DB5D0D">
      <w:pPr>
        <w:pStyle w:val="201"/>
        <w:shd w:val="clear" w:color="auto" w:fill="auto"/>
        <w:tabs>
          <w:tab w:val="left" w:pos="463"/>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1.Подетали №34-29-906</w:t>
      </w:r>
      <w:r w:rsidRPr="00DB5D0D">
        <w:rPr>
          <w:rStyle w:val="20160pt63"/>
          <w:rFonts w:ascii="Times New Roman" w:hAnsi="Times New Roman" w:cs="Times New Roman"/>
          <w:b w:val="0"/>
          <w:bCs w:val="0"/>
          <w:color w:val="000000" w:themeColor="text1"/>
          <w:spacing w:val="0"/>
          <w:lang w:val="ru-RU"/>
        </w:rPr>
        <w:t>(балка носа. -</w:t>
      </w:r>
      <w:r w:rsidRPr="00DB5D0D">
        <w:rPr>
          <w:b w:val="0"/>
          <w:bCs w:val="0"/>
          <w:i w:val="0"/>
          <w:iCs w:val="0"/>
          <w:color w:val="000000" w:themeColor="text1"/>
          <w:sz w:val="16"/>
          <w:szCs w:val="16"/>
          <w:lang w:val="ru-RU"/>
        </w:rPr>
        <w:t xml:space="preserve"> Прим. авт.).</w:t>
      </w:r>
    </w:p>
    <w:p w14:paraId="4CD11915" w14:textId="77777777" w:rsidR="00A25AD1" w:rsidRPr="00DB5D0D" w:rsidRDefault="00A25AD1" w:rsidP="00DB5D0D">
      <w:pPr>
        <w:pStyle w:val="201"/>
        <w:shd w:val="clear" w:color="auto" w:fill="auto"/>
        <w:tabs>
          <w:tab w:val="left" w:pos="51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а)К изготовлению принять, при этом допускается углубление средней части по </w:t>
      </w:r>
      <w:r w:rsidRPr="00DB5D0D">
        <w:rPr>
          <w:b w:val="0"/>
          <w:bCs w:val="0"/>
          <w:i w:val="0"/>
          <w:iCs w:val="0"/>
          <w:noProof w:val="0"/>
          <w:color w:val="000000" w:themeColor="text1"/>
          <w:sz w:val="16"/>
          <w:szCs w:val="16"/>
        </w:rPr>
        <w:t>R</w:t>
      </w:r>
      <w:r w:rsidRPr="00DB5D0D">
        <w:rPr>
          <w:b w:val="0"/>
          <w:bCs w:val="0"/>
          <w:i w:val="0"/>
          <w:iCs w:val="0"/>
          <w:noProof w:val="0"/>
          <w:color w:val="000000" w:themeColor="text1"/>
          <w:sz w:val="16"/>
          <w:szCs w:val="16"/>
          <w:lang w:val="ru-RU"/>
        </w:rPr>
        <w:t xml:space="preserve">-20 </w:t>
      </w:r>
      <w:r w:rsidRPr="00DB5D0D">
        <w:rPr>
          <w:b w:val="0"/>
          <w:bCs w:val="0"/>
          <w:i w:val="0"/>
          <w:iCs w:val="0"/>
          <w:color w:val="000000" w:themeColor="text1"/>
          <w:sz w:val="16"/>
          <w:szCs w:val="16"/>
          <w:lang w:val="ru-RU"/>
        </w:rPr>
        <w:t>мм, делать по усмотрению Завода им. Ильи</w:t>
      </w:r>
      <w:r w:rsidRPr="00DB5D0D">
        <w:rPr>
          <w:b w:val="0"/>
          <w:bCs w:val="0"/>
          <w:i w:val="0"/>
          <w:iCs w:val="0"/>
          <w:color w:val="000000" w:themeColor="text1"/>
          <w:sz w:val="16"/>
          <w:szCs w:val="16"/>
          <w:lang w:val="ru-RU"/>
        </w:rPr>
        <w:softHyphen/>
        <w:t>ча в зависимости от результатов термической обработки.</w:t>
      </w:r>
    </w:p>
    <w:p w14:paraId="0CBC28DA" w14:textId="77777777" w:rsidR="00A25AD1" w:rsidRPr="00DB5D0D" w:rsidRDefault="00A25AD1" w:rsidP="00DB5D0D">
      <w:pPr>
        <w:pStyle w:val="201"/>
        <w:shd w:val="clear" w:color="auto" w:fill="auto"/>
        <w:tabs>
          <w:tab w:val="left" w:pos="49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б)Маргосзаводу приступить к опытным работам по отливке де</w:t>
      </w:r>
      <w:r w:rsidRPr="00DB5D0D">
        <w:rPr>
          <w:b w:val="0"/>
          <w:bCs w:val="0"/>
          <w:i w:val="0"/>
          <w:iCs w:val="0"/>
          <w:color w:val="000000" w:themeColor="text1"/>
          <w:sz w:val="16"/>
          <w:szCs w:val="16"/>
          <w:lang w:val="ru-RU"/>
        </w:rPr>
        <w:softHyphen/>
        <w:t>талей 29-906 и 29-905заодно целое.</w:t>
      </w:r>
    </w:p>
    <w:p w14:paraId="2977EE17" w14:textId="77777777" w:rsidR="00A25AD1" w:rsidRPr="00DB5D0D" w:rsidRDefault="00A25AD1" w:rsidP="00DB5D0D">
      <w:pPr>
        <w:pStyle w:val="201"/>
        <w:shd w:val="clear" w:color="auto" w:fill="auto"/>
        <w:tabs>
          <w:tab w:val="left" w:pos="50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1.По деталям 34-30-018-2 и 34-30-019-2</w:t>
      </w:r>
      <w:r w:rsidRPr="00DB5D0D">
        <w:rPr>
          <w:rStyle w:val="20160pt63"/>
          <w:rFonts w:ascii="Times New Roman" w:hAnsi="Times New Roman" w:cs="Times New Roman"/>
          <w:b w:val="0"/>
          <w:bCs w:val="0"/>
          <w:color w:val="000000" w:themeColor="text1"/>
          <w:spacing w:val="0"/>
          <w:lang w:val="ru-RU"/>
        </w:rPr>
        <w:t xml:space="preserve"> (боковые листы баш</w:t>
      </w:r>
      <w:r w:rsidRPr="00DB5D0D">
        <w:rPr>
          <w:rStyle w:val="20160pt63"/>
          <w:rFonts w:ascii="Times New Roman" w:hAnsi="Times New Roman" w:cs="Times New Roman"/>
          <w:b w:val="0"/>
          <w:bCs w:val="0"/>
          <w:color w:val="000000" w:themeColor="text1"/>
          <w:spacing w:val="0"/>
          <w:lang w:val="ru-RU"/>
        </w:rPr>
        <w:softHyphen/>
        <w:t>ни. -</w:t>
      </w:r>
      <w:r w:rsidRPr="00DB5D0D">
        <w:rPr>
          <w:b w:val="0"/>
          <w:bCs w:val="0"/>
          <w:i w:val="0"/>
          <w:iCs w:val="0"/>
          <w:color w:val="000000" w:themeColor="text1"/>
          <w:sz w:val="16"/>
          <w:szCs w:val="16"/>
          <w:lang w:val="ru-RU"/>
        </w:rPr>
        <w:t xml:space="preserve"> Прим. авт.) к изготовлению принимаются с 38 комплекта.</w:t>
      </w:r>
    </w:p>
    <w:p w14:paraId="78F5B95A" w14:textId="77777777" w:rsidR="00A25AD1" w:rsidRPr="00DB5D0D" w:rsidRDefault="00A25AD1" w:rsidP="00DB5D0D">
      <w:pPr>
        <w:pStyle w:val="201"/>
        <w:shd w:val="clear" w:color="auto" w:fill="auto"/>
        <w:tabs>
          <w:tab w:val="left" w:pos="529"/>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2.По деталям №№34-30-007-2 и 34-30-006</w:t>
      </w:r>
      <w:r w:rsidRPr="00DB5D0D">
        <w:rPr>
          <w:rStyle w:val="20160pt63"/>
          <w:rFonts w:ascii="Times New Roman" w:hAnsi="Times New Roman" w:cs="Times New Roman"/>
          <w:b w:val="0"/>
          <w:bCs w:val="0"/>
          <w:color w:val="000000" w:themeColor="text1"/>
          <w:spacing w:val="0"/>
          <w:lang w:val="ru-RU"/>
        </w:rPr>
        <w:t>(задняя и передняя обечайки башни. -</w:t>
      </w:r>
      <w:r w:rsidRPr="00DB5D0D">
        <w:rPr>
          <w:b w:val="0"/>
          <w:bCs w:val="0"/>
          <w:i w:val="0"/>
          <w:iCs w:val="0"/>
          <w:color w:val="000000" w:themeColor="text1"/>
          <w:sz w:val="16"/>
          <w:szCs w:val="16"/>
          <w:lang w:val="ru-RU"/>
        </w:rPr>
        <w:t xml:space="preserve"> Прим. авт.) Маргосзавод к из</w:t>
      </w:r>
      <w:r w:rsidRPr="00DB5D0D">
        <w:rPr>
          <w:b w:val="0"/>
          <w:bCs w:val="0"/>
          <w:i w:val="0"/>
          <w:iCs w:val="0"/>
          <w:color w:val="000000" w:themeColor="text1"/>
          <w:sz w:val="16"/>
          <w:szCs w:val="16"/>
          <w:lang w:val="ru-RU"/>
        </w:rPr>
        <w:softHyphen/>
        <w:t xml:space="preserve">готовлению принимает и настаивает на расширении следующих допусков: по </w:t>
      </w:r>
      <w:r w:rsidRPr="00DB5D0D">
        <w:rPr>
          <w:b w:val="0"/>
          <w:bCs w:val="0"/>
          <w:i w:val="0"/>
          <w:iCs w:val="0"/>
          <w:noProof w:val="0"/>
          <w:color w:val="000000" w:themeColor="text1"/>
          <w:sz w:val="16"/>
          <w:szCs w:val="16"/>
        </w:rPr>
        <w:t>R</w:t>
      </w:r>
      <w:r w:rsidRPr="00DB5D0D">
        <w:rPr>
          <w:b w:val="0"/>
          <w:bCs w:val="0"/>
          <w:i w:val="0"/>
          <w:iCs w:val="0"/>
          <w:noProof w:val="0"/>
          <w:color w:val="000000" w:themeColor="text1"/>
          <w:sz w:val="16"/>
          <w:szCs w:val="16"/>
          <w:lang w:val="ru-RU"/>
        </w:rPr>
        <w:t>-887</w:t>
      </w:r>
      <w:r w:rsidRPr="00DB5D0D">
        <w:rPr>
          <w:b w:val="0"/>
          <w:bCs w:val="0"/>
          <w:i w:val="0"/>
          <w:iCs w:val="0"/>
          <w:color w:val="000000" w:themeColor="text1"/>
          <w:sz w:val="16"/>
          <w:szCs w:val="16"/>
          <w:lang w:val="ru-RU"/>
        </w:rPr>
        <w:t>допустить местное неприлегание по сегменту на дуге 1Ж на участке дли</w:t>
      </w:r>
      <w:r w:rsidRPr="00DB5D0D">
        <w:rPr>
          <w:b w:val="0"/>
          <w:bCs w:val="0"/>
          <w:i w:val="0"/>
          <w:iCs w:val="0"/>
          <w:color w:val="000000" w:themeColor="text1"/>
          <w:sz w:val="16"/>
          <w:szCs w:val="16"/>
          <w:lang w:val="ru-RU"/>
        </w:rPr>
        <w:softHyphen/>
        <w:t>ной 120 мм не более 3 мм.</w:t>
      </w:r>
    </w:p>
    <w:p w14:paraId="05D4991A" w14:textId="77777777" w:rsidR="00A25AD1" w:rsidRPr="00DB5D0D" w:rsidRDefault="00A25AD1" w:rsidP="00DB5D0D">
      <w:pPr>
        <w:pStyle w:val="201"/>
        <w:shd w:val="clear" w:color="auto" w:fill="auto"/>
        <w:tabs>
          <w:tab w:val="left" w:pos="50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3.Подетали №34-30-001</w:t>
      </w:r>
      <w:r w:rsidRPr="00DB5D0D">
        <w:rPr>
          <w:rStyle w:val="20160pt63"/>
          <w:rFonts w:ascii="Times New Roman" w:hAnsi="Times New Roman" w:cs="Times New Roman"/>
          <w:b w:val="0"/>
          <w:bCs w:val="0"/>
          <w:color w:val="000000" w:themeColor="text1"/>
          <w:spacing w:val="0"/>
          <w:lang w:val="ru-RU"/>
        </w:rPr>
        <w:t xml:space="preserve"> (лобовой лист башни</w:t>
      </w:r>
      <w:r w:rsidRPr="00DB5D0D">
        <w:rPr>
          <w:b w:val="0"/>
          <w:bCs w:val="0"/>
          <w:i w:val="0"/>
          <w:iCs w:val="0"/>
          <w:color w:val="000000" w:themeColor="text1"/>
          <w:sz w:val="16"/>
          <w:szCs w:val="16"/>
          <w:lang w:val="ru-RU"/>
        </w:rPr>
        <w:t>) на размеры 270 и 286,6 изменить допуск до ± Змм вместо ± 2 мм.</w:t>
      </w:r>
    </w:p>
    <w:p w14:paraId="48022109" w14:textId="77777777" w:rsidR="00A25AD1" w:rsidRPr="00DB5D0D" w:rsidRDefault="00A25AD1" w:rsidP="00DB5D0D">
      <w:pPr>
        <w:pStyle w:val="201"/>
        <w:shd w:val="clear" w:color="auto" w:fill="auto"/>
        <w:tabs>
          <w:tab w:val="left" w:pos="47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4.В дальнейшем на 1940 г. для обес</w:t>
      </w:r>
      <w:r w:rsidRPr="00DB5D0D">
        <w:rPr>
          <w:b w:val="0"/>
          <w:bCs w:val="0"/>
          <w:i w:val="0"/>
          <w:iCs w:val="0"/>
          <w:color w:val="000000" w:themeColor="text1"/>
          <w:sz w:val="16"/>
          <w:szCs w:val="16"/>
          <w:lang w:val="ru-RU"/>
        </w:rPr>
        <w:softHyphen/>
        <w:t>печения выполнения программы заводы взаимно прекращают претензии на из</w:t>
      </w:r>
      <w:r w:rsidRPr="00DB5D0D">
        <w:rPr>
          <w:b w:val="0"/>
          <w:bCs w:val="0"/>
          <w:i w:val="0"/>
          <w:iCs w:val="0"/>
          <w:color w:val="000000" w:themeColor="text1"/>
          <w:sz w:val="16"/>
          <w:szCs w:val="16"/>
          <w:lang w:val="ru-RU"/>
        </w:rPr>
        <w:softHyphen/>
        <w:t>менение конструкции деталей и допус</w:t>
      </w:r>
      <w:r w:rsidRPr="00DB5D0D">
        <w:rPr>
          <w:b w:val="0"/>
          <w:bCs w:val="0"/>
          <w:i w:val="0"/>
          <w:iCs w:val="0"/>
          <w:color w:val="000000" w:themeColor="text1"/>
          <w:sz w:val="16"/>
          <w:szCs w:val="16"/>
          <w:lang w:val="ru-RU"/>
        </w:rPr>
        <w:softHyphen/>
        <w:t>ков за исключением опытных работ. [РГВА. Ф.31811. Оп.2. Д. 1176. Л. 145.]</w:t>
      </w:r>
    </w:p>
    <w:p w14:paraId="14BA1EA7" w14:textId="77777777" w:rsidR="00A25AD1" w:rsidRPr="00DB5D0D" w:rsidRDefault="00A25AD1" w:rsidP="00DB5D0D">
      <w:pPr>
        <w:pStyle w:val="a3"/>
        <w:rPr>
          <w:color w:val="000000" w:themeColor="text1"/>
          <w:lang w:val="ru-RU"/>
        </w:rPr>
      </w:pPr>
      <w:r w:rsidRPr="00DB5D0D">
        <w:rPr>
          <w:color w:val="000000" w:themeColor="text1"/>
          <w:lang w:val="ru-RU"/>
        </w:rPr>
        <w:t>Но, несмотря на то что стороны фак</w:t>
      </w:r>
      <w:r w:rsidRPr="00DB5D0D">
        <w:rPr>
          <w:color w:val="000000" w:themeColor="text1"/>
          <w:lang w:val="ru-RU"/>
        </w:rPr>
        <w:softHyphen/>
        <w:t>тически отказались от дальнейших вза</w:t>
      </w:r>
      <w:r w:rsidRPr="00DB5D0D">
        <w:rPr>
          <w:color w:val="000000" w:themeColor="text1"/>
          <w:lang w:val="ru-RU"/>
        </w:rPr>
        <w:softHyphen/>
        <w:t>имных претензий, при заключении дого</w:t>
      </w:r>
      <w:r w:rsidRPr="00DB5D0D">
        <w:rPr>
          <w:color w:val="000000" w:themeColor="text1"/>
          <w:lang w:val="ru-RU"/>
        </w:rPr>
        <w:softHyphen/>
        <w:t>вора не обошлось без новых разногла</w:t>
      </w:r>
      <w:r w:rsidRPr="00DB5D0D">
        <w:rPr>
          <w:color w:val="000000" w:themeColor="text1"/>
          <w:lang w:val="ru-RU"/>
        </w:rPr>
        <w:softHyphen/>
        <w:t>сий. Во-первых, Мариупольский завод отказался изготавливать для завода № 183 две литые детали: бронировку кур</w:t>
      </w:r>
      <w:r w:rsidRPr="00DB5D0D">
        <w:rPr>
          <w:color w:val="000000" w:themeColor="text1"/>
          <w:lang w:val="ru-RU"/>
        </w:rPr>
        <w:softHyphen/>
        <w:t>сового пулемета (34.29.019) и крышки бортовых передач (34.16.003), оправдывая это слабой литейной ба</w:t>
      </w:r>
      <w:r w:rsidRPr="00DB5D0D">
        <w:rPr>
          <w:color w:val="000000" w:themeColor="text1"/>
          <w:lang w:val="ru-RU"/>
        </w:rPr>
        <w:softHyphen/>
        <w:t>зой. Стоит заметить, что изначально эти детали были спроектированы как штампованные, но по просьбе Марзавода в мае 1940 г. переведе</w:t>
      </w:r>
      <w:r w:rsidRPr="00DB5D0D">
        <w:rPr>
          <w:color w:val="000000" w:themeColor="text1"/>
          <w:lang w:val="ru-RU"/>
        </w:rPr>
        <w:softHyphen/>
        <w:t>ны на литье. Во-вторых, Мариупольский завод отказался произво</w:t>
      </w:r>
      <w:r w:rsidRPr="00DB5D0D">
        <w:rPr>
          <w:color w:val="000000" w:themeColor="text1"/>
          <w:lang w:val="ru-RU"/>
        </w:rPr>
        <w:softHyphen/>
        <w:t>дить сверловку отверстий и нарезку в них резьбы под гужоны на дета</w:t>
      </w:r>
      <w:r w:rsidRPr="00DB5D0D">
        <w:rPr>
          <w:color w:val="000000" w:themeColor="text1"/>
          <w:lang w:val="ru-RU"/>
        </w:rPr>
        <w:softHyphen/>
        <w:t>ли 34.29.906 (балка носа), что естественно не устраивало завод № 183, так как эти операции увеличивали нахождение корпуса на сборочном стенде по предварительным подсчетам на 15-18 ч. Учитывая это, пред</w:t>
      </w:r>
      <w:r w:rsidRPr="00DB5D0D">
        <w:rPr>
          <w:color w:val="000000" w:themeColor="text1"/>
          <w:lang w:val="ru-RU"/>
        </w:rPr>
        <w:softHyphen/>
        <w:t>ставители завода №183 внесли в протокол разногласий требование, что в случае отказа Марзавода от сверловки отверстий под гужоны, завод №183 будет вынужден требовать возврата к цельношгампован- ному варианту носовой детали. Кроме этого, при заключении догово</w:t>
      </w:r>
      <w:r w:rsidRPr="00DB5D0D">
        <w:rPr>
          <w:color w:val="000000" w:themeColor="text1"/>
          <w:lang w:val="ru-RU"/>
        </w:rPr>
        <w:softHyphen/>
        <w:t>ра стороны не сошлись в цене за один комплект бронедеталей. В итоге, договор №68 от 20 июня 1940 г. на поставку бронедеталей танка Т-34 для завода №183 был заключен с протоколом разногла</w:t>
      </w:r>
      <w:r w:rsidRPr="00DB5D0D">
        <w:rPr>
          <w:color w:val="000000" w:themeColor="text1"/>
          <w:lang w:val="ru-RU"/>
        </w:rPr>
        <w:softHyphen/>
        <w:t>сий, урегулировать которые сторонам предстояло позднее (11904).</w:t>
      </w:r>
    </w:p>
    <w:p w14:paraId="4336B1FA" w14:textId="77777777" w:rsidR="00A25AD1" w:rsidRPr="00DB5D0D" w:rsidRDefault="00A25AD1" w:rsidP="00DB5D0D">
      <w:pPr>
        <w:pStyle w:val="a3"/>
        <w:rPr>
          <w:color w:val="000000" w:themeColor="text1"/>
          <w:lang w:val="ru-RU"/>
        </w:rPr>
      </w:pPr>
    </w:p>
    <w:p w14:paraId="24569E56" w14:textId="77777777" w:rsidR="00A25AD1" w:rsidRPr="00DB5D0D" w:rsidRDefault="00A25AD1" w:rsidP="00DB5D0D">
      <w:pPr>
        <w:pStyle w:val="a3"/>
        <w:rPr>
          <w:color w:val="000000" w:themeColor="text1"/>
          <w:lang w:val="ru-RU"/>
        </w:rPr>
      </w:pPr>
      <w:r w:rsidRPr="00DB5D0D">
        <w:rPr>
          <w:color w:val="000000" w:themeColor="text1"/>
          <w:lang w:val="ru-RU"/>
        </w:rPr>
        <w:t>В середине июня 1940 несмотря на то, что литые траки из стали Гатфильда на майских испытаниях показали неоднозначные результаты и решение об их утверждении на серийное производство принято не было, руковод</w:t>
      </w:r>
      <w:r w:rsidRPr="00DB5D0D">
        <w:rPr>
          <w:color w:val="000000" w:themeColor="text1"/>
          <w:lang w:val="ru-RU"/>
        </w:rPr>
        <w:softHyphen/>
        <w:t>ство АБТУ обратилось к СТЗ с просьбой ускорить отливку более крупной партии траков для обеспечения ими танков Т-34 установочной серии (11904).</w:t>
      </w:r>
    </w:p>
    <w:p w14:paraId="2A050CE7" w14:textId="77777777" w:rsidR="00A25AD1" w:rsidRPr="00DB5D0D" w:rsidRDefault="00A25AD1" w:rsidP="00DB5D0D">
      <w:pPr>
        <w:pStyle w:val="a3"/>
        <w:rPr>
          <w:color w:val="000000" w:themeColor="text1"/>
          <w:lang w:val="ru-RU"/>
        </w:rPr>
      </w:pPr>
    </w:p>
    <w:p w14:paraId="1ECCD4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июня 1940 г. руководство АБТУ и АУ КА утвердило тактико-технические требования № 1569 по установки системы Ф-32 в башню Т-34. Учитывая опыт установки системы Л-11 и выводы комиссии по войсковым испытаниям опытных образцов Т-34, при разработке тактико-технических требований особое внимание уделялось воп</w:t>
      </w:r>
      <w:r w:rsidRPr="00DB5D0D">
        <w:rPr>
          <w:rFonts w:ascii="Times New Roman" w:hAnsi="Times New Roman"/>
          <w:color w:val="000000" w:themeColor="text1"/>
          <w:sz w:val="16"/>
          <w:szCs w:val="16"/>
        </w:rPr>
        <w:softHyphen/>
        <w:t>росам удобства работы экипажа и обслуживания орудия в боевых условиях. Рассмотрение эскизного проекта состоялось в конце июля на совещании в ГАБТУ, где кроме проекта установки Ф-32 в башню Т-34 рассматривался и проект Кировского завода по уста</w:t>
      </w:r>
      <w:r w:rsidRPr="00DB5D0D">
        <w:rPr>
          <w:rFonts w:ascii="Times New Roman" w:hAnsi="Times New Roman"/>
          <w:color w:val="000000" w:themeColor="text1"/>
          <w:sz w:val="16"/>
          <w:szCs w:val="16"/>
        </w:rPr>
        <w:softHyphen/>
        <w:t>новке системы в башню КВ. Так как системой Ф-32 должны были вооружаться оба танка, то в целях оптимизации производства было принято решение об унификации установочных деталей пушки. В конечном итоге эскизный проект завода №183 с небольшими замечаниями был одобрен, а разработку унифицированной уста</w:t>
      </w:r>
      <w:r w:rsidRPr="00DB5D0D">
        <w:rPr>
          <w:rFonts w:ascii="Times New Roman" w:hAnsi="Times New Roman"/>
          <w:color w:val="000000" w:themeColor="text1"/>
          <w:sz w:val="16"/>
          <w:szCs w:val="16"/>
        </w:rPr>
        <w:softHyphen/>
        <w:t>новки поручалось провести конструкторам Кировского завода не позднее 15 августа 1940 г. Выписки из протокола совещания при</w:t>
      </w:r>
      <w:r w:rsidRPr="00DB5D0D">
        <w:rPr>
          <w:rFonts w:ascii="Times New Roman" w:hAnsi="Times New Roman"/>
          <w:color w:val="000000" w:themeColor="text1"/>
          <w:sz w:val="16"/>
          <w:szCs w:val="16"/>
        </w:rPr>
        <w:softHyphen/>
        <w:t>ведены ниже.</w:t>
      </w:r>
    </w:p>
    <w:p w14:paraId="330429BA" w14:textId="77777777" w:rsidR="00A25AD1" w:rsidRPr="00DB5D0D" w:rsidRDefault="00A25AD1" w:rsidP="00DB5D0D">
      <w:pPr>
        <w:pStyle w:val="a3"/>
        <w:rPr>
          <w:color w:val="000000" w:themeColor="text1"/>
          <w:lang w:val="ru-RU"/>
        </w:rPr>
      </w:pPr>
      <w:r w:rsidRPr="00DB5D0D">
        <w:rPr>
          <w:color w:val="000000" w:themeColor="text1"/>
          <w:u w:val="single"/>
          <w:lang w:val="ru-RU"/>
        </w:rPr>
        <w:t>ПОСТАНОВИЛИ:</w:t>
      </w:r>
    </w:p>
    <w:p w14:paraId="41C196FE" w14:textId="77777777" w:rsidR="00A25AD1" w:rsidRPr="00DB5D0D" w:rsidRDefault="00A25AD1" w:rsidP="00DB5D0D">
      <w:pPr>
        <w:pStyle w:val="a3"/>
        <w:tabs>
          <w:tab w:val="left" w:pos="762"/>
        </w:tabs>
        <w:rPr>
          <w:color w:val="000000" w:themeColor="text1"/>
          <w:lang w:val="ru-RU"/>
        </w:rPr>
      </w:pPr>
      <w:r w:rsidRPr="00DB5D0D">
        <w:rPr>
          <w:color w:val="000000" w:themeColor="text1"/>
          <w:lang w:val="ru-RU"/>
        </w:rPr>
        <w:t>1. Представленный эскизный проект установки Ф-32 в танке Т-34 заводом № 183 - одобрить. Предложить заводу № 183 изгото</w:t>
      </w:r>
      <w:r w:rsidRPr="00DB5D0D">
        <w:rPr>
          <w:color w:val="000000" w:themeColor="text1"/>
          <w:lang w:val="ru-RU"/>
        </w:rPr>
        <w:softHyphen/>
        <w:t>вить к 15 августу 1940 г. макет и рабочие чертежи согласно эскизно</w:t>
      </w:r>
      <w:r w:rsidRPr="00DB5D0D">
        <w:rPr>
          <w:color w:val="000000" w:themeColor="text1"/>
          <w:lang w:val="ru-RU"/>
        </w:rPr>
        <w:softHyphen/>
        <w:t>го проекта.</w:t>
      </w:r>
    </w:p>
    <w:p w14:paraId="3ACA609F" w14:textId="77777777" w:rsidR="00A25AD1" w:rsidRPr="00DB5D0D" w:rsidRDefault="00A25AD1" w:rsidP="00DB5D0D">
      <w:pPr>
        <w:pStyle w:val="a3"/>
        <w:tabs>
          <w:tab w:val="left" w:pos="733"/>
        </w:tabs>
        <w:rPr>
          <w:color w:val="000000" w:themeColor="text1"/>
          <w:lang w:val="ru-RU"/>
        </w:rPr>
      </w:pPr>
      <w:r w:rsidRPr="00DB5D0D">
        <w:rPr>
          <w:color w:val="000000" w:themeColor="text1"/>
          <w:lang w:val="ru-RU"/>
        </w:rPr>
        <w:t>2. Представленный эскизный проект заводом № 183 направить на Кировский завод для унификации установочных деталей (маски). При осуществлении возможной унификации Кировский завод дол</w:t>
      </w:r>
      <w:r w:rsidRPr="00DB5D0D">
        <w:rPr>
          <w:color w:val="000000" w:themeColor="text1"/>
          <w:lang w:val="ru-RU"/>
        </w:rPr>
        <w:softHyphen/>
        <w:t>жен руководствоваться габаритами представленного проекта 183 завода, не допуская увеличения и переделки башни машины Т-34.</w:t>
      </w:r>
    </w:p>
    <w:p w14:paraId="00E97F25" w14:textId="77777777" w:rsidR="00A25AD1" w:rsidRPr="00DB5D0D" w:rsidRDefault="00A25AD1" w:rsidP="00DB5D0D">
      <w:pPr>
        <w:pStyle w:val="a3"/>
        <w:tabs>
          <w:tab w:val="left" w:pos="697"/>
        </w:tabs>
        <w:rPr>
          <w:color w:val="000000" w:themeColor="text1"/>
          <w:lang w:val="ru-RU"/>
        </w:rPr>
      </w:pPr>
      <w:r w:rsidRPr="00DB5D0D">
        <w:rPr>
          <w:color w:val="000000" w:themeColor="text1"/>
          <w:lang w:val="ru-RU"/>
        </w:rPr>
        <w:t>3. Окончательная отработка проектов Кировским заводом долж</w:t>
      </w:r>
      <w:r w:rsidRPr="00DB5D0D">
        <w:rPr>
          <w:color w:val="000000" w:themeColor="text1"/>
          <w:lang w:val="ru-RU"/>
        </w:rPr>
        <w:softHyphen/>
        <w:t>на быть закончена к 1 августа с. г. Завод должен к этому сроку пред</w:t>
      </w:r>
      <w:r w:rsidRPr="00DB5D0D">
        <w:rPr>
          <w:color w:val="000000" w:themeColor="text1"/>
          <w:lang w:val="ru-RU"/>
        </w:rPr>
        <w:softHyphen/>
        <w:t>ставить полностью отработанные чертежи и установку в «КВ» для окончательной защиты.</w:t>
      </w:r>
    </w:p>
    <w:p w14:paraId="18BF5794" w14:textId="77777777" w:rsidR="00A25AD1" w:rsidRPr="00DB5D0D" w:rsidRDefault="00A25AD1" w:rsidP="00DB5D0D">
      <w:pPr>
        <w:pStyle w:val="a3"/>
        <w:tabs>
          <w:tab w:val="left" w:pos="733"/>
        </w:tabs>
        <w:rPr>
          <w:color w:val="000000" w:themeColor="text1"/>
          <w:lang w:val="ru-RU"/>
        </w:rPr>
      </w:pPr>
      <w:r w:rsidRPr="00DB5D0D">
        <w:rPr>
          <w:color w:val="000000" w:themeColor="text1"/>
          <w:lang w:val="ru-RU"/>
        </w:rPr>
        <w:t>4. В представленном проекте 183 завода бронировка системы недостаточная (20 мм + 15 мм). Бронировку артсистемы довести равнопрочной по стойкости башни.</w:t>
      </w:r>
    </w:p>
    <w:p w14:paraId="7F8F97E3" w14:textId="77777777" w:rsidR="00A25AD1" w:rsidRPr="00DB5D0D" w:rsidRDefault="00A25AD1" w:rsidP="00DB5D0D">
      <w:pPr>
        <w:pStyle w:val="a3"/>
        <w:tabs>
          <w:tab w:val="left" w:pos="690"/>
        </w:tabs>
        <w:rPr>
          <w:color w:val="000000" w:themeColor="text1"/>
          <w:lang w:val="ru-RU"/>
        </w:rPr>
      </w:pPr>
      <w:r w:rsidRPr="00DB5D0D">
        <w:rPr>
          <w:color w:val="000000" w:themeColor="text1"/>
          <w:lang w:val="ru-RU"/>
        </w:rPr>
        <w:t>5. Заводу № 183 подножку и конструкцию педали ножного спуска артсистемы разработать новую и предъявить вместе с макетом.</w:t>
      </w:r>
    </w:p>
    <w:p w14:paraId="42C2E3FA" w14:textId="77777777" w:rsidR="00A25AD1" w:rsidRPr="00DB5D0D" w:rsidRDefault="00A25AD1"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iCs/>
          <w:color w:val="000000" w:themeColor="text1"/>
          <w:sz w:val="16"/>
          <w:szCs w:val="16"/>
        </w:rPr>
        <w:t>6. Заводу № 183 проработать установку в эту же башню 45 мм пушки за счет переходных деталей, предъявив эту разработку в ма</w:t>
      </w:r>
      <w:r w:rsidRPr="00DB5D0D">
        <w:rPr>
          <w:rFonts w:ascii="Times New Roman" w:cs="Times New Roman"/>
          <w:iCs/>
          <w:color w:val="000000" w:themeColor="text1"/>
          <w:sz w:val="16"/>
          <w:szCs w:val="16"/>
        </w:rPr>
        <w:softHyphen/>
        <w:t>кете для окончательной защиты к 15 августа с/г. [РГВА. Ф.31811. On.2. Д. 1053. Л. 134</w:t>
      </w:r>
      <w:r w:rsidRPr="00DB5D0D">
        <w:rPr>
          <w:rFonts w:ascii="Times New Roman" w:cs="Times New Roman"/>
          <w:color w:val="000000" w:themeColor="text1"/>
          <w:sz w:val="16"/>
          <w:szCs w:val="16"/>
        </w:rPr>
        <w:t>.</w:t>
      </w:r>
      <w:r w:rsidRPr="00DB5D0D">
        <w:rPr>
          <w:rStyle w:val="42pt"/>
          <w:rFonts w:ascii="Times New Roman" w:hAnsi="Times New Roman" w:cs="Times New Roman"/>
          <w:i w:val="0"/>
          <w:color w:val="000000" w:themeColor="text1"/>
          <w:spacing w:val="0"/>
          <w:sz w:val="16"/>
          <w:szCs w:val="16"/>
        </w:rPr>
        <w:t>] (11940).</w:t>
      </w:r>
    </w:p>
    <w:p w14:paraId="49B0BD78" w14:textId="77777777" w:rsidR="00A25AD1" w:rsidRPr="00DB5D0D" w:rsidRDefault="00A25AD1" w:rsidP="00DB5D0D">
      <w:pPr>
        <w:pStyle w:val="a3"/>
        <w:rPr>
          <w:color w:val="000000" w:themeColor="text1"/>
          <w:lang w:val="ru-RU"/>
        </w:rPr>
      </w:pPr>
      <w:r w:rsidRPr="00DB5D0D">
        <w:rPr>
          <w:color w:val="000000" w:themeColor="text1"/>
          <w:lang w:val="ru-RU"/>
        </w:rPr>
        <w:t>Однако в указанные сроки Кировский завод чертежи на уни</w:t>
      </w:r>
      <w:r w:rsidRPr="00DB5D0D">
        <w:rPr>
          <w:color w:val="000000" w:themeColor="text1"/>
          <w:lang w:val="ru-RU"/>
        </w:rPr>
        <w:softHyphen/>
        <w:t>фикацию системы Ф-32 не представил (11940).</w:t>
      </w:r>
    </w:p>
    <w:p w14:paraId="1C6181A8" w14:textId="77777777" w:rsidR="00A25AD1" w:rsidRPr="00DB5D0D" w:rsidRDefault="00A25AD1" w:rsidP="00DB5D0D">
      <w:pPr>
        <w:pStyle w:val="a3"/>
        <w:rPr>
          <w:color w:val="000000" w:themeColor="text1"/>
          <w:lang w:val="ru-RU"/>
        </w:rPr>
      </w:pPr>
    </w:p>
    <w:p w14:paraId="63B7D46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1E5D8E5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629E4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июня 1940 г. в СССР началась пропагандистская кампания в связи со случаями нападения литовского населения на советских военнослужащих в Литве. Как утверждала советская сторона, это свидетельствовало о неспособности литовского правительства справляться со своими обязанностями. Одновременно советское правительство стало упорно ссылаться на то, что политическое партнерство трех прибалтийских стран (на основании подписанного ими в 1934 г. договора сроком на 10 лет) и военное сотрудничество Латвии с Эстонией (по договору 1923 г.) носит антисоветский характер (3871).</w:t>
      </w:r>
    </w:p>
    <w:p w14:paraId="102F5D3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416C2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w:t>
      </w:r>
      <w:r w:rsidRPr="00DB5D0D">
        <w:rPr>
          <w:rFonts w:ascii="Times New Roman" w:hAnsi="Times New Roman"/>
          <w:color w:val="000000" w:themeColor="text1"/>
          <w:sz w:val="16"/>
          <w:szCs w:val="16"/>
        </w:rPr>
        <w:softHyphen/>
        <w:t>редине июня 1940 года обострилась ситуация вокруг стран Балтики. Совет</w:t>
      </w:r>
      <w:r w:rsidRPr="00DB5D0D">
        <w:rPr>
          <w:rFonts w:ascii="Times New Roman" w:hAnsi="Times New Roman"/>
          <w:color w:val="000000" w:themeColor="text1"/>
          <w:sz w:val="16"/>
          <w:szCs w:val="16"/>
        </w:rPr>
        <w:softHyphen/>
        <w:t>ское руководство обвинило правительства этих стран в попытке срыва до</w:t>
      </w:r>
      <w:r w:rsidRPr="00DB5D0D">
        <w:rPr>
          <w:rFonts w:ascii="Times New Roman" w:hAnsi="Times New Roman"/>
          <w:color w:val="000000" w:themeColor="text1"/>
          <w:sz w:val="16"/>
          <w:szCs w:val="16"/>
        </w:rPr>
        <w:softHyphen/>
        <w:t>говоров о взаимопомощи, заключенных с СССР. 14 июня 1940 года Отряд легких сил КБФ установил воздушную и мор</w:t>
      </w:r>
      <w:r w:rsidRPr="00DB5D0D">
        <w:rPr>
          <w:rFonts w:ascii="Times New Roman" w:hAnsi="Times New Roman"/>
          <w:color w:val="000000" w:themeColor="text1"/>
          <w:sz w:val="16"/>
          <w:szCs w:val="16"/>
        </w:rPr>
        <w:softHyphen/>
        <w:t>скую блокаду Прибалтики. На границах Литвы войска завершили сосредо</w:t>
      </w:r>
      <w:r w:rsidRPr="00DB5D0D">
        <w:rPr>
          <w:rFonts w:ascii="Times New Roman" w:hAnsi="Times New Roman"/>
          <w:color w:val="000000" w:themeColor="text1"/>
          <w:sz w:val="16"/>
          <w:szCs w:val="16"/>
        </w:rPr>
        <w:softHyphen/>
        <w:t>точение и развертывание к 15 июня, а на границах Латвии и Эстонии - к 16 июня. Группировка выделенных для операции против Литвы, Латвии и Эстонии ВВС РККА насчитывала 2601 самолет. Она включала в себя 18 сред-небомбардировочных, 3 дальнебомбардировочных, 5 тяжелобомбардиро</w:t>
      </w:r>
      <w:r w:rsidRPr="00DB5D0D">
        <w:rPr>
          <w:rFonts w:ascii="Times New Roman" w:hAnsi="Times New Roman"/>
          <w:color w:val="000000" w:themeColor="text1"/>
          <w:sz w:val="16"/>
          <w:szCs w:val="16"/>
        </w:rPr>
        <w:softHyphen/>
        <w:t>вочных, 3 легкобомбардировочных, 2 штурмовых и 16 истребительных авиаполков. Советские войска заняли 15—16 июня большую часть терри</w:t>
      </w:r>
      <w:r w:rsidRPr="00DB5D0D">
        <w:rPr>
          <w:rFonts w:ascii="Times New Roman" w:hAnsi="Times New Roman"/>
          <w:color w:val="000000" w:themeColor="text1"/>
          <w:sz w:val="16"/>
          <w:szCs w:val="16"/>
        </w:rPr>
        <w:softHyphen/>
        <w:t>тории Литвы, а к 21 июня под их контролем уже находилась почти вся тер</w:t>
      </w:r>
      <w:r w:rsidRPr="00DB5D0D">
        <w:rPr>
          <w:rFonts w:ascii="Times New Roman" w:hAnsi="Times New Roman"/>
          <w:color w:val="000000" w:themeColor="text1"/>
          <w:sz w:val="16"/>
          <w:szCs w:val="16"/>
        </w:rPr>
        <w:softHyphen/>
        <w:t>ритория Прибалтики (Мельтюхов М.И. Упущенный шанс Сталина. С. 162-163, 168.). Никаких шансов противостоять этой армаде балтийские страны не име</w:t>
      </w:r>
      <w:r w:rsidRPr="00DB5D0D">
        <w:rPr>
          <w:rFonts w:ascii="Times New Roman" w:hAnsi="Times New Roman"/>
          <w:color w:val="000000" w:themeColor="text1"/>
          <w:sz w:val="16"/>
          <w:szCs w:val="16"/>
        </w:rPr>
        <w:softHyphen/>
        <w:t>ли. Самым слабым потенциальным противником была Эстония, о которой речь шла выше (11710,411).</w:t>
      </w:r>
    </w:p>
    <w:p w14:paraId="7839D7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E15D93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73A899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BBE313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 Пугаев по телефону сообщил А.И.Ш.,что вопрос о постройке пикирующего бомбардировщика конструкции Кочеригина будет докложен председателю КО Ворошилову К.Е. (3420, 46).</w:t>
      </w:r>
    </w:p>
    <w:p w14:paraId="7A71E08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7DBF1F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 письме на имя начальника 11 ГУ НКАП С.Н.Шишкина и директора завода № 156 Ленкина заместитель начальника ЦАГИ Б.Н.Юрьев сообщал, что «согласно договоренности с главным конструктором завода № 156 Кочеригиным все основные вопросы по каналу с центральным входом охлаждающего воздуха могут быть решены на основании результатов исследований, которые будет проводить ЦАГИ по заданию завода № I...» Юрьев имел ввиду работы по исследованию истребителя Н. Н. Поликарпова И-185 (9649).</w:t>
      </w:r>
    </w:p>
    <w:p w14:paraId="2821278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F6AD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 был подписан протокол новой макетной комиссии по самолету ОПБ М-90 Кочеригина. Председателем этой комиссии был начальник НИИ ВВС А. И. Филин. Члены комиссии практически были те же, что в первой. Дополнительно в работе комиссии принял участие С.П.Супрун.</w:t>
      </w:r>
    </w:p>
    <w:p w14:paraId="045C96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ОПБ М-90 в целом был утвержден, хотя членами комиссии были сделаны некоторые замечания по самолету. В частности, «открытие фонаря кабины рекомендовалось сделать по типу самолета СБ» (имелся ввиду самолет СБ-РК - авт.).</w:t>
      </w:r>
    </w:p>
    <w:p w14:paraId="6EFBA3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уже отработанных ранее вариантов бомбовой нагрузки, комиссия предложила предусмотреть возможность применения на самолете мелких бомб в кассетах по типу самолета «100» (имелись ввиду кассеты мелких бомб) и обеспечить подвеску 6-8 реактивных снарядов.</w:t>
      </w:r>
    </w:p>
    <w:p w14:paraId="46CBD2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выводах комиссии отмечалось, что предложенное ОКБ специальное остекление пола пилотской кабины и бомбовых люков под ней, необходимо утвердить, хотя серьезного улучшения обзора зоны непосредственно под самолетом оно все же не дает. Подтверждалась необходимость установки в перегрузочном варианте дополнительно двух пулеметов БС.</w:t>
      </w:r>
    </w:p>
    <w:p w14:paraId="145CFC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требовалось обеспечить обогрев и вентиляцию кабины летчика, поставить посадочную фару, увеличить механизацию крыла, разработать и установить воздушные тормоза для ограничения скорости пикирования не более 550 км/ч, а также автомат вывода из пикирования.</w:t>
      </w:r>
    </w:p>
    <w:p w14:paraId="4E49DE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макетная комиссия отметила, что «предъявленный самолет представляет значительный интерес для ВВС КА и поэтому считает необходимым войти с ходатайством в КО при СНК СССР о скорейшем разрешении вопроса о постройке самолета» (9649).</w:t>
      </w:r>
    </w:p>
    <w:p w14:paraId="02EC1A4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B9A3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16 июня по 8 июля 1940 на ДБ-3 и на Нортроп ЛЛ выполнили 24 полета для исследования крыльев в полете - чтобы проверить результаты, полученные в натурных трубах (273,331).</w:t>
      </w:r>
    </w:p>
    <w:p w14:paraId="0AB8158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31EDF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 закончились гос. испытания самолета ДБ-3Ф 2М-88 с модернизированными стрелковыми установками МВ-2 и МВ-3 (Самолет № 390204), которые проходили с 1 июня 1940</w:t>
      </w:r>
    </w:p>
    <w:p w14:paraId="6283E8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96BAB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Кокорин Н.М.</w:t>
      </w:r>
    </w:p>
    <w:p w14:paraId="32AD6A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летчик-испытатель капитан Дудкин Л.П.</w:t>
      </w:r>
    </w:p>
    <w:p w14:paraId="41ED87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507CF06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Снять летные характеристики самолета.</w:t>
      </w:r>
    </w:p>
    <w:p w14:paraId="641F15E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модернизированных стрелковых установок.</w:t>
      </w:r>
    </w:p>
    <w:p w14:paraId="1798162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бомбардировочного вооружения и спецоборудования.</w:t>
      </w:r>
    </w:p>
    <w:p w14:paraId="409600AD" w14:textId="77777777" w:rsidR="00A25AD1" w:rsidRPr="00DB5D0D" w:rsidRDefault="00A25AD1" w:rsidP="00DB5D0D">
      <w:pPr>
        <w:pStyle w:val="a3"/>
        <w:widowControl/>
        <w:rPr>
          <w:color w:val="000000" w:themeColor="text1"/>
          <w:lang w:val="ru-RU"/>
        </w:rPr>
      </w:pPr>
      <w:r w:rsidRPr="00DB5D0D">
        <w:rPr>
          <w:color w:val="000000" w:themeColor="text1"/>
          <w:lang w:val="ru-RU"/>
        </w:rPr>
        <w:t>Испытания проводились на ранее проходившем испытания самолете ДБ-3Ф 2М-88 с ВИШ-23 за № 390204, на котором заводом № 39 были установлены стрелковые установки МВ-3 и МВ-2 вместо СУ-ДБ3 и ЛУ-ДБ3.</w:t>
      </w:r>
    </w:p>
    <w:p w14:paraId="55A4BD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оборудованием самолета новыми стрелковыми установками, крышка люка кабины стрелка, открывавшаяся внутрь фюзеляжа, заменена двумя створками, открывающимися наружу.</w:t>
      </w:r>
    </w:p>
    <w:p w14:paraId="2BF450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произведено 18 полетов общей продолжительностью 14 час. 45 мин., из них: высотных полетов – 1 продолжительностью 2 час. 50 мин.</w:t>
      </w:r>
    </w:p>
    <w:p w14:paraId="56B921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проведено за 15 дней, из них летных дней – 9.</w:t>
      </w:r>
    </w:p>
    <w:p w14:paraId="173A32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EBECDC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всех самолетах ДБ-3Ф заменить СУ-ДБ3 и ЛУ-ДБ3 на МВ-3 и МВ-2 (Постановление КО от 11 января 1940 года № 23 сс), так как уменьшение скорости и дальности компенсируется улучшением условий работы для стрелка-радиста и значительным усилением обороны задней сферы.</w:t>
      </w:r>
    </w:p>
    <w:p w14:paraId="68E96F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736"/>
        <w:gridCol w:w="6444"/>
        <w:gridCol w:w="1418"/>
      </w:tblGrid>
      <w:tr w:rsidR="007D5DF8" w:rsidRPr="00DB5D0D" w14:paraId="0159CF70" w14:textId="77777777" w:rsidTr="009223E5">
        <w:tc>
          <w:tcPr>
            <w:tcW w:w="2736" w:type="dxa"/>
          </w:tcPr>
          <w:p w14:paraId="5E549B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6444" w:type="dxa"/>
          </w:tcPr>
          <w:p w14:paraId="6EDEA6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работ</w:t>
            </w:r>
          </w:p>
        </w:tc>
        <w:tc>
          <w:tcPr>
            <w:tcW w:w="1418" w:type="dxa"/>
          </w:tcPr>
          <w:p w14:paraId="6EB06D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полетов</w:t>
            </w:r>
          </w:p>
        </w:tc>
      </w:tr>
      <w:tr w:rsidR="007D5DF8" w:rsidRPr="00DB5D0D" w14:paraId="0EE78E7E" w14:textId="77777777" w:rsidTr="009223E5">
        <w:tc>
          <w:tcPr>
            <w:tcW w:w="2736" w:type="dxa"/>
          </w:tcPr>
          <w:p w14:paraId="6D77BF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года</w:t>
            </w:r>
          </w:p>
        </w:tc>
        <w:tc>
          <w:tcPr>
            <w:tcW w:w="6444" w:type="dxa"/>
          </w:tcPr>
          <w:p w14:paraId="25E914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растряску ВАП 500 и выливание нейтральной жидкости</w:t>
            </w:r>
          </w:p>
        </w:tc>
        <w:tc>
          <w:tcPr>
            <w:tcW w:w="1418" w:type="dxa"/>
          </w:tcPr>
          <w:p w14:paraId="79C4D3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4FE7958C" w14:textId="77777777" w:rsidTr="009223E5">
        <w:tc>
          <w:tcPr>
            <w:tcW w:w="2736" w:type="dxa"/>
          </w:tcPr>
          <w:p w14:paraId="645243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6444" w:type="dxa"/>
          </w:tcPr>
          <w:p w14:paraId="42F55E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 из МВ-3. Отстрел спецпатронами</w:t>
            </w:r>
          </w:p>
        </w:tc>
        <w:tc>
          <w:tcPr>
            <w:tcW w:w="1418" w:type="dxa"/>
          </w:tcPr>
          <w:p w14:paraId="5A24C6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4FDD6BBE" w14:textId="77777777" w:rsidTr="009223E5">
        <w:tc>
          <w:tcPr>
            <w:tcW w:w="2736" w:type="dxa"/>
          </w:tcPr>
          <w:p w14:paraId="0260F1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6444" w:type="dxa"/>
          </w:tcPr>
          <w:p w14:paraId="5C1DAC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земным мишеням и сбрасывание ампул</w:t>
            </w:r>
          </w:p>
        </w:tc>
        <w:tc>
          <w:tcPr>
            <w:tcW w:w="1418" w:type="dxa"/>
          </w:tcPr>
          <w:p w14:paraId="798073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06FD14A0" w14:textId="77777777" w:rsidTr="009223E5">
        <w:tc>
          <w:tcPr>
            <w:tcW w:w="2736" w:type="dxa"/>
          </w:tcPr>
          <w:p w14:paraId="7C7B46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года</w:t>
            </w:r>
          </w:p>
        </w:tc>
        <w:tc>
          <w:tcPr>
            <w:tcW w:w="6444" w:type="dxa"/>
          </w:tcPr>
          <w:p w14:paraId="204E19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w:t>
            </w:r>
          </w:p>
        </w:tc>
        <w:tc>
          <w:tcPr>
            <w:tcW w:w="1418" w:type="dxa"/>
          </w:tcPr>
          <w:p w14:paraId="6F2C06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6C3A0C87" w14:textId="77777777" w:rsidTr="009223E5">
        <w:tc>
          <w:tcPr>
            <w:tcW w:w="2736" w:type="dxa"/>
          </w:tcPr>
          <w:p w14:paraId="360CF4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года</w:t>
            </w:r>
          </w:p>
        </w:tc>
        <w:tc>
          <w:tcPr>
            <w:tcW w:w="6444" w:type="dxa"/>
          </w:tcPr>
          <w:p w14:paraId="2A1BEC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 боевыми бомбами ФАБ-100 и ФАБ-250</w:t>
            </w:r>
          </w:p>
        </w:tc>
        <w:tc>
          <w:tcPr>
            <w:tcW w:w="1418" w:type="dxa"/>
          </w:tcPr>
          <w:p w14:paraId="0C5D23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1386A78D" w14:textId="77777777" w:rsidTr="009223E5">
        <w:tc>
          <w:tcPr>
            <w:tcW w:w="2736" w:type="dxa"/>
          </w:tcPr>
          <w:p w14:paraId="09FF87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6444" w:type="dxa"/>
          </w:tcPr>
          <w:p w14:paraId="2B0438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расхода горючего с полетным весом 8000 кг на Н=4000 м</w:t>
            </w:r>
          </w:p>
        </w:tc>
        <w:tc>
          <w:tcPr>
            <w:tcW w:w="1418" w:type="dxa"/>
          </w:tcPr>
          <w:p w14:paraId="5BF9A6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406C46B9" w14:textId="77777777" w:rsidTr="009223E5">
        <w:tc>
          <w:tcPr>
            <w:tcW w:w="2736" w:type="dxa"/>
          </w:tcPr>
          <w:p w14:paraId="2FD675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6444" w:type="dxa"/>
          </w:tcPr>
          <w:p w14:paraId="5169B9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w:t>
            </w:r>
          </w:p>
        </w:tc>
        <w:tc>
          <w:tcPr>
            <w:tcW w:w="1418" w:type="dxa"/>
          </w:tcPr>
          <w:p w14:paraId="5FF120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672CB378" w14:textId="77777777" w:rsidTr="009223E5">
        <w:tc>
          <w:tcPr>
            <w:tcW w:w="2736" w:type="dxa"/>
          </w:tcPr>
          <w:p w14:paraId="14E202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w:t>
            </w:r>
          </w:p>
        </w:tc>
        <w:tc>
          <w:tcPr>
            <w:tcW w:w="6444" w:type="dxa"/>
          </w:tcPr>
          <w:p w14:paraId="3D7459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девиации РПК-2 и точности пеленгации</w:t>
            </w:r>
          </w:p>
        </w:tc>
        <w:tc>
          <w:tcPr>
            <w:tcW w:w="1418" w:type="dxa"/>
          </w:tcPr>
          <w:p w14:paraId="33949B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1098BF65" w14:textId="77777777" w:rsidTr="009223E5">
        <w:tc>
          <w:tcPr>
            <w:tcW w:w="2736" w:type="dxa"/>
          </w:tcPr>
          <w:p w14:paraId="38EDED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w:t>
            </w:r>
          </w:p>
        </w:tc>
        <w:tc>
          <w:tcPr>
            <w:tcW w:w="6444" w:type="dxa"/>
          </w:tcPr>
          <w:p w14:paraId="1AB522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скоростей у земли</w:t>
            </w:r>
          </w:p>
        </w:tc>
        <w:tc>
          <w:tcPr>
            <w:tcW w:w="1418" w:type="dxa"/>
          </w:tcPr>
          <w:p w14:paraId="3208A4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63C07F35" w14:textId="77777777" w:rsidTr="009223E5">
        <w:tc>
          <w:tcPr>
            <w:tcW w:w="2736" w:type="dxa"/>
          </w:tcPr>
          <w:p w14:paraId="4EF338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6444" w:type="dxa"/>
          </w:tcPr>
          <w:p w14:paraId="63C559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расхода горючего с полетным весом 8000 кг на Н=4000 м и ЗФАБ-250</w:t>
            </w:r>
          </w:p>
        </w:tc>
        <w:tc>
          <w:tcPr>
            <w:tcW w:w="1418" w:type="dxa"/>
          </w:tcPr>
          <w:p w14:paraId="250FA1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215E94A7" w14:textId="77777777" w:rsidTr="009223E5">
        <w:tc>
          <w:tcPr>
            <w:tcW w:w="2736" w:type="dxa"/>
          </w:tcPr>
          <w:p w14:paraId="6ADD06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6444" w:type="dxa"/>
          </w:tcPr>
          <w:p w14:paraId="3C5895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закончены</w:t>
            </w:r>
          </w:p>
        </w:tc>
        <w:tc>
          <w:tcPr>
            <w:tcW w:w="1418" w:type="dxa"/>
          </w:tcPr>
          <w:p w14:paraId="2D794BD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44798A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(4555).</w:t>
      </w:r>
    </w:p>
    <w:p w14:paraId="05C64DA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39D92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 НИИ ВВС закончились гос. испытания самолета ДБ-3Ф 2М-88 с модернизированными стрелковыми установками МВ-2 и МВ-3, которые шли с 1 июня. Отв. исп.: ви ви2р Н.М.Кокорин и вл-и к Л.П.Дудкин (2686).</w:t>
      </w:r>
    </w:p>
    <w:p w14:paraId="6F149B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проводились на ранее проходившем испытания самолете ДБ-3Ф 2М-88 с ВИШ-23 N 390204, на котором заводом 39 были установлены стрелковые установки МВ-3 и МВ-2 вместо СУ-ДБ3 и ЛУ-ДБ3.</w:t>
      </w:r>
    </w:p>
    <w:p w14:paraId="04B0D5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проведено 18 полетов прод. 14:45, из них высотных - 1 в 2:50.</w:t>
      </w:r>
    </w:p>
    <w:p w14:paraId="0EEE4B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проведено за 15 дней, из которых летных - 9 (2686).</w:t>
      </w:r>
    </w:p>
    <w:p w14:paraId="66DEE3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0FC57C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ЛД:</w:t>
      </w:r>
    </w:p>
    <w:p w14:paraId="2648A4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Макс. скорость с МВ-2 и МВ-3 уменьшилась</w:t>
      </w:r>
    </w:p>
    <w:p w14:paraId="4BD553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Время подъема на 5000 м - увеличилось на 3.2 мин.</w:t>
      </w:r>
    </w:p>
    <w:p w14:paraId="51DF20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Расход горючего на 1 км - увеличился</w:t>
      </w:r>
    </w:p>
    <w:p w14:paraId="77FF78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стрелковому вооружению</w:t>
      </w:r>
    </w:p>
    <w:p w14:paraId="1EBF5E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турели МВ-3</w:t>
      </w:r>
    </w:p>
    <w:p w14:paraId="2E90D3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Обеспечивает лучшую маневренность пулемета в горизонтальной и вертикальной плоскостях</w:t>
      </w:r>
    </w:p>
    <w:p w14:paraId="0511FC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Улучшились:</w:t>
      </w:r>
    </w:p>
    <w:p w14:paraId="1E1A5B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обзор</w:t>
      </w:r>
    </w:p>
    <w:p w14:paraId="74257F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подход к рации и ЛУ</w:t>
      </w:r>
    </w:p>
    <w:p w14:paraId="5D9A80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условия стрельбы</w:t>
      </w:r>
    </w:p>
    <w:p w14:paraId="0B31AE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МВ-2</w:t>
      </w:r>
    </w:p>
    <w:p w14:paraId="0BF3E5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ЛУ МВ-2 значительно усиливает оборону самолета от атак в хвост</w:t>
      </w:r>
    </w:p>
    <w:p w14:paraId="26C350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DEF2C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всех ДБ-3Ф заменить СУ-ДБ3 и ЛУ-ДБ3 на МВ-3 и МВ-2 (постановление КО N 23сс от 11 января 1940), т.к. уменьшение скорости и дальности компенсируется улучшением условий работы стрелка-радиста и значительным усилением обороны задней сферы (2686).</w:t>
      </w:r>
    </w:p>
    <w:p w14:paraId="4B7C726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3DF5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был подписан акт N 06 (отправлен Секретной частью завода 39 16 сентября 1940):</w:t>
      </w:r>
    </w:p>
    <w:p w14:paraId="63F16A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закончены заводские летные испытания и испытания агрегатов в полете, проведенные ли завода Н.К.Федоровым и инструктором экипажа самолета к М.Д.Крюковым самолета ЦКБ-30 Н1, построенного заводом 39 согласно приказа НКАП N 197 за 1939 для выполнения дальнего перелета женским экипажем т. Нестеренко.</w:t>
      </w:r>
    </w:p>
    <w:p w14:paraId="3FA19B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результатов испытаний (см. полетные листы NN 01, 02, 03 и 04) отмечены хорошие летные качества самолета и он признан полностью годным для выполнения перелета и подлежащим сдаче экипажу.</w:t>
      </w:r>
    </w:p>
    <w:p w14:paraId="35DABC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самолет принят в полете (см. полетный лист N 05) экипажем в составе 1-го л Нестеренко, 2-го л Михайловой и ш Русаковой.</w:t>
      </w:r>
    </w:p>
    <w:p w14:paraId="237E9A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 завода 39 Федоров</w:t>
      </w:r>
    </w:p>
    <w:p w14:paraId="4AEA86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К.Петров</w:t>
      </w:r>
    </w:p>
    <w:p w14:paraId="224518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мастер завода Соколов</w:t>
      </w:r>
    </w:p>
    <w:p w14:paraId="4FC586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Инструктор экипажа Крюков</w:t>
      </w:r>
    </w:p>
    <w:p w14:paraId="67B567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к Шестеренко</w:t>
      </w:r>
    </w:p>
    <w:p w14:paraId="35473F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л к Михайлова</w:t>
      </w:r>
    </w:p>
    <w:p w14:paraId="0959C4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 ст.л Русакова (2102,46).</w:t>
      </w:r>
    </w:p>
    <w:p w14:paraId="53D5D0F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BDEC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16 июня 1940 рекордный самолет ЦКБ-30 Украина экипажа Нестеренко был принят экипажем по акту (1313,36).</w:t>
      </w:r>
    </w:p>
    <w:p w14:paraId="2D36C9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испытаний с 8 июня было сделано 9 полетов, проверены и испытаны в воздухе:</w:t>
      </w:r>
    </w:p>
    <w:p w14:paraId="29E728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аварийный слив горючего</w:t>
      </w:r>
    </w:p>
    <w:p w14:paraId="23FF83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работа радиостанции и радиокомпаса</w:t>
      </w:r>
    </w:p>
    <w:p w14:paraId="1C5D04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всех приборов</w:t>
      </w:r>
    </w:p>
    <w:p w14:paraId="377BDE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списана девиация магнитных приборов и радиокомпаса</w:t>
      </w:r>
    </w:p>
    <w:p w14:paraId="261F92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определены разбеги при взлетных весах: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1BBC18B0" w14:textId="77777777" w:rsidTr="009223E5">
        <w:tc>
          <w:tcPr>
            <w:tcW w:w="5749" w:type="dxa"/>
            <w:tcBorders>
              <w:top w:val="single" w:sz="12" w:space="0" w:color="auto"/>
            </w:tcBorders>
          </w:tcPr>
          <w:p w14:paraId="243C6B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 т</w:t>
            </w:r>
          </w:p>
        </w:tc>
        <w:tc>
          <w:tcPr>
            <w:tcW w:w="5749" w:type="dxa"/>
            <w:tcBorders>
              <w:top w:val="single" w:sz="12" w:space="0" w:color="auto"/>
            </w:tcBorders>
          </w:tcPr>
          <w:p w14:paraId="3CF19A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 м</w:t>
            </w:r>
          </w:p>
        </w:tc>
      </w:tr>
      <w:tr w:rsidR="007D5DF8" w:rsidRPr="00DB5D0D" w14:paraId="308A0190" w14:textId="77777777" w:rsidTr="009223E5">
        <w:tc>
          <w:tcPr>
            <w:tcW w:w="5749" w:type="dxa"/>
            <w:tcBorders>
              <w:bottom w:val="single" w:sz="12" w:space="0" w:color="auto"/>
            </w:tcBorders>
          </w:tcPr>
          <w:p w14:paraId="1A0BDA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 т</w:t>
            </w:r>
          </w:p>
        </w:tc>
        <w:tc>
          <w:tcPr>
            <w:tcW w:w="5749" w:type="dxa"/>
            <w:tcBorders>
              <w:bottom w:val="single" w:sz="12" w:space="0" w:color="auto"/>
            </w:tcBorders>
          </w:tcPr>
          <w:p w14:paraId="53BDB9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880 м</w:t>
            </w:r>
          </w:p>
        </w:tc>
      </w:tr>
    </w:tbl>
    <w:p w14:paraId="396ABC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подобран шаг винта, обеспечивающий мин. разбег (малый шаг - 26 гр.) (1313,36).</w:t>
      </w:r>
    </w:p>
    <w:p w14:paraId="4ED2C1E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669AB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 вышел приказ НИИ ВВС № 0116</w:t>
      </w:r>
    </w:p>
    <w:p w14:paraId="2949E40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Специальное летное испытание мотора М-105 на самолете СБ (6891, 238).</w:t>
      </w:r>
    </w:p>
    <w:p w14:paraId="12BDA4F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06DF8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вышел приказ 292сс НКАП по постройке 102 машины В.М.Мясищева на 156 заводе (354).</w:t>
      </w:r>
    </w:p>
    <w:p w14:paraId="65D9F11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02D5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вышел приказ НКАП N 292сс в исполнение постановления КО 238сс-40 от 1 июня 1940. В нем "В целях создания высотного дальнего бомбардировщика 102 с двумя моторами М-1202ТК ПРИКАЗЫВАЮ: (405,34).</w:t>
      </w:r>
    </w:p>
    <w:p w14:paraId="08C64B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Директору завода N 156 тов. Ленкину совместно с ОТБ НКВД спроектировать и построить ДВБ с двумя моторами М-1202ТК и предъявить на государственные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65C7EF53" w14:textId="77777777" w:rsidTr="009223E5">
        <w:tc>
          <w:tcPr>
            <w:tcW w:w="5749" w:type="dxa"/>
            <w:tcBorders>
              <w:top w:val="single" w:sz="12" w:space="0" w:color="auto"/>
            </w:tcBorders>
          </w:tcPr>
          <w:p w14:paraId="3A3EBA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w:t>
            </w:r>
          </w:p>
        </w:tc>
        <w:tc>
          <w:tcPr>
            <w:tcW w:w="5749" w:type="dxa"/>
            <w:tcBorders>
              <w:top w:val="single" w:sz="12" w:space="0" w:color="auto"/>
            </w:tcBorders>
          </w:tcPr>
          <w:p w14:paraId="13880F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1941 года</w:t>
            </w:r>
          </w:p>
        </w:tc>
      </w:tr>
      <w:tr w:rsidR="007D5DF8" w:rsidRPr="00DB5D0D" w14:paraId="5998962E" w14:textId="77777777" w:rsidTr="009223E5">
        <w:tc>
          <w:tcPr>
            <w:tcW w:w="5749" w:type="dxa"/>
            <w:tcBorders>
              <w:bottom w:val="single" w:sz="12" w:space="0" w:color="auto"/>
            </w:tcBorders>
          </w:tcPr>
          <w:p w14:paraId="423542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w:t>
            </w:r>
          </w:p>
        </w:tc>
        <w:tc>
          <w:tcPr>
            <w:tcW w:w="5749" w:type="dxa"/>
            <w:tcBorders>
              <w:bottom w:val="single" w:sz="12" w:space="0" w:color="auto"/>
            </w:tcBorders>
          </w:tcPr>
          <w:p w14:paraId="1034ED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1941 года..." (405,34)</w:t>
            </w:r>
          </w:p>
        </w:tc>
      </w:tr>
    </w:tbl>
    <w:p w14:paraId="4DC650E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1B9B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вышел приказ 293сс НКАП по постройке 103 машины А.Н.Т. с М35 и М120 на 156 заводе (354).</w:t>
      </w:r>
    </w:p>
    <w:p w14:paraId="5A31B2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создания высотного дальнего бомбардировщика "102" с двумя моторами М-120 2ТК, ПРИКАЗЫВАЮ:</w:t>
      </w:r>
    </w:p>
    <w:p w14:paraId="3FA6C9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Директору завода № 156 тов. Ленкину совместно с ОТБ НКВД спроектировать и построить высотный дальний бомбардиров</w:t>
      </w:r>
      <w:r w:rsidRPr="00DB5D0D">
        <w:rPr>
          <w:rFonts w:ascii="Times New Roman" w:hAnsi="Times New Roman"/>
          <w:color w:val="000000" w:themeColor="text1"/>
          <w:sz w:val="16"/>
          <w:szCs w:val="16"/>
        </w:rPr>
        <w:softHyphen/>
        <w:t>щик с двумя моторами М-120 2ТК и предъявить на государствен</w:t>
      </w:r>
      <w:r w:rsidRPr="00DB5D0D">
        <w:rPr>
          <w:rFonts w:ascii="Times New Roman" w:hAnsi="Times New Roman"/>
          <w:color w:val="000000" w:themeColor="text1"/>
          <w:sz w:val="16"/>
          <w:szCs w:val="16"/>
        </w:rPr>
        <w:softHyphen/>
        <w:t>ные испытаний:</w:t>
      </w:r>
    </w:p>
    <w:p w14:paraId="7C8D4D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w:t>
      </w:r>
      <w:r w:rsidRPr="00DB5D0D">
        <w:rPr>
          <w:rFonts w:ascii="Times New Roman" w:hAnsi="Times New Roman"/>
          <w:color w:val="000000" w:themeColor="text1"/>
          <w:sz w:val="16"/>
          <w:szCs w:val="16"/>
        </w:rPr>
        <w:tab/>
        <w:t>1.У.1941 года</w:t>
      </w:r>
    </w:p>
    <w:p w14:paraId="53D6A6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w:t>
      </w:r>
      <w:r w:rsidRPr="00DB5D0D">
        <w:rPr>
          <w:rFonts w:ascii="Times New Roman" w:hAnsi="Times New Roman"/>
          <w:color w:val="000000" w:themeColor="text1"/>
          <w:sz w:val="16"/>
          <w:szCs w:val="16"/>
        </w:rPr>
        <w:tab/>
        <w:t>1.У1.1941 года,</w:t>
      </w:r>
    </w:p>
    <w:p w14:paraId="6CAEAC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следурцими летно-тактическими данными:</w:t>
      </w:r>
    </w:p>
    <w:p w14:paraId="041022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10000 м</w:t>
      </w:r>
      <w:r w:rsidRPr="00DB5D0D">
        <w:rPr>
          <w:rFonts w:ascii="Times New Roman" w:hAnsi="Times New Roman"/>
          <w:color w:val="000000" w:themeColor="text1"/>
          <w:sz w:val="16"/>
          <w:szCs w:val="16"/>
        </w:rPr>
        <w:tab/>
        <w:t>610 к/ч</w:t>
      </w:r>
    </w:p>
    <w:p w14:paraId="7A13CE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w:t>
      </w:r>
      <w:r w:rsidRPr="00DB5D0D">
        <w:rPr>
          <w:rFonts w:ascii="Times New Roman" w:hAnsi="Times New Roman"/>
          <w:color w:val="000000" w:themeColor="text1"/>
          <w:sz w:val="16"/>
          <w:szCs w:val="16"/>
        </w:rPr>
        <w:tab/>
        <w:t>110 к/ч</w:t>
      </w:r>
    </w:p>
    <w:p w14:paraId="64D43E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w:t>
      </w:r>
      <w:r w:rsidRPr="00DB5D0D">
        <w:rPr>
          <w:rFonts w:ascii="Times New Roman" w:hAnsi="Times New Roman"/>
          <w:color w:val="000000" w:themeColor="text1"/>
          <w:sz w:val="16"/>
          <w:szCs w:val="16"/>
        </w:rPr>
        <w:tab/>
        <w:t>3300 км</w:t>
      </w:r>
    </w:p>
    <w:p w14:paraId="3D810C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дальность при использовании емкости баков</w:t>
      </w:r>
      <w:r w:rsidRPr="00DB5D0D">
        <w:rPr>
          <w:rFonts w:ascii="Times New Roman" w:hAnsi="Times New Roman"/>
          <w:color w:val="000000" w:themeColor="text1"/>
          <w:sz w:val="16"/>
          <w:szCs w:val="16"/>
        </w:rPr>
        <w:tab/>
        <w:t>5000 км</w:t>
      </w:r>
    </w:p>
    <w:p w14:paraId="1AB686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1 пулемет 12,7 мм</w:t>
      </w:r>
    </w:p>
    <w:p w14:paraId="67655E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пулемета 7,62 мм</w:t>
      </w:r>
    </w:p>
    <w:p w14:paraId="36EF85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нормальная 1.000 кг.</w:t>
      </w:r>
    </w:p>
    <w:p w14:paraId="1DD88C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с перегрузкой 2.000 кг.</w:t>
      </w:r>
    </w:p>
    <w:p w14:paraId="178EE0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- 4 человека</w:t>
      </w:r>
    </w:p>
    <w:p w14:paraId="5F54BC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Начальнику ОТБ НКВД закончить передачу чертежей заводу 156:</w:t>
      </w:r>
    </w:p>
    <w:p w14:paraId="50D8E1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первому экземпляру</w:t>
      </w:r>
      <w:r w:rsidRPr="00DB5D0D">
        <w:rPr>
          <w:rFonts w:ascii="Times New Roman" w:hAnsi="Times New Roman"/>
          <w:color w:val="000000" w:themeColor="text1"/>
          <w:sz w:val="16"/>
          <w:szCs w:val="16"/>
        </w:rPr>
        <w:tab/>
        <w:t>к 1.ХШ.1940 года</w:t>
      </w:r>
    </w:p>
    <w:p w14:paraId="2B507C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второму экземпляру</w:t>
      </w:r>
      <w:r w:rsidRPr="00DB5D0D">
        <w:rPr>
          <w:rFonts w:ascii="Times New Roman" w:hAnsi="Times New Roman"/>
          <w:color w:val="000000" w:themeColor="text1"/>
          <w:sz w:val="16"/>
          <w:szCs w:val="16"/>
        </w:rPr>
        <w:tab/>
        <w:t>к 1.1.1941 г.</w:t>
      </w:r>
    </w:p>
    <w:p w14:paraId="49CF2F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Директору завода № 166 совместно с ОТБ НКВД разработать в декадный срок и представить моему заместителю тов. Яковлеву А.С. на утверждение планировку подачи чертежей самолета "102", исходя из утвержденных выше сроков.</w:t>
      </w:r>
    </w:p>
    <w:p w14:paraId="2C654D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Начальнику ЦАГИ обеспечить проведение аэродинамических испытаний модели самолета "102", а также статических и динами</w:t>
      </w:r>
      <w:r w:rsidRPr="00DB5D0D">
        <w:rPr>
          <w:rFonts w:ascii="Times New Roman" w:hAnsi="Times New Roman"/>
          <w:color w:val="000000" w:themeColor="text1"/>
          <w:sz w:val="16"/>
          <w:szCs w:val="16"/>
        </w:rPr>
        <w:softHyphen/>
        <w:t>ческих испытаний отдельных узлов и агрегатов по программам и в сроки, согласованные с ОТБ НКВД.</w:t>
      </w:r>
    </w:p>
    <w:p w14:paraId="455BFE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Директору завода № 26 обеспечить поставку Моторов М-120 с ТК-120:</w:t>
      </w:r>
    </w:p>
    <w:p w14:paraId="7545E3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мотора</w:t>
      </w:r>
      <w:r w:rsidRPr="00DB5D0D">
        <w:rPr>
          <w:rFonts w:ascii="Times New Roman" w:hAnsi="Times New Roman"/>
          <w:color w:val="000000" w:themeColor="text1"/>
          <w:sz w:val="16"/>
          <w:szCs w:val="16"/>
        </w:rPr>
        <w:tab/>
        <w:t>к 1.Х. 1940 года</w:t>
      </w:r>
    </w:p>
    <w:p w14:paraId="152355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моторов</w:t>
      </w:r>
      <w:r w:rsidRPr="00DB5D0D">
        <w:rPr>
          <w:rFonts w:ascii="Times New Roman" w:hAnsi="Times New Roman"/>
          <w:color w:val="000000" w:themeColor="text1"/>
          <w:sz w:val="16"/>
          <w:szCs w:val="16"/>
        </w:rPr>
        <w:tab/>
        <w:t>к 15.Х1.1940 года</w:t>
      </w:r>
    </w:p>
    <w:p w14:paraId="079478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моторов</w:t>
      </w:r>
      <w:r w:rsidRPr="00DB5D0D">
        <w:rPr>
          <w:rFonts w:ascii="Times New Roman" w:hAnsi="Times New Roman"/>
          <w:color w:val="000000" w:themeColor="text1"/>
          <w:sz w:val="16"/>
          <w:szCs w:val="16"/>
        </w:rPr>
        <w:tab/>
        <w:t>к 1.1.1941 года.</w:t>
      </w:r>
    </w:p>
    <w:p w14:paraId="65CC8A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Директору завода № 28 обеспечить поставку Заводу № 156 винтов:</w:t>
      </w:r>
    </w:p>
    <w:p w14:paraId="72D88D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ВИШ-65</w:t>
      </w:r>
      <w:r w:rsidRPr="00DB5D0D">
        <w:rPr>
          <w:rFonts w:ascii="Times New Roman" w:hAnsi="Times New Roman"/>
          <w:color w:val="000000" w:themeColor="text1"/>
          <w:sz w:val="16"/>
          <w:szCs w:val="16"/>
        </w:rPr>
        <w:tab/>
        <w:t>2 штуки к 15.1Х.1940 года</w:t>
      </w:r>
    </w:p>
    <w:p w14:paraId="78A644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Специальных для М-120</w:t>
      </w:r>
      <w:r w:rsidRPr="00DB5D0D">
        <w:rPr>
          <w:rFonts w:ascii="Times New Roman" w:hAnsi="Times New Roman"/>
          <w:color w:val="000000" w:themeColor="text1"/>
          <w:sz w:val="16"/>
          <w:szCs w:val="16"/>
        </w:rPr>
        <w:tab/>
        <w:t>4 штуки к 16.XI.1940 года</w:t>
      </w:r>
    </w:p>
    <w:p w14:paraId="1D999E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штуки к 15.ХП.1940 года</w:t>
      </w:r>
    </w:p>
    <w:p w14:paraId="295A7C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Установить следующие сроки этапов для работ по самолету "102”:</w:t>
      </w:r>
    </w:p>
    <w:p w14:paraId="0F6687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этап: Первый экземпляр</w:t>
      </w:r>
      <w:r w:rsidRPr="00DB5D0D">
        <w:rPr>
          <w:rFonts w:ascii="Times New Roman" w:hAnsi="Times New Roman"/>
          <w:color w:val="000000" w:themeColor="text1"/>
          <w:sz w:val="16"/>
          <w:szCs w:val="16"/>
        </w:rPr>
        <w:tab/>
        <w:t>1.ХП.1940 года</w:t>
      </w:r>
    </w:p>
    <w:p w14:paraId="6B70B2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w:t>
      </w:r>
      <w:r w:rsidRPr="00DB5D0D">
        <w:rPr>
          <w:rFonts w:ascii="Times New Roman" w:hAnsi="Times New Roman"/>
          <w:color w:val="000000" w:themeColor="text1"/>
          <w:sz w:val="16"/>
          <w:szCs w:val="16"/>
        </w:rPr>
        <w:tab/>
        <w:t>1.1.1941 года</w:t>
      </w:r>
    </w:p>
    <w:p w14:paraId="5D6A5B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smallCaps/>
          <w:color w:val="000000" w:themeColor="text1"/>
          <w:sz w:val="16"/>
          <w:szCs w:val="16"/>
        </w:rPr>
        <w:t xml:space="preserve">второй </w:t>
      </w:r>
      <w:r w:rsidRPr="00DB5D0D">
        <w:rPr>
          <w:rFonts w:ascii="Times New Roman" w:hAnsi="Times New Roman"/>
          <w:color w:val="000000" w:themeColor="text1"/>
          <w:sz w:val="16"/>
          <w:szCs w:val="16"/>
        </w:rPr>
        <w:t>этап: первый экземпляр</w:t>
      </w:r>
      <w:r w:rsidRPr="00DB5D0D">
        <w:rPr>
          <w:rFonts w:ascii="Times New Roman" w:hAnsi="Times New Roman"/>
          <w:color w:val="000000" w:themeColor="text1"/>
          <w:sz w:val="16"/>
          <w:szCs w:val="16"/>
        </w:rPr>
        <w:tab/>
        <w:t>1.Ш.1941 года</w:t>
      </w:r>
    </w:p>
    <w:p w14:paraId="54418C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w:t>
      </w:r>
      <w:r w:rsidRPr="00DB5D0D">
        <w:rPr>
          <w:rFonts w:ascii="Times New Roman" w:hAnsi="Times New Roman"/>
          <w:color w:val="000000" w:themeColor="text1"/>
          <w:sz w:val="16"/>
          <w:szCs w:val="16"/>
        </w:rPr>
        <w:tab/>
        <w:t>1.1У.1941 года</w:t>
      </w:r>
    </w:p>
    <w:p w14:paraId="71BFD3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экземпляр</w:t>
      </w:r>
      <w:r w:rsidRPr="00DB5D0D">
        <w:rPr>
          <w:rFonts w:ascii="Times New Roman" w:hAnsi="Times New Roman"/>
          <w:color w:val="000000" w:themeColor="text1"/>
          <w:sz w:val="16"/>
          <w:szCs w:val="16"/>
        </w:rPr>
        <w:tab/>
        <w:t>первый экзепляр</w:t>
      </w:r>
      <w:r w:rsidRPr="00DB5D0D">
        <w:rPr>
          <w:rFonts w:ascii="Times New Roman" w:hAnsi="Times New Roman"/>
          <w:color w:val="000000" w:themeColor="text1"/>
          <w:sz w:val="16"/>
          <w:szCs w:val="16"/>
        </w:rPr>
        <w:tab/>
        <w:t>1.УШ. 1941 года</w:t>
      </w:r>
    </w:p>
    <w:p w14:paraId="67131E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экзепляр</w:t>
      </w:r>
      <w:r w:rsidRPr="00DB5D0D">
        <w:rPr>
          <w:rFonts w:ascii="Times New Roman" w:hAnsi="Times New Roman"/>
          <w:color w:val="000000" w:themeColor="text1"/>
          <w:sz w:val="16"/>
          <w:szCs w:val="16"/>
        </w:rPr>
        <w:tab/>
        <w:t>1.IX.1941 года (354,36).</w:t>
      </w:r>
    </w:p>
    <w:p w14:paraId="6378D2E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3FB0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вышел приказ НКАП N 293сс в исполнение постановления КО 239сс-40 от 1 июня 1940. В нем "В целях создания пикирующего бомбардировщика 103 с двумя моторами АМ-35А и М-120ТК-2 ПРИКАЗЫВАЮ: (405,34).</w:t>
      </w:r>
    </w:p>
    <w:p w14:paraId="7F6C7E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Директору завода N 156 тов. Ленкину совместно с ОТБ НКВД спроектировать и построить ПБ, первый экземпляр с двумя моторами АМ-35А и два экземпляра с двумя моторами М-120ТК-2 и предъявить на государственные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20FD5310" w14:textId="77777777" w:rsidTr="009223E5">
        <w:tc>
          <w:tcPr>
            <w:tcW w:w="5749" w:type="dxa"/>
            <w:tcBorders>
              <w:top w:val="single" w:sz="12" w:space="0" w:color="auto"/>
            </w:tcBorders>
          </w:tcPr>
          <w:p w14:paraId="003E03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w:t>
            </w:r>
          </w:p>
        </w:tc>
        <w:tc>
          <w:tcPr>
            <w:tcW w:w="5749" w:type="dxa"/>
            <w:tcBorders>
              <w:top w:val="single" w:sz="12" w:space="0" w:color="auto"/>
            </w:tcBorders>
          </w:tcPr>
          <w:p w14:paraId="660676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января 1941 года</w:t>
            </w:r>
          </w:p>
        </w:tc>
      </w:tr>
      <w:tr w:rsidR="007D5DF8" w:rsidRPr="00DB5D0D" w14:paraId="6320B485" w14:textId="77777777" w:rsidTr="009223E5">
        <w:tc>
          <w:tcPr>
            <w:tcW w:w="5749" w:type="dxa"/>
          </w:tcPr>
          <w:p w14:paraId="31685C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w:t>
            </w:r>
          </w:p>
        </w:tc>
        <w:tc>
          <w:tcPr>
            <w:tcW w:w="5749" w:type="dxa"/>
          </w:tcPr>
          <w:p w14:paraId="0B9EB8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марта 1941 года</w:t>
            </w:r>
          </w:p>
        </w:tc>
      </w:tr>
      <w:tr w:rsidR="007D5DF8" w:rsidRPr="00DB5D0D" w14:paraId="4A2E84F8" w14:textId="77777777" w:rsidTr="009223E5">
        <w:tc>
          <w:tcPr>
            <w:tcW w:w="5749" w:type="dxa"/>
            <w:tcBorders>
              <w:bottom w:val="single" w:sz="12" w:space="0" w:color="auto"/>
            </w:tcBorders>
          </w:tcPr>
          <w:p w14:paraId="78BA38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экземпляр</w:t>
            </w:r>
          </w:p>
        </w:tc>
        <w:tc>
          <w:tcPr>
            <w:tcW w:w="5749" w:type="dxa"/>
            <w:tcBorders>
              <w:bottom w:val="single" w:sz="12" w:space="0" w:color="auto"/>
            </w:tcBorders>
          </w:tcPr>
          <w:p w14:paraId="1B05D7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1941..." (405,34)</w:t>
            </w:r>
          </w:p>
        </w:tc>
      </w:tr>
    </w:tbl>
    <w:p w14:paraId="75B008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560 км/час на высоте 7000 м и 625 км/час на высоте 7000 м.</w:t>
      </w:r>
    </w:p>
    <w:p w14:paraId="7D42A0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 нормальная - 1000 км, максимальная - 2500 км, для отдельных стратегических рейсов - 3500 км.</w:t>
      </w:r>
    </w:p>
    <w:p w14:paraId="002414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11000 м и 13000 м.</w:t>
      </w:r>
    </w:p>
    <w:p w14:paraId="0330E8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 нормальная 1000 кг, максимальная - 2000 кг.</w:t>
      </w:r>
    </w:p>
    <w:p w14:paraId="064218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2хШВАК-20, 4хШКАС</w:t>
      </w:r>
    </w:p>
    <w:p w14:paraId="30A48C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gridCol w:w="2874"/>
      </w:tblGrid>
      <w:tr w:rsidR="007D5DF8" w:rsidRPr="00DB5D0D" w14:paraId="05660C53" w14:textId="77777777" w:rsidTr="009223E5">
        <w:tc>
          <w:tcPr>
            <w:tcW w:w="2874" w:type="dxa"/>
            <w:tcBorders>
              <w:top w:val="single" w:sz="12" w:space="0" w:color="auto"/>
            </w:tcBorders>
          </w:tcPr>
          <w:p w14:paraId="339DEC7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874" w:type="dxa"/>
            <w:tcBorders>
              <w:top w:val="single" w:sz="12" w:space="0" w:color="auto"/>
            </w:tcBorders>
          </w:tcPr>
          <w:p w14:paraId="4C8628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874" w:type="dxa"/>
            <w:tcBorders>
              <w:top w:val="single" w:sz="12" w:space="0" w:color="auto"/>
            </w:tcBorders>
          </w:tcPr>
          <w:p w14:paraId="51D62B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874" w:type="dxa"/>
            <w:tcBorders>
              <w:top w:val="single" w:sz="12" w:space="0" w:color="auto"/>
            </w:tcBorders>
          </w:tcPr>
          <w:p w14:paraId="205C06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34A44FDF" w14:textId="77777777" w:rsidTr="009223E5">
        <w:tc>
          <w:tcPr>
            <w:tcW w:w="2874" w:type="dxa"/>
          </w:tcPr>
          <w:p w14:paraId="36F378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сдача чертежей</w:t>
            </w:r>
          </w:p>
        </w:tc>
        <w:tc>
          <w:tcPr>
            <w:tcW w:w="2874" w:type="dxa"/>
          </w:tcPr>
          <w:p w14:paraId="3551C2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01.09.40</w:t>
            </w:r>
          </w:p>
        </w:tc>
        <w:tc>
          <w:tcPr>
            <w:tcW w:w="2874" w:type="dxa"/>
          </w:tcPr>
          <w:p w14:paraId="1C94D8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01.11.40</w:t>
            </w:r>
          </w:p>
        </w:tc>
        <w:tc>
          <w:tcPr>
            <w:tcW w:w="2874" w:type="dxa"/>
          </w:tcPr>
          <w:p w14:paraId="153BDD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r>
      <w:tr w:rsidR="007D5DF8" w:rsidRPr="00DB5D0D" w14:paraId="7EC17237" w14:textId="77777777" w:rsidTr="009223E5">
        <w:tc>
          <w:tcPr>
            <w:tcW w:w="2874" w:type="dxa"/>
          </w:tcPr>
          <w:p w14:paraId="1E98F3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2874" w:type="dxa"/>
          </w:tcPr>
          <w:p w14:paraId="6CC27F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01.11.40</w:t>
            </w:r>
          </w:p>
        </w:tc>
        <w:tc>
          <w:tcPr>
            <w:tcW w:w="2874" w:type="dxa"/>
          </w:tcPr>
          <w:p w14:paraId="7C9D1B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c>
          <w:tcPr>
            <w:tcW w:w="2874" w:type="dxa"/>
          </w:tcPr>
          <w:p w14:paraId="323037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01703.41</w:t>
            </w:r>
          </w:p>
        </w:tc>
      </w:tr>
      <w:tr w:rsidR="007D5DF8" w:rsidRPr="00DB5D0D" w14:paraId="3023D9D5" w14:textId="77777777" w:rsidTr="009223E5">
        <w:tc>
          <w:tcPr>
            <w:tcW w:w="2874" w:type="dxa"/>
            <w:tcBorders>
              <w:bottom w:val="single" w:sz="12" w:space="0" w:color="auto"/>
            </w:tcBorders>
          </w:tcPr>
          <w:p w14:paraId="5E47A3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государственные испытания</w:t>
            </w:r>
          </w:p>
        </w:tc>
        <w:tc>
          <w:tcPr>
            <w:tcW w:w="2874" w:type="dxa"/>
            <w:tcBorders>
              <w:bottom w:val="single" w:sz="12" w:space="0" w:color="auto"/>
            </w:tcBorders>
          </w:tcPr>
          <w:p w14:paraId="7D458D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c>
          <w:tcPr>
            <w:tcW w:w="2874" w:type="dxa"/>
            <w:tcBorders>
              <w:bottom w:val="single" w:sz="12" w:space="0" w:color="auto"/>
            </w:tcBorders>
          </w:tcPr>
          <w:p w14:paraId="705E82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01.03.41</w:t>
            </w:r>
          </w:p>
        </w:tc>
        <w:tc>
          <w:tcPr>
            <w:tcW w:w="2874" w:type="dxa"/>
            <w:tcBorders>
              <w:bottom w:val="single" w:sz="12" w:space="0" w:color="auto"/>
            </w:tcBorders>
          </w:tcPr>
          <w:p w14:paraId="74B072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01.05.41 (1835,11)</w:t>
            </w:r>
          </w:p>
        </w:tc>
      </w:tr>
    </w:tbl>
    <w:p w14:paraId="6A6886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928"/>
        <w:gridCol w:w="3140"/>
        <w:gridCol w:w="3140"/>
      </w:tblGrid>
      <w:tr w:rsidR="007D5DF8" w:rsidRPr="00DB5D0D" w14:paraId="62E8A500" w14:textId="77777777" w:rsidTr="009223E5">
        <w:tc>
          <w:tcPr>
            <w:tcW w:w="4928" w:type="dxa"/>
            <w:tcBorders>
              <w:top w:val="single" w:sz="12" w:space="0" w:color="auto"/>
            </w:tcBorders>
          </w:tcPr>
          <w:p w14:paraId="46FA4A2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140" w:type="dxa"/>
            <w:tcBorders>
              <w:top w:val="single" w:sz="12" w:space="0" w:color="auto"/>
            </w:tcBorders>
          </w:tcPr>
          <w:p w14:paraId="0AFBC7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2АМ-35А</w:t>
            </w:r>
          </w:p>
        </w:tc>
        <w:tc>
          <w:tcPr>
            <w:tcW w:w="3140" w:type="dxa"/>
            <w:tcBorders>
              <w:top w:val="single" w:sz="12" w:space="0" w:color="auto"/>
            </w:tcBorders>
          </w:tcPr>
          <w:p w14:paraId="782949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2М-120У ТК-2</w:t>
            </w:r>
          </w:p>
        </w:tc>
      </w:tr>
      <w:tr w:rsidR="007D5DF8" w:rsidRPr="00DB5D0D" w14:paraId="64EA5738" w14:textId="77777777" w:rsidTr="009223E5">
        <w:tc>
          <w:tcPr>
            <w:tcW w:w="4928" w:type="dxa"/>
          </w:tcPr>
          <w:p w14:paraId="120EDB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7000 м.</w:t>
            </w:r>
          </w:p>
        </w:tc>
        <w:tc>
          <w:tcPr>
            <w:tcW w:w="3140" w:type="dxa"/>
          </w:tcPr>
          <w:p w14:paraId="5F0C4E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560 к/ч</w:t>
            </w:r>
          </w:p>
        </w:tc>
        <w:tc>
          <w:tcPr>
            <w:tcW w:w="3140" w:type="dxa"/>
          </w:tcPr>
          <w:p w14:paraId="763832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625 к/ч</w:t>
            </w:r>
          </w:p>
        </w:tc>
      </w:tr>
      <w:tr w:rsidR="007D5DF8" w:rsidRPr="00DB5D0D" w14:paraId="6DF678D1" w14:textId="77777777" w:rsidTr="009223E5">
        <w:tc>
          <w:tcPr>
            <w:tcW w:w="4928" w:type="dxa"/>
          </w:tcPr>
          <w:p w14:paraId="0D20DB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Максимальная скорость на высоте 12000 м </w:t>
            </w:r>
          </w:p>
        </w:tc>
        <w:tc>
          <w:tcPr>
            <w:tcW w:w="3140" w:type="dxa"/>
          </w:tcPr>
          <w:p w14:paraId="40A02D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3140" w:type="dxa"/>
          </w:tcPr>
          <w:p w14:paraId="5BEEA9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720 к/ч</w:t>
            </w:r>
          </w:p>
        </w:tc>
      </w:tr>
      <w:tr w:rsidR="007D5DF8" w:rsidRPr="00DB5D0D" w14:paraId="2BA23A63" w14:textId="77777777" w:rsidTr="009223E5">
        <w:tc>
          <w:tcPr>
            <w:tcW w:w="4928" w:type="dxa"/>
          </w:tcPr>
          <w:p w14:paraId="2385D0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w:t>
            </w:r>
          </w:p>
        </w:tc>
        <w:tc>
          <w:tcPr>
            <w:tcW w:w="3140" w:type="dxa"/>
          </w:tcPr>
          <w:p w14:paraId="5F96F2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км</w:t>
            </w:r>
          </w:p>
        </w:tc>
        <w:tc>
          <w:tcPr>
            <w:tcW w:w="3140" w:type="dxa"/>
          </w:tcPr>
          <w:p w14:paraId="3CD753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км</w:t>
            </w:r>
          </w:p>
        </w:tc>
      </w:tr>
      <w:tr w:rsidR="007D5DF8" w:rsidRPr="00DB5D0D" w14:paraId="0EB0F3B9" w14:textId="77777777" w:rsidTr="009223E5">
        <w:tc>
          <w:tcPr>
            <w:tcW w:w="4928" w:type="dxa"/>
          </w:tcPr>
          <w:p w14:paraId="09A6A3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максимальная</w:t>
            </w:r>
          </w:p>
        </w:tc>
        <w:tc>
          <w:tcPr>
            <w:tcW w:w="3140" w:type="dxa"/>
          </w:tcPr>
          <w:p w14:paraId="58EAE1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 км</w:t>
            </w:r>
          </w:p>
        </w:tc>
        <w:tc>
          <w:tcPr>
            <w:tcW w:w="3140" w:type="dxa"/>
          </w:tcPr>
          <w:p w14:paraId="45CAC3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 км</w:t>
            </w:r>
          </w:p>
        </w:tc>
      </w:tr>
      <w:tr w:rsidR="007D5DF8" w:rsidRPr="00DB5D0D" w14:paraId="01FE2124" w14:textId="77777777" w:rsidTr="009223E5">
        <w:tc>
          <w:tcPr>
            <w:tcW w:w="4928" w:type="dxa"/>
          </w:tcPr>
          <w:p w14:paraId="3582BD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максимальная для отдельных стратеги</w:t>
            </w:r>
            <w:r w:rsidRPr="00DB5D0D">
              <w:rPr>
                <w:rFonts w:ascii="Times New Roman" w:hAnsi="Times New Roman"/>
                <w:color w:val="000000" w:themeColor="text1"/>
                <w:sz w:val="16"/>
                <w:szCs w:val="16"/>
              </w:rPr>
              <w:softHyphen/>
              <w:t>ческих рейсов</w:t>
            </w:r>
          </w:p>
        </w:tc>
        <w:tc>
          <w:tcPr>
            <w:tcW w:w="3140" w:type="dxa"/>
          </w:tcPr>
          <w:p w14:paraId="73B261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 км</w:t>
            </w:r>
          </w:p>
        </w:tc>
        <w:tc>
          <w:tcPr>
            <w:tcW w:w="3140" w:type="dxa"/>
          </w:tcPr>
          <w:p w14:paraId="1D41D7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 км</w:t>
            </w:r>
          </w:p>
        </w:tc>
      </w:tr>
      <w:tr w:rsidR="007D5DF8" w:rsidRPr="00DB5D0D" w14:paraId="01748DA3" w14:textId="77777777" w:rsidTr="009223E5">
        <w:tc>
          <w:tcPr>
            <w:tcW w:w="4928" w:type="dxa"/>
            <w:tcBorders>
              <w:bottom w:val="single" w:sz="12" w:space="0" w:color="auto"/>
            </w:tcBorders>
          </w:tcPr>
          <w:p w14:paraId="0D4A0D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w:t>
            </w:r>
          </w:p>
        </w:tc>
        <w:tc>
          <w:tcPr>
            <w:tcW w:w="3140" w:type="dxa"/>
            <w:tcBorders>
              <w:bottom w:val="single" w:sz="12" w:space="0" w:color="auto"/>
            </w:tcBorders>
          </w:tcPr>
          <w:p w14:paraId="6CF068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 м.</w:t>
            </w:r>
          </w:p>
        </w:tc>
        <w:tc>
          <w:tcPr>
            <w:tcW w:w="3140" w:type="dxa"/>
            <w:tcBorders>
              <w:bottom w:val="single" w:sz="12" w:space="0" w:color="auto"/>
            </w:tcBorders>
          </w:tcPr>
          <w:p w14:paraId="5DE050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 м.</w:t>
            </w:r>
          </w:p>
        </w:tc>
      </w:tr>
    </w:tbl>
    <w:p w14:paraId="6F6A51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- 2 пушки ШВАК 20 мм</w:t>
      </w:r>
    </w:p>
    <w:p w14:paraId="5CC65B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4 пулемете 7,62 мм. -</w:t>
      </w:r>
    </w:p>
    <w:p w14:paraId="40A09B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нормальная 1.000 кг.</w:t>
      </w:r>
    </w:p>
    <w:p w14:paraId="6C75A9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максимальная .2.000кг</w:t>
      </w:r>
    </w:p>
    <w:p w14:paraId="790429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ОТБ НКВД сдать и Директору завода № 156 тов. Ленкину принять чертежи:</w:t>
      </w:r>
    </w:p>
    <w:p w14:paraId="2FA70C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1-му. экземпляру "103" до 1.1Х-1940 г.</w:t>
      </w:r>
    </w:p>
    <w:p w14:paraId="369A0F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2-му экземпляру "103" до 1.Х1-1940 г.</w:t>
      </w:r>
    </w:p>
    <w:p w14:paraId="4F5E53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3-му экземпляру "103" до 1.1 - 1941 г.</w:t>
      </w:r>
    </w:p>
    <w:p w14:paraId="70B8BE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Директору завода № 156 совместно с ОТБ НКВД разрабо</w:t>
      </w:r>
      <w:r w:rsidRPr="00DB5D0D">
        <w:rPr>
          <w:rFonts w:ascii="Times New Roman" w:hAnsi="Times New Roman"/>
          <w:color w:val="000000" w:themeColor="text1"/>
          <w:sz w:val="16"/>
          <w:szCs w:val="16"/>
        </w:rPr>
        <w:softHyphen/>
        <w:t>тать в декадный срок и представить моему заместителю тов. Яковлеву на утверждение планировку подачи чертежей самолета "103", исходя из утвержденных выше сроков.</w:t>
      </w:r>
    </w:p>
    <w:p w14:paraId="7A7D02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Директору завода № 24 обеспечить поставку моторов. АМ-35А и АМ-37 заводу № 156 в следующие сроки:</w:t>
      </w:r>
    </w:p>
    <w:p w14:paraId="28E66E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 - 2 мотора</w:t>
      </w:r>
      <w:r w:rsidRPr="00DB5D0D">
        <w:rPr>
          <w:rFonts w:ascii="Times New Roman" w:hAnsi="Times New Roman"/>
          <w:color w:val="000000" w:themeColor="text1"/>
          <w:sz w:val="16"/>
          <w:szCs w:val="16"/>
        </w:rPr>
        <w:tab/>
        <w:t>к 15.УП - 40 г.</w:t>
      </w:r>
    </w:p>
    <w:p w14:paraId="2B378D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к 1.1Х - 40 г.</w:t>
      </w:r>
    </w:p>
    <w:p w14:paraId="0D4C39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АМ-37 - 1 мотор к 15.УП - 40 г.</w:t>
      </w:r>
    </w:p>
    <w:p w14:paraId="404108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мотора к 15.УШ - 40 г.</w:t>
      </w:r>
    </w:p>
    <w:p w14:paraId="19EB9D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Директору завода № 26 обеспечить поставку:моторов М-120 заводу № 156 в следующие сроки:</w:t>
      </w:r>
    </w:p>
    <w:p w14:paraId="7F1461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мотора к 15.УП - 40 г.</w:t>
      </w:r>
    </w:p>
    <w:p w14:paraId="4BDB54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мотора к 15.УШ - 40 г.</w:t>
      </w:r>
    </w:p>
    <w:p w14:paraId="384F83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мотора к 15.IX - 40 г.</w:t>
      </w:r>
    </w:p>
    <w:p w14:paraId="5D6904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мотора к 15.Х - 40 г.</w:t>
      </w:r>
    </w:p>
    <w:p w14:paraId="20DEC5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Директору завода № 28 изготовить по техусловиям ОТБ НКВД винтн ВШ-64 и ВШ-61 в следующие сроки;</w:t>
      </w:r>
    </w:p>
    <w:p w14:paraId="1D5BA8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ВШ-64</w:t>
      </w:r>
      <w:r w:rsidRPr="00DB5D0D">
        <w:rPr>
          <w:rFonts w:ascii="Times New Roman" w:hAnsi="Times New Roman"/>
          <w:color w:val="000000" w:themeColor="text1"/>
          <w:sz w:val="16"/>
          <w:szCs w:val="16"/>
        </w:rPr>
        <w:tab/>
        <w:t>1 винт</w:t>
      </w:r>
      <w:r w:rsidRPr="00DB5D0D">
        <w:rPr>
          <w:rFonts w:ascii="Times New Roman" w:hAnsi="Times New Roman"/>
          <w:color w:val="000000" w:themeColor="text1"/>
          <w:sz w:val="16"/>
          <w:szCs w:val="16"/>
        </w:rPr>
        <w:tab/>
        <w:t>к 1.УЩ-40 г.</w:t>
      </w:r>
    </w:p>
    <w:p w14:paraId="605398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винта</w:t>
      </w:r>
      <w:r w:rsidRPr="00DB5D0D">
        <w:rPr>
          <w:rFonts w:ascii="Times New Roman" w:hAnsi="Times New Roman"/>
          <w:color w:val="000000" w:themeColor="text1"/>
          <w:sz w:val="16"/>
          <w:szCs w:val="16"/>
        </w:rPr>
        <w:tab/>
        <w:t>К 15.1Х-40 г.</w:t>
      </w:r>
    </w:p>
    <w:p w14:paraId="021A48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ab/>
        <w:t>5 винтов</w:t>
      </w:r>
      <w:r w:rsidRPr="00DB5D0D">
        <w:rPr>
          <w:rFonts w:ascii="Times New Roman" w:hAnsi="Times New Roman"/>
          <w:color w:val="000000" w:themeColor="text1"/>
          <w:sz w:val="16"/>
          <w:szCs w:val="16"/>
        </w:rPr>
        <w:tab/>
        <w:t>к 1.Х. 40 г.</w:t>
      </w:r>
    </w:p>
    <w:p w14:paraId="4558F7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ВШ-61</w:t>
      </w:r>
      <w:r w:rsidRPr="00DB5D0D">
        <w:rPr>
          <w:rFonts w:ascii="Times New Roman" w:hAnsi="Times New Roman"/>
          <w:color w:val="000000" w:themeColor="text1"/>
          <w:sz w:val="16"/>
          <w:szCs w:val="16"/>
        </w:rPr>
        <w:tab/>
        <w:t>1 винт</w:t>
      </w:r>
      <w:r w:rsidRPr="00DB5D0D">
        <w:rPr>
          <w:rFonts w:ascii="Times New Roman" w:hAnsi="Times New Roman"/>
          <w:color w:val="000000" w:themeColor="text1"/>
          <w:sz w:val="16"/>
          <w:szCs w:val="16"/>
        </w:rPr>
        <w:tab/>
        <w:t>к 15.УП-40 г.</w:t>
      </w:r>
    </w:p>
    <w:p w14:paraId="010B9B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винтов</w:t>
      </w:r>
      <w:r w:rsidRPr="00DB5D0D">
        <w:rPr>
          <w:rFonts w:ascii="Times New Roman" w:hAnsi="Times New Roman"/>
          <w:color w:val="000000" w:themeColor="text1"/>
          <w:sz w:val="16"/>
          <w:szCs w:val="16"/>
        </w:rPr>
        <w:tab/>
        <w:t>к 15.Х -40 г.</w:t>
      </w:r>
    </w:p>
    <w:p w14:paraId="35600B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Директору завода № 379 изготовить по эскизному проекту и условиям ОТБ НКВД рабочие чертежи и построить специальные прицелы со сроками поставки заводу № 156:</w:t>
      </w:r>
    </w:p>
    <w:p w14:paraId="40A304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Прицелы полуавтоматы - 2. шт.</w:t>
      </w:r>
      <w:r w:rsidRPr="00DB5D0D">
        <w:rPr>
          <w:rFonts w:ascii="Times New Roman" w:hAnsi="Times New Roman"/>
          <w:color w:val="000000" w:themeColor="text1"/>
          <w:sz w:val="16"/>
          <w:szCs w:val="16"/>
        </w:rPr>
        <w:tab/>
        <w:t>к 1.УШ- 40 г.</w:t>
      </w:r>
    </w:p>
    <w:p w14:paraId="48E9E4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Прицелы автоматы - 1 шт.</w:t>
      </w:r>
      <w:r w:rsidRPr="00DB5D0D">
        <w:rPr>
          <w:rFonts w:ascii="Times New Roman" w:hAnsi="Times New Roman"/>
          <w:color w:val="000000" w:themeColor="text1"/>
          <w:sz w:val="16"/>
          <w:szCs w:val="16"/>
        </w:rPr>
        <w:tab/>
        <w:t>к 1.IX - 40 г.</w:t>
      </w:r>
    </w:p>
    <w:p w14:paraId="4FF178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шт.</w:t>
      </w:r>
      <w:r w:rsidRPr="00DB5D0D">
        <w:rPr>
          <w:rFonts w:ascii="Times New Roman" w:hAnsi="Times New Roman"/>
          <w:color w:val="000000" w:themeColor="text1"/>
          <w:sz w:val="16"/>
          <w:szCs w:val="16"/>
        </w:rPr>
        <w:tab/>
        <w:t>к 1.Х1 - 40 г.</w:t>
      </w:r>
    </w:p>
    <w:p w14:paraId="7DA3A0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Начальнику ЦАГИ обеспечить.проведение аэродинамических исследований, статических и динамических испытаний на прочность частей самолета "103" в сроки, согласованные с ОТБ НКВД.</w:t>
      </w:r>
    </w:p>
    <w:p w14:paraId="09425C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Начальнику ЦИАМ обеспечить изготовление для самолета "103"турбокомпрессоров типа ТК-2Б, а также автоматов управления к ним со сроками поставки:</w:t>
      </w:r>
    </w:p>
    <w:p w14:paraId="51F44C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2шт.</w:t>
      </w:r>
      <w:r w:rsidRPr="00DB5D0D">
        <w:rPr>
          <w:rFonts w:ascii="Times New Roman" w:hAnsi="Times New Roman"/>
          <w:color w:val="000000" w:themeColor="text1"/>
          <w:sz w:val="16"/>
          <w:szCs w:val="16"/>
        </w:rPr>
        <w:tab/>
        <w:t>1.1Х - 40 г.</w:t>
      </w:r>
    </w:p>
    <w:p w14:paraId="24206C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шт.</w:t>
      </w:r>
      <w:r w:rsidRPr="00DB5D0D">
        <w:rPr>
          <w:rFonts w:ascii="Times New Roman" w:hAnsi="Times New Roman"/>
          <w:color w:val="000000" w:themeColor="text1"/>
          <w:sz w:val="16"/>
          <w:szCs w:val="16"/>
        </w:rPr>
        <w:tab/>
        <w:t>1.Х - 40 г.</w:t>
      </w:r>
    </w:p>
    <w:p w14:paraId="0AFC04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шт.</w:t>
      </w:r>
      <w:r w:rsidRPr="00DB5D0D">
        <w:rPr>
          <w:rFonts w:ascii="Times New Roman" w:hAnsi="Times New Roman"/>
          <w:color w:val="000000" w:themeColor="text1"/>
          <w:sz w:val="16"/>
          <w:szCs w:val="16"/>
        </w:rPr>
        <w:tab/>
        <w:t>1.ХП - 40 г.</w:t>
      </w:r>
    </w:p>
    <w:p w14:paraId="0134CE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Установить следующие сроки этапов работ по изготовлению самолетов "103”:</w:t>
      </w:r>
    </w:p>
    <w:p w14:paraId="61D391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этап: 1-й экземпляр</w:t>
      </w:r>
      <w:r w:rsidRPr="00DB5D0D">
        <w:rPr>
          <w:rFonts w:ascii="Times New Roman" w:hAnsi="Times New Roman"/>
          <w:color w:val="000000" w:themeColor="text1"/>
          <w:sz w:val="16"/>
          <w:szCs w:val="16"/>
        </w:rPr>
        <w:tab/>
        <w:t>1.1Х.40 г.</w:t>
      </w:r>
    </w:p>
    <w:p w14:paraId="0C88E9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w:t>
      </w:r>
      <w:r w:rsidRPr="00DB5D0D">
        <w:rPr>
          <w:rFonts w:ascii="Times New Roman" w:hAnsi="Times New Roman"/>
          <w:color w:val="000000" w:themeColor="text1"/>
          <w:sz w:val="16"/>
          <w:szCs w:val="16"/>
        </w:rPr>
        <w:tab/>
        <w:t>1.1Х.40 г.</w:t>
      </w:r>
    </w:p>
    <w:p w14:paraId="7B6ED8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3-й экземпляр</w:t>
      </w:r>
      <w:r w:rsidRPr="00DB5D0D">
        <w:rPr>
          <w:rFonts w:ascii="Times New Roman" w:hAnsi="Times New Roman"/>
          <w:color w:val="000000" w:themeColor="text1"/>
          <w:sz w:val="16"/>
          <w:szCs w:val="16"/>
        </w:rPr>
        <w:tab/>
        <w:t>1.1. 41 г.</w:t>
      </w:r>
    </w:p>
    <w:p w14:paraId="6683F0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этап: 1-й экземпляр</w:t>
      </w:r>
      <w:r w:rsidRPr="00DB5D0D">
        <w:rPr>
          <w:rFonts w:ascii="Times New Roman" w:hAnsi="Times New Roman"/>
          <w:color w:val="000000" w:themeColor="text1"/>
          <w:sz w:val="16"/>
          <w:szCs w:val="16"/>
        </w:rPr>
        <w:tab/>
        <w:t>1.1Х.40 г.</w:t>
      </w:r>
    </w:p>
    <w:p w14:paraId="6EAE75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w:t>
      </w:r>
      <w:r w:rsidRPr="00DB5D0D">
        <w:rPr>
          <w:rFonts w:ascii="Times New Roman" w:hAnsi="Times New Roman"/>
          <w:color w:val="000000" w:themeColor="text1"/>
          <w:sz w:val="16"/>
          <w:szCs w:val="16"/>
        </w:rPr>
        <w:tab/>
        <w:t>1.1. 41 г.</w:t>
      </w:r>
    </w:p>
    <w:p w14:paraId="35EF08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3-й экземпляр</w:t>
      </w:r>
      <w:r w:rsidRPr="00DB5D0D">
        <w:rPr>
          <w:rFonts w:ascii="Times New Roman" w:hAnsi="Times New Roman"/>
          <w:color w:val="000000" w:themeColor="text1"/>
          <w:sz w:val="16"/>
          <w:szCs w:val="16"/>
        </w:rPr>
        <w:tab/>
        <w:t>1.Ш. 41 г.</w:t>
      </w:r>
    </w:p>
    <w:p w14:paraId="2E3806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КОШССАР АВИАЦИОННОЙ ПРОМЫШЛЕННОСТИ СССР (404,38).</w:t>
      </w:r>
    </w:p>
    <w:p w14:paraId="3656D3F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0ED8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вышел приказом наркомата авиационной промышленности (НКАП) № 293сс. Во исполнение постановления КО. Правительственным документом предусматривалась постройка трех машин с двигателями жидкостного охлаждения: одной с АМ-35А и двух - с М-120ТК. Согласно заданию бомбардировщик с АМ-35А и экипажем из трех человек должен был развивать максимальную скорость 560 км/ч на высоте 7000 метров, подниматься на 11 000 метров и летать на расстояние до 2500 км, а в отдельных рейдах - до 3200 км. Нормальная бомбовая нагрузка составляла 1000 кг, а с перегрузкой - 2000 кт. Этот самолет предписывалось построить к 1 января 1941 г.</w:t>
      </w:r>
    </w:p>
    <w:p w14:paraId="2082D6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Две других машины с Y-образными трехрядными 18-цилиндровыми моторами жидкостного охлаждения М-120ТК конструкции В.Я. Климова, оснащенными турбокомпрессорами, должны были при той же дальности развивать скорость в горизонтальном полете на средних высотах не менее 625 км/ч, а в стратосфере (на 12 ООО метров) - 720 км/ч. При этом практический потолок задавался 13 ООО метров. Первый экземпляр самолета "103" с М-120ТК предписывалось сдать на летные испытания к 1 марта, а второй - к 1 мая 1941 г.</w:t>
      </w:r>
    </w:p>
    <w:p w14:paraId="567137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вскоре пришлось изменить тактико-технические требования к машине. В частности начальник ВВС Смушкевич и военком ВВС Агальцов потребовали от ОТБ НКВД на втором экземпляре разместить летчика и штурмана в общем отсеке по типу машины "100ПБ" и предъявить доработанный макет до 20 июля. Одновременно потребовали с первого летного образца машины устанавливать воздушные тормоза для бомбометания с пикирования (12035).</w:t>
      </w:r>
    </w:p>
    <w:p w14:paraId="5072E45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2AE78F4" w14:textId="77777777" w:rsidR="002D6121" w:rsidRPr="00DB5D0D" w:rsidRDefault="002D6121" w:rsidP="00DB5D0D">
      <w:pPr>
        <w:pStyle w:val="a3"/>
        <w:rPr>
          <w:color w:val="000000" w:themeColor="text1"/>
          <w:lang w:val="ru-RU"/>
        </w:rPr>
      </w:pPr>
      <w:r w:rsidRPr="00DB5D0D">
        <w:rPr>
          <w:color w:val="000000" w:themeColor="text1"/>
          <w:lang w:val="ru-RU"/>
        </w:rPr>
        <w:t>16 июня 1940 г. вышел Приказ по НКАП № 292сс о строительстве двух летных образцов ДВБ-102 и полмесяца Мясищев строил свой самолет буквально под честное слово, бегая к ди</w:t>
      </w:r>
      <w:r w:rsidRPr="00DB5D0D">
        <w:rPr>
          <w:color w:val="000000" w:themeColor="text1"/>
          <w:lang w:val="ru-RU"/>
        </w:rPr>
        <w:softHyphen/>
        <w:t>ректору Ленкину и занятому своими про</w:t>
      </w:r>
      <w:r w:rsidRPr="00DB5D0D">
        <w:rPr>
          <w:color w:val="000000" w:themeColor="text1"/>
          <w:lang w:val="ru-RU"/>
        </w:rPr>
        <w:softHyphen/>
        <w:t>ектами главному инженеру Поликарпову буквально за каждой мелочью.</w:t>
      </w:r>
    </w:p>
    <w:p w14:paraId="5A630DF1" w14:textId="77777777" w:rsidR="002D6121" w:rsidRPr="00DB5D0D" w:rsidRDefault="002D6121" w:rsidP="00DB5D0D">
      <w:pPr>
        <w:pStyle w:val="a3"/>
        <w:rPr>
          <w:color w:val="000000" w:themeColor="text1"/>
          <w:lang w:val="ru-RU"/>
        </w:rPr>
      </w:pPr>
      <w:r w:rsidRPr="00DB5D0D">
        <w:rPr>
          <w:color w:val="000000" w:themeColor="text1"/>
          <w:lang w:val="ru-RU"/>
        </w:rPr>
        <w:t>Сказывалась «перенаселенность кон</w:t>
      </w:r>
      <w:r w:rsidRPr="00DB5D0D">
        <w:rPr>
          <w:color w:val="000000" w:themeColor="text1"/>
          <w:lang w:val="ru-RU"/>
        </w:rPr>
        <w:softHyphen/>
        <w:t>структорами» и перегруженность зада</w:t>
      </w:r>
      <w:r w:rsidRPr="00DB5D0D">
        <w:rPr>
          <w:color w:val="000000" w:themeColor="text1"/>
          <w:lang w:val="ru-RU"/>
        </w:rPr>
        <w:softHyphen/>
        <w:t>ниями завода №156 - было решено по</w:t>
      </w:r>
      <w:r w:rsidRPr="00DB5D0D">
        <w:rPr>
          <w:color w:val="000000" w:themeColor="text1"/>
          <w:lang w:val="ru-RU"/>
        </w:rPr>
        <w:softHyphen/>
        <w:t>жертвовать работами по пикирующему бомбардировщику ОПБ-5 Кочеригина, поставка мотора М-90 для которого сры</w:t>
      </w:r>
      <w:r w:rsidRPr="00DB5D0D">
        <w:rPr>
          <w:color w:val="000000" w:themeColor="text1"/>
          <w:lang w:val="ru-RU"/>
        </w:rPr>
        <w:softHyphen/>
        <w:t xml:space="preserve">валась, но это не сильно помогло. Не всегда конструктивно вел себя и Заказчик (17739). </w:t>
      </w:r>
    </w:p>
    <w:p w14:paraId="251AC692" w14:textId="77777777" w:rsidR="002D6121" w:rsidRPr="00DB5D0D" w:rsidRDefault="002D612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4097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вышел приказ НКАП N 294сс "О производстве серийных винтов и состоянии опытных работ по винтам на заводе N 28 и комбинате N 150" (1002,2).</w:t>
      </w:r>
    </w:p>
    <w:p w14:paraId="3C094F0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2989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 гл. конструктор самолета ДБЛК В. Беляев писал К.Е.В.:</w:t>
      </w:r>
    </w:p>
    <w:p w14:paraId="708F91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Уважаемый Климент Ефремович!</w:t>
      </w:r>
    </w:p>
    <w:p w14:paraId="4ED00D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самолета "Летающее крыло", который с намеченными доводками будет несомненно сильнейшим бомбардировщиком нашего воздушного флота, для его серийного освоения намечается завод N 35 (Смоленск). Завод этот настолько маломощный, что не сможет не только построить серию таких самолетов, но и одного экземпляра не построит в течении ближайшего времени, какая бы помощь ему не была оказана. Этот завод еще не окончен строительством, являлся ремонтным и самостоятельно ни одной машины никогда не выпускал.</w:t>
      </w:r>
    </w:p>
    <w:p w14:paraId="1EB1AF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если не удалось "затереть" самолет в единственном его опытном экземпляре в процессе его зарождения, то здесь мы видим попытку "угробить" дело в дальнейшем серийном развитии.</w:t>
      </w:r>
    </w:p>
    <w:p w14:paraId="21B532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считаем, что завод N 39 в Москве, параллельно с другими самолетами, мог бы легко и быстро дать серию самолетов нашего образца, причем руководители завода, оценивая свои возможности, выражают желание эту работу на себя принять.</w:t>
      </w:r>
    </w:p>
    <w:p w14:paraId="3F629B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просим поручить это дело рассмотреть по существу, мы же постараемся еще раз оправдать ваше доверие и быстро дать стране серию сильнейших самолетов, которые мы намечаем сделать пикирующими.</w:t>
      </w:r>
    </w:p>
    <w:p w14:paraId="44EAE2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19 июня 1940 К.Е.В. нанес резолюцию: "Т. А.И.Ш. Если машина т. Беляева принимается на вооружение, разумеется ее нельзя ставить на производство на заводе 35. Как вы считаете, прошу сообщить Ваше мнение" (2878).</w:t>
      </w:r>
    </w:p>
    <w:p w14:paraId="0205286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EC09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 ходе заводских испытаний И-200 А.И.М, которые проходили с 31 марта по 17 августа 1940, на И-200-3 состоялся контрольный полет на уборку шасси и взлет с форсажем (2988).</w:t>
      </w:r>
    </w:p>
    <w:p w14:paraId="6C36618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D484E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 тире завода 1 на действующем макете И-200 с пушкой ПТБ под крылом было выпущено 108 снарядов (4415,35).</w:t>
      </w:r>
    </w:p>
    <w:p w14:paraId="59FBA28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975E14" w14:textId="77777777" w:rsidR="00CE1694" w:rsidRPr="00DB5D0D" w:rsidRDefault="00CE169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июня</w:t>
      </w:r>
      <w:r w:rsidRPr="00DB5D0D">
        <w:rPr>
          <w:rFonts w:ascii="Times New Roman" w:hAnsi="Times New Roman"/>
          <w:color w:val="000000" w:themeColor="text1"/>
          <w:sz w:val="16"/>
          <w:szCs w:val="16"/>
        </w:rPr>
        <w:t xml:space="preserve"> в 1940 году произведен отстрел в тире завода (выпущено 108 снарядов) Пушки «МП-3» конструкции Я.Г.Таубина и М.Н.Бабурина (ОКБ-16 НКВ) предназначенной для установки на перспективном истребителе </w:t>
      </w:r>
      <w:hyperlink r:id="rId126" w:tgtFrame="_blank" w:history="1">
        <w:r w:rsidRPr="00DB5D0D">
          <w:rPr>
            <w:rFonts w:ascii="Times New Roman" w:hAnsi="Times New Roman"/>
            <w:color w:val="000000" w:themeColor="text1"/>
            <w:sz w:val="16"/>
            <w:szCs w:val="16"/>
          </w:rPr>
          <w:t xml:space="preserve">«ИП-201». </w:t>
        </w:r>
      </w:hyperlink>
      <w:r w:rsidRPr="00DB5D0D">
        <w:rPr>
          <w:rFonts w:ascii="Times New Roman" w:hAnsi="Times New Roman"/>
          <w:color w:val="000000" w:themeColor="text1"/>
          <w:sz w:val="16"/>
          <w:szCs w:val="16"/>
        </w:rPr>
        <w:t>«ИП-201» - модификация скоростного истребителя «И-200» с двумя 23-мм пушками «ПТБ-23». Самолет «ИП-201» представлял собой дальнейшее развитие истребителя «И-200» в сторону увеличения огневой мощи без существенных изменений в конструкции прототипа. Его вооружение должно было состоять из двух пушек «МП-3» («ПТБ-23») калибра 23 мм (магазины по 60 патронов) и двух пулеметов ШКАС калибpa 7,62 мм (боезапас по 750 патронов). Пулеметом «БС» пришлось пожертвовать в пользу установки фюзеляжного бака увеличенной емкости (195 л.) с целью увеличения дальности полета. Пушки «МП-3» конструкции Я.Г.Таубина и М.Н.Бабурина (ОКБ-16 НКВ) устанавливали в обтекателях под каждой консолью крыла (в зоне, не ометаемой винтом) на специальных металлических лафетах в районе 1-й и 4-й нервюр между главным лонжероном и передним стрингером. В перегрузочном варианте «ИП-201» мог брать две 100-кг бомбы. По предварительным расчетам его максимальная скорость по отношению к «И-200» должна была уменьшиться на 10-15 км/ч и составить 635 км/ч. Однако двигатель «АМ-37» позволял сохранить ее на уровне 650 км/ч (14924).</w:t>
      </w:r>
    </w:p>
    <w:p w14:paraId="3B00E5DB" w14:textId="77777777" w:rsidR="00CE1694" w:rsidRPr="00DB5D0D" w:rsidRDefault="00CE1694" w:rsidP="00DB5D0D">
      <w:pPr>
        <w:spacing w:after="0" w:line="240" w:lineRule="auto"/>
        <w:jc w:val="both"/>
        <w:rPr>
          <w:rFonts w:ascii="Times New Roman" w:hAnsi="Times New Roman"/>
          <w:color w:val="000000" w:themeColor="text1"/>
          <w:sz w:val="16"/>
          <w:szCs w:val="16"/>
        </w:rPr>
      </w:pPr>
    </w:p>
    <w:p w14:paraId="2C7ECC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 на действующем макете, изготовленным для проверки крепления пушки и ее работы под крылом И—200 произвели отстрел пушек в тире за</w:t>
      </w:r>
      <w:r w:rsidRPr="00DB5D0D">
        <w:rPr>
          <w:rFonts w:ascii="Times New Roman" w:hAnsi="Times New Roman"/>
          <w:color w:val="000000" w:themeColor="text1"/>
          <w:sz w:val="16"/>
          <w:szCs w:val="16"/>
        </w:rPr>
        <w:softHyphen/>
        <w:t>вода (9984).</w:t>
      </w:r>
    </w:p>
    <w:p w14:paraId="176762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44ABA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на И-26 М-105П ВИШ-61 А.С.Я. в ходе гос. испытаний, которые проходили с 1 по 15 июня 1940 выполнили облеты л Никашиным, Кочетковым, Прошаковым, Малышевым, Шапоровым (2:25) (2924).</w:t>
      </w:r>
    </w:p>
    <w:p w14:paraId="71ECED6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95BE1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самолет И-26-2 после госиспытаний, которые прошли с 1 по 15 июня 1940, был облетан летчиками НИИ ВВС. За время испытаний провели 52 полета с общим налетом 21 час 11 минут.</w:t>
      </w:r>
    </w:p>
    <w:p w14:paraId="44EDAD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Недостаточная прочность носков крыла (увеличившаяся после проведения усиления с 40 до 67 %) и недостаточная общая прочность самолета явились следствием перетяжеления конструкции. Расчет самолета был произведен для полетного веса 2300 кг, с учетом весовой сводки готовых изделии, представленной заводами-поставщиками. Выдержать заявленные веса многим из них не удалось, поскольку эти изделия они не выпускали раньше, а создавали специально для нового истребителя. Об уровне весовой культуры в отечественной авиационной промышленности может служить тот факт, что при проведении контрольного взвешивания готовых изделий в апреле 1944 года (в процессе подготовки к выпуску истребителя Як-3 на Саратовском авиазаводе) была обнаружена разница в весах серийных моторов до 17 кг, винтов - до 8 кг (ЦАМО ф.35 оп.М287 Д.22М л.198). В результате полетный вес И-26 возрос до 2700 кг. Это уменьшило запас прочности с 13-кратного, положенного для истребителя по Нормам прочности 1939 г., до 11-кратного. Самолет допустили к полетам, но ограничили допустимую эксплуатационную перегрузку 6,5 единицами. В связи этим программу испытаний сократили, исключив штопор и пикирование.</w:t>
      </w:r>
    </w:p>
    <w:p w14:paraId="6D2B80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невозможности длительной работы мотора на номинальных оборотах, вследствие недоведенности маслосистемы, отдельные элементы программы изменили из условия работы мотора на полных оборотах не более двух-трех минут. По свидетельству И.Г. Рабкина, инженера-испытателя НИИ ВВС в то время, взлет, например, производили в два приема: сначала выруливание на старт, затем 10-15 минут охлаждение мотора, после чего снова запуск и взлет на полных оборотах. Полеты на определение скороподъемности проводили с площадками на охлаждение мотора.</w:t>
      </w:r>
    </w:p>
    <w:p w14:paraId="38E184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Существует расхожее мнение, что такая "дикая" методика испытаний предпринималась под давлением или в угоду главному конструктору машины А.С.Яковлеву (и "стоящему за его спиной" И.В. Сталину). Нет, для существующего момента, когда серийное производство И-26 уже началось, было важно как можно скорее определиться в правильности выбора будущего истребителя ВВС. В случае обнаружения принципиальных недостатков конструкции самолета (а не мотора или другого оборудования), не поддающихся изменению или доводке, и низких летных данных, выпуск И-26 можно было немедленно свернуть.</w:t>
      </w:r>
    </w:p>
    <w:p w14:paraId="3EB1BF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не имела полагавшегося для истребителей специального оборудования: средств радиосвязи, генератора, ночного освещения и ночных посадочных средств. Система уборки и выпуска шасси не обеспечивши! требование ВВС КА о возможности уборки шасси в наборе высоты. Опасное попадание стреляных гильз и звеньев в стабилизатор и большие усилия (27 кг) на спусковых гашетках пулеметов, вынудили прекратить отстрел вооружения.</w:t>
      </w:r>
    </w:p>
    <w:p w14:paraId="44129F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государственных испытаний в горизонтальном полете на высоте 5000 м была достигнута максимальная скорость 585,5 км/ч, а набор этой высоты выполнен за 6 мин. Несколько позже, в 1941 г., изменилась методика обработки результатов испытаний и порядок пересчета максимальной скорости, полученной при испытаниях, на условия стандартной атмосферы. Для сравнения с серийными образцами данные И-26-11 задним числом были пересчитаны. Максимальная скорость получилась равной 592 км/ч. По общему мнению ведущих летчиков-испытателей самолета Николаева и Стефановского, а также других летчиков НИИ ВВС КА, производивших облет (генерал-майор Филин, полковой комиссар Хо- лоппев, военинженер 1-го ранга Никашин, военинженер 2-го ранга Максимов, военинженер 2-го ранга Кочетков, майор Малышев, капитан Прошаков, старший лейтенант Шапоров), самолет мог быть освоен летчиками строевых частей средней квалификации. Отмечались также недостаточная продольная устойчивость (принесенная в жертву маневренности), отсутствие вентиляции кабины, недоведенность шасси, маслосисте- мы, вооружения.</w:t>
      </w:r>
    </w:p>
    <w:p w14:paraId="198CE4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Подведя итоги, НИИ ВВС вынес заключение, что опытный истребитель И-26 государственные испытания не выдержал. Главному конструктору А.С. Яковлеву предложили в кратчайшие сроки устранить обнаруженные недостатки и предъявить самолет на повторные государственные испытания. Справедливости ради следует сказать, что опытный истребитель И-301 С.А. Лавочкина. В.П. Горбунова и М.И. Гудкова (с теми же мотором и винтом) закончил государственные испытания с аналогичным результатом (12048).</w:t>
      </w:r>
    </w:p>
    <w:p w14:paraId="4D248B2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FA67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 ходе гос. испытаний И-301 М-105 П, которые проводились в НИИ ВВС с 14 по 27 июня 1940 л Супруном и П.М.Стефановским были поставлены колеса с увеличенной колодкой тормозов и провели полет на определение границ высотности мотора и полет на сверхмаксимальную скорость (2922</w:t>
      </w:r>
    </w:p>
    <w:p w14:paraId="5A5407C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BC2B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на гос. испытания был передан И-301 М-105П (2090,133).</w:t>
      </w:r>
    </w:p>
    <w:p w14:paraId="21F0BE6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C4B3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Зам. нач. ЦАГИ Юрьев и нач. лаб. 4 Сопман писали письмо N 15/340 Зам. нач. 11 ГУ Шишкину (копия директору завода 156 Ленкину):</w:t>
      </w:r>
    </w:p>
    <w:p w14:paraId="341DB5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договоренности с ГК Кочеригиным, все основные вопросы по капоту с центральным входом охлаждающего воздуха, могут быть решены на основании результатов испытаний, которые будет проводить ЦАГИ по заданию завода 1...(2062,57).</w:t>
      </w:r>
    </w:p>
    <w:p w14:paraId="72D8515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B511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вышел приказ НКАП N 288с. По приказу "Приступить 20 июня 1940 к заводским летным испытаниям самолета И-153, оборудованного герметической кабиной конструкции А.Я.Щербакова.</w:t>
      </w:r>
    </w:p>
    <w:p w14:paraId="107603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закончить 5 августа 1940 года.</w:t>
      </w:r>
    </w:p>
    <w:p w14:paraId="1A7069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произвести на аэродроме завода N 289.</w:t>
      </w:r>
    </w:p>
    <w:p w14:paraId="659457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 назначили В.П.Федорова (405,15).</w:t>
      </w:r>
    </w:p>
    <w:p w14:paraId="06F7BC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1</w:t>
      </w:r>
    </w:p>
    <w:p w14:paraId="68FC64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Приступить 20.У1.194'0 года к заводским летным испытаниям самолета “И-153", оборудованного герметической кабиной, конструкции инженера ЩЕРБАКОВА А.Я.</w:t>
      </w:r>
    </w:p>
    <w:p w14:paraId="35B39F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закончить: 15.УШ.-. 1940 года.</w:t>
      </w:r>
    </w:p>
    <w:p w14:paraId="46F257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2</w:t>
      </w:r>
    </w:p>
    <w:p w14:paraId="5A0D51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Летние испитания произвести на аэродроме завода № 289.</w:t>
      </w:r>
    </w:p>
    <w:p w14:paraId="4BF63A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3</w:t>
      </w:r>
    </w:p>
    <w:p w14:paraId="403FFC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испытаний назначить летчика-испытателя тов. ФЁДОРОВА В.П.</w:t>
      </w:r>
    </w:p>
    <w:p w14:paraId="71BB29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проведение испытаний в срок, летчику ФЕДОРОВУ В.П. установить дополнительное вознаграадение в размере 15.000 рублей (405,15).</w:t>
      </w:r>
    </w:p>
    <w:p w14:paraId="343DF3A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B866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был первый полет амфибии Ш-7, выпущенной весной (летчик Е.О.Федоренко) (4,147). Был спроектирован в конце 1938 и выпущен весной 1940 (449).</w:t>
      </w:r>
    </w:p>
    <w:p w14:paraId="0852044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D7A80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вышел приказ НКАП N 289сс, согласно которому для обеспечения самолетного парка моторами и в связи с прекращением производства моторов М-88 на заводе 24 было приказано (1294,20):</w:t>
      </w:r>
    </w:p>
    <w:p w14:paraId="6FB168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Нач. 3 ГУ М.М.Лукину и директору завода 29 Громову довести мощность 29 завода с 1 января 1941 до 6000 М-88;</w:t>
      </w:r>
    </w:p>
    <w:p w14:paraId="03F0C3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изменение приказов программу по моторам М-87 и М-88 довести до 4600 (1294,20).</w:t>
      </w:r>
    </w:p>
    <w:p w14:paraId="468952E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3D56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вышел приказ НКАП N 287сc по срокам испытаний опытных самолетов (1319,3).</w:t>
      </w:r>
    </w:p>
    <w:p w14:paraId="5539F69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B5A8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 начальник НИП АВ ВВС полковник Шевченко и военком НИП АВ ГУАС старший политрук Ангенов утвердил:</w:t>
      </w:r>
    </w:p>
    <w:p w14:paraId="731FE8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заводским испытаниям выливного авиационного прибора (ВАП-6м) модернизированного заводом "ВУЛКАН"</w:t>
      </w:r>
    </w:p>
    <w:p w14:paraId="2A2F9E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ст. инженер 4 отделения Оптыного отдела НИП АВ ГУАС в/инженер 2 ранга Рублев</w:t>
      </w:r>
    </w:p>
    <w:p w14:paraId="7FD7F5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B01EF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прочность паука (задняя подвесная точка) и безотказность действия запорного механизма.</w:t>
      </w:r>
    </w:p>
    <w:p w14:paraId="345FCE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A836EF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заводом "ВУЛКАН" модернизированный серийный ВАП-6м заводские испытания выдержал (7614).</w:t>
      </w:r>
    </w:p>
    <w:p w14:paraId="7F456DC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25910F8F" w14:textId="77777777" w:rsidR="004A0330"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90EB77E" w14:textId="77777777" w:rsidR="004A0330" w:rsidRPr="00DB5D0D" w:rsidRDefault="004A0330" w:rsidP="00DB5D0D">
      <w:pPr>
        <w:spacing w:after="0" w:line="240" w:lineRule="auto"/>
        <w:jc w:val="both"/>
        <w:rPr>
          <w:rFonts w:ascii="Times New Roman" w:hAnsi="Times New Roman"/>
          <w:iCs/>
          <w:color w:val="000000" w:themeColor="text1"/>
          <w:sz w:val="16"/>
          <w:szCs w:val="16"/>
        </w:rPr>
      </w:pPr>
    </w:p>
    <w:p w14:paraId="54A22EBE" w14:textId="77777777" w:rsidR="00D21FE0" w:rsidRPr="00DB5D0D" w:rsidRDefault="00D21F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 было принято Постановление Комитета обороны при СНК СССР № 265сс “О подготовке производства новых 107</w:t>
      </w:r>
      <w:r w:rsidRPr="00DB5D0D">
        <w:rPr>
          <w:rFonts w:ascii="Times New Roman" w:hAnsi="Times New Roman"/>
          <w:color w:val="000000" w:themeColor="text1"/>
          <w:sz w:val="16"/>
          <w:szCs w:val="16"/>
        </w:rPr>
        <w:noBreakHyphen/>
        <w:t>мм дивизионных пушек и боеприпасов к ним”. Оно закрепило положения, содержащиеся в докладной записке. Постановление содержало также требование «представить к 20 июня 1940 г. на утверждение Комитета обороны предложения о необходимых мероприятиях по обеспечению развертывания на заводе № 352 валового производства и выпуска в 1941 г. 1 тыс. шт. 107</w:t>
      </w:r>
      <w:r w:rsidRPr="00DB5D0D">
        <w:rPr>
          <w:rFonts w:ascii="Times New Roman" w:hAnsi="Times New Roman"/>
          <w:color w:val="000000" w:themeColor="text1"/>
          <w:sz w:val="16"/>
          <w:szCs w:val="16"/>
        </w:rPr>
        <w:noBreakHyphen/>
        <w:t>мм пушек». Задания  наркому боеприпасов были сформулированы следующим образом: «а) доработать к 20 июля 1940 г. осколочно-фугасный снаряд, донный взрыватель к бронебойному снаряду, заряд и гильзу новой 107</w:t>
      </w:r>
      <w:r w:rsidRPr="00DB5D0D">
        <w:rPr>
          <w:rFonts w:ascii="Times New Roman" w:hAnsi="Times New Roman"/>
          <w:color w:val="000000" w:themeColor="text1"/>
          <w:sz w:val="16"/>
          <w:szCs w:val="16"/>
        </w:rPr>
        <w:noBreakHyphen/>
        <w:t>мм пушки по техническим требованиям НКО. Одновременно изготовить и сдать к указанному сроку 3 тыс. выстрелов с осколочно-фугасными снарядами и 500 выстрелов с бронебойными снарядами для обеспечения войсковых испытаний; б) изготовить к 1 ноября с. г. 24 тыс. выстрелов с осколочно-фугасными снарядами и 2 тыс. выстрелов с бронебойными снарядами; в) подготовить к 1 января 1941 г. заводы к валовому производству выстрелов новой 107</w:t>
      </w:r>
      <w:r w:rsidRPr="00DB5D0D">
        <w:rPr>
          <w:rFonts w:ascii="Times New Roman" w:hAnsi="Times New Roman"/>
          <w:color w:val="000000" w:themeColor="text1"/>
          <w:sz w:val="16"/>
          <w:szCs w:val="16"/>
        </w:rPr>
        <w:noBreakHyphen/>
        <w:t>мм дивизионной пушки в комплектном виде из расчета 1 млн. выстрелов с осколочно-фугасными снарядами и 100 тыс. выстрелов с бронебойными снарядами». Народному комиссару обороны предписывалось: «а) передать в июне месяце 1940 г. в распоряжение народного комиссара боеприпасов Союза ССР для отработки выстрела один опытный образец новой 107</w:t>
      </w:r>
      <w:r w:rsidRPr="00DB5D0D">
        <w:rPr>
          <w:rFonts w:ascii="Times New Roman" w:hAnsi="Times New Roman"/>
          <w:color w:val="000000" w:themeColor="text1"/>
          <w:sz w:val="16"/>
          <w:szCs w:val="16"/>
        </w:rPr>
        <w:noBreakHyphen/>
        <w:t>мм дивизионной пушки; б) организовать и провести войсковые испытания новой 107</w:t>
      </w:r>
      <w:r w:rsidRPr="00DB5D0D">
        <w:rPr>
          <w:rFonts w:ascii="Times New Roman" w:hAnsi="Times New Roman"/>
          <w:color w:val="000000" w:themeColor="text1"/>
          <w:sz w:val="16"/>
          <w:szCs w:val="16"/>
        </w:rPr>
        <w:noBreakHyphen/>
        <w:t>мм дивизионной пушки на двух образцах, отработанных на заводе № 172 им. Молотова, в период с 1 по 20 августа 1940 г. и о результатах доложить к 1 сентября 1940 г. Комитету обороны». (ГА РФ. Ф. Р</w:t>
      </w:r>
      <w:r w:rsidRPr="00DB5D0D">
        <w:rPr>
          <w:rFonts w:ascii="Times New Roman" w:hAnsi="Times New Roman"/>
          <w:color w:val="000000" w:themeColor="text1"/>
          <w:sz w:val="16"/>
          <w:szCs w:val="16"/>
        </w:rPr>
        <w:noBreakHyphen/>
        <w:t>8418. Оп. 28. Д. 116. Л. 244</w:t>
      </w:r>
      <w:r w:rsidRPr="00DB5D0D">
        <w:rPr>
          <w:rFonts w:ascii="Times New Roman" w:hAnsi="Times New Roman"/>
          <w:color w:val="000000" w:themeColor="text1"/>
          <w:sz w:val="16"/>
          <w:szCs w:val="16"/>
        </w:rPr>
        <w:noBreakHyphen/>
        <w:t>245.) (17908).</w:t>
      </w:r>
    </w:p>
    <w:p w14:paraId="6CE82449" w14:textId="77777777" w:rsidR="00D21FE0" w:rsidRPr="00DB5D0D" w:rsidRDefault="00D21FE0" w:rsidP="00DB5D0D">
      <w:pPr>
        <w:spacing w:after="0" w:line="240" w:lineRule="auto"/>
        <w:jc w:val="both"/>
        <w:rPr>
          <w:rFonts w:ascii="Times New Roman" w:hAnsi="Times New Roman"/>
          <w:color w:val="000000" w:themeColor="text1"/>
          <w:sz w:val="16"/>
          <w:szCs w:val="16"/>
        </w:rPr>
      </w:pPr>
    </w:p>
    <w:p w14:paraId="6B7A4B17" w14:textId="77777777" w:rsidR="001858DE" w:rsidRPr="00DB5D0D" w:rsidRDefault="001858DE"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shd w:val="clear" w:color="auto" w:fill="FFFFFF"/>
        </w:rPr>
        <w:t>16 июня 1940 вышло Постановление Комитета обороны при СНК СССР № 265сс "О подготовке производства новых 107-мм дивизионных пушек и боеприпасов к ним" (21928).</w:t>
      </w:r>
    </w:p>
    <w:p w14:paraId="4D9FAE1C" w14:textId="77777777" w:rsidR="001858DE" w:rsidRPr="00DB5D0D" w:rsidRDefault="001858DE"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20C4E8A0" w14:textId="77777777" w:rsidR="00D21FE0" w:rsidRPr="00DB5D0D" w:rsidRDefault="00D21FE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16 июня 1940 года на совещании было принято решение о разработке 85-мм танковой пушки с баллистикой зенитного орудия 52-К. Созданием орудия, получившего индекс Ф-30, занимался коллектив КБ во главе с В. Г. Грабиным. Пушку поставили в опытный тяжёлый танк </w:t>
      </w:r>
      <w:hyperlink r:id="rId127" w:history="1">
        <w:r w:rsidRPr="00DB5D0D">
          <w:rPr>
            <w:rFonts w:ascii="Times New Roman" w:eastAsia="Times New Roman" w:hAnsi="Times New Roman"/>
            <w:color w:val="000000" w:themeColor="text1"/>
            <w:sz w:val="16"/>
            <w:szCs w:val="16"/>
            <w:lang w:eastAsia="ru-RU"/>
          </w:rPr>
          <w:t>Т-220</w:t>
        </w:r>
      </w:hyperlink>
      <w:r w:rsidRPr="00DB5D0D">
        <w:rPr>
          <w:rFonts w:ascii="Times New Roman" w:eastAsia="Times New Roman" w:hAnsi="Times New Roman"/>
          <w:color w:val="000000" w:themeColor="text1"/>
          <w:sz w:val="16"/>
          <w:szCs w:val="16"/>
          <w:lang w:eastAsia="ru-RU"/>
        </w:rPr>
        <w:t>, после чего работы прекратились в связи с началом разработки 107-мм орудия ЗИС-6.</w:t>
      </w:r>
    </w:p>
    <w:p w14:paraId="3D1D0F60" w14:textId="77777777" w:rsidR="00D21FE0" w:rsidRPr="00DB5D0D" w:rsidRDefault="00D21FE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Вторая попытка создать 85-мм танковую пушку для КВ-1 была предпринята в конце 1941 года. Орудие У-12, разрабатывавшееся конструкторским бюро Уральского завода тяжёлого машиностроения (КБ УЗТМ) под руководством Ф. Ф. Петрова, даже не достигло стадии опытного образца. Третью попытку весной 1942 года предприняли также в Свердловске. Результат был тем же: пушка ЗИК-1, предназначенная для КВ-1 и Т-34, не продвинулась дальше технического проекта (17698).</w:t>
      </w:r>
    </w:p>
    <w:p w14:paraId="1EE3BA22" w14:textId="77777777" w:rsidR="00D21FE0" w:rsidRPr="00DB5D0D" w:rsidRDefault="00D21FE0" w:rsidP="00DB5D0D">
      <w:pPr>
        <w:spacing w:after="0" w:line="240" w:lineRule="auto"/>
        <w:jc w:val="both"/>
        <w:rPr>
          <w:rFonts w:ascii="Times New Roman" w:hAnsi="Times New Roman"/>
          <w:color w:val="000000" w:themeColor="text1"/>
          <w:sz w:val="16"/>
          <w:szCs w:val="16"/>
        </w:rPr>
      </w:pPr>
    </w:p>
    <w:p w14:paraId="2E53BA58" w14:textId="77777777" w:rsidR="001858DE" w:rsidRPr="00DB5D0D" w:rsidRDefault="001858DE"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16 июня 1940 года утвердили истребитель танков на базе Т-34 и работы по танковому орудию Грабина. Теоретически данная система должна была вписываться в "малую башню" КВ, то есть в КВ-1. Изначальным сроком изготовления орудия значилось 1 сентября 1940 года. Отчасти такая скорость объяснялась тем, что орудие, получившее обозначение Ф-30, создавалось на базе технических решений по системам Ф-34 и Ф-39. Но нельзя не признать, что Грабин слишком торопился. Увы, такова была ситуация: более мощное орудие потребовалось срочно, поэтому времени не осталось. Это сильно повлияло и на судьбу Ф-30, и на судьбу Ф-7 (21243).</w:t>
      </w:r>
    </w:p>
    <w:p w14:paraId="5D207EF5" w14:textId="77777777" w:rsidR="001858DE" w:rsidRPr="00DB5D0D" w:rsidRDefault="001858DE"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42B377A9" w14:textId="77777777" w:rsidR="001858DE" w:rsidRPr="00DB5D0D" w:rsidRDefault="001858DE" w:rsidP="00DB5D0D">
      <w:pPr>
        <w:shd w:val="clear" w:color="auto" w:fill="FFFFFF"/>
        <w:spacing w:after="0" w:line="240" w:lineRule="auto"/>
        <w:jc w:val="both"/>
        <w:rPr>
          <w:rFonts w:ascii="Times New Roman" w:hAnsi="Times New Roman"/>
          <w:color w:val="0070C0"/>
          <w:sz w:val="16"/>
          <w:szCs w:val="16"/>
          <w:shd w:val="clear" w:color="auto" w:fill="FFFFFF"/>
        </w:rPr>
      </w:pPr>
      <w:r w:rsidRPr="00DB5D0D">
        <w:rPr>
          <w:rFonts w:ascii="Times New Roman" w:hAnsi="Times New Roman"/>
          <w:color w:val="0070C0"/>
          <w:sz w:val="16"/>
          <w:szCs w:val="16"/>
          <w:shd w:val="clear" w:color="auto" w:fill="FFFFFF"/>
        </w:rPr>
        <w:t>16/17 июня 1940. Сопроводительная записка секретаря ЦК ВКП(б) А. А. Жданова И. В. Сталину к проекту постановления "Об организации производства танков типа “КВ” на Челябинском тракторном заводе им. Сталина" и проект постановления, утвержденный Политбюро ЦК ВКП(б) 19 июня 1940 г. (21930).</w:t>
      </w:r>
    </w:p>
    <w:p w14:paraId="7A02757E" w14:textId="77777777" w:rsidR="001858DE" w:rsidRPr="00DB5D0D" w:rsidRDefault="001858DE" w:rsidP="00DB5D0D">
      <w:pPr>
        <w:shd w:val="clear" w:color="auto" w:fill="FFFFFF"/>
        <w:spacing w:after="0" w:line="240" w:lineRule="auto"/>
        <w:jc w:val="both"/>
        <w:rPr>
          <w:rFonts w:ascii="Times New Roman" w:hAnsi="Times New Roman"/>
          <w:color w:val="0070C0"/>
          <w:sz w:val="16"/>
          <w:szCs w:val="16"/>
          <w:shd w:val="clear" w:color="auto" w:fill="FFFFFF"/>
        </w:rPr>
      </w:pPr>
    </w:p>
    <w:p w14:paraId="4B626094" w14:textId="77777777" w:rsidR="001858DE" w:rsidRPr="00DB5D0D" w:rsidRDefault="001858DE"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shd w:val="clear" w:color="auto" w:fill="FFFFFF"/>
        </w:rPr>
        <w:t>16 июня 1940 была Докладная записка председателя Комитета обороны при СНК СССР К. Е. Ворошилова И. В. Сталину и председателю СНК СССР В. М. Молотову о недостатках кораблей, построенных по проектам №№ 7, 1 и 38, и основных причинах их повреждений в ходе зимней кампании 1939-1940 гг. с сопроводительной запиской секретаря Комитета обороны при СНК СССР М. П. Пугаева начальнику канцелярии генерального секретаря ЦК ВКП(б) А. Н. Поскребышеву (21929).</w:t>
      </w:r>
    </w:p>
    <w:p w14:paraId="181FE6B5" w14:textId="77777777" w:rsidR="001858DE" w:rsidRPr="00DB5D0D" w:rsidRDefault="001858DE"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21685F2E"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 начальник 9 отдела ХИМУ РККА Полянский утвердил тактико-тех</w:t>
      </w:r>
      <w:r w:rsidRPr="00DB5D0D">
        <w:rPr>
          <w:rFonts w:ascii="Times New Roman" w:hAnsi="Times New Roman"/>
          <w:color w:val="000000" w:themeColor="text1"/>
          <w:sz w:val="16"/>
          <w:szCs w:val="16"/>
        </w:rPr>
        <w:softHyphen/>
        <w:t>нические требования на проектирование и из</w:t>
      </w:r>
      <w:r w:rsidRPr="00DB5D0D">
        <w:rPr>
          <w:rFonts w:ascii="Times New Roman" w:hAnsi="Times New Roman"/>
          <w:color w:val="000000" w:themeColor="text1"/>
          <w:sz w:val="16"/>
          <w:szCs w:val="16"/>
        </w:rPr>
        <w:softHyphen/>
        <w:t>готовление опытного образца химической при</w:t>
      </w:r>
      <w:r w:rsidRPr="00DB5D0D">
        <w:rPr>
          <w:rFonts w:ascii="Times New Roman" w:hAnsi="Times New Roman"/>
          <w:color w:val="000000" w:themeColor="text1"/>
          <w:sz w:val="16"/>
          <w:szCs w:val="16"/>
        </w:rPr>
        <w:softHyphen/>
        <w:t>цепки для танков типа БТ Они основывались на требованиях к проектированию прицепки ХП-2 и во многом повторяли их.</w:t>
      </w:r>
    </w:p>
    <w:p w14:paraId="3C181D5C"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Химическая прицепка предназначалась для усиления боевой мощи линейного танка и служила для поражения живой силы противни</w:t>
      </w:r>
      <w:r w:rsidRPr="00DB5D0D">
        <w:rPr>
          <w:rFonts w:ascii="Times New Roman" w:hAnsi="Times New Roman"/>
          <w:color w:val="000000" w:themeColor="text1"/>
          <w:sz w:val="16"/>
          <w:szCs w:val="16"/>
        </w:rPr>
        <w:softHyphen/>
        <w:t>ка средствами огнеметания, заражения мест</w:t>
      </w:r>
      <w:r w:rsidRPr="00DB5D0D">
        <w:rPr>
          <w:rFonts w:ascii="Times New Roman" w:hAnsi="Times New Roman"/>
          <w:color w:val="000000" w:themeColor="text1"/>
          <w:sz w:val="16"/>
          <w:szCs w:val="16"/>
        </w:rPr>
        <w:softHyphen/>
        <w:t>ности стойкими отравляющими веществами (СОВ типа иприта), для постановки дымовых завес и дегазации зараженных участков мест</w:t>
      </w:r>
      <w:r w:rsidRPr="00DB5D0D">
        <w:rPr>
          <w:rFonts w:ascii="Times New Roman" w:hAnsi="Times New Roman"/>
          <w:color w:val="000000" w:themeColor="text1"/>
          <w:sz w:val="16"/>
          <w:szCs w:val="16"/>
        </w:rPr>
        <w:softHyphen/>
        <w:t>ности в боевых условиях, а также для газопу</w:t>
      </w:r>
      <w:r w:rsidRPr="00DB5D0D">
        <w:rPr>
          <w:rFonts w:ascii="Times New Roman" w:hAnsi="Times New Roman"/>
          <w:color w:val="000000" w:themeColor="text1"/>
          <w:sz w:val="16"/>
          <w:szCs w:val="16"/>
        </w:rPr>
        <w:softHyphen/>
        <w:t>ска НОВ. Корпус предполагалось изготовить из брони (толщина боковых листов - 9-10 мм, верхнего и нижнего - 6 мм).</w:t>
      </w:r>
    </w:p>
    <w:p w14:paraId="042B2E5D"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Боевая масса прицепки, снаряженной дымсмесью </w:t>
      </w:r>
      <w:r w:rsidRPr="00DB5D0D">
        <w:rPr>
          <w:rFonts w:ascii="Times New Roman" w:hAnsi="Times New Roman"/>
          <w:color w:val="000000" w:themeColor="text1"/>
          <w:sz w:val="16"/>
          <w:szCs w:val="16"/>
          <w:lang w:val="en-US"/>
        </w:rPr>
        <w:t>S</w:t>
      </w:r>
      <w:r w:rsidRPr="00DB5D0D">
        <w:rPr>
          <w:rFonts w:ascii="Times New Roman" w:hAnsi="Times New Roman"/>
          <w:color w:val="000000" w:themeColor="text1"/>
          <w:sz w:val="16"/>
          <w:szCs w:val="16"/>
        </w:rPr>
        <w:t>-1</w:t>
      </w:r>
      <w:r w:rsidRPr="00DB5D0D">
        <w:rPr>
          <w:rFonts w:ascii="Times New Roman" w:hAnsi="Times New Roman"/>
          <w:color w:val="000000" w:themeColor="text1"/>
          <w:sz w:val="16"/>
          <w:szCs w:val="16"/>
          <w:lang w:val="en-US"/>
        </w:rPr>
        <w:t>V</w:t>
      </w:r>
      <w:r w:rsidRPr="00DB5D0D">
        <w:rPr>
          <w:rFonts w:ascii="Times New Roman" w:hAnsi="Times New Roman"/>
          <w:color w:val="000000" w:themeColor="text1"/>
          <w:sz w:val="16"/>
          <w:szCs w:val="16"/>
        </w:rPr>
        <w:t>, определялась не более 3500 кг. Аппаратура должна была бесперебойно действовать при кренах в 30* (спуск, подъ</w:t>
      </w:r>
      <w:r w:rsidRPr="00DB5D0D">
        <w:rPr>
          <w:rFonts w:ascii="Times New Roman" w:hAnsi="Times New Roman"/>
          <w:color w:val="000000" w:themeColor="text1"/>
          <w:sz w:val="16"/>
          <w:szCs w:val="16"/>
        </w:rPr>
        <w:softHyphen/>
        <w:t>ем). Управление химаппаратурой прицепки и брандспойтом следовало расположить внутри танка, для этого даже предполагалось умень</w:t>
      </w:r>
      <w:r w:rsidRPr="00DB5D0D">
        <w:rPr>
          <w:rFonts w:ascii="Times New Roman" w:hAnsi="Times New Roman"/>
          <w:color w:val="000000" w:themeColor="text1"/>
          <w:sz w:val="16"/>
          <w:szCs w:val="16"/>
        </w:rPr>
        <w:softHyphen/>
        <w:t>шить его боекомплект на 10% (17480).</w:t>
      </w:r>
    </w:p>
    <w:p w14:paraId="079E5465" w14:textId="77777777" w:rsidR="004A0330" w:rsidRPr="00DB5D0D" w:rsidRDefault="004A0330" w:rsidP="00DB5D0D">
      <w:pPr>
        <w:spacing w:after="0" w:line="240" w:lineRule="auto"/>
        <w:jc w:val="both"/>
        <w:rPr>
          <w:rFonts w:ascii="Times New Roman" w:hAnsi="Times New Roman"/>
          <w:color w:val="000000" w:themeColor="text1"/>
          <w:sz w:val="16"/>
          <w:szCs w:val="16"/>
        </w:rPr>
      </w:pPr>
    </w:p>
    <w:p w14:paraId="6018596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212B369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1D9F4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 состоялся первый настоящий боевой де</w:t>
      </w:r>
      <w:r w:rsidRPr="00DB5D0D">
        <w:rPr>
          <w:rFonts w:ascii="Times New Roman" w:hAnsi="Times New Roman"/>
          <w:color w:val="000000" w:themeColor="text1"/>
          <w:sz w:val="16"/>
          <w:szCs w:val="16"/>
        </w:rPr>
        <w:softHyphen/>
        <w:t>сант советских ВВС. В Литве и Латвии действовала 214-я воздуш</w:t>
      </w:r>
      <w:r w:rsidRPr="00DB5D0D">
        <w:rPr>
          <w:rFonts w:ascii="Times New Roman" w:hAnsi="Times New Roman"/>
          <w:color w:val="000000" w:themeColor="text1"/>
          <w:sz w:val="16"/>
          <w:szCs w:val="16"/>
        </w:rPr>
        <w:softHyphen/>
        <w:t>ная бригада. 63 ТБ-3 перебросили на аэродром под Шауляем первую волну десанта - 720 человек. Бомбардировщики сопро</w:t>
      </w:r>
      <w:r w:rsidRPr="00DB5D0D">
        <w:rPr>
          <w:rFonts w:ascii="Times New Roman" w:hAnsi="Times New Roman"/>
          <w:color w:val="000000" w:themeColor="text1"/>
          <w:sz w:val="16"/>
          <w:szCs w:val="16"/>
        </w:rPr>
        <w:softHyphen/>
        <w:t>вождали истребители двух эскадри</w:t>
      </w:r>
      <w:r w:rsidRPr="00DB5D0D">
        <w:rPr>
          <w:rFonts w:ascii="Times New Roman" w:hAnsi="Times New Roman"/>
          <w:color w:val="000000" w:themeColor="text1"/>
          <w:sz w:val="16"/>
          <w:szCs w:val="16"/>
        </w:rPr>
        <w:softHyphen/>
        <w:t>лий 17-го истребительного полка. Каждый самолет брал от 16 до 24 человек плюс два-три мешка ПДММ. Перевезли также 160 пуле</w:t>
      </w:r>
      <w:r w:rsidRPr="00DB5D0D">
        <w:rPr>
          <w:rFonts w:ascii="Times New Roman" w:hAnsi="Times New Roman"/>
          <w:color w:val="000000" w:themeColor="text1"/>
          <w:sz w:val="16"/>
          <w:szCs w:val="16"/>
        </w:rPr>
        <w:softHyphen/>
        <w:t>метов и 36 минометов. От Шауляя десантники двинулись на броне тан</w:t>
      </w:r>
      <w:r w:rsidRPr="00DB5D0D">
        <w:rPr>
          <w:rFonts w:ascii="Times New Roman" w:hAnsi="Times New Roman"/>
          <w:color w:val="000000" w:themeColor="text1"/>
          <w:sz w:val="16"/>
          <w:szCs w:val="16"/>
        </w:rPr>
        <w:softHyphen/>
        <w:t>ковой технике в Латвию. Намечалась высадка второй вол</w:t>
      </w:r>
      <w:r w:rsidRPr="00DB5D0D">
        <w:rPr>
          <w:rFonts w:ascii="Times New Roman" w:hAnsi="Times New Roman"/>
          <w:color w:val="000000" w:themeColor="text1"/>
          <w:sz w:val="16"/>
          <w:szCs w:val="16"/>
        </w:rPr>
        <w:softHyphen/>
        <w:t>ны, в том числе 18 45-мм противо</w:t>
      </w:r>
      <w:r w:rsidRPr="00DB5D0D">
        <w:rPr>
          <w:rFonts w:ascii="Times New Roman" w:hAnsi="Times New Roman"/>
          <w:color w:val="000000" w:themeColor="text1"/>
          <w:sz w:val="16"/>
          <w:szCs w:val="16"/>
        </w:rPr>
        <w:softHyphen/>
        <w:t>танковых пушек, но ее отменили из-за отсутствия необходимости. Не состоялся и запланированный воз</w:t>
      </w:r>
      <w:r w:rsidRPr="00DB5D0D">
        <w:rPr>
          <w:rFonts w:ascii="Times New Roman" w:hAnsi="Times New Roman"/>
          <w:color w:val="000000" w:themeColor="text1"/>
          <w:sz w:val="16"/>
          <w:szCs w:val="16"/>
        </w:rPr>
        <w:softHyphen/>
        <w:t>душный десант у станции Гайджуны с целью захвата Каунаса (10690).</w:t>
      </w:r>
    </w:p>
    <w:p w14:paraId="718E74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114CF1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165A65D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50124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советское правительство потребовало от правительств трех прибалтийских республик изменений в их правительствах (4962).</w:t>
      </w:r>
    </w:p>
    <w:p w14:paraId="37EC8C1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8C753D8" w14:textId="77777777" w:rsidR="00E83C71" w:rsidRPr="00DB5D0D" w:rsidRDefault="00E83C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июня</w:t>
      </w:r>
      <w:r w:rsidRPr="00DB5D0D">
        <w:rPr>
          <w:rFonts w:ascii="Times New Roman" w:hAnsi="Times New Roman"/>
          <w:color w:val="000000" w:themeColor="text1"/>
          <w:sz w:val="16"/>
          <w:szCs w:val="16"/>
        </w:rPr>
        <w:t xml:space="preserve"> в 1940 году советское правительство заявляет правительствам Латвии и Эстонии (а еще ранее, 14 июня, и правительству Литвы) о грубых нарушениях ими договоров о взаимопомощи и требует изменения состава правительств и допуска на территорию этих стран дополнительных советских войск. Ранее в учебниках истории писалось, что изолированные от своих империалистических хозяев правительства этих стран под нажимом трудящихся масс были вынуждены дать свое согласие. В Литву советские войска были введены 15 июня, а в Латвию и Эстонию — 17 июня. На самом же деле судьба этих стран була предопределена секретным протоколом к советско-германскому пакту о ненападении, подписанным 23 августа 1939 года в Москве (14924).</w:t>
      </w:r>
    </w:p>
    <w:p w14:paraId="61E83C77" w14:textId="77777777" w:rsidR="00E83C71" w:rsidRPr="00DB5D0D" w:rsidRDefault="00E83C71" w:rsidP="00DB5D0D">
      <w:pPr>
        <w:spacing w:after="0" w:line="240" w:lineRule="auto"/>
        <w:jc w:val="both"/>
        <w:rPr>
          <w:rFonts w:ascii="Times New Roman" w:hAnsi="Times New Roman"/>
          <w:color w:val="000000" w:themeColor="text1"/>
          <w:sz w:val="16"/>
          <w:szCs w:val="16"/>
        </w:rPr>
      </w:pPr>
    </w:p>
    <w:p w14:paraId="256487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16 июня 1940 войска завершили сосредо</w:t>
      </w:r>
      <w:r w:rsidRPr="00DB5D0D">
        <w:rPr>
          <w:rFonts w:ascii="Times New Roman" w:hAnsi="Times New Roman"/>
          <w:color w:val="000000" w:themeColor="text1"/>
          <w:sz w:val="16"/>
          <w:szCs w:val="16"/>
        </w:rPr>
        <w:softHyphen/>
        <w:t>точение и развертывание на границах Латвии и Эстонии, а на границах Литвы - к 15 июня. Группировка выделенных для операции против Литвы, Латвии и Эстонии ВВС РККА насчитывала 2601 самолет. Она включала в себя 18 среднебомбардировочных, 3 дальнебомбардировочных, 5 тяжелобомбардиро</w:t>
      </w:r>
      <w:r w:rsidRPr="00DB5D0D">
        <w:rPr>
          <w:rFonts w:ascii="Times New Roman" w:hAnsi="Times New Roman"/>
          <w:color w:val="000000" w:themeColor="text1"/>
          <w:sz w:val="16"/>
          <w:szCs w:val="16"/>
        </w:rPr>
        <w:softHyphen/>
        <w:t>вочных, 3 легкобомбардировочных, 2 штурмовых и 16 истребительных авиаполков. Советские войска заняли 15—16 июня большую часть терри</w:t>
      </w:r>
      <w:r w:rsidRPr="00DB5D0D">
        <w:rPr>
          <w:rFonts w:ascii="Times New Roman" w:hAnsi="Times New Roman"/>
          <w:color w:val="000000" w:themeColor="text1"/>
          <w:sz w:val="16"/>
          <w:szCs w:val="16"/>
        </w:rPr>
        <w:softHyphen/>
        <w:t>тории Литвы, а к 21 июня под их контролем уже находилась почти вся тер</w:t>
      </w:r>
      <w:r w:rsidRPr="00DB5D0D">
        <w:rPr>
          <w:rFonts w:ascii="Times New Roman" w:hAnsi="Times New Roman"/>
          <w:color w:val="000000" w:themeColor="text1"/>
          <w:sz w:val="16"/>
          <w:szCs w:val="16"/>
        </w:rPr>
        <w:softHyphen/>
        <w:t>ритория Прибалтики (Мельтюхов М.И. Упущенный шанс Сталина. С. 162-163, 168.). Никаких шансов противостоять этой армаде балтийские страны не име</w:t>
      </w:r>
      <w:r w:rsidRPr="00DB5D0D">
        <w:rPr>
          <w:rFonts w:ascii="Times New Roman" w:hAnsi="Times New Roman"/>
          <w:color w:val="000000" w:themeColor="text1"/>
          <w:sz w:val="16"/>
          <w:szCs w:val="16"/>
        </w:rPr>
        <w:softHyphen/>
        <w:t>ли. Самым слабым потенциальным противником была Эстония, о которой речь шла выше (11710,411).</w:t>
      </w:r>
    </w:p>
    <w:p w14:paraId="1CAF5D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EAC21DC" w14:textId="77777777" w:rsidR="00A25AD1"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За</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рубежом</w:t>
      </w:r>
      <w:r w:rsidRPr="00DB5D0D">
        <w:rPr>
          <w:rFonts w:ascii="Times New Roman" w:hAnsi="Times New Roman"/>
          <w:i/>
          <w:iCs/>
          <w:color w:val="000000" w:themeColor="text1"/>
          <w:sz w:val="16"/>
          <w:szCs w:val="16"/>
          <w:lang w:val="en-US"/>
        </w:rPr>
        <w:t>:</w:t>
      </w:r>
    </w:p>
    <w:p w14:paraId="7C9BB49C" w14:textId="77777777" w:rsidR="00A25AD1" w:rsidRPr="00DB5D0D" w:rsidRDefault="00A25AD1" w:rsidP="00DB5D0D">
      <w:pPr>
        <w:spacing w:after="0" w:line="240" w:lineRule="auto"/>
        <w:jc w:val="both"/>
        <w:rPr>
          <w:rFonts w:ascii="Times New Roman" w:hAnsi="Times New Roman"/>
          <w:iCs/>
          <w:color w:val="000000" w:themeColor="text1"/>
          <w:sz w:val="16"/>
          <w:szCs w:val="16"/>
          <w:lang w:val="en-US"/>
        </w:rPr>
      </w:pPr>
    </w:p>
    <w:p w14:paraId="6743F9F0" w14:textId="77777777" w:rsidR="001858DE" w:rsidRPr="00DB5D0D" w:rsidRDefault="001858DE" w:rsidP="00DB5D0D">
      <w:pPr>
        <w:spacing w:after="0" w:line="240" w:lineRule="auto"/>
        <w:jc w:val="both"/>
        <w:rPr>
          <w:rFonts w:ascii="Times New Roman" w:hAnsi="Times New Roman"/>
          <w:color w:val="0070C0"/>
          <w:sz w:val="16"/>
          <w:szCs w:val="16"/>
          <w:lang w:val="en-US"/>
        </w:rPr>
      </w:pPr>
      <w:r w:rsidRPr="00DB5D0D">
        <w:rPr>
          <w:rFonts w:ascii="Times New Roman" w:hAnsi="Times New Roman"/>
          <w:color w:val="0070C0"/>
          <w:sz w:val="16"/>
          <w:szCs w:val="16"/>
          <w:lang w:val="en-US"/>
        </w:rPr>
        <w:t xml:space="preserve">16 </w:t>
      </w:r>
      <w:r w:rsidRPr="00DB5D0D">
        <w:rPr>
          <w:rFonts w:ascii="Times New Roman" w:hAnsi="Times New Roman"/>
          <w:color w:val="0070C0"/>
          <w:sz w:val="16"/>
          <w:szCs w:val="16"/>
        </w:rPr>
        <w:t>июня</w:t>
      </w:r>
      <w:r w:rsidRPr="00DB5D0D">
        <w:rPr>
          <w:rFonts w:ascii="Times New Roman" w:hAnsi="Times New Roman"/>
          <w:color w:val="0070C0"/>
          <w:sz w:val="16"/>
          <w:szCs w:val="16"/>
          <w:lang w:val="en-US"/>
        </w:rPr>
        <w:t xml:space="preserve"> 1940 </w:t>
      </w:r>
      <w:r w:rsidRPr="00DB5D0D">
        <w:rPr>
          <w:rFonts w:ascii="Times New Roman" w:hAnsi="Times New Roman"/>
          <w:color w:val="0070C0"/>
          <w:sz w:val="16"/>
          <w:szCs w:val="16"/>
        </w:rPr>
        <w:t>двенадцать</w:t>
      </w:r>
      <w:r w:rsidRPr="00DB5D0D">
        <w:rPr>
          <w:rFonts w:ascii="Times New Roman" w:hAnsi="Times New Roman"/>
          <w:color w:val="0070C0"/>
          <w:sz w:val="16"/>
          <w:szCs w:val="16"/>
          <w:lang w:val="en-US"/>
        </w:rPr>
        <w:t xml:space="preserve"> </w:t>
      </w:r>
      <w:r w:rsidRPr="00DB5D0D">
        <w:rPr>
          <w:rFonts w:ascii="Times New Roman" w:hAnsi="Times New Roman"/>
          <w:color w:val="0070C0"/>
          <w:sz w:val="16"/>
          <w:szCs w:val="16"/>
        </w:rPr>
        <w:t>Бреда</w:t>
      </w:r>
      <w:r w:rsidRPr="00DB5D0D">
        <w:rPr>
          <w:rFonts w:ascii="Times New Roman" w:hAnsi="Times New Roman"/>
          <w:color w:val="0070C0"/>
          <w:sz w:val="16"/>
          <w:szCs w:val="16"/>
          <w:lang w:val="en-US"/>
        </w:rPr>
        <w:t xml:space="preserve"> Ba.88 </w:t>
      </w:r>
      <w:r w:rsidRPr="00DB5D0D">
        <w:rPr>
          <w:rFonts w:ascii="Times New Roman" w:hAnsi="Times New Roman"/>
          <w:color w:val="0070C0"/>
          <w:sz w:val="16"/>
          <w:szCs w:val="16"/>
        </w:rPr>
        <w:t>Линсе</w:t>
      </w:r>
      <w:r w:rsidRPr="00DB5D0D">
        <w:rPr>
          <w:rFonts w:ascii="Times New Roman" w:hAnsi="Times New Roman"/>
          <w:color w:val="0070C0"/>
          <w:sz w:val="16"/>
          <w:szCs w:val="16"/>
          <w:lang w:val="en-US"/>
        </w:rPr>
        <w:t xml:space="preserve"> </w:t>
      </w:r>
      <w:r w:rsidRPr="00DB5D0D">
        <w:rPr>
          <w:rFonts w:ascii="Times New Roman" w:hAnsi="Times New Roman"/>
          <w:color w:val="0070C0"/>
          <w:sz w:val="16"/>
          <w:szCs w:val="16"/>
        </w:rPr>
        <w:t>из</w:t>
      </w:r>
      <w:r w:rsidRPr="00DB5D0D">
        <w:rPr>
          <w:rFonts w:ascii="Times New Roman" w:hAnsi="Times New Roman"/>
          <w:color w:val="0070C0"/>
          <w:sz w:val="16"/>
          <w:szCs w:val="16"/>
          <w:lang w:val="en-US"/>
        </w:rPr>
        <w:t xml:space="preserve"> Regia Aeronautica (</w:t>
      </w:r>
      <w:r w:rsidRPr="00DB5D0D">
        <w:rPr>
          <w:rFonts w:ascii="Times New Roman" w:hAnsi="Times New Roman"/>
          <w:color w:val="0070C0"/>
          <w:sz w:val="16"/>
          <w:szCs w:val="16"/>
        </w:rPr>
        <w:t>итальянский</w:t>
      </w:r>
      <w:r w:rsidRPr="00DB5D0D">
        <w:rPr>
          <w:rFonts w:ascii="Times New Roman" w:hAnsi="Times New Roman"/>
          <w:color w:val="0070C0"/>
          <w:sz w:val="16"/>
          <w:szCs w:val="16"/>
          <w:lang w:val="en-US"/>
        </w:rPr>
        <w:t xml:space="preserve"> Royal Air Force) (S 19 Gruppo Autónomo) </w:t>
      </w:r>
      <w:r w:rsidRPr="00DB5D0D">
        <w:rPr>
          <w:rFonts w:ascii="Times New Roman" w:hAnsi="Times New Roman"/>
          <w:color w:val="0070C0"/>
          <w:sz w:val="16"/>
          <w:szCs w:val="16"/>
        </w:rPr>
        <w:t>бомбят</w:t>
      </w:r>
      <w:r w:rsidRPr="00DB5D0D">
        <w:rPr>
          <w:rFonts w:ascii="Times New Roman" w:hAnsi="Times New Roman"/>
          <w:color w:val="0070C0"/>
          <w:sz w:val="16"/>
          <w:szCs w:val="16"/>
          <w:lang w:val="en-US"/>
        </w:rPr>
        <w:t xml:space="preserve"> </w:t>
      </w:r>
      <w:r w:rsidRPr="00DB5D0D">
        <w:rPr>
          <w:rFonts w:ascii="Times New Roman" w:hAnsi="Times New Roman"/>
          <w:color w:val="0070C0"/>
          <w:sz w:val="16"/>
          <w:szCs w:val="16"/>
        </w:rPr>
        <w:t>и</w:t>
      </w:r>
      <w:r w:rsidRPr="00DB5D0D">
        <w:rPr>
          <w:rFonts w:ascii="Times New Roman" w:hAnsi="Times New Roman"/>
          <w:color w:val="0070C0"/>
          <w:sz w:val="16"/>
          <w:szCs w:val="16"/>
          <w:lang w:val="en-US"/>
        </w:rPr>
        <w:t xml:space="preserve"> </w:t>
      </w:r>
      <w:r w:rsidRPr="00DB5D0D">
        <w:rPr>
          <w:rFonts w:ascii="Times New Roman" w:hAnsi="Times New Roman"/>
          <w:color w:val="0070C0"/>
          <w:sz w:val="16"/>
          <w:szCs w:val="16"/>
        </w:rPr>
        <w:t>обстреливают</w:t>
      </w:r>
      <w:r w:rsidRPr="00DB5D0D">
        <w:rPr>
          <w:rFonts w:ascii="Times New Roman" w:hAnsi="Times New Roman"/>
          <w:color w:val="0070C0"/>
          <w:sz w:val="16"/>
          <w:szCs w:val="16"/>
          <w:lang w:val="en-US"/>
        </w:rPr>
        <w:t xml:space="preserve"> </w:t>
      </w:r>
      <w:r w:rsidRPr="00DB5D0D">
        <w:rPr>
          <w:rFonts w:ascii="Times New Roman" w:hAnsi="Times New Roman"/>
          <w:color w:val="0070C0"/>
          <w:sz w:val="16"/>
          <w:szCs w:val="16"/>
        </w:rPr>
        <w:t>основные</w:t>
      </w:r>
      <w:r w:rsidRPr="00DB5D0D">
        <w:rPr>
          <w:rFonts w:ascii="Times New Roman" w:hAnsi="Times New Roman"/>
          <w:color w:val="0070C0"/>
          <w:sz w:val="16"/>
          <w:szCs w:val="16"/>
          <w:lang w:val="en-US"/>
        </w:rPr>
        <w:t xml:space="preserve"> </w:t>
      </w:r>
      <w:r w:rsidRPr="00DB5D0D">
        <w:rPr>
          <w:rFonts w:ascii="Times New Roman" w:hAnsi="Times New Roman"/>
          <w:color w:val="0070C0"/>
          <w:sz w:val="16"/>
          <w:szCs w:val="16"/>
        </w:rPr>
        <w:t>французские</w:t>
      </w:r>
      <w:r w:rsidRPr="00DB5D0D">
        <w:rPr>
          <w:rFonts w:ascii="Times New Roman" w:hAnsi="Times New Roman"/>
          <w:color w:val="0070C0"/>
          <w:sz w:val="16"/>
          <w:szCs w:val="16"/>
          <w:lang w:val="en-US"/>
        </w:rPr>
        <w:t xml:space="preserve"> </w:t>
      </w:r>
      <w:r w:rsidRPr="00DB5D0D">
        <w:rPr>
          <w:rFonts w:ascii="Times New Roman" w:hAnsi="Times New Roman"/>
          <w:color w:val="0070C0"/>
          <w:sz w:val="16"/>
          <w:szCs w:val="16"/>
        </w:rPr>
        <w:t>аэродромы</w:t>
      </w:r>
      <w:r w:rsidRPr="00DB5D0D">
        <w:rPr>
          <w:rFonts w:ascii="Times New Roman" w:hAnsi="Times New Roman"/>
          <w:color w:val="0070C0"/>
          <w:sz w:val="16"/>
          <w:szCs w:val="16"/>
          <w:lang w:val="en-US"/>
        </w:rPr>
        <w:t xml:space="preserve"> </w:t>
      </w:r>
      <w:r w:rsidRPr="00DB5D0D">
        <w:rPr>
          <w:rFonts w:ascii="Times New Roman" w:hAnsi="Times New Roman"/>
          <w:color w:val="0070C0"/>
          <w:sz w:val="16"/>
          <w:szCs w:val="16"/>
        </w:rPr>
        <w:t>на</w:t>
      </w:r>
      <w:r w:rsidRPr="00DB5D0D">
        <w:rPr>
          <w:rFonts w:ascii="Times New Roman" w:hAnsi="Times New Roman"/>
          <w:color w:val="0070C0"/>
          <w:sz w:val="16"/>
          <w:szCs w:val="16"/>
          <w:lang w:val="en-US"/>
        </w:rPr>
        <w:t xml:space="preserve"> </w:t>
      </w:r>
      <w:r w:rsidRPr="00DB5D0D">
        <w:rPr>
          <w:rFonts w:ascii="Times New Roman" w:hAnsi="Times New Roman"/>
          <w:color w:val="0070C0"/>
          <w:sz w:val="16"/>
          <w:szCs w:val="16"/>
        </w:rPr>
        <w:t>Корсике</w:t>
      </w:r>
      <w:r w:rsidRPr="00DB5D0D">
        <w:rPr>
          <w:rFonts w:ascii="Times New Roman" w:hAnsi="Times New Roman"/>
          <w:color w:val="0070C0"/>
          <w:sz w:val="16"/>
          <w:szCs w:val="16"/>
          <w:lang w:val="en-US"/>
        </w:rPr>
        <w:t xml:space="preserve"> (20795).</w:t>
      </w:r>
    </w:p>
    <w:p w14:paraId="35D85995" w14:textId="77777777" w:rsidR="001858DE" w:rsidRPr="00DB5D0D" w:rsidRDefault="001858DE" w:rsidP="00DB5D0D">
      <w:pPr>
        <w:spacing w:after="0" w:line="240" w:lineRule="auto"/>
        <w:jc w:val="both"/>
        <w:rPr>
          <w:rFonts w:ascii="Times New Roman" w:hAnsi="Times New Roman"/>
          <w:color w:val="0070C0"/>
          <w:sz w:val="16"/>
          <w:szCs w:val="16"/>
          <w:lang w:val="en-US"/>
        </w:rPr>
      </w:pPr>
    </w:p>
    <w:p w14:paraId="7C6CADA5"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16th. 1940: In the West, German forces, supported by heavy artillery and Stuka dive bombers, continue their assault on the Maginot Line on a broad front. Units of IXX.Panzerkorps (Guderian) reach Besancon on the Swiss border. The French government of Paul Reynaud resigns and is replaced by one led by Marshal Petain. 57,000 British troops are evacuated from Nantes and St. Nazaire. U-101 (Kptlt. Frauenheim) sinks the British merchant ship Wellington Star in the Bay of Biscay. In the Baltic, the Red Army occupies Latvia and Estonia. Tens of thousands of "hostile' natives and their families are rounded up and deported separated from one another to NKVD prison camps in the Soviet Union (3819).</w:t>
      </w:r>
    </w:p>
    <w:p w14:paraId="704E7F36"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E7326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британские войска, поддерживаемые артиллерией и авиацией, продолжили атаки на Линию Мажино. Части 19ТК (Гудериана) достигли Безансона на франко-швейцарской границе. Правительство Рейно подало в отставку и его заменило правительство м Петена. 57 тыс. британских солдат были эвакуированы из Нанта и Ст. Назира. У-110 (Фрауэнхайм) потопила в Бискайском заливе британское торговое Велингтон. КА оккупировала Латвию и Эстонию (3819).</w:t>
      </w:r>
    </w:p>
    <w:p w14:paraId="729C3EF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27F72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У. Черчилль предложил объединить Францию и Англию в единое государство (4962).</w:t>
      </w:r>
    </w:p>
    <w:p w14:paraId="6B4144D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1FAFC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У.Черчиль предложил создать двуединое англо-французское государство на основе органического союза (2443,416).</w:t>
      </w:r>
    </w:p>
    <w:p w14:paraId="54C0C7F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C549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Черчилль выступил с идеей "органического союза" Великобритании и Франции, которая состояла в том, что Франция и Великобритания провозглашали себя единой нацией, образуя нерасторжимый союз, предусматривающий единое гражданство, совместные органы для проведения оборонной и внешней, финансовой и экономической политики. Предполагалось так же совместное использование ресурсов колониальных владений. Таким образом, Франция могла продолжать войну, опираясь на британскую поддержку и потенциал своей колониальной периферии. Одновременно создавались условия для сохранения французского флота, авиации и уцелевших воинских контингентов под единым франко-британским командованием (3871).</w:t>
      </w:r>
    </w:p>
    <w:p w14:paraId="65A9E7A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2286994" w14:textId="77777777" w:rsidR="00CE1694" w:rsidRPr="00DB5D0D" w:rsidRDefault="00CE1694"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июня</w:t>
      </w:r>
      <w:r w:rsidRPr="00DB5D0D">
        <w:rPr>
          <w:rFonts w:ascii="Times New Roman" w:hAnsi="Times New Roman"/>
          <w:color w:val="000000" w:themeColor="text1"/>
          <w:sz w:val="16"/>
          <w:szCs w:val="16"/>
        </w:rPr>
        <w:t xml:space="preserve"> в 1940 году британский премьер Уинстон Черчилль предлагает создать двуединое государство с двойным гражданством под названием «Неразрывный союз между Францией и Англией», чтобы сохранить Францию как военного союзника и не потерять ее военный флот. Предложение премьера получает поддержку со стороны генерала де Голля, но само французское правительство раскалывается на две группы. Сторонники соглашения во главе с премьер-министром Полем Рейно проигрывают, Рейно подает в отставку, а формирование нового правительства поручено 84-летнему маршалу Петену, герою 1-й мировой войны, который сразу же предлагает перемирие немцам и позже формирует коллаборационистское правительство в Виши (14924).</w:t>
      </w:r>
    </w:p>
    <w:p w14:paraId="23672BEF" w14:textId="77777777" w:rsidR="00CE1694" w:rsidRPr="00DB5D0D" w:rsidRDefault="00CE1694" w:rsidP="00DB5D0D">
      <w:pPr>
        <w:spacing w:after="0" w:line="240" w:lineRule="auto"/>
        <w:jc w:val="both"/>
        <w:rPr>
          <w:rFonts w:ascii="Times New Roman" w:hAnsi="Times New Roman"/>
          <w:color w:val="000000" w:themeColor="text1"/>
          <w:sz w:val="16"/>
          <w:szCs w:val="16"/>
        </w:rPr>
      </w:pPr>
    </w:p>
    <w:p w14:paraId="480D29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члены французского кабинета отвергли британский план "органического союза" Великобритании и Франции (3871).</w:t>
      </w:r>
    </w:p>
    <w:p w14:paraId="3BF0488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1C60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правительство Франции П.Рейно подало в отставку и к власти пришел Ф.Петен (2443,416).</w:t>
      </w:r>
    </w:p>
    <w:p w14:paraId="37BA83E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963BA5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16 1940 Marshal Petain becomes French Prime Minister (1050), and requests armistice with Germany (1769).</w:t>
      </w:r>
    </w:p>
    <w:p w14:paraId="51F091F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151D96D1" w14:textId="77777777" w:rsidR="00E83C71" w:rsidRPr="00DB5D0D" w:rsidRDefault="00E83C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июня</w:t>
      </w:r>
      <w:r w:rsidRPr="00DB5D0D">
        <w:rPr>
          <w:rFonts w:ascii="Times New Roman" w:hAnsi="Times New Roman"/>
          <w:color w:val="000000" w:themeColor="text1"/>
          <w:sz w:val="16"/>
          <w:szCs w:val="16"/>
        </w:rPr>
        <w:t xml:space="preserve"> в 1940 году премьер-министр Франции Поль Рейно подал в отставку. Президент Франции А.-Ф.Лебрун назначил новым главой правительства маршала Филиппа Петена, который тут же через посредничество представителей Испании запросил условия мира у Германии и отдал приказ французским войскам прекратить сопротивление (14924).</w:t>
      </w:r>
    </w:p>
    <w:p w14:paraId="2B2F85BA" w14:textId="77777777" w:rsidR="00E83C71" w:rsidRPr="00DB5D0D" w:rsidRDefault="00E83C71" w:rsidP="00DB5D0D">
      <w:pPr>
        <w:spacing w:after="0" w:line="240" w:lineRule="auto"/>
        <w:jc w:val="both"/>
        <w:rPr>
          <w:rFonts w:ascii="Times New Roman" w:hAnsi="Times New Roman"/>
          <w:color w:val="000000" w:themeColor="text1"/>
          <w:sz w:val="16"/>
          <w:szCs w:val="16"/>
        </w:rPr>
      </w:pPr>
    </w:p>
    <w:p w14:paraId="5929F414" w14:textId="77777777" w:rsidR="00E83C71" w:rsidRPr="00DB5D0D" w:rsidRDefault="00E83C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июня</w:t>
      </w:r>
      <w:r w:rsidRPr="00DB5D0D">
        <w:rPr>
          <w:rFonts w:ascii="Times New Roman" w:hAnsi="Times New Roman"/>
          <w:color w:val="000000" w:themeColor="text1"/>
          <w:sz w:val="16"/>
          <w:szCs w:val="16"/>
        </w:rPr>
        <w:t xml:space="preserve"> в 1940 году генерал де Голль прибывает в Бордо (14924).</w:t>
      </w:r>
    </w:p>
    <w:p w14:paraId="3985965B" w14:textId="77777777" w:rsidR="00E83C71" w:rsidRPr="00DB5D0D" w:rsidRDefault="00E83C71" w:rsidP="00DB5D0D">
      <w:pPr>
        <w:spacing w:after="0" w:line="240" w:lineRule="auto"/>
        <w:jc w:val="both"/>
        <w:rPr>
          <w:rFonts w:ascii="Times New Roman" w:hAnsi="Times New Roman"/>
          <w:color w:val="000000" w:themeColor="text1"/>
          <w:sz w:val="16"/>
          <w:szCs w:val="16"/>
        </w:rPr>
      </w:pPr>
    </w:p>
    <w:p w14:paraId="54E5FA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маршал Петен стал Премьер Министром Франции и запросил перемирия с Германией (1769;2100), а премьер министр Поль Рейно подал в отставку (2244,5).</w:t>
      </w:r>
    </w:p>
    <w:p w14:paraId="15D71B3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3C5975" w14:textId="77777777" w:rsidR="00E83C71" w:rsidRPr="00DB5D0D" w:rsidRDefault="00E83C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июня</w:t>
      </w:r>
      <w:r w:rsidRPr="00DB5D0D">
        <w:rPr>
          <w:rFonts w:ascii="Times New Roman" w:hAnsi="Times New Roman"/>
          <w:color w:val="000000" w:themeColor="text1"/>
          <w:sz w:val="16"/>
          <w:szCs w:val="16"/>
        </w:rPr>
        <w:t xml:space="preserve"> в 1940 году о своей лояльности новому французскому правительству заявили практически все колониальные администрации (14924).</w:t>
      </w:r>
    </w:p>
    <w:p w14:paraId="3E40D218" w14:textId="77777777" w:rsidR="00E83C71" w:rsidRPr="00DB5D0D" w:rsidRDefault="00E83C71" w:rsidP="00DB5D0D">
      <w:pPr>
        <w:spacing w:after="0" w:line="240" w:lineRule="auto"/>
        <w:jc w:val="both"/>
        <w:rPr>
          <w:rFonts w:ascii="Times New Roman" w:hAnsi="Times New Roman"/>
          <w:color w:val="000000" w:themeColor="text1"/>
          <w:sz w:val="16"/>
          <w:szCs w:val="16"/>
        </w:rPr>
      </w:pPr>
    </w:p>
    <w:p w14:paraId="57C8AE78" w14:textId="77777777" w:rsidR="00E83C71" w:rsidRPr="00DB5D0D" w:rsidRDefault="00E83C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июня</w:t>
      </w:r>
      <w:r w:rsidRPr="00DB5D0D">
        <w:rPr>
          <w:rFonts w:ascii="Times New Roman" w:hAnsi="Times New Roman"/>
          <w:color w:val="000000" w:themeColor="text1"/>
          <w:sz w:val="16"/>
          <w:szCs w:val="16"/>
        </w:rPr>
        <w:t xml:space="preserve"> в 1940 году для отражения немецкой агрессии правительство Франции обращается за помощью к США, но получает отказ (14924).</w:t>
      </w:r>
    </w:p>
    <w:p w14:paraId="48DA23EF" w14:textId="77777777" w:rsidR="00E83C71" w:rsidRPr="00DB5D0D" w:rsidRDefault="00E83C71" w:rsidP="00DB5D0D">
      <w:pPr>
        <w:spacing w:after="0" w:line="240" w:lineRule="auto"/>
        <w:jc w:val="both"/>
        <w:rPr>
          <w:rFonts w:ascii="Times New Roman" w:hAnsi="Times New Roman"/>
          <w:color w:val="000000" w:themeColor="text1"/>
          <w:sz w:val="16"/>
          <w:szCs w:val="16"/>
        </w:rPr>
      </w:pPr>
    </w:p>
    <w:p w14:paraId="73A168B4" w14:textId="77777777" w:rsidR="00E83C71" w:rsidRPr="00DB5D0D" w:rsidRDefault="00E83C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июня</w:t>
      </w:r>
      <w:r w:rsidRPr="00DB5D0D">
        <w:rPr>
          <w:rFonts w:ascii="Times New Roman" w:hAnsi="Times New Roman"/>
          <w:color w:val="000000" w:themeColor="text1"/>
          <w:sz w:val="16"/>
          <w:szCs w:val="16"/>
        </w:rPr>
        <w:t xml:space="preserve"> в 1940 году через два дня после того, как гитлеровцы без боя вошли в Париж, французское правительство, в панике бежавшее в Бордо, возглавил маршал Первой мировой войны Анри-Филипп Петен (1856–1951), не скрывавший своих прогерманских симпатий. На следующий день он заявил по радио: «Необходимо замиряться», и уже 22 июня, ровно за год до нападения фашистов на СССР, подписал безоговорочную капитуляцию, стыдливо поименованную «перемирием». Осенью 1945 года за сотрудничество с Гитлером Петену вынесли смертный приговор, который, однако, национальный герой Франции генерал Шарль де Голль заменил пожизненным заключением (14924).</w:t>
      </w:r>
    </w:p>
    <w:p w14:paraId="123ABC47" w14:textId="77777777" w:rsidR="00E83C71" w:rsidRPr="00DB5D0D" w:rsidRDefault="00E83C71" w:rsidP="00DB5D0D">
      <w:pPr>
        <w:spacing w:after="0" w:line="240" w:lineRule="auto"/>
        <w:jc w:val="both"/>
        <w:rPr>
          <w:rFonts w:ascii="Times New Roman" w:hAnsi="Times New Roman"/>
          <w:color w:val="000000" w:themeColor="text1"/>
          <w:sz w:val="16"/>
          <w:szCs w:val="16"/>
        </w:rPr>
      </w:pPr>
    </w:p>
    <w:p w14:paraId="72559F12" w14:textId="77777777" w:rsidR="00E83C71" w:rsidRPr="00DB5D0D" w:rsidRDefault="00E83C7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16 июня</w:t>
      </w:r>
      <w:r w:rsidRPr="00DB5D0D">
        <w:rPr>
          <w:rFonts w:ascii="Times New Roman" w:hAnsi="Times New Roman"/>
          <w:color w:val="000000" w:themeColor="text1"/>
          <w:sz w:val="16"/>
          <w:szCs w:val="16"/>
        </w:rPr>
        <w:t xml:space="preserve"> в 1940 году авангард Танковой Группы Гудериана вышел к швейцарской границе (14924).</w:t>
      </w:r>
    </w:p>
    <w:p w14:paraId="59C466FB" w14:textId="77777777" w:rsidR="00E83C71" w:rsidRPr="00DB5D0D" w:rsidRDefault="00E83C71" w:rsidP="00DB5D0D">
      <w:pPr>
        <w:spacing w:after="0" w:line="240" w:lineRule="auto"/>
        <w:jc w:val="both"/>
        <w:rPr>
          <w:rFonts w:ascii="Times New Roman" w:hAnsi="Times New Roman"/>
          <w:color w:val="000000" w:themeColor="text1"/>
          <w:sz w:val="16"/>
          <w:szCs w:val="16"/>
        </w:rPr>
      </w:pPr>
    </w:p>
    <w:p w14:paraId="5EAF855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итальянцы затопили две английские подлодки в Средиземном море (первые морские победы итальянского флота во второй мировой войне) (4962).</w:t>
      </w:r>
    </w:p>
    <w:p w14:paraId="0E9A885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96D142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8AAC58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A68B0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Зам. нач. 7 ГУ Шишкин писал письмо N 54/1109 Нач. 8 отдела ЦАГИ-Раменское ГСС Ляпидевскому (копия нач. 17 отдела завода 156 Кочеригину).</w:t>
      </w:r>
    </w:p>
    <w:p w14:paraId="7D378F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переданного Вам самолета Ш конструкции Кочеригина после замены заводом 156 мотора М-88 и установки нового винта, надлежит снять летные характеристики по программе, имеющейся у тов. Кочеригина." (2062,58).</w:t>
      </w:r>
    </w:p>
    <w:p w14:paraId="577CE67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A1A4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вышел приказ НКАП N 296cc, которым для проведения заводских испытаний самолета ББ-МАИ конструкции тов. Грушина назначили л-и завода N 39 В.К.Коккинаки (405,57).</w:t>
      </w:r>
    </w:p>
    <w:p w14:paraId="6D36F4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заводских испытаний самолетам ББ-МАИ конструкции тов. Грушина, П Р И К.А 3 Ы В А Ю:</w:t>
      </w:r>
    </w:p>
    <w:p w14:paraId="704574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Летчика-испытателя завода № 39 тов. Коккинаки В.К. назначаю летчиком-испытателем по заводским испытаниям самолета ББ-МАИ, конструктора тов. Грушина.</w:t>
      </w:r>
    </w:p>
    <w:p w14:paraId="338F40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Заводские испытания провести в течение двух месяцев со дня первого вылета самолета.</w:t>
      </w:r>
    </w:p>
    <w:p w14:paraId="19AE1B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Установить дополнительную зарплату летчику-испытателю т. Коккинаки В.К. за полное проведение заводских -испытаний в срок - 40.000 рублей. (405,57).</w:t>
      </w:r>
    </w:p>
    <w:p w14:paraId="476D68B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B579EEE"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17 июня 1940 года Приказом НКАП на этап заводских испытаний летчиком-испытателем ББ-МАИ назначили В. К. Коккинаки. И в случае успеха испытаний планировалось начать подготовку к серийному производству нового бомбардировщика на Саратовском авиационном заводе № 292 «Саркомбайн». Однако из-за сложностей с изготовлением самолета в МАИ подготовка ББ-МАИ к испытаниям затянулась, и первые пробежки и подлеты самолета начались в ЛИИ только осенью 1940 года, когда КБ-1 МАИ уже прекратило свое существование (18995).</w:t>
      </w:r>
    </w:p>
    <w:p w14:paraId="7B78F7DC" w14:textId="77777777" w:rsidR="0071714A" w:rsidRPr="00DB5D0D" w:rsidRDefault="0071714A" w:rsidP="00DB5D0D">
      <w:pPr>
        <w:spacing w:after="0" w:line="240" w:lineRule="auto"/>
        <w:jc w:val="both"/>
        <w:rPr>
          <w:rFonts w:ascii="Times New Roman" w:hAnsi="Times New Roman"/>
          <w:color w:val="000000" w:themeColor="text1"/>
          <w:sz w:val="16"/>
          <w:szCs w:val="16"/>
        </w:rPr>
      </w:pPr>
    </w:p>
    <w:p w14:paraId="6AC9A6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Нач. 1 ГУ ГУАС КА бригинж. Лапин и воен. комиссар 1 Упр. ГУАС военинж. 2 ранга Минин писал письмо N 507239 с зам. наркома П.А.Воронину, дир. завода 22 В.А.Окулову, ГК Архангельскому и ст. военпреду ГУАС на заводе 22 военинж. 2 ранга Кутузову, что во время испыт. серийного самолета СБ в НИИ ГУАС б. выявлено, что при установке турелей МВ-2 и МВ-3 бомболюки не открываются. Испытания показали, что не открываются только когда подвешены бомбы. Решили детально исследовать в ЦАГИ. Отправили самолет N 8/293 18 июня 1940 (1172).</w:t>
      </w:r>
    </w:p>
    <w:p w14:paraId="54FB3A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испытаний серийного самолета СБ в НИИ ГУАС Кр. Армии выявлено, что при установленных МВ-2 и МВ-3 бомболюки не открываются.</w:t>
      </w:r>
    </w:p>
    <w:p w14:paraId="45048B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Проведенные повторные испытания выявили:</w:t>
      </w:r>
    </w:p>
    <w:p w14:paraId="5A7222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Без подвески бомб б/люки открываются;</w:t>
      </w:r>
    </w:p>
    <w:p w14:paraId="679372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 подвешенными бомбами бомболюки открываются лишь при условии убранных шасси и установки экрана МВ-3отверг стием вперед или. назад;</w:t>
      </w:r>
    </w:p>
    <w:p w14:paraId="1E9A7D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При открытом фонаре пилота б/люки не открываются, так- же как и в случае выпущенного шасси и установки МВ-3 отверстием к борту самолета.</w:t>
      </w:r>
    </w:p>
    <w:p w14:paraId="27C586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изложенные недостатки нарушают боеспособность самолетов прошу Ваших указаний о срочном направле</w:t>
      </w:r>
      <w:r w:rsidRPr="00DB5D0D">
        <w:rPr>
          <w:rFonts w:ascii="Times New Roman" w:hAnsi="Times New Roman"/>
          <w:color w:val="000000" w:themeColor="text1"/>
          <w:sz w:val="16"/>
          <w:szCs w:val="16"/>
        </w:rPr>
        <w:softHyphen/>
        <w:t>нии одного самолета в ЦАГИ для детального исследования причин этих дефектов.</w:t>
      </w:r>
    </w:p>
    <w:p w14:paraId="5FB593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Впредь до устранения этих недостатков прошу обязать завод № 22 срочно выпустить инструкцию пользования бомболюками (1172,1).</w:t>
      </w:r>
    </w:p>
    <w:p w14:paraId="53E1736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B14FC4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 вышел приказ НИИ ВВС № 0112</w:t>
      </w:r>
    </w:p>
    <w:p w14:paraId="3F1E082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испытаний самолета И-16 М-105 (6891, 232).</w:t>
      </w:r>
    </w:p>
    <w:p w14:paraId="7E2C99E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01876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 Начальник ГУАС комдив Алексеев и Военком ГУАС бригадный комиссар утвердили Отчет о специальных испытаниях по снятию летных характеристик на самолете И-16 М-62, переделанного с типа «10» на тип «18» по технологии завода № 21 (с убирающимися шасси).</w:t>
      </w:r>
    </w:p>
    <w:p w14:paraId="159083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40391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Кочетков</w:t>
      </w:r>
    </w:p>
    <w:p w14:paraId="78033F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2FA1D68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летных характеристик самолета И-16 с мотором М-62 с убирающимися шасси на колесах и В.Ф.Ш.</w:t>
      </w:r>
    </w:p>
    <w:p w14:paraId="6EB0D96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Проверка температурного режима мотора в летних условиях.</w:t>
      </w:r>
    </w:p>
    <w:p w14:paraId="119234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специспытаний проведено 23 полета с налетом 10 час. 30 мин.</w:t>
      </w:r>
    </w:p>
    <w:p w14:paraId="30F95B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932703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Специспытания самолета И-16 М-62 подтверждают целесообразность переделки самолета И-16 с типа “10” на тип “18” при условии устранения всех дефектов, выявленных при гос. испытаниях данного самолета на лыжах.</w:t>
      </w:r>
    </w:p>
    <w:p w14:paraId="4F0917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p w14:paraId="2AE890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26 апреля 1940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8789"/>
      </w:tblGrid>
      <w:tr w:rsidR="007D5DF8" w:rsidRPr="00DB5D0D" w14:paraId="00D1F076" w14:textId="77777777" w:rsidTr="009223E5">
        <w:tc>
          <w:tcPr>
            <w:tcW w:w="1809" w:type="dxa"/>
            <w:tcBorders>
              <w:top w:val="single" w:sz="12" w:space="0" w:color="auto"/>
            </w:tcBorders>
          </w:tcPr>
          <w:p w14:paraId="37080C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апреля 1940 года</w:t>
            </w:r>
          </w:p>
        </w:tc>
        <w:tc>
          <w:tcPr>
            <w:tcW w:w="8789" w:type="dxa"/>
            <w:tcBorders>
              <w:top w:val="single" w:sz="12" w:space="0" w:color="auto"/>
            </w:tcBorders>
          </w:tcPr>
          <w:p w14:paraId="4ACBA0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4 полета на проверку работы приборов в воздухе и проверку уборки шасси</w:t>
            </w:r>
          </w:p>
        </w:tc>
      </w:tr>
      <w:tr w:rsidR="007D5DF8" w:rsidRPr="00DB5D0D" w14:paraId="1BEDA02E" w14:textId="77777777" w:rsidTr="009223E5">
        <w:tc>
          <w:tcPr>
            <w:tcW w:w="1809" w:type="dxa"/>
          </w:tcPr>
          <w:p w14:paraId="110298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апреля 1940 года</w:t>
            </w:r>
          </w:p>
        </w:tc>
        <w:tc>
          <w:tcPr>
            <w:tcW w:w="8789" w:type="dxa"/>
          </w:tcPr>
          <w:p w14:paraId="2BA960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два полета на определение границ высотности мотора и определение наивыгоднейшей точки переключения скоростей</w:t>
            </w:r>
          </w:p>
        </w:tc>
      </w:tr>
      <w:tr w:rsidR="007D5DF8" w:rsidRPr="00DB5D0D" w14:paraId="143C5EA6" w14:textId="77777777" w:rsidTr="009223E5">
        <w:tc>
          <w:tcPr>
            <w:tcW w:w="1809" w:type="dxa"/>
          </w:tcPr>
          <w:p w14:paraId="0626B4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апреля 1940 года</w:t>
            </w:r>
          </w:p>
        </w:tc>
        <w:tc>
          <w:tcPr>
            <w:tcW w:w="8789" w:type="dxa"/>
          </w:tcPr>
          <w:p w14:paraId="15EF31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один полет на определение границ высотности мотора</w:t>
            </w:r>
          </w:p>
        </w:tc>
      </w:tr>
      <w:tr w:rsidR="007D5DF8" w:rsidRPr="00DB5D0D" w14:paraId="38849268" w14:textId="77777777" w:rsidTr="009223E5">
        <w:tc>
          <w:tcPr>
            <w:tcW w:w="1809" w:type="dxa"/>
          </w:tcPr>
          <w:p w14:paraId="6B07C3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года</w:t>
            </w:r>
          </w:p>
        </w:tc>
        <w:tc>
          <w:tcPr>
            <w:tcW w:w="8789" w:type="dxa"/>
          </w:tcPr>
          <w:p w14:paraId="23D4DF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2 полета на скороподъемность и десять полетов на замер взлетно-посадочных свойств</w:t>
            </w:r>
          </w:p>
        </w:tc>
      </w:tr>
      <w:tr w:rsidR="007D5DF8" w:rsidRPr="00DB5D0D" w14:paraId="288FD552" w14:textId="77777777" w:rsidTr="009223E5">
        <w:tc>
          <w:tcPr>
            <w:tcW w:w="1809" w:type="dxa"/>
          </w:tcPr>
          <w:p w14:paraId="50F16D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w:t>
            </w:r>
          </w:p>
        </w:tc>
        <w:tc>
          <w:tcPr>
            <w:tcW w:w="8789" w:type="dxa"/>
          </w:tcPr>
          <w:p w14:paraId="5904CF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2 полета на маневренность</w:t>
            </w:r>
          </w:p>
        </w:tc>
      </w:tr>
      <w:tr w:rsidR="007D5DF8" w:rsidRPr="00DB5D0D" w14:paraId="22FC3D45" w14:textId="77777777" w:rsidTr="009223E5">
        <w:tc>
          <w:tcPr>
            <w:tcW w:w="1809" w:type="dxa"/>
          </w:tcPr>
          <w:p w14:paraId="30F763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w:t>
            </w:r>
          </w:p>
        </w:tc>
        <w:tc>
          <w:tcPr>
            <w:tcW w:w="8789" w:type="dxa"/>
          </w:tcPr>
          <w:p w14:paraId="1DA020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 один полет на скороподъемность</w:t>
            </w:r>
          </w:p>
        </w:tc>
      </w:tr>
      <w:tr w:rsidR="007D5DF8" w:rsidRPr="00DB5D0D" w14:paraId="4B60E3F8" w14:textId="77777777" w:rsidTr="009223E5">
        <w:tc>
          <w:tcPr>
            <w:tcW w:w="1809" w:type="dxa"/>
          </w:tcPr>
          <w:p w14:paraId="41C73F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w:t>
            </w:r>
          </w:p>
        </w:tc>
        <w:tc>
          <w:tcPr>
            <w:tcW w:w="8789" w:type="dxa"/>
          </w:tcPr>
          <w:p w14:paraId="13EB77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2 полета на скороподъемность до Н=5000 м</w:t>
            </w:r>
          </w:p>
        </w:tc>
      </w:tr>
      <w:tr w:rsidR="007D5DF8" w:rsidRPr="00DB5D0D" w14:paraId="0A03E041" w14:textId="77777777" w:rsidTr="009223E5">
        <w:tc>
          <w:tcPr>
            <w:tcW w:w="1809" w:type="dxa"/>
          </w:tcPr>
          <w:p w14:paraId="5F1686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года</w:t>
            </w:r>
          </w:p>
        </w:tc>
        <w:tc>
          <w:tcPr>
            <w:tcW w:w="8789" w:type="dxa"/>
          </w:tcPr>
          <w:p w14:paraId="7E3D20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 один полет на километраж и один полет на сопровождение самолета И-16 М-63 и засечка фигур</w:t>
            </w:r>
          </w:p>
        </w:tc>
      </w:tr>
      <w:tr w:rsidR="007D5DF8" w:rsidRPr="00DB5D0D" w14:paraId="4248FD60" w14:textId="77777777" w:rsidTr="009223E5">
        <w:tc>
          <w:tcPr>
            <w:tcW w:w="1809" w:type="dxa"/>
            <w:tcBorders>
              <w:bottom w:val="single" w:sz="12" w:space="0" w:color="auto"/>
            </w:tcBorders>
          </w:tcPr>
          <w:p w14:paraId="51BEDA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8789" w:type="dxa"/>
            <w:tcBorders>
              <w:bottom w:val="single" w:sz="12" w:space="0" w:color="auto"/>
            </w:tcBorders>
          </w:tcPr>
          <w:p w14:paraId="21CCA0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до потолка</w:t>
            </w:r>
          </w:p>
        </w:tc>
      </w:tr>
    </w:tbl>
    <w:p w14:paraId="052D22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(4431).</w:t>
      </w:r>
    </w:p>
    <w:p w14:paraId="2F85953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BAD3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 Начальник НИП АВ ВВС полковник Шевченко и Военком НИП АВ ВВС ст. политрук Ангенов 21 июня 1940 года утвердил Отчет по полигонным испытаниям подвесной кассеты на самолете И-153 "Ш" конструкции завода № 1</w:t>
      </w:r>
    </w:p>
    <w:p w14:paraId="445836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начато 10 мая 1940 года</w:t>
      </w:r>
    </w:p>
    <w:p w14:paraId="07352F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окончено 25 мая 1940 года</w:t>
      </w:r>
    </w:p>
    <w:p w14:paraId="1E75FA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2F241F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Ефимов</w:t>
      </w:r>
    </w:p>
    <w:p w14:paraId="17E6FF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3D2B40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Безотказность работы кассеты при сбрасывании бомб и прочность ее в воздухе.</w:t>
      </w:r>
    </w:p>
    <w:p w14:paraId="1550DCB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Удобство эксплуатации кассеты и загрузки ее бомбами.</w:t>
      </w:r>
    </w:p>
    <w:p w14:paraId="5A2F209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загружаемых бомб и варианты бомбовых загрузок.</w:t>
      </w:r>
    </w:p>
    <w:p w14:paraId="5D02BDE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рассеивания АБ при бомбометании из кассет.</w:t>
      </w:r>
    </w:p>
    <w:p w14:paraId="4D3B96A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Целесообразность применения подобного типа кассет на самолетах И-153 "Ш".</w:t>
      </w:r>
    </w:p>
    <w:p w14:paraId="020FD2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40B2AB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Подвесная кассета для самолета И-153 завода № 1 по безотказности действия и по рассеиванию бомб при бомбометании по площадям испытание выдержала (7403).</w:t>
      </w:r>
    </w:p>
    <w:p w14:paraId="2B7209B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50EAB5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в ходе гос. испытаний И-301 М-105 П, которые проводились в НИИ ВВС с 14 по 27 июня 1940 л Супруном и П.М.Стефановским из-за нелетной погоды было проведено фотографирование самолета и обмер, а Супрун выполнил пробные полеты (2922).</w:t>
      </w:r>
    </w:p>
    <w:p w14:paraId="572F8C5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277A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был готов УТИ-26-1, но по ослабленным по сравнению с постановлением правительства (от 4 марта 1940) ТТТ (198,36).</w:t>
      </w:r>
    </w:p>
    <w:p w14:paraId="43A500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 отметить, что ПП чаще всего лишь формально закрепляло начатую нужную работу или фиксировало ранее согласованное направление работ (65,25).</w:t>
      </w:r>
    </w:p>
    <w:p w14:paraId="2C08F75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04AF7F" w14:textId="77777777" w:rsidR="00BE6B59" w:rsidRPr="00DB5D0D" w:rsidRDefault="00BE6B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17 июня</w:t>
      </w:r>
      <w:r w:rsidRPr="00DB5D0D">
        <w:rPr>
          <w:rFonts w:ascii="Times New Roman" w:hAnsi="Times New Roman"/>
          <w:color w:val="000000" w:themeColor="text1"/>
          <w:sz w:val="16"/>
          <w:szCs w:val="16"/>
        </w:rPr>
        <w:t xml:space="preserve"> в 1940 году в соответствии с Постановлением Правительства от 4 марта 1940 года, завершено проектирование и постройка учебно-тренировочного истребителя </w:t>
      </w:r>
      <w:hyperlink r:id="rId128" w:tgtFrame="_blank" w:history="1">
        <w:r w:rsidRPr="00DB5D0D">
          <w:rPr>
            <w:rFonts w:ascii="Times New Roman" w:hAnsi="Times New Roman"/>
            <w:color w:val="000000" w:themeColor="text1"/>
            <w:sz w:val="16"/>
            <w:szCs w:val="16"/>
          </w:rPr>
          <w:t xml:space="preserve">«УТИ-26-1». </w:t>
        </w:r>
      </w:hyperlink>
      <w:r w:rsidRPr="00DB5D0D">
        <w:rPr>
          <w:rFonts w:ascii="Times New Roman" w:hAnsi="Times New Roman"/>
          <w:color w:val="000000" w:themeColor="text1"/>
          <w:sz w:val="16"/>
          <w:szCs w:val="16"/>
        </w:rPr>
        <w:t>«УТИ-26-1» являлся учебно-тренировочным истребителем и предназначался для тренировки и вывозки летчиков при переходе их на скоростные истребители (14925).</w:t>
      </w:r>
    </w:p>
    <w:p w14:paraId="21CD8982" w14:textId="77777777" w:rsidR="00BE6B59" w:rsidRPr="00DB5D0D" w:rsidRDefault="00BE6B59" w:rsidP="00DB5D0D">
      <w:pPr>
        <w:spacing w:after="0" w:line="240" w:lineRule="auto"/>
        <w:jc w:val="both"/>
        <w:rPr>
          <w:rFonts w:ascii="Times New Roman" w:hAnsi="Times New Roman"/>
          <w:color w:val="000000" w:themeColor="text1"/>
          <w:sz w:val="16"/>
          <w:szCs w:val="16"/>
        </w:rPr>
      </w:pPr>
    </w:p>
    <w:p w14:paraId="652109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перелет в Реблицы (ЛВО) для сбрасывания десанта (2923).</w:t>
      </w:r>
    </w:p>
    <w:p w14:paraId="3F682D1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A9615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17-18 июня 1940 в ходе войсковых испытаний с ПС-84К проводилось десантирование бой</w:t>
      </w:r>
      <w:r w:rsidRPr="00DB5D0D">
        <w:rPr>
          <w:rFonts w:ascii="Times New Roman" w:hAnsi="Times New Roman"/>
          <w:color w:val="000000" w:themeColor="text1"/>
          <w:sz w:val="16"/>
          <w:szCs w:val="16"/>
        </w:rPr>
        <w:softHyphen/>
        <w:t>цов 201-й вдб на аэродроме Рельбицы под Ленинградом. Бойцы по</w:t>
      </w:r>
      <w:r w:rsidRPr="00DB5D0D">
        <w:rPr>
          <w:rFonts w:ascii="Times New Roman" w:hAnsi="Times New Roman"/>
          <w:color w:val="000000" w:themeColor="text1"/>
          <w:sz w:val="16"/>
          <w:szCs w:val="16"/>
        </w:rPr>
        <w:softHyphen/>
        <w:t>кидали самолет через обе двери -левую и правую; на все ушло 12-14 секунд. Посадка десанта занимала около полутора минут. В выводах отчета записано: «Самолет ПС-84К в десантном варианте значительно лучше самолета ТБ-3...». Из сохранившихся документов следует, что ПС-84К планировали строить специально для ВВС (как с вооружением, так и без) или же пе</w:t>
      </w:r>
      <w:r w:rsidRPr="00DB5D0D">
        <w:rPr>
          <w:rFonts w:ascii="Times New Roman" w:hAnsi="Times New Roman"/>
          <w:color w:val="000000" w:themeColor="text1"/>
          <w:sz w:val="16"/>
          <w:szCs w:val="16"/>
        </w:rPr>
        <w:softHyphen/>
        <w:t>реоборудовать в них при необходи</w:t>
      </w:r>
      <w:r w:rsidRPr="00DB5D0D">
        <w:rPr>
          <w:rFonts w:ascii="Times New Roman" w:hAnsi="Times New Roman"/>
          <w:color w:val="000000" w:themeColor="text1"/>
          <w:sz w:val="16"/>
          <w:szCs w:val="16"/>
        </w:rPr>
        <w:softHyphen/>
        <w:t>мости обычные пассажирские ма</w:t>
      </w:r>
      <w:r w:rsidRPr="00DB5D0D">
        <w:rPr>
          <w:rFonts w:ascii="Times New Roman" w:hAnsi="Times New Roman"/>
          <w:color w:val="000000" w:themeColor="text1"/>
          <w:sz w:val="16"/>
          <w:szCs w:val="16"/>
        </w:rPr>
        <w:softHyphen/>
        <w:t>шины, заранее предусмотрев такую возможность. Начальник НИИ ВВС А.И. Филин в июле 1940 г. писал: «Все самолеты ПС-84 следует строить со всеми изменениями, необходимыми для переоборудования их в военные о 3 варианты...». Но реально измене</w:t>
      </w:r>
      <w:r w:rsidRPr="00DB5D0D">
        <w:rPr>
          <w:rFonts w:ascii="Times New Roman" w:hAnsi="Times New Roman"/>
          <w:color w:val="000000" w:themeColor="text1"/>
          <w:sz w:val="16"/>
          <w:szCs w:val="16"/>
        </w:rPr>
        <w:softHyphen/>
        <w:t>ния, свойственные модификации «К», внедрили на серийных ПС-84 уже после начала Великой Отече</w:t>
      </w:r>
      <w:r w:rsidRPr="00DB5D0D">
        <w:rPr>
          <w:rFonts w:ascii="Times New Roman" w:hAnsi="Times New Roman"/>
          <w:color w:val="000000" w:themeColor="text1"/>
          <w:sz w:val="16"/>
          <w:szCs w:val="16"/>
        </w:rPr>
        <w:softHyphen/>
        <w:t>ственной войны (10690).</w:t>
      </w:r>
    </w:p>
    <w:p w14:paraId="0AD438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A794C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17-18 июня 1940 в ходе войсковых испытаний с ПС-84 проводили десантирование 201-й воздушной бригады на аэродром Рельбыцы под Ленинградом. Покидали через обе двери - левую и правую за 12-14 сек. Посадка десанта занимала около 1ю5 минут. В выводах отмечено: “Самолет ПС-84-К в десантном варианте значительно лучше самолета ТБ-3...” (4141,19).</w:t>
      </w:r>
    </w:p>
    <w:p w14:paraId="6A6C81E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FBFC0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17-19 июня 1940 г. Сухомлин и бортинженер Иван Козыркин на МТБ-2Д4М-87 в варианте амфибии установили следующие международные рекорды:</w:t>
      </w:r>
    </w:p>
    <w:p w14:paraId="5A5BE7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Высоты - 7134 м с грузом 1000 кг;</w:t>
      </w:r>
    </w:p>
    <w:p w14:paraId="12C0A2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Высоты - 6284 м с грузом 2000 кг;</w:t>
      </w:r>
    </w:p>
    <w:p w14:paraId="0332A3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Высоты - 5219 м с грузом 5000 кг.</w:t>
      </w:r>
    </w:p>
    <w:p w14:paraId="48B88B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сентября и 7 октября 1940 г. экипаж Су хомлина, в составе которого находились бортинженер Козыркин, штурман Г.Ивановский, борттехник А. Фатахутдинов, установил рекорды скорости на дистанции 1000 км - 277,4 км/ч с грузом 1000 кг и 241.9 км/ч с грузом 2000 кг. Известно, что эти достижения были утверждены в качестве национальных рекордов, с последующим ходатайством об утверждении их в качестве международных достижений (11962).</w:t>
      </w:r>
    </w:p>
    <w:p w14:paraId="6AC9811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6AD5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вышел приказ НКАП N 300cc "Для улучшения работы опытных конструкторских бюро научно-исследовательских институтов и стимулирования выпуска новых скоростных самолетов, 11 июня ЦК ВКП(б) и СНК СССР принято решение, намечающее целый ряд мероприятий по развитию научно-исследовательских и опытных работ в авиации.</w:t>
      </w:r>
    </w:p>
    <w:p w14:paraId="50916B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исполнение решения ЦК ВКП(б) и СНК СССР от 11-го июня с.г. ПРИКАЗЫВАЮ:</w:t>
      </w:r>
    </w:p>
    <w:p w14:paraId="75CC95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 ОПЫТНЫМ РАБОТАМ</w:t>
      </w:r>
    </w:p>
    <w:p w14:paraId="4491FC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Главным конструкторам опытных заводов и бюро присвоить степени в зависимости от квалификации и опыта работы:</w:t>
      </w:r>
    </w:p>
    <w:p w14:paraId="2F82DA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Первую степень - главным конструкторам, имеющим в серии два самолета (мотора) своей конструкции.</w:t>
      </w:r>
    </w:p>
    <w:p w14:paraId="4A0B0F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Вторую степень - главным конструкторам, имеющим в серии один самолет (мотор) своей конструкции.</w:t>
      </w:r>
    </w:p>
    <w:p w14:paraId="256D3B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Третью степень - остальным, не имеющим в серии самолета (мотора) своей конструкции.</w:t>
      </w:r>
    </w:p>
    <w:p w14:paraId="6A8D94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следующие оклады работникам ОКБ..."</w:t>
      </w:r>
    </w:p>
    <w:p w14:paraId="549131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следующие оклады работникам опытных-конструкторских бюро:</w:t>
      </w:r>
    </w:p>
    <w:p w14:paraId="611346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Главным конструкторам первой степени</w:t>
      </w:r>
      <w:r w:rsidRPr="00DB5D0D">
        <w:rPr>
          <w:rFonts w:ascii="Times New Roman" w:hAnsi="Times New Roman"/>
          <w:color w:val="000000" w:themeColor="text1"/>
          <w:sz w:val="16"/>
          <w:szCs w:val="16"/>
        </w:rPr>
        <w:tab/>
        <w:t>4.000 рублей</w:t>
      </w:r>
    </w:p>
    <w:p w14:paraId="3B9469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Главным конструкторам второй степени</w:t>
      </w:r>
      <w:r w:rsidRPr="00DB5D0D">
        <w:rPr>
          <w:rFonts w:ascii="Times New Roman" w:hAnsi="Times New Roman"/>
          <w:color w:val="000000" w:themeColor="text1"/>
          <w:sz w:val="16"/>
          <w:szCs w:val="16"/>
        </w:rPr>
        <w:tab/>
        <w:t>3.600 рублей</w:t>
      </w:r>
    </w:p>
    <w:p w14:paraId="47A531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Главным конструкторам третьей степени</w:t>
      </w:r>
      <w:r w:rsidRPr="00DB5D0D">
        <w:rPr>
          <w:rFonts w:ascii="Times New Roman" w:hAnsi="Times New Roman"/>
          <w:color w:val="000000" w:themeColor="text1"/>
          <w:sz w:val="16"/>
          <w:szCs w:val="16"/>
        </w:rPr>
        <w:tab/>
        <w:t>2.000 рублей.</w:t>
      </w:r>
    </w:p>
    <w:p w14:paraId="276A2B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Заместителям главных конструкторов установить оклад размере 80% от оклада главных конструкторов.</w:t>
      </w:r>
    </w:p>
    <w:p w14:paraId="2F1DAD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Ведущим конструкторам установить оклад в размере 500 рублей</w:t>
      </w:r>
    </w:p>
    <w:p w14:paraId="208C99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Рядовым конструкторам поднять оклады по сравнению существующим тарифным справочником на 20 %.</w:t>
      </w:r>
    </w:p>
    <w:p w14:paraId="4CEA1C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Для представления кандидатур главных конструкторов на присвоение степени и своевременного перевода в дальнейшем из степени в степеь, назначить постоянную комиссию под предедательством заместителя Наркома тов. Кузнецова А.И. в составе членов: заместителя Наркома тов.Кузнецова В.П., заместителя Наркома тов. Яковлева А.С. и Начальника ЦАГИ тов. Петрова И.Ф.</w:t>
      </w:r>
    </w:p>
    <w:p w14:paraId="4C6528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Комиссии в декадный срок закончить рассмотрение канди</w:t>
      </w:r>
      <w:r w:rsidRPr="00DB5D0D">
        <w:rPr>
          <w:rFonts w:ascii="Times New Roman" w:hAnsi="Times New Roman"/>
          <w:color w:val="000000" w:themeColor="text1"/>
          <w:sz w:val="16"/>
          <w:szCs w:val="16"/>
        </w:rPr>
        <w:softHyphen/>
        <w:t>датур и представить мне протокол по присвоению степеней на утверждение.</w:t>
      </w:r>
    </w:p>
    <w:p w14:paraId="5FBDBC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 целью поднятия значения и технического авторитета главных конструкторов авиационной промышленности, рассмотреть Кандидатуры и представить к присуждению ученых степеней доктора и кандидата технических наук без защиты диссертации, конструкторов, давших наиболее ценные работы по увеличению боеспособности воздушного флота СССР.</w:t>
      </w:r>
    </w:p>
    <w:p w14:paraId="0D07CF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рассмотрения кандидатур утвердить комиссию под председательством моего заместителя тов. Кузнецова А.И. в составе академика Чаплыгина С.Д., доктора технических паук Юрьева Б. Н., генерол-майора авиации Петрова И.Ф. и профессора Политковского В.И.</w:t>
      </w:r>
    </w:p>
    <w:p w14:paraId="7FB479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Комиссии закончить работу в декадный срок и представить мне на утверждение для направления в Комитет по Делам Выс</w:t>
      </w:r>
      <w:r w:rsidRPr="00DB5D0D">
        <w:rPr>
          <w:rFonts w:ascii="Times New Roman" w:hAnsi="Times New Roman"/>
          <w:color w:val="000000" w:themeColor="text1"/>
          <w:sz w:val="16"/>
          <w:szCs w:val="16"/>
        </w:rPr>
        <w:softHyphen/>
        <w:t>шей Школы все необходимые материалы по каждой кандидатуре.</w:t>
      </w:r>
    </w:p>
    <w:p w14:paraId="499798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Выделить спец. средства конструкторским бюро опытных серийных заводов для инициативных внеплановых работ в размере:</w:t>
      </w:r>
    </w:p>
    <w:p w14:paraId="57B75C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конструкторам первой степени </w:t>
      </w:r>
      <w:r w:rsidRPr="00DB5D0D">
        <w:rPr>
          <w:rFonts w:ascii="Times New Roman" w:hAnsi="Times New Roman"/>
          <w:color w:val="000000" w:themeColor="text1"/>
          <w:sz w:val="16"/>
          <w:szCs w:val="16"/>
        </w:rPr>
        <w:tab/>
        <w:t>500.000 рублей в год</w:t>
      </w:r>
    </w:p>
    <w:p w14:paraId="307226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конструкторам второй степени</w:t>
      </w:r>
      <w:r w:rsidRPr="00DB5D0D">
        <w:rPr>
          <w:rFonts w:ascii="Times New Roman" w:hAnsi="Times New Roman"/>
          <w:color w:val="000000" w:themeColor="text1"/>
          <w:sz w:val="16"/>
          <w:szCs w:val="16"/>
        </w:rPr>
        <w:tab/>
        <w:t>300.000 рублей в год</w:t>
      </w:r>
    </w:p>
    <w:p w14:paraId="263A3B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последующим отчетом перед НКАП в израсходовании этих сумм в конце года.</w:t>
      </w:r>
    </w:p>
    <w:p w14:paraId="23125D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Моему заместителю тов. Яковлеву А.С. в днухнедельный срок представить мне мероприятия по реализации дополнительно выделенных средств на строительство, расширение и ремонт производственных зданий и создание новых лаборатории для опытных заводов, опытно-конструкторских бюро и научно-исследоватсльских институтов.</w:t>
      </w:r>
    </w:p>
    <w:p w14:paraId="12AC59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Обязать директоров заводов из вновь вступающей в эксплоатацию в 1940-1941 годах жилплощади 10% ее выделять в распоряжение главных конструкторов для распределения между работниками опытных конструкторских бюро и опытных цехов.</w:t>
      </w:r>
    </w:p>
    <w:p w14:paraId="78EC8C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Управляющему делами НКАП тов. Соловьеву передать из гаража Наркомата конструкторским бюро 30 легковых машин из числа, подлежащих сдаче Наркомату Автотранспорта РСФСР по списку, утвержденному моим заместителем тов. Яковлевым А.С. (405,87).</w:t>
      </w:r>
    </w:p>
    <w:p w14:paraId="25C90E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4310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И.М.Сухомлин в рамках 4 рекордных полетов совершил два полета на АНТ-44бис и достиг высоты 6284 м с контрольной нагрузки 2000 кг и 5219 м с 5000 кг (4,139).</w:t>
      </w:r>
    </w:p>
    <w:p w14:paraId="00D6383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3662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И.М.Сухомлин в рамках 4 рекордных полетов достиг на АНТ-44 бис высоты 7134 м без контрольной нагрузки (4,139).</w:t>
      </w:r>
    </w:p>
    <w:p w14:paraId="027A2D3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267AC8" w14:textId="77777777" w:rsidR="00BE6B59" w:rsidRPr="00DB5D0D" w:rsidRDefault="00BE6B59"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17 июня</w:t>
      </w:r>
      <w:r w:rsidRPr="00DB5D0D">
        <w:rPr>
          <w:rFonts w:ascii="Times New Roman" w:hAnsi="Times New Roman"/>
          <w:color w:val="000000" w:themeColor="text1"/>
          <w:sz w:val="16"/>
          <w:szCs w:val="16"/>
        </w:rPr>
        <w:t xml:space="preserve"> в 1940 году мировой рекорд высоты (7134 м) с грузом 1 т для самолетов-амфибий, экипаж И.М. Сухомлина на </w:t>
      </w:r>
      <w:hyperlink r:id="rId129" w:tgtFrame="_blank" w:history="1">
        <w:r w:rsidRPr="00DB5D0D">
          <w:rPr>
            <w:rFonts w:ascii="Times New Roman" w:hAnsi="Times New Roman"/>
            <w:color w:val="000000" w:themeColor="text1"/>
            <w:sz w:val="16"/>
            <w:szCs w:val="16"/>
          </w:rPr>
          <w:t>«АНТ-44Д» (14925).</w:t>
        </w:r>
      </w:hyperlink>
    </w:p>
    <w:p w14:paraId="7340FEEB" w14:textId="77777777" w:rsidR="00BE6B59" w:rsidRPr="00DB5D0D" w:rsidRDefault="00BE6B59" w:rsidP="00DB5D0D">
      <w:pPr>
        <w:spacing w:after="0" w:line="240" w:lineRule="auto"/>
        <w:jc w:val="both"/>
        <w:rPr>
          <w:rFonts w:ascii="Times New Roman" w:hAnsi="Times New Roman"/>
          <w:bCs/>
          <w:color w:val="000000" w:themeColor="text1"/>
          <w:sz w:val="16"/>
          <w:szCs w:val="16"/>
        </w:rPr>
      </w:pPr>
    </w:p>
    <w:p w14:paraId="1F8075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 приказом Народного Комиссара авиационной промышленности т. Шахурина № 17 во исполнение Постановлению правительства № 8сс от 04.01.1940 г. с января 1940 г. на заводе № 16 началась подготовка к серийному производству боевого мотора М-105 (12049).</w:t>
      </w:r>
    </w:p>
    <w:p w14:paraId="1E2EFFC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C1678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 было письмо замначальника ЦАГИ Шумовского начальнику НИИ ГУАС КА генерал-майору Филину А.И. по вопросу о размножении стенограммы доклада последнего «Основы безопасности полета», сделанного в ЦАГИ 16 декабря 1939 года в связи с тем, что он представляет большой интерес для всех подразделений ЦАГИ. Шумовский просил разрешения на размножение стенограммы в 12 – 15 экземплярах.</w:t>
      </w:r>
    </w:p>
    <w:p w14:paraId="5523AF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также сообщить, рассылалась ли Вами эта стенограмма главным конструкторам заводов НКАП. В случае если стенограмма им не рассылалась, прошу Вашего согласия на дополнительное размножение ее и рассылку нашим заводам» (Самарский филиал РГАНТД. Ф. Р-217. Оп. 1-6. Д. 19. Л. 8.) (11672).</w:t>
      </w:r>
    </w:p>
    <w:p w14:paraId="54FE5F6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268130"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 17 июня 1940 г. Приказом Народного комиссара обороны СССР УИДАЗ переименовали в ОИВД АН и АЗ Красной армии. В нём возоб</w:t>
      </w:r>
      <w:r w:rsidRPr="00DB5D0D">
        <w:rPr>
          <w:rFonts w:ascii="Times New Roman" w:hAnsi="Times New Roman"/>
          <w:color w:val="0070C0"/>
          <w:sz w:val="16"/>
          <w:szCs w:val="16"/>
        </w:rPr>
        <w:softHyphen/>
        <w:t>новили испытания аэростатов различного на</w:t>
      </w:r>
      <w:r w:rsidRPr="00DB5D0D">
        <w:rPr>
          <w:rFonts w:ascii="Times New Roman" w:hAnsi="Times New Roman"/>
          <w:color w:val="0070C0"/>
          <w:sz w:val="16"/>
          <w:szCs w:val="16"/>
        </w:rPr>
        <w:softHyphen/>
        <w:t>значения, наземного оборудования и устройств, упрощающих эксплуатацию воздухоплаватель</w:t>
      </w:r>
      <w:r w:rsidRPr="00DB5D0D">
        <w:rPr>
          <w:rFonts w:ascii="Times New Roman" w:hAnsi="Times New Roman"/>
          <w:color w:val="0070C0"/>
          <w:sz w:val="16"/>
          <w:szCs w:val="16"/>
        </w:rPr>
        <w:softHyphen/>
        <w:t>ной техники.</w:t>
      </w:r>
    </w:p>
    <w:p w14:paraId="5536FF94"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Один из отрядов аэростатов во время ввода сил Красной Армии в Бессарабию и Северную Буковину 28-30 июня 1940 г. перебросили на ав</w:t>
      </w:r>
      <w:r w:rsidRPr="00DB5D0D">
        <w:rPr>
          <w:rFonts w:ascii="Times New Roman" w:hAnsi="Times New Roman"/>
          <w:color w:val="0070C0"/>
          <w:sz w:val="16"/>
          <w:szCs w:val="16"/>
        </w:rPr>
        <w:softHyphen/>
        <w:t>томобилях к Измаилу. В сентябре 1940 г. отряд вернулся в распоряжение Ленинградского воен</w:t>
      </w:r>
      <w:r w:rsidRPr="00DB5D0D">
        <w:rPr>
          <w:rFonts w:ascii="Times New Roman" w:hAnsi="Times New Roman"/>
          <w:color w:val="0070C0"/>
          <w:sz w:val="16"/>
          <w:szCs w:val="16"/>
        </w:rPr>
        <w:softHyphen/>
        <w:t>ного округа (20120).</w:t>
      </w:r>
    </w:p>
    <w:p w14:paraId="39F7B565" w14:textId="77777777" w:rsidR="004D550C" w:rsidRPr="00DB5D0D" w:rsidRDefault="004D550C" w:rsidP="00DB5D0D">
      <w:pPr>
        <w:spacing w:after="0" w:line="240" w:lineRule="auto"/>
        <w:jc w:val="both"/>
        <w:rPr>
          <w:rFonts w:ascii="Times New Roman" w:hAnsi="Times New Roman"/>
          <w:color w:val="0070C0"/>
          <w:sz w:val="16"/>
          <w:szCs w:val="16"/>
        </w:rPr>
      </w:pPr>
    </w:p>
    <w:p w14:paraId="3D9E032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1EBACC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94F7427" w14:textId="77777777" w:rsidR="00BE6B59" w:rsidRPr="00DB5D0D" w:rsidRDefault="00BE6B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17 июня</w:t>
      </w:r>
      <w:r w:rsidRPr="00DB5D0D">
        <w:rPr>
          <w:rFonts w:ascii="Times New Roman" w:hAnsi="Times New Roman"/>
          <w:color w:val="000000" w:themeColor="text1"/>
          <w:sz w:val="16"/>
          <w:szCs w:val="16"/>
        </w:rPr>
        <w:t xml:space="preserve"> в 1940 году нижнетагильский коксохимический завод выдал первые тонны кокса (ныне ОАО «Коксохим», коксохимическое производство ОАО «Нижнетагильский металлургический комбинат») (14925).</w:t>
      </w:r>
    </w:p>
    <w:p w14:paraId="7827E8BC" w14:textId="77777777" w:rsidR="00BE6B59" w:rsidRPr="00DB5D0D" w:rsidRDefault="00BE6B59" w:rsidP="00DB5D0D">
      <w:pPr>
        <w:spacing w:after="0" w:line="240" w:lineRule="auto"/>
        <w:jc w:val="both"/>
        <w:rPr>
          <w:rFonts w:ascii="Times New Roman" w:hAnsi="Times New Roman"/>
          <w:color w:val="000000" w:themeColor="text1"/>
          <w:sz w:val="16"/>
          <w:szCs w:val="16"/>
        </w:rPr>
      </w:pPr>
    </w:p>
    <w:p w14:paraId="2E187C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АУ ГАУ утвердил эскизный проект 450 мм гаубицы Бр-23 (3416,32).</w:t>
      </w:r>
    </w:p>
    <w:p w14:paraId="7C5F570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9B96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 АУ ГАУ был утвержден разработанный Заводом № 221 эскизный проект 450-мм гаубицы Бр-23 (3861).</w:t>
      </w:r>
    </w:p>
    <w:p w14:paraId="1BD9E0A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8D0B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 вышел отчет АНИОПа по испытаниям опытного образца 203-мм гаубицы М-40, в котором было сказано, что М-40 полигонные испытания не выдержала. Основным недостатком голубицы была признана невозможность стрельбы с грунта требовалась деревянная платформа под колеса и деревянные опорные брусья. Кучность стрельбы у М-40 на полном заряде оказалась не хуже кучности гаубицы Б-4 на 5-м заряде. Максимальная толщина железобетонной плиты, пробиваемой 100-кг снарядом у М-40 была 1 метр, а у Б-4 на полном заряде 1,21,3 м. Обнаружился и общий недостаток гаубиц М-40 и У-3 неудовлетворительная кучность стрельбы при углах возвышения свыше 70. В ряде случаев снаряды имели боковое отклонение до 1,5 км. Причина этого была легко устранена конструкторами. Дело в том, что по распоряжению АУ во всех нарезных гаубицах (М-40, У-3 и БЛ-39) нарезка делалась по типу Б-4, и крутизна нарезов была 20 клб. При такой нарезке кучность стрельбы при углах возвышения до +60 (максимальный угол возвышения у Б-4) была удовлетворительной, а при больших углах требовалась более пологая нарезка (3861).</w:t>
      </w:r>
    </w:p>
    <w:p w14:paraId="0DF02F3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E3E898" w14:textId="77777777" w:rsidR="004D550C" w:rsidRPr="00DB5D0D" w:rsidRDefault="004D550C"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17 июня 1940 года эскизный проект БР-23 рассмотрел заказчик в лице Арткома КА и утвердил работу по техническому проекту. Изначально крутизна нарезов ствола орудия составляла 20 калибров, в ходе утверждения ее увеличили до 25 калибров. Одновременно НИИ-24 получил задание на разработку снарядов к БР-23. В октябре 1940 года завод №221 подготовил технический проект орудия, также был изготовлен макет боеприпаса в натуральную величину, и макеты самой системы. 26 октября 1940 года Артиллерийский Комитет ГАУ КА технический проект утвердил, далее завод №221 получил одобрение на изготовление рабочих чертежей орудия (20880).</w:t>
      </w:r>
    </w:p>
    <w:p w14:paraId="6E5ED02E" w14:textId="77777777" w:rsidR="004D550C" w:rsidRPr="00DB5D0D" w:rsidRDefault="004D550C" w:rsidP="00DB5D0D">
      <w:pPr>
        <w:pStyle w:val="article-renderblock"/>
        <w:shd w:val="clear" w:color="auto" w:fill="FFFFFF"/>
        <w:spacing w:before="0" w:beforeAutospacing="0" w:after="0" w:afterAutospacing="0"/>
        <w:jc w:val="both"/>
        <w:rPr>
          <w:color w:val="0070C0"/>
          <w:sz w:val="16"/>
          <w:szCs w:val="16"/>
        </w:rPr>
      </w:pPr>
    </w:p>
    <w:p w14:paraId="524FA5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 июня 1940 г. Распоряжением КО была создана комиссия по проверке ПТРР и ПТРВ под председательством начальника УСВ Склизкова. Повторные полигонные испытания были проведены с 26 июня по 2 июля. ПТРВ изготовили для испытаний по чертежам опытного образца, а ружье конкурента взяли из серии в 50 единиц с завода №2. В ходе испытаний у ПТРВ выявили недопустимо большую отдачу, сильно утомлявшую стрелка. Отсутствие приклада также признали неудобным. ПТРР при стрельбе засыпало стрелка песком, пылью, мелкой травой и обдавало горячими газами, что сильно затрудняло стрельбу. При принятии на вооружение ПТРР в комплекте к нему был предусмотрен брезентовый чехол-подстилка для крепления к грунту под дульным тормозом (не трудно представить, как второй номер в бою </w:t>
      </w:r>
      <w:r w:rsidRPr="00DB5D0D">
        <w:rPr>
          <w:rFonts w:ascii="Times New Roman" w:hAnsi="Times New Roman"/>
          <w:color w:val="000000" w:themeColor="text1"/>
          <w:sz w:val="16"/>
          <w:szCs w:val="16"/>
        </w:rPr>
        <w:lastRenderedPageBreak/>
        <w:t xml:space="preserve">под огнем перемещает этот брезент при изменении направления стрельбы или смене огневой позиции!). ПТРР было чувствительно к запылению, при этом заклинивало его подвижную систему. У него было 70% задержек с сухими патронами заводского изготовления, а у ПТРВ - 17%. При стрельбе патронами, покрытыми слоями парафина и лака, ПТР работали лучше. Автоматика ружья не работала при упоре его в массивную неподвижную опору, а также совсем без упора, на весу. </w:t>
      </w:r>
    </w:p>
    <w:p w14:paraId="548532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итоге комиссия сделала вывод, что ружья испытания не выдержали и их необходимо доработать, прежде всего, для стрельбы нормальными, непарафинированными патронами, и устранить неэкстракцию гильз. Комиссия отметила хорошую живучесть деталей, особенно стволов, которая увеличилась в 1,5 раза по сравнению с предыдущими испытаниями. Отметили необходимость доработки и патрона. В конце протокола была фраза: «С актом комиссии ознакомлен и с выводами согласен» и стояли личные подписи Владимирова и Рукавишникова. Через несколько недель, 26 июля 1940 г., КО принял постановление, гласившее: «ПТР 14,5 мм и боеприпасы к нему с вооружения снять и производство прекратить» (12093).</w:t>
      </w:r>
    </w:p>
    <w:p w14:paraId="14EC1C9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11D85F" w14:textId="77777777" w:rsidR="00DF22B6" w:rsidRPr="00DB5D0D" w:rsidRDefault="00DF22B6"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17 июня 1940 г. Распоряжением КО была создана комиссия по проверке ПТРР и ПТРВ под председательством начальника УСВ Склизкова. Повторные полигонные испытания были проведены с 26 июня по 2 июля. ПТРВ изготовили для испытаний по чертежам опытного образца, а ружье конкурента взяли из серии в 50 единиц с завода №2. В ходе испытаний у ПТРВ выявили недопустимо большую отдачу, сильно утомлявшую стрелка. Отсутствие приклада также признали неудобным. ПТРР при стрельбе засыпало стрелка песком, пылью, мелкой травой и обдавало горячими газами, что сильно затрудняло стрельбу. При принятии на вооружение ПТРР в комплекте к нему был предусмотрен брезентовый чехол-подстилка для крепления к грунту под дульным тормозом (не трудно представить, как второй номер в бою под огнем перемещает этот брезент при изменении направления стрельбы или смене огневой позиции!). ПТРР было чувствительно к запылению, при этом заклинивало его подвижную систему. У него было 70% задержек с сухими патронами заводского изготовления, а у ПТРВ – 17%. При стрельбе патронами, покрытыми слоями парафина и лака, ПТР работали лучше. Автоматика ружья не работала при упоре его в массивную неподвижную опору, а также совсем без упора, на весу.</w:t>
      </w:r>
    </w:p>
    <w:p w14:paraId="64A69697" w14:textId="77777777" w:rsidR="00DF22B6" w:rsidRPr="00DB5D0D" w:rsidRDefault="00DF22B6"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итоге комиссия сделала вывод, что ружья испытания не выдержали и их необходимо доработать, прежде всего, для стрельбы нормальными, непарафинированными патронами, и устранить неэкстракцию гильз. Комиссия отметила хорошую живучесть деталей, особенно стволов, которая увеличилась в 1,5 раза по сравнению с предыдущими испытаниями, Отметили необходимость доработки и патрона. В конце протокола была фраза: «С актом комиссии ознакомлен и с выводами согласен» и стояли личные подписи Владимирова и Рукавишникова. Через несколько недель, 26 июля 1940 г., КО принял постановление, гласившее: «ПТР 14,5 мм и боеприпасы к нему с вооружения снять и производство прекратить» (17498).</w:t>
      </w:r>
    </w:p>
    <w:p w14:paraId="65EC1624" w14:textId="77777777" w:rsidR="00DF22B6" w:rsidRPr="00DB5D0D" w:rsidRDefault="00DF22B6" w:rsidP="00DB5D0D">
      <w:pPr>
        <w:spacing w:after="0" w:line="240" w:lineRule="auto"/>
        <w:jc w:val="both"/>
        <w:rPr>
          <w:rFonts w:ascii="Times New Roman" w:eastAsia="Times New Roman" w:hAnsi="Times New Roman"/>
          <w:color w:val="000000" w:themeColor="text1"/>
          <w:sz w:val="16"/>
          <w:szCs w:val="16"/>
          <w:lang w:eastAsia="ru-RU"/>
        </w:rPr>
      </w:pPr>
    </w:p>
    <w:p w14:paraId="2D1A4383"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 распоряжением КО от была создана комиссия по проверке ПТРР и ПТРВ под председательством начальника УСВ Склизкова. Повторные полигонные испытания были проведены с 26 июня по 2 июля. ПТРВ изготовили для испытаний по чертежам опытного образца, а ружье конкурента взяли из серии в 50 единиц с завода №2. В ходе испытаний у ПТРВ выявили недопустимо большую отдачу, сильно утомлявшую стрелка. Отсутствие приклада также признали неудобным. ПТРР при стрельбе засыпало стрелка песком, пылью, мелкой травой и обдавало горячими газами, что сильно затрудняло стрельбу. При принятии на вооружение ПТРР в комплекте к нему был предусмотрен брезентовый чехол-подстилка для крепления к грунту под дульным тормозом (не трудно представить, как второй номер в бою под огнем перемещает этот брезент при изменении направления стрельбы или смене огневой позиции!). ПТРР было чувствительно к запылению, при этом заклинивало его подвижную систему. У него было 70% задержек с сухими патронами заводского изготовления, а у ПТРВ — 17%. При стрельбе патронами, покрытыми слоями парафина и лака, ПТР работали лучше. Автоматика ружья не работала при упоре его в массивную неподвижную опору, а также совсем без упора, на весу.</w:t>
      </w:r>
    </w:p>
    <w:p w14:paraId="639CC9A9"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итоге комиссия сделала вывод, что ружья испытания не выдержали и их необходимо доработать, прежде всего, для стрельбы нормальными, непарафинированными патронами, и устранить неэкстракцию гильз. Комиссия отметила хорошую живучесть деталей, особенно стволов, которая увеличилась в 1,5 раза по сравнению с предыдущими испытаниями, Отметили необходимость доработки и патрона. В конце протокола была фраза: «С актом комиссии ознакомлен и с выводами согласен» и стояли личные подписи Владимирова и Рукавишникова. Через несколько недель, 26 июля 1940 г., КО принял постановление, гласившее: «ПТР 14,5 мм и боеприпасы к нему с вооружения снять и производство прекратить» (18638).</w:t>
      </w:r>
    </w:p>
    <w:p w14:paraId="10F146C4" w14:textId="77777777" w:rsidR="0071714A" w:rsidRPr="00DB5D0D" w:rsidRDefault="0071714A" w:rsidP="00DB5D0D">
      <w:pPr>
        <w:spacing w:after="0" w:line="240" w:lineRule="auto"/>
        <w:jc w:val="both"/>
        <w:rPr>
          <w:rFonts w:ascii="Times New Roman" w:hAnsi="Times New Roman"/>
          <w:color w:val="000000" w:themeColor="text1"/>
          <w:sz w:val="16"/>
          <w:szCs w:val="16"/>
        </w:rPr>
      </w:pPr>
    </w:p>
    <w:p w14:paraId="133496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вышло постановление Правительства, в соответствии с которым СКБ-2 ЛКЗ был разрабртан КВ-3 (Объект 150) (9527,173).</w:t>
      </w:r>
    </w:p>
    <w:p w14:paraId="636CA00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140E9D"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 июня 1940 было Письмо начальника специального технического бюро Наркомата тяжелого машиностроения СССР Н. А. Рудакова И. В. Сталину, председателю СНК СССР В. М. Молотову, председателю Комитета обороны при СНК СССР К. Е. Ворошилову, секретарю Ленинградского обкома ВКП(б) А. А. Жданову об успешном завершении опытных работ по созданию новой литой брони для танка КВ, с предложением о создании на базе бюро специализированного завода</w:t>
      </w:r>
    </w:p>
    <w:p w14:paraId="068192AD"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И.В.СТАЛИНУ</w:t>
      </w:r>
    </w:p>
    <w:p w14:paraId="33E4B138"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В. М. МОЛОТОВУ.</w:t>
      </w:r>
    </w:p>
    <w:p w14:paraId="676F77ED"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К.Е.ВОРОШИЛОВУ</w:t>
      </w:r>
    </w:p>
    <w:p w14:paraId="3A589CFC"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А. А. ЖДАНОВУ.</w:t>
      </w:r>
    </w:p>
    <w:p w14:paraId="748B39DF"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обороны они постановлениями № 124сс от 28. У. 39г. и № 25со от 14.1.40 г. организовал при Наркомате спейиальное техническое бюро и обязал таковое провести работы по литой броне, цементованной во время отливки, раз работать технологию изготовления башен и др. деталей для танков, толстых броневых плит, щитов для капониров, закончив работу по броне для тапка „КВ" к 1.У.40 г.</w:t>
      </w:r>
    </w:p>
    <w:p w14:paraId="1C382769"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Это задание Комитета обороны специальным техническим бюро выполнено в установленный срок (по танку „КВ") в боль</w:t>
      </w:r>
      <w:r w:rsidRPr="00DB5D0D">
        <w:rPr>
          <w:rFonts w:ascii="Times New Roman" w:hAnsi="Times New Roman"/>
          <w:color w:val="0070C0"/>
          <w:sz w:val="16"/>
          <w:szCs w:val="16"/>
        </w:rPr>
        <w:softHyphen/>
        <w:t>шем объеме, чем предусмотрено утвержденным планом и в более сложных и тяжелых условиях, чем это могло быть предположено при организации бюро.</w:t>
      </w:r>
    </w:p>
    <w:p w14:paraId="314CA350"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Опытные работы по литой броне, цементованной во время отливки, в основном закончены. Разработана и опробована технология изготовления броневых плит 2000x3000x180 мм., 2500x5000x180 мм и 2100х1100x230мм; носовой и кормовой части корпуса, башни, маски и рамки для танка „КВ"; полушаровых щитов для ДОТов Л-17.</w:t>
      </w:r>
    </w:p>
    <w:p w14:paraId="6422086E"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Изготовленные опытные литые изделия прошли продварительные полигоные испытания показав снарядостойкость, отвечающую требованиям технических условий на броню, вы</w:t>
      </w:r>
      <w:r w:rsidRPr="00DB5D0D">
        <w:rPr>
          <w:rFonts w:ascii="Times New Roman" w:hAnsi="Times New Roman"/>
          <w:color w:val="0070C0"/>
          <w:sz w:val="16"/>
          <w:szCs w:val="16"/>
        </w:rPr>
        <w:softHyphen/>
        <w:t>пускаемую заводами в валовом производстве.</w:t>
      </w:r>
    </w:p>
    <w:p w14:paraId="08AA5209"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ходе работы сделано несколько новых разработок и изобретений, совершенствующих способ.</w:t>
      </w:r>
    </w:p>
    <w:p w14:paraId="0919D03B"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Прилагаемые фотоснимки показывают развитие и освоение нового способа с момента его изобретения (1933 г.) до настоя</w:t>
      </w:r>
      <w:r w:rsidRPr="00DB5D0D">
        <w:rPr>
          <w:rFonts w:ascii="Times New Roman" w:hAnsi="Times New Roman"/>
          <w:color w:val="0070C0"/>
          <w:sz w:val="16"/>
          <w:szCs w:val="16"/>
        </w:rPr>
        <w:softHyphen/>
        <w:t>щего времени и большую плодотворную работу по выполнению задания, проделанную за короткий срок коллективом бюро, группой работников НИИ-48, Кировского и Ижорского заводов, морского и сухопутного артиллерийских полигонов.</w:t>
      </w:r>
    </w:p>
    <w:p w14:paraId="3E561A4F"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Технико-экономические и тактические показатели новой опытной литой брони в сравнении с существующей броней, вы</w:t>
      </w:r>
      <w:r w:rsidRPr="00DB5D0D">
        <w:rPr>
          <w:rFonts w:ascii="Times New Roman" w:hAnsi="Times New Roman"/>
          <w:color w:val="0070C0"/>
          <w:sz w:val="16"/>
          <w:szCs w:val="16"/>
        </w:rPr>
        <w:softHyphen/>
        <w:t>пускаемой в валовом производстве, приведены в прилагаемой таблице.</w:t>
      </w:r>
    </w:p>
    <w:p w14:paraId="083C2F5B"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Специальная комиссия Комитета обороны под председатель</w:t>
      </w:r>
      <w:r w:rsidRPr="00DB5D0D">
        <w:rPr>
          <w:rFonts w:ascii="Times New Roman" w:hAnsi="Times New Roman"/>
          <w:color w:val="0070C0"/>
          <w:sz w:val="16"/>
          <w:szCs w:val="16"/>
        </w:rPr>
        <w:softHyphen/>
        <w:t>ством пом. начальника АБТУ т. Алымова 20-28.У.40 г. подробно ознакомилась с работой бюро, провела сравнительные полигон</w:t>
      </w:r>
      <w:r w:rsidRPr="00DB5D0D">
        <w:rPr>
          <w:rFonts w:ascii="Times New Roman" w:hAnsi="Times New Roman"/>
          <w:color w:val="0070C0"/>
          <w:sz w:val="16"/>
          <w:szCs w:val="16"/>
        </w:rPr>
        <w:softHyphen/>
        <w:t>ные испытания опытной литой брони танка „КВ", цементован</w:t>
      </w:r>
      <w:r w:rsidRPr="00DB5D0D">
        <w:rPr>
          <w:rFonts w:ascii="Times New Roman" w:hAnsi="Times New Roman"/>
          <w:color w:val="0070C0"/>
          <w:sz w:val="16"/>
          <w:szCs w:val="16"/>
        </w:rPr>
        <w:softHyphen/>
        <w:t>ной во время отливки, разработанной бюро, опытной литой гомогенной башни танка „КВ", изготовленной НИИ-48 и катанной гомогенной плиты для танка „КВ", выпускаемой Ижорским заво</w:t>
      </w:r>
      <w:r w:rsidRPr="00DB5D0D">
        <w:rPr>
          <w:rFonts w:ascii="Times New Roman" w:hAnsi="Times New Roman"/>
          <w:color w:val="0070C0"/>
          <w:sz w:val="16"/>
          <w:szCs w:val="16"/>
        </w:rPr>
        <w:softHyphen/>
        <w:t>дом в валовом производстве, а также испытания башенной рам</w:t>
      </w:r>
      <w:r w:rsidRPr="00DB5D0D">
        <w:rPr>
          <w:rFonts w:ascii="Times New Roman" w:hAnsi="Times New Roman"/>
          <w:color w:val="0070C0"/>
          <w:sz w:val="16"/>
          <w:szCs w:val="16"/>
        </w:rPr>
        <w:softHyphen/>
        <w:t>ки танка „КВ", полушарового щита для ДОТ’ов Л-17 и броневой плиты 2000 х 3000 х 180 мм.</w:t>
      </w:r>
    </w:p>
    <w:p w14:paraId="07F163B2"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Комиссия отметила, что литая броня, цементованная во время отливки почти не уступая другим типам брони по сопро</w:t>
      </w:r>
      <w:r w:rsidRPr="00DB5D0D">
        <w:rPr>
          <w:rFonts w:ascii="Times New Roman" w:hAnsi="Times New Roman"/>
          <w:color w:val="0070C0"/>
          <w:sz w:val="16"/>
          <w:szCs w:val="16"/>
        </w:rPr>
        <w:softHyphen/>
        <w:t>тивляемости тупоголовым снарядам, превосходит их по сопротив</w:t>
      </w:r>
      <w:r w:rsidRPr="00DB5D0D">
        <w:rPr>
          <w:rFonts w:ascii="Times New Roman" w:hAnsi="Times New Roman"/>
          <w:color w:val="0070C0"/>
          <w:sz w:val="16"/>
          <w:szCs w:val="16"/>
        </w:rPr>
        <w:softHyphen/>
        <w:t>ляемости остроголовым снарядам и должна быть в данное время основным типом литой брони; установила необходимость и воз</w:t>
      </w:r>
      <w:r w:rsidRPr="00DB5D0D">
        <w:rPr>
          <w:rFonts w:ascii="Times New Roman" w:hAnsi="Times New Roman"/>
          <w:color w:val="0070C0"/>
          <w:sz w:val="16"/>
          <w:szCs w:val="16"/>
        </w:rPr>
        <w:softHyphen/>
        <w:t>можность запустить в производство установочную партию башен танка „КВ" и др. отливок из такой брони; наметила очередные задачи в области ее дальнейшей разработки и внедрения.</w:t>
      </w:r>
    </w:p>
    <w:p w14:paraId="528A4887"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Эти задачи: освоить производство ряда бронеотливок в особенности башен и узлов корпуса танка „КВ", корабель</w:t>
      </w:r>
      <w:r w:rsidRPr="00DB5D0D">
        <w:rPr>
          <w:rFonts w:ascii="Times New Roman" w:hAnsi="Times New Roman"/>
          <w:color w:val="0070C0"/>
          <w:sz w:val="16"/>
          <w:szCs w:val="16"/>
        </w:rPr>
        <w:softHyphen/>
        <w:t>ных плит больших толщин и размеров; увеличить снарядостойкость новой литой брони, добиваясь получения равной и большей снарядостойкости литой брони в сравнении с катанной броней при условии равных толщин; устранить большую неравномерность толщины (разностенность) полу</w:t>
      </w:r>
      <w:r w:rsidRPr="00DB5D0D">
        <w:rPr>
          <w:rFonts w:ascii="Times New Roman" w:hAnsi="Times New Roman"/>
          <w:color w:val="0070C0"/>
          <w:sz w:val="16"/>
          <w:szCs w:val="16"/>
        </w:rPr>
        <w:softHyphen/>
        <w:t>чаемых отливок и др, недостатки, свойственные всякому литому металлу.</w:t>
      </w:r>
    </w:p>
    <w:p w14:paraId="1E0D4AF9"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Объем и содержание работы по новой литой броне уже сейчас переросли силы, возможности и назначение бю</w:t>
      </w:r>
      <w:r w:rsidRPr="00DB5D0D">
        <w:rPr>
          <w:rFonts w:ascii="Times New Roman" w:hAnsi="Times New Roman"/>
          <w:color w:val="0070C0"/>
          <w:sz w:val="16"/>
          <w:szCs w:val="16"/>
        </w:rPr>
        <w:softHyphen/>
        <w:t>ро, а также производственные возможности Кировского и Ижорского заводов, намеченных ему базой для проведения работ.</w:t>
      </w:r>
    </w:p>
    <w:p w14:paraId="7F01E375"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Кировский завод, основной базой для работ по литой броне выбран неудачно, т. к. из-за несоответствия обору</w:t>
      </w:r>
      <w:r w:rsidRPr="00DB5D0D">
        <w:rPr>
          <w:rFonts w:ascii="Times New Roman" w:hAnsi="Times New Roman"/>
          <w:color w:val="0070C0"/>
          <w:sz w:val="16"/>
          <w:szCs w:val="16"/>
        </w:rPr>
        <w:softHyphen/>
        <w:t>дования и неприспосбленности цехов, на нем возможно обтливать и термически обрабатывать только изделия небольших размеров и простой конфигурации с черным весом не более 4 - 4,5 тонн (щиты для капониров, башенные рамки и маски танка „КВ"). Такие изделия, как башни тан</w:t>
      </w:r>
      <w:r w:rsidRPr="00DB5D0D">
        <w:rPr>
          <w:rFonts w:ascii="Times New Roman" w:hAnsi="Times New Roman"/>
          <w:color w:val="0070C0"/>
          <w:sz w:val="16"/>
          <w:szCs w:val="16"/>
        </w:rPr>
        <w:softHyphen/>
        <w:t>ка "КВ", имеющие черный вес около 5 тонн и большие га</w:t>
      </w:r>
      <w:r w:rsidRPr="00DB5D0D">
        <w:rPr>
          <w:rFonts w:ascii="Times New Roman" w:hAnsi="Times New Roman"/>
          <w:color w:val="0070C0"/>
          <w:sz w:val="16"/>
          <w:szCs w:val="16"/>
        </w:rPr>
        <w:softHyphen/>
        <w:t>бариты, на Кировском заводе можно лишь отлить, но для термической обработки (из-за больших габаритов) их приходится отправлять на Ижорский завод. Изделия с чер</w:t>
      </w:r>
      <w:r w:rsidRPr="00DB5D0D">
        <w:rPr>
          <w:rFonts w:ascii="Times New Roman" w:hAnsi="Times New Roman"/>
          <w:color w:val="0070C0"/>
          <w:sz w:val="16"/>
          <w:szCs w:val="16"/>
        </w:rPr>
        <w:softHyphen/>
        <w:t>ным весом более 5 тонн в фасонно-сталелитейном цехе Кировского завода вообще отлиты быть не могут.</w:t>
      </w:r>
    </w:p>
    <w:p w14:paraId="067FF7C5"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Ижорском заводе можно отлить и термически обра</w:t>
      </w:r>
      <w:r w:rsidRPr="00DB5D0D">
        <w:rPr>
          <w:rFonts w:ascii="Times New Roman" w:hAnsi="Times New Roman"/>
          <w:color w:val="0070C0"/>
          <w:sz w:val="16"/>
          <w:szCs w:val="16"/>
        </w:rPr>
        <w:softHyphen/>
        <w:t>ботать изделия довольно больших габаритов, имеющих черн ный вес до 20-23 тонн. Изделия большего веса в фасонно- сталелитейном цехе Ижорского завода отлить нельзя из-за недостаточной мощности подъемного крана. Проведенной на днях отливкой плит 2400x4100x230 мм., имеющих черный вес 18,5 тонн и вес жидкого металла 27 тонн, возможности фасонно-сталелитейного цеха Ижорского завода практически уже исчерпаны.</w:t>
      </w:r>
    </w:p>
    <w:p w14:paraId="7650E235"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Отливка и термическая обработка корабельных плит разме</w:t>
      </w:r>
      <w:r w:rsidRPr="00DB5D0D">
        <w:rPr>
          <w:rFonts w:ascii="Times New Roman" w:hAnsi="Times New Roman"/>
          <w:color w:val="0070C0"/>
          <w:sz w:val="16"/>
          <w:szCs w:val="16"/>
        </w:rPr>
        <w:softHyphen/>
        <w:t>ром 3500x7000 мм толщиной 230 и 330 мм, намеченных в предло</w:t>
      </w:r>
      <w:r w:rsidRPr="00DB5D0D">
        <w:rPr>
          <w:rFonts w:ascii="Times New Roman" w:hAnsi="Times New Roman"/>
          <w:color w:val="0070C0"/>
          <w:sz w:val="16"/>
          <w:szCs w:val="16"/>
        </w:rPr>
        <w:softHyphen/>
        <w:t>жениях комиссии т. Алымова, имеющих черный вес соответственно 45 и 55 тони, потребующих белое 60 и 90 тонн жидкого металла, может быть изготовлена только на Мариупольском заводе.</w:t>
      </w:r>
    </w:p>
    <w:p w14:paraId="1802FA73"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В связи с окончанием опытных работ по литой брони, цементированной во время отливки, выполнением задания Коми</w:t>
      </w:r>
      <w:r w:rsidRPr="00DB5D0D">
        <w:rPr>
          <w:rFonts w:ascii="Times New Roman" w:hAnsi="Times New Roman"/>
          <w:color w:val="0070C0"/>
          <w:sz w:val="16"/>
          <w:szCs w:val="16"/>
        </w:rPr>
        <w:softHyphen/>
        <w:t>тета обороны, функции специального технического бюро Наркомтяжмаша исчерпаны. Успех дальнейшей работы по этой броне зависит не от бюро, а от производственной базы, ее мощности и кадров, заинтересованности и ответственности за дело этих кадров.</w:t>
      </w:r>
    </w:p>
    <w:p w14:paraId="454ED688"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настоящее время специальное техническое бюро Нарком- тяжмаша состоят всего 15 научно-технических работников и рабочих, структурно нигда не значится, не имеет офи</w:t>
      </w:r>
      <w:r w:rsidRPr="00DB5D0D">
        <w:rPr>
          <w:rFonts w:ascii="Times New Roman" w:hAnsi="Times New Roman"/>
          <w:color w:val="0070C0"/>
          <w:sz w:val="16"/>
          <w:szCs w:val="16"/>
        </w:rPr>
        <w:softHyphen/>
        <w:t>циального юридического лица, своей лабораторной и произ</w:t>
      </w:r>
      <w:r w:rsidRPr="00DB5D0D">
        <w:rPr>
          <w:rFonts w:ascii="Times New Roman" w:hAnsi="Times New Roman"/>
          <w:color w:val="0070C0"/>
          <w:sz w:val="16"/>
          <w:szCs w:val="16"/>
        </w:rPr>
        <w:softHyphen/>
        <w:t>водственной базы и даже средств на ведение работ (отпущены не бюро, а непосредственно НИИ-48 и Кировскому заводу), поставлено в больную зависимость от заводов и НИИ-48, занятых выполнением своей производственной программы.</w:t>
      </w:r>
    </w:p>
    <w:p w14:paraId="7C89078E"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Дальнейшее существование на Кировском заводе такого бюро, при наличии на Ижорском заводе специального броневого института - НИИ-48, призванного заниматься комплексом вопро</w:t>
      </w:r>
      <w:r w:rsidRPr="00DB5D0D">
        <w:rPr>
          <w:rFonts w:ascii="Times New Roman" w:hAnsi="Times New Roman"/>
          <w:color w:val="0070C0"/>
          <w:sz w:val="16"/>
          <w:szCs w:val="16"/>
        </w:rPr>
        <w:softHyphen/>
        <w:t>сов брони и имеющего литейный отдел в составе 23 чел. (проводил на правах филиала бюро работы на Ижорском заводе) не вынуждается необходимостью, приводит к параллелизму в работе, распылению сил и средств.</w:t>
      </w:r>
    </w:p>
    <w:p w14:paraId="2FF3BEDC"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Результаты работы бюро, большие перспективы применения литой брони, требуют создания на базе бюро и литейного отдела НИИ-48 мощного специализированного завода, сосредото</w:t>
      </w:r>
      <w:r w:rsidRPr="00DB5D0D">
        <w:rPr>
          <w:rFonts w:ascii="Times New Roman" w:hAnsi="Times New Roman"/>
          <w:color w:val="0070C0"/>
          <w:sz w:val="16"/>
          <w:szCs w:val="16"/>
        </w:rPr>
        <w:softHyphen/>
        <w:t>чения на нем производства гомогенного и гетерогенного бро</w:t>
      </w:r>
      <w:r w:rsidRPr="00DB5D0D">
        <w:rPr>
          <w:rFonts w:ascii="Times New Roman" w:hAnsi="Times New Roman"/>
          <w:color w:val="0070C0"/>
          <w:sz w:val="16"/>
          <w:szCs w:val="16"/>
        </w:rPr>
        <w:softHyphen/>
        <w:t>невого литья и всех научно-исследовательских и эксперимен</w:t>
      </w:r>
      <w:r w:rsidRPr="00DB5D0D">
        <w:rPr>
          <w:rFonts w:ascii="Times New Roman" w:hAnsi="Times New Roman"/>
          <w:color w:val="0070C0"/>
          <w:sz w:val="16"/>
          <w:szCs w:val="16"/>
        </w:rPr>
        <w:softHyphen/>
        <w:t>тальных работ в этой области, привлечения к работам людей, не связанных с производством катаной брони, способных обеспечить развитие литой брони своим собственным путем, незави</w:t>
      </w:r>
      <w:r w:rsidRPr="00DB5D0D">
        <w:rPr>
          <w:rFonts w:ascii="Times New Roman" w:hAnsi="Times New Roman"/>
          <w:color w:val="0070C0"/>
          <w:sz w:val="16"/>
          <w:szCs w:val="16"/>
        </w:rPr>
        <w:softHyphen/>
        <w:t>симым от традиций производства катаной брони; или же ликви</w:t>
      </w:r>
      <w:r w:rsidRPr="00DB5D0D">
        <w:rPr>
          <w:rFonts w:ascii="Times New Roman" w:hAnsi="Times New Roman"/>
          <w:color w:val="0070C0"/>
          <w:sz w:val="16"/>
          <w:szCs w:val="16"/>
        </w:rPr>
        <w:softHyphen/>
        <w:t>дировать бюро, все научно-исследовательские и экспериментальные работы по литой брони, цементованной во время отливки передать НИЛ-48, а производственные работы Кировскому, Ижорскому и Мариупольскому заводам с включением в произ</w:t>
      </w:r>
      <w:r w:rsidRPr="00DB5D0D">
        <w:rPr>
          <w:rFonts w:ascii="Times New Roman" w:hAnsi="Times New Roman"/>
          <w:color w:val="0070C0"/>
          <w:sz w:val="16"/>
          <w:szCs w:val="16"/>
        </w:rPr>
        <w:softHyphen/>
        <w:t>водственную программу под ответственность их директоров.</w:t>
      </w:r>
    </w:p>
    <w:p w14:paraId="34EDC388"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Прошу Вашего решения.</w:t>
      </w:r>
    </w:p>
    <w:p w14:paraId="2073086F"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 СТБ НКТМ</w:t>
      </w:r>
      <w:r w:rsidRPr="00DB5D0D">
        <w:rPr>
          <w:rFonts w:ascii="Times New Roman" w:hAnsi="Times New Roman"/>
          <w:color w:val="0070C0"/>
          <w:sz w:val="16"/>
          <w:szCs w:val="16"/>
        </w:rPr>
        <w:tab/>
        <w:t>(Рудаков) (21931).</w:t>
      </w:r>
    </w:p>
    <w:p w14:paraId="78173D7F" w14:textId="77777777" w:rsidR="004D550C" w:rsidRPr="00DB5D0D" w:rsidRDefault="004D550C" w:rsidP="00DB5D0D">
      <w:pPr>
        <w:pStyle w:val="article-renderblock"/>
        <w:shd w:val="clear" w:color="auto" w:fill="FFFFFF"/>
        <w:spacing w:before="0" w:beforeAutospacing="0" w:after="0" w:afterAutospacing="0"/>
        <w:jc w:val="both"/>
        <w:rPr>
          <w:color w:val="0070C0"/>
          <w:sz w:val="16"/>
          <w:szCs w:val="16"/>
        </w:rPr>
      </w:pPr>
    </w:p>
    <w:p w14:paraId="5943EE54" w14:textId="53A5DB89" w:rsidR="00A25AD1" w:rsidRPr="00DB5D0D" w:rsidRDefault="004D550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r w:rsidR="00A25AD1" w:rsidRPr="00DB5D0D">
        <w:rPr>
          <w:rFonts w:ascii="Times New Roman" w:hAnsi="Times New Roman"/>
          <w:color w:val="000000" w:themeColor="text1"/>
          <w:sz w:val="16"/>
          <w:szCs w:val="16"/>
        </w:rPr>
        <w:t>17 июня 1940 года Совет народных комиссаров СССР и Центральный комитет ВКП(б) приняли постановление № 1288-495сс, в котором, в частности, говорилось: «К 1 ноября 1940 года Кировскому заводу изготовить два танка KB с броней 90 мм: один с пушкой 76 мм Ф-32, другой с пушкой 85 мм. Один корпус будет подан с Ижорского завода в конце октября, изготовление танка намечено закончить к 5 ноября. Второй корпус будет изготовлен в ноябре.</w:t>
      </w:r>
    </w:p>
    <w:p w14:paraId="1E1AF8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декабря 1940 года Кировскому заводу изготовить два танка KB с броней 100 мм: один с пушкой 76 мм Ф-32, другой с пушкой 85 мм. Один корпус будет подан в конце октября, второй в ноябре» (11640).</w:t>
      </w:r>
    </w:p>
    <w:p w14:paraId="0BC722E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935A6C" w14:textId="77777777" w:rsidR="00CD6F97" w:rsidRPr="00DB5D0D" w:rsidRDefault="00CD6F9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 Совет народных комиссаров СССР и Центральный комитет ВКП(б) приняли постановление № 1288-495сс в котором, в частности, говорилось:</w:t>
      </w:r>
    </w:p>
    <w:p w14:paraId="3D00E542" w14:textId="77777777" w:rsidR="00CD6F97" w:rsidRPr="00DB5D0D" w:rsidRDefault="00CD6F9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ноября 1940 года Кировскому заводу изготовить два танка КВ с броней 90 мм: один с пушкой 76 мм Ф-32, другой с пушкой 85 мм. Один корпус будет подан с Ижорского завода в конце октября, изготовление танка намечено закончить к 5 ноября. Второй корпус будет изготовлен в ноябре.</w:t>
      </w:r>
    </w:p>
    <w:p w14:paraId="6667F0E9" w14:textId="77777777" w:rsidR="00CD6F97" w:rsidRPr="00DB5D0D" w:rsidRDefault="00CD6F97" w:rsidP="00DB5D0D">
      <w:pPr>
        <w:pStyle w:val="ae"/>
        <w:spacing w:before="0" w:after="0"/>
        <w:jc w:val="both"/>
        <w:rPr>
          <w:color w:val="000000" w:themeColor="text1"/>
          <w:sz w:val="16"/>
          <w:szCs w:val="16"/>
        </w:rPr>
      </w:pPr>
      <w:r w:rsidRPr="00DB5D0D">
        <w:rPr>
          <w:color w:val="000000" w:themeColor="text1"/>
          <w:sz w:val="16"/>
          <w:szCs w:val="16"/>
        </w:rPr>
        <w:t>К 1 декабря 1940 года Кировскому заводу изготовить два танка КВ с броней 100 мм: один с пушкой 76 мм Ф-32, другой с пушкой 85 мм. Один корпус будет подан в конце октября, второй в ноябре».</w:t>
      </w:r>
    </w:p>
    <w:p w14:paraId="3C9215FA" w14:textId="77777777" w:rsidR="00CD6F97" w:rsidRPr="00DB5D0D" w:rsidRDefault="00CD6F97" w:rsidP="00DB5D0D">
      <w:pPr>
        <w:pStyle w:val="ae"/>
        <w:spacing w:before="0" w:after="0"/>
        <w:jc w:val="both"/>
        <w:rPr>
          <w:color w:val="000000" w:themeColor="text1"/>
          <w:sz w:val="16"/>
          <w:szCs w:val="16"/>
        </w:rPr>
      </w:pPr>
      <w:r w:rsidRPr="00DB5D0D">
        <w:rPr>
          <w:color w:val="000000" w:themeColor="text1"/>
          <w:sz w:val="16"/>
          <w:szCs w:val="16"/>
        </w:rPr>
        <w:t>Как видно из приведенного документа, предполагалось не только усилить броню, но и вооружение тяжелых танков путем установки пушки калибра 85-мм (17434).</w:t>
      </w:r>
    </w:p>
    <w:p w14:paraId="4B61F0E9" w14:textId="77777777" w:rsidR="00CD6F97" w:rsidRPr="00DB5D0D" w:rsidRDefault="00CD6F97" w:rsidP="00DB5D0D">
      <w:pPr>
        <w:pStyle w:val="ae"/>
        <w:spacing w:before="0" w:after="0"/>
        <w:jc w:val="both"/>
        <w:rPr>
          <w:color w:val="000000" w:themeColor="text1"/>
          <w:sz w:val="16"/>
          <w:szCs w:val="16"/>
        </w:rPr>
      </w:pPr>
    </w:p>
    <w:p w14:paraId="0763F35D" w14:textId="77777777" w:rsidR="00A25AD1" w:rsidRPr="00DB5D0D" w:rsidRDefault="00A25AD1" w:rsidP="00DB5D0D">
      <w:pPr>
        <w:pStyle w:val="a3"/>
        <w:rPr>
          <w:color w:val="000000" w:themeColor="text1"/>
          <w:lang w:val="ru-RU"/>
        </w:rPr>
      </w:pPr>
      <w:r w:rsidRPr="00DB5D0D">
        <w:rPr>
          <w:color w:val="000000" w:themeColor="text1"/>
          <w:lang w:val="ru-RU"/>
        </w:rPr>
        <w:t>К 17 июня 1940 на СТЗ был собран первый танк Т-34. Машина прошла за</w:t>
      </w:r>
      <w:r w:rsidRPr="00DB5D0D">
        <w:rPr>
          <w:color w:val="000000" w:themeColor="text1"/>
          <w:lang w:val="ru-RU"/>
        </w:rPr>
        <w:softHyphen/>
        <w:t>водскую обкатку, в ходе которой были обнаружены следующие неисправности:</w:t>
      </w:r>
    </w:p>
    <w:p w14:paraId="207BECA9" w14:textId="77777777" w:rsidR="00A25AD1" w:rsidRPr="00DB5D0D" w:rsidRDefault="00A25AD1" w:rsidP="00DB5D0D">
      <w:pPr>
        <w:pStyle w:val="a3"/>
        <w:tabs>
          <w:tab w:val="left" w:pos="487"/>
        </w:tabs>
        <w:rPr>
          <w:color w:val="000000" w:themeColor="text1"/>
          <w:lang w:val="ru-RU"/>
        </w:rPr>
      </w:pPr>
      <w:r w:rsidRPr="00DB5D0D">
        <w:rPr>
          <w:color w:val="000000" w:themeColor="text1"/>
          <w:lang w:val="ru-RU"/>
        </w:rPr>
        <w:t>Вышел из строя стартер.</w:t>
      </w:r>
    </w:p>
    <w:p w14:paraId="4D32D9DF" w14:textId="77777777" w:rsidR="00A25AD1" w:rsidRPr="00DB5D0D" w:rsidRDefault="00A25AD1" w:rsidP="00DB5D0D">
      <w:pPr>
        <w:pStyle w:val="a3"/>
        <w:tabs>
          <w:tab w:val="left" w:pos="490"/>
        </w:tabs>
        <w:rPr>
          <w:color w:val="000000" w:themeColor="text1"/>
          <w:lang w:val="ru-RU"/>
        </w:rPr>
      </w:pPr>
      <w:r w:rsidRPr="00DB5D0D">
        <w:rPr>
          <w:color w:val="000000" w:themeColor="text1"/>
          <w:lang w:val="ru-RU"/>
        </w:rPr>
        <w:t>Обнаружена течь масла через сапун компрессора пневмати</w:t>
      </w:r>
      <w:r w:rsidRPr="00DB5D0D">
        <w:rPr>
          <w:color w:val="000000" w:themeColor="text1"/>
          <w:lang w:val="ru-RU"/>
        </w:rPr>
        <w:softHyphen/>
        <w:t>ческого сервоуправления.</w:t>
      </w:r>
    </w:p>
    <w:p w14:paraId="32DD2EFB" w14:textId="77777777" w:rsidR="00A25AD1" w:rsidRPr="00DB5D0D" w:rsidRDefault="00A25AD1" w:rsidP="00DB5D0D">
      <w:pPr>
        <w:pStyle w:val="a3"/>
        <w:tabs>
          <w:tab w:val="left" w:pos="481"/>
        </w:tabs>
        <w:rPr>
          <w:color w:val="000000" w:themeColor="text1"/>
          <w:lang w:val="ru-RU"/>
        </w:rPr>
      </w:pPr>
      <w:r w:rsidRPr="00DB5D0D">
        <w:rPr>
          <w:color w:val="000000" w:themeColor="text1"/>
          <w:lang w:val="ru-RU"/>
        </w:rPr>
        <w:t>Ослаблено крепление маховика-вентилятора (дефект по при</w:t>
      </w:r>
      <w:r w:rsidRPr="00DB5D0D">
        <w:rPr>
          <w:color w:val="000000" w:themeColor="text1"/>
          <w:lang w:val="ru-RU"/>
        </w:rPr>
        <w:softHyphen/>
        <w:t>чине отсутствия достаточного опыта монтажа и сборки).</w:t>
      </w:r>
    </w:p>
    <w:p w14:paraId="6A602D65" w14:textId="77777777" w:rsidR="00A25AD1" w:rsidRPr="00DB5D0D" w:rsidRDefault="00A25AD1" w:rsidP="00DB5D0D">
      <w:pPr>
        <w:pStyle w:val="a3"/>
        <w:tabs>
          <w:tab w:val="left" w:pos="505"/>
        </w:tabs>
        <w:rPr>
          <w:color w:val="000000" w:themeColor="text1"/>
          <w:lang w:val="ru-RU"/>
        </w:rPr>
      </w:pPr>
      <w:r w:rsidRPr="00DB5D0D">
        <w:rPr>
          <w:color w:val="000000" w:themeColor="text1"/>
          <w:lang w:val="ru-RU"/>
        </w:rPr>
        <w:t>Отказ в работе пневматического сервоуправления по при</w:t>
      </w:r>
      <w:r w:rsidRPr="00DB5D0D">
        <w:rPr>
          <w:color w:val="000000" w:themeColor="text1"/>
          <w:lang w:val="ru-RU"/>
        </w:rPr>
        <w:softHyphen/>
        <w:t>чине недостаточного давления воздуха, подаваемого компрессо</w:t>
      </w:r>
      <w:r w:rsidRPr="00DB5D0D">
        <w:rPr>
          <w:color w:val="000000" w:themeColor="text1"/>
          <w:lang w:val="ru-RU"/>
        </w:rPr>
        <w:softHyphen/>
        <w:t>ром (2 атм.)</w:t>
      </w:r>
    </w:p>
    <w:p w14:paraId="06BA7035" w14:textId="77777777" w:rsidR="00A25AD1" w:rsidRPr="00DB5D0D" w:rsidRDefault="00A25AD1" w:rsidP="00DB5D0D">
      <w:pPr>
        <w:pStyle w:val="a3"/>
        <w:rPr>
          <w:color w:val="000000" w:themeColor="text1"/>
          <w:lang w:val="ru-RU"/>
        </w:rPr>
      </w:pPr>
      <w:r w:rsidRPr="00DB5D0D">
        <w:rPr>
          <w:color w:val="000000" w:themeColor="text1"/>
          <w:lang w:val="ru-RU"/>
        </w:rPr>
        <w:t>После устранения указанных дефектов, по заявлению Я.С. Ле</w:t>
      </w:r>
      <w:r w:rsidRPr="00DB5D0D">
        <w:rPr>
          <w:color w:val="000000" w:themeColor="text1"/>
          <w:lang w:val="ru-RU"/>
        </w:rPr>
        <w:softHyphen/>
        <w:t>вина, эта машина могла быть готова к сдаточному пробегу не ра</w:t>
      </w:r>
      <w:r w:rsidRPr="00DB5D0D">
        <w:rPr>
          <w:color w:val="000000" w:themeColor="text1"/>
          <w:lang w:val="ru-RU"/>
        </w:rPr>
        <w:softHyphen/>
        <w:t>нее как через 15-20 дней. Но согласно указаниям АБТУ, до полу</w:t>
      </w:r>
      <w:r w:rsidRPr="00DB5D0D">
        <w:rPr>
          <w:color w:val="000000" w:themeColor="text1"/>
          <w:lang w:val="ru-RU"/>
        </w:rPr>
        <w:softHyphen/>
        <w:t>чения от завода №183 чертежей на механическое сервоуправле- ние и установки его на машину сдаточный пробег было решено не проводить (11906).</w:t>
      </w:r>
    </w:p>
    <w:p w14:paraId="396F660A" w14:textId="77777777" w:rsidR="00A25AD1" w:rsidRPr="00DB5D0D" w:rsidRDefault="00A25AD1" w:rsidP="00DB5D0D">
      <w:pPr>
        <w:pStyle w:val="a3"/>
        <w:rPr>
          <w:color w:val="000000" w:themeColor="text1"/>
          <w:lang w:val="ru-RU"/>
        </w:rPr>
      </w:pPr>
    </w:p>
    <w:p w14:paraId="01AA5DBC" w14:textId="77777777" w:rsidR="00D21FE0" w:rsidRPr="00DB5D0D" w:rsidRDefault="00D21F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 на СТЗ в опытном порядке собрали первую машину Т</w:t>
      </w:r>
      <w:r w:rsidRPr="00DB5D0D">
        <w:rPr>
          <w:rFonts w:ascii="Times New Roman" w:hAnsi="Times New Roman"/>
          <w:color w:val="000000" w:themeColor="text1"/>
          <w:sz w:val="16"/>
          <w:szCs w:val="16"/>
        </w:rPr>
        <w:noBreakHyphen/>
        <w:t>34, во время заводской обкатки которой выявились многочисленные дефекты. По правительственному заданию СТЗ должен был собрать 20 танков. В связи с этим Комитетом обороны при СНК СССР было поручено Наркомату судостроительной промышленности СССР поставить заводу в 1940 г. опытную партию бронекорпусов и башен для танка Т</w:t>
      </w:r>
      <w:r w:rsidRPr="00DB5D0D">
        <w:rPr>
          <w:rFonts w:ascii="Times New Roman" w:hAnsi="Times New Roman"/>
          <w:color w:val="000000" w:themeColor="text1"/>
          <w:sz w:val="16"/>
          <w:szCs w:val="16"/>
        </w:rPr>
        <w:noBreakHyphen/>
        <w:t>34 в количестве 20 шт. (постановлением № 351сс от 13 августа 1940 г.), а Наркомату среднего машиностроения — изготовить для Т</w:t>
      </w:r>
      <w:r w:rsidRPr="00DB5D0D">
        <w:rPr>
          <w:rFonts w:ascii="Times New Roman" w:hAnsi="Times New Roman"/>
          <w:color w:val="000000" w:themeColor="text1"/>
          <w:sz w:val="16"/>
          <w:szCs w:val="16"/>
        </w:rPr>
        <w:noBreakHyphen/>
        <w:t>34 пять двигателей мощностью 500 л. с. и в I квартале 1941 г. провести их испытания (постановление № 426сс от 20 ноября 1940 г.).</w:t>
      </w:r>
    </w:p>
    <w:p w14:paraId="7FDAAF70" w14:textId="77777777" w:rsidR="00D21FE0" w:rsidRPr="00DB5D0D" w:rsidRDefault="00D21F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осени 1940 г. совместными усилиями Автобронетанкового управления  Красной армии, Наркомата судостроительной промышленности СССР, НИИ № 48 и Мариупольского металлургического завода им. Ильича удалось разработать и изготовить литую башню и балку носовой части корпуса из стали марки МЗ</w:t>
      </w:r>
      <w:r w:rsidRPr="00DB5D0D">
        <w:rPr>
          <w:rFonts w:ascii="Times New Roman" w:hAnsi="Times New Roman"/>
          <w:color w:val="000000" w:themeColor="text1"/>
          <w:sz w:val="16"/>
          <w:szCs w:val="16"/>
        </w:rPr>
        <w:noBreakHyphen/>
        <w:t>2, работы над которыми начались еще весной. Постановлением Комитета обороны при СНК СССР № 390сс от 9 октября 1940 г. “О производстве литых башен к танку Т</w:t>
      </w:r>
      <w:r w:rsidRPr="00DB5D0D">
        <w:rPr>
          <w:rFonts w:ascii="Times New Roman" w:hAnsi="Times New Roman"/>
          <w:color w:val="000000" w:themeColor="text1"/>
          <w:sz w:val="16"/>
          <w:szCs w:val="16"/>
        </w:rPr>
        <w:noBreakHyphen/>
        <w:t>34 из гомогенной брони марки МЗ</w:t>
      </w:r>
      <w:r w:rsidRPr="00DB5D0D">
        <w:rPr>
          <w:rFonts w:ascii="Times New Roman" w:hAnsi="Times New Roman"/>
          <w:color w:val="000000" w:themeColor="text1"/>
          <w:sz w:val="16"/>
          <w:szCs w:val="16"/>
        </w:rPr>
        <w:noBreakHyphen/>
        <w:t>2” они были приняты на вооружение. Наркомату судостроительной промышленности было поручено организовать на Мариупольском заводе производство литых башен и изготовить 300 шт. в 1940 г., а с 1 января 1941 г. начать ежемесячный выпуск литых башен по 200 шт. На том же заводе планировалось организовать опытные работы по уменьшению толщины литых башен и носовой части Т</w:t>
      </w:r>
      <w:r w:rsidRPr="00DB5D0D">
        <w:rPr>
          <w:rFonts w:ascii="Times New Roman" w:hAnsi="Times New Roman"/>
          <w:color w:val="000000" w:themeColor="text1"/>
          <w:sz w:val="16"/>
          <w:szCs w:val="16"/>
        </w:rPr>
        <w:noBreakHyphen/>
        <w:t>34, сохранив установленную бронестойкость.</w:t>
      </w:r>
    </w:p>
    <w:p w14:paraId="03895A19" w14:textId="77777777" w:rsidR="00D21FE0" w:rsidRPr="00DB5D0D" w:rsidRDefault="00D21F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усовершенствованию танка продолжались несмотря на его серийный выпуск. Так, с сентября 1940 г. по апрель 1941 г. заводом № 183 было сделано до 200 конструктивных изменений, в том числе: а) проведена замена дисков главного фрикциона на новые, исключающая их коробление; б) введены в серийное производство новые траки; в) изготовлен, испытан и принят на серийное производство новый люк механика-водителя со стеклами триплекс. В этот период было проведено огромное количество технологических мероприятий по улучшению сборки и обработки деталей. Помимо этого танки Т</w:t>
      </w:r>
      <w:r w:rsidRPr="00DB5D0D">
        <w:rPr>
          <w:rFonts w:ascii="Times New Roman" w:hAnsi="Times New Roman"/>
          <w:color w:val="000000" w:themeColor="text1"/>
          <w:sz w:val="16"/>
          <w:szCs w:val="16"/>
        </w:rPr>
        <w:noBreakHyphen/>
        <w:t>34 с 1941 г. стали оснащаться 76,2</w:t>
      </w:r>
      <w:r w:rsidRPr="00DB5D0D">
        <w:rPr>
          <w:rFonts w:ascii="Times New Roman" w:hAnsi="Times New Roman"/>
          <w:color w:val="000000" w:themeColor="text1"/>
          <w:sz w:val="16"/>
          <w:szCs w:val="16"/>
        </w:rPr>
        <w:noBreakHyphen/>
        <w:t>мм пушками Ф</w:t>
      </w:r>
      <w:r w:rsidRPr="00DB5D0D">
        <w:rPr>
          <w:rFonts w:ascii="Times New Roman" w:hAnsi="Times New Roman"/>
          <w:color w:val="000000" w:themeColor="text1"/>
          <w:sz w:val="16"/>
          <w:szCs w:val="16"/>
        </w:rPr>
        <w:noBreakHyphen/>
        <w:t>34. За первое полугодие 1941 г. ХПЗ сдал 816 танков Т</w:t>
      </w:r>
      <w:r w:rsidRPr="00DB5D0D">
        <w:rPr>
          <w:rFonts w:ascii="Times New Roman" w:hAnsi="Times New Roman"/>
          <w:color w:val="000000" w:themeColor="text1"/>
          <w:sz w:val="16"/>
          <w:szCs w:val="16"/>
        </w:rPr>
        <w:noBreakHyphen/>
        <w:t>34 (т. е. 120,9% полугодового плана), в том числе в июне — 170 машин (130,9% плана), а СТЗ с начала производства и по июнь 1941 г. включительно — 294 танка, из них в июне — 86. (ГА РФ. Ф. Р</w:t>
      </w:r>
      <w:r w:rsidRPr="00DB5D0D">
        <w:rPr>
          <w:rFonts w:ascii="Times New Roman" w:hAnsi="Times New Roman"/>
          <w:color w:val="000000" w:themeColor="text1"/>
          <w:sz w:val="16"/>
          <w:szCs w:val="16"/>
        </w:rPr>
        <w:noBreakHyphen/>
        <w:t>8418. Оп. 28. Д. 121. Л. 159; Д. 122. Л. 44</w:t>
      </w:r>
      <w:r w:rsidRPr="00DB5D0D">
        <w:rPr>
          <w:rFonts w:ascii="Times New Roman" w:hAnsi="Times New Roman"/>
          <w:color w:val="000000" w:themeColor="text1"/>
          <w:sz w:val="16"/>
          <w:szCs w:val="16"/>
        </w:rPr>
        <w:noBreakHyphen/>
        <w:t>45, 221.) (17861).</w:t>
      </w:r>
    </w:p>
    <w:p w14:paraId="47521A38" w14:textId="77777777" w:rsidR="00D21FE0" w:rsidRPr="00DB5D0D" w:rsidRDefault="00D21FE0" w:rsidP="00DB5D0D">
      <w:pPr>
        <w:spacing w:after="0" w:line="240" w:lineRule="auto"/>
        <w:jc w:val="both"/>
        <w:rPr>
          <w:rFonts w:ascii="Times New Roman" w:hAnsi="Times New Roman"/>
          <w:color w:val="000000" w:themeColor="text1"/>
          <w:sz w:val="16"/>
          <w:szCs w:val="16"/>
        </w:rPr>
      </w:pPr>
    </w:p>
    <w:p w14:paraId="33C4A578" w14:textId="77777777" w:rsidR="00D21FE0" w:rsidRPr="00DB5D0D" w:rsidRDefault="00D21F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 июня 1940 г. договор № 213 на ремонт двух танков А-32 был отправлен в Харьков на завод № 183 с препроводительным письмом № 73726с. Оплатить произведенный к тому времени заводом № 183 ремонт танка А-20 АБТУ РККА отказалось. </w:t>
      </w:r>
    </w:p>
    <w:p w14:paraId="1A0CBF3E" w14:textId="77777777" w:rsidR="00D21FE0" w:rsidRPr="00DB5D0D" w:rsidRDefault="00D21F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Однако к производству предусмотренного договором № 213 ремонта двух танков А-32 завод в 1940 г. приступить не смог, так как, начиная с июля 1940 г. танки А-32 были задействованы на организованных в эксплуатационном отделе «70» завода № 183 занятиях по подготовке экипажей машин Т-34. Кроме этого танки А-32 использовались на занятиях по изучению конструкции нового среднего танка командным и начальствующим составом воинских частей Харьковского военного округа; Харьковского и Киевского танкотехнического и Орловского бронетанкового училищ; Казанских курсов усовершенствования командного состава и Военной академии механизации и моторизации РККА им. Сталина. </w:t>
      </w:r>
    </w:p>
    <w:p w14:paraId="76116E69" w14:textId="77777777" w:rsidR="00D21FE0" w:rsidRPr="00DB5D0D" w:rsidRDefault="00D21F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отметить, что, кроме двух опытных образцов танков А-32, в эксплуатационном отделе «70» завода № 183 для подготовки экипажей, прибывавших на завод для получения новой материальной части, были задействованы еще четыре танка – два Т-34 и два – БТ-7М. Всего за период с 1 июля 1940 г. по 25 января 1941 г. с участием танков А-32 прошли обучение 60 человек среднего начальствующего состава, 229 командиров танков и 239 механиков-водителей. </w:t>
      </w:r>
    </w:p>
    <w:p w14:paraId="15C59787" w14:textId="77777777" w:rsidR="00D21FE0" w:rsidRPr="00DB5D0D" w:rsidRDefault="00D21F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Вследствие того что на протяжении всего второго полугодия 1940 г. танки А-32 были задействованы на занятиях по вождению и изучению материальной части, руководство завода № 183 в письмах № СО6070 от 12 ноября 1940 г. и № СО6945 от 22 декабря 1940 г. обращалось в ГАБТУ КА с просьбой о переносе сроков проведения их капитального ремонта с 1940 г. на 1941 г. Переписка по этому вопросу между заводом № 183 и ГАБТУ КА (до 26 июня 1940 г. – АБТУ РККА) продолжалась до тех пор, пока оба опытных образца танка А-32 во время обучения военнослужащих в эксплуатационном отделе «70» не выработали гарантийный ресурс. В конечном итоге переговоры между заводом № 183 и ГАБТУ КА завершились подписанием в апреле 1941 г. дополнительного соглашения № 100-2/Б1-314 к договору № Б1-221 от 8 марта 1941 г. В этом отпечатанном на заводе № 183 в пяти экземплярах документе было записано: </w:t>
      </w:r>
    </w:p>
    <w:p w14:paraId="5852C060" w14:textId="77777777" w:rsidR="00D21FE0" w:rsidRPr="00DB5D0D" w:rsidRDefault="00D21FE0"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«Заказчик: Главное Авто-Бронетанковое управление Красной Армии в лице начальника Бронетанкового Управления Красной Армии Военинженера 1 ранга тов. КОРОБКОВА Бориса Михайловича. </w:t>
      </w:r>
    </w:p>
    <w:p w14:paraId="79AB14C3" w14:textId="77777777" w:rsidR="00D21FE0" w:rsidRPr="00DB5D0D" w:rsidRDefault="00D21FE0"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Поставщик: Завод № 183 им. Коминтерна в лице Зам. Директора завода № 183 т. МАХОНИНА Сергея Несторовича, заключили настоящее соглашение в нижеследующем: </w:t>
      </w:r>
    </w:p>
    <w:p w14:paraId="334880A4" w14:textId="77777777" w:rsidR="00D21FE0" w:rsidRPr="00DB5D0D" w:rsidRDefault="00D21FE0"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1. Поставщик берет на себя обязательство произвести капитальный ремонт двух опытных образцов танка А-32, изготовленных в 1939 году. </w:t>
      </w:r>
    </w:p>
    <w:p w14:paraId="7F7BDA88" w14:textId="77777777" w:rsidR="00D21FE0" w:rsidRPr="00DB5D0D" w:rsidRDefault="00D21FE0"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2. Восстановление указанных танков производится по чертежам Поставщика согласованными с военпредом ГАБТУ КА. Допускается максимальное использование деталей танка А-34. </w:t>
      </w:r>
    </w:p>
    <w:p w14:paraId="4D7B9422" w14:textId="77777777" w:rsidR="00D21FE0" w:rsidRPr="00DB5D0D" w:rsidRDefault="00D21FE0"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3. Срок восстановления Сентябрь – Октябрь 1941 года. </w:t>
      </w:r>
    </w:p>
    <w:p w14:paraId="18EEB897" w14:textId="77777777" w:rsidR="00D21FE0" w:rsidRPr="00DB5D0D" w:rsidRDefault="00D21FE0"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4. Приемка машин производится представителем Заказчика на заводе Поставщика с пробегом 50 км. </w:t>
      </w:r>
    </w:p>
    <w:p w14:paraId="192C4356" w14:textId="77777777" w:rsidR="00D21FE0" w:rsidRPr="00DB5D0D" w:rsidRDefault="00D21FE0"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5. Стоимость капитального ремонта одного танка устанавливается договорная 150.000. Стороны оставляют за собой право окончательный расчет произвести на основании дефектных актов замененных деталей и механизмов. </w:t>
      </w:r>
    </w:p>
    <w:p w14:paraId="522002D9" w14:textId="77777777" w:rsidR="00D21FE0" w:rsidRPr="00DB5D0D" w:rsidRDefault="00D21FE0"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lastRenderedPageBreak/>
        <w:t xml:space="preserve">6. Общая сумма договора составляет в рублях 300000 р. (триста тысяч). </w:t>
      </w:r>
    </w:p>
    <w:p w14:paraId="311A190C" w14:textId="77777777" w:rsidR="00D21FE0" w:rsidRPr="00DB5D0D" w:rsidRDefault="00D21F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7. Все остальные условия согласно основного договора за № Б1-221 от 8 Марта 1941 г.».</w:t>
      </w:r>
      <w:r w:rsidRPr="00DB5D0D">
        <w:rPr>
          <w:rFonts w:ascii="Times New Roman" w:hAnsi="Times New Roman"/>
          <w:color w:val="000000" w:themeColor="text1"/>
          <w:sz w:val="16"/>
          <w:szCs w:val="16"/>
        </w:rPr>
        <w:t xml:space="preserve"> </w:t>
      </w:r>
    </w:p>
    <w:p w14:paraId="513FAF82" w14:textId="77777777" w:rsidR="00D21FE0" w:rsidRPr="00DB5D0D" w:rsidRDefault="00D21FE0" w:rsidP="00DB5D0D">
      <w:pPr>
        <w:pStyle w:val="ae"/>
        <w:spacing w:before="0" w:after="0"/>
        <w:jc w:val="both"/>
        <w:rPr>
          <w:color w:val="000000" w:themeColor="text1"/>
          <w:sz w:val="16"/>
          <w:szCs w:val="16"/>
        </w:rPr>
      </w:pPr>
      <w:r w:rsidRPr="00DB5D0D">
        <w:rPr>
          <w:bCs/>
          <w:color w:val="000000" w:themeColor="text1"/>
          <w:sz w:val="16"/>
          <w:szCs w:val="16"/>
        </w:rPr>
        <w:t>[ЦАМО. Ф. 38. Оп. 11355. Д. 99. Л. 97]</w:t>
      </w:r>
    </w:p>
    <w:p w14:paraId="133CF961" w14:textId="77777777" w:rsidR="00D21FE0" w:rsidRPr="00DB5D0D" w:rsidRDefault="00D21F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 так, дальнейшая судьба танков А-32 была определена, через полгода – капитальный ремонт и новая «жизнь» в Красной Армии. Однако этого не произошло, начавшаяся 22 июня 1941 г. Великая Отечественная война не позволила опытным образцам вернуться в ряды Красной Армии. Летом и осенью 1941 г. все силы завода № 183 были сосредоточены на наращивании выпуска серийной продукции – танков Т-34, а заниматься восстановлением опытных образцов танка А-32 коллективу завода попросту было некогда. Принимали ли участие танки А-32 в качестве неподвижных огневых точек в защите Харькова в октябре 1941 г. достоверно не известно. Скорее всего, нет, так как ни в одном из извещений об отправке танков с завода № 183 за период с 22 июня по 19 октября 1941 г. опытные образцы танков А-32 не значатся. </w:t>
      </w:r>
    </w:p>
    <w:p w14:paraId="2537A7FA" w14:textId="77777777" w:rsidR="00D21FE0" w:rsidRPr="00DB5D0D" w:rsidRDefault="00D21F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отличие от танков А-32 опытный образец колесно-гусеничного танка А-20 смог выполнить задачу, ради которой он и был создан, – выступить на защиту своего Отечества. Причем свою боевую деятельность танк А-20 начал, будучи уже экспонатом музея НИ Полигона ГАБТУ КА в подмосковной Кубинке. Но об этом чуть позже, а сейчас вернемся в довоенный Харьков (17625). </w:t>
      </w:r>
    </w:p>
    <w:p w14:paraId="6333DBF6" w14:textId="77777777" w:rsidR="00D21FE0" w:rsidRPr="00DB5D0D" w:rsidRDefault="00D21FE0" w:rsidP="00DB5D0D">
      <w:pPr>
        <w:spacing w:after="0" w:line="240" w:lineRule="auto"/>
        <w:jc w:val="both"/>
        <w:rPr>
          <w:rFonts w:ascii="Times New Roman" w:eastAsia="Times New Roman" w:hAnsi="Times New Roman"/>
          <w:color w:val="000000" w:themeColor="text1"/>
          <w:sz w:val="16"/>
          <w:szCs w:val="16"/>
          <w:lang w:eastAsia="ru-RU"/>
        </w:rPr>
      </w:pPr>
    </w:p>
    <w:p w14:paraId="578A6AC5" w14:textId="77777777" w:rsidR="00E83C71" w:rsidRPr="00DB5D0D" w:rsidRDefault="00E83C71" w:rsidP="00DB5D0D">
      <w:pPr>
        <w:pStyle w:val="a3"/>
        <w:rPr>
          <w:color w:val="000000" w:themeColor="text1"/>
          <w:lang w:val="ru-RU"/>
        </w:rPr>
      </w:pPr>
      <w:r w:rsidRPr="00DB5D0D">
        <w:rPr>
          <w:color w:val="000000" w:themeColor="text1"/>
          <w:lang w:val="ru-RU"/>
        </w:rPr>
        <w:t xml:space="preserve">К 17 </w:t>
      </w:r>
      <w:bookmarkStart w:id="42" w:name="YANDEX_5"/>
      <w:bookmarkEnd w:id="42"/>
      <w:r w:rsidRPr="00DB5D0D">
        <w:rPr>
          <w:rStyle w:val="highlight"/>
          <w:color w:val="000000" w:themeColor="text1"/>
        </w:rPr>
        <w:t> </w:t>
      </w:r>
      <w:r w:rsidRPr="00DB5D0D">
        <w:rPr>
          <w:rStyle w:val="highlight"/>
          <w:color w:val="000000" w:themeColor="text1"/>
          <w:lang w:val="ru-RU"/>
        </w:rPr>
        <w:t>июня</w:t>
      </w:r>
      <w:r w:rsidRPr="00DB5D0D">
        <w:rPr>
          <w:rStyle w:val="highlight"/>
          <w:color w:val="000000" w:themeColor="text1"/>
        </w:rPr>
        <w:t> </w:t>
      </w:r>
      <w:bookmarkStart w:id="43" w:name="YANDEX_6"/>
      <w:bookmarkEnd w:id="43"/>
      <w:r w:rsidRPr="00DB5D0D">
        <w:rPr>
          <w:rStyle w:val="highlight"/>
          <w:color w:val="000000" w:themeColor="text1"/>
        </w:rPr>
        <w:t> </w:t>
      </w:r>
      <w:r w:rsidRPr="00DB5D0D">
        <w:rPr>
          <w:rStyle w:val="highlight"/>
          <w:color w:val="000000" w:themeColor="text1"/>
          <w:lang w:val="ru-RU"/>
        </w:rPr>
        <w:t>1940</w:t>
      </w:r>
      <w:r w:rsidRPr="00DB5D0D">
        <w:rPr>
          <w:rStyle w:val="highlight"/>
          <w:color w:val="000000" w:themeColor="text1"/>
        </w:rPr>
        <w:t> </w:t>
      </w:r>
      <w:r w:rsidRPr="00DB5D0D">
        <w:rPr>
          <w:color w:val="000000" w:themeColor="text1"/>
          <w:lang w:val="ru-RU"/>
        </w:rPr>
        <w:t xml:space="preserve"> года - 232700 тракторов ( в т.ч. 25 тысяч гусеничных) - более половины тракторного парка страны - сошли с конвейера Сталинградского тракторного </w:t>
      </w:r>
      <w:bookmarkStart w:id="44" w:name="YANDEX_7"/>
      <w:bookmarkEnd w:id="44"/>
      <w:r w:rsidRPr="00DB5D0D">
        <w:rPr>
          <w:rStyle w:val="highlight"/>
          <w:color w:val="000000" w:themeColor="text1"/>
        </w:rPr>
        <w:t> </w:t>
      </w:r>
      <w:r w:rsidRPr="00DB5D0D">
        <w:rPr>
          <w:rStyle w:val="highlight"/>
          <w:color w:val="000000" w:themeColor="text1"/>
          <w:lang w:val="ru-RU"/>
        </w:rPr>
        <w:t>завода</w:t>
      </w:r>
      <w:r w:rsidRPr="00DB5D0D">
        <w:rPr>
          <w:rStyle w:val="highlight"/>
          <w:color w:val="000000" w:themeColor="text1"/>
        </w:rPr>
        <w:t> </w:t>
      </w:r>
      <w:r w:rsidRPr="00DB5D0D">
        <w:rPr>
          <w:rStyle w:val="highlight"/>
          <w:color w:val="000000" w:themeColor="text1"/>
          <w:lang w:val="ru-RU"/>
        </w:rPr>
        <w:t>(17410)</w:t>
      </w:r>
      <w:r w:rsidRPr="00DB5D0D">
        <w:rPr>
          <w:color w:val="000000" w:themeColor="text1"/>
          <w:lang w:val="ru-RU"/>
        </w:rPr>
        <w:t>.</w:t>
      </w:r>
    </w:p>
    <w:p w14:paraId="742EF1D0" w14:textId="77777777" w:rsidR="00E83C71" w:rsidRPr="00DB5D0D" w:rsidRDefault="00E83C71" w:rsidP="00DB5D0D">
      <w:pPr>
        <w:pStyle w:val="a3"/>
        <w:rPr>
          <w:color w:val="000000" w:themeColor="text1"/>
          <w:lang w:val="ru-RU"/>
        </w:rPr>
      </w:pPr>
    </w:p>
    <w:p w14:paraId="47FFA821" w14:textId="77777777" w:rsidR="00BE6B59" w:rsidRPr="00DB5D0D" w:rsidRDefault="00BE6B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17 июня 1940 года - 232700 тракторов ( в том числе 25 тысяч гусеничных) - более половины тракторного парка страны - сошли с конвейера Сталинградского тракторного завода. В годы войны завод выпускал танки «Т-34» и артиллерийские тягачи. 25 ноября 1949 года без остановки производства был осуществлен переход на выпуск тракторов «ДТ-54», оснащенных дизельным двигателем мощностью 54 л.с. В январе 1970 выпущен миллионный трактор. Тракторы завода работали в 32 странах мира. 30 декабря 1963 года после проведенной реконструкции, завод приступил к выпуску тракторов «ДТ-75». C 1994 года ОАО "ВгТЗ" освоил серийное производство нового гусеничного трактора «ВТ-100» мощностью 120 л.с. и различных модификаций на его базе. Выпускаемые предприятием тракторы агрегатируются более чем со 150 сельскохозяйственными машинами и орудиями, увеличение тяговой мощности и навесоспособности тракторов обеспечивает возможность их эффективного использования с широкозахватными орудиями и комбинированными агрегатами. По заказам потребителя ОАО "ВгТЗ" может разработать и изготовить на базе тракторов семейств «ДТ-75» и «ВТ-100» специализированные модификации или энергосредства для особых условий эксплуатации, оснастить тракторы дополнительным оборудованием: промышленным, дорожно-строительным, погрузочным, сварочным, бурильным и т.п. Кроме основной продукции, ОАО "ВгТЗ" выпускает по заказу Минобороны военную технику для российской армии. Военное производство началось в 1932 г., с выпуска танка «Т-26» и представляет собой комплекс цехов, лабораторий, вспомогательных производств и испытательного полигона. С 1969 года и по настоящее время завод разрабатывает и выпускает легкую бронированную технику для ВВС - боевые машины десанта: «БМД-1», «БМД-1П», «БМД-1ПК», «БТР-Д», «БМД-3», «БМД-3К», «СПТП 2С25» и др. За свой трудовой путь Волгоградский тракторный завод дважды награжден орденами Ленина (1932 г., 1970 г.), а за героические заслуги в годы Великой Отечественной войны - орденом Трудового Красного Знамени (1942 г.) и орденом Отечественной войны I степени (1945 г.). Продукция завода удостоена многих международных наград. За эти годы свыше 116 тысяч тракторов с маркой ВгТЗ поставлены на экспорт в страны СНГ, Европы, Юго-Восточной Азии, Северной и Латинской Америки (14925).</w:t>
      </w:r>
    </w:p>
    <w:p w14:paraId="35E1E5A9" w14:textId="77777777" w:rsidR="00BE6B59" w:rsidRPr="00DB5D0D" w:rsidRDefault="00BE6B59" w:rsidP="00DB5D0D">
      <w:pPr>
        <w:spacing w:after="0" w:line="240" w:lineRule="auto"/>
        <w:jc w:val="both"/>
        <w:rPr>
          <w:rFonts w:ascii="Times New Roman" w:hAnsi="Times New Roman"/>
          <w:color w:val="000000" w:themeColor="text1"/>
          <w:sz w:val="16"/>
          <w:szCs w:val="16"/>
        </w:rPr>
      </w:pPr>
    </w:p>
    <w:p w14:paraId="36345EE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1229D44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9C28EF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у села Мещеры (Горьковская область) выпал дождь из монет XVI-XVII вв. (4962).</w:t>
      </w:r>
    </w:p>
    <w:p w14:paraId="67F4C49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426F4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у села Мещеры Горьковской области выпал дождь из около 1000 серебряных и золотых монет 16-17 веков (3263,338).</w:t>
      </w:r>
    </w:p>
    <w:p w14:paraId="556B9CB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67BD7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52DD80A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69CBC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Литва, Латвия и Эстония были оккупированы. При поддержке советских войск местные коммунистические группы свергли законную власть и сформировали собственные "народные" правительства. Члены свергнутых правительств, а вслед за ними тысячи граждан стали нелегально покидать свои страны, пытаясь выехать на запад через литовскую границу с Германией. В Германию тайно уходили и целые части литовской армии, сдававшиеся немцам (3871).</w:t>
      </w:r>
    </w:p>
    <w:p w14:paraId="15F2284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FF0681" w14:textId="77777777" w:rsidR="008A2FB4" w:rsidRPr="00DB5D0D" w:rsidRDefault="008A2FB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r w:rsidRPr="00DB5D0D">
        <w:rPr>
          <w:rFonts w:ascii="Times New Roman" w:hAnsi="Times New Roman"/>
          <w:bCs/>
          <w:color w:val="000000" w:themeColor="text1"/>
          <w:sz w:val="16"/>
          <w:szCs w:val="16"/>
        </w:rPr>
        <w:t xml:space="preserve"> СССР предъявляет прибалтийским государствам ультиматум. Всем трем сразу. Он требует отставки «недружественных СССР правительств». Он требует согласия на ввод дополнительного контингента советских войск. Войска вводятся в день предъявления ультиматума, еще до получения ответа (17398).</w:t>
      </w:r>
    </w:p>
    <w:p w14:paraId="23A941E1" w14:textId="77777777" w:rsidR="008A2FB4" w:rsidRPr="00DB5D0D" w:rsidRDefault="008A2FB4" w:rsidP="00DB5D0D">
      <w:pPr>
        <w:spacing w:after="0" w:line="240" w:lineRule="auto"/>
        <w:jc w:val="both"/>
        <w:rPr>
          <w:rFonts w:ascii="Times New Roman" w:hAnsi="Times New Roman"/>
          <w:color w:val="000000" w:themeColor="text1"/>
          <w:sz w:val="16"/>
          <w:szCs w:val="16"/>
        </w:rPr>
      </w:pPr>
    </w:p>
    <w:p w14:paraId="2F51255D" w14:textId="77777777" w:rsidR="00BE6B59" w:rsidRPr="00DB5D0D" w:rsidRDefault="00BE6B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17 июня</w:t>
      </w:r>
      <w:r w:rsidRPr="00DB5D0D">
        <w:rPr>
          <w:rFonts w:ascii="Times New Roman" w:hAnsi="Times New Roman"/>
          <w:color w:val="000000" w:themeColor="text1"/>
          <w:sz w:val="16"/>
          <w:szCs w:val="16"/>
        </w:rPr>
        <w:t xml:space="preserve"> в 1940 году в Эстонию и Латвию введены советские войска в соответствии с советско-эстонским и советско-латвийским договорами 1939 года. Эстонский и латвийский народы входили в состав Российской империи с начала XVIII века. Присоединение балтийских земель Эстляндии и Лифляндии, на которых проживали эстонцы и латыши, к территории России было обусловлено Нитштадским мирным договором между Россией и Швецией (1721), подведшим итог Северной войне (1700-1721). До распада Российской империи народы Эстонии и Латвии не имели своей государственности. Лишь после Октябрьской революции были образованы независимые республики Эстония и Латвия (1918). В ходе военных действий гражданской войны Эстония и Латвия оккупировали часть российских земель в Санкт-Петербургской и Псковской губерниях. Согласно заключенным балтийскими государствами в 1920 году мирным договорам с Советской Россией эти территории вошли в состав Эстонии и Латвии. В 1939 году Германией и СССР был подписан пакта Риббентропа-Молотова, секретная часть которого определяла зоны влияния фашистской Германии и Советской России в Восточной Европе. Эстония, Латвия и третья прибалтийская республика - Литва были включены в советскую зону влияния. Осенью 1939 года эти республики подписали с Союзом пакты о взаимопомощи, в соответствии с которыми Эстония, Латвия и Литва предоставили Советскому Союзу возможность размещения на их территории военных и военно-морских баз на правах аренды, получив, в свою очередь, возможность расширить выгодную торговлю с СССР, в частности, закупать необходимые для себя товары и гарантированно сбывать свою продукцию. Вскоре после этого Советский Союз на основе заключенных с ними договоров ввел свои войска на территории трех балтийских государств, а в 1940 году эти республики были включены в состав СССР. В 1944 году те части бывших Псковской и Санкт-Петербургской губерний, которые были переданы Эстонии и Латвии в 1920 году, в формальном соответствии с советским законодательством были включены в состав Российской Советской Федеративной Республики. В 1991 году Эстония, Латвия и Литва воспользовались августовскими событиями в Москве для заявления о своей полной государственной независимости. Эти шаги прибалтийских республик были поддержаны руководством России. 24 августа 1991 года Б.Ельцин издал указы, в которых признавалась государственная независимость Эстонии, Латвии и Литвы. Что касается руководства СССР, то признание независимости прибалтийских республик с его стороны последовало 6 сентября 1991 года и было оформлено постановлениями Государственного Совета СССР, созданного после путча для решения вопросов, затрагивающих общие интересы республик (14925).</w:t>
      </w:r>
    </w:p>
    <w:p w14:paraId="57132558" w14:textId="77777777" w:rsidR="00BE6B59" w:rsidRPr="00DB5D0D" w:rsidRDefault="00BE6B59" w:rsidP="00DB5D0D">
      <w:pPr>
        <w:spacing w:after="0" w:line="240" w:lineRule="auto"/>
        <w:jc w:val="both"/>
        <w:rPr>
          <w:rFonts w:ascii="Times New Roman" w:hAnsi="Times New Roman"/>
          <w:color w:val="000000" w:themeColor="text1"/>
          <w:sz w:val="16"/>
          <w:szCs w:val="16"/>
        </w:rPr>
      </w:pPr>
    </w:p>
    <w:p w14:paraId="38916724"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17 1940 U.S.S.R. announced Estonia and Latvia had agreed to free passage of troops and to formation of new governments (1223).</w:t>
      </w:r>
    </w:p>
    <w:p w14:paraId="3D2E9E8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408481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СССР объявил, что Эстония и Латвия согласились на свободный проход советских войск и на формирование новых правительств (1223).</w:t>
      </w:r>
    </w:p>
    <w:p w14:paraId="3670960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837865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17 1940 The Soviet Union sends another 80,000 troops to Estonia, who jointly with the troops from the bases occupy Tallinn and the rest of the country (1224).</w:t>
      </w:r>
    </w:p>
    <w:p w14:paraId="252AB478"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25A1D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СССР послал в Эстонию еще 80 тыс. солдат, которые совместно с солдатами с ранее созданных военных бах оккупировали Таллинн и всю страну (1224).</w:t>
      </w:r>
    </w:p>
    <w:p w14:paraId="063578B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64F6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В.М.М. вызвал Шуленбурга и информировал, что СССР намерено осуществить аншлюс балтийских государств. Направили эмиссаров - Жданова в Эстонию, Вышинского - в Латвию, Деканозова - в Литву (2536,104).</w:t>
      </w:r>
    </w:p>
    <w:p w14:paraId="584F57D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6E8D60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D68847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A167A6A"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 июня 1940 несколько немецких бомбардировщиками Ju-88 атаковали «Ланкастрия»сразу вскоре после выхода корабля из французского порта Сен-Назер (Saint-Nazaire). В результате двадцатиминутной атаки германских самолетов транспорт быстро пошел на дно, в итоге погибло около четырех тысяч пассажиров - это все те, кто утонул, погиб от разрывов бомб, обстрела и задохнулся в загрязненной нефтью воде. Спасти удалось 2477 человек, этим людям по-настоящему повезло, они остались живыми. В других катастрофах спасти удавалось гораздо меньшему количеству пассажиров и членам экипажей.</w:t>
      </w:r>
    </w:p>
    <w:p w14:paraId="6B62F0F9"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Океанский лайнер водоизмещением 16 243 тонны — один из лучших в британском морском </w:t>
      </w:r>
      <w:hyperlink r:id="rId130" w:tooltip="флот" w:history="1">
        <w:r w:rsidRPr="00DB5D0D">
          <w:rPr>
            <w:rStyle w:val="a5"/>
            <w:rFonts w:ascii="Times New Roman" w:hAnsi="Times New Roman"/>
            <w:color w:val="0070C0"/>
            <w:sz w:val="16"/>
            <w:szCs w:val="16"/>
          </w:rPr>
          <w:t>флоте</w:t>
        </w:r>
      </w:hyperlink>
      <w:r w:rsidRPr="00DB5D0D">
        <w:rPr>
          <w:rFonts w:ascii="Times New Roman" w:hAnsi="Times New Roman"/>
          <w:color w:val="0070C0"/>
          <w:sz w:val="16"/>
          <w:szCs w:val="16"/>
        </w:rPr>
        <w:t>. Построен в 1922 году и поначалу назван «Тиреннией». В феврале 1924 года переименован, потому что, согласно широко распространенному среди английских моряков поверью, является плохой приметой. Обслуживал трансатлантическую линию, совершал круизы по Средиземному морю. После начала Второй мировой войны использовался как военный транспорт. Участвовал в эвакуации британских войск сначала из Норвегии, а затем — из Франции. В момент налета фашистских бомбардировщиков в районе Сен-Назера (Франция) на борту «Ланкастрии» находилось в общей сложности около девяти тысяч человек, преимущественно военнослужащих, но также и большое число гражданских лиц, включая женщин и детей.</w:t>
      </w:r>
    </w:p>
    <w:p w14:paraId="4DC370B3"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Точное число погибших в тот день никогда уже, видимо, не станет известно. На мемориальной доске в Сен-Назере значится: «более 4000». Оставшиеся в живых считают, что свыше 7000. В любом случае, это была одна из крупнейших морских катастроф в мировой </w:t>
      </w:r>
      <w:hyperlink r:id="rId131" w:tooltip="история" w:history="1">
        <w:r w:rsidRPr="00DB5D0D">
          <w:rPr>
            <w:rStyle w:val="a5"/>
            <w:rFonts w:ascii="Times New Roman" w:hAnsi="Times New Roman"/>
            <w:color w:val="0070C0"/>
            <w:sz w:val="16"/>
            <w:szCs w:val="16"/>
          </w:rPr>
          <w:t>истории</w:t>
        </w:r>
      </w:hyperlink>
      <w:r w:rsidRPr="00DB5D0D">
        <w:rPr>
          <w:rFonts w:ascii="Times New Roman" w:hAnsi="Times New Roman"/>
          <w:color w:val="0070C0"/>
          <w:sz w:val="16"/>
          <w:szCs w:val="16"/>
        </w:rPr>
        <w:t>, о чем свидетельствует упоминание, о ней в последних изданиях «Книги рекордов Гиннеса» (20190).</w:t>
      </w:r>
    </w:p>
    <w:p w14:paraId="5DC760C3" w14:textId="77777777" w:rsidR="004D550C" w:rsidRPr="00DB5D0D" w:rsidRDefault="004D550C" w:rsidP="00DB5D0D">
      <w:pPr>
        <w:spacing w:after="0" w:line="240" w:lineRule="auto"/>
        <w:jc w:val="both"/>
        <w:rPr>
          <w:rFonts w:ascii="Times New Roman" w:hAnsi="Times New Roman"/>
          <w:color w:val="0070C0"/>
          <w:sz w:val="16"/>
          <w:szCs w:val="16"/>
        </w:rPr>
      </w:pPr>
    </w:p>
    <w:p w14:paraId="44D7FB98"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 июня 1940 - немецкий самолет бомбит британский океанский лайнер RMS Lancastria в заливе Киберон после того, как он принял на борт 5800 солдат союзников для эвакуации из Франции в Соединенное Королевство. Корабль загорается и тонет через 15 минут, унося жизни 3000 человек (20795).</w:t>
      </w:r>
    </w:p>
    <w:p w14:paraId="2CDBDF7F" w14:textId="77777777" w:rsidR="004D550C" w:rsidRPr="00DB5D0D" w:rsidRDefault="004D550C" w:rsidP="00DB5D0D">
      <w:pPr>
        <w:spacing w:after="0" w:line="240" w:lineRule="auto"/>
        <w:jc w:val="both"/>
        <w:rPr>
          <w:rFonts w:ascii="Times New Roman" w:hAnsi="Times New Roman"/>
          <w:color w:val="0070C0"/>
          <w:sz w:val="16"/>
          <w:szCs w:val="16"/>
        </w:rPr>
      </w:pPr>
    </w:p>
    <w:p w14:paraId="0DAFB29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Британские войска провели операцию "Ariel", по эвакуации остатков своих войск из Франции. Эвакуация проводилась из портов Сен-Мало , Брест, Нант и Шербур (4963 ).</w:t>
      </w:r>
    </w:p>
    <w:p w14:paraId="2863E68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B8FE3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Франция капитулировала перед фашистской Германией (4962).</w:t>
      </w:r>
    </w:p>
    <w:p w14:paraId="7A21D9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FAC7FA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17th. 1940: In the West, German troops cross the Loire near Orleans. The French premier, Marshal Petain, requests Germany's and Italy's terms for an armistice (3819).</w:t>
      </w:r>
    </w:p>
    <w:p w14:paraId="17A949B0"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547CA4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германские войска форсировали Луару у Орлеана. М Петен запросил у Германии и Италии условия перемирия (3918).</w:t>
      </w:r>
    </w:p>
    <w:p w14:paraId="4CC756F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6050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новый глава правительства Франции, маршал Анри Петен, сторонник соглашения с Германией, обратился по радио к Гитлеру с просьбой прекратить боевые действия (3871).</w:t>
      </w:r>
    </w:p>
    <w:p w14:paraId="07F066E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A95BC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17 June 1940 France surrenders. Petain starts to form a new French Government which is pro-German (270).</w:t>
      </w:r>
    </w:p>
    <w:p w14:paraId="7831C3CA"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283123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Франция капитулировала и Петен начал формирование нового прогерманского правительства (270).</w:t>
      </w:r>
    </w:p>
    <w:p w14:paraId="003C2B9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F6025CE" w14:textId="77777777" w:rsidR="00BE6B59" w:rsidRPr="00DB5D0D" w:rsidRDefault="00BE6B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17 июня</w:t>
      </w:r>
      <w:r w:rsidRPr="00DB5D0D">
        <w:rPr>
          <w:rFonts w:ascii="Times New Roman" w:hAnsi="Times New Roman"/>
          <w:color w:val="000000" w:themeColor="text1"/>
          <w:sz w:val="16"/>
          <w:szCs w:val="16"/>
        </w:rPr>
        <w:t xml:space="preserve"> в 1940 году во Франции маршал Петен объявляет о том, что французское правительство ведет переговоры с Германией о заключении перемирия. Генерал Шарль де Голль переезжает из Парижа в Великобританию (14925).</w:t>
      </w:r>
    </w:p>
    <w:p w14:paraId="4697184B" w14:textId="77777777" w:rsidR="00BE6B59" w:rsidRPr="00DB5D0D" w:rsidRDefault="00BE6B59" w:rsidP="00DB5D0D">
      <w:pPr>
        <w:spacing w:after="0" w:line="240" w:lineRule="auto"/>
        <w:jc w:val="both"/>
        <w:rPr>
          <w:rFonts w:ascii="Times New Roman" w:hAnsi="Times New Roman"/>
          <w:color w:val="000000" w:themeColor="text1"/>
          <w:sz w:val="16"/>
          <w:szCs w:val="16"/>
        </w:rPr>
      </w:pPr>
    </w:p>
    <w:p w14:paraId="2D8BCFE9" w14:textId="77777777" w:rsidR="008A2FB4" w:rsidRPr="00DB5D0D" w:rsidRDefault="008A2FB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color w:val="000000" w:themeColor="text1"/>
          <w:sz w:val="16"/>
          <w:szCs w:val="16"/>
        </w:rPr>
        <w:t>17 июня 1940 г. на 38–й день войны Петен стал просить мира, он в своем выступлении по радио объявил, что обратился к Гитлеру с просьбой прекратить военные действия. Победа досталась Германии с малыми потерями, но мало потерь понесли и французы, и бельгийцы и голландцы. Выяснилось – никто не хотел воевать! 24 июня 1940 г. Франция подписала перемирие. Оперативный план Германии «Гельб» — «Желтый» — был выполнен (17398).</w:t>
      </w:r>
    </w:p>
    <w:p w14:paraId="67B3EF3D" w14:textId="77777777" w:rsidR="008A2FB4" w:rsidRPr="00DB5D0D" w:rsidRDefault="008A2FB4" w:rsidP="00DB5D0D">
      <w:pPr>
        <w:spacing w:after="0" w:line="240" w:lineRule="auto"/>
        <w:jc w:val="both"/>
        <w:rPr>
          <w:rFonts w:ascii="Times New Roman" w:hAnsi="Times New Roman"/>
          <w:iCs/>
          <w:color w:val="000000" w:themeColor="text1"/>
          <w:sz w:val="16"/>
          <w:szCs w:val="16"/>
        </w:rPr>
      </w:pPr>
    </w:p>
    <w:p w14:paraId="7CEDEFF1" w14:textId="77777777" w:rsidR="008A2FB4" w:rsidRPr="00DB5D0D" w:rsidRDefault="008A2FB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color w:val="000000" w:themeColor="text1"/>
          <w:sz w:val="16"/>
          <w:szCs w:val="16"/>
        </w:rPr>
        <w:t xml:space="preserve">17 июня 1940 г. у побережья Франции у Сен-Назера британский лайнер «Ланкастрия» был атакован бомбардировщиком «Ju 88», которому удались 3 прямых бомбовых попадания. Лайнер лег на правый борт, затем перевернулся и затонул в течение 20 минут. На борту находились солдаты Британского экспедиционного корпуса, по официальным данным   потери составили 1.738 человек, спаслось 2.477 человек. Неофициально потери оцениваются в 4.000 человек. При любом подсчете </w:t>
      </w:r>
      <w:r w:rsidRPr="00DB5D0D">
        <w:rPr>
          <w:rFonts w:ascii="Times New Roman" w:hAnsi="Times New Roman"/>
          <w:bCs/>
          <w:iCs/>
          <w:color w:val="000000" w:themeColor="text1"/>
          <w:sz w:val="16"/>
          <w:szCs w:val="16"/>
        </w:rPr>
        <w:t>«Ланкастрия» унесла жизни от 20 до 33 % общего числа потерь Британского корпуса</w:t>
      </w:r>
      <w:r w:rsidRPr="00DB5D0D">
        <w:rPr>
          <w:rFonts w:ascii="Times New Roman" w:hAnsi="Times New Roman"/>
          <w:color w:val="000000" w:themeColor="text1"/>
          <w:sz w:val="16"/>
          <w:szCs w:val="16"/>
        </w:rPr>
        <w:t xml:space="preserve"> в кампании 1940 г. во Франции (17398).</w:t>
      </w:r>
    </w:p>
    <w:p w14:paraId="4F1AE942" w14:textId="77777777" w:rsidR="008A2FB4" w:rsidRPr="00DB5D0D" w:rsidRDefault="008A2FB4" w:rsidP="00DB5D0D">
      <w:pPr>
        <w:spacing w:after="0" w:line="240" w:lineRule="auto"/>
        <w:jc w:val="both"/>
        <w:rPr>
          <w:rFonts w:ascii="Times New Roman" w:hAnsi="Times New Roman"/>
          <w:iCs/>
          <w:color w:val="000000" w:themeColor="text1"/>
          <w:sz w:val="16"/>
          <w:szCs w:val="16"/>
        </w:rPr>
      </w:pPr>
    </w:p>
    <w:p w14:paraId="56737ACB" w14:textId="77777777" w:rsidR="00BE6B59" w:rsidRPr="00DB5D0D" w:rsidRDefault="00BE6B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17 июня</w:t>
      </w:r>
      <w:r w:rsidRPr="00DB5D0D">
        <w:rPr>
          <w:rFonts w:ascii="Times New Roman" w:hAnsi="Times New Roman"/>
          <w:color w:val="000000" w:themeColor="text1"/>
          <w:sz w:val="16"/>
          <w:szCs w:val="16"/>
        </w:rPr>
        <w:t xml:space="preserve"> в 1940 году вице-министр иностранных дел Японии вручил французскому послу в Японии ноту с требованием немедленного прекращения провоза через Индокитай оружия и боеприпасов для Китая. Французское правительство, во главе которого уже стоял Петэн, через два дня ответило, что с 17 июня оно наложило запрет на провоз горючего и грузовых автомобилей и примет меры к дальнейшему ограничению перевозок (14925).</w:t>
      </w:r>
    </w:p>
    <w:p w14:paraId="273A9437" w14:textId="77777777" w:rsidR="00BE6B59" w:rsidRPr="00DB5D0D" w:rsidRDefault="00BE6B59" w:rsidP="00DB5D0D">
      <w:pPr>
        <w:spacing w:after="0" w:line="240" w:lineRule="auto"/>
        <w:jc w:val="both"/>
        <w:rPr>
          <w:rFonts w:ascii="Times New Roman" w:hAnsi="Times New Roman"/>
          <w:color w:val="000000" w:themeColor="text1"/>
          <w:sz w:val="16"/>
          <w:szCs w:val="16"/>
        </w:rPr>
      </w:pPr>
    </w:p>
    <w:p w14:paraId="0D54CCFD" w14:textId="77777777" w:rsidR="00BE6B59" w:rsidRPr="00DB5D0D" w:rsidRDefault="00BE6B5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17 июня</w:t>
      </w:r>
      <w:r w:rsidRPr="00DB5D0D">
        <w:rPr>
          <w:rFonts w:ascii="Times New Roman" w:hAnsi="Times New Roman"/>
          <w:color w:val="000000" w:themeColor="text1"/>
          <w:sz w:val="16"/>
          <w:szCs w:val="16"/>
        </w:rPr>
        <w:t xml:space="preserve"> в 1940 году немецкие оккупанты вводят нормирование хлеба в Голландии (14925).</w:t>
      </w:r>
    </w:p>
    <w:p w14:paraId="0948B292" w14:textId="77777777" w:rsidR="00BE6B59" w:rsidRPr="00DB5D0D" w:rsidRDefault="00BE6B59" w:rsidP="00DB5D0D">
      <w:pPr>
        <w:spacing w:after="0" w:line="240" w:lineRule="auto"/>
        <w:jc w:val="both"/>
        <w:rPr>
          <w:rFonts w:ascii="Times New Roman" w:hAnsi="Times New Roman"/>
          <w:color w:val="000000" w:themeColor="text1"/>
          <w:sz w:val="16"/>
          <w:szCs w:val="16"/>
        </w:rPr>
      </w:pPr>
    </w:p>
    <w:p w14:paraId="44F7486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DA18E8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9E6B0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директор завода 22 Окулов направил в ЦАГИ СБ N 8/293 для того, чтобы выяснить почему на машинах с турелью МВ-3 не открываются бомболюки при подвешенных бомбах, открытом фонаре пилота и выпущенных шасси или расположении турели против потока (1172,2).</w:t>
      </w:r>
    </w:p>
    <w:p w14:paraId="41FDEEF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C481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закончились гос. испытания И-26 М-105П А.С.Я., которые проходили с 1 июня 1940 (2090,232).</w:t>
      </w:r>
    </w:p>
    <w:p w14:paraId="1E9C44D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0A77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в ходе гос. испытаний И-301 М-105 П, которые проводились в НИИ ВВС с 14 по 27 июня 1940 л Супруном и П.М.Стефановским были полеты: на километраж; на скороподъемность и скорости по высотам до 5000 м, устраняли дефекты (2922).</w:t>
      </w:r>
    </w:p>
    <w:p w14:paraId="6898341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12F2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 в ответном письме Жданов известил Поликарпова о том, что для самолета И-180 с мотором М-88Р спроектирован и изготовлен 3-х лопастный авто</w:t>
      </w:r>
      <w:r w:rsidRPr="00DB5D0D">
        <w:rPr>
          <w:rFonts w:ascii="Times New Roman" w:hAnsi="Times New Roman"/>
          <w:color w:val="000000" w:themeColor="text1"/>
          <w:sz w:val="16"/>
          <w:szCs w:val="16"/>
        </w:rPr>
        <w:softHyphen/>
        <w:t>матический винт АВ-6-1 левого вращения, винт уже прошел испытание на стенде и в конце июня его пред</w:t>
      </w:r>
      <w:r w:rsidRPr="00DB5D0D">
        <w:rPr>
          <w:rFonts w:ascii="Times New Roman" w:hAnsi="Times New Roman"/>
          <w:color w:val="000000" w:themeColor="text1"/>
          <w:sz w:val="16"/>
          <w:szCs w:val="16"/>
        </w:rPr>
        <w:softHyphen/>
        <w:t>полагается отправить на завод № 1 для проведения срав</w:t>
      </w:r>
      <w:r w:rsidRPr="00DB5D0D">
        <w:rPr>
          <w:rFonts w:ascii="Times New Roman" w:hAnsi="Times New Roman"/>
          <w:color w:val="000000" w:themeColor="text1"/>
          <w:sz w:val="16"/>
          <w:szCs w:val="16"/>
        </w:rPr>
        <w:softHyphen/>
        <w:t>нительных испытаний. В процессе облета опытных экземпляров летчики сделали предложение увеличить размах стабилизатора для улучшения управляемости и устойчивости. По ука</w:t>
      </w:r>
      <w:r w:rsidRPr="00DB5D0D">
        <w:rPr>
          <w:rFonts w:ascii="Times New Roman" w:hAnsi="Times New Roman"/>
          <w:color w:val="000000" w:themeColor="text1"/>
          <w:sz w:val="16"/>
          <w:szCs w:val="16"/>
        </w:rPr>
        <w:softHyphen/>
        <w:t>занию Поликарпова завод № 1 изготовил горизонталь</w:t>
      </w:r>
      <w:r w:rsidRPr="00DB5D0D">
        <w:rPr>
          <w:rFonts w:ascii="Times New Roman" w:hAnsi="Times New Roman"/>
          <w:color w:val="000000" w:themeColor="text1"/>
          <w:sz w:val="16"/>
          <w:szCs w:val="16"/>
        </w:rPr>
        <w:softHyphen/>
        <w:t>ное оперение с размахом 4,3 метра (размах прежнего -3,5 м). 20 июня 1940 г. Е.Г.Уляхин на опытном И-180 Е-3 с новым оперением совершил один полет, продолжав</w:t>
      </w:r>
      <w:r w:rsidRPr="00DB5D0D">
        <w:rPr>
          <w:rFonts w:ascii="Times New Roman" w:hAnsi="Times New Roman"/>
          <w:color w:val="000000" w:themeColor="text1"/>
          <w:sz w:val="16"/>
          <w:szCs w:val="16"/>
        </w:rPr>
        <w:softHyphen/>
        <w:t>шийся чуть более четырех минут. Ввиду нарастающих вибраций оперения, летчик был вынужден экстренно посадить машину. Дальнейшие работы в этом направле</w:t>
      </w:r>
      <w:r w:rsidRPr="00DB5D0D">
        <w:rPr>
          <w:rFonts w:ascii="Times New Roman" w:hAnsi="Times New Roman"/>
          <w:color w:val="000000" w:themeColor="text1"/>
          <w:sz w:val="16"/>
          <w:szCs w:val="16"/>
        </w:rPr>
        <w:softHyphen/>
        <w:t>нии пришлось прекратить (10667).</w:t>
      </w:r>
    </w:p>
    <w:p w14:paraId="1BF7A9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73D1F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в ходе гос. испытаний ПС-84 в военных вариантах - транспортном, десантном и санитарном, которые проходили в НИИ ВВС с 11 мая по 29 июня 1940 на машине был выполнен перелет Реблицы (ЛВО) - Сольцы для зарядки горючим и перелет Сольцы-Чкаловская (3530) (2923).</w:t>
      </w:r>
    </w:p>
    <w:p w14:paraId="4EF9564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E70EA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закончились гос. испытания Ме-109Е с ДБ-601А, которые начались 29 мая 1940 (732), а по другим данным - с 10 июня 1940. Это был первый этап испытаний Ме-109Е N 2734 и 2738, двух из 5 закупленных. Ви был И.Г.Рабкин, а летали А.И.Филин, Холопуев - комиссар НИИ ВВС, а также А.И.Кабанов, А.И.Никашин, П.М.Стефановский, А.Г.Кочетков, А.С.Николаев, А.Г.Прошаков, А.Г.Кубышкин (2575,40).</w:t>
      </w:r>
    </w:p>
    <w:p w14:paraId="5CF1FC0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5DDE7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E2CAA9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78CDBA1"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18 июня 1940 Постановление Комитета обороны при СНК СССР № 311сс "О принятии на вооружение оптического прицела укороченного типа конструкции и изготовления Харьковского комбината НКВД им. Дзержинского для самозарядной винтовки Токарева (образца 1940 г.)" (21932).</w:t>
      </w:r>
    </w:p>
    <w:p w14:paraId="51D29F35" w14:textId="77777777" w:rsidR="004D550C" w:rsidRPr="00DB5D0D" w:rsidRDefault="004D550C" w:rsidP="00DB5D0D">
      <w:pPr>
        <w:spacing w:after="0" w:line="240" w:lineRule="auto"/>
        <w:jc w:val="both"/>
        <w:rPr>
          <w:rFonts w:ascii="Times New Roman" w:hAnsi="Times New Roman"/>
          <w:color w:val="0070C0"/>
          <w:sz w:val="16"/>
          <w:szCs w:val="16"/>
        </w:rPr>
      </w:pPr>
    </w:p>
    <w:p w14:paraId="629831A6"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18 июня 1941 г. «Народному комиссару среднего машиностроения тов. Малышеву</w:t>
      </w:r>
    </w:p>
    <w:p w14:paraId="03B59742"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На основании Постановлений СНК СССР и ЦК ВКП(б) — НКСМ обязан в 1941 году изготовлять запасные части и агрегаты к танкам.</w:t>
      </w:r>
    </w:p>
    <w:p w14:paraId="68786C4E"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Вашими приказами № 186сс и 192сс изготовление запасных частей и агрегатов распределено по заводам Наркомата, но к настоящему времени большинство заводов договоры с ГАБТУ КА не оформили в соответствии с планом заказов.</w:t>
      </w:r>
    </w:p>
    <w:p w14:paraId="6EDFE86A"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По заключенным договорам сдача агрегатов и запасных частей идет совершенно неудовлетворительно.</w:t>
      </w:r>
    </w:p>
    <w:p w14:paraId="1EE422EC"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БТ — завод № 183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9"/>
        <w:gridCol w:w="1877"/>
        <w:gridCol w:w="1777"/>
        <w:gridCol w:w="2097"/>
      </w:tblGrid>
      <w:tr w:rsidR="007D5DF8" w:rsidRPr="00DB5D0D" w14:paraId="60BED098" w14:textId="77777777" w:rsidTr="009223E5">
        <w:tc>
          <w:tcPr>
            <w:tcW w:w="0" w:type="auto"/>
            <w:shd w:val="clear" w:color="auto" w:fill="auto"/>
            <w:hideMark/>
          </w:tcPr>
          <w:p w14:paraId="311C67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29B44F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HKCM</w:t>
            </w:r>
          </w:p>
        </w:tc>
        <w:tc>
          <w:tcPr>
            <w:tcW w:w="0" w:type="auto"/>
            <w:shd w:val="clear" w:color="auto" w:fill="auto"/>
            <w:hideMark/>
          </w:tcPr>
          <w:p w14:paraId="054815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397F39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49D33552" w14:textId="77777777" w:rsidTr="009223E5">
        <w:tc>
          <w:tcPr>
            <w:tcW w:w="0" w:type="auto"/>
            <w:shd w:val="clear" w:color="auto" w:fill="auto"/>
            <w:hideMark/>
          </w:tcPr>
          <w:p w14:paraId="135546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Запасные части БТ</w:t>
            </w:r>
          </w:p>
        </w:tc>
        <w:tc>
          <w:tcPr>
            <w:tcW w:w="0" w:type="auto"/>
            <w:shd w:val="clear" w:color="auto" w:fill="auto"/>
            <w:hideMark/>
          </w:tcPr>
          <w:p w14:paraId="498C58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20 300 тыс. руб.</w:t>
            </w:r>
          </w:p>
        </w:tc>
        <w:tc>
          <w:tcPr>
            <w:tcW w:w="0" w:type="auto"/>
            <w:shd w:val="clear" w:color="auto" w:fill="auto"/>
            <w:hideMark/>
          </w:tcPr>
          <w:p w14:paraId="282B82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17 318,2 тыс. руб.</w:t>
            </w:r>
          </w:p>
        </w:tc>
        <w:tc>
          <w:tcPr>
            <w:tcW w:w="0" w:type="auto"/>
            <w:shd w:val="clear" w:color="auto" w:fill="auto"/>
            <w:hideMark/>
          </w:tcPr>
          <w:p w14:paraId="284713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3808 тыс. руб.</w:t>
            </w:r>
          </w:p>
        </w:tc>
      </w:tr>
      <w:tr w:rsidR="007D5DF8" w:rsidRPr="00DB5D0D" w14:paraId="34969F7F" w14:textId="77777777" w:rsidTr="009223E5">
        <w:tc>
          <w:tcPr>
            <w:tcW w:w="0" w:type="auto"/>
            <w:shd w:val="clear" w:color="auto" w:fill="auto"/>
            <w:hideMark/>
          </w:tcPr>
          <w:p w14:paraId="46B171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Оборудование М-17</w:t>
            </w:r>
          </w:p>
        </w:tc>
        <w:tc>
          <w:tcPr>
            <w:tcW w:w="0" w:type="auto"/>
            <w:shd w:val="clear" w:color="auto" w:fill="auto"/>
            <w:hideMark/>
          </w:tcPr>
          <w:p w14:paraId="20626F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w:t>
            </w:r>
          </w:p>
        </w:tc>
        <w:tc>
          <w:tcPr>
            <w:tcW w:w="0" w:type="auto"/>
            <w:shd w:val="clear" w:color="auto" w:fill="auto"/>
            <w:hideMark/>
          </w:tcPr>
          <w:p w14:paraId="7B6265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w:t>
            </w:r>
          </w:p>
        </w:tc>
        <w:tc>
          <w:tcPr>
            <w:tcW w:w="0" w:type="auto"/>
            <w:shd w:val="clear" w:color="auto" w:fill="auto"/>
            <w:hideMark/>
          </w:tcPr>
          <w:p w14:paraId="08D37E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1B588FD3" w14:textId="77777777" w:rsidTr="009223E5">
        <w:tc>
          <w:tcPr>
            <w:tcW w:w="0" w:type="auto"/>
            <w:shd w:val="clear" w:color="auto" w:fill="auto"/>
            <w:hideMark/>
          </w:tcPr>
          <w:p w14:paraId="117193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Оборудование М-5</w:t>
            </w:r>
          </w:p>
        </w:tc>
        <w:tc>
          <w:tcPr>
            <w:tcW w:w="0" w:type="auto"/>
            <w:shd w:val="clear" w:color="auto" w:fill="auto"/>
            <w:hideMark/>
          </w:tcPr>
          <w:p w14:paraId="4D351A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0" w:type="auto"/>
            <w:shd w:val="clear" w:color="auto" w:fill="auto"/>
            <w:hideMark/>
          </w:tcPr>
          <w:p w14:paraId="094B46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0" w:type="auto"/>
            <w:shd w:val="clear" w:color="auto" w:fill="auto"/>
            <w:hideMark/>
          </w:tcPr>
          <w:p w14:paraId="27E1C5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r>
      <w:tr w:rsidR="007D5DF8" w:rsidRPr="00DB5D0D" w14:paraId="05C137FB" w14:textId="77777777" w:rsidTr="009223E5">
        <w:tc>
          <w:tcPr>
            <w:tcW w:w="0" w:type="auto"/>
            <w:shd w:val="clear" w:color="auto" w:fill="auto"/>
            <w:hideMark/>
          </w:tcPr>
          <w:p w14:paraId="2F9263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Оборудование В-2</w:t>
            </w:r>
          </w:p>
        </w:tc>
        <w:tc>
          <w:tcPr>
            <w:tcW w:w="0" w:type="auto"/>
            <w:shd w:val="clear" w:color="auto" w:fill="auto"/>
            <w:hideMark/>
          </w:tcPr>
          <w:p w14:paraId="1DF660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0" w:type="auto"/>
            <w:shd w:val="clear" w:color="auto" w:fill="auto"/>
            <w:hideMark/>
          </w:tcPr>
          <w:p w14:paraId="0FE778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0" w:type="auto"/>
            <w:shd w:val="clear" w:color="auto" w:fill="auto"/>
            <w:hideMark/>
          </w:tcPr>
          <w:p w14:paraId="3E134E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r>
      <w:tr w:rsidR="007D5DF8" w:rsidRPr="00DB5D0D" w14:paraId="3AE7C4E8" w14:textId="77777777" w:rsidTr="009223E5">
        <w:tc>
          <w:tcPr>
            <w:tcW w:w="0" w:type="auto"/>
            <w:shd w:val="clear" w:color="auto" w:fill="auto"/>
            <w:hideMark/>
          </w:tcPr>
          <w:p w14:paraId="608D40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КПП</w:t>
            </w:r>
          </w:p>
        </w:tc>
        <w:tc>
          <w:tcPr>
            <w:tcW w:w="0" w:type="auto"/>
            <w:shd w:val="clear" w:color="auto" w:fill="auto"/>
            <w:hideMark/>
          </w:tcPr>
          <w:p w14:paraId="260156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0" w:type="auto"/>
            <w:shd w:val="clear" w:color="auto" w:fill="auto"/>
            <w:hideMark/>
          </w:tcPr>
          <w:p w14:paraId="1C6293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0" w:type="auto"/>
            <w:shd w:val="clear" w:color="auto" w:fill="auto"/>
            <w:hideMark/>
          </w:tcPr>
          <w:p w14:paraId="0CB5F0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bl>
    <w:p w14:paraId="6879BCD7"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Совершенно неудовлетворительно сдаются: коробки перемены передач, шестерни КПП, траки, полуоси, колеса в сборе и оборудование моторов.</w:t>
      </w:r>
    </w:p>
    <w:p w14:paraId="214E65AA"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БТ — заводы „Глававтотрактородеталь“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877"/>
        <w:gridCol w:w="1777"/>
        <w:gridCol w:w="2097"/>
      </w:tblGrid>
      <w:tr w:rsidR="007D5DF8" w:rsidRPr="00DB5D0D" w14:paraId="2D879169" w14:textId="77777777" w:rsidTr="009223E5">
        <w:tc>
          <w:tcPr>
            <w:tcW w:w="0" w:type="auto"/>
            <w:shd w:val="clear" w:color="auto" w:fill="auto"/>
            <w:hideMark/>
          </w:tcPr>
          <w:p w14:paraId="579EF1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079A94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HKCM</w:t>
            </w:r>
          </w:p>
        </w:tc>
        <w:tc>
          <w:tcPr>
            <w:tcW w:w="0" w:type="auto"/>
            <w:shd w:val="clear" w:color="auto" w:fill="auto"/>
            <w:hideMark/>
          </w:tcPr>
          <w:p w14:paraId="504466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6B1206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7AEE3018" w14:textId="77777777" w:rsidTr="009223E5">
        <w:tc>
          <w:tcPr>
            <w:tcW w:w="0" w:type="auto"/>
            <w:shd w:val="clear" w:color="auto" w:fill="auto"/>
            <w:hideMark/>
          </w:tcPr>
          <w:p w14:paraId="44E224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Запасные части</w:t>
            </w:r>
          </w:p>
        </w:tc>
        <w:tc>
          <w:tcPr>
            <w:tcW w:w="0" w:type="auto"/>
            <w:shd w:val="clear" w:color="auto" w:fill="auto"/>
            <w:hideMark/>
          </w:tcPr>
          <w:p w14:paraId="32AD03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 тыс. руб.</w:t>
            </w:r>
          </w:p>
        </w:tc>
        <w:tc>
          <w:tcPr>
            <w:tcW w:w="0" w:type="auto"/>
            <w:shd w:val="clear" w:color="auto" w:fill="auto"/>
            <w:hideMark/>
          </w:tcPr>
          <w:p w14:paraId="3260E8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 тыс. руб.</w:t>
            </w:r>
          </w:p>
        </w:tc>
        <w:tc>
          <w:tcPr>
            <w:tcW w:w="0" w:type="auto"/>
            <w:shd w:val="clear" w:color="auto" w:fill="auto"/>
            <w:hideMark/>
          </w:tcPr>
          <w:p w14:paraId="4ACB79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тыс. руб.</w:t>
            </w:r>
          </w:p>
        </w:tc>
      </w:tr>
    </w:tbl>
    <w:p w14:paraId="1EB7F7EA"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 Наркомат и „Глававтотрактородеталь“ совершенно отказываются от изготовления сложных дефицитных узлов и деталей (колеса, полуоси, балансиры, кривошипы, крышка бортовой передачи, гитары и т. д.)</w:t>
      </w:r>
    </w:p>
    <w:p w14:paraId="12AE94C4"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Заключенные договора „Глававтотрактородеталью“ на 1.6.41 выполнены только на 0.3 %…</w:t>
      </w:r>
    </w:p>
    <w:p w14:paraId="4E8DE4FD"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Т-34 —завод № 183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4"/>
        <w:gridCol w:w="1877"/>
        <w:gridCol w:w="1777"/>
        <w:gridCol w:w="2097"/>
      </w:tblGrid>
      <w:tr w:rsidR="007D5DF8" w:rsidRPr="00DB5D0D" w14:paraId="5CE36738" w14:textId="77777777" w:rsidTr="009223E5">
        <w:tc>
          <w:tcPr>
            <w:tcW w:w="0" w:type="auto"/>
            <w:shd w:val="clear" w:color="auto" w:fill="auto"/>
            <w:hideMark/>
          </w:tcPr>
          <w:p w14:paraId="3496AA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130B92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HKCM</w:t>
            </w:r>
          </w:p>
        </w:tc>
        <w:tc>
          <w:tcPr>
            <w:tcW w:w="0" w:type="auto"/>
            <w:shd w:val="clear" w:color="auto" w:fill="auto"/>
            <w:hideMark/>
          </w:tcPr>
          <w:p w14:paraId="3E0433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424144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5036EA60" w14:textId="77777777" w:rsidTr="009223E5">
        <w:tc>
          <w:tcPr>
            <w:tcW w:w="0" w:type="auto"/>
            <w:shd w:val="clear" w:color="auto" w:fill="auto"/>
            <w:hideMark/>
          </w:tcPr>
          <w:p w14:paraId="1AFBBC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Запасные части</w:t>
            </w:r>
          </w:p>
        </w:tc>
        <w:tc>
          <w:tcPr>
            <w:tcW w:w="0" w:type="auto"/>
            <w:shd w:val="clear" w:color="auto" w:fill="auto"/>
            <w:hideMark/>
          </w:tcPr>
          <w:p w14:paraId="46847F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 тыс. руб.</w:t>
            </w:r>
          </w:p>
        </w:tc>
        <w:tc>
          <w:tcPr>
            <w:tcW w:w="0" w:type="auto"/>
            <w:shd w:val="clear" w:color="auto" w:fill="auto"/>
            <w:hideMark/>
          </w:tcPr>
          <w:p w14:paraId="642F0B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5085 тыс. руб.</w:t>
            </w:r>
          </w:p>
        </w:tc>
        <w:tc>
          <w:tcPr>
            <w:tcW w:w="0" w:type="auto"/>
            <w:shd w:val="clear" w:color="auto" w:fill="auto"/>
            <w:hideMark/>
          </w:tcPr>
          <w:p w14:paraId="7BCF06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1650 тыс. руб.</w:t>
            </w:r>
          </w:p>
        </w:tc>
      </w:tr>
      <w:tr w:rsidR="007D5DF8" w:rsidRPr="00DB5D0D" w14:paraId="75D050B4" w14:textId="77777777" w:rsidTr="009223E5">
        <w:tc>
          <w:tcPr>
            <w:tcW w:w="0" w:type="auto"/>
            <w:shd w:val="clear" w:color="auto" w:fill="auto"/>
            <w:hideMark/>
          </w:tcPr>
          <w:p w14:paraId="65CA50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Оборудование В-2</w:t>
            </w:r>
          </w:p>
        </w:tc>
        <w:tc>
          <w:tcPr>
            <w:tcW w:w="0" w:type="auto"/>
            <w:shd w:val="clear" w:color="auto" w:fill="auto"/>
            <w:hideMark/>
          </w:tcPr>
          <w:p w14:paraId="1D6FA6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0" w:type="auto"/>
            <w:shd w:val="clear" w:color="auto" w:fill="auto"/>
            <w:hideMark/>
          </w:tcPr>
          <w:p w14:paraId="5F45DC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0" w:type="auto"/>
            <w:shd w:val="clear" w:color="auto" w:fill="auto"/>
            <w:hideMark/>
          </w:tcPr>
          <w:p w14:paraId="161D1C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77028ABB" w14:textId="77777777" w:rsidTr="009223E5">
        <w:tc>
          <w:tcPr>
            <w:tcW w:w="0" w:type="auto"/>
            <w:shd w:val="clear" w:color="auto" w:fill="auto"/>
            <w:hideMark/>
          </w:tcPr>
          <w:p w14:paraId="53B50A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КПП</w:t>
            </w:r>
          </w:p>
        </w:tc>
        <w:tc>
          <w:tcPr>
            <w:tcW w:w="0" w:type="auto"/>
            <w:shd w:val="clear" w:color="auto" w:fill="auto"/>
            <w:hideMark/>
          </w:tcPr>
          <w:p w14:paraId="6368FC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0" w:type="auto"/>
            <w:shd w:val="clear" w:color="auto" w:fill="auto"/>
            <w:hideMark/>
          </w:tcPr>
          <w:p w14:paraId="4D9C41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0" w:type="auto"/>
            <w:shd w:val="clear" w:color="auto" w:fill="auto"/>
            <w:hideMark/>
          </w:tcPr>
          <w:p w14:paraId="7E82B2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bl>
    <w:p w14:paraId="3791110F"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Сдача запасных частей отстает от сроков, согласованных в договорах…</w:t>
      </w:r>
    </w:p>
    <w:p w14:paraId="5348404B"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Т-34 — завод СТЗ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869"/>
        <w:gridCol w:w="1777"/>
        <w:gridCol w:w="2097"/>
      </w:tblGrid>
      <w:tr w:rsidR="007D5DF8" w:rsidRPr="00DB5D0D" w14:paraId="7B3A8DFF" w14:textId="77777777" w:rsidTr="009223E5">
        <w:tc>
          <w:tcPr>
            <w:tcW w:w="0" w:type="auto"/>
            <w:shd w:val="clear" w:color="auto" w:fill="auto"/>
            <w:hideMark/>
          </w:tcPr>
          <w:p w14:paraId="15D760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02AD47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НКСМ</w:t>
            </w:r>
          </w:p>
        </w:tc>
        <w:tc>
          <w:tcPr>
            <w:tcW w:w="0" w:type="auto"/>
            <w:shd w:val="clear" w:color="auto" w:fill="auto"/>
            <w:hideMark/>
          </w:tcPr>
          <w:p w14:paraId="4CA55A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7E9A29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5E73F09F" w14:textId="77777777" w:rsidTr="009223E5">
        <w:tc>
          <w:tcPr>
            <w:tcW w:w="0" w:type="auto"/>
            <w:shd w:val="clear" w:color="auto" w:fill="auto"/>
            <w:hideMark/>
          </w:tcPr>
          <w:p w14:paraId="106671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Запасные части</w:t>
            </w:r>
          </w:p>
        </w:tc>
        <w:tc>
          <w:tcPr>
            <w:tcW w:w="0" w:type="auto"/>
            <w:shd w:val="clear" w:color="auto" w:fill="auto"/>
            <w:hideMark/>
          </w:tcPr>
          <w:p w14:paraId="451C9A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10 000 тыс. руб.</w:t>
            </w:r>
          </w:p>
        </w:tc>
        <w:tc>
          <w:tcPr>
            <w:tcW w:w="0" w:type="auto"/>
            <w:shd w:val="clear" w:color="auto" w:fill="auto"/>
            <w:hideMark/>
          </w:tcPr>
          <w:p w14:paraId="754D11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6800 тыс. руб.</w:t>
            </w:r>
          </w:p>
        </w:tc>
        <w:tc>
          <w:tcPr>
            <w:tcW w:w="0" w:type="auto"/>
            <w:shd w:val="clear" w:color="auto" w:fill="auto"/>
            <w:hideMark/>
          </w:tcPr>
          <w:p w14:paraId="2897B1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тыс. руб.</w:t>
            </w:r>
          </w:p>
        </w:tc>
      </w:tr>
    </w:tbl>
    <w:p w14:paraId="20E2DA3B"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В количествах и номенклатуре сдача запасных частей идет неудовлетворительно.</w:t>
      </w:r>
    </w:p>
    <w:p w14:paraId="39DAD470"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Поставку траков Т-34 завод отодвигает на конец года, мотивируя отсутствием мощностей.</w:t>
      </w:r>
    </w:p>
    <w:p w14:paraId="1B149FB6"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KB — завод ЧТЗ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869"/>
        <w:gridCol w:w="1777"/>
        <w:gridCol w:w="2097"/>
      </w:tblGrid>
      <w:tr w:rsidR="007D5DF8" w:rsidRPr="00DB5D0D" w14:paraId="55E6B79C" w14:textId="77777777" w:rsidTr="009223E5">
        <w:tc>
          <w:tcPr>
            <w:tcW w:w="0" w:type="auto"/>
            <w:shd w:val="clear" w:color="auto" w:fill="auto"/>
            <w:hideMark/>
          </w:tcPr>
          <w:p w14:paraId="013FC6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06AE53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НКСМ</w:t>
            </w:r>
          </w:p>
        </w:tc>
        <w:tc>
          <w:tcPr>
            <w:tcW w:w="0" w:type="auto"/>
            <w:shd w:val="clear" w:color="auto" w:fill="auto"/>
            <w:hideMark/>
          </w:tcPr>
          <w:p w14:paraId="68D271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6C6410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3A14DEA5" w14:textId="77777777" w:rsidTr="009223E5">
        <w:tc>
          <w:tcPr>
            <w:tcW w:w="0" w:type="auto"/>
            <w:shd w:val="clear" w:color="auto" w:fill="auto"/>
            <w:hideMark/>
          </w:tcPr>
          <w:p w14:paraId="0F1EBB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Запасные части</w:t>
            </w:r>
          </w:p>
        </w:tc>
        <w:tc>
          <w:tcPr>
            <w:tcW w:w="0" w:type="auto"/>
            <w:shd w:val="clear" w:color="auto" w:fill="auto"/>
            <w:hideMark/>
          </w:tcPr>
          <w:p w14:paraId="2917A9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 тыс. руб.</w:t>
            </w:r>
          </w:p>
        </w:tc>
        <w:tc>
          <w:tcPr>
            <w:tcW w:w="0" w:type="auto"/>
            <w:shd w:val="clear" w:color="auto" w:fill="auto"/>
            <w:hideMark/>
          </w:tcPr>
          <w:p w14:paraId="0BCA86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shd w:val="clear" w:color="auto" w:fill="auto"/>
            <w:hideMark/>
          </w:tcPr>
          <w:p w14:paraId="739870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3083ACF2" w14:textId="77777777" w:rsidTr="009223E5">
        <w:tc>
          <w:tcPr>
            <w:tcW w:w="0" w:type="auto"/>
            <w:shd w:val="clear" w:color="auto" w:fill="auto"/>
            <w:hideMark/>
          </w:tcPr>
          <w:p w14:paraId="4DAE27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КПП</w:t>
            </w:r>
          </w:p>
        </w:tc>
        <w:tc>
          <w:tcPr>
            <w:tcW w:w="0" w:type="auto"/>
            <w:shd w:val="clear" w:color="auto" w:fill="auto"/>
            <w:hideMark/>
          </w:tcPr>
          <w:p w14:paraId="2D2E1E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0" w:type="auto"/>
            <w:shd w:val="clear" w:color="auto" w:fill="auto"/>
            <w:hideMark/>
          </w:tcPr>
          <w:p w14:paraId="5D63A5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shd w:val="clear" w:color="auto" w:fill="auto"/>
            <w:hideMark/>
          </w:tcPr>
          <w:p w14:paraId="52D42B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bl>
    <w:p w14:paraId="468E8DFD"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Договор был выслан на завод 23.1.41 года, но до выхода Постановления по плану заказов завод отказался от подписания договора. Вторично договор выслан 17.5.41 г. и до настоящего времени с завода не возвращен.</w:t>
      </w:r>
    </w:p>
    <w:p w14:paraId="65EA0716"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Сдачу запасных частей ЧТЗ не производил.</w:t>
      </w:r>
    </w:p>
    <w:p w14:paraId="5E1ED193" w14:textId="77777777" w:rsidR="00A25AD1" w:rsidRPr="00DB5D0D" w:rsidRDefault="00A25AD1" w:rsidP="00DB5D0D">
      <w:pPr>
        <w:pStyle w:val="ae"/>
        <w:spacing w:before="0" w:after="0"/>
        <w:jc w:val="both"/>
        <w:rPr>
          <w:color w:val="000000" w:themeColor="text1"/>
          <w:sz w:val="16"/>
          <w:szCs w:val="16"/>
        </w:rPr>
      </w:pPr>
      <w:r w:rsidRPr="00DB5D0D">
        <w:rPr>
          <w:bCs/>
          <w:color w:val="000000" w:themeColor="text1"/>
          <w:sz w:val="16"/>
          <w:szCs w:val="16"/>
        </w:rPr>
        <w:t>Дизеля В-2 — завод № 75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5"/>
        <w:gridCol w:w="1869"/>
        <w:gridCol w:w="1777"/>
        <w:gridCol w:w="2097"/>
      </w:tblGrid>
      <w:tr w:rsidR="007D5DF8" w:rsidRPr="00DB5D0D" w14:paraId="65F84C4F" w14:textId="77777777" w:rsidTr="009223E5">
        <w:tc>
          <w:tcPr>
            <w:tcW w:w="0" w:type="auto"/>
            <w:shd w:val="clear" w:color="auto" w:fill="auto"/>
            <w:hideMark/>
          </w:tcPr>
          <w:p w14:paraId="5F5AD4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3A9867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НКСМ</w:t>
            </w:r>
          </w:p>
        </w:tc>
        <w:tc>
          <w:tcPr>
            <w:tcW w:w="0" w:type="auto"/>
            <w:shd w:val="clear" w:color="auto" w:fill="auto"/>
            <w:hideMark/>
          </w:tcPr>
          <w:p w14:paraId="03C100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1E3803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46EC2D12" w14:textId="77777777" w:rsidTr="009223E5">
        <w:tc>
          <w:tcPr>
            <w:tcW w:w="0" w:type="auto"/>
            <w:shd w:val="clear" w:color="auto" w:fill="auto"/>
            <w:hideMark/>
          </w:tcPr>
          <w:p w14:paraId="019460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Дизеля</w:t>
            </w:r>
          </w:p>
        </w:tc>
        <w:tc>
          <w:tcPr>
            <w:tcW w:w="0" w:type="auto"/>
            <w:shd w:val="clear" w:color="auto" w:fill="auto"/>
            <w:hideMark/>
          </w:tcPr>
          <w:p w14:paraId="344899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735</w:t>
            </w:r>
          </w:p>
        </w:tc>
        <w:tc>
          <w:tcPr>
            <w:tcW w:w="0" w:type="auto"/>
            <w:shd w:val="clear" w:color="auto" w:fill="auto"/>
            <w:hideMark/>
          </w:tcPr>
          <w:p w14:paraId="602CF8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735</w:t>
            </w:r>
          </w:p>
        </w:tc>
        <w:tc>
          <w:tcPr>
            <w:tcW w:w="0" w:type="auto"/>
            <w:shd w:val="clear" w:color="auto" w:fill="auto"/>
            <w:hideMark/>
          </w:tcPr>
          <w:p w14:paraId="38343B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141</w:t>
            </w:r>
          </w:p>
        </w:tc>
      </w:tr>
    </w:tbl>
    <w:p w14:paraId="6D89DEEF"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Сдача запасных частей к дизелям идет неудовлетворительно… Ввиду плохой поставки дизель-моторов, большое количество танков БТ-7M небоеспособно.</w:t>
      </w:r>
    </w:p>
    <w:p w14:paraId="5D3A5708"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Завод № 75 отказывается от определения в договоре помесячных и поквартальных поставок, что делает совершенно невозможным планирование ремонтов танков. Со стороны Наркомата соответственных указаний заводу № 75 не дано…</w:t>
      </w:r>
    </w:p>
    <w:p w14:paraId="2229B070"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Т-26 — завод № 174 (…)</w:t>
      </w:r>
    </w:p>
    <w:p w14:paraId="34628D0F"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Заводом № 174 не выдерживаются сроки поставки по договорам. Совершенно плохо сдаются дефицитные детали: цилиндры, нижние половины картера мотора, направляющие втулки клапанов, венцы ведущих колес, нижние катки, бандажи нижних катков и др…</w:t>
      </w:r>
    </w:p>
    <w:p w14:paraId="43CA4028"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Танковые войска испытывают в настоящее время большую потребность в запчастях и агрегатах, особенно по остродефицитной номенклатуре. Неоднократные обращения ГАБТУ КА в НКСМ не нашли должного решения по вышеизложенным вопросам.</w:t>
      </w:r>
    </w:p>
    <w:p w14:paraId="410C11DA"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Прошу Ваших личных распоряжений, направленных на обеспечение запасными частями и агрегатами танковых войск Красной Армии, согласно решениям правительства по этому вопросу.</w:t>
      </w:r>
    </w:p>
    <w:p w14:paraId="0715B170" w14:textId="77777777" w:rsidR="00A25AD1" w:rsidRPr="00DB5D0D" w:rsidRDefault="00A25AD1" w:rsidP="00DB5D0D">
      <w:pPr>
        <w:pStyle w:val="ae"/>
        <w:spacing w:before="0" w:after="0"/>
        <w:jc w:val="both"/>
        <w:rPr>
          <w:color w:val="000000" w:themeColor="text1"/>
          <w:sz w:val="16"/>
          <w:szCs w:val="16"/>
        </w:rPr>
      </w:pPr>
      <w:r w:rsidRPr="00DB5D0D">
        <w:rPr>
          <w:iCs/>
          <w:color w:val="000000" w:themeColor="text1"/>
          <w:sz w:val="16"/>
          <w:szCs w:val="16"/>
        </w:rPr>
        <w:t>Начальник ГАБТУ Красной Армии генерал-лейтенант танковых войск Федоренко»</w:t>
      </w:r>
      <w:hyperlink r:id="rId132" w:anchor="n_35" w:history="1">
        <w:r w:rsidRPr="00DB5D0D">
          <w:rPr>
            <w:rStyle w:val="a5"/>
            <w:color w:val="000000" w:themeColor="text1"/>
            <w:sz w:val="16"/>
            <w:szCs w:val="16"/>
          </w:rPr>
          <w:t>[</w:t>
        </w:r>
        <w:r w:rsidRPr="00DB5D0D">
          <w:rPr>
            <w:color w:val="000000" w:themeColor="text1"/>
            <w:sz w:val="16"/>
            <w:szCs w:val="16"/>
          </w:rPr>
          <w:t xml:space="preserve"> ЦАМО РФ, ф. 38 (ГАБТУ КА), оп. 11355 (Танковое управление), д. 225 (Доклады ГАБТУ КА о выполнении планов поставок заводами танков и запасных частей к ним), лл. 125–129.</w:t>
        </w:r>
        <w:r w:rsidRPr="00DB5D0D">
          <w:rPr>
            <w:rStyle w:val="a5"/>
            <w:color w:val="000000" w:themeColor="text1"/>
            <w:sz w:val="16"/>
            <w:szCs w:val="16"/>
          </w:rPr>
          <w:t>]</w:t>
        </w:r>
      </w:hyperlink>
      <w:r w:rsidRPr="00DB5D0D">
        <w:rPr>
          <w:rStyle w:val="a5"/>
          <w:color w:val="000000" w:themeColor="text1"/>
          <w:sz w:val="16"/>
          <w:szCs w:val="16"/>
        </w:rPr>
        <w:t xml:space="preserve"> (12624)</w:t>
      </w:r>
      <w:r w:rsidRPr="00DB5D0D">
        <w:rPr>
          <w:color w:val="000000" w:themeColor="text1"/>
          <w:sz w:val="16"/>
          <w:szCs w:val="16"/>
        </w:rPr>
        <w:t>.</w:t>
      </w:r>
    </w:p>
    <w:p w14:paraId="6644D5F9" w14:textId="77777777" w:rsidR="00A25AD1" w:rsidRPr="00DB5D0D" w:rsidRDefault="00A25AD1" w:rsidP="00DB5D0D">
      <w:pPr>
        <w:pStyle w:val="ae"/>
        <w:spacing w:before="0" w:after="0"/>
        <w:jc w:val="both"/>
        <w:rPr>
          <w:color w:val="000000" w:themeColor="text1"/>
          <w:sz w:val="16"/>
          <w:szCs w:val="16"/>
        </w:rPr>
      </w:pPr>
    </w:p>
    <w:p w14:paraId="79D1AB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1941 г.</w:t>
      </w:r>
    </w:p>
    <w:p w14:paraId="7BB93C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комиссару среднего машиностроения тов. Малышеву</w:t>
      </w:r>
    </w:p>
    <w:p w14:paraId="0C458C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Постановлений СНК СССР и ЦК ВКП(б) — НКСМ обязан в 1941 году изготовлять запасные части и агрегаты к танкам.</w:t>
      </w:r>
    </w:p>
    <w:p w14:paraId="631C4C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Вашими приказами № 186сс и 192сс изготовление запасных частей и агрегатов распределено по заводам Наркомата, но к настоящему времени большинство заводов договоры с ГАБТУ КА не оформили в соответствии с планом заказов.</w:t>
      </w:r>
    </w:p>
    <w:p w14:paraId="4FA299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заключенным договорам сдача агрегатов и запасных частей идет совершенно неудовлетворительно.</w:t>
      </w:r>
    </w:p>
    <w:p w14:paraId="2BF191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БТ — завод № 183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9"/>
        <w:gridCol w:w="1869"/>
        <w:gridCol w:w="1777"/>
        <w:gridCol w:w="2097"/>
      </w:tblGrid>
      <w:tr w:rsidR="007D5DF8" w:rsidRPr="00DB5D0D" w14:paraId="72518C7C" w14:textId="77777777" w:rsidTr="009223E5">
        <w:tc>
          <w:tcPr>
            <w:tcW w:w="0" w:type="auto"/>
            <w:shd w:val="clear" w:color="auto" w:fill="auto"/>
            <w:hideMark/>
          </w:tcPr>
          <w:p w14:paraId="6D6D75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1B510E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НКСМ</w:t>
            </w:r>
          </w:p>
        </w:tc>
        <w:tc>
          <w:tcPr>
            <w:tcW w:w="0" w:type="auto"/>
            <w:shd w:val="clear" w:color="auto" w:fill="auto"/>
            <w:hideMark/>
          </w:tcPr>
          <w:p w14:paraId="0FAB56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3B20BF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7C52B051" w14:textId="77777777" w:rsidTr="009223E5">
        <w:tc>
          <w:tcPr>
            <w:tcW w:w="0" w:type="auto"/>
            <w:shd w:val="clear" w:color="auto" w:fill="auto"/>
            <w:hideMark/>
          </w:tcPr>
          <w:p w14:paraId="3D876B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Запасные части БТ</w:t>
            </w:r>
          </w:p>
        </w:tc>
        <w:tc>
          <w:tcPr>
            <w:tcW w:w="0" w:type="auto"/>
            <w:shd w:val="clear" w:color="auto" w:fill="auto"/>
            <w:hideMark/>
          </w:tcPr>
          <w:p w14:paraId="0F21E0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20 300 тыс. руб.</w:t>
            </w:r>
          </w:p>
        </w:tc>
        <w:tc>
          <w:tcPr>
            <w:tcW w:w="0" w:type="auto"/>
            <w:shd w:val="clear" w:color="auto" w:fill="auto"/>
            <w:hideMark/>
          </w:tcPr>
          <w:p w14:paraId="21B463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17 318,2 тыс. руб.</w:t>
            </w:r>
          </w:p>
        </w:tc>
        <w:tc>
          <w:tcPr>
            <w:tcW w:w="0" w:type="auto"/>
            <w:shd w:val="clear" w:color="auto" w:fill="auto"/>
            <w:hideMark/>
          </w:tcPr>
          <w:p w14:paraId="204E71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3808 тыс. руб.</w:t>
            </w:r>
          </w:p>
        </w:tc>
      </w:tr>
      <w:tr w:rsidR="007D5DF8" w:rsidRPr="00DB5D0D" w14:paraId="1547A5AC" w14:textId="77777777" w:rsidTr="009223E5">
        <w:tc>
          <w:tcPr>
            <w:tcW w:w="0" w:type="auto"/>
            <w:shd w:val="clear" w:color="auto" w:fill="auto"/>
            <w:hideMark/>
          </w:tcPr>
          <w:p w14:paraId="0B431C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Оборудование М-17</w:t>
            </w:r>
          </w:p>
        </w:tc>
        <w:tc>
          <w:tcPr>
            <w:tcW w:w="0" w:type="auto"/>
            <w:shd w:val="clear" w:color="auto" w:fill="auto"/>
            <w:hideMark/>
          </w:tcPr>
          <w:p w14:paraId="2896CA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w:t>
            </w:r>
          </w:p>
        </w:tc>
        <w:tc>
          <w:tcPr>
            <w:tcW w:w="0" w:type="auto"/>
            <w:shd w:val="clear" w:color="auto" w:fill="auto"/>
            <w:hideMark/>
          </w:tcPr>
          <w:p w14:paraId="3BED06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w:t>
            </w:r>
          </w:p>
        </w:tc>
        <w:tc>
          <w:tcPr>
            <w:tcW w:w="0" w:type="auto"/>
            <w:shd w:val="clear" w:color="auto" w:fill="auto"/>
            <w:hideMark/>
          </w:tcPr>
          <w:p w14:paraId="0F2EE6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1044B11E" w14:textId="77777777" w:rsidTr="009223E5">
        <w:tc>
          <w:tcPr>
            <w:tcW w:w="0" w:type="auto"/>
            <w:shd w:val="clear" w:color="auto" w:fill="auto"/>
            <w:hideMark/>
          </w:tcPr>
          <w:p w14:paraId="78AB79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Оборудование М-5</w:t>
            </w:r>
          </w:p>
        </w:tc>
        <w:tc>
          <w:tcPr>
            <w:tcW w:w="0" w:type="auto"/>
            <w:shd w:val="clear" w:color="auto" w:fill="auto"/>
            <w:hideMark/>
          </w:tcPr>
          <w:p w14:paraId="657217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0" w:type="auto"/>
            <w:shd w:val="clear" w:color="auto" w:fill="auto"/>
            <w:hideMark/>
          </w:tcPr>
          <w:p w14:paraId="64EFE0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0" w:type="auto"/>
            <w:shd w:val="clear" w:color="auto" w:fill="auto"/>
            <w:hideMark/>
          </w:tcPr>
          <w:p w14:paraId="617CEA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r>
      <w:tr w:rsidR="007D5DF8" w:rsidRPr="00DB5D0D" w14:paraId="123CB7B9" w14:textId="77777777" w:rsidTr="009223E5">
        <w:tc>
          <w:tcPr>
            <w:tcW w:w="0" w:type="auto"/>
            <w:shd w:val="clear" w:color="auto" w:fill="auto"/>
            <w:hideMark/>
          </w:tcPr>
          <w:p w14:paraId="364B88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Оборудование В-2</w:t>
            </w:r>
          </w:p>
        </w:tc>
        <w:tc>
          <w:tcPr>
            <w:tcW w:w="0" w:type="auto"/>
            <w:shd w:val="clear" w:color="auto" w:fill="auto"/>
            <w:hideMark/>
          </w:tcPr>
          <w:p w14:paraId="0ABE27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0" w:type="auto"/>
            <w:shd w:val="clear" w:color="auto" w:fill="auto"/>
            <w:hideMark/>
          </w:tcPr>
          <w:p w14:paraId="3C0D7C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0" w:type="auto"/>
            <w:shd w:val="clear" w:color="auto" w:fill="auto"/>
            <w:hideMark/>
          </w:tcPr>
          <w:p w14:paraId="6C5BA1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r>
      <w:tr w:rsidR="007D5DF8" w:rsidRPr="00DB5D0D" w14:paraId="58A02C13" w14:textId="77777777" w:rsidTr="009223E5">
        <w:tc>
          <w:tcPr>
            <w:tcW w:w="0" w:type="auto"/>
            <w:shd w:val="clear" w:color="auto" w:fill="auto"/>
            <w:hideMark/>
          </w:tcPr>
          <w:p w14:paraId="3E6100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КПП</w:t>
            </w:r>
          </w:p>
        </w:tc>
        <w:tc>
          <w:tcPr>
            <w:tcW w:w="0" w:type="auto"/>
            <w:shd w:val="clear" w:color="auto" w:fill="auto"/>
            <w:hideMark/>
          </w:tcPr>
          <w:p w14:paraId="2A5F4B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0" w:type="auto"/>
            <w:shd w:val="clear" w:color="auto" w:fill="auto"/>
            <w:hideMark/>
          </w:tcPr>
          <w:p w14:paraId="24D8FB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0" w:type="auto"/>
            <w:shd w:val="clear" w:color="auto" w:fill="auto"/>
            <w:hideMark/>
          </w:tcPr>
          <w:p w14:paraId="33477D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bl>
    <w:p w14:paraId="13C7BA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неудовлетворительно сдаются: коробки перемены предан, шестерни КПП, траки, полуоси, колеса в сборе и оборудование моторов.</w:t>
      </w:r>
    </w:p>
    <w:p w14:paraId="705C0B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БТ — заводы „Глававтотрактородеталь“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869"/>
        <w:gridCol w:w="1777"/>
        <w:gridCol w:w="2097"/>
      </w:tblGrid>
      <w:tr w:rsidR="007D5DF8" w:rsidRPr="00DB5D0D" w14:paraId="6739D1FA" w14:textId="77777777" w:rsidTr="009223E5">
        <w:tc>
          <w:tcPr>
            <w:tcW w:w="0" w:type="auto"/>
            <w:shd w:val="clear" w:color="auto" w:fill="auto"/>
            <w:hideMark/>
          </w:tcPr>
          <w:p w14:paraId="163672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41C926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НКСМ</w:t>
            </w:r>
          </w:p>
        </w:tc>
        <w:tc>
          <w:tcPr>
            <w:tcW w:w="0" w:type="auto"/>
            <w:shd w:val="clear" w:color="auto" w:fill="auto"/>
            <w:hideMark/>
          </w:tcPr>
          <w:p w14:paraId="5CD18A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6DCCDC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0792D588" w14:textId="77777777" w:rsidTr="009223E5">
        <w:tc>
          <w:tcPr>
            <w:tcW w:w="0" w:type="auto"/>
            <w:shd w:val="clear" w:color="auto" w:fill="auto"/>
            <w:hideMark/>
          </w:tcPr>
          <w:p w14:paraId="30393F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Запасные части</w:t>
            </w:r>
          </w:p>
        </w:tc>
        <w:tc>
          <w:tcPr>
            <w:tcW w:w="0" w:type="auto"/>
            <w:shd w:val="clear" w:color="auto" w:fill="auto"/>
            <w:hideMark/>
          </w:tcPr>
          <w:p w14:paraId="1F444A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 тыс. руб.</w:t>
            </w:r>
          </w:p>
        </w:tc>
        <w:tc>
          <w:tcPr>
            <w:tcW w:w="0" w:type="auto"/>
            <w:shd w:val="clear" w:color="auto" w:fill="auto"/>
            <w:hideMark/>
          </w:tcPr>
          <w:p w14:paraId="19FCA8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 тыс. руб.</w:t>
            </w:r>
          </w:p>
        </w:tc>
        <w:tc>
          <w:tcPr>
            <w:tcW w:w="0" w:type="auto"/>
            <w:shd w:val="clear" w:color="auto" w:fill="auto"/>
            <w:hideMark/>
          </w:tcPr>
          <w:p w14:paraId="0CE9FC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тыс. руб.</w:t>
            </w:r>
          </w:p>
        </w:tc>
      </w:tr>
    </w:tbl>
    <w:p w14:paraId="27166C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неразмещенные 5000 тыс. руб. заводам „Глававтотрактородеталь“ посланы договора на сумме 3000 тыс. руб. и осталось совершенно неразмещенных на сумму 2000 тыс. руб.</w:t>
      </w:r>
    </w:p>
    <w:p w14:paraId="224261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Наркомат и „Глававтотрактородеталь“ совершенно отказываются от изготовления сложных дефицитных узлов и деталей (колеса, полуоси, балансиры, кривошипы, крышка бортовой передачи, гитары и т. д.).</w:t>
      </w:r>
    </w:p>
    <w:p w14:paraId="67A199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Заключенные договора „Глававтотрактородеталью“ на 1.6.41 выполнены только на 0.3 %.</w:t>
      </w:r>
    </w:p>
    <w:p w14:paraId="3D87AE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изготовления деталей БТ на заводах „Глававтотрактородеталь“ необходимо:</w:t>
      </w:r>
    </w:p>
    <w:p w14:paraId="194BF3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завод № 183 обеспечить чертежами и технической консультацией вплоть до откомандирования на эти заводы отдельных работников с завода № 183.</w:t>
      </w:r>
    </w:p>
    <w:p w14:paraId="11CD58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заводы №№ 183 и 75 снабжать заводы „Глававтотрактородетали“ поковками и штамповками по особому плану Наркомата.</w:t>
      </w:r>
    </w:p>
    <w:p w14:paraId="0DC157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Снабжать эти заводы металлом и материалом наравне с остальными танковыми заводами.</w:t>
      </w:r>
    </w:p>
    <w:p w14:paraId="4D4273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Т-34 — завод № 183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4"/>
        <w:gridCol w:w="1869"/>
        <w:gridCol w:w="1777"/>
        <w:gridCol w:w="2097"/>
      </w:tblGrid>
      <w:tr w:rsidR="007D5DF8" w:rsidRPr="00DB5D0D" w14:paraId="3395B673" w14:textId="77777777" w:rsidTr="009223E5">
        <w:tc>
          <w:tcPr>
            <w:tcW w:w="0" w:type="auto"/>
            <w:shd w:val="clear" w:color="auto" w:fill="auto"/>
            <w:hideMark/>
          </w:tcPr>
          <w:p w14:paraId="0963CB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54880A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НКСМ</w:t>
            </w:r>
          </w:p>
        </w:tc>
        <w:tc>
          <w:tcPr>
            <w:tcW w:w="0" w:type="auto"/>
            <w:shd w:val="clear" w:color="auto" w:fill="auto"/>
            <w:hideMark/>
          </w:tcPr>
          <w:p w14:paraId="020F50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209949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02F250FB" w14:textId="77777777" w:rsidTr="009223E5">
        <w:tc>
          <w:tcPr>
            <w:tcW w:w="0" w:type="auto"/>
            <w:shd w:val="clear" w:color="auto" w:fill="auto"/>
            <w:hideMark/>
          </w:tcPr>
          <w:p w14:paraId="118522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Запасные части</w:t>
            </w:r>
          </w:p>
        </w:tc>
        <w:tc>
          <w:tcPr>
            <w:tcW w:w="0" w:type="auto"/>
            <w:shd w:val="clear" w:color="auto" w:fill="auto"/>
            <w:hideMark/>
          </w:tcPr>
          <w:p w14:paraId="3B7684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 тыс. руб.</w:t>
            </w:r>
          </w:p>
        </w:tc>
        <w:tc>
          <w:tcPr>
            <w:tcW w:w="0" w:type="auto"/>
            <w:shd w:val="clear" w:color="auto" w:fill="auto"/>
            <w:hideMark/>
          </w:tcPr>
          <w:p w14:paraId="4CC485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5085 тыс. руб.</w:t>
            </w:r>
          </w:p>
        </w:tc>
        <w:tc>
          <w:tcPr>
            <w:tcW w:w="0" w:type="auto"/>
            <w:shd w:val="clear" w:color="auto" w:fill="auto"/>
            <w:hideMark/>
          </w:tcPr>
          <w:p w14:paraId="2A470E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1650 тыс. руб.</w:t>
            </w:r>
          </w:p>
        </w:tc>
      </w:tr>
      <w:tr w:rsidR="007D5DF8" w:rsidRPr="00DB5D0D" w14:paraId="42C4A189" w14:textId="77777777" w:rsidTr="009223E5">
        <w:tc>
          <w:tcPr>
            <w:tcW w:w="0" w:type="auto"/>
            <w:shd w:val="clear" w:color="auto" w:fill="auto"/>
            <w:hideMark/>
          </w:tcPr>
          <w:p w14:paraId="25195B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Оборудование В-2</w:t>
            </w:r>
          </w:p>
        </w:tc>
        <w:tc>
          <w:tcPr>
            <w:tcW w:w="0" w:type="auto"/>
            <w:shd w:val="clear" w:color="auto" w:fill="auto"/>
            <w:hideMark/>
          </w:tcPr>
          <w:p w14:paraId="58CF0E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0" w:type="auto"/>
            <w:shd w:val="clear" w:color="auto" w:fill="auto"/>
            <w:hideMark/>
          </w:tcPr>
          <w:p w14:paraId="1A6785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0" w:type="auto"/>
            <w:shd w:val="clear" w:color="auto" w:fill="auto"/>
            <w:hideMark/>
          </w:tcPr>
          <w:p w14:paraId="107710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11E4BC5D" w14:textId="77777777" w:rsidTr="009223E5">
        <w:tc>
          <w:tcPr>
            <w:tcW w:w="0" w:type="auto"/>
            <w:shd w:val="clear" w:color="auto" w:fill="auto"/>
            <w:hideMark/>
          </w:tcPr>
          <w:p w14:paraId="0C75EA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КПП</w:t>
            </w:r>
          </w:p>
        </w:tc>
        <w:tc>
          <w:tcPr>
            <w:tcW w:w="0" w:type="auto"/>
            <w:shd w:val="clear" w:color="auto" w:fill="auto"/>
            <w:hideMark/>
          </w:tcPr>
          <w:p w14:paraId="22B003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0" w:type="auto"/>
            <w:shd w:val="clear" w:color="auto" w:fill="auto"/>
            <w:hideMark/>
          </w:tcPr>
          <w:p w14:paraId="5592DC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0" w:type="auto"/>
            <w:shd w:val="clear" w:color="auto" w:fill="auto"/>
            <w:hideMark/>
          </w:tcPr>
          <w:p w14:paraId="7E11F4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bl>
    <w:p w14:paraId="0F1AE6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Сдача запасных частей отстает от сроков, согласованных в договорах.</w:t>
      </w:r>
    </w:p>
    <w:p w14:paraId="1611FD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183 требуется особое решение по вопросу отпускных и неизменных цен: Директор завода № 183, основываясь на личном распоряжении зам. Начальника ВО НКСМ тов. Богданова, отказывается от принятия заказа по БТ на сумму 2981,8 тыс. руб., и по Т-34 на сумму 915 тыс. руб., считая, что план заказов по Постановлению Правительства дан в неизменных ценах, которые по заводу № 183 на 15 % ниже отпускных цен.</w:t>
      </w:r>
    </w:p>
    <w:p w14:paraId="4B40B7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ГАБТУ КА составляет план заказов, заключает договоры и получает ассигнования кредитов по отпускным прейскурантным ценам, утвержденным Правительством. Поэтому прошу отменить распоряжение тов. Богданова.</w:t>
      </w:r>
    </w:p>
    <w:p w14:paraId="0CDD88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Т-34 —завод СТЗ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869"/>
        <w:gridCol w:w="1777"/>
        <w:gridCol w:w="2097"/>
      </w:tblGrid>
      <w:tr w:rsidR="007D5DF8" w:rsidRPr="00DB5D0D" w14:paraId="19C8709C" w14:textId="77777777" w:rsidTr="009223E5">
        <w:tc>
          <w:tcPr>
            <w:tcW w:w="0" w:type="auto"/>
            <w:shd w:val="clear" w:color="auto" w:fill="auto"/>
            <w:hideMark/>
          </w:tcPr>
          <w:p w14:paraId="29D5B1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0600DE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НКСМ</w:t>
            </w:r>
          </w:p>
        </w:tc>
        <w:tc>
          <w:tcPr>
            <w:tcW w:w="0" w:type="auto"/>
            <w:shd w:val="clear" w:color="auto" w:fill="auto"/>
            <w:hideMark/>
          </w:tcPr>
          <w:p w14:paraId="6A6C44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568079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076516B1" w14:textId="77777777" w:rsidTr="009223E5">
        <w:tc>
          <w:tcPr>
            <w:tcW w:w="0" w:type="auto"/>
            <w:shd w:val="clear" w:color="auto" w:fill="auto"/>
            <w:hideMark/>
          </w:tcPr>
          <w:p w14:paraId="3994E2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Запасные части</w:t>
            </w:r>
          </w:p>
        </w:tc>
        <w:tc>
          <w:tcPr>
            <w:tcW w:w="0" w:type="auto"/>
            <w:shd w:val="clear" w:color="auto" w:fill="auto"/>
            <w:hideMark/>
          </w:tcPr>
          <w:p w14:paraId="1FB663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10 000 тыс. руб.</w:t>
            </w:r>
          </w:p>
        </w:tc>
        <w:tc>
          <w:tcPr>
            <w:tcW w:w="0" w:type="auto"/>
            <w:shd w:val="clear" w:color="auto" w:fill="auto"/>
            <w:hideMark/>
          </w:tcPr>
          <w:p w14:paraId="33187A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6800 тыс. руб.</w:t>
            </w:r>
          </w:p>
        </w:tc>
        <w:tc>
          <w:tcPr>
            <w:tcW w:w="0" w:type="auto"/>
            <w:shd w:val="clear" w:color="auto" w:fill="auto"/>
            <w:hideMark/>
          </w:tcPr>
          <w:p w14:paraId="4D2E61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тыс. ру6.</w:t>
            </w:r>
          </w:p>
        </w:tc>
      </w:tr>
    </w:tbl>
    <w:p w14:paraId="4C2441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количествах и номенклатуре сдача запасных частей идет неудовлетворительно.</w:t>
      </w:r>
    </w:p>
    <w:p w14:paraId="25F80D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Поставку траков Т-34 завод отодвигает на конец года, мотивируя отсутствием мощностей.</w:t>
      </w:r>
    </w:p>
    <w:p w14:paraId="3839DC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KB — завод ЧТЗ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869"/>
        <w:gridCol w:w="1777"/>
        <w:gridCol w:w="2097"/>
      </w:tblGrid>
      <w:tr w:rsidR="007D5DF8" w:rsidRPr="00DB5D0D" w14:paraId="3CB45395" w14:textId="77777777" w:rsidTr="009223E5">
        <w:tc>
          <w:tcPr>
            <w:tcW w:w="0" w:type="auto"/>
            <w:shd w:val="clear" w:color="auto" w:fill="auto"/>
            <w:hideMark/>
          </w:tcPr>
          <w:p w14:paraId="1ED425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4BA5F5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НКСМ</w:t>
            </w:r>
          </w:p>
        </w:tc>
        <w:tc>
          <w:tcPr>
            <w:tcW w:w="0" w:type="auto"/>
            <w:shd w:val="clear" w:color="auto" w:fill="auto"/>
            <w:hideMark/>
          </w:tcPr>
          <w:p w14:paraId="38D63B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0DC43F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577A2B4C" w14:textId="77777777" w:rsidTr="009223E5">
        <w:tc>
          <w:tcPr>
            <w:tcW w:w="0" w:type="auto"/>
            <w:shd w:val="clear" w:color="auto" w:fill="auto"/>
            <w:hideMark/>
          </w:tcPr>
          <w:p w14:paraId="6CF73D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Запасные части</w:t>
            </w:r>
          </w:p>
        </w:tc>
        <w:tc>
          <w:tcPr>
            <w:tcW w:w="0" w:type="auto"/>
            <w:shd w:val="clear" w:color="auto" w:fill="auto"/>
            <w:hideMark/>
          </w:tcPr>
          <w:p w14:paraId="640E27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 тыс. руб.</w:t>
            </w:r>
          </w:p>
        </w:tc>
        <w:tc>
          <w:tcPr>
            <w:tcW w:w="0" w:type="auto"/>
            <w:shd w:val="clear" w:color="auto" w:fill="auto"/>
            <w:hideMark/>
          </w:tcPr>
          <w:p w14:paraId="0E11F5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shd w:val="clear" w:color="auto" w:fill="auto"/>
            <w:hideMark/>
          </w:tcPr>
          <w:p w14:paraId="6200E5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47AB8031" w14:textId="77777777" w:rsidTr="009223E5">
        <w:tc>
          <w:tcPr>
            <w:tcW w:w="0" w:type="auto"/>
            <w:shd w:val="clear" w:color="auto" w:fill="auto"/>
            <w:hideMark/>
          </w:tcPr>
          <w:p w14:paraId="04DBDF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КПП</w:t>
            </w:r>
          </w:p>
        </w:tc>
        <w:tc>
          <w:tcPr>
            <w:tcW w:w="0" w:type="auto"/>
            <w:shd w:val="clear" w:color="auto" w:fill="auto"/>
            <w:hideMark/>
          </w:tcPr>
          <w:p w14:paraId="022653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0" w:type="auto"/>
            <w:shd w:val="clear" w:color="auto" w:fill="auto"/>
            <w:hideMark/>
          </w:tcPr>
          <w:p w14:paraId="136327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shd w:val="clear" w:color="auto" w:fill="auto"/>
            <w:hideMark/>
          </w:tcPr>
          <w:p w14:paraId="5DE57A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bl>
    <w:p w14:paraId="1961BA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Договор был выслан на завод 23.1.41 года, но до выхода Постановления по плану заказов завод отказался от подписания договора. Вторично договор выслан 17.5.41 г. и до настоящего времени с завода не возвращен.</w:t>
      </w:r>
    </w:p>
    <w:p w14:paraId="553EC2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Сдачу запасных частей ЧТЗ не производил.</w:t>
      </w:r>
    </w:p>
    <w:p w14:paraId="63C653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Дизеля В-2 — завод № 75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869"/>
        <w:gridCol w:w="1777"/>
        <w:gridCol w:w="2097"/>
      </w:tblGrid>
      <w:tr w:rsidR="007D5DF8" w:rsidRPr="00DB5D0D" w14:paraId="0F0EBDB6" w14:textId="77777777" w:rsidTr="009223E5">
        <w:tc>
          <w:tcPr>
            <w:tcW w:w="0" w:type="auto"/>
            <w:shd w:val="clear" w:color="auto" w:fill="auto"/>
            <w:hideMark/>
          </w:tcPr>
          <w:p w14:paraId="4A831B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22D36E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НКСМ</w:t>
            </w:r>
          </w:p>
        </w:tc>
        <w:tc>
          <w:tcPr>
            <w:tcW w:w="0" w:type="auto"/>
            <w:shd w:val="clear" w:color="auto" w:fill="auto"/>
            <w:hideMark/>
          </w:tcPr>
          <w:p w14:paraId="2442F3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378BF3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77B9F889" w14:textId="77777777" w:rsidTr="009223E5">
        <w:tc>
          <w:tcPr>
            <w:tcW w:w="0" w:type="auto"/>
            <w:shd w:val="clear" w:color="auto" w:fill="auto"/>
            <w:hideMark/>
          </w:tcPr>
          <w:p w14:paraId="4390AE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В-2</w:t>
            </w:r>
          </w:p>
        </w:tc>
        <w:tc>
          <w:tcPr>
            <w:tcW w:w="0" w:type="auto"/>
            <w:shd w:val="clear" w:color="auto" w:fill="auto"/>
            <w:hideMark/>
          </w:tcPr>
          <w:p w14:paraId="20837E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w:t>
            </w:r>
          </w:p>
        </w:tc>
        <w:tc>
          <w:tcPr>
            <w:tcW w:w="0" w:type="auto"/>
            <w:shd w:val="clear" w:color="auto" w:fill="auto"/>
            <w:hideMark/>
          </w:tcPr>
          <w:p w14:paraId="6F9232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w:t>
            </w:r>
          </w:p>
        </w:tc>
        <w:tc>
          <w:tcPr>
            <w:tcW w:w="0" w:type="auto"/>
            <w:shd w:val="clear" w:color="auto" w:fill="auto"/>
            <w:hideMark/>
          </w:tcPr>
          <w:p w14:paraId="56B4F8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w:t>
            </w:r>
          </w:p>
        </w:tc>
      </w:tr>
      <w:tr w:rsidR="007D5DF8" w:rsidRPr="00DB5D0D" w14:paraId="6752DBCB" w14:textId="77777777" w:rsidTr="009223E5">
        <w:tc>
          <w:tcPr>
            <w:tcW w:w="0" w:type="auto"/>
            <w:shd w:val="clear" w:color="auto" w:fill="auto"/>
            <w:hideMark/>
          </w:tcPr>
          <w:p w14:paraId="348089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В-2-34</w:t>
            </w:r>
          </w:p>
        </w:tc>
        <w:tc>
          <w:tcPr>
            <w:tcW w:w="0" w:type="auto"/>
            <w:shd w:val="clear" w:color="auto" w:fill="auto"/>
            <w:hideMark/>
          </w:tcPr>
          <w:p w14:paraId="42302B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0" w:type="auto"/>
            <w:shd w:val="clear" w:color="auto" w:fill="auto"/>
            <w:hideMark/>
          </w:tcPr>
          <w:p w14:paraId="4D08E2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0" w:type="auto"/>
            <w:shd w:val="clear" w:color="auto" w:fill="auto"/>
            <w:hideMark/>
          </w:tcPr>
          <w:p w14:paraId="68E9AB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r>
      <w:tr w:rsidR="007D5DF8" w:rsidRPr="00DB5D0D" w14:paraId="6EA1AF6F" w14:textId="77777777" w:rsidTr="009223E5">
        <w:tc>
          <w:tcPr>
            <w:tcW w:w="0" w:type="auto"/>
            <w:shd w:val="clear" w:color="auto" w:fill="auto"/>
            <w:hideMark/>
          </w:tcPr>
          <w:p w14:paraId="70C6FA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В-2-К</w:t>
            </w:r>
          </w:p>
        </w:tc>
        <w:tc>
          <w:tcPr>
            <w:tcW w:w="0" w:type="auto"/>
            <w:shd w:val="clear" w:color="auto" w:fill="auto"/>
            <w:hideMark/>
          </w:tcPr>
          <w:p w14:paraId="1C738F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c>
          <w:tcPr>
            <w:tcW w:w="0" w:type="auto"/>
            <w:shd w:val="clear" w:color="auto" w:fill="auto"/>
            <w:hideMark/>
          </w:tcPr>
          <w:p w14:paraId="185506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c>
          <w:tcPr>
            <w:tcW w:w="0" w:type="auto"/>
            <w:shd w:val="clear" w:color="auto" w:fill="auto"/>
            <w:hideMark/>
          </w:tcPr>
          <w:p w14:paraId="10D8F7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r>
      <w:tr w:rsidR="007D5DF8" w:rsidRPr="00DB5D0D" w14:paraId="65C9E98B" w14:textId="77777777" w:rsidTr="009223E5">
        <w:tc>
          <w:tcPr>
            <w:tcW w:w="0" w:type="auto"/>
            <w:shd w:val="clear" w:color="auto" w:fill="auto"/>
            <w:hideMark/>
          </w:tcPr>
          <w:p w14:paraId="4BD439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В-5</w:t>
            </w:r>
          </w:p>
        </w:tc>
        <w:tc>
          <w:tcPr>
            <w:tcW w:w="0" w:type="auto"/>
            <w:shd w:val="clear" w:color="auto" w:fill="auto"/>
            <w:hideMark/>
          </w:tcPr>
          <w:p w14:paraId="27AEA6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0" w:type="auto"/>
            <w:shd w:val="clear" w:color="auto" w:fill="auto"/>
            <w:hideMark/>
          </w:tcPr>
          <w:p w14:paraId="72442B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0" w:type="auto"/>
            <w:shd w:val="clear" w:color="auto" w:fill="auto"/>
            <w:hideMark/>
          </w:tcPr>
          <w:p w14:paraId="3C3559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A7937C5" w14:textId="77777777" w:rsidTr="009223E5">
        <w:tc>
          <w:tcPr>
            <w:tcW w:w="0" w:type="auto"/>
            <w:shd w:val="clear" w:color="auto" w:fill="auto"/>
            <w:hideMark/>
          </w:tcPr>
          <w:p w14:paraId="0E1160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В-2-В</w:t>
            </w:r>
          </w:p>
        </w:tc>
        <w:tc>
          <w:tcPr>
            <w:tcW w:w="0" w:type="auto"/>
            <w:shd w:val="clear" w:color="auto" w:fill="auto"/>
            <w:hideMark/>
          </w:tcPr>
          <w:p w14:paraId="4BBF24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0" w:type="auto"/>
            <w:shd w:val="clear" w:color="auto" w:fill="auto"/>
            <w:hideMark/>
          </w:tcPr>
          <w:p w14:paraId="7EE857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0" w:type="auto"/>
            <w:shd w:val="clear" w:color="auto" w:fill="auto"/>
            <w:hideMark/>
          </w:tcPr>
          <w:p w14:paraId="3275C0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w:t>
            </w:r>
          </w:p>
        </w:tc>
      </w:tr>
      <w:tr w:rsidR="007D5DF8" w:rsidRPr="00DB5D0D" w14:paraId="340EEAA0" w14:textId="77777777" w:rsidTr="009223E5">
        <w:tc>
          <w:tcPr>
            <w:tcW w:w="0" w:type="auto"/>
            <w:shd w:val="clear" w:color="auto" w:fill="auto"/>
            <w:hideMark/>
          </w:tcPr>
          <w:p w14:paraId="475D71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В-4</w:t>
            </w:r>
          </w:p>
        </w:tc>
        <w:tc>
          <w:tcPr>
            <w:tcW w:w="0" w:type="auto"/>
            <w:shd w:val="clear" w:color="auto" w:fill="auto"/>
            <w:hideMark/>
          </w:tcPr>
          <w:p w14:paraId="66DA51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0" w:type="auto"/>
            <w:shd w:val="clear" w:color="auto" w:fill="auto"/>
            <w:hideMark/>
          </w:tcPr>
          <w:p w14:paraId="607520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0" w:type="auto"/>
            <w:shd w:val="clear" w:color="auto" w:fill="auto"/>
            <w:hideMark/>
          </w:tcPr>
          <w:p w14:paraId="08760E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527085D" w14:textId="77777777" w:rsidTr="009223E5">
        <w:tc>
          <w:tcPr>
            <w:tcW w:w="0" w:type="auto"/>
            <w:shd w:val="clear" w:color="auto" w:fill="auto"/>
            <w:hideMark/>
          </w:tcPr>
          <w:p w14:paraId="3B4BC9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Запасные части</w:t>
            </w:r>
          </w:p>
        </w:tc>
        <w:tc>
          <w:tcPr>
            <w:tcW w:w="0" w:type="auto"/>
            <w:shd w:val="clear" w:color="auto" w:fill="auto"/>
            <w:hideMark/>
          </w:tcPr>
          <w:p w14:paraId="65794C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10 000 тыс. руб.</w:t>
            </w:r>
          </w:p>
        </w:tc>
        <w:tc>
          <w:tcPr>
            <w:tcW w:w="0" w:type="auto"/>
            <w:shd w:val="clear" w:color="auto" w:fill="auto"/>
            <w:hideMark/>
          </w:tcPr>
          <w:p w14:paraId="796A69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14 000 тыс. руб.</w:t>
            </w:r>
          </w:p>
        </w:tc>
        <w:tc>
          <w:tcPr>
            <w:tcW w:w="0" w:type="auto"/>
            <w:shd w:val="clear" w:color="auto" w:fill="auto"/>
            <w:hideMark/>
          </w:tcPr>
          <w:p w14:paraId="0251BF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3180 тыс. руб.</w:t>
            </w:r>
          </w:p>
        </w:tc>
      </w:tr>
    </w:tbl>
    <w:p w14:paraId="157886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Сдача запасных частей к дизелям идет неудовлетворительно. На 1.6.41 г. поставлено только 59 % плана</w:t>
      </w:r>
      <w:hyperlink r:id="rId133" w:anchor="n_58" w:history="1">
        <w:r w:rsidRPr="00DB5D0D">
          <w:rPr>
            <w:rFonts w:ascii="Times New Roman" w:hAnsi="Times New Roman"/>
            <w:color w:val="000000" w:themeColor="text1"/>
            <w:sz w:val="16"/>
            <w:szCs w:val="16"/>
          </w:rPr>
          <w:t>[58]</w:t>
        </w:r>
      </w:hyperlink>
      <w:r w:rsidRPr="00DB5D0D">
        <w:rPr>
          <w:rFonts w:ascii="Times New Roman" w:hAnsi="Times New Roman"/>
          <w:color w:val="000000" w:themeColor="text1"/>
          <w:sz w:val="16"/>
          <w:szCs w:val="16"/>
        </w:rPr>
        <w:t>, что не удовлетворяет потребности Рембаз, приступивших к ремонту дизелей. Ввиду плохой поставки дизель-моторов, большое количество танков БТ-7M небоеспособно.</w:t>
      </w:r>
    </w:p>
    <w:p w14:paraId="4BC89A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75 отказывается от определения в договоре помесячных и поквартальных поставок, что делает совершенно невозможным планирование ремонтов танков. Со стороны Наркомата соответственных указаний заводу № 75 не дано.</w:t>
      </w:r>
    </w:p>
    <w:p w14:paraId="69D8F0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ГАБТУ КА предлагает следующие квартальные сроки поставки дизелей: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5"/>
        <w:gridCol w:w="610"/>
        <w:gridCol w:w="862"/>
        <w:gridCol w:w="862"/>
        <w:gridCol w:w="611"/>
      </w:tblGrid>
      <w:tr w:rsidR="007D5DF8" w:rsidRPr="00DB5D0D" w14:paraId="7FDEC7F6" w14:textId="77777777" w:rsidTr="009223E5">
        <w:tc>
          <w:tcPr>
            <w:tcW w:w="0" w:type="auto"/>
            <w:shd w:val="clear" w:color="auto" w:fill="auto"/>
            <w:hideMark/>
          </w:tcPr>
          <w:p w14:paraId="429DEB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3F5374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w:t>
            </w:r>
          </w:p>
        </w:tc>
        <w:tc>
          <w:tcPr>
            <w:tcW w:w="0" w:type="auto"/>
            <w:shd w:val="clear" w:color="auto" w:fill="auto"/>
            <w:hideMark/>
          </w:tcPr>
          <w:p w14:paraId="7FAF5F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квартал</w:t>
            </w:r>
          </w:p>
        </w:tc>
        <w:tc>
          <w:tcPr>
            <w:tcW w:w="0" w:type="auto"/>
            <w:shd w:val="clear" w:color="auto" w:fill="auto"/>
            <w:hideMark/>
          </w:tcPr>
          <w:p w14:paraId="05EB84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квартал</w:t>
            </w:r>
          </w:p>
        </w:tc>
        <w:tc>
          <w:tcPr>
            <w:tcW w:w="0" w:type="auto"/>
            <w:shd w:val="clear" w:color="auto" w:fill="auto"/>
            <w:hideMark/>
          </w:tcPr>
          <w:p w14:paraId="3734CE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r>
      <w:tr w:rsidR="007D5DF8" w:rsidRPr="00DB5D0D" w14:paraId="3081F8FD" w14:textId="77777777" w:rsidTr="009223E5">
        <w:tc>
          <w:tcPr>
            <w:tcW w:w="0" w:type="auto"/>
            <w:shd w:val="clear" w:color="auto" w:fill="auto"/>
            <w:hideMark/>
          </w:tcPr>
          <w:p w14:paraId="20AA2F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В-2</w:t>
            </w:r>
          </w:p>
        </w:tc>
        <w:tc>
          <w:tcPr>
            <w:tcW w:w="0" w:type="auto"/>
            <w:shd w:val="clear" w:color="auto" w:fill="auto"/>
            <w:hideMark/>
          </w:tcPr>
          <w:p w14:paraId="3BE5EF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0" w:type="auto"/>
            <w:shd w:val="clear" w:color="auto" w:fill="auto"/>
            <w:hideMark/>
          </w:tcPr>
          <w:p w14:paraId="7F144B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0" w:type="auto"/>
            <w:shd w:val="clear" w:color="auto" w:fill="auto"/>
            <w:hideMark/>
          </w:tcPr>
          <w:p w14:paraId="48A2B2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0" w:type="auto"/>
            <w:shd w:val="clear" w:color="auto" w:fill="auto"/>
            <w:hideMark/>
          </w:tcPr>
          <w:p w14:paraId="24AA33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w:t>
            </w:r>
          </w:p>
        </w:tc>
      </w:tr>
      <w:tr w:rsidR="007D5DF8" w:rsidRPr="00DB5D0D" w14:paraId="303882F0" w14:textId="77777777" w:rsidTr="009223E5">
        <w:tc>
          <w:tcPr>
            <w:tcW w:w="0" w:type="auto"/>
            <w:shd w:val="clear" w:color="auto" w:fill="auto"/>
            <w:hideMark/>
          </w:tcPr>
          <w:p w14:paraId="0539D9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В-2–34</w:t>
            </w:r>
          </w:p>
        </w:tc>
        <w:tc>
          <w:tcPr>
            <w:tcW w:w="0" w:type="auto"/>
            <w:shd w:val="clear" w:color="auto" w:fill="auto"/>
            <w:hideMark/>
          </w:tcPr>
          <w:p w14:paraId="174E6A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0" w:type="auto"/>
            <w:shd w:val="clear" w:color="auto" w:fill="auto"/>
            <w:hideMark/>
          </w:tcPr>
          <w:p w14:paraId="3664C6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0" w:type="auto"/>
            <w:shd w:val="clear" w:color="auto" w:fill="auto"/>
            <w:hideMark/>
          </w:tcPr>
          <w:p w14:paraId="5319DF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0" w:type="auto"/>
            <w:shd w:val="clear" w:color="auto" w:fill="auto"/>
            <w:hideMark/>
          </w:tcPr>
          <w:p w14:paraId="229E5B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296</w:t>
            </w:r>
          </w:p>
        </w:tc>
      </w:tr>
      <w:tr w:rsidR="007D5DF8" w:rsidRPr="00DB5D0D" w14:paraId="22F1659F" w14:textId="77777777" w:rsidTr="009223E5">
        <w:tc>
          <w:tcPr>
            <w:tcW w:w="0" w:type="auto"/>
            <w:shd w:val="clear" w:color="auto" w:fill="auto"/>
            <w:hideMark/>
          </w:tcPr>
          <w:p w14:paraId="0303F8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В-2-К</w:t>
            </w:r>
          </w:p>
        </w:tc>
        <w:tc>
          <w:tcPr>
            <w:tcW w:w="0" w:type="auto"/>
            <w:shd w:val="clear" w:color="auto" w:fill="auto"/>
            <w:hideMark/>
          </w:tcPr>
          <w:p w14:paraId="4A6A7C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0" w:type="auto"/>
            <w:shd w:val="clear" w:color="auto" w:fill="auto"/>
            <w:hideMark/>
          </w:tcPr>
          <w:p w14:paraId="724173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0" w:type="auto"/>
            <w:shd w:val="clear" w:color="auto" w:fill="auto"/>
            <w:hideMark/>
          </w:tcPr>
          <w:p w14:paraId="53E790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0" w:type="auto"/>
            <w:shd w:val="clear" w:color="auto" w:fill="auto"/>
            <w:hideMark/>
          </w:tcPr>
          <w:p w14:paraId="759652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r>
      <w:tr w:rsidR="007D5DF8" w:rsidRPr="00DB5D0D" w14:paraId="0024C59F" w14:textId="77777777" w:rsidTr="009223E5">
        <w:tc>
          <w:tcPr>
            <w:tcW w:w="0" w:type="auto"/>
            <w:shd w:val="clear" w:color="auto" w:fill="auto"/>
            <w:hideMark/>
          </w:tcPr>
          <w:p w14:paraId="21D43E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В-5</w:t>
            </w:r>
          </w:p>
        </w:tc>
        <w:tc>
          <w:tcPr>
            <w:tcW w:w="0" w:type="auto"/>
            <w:shd w:val="clear" w:color="auto" w:fill="auto"/>
            <w:hideMark/>
          </w:tcPr>
          <w:p w14:paraId="666FC2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_</w:t>
            </w:r>
          </w:p>
        </w:tc>
        <w:tc>
          <w:tcPr>
            <w:tcW w:w="0" w:type="auto"/>
            <w:shd w:val="clear" w:color="auto" w:fill="auto"/>
            <w:hideMark/>
          </w:tcPr>
          <w:p w14:paraId="68977C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0" w:type="auto"/>
            <w:shd w:val="clear" w:color="auto" w:fill="auto"/>
            <w:hideMark/>
          </w:tcPr>
          <w:p w14:paraId="16934D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0" w:type="auto"/>
            <w:shd w:val="clear" w:color="auto" w:fill="auto"/>
            <w:hideMark/>
          </w:tcPr>
          <w:p w14:paraId="2C1D6E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r>
      <w:tr w:rsidR="007D5DF8" w:rsidRPr="00DB5D0D" w14:paraId="3A2980C0" w14:textId="77777777" w:rsidTr="009223E5">
        <w:tc>
          <w:tcPr>
            <w:tcW w:w="0" w:type="auto"/>
            <w:shd w:val="clear" w:color="auto" w:fill="auto"/>
            <w:hideMark/>
          </w:tcPr>
          <w:p w14:paraId="1DBE23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В-4</w:t>
            </w:r>
          </w:p>
        </w:tc>
        <w:tc>
          <w:tcPr>
            <w:tcW w:w="0" w:type="auto"/>
            <w:shd w:val="clear" w:color="auto" w:fill="auto"/>
            <w:hideMark/>
          </w:tcPr>
          <w:p w14:paraId="22585A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0" w:type="auto"/>
            <w:shd w:val="clear" w:color="auto" w:fill="auto"/>
            <w:hideMark/>
          </w:tcPr>
          <w:p w14:paraId="32A610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0" w:type="auto"/>
            <w:shd w:val="clear" w:color="auto" w:fill="auto"/>
            <w:hideMark/>
          </w:tcPr>
          <w:p w14:paraId="27C801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0" w:type="auto"/>
            <w:shd w:val="clear" w:color="auto" w:fill="auto"/>
            <w:hideMark/>
          </w:tcPr>
          <w:p w14:paraId="3EF0E2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r w:rsidR="007D5DF8" w:rsidRPr="00DB5D0D" w14:paraId="7823B0A8" w14:textId="77777777" w:rsidTr="009223E5">
        <w:tc>
          <w:tcPr>
            <w:tcW w:w="0" w:type="auto"/>
            <w:shd w:val="clear" w:color="auto" w:fill="auto"/>
            <w:hideMark/>
          </w:tcPr>
          <w:p w14:paraId="653D13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0" w:type="auto"/>
            <w:shd w:val="clear" w:color="auto" w:fill="auto"/>
            <w:hideMark/>
          </w:tcPr>
          <w:p w14:paraId="7325CA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w:t>
            </w:r>
          </w:p>
        </w:tc>
        <w:tc>
          <w:tcPr>
            <w:tcW w:w="0" w:type="auto"/>
            <w:shd w:val="clear" w:color="auto" w:fill="auto"/>
            <w:hideMark/>
          </w:tcPr>
          <w:p w14:paraId="0BCBA6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w:t>
            </w:r>
          </w:p>
        </w:tc>
        <w:tc>
          <w:tcPr>
            <w:tcW w:w="0" w:type="auto"/>
            <w:shd w:val="clear" w:color="auto" w:fill="auto"/>
            <w:hideMark/>
          </w:tcPr>
          <w:p w14:paraId="1ECFB1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265</w:t>
            </w:r>
          </w:p>
        </w:tc>
        <w:tc>
          <w:tcPr>
            <w:tcW w:w="0" w:type="auto"/>
            <w:shd w:val="clear" w:color="auto" w:fill="auto"/>
            <w:hideMark/>
          </w:tcPr>
          <w:p w14:paraId="20CD1E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0C3D05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Т-26 —завод № 174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5"/>
        <w:gridCol w:w="1869"/>
        <w:gridCol w:w="1777"/>
        <w:gridCol w:w="2097"/>
      </w:tblGrid>
      <w:tr w:rsidR="007D5DF8" w:rsidRPr="00DB5D0D" w14:paraId="14D3CAD3" w14:textId="77777777" w:rsidTr="009223E5">
        <w:tc>
          <w:tcPr>
            <w:tcW w:w="0" w:type="auto"/>
            <w:shd w:val="clear" w:color="auto" w:fill="auto"/>
            <w:hideMark/>
          </w:tcPr>
          <w:p w14:paraId="1C0821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7EFE6D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приказу НКСМ</w:t>
            </w:r>
          </w:p>
        </w:tc>
        <w:tc>
          <w:tcPr>
            <w:tcW w:w="0" w:type="auto"/>
            <w:shd w:val="clear" w:color="auto" w:fill="auto"/>
            <w:hideMark/>
          </w:tcPr>
          <w:p w14:paraId="01B731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6BEA41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на 1.06.1941 г.</w:t>
            </w:r>
          </w:p>
        </w:tc>
      </w:tr>
      <w:tr w:rsidR="007D5DF8" w:rsidRPr="00DB5D0D" w14:paraId="55D15C20" w14:textId="77777777" w:rsidTr="009223E5">
        <w:tc>
          <w:tcPr>
            <w:tcW w:w="0" w:type="auto"/>
            <w:shd w:val="clear" w:color="auto" w:fill="auto"/>
            <w:hideMark/>
          </w:tcPr>
          <w:p w14:paraId="1C18B8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Запчасти</w:t>
            </w:r>
          </w:p>
        </w:tc>
        <w:tc>
          <w:tcPr>
            <w:tcW w:w="0" w:type="auto"/>
            <w:shd w:val="clear" w:color="auto" w:fill="auto"/>
            <w:hideMark/>
          </w:tcPr>
          <w:p w14:paraId="7B7B1F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29 700 тыс. руб.</w:t>
            </w:r>
          </w:p>
        </w:tc>
        <w:tc>
          <w:tcPr>
            <w:tcW w:w="0" w:type="auto"/>
            <w:shd w:val="clear" w:color="auto" w:fill="auto"/>
            <w:hideMark/>
          </w:tcPr>
          <w:p w14:paraId="3D6FD0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30 260 тыс. руб.</w:t>
            </w:r>
          </w:p>
        </w:tc>
        <w:tc>
          <w:tcPr>
            <w:tcW w:w="0" w:type="auto"/>
            <w:shd w:val="clear" w:color="auto" w:fill="auto"/>
            <w:hideMark/>
          </w:tcPr>
          <w:p w14:paraId="05A995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18440 тыс. руб.</w:t>
            </w:r>
          </w:p>
        </w:tc>
      </w:tr>
      <w:tr w:rsidR="007D5DF8" w:rsidRPr="00DB5D0D" w14:paraId="3254BF5F" w14:textId="77777777" w:rsidTr="009223E5">
        <w:tc>
          <w:tcPr>
            <w:tcW w:w="0" w:type="auto"/>
            <w:shd w:val="clear" w:color="auto" w:fill="auto"/>
            <w:hideMark/>
          </w:tcPr>
          <w:p w14:paraId="5BC817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Двигатели</w:t>
            </w:r>
          </w:p>
        </w:tc>
        <w:tc>
          <w:tcPr>
            <w:tcW w:w="0" w:type="auto"/>
            <w:shd w:val="clear" w:color="auto" w:fill="auto"/>
            <w:hideMark/>
          </w:tcPr>
          <w:p w14:paraId="2638C9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984</w:t>
            </w:r>
          </w:p>
        </w:tc>
        <w:tc>
          <w:tcPr>
            <w:tcW w:w="0" w:type="auto"/>
            <w:shd w:val="clear" w:color="auto" w:fill="auto"/>
            <w:hideMark/>
          </w:tcPr>
          <w:p w14:paraId="6B9935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0" w:type="auto"/>
            <w:shd w:val="clear" w:color="auto" w:fill="auto"/>
            <w:hideMark/>
          </w:tcPr>
          <w:p w14:paraId="6FA89B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bl>
    <w:p w14:paraId="783E6C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Заводом № 174 не выдерживаются сроки поставки по договорам. Совершенно плохо сдаются дефицитные детали: цилиндры, нижние половины картера мотора, направляющие втулки клапанов, венцы ведущих колес, нижние катки, бандажи нижних катков и т. д.</w:t>
      </w:r>
    </w:p>
    <w:p w14:paraId="0DDF59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Т-40 — завод № 37, ЗИС и ГАЗ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3"/>
        <w:gridCol w:w="1704"/>
        <w:gridCol w:w="1777"/>
        <w:gridCol w:w="2045"/>
        <w:gridCol w:w="1798"/>
      </w:tblGrid>
      <w:tr w:rsidR="007D5DF8" w:rsidRPr="00DB5D0D" w14:paraId="6405F285" w14:textId="77777777" w:rsidTr="009223E5">
        <w:tc>
          <w:tcPr>
            <w:tcW w:w="0" w:type="auto"/>
            <w:shd w:val="clear" w:color="auto" w:fill="auto"/>
            <w:hideMark/>
          </w:tcPr>
          <w:p w14:paraId="4C69C9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115308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w:t>
            </w:r>
          </w:p>
        </w:tc>
        <w:tc>
          <w:tcPr>
            <w:tcW w:w="0" w:type="auto"/>
            <w:shd w:val="clear" w:color="auto" w:fill="auto"/>
            <w:hideMark/>
          </w:tcPr>
          <w:p w14:paraId="396814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68F91D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Осталось не размещенным</w:t>
            </w:r>
          </w:p>
        </w:tc>
        <w:tc>
          <w:tcPr>
            <w:tcW w:w="0" w:type="auto"/>
            <w:shd w:val="clear" w:color="auto" w:fill="auto"/>
            <w:hideMark/>
          </w:tcPr>
          <w:p w14:paraId="37EB96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Поставлено на 1.6.41 г.</w:t>
            </w:r>
          </w:p>
        </w:tc>
      </w:tr>
      <w:tr w:rsidR="007D5DF8" w:rsidRPr="00DB5D0D" w14:paraId="44D8B25D" w14:textId="77777777" w:rsidTr="009223E5">
        <w:tc>
          <w:tcPr>
            <w:tcW w:w="0" w:type="auto"/>
            <w:shd w:val="clear" w:color="auto" w:fill="auto"/>
            <w:hideMark/>
          </w:tcPr>
          <w:p w14:paraId="5335B8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Запчасти Т-40</w:t>
            </w:r>
          </w:p>
        </w:tc>
        <w:tc>
          <w:tcPr>
            <w:tcW w:w="0" w:type="auto"/>
            <w:shd w:val="clear" w:color="auto" w:fill="auto"/>
            <w:hideMark/>
          </w:tcPr>
          <w:p w14:paraId="4EEC2F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4300 тыс. руб.</w:t>
            </w:r>
          </w:p>
        </w:tc>
        <w:tc>
          <w:tcPr>
            <w:tcW w:w="0" w:type="auto"/>
            <w:shd w:val="clear" w:color="auto" w:fill="auto"/>
            <w:hideMark/>
          </w:tcPr>
          <w:p w14:paraId="55EAE1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 тыс. руб.</w:t>
            </w:r>
          </w:p>
        </w:tc>
        <w:tc>
          <w:tcPr>
            <w:tcW w:w="0" w:type="auto"/>
            <w:shd w:val="clear" w:color="auto" w:fill="auto"/>
            <w:hideMark/>
          </w:tcPr>
          <w:p w14:paraId="2ED2A7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 тыс. руб.</w:t>
            </w:r>
          </w:p>
        </w:tc>
        <w:tc>
          <w:tcPr>
            <w:tcW w:w="0" w:type="auto"/>
            <w:shd w:val="clear" w:color="auto" w:fill="auto"/>
            <w:hideMark/>
          </w:tcPr>
          <w:p w14:paraId="625DD5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407 тыс. руб.</w:t>
            </w:r>
          </w:p>
        </w:tc>
      </w:tr>
      <w:tr w:rsidR="007D5DF8" w:rsidRPr="00DB5D0D" w14:paraId="361C9726" w14:textId="77777777" w:rsidTr="009223E5">
        <w:tc>
          <w:tcPr>
            <w:tcW w:w="0" w:type="auto"/>
            <w:shd w:val="clear" w:color="auto" w:fill="auto"/>
            <w:hideMark/>
          </w:tcPr>
          <w:p w14:paraId="483F7A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ГАЗ-202</w:t>
            </w:r>
          </w:p>
        </w:tc>
        <w:tc>
          <w:tcPr>
            <w:tcW w:w="0" w:type="auto"/>
            <w:shd w:val="clear" w:color="auto" w:fill="auto"/>
            <w:hideMark/>
          </w:tcPr>
          <w:p w14:paraId="465786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 шт./ 600 тыс. руб.</w:t>
            </w:r>
          </w:p>
        </w:tc>
        <w:tc>
          <w:tcPr>
            <w:tcW w:w="0" w:type="auto"/>
            <w:shd w:val="clear" w:color="auto" w:fill="auto"/>
            <w:hideMark/>
          </w:tcPr>
          <w:p w14:paraId="26CB2B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0" w:type="auto"/>
            <w:shd w:val="clear" w:color="auto" w:fill="auto"/>
            <w:hideMark/>
          </w:tcPr>
          <w:p w14:paraId="5B3D91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 шт./ 600 тыс. руб.</w:t>
            </w:r>
          </w:p>
        </w:tc>
        <w:tc>
          <w:tcPr>
            <w:tcW w:w="0" w:type="auto"/>
            <w:shd w:val="clear" w:color="auto" w:fill="auto"/>
            <w:hideMark/>
          </w:tcPr>
          <w:p w14:paraId="63F7D7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5C8E45D" w14:textId="77777777" w:rsidTr="009223E5">
        <w:tc>
          <w:tcPr>
            <w:tcW w:w="0" w:type="auto"/>
            <w:shd w:val="clear" w:color="auto" w:fill="auto"/>
            <w:hideMark/>
          </w:tcPr>
          <w:p w14:paraId="01DF61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Запчасти ГАЗ-202</w:t>
            </w:r>
          </w:p>
        </w:tc>
        <w:tc>
          <w:tcPr>
            <w:tcW w:w="0" w:type="auto"/>
            <w:shd w:val="clear" w:color="auto" w:fill="auto"/>
            <w:hideMark/>
          </w:tcPr>
          <w:p w14:paraId="71B3E2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 тыс. руб.</w:t>
            </w:r>
          </w:p>
        </w:tc>
        <w:tc>
          <w:tcPr>
            <w:tcW w:w="0" w:type="auto"/>
            <w:shd w:val="clear" w:color="auto" w:fill="auto"/>
            <w:hideMark/>
          </w:tcPr>
          <w:p w14:paraId="1CF7A8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0" w:type="auto"/>
            <w:shd w:val="clear" w:color="auto" w:fill="auto"/>
            <w:hideMark/>
          </w:tcPr>
          <w:p w14:paraId="640D8E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 тыс. руб.</w:t>
            </w:r>
          </w:p>
        </w:tc>
        <w:tc>
          <w:tcPr>
            <w:tcW w:w="0" w:type="auto"/>
            <w:shd w:val="clear" w:color="auto" w:fill="auto"/>
            <w:hideMark/>
          </w:tcPr>
          <w:p w14:paraId="771E70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66EDC2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заключенному договору сдача запасных частей по номенклатуре идет неудовлетворительно, с большим отставанием от сроков, согласованных в договорах.</w:t>
      </w:r>
    </w:p>
    <w:p w14:paraId="4A4B15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ГАЗ высланные ему доп. соглашения на моторы ГАЗ-202, запчасти к ним, задние мосты к Т-37, рессоры Т-26 без всякого объяснения причин не оформляет.</w:t>
      </w:r>
    </w:p>
    <w:p w14:paraId="3D77F1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Моторы М-5 — завод № 48 (филиал завода № 75)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5"/>
        <w:gridCol w:w="1186"/>
        <w:gridCol w:w="1777"/>
        <w:gridCol w:w="2045"/>
        <w:gridCol w:w="1798"/>
      </w:tblGrid>
      <w:tr w:rsidR="007D5DF8" w:rsidRPr="00DB5D0D" w14:paraId="25A38A95" w14:textId="77777777" w:rsidTr="009223E5">
        <w:tc>
          <w:tcPr>
            <w:tcW w:w="0" w:type="auto"/>
            <w:shd w:val="clear" w:color="auto" w:fill="auto"/>
            <w:hideMark/>
          </w:tcPr>
          <w:p w14:paraId="3D8073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0" w:type="auto"/>
            <w:shd w:val="clear" w:color="auto" w:fill="auto"/>
            <w:hideMark/>
          </w:tcPr>
          <w:p w14:paraId="03DB47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w:t>
            </w:r>
          </w:p>
        </w:tc>
        <w:tc>
          <w:tcPr>
            <w:tcW w:w="0" w:type="auto"/>
            <w:shd w:val="clear" w:color="auto" w:fill="auto"/>
            <w:hideMark/>
          </w:tcPr>
          <w:p w14:paraId="0E60F8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Оформлено договором</w:t>
            </w:r>
          </w:p>
        </w:tc>
        <w:tc>
          <w:tcPr>
            <w:tcW w:w="0" w:type="auto"/>
            <w:shd w:val="clear" w:color="auto" w:fill="auto"/>
            <w:hideMark/>
          </w:tcPr>
          <w:p w14:paraId="391AB8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Осталось не размещенным</w:t>
            </w:r>
          </w:p>
        </w:tc>
        <w:tc>
          <w:tcPr>
            <w:tcW w:w="0" w:type="auto"/>
            <w:shd w:val="clear" w:color="auto" w:fill="auto"/>
            <w:hideMark/>
          </w:tcPr>
          <w:p w14:paraId="5132D1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Поставлено на 1.6.41 г.</w:t>
            </w:r>
          </w:p>
        </w:tc>
      </w:tr>
      <w:tr w:rsidR="007D5DF8" w:rsidRPr="00DB5D0D" w14:paraId="09A12F4A" w14:textId="77777777" w:rsidTr="009223E5">
        <w:tc>
          <w:tcPr>
            <w:tcW w:w="0" w:type="auto"/>
            <w:shd w:val="clear" w:color="auto" w:fill="auto"/>
            <w:hideMark/>
          </w:tcPr>
          <w:p w14:paraId="0E0845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Запчасти</w:t>
            </w:r>
          </w:p>
        </w:tc>
        <w:tc>
          <w:tcPr>
            <w:tcW w:w="0" w:type="auto"/>
            <w:shd w:val="clear" w:color="auto" w:fill="auto"/>
            <w:hideMark/>
          </w:tcPr>
          <w:p w14:paraId="6E66E0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2100 тыс. руб.</w:t>
            </w:r>
          </w:p>
        </w:tc>
        <w:tc>
          <w:tcPr>
            <w:tcW w:w="0" w:type="auto"/>
            <w:shd w:val="clear" w:color="auto" w:fill="auto"/>
            <w:hideMark/>
          </w:tcPr>
          <w:p w14:paraId="7BBEC3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 тыс. руб.</w:t>
            </w:r>
          </w:p>
        </w:tc>
        <w:tc>
          <w:tcPr>
            <w:tcW w:w="0" w:type="auto"/>
            <w:shd w:val="clear" w:color="auto" w:fill="auto"/>
            <w:hideMark/>
          </w:tcPr>
          <w:p w14:paraId="60619F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0" w:type="auto"/>
            <w:shd w:val="clear" w:color="auto" w:fill="auto"/>
            <w:hideMark/>
          </w:tcPr>
          <w:p w14:paraId="1C371E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 тыс. руб.</w:t>
            </w:r>
          </w:p>
        </w:tc>
      </w:tr>
    </w:tbl>
    <w:p w14:paraId="079FEC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Сдача запасных частей отстает от сроков, оформленных в договорах. Поршни сдаются плохо.</w:t>
      </w:r>
    </w:p>
    <w:p w14:paraId="1D350A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48 не освоил всей номенклатуры М-5, переданной ему с завода № 234.</w:t>
      </w:r>
    </w:p>
    <w:p w14:paraId="16E02C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Моторы М-17</w:t>
      </w:r>
    </w:p>
    <w:p w14:paraId="311676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 совершенно отказывается от размещения изготовления деталей по М-17, в то время как основные дефицитные детали (поршни, поршневые кольца) можно изготовлять на заводах им. Ленина и им. Калинина Глававтотрактородеталь.</w:t>
      </w:r>
    </w:p>
    <w:p w14:paraId="45CE9D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деталей танков Т-26, БТ возможно прекращать на заводах № 183, 174 только по мере освоения изготовления их на вновь выделяемых заводах, причем детали, требующие для своего изготовления специального оборудования, необходимо оставить на заводах № 183 и 174.</w:t>
      </w:r>
    </w:p>
    <w:p w14:paraId="228B32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заводах № 183, 174, 37 необходимо назначить ответственные группы конструкторов, технологов по обеспечению руководства изготовления деталей на вновь выделяемых заводах.</w:t>
      </w:r>
    </w:p>
    <w:p w14:paraId="512304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экспериментальные работы по внедрению заменителей нужно проводить на основных заводах.</w:t>
      </w:r>
    </w:p>
    <w:p w14:paraId="477C78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основными заводами оставить ответственность за обеспечение вновь выделяемых заводов технической документацией.</w:t>
      </w:r>
    </w:p>
    <w:p w14:paraId="0D3057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Постановления ЦК и Совнаркома Госплан, НКСМ, НКТМ и НКО обязаны были к 30 мая 1941 года представить соображения по организации изготовления деталей танков, снятых с производства, в количествах, обеспечивающих потребность НКО.</w:t>
      </w:r>
    </w:p>
    <w:p w14:paraId="129030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этого вопроса по организации производства запчастей как по дефицитным деталям, потребным в 1941 году, так и особенно по организации изготовления запчастей на последующие годы затягивается.</w:t>
      </w:r>
    </w:p>
    <w:p w14:paraId="40AA40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Танковые войска испытывают в настоящее время большую потребность в запчастях и агрегатах, особенно по остродефицитной номенклатуре.</w:t>
      </w:r>
    </w:p>
    <w:p w14:paraId="5E844A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Неоднократные обращения БТУ ГАБТУ КА в НКСМ не нашли должного решения по вышеизложенным вопросам.</w:t>
      </w:r>
    </w:p>
    <w:p w14:paraId="1429A3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Ваших личных распоряжений, направленных на обеспечение запасными частями и агрегатами танковых войск Красной Армии, согласно решениям правительства по этому вопросу.</w:t>
      </w:r>
    </w:p>
    <w:p w14:paraId="1C66D1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ГАБТУ Красной Армии генерал-лейтенант</w:t>
      </w:r>
    </w:p>
    <w:p w14:paraId="2F8FD7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танковых войск Федоренко</w:t>
      </w:r>
    </w:p>
    <w:p w14:paraId="3C4CF2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БТУ ГАБТУ Красной Армии</w:t>
      </w:r>
    </w:p>
    <w:p w14:paraId="6EED93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 1 ранга Коробков»</w:t>
      </w:r>
      <w:hyperlink r:id="rId134" w:anchor="n_59" w:history="1">
        <w:r w:rsidRPr="00DB5D0D">
          <w:rPr>
            <w:rFonts w:ascii="Times New Roman" w:hAnsi="Times New Roman"/>
            <w:color w:val="000000" w:themeColor="text1"/>
            <w:sz w:val="16"/>
            <w:szCs w:val="16"/>
          </w:rPr>
          <w:t>[59]</w:t>
        </w:r>
      </w:hyperlink>
      <w:r w:rsidRPr="00DB5D0D">
        <w:rPr>
          <w:rFonts w:ascii="Times New Roman" w:hAnsi="Times New Roman"/>
          <w:color w:val="000000" w:themeColor="text1"/>
          <w:sz w:val="16"/>
          <w:szCs w:val="16"/>
        </w:rPr>
        <w:t xml:space="preserve"> (12624).</w:t>
      </w:r>
    </w:p>
    <w:p w14:paraId="2B47BA0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B87861" w14:textId="77777777" w:rsidR="00550947"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34EF1946" w14:textId="77777777" w:rsidR="00550947" w:rsidRPr="00DB5D0D" w:rsidRDefault="00550947" w:rsidP="00DB5D0D">
      <w:pPr>
        <w:spacing w:after="0" w:line="240" w:lineRule="auto"/>
        <w:jc w:val="both"/>
        <w:rPr>
          <w:rFonts w:ascii="Times New Roman" w:hAnsi="Times New Roman"/>
          <w:iCs/>
          <w:color w:val="000000" w:themeColor="text1"/>
          <w:sz w:val="16"/>
          <w:szCs w:val="16"/>
        </w:rPr>
      </w:pPr>
    </w:p>
    <w:p w14:paraId="53A96BF8" w14:textId="77777777" w:rsidR="00550947" w:rsidRPr="00DB5D0D" w:rsidRDefault="005509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 во вторник в Москве в Зеленом театре ЦПКиО имени Горького состоялось совместное заседание президиума АН СССР и президиума СП СССР, посвященное памяти М.Горького. Заседание открыл А.Толстой, слово о Горьком сказал К.Федин. Потом с воспоминаниями выступили К.Чуковский, Л.Никулин, О.Сурков и др. На вечере присутствовали 17.000 человек (17398).</w:t>
      </w:r>
    </w:p>
    <w:p w14:paraId="259FE542" w14:textId="77777777" w:rsidR="00550947" w:rsidRPr="00DB5D0D" w:rsidRDefault="00550947" w:rsidP="00DB5D0D">
      <w:pPr>
        <w:spacing w:after="0" w:line="240" w:lineRule="auto"/>
        <w:jc w:val="both"/>
        <w:rPr>
          <w:rFonts w:ascii="Times New Roman" w:hAnsi="Times New Roman"/>
          <w:color w:val="000000" w:themeColor="text1"/>
          <w:sz w:val="16"/>
          <w:szCs w:val="16"/>
        </w:rPr>
      </w:pPr>
    </w:p>
    <w:p w14:paraId="022AD87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40C0002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0D218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w:t>
      </w:r>
      <w:r w:rsidRPr="00DB5D0D">
        <w:rPr>
          <w:rFonts w:ascii="Times New Roman" w:hAnsi="Times New Roman"/>
          <w:color w:val="000000" w:themeColor="text1"/>
          <w:sz w:val="16"/>
          <w:szCs w:val="16"/>
          <w:lang w:val="en-US"/>
        </w:rPr>
        <w:t>June</w:t>
      </w:r>
      <w:r w:rsidRPr="00DB5D0D">
        <w:rPr>
          <w:rFonts w:ascii="Times New Roman" w:hAnsi="Times New Roman"/>
          <w:color w:val="000000" w:themeColor="text1"/>
          <w:sz w:val="16"/>
          <w:szCs w:val="16"/>
        </w:rPr>
        <w:t xml:space="preserve"> 1940 </w:t>
      </w:r>
      <w:r w:rsidRPr="00DB5D0D">
        <w:rPr>
          <w:rFonts w:ascii="Times New Roman" w:hAnsi="Times New Roman"/>
          <w:color w:val="000000" w:themeColor="text1"/>
          <w:sz w:val="16"/>
          <w:szCs w:val="16"/>
          <w:lang w:val="en-US"/>
        </w:rPr>
        <w:t>RussiansbegintooccupytheBalticStates</w:t>
      </w:r>
      <w:r w:rsidRPr="00DB5D0D">
        <w:rPr>
          <w:rFonts w:ascii="Times New Roman" w:hAnsi="Times New Roman"/>
          <w:color w:val="000000" w:themeColor="text1"/>
          <w:sz w:val="16"/>
          <w:szCs w:val="16"/>
        </w:rPr>
        <w:t xml:space="preserve"> (270).</w:t>
      </w:r>
    </w:p>
    <w:p w14:paraId="3704E84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24F22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Русские начали оккупацию Балтийских государств (270).</w:t>
      </w:r>
    </w:p>
    <w:p w14:paraId="40F1A2C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FFAAE1" w14:textId="77777777" w:rsidR="00283569" w:rsidRPr="00DB5D0D" w:rsidRDefault="0028356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lastRenderedPageBreak/>
        <w:t>18 июня</w:t>
      </w:r>
      <w:r w:rsidRPr="00DB5D0D">
        <w:rPr>
          <w:rFonts w:ascii="Times New Roman" w:hAnsi="Times New Roman"/>
          <w:color w:val="000000" w:themeColor="text1"/>
          <w:sz w:val="16"/>
          <w:szCs w:val="16"/>
        </w:rPr>
        <w:t xml:space="preserve"> в 1940 году Латвия и Эстония принимают ультиматум Советского Союза и добровольно присоединяются к СССР (14926).</w:t>
      </w:r>
    </w:p>
    <w:p w14:paraId="3B4B3EBF" w14:textId="77777777" w:rsidR="00283569" w:rsidRPr="00DB5D0D" w:rsidRDefault="00283569" w:rsidP="00DB5D0D">
      <w:pPr>
        <w:spacing w:after="0" w:line="240" w:lineRule="auto"/>
        <w:jc w:val="both"/>
        <w:rPr>
          <w:rFonts w:ascii="Times New Roman" w:hAnsi="Times New Roman"/>
          <w:color w:val="000000" w:themeColor="text1"/>
          <w:sz w:val="16"/>
          <w:szCs w:val="16"/>
        </w:rPr>
      </w:pPr>
    </w:p>
    <w:p w14:paraId="50B30A6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FA2727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20CE768"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июня 1940 последний развернут элемент из RAF Advanced Air Force – истребители Hurricane изымаются из Франции и Нормандских островов и перелетают в Соединенное Королевство (20795).</w:t>
      </w:r>
    </w:p>
    <w:p w14:paraId="1416304A" w14:textId="77777777" w:rsidR="004D550C" w:rsidRPr="00DB5D0D" w:rsidRDefault="004D550C" w:rsidP="00DB5D0D">
      <w:pPr>
        <w:spacing w:after="0" w:line="240" w:lineRule="auto"/>
        <w:jc w:val="both"/>
        <w:rPr>
          <w:rFonts w:ascii="Times New Roman" w:hAnsi="Times New Roman"/>
          <w:color w:val="0070C0"/>
          <w:sz w:val="16"/>
          <w:szCs w:val="16"/>
        </w:rPr>
      </w:pPr>
    </w:p>
    <w:p w14:paraId="160E6520" w14:textId="77777777" w:rsidR="00283569" w:rsidRPr="00DB5D0D" w:rsidRDefault="0028356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Ш. де Голь из Лондона объявил себя лидером Свободной Франции (2244,5).</w:t>
      </w:r>
    </w:p>
    <w:p w14:paraId="414A3618" w14:textId="77777777" w:rsidR="00283569" w:rsidRPr="00DB5D0D" w:rsidRDefault="00283569" w:rsidP="00DB5D0D">
      <w:pPr>
        <w:spacing w:after="0" w:line="240" w:lineRule="auto"/>
        <w:jc w:val="both"/>
        <w:rPr>
          <w:rFonts w:ascii="Times New Roman" w:hAnsi="Times New Roman"/>
          <w:color w:val="000000" w:themeColor="text1"/>
          <w:sz w:val="16"/>
          <w:szCs w:val="16"/>
        </w:rPr>
      </w:pPr>
    </w:p>
    <w:p w14:paraId="570A1CC5" w14:textId="77777777" w:rsidR="00283569" w:rsidRPr="00DB5D0D" w:rsidRDefault="00283569"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Уинстон Черчилль произнес знаменитую речь «Их самый прекрасный час», объявив, что Англия будет бороться с Германией, несмотря на капитуляцию французов (4962).</w:t>
      </w:r>
    </w:p>
    <w:p w14:paraId="39FE9A8B" w14:textId="77777777" w:rsidR="00283569" w:rsidRPr="00DB5D0D" w:rsidRDefault="00283569" w:rsidP="00DB5D0D">
      <w:pPr>
        <w:tabs>
          <w:tab w:val="left" w:pos="11199"/>
        </w:tabs>
        <w:spacing w:after="0" w:line="240" w:lineRule="auto"/>
        <w:jc w:val="both"/>
        <w:rPr>
          <w:rFonts w:ascii="Times New Roman" w:hAnsi="Times New Roman"/>
          <w:color w:val="000000" w:themeColor="text1"/>
          <w:sz w:val="16"/>
          <w:szCs w:val="16"/>
        </w:rPr>
      </w:pPr>
    </w:p>
    <w:p w14:paraId="777B8C5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генерал Ш. де Голль по радио Би-Би-Си призвал французов продолжить борьбу (4962).</w:t>
      </w:r>
    </w:p>
    <w:p w14:paraId="59C3577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5FE7DAB" w14:textId="77777777" w:rsidR="00706D5D" w:rsidRPr="00DB5D0D" w:rsidRDefault="00706D5D"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w:t>
      </w:r>
      <w:r w:rsidRPr="00DB5D0D">
        <w:rPr>
          <w:rFonts w:ascii="Times New Roman" w:hAnsi="Times New Roman"/>
          <w:bCs/>
          <w:color w:val="000000" w:themeColor="text1"/>
          <w:sz w:val="16"/>
          <w:szCs w:val="16"/>
        </w:rPr>
        <w:t xml:space="preserve"> де Голль выступил по Лондонскому радио с обращением к своим соотечественникам, в котором призвал их не складывать оружия и присоединиться к основанному им в эмиграции объединению «Свободная Франция» (после 1942 «Сражающаяся Франция»). На первом этапе войны де Голль направлял главные усилия на установление контроля над французскими колониями, находившимися под властью профашистского правительства ниши. В результате к Свободной Франции» присоединились Чад, Конго, Убанги-Шари, Габон, Камерун, а позднее и другие колонии. Офицеры и солдаты «Свободной Франции» постоянно принимали участие в военных операциях союзников. Отношения с Англией, США и СССР де Голль стремился строить на основе равноправия и отстаивания национальных интересов Франции. После высадки англо-американских войске Северной Африке в июне 1943 в г. Алжир был создан Французский комитет национального освобождения (ФКНО). Де Голль был назначен его сопредседателем (наряду с генералом А. Жиро), а затем и единоличным председателем В июне 1944 ФКНО был переименован во Временное правительство Французской республики. Де Голль стал его первым главой. Под его руководством правительство восстановило во Франции демократические свободы, провело социально-экономические реформы. В январе 1946 де Голль покинул пост премьер-министра, разойдясь во взглядах по основным внутриполитическим вопросам с представителями левых партий Франции (17398).</w:t>
      </w:r>
    </w:p>
    <w:p w14:paraId="7F27C702" w14:textId="77777777" w:rsidR="00706D5D" w:rsidRPr="00DB5D0D" w:rsidRDefault="00706D5D" w:rsidP="00DB5D0D">
      <w:pPr>
        <w:tabs>
          <w:tab w:val="left" w:pos="11199"/>
        </w:tabs>
        <w:spacing w:after="0" w:line="240" w:lineRule="auto"/>
        <w:jc w:val="both"/>
        <w:rPr>
          <w:rFonts w:ascii="Times New Roman" w:hAnsi="Times New Roman"/>
          <w:color w:val="000000" w:themeColor="text1"/>
          <w:sz w:val="16"/>
          <w:szCs w:val="16"/>
        </w:rPr>
      </w:pPr>
    </w:p>
    <w:p w14:paraId="340A9947" w14:textId="77777777" w:rsidR="00550947" w:rsidRPr="00DB5D0D" w:rsidRDefault="00550947"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w:t>
      </w:r>
      <w:r w:rsidRPr="00DB5D0D">
        <w:rPr>
          <w:rFonts w:ascii="Times New Roman" w:hAnsi="Times New Roman"/>
          <w:bCs/>
          <w:color w:val="000000" w:themeColor="text1"/>
          <w:sz w:val="16"/>
          <w:szCs w:val="16"/>
        </w:rPr>
        <w:t>, как раз накануне капитуляции французской армии, Черчилль произнес речь: «То, что генерал Вейган называл битвой за Францию, окончено. Со дня на день начнется битва за Англию. От исхода этого сражения зависит судьба христианской цивилизации, судьба нашей империи, сохранение наших обычаев и нравов, а также дальнейшее развитие институтов нашего общества, существующих не одно столетие. Скоро враг обрушится на нас всей своей свирепой мощью. Гитлер прекрасно знает, что не запри он нас, обессиленных, на нашем острове, он проиграет войну. Если же мы сумеем дать ему отпор, Европа вновь станет свободной, люди вновь обретут надежду на мирное, светлое будущее. Но если мы сдадимся, целый мир, не исключая и Соединенные Штаты, — все, что мы знали и любили, низринется в пропасть нового варварства, которое извращенное знание сделает еще ужаснее и которое, быть может, будет длиться дольше, чем предыдущее. Исполним же свой долг, сплотим свои усилия и будем тверды, и тогда, просуществуй Британская империя и Сообщество наций еще хоть миллион лет, потомки будут говорить: „Это был звездный час в их истории“ (17398).</w:t>
      </w:r>
    </w:p>
    <w:p w14:paraId="15A714E2" w14:textId="77777777" w:rsidR="00550947" w:rsidRPr="00DB5D0D" w:rsidRDefault="00550947" w:rsidP="00DB5D0D">
      <w:pPr>
        <w:tabs>
          <w:tab w:val="left" w:pos="11199"/>
        </w:tabs>
        <w:spacing w:after="0" w:line="240" w:lineRule="auto"/>
        <w:jc w:val="both"/>
        <w:rPr>
          <w:rFonts w:ascii="Times New Roman" w:hAnsi="Times New Roman"/>
          <w:color w:val="000000" w:themeColor="text1"/>
          <w:sz w:val="16"/>
          <w:szCs w:val="16"/>
        </w:rPr>
      </w:pPr>
    </w:p>
    <w:p w14:paraId="45D8DEA5" w14:textId="77777777" w:rsidR="00283569" w:rsidRPr="00DB5D0D" w:rsidRDefault="0028356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18 июня</w:t>
      </w:r>
      <w:r w:rsidRPr="00DB5D0D">
        <w:rPr>
          <w:rFonts w:ascii="Times New Roman" w:hAnsi="Times New Roman"/>
          <w:color w:val="000000" w:themeColor="text1"/>
          <w:sz w:val="16"/>
          <w:szCs w:val="16"/>
        </w:rPr>
        <w:t xml:space="preserve"> в 1940 году выступление генерала Шарля де Голля с речью по радио из Лондона: "Военачальники, возглавлявшие в течение многих лет французскую армию, сформировали правительство. Ссылаясь на поражение наших армий, это правительство вступило в переговоры с противником, чтобы прекратить борьбу… Но разве сказано последнее слово? Разве нет больше надежды? Разве нанесено окончательное поражение? Нет! Те же средства, которые нанесли нам поражение, могут в один прекрасный день обеспечить победу. Ибо Франция не одинока. Она не одинока. За ней стоит обширная империя. Она может соединиться с Британской империей, которая господствует на морях и продолжает борьбу. Она, как и Англия, может неограниченно использовать необъятную промышленность Соединенных Штатов. Эта война не ограничена лишь многострадальной территорией нашей страны. Исход этой войны не решается битвой за Францию. Это мировая война. И, несмотря на все ошибки, все промедления, все страдания, есть средства, достаточные для того, чтобы разгромить наших врагов" (14926).</w:t>
      </w:r>
    </w:p>
    <w:p w14:paraId="2BE230CA" w14:textId="77777777" w:rsidR="00283569" w:rsidRPr="00DB5D0D" w:rsidRDefault="00283569" w:rsidP="00DB5D0D">
      <w:pPr>
        <w:spacing w:after="0" w:line="240" w:lineRule="auto"/>
        <w:jc w:val="both"/>
        <w:rPr>
          <w:rFonts w:ascii="Times New Roman" w:hAnsi="Times New Roman"/>
          <w:color w:val="000000" w:themeColor="text1"/>
          <w:sz w:val="16"/>
          <w:szCs w:val="16"/>
        </w:rPr>
      </w:pPr>
    </w:p>
    <w:p w14:paraId="1F768ED9" w14:textId="77777777" w:rsidR="00283569" w:rsidRPr="00DB5D0D" w:rsidRDefault="00283569"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18 июня</w:t>
      </w:r>
      <w:r w:rsidRPr="00DB5D0D">
        <w:rPr>
          <w:rFonts w:ascii="Times New Roman" w:hAnsi="Times New Roman"/>
          <w:color w:val="000000" w:themeColor="text1"/>
          <w:sz w:val="16"/>
          <w:szCs w:val="16"/>
        </w:rPr>
        <w:t xml:space="preserve"> в 1940 году радиовыступление Шарля де Голля о создании Сопротивления. К началу Второй мировой войны Шарль де Голль имел звание полковника. За день до начала войны (31 августа 1939 года) он был назначен командующим танковыми войсками в Сааре. 14 мая 1940 г. ему поручили командование новым 4-м полком (5000 солдат и 85 танков). С 1 июня он временно исполнял обязанности бригадного генерала. 6 июня премьер-министр Поль Рейно назначил де Голля заместителем военного министра.</w:t>
      </w:r>
    </w:p>
    <w:p w14:paraId="2252F007" w14:textId="77777777" w:rsidR="00283569" w:rsidRPr="00DB5D0D" w:rsidRDefault="00283569"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color w:val="000000" w:themeColor="text1"/>
          <w:sz w:val="16"/>
          <w:szCs w:val="16"/>
        </w:rPr>
        <w:t>14 июня де Голль ездил в Лондон для переговоров о судах для эвакуации французского правительства в Африку. 17 июня 1940 года де Голль вылетел из Бордо, где базировалось эвакуированное правительство, не желая участвовать в этом процессе. Именно этот момент стал переломным в биографии де Голля. В своих «Мемуарах надежды» британский премьер-министр Черчилль пишет: «18 июня 1940 года, отвечая на призыв своей родины, лишённый какой-либо другой помощи для спасения своей души и чести, де Голль, один, никому не известный, должен был взять на себя ответственность за Францию». В этот день BBC передаёт радиовыступление де Голля, призывающее к созданию Сопротивления. Вскоре были распространены листовки, в которых генерал обращался «Ко всем французам» (A tous les Francais) с заявлением: «Франция проиграла сражение, но она не проиграла войну! Ничего не потеряно, потому что эта война — мировая. Настанет день, когда Франция вернёт свободу и величие… Вот почему я обращаюсь ко всем французам объединиться вокруг меня во имя действия, самопожертвования и надежды.»</w:t>
      </w:r>
    </w:p>
    <w:p w14:paraId="62CF042C" w14:textId="77777777" w:rsidR="00283569" w:rsidRPr="00DB5D0D" w:rsidRDefault="0028356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Генерал обвинял правительство Петена в предательстве и заявлял, что «с полным сознанием долга выступает от имени Франции». Появились и другие воззвания де Голля. Эта речь стала одной из самых важных за всю историю Франции. Так де Голль встал во главе «Свободной (позже — „Сражающейся“) Франции» — организации, призванной оказать сопротивление оккупантам и коллаборационистскому режиму Виши. Легитимность этой организации основывалась, в его глазах, на следующем принципе: «Законность власти основывается на тех чувствах, которые она вдохновляет, на её способности обеспечить национальное единство и преемственность, когда родина в опасности». Де Голлю удалось заручиться поддержкой Черчилля. Стремление создать альтернативу правительству Виши привело Черчилля не только к военному, но и к политическому решению: признанию де Голля «главой всех свободных французов» (28 июня 1940) и к помощи по усилению позиций де Голля в международном плане. В 2005 году ЮНЕСКО включила речь в реестр «Память мира» (14926).</w:t>
      </w:r>
    </w:p>
    <w:p w14:paraId="3ADFFEB3" w14:textId="77777777" w:rsidR="00283569" w:rsidRPr="00DB5D0D" w:rsidRDefault="00283569" w:rsidP="00DB5D0D">
      <w:pPr>
        <w:spacing w:after="0" w:line="240" w:lineRule="auto"/>
        <w:jc w:val="both"/>
        <w:rPr>
          <w:rFonts w:ascii="Times New Roman" w:hAnsi="Times New Roman"/>
          <w:color w:val="000000" w:themeColor="text1"/>
          <w:sz w:val="16"/>
          <w:szCs w:val="16"/>
        </w:rPr>
      </w:pPr>
    </w:p>
    <w:p w14:paraId="3E3AF66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издано распоряжение правительства Петэна о запрещении ведения боевых действий во французских городах с населением более 20 000 человек (4963).</w:t>
      </w:r>
    </w:p>
    <w:p w14:paraId="770B1A3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FFA9409" w14:textId="77777777" w:rsidR="00283569" w:rsidRPr="00DB5D0D" w:rsidRDefault="0028356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командование ВВС Франции отдало приказ всем истребительным группам, чья техника обладает достаточной дальностью, перебазироваться на североафриканские аэродромы. Перегнали 146 Н.75 и около 160 D.520 и сражались до формальной капитуляции 22 июня, а в отдельных местах до 25 июня. Количество французских побед - 684-693, потери: 320 в воздухе; 240 на земле; 235 - аварии. По другим данным - 1525. Англичане потеряли 578 Гладиаторов и Харрикейнов (4409,20).</w:t>
      </w:r>
    </w:p>
    <w:p w14:paraId="4B0E2377" w14:textId="77777777" w:rsidR="00283569" w:rsidRPr="00DB5D0D" w:rsidRDefault="00283569" w:rsidP="00DB5D0D">
      <w:pPr>
        <w:spacing w:after="0" w:line="240" w:lineRule="auto"/>
        <w:jc w:val="both"/>
        <w:rPr>
          <w:rFonts w:ascii="Times New Roman" w:hAnsi="Times New Roman"/>
          <w:color w:val="000000" w:themeColor="text1"/>
          <w:sz w:val="16"/>
          <w:szCs w:val="16"/>
        </w:rPr>
      </w:pPr>
    </w:p>
    <w:p w14:paraId="7873725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части 7-й немецкой армии заняли французский город Кальмар (4963 ).</w:t>
      </w:r>
    </w:p>
    <w:p w14:paraId="7FF6FCF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154D13A"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18th, 1940: In the West, German troops capture Le Mans and Cherbourg; the garrisons of Belfort, Metz and Dijon surrender. General de Gaulle forms the French National Committee at London and vows to continue the war on the side of Britain (3819).</w:t>
      </w:r>
    </w:p>
    <w:p w14:paraId="6DEB6B05"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B758D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германские войска захватили ле Манс и Шербург, а гарнизоны Белфорта, Метца и Дижона сдались. Г де Голь сформировал Французский национальный комитет в Лондоне и обратились к Британии с просьбой о продолжении войны на стороне Великобритании (3819).</w:t>
      </w:r>
    </w:p>
    <w:p w14:paraId="67C492C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3F7817" w14:textId="77777777" w:rsidR="00185F37" w:rsidRPr="00DB5D0D" w:rsidRDefault="00185F3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танки Роммеля прорвались к базе флота Шербур. Силы были неравны</w:t>
      </w:r>
      <w:r w:rsidR="00283569"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rPr>
        <w:t xml:space="preserve"> Сначала сдался форт Тет, затем форты Кастель-ан-Ду и Амфревилль были взорваны, в 14-00 19 июня французы сдали Шербур. Из Шербура успели эвакуироваться 36,000 английских солдат. Линкор «Курбэ» ушел в Англию, 3 подлодки, не имевшие хода, отбуксировали туда же. 4 строящихся судна взорвали – Франция была покорена (17398).</w:t>
      </w:r>
    </w:p>
    <w:p w14:paraId="4CEEF31B" w14:textId="77777777" w:rsidR="00185F37" w:rsidRPr="00DB5D0D" w:rsidRDefault="00185F37" w:rsidP="00DB5D0D">
      <w:pPr>
        <w:spacing w:after="0" w:line="240" w:lineRule="auto"/>
        <w:jc w:val="both"/>
        <w:rPr>
          <w:rFonts w:ascii="Times New Roman" w:hAnsi="Times New Roman"/>
          <w:color w:val="000000" w:themeColor="text1"/>
          <w:sz w:val="16"/>
          <w:szCs w:val="16"/>
        </w:rPr>
      </w:pPr>
    </w:p>
    <w:p w14:paraId="05F12A41" w14:textId="77777777" w:rsidR="00283569" w:rsidRPr="00DB5D0D" w:rsidRDefault="0028356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 Правительство США наложило эмбарго на поставки оружия всем странам, кроме Великобритании (14926).</w:t>
      </w:r>
    </w:p>
    <w:p w14:paraId="0FEEB21E" w14:textId="77777777" w:rsidR="00283569" w:rsidRPr="00DB5D0D" w:rsidRDefault="00283569" w:rsidP="00DB5D0D">
      <w:pPr>
        <w:spacing w:after="0" w:line="240" w:lineRule="auto"/>
        <w:jc w:val="both"/>
        <w:rPr>
          <w:rFonts w:ascii="Times New Roman" w:hAnsi="Times New Roman"/>
          <w:color w:val="000000" w:themeColor="text1"/>
          <w:sz w:val="16"/>
          <w:szCs w:val="16"/>
        </w:rPr>
      </w:pPr>
    </w:p>
    <w:p w14:paraId="5333ECB5" w14:textId="77777777" w:rsidR="00283569" w:rsidRPr="00DB5D0D" w:rsidRDefault="0028356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18 июня</w:t>
      </w:r>
      <w:r w:rsidRPr="00DB5D0D">
        <w:rPr>
          <w:rFonts w:ascii="Times New Roman" w:hAnsi="Times New Roman"/>
          <w:color w:val="000000" w:themeColor="text1"/>
          <w:sz w:val="16"/>
          <w:szCs w:val="16"/>
        </w:rPr>
        <w:t xml:space="preserve"> в 1940 году Уинстон Черчилль произнес знаменитую речь «Их самый прекрасный час», объявив, что Англия будет бороться с Германией, несмотря на капитуляцию французов (14926).</w:t>
      </w:r>
    </w:p>
    <w:p w14:paraId="0A0CC45B" w14:textId="77777777" w:rsidR="00283569" w:rsidRPr="00DB5D0D" w:rsidRDefault="00283569" w:rsidP="00DB5D0D">
      <w:pPr>
        <w:spacing w:after="0" w:line="240" w:lineRule="auto"/>
        <w:jc w:val="both"/>
        <w:rPr>
          <w:rFonts w:ascii="Times New Roman" w:hAnsi="Times New Roman"/>
          <w:color w:val="000000" w:themeColor="text1"/>
          <w:sz w:val="16"/>
          <w:szCs w:val="16"/>
        </w:rPr>
      </w:pPr>
    </w:p>
    <w:p w14:paraId="26D5A06A" w14:textId="77777777" w:rsidR="00283569" w:rsidRPr="00DB5D0D" w:rsidRDefault="00283569"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18 июня 1940 Германия начала переброску своих войск через нейтральную Швецию с позволения Шведского правительства (4963 ).</w:t>
      </w:r>
    </w:p>
    <w:p w14:paraId="6C77D5AD" w14:textId="77777777" w:rsidR="00283569" w:rsidRPr="00DB5D0D" w:rsidRDefault="00283569" w:rsidP="00DB5D0D">
      <w:pPr>
        <w:tabs>
          <w:tab w:val="left" w:pos="11199"/>
        </w:tabs>
        <w:spacing w:after="0" w:line="240" w:lineRule="auto"/>
        <w:jc w:val="both"/>
        <w:rPr>
          <w:rFonts w:ascii="Times New Roman" w:hAnsi="Times New Roman"/>
          <w:color w:val="000000" w:themeColor="text1"/>
          <w:sz w:val="16"/>
          <w:szCs w:val="16"/>
        </w:rPr>
      </w:pPr>
    </w:p>
    <w:p w14:paraId="4C4D3F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June</w:t>
      </w:r>
      <w:r w:rsidRPr="00DB5D0D">
        <w:rPr>
          <w:rFonts w:ascii="Times New Roman" w:hAnsi="Times New Roman"/>
          <w:color w:val="000000" w:themeColor="text1"/>
          <w:sz w:val="16"/>
          <w:szCs w:val="16"/>
        </w:rPr>
        <w:t xml:space="preserve"> 18 1940 </w:t>
      </w:r>
      <w:r w:rsidRPr="00DB5D0D">
        <w:rPr>
          <w:rFonts w:ascii="Times New Roman" w:hAnsi="Times New Roman"/>
          <w:color w:val="000000" w:themeColor="text1"/>
          <w:sz w:val="16"/>
          <w:szCs w:val="16"/>
          <w:lang w:val="en-US"/>
        </w:rPr>
        <w:t>HitlerandMussolinimeetinMunich</w:t>
      </w:r>
      <w:r w:rsidRPr="00DB5D0D">
        <w:rPr>
          <w:rFonts w:ascii="Times New Roman" w:hAnsi="Times New Roman"/>
          <w:color w:val="000000" w:themeColor="text1"/>
          <w:sz w:val="16"/>
          <w:szCs w:val="16"/>
        </w:rPr>
        <w:t xml:space="preserve"> (1050).</w:t>
      </w:r>
    </w:p>
    <w:p w14:paraId="4A8A738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800F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А.Гитлер и Б.Муссолини встретились в Мюнхене (1050).</w:t>
      </w:r>
    </w:p>
    <w:p w14:paraId="17D28C6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615CEF" w14:textId="77777777" w:rsidR="00185F37" w:rsidRPr="00DB5D0D" w:rsidRDefault="00185F3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w:t>
      </w:r>
      <w:r w:rsidRPr="00DB5D0D">
        <w:rPr>
          <w:rFonts w:ascii="Times New Roman" w:hAnsi="Times New Roman"/>
          <w:bCs/>
          <w:color w:val="000000" w:themeColor="text1"/>
          <w:sz w:val="16"/>
          <w:szCs w:val="16"/>
        </w:rPr>
        <w:t xml:space="preserve"> 1940 Муссолини отправился в Мюнхен, чтобы заявить права на свою долю добычи от победы над Францией. Он просил Гитлера заставить Францию передать Италии Ниццу, Корсику, Тунис и Джибути. Чиано предложил Риббентропу, чтобы Италии отдали также Алжир и Марокко. Но Гитлер держался уклончиво и ответил Муссолини, что еще не решил, какие условия мира предложит французам (17398).</w:t>
      </w:r>
    </w:p>
    <w:p w14:paraId="4936E68F" w14:textId="77777777" w:rsidR="00185F37" w:rsidRPr="00DB5D0D" w:rsidRDefault="00185F37" w:rsidP="00DB5D0D">
      <w:pPr>
        <w:spacing w:after="0" w:line="240" w:lineRule="auto"/>
        <w:jc w:val="both"/>
        <w:rPr>
          <w:rFonts w:ascii="Times New Roman" w:hAnsi="Times New Roman"/>
          <w:color w:val="000000" w:themeColor="text1"/>
          <w:sz w:val="16"/>
          <w:szCs w:val="16"/>
        </w:rPr>
      </w:pPr>
    </w:p>
    <w:p w14:paraId="5A37DC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Риббентроп в беседе с итальянским министром иностранных дел Чиано заявил, что Англия должна признать реальности (2536,115).</w:t>
      </w:r>
    </w:p>
    <w:p w14:paraId="2C114C8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B25A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п/л Сюркуф оказалась в Плимуте (7472, 32).</w:t>
      </w:r>
    </w:p>
    <w:p w14:paraId="0B501A9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18FE7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8E67BB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D23D6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 приказом наркома ВМФ адмирала Кузнецова N 00154 работы по соединенным самолетам (СПБ) конструктора Вахмистрова были прекращены. Пять комплектов приспособлений СПБ, уже изготовленных заводом N 207 решено использовать для войсковых испытаний. С этой целью на Черном море сформирована специальная часть, которая начнет полеты в сентябре-октябре 1940 г. В качестве технического консультанта на испытания приглашен Вахмистров (3371).</w:t>
      </w:r>
    </w:p>
    <w:p w14:paraId="52F12B2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9108C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было подготовлено письмо Шахурина секретарю КО Пугаеву на N 5431/5ко (странно, что ушло только 2 июля 1940 года за N 1706c/от):</w:t>
      </w:r>
    </w:p>
    <w:p w14:paraId="5AE9BE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предложению инженеров завода N 22 Камкина и Рубцова о создании тяжелого пикирующего бомбардировщика сообщаю, что идея создания тяжелого пикирующего бомбардировщика с 2-мя спарками моторов М-107 или АМ-37 не новая.</w:t>
      </w:r>
    </w:p>
    <w:p w14:paraId="5442AA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 идея уже прорабатывалась Болховитиновым, а на заводе N 22 в КБ Архангельским. Архангельский эту работу приостановил в виду трудностей создания хороших эксплуатационных условий для обслуживания моторных групп.</w:t>
      </w:r>
    </w:p>
    <w:p w14:paraId="1C899C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приближенных расчетов летно-тактические данные, заявленные Камкиным и Рубцовым осуществимы с некоторыми изменениями: максимальную скорость с моторами АМ-37 на высоте 7000 м следует ожидать порядка 650-670 км/час (вместо 700+(-)20 км/час). Дальность с 5000 кг горючего и масла на 0,8 максимальной скорости может быть достигнута 3000 км (вместо 4350 км).</w:t>
      </w:r>
    </w:p>
    <w:p w14:paraId="66508E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более целесообразным создавать не один тяжелый пикирующий бомбардировщик, а два средних пикирующих бомбардировщика с теми же летными данными, с меньшим полетным весом и с одной спаркой моторов у каждого.</w:t>
      </w:r>
    </w:p>
    <w:p w14:paraId="3B75E4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исключит трудности создания пикирующего бомбардировщика с большим весом и даст возможность:</w:t>
      </w:r>
    </w:p>
    <w:p w14:paraId="34C2BC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Увеличить общую бомбовую нагрузку до 2000 кг (по 1000 кг на самолет) вместо - 1500 кг.</w:t>
      </w:r>
    </w:p>
    <w:p w14:paraId="2DBEA7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Достигнуть большей надежности в выполнении боевой задачи и меньшей вероятности быть сбитым.</w:t>
      </w:r>
    </w:p>
    <w:p w14:paraId="0623DE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осуществления своего предложения Камкин и Рубцов просят создать для них на заводе N 22 отдельную конструкторскую и производственную базу.</w:t>
      </w:r>
    </w:p>
    <w:p w14:paraId="292DFF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что на заводе N 22 в настоящее время имеются уже два КБ (Архангельского и Жемчужина), создание еще третьей базы на том же заводе считаю не допустимым (1195,6).</w:t>
      </w:r>
    </w:p>
    <w:p w14:paraId="64B5738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01E9F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 состоялось заседание Технического совета при НИИ ГУАС:</w:t>
      </w:r>
    </w:p>
    <w:p w14:paraId="51D7AD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Протокол № 6 заседания Технического совета при НИИ ГУАС</w:t>
      </w:r>
    </w:p>
    <w:p w14:paraId="5A1DA1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 О результатах госиспытаний второго экземпляра самолета И-26 с М-105П конструкции Яковлева, постройки завода № 115</w:t>
      </w:r>
    </w:p>
    <w:p w14:paraId="3DDAC8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совет при НИИ ГУАС под председательством генерал-майора авиации Филина А.И. в составе члена Техсовета зам. начальника ГУАС бригинженера Федорова П.И. в присутствии: зам. наркома Авиапрома и главного конструктора самолета И-26 Яковлева А.С., главного инженера завода № 115 Ястребова А.И., заслушал доклад ведущего инженера НИИ ГУАС в/инженера 2 ранга Максимова Н.И., содоклад летчика-испытателя капитана Николаева А.С. о результатах госиспытаний самолета И-26 с М-105П и оценку самолета от всех участников летных и земных испытаний.</w:t>
      </w:r>
    </w:p>
    <w:p w14:paraId="0D4081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построен по Постановлению КО № 246 от 29 июля 1939 года. Была задана постройка самолета с мотором М-106 в двух экземплярах со сроками сдачи на госиспытания:</w:t>
      </w:r>
    </w:p>
    <w:p w14:paraId="7EAC9F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 – февраль 1940 года</w:t>
      </w:r>
    </w:p>
    <w:p w14:paraId="3F5E34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 – апрель 1940 года</w:t>
      </w:r>
    </w:p>
    <w:p w14:paraId="1C0EF6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построен в трех экземплярах с мотором М-105. Первый экземпляр самолета разбит на заводских испытаниях. Второй экземпляр прдъявлен на госиспытания 1 июня 1940 года.</w:t>
      </w:r>
    </w:p>
    <w:p w14:paraId="050C79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заданы следующие летно-тактические данные с мотором М-106:</w:t>
      </w:r>
    </w:p>
    <w:p w14:paraId="4AA7FC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Н-6000 м – 620 км/час</w:t>
      </w:r>
    </w:p>
    <w:p w14:paraId="2997C2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120 км/час</w:t>
      </w:r>
    </w:p>
    <w:p w14:paraId="3E17A6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максимальная на 0,9 максимальной скорости – 600 км/час</w:t>
      </w:r>
    </w:p>
    <w:p w14:paraId="2C5994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при перегрузке на 0,9 м/ск – 1000 км</w:t>
      </w:r>
    </w:p>
    <w:p w14:paraId="039EC1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10000 м – 9-11 мин.</w:t>
      </w:r>
    </w:p>
    <w:p w14:paraId="7C80B0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11000-12000 м</w:t>
      </w:r>
    </w:p>
    <w:p w14:paraId="700991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3A26E1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крупнокалиберный пулемет Березина и 2 пулемета ШКАС через винт</w:t>
      </w:r>
    </w:p>
    <w:p w14:paraId="00B83A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второму экземпляру с ТК заданы:</w:t>
      </w:r>
    </w:p>
    <w:p w14:paraId="36A210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8-10 тыс. – 650 км/час</w:t>
      </w:r>
    </w:p>
    <w:p w14:paraId="027292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Остальные данные те же, что и первого экземпляра.</w:t>
      </w:r>
    </w:p>
    <w:p w14:paraId="00674C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2 пулемета ШКАС через винт.</w:t>
      </w:r>
    </w:p>
    <w:p w14:paraId="15E3A8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госиспытаниях в НИИ ГУАС второго экземпляра самолета И-26 с М-105П получены следующие летно-тактические данные:</w:t>
      </w:r>
    </w:p>
    <w:p w14:paraId="59CFDA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 – 490 км/час</w:t>
      </w:r>
    </w:p>
    <w:p w14:paraId="16103A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Н=4800 м – 585,5 км/час</w:t>
      </w:r>
    </w:p>
    <w:p w14:paraId="07A13B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Н=6000 м – 572,5 км/час</w:t>
      </w:r>
    </w:p>
    <w:p w14:paraId="4F7893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135 км/час</w:t>
      </w:r>
    </w:p>
    <w:p w14:paraId="5FCD1D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Н=5000 м - 6 минут</w:t>
      </w:r>
    </w:p>
    <w:p w14:paraId="5AF6D1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Н=10000 м – 23,6 минут</w:t>
      </w:r>
    </w:p>
    <w:p w14:paraId="49C958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выполнения виража – 24 сек.</w:t>
      </w:r>
    </w:p>
    <w:p w14:paraId="4C5746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10200 м</w:t>
      </w:r>
    </w:p>
    <w:p w14:paraId="4B258F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 300 м</w:t>
      </w:r>
    </w:p>
    <w:p w14:paraId="7AF819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пробега – 540 м</w:t>
      </w:r>
    </w:p>
    <w:p w14:paraId="1AF34B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 скорости – 700 км</w:t>
      </w:r>
    </w:p>
    <w:p w14:paraId="029F7C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имеет вооружение:</w:t>
      </w:r>
    </w:p>
    <w:p w14:paraId="3B70EC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пулемета ШКАС с 380 патронами на пулемет и</w:t>
      </w:r>
    </w:p>
    <w:p w14:paraId="761F19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пушку 20 мм и 120 снарядами</w:t>
      </w:r>
    </w:p>
    <w:p w14:paraId="222936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госиспытаниях в НИИ ГУАС установлено, что самолет И-26 М-105П (2-й экз.) не доведен в части:</w:t>
      </w:r>
    </w:p>
    <w:p w14:paraId="222823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вооружения, винтомоторной группы, механизма уборки шасси, прочности носка крыла и спецоборудования.</w:t>
      </w:r>
    </w:p>
    <w:p w14:paraId="78E3D4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недостаточной прочности носка крыла испытание с перегрузками (пикирование, пилотаж и штопор) самолет не проходил.</w:t>
      </w:r>
    </w:p>
    <w:p w14:paraId="576E66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w:t>
      </w:r>
    </w:p>
    <w:p w14:paraId="415ECA5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Представленный на госиспытания второй экземпляр самолета И-26 с М-105П госиспытаний не выдержал по причинам:</w:t>
      </w:r>
    </w:p>
    <w:p w14:paraId="6C861C69" w14:textId="77777777" w:rsidR="00A25AD1" w:rsidRPr="00DB5D0D" w:rsidRDefault="00A25AD1" w:rsidP="00DB5D0D">
      <w:pPr>
        <w:pStyle w:val="a3"/>
        <w:widowControl/>
        <w:rPr>
          <w:color w:val="000000" w:themeColor="text1"/>
          <w:lang w:val="ru-RU"/>
        </w:rPr>
      </w:pPr>
      <w:r w:rsidRPr="00DB5D0D">
        <w:rPr>
          <w:color w:val="000000" w:themeColor="text1"/>
          <w:lang w:val="ru-RU"/>
        </w:rPr>
        <w:t>- Своей недоведенности в части винтомоторной группы, вооружения и спецоборудования.</w:t>
      </w:r>
    </w:p>
    <w:p w14:paraId="6FFCE50C" w14:textId="77777777" w:rsidR="00A25AD1" w:rsidRPr="00DB5D0D" w:rsidRDefault="00A25AD1" w:rsidP="00DB5D0D">
      <w:pPr>
        <w:pStyle w:val="a3"/>
        <w:widowControl/>
        <w:rPr>
          <w:color w:val="000000" w:themeColor="text1"/>
          <w:lang w:val="ru-RU"/>
        </w:rPr>
      </w:pPr>
      <w:r w:rsidRPr="00DB5D0D">
        <w:rPr>
          <w:color w:val="000000" w:themeColor="text1"/>
          <w:lang w:val="ru-RU"/>
        </w:rPr>
        <w:t>- Невозможности проведения госиспытаний самолета как истребителя: на пилотаж, пикирование и штопор, из-за недостаточной прочности носка крыла.</w:t>
      </w:r>
    </w:p>
    <w:p w14:paraId="53EBF5C5"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lastRenderedPageBreak/>
        <w:t>Самолет отвечает заданным летным данным по Постановлению КО № 246, за исключением большой посадочной скорости, которая получена в 135 км/час, вместо 120 км/час и большой длины пробега.</w:t>
      </w:r>
    </w:p>
    <w:p w14:paraId="1E405C83"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Учитывая, что самолет И-26 с М-105П по решениям КО запущен в массовое серийное производство на двух заводах, считать необходимым:</w:t>
      </w:r>
    </w:p>
    <w:p w14:paraId="2629CE2E" w14:textId="77777777" w:rsidR="00A25AD1" w:rsidRPr="00DB5D0D" w:rsidRDefault="00A25AD1" w:rsidP="00DB5D0D">
      <w:pPr>
        <w:pStyle w:val="a3"/>
        <w:widowControl/>
        <w:rPr>
          <w:color w:val="000000" w:themeColor="text1"/>
          <w:lang w:val="ru-RU"/>
        </w:rPr>
      </w:pPr>
      <w:r w:rsidRPr="00DB5D0D">
        <w:rPr>
          <w:color w:val="000000" w:themeColor="text1"/>
          <w:lang w:val="ru-RU"/>
        </w:rPr>
        <w:t>а) немедленно устранить основные дефекты, не допускающие нормальной эксплуатации, на всех выпущенных и выпускаемых серийных самолетах;</w:t>
      </w:r>
    </w:p>
    <w:p w14:paraId="2CD78438" w14:textId="77777777" w:rsidR="00A25AD1" w:rsidRPr="00DB5D0D" w:rsidRDefault="00A25AD1" w:rsidP="00DB5D0D">
      <w:pPr>
        <w:pStyle w:val="a3"/>
        <w:widowControl/>
        <w:rPr>
          <w:color w:val="000000" w:themeColor="text1"/>
          <w:lang w:val="ru-RU"/>
        </w:rPr>
      </w:pPr>
      <w:r w:rsidRPr="00DB5D0D">
        <w:rPr>
          <w:color w:val="000000" w:themeColor="text1"/>
          <w:lang w:val="ru-RU"/>
        </w:rPr>
        <w:t>б) в кратчайший срок довести самолет и в доведенном состоянии представить его вновь на госиспытания в НИИ ГУАС;</w:t>
      </w:r>
    </w:p>
    <w:p w14:paraId="62F81316" w14:textId="77777777" w:rsidR="00A25AD1" w:rsidRPr="00DB5D0D" w:rsidRDefault="00A25AD1" w:rsidP="00DB5D0D">
      <w:pPr>
        <w:pStyle w:val="a3"/>
        <w:widowControl/>
        <w:rPr>
          <w:color w:val="000000" w:themeColor="text1"/>
          <w:lang w:val="ru-RU"/>
        </w:rPr>
      </w:pPr>
      <w:r w:rsidRPr="00DB5D0D">
        <w:rPr>
          <w:color w:val="000000" w:themeColor="text1"/>
          <w:lang w:val="ru-RU"/>
        </w:rPr>
        <w:t>в) для решения вопроса о прочности самолета и безопасности полетов необходимо форсировать на заводе испытания самолета на штопор, пикирование и пилотаж, которые закончить к 1 июля 1940 года;</w:t>
      </w:r>
    </w:p>
    <w:p w14:paraId="62011C6A" w14:textId="77777777" w:rsidR="00A25AD1" w:rsidRPr="00DB5D0D" w:rsidRDefault="00A25AD1" w:rsidP="00DB5D0D">
      <w:pPr>
        <w:pStyle w:val="a3"/>
        <w:widowControl/>
        <w:rPr>
          <w:color w:val="000000" w:themeColor="text1"/>
          <w:lang w:val="ru-RU"/>
        </w:rPr>
      </w:pPr>
      <w:r w:rsidRPr="00DB5D0D">
        <w:rPr>
          <w:color w:val="000000" w:themeColor="text1"/>
          <w:lang w:val="ru-RU"/>
        </w:rPr>
        <w:t>г) провести в срочном порядке войсковые испытания самолета И-26 М-105П, для чего постройку войсковой серии доведенных самолетов закончить к 15 августа 1940 года.</w:t>
      </w:r>
    </w:p>
    <w:p w14:paraId="5FABFE26"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Отметить, что НКАП не выдержал срок предъявления самолета И-26 на госиспытания, установленный Постановлением КО № 246 от 29 июля 1939 года.</w:t>
      </w:r>
    </w:p>
    <w:p w14:paraId="6441EA5E"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Отметить, что самолет И-26 предъявлен на госиспытания в недоведенном состоянии, что противоречит постановлению ЦК ВКП(б) и СНК от 8 мая 1940 года. На заводских испытаниях не отработаны: винтомоторная группа, вооружение, спецоборудование и самолет не испытан на пилотаж с перегрузками, штопор и пикирование.</w:t>
      </w:r>
    </w:p>
    <w:p w14:paraId="4FC90DEF" w14:textId="77777777" w:rsidR="00A25AD1" w:rsidRPr="00DB5D0D" w:rsidRDefault="00A25AD1" w:rsidP="00DB5D0D">
      <w:pPr>
        <w:pStyle w:val="a3"/>
        <w:widowControl/>
        <w:rPr>
          <w:color w:val="000000" w:themeColor="text1"/>
          <w:lang w:val="ru-RU"/>
        </w:rPr>
      </w:pPr>
      <w:r w:rsidRPr="00DB5D0D">
        <w:rPr>
          <w:color w:val="000000" w:themeColor="text1"/>
          <w:lang w:val="ru-RU"/>
        </w:rPr>
        <w:t>(председатель Техсовета НИИ ГУАС генерал-майор авиации Филин, член Техсовета НИИ ГУАС бригинженер Федоров) (3377, 45-48).</w:t>
      </w:r>
    </w:p>
    <w:p w14:paraId="6F287857" w14:textId="77777777" w:rsidR="00A25AD1" w:rsidRPr="00DB5D0D" w:rsidRDefault="00A25AD1" w:rsidP="00DB5D0D">
      <w:pPr>
        <w:pStyle w:val="a3"/>
        <w:widowControl/>
        <w:rPr>
          <w:color w:val="000000" w:themeColor="text1"/>
          <w:lang w:val="ru-RU"/>
        </w:rPr>
      </w:pPr>
    </w:p>
    <w:p w14:paraId="7E9D9E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состоялся НТС НИИ ВВС по результатам испытаний И-26-2 и было отмечено, что гос. испытания самолет не закончил из-за недостаточной прочности крыла и недоведенности конструкции. Рекомендовали к 1 июля увеличить боекомплект и устранить основные дефекты.</w:t>
      </w:r>
    </w:p>
    <w:p w14:paraId="7FDF79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 был на техсовете и активно спорил (65,20).</w:t>
      </w:r>
    </w:p>
    <w:p w14:paraId="3B3E35B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C9EF8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 состоялось заседание Технического совета при НИИ ГУАС:</w:t>
      </w:r>
    </w:p>
    <w:p w14:paraId="599F1D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Стенограмма заседания Технического совета при НИИ ГУАС КА по с-ту И-26 конструкции А.С.Я.</w:t>
      </w:r>
    </w:p>
    <w:p w14:paraId="484477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гма т. А.И.Филин, присутствовали Холопцев, Лосюков, Гребнев, Рудимцев, П.Н.Федоров, М.А.Шишкин, В.И.Волков, М.А.Левин, Яковлев, Петров, Тарко, ви3р Максимов, А.С.Николаев, А.Г.Прошаков, Воеводин, Мякинников, Сбитнев, Никашин, Салихов, Иванов</w:t>
      </w:r>
    </w:p>
    <w:p w14:paraId="05A1EC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Волков: Мне интересно знать мнение замнаркома относительно вопроса спецоборудования с-та, в частности вопроса радиосвязи</w:t>
      </w:r>
    </w:p>
    <w:p w14:paraId="2FFB3D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 Мы считаем, что требовать выпуска абсолютно доведенного с-та , начиная с первой машины, полностью отвечающей всем ТТТ невозможно. Вообще мы не согласны с тем, что можно было дать сразу с-т отвечающий всем ТТТ, начиная от прочности с-та и кончая всеми мелочными требованиями\. Такими как предметы спецоборудования. Это можно сделать, но только за счет времени, которого нет и не дают.</w:t>
      </w:r>
    </w:p>
    <w:p w14:paraId="5464BE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Можно ли требовать, чтобы для того, чтобы сделать машину как следует, нельзя давать срок 3-4 месяца.</w:t>
      </w:r>
    </w:p>
    <w:p w14:paraId="37F8B7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Волков: Но когда же будет сделана связь?</w:t>
      </w:r>
    </w:p>
    <w:p w14:paraId="5BB510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 На это нужно определенное время. Нужно прямо сказать, что такую-то серию машин нужно выпускать на заводе, дать ему возможность освоить технологию, выявить все возможности и такая серия д.б. с послаблениями.</w:t>
      </w:r>
    </w:p>
    <w:p w14:paraId="4C39C1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Требовать же сразу выпуска такой машины - это должен быть или безумецили перестраховщик.</w:t>
      </w:r>
    </w:p>
    <w:p w14:paraId="5EC2EA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Филин: Значит можно говорить, что для опытного с-та р/см не обязательна? Установка целого ряда спецоборудования необязательна? Ведь госиспытание есть испытание всего того, что должно пойти в серийное производство и строить боевые с-ты с целям рядом дефектов нельзя. Получается, что первая серия - это не боевые машины.</w:t>
      </w:r>
    </w:p>
    <w:p w14:paraId="76B3DD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 Машины И-26, И-301, Микояна - все недоведенные. Почему это получилось? Из-за того срока, который дали</w:t>
      </w:r>
    </w:p>
    <w:p w14:paraId="6D4E01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Филин: Но металлизацию легко было провест?</w:t>
      </w:r>
    </w:p>
    <w:p w14:paraId="649FA9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 Ее с любого с-та можно делать. Я считаю, что эта маленькая серия (пристрелочная, опытная) серия. Но на Сарзаводе эту вещь нужно продумать, чтобы там не повторить таких ошибок.</w:t>
      </w:r>
    </w:p>
    <w:p w14:paraId="5C2C69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Ведь машину запустили в январе, когда не было ни одного полета на опытном с-те, а дальше только до 40 вынужденных посадок. И только после того, как поставили ВИШ-61, новый редуктор, радиатор - машина пошла и как следует летает.</w:t>
      </w:r>
    </w:p>
    <w:p w14:paraId="2EDBBD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Филин: А по части пикирования у ьебя есть уверенность?</w:t>
      </w:r>
    </w:p>
    <w:p w14:paraId="3EF9AE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 Вот когдла машина попикирует 5-6 раз, тогда будет уверенность. Потому, что это дело тонкое и неизведанное.</w:t>
      </w:r>
    </w:p>
    <w:p w14:paraId="0B9EBC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Волков: С какой машины будет связь? Будет она или нет? Мы привыкли считать, что связь является основным объектом оборудования, без этого машины быть не может. Нет связи - то же самое, что нет пушек или пулеметов. Пока не ясно, как с этив вопросом на сегодня обстоит дело. Я по опыту немецких машин должен сказать, что спецоборудование с большой тщательностью учитывалось. Особенно это видно по Юнкерсу, так к оборудованию машин относятся с большим вниманием.</w:t>
      </w:r>
    </w:p>
    <w:p w14:paraId="63B02A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 Это делается 3 года. Мне кажется, что в данном случае - связь не решающее. Если у машины будет плохая устойчивость и хорошее радио, то оно тут не поможет.</w:t>
      </w:r>
    </w:p>
    <w:p w14:paraId="784E9B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Филин: В части спецоборудования. Мне кажется, что если у т. А.С.Я. имеется такая точка зрения, которую он здесь высказал, то мы никогда не будем иметь специального оборудования. Если мы с момента зарождения с-та не будем сразу решать вопрос и о специоборудовании, то (А.С.Я. Нельзя все сделать так быстро).</w:t>
      </w:r>
    </w:p>
    <w:p w14:paraId="7ABAC0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Филин: Но вопрос экранировки и металлизации можно было решать. Эти вещи нужно вкладывать в с-т с самого начала. Если так не будет, то никогда спецоборудлования мы иметь не будем. На И-153 почему не работает ни одна рация? Потому, что на этом самолете металлизация и экранировка не были сделаны иак, как нужно Только в этом причина. А то приходится приспосабливать, изменять всю конструкцию приемника и передатчика. В этой части я считаю, что если на спецоборудование не будет обращаться внимания с самого начала, то мы с этим делом сядем и нужно прямо сказать что на сегодня оборудованию современного самолета придается не меньшее згначение, чем планеру или вооружению: 50% спецоборудованию, 50% планеруи вооружению.</w:t>
      </w:r>
    </w:p>
    <w:p w14:paraId="6984BD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 возьмите немецкий самолет, он немыслится без слепой посадки, без наличия двух раций, радиокомпаса и целого ряда таких вещей. Они решают собой возможность боевого применения и поэтому я считаю, что эта точка зрения, которая существует в НКАП - не верна.</w:t>
      </w:r>
    </w:p>
    <w:p w14:paraId="246EE5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Можно сказать, что с-т будет выходить с дефектами, но то, что основные вещи д.б. предусмотрены и поставлены - это совершенно ясно и очевидно. В вопросе спецоборудования не мыслится ни одного истребителя, которыми нельзя было бы управлять с землим. Это показал опыт войны (11433).</w:t>
      </w:r>
    </w:p>
    <w:p w14:paraId="4D6A3F46" w14:textId="77777777" w:rsidR="00A25AD1" w:rsidRPr="00DB5D0D" w:rsidRDefault="00A25AD1" w:rsidP="00DB5D0D">
      <w:pPr>
        <w:numPr>
          <w:ilvl w:val="12"/>
          <w:numId w:val="0"/>
        </w:numPr>
        <w:spacing w:after="0" w:line="240" w:lineRule="auto"/>
        <w:jc w:val="both"/>
        <w:rPr>
          <w:rFonts w:ascii="Times New Roman" w:hAnsi="Times New Roman"/>
          <w:color w:val="000000" w:themeColor="text1"/>
          <w:sz w:val="16"/>
          <w:szCs w:val="16"/>
        </w:rPr>
      </w:pPr>
    </w:p>
    <w:p w14:paraId="000A387A"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Style w:val="Gungsuh65pt0pt"/>
          <w:rFonts w:ascii="Times New Roman" w:hAnsi="Times New Roman" w:cs="Times New Roman"/>
          <w:b w:val="0"/>
          <w:color w:val="000000" w:themeColor="text1"/>
          <w:spacing w:val="0"/>
          <w:sz w:val="16"/>
          <w:szCs w:val="16"/>
        </w:rPr>
        <w:t>19</w:t>
      </w:r>
      <w:r w:rsidRPr="00DB5D0D">
        <w:rPr>
          <w:rFonts w:ascii="Times New Roman" w:hAnsi="Times New Roman"/>
          <w:color w:val="000000" w:themeColor="text1"/>
          <w:sz w:val="16"/>
          <w:szCs w:val="16"/>
        </w:rPr>
        <w:t xml:space="preserve"> июня 1940 состоялось заседание Техсовета при НИИ ГУАС КА под председа</w:t>
      </w:r>
      <w:r w:rsidRPr="00DB5D0D">
        <w:rPr>
          <w:rFonts w:ascii="Times New Roman" w:hAnsi="Times New Roman"/>
          <w:color w:val="000000" w:themeColor="text1"/>
          <w:sz w:val="16"/>
          <w:szCs w:val="16"/>
        </w:rPr>
        <w:softHyphen/>
        <w:t>тельством начальника НИИ ГУАС генерал- майора авиации А.И. Филина, на котором присутствовал и А.С. Яковлев.</w:t>
      </w:r>
    </w:p>
    <w:p w14:paraId="23253DD8"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Выступления участников испытаний были посвящены почти целиком выявлен</w:t>
      </w:r>
      <w:r w:rsidRPr="00DB5D0D">
        <w:rPr>
          <w:rFonts w:ascii="Times New Roman" w:hAnsi="Times New Roman"/>
          <w:color w:val="000000" w:themeColor="text1"/>
          <w:sz w:val="16"/>
          <w:szCs w:val="16"/>
        </w:rPr>
        <w:softHyphen/>
        <w:t>ным дефектам и обращены к Яковлеву, как главному конструктору. Но Яковлев чувст</w:t>
      </w:r>
      <w:r w:rsidRPr="00DB5D0D">
        <w:rPr>
          <w:rFonts w:ascii="Times New Roman" w:hAnsi="Times New Roman"/>
          <w:color w:val="000000" w:themeColor="text1"/>
          <w:sz w:val="16"/>
          <w:szCs w:val="16"/>
        </w:rPr>
        <w:softHyphen/>
        <w:t>вовал себя здесь не как конструктор, от</w:t>
      </w:r>
      <w:r w:rsidRPr="00DB5D0D">
        <w:rPr>
          <w:rFonts w:ascii="Times New Roman" w:hAnsi="Times New Roman"/>
          <w:color w:val="000000" w:themeColor="text1"/>
          <w:sz w:val="16"/>
          <w:szCs w:val="16"/>
        </w:rPr>
        <w:softHyphen/>
        <w:t>вечающий за свои недоделки, а как зам- наркома авиапромышленности, который «сверху вниз» объясняет присутствующим глобальные проблемы создания новой тех</w:t>
      </w:r>
      <w:r w:rsidRPr="00DB5D0D">
        <w:rPr>
          <w:rFonts w:ascii="Times New Roman" w:hAnsi="Times New Roman"/>
          <w:color w:val="000000" w:themeColor="text1"/>
          <w:sz w:val="16"/>
          <w:szCs w:val="16"/>
        </w:rPr>
        <w:softHyphen/>
        <w:t>ники, и не только у нас, но и за рубежом.</w:t>
      </w:r>
    </w:p>
    <w:p w14:paraId="66C250AC"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замечания о дефектах испытан</w:t>
      </w:r>
      <w:r w:rsidRPr="00DB5D0D">
        <w:rPr>
          <w:rFonts w:ascii="Times New Roman" w:hAnsi="Times New Roman"/>
          <w:color w:val="000000" w:themeColor="text1"/>
          <w:sz w:val="16"/>
          <w:szCs w:val="16"/>
        </w:rPr>
        <w:softHyphen/>
        <w:t>ного второго опытного самолета последо</w:t>
      </w:r>
      <w:r w:rsidRPr="00DB5D0D">
        <w:rPr>
          <w:rFonts w:ascii="Times New Roman" w:hAnsi="Times New Roman"/>
          <w:color w:val="000000" w:themeColor="text1"/>
          <w:sz w:val="16"/>
          <w:szCs w:val="16"/>
        </w:rPr>
        <w:softHyphen/>
        <w:t>вала реплика Яковлева:</w:t>
      </w:r>
    </w:p>
    <w:p w14:paraId="479DCFB8" w14:textId="77777777" w:rsidR="0071714A" w:rsidRPr="00DB5D0D" w:rsidRDefault="0071714A" w:rsidP="00DB5D0D">
      <w:pPr>
        <w:numPr>
          <w:ilvl w:val="0"/>
          <w:numId w:val="10"/>
        </w:numPr>
        <w:tabs>
          <w:tab w:val="left" w:pos="44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понимаю, известно ли товари</w:t>
      </w:r>
      <w:r w:rsidRPr="00DB5D0D">
        <w:rPr>
          <w:rFonts w:ascii="Times New Roman" w:hAnsi="Times New Roman"/>
          <w:color w:val="000000" w:themeColor="text1"/>
          <w:sz w:val="16"/>
          <w:szCs w:val="16"/>
        </w:rPr>
        <w:softHyphen/>
        <w:t>щам, что существует третий экземпляр, и на нем уже проведены изменения?</w:t>
      </w:r>
    </w:p>
    <w:p w14:paraId="0C369BA4"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вызвало недоумение собравшихся:</w:t>
      </w:r>
    </w:p>
    <w:p w14:paraId="25FD953B" w14:textId="77777777" w:rsidR="0071714A" w:rsidRPr="00DB5D0D" w:rsidRDefault="0071714A" w:rsidP="00DB5D0D">
      <w:pPr>
        <w:numPr>
          <w:ilvl w:val="0"/>
          <w:numId w:val="10"/>
        </w:numPr>
        <w:tabs>
          <w:tab w:val="left" w:pos="43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мы-то испытывали второй.</w:t>
      </w:r>
    </w:p>
    <w:p w14:paraId="0C52CA2F"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Масла подлил военпред завода № 301 в/инженер 1 ранга Тарко, отметивший, что на строящихся машинах войсковой серии дефекты остаются не устраненными:</w:t>
      </w:r>
    </w:p>
    <w:p w14:paraId="5F232711" w14:textId="77777777" w:rsidR="0071714A" w:rsidRPr="00DB5D0D" w:rsidRDefault="0071714A" w:rsidP="00DB5D0D">
      <w:pPr>
        <w:numPr>
          <w:ilvl w:val="0"/>
          <w:numId w:val="10"/>
        </w:numPr>
        <w:tabs>
          <w:tab w:val="left" w:pos="44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...когда мы перед директором завода ставим вопрос об устранении дефектов, то он отвечает, что для серии имеется задел и он этого делать не будет, так как это серийный завод...</w:t>
      </w:r>
    </w:p>
    <w:p w14:paraId="629EA7A4"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что тут же получил ответ Яковлева:</w:t>
      </w:r>
    </w:p>
    <w:p w14:paraId="7B923111" w14:textId="77777777" w:rsidR="0071714A" w:rsidRPr="00DB5D0D" w:rsidRDefault="0071714A" w:rsidP="00DB5D0D">
      <w:pPr>
        <w:numPr>
          <w:ilvl w:val="0"/>
          <w:numId w:val="10"/>
        </w:numPr>
        <w:tabs>
          <w:tab w:val="left" w:pos="423"/>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Директора, в случае чего, можно и под суд отдать.</w:t>
      </w:r>
    </w:p>
    <w:p w14:paraId="327147FF" w14:textId="77777777" w:rsidR="0071714A" w:rsidRPr="00DB5D0D" w:rsidRDefault="0071714A" w:rsidP="00DB5D0D">
      <w:pPr>
        <w:numPr>
          <w:ilvl w:val="0"/>
          <w:numId w:val="10"/>
        </w:numPr>
        <w:tabs>
          <w:tab w:val="left" w:pos="425"/>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Ваше дело судить его.</w:t>
      </w:r>
    </w:p>
    <w:p w14:paraId="3EE3CDFD"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Яковлев:</w:t>
      </w:r>
    </w:p>
    <w:p w14:paraId="44624045" w14:textId="77777777" w:rsidR="0071714A" w:rsidRPr="00DB5D0D" w:rsidRDefault="0071714A" w:rsidP="00DB5D0D">
      <w:pPr>
        <w:numPr>
          <w:ilvl w:val="0"/>
          <w:numId w:val="10"/>
        </w:numPr>
        <w:tabs>
          <w:tab w:val="left" w:pos="45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государственное дело, это го</w:t>
      </w:r>
      <w:r w:rsidRPr="00DB5D0D">
        <w:rPr>
          <w:rFonts w:ascii="Times New Roman" w:hAnsi="Times New Roman"/>
          <w:color w:val="000000" w:themeColor="text1"/>
          <w:sz w:val="16"/>
          <w:szCs w:val="16"/>
        </w:rPr>
        <w:softHyphen/>
        <w:t>сударственное преступление против обо</w:t>
      </w:r>
      <w:r w:rsidRPr="00DB5D0D">
        <w:rPr>
          <w:rFonts w:ascii="Times New Roman" w:hAnsi="Times New Roman"/>
          <w:color w:val="000000" w:themeColor="text1"/>
          <w:sz w:val="16"/>
          <w:szCs w:val="16"/>
        </w:rPr>
        <w:softHyphen/>
        <w:t>роны страны.</w:t>
      </w:r>
    </w:p>
    <w:p w14:paraId="08487D59"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подобные выпады не смутили вы</w:t>
      </w:r>
      <w:r w:rsidRPr="00DB5D0D">
        <w:rPr>
          <w:rFonts w:ascii="Times New Roman" w:hAnsi="Times New Roman"/>
          <w:color w:val="000000" w:themeColor="text1"/>
          <w:sz w:val="16"/>
          <w:szCs w:val="16"/>
        </w:rPr>
        <w:softHyphen/>
        <w:t>ступающих, и особо много претензий было высказано по явно недостаточному спецоборудованию, включая отсутствие радио. На это Яковлев вяло отбивался примерно в таком ключе:</w:t>
      </w:r>
    </w:p>
    <w:p w14:paraId="5FFD707C"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того, чтобы сделать машину как следует, нельзя давать срок 3-4 ме</w:t>
      </w:r>
      <w:r w:rsidRPr="00DB5D0D">
        <w:rPr>
          <w:rFonts w:ascii="Times New Roman" w:hAnsi="Times New Roman"/>
          <w:color w:val="000000" w:themeColor="text1"/>
          <w:sz w:val="16"/>
          <w:szCs w:val="16"/>
        </w:rPr>
        <w:softHyphen/>
        <w:t>сяца... Машина И-26 и машина И-301, Ми</w:t>
      </w:r>
      <w:r w:rsidRPr="00DB5D0D">
        <w:rPr>
          <w:rFonts w:ascii="Times New Roman" w:hAnsi="Times New Roman"/>
          <w:color w:val="000000" w:themeColor="text1"/>
          <w:sz w:val="16"/>
          <w:szCs w:val="16"/>
        </w:rPr>
        <w:softHyphen/>
        <w:t>кояна - они все не доведены... Если нас за</w:t>
      </w:r>
      <w:r w:rsidRPr="00DB5D0D">
        <w:rPr>
          <w:rFonts w:ascii="Times New Roman" w:hAnsi="Times New Roman"/>
          <w:color w:val="000000" w:themeColor="text1"/>
          <w:sz w:val="16"/>
          <w:szCs w:val="16"/>
        </w:rPr>
        <w:softHyphen/>
        <w:t>ставят выполнить это, мы будем делать с первой машины, но потребуем необходи</w:t>
      </w:r>
      <w:r w:rsidRPr="00DB5D0D">
        <w:rPr>
          <w:rFonts w:ascii="Times New Roman" w:hAnsi="Times New Roman"/>
          <w:color w:val="000000" w:themeColor="text1"/>
          <w:sz w:val="16"/>
          <w:szCs w:val="16"/>
        </w:rPr>
        <w:softHyphen/>
        <w:t>мого количества времени...</w:t>
      </w:r>
    </w:p>
    <w:p w14:paraId="18D124E2"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Замнаркома прекрасно понимал, что НИИ ГУАС повлиять на сроки, установлен</w:t>
      </w:r>
      <w:r w:rsidRPr="00DB5D0D">
        <w:rPr>
          <w:rFonts w:ascii="Times New Roman" w:hAnsi="Times New Roman"/>
          <w:color w:val="000000" w:themeColor="text1"/>
          <w:sz w:val="16"/>
          <w:szCs w:val="16"/>
        </w:rPr>
        <w:softHyphen/>
        <w:t>ные Сталиным, никак не может, и на на</w:t>
      </w:r>
      <w:r w:rsidRPr="00DB5D0D">
        <w:rPr>
          <w:rFonts w:ascii="Times New Roman" w:hAnsi="Times New Roman"/>
          <w:color w:val="000000" w:themeColor="text1"/>
          <w:sz w:val="16"/>
          <w:szCs w:val="16"/>
        </w:rPr>
        <w:softHyphen/>
        <w:t>стойчивые вопросы, когда же будут устра</w:t>
      </w:r>
      <w:r w:rsidRPr="00DB5D0D">
        <w:rPr>
          <w:rFonts w:ascii="Times New Roman" w:hAnsi="Times New Roman"/>
          <w:color w:val="000000" w:themeColor="text1"/>
          <w:sz w:val="16"/>
          <w:szCs w:val="16"/>
        </w:rPr>
        <w:softHyphen/>
        <w:t>нены все дефекты и отклонения от ТТТ, так же настойчиво не давал никакого определенного ответа.</w:t>
      </w:r>
    </w:p>
    <w:p w14:paraId="2A80B1CB" w14:textId="77777777" w:rsidR="0071714A" w:rsidRPr="00DB5D0D" w:rsidRDefault="0071714A" w:rsidP="00DB5D0D">
      <w:pPr>
        <w:spacing w:after="0" w:line="240" w:lineRule="auto"/>
        <w:jc w:val="both"/>
        <w:rPr>
          <w:rFonts w:ascii="Times New Roman" w:hAnsi="Times New Roman"/>
          <w:color w:val="000000" w:themeColor="text1"/>
          <w:sz w:val="16"/>
          <w:szCs w:val="16"/>
        </w:rPr>
      </w:pPr>
      <w:r w:rsidRPr="00DB5D0D">
        <w:rPr>
          <w:rStyle w:val="163"/>
          <w:color w:val="000000" w:themeColor="text1"/>
          <w:sz w:val="16"/>
          <w:szCs w:val="16"/>
        </w:rPr>
        <w:t>Длительное обсуждение подытожил Филин:</w:t>
      </w:r>
      <w:r w:rsidRPr="00DB5D0D">
        <w:rPr>
          <w:rFonts w:ascii="Times New Roman" w:hAnsi="Times New Roman"/>
          <w:color w:val="000000" w:themeColor="text1"/>
          <w:sz w:val="16"/>
          <w:szCs w:val="16"/>
        </w:rPr>
        <w:t xml:space="preserve"> «Что же мы испытываем? Серий</w:t>
      </w:r>
      <w:r w:rsidRPr="00DB5D0D">
        <w:rPr>
          <w:rFonts w:ascii="Times New Roman" w:hAnsi="Times New Roman"/>
          <w:color w:val="000000" w:themeColor="text1"/>
          <w:sz w:val="16"/>
          <w:szCs w:val="16"/>
        </w:rPr>
        <w:softHyphen/>
        <w:t>ные самолеты совершенно не похожи на опытный... В части специального оборудо</w:t>
      </w:r>
      <w:r w:rsidRPr="00DB5D0D">
        <w:rPr>
          <w:rFonts w:ascii="Times New Roman" w:hAnsi="Times New Roman"/>
          <w:color w:val="000000" w:themeColor="text1"/>
          <w:sz w:val="16"/>
          <w:szCs w:val="16"/>
        </w:rPr>
        <w:softHyphen/>
        <w:t>вания, мне кажется, что если у тов. Яков</w:t>
      </w:r>
      <w:r w:rsidRPr="00DB5D0D">
        <w:rPr>
          <w:rFonts w:ascii="Times New Roman" w:hAnsi="Times New Roman"/>
          <w:color w:val="000000" w:themeColor="text1"/>
          <w:sz w:val="16"/>
          <w:szCs w:val="16"/>
        </w:rPr>
        <w:softHyphen/>
        <w:t xml:space="preserve">лева имеется такая точка зрения, как он здесь сказал, то мы никогда не будем иметь специального оборудования... На сегодня </w:t>
      </w:r>
      <w:r w:rsidRPr="00DB5D0D">
        <w:rPr>
          <w:rFonts w:ascii="Times New Roman" w:hAnsi="Times New Roman"/>
          <w:color w:val="000000" w:themeColor="text1"/>
          <w:sz w:val="16"/>
          <w:szCs w:val="16"/>
        </w:rPr>
        <w:lastRenderedPageBreak/>
        <w:t>оборудованию современного само</w:t>
      </w:r>
      <w:r w:rsidRPr="00DB5D0D">
        <w:rPr>
          <w:rFonts w:ascii="Times New Roman" w:hAnsi="Times New Roman"/>
          <w:color w:val="000000" w:themeColor="text1"/>
          <w:sz w:val="16"/>
          <w:szCs w:val="16"/>
        </w:rPr>
        <w:softHyphen/>
        <w:t>лета придается не меньшее значение, чем весь планер или вооружение. 50% спецобо</w:t>
      </w:r>
      <w:r w:rsidRPr="00DB5D0D">
        <w:rPr>
          <w:rFonts w:ascii="Times New Roman" w:hAnsi="Times New Roman"/>
          <w:color w:val="000000" w:themeColor="text1"/>
          <w:sz w:val="16"/>
          <w:szCs w:val="16"/>
        </w:rPr>
        <w:softHyphen/>
        <w:t>рудованию и 50% планеру и вооружению. Вы возьмите немецкий самолет</w:t>
      </w:r>
      <w:r w:rsidRPr="00DB5D0D">
        <w:rPr>
          <w:rStyle w:val="163"/>
          <w:color w:val="000000" w:themeColor="text1"/>
          <w:sz w:val="16"/>
          <w:szCs w:val="16"/>
        </w:rPr>
        <w:t xml:space="preserve"> (в мае в СССР уже поступили закупленные в Германии образцы самолетов, включая ВМ09Е и Не- 100</w:t>
      </w:r>
      <w:r w:rsidRPr="00DB5D0D">
        <w:rPr>
          <w:rFonts w:ascii="Times New Roman" w:hAnsi="Times New Roman"/>
          <w:color w:val="000000" w:themeColor="text1"/>
          <w:sz w:val="16"/>
          <w:szCs w:val="16"/>
        </w:rPr>
        <w:t>) - он не мыслится без сле</w:t>
      </w:r>
      <w:r w:rsidRPr="00DB5D0D">
        <w:rPr>
          <w:rFonts w:ascii="Times New Roman" w:hAnsi="Times New Roman"/>
          <w:color w:val="000000" w:themeColor="text1"/>
          <w:sz w:val="16"/>
          <w:szCs w:val="16"/>
        </w:rPr>
        <w:softHyphen/>
        <w:t>пой посадки, без наличия 2-х раций, ради</w:t>
      </w:r>
      <w:r w:rsidRPr="00DB5D0D">
        <w:rPr>
          <w:rFonts w:ascii="Times New Roman" w:hAnsi="Times New Roman"/>
          <w:color w:val="000000" w:themeColor="text1"/>
          <w:sz w:val="16"/>
          <w:szCs w:val="16"/>
        </w:rPr>
        <w:softHyphen/>
        <w:t>окомпаса и целого ряда таких вещей. Они решают собой возможность его боевого применения и поэтому я считаю, что эта точка зрения, которая существует в НКАП - неверна... В вопросе специального обору</w:t>
      </w:r>
      <w:r w:rsidRPr="00DB5D0D">
        <w:rPr>
          <w:rFonts w:ascii="Times New Roman" w:hAnsi="Times New Roman"/>
          <w:color w:val="000000" w:themeColor="text1"/>
          <w:sz w:val="16"/>
          <w:szCs w:val="16"/>
        </w:rPr>
        <w:softHyphen/>
        <w:t>дования не мыслится ни одного истреби</w:t>
      </w:r>
      <w:r w:rsidRPr="00DB5D0D">
        <w:rPr>
          <w:rFonts w:ascii="Times New Roman" w:hAnsi="Times New Roman"/>
          <w:color w:val="000000" w:themeColor="text1"/>
          <w:sz w:val="16"/>
          <w:szCs w:val="16"/>
        </w:rPr>
        <w:softHyphen/>
        <w:t>теля, которым бы нельзя было бы управ</w:t>
      </w:r>
      <w:r w:rsidRPr="00DB5D0D">
        <w:rPr>
          <w:rFonts w:ascii="Times New Roman" w:hAnsi="Times New Roman"/>
          <w:color w:val="000000" w:themeColor="text1"/>
          <w:sz w:val="16"/>
          <w:szCs w:val="16"/>
        </w:rPr>
        <w:softHyphen/>
        <w:t>лять с земли. Это показал опыт войны» (19734).</w:t>
      </w:r>
    </w:p>
    <w:p w14:paraId="26317B5C" w14:textId="77777777" w:rsidR="0071714A" w:rsidRPr="00DB5D0D" w:rsidRDefault="0071714A" w:rsidP="00DB5D0D">
      <w:pPr>
        <w:spacing w:after="0" w:line="240" w:lineRule="auto"/>
        <w:jc w:val="both"/>
        <w:rPr>
          <w:rFonts w:ascii="Times New Roman" w:hAnsi="Times New Roman"/>
          <w:color w:val="000000" w:themeColor="text1"/>
          <w:sz w:val="16"/>
          <w:szCs w:val="16"/>
        </w:rPr>
      </w:pPr>
    </w:p>
    <w:p w14:paraId="53563E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состоялось заседание Техсовета при НИИ ВВС (Протокол № 6).</w:t>
      </w:r>
    </w:p>
    <w:p w14:paraId="2E9F28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результатах госиспытаний второго экз. с-та И-26 с М-105П конструкции А.С.Я.</w:t>
      </w:r>
    </w:p>
    <w:p w14:paraId="2AE329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Техсовет под председательством гма А.М.Филина в составе членов ТК Зам. Нач. ГУАС КА би П.М.Федорова, в присутствии замм. НКАП и ГК с-та И-26 т. А.С.Я., ГИ з-да № 115 т. А.И.Ястребова, заслушали доклад вед. инж. НИИ ГУАС КА ви2р Н.И.Максимова, содоклад ли Николаенко о рез-тах ГИ с-та И-26 и оценку от всех у-ков летных испытаний.</w:t>
      </w:r>
    </w:p>
    <w:p w14:paraId="67C288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построен по Постановлению КО № 246 от 29 июля 1939 года. Была задана постройка самолета с мотором М-106 в двух экземплярах со сроками сдачи на госиспытания:</w:t>
      </w:r>
    </w:p>
    <w:p w14:paraId="2D05CC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 – февраль 1940 года</w:t>
      </w:r>
    </w:p>
    <w:p w14:paraId="529189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 – апрель 1940 года</w:t>
      </w:r>
    </w:p>
    <w:p w14:paraId="344217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построен в трех экземплярах с мотором М-105. Первый экземпляр самолета разбит на заводских испытаниях. Второй экземпляр прдъявлен на госиспытания 1 июня 1940 года.</w:t>
      </w:r>
    </w:p>
    <w:p w14:paraId="668E3F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заданы следующие летно-тактические данные с мотором М-106:</w:t>
      </w:r>
    </w:p>
    <w:p w14:paraId="7A245C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Н-6000 м – 620 км/час</w:t>
      </w:r>
    </w:p>
    <w:p w14:paraId="5FFF04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120 км/час</w:t>
      </w:r>
    </w:p>
    <w:p w14:paraId="555ACC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максимальная на 0,9 максимальной скорости – 600 км/час</w:t>
      </w:r>
    </w:p>
    <w:p w14:paraId="176DD0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при перегрузке на 0,9 м/ск – 1000 км</w:t>
      </w:r>
    </w:p>
    <w:p w14:paraId="6AD8DD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10000 м – 9-11 мин.</w:t>
      </w:r>
    </w:p>
    <w:p w14:paraId="1CC811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11000-12000 м</w:t>
      </w:r>
    </w:p>
    <w:p w14:paraId="424F05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6C8B90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крупнокалиберный пулемет Березина и 2 пулемета ШКАС через винт</w:t>
      </w:r>
    </w:p>
    <w:p w14:paraId="413163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второму экземпляру с ТК заданы:</w:t>
      </w:r>
    </w:p>
    <w:p w14:paraId="1EB274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8-10 тыс. – 650 км/час</w:t>
      </w:r>
    </w:p>
    <w:p w14:paraId="3F2DCB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Остальные данные те же, что и первого экземпляра.</w:t>
      </w:r>
    </w:p>
    <w:p w14:paraId="5AE56A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2 пулемета ШКАС через винт.</w:t>
      </w:r>
    </w:p>
    <w:p w14:paraId="2E3A8C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госиспытаниях в НИИ ГУАС второго экземпляра самолета И-26 с М-105П получены следующие летно-тактические данные:</w:t>
      </w:r>
    </w:p>
    <w:p w14:paraId="172704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 – 490 км/час</w:t>
      </w:r>
    </w:p>
    <w:p w14:paraId="4EF112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Н=4800 м – 585,5 км/час</w:t>
      </w:r>
    </w:p>
    <w:p w14:paraId="11590E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Н=6000 м – 572,5 км/час</w:t>
      </w:r>
    </w:p>
    <w:p w14:paraId="208024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135 км/час</w:t>
      </w:r>
    </w:p>
    <w:p w14:paraId="6F0880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Н=5000 м - 6 минут</w:t>
      </w:r>
    </w:p>
    <w:p w14:paraId="3434EC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Н=10000 м – 23,6 минут</w:t>
      </w:r>
    </w:p>
    <w:p w14:paraId="6D7169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выполнения виража – 24 сек.</w:t>
      </w:r>
    </w:p>
    <w:p w14:paraId="32E58E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10200 м</w:t>
      </w:r>
    </w:p>
    <w:p w14:paraId="2B9A94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 300 м</w:t>
      </w:r>
    </w:p>
    <w:p w14:paraId="642EDF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пробега – 540 м</w:t>
      </w:r>
    </w:p>
    <w:p w14:paraId="7539CE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 скорости – 700 км</w:t>
      </w:r>
    </w:p>
    <w:p w14:paraId="45A319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имеет вооружение:</w:t>
      </w:r>
    </w:p>
    <w:p w14:paraId="1D03D3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пулемета ШКАС с 380 патронами на пулемет и</w:t>
      </w:r>
    </w:p>
    <w:p w14:paraId="36D675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пушку 20 мм и 120 снарядами</w:t>
      </w:r>
    </w:p>
    <w:p w14:paraId="5C5638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госиспытаниях в НИИ ГУАС установлено, что самолет И-26 М-105П (2-й экз.) не доведен в части:</w:t>
      </w:r>
    </w:p>
    <w:p w14:paraId="72D508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вооружения, винтомоторной группы, механизма уборки шасси, прочности носка крыла и спецоборудования.</w:t>
      </w:r>
    </w:p>
    <w:p w14:paraId="71B967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недостаточной прочности носка крыла испытание с перегрузками (пикирование, пилотаж и штопор) самолет не проходил.</w:t>
      </w:r>
    </w:p>
    <w:p w14:paraId="70C09C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w:t>
      </w:r>
    </w:p>
    <w:p w14:paraId="2843C29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Представленный на госиспытания второй экземпляр самолета И-26 с М-105П госиспытаний не выдержал по причинам:</w:t>
      </w:r>
    </w:p>
    <w:p w14:paraId="4A8CF931" w14:textId="77777777" w:rsidR="00A25AD1" w:rsidRPr="00DB5D0D" w:rsidRDefault="00A25AD1" w:rsidP="00DB5D0D">
      <w:pPr>
        <w:pStyle w:val="a3"/>
        <w:widowControl/>
        <w:rPr>
          <w:color w:val="000000" w:themeColor="text1"/>
          <w:lang w:val="ru-RU"/>
        </w:rPr>
      </w:pPr>
      <w:r w:rsidRPr="00DB5D0D">
        <w:rPr>
          <w:color w:val="000000" w:themeColor="text1"/>
          <w:lang w:val="ru-RU"/>
        </w:rPr>
        <w:t>1) Своей недоведенности в части винтомоторной группы, вооружения и спецоборудования.</w:t>
      </w:r>
    </w:p>
    <w:p w14:paraId="1D409A94" w14:textId="77777777" w:rsidR="00A25AD1" w:rsidRPr="00DB5D0D" w:rsidRDefault="00A25AD1" w:rsidP="00DB5D0D">
      <w:pPr>
        <w:pStyle w:val="a3"/>
        <w:widowControl/>
        <w:rPr>
          <w:color w:val="000000" w:themeColor="text1"/>
          <w:lang w:val="ru-RU"/>
        </w:rPr>
      </w:pPr>
      <w:r w:rsidRPr="00DB5D0D">
        <w:rPr>
          <w:color w:val="000000" w:themeColor="text1"/>
          <w:lang w:val="ru-RU"/>
        </w:rPr>
        <w:t>2) Невозможности проведения госиспытаний самолета как истребителя: на пилотаж, пикирование и штопор, из-за недостаточной прочности носка крыла.</w:t>
      </w:r>
    </w:p>
    <w:p w14:paraId="5276E812"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Самолет отвечает заданным летным данным по Постановлению КО № 246, за исключением большой посадочной скорости, которая получена в 135 км/час, вместо 120 км/час и большой длины пробега.</w:t>
      </w:r>
    </w:p>
    <w:p w14:paraId="36B1DF3E"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Учитывая, что самолет И-26 с М-105П по решениям КО запущен в массовое серийное производство на двух заводах, считать необходимым:</w:t>
      </w:r>
    </w:p>
    <w:p w14:paraId="60CE2C28" w14:textId="77777777" w:rsidR="00A25AD1" w:rsidRPr="00DB5D0D" w:rsidRDefault="00A25AD1" w:rsidP="00DB5D0D">
      <w:pPr>
        <w:pStyle w:val="a3"/>
        <w:widowControl/>
        <w:rPr>
          <w:color w:val="000000" w:themeColor="text1"/>
          <w:lang w:val="ru-RU"/>
        </w:rPr>
      </w:pPr>
      <w:r w:rsidRPr="00DB5D0D">
        <w:rPr>
          <w:color w:val="000000" w:themeColor="text1"/>
          <w:lang w:val="ru-RU"/>
        </w:rPr>
        <w:t>а) немедленно устранить основные дефекты, не допускающие нормальной эксплуатации, на всех выпущенных и выпускаемых серийных самолетах;</w:t>
      </w:r>
    </w:p>
    <w:p w14:paraId="6080E42E" w14:textId="77777777" w:rsidR="00A25AD1" w:rsidRPr="00DB5D0D" w:rsidRDefault="00A25AD1" w:rsidP="00DB5D0D">
      <w:pPr>
        <w:pStyle w:val="a3"/>
        <w:widowControl/>
        <w:rPr>
          <w:color w:val="000000" w:themeColor="text1"/>
          <w:lang w:val="ru-RU"/>
        </w:rPr>
      </w:pPr>
      <w:r w:rsidRPr="00DB5D0D">
        <w:rPr>
          <w:color w:val="000000" w:themeColor="text1"/>
          <w:lang w:val="ru-RU"/>
        </w:rPr>
        <w:t>б) в кратчайший срок довести самолет и в доведенном состоянии представить его вновь на госиспытания в НИИ ГУАС;</w:t>
      </w:r>
    </w:p>
    <w:p w14:paraId="4BBE96E5" w14:textId="77777777" w:rsidR="00A25AD1" w:rsidRPr="00DB5D0D" w:rsidRDefault="00A25AD1" w:rsidP="00DB5D0D">
      <w:pPr>
        <w:pStyle w:val="a3"/>
        <w:widowControl/>
        <w:rPr>
          <w:color w:val="000000" w:themeColor="text1"/>
          <w:lang w:val="ru-RU"/>
        </w:rPr>
      </w:pPr>
      <w:r w:rsidRPr="00DB5D0D">
        <w:rPr>
          <w:color w:val="000000" w:themeColor="text1"/>
          <w:lang w:val="ru-RU"/>
        </w:rPr>
        <w:t>в) для решения вопроса о прочности самолета и безопасности полетов необходимо форсировать на заводе испытания самолета на штопор, пикирование и пилотаж, которые закончить к 1 июля 1940 года;</w:t>
      </w:r>
    </w:p>
    <w:p w14:paraId="69AFB564" w14:textId="77777777" w:rsidR="00A25AD1" w:rsidRPr="00DB5D0D" w:rsidRDefault="00A25AD1" w:rsidP="00DB5D0D">
      <w:pPr>
        <w:pStyle w:val="a3"/>
        <w:widowControl/>
        <w:rPr>
          <w:color w:val="000000" w:themeColor="text1"/>
          <w:lang w:val="ru-RU"/>
        </w:rPr>
      </w:pPr>
      <w:r w:rsidRPr="00DB5D0D">
        <w:rPr>
          <w:color w:val="000000" w:themeColor="text1"/>
          <w:lang w:val="ru-RU"/>
        </w:rPr>
        <w:t>г) провести в срочном порядке войсковые испытания самолета И-26 М-105П, для чего постройку войсковой серии доведенных самолетов закончить к 15 августа 1940 года.</w:t>
      </w:r>
    </w:p>
    <w:p w14:paraId="14CEB43E"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Отметить, что НКАП не выдержал срок предъявления самолета И-26 на госиспытания, установленный Постановлением КО № 246 от 29 июля 1939 года.</w:t>
      </w:r>
    </w:p>
    <w:p w14:paraId="58E56C1D"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Отметить, что самолет И-26 предъявлен на госиспытания в недоведенном состоянии, что противоречит постановлению ЦК ВКП(б) и СНК от 8 мая 1940 года. На заводских испытаниях не отработаны: винтомоторная группа, вооружение, спецоборудование и самолет не испытан на пилотаж с перегрузками, штопор и пикирование.</w:t>
      </w:r>
    </w:p>
    <w:p w14:paraId="74717A36" w14:textId="77777777" w:rsidR="00A25AD1" w:rsidRPr="00DB5D0D" w:rsidRDefault="00A25AD1" w:rsidP="00DB5D0D">
      <w:pPr>
        <w:pStyle w:val="a3"/>
        <w:widowControl/>
        <w:rPr>
          <w:color w:val="000000" w:themeColor="text1"/>
          <w:lang w:val="ru-RU"/>
        </w:rPr>
      </w:pPr>
      <w:r w:rsidRPr="00DB5D0D">
        <w:rPr>
          <w:color w:val="000000" w:themeColor="text1"/>
          <w:lang w:val="ru-RU"/>
        </w:rPr>
        <w:t>(председатель Техсовета НИИ ГУАС генерал-майор авиации Филин, член Техсовета НИИ ГУАС бригинженер Федоров) (2494).</w:t>
      </w:r>
    </w:p>
    <w:p w14:paraId="406A561D" w14:textId="77777777" w:rsidR="00A25AD1" w:rsidRPr="00DB5D0D" w:rsidRDefault="00A25AD1" w:rsidP="00DB5D0D">
      <w:pPr>
        <w:pStyle w:val="a3"/>
        <w:widowControl/>
        <w:rPr>
          <w:color w:val="000000" w:themeColor="text1"/>
          <w:lang w:val="ru-RU"/>
        </w:rPr>
      </w:pPr>
    </w:p>
    <w:p w14:paraId="4A7670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 вышло заключение НИИ ВВС по гос. испытаниям самолета И-26, которые проходили с 1 по 15 июня 1940 и вывод был, что машина гос. испытаний не выдержала (3353).</w:t>
      </w:r>
    </w:p>
    <w:p w14:paraId="3CD8E38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9CF7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 состоялся технический совет НИИ ВВС по результатам испытаний И-26. На техсовете возникли большие споры между представителями НИИ и ОКБ по вопросам неразъемного крыла и отсутствию на самолете средств связи. Если по первому вопросу мнение сотрудников НИИ было неоднозначным (и разъемное, и неразъемное крыло обладали своими преимуществами), то по второму вопросу позиция была жесткой - радиостанция должна предъявляться на госиспытания уже на опытном самолете. ОКБ признавало необходимость радиосвязи для истребителя и справедливость требования этого, но считало разумным внедрить установку радиостанции в ходе серийного выпуска самолета.</w:t>
      </w:r>
    </w:p>
    <w:p w14:paraId="0BCAEF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Радиостанция РСИ -2, которая предусматривалась к установке на новые истребители согласно ТТТ 1939 г., не была принята на вооружение. Новая радиостанция РСИ-4 должна была появиться в опытном образце только в апреле 1940 г. Поэтому ни та, ни другая на опытные И-26 не была установлена, а вместе с тем при сборке машин исключили для экономии веса экранировку и металлизацию. В серийное производство РСИ-4 запустили только 19 сентября 1940 г. Качество серийных радиостанций было низким, а количественный выпуск - недостаточным для обеспечения всех выпускаемых типов истребителей. К началу 1941 года приоритеты в их постройке в НКАП изменились, поэтому львиную долю изготовленных средств связи (и в первую очередь) направляли на заводы, производящие самолеты МиГ-3 и ЛаГГ-3. С началом войны радиостанции РСИ-4, имевшие острую настройку и высокий уровень помех, по настоянию И-200А.И. Микояна летного состава иногда снимали для облегчения самолетов. Ситуация с качеством ра диостанций не улучшилась и в дальнейшем, когда количественный выпуск позволил оборудовать связю все выпускаемые самолеты. В 1944 году брак поступающих на Саратовский авиазавод приемников РСИ-4 составлял 20-25 %, передатчиков РСИ-3 и радиополукомпасов РПК-10 - 15-20 %.</w:t>
      </w:r>
    </w:p>
    <w:p w14:paraId="034368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отрыве от внешней обстановки требование НИИ было совершенно правильным (радиофикация истребителей, как и предсказывали ход событий его специалисты на техническом совете, в конечном итоге затянулась до 1942 года), но в условиях надвигающейся войны задержки с доводкой еще и радиостанций, вначале на опытных, а потом и на серийных машинах, могли сорвать как планы производства новой техники, так и перевооружения на нее. Принцип разумной необходимости авиастроители проводили в жизнь также в отношении других образцов, типов и видов нового оборудования. Устанавливалось сразу и дорабатывалось вместе с самолетом только то, без чего он не мог летать и воевать. Остальное внедрялось в серийное производство при первой же возможности.</w:t>
      </w:r>
    </w:p>
    <w:p w14:paraId="4BFA95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решении технического совета НИИ было признано необходимым рекомендовать ОКБ к 1 июля увеличить прочность крыла и провести испытания И-26 на штопор, пикирование и высший пилотаж, устранить дефекты, затрудняющие нормальную эксплуатацию самолета и увеличить боекомплект к пулеметам (12048).</w:t>
      </w:r>
    </w:p>
    <w:p w14:paraId="673802D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D283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был подписан Акт, составленный на предмет приемки с-та И-26 М-105П в винтом ВИШ-61 № 2 постройки з-да № 115 на госиспытания представителями НИИ ВВС КА в составе ви ви2р Н.М.Максимова, испытателя по вооружению ви1р В.А.Березина, исп. По ВМГ ви2р Иванова, техн. С-та вт1р В.Ф.Сбитнева, техн. По спецобор. Ви1р Н.Т.Баранец.</w:t>
      </w:r>
    </w:p>
    <w:p w14:paraId="291217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осмотрела и проверила матчасть с-та, вооружение, отчет по заводским испытаниям и документацию, и нашла следующее:</w:t>
      </w:r>
    </w:p>
    <w:p w14:paraId="361B93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Программа заводских летных испытаний выполнена на 65%</w:t>
      </w:r>
    </w:p>
    <w:p w14:paraId="5B0738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заводских летных испытаниях не выполнено:</w:t>
      </w:r>
    </w:p>
    <w:p w14:paraId="3F05D5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штопор до 2-х витков</w:t>
      </w:r>
    </w:p>
    <w:p w14:paraId="5DE8F3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 отработана ВМГ на высоте более 5000 м. Полеты выше 5500 м не проводились</w:t>
      </w:r>
    </w:p>
    <w:p w14:paraId="4CC0BC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полеты с перегрузками (пикирование, бочки, иммельман)</w:t>
      </w:r>
    </w:p>
    <w:p w14:paraId="190663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полеты на устойчивость с-та</w:t>
      </w:r>
    </w:p>
    <w:p w14:paraId="2524C0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полеты на определение расхода горючего</w:t>
      </w:r>
    </w:p>
    <w:p w14:paraId="0DEE71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полеты на отработку стрелково-пушечного вооружения</w:t>
      </w:r>
    </w:p>
    <w:p w14:paraId="0F80F5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Прочность с-та</w:t>
      </w:r>
    </w:p>
    <w:p w14:paraId="61609A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Носок крыла слаб. На статиспытаниях носок крыла после усиления выдержал всего 67% нагрузки по нормам прочности с-тов редакции 1940 г. Общая прочность недостаточна, т.к. расчет с-та произведен на вес 2300 кг, а действительный вес с-та 2700 кг, что составляет 11 кратный запас прочности вместо 13 положенных для истребителей по нормам прочности.</w:t>
      </w:r>
    </w:p>
    <w:p w14:paraId="52093D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 осмотре матчасти с-та обнаружен ряд дефектов, часть которых заводом была устранена.</w:t>
      </w:r>
    </w:p>
    <w:p w14:paraId="4789F5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Неустраненными дефектами остались:</w:t>
      </w:r>
    </w:p>
    <w:p w14:paraId="12A4B5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с-ту (6)</w:t>
      </w:r>
    </w:p>
    <w:p w14:paraId="53CCA8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ВМГ (5)</w:t>
      </w:r>
    </w:p>
    <w:p w14:paraId="6D6D4D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спецоборудованию (13)</w:t>
      </w:r>
    </w:p>
    <w:p w14:paraId="154C99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 015-33 наработал 36:57 до выработки ресурса осталось 13:03</w:t>
      </w:r>
    </w:p>
    <w:p w14:paraId="36B788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не установлен генератор</w:t>
      </w:r>
    </w:p>
    <w:p w14:paraId="39F5DE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не оборудован ночными посадочными средствами</w:t>
      </w:r>
    </w:p>
    <w:p w14:paraId="286882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Отсутствует розетка для питания сети от аэродромного аккумулятора</w:t>
      </w:r>
    </w:p>
    <w:p w14:paraId="4C4FF0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Нет обогрева трубки Пито</w:t>
      </w:r>
    </w:p>
    <w:p w14:paraId="31C08E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Электропроводка не экранирована и отсутствует металлизация</w:t>
      </w:r>
    </w:p>
    <w:p w14:paraId="431C61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не установлен приемник-передатчик радиостанции</w:t>
      </w:r>
    </w:p>
    <w:p w14:paraId="32D9C6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установлен вариометр</w:t>
      </w:r>
    </w:p>
    <w:p w14:paraId="67A065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Кислородное оборудование в воздухе не проверялось</w:t>
      </w:r>
    </w:p>
    <w:p w14:paraId="0F7412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вооружене с-та не доработано</w:t>
      </w:r>
    </w:p>
    <w:p w14:paraId="72F61E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велась от синхронизатора с однокулачковой шайбой.</w:t>
      </w:r>
    </w:p>
    <w:p w14:paraId="670B4C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Пушечное вооружение не отрабоано</w:t>
      </w:r>
    </w:p>
    <w:p w14:paraId="378544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из пушки не производилась</w:t>
      </w:r>
    </w:p>
    <w:p w14:paraId="0EAB26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Кроме указанного, заводом не выполнены ТТТ по следующим пунктам:</w:t>
      </w:r>
    </w:p>
    <w:p w14:paraId="56F8C6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 установлено бомбардировочное вооружение, не предусмотрена установка для подвески бомбосбрасывателя</w:t>
      </w:r>
    </w:p>
    <w:p w14:paraId="20F6E4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установлен на 2-м экз. ТК</w:t>
      </w:r>
    </w:p>
    <w:p w14:paraId="3AB92C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заводом не представлена следующая документация по с-ту - - расчеты на прочность шасси и костыля, замков шасси, узлов крепления фюзеляжа, весовой сводки, материалов статиспытаний, объяснительной записки к расчету на прочность, инструкции по эксплуатации, описания и чертежей по вооружению, невилировочный чертеж, компоновочный чертеж.</w:t>
      </w:r>
    </w:p>
    <w:p w14:paraId="6CDD5F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Комиссия считает, что с-т И-26 М-105П завода № 115 не доведен и заводские летные испытания согласно Постановлению Правительства не закончены, ввиду недостаточной прочности носка крыла и недоработки ВМГ выше 5000 м. С-т может быть принят на госиспытания с целлью проверки данных в объеме заводских испытаний.</w:t>
      </w:r>
    </w:p>
    <w:p w14:paraId="03B6AE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приказу Нач. ГУАС КА комдива Алексеенко № 071 от 29 мая 1940 с-т И-26 М-105П ВИШ-61 принят на госиспытания 1 июня 1940.</w:t>
      </w:r>
    </w:p>
    <w:p w14:paraId="125E45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подписали:</w:t>
      </w:r>
    </w:p>
    <w:p w14:paraId="459EE4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 ви2р Максимов</w:t>
      </w:r>
    </w:p>
    <w:p w14:paraId="7BB977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1525AC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вооружению ви3р Берлин</w:t>
      </w:r>
    </w:p>
    <w:p w14:paraId="61647D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ВМГ ви2р</w:t>
      </w:r>
    </w:p>
    <w:p w14:paraId="672DEB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спецоборудованию</w:t>
      </w:r>
    </w:p>
    <w:p w14:paraId="679EA9E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EA24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Нач. ЛТГ НКАП М.М.Г. докладывал Зам Наркома А.С.Я. (исход. ? от 19 июня 1940, вход. ? от 21 июня 1940):</w:t>
      </w:r>
    </w:p>
    <w:p w14:paraId="4D8F7A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я, совместно с тт. Юмашевым и Чесаловым знакомились с результатами испытаний самолетов И-28 (Яценко) ББС (Болховитинова) и И-207 (Боровкова).</w:t>
      </w:r>
    </w:p>
    <w:p w14:paraId="144B96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следующие:</w:t>
      </w:r>
    </w:p>
    <w:p w14:paraId="32DE62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И-28 неустойчив во всех направлениях. Для лечения самолета требуется увеличение поперечного V крыльев, увеличение рулевой поверхности, значительное смещение вперед в отношении САХ центровки самолета или значительное увеличение площади его стабилизатора.</w:t>
      </w:r>
    </w:p>
    <w:p w14:paraId="1884E5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Т.к. крыло этого самолета неразъемное, устройство V или стрельчатости (что могло бы дать положительный эффект в части продольной устойчивости), потребовало бы замены всего крыла. НИИ считает, что самолет И-28 прошел гос. испытания неудовлетворительно и не может конкурировать с самолетом И-180, который легко может быть доведен до приемлемого состояния в части устойчивости. Считаю мнение НИИ правильным.</w:t>
      </w:r>
    </w:p>
    <w:p w14:paraId="3D58BE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ББС (конструкции Болховитинова), по нашему мнению, представляет значительный технический интерес в части компоновки ВМГ. На устойчивость и управляемость самолета жалоб нет. Компоновка водорадиатора на самолете по нашему мнению не является самой удачной и значительно снижает скорость самолета.</w:t>
      </w:r>
    </w:p>
    <w:p w14:paraId="10819B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Отработка ВМГ самолета ББС позволит использовать ее в применении на четырехмоторных скоростных бомбардировщиках. Примененные впервые у нас в союзе закрылки Фаулера зарекомендовали себя очень хорошо.</w:t>
      </w:r>
    </w:p>
    <w:p w14:paraId="572DBB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Самолет И-207 (Боровкова и Флорова) устойчив и приятен в управлении. НИИ ВВС дает ему хорошую оценку. Самолет имеет максимальную скорость 485 км/час при моторе М-63. С мотором М-64 скорость самолета может быть значительно повышена.</w:t>
      </w:r>
    </w:p>
    <w:p w14:paraId="10884B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этого самолета - 16.7 сек., а у самолете И-153 - 14.7 сек.</w:t>
      </w:r>
    </w:p>
    <w:p w14:paraId="57C65C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Слабым местом конструкции является шасси, благодаря его многозвенности, а также малый запас горючего (на 50 мин. Н при 0.9 макс.).</w:t>
      </w:r>
    </w:p>
    <w:p w14:paraId="6FCEC8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Дальнейшая работа по самолету такого типа представляет значительный интерес, т.к. ЛД, простота пилотирования и прочность самолета значительно перекрывают данные Чайки." (1379).</w:t>
      </w:r>
    </w:p>
    <w:p w14:paraId="6AE6971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3E85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в ходе заводских испытаний И-200 А.И.М, которые проходили с 31 марта по 17 августа 1940, на И-200-2 был выполнен полет на определение температурных режимов ВМГ и границ высотности. Неудачно. Потом до 1 июля ремонтировали (2988).</w:t>
      </w:r>
    </w:p>
    <w:p w14:paraId="189FD17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3424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в ходе заводских испытаний И-200 А.И.М, которые проходили с 31 марта по 17 августа 1940, на И-200-3 состоялось два полета на проверку работы мотора на форсаже. С 21 по 24 июня отстреливали и отлаживали вооружение в тире (2988).</w:t>
      </w:r>
    </w:p>
    <w:p w14:paraId="5969A4B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E09B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19 июня 1940 в ходе заводских испытаний И-200 А.И.М, которые проходили с 31 марта по 17 августа 1940, на И-200-1 был контрольный полет машины с новым мотором. Не получился. До 30 июня меняли мотор и Р-2 (2988).</w:t>
      </w:r>
    </w:p>
    <w:p w14:paraId="77C9D93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9DF2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в ходе гос. испытаний И-301 М-105 П, которые проводились в НИИ ВВС с 14 по 27 июня 1940 л Супруном и П.М.Стефановским были полеты: на скороподъемность по высотам до 5000 м и вынужденная посадка из-за отсоединения тяги нормального газа. Варили выхлопной коллектор; полет на пилотаж. После полета обнаружили следы пожара во всасывающем патрубке; полет на пилотаж с засечкой фигур с земли, ремонт (2922).</w:t>
      </w:r>
    </w:p>
    <w:p w14:paraId="676696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A0BF4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 вышел приказ НИИ ВВС № 0113</w:t>
      </w:r>
    </w:p>
    <w:p w14:paraId="62D695D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принятии на гос. испытания самолета И-301 М-105П (6891, 233).</w:t>
      </w:r>
    </w:p>
    <w:p w14:paraId="5D3FB99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0BFB72F" w14:textId="77777777" w:rsidR="00AC2B3C" w:rsidRPr="00DB5D0D" w:rsidRDefault="00AC2B3C"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 xml:space="preserve">19 июня </w:t>
      </w:r>
      <w:r w:rsidRPr="00DB5D0D">
        <w:rPr>
          <w:rFonts w:ascii="Times New Roman" w:hAnsi="Times New Roman"/>
          <w:color w:val="000000" w:themeColor="text1"/>
          <w:sz w:val="16"/>
          <w:szCs w:val="16"/>
        </w:rPr>
        <w:t>в 1940 году три мировых рекорда высоты полета: с грузом 2000 кг - 6284 м, с грузом 5000 кг - 5219 м, с максимальным грузом - более 2000 м, И.Сухомлин, И.Козыркин на самолете-амфибии «АНТ-44» (14927).</w:t>
      </w:r>
    </w:p>
    <w:p w14:paraId="05E38468" w14:textId="77777777" w:rsidR="00AC2B3C" w:rsidRPr="00DB5D0D" w:rsidRDefault="00AC2B3C" w:rsidP="00DB5D0D">
      <w:pPr>
        <w:spacing w:after="0" w:line="240" w:lineRule="auto"/>
        <w:jc w:val="both"/>
        <w:rPr>
          <w:rFonts w:ascii="Times New Roman" w:hAnsi="Times New Roman"/>
          <w:color w:val="000000" w:themeColor="text1"/>
          <w:sz w:val="16"/>
          <w:szCs w:val="16"/>
        </w:rPr>
      </w:pPr>
    </w:p>
    <w:p w14:paraId="045B46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1938 в НИИ ВВС для испытаний поступил Накадзима-95 бис (И-95), построенный на заводе фирмы Мицубиси. Л облета назначили м С.П.Супруна, ви2р Федрови, м П.М.Стефановский, к Табаровского, ст.л А.Г.Кубышкина ст.л Николаева. Отв. Исполнители - ви и л ви2р М.П.Вахрушев, вед. Техник вт1р Рябов, в техник-расчетчик Андросова, рук. Тактических испытаний м Пистолькорс, ви по ВМГ ви2р Савинков, ви по вооружению м Карпухин, ви по электрооборудованию - ви2р Никольский (7386, 31).</w:t>
      </w:r>
    </w:p>
    <w:p w14:paraId="3CB9CE1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2E43CF"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 июня 1940 г. Народный комиссар Военно-Морского Флота адмирал Кузнецов направил мар</w:t>
      </w:r>
      <w:r w:rsidRPr="00DB5D0D">
        <w:rPr>
          <w:rFonts w:ascii="Times New Roman" w:hAnsi="Times New Roman"/>
          <w:color w:val="0070C0"/>
          <w:sz w:val="16"/>
          <w:szCs w:val="16"/>
        </w:rPr>
        <w:softHyphen/>
        <w:t>шалу Ворошилову письмо следующего содержания:</w:t>
      </w:r>
    </w:p>
    <w:p w14:paraId="22EC48C6"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«Моими приказами №00154 и 00155 все опытные рабо</w:t>
      </w:r>
      <w:r w:rsidRPr="00DB5D0D">
        <w:rPr>
          <w:rFonts w:ascii="Times New Roman" w:hAnsi="Times New Roman"/>
          <w:color w:val="0070C0"/>
          <w:sz w:val="16"/>
          <w:szCs w:val="16"/>
        </w:rPr>
        <w:softHyphen/>
        <w:t>ты по планирующим торпедам на заводе №379, а также по «СПБ» с использованием самолетов ТБ-3 4АМ-34РН кон</w:t>
      </w:r>
      <w:r w:rsidRPr="00DB5D0D">
        <w:rPr>
          <w:rFonts w:ascii="Times New Roman" w:hAnsi="Times New Roman"/>
          <w:color w:val="0070C0"/>
          <w:sz w:val="16"/>
          <w:szCs w:val="16"/>
        </w:rPr>
        <w:softHyphen/>
        <w:t>струкции т. Вахмистрова прекращены».</w:t>
      </w:r>
    </w:p>
    <w:p w14:paraId="5DB08F0C" w14:textId="77777777" w:rsidR="004D550C" w:rsidRPr="00DB5D0D" w:rsidRDefault="004D550C"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Таким образом, казалось, что все закончилось на самом интересном месте. Впрочем, Вахмистров продолжал вес</w:t>
      </w:r>
      <w:r w:rsidRPr="00DB5D0D">
        <w:rPr>
          <w:rFonts w:ascii="Times New Roman" w:hAnsi="Times New Roman"/>
          <w:color w:val="0070C0"/>
          <w:sz w:val="16"/>
          <w:szCs w:val="16"/>
        </w:rPr>
        <w:softHyphen/>
        <w:t>ти свою тематику до конца 1940 г. хотя бы в части техни</w:t>
      </w:r>
      <w:r w:rsidRPr="00DB5D0D">
        <w:rPr>
          <w:rFonts w:ascii="Times New Roman" w:hAnsi="Times New Roman"/>
          <w:color w:val="0070C0"/>
          <w:sz w:val="16"/>
          <w:szCs w:val="16"/>
        </w:rPr>
        <w:softHyphen/>
        <w:t>ческого сопровождения уже действующих образцов СПБ. Однако, складывается ощущение, что вплоть до середины 1941 года его деятельность не была вполне конкретно определена (20364).</w:t>
      </w:r>
    </w:p>
    <w:p w14:paraId="596CA543" w14:textId="77777777" w:rsidR="004D550C" w:rsidRPr="00DB5D0D" w:rsidRDefault="004D550C" w:rsidP="00DB5D0D">
      <w:pPr>
        <w:shd w:val="clear" w:color="auto" w:fill="FFFFFF"/>
        <w:spacing w:after="0" w:line="240" w:lineRule="auto"/>
        <w:jc w:val="both"/>
        <w:rPr>
          <w:rFonts w:ascii="Times New Roman" w:hAnsi="Times New Roman"/>
          <w:color w:val="0070C0"/>
          <w:sz w:val="16"/>
          <w:szCs w:val="16"/>
        </w:rPr>
      </w:pPr>
    </w:p>
    <w:p w14:paraId="3F2451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 на НИП АВ ВВС закончились полигонные испытания на станке универсального авиационного пулемета "ДП" калибра 7,62 мм разработанного ЦКБ-14, которые проходили с 9 июня 1940.</w:t>
      </w:r>
    </w:p>
    <w:p w14:paraId="6F5F17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2E228E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Филиппов</w:t>
      </w:r>
    </w:p>
    <w:p w14:paraId="7ECD97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02E97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соответствие пулемета предъявленным к нему ТТТ и рациональность использования в частях ВВС.</w:t>
      </w:r>
    </w:p>
    <w:p w14:paraId="067072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2D2F10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ЦКБ-14 пулемет "ДП" калибра 7,62 мм № 7 конструкции Демина и Пономарева полигонные испытания на станке не выдержал вследствие низкой живучести основных деталей (7434).</w:t>
      </w:r>
    </w:p>
    <w:p w14:paraId="117455E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371075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 закончились полигонные испытаниям облегченного бомбодержателя Дер-21, изготовленного из стали завода N 32, которые проходили с 22 мая 1940 (3001).</w:t>
      </w:r>
    </w:p>
    <w:p w14:paraId="0D658B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0BA167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В/техник 1 ранга Алейников.</w:t>
      </w:r>
    </w:p>
    <w:p w14:paraId="4A1EA3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47FFD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заводом N 32 облегченный бомбодержатель Дер-21, изготовленный из стали, полигонные испытания выдержал.</w:t>
      </w:r>
    </w:p>
    <w:p w14:paraId="0D2120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произведено 23 полета на самолете ДБ-3.</w:t>
      </w:r>
    </w:p>
    <w:p w14:paraId="4AE24D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10 часов 20 минут из них:</w:t>
      </w:r>
    </w:p>
    <w:p w14:paraId="66C0FB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полетов было сделано для испытания бомбодержателя и 15 полетов произведено в комплексе с испытанием других объектов (3001).</w:t>
      </w:r>
    </w:p>
    <w:p w14:paraId="1476B03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52FA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Коллегия НКАП рассмотрела вопрос (прот. 15) "О ходе выполнения постановления Правительства от 26.01.1940 о развитии опытного строительства и внедрении новых машин с серийное производство по 4 ГУ НКАП" (1002,2).</w:t>
      </w:r>
    </w:p>
    <w:p w14:paraId="1265EB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Правительства от 26.01.1940 о развитии опытного строительства и внедрении новых машин с серийное производство (1158).</w:t>
      </w:r>
    </w:p>
    <w:p w14:paraId="6B10EDF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874F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 6 гл. управление НКАП поручило 1 ГПИ НКАП (письмо № 1585с от) пересчитать завод № 116 на изготовление запчастей для самолетов СБ и ДБ-3ф. Вместо ранее предусмотренного ремонта самолетов с изготовлением шасси и баков для самолетов И-16, И-15 и И-153 (9250).</w:t>
      </w:r>
    </w:p>
    <w:p w14:paraId="78EF1E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8666A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19-20 июня 1940 г. НК ВМФ Кузнецов письмом за N 2646 поставил в известность НКАП о прекращении работ над планирующими торпедами (3395).</w:t>
      </w:r>
    </w:p>
    <w:p w14:paraId="5C1F50B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687C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И.Л.Карташев установил международный рекорд полета на дальность в заранее намеченное место и на двухместном Стахановце прошел 495 км до Пензенской области (438,784).</w:t>
      </w:r>
    </w:p>
    <w:p w14:paraId="1B8CB6D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4FE2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О.В.Клепикова установила женский рекорд на дальность на двухместном планере Стахановец при полете из Тулы в Конотоп - 443 км (438,784).</w:t>
      </w:r>
    </w:p>
    <w:p w14:paraId="13C253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0F08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Е.Ф.Прохорова установила женский рекорд на дальность в заранее намеченный пункт планере Рот-Фронт-7 по маршруту Тула - Обоянь - 289 км (438,784).</w:t>
      </w:r>
    </w:p>
    <w:p w14:paraId="58CCBE1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A5D5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 на НИП АВ ВВС закончились полигонные испытания модернизированного ВАП-5 ум, контрольным испытаниям ВАП-500 у головной партии и ВАП-500 у, изготовленных по ТУ военного времени (конструкции завода № 145) на самолетах СБ и ДБ-3, которые проходили с 24 мая 1940.</w:t>
      </w:r>
    </w:p>
    <w:p w14:paraId="11E9F8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57DD35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5C4FE8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009B69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полигонных испытаний ВАП-500 ум и контрольных испытаний ВАП-500 у и ВАП-500 у, изготовленных по ТУ военного времени являлось определение следующих элементов:</w:t>
      </w:r>
    </w:p>
    <w:p w14:paraId="653617F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Прочности и надежности конструкции.</w:t>
      </w:r>
    </w:p>
    <w:p w14:paraId="67413CC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Возможности забрызгивания самолета.</w:t>
      </w:r>
    </w:p>
    <w:p w14:paraId="4CC6C8B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Безотказность действия механизмов.</w:t>
      </w:r>
    </w:p>
    <w:p w14:paraId="010EBD1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Поведения приборов в воздухе на самолете ДБ-3 при исключении резинового амортизатора.</w:t>
      </w:r>
    </w:p>
    <w:p w14:paraId="2D79066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Характера дробления жидкости на площади при выливании (прибора ВАП-500 ум).</w:t>
      </w:r>
    </w:p>
    <w:p w14:paraId="16F873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464297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заводом № 145 приборы ВАП-500у и ВАП-500 у, изготовленных по ТУ военного времени контрольные испытания не выдержали.</w:t>
      </w:r>
    </w:p>
    <w:p w14:paraId="2198605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представленный на полигонные испытания модернизированный серийным цехом завода № 145 ВАП-500у полигонные испытания не выдержал (7604).</w:t>
      </w:r>
    </w:p>
    <w:p w14:paraId="6DB5979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6A846F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 программу заводских испытаний облегченного пускового станка ПС для РС-132 утвердил заместитель директора НИИ-3 НКБ енинженср 1 ранга А.Костиков. Станок ведущего конструктора А.П.Павленко был предназначен для стрельбы РС-132 из-под плоскостей самолетов. Он был на 50% легче аналогов предшествующих молели, а кроме того, его полностью собирали на заводе, а на самолете только устанавливали, чего ранее не было. Целью испытаний было определение возможности стрельбы из облегченного ПС и проверить работу пиропистолста (11402).</w:t>
      </w:r>
    </w:p>
    <w:p w14:paraId="75C82B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B49EA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 на имя заместителя директора НИИ-3 НКБ военинженера 1 ранга А.Г.Костикова поступила докладная от начальника 1 констру</w:t>
      </w:r>
      <w:r w:rsidRPr="00DB5D0D">
        <w:rPr>
          <w:rFonts w:ascii="Times New Roman" w:hAnsi="Times New Roman"/>
          <w:color w:val="000000" w:themeColor="text1"/>
          <w:sz w:val="16"/>
          <w:szCs w:val="16"/>
        </w:rPr>
        <w:softHyphen/>
        <w:t>кторского отдела военинжснера 2 ранга Л.Э.Шварца и старшею инжене</w:t>
      </w:r>
      <w:r w:rsidRPr="00DB5D0D">
        <w:rPr>
          <w:rFonts w:ascii="Times New Roman" w:hAnsi="Times New Roman"/>
          <w:color w:val="000000" w:themeColor="text1"/>
          <w:sz w:val="16"/>
          <w:szCs w:val="16"/>
        </w:rPr>
        <w:softHyphen/>
        <w:t xml:space="preserve">ра В.А.Артемьева. «На испытания подают РСС-140 модели 129400 и 129500 в количестве 16 штук. Их двигатели </w:t>
      </w:r>
      <w:r w:rsidRPr="00DB5D0D">
        <w:rPr>
          <w:rFonts w:ascii="Times New Roman" w:hAnsi="Times New Roman"/>
          <w:color w:val="000000" w:themeColor="text1"/>
          <w:sz w:val="16"/>
          <w:szCs w:val="16"/>
        </w:rPr>
        <w:lastRenderedPageBreak/>
        <w:t>снаряжены 7 шашками НГВ 40/8-550 мм с воспламенителем из 50 г ДРП. Их БЧ снаряжены звездками красного и зеленого огня по 45 штук, а у шести снарядов — 41 мешочком ЦПП с дистанционными трубками АГДТ-Б. Стрельба будет проводить</w:t>
      </w:r>
      <w:r w:rsidRPr="00DB5D0D">
        <w:rPr>
          <w:rFonts w:ascii="Times New Roman" w:hAnsi="Times New Roman"/>
          <w:color w:val="000000" w:themeColor="text1"/>
          <w:sz w:val="16"/>
          <w:szCs w:val="16"/>
        </w:rPr>
        <w:softHyphen/>
        <w:t>ся со станка — «флейты» - для определения времени горения сигнальных звездок и времени видимости дымового облака, безотказность их действия и эффективность. Отстрел будет проходить при углах места 45°.</w:t>
      </w:r>
    </w:p>
    <w:p w14:paraId="7DBED4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Авиационный ракетно-сигнальный снаряд РСС-140, объект первой опытной партии разработки 1940 г., был предназначен для ночной и дневной ориентировки, а также подачи сигналов и устройства фейер</w:t>
      </w:r>
      <w:r w:rsidRPr="00DB5D0D">
        <w:rPr>
          <w:rFonts w:ascii="Times New Roman" w:hAnsi="Times New Roman"/>
          <w:color w:val="000000" w:themeColor="text1"/>
          <w:sz w:val="16"/>
          <w:szCs w:val="16"/>
        </w:rPr>
        <w:softHyphen/>
        <w:t>верков с дальностью визуального наблюдения до 25 км. Его боевой заряд был составлен из звездок красного или зеленого огня длиной 80 мм и диаметром 44,5 мм, изготовленных на заводе №П и упакованных в картонные цилиндры. Время их горения - не менее 40 с. Вышибной за</w:t>
      </w:r>
      <w:r w:rsidRPr="00DB5D0D">
        <w:rPr>
          <w:rFonts w:ascii="Times New Roman" w:hAnsi="Times New Roman"/>
          <w:color w:val="000000" w:themeColor="text1"/>
          <w:sz w:val="16"/>
          <w:szCs w:val="16"/>
        </w:rPr>
        <w:softHyphen/>
        <w:t>ряд создавал давление под кожухом БЧ - 20 кг/см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что было достаточно для его срыва.</w:t>
      </w:r>
    </w:p>
    <w:p w14:paraId="1CE2D1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свидетельству Березина, заказчики ракетного вооружения отказа</w:t>
      </w:r>
      <w:r w:rsidRPr="00DB5D0D">
        <w:rPr>
          <w:rFonts w:ascii="Times New Roman" w:hAnsi="Times New Roman"/>
          <w:color w:val="000000" w:themeColor="text1"/>
          <w:sz w:val="16"/>
          <w:szCs w:val="16"/>
        </w:rPr>
        <w:softHyphen/>
        <w:t>лись от следующих образцов: РХС-140 для АУ РККА (вообще отказались от калибра) РЗС-140 для ГУАС КА (отказ от данного образца) РБХС-140 (бетонобойно-химический) для АУ РККА (отказ по причине низкой эффективности). Но проекты этих боеприпасов существовали.</w:t>
      </w:r>
    </w:p>
    <w:p w14:paraId="449A8B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Авиационный ракетным осколочно-фугасный снаряд РОФС-140 объект 142 первой опытной партии разработки 1939 г. (чертеж 12/41 НИИ-3 НКБ), был предназначен для вооружения перспективных скоро сеоростных пикирующих бомбардировщиков СПБ и др., относящихся к группе прочности ЦАГИ с перегрузкой 5.75 при выводе из пике. Стрельбы им допускалась по воздушным и наземным целям.</w:t>
      </w:r>
    </w:p>
    <w:p w14:paraId="77D9AF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существу, это был усиленный вариант РОФС-132 образца 1939 г.</w:t>
      </w:r>
    </w:p>
    <w:p w14:paraId="7536B0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Головная часть снаряда - удлиненной обтекаемой формы, спроектирована под плавное сопряжение с взрывателем АГДТ-А. Под него выполнена резьбовая часть головного очка диаметром 26 мм. Корпус БЧ толстостенный, гладкий. Толстостенное внутреннее стальное дно БЧ установлено в переднем центрирующем утолщении двигателя и поджато снаружи корпусом БЧ.</w:t>
      </w:r>
    </w:p>
    <w:p w14:paraId="4E25F6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Корпус двигателя выточен из толстостенной цельнотянутой стальной грубы 140x8,5 мм с глубоким снятием металла до толщины стенок камеры и расточкой внутреннего диаметра до 123,5 мм, аналогичной РОФС-132. На центрирующих утолщениях ракетной камеры - два усиленных, относительно аналогичных элементов РОФС-132, направляю</w:t>
      </w:r>
      <w:r w:rsidRPr="00DB5D0D">
        <w:rPr>
          <w:rFonts w:ascii="Times New Roman" w:hAnsi="Times New Roman"/>
          <w:color w:val="000000" w:themeColor="text1"/>
          <w:sz w:val="16"/>
          <w:szCs w:val="16"/>
        </w:rPr>
        <w:softHyphen/>
        <w:t>щих штифта, установленных на облуженной оловом резьбе. На переднем центрирующем утолщении, по обе стороны от штифта установлены две пиросвечи. РЗ, воспламенитель, оперение, конус обтекателя и сопло аналогичны РОФС-132 (11402).</w:t>
      </w:r>
    </w:p>
    <w:p w14:paraId="217367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35506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 в Научно-техническом журнале №056м, составленном начальником 2 отделения 7 отдела военинженером 1 ранга Захаренко и временным начальником 2 отделения 7 отдела военинженером 3 ранга Ереминым, а также утвержденным заместителем начальника авиации ВМФ генерал-майором авиации Коробконым, БЕТАБ-450ДС присвоили номер модели 21-40м, индекс УА ВМФ 7-БТ-0450 и на 1940 г. определили объем заказа в 500 штук (11402).</w:t>
      </w:r>
    </w:p>
    <w:p w14:paraId="4FD678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4.11 Расчеты ведущего инженера 1 отдела РНИИ В.И.Александрова по бетонобойной ракетной авиабомбе калибра 250 мм от 16 апреля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817"/>
        <w:gridCol w:w="817"/>
        <w:gridCol w:w="817"/>
        <w:gridCol w:w="817"/>
        <w:gridCol w:w="817"/>
        <w:gridCol w:w="817"/>
        <w:gridCol w:w="817"/>
        <w:gridCol w:w="817"/>
      </w:tblGrid>
      <w:tr w:rsidR="007D5DF8" w:rsidRPr="00DB5D0D" w14:paraId="1D2B8B93" w14:textId="77777777" w:rsidTr="009223E5">
        <w:tc>
          <w:tcPr>
            <w:tcW w:w="817" w:type="dxa"/>
            <w:tcBorders>
              <w:top w:val="single" w:sz="12" w:space="0" w:color="auto"/>
            </w:tcBorders>
          </w:tcPr>
          <w:p w14:paraId="71E2DE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Масса пассивной АБ, кг</w:t>
            </w:r>
          </w:p>
        </w:tc>
        <w:tc>
          <w:tcPr>
            <w:tcW w:w="817" w:type="dxa"/>
            <w:tcBorders>
              <w:top w:val="single" w:sz="12" w:space="0" w:color="auto"/>
            </w:tcBorders>
          </w:tcPr>
          <w:p w14:paraId="277327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от РЗ, м/с</w:t>
            </w:r>
          </w:p>
        </w:tc>
        <w:tc>
          <w:tcPr>
            <w:tcW w:w="817" w:type="dxa"/>
            <w:tcBorders>
              <w:top w:val="single" w:sz="12" w:space="0" w:color="auto"/>
            </w:tcBorders>
          </w:tcPr>
          <w:p w14:paraId="07CB35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установки ТМ-4Б, с</w:t>
            </w:r>
          </w:p>
        </w:tc>
        <w:tc>
          <w:tcPr>
            <w:tcW w:w="817" w:type="dxa"/>
            <w:tcBorders>
              <w:top w:val="single" w:sz="12" w:space="0" w:color="auto"/>
            </w:tcBorders>
          </w:tcPr>
          <w:p w14:paraId="19E167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перед запуском двигателя, м/с</w:t>
            </w:r>
          </w:p>
        </w:tc>
        <w:tc>
          <w:tcPr>
            <w:tcW w:w="817" w:type="dxa"/>
            <w:tcBorders>
              <w:top w:val="single" w:sz="12" w:space="0" w:color="auto"/>
            </w:tcBorders>
          </w:tcPr>
          <w:p w14:paraId="774D34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Начальная скорость, м/с</w:t>
            </w:r>
          </w:p>
        </w:tc>
        <w:tc>
          <w:tcPr>
            <w:tcW w:w="817" w:type="dxa"/>
            <w:tcBorders>
              <w:top w:val="single" w:sz="12" w:space="0" w:color="auto"/>
            </w:tcBorders>
          </w:tcPr>
          <w:p w14:paraId="67E9D49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при ударе о преграду, м/с</w:t>
            </w:r>
          </w:p>
        </w:tc>
        <w:tc>
          <w:tcPr>
            <w:tcW w:w="817" w:type="dxa"/>
            <w:tcBorders>
              <w:top w:val="single" w:sz="12" w:space="0" w:color="auto"/>
            </w:tcBorders>
          </w:tcPr>
          <w:p w14:paraId="108E85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Глубина проникновения в массив, м</w:t>
            </w:r>
          </w:p>
        </w:tc>
        <w:tc>
          <w:tcPr>
            <w:tcW w:w="817" w:type="dxa"/>
            <w:tcBorders>
              <w:top w:val="single" w:sz="12" w:space="0" w:color="auto"/>
            </w:tcBorders>
          </w:tcPr>
          <w:p w14:paraId="469A7F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Толщина пробиваемого бетона, м</w:t>
            </w:r>
          </w:p>
        </w:tc>
        <w:tc>
          <w:tcPr>
            <w:tcW w:w="817" w:type="dxa"/>
            <w:tcBorders>
              <w:top w:val="single" w:sz="12" w:space="0" w:color="auto"/>
            </w:tcBorders>
          </w:tcPr>
          <w:p w14:paraId="300DD1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Глубина проникновения без РЗ, м</w:t>
            </w:r>
          </w:p>
        </w:tc>
      </w:tr>
      <w:tr w:rsidR="007D5DF8" w:rsidRPr="00DB5D0D" w14:paraId="7BF399D5" w14:textId="77777777" w:rsidTr="009223E5">
        <w:tc>
          <w:tcPr>
            <w:tcW w:w="817" w:type="dxa"/>
          </w:tcPr>
          <w:p w14:paraId="2A9638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817" w:type="dxa"/>
          </w:tcPr>
          <w:p w14:paraId="6014BF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817" w:type="dxa"/>
          </w:tcPr>
          <w:p w14:paraId="171524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16,70</w:t>
            </w:r>
          </w:p>
        </w:tc>
        <w:tc>
          <w:tcPr>
            <w:tcW w:w="817" w:type="dxa"/>
          </w:tcPr>
          <w:p w14:paraId="213362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164,0</w:t>
            </w:r>
          </w:p>
        </w:tc>
        <w:tc>
          <w:tcPr>
            <w:tcW w:w="817" w:type="dxa"/>
          </w:tcPr>
          <w:p w14:paraId="4B58FD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171,5</w:t>
            </w:r>
          </w:p>
        </w:tc>
        <w:tc>
          <w:tcPr>
            <w:tcW w:w="817" w:type="dxa"/>
          </w:tcPr>
          <w:p w14:paraId="3013A3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451.5</w:t>
            </w:r>
          </w:p>
        </w:tc>
        <w:tc>
          <w:tcPr>
            <w:tcW w:w="817" w:type="dxa"/>
          </w:tcPr>
          <w:p w14:paraId="7C717D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1,84</w:t>
            </w:r>
          </w:p>
        </w:tc>
        <w:tc>
          <w:tcPr>
            <w:tcW w:w="817" w:type="dxa"/>
          </w:tcPr>
          <w:p w14:paraId="28E340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2,58</w:t>
            </w:r>
          </w:p>
        </w:tc>
        <w:tc>
          <w:tcPr>
            <w:tcW w:w="817" w:type="dxa"/>
          </w:tcPr>
          <w:p w14:paraId="31393D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0,83</w:t>
            </w:r>
          </w:p>
        </w:tc>
      </w:tr>
      <w:tr w:rsidR="007D5DF8" w:rsidRPr="00DB5D0D" w14:paraId="55AD93FB" w14:textId="77777777" w:rsidTr="009223E5">
        <w:tc>
          <w:tcPr>
            <w:tcW w:w="817" w:type="dxa"/>
          </w:tcPr>
          <w:p w14:paraId="4B616F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w:t>
            </w:r>
          </w:p>
        </w:tc>
        <w:tc>
          <w:tcPr>
            <w:tcW w:w="817" w:type="dxa"/>
          </w:tcPr>
          <w:p w14:paraId="73EE04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262,0</w:t>
            </w:r>
          </w:p>
        </w:tc>
        <w:tc>
          <w:tcPr>
            <w:tcW w:w="817" w:type="dxa"/>
          </w:tcPr>
          <w:p w14:paraId="0D2198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16,80</w:t>
            </w:r>
          </w:p>
        </w:tc>
        <w:tc>
          <w:tcPr>
            <w:tcW w:w="817" w:type="dxa"/>
          </w:tcPr>
          <w:p w14:paraId="5CDD40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165,0</w:t>
            </w:r>
          </w:p>
        </w:tc>
        <w:tc>
          <w:tcPr>
            <w:tcW w:w="817" w:type="dxa"/>
          </w:tcPr>
          <w:p w14:paraId="2F11AF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172,5</w:t>
            </w:r>
          </w:p>
        </w:tc>
        <w:tc>
          <w:tcPr>
            <w:tcW w:w="817" w:type="dxa"/>
          </w:tcPr>
          <w:p w14:paraId="547B1A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434,5</w:t>
            </w:r>
          </w:p>
        </w:tc>
        <w:tc>
          <w:tcPr>
            <w:tcW w:w="817" w:type="dxa"/>
          </w:tcPr>
          <w:p w14:paraId="11A945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1,99</w:t>
            </w:r>
          </w:p>
        </w:tc>
        <w:tc>
          <w:tcPr>
            <w:tcW w:w="817" w:type="dxa"/>
          </w:tcPr>
          <w:p w14:paraId="25DE64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2,78</w:t>
            </w:r>
          </w:p>
        </w:tc>
        <w:tc>
          <w:tcPr>
            <w:tcW w:w="817" w:type="dxa"/>
          </w:tcPr>
          <w:p w14:paraId="5FCCFA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0,935</w:t>
            </w:r>
          </w:p>
        </w:tc>
      </w:tr>
      <w:tr w:rsidR="007D5DF8" w:rsidRPr="00DB5D0D" w14:paraId="2D71B6A7" w14:textId="77777777" w:rsidTr="009223E5">
        <w:tc>
          <w:tcPr>
            <w:tcW w:w="817" w:type="dxa"/>
          </w:tcPr>
          <w:p w14:paraId="7F12E7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817" w:type="dxa"/>
          </w:tcPr>
          <w:p w14:paraId="135AAC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228,0</w:t>
            </w:r>
          </w:p>
        </w:tc>
        <w:tc>
          <w:tcPr>
            <w:tcW w:w="817" w:type="dxa"/>
          </w:tcPr>
          <w:p w14:paraId="189E51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16,90</w:t>
            </w:r>
          </w:p>
        </w:tc>
        <w:tc>
          <w:tcPr>
            <w:tcW w:w="817" w:type="dxa"/>
          </w:tcPr>
          <w:p w14:paraId="0C9ACC8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166,0</w:t>
            </w:r>
          </w:p>
        </w:tc>
        <w:tc>
          <w:tcPr>
            <w:tcW w:w="817" w:type="dxa"/>
          </w:tcPr>
          <w:p w14:paraId="29A649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173,5</w:t>
            </w:r>
          </w:p>
        </w:tc>
        <w:tc>
          <w:tcPr>
            <w:tcW w:w="817" w:type="dxa"/>
          </w:tcPr>
          <w:p w14:paraId="6B60FB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401.5</w:t>
            </w:r>
          </w:p>
        </w:tc>
        <w:tc>
          <w:tcPr>
            <w:tcW w:w="817" w:type="dxa"/>
          </w:tcPr>
          <w:p w14:paraId="029642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w:t>
            </w:r>
          </w:p>
        </w:tc>
        <w:tc>
          <w:tcPr>
            <w:tcW w:w="817" w:type="dxa"/>
          </w:tcPr>
          <w:p w14:paraId="598B57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2.87</w:t>
            </w:r>
          </w:p>
        </w:tc>
        <w:tc>
          <w:tcPr>
            <w:tcW w:w="817" w:type="dxa"/>
          </w:tcPr>
          <w:p w14:paraId="51AE79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w:t>
            </w:r>
          </w:p>
        </w:tc>
      </w:tr>
      <w:tr w:rsidR="007D5DF8" w:rsidRPr="00DB5D0D" w14:paraId="6BC50FF2" w14:textId="77777777" w:rsidTr="009223E5">
        <w:tc>
          <w:tcPr>
            <w:tcW w:w="817" w:type="dxa"/>
          </w:tcPr>
          <w:p w14:paraId="7E78F9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275</w:t>
            </w:r>
          </w:p>
        </w:tc>
        <w:tc>
          <w:tcPr>
            <w:tcW w:w="817" w:type="dxa"/>
          </w:tcPr>
          <w:p w14:paraId="02051B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209,0</w:t>
            </w:r>
          </w:p>
        </w:tc>
        <w:tc>
          <w:tcPr>
            <w:tcW w:w="817" w:type="dxa"/>
          </w:tcPr>
          <w:p w14:paraId="19043A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w:t>
            </w:r>
          </w:p>
        </w:tc>
        <w:tc>
          <w:tcPr>
            <w:tcW w:w="817" w:type="dxa"/>
          </w:tcPr>
          <w:p w14:paraId="524636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167,0</w:t>
            </w:r>
          </w:p>
        </w:tc>
        <w:tc>
          <w:tcPr>
            <w:tcW w:w="817" w:type="dxa"/>
          </w:tcPr>
          <w:p w14:paraId="6A961A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174.0</w:t>
            </w:r>
          </w:p>
        </w:tc>
        <w:tc>
          <w:tcPr>
            <w:tcW w:w="817" w:type="dxa"/>
          </w:tcPr>
          <w:p w14:paraId="1B845E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383,0</w:t>
            </w:r>
          </w:p>
        </w:tc>
        <w:tc>
          <w:tcPr>
            <w:tcW w:w="817" w:type="dxa"/>
          </w:tcPr>
          <w:p w14:paraId="402723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2.14</w:t>
            </w:r>
          </w:p>
        </w:tc>
        <w:tc>
          <w:tcPr>
            <w:tcW w:w="817" w:type="dxa"/>
          </w:tcPr>
          <w:p w14:paraId="388DF1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817" w:type="dxa"/>
          </w:tcPr>
          <w:p w14:paraId="387140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w:t>
            </w:r>
          </w:p>
        </w:tc>
      </w:tr>
      <w:tr w:rsidR="007D5DF8" w:rsidRPr="00DB5D0D" w14:paraId="45085F1E" w14:textId="77777777" w:rsidTr="009223E5">
        <w:tc>
          <w:tcPr>
            <w:tcW w:w="817" w:type="dxa"/>
          </w:tcPr>
          <w:p w14:paraId="0201AA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817" w:type="dxa"/>
          </w:tcPr>
          <w:p w14:paraId="150081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191,5</w:t>
            </w:r>
          </w:p>
        </w:tc>
        <w:tc>
          <w:tcPr>
            <w:tcW w:w="817" w:type="dxa"/>
          </w:tcPr>
          <w:p w14:paraId="4F63F9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17,10</w:t>
            </w:r>
          </w:p>
        </w:tc>
        <w:tc>
          <w:tcPr>
            <w:tcW w:w="817" w:type="dxa"/>
          </w:tcPr>
          <w:p w14:paraId="495C78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168,0</w:t>
            </w:r>
          </w:p>
        </w:tc>
        <w:tc>
          <w:tcPr>
            <w:tcW w:w="817" w:type="dxa"/>
          </w:tcPr>
          <w:p w14:paraId="7B8829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175,0</w:t>
            </w:r>
          </w:p>
        </w:tc>
        <w:tc>
          <w:tcPr>
            <w:tcW w:w="817" w:type="dxa"/>
          </w:tcPr>
          <w:p w14:paraId="319A0F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366,5</w:t>
            </w:r>
          </w:p>
        </w:tc>
        <w:tc>
          <w:tcPr>
            <w:tcW w:w="817" w:type="dxa"/>
          </w:tcPr>
          <w:p w14:paraId="7E4D24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2,26</w:t>
            </w:r>
          </w:p>
        </w:tc>
        <w:tc>
          <w:tcPr>
            <w:tcW w:w="817" w:type="dxa"/>
          </w:tcPr>
          <w:p w14:paraId="708D86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3.16</w:t>
            </w:r>
          </w:p>
        </w:tc>
        <w:tc>
          <w:tcPr>
            <w:tcW w:w="817" w:type="dxa"/>
          </w:tcPr>
          <w:p w14:paraId="007C8B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r>
      <w:tr w:rsidR="007D5DF8" w:rsidRPr="00DB5D0D" w14:paraId="201409D2" w14:textId="77777777" w:rsidTr="009223E5">
        <w:tc>
          <w:tcPr>
            <w:tcW w:w="817" w:type="dxa"/>
          </w:tcPr>
          <w:p w14:paraId="6D35DCDC"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325</w:t>
            </w:r>
          </w:p>
        </w:tc>
        <w:tc>
          <w:tcPr>
            <w:tcW w:w="817" w:type="dxa"/>
          </w:tcPr>
          <w:p w14:paraId="4666DCDB"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178,0</w:t>
            </w:r>
          </w:p>
        </w:tc>
        <w:tc>
          <w:tcPr>
            <w:tcW w:w="817" w:type="dxa"/>
          </w:tcPr>
          <w:p w14:paraId="73339DFD"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17,20</w:t>
            </w:r>
          </w:p>
        </w:tc>
        <w:tc>
          <w:tcPr>
            <w:tcW w:w="817" w:type="dxa"/>
          </w:tcPr>
          <w:p w14:paraId="1E40EA59"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168,5</w:t>
            </w:r>
          </w:p>
        </w:tc>
        <w:tc>
          <w:tcPr>
            <w:tcW w:w="817" w:type="dxa"/>
          </w:tcPr>
          <w:p w14:paraId="3B6B207D"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175,5</w:t>
            </w:r>
          </w:p>
        </w:tc>
        <w:tc>
          <w:tcPr>
            <w:tcW w:w="817" w:type="dxa"/>
          </w:tcPr>
          <w:p w14:paraId="17CA322E"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353,5</w:t>
            </w:r>
          </w:p>
        </w:tc>
        <w:tc>
          <w:tcPr>
            <w:tcW w:w="817" w:type="dxa"/>
          </w:tcPr>
          <w:p w14:paraId="42F3CF39"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2,36</w:t>
            </w:r>
          </w:p>
        </w:tc>
        <w:tc>
          <w:tcPr>
            <w:tcW w:w="817" w:type="dxa"/>
          </w:tcPr>
          <w:p w14:paraId="1E61A69C"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3,30</w:t>
            </w:r>
          </w:p>
        </w:tc>
        <w:tc>
          <w:tcPr>
            <w:tcW w:w="817" w:type="dxa"/>
          </w:tcPr>
          <w:p w14:paraId="23416D8A" w14:textId="77777777" w:rsidR="00A25AD1" w:rsidRPr="00DB5D0D" w:rsidRDefault="00A25AD1"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1,35</w:t>
            </w:r>
          </w:p>
        </w:tc>
      </w:tr>
      <w:tr w:rsidR="007D5DF8" w:rsidRPr="00DB5D0D" w14:paraId="62147CCF" w14:textId="77777777" w:rsidTr="009223E5">
        <w:tc>
          <w:tcPr>
            <w:tcW w:w="817" w:type="dxa"/>
          </w:tcPr>
          <w:p w14:paraId="3BC98A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17" w:type="dxa"/>
          </w:tcPr>
          <w:p w14:paraId="3DC375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165.5</w:t>
            </w:r>
          </w:p>
        </w:tc>
        <w:tc>
          <w:tcPr>
            <w:tcW w:w="817" w:type="dxa"/>
          </w:tcPr>
          <w:p w14:paraId="0E7299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17,30</w:t>
            </w:r>
          </w:p>
        </w:tc>
        <w:tc>
          <w:tcPr>
            <w:tcW w:w="817" w:type="dxa"/>
          </w:tcPr>
          <w:p w14:paraId="5D8373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w:t>
            </w:r>
          </w:p>
        </w:tc>
        <w:tc>
          <w:tcPr>
            <w:tcW w:w="817" w:type="dxa"/>
          </w:tcPr>
          <w:p w14:paraId="170495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177,0</w:t>
            </w:r>
          </w:p>
        </w:tc>
        <w:tc>
          <w:tcPr>
            <w:tcW w:w="817" w:type="dxa"/>
          </w:tcPr>
          <w:p w14:paraId="25E5A0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342,5</w:t>
            </w:r>
          </w:p>
        </w:tc>
        <w:tc>
          <w:tcPr>
            <w:tcW w:w="817" w:type="dxa"/>
          </w:tcPr>
          <w:p w14:paraId="7557FF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2,48</w:t>
            </w:r>
          </w:p>
        </w:tc>
        <w:tc>
          <w:tcPr>
            <w:tcW w:w="817" w:type="dxa"/>
          </w:tcPr>
          <w:p w14:paraId="4BF539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3,47</w:t>
            </w:r>
          </w:p>
        </w:tc>
        <w:tc>
          <w:tcPr>
            <w:tcW w:w="817" w:type="dxa"/>
          </w:tcPr>
          <w:p w14:paraId="19AB77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r>
      <w:tr w:rsidR="007D5DF8" w:rsidRPr="00DB5D0D" w14:paraId="78FF0199" w14:textId="77777777" w:rsidTr="009223E5">
        <w:tc>
          <w:tcPr>
            <w:tcW w:w="817" w:type="dxa"/>
          </w:tcPr>
          <w:p w14:paraId="4704EF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817" w:type="dxa"/>
          </w:tcPr>
          <w:p w14:paraId="2354E9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146.5</w:t>
            </w:r>
          </w:p>
        </w:tc>
        <w:tc>
          <w:tcPr>
            <w:tcW w:w="817" w:type="dxa"/>
          </w:tcPr>
          <w:p w14:paraId="0B87CF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17,44</w:t>
            </w:r>
          </w:p>
        </w:tc>
        <w:tc>
          <w:tcPr>
            <w:tcW w:w="817" w:type="dxa"/>
          </w:tcPr>
          <w:p w14:paraId="743C8D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171,0</w:t>
            </w:r>
          </w:p>
        </w:tc>
        <w:tc>
          <w:tcPr>
            <w:tcW w:w="817" w:type="dxa"/>
          </w:tcPr>
          <w:p w14:paraId="5216A5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178,0</w:t>
            </w:r>
          </w:p>
        </w:tc>
        <w:tc>
          <w:tcPr>
            <w:tcW w:w="817" w:type="dxa"/>
          </w:tcPr>
          <w:p w14:paraId="49E302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324,5</w:t>
            </w:r>
          </w:p>
        </w:tc>
        <w:tc>
          <w:tcPr>
            <w:tcW w:w="817" w:type="dxa"/>
          </w:tcPr>
          <w:p w14:paraId="24DB84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2,66</w:t>
            </w:r>
          </w:p>
        </w:tc>
        <w:tc>
          <w:tcPr>
            <w:tcW w:w="817" w:type="dxa"/>
          </w:tcPr>
          <w:p w14:paraId="14746E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3.72</w:t>
            </w:r>
          </w:p>
        </w:tc>
        <w:tc>
          <w:tcPr>
            <w:tcW w:w="817" w:type="dxa"/>
          </w:tcPr>
          <w:p w14:paraId="51D1CF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1,66</w:t>
            </w:r>
          </w:p>
        </w:tc>
      </w:tr>
      <w:tr w:rsidR="007D5DF8" w:rsidRPr="00DB5D0D" w14:paraId="6F017D19" w14:textId="77777777" w:rsidTr="009223E5">
        <w:tc>
          <w:tcPr>
            <w:tcW w:w="817" w:type="dxa"/>
          </w:tcPr>
          <w:p w14:paraId="69ED39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w:t>
            </w:r>
          </w:p>
        </w:tc>
        <w:tc>
          <w:tcPr>
            <w:tcW w:w="817" w:type="dxa"/>
          </w:tcPr>
          <w:p w14:paraId="4CB751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131,0</w:t>
            </w:r>
          </w:p>
        </w:tc>
        <w:tc>
          <w:tcPr>
            <w:tcW w:w="817" w:type="dxa"/>
          </w:tcPr>
          <w:p w14:paraId="2FAE75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17,58</w:t>
            </w:r>
          </w:p>
        </w:tc>
        <w:tc>
          <w:tcPr>
            <w:tcW w:w="817" w:type="dxa"/>
          </w:tcPr>
          <w:p w14:paraId="52DA19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172,5</w:t>
            </w:r>
          </w:p>
        </w:tc>
        <w:tc>
          <w:tcPr>
            <w:tcW w:w="817" w:type="dxa"/>
          </w:tcPr>
          <w:p w14:paraId="141F88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179,5</w:t>
            </w:r>
          </w:p>
        </w:tc>
        <w:tc>
          <w:tcPr>
            <w:tcW w:w="817" w:type="dxa"/>
          </w:tcPr>
          <w:p w14:paraId="18B462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310,5</w:t>
            </w:r>
          </w:p>
        </w:tc>
        <w:tc>
          <w:tcPr>
            <w:tcW w:w="817" w:type="dxa"/>
          </w:tcPr>
          <w:p w14:paraId="5B2341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2,86</w:t>
            </w:r>
          </w:p>
        </w:tc>
        <w:tc>
          <w:tcPr>
            <w:tcW w:w="817" w:type="dxa"/>
          </w:tcPr>
          <w:p w14:paraId="729799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817" w:type="dxa"/>
          </w:tcPr>
          <w:p w14:paraId="3CFA72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1,87</w:t>
            </w:r>
          </w:p>
        </w:tc>
      </w:tr>
      <w:tr w:rsidR="007D5DF8" w:rsidRPr="00DB5D0D" w14:paraId="24D3B068" w14:textId="77777777" w:rsidTr="009223E5">
        <w:tc>
          <w:tcPr>
            <w:tcW w:w="817" w:type="dxa"/>
            <w:tcBorders>
              <w:bottom w:val="single" w:sz="12" w:space="0" w:color="auto"/>
            </w:tcBorders>
          </w:tcPr>
          <w:p w14:paraId="27290D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817" w:type="dxa"/>
            <w:tcBorders>
              <w:bottom w:val="single" w:sz="12" w:space="0" w:color="auto"/>
            </w:tcBorders>
          </w:tcPr>
          <w:p w14:paraId="6D0497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118,0</w:t>
            </w:r>
          </w:p>
        </w:tc>
        <w:tc>
          <w:tcPr>
            <w:tcW w:w="817" w:type="dxa"/>
            <w:tcBorders>
              <w:bottom w:val="single" w:sz="12" w:space="0" w:color="auto"/>
            </w:tcBorders>
          </w:tcPr>
          <w:p w14:paraId="6447CF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17,70</w:t>
            </w:r>
          </w:p>
        </w:tc>
        <w:tc>
          <w:tcPr>
            <w:tcW w:w="817" w:type="dxa"/>
            <w:tcBorders>
              <w:bottom w:val="single" w:sz="12" w:space="0" w:color="auto"/>
            </w:tcBorders>
          </w:tcPr>
          <w:p w14:paraId="31F149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174,0</w:t>
            </w:r>
          </w:p>
        </w:tc>
        <w:tc>
          <w:tcPr>
            <w:tcW w:w="817" w:type="dxa"/>
            <w:tcBorders>
              <w:bottom w:val="single" w:sz="12" w:space="0" w:color="auto"/>
            </w:tcBorders>
          </w:tcPr>
          <w:p w14:paraId="1098F8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181,0</w:t>
            </w:r>
          </w:p>
        </w:tc>
        <w:tc>
          <w:tcPr>
            <w:tcW w:w="817" w:type="dxa"/>
            <w:tcBorders>
              <w:bottom w:val="single" w:sz="12" w:space="0" w:color="auto"/>
            </w:tcBorders>
          </w:tcPr>
          <w:p w14:paraId="57761D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299,0</w:t>
            </w:r>
          </w:p>
        </w:tc>
        <w:tc>
          <w:tcPr>
            <w:tcW w:w="817" w:type="dxa"/>
            <w:tcBorders>
              <w:bottom w:val="single" w:sz="12" w:space="0" w:color="auto"/>
            </w:tcBorders>
          </w:tcPr>
          <w:p w14:paraId="694877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3,06</w:t>
            </w:r>
          </w:p>
        </w:tc>
        <w:tc>
          <w:tcPr>
            <w:tcW w:w="817" w:type="dxa"/>
            <w:tcBorders>
              <w:bottom w:val="single" w:sz="12" w:space="0" w:color="auto"/>
            </w:tcBorders>
          </w:tcPr>
          <w:p w14:paraId="1C0CBF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4,29</w:t>
            </w:r>
          </w:p>
        </w:tc>
        <w:tc>
          <w:tcPr>
            <w:tcW w:w="817" w:type="dxa"/>
            <w:tcBorders>
              <w:bottom w:val="single" w:sz="12" w:space="0" w:color="auto"/>
            </w:tcBorders>
          </w:tcPr>
          <w:p w14:paraId="301EB3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2,08</w:t>
            </w:r>
          </w:p>
        </w:tc>
      </w:tr>
    </w:tbl>
    <w:p w14:paraId="682353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Выделенная строка была взята за основу при разработке образца.</w:t>
      </w:r>
    </w:p>
    <w:p w14:paraId="2E439D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4.14 расчетные характеристики бетонобойных авиабомб разработки 1939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1"/>
        <w:gridCol w:w="811"/>
        <w:gridCol w:w="1101"/>
        <w:gridCol w:w="1107"/>
        <w:gridCol w:w="1243"/>
      </w:tblGrid>
      <w:tr w:rsidR="007D5DF8" w:rsidRPr="00DB5D0D" w14:paraId="7740A889" w14:textId="77777777" w:rsidTr="009223E5">
        <w:trPr>
          <w:trHeight w:val="209"/>
        </w:trPr>
        <w:tc>
          <w:tcPr>
            <w:tcW w:w="851" w:type="dxa"/>
            <w:tcBorders>
              <w:top w:val="single" w:sz="12" w:space="0" w:color="auto"/>
            </w:tcBorders>
          </w:tcPr>
          <w:p w14:paraId="72FE97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боеприпаса</w:t>
            </w:r>
          </w:p>
        </w:tc>
        <w:tc>
          <w:tcPr>
            <w:tcW w:w="811" w:type="dxa"/>
            <w:tcBorders>
              <w:top w:val="single" w:sz="12" w:space="0" w:color="auto"/>
            </w:tcBorders>
          </w:tcPr>
          <w:p w14:paraId="2C0840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Конечная скорость при ударе в преграду, м/с</w:t>
            </w:r>
          </w:p>
          <w:p w14:paraId="53A537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01" w:type="dxa"/>
            <w:tcBorders>
              <w:top w:val="single" w:sz="12" w:space="0" w:color="auto"/>
            </w:tcBorders>
          </w:tcPr>
          <w:p w14:paraId="044C85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Глубина проникания в бетон (Кпр=1,3*10"), м</w:t>
            </w:r>
          </w:p>
        </w:tc>
        <w:tc>
          <w:tcPr>
            <w:tcW w:w="1107" w:type="dxa"/>
            <w:tcBorders>
              <w:top w:val="single" w:sz="12" w:space="0" w:color="auto"/>
            </w:tcBorders>
          </w:tcPr>
          <w:p w14:paraId="06A39F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Глубина</w:t>
            </w:r>
          </w:p>
          <w:p w14:paraId="4E2A4C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проникания в железобетон,</w:t>
            </w:r>
          </w:p>
          <w:p w14:paraId="47B995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w:t>
            </w:r>
          </w:p>
        </w:tc>
        <w:tc>
          <w:tcPr>
            <w:tcW w:w="1243" w:type="dxa"/>
            <w:tcBorders>
              <w:top w:val="single" w:sz="12" w:space="0" w:color="auto"/>
            </w:tcBorders>
          </w:tcPr>
          <w:p w14:paraId="35B27E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Пробиваемая</w:t>
            </w:r>
          </w:p>
          <w:p w14:paraId="1BB484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толщина железобетонного перекрытия, м</w:t>
            </w:r>
          </w:p>
        </w:tc>
      </w:tr>
      <w:tr w:rsidR="007D5DF8" w:rsidRPr="00DB5D0D" w14:paraId="5B3069F3" w14:textId="77777777" w:rsidTr="009223E5">
        <w:trPr>
          <w:trHeight w:val="223"/>
        </w:trPr>
        <w:tc>
          <w:tcPr>
            <w:tcW w:w="851" w:type="dxa"/>
          </w:tcPr>
          <w:p w14:paraId="068E94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БЕТАБ-450</w:t>
            </w:r>
          </w:p>
          <w:p w14:paraId="26DCCDB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11" w:type="dxa"/>
          </w:tcPr>
          <w:p w14:paraId="7FCC49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p w14:paraId="5B3C29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01" w:type="dxa"/>
          </w:tcPr>
          <w:p w14:paraId="2E0223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1920</w:t>
            </w:r>
          </w:p>
          <w:p w14:paraId="231EFA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07" w:type="dxa"/>
          </w:tcPr>
          <w:p w14:paraId="76769D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1330</w:t>
            </w:r>
          </w:p>
          <w:p w14:paraId="3F7E11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243" w:type="dxa"/>
          </w:tcPr>
          <w:p w14:paraId="627AFC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1860</w:t>
            </w:r>
          </w:p>
          <w:p w14:paraId="2338F5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7571BB5" w14:textId="77777777" w:rsidTr="009223E5">
        <w:trPr>
          <w:trHeight w:val="238"/>
        </w:trPr>
        <w:tc>
          <w:tcPr>
            <w:tcW w:w="851" w:type="dxa"/>
            <w:tcBorders>
              <w:bottom w:val="single" w:sz="12" w:space="0" w:color="auto"/>
            </w:tcBorders>
          </w:tcPr>
          <w:p w14:paraId="6B5D7F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БЕТАБ-450ДС</w:t>
            </w:r>
          </w:p>
          <w:p w14:paraId="7CF7AE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11" w:type="dxa"/>
            <w:tcBorders>
              <w:bottom w:val="single" w:sz="12" w:space="0" w:color="auto"/>
            </w:tcBorders>
          </w:tcPr>
          <w:p w14:paraId="44F3BC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p w14:paraId="5596E6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01" w:type="dxa"/>
            <w:tcBorders>
              <w:bottom w:val="single" w:sz="12" w:space="0" w:color="auto"/>
            </w:tcBorders>
          </w:tcPr>
          <w:p w14:paraId="1908B6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3160</w:t>
            </w:r>
          </w:p>
          <w:p w14:paraId="7E3BB2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07" w:type="dxa"/>
            <w:tcBorders>
              <w:bottom w:val="single" w:sz="12" w:space="0" w:color="auto"/>
            </w:tcBorders>
          </w:tcPr>
          <w:p w14:paraId="5343C2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2180</w:t>
            </w:r>
          </w:p>
          <w:p w14:paraId="697F7A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243" w:type="dxa"/>
            <w:tcBorders>
              <w:bottom w:val="single" w:sz="12" w:space="0" w:color="auto"/>
            </w:tcBorders>
          </w:tcPr>
          <w:p w14:paraId="5A9E64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3030</w:t>
            </w:r>
          </w:p>
          <w:p w14:paraId="098250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bl>
    <w:p w14:paraId="13CEED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4.15 Результаты бомбометания БЕТАБ-450ДС в 1940 г.</w:t>
      </w:r>
    </w:p>
    <w:tbl>
      <w:tblPr>
        <w:tblW w:w="0" w:type="auto"/>
        <w:tblInd w:w="40" w:type="dxa"/>
        <w:tblLayout w:type="fixed"/>
        <w:tblCellMar>
          <w:left w:w="40" w:type="dxa"/>
          <w:right w:w="40" w:type="dxa"/>
        </w:tblCellMar>
        <w:tblLook w:val="0000" w:firstRow="0" w:lastRow="0" w:firstColumn="0" w:lastColumn="0" w:noHBand="0" w:noVBand="0"/>
      </w:tblPr>
      <w:tblGrid>
        <w:gridCol w:w="1526"/>
        <w:gridCol w:w="1152"/>
        <w:gridCol w:w="1145"/>
        <w:gridCol w:w="1850"/>
      </w:tblGrid>
      <w:tr w:rsidR="007D5DF8" w:rsidRPr="00DB5D0D" w14:paraId="2FEDE00B" w14:textId="77777777" w:rsidTr="009223E5">
        <w:trPr>
          <w:trHeight w:val="259"/>
        </w:trPr>
        <w:tc>
          <w:tcPr>
            <w:tcW w:w="1526" w:type="dxa"/>
            <w:tcBorders>
              <w:top w:val="single" w:sz="6" w:space="0" w:color="auto"/>
              <w:left w:val="single" w:sz="6" w:space="0" w:color="auto"/>
              <w:bottom w:val="nil"/>
              <w:right w:val="single" w:sz="6" w:space="0" w:color="auto"/>
            </w:tcBorders>
          </w:tcPr>
          <w:p w14:paraId="047881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грунта (мрамор)</w:t>
            </w:r>
          </w:p>
          <w:p w14:paraId="1E03C6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2297" w:type="dxa"/>
            <w:gridSpan w:val="2"/>
            <w:tcBorders>
              <w:top w:val="single" w:sz="6" w:space="0" w:color="auto"/>
              <w:left w:val="single" w:sz="6" w:space="0" w:color="auto"/>
              <w:bottom w:val="single" w:sz="6" w:space="0" w:color="auto"/>
              <w:right w:val="single" w:sz="6" w:space="0" w:color="auto"/>
            </w:tcBorders>
          </w:tcPr>
          <w:p w14:paraId="11E00A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Глубина проникания, м</w:t>
            </w:r>
          </w:p>
          <w:p w14:paraId="5AF924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850" w:type="dxa"/>
            <w:tcBorders>
              <w:top w:val="single" w:sz="6" w:space="0" w:color="auto"/>
              <w:left w:val="single" w:sz="6" w:space="0" w:color="auto"/>
              <w:bottom w:val="nil"/>
              <w:right w:val="single" w:sz="6" w:space="0" w:color="auto"/>
            </w:tcBorders>
          </w:tcPr>
          <w:p w14:paraId="22F3DF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Диаметр воронки от БЕТАБ-450ДС. М</w:t>
            </w:r>
          </w:p>
          <w:p w14:paraId="00D96B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E7F6B46" w14:textId="77777777" w:rsidTr="009223E5">
        <w:trPr>
          <w:trHeight w:val="209"/>
        </w:trPr>
        <w:tc>
          <w:tcPr>
            <w:tcW w:w="1526" w:type="dxa"/>
            <w:tcBorders>
              <w:top w:val="nil"/>
              <w:left w:val="single" w:sz="6" w:space="0" w:color="auto"/>
              <w:bottom w:val="single" w:sz="6" w:space="0" w:color="auto"/>
              <w:right w:val="single" w:sz="6" w:space="0" w:color="auto"/>
            </w:tcBorders>
          </w:tcPr>
          <w:p w14:paraId="53B8D08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4258C4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F8424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МФАБ-500</w:t>
            </w:r>
          </w:p>
          <w:p w14:paraId="6B71EF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45" w:type="dxa"/>
            <w:tcBorders>
              <w:top w:val="single" w:sz="6" w:space="0" w:color="auto"/>
              <w:left w:val="single" w:sz="6" w:space="0" w:color="auto"/>
              <w:bottom w:val="single" w:sz="6" w:space="0" w:color="auto"/>
              <w:right w:val="single" w:sz="6" w:space="0" w:color="auto"/>
            </w:tcBorders>
          </w:tcPr>
          <w:p w14:paraId="0D0569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БЕТАБ-450ДС</w:t>
            </w:r>
          </w:p>
          <w:p w14:paraId="23A600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850" w:type="dxa"/>
            <w:tcBorders>
              <w:top w:val="nil"/>
              <w:left w:val="single" w:sz="6" w:space="0" w:color="auto"/>
              <w:bottom w:val="single" w:sz="6" w:space="0" w:color="auto"/>
              <w:right w:val="single" w:sz="6" w:space="0" w:color="auto"/>
            </w:tcBorders>
          </w:tcPr>
          <w:p w14:paraId="326A16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AFAB1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C2BD64A" w14:textId="77777777" w:rsidTr="009223E5">
        <w:trPr>
          <w:trHeight w:val="230"/>
        </w:trPr>
        <w:tc>
          <w:tcPr>
            <w:tcW w:w="1526" w:type="dxa"/>
            <w:tcBorders>
              <w:top w:val="single" w:sz="6" w:space="0" w:color="auto"/>
              <w:left w:val="single" w:sz="6" w:space="0" w:color="auto"/>
              <w:bottom w:val="single" w:sz="6" w:space="0" w:color="auto"/>
              <w:right w:val="single" w:sz="6" w:space="0" w:color="auto"/>
            </w:tcBorders>
          </w:tcPr>
          <w:p w14:paraId="294361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Плотной породы</w:t>
            </w:r>
          </w:p>
          <w:p w14:paraId="18FD7C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F973A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77BD11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45" w:type="dxa"/>
            <w:tcBorders>
              <w:top w:val="single" w:sz="6" w:space="0" w:color="auto"/>
              <w:left w:val="single" w:sz="6" w:space="0" w:color="auto"/>
              <w:bottom w:val="single" w:sz="6" w:space="0" w:color="auto"/>
              <w:right w:val="single" w:sz="6" w:space="0" w:color="auto"/>
            </w:tcBorders>
          </w:tcPr>
          <w:p w14:paraId="2B5A44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p w14:paraId="410D40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850" w:type="dxa"/>
            <w:tcBorders>
              <w:top w:val="single" w:sz="6" w:space="0" w:color="auto"/>
              <w:left w:val="single" w:sz="6" w:space="0" w:color="auto"/>
              <w:bottom w:val="single" w:sz="6" w:space="0" w:color="auto"/>
              <w:right w:val="single" w:sz="6" w:space="0" w:color="auto"/>
            </w:tcBorders>
          </w:tcPr>
          <w:p w14:paraId="346B00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3,40</w:t>
            </w:r>
          </w:p>
          <w:p w14:paraId="080CBF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6818080" w14:textId="77777777" w:rsidTr="009223E5">
        <w:trPr>
          <w:trHeight w:val="209"/>
        </w:trPr>
        <w:tc>
          <w:tcPr>
            <w:tcW w:w="1526" w:type="dxa"/>
            <w:tcBorders>
              <w:top w:val="single" w:sz="6" w:space="0" w:color="auto"/>
              <w:left w:val="single" w:sz="6" w:space="0" w:color="auto"/>
              <w:bottom w:val="single" w:sz="6" w:space="0" w:color="auto"/>
              <w:right w:val="single" w:sz="6" w:space="0" w:color="auto"/>
            </w:tcBorders>
          </w:tcPr>
          <w:p w14:paraId="68C8C4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Крепкой породы</w:t>
            </w:r>
          </w:p>
          <w:p w14:paraId="79141C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38BA9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0,60</w:t>
            </w:r>
          </w:p>
          <w:p w14:paraId="700390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45" w:type="dxa"/>
            <w:tcBorders>
              <w:top w:val="single" w:sz="6" w:space="0" w:color="auto"/>
              <w:left w:val="single" w:sz="6" w:space="0" w:color="auto"/>
              <w:bottom w:val="single" w:sz="6" w:space="0" w:color="auto"/>
              <w:right w:val="single" w:sz="6" w:space="0" w:color="auto"/>
            </w:tcBorders>
          </w:tcPr>
          <w:p w14:paraId="53D85F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w:t>
            </w:r>
          </w:p>
          <w:p w14:paraId="2ED377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850" w:type="dxa"/>
            <w:tcBorders>
              <w:top w:val="single" w:sz="6" w:space="0" w:color="auto"/>
              <w:left w:val="single" w:sz="6" w:space="0" w:color="auto"/>
              <w:bottom w:val="single" w:sz="6" w:space="0" w:color="auto"/>
              <w:right w:val="single" w:sz="6" w:space="0" w:color="auto"/>
            </w:tcBorders>
          </w:tcPr>
          <w:p w14:paraId="018937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w:t>
            </w:r>
          </w:p>
          <w:p w14:paraId="0818B2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F1C2284" w14:textId="77777777" w:rsidTr="009223E5">
        <w:trPr>
          <w:trHeight w:val="238"/>
        </w:trPr>
        <w:tc>
          <w:tcPr>
            <w:tcW w:w="1526" w:type="dxa"/>
            <w:tcBorders>
              <w:top w:val="single" w:sz="6" w:space="0" w:color="auto"/>
              <w:left w:val="single" w:sz="6" w:space="0" w:color="auto"/>
              <w:bottom w:val="single" w:sz="6" w:space="0" w:color="auto"/>
              <w:right w:val="single" w:sz="6" w:space="0" w:color="auto"/>
            </w:tcBorders>
          </w:tcPr>
          <w:p w14:paraId="212B74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Средней породы</w:t>
            </w:r>
          </w:p>
          <w:p w14:paraId="1B1C35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44808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7A7194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45" w:type="dxa"/>
            <w:tcBorders>
              <w:top w:val="single" w:sz="6" w:space="0" w:color="auto"/>
              <w:left w:val="single" w:sz="6" w:space="0" w:color="auto"/>
              <w:bottom w:val="single" w:sz="6" w:space="0" w:color="auto"/>
              <w:right w:val="single" w:sz="6" w:space="0" w:color="auto"/>
            </w:tcBorders>
          </w:tcPr>
          <w:p w14:paraId="724F92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p w14:paraId="71C6D6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850" w:type="dxa"/>
            <w:tcBorders>
              <w:top w:val="single" w:sz="6" w:space="0" w:color="auto"/>
              <w:left w:val="single" w:sz="6" w:space="0" w:color="auto"/>
              <w:bottom w:val="single" w:sz="6" w:space="0" w:color="auto"/>
              <w:right w:val="single" w:sz="6" w:space="0" w:color="auto"/>
            </w:tcBorders>
          </w:tcPr>
          <w:p w14:paraId="742900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4,85</w:t>
            </w:r>
          </w:p>
          <w:p w14:paraId="64175B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096B7AA9" w14:textId="77777777" w:rsidTr="009223E5">
        <w:trPr>
          <w:trHeight w:val="230"/>
        </w:trPr>
        <w:tc>
          <w:tcPr>
            <w:tcW w:w="1526" w:type="dxa"/>
            <w:tcBorders>
              <w:top w:val="single" w:sz="6" w:space="0" w:color="auto"/>
              <w:left w:val="single" w:sz="6" w:space="0" w:color="auto"/>
              <w:bottom w:val="single" w:sz="6" w:space="0" w:color="auto"/>
              <w:right w:val="single" w:sz="6" w:space="0" w:color="auto"/>
            </w:tcBorders>
          </w:tcPr>
          <w:p w14:paraId="256516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Слабой породы</w:t>
            </w:r>
          </w:p>
          <w:p w14:paraId="32245E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83C5C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2,83</w:t>
            </w:r>
          </w:p>
          <w:p w14:paraId="7EBF0B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145" w:type="dxa"/>
            <w:tcBorders>
              <w:top w:val="single" w:sz="6" w:space="0" w:color="auto"/>
              <w:left w:val="single" w:sz="6" w:space="0" w:color="auto"/>
              <w:bottom w:val="single" w:sz="6" w:space="0" w:color="auto"/>
              <w:right w:val="single" w:sz="6" w:space="0" w:color="auto"/>
            </w:tcBorders>
          </w:tcPr>
          <w:p w14:paraId="021B32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p w14:paraId="6865A6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850" w:type="dxa"/>
            <w:tcBorders>
              <w:top w:val="single" w:sz="6" w:space="0" w:color="auto"/>
              <w:left w:val="single" w:sz="6" w:space="0" w:color="auto"/>
              <w:bottom w:val="single" w:sz="6" w:space="0" w:color="auto"/>
              <w:right w:val="single" w:sz="6" w:space="0" w:color="auto"/>
            </w:tcBorders>
          </w:tcPr>
          <w:p w14:paraId="1EA18C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369190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bl>
    <w:p w14:paraId="7B4D55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документах 1940 г. размеры стабилизаторов ракетных авиабомб всех калибров (за исключением БРАБ-203 мм с ДС) требовалось изменить для лучшей стыковки с хвостовиком на бомбодержателях. На перспективу при разработке ракетных авиабомб калибров 254 и 305 мм с ДС требовалось из</w:t>
      </w:r>
      <w:r w:rsidRPr="00DB5D0D">
        <w:rPr>
          <w:rFonts w:ascii="Times New Roman" w:hAnsi="Times New Roman"/>
          <w:color w:val="000000" w:themeColor="text1"/>
          <w:sz w:val="16"/>
          <w:szCs w:val="16"/>
        </w:rPr>
        <w:softHyphen/>
        <w:t>менить схему воспламенения РЗ, чтобы в момент его действия из сопла не вылетало металлических деталей. И чтобы воспламенять РЗ безопасно было не только в нижней части траектории, но и в начале. То есть, допускать бомбометание с горизонтального полета и пикирования (11402).</w:t>
      </w:r>
    </w:p>
    <w:p w14:paraId="60D5DA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72C59F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B83F6B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09C240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 вышел приказ № 174сс НКВ</w:t>
      </w:r>
    </w:p>
    <w:p w14:paraId="211F8CD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Объявляю организационную структуру НКВ, утвержденную постановлением СНК</w:t>
      </w:r>
    </w:p>
    <w:p w14:paraId="526BF67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Гл. управление (артиллерийское) с заводами №№ 4, 7, 8, 13, 92, 106, 393.</w:t>
      </w:r>
    </w:p>
    <w:p w14:paraId="12DA261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Гл. управление (оптика и приборы) с заводами: №№ 349, 350, 354, 357, 356, 217, 353, 355, 69, Государственный оптический институт, строительство № 237, заводы №№ 267 и 297.</w:t>
      </w:r>
    </w:p>
    <w:p w14:paraId="55F32BE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Гл. управление (патронное) с заводами №№ 3, 17, 38, 44, 46, 60, 188, строительства 303 и 304 (6241, 110).</w:t>
      </w:r>
    </w:p>
    <w:p w14:paraId="6CE8DD1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C76AB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19.06.1940 г. приказом № 174сс и в соответствии с пост. СНК № 936-352сс от 3.06.1940 г. была утверждена структура НКВ: 1ГУ (7 заводов), 2ГУ (12 заводов и ГОИ), ЗГУ (9); кроме того, входило 5 НИИ, 10 КБ, 25 учебных заведений. Перед войной в составе НКВ было 43 завода (14 - артиллерийских, 9 - стрелкового оружия, 8 - патронных, 12 - оптико-механических). Всего на начало 1941 г. в состав четырех военно-промышленных наркоматов входило около 300 производственных предприятий. Таким образом, военно-промышленные наркоматы специализировались на производстве военных изделий 1-й и 2-й группы. Выпуск изделий 3-й группы, в основном, осваивалось «запасными» предприятиями Наркоматов Общего, Тяжелого и Среднего машиностроения, НКЭП и НКХП. НКСМ образован 8.02.1939г., в его ведение передан Спецмаштрест НКОП; оборонные предприятия в НКСМ (танкостроение) были сосредоточены в Главспецмаше. Предприятия электро- и радиопромышленности были сосредоточены в Наркомате электростанций и электропромышленности, а с 04.1940 г. - НКЭП. Высшим государственным органом управления наркоматами военной промышленности и военными производствами гражданской промышленности стал Комитет Обороны при СНК СССР и его органы: Экономический Совет (ЭКОСО) и Военно-Промышленная Комиссия (11982).</w:t>
      </w:r>
    </w:p>
    <w:p w14:paraId="2FAA89D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7765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 в соответствии с постановлением СНК СССР и ЦК ВКП(б) к выпуску KB должен был подключиться и Челябинский тракторный завод (ЧТЗ). (3862).</w:t>
      </w:r>
    </w:p>
    <w:p w14:paraId="4B903CB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4750C8"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 июня 1940 вышло Постановление Политбюро ЦК ВКП(б) "Об обеспечении производства танков "КВ" на Челябинском тракторном заводе бронекорпусами и башнями" (пр. № 17/17-оп за 29 мая - 23 июня 1940 г., п. 198)</w:t>
      </w:r>
    </w:p>
    <w:p w14:paraId="2BF2E964"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197.- Об организации производства танков типа "КВ" на Челя</w:t>
      </w:r>
      <w:r w:rsidRPr="00DB5D0D">
        <w:rPr>
          <w:rFonts w:ascii="Times New Roman" w:hAnsi="Times New Roman"/>
          <w:color w:val="0070C0"/>
          <w:sz w:val="16"/>
          <w:szCs w:val="16"/>
        </w:rPr>
        <w:softHyphen/>
        <w:t>бинском тракторном заводе им. Сталина.</w:t>
      </w:r>
    </w:p>
    <w:p w14:paraId="20F067EA"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("Постановление СНК СССР и ЦК BКП/б/).</w:t>
      </w:r>
    </w:p>
    <w:p w14:paraId="41CF3388"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Принять следующее постановление (см.приложение).</w:t>
      </w:r>
    </w:p>
    <w:p w14:paraId="44F8B2BC"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 т. Лихач о ву, Жданову, Ефремову, Тимошенко, Пугаеву, Вознесенскому, Хломову,Гинз</w:t>
      </w:r>
      <w:r w:rsidRPr="00DB5D0D">
        <w:rPr>
          <w:rFonts w:ascii="Times New Roman" w:hAnsi="Times New Roman"/>
          <w:color w:val="0070C0"/>
          <w:sz w:val="16"/>
          <w:szCs w:val="16"/>
        </w:rPr>
        <w:softHyphen/>
        <w:t>бургу, Носенко; Челябинский обком ВКП(б) - все; Гроссману - 5, Лотко</w:t>
      </w:r>
      <w:r w:rsidRPr="00DB5D0D">
        <w:rPr>
          <w:rFonts w:ascii="Times New Roman" w:hAnsi="Times New Roman"/>
          <w:color w:val="0070C0"/>
          <w:sz w:val="16"/>
          <w:szCs w:val="16"/>
        </w:rPr>
        <w:softHyphen/>
        <w:t>ву - 8, Соснину - 9,29, Лукину, Аки</w:t>
      </w:r>
      <w:r w:rsidRPr="00DB5D0D">
        <w:rPr>
          <w:rFonts w:ascii="Times New Roman" w:hAnsi="Times New Roman"/>
          <w:color w:val="0070C0"/>
          <w:sz w:val="16"/>
          <w:szCs w:val="16"/>
        </w:rPr>
        <w:softHyphen/>
        <w:t>мову - 10,29, Звереву - 11,12,13,19, 27, Микояну - 13,16, Самохвалову - 17,28,29, Кагановичу(НКПС) - 32, Бу</w:t>
      </w:r>
      <w:r w:rsidRPr="00DB5D0D">
        <w:rPr>
          <w:rFonts w:ascii="Times New Roman" w:hAnsi="Times New Roman"/>
          <w:color w:val="0070C0"/>
          <w:sz w:val="16"/>
          <w:szCs w:val="16"/>
        </w:rPr>
        <w:softHyphen/>
        <w:t>гаеву - 32, Шахурину - 24,29. Тевосяну - 28,29, Сергееву (НКБ), Чеботареву - 20, Богатыреву, Денисову, Сергееву, Кагановичу, Вахрушеву, Ванникову, Лаза</w:t>
      </w:r>
      <w:r w:rsidRPr="00DB5D0D">
        <w:rPr>
          <w:rFonts w:ascii="Times New Roman" w:hAnsi="Times New Roman"/>
          <w:color w:val="0070C0"/>
          <w:sz w:val="16"/>
          <w:szCs w:val="16"/>
        </w:rPr>
        <w:softHyphen/>
        <w:t>реву, Уткину (Всекопромсовет) - 29, Паршину - 29,33, Любимову - 31, Михай</w:t>
      </w:r>
      <w:r w:rsidRPr="00DB5D0D">
        <w:rPr>
          <w:rFonts w:ascii="Times New Roman" w:hAnsi="Times New Roman"/>
          <w:color w:val="0070C0"/>
          <w:sz w:val="16"/>
          <w:szCs w:val="16"/>
        </w:rPr>
        <w:softHyphen/>
        <w:t>лову - 34; Куйбышевский и Мордовский обкомы ВКП(б) - 36.</w:t>
      </w:r>
    </w:p>
    <w:p w14:paraId="13EDB755"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198.- Об обеспечении производства танков "КВ" на Челябинском тракторном заводе броне-корпусами и башнями.</w:t>
      </w:r>
    </w:p>
    <w:p w14:paraId="219EF3F9"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(Постановление СЙК СССР и ЦК ВКП/б/</w:t>
      </w:r>
    </w:p>
    <w:p w14:paraId="6A0264DB"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обеспечения производства танков "КВ" на Челя</w:t>
      </w:r>
      <w:r w:rsidRPr="00DB5D0D">
        <w:rPr>
          <w:rFonts w:ascii="Times New Roman" w:hAnsi="Times New Roman"/>
          <w:color w:val="0070C0"/>
          <w:sz w:val="16"/>
          <w:szCs w:val="16"/>
        </w:rPr>
        <w:softHyphen/>
        <w:t>бинском тракторном заводе броне-корпусами и башнями Совет Народных Комиссаров Союза ССР и Центральный Коми</w:t>
      </w:r>
      <w:r w:rsidRPr="00DB5D0D">
        <w:rPr>
          <w:rFonts w:ascii="Times New Roman" w:hAnsi="Times New Roman"/>
          <w:color w:val="0070C0"/>
          <w:sz w:val="16"/>
          <w:szCs w:val="16"/>
        </w:rPr>
        <w:softHyphen/>
        <w:t>тет BКПБ (б) постановляют:</w:t>
      </w:r>
    </w:p>
    <w:p w14:paraId="78E417BF"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Обязать Наркомчермет т. Тевосяна организовать на слябинге Запорожского завода прокатку броне-листа, начи</w:t>
      </w:r>
      <w:r w:rsidRPr="00DB5D0D">
        <w:rPr>
          <w:rFonts w:ascii="Times New Roman" w:hAnsi="Times New Roman"/>
          <w:color w:val="0070C0"/>
          <w:sz w:val="16"/>
          <w:szCs w:val="16"/>
        </w:rPr>
        <w:softHyphen/>
        <w:t>ная с февраля 1941 г. К указанному сроку построить тер</w:t>
      </w:r>
      <w:r w:rsidRPr="00DB5D0D">
        <w:rPr>
          <w:rFonts w:ascii="Times New Roman" w:hAnsi="Times New Roman"/>
          <w:color w:val="0070C0"/>
          <w:sz w:val="16"/>
          <w:szCs w:val="16"/>
        </w:rPr>
        <w:softHyphen/>
        <w:t>мические печи и произвести необходимое дооборудование' для слябинга.</w:t>
      </w:r>
    </w:p>
    <w:p w14:paraId="616FF3B2"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Наркомсудпрому т. Носенко обеспечить "Запорож</w:t>
      </w:r>
      <w:r w:rsidRPr="00DB5D0D">
        <w:rPr>
          <w:rFonts w:ascii="Times New Roman" w:hAnsi="Times New Roman"/>
          <w:color w:val="0070C0"/>
          <w:sz w:val="16"/>
          <w:szCs w:val="16"/>
        </w:rPr>
        <w:softHyphen/>
        <w:t>сталь слитками броневой стали с Мариупольского завода, и Наркомчермету т.Тевосяну обеспечить поставку Мариуполь</w:t>
      </w:r>
      <w:r w:rsidRPr="00DB5D0D">
        <w:rPr>
          <w:rFonts w:ascii="Times New Roman" w:hAnsi="Times New Roman"/>
          <w:color w:val="0070C0"/>
          <w:sz w:val="16"/>
          <w:szCs w:val="16"/>
        </w:rPr>
        <w:softHyphen/>
        <w:t>скому заводу соответствующего количества углеродистой болванки.</w:t>
      </w:r>
    </w:p>
    <w:p w14:paraId="1EE4D081"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Обязать Наркомтяжмаш т. Ефремова немедленно приступить к реконструкции стана и и печного хозяйст</w:t>
      </w:r>
      <w:r w:rsidRPr="00DB5D0D">
        <w:rPr>
          <w:rFonts w:ascii="Times New Roman" w:hAnsi="Times New Roman"/>
          <w:color w:val="0070C0"/>
          <w:sz w:val="16"/>
          <w:szCs w:val="16"/>
        </w:rPr>
        <w:softHyphen/>
        <w:t>ва Кировского завода и постройке цеха для отделки и термической обработки броне-листа, с таким расчетом, чтобы начиная с 1-го июля 1941 г., обеспечить броне-листом производство танков КВ на Кировском и Челябинском тракторном заводах.</w:t>
      </w:r>
    </w:p>
    <w:p w14:paraId="4B1F9A5D"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Командировать на Урал комиссию в составе т.т. Сабурова (председатель), Горегляда (НКСМ), Емельянова (НКСП), Иванова (НКБ) и Соколова (HKCtрой) по вопросу организации производственной базы для обработки и сборки броне-корпусов танков КВ (поблизости к Челябинску). Срок работы комиссии - 20 дней</w:t>
      </w:r>
    </w:p>
    <w:p w14:paraId="1671AFCA"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Объем капиталовложений на 1940 по строительству Строй-Семь установить в 60 миллионов рублей, для чего отпустить Наркомсудпрому из резервного фонда Совнаркома 30 миллионов рублей.</w:t>
      </w:r>
    </w:p>
    <w:p w14:paraId="22718F3C"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Обязать Наркомстрой т. Гинзбурга:</w:t>
      </w:r>
    </w:p>
    <w:p w14:paraId="7990A2C5"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развернуть строительные работы на строительстве "Строй-Семь" Наркомсудпрома с расчетом ввода завода в эксплоатацию в 1 квартале 1943 г.;</w:t>
      </w:r>
    </w:p>
    <w:p w14:paraId="3CC165B0"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укрепить руководство 22-го строительного треста и перевести на строительство в двухдекадный срок не ме</w:t>
      </w:r>
      <w:r w:rsidRPr="00DB5D0D">
        <w:rPr>
          <w:rFonts w:ascii="Times New Roman" w:hAnsi="Times New Roman"/>
          <w:color w:val="0070C0"/>
          <w:sz w:val="16"/>
          <w:szCs w:val="16"/>
        </w:rPr>
        <w:softHyphen/>
        <w:t>нее 10-ти квалифицированных инженеров строителей;</w:t>
      </w:r>
    </w:p>
    <w:p w14:paraId="6266F02B"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обеспечить в 1940г. выполнение строительно-монтаж</w:t>
      </w:r>
      <w:r w:rsidRPr="00DB5D0D">
        <w:rPr>
          <w:rFonts w:ascii="Times New Roman" w:hAnsi="Times New Roman"/>
          <w:color w:val="0070C0"/>
          <w:sz w:val="16"/>
          <w:szCs w:val="16"/>
        </w:rPr>
        <w:softHyphen/>
        <w:t>ных работ в об"еме 50 миллионов рублей.</w:t>
      </w:r>
    </w:p>
    <w:p w14:paraId="22189CA8"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Т.т.Ефремову, Тевосяну, Носенко и Гинзбургу пред</w:t>
      </w:r>
      <w:r w:rsidRPr="00DB5D0D">
        <w:rPr>
          <w:rFonts w:ascii="Times New Roman" w:hAnsi="Times New Roman"/>
          <w:color w:val="0070C0"/>
          <w:sz w:val="16"/>
          <w:szCs w:val="16"/>
        </w:rPr>
        <w:softHyphen/>
        <w:t>ставить в Экономсовет при СНК СССР в декадный срок заяв</w:t>
      </w:r>
      <w:r w:rsidRPr="00DB5D0D">
        <w:rPr>
          <w:rFonts w:ascii="Times New Roman" w:hAnsi="Times New Roman"/>
          <w:color w:val="0070C0"/>
          <w:sz w:val="16"/>
          <w:szCs w:val="16"/>
        </w:rPr>
        <w:softHyphen/>
        <w:t>ки на материалы, оборудование и капиталовложении, необхо</w:t>
      </w:r>
      <w:r w:rsidRPr="00DB5D0D">
        <w:rPr>
          <w:rFonts w:ascii="Times New Roman" w:hAnsi="Times New Roman"/>
          <w:color w:val="0070C0"/>
          <w:sz w:val="16"/>
          <w:szCs w:val="16"/>
        </w:rPr>
        <w:softHyphen/>
        <w:t>димые дли обеспечения выполнения указанных выше работ.</w:t>
      </w:r>
    </w:p>
    <w:p w14:paraId="253E9640"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Обязать Экономсовет при СНК СССР полностью обеспе</w:t>
      </w:r>
      <w:r w:rsidRPr="00DB5D0D">
        <w:rPr>
          <w:rFonts w:ascii="Times New Roman" w:hAnsi="Times New Roman"/>
          <w:color w:val="0070C0"/>
          <w:sz w:val="16"/>
          <w:szCs w:val="16"/>
        </w:rPr>
        <w:softHyphen/>
        <w:t>чить первоочередное выделение оборудования и материалов по этим заявкам.</w:t>
      </w:r>
    </w:p>
    <w:p w14:paraId="6D16D815"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Наркомвнешторгу форсировать размещение броневого стана, заказываемого в Германии для завода им. Ворошилова в Донбассе, и передать стан Наркомсудпрому для установ</w:t>
      </w:r>
      <w:r w:rsidRPr="00DB5D0D">
        <w:rPr>
          <w:rFonts w:ascii="Times New Roman" w:hAnsi="Times New Roman"/>
          <w:color w:val="0070C0"/>
          <w:sz w:val="16"/>
          <w:szCs w:val="16"/>
        </w:rPr>
        <w:softHyphen/>
        <w:t>ки на Челябинском заводе "Строй-Семь .</w:t>
      </w:r>
    </w:p>
    <w:p w14:paraId="206C9EBC"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В целях смягчения дефицита в броне-листах, а так</w:t>
      </w:r>
      <w:r w:rsidRPr="00DB5D0D">
        <w:rPr>
          <w:rFonts w:ascii="Times New Roman" w:hAnsi="Times New Roman"/>
          <w:color w:val="0070C0"/>
          <w:sz w:val="16"/>
          <w:szCs w:val="16"/>
        </w:rPr>
        <w:softHyphen/>
        <w:t>же упрощения технологического процесса изготовления бронебашен:</w:t>
      </w:r>
    </w:p>
    <w:p w14:paraId="02124494"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Наркомсудпрому т. Носенко к 1 сентября 1940 года закончить опытные работы по литым башням танков "КВ" и "Т-34", для чего изготовить на Ижорском и Мариупольском заводах литых броне-башен по 5 комплектов для каждого танка и произвести все испытания; Наркомсудпрому совмест</w:t>
      </w:r>
      <w:r w:rsidRPr="00DB5D0D">
        <w:rPr>
          <w:rFonts w:ascii="Times New Roman" w:hAnsi="Times New Roman"/>
          <w:color w:val="0070C0"/>
          <w:sz w:val="16"/>
          <w:szCs w:val="16"/>
        </w:rPr>
        <w:softHyphen/>
        <w:t>но с НКО, НКТМ и Наркомсредмашом доложить Комитету Обо</w:t>
      </w:r>
      <w:r w:rsidRPr="00DB5D0D">
        <w:rPr>
          <w:rFonts w:ascii="Times New Roman" w:hAnsi="Times New Roman"/>
          <w:color w:val="0070C0"/>
          <w:sz w:val="16"/>
          <w:szCs w:val="16"/>
        </w:rPr>
        <w:softHyphen/>
        <w:t>роны при СНК Союза ССР о результатах испытаний литых ба</w:t>
      </w:r>
      <w:r w:rsidRPr="00DB5D0D">
        <w:rPr>
          <w:rFonts w:ascii="Times New Roman" w:hAnsi="Times New Roman"/>
          <w:color w:val="0070C0"/>
          <w:sz w:val="16"/>
          <w:szCs w:val="16"/>
        </w:rPr>
        <w:softHyphen/>
        <w:t>шен танков КВ к 1 октября 1940 г., а литых башен тан</w:t>
      </w:r>
      <w:r w:rsidRPr="00DB5D0D">
        <w:rPr>
          <w:rFonts w:ascii="Times New Roman" w:hAnsi="Times New Roman"/>
          <w:color w:val="0070C0"/>
          <w:sz w:val="16"/>
          <w:szCs w:val="16"/>
        </w:rPr>
        <w:softHyphen/>
        <w:t>ков "Т-34" к 1 августа 1940 г.;</w:t>
      </w:r>
    </w:p>
    <w:p w14:paraId="11DD90AD"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Наркомсудпрому т. Носенко изготовить 2 корпуса танков КВ с двухслойной броней, толщиной листов в 30 и 45 мм., а НКТМ собрать 2 танка с указанной броней. Работы по изготовлению корпусов и испытанию закончить к 1.Х1.1940Г.</w:t>
      </w:r>
    </w:p>
    <w:p w14:paraId="7C03E515"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 указанному сроку Наркомсредмашу, НКТМ, НКО и Нар</w:t>
      </w:r>
      <w:r w:rsidRPr="00DB5D0D">
        <w:rPr>
          <w:rFonts w:ascii="Times New Roman" w:hAnsi="Times New Roman"/>
          <w:color w:val="0070C0"/>
          <w:sz w:val="16"/>
          <w:szCs w:val="16"/>
        </w:rPr>
        <w:softHyphen/>
        <w:t>комсудпрому доложить Комитету Обороны при СНК Союза ССР о результатах испытания.</w:t>
      </w:r>
    </w:p>
    <w:p w14:paraId="3C785C3A"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Поручит Госплану СССР (т. Сабурозу) подготовить ворос о размещении производства литых башен для танков и Т-34 . Срок - 1 месяц.</w:t>
      </w:r>
    </w:p>
    <w:p w14:paraId="7076F1D0"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Главному контролеру Комитета Обороны установить специальный контроль завыполнением настоящего постановления.</w:t>
      </w:r>
    </w:p>
    <w:p w14:paraId="1E27A31D"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Выписки посланы:</w:t>
      </w:r>
    </w:p>
    <w:p w14:paraId="71A94E66"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Челябинский обком ВКП(б); т.т. Лихачеву, Тевосяну, Носенко, Ефремову, Жданову,Тимо</w:t>
      </w:r>
      <w:r w:rsidRPr="00DB5D0D">
        <w:rPr>
          <w:rFonts w:ascii="Times New Roman" w:hAnsi="Times New Roman"/>
          <w:color w:val="0070C0"/>
          <w:sz w:val="16"/>
          <w:szCs w:val="16"/>
        </w:rPr>
        <w:softHyphen/>
        <w:t>шенко, Вознесенскому, Пугаеву, Хломову - все; Гинзбургу – 4, 6, 7, Микояну - 8, Сабурову -4 10, Горегляду, Емельянову, Иванову; Соколову -4 (21933).</w:t>
      </w:r>
    </w:p>
    <w:p w14:paraId="0731881C" w14:textId="77777777" w:rsidR="004D550C" w:rsidRPr="00DB5D0D" w:rsidRDefault="004D550C" w:rsidP="00DB5D0D">
      <w:pPr>
        <w:shd w:val="clear" w:color="auto" w:fill="FFFFFF"/>
        <w:spacing w:after="0" w:line="240" w:lineRule="auto"/>
        <w:jc w:val="both"/>
        <w:rPr>
          <w:rFonts w:ascii="Times New Roman" w:hAnsi="Times New Roman"/>
          <w:color w:val="0070C0"/>
          <w:sz w:val="16"/>
          <w:szCs w:val="16"/>
        </w:rPr>
      </w:pPr>
    </w:p>
    <w:p w14:paraId="77759C2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75F4916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27B2B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 июня 1940:</w:t>
      </w:r>
    </w:p>
    <w:p w14:paraId="0A4A77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82 (Составлена по: РГВА. Ф. 29. Оп. 46. Д. 340. Л. 61.).</w:t>
      </w:r>
    </w:p>
    <w:p w14:paraId="65D2D6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авиаполков ВВС РККА в балтийских странах (по состоянию на 19 июня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55"/>
        <w:gridCol w:w="1066"/>
        <w:gridCol w:w="1073"/>
        <w:gridCol w:w="1087"/>
        <w:gridCol w:w="1051"/>
        <w:gridCol w:w="1073"/>
      </w:tblGrid>
      <w:tr w:rsidR="007D5DF8" w:rsidRPr="00DB5D0D" w14:paraId="3D674459" w14:textId="77777777" w:rsidTr="009223E5">
        <w:trPr>
          <w:trHeight w:val="302"/>
        </w:trPr>
        <w:tc>
          <w:tcPr>
            <w:tcW w:w="1555" w:type="dxa"/>
            <w:tcBorders>
              <w:top w:val="single" w:sz="12" w:space="0" w:color="auto"/>
            </w:tcBorders>
          </w:tcPr>
          <w:p w14:paraId="647BB5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Страна/Полк</w:t>
            </w:r>
          </w:p>
        </w:tc>
        <w:tc>
          <w:tcPr>
            <w:tcW w:w="1066" w:type="dxa"/>
            <w:tcBorders>
              <w:top w:val="single" w:sz="12" w:space="0" w:color="auto"/>
            </w:tcBorders>
          </w:tcPr>
          <w:p w14:paraId="78F0E6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ДБАП</w:t>
            </w:r>
          </w:p>
        </w:tc>
        <w:tc>
          <w:tcPr>
            <w:tcW w:w="1073" w:type="dxa"/>
            <w:tcBorders>
              <w:top w:val="single" w:sz="12" w:space="0" w:color="auto"/>
            </w:tcBorders>
          </w:tcPr>
          <w:p w14:paraId="4CBDDA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СБАП</w:t>
            </w:r>
          </w:p>
        </w:tc>
        <w:tc>
          <w:tcPr>
            <w:tcW w:w="1087" w:type="dxa"/>
            <w:tcBorders>
              <w:top w:val="single" w:sz="12" w:space="0" w:color="auto"/>
            </w:tcBorders>
          </w:tcPr>
          <w:p w14:paraId="2A7AE5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ШАП</w:t>
            </w:r>
          </w:p>
        </w:tc>
        <w:tc>
          <w:tcPr>
            <w:tcW w:w="1051" w:type="dxa"/>
            <w:tcBorders>
              <w:top w:val="single" w:sz="12" w:space="0" w:color="auto"/>
            </w:tcBorders>
          </w:tcPr>
          <w:p w14:paraId="47D4A9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ИАП</w:t>
            </w:r>
          </w:p>
        </w:tc>
        <w:tc>
          <w:tcPr>
            <w:tcW w:w="1073" w:type="dxa"/>
            <w:tcBorders>
              <w:top w:val="single" w:sz="12" w:space="0" w:color="auto"/>
            </w:tcBorders>
          </w:tcPr>
          <w:p w14:paraId="448856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r>
      <w:tr w:rsidR="007D5DF8" w:rsidRPr="00DB5D0D" w14:paraId="100A4346" w14:textId="77777777" w:rsidTr="009223E5">
        <w:trPr>
          <w:trHeight w:val="281"/>
        </w:trPr>
        <w:tc>
          <w:tcPr>
            <w:tcW w:w="1555" w:type="dxa"/>
          </w:tcPr>
          <w:p w14:paraId="3DB5D4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Эстония</w:t>
            </w:r>
          </w:p>
        </w:tc>
        <w:tc>
          <w:tcPr>
            <w:tcW w:w="1066" w:type="dxa"/>
          </w:tcPr>
          <w:p w14:paraId="039819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073" w:type="dxa"/>
          </w:tcPr>
          <w:p w14:paraId="7D10AA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087" w:type="dxa"/>
          </w:tcPr>
          <w:p w14:paraId="037605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051" w:type="dxa"/>
          </w:tcPr>
          <w:p w14:paraId="61AD41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073" w:type="dxa"/>
          </w:tcPr>
          <w:p w14:paraId="4EC253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r w:rsidR="007D5DF8" w:rsidRPr="00DB5D0D" w14:paraId="6ECF4D53" w14:textId="77777777" w:rsidTr="009223E5">
        <w:trPr>
          <w:trHeight w:val="281"/>
        </w:trPr>
        <w:tc>
          <w:tcPr>
            <w:tcW w:w="1555" w:type="dxa"/>
          </w:tcPr>
          <w:p w14:paraId="74C38B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Латвия</w:t>
            </w:r>
          </w:p>
        </w:tc>
        <w:tc>
          <w:tcPr>
            <w:tcW w:w="1066" w:type="dxa"/>
          </w:tcPr>
          <w:p w14:paraId="0CD9FA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073" w:type="dxa"/>
          </w:tcPr>
          <w:p w14:paraId="215C76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087" w:type="dxa"/>
          </w:tcPr>
          <w:p w14:paraId="73339D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051" w:type="dxa"/>
          </w:tcPr>
          <w:p w14:paraId="1E379B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073" w:type="dxa"/>
          </w:tcPr>
          <w:p w14:paraId="565751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39C6E648" w14:textId="77777777" w:rsidTr="009223E5">
        <w:trPr>
          <w:trHeight w:val="281"/>
        </w:trPr>
        <w:tc>
          <w:tcPr>
            <w:tcW w:w="1555" w:type="dxa"/>
          </w:tcPr>
          <w:p w14:paraId="21D665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Литва</w:t>
            </w:r>
          </w:p>
        </w:tc>
        <w:tc>
          <w:tcPr>
            <w:tcW w:w="1066" w:type="dxa"/>
          </w:tcPr>
          <w:p w14:paraId="38F3A1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073" w:type="dxa"/>
          </w:tcPr>
          <w:p w14:paraId="75762A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087" w:type="dxa"/>
          </w:tcPr>
          <w:p w14:paraId="514240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51" w:type="dxa"/>
          </w:tcPr>
          <w:p w14:paraId="75C122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073" w:type="dxa"/>
          </w:tcPr>
          <w:p w14:paraId="0D5966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r w:rsidR="007D5DF8" w:rsidRPr="00DB5D0D" w14:paraId="41823C57" w14:textId="77777777" w:rsidTr="009223E5">
        <w:trPr>
          <w:trHeight w:val="302"/>
        </w:trPr>
        <w:tc>
          <w:tcPr>
            <w:tcW w:w="1555" w:type="dxa"/>
            <w:tcBorders>
              <w:bottom w:val="single" w:sz="12" w:space="0" w:color="auto"/>
            </w:tcBorders>
          </w:tcPr>
          <w:p w14:paraId="1E7D23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1066" w:type="dxa"/>
            <w:tcBorders>
              <w:bottom w:val="single" w:sz="12" w:space="0" w:color="auto"/>
            </w:tcBorders>
          </w:tcPr>
          <w:p w14:paraId="41C90E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073" w:type="dxa"/>
            <w:tcBorders>
              <w:bottom w:val="single" w:sz="12" w:space="0" w:color="auto"/>
            </w:tcBorders>
          </w:tcPr>
          <w:p w14:paraId="59353C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1087" w:type="dxa"/>
            <w:tcBorders>
              <w:bottom w:val="single" w:sz="12" w:space="0" w:color="auto"/>
            </w:tcBorders>
          </w:tcPr>
          <w:p w14:paraId="6A52F6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51" w:type="dxa"/>
            <w:tcBorders>
              <w:bottom w:val="single" w:sz="12" w:space="0" w:color="auto"/>
            </w:tcBorders>
          </w:tcPr>
          <w:p w14:paraId="0BC55A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073" w:type="dxa"/>
            <w:tcBorders>
              <w:bottom w:val="single" w:sz="12" w:space="0" w:color="auto"/>
            </w:tcBorders>
          </w:tcPr>
          <w:p w14:paraId="2D3411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w:t>
            </w:r>
          </w:p>
        </w:tc>
      </w:tr>
    </w:tbl>
    <w:p w14:paraId="3C519A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(11710,528).</w:t>
      </w:r>
    </w:p>
    <w:p w14:paraId="21941E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A6EFE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 июня 1940:</w:t>
      </w:r>
    </w:p>
    <w:p w14:paraId="1F23BF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83 (Составлена по: РГВА. Ф. 29. Оп. 46. Д. 340. Л. 61.).</w:t>
      </w:r>
    </w:p>
    <w:p w14:paraId="396C7B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Наличие самолетов ВВС РККА в балтийских странах по состоянию на 19 июня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89"/>
        <w:gridCol w:w="821"/>
        <w:gridCol w:w="677"/>
        <w:gridCol w:w="691"/>
        <w:gridCol w:w="806"/>
        <w:gridCol w:w="857"/>
        <w:gridCol w:w="886"/>
        <w:gridCol w:w="878"/>
      </w:tblGrid>
      <w:tr w:rsidR="007D5DF8" w:rsidRPr="00DB5D0D" w14:paraId="69B93CD2" w14:textId="77777777" w:rsidTr="009223E5">
        <w:trPr>
          <w:trHeight w:val="302"/>
        </w:trPr>
        <w:tc>
          <w:tcPr>
            <w:tcW w:w="1289" w:type="dxa"/>
            <w:tcBorders>
              <w:top w:val="single" w:sz="12" w:space="0" w:color="auto"/>
            </w:tcBorders>
          </w:tcPr>
          <w:p w14:paraId="11DCE0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Округ /Тип</w:t>
            </w:r>
          </w:p>
        </w:tc>
        <w:tc>
          <w:tcPr>
            <w:tcW w:w="821" w:type="dxa"/>
            <w:tcBorders>
              <w:top w:val="single" w:sz="12" w:space="0" w:color="auto"/>
            </w:tcBorders>
          </w:tcPr>
          <w:p w14:paraId="618E9E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w:t>
            </w:r>
          </w:p>
        </w:tc>
        <w:tc>
          <w:tcPr>
            <w:tcW w:w="677" w:type="dxa"/>
            <w:tcBorders>
              <w:top w:val="single" w:sz="12" w:space="0" w:color="auto"/>
            </w:tcBorders>
          </w:tcPr>
          <w:p w14:paraId="3763E9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w:t>
            </w:r>
          </w:p>
        </w:tc>
        <w:tc>
          <w:tcPr>
            <w:tcW w:w="691" w:type="dxa"/>
            <w:tcBorders>
              <w:top w:val="single" w:sz="12" w:space="0" w:color="auto"/>
            </w:tcBorders>
          </w:tcPr>
          <w:p w14:paraId="0F055C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ССС</w:t>
            </w:r>
          </w:p>
        </w:tc>
        <w:tc>
          <w:tcPr>
            <w:tcW w:w="806" w:type="dxa"/>
            <w:tcBorders>
              <w:top w:val="single" w:sz="12" w:space="0" w:color="auto"/>
            </w:tcBorders>
          </w:tcPr>
          <w:p w14:paraId="5BBBD8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w:t>
            </w:r>
          </w:p>
        </w:tc>
        <w:tc>
          <w:tcPr>
            <w:tcW w:w="857" w:type="dxa"/>
            <w:tcBorders>
              <w:top w:val="single" w:sz="12" w:space="0" w:color="auto"/>
            </w:tcBorders>
          </w:tcPr>
          <w:p w14:paraId="5066B8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w:t>
            </w:r>
          </w:p>
        </w:tc>
        <w:tc>
          <w:tcPr>
            <w:tcW w:w="886" w:type="dxa"/>
            <w:tcBorders>
              <w:top w:val="single" w:sz="12" w:space="0" w:color="auto"/>
            </w:tcBorders>
          </w:tcPr>
          <w:p w14:paraId="0FCE4E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w:t>
            </w:r>
          </w:p>
        </w:tc>
        <w:tc>
          <w:tcPr>
            <w:tcW w:w="878" w:type="dxa"/>
            <w:tcBorders>
              <w:top w:val="single" w:sz="12" w:space="0" w:color="auto"/>
            </w:tcBorders>
          </w:tcPr>
          <w:p w14:paraId="78AEEC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r>
      <w:tr w:rsidR="007D5DF8" w:rsidRPr="00DB5D0D" w14:paraId="33B3FCED" w14:textId="77777777" w:rsidTr="009223E5">
        <w:trPr>
          <w:trHeight w:val="281"/>
        </w:trPr>
        <w:tc>
          <w:tcPr>
            <w:tcW w:w="1289" w:type="dxa"/>
          </w:tcPr>
          <w:p w14:paraId="025F3E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Эстония</w:t>
            </w:r>
          </w:p>
        </w:tc>
        <w:tc>
          <w:tcPr>
            <w:tcW w:w="821" w:type="dxa"/>
          </w:tcPr>
          <w:p w14:paraId="1AE1F2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w:t>
            </w:r>
          </w:p>
        </w:tc>
        <w:tc>
          <w:tcPr>
            <w:tcW w:w="677" w:type="dxa"/>
          </w:tcPr>
          <w:p w14:paraId="69199A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w:t>
            </w:r>
          </w:p>
        </w:tc>
        <w:tc>
          <w:tcPr>
            <w:tcW w:w="691" w:type="dxa"/>
          </w:tcPr>
          <w:p w14:paraId="165BC8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06" w:type="dxa"/>
          </w:tcPr>
          <w:p w14:paraId="5A15B8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7" w:type="dxa"/>
          </w:tcPr>
          <w:p w14:paraId="0E61ED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w:t>
            </w:r>
          </w:p>
        </w:tc>
        <w:tc>
          <w:tcPr>
            <w:tcW w:w="886" w:type="dxa"/>
          </w:tcPr>
          <w:p w14:paraId="5DF239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78" w:type="dxa"/>
          </w:tcPr>
          <w:p w14:paraId="30A136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340</w:t>
            </w:r>
          </w:p>
        </w:tc>
      </w:tr>
      <w:tr w:rsidR="007D5DF8" w:rsidRPr="00DB5D0D" w14:paraId="41CF4641" w14:textId="77777777" w:rsidTr="009223E5">
        <w:trPr>
          <w:trHeight w:val="281"/>
        </w:trPr>
        <w:tc>
          <w:tcPr>
            <w:tcW w:w="1289" w:type="dxa"/>
          </w:tcPr>
          <w:p w14:paraId="1AFAED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Латвия</w:t>
            </w:r>
          </w:p>
        </w:tc>
        <w:tc>
          <w:tcPr>
            <w:tcW w:w="821" w:type="dxa"/>
          </w:tcPr>
          <w:p w14:paraId="277D27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77" w:type="dxa"/>
          </w:tcPr>
          <w:p w14:paraId="075D18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c>
          <w:tcPr>
            <w:tcW w:w="691" w:type="dxa"/>
          </w:tcPr>
          <w:p w14:paraId="198EF7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06" w:type="dxa"/>
          </w:tcPr>
          <w:p w14:paraId="1CB6EC1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857" w:type="dxa"/>
          </w:tcPr>
          <w:p w14:paraId="308BD9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w:t>
            </w:r>
          </w:p>
        </w:tc>
        <w:tc>
          <w:tcPr>
            <w:tcW w:w="886" w:type="dxa"/>
          </w:tcPr>
          <w:p w14:paraId="002468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78" w:type="dxa"/>
          </w:tcPr>
          <w:p w14:paraId="0FC634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r>
      <w:tr w:rsidR="007D5DF8" w:rsidRPr="00DB5D0D" w14:paraId="3CC2BDF1" w14:textId="77777777" w:rsidTr="009223E5">
        <w:trPr>
          <w:trHeight w:val="295"/>
        </w:trPr>
        <w:tc>
          <w:tcPr>
            <w:tcW w:w="1289" w:type="dxa"/>
          </w:tcPr>
          <w:p w14:paraId="47C70D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Литва</w:t>
            </w:r>
          </w:p>
        </w:tc>
        <w:tc>
          <w:tcPr>
            <w:tcW w:w="821" w:type="dxa"/>
          </w:tcPr>
          <w:p w14:paraId="3A4A9F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77" w:type="dxa"/>
          </w:tcPr>
          <w:p w14:paraId="5BE15D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154</w:t>
            </w:r>
          </w:p>
        </w:tc>
        <w:tc>
          <w:tcPr>
            <w:tcW w:w="691" w:type="dxa"/>
          </w:tcPr>
          <w:p w14:paraId="6FC921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806" w:type="dxa"/>
          </w:tcPr>
          <w:p w14:paraId="122144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109</w:t>
            </w:r>
          </w:p>
        </w:tc>
        <w:tc>
          <w:tcPr>
            <w:tcW w:w="857" w:type="dxa"/>
          </w:tcPr>
          <w:p w14:paraId="215C3C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86" w:type="dxa"/>
          </w:tcPr>
          <w:p w14:paraId="6A7BE0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878" w:type="dxa"/>
          </w:tcPr>
          <w:p w14:paraId="2D6953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333</w:t>
            </w:r>
          </w:p>
        </w:tc>
      </w:tr>
      <w:tr w:rsidR="007D5DF8" w:rsidRPr="00DB5D0D" w14:paraId="55A892D8" w14:textId="77777777" w:rsidTr="009223E5">
        <w:trPr>
          <w:trHeight w:val="288"/>
        </w:trPr>
        <w:tc>
          <w:tcPr>
            <w:tcW w:w="1289" w:type="dxa"/>
            <w:tcBorders>
              <w:bottom w:val="single" w:sz="12" w:space="0" w:color="auto"/>
            </w:tcBorders>
          </w:tcPr>
          <w:p w14:paraId="15FDA8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821" w:type="dxa"/>
            <w:tcBorders>
              <w:bottom w:val="single" w:sz="12" w:space="0" w:color="auto"/>
            </w:tcBorders>
          </w:tcPr>
          <w:p w14:paraId="3F2420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w:t>
            </w:r>
          </w:p>
        </w:tc>
        <w:tc>
          <w:tcPr>
            <w:tcW w:w="677" w:type="dxa"/>
            <w:tcBorders>
              <w:bottom w:val="single" w:sz="12" w:space="0" w:color="auto"/>
            </w:tcBorders>
          </w:tcPr>
          <w:p w14:paraId="680B80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407</w:t>
            </w:r>
          </w:p>
        </w:tc>
        <w:tc>
          <w:tcPr>
            <w:tcW w:w="691" w:type="dxa"/>
            <w:tcBorders>
              <w:bottom w:val="single" w:sz="12" w:space="0" w:color="auto"/>
            </w:tcBorders>
          </w:tcPr>
          <w:p w14:paraId="1C4372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806" w:type="dxa"/>
            <w:tcBorders>
              <w:bottom w:val="single" w:sz="12" w:space="0" w:color="auto"/>
            </w:tcBorders>
          </w:tcPr>
          <w:p w14:paraId="62824B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w:t>
            </w:r>
          </w:p>
        </w:tc>
        <w:tc>
          <w:tcPr>
            <w:tcW w:w="857" w:type="dxa"/>
            <w:tcBorders>
              <w:bottom w:val="single" w:sz="12" w:space="0" w:color="auto"/>
            </w:tcBorders>
          </w:tcPr>
          <w:p w14:paraId="3BA98A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886" w:type="dxa"/>
            <w:tcBorders>
              <w:bottom w:val="single" w:sz="12" w:space="0" w:color="auto"/>
            </w:tcBorders>
          </w:tcPr>
          <w:p w14:paraId="722181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878" w:type="dxa"/>
            <w:tcBorders>
              <w:bottom w:val="single" w:sz="12" w:space="0" w:color="auto"/>
            </w:tcBorders>
          </w:tcPr>
          <w:p w14:paraId="0A7C17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933</w:t>
            </w:r>
          </w:p>
        </w:tc>
      </w:tr>
    </w:tbl>
    <w:p w14:paraId="3F163D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(11710,528).</w:t>
      </w:r>
    </w:p>
    <w:p w14:paraId="534B4A4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6CB4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 июня 1940:</w:t>
      </w:r>
    </w:p>
    <w:p w14:paraId="075822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85 (Составлена по: РГВА. Ф. 29. Оп. 46. Д. 340. Л. 61.).</w:t>
      </w:r>
    </w:p>
    <w:p w14:paraId="5B3AE8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авиаполков (Указаны бомбардировочные, истребительные и штурмовые авиаполки) в ВВС КОВО и ОдВО по состоянию на 19 июня 1940 г.</w:t>
      </w:r>
    </w:p>
    <w:tbl>
      <w:tblPr>
        <w:tblW w:w="0" w:type="auto"/>
        <w:tblInd w:w="40" w:type="dxa"/>
        <w:tblLayout w:type="fixed"/>
        <w:tblCellMar>
          <w:left w:w="40" w:type="dxa"/>
          <w:right w:w="40" w:type="dxa"/>
        </w:tblCellMar>
        <w:tblLook w:val="0000" w:firstRow="0" w:lastRow="0" w:firstColumn="0" w:lastColumn="0" w:noHBand="0" w:noVBand="0"/>
      </w:tblPr>
      <w:tblGrid>
        <w:gridCol w:w="986"/>
        <w:gridCol w:w="850"/>
        <w:gridCol w:w="842"/>
        <w:gridCol w:w="850"/>
        <w:gridCol w:w="850"/>
        <w:gridCol w:w="842"/>
        <w:gridCol w:w="850"/>
        <w:gridCol w:w="850"/>
      </w:tblGrid>
      <w:tr w:rsidR="007D5DF8" w:rsidRPr="00DB5D0D" w14:paraId="7083DF58" w14:textId="77777777" w:rsidTr="009223E5">
        <w:trPr>
          <w:trHeight w:val="554"/>
        </w:trPr>
        <w:tc>
          <w:tcPr>
            <w:tcW w:w="986" w:type="dxa"/>
            <w:tcBorders>
              <w:top w:val="single" w:sz="12" w:space="0" w:color="auto"/>
              <w:left w:val="single" w:sz="12" w:space="0" w:color="auto"/>
              <w:bottom w:val="single" w:sz="6" w:space="0" w:color="auto"/>
              <w:right w:val="single" w:sz="6" w:space="0" w:color="auto"/>
            </w:tcBorders>
          </w:tcPr>
          <w:p w14:paraId="7DFD6A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Округ/ Полк</w:t>
            </w:r>
          </w:p>
        </w:tc>
        <w:tc>
          <w:tcPr>
            <w:tcW w:w="850" w:type="dxa"/>
            <w:tcBorders>
              <w:top w:val="single" w:sz="12" w:space="0" w:color="auto"/>
              <w:left w:val="single" w:sz="6" w:space="0" w:color="auto"/>
              <w:bottom w:val="single" w:sz="6" w:space="0" w:color="auto"/>
              <w:right w:val="single" w:sz="6" w:space="0" w:color="auto"/>
            </w:tcBorders>
          </w:tcPr>
          <w:p w14:paraId="7DF8E8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ТБАП</w:t>
            </w:r>
          </w:p>
        </w:tc>
        <w:tc>
          <w:tcPr>
            <w:tcW w:w="842" w:type="dxa"/>
            <w:tcBorders>
              <w:top w:val="single" w:sz="12" w:space="0" w:color="auto"/>
              <w:left w:val="single" w:sz="6" w:space="0" w:color="auto"/>
              <w:bottom w:val="single" w:sz="6" w:space="0" w:color="auto"/>
              <w:right w:val="single" w:sz="6" w:space="0" w:color="auto"/>
            </w:tcBorders>
          </w:tcPr>
          <w:p w14:paraId="50FDCA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ДБАП</w:t>
            </w:r>
          </w:p>
        </w:tc>
        <w:tc>
          <w:tcPr>
            <w:tcW w:w="850" w:type="dxa"/>
            <w:tcBorders>
              <w:top w:val="single" w:sz="12" w:space="0" w:color="auto"/>
              <w:left w:val="single" w:sz="6" w:space="0" w:color="auto"/>
              <w:bottom w:val="single" w:sz="6" w:space="0" w:color="auto"/>
              <w:right w:val="single" w:sz="6" w:space="0" w:color="auto"/>
            </w:tcBorders>
          </w:tcPr>
          <w:p w14:paraId="33515E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СБАП</w:t>
            </w:r>
          </w:p>
        </w:tc>
        <w:tc>
          <w:tcPr>
            <w:tcW w:w="850" w:type="dxa"/>
            <w:tcBorders>
              <w:top w:val="single" w:sz="12" w:space="0" w:color="auto"/>
              <w:left w:val="single" w:sz="6" w:space="0" w:color="auto"/>
              <w:bottom w:val="single" w:sz="6" w:space="0" w:color="auto"/>
              <w:right w:val="single" w:sz="6" w:space="0" w:color="auto"/>
            </w:tcBorders>
          </w:tcPr>
          <w:p w14:paraId="53A3C4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ЛБАП</w:t>
            </w:r>
          </w:p>
        </w:tc>
        <w:tc>
          <w:tcPr>
            <w:tcW w:w="842" w:type="dxa"/>
            <w:tcBorders>
              <w:top w:val="single" w:sz="12" w:space="0" w:color="auto"/>
              <w:left w:val="single" w:sz="6" w:space="0" w:color="auto"/>
              <w:bottom w:val="single" w:sz="6" w:space="0" w:color="auto"/>
              <w:right w:val="single" w:sz="6" w:space="0" w:color="auto"/>
            </w:tcBorders>
          </w:tcPr>
          <w:p w14:paraId="4CA7AE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ШАЛ</w:t>
            </w:r>
          </w:p>
        </w:tc>
        <w:tc>
          <w:tcPr>
            <w:tcW w:w="850" w:type="dxa"/>
            <w:tcBorders>
              <w:top w:val="single" w:sz="12" w:space="0" w:color="auto"/>
              <w:left w:val="single" w:sz="6" w:space="0" w:color="auto"/>
              <w:bottom w:val="single" w:sz="6" w:space="0" w:color="auto"/>
              <w:right w:val="single" w:sz="6" w:space="0" w:color="auto"/>
            </w:tcBorders>
          </w:tcPr>
          <w:p w14:paraId="57E805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НАЛ</w:t>
            </w:r>
          </w:p>
        </w:tc>
        <w:tc>
          <w:tcPr>
            <w:tcW w:w="850" w:type="dxa"/>
            <w:tcBorders>
              <w:top w:val="single" w:sz="12" w:space="0" w:color="auto"/>
              <w:left w:val="single" w:sz="6" w:space="0" w:color="auto"/>
              <w:bottom w:val="single" w:sz="6" w:space="0" w:color="auto"/>
              <w:right w:val="single" w:sz="12" w:space="0" w:color="auto"/>
            </w:tcBorders>
          </w:tcPr>
          <w:p w14:paraId="7B2C60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r>
      <w:tr w:rsidR="007D5DF8" w:rsidRPr="00DB5D0D" w14:paraId="1B138BCE" w14:textId="77777777" w:rsidTr="009223E5">
        <w:trPr>
          <w:trHeight w:val="554"/>
        </w:trPr>
        <w:tc>
          <w:tcPr>
            <w:tcW w:w="986" w:type="dxa"/>
            <w:tcBorders>
              <w:top w:val="single" w:sz="6" w:space="0" w:color="auto"/>
              <w:left w:val="single" w:sz="12" w:space="0" w:color="auto"/>
              <w:bottom w:val="single" w:sz="6" w:space="0" w:color="auto"/>
              <w:right w:val="single" w:sz="6" w:space="0" w:color="auto"/>
            </w:tcBorders>
          </w:tcPr>
          <w:p w14:paraId="0E1C31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КОВО</w:t>
            </w:r>
          </w:p>
        </w:tc>
        <w:tc>
          <w:tcPr>
            <w:tcW w:w="850" w:type="dxa"/>
            <w:tcBorders>
              <w:top w:val="single" w:sz="6" w:space="0" w:color="auto"/>
              <w:left w:val="single" w:sz="6" w:space="0" w:color="auto"/>
              <w:bottom w:val="single" w:sz="6" w:space="0" w:color="auto"/>
              <w:right w:val="single" w:sz="6" w:space="0" w:color="auto"/>
            </w:tcBorders>
          </w:tcPr>
          <w:p w14:paraId="6AAA73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42" w:type="dxa"/>
            <w:tcBorders>
              <w:top w:val="single" w:sz="6" w:space="0" w:color="auto"/>
              <w:left w:val="single" w:sz="6" w:space="0" w:color="auto"/>
              <w:bottom w:val="single" w:sz="6" w:space="0" w:color="auto"/>
              <w:right w:val="single" w:sz="6" w:space="0" w:color="auto"/>
            </w:tcBorders>
          </w:tcPr>
          <w:p w14:paraId="2816D0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50" w:type="dxa"/>
            <w:tcBorders>
              <w:top w:val="single" w:sz="6" w:space="0" w:color="auto"/>
              <w:left w:val="single" w:sz="6" w:space="0" w:color="auto"/>
              <w:bottom w:val="single" w:sz="6" w:space="0" w:color="auto"/>
              <w:right w:val="single" w:sz="6" w:space="0" w:color="auto"/>
            </w:tcBorders>
          </w:tcPr>
          <w:p w14:paraId="0E48C1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850" w:type="dxa"/>
            <w:tcBorders>
              <w:top w:val="single" w:sz="6" w:space="0" w:color="auto"/>
              <w:left w:val="single" w:sz="6" w:space="0" w:color="auto"/>
              <w:bottom w:val="single" w:sz="6" w:space="0" w:color="auto"/>
              <w:right w:val="single" w:sz="6" w:space="0" w:color="auto"/>
            </w:tcBorders>
          </w:tcPr>
          <w:p w14:paraId="182C46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42" w:type="dxa"/>
            <w:tcBorders>
              <w:top w:val="single" w:sz="6" w:space="0" w:color="auto"/>
              <w:left w:val="single" w:sz="6" w:space="0" w:color="auto"/>
              <w:bottom w:val="single" w:sz="6" w:space="0" w:color="auto"/>
              <w:right w:val="single" w:sz="6" w:space="0" w:color="auto"/>
            </w:tcBorders>
          </w:tcPr>
          <w:p w14:paraId="759741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50" w:type="dxa"/>
            <w:tcBorders>
              <w:top w:val="single" w:sz="6" w:space="0" w:color="auto"/>
              <w:left w:val="single" w:sz="6" w:space="0" w:color="auto"/>
              <w:bottom w:val="single" w:sz="6" w:space="0" w:color="auto"/>
              <w:right w:val="single" w:sz="6" w:space="0" w:color="auto"/>
            </w:tcBorders>
          </w:tcPr>
          <w:p w14:paraId="46CB07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850" w:type="dxa"/>
            <w:tcBorders>
              <w:top w:val="single" w:sz="6" w:space="0" w:color="auto"/>
              <w:left w:val="single" w:sz="6" w:space="0" w:color="auto"/>
              <w:bottom w:val="single" w:sz="6" w:space="0" w:color="auto"/>
              <w:right w:val="single" w:sz="12" w:space="0" w:color="auto"/>
            </w:tcBorders>
          </w:tcPr>
          <w:p w14:paraId="75E631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r>
      <w:tr w:rsidR="007D5DF8" w:rsidRPr="00DB5D0D" w14:paraId="1D185936" w14:textId="77777777" w:rsidTr="009223E5">
        <w:trPr>
          <w:trHeight w:val="554"/>
        </w:trPr>
        <w:tc>
          <w:tcPr>
            <w:tcW w:w="986" w:type="dxa"/>
            <w:tcBorders>
              <w:top w:val="single" w:sz="6" w:space="0" w:color="auto"/>
              <w:left w:val="single" w:sz="12" w:space="0" w:color="auto"/>
              <w:bottom w:val="single" w:sz="6" w:space="0" w:color="auto"/>
              <w:right w:val="single" w:sz="6" w:space="0" w:color="auto"/>
            </w:tcBorders>
          </w:tcPr>
          <w:p w14:paraId="57E731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ОдВО</w:t>
            </w:r>
          </w:p>
        </w:tc>
        <w:tc>
          <w:tcPr>
            <w:tcW w:w="850" w:type="dxa"/>
            <w:tcBorders>
              <w:top w:val="single" w:sz="6" w:space="0" w:color="auto"/>
              <w:left w:val="single" w:sz="6" w:space="0" w:color="auto"/>
              <w:bottom w:val="single" w:sz="6" w:space="0" w:color="auto"/>
              <w:right w:val="single" w:sz="6" w:space="0" w:color="auto"/>
            </w:tcBorders>
          </w:tcPr>
          <w:p w14:paraId="5B5E44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42" w:type="dxa"/>
            <w:tcBorders>
              <w:top w:val="single" w:sz="6" w:space="0" w:color="auto"/>
              <w:left w:val="single" w:sz="6" w:space="0" w:color="auto"/>
              <w:bottom w:val="single" w:sz="6" w:space="0" w:color="auto"/>
              <w:right w:val="single" w:sz="6" w:space="0" w:color="auto"/>
            </w:tcBorders>
          </w:tcPr>
          <w:p w14:paraId="4A723D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850" w:type="dxa"/>
            <w:tcBorders>
              <w:top w:val="single" w:sz="6" w:space="0" w:color="auto"/>
              <w:left w:val="single" w:sz="6" w:space="0" w:color="auto"/>
              <w:bottom w:val="single" w:sz="6" w:space="0" w:color="auto"/>
              <w:right w:val="single" w:sz="6" w:space="0" w:color="auto"/>
            </w:tcBorders>
          </w:tcPr>
          <w:p w14:paraId="1BBD28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850" w:type="dxa"/>
            <w:tcBorders>
              <w:top w:val="single" w:sz="6" w:space="0" w:color="auto"/>
              <w:left w:val="single" w:sz="6" w:space="0" w:color="auto"/>
              <w:bottom w:val="single" w:sz="6" w:space="0" w:color="auto"/>
              <w:right w:val="single" w:sz="6" w:space="0" w:color="auto"/>
            </w:tcBorders>
          </w:tcPr>
          <w:p w14:paraId="42D8B2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42" w:type="dxa"/>
            <w:tcBorders>
              <w:top w:val="single" w:sz="6" w:space="0" w:color="auto"/>
              <w:left w:val="single" w:sz="6" w:space="0" w:color="auto"/>
              <w:bottom w:val="single" w:sz="6" w:space="0" w:color="auto"/>
              <w:right w:val="single" w:sz="6" w:space="0" w:color="auto"/>
            </w:tcBorders>
          </w:tcPr>
          <w:p w14:paraId="0E5598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0" w:type="dxa"/>
            <w:tcBorders>
              <w:top w:val="single" w:sz="6" w:space="0" w:color="auto"/>
              <w:left w:val="single" w:sz="6" w:space="0" w:color="auto"/>
              <w:bottom w:val="single" w:sz="6" w:space="0" w:color="auto"/>
              <w:right w:val="single" w:sz="6" w:space="0" w:color="auto"/>
            </w:tcBorders>
          </w:tcPr>
          <w:p w14:paraId="04B5FB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850" w:type="dxa"/>
            <w:tcBorders>
              <w:top w:val="single" w:sz="6" w:space="0" w:color="auto"/>
              <w:left w:val="single" w:sz="6" w:space="0" w:color="auto"/>
              <w:bottom w:val="single" w:sz="6" w:space="0" w:color="auto"/>
              <w:right w:val="single" w:sz="12" w:space="0" w:color="auto"/>
            </w:tcBorders>
          </w:tcPr>
          <w:p w14:paraId="547164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r>
      <w:tr w:rsidR="007D5DF8" w:rsidRPr="00DB5D0D" w14:paraId="2E2AADA5" w14:textId="77777777" w:rsidTr="009223E5">
        <w:trPr>
          <w:trHeight w:val="554"/>
        </w:trPr>
        <w:tc>
          <w:tcPr>
            <w:tcW w:w="986" w:type="dxa"/>
            <w:tcBorders>
              <w:top w:val="single" w:sz="6" w:space="0" w:color="auto"/>
              <w:left w:val="single" w:sz="12" w:space="0" w:color="auto"/>
              <w:bottom w:val="single" w:sz="12" w:space="0" w:color="auto"/>
              <w:right w:val="single" w:sz="6" w:space="0" w:color="auto"/>
            </w:tcBorders>
          </w:tcPr>
          <w:p w14:paraId="4A2324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Итого </w:t>
            </w:r>
          </w:p>
        </w:tc>
        <w:tc>
          <w:tcPr>
            <w:tcW w:w="850" w:type="dxa"/>
            <w:tcBorders>
              <w:top w:val="single" w:sz="6" w:space="0" w:color="auto"/>
              <w:left w:val="single" w:sz="6" w:space="0" w:color="auto"/>
              <w:bottom w:val="single" w:sz="12" w:space="0" w:color="auto"/>
              <w:right w:val="single" w:sz="6" w:space="0" w:color="auto"/>
            </w:tcBorders>
          </w:tcPr>
          <w:p w14:paraId="413123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p>
        </w:tc>
        <w:tc>
          <w:tcPr>
            <w:tcW w:w="842" w:type="dxa"/>
            <w:tcBorders>
              <w:top w:val="single" w:sz="6" w:space="0" w:color="auto"/>
              <w:left w:val="single" w:sz="6" w:space="0" w:color="auto"/>
              <w:bottom w:val="single" w:sz="12" w:space="0" w:color="auto"/>
              <w:right w:val="single" w:sz="6" w:space="0" w:color="auto"/>
            </w:tcBorders>
          </w:tcPr>
          <w:p w14:paraId="152337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w:t>
            </w:r>
          </w:p>
        </w:tc>
        <w:tc>
          <w:tcPr>
            <w:tcW w:w="850" w:type="dxa"/>
            <w:tcBorders>
              <w:top w:val="single" w:sz="6" w:space="0" w:color="auto"/>
              <w:left w:val="single" w:sz="6" w:space="0" w:color="auto"/>
              <w:bottom w:val="single" w:sz="12" w:space="0" w:color="auto"/>
              <w:right w:val="single" w:sz="6" w:space="0" w:color="auto"/>
            </w:tcBorders>
          </w:tcPr>
          <w:p w14:paraId="031CD7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w:t>
            </w:r>
          </w:p>
        </w:tc>
        <w:tc>
          <w:tcPr>
            <w:tcW w:w="850" w:type="dxa"/>
            <w:tcBorders>
              <w:top w:val="single" w:sz="6" w:space="0" w:color="auto"/>
              <w:left w:val="single" w:sz="6" w:space="0" w:color="auto"/>
              <w:bottom w:val="single" w:sz="12" w:space="0" w:color="auto"/>
              <w:right w:val="single" w:sz="6" w:space="0" w:color="auto"/>
            </w:tcBorders>
          </w:tcPr>
          <w:p w14:paraId="04796F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p>
        </w:tc>
        <w:tc>
          <w:tcPr>
            <w:tcW w:w="842" w:type="dxa"/>
            <w:tcBorders>
              <w:top w:val="single" w:sz="6" w:space="0" w:color="auto"/>
              <w:left w:val="single" w:sz="6" w:space="0" w:color="auto"/>
              <w:bottom w:val="single" w:sz="12" w:space="0" w:color="auto"/>
              <w:right w:val="single" w:sz="6" w:space="0" w:color="auto"/>
            </w:tcBorders>
          </w:tcPr>
          <w:p w14:paraId="41BAAB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p>
        </w:tc>
        <w:tc>
          <w:tcPr>
            <w:tcW w:w="850" w:type="dxa"/>
            <w:tcBorders>
              <w:top w:val="single" w:sz="6" w:space="0" w:color="auto"/>
              <w:left w:val="single" w:sz="6" w:space="0" w:color="auto"/>
              <w:bottom w:val="single" w:sz="12" w:space="0" w:color="auto"/>
              <w:right w:val="single" w:sz="6" w:space="0" w:color="auto"/>
            </w:tcBorders>
          </w:tcPr>
          <w:p w14:paraId="31420A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850" w:type="dxa"/>
            <w:tcBorders>
              <w:top w:val="single" w:sz="6" w:space="0" w:color="auto"/>
              <w:left w:val="single" w:sz="6" w:space="0" w:color="auto"/>
              <w:bottom w:val="single" w:sz="12" w:space="0" w:color="auto"/>
              <w:right w:val="single" w:sz="12" w:space="0" w:color="auto"/>
            </w:tcBorders>
          </w:tcPr>
          <w:p w14:paraId="4D897A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w:t>
            </w:r>
          </w:p>
        </w:tc>
      </w:tr>
    </w:tbl>
    <w:p w14:paraId="36546B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(11710,529).</w:t>
      </w:r>
    </w:p>
    <w:p w14:paraId="5F9BE94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B521A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 июня 1940:</w:t>
      </w:r>
    </w:p>
    <w:p w14:paraId="17CC66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86 (Составлена по: РГВА. Ф. 29. Оп. 46. Д. 340. Л. 61.).</w:t>
      </w:r>
    </w:p>
    <w:p w14:paraId="17923C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Наличие самолетов в ВВС КОВО и ОдВО по состоянию на 19 июня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37"/>
        <w:gridCol w:w="648"/>
        <w:gridCol w:w="662"/>
        <w:gridCol w:w="540"/>
        <w:gridCol w:w="691"/>
        <w:gridCol w:w="554"/>
        <w:gridCol w:w="655"/>
        <w:gridCol w:w="684"/>
        <w:gridCol w:w="713"/>
        <w:gridCol w:w="713"/>
      </w:tblGrid>
      <w:tr w:rsidR="007D5DF8" w:rsidRPr="00DB5D0D" w14:paraId="52DC1E86" w14:textId="77777777" w:rsidTr="009223E5">
        <w:trPr>
          <w:trHeight w:val="295"/>
        </w:trPr>
        <w:tc>
          <w:tcPr>
            <w:tcW w:w="1037" w:type="dxa"/>
            <w:tcBorders>
              <w:top w:val="single" w:sz="12" w:space="0" w:color="auto"/>
            </w:tcBorders>
          </w:tcPr>
          <w:p w14:paraId="602A67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Округ /Тип</w:t>
            </w:r>
          </w:p>
        </w:tc>
        <w:tc>
          <w:tcPr>
            <w:tcW w:w="648" w:type="dxa"/>
            <w:tcBorders>
              <w:top w:val="single" w:sz="12" w:space="0" w:color="auto"/>
            </w:tcBorders>
          </w:tcPr>
          <w:p w14:paraId="55C54E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ТБ-3</w:t>
            </w:r>
          </w:p>
        </w:tc>
        <w:tc>
          <w:tcPr>
            <w:tcW w:w="662" w:type="dxa"/>
            <w:tcBorders>
              <w:top w:val="single" w:sz="12" w:space="0" w:color="auto"/>
            </w:tcBorders>
          </w:tcPr>
          <w:p w14:paraId="0D5298C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w:t>
            </w:r>
          </w:p>
        </w:tc>
        <w:tc>
          <w:tcPr>
            <w:tcW w:w="540" w:type="dxa"/>
            <w:tcBorders>
              <w:top w:val="single" w:sz="12" w:space="0" w:color="auto"/>
            </w:tcBorders>
          </w:tcPr>
          <w:p w14:paraId="34BC20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w:t>
            </w:r>
          </w:p>
        </w:tc>
        <w:tc>
          <w:tcPr>
            <w:tcW w:w="691" w:type="dxa"/>
            <w:tcBorders>
              <w:top w:val="single" w:sz="12" w:space="0" w:color="auto"/>
            </w:tcBorders>
          </w:tcPr>
          <w:p w14:paraId="302D16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Р-2</w:t>
            </w:r>
          </w:p>
        </w:tc>
        <w:tc>
          <w:tcPr>
            <w:tcW w:w="554" w:type="dxa"/>
            <w:tcBorders>
              <w:top w:val="single" w:sz="12" w:space="0" w:color="auto"/>
            </w:tcBorders>
          </w:tcPr>
          <w:p w14:paraId="4CBD81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ССС</w:t>
            </w:r>
          </w:p>
        </w:tc>
        <w:tc>
          <w:tcPr>
            <w:tcW w:w="655" w:type="dxa"/>
            <w:tcBorders>
              <w:top w:val="single" w:sz="12" w:space="0" w:color="auto"/>
            </w:tcBorders>
          </w:tcPr>
          <w:p w14:paraId="1D2C82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w:t>
            </w:r>
          </w:p>
        </w:tc>
        <w:tc>
          <w:tcPr>
            <w:tcW w:w="684" w:type="dxa"/>
            <w:tcBorders>
              <w:top w:val="single" w:sz="12" w:space="0" w:color="auto"/>
            </w:tcBorders>
          </w:tcPr>
          <w:p w14:paraId="4FA5F2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w:t>
            </w:r>
          </w:p>
        </w:tc>
        <w:tc>
          <w:tcPr>
            <w:tcW w:w="713" w:type="dxa"/>
            <w:tcBorders>
              <w:top w:val="single" w:sz="12" w:space="0" w:color="auto"/>
            </w:tcBorders>
          </w:tcPr>
          <w:p w14:paraId="2C50BB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w:t>
            </w:r>
          </w:p>
        </w:tc>
        <w:tc>
          <w:tcPr>
            <w:tcW w:w="713" w:type="dxa"/>
            <w:tcBorders>
              <w:top w:val="single" w:sz="12" w:space="0" w:color="auto"/>
            </w:tcBorders>
          </w:tcPr>
          <w:p w14:paraId="3033EB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r>
      <w:tr w:rsidR="007D5DF8" w:rsidRPr="00DB5D0D" w14:paraId="1282918E" w14:textId="77777777" w:rsidTr="009223E5">
        <w:trPr>
          <w:trHeight w:val="281"/>
        </w:trPr>
        <w:tc>
          <w:tcPr>
            <w:tcW w:w="1037" w:type="dxa"/>
          </w:tcPr>
          <w:p w14:paraId="618BD7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КОВО</w:t>
            </w:r>
          </w:p>
        </w:tc>
        <w:tc>
          <w:tcPr>
            <w:tcW w:w="648" w:type="dxa"/>
          </w:tcPr>
          <w:p w14:paraId="4CDD7E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w:t>
            </w:r>
          </w:p>
        </w:tc>
        <w:tc>
          <w:tcPr>
            <w:tcW w:w="662" w:type="dxa"/>
          </w:tcPr>
          <w:p w14:paraId="684CF9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w:t>
            </w:r>
          </w:p>
        </w:tc>
        <w:tc>
          <w:tcPr>
            <w:tcW w:w="540" w:type="dxa"/>
          </w:tcPr>
          <w:p w14:paraId="6C1472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691" w:type="dxa"/>
          </w:tcPr>
          <w:p w14:paraId="6781A7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w:t>
            </w:r>
          </w:p>
        </w:tc>
        <w:tc>
          <w:tcPr>
            <w:tcW w:w="554" w:type="dxa"/>
          </w:tcPr>
          <w:p w14:paraId="740E5A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655" w:type="dxa"/>
          </w:tcPr>
          <w:p w14:paraId="65AA3F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426</w:t>
            </w:r>
          </w:p>
        </w:tc>
        <w:tc>
          <w:tcPr>
            <w:tcW w:w="684" w:type="dxa"/>
          </w:tcPr>
          <w:p w14:paraId="4F566F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254</w:t>
            </w:r>
          </w:p>
        </w:tc>
        <w:tc>
          <w:tcPr>
            <w:tcW w:w="713" w:type="dxa"/>
          </w:tcPr>
          <w:p w14:paraId="4212A7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w:t>
            </w:r>
          </w:p>
        </w:tc>
        <w:tc>
          <w:tcPr>
            <w:tcW w:w="713" w:type="dxa"/>
          </w:tcPr>
          <w:p w14:paraId="60BB74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1392</w:t>
            </w:r>
          </w:p>
        </w:tc>
      </w:tr>
      <w:tr w:rsidR="007D5DF8" w:rsidRPr="00DB5D0D" w14:paraId="27072223" w14:textId="77777777" w:rsidTr="009223E5">
        <w:trPr>
          <w:trHeight w:val="281"/>
        </w:trPr>
        <w:tc>
          <w:tcPr>
            <w:tcW w:w="1037" w:type="dxa"/>
          </w:tcPr>
          <w:p w14:paraId="3616B1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ОдВО</w:t>
            </w:r>
          </w:p>
        </w:tc>
        <w:tc>
          <w:tcPr>
            <w:tcW w:w="648" w:type="dxa"/>
          </w:tcPr>
          <w:p w14:paraId="1F932F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62" w:type="dxa"/>
          </w:tcPr>
          <w:p w14:paraId="6CA3F4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176</w:t>
            </w:r>
          </w:p>
        </w:tc>
        <w:tc>
          <w:tcPr>
            <w:tcW w:w="540" w:type="dxa"/>
          </w:tcPr>
          <w:p w14:paraId="68E09C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162</w:t>
            </w:r>
          </w:p>
        </w:tc>
        <w:tc>
          <w:tcPr>
            <w:tcW w:w="691" w:type="dxa"/>
          </w:tcPr>
          <w:p w14:paraId="0BD6E8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554" w:type="dxa"/>
          </w:tcPr>
          <w:p w14:paraId="4E90A8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55" w:type="dxa"/>
          </w:tcPr>
          <w:p w14:paraId="1EA084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258</w:t>
            </w:r>
          </w:p>
        </w:tc>
        <w:tc>
          <w:tcPr>
            <w:tcW w:w="684" w:type="dxa"/>
          </w:tcPr>
          <w:p w14:paraId="0F01F5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713" w:type="dxa"/>
          </w:tcPr>
          <w:p w14:paraId="5933AE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13" w:type="dxa"/>
          </w:tcPr>
          <w:p w14:paraId="2EAFBD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754</w:t>
            </w:r>
          </w:p>
        </w:tc>
      </w:tr>
      <w:tr w:rsidR="007D5DF8" w:rsidRPr="00DB5D0D" w14:paraId="2F740DED" w14:textId="77777777" w:rsidTr="009223E5">
        <w:trPr>
          <w:trHeight w:val="302"/>
        </w:trPr>
        <w:tc>
          <w:tcPr>
            <w:tcW w:w="1037" w:type="dxa"/>
            <w:tcBorders>
              <w:bottom w:val="single" w:sz="12" w:space="0" w:color="auto"/>
            </w:tcBorders>
          </w:tcPr>
          <w:p w14:paraId="57B56B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648" w:type="dxa"/>
            <w:tcBorders>
              <w:bottom w:val="single" w:sz="12" w:space="0" w:color="auto"/>
            </w:tcBorders>
          </w:tcPr>
          <w:p w14:paraId="65F2EF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w:t>
            </w:r>
          </w:p>
        </w:tc>
        <w:tc>
          <w:tcPr>
            <w:tcW w:w="662" w:type="dxa"/>
            <w:tcBorders>
              <w:bottom w:val="single" w:sz="12" w:space="0" w:color="auto"/>
            </w:tcBorders>
          </w:tcPr>
          <w:p w14:paraId="33C8B0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217</w:t>
            </w:r>
          </w:p>
        </w:tc>
        <w:tc>
          <w:tcPr>
            <w:tcW w:w="540" w:type="dxa"/>
            <w:tcBorders>
              <w:bottom w:val="single" w:sz="12" w:space="0" w:color="auto"/>
            </w:tcBorders>
          </w:tcPr>
          <w:p w14:paraId="3520E5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512</w:t>
            </w:r>
          </w:p>
        </w:tc>
        <w:tc>
          <w:tcPr>
            <w:tcW w:w="691" w:type="dxa"/>
            <w:tcBorders>
              <w:bottom w:val="single" w:sz="12" w:space="0" w:color="auto"/>
            </w:tcBorders>
          </w:tcPr>
          <w:p w14:paraId="4A2168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w:t>
            </w:r>
          </w:p>
        </w:tc>
        <w:tc>
          <w:tcPr>
            <w:tcW w:w="554" w:type="dxa"/>
            <w:tcBorders>
              <w:bottom w:val="single" w:sz="12" w:space="0" w:color="auto"/>
            </w:tcBorders>
          </w:tcPr>
          <w:p w14:paraId="7EA181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655" w:type="dxa"/>
            <w:tcBorders>
              <w:bottom w:val="single" w:sz="12" w:space="0" w:color="auto"/>
            </w:tcBorders>
          </w:tcPr>
          <w:p w14:paraId="15044A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684</w:t>
            </w:r>
          </w:p>
        </w:tc>
        <w:tc>
          <w:tcPr>
            <w:tcW w:w="684" w:type="dxa"/>
            <w:tcBorders>
              <w:bottom w:val="single" w:sz="12" w:space="0" w:color="auto"/>
            </w:tcBorders>
          </w:tcPr>
          <w:p w14:paraId="6099ED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299</w:t>
            </w:r>
          </w:p>
        </w:tc>
        <w:tc>
          <w:tcPr>
            <w:tcW w:w="713" w:type="dxa"/>
            <w:tcBorders>
              <w:bottom w:val="single" w:sz="12" w:space="0" w:color="auto"/>
            </w:tcBorders>
          </w:tcPr>
          <w:p w14:paraId="0C2DAF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w:t>
            </w:r>
          </w:p>
        </w:tc>
        <w:tc>
          <w:tcPr>
            <w:tcW w:w="713" w:type="dxa"/>
            <w:tcBorders>
              <w:bottom w:val="single" w:sz="12" w:space="0" w:color="auto"/>
            </w:tcBorders>
          </w:tcPr>
          <w:p w14:paraId="4FC0B8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2146</w:t>
            </w:r>
          </w:p>
        </w:tc>
      </w:tr>
    </w:tbl>
    <w:p w14:paraId="124712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(11710,529).</w:t>
      </w:r>
    </w:p>
    <w:p w14:paraId="4BA6CE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93D95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 июня 1940:</w:t>
      </w:r>
    </w:p>
    <w:p w14:paraId="2A9AA2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87 (Составлена по: РГВА. Ф. 29. Оп. 46. Д. 346. Л. 328-330,335-336).</w:t>
      </w:r>
    </w:p>
    <w:p w14:paraId="09697B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исправных самолетов и боеготовых экипажей в ВВС КОВО и ОдВО по состоянию на 19 июня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30"/>
        <w:gridCol w:w="518"/>
        <w:gridCol w:w="547"/>
        <w:gridCol w:w="482"/>
        <w:gridCol w:w="454"/>
        <w:gridCol w:w="511"/>
        <w:gridCol w:w="554"/>
        <w:gridCol w:w="684"/>
        <w:gridCol w:w="526"/>
        <w:gridCol w:w="590"/>
        <w:gridCol w:w="1030"/>
      </w:tblGrid>
      <w:tr w:rsidR="007D5DF8" w:rsidRPr="00DB5D0D" w14:paraId="58F7D054" w14:textId="77777777" w:rsidTr="009223E5">
        <w:trPr>
          <w:trHeight w:val="734"/>
        </w:trPr>
        <w:tc>
          <w:tcPr>
            <w:tcW w:w="1030" w:type="dxa"/>
            <w:tcBorders>
              <w:top w:val="single" w:sz="12" w:space="0" w:color="auto"/>
            </w:tcBorders>
          </w:tcPr>
          <w:p w14:paraId="2EC5CE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Округ/ Количес</w:t>
            </w:r>
            <w:r w:rsidRPr="00DB5D0D">
              <w:rPr>
                <w:rFonts w:ascii="Times New Roman" w:hAnsi="Times New Roman"/>
                <w:color w:val="000000" w:themeColor="text1"/>
                <w:sz w:val="16"/>
                <w:szCs w:val="16"/>
              </w:rPr>
              <w:softHyphen/>
              <w:t>тво</w:t>
            </w:r>
          </w:p>
        </w:tc>
        <w:tc>
          <w:tcPr>
            <w:tcW w:w="518" w:type="dxa"/>
            <w:tcBorders>
              <w:top w:val="single" w:sz="12" w:space="0" w:color="auto"/>
            </w:tcBorders>
          </w:tcPr>
          <w:p w14:paraId="758D3D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ТБ-3</w:t>
            </w:r>
          </w:p>
        </w:tc>
        <w:tc>
          <w:tcPr>
            <w:tcW w:w="547" w:type="dxa"/>
            <w:tcBorders>
              <w:top w:val="single" w:sz="12" w:space="0" w:color="auto"/>
            </w:tcBorders>
          </w:tcPr>
          <w:p w14:paraId="466B4B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w:t>
            </w:r>
          </w:p>
        </w:tc>
        <w:tc>
          <w:tcPr>
            <w:tcW w:w="482" w:type="dxa"/>
            <w:tcBorders>
              <w:top w:val="single" w:sz="12" w:space="0" w:color="auto"/>
            </w:tcBorders>
          </w:tcPr>
          <w:p w14:paraId="1D386C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w:t>
            </w:r>
          </w:p>
        </w:tc>
        <w:tc>
          <w:tcPr>
            <w:tcW w:w="454" w:type="dxa"/>
            <w:tcBorders>
              <w:top w:val="single" w:sz="12" w:space="0" w:color="auto"/>
            </w:tcBorders>
          </w:tcPr>
          <w:p w14:paraId="18AE4D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Р-2</w:t>
            </w:r>
          </w:p>
        </w:tc>
        <w:tc>
          <w:tcPr>
            <w:tcW w:w="511" w:type="dxa"/>
            <w:tcBorders>
              <w:top w:val="single" w:sz="12" w:space="0" w:color="auto"/>
            </w:tcBorders>
          </w:tcPr>
          <w:p w14:paraId="71D60A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ССС</w:t>
            </w:r>
          </w:p>
        </w:tc>
        <w:tc>
          <w:tcPr>
            <w:tcW w:w="554" w:type="dxa"/>
            <w:tcBorders>
              <w:top w:val="single" w:sz="12" w:space="0" w:color="auto"/>
            </w:tcBorders>
          </w:tcPr>
          <w:p w14:paraId="3B6E2A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w:t>
            </w:r>
          </w:p>
        </w:tc>
        <w:tc>
          <w:tcPr>
            <w:tcW w:w="684" w:type="dxa"/>
            <w:tcBorders>
              <w:top w:val="single" w:sz="12" w:space="0" w:color="auto"/>
            </w:tcBorders>
          </w:tcPr>
          <w:p w14:paraId="0C5882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w:t>
            </w:r>
          </w:p>
        </w:tc>
        <w:tc>
          <w:tcPr>
            <w:tcW w:w="526" w:type="dxa"/>
            <w:tcBorders>
              <w:top w:val="single" w:sz="12" w:space="0" w:color="auto"/>
            </w:tcBorders>
          </w:tcPr>
          <w:p w14:paraId="3A9E648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w:t>
            </w:r>
          </w:p>
        </w:tc>
        <w:tc>
          <w:tcPr>
            <w:tcW w:w="590" w:type="dxa"/>
            <w:tcBorders>
              <w:top w:val="single" w:sz="12" w:space="0" w:color="auto"/>
            </w:tcBorders>
          </w:tcPr>
          <w:p w14:paraId="6983BD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всех типов</w:t>
            </w:r>
          </w:p>
        </w:tc>
        <w:tc>
          <w:tcPr>
            <w:tcW w:w="1030" w:type="dxa"/>
            <w:tcBorders>
              <w:top w:val="single" w:sz="12" w:space="0" w:color="auto"/>
            </w:tcBorders>
          </w:tcPr>
          <w:p w14:paraId="7E1725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боеготовые экипажи</w:t>
            </w:r>
          </w:p>
        </w:tc>
      </w:tr>
      <w:tr w:rsidR="007D5DF8" w:rsidRPr="00DB5D0D" w14:paraId="757EBB23" w14:textId="77777777" w:rsidTr="009223E5">
        <w:trPr>
          <w:trHeight w:val="734"/>
        </w:trPr>
        <w:tc>
          <w:tcPr>
            <w:tcW w:w="1030" w:type="dxa"/>
          </w:tcPr>
          <w:p w14:paraId="36001E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КОВО</w:t>
            </w:r>
          </w:p>
        </w:tc>
        <w:tc>
          <w:tcPr>
            <w:tcW w:w="518" w:type="dxa"/>
          </w:tcPr>
          <w:p w14:paraId="3D8CC1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w:t>
            </w:r>
          </w:p>
        </w:tc>
        <w:tc>
          <w:tcPr>
            <w:tcW w:w="547" w:type="dxa"/>
          </w:tcPr>
          <w:p w14:paraId="5BE8D0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482" w:type="dxa"/>
          </w:tcPr>
          <w:p w14:paraId="0D8165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334</w:t>
            </w:r>
          </w:p>
        </w:tc>
        <w:tc>
          <w:tcPr>
            <w:tcW w:w="454" w:type="dxa"/>
          </w:tcPr>
          <w:p w14:paraId="38265C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w:t>
            </w:r>
          </w:p>
        </w:tc>
        <w:tc>
          <w:tcPr>
            <w:tcW w:w="511" w:type="dxa"/>
          </w:tcPr>
          <w:p w14:paraId="32A89C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554" w:type="dxa"/>
          </w:tcPr>
          <w:p w14:paraId="097D3E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391</w:t>
            </w:r>
          </w:p>
        </w:tc>
        <w:tc>
          <w:tcPr>
            <w:tcW w:w="684" w:type="dxa"/>
          </w:tcPr>
          <w:p w14:paraId="24CBC7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526" w:type="dxa"/>
          </w:tcPr>
          <w:p w14:paraId="38AE3D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w:t>
            </w:r>
          </w:p>
        </w:tc>
        <w:tc>
          <w:tcPr>
            <w:tcW w:w="590" w:type="dxa"/>
          </w:tcPr>
          <w:p w14:paraId="0F7DD5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1295</w:t>
            </w:r>
          </w:p>
        </w:tc>
        <w:tc>
          <w:tcPr>
            <w:tcW w:w="1030" w:type="dxa"/>
          </w:tcPr>
          <w:p w14:paraId="696F7F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1141</w:t>
            </w:r>
          </w:p>
        </w:tc>
      </w:tr>
      <w:tr w:rsidR="007D5DF8" w:rsidRPr="00DB5D0D" w14:paraId="63F466A6" w14:textId="77777777" w:rsidTr="009223E5">
        <w:trPr>
          <w:trHeight w:val="734"/>
        </w:trPr>
        <w:tc>
          <w:tcPr>
            <w:tcW w:w="1030" w:type="dxa"/>
          </w:tcPr>
          <w:p w14:paraId="19DE34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ОдВО</w:t>
            </w:r>
          </w:p>
        </w:tc>
        <w:tc>
          <w:tcPr>
            <w:tcW w:w="518" w:type="dxa"/>
          </w:tcPr>
          <w:p w14:paraId="7C9156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w:t>
            </w:r>
          </w:p>
        </w:tc>
        <w:tc>
          <w:tcPr>
            <w:tcW w:w="547" w:type="dxa"/>
          </w:tcPr>
          <w:p w14:paraId="6EB95F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158</w:t>
            </w:r>
          </w:p>
        </w:tc>
        <w:tc>
          <w:tcPr>
            <w:tcW w:w="482" w:type="dxa"/>
          </w:tcPr>
          <w:p w14:paraId="5896B5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w:t>
            </w:r>
          </w:p>
        </w:tc>
        <w:tc>
          <w:tcPr>
            <w:tcW w:w="454" w:type="dxa"/>
          </w:tcPr>
          <w:p w14:paraId="28AD71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511" w:type="dxa"/>
          </w:tcPr>
          <w:p w14:paraId="20D696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54" w:type="dxa"/>
          </w:tcPr>
          <w:p w14:paraId="6352CE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236</w:t>
            </w:r>
          </w:p>
        </w:tc>
        <w:tc>
          <w:tcPr>
            <w:tcW w:w="684" w:type="dxa"/>
          </w:tcPr>
          <w:p w14:paraId="7ADBA7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w:t>
            </w:r>
          </w:p>
        </w:tc>
        <w:tc>
          <w:tcPr>
            <w:tcW w:w="526" w:type="dxa"/>
          </w:tcPr>
          <w:p w14:paraId="57A2F5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590" w:type="dxa"/>
          </w:tcPr>
          <w:p w14:paraId="21B23B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689</w:t>
            </w:r>
          </w:p>
        </w:tc>
        <w:tc>
          <w:tcPr>
            <w:tcW w:w="1030" w:type="dxa"/>
          </w:tcPr>
          <w:p w14:paraId="4D9B90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622</w:t>
            </w:r>
          </w:p>
        </w:tc>
      </w:tr>
      <w:tr w:rsidR="007D5DF8" w:rsidRPr="00DB5D0D" w14:paraId="1B018EF7" w14:textId="77777777" w:rsidTr="009223E5">
        <w:trPr>
          <w:trHeight w:val="734"/>
        </w:trPr>
        <w:tc>
          <w:tcPr>
            <w:tcW w:w="1030" w:type="dxa"/>
            <w:tcBorders>
              <w:bottom w:val="single" w:sz="12" w:space="0" w:color="auto"/>
            </w:tcBorders>
          </w:tcPr>
          <w:p w14:paraId="3212DE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518" w:type="dxa"/>
            <w:tcBorders>
              <w:bottom w:val="single" w:sz="12" w:space="0" w:color="auto"/>
            </w:tcBorders>
          </w:tcPr>
          <w:p w14:paraId="18EABE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w:t>
            </w:r>
          </w:p>
        </w:tc>
        <w:tc>
          <w:tcPr>
            <w:tcW w:w="547" w:type="dxa"/>
            <w:tcBorders>
              <w:bottom w:val="single" w:sz="12" w:space="0" w:color="auto"/>
            </w:tcBorders>
          </w:tcPr>
          <w:p w14:paraId="00A2DC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183</w:t>
            </w:r>
          </w:p>
        </w:tc>
        <w:tc>
          <w:tcPr>
            <w:tcW w:w="482" w:type="dxa"/>
            <w:tcBorders>
              <w:bottom w:val="single" w:sz="12" w:space="0" w:color="auto"/>
            </w:tcBorders>
          </w:tcPr>
          <w:p w14:paraId="02F018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472</w:t>
            </w:r>
          </w:p>
        </w:tc>
        <w:tc>
          <w:tcPr>
            <w:tcW w:w="454" w:type="dxa"/>
            <w:tcBorders>
              <w:bottom w:val="single" w:sz="12" w:space="0" w:color="auto"/>
            </w:tcBorders>
          </w:tcPr>
          <w:p w14:paraId="4FEA74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w:t>
            </w:r>
          </w:p>
        </w:tc>
        <w:tc>
          <w:tcPr>
            <w:tcW w:w="511" w:type="dxa"/>
            <w:tcBorders>
              <w:bottom w:val="single" w:sz="12" w:space="0" w:color="auto"/>
            </w:tcBorders>
          </w:tcPr>
          <w:p w14:paraId="708415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554" w:type="dxa"/>
            <w:tcBorders>
              <w:bottom w:val="single" w:sz="12" w:space="0" w:color="auto"/>
            </w:tcBorders>
          </w:tcPr>
          <w:p w14:paraId="164BB6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627</w:t>
            </w:r>
          </w:p>
        </w:tc>
        <w:tc>
          <w:tcPr>
            <w:tcW w:w="684" w:type="dxa"/>
            <w:tcBorders>
              <w:bottom w:val="single" w:sz="12" w:space="0" w:color="auto"/>
            </w:tcBorders>
          </w:tcPr>
          <w:p w14:paraId="71B517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294</w:t>
            </w:r>
          </w:p>
        </w:tc>
        <w:tc>
          <w:tcPr>
            <w:tcW w:w="526" w:type="dxa"/>
            <w:tcBorders>
              <w:bottom w:val="single" w:sz="12" w:space="0" w:color="auto"/>
            </w:tcBorders>
          </w:tcPr>
          <w:p w14:paraId="4B54A5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w:t>
            </w:r>
          </w:p>
        </w:tc>
        <w:tc>
          <w:tcPr>
            <w:tcW w:w="590" w:type="dxa"/>
            <w:tcBorders>
              <w:bottom w:val="single" w:sz="12" w:space="0" w:color="auto"/>
            </w:tcBorders>
          </w:tcPr>
          <w:p w14:paraId="0950C6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1984</w:t>
            </w:r>
          </w:p>
        </w:tc>
        <w:tc>
          <w:tcPr>
            <w:tcW w:w="1030" w:type="dxa"/>
            <w:tcBorders>
              <w:bottom w:val="single" w:sz="12" w:space="0" w:color="auto"/>
            </w:tcBorders>
          </w:tcPr>
          <w:p w14:paraId="7AEE17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1763</w:t>
            </w:r>
          </w:p>
        </w:tc>
      </w:tr>
    </w:tbl>
    <w:p w14:paraId="25D65C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(11710,529).</w:t>
      </w:r>
    </w:p>
    <w:p w14:paraId="2B95E2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01832D7"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19 июня 1940: ПИСЬМО ПОМОЩНИКУ ВОЕННОГО МИНИСТРА ЭСТОНСКОЙ РЕСПУБЛИКИ ГЕНЕРАЛ-МАЙОРА. ТРАКСМАА</w:t>
      </w:r>
    </w:p>
    <w:p w14:paraId="2B632DC9"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Для размещения личного состава Краснознаменного Балтийского флота и учреждений прошу дать распоряжение об освобождении следующих помещений:</w:t>
      </w:r>
    </w:p>
    <w:p w14:paraId="16E03D08"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 Здание военного министерства.</w:t>
      </w:r>
    </w:p>
    <w:p w14:paraId="33921A8C"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2. Здание штаба военно-морских сил.</w:t>
      </w:r>
    </w:p>
    <w:p w14:paraId="07114102"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3. Морской экипаж и его жилые здания.</w:t>
      </w:r>
    </w:p>
    <w:p w14:paraId="3BF79C87"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4. Управление дорог.</w:t>
      </w:r>
    </w:p>
    <w:p w14:paraId="253CC6BA"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5. Таможня.</w:t>
      </w:r>
    </w:p>
    <w:p w14:paraId="27A0A5B0"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6. Здание офицерского собрания.</w:t>
      </w:r>
    </w:p>
    <w:p w14:paraId="59011BCA"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7. Арсенал вместе с мастерскими.</w:t>
      </w:r>
    </w:p>
    <w:p w14:paraId="1A93FFD5"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8. Судоремонтный завод и 2 дока.</w:t>
      </w:r>
    </w:p>
    <w:p w14:paraId="3ACA53FD"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9. Пропуска во все порты.</w:t>
      </w:r>
    </w:p>
    <w:p w14:paraId="7F04E0EE"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10. Кино «Глория Палас».</w:t>
      </w:r>
    </w:p>
    <w:p w14:paraId="79360A5C"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11. Гостиница «Палас».</w:t>
      </w:r>
    </w:p>
    <w:p w14:paraId="29386E06"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12. Гостиница «Бристоль».</w:t>
      </w:r>
    </w:p>
    <w:p w14:paraId="74E1A6BB"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13. Универмаг Тракмана.</w:t>
      </w:r>
    </w:p>
    <w:p w14:paraId="0FC649E0"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14. Здание военного суда.</w:t>
      </w:r>
    </w:p>
    <w:p w14:paraId="450CC641"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15. Здание префекта полиции.</w:t>
      </w:r>
    </w:p>
    <w:p w14:paraId="161E8814"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16. Здание управления Балтийского завода.</w:t>
      </w:r>
    </w:p>
    <w:p w14:paraId="2C57204A"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17. Русский театр.</w:t>
      </w:r>
    </w:p>
    <w:p w14:paraId="257E7321"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18. Здание гимназии (напротив здания Эстонского банка).</w:t>
      </w:r>
    </w:p>
    <w:p w14:paraId="7F136DF6"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19. Стадион «Калев».</w:t>
      </w:r>
    </w:p>
    <w:p w14:paraId="276E6051"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20. Дома: по Пярнускому шоссе 11, ул.Рауа 30, 31, 32, 33, 34, 36, 37, 38, 42, ул.Крейцвальда 13, 15, 17, 19, ул.Кундера 6, 10, 14, ул.Гонсиори 31, ул.Пирита 9, Нарвскому шоссе 73, 75,77,85.</w:t>
      </w:r>
    </w:p>
    <w:p w14:paraId="5071D745"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21. Казармы Калевского батальона.</w:t>
      </w:r>
    </w:p>
    <w:p w14:paraId="3A5C55B9"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22. Аэродромы гидросамолетов вместе со всем оборудованием.</w:t>
      </w:r>
    </w:p>
    <w:p w14:paraId="03516404"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23. Цистерны для топлива в портах, гаражах и т.п.</w:t>
      </w:r>
    </w:p>
    <w:p w14:paraId="64769DB4"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24. 20 дач в Пирита и Нымме.</w:t>
      </w:r>
    </w:p>
    <w:p w14:paraId="358D01B2"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lastRenderedPageBreak/>
        <w:t>25. Торговый порт и Минная гавань вместе со складами и верфью.</w:t>
      </w:r>
    </w:p>
    <w:p w14:paraId="7D86EB71" w14:textId="77777777" w:rsidR="00185F37" w:rsidRPr="00DB5D0D" w:rsidRDefault="00185F3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Указанные помещения прошу передать командованию военно-морского флота к 24 часам 19 июня вместе со всем содержимым, мебелью, освещением и прочим. Одновременно для обеспечения безопасности с воздуха базирующихся в Таллинне кораблей прошу передать в мое распоряжение всю артиллерию ПВО и военный аэродром. Желательный срок передачи 19 июня с.г. (17398).</w:t>
      </w:r>
    </w:p>
    <w:p w14:paraId="3C034FD4" w14:textId="77777777" w:rsidR="00185F37" w:rsidRPr="00DB5D0D" w:rsidRDefault="00185F37" w:rsidP="00DB5D0D">
      <w:pPr>
        <w:shd w:val="clear" w:color="auto" w:fill="FFFFFF"/>
        <w:spacing w:after="0" w:line="240" w:lineRule="auto"/>
        <w:jc w:val="both"/>
        <w:rPr>
          <w:rFonts w:ascii="Times New Roman" w:hAnsi="Times New Roman"/>
          <w:color w:val="000000" w:themeColor="text1"/>
          <w:sz w:val="16"/>
          <w:szCs w:val="16"/>
        </w:rPr>
      </w:pPr>
    </w:p>
    <w:p w14:paraId="661A4291"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1878AA9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8361F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Секретарь ЦК А.Жданов прибыл в Таллинн и дал инструкции эстонским коммунистам по организации народной демонстрации 21 июня 1940 (1224).</w:t>
      </w:r>
    </w:p>
    <w:p w14:paraId="7F55038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74A0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 Сталиным в кругу своего ближайшего окружения был поднят вопрос о резком ужесточении трудового законодательства. Как явствует из дневниковых записей В. А. Малышева, Сталин поставил здесь вопрос о введении жёстких репрессивных мер по борьбе с текучестью. "После довольно жарких споров тов. Сталин предложил издать закон о запрещении самовольных переходов рабочих и служащих с предприятия на предприятие, добавив: "А тех, кто будет нарушать этот закон, надо сажать в тюрьму". В той же беседе Сталин предложил ввести 8-часовой рабочий день и аргументировал это следующим образом: "Наши профсоюзы развратили рабочих. Это не школа коммунизма, а школа рвачей. Профсоюзы натравливают рабочих против руководителей и потакают рваческим, иждивенческим тенденциям. Почему рабочие в капиталистических странах могут работать на капиталистов по 10-12, а наши рабочие на своё родное государство должны работать 7 часов?.. Мы сделали большую ошибку, когда ввели 7-часовой рабочий день... Сейчас такое время, когда надо призвать рабочих на жертвы и ввести 8-часовой рабочий день без повышения оплаты". Предложения Сталина были официально выдвинуты 26 июня 1940 года в обращении ВЦСПС к рабочим и служащим. На следующий день был обнародован Указ Президиума Верховного Совета СССР от 26 июня "О переходе на 8-часовой рабочий день, на 7-дневную рабочую неделю и о запрещении самовольного ухода рабочих и служащих с предприятий и учреждений" (9492).</w:t>
      </w:r>
    </w:p>
    <w:p w14:paraId="44333FE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D27B71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19 1940 A secretary of the Central Committee of the C.P.S.U.(B.), Andrei Zhdanov, arrives in Tallinn and gives Estonian communists instructions to organize a popular demonstration on June 21 (1224).</w:t>
      </w:r>
    </w:p>
    <w:p w14:paraId="77A6F6D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5B57A2A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C074B0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BAA449A" w14:textId="77777777" w:rsidR="004D550C" w:rsidRPr="00DB5D0D" w:rsidRDefault="004D550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 июня 1940 бипланы торпедоносцы Fairey Swordfish No. 767 Squadron Air Arm Британского флота, действующие с базы на юге Франции совершают налет на Геную, Италии и итальянские линий связи. Это первый воздушный налет Королевского флота на итальянскую землю во Второй мировой войне. Корабль присоединится к обороне при осаде Мальты. Девять итальянских самолетов Breda Ba.88 Lince атакуют французские аэродромы на Корсике  (20795).</w:t>
      </w:r>
    </w:p>
    <w:p w14:paraId="1E166CF6" w14:textId="77777777" w:rsidR="004D550C" w:rsidRPr="00DB5D0D" w:rsidRDefault="004D550C" w:rsidP="00DB5D0D">
      <w:pPr>
        <w:spacing w:after="0" w:line="240" w:lineRule="auto"/>
        <w:jc w:val="both"/>
        <w:rPr>
          <w:rFonts w:ascii="Times New Roman" w:hAnsi="Times New Roman"/>
          <w:color w:val="0070C0"/>
          <w:sz w:val="16"/>
          <w:szCs w:val="16"/>
        </w:rPr>
      </w:pPr>
    </w:p>
    <w:p w14:paraId="4ED59F5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10-я французская армия капитулировала. Немцы захватили Брест, Ла-Рошель, Нант и Сен-Назер во Франции (4963 ).</w:t>
      </w:r>
    </w:p>
    <w:p w14:paraId="744E79A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19D426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войска союзников, отступая, взорвали порт Шербурга (Франция) (4962).</w:t>
      </w:r>
    </w:p>
    <w:p w14:paraId="090A0BC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172329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правительство П.Рейно ушло в отставку и к власти пришел Ф.Пэтен (3960, 235).</w:t>
      </w:r>
    </w:p>
    <w:p w14:paraId="750B049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2BCB6A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польское и бельгийское правительства в изгнании переехали из Франции в Лондон (4962).</w:t>
      </w:r>
    </w:p>
    <w:p w14:paraId="5CB8FB2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F885ED0"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19th, 1940: German troops capture Brest, Toul and Strassburg (3819).</w:t>
      </w:r>
    </w:p>
    <w:p w14:paraId="6DAA2242"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2F12F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германские войска захватили Брест, Тул и Страсбург (3819).</w:t>
      </w:r>
    </w:p>
    <w:p w14:paraId="69C6351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EF53D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Герману Герингу присвоено звание рейхсмаршала (4962).</w:t>
      </w:r>
    </w:p>
    <w:p w14:paraId="3F718BC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20BE4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Г.Геринг стал Рейхс-Маршалом (1114).</w:t>
      </w:r>
    </w:p>
    <w:p w14:paraId="1D57425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988721" w14:textId="77777777" w:rsidR="00426365" w:rsidRPr="00DB5D0D" w:rsidRDefault="0042636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w:t>
      </w:r>
      <w:r w:rsidRPr="00DB5D0D">
        <w:rPr>
          <w:rFonts w:ascii="Times New Roman" w:hAnsi="Times New Roman"/>
          <w:bCs/>
          <w:color w:val="000000" w:themeColor="text1"/>
          <w:sz w:val="16"/>
          <w:szCs w:val="16"/>
        </w:rPr>
        <w:t xml:space="preserve"> 1940 Франко сообщил Гитлеру и Муссолини, что Испания объявит войну противникам «оси» при условии передачи ей Гибралтара, Французского Марокко, провинции Оран в Алжире и увеличения других французских владений в Африке. Гитлер нашел цену чрезмерной и пока отклонил предложения Франко (17398).</w:t>
      </w:r>
    </w:p>
    <w:p w14:paraId="7184DC12" w14:textId="77777777" w:rsidR="00426365" w:rsidRPr="00DB5D0D" w:rsidRDefault="00426365" w:rsidP="00DB5D0D">
      <w:pPr>
        <w:spacing w:after="0" w:line="240" w:lineRule="auto"/>
        <w:jc w:val="both"/>
        <w:rPr>
          <w:rFonts w:ascii="Times New Roman" w:hAnsi="Times New Roman"/>
          <w:color w:val="000000" w:themeColor="text1"/>
          <w:sz w:val="16"/>
          <w:szCs w:val="16"/>
        </w:rPr>
      </w:pPr>
    </w:p>
    <w:p w14:paraId="10FB8B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вышедший из Окленда в Новую Зеландию лайнер Ниагара подорвался у берегов Новой Зеландии на немецкой мине (3481).</w:t>
      </w:r>
    </w:p>
    <w:p w14:paraId="1D28B1A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D34FBE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4B1E19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728D2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был отпечатан проект Постановления КО СНК СССР "О постановке серийного производства самолетов, бронированных штурмовиков с моторами АМ-35, конструкции тов. Ильюшина на заводе N 30 НКАП" (470,142).</w:t>
      </w:r>
    </w:p>
    <w:p w14:paraId="6428CD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развития серийного производства самолетов БШ-2 на заводе N 30, КО при СНК Постановляет:</w:t>
      </w:r>
    </w:p>
    <w:p w14:paraId="0C6A81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 был А.С.Я., который писал, что БШ-2 поставили на серийное производство. Именно массовость беспокоила С.В.И, а не что ни будь другое.)</w:t>
      </w:r>
    </w:p>
    <w:p w14:paraId="6CF395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 директора завода N 30 и ГК тов. Ильюшина приступить к производству самолетов БШ-2 с выпуском в 1940 году 10 машин по образцу, прошедшему гос. испытания в НИИ ГУАС КА со следующими летными характеристиками (470):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7D5DF8" w:rsidRPr="00DB5D0D" w14:paraId="32301834" w14:textId="77777777" w:rsidTr="009223E5">
        <w:tc>
          <w:tcPr>
            <w:tcW w:w="5070" w:type="dxa"/>
            <w:tcBorders>
              <w:top w:val="single" w:sz="12" w:space="0" w:color="auto"/>
            </w:tcBorders>
          </w:tcPr>
          <w:p w14:paraId="57BF03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w:t>
            </w:r>
          </w:p>
        </w:tc>
        <w:tc>
          <w:tcPr>
            <w:tcW w:w="5386" w:type="dxa"/>
            <w:tcBorders>
              <w:top w:val="single" w:sz="12" w:space="0" w:color="auto"/>
            </w:tcBorders>
          </w:tcPr>
          <w:p w14:paraId="55F4FA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365 км/час</w:t>
            </w:r>
          </w:p>
        </w:tc>
      </w:tr>
      <w:tr w:rsidR="007D5DF8" w:rsidRPr="00DB5D0D" w14:paraId="4964CA37" w14:textId="77777777" w:rsidTr="009223E5">
        <w:tc>
          <w:tcPr>
            <w:tcW w:w="5070" w:type="dxa"/>
          </w:tcPr>
          <w:p w14:paraId="7A1D3E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расчетной высоте 5000 м</w:t>
            </w:r>
          </w:p>
        </w:tc>
        <w:tc>
          <w:tcPr>
            <w:tcW w:w="5386" w:type="dxa"/>
          </w:tcPr>
          <w:p w14:paraId="4F0337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 км/час</w:t>
            </w:r>
          </w:p>
        </w:tc>
      </w:tr>
      <w:tr w:rsidR="007D5DF8" w:rsidRPr="00DB5D0D" w14:paraId="6DC21D5C" w14:textId="77777777" w:rsidTr="009223E5">
        <w:tc>
          <w:tcPr>
            <w:tcW w:w="5070" w:type="dxa"/>
          </w:tcPr>
          <w:p w14:paraId="3AAE72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w:t>
            </w:r>
          </w:p>
        </w:tc>
        <w:tc>
          <w:tcPr>
            <w:tcW w:w="5386" w:type="dxa"/>
          </w:tcPr>
          <w:p w14:paraId="516D6B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 м</w:t>
            </w:r>
          </w:p>
        </w:tc>
      </w:tr>
      <w:tr w:rsidR="007D5DF8" w:rsidRPr="00DB5D0D" w14:paraId="02587A5E" w14:textId="77777777" w:rsidTr="009223E5">
        <w:tc>
          <w:tcPr>
            <w:tcW w:w="5070" w:type="dxa"/>
          </w:tcPr>
          <w:p w14:paraId="4AED49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Дальность полета на 0.9 максимальной скорости </w:t>
            </w:r>
          </w:p>
        </w:tc>
        <w:tc>
          <w:tcPr>
            <w:tcW w:w="5386" w:type="dxa"/>
          </w:tcPr>
          <w:p w14:paraId="0C17A6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км (470)</w:t>
            </w:r>
          </w:p>
        </w:tc>
      </w:tr>
      <w:tr w:rsidR="007D5DF8" w:rsidRPr="00DB5D0D" w14:paraId="1FFE6D7B" w14:textId="77777777" w:rsidTr="009223E5">
        <w:tc>
          <w:tcPr>
            <w:tcW w:w="5070" w:type="dxa"/>
          </w:tcPr>
          <w:p w14:paraId="175B28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5386" w:type="dxa"/>
          </w:tcPr>
          <w:p w14:paraId="1F33C44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5C3B019" w14:textId="77777777" w:rsidTr="009223E5">
        <w:tc>
          <w:tcPr>
            <w:tcW w:w="5070" w:type="dxa"/>
          </w:tcPr>
          <w:p w14:paraId="7EBAC1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w:t>
            </w:r>
          </w:p>
        </w:tc>
        <w:tc>
          <w:tcPr>
            <w:tcW w:w="5386" w:type="dxa"/>
          </w:tcPr>
          <w:p w14:paraId="5D969A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пулемета ШКАС в крыльях с 3000 шт. патронов</w:t>
            </w:r>
          </w:p>
        </w:tc>
      </w:tr>
      <w:tr w:rsidR="007D5DF8" w:rsidRPr="00DB5D0D" w14:paraId="2152841C" w14:textId="77777777" w:rsidTr="009223E5">
        <w:tc>
          <w:tcPr>
            <w:tcW w:w="5070" w:type="dxa"/>
          </w:tcPr>
          <w:p w14:paraId="6F479C0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386" w:type="dxa"/>
          </w:tcPr>
          <w:p w14:paraId="293996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пулемет ШКАС на спецтурели с 500 шт. патронов</w:t>
            </w:r>
          </w:p>
        </w:tc>
      </w:tr>
      <w:tr w:rsidR="007D5DF8" w:rsidRPr="00DB5D0D" w14:paraId="15F5ABA6" w14:textId="77777777" w:rsidTr="009223E5">
        <w:tc>
          <w:tcPr>
            <w:tcW w:w="5070" w:type="dxa"/>
          </w:tcPr>
          <w:p w14:paraId="75A2DF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Бомбовое:</w:t>
            </w:r>
          </w:p>
        </w:tc>
        <w:tc>
          <w:tcPr>
            <w:tcW w:w="5386" w:type="dxa"/>
          </w:tcPr>
          <w:p w14:paraId="04679CC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CA4517F" w14:textId="77777777" w:rsidTr="009223E5">
        <w:tc>
          <w:tcPr>
            <w:tcW w:w="5070" w:type="dxa"/>
          </w:tcPr>
          <w:p w14:paraId="0CC6CB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Нормальное</w:t>
            </w:r>
          </w:p>
        </w:tc>
        <w:tc>
          <w:tcPr>
            <w:tcW w:w="5386" w:type="dxa"/>
          </w:tcPr>
          <w:p w14:paraId="4182A9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шт. по 100 кг</w:t>
            </w:r>
          </w:p>
        </w:tc>
      </w:tr>
      <w:tr w:rsidR="007D5DF8" w:rsidRPr="00DB5D0D" w14:paraId="158F6002" w14:textId="77777777" w:rsidTr="009223E5">
        <w:tc>
          <w:tcPr>
            <w:tcW w:w="5070" w:type="dxa"/>
          </w:tcPr>
          <w:p w14:paraId="56D74D0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386" w:type="dxa"/>
          </w:tcPr>
          <w:p w14:paraId="1CB2E1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шт. по 25 кг</w:t>
            </w:r>
          </w:p>
        </w:tc>
      </w:tr>
      <w:tr w:rsidR="007D5DF8" w:rsidRPr="00DB5D0D" w14:paraId="2E38DEE2" w14:textId="77777777" w:rsidTr="009223E5">
        <w:tc>
          <w:tcPr>
            <w:tcW w:w="5070" w:type="dxa"/>
          </w:tcPr>
          <w:p w14:paraId="3862F13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386" w:type="dxa"/>
          </w:tcPr>
          <w:p w14:paraId="46CC7F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шт. по 10 кг</w:t>
            </w:r>
          </w:p>
        </w:tc>
      </w:tr>
      <w:tr w:rsidR="007D5DF8" w:rsidRPr="00DB5D0D" w14:paraId="779108E7" w14:textId="77777777" w:rsidTr="009223E5">
        <w:tc>
          <w:tcPr>
            <w:tcW w:w="5070" w:type="dxa"/>
          </w:tcPr>
          <w:p w14:paraId="56CB5AA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386" w:type="dxa"/>
          </w:tcPr>
          <w:p w14:paraId="52613D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 шт. по 2.5 кг</w:t>
            </w:r>
          </w:p>
        </w:tc>
      </w:tr>
      <w:tr w:rsidR="007D5DF8" w:rsidRPr="00DB5D0D" w14:paraId="29D9693C" w14:textId="77777777" w:rsidTr="009223E5">
        <w:tc>
          <w:tcPr>
            <w:tcW w:w="5070" w:type="dxa"/>
          </w:tcPr>
          <w:p w14:paraId="120F90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Перегрузочное</w:t>
            </w:r>
          </w:p>
        </w:tc>
        <w:tc>
          <w:tcPr>
            <w:tcW w:w="5386" w:type="dxa"/>
          </w:tcPr>
          <w:p w14:paraId="7A22F3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шт. по 250 кг</w:t>
            </w:r>
          </w:p>
        </w:tc>
      </w:tr>
      <w:tr w:rsidR="007D5DF8" w:rsidRPr="00DB5D0D" w14:paraId="1F9285AB" w14:textId="77777777" w:rsidTr="009223E5">
        <w:tc>
          <w:tcPr>
            <w:tcW w:w="5070" w:type="dxa"/>
          </w:tcPr>
          <w:p w14:paraId="14A6FE2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386" w:type="dxa"/>
          </w:tcPr>
          <w:p w14:paraId="657048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шт. по 100 кг</w:t>
            </w:r>
          </w:p>
        </w:tc>
      </w:tr>
      <w:tr w:rsidR="007D5DF8" w:rsidRPr="00DB5D0D" w14:paraId="5F42C609" w14:textId="77777777" w:rsidTr="009223E5">
        <w:tc>
          <w:tcPr>
            <w:tcW w:w="5070" w:type="dxa"/>
          </w:tcPr>
          <w:p w14:paraId="531EC6D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386" w:type="dxa"/>
          </w:tcPr>
          <w:p w14:paraId="5EBEF8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шт. по 25 кг</w:t>
            </w:r>
          </w:p>
        </w:tc>
      </w:tr>
      <w:tr w:rsidR="007D5DF8" w:rsidRPr="00DB5D0D" w14:paraId="492622E4" w14:textId="77777777" w:rsidTr="009223E5">
        <w:tc>
          <w:tcPr>
            <w:tcW w:w="5070" w:type="dxa"/>
          </w:tcPr>
          <w:p w14:paraId="1FB427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Химическое вместо бомб:</w:t>
            </w:r>
          </w:p>
        </w:tc>
        <w:tc>
          <w:tcPr>
            <w:tcW w:w="5386" w:type="dxa"/>
          </w:tcPr>
          <w:p w14:paraId="5D52B6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универсальных бака с ОВ или ДВ по 90 л</w:t>
            </w:r>
          </w:p>
        </w:tc>
      </w:tr>
      <w:tr w:rsidR="007D5DF8" w:rsidRPr="00DB5D0D" w14:paraId="4D389A41" w14:textId="77777777" w:rsidTr="009223E5">
        <w:tc>
          <w:tcPr>
            <w:tcW w:w="5070" w:type="dxa"/>
          </w:tcPr>
          <w:p w14:paraId="571571C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386" w:type="dxa"/>
          </w:tcPr>
          <w:p w14:paraId="6CBA96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крыле</w:t>
            </w:r>
          </w:p>
        </w:tc>
      </w:tr>
      <w:tr w:rsidR="007D5DF8" w:rsidRPr="00DB5D0D" w14:paraId="0EC0D275" w14:textId="77777777" w:rsidTr="009223E5">
        <w:tc>
          <w:tcPr>
            <w:tcW w:w="5070" w:type="dxa"/>
          </w:tcPr>
          <w:p w14:paraId="0F8290A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386" w:type="dxa"/>
          </w:tcPr>
          <w:p w14:paraId="1EF3EC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ВАП-200 с ЗП</w:t>
            </w:r>
          </w:p>
        </w:tc>
      </w:tr>
      <w:tr w:rsidR="007D5DF8" w:rsidRPr="00DB5D0D" w14:paraId="1D577C6A" w14:textId="77777777" w:rsidTr="009223E5">
        <w:tc>
          <w:tcPr>
            <w:tcW w:w="5070" w:type="dxa"/>
          </w:tcPr>
          <w:p w14:paraId="16569E5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386" w:type="dxa"/>
          </w:tcPr>
          <w:p w14:paraId="1404F5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дымовых прибора УХАП-250 по 90 л</w:t>
            </w:r>
          </w:p>
        </w:tc>
      </w:tr>
      <w:tr w:rsidR="007D5DF8" w:rsidRPr="00DB5D0D" w14:paraId="4B4742F8" w14:textId="77777777" w:rsidTr="009223E5">
        <w:tc>
          <w:tcPr>
            <w:tcW w:w="5070" w:type="dxa"/>
          </w:tcPr>
          <w:p w14:paraId="404CC3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броневой защитой экипажа, мотора, маслобака, бензобаков, радиатора и взрывателей бомб. Толщина бронелистов:</w:t>
            </w:r>
          </w:p>
        </w:tc>
        <w:tc>
          <w:tcPr>
            <w:tcW w:w="5386" w:type="dxa"/>
          </w:tcPr>
          <w:p w14:paraId="5BF1188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2B38B93" w14:textId="77777777" w:rsidTr="009223E5">
        <w:tc>
          <w:tcPr>
            <w:tcW w:w="5070" w:type="dxa"/>
          </w:tcPr>
          <w:p w14:paraId="07E0FF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Задние стенки кабин пилота и штурмана</w:t>
            </w:r>
          </w:p>
        </w:tc>
        <w:tc>
          <w:tcPr>
            <w:tcW w:w="5386" w:type="dxa"/>
          </w:tcPr>
          <w:p w14:paraId="5DC828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мм</w:t>
            </w:r>
          </w:p>
        </w:tc>
      </w:tr>
      <w:tr w:rsidR="007D5DF8" w:rsidRPr="00DB5D0D" w14:paraId="4D5D9DBD" w14:textId="77777777" w:rsidTr="009223E5">
        <w:tc>
          <w:tcPr>
            <w:tcW w:w="5070" w:type="dxa"/>
          </w:tcPr>
          <w:p w14:paraId="1CFE5E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Бортовые листы кабин</w:t>
            </w:r>
          </w:p>
        </w:tc>
        <w:tc>
          <w:tcPr>
            <w:tcW w:w="5386" w:type="dxa"/>
          </w:tcPr>
          <w:p w14:paraId="65857E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мм</w:t>
            </w:r>
          </w:p>
        </w:tc>
      </w:tr>
      <w:tr w:rsidR="007D5DF8" w:rsidRPr="00DB5D0D" w14:paraId="03AF5C47" w14:textId="77777777" w:rsidTr="009223E5">
        <w:tc>
          <w:tcPr>
            <w:tcW w:w="5070" w:type="dxa"/>
          </w:tcPr>
          <w:p w14:paraId="1B7948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Нижние листы кабин</w:t>
            </w:r>
          </w:p>
        </w:tc>
        <w:tc>
          <w:tcPr>
            <w:tcW w:w="5386" w:type="dxa"/>
          </w:tcPr>
          <w:p w14:paraId="16E8FF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мм</w:t>
            </w:r>
          </w:p>
        </w:tc>
      </w:tr>
      <w:tr w:rsidR="007D5DF8" w:rsidRPr="00DB5D0D" w14:paraId="5B85A775" w14:textId="77777777" w:rsidTr="009223E5">
        <w:tc>
          <w:tcPr>
            <w:tcW w:w="5070" w:type="dxa"/>
          </w:tcPr>
          <w:p w14:paraId="7973CB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 мотора</w:t>
            </w:r>
          </w:p>
        </w:tc>
        <w:tc>
          <w:tcPr>
            <w:tcW w:w="5386" w:type="dxa"/>
          </w:tcPr>
          <w:p w14:paraId="6A47B2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мм</w:t>
            </w:r>
          </w:p>
        </w:tc>
      </w:tr>
      <w:tr w:rsidR="007D5DF8" w:rsidRPr="00DB5D0D" w14:paraId="092C1BF8" w14:textId="77777777" w:rsidTr="009223E5">
        <w:tc>
          <w:tcPr>
            <w:tcW w:w="5070" w:type="dxa"/>
            <w:tcBorders>
              <w:bottom w:val="single" w:sz="12" w:space="0" w:color="auto"/>
            </w:tcBorders>
          </w:tcPr>
          <w:p w14:paraId="317629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Неподвижная часть фонаря (К-4)</w:t>
            </w:r>
          </w:p>
        </w:tc>
        <w:tc>
          <w:tcPr>
            <w:tcW w:w="5386" w:type="dxa"/>
            <w:tcBorders>
              <w:bottom w:val="single" w:sz="12" w:space="0" w:color="auto"/>
            </w:tcBorders>
          </w:tcPr>
          <w:p w14:paraId="1D20AA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мм (470)</w:t>
            </w:r>
          </w:p>
        </w:tc>
      </w:tr>
    </w:tbl>
    <w:p w14:paraId="7C39BA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Подготовку производства по заводу N 30 вести из расчета выпуска в 1941 году 150 самолетов БШ-2 (470).</w:t>
      </w:r>
    </w:p>
    <w:p w14:paraId="4DAF16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НК НП тов. Кагановича Л.М. обеспечить на Подольском заводе изготовление броневых каркасов для самолета БШ-2 по ранее изготовленным образцам и по чертежам завода N 39, с обеспечением десяти комплектов в третьем квартале, пятнадцати комплектов в 4 квартале 1940 года.</w:t>
      </w:r>
    </w:p>
    <w:p w14:paraId="510EF1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НК ХП тов. Денисова обеспечить:</w:t>
      </w:r>
    </w:p>
    <w:p w14:paraId="45550F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заводе N К-4 в третьем квартале 1940 года сдачу заводу N 30 для самолетов БШ-2 15 комплектов прозрачной брони по освоенному образцу и чертежам завода N 39.</w:t>
      </w:r>
    </w:p>
    <w:p w14:paraId="6B408F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заводах Главрезины изготовление покрышек и камер размером 800х360 мм и 300х125 мм, в количестве 15 комплектов...</w:t>
      </w:r>
    </w:p>
    <w:p w14:paraId="26D0A7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НК ЧМ тов. И.Ф.Тевосян обеспечить завод N 30 хромансилевыми профилями по чертежам завода N 39, в количестве 15 комплектов.</w:t>
      </w:r>
    </w:p>
    <w:p w14:paraId="2DB14D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Отпустить из резервного фонда СНК СССР НКАпу 11 миллионов рублей, в т.ч.:</w:t>
      </w:r>
    </w:p>
    <w:p w14:paraId="05FD33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постановку серийного производства с-та БШ-2 на заводе № 30 - 5 млн. руб.</w:t>
      </w:r>
    </w:p>
    <w:p w14:paraId="5D9C27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дополнительную постройку леревообделочного цеха, сушилок и сухопутного аэродрома на заводе № 30 - в связи с постановкой производства с-тов БШ-2 - 5 млн. руб.</w:t>
      </w:r>
    </w:p>
    <w:p w14:paraId="4A9E99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под отчет в распоряжение НКАП на премирование рабочих, ИТР и служащих завода № 30, в соответствии с Положением о премировании, за освоение серийного производства с-тов БШ-2 и за выпуск 10 с-тов - 1 млн. руб.</w:t>
      </w:r>
    </w:p>
    <w:p w14:paraId="416B6D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представить отчет об израсходовании премиальных сумм в КО к 20 января 1941 г.</w:t>
      </w:r>
    </w:p>
    <w:p w14:paraId="515285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w:t>
      </w:r>
    </w:p>
    <w:p w14:paraId="65E31B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Завизировано Я.В.Смушкевичем и А.И.Шахуриным, а подписывать должен был К.Е.В. уже как Председатель КО и М. Пугаев (470).</w:t>
      </w:r>
    </w:p>
    <w:p w14:paraId="54A4DE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Интересно, что соответствующее постановление вышло только 26 июля и такую задержку надо как-то объяснять.</w:t>
      </w:r>
    </w:p>
    <w:p w14:paraId="53F956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Понятно, что в июне 1940 никакой приказ не вышел</w:t>
      </w:r>
    </w:p>
    <w:p w14:paraId="1F6BEF9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D335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на заводские испытания поступил САМ-13 2МВ-6 Москалева (2090,133).</w:t>
      </w:r>
    </w:p>
    <w:p w14:paraId="63AF617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3C1F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закончились войсковые испытания самолетов ББ-1 с мотором М-88, которые проходили с 17 мая 1940</w:t>
      </w:r>
    </w:p>
    <w:p w14:paraId="4F88AD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498718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2 ранга Часовиков</w:t>
      </w:r>
    </w:p>
    <w:p w14:paraId="5ECC67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самолета ББ-1 с мотором М-88 проводились на Харьковском аэродроме.</w:t>
      </w:r>
    </w:p>
    <w:p w14:paraId="62A38C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на самолетах ББ-1 произведено 616 полетов при общем налете 157 часов.</w:t>
      </w:r>
    </w:p>
    <w:p w14:paraId="374946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1122F4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ББ-1 М-88 продукции завода № 135 войсковые испытания прошел удовлетворительно (4384).</w:t>
      </w:r>
    </w:p>
    <w:p w14:paraId="01AC919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545AC6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закончились войсковые испытания ББ-1 в 135 полку, которые проходили с 10 мая. Их возглавляли от НИИ ВВС - военинженер 2-го ранга С.Н.Часовиков, летчики капитан С.М.Коробов и ст. лейтенант Ю.Н.Кругликов, а от 135-го бап - военинженер 3-го ранга А.В.Телегин и помощник командира полка капитан А.И.Пушкин. Авиаторам полка, возглавляемого майором Неволиным, предстояло определить некоторые важные характеристики ББ-1 М-88, поскольку в ходе государственных испытаний опытной машины произошло много поломок, и они остались, по сути, незавершенными. В частности, требовалось подтвердить практический потолок самолета, оценить расходы горючего на разных режимах, проверить возможность полетов в сложных метеоусловиях и ночью. Предстояло также определить возможность применения бомб ФАБ-250 с подкрыльевых держателей (5360).</w:t>
      </w:r>
    </w:p>
    <w:p w14:paraId="398B16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прошли удовлетворительно, хотя не обошлось без происшествий. Так, при полете на дальность по маршруту Харьков - Белгород -Изюм - Харьков на большой высоте на самолете замерзли узлы управления и едва не произошла катастрофа. Кроме того, высотные полеты выявили некачественную окраску самолета - краска шелушилась и отваливалась с передней кромки крьша и стабилизатора. Среди основных дефектов бомбардировщика отмечались ненадежность двигателя, замасливание прицела и нижнего люка штурмана, недостаточная прочность стоек шасси и пневматиков. Нагрузка на рули нарастала неравномерно и оказалась излишне большой (по сравнению с опытным самолетом), появились люфты и трение в узлах подвески рулей высоты и элеронов.</w:t>
      </w:r>
    </w:p>
    <w:p w14:paraId="27F0C8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в отчете отмечалось, что в экспуата-ции самолет прост, подход к различным отдельным агрегатам удобен, ремонт и замена деталей трудностей не представляют. Машина свободно взлетала с грунтовой полосы при нагрузке 700 кг бомб. «Летчики, имевшие квалификацию ниже средней, пришедшие в часть из летных школ ВВС, осваивают самолет легко и после 20-25 вывозных полетов самостоятельно выпускались на ББ-1», - говорилось в отчете по войсковым испытаниям. Летчики остались довольны хорошим обзором вперед из кабины и удобной высокой ручкой управления. Прибывшие в полк начальник ГУ ВВС П.В.Рычагов и инспектор по технике пилотирования одного из военных округов А.В.Беляков после непродолжительного наземного осмотра благополучно совершили на ББ-1 ознакомительный полет. Прошедшие весной в 135-м бап войсковые испытания Су-2 выявили 28 серьезных дефектов машины. Военные потребовали утеплить коки винтов для работы на больших высотах, устранить перекосы в подвижной части фонаря, а также ликвидировать течи смеси в амортстойках шасси и бензина из дренажной магистрали на пикировании. Главному конструктору предложили как можно скорее разработать систему заполнения бензобаков нейтральными газами по мере выработки горючего и вырезать люк в капоте мотора для обеспечения разогрева двигателя от паяльной лампы АПЛ-1 (5360).</w:t>
      </w:r>
    </w:p>
    <w:p w14:paraId="5B44F90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1335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закончились войсковые испытания ББ-1 М-88, которые шли с 17 мая 1940. Отв. исполнители: ви ви2р Часовиков и ком. летной группы к Пушкин. Порядок проведения испытаний:</w:t>
      </w:r>
    </w:p>
    <w:p w14:paraId="7BECB8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Войсковые испытания ББ-1 М-88 проводились на Харьковском аэродроме летно-техническим составом 135 авиаполка и полка боевого применения НИИ ВВС.</w:t>
      </w:r>
    </w:p>
    <w:p w14:paraId="436816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Испытания проводились с 17 мая по 20 июня 1940</w:t>
      </w:r>
    </w:p>
    <w:p w14:paraId="0B465F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испытания были начаты с М-87, но в связи с приказом Нач. ГУАС таковые были сданы в 135 авиаполк и с завода 135 19 мая были получены 3 машины с М-88. также 2 самолета были получены из 135 полка.</w:t>
      </w:r>
    </w:p>
    <w:p w14:paraId="25D3DD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испытания по программе были начаты 10 мая и закончены 20 июня 1940</w:t>
      </w:r>
    </w:p>
    <w:p w14:paraId="4BE863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Всего на ББ-1 произведено 616 полетов при объеме налета 157 час.</w:t>
      </w:r>
    </w:p>
    <w:p w14:paraId="2D433B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Испытания проведены без аварий и катастроф</w:t>
      </w:r>
    </w:p>
    <w:p w14:paraId="074055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Все самолеты, проходившие войсковые испытания, после небольшого обычного текущего ремонта и устранения дефектов, опасных для полета, сданы в 135 авиаполк для дальнейшей нормальной эксплуатации</w:t>
      </w:r>
    </w:p>
    <w:p w14:paraId="4A287A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испытаний: Войсковые испытания ББ-1 М-88 приводились на 6 самолетах, 0 и 1 серии с М-88.</w:t>
      </w:r>
    </w:p>
    <w:p w14:paraId="0DE22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конструкции ББ-1, проходившие войсковые испытания, мало чем отличались от ББ-1, проходившего гос. испытания, за исключением того, что у серийных самолетов фюзеляж представляет собой деревянный монокок (2942).</w:t>
      </w:r>
    </w:p>
    <w:p w14:paraId="3870CA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A1E7E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ББ-1 М-88 продукции 135 завода войсковые испытания прошел удовлетворительно, показав почти по всем вопросам программы войсковых испытаний достаточно хорошие материалы.</w:t>
      </w:r>
    </w:p>
    <w:p w14:paraId="5EEC31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для полного доведения ББ-1 до состояния современного боевого самолета необходимо просить НКАП А.И.Ш. дать задание заводам 135 и 29, чтобы таковые провели доводочные мероприятия и мероприятия по устранению дефектов (2943).</w:t>
      </w:r>
    </w:p>
    <w:p w14:paraId="26373E8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6799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на Харьковском аэродро</w:t>
      </w:r>
      <w:r w:rsidRPr="00DB5D0D">
        <w:rPr>
          <w:rFonts w:ascii="Times New Roman" w:hAnsi="Times New Roman"/>
          <w:color w:val="000000" w:themeColor="text1"/>
          <w:sz w:val="16"/>
          <w:szCs w:val="16"/>
        </w:rPr>
        <w:softHyphen/>
        <w:t>ме закончились войсковые испытания шести самолетов ББ-1 с М-88 нуле</w:t>
      </w:r>
      <w:r w:rsidRPr="00DB5D0D">
        <w:rPr>
          <w:rFonts w:ascii="Times New Roman" w:hAnsi="Times New Roman"/>
          <w:color w:val="000000" w:themeColor="text1"/>
          <w:sz w:val="16"/>
          <w:szCs w:val="16"/>
        </w:rPr>
        <w:softHyphen/>
        <w:t>вой и первой серии. В испытаниях принял участие летно-технический состав 135 авиационного полка ВВС КА и полка боевого применения НИИ ГУАС КА, сведенный в отдельную испытательную группу. Испытания проводились в период с 17 мая по 20 июня 1940 года. Всего было вы</w:t>
      </w:r>
      <w:r w:rsidRPr="00DB5D0D">
        <w:rPr>
          <w:rFonts w:ascii="Times New Roman" w:hAnsi="Times New Roman"/>
          <w:color w:val="000000" w:themeColor="text1"/>
          <w:sz w:val="16"/>
          <w:szCs w:val="16"/>
        </w:rPr>
        <w:softHyphen/>
        <w:t>полнено 616 полетов с общим нале</w:t>
      </w:r>
      <w:r w:rsidRPr="00DB5D0D">
        <w:rPr>
          <w:rFonts w:ascii="Times New Roman" w:hAnsi="Times New Roman"/>
          <w:color w:val="000000" w:themeColor="text1"/>
          <w:sz w:val="16"/>
          <w:szCs w:val="16"/>
        </w:rPr>
        <w:softHyphen/>
        <w:t>том 157 часов (11849).</w:t>
      </w:r>
    </w:p>
    <w:p w14:paraId="1169CAF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9C7957" w14:textId="77777777" w:rsidR="0046399E" w:rsidRPr="00DB5D0D" w:rsidRDefault="0046399E" w:rsidP="00DB5D0D">
      <w:pPr>
        <w:pStyle w:val="3a"/>
        <w:shd w:val="clear" w:color="auto" w:fill="auto"/>
        <w:spacing w:before="0" w:after="0" w:line="240" w:lineRule="auto"/>
        <w:jc w:val="both"/>
        <w:rPr>
          <w:color w:val="000000" w:themeColor="text1"/>
          <w:spacing w:val="0"/>
          <w:sz w:val="16"/>
          <w:szCs w:val="16"/>
        </w:rPr>
      </w:pPr>
      <w:r w:rsidRPr="00DB5D0D">
        <w:rPr>
          <w:color w:val="000000" w:themeColor="text1"/>
          <w:spacing w:val="0"/>
          <w:sz w:val="16"/>
          <w:szCs w:val="16"/>
        </w:rPr>
        <w:t>20 июня 1940 г. нализ аварии самолета СПБ № 2/1 конструктора Н.Н. Поликарпова, происшедшей 27 апреля 1940 г.</w:t>
      </w:r>
    </w:p>
    <w:p w14:paraId="67E7D200" w14:textId="77777777" w:rsidR="0046399E" w:rsidRPr="00DB5D0D" w:rsidRDefault="0046399E" w:rsidP="00DB5D0D">
      <w:pPr>
        <w:pStyle w:val="3a"/>
        <w:shd w:val="clear" w:color="auto" w:fill="auto"/>
        <w:spacing w:before="0" w:after="0" w:line="240" w:lineRule="auto"/>
        <w:jc w:val="both"/>
        <w:rPr>
          <w:color w:val="000000" w:themeColor="text1"/>
          <w:spacing w:val="0"/>
          <w:sz w:val="16"/>
          <w:szCs w:val="16"/>
        </w:rPr>
      </w:pPr>
      <w:r w:rsidRPr="00DB5D0D">
        <w:rPr>
          <w:color w:val="000000" w:themeColor="text1"/>
          <w:spacing w:val="0"/>
          <w:sz w:val="16"/>
          <w:szCs w:val="16"/>
        </w:rPr>
        <w:t>Авария самолета СПБ № 2/1</w:t>
      </w:r>
    </w:p>
    <w:p w14:paraId="43702A35"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апреля 1940 г. произошла авария двухмоторного самолета СПБ конструкции Поликарпова. Самолет построен на заводе № 22 и про</w:t>
      </w:r>
      <w:r w:rsidRPr="00DB5D0D">
        <w:rPr>
          <w:rFonts w:ascii="Times New Roman" w:hAnsi="Times New Roman"/>
          <w:color w:val="000000" w:themeColor="text1"/>
          <w:sz w:val="16"/>
          <w:szCs w:val="16"/>
        </w:rPr>
        <w:softHyphen/>
        <w:t>ходил заводские испытания. До аварии самолет совершил один полет и налетал 30 минут. Моторы М105 наработали на земле 55 минут, в возду</w:t>
      </w:r>
      <w:r w:rsidRPr="00DB5D0D">
        <w:rPr>
          <w:rFonts w:ascii="Times New Roman" w:hAnsi="Times New Roman"/>
          <w:color w:val="000000" w:themeColor="text1"/>
          <w:sz w:val="16"/>
          <w:szCs w:val="16"/>
        </w:rPr>
        <w:softHyphen/>
        <w:t>хе — 30 минут.</w:t>
      </w:r>
    </w:p>
    <w:p w14:paraId="411015C9"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находились: летчик-испытатель завода № 22 Герой Советского Союза полковник Головин П.Г., ведущий инженер Алексан</w:t>
      </w:r>
      <w:r w:rsidRPr="00DB5D0D">
        <w:rPr>
          <w:rFonts w:ascii="Times New Roman" w:hAnsi="Times New Roman"/>
          <w:color w:val="000000" w:themeColor="text1"/>
          <w:sz w:val="16"/>
          <w:szCs w:val="16"/>
        </w:rPr>
        <w:softHyphen/>
        <w:t>дров К.И. и бортмеханик Добров Н.Г.</w:t>
      </w:r>
    </w:p>
    <w:p w14:paraId="21209464"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Задание полета — определение управляемости и устойчивости са</w:t>
      </w:r>
      <w:r w:rsidRPr="00DB5D0D">
        <w:rPr>
          <w:rFonts w:ascii="Times New Roman" w:hAnsi="Times New Roman"/>
          <w:color w:val="000000" w:themeColor="text1"/>
          <w:sz w:val="16"/>
          <w:szCs w:val="16"/>
        </w:rPr>
        <w:softHyphen/>
        <w:t>молета, высота не ниже 2000 м[е]т[ров] И не выше 3000 м[е]т[ров], по</w:t>
      </w:r>
      <w:r w:rsidRPr="00DB5D0D">
        <w:rPr>
          <w:rFonts w:ascii="Times New Roman" w:hAnsi="Times New Roman"/>
          <w:color w:val="000000" w:themeColor="text1"/>
          <w:sz w:val="16"/>
          <w:szCs w:val="16"/>
        </w:rPr>
        <w:softHyphen/>
        <w:t>лет в зоне аэродрома.</w:t>
      </w:r>
    </w:p>
    <w:p w14:paraId="79E98808"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Вылетев с центрального аэродрома в 18.45 и набрав высоту, лет</w:t>
      </w:r>
      <w:r w:rsidRPr="00DB5D0D">
        <w:rPr>
          <w:rFonts w:ascii="Times New Roman" w:hAnsi="Times New Roman"/>
          <w:color w:val="000000" w:themeColor="text1"/>
          <w:sz w:val="16"/>
          <w:szCs w:val="16"/>
        </w:rPr>
        <w:softHyphen/>
        <w:t>чик сделал несколько виражей с креном до 70°. Через 25 минут поле</w:t>
      </w:r>
      <w:r w:rsidRPr="00DB5D0D">
        <w:rPr>
          <w:rFonts w:ascii="Times New Roman" w:hAnsi="Times New Roman"/>
          <w:color w:val="000000" w:themeColor="text1"/>
          <w:sz w:val="16"/>
          <w:szCs w:val="16"/>
        </w:rPr>
        <w:softHyphen/>
        <w:t>та самолет скрылся из глаз наблюдавших. В 19.15 самолет потерпел ка</w:t>
      </w:r>
      <w:r w:rsidRPr="00DB5D0D">
        <w:rPr>
          <w:rFonts w:ascii="Times New Roman" w:hAnsi="Times New Roman"/>
          <w:color w:val="000000" w:themeColor="text1"/>
          <w:sz w:val="16"/>
          <w:szCs w:val="16"/>
        </w:rPr>
        <w:softHyphen/>
        <w:t>тастрофу, упав на аэродром НИИ ГВФ. Самолет сгорел, экипаж погиб при падении.</w:t>
      </w:r>
    </w:p>
    <w:p w14:paraId="0F149498"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Комиссия на основании осмотра места катастрофы и опроса оче</w:t>
      </w:r>
      <w:r w:rsidRPr="00DB5D0D">
        <w:rPr>
          <w:rFonts w:ascii="Times New Roman" w:hAnsi="Times New Roman"/>
          <w:color w:val="000000" w:themeColor="text1"/>
          <w:sz w:val="16"/>
          <w:szCs w:val="16"/>
        </w:rPr>
        <w:softHyphen/>
        <w:t>видцев констатировала:</w:t>
      </w:r>
    </w:p>
    <w:p w14:paraId="23953E19" w14:textId="77777777" w:rsidR="0046399E" w:rsidRPr="00DB5D0D" w:rsidRDefault="0046399E" w:rsidP="00DB5D0D">
      <w:pPr>
        <w:tabs>
          <w:tab w:val="left" w:pos="783"/>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СПБ в штопорном положении, выйдя из облаков и не выходя из штопора, врезался в землю.</w:t>
      </w:r>
    </w:p>
    <w:p w14:paraId="2F7C055F" w14:textId="77777777" w:rsidR="0046399E" w:rsidRPr="00DB5D0D" w:rsidRDefault="0046399E" w:rsidP="00DB5D0D">
      <w:pPr>
        <w:tabs>
          <w:tab w:val="left" w:pos="80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ударе о землю самолет загорелся.</w:t>
      </w:r>
    </w:p>
    <w:p w14:paraId="43E6E182" w14:textId="77777777" w:rsidR="0046399E" w:rsidRPr="00DB5D0D" w:rsidRDefault="0046399E" w:rsidP="00DB5D0D">
      <w:pPr>
        <w:pStyle w:val="3a"/>
        <w:shd w:val="clear" w:color="auto" w:fill="auto"/>
        <w:spacing w:before="0" w:after="0" w:line="240" w:lineRule="auto"/>
        <w:jc w:val="both"/>
        <w:rPr>
          <w:color w:val="000000" w:themeColor="text1"/>
          <w:spacing w:val="0"/>
          <w:sz w:val="16"/>
          <w:szCs w:val="16"/>
        </w:rPr>
      </w:pPr>
      <w:bookmarkStart w:id="45" w:name="bookmark37"/>
      <w:r w:rsidRPr="00DB5D0D">
        <w:rPr>
          <w:color w:val="000000" w:themeColor="text1"/>
          <w:spacing w:val="0"/>
          <w:sz w:val="16"/>
          <w:szCs w:val="16"/>
        </w:rPr>
        <w:t>Материальная часть</w:t>
      </w:r>
      <w:bookmarkEnd w:id="45"/>
    </w:p>
    <w:p w14:paraId="0B660375" w14:textId="77777777" w:rsidR="0046399E" w:rsidRPr="00DB5D0D" w:rsidRDefault="0046399E" w:rsidP="00DB5D0D">
      <w:pPr>
        <w:tabs>
          <w:tab w:val="left" w:pos="84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Элероны, хвостовое оперение, рули высоты, рули направле</w:t>
      </w:r>
      <w:r w:rsidRPr="00DB5D0D">
        <w:rPr>
          <w:rFonts w:ascii="Times New Roman" w:hAnsi="Times New Roman"/>
          <w:color w:val="000000" w:themeColor="text1"/>
          <w:sz w:val="16"/>
          <w:szCs w:val="16"/>
        </w:rPr>
        <w:softHyphen/>
        <w:t>ния, триммеры в нормальном состоянии и не внушают сомне</w:t>
      </w:r>
      <w:r w:rsidRPr="00DB5D0D">
        <w:rPr>
          <w:rFonts w:ascii="Times New Roman" w:hAnsi="Times New Roman"/>
          <w:color w:val="000000" w:themeColor="text1"/>
          <w:sz w:val="16"/>
          <w:szCs w:val="16"/>
        </w:rPr>
        <w:softHyphen/>
        <w:t>ния в их исправности.</w:t>
      </w:r>
    </w:p>
    <w:p w14:paraId="639F6110" w14:textId="77777777" w:rsidR="0046399E" w:rsidRPr="00DB5D0D" w:rsidRDefault="0046399E" w:rsidP="00DB5D0D">
      <w:pPr>
        <w:tabs>
          <w:tab w:val="left" w:pos="8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Шасси и хвостовое колесо находились в положении «поднято» без каких-либо признаков на попытку выпустить их воздухом или аварийной лебедкой.</w:t>
      </w:r>
    </w:p>
    <w:p w14:paraId="745BA08A" w14:textId="77777777" w:rsidR="0046399E" w:rsidRPr="00DB5D0D" w:rsidRDefault="0046399E" w:rsidP="00DB5D0D">
      <w:pPr>
        <w:tabs>
          <w:tab w:val="left" w:pos="77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 снятых и осмотренных масляных фильтрах моторов не обна</w:t>
      </w:r>
      <w:r w:rsidRPr="00DB5D0D">
        <w:rPr>
          <w:rFonts w:ascii="Times New Roman" w:hAnsi="Times New Roman"/>
          <w:color w:val="000000" w:themeColor="text1"/>
          <w:sz w:val="16"/>
          <w:szCs w:val="16"/>
        </w:rPr>
        <w:softHyphen/>
        <w:t>ружено металлической стружки.</w:t>
      </w:r>
    </w:p>
    <w:p w14:paraId="7A2AC664"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из показаний очевидцев, явствует, что летчик опери</w:t>
      </w:r>
      <w:r w:rsidRPr="00DB5D0D">
        <w:rPr>
          <w:rFonts w:ascii="Times New Roman" w:hAnsi="Times New Roman"/>
          <w:color w:val="000000" w:themeColor="text1"/>
          <w:sz w:val="16"/>
          <w:szCs w:val="16"/>
        </w:rPr>
        <w:softHyphen/>
        <w:t>ровал газом на всем протяжении штопора машины. Моторы ра</w:t>
      </w:r>
      <w:r w:rsidRPr="00DB5D0D">
        <w:rPr>
          <w:rFonts w:ascii="Times New Roman" w:hAnsi="Times New Roman"/>
          <w:color w:val="000000" w:themeColor="text1"/>
          <w:sz w:val="16"/>
          <w:szCs w:val="16"/>
        </w:rPr>
        <w:softHyphen/>
        <w:t>ботали нормально.</w:t>
      </w:r>
    </w:p>
    <w:p w14:paraId="5609D8B2" w14:textId="77777777" w:rsidR="0046399E" w:rsidRPr="00DB5D0D" w:rsidRDefault="0046399E" w:rsidP="00DB5D0D">
      <w:pPr>
        <w:tabs>
          <w:tab w:val="left" w:pos="92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Барограф не был включен. При вскрытии оказался разрушен</w:t>
      </w:r>
      <w:r w:rsidRPr="00DB5D0D">
        <w:rPr>
          <w:rFonts w:ascii="Times New Roman" w:hAnsi="Times New Roman"/>
          <w:color w:val="000000" w:themeColor="text1"/>
          <w:sz w:val="16"/>
          <w:szCs w:val="16"/>
        </w:rPr>
        <w:softHyphen/>
        <w:t>ным.</w:t>
      </w:r>
    </w:p>
    <w:p w14:paraId="52CB13EF" w14:textId="77777777" w:rsidR="0046399E" w:rsidRPr="00DB5D0D" w:rsidRDefault="0046399E" w:rsidP="00DB5D0D">
      <w:pPr>
        <w:pStyle w:val="3a"/>
        <w:shd w:val="clear" w:color="auto" w:fill="auto"/>
        <w:spacing w:before="0" w:after="0" w:line="240" w:lineRule="auto"/>
        <w:jc w:val="both"/>
        <w:rPr>
          <w:color w:val="000000" w:themeColor="text1"/>
          <w:spacing w:val="0"/>
          <w:sz w:val="16"/>
          <w:szCs w:val="16"/>
        </w:rPr>
      </w:pPr>
      <w:r w:rsidRPr="00DB5D0D">
        <w:rPr>
          <w:color w:val="000000" w:themeColor="text1"/>
          <w:spacing w:val="0"/>
          <w:sz w:val="16"/>
          <w:szCs w:val="16"/>
        </w:rPr>
        <w:t>Выводы</w:t>
      </w:r>
    </w:p>
    <w:p w14:paraId="53C8878C" w14:textId="77777777" w:rsidR="0046399E" w:rsidRPr="00DB5D0D" w:rsidRDefault="0046399E" w:rsidP="00DB5D0D">
      <w:pPr>
        <w:tabs>
          <w:tab w:val="left" w:pos="94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Причиной катастрофы самолета СПБ комиссия считает пере</w:t>
      </w:r>
      <w:r w:rsidRPr="00DB5D0D">
        <w:rPr>
          <w:rFonts w:ascii="Times New Roman" w:hAnsi="Times New Roman"/>
          <w:color w:val="000000" w:themeColor="text1"/>
          <w:sz w:val="16"/>
          <w:szCs w:val="16"/>
        </w:rPr>
        <w:softHyphen/>
        <w:t>ход самолета в плоский штопор.</w:t>
      </w:r>
    </w:p>
    <w:p w14:paraId="4F04E9E3" w14:textId="77777777" w:rsidR="0046399E" w:rsidRPr="00DB5D0D" w:rsidRDefault="0046399E" w:rsidP="00DB5D0D">
      <w:pPr>
        <w:tabs>
          <w:tab w:val="left" w:pos="94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Причиной срыва в штопор могли послужить следующие обсто</w:t>
      </w:r>
      <w:r w:rsidRPr="00DB5D0D">
        <w:rPr>
          <w:rFonts w:ascii="Times New Roman" w:hAnsi="Times New Roman"/>
          <w:color w:val="000000" w:themeColor="text1"/>
          <w:sz w:val="16"/>
          <w:szCs w:val="16"/>
        </w:rPr>
        <w:softHyphen/>
        <w:t>ятельства:</w:t>
      </w:r>
    </w:p>
    <w:p w14:paraId="0A8D961D" w14:textId="77777777" w:rsidR="0046399E" w:rsidRPr="00DB5D0D" w:rsidRDefault="0046399E" w:rsidP="00DB5D0D">
      <w:pPr>
        <w:tabs>
          <w:tab w:val="left" w:pos="99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Попадание самолета в облачность, приведшее в силу про</w:t>
      </w:r>
      <w:r w:rsidRPr="00DB5D0D">
        <w:rPr>
          <w:rFonts w:ascii="Times New Roman" w:hAnsi="Times New Roman"/>
          <w:color w:val="000000" w:themeColor="text1"/>
          <w:sz w:val="16"/>
          <w:szCs w:val="16"/>
        </w:rPr>
        <w:softHyphen/>
        <w:t>дольной неустойчивости самолета (последнее подтвержде</w:t>
      </w:r>
      <w:r w:rsidRPr="00DB5D0D">
        <w:rPr>
          <w:rFonts w:ascii="Times New Roman" w:hAnsi="Times New Roman"/>
          <w:color w:val="000000" w:themeColor="text1"/>
          <w:sz w:val="16"/>
          <w:szCs w:val="16"/>
        </w:rPr>
        <w:softHyphen/>
        <w:t>но летчиками-испытателями самолета СПБ тов. Кудриным и Липкиным) к срыву.</w:t>
      </w:r>
    </w:p>
    <w:p w14:paraId="74C4988B" w14:textId="77777777" w:rsidR="0046399E" w:rsidRPr="00DB5D0D" w:rsidRDefault="0046399E" w:rsidP="00DB5D0D">
      <w:pPr>
        <w:tabs>
          <w:tab w:val="left" w:pos="95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Срыв мог произойти также с виража в результате недостаточно точного пилотирования самолета летчиком т. Головиным из-за недостаточной продольной устойчивости самолета СПБ.</w:t>
      </w:r>
    </w:p>
    <w:p w14:paraId="351D0DAC" w14:textId="77777777" w:rsidR="0046399E" w:rsidRPr="00DB5D0D" w:rsidRDefault="0046399E" w:rsidP="00DB5D0D">
      <w:pPr>
        <w:tabs>
          <w:tab w:val="left" w:pos="985"/>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3.Попытка вывести машину из плоского штопора успехом не увенчалась, и самолет врезался в землю с плоского штопора.</w:t>
      </w:r>
    </w:p>
    <w:p w14:paraId="36A25F05" w14:textId="77777777" w:rsidR="0046399E" w:rsidRPr="00DB5D0D" w:rsidRDefault="0046399E" w:rsidP="00DB5D0D">
      <w:pPr>
        <w:tabs>
          <w:tab w:val="left" w:pos="79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4.Убедившись в невозможности справиться с плоским штопором машины, тов. Головин решил выброситься с парашютом, но покинув самолет и открыв парашют слишком поздно, зацепился стропами и ку</w:t>
      </w:r>
      <w:r w:rsidRPr="00DB5D0D">
        <w:rPr>
          <w:rFonts w:ascii="Times New Roman" w:hAnsi="Times New Roman"/>
          <w:color w:val="000000" w:themeColor="text1"/>
          <w:sz w:val="16"/>
          <w:szCs w:val="16"/>
        </w:rPr>
        <w:softHyphen/>
        <w:t>полом парашюта за самолет и погиб.</w:t>
      </w:r>
    </w:p>
    <w:p w14:paraId="0E240D00" w14:textId="77777777" w:rsidR="0046399E" w:rsidRPr="00DB5D0D" w:rsidRDefault="0046399E" w:rsidP="00DB5D0D">
      <w:pPr>
        <w:pStyle w:val="3a"/>
        <w:shd w:val="clear" w:color="auto" w:fill="auto"/>
        <w:spacing w:before="0" w:after="0" w:line="240" w:lineRule="auto"/>
        <w:jc w:val="both"/>
        <w:rPr>
          <w:color w:val="000000" w:themeColor="text1"/>
          <w:spacing w:val="0"/>
          <w:sz w:val="16"/>
          <w:szCs w:val="16"/>
        </w:rPr>
      </w:pPr>
      <w:r w:rsidRPr="00DB5D0D">
        <w:rPr>
          <w:color w:val="000000" w:themeColor="text1"/>
          <w:spacing w:val="0"/>
          <w:sz w:val="16"/>
          <w:szCs w:val="16"/>
        </w:rPr>
        <w:t>Заключение</w:t>
      </w:r>
    </w:p>
    <w:p w14:paraId="181365BC" w14:textId="77777777" w:rsidR="0046399E" w:rsidRPr="00DB5D0D" w:rsidRDefault="0046399E" w:rsidP="00DB5D0D">
      <w:pPr>
        <w:tabs>
          <w:tab w:val="left" w:pos="803"/>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Заводские летние испытания самолетов СПБ 2/0,1/1 и 3/1 про</w:t>
      </w:r>
      <w:r w:rsidRPr="00DB5D0D">
        <w:rPr>
          <w:rFonts w:ascii="Times New Roman" w:hAnsi="Times New Roman"/>
          <w:color w:val="000000" w:themeColor="text1"/>
          <w:sz w:val="16"/>
          <w:szCs w:val="16"/>
        </w:rPr>
        <w:softHyphen/>
        <w:t>должать, недопуская полетов в облаках и за облаками.</w:t>
      </w:r>
    </w:p>
    <w:p w14:paraId="3B32A1A2" w14:textId="77777777" w:rsidR="0046399E" w:rsidRPr="00DB5D0D" w:rsidRDefault="0046399E" w:rsidP="00DB5D0D">
      <w:pPr>
        <w:tabs>
          <w:tab w:val="left" w:pos="86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Одобрить решение директора завода № 22 о запрещении ис</w:t>
      </w:r>
      <w:r w:rsidRPr="00DB5D0D">
        <w:rPr>
          <w:rFonts w:ascii="Times New Roman" w:hAnsi="Times New Roman"/>
          <w:color w:val="000000" w:themeColor="text1"/>
          <w:sz w:val="16"/>
          <w:szCs w:val="16"/>
        </w:rPr>
        <w:softHyphen/>
        <w:t>пытательных полетов машины 1/0, ввиду выявленной тенденции маши</w:t>
      </w:r>
      <w:r w:rsidRPr="00DB5D0D">
        <w:rPr>
          <w:rFonts w:ascii="Times New Roman" w:hAnsi="Times New Roman"/>
          <w:color w:val="000000" w:themeColor="text1"/>
          <w:sz w:val="16"/>
          <w:szCs w:val="16"/>
        </w:rPr>
        <w:softHyphen/>
        <w:t>ны к пикированию на больших скоростях, до устранения в нивелировке "значительных отклонений от нормы</w:t>
      </w:r>
    </w:p>
    <w:p w14:paraId="206F9081" w14:textId="77777777" w:rsidR="0046399E" w:rsidRPr="00DB5D0D" w:rsidRDefault="0046399E" w:rsidP="00DB5D0D">
      <w:pPr>
        <w:tabs>
          <w:tab w:val="left" w:pos="85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Обязать главного конструктора т. Поликарпова немедленно продуть в натуру в аэродинамической трубе на продольную устойчивость самолет СПБ, получить заключение ЦАГИ и внести все необхо</w:t>
      </w:r>
      <w:r w:rsidRPr="00DB5D0D">
        <w:rPr>
          <w:rFonts w:ascii="Times New Roman" w:hAnsi="Times New Roman"/>
          <w:color w:val="000000" w:themeColor="text1"/>
          <w:sz w:val="16"/>
          <w:szCs w:val="16"/>
        </w:rPr>
        <w:softHyphen/>
        <w:t>димые конструктивные изменения.</w:t>
      </w:r>
    </w:p>
    <w:p w14:paraId="730777BB"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гл. конструктора т. Поликарпова просчитать самолет СПБ на штопор и получить заключение ЦАГИ.</w:t>
      </w:r>
    </w:p>
    <w:p w14:paraId="00893D18" w14:textId="77777777" w:rsidR="0046399E" w:rsidRPr="00DB5D0D" w:rsidRDefault="0046399E" w:rsidP="00DB5D0D">
      <w:pPr>
        <w:pStyle w:val="3a"/>
        <w:shd w:val="clear" w:color="auto" w:fill="auto"/>
        <w:spacing w:before="0" w:after="0" w:line="240" w:lineRule="auto"/>
        <w:jc w:val="both"/>
        <w:rPr>
          <w:color w:val="000000" w:themeColor="text1"/>
          <w:spacing w:val="0"/>
          <w:sz w:val="16"/>
          <w:szCs w:val="16"/>
        </w:rPr>
      </w:pPr>
      <w:r w:rsidRPr="00DB5D0D">
        <w:rPr>
          <w:color w:val="000000" w:themeColor="text1"/>
          <w:spacing w:val="0"/>
          <w:sz w:val="16"/>
          <w:szCs w:val="16"/>
        </w:rPr>
        <w:t>Заключение группы по изучению аварий ЦАГИ</w:t>
      </w:r>
    </w:p>
    <w:p w14:paraId="2BF97472"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Продувки самолета в натуру в трубе Т-101 ЦАГИ подтверждают показания пилотов о неустойчивости самолета в моторном полете. Дей</w:t>
      </w:r>
      <w:r w:rsidRPr="00DB5D0D">
        <w:rPr>
          <w:rFonts w:ascii="Times New Roman" w:hAnsi="Times New Roman"/>
          <w:color w:val="000000" w:themeColor="text1"/>
          <w:sz w:val="16"/>
          <w:szCs w:val="16"/>
        </w:rPr>
        <w:softHyphen/>
        <w:t>ствительно, самолет, устойчивый при планировании, в моторном поле</w:t>
      </w:r>
      <w:r w:rsidRPr="00DB5D0D">
        <w:rPr>
          <w:rFonts w:ascii="Times New Roman" w:hAnsi="Times New Roman"/>
          <w:color w:val="000000" w:themeColor="text1"/>
          <w:sz w:val="16"/>
          <w:szCs w:val="16"/>
        </w:rPr>
        <w:softHyphen/>
        <w:t>те сильно неустойчив на всех режимах.</w:t>
      </w:r>
    </w:p>
    <w:p w14:paraId="1BF51222"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Фотографии спектра крыла показывают, что на углах атаки прибли</w:t>
      </w:r>
      <w:r w:rsidRPr="00DB5D0D">
        <w:rPr>
          <w:rFonts w:ascii="Times New Roman" w:hAnsi="Times New Roman"/>
          <w:color w:val="000000" w:themeColor="text1"/>
          <w:sz w:val="16"/>
          <w:szCs w:val="16"/>
        </w:rPr>
        <w:softHyphen/>
        <w:t>зительно 10-12° начинается срыв потока около фюзеляжа. При</w:t>
      </w:r>
      <w:r w:rsidRPr="00DB5D0D">
        <w:rPr>
          <w:rStyle w:val="aff9"/>
          <w:rFonts w:ascii="Times New Roman" w:hAnsi="Times New Roman" w:cs="Times New Roman"/>
          <w:b w:val="0"/>
          <w:color w:val="000000" w:themeColor="text1"/>
          <w:spacing w:val="0"/>
          <w:sz w:val="16"/>
          <w:szCs w:val="16"/>
        </w:rPr>
        <w:t xml:space="preserve"> ф</w:t>
      </w:r>
      <w:r w:rsidRPr="00DB5D0D">
        <w:rPr>
          <w:rFonts w:ascii="Times New Roman" w:hAnsi="Times New Roman"/>
          <w:color w:val="000000" w:themeColor="text1"/>
          <w:sz w:val="16"/>
          <w:szCs w:val="16"/>
        </w:rPr>
        <w:t xml:space="preserve"> = 16° за</w:t>
      </w:r>
      <w:r w:rsidRPr="00DB5D0D">
        <w:rPr>
          <w:rFonts w:ascii="Times New Roman" w:hAnsi="Times New Roman"/>
          <w:color w:val="000000" w:themeColor="text1"/>
          <w:sz w:val="16"/>
          <w:szCs w:val="16"/>
        </w:rPr>
        <w:softHyphen/>
        <w:t>метно нарушается обтекание в области перехода от крыла к фюзеляжу. Остальное крыло обтекается устойчиво. На больших углах спектр не мог быть получен, т.к. конструкция кронштейнов весов не допускала уста</w:t>
      </w:r>
      <w:r w:rsidRPr="00DB5D0D">
        <w:rPr>
          <w:rFonts w:ascii="Times New Roman" w:hAnsi="Times New Roman"/>
          <w:color w:val="000000" w:themeColor="text1"/>
          <w:sz w:val="16"/>
          <w:szCs w:val="16"/>
        </w:rPr>
        <w:softHyphen/>
        <w:t>новки самолета на большие углы атаки. Это обстоятельство не дает воз</w:t>
      </w:r>
      <w:r w:rsidRPr="00DB5D0D">
        <w:rPr>
          <w:rFonts w:ascii="Times New Roman" w:hAnsi="Times New Roman"/>
          <w:color w:val="000000" w:themeColor="text1"/>
          <w:sz w:val="16"/>
          <w:szCs w:val="16"/>
        </w:rPr>
        <w:softHyphen/>
        <w:t>можности заключить, когда и как начинается потеря управляемости у самолета.</w:t>
      </w:r>
    </w:p>
    <w:p w14:paraId="23C563BB"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точно причину аварии невозможно. Из показаний свидетелей видно, что пилот делал попытки вывести самолет из што</w:t>
      </w:r>
      <w:r w:rsidRPr="00DB5D0D">
        <w:rPr>
          <w:rFonts w:ascii="Times New Roman" w:hAnsi="Times New Roman"/>
          <w:color w:val="000000" w:themeColor="text1"/>
          <w:sz w:val="16"/>
          <w:szCs w:val="16"/>
        </w:rPr>
        <w:softHyphen/>
        <w:t>пора. Из этого следует, что управление самолетом работало.</w:t>
      </w:r>
    </w:p>
    <w:p w14:paraId="668FAFB2"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Известно, что пилот начал работать по испытанию опытных са</w:t>
      </w:r>
      <w:r w:rsidRPr="00DB5D0D">
        <w:rPr>
          <w:rFonts w:ascii="Times New Roman" w:hAnsi="Times New Roman"/>
          <w:color w:val="000000" w:themeColor="text1"/>
          <w:sz w:val="16"/>
          <w:szCs w:val="16"/>
        </w:rPr>
        <w:softHyphen/>
        <w:t>молетов недавно и имел малый налет на новейших скоростных маши</w:t>
      </w:r>
      <w:r w:rsidRPr="00DB5D0D">
        <w:rPr>
          <w:rFonts w:ascii="Times New Roman" w:hAnsi="Times New Roman"/>
          <w:color w:val="000000" w:themeColor="text1"/>
          <w:sz w:val="16"/>
          <w:szCs w:val="16"/>
        </w:rPr>
        <w:softHyphen/>
        <w:t>нах, с большом нагрузкой на I кв.м крыла.</w:t>
      </w:r>
    </w:p>
    <w:p w14:paraId="31542F0C"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По-видимому, в полете в облаках, при сильной продольной неу</w:t>
      </w:r>
      <w:r w:rsidRPr="00DB5D0D">
        <w:rPr>
          <w:rFonts w:ascii="Times New Roman" w:hAnsi="Times New Roman"/>
          <w:color w:val="000000" w:themeColor="text1"/>
          <w:sz w:val="16"/>
          <w:szCs w:val="16"/>
        </w:rPr>
        <w:softHyphen/>
        <w:t>стойчивости самолета, он допустил потерю скорости и не справился с выводом из штопора.</w:t>
      </w:r>
    </w:p>
    <w:p w14:paraId="059DA665" w14:textId="77777777" w:rsidR="0046399E" w:rsidRPr="00DB5D0D" w:rsidRDefault="0046399E" w:rsidP="00DB5D0D">
      <w:pPr>
        <w:spacing w:after="0" w:line="240" w:lineRule="auto"/>
        <w:jc w:val="both"/>
        <w:rPr>
          <w:rStyle w:val="3f0"/>
          <w:i w:val="0"/>
          <w:color w:val="000000" w:themeColor="text1"/>
          <w:spacing w:val="0"/>
          <w:sz w:val="16"/>
          <w:szCs w:val="16"/>
        </w:rPr>
      </w:pPr>
      <w:r w:rsidRPr="00DB5D0D">
        <w:rPr>
          <w:rStyle w:val="3f0"/>
          <w:i w:val="0"/>
          <w:color w:val="000000" w:themeColor="text1"/>
          <w:spacing w:val="0"/>
          <w:sz w:val="16"/>
          <w:szCs w:val="16"/>
        </w:rPr>
        <w:t>Подпись не разборчива</w:t>
      </w:r>
    </w:p>
    <w:p w14:paraId="0C052BAA" w14:textId="77777777" w:rsidR="0046399E" w:rsidRPr="00DB5D0D" w:rsidRDefault="0046399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Филиал РГАНТД. Ф. Р-217. Оп. 1-6. Д. 26. Л. 39-42. Подлинник (15633).</w:t>
      </w:r>
    </w:p>
    <w:p w14:paraId="3D68CA5C" w14:textId="77777777" w:rsidR="0046399E" w:rsidRPr="00DB5D0D" w:rsidRDefault="0046399E" w:rsidP="00DB5D0D">
      <w:pPr>
        <w:pStyle w:val="3a"/>
        <w:shd w:val="clear" w:color="auto" w:fill="auto"/>
        <w:spacing w:before="0" w:after="0" w:line="240" w:lineRule="auto"/>
        <w:jc w:val="both"/>
        <w:rPr>
          <w:color w:val="000000" w:themeColor="text1"/>
          <w:spacing w:val="0"/>
          <w:sz w:val="16"/>
          <w:szCs w:val="16"/>
        </w:rPr>
      </w:pPr>
    </w:p>
    <w:p w14:paraId="78280EB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 Начальник ГУАС комдив Алексеев и Комиссар ГУАС бригкомиссар Князев 22 июня 1940 года утвердил Отчет по оборудованию самолетов СБ и ДБ-3 антиобледенительным устройством по схеме НИИ ГВФ (6761).</w:t>
      </w:r>
    </w:p>
    <w:p w14:paraId="33C8DCB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Исполнители:</w:t>
      </w:r>
    </w:p>
    <w:p w14:paraId="3BC843B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Соколов</w:t>
      </w:r>
    </w:p>
    <w:p w14:paraId="0CDA277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1 ранга Князев</w:t>
      </w:r>
    </w:p>
    <w:p w14:paraId="28288FE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работы</w:t>
      </w:r>
    </w:p>
    <w:p w14:paraId="3724F63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Разработать материалы протектора антиобледенителя и технологию их склеивания.</w:t>
      </w:r>
    </w:p>
    <w:p w14:paraId="20078F41"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Изыскать, взамен американского, отечественный клей для склеивания деталей антиобледенительного устройства и технологию его применения.</w:t>
      </w:r>
    </w:p>
    <w:p w14:paraId="5D0F653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Оборудовать антиобледенительным устройством НИИ ГВФ плоскости крыла, киля, стабилизатора и лопасти винта самолета СБ и ДБ-3.</w:t>
      </w:r>
    </w:p>
    <w:p w14:paraId="32AAB61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системы антиобледенителя в условиях эксплуатации самолетов.</w:t>
      </w:r>
    </w:p>
    <w:p w14:paraId="5A18524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219DB1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Рекомендовать антиобледенительное устройство, изготовленное по схеме НИИ ГВФ для оборудования им самолетов СБ и ДБ-3 (6761).</w:t>
      </w:r>
    </w:p>
    <w:p w14:paraId="64F6E502"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p w14:paraId="6EBC6E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Дир. завода 22 Окулов писал письмо N 6803с Нач. ПГУ ГУАС КА Лапину на письмо ГУАС N 507239 от 17 июня и сообщил, что для исследования причин дефектов в ЦАГИ 18 июня 1940 был направлен самолет N 8/293." (1172,2).</w:t>
      </w:r>
    </w:p>
    <w:p w14:paraId="4DD6808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0E72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состоялся последний полет И-152ДМ с ПВРД И.А.Меркулова (366,45).</w:t>
      </w:r>
    </w:p>
    <w:p w14:paraId="7A3AF60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2FC59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20 июня по 18 июля 1940 проходили заводские испытания И-153 М-62 с ГК (2090,232).</w:t>
      </w:r>
    </w:p>
    <w:p w14:paraId="66048AA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4822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на заводские испытания был передан И-153 М-62 с гермокабиной (2090,133).</w:t>
      </w:r>
    </w:p>
    <w:p w14:paraId="055AAFF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1C4A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20 июня по 30 июля 1940 года проходили гос. испытания самолета И-153 с герметической кабиной конструкции инженера Щербакова</w:t>
      </w:r>
    </w:p>
    <w:p w14:paraId="6F61FE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D6634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эксплуатационные свойства герметической кабины, особенно в части жизненных условий в ней, герметичность кабины, запотеваемость окон и возможности выполнения боевой работы летчиком на всех высотах.</w:t>
      </w:r>
    </w:p>
    <w:p w14:paraId="74FEE9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 предъявлен заводом № 289 НКАП самолет И-153 с мотором М-62 № 6028, снабженный герметической кабиной конструкции инженера Щербакова.</w:t>
      </w:r>
    </w:p>
    <w:p w14:paraId="725740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85BFAD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оборудования герметической кабиной самолета И-153 и результаты испытания его признать удовлетворительными.</w:t>
      </w:r>
    </w:p>
    <w:p w14:paraId="1BB3C68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Герметическая кабина позволяет полностью использовать потолок самолета для боевой работы.</w:t>
      </w:r>
    </w:p>
    <w:p w14:paraId="5AD405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6975"/>
      </w:tblGrid>
      <w:tr w:rsidR="007D5DF8" w:rsidRPr="00DB5D0D" w14:paraId="2A46D11D" w14:textId="77777777" w:rsidTr="009223E5">
        <w:tc>
          <w:tcPr>
            <w:tcW w:w="1809" w:type="dxa"/>
            <w:tcBorders>
              <w:top w:val="single" w:sz="12" w:space="0" w:color="auto"/>
            </w:tcBorders>
          </w:tcPr>
          <w:p w14:paraId="12E405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6975" w:type="dxa"/>
            <w:tcBorders>
              <w:top w:val="single" w:sz="12" w:space="0" w:color="auto"/>
            </w:tcBorders>
          </w:tcPr>
          <w:p w14:paraId="50AA24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381F35CC" w14:textId="77777777" w:rsidTr="009223E5">
        <w:tc>
          <w:tcPr>
            <w:tcW w:w="1809" w:type="dxa"/>
          </w:tcPr>
          <w:p w14:paraId="79D109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w:t>
            </w:r>
          </w:p>
        </w:tc>
        <w:tc>
          <w:tcPr>
            <w:tcW w:w="6975" w:type="dxa"/>
          </w:tcPr>
          <w:p w14:paraId="6357BD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принят на испытания.</w:t>
            </w:r>
          </w:p>
        </w:tc>
      </w:tr>
      <w:tr w:rsidR="007D5DF8" w:rsidRPr="00DB5D0D" w14:paraId="6EE931DE" w14:textId="77777777" w:rsidTr="009223E5">
        <w:tc>
          <w:tcPr>
            <w:tcW w:w="1809" w:type="dxa"/>
          </w:tcPr>
          <w:p w14:paraId="205FAC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6975" w:type="dxa"/>
          </w:tcPr>
          <w:p w14:paraId="115B19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Ознакомительный полет с открытым фонарем. Высота 3000 м.</w:t>
            </w:r>
          </w:p>
        </w:tc>
      </w:tr>
      <w:tr w:rsidR="007D5DF8" w:rsidRPr="00DB5D0D" w14:paraId="3CB985DF" w14:textId="77777777" w:rsidTr="009223E5">
        <w:tc>
          <w:tcPr>
            <w:tcW w:w="1809" w:type="dxa"/>
          </w:tcPr>
          <w:p w14:paraId="032B02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6975" w:type="dxa"/>
          </w:tcPr>
          <w:p w14:paraId="23FD05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открытия и закрытия фонаря кабины на различных скоростях. Высота 4000 м.</w:t>
            </w:r>
          </w:p>
        </w:tc>
      </w:tr>
      <w:tr w:rsidR="007D5DF8" w:rsidRPr="00DB5D0D" w14:paraId="4AB28546" w14:textId="77777777" w:rsidTr="009223E5">
        <w:tc>
          <w:tcPr>
            <w:tcW w:w="1809" w:type="dxa"/>
          </w:tcPr>
          <w:p w14:paraId="34519B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6975" w:type="dxa"/>
          </w:tcPr>
          <w:p w14:paraId="39BAB4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условий полета на больших высотах. Высота 8000 м.</w:t>
            </w:r>
          </w:p>
        </w:tc>
      </w:tr>
      <w:tr w:rsidR="007D5DF8" w:rsidRPr="00DB5D0D" w14:paraId="7F78562E" w14:textId="77777777" w:rsidTr="009223E5">
        <w:tc>
          <w:tcPr>
            <w:tcW w:w="1809" w:type="dxa"/>
          </w:tcPr>
          <w:p w14:paraId="3DAFB7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6975" w:type="dxa"/>
          </w:tcPr>
          <w:p w14:paraId="191616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загерметизированной кабине на потолок самолета. Высота 10700 м.</w:t>
            </w:r>
          </w:p>
        </w:tc>
      </w:tr>
      <w:tr w:rsidR="007D5DF8" w:rsidRPr="00DB5D0D" w14:paraId="6C57AE2B" w14:textId="77777777" w:rsidTr="009223E5">
        <w:tc>
          <w:tcPr>
            <w:tcW w:w="1809" w:type="dxa"/>
          </w:tcPr>
          <w:p w14:paraId="468F1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w:t>
            </w:r>
          </w:p>
        </w:tc>
        <w:tc>
          <w:tcPr>
            <w:tcW w:w="6975" w:type="dxa"/>
          </w:tcPr>
          <w:p w14:paraId="7A38B3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пилотажных качеств самолета с закрытым и открытым фонарем. Высота 7000 м.</w:t>
            </w:r>
          </w:p>
        </w:tc>
      </w:tr>
      <w:tr w:rsidR="007D5DF8" w:rsidRPr="00DB5D0D" w14:paraId="2F9E0B1D" w14:textId="77777777" w:rsidTr="009223E5">
        <w:tc>
          <w:tcPr>
            <w:tcW w:w="1809" w:type="dxa"/>
          </w:tcPr>
          <w:p w14:paraId="7AC1A6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6975" w:type="dxa"/>
          </w:tcPr>
          <w:p w14:paraId="720B1E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 Высота 7000 м.</w:t>
            </w:r>
          </w:p>
        </w:tc>
      </w:tr>
      <w:tr w:rsidR="007D5DF8" w:rsidRPr="00DB5D0D" w14:paraId="0CEA930E" w14:textId="77777777" w:rsidTr="009223E5">
        <w:tc>
          <w:tcPr>
            <w:tcW w:w="1809" w:type="dxa"/>
          </w:tcPr>
          <w:p w14:paraId="5D1D1F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6975" w:type="dxa"/>
          </w:tcPr>
          <w:p w14:paraId="4155A0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Учебно-боевой полет в загерметизированной кабине. Высота полета 8000 м.</w:t>
            </w:r>
          </w:p>
        </w:tc>
      </w:tr>
      <w:tr w:rsidR="007D5DF8" w:rsidRPr="00DB5D0D" w14:paraId="329F7CF6" w14:textId="77777777" w:rsidTr="009223E5">
        <w:tc>
          <w:tcPr>
            <w:tcW w:w="1809" w:type="dxa"/>
          </w:tcPr>
          <w:p w14:paraId="1E1842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6975" w:type="dxa"/>
          </w:tcPr>
          <w:p w14:paraId="23C0B2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полет по программе облета. Летчик ст. лейтенант Сушков. Высота 10000 м.</w:t>
            </w:r>
          </w:p>
        </w:tc>
      </w:tr>
      <w:tr w:rsidR="007D5DF8" w:rsidRPr="00DB5D0D" w14:paraId="73CBF982" w14:textId="77777777" w:rsidTr="009223E5">
        <w:tc>
          <w:tcPr>
            <w:tcW w:w="1809" w:type="dxa"/>
          </w:tcPr>
          <w:p w14:paraId="2B89B6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6975" w:type="dxa"/>
          </w:tcPr>
          <w:p w14:paraId="5D1E70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полет по программе облета. Летчик капитан Дубовой. Высота 9300 м.</w:t>
            </w:r>
          </w:p>
        </w:tc>
      </w:tr>
      <w:tr w:rsidR="007D5DF8" w:rsidRPr="00DB5D0D" w14:paraId="44CADF2B" w14:textId="77777777" w:rsidTr="009223E5">
        <w:tc>
          <w:tcPr>
            <w:tcW w:w="1809" w:type="dxa"/>
            <w:tcBorders>
              <w:bottom w:val="single" w:sz="12" w:space="0" w:color="auto"/>
            </w:tcBorders>
          </w:tcPr>
          <w:p w14:paraId="732FF0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w:t>
            </w:r>
          </w:p>
        </w:tc>
        <w:tc>
          <w:tcPr>
            <w:tcW w:w="6975" w:type="dxa"/>
            <w:tcBorders>
              <w:bottom w:val="single" w:sz="12" w:space="0" w:color="auto"/>
            </w:tcBorders>
          </w:tcPr>
          <w:p w14:paraId="11249D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полет по программе облета. Летчик майор Супрун. Высота 10100 м.</w:t>
            </w:r>
          </w:p>
        </w:tc>
      </w:tr>
    </w:tbl>
    <w:p w14:paraId="35E041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Всего от начала до конца испытаний – 9 дней, из них летных – 6 (4566).</w:t>
      </w:r>
    </w:p>
    <w:p w14:paraId="77320D6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3A0E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20 по 30 июля 1940 года проходили полеты переоборудованной "Чайки" (зав. №6034) И-153ГК в рамках госиспытаний. Летчики, в числе которых был уже известный тогда Степан Супрун, отметили, что летные качества И-153 практически не изменились. Устойчивость машины, несмотря на смещение центровки назад более чем на 2%САХ, осталась прежней. Обзор вперед за счет установки прицела ПАН-22 в специальном кожухе ухудшился, зато назад стал лучше, тем более, что вертеться в легком комбинезоне было несравнимо легче, чем в толстом зимнем обмундировании.</w:t>
      </w:r>
    </w:p>
    <w:p w14:paraId="0C5980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летчики выполнили 11 полетов, 9 из них на предельную высоту - более 10 километров. Проведенные учебные бои с И-16 и стандартными И-153 явились скорее данью традиционным видам испытаний, ибо выявить какие-либо особенности, кроме уже упомянутого выше незначительного ухудшения обзора, за столь короткий срок было практически невозможно. Зато все пилоты отмечали малый шум в кабине и отсутствие усталости после пребывания на большой высоте. Супрун, слетавший 30 июля на высоту 10 километров, был приятно удивлен, что ему не требуется обычный отдых после высотного полета и уже через 20 минут он вылетел на немецком Не 100, проходившем испытания в НИИ ВВС.</w:t>
      </w:r>
    </w:p>
    <w:p w14:paraId="6090EE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Хотя по результатам испытаний рекомендовалось выпустить небольшое количество "Чаек" с гермокабиной для накопления опыта эксплуатации, серии не последовало и, по имеющимся у автора данным, И-153 №6034 остался в единственном экземпляре (12014).</w:t>
      </w:r>
    </w:p>
    <w:p w14:paraId="3322FDC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6FB6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в ходе гос. испытаний И-301 М-105 П, которые проводились в НИИ ВВС с 14 по 27 июня 1940 л Супруном и П.М.Стефановским были полеты: на километраж; полет на 8000 м и вынужденная посадка без пользования тормозами, т.к. лопнула воздушная трубка. шасси не убралось; полет на 8000 м и скорости по высотам; определение взлетно-посадочных свойств. Готовили к испытаниям на расход горючего, устраняли неисправности (2922).</w:t>
      </w:r>
    </w:p>
    <w:p w14:paraId="38B677B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B1ACA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вышел приказ НКАП N 305сс "О внедрении в серийное производство самолета И-26" (1002,2).</w:t>
      </w:r>
    </w:p>
    <w:p w14:paraId="5DD4542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ACF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закончились заводские испытания И-188 М-88ТК, которые шли с 10 февраля 1940 (2090,232).</w:t>
      </w:r>
    </w:p>
    <w:p w14:paraId="46AC134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26B4C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 Е.Г.Уляхин на опытном И-180 Е-3 с новым оперением (по ука</w:t>
      </w:r>
      <w:r w:rsidRPr="00DB5D0D">
        <w:rPr>
          <w:rFonts w:ascii="Times New Roman" w:hAnsi="Times New Roman"/>
          <w:color w:val="000000" w:themeColor="text1"/>
          <w:sz w:val="16"/>
          <w:szCs w:val="16"/>
        </w:rPr>
        <w:softHyphen/>
        <w:t>занию Поликарпова завод № 1 изготовил горизонталь</w:t>
      </w:r>
      <w:r w:rsidRPr="00DB5D0D">
        <w:rPr>
          <w:rFonts w:ascii="Times New Roman" w:hAnsi="Times New Roman"/>
          <w:color w:val="000000" w:themeColor="text1"/>
          <w:sz w:val="16"/>
          <w:szCs w:val="16"/>
        </w:rPr>
        <w:softHyphen/>
        <w:t>ное оперение с размахом 4,3 метра по сравнению с размахом прежнего -3,5 м) совершил один полет, продолжав</w:t>
      </w:r>
      <w:r w:rsidRPr="00DB5D0D">
        <w:rPr>
          <w:rFonts w:ascii="Times New Roman" w:hAnsi="Times New Roman"/>
          <w:color w:val="000000" w:themeColor="text1"/>
          <w:sz w:val="16"/>
          <w:szCs w:val="16"/>
        </w:rPr>
        <w:softHyphen/>
        <w:t>шийся чуть более четырех минут. Ввиду нарастающих вибраций оперения, летчик был вынужден экстренно посадить машину. Дальнейшие работы в этом направле</w:t>
      </w:r>
      <w:r w:rsidRPr="00DB5D0D">
        <w:rPr>
          <w:rFonts w:ascii="Times New Roman" w:hAnsi="Times New Roman"/>
          <w:color w:val="000000" w:themeColor="text1"/>
          <w:sz w:val="16"/>
          <w:szCs w:val="16"/>
        </w:rPr>
        <w:softHyphen/>
        <w:t>нии пришлось прекратить (10667).</w:t>
      </w:r>
    </w:p>
    <w:p w14:paraId="7972EF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95310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 генерал-лейтенант авиации Алексеев и бригадный комиссар Князев писали письмо № 501616с наркому обороны маршалу Тимошенко</w:t>
      </w:r>
    </w:p>
    <w:p w14:paraId="12A23D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Представляя протокол заседания Технического совета при НИИ ГУАС по самолету И-28 М-88 конструкции Яценко, докладываю, что постановлением КО за № 235сс от 29 мая 1940 года самолет И-28 М-88 с серийного производства снят.</w:t>
      </w:r>
    </w:p>
    <w:p w14:paraId="752B20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протокол № 5 на 3 листах.</w:t>
      </w:r>
    </w:p>
    <w:p w14:paraId="128A75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года протокол № 5 заседания Техсовета при НИИ ГУАС</w:t>
      </w:r>
    </w:p>
    <w:p w14:paraId="64C07B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 о результатах госиспытаний второго экземпляра (дублера) самолета И-28 М-88 конструкции Яценко.</w:t>
      </w:r>
    </w:p>
    <w:p w14:paraId="4750BA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Техсовет при НИИ ГУАС под председательством дивинженера Репина в присутствии бригинженера Гребенева и заместителя гл. конструктора инженера Фурлетова произвел осмотр самолета И-28 М-88, прошедшего госиспытания и заслушал доклад ведущего инженера НИИ ГУАС в/инженера 1 ранга Лазарева и содоклад летчика-испытателя ст. лейтенанта Кубышкина о результатах госиспытаний второго опытного экземпляра (дублера) самолета И-28 М-88.</w:t>
      </w:r>
    </w:p>
    <w:p w14:paraId="7F143C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опытного самолета И-28 М-87Б проходил совместные испытания в НИИ ГУАС с 1 июня по 4 июля 1939 года. Испытания были не окончены вследствие разрушения самолета в воздухе из-за непрочности капотов мотора.</w:t>
      </w:r>
    </w:p>
    <w:p w14:paraId="46714D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 опытного самолета И-28 М-87Б был построен без устранения уже известных дефектов у самолета: наличия неустойчивости, малого запаса горючего и др.</w:t>
      </w:r>
    </w:p>
    <w:p w14:paraId="03AE4A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конструктором Яценко на самолете И-28 (дублер) были выполнены только работы, связанные с увеличением прочности капотов мотора и всего самолета.</w:t>
      </w:r>
    </w:p>
    <w:p w14:paraId="507B42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феврале 1940 года на этом же самолете установлен мотор М-88 с синхронизаторами.</w:t>
      </w:r>
    </w:p>
    <w:p w14:paraId="23A1BB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совместных испытаниях было доведено охлаждение мотора и в значительной мере доработано вооружение.</w:t>
      </w:r>
    </w:p>
    <w:p w14:paraId="0EB326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недостатков самолета в части устойчивости, дальности и других связанных с улучшением эксплуатации было предусмотрено в серийных чертежах на заводе «Саркомбайн».</w:t>
      </w:r>
    </w:p>
    <w:p w14:paraId="09D307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самолет И-28 М-88 выпуска завода «Саркомбайн» значительно отличается от опытных экземпляров самолета И-28 и есть основание ожидать лучших результатов в части устойчивости, взлетно-посадочных свойств и дальности самолета.</w:t>
      </w:r>
    </w:p>
    <w:p w14:paraId="7FD21F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приведенных соображений Техсовет считает возможным сделать окончательное заключение по самолету И-28 М-88 только после облета головной машины выпуска завода «Саркомбайн» летчиками НИИ ГУАС для чего необходимо:</w:t>
      </w:r>
    </w:p>
    <w:p w14:paraId="3B13E3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Просить наркома Авиапрома Шахурина дать соответствующие указания о подготовке головного серийного самолета для облета к 5 июня 1940 года.</w:t>
      </w:r>
    </w:p>
    <w:p w14:paraId="05196B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основные летно-тактические данные самолета (7712, 208-211).</w:t>
      </w:r>
    </w:p>
    <w:p w14:paraId="3B44B63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61066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 в соответствии с приказом № 99 по УПА ГУСМП СССР-Н303 нарядили «для окончания изысканий линии Якутск - Эгехая, подбора необходимых материалов, а также обеспечения создания штурманской аэроло</w:t>
      </w:r>
      <w:r w:rsidRPr="00DB5D0D">
        <w:rPr>
          <w:rFonts w:ascii="Times New Roman" w:hAnsi="Times New Roman"/>
          <w:color w:val="000000" w:themeColor="text1"/>
          <w:sz w:val="16"/>
          <w:szCs w:val="16"/>
        </w:rPr>
        <w:softHyphen/>
        <w:t>ции». Состав экипажа в окончательном вари</w:t>
      </w:r>
      <w:r w:rsidRPr="00DB5D0D">
        <w:rPr>
          <w:rFonts w:ascii="Times New Roman" w:hAnsi="Times New Roman"/>
          <w:color w:val="000000" w:themeColor="text1"/>
          <w:sz w:val="16"/>
          <w:szCs w:val="16"/>
        </w:rPr>
        <w:softHyphen/>
        <w:t>анте был следующий:</w:t>
      </w:r>
    </w:p>
    <w:p w14:paraId="4E26FDE6" w14:textId="77777777" w:rsidR="00A25AD1" w:rsidRPr="00DB5D0D" w:rsidRDefault="00A25AD1" w:rsidP="00DB5D0D">
      <w:pPr>
        <w:tabs>
          <w:tab w:val="left" w:pos="457"/>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Нач. экспедиции, командир самолета пилот КрузеЛ.Г.</w:t>
      </w:r>
    </w:p>
    <w:p w14:paraId="48E734D9" w14:textId="77777777" w:rsidR="00A25AD1" w:rsidRPr="00DB5D0D" w:rsidRDefault="00A25AD1" w:rsidP="00DB5D0D">
      <w:pPr>
        <w:tabs>
          <w:tab w:val="left" w:pos="136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Технический руководитель экспедиции Пастухов Н.П.</w:t>
      </w:r>
    </w:p>
    <w:p w14:paraId="68E34FEE" w14:textId="77777777" w:rsidR="00A25AD1" w:rsidRPr="00DB5D0D" w:rsidRDefault="00A25AD1" w:rsidP="00DB5D0D">
      <w:pPr>
        <w:tabs>
          <w:tab w:val="left" w:pos="42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Штурман самолета - из Якутской авиа</w:t>
      </w:r>
      <w:r w:rsidRPr="00DB5D0D">
        <w:rPr>
          <w:rFonts w:ascii="Times New Roman" w:hAnsi="Times New Roman"/>
          <w:color w:val="000000" w:themeColor="text1"/>
          <w:sz w:val="16"/>
          <w:szCs w:val="16"/>
        </w:rPr>
        <w:softHyphen/>
        <w:t>группы.</w:t>
      </w:r>
    </w:p>
    <w:p w14:paraId="737E5B43" w14:textId="77777777" w:rsidR="00A25AD1" w:rsidRPr="00DB5D0D" w:rsidRDefault="00A25AD1" w:rsidP="00DB5D0D">
      <w:pPr>
        <w:tabs>
          <w:tab w:val="left" w:pos="68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1-й бортмеханик - Перов</w:t>
      </w:r>
    </w:p>
    <w:p w14:paraId="51801891" w14:textId="77777777" w:rsidR="00A25AD1" w:rsidRPr="00DB5D0D" w:rsidRDefault="00A25AD1" w:rsidP="00DB5D0D">
      <w:pPr>
        <w:tabs>
          <w:tab w:val="left" w:pos="67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2-й бортмеханик - Бывшее</w:t>
      </w:r>
    </w:p>
    <w:p w14:paraId="3A3B5D00" w14:textId="77777777" w:rsidR="00A25AD1" w:rsidRPr="00DB5D0D" w:rsidRDefault="00A25AD1" w:rsidP="00DB5D0D">
      <w:pPr>
        <w:tabs>
          <w:tab w:val="left" w:pos="42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Бортрадист - Челышев</w:t>
      </w:r>
    </w:p>
    <w:p w14:paraId="126B992D" w14:textId="77777777" w:rsidR="00A25AD1" w:rsidRPr="00DB5D0D" w:rsidRDefault="00A25AD1" w:rsidP="00DB5D0D">
      <w:pPr>
        <w:tabs>
          <w:tab w:val="left" w:pos="49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Инженер изыскательской партии - Кейлин (?) А.Г.</w:t>
      </w:r>
    </w:p>
    <w:p w14:paraId="44E01476" w14:textId="77777777" w:rsidR="00A25AD1" w:rsidRPr="00DB5D0D" w:rsidRDefault="00A25AD1" w:rsidP="00DB5D0D">
      <w:pPr>
        <w:tabs>
          <w:tab w:val="left" w:pos="41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Техник-топограф - Погосян.</w:t>
      </w:r>
    </w:p>
    <w:p w14:paraId="637DC6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испытания пригодности выбираемых с воздуха запасных гидроаэродромов и про</w:t>
      </w:r>
      <w:r w:rsidRPr="00DB5D0D">
        <w:rPr>
          <w:rFonts w:ascii="Times New Roman" w:hAnsi="Times New Roman"/>
          <w:color w:val="000000" w:themeColor="text1"/>
          <w:sz w:val="16"/>
          <w:szCs w:val="16"/>
        </w:rPr>
        <w:softHyphen/>
        <w:t>изводства необходимых работ (посадка, про</w:t>
      </w:r>
      <w:r w:rsidRPr="00DB5D0D">
        <w:rPr>
          <w:rFonts w:ascii="Times New Roman" w:hAnsi="Times New Roman"/>
          <w:color w:val="000000" w:themeColor="text1"/>
          <w:sz w:val="16"/>
          <w:szCs w:val="16"/>
        </w:rPr>
        <w:softHyphen/>
        <w:t>меры, глазомерная съемка, фотографирова</w:t>
      </w:r>
      <w:r w:rsidRPr="00DB5D0D">
        <w:rPr>
          <w:rFonts w:ascii="Times New Roman" w:hAnsi="Times New Roman"/>
          <w:color w:val="000000" w:themeColor="text1"/>
          <w:sz w:val="16"/>
          <w:szCs w:val="16"/>
        </w:rPr>
        <w:softHyphen/>
        <w:t>ние, пробы грунта, взлет), посадки в необхо</w:t>
      </w:r>
      <w:r w:rsidRPr="00DB5D0D">
        <w:rPr>
          <w:rFonts w:ascii="Times New Roman" w:hAnsi="Times New Roman"/>
          <w:color w:val="000000" w:themeColor="text1"/>
          <w:sz w:val="16"/>
          <w:szCs w:val="16"/>
        </w:rPr>
        <w:softHyphen/>
        <w:t>димых пунктах разрешалось производить по усмотрению командира самолета, с обеспече</w:t>
      </w:r>
      <w:r w:rsidRPr="00DB5D0D">
        <w:rPr>
          <w:rFonts w:ascii="Times New Roman" w:hAnsi="Times New Roman"/>
          <w:color w:val="000000" w:themeColor="text1"/>
          <w:sz w:val="16"/>
          <w:szCs w:val="16"/>
        </w:rPr>
        <w:softHyphen/>
        <w:t>нием трассы запасными площадками на рас</w:t>
      </w:r>
      <w:r w:rsidRPr="00DB5D0D">
        <w:rPr>
          <w:rFonts w:ascii="Times New Roman" w:hAnsi="Times New Roman"/>
          <w:color w:val="000000" w:themeColor="text1"/>
          <w:sz w:val="16"/>
          <w:szCs w:val="16"/>
        </w:rPr>
        <w:softHyphen/>
        <w:t>стоянии до 100 км друг от друга.</w:t>
      </w:r>
    </w:p>
    <w:p w14:paraId="6B3FF7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Маршрут самолета СССР-Н303: Красноярск - Межма - Усть-Кут - Киренск - Олекминск - Якутск и далее, согласно плану работ по лоци- рованию и доизысканиям. [РГАЭ, 9570-2- 2970]</w:t>
      </w:r>
    </w:p>
    <w:p w14:paraId="100C3A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прошло и месяца - следующий приказ (№117 по УПА ГУСМП от 18.07.40 г.), согласно которому лодка шла на ледовую разведку с базой в Певеке. Самолет Московской авиа</w:t>
      </w:r>
      <w:r w:rsidRPr="00DB5D0D">
        <w:rPr>
          <w:rFonts w:ascii="Times New Roman" w:hAnsi="Times New Roman"/>
          <w:color w:val="000000" w:themeColor="text1"/>
          <w:sz w:val="16"/>
          <w:szCs w:val="16"/>
        </w:rPr>
        <w:softHyphen/>
        <w:t>группы оставался в Чукотском авиаотряде. Экипаж: командир - пилот 2 кл. Котов И.С., штурман 2 кл. Чувырин И.С., 1-й бортмеханик 1 кл. Громов В.А., 2-й бортмеханик 1 кл. Троицкий В.В., бортрадист 1 кл. Патрушин Г.М. [РГАЭ, 9570-2-2970]</w:t>
      </w:r>
    </w:p>
    <w:p w14:paraId="4031E3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17.09.40 г. приказом №131 произвели пе</w:t>
      </w:r>
      <w:r w:rsidRPr="00DB5D0D">
        <w:rPr>
          <w:rFonts w:ascii="Times New Roman" w:hAnsi="Times New Roman"/>
          <w:color w:val="000000" w:themeColor="text1"/>
          <w:sz w:val="16"/>
          <w:szCs w:val="16"/>
        </w:rPr>
        <w:softHyphen/>
        <w:t>резакрепление самолетов за авиагруппами и авиаотрядами УПА. СССР-НЗОЗ стали числить</w:t>
      </w:r>
    </w:p>
    <w:p w14:paraId="54E88B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Чукотским авиаотрядом УПА. [РГАЭ, 9570-2- 2971]</w:t>
      </w:r>
    </w:p>
    <w:p w14:paraId="782B92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1944 г. СССР-НЗОЗ эксплуатировался = Игарской авиагруппе в течение августа и сен</w:t>
      </w:r>
      <w:r w:rsidRPr="00DB5D0D">
        <w:rPr>
          <w:rFonts w:ascii="Times New Roman" w:hAnsi="Times New Roman"/>
          <w:color w:val="000000" w:themeColor="text1"/>
          <w:sz w:val="16"/>
          <w:szCs w:val="16"/>
        </w:rPr>
        <w:softHyphen/>
        <w:t>тября. Налетал 165 часов. [РГАЭ, 9570-2-1242] (11977).</w:t>
      </w:r>
    </w:p>
    <w:p w14:paraId="3AA96A2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592512" w14:textId="77777777" w:rsidR="00A25AD1" w:rsidRPr="00DB5D0D" w:rsidRDefault="00A25AD1" w:rsidP="00DB5D0D">
      <w:pPr>
        <w:pStyle w:val="24"/>
        <w:widowControl/>
        <w:rPr>
          <w:color w:val="000000" w:themeColor="text1"/>
        </w:rPr>
      </w:pPr>
      <w:r w:rsidRPr="00DB5D0D">
        <w:rPr>
          <w:color w:val="000000" w:themeColor="text1"/>
        </w:rPr>
        <w:t>20 июня 1940 года начальник НИП АВ ГУАС полковник Шевченко и военком НИП АВ ГУАС старший политрук Ангенов утвердили:</w:t>
      </w:r>
    </w:p>
    <w:p w14:paraId="46EFD60A" w14:textId="77777777" w:rsidR="00A25AD1" w:rsidRPr="00DB5D0D" w:rsidRDefault="00A25AD1" w:rsidP="00DB5D0D">
      <w:pPr>
        <w:pStyle w:val="24"/>
        <w:widowControl/>
        <w:rPr>
          <w:color w:val="000000" w:themeColor="text1"/>
        </w:rPr>
      </w:pPr>
      <w:r w:rsidRPr="00DB5D0D">
        <w:rPr>
          <w:color w:val="000000" w:themeColor="text1"/>
        </w:rPr>
        <w:t>Отчет по полигонным испытаниям металлических ампул АЖ-2 из двух сплошных полусфер со швом в "нахлест" конструкции завода № 67</w:t>
      </w:r>
    </w:p>
    <w:p w14:paraId="79F327CE" w14:textId="77777777" w:rsidR="00A25AD1" w:rsidRPr="00DB5D0D" w:rsidRDefault="00A25AD1" w:rsidP="00DB5D0D">
      <w:pPr>
        <w:pStyle w:val="24"/>
        <w:widowControl/>
        <w:rPr>
          <w:color w:val="000000" w:themeColor="text1"/>
        </w:rPr>
      </w:pPr>
      <w:r w:rsidRPr="00DB5D0D">
        <w:rPr>
          <w:color w:val="000000" w:themeColor="text1"/>
        </w:rPr>
        <w:t>Испытания начаты 28 мая 1940 года</w:t>
      </w:r>
    </w:p>
    <w:p w14:paraId="004AF271" w14:textId="77777777" w:rsidR="00A25AD1" w:rsidRPr="00DB5D0D" w:rsidRDefault="00A25AD1" w:rsidP="00DB5D0D">
      <w:pPr>
        <w:pStyle w:val="24"/>
        <w:widowControl/>
        <w:rPr>
          <w:color w:val="000000" w:themeColor="text1"/>
        </w:rPr>
      </w:pPr>
      <w:r w:rsidRPr="00DB5D0D">
        <w:rPr>
          <w:color w:val="000000" w:themeColor="text1"/>
        </w:rPr>
        <w:t>Испытания окончены 7 июня 1940 года</w:t>
      </w:r>
    </w:p>
    <w:p w14:paraId="56437C0B" w14:textId="77777777" w:rsidR="00A25AD1" w:rsidRPr="00DB5D0D" w:rsidRDefault="00A25AD1" w:rsidP="00DB5D0D">
      <w:pPr>
        <w:pStyle w:val="24"/>
        <w:widowControl/>
        <w:rPr>
          <w:color w:val="000000" w:themeColor="text1"/>
        </w:rPr>
      </w:pPr>
      <w:r w:rsidRPr="00DB5D0D">
        <w:rPr>
          <w:color w:val="000000" w:themeColor="text1"/>
        </w:rPr>
        <w:t>Отв. исполнитель:</w:t>
      </w:r>
    </w:p>
    <w:p w14:paraId="75FA852A" w14:textId="77777777" w:rsidR="00A25AD1" w:rsidRPr="00DB5D0D" w:rsidRDefault="00A25AD1" w:rsidP="00DB5D0D">
      <w:pPr>
        <w:pStyle w:val="24"/>
        <w:widowControl/>
        <w:rPr>
          <w:color w:val="000000" w:themeColor="text1"/>
        </w:rPr>
      </w:pPr>
      <w:r w:rsidRPr="00DB5D0D">
        <w:rPr>
          <w:color w:val="000000" w:themeColor="text1"/>
        </w:rPr>
        <w:t>В/инженер 3 ранга Лукашев</w:t>
      </w:r>
    </w:p>
    <w:p w14:paraId="26D39C50" w14:textId="77777777" w:rsidR="00A25AD1" w:rsidRPr="00DB5D0D" w:rsidRDefault="00A25AD1" w:rsidP="00DB5D0D">
      <w:pPr>
        <w:pStyle w:val="24"/>
        <w:widowControl/>
        <w:rPr>
          <w:color w:val="000000" w:themeColor="text1"/>
        </w:rPr>
      </w:pPr>
      <w:r w:rsidRPr="00DB5D0D">
        <w:rPr>
          <w:color w:val="000000" w:themeColor="text1"/>
        </w:rPr>
        <w:t>Цель испытания</w:t>
      </w:r>
    </w:p>
    <w:p w14:paraId="1F206CE0" w14:textId="77777777" w:rsidR="00A25AD1" w:rsidRPr="00DB5D0D" w:rsidRDefault="00A25AD1" w:rsidP="00DB5D0D">
      <w:pPr>
        <w:pStyle w:val="24"/>
        <w:widowControl/>
        <w:rPr>
          <w:color w:val="000000" w:themeColor="text1"/>
        </w:rPr>
      </w:pPr>
      <w:r w:rsidRPr="00DB5D0D">
        <w:rPr>
          <w:color w:val="000000" w:themeColor="text1"/>
        </w:rPr>
        <w:t>Целью полигонных испытаний ампул из двух сплошных полусфер, являлось определение следующих элементов:</w:t>
      </w:r>
    </w:p>
    <w:p w14:paraId="39FD8F9D" w14:textId="77777777" w:rsidR="00A25AD1" w:rsidRPr="00DB5D0D" w:rsidRDefault="00A25AD1" w:rsidP="00DB5D0D">
      <w:pPr>
        <w:pStyle w:val="24"/>
        <w:widowControl/>
        <w:rPr>
          <w:color w:val="000000" w:themeColor="text1"/>
        </w:rPr>
      </w:pPr>
      <w:r w:rsidRPr="00DB5D0D">
        <w:rPr>
          <w:color w:val="000000" w:themeColor="text1"/>
        </w:rPr>
        <w:t>а) прочности и надежности конструкции;</w:t>
      </w:r>
    </w:p>
    <w:p w14:paraId="4F7B4364" w14:textId="77777777" w:rsidR="00A25AD1" w:rsidRPr="00DB5D0D" w:rsidRDefault="00A25AD1" w:rsidP="00DB5D0D">
      <w:pPr>
        <w:pStyle w:val="24"/>
        <w:widowControl/>
        <w:rPr>
          <w:color w:val="000000" w:themeColor="text1"/>
        </w:rPr>
      </w:pPr>
      <w:r w:rsidRPr="00DB5D0D">
        <w:rPr>
          <w:color w:val="000000" w:themeColor="text1"/>
        </w:rPr>
        <w:t>б) характера разрушения оболочки ампулы при ударе о преграду;</w:t>
      </w:r>
    </w:p>
    <w:p w14:paraId="46D52680" w14:textId="77777777" w:rsidR="00A25AD1" w:rsidRPr="00DB5D0D" w:rsidRDefault="00A25AD1" w:rsidP="00DB5D0D">
      <w:pPr>
        <w:pStyle w:val="24"/>
        <w:widowControl/>
        <w:rPr>
          <w:color w:val="000000" w:themeColor="text1"/>
        </w:rPr>
      </w:pPr>
      <w:r w:rsidRPr="00DB5D0D">
        <w:rPr>
          <w:color w:val="000000" w:themeColor="text1"/>
        </w:rPr>
        <w:t>в) характера разбрызгивания жидкости на площади (у ампул с полным и частичным разрушением оболочки);</w:t>
      </w:r>
    </w:p>
    <w:p w14:paraId="7A32C7CD" w14:textId="77777777" w:rsidR="00A25AD1" w:rsidRPr="00DB5D0D" w:rsidRDefault="00A25AD1" w:rsidP="00DB5D0D">
      <w:pPr>
        <w:pStyle w:val="24"/>
        <w:widowControl/>
        <w:rPr>
          <w:color w:val="000000" w:themeColor="text1"/>
        </w:rPr>
      </w:pPr>
      <w:r w:rsidRPr="00DB5D0D">
        <w:rPr>
          <w:color w:val="000000" w:themeColor="text1"/>
        </w:rPr>
        <w:t>г) возможность замены серийной ампулы АЖ-2 на ампулу из двух сплошных полусфер.</w:t>
      </w:r>
    </w:p>
    <w:p w14:paraId="0927F25F" w14:textId="77777777" w:rsidR="00A25AD1" w:rsidRPr="00DB5D0D" w:rsidRDefault="00A25AD1" w:rsidP="00DB5D0D">
      <w:pPr>
        <w:pStyle w:val="24"/>
        <w:widowControl/>
        <w:rPr>
          <w:color w:val="000000" w:themeColor="text1"/>
        </w:rPr>
      </w:pPr>
      <w:r w:rsidRPr="00DB5D0D">
        <w:rPr>
          <w:color w:val="000000" w:themeColor="text1"/>
        </w:rPr>
        <w:lastRenderedPageBreak/>
        <w:t>Ампулы АЖ-2 из двух сплошных полусфер со швом в "нахлест" являются дальнейшей попыткой удешевления серийной ампулы АЖ-2, гл. образом за счет упрощения технологии изготовления.</w:t>
      </w:r>
    </w:p>
    <w:p w14:paraId="5C89D364" w14:textId="77777777" w:rsidR="00A25AD1" w:rsidRPr="00DB5D0D" w:rsidRDefault="00A25AD1" w:rsidP="00DB5D0D">
      <w:pPr>
        <w:pStyle w:val="24"/>
        <w:widowControl/>
        <w:rPr>
          <w:color w:val="000000" w:themeColor="text1"/>
        </w:rPr>
      </w:pPr>
      <w:r w:rsidRPr="00DB5D0D">
        <w:rPr>
          <w:color w:val="000000" w:themeColor="text1"/>
        </w:rPr>
        <w:t>Заключение</w:t>
      </w:r>
    </w:p>
    <w:p w14:paraId="2E7F9BF7" w14:textId="77777777" w:rsidR="00A25AD1" w:rsidRPr="00DB5D0D" w:rsidRDefault="00A25AD1" w:rsidP="00DB5D0D">
      <w:pPr>
        <w:pStyle w:val="24"/>
        <w:widowControl/>
        <w:tabs>
          <w:tab w:val="left" w:pos="360"/>
        </w:tabs>
        <w:rPr>
          <w:color w:val="000000" w:themeColor="text1"/>
        </w:rPr>
      </w:pPr>
      <w:r w:rsidRPr="00DB5D0D">
        <w:rPr>
          <w:color w:val="000000" w:themeColor="text1"/>
        </w:rPr>
        <w:t>Предъявленные на полигонные испытания ампулы из двух сплошных полусфер со швом в "нахлест", конструкции завода № 67, полигонные испытания не выдержали (7648).</w:t>
      </w:r>
    </w:p>
    <w:p w14:paraId="708F1723" w14:textId="77777777" w:rsidR="00A25AD1" w:rsidRPr="00DB5D0D" w:rsidRDefault="00A25AD1" w:rsidP="00DB5D0D">
      <w:pPr>
        <w:pStyle w:val="24"/>
        <w:widowControl/>
        <w:tabs>
          <w:tab w:val="left" w:pos="360"/>
        </w:tabs>
        <w:rPr>
          <w:color w:val="000000" w:themeColor="text1"/>
        </w:rPr>
      </w:pPr>
    </w:p>
    <w:p w14:paraId="3C7793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20 по 25 июня 1940 года на НИП АВ ВВС проходили полигонные испытания ХАРП-500 конструкции завода № 145 (в применении штурмовой авиацией)</w:t>
      </w:r>
    </w:p>
    <w:p w14:paraId="526A08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48DF90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инженер 4 отделения Опытного отдела НИП АВ ГУАС в/инженер 2 ранга Рублев</w:t>
      </w:r>
    </w:p>
    <w:p w14:paraId="43B5D4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31A0B0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возможность применения ХАРП-500 штурмовой авиацией на малых высотах.</w:t>
      </w:r>
    </w:p>
    <w:p w14:paraId="7CB056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Химический авиационный разовый прибор (ХАРП-500) разработан заводом № 145 в 1938 году. Прибор изготовлен в габаритах ФАБ-500 и по внешнему виду немногим отличается от ХАБ-500. Прибор предназначается для поражения живой силы и заражения местности стойкими БХВ.</w:t>
      </w:r>
    </w:p>
    <w:p w14:paraId="13ECB3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AAA423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применении ХАРП-500 штурмовой авиацией решить после проведения окончательных полигонных испытаний в летних и зимних условиях сравнительно с ХАБ-500 и ВАП-500 (7599).</w:t>
      </w:r>
    </w:p>
    <w:p w14:paraId="70BB17B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548A8C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 доработанные дистанционные трубки для РС постановлением научно-технического журнала по 1 и 3 отделам 3-го Управления ГУФЧ КА №092 приняли на вооружение. При этом, вне зависимости от калибра боеприпаса, АГДТ-А «для РС» присвоили номер модели 3-0683 и индекс ВВС - 7-Т-011АР. Аналогично АГДТ-Б “для РС” присвоили номер модели 3-0684 и индекс ВВС — 7-Т-ОПБР. До 1 октября 1940 г. еще разрешалось изготавливать и принимать дистанционные трубки АГДТ-А-РС-82, АГДТ-Б-РС-82, АГДТ-А-РС-132 и АГД7-Б-РС-132 прежних моделей.</w:t>
      </w:r>
    </w:p>
    <w:p w14:paraId="624C01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1.63 Варианты вооружения боевых самолетов ВВС РККА и ВВС Красной Армии ракетными снарядами калибров 82 и 132 мм в период с 1930 г. до середины 1940 г.</w:t>
      </w:r>
    </w:p>
    <w:tbl>
      <w:tblPr>
        <w:tblW w:w="0" w:type="auto"/>
        <w:tblInd w:w="40" w:type="dxa"/>
        <w:tblLayout w:type="fixed"/>
        <w:tblCellMar>
          <w:left w:w="40" w:type="dxa"/>
          <w:right w:w="40" w:type="dxa"/>
        </w:tblCellMar>
        <w:tblLook w:val="0000" w:firstRow="0" w:lastRow="0" w:firstColumn="0" w:lastColumn="0" w:noHBand="0" w:noVBand="0"/>
      </w:tblPr>
      <w:tblGrid>
        <w:gridCol w:w="2376"/>
        <w:gridCol w:w="871"/>
        <w:gridCol w:w="922"/>
        <w:gridCol w:w="1735"/>
      </w:tblGrid>
      <w:tr w:rsidR="007D5DF8" w:rsidRPr="00DB5D0D" w14:paraId="2D010AA0" w14:textId="77777777" w:rsidTr="009223E5">
        <w:trPr>
          <w:trHeight w:val="835"/>
        </w:trPr>
        <w:tc>
          <w:tcPr>
            <w:tcW w:w="2376" w:type="dxa"/>
            <w:tcBorders>
              <w:top w:val="single" w:sz="6" w:space="0" w:color="auto"/>
              <w:left w:val="single" w:sz="6" w:space="0" w:color="auto"/>
              <w:bottom w:val="single" w:sz="6" w:space="0" w:color="auto"/>
              <w:right w:val="single" w:sz="6" w:space="0" w:color="auto"/>
            </w:tcBorders>
          </w:tcPr>
          <w:p w14:paraId="18F318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и марка самолета</w:t>
            </w:r>
          </w:p>
          <w:p w14:paraId="40FAD9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727A50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Калибр ракетной системы/ боезапас</w:t>
            </w:r>
          </w:p>
          <w:p w14:paraId="59810F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2E91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/ко л -во ракетных орудий</w:t>
            </w:r>
          </w:p>
          <w:p w14:paraId="609E0D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2A74B4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 расположения пусковых</w:t>
            </w:r>
          </w:p>
          <w:p w14:paraId="5A3136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175704B" w14:textId="77777777" w:rsidTr="009223E5">
        <w:trPr>
          <w:trHeight w:val="238"/>
        </w:trPr>
        <w:tc>
          <w:tcPr>
            <w:tcW w:w="2376" w:type="dxa"/>
            <w:tcBorders>
              <w:top w:val="single" w:sz="6" w:space="0" w:color="auto"/>
              <w:left w:val="single" w:sz="6" w:space="0" w:color="auto"/>
              <w:bottom w:val="single" w:sz="6" w:space="0" w:color="auto"/>
              <w:right w:val="single" w:sz="6" w:space="0" w:color="auto"/>
            </w:tcBorders>
          </w:tcPr>
          <w:p w14:paraId="1C0163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Учебный самолет У-1</w:t>
            </w:r>
          </w:p>
          <w:p w14:paraId="7C5716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33F72F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82/4</w:t>
            </w:r>
          </w:p>
          <w:p w14:paraId="2CE9BF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E6DE0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p w14:paraId="785B86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6A4757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верхнем крыле</w:t>
            </w:r>
          </w:p>
          <w:p w14:paraId="4DF595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1F4723E" w14:textId="77777777" w:rsidTr="009223E5">
        <w:trPr>
          <w:trHeight w:val="223"/>
        </w:trPr>
        <w:tc>
          <w:tcPr>
            <w:tcW w:w="2376" w:type="dxa"/>
            <w:tcBorders>
              <w:top w:val="single" w:sz="6" w:space="0" w:color="auto"/>
              <w:left w:val="single" w:sz="6" w:space="0" w:color="auto"/>
              <w:bottom w:val="single" w:sz="6" w:space="0" w:color="auto"/>
              <w:right w:val="single" w:sz="6" w:space="0" w:color="auto"/>
            </w:tcBorders>
          </w:tcPr>
          <w:p w14:paraId="7161E5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И -4</w:t>
            </w:r>
          </w:p>
          <w:p w14:paraId="53B9F3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1FC4B2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82/6</w:t>
            </w:r>
          </w:p>
          <w:p w14:paraId="57F9C2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39A9E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p w14:paraId="7DD094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45CB18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верхнем крыле</w:t>
            </w:r>
          </w:p>
          <w:p w14:paraId="1B803E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EFB207C" w14:textId="77777777" w:rsidTr="009223E5">
        <w:trPr>
          <w:trHeight w:val="238"/>
        </w:trPr>
        <w:tc>
          <w:tcPr>
            <w:tcW w:w="2376" w:type="dxa"/>
            <w:tcBorders>
              <w:top w:val="single" w:sz="6" w:space="0" w:color="auto"/>
              <w:left w:val="single" w:sz="6" w:space="0" w:color="auto"/>
              <w:bottom w:val="single" w:sz="6" w:space="0" w:color="auto"/>
              <w:right w:val="single" w:sz="6" w:space="0" w:color="auto"/>
            </w:tcBorders>
          </w:tcPr>
          <w:p w14:paraId="39CF7F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И-5</w:t>
            </w:r>
          </w:p>
          <w:p w14:paraId="6850B1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7AB96E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82/6</w:t>
            </w:r>
          </w:p>
          <w:p w14:paraId="36E362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C4503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ПС-82/2</w:t>
            </w:r>
          </w:p>
          <w:p w14:paraId="0E9A01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4541B3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нижним крылом</w:t>
            </w:r>
          </w:p>
          <w:p w14:paraId="049FBB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DE8DEC3"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031A3D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И-15</w:t>
            </w:r>
          </w:p>
          <w:p w14:paraId="20C43B3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231FED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82/6</w:t>
            </w:r>
          </w:p>
          <w:p w14:paraId="1ADF37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07260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ПС-82/2</w:t>
            </w:r>
          </w:p>
          <w:p w14:paraId="3EDCFA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3E8941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нижним крылом</w:t>
            </w:r>
          </w:p>
          <w:p w14:paraId="329BCB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50C46CA"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09B6B3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И-16 (тип 10)</w:t>
            </w:r>
          </w:p>
          <w:p w14:paraId="411FC52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7ADB8A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82/6</w:t>
            </w:r>
          </w:p>
          <w:p w14:paraId="535CBA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593F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ПС-82/2</w:t>
            </w:r>
          </w:p>
          <w:p w14:paraId="25D7FC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69EE67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 консолями крыла</w:t>
            </w:r>
          </w:p>
          <w:p w14:paraId="79FFCA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338AE92"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2304B3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И-16 (тип 24)</w:t>
            </w:r>
          </w:p>
          <w:p w14:paraId="065ED3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7EEBA4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82/8</w:t>
            </w:r>
          </w:p>
          <w:p w14:paraId="3102AC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EA8E8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РО-82/8</w:t>
            </w:r>
          </w:p>
          <w:p w14:paraId="40F353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51CD71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консолями крыла</w:t>
            </w:r>
          </w:p>
          <w:p w14:paraId="517F7F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4B9529A"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508DE3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И-153</w:t>
            </w:r>
          </w:p>
          <w:p w14:paraId="6E4AF1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4C1944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82/8</w:t>
            </w:r>
          </w:p>
          <w:p w14:paraId="006FC27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A84DA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РО-82/8</w:t>
            </w:r>
          </w:p>
          <w:p w14:paraId="35B0D7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5C4C8D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нижним крылом</w:t>
            </w:r>
          </w:p>
          <w:p w14:paraId="7FCE34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B534FCF"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74A2B5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МиГ-3</w:t>
            </w:r>
          </w:p>
          <w:p w14:paraId="2120EF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0789A9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82/6</w:t>
            </w:r>
          </w:p>
          <w:p w14:paraId="4747D4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9B37E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РО-82/6</w:t>
            </w:r>
          </w:p>
          <w:p w14:paraId="65FF05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0373F5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консолями крыла</w:t>
            </w:r>
          </w:p>
          <w:p w14:paraId="1295E3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4152B8A8" w14:textId="77777777" w:rsidTr="009223E5">
        <w:trPr>
          <w:trHeight w:val="238"/>
        </w:trPr>
        <w:tc>
          <w:tcPr>
            <w:tcW w:w="2376" w:type="dxa"/>
            <w:tcBorders>
              <w:top w:val="single" w:sz="6" w:space="0" w:color="auto"/>
              <w:left w:val="single" w:sz="6" w:space="0" w:color="auto"/>
              <w:bottom w:val="single" w:sz="6" w:space="0" w:color="auto"/>
              <w:right w:val="single" w:sz="6" w:space="0" w:color="auto"/>
            </w:tcBorders>
          </w:tcPr>
          <w:p w14:paraId="662966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ЛаГГ-3</w:t>
            </w:r>
          </w:p>
          <w:p w14:paraId="5D4886B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426472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82/6</w:t>
            </w:r>
          </w:p>
          <w:p w14:paraId="22883F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FFC16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РО-82/6</w:t>
            </w:r>
          </w:p>
          <w:p w14:paraId="650121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777AD1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консолями крыла</w:t>
            </w:r>
          </w:p>
          <w:p w14:paraId="3DB770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867A629"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1D82CA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ДИ-6</w:t>
            </w:r>
          </w:p>
          <w:p w14:paraId="3D9666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4DDD6D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82/6</w:t>
            </w:r>
          </w:p>
          <w:p w14:paraId="42ACA6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470A1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p w14:paraId="1FE82E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294091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вер.хнем крыле</w:t>
            </w:r>
          </w:p>
          <w:p w14:paraId="2D1F64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F0391D5"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2B5E39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Учебный самолет УТ-16</w:t>
            </w:r>
          </w:p>
          <w:p w14:paraId="58BE9B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2372CF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82/4</w:t>
            </w:r>
          </w:p>
          <w:p w14:paraId="068535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F7356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РО-82/4</w:t>
            </w:r>
          </w:p>
          <w:p w14:paraId="46BC52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41BBDDF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консолями чрыла</w:t>
            </w:r>
          </w:p>
          <w:p w14:paraId="5F3FD6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4396F71A"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36FE5B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 Р-5</w:t>
            </w:r>
          </w:p>
          <w:p w14:paraId="5706C7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3A19D4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132/6</w:t>
            </w:r>
          </w:p>
          <w:p w14:paraId="0BE9F9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A0456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p w14:paraId="036D5F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15ED80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верхнем крыле</w:t>
            </w:r>
          </w:p>
          <w:p w14:paraId="53717B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3418797" w14:textId="77777777" w:rsidTr="009223E5">
        <w:trPr>
          <w:trHeight w:val="245"/>
        </w:trPr>
        <w:tc>
          <w:tcPr>
            <w:tcW w:w="2376" w:type="dxa"/>
            <w:tcBorders>
              <w:top w:val="single" w:sz="6" w:space="0" w:color="auto"/>
              <w:left w:val="single" w:sz="6" w:space="0" w:color="auto"/>
              <w:bottom w:val="single" w:sz="6" w:space="0" w:color="auto"/>
              <w:right w:val="single" w:sz="6" w:space="0" w:color="auto"/>
            </w:tcBorders>
          </w:tcPr>
          <w:p w14:paraId="119289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 Р-6</w:t>
            </w:r>
          </w:p>
          <w:p w14:paraId="3DB199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616B6C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132/6</w:t>
            </w:r>
          </w:p>
          <w:p w14:paraId="714140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F484B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ПС- 132/2</w:t>
            </w:r>
          </w:p>
          <w:p w14:paraId="4379D4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33E368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 нижним крылом</w:t>
            </w:r>
          </w:p>
          <w:p w14:paraId="362E8F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45BAF53" w14:textId="77777777" w:rsidTr="009223E5">
        <w:trPr>
          <w:trHeight w:val="238"/>
        </w:trPr>
        <w:tc>
          <w:tcPr>
            <w:tcW w:w="2376" w:type="dxa"/>
            <w:tcBorders>
              <w:top w:val="single" w:sz="6" w:space="0" w:color="auto"/>
              <w:left w:val="single" w:sz="6" w:space="0" w:color="auto"/>
              <w:bottom w:val="single" w:sz="6" w:space="0" w:color="auto"/>
              <w:right w:val="single" w:sz="6" w:space="0" w:color="auto"/>
            </w:tcBorders>
          </w:tcPr>
          <w:p w14:paraId="73FB85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(вариант истребителя ПВО)</w:t>
            </w:r>
          </w:p>
          <w:p w14:paraId="1347AF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401959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132/6</w:t>
            </w:r>
          </w:p>
          <w:p w14:paraId="278F18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9E54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ПС- 132/2</w:t>
            </w:r>
          </w:p>
          <w:p w14:paraId="501405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2B334E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консолями крыла</w:t>
            </w:r>
          </w:p>
          <w:p w14:paraId="6A4A02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58F3933C"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3C61C5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 СБ</w:t>
            </w:r>
          </w:p>
          <w:p w14:paraId="0DF555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17E399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132/8</w:t>
            </w:r>
          </w:p>
          <w:p w14:paraId="1192CE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801A5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ПС- 132/2</w:t>
            </w:r>
          </w:p>
          <w:p w14:paraId="0241D7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33038D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 консолями крыла</w:t>
            </w:r>
          </w:p>
          <w:p w14:paraId="2A5D50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01346AA"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13644F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 СБ</w:t>
            </w:r>
          </w:p>
          <w:p w14:paraId="0A3948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52A1A7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82/16</w:t>
            </w:r>
          </w:p>
          <w:p w14:paraId="1EB369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3D744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ПС-82/4</w:t>
            </w:r>
          </w:p>
          <w:p w14:paraId="546EE2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3CF0F7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консолями -.рыла</w:t>
            </w:r>
          </w:p>
          <w:p w14:paraId="03668BF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049708E0" w14:textId="77777777" w:rsidTr="009223E5">
        <w:trPr>
          <w:trHeight w:val="238"/>
        </w:trPr>
        <w:tc>
          <w:tcPr>
            <w:tcW w:w="2376" w:type="dxa"/>
            <w:tcBorders>
              <w:top w:val="single" w:sz="6" w:space="0" w:color="auto"/>
              <w:left w:val="single" w:sz="6" w:space="0" w:color="auto"/>
              <w:bottom w:val="single" w:sz="6" w:space="0" w:color="auto"/>
              <w:right w:val="single" w:sz="6" w:space="0" w:color="auto"/>
            </w:tcBorders>
          </w:tcPr>
          <w:p w14:paraId="4E8A9E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 ДБ-3</w:t>
            </w:r>
          </w:p>
          <w:p w14:paraId="36EAD9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6A951A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82/16</w:t>
            </w:r>
          </w:p>
          <w:p w14:paraId="75224C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FD584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ПС-82/4</w:t>
            </w:r>
          </w:p>
          <w:p w14:paraId="7D3CB5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1D13577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консолями крыла</w:t>
            </w:r>
          </w:p>
          <w:p w14:paraId="0A0F35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78CD77C" w14:textId="77777777" w:rsidTr="009223E5">
        <w:trPr>
          <w:trHeight w:val="238"/>
        </w:trPr>
        <w:tc>
          <w:tcPr>
            <w:tcW w:w="2376" w:type="dxa"/>
            <w:tcBorders>
              <w:top w:val="single" w:sz="6" w:space="0" w:color="auto"/>
              <w:left w:val="single" w:sz="6" w:space="0" w:color="auto"/>
              <w:bottom w:val="single" w:sz="6" w:space="0" w:color="auto"/>
              <w:right w:val="single" w:sz="6" w:space="0" w:color="auto"/>
            </w:tcBorders>
          </w:tcPr>
          <w:p w14:paraId="313C24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 Ил-2</w:t>
            </w:r>
          </w:p>
          <w:p w14:paraId="6B49C7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087B8E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132/8</w:t>
            </w:r>
          </w:p>
          <w:p w14:paraId="0716B4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239A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РО- 132/8</w:t>
            </w:r>
          </w:p>
          <w:p w14:paraId="29EA31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187548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консолями крыла</w:t>
            </w:r>
          </w:p>
          <w:p w14:paraId="665CF76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081C7BFF"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11335D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 Ил-2</w:t>
            </w:r>
          </w:p>
          <w:p w14:paraId="7A86A87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1AFA0C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132/4</w:t>
            </w:r>
          </w:p>
          <w:p w14:paraId="05BDEB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20DFF3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РО- 132/4</w:t>
            </w:r>
          </w:p>
          <w:p w14:paraId="4E056F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41A663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консолями крыла</w:t>
            </w:r>
          </w:p>
          <w:p w14:paraId="273A71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FECEE09" w14:textId="77777777" w:rsidTr="009223E5">
        <w:trPr>
          <w:trHeight w:val="230"/>
        </w:trPr>
        <w:tc>
          <w:tcPr>
            <w:tcW w:w="2376" w:type="dxa"/>
            <w:tcBorders>
              <w:top w:val="single" w:sz="6" w:space="0" w:color="auto"/>
              <w:left w:val="single" w:sz="6" w:space="0" w:color="auto"/>
              <w:bottom w:val="single" w:sz="6" w:space="0" w:color="auto"/>
              <w:right w:val="single" w:sz="6" w:space="0" w:color="auto"/>
            </w:tcBorders>
          </w:tcPr>
          <w:p w14:paraId="47CD8C6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 Ил-2</w:t>
            </w:r>
          </w:p>
          <w:p w14:paraId="338F15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132CDC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82/8</w:t>
            </w:r>
          </w:p>
          <w:p w14:paraId="3B099E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B19F5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РО-82/8</w:t>
            </w:r>
          </w:p>
          <w:p w14:paraId="2DF192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2797F1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консолями крыла</w:t>
            </w:r>
          </w:p>
          <w:p w14:paraId="0B24DA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4FD558B1" w14:textId="77777777" w:rsidTr="009223E5">
        <w:trPr>
          <w:trHeight w:val="223"/>
        </w:trPr>
        <w:tc>
          <w:tcPr>
            <w:tcW w:w="2376" w:type="dxa"/>
            <w:tcBorders>
              <w:top w:val="single" w:sz="6" w:space="0" w:color="auto"/>
              <w:left w:val="single" w:sz="6" w:space="0" w:color="auto"/>
              <w:bottom w:val="single" w:sz="6" w:space="0" w:color="auto"/>
              <w:right w:val="single" w:sz="6" w:space="0" w:color="auto"/>
            </w:tcBorders>
          </w:tcPr>
          <w:p w14:paraId="5F7487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Исфебитель 1анков МиГ-3</w:t>
            </w:r>
          </w:p>
          <w:p w14:paraId="146C83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2204CB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132/4</w:t>
            </w:r>
          </w:p>
          <w:p w14:paraId="2D03DC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83DD9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РО- 132/4</w:t>
            </w:r>
          </w:p>
          <w:p w14:paraId="47D429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3148C5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под консолями крыла </w:t>
            </w:r>
          </w:p>
        </w:tc>
      </w:tr>
      <w:tr w:rsidR="007D5DF8" w:rsidRPr="00DB5D0D" w14:paraId="3A40C3AC" w14:textId="77777777" w:rsidTr="009223E5">
        <w:trPr>
          <w:trHeight w:val="245"/>
        </w:trPr>
        <w:tc>
          <w:tcPr>
            <w:tcW w:w="2376" w:type="dxa"/>
            <w:tcBorders>
              <w:top w:val="single" w:sz="6" w:space="0" w:color="auto"/>
              <w:left w:val="single" w:sz="6" w:space="0" w:color="auto"/>
              <w:bottom w:val="single" w:sz="6" w:space="0" w:color="auto"/>
              <w:right w:val="single" w:sz="6" w:space="0" w:color="auto"/>
            </w:tcBorders>
          </w:tcPr>
          <w:p w14:paraId="46B851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ПВО ТК-4</w:t>
            </w:r>
          </w:p>
          <w:p w14:paraId="28091B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005F09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132/8</w:t>
            </w:r>
          </w:p>
          <w:p w14:paraId="58FD51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91AD4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ПС- 132/2</w:t>
            </w:r>
          </w:p>
          <w:p w14:paraId="654538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2B997C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под консолями крыла </w:t>
            </w:r>
          </w:p>
        </w:tc>
      </w:tr>
      <w:tr w:rsidR="007D5DF8" w:rsidRPr="00DB5D0D" w14:paraId="65FC4D63" w14:textId="77777777" w:rsidTr="009223E5">
        <w:trPr>
          <w:trHeight w:val="252"/>
        </w:trPr>
        <w:tc>
          <w:tcPr>
            <w:tcW w:w="2376" w:type="dxa"/>
            <w:tcBorders>
              <w:top w:val="single" w:sz="6" w:space="0" w:color="auto"/>
              <w:left w:val="single" w:sz="6" w:space="0" w:color="auto"/>
              <w:bottom w:val="single" w:sz="6" w:space="0" w:color="auto"/>
              <w:right w:val="single" w:sz="6" w:space="0" w:color="auto"/>
            </w:tcBorders>
          </w:tcPr>
          <w:p w14:paraId="619F733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танков И-153</w:t>
            </w:r>
          </w:p>
          <w:p w14:paraId="3D1363F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71" w:type="dxa"/>
            <w:tcBorders>
              <w:top w:val="single" w:sz="6" w:space="0" w:color="auto"/>
              <w:left w:val="single" w:sz="6" w:space="0" w:color="auto"/>
              <w:bottom w:val="single" w:sz="6" w:space="0" w:color="auto"/>
              <w:right w:val="single" w:sz="6" w:space="0" w:color="auto"/>
            </w:tcBorders>
          </w:tcPr>
          <w:p w14:paraId="2BEDC4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132/4</w:t>
            </w:r>
          </w:p>
          <w:p w14:paraId="5B872D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BD8D9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РО- 132/4</w:t>
            </w:r>
          </w:p>
          <w:p w14:paraId="791000F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1735" w:type="dxa"/>
            <w:tcBorders>
              <w:top w:val="single" w:sz="6" w:space="0" w:color="auto"/>
              <w:left w:val="single" w:sz="6" w:space="0" w:color="auto"/>
              <w:bottom w:val="single" w:sz="6" w:space="0" w:color="auto"/>
              <w:right w:val="single" w:sz="6" w:space="0" w:color="auto"/>
            </w:tcBorders>
          </w:tcPr>
          <w:p w14:paraId="7602D6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нижним крылом</w:t>
            </w:r>
          </w:p>
        </w:tc>
      </w:tr>
    </w:tbl>
    <w:p w14:paraId="1B31C2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(11402).</w:t>
      </w:r>
    </w:p>
    <w:p w14:paraId="5F028C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FC2770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25C3D6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7AB67D1"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 определение средних скоро</w:t>
      </w:r>
      <w:r w:rsidRPr="00DB5D0D">
        <w:rPr>
          <w:rFonts w:ascii="Times New Roman" w:hAnsi="Times New Roman"/>
          <w:color w:val="000000" w:themeColor="text1"/>
          <w:sz w:val="16"/>
          <w:szCs w:val="16"/>
        </w:rPr>
        <w:softHyphen/>
        <w:t>стей движения танка КВ №У-1 с «большой» башней  проводили на проселоч</w:t>
      </w:r>
      <w:r w:rsidRPr="00DB5D0D">
        <w:rPr>
          <w:rFonts w:ascii="Times New Roman" w:hAnsi="Times New Roman"/>
          <w:color w:val="000000" w:themeColor="text1"/>
          <w:sz w:val="16"/>
          <w:szCs w:val="16"/>
        </w:rPr>
        <w:softHyphen/>
        <w:t>ной разбитой дороге в сухую, жаркую погоду, в условиях высокой запыленности. С самого на</w:t>
      </w:r>
      <w:r w:rsidRPr="00DB5D0D">
        <w:rPr>
          <w:rFonts w:ascii="Times New Roman" w:hAnsi="Times New Roman"/>
          <w:color w:val="000000" w:themeColor="text1"/>
          <w:sz w:val="16"/>
          <w:szCs w:val="16"/>
        </w:rPr>
        <w:softHyphen/>
        <w:t>чала пробега экипаж обратил внимание на рост температуры двигателя (воды и масла). Тем не менее, обеспечив приемлемый температурный режим, испытания продолжили. Через 36 км, во время вынужденной остановки для регулировки главного фрикциона, обнаружили выброс масла из сапуна двигателя. Движение возобновили и завершили круг через 23 км с пониженным до 1 атм. давлением масла. При осмотре воздуш</w:t>
      </w:r>
      <w:r w:rsidRPr="00DB5D0D">
        <w:rPr>
          <w:rFonts w:ascii="Times New Roman" w:hAnsi="Times New Roman"/>
          <w:color w:val="000000" w:themeColor="text1"/>
          <w:sz w:val="16"/>
          <w:szCs w:val="16"/>
        </w:rPr>
        <w:softHyphen/>
        <w:t>ного фильтра выяснилось, что за время движе</w:t>
      </w:r>
      <w:r w:rsidRPr="00DB5D0D">
        <w:rPr>
          <w:rFonts w:ascii="Times New Roman" w:hAnsi="Times New Roman"/>
          <w:color w:val="000000" w:themeColor="text1"/>
          <w:sz w:val="16"/>
          <w:szCs w:val="16"/>
        </w:rPr>
        <w:softHyphen/>
        <w:t xml:space="preserve">ния (5,5 ч) он полностью забился пылью. После обслуживания фильтра испытания продолжили, но через 40 мин вновь резко </w:t>
      </w:r>
      <w:r w:rsidRPr="00DB5D0D">
        <w:rPr>
          <w:rFonts w:ascii="Times New Roman" w:hAnsi="Times New Roman"/>
          <w:color w:val="000000" w:themeColor="text1"/>
          <w:sz w:val="16"/>
          <w:szCs w:val="16"/>
        </w:rPr>
        <w:lastRenderedPageBreak/>
        <w:t>повысилась тем</w:t>
      </w:r>
      <w:r w:rsidRPr="00DB5D0D">
        <w:rPr>
          <w:rFonts w:ascii="Times New Roman" w:hAnsi="Times New Roman"/>
          <w:color w:val="000000" w:themeColor="text1"/>
          <w:sz w:val="16"/>
          <w:szCs w:val="16"/>
        </w:rPr>
        <w:softHyphen/>
        <w:t>пература, нарушилась регулировка главного фрикциона и вышел из строя левый стартер. На устранение неисправностей потратили 50 мин и вновь вернулись на маршрут. Через 20 мин, ког</w:t>
      </w:r>
      <w:r w:rsidRPr="00DB5D0D">
        <w:rPr>
          <w:rFonts w:ascii="Times New Roman" w:hAnsi="Times New Roman"/>
          <w:color w:val="000000" w:themeColor="text1"/>
          <w:sz w:val="16"/>
          <w:szCs w:val="16"/>
        </w:rPr>
        <w:softHyphen/>
        <w:t>да падение давления масла стал сопровождать и</w:t>
      </w:r>
      <w:r w:rsidRPr="00DB5D0D">
        <w:rPr>
          <w:rStyle w:val="aff6"/>
          <w:rFonts w:ascii="Times New Roman" w:eastAsia="Arial Narrow" w:hAnsi="Times New Roman" w:cs="Times New Roman"/>
          <w:i w:val="0"/>
          <w:color w:val="000000" w:themeColor="text1"/>
        </w:rPr>
        <w:t xml:space="preserve"> «подозрительный стук мотора»,</w:t>
      </w:r>
      <w:r w:rsidRPr="00DB5D0D">
        <w:rPr>
          <w:rFonts w:ascii="Times New Roman" w:hAnsi="Times New Roman"/>
          <w:color w:val="000000" w:themeColor="text1"/>
          <w:sz w:val="16"/>
          <w:szCs w:val="16"/>
        </w:rPr>
        <w:t xml:space="preserve"> испытания пришлось прервать из-за поломки шестого ле</w:t>
      </w:r>
      <w:r w:rsidRPr="00DB5D0D">
        <w:rPr>
          <w:rFonts w:ascii="Times New Roman" w:hAnsi="Times New Roman"/>
          <w:color w:val="000000" w:themeColor="text1"/>
          <w:sz w:val="16"/>
          <w:szCs w:val="16"/>
        </w:rPr>
        <w:softHyphen/>
        <w:t>вого торсиона подвески.</w:t>
      </w:r>
    </w:p>
    <w:p w14:paraId="55BA6B88"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Танк доставили на базу буксиром для за</w:t>
      </w:r>
      <w:r w:rsidRPr="00DB5D0D">
        <w:rPr>
          <w:rFonts w:ascii="Times New Roman" w:hAnsi="Times New Roman"/>
          <w:color w:val="000000" w:themeColor="text1"/>
          <w:sz w:val="16"/>
          <w:szCs w:val="16"/>
        </w:rPr>
        <w:softHyphen/>
        <w:t>мены двигателя. Осмотром было установле</w:t>
      </w:r>
      <w:r w:rsidRPr="00DB5D0D">
        <w:rPr>
          <w:rFonts w:ascii="Times New Roman" w:hAnsi="Times New Roman"/>
          <w:color w:val="000000" w:themeColor="text1"/>
          <w:sz w:val="16"/>
          <w:szCs w:val="16"/>
        </w:rPr>
        <w:softHyphen/>
        <w:t>но, что за 1 ч 17 мин работы двигателя фильтр (после обслуживания) вновь полностью забил</w:t>
      </w:r>
      <w:r w:rsidRPr="00DB5D0D">
        <w:rPr>
          <w:rFonts w:ascii="Times New Roman" w:hAnsi="Times New Roman"/>
          <w:color w:val="000000" w:themeColor="text1"/>
          <w:sz w:val="16"/>
          <w:szCs w:val="16"/>
        </w:rPr>
        <w:softHyphen/>
        <w:t>ся пылью (в нем обнаружили сухую и прома</w:t>
      </w:r>
      <w:r w:rsidRPr="00DB5D0D">
        <w:rPr>
          <w:rFonts w:ascii="Times New Roman" w:hAnsi="Times New Roman"/>
          <w:color w:val="000000" w:themeColor="text1"/>
          <w:sz w:val="16"/>
          <w:szCs w:val="16"/>
        </w:rPr>
        <w:softHyphen/>
        <w:t>сленную пыль массой 3,5 кг). Таким образом, в ходе пробега в первой половине дня двига</w:t>
      </w:r>
      <w:r w:rsidRPr="00DB5D0D">
        <w:rPr>
          <w:rFonts w:ascii="Times New Roman" w:hAnsi="Times New Roman"/>
          <w:color w:val="000000" w:themeColor="text1"/>
          <w:sz w:val="16"/>
          <w:szCs w:val="16"/>
        </w:rPr>
        <w:softHyphen/>
        <w:t>тель функционировал практически без пред</w:t>
      </w:r>
      <w:r w:rsidRPr="00DB5D0D">
        <w:rPr>
          <w:rFonts w:ascii="Times New Roman" w:hAnsi="Times New Roman"/>
          <w:color w:val="000000" w:themeColor="text1"/>
          <w:sz w:val="16"/>
          <w:szCs w:val="16"/>
        </w:rPr>
        <w:softHyphen/>
        <w:t>варительной очистки воздуха, что и привело к его выходу из строя. Требовалось срочно спро</w:t>
      </w:r>
      <w:r w:rsidRPr="00DB5D0D">
        <w:rPr>
          <w:rFonts w:ascii="Times New Roman" w:hAnsi="Times New Roman"/>
          <w:color w:val="000000" w:themeColor="text1"/>
          <w:sz w:val="16"/>
          <w:szCs w:val="16"/>
        </w:rPr>
        <w:softHyphen/>
        <w:t>ектировать новый работоспособный воздушный фильтр. Для обеспечения надежной эксплуата</w:t>
      </w:r>
      <w:r w:rsidRPr="00DB5D0D">
        <w:rPr>
          <w:rFonts w:ascii="Times New Roman" w:hAnsi="Times New Roman"/>
          <w:color w:val="000000" w:themeColor="text1"/>
          <w:sz w:val="16"/>
          <w:szCs w:val="16"/>
        </w:rPr>
        <w:softHyphen/>
        <w:t>ции замененного двигателя воздушный фильтр временно установили в башне, обеспечив за</w:t>
      </w:r>
      <w:r w:rsidRPr="00DB5D0D">
        <w:rPr>
          <w:rFonts w:ascii="Times New Roman" w:hAnsi="Times New Roman"/>
          <w:color w:val="000000" w:themeColor="text1"/>
          <w:sz w:val="16"/>
          <w:szCs w:val="16"/>
        </w:rPr>
        <w:softHyphen/>
        <w:t>бор воздуха через открытый люк. Кроме того, для снижения запыленности на входе в воз</w:t>
      </w:r>
      <w:r w:rsidRPr="00DB5D0D">
        <w:rPr>
          <w:rFonts w:ascii="Times New Roman" w:hAnsi="Times New Roman"/>
          <w:color w:val="000000" w:themeColor="text1"/>
          <w:sz w:val="16"/>
          <w:szCs w:val="16"/>
        </w:rPr>
        <w:softHyphen/>
        <w:t>душный фильтр при размещении его на штат</w:t>
      </w:r>
      <w:r w:rsidRPr="00DB5D0D">
        <w:rPr>
          <w:rFonts w:ascii="Times New Roman" w:hAnsi="Times New Roman"/>
          <w:color w:val="000000" w:themeColor="text1"/>
          <w:sz w:val="16"/>
          <w:szCs w:val="16"/>
        </w:rPr>
        <w:softHyphen/>
        <w:t>ном месте увеличили ширину крыльев машины (до ширины гусеницы), прикрепили брезенто</w:t>
      </w:r>
      <w:r w:rsidRPr="00DB5D0D">
        <w:rPr>
          <w:rFonts w:ascii="Times New Roman" w:hAnsi="Times New Roman"/>
          <w:color w:val="000000" w:themeColor="text1"/>
          <w:sz w:val="16"/>
          <w:szCs w:val="16"/>
        </w:rPr>
        <w:softHyphen/>
        <w:t>вые фартуки к передней части крыльев и увели</w:t>
      </w:r>
      <w:r w:rsidRPr="00DB5D0D">
        <w:rPr>
          <w:rFonts w:ascii="Times New Roman" w:hAnsi="Times New Roman"/>
          <w:color w:val="000000" w:themeColor="text1"/>
          <w:sz w:val="16"/>
          <w:szCs w:val="16"/>
        </w:rPr>
        <w:softHyphen/>
        <w:t>чили ширину заднего отражателя воздуха, отра</w:t>
      </w:r>
      <w:r w:rsidRPr="00DB5D0D">
        <w:rPr>
          <w:rFonts w:ascii="Times New Roman" w:hAnsi="Times New Roman"/>
          <w:color w:val="000000" w:themeColor="text1"/>
          <w:sz w:val="16"/>
          <w:szCs w:val="16"/>
        </w:rPr>
        <w:softHyphen/>
        <w:t>ботанного системой охлаждения.</w:t>
      </w:r>
    </w:p>
    <w:p w14:paraId="6BBC197E"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Пробеги при температуре наружного воз</w:t>
      </w:r>
      <w:r w:rsidRPr="00DB5D0D">
        <w:rPr>
          <w:rFonts w:ascii="Times New Roman" w:hAnsi="Times New Roman"/>
          <w:color w:val="000000" w:themeColor="text1"/>
          <w:sz w:val="16"/>
          <w:szCs w:val="16"/>
        </w:rPr>
        <w:softHyphen/>
        <w:t>духа +20 - +30°С выявили также напряженный температурный режим работы двигателя, что свидетельствовало о необходимости срочной доработки системы охлаждения. Следовало обеспечить нормальную работу двигателя при температуре наружного воздуха до +40'С.</w:t>
      </w:r>
    </w:p>
    <w:p w14:paraId="2A2AF5DA"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предварительным оценкам, установ</w:t>
      </w:r>
      <w:r w:rsidRPr="00DB5D0D">
        <w:rPr>
          <w:rFonts w:ascii="Times New Roman" w:hAnsi="Times New Roman"/>
          <w:color w:val="000000" w:themeColor="text1"/>
          <w:sz w:val="16"/>
          <w:szCs w:val="16"/>
        </w:rPr>
        <w:softHyphen/>
      </w:r>
      <w:r w:rsidRPr="00DB5D0D">
        <w:rPr>
          <w:rStyle w:val="0pt1"/>
          <w:rFonts w:eastAsia="Arial Narrow"/>
          <w:b w:val="0"/>
          <w:color w:val="000000" w:themeColor="text1"/>
          <w:spacing w:val="0"/>
          <w:sz w:val="16"/>
          <w:szCs w:val="16"/>
        </w:rPr>
        <w:t>ленный</w:t>
      </w:r>
      <w:r w:rsidRPr="00DB5D0D">
        <w:rPr>
          <w:rFonts w:ascii="Times New Roman" w:hAnsi="Times New Roman"/>
          <w:color w:val="000000" w:themeColor="text1"/>
          <w:sz w:val="16"/>
          <w:szCs w:val="16"/>
        </w:rPr>
        <w:t xml:space="preserve"> в танке двигатель В-2-К по мощности обеспечивал нормальную динамику движени</w:t>
      </w:r>
      <w:r w:rsidRPr="00DB5D0D">
        <w:rPr>
          <w:rStyle w:val="0pt1"/>
          <w:rFonts w:eastAsia="Arial Narrow"/>
          <w:b w:val="0"/>
          <w:color w:val="000000" w:themeColor="text1"/>
          <w:spacing w:val="0"/>
          <w:sz w:val="16"/>
          <w:szCs w:val="16"/>
        </w:rPr>
        <w:t>я,</w:t>
      </w:r>
      <w:r w:rsidRPr="00DB5D0D">
        <w:rPr>
          <w:rFonts w:ascii="Times New Roman" w:hAnsi="Times New Roman"/>
          <w:color w:val="000000" w:themeColor="text1"/>
          <w:sz w:val="16"/>
          <w:szCs w:val="16"/>
        </w:rPr>
        <w:t xml:space="preserve"> оказался надежным и при нормальном обслуживании мог работать в танке более 100 ч. Требовалось довести эту цифру до 200 ч, чтобы моторесурс двигателя соответствовал сроку службы танка.</w:t>
      </w:r>
    </w:p>
    <w:p w14:paraId="4D26886E"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Максимальную скорость танка опреде</w:t>
      </w:r>
      <w:r w:rsidRPr="00DB5D0D">
        <w:rPr>
          <w:rFonts w:ascii="Times New Roman" w:hAnsi="Times New Roman"/>
          <w:color w:val="000000" w:themeColor="text1"/>
          <w:sz w:val="16"/>
          <w:szCs w:val="16"/>
        </w:rPr>
        <w:softHyphen/>
        <w:t>лили на мерном километровом участке ас</w:t>
      </w:r>
      <w:r w:rsidRPr="00DB5D0D">
        <w:rPr>
          <w:rFonts w:ascii="Times New Roman" w:hAnsi="Times New Roman"/>
          <w:color w:val="000000" w:themeColor="text1"/>
          <w:sz w:val="16"/>
          <w:szCs w:val="16"/>
        </w:rPr>
        <w:softHyphen/>
        <w:t>фальтового шоссе. Она составила 37,8 км/ч. 23 июля 1940 г. на маршруте Ленинград - Красное Село - Виллози протяженностью 29 км (включал асфальтовое и булыжное шос</w:t>
      </w:r>
      <w:r w:rsidRPr="00DB5D0D">
        <w:rPr>
          <w:rFonts w:ascii="Times New Roman" w:hAnsi="Times New Roman"/>
          <w:color w:val="000000" w:themeColor="text1"/>
          <w:sz w:val="16"/>
          <w:szCs w:val="16"/>
        </w:rPr>
        <w:softHyphen/>
        <w:t>се) получили оперативную среднюю скорость движения 21,5 км/ч.</w:t>
      </w:r>
    </w:p>
    <w:p w14:paraId="5A4CD4CD"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провели специальные испытания по преодолению препятствий. Вертикальная стенка (бетонированный фундамент старого дома) высотой 1,2 м была сдвинута и преодо</w:t>
      </w:r>
      <w:r w:rsidRPr="00DB5D0D">
        <w:rPr>
          <w:rFonts w:ascii="Times New Roman" w:hAnsi="Times New Roman"/>
          <w:color w:val="000000" w:themeColor="text1"/>
          <w:sz w:val="16"/>
          <w:szCs w:val="16"/>
        </w:rPr>
        <w:softHyphen/>
        <w:t>лена с третьей попытки. Танк без труда прео</w:t>
      </w:r>
      <w:r w:rsidRPr="00DB5D0D">
        <w:rPr>
          <w:rFonts w:ascii="Times New Roman" w:hAnsi="Times New Roman"/>
          <w:color w:val="000000" w:themeColor="text1"/>
          <w:sz w:val="16"/>
          <w:szCs w:val="16"/>
        </w:rPr>
        <w:softHyphen/>
        <w:t>долел ров шириной 2,72 м и водную преграду глубиной 2 м и шириной 19 м.</w:t>
      </w:r>
    </w:p>
    <w:p w14:paraId="508CAB71"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Трансмиссия обеспечивала в целом гаран</w:t>
      </w:r>
      <w:r w:rsidRPr="00DB5D0D">
        <w:rPr>
          <w:rFonts w:ascii="Times New Roman" w:hAnsi="Times New Roman"/>
          <w:color w:val="000000" w:themeColor="text1"/>
          <w:sz w:val="16"/>
          <w:szCs w:val="16"/>
        </w:rPr>
        <w:softHyphen/>
        <w:t>тийный километраж танка в объеме 2000 км. Наряду с этим обращалось внимание на низкое качество монтажа и регулировки: после 1115 км вышли из строя оба бортовых фрикциона (труб</w:t>
      </w:r>
      <w:r w:rsidRPr="00DB5D0D">
        <w:rPr>
          <w:rFonts w:ascii="Times New Roman" w:hAnsi="Times New Roman"/>
          <w:color w:val="000000" w:themeColor="text1"/>
          <w:sz w:val="16"/>
          <w:szCs w:val="16"/>
        </w:rPr>
        <w:softHyphen/>
        <w:t>ки подвода смазки к подшипникам были смяты при монтаже) и шесть тормозных лент.</w:t>
      </w:r>
    </w:p>
    <w:p w14:paraId="3F99E844"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Имелись проблемы и в ходовой части тан</w:t>
      </w:r>
      <w:r w:rsidRPr="00DB5D0D">
        <w:rPr>
          <w:rFonts w:ascii="Times New Roman" w:hAnsi="Times New Roman"/>
          <w:color w:val="000000" w:themeColor="text1"/>
          <w:sz w:val="16"/>
          <w:szCs w:val="16"/>
        </w:rPr>
        <w:softHyphen/>
        <w:t>ка. Так, за время испытаний вышли из строя 17 опорных катков. Из-за недостаточной жесткости нажимных дисков без ребер и их отгибания ре</w:t>
      </w:r>
      <w:r w:rsidRPr="00DB5D0D">
        <w:rPr>
          <w:rFonts w:ascii="Times New Roman" w:hAnsi="Times New Roman"/>
          <w:color w:val="000000" w:themeColor="text1"/>
          <w:sz w:val="16"/>
          <w:szCs w:val="16"/>
        </w:rPr>
        <w:softHyphen/>
        <w:t>зина амортизаторов опорных катков выдавлива</w:t>
      </w:r>
      <w:r w:rsidRPr="00DB5D0D">
        <w:rPr>
          <w:rFonts w:ascii="Times New Roman" w:hAnsi="Times New Roman"/>
          <w:color w:val="000000" w:themeColor="text1"/>
          <w:sz w:val="16"/>
          <w:szCs w:val="16"/>
        </w:rPr>
        <w:softHyphen/>
        <w:t>лась и они разваливались. Некоторые катки на</w:t>
      </w:r>
      <w:r w:rsidRPr="00DB5D0D">
        <w:rPr>
          <w:rFonts w:ascii="Times New Roman" w:hAnsi="Times New Roman"/>
          <w:color w:val="000000" w:themeColor="text1"/>
          <w:sz w:val="16"/>
          <w:szCs w:val="16"/>
        </w:rPr>
        <w:softHyphen/>
        <w:t>чинали выходить из строя через 165-212 км про</w:t>
      </w:r>
      <w:r w:rsidRPr="00DB5D0D">
        <w:rPr>
          <w:rFonts w:ascii="Times New Roman" w:hAnsi="Times New Roman"/>
          <w:color w:val="000000" w:themeColor="text1"/>
          <w:sz w:val="16"/>
          <w:szCs w:val="16"/>
        </w:rPr>
        <w:softHyphen/>
        <w:t>бега, что объяснялось их слабой запрессовкой.</w:t>
      </w:r>
    </w:p>
    <w:p w14:paraId="0E7046DB"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Артсистема М-10 проходила испытания 10-11 июля в объеме 40 усиленных выстрелов (начальная скорость - 530 м/с) при различных вертикальных углах наводки. Стрельба произ</w:t>
      </w:r>
      <w:r w:rsidRPr="00DB5D0D">
        <w:rPr>
          <w:rFonts w:ascii="Times New Roman" w:hAnsi="Times New Roman"/>
          <w:color w:val="000000" w:themeColor="text1"/>
          <w:sz w:val="16"/>
          <w:szCs w:val="16"/>
        </w:rPr>
        <w:softHyphen/>
        <w:t>водилась при двух курсовых углах (на борт и на корму танка) по 20 выстрелов с каждого.</w:t>
      </w:r>
    </w:p>
    <w:p w14:paraId="045B0459"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испытание системы повтори</w:t>
      </w:r>
      <w:r w:rsidRPr="00DB5D0D">
        <w:rPr>
          <w:rFonts w:ascii="Times New Roman" w:hAnsi="Times New Roman"/>
          <w:color w:val="000000" w:themeColor="text1"/>
          <w:sz w:val="16"/>
          <w:szCs w:val="16"/>
        </w:rPr>
        <w:softHyphen/>
        <w:t>ли, причем сделали 70 выстрелов, из них 30 нормальных (начальная скорость - 507 м/с, стрельба на кучность по щиту на дистанции 1000 м) и 40 усиленных. Кучность боя на ди</w:t>
      </w:r>
      <w:r w:rsidRPr="00DB5D0D">
        <w:rPr>
          <w:rFonts w:ascii="Times New Roman" w:hAnsi="Times New Roman"/>
          <w:color w:val="000000" w:themeColor="text1"/>
          <w:sz w:val="16"/>
          <w:szCs w:val="16"/>
        </w:rPr>
        <w:softHyphen/>
        <w:t>станции 1000 м при курсовых углах 0 и 90' при</w:t>
      </w:r>
      <w:r w:rsidRPr="00DB5D0D">
        <w:rPr>
          <w:rFonts w:ascii="Times New Roman" w:hAnsi="Times New Roman"/>
          <w:color w:val="000000" w:themeColor="text1"/>
          <w:sz w:val="16"/>
          <w:szCs w:val="16"/>
        </w:rPr>
        <w:softHyphen/>
        <w:t>знали удовлетворительной. При разборке си</w:t>
      </w:r>
      <w:r w:rsidRPr="00DB5D0D">
        <w:rPr>
          <w:rFonts w:ascii="Times New Roman" w:hAnsi="Times New Roman"/>
          <w:color w:val="000000" w:themeColor="text1"/>
          <w:sz w:val="16"/>
          <w:szCs w:val="16"/>
        </w:rPr>
        <w:softHyphen/>
        <w:t>стемы после испытаний дефектов не обнару</w:t>
      </w:r>
      <w:r w:rsidRPr="00DB5D0D">
        <w:rPr>
          <w:rFonts w:ascii="Times New Roman" w:hAnsi="Times New Roman"/>
          <w:color w:val="000000" w:themeColor="text1"/>
          <w:sz w:val="16"/>
          <w:szCs w:val="16"/>
        </w:rPr>
        <w:softHyphen/>
        <w:t>жили. Для обеспечения проверки работоспо</w:t>
      </w:r>
      <w:r w:rsidRPr="00DB5D0D">
        <w:rPr>
          <w:rFonts w:ascii="Times New Roman" w:hAnsi="Times New Roman"/>
          <w:color w:val="000000" w:themeColor="text1"/>
          <w:sz w:val="16"/>
          <w:szCs w:val="16"/>
        </w:rPr>
        <w:softHyphen/>
        <w:t>собности тормоза отката системы в' условиях танка рекомендовалось доработать инструк</w:t>
      </w:r>
      <w:r w:rsidRPr="00DB5D0D">
        <w:rPr>
          <w:rFonts w:ascii="Times New Roman" w:hAnsi="Times New Roman"/>
          <w:color w:val="000000" w:themeColor="text1"/>
          <w:sz w:val="16"/>
          <w:szCs w:val="16"/>
        </w:rPr>
        <w:softHyphen/>
        <w:t>цию по обслуживанию системы.</w:t>
      </w:r>
    </w:p>
    <w:p w14:paraId="32C27411"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итогам испытаний отмечалось</w:t>
      </w:r>
      <w:r w:rsidRPr="00DB5D0D">
        <w:rPr>
          <w:rStyle w:val="aff6"/>
          <w:rFonts w:ascii="Times New Roman" w:eastAsia="Arial Narrow" w:hAnsi="Times New Roman" w:cs="Times New Roman"/>
          <w:i w:val="0"/>
          <w:color w:val="000000" w:themeColor="text1"/>
        </w:rPr>
        <w:t xml:space="preserve"> «несе</w:t>
      </w:r>
      <w:r w:rsidRPr="00DB5D0D">
        <w:rPr>
          <w:rStyle w:val="aff6"/>
          <w:rFonts w:ascii="Times New Roman" w:eastAsia="Arial Narrow" w:hAnsi="Times New Roman" w:cs="Times New Roman"/>
          <w:i w:val="0"/>
          <w:color w:val="000000" w:themeColor="text1"/>
        </w:rPr>
        <w:softHyphen/>
        <w:t>рьезное отношение работников завода к под</w:t>
      </w:r>
      <w:r w:rsidRPr="00DB5D0D">
        <w:rPr>
          <w:rStyle w:val="aff6"/>
          <w:rFonts w:ascii="Times New Roman" w:eastAsia="Arial Narrow" w:hAnsi="Times New Roman" w:cs="Times New Roman"/>
          <w:i w:val="0"/>
          <w:color w:val="000000" w:themeColor="text1"/>
        </w:rPr>
        <w:softHyphen/>
        <w:t>готовке испытаний. Танк №У-1 участвовал на фронте в Финляндии, после чего был произ</w:t>
      </w:r>
      <w:r w:rsidRPr="00DB5D0D">
        <w:rPr>
          <w:rStyle w:val="aff6"/>
          <w:rFonts w:ascii="Times New Roman" w:eastAsia="Arial Narrow" w:hAnsi="Times New Roman" w:cs="Times New Roman"/>
          <w:i w:val="0"/>
          <w:color w:val="000000" w:themeColor="text1"/>
        </w:rPr>
        <w:softHyphen/>
        <w:t>веден капитальный ремонт его и предъявлен на испытания. Отсюда срок работы некоторых агрегатов (бортовые передачи, ходовая часть и др.) установить невозможно».</w:t>
      </w:r>
      <w:r w:rsidRPr="00DB5D0D">
        <w:rPr>
          <w:rFonts w:ascii="Times New Roman" w:hAnsi="Times New Roman"/>
          <w:color w:val="000000" w:themeColor="text1"/>
          <w:sz w:val="16"/>
          <w:szCs w:val="16"/>
        </w:rPr>
        <w:t xml:space="preserve"> Предлагалось усилить контроль за сборкой и монтажом уз</w:t>
      </w:r>
      <w:r w:rsidRPr="00DB5D0D">
        <w:rPr>
          <w:rFonts w:ascii="Times New Roman" w:hAnsi="Times New Roman"/>
          <w:color w:val="000000" w:themeColor="text1"/>
          <w:sz w:val="16"/>
          <w:szCs w:val="16"/>
        </w:rPr>
        <w:softHyphen/>
        <w:t>лов и агрегатов, обязав представителей воен</w:t>
      </w:r>
      <w:r w:rsidRPr="00DB5D0D">
        <w:rPr>
          <w:rFonts w:ascii="Times New Roman" w:hAnsi="Times New Roman"/>
          <w:color w:val="000000" w:themeColor="text1"/>
          <w:sz w:val="16"/>
          <w:szCs w:val="16"/>
        </w:rPr>
        <w:softHyphen/>
        <w:t>ной приемки принимать все узлы и агрегаты в целом и некоторые отдельные детали (напри</w:t>
      </w:r>
      <w:r w:rsidRPr="00DB5D0D">
        <w:rPr>
          <w:rFonts w:ascii="Times New Roman" w:hAnsi="Times New Roman"/>
          <w:color w:val="000000" w:themeColor="text1"/>
          <w:sz w:val="16"/>
          <w:szCs w:val="16"/>
        </w:rPr>
        <w:softHyphen/>
        <w:t>мер, торсионы). Следовало ускорить введе</w:t>
      </w:r>
      <w:r w:rsidRPr="00DB5D0D">
        <w:rPr>
          <w:rFonts w:ascii="Times New Roman" w:hAnsi="Times New Roman"/>
          <w:color w:val="000000" w:themeColor="text1"/>
          <w:sz w:val="16"/>
          <w:szCs w:val="16"/>
        </w:rPr>
        <w:softHyphen/>
        <w:t>ние стендов для испытаний узлов и агрегатов и приспособлений для их проверки на узловой сборке. В результате на заводе провели целый ряд мероприятий организационного характе</w:t>
      </w:r>
      <w:r w:rsidRPr="00DB5D0D">
        <w:rPr>
          <w:rFonts w:ascii="Times New Roman" w:hAnsi="Times New Roman"/>
          <w:color w:val="000000" w:themeColor="text1"/>
          <w:sz w:val="16"/>
          <w:szCs w:val="16"/>
        </w:rPr>
        <w:softHyphen/>
        <w:t>ра, опытный цех перевели в подчинение КБ и расширили его производственную базу.</w:t>
      </w:r>
    </w:p>
    <w:p w14:paraId="68EB90AE"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заключение указывалось, что танк с во</w:t>
      </w:r>
      <w:r w:rsidRPr="00DB5D0D">
        <w:rPr>
          <w:rFonts w:ascii="Times New Roman" w:hAnsi="Times New Roman"/>
          <w:color w:val="000000" w:themeColor="text1"/>
          <w:sz w:val="16"/>
          <w:szCs w:val="16"/>
        </w:rPr>
        <w:softHyphen/>
        <w:t>оружением соответствует предъявленным требованиям и после устранения выявлен</w:t>
      </w:r>
      <w:r w:rsidRPr="00DB5D0D">
        <w:rPr>
          <w:rFonts w:ascii="Times New Roman" w:hAnsi="Times New Roman"/>
          <w:color w:val="000000" w:themeColor="text1"/>
          <w:sz w:val="16"/>
          <w:szCs w:val="16"/>
        </w:rPr>
        <w:softHyphen/>
        <w:t>ных недостатков может быть предъявлен на войсковые испытания по особой программе ГАБТУ КА (15767).</w:t>
      </w:r>
    </w:p>
    <w:p w14:paraId="301A619E" w14:textId="77777777" w:rsidR="00CE127A" w:rsidRPr="00DB5D0D" w:rsidRDefault="00CE127A" w:rsidP="00DB5D0D">
      <w:pPr>
        <w:spacing w:after="0" w:line="240" w:lineRule="auto"/>
        <w:jc w:val="both"/>
        <w:rPr>
          <w:rFonts w:ascii="Times New Roman" w:hAnsi="Times New Roman"/>
          <w:color w:val="000000" w:themeColor="text1"/>
          <w:sz w:val="16"/>
          <w:szCs w:val="16"/>
        </w:rPr>
      </w:pPr>
    </w:p>
    <w:p w14:paraId="7F1FAE4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20 июня 1940:</w:t>
      </w:r>
    </w:p>
    <w:p w14:paraId="7D6DEFB9"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Из оперативной сводки по СТЗ от 20.06.1940 г. </w:t>
      </w:r>
    </w:p>
    <w:p w14:paraId="7D9277E0"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Специальное КЭО СТЗ пересматривает чертежи согласно замечаниям завода № 183. Технология по всем группам отработана. К существующим станкам необходимо заказать еще 250-260 штук. Идет переделка сдаточного цеха (Т-26) – очень медленно. </w:t>
      </w:r>
    </w:p>
    <w:p w14:paraId="770DCD53"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Заводом по намеченной технологии к 17.06.1940 г. собрана одна машина Т-34, которая прошла заводскую обкатку. Обнаружены следующие дефекты : </w:t>
      </w:r>
    </w:p>
    <w:p w14:paraId="678ADA3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а) вышел из строя стартер из-за несовершенства его конструкции;</w:t>
      </w:r>
    </w:p>
    <w:p w14:paraId="54E273EE"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б) течь масла через сапун компрессора;</w:t>
      </w:r>
    </w:p>
    <w:p w14:paraId="0E86464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 ослаблено крепление маховика вентилятора на хвостовике коленчатого вала двигателя (некачественный монтаж);</w:t>
      </w:r>
    </w:p>
    <w:p w14:paraId="5043034F"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г) не работает сервомеханизм из-за недостаточного давления воздуха, подаваемого компрессором (2 атм.).</w:t>
      </w:r>
    </w:p>
    <w:p w14:paraId="35E2CEA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Машина к сдаточному пробегу будет готова через 15-20 дней.</w:t>
      </w:r>
    </w:p>
    <w:p w14:paraId="591EDE84"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До получения с завода № 183 чертежей на механическое сервоуправление, до установки его на машину, проводить сдаточный пробег считаю нецелесообразным. </w:t>
      </w:r>
    </w:p>
    <w:p w14:paraId="104B65D7"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Из 6 человек военной приемки на приемке тракторов и запчастей занято 4. Необходимо дополнительно 8 человек для приемки Т-34. </w:t>
      </w:r>
    </w:p>
    <w:p w14:paraId="378EB48F"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Военный представитель АБТУ РККА на СТЗ</w:t>
      </w:r>
    </w:p>
    <w:p w14:paraId="78B1A86A"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военинженер 2-го ранга Левин (11459).</w:t>
      </w:r>
    </w:p>
    <w:p w14:paraId="5296DBE0"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007DF37A" w14:textId="77777777" w:rsidR="00A25AD1" w:rsidRPr="00DB5D0D" w:rsidRDefault="00A25AD1" w:rsidP="00DB5D0D">
      <w:pPr>
        <w:pStyle w:val="a3"/>
        <w:rPr>
          <w:color w:val="000000" w:themeColor="text1"/>
          <w:lang w:val="ru-RU"/>
        </w:rPr>
      </w:pPr>
      <w:r w:rsidRPr="00DB5D0D">
        <w:rPr>
          <w:color w:val="000000" w:themeColor="text1"/>
          <w:lang w:val="ru-RU"/>
        </w:rPr>
        <w:t>20 июня 1940 г. руко</w:t>
      </w:r>
      <w:r w:rsidRPr="00DB5D0D">
        <w:rPr>
          <w:color w:val="000000" w:themeColor="text1"/>
          <w:lang w:val="ru-RU"/>
        </w:rPr>
        <w:softHyphen/>
        <w:t>водство Мариупольского завода отправило в адрес 7-го ГУ НКСП и АБТУ письмо с просьбой утвердить решения совещания в Мариуполе 15 июня.</w:t>
      </w:r>
    </w:p>
    <w:p w14:paraId="7AF22D4A" w14:textId="77777777" w:rsidR="00A25AD1" w:rsidRPr="00DB5D0D" w:rsidRDefault="00A25AD1" w:rsidP="00DB5D0D">
      <w:pPr>
        <w:pStyle w:val="a3"/>
        <w:rPr>
          <w:color w:val="000000" w:themeColor="text1"/>
          <w:lang w:val="ru-RU"/>
        </w:rPr>
      </w:pPr>
      <w:r w:rsidRPr="00DB5D0D">
        <w:rPr>
          <w:rStyle w:val="160pt64"/>
          <w:rFonts w:ascii="Times New Roman" w:hAnsi="Times New Roman" w:cs="Times New Roman"/>
          <w:i w:val="0"/>
          <w:iCs w:val="0"/>
          <w:color w:val="000000" w:themeColor="text1"/>
          <w:lang w:val="ru-RU"/>
        </w:rPr>
        <w:t>НАЧАЛЬНИКУ 7-го ГЛАВНОГО УПРАВЛЕНИЯ НКСП т. ЕМЕЛЬЯНОВУ</w:t>
      </w:r>
    </w:p>
    <w:p w14:paraId="37C062E6"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НАЧАЛЬНИКУАБТУ КА - ГЕНЕРАЛ ПОЛКОВНИКУ т. ПАВЛОВУ</w:t>
      </w:r>
    </w:p>
    <w:p w14:paraId="6A9EF009"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На Ваше письмо № 2228 от </w:t>
      </w:r>
      <w:r w:rsidRPr="00DB5D0D">
        <w:rPr>
          <w:b w:val="0"/>
          <w:bCs w:val="0"/>
          <w:i w:val="0"/>
          <w:iCs w:val="0"/>
          <w:noProof w:val="0"/>
          <w:color w:val="000000" w:themeColor="text1"/>
          <w:sz w:val="16"/>
          <w:szCs w:val="16"/>
          <w:lang w:val="ru-RU"/>
        </w:rPr>
        <w:t>05/</w:t>
      </w:r>
      <w:r w:rsidRPr="00DB5D0D">
        <w:rPr>
          <w:b w:val="0"/>
          <w:bCs w:val="0"/>
          <w:i w:val="0"/>
          <w:iCs w:val="0"/>
          <w:noProof w:val="0"/>
          <w:color w:val="000000" w:themeColor="text1"/>
          <w:sz w:val="16"/>
          <w:szCs w:val="16"/>
        </w:rPr>
        <w:t>VI</w:t>
      </w:r>
      <w:r w:rsidRPr="00DB5D0D">
        <w:rPr>
          <w:b w:val="0"/>
          <w:bCs w:val="0"/>
          <w:i w:val="0"/>
          <w:iCs w:val="0"/>
          <w:noProof w:val="0"/>
          <w:color w:val="000000" w:themeColor="text1"/>
          <w:sz w:val="16"/>
          <w:szCs w:val="16"/>
          <w:lang w:val="ru-RU"/>
        </w:rPr>
        <w:t xml:space="preserve">-40 </w:t>
      </w:r>
      <w:r w:rsidRPr="00DB5D0D">
        <w:rPr>
          <w:b w:val="0"/>
          <w:bCs w:val="0"/>
          <w:i w:val="0"/>
          <w:iCs w:val="0"/>
          <w:color w:val="000000" w:themeColor="text1"/>
          <w:sz w:val="16"/>
          <w:szCs w:val="16"/>
          <w:lang w:val="ru-RU"/>
        </w:rPr>
        <w:t>г. по вопросу проведения опытной штамповки деталей машины А-34 на ковочном прессе 15000 тонн сообщаем:</w:t>
      </w:r>
    </w:p>
    <w:p w14:paraId="6E6B8B58"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Наиболее узким местом в производстве деталей машины А-34 на Мариупольском заводе является правка деталей больших га</w:t>
      </w:r>
      <w:r w:rsidRPr="00DB5D0D">
        <w:rPr>
          <w:b w:val="0"/>
          <w:bCs w:val="0"/>
          <w:i w:val="0"/>
          <w:iCs w:val="0"/>
          <w:color w:val="000000" w:themeColor="text1"/>
          <w:sz w:val="16"/>
          <w:szCs w:val="16"/>
          <w:lang w:val="ru-RU"/>
        </w:rPr>
        <w:softHyphen/>
        <w:t>баритов со сложной штамповкой по плоскости; так если штампов</w:t>
      </w:r>
      <w:r w:rsidRPr="00DB5D0D">
        <w:rPr>
          <w:b w:val="0"/>
          <w:bCs w:val="0"/>
          <w:i w:val="0"/>
          <w:iCs w:val="0"/>
          <w:color w:val="000000" w:themeColor="text1"/>
          <w:sz w:val="16"/>
          <w:szCs w:val="16"/>
          <w:lang w:val="ru-RU"/>
        </w:rPr>
        <w:softHyphen/>
        <w:t>ка одной носовой детали требует работы 3000 тн. пресса 1 час, то для правки этой детали требуется задолжить 3000 тн. пресс от 8 до 16 часов в зависимости от величины и вида коробления пос</w:t>
      </w:r>
      <w:r w:rsidRPr="00DB5D0D">
        <w:rPr>
          <w:b w:val="0"/>
          <w:bCs w:val="0"/>
          <w:i w:val="0"/>
          <w:iCs w:val="0"/>
          <w:color w:val="000000" w:themeColor="text1"/>
          <w:sz w:val="16"/>
          <w:szCs w:val="16"/>
          <w:lang w:val="ru-RU"/>
        </w:rPr>
        <w:softHyphen/>
        <w:t>ле закалки.</w:t>
      </w:r>
    </w:p>
    <w:p w14:paraId="2ECD9566"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С целью расшивки этого - наиболее узкого участка на Мариу</w:t>
      </w:r>
      <w:r w:rsidRPr="00DB5D0D">
        <w:rPr>
          <w:b w:val="0"/>
          <w:bCs w:val="0"/>
          <w:i w:val="0"/>
          <w:iCs w:val="0"/>
          <w:color w:val="000000" w:themeColor="text1"/>
          <w:sz w:val="16"/>
          <w:szCs w:val="16"/>
          <w:lang w:val="ru-RU"/>
        </w:rPr>
        <w:softHyphen/>
        <w:t>польском заводе было предложено изготовить носовую деталь сли</w:t>
      </w:r>
      <w:r w:rsidRPr="00DB5D0D">
        <w:rPr>
          <w:b w:val="0"/>
          <w:bCs w:val="0"/>
          <w:i w:val="0"/>
          <w:iCs w:val="0"/>
          <w:color w:val="000000" w:themeColor="text1"/>
          <w:sz w:val="16"/>
          <w:szCs w:val="16"/>
          <w:lang w:val="ru-RU"/>
        </w:rPr>
        <w:softHyphen/>
        <w:t>той вставкой, испытание на полигоне двух таких деталей дали впол</w:t>
      </w:r>
      <w:r w:rsidRPr="00DB5D0D">
        <w:rPr>
          <w:b w:val="0"/>
          <w:bCs w:val="0"/>
          <w:i w:val="0"/>
          <w:iCs w:val="0"/>
          <w:color w:val="000000" w:themeColor="text1"/>
          <w:sz w:val="16"/>
          <w:szCs w:val="16"/>
          <w:lang w:val="ru-RU"/>
        </w:rPr>
        <w:softHyphen/>
        <w:t>не удовлетворительные результаты.</w:t>
      </w:r>
    </w:p>
    <w:p w14:paraId="1FE92939"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Рассмотрев вопрос штамповки носа с загибкой подкрылков, выш</w:t>
      </w:r>
      <w:r w:rsidRPr="00DB5D0D">
        <w:rPr>
          <w:b w:val="0"/>
          <w:bCs w:val="0"/>
          <w:i w:val="0"/>
          <w:iCs w:val="0"/>
          <w:color w:val="000000" w:themeColor="text1"/>
          <w:sz w:val="16"/>
          <w:szCs w:val="16"/>
          <w:lang w:val="ru-RU"/>
        </w:rPr>
        <w:softHyphen/>
        <w:t>тамповкой пулеметного гнезда и отгибом кромок, т.е. по эскизу, пред</w:t>
      </w:r>
      <w:r w:rsidRPr="00DB5D0D">
        <w:rPr>
          <w:b w:val="0"/>
          <w:bCs w:val="0"/>
          <w:i w:val="0"/>
          <w:iCs w:val="0"/>
          <w:color w:val="000000" w:themeColor="text1"/>
          <w:sz w:val="16"/>
          <w:szCs w:val="16"/>
          <w:lang w:val="ru-RU"/>
        </w:rPr>
        <w:softHyphen/>
        <w:t>ложенному в АБТУ КА т. ЧИЖИКОВЫМ выявилось, что такую работу производить не рационально ввиду того, что:</w:t>
      </w:r>
    </w:p>
    <w:p w14:paraId="4EDF27E7" w14:textId="77777777" w:rsidR="00A25AD1" w:rsidRPr="00DB5D0D" w:rsidRDefault="00A25AD1" w:rsidP="00DB5D0D">
      <w:pPr>
        <w:pStyle w:val="201"/>
        <w:shd w:val="clear" w:color="auto" w:fill="auto"/>
        <w:tabs>
          <w:tab w:val="left" w:pos="529"/>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1.Требуются весьма сложные штампы, изготовление которых на Мариупольском заводе займет много времени (отсутствует соот</w:t>
      </w:r>
      <w:r w:rsidRPr="00DB5D0D">
        <w:rPr>
          <w:b w:val="0"/>
          <w:bCs w:val="0"/>
          <w:i w:val="0"/>
          <w:iCs w:val="0"/>
          <w:color w:val="000000" w:themeColor="text1"/>
          <w:sz w:val="16"/>
          <w:szCs w:val="16"/>
          <w:lang w:val="ru-RU"/>
        </w:rPr>
        <w:softHyphen/>
        <w:t>ветствующее механо-оборудование).</w:t>
      </w:r>
    </w:p>
    <w:p w14:paraId="620AAB99" w14:textId="77777777" w:rsidR="00A25AD1" w:rsidRPr="00DB5D0D" w:rsidRDefault="00A25AD1" w:rsidP="00DB5D0D">
      <w:pPr>
        <w:pStyle w:val="201"/>
        <w:shd w:val="clear" w:color="auto" w:fill="auto"/>
        <w:tabs>
          <w:tab w:val="left" w:pos="47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2.Для устранения утонения металла в участке пулеметного гнез</w:t>
      </w:r>
      <w:r w:rsidRPr="00DB5D0D">
        <w:rPr>
          <w:b w:val="0"/>
          <w:bCs w:val="0"/>
          <w:i w:val="0"/>
          <w:iCs w:val="0"/>
          <w:color w:val="000000" w:themeColor="text1"/>
          <w:sz w:val="16"/>
          <w:szCs w:val="16"/>
          <w:lang w:val="ru-RU"/>
        </w:rPr>
        <w:softHyphen/>
        <w:t>да потребуется штамповку производить из 2-х, 3-х нагревов.</w:t>
      </w:r>
    </w:p>
    <w:p w14:paraId="4E65EEE3" w14:textId="77777777" w:rsidR="00A25AD1" w:rsidRPr="00DB5D0D" w:rsidRDefault="00A25AD1" w:rsidP="00DB5D0D">
      <w:pPr>
        <w:pStyle w:val="201"/>
        <w:shd w:val="clear" w:color="auto" w:fill="auto"/>
        <w:tabs>
          <w:tab w:val="left" w:pos="49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3.Механическая обработка цельно-штампованного носа на Ма</w:t>
      </w:r>
      <w:r w:rsidRPr="00DB5D0D">
        <w:rPr>
          <w:b w:val="0"/>
          <w:bCs w:val="0"/>
          <w:i w:val="0"/>
          <w:iCs w:val="0"/>
          <w:color w:val="000000" w:themeColor="text1"/>
          <w:sz w:val="16"/>
          <w:szCs w:val="16"/>
          <w:lang w:val="ru-RU"/>
        </w:rPr>
        <w:softHyphen/>
        <w:t>риупольском заводе может производиться на единицах деталей, а не на деталях массового производства ввиду отсутствия соответ</w:t>
      </w:r>
      <w:r w:rsidRPr="00DB5D0D">
        <w:rPr>
          <w:b w:val="0"/>
          <w:bCs w:val="0"/>
          <w:i w:val="0"/>
          <w:iCs w:val="0"/>
          <w:color w:val="000000" w:themeColor="text1"/>
          <w:sz w:val="16"/>
          <w:szCs w:val="16"/>
          <w:lang w:val="ru-RU"/>
        </w:rPr>
        <w:softHyphen/>
        <w:t>ствующего механо-оборудования.</w:t>
      </w:r>
    </w:p>
    <w:p w14:paraId="378A604B" w14:textId="77777777" w:rsidR="00A25AD1" w:rsidRPr="00DB5D0D" w:rsidRDefault="00A25AD1" w:rsidP="00DB5D0D">
      <w:pPr>
        <w:pStyle w:val="201"/>
        <w:shd w:val="clear" w:color="auto" w:fill="auto"/>
        <w:tabs>
          <w:tab w:val="left" w:pos="486"/>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4.Абсолютно нет никакой гарантии получить деталь после за</w:t>
      </w:r>
      <w:r w:rsidRPr="00DB5D0D">
        <w:rPr>
          <w:b w:val="0"/>
          <w:bCs w:val="0"/>
          <w:i w:val="0"/>
          <w:iCs w:val="0"/>
          <w:color w:val="000000" w:themeColor="text1"/>
          <w:sz w:val="16"/>
          <w:szCs w:val="16"/>
          <w:lang w:val="ru-RU"/>
        </w:rPr>
        <w:softHyphen/>
        <w:t>калки без коробления, вследствие чего возникает вопрос где и на каком оборудовании производить правку таких деталей.</w:t>
      </w:r>
    </w:p>
    <w:p w14:paraId="529CF151" w14:textId="77777777" w:rsidR="00A25AD1" w:rsidRPr="00DB5D0D" w:rsidRDefault="00A25AD1" w:rsidP="00DB5D0D">
      <w:pPr>
        <w:pStyle w:val="201"/>
        <w:shd w:val="clear" w:color="auto" w:fill="auto"/>
        <w:tabs>
          <w:tab w:val="left" w:pos="49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5.Узким местом производства деталей является не штамповка, а правка и механическая обработка, в частности по цельноштампо</w:t>
      </w:r>
      <w:r w:rsidRPr="00DB5D0D">
        <w:rPr>
          <w:b w:val="0"/>
          <w:bCs w:val="0"/>
          <w:i w:val="0"/>
          <w:iCs w:val="0"/>
          <w:color w:val="000000" w:themeColor="text1"/>
          <w:sz w:val="16"/>
          <w:szCs w:val="16"/>
          <w:lang w:val="ru-RU"/>
        </w:rPr>
        <w:softHyphen/>
        <w:t>ванной носовой детали, требуются большие станки для обработки надлобника и пулеметного гнезда.</w:t>
      </w:r>
    </w:p>
    <w:p w14:paraId="69E2829F"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Исходя из вышеизложенного, Мариупольский завод штамповку носовой детали не может осуществить по эскизам, предложенным т. ЧИЖИКОВЫМ и не видит целесообразности в изыскании спосо</w:t>
      </w:r>
      <w:r w:rsidRPr="00DB5D0D">
        <w:rPr>
          <w:b w:val="0"/>
          <w:bCs w:val="0"/>
          <w:i w:val="0"/>
          <w:iCs w:val="0"/>
          <w:color w:val="000000" w:themeColor="text1"/>
          <w:sz w:val="16"/>
          <w:szCs w:val="16"/>
          <w:lang w:val="ru-RU"/>
        </w:rPr>
        <w:softHyphen/>
        <w:t>бов их осуществления, т.к. даже осуществив такую штамповку, это совершенно не разрешает узкого участка прессовой правки и не уве</w:t>
      </w:r>
      <w:r w:rsidRPr="00DB5D0D">
        <w:rPr>
          <w:b w:val="0"/>
          <w:bCs w:val="0"/>
          <w:i w:val="0"/>
          <w:iCs w:val="0"/>
          <w:color w:val="000000" w:themeColor="text1"/>
          <w:sz w:val="16"/>
          <w:szCs w:val="16"/>
          <w:lang w:val="ru-RU"/>
        </w:rPr>
        <w:softHyphen/>
        <w:t>личивает производственных мощностей.</w:t>
      </w:r>
    </w:p>
    <w:p w14:paraId="31B9F191"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С целью создания дополнительных резервов в мощностях по штамповке деталей просит 7-ое Главное Управление НКСП утвер</w:t>
      </w:r>
      <w:r w:rsidRPr="00DB5D0D">
        <w:rPr>
          <w:b w:val="0"/>
          <w:bCs w:val="0"/>
          <w:i w:val="0"/>
          <w:iCs w:val="0"/>
          <w:color w:val="000000" w:themeColor="text1"/>
          <w:sz w:val="16"/>
          <w:szCs w:val="16"/>
          <w:lang w:val="ru-RU"/>
        </w:rPr>
        <w:softHyphen/>
        <w:t>дить следующий порядок опытных работ по штамповке деталей на 15000 ковочном прессе:</w:t>
      </w:r>
    </w:p>
    <w:p w14:paraId="45751F6B" w14:textId="77777777" w:rsidR="00A25AD1" w:rsidRPr="00DB5D0D" w:rsidRDefault="00A25AD1" w:rsidP="00DB5D0D">
      <w:pPr>
        <w:pStyle w:val="201"/>
        <w:shd w:val="clear" w:color="auto" w:fill="auto"/>
        <w:tabs>
          <w:tab w:val="left" w:pos="486"/>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1.Произвести штамповку опытных носовых деталей с надлобни- ком без выштамповки нижней части. Это мероприятие увеличит мощ</w:t>
      </w:r>
      <w:r w:rsidRPr="00DB5D0D">
        <w:rPr>
          <w:b w:val="0"/>
          <w:bCs w:val="0"/>
          <w:i w:val="0"/>
          <w:iCs w:val="0"/>
          <w:color w:val="000000" w:themeColor="text1"/>
          <w:sz w:val="16"/>
          <w:szCs w:val="16"/>
          <w:lang w:val="ru-RU"/>
        </w:rPr>
        <w:softHyphen/>
        <w:t>ность завода по штамповке и кроме того не потребует увеличения правильных агрегате, т.к. правка таких деталей возможна по трем направлениям на вальцах, а не на прессах, и к тому же эти детали будут соответствовать существующей валовой продукции.</w:t>
      </w:r>
    </w:p>
    <w:p w14:paraId="39431A3F" w14:textId="77777777" w:rsidR="00A25AD1" w:rsidRPr="00DB5D0D" w:rsidRDefault="00A25AD1" w:rsidP="00DB5D0D">
      <w:pPr>
        <w:pStyle w:val="201"/>
        <w:shd w:val="clear" w:color="auto" w:fill="auto"/>
        <w:tabs>
          <w:tab w:val="left" w:pos="481"/>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2.Изыскание способа штамповки на 15000 тн. ковочном прессе боковин башни и кормы корпуса.</w:t>
      </w:r>
    </w:p>
    <w:p w14:paraId="5E52BC93"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С целью быстрейшего разрешения вопроса Мариупольский за</w:t>
      </w:r>
      <w:r w:rsidRPr="00DB5D0D">
        <w:rPr>
          <w:b w:val="0"/>
          <w:bCs w:val="0"/>
          <w:i w:val="0"/>
          <w:iCs w:val="0"/>
          <w:color w:val="000000" w:themeColor="text1"/>
          <w:sz w:val="16"/>
          <w:szCs w:val="16"/>
          <w:lang w:val="ru-RU"/>
        </w:rPr>
        <w:softHyphen/>
        <w:t>вод наметил график работ, по которому начал производить подгото</w:t>
      </w:r>
      <w:r w:rsidRPr="00DB5D0D">
        <w:rPr>
          <w:b w:val="0"/>
          <w:bCs w:val="0"/>
          <w:i w:val="0"/>
          <w:iCs w:val="0"/>
          <w:color w:val="000000" w:themeColor="text1"/>
          <w:sz w:val="16"/>
          <w:szCs w:val="16"/>
          <w:lang w:val="ru-RU"/>
        </w:rPr>
        <w:softHyphen/>
        <w:t>вительные (основные) работы. Просим намеченные мероприятия и график работ утвердить.</w:t>
      </w:r>
    </w:p>
    <w:p w14:paraId="27193D81"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lastRenderedPageBreak/>
        <w:t>ДИРЕКТОР ЗАВОДА (ГАРМАШЕВ) ГЛАВНЫЙ ИНЖЕНЕР (НИЦЕНКО)</w:t>
      </w:r>
      <w:r w:rsidRPr="00DB5D0D">
        <w:rPr>
          <w:rStyle w:val="20160pt63"/>
          <w:rFonts w:ascii="Times New Roman" w:hAnsi="Times New Roman" w:cs="Times New Roman"/>
          <w:b w:val="0"/>
          <w:bCs w:val="0"/>
          <w:color w:val="000000" w:themeColor="text1"/>
          <w:spacing w:val="0"/>
          <w:lang w:val="ru-RU"/>
        </w:rPr>
        <w:t xml:space="preserve"> [</w:t>
      </w:r>
      <w:r w:rsidRPr="00DB5D0D">
        <w:rPr>
          <w:b w:val="0"/>
          <w:bCs w:val="0"/>
          <w:i w:val="0"/>
          <w:iCs w:val="0"/>
          <w:color w:val="000000" w:themeColor="text1"/>
          <w:sz w:val="16"/>
          <w:szCs w:val="16"/>
          <w:lang w:val="ru-RU"/>
        </w:rPr>
        <w:t>РГВА. Ф.31811. Оп.2. Д. 1176. Л. 152.</w:t>
      </w:r>
      <w:r w:rsidRPr="00DB5D0D">
        <w:rPr>
          <w:rStyle w:val="20160pt63"/>
          <w:rFonts w:ascii="Times New Roman" w:hAnsi="Times New Roman" w:cs="Times New Roman"/>
          <w:b w:val="0"/>
          <w:bCs w:val="0"/>
          <w:color w:val="000000" w:themeColor="text1"/>
          <w:spacing w:val="0"/>
          <w:lang w:val="ru-RU"/>
        </w:rPr>
        <w:t>]</w:t>
      </w:r>
    </w:p>
    <w:p w14:paraId="0E593923" w14:textId="77777777" w:rsidR="00A25AD1" w:rsidRPr="00DB5D0D" w:rsidRDefault="00A25AD1" w:rsidP="00DB5D0D">
      <w:pPr>
        <w:pStyle w:val="a3"/>
        <w:rPr>
          <w:color w:val="000000" w:themeColor="text1"/>
          <w:lang w:val="ru-RU"/>
        </w:rPr>
      </w:pPr>
      <w:r w:rsidRPr="00DB5D0D">
        <w:rPr>
          <w:color w:val="000000" w:themeColor="text1"/>
          <w:lang w:val="ru-RU"/>
        </w:rPr>
        <w:t>Опытные работы по штамповке на 15000-тонном прессе верхне</w:t>
      </w:r>
      <w:r w:rsidRPr="00DB5D0D">
        <w:rPr>
          <w:color w:val="000000" w:themeColor="text1"/>
          <w:lang w:val="ru-RU"/>
        </w:rPr>
        <w:softHyphen/>
        <w:t>го носового листа с выштамповкой надлобника планировалось за</w:t>
      </w:r>
      <w:r w:rsidRPr="00DB5D0D">
        <w:rPr>
          <w:color w:val="000000" w:themeColor="text1"/>
          <w:lang w:val="ru-RU"/>
        </w:rPr>
        <w:softHyphen/>
        <w:t>кончить 27 июля, боковых листов башни - 31 июля, нижней кормо</w:t>
      </w:r>
      <w:r w:rsidRPr="00DB5D0D">
        <w:rPr>
          <w:color w:val="000000" w:themeColor="text1"/>
          <w:lang w:val="ru-RU"/>
        </w:rPr>
        <w:softHyphen/>
        <w:t>вой детали - 6 августа, а верхнего носового листа с выштамповкой надлобника и будки «ДТ» - 2 сентября 1940 г.</w:t>
      </w:r>
    </w:p>
    <w:p w14:paraId="0FF19AD5" w14:textId="77777777" w:rsidR="00A25AD1" w:rsidRPr="00DB5D0D" w:rsidRDefault="00A25AD1" w:rsidP="00DB5D0D">
      <w:pPr>
        <w:pStyle w:val="a3"/>
        <w:rPr>
          <w:color w:val="000000" w:themeColor="text1"/>
          <w:lang w:val="ru-RU"/>
        </w:rPr>
      </w:pPr>
      <w:r w:rsidRPr="00DB5D0D">
        <w:rPr>
          <w:color w:val="000000" w:themeColor="text1"/>
          <w:lang w:val="ru-RU"/>
        </w:rPr>
        <w:t>Забегая вперед, скажем, что в конечном итоге руководство АБТУ и 7-го ГУ НКСП согласилось с мнением технологов Мариупольского завода о невозможности массового изготовления цельноштампован- ной носовой детали с отогнутыми подкрылками (по эскизу Д.И. Чижикова). От идеи штамповки будки «ДТ» на верхнем носовом листе также отказались ввиду сложности изготовления и последующей прав</w:t>
      </w:r>
      <w:r w:rsidRPr="00DB5D0D">
        <w:rPr>
          <w:color w:val="000000" w:themeColor="text1"/>
          <w:lang w:val="ru-RU"/>
        </w:rPr>
        <w:softHyphen/>
        <w:t>ки и мехобработки, и бронировка курсового пулемета так и осталась отдельной деталью 34.29.019. А вот опытные работы по производству верхнего носового листа с выштамповкой надлобника оказались ус</w:t>
      </w:r>
      <w:r w:rsidRPr="00DB5D0D">
        <w:rPr>
          <w:color w:val="000000" w:themeColor="text1"/>
          <w:lang w:val="ru-RU"/>
        </w:rPr>
        <w:softHyphen/>
        <w:t>пешными, и данная деталь, получившая индекс 34.29.904-2, была принята в серийное производство в конце 1940 г. (11904).</w:t>
      </w:r>
    </w:p>
    <w:p w14:paraId="42CD89D0" w14:textId="77777777" w:rsidR="00A25AD1" w:rsidRPr="00DB5D0D" w:rsidRDefault="00A25AD1" w:rsidP="00DB5D0D">
      <w:pPr>
        <w:pStyle w:val="a3"/>
        <w:rPr>
          <w:color w:val="000000" w:themeColor="text1"/>
          <w:lang w:val="ru-RU"/>
        </w:rPr>
      </w:pPr>
    </w:p>
    <w:p w14:paraId="622CBF63" w14:textId="77777777" w:rsidR="00A25AD1" w:rsidRPr="00DB5D0D" w:rsidRDefault="00A25AD1" w:rsidP="00DB5D0D">
      <w:pPr>
        <w:pStyle w:val="a3"/>
        <w:rPr>
          <w:color w:val="000000" w:themeColor="text1"/>
          <w:lang w:val="ru-RU"/>
        </w:rPr>
      </w:pPr>
      <w:r w:rsidRPr="00DB5D0D">
        <w:rPr>
          <w:color w:val="000000" w:themeColor="text1"/>
          <w:lang w:val="ru-RU"/>
        </w:rPr>
        <w:t>20 июня 1940 г. на Мариупольском заводе состоялось совещание по вопросу о принятии комбинированного носового узла в серийное производство, на котором специалисты завода совмес</w:t>
      </w:r>
      <w:r w:rsidRPr="00DB5D0D">
        <w:rPr>
          <w:color w:val="000000" w:themeColor="text1"/>
          <w:lang w:val="ru-RU"/>
        </w:rPr>
        <w:softHyphen/>
        <w:t>тно с представителем АБТУ сделали следующее заключение:</w:t>
      </w:r>
    </w:p>
    <w:p w14:paraId="69B71619"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На основании результатов проведенных испытаний второй но</w:t>
      </w:r>
      <w:r w:rsidRPr="00DB5D0D">
        <w:rPr>
          <w:rFonts w:ascii="Times New Roman" w:hAnsi="Times New Roman" w:cs="Times New Roman"/>
          <w:i w:val="0"/>
          <w:iCs w:val="0"/>
          <w:color w:val="000000" w:themeColor="text1"/>
          <w:lang w:val="ru-RU"/>
        </w:rPr>
        <w:softHyphen/>
        <w:t xml:space="preserve">совой детали (и 1-й носовой детали см. </w:t>
      </w:r>
      <w:r w:rsidRPr="00DB5D0D">
        <w:rPr>
          <w:rFonts w:ascii="Times New Roman" w:hAnsi="Times New Roman" w:cs="Times New Roman"/>
          <w:i w:val="0"/>
          <w:iCs w:val="0"/>
          <w:noProof w:val="0"/>
          <w:color w:val="000000" w:themeColor="text1"/>
          <w:lang w:val="ru-RU"/>
        </w:rPr>
        <w:t>письмо от 25/</w:t>
      </w:r>
      <w:r w:rsidRPr="00DB5D0D">
        <w:rPr>
          <w:rFonts w:ascii="Times New Roman" w:hAnsi="Times New Roman" w:cs="Times New Roman"/>
          <w:i w:val="0"/>
          <w:iCs w:val="0"/>
          <w:noProof w:val="0"/>
          <w:color w:val="000000" w:themeColor="text1"/>
        </w:rPr>
        <w:t>V</w:t>
      </w:r>
      <w:r w:rsidRPr="00DB5D0D">
        <w:rPr>
          <w:rFonts w:ascii="Times New Roman" w:hAnsi="Times New Roman" w:cs="Times New Roman"/>
          <w:i w:val="0"/>
          <w:iCs w:val="0"/>
          <w:noProof w:val="0"/>
          <w:color w:val="000000" w:themeColor="text1"/>
          <w:lang w:val="ru-RU"/>
        </w:rPr>
        <w:t>-</w:t>
      </w:r>
      <w:r w:rsidRPr="00DB5D0D">
        <w:rPr>
          <w:rFonts w:ascii="Times New Roman" w:hAnsi="Times New Roman" w:cs="Times New Roman"/>
          <w:i w:val="0"/>
          <w:iCs w:val="0"/>
          <w:color w:val="000000" w:themeColor="text1"/>
          <w:lang w:val="ru-RU"/>
        </w:rPr>
        <w:t>1940 г.) считать возможным пустить в валовое производство носовую деталь маши</w:t>
      </w:r>
      <w:r w:rsidRPr="00DB5D0D">
        <w:rPr>
          <w:rFonts w:ascii="Times New Roman" w:hAnsi="Times New Roman" w:cs="Times New Roman"/>
          <w:i w:val="0"/>
          <w:iCs w:val="0"/>
          <w:color w:val="000000" w:themeColor="text1"/>
          <w:lang w:val="ru-RU"/>
        </w:rPr>
        <w:softHyphen/>
        <w:t>ны А-34 состоящую из 1 -й литой детали чертежа №34-29-906 и 2-х катанных деталей чертежей №№34-29-904 и 34-29-905. [РГВА. Ф.31811. Оп.2. Д. 1176. Л. 182</w:t>
      </w:r>
      <w:r w:rsidRPr="00DB5D0D">
        <w:rPr>
          <w:rFonts w:ascii="Times New Roman" w:hAnsi="Times New Roman" w:cs="Times New Roman"/>
          <w:i w:val="0"/>
          <w:color w:val="000000" w:themeColor="text1"/>
          <w:lang w:val="ru-RU"/>
        </w:rPr>
        <w:t>.</w:t>
      </w:r>
      <w:r w:rsidRPr="00DB5D0D">
        <w:rPr>
          <w:rFonts w:ascii="Times New Roman" w:hAnsi="Times New Roman" w:cs="Times New Roman"/>
          <w:i w:val="0"/>
          <w:iCs w:val="0"/>
          <w:color w:val="000000" w:themeColor="text1"/>
          <w:lang w:val="ru-RU"/>
        </w:rPr>
        <w:t>]</w:t>
      </w:r>
    </w:p>
    <w:p w14:paraId="2FD7B4D2" w14:textId="77777777" w:rsidR="00A25AD1" w:rsidRPr="00DB5D0D" w:rsidRDefault="00A25AD1" w:rsidP="00DB5D0D">
      <w:pPr>
        <w:pStyle w:val="a3"/>
        <w:rPr>
          <w:color w:val="000000" w:themeColor="text1"/>
          <w:lang w:val="ru-RU"/>
        </w:rPr>
      </w:pPr>
      <w:r w:rsidRPr="00DB5D0D">
        <w:rPr>
          <w:color w:val="000000" w:themeColor="text1"/>
          <w:lang w:val="ru-RU"/>
        </w:rPr>
        <w:t>Данное решение было утверждено АБТУ КА в самом начале июля 1940 г., о чем все заинтересованные стороны уведомили письмом №74148с от 3 июля 1940 г.:</w:t>
      </w:r>
    </w:p>
    <w:p w14:paraId="014099CF"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Гпавному инженеру Мариупольского завода им. Ильича тов. НИЦЕНКО Копии: Ст. военпреду АБТУ КА на Мариупольском заводеим. Ильича тов. ЗУХЕР Главному инженеру завода № 183 тов. МАХОНИНУ Ст. военпреду АБТУ КА на заводе № 183 тов. КОЗЫРЕВУ Начальнику 7-го Гчавного Управления НКСП</w:t>
      </w:r>
    </w:p>
    <w:p w14:paraId="2659528C"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На В/№ 3279сс</w:t>
      </w:r>
    </w:p>
    <w:p w14:paraId="4BC08F1D"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Узел носа корпуса танка Т-34, состоящего из 3-х деталей №№ 34-29-906 (литая носовая), 34-29-904 и 34-29-905 (катанные) утверждаю для серийного производства.</w:t>
      </w:r>
    </w:p>
    <w:p w14:paraId="353F311A" w14:textId="77777777" w:rsidR="00A25AD1" w:rsidRPr="00DB5D0D" w:rsidRDefault="00A25AD1"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Одновременно необходимо Мариупольскому заводу форсиро</w:t>
      </w:r>
      <w:r w:rsidRPr="00DB5D0D">
        <w:rPr>
          <w:rFonts w:ascii="Times New Roman" w:hAnsi="Times New Roman" w:cs="Times New Roman"/>
          <w:i w:val="0"/>
          <w:iCs w:val="0"/>
          <w:color w:val="000000" w:themeColor="text1"/>
          <w:lang w:val="ru-RU"/>
        </w:rPr>
        <w:softHyphen/>
        <w:t>вать работы по освоению цельноштампованной носовой детали на 15000прессе, с тем, чтобы в ближайшее время перейти на изготов</w:t>
      </w:r>
      <w:r w:rsidRPr="00DB5D0D">
        <w:rPr>
          <w:rFonts w:ascii="Times New Roman" w:hAnsi="Times New Roman" w:cs="Times New Roman"/>
          <w:i w:val="0"/>
          <w:iCs w:val="0"/>
          <w:color w:val="000000" w:themeColor="text1"/>
          <w:lang w:val="ru-RU"/>
        </w:rPr>
        <w:softHyphen/>
        <w:t>ление носовой детали целиком из катаной брони.</w:t>
      </w:r>
    </w:p>
    <w:p w14:paraId="544B8145" w14:textId="77777777" w:rsidR="00A25AD1" w:rsidRPr="00DB5D0D" w:rsidRDefault="00A25AD1" w:rsidP="00DB5D0D">
      <w:pPr>
        <w:pStyle w:val="a3"/>
        <w:rPr>
          <w:color w:val="000000" w:themeColor="text1"/>
          <w:lang w:val="ru-RU"/>
        </w:rPr>
      </w:pPr>
      <w:r w:rsidRPr="00DB5D0D">
        <w:rPr>
          <w:rStyle w:val="50pt17"/>
          <w:rFonts w:ascii="Times New Roman" w:hAnsi="Times New Roman" w:cs="Times New Roman"/>
          <w:i w:val="0"/>
          <w:iCs w:val="0"/>
          <w:color w:val="000000" w:themeColor="text1"/>
          <w:lang w:val="ru-RU"/>
        </w:rPr>
        <w:t xml:space="preserve">Помощник Начальника АБТУ КА Военинженер 1 ранга КОРОБКОВ </w:t>
      </w:r>
      <w:r w:rsidRPr="00DB5D0D">
        <w:rPr>
          <w:rStyle w:val="50pt17"/>
          <w:rFonts w:ascii="Times New Roman" w:hAnsi="Times New Roman" w:cs="Times New Roman"/>
          <w:i w:val="0"/>
          <w:iCs w:val="0"/>
          <w:color w:val="000000" w:themeColor="text1"/>
        </w:rPr>
        <w:t>BP</w:t>
      </w:r>
      <w:r w:rsidRPr="00DB5D0D">
        <w:rPr>
          <w:rStyle w:val="50pt17"/>
          <w:rFonts w:ascii="Times New Roman" w:hAnsi="Times New Roman" w:cs="Times New Roman"/>
          <w:i w:val="0"/>
          <w:iCs w:val="0"/>
          <w:color w:val="000000" w:themeColor="text1"/>
          <w:lang w:val="ru-RU"/>
        </w:rPr>
        <w:t xml:space="preserve"> Военного комиссара АБТУ КА Военинженер 2 ранга ЧУРИН. [14] </w:t>
      </w:r>
      <w:r w:rsidRPr="00DB5D0D">
        <w:rPr>
          <w:color w:val="000000" w:themeColor="text1"/>
          <w:lang w:val="ru-RU"/>
        </w:rPr>
        <w:t xml:space="preserve">Следует заметить, что фактически выпуск комбинированного носа на Мариупольском заводе начался с </w:t>
      </w:r>
      <w:r w:rsidRPr="00DB5D0D">
        <w:rPr>
          <w:color w:val="000000" w:themeColor="text1"/>
        </w:rPr>
        <w:t>III</w:t>
      </w:r>
      <w:r w:rsidRPr="00DB5D0D">
        <w:rPr>
          <w:color w:val="000000" w:themeColor="text1"/>
          <w:lang w:val="ru-RU"/>
        </w:rPr>
        <w:t xml:space="preserve"> декады июня 1940 г., т.е. до официального утверждения АБТУ. Часть комплектов бронедеталей, изготовленных и поставленных на завод №183 в июне, уже включа</w:t>
      </w:r>
      <w:r w:rsidRPr="00DB5D0D">
        <w:rPr>
          <w:color w:val="000000" w:themeColor="text1"/>
          <w:lang w:val="ru-RU"/>
        </w:rPr>
        <w:softHyphen/>
        <w:t>ла в себя детали 34.29.904 (лист носа верхний), 34.29.905 (лист носа нижний) и 34.29.906 (балка носа) (11903).</w:t>
      </w:r>
    </w:p>
    <w:p w14:paraId="6FAB1133" w14:textId="77777777" w:rsidR="00A25AD1" w:rsidRPr="00DB5D0D" w:rsidRDefault="00A25AD1" w:rsidP="00DB5D0D">
      <w:pPr>
        <w:pStyle w:val="a3"/>
        <w:rPr>
          <w:color w:val="000000" w:themeColor="text1"/>
          <w:lang w:val="ru-RU"/>
        </w:rPr>
      </w:pPr>
    </w:p>
    <w:p w14:paraId="10BFC9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 Военпред АБТУ РККА на Ижорском заводе писал в своем докладе: «По БА-11: заложено 16 корпусов и 13 башен, сварено 16 корпусов и 13 башен, в сборке 14 корпусов и 7 башен». Первые 5 БА-11 установочной партии были готовы в июне, еще 8 в июле и 3 в августе. К этому времени серий</w:t>
      </w:r>
      <w:r w:rsidRPr="00DB5D0D">
        <w:rPr>
          <w:rFonts w:ascii="Times New Roman" w:hAnsi="Times New Roman"/>
          <w:color w:val="000000" w:themeColor="text1"/>
          <w:sz w:val="16"/>
          <w:szCs w:val="16"/>
        </w:rPr>
        <w:softHyphen/>
        <w:t>ный выпуск БА-11 перенесли на 1941 год, потребовав от Ижорского завода устранить все выявленные недостатки и подготовить необходимую для этого документацию (11284).</w:t>
      </w:r>
    </w:p>
    <w:p w14:paraId="2898F3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EBD49CC"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20 июня</w:t>
      </w:r>
      <w:r w:rsidRPr="00DB5D0D">
        <w:rPr>
          <w:rFonts w:ascii="Times New Roman" w:hAnsi="Times New Roman"/>
          <w:color w:val="000000" w:themeColor="text1"/>
          <w:sz w:val="16"/>
          <w:szCs w:val="16"/>
        </w:rPr>
        <w:t xml:space="preserve"> в 1940 году постановлением Совнарком СССР и ЦК ВКП(б) "Об организации металлургической базы на Северо-Западе СССР" было принято Решение о строительстве Череповецкого металлургического завода. Строительство комбината было приостановлено с началом Великой Отечественной войны и возобновилось лишь спустя семь лет. В 1951 году в эксплуатацию был запущен первый цех металлургического завода - цех металлоконструкций, а в мае 1954 года дала ток теплоэлектроцентраль. В феврале 1956 года начала свою работу коксовая батарея. В январе 1959 года ввели в эксплуатацию блюминг, а в ноябре этого же года в эксплуатацию вошел крупнейший в Европе листопрокатный стан. С того времени Череповецкий завод имени 50-летия СССР стал предприятием с полным металлургическим циклом. 23 июня 1983 года Череповецкий металлургический завод переименовали в Череповецкий металлургический комбинат, а 24 сентября 1993 года предприятие было зарегистрировано как акционерное общество "Северсталь". Награжден орденом Ленина (1966) (14928).</w:t>
      </w:r>
    </w:p>
    <w:p w14:paraId="0EC4D920" w14:textId="77777777" w:rsidR="00CE127A" w:rsidRPr="00DB5D0D" w:rsidRDefault="00CE127A" w:rsidP="00DB5D0D">
      <w:pPr>
        <w:spacing w:after="0" w:line="240" w:lineRule="auto"/>
        <w:jc w:val="both"/>
        <w:rPr>
          <w:rFonts w:ascii="Times New Roman" w:hAnsi="Times New Roman"/>
          <w:color w:val="000000" w:themeColor="text1"/>
          <w:sz w:val="16"/>
          <w:szCs w:val="16"/>
        </w:rPr>
      </w:pPr>
    </w:p>
    <w:p w14:paraId="30CA55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20-25 июня 1940 года был подписан:</w:t>
      </w:r>
    </w:p>
    <w:p w14:paraId="5D2E99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Акт сдачи-приемки завода № 2 треста № 13 (ТТК-2),</w:t>
      </w:r>
    </w:p>
    <w:p w14:paraId="5FC127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 г. Углич</w:t>
      </w:r>
    </w:p>
    <w:p w14:paraId="102342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Принимающая сторона – Главэлектроаппаратприборпром НКЭП</w:t>
      </w:r>
    </w:p>
    <w:p w14:paraId="33C45D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Сдающая сторона – Главрадиопром (8658,4).</w:t>
      </w:r>
    </w:p>
    <w:p w14:paraId="0F4C4E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D7A20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 была подготовлена справка:</w:t>
      </w:r>
    </w:p>
    <w:p w14:paraId="5148E1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66 – директор Пастухов (9186).</w:t>
      </w:r>
    </w:p>
    <w:p w14:paraId="7401443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A317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 черноморской крейсер "Вороши</w:t>
      </w:r>
      <w:r w:rsidRPr="00DB5D0D">
        <w:rPr>
          <w:rFonts w:ascii="Times New Roman" w:hAnsi="Times New Roman"/>
          <w:color w:val="000000" w:themeColor="text1"/>
          <w:sz w:val="16"/>
          <w:szCs w:val="16"/>
        </w:rPr>
        <w:softHyphen/>
        <w:t>лов" вступил в строй почти на два года позже головного корабля Киров (3898).</w:t>
      </w:r>
    </w:p>
    <w:p w14:paraId="5EC6667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C55FA8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0978432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5B57880" w14:textId="77777777" w:rsidR="00A25AD1" w:rsidRPr="00DB5D0D" w:rsidRDefault="00A25AD1" w:rsidP="00DB5D0D">
      <w:pPr>
        <w:pStyle w:val="a3"/>
        <w:rPr>
          <w:color w:val="000000" w:themeColor="text1"/>
          <w:lang w:val="ru-RU"/>
        </w:rPr>
      </w:pPr>
      <w:r w:rsidRPr="00DB5D0D">
        <w:rPr>
          <w:color w:val="000000" w:themeColor="text1"/>
          <w:lang w:val="ru-RU"/>
        </w:rPr>
        <w:t>20 июня 1940 г. два Р-5 произвели осмотр площадки в райо</w:t>
      </w:r>
      <w:r w:rsidRPr="00DB5D0D">
        <w:rPr>
          <w:color w:val="000000" w:themeColor="text1"/>
          <w:lang w:val="ru-RU"/>
        </w:rPr>
        <w:softHyphen/>
        <w:t>не Болграда в Бессарабии, где должна была высаживаться 214-я воздушно-десантная бригада (11936).</w:t>
      </w:r>
    </w:p>
    <w:p w14:paraId="7DDCA2F5" w14:textId="77777777" w:rsidR="00A25AD1" w:rsidRPr="00DB5D0D" w:rsidRDefault="00A25AD1" w:rsidP="00DB5D0D">
      <w:pPr>
        <w:pStyle w:val="a3"/>
        <w:rPr>
          <w:color w:val="000000" w:themeColor="text1"/>
          <w:lang w:val="ru-RU"/>
        </w:rPr>
      </w:pPr>
    </w:p>
    <w:p w14:paraId="146496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 Директива наркома обороны и начальника Генштаба № 101396/СС в 21.45 была вручена Г.К. Жукову. В ней предписы</w:t>
      </w:r>
      <w:r w:rsidRPr="00DB5D0D">
        <w:rPr>
          <w:rFonts w:ascii="Times New Roman" w:hAnsi="Times New Roman"/>
          <w:color w:val="000000" w:themeColor="text1"/>
          <w:sz w:val="16"/>
          <w:szCs w:val="16"/>
        </w:rPr>
        <w:softHyphen/>
        <w:t>валось «быть готовым к 22 часам 24 июня к решительному наступлению, с целью разгромить румынскую армию и занять Бессарабию». Менее чем через час - в 22.40 - начальник Генштаба сообщил командующему войска</w:t>
      </w:r>
      <w:r w:rsidRPr="00DB5D0D">
        <w:rPr>
          <w:rFonts w:ascii="Times New Roman" w:hAnsi="Times New Roman"/>
          <w:color w:val="000000" w:themeColor="text1"/>
          <w:sz w:val="16"/>
          <w:szCs w:val="16"/>
        </w:rPr>
        <w:softHyphen/>
        <w:t>ми ОдВО о том, что «с 10 часов 21 июня Вы подчиняетесь командующему КОВО генералу армии Жукову». На следующий день нарком ВМФ также приказал Военному совету Черноморского флота перейти в оперативное подчинение командующему КОВО, начиная с 22 часов 21 июня. Согласно Директиве № 101396/СС, из состава Управления КОВО выделялось Управ</w:t>
      </w:r>
      <w:r w:rsidRPr="00DB5D0D">
        <w:rPr>
          <w:rFonts w:ascii="Times New Roman" w:hAnsi="Times New Roman"/>
          <w:color w:val="000000" w:themeColor="text1"/>
          <w:sz w:val="16"/>
          <w:szCs w:val="16"/>
        </w:rPr>
        <w:softHyphen/>
        <w:t xml:space="preserve">ление Южного фронта. Авиация </w:t>
      </w:r>
      <w:r w:rsidRPr="00DB5D0D">
        <w:rPr>
          <w:rFonts w:ascii="Times New Roman" w:hAnsi="Times New Roman"/>
          <w:iCs/>
          <w:color w:val="000000" w:themeColor="text1"/>
          <w:sz w:val="16"/>
          <w:szCs w:val="16"/>
        </w:rPr>
        <w:t xml:space="preserve">12-й А </w:t>
      </w:r>
      <w:r w:rsidRPr="00DB5D0D">
        <w:rPr>
          <w:rFonts w:ascii="Times New Roman" w:hAnsi="Times New Roman"/>
          <w:color w:val="000000" w:themeColor="text1"/>
          <w:sz w:val="16"/>
          <w:szCs w:val="16"/>
        </w:rPr>
        <w:t>составляла пять полков СБ, два лег</w:t>
      </w:r>
      <w:r w:rsidRPr="00DB5D0D">
        <w:rPr>
          <w:rFonts w:ascii="Times New Roman" w:hAnsi="Times New Roman"/>
          <w:color w:val="000000" w:themeColor="text1"/>
          <w:sz w:val="16"/>
          <w:szCs w:val="16"/>
        </w:rPr>
        <w:softHyphen/>
        <w:t>кобомбардировочных и восемь истребительных полков; авиация 5-й А — два полка СБ, один легкобомбардировочный и три истребительных полка; авиация 9-й А - один полк ДБ, пять полков СБ, один легкобомбардировоч</w:t>
      </w:r>
      <w:r w:rsidRPr="00DB5D0D">
        <w:rPr>
          <w:rFonts w:ascii="Times New Roman" w:hAnsi="Times New Roman"/>
          <w:color w:val="000000" w:themeColor="text1"/>
          <w:sz w:val="16"/>
          <w:szCs w:val="16"/>
        </w:rPr>
        <w:softHyphen/>
        <w:t xml:space="preserve">ный и шесть истребительных полков. «Для оказания и содействия развитию успеха </w:t>
      </w:r>
      <w:r w:rsidRPr="00DB5D0D">
        <w:rPr>
          <w:rFonts w:ascii="Times New Roman" w:hAnsi="Times New Roman"/>
          <w:iCs/>
          <w:color w:val="000000" w:themeColor="text1"/>
          <w:sz w:val="16"/>
          <w:szCs w:val="16"/>
        </w:rPr>
        <w:t xml:space="preserve">12 и 9 </w:t>
      </w:r>
      <w:r w:rsidRPr="00DB5D0D">
        <w:rPr>
          <w:rFonts w:ascii="Times New Roman" w:hAnsi="Times New Roman"/>
          <w:color w:val="000000" w:themeColor="text1"/>
          <w:sz w:val="16"/>
          <w:szCs w:val="16"/>
        </w:rPr>
        <w:t>армий в распоряжении командующего фронтом иметь три авиаполка ДБ и для высадки авиадесанта четыре полка ТБ».</w:t>
      </w:r>
    </w:p>
    <w:p w14:paraId="71F826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Пунктом 7 Директивы предписывалось: «Распоряжением фронта под</w:t>
      </w:r>
      <w:r w:rsidRPr="00DB5D0D">
        <w:rPr>
          <w:rFonts w:ascii="Times New Roman" w:hAnsi="Times New Roman"/>
          <w:color w:val="000000" w:themeColor="text1"/>
          <w:sz w:val="16"/>
          <w:szCs w:val="16"/>
        </w:rPr>
        <w:softHyphen/>
        <w:t>готовить выброску воздушного десанта для совместного удара с частями 12 армии в районе Тыргу-Фрумос. Выброску десанта произвести только после выхода в этот район механизированных частей».</w:t>
      </w:r>
    </w:p>
    <w:p w14:paraId="57E72C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Пунктом 8 Директивы авиации ставились следующие основные задачи: тесное взаимодействие с войсками на поле боя; удар по группировкам про</w:t>
      </w:r>
      <w:r w:rsidRPr="00DB5D0D">
        <w:rPr>
          <w:rFonts w:ascii="Times New Roman" w:hAnsi="Times New Roman"/>
          <w:color w:val="000000" w:themeColor="text1"/>
          <w:sz w:val="16"/>
          <w:szCs w:val="16"/>
        </w:rPr>
        <w:softHyphen/>
        <w:t>тивника, стоящим перед нашими частями; содействие штурмовыми дейс</w:t>
      </w:r>
      <w:r w:rsidRPr="00DB5D0D">
        <w:rPr>
          <w:rFonts w:ascii="Times New Roman" w:hAnsi="Times New Roman"/>
          <w:color w:val="000000" w:themeColor="text1"/>
          <w:sz w:val="16"/>
          <w:szCs w:val="16"/>
        </w:rPr>
        <w:softHyphen/>
        <w:t>твиями продвижению наших частей (в первую очередь - механизирован</w:t>
      </w:r>
      <w:r w:rsidRPr="00DB5D0D">
        <w:rPr>
          <w:rFonts w:ascii="Times New Roman" w:hAnsi="Times New Roman"/>
          <w:color w:val="000000" w:themeColor="text1"/>
          <w:sz w:val="16"/>
          <w:szCs w:val="16"/>
        </w:rPr>
        <w:softHyphen/>
        <w:t>ных и конных); уничтожение авиации противника на аэродромах; атака подходящих колонн противника и их штабов; прикрытие районов сосре</w:t>
      </w:r>
      <w:r w:rsidRPr="00DB5D0D">
        <w:rPr>
          <w:rFonts w:ascii="Times New Roman" w:hAnsi="Times New Roman"/>
          <w:color w:val="000000" w:themeColor="text1"/>
          <w:sz w:val="16"/>
          <w:szCs w:val="16"/>
        </w:rPr>
        <w:softHyphen/>
        <w:t>доточения своих войск; выброска воздушного десанта.</w:t>
      </w:r>
    </w:p>
    <w:p w14:paraId="5A9A12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операции также предписывалось поднять посты ВНОС КОВО, ОдВО и Киева в порядке учебных сборов и организовать ПВО важней</w:t>
      </w:r>
      <w:r w:rsidRPr="00DB5D0D">
        <w:rPr>
          <w:rFonts w:ascii="Times New Roman" w:hAnsi="Times New Roman"/>
          <w:color w:val="000000" w:themeColor="text1"/>
          <w:sz w:val="16"/>
          <w:szCs w:val="16"/>
        </w:rPr>
        <w:softHyphen/>
        <w:t>ших пунктов, складов, аэродромов и районов сосредоточения войск (Мельтюхов М. Указ. соч. С. 285-288, 290-292.).</w:t>
      </w:r>
    </w:p>
    <w:p w14:paraId="63C5BF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Таблицах 85-87 представлено число авиаполков, наличие самолетов (в том числе исправных и боеготовых экипажей) в ВВС КОВО и ОдВО по состоянию на 19 июня 1940 года (11710,415).</w:t>
      </w:r>
    </w:p>
    <w:p w14:paraId="344F7D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88F14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 приказом НКО СССР № 171 была утверждена форма “Служебной книжки для рядового и младшего начальствующего состава Красной Армии”, объявлявшаяся в качестве документа военнослужащего рядового и младшего начальствующего состава срочной и сверхсрочной службы, удостоверявшего личность военнослужащего, его прохождение по службе, выдачу положенного по табелю довольствия. Однако при выходе части на театр военных действий книжка должна была сдаваться через командира в штаб, а затем в архив местных органов военного управления. Взамен книжки выдавался медальон с краткими сведениями о военнослужащем (9844).</w:t>
      </w:r>
    </w:p>
    <w:p w14:paraId="541C2E3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825E8B8" w14:textId="77777777" w:rsidR="00A25AD1" w:rsidRPr="00DB5D0D" w:rsidRDefault="00A25AD1"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20 июня 1940 года Приказом НКО СССР №0130 было введено "Наставление по мобилизационной работе войсковых частей, управлений и учреждений КА" (9710).</w:t>
      </w:r>
    </w:p>
    <w:p w14:paraId="415DB488" w14:textId="77777777" w:rsidR="00A25AD1" w:rsidRPr="00DB5D0D" w:rsidRDefault="00A25AD1" w:rsidP="00DB5D0D">
      <w:pPr>
        <w:pStyle w:val="a8"/>
        <w:widowControl/>
        <w:jc w:val="both"/>
        <w:rPr>
          <w:rFonts w:ascii="Times New Roman" w:hAnsi="Times New Roman" w:cs="Times New Roman"/>
          <w:color w:val="000000" w:themeColor="text1"/>
        </w:rPr>
      </w:pPr>
    </w:p>
    <w:p w14:paraId="42E3AF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 Приказом НКО СССР №0130 введено в действие "Наставление по мобилизационной работе войсковых частей, управлений и учреждений Красной Армии" (8983).</w:t>
      </w:r>
    </w:p>
    <w:p w14:paraId="33D0C97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CEDA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 вышел Приказ НКО о введении в действие наставления по мобилизационной работе войсковых частей, управлений и учреждений Красной Армии № 0130.</w:t>
      </w:r>
    </w:p>
    <w:p w14:paraId="79A58B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Ввести в действие объявляемое Наставление по мобилизационной работе войсковых частей, управлений и учреждений Красной Армии.</w:t>
      </w:r>
    </w:p>
    <w:p w14:paraId="5EF239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Основные положения.</w:t>
      </w:r>
    </w:p>
    <w:p w14:paraId="0D8C3C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Общее понятие о войсковой мобилизации.</w:t>
      </w:r>
    </w:p>
    <w:p w14:paraId="580BF0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Виды мобилизации.</w:t>
      </w:r>
    </w:p>
    <w:p w14:paraId="5D1CFC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Мобилизация отдельной войсковой части.</w:t>
      </w:r>
    </w:p>
    <w:p w14:paraId="3C2204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Политическое руководство и организация партийно-политической работы.</w:t>
      </w:r>
    </w:p>
    <w:p w14:paraId="001CEB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Подготовка и проведение мобилизации.</w:t>
      </w:r>
    </w:p>
    <w:p w14:paraId="7091DE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Оповещение. 2. Прикрытие. 3. Организационное развертывание отдельной войсковой части и распределение кадров. 4. Комплектование начальствующим составом запаса. 5. Комплектование младшим начальствующим и рядовым составом. 6. Комплектование конским составом и обозом. 7. Комплектование мехтранспортом. 8. Материальное обеспечение. 9. Квартирно-коммунальное обеспечение. 10. Санитарное обеспечение. 11. Ветеринарное обеспечение. 12. Финансовое обеспечение. 13. Боевое сколачивание. 14. Принятие военной присяги. 15. Подготовка к выступлению в поход и погрузке на транспорт. 16. Делопроизводство и срочные донесения при мобилизации.</w:t>
      </w:r>
    </w:p>
    <w:p w14:paraId="27012F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Мобплан войсковой части. 1. Мобплан войсковой части и участие начальствующего состава в его разработке. 2. Порядок разработки мобилизационного плана. 3. Документы мобилизационного плана. 4. Ввод мобилизационного плана в действие, его уточнение и делопроизводство.</w:t>
      </w:r>
    </w:p>
    <w:p w14:paraId="738398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Наставление по мобилизационной работе считать одним из основных боевых уставов Красной Армии.</w:t>
      </w:r>
    </w:p>
    <w:p w14:paraId="1A7FF3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Весь средний, старший и высший начальствующий состав Красной Армии обязан отлично знать Наставление и умело применять его в мобилизационной подготовке войск в мирное время и при проведении мобилизации.</w:t>
      </w:r>
    </w:p>
    <w:p w14:paraId="39AB4C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Наставление по мобработе в войсковых частях, управлениях, учреждениях и заведениях РККА (приказ № 070 1930 г.) отменить.</w:t>
      </w:r>
    </w:p>
    <w:p w14:paraId="7BA007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 (10620).</w:t>
      </w:r>
    </w:p>
    <w:p w14:paraId="4539928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B7CE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 Народный комиссар обороны СССР Маршал Советского Союза С. Тимошенко утвердил Наставление по мобилизационной работе войсковых частей, управлений и учреждений Красной Армии</w:t>
      </w:r>
    </w:p>
    <w:p w14:paraId="428BA5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Основные положения</w:t>
      </w:r>
    </w:p>
    <w:p w14:paraId="0266B1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Общее понятие о войсковой мобилизации</w:t>
      </w:r>
    </w:p>
    <w:p w14:paraId="38AFA2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Война против СССР, находящегося в капиталистическом окружении, «может вспыхнуть неожиданно. Ныне войны не объявляются. Они просто начинаются» (Сталин).</w:t>
      </w:r>
    </w:p>
    <w:p w14:paraId="44FA78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в основу подготовки Красной Армии к защите социалистического государства положены указания т. Сталина о том, что «нужно весь наш народ держать в состоянии мобилизационной готовности перед лицом опасности военного нападения, чтобы никакая «случайность» и никакие фокусы наших внешних врагов не могли застигнуть нас врасплох...» (Сталин).</w:t>
      </w:r>
    </w:p>
    <w:p w14:paraId="57E7C9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Войсковая мобилизация является важнейшей, решающей частью общей мобилизации всей страны и заключается в планомерном и-своевременном переходе каждой отдельной войсковой части, штаба, управления, учреждения и всей Красной Армии с организации и штатов мирного времени на организацию и штаты военного времени.</w:t>
      </w:r>
    </w:p>
    <w:p w14:paraId="72250F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Готовность Красной Армии к успешному проведению мобилизации достигается:</w:t>
      </w:r>
    </w:p>
    <w:p w14:paraId="12D3D1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постоянной заботой об укомплектовании частей и учреждений Красной Армии по военному времени личным составом и материальными ресурсами; </w:t>
      </w:r>
    </w:p>
    <w:p w14:paraId="631F87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добросовестным изучением военной техники и умением в совершенстве владеть ею в бою всем личным составом Красной Армии; </w:t>
      </w:r>
    </w:p>
    <w:p w14:paraId="4BA8C4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систематической подготовкой к мобилизации, тренировкой начальствующего состава к проведению мобилизации в мирное время; </w:t>
      </w:r>
    </w:p>
    <w:p w14:paraId="24832E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тщательной разработкой мобилизационных планов и контролем за их точностью и выполнением.</w:t>
      </w:r>
    </w:p>
    <w:p w14:paraId="578DA7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Мобилизация объявляется Указом Президиума Верховного Совета Союза Советских Социалистических Республик, а призыв по мобилизации и последующие призывы военного времени производятся на основании Постановлений Совета Народных Комиссаров СССР приказами Народного комиссара обороны (ст. 49, п. «л» Конституции СССР и ст. 72 Закона о всеобщей воинской обязанности).</w:t>
      </w:r>
    </w:p>
    <w:p w14:paraId="7054D3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Виды мобилизации</w:t>
      </w:r>
    </w:p>
    <w:p w14:paraId="013567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Мобилизации Красной Армии по своему объему разделяется на два вида:</w:t>
      </w:r>
    </w:p>
    <w:p w14:paraId="78DAB9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общую мобилизацию, когда она касается всей Красной Армии и затрагивает всю территорию СССР;</w:t>
      </w:r>
    </w:p>
    <w:p w14:paraId="7A1B65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частичную мобилизацию, когда она касается одного или нескольких военных округов, или отдельных войсковых соединений и затрагивает только часть территории СССР.</w:t>
      </w:r>
    </w:p>
    <w:p w14:paraId="08214C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Мобилизация Красной Армии по порядку ее проведения разделяется:</w:t>
      </w:r>
    </w:p>
    <w:p w14:paraId="00722F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скрытую мобилизацию, когда в интересах обороны страны требуется провести мобилизацию без доведения об этом до всеобщего сведения и без разглашейия действительной цели проводимых мероприятий;</w:t>
      </w:r>
    </w:p>
    <w:p w14:paraId="3788E3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открытую мобилизацию, когда решение о мобилизации доводится до всеобщего сведения граждан Советского Союза и отмобилизование войск производится открыто.</w:t>
      </w:r>
    </w:p>
    <w:p w14:paraId="198AE0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Мобилизация отдельной войсковой части</w:t>
      </w:r>
    </w:p>
    <w:p w14:paraId="7FE614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Наставлением по мобилизационной работе войсковых частей, управлений и учреждений Красной Армии устанавливается порядок подготовки и проведения мобилизации в войсковых частях Красной Армии и определяется порядок разработки мобилизационных планов.</w:t>
      </w:r>
    </w:p>
    <w:p w14:paraId="38BD28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Каждая войсковая часть должна быть в постоянной готовности в любую минуту выступить на защиту своего Отечества — Союза Советских Социалистических Республик.</w:t>
      </w:r>
    </w:p>
    <w:p w14:paraId="4BB578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Мобилизация отдельной войсковой части слагается из следующих мероприятий: а) своевременного оповещения о мобилизации начальствующего и рядового состава части; б) прикрытия районов отмобилизования войсковой части; в) организационного развертывания в соответствии с указаниями по мобилизационному плану; г) укомплектования начальствующим и рядовым составом; д) укомплектования лошадьми, обозом и мехтранспортом; е) обеспечения всеми видами боевой техники, вооружения, обозно-вещевого имущества и продовольствия по табелям и нормам военного времени и разработки вопросов сдачи имущества, не берущегося в поход; ж) финансового обеспечения отмобилизования войсковой части; з) санитарного и ветеринарного обеспечения; и) квартирно-коммунального обеспечения; к) боевого сколачивания и поверки готовности части; л) погрузки в эшелоны или на автотранспорт для убытия на фронт; м) политического руководства и партийно-политической работы в мобилизационный период; н) обеспечения эвакуации семей начальствующего состава (в приграничных частях).</w:t>
      </w:r>
    </w:p>
    <w:p w14:paraId="0BD3E6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При подготовке мобилизации войсковых частей необходимо учитывать следующие частные случаи отмобилизования: а) мобилизация в лагерный период — войсковые части, как правило, возвращаются для отмобилизования на зимние квартиры по заранее разработанному плану; б) мобилизация во время сборов приписного состава — находящихся на сборах», личный состав, лошади и транспорт остаются в частях, а приписной личный состав, лошади и транспорт, не призванные на сборы, поступают в части при мобилизации в общем порядке; в) мобилизация в период очередного увольнения старослужащих и приема молодого пополнения — увольнение старослужащих задерживается, а молодое пополнение направляется в запасные части по указаниям округа.</w:t>
      </w:r>
    </w:p>
    <w:p w14:paraId="5B332B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За мобилизационную подготовку и готовность войсковой части несут ответственность командир и начальник штаба части.</w:t>
      </w:r>
    </w:p>
    <w:p w14:paraId="55144E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и начальник штаба обязаны: а) знать условия отмобилизования части и район ее комплектования; б) заботиться о постоянной укомплектованности части по штатам военного времени и о подготовке приписанного к части начальствующего и рядового состава; в) принимать решения и давать конкретные указания штабу части и начальникам служб по всем основным вопросам мобилизационной подготовки, в частности по вопросам расстановки личного состава кадра и запаса; г) организовать и проверять мобилизационную подготовку начальствующего состава, а также боевую подготовку по специальности всего приписанного начальствующего и рядового состава; д) постоянно следить и принимать меры к улучшению (подготовка недостающих специалистов, улучшение хранения имущества, расквартирование части, накопление недостающих предметов хозяйственного обихода и т.д.); е) использовать учебные сборы войсковых частей для подготовки начальствующего состава к проведению мобилизации, для изучения приписного состава и всесторонней проверки на практике реальности мобилизационных расчетов и соответствия табелей по материальному обеспечению; ж) производить всестороннюю проверку реальности всех мобилизационных расчетов и периодические поверки учета, наличия и условий хранения имущества НЗ.</w:t>
      </w:r>
    </w:p>
    <w:p w14:paraId="070BE7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Главнейшей обязанностью начальствующего состава кадра, предназначаемого на должности командиров развертывающихся и вновь формируемых частей, является всесторонняя мобилизационная подготовка этих частей,</w:t>
      </w:r>
    </w:p>
    <w:p w14:paraId="6EB99D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Планомерное и своевременное отмобилизование войсковой части обеспечивается четким управлением и контролем за проведением мобилизации со стороны командира и начальника штаба части, принятием мер, исключающих возможность шпионажа, диверсий и вредительства, и решительным преодолением всех возникающих в ходе мобилизации препятствий.</w:t>
      </w:r>
    </w:p>
    <w:p w14:paraId="61D784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Командир части обязан обеспечить полное сохранение мобилизационной тайны: а) к выполнению мобилизационной работы допускать проверенных людей; б) отвести специальные помещения для мобилизационной работы, обеспечив надлежащее оборудование и охрану их; в) ознакомление с мобилизационным планом и допуск к нему начальников служб, командиров подразделений, а также и других ответственных исполнителей производить только в пределах их обязанностей; г) систематически контролировать наличие и порядок хранения мобилизационных документов в части.</w:t>
      </w:r>
    </w:p>
    <w:p w14:paraId="23F7A3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II. Политическое руководство и организация партийно-политической работы</w:t>
      </w:r>
    </w:p>
    <w:p w14:paraId="6E433D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Политическое руководство подготовкой части к мобилизации осуществляет заместитель командира по политической части.</w:t>
      </w:r>
    </w:p>
    <w:p w14:paraId="249143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Он обязан хорошо знать мобилизационную готовность части.</w:t>
      </w:r>
    </w:p>
    <w:p w14:paraId="73CACC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Политическое руководство должно обеспечить: а) готовность политаппарата к работе в период мобилизации и правильную расстановку партийных и комсомольских сил части с учетом необходимости создания партийных и комсомольских организаций в каждом подразделении; б) тщательное изучение политических и деловых качеств личного состава как кадрового, так и поступающего по мобилизации из запаса, правильное использование его по должностям; в) реальность всех мероприятий и расчетов по обеспечению части на военное время транспортом, вооружением, продовольствием, обмундированием и другими видами материальных средств; г) готовность всех технических средств политпросветработы и печати к работе в условиях войны.</w:t>
      </w:r>
    </w:p>
    <w:p w14:paraId="460592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Основным содержанием партийно-политической работы в мобилизационный период является: а) пропаганда решений партии и правительства, успехов и задач социалистического строительства в СССР, роли вождя и организатора наших побед — партии Ленина-Сталина; задач Красной Армии и Военно-Морского Флота в обороне социалистического государства; б) разъяснение значения Закона о всеобщей воинской обязанности, воинской присяги, Закона о каре за измену Родине, Указа Президиума Верховного Совета СССР от 6 июля 1940 г. и необходимости соблюдения советской воинской дисциплины; в) воспитание в каждом военнослужащем советского патриотизма, мужества, героизма и преданности партии Ленина-Сталина, Советскому правительству, своему народу, высокой революционной бдительности и непримиримой ненависти к врагам народа.</w:t>
      </w:r>
    </w:p>
    <w:p w14:paraId="5ED734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Партийно-политическая работа среди личного состава части в мобилизационный период должна иметь гибкие фирмы и проводиться в соответствии с условиями и срокам отмобилизования части (непродолжительные митинги, политинформации, беседы, киносеансы, выпуск боевых листков, наглядная агитация и справочная работа).</w:t>
      </w:r>
    </w:p>
    <w:p w14:paraId="011488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Заместитель командира по политической части обязан держать постоянную связь с местными партийными комитетами (райкомами, горкомами ВКП(б)), своевременно выдвигать перед ними мероприятия, повышающие качество работы по приписке, учету и подготовке военнообязанных запаса, по содержанию в постоянной готовности к поставке лошадей, автомашин, тракторов, повозок, упряжи и фуража.</w:t>
      </w:r>
    </w:p>
    <w:p w14:paraId="0BC0FF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Подготовка и проведение мобилизации</w:t>
      </w:r>
    </w:p>
    <w:p w14:paraId="0628F4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Оповещение</w:t>
      </w:r>
    </w:p>
    <w:p w14:paraId="6C3DD5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Телеграмма о мобилизации доставляется в войсковую часть местным почтово-телеграфным отделением Наркомсвязи в закрытом пакете с надписью «По мобилизации».</w:t>
      </w:r>
    </w:p>
    <w:p w14:paraId="1B433E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Войсковая часть еще в мирное время должна получить от военкомата подтверждение о том, откуда она получает телеграмму по мобилизации...</w:t>
      </w:r>
    </w:p>
    <w:p w14:paraId="7DB996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При скрытом отмобилизовании войсковые соединения, отдельные части, не входящие в состав соединений, и облвоенкоматы получают от военного совета округа условную телеграмму.</w:t>
      </w:r>
    </w:p>
    <w:p w14:paraId="53DAB1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Текст телеграммы устанавливается особыми указаниями.</w:t>
      </w:r>
    </w:p>
    <w:p w14:paraId="07D962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Распоряжение райвоенкоматам о вызове приписного состава и поставке лошадей, повозок, упряжи и мехтранспорта дает облвоенкомат...</w:t>
      </w:r>
    </w:p>
    <w:p w14:paraId="39A3EB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В частях со сроком готовности до М-1 оповещение о мобилизации производится в порядке, установленном для оповещения «по тревоге».</w:t>
      </w:r>
    </w:p>
    <w:p w14:paraId="609790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Боевая тревога объявляется командиром части.</w:t>
      </w:r>
    </w:p>
    <w:p w14:paraId="318D36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Командиры войсковых частей, получив телеграмму от военного совета округа или командира соединения о скрытом отмобилизовании, обязаны:</w:t>
      </w:r>
    </w:p>
    <w:p w14:paraId="1175E1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связаться с райвоенкомами своих районов комплектования и проверить, имеют ли они указания по вызову приписного состава и поставке лошадей, обоза и мехтранспорта;</w:t>
      </w:r>
    </w:p>
    <w:p w14:paraId="724BA2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согласовать с райвоенкомом вопрос о необходимом содействии со стороны войсковой части для ускоренного вызова приписного состава (выделение транспортных средств и пр.);</w:t>
      </w:r>
    </w:p>
    <w:p w14:paraId="5AA538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вызвать личный состав части, находящийся в отпусках, командировках и т. п.</w:t>
      </w:r>
    </w:p>
    <w:p w14:paraId="0F775A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Оповещение и вызов приписного личного состава войсковых частей производится военкоматами:</w:t>
      </w:r>
    </w:p>
    <w:p w14:paraId="70D411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 скрытой мобилизации — рассылкой приписному составу персональных повесток (приложение 1);</w:t>
      </w:r>
    </w:p>
    <w:p w14:paraId="12BC1D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 открытой мобилизации — расклейкой приказов о мобилизации...</w:t>
      </w:r>
    </w:p>
    <w:p w14:paraId="55CD0E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Прикрытие</w:t>
      </w:r>
    </w:p>
    <w:p w14:paraId="36BFE0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Мероприятия по прикрытию мобилизации, осуществляемые каждой отдельной войсковой частью в соответствии с местными условиями отмобилизования, должны обеспечить прикрытие мобилизационных работ в пункте расположения части, а также и района мобилизации части. При расположении нескольких войсковых частей в одних казармах или в одном военном городке прикрытие района отмобилизования возлагается на начальника гарнизона военного городка.</w:t>
      </w:r>
    </w:p>
    <w:p w14:paraId="7A1FA1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Прикрытие мобилизации войсковой части имеет задачей:</w:t>
      </w:r>
    </w:p>
    <w:p w14:paraId="2A8504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ограждение части от шпионажа, диверсионных действий и вредительства;</w:t>
      </w:r>
    </w:p>
    <w:p w14:paraId="4BFCF7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противодействие воздушным, а также наземным налетам противника;</w:t>
      </w:r>
    </w:p>
    <w:p w14:paraId="42B1BC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поддержание порядка на всей территории расположения части и строгое соблюдение всех требований противовоздушной и противохимической защиты (маскировка и пр.). В крупных гарнизонах прикрытие мобилизации средствами ПВО и ПХО осуществляется начальником гарнизона.</w:t>
      </w:r>
    </w:p>
    <w:p w14:paraId="379C6A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Планом прикрытия войсковой части должно быть предусмотрено:</w:t>
      </w:r>
    </w:p>
    <w:p w14:paraId="06A44B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усиление суточного наряда, дополнительное выставление новых постов (в частности, для усиления охраны штаба, складов, парков, ангаров и пр.) и высылка дозоров в районе расположения части;</w:t>
      </w:r>
    </w:p>
    <w:p w14:paraId="68018B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организация ПВО, ПВХО и необходимые для этого силы и средства (огневые, связь, химическая защита, пожарная и медико-санитарная служба);</w:t>
      </w:r>
    </w:p>
    <w:p w14:paraId="1E5392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усиление дежурной части;</w:t>
      </w:r>
    </w:p>
    <w:p w14:paraId="0735FE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подготовка огневых позиций на случай наземных налетов противника и пунктов сбора по тревоге...</w:t>
      </w:r>
    </w:p>
    <w:p w14:paraId="3D781D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Организационное развертывание отдельной войсковой частии распределение кадров</w:t>
      </w:r>
    </w:p>
    <w:p w14:paraId="4406D1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 Организационное развертывание каждой отдельной войсковой части и формирование ею новых частей определяется схемой развертывания, о чем сообщается командиру части в виде выписки из этой схемы.</w:t>
      </w:r>
    </w:p>
    <w:p w14:paraId="548DDC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Организационное развертывание может проводиться одним из следующих способов:</w:t>
      </w:r>
    </w:p>
    <w:p w14:paraId="616037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войсковая часть сохраняет свою организацию и переходит на штаты военного времени;</w:t>
      </w:r>
    </w:p>
    <w:p w14:paraId="434B66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войсковая часть меняет свою организацию и развертывается в следующее высшее организационное соединение или часть;</w:t>
      </w:r>
    </w:p>
    <w:p w14:paraId="3EB8B6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войсковая часть формируется по штатам военного времени кадрами, выделяемыми частями мирного времени, и военнообязанными запаса;</w:t>
      </w:r>
    </w:p>
    <w:p w14:paraId="4F3527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войсковая часть, существующая в мирное время, при мобилизации разделяется на самостоятельные организационные единицы, доводящиеся до штатов военного времени;</w:t>
      </w:r>
    </w:p>
    <w:p w14:paraId="453BCF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войсковая часть при мобилизации сохраняет организацию и штаты мирного времени; е) войсковые части и учреждения формируются гражданскими наркоматами.</w:t>
      </w:r>
    </w:p>
    <w:p w14:paraId="22A1A0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Ответственность за развертывание и готовность вновь формируемых при мобилизации частей возлагается на командиров частей, при которых они формируются...</w:t>
      </w:r>
    </w:p>
    <w:p w14:paraId="2D948B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Комплектование начальствующим составом запаса</w:t>
      </w:r>
    </w:p>
    <w:p w14:paraId="36BF65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 Укомплектование войсковых частей начальствующим составом запаса производится припиской начальствующего состава в мирное время по нарядам, высылаемым облвоенкоматами в райвоенкоматы.</w:t>
      </w:r>
    </w:p>
    <w:p w14:paraId="67A12B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Войсковая часть получает от облвоенкомата расчет комплектования начальствующим составом, а от райвоенкомата по окончании приписки мобилизационные карты на приписанный начальствующий состав.</w:t>
      </w:r>
    </w:p>
    <w:p w14:paraId="2D1E2B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Войсковая часть принимает непосредственное участие в составлении облвоенкоматами расчетов комплектования своих формирований...</w:t>
      </w:r>
    </w:p>
    <w:p w14:paraId="79839D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 Командир войсковой части обязан организовать систематическую подготовку приписанного начальствующего состава по предназначенным должностям.</w:t>
      </w:r>
    </w:p>
    <w:p w14:paraId="4949E0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 подготовка достигается:</w:t>
      </w:r>
    </w:p>
    <w:p w14:paraId="323546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привлечением начальствующего состава на сборы, учения и маневры;</w:t>
      </w:r>
    </w:p>
    <w:p w14:paraId="40DF17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организацией занятий с приписанными в пунктах расположения частей без отрыва от производства (занятия на картах, выходы в поле и пр.);</w:t>
      </w:r>
    </w:p>
    <w:p w14:paraId="4995C3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тщательным индивидуальным учетом успеваемости и подготовки приписанных и продвижением наиболее подготовленных на высшие должности...</w:t>
      </w:r>
    </w:p>
    <w:p w14:paraId="116A6D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Отмобилизование войсковых частей «по тревоге»</w:t>
      </w:r>
    </w:p>
    <w:p w14:paraId="3AE467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 Войсковые части и соединения, которые должны быть подготовлены к выполнению боевых заданий до окончания отмобилизования всей части в целом, мобилизуются по эшелонам согласно схеме развертывания.</w:t>
      </w:r>
    </w:p>
    <w:p w14:paraId="676187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Подъем первых эшелонов этих частей производится «по тревоге».</w:t>
      </w:r>
    </w:p>
    <w:p w14:paraId="239593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 В состав эшелонов включаются:</w:t>
      </w:r>
    </w:p>
    <w:p w14:paraId="3C40D2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 первый эшелон — все строевые подразделения с большей частью кадрового состава, необходимый личный состав и средства для хозяйственного, технического, санитарного и ветеринарного обслуживания, а также вся боевая техника (танки, орудия, пулеметы, зарядные ящики и пр.), которая может быть поднята и обеспечена наличными в части транспортными средствами;</w:t>
      </w:r>
    </w:p>
    <w:p w14:paraId="1DEAB1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 во второй эшелон — пополнения военнообязанными запаса, транспортом и материальной частью, поступающими из народного хозяйства, и оставшаяся часть кадрового состава (и материальных ресурсов), необходимая для проведения мобилизационных работ, приема пополнений и доставки их в виде маршевых команд для присоединения к первому эшелону... 155. Точный состав эшелонов войсковых частей устанавливается командирами соединений на основе указаний штабов округов.</w:t>
      </w:r>
    </w:p>
    <w:p w14:paraId="4F9A70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Боевой состав первых и вторых эшелонов утверждается военными советами округов по представлениям командиров соединений (приложение 19)...</w:t>
      </w:r>
    </w:p>
    <w:p w14:paraId="72D1D7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159. Войсковые части, содержащиеся в мирное время по штатам военного времени, приводятся в полную боевую готовность «по тревоге» и выступают для выполнения оперативного задания с наличным к моменту мобилизации личным составом и материальной частью, выделяя из своего состава лишь минимальное количество кадра для сдачи не берущегося в поход имущества, помещений и пр.</w:t>
      </w:r>
    </w:p>
    <w:p w14:paraId="774F45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Отмобилизование в лагерный период</w:t>
      </w:r>
    </w:p>
    <w:p w14:paraId="3732F4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 При объявлении мобилизации в лагерный период войсковые части, как правило, возвращаются для отмобилизования на зимние квартиры.</w:t>
      </w:r>
    </w:p>
    <w:p w14:paraId="38D5A7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Указания о порядке отмобилизации в лагерный период и перечень частей, отмобилизованных в лагерях, разрабатываются военными советами округов перед выходом частей в лагеря...</w:t>
      </w:r>
    </w:p>
    <w:p w14:paraId="778680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Обязанности командиров и штабов войсковых соединений</w:t>
      </w:r>
    </w:p>
    <w:p w14:paraId="7E0E13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162. Командиры войсковых соединений обязаны руководить мобилизационной подготовкой входящих в соединение частей, контролировать ход ее и оказывать практическую помощь в работе.</w:t>
      </w:r>
    </w:p>
    <w:p w14:paraId="7CFF3C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Командиры соединений (стрелковых, танковых и кавалерийских корпусов и дивизий, танковых и авиационных бригад) обязаны:</w:t>
      </w:r>
    </w:p>
    <w:p w14:paraId="66BA87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 менее одного раза в год тщательно проверять мобилизационную готовность частей;</w:t>
      </w:r>
    </w:p>
    <w:p w14:paraId="1CDEFF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заслушивать доклады командиров частей о мобилизационной готовности, в частности по окончании разработки нового мобилизационного плана;</w:t>
      </w:r>
    </w:p>
    <w:p w14:paraId="3205CE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добиваться улучшения условий отмобилизования войсковых частей и соединений и в необходимых случаях ставить эти вопросы на разрешение местных партийных и советских органов и военных советов округов.</w:t>
      </w:r>
    </w:p>
    <w:p w14:paraId="23BF95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 Непосредственное руководство мобилизационной подготовкой войсковых частей, а также разработка мобилизационных планов для тыловых частей и учреждений войсковых соединений возлагается на штаб соединения.</w:t>
      </w:r>
    </w:p>
    <w:p w14:paraId="07DC1C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планирование мобилизационной работы и контроль за проведением мобилизационной подготовки во всех частях войскового соединения, а также разработка мобилизационного плана штаба соединения возлагается на первую часть (отделение) штаба соединения.</w:t>
      </w:r>
    </w:p>
    <w:p w14:paraId="223C55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к отмобилизованию тыловых частей и учреждений войсковых соединений и разработка их мобилизационных планов возлагается на пятую часть (отделение) штаба соединения.</w:t>
      </w:r>
    </w:p>
    <w:p w14:paraId="7F9F3A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164. Начальники служб и родов войск войсковых соединений участвуют в разработке мобилизационных планов для тыловых частей и учреждений, ведут учет и распределение имущества НЗ и привлекаются к проверке мобилизационной подготовки войсковых частей по роду их служебных обязанностей.</w:t>
      </w:r>
    </w:p>
    <w:p w14:paraId="1A8817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Мобилизационный план войсковой части</w:t>
      </w:r>
    </w:p>
    <w:p w14:paraId="71F208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Мобилизационный план войсковой части и участие начальствующего состава в его разработке</w:t>
      </w:r>
    </w:p>
    <w:p w14:paraId="6D4BBD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 Для планомерного и своевременного проведения мобилизации войсковые части и учреждения разрабатывают в мирное время мобилизационные документы и расчеты согласно указаниям настоящего Наставления.</w:t>
      </w:r>
    </w:p>
    <w:p w14:paraId="0DA79F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мобилизационному плану относятся лишь те документы и материалы, которые необходимы для проведения мобилизационных работ и выдаются на руки личному составу.</w:t>
      </w:r>
    </w:p>
    <w:p w14:paraId="72AA89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другие предварительные расчеты и справочные материалы, не используемые в период мобилизации, в число документов мобилизационного плана включаться не» должны.</w:t>
      </w:r>
    </w:p>
    <w:p w14:paraId="135CD6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166. Руководство разработкой всего мобилизационного плана войсковой части, на основе указаний командира, возлагается непосредственно на начальника штаба части...</w:t>
      </w:r>
    </w:p>
    <w:p w14:paraId="6B93D5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Порядок разработки мобилизационного плана</w:t>
      </w:r>
    </w:p>
    <w:p w14:paraId="2165F2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169. Главнейшими исходными данными для разработки мобилизационного плана являются:</w:t>
      </w:r>
    </w:p>
    <w:p w14:paraId="5F0A24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выписка из схемы развертывания, высылаемая штабом военного округа (армии) или войскового соединения и определяющая порядок развертывания, дислокацию и сроки готовности войсковой части;</w:t>
      </w:r>
    </w:p>
    <w:p w14:paraId="231EEB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штаты, нормы и табели мирного и военного времени;</w:t>
      </w:r>
    </w:p>
    <w:p w14:paraId="743C4A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указания начальника гарнизона или командира войскового соединения по прикрытию мобилизации;</w:t>
      </w:r>
    </w:p>
    <w:p w14:paraId="480171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расчеты кадров, устанавливаемые штабом военного округа (армии), на основании которых войсковой частью составляются именные расчеты выделяемых или получаемых кадров;</w:t>
      </w:r>
    </w:p>
    <w:p w14:paraId="7A7E46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выписки из планов комплектования военкомата на личный состав, лошадей, обоз и мехтранспорт;</w:t>
      </w:r>
    </w:p>
    <w:p w14:paraId="597215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указания штаба округа по материальному обеспечению;</w:t>
      </w:r>
    </w:p>
    <w:p w14:paraId="08AB1C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указания штаба военного округа (армии) о пунктах и сроках погрузки войсковой части на транспорт (железнодорожный, водный, автомобильный и пр.)...</w:t>
      </w:r>
    </w:p>
    <w:p w14:paraId="27829A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Документы мобилизационного плана</w:t>
      </w:r>
    </w:p>
    <w:p w14:paraId="585AD8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 Мобилизационный план войсковой части состоит из следующих документов:</w:t>
      </w:r>
    </w:p>
    <w:p w14:paraId="3027F3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плана отмобилизования части (приложение 20) и батальонов;</w:t>
      </w:r>
    </w:p>
    <w:p w14:paraId="07ADFD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мобилизационных календарей: начальников служб, командиров подразделений и начальника клуба (приложение 21).</w:t>
      </w:r>
    </w:p>
    <w:p w14:paraId="38E430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172. План мобилизации части отражает все основные работы по отмобилизованию части и время их проведения и является документом для управления и контроля за ходом мобилизации.</w:t>
      </w:r>
    </w:p>
    <w:p w14:paraId="2523E1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разработки плана отмобилизования составляются мобилизационные календари начальников служб, командиров подразделений и начальника клуба со всеми необходимыми приложениями к ним.</w:t>
      </w:r>
    </w:p>
    <w:p w14:paraId="6C8DF1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отмобилизования части утверждается командиром соединения, а в частях, не входящих в соединения, командиром части.</w:t>
      </w:r>
    </w:p>
    <w:p w14:paraId="1C7739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176. Мобилизационный план заместителя командира по политической части должен отражать все мероприятия политического руководства и формы партийно-политической работы, проводимой при мобилизации: встреча и прием поступающего пополнения, митинги, беседы, политинформации, доклады, совещания начальствующего состава, собрания партийных и комсомольских организаций, учет коммунистов и комсомольцев и распределение их по подразделениям, организация работы по приведению личного состава к военной присяге, снабжение газетами и политпросветимуществом, порядок информации и донесений, политическое руководство всем ходом отмобилизования части...</w:t>
      </w:r>
    </w:p>
    <w:p w14:paraId="24F460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Ввод мобилизационного плана в действие, его уточнение и делопроизводство</w:t>
      </w:r>
    </w:p>
    <w:p w14:paraId="4E2140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178. По окончании разработки мобилизационного плана командир войсковой части представляет командиру соединения или в штаб округа донесение о мобилизационной готовности с кратким выводом о готовности части.</w:t>
      </w:r>
    </w:p>
    <w:p w14:paraId="6CC585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179. Ввод в действие мобилизационных планов войсковых частей производится особым распоряжением Народного комиссара обороны СССР...</w:t>
      </w:r>
    </w:p>
    <w:p w14:paraId="709E02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181. Уточнение мобилизационных планов производится:</w:t>
      </w:r>
    </w:p>
    <w:p w14:paraId="78C8E0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 изменении наличия ресурсов, положенных в основу при разработке мобилизационного плана;</w:t>
      </w:r>
    </w:p>
    <w:p w14:paraId="4D57E3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 изменении штатов, порядка развертывания, дислокации и района комплектования части... (10620).</w:t>
      </w:r>
    </w:p>
    <w:p w14:paraId="3FCF41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1B4ADC" w14:textId="77777777" w:rsidR="00CE127A"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6B138C0C" w14:textId="77777777" w:rsidR="00CE127A" w:rsidRPr="00DB5D0D" w:rsidRDefault="00CE127A" w:rsidP="00DB5D0D">
      <w:pPr>
        <w:spacing w:after="0" w:line="240" w:lineRule="auto"/>
        <w:jc w:val="both"/>
        <w:rPr>
          <w:rFonts w:ascii="Times New Roman" w:hAnsi="Times New Roman"/>
          <w:iCs/>
          <w:color w:val="000000" w:themeColor="text1"/>
          <w:sz w:val="16"/>
          <w:szCs w:val="16"/>
        </w:rPr>
      </w:pPr>
    </w:p>
    <w:p w14:paraId="67F0960D"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20 июня</w:t>
      </w:r>
      <w:r w:rsidRPr="00DB5D0D">
        <w:rPr>
          <w:rFonts w:ascii="Times New Roman" w:hAnsi="Times New Roman"/>
          <w:color w:val="000000" w:themeColor="text1"/>
          <w:sz w:val="16"/>
          <w:szCs w:val="16"/>
        </w:rPr>
        <w:t xml:space="preserve"> в 1940 году через три дня после ввода советских войск в Латвию формируется временное народно- демократическое правительство во главе с профессором А.М.Кирхенштейном, отменяющее введенное после столкновений с полицией и имевшихся жертв осадное положение. Участники проходящих под руководством вышедшей из подполья компартии Латвии демонстраций требуют установления советской власти в стране. Многие из них вполне искренне приветствуют ввод советских войск, потом, спустя десятилетия, столь же искренне осуждая пакт Молотова — Риббентропа (14928).</w:t>
      </w:r>
    </w:p>
    <w:p w14:paraId="13B96DEE" w14:textId="77777777" w:rsidR="00CE127A" w:rsidRPr="00DB5D0D" w:rsidRDefault="00CE127A" w:rsidP="00DB5D0D">
      <w:pPr>
        <w:spacing w:after="0" w:line="240" w:lineRule="auto"/>
        <w:jc w:val="both"/>
        <w:rPr>
          <w:rFonts w:ascii="Times New Roman" w:hAnsi="Times New Roman"/>
          <w:color w:val="000000" w:themeColor="text1"/>
          <w:sz w:val="16"/>
          <w:szCs w:val="16"/>
        </w:rPr>
      </w:pPr>
    </w:p>
    <w:p w14:paraId="4BBB0AF1" w14:textId="77777777" w:rsidR="00A25AD1"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За</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рубежом</w:t>
      </w:r>
      <w:r w:rsidRPr="00DB5D0D">
        <w:rPr>
          <w:rFonts w:ascii="Times New Roman" w:hAnsi="Times New Roman"/>
          <w:i/>
          <w:iCs/>
          <w:color w:val="000000" w:themeColor="text1"/>
          <w:sz w:val="16"/>
          <w:szCs w:val="16"/>
          <w:lang w:val="en-US"/>
        </w:rPr>
        <w:t>:</w:t>
      </w:r>
    </w:p>
    <w:p w14:paraId="619FA454" w14:textId="77777777" w:rsidR="00A25AD1" w:rsidRPr="00DB5D0D" w:rsidRDefault="00A25AD1" w:rsidP="00DB5D0D">
      <w:pPr>
        <w:spacing w:after="0" w:line="240" w:lineRule="auto"/>
        <w:jc w:val="both"/>
        <w:rPr>
          <w:rFonts w:ascii="Times New Roman" w:hAnsi="Times New Roman"/>
          <w:iCs/>
          <w:color w:val="000000" w:themeColor="text1"/>
          <w:sz w:val="16"/>
          <w:szCs w:val="16"/>
          <w:lang w:val="en-US"/>
        </w:rPr>
      </w:pPr>
    </w:p>
    <w:p w14:paraId="4470101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20th, 1940: German troops capture Lyons. The German heavy cruiser Gneisenau is damaged by a torpedo from the British submarine Clyde (3819).</w:t>
      </w:r>
    </w:p>
    <w:p w14:paraId="1A27346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6D1318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германские войска заняли Лион. Германский крейсер Гнейзенау был поврежден торпедой, выпущенной с британской п/л Слайд (3819).</w:t>
      </w:r>
    </w:p>
    <w:p w14:paraId="1092993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0C8EFF"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20 июня</w:t>
      </w:r>
      <w:r w:rsidRPr="00DB5D0D">
        <w:rPr>
          <w:rFonts w:ascii="Times New Roman" w:hAnsi="Times New Roman"/>
          <w:color w:val="000000" w:themeColor="text1"/>
          <w:sz w:val="16"/>
          <w:szCs w:val="16"/>
        </w:rPr>
        <w:t xml:space="preserve"> в 1940 году немецкие войска вступили в Брест (14928).</w:t>
      </w:r>
    </w:p>
    <w:p w14:paraId="73D6B96E" w14:textId="77777777" w:rsidR="00CE127A" w:rsidRPr="00DB5D0D" w:rsidRDefault="00CE127A" w:rsidP="00DB5D0D">
      <w:pPr>
        <w:spacing w:after="0" w:line="240" w:lineRule="auto"/>
        <w:jc w:val="both"/>
        <w:rPr>
          <w:rFonts w:ascii="Times New Roman" w:hAnsi="Times New Roman"/>
          <w:color w:val="000000" w:themeColor="text1"/>
          <w:sz w:val="16"/>
          <w:szCs w:val="16"/>
        </w:rPr>
      </w:pPr>
    </w:p>
    <w:p w14:paraId="0F94A747"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lastRenderedPageBreak/>
        <w:t>20 июня</w:t>
      </w:r>
      <w:r w:rsidRPr="00DB5D0D">
        <w:rPr>
          <w:rFonts w:ascii="Times New Roman" w:hAnsi="Times New Roman"/>
          <w:color w:val="000000" w:themeColor="text1"/>
          <w:sz w:val="16"/>
          <w:szCs w:val="16"/>
        </w:rPr>
        <w:t xml:space="preserve"> в 1940 году начало итальянского наступления на французской границе. Однако, французские войска отбили все атаки противника (14928).</w:t>
      </w:r>
    </w:p>
    <w:p w14:paraId="54E1FB13" w14:textId="77777777" w:rsidR="00CE127A" w:rsidRPr="00DB5D0D" w:rsidRDefault="00CE127A" w:rsidP="00DB5D0D">
      <w:pPr>
        <w:spacing w:after="0" w:line="240" w:lineRule="auto"/>
        <w:jc w:val="both"/>
        <w:rPr>
          <w:rFonts w:ascii="Times New Roman" w:hAnsi="Times New Roman"/>
          <w:color w:val="000000" w:themeColor="text1"/>
          <w:sz w:val="16"/>
          <w:szCs w:val="16"/>
        </w:rPr>
      </w:pPr>
    </w:p>
    <w:p w14:paraId="7C69EF26" w14:textId="77777777" w:rsidR="00CE127A" w:rsidRPr="00DB5D0D" w:rsidRDefault="00CE127A"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20 июня</w:t>
      </w:r>
      <w:r w:rsidRPr="00DB5D0D">
        <w:rPr>
          <w:rFonts w:ascii="Times New Roman" w:hAnsi="Times New Roman"/>
          <w:color w:val="000000" w:themeColor="text1"/>
          <w:sz w:val="16"/>
          <w:szCs w:val="16"/>
        </w:rPr>
        <w:t xml:space="preserve"> в 1940 году французское правитильство Виши разрешило Японии базировать войска на севере Индокитая (14928).</w:t>
      </w:r>
    </w:p>
    <w:p w14:paraId="0708908D" w14:textId="77777777" w:rsidR="00CE127A" w:rsidRPr="00DB5D0D" w:rsidRDefault="00CE127A" w:rsidP="00DB5D0D">
      <w:pPr>
        <w:spacing w:after="0" w:line="240" w:lineRule="auto"/>
        <w:jc w:val="both"/>
        <w:rPr>
          <w:rFonts w:ascii="Times New Roman" w:hAnsi="Times New Roman"/>
          <w:color w:val="000000" w:themeColor="text1"/>
          <w:sz w:val="16"/>
          <w:szCs w:val="16"/>
        </w:rPr>
      </w:pPr>
    </w:p>
    <w:p w14:paraId="6E9E1B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Франция разрешила Японии ввести войска в Индокитай (2244,5).</w:t>
      </w:r>
    </w:p>
    <w:p w14:paraId="4294087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160DC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D1A925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F6DA6D2" w14:textId="77777777" w:rsidR="00D00511" w:rsidRPr="00DB5D0D" w:rsidRDefault="00D0051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 Комитет Обороны принял постановление о развертывании серийного производства самолета «100» в вариантах пикирующего бомбардировщика, получившего обозначение ПБ-100, на московских заводах № 22 и № 39. Летом 1940 года В.М. Петляков был освобожден из заключения и в октябре 1939 года назначен главным конструктором завода № 39 (19769).</w:t>
      </w:r>
    </w:p>
    <w:p w14:paraId="4CA58022" w14:textId="77777777" w:rsidR="00D00511" w:rsidRPr="00DB5D0D" w:rsidRDefault="00D00511" w:rsidP="00DB5D0D">
      <w:pPr>
        <w:spacing w:after="0" w:line="240" w:lineRule="auto"/>
        <w:jc w:val="both"/>
        <w:rPr>
          <w:rFonts w:ascii="Times New Roman" w:hAnsi="Times New Roman"/>
          <w:color w:val="000000" w:themeColor="text1"/>
          <w:sz w:val="16"/>
          <w:szCs w:val="16"/>
        </w:rPr>
      </w:pPr>
    </w:p>
    <w:p w14:paraId="04317A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 зам. наркома обороны Кулик писал письмо N 16709сс Ворошилову.</w:t>
      </w:r>
    </w:p>
    <w:p w14:paraId="794404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Боевые действия авиации против белофиннов показали необходимость замены старых стрелковых установок на самолетах СБ и ДБ-3 не более современные установки МВ-3 и ЛУ-МВ-2.</w:t>
      </w:r>
    </w:p>
    <w:p w14:paraId="416C5D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своим постановлением от 29 января 1940 г. за N 51сс обязал перевооружить 600 самолетов СБ и 200 самолетов ДБ-3 указанными установками. Перевооружение этих самолетов будет закончено в июле (3366,13).</w:t>
      </w:r>
    </w:p>
    <w:p w14:paraId="7552162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928B6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 вновь назначенный нарком авиапромышленности СССР А.И.Шахурин издал приказ, согласно которому авиапромышленность должна обеспечить переделку 750 И-16 тип 10 в И-16 тип 18 в частях и мастерских ВВС. Переделку ранее выпущенных И-16 тип 5 предпи</w:t>
      </w:r>
      <w:r w:rsidRPr="00DB5D0D">
        <w:rPr>
          <w:rFonts w:ascii="Times New Roman" w:hAnsi="Times New Roman"/>
          <w:color w:val="000000" w:themeColor="text1"/>
          <w:sz w:val="16"/>
          <w:szCs w:val="16"/>
        </w:rPr>
        <w:softHyphen/>
        <w:t>сывалось проводить исключительно во время их капи</w:t>
      </w:r>
      <w:r w:rsidRPr="00DB5D0D">
        <w:rPr>
          <w:rFonts w:ascii="Times New Roman" w:hAnsi="Times New Roman"/>
          <w:color w:val="000000" w:themeColor="text1"/>
          <w:sz w:val="16"/>
          <w:szCs w:val="16"/>
        </w:rPr>
        <w:softHyphen/>
        <w:t>тельного ремонта на ремонтных заводах (10667).</w:t>
      </w:r>
    </w:p>
    <w:p w14:paraId="59E9636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9976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Г.М.Шиянов на ИС-1 выполнил уборку крыла (675,467).</w:t>
      </w:r>
    </w:p>
    <w:p w14:paraId="6F76DCD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0450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Г.М. Шиянов впервые убрал шасси и нижнее крыло на ИС (10745,40).</w:t>
      </w:r>
    </w:p>
    <w:p w14:paraId="469895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6BBA591" w14:textId="77777777" w:rsidR="00276DCC" w:rsidRPr="00DB5D0D" w:rsidRDefault="00276DCC"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21 июня</w:t>
      </w:r>
      <w:r w:rsidRPr="00DB5D0D">
        <w:rPr>
          <w:rFonts w:ascii="Times New Roman" w:hAnsi="Times New Roman"/>
          <w:color w:val="000000" w:themeColor="text1"/>
          <w:sz w:val="16"/>
          <w:szCs w:val="16"/>
        </w:rPr>
        <w:t xml:space="preserve"> в 1940 году летчик-испытатель Георгий Шиянов впервые убрал крыло и шасси на экспериментальном истребителе </w:t>
      </w:r>
      <w:hyperlink r:id="rId135" w:tgtFrame="_blank" w:history="1">
        <w:r w:rsidRPr="00DB5D0D">
          <w:rPr>
            <w:rFonts w:ascii="Times New Roman" w:hAnsi="Times New Roman"/>
            <w:color w:val="000000" w:themeColor="text1"/>
            <w:sz w:val="16"/>
            <w:szCs w:val="16"/>
          </w:rPr>
          <w:t xml:space="preserve">«ИС-1». </w:t>
        </w:r>
      </w:hyperlink>
      <w:r w:rsidRPr="00DB5D0D">
        <w:rPr>
          <w:rFonts w:ascii="Times New Roman" w:hAnsi="Times New Roman"/>
          <w:color w:val="000000" w:themeColor="text1"/>
          <w:sz w:val="16"/>
          <w:szCs w:val="16"/>
        </w:rPr>
        <w:t>Самолет показал отличные результаты и вел себя безукоризненно. Главная особенность «ИС-1» (истребитель складной первый) состояла в том, что летчик мог в воздухе превратить этот полутораплан в моноплан с высоко расположенным крылом типа чайка (14929).</w:t>
      </w:r>
    </w:p>
    <w:p w14:paraId="47CBA609" w14:textId="77777777" w:rsidR="00276DCC" w:rsidRPr="00DB5D0D" w:rsidRDefault="00276DCC" w:rsidP="00DB5D0D">
      <w:pPr>
        <w:spacing w:after="0" w:line="240" w:lineRule="auto"/>
        <w:jc w:val="both"/>
        <w:rPr>
          <w:rFonts w:ascii="Times New Roman" w:hAnsi="Times New Roman"/>
          <w:color w:val="000000" w:themeColor="text1"/>
          <w:sz w:val="16"/>
          <w:szCs w:val="16"/>
        </w:rPr>
      </w:pPr>
    </w:p>
    <w:p w14:paraId="6AAD727F" w14:textId="77777777" w:rsidR="00276DCC" w:rsidRPr="00DB5D0D" w:rsidRDefault="00276DC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 летчик-испытатель Георгий Шиянов на ИС-1 убрал и выпустил крыло. Самолет и здесь показал отличные результаты. В заключительном отчете от 9 января 1941 г. Шиянов писал: "Оборудование кабины ИС-1 аналогично самолетам И-153, И-16. Приборы расположены удобно. Органы управления мотором, самолетом и вооружением расположены целесообразно. Посадка в кабине удобная, но обзор для руления имеет слишком узкий сектор. На взлете самолет легко отрывается и не боится боковика. Возможен взлет с подрывом. На больших углах атаки тенденций к сваливанию нет. Наивыгоднейшая скорость набора - 200-210 км/ч. На скорости набора 240 км/ч наблюдается небольшая вибрация хвостового оперения типа бафтинг.</w:t>
      </w:r>
    </w:p>
    <w:p w14:paraId="1B0E5A11" w14:textId="77777777" w:rsidR="00276DCC" w:rsidRPr="00DB5D0D" w:rsidRDefault="00276DC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прост в пилотировании и "плотно сидит" в воздухе. Проявляется незначительное потряхивание хвоста на малых скоростях. Виражит устойчиво, но чувствуется недостаточная мощность мотора. Обзор в воздухе вперед также недостаточен. По прибору доводил скорость до 300 км/ч на высоте 2000 м. Планирует ИС-1 устойчиво, допускает планирование с брошенными рулями. Подвод к земле на посадке на скорости 190 км/ч. Но обзор для посадки недостаточен. Пробег очень устойчив. Производил посадку с боковым ветром до 45° и силой 10 м/сек. Никаких сомнений самолет не вызывает". В облете уникальной машины принял участие и знаменитый летчик С. Супрун. В его умелых руках истребитель ИС-1 продемонстрировал свою стремительность и высокую маневренность. Крыло и шасси Степан убрал сразу же после взлета, чем буквально поразил присутствующих летчиков и конструкторов. В своем заключении по испытаниям ИС-1 Супрун записал: "На рулежке обзор вперед недостаточен. Взлет простой. Амортизация шасси нормальная. При переходе в угол набора самолет слегка потряхивает, что не опасно. Механизм уборки крыльев и шасси расположен очень удобно и просто. Крыло и шасси убираются легко, поведение самолета в этот момент нормальное, просадки нет. Самолет послушен в пилотировании. Вираж и боевой разворот выполняет очень хорошо. Можно делать вираж с креном 70° на скорости 300 км/ч. Вывод из боевого разворота на скорости 220 км/ч. Отбалансированный самолет хорошо летит с брошенной ручкой. Поперечная и продольная устойчивость самолета очень хорошие. При выпуске крыла и шасси поведение самолета нормальное. Посадка проста". Эти оценки нового самолета подтверждает также и третий участник облета талантливый инженер-летчик Алексей Гринчик: "ИС-1 в варианте моноплана очень приятен в полете и устойчиво ведет себя в воздухе" (15550).</w:t>
      </w:r>
    </w:p>
    <w:p w14:paraId="10A1EF2F" w14:textId="77777777" w:rsidR="00276DCC" w:rsidRPr="00DB5D0D" w:rsidRDefault="00276DCC" w:rsidP="00DB5D0D">
      <w:pPr>
        <w:spacing w:after="0" w:line="240" w:lineRule="auto"/>
        <w:jc w:val="both"/>
        <w:rPr>
          <w:rFonts w:ascii="Times New Roman" w:hAnsi="Times New Roman"/>
          <w:color w:val="000000" w:themeColor="text1"/>
          <w:sz w:val="16"/>
          <w:szCs w:val="16"/>
        </w:rPr>
      </w:pPr>
    </w:p>
    <w:p w14:paraId="2F6189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вышел приказ НКАП N 307сс в исполнение постановления КО N 253cc "О перевооружении самолетов И-16" от 9 июня 1940 (1296,266).</w:t>
      </w:r>
    </w:p>
    <w:p w14:paraId="4BE8ED9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F015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в ходе заводских испытаний И-200 А.И.М, которые проходили с 31 марта по 17 августа 1940, на И-200-3 состоялся контрольный полет (2988).</w:t>
      </w:r>
    </w:p>
    <w:p w14:paraId="326905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12B0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в ходе гос. испытаний И-301 М-105 П, которые проводились в НИИ ВВС с 14 по 27 июня 1940 л Супруном и П.М.Стефановским были заменены покрышки колес, т.к. старые - деформировались и шасси не убиралось (2922).</w:t>
      </w:r>
    </w:p>
    <w:p w14:paraId="22118C7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86EA02" w14:textId="77777777" w:rsidR="00F45872" w:rsidRPr="00DB5D0D" w:rsidRDefault="00F4587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21 июня 1940 г. летчик Шиянов впервые выполнил уборку крыла ИС в полете – механизм работал нормально, уборка и выпуск крыла занимали 6…7 с, самолет при этом сохранял нормальную устойчивость и управляемость (23125).</w:t>
      </w:r>
    </w:p>
    <w:p w14:paraId="4FCC23D8" w14:textId="77777777" w:rsidR="00F45872" w:rsidRPr="00DB5D0D" w:rsidRDefault="00F45872" w:rsidP="00DB5D0D">
      <w:pPr>
        <w:spacing w:after="0" w:line="240" w:lineRule="auto"/>
        <w:jc w:val="both"/>
        <w:rPr>
          <w:rFonts w:ascii="Times New Roman" w:hAnsi="Times New Roman"/>
          <w:color w:val="0070C0"/>
          <w:sz w:val="16"/>
          <w:szCs w:val="16"/>
        </w:rPr>
      </w:pPr>
    </w:p>
    <w:p w14:paraId="16463E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в ходе гос. испытаний ПС-84 в военных вариантах - транспортном, десантном и санитарном, которые проходили в НИИ ВВС с 11 мая по 29 июня 1940 на машине, которая была переоборудована из десантной в санитарную, был выполнен полет (0:45) (2923).</w:t>
      </w:r>
    </w:p>
    <w:p w14:paraId="1FDE1E2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3697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Секр. Ленинградского горкома ВКП(б) Кузнецов писал Секр. ЦК ВКП(б) А.А.Жданову (копия И.В.С.) и А.И.Ш. докладную записку об организации на базе Ленинградской промышленности выпуска боевых самолетов (1171).</w:t>
      </w:r>
    </w:p>
    <w:p w14:paraId="746B709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8CA28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 было письмо Воробьева - начальника ОКБ КАИ в ЦАГИ по вопросу о состоянии работ над летным экземпляром УК-1. Сообщалось, что «самолет с нормальным крылом готов к переброске на аэродром для окончательной сборки и проведения летных испытаний. Нет только колес с завода № 120. Нет заключения ЦАГИ на первый вылет, также нет заключения ЦАГИ по статическим испытаниям».</w:t>
      </w:r>
    </w:p>
    <w:p w14:paraId="5E779E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УК-1 (Упругое крыло) стал последней машиной КАИ. Информация по ней имеется крайне скудная, известно только, что с 1938 г., по заданию ЦАГИ, в ОКБ под руководством Воробьева Г.Н. шла работа по экспериментальному двухместному моноплану с мотором МВ-6 мощностью 220 л.с. Предполагалось создание двух вариантов крыла – обычного деревянного (УК-1Б), и упругого, смешанной конструкции (УК-1А). Упругое крыло «типа бабочки по схеме В.Н. Беляева» – по словам Шаврова, «лимитирующее величину полетной перегрузки за счет закручивания крыла» – по словам Максимова В.В., было спроектировано и построено в 1940 г., на следующий год самолет передали в ЦАГИ, но испытания из-за войны не проводились (12049).</w:t>
      </w:r>
    </w:p>
    <w:p w14:paraId="2E099B7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9E6984" w14:textId="77777777" w:rsidR="00F9395A" w:rsidRPr="00DB5D0D" w:rsidRDefault="00F939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21 июня 1940 г. Герой Советского Союза И.П. Мазурук дал следующий отзыв: «На основании длительного знакомства и лично моих полётов на гусеничном шасси конструкции т. Чечубалина нахожу: идея отличная.</w:t>
      </w:r>
    </w:p>
    <w:p w14:paraId="7542D0C1"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eastAsia="Times New Roman" w:hAnsi="Times New Roman"/>
          <w:color w:val="000000" w:themeColor="text1"/>
          <w:sz w:val="16"/>
          <w:szCs w:val="16"/>
          <w:lang w:eastAsia="ru-RU"/>
        </w:rPr>
        <w:t xml:space="preserve">Требуется немедленная доработка конструкции, устранение производственных дефектов и без волокиты внедрять во все виды нашей авиации» </w:t>
      </w:r>
      <w:hyperlink r:id="rId136" w:history="1">
        <w:r w:rsidRPr="00DB5D0D">
          <w:rPr>
            <w:rFonts w:ascii="Times New Roman" w:eastAsia="Times New Roman" w:hAnsi="Times New Roman"/>
            <w:color w:val="000000" w:themeColor="text1"/>
            <w:sz w:val="16"/>
            <w:szCs w:val="16"/>
            <w:lang w:eastAsia="ru-RU"/>
          </w:rPr>
          <w:t>[207]</w:t>
        </w:r>
      </w:hyperlink>
      <w:r w:rsidRPr="00DB5D0D">
        <w:rPr>
          <w:rFonts w:ascii="Times New Roman" w:hAnsi="Times New Roman"/>
          <w:color w:val="000000" w:themeColor="text1"/>
          <w:sz w:val="16"/>
          <w:szCs w:val="16"/>
        </w:rPr>
        <w:t>.</w:t>
      </w:r>
    </w:p>
    <w:p w14:paraId="1F4F7A38" w14:textId="77777777" w:rsidR="00F9395A" w:rsidRPr="00DB5D0D" w:rsidRDefault="00F939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Под производственными дефектами подразумевался износ роликов и внутренней поверхности траков, обнаруженный при разборке гусениц после испытаний. Для устранения этого недостатка предлагалось применить более прочные материалы и усилить защиту от попадания грязи на трущиеся детали.</w:t>
      </w:r>
    </w:p>
    <w:p w14:paraId="471084CB" w14:textId="77777777" w:rsidR="00F9395A" w:rsidRPr="00DB5D0D" w:rsidRDefault="00F9395A"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Дальнейшие опыты с гусеничном шасси в СССР проводили уже во время войны — на транспортном самолёте Ли-2, а в конце 1940-х годов — на реактивном бомбардировщике Ил-28. В Германии и США с 1941 г. также вели работы в этой области. Но ни в одной стране они не вышли из стадии экспериментов — слишком тяжёлой и низкоресурсной оказалась гусеничная конструкция  (17489).</w:t>
      </w:r>
    </w:p>
    <w:p w14:paraId="5FC34067" w14:textId="77777777" w:rsidR="00F9395A" w:rsidRPr="00DB5D0D" w:rsidRDefault="00F9395A" w:rsidP="00DB5D0D">
      <w:pPr>
        <w:spacing w:after="0" w:line="240" w:lineRule="auto"/>
        <w:jc w:val="both"/>
        <w:rPr>
          <w:rFonts w:ascii="Times New Roman" w:eastAsia="Times New Roman" w:hAnsi="Times New Roman"/>
          <w:color w:val="000000" w:themeColor="text1"/>
          <w:sz w:val="16"/>
          <w:szCs w:val="16"/>
          <w:lang w:eastAsia="ru-RU"/>
        </w:rPr>
      </w:pPr>
    </w:p>
    <w:p w14:paraId="7DC7E986" w14:textId="77777777" w:rsidR="00F45872" w:rsidRPr="00DB5D0D" w:rsidRDefault="00F4587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21 июня 1940 года приказом НКО № 0117 ГУ ВВС КА и ГУАС КА были вновь слиты в Главное управление ВВС Красной Армии (23183).</w:t>
      </w:r>
    </w:p>
    <w:p w14:paraId="7956A9EB" w14:textId="77777777" w:rsidR="00F45872" w:rsidRPr="00DB5D0D" w:rsidRDefault="00F45872" w:rsidP="00DB5D0D">
      <w:pPr>
        <w:spacing w:after="0" w:line="240" w:lineRule="auto"/>
        <w:jc w:val="both"/>
        <w:rPr>
          <w:rFonts w:ascii="Times New Roman" w:hAnsi="Times New Roman"/>
          <w:color w:val="0070C0"/>
          <w:sz w:val="16"/>
          <w:szCs w:val="16"/>
        </w:rPr>
      </w:pPr>
    </w:p>
    <w:p w14:paraId="608A95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Зам. нач. 7 ГУ С.Шишкин писал письмо Секретарю КО СНК Пугаеву:</w:t>
      </w:r>
    </w:p>
    <w:p w14:paraId="3F9225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 запросу Тугеева высылается список конструкторов самолетов, работающих в системе НКАП (2090,120):</w:t>
      </w:r>
    </w:p>
    <w:p w14:paraId="64BD0D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Список конструкторов опытных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37"/>
        <w:gridCol w:w="1437"/>
        <w:gridCol w:w="1437"/>
        <w:gridCol w:w="1437"/>
        <w:gridCol w:w="1437"/>
        <w:gridCol w:w="3413"/>
      </w:tblGrid>
      <w:tr w:rsidR="007D5DF8" w:rsidRPr="00DB5D0D" w14:paraId="4DB5AEA9" w14:textId="77777777" w:rsidTr="009223E5">
        <w:tc>
          <w:tcPr>
            <w:tcW w:w="1437" w:type="dxa"/>
            <w:tcBorders>
              <w:top w:val="single" w:sz="12" w:space="0" w:color="auto"/>
            </w:tcBorders>
          </w:tcPr>
          <w:p w14:paraId="43CE3A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NN</w:t>
            </w:r>
          </w:p>
        </w:tc>
        <w:tc>
          <w:tcPr>
            <w:tcW w:w="1437" w:type="dxa"/>
            <w:tcBorders>
              <w:top w:val="single" w:sz="12" w:space="0" w:color="auto"/>
            </w:tcBorders>
          </w:tcPr>
          <w:p w14:paraId="59B035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w:t>
            </w:r>
          </w:p>
        </w:tc>
        <w:tc>
          <w:tcPr>
            <w:tcW w:w="1437" w:type="dxa"/>
            <w:tcBorders>
              <w:top w:val="single" w:sz="12" w:space="0" w:color="auto"/>
            </w:tcBorders>
          </w:tcPr>
          <w:p w14:paraId="57FBD5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1437" w:type="dxa"/>
            <w:tcBorders>
              <w:top w:val="single" w:sz="12" w:space="0" w:color="auto"/>
            </w:tcBorders>
          </w:tcPr>
          <w:p w14:paraId="734BA8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w:t>
            </w:r>
          </w:p>
        </w:tc>
        <w:tc>
          <w:tcPr>
            <w:tcW w:w="1437" w:type="dxa"/>
            <w:tcBorders>
              <w:top w:val="single" w:sz="12" w:space="0" w:color="auto"/>
            </w:tcBorders>
          </w:tcPr>
          <w:p w14:paraId="38943B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Тематика</w:t>
            </w:r>
          </w:p>
        </w:tc>
        <w:tc>
          <w:tcPr>
            <w:tcW w:w="3413" w:type="dxa"/>
            <w:tcBorders>
              <w:top w:val="single" w:sz="12" w:space="0" w:color="auto"/>
            </w:tcBorders>
          </w:tcPr>
          <w:p w14:paraId="29B632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7A8FFA07" w14:textId="77777777" w:rsidTr="009223E5">
        <w:tc>
          <w:tcPr>
            <w:tcW w:w="1437" w:type="dxa"/>
          </w:tcPr>
          <w:p w14:paraId="4DFA63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w:t>
            </w:r>
          </w:p>
        </w:tc>
        <w:tc>
          <w:tcPr>
            <w:tcW w:w="1437" w:type="dxa"/>
          </w:tcPr>
          <w:p w14:paraId="19CF05B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61A3E5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7D5EC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54F182E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413" w:type="dxa"/>
          </w:tcPr>
          <w:p w14:paraId="503774F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D651346" w14:textId="77777777" w:rsidTr="009223E5">
        <w:tc>
          <w:tcPr>
            <w:tcW w:w="1437" w:type="dxa"/>
          </w:tcPr>
          <w:p w14:paraId="0077E2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437" w:type="dxa"/>
          </w:tcPr>
          <w:p w14:paraId="124730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Н.Н.П.</w:t>
            </w:r>
          </w:p>
        </w:tc>
        <w:tc>
          <w:tcPr>
            <w:tcW w:w="1437" w:type="dxa"/>
          </w:tcPr>
          <w:p w14:paraId="500CF3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437" w:type="dxa"/>
          </w:tcPr>
          <w:p w14:paraId="1BE8E7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511023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М-88</w:t>
            </w:r>
          </w:p>
        </w:tc>
        <w:tc>
          <w:tcPr>
            <w:tcW w:w="3413" w:type="dxa"/>
          </w:tcPr>
          <w:p w14:paraId="732F6C9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1F30BD4" w14:textId="77777777" w:rsidTr="009223E5">
        <w:tc>
          <w:tcPr>
            <w:tcW w:w="1437" w:type="dxa"/>
          </w:tcPr>
          <w:p w14:paraId="29A1568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D8204E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003467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8B4468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702CB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 М-88</w:t>
            </w:r>
          </w:p>
        </w:tc>
        <w:tc>
          <w:tcPr>
            <w:tcW w:w="3413" w:type="dxa"/>
          </w:tcPr>
          <w:p w14:paraId="5153ABC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1886413" w14:textId="77777777" w:rsidTr="009223E5">
        <w:tc>
          <w:tcPr>
            <w:tcW w:w="1437" w:type="dxa"/>
          </w:tcPr>
          <w:p w14:paraId="34197F8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513D809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F7BA71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5C686C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C2C93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И-185 М-90</w:t>
            </w:r>
          </w:p>
        </w:tc>
        <w:tc>
          <w:tcPr>
            <w:tcW w:w="3413" w:type="dxa"/>
          </w:tcPr>
          <w:p w14:paraId="451213A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C784C44" w14:textId="77777777" w:rsidTr="009223E5">
        <w:tc>
          <w:tcPr>
            <w:tcW w:w="1437" w:type="dxa"/>
          </w:tcPr>
          <w:p w14:paraId="4874238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A83470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948F41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EC81B2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DC74F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М-63</w:t>
            </w:r>
          </w:p>
        </w:tc>
        <w:tc>
          <w:tcPr>
            <w:tcW w:w="3413" w:type="dxa"/>
          </w:tcPr>
          <w:p w14:paraId="124216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гермокабиной</w:t>
            </w:r>
          </w:p>
        </w:tc>
      </w:tr>
      <w:tr w:rsidR="007D5DF8" w:rsidRPr="00DB5D0D" w14:paraId="0A40021A" w14:textId="77777777" w:rsidTr="009223E5">
        <w:tc>
          <w:tcPr>
            <w:tcW w:w="1437" w:type="dxa"/>
          </w:tcPr>
          <w:p w14:paraId="7E127F3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6A6D81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9BBC67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3BA79B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3DCF0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М-62</w:t>
            </w:r>
          </w:p>
        </w:tc>
        <w:tc>
          <w:tcPr>
            <w:tcW w:w="3413" w:type="dxa"/>
          </w:tcPr>
          <w:p w14:paraId="4DFD52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деревянным фюзеляжем</w:t>
            </w:r>
          </w:p>
        </w:tc>
      </w:tr>
      <w:tr w:rsidR="007D5DF8" w:rsidRPr="00DB5D0D" w14:paraId="0A3FB84F" w14:textId="77777777" w:rsidTr="009223E5">
        <w:tc>
          <w:tcPr>
            <w:tcW w:w="1437" w:type="dxa"/>
          </w:tcPr>
          <w:p w14:paraId="549D5E1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42F462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4A285E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9F6E8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503F4F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СПБ 2М-106</w:t>
            </w:r>
          </w:p>
        </w:tc>
        <w:tc>
          <w:tcPr>
            <w:tcW w:w="3413" w:type="dxa"/>
          </w:tcPr>
          <w:p w14:paraId="27D3FA8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4CA2439" w14:textId="77777777" w:rsidTr="009223E5">
        <w:tc>
          <w:tcPr>
            <w:tcW w:w="1437" w:type="dxa"/>
          </w:tcPr>
          <w:p w14:paraId="498E74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p>
        </w:tc>
        <w:tc>
          <w:tcPr>
            <w:tcW w:w="1437" w:type="dxa"/>
          </w:tcPr>
          <w:p w14:paraId="7910CA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А.И.М., Гуревич</w:t>
            </w:r>
          </w:p>
        </w:tc>
        <w:tc>
          <w:tcPr>
            <w:tcW w:w="1437" w:type="dxa"/>
          </w:tcPr>
          <w:p w14:paraId="143DF4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437" w:type="dxa"/>
          </w:tcPr>
          <w:p w14:paraId="27E31F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4F4107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АМ-37</w:t>
            </w:r>
          </w:p>
        </w:tc>
        <w:tc>
          <w:tcPr>
            <w:tcW w:w="3413" w:type="dxa"/>
          </w:tcPr>
          <w:p w14:paraId="0CCD8DE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46655B2" w14:textId="77777777" w:rsidTr="009223E5">
        <w:tc>
          <w:tcPr>
            <w:tcW w:w="1437" w:type="dxa"/>
          </w:tcPr>
          <w:p w14:paraId="19DC6C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437" w:type="dxa"/>
          </w:tcPr>
          <w:p w14:paraId="3848F8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Стронгин</w:t>
            </w:r>
          </w:p>
        </w:tc>
        <w:tc>
          <w:tcPr>
            <w:tcW w:w="1437" w:type="dxa"/>
          </w:tcPr>
          <w:p w14:paraId="627A07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437" w:type="dxa"/>
          </w:tcPr>
          <w:p w14:paraId="7E8C16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5F4FCF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 2М-105</w:t>
            </w:r>
          </w:p>
        </w:tc>
        <w:tc>
          <w:tcPr>
            <w:tcW w:w="3413" w:type="dxa"/>
          </w:tcPr>
          <w:p w14:paraId="13D5994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4DD40DF" w14:textId="77777777" w:rsidTr="009223E5">
        <w:tc>
          <w:tcPr>
            <w:tcW w:w="1437" w:type="dxa"/>
          </w:tcPr>
          <w:p w14:paraId="64F24EC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EC4FC3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60C8E3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AB9A63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F2A16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 2М-107</w:t>
            </w:r>
          </w:p>
        </w:tc>
        <w:tc>
          <w:tcPr>
            <w:tcW w:w="3413" w:type="dxa"/>
          </w:tcPr>
          <w:p w14:paraId="1CA4444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E43C517" w14:textId="77777777" w:rsidTr="009223E5">
        <w:tc>
          <w:tcPr>
            <w:tcW w:w="1437" w:type="dxa"/>
          </w:tcPr>
          <w:p w14:paraId="170E91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437" w:type="dxa"/>
          </w:tcPr>
          <w:p w14:paraId="24EB7B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А.А.А.</w:t>
            </w:r>
          </w:p>
        </w:tc>
        <w:tc>
          <w:tcPr>
            <w:tcW w:w="1437" w:type="dxa"/>
          </w:tcPr>
          <w:p w14:paraId="78E4E1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37" w:type="dxa"/>
          </w:tcPr>
          <w:p w14:paraId="7FB675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15CEF9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СБ-2 2М-105 ТК-2</w:t>
            </w:r>
          </w:p>
        </w:tc>
        <w:tc>
          <w:tcPr>
            <w:tcW w:w="3413" w:type="dxa"/>
          </w:tcPr>
          <w:p w14:paraId="4041902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45ACB17" w14:textId="77777777" w:rsidTr="009223E5">
        <w:tc>
          <w:tcPr>
            <w:tcW w:w="1437" w:type="dxa"/>
          </w:tcPr>
          <w:p w14:paraId="78ECE1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437" w:type="dxa"/>
          </w:tcPr>
          <w:p w14:paraId="329551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w:t>
            </w:r>
          </w:p>
        </w:tc>
        <w:tc>
          <w:tcPr>
            <w:tcW w:w="1437" w:type="dxa"/>
          </w:tcPr>
          <w:p w14:paraId="255E20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1437" w:type="dxa"/>
          </w:tcPr>
          <w:p w14:paraId="271CC9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1664CD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ДБ-4 2М-120</w:t>
            </w:r>
          </w:p>
        </w:tc>
        <w:tc>
          <w:tcPr>
            <w:tcW w:w="3413" w:type="dxa"/>
          </w:tcPr>
          <w:p w14:paraId="343C9CD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C7D9B91" w14:textId="77777777" w:rsidTr="009223E5">
        <w:tc>
          <w:tcPr>
            <w:tcW w:w="1437" w:type="dxa"/>
          </w:tcPr>
          <w:p w14:paraId="7A2DEE0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F12212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58E59B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115849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18BB7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БШ АМ-35</w:t>
            </w:r>
          </w:p>
        </w:tc>
        <w:tc>
          <w:tcPr>
            <w:tcW w:w="3413" w:type="dxa"/>
          </w:tcPr>
          <w:p w14:paraId="1819AFE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9BA8383" w14:textId="77777777" w:rsidTr="009223E5">
        <w:tc>
          <w:tcPr>
            <w:tcW w:w="1437" w:type="dxa"/>
          </w:tcPr>
          <w:p w14:paraId="69C5C61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34C637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490147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66EAD7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F0289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 2М-88</w:t>
            </w:r>
          </w:p>
        </w:tc>
        <w:tc>
          <w:tcPr>
            <w:tcW w:w="3413" w:type="dxa"/>
          </w:tcPr>
          <w:p w14:paraId="1F5FCF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деревянным фюзеляжем</w:t>
            </w:r>
          </w:p>
        </w:tc>
      </w:tr>
      <w:tr w:rsidR="007D5DF8" w:rsidRPr="00DB5D0D" w14:paraId="743EC76C" w14:textId="77777777" w:rsidTr="009223E5">
        <w:tc>
          <w:tcPr>
            <w:tcW w:w="1437" w:type="dxa"/>
          </w:tcPr>
          <w:p w14:paraId="4353FC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437" w:type="dxa"/>
          </w:tcPr>
          <w:p w14:paraId="0803DD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w:t>
            </w:r>
          </w:p>
        </w:tc>
        <w:tc>
          <w:tcPr>
            <w:tcW w:w="1437" w:type="dxa"/>
          </w:tcPr>
          <w:p w14:paraId="17603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1437" w:type="dxa"/>
          </w:tcPr>
          <w:p w14:paraId="60F11B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1CC96E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М-105П</w:t>
            </w:r>
          </w:p>
        </w:tc>
        <w:tc>
          <w:tcPr>
            <w:tcW w:w="3413" w:type="dxa"/>
          </w:tcPr>
          <w:p w14:paraId="76A6B37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7E30603" w14:textId="77777777" w:rsidTr="009223E5">
        <w:tc>
          <w:tcPr>
            <w:tcW w:w="1437" w:type="dxa"/>
          </w:tcPr>
          <w:p w14:paraId="27755E4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5CAE1D0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E9DB7C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3A0BD7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89051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М-107П</w:t>
            </w:r>
          </w:p>
        </w:tc>
        <w:tc>
          <w:tcPr>
            <w:tcW w:w="3413" w:type="dxa"/>
          </w:tcPr>
          <w:p w14:paraId="0397213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3750C88" w14:textId="77777777" w:rsidTr="009223E5">
        <w:tc>
          <w:tcPr>
            <w:tcW w:w="1437" w:type="dxa"/>
          </w:tcPr>
          <w:p w14:paraId="3B6A8DA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1C96DC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786306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1FBE4F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78AD6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ДИ-26 М-105П</w:t>
            </w:r>
          </w:p>
        </w:tc>
        <w:tc>
          <w:tcPr>
            <w:tcW w:w="3413" w:type="dxa"/>
          </w:tcPr>
          <w:p w14:paraId="444A5A3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3C53FEB" w14:textId="77777777" w:rsidTr="009223E5">
        <w:tc>
          <w:tcPr>
            <w:tcW w:w="1437" w:type="dxa"/>
          </w:tcPr>
          <w:p w14:paraId="6C6EC1F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01393E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A1E75F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DA0453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88D44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УТ-23 МВ-6</w:t>
            </w:r>
          </w:p>
        </w:tc>
        <w:tc>
          <w:tcPr>
            <w:tcW w:w="3413" w:type="dxa"/>
          </w:tcPr>
          <w:p w14:paraId="6E86C87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576F633" w14:textId="77777777" w:rsidTr="009223E5">
        <w:tc>
          <w:tcPr>
            <w:tcW w:w="1437" w:type="dxa"/>
          </w:tcPr>
          <w:p w14:paraId="0131E7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1437" w:type="dxa"/>
          </w:tcPr>
          <w:p w14:paraId="728423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w:t>
            </w:r>
          </w:p>
        </w:tc>
        <w:tc>
          <w:tcPr>
            <w:tcW w:w="1437" w:type="dxa"/>
          </w:tcPr>
          <w:p w14:paraId="525404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1437" w:type="dxa"/>
          </w:tcPr>
          <w:p w14:paraId="7C2D59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Калинин</w:t>
            </w:r>
          </w:p>
        </w:tc>
        <w:tc>
          <w:tcPr>
            <w:tcW w:w="1437" w:type="dxa"/>
          </w:tcPr>
          <w:p w14:paraId="72CB41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И-135 М-105ПТК</w:t>
            </w:r>
          </w:p>
        </w:tc>
        <w:tc>
          <w:tcPr>
            <w:tcW w:w="3413" w:type="dxa"/>
          </w:tcPr>
          <w:p w14:paraId="7A93DC4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433C997" w14:textId="77777777" w:rsidTr="009223E5">
        <w:tc>
          <w:tcPr>
            <w:tcW w:w="1437" w:type="dxa"/>
          </w:tcPr>
          <w:p w14:paraId="0FCFCAF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1AAF1D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60C020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5B74A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(Подлипки)</w:t>
            </w:r>
          </w:p>
        </w:tc>
        <w:tc>
          <w:tcPr>
            <w:tcW w:w="1437" w:type="dxa"/>
          </w:tcPr>
          <w:p w14:paraId="33ADDBD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413" w:type="dxa"/>
          </w:tcPr>
          <w:p w14:paraId="2FD75DB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D982A37" w14:textId="77777777" w:rsidTr="009223E5">
        <w:tc>
          <w:tcPr>
            <w:tcW w:w="1437" w:type="dxa"/>
          </w:tcPr>
          <w:p w14:paraId="01C98CF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C316A7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ECD70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1437" w:type="dxa"/>
          </w:tcPr>
          <w:p w14:paraId="2A5954F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01D8D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w:t>
            </w:r>
          </w:p>
        </w:tc>
        <w:tc>
          <w:tcPr>
            <w:tcW w:w="3413" w:type="dxa"/>
          </w:tcPr>
          <w:p w14:paraId="48CF23A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A4BBA66" w14:textId="77777777" w:rsidTr="009223E5">
        <w:tc>
          <w:tcPr>
            <w:tcW w:w="1437" w:type="dxa"/>
          </w:tcPr>
          <w:p w14:paraId="61986AA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F4161D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A542E2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A7B8A5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0766B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М-62ТК</w:t>
            </w:r>
          </w:p>
        </w:tc>
        <w:tc>
          <w:tcPr>
            <w:tcW w:w="3413" w:type="dxa"/>
          </w:tcPr>
          <w:p w14:paraId="19FD023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1E3E305" w14:textId="77777777" w:rsidTr="009223E5">
        <w:tc>
          <w:tcPr>
            <w:tcW w:w="1437" w:type="dxa"/>
          </w:tcPr>
          <w:p w14:paraId="663AA58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2ED415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2F1DA1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348728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D5DAA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 М-88</w:t>
            </w:r>
          </w:p>
        </w:tc>
        <w:tc>
          <w:tcPr>
            <w:tcW w:w="3413" w:type="dxa"/>
          </w:tcPr>
          <w:p w14:paraId="3D50053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89DF34E" w14:textId="77777777" w:rsidTr="009223E5">
        <w:tc>
          <w:tcPr>
            <w:tcW w:w="1437" w:type="dxa"/>
          </w:tcPr>
          <w:p w14:paraId="5E8915D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C1725C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F11333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1E76CD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6488C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ББ-3 М-90</w:t>
            </w:r>
          </w:p>
        </w:tc>
        <w:tc>
          <w:tcPr>
            <w:tcW w:w="3413" w:type="dxa"/>
          </w:tcPr>
          <w:p w14:paraId="083BC91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BD00DF0" w14:textId="77777777" w:rsidTr="009223E5">
        <w:tc>
          <w:tcPr>
            <w:tcW w:w="1437" w:type="dxa"/>
          </w:tcPr>
          <w:p w14:paraId="5E8BFEE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BBDEE3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068336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887FF0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5450AE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ОБШ М-71</w:t>
            </w:r>
          </w:p>
        </w:tc>
        <w:tc>
          <w:tcPr>
            <w:tcW w:w="3413" w:type="dxa"/>
          </w:tcPr>
          <w:p w14:paraId="364BFA5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D48FC17" w14:textId="77777777" w:rsidTr="009223E5">
        <w:tc>
          <w:tcPr>
            <w:tcW w:w="1437" w:type="dxa"/>
          </w:tcPr>
          <w:p w14:paraId="17B36F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1437" w:type="dxa"/>
          </w:tcPr>
          <w:p w14:paraId="59C3AE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Таиров</w:t>
            </w:r>
          </w:p>
        </w:tc>
        <w:tc>
          <w:tcPr>
            <w:tcW w:w="1437" w:type="dxa"/>
          </w:tcPr>
          <w:p w14:paraId="4300D6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1437" w:type="dxa"/>
          </w:tcPr>
          <w:p w14:paraId="1229DD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6B2550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ОКО-8 2М-90</w:t>
            </w:r>
          </w:p>
        </w:tc>
        <w:tc>
          <w:tcPr>
            <w:tcW w:w="3413" w:type="dxa"/>
          </w:tcPr>
          <w:p w14:paraId="117CD6C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F569395" w14:textId="77777777" w:rsidTr="009223E5">
        <w:tc>
          <w:tcPr>
            <w:tcW w:w="1437" w:type="dxa"/>
          </w:tcPr>
          <w:p w14:paraId="73FBF01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336BEB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63FE9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437" w:type="dxa"/>
          </w:tcPr>
          <w:p w14:paraId="5CDD28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Киев</w:t>
            </w:r>
          </w:p>
        </w:tc>
        <w:tc>
          <w:tcPr>
            <w:tcW w:w="1437" w:type="dxa"/>
          </w:tcPr>
          <w:p w14:paraId="2B7756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 2М-88</w:t>
            </w:r>
          </w:p>
        </w:tc>
        <w:tc>
          <w:tcPr>
            <w:tcW w:w="3413" w:type="dxa"/>
          </w:tcPr>
          <w:p w14:paraId="1C3F316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93B28BC" w14:textId="77777777" w:rsidTr="009223E5">
        <w:tc>
          <w:tcPr>
            <w:tcW w:w="1437" w:type="dxa"/>
          </w:tcPr>
          <w:p w14:paraId="776895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1437" w:type="dxa"/>
          </w:tcPr>
          <w:p w14:paraId="02305F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Яценко</w:t>
            </w:r>
          </w:p>
        </w:tc>
        <w:tc>
          <w:tcPr>
            <w:tcW w:w="1437" w:type="dxa"/>
          </w:tcPr>
          <w:p w14:paraId="14C7D9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Сарком.</w:t>
            </w:r>
          </w:p>
        </w:tc>
        <w:tc>
          <w:tcPr>
            <w:tcW w:w="1437" w:type="dxa"/>
          </w:tcPr>
          <w:p w14:paraId="51E9B4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Саратов</w:t>
            </w:r>
          </w:p>
        </w:tc>
        <w:tc>
          <w:tcPr>
            <w:tcW w:w="1437" w:type="dxa"/>
          </w:tcPr>
          <w:p w14:paraId="0DCEBC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 М-88</w:t>
            </w:r>
          </w:p>
        </w:tc>
        <w:tc>
          <w:tcPr>
            <w:tcW w:w="3413" w:type="dxa"/>
          </w:tcPr>
          <w:p w14:paraId="4F158FD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F6FE621" w14:textId="77777777" w:rsidTr="009223E5">
        <w:tc>
          <w:tcPr>
            <w:tcW w:w="1437" w:type="dxa"/>
          </w:tcPr>
          <w:p w14:paraId="3D9665A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DC76C3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68FA06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F092CC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E0823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И-282 М-90</w:t>
            </w:r>
          </w:p>
        </w:tc>
        <w:tc>
          <w:tcPr>
            <w:tcW w:w="3413" w:type="dxa"/>
          </w:tcPr>
          <w:p w14:paraId="39341E0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C64BEF4" w14:textId="77777777" w:rsidTr="009223E5">
        <w:tc>
          <w:tcPr>
            <w:tcW w:w="1437" w:type="dxa"/>
          </w:tcPr>
          <w:p w14:paraId="22DC4A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1437" w:type="dxa"/>
          </w:tcPr>
          <w:p w14:paraId="782A45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Пашинин</w:t>
            </w:r>
          </w:p>
        </w:tc>
        <w:tc>
          <w:tcPr>
            <w:tcW w:w="1437" w:type="dxa"/>
          </w:tcPr>
          <w:p w14:paraId="08C50A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1437" w:type="dxa"/>
          </w:tcPr>
          <w:p w14:paraId="0A2D53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Горький</w:t>
            </w:r>
          </w:p>
        </w:tc>
        <w:tc>
          <w:tcPr>
            <w:tcW w:w="1437" w:type="dxa"/>
          </w:tcPr>
          <w:p w14:paraId="07F6E0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И-21 М-107</w:t>
            </w:r>
          </w:p>
        </w:tc>
        <w:tc>
          <w:tcPr>
            <w:tcW w:w="3413" w:type="dxa"/>
          </w:tcPr>
          <w:p w14:paraId="25006D1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D90CB7B" w14:textId="77777777" w:rsidTr="009223E5">
        <w:tc>
          <w:tcPr>
            <w:tcW w:w="1437" w:type="dxa"/>
          </w:tcPr>
          <w:p w14:paraId="5FFE5CB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C37127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7CD795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0B3D07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5D5186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И-21 М-105П</w:t>
            </w:r>
          </w:p>
        </w:tc>
        <w:tc>
          <w:tcPr>
            <w:tcW w:w="3413" w:type="dxa"/>
          </w:tcPr>
          <w:p w14:paraId="1BA96B9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A5266F4" w14:textId="77777777" w:rsidTr="009223E5">
        <w:tc>
          <w:tcPr>
            <w:tcW w:w="1437" w:type="dxa"/>
          </w:tcPr>
          <w:p w14:paraId="46DB08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1437" w:type="dxa"/>
          </w:tcPr>
          <w:p w14:paraId="5BED4F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Беляев</w:t>
            </w:r>
          </w:p>
        </w:tc>
        <w:tc>
          <w:tcPr>
            <w:tcW w:w="1437" w:type="dxa"/>
          </w:tcPr>
          <w:p w14:paraId="3A026B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437" w:type="dxa"/>
          </w:tcPr>
          <w:p w14:paraId="09D864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4D9AAA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ДБЛК 2М-87б</w:t>
            </w:r>
          </w:p>
        </w:tc>
        <w:tc>
          <w:tcPr>
            <w:tcW w:w="3413" w:type="dxa"/>
          </w:tcPr>
          <w:p w14:paraId="4186C57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FAF0846" w14:textId="77777777" w:rsidTr="009223E5">
        <w:tc>
          <w:tcPr>
            <w:tcW w:w="1437" w:type="dxa"/>
          </w:tcPr>
          <w:p w14:paraId="7644A11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1E4D24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263253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0967BE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81C22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ЭОИ М-105ТК2</w:t>
            </w:r>
          </w:p>
        </w:tc>
        <w:tc>
          <w:tcPr>
            <w:tcW w:w="3413" w:type="dxa"/>
          </w:tcPr>
          <w:p w14:paraId="0A55912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0E27FDD" w14:textId="77777777" w:rsidTr="009223E5">
        <w:tc>
          <w:tcPr>
            <w:tcW w:w="1437" w:type="dxa"/>
          </w:tcPr>
          <w:p w14:paraId="48DD1D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437" w:type="dxa"/>
          </w:tcPr>
          <w:p w14:paraId="65B806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Болховитинов</w:t>
            </w:r>
          </w:p>
        </w:tc>
        <w:tc>
          <w:tcPr>
            <w:tcW w:w="1437" w:type="dxa"/>
          </w:tcPr>
          <w:p w14:paraId="5FDC60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1437" w:type="dxa"/>
          </w:tcPr>
          <w:p w14:paraId="247623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Химки</w:t>
            </w:r>
          </w:p>
        </w:tc>
        <w:tc>
          <w:tcPr>
            <w:tcW w:w="1437" w:type="dxa"/>
          </w:tcPr>
          <w:p w14:paraId="634BC7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 С 2М-103</w:t>
            </w:r>
          </w:p>
        </w:tc>
        <w:tc>
          <w:tcPr>
            <w:tcW w:w="3413" w:type="dxa"/>
          </w:tcPr>
          <w:p w14:paraId="6D318C5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1DC7298" w14:textId="77777777" w:rsidTr="009223E5">
        <w:tc>
          <w:tcPr>
            <w:tcW w:w="1437" w:type="dxa"/>
          </w:tcPr>
          <w:p w14:paraId="2C4FFE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1437" w:type="dxa"/>
          </w:tcPr>
          <w:p w14:paraId="13D21E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ОТБ НКВД</w:t>
            </w:r>
          </w:p>
        </w:tc>
        <w:tc>
          <w:tcPr>
            <w:tcW w:w="1437" w:type="dxa"/>
          </w:tcPr>
          <w:p w14:paraId="7EE7FB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437" w:type="dxa"/>
          </w:tcPr>
          <w:p w14:paraId="24A534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70DDE8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 2М-105ТК</w:t>
            </w:r>
          </w:p>
        </w:tc>
        <w:tc>
          <w:tcPr>
            <w:tcW w:w="3413" w:type="dxa"/>
          </w:tcPr>
          <w:p w14:paraId="0C3329E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C9B562F" w14:textId="77777777" w:rsidTr="009223E5">
        <w:tc>
          <w:tcPr>
            <w:tcW w:w="1437" w:type="dxa"/>
          </w:tcPr>
          <w:p w14:paraId="2124F09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12F5DC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12D4B4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1AC935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49C65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 2М-120ТК</w:t>
            </w:r>
          </w:p>
        </w:tc>
        <w:tc>
          <w:tcPr>
            <w:tcW w:w="3413" w:type="dxa"/>
          </w:tcPr>
          <w:p w14:paraId="3EF5F3E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846F130" w14:textId="77777777" w:rsidTr="009223E5">
        <w:tc>
          <w:tcPr>
            <w:tcW w:w="1437" w:type="dxa"/>
          </w:tcPr>
          <w:p w14:paraId="6E4644C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8C9824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5988F2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8B79F9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771F2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 2АМ-35А</w:t>
            </w:r>
          </w:p>
        </w:tc>
        <w:tc>
          <w:tcPr>
            <w:tcW w:w="3413" w:type="dxa"/>
          </w:tcPr>
          <w:p w14:paraId="797568E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4749063" w14:textId="77777777" w:rsidTr="009223E5">
        <w:tc>
          <w:tcPr>
            <w:tcW w:w="1437" w:type="dxa"/>
          </w:tcPr>
          <w:p w14:paraId="449F94F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923332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66E546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1A9E41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D9F2D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 2М-120ТК</w:t>
            </w:r>
          </w:p>
        </w:tc>
        <w:tc>
          <w:tcPr>
            <w:tcW w:w="3413" w:type="dxa"/>
          </w:tcPr>
          <w:p w14:paraId="2E9E92D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C3DD8D6" w14:textId="77777777" w:rsidTr="009223E5">
        <w:tc>
          <w:tcPr>
            <w:tcW w:w="1437" w:type="dxa"/>
          </w:tcPr>
          <w:p w14:paraId="56D3DB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437" w:type="dxa"/>
          </w:tcPr>
          <w:p w14:paraId="189CF1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Кочеригин</w:t>
            </w:r>
          </w:p>
        </w:tc>
        <w:tc>
          <w:tcPr>
            <w:tcW w:w="1437" w:type="dxa"/>
          </w:tcPr>
          <w:p w14:paraId="57FBB2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437" w:type="dxa"/>
          </w:tcPr>
          <w:p w14:paraId="6DF8D8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7E9DB0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ОПБ М-90</w:t>
            </w:r>
          </w:p>
        </w:tc>
        <w:tc>
          <w:tcPr>
            <w:tcW w:w="3413" w:type="dxa"/>
          </w:tcPr>
          <w:p w14:paraId="028ED2E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E4A38E9" w14:textId="77777777" w:rsidTr="009223E5">
        <w:tc>
          <w:tcPr>
            <w:tcW w:w="1437" w:type="dxa"/>
          </w:tcPr>
          <w:p w14:paraId="2BB459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1437" w:type="dxa"/>
          </w:tcPr>
          <w:p w14:paraId="40D365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Шевченко</w:t>
            </w:r>
          </w:p>
        </w:tc>
        <w:tc>
          <w:tcPr>
            <w:tcW w:w="1437" w:type="dxa"/>
          </w:tcPr>
          <w:p w14:paraId="08EA8B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437" w:type="dxa"/>
          </w:tcPr>
          <w:p w14:paraId="28E8A6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003B7B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 М-63</w:t>
            </w:r>
          </w:p>
        </w:tc>
        <w:tc>
          <w:tcPr>
            <w:tcW w:w="3413" w:type="dxa"/>
          </w:tcPr>
          <w:p w14:paraId="04EC0A0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527ADF9" w14:textId="77777777" w:rsidTr="009223E5">
        <w:tc>
          <w:tcPr>
            <w:tcW w:w="1437" w:type="dxa"/>
          </w:tcPr>
          <w:p w14:paraId="307646F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48CDF8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B67EC3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CDD362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D7401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 М-88</w:t>
            </w:r>
          </w:p>
        </w:tc>
        <w:tc>
          <w:tcPr>
            <w:tcW w:w="3413" w:type="dxa"/>
          </w:tcPr>
          <w:p w14:paraId="065C7CA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62AB0D7" w14:textId="77777777" w:rsidTr="009223E5">
        <w:tc>
          <w:tcPr>
            <w:tcW w:w="1437" w:type="dxa"/>
          </w:tcPr>
          <w:p w14:paraId="7E49FA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437" w:type="dxa"/>
          </w:tcPr>
          <w:p w14:paraId="772E3A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Голубков</w:t>
            </w:r>
          </w:p>
        </w:tc>
        <w:tc>
          <w:tcPr>
            <w:tcW w:w="1437" w:type="dxa"/>
          </w:tcPr>
          <w:p w14:paraId="438C55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437" w:type="dxa"/>
          </w:tcPr>
          <w:p w14:paraId="79C2C5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Подбер.</w:t>
            </w:r>
          </w:p>
        </w:tc>
        <w:tc>
          <w:tcPr>
            <w:tcW w:w="1437" w:type="dxa"/>
          </w:tcPr>
          <w:p w14:paraId="40207B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СБ-30 2М-120</w:t>
            </w:r>
          </w:p>
        </w:tc>
        <w:tc>
          <w:tcPr>
            <w:tcW w:w="3413" w:type="dxa"/>
          </w:tcPr>
          <w:p w14:paraId="393089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9630704" w14:textId="77777777" w:rsidTr="009223E5">
        <w:tc>
          <w:tcPr>
            <w:tcW w:w="1437" w:type="dxa"/>
          </w:tcPr>
          <w:p w14:paraId="7ECEDA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w:t>
            </w:r>
          </w:p>
        </w:tc>
        <w:tc>
          <w:tcPr>
            <w:tcW w:w="1437" w:type="dxa"/>
          </w:tcPr>
          <w:p w14:paraId="6096F7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Незваль</w:t>
            </w:r>
          </w:p>
        </w:tc>
        <w:tc>
          <w:tcPr>
            <w:tcW w:w="1437" w:type="dxa"/>
          </w:tcPr>
          <w:p w14:paraId="1A9383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1437" w:type="dxa"/>
          </w:tcPr>
          <w:p w14:paraId="28354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Казань</w:t>
            </w:r>
          </w:p>
        </w:tc>
        <w:tc>
          <w:tcPr>
            <w:tcW w:w="1437" w:type="dxa"/>
          </w:tcPr>
          <w:p w14:paraId="1F5F61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 4М-40</w:t>
            </w:r>
          </w:p>
        </w:tc>
        <w:tc>
          <w:tcPr>
            <w:tcW w:w="3413" w:type="dxa"/>
          </w:tcPr>
          <w:p w14:paraId="2933F5A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CCBEEAB" w14:textId="77777777" w:rsidTr="009223E5">
        <w:tc>
          <w:tcPr>
            <w:tcW w:w="1437" w:type="dxa"/>
          </w:tcPr>
          <w:p w14:paraId="7711030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2AD6CC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232A3F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5BC867B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23F81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 4М-30</w:t>
            </w:r>
          </w:p>
        </w:tc>
        <w:tc>
          <w:tcPr>
            <w:tcW w:w="3413" w:type="dxa"/>
          </w:tcPr>
          <w:p w14:paraId="49473BB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198378D" w14:textId="77777777" w:rsidTr="009223E5">
        <w:tc>
          <w:tcPr>
            <w:tcW w:w="1437" w:type="dxa"/>
          </w:tcPr>
          <w:p w14:paraId="468FFF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1437" w:type="dxa"/>
          </w:tcPr>
          <w:p w14:paraId="1D4E47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ЛаГГ</w:t>
            </w:r>
          </w:p>
        </w:tc>
        <w:tc>
          <w:tcPr>
            <w:tcW w:w="1437" w:type="dxa"/>
          </w:tcPr>
          <w:p w14:paraId="5F0706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w:t>
            </w:r>
          </w:p>
        </w:tc>
        <w:tc>
          <w:tcPr>
            <w:tcW w:w="1437" w:type="dxa"/>
          </w:tcPr>
          <w:p w14:paraId="2B8495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Химки</w:t>
            </w:r>
          </w:p>
        </w:tc>
        <w:tc>
          <w:tcPr>
            <w:tcW w:w="1437" w:type="dxa"/>
          </w:tcPr>
          <w:p w14:paraId="187304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М-105ПТК</w:t>
            </w:r>
          </w:p>
        </w:tc>
        <w:tc>
          <w:tcPr>
            <w:tcW w:w="3413" w:type="dxa"/>
          </w:tcPr>
          <w:p w14:paraId="0F86633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BB25E57" w14:textId="77777777" w:rsidTr="009223E5">
        <w:tc>
          <w:tcPr>
            <w:tcW w:w="1437" w:type="dxa"/>
          </w:tcPr>
          <w:p w14:paraId="3797F38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5B65D9E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D647F2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36EE30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00807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М-105П</w:t>
            </w:r>
          </w:p>
        </w:tc>
        <w:tc>
          <w:tcPr>
            <w:tcW w:w="3413" w:type="dxa"/>
          </w:tcPr>
          <w:p w14:paraId="1F0F5EB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1540321" w14:textId="77777777" w:rsidTr="009223E5">
        <w:tc>
          <w:tcPr>
            <w:tcW w:w="1437" w:type="dxa"/>
          </w:tcPr>
          <w:p w14:paraId="74D9F5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1437" w:type="dxa"/>
          </w:tcPr>
          <w:p w14:paraId="68B52E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Ермолаев</w:t>
            </w:r>
          </w:p>
        </w:tc>
        <w:tc>
          <w:tcPr>
            <w:tcW w:w="1437" w:type="dxa"/>
          </w:tcPr>
          <w:p w14:paraId="09B658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1437" w:type="dxa"/>
          </w:tcPr>
          <w:p w14:paraId="3362F5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766C0A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2М-105</w:t>
            </w:r>
          </w:p>
        </w:tc>
        <w:tc>
          <w:tcPr>
            <w:tcW w:w="3413" w:type="dxa"/>
          </w:tcPr>
          <w:p w14:paraId="29DFFF5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D2B62CD" w14:textId="77777777" w:rsidTr="009223E5">
        <w:tc>
          <w:tcPr>
            <w:tcW w:w="1437" w:type="dxa"/>
          </w:tcPr>
          <w:p w14:paraId="5F08BDE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D69907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5D73D3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D54D5C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A9A08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2М-30</w:t>
            </w:r>
          </w:p>
        </w:tc>
        <w:tc>
          <w:tcPr>
            <w:tcW w:w="3413" w:type="dxa"/>
          </w:tcPr>
          <w:p w14:paraId="7252CA6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B8EAA16" w14:textId="77777777" w:rsidTr="009223E5">
        <w:tc>
          <w:tcPr>
            <w:tcW w:w="1437" w:type="dxa"/>
          </w:tcPr>
          <w:p w14:paraId="347A31B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ED1C17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5FF90FA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0DB91A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26F8E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2М-37</w:t>
            </w:r>
          </w:p>
        </w:tc>
        <w:tc>
          <w:tcPr>
            <w:tcW w:w="3413" w:type="dxa"/>
          </w:tcPr>
          <w:p w14:paraId="7CC563B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7B56049" w14:textId="77777777" w:rsidTr="009223E5">
        <w:tc>
          <w:tcPr>
            <w:tcW w:w="1437" w:type="dxa"/>
          </w:tcPr>
          <w:p w14:paraId="6B1FE2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437" w:type="dxa"/>
          </w:tcPr>
          <w:p w14:paraId="414A30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Бисноват</w:t>
            </w:r>
          </w:p>
        </w:tc>
        <w:tc>
          <w:tcPr>
            <w:tcW w:w="1437" w:type="dxa"/>
          </w:tcPr>
          <w:p w14:paraId="5640B3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w:t>
            </w:r>
          </w:p>
        </w:tc>
        <w:tc>
          <w:tcPr>
            <w:tcW w:w="1437" w:type="dxa"/>
          </w:tcPr>
          <w:p w14:paraId="0B3A9C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629AE5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 М-105</w:t>
            </w:r>
          </w:p>
        </w:tc>
        <w:tc>
          <w:tcPr>
            <w:tcW w:w="3413" w:type="dxa"/>
          </w:tcPr>
          <w:p w14:paraId="6B5ADBF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85D1C26" w14:textId="77777777" w:rsidTr="009223E5">
        <w:tc>
          <w:tcPr>
            <w:tcW w:w="1437" w:type="dxa"/>
          </w:tcPr>
          <w:p w14:paraId="243B83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1437" w:type="dxa"/>
          </w:tcPr>
          <w:p w14:paraId="1A439F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Грушин</w:t>
            </w:r>
          </w:p>
        </w:tc>
        <w:tc>
          <w:tcPr>
            <w:tcW w:w="1437" w:type="dxa"/>
          </w:tcPr>
          <w:p w14:paraId="2F4373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КБМАИ</w:t>
            </w:r>
          </w:p>
        </w:tc>
        <w:tc>
          <w:tcPr>
            <w:tcW w:w="1437" w:type="dxa"/>
          </w:tcPr>
          <w:p w14:paraId="49A307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0E66AA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ББ-4 М-105ТК</w:t>
            </w:r>
          </w:p>
        </w:tc>
        <w:tc>
          <w:tcPr>
            <w:tcW w:w="3413" w:type="dxa"/>
          </w:tcPr>
          <w:p w14:paraId="13B66C1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357BC64" w14:textId="77777777" w:rsidTr="009223E5">
        <w:tc>
          <w:tcPr>
            <w:tcW w:w="1437" w:type="dxa"/>
          </w:tcPr>
          <w:p w14:paraId="070DB2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37" w:type="dxa"/>
          </w:tcPr>
          <w:p w14:paraId="337EEF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Сильванский</w:t>
            </w:r>
          </w:p>
        </w:tc>
        <w:tc>
          <w:tcPr>
            <w:tcW w:w="1437" w:type="dxa"/>
          </w:tcPr>
          <w:p w14:paraId="27C230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1437" w:type="dxa"/>
          </w:tcPr>
          <w:p w14:paraId="5FBF7B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Новос.</w:t>
            </w:r>
          </w:p>
        </w:tc>
        <w:tc>
          <w:tcPr>
            <w:tcW w:w="1437" w:type="dxa"/>
          </w:tcPr>
          <w:p w14:paraId="4FEEE4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И-220 М-88</w:t>
            </w:r>
          </w:p>
        </w:tc>
        <w:tc>
          <w:tcPr>
            <w:tcW w:w="3413" w:type="dxa"/>
          </w:tcPr>
          <w:p w14:paraId="1AB5966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430EE67" w14:textId="77777777" w:rsidTr="009223E5">
        <w:tc>
          <w:tcPr>
            <w:tcW w:w="1437" w:type="dxa"/>
          </w:tcPr>
          <w:p w14:paraId="17E333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437" w:type="dxa"/>
          </w:tcPr>
          <w:p w14:paraId="0237BF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Боровков</w:t>
            </w:r>
          </w:p>
        </w:tc>
        <w:tc>
          <w:tcPr>
            <w:tcW w:w="1437" w:type="dxa"/>
          </w:tcPr>
          <w:p w14:paraId="2FBC42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1437" w:type="dxa"/>
          </w:tcPr>
          <w:p w14:paraId="644F8D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Долгоп.</w:t>
            </w:r>
          </w:p>
        </w:tc>
        <w:tc>
          <w:tcPr>
            <w:tcW w:w="1437" w:type="dxa"/>
          </w:tcPr>
          <w:p w14:paraId="5AE416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 М-63ТК</w:t>
            </w:r>
          </w:p>
        </w:tc>
        <w:tc>
          <w:tcPr>
            <w:tcW w:w="3413" w:type="dxa"/>
          </w:tcPr>
          <w:p w14:paraId="7B46BF9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A2D6D2B" w14:textId="77777777" w:rsidTr="009223E5">
        <w:tc>
          <w:tcPr>
            <w:tcW w:w="1437" w:type="dxa"/>
          </w:tcPr>
          <w:p w14:paraId="4436CAA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50904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Флоров</w:t>
            </w:r>
          </w:p>
        </w:tc>
        <w:tc>
          <w:tcPr>
            <w:tcW w:w="1437" w:type="dxa"/>
          </w:tcPr>
          <w:p w14:paraId="4611511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216026B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0B9E1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 М-65Р</w:t>
            </w:r>
          </w:p>
        </w:tc>
        <w:tc>
          <w:tcPr>
            <w:tcW w:w="3413" w:type="dxa"/>
          </w:tcPr>
          <w:p w14:paraId="761336E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C85A78E" w14:textId="77777777" w:rsidTr="009223E5">
        <w:tc>
          <w:tcPr>
            <w:tcW w:w="1437" w:type="dxa"/>
          </w:tcPr>
          <w:p w14:paraId="1BC1F3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1437" w:type="dxa"/>
          </w:tcPr>
          <w:p w14:paraId="7AB0BA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О.К.Антонов</w:t>
            </w:r>
          </w:p>
        </w:tc>
        <w:tc>
          <w:tcPr>
            <w:tcW w:w="1437" w:type="dxa"/>
          </w:tcPr>
          <w:p w14:paraId="68E26D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437" w:type="dxa"/>
          </w:tcPr>
          <w:p w14:paraId="5184CB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Ленинг.</w:t>
            </w:r>
          </w:p>
        </w:tc>
        <w:tc>
          <w:tcPr>
            <w:tcW w:w="1437" w:type="dxa"/>
          </w:tcPr>
          <w:p w14:paraId="6E79CC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 МВ-6</w:t>
            </w:r>
          </w:p>
        </w:tc>
        <w:tc>
          <w:tcPr>
            <w:tcW w:w="3413" w:type="dxa"/>
          </w:tcPr>
          <w:p w14:paraId="519AD90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148BF95" w14:textId="77777777" w:rsidTr="009223E5">
        <w:tc>
          <w:tcPr>
            <w:tcW w:w="1437" w:type="dxa"/>
          </w:tcPr>
          <w:p w14:paraId="6E79D8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1437" w:type="dxa"/>
          </w:tcPr>
          <w:p w14:paraId="5378CE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Москалев</w:t>
            </w:r>
          </w:p>
        </w:tc>
        <w:tc>
          <w:tcPr>
            <w:tcW w:w="1437" w:type="dxa"/>
          </w:tcPr>
          <w:p w14:paraId="5C8AF3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КБ-31</w:t>
            </w:r>
          </w:p>
        </w:tc>
        <w:tc>
          <w:tcPr>
            <w:tcW w:w="1437" w:type="dxa"/>
          </w:tcPr>
          <w:p w14:paraId="59B452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Ворон.</w:t>
            </w:r>
          </w:p>
        </w:tc>
        <w:tc>
          <w:tcPr>
            <w:tcW w:w="1437" w:type="dxa"/>
          </w:tcPr>
          <w:p w14:paraId="75D399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САМ-13 2МВ-6</w:t>
            </w:r>
          </w:p>
        </w:tc>
        <w:tc>
          <w:tcPr>
            <w:tcW w:w="3413" w:type="dxa"/>
          </w:tcPr>
          <w:p w14:paraId="51BD2BD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EDE9F66" w14:textId="77777777" w:rsidTr="009223E5">
        <w:tc>
          <w:tcPr>
            <w:tcW w:w="1437" w:type="dxa"/>
          </w:tcPr>
          <w:p w14:paraId="3EEAB27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CCD31F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7025CB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0ABDB1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C007F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САМ-11 МВ-6</w:t>
            </w:r>
          </w:p>
        </w:tc>
        <w:tc>
          <w:tcPr>
            <w:tcW w:w="3413" w:type="dxa"/>
          </w:tcPr>
          <w:p w14:paraId="4A1BFDA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CFC3449" w14:textId="77777777" w:rsidTr="009223E5">
        <w:tc>
          <w:tcPr>
            <w:tcW w:w="1437" w:type="dxa"/>
          </w:tcPr>
          <w:p w14:paraId="2D95DA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1437" w:type="dxa"/>
          </w:tcPr>
          <w:p w14:paraId="68EF47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Мосолов</w:t>
            </w:r>
          </w:p>
        </w:tc>
        <w:tc>
          <w:tcPr>
            <w:tcW w:w="1437" w:type="dxa"/>
          </w:tcPr>
          <w:p w14:paraId="3E92A9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1437" w:type="dxa"/>
          </w:tcPr>
          <w:p w14:paraId="1B7152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Химки</w:t>
            </w:r>
          </w:p>
        </w:tc>
        <w:tc>
          <w:tcPr>
            <w:tcW w:w="1437" w:type="dxa"/>
          </w:tcPr>
          <w:p w14:paraId="657518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ПС-84 тр./дес.</w:t>
            </w:r>
          </w:p>
        </w:tc>
        <w:tc>
          <w:tcPr>
            <w:tcW w:w="3413" w:type="dxa"/>
          </w:tcPr>
          <w:p w14:paraId="584A7F2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5143C62" w14:textId="77777777" w:rsidTr="009223E5">
        <w:tc>
          <w:tcPr>
            <w:tcW w:w="1437" w:type="dxa"/>
          </w:tcPr>
          <w:p w14:paraId="326EB4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c>
          <w:tcPr>
            <w:tcW w:w="1437" w:type="dxa"/>
          </w:tcPr>
          <w:p w14:paraId="5C1B05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Грибовский</w:t>
            </w:r>
          </w:p>
        </w:tc>
        <w:tc>
          <w:tcPr>
            <w:tcW w:w="1437" w:type="dxa"/>
          </w:tcPr>
          <w:p w14:paraId="13C0F1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КБ-28</w:t>
            </w:r>
          </w:p>
        </w:tc>
        <w:tc>
          <w:tcPr>
            <w:tcW w:w="1437" w:type="dxa"/>
          </w:tcPr>
          <w:p w14:paraId="6C0574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Павшин</w:t>
            </w:r>
          </w:p>
        </w:tc>
        <w:tc>
          <w:tcPr>
            <w:tcW w:w="1437" w:type="dxa"/>
          </w:tcPr>
          <w:p w14:paraId="286005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 2МВ-4</w:t>
            </w:r>
          </w:p>
        </w:tc>
        <w:tc>
          <w:tcPr>
            <w:tcW w:w="3413" w:type="dxa"/>
          </w:tcPr>
          <w:p w14:paraId="06C16A3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D0996BA" w14:textId="77777777" w:rsidTr="009223E5">
        <w:tc>
          <w:tcPr>
            <w:tcW w:w="1437" w:type="dxa"/>
          </w:tcPr>
          <w:p w14:paraId="345D60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w:t>
            </w:r>
          </w:p>
        </w:tc>
        <w:tc>
          <w:tcPr>
            <w:tcW w:w="1437" w:type="dxa"/>
          </w:tcPr>
          <w:p w14:paraId="7D418F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Адлер</w:t>
            </w:r>
          </w:p>
        </w:tc>
        <w:tc>
          <w:tcPr>
            <w:tcW w:w="1437" w:type="dxa"/>
          </w:tcPr>
          <w:p w14:paraId="571B9F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437" w:type="dxa"/>
          </w:tcPr>
          <w:p w14:paraId="59D04C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w:t>
            </w:r>
          </w:p>
        </w:tc>
        <w:tc>
          <w:tcPr>
            <w:tcW w:w="1437" w:type="dxa"/>
          </w:tcPr>
          <w:p w14:paraId="27038B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 УТ в</w:t>
            </w:r>
          </w:p>
        </w:tc>
        <w:tc>
          <w:tcPr>
            <w:tcW w:w="3413" w:type="dxa"/>
          </w:tcPr>
          <w:p w14:paraId="4E1D170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3EA7823" w14:textId="77777777" w:rsidTr="009223E5">
        <w:tc>
          <w:tcPr>
            <w:tcW w:w="1437" w:type="dxa"/>
          </w:tcPr>
          <w:p w14:paraId="03E82AF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CC55E4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ABEE97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90F571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C8C03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 истребит.</w:t>
            </w:r>
          </w:p>
        </w:tc>
        <w:tc>
          <w:tcPr>
            <w:tcW w:w="3413" w:type="dxa"/>
          </w:tcPr>
          <w:p w14:paraId="525D64A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47F7164" w14:textId="77777777" w:rsidTr="009223E5">
        <w:tc>
          <w:tcPr>
            <w:tcW w:w="1437" w:type="dxa"/>
          </w:tcPr>
          <w:p w14:paraId="350FB6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c>
          <w:tcPr>
            <w:tcW w:w="1437" w:type="dxa"/>
          </w:tcPr>
          <w:p w14:paraId="36C6DF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Смолин</w:t>
            </w:r>
          </w:p>
        </w:tc>
        <w:tc>
          <w:tcPr>
            <w:tcW w:w="1437" w:type="dxa"/>
          </w:tcPr>
          <w:p w14:paraId="068534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1437" w:type="dxa"/>
          </w:tcPr>
          <w:p w14:paraId="3F377D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Горький</w:t>
            </w:r>
          </w:p>
        </w:tc>
        <w:tc>
          <w:tcPr>
            <w:tcW w:w="1437" w:type="dxa"/>
          </w:tcPr>
          <w:p w14:paraId="4EC9FE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УТ-2 М-82</w:t>
            </w:r>
          </w:p>
        </w:tc>
        <w:tc>
          <w:tcPr>
            <w:tcW w:w="3413" w:type="dxa"/>
          </w:tcPr>
          <w:p w14:paraId="3637C4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Автомобильный мотор</w:t>
            </w:r>
          </w:p>
        </w:tc>
      </w:tr>
      <w:tr w:rsidR="007D5DF8" w:rsidRPr="00DB5D0D" w14:paraId="51787479" w14:textId="77777777" w:rsidTr="009223E5">
        <w:tc>
          <w:tcPr>
            <w:tcW w:w="1437" w:type="dxa"/>
          </w:tcPr>
          <w:p w14:paraId="782DCA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437" w:type="dxa"/>
          </w:tcPr>
          <w:p w14:paraId="0FBC24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Камов</w:t>
            </w:r>
          </w:p>
        </w:tc>
        <w:tc>
          <w:tcPr>
            <w:tcW w:w="1437" w:type="dxa"/>
          </w:tcPr>
          <w:p w14:paraId="3FE328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437" w:type="dxa"/>
          </w:tcPr>
          <w:p w14:paraId="089DE0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2BBB72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 МВ-6</w:t>
            </w:r>
          </w:p>
        </w:tc>
        <w:tc>
          <w:tcPr>
            <w:tcW w:w="3413" w:type="dxa"/>
          </w:tcPr>
          <w:p w14:paraId="511298B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3133965" w14:textId="77777777" w:rsidTr="009223E5">
        <w:tc>
          <w:tcPr>
            <w:tcW w:w="1437" w:type="dxa"/>
          </w:tcPr>
          <w:p w14:paraId="15192C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1437" w:type="dxa"/>
          </w:tcPr>
          <w:p w14:paraId="01C5B1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Юрьев</w:t>
            </w:r>
          </w:p>
        </w:tc>
        <w:tc>
          <w:tcPr>
            <w:tcW w:w="1437" w:type="dxa"/>
          </w:tcPr>
          <w:p w14:paraId="182B33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МАИ</w:t>
            </w:r>
          </w:p>
        </w:tc>
        <w:tc>
          <w:tcPr>
            <w:tcW w:w="1437" w:type="dxa"/>
          </w:tcPr>
          <w:p w14:paraId="4C6E8C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437" w:type="dxa"/>
          </w:tcPr>
          <w:p w14:paraId="480EED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Г-1</w:t>
            </w:r>
          </w:p>
        </w:tc>
        <w:tc>
          <w:tcPr>
            <w:tcW w:w="3413" w:type="dxa"/>
          </w:tcPr>
          <w:p w14:paraId="7FC8528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09D3F6A" w14:textId="77777777" w:rsidTr="009223E5">
        <w:tc>
          <w:tcPr>
            <w:tcW w:w="1437" w:type="dxa"/>
          </w:tcPr>
          <w:p w14:paraId="538DB99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F16F2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Братухин</w:t>
            </w:r>
          </w:p>
        </w:tc>
        <w:tc>
          <w:tcPr>
            <w:tcW w:w="1437" w:type="dxa"/>
          </w:tcPr>
          <w:p w14:paraId="2E5304D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1EDC93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5A4DB2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Г-2 2МВ-6</w:t>
            </w:r>
          </w:p>
        </w:tc>
        <w:tc>
          <w:tcPr>
            <w:tcW w:w="3413" w:type="dxa"/>
          </w:tcPr>
          <w:p w14:paraId="71C3D3B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642F42A" w14:textId="77777777" w:rsidTr="009223E5">
        <w:tc>
          <w:tcPr>
            <w:tcW w:w="1437" w:type="dxa"/>
          </w:tcPr>
          <w:p w14:paraId="2B9680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w:t>
            </w:r>
          </w:p>
        </w:tc>
        <w:tc>
          <w:tcPr>
            <w:tcW w:w="1437" w:type="dxa"/>
          </w:tcPr>
          <w:p w14:paraId="47D71F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Щербаков</w:t>
            </w:r>
          </w:p>
        </w:tc>
        <w:tc>
          <w:tcPr>
            <w:tcW w:w="1437" w:type="dxa"/>
          </w:tcPr>
          <w:p w14:paraId="22EAA6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1437" w:type="dxa"/>
          </w:tcPr>
          <w:p w14:paraId="1F1049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Подлип.</w:t>
            </w:r>
          </w:p>
        </w:tc>
        <w:tc>
          <w:tcPr>
            <w:tcW w:w="1437" w:type="dxa"/>
          </w:tcPr>
          <w:p w14:paraId="4EEBE4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М-62</w:t>
            </w:r>
          </w:p>
        </w:tc>
        <w:tc>
          <w:tcPr>
            <w:tcW w:w="3413" w:type="dxa"/>
          </w:tcPr>
          <w:p w14:paraId="4ABB80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гермокабиной</w:t>
            </w:r>
          </w:p>
        </w:tc>
      </w:tr>
      <w:tr w:rsidR="007D5DF8" w:rsidRPr="00DB5D0D" w14:paraId="7EFDC105" w14:textId="77777777" w:rsidTr="009223E5">
        <w:tc>
          <w:tcPr>
            <w:tcW w:w="1437" w:type="dxa"/>
          </w:tcPr>
          <w:p w14:paraId="219DA7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w:t>
            </w:r>
          </w:p>
        </w:tc>
        <w:tc>
          <w:tcPr>
            <w:tcW w:w="1437" w:type="dxa"/>
          </w:tcPr>
          <w:p w14:paraId="383F2F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Самсонов</w:t>
            </w:r>
          </w:p>
        </w:tc>
        <w:tc>
          <w:tcPr>
            <w:tcW w:w="1437" w:type="dxa"/>
          </w:tcPr>
          <w:p w14:paraId="6AFCA8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288</w:t>
            </w:r>
          </w:p>
        </w:tc>
        <w:tc>
          <w:tcPr>
            <w:tcW w:w="1437" w:type="dxa"/>
          </w:tcPr>
          <w:p w14:paraId="79E9E7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Савел.</w:t>
            </w:r>
          </w:p>
        </w:tc>
        <w:tc>
          <w:tcPr>
            <w:tcW w:w="1437" w:type="dxa"/>
          </w:tcPr>
          <w:p w14:paraId="1D59DA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МДР-7 2М-88</w:t>
            </w:r>
          </w:p>
        </w:tc>
        <w:tc>
          <w:tcPr>
            <w:tcW w:w="3413" w:type="dxa"/>
          </w:tcPr>
          <w:p w14:paraId="1B28958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071F80E" w14:textId="77777777" w:rsidTr="009223E5">
        <w:tc>
          <w:tcPr>
            <w:tcW w:w="1437" w:type="dxa"/>
          </w:tcPr>
          <w:p w14:paraId="67E2E0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1437" w:type="dxa"/>
          </w:tcPr>
          <w:p w14:paraId="05CFD4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Четвериков</w:t>
            </w:r>
          </w:p>
        </w:tc>
        <w:tc>
          <w:tcPr>
            <w:tcW w:w="1437" w:type="dxa"/>
          </w:tcPr>
          <w:p w14:paraId="111281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1437" w:type="dxa"/>
          </w:tcPr>
          <w:p w14:paraId="0DFBE8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Таганр.</w:t>
            </w:r>
          </w:p>
        </w:tc>
        <w:tc>
          <w:tcPr>
            <w:tcW w:w="1437" w:type="dxa"/>
          </w:tcPr>
          <w:p w14:paraId="140C74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2М-62</w:t>
            </w:r>
          </w:p>
        </w:tc>
        <w:tc>
          <w:tcPr>
            <w:tcW w:w="3413" w:type="dxa"/>
          </w:tcPr>
          <w:p w14:paraId="3CE5A18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FF17003" w14:textId="77777777" w:rsidTr="009223E5">
        <w:tc>
          <w:tcPr>
            <w:tcW w:w="1437" w:type="dxa"/>
          </w:tcPr>
          <w:p w14:paraId="3F46064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7C6BBFC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4CA974B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1BF02DB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8174C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2М-63</w:t>
            </w:r>
          </w:p>
        </w:tc>
        <w:tc>
          <w:tcPr>
            <w:tcW w:w="3413" w:type="dxa"/>
          </w:tcPr>
          <w:p w14:paraId="60D2541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C9676A1" w14:textId="77777777" w:rsidTr="009223E5">
        <w:tc>
          <w:tcPr>
            <w:tcW w:w="1437" w:type="dxa"/>
          </w:tcPr>
          <w:p w14:paraId="6C632BF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339B36F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4997D0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6F5E255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Pr>
          <w:p w14:paraId="09CB9C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МДР-6Б 2М-105</w:t>
            </w:r>
          </w:p>
        </w:tc>
        <w:tc>
          <w:tcPr>
            <w:tcW w:w="3413" w:type="dxa"/>
          </w:tcPr>
          <w:p w14:paraId="634C2E3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FB19CB2" w14:textId="77777777" w:rsidTr="009223E5">
        <w:tc>
          <w:tcPr>
            <w:tcW w:w="1437" w:type="dxa"/>
          </w:tcPr>
          <w:p w14:paraId="3351FF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1437" w:type="dxa"/>
          </w:tcPr>
          <w:p w14:paraId="6BC71C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Бериев</w:t>
            </w:r>
          </w:p>
        </w:tc>
        <w:tc>
          <w:tcPr>
            <w:tcW w:w="1437" w:type="dxa"/>
          </w:tcPr>
          <w:p w14:paraId="509D09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1437" w:type="dxa"/>
          </w:tcPr>
          <w:p w14:paraId="337EA9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Таганр.</w:t>
            </w:r>
          </w:p>
        </w:tc>
        <w:tc>
          <w:tcPr>
            <w:tcW w:w="1437" w:type="dxa"/>
          </w:tcPr>
          <w:p w14:paraId="1D3A9C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КОР-2 М-63</w:t>
            </w:r>
          </w:p>
        </w:tc>
        <w:tc>
          <w:tcPr>
            <w:tcW w:w="3413" w:type="dxa"/>
          </w:tcPr>
          <w:p w14:paraId="6C9588E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EC6D824" w14:textId="77777777" w:rsidTr="009223E5">
        <w:tc>
          <w:tcPr>
            <w:tcW w:w="1437" w:type="dxa"/>
            <w:tcBorders>
              <w:bottom w:val="single" w:sz="12" w:space="0" w:color="auto"/>
            </w:tcBorders>
          </w:tcPr>
          <w:p w14:paraId="1BD53AE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Borders>
              <w:bottom w:val="single" w:sz="12" w:space="0" w:color="auto"/>
            </w:tcBorders>
          </w:tcPr>
          <w:p w14:paraId="5E41420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Borders>
              <w:bottom w:val="single" w:sz="12" w:space="0" w:color="auto"/>
            </w:tcBorders>
          </w:tcPr>
          <w:p w14:paraId="088FC4E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Borders>
              <w:bottom w:val="single" w:sz="12" w:space="0" w:color="auto"/>
            </w:tcBorders>
          </w:tcPr>
          <w:p w14:paraId="0E8216D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37" w:type="dxa"/>
            <w:tcBorders>
              <w:bottom w:val="single" w:sz="12" w:space="0" w:color="auto"/>
            </w:tcBorders>
          </w:tcPr>
          <w:p w14:paraId="2FB2AA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МБР-7 М-103 (2090,120)</w:t>
            </w:r>
          </w:p>
        </w:tc>
        <w:tc>
          <w:tcPr>
            <w:tcW w:w="3413" w:type="dxa"/>
            <w:tcBorders>
              <w:bottom w:val="single" w:sz="12" w:space="0" w:color="auto"/>
            </w:tcBorders>
          </w:tcPr>
          <w:p w14:paraId="743DB7F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2D5EC87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3CC8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21 июня 1940 были совершены два полета ПСН-2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3EF254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этим разработкам не было суждено воплотиться в реальные конструкции (10223).</w:t>
      </w:r>
    </w:p>
    <w:p w14:paraId="71A71F8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715E1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F33E03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42C7BFD"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 ГУ ВВС и Главное управление авиационного снабжения вновь были слиты в Главное управление ВВС Красной армии. В соответствии с приказом  Наркомата обороны СССР № 0037 от 26 июля 1940 г. о новой структуре наркомата управление стало называться Главное управление Военных воздушных сил Красной армии. Управление состояло из: штаба ВВС, управлений — боевой подготовки, эксплуатации и войскового ремонта, кадров, военно-учебных заведений, аэродромной службы, заказов самолетов, заказов моторов, заказов вооружения и боеприпасов, заказов средств связи, снабжения, ремонта. 6 ноября 1940 г. в состав ГУ ВВС вошло Управление дальнебомбардировочной авиации (17898).</w:t>
      </w:r>
    </w:p>
    <w:p w14:paraId="599D57A0" w14:textId="77777777" w:rsidR="00F9395A" w:rsidRPr="00DB5D0D" w:rsidRDefault="00F9395A" w:rsidP="00DB5D0D">
      <w:pPr>
        <w:spacing w:after="0" w:line="240" w:lineRule="auto"/>
        <w:jc w:val="both"/>
        <w:rPr>
          <w:rFonts w:ascii="Times New Roman" w:hAnsi="Times New Roman"/>
          <w:color w:val="000000" w:themeColor="text1"/>
          <w:sz w:val="16"/>
          <w:szCs w:val="16"/>
        </w:rPr>
      </w:pPr>
    </w:p>
    <w:p w14:paraId="0437703E"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 июня 1940 г. заместитель народного комиссара обороны СССР Г.И. Кулик и народный комиссар среднего машиностроения СССР И.А. Лихачев издали совместный приказ № 134с/1031 о проведении государственных испытаний дизеля М-250 в танке Т-34. Для проведения испытаний была создана государственная комиссия, председателем которой был назначен начальник Харьковского бронетанкового училища им. Сталина полковник Б.В. Делаков, а его заместителем – представитель АБТУ РККА военинженер 3 ранга А.А. Лаврушенков. </w:t>
      </w:r>
    </w:p>
    <w:p w14:paraId="5DD9A934"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Основными целями проведения государственных испытаний дизеля М-250 являлись: </w:t>
      </w:r>
    </w:p>
    <w:p w14:paraId="023D0FF4"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определение надежности работы дизеля М-250 в танке Т-34 в течение гарантийного срока – 250 часов работы под нагрузкой; </w:t>
      </w:r>
    </w:p>
    <w:p w14:paraId="7B99B1DE"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определение возможности замены в серийном производстве дизеля В-2 на дизель М-250 для танка Т-34; </w:t>
      </w:r>
    </w:p>
    <w:p w14:paraId="524994A0"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определение эксплуатационных данных дизеля М-250 в танке Т-34. </w:t>
      </w:r>
    </w:p>
    <w:p w14:paraId="6BD79C28"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Предъявленные на испытания дизели М-250 (№ 3 и № 4) в сравнении с серийным дизелем В-2 имели одинаковые габариты, мощность и частоту вращения коленчатого вала, но существенно отличались по конструкции ряда узлов и деталей. </w:t>
      </w:r>
    </w:p>
    <w:p w14:paraId="498EA929"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Дизель М-250 № 3 был подан на завод № 183 17 июля 1940 г. и в то же день в опытном цехе «540» началась его установка в танк А-34 № 311-18-3. Через день на завод № 183 для установки в танк А-34 № 311-11-3 поступил дизель М-250 № 4. Монтаж дизеля М-250 № 3 в танке А-34 № 311-18-3 был завершен 31 июля, а дизеля М-250 № 4 в танке А-34 № 311-11-3 – 13 августа 1940 г. Столь длительные сроки установки дизелей в танки объяснялись, прежде всего, тем, что многие узлы и агрегаты танков А-34, участвовавших до этого в длительных испытаниях, приходилось восстанавливать, не выходя за ворота опытного цеха «540». Здесь же, фактически «по месту», в каждом танке была расширена подмоторная рама для установки дизеля М-250, габариты нижнего картера которого были больше, чем у дизеля В-2. Кроме того, на левой стороне подмоторной рамы был установлен кронштейн для масляного фильтра (в отличие от дизеля В-2, на М-250 масляный устанавливался отдельно от двигателя). </w:t>
      </w:r>
    </w:p>
    <w:p w14:paraId="00FC62D7"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Система охлаждения двигателя изменений не претерпела, за исключением того, что на танке А-34 № 311-18-3 вместо сотовых радиаторов были установлены трубчатые, к тому времени серийно изготавливавшиеся для танка Т-34. Система смазки двигателя в танках практически осталась прежней, за исключением того, что в танке А-34 № 311-11-3 были установлены масляные баки без радиаторов. </w:t>
      </w:r>
    </w:p>
    <w:p w14:paraId="6D687685"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связи с тем, что в топливном насосе высокого давления дизеля М-250 вместо центробежного регулятора был установлен механический привод опережения подачи топлива, в отделении управления справа от сидения механика-водителя был установлен сектор ручного привода, по внешнему виду напоминавший сектор ручного привода подачи топлива. </w:t>
      </w:r>
    </w:p>
    <w:p w14:paraId="5B97B0CC"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Так как дизель М-250 № 4 дополнительно был оборудован электроручным инерционным стартером ИС-8, предназначавшимся для резервного пуска двигателя, моторная перегородка танка А-34 № 311-11-3 была переделана. В ней по контуру инерционного стартера был сделан вырез, через который инерционный стартер заходил в боевое отделение на 200 мм. Все остальные системы, обеспечивавшие работу двигателя, остались без изменения. </w:t>
      </w:r>
    </w:p>
    <w:p w14:paraId="65665773"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связи с меньшим объемом переделок первым к началу государственных испытаний был готов танк А-34 № 311-18-3. Испытания этого танка проводили: военинженер 3 ранга А.А. Лаврушенков, военинженер 1 ранга А.М. Малявинский, инженеры-исследователи завода № 75 Н.С. Войко и И.А. Слепов, механик-водитель Н.Ф. Носик и помощник механика-водителя А.К. Литвин. </w:t>
      </w:r>
    </w:p>
    <w:p w14:paraId="2235D2B6"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Испытания танка А-34 № 311-11-3 проводили: военинженер 2 ранга М.Н. Федоров, инженеры-исследователи О.А Федотов и Г.И. Фраймович, механик-водитель В.В. Дюканов и помощник механика-водителя А.А. Пашин. </w:t>
      </w:r>
    </w:p>
    <w:p w14:paraId="05E1543B"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вождении танков так же принимали участие инструкторы Харьковского бронетанкового училища РККА им. Сталина капитан В.А. Малышев и механик Н.Д. Попов (17625).</w:t>
      </w:r>
    </w:p>
    <w:p w14:paraId="3069132E" w14:textId="77777777" w:rsidR="00F9395A" w:rsidRPr="00DB5D0D" w:rsidRDefault="00F9395A" w:rsidP="00DB5D0D">
      <w:pPr>
        <w:pStyle w:val="128"/>
        <w:shd w:val="clear" w:color="auto" w:fill="auto"/>
        <w:spacing w:before="0" w:line="240" w:lineRule="auto"/>
        <w:ind w:firstLine="0"/>
        <w:rPr>
          <w:rFonts w:ascii="Times New Roman" w:hAnsi="Times New Roman"/>
          <w:color w:val="000000" w:themeColor="text1"/>
          <w:spacing w:val="0"/>
          <w:sz w:val="16"/>
          <w:szCs w:val="16"/>
        </w:rPr>
      </w:pPr>
    </w:p>
    <w:p w14:paraId="4A11AAF2" w14:textId="77777777" w:rsidR="00F9395A" w:rsidRPr="00DB5D0D" w:rsidRDefault="00F9395A"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21 июня 1940 года былв подготовлена ведомость опытных танковых, самоходных и противотанковых систем, подлежащих разработке. Согласно ведомости, 85-мм зенитная пушка предполагалось в качестве вооружения для танка КВ с малой башней (КВ-1). В этом документе, данная система фигурировала третьим пунктом. Ещё интереснее выглядит пункт №7 данной ведомости. Под ним значится «85-мм самоходная пушка на шасси танка Т-34» (истребитель танков). Эта САУ должна была весить 26 тонн и развивать максимальную скорость 40 км/ч. Угол горизонтального обстрела из её орудия должен был составлять 360 градусов (17641).</w:t>
      </w:r>
    </w:p>
    <w:p w14:paraId="22D7DA96" w14:textId="77777777" w:rsidR="00F9395A" w:rsidRPr="00DB5D0D" w:rsidRDefault="00F9395A" w:rsidP="00DB5D0D">
      <w:pPr>
        <w:spacing w:after="0" w:line="240" w:lineRule="auto"/>
        <w:jc w:val="both"/>
        <w:rPr>
          <w:rFonts w:ascii="Times New Roman" w:eastAsia="Times New Roman" w:hAnsi="Times New Roman"/>
          <w:color w:val="000000" w:themeColor="text1"/>
          <w:sz w:val="16"/>
          <w:szCs w:val="16"/>
          <w:lang w:eastAsia="ru-RU"/>
        </w:rPr>
      </w:pPr>
    </w:p>
    <w:p w14:paraId="4DE969B5" w14:textId="77777777" w:rsidR="00276DCC" w:rsidRPr="00DB5D0D" w:rsidRDefault="00276D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21 июня 1940 года была подписана ведомость опытных танковых, самоходных и противотанковых систем, подлежащих разработке, в которой третьим пунктом фигурировала 85-мм зенитная пушка предполагалось в качестве вооружения для танка КВ с малой башней (КВ-1). Ещё интереснее выглядит пункт №7 данной ведомости. Под ним значится «85-мм самоходная пушка на шасси танка Т-34» (истребитель танков). Эта САУ должна была весить 26 тонн и развивать максимальную скорость 40 км/ч. Угол горизонтального обстрела из её орудия должен был составлять 360 градусов (15615).</w:t>
      </w:r>
    </w:p>
    <w:p w14:paraId="0E892DF5" w14:textId="77777777" w:rsidR="00276DCC" w:rsidRPr="00DB5D0D" w:rsidRDefault="00276DCC" w:rsidP="00DB5D0D">
      <w:pPr>
        <w:pStyle w:val="ae"/>
        <w:shd w:val="clear" w:color="auto" w:fill="FFFFFF"/>
        <w:spacing w:before="0" w:after="0"/>
        <w:jc w:val="both"/>
        <w:rPr>
          <w:color w:val="000000" w:themeColor="text1"/>
          <w:sz w:val="16"/>
          <w:szCs w:val="16"/>
        </w:rPr>
      </w:pPr>
    </w:p>
    <w:p w14:paraId="0B4E4772" w14:textId="77777777" w:rsidR="003544E2" w:rsidRPr="00DB5D0D" w:rsidRDefault="003544E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21 июня 1940 года, Согласно ведомости опытных работ, предполагалась"85-мм самоходная пушка на шасси танка Т-34" (истребитель танков). Эта САУ должна была иметь боевую массу 26 тонн и развивать максимальную скорость 40 км/ч. В качестве вооружения предполагалась 85-мм зенитная пушка 52-К обр.1939 года. Исполнителем работ являлся завод №8, разработчик 52-К. Для этих целей выделили 2 шасси Т-34, но в связи со смертью М.Н. Логинова, главного конструктора завода №8, а также дополнительным задачам, проект очень быстро ушел в небытие (21343). </w:t>
      </w:r>
    </w:p>
    <w:p w14:paraId="5517A978" w14:textId="77777777" w:rsidR="003544E2" w:rsidRPr="00DB5D0D" w:rsidRDefault="003544E2" w:rsidP="00DB5D0D">
      <w:pPr>
        <w:spacing w:after="0" w:line="240" w:lineRule="auto"/>
        <w:jc w:val="both"/>
        <w:rPr>
          <w:rFonts w:ascii="Times New Roman" w:hAnsi="Times New Roman"/>
          <w:color w:val="0070C0"/>
          <w:sz w:val="16"/>
          <w:szCs w:val="16"/>
        </w:rPr>
      </w:pPr>
    </w:p>
    <w:p w14:paraId="3FB4C4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военпред АБТУ на Ижорском заводе сообщал в своем письме: «По состоянию заделов цех № 7 имеет все воз</w:t>
      </w:r>
      <w:r w:rsidRPr="00DB5D0D">
        <w:rPr>
          <w:rFonts w:ascii="Times New Roman" w:hAnsi="Times New Roman"/>
          <w:color w:val="000000" w:themeColor="text1"/>
          <w:sz w:val="16"/>
          <w:szCs w:val="16"/>
        </w:rPr>
        <w:softHyphen/>
        <w:t>можности выполнить программу 2-го квартала, так как на 20 июня заложено 100 корпусов и 96 башен, сварено 77 корпусов и 81 башня. В сборке 64 машины, принято обкаткой военной приемкой 35 машин, из них 28 с рацией. Реальная сдача в ию</w:t>
      </w:r>
      <w:r w:rsidRPr="00DB5D0D">
        <w:rPr>
          <w:rFonts w:ascii="Times New Roman" w:hAnsi="Times New Roman"/>
          <w:color w:val="000000" w:themeColor="text1"/>
          <w:sz w:val="16"/>
          <w:szCs w:val="16"/>
        </w:rPr>
        <w:softHyphen/>
        <w:t>не - 75-80 машин БА-10. Трудности с несвоевременной обес</w:t>
      </w:r>
      <w:r w:rsidRPr="00DB5D0D">
        <w:rPr>
          <w:rFonts w:ascii="Times New Roman" w:hAnsi="Times New Roman"/>
          <w:color w:val="000000" w:themeColor="text1"/>
          <w:sz w:val="16"/>
          <w:szCs w:val="16"/>
        </w:rPr>
        <w:softHyphen/>
        <w:t>печенностью верхними погонами и проводами для монтажа рации». Всего за 1940 год было изготовлено 987 БА-10М (из них 410 радийных) при годовом плане в 975 машин (11284).</w:t>
      </w:r>
    </w:p>
    <w:p w14:paraId="14DE95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A25CE23" w14:textId="77777777" w:rsidR="00A25AD1" w:rsidRPr="00DB5D0D" w:rsidRDefault="00A25AD1" w:rsidP="00DB5D0D">
      <w:pPr>
        <w:pStyle w:val="a3"/>
        <w:rPr>
          <w:color w:val="000000" w:themeColor="text1"/>
          <w:lang w:val="ru-RU"/>
        </w:rPr>
      </w:pPr>
      <w:r w:rsidRPr="00DB5D0D">
        <w:rPr>
          <w:color w:val="000000" w:themeColor="text1"/>
          <w:lang w:val="ru-RU"/>
        </w:rPr>
        <w:t>21 июня 1940 было подготовлено донесение стар</w:t>
      </w:r>
      <w:r w:rsidRPr="00DB5D0D">
        <w:rPr>
          <w:color w:val="000000" w:themeColor="text1"/>
          <w:lang w:val="ru-RU"/>
        </w:rPr>
        <w:softHyphen/>
        <w:t>шего военного представителя на Мариупольском заводе Г.И. Зухера, согласно которому работы по развертыванию производственных мощностей сводились к следующему:</w:t>
      </w:r>
    </w:p>
    <w:p w14:paraId="5761E76F" w14:textId="77777777" w:rsidR="00A25AD1" w:rsidRPr="00DB5D0D" w:rsidRDefault="00A25AD1" w:rsidP="00DB5D0D">
      <w:pPr>
        <w:pStyle w:val="a3"/>
        <w:rPr>
          <w:color w:val="000000" w:themeColor="text1"/>
          <w:lang w:val="ru-RU"/>
        </w:rPr>
      </w:pPr>
      <w:r w:rsidRPr="00DB5D0D">
        <w:rPr>
          <w:rStyle w:val="130"/>
          <w:rFonts w:ascii="Times New Roman" w:hAnsi="Times New Roman" w:cs="Times New Roman"/>
          <w:i w:val="0"/>
          <w:iCs w:val="0"/>
          <w:color w:val="000000" w:themeColor="text1"/>
          <w:spacing w:val="0"/>
          <w:sz w:val="16"/>
          <w:szCs w:val="16"/>
        </w:rPr>
        <w:t>N</w:t>
      </w:r>
      <w:r w:rsidRPr="00DB5D0D">
        <w:rPr>
          <w:rStyle w:val="130"/>
          <w:rFonts w:ascii="Times New Roman" w:hAnsi="Times New Roman" w:cs="Times New Roman"/>
          <w:i w:val="0"/>
          <w:iCs w:val="0"/>
          <w:color w:val="000000" w:themeColor="text1"/>
          <w:spacing w:val="0"/>
          <w:sz w:val="16"/>
          <w:szCs w:val="16"/>
          <w:lang w:val="ru-RU"/>
        </w:rPr>
        <w:t xml:space="preserve"> 944</w:t>
      </w:r>
      <w:r w:rsidRPr="00DB5D0D">
        <w:rPr>
          <w:rStyle w:val="8pt3100pt23"/>
          <w:rFonts w:ascii="Times New Roman" w:hAnsi="Times New Roman" w:cs="Times New Roman"/>
          <w:i w:val="0"/>
          <w:iCs w:val="0"/>
          <w:color w:val="000000" w:themeColor="text1"/>
        </w:rPr>
        <w:t>ccot</w:t>
      </w:r>
      <w:r w:rsidRPr="00DB5D0D">
        <w:rPr>
          <w:rStyle w:val="130"/>
          <w:rFonts w:ascii="Times New Roman" w:hAnsi="Times New Roman" w:cs="Times New Roman"/>
          <w:i w:val="0"/>
          <w:iCs w:val="0"/>
          <w:color w:val="000000" w:themeColor="text1"/>
          <w:spacing w:val="0"/>
          <w:sz w:val="16"/>
          <w:szCs w:val="16"/>
          <w:lang w:val="ru-RU"/>
        </w:rPr>
        <w:t>21.06.40</w:t>
      </w:r>
    </w:p>
    <w:p w14:paraId="61F87B8B"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Начальнику Авто Бронетанкового Управления Гэнерал-полковнику Павлову Д. Г.</w:t>
      </w:r>
    </w:p>
    <w:p w14:paraId="14A864C2"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Докладо состоянии производства по бронедеталям Т-34 на 3-де им. Ильича</w:t>
      </w:r>
    </w:p>
    <w:p w14:paraId="1B2E111D"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Style w:val="115"/>
          <w:rFonts w:ascii="Times New Roman" w:hAnsi="Times New Roman" w:cs="Times New Roman"/>
          <w:iCs/>
          <w:color w:val="000000" w:themeColor="text1"/>
          <w:sz w:val="16"/>
          <w:szCs w:val="16"/>
          <w:lang w:val="ru-RU"/>
        </w:rPr>
        <w:t>2. Подготовка к развертыванию.</w:t>
      </w:r>
      <w:r w:rsidRPr="00DB5D0D">
        <w:rPr>
          <w:rFonts w:ascii="Times New Roman" w:hAnsi="Times New Roman" w:cs="Times New Roman"/>
          <w:i w:val="0"/>
          <w:iCs w:val="0"/>
          <w:color w:val="000000" w:themeColor="text1"/>
          <w:sz w:val="16"/>
          <w:szCs w:val="16"/>
          <w:lang w:val="ru-RU"/>
        </w:rPr>
        <w:t xml:space="preserve"> По заводу, приказом Директора проводится ряд мероприятий по обеспечению выполнения програм</w:t>
      </w:r>
      <w:r w:rsidRPr="00DB5D0D">
        <w:rPr>
          <w:rFonts w:ascii="Times New Roman" w:hAnsi="Times New Roman" w:cs="Times New Roman"/>
          <w:i w:val="0"/>
          <w:iCs w:val="0"/>
          <w:color w:val="000000" w:themeColor="text1"/>
          <w:sz w:val="16"/>
          <w:szCs w:val="16"/>
          <w:lang w:val="ru-RU"/>
        </w:rPr>
        <w:softHyphen/>
        <w:t>мы в Июле-Августе. Эти мероприятия сводятся к нижеследующему :</w:t>
      </w:r>
    </w:p>
    <w:p w14:paraId="51534692" w14:textId="77777777" w:rsidR="00A25AD1" w:rsidRPr="00DB5D0D" w:rsidRDefault="00A25AD1" w:rsidP="00DB5D0D">
      <w:pPr>
        <w:pStyle w:val="1110"/>
        <w:shd w:val="clear" w:color="auto" w:fill="auto"/>
        <w:tabs>
          <w:tab w:val="left" w:pos="529"/>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1)Расчищается и расширяется литейный зал Сталелитейного цеха для отливки башен, балок носа и др.</w:t>
      </w:r>
    </w:p>
    <w:p w14:paraId="02C7425C" w14:textId="77777777" w:rsidR="00A25AD1" w:rsidRPr="00DB5D0D" w:rsidRDefault="00A25AD1" w:rsidP="00DB5D0D">
      <w:pPr>
        <w:pStyle w:val="1110"/>
        <w:shd w:val="clear" w:color="auto" w:fill="auto"/>
        <w:tabs>
          <w:tab w:val="left" w:pos="49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2)Ведутся подготовительные работы к тому, чтобы с 1 -го Июля производить выплавку стали МЗ-2 кроме печи Мартеновского цеха №9 также в 1-й печи Мартеновского цеха №2. Для этого подго</w:t>
      </w:r>
      <w:r w:rsidRPr="00DB5D0D">
        <w:rPr>
          <w:rFonts w:ascii="Times New Roman" w:hAnsi="Times New Roman" w:cs="Times New Roman"/>
          <w:i w:val="0"/>
          <w:iCs w:val="0"/>
          <w:color w:val="000000" w:themeColor="text1"/>
          <w:sz w:val="16"/>
          <w:szCs w:val="16"/>
          <w:lang w:val="ru-RU"/>
        </w:rPr>
        <w:softHyphen/>
        <w:t>товляются склады шихтовых материалов, подготовляется печь №7, изложницы, литейный пролет, а также готовятся квалифициро</w:t>
      </w:r>
      <w:r w:rsidRPr="00DB5D0D">
        <w:rPr>
          <w:rFonts w:ascii="Times New Roman" w:hAnsi="Times New Roman" w:cs="Times New Roman"/>
          <w:i w:val="0"/>
          <w:iCs w:val="0"/>
          <w:color w:val="000000" w:themeColor="text1"/>
          <w:sz w:val="16"/>
          <w:szCs w:val="16"/>
          <w:lang w:val="ru-RU"/>
        </w:rPr>
        <w:softHyphen/>
        <w:t>ванные кадры.</w:t>
      </w:r>
    </w:p>
    <w:p w14:paraId="31496571" w14:textId="77777777" w:rsidR="00A25AD1" w:rsidRPr="00DB5D0D" w:rsidRDefault="00A25AD1" w:rsidP="00DB5D0D">
      <w:pPr>
        <w:pStyle w:val="1110"/>
        <w:shd w:val="clear" w:color="auto" w:fill="auto"/>
        <w:tabs>
          <w:tab w:val="left" w:pos="524"/>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lastRenderedPageBreak/>
        <w:t>3)Подготовляются проекты печей, крана, усиление подъем</w:t>
      </w:r>
      <w:r w:rsidRPr="00DB5D0D">
        <w:rPr>
          <w:rFonts w:ascii="Times New Roman" w:hAnsi="Times New Roman" w:cs="Times New Roman"/>
          <w:i w:val="0"/>
          <w:iCs w:val="0"/>
          <w:color w:val="000000" w:themeColor="text1"/>
          <w:sz w:val="16"/>
          <w:szCs w:val="16"/>
          <w:lang w:val="ru-RU"/>
        </w:rPr>
        <w:softHyphen/>
        <w:t>ных столов для лучшего оснащения Стана № 1 в Прокатном цехе. В настоящее время прокатанными листами цеха обеспечиваются бесперебойно.</w:t>
      </w:r>
    </w:p>
    <w:p w14:paraId="67C5655C" w14:textId="77777777" w:rsidR="00A25AD1" w:rsidRPr="00DB5D0D" w:rsidRDefault="00A25AD1" w:rsidP="00DB5D0D">
      <w:pPr>
        <w:pStyle w:val="1110"/>
        <w:shd w:val="clear" w:color="auto" w:fill="auto"/>
        <w:tabs>
          <w:tab w:val="left" w:pos="49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4)Расширяется Механический цех №5. Уже сломаны перегородки и конторки, непроизводительно занимавшие целый пролет в цехе, и в настоящее время заканчивается расчистка этого нового пролета для установки в нем станков.</w:t>
      </w:r>
    </w:p>
    <w:p w14:paraId="1ACE6BF1" w14:textId="77777777" w:rsidR="00A25AD1" w:rsidRPr="00DB5D0D" w:rsidRDefault="00A25AD1" w:rsidP="00DB5D0D">
      <w:pPr>
        <w:pStyle w:val="1110"/>
        <w:shd w:val="clear" w:color="auto" w:fill="auto"/>
        <w:tabs>
          <w:tab w:val="left" w:pos="486"/>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5)Удлиняются 4 термические печи для обработки длинных дета</w:t>
      </w:r>
      <w:r w:rsidRPr="00DB5D0D">
        <w:rPr>
          <w:rFonts w:ascii="Times New Roman" w:hAnsi="Times New Roman" w:cs="Times New Roman"/>
          <w:i w:val="0"/>
          <w:iCs w:val="0"/>
          <w:color w:val="000000" w:themeColor="text1"/>
          <w:sz w:val="16"/>
          <w:szCs w:val="16"/>
          <w:lang w:val="ru-RU"/>
        </w:rPr>
        <w:softHyphen/>
        <w:t>лей (борта, подкрылки) и устанавливаются добавочно 2 ванны.</w:t>
      </w:r>
    </w:p>
    <w:p w14:paraId="7C0FB724" w14:textId="77777777" w:rsidR="00A25AD1" w:rsidRPr="00DB5D0D" w:rsidRDefault="00A25AD1" w:rsidP="00DB5D0D">
      <w:pPr>
        <w:pStyle w:val="1110"/>
        <w:shd w:val="clear" w:color="auto" w:fill="auto"/>
        <w:tabs>
          <w:tab w:val="left" w:pos="487"/>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6)Заканчивается монтаж двух правильных машин.</w:t>
      </w:r>
    </w:p>
    <w:p w14:paraId="01F1E1EF" w14:textId="77777777" w:rsidR="00A25AD1" w:rsidRPr="00DB5D0D" w:rsidRDefault="00A25AD1" w:rsidP="00DB5D0D">
      <w:pPr>
        <w:pStyle w:val="1110"/>
        <w:shd w:val="clear" w:color="auto" w:fill="auto"/>
        <w:tabs>
          <w:tab w:val="left" w:pos="481"/>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7)Заканчивается монтаж трех горизонт, расточных станков фир</w:t>
      </w:r>
      <w:r w:rsidRPr="00DB5D0D">
        <w:rPr>
          <w:rFonts w:ascii="Times New Roman" w:hAnsi="Times New Roman" w:cs="Times New Roman"/>
          <w:i w:val="0"/>
          <w:iCs w:val="0"/>
          <w:color w:val="000000" w:themeColor="text1"/>
          <w:sz w:val="16"/>
          <w:szCs w:val="16"/>
          <w:lang w:val="ru-RU"/>
        </w:rPr>
        <w:softHyphen/>
        <w:t>мы Пляуэрт в цехе №5.</w:t>
      </w:r>
    </w:p>
    <w:p w14:paraId="3775390F" w14:textId="77777777" w:rsidR="00A25AD1" w:rsidRPr="00DB5D0D" w:rsidRDefault="00A25AD1" w:rsidP="00DB5D0D">
      <w:pPr>
        <w:pStyle w:val="1110"/>
        <w:shd w:val="clear" w:color="auto" w:fill="auto"/>
        <w:tabs>
          <w:tab w:val="left" w:pos="476"/>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8)Устанавливается отремонтированный маломощный (400—450 т.) пресс.</w:t>
      </w:r>
    </w:p>
    <w:p w14:paraId="271AC6E0" w14:textId="77777777" w:rsidR="00A25AD1" w:rsidRPr="00DB5D0D" w:rsidRDefault="00A25AD1" w:rsidP="00DB5D0D">
      <w:pPr>
        <w:pStyle w:val="1110"/>
        <w:shd w:val="clear" w:color="auto" w:fill="auto"/>
        <w:tabs>
          <w:tab w:val="left" w:pos="487"/>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9)Устанавливается ряд станков во вновь строящемся цехе М.</w:t>
      </w:r>
    </w:p>
    <w:p w14:paraId="494C425C" w14:textId="77777777" w:rsidR="00A25AD1" w:rsidRPr="00DB5D0D" w:rsidRDefault="00A25AD1" w:rsidP="00DB5D0D">
      <w:pPr>
        <w:pStyle w:val="1110"/>
        <w:shd w:val="clear" w:color="auto" w:fill="auto"/>
        <w:tabs>
          <w:tab w:val="left" w:pos="559"/>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10)Срочно ремонтируется артиллерийский тир.</w:t>
      </w:r>
    </w:p>
    <w:p w14:paraId="0D9AAC1A"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Этим не исчерпывается вся сумма мероприятий. Первые сроки относятся к 25.6.40 - 1.7.40. Выполнение этих сроков будет мною освещено в донесении за 3-ю декаду Июня.</w:t>
      </w:r>
      <w:r w:rsidRPr="00DB5D0D">
        <w:rPr>
          <w:rStyle w:val="11SimHei75pt3080pt22"/>
          <w:rFonts w:ascii="Times New Roman" w:hAnsi="Times New Roman" w:cs="Times New Roman"/>
          <w:iCs/>
          <w:color w:val="000000" w:themeColor="text1"/>
          <w:sz w:val="16"/>
          <w:szCs w:val="16"/>
          <w:lang w:val="ru-RU"/>
        </w:rPr>
        <w:t xml:space="preserve"> [</w:t>
      </w:r>
      <w:r w:rsidRPr="00DB5D0D">
        <w:rPr>
          <w:rFonts w:ascii="Times New Roman" w:hAnsi="Times New Roman" w:cs="Times New Roman"/>
          <w:i w:val="0"/>
          <w:iCs w:val="0"/>
          <w:color w:val="000000" w:themeColor="text1"/>
          <w:sz w:val="16"/>
          <w:szCs w:val="16"/>
          <w:lang w:val="ru-RU"/>
        </w:rPr>
        <w:t>РГВА. Ф.31811. Оп.2. Д. 1176. Л. 149-150.</w:t>
      </w:r>
      <w:r w:rsidRPr="00DB5D0D">
        <w:rPr>
          <w:rStyle w:val="11SimHei75pt3080pt22"/>
          <w:rFonts w:ascii="Times New Roman" w:hAnsi="Times New Roman" w:cs="Times New Roman"/>
          <w:iCs/>
          <w:color w:val="000000" w:themeColor="text1"/>
          <w:sz w:val="16"/>
          <w:szCs w:val="16"/>
          <w:lang w:val="ru-RU"/>
        </w:rPr>
        <w:t>]</w:t>
      </w:r>
    </w:p>
    <w:p w14:paraId="01C90B69" w14:textId="77777777" w:rsidR="00A25AD1" w:rsidRPr="00DB5D0D" w:rsidRDefault="00A25AD1" w:rsidP="00DB5D0D">
      <w:pPr>
        <w:pStyle w:val="a3"/>
        <w:rPr>
          <w:color w:val="000000" w:themeColor="text1"/>
          <w:lang w:val="ru-RU"/>
        </w:rPr>
      </w:pPr>
      <w:r w:rsidRPr="00DB5D0D">
        <w:rPr>
          <w:color w:val="000000" w:themeColor="text1"/>
          <w:lang w:val="ru-RU"/>
        </w:rPr>
        <w:t>При изыскании необходимых для развертывания производ</w:t>
      </w:r>
      <w:r w:rsidRPr="00DB5D0D">
        <w:rPr>
          <w:color w:val="000000" w:themeColor="text1"/>
          <w:lang w:val="ru-RU"/>
        </w:rPr>
        <w:softHyphen/>
        <w:t>ственных мощностей дополнительных площадей на Мариупольс</w:t>
      </w:r>
      <w:r w:rsidRPr="00DB5D0D">
        <w:rPr>
          <w:color w:val="000000" w:themeColor="text1"/>
          <w:lang w:val="ru-RU"/>
        </w:rPr>
        <w:softHyphen/>
        <w:t>ком заводе были найдены значительные, но на тот момент слабо используемые площади, а именно: помещение старотрубного цеха; пробная мастерская трубного цеха; пролет (недостроенный) цеха «М» и помещение железо-котельного цеха. В середине июня Тех</w:t>
      </w:r>
      <w:r w:rsidRPr="00DB5D0D">
        <w:rPr>
          <w:color w:val="000000" w:themeColor="text1"/>
          <w:lang w:val="ru-RU"/>
        </w:rPr>
        <w:softHyphen/>
        <w:t>нический отдел Управления капитального строительства завода приступил к разработке проекта размещения производства на ука</w:t>
      </w:r>
      <w:r w:rsidRPr="00DB5D0D">
        <w:rPr>
          <w:color w:val="000000" w:themeColor="text1"/>
          <w:lang w:val="ru-RU"/>
        </w:rPr>
        <w:softHyphen/>
        <w:t>занных площадях.</w:t>
      </w:r>
    </w:p>
    <w:p w14:paraId="18C763D5" w14:textId="77777777" w:rsidR="00A25AD1" w:rsidRPr="00DB5D0D" w:rsidRDefault="00A25AD1" w:rsidP="00DB5D0D">
      <w:pPr>
        <w:pStyle w:val="a3"/>
        <w:rPr>
          <w:color w:val="000000" w:themeColor="text1"/>
          <w:lang w:val="ru-RU"/>
        </w:rPr>
      </w:pPr>
      <w:r w:rsidRPr="00DB5D0D">
        <w:rPr>
          <w:color w:val="000000" w:themeColor="text1"/>
          <w:lang w:val="ru-RU"/>
        </w:rPr>
        <w:t>Кроме того, в рамках подготовительных работ по увеличению выпуска бронедеталей, начиная с июня 1940 г., руководство Мариу</w:t>
      </w:r>
      <w:r w:rsidRPr="00DB5D0D">
        <w:rPr>
          <w:color w:val="000000" w:themeColor="text1"/>
          <w:lang w:val="ru-RU"/>
        </w:rPr>
        <w:softHyphen/>
        <w:t>польского завода активно развивало внутризаводскую кооперацию. С целью оптимизации производства директор издал распоряжение организовать «группу технологов и конструкторов», перед которой ставились задачи по разработке инструмента, приспособлений и оснастки для массового выпуска бронедеталей Т-34. Результатом этих действий стало создание на Мариупольском заводе им. Ильича во втором полугодии 1940 г. специального отдела танкового произ</w:t>
      </w:r>
      <w:r w:rsidRPr="00DB5D0D">
        <w:rPr>
          <w:color w:val="000000" w:themeColor="text1"/>
          <w:lang w:val="ru-RU"/>
        </w:rPr>
        <w:softHyphen/>
        <w:t>водства - «Отдела 100» и Технологического бюро на его базе.</w:t>
      </w:r>
    </w:p>
    <w:p w14:paraId="344DAE0F" w14:textId="77777777" w:rsidR="00A25AD1" w:rsidRPr="00DB5D0D" w:rsidRDefault="00A25AD1" w:rsidP="00DB5D0D">
      <w:pPr>
        <w:pStyle w:val="a3"/>
        <w:rPr>
          <w:color w:val="000000" w:themeColor="text1"/>
          <w:lang w:val="ru-RU"/>
        </w:rPr>
      </w:pPr>
      <w:r w:rsidRPr="00DB5D0D">
        <w:rPr>
          <w:color w:val="000000" w:themeColor="text1"/>
          <w:lang w:val="ru-RU"/>
        </w:rPr>
        <w:t>Также на заводе велись опытные работы по поиску путей упро</w:t>
      </w:r>
      <w:r w:rsidRPr="00DB5D0D">
        <w:rPr>
          <w:color w:val="000000" w:themeColor="text1"/>
          <w:lang w:val="ru-RU"/>
        </w:rPr>
        <w:softHyphen/>
        <w:t>щения технологии металлургического производства. Основными направлениями при этом были: проверка возможности выплавки стали марки МЗ-2 на твердой завалке, а не дуплекс-процессом, что в перспективе могло дать большую производительность мартеновс</w:t>
      </w:r>
      <w:r w:rsidRPr="00DB5D0D">
        <w:rPr>
          <w:color w:val="000000" w:themeColor="text1"/>
          <w:lang w:val="ru-RU"/>
        </w:rPr>
        <w:softHyphen/>
        <w:t>ких цехов; проверка возможности одинарной термообработки; уп</w:t>
      </w:r>
      <w:r w:rsidRPr="00DB5D0D">
        <w:rPr>
          <w:color w:val="000000" w:themeColor="text1"/>
          <w:lang w:val="ru-RU"/>
        </w:rPr>
        <w:softHyphen/>
        <w:t>рощение процессов отжига листов после прокатки для создания меньшей загрузки печей (11906).</w:t>
      </w:r>
    </w:p>
    <w:p w14:paraId="231B5177" w14:textId="77777777" w:rsidR="00A25AD1" w:rsidRPr="00DB5D0D" w:rsidRDefault="00A25AD1" w:rsidP="00DB5D0D">
      <w:pPr>
        <w:pStyle w:val="a3"/>
        <w:rPr>
          <w:color w:val="000000" w:themeColor="text1"/>
          <w:lang w:val="ru-RU"/>
        </w:rPr>
      </w:pPr>
    </w:p>
    <w:p w14:paraId="6A10F7C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27FF6EC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D4AAD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нарком ВМФ также приказал Военному совету Черноморского флота перейти в оперативное подчинение командующему КОВО, начиная с 22 часов 21 июня. Согласно Директиве № 101396/СС, из состава Управления КОВО выделялось Управ</w:t>
      </w:r>
      <w:r w:rsidRPr="00DB5D0D">
        <w:rPr>
          <w:rFonts w:ascii="Times New Roman" w:hAnsi="Times New Roman"/>
          <w:color w:val="000000" w:themeColor="text1"/>
          <w:sz w:val="16"/>
          <w:szCs w:val="16"/>
        </w:rPr>
        <w:softHyphen/>
        <w:t xml:space="preserve">ление Южного фронта. Авиация </w:t>
      </w:r>
      <w:r w:rsidRPr="00DB5D0D">
        <w:rPr>
          <w:rFonts w:ascii="Times New Roman" w:hAnsi="Times New Roman"/>
          <w:iCs/>
          <w:color w:val="000000" w:themeColor="text1"/>
          <w:sz w:val="16"/>
          <w:szCs w:val="16"/>
        </w:rPr>
        <w:t xml:space="preserve">12-й А </w:t>
      </w:r>
      <w:r w:rsidRPr="00DB5D0D">
        <w:rPr>
          <w:rFonts w:ascii="Times New Roman" w:hAnsi="Times New Roman"/>
          <w:color w:val="000000" w:themeColor="text1"/>
          <w:sz w:val="16"/>
          <w:szCs w:val="16"/>
        </w:rPr>
        <w:t>составляла пять полков СБ, два лег</w:t>
      </w:r>
      <w:r w:rsidRPr="00DB5D0D">
        <w:rPr>
          <w:rFonts w:ascii="Times New Roman" w:hAnsi="Times New Roman"/>
          <w:color w:val="000000" w:themeColor="text1"/>
          <w:sz w:val="16"/>
          <w:szCs w:val="16"/>
        </w:rPr>
        <w:softHyphen/>
        <w:t>кобомбардировочных и восемь истребительных полков; авиация 5-й А — два полка СБ, один легкобомбардировочный и три истребительных полка; авиация 9-й А - один полк ДБ, пять полков СБ, один легкобомбардировоч</w:t>
      </w:r>
      <w:r w:rsidRPr="00DB5D0D">
        <w:rPr>
          <w:rFonts w:ascii="Times New Roman" w:hAnsi="Times New Roman"/>
          <w:color w:val="000000" w:themeColor="text1"/>
          <w:sz w:val="16"/>
          <w:szCs w:val="16"/>
        </w:rPr>
        <w:softHyphen/>
        <w:t xml:space="preserve">ный и шесть истребительных полков. «Для оказания и содействия развитию успеха </w:t>
      </w:r>
      <w:r w:rsidRPr="00DB5D0D">
        <w:rPr>
          <w:rFonts w:ascii="Times New Roman" w:hAnsi="Times New Roman"/>
          <w:iCs/>
          <w:color w:val="000000" w:themeColor="text1"/>
          <w:sz w:val="16"/>
          <w:szCs w:val="16"/>
        </w:rPr>
        <w:t xml:space="preserve">12 и 9 </w:t>
      </w:r>
      <w:r w:rsidRPr="00DB5D0D">
        <w:rPr>
          <w:rFonts w:ascii="Times New Roman" w:hAnsi="Times New Roman"/>
          <w:color w:val="000000" w:themeColor="text1"/>
          <w:sz w:val="16"/>
          <w:szCs w:val="16"/>
        </w:rPr>
        <w:t>армий в распоряжении командующего фронтом иметь три авиаполка ДБ и для высадки авиадесанта четыре полка ТБ».</w:t>
      </w:r>
    </w:p>
    <w:p w14:paraId="04FF35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Пунктом 7 Директивы предписывалось: «Распоряжением фронта под</w:t>
      </w:r>
      <w:r w:rsidRPr="00DB5D0D">
        <w:rPr>
          <w:rFonts w:ascii="Times New Roman" w:hAnsi="Times New Roman"/>
          <w:color w:val="000000" w:themeColor="text1"/>
          <w:sz w:val="16"/>
          <w:szCs w:val="16"/>
        </w:rPr>
        <w:softHyphen/>
        <w:t>готовить выброску воздушного десанта для совместного удара с частями 12 армии в районе Тыргу-Фрумос. Выброску десанта произвести только после выхода в этот район механизированных частей».</w:t>
      </w:r>
    </w:p>
    <w:p w14:paraId="4DC048C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Пунктом 8 Директивы авиации ставились следующие основные задачи: тесное взаимодействие с войсками на поле боя; удар по группировкам про</w:t>
      </w:r>
      <w:r w:rsidRPr="00DB5D0D">
        <w:rPr>
          <w:rFonts w:ascii="Times New Roman" w:hAnsi="Times New Roman"/>
          <w:color w:val="000000" w:themeColor="text1"/>
          <w:sz w:val="16"/>
          <w:szCs w:val="16"/>
        </w:rPr>
        <w:softHyphen/>
        <w:t>тивника, стоящим перед нашими частями; содействие штурмовыми дейс</w:t>
      </w:r>
      <w:r w:rsidRPr="00DB5D0D">
        <w:rPr>
          <w:rFonts w:ascii="Times New Roman" w:hAnsi="Times New Roman"/>
          <w:color w:val="000000" w:themeColor="text1"/>
          <w:sz w:val="16"/>
          <w:szCs w:val="16"/>
        </w:rPr>
        <w:softHyphen/>
        <w:t>твиями продвижению наших частей (в первую очередь - механизирован</w:t>
      </w:r>
      <w:r w:rsidRPr="00DB5D0D">
        <w:rPr>
          <w:rFonts w:ascii="Times New Roman" w:hAnsi="Times New Roman"/>
          <w:color w:val="000000" w:themeColor="text1"/>
          <w:sz w:val="16"/>
          <w:szCs w:val="16"/>
        </w:rPr>
        <w:softHyphen/>
        <w:t>ных и конных); уничтожение авиации противника на аэродромах; атака подходящих колонн противника и их штабов; прикрытие районов сосре</w:t>
      </w:r>
      <w:r w:rsidRPr="00DB5D0D">
        <w:rPr>
          <w:rFonts w:ascii="Times New Roman" w:hAnsi="Times New Roman"/>
          <w:color w:val="000000" w:themeColor="text1"/>
          <w:sz w:val="16"/>
          <w:szCs w:val="16"/>
        </w:rPr>
        <w:softHyphen/>
        <w:t>доточения своих войск; выброска воздушного десанта.</w:t>
      </w:r>
    </w:p>
    <w:p w14:paraId="64B5AA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операции также предписывалось поднять посты ВНОС КОВО, ОдВО и Киева в порядке учебных сборов и организовать ПВО важней</w:t>
      </w:r>
      <w:r w:rsidRPr="00DB5D0D">
        <w:rPr>
          <w:rFonts w:ascii="Times New Roman" w:hAnsi="Times New Roman"/>
          <w:color w:val="000000" w:themeColor="text1"/>
          <w:sz w:val="16"/>
          <w:szCs w:val="16"/>
        </w:rPr>
        <w:softHyphen/>
        <w:t>ших пунктов, складов, аэродромов и районов сосредоточения войск (Мельтюхов М. Указ. соч. С. 285-288, 290-292.).</w:t>
      </w:r>
    </w:p>
    <w:p w14:paraId="286C1B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Таблицах 85-87 представлено число авиаполков, наличие самолетов (в том числе исправных и боеготовых экипажей) в ВВС КОВО и ОдВО по состоянию на 19 июня 1940 года (11710,415).</w:t>
      </w:r>
    </w:p>
    <w:p w14:paraId="565E1A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31C25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 приказом НКО No.0117 УВВС и ГУАСКА были вновь слиты в Главное управление ВВС Красной Армии (11226).</w:t>
      </w:r>
    </w:p>
    <w:p w14:paraId="19DB235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E89D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 приказом наркома обороны № 0117 от ГУ ВВС КА и ГУАС были слиты в Главное управление ВВС Красной армии. На</w:t>
      </w:r>
      <w:r w:rsidRPr="00DB5D0D">
        <w:rPr>
          <w:rFonts w:ascii="Times New Roman" w:hAnsi="Times New Roman"/>
          <w:color w:val="000000" w:themeColor="text1"/>
          <w:sz w:val="16"/>
          <w:szCs w:val="16"/>
        </w:rPr>
        <w:softHyphen/>
        <w:t>чальником ВВС был назначен Герой Советского Союза генерал-лейтенант Я.В. Смушкевич (Русский архив: Великая Отечественная. Т. 13 (2 - 1). Приказы народного комиссара обороны СССР. 1937-21 июня 1941 года. С. 320.).</w:t>
      </w:r>
    </w:p>
    <w:p w14:paraId="24EB1A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Политбюро ЦК ВКП(б) № П 17 / 140 от 9 июня 1940 года «О зам. начальника Воздушных сил Красной армии» на эту долж</w:t>
      </w:r>
      <w:r w:rsidRPr="00DB5D0D">
        <w:rPr>
          <w:rFonts w:ascii="Times New Roman" w:hAnsi="Times New Roman"/>
          <w:color w:val="000000" w:themeColor="text1"/>
          <w:sz w:val="16"/>
          <w:szCs w:val="16"/>
        </w:rPr>
        <w:softHyphen/>
        <w:t>ность был назначен генерал-лейтенант авиации П.В. Рычагов (РГАСПИ. Ф. 17. Оп. 162. Д. 26. Л. 112.). А вскоре в соответствии с новым постановлением Политбюро ЦК ВКП(б) № П 20 / 2 от 26 августа 1940 года П.В. Рычагов был утвержден начальником Главного Управления ВВС.</w:t>
      </w:r>
    </w:p>
    <w:p w14:paraId="6A5680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DB5D0D">
        <w:rPr>
          <w:rFonts w:ascii="Times New Roman" w:hAnsi="Times New Roman"/>
          <w:color w:val="000000" w:themeColor="text1"/>
          <w:sz w:val="16"/>
          <w:szCs w:val="16"/>
        </w:rPr>
        <w:softHyphen/>
        <w:t>сано утвердить начальником ГУ ВВС КА генерал-лейтенанта авиации Жи-гарева П.Ф. и исключить из состава членов ГВС (Главного Военного Сове</w:t>
      </w:r>
      <w:r w:rsidRPr="00DB5D0D">
        <w:rPr>
          <w:rFonts w:ascii="Times New Roman" w:hAnsi="Times New Roman"/>
          <w:color w:val="000000" w:themeColor="text1"/>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138D0C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К началу Великой Отечественной войны Главное управление ВВС ор</w:t>
      </w:r>
      <w:r w:rsidRPr="00DB5D0D">
        <w:rPr>
          <w:rFonts w:ascii="Times New Roman" w:hAnsi="Times New Roman"/>
          <w:color w:val="000000" w:themeColor="text1"/>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DB5D0D">
        <w:rPr>
          <w:rFonts w:ascii="Times New Roman" w:hAnsi="Times New Roman"/>
          <w:color w:val="000000" w:themeColor="text1"/>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DB5D0D">
        <w:rPr>
          <w:rFonts w:ascii="Times New Roman" w:hAnsi="Times New Roman"/>
          <w:color w:val="000000" w:themeColor="text1"/>
          <w:sz w:val="16"/>
          <w:szCs w:val="16"/>
        </w:rPr>
        <w:softHyphen/>
        <w:t>мов, снабжения и ремонта - и несколько самостоятельных отделов (об</w:t>
      </w:r>
      <w:r w:rsidRPr="00DB5D0D">
        <w:rPr>
          <w:rFonts w:ascii="Times New Roman" w:hAnsi="Times New Roman"/>
          <w:color w:val="000000" w:themeColor="text1"/>
          <w:sz w:val="16"/>
          <w:szCs w:val="16"/>
        </w:rPr>
        <w:softHyphen/>
        <w:t>щий, финансовый, редакция журнала «Вестник Воздушного Флота»). Че</w:t>
      </w:r>
      <w:r w:rsidRPr="00DB5D0D">
        <w:rPr>
          <w:rFonts w:ascii="Times New Roman" w:hAnsi="Times New Roman"/>
          <w:color w:val="000000" w:themeColor="text1"/>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DB5D0D">
        <w:rPr>
          <w:rFonts w:ascii="Times New Roman" w:hAnsi="Times New Roman"/>
          <w:color w:val="000000" w:themeColor="text1"/>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DB5D0D">
        <w:rPr>
          <w:rFonts w:ascii="Times New Roman" w:hAnsi="Times New Roman"/>
          <w:color w:val="000000" w:themeColor="text1"/>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DB5D0D">
        <w:rPr>
          <w:rFonts w:ascii="Times New Roman" w:hAnsi="Times New Roman"/>
          <w:color w:val="000000" w:themeColor="text1"/>
          <w:sz w:val="16"/>
          <w:szCs w:val="16"/>
        </w:rPr>
        <w:softHyphen/>
        <w:t>неральный штаб, контролировали выполнение мероприятий по реорга</w:t>
      </w:r>
      <w:r w:rsidRPr="00DB5D0D">
        <w:rPr>
          <w:rFonts w:ascii="Times New Roman" w:hAnsi="Times New Roman"/>
          <w:color w:val="000000" w:themeColor="text1"/>
          <w:sz w:val="16"/>
          <w:szCs w:val="16"/>
        </w:rPr>
        <w:softHyphen/>
        <w:t>низации и перевооружению ВВС, инспектировали авиационные части. В связи с тем, что в 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w:t>
      </w:r>
      <w:r w:rsidRPr="00DB5D0D">
        <w:rPr>
          <w:rFonts w:ascii="Times New Roman" w:hAnsi="Times New Roman"/>
          <w:color w:val="000000" w:themeColor="text1"/>
          <w:sz w:val="16"/>
          <w:szCs w:val="16"/>
          <w:lang w:val="en-US"/>
        </w:rPr>
        <w:t>. 24-25.) (11710,332).</w:t>
      </w:r>
    </w:p>
    <w:p w14:paraId="2528BF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lang w:val="en-US"/>
        </w:rPr>
      </w:pPr>
    </w:p>
    <w:p w14:paraId="2734E534" w14:textId="77777777" w:rsidR="00A25AD1"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Внешняя</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политика</w:t>
      </w:r>
      <w:r w:rsidRPr="00DB5D0D">
        <w:rPr>
          <w:rFonts w:ascii="Times New Roman" w:hAnsi="Times New Roman"/>
          <w:i/>
          <w:iCs/>
          <w:color w:val="000000" w:themeColor="text1"/>
          <w:sz w:val="16"/>
          <w:szCs w:val="16"/>
          <w:lang w:val="en-US"/>
        </w:rPr>
        <w:t>:</w:t>
      </w:r>
    </w:p>
    <w:p w14:paraId="3349D32F" w14:textId="77777777" w:rsidR="00A25AD1" w:rsidRPr="00DB5D0D" w:rsidRDefault="00A25AD1" w:rsidP="00DB5D0D">
      <w:pPr>
        <w:spacing w:after="0" w:line="240" w:lineRule="auto"/>
        <w:jc w:val="both"/>
        <w:rPr>
          <w:rFonts w:ascii="Times New Roman" w:hAnsi="Times New Roman"/>
          <w:iCs/>
          <w:color w:val="000000" w:themeColor="text1"/>
          <w:sz w:val="16"/>
          <w:szCs w:val="16"/>
          <w:lang w:val="en-US"/>
        </w:rPr>
      </w:pPr>
    </w:p>
    <w:p w14:paraId="32377D0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21 1940 Communists arrange rallies and demonstrations in larger settlements of Estonia to demand that the Government step down. In Tallinn the demonstration gets out of control and grows into an armed action. With the support of the Red Army, Toompea Castle is ceized; police stations are taken over; Estonian military units are disarmed; political prisoners are freed. A new Government is announced on the radio in the evening: Andrei Zhdanov has appointed the poet Johannes Vares Prime Minister and predominantly leftwing intellectuals and labour movement functionaries as ministers (1224).</w:t>
      </w:r>
    </w:p>
    <w:p w14:paraId="15C35B6B"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0296D9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коммунисты организовали беспорядки и демонстрации в основных населенных пунктах Эстонии с требованием отставки правительства. В Таллинне демонстрация вышла из под контроля и переросла в вооруженные действия. При поддержке КА был захвачен замок Тоомпеа, были взяты полицейские участки, эстонские воинские части были разоружены, а политические заключенные - выпущены. Новое правительство объявило вечером по радио, что А.Жданов назначил Президентом Йоханнеса Вареса, поэта, а интеллектуалов левой ориентации и функционеров рабочего движения - министрами (1224).</w:t>
      </w:r>
    </w:p>
    <w:p w14:paraId="701D6ED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431444F" w14:textId="77777777" w:rsidR="00276DCC" w:rsidRPr="00DB5D0D" w:rsidRDefault="00276DCC"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21 июня</w:t>
      </w:r>
      <w:r w:rsidRPr="00DB5D0D">
        <w:rPr>
          <w:rFonts w:ascii="Times New Roman" w:hAnsi="Times New Roman"/>
          <w:color w:val="000000" w:themeColor="text1"/>
          <w:sz w:val="16"/>
          <w:szCs w:val="16"/>
        </w:rPr>
        <w:t xml:space="preserve"> в 1940 году создание советского правительства в Эстонии во главе с И.Варесом (14929).</w:t>
      </w:r>
    </w:p>
    <w:p w14:paraId="61166955" w14:textId="77777777" w:rsidR="00276DCC" w:rsidRPr="00DB5D0D" w:rsidRDefault="00276DCC" w:rsidP="00DB5D0D">
      <w:pPr>
        <w:spacing w:after="0" w:line="240" w:lineRule="auto"/>
        <w:jc w:val="both"/>
        <w:rPr>
          <w:rFonts w:ascii="Times New Roman" w:hAnsi="Times New Roman"/>
          <w:color w:val="000000" w:themeColor="text1"/>
          <w:sz w:val="16"/>
          <w:szCs w:val="16"/>
        </w:rPr>
      </w:pPr>
    </w:p>
    <w:p w14:paraId="33D3CB87"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F33D83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B82F3ED" w14:textId="77777777" w:rsidR="003544E2" w:rsidRPr="00DB5D0D" w:rsidRDefault="003544E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21 июня 1940 - Шесть бипланов-торпедоносцев Swordfish воздушного флота из эскадрилий № 821 и № 823, базирующихся на Королевской военно-морской базе Хатстон, пытаются атаковать Шарнхорст, идущий из Тронхеймс-фьорда, Норвегия, в Киль , Германия. Они не получают попаданий, и две меч-рыбы сбиты (20795).</w:t>
      </w:r>
    </w:p>
    <w:p w14:paraId="09D49821" w14:textId="77777777" w:rsidR="003544E2" w:rsidRPr="00DB5D0D" w:rsidRDefault="003544E2" w:rsidP="00DB5D0D">
      <w:pPr>
        <w:spacing w:after="0" w:line="240" w:lineRule="auto"/>
        <w:jc w:val="both"/>
        <w:rPr>
          <w:rFonts w:ascii="Times New Roman" w:hAnsi="Times New Roman"/>
          <w:color w:val="0070C0"/>
          <w:sz w:val="16"/>
          <w:szCs w:val="16"/>
        </w:rPr>
      </w:pPr>
    </w:p>
    <w:p w14:paraId="62FB0F4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итальянская армия вторглась в Южную Францию (4962).</w:t>
      </w:r>
    </w:p>
    <w:p w14:paraId="5485C0F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A491AC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22 июня 1940 в Компьене Франция подписала капитуляцию (в том самом вагоне, в котором в 1918 году подписывала капитуляцию Германия</w:t>
      </w:r>
      <w:r w:rsidRPr="00DB5D0D">
        <w:rPr>
          <w:rFonts w:ascii="Times New Roman" w:hAnsi="Times New Roman"/>
          <w:color w:val="000000" w:themeColor="text1"/>
          <w:sz w:val="16"/>
          <w:szCs w:val="16"/>
          <w:lang w:val="en-US"/>
        </w:rPr>
        <w:t>) (4962).</w:t>
      </w:r>
    </w:p>
    <w:p w14:paraId="5195039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lang w:val="en-US"/>
        </w:rPr>
      </w:pPr>
    </w:p>
    <w:p w14:paraId="5CB83DC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21st, 1940: Franco-German armistice negotiations begin at Compiegne in the same railroad car of Marshal Foch where the German delegates received the Allied armistice terms in November, 1918. Hitler issues a proclamation announcing the end of the war in the West, and orders flags to be flown throughout Germany for ten days (3819).</w:t>
      </w:r>
    </w:p>
    <w:p w14:paraId="2327E24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4C207A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в Компьене начались франко-германские переговоры о перемирии в том же самом вагоне м Фоша, в котором было подписано перемирие в ноябре 1918. А.Г. выпустил заявление об окончании войны на Западе и приказал приспустить флаги по всей Германии на 10 дней (3819).</w:t>
      </w:r>
    </w:p>
    <w:p w14:paraId="1507C5D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3D4D9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Уинстон Черчилль приказал создать первые английские десантные части по примеру немецких (4962).</w:t>
      </w:r>
    </w:p>
    <w:p w14:paraId="58D6E2E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6CB056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59BA35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ED77A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 А.И.Шахурин писал письмо N 1584сс Л.П.Берия:</w:t>
      </w:r>
    </w:p>
    <w:p w14:paraId="5B95D8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решением Правительства о постановке производства самолета ПБ-100 по линии ОТБ НКВД необходимо следующее:</w:t>
      </w:r>
    </w:p>
    <w:p w14:paraId="1EA3A2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закончить разработку чертежей воздушных тормозов и управления ими к самолету 100 по типу Ю-88, с передачей чертежей заводу N 39 и заводу N 22 к 15 июля 1940 года;</w:t>
      </w:r>
    </w:p>
    <w:p w14:paraId="068BB9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закончить разработку чертежей аппаратуры автоматического вывода самолета "100" из пикирования по типу Ю-88, с передачей чертежей заводу N 39 и заводу N 22 к 15 июля 1940 года;</w:t>
      </w:r>
    </w:p>
    <w:p w14:paraId="39606C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Выделить группу ведущих конструкторов в количестве 30 человек для передачи технических материалов и участия при внедрении на заводе N 39 самолета "100";</w:t>
      </w:r>
    </w:p>
    <w:p w14:paraId="433A23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выделить специальную группу ведущих конструкторов в количестве 5 человек для инструктажа при изготовлении и монтаже воздушных тормозов и аппаратуры автоматического вывода, а также для участия в отработке их на самолете, начиная с первого экземпляра;</w:t>
      </w:r>
    </w:p>
    <w:p w14:paraId="2872AB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закончить разработку чертежей на фюзеляж под пикирующий вариант машины с передачей их заводу N 39 и заводу N 22 к 15 июля 1940 года.</w:t>
      </w:r>
    </w:p>
    <w:p w14:paraId="5228EC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обеспечить к 1 августа 1940 года передачу заводам NN 39 и 22 по 8 комплектов синек и заводу N 39 одного полного комплекта калек по самолету "100" с учетом всех изменений, связанных с переходом самолета "100" на вариант пикирующего бомбардировщика (1293,58).</w:t>
      </w:r>
    </w:p>
    <w:p w14:paraId="0713C51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7BA4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Протокол № 17. Решения ПБ за 27 мая - 23 нюня 1940 г.</w:t>
      </w:r>
    </w:p>
    <w:p w14:paraId="4E5215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29.5.40 г.</w:t>
      </w:r>
    </w:p>
    <w:p w14:paraId="3E078E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28. Вопрос КО. О производстве самолетов и бомбардировщиков*.</w:t>
      </w:r>
    </w:p>
    <w:p w14:paraId="42E15E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04. 6. 40 г.</w:t>
      </w:r>
    </w:p>
    <w:p w14:paraId="5AE847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95. Вопрос КО. О ближнем бомбардировщике*.</w:t>
      </w:r>
    </w:p>
    <w:p w14:paraId="1C0B42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100. Вопрос КО. О проектировании и изготовлении опытных образцов танков*.</w:t>
      </w:r>
    </w:p>
    <w:p w14:paraId="76FA7C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106. Об экранировании машин Т-28 (постановление СНК СССР и ЦК ВКП (б))*.</w:t>
      </w:r>
    </w:p>
    <w:p w14:paraId="028CEA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107. О производстве танков Т-34 в 1940 г. (постановление СНК СССР и ЦК ВКП (б)*.</w:t>
      </w:r>
    </w:p>
    <w:p w14:paraId="731ACB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108. О производстве танков KB (постановление СНК СССР и ЦК ВКП (б)*.</w:t>
      </w:r>
    </w:p>
    <w:p w14:paraId="6609FF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125. Вопрос КО. Об организации производства пистолетов-пулеметов «ППД»*.</w:t>
      </w:r>
    </w:p>
    <w:p w14:paraId="289106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175. О тракторах и грузовиках для НКО.</w:t>
      </w:r>
    </w:p>
    <w:p w14:paraId="5EB8D9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15.6.40 г.</w:t>
      </w:r>
    </w:p>
    <w:p w14:paraId="746CDF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184. Вопросы КО. О постройке новых авиационных моторов*.</w:t>
      </w:r>
    </w:p>
    <w:p w14:paraId="0FB7FE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19.6.40 г.</w:t>
      </w:r>
    </w:p>
    <w:p w14:paraId="20BAB3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197. Об организации производства танков типа «KB» на Челябинском тракторном заводе</w:t>
      </w:r>
    </w:p>
    <w:p w14:paraId="35879EB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 Сталина (постановление СНК СССР и ЦК ВКП (б))*.</w:t>
      </w:r>
    </w:p>
    <w:p w14:paraId="2EE183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198. Об обеспечении производства танков «KB» на Челябинском тракторном заводе бронекорпусами и башнями (постановление СНК СССР и ЦК ВКП (б)).</w:t>
      </w:r>
    </w:p>
    <w:p w14:paraId="1C6DE4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22.6.40 г.</w:t>
      </w:r>
    </w:p>
    <w:p w14:paraId="3EEFDD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228. О внедрении в серийное производство «100» в варианте пикирующего бомбардировщика*.</w:t>
      </w:r>
    </w:p>
    <w:p w14:paraId="13208E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245. Вопрос НКО. О принятии пушек от фирмы «Шкода» (11773).</w:t>
      </w:r>
    </w:p>
    <w:p w14:paraId="63011B2F" w14:textId="77777777" w:rsidR="00A25AD1" w:rsidRPr="00DB5D0D" w:rsidRDefault="00A25AD1" w:rsidP="00DB5D0D">
      <w:pPr>
        <w:shd w:val="clear" w:color="auto" w:fill="FFFFFF"/>
        <w:spacing w:after="0" w:line="240" w:lineRule="auto"/>
        <w:jc w:val="both"/>
        <w:rPr>
          <w:rFonts w:ascii="Times New Roman" w:hAnsi="Times New Roman"/>
          <w:bCs/>
          <w:color w:val="000000" w:themeColor="text1"/>
          <w:sz w:val="16"/>
          <w:szCs w:val="16"/>
        </w:rPr>
      </w:pPr>
    </w:p>
    <w:p w14:paraId="6138833B" w14:textId="77777777" w:rsidR="00DA71FA" w:rsidRPr="00DB5D0D" w:rsidRDefault="00DA71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 июня 1940 г. глава НКАП Шахурин направил Берии письмо № 1584сс, в котором изложил предстоящие объемы работ по пикирующему бомбардировщику ПБ-100 — успеть запустить документацию в производство и обеспечить ее конструкторское сопровождение было возможно только непосредственно на предприятии, где самолет будет строиться. А поскольку на выбранных для этого московских заводах № 22 и 39 спецрежима не существовало, конструкторов надо было освобождать.</w:t>
      </w:r>
    </w:p>
    <w:p w14:paraId="500F63C5" w14:textId="77777777" w:rsidR="00DA71FA" w:rsidRPr="00DB5D0D" w:rsidRDefault="00DA71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тот же день (вот так работала советская бюрократия!) вышли Постановление Комитета обороны при Совнаркоме (правительстве) СССР №275сс и совместный приказ НКВД и НКАП № 00757/306сс, которые обязывали Главного конструктора Опытного конструкторского отдела завода № 22 В. М. Петлякова спроектировать пикирующий бомбардировщик ПБ-100 на базе многоцелевого высотного истребителя ВИ-100 («100») (22819).</w:t>
      </w:r>
    </w:p>
    <w:p w14:paraId="797367A3" w14:textId="77777777" w:rsidR="00DA71FA" w:rsidRPr="00DB5D0D" w:rsidRDefault="00DA71FA" w:rsidP="00DB5D0D">
      <w:pPr>
        <w:spacing w:after="0" w:line="240" w:lineRule="auto"/>
        <w:jc w:val="both"/>
        <w:rPr>
          <w:rFonts w:ascii="Times New Roman" w:hAnsi="Times New Roman"/>
          <w:color w:val="0070C0"/>
          <w:sz w:val="16"/>
          <w:szCs w:val="16"/>
        </w:rPr>
      </w:pPr>
    </w:p>
    <w:p w14:paraId="3C7CBE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вышел совместный приказ НКВД и НКАП N 00757/306сс. По признаку "Для обеспечения серийного производства самолета "100" в варианте пикирующего бомбардировщика ПРИКАЗЫВАЮ: (406,13).</w:t>
      </w:r>
    </w:p>
    <w:p w14:paraId="18AFB6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Начальнику отдела 29 завода 156 тов. Кутепову (ОТБ) (НКВД):</w:t>
      </w:r>
    </w:p>
    <w:p w14:paraId="28098B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Закончить разработку чертежей воздушных тормозов и управлений ими к самолету ПБ-100 по типу Ю-88, с передачей чертежей зав. 39 и 22 к 15 июня с.г...." (406,13).</w:t>
      </w:r>
    </w:p>
    <w:p w14:paraId="1142FC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Где-то рядом был приказ N 306 НКАП (1160).</w:t>
      </w:r>
    </w:p>
    <w:p w14:paraId="51E053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приказ НКАП имел номер N 1005/306 (1077,12).</w:t>
      </w:r>
    </w:p>
    <w:p w14:paraId="25E642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третьим данным этот приказ был от 26 июня 1940</w:t>
      </w:r>
    </w:p>
    <w:p w14:paraId="0D8190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серийного производства самолета "100" в варианте пикирующего бомбардировщика, - П Р И К А 3 Ы В А Е М:</w:t>
      </w:r>
    </w:p>
    <w:p w14:paraId="3E9117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Начальнику отдела 29 завода 156 тов. КУТЕПОВУ (ОТБ НКВД):</w:t>
      </w:r>
    </w:p>
    <w:p w14:paraId="5F3D83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.Закончить разработку чертежей воздушных тормозов и управлений ими к самолету ПБ-100 по типу Ю-88, с передачей чертежей зав. 39 и 22 к 15 июля с.г.</w:t>
      </w:r>
    </w:p>
    <w:p w14:paraId="55E1EE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Закончить проработку чертежей аппаратуры автомати</w:t>
      </w:r>
      <w:r w:rsidRPr="00DB5D0D">
        <w:rPr>
          <w:rFonts w:ascii="Times New Roman" w:hAnsi="Times New Roman"/>
          <w:color w:val="000000" w:themeColor="text1"/>
          <w:sz w:val="16"/>
          <w:szCs w:val="16"/>
        </w:rPr>
        <w:softHyphen/>
        <w:t>ческого вывода самолета БП-100 из пикирования по типу Ю-88, с передачей чертежей зав. 39 и 22 к,15 июля с.г.</w:t>
      </w:r>
    </w:p>
    <w:p w14:paraId="57959D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Закончить разработку чертежей на фюзеляж под пики</w:t>
      </w:r>
      <w:r w:rsidRPr="00DB5D0D">
        <w:rPr>
          <w:rFonts w:ascii="Times New Roman" w:hAnsi="Times New Roman"/>
          <w:color w:val="000000" w:themeColor="text1"/>
          <w:sz w:val="16"/>
          <w:szCs w:val="16"/>
        </w:rPr>
        <w:softHyphen/>
        <w:t>рующий вариант самолета с передачей их зав. 39 и 22 к 15 июля 1940</w:t>
      </w:r>
    </w:p>
    <w:p w14:paraId="21CFE1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Обеспечить передачу зав. 39 и 22 по 8-ми комплектов синек и заводу 39 одного полного комплекта калек по самолету ПБ-100 с учетом всех изменений, связанных с переходом само</w:t>
      </w:r>
      <w:r w:rsidRPr="00DB5D0D">
        <w:rPr>
          <w:rFonts w:ascii="Times New Roman" w:hAnsi="Times New Roman"/>
          <w:color w:val="000000" w:themeColor="text1"/>
          <w:sz w:val="16"/>
          <w:szCs w:val="16"/>
        </w:rPr>
        <w:softHyphen/>
        <w:t>лета "100" .на вариант пикирующего.бомбардировщка к 1 августа с.г....(406,13).</w:t>
      </w:r>
    </w:p>
    <w:p w14:paraId="3EFE4C9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CC52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вышло постановление Правительства N 275 о подготовке производства и запуске в серию ПБ-100 (1213).</w:t>
      </w:r>
    </w:p>
    <w:p w14:paraId="05984E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этот приказ вышел 23 июня</w:t>
      </w:r>
    </w:p>
    <w:p w14:paraId="3EFA5E3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FD6B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формально закончились совместные испытания ДБ-ЛК Беляева, которые начались 10 октября 1939 и потом из-за поломки был ремонт (2090,232).</w:t>
      </w:r>
    </w:p>
    <w:p w14:paraId="061004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решении комиссии по испытаниям ДБ-ЛК и было отмечено, что машина не могла проходить испытания с максимальной нагрузкой из-за предельно задней центровки, малой прочности шасси, высокой посадочной скорости, больших длин разбега и пробега:</w:t>
      </w:r>
    </w:p>
    <w:p w14:paraId="2F7E08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"...Вместе с тем, схема ДБ-ЛК представляет исключительный интерес для ВВС.</w:t>
      </w:r>
    </w:p>
    <w:p w14:paraId="110C4C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довести ДБ-ЛК в части улучшения взлетно-посадочных свойств, стрелкового вооружения и предъявить самолет к повторным испытаниям к 15 октября 1940." (3075,8).</w:t>
      </w:r>
    </w:p>
    <w:p w14:paraId="1FD39C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43592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в ходе заводских испытаний И-200 А.И.М, которые проходили с 31 марта по 17 августа 1940, на И-200-3 состоялся полет в Ногинск и обратно. Потом до 23 июля машину ремонтировали (2988).</w:t>
      </w:r>
    </w:p>
    <w:p w14:paraId="663FCFD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146B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в ходе гос. испытаний И-301 М-105 П, которые проводились в НИИ ВВС с 14 по 27 июня 1940 л Супруном и П.М.Стефановским были полеты: на скороподъемность после устранения утечки воздуха из всасывающего патрубка и вынужденная посадка из-за течи в шланге уборки шасси. Шасси в полете непроизвольно встали на замки в выпущенном положении; полет на расход горючего и вынужденная посадка из-за срыва нижнего щитка шасси. Шасси после взлета не убралось. Чинили (2922).</w:t>
      </w:r>
    </w:p>
    <w:p w14:paraId="5F78805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E1A1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22 июня 1940 г. согласно распоряжения Начальника Главного Управления ГВФ Героя Совет</w:t>
      </w:r>
      <w:r w:rsidRPr="00DB5D0D">
        <w:rPr>
          <w:rFonts w:ascii="Times New Roman" w:hAnsi="Times New Roman"/>
          <w:color w:val="000000" w:themeColor="text1"/>
          <w:sz w:val="16"/>
          <w:szCs w:val="16"/>
        </w:rPr>
        <w:softHyphen/>
        <w:t>ского Союза В.С.Молокова самолеты типа ПС-35 допускались к эксплуатации на гражданских воздуш</w:t>
      </w:r>
      <w:r w:rsidRPr="00DB5D0D">
        <w:rPr>
          <w:rFonts w:ascii="Times New Roman" w:hAnsi="Times New Roman"/>
          <w:color w:val="000000" w:themeColor="text1"/>
          <w:sz w:val="16"/>
          <w:szCs w:val="16"/>
        </w:rPr>
        <w:softHyphen/>
        <w:t>ных линиях. Короткое время спустя все 7 машин выпуска 1939-40 гг. поступили в Украинское Управление ГВФ. Ниже приводятся их бортовые номе</w:t>
      </w:r>
      <w:r w:rsidRPr="00DB5D0D">
        <w:rPr>
          <w:rFonts w:ascii="Times New Roman" w:hAnsi="Times New Roman"/>
          <w:color w:val="000000" w:themeColor="text1"/>
          <w:sz w:val="16"/>
          <w:szCs w:val="16"/>
        </w:rPr>
        <w:softHyphen/>
        <w:t>ра и дата регистрации в Аэрофлоте:</w:t>
      </w:r>
    </w:p>
    <w:p w14:paraId="6706B8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ПС-35 СССР-Л2487 (зав. №6) за</w:t>
      </w:r>
      <w:r w:rsidRPr="00DB5D0D">
        <w:rPr>
          <w:rFonts w:ascii="Times New Roman" w:hAnsi="Times New Roman"/>
          <w:color w:val="000000" w:themeColor="text1"/>
          <w:sz w:val="16"/>
          <w:szCs w:val="16"/>
        </w:rPr>
        <w:softHyphen/>
        <w:t>регистрирован 17.11.39 г.</w:t>
      </w:r>
    </w:p>
    <w:p w14:paraId="07E8EA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ПС-35 СССР-Л2484 (зав. №3/0) зарегистрирован 28.06.40 г.</w:t>
      </w:r>
    </w:p>
    <w:p w14:paraId="0D891A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ПС-35 СССР-Л2485 (зав. №4/0) зарегистрирован 28.06.40 г.</w:t>
      </w:r>
    </w:p>
    <w:p w14:paraId="5FBE244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ПС-35 СССР-Л2483 (зав. №2/0) зарегистрирован 03.08.40 г.</w:t>
      </w:r>
    </w:p>
    <w:p w14:paraId="1C81F8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ПС-35 СССР-Л2489 (зав. №8/0) зарегистрирован 03.08.40 г.</w:t>
      </w:r>
    </w:p>
    <w:p w14:paraId="4117EE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ПС-35 СССР-Л2488 (зав. №7/0) зарегистрирован 17.08.40 г.</w:t>
      </w:r>
    </w:p>
    <w:p w14:paraId="4E25F5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ПС-35 СССР-Л2428 (зав. № 1) за</w:t>
      </w:r>
      <w:r w:rsidRPr="00DB5D0D">
        <w:rPr>
          <w:rFonts w:ascii="Times New Roman" w:hAnsi="Times New Roman"/>
          <w:color w:val="000000" w:themeColor="text1"/>
          <w:sz w:val="16"/>
          <w:szCs w:val="16"/>
        </w:rPr>
        <w:softHyphen/>
        <w:t>регистрирован 10.12.40 г. (10698).</w:t>
      </w:r>
    </w:p>
    <w:p w14:paraId="2138B4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F2B15BC" w14:textId="77777777" w:rsidR="00415C9A" w:rsidRPr="00DB5D0D" w:rsidRDefault="00415C9A" w:rsidP="00DB5D0D">
      <w:pPr>
        <w:pStyle w:val="27"/>
        <w:shd w:val="clear" w:color="auto" w:fill="auto"/>
        <w:spacing w:after="0" w:line="240" w:lineRule="auto"/>
        <w:ind w:firstLine="0"/>
        <w:rPr>
          <w:rFonts w:ascii="Times New Roman" w:cs="Times New Roman"/>
          <w:color w:val="0070C0"/>
          <w:spacing w:val="0"/>
        </w:rPr>
      </w:pPr>
      <w:r w:rsidRPr="00DB5D0D">
        <w:rPr>
          <w:rFonts w:ascii="Times New Roman" w:cs="Times New Roman"/>
          <w:color w:val="0070C0"/>
          <w:spacing w:val="0"/>
        </w:rPr>
        <w:t>С 22 июня 1940 г., согласно распоряжению на</w:t>
      </w:r>
      <w:r w:rsidRPr="00DB5D0D">
        <w:rPr>
          <w:rFonts w:ascii="Times New Roman" w:cs="Times New Roman"/>
          <w:color w:val="0070C0"/>
          <w:spacing w:val="0"/>
        </w:rPr>
        <w:softHyphen/>
        <w:t xml:space="preserve">чальника ГУ ГВФ </w:t>
      </w:r>
      <w:r w:rsidRPr="00DB5D0D">
        <w:rPr>
          <w:rFonts w:ascii="Times New Roman" w:cs="Times New Roman"/>
          <w:color w:val="0070C0"/>
          <w:spacing w:val="0"/>
          <w:lang w:val="en-US"/>
        </w:rPr>
        <w:t>B</w:t>
      </w:r>
      <w:r w:rsidRPr="00DB5D0D">
        <w:rPr>
          <w:rFonts w:ascii="Times New Roman" w:cs="Times New Roman"/>
          <w:color w:val="0070C0"/>
          <w:spacing w:val="0"/>
        </w:rPr>
        <w:t>.</w:t>
      </w:r>
      <w:r w:rsidRPr="00DB5D0D">
        <w:rPr>
          <w:rFonts w:ascii="Times New Roman" w:cs="Times New Roman"/>
          <w:color w:val="0070C0"/>
          <w:spacing w:val="0"/>
          <w:lang w:val="en-US"/>
        </w:rPr>
        <w:t>C</w:t>
      </w:r>
      <w:r w:rsidRPr="00DB5D0D">
        <w:rPr>
          <w:rFonts w:ascii="Times New Roman" w:cs="Times New Roman"/>
          <w:color w:val="0070C0"/>
          <w:spacing w:val="0"/>
        </w:rPr>
        <w:t>. Молокова, ПС-35 допу</w:t>
      </w:r>
      <w:r w:rsidRPr="00DB5D0D">
        <w:rPr>
          <w:rFonts w:ascii="Times New Roman" w:cs="Times New Roman"/>
          <w:color w:val="0070C0"/>
          <w:spacing w:val="0"/>
        </w:rPr>
        <w:softHyphen/>
        <w:t>скались к эксплуатации на воз</w:t>
      </w:r>
      <w:r w:rsidRPr="00DB5D0D">
        <w:rPr>
          <w:rFonts w:ascii="Times New Roman" w:cs="Times New Roman"/>
          <w:color w:val="0070C0"/>
          <w:spacing w:val="0"/>
        </w:rPr>
        <w:softHyphen/>
        <w:t>душных линиях. Вскоре все 7 машин поступили для эксплуа</w:t>
      </w:r>
      <w:r w:rsidRPr="00DB5D0D">
        <w:rPr>
          <w:rFonts w:ascii="Times New Roman" w:cs="Times New Roman"/>
          <w:color w:val="0070C0"/>
          <w:spacing w:val="0"/>
        </w:rPr>
        <w:softHyphen/>
        <w:t>тации в Украинское управление ГВФ. Вплоть до июня 1941 г. они летали на линиях Киев-Москва и Киев-Одесса. Как правило, са</w:t>
      </w:r>
      <w:r w:rsidRPr="00DB5D0D">
        <w:rPr>
          <w:rFonts w:ascii="Times New Roman" w:cs="Times New Roman"/>
          <w:color w:val="0070C0"/>
          <w:spacing w:val="0"/>
        </w:rPr>
        <w:softHyphen/>
        <w:t>молетом управлял экипаж из двух пилотов. Бортмеханик не был предусмотрен, однако в случае необходимости он зани</w:t>
      </w:r>
      <w:r w:rsidRPr="00DB5D0D">
        <w:rPr>
          <w:rFonts w:ascii="Times New Roman" w:cs="Times New Roman"/>
          <w:color w:val="0070C0"/>
          <w:spacing w:val="0"/>
        </w:rPr>
        <w:softHyphen/>
        <w:t>мал одно из мест в пассажирском салоне. Что касается стюардессы, то согласно распространенной легенде впервые она в отечественной авиации появилась имен</w:t>
      </w:r>
      <w:r w:rsidRPr="00DB5D0D">
        <w:rPr>
          <w:rFonts w:ascii="Times New Roman" w:cs="Times New Roman"/>
          <w:color w:val="0070C0"/>
          <w:spacing w:val="0"/>
        </w:rPr>
        <w:softHyphen/>
        <w:t>но на ПС-35. Оформлена, впрочем, эта дама была на должность кладовщицы.</w:t>
      </w:r>
    </w:p>
    <w:p w14:paraId="62EDC4BB" w14:textId="77777777" w:rsidR="00415C9A" w:rsidRPr="00DB5D0D" w:rsidRDefault="00415C9A" w:rsidP="00DB5D0D">
      <w:pPr>
        <w:pStyle w:val="27"/>
        <w:shd w:val="clear" w:color="auto" w:fill="auto"/>
        <w:spacing w:after="0" w:line="240" w:lineRule="auto"/>
        <w:ind w:firstLine="0"/>
        <w:rPr>
          <w:rFonts w:ascii="Times New Roman" w:cs="Times New Roman"/>
          <w:color w:val="0070C0"/>
          <w:spacing w:val="0"/>
        </w:rPr>
      </w:pPr>
      <w:r w:rsidRPr="00DB5D0D">
        <w:rPr>
          <w:rFonts w:ascii="Times New Roman" w:cs="Times New Roman"/>
          <w:color w:val="0070C0"/>
          <w:spacing w:val="0"/>
        </w:rPr>
        <w:t>В ходе эксплуатации ПС-35 выясни</w:t>
      </w:r>
      <w:r w:rsidRPr="00DB5D0D">
        <w:rPr>
          <w:rFonts w:ascii="Times New Roman" w:cs="Times New Roman"/>
          <w:color w:val="0070C0"/>
          <w:spacing w:val="0"/>
        </w:rPr>
        <w:softHyphen/>
        <w:t>лось, что при существующем капотирова</w:t>
      </w:r>
      <w:r w:rsidRPr="00DB5D0D">
        <w:rPr>
          <w:rFonts w:ascii="Times New Roman" w:cs="Times New Roman"/>
          <w:color w:val="0070C0"/>
          <w:spacing w:val="0"/>
        </w:rPr>
        <w:softHyphen/>
        <w:t>нии двигателей в зимнее время они быстро охлаждаются. Так, 12 января 1941 г. борт СССР-Л2489 из состава 16-го летного от</w:t>
      </w:r>
      <w:r w:rsidRPr="00DB5D0D">
        <w:rPr>
          <w:rFonts w:ascii="Times New Roman" w:cs="Times New Roman"/>
          <w:color w:val="0070C0"/>
          <w:spacing w:val="0"/>
        </w:rPr>
        <w:softHyphen/>
        <w:t>ряда следовал по маршруту Киев-Одесса. При подходе к одесскому аэродрому ко</w:t>
      </w:r>
      <w:r w:rsidRPr="00DB5D0D">
        <w:rPr>
          <w:rFonts w:ascii="Times New Roman" w:cs="Times New Roman"/>
          <w:color w:val="0070C0"/>
          <w:spacing w:val="0"/>
        </w:rPr>
        <w:softHyphen/>
        <w:t>мандир корабля Сопин выполнил длитель</w:t>
      </w:r>
      <w:r w:rsidRPr="00DB5D0D">
        <w:rPr>
          <w:rFonts w:ascii="Times New Roman" w:cs="Times New Roman"/>
          <w:color w:val="0070C0"/>
          <w:spacing w:val="0"/>
        </w:rPr>
        <w:softHyphen/>
        <w:t>ное планирование с убранным газом. В ре</w:t>
      </w:r>
      <w:r w:rsidRPr="00DB5D0D">
        <w:rPr>
          <w:rFonts w:ascii="Times New Roman" w:cs="Times New Roman"/>
          <w:color w:val="0070C0"/>
          <w:spacing w:val="0"/>
        </w:rPr>
        <w:softHyphen/>
        <w:t>зультате двигатели переохладились и за</w:t>
      </w:r>
      <w:r w:rsidRPr="00DB5D0D">
        <w:rPr>
          <w:rFonts w:ascii="Times New Roman" w:cs="Times New Roman"/>
          <w:color w:val="0070C0"/>
          <w:spacing w:val="0"/>
        </w:rPr>
        <w:softHyphen/>
        <w:t>глохли, самолет совершил вынужденную посадку, недолетев до ВПП 300 м (19855).</w:t>
      </w:r>
    </w:p>
    <w:p w14:paraId="56A12874" w14:textId="77777777" w:rsidR="00415C9A" w:rsidRPr="00DB5D0D" w:rsidRDefault="00415C9A" w:rsidP="00DB5D0D">
      <w:pPr>
        <w:pStyle w:val="27"/>
        <w:shd w:val="clear" w:color="auto" w:fill="auto"/>
        <w:spacing w:after="0" w:line="240" w:lineRule="auto"/>
        <w:ind w:firstLine="0"/>
        <w:rPr>
          <w:rFonts w:ascii="Times New Roman" w:cs="Times New Roman"/>
          <w:color w:val="0070C0"/>
          <w:spacing w:val="0"/>
        </w:rPr>
      </w:pPr>
    </w:p>
    <w:p w14:paraId="176996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 зам. председателя КО Н. Вознесенский писал письмо в НКО Тимошенко С.К., НКАП Шахурину А.И., НКВ Ванникову Б.Л.</w:t>
      </w:r>
    </w:p>
    <w:p w14:paraId="48CE3C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скорейшего изготовления 37 мм мотор-пушки и приспособления ее под имеющиеся самолеты, КО предлагает:</w:t>
      </w:r>
    </w:p>
    <w:p w14:paraId="2AFAE49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 Ванникову Б.Л. (ОКБ-15) заключить договор с НКО (ГУАС КА) на изготовление 37 мм мотор-пушки, со сроком предъявления ее на госиспытания не позднее 1 марта 1941 года.</w:t>
      </w:r>
    </w:p>
    <w:p w14:paraId="76200E4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 Тимошенко С.К. предусмотреть в плане опытных работ на 1940 год ассигнования на изготовление 37 мм мотор-пушки и не позднее 1 апреля 1941 года провести госиспытания.</w:t>
      </w:r>
    </w:p>
    <w:p w14:paraId="46CFC38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Шахурину А.И. совместно с НКО и НКВ установить возможность установки 37 мм мотор-пушки на серийные и опытные самолеты и внести предложения в КО в десятидневный срок (3375,23).</w:t>
      </w:r>
    </w:p>
    <w:p w14:paraId="2B8E06D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02A826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 была подготовлена докладная записка Вознесенскому Н.А.</w:t>
      </w:r>
    </w:p>
    <w:p w14:paraId="07D77E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37 мм авиационной мотор-пушке</w:t>
      </w:r>
    </w:p>
    <w:p w14:paraId="711B64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письме на имя Молотова В.М. начальник ОКБ-15 Шпитальный докладывает о трудностях, которые он встречает при создании 37 мм авиационной мотор-пушки, а именно:</w:t>
      </w:r>
    </w:p>
    <w:p w14:paraId="42F1988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Представители ГУАСКА выступают против мотор-пушки 37 мм и не заключают договора с ОКБ-15 на изготовление опытного образца. Кроме того, ГУАСКА до сих пор не имеет тактико-технических требований на мотор-пушку 37 мм.</w:t>
      </w:r>
    </w:p>
    <w:p w14:paraId="4975486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ОКБ-15 встречает трудности в получении средств на постройку мотор-пушки.</w:t>
      </w:r>
    </w:p>
    <w:p w14:paraId="3366D3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Шпитальный просит о проверке указанных им фактов и обсуждении на КО вопроса о мотор-пушках 37 мм.</w:t>
      </w:r>
    </w:p>
    <w:p w14:paraId="0ACDF2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Молотовым В.М. дано указание: «помочь Шпитальному двинуть это дело».</w:t>
      </w:r>
    </w:p>
    <w:p w14:paraId="19EB7F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в 1939 году по договору с ГУАСКА ОКБ-15 Шпитального должно было изготовить опытный образец 37 мм авиационной пушки в варианте крыльевой и фюзеляжной. Договор Шпитальным не был выполнен, работы над пушкой продолжаются в 1940 году и в июле 1940 года пушка должна быть сдана на испытания.</w:t>
      </w:r>
    </w:p>
    <w:p w14:paraId="7A9487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37 мм авиационным пушкам ведутся также КБ Таубина.</w:t>
      </w:r>
    </w:p>
    <w:p w14:paraId="2F0E6B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вызовом представителей ОКБ-15 Шпитального и ГУАСКА Никонова (начальника 3 гл. управления ГУАСКА) установил, что между ОКБ-15 и ГУАСКА существуют нездоровые взаимоотношения. В частности, ГУАСКА утверждает, что Шпитальный не выполняет технические требования ГУАСКА на изготовляемый опытный образец 37 мм авиапушки, т.е. он делает образец 37 мм пушки только в варианте крыльевой и фюзеляжной, а на мотор-пушку требует новый договор и новые технические требования, тогда как пушка должна быть универсальной.</w:t>
      </w:r>
    </w:p>
    <w:p w14:paraId="574C21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совещания в секретариате КО ГУАСКА предъявило к ОКБ-15 новые технические требования на изготовление 37 мм мотор-пушки (в старых технических требованиях этого не было). Причем ГУАСКА намерено заключить второй договор на 37 мм мотор-пушку после рассмотрения технического проекта этой пушки, проектирование которой финансируется НКВ в сумме 50000 рублей и после выявления результатов испытаний, изготовляемой в настоящее время 37 мм авиапушки в варианте крыльевой и фюзеляжной.</w:t>
      </w:r>
    </w:p>
    <w:p w14:paraId="1EA272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Шпитальный принял технические требования ГУАСКА на изготовление 37 мм мотор-пушки и просит утвердить правительственным решением ее изготовление, а также и самолет под эту мотор-пушку.</w:t>
      </w:r>
    </w:p>
    <w:p w14:paraId="5907C6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считает необходимым:</w:t>
      </w:r>
    </w:p>
    <w:p w14:paraId="1A55C2E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НКВ Ванникова Б.Л. (ОКБ-15) заключить договор с НКО на изготовление 37 мм мотор-пушки с предъявлением ее на госиспытания не позднее 1 марта 1941 года.</w:t>
      </w:r>
    </w:p>
    <w:p w14:paraId="67232BE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 – Тимошенко С.К. предусмотреть в плане опытных работ 1940 года ассигнования на изготовление 37 мм мотор-пушки.</w:t>
      </w:r>
    </w:p>
    <w:p w14:paraId="4B580CC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 Шахурину А.И. совместно с НКО и НКВ установить возможность установки 37 мм мотор-пушки на серийные и опытные самолеты и внести предложения в КО в 10-ти дневный срок.</w:t>
      </w:r>
    </w:p>
    <w:p w14:paraId="0BEF93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подписать проект распоряжения (3375,22).</w:t>
      </w:r>
    </w:p>
    <w:p w14:paraId="00F4A1B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ED92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 на НИП АВ закончились полигонные испытания осколочных бомб АО-15 опытного суррогатного снаряжения 1939 года, завода № 12, которые проходили с 23 апреля 1940.</w:t>
      </w:r>
    </w:p>
    <w:p w14:paraId="0C170D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6B5AC7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4A4D8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определить:</w:t>
      </w:r>
    </w:p>
    <w:p w14:paraId="13205BE6"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w:t>
      </w:r>
    </w:p>
    <w:p w14:paraId="5B723037" w14:textId="77777777" w:rsidR="00A25AD1" w:rsidRPr="00DB5D0D" w:rsidRDefault="00A25AD1"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46B08785"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действия.</w:t>
      </w:r>
    </w:p>
    <w:p w14:paraId="7D4BD57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в полете.</w:t>
      </w:r>
    </w:p>
    <w:p w14:paraId="614993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EA0B1F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АО-15 снаряженные АМТ 80/20 НБК, ШНК., АМН 88/12 НБК и русским сплавом – заливкой 1939 года, завода № 12, по осколочному действию и дроблению корпуса бомбы взрывчатым веществом в сравнении со штатной бомбой дали неудовлетворительные результаты и полигонные испытания не выдержали.</w:t>
      </w:r>
    </w:p>
    <w:p w14:paraId="55D8318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бомбы АО-15 снаряженные русским сплавом – заливкой дали уменьшение осколочного действия в сравнении со штатной бомбой всего на 10-20%, то НИП АВ считает возможным допустить в военное время снаряжение бомб АО-15 русским сплавом (7554).</w:t>
      </w:r>
    </w:p>
    <w:p w14:paraId="61F148A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007E3B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 на НИП АВ закончились полигонные испытания осколочных бомб АО-20 опытного суррогатного снаряжения 1939 года, завода № 55, которые проходили с 7 мая 1940.</w:t>
      </w:r>
    </w:p>
    <w:p w14:paraId="05B743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629E0B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6420EF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Испытания имели целью определить:</w:t>
      </w:r>
    </w:p>
    <w:p w14:paraId="5EA2AD0C"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w:t>
      </w:r>
    </w:p>
    <w:p w14:paraId="21D588CB" w14:textId="77777777" w:rsidR="00A25AD1" w:rsidRPr="00DB5D0D" w:rsidRDefault="00A25AD1"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17ED88A6"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действия.</w:t>
      </w:r>
    </w:p>
    <w:p w14:paraId="0EA004E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на траектории.</w:t>
      </w:r>
    </w:p>
    <w:p w14:paraId="2BE9A9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E1A5B9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АО-20, снаряженные АМТ 80/20 и АМН 88/12 набивкой 1939 года завода № 55 по осколочному действию и дроблению корпуса бомбы ВВ в сравнении со штатной бомбой АО-20 дали неудовлетворительные результаты и полигонные испытания не выдержали (7553).</w:t>
      </w:r>
    </w:p>
    <w:p w14:paraId="14379F3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34E4F7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 на НИП АВ закончились полигонные испытания осколочных авиабомб АО-10 сталистого чугуна (литье) снаряженных ТНТ+ДНН 80/20 футлярным методом на горизонтальном шнекаппарате 1940 года, завода № 12, которые проходили с 9 июля 1940</w:t>
      </w:r>
    </w:p>
    <w:p w14:paraId="4F0ACF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6CD0B1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D3AF5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имело целью определить:</w:t>
      </w:r>
    </w:p>
    <w:p w14:paraId="79E660B0"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бомбы.</w:t>
      </w:r>
    </w:p>
    <w:p w14:paraId="16183714" w14:textId="77777777" w:rsidR="00A25AD1" w:rsidRPr="00DB5D0D" w:rsidRDefault="00A25AD1"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3A05A68D"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действия бомб.</w:t>
      </w:r>
    </w:p>
    <w:p w14:paraId="05D3301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в полете.</w:t>
      </w:r>
    </w:p>
    <w:p w14:paraId="11E987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701FC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АО-10 сталистого чугуна (литье) снаряженные ТНТ+ДНН 80/20 футлярным методом на горизонтальном шнекаппарате 1940 года, завода № 12, по осколочному действию и дроблению корпуса бомбы взрывчатым веществом в сравнении со штатными бомбами АО-10 сталистого чугуна (литье) снаряженные ТНТ+ДНН 80/20 методом шнекования дали удовлетворительные результаты и полигонные испытания выдержали (7550).</w:t>
      </w:r>
    </w:p>
    <w:p w14:paraId="324DD56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003E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w:t>
      </w:r>
    </w:p>
    <w:p w14:paraId="777950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«Прокурору СССР по спецделам от Баланиной Марии Николаевны (по первому браку Королевой)</w:t>
      </w:r>
    </w:p>
    <w:p w14:paraId="042437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Заявление</w:t>
      </w:r>
    </w:p>
    <w:p w14:paraId="7C700C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Мой сын, Королев Сергей Павлович, был осужден Военной коллегией Верховного суда СССР 27. IX. 1938 г. к 10 годам лишения свободы по ст. 58 п.п. 7 и 11 и 17/8.</w:t>
      </w:r>
    </w:p>
    <w:p w14:paraId="719396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1939 года приговор был отменен с передачей дела на новое рассмотрение со стадии предварительного следствия и сын мой был возвращен в Москву с Колымы.</w:t>
      </w:r>
    </w:p>
    <w:p w14:paraId="460441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Моему сыну 33 года. Инженер-конструктор авиаппаратов, летчик, организатор исключительной по своему значению отрасли авиации — ракетных полетов в стратосфере, работал в НИИ №3 в Москве.</w:t>
      </w:r>
    </w:p>
    <w:p w14:paraId="2C48D3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беседы с зам[естителем] Главного воен[ного] прокурора тов. Афанасьевым, а затем с зам[естителем] Глав[ного] прокурора по спецделам тов. Осипенко мне стало ясно, что новое подробное расследование (экспертиза) исключило возможность обвинения моего сына в к[онтр]р[еволюционном] вредительстве.</w:t>
      </w:r>
    </w:p>
    <w:p w14:paraId="00D386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с[его] г[ода] тов. Осипенко мне заявил, что следствие закончено и «о судьбе сына я узнаю из его письма».</w:t>
      </w:r>
    </w:p>
    <w:p w14:paraId="4DCEA0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дальнейшем разговоре выяснилось, что после того, как отпало обвинение в к[онтр] р[еволюционном] вредительстве, моего сына обвиняют якобы «в плохом окружении — знакомстве с гл[авным] инженером Лангемаком».</w:t>
      </w:r>
    </w:p>
    <w:p w14:paraId="0AF3CE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Мне непонятно, как можно обвинять сына за знакомство с Лангемаком, которого он узнал на работе и не мог предполагать о его к[онтр] революционных; взглядах.</w:t>
      </w:r>
    </w:p>
    <w:p w14:paraId="465601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можно обвинять за плохое окружение, то нельзя же не учесть, что, даже после осуждения сына, такие люди, как Герои Советского Союза — Гризодубова и Громов, сочли возможным дать письменный отзыв и помочь мне в реабилитации сына и отмене приговора.</w:t>
      </w:r>
    </w:p>
    <w:p w14:paraId="6C8A86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этим основаниям я прошу, поскольку целиком и полностью отпало обвинение в к[онтр]р[еволюционном] вредительстве и сыну предъявляется новое обвинение в каком-то знакомстве с инж[енером] Лангемаком, дать ему возможность доказать свою невиновность при рассмотрении дела в судебном порядке, либо проверить дополнительным следствием окружение сына и допросить тех из его сослуживцев, которые были не только его знакомые по службе, но и близкие товарищи и которых я могу в случае необходимости назвать.</w:t>
      </w:r>
    </w:p>
    <w:p w14:paraId="195BF7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нужным добавить, что мой сын находится в заключении уже два года и прошло свыше года с момента отмены приговора Пленумом Верховного' суда СССР.</w:t>
      </w:r>
    </w:p>
    <w:p w14:paraId="783987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Мать Королева С. П.</w:t>
      </w:r>
    </w:p>
    <w:p w14:paraId="520B84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(Баланина М. Н.)</w:t>
      </w:r>
    </w:p>
    <w:p w14:paraId="1EF1BF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22.VI [19] 40 г.» (11912)</w:t>
      </w:r>
    </w:p>
    <w:p w14:paraId="3B5BD33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C1C336" w14:textId="77777777" w:rsidR="00E729B5" w:rsidRPr="00DB5D0D" w:rsidRDefault="00E729B5" w:rsidP="00DB5D0D">
      <w:pPr>
        <w:pStyle w:val="ae"/>
        <w:shd w:val="clear" w:color="auto" w:fill="FFFFFF"/>
        <w:spacing w:before="0" w:after="0"/>
        <w:jc w:val="both"/>
        <w:rPr>
          <w:color w:val="000000" w:themeColor="text1"/>
          <w:sz w:val="16"/>
          <w:szCs w:val="16"/>
        </w:rPr>
      </w:pPr>
      <w:r w:rsidRPr="00DB5D0D">
        <w:rPr>
          <w:color w:val="000000" w:themeColor="text1"/>
          <w:sz w:val="16"/>
          <w:szCs w:val="16"/>
        </w:rPr>
        <w:t>22 июня 1940 года в 05:17 стратостат «ОСОАВИАХИМ-2» стартовал в Звенигороде с майором И.И.Зыковым и научным работником АН СССР А.П.Кузнецовым. В первые же минуты взлета, на высоте 10-12 м, произошло неожиданное самоотделение гондолы от оболочки. Она упала на землю, экипаж отделался ушибами. Облегченная оболочка взмыла в воздух и опустилась в нескольких километрах от места старта. Как оказалось, перед стартом не проверили состояние ранцевого механизма, у него было деформировано кольцо, не выдержавшее тяжести гондолы уже на старте. По счастью, это произошло не на высоте 200-300 м от земли, тогда бы гибель экипажа была неизбежной — гондольный парашют не успел бы раскрыться, а экипаж не смог бы быстро открыть люк гондолы для выбрасывания на парашютах.</w:t>
      </w:r>
    </w:p>
    <w:p w14:paraId="406AC23D" w14:textId="77777777" w:rsidR="00E729B5" w:rsidRPr="00DB5D0D" w:rsidRDefault="00E729B5" w:rsidP="00DB5D0D">
      <w:pPr>
        <w:pStyle w:val="ae"/>
        <w:shd w:val="clear" w:color="auto" w:fill="FFFFFF"/>
        <w:spacing w:before="0" w:after="0"/>
        <w:jc w:val="both"/>
        <w:rPr>
          <w:color w:val="000000" w:themeColor="text1"/>
          <w:sz w:val="16"/>
          <w:szCs w:val="16"/>
        </w:rPr>
      </w:pPr>
      <w:r w:rsidRPr="00DB5D0D">
        <w:rPr>
          <w:color w:val="000000" w:themeColor="text1"/>
          <w:sz w:val="16"/>
          <w:szCs w:val="16"/>
        </w:rPr>
        <w:t>Череда неудач не остановила желание пилотов-воздухоплавателей подняться на недосягаемые прежде высоты. В 1940 году Фомин и Крикун обратились с письмом в правительство:</w:t>
      </w:r>
    </w:p>
    <w:p w14:paraId="5AAA6CE9" w14:textId="77777777" w:rsidR="00E729B5" w:rsidRPr="00DB5D0D" w:rsidRDefault="00E729B5" w:rsidP="00DB5D0D">
      <w:pPr>
        <w:pStyle w:val="ae"/>
        <w:shd w:val="clear" w:color="auto" w:fill="FFFFFF"/>
        <w:spacing w:before="0" w:after="0"/>
        <w:jc w:val="both"/>
        <w:rPr>
          <w:color w:val="000000" w:themeColor="text1"/>
          <w:sz w:val="16"/>
          <w:szCs w:val="16"/>
        </w:rPr>
      </w:pPr>
      <w:r w:rsidRPr="00DB5D0D">
        <w:rPr>
          <w:rStyle w:val="af0"/>
          <w:rFonts w:eastAsiaTheme="majorEastAsia"/>
          <w:i w:val="0"/>
          <w:color w:val="000000" w:themeColor="text1"/>
          <w:sz w:val="16"/>
          <w:szCs w:val="16"/>
        </w:rPr>
        <w:t>«Стремясь добиться больших достижений Советского Союза в завоевании стратосферы, просим Вас разрешить нам выполнить полет в стратосферу на высоту 24000 метров. Цель полета: установление мирового рекорда высоты и выполнение ряда научных заданий Академии Наук СССР.</w:t>
      </w:r>
    </w:p>
    <w:p w14:paraId="5720FCD0" w14:textId="77777777" w:rsidR="00E729B5" w:rsidRPr="00DB5D0D" w:rsidRDefault="00E729B5" w:rsidP="00DB5D0D">
      <w:pPr>
        <w:pStyle w:val="ae"/>
        <w:shd w:val="clear" w:color="auto" w:fill="FFFFFF"/>
        <w:spacing w:before="0" w:after="0"/>
        <w:jc w:val="both"/>
        <w:rPr>
          <w:color w:val="000000" w:themeColor="text1"/>
          <w:sz w:val="16"/>
          <w:szCs w:val="16"/>
        </w:rPr>
      </w:pPr>
      <w:r w:rsidRPr="00DB5D0D">
        <w:rPr>
          <w:rStyle w:val="af0"/>
          <w:rFonts w:eastAsiaTheme="majorEastAsia"/>
          <w:i w:val="0"/>
          <w:color w:val="000000" w:themeColor="text1"/>
          <w:sz w:val="16"/>
          <w:szCs w:val="16"/>
        </w:rPr>
        <w:t>Полет, который будет проведен на имеющемся стратостате объемом 31000 м3 конструкции т. Годунова, с использованием газа гелия, явится показом роста советской науки и техники. Старт стратостата возможен летом 1940 г. на базе Отдельной воздухоплавательной группы, находящейся сейчас в ведении Аэрофлота.</w:t>
      </w:r>
    </w:p>
    <w:p w14:paraId="278F8D0F" w14:textId="77777777" w:rsidR="00E729B5" w:rsidRPr="00DB5D0D" w:rsidRDefault="00E729B5" w:rsidP="00DB5D0D">
      <w:pPr>
        <w:pStyle w:val="ae"/>
        <w:shd w:val="clear" w:color="auto" w:fill="FFFFFF"/>
        <w:spacing w:before="0" w:after="0"/>
        <w:jc w:val="both"/>
        <w:rPr>
          <w:color w:val="000000" w:themeColor="text1"/>
          <w:sz w:val="16"/>
          <w:szCs w:val="16"/>
        </w:rPr>
      </w:pPr>
      <w:r w:rsidRPr="00DB5D0D">
        <w:rPr>
          <w:rStyle w:val="af0"/>
          <w:rFonts w:eastAsiaTheme="majorEastAsia"/>
          <w:i w:val="0"/>
          <w:color w:val="000000" w:themeColor="text1"/>
          <w:sz w:val="16"/>
          <w:szCs w:val="16"/>
        </w:rPr>
        <w:t>Работая в Отдельной воздухоплавательной группе, имея необходимый опыт летной работы и, в частности, выполнив в 1939 году испытательно-научный полет в стратосферу на стратостате-парашюте СССР ВР-60 Комсомол, считаем своим долгом продолжить работу по завоеванию стратосферы, будучи уверенными в успешном проведении полета.</w:t>
      </w:r>
    </w:p>
    <w:p w14:paraId="49233597" w14:textId="77777777" w:rsidR="00E729B5" w:rsidRPr="00DB5D0D" w:rsidRDefault="00E729B5" w:rsidP="00DB5D0D">
      <w:pPr>
        <w:pStyle w:val="ae"/>
        <w:shd w:val="clear" w:color="auto" w:fill="FFFFFF"/>
        <w:spacing w:before="0" w:after="0"/>
        <w:jc w:val="both"/>
        <w:rPr>
          <w:color w:val="000000" w:themeColor="text1"/>
          <w:sz w:val="16"/>
          <w:szCs w:val="16"/>
        </w:rPr>
      </w:pPr>
      <w:r w:rsidRPr="00DB5D0D">
        <w:rPr>
          <w:rStyle w:val="af0"/>
          <w:rFonts w:eastAsiaTheme="majorEastAsia"/>
          <w:i w:val="0"/>
          <w:color w:val="000000" w:themeColor="text1"/>
          <w:sz w:val="16"/>
          <w:szCs w:val="16"/>
        </w:rPr>
        <w:t>Мы будем счастливы оправдать Ваше доверие, поднять флаг Советского Союза на недостигнутую еще высоту, обогатив нашу науку новыми знаниями и установив мировой рекорд во славу нашей Великой Родины.» (19614).</w:t>
      </w:r>
    </w:p>
    <w:p w14:paraId="66CBC416" w14:textId="77777777" w:rsidR="00E729B5" w:rsidRPr="00DB5D0D" w:rsidRDefault="00E729B5" w:rsidP="00DB5D0D">
      <w:pPr>
        <w:spacing w:after="0" w:line="240" w:lineRule="auto"/>
        <w:jc w:val="both"/>
        <w:rPr>
          <w:rFonts w:ascii="Times New Roman" w:hAnsi="Times New Roman"/>
          <w:color w:val="000000" w:themeColor="text1"/>
          <w:sz w:val="16"/>
          <w:szCs w:val="16"/>
        </w:rPr>
      </w:pPr>
    </w:p>
    <w:p w14:paraId="772FFE3E" w14:textId="77777777" w:rsidR="00415C9A" w:rsidRPr="00DB5D0D" w:rsidRDefault="00415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 июня 1940 г. в 5.17 «Осоавиахим-2» (обо</w:t>
      </w:r>
      <w:r w:rsidRPr="00DB5D0D">
        <w:rPr>
          <w:rFonts w:ascii="Times New Roman" w:hAnsi="Times New Roman"/>
          <w:color w:val="0070C0"/>
          <w:sz w:val="16"/>
          <w:szCs w:val="16"/>
        </w:rPr>
        <w:softHyphen/>
        <w:t>лочку объёмом 60 000 м3 наполнили смесью из 90% гелия и 10% водорода)79 стартовал в Звени</w:t>
      </w:r>
      <w:r w:rsidRPr="00DB5D0D">
        <w:rPr>
          <w:rFonts w:ascii="Times New Roman" w:hAnsi="Times New Roman"/>
          <w:color w:val="0070C0"/>
          <w:sz w:val="16"/>
          <w:szCs w:val="16"/>
        </w:rPr>
        <w:softHyphen/>
        <w:t>городе с майором И.И. Зыковым и сотрудником АН СССР А.П. Кузнецовым. В первые же секун</w:t>
      </w:r>
      <w:r w:rsidRPr="00DB5D0D">
        <w:rPr>
          <w:rFonts w:ascii="Times New Roman" w:hAnsi="Times New Roman"/>
          <w:color w:val="0070C0"/>
          <w:sz w:val="16"/>
          <w:szCs w:val="16"/>
        </w:rPr>
        <w:softHyphen/>
        <w:t>ды взлёта на высоте 10-12 м неожиданно произо</w:t>
      </w:r>
      <w:r w:rsidRPr="00DB5D0D">
        <w:rPr>
          <w:rFonts w:ascii="Times New Roman" w:hAnsi="Times New Roman"/>
          <w:color w:val="0070C0"/>
          <w:sz w:val="16"/>
          <w:szCs w:val="16"/>
        </w:rPr>
        <w:softHyphen/>
        <w:t>шло отделение гондолы от оболочки. Она упала на землю, экипаж отделался ушибами. Облегчён</w:t>
      </w:r>
      <w:r w:rsidRPr="00DB5D0D">
        <w:rPr>
          <w:rFonts w:ascii="Times New Roman" w:hAnsi="Times New Roman"/>
          <w:color w:val="0070C0"/>
          <w:sz w:val="16"/>
          <w:szCs w:val="16"/>
        </w:rPr>
        <w:softHyphen/>
        <w:t>ная оболочка взмыла в воздух и опустилась в не</w:t>
      </w:r>
      <w:r w:rsidRPr="00DB5D0D">
        <w:rPr>
          <w:rFonts w:ascii="Times New Roman" w:hAnsi="Times New Roman"/>
          <w:color w:val="0070C0"/>
          <w:sz w:val="16"/>
          <w:szCs w:val="16"/>
        </w:rPr>
        <w:softHyphen/>
        <w:t>скольких километрах от места старта.</w:t>
      </w:r>
    </w:p>
    <w:p w14:paraId="07398830" w14:textId="77777777" w:rsidR="00415C9A" w:rsidRPr="00DB5D0D" w:rsidRDefault="00415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Как оказалось, перед стартом не проверили со</w:t>
      </w:r>
      <w:r w:rsidRPr="00DB5D0D">
        <w:rPr>
          <w:rFonts w:ascii="Times New Roman" w:hAnsi="Times New Roman"/>
          <w:color w:val="0070C0"/>
          <w:sz w:val="16"/>
          <w:szCs w:val="16"/>
        </w:rPr>
        <w:softHyphen/>
        <w:t>стояние ранцевого механизма, у которого было деформировано кольцо, не выдержавшее тяже</w:t>
      </w:r>
      <w:r w:rsidRPr="00DB5D0D">
        <w:rPr>
          <w:rFonts w:ascii="Times New Roman" w:hAnsi="Times New Roman"/>
          <w:color w:val="0070C0"/>
          <w:sz w:val="16"/>
          <w:szCs w:val="16"/>
        </w:rPr>
        <w:softHyphen/>
        <w:t>сти гондолы. По счастью, это произошло не на высоте 200-300 м от земли, тогда гибель экипажа была бы неизбежной — гондольный парашют не успел бы раскрыться, а экипаж не смог бы быстро открыть люк гондолы для выбрасывания на па</w:t>
      </w:r>
      <w:r w:rsidRPr="00DB5D0D">
        <w:rPr>
          <w:rFonts w:ascii="Times New Roman" w:hAnsi="Times New Roman"/>
          <w:color w:val="0070C0"/>
          <w:sz w:val="16"/>
          <w:szCs w:val="16"/>
        </w:rPr>
        <w:softHyphen/>
        <w:t>рашютах.</w:t>
      </w:r>
    </w:p>
    <w:p w14:paraId="452A500F" w14:textId="77777777" w:rsidR="00415C9A" w:rsidRPr="00DB5D0D" w:rsidRDefault="00415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После аварии при старте «Осоавиахима-2» идея полётов на стратостатах окончательно дискредитировала себя в глаза военных. Новый начальник ВВС Я.П. Смушкевич в докладной записке Наркому обороны С.К. Тимошенко со</w:t>
      </w:r>
      <w:r w:rsidRPr="00DB5D0D">
        <w:rPr>
          <w:rFonts w:ascii="Times New Roman" w:hAnsi="Times New Roman"/>
          <w:color w:val="0070C0"/>
          <w:sz w:val="16"/>
          <w:szCs w:val="16"/>
        </w:rPr>
        <w:softHyphen/>
        <w:t>общал:</w:t>
      </w:r>
    </w:p>
    <w:p w14:paraId="034E3941" w14:textId="77777777" w:rsidR="00415C9A" w:rsidRPr="00DB5D0D" w:rsidRDefault="00415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Дело стратосферных полётов находится в чрезвы</w:t>
      </w:r>
      <w:r w:rsidRPr="00DB5D0D">
        <w:rPr>
          <w:rFonts w:ascii="Times New Roman" w:hAnsi="Times New Roman"/>
          <w:color w:val="0070C0"/>
          <w:sz w:val="16"/>
          <w:szCs w:val="16"/>
        </w:rPr>
        <w:softHyphen/>
        <w:t>чайно неблагоприятных обстоятельствах. Каждый из воздухоплавателей на свой страх и риск подыскивает себе подходящую оболочку, подбирает экипаж и до</w:t>
      </w:r>
      <w:r w:rsidRPr="00DB5D0D">
        <w:rPr>
          <w:rFonts w:ascii="Times New Roman" w:hAnsi="Times New Roman"/>
          <w:color w:val="0070C0"/>
          <w:sz w:val="16"/>
          <w:szCs w:val="16"/>
        </w:rPr>
        <w:softHyphen/>
        <w:t>бивается разрешения на полёт. При этом цифры по</w:t>
      </w:r>
      <w:r w:rsidRPr="00DB5D0D">
        <w:rPr>
          <w:rFonts w:ascii="Times New Roman" w:hAnsi="Times New Roman"/>
          <w:color w:val="0070C0"/>
          <w:sz w:val="16"/>
          <w:szCs w:val="16"/>
        </w:rPr>
        <w:softHyphen/>
        <w:t>казывают, что полёты в большинстве случаев оказы</w:t>
      </w:r>
      <w:r w:rsidRPr="00DB5D0D">
        <w:rPr>
          <w:rFonts w:ascii="Times New Roman" w:hAnsi="Times New Roman"/>
          <w:color w:val="0070C0"/>
          <w:sz w:val="16"/>
          <w:szCs w:val="16"/>
        </w:rPr>
        <w:softHyphen/>
        <w:t>ваются недостаточно подготовленными. Продолжать практику стратосферных полётов в таком неорганизо</w:t>
      </w:r>
      <w:r w:rsidRPr="00DB5D0D">
        <w:rPr>
          <w:rFonts w:ascii="Times New Roman" w:hAnsi="Times New Roman"/>
          <w:color w:val="0070C0"/>
          <w:sz w:val="16"/>
          <w:szCs w:val="16"/>
        </w:rPr>
        <w:softHyphen/>
        <w:t>ванном виде я считаю нецелесообразным и компроме</w:t>
      </w:r>
      <w:r w:rsidRPr="00DB5D0D">
        <w:rPr>
          <w:rFonts w:ascii="Times New Roman" w:hAnsi="Times New Roman"/>
          <w:color w:val="0070C0"/>
          <w:sz w:val="16"/>
          <w:szCs w:val="16"/>
        </w:rPr>
        <w:softHyphen/>
        <w:t>тирующим столь серьезное дело.</w:t>
      </w:r>
    </w:p>
    <w:p w14:paraId="6AF71202" w14:textId="77777777" w:rsidR="00415C9A" w:rsidRPr="00DB5D0D" w:rsidRDefault="00415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Нарком поддержал Я.П. Смушкевича, под</w:t>
      </w:r>
      <w:r w:rsidRPr="00DB5D0D">
        <w:rPr>
          <w:rFonts w:ascii="Times New Roman" w:hAnsi="Times New Roman"/>
          <w:color w:val="0070C0"/>
          <w:sz w:val="16"/>
          <w:szCs w:val="16"/>
        </w:rPr>
        <w:softHyphen/>
        <w:t>черкнув, что «в настоящее время дело изучения стратосферы пока что лишено какого-либо прак</w:t>
      </w:r>
      <w:r w:rsidRPr="00DB5D0D">
        <w:rPr>
          <w:rFonts w:ascii="Times New Roman" w:hAnsi="Times New Roman"/>
          <w:color w:val="0070C0"/>
          <w:sz w:val="16"/>
          <w:szCs w:val="16"/>
        </w:rPr>
        <w:softHyphen/>
        <w:t>тического оборонного значения и представляет чисто научный интерес».</w:t>
      </w:r>
    </w:p>
    <w:p w14:paraId="237AB4B1" w14:textId="77777777" w:rsidR="00415C9A" w:rsidRPr="00DB5D0D" w:rsidRDefault="00415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результате воен</w:t>
      </w:r>
      <w:r w:rsidRPr="00DB5D0D">
        <w:rPr>
          <w:rFonts w:ascii="Times New Roman" w:hAnsi="Times New Roman"/>
          <w:color w:val="0070C0"/>
          <w:sz w:val="16"/>
          <w:szCs w:val="16"/>
        </w:rPr>
        <w:softHyphen/>
        <w:t>ные решили передать организацию всех страто</w:t>
      </w:r>
      <w:r w:rsidRPr="00DB5D0D">
        <w:rPr>
          <w:rFonts w:ascii="Times New Roman" w:hAnsi="Times New Roman"/>
          <w:color w:val="0070C0"/>
          <w:sz w:val="16"/>
          <w:szCs w:val="16"/>
        </w:rPr>
        <w:softHyphen/>
        <w:t>сферных полётов Академии наук.</w:t>
      </w:r>
    </w:p>
    <w:p w14:paraId="3572AC50" w14:textId="77777777" w:rsidR="00415C9A" w:rsidRPr="00DB5D0D" w:rsidRDefault="00415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Вскоре началась война, и о полётах в страто</w:t>
      </w:r>
      <w:r w:rsidRPr="00DB5D0D">
        <w:rPr>
          <w:rFonts w:ascii="Times New Roman" w:hAnsi="Times New Roman"/>
          <w:color w:val="0070C0"/>
          <w:sz w:val="16"/>
          <w:szCs w:val="16"/>
        </w:rPr>
        <w:softHyphen/>
        <w:t>сферу пришлось забыть (20120).</w:t>
      </w:r>
    </w:p>
    <w:p w14:paraId="0B4953E1" w14:textId="77777777" w:rsidR="00415C9A" w:rsidRPr="00DB5D0D" w:rsidRDefault="00415C9A" w:rsidP="00DB5D0D">
      <w:pPr>
        <w:spacing w:after="0" w:line="240" w:lineRule="auto"/>
        <w:jc w:val="both"/>
        <w:rPr>
          <w:rFonts w:ascii="Times New Roman" w:hAnsi="Times New Roman"/>
          <w:color w:val="0070C0"/>
          <w:sz w:val="16"/>
          <w:szCs w:val="16"/>
        </w:rPr>
      </w:pPr>
    </w:p>
    <w:p w14:paraId="322E5ED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7F9A96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FE40CC8" w14:textId="77777777" w:rsidR="00F9395A" w:rsidRPr="00DB5D0D" w:rsidRDefault="00F9395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22 июня 1940 г. было образовано Главное военно-инженерное управление (ГВИУ) Красной армии путем реорганизации Инженерного управления РККА, с передачей всех функций. С 21 июля 1940 г. структура ГВИУ выглядела следующим образом: 1) управление военно-инженерной подготовки, 2) управление оборонительного строительства, 3) управление военно-инженерного снабжения и запасов, 4) организационно-методический отдел, 5) отдел кадров, 6) финансовый отдел, 7) технический совет. В марте 1941 г. из состава ГВИУ было выделено Управление строительства укрепленных районов. Основными функциями ГВИУ в это время являлись: руководство инженерными войсками и подготовкой других родов войск в инженерном отношении; снабжение войск инженерным имуществом и накопление запросов его на случай войны; разработка по указаниям Генерального штаба Красной армии мероприятий по подготовке территории к войне в инженерном отношении; руководство усовершенствованием техники инженерной службы путем разработки тактико-технических требований к новым образцам вооружения, наблюдения за их производством, организации испытаний и введения их на вооружение Красной армии; разработка программ и наставлений по военно-инженерному делу; руководство военно-инженерными складами. (РГАСПИ. Ф. 17. Оп. 162. Д. 32. Л. 121</w:t>
      </w:r>
      <w:r w:rsidRPr="00DB5D0D">
        <w:rPr>
          <w:rFonts w:ascii="Times New Roman" w:hAnsi="Times New Roman"/>
          <w:color w:val="000000" w:themeColor="text1"/>
          <w:sz w:val="16"/>
          <w:szCs w:val="16"/>
        </w:rPr>
        <w:noBreakHyphen/>
        <w:t>122.) (18043).</w:t>
      </w:r>
    </w:p>
    <w:p w14:paraId="6ACB6258" w14:textId="77777777" w:rsidR="00F9395A" w:rsidRPr="00DB5D0D" w:rsidRDefault="00F9395A" w:rsidP="00DB5D0D">
      <w:pPr>
        <w:spacing w:after="0" w:line="240" w:lineRule="auto"/>
        <w:jc w:val="both"/>
        <w:rPr>
          <w:rFonts w:ascii="Times New Roman" w:hAnsi="Times New Roman"/>
          <w:color w:val="000000" w:themeColor="text1"/>
          <w:sz w:val="16"/>
          <w:szCs w:val="16"/>
        </w:rPr>
      </w:pPr>
    </w:p>
    <w:p w14:paraId="26E5125A" w14:textId="77777777" w:rsidR="00415C9A" w:rsidRPr="00DB5D0D" w:rsidRDefault="00415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 июня 1940 г. приказом по заводу №120 согласно распоряжения заместителя Наркома Вооружения И. А. Мирзаханова старший инженер-конструктор, начальник группы В. Н. Шамарин, а также старшие инженеры-конструкторы В. Ф. Стурницкий и М. А. Александров, конструктор II категории Н. А. Тараканов и конструктор Г. А. Архипов были переведены для работы на Люберецкий завод Народного комиссариата среднего машиностроения.671 Как отмечал в характеристике на В. Н. Шамарина врио главного конструктора завода №7 Л. И. Горлицкий, «в работе инициативен и настойчив в решении поставленных задач. Трудолюбив и дисциплинирован».672 Конструкторская документация на проводимые группой работы частично была направлена в Люберцы.673 (20074).</w:t>
      </w:r>
    </w:p>
    <w:p w14:paraId="3CFDCA0E" w14:textId="77777777" w:rsidR="00415C9A" w:rsidRPr="00DB5D0D" w:rsidRDefault="00415C9A" w:rsidP="00DB5D0D">
      <w:pPr>
        <w:spacing w:after="0" w:line="240" w:lineRule="auto"/>
        <w:jc w:val="both"/>
        <w:rPr>
          <w:rFonts w:ascii="Times New Roman" w:hAnsi="Times New Roman"/>
          <w:color w:val="0070C0"/>
          <w:sz w:val="16"/>
          <w:szCs w:val="16"/>
        </w:rPr>
      </w:pPr>
    </w:p>
    <w:p w14:paraId="1788B665"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22 июня 1940:</w:t>
      </w:r>
    </w:p>
    <w:p w14:paraId="72C9EDDF"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Из оперативной сводки по СТЗ от 22.04.1940 г. </w:t>
      </w:r>
    </w:p>
    <w:p w14:paraId="47B7722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По вопросу подготовки производства машин А-34. </w:t>
      </w:r>
    </w:p>
    <w:p w14:paraId="63A342F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Во исполнение постановления КО СССР № 443 нарком среднего машиностроения Лихачев издал приказ и график подготовки производства машины А-34 на СТЗ со сроком окончания подготовки производства на программу 1940 года к 01.10.1940 г. </w:t>
      </w:r>
    </w:p>
    <w:p w14:paraId="094D0727"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На 12.04.1940 г. состояние следующее : Завод № 183 должен был обеспечить СТЗ в феврале 1940 г. всеми чертежами установочной серии. После невыполнением срока заводом № 183 установлены следующие сроки : один к 15.03.1940 г. и другой к 05.04.1940 г. Однако и этих сроков завод № 183 не выдержал. Из потребных 3500 чертежей на 20.04.1940 г. СТЗ получил только 1400 шт. </w:t>
      </w:r>
    </w:p>
    <w:p w14:paraId="6B181B96"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механическом цеху спроектировано 12 приспособлений из 66. </w:t>
      </w:r>
    </w:p>
    <w:p w14:paraId="16E74115"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После приостановки изготовления деталей А-34 в механосборочном цехе для экспериментальных целей и.о. директора СТЗ Демьяновичем был издан приказ о всемерном форсировании изготовления деталей А-34 установочной серии на программу 1940 г. В механосборочный цех спущено уже 640 чертежей, по которым идет изготовление деталей установочной серии. </w:t>
      </w:r>
    </w:p>
    <w:p w14:paraId="40B87235"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С поступлением на СТЗ опытных чертежей с завода № 183, разработка технологии на СТЗ производилась, в основном, по опытным чертежам. СТЗ заведомо знал, что с получением чертежей установочной партии с завода № 183 необходимо будет корректировать опытные чертежи, что и ведется на СТЗ в настоящее время.</w:t>
      </w:r>
    </w:p>
    <w:p w14:paraId="7F024234"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Строительство механосборочного цеха № 2 для А-34 до настоящего времени не начато. </w:t>
      </w:r>
    </w:p>
    <w:p w14:paraId="14B2B4C3"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Прошу Вас ускорить поставку чертежей А-34 с завода № 183. </w:t>
      </w:r>
    </w:p>
    <w:p w14:paraId="26CD57A9"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Военный представитель АБТУ РККА на СТЗ </w:t>
      </w:r>
    </w:p>
    <w:p w14:paraId="2EA8B86D"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военинженер 2-го ранга Левинт (11450).</w:t>
      </w:r>
    </w:p>
    <w:p w14:paraId="19B7F2C2"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40E8C90E" w14:textId="77777777" w:rsidR="00A25AD1" w:rsidRPr="00DB5D0D" w:rsidRDefault="00A25AD1" w:rsidP="00DB5D0D">
      <w:pPr>
        <w:pStyle w:val="a3"/>
        <w:rPr>
          <w:color w:val="000000" w:themeColor="text1"/>
          <w:lang w:val="ru-RU"/>
        </w:rPr>
      </w:pPr>
      <w:r w:rsidRPr="00DB5D0D">
        <w:rPr>
          <w:color w:val="000000" w:themeColor="text1"/>
          <w:lang w:val="ru-RU"/>
        </w:rPr>
        <w:t>22 июня 1940 был подготовлен доклад военного предста</w:t>
      </w:r>
      <w:r w:rsidRPr="00DB5D0D">
        <w:rPr>
          <w:color w:val="000000" w:themeColor="text1"/>
          <w:lang w:val="ru-RU"/>
        </w:rPr>
        <w:softHyphen/>
        <w:t>вителя на СТЗ Я.С. Левина, характеризующий состояние дел на за</w:t>
      </w:r>
      <w:r w:rsidRPr="00DB5D0D">
        <w:rPr>
          <w:color w:val="000000" w:themeColor="text1"/>
          <w:lang w:val="ru-RU"/>
        </w:rPr>
        <w:softHyphen/>
        <w:t>воде в середине июня на СТЗ:</w:t>
      </w:r>
    </w:p>
    <w:p w14:paraId="3D75E9FD"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22.06.1940№92</w:t>
      </w:r>
    </w:p>
    <w:p w14:paraId="6F9E68D2"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НАЧАЛЬНИКУ 4 ОТДЕЛА АБТУ КА Москва Кр. Площадь, 2-й дом НКО.</w:t>
      </w:r>
    </w:p>
    <w:p w14:paraId="2B283F4B"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По вопросу: состояние подготовки средств по Т-34.</w:t>
      </w:r>
    </w:p>
    <w:p w14:paraId="4210F597"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Доношу о ходе подготовки производства Сталинградского трак</w:t>
      </w:r>
      <w:r w:rsidRPr="00DB5D0D">
        <w:rPr>
          <w:rFonts w:ascii="Times New Roman" w:hAnsi="Times New Roman" w:cs="Times New Roman"/>
          <w:i w:val="0"/>
          <w:iCs w:val="0"/>
          <w:color w:val="000000" w:themeColor="text1"/>
          <w:sz w:val="16"/>
          <w:szCs w:val="16"/>
          <w:lang w:val="ru-RU"/>
        </w:rPr>
        <w:softHyphen/>
        <w:t>торного завода по танку Т-34 на программу 1940-1941 г. по состо</w:t>
      </w:r>
      <w:r w:rsidRPr="00DB5D0D">
        <w:rPr>
          <w:rFonts w:ascii="Times New Roman" w:hAnsi="Times New Roman" w:cs="Times New Roman"/>
          <w:i w:val="0"/>
          <w:iCs w:val="0"/>
          <w:color w:val="000000" w:themeColor="text1"/>
          <w:sz w:val="16"/>
          <w:szCs w:val="16"/>
          <w:lang w:val="ru-RU"/>
        </w:rPr>
        <w:softHyphen/>
        <w:t>янию на 20 июня 1940 г.</w:t>
      </w:r>
    </w:p>
    <w:p w14:paraId="1FAA776D"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Style w:val="1140"/>
          <w:rFonts w:ascii="Times New Roman" w:hAnsi="Times New Roman" w:cs="Times New Roman"/>
          <w:iCs/>
          <w:color w:val="000000" w:themeColor="text1"/>
          <w:sz w:val="16"/>
          <w:szCs w:val="16"/>
          <w:lang w:val="ru-RU"/>
        </w:rPr>
        <w:t>1. Обработка чертежей машины</w:t>
      </w:r>
    </w:p>
    <w:p w14:paraId="69B454B5"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Основная подготовка производства ведется по чертежам завода № 183«установочная серия». Спец. КЭО СТЗ пересматривает черте</w:t>
      </w:r>
      <w:r w:rsidRPr="00DB5D0D">
        <w:rPr>
          <w:rFonts w:ascii="Times New Roman" w:hAnsi="Times New Roman" w:cs="Times New Roman"/>
          <w:i w:val="0"/>
          <w:iCs w:val="0"/>
          <w:color w:val="000000" w:themeColor="text1"/>
          <w:sz w:val="16"/>
          <w:szCs w:val="16"/>
          <w:lang w:val="ru-RU"/>
        </w:rPr>
        <w:softHyphen/>
        <w:t>жи и подготовляет к выпуску кальки детальных чертежей и специфи-Первый вариант серийной башни (сборочный чертеж 34.30сб). Изготовлено 37 комплектов. Такие башни ставились, в том числе, и на машины установочной серии.</w:t>
      </w:r>
    </w:p>
    <w:p w14:paraId="462281DD"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Спущенная цехам за подписью гл. инженера завода програм</w:t>
      </w:r>
      <w:r w:rsidRPr="00DB5D0D">
        <w:rPr>
          <w:rFonts w:ascii="Times New Roman" w:hAnsi="Times New Roman" w:cs="Times New Roman"/>
          <w:i w:val="0"/>
          <w:iCs w:val="0"/>
          <w:color w:val="000000" w:themeColor="text1"/>
          <w:sz w:val="16"/>
          <w:szCs w:val="16"/>
          <w:lang w:val="ru-RU"/>
        </w:rPr>
        <w:softHyphen/>
        <w:t>ма по выпуску деталей Т-34 на июнь месяц не выполняется, так как она не обеспечена соответствующими средствами производ</w:t>
      </w:r>
      <w:r w:rsidRPr="00DB5D0D">
        <w:rPr>
          <w:rFonts w:ascii="Times New Roman" w:hAnsi="Times New Roman" w:cs="Times New Roman"/>
          <w:i w:val="0"/>
          <w:iCs w:val="0"/>
          <w:color w:val="000000" w:themeColor="text1"/>
          <w:sz w:val="16"/>
          <w:szCs w:val="16"/>
          <w:lang w:val="ru-RU"/>
        </w:rPr>
        <w:softHyphen/>
        <w:t>ства, металла и т.д.</w:t>
      </w:r>
    </w:p>
    <w:p w14:paraId="34DCDA85"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Июньская программа находится под угрозой невыполнения. Необходимо обязать НКСМ контролировать, проверять ход вы</w:t>
      </w:r>
      <w:r w:rsidRPr="00DB5D0D">
        <w:rPr>
          <w:rFonts w:ascii="Times New Roman" w:hAnsi="Times New Roman" w:cs="Times New Roman"/>
          <w:i w:val="0"/>
          <w:iCs w:val="0"/>
          <w:color w:val="000000" w:themeColor="text1"/>
          <w:sz w:val="16"/>
          <w:szCs w:val="16"/>
          <w:lang w:val="ru-RU"/>
        </w:rPr>
        <w:softHyphen/>
        <w:t>полнения программы не откладывая на последние м-ца и оказы</w:t>
      </w:r>
      <w:r w:rsidRPr="00DB5D0D">
        <w:rPr>
          <w:rFonts w:ascii="Times New Roman" w:hAnsi="Times New Roman" w:cs="Times New Roman"/>
          <w:i w:val="0"/>
          <w:iCs w:val="0"/>
          <w:color w:val="000000" w:themeColor="text1"/>
          <w:sz w:val="16"/>
          <w:szCs w:val="16"/>
          <w:lang w:val="ru-RU"/>
        </w:rPr>
        <w:softHyphen/>
        <w:t>вать помощь заводу в обеспечении выполнения программы, снаб</w:t>
      </w:r>
      <w:r w:rsidRPr="00DB5D0D">
        <w:rPr>
          <w:rFonts w:ascii="Times New Roman" w:hAnsi="Times New Roman" w:cs="Times New Roman"/>
          <w:i w:val="0"/>
          <w:iCs w:val="0"/>
          <w:color w:val="000000" w:themeColor="text1"/>
          <w:sz w:val="16"/>
          <w:szCs w:val="16"/>
          <w:lang w:val="ru-RU"/>
        </w:rPr>
        <w:softHyphen/>
        <w:t xml:space="preserve">жении материалами. </w:t>
      </w:r>
      <w:r w:rsidRPr="00DB5D0D">
        <w:rPr>
          <w:rStyle w:val="1130"/>
          <w:rFonts w:ascii="Times New Roman" w:hAnsi="Times New Roman" w:cs="Times New Roman"/>
          <w:iCs/>
          <w:color w:val="000000" w:themeColor="text1"/>
          <w:sz w:val="16"/>
          <w:szCs w:val="16"/>
          <w:lang w:val="ru-RU"/>
        </w:rPr>
        <w:t>6. Строительство</w:t>
      </w:r>
    </w:p>
    <w:p w14:paraId="17B7F4FD"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Сдаточный цех (корпус) был готов в 1939 г. с подкрановыми пу</w:t>
      </w:r>
      <w:r w:rsidRPr="00DB5D0D">
        <w:rPr>
          <w:rFonts w:ascii="Times New Roman" w:hAnsi="Times New Roman" w:cs="Times New Roman"/>
          <w:i w:val="0"/>
          <w:iCs w:val="0"/>
          <w:color w:val="000000" w:themeColor="text1"/>
          <w:sz w:val="16"/>
          <w:szCs w:val="16"/>
          <w:lang w:val="ru-RU"/>
        </w:rPr>
        <w:softHyphen/>
        <w:t>тями, оборудованными для выпуска машин Т-26. С изменениями объекта производства требуется произвести следующие первооче</w:t>
      </w:r>
      <w:r w:rsidRPr="00DB5D0D">
        <w:rPr>
          <w:rFonts w:ascii="Times New Roman" w:hAnsi="Times New Roman" w:cs="Times New Roman"/>
          <w:i w:val="0"/>
          <w:iCs w:val="0"/>
          <w:color w:val="000000" w:themeColor="text1"/>
          <w:sz w:val="16"/>
          <w:szCs w:val="16"/>
          <w:lang w:val="ru-RU"/>
        </w:rPr>
        <w:softHyphen/>
        <w:t>редные работы: укладка кирпичной стены, закончить переоборудо</w:t>
      </w:r>
      <w:r w:rsidRPr="00DB5D0D">
        <w:rPr>
          <w:rFonts w:ascii="Times New Roman" w:hAnsi="Times New Roman" w:cs="Times New Roman"/>
          <w:i w:val="0"/>
          <w:iCs w:val="0"/>
          <w:color w:val="000000" w:themeColor="text1"/>
          <w:sz w:val="16"/>
          <w:szCs w:val="16"/>
          <w:lang w:val="ru-RU"/>
        </w:rPr>
        <w:softHyphen/>
        <w:t>вание подкрановых путей и самотаски, установить конвейер и мини</w:t>
      </w:r>
      <w:r w:rsidRPr="00DB5D0D">
        <w:rPr>
          <w:rFonts w:ascii="Times New Roman" w:hAnsi="Times New Roman" w:cs="Times New Roman"/>
          <w:i w:val="0"/>
          <w:iCs w:val="0"/>
          <w:color w:val="000000" w:themeColor="text1"/>
          <w:sz w:val="16"/>
          <w:szCs w:val="16"/>
          <w:lang w:val="ru-RU"/>
        </w:rPr>
        <w:softHyphen/>
        <w:t>мум 3—4 30-ти тонных крана. Срок окончания первой очереди работ по строительству намечен к 20 августа 40 г. В настоящее время при- сгуплено к строительным работам по сдаточному цеху (ломка ста</w:t>
      </w:r>
      <w:r w:rsidRPr="00DB5D0D">
        <w:rPr>
          <w:rFonts w:ascii="Times New Roman" w:hAnsi="Times New Roman" w:cs="Times New Roman"/>
          <w:i w:val="0"/>
          <w:iCs w:val="0"/>
          <w:color w:val="000000" w:themeColor="text1"/>
          <w:sz w:val="16"/>
          <w:szCs w:val="16"/>
          <w:lang w:val="ru-RU"/>
        </w:rPr>
        <w:softHyphen/>
        <w:t>рых фундаментов под конвейер, укладка нового фундамента), но ра</w:t>
      </w:r>
      <w:r w:rsidRPr="00DB5D0D">
        <w:rPr>
          <w:rFonts w:ascii="Times New Roman" w:hAnsi="Times New Roman" w:cs="Times New Roman"/>
          <w:i w:val="0"/>
          <w:iCs w:val="0"/>
          <w:color w:val="000000" w:themeColor="text1"/>
          <w:sz w:val="16"/>
          <w:szCs w:val="16"/>
          <w:lang w:val="ru-RU"/>
        </w:rPr>
        <w:softHyphen/>
        <w:t>бота проходит медленно.</w:t>
      </w:r>
    </w:p>
    <w:p w14:paraId="073E4B21"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Потребный материал для фермы в количестве 15 тонн отсут</w:t>
      </w:r>
      <w:r w:rsidRPr="00DB5D0D">
        <w:rPr>
          <w:rFonts w:ascii="Times New Roman" w:hAnsi="Times New Roman" w:cs="Times New Roman"/>
          <w:i w:val="0"/>
          <w:iCs w:val="0"/>
          <w:color w:val="000000" w:themeColor="text1"/>
          <w:sz w:val="16"/>
          <w:szCs w:val="16"/>
          <w:lang w:val="ru-RU"/>
        </w:rPr>
        <w:softHyphen/>
        <w:t xml:space="preserve">ствует. Из числа потребных 10-ти кранов для сдаточного цеха завод имеет договор с заводом им. Кирова на поставку в </w:t>
      </w:r>
      <w:r w:rsidRPr="00DB5D0D">
        <w:rPr>
          <w:rFonts w:ascii="Times New Roman" w:hAnsi="Times New Roman" w:cs="Times New Roman"/>
          <w:i w:val="0"/>
          <w:iCs w:val="0"/>
          <w:color w:val="000000" w:themeColor="text1"/>
          <w:sz w:val="16"/>
          <w:szCs w:val="16"/>
        </w:rPr>
        <w:t>IV</w:t>
      </w:r>
      <w:r w:rsidRPr="00DB5D0D">
        <w:rPr>
          <w:rFonts w:ascii="Times New Roman" w:hAnsi="Times New Roman" w:cs="Times New Roman"/>
          <w:i w:val="0"/>
          <w:iCs w:val="0"/>
          <w:color w:val="000000" w:themeColor="text1"/>
          <w:sz w:val="16"/>
          <w:szCs w:val="16"/>
          <w:lang w:val="ru-RU"/>
        </w:rPr>
        <w:t xml:space="preserve"> квартале с. г. 2 кранов с пролетом 9,5 м., предназначенных для красильного отде</w:t>
      </w:r>
      <w:r w:rsidRPr="00DB5D0D">
        <w:rPr>
          <w:rFonts w:ascii="Times New Roman" w:hAnsi="Times New Roman" w:cs="Times New Roman"/>
          <w:i w:val="0"/>
          <w:iCs w:val="0"/>
          <w:color w:val="000000" w:themeColor="text1"/>
          <w:sz w:val="16"/>
          <w:szCs w:val="16"/>
          <w:lang w:val="ru-RU"/>
        </w:rPr>
        <w:softHyphen/>
        <w:t>ления. Вопрос о потребных 5-ти 35-ти тонных кранов для сборки и 2-х 30-ти тонных для погрузной площадки остается открытым.</w:t>
      </w:r>
    </w:p>
    <w:p w14:paraId="7BD4F3D2"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Необходимо поставить вопрос перед НКСМ о срочном разме</w:t>
      </w:r>
      <w:r w:rsidRPr="00DB5D0D">
        <w:rPr>
          <w:rFonts w:ascii="Times New Roman" w:hAnsi="Times New Roman" w:cs="Times New Roman"/>
          <w:i w:val="0"/>
          <w:iCs w:val="0"/>
          <w:color w:val="000000" w:themeColor="text1"/>
          <w:sz w:val="16"/>
          <w:szCs w:val="16"/>
          <w:lang w:val="ru-RU"/>
        </w:rPr>
        <w:softHyphen/>
        <w:t>щении заказа на соответствующих заводах. Ничего реального по данному вопросу со стороны НКСМ пока не принято.</w:t>
      </w:r>
    </w:p>
    <w:p w14:paraId="339AC064"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Один 15-ти тонный кран планируется перенести из МСЦ №2 в сдаточный цех. Работы по расширению МСЦ №2 идут также мед</w:t>
      </w:r>
      <w:r w:rsidRPr="00DB5D0D">
        <w:rPr>
          <w:rFonts w:ascii="Times New Roman" w:hAnsi="Times New Roman" w:cs="Times New Roman"/>
          <w:i w:val="0"/>
          <w:iCs w:val="0"/>
          <w:color w:val="000000" w:themeColor="text1"/>
          <w:sz w:val="16"/>
          <w:szCs w:val="16"/>
          <w:lang w:val="ru-RU"/>
        </w:rPr>
        <w:softHyphen/>
        <w:t>ленно. Перед началом строительных работ, для подготовки площад</w:t>
      </w:r>
      <w:r w:rsidRPr="00DB5D0D">
        <w:rPr>
          <w:rFonts w:ascii="Times New Roman" w:hAnsi="Times New Roman" w:cs="Times New Roman"/>
          <w:i w:val="0"/>
          <w:iCs w:val="0"/>
          <w:color w:val="000000" w:themeColor="text1"/>
          <w:sz w:val="16"/>
          <w:szCs w:val="16"/>
          <w:lang w:val="ru-RU"/>
        </w:rPr>
        <w:softHyphen/>
        <w:t>ки по всей площади постройки4624 кв. м. необходимо вывезти зем</w:t>
      </w:r>
      <w:r w:rsidRPr="00DB5D0D">
        <w:rPr>
          <w:rFonts w:ascii="Times New Roman" w:hAnsi="Times New Roman" w:cs="Times New Roman"/>
          <w:i w:val="0"/>
          <w:iCs w:val="0"/>
          <w:color w:val="000000" w:themeColor="text1"/>
          <w:sz w:val="16"/>
          <w:szCs w:val="16"/>
          <w:lang w:val="ru-RU"/>
        </w:rPr>
        <w:softHyphen/>
        <w:t>ли около 19000 куб. м. Работы по вывозке земли окончены.</w:t>
      </w:r>
    </w:p>
    <w:p w14:paraId="52D394F8"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22июняс.г. приступают к рытью котлована под фундамент. Стро</w:t>
      </w:r>
      <w:r w:rsidRPr="00DB5D0D">
        <w:rPr>
          <w:rFonts w:ascii="Times New Roman" w:hAnsi="Times New Roman" w:cs="Times New Roman"/>
          <w:i w:val="0"/>
          <w:iCs w:val="0"/>
          <w:color w:val="000000" w:themeColor="text1"/>
          <w:sz w:val="16"/>
          <w:szCs w:val="16"/>
          <w:lang w:val="ru-RU"/>
        </w:rPr>
        <w:softHyphen/>
        <w:t>ительными материалами для начала работ по данному объекту трест «Волгопромстрой» в основном обеспечен. Отсутствует около 15 наи</w:t>
      </w:r>
      <w:r w:rsidRPr="00DB5D0D">
        <w:rPr>
          <w:rFonts w:ascii="Times New Roman" w:hAnsi="Times New Roman" w:cs="Times New Roman"/>
          <w:i w:val="0"/>
          <w:iCs w:val="0"/>
          <w:color w:val="000000" w:themeColor="text1"/>
          <w:sz w:val="16"/>
          <w:szCs w:val="16"/>
          <w:lang w:val="ru-RU"/>
        </w:rPr>
        <w:softHyphen/>
        <w:t>менований профилей железа для ферм, к изготовлению которых стро</w:t>
      </w:r>
      <w:r w:rsidRPr="00DB5D0D">
        <w:rPr>
          <w:rFonts w:ascii="Times New Roman" w:hAnsi="Times New Roman" w:cs="Times New Roman"/>
          <w:i w:val="0"/>
          <w:iCs w:val="0"/>
          <w:color w:val="000000" w:themeColor="text1"/>
          <w:sz w:val="16"/>
          <w:szCs w:val="16"/>
          <w:lang w:val="ru-RU"/>
        </w:rPr>
        <w:softHyphen/>
        <w:t>ители приступить не могут, что вызывает опасение о окончании стро</w:t>
      </w:r>
      <w:r w:rsidRPr="00DB5D0D">
        <w:rPr>
          <w:rFonts w:ascii="Times New Roman" w:hAnsi="Times New Roman" w:cs="Times New Roman"/>
          <w:i w:val="0"/>
          <w:iCs w:val="0"/>
          <w:color w:val="000000" w:themeColor="text1"/>
          <w:sz w:val="16"/>
          <w:szCs w:val="16"/>
          <w:lang w:val="ru-RU"/>
        </w:rPr>
        <w:softHyphen/>
        <w:t>ительных работ в срок к 1/Х-40 г.</w:t>
      </w:r>
    </w:p>
    <w:p w14:paraId="1A06C35D"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Выпущен альбом чертежей нормалей по всей машине. Выпущено чертежей полуфаб</w:t>
      </w:r>
      <w:r w:rsidRPr="00DB5D0D">
        <w:rPr>
          <w:rFonts w:ascii="Times New Roman" w:hAnsi="Times New Roman" w:cs="Times New Roman"/>
          <w:i w:val="0"/>
          <w:iCs w:val="0"/>
          <w:color w:val="000000" w:themeColor="text1"/>
          <w:sz w:val="16"/>
          <w:szCs w:val="16"/>
          <w:lang w:val="ru-RU"/>
        </w:rPr>
        <w:softHyphen/>
        <w:t>рикатов на поковки на 130 штук. Основная при</w:t>
      </w:r>
      <w:r w:rsidRPr="00DB5D0D">
        <w:rPr>
          <w:rFonts w:ascii="Times New Roman" w:hAnsi="Times New Roman" w:cs="Times New Roman"/>
          <w:i w:val="0"/>
          <w:iCs w:val="0"/>
          <w:color w:val="000000" w:themeColor="text1"/>
          <w:sz w:val="16"/>
          <w:szCs w:val="16"/>
          <w:lang w:val="ru-RU"/>
        </w:rPr>
        <w:softHyphen/>
        <w:t>чина задержки выпуска чертежей в производ</w:t>
      </w:r>
      <w:r w:rsidRPr="00DB5D0D">
        <w:rPr>
          <w:rFonts w:ascii="Times New Roman" w:hAnsi="Times New Roman" w:cs="Times New Roman"/>
          <w:i w:val="0"/>
          <w:iCs w:val="0"/>
          <w:color w:val="000000" w:themeColor="text1"/>
          <w:sz w:val="16"/>
          <w:szCs w:val="16"/>
          <w:lang w:val="ru-RU"/>
        </w:rPr>
        <w:softHyphen/>
        <w:t>ство - отсутствие утвержденных замечаний тех</w:t>
      </w:r>
      <w:r w:rsidRPr="00DB5D0D">
        <w:rPr>
          <w:rFonts w:ascii="Times New Roman" w:hAnsi="Times New Roman" w:cs="Times New Roman"/>
          <w:i w:val="0"/>
          <w:iCs w:val="0"/>
          <w:color w:val="000000" w:themeColor="text1"/>
          <w:sz w:val="16"/>
          <w:szCs w:val="16"/>
          <w:lang w:val="ru-RU"/>
        </w:rPr>
        <w:softHyphen/>
        <w:t>нологов СТЗ заводом №183, который из 37групп окончательно утвердил и выслал 9.</w:t>
      </w:r>
    </w:p>
    <w:p w14:paraId="10819563"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Чертежи 41 и 42 групп (сервоуправление) ан</w:t>
      </w:r>
      <w:r w:rsidRPr="00DB5D0D">
        <w:rPr>
          <w:rFonts w:ascii="Times New Roman" w:hAnsi="Times New Roman" w:cs="Times New Roman"/>
          <w:i w:val="0"/>
          <w:iCs w:val="0"/>
          <w:color w:val="000000" w:themeColor="text1"/>
          <w:sz w:val="16"/>
          <w:szCs w:val="16"/>
          <w:lang w:val="ru-RU"/>
        </w:rPr>
        <w:softHyphen/>
        <w:t>нулированы, завод №183 обещает к 25.</w:t>
      </w:r>
      <w:r w:rsidRPr="00DB5D0D">
        <w:rPr>
          <w:rFonts w:ascii="Times New Roman" w:hAnsi="Times New Roman" w:cs="Times New Roman"/>
          <w:i w:val="0"/>
          <w:iCs w:val="0"/>
          <w:noProof w:val="0"/>
          <w:color w:val="000000" w:themeColor="text1"/>
          <w:sz w:val="16"/>
          <w:szCs w:val="16"/>
        </w:rPr>
        <w:t>VI</w:t>
      </w:r>
      <w:r w:rsidRPr="00DB5D0D">
        <w:rPr>
          <w:rFonts w:ascii="Times New Roman" w:hAnsi="Times New Roman" w:cs="Times New Roman"/>
          <w:i w:val="0"/>
          <w:iCs w:val="0"/>
          <w:color w:val="000000" w:themeColor="text1"/>
          <w:sz w:val="16"/>
          <w:szCs w:val="16"/>
          <w:lang w:val="ru-RU"/>
        </w:rPr>
        <w:t>.40 г. выслать чертежи механического сервоуправ- ления.</w:t>
      </w:r>
    </w:p>
    <w:p w14:paraId="564CBF32"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Составлена и согласована с заводом № 183, а также мной ведомость замены марок матери</w:t>
      </w:r>
      <w:r w:rsidRPr="00DB5D0D">
        <w:rPr>
          <w:rFonts w:ascii="Times New Roman" w:hAnsi="Times New Roman" w:cs="Times New Roman"/>
          <w:i w:val="0"/>
          <w:iCs w:val="0"/>
          <w:color w:val="000000" w:themeColor="text1"/>
          <w:sz w:val="16"/>
          <w:szCs w:val="16"/>
          <w:lang w:val="ru-RU"/>
        </w:rPr>
        <w:softHyphen/>
        <w:t>алов завода № 183 на материалы СТЗ по всем деталям, которая послана Вам на утверждение.</w:t>
      </w:r>
    </w:p>
    <w:p w14:paraId="594FBEE6" w14:textId="77777777" w:rsidR="00A25AD1" w:rsidRPr="00DB5D0D" w:rsidRDefault="00A25AD1" w:rsidP="00DB5D0D">
      <w:pPr>
        <w:pStyle w:val="1110"/>
        <w:shd w:val="clear" w:color="auto" w:fill="auto"/>
        <w:tabs>
          <w:tab w:val="left" w:pos="507"/>
        </w:tabs>
        <w:spacing w:line="240" w:lineRule="auto"/>
        <w:jc w:val="both"/>
        <w:rPr>
          <w:rFonts w:ascii="Times New Roman" w:hAnsi="Times New Roman" w:cs="Times New Roman"/>
          <w:i w:val="0"/>
          <w:iCs w:val="0"/>
          <w:color w:val="000000" w:themeColor="text1"/>
          <w:sz w:val="16"/>
          <w:szCs w:val="16"/>
          <w:lang w:val="ru-RU"/>
        </w:rPr>
      </w:pPr>
      <w:r w:rsidRPr="00DB5D0D">
        <w:rPr>
          <w:rStyle w:val="1130"/>
          <w:rFonts w:ascii="Times New Roman" w:hAnsi="Times New Roman" w:cs="Times New Roman"/>
          <w:iCs/>
          <w:color w:val="000000" w:themeColor="text1"/>
          <w:sz w:val="16"/>
          <w:szCs w:val="16"/>
          <w:lang w:val="ru-RU"/>
        </w:rPr>
        <w:t>2.Отработка технологии производства</w:t>
      </w:r>
    </w:p>
    <w:p w14:paraId="635B604F"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Технология по всем группам отработана ина основании ее составлены комплектовочные карты и разработан проект цехов для выпуска машин Т-34.</w:t>
      </w:r>
    </w:p>
    <w:p w14:paraId="438A9FF9" w14:textId="77777777" w:rsidR="00A25AD1" w:rsidRPr="00DB5D0D" w:rsidRDefault="00A25AD1" w:rsidP="00DB5D0D">
      <w:pPr>
        <w:pStyle w:val="1110"/>
        <w:shd w:val="clear" w:color="auto" w:fill="auto"/>
        <w:tabs>
          <w:tab w:val="left" w:pos="490"/>
        </w:tabs>
        <w:spacing w:line="240" w:lineRule="auto"/>
        <w:jc w:val="both"/>
        <w:rPr>
          <w:rFonts w:ascii="Times New Roman" w:hAnsi="Times New Roman" w:cs="Times New Roman"/>
          <w:i w:val="0"/>
          <w:iCs w:val="0"/>
          <w:color w:val="000000" w:themeColor="text1"/>
          <w:sz w:val="16"/>
          <w:szCs w:val="16"/>
          <w:lang w:val="ru-RU"/>
        </w:rPr>
      </w:pPr>
      <w:r w:rsidRPr="00DB5D0D">
        <w:rPr>
          <w:rStyle w:val="1130"/>
          <w:rFonts w:ascii="Times New Roman" w:hAnsi="Times New Roman" w:cs="Times New Roman"/>
          <w:iCs/>
          <w:color w:val="000000" w:themeColor="text1"/>
          <w:sz w:val="16"/>
          <w:szCs w:val="16"/>
          <w:lang w:val="ru-RU"/>
        </w:rPr>
        <w:t>3.Подготовка штампов, приспособлений и инструмент</w:t>
      </w:r>
      <w:r w:rsidRPr="00DB5D0D">
        <w:rPr>
          <w:rStyle w:val="1130"/>
          <w:rFonts w:ascii="Times New Roman" w:hAnsi="Times New Roman" w:cs="Times New Roman"/>
          <w:iCs/>
          <w:noProof w:val="0"/>
          <w:color w:val="000000" w:themeColor="text1"/>
          <w:sz w:val="16"/>
          <w:szCs w:val="16"/>
          <w:lang w:val="ru-RU"/>
        </w:rPr>
        <w:t>а</w:t>
      </w:r>
    </w:p>
    <w:p w14:paraId="3827F52A"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Из 116 наименований деталей, намеченных по программе для кузнечного цеха на июнь месяц, не обеспечены металлом 60 наиме</w:t>
      </w:r>
      <w:r w:rsidRPr="00DB5D0D">
        <w:rPr>
          <w:rFonts w:ascii="Times New Roman" w:hAnsi="Times New Roman" w:cs="Times New Roman"/>
          <w:i w:val="0"/>
          <w:iCs w:val="0"/>
          <w:color w:val="000000" w:themeColor="text1"/>
          <w:sz w:val="16"/>
          <w:szCs w:val="16"/>
          <w:lang w:val="ru-RU"/>
        </w:rPr>
        <w:softHyphen/>
        <w:t>нований. Полностью в дефиците марки сталей 40СХ, 3312, 45НХ, ЮХВВА и ряд профилей по сталям 3,6, 10,20 и 1045, а также «куби</w:t>
      </w:r>
      <w:r w:rsidRPr="00DB5D0D">
        <w:rPr>
          <w:rFonts w:ascii="Times New Roman" w:hAnsi="Times New Roman" w:cs="Times New Roman"/>
          <w:i w:val="0"/>
          <w:iCs w:val="0"/>
          <w:color w:val="000000" w:themeColor="text1"/>
          <w:sz w:val="16"/>
          <w:szCs w:val="16"/>
          <w:lang w:val="ru-RU"/>
        </w:rPr>
        <w:softHyphen/>
        <w:t>ки» для изготовления штампов, которые обязан поставить завод №221. Необходимо срочное вмешательство и содействие НКСМ СССР. Под угрозой невыполнения, по указанным выше причинам, находится программа СТЗ и з-да № 183.</w:t>
      </w:r>
    </w:p>
    <w:p w14:paraId="6FF520B3" w14:textId="77777777" w:rsidR="00A25AD1" w:rsidRPr="00DB5D0D" w:rsidRDefault="00A25AD1" w:rsidP="00DB5D0D">
      <w:pPr>
        <w:pStyle w:val="1110"/>
        <w:shd w:val="clear" w:color="auto" w:fill="auto"/>
        <w:tabs>
          <w:tab w:val="left" w:pos="482"/>
        </w:tabs>
        <w:spacing w:line="240" w:lineRule="auto"/>
        <w:jc w:val="both"/>
        <w:rPr>
          <w:rFonts w:ascii="Times New Roman" w:hAnsi="Times New Roman" w:cs="Times New Roman"/>
          <w:i w:val="0"/>
          <w:iCs w:val="0"/>
          <w:color w:val="000000" w:themeColor="text1"/>
          <w:sz w:val="16"/>
          <w:szCs w:val="16"/>
          <w:lang w:val="ru-RU"/>
        </w:rPr>
      </w:pPr>
      <w:r w:rsidRPr="00DB5D0D">
        <w:rPr>
          <w:rStyle w:val="1130"/>
          <w:rFonts w:ascii="Times New Roman" w:hAnsi="Times New Roman" w:cs="Times New Roman"/>
          <w:iCs/>
          <w:color w:val="000000" w:themeColor="text1"/>
          <w:sz w:val="16"/>
          <w:szCs w:val="16"/>
          <w:lang w:val="ru-RU"/>
        </w:rPr>
        <w:t>4.Обеспеченность станочным оборудованием</w:t>
      </w:r>
    </w:p>
    <w:p w14:paraId="29F46811"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К существующему на СТЗ оборудованию необходимо закупить станков различных типов 250-260 шт.</w:t>
      </w:r>
    </w:p>
    <w:p w14:paraId="20492387"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 виду того, что еще не решен вопрос какие детали 29 и 30 групп будет обрабатывать сам СТЗ и какие завод №264, заявка может быть дополнительно еще увеличена на 15-20 станков.</w:t>
      </w:r>
    </w:p>
    <w:p w14:paraId="30E4B33B"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Прилагаемая ниже ведомость потребного оборудования состав</w:t>
      </w:r>
      <w:r w:rsidRPr="00DB5D0D">
        <w:rPr>
          <w:rFonts w:ascii="Times New Roman" w:hAnsi="Times New Roman" w:cs="Times New Roman"/>
          <w:i w:val="0"/>
          <w:iCs w:val="0"/>
          <w:color w:val="000000" w:themeColor="text1"/>
          <w:sz w:val="16"/>
          <w:szCs w:val="16"/>
          <w:lang w:val="ru-RU"/>
        </w:rPr>
        <w:softHyphen/>
        <w:t>лена не из действительной потребности завода в импортном обору</w:t>
      </w:r>
      <w:r w:rsidRPr="00DB5D0D">
        <w:rPr>
          <w:rFonts w:ascii="Times New Roman" w:hAnsi="Times New Roman" w:cs="Times New Roman"/>
          <w:i w:val="0"/>
          <w:iCs w:val="0"/>
          <w:color w:val="000000" w:themeColor="text1"/>
          <w:sz w:val="16"/>
          <w:szCs w:val="16"/>
          <w:lang w:val="ru-RU"/>
        </w:rPr>
        <w:softHyphen/>
        <w:t>довании, а на основании спецификации уже имеющегося в наличии НКСМ СССР импортного оборудования ранее закупленного и подле</w:t>
      </w:r>
      <w:r w:rsidRPr="00DB5D0D">
        <w:rPr>
          <w:rFonts w:ascii="Times New Roman" w:hAnsi="Times New Roman" w:cs="Times New Roman"/>
          <w:i w:val="0"/>
          <w:iCs w:val="0"/>
          <w:color w:val="000000" w:themeColor="text1"/>
          <w:sz w:val="16"/>
          <w:szCs w:val="16"/>
          <w:lang w:val="ru-RU"/>
        </w:rPr>
        <w:softHyphen/>
        <w:t>жащего реализации при производстве машин Т-34.</w:t>
      </w:r>
    </w:p>
    <w:p w14:paraId="50BCB952"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Из 253 станков, указанных в прилагаемой заявке завезено на завод 23 станка. Размещено заказов на 37 станков. В настоящее время в НКСМ СССР находится представитель СТЗ, которому пору</w:t>
      </w:r>
      <w:r w:rsidRPr="00DB5D0D">
        <w:rPr>
          <w:rFonts w:ascii="Times New Roman" w:hAnsi="Times New Roman" w:cs="Times New Roman"/>
          <w:i w:val="0"/>
          <w:iCs w:val="0"/>
          <w:color w:val="000000" w:themeColor="text1"/>
          <w:sz w:val="16"/>
          <w:szCs w:val="16"/>
          <w:lang w:val="ru-RU"/>
        </w:rPr>
        <w:softHyphen/>
        <w:t>чено разместить заказ, и приобрести недостающее оборудование.</w:t>
      </w:r>
    </w:p>
    <w:p w14:paraId="731E654A" w14:textId="77777777" w:rsidR="00A25AD1" w:rsidRPr="00DB5D0D" w:rsidRDefault="00A25AD1" w:rsidP="00DB5D0D">
      <w:pPr>
        <w:pStyle w:val="1110"/>
        <w:shd w:val="clear" w:color="auto" w:fill="auto"/>
        <w:tabs>
          <w:tab w:val="left" w:pos="487"/>
        </w:tabs>
        <w:spacing w:line="240" w:lineRule="auto"/>
        <w:jc w:val="both"/>
        <w:rPr>
          <w:rFonts w:ascii="Times New Roman" w:hAnsi="Times New Roman" w:cs="Times New Roman"/>
          <w:i w:val="0"/>
          <w:iCs w:val="0"/>
          <w:color w:val="000000" w:themeColor="text1"/>
          <w:sz w:val="16"/>
          <w:szCs w:val="16"/>
          <w:lang w:val="ru-RU"/>
        </w:rPr>
      </w:pPr>
      <w:r w:rsidRPr="00DB5D0D">
        <w:rPr>
          <w:rStyle w:val="1130"/>
          <w:rFonts w:ascii="Times New Roman" w:hAnsi="Times New Roman" w:cs="Times New Roman"/>
          <w:iCs/>
          <w:color w:val="000000" w:themeColor="text1"/>
          <w:sz w:val="16"/>
          <w:szCs w:val="16"/>
          <w:lang w:val="ru-RU"/>
        </w:rPr>
        <w:t>5.Г</w:t>
      </w:r>
      <w:r w:rsidRPr="00DB5D0D">
        <w:rPr>
          <w:rStyle w:val="1130"/>
          <w:rFonts w:ascii="Times New Roman" w:hAnsi="Times New Roman" w:cs="Times New Roman"/>
          <w:iCs/>
          <w:noProof w:val="0"/>
          <w:color w:val="000000" w:themeColor="text1"/>
          <w:sz w:val="16"/>
          <w:szCs w:val="16"/>
          <w:lang w:val="ru-RU"/>
        </w:rPr>
        <w:t>раф</w:t>
      </w:r>
      <w:r w:rsidRPr="00DB5D0D">
        <w:rPr>
          <w:rStyle w:val="1130"/>
          <w:rFonts w:ascii="Times New Roman" w:hAnsi="Times New Roman" w:cs="Times New Roman"/>
          <w:iCs/>
          <w:color w:val="000000" w:themeColor="text1"/>
          <w:sz w:val="16"/>
          <w:szCs w:val="16"/>
          <w:lang w:val="ru-RU"/>
        </w:rPr>
        <w:t>ик выпуска по месяцам и его выполнение</w:t>
      </w:r>
    </w:p>
    <w:p w14:paraId="7020B44D"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Программа цехам по машине Т-34 на 1940 г. и июнь м-ц 1940 г.указана в следующей таблице:</w:t>
      </w:r>
    </w:p>
    <w:tbl>
      <w:tblPr>
        <w:tblW w:w="0" w:type="auto"/>
        <w:tblInd w:w="8" w:type="dxa"/>
        <w:tblLayout w:type="fixed"/>
        <w:tblCellMar>
          <w:left w:w="0" w:type="dxa"/>
          <w:right w:w="0" w:type="dxa"/>
        </w:tblCellMar>
        <w:tblLook w:val="0000" w:firstRow="0" w:lastRow="0" w:firstColumn="0" w:lastColumn="0" w:noHBand="0" w:noVBand="0"/>
      </w:tblPr>
      <w:tblGrid>
        <w:gridCol w:w="1282"/>
        <w:gridCol w:w="888"/>
        <w:gridCol w:w="1416"/>
        <w:gridCol w:w="1459"/>
      </w:tblGrid>
      <w:tr w:rsidR="007D5DF8" w:rsidRPr="00DB5D0D" w14:paraId="150D2357" w14:textId="77777777" w:rsidTr="009223E5">
        <w:trPr>
          <w:trHeight w:val="389"/>
        </w:trPr>
        <w:tc>
          <w:tcPr>
            <w:tcW w:w="1282" w:type="dxa"/>
            <w:tcBorders>
              <w:top w:val="single" w:sz="6" w:space="0" w:color="auto"/>
              <w:left w:val="single" w:sz="6" w:space="0" w:color="auto"/>
              <w:bottom w:val="nil"/>
              <w:right w:val="single" w:sz="6" w:space="0" w:color="auto"/>
            </w:tcBorders>
            <w:shd w:val="clear" w:color="auto" w:fill="FFFFFF"/>
          </w:tcPr>
          <w:p w14:paraId="31B1E7E2"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lastRenderedPageBreak/>
              <w:t>Наименование цехов</w:t>
            </w:r>
          </w:p>
        </w:tc>
        <w:tc>
          <w:tcPr>
            <w:tcW w:w="2304" w:type="dxa"/>
            <w:gridSpan w:val="2"/>
            <w:tcBorders>
              <w:top w:val="single" w:sz="6" w:space="0" w:color="auto"/>
              <w:left w:val="single" w:sz="6" w:space="0" w:color="auto"/>
              <w:bottom w:val="single" w:sz="6" w:space="0" w:color="auto"/>
              <w:right w:val="single" w:sz="6" w:space="0" w:color="auto"/>
            </w:tcBorders>
            <w:shd w:val="clear" w:color="auto" w:fill="FFFFFF"/>
          </w:tcPr>
          <w:p w14:paraId="111990F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Программа в наименованиях деталей</w:t>
            </w:r>
          </w:p>
        </w:tc>
        <w:tc>
          <w:tcPr>
            <w:tcW w:w="1459" w:type="dxa"/>
            <w:tcBorders>
              <w:top w:val="single" w:sz="6" w:space="0" w:color="auto"/>
              <w:left w:val="single" w:sz="6" w:space="0" w:color="auto"/>
              <w:bottom w:val="nil"/>
              <w:right w:val="single" w:sz="6" w:space="0" w:color="auto"/>
            </w:tcBorders>
            <w:shd w:val="clear" w:color="auto" w:fill="FFFFFF"/>
          </w:tcPr>
          <w:p w14:paraId="1CDAE84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Выполнение за 20 дней июня</w:t>
            </w:r>
          </w:p>
        </w:tc>
      </w:tr>
      <w:tr w:rsidR="007D5DF8" w:rsidRPr="00DB5D0D" w14:paraId="5D20CCA1" w14:textId="77777777" w:rsidTr="009223E5">
        <w:trPr>
          <w:trHeight w:val="192"/>
        </w:trPr>
        <w:tc>
          <w:tcPr>
            <w:tcW w:w="1282" w:type="dxa"/>
            <w:tcBorders>
              <w:top w:val="nil"/>
              <w:left w:val="single" w:sz="6" w:space="0" w:color="auto"/>
              <w:bottom w:val="single" w:sz="6" w:space="0" w:color="auto"/>
              <w:right w:val="single" w:sz="6" w:space="0" w:color="auto"/>
            </w:tcBorders>
            <w:shd w:val="clear" w:color="auto" w:fill="FFFFFF"/>
          </w:tcPr>
          <w:p w14:paraId="341181A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p>
        </w:tc>
        <w:tc>
          <w:tcPr>
            <w:tcW w:w="888" w:type="dxa"/>
            <w:tcBorders>
              <w:top w:val="single" w:sz="6" w:space="0" w:color="auto"/>
              <w:left w:val="single" w:sz="6" w:space="0" w:color="auto"/>
              <w:bottom w:val="single" w:sz="6" w:space="0" w:color="auto"/>
              <w:right w:val="single" w:sz="6" w:space="0" w:color="auto"/>
            </w:tcBorders>
            <w:shd w:val="clear" w:color="auto" w:fill="FFFFFF"/>
          </w:tcPr>
          <w:p w14:paraId="1EA763E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1940 г.</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16B0109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Июнь 1940 г.</w:t>
            </w:r>
          </w:p>
        </w:tc>
        <w:tc>
          <w:tcPr>
            <w:tcW w:w="1459" w:type="dxa"/>
            <w:tcBorders>
              <w:top w:val="nil"/>
              <w:left w:val="single" w:sz="6" w:space="0" w:color="auto"/>
              <w:bottom w:val="single" w:sz="6" w:space="0" w:color="auto"/>
              <w:right w:val="single" w:sz="6" w:space="0" w:color="auto"/>
            </w:tcBorders>
            <w:shd w:val="clear" w:color="auto" w:fill="FFFFFF"/>
          </w:tcPr>
          <w:p w14:paraId="7B789CB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p>
        </w:tc>
      </w:tr>
      <w:tr w:rsidR="007D5DF8" w:rsidRPr="00DB5D0D" w14:paraId="0B9F1886" w14:textId="77777777" w:rsidTr="009223E5">
        <w:trPr>
          <w:trHeight w:val="374"/>
        </w:trPr>
        <w:tc>
          <w:tcPr>
            <w:tcW w:w="1282" w:type="dxa"/>
            <w:tcBorders>
              <w:top w:val="single" w:sz="6" w:space="0" w:color="auto"/>
              <w:left w:val="single" w:sz="6" w:space="0" w:color="auto"/>
              <w:bottom w:val="single" w:sz="6" w:space="0" w:color="auto"/>
              <w:right w:val="single" w:sz="6" w:space="0" w:color="auto"/>
            </w:tcBorders>
            <w:shd w:val="clear" w:color="auto" w:fill="FFFFFF"/>
          </w:tcPr>
          <w:p w14:paraId="4E57268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Прессовый цех</w:t>
            </w:r>
          </w:p>
        </w:tc>
        <w:tc>
          <w:tcPr>
            <w:tcW w:w="888" w:type="dxa"/>
            <w:tcBorders>
              <w:top w:val="single" w:sz="6" w:space="0" w:color="auto"/>
              <w:left w:val="single" w:sz="6" w:space="0" w:color="auto"/>
              <w:bottom w:val="single" w:sz="6" w:space="0" w:color="auto"/>
              <w:right w:val="single" w:sz="6" w:space="0" w:color="auto"/>
            </w:tcBorders>
            <w:shd w:val="clear" w:color="auto" w:fill="FFFFFF"/>
          </w:tcPr>
          <w:p w14:paraId="006D4A42"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1337</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7BC6713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524</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06F1F70B"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В производстве — 60</w:t>
            </w:r>
          </w:p>
        </w:tc>
      </w:tr>
      <w:tr w:rsidR="007D5DF8" w:rsidRPr="00DB5D0D" w14:paraId="49C14BDD" w14:textId="77777777" w:rsidTr="009223E5">
        <w:trPr>
          <w:trHeight w:val="370"/>
        </w:trPr>
        <w:tc>
          <w:tcPr>
            <w:tcW w:w="1282" w:type="dxa"/>
            <w:tcBorders>
              <w:top w:val="single" w:sz="6" w:space="0" w:color="auto"/>
              <w:left w:val="single" w:sz="6" w:space="0" w:color="auto"/>
              <w:bottom w:val="single" w:sz="6" w:space="0" w:color="auto"/>
              <w:right w:val="single" w:sz="6" w:space="0" w:color="auto"/>
            </w:tcBorders>
            <w:shd w:val="clear" w:color="auto" w:fill="FFFFFF"/>
          </w:tcPr>
          <w:p w14:paraId="717C70A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Автоматно- серийный цех</w:t>
            </w:r>
          </w:p>
        </w:tc>
        <w:tc>
          <w:tcPr>
            <w:tcW w:w="888" w:type="dxa"/>
            <w:tcBorders>
              <w:top w:val="single" w:sz="6" w:space="0" w:color="auto"/>
              <w:left w:val="single" w:sz="6" w:space="0" w:color="auto"/>
              <w:bottom w:val="single" w:sz="6" w:space="0" w:color="auto"/>
              <w:right w:val="single" w:sz="6" w:space="0" w:color="auto"/>
            </w:tcBorders>
            <w:shd w:val="clear" w:color="auto" w:fill="FFFFFF"/>
          </w:tcPr>
          <w:p w14:paraId="4DFA4AF9"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391</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161B14FE"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71</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2801024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В производстве — 30</w:t>
            </w:r>
          </w:p>
        </w:tc>
      </w:tr>
      <w:tr w:rsidR="007D5DF8" w:rsidRPr="00DB5D0D" w14:paraId="580DFEB8" w14:textId="77777777" w:rsidTr="009223E5">
        <w:trPr>
          <w:trHeight w:val="374"/>
        </w:trPr>
        <w:tc>
          <w:tcPr>
            <w:tcW w:w="1282" w:type="dxa"/>
            <w:tcBorders>
              <w:top w:val="single" w:sz="6" w:space="0" w:color="auto"/>
              <w:left w:val="single" w:sz="6" w:space="0" w:color="auto"/>
              <w:bottom w:val="single" w:sz="6" w:space="0" w:color="auto"/>
              <w:right w:val="single" w:sz="6" w:space="0" w:color="auto"/>
            </w:tcBorders>
            <w:shd w:val="clear" w:color="auto" w:fill="FFFFFF"/>
          </w:tcPr>
          <w:p w14:paraId="1788309C"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Метизный филиал</w:t>
            </w:r>
          </w:p>
        </w:tc>
        <w:tc>
          <w:tcPr>
            <w:tcW w:w="888" w:type="dxa"/>
            <w:tcBorders>
              <w:top w:val="single" w:sz="6" w:space="0" w:color="auto"/>
              <w:left w:val="single" w:sz="6" w:space="0" w:color="auto"/>
              <w:bottom w:val="single" w:sz="6" w:space="0" w:color="auto"/>
              <w:right w:val="single" w:sz="6" w:space="0" w:color="auto"/>
            </w:tcBorders>
            <w:shd w:val="clear" w:color="auto" w:fill="FFFFFF"/>
          </w:tcPr>
          <w:p w14:paraId="5EBD838C"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264</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276C7883"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72</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07580D9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30CA1E3" w14:textId="77777777" w:rsidTr="009223E5">
        <w:trPr>
          <w:trHeight w:val="374"/>
        </w:trPr>
        <w:tc>
          <w:tcPr>
            <w:tcW w:w="1282" w:type="dxa"/>
            <w:tcBorders>
              <w:top w:val="single" w:sz="6" w:space="0" w:color="auto"/>
              <w:left w:val="single" w:sz="6" w:space="0" w:color="auto"/>
              <w:bottom w:val="single" w:sz="6" w:space="0" w:color="auto"/>
              <w:right w:val="single" w:sz="6" w:space="0" w:color="auto"/>
            </w:tcBorders>
            <w:shd w:val="clear" w:color="auto" w:fill="FFFFFF"/>
          </w:tcPr>
          <w:p w14:paraId="2BF1C0C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Обойно-кузовной цех</w:t>
            </w:r>
          </w:p>
        </w:tc>
        <w:tc>
          <w:tcPr>
            <w:tcW w:w="888" w:type="dxa"/>
            <w:tcBorders>
              <w:top w:val="single" w:sz="6" w:space="0" w:color="auto"/>
              <w:left w:val="single" w:sz="6" w:space="0" w:color="auto"/>
              <w:bottom w:val="single" w:sz="6" w:space="0" w:color="auto"/>
              <w:right w:val="single" w:sz="6" w:space="0" w:color="auto"/>
            </w:tcBorders>
            <w:shd w:val="clear" w:color="auto" w:fill="FFFFFF"/>
          </w:tcPr>
          <w:p w14:paraId="747D1CEE"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150</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7ECBCEB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55</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6BC6573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C885FCD" w14:textId="77777777" w:rsidTr="009223E5">
        <w:trPr>
          <w:trHeight w:val="370"/>
        </w:trPr>
        <w:tc>
          <w:tcPr>
            <w:tcW w:w="1282" w:type="dxa"/>
            <w:tcBorders>
              <w:top w:val="single" w:sz="6" w:space="0" w:color="auto"/>
              <w:left w:val="single" w:sz="6" w:space="0" w:color="auto"/>
              <w:bottom w:val="single" w:sz="6" w:space="0" w:color="auto"/>
              <w:right w:val="single" w:sz="6" w:space="0" w:color="auto"/>
            </w:tcBorders>
            <w:shd w:val="clear" w:color="auto" w:fill="FFFFFF"/>
          </w:tcPr>
          <w:p w14:paraId="06AB5144"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МСЦ №2</w:t>
            </w:r>
          </w:p>
        </w:tc>
        <w:tc>
          <w:tcPr>
            <w:tcW w:w="888" w:type="dxa"/>
            <w:tcBorders>
              <w:top w:val="single" w:sz="6" w:space="0" w:color="auto"/>
              <w:left w:val="single" w:sz="6" w:space="0" w:color="auto"/>
              <w:bottom w:val="single" w:sz="6" w:space="0" w:color="auto"/>
              <w:right w:val="single" w:sz="6" w:space="0" w:color="auto"/>
            </w:tcBorders>
            <w:shd w:val="clear" w:color="auto" w:fill="FFFFFF"/>
          </w:tcPr>
          <w:p w14:paraId="75596256"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527</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011E65C5"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205</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0632F90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Отсутствуют заготовки</w:t>
            </w:r>
          </w:p>
        </w:tc>
      </w:tr>
      <w:tr w:rsidR="007D5DF8" w:rsidRPr="00DB5D0D" w14:paraId="7E3D3127" w14:textId="77777777" w:rsidTr="009223E5">
        <w:trPr>
          <w:trHeight w:val="192"/>
        </w:trPr>
        <w:tc>
          <w:tcPr>
            <w:tcW w:w="1282" w:type="dxa"/>
            <w:tcBorders>
              <w:top w:val="single" w:sz="6" w:space="0" w:color="auto"/>
              <w:left w:val="single" w:sz="6" w:space="0" w:color="auto"/>
              <w:bottom w:val="single" w:sz="6" w:space="0" w:color="auto"/>
              <w:right w:val="single" w:sz="6" w:space="0" w:color="auto"/>
            </w:tcBorders>
            <w:shd w:val="clear" w:color="auto" w:fill="FFFFFF"/>
          </w:tcPr>
          <w:p w14:paraId="46D03424"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Узлы в МСЦ №2</w:t>
            </w:r>
          </w:p>
        </w:tc>
        <w:tc>
          <w:tcPr>
            <w:tcW w:w="888" w:type="dxa"/>
            <w:tcBorders>
              <w:top w:val="single" w:sz="6" w:space="0" w:color="auto"/>
              <w:left w:val="single" w:sz="6" w:space="0" w:color="auto"/>
              <w:bottom w:val="single" w:sz="6" w:space="0" w:color="auto"/>
              <w:right w:val="single" w:sz="6" w:space="0" w:color="auto"/>
            </w:tcBorders>
            <w:shd w:val="clear" w:color="auto" w:fill="FFFFFF"/>
          </w:tcPr>
          <w:p w14:paraId="3C6D1CA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22</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0EFEDE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4F86B79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1A7EB68" w14:textId="77777777" w:rsidTr="009223E5">
        <w:trPr>
          <w:trHeight w:val="187"/>
        </w:trPr>
        <w:tc>
          <w:tcPr>
            <w:tcW w:w="1282" w:type="dxa"/>
            <w:tcBorders>
              <w:top w:val="single" w:sz="6" w:space="0" w:color="auto"/>
              <w:left w:val="single" w:sz="6" w:space="0" w:color="auto"/>
              <w:bottom w:val="single" w:sz="6" w:space="0" w:color="auto"/>
              <w:right w:val="single" w:sz="6" w:space="0" w:color="auto"/>
            </w:tcBorders>
            <w:shd w:val="clear" w:color="auto" w:fill="FFFFFF"/>
          </w:tcPr>
          <w:p w14:paraId="0C93B290"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Кузнечный цех</w:t>
            </w:r>
          </w:p>
        </w:tc>
        <w:tc>
          <w:tcPr>
            <w:tcW w:w="888" w:type="dxa"/>
            <w:tcBorders>
              <w:top w:val="single" w:sz="6" w:space="0" w:color="auto"/>
              <w:left w:val="single" w:sz="6" w:space="0" w:color="auto"/>
              <w:bottom w:val="single" w:sz="6" w:space="0" w:color="auto"/>
              <w:right w:val="single" w:sz="6" w:space="0" w:color="auto"/>
            </w:tcBorders>
            <w:shd w:val="clear" w:color="auto" w:fill="FFFFFF"/>
          </w:tcPr>
          <w:p w14:paraId="1935E88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4253417"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116</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624C3C08"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18 нет металла</w:t>
            </w:r>
          </w:p>
        </w:tc>
      </w:tr>
      <w:tr w:rsidR="007D5DF8" w:rsidRPr="00DB5D0D" w14:paraId="0534F589" w14:textId="77777777" w:rsidTr="009223E5">
        <w:trPr>
          <w:trHeight w:val="389"/>
        </w:trPr>
        <w:tc>
          <w:tcPr>
            <w:tcW w:w="1282" w:type="dxa"/>
            <w:tcBorders>
              <w:top w:val="single" w:sz="6" w:space="0" w:color="auto"/>
              <w:left w:val="single" w:sz="6" w:space="0" w:color="auto"/>
              <w:bottom w:val="single" w:sz="6" w:space="0" w:color="auto"/>
              <w:right w:val="single" w:sz="6" w:space="0" w:color="auto"/>
            </w:tcBorders>
            <w:shd w:val="clear" w:color="auto" w:fill="FFFFFF"/>
          </w:tcPr>
          <w:p w14:paraId="41FEA8DB"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Чугунолитейный цех</w:t>
            </w:r>
          </w:p>
        </w:tc>
        <w:tc>
          <w:tcPr>
            <w:tcW w:w="888" w:type="dxa"/>
            <w:tcBorders>
              <w:top w:val="single" w:sz="6" w:space="0" w:color="auto"/>
              <w:left w:val="single" w:sz="6" w:space="0" w:color="auto"/>
              <w:bottom w:val="single" w:sz="6" w:space="0" w:color="auto"/>
              <w:right w:val="single" w:sz="6" w:space="0" w:color="auto"/>
            </w:tcBorders>
            <w:shd w:val="clear" w:color="auto" w:fill="FFFFFF"/>
          </w:tcPr>
          <w:p w14:paraId="61A0BC9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6E70B1D1"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45</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74629682" w14:textId="77777777" w:rsidR="00A25AD1" w:rsidRPr="00DB5D0D" w:rsidRDefault="00A25AD1"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17 нет металла</w:t>
            </w:r>
          </w:p>
        </w:tc>
      </w:tr>
    </w:tbl>
    <w:p w14:paraId="5BBC496E"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Необходимо добиться через НКСМ удовлетворения заявки на металл по данному объекту.</w:t>
      </w:r>
    </w:p>
    <w:p w14:paraId="6159F7CC" w14:textId="77777777" w:rsidR="00A25AD1" w:rsidRPr="00DB5D0D" w:rsidRDefault="00A25AD1" w:rsidP="00DB5D0D">
      <w:pPr>
        <w:pStyle w:val="161"/>
        <w:shd w:val="clear" w:color="auto" w:fill="auto"/>
        <w:spacing w:line="240" w:lineRule="auto"/>
        <w:ind w:firstLine="0"/>
        <w:jc w:val="both"/>
        <w:rPr>
          <w:rFonts w:ascii="Times New Roman" w:hAnsi="Times New Roman" w:cs="Times New Roman"/>
          <w:color w:val="000000" w:themeColor="text1"/>
          <w:sz w:val="16"/>
          <w:szCs w:val="16"/>
          <w:lang w:val="ru-RU"/>
        </w:rPr>
      </w:pPr>
      <w:r w:rsidRPr="00DB5D0D">
        <w:rPr>
          <w:rFonts w:ascii="Times New Roman" w:hAnsi="Times New Roman" w:cs="Times New Roman"/>
          <w:color w:val="000000" w:themeColor="text1"/>
          <w:sz w:val="16"/>
          <w:szCs w:val="16"/>
          <w:lang w:val="ru-RU"/>
        </w:rPr>
        <w:t>Крыша башни (машина №311 -25-3).</w:t>
      </w:r>
    </w:p>
    <w:p w14:paraId="53842A18"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Для своевременной проверки хода подготовки средств произ</w:t>
      </w:r>
      <w:r w:rsidRPr="00DB5D0D">
        <w:rPr>
          <w:rFonts w:ascii="Times New Roman" w:hAnsi="Times New Roman" w:cs="Times New Roman"/>
          <w:i w:val="0"/>
          <w:iCs w:val="0"/>
          <w:color w:val="000000" w:themeColor="text1"/>
          <w:sz w:val="16"/>
          <w:szCs w:val="16"/>
          <w:lang w:val="ru-RU"/>
        </w:rPr>
        <w:softHyphen/>
        <w:t>водства, хода строительства, для контроля за качеством изготовля</w:t>
      </w:r>
      <w:r w:rsidRPr="00DB5D0D">
        <w:rPr>
          <w:rFonts w:ascii="Times New Roman" w:hAnsi="Times New Roman" w:cs="Times New Roman"/>
          <w:i w:val="0"/>
          <w:iCs w:val="0"/>
          <w:color w:val="000000" w:themeColor="text1"/>
          <w:sz w:val="16"/>
          <w:szCs w:val="16"/>
          <w:lang w:val="ru-RU"/>
        </w:rPr>
        <w:softHyphen/>
        <w:t>емой продукции, приема продукции посменно, необходимо увели</w:t>
      </w:r>
      <w:r w:rsidRPr="00DB5D0D">
        <w:rPr>
          <w:rFonts w:ascii="Times New Roman" w:hAnsi="Times New Roman" w:cs="Times New Roman"/>
          <w:i w:val="0"/>
          <w:iCs w:val="0"/>
          <w:color w:val="000000" w:themeColor="text1"/>
          <w:sz w:val="16"/>
          <w:szCs w:val="16"/>
          <w:lang w:val="ru-RU"/>
        </w:rPr>
        <w:softHyphen/>
        <w:t>чить штат военной приемки на СТЗ. Из штата 6 чел. на сегодняш</w:t>
      </w:r>
      <w:r w:rsidRPr="00DB5D0D">
        <w:rPr>
          <w:rFonts w:ascii="Times New Roman" w:hAnsi="Times New Roman" w:cs="Times New Roman"/>
          <w:i w:val="0"/>
          <w:iCs w:val="0"/>
          <w:color w:val="000000" w:themeColor="text1"/>
          <w:sz w:val="16"/>
          <w:szCs w:val="16"/>
          <w:lang w:val="ru-RU"/>
        </w:rPr>
        <w:softHyphen/>
        <w:t>ний день занято на приемке тракторов и запчастей 4 человека.</w:t>
      </w:r>
    </w:p>
    <w:p w14:paraId="104FC485"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Наличный штат работает с перегрузкой, т.к. ежемесячно прихо</w:t>
      </w:r>
      <w:r w:rsidRPr="00DB5D0D">
        <w:rPr>
          <w:rFonts w:ascii="Times New Roman" w:hAnsi="Times New Roman" w:cs="Times New Roman"/>
          <w:i w:val="0"/>
          <w:iCs w:val="0"/>
          <w:color w:val="000000" w:themeColor="text1"/>
          <w:sz w:val="16"/>
          <w:szCs w:val="16"/>
          <w:lang w:val="ru-RU"/>
        </w:rPr>
        <w:softHyphen/>
        <w:t xml:space="preserve">дится принимать и отправлять около 300 тракторов и запчастей к ним на сумму 350. </w:t>
      </w:r>
      <w:r w:rsidRPr="00DB5D0D">
        <w:rPr>
          <w:rFonts w:ascii="Times New Roman" w:hAnsi="Times New Roman" w:cs="Times New Roman"/>
          <w:i w:val="0"/>
          <w:iCs w:val="0"/>
          <w:noProof w:val="0"/>
          <w:color w:val="000000" w:themeColor="text1"/>
          <w:sz w:val="16"/>
          <w:szCs w:val="16"/>
          <w:lang w:val="ru-RU"/>
        </w:rPr>
        <w:t>000</w:t>
      </w:r>
      <w:r w:rsidRPr="00DB5D0D">
        <w:rPr>
          <w:rFonts w:ascii="Times New Roman" w:hAnsi="Times New Roman" w:cs="Times New Roman"/>
          <w:i w:val="0"/>
          <w:iCs w:val="0"/>
          <w:color w:val="000000" w:themeColor="text1"/>
          <w:sz w:val="16"/>
          <w:szCs w:val="16"/>
          <w:lang w:val="ru-RU"/>
        </w:rPr>
        <w:t xml:space="preserve"> р.</w:t>
      </w:r>
    </w:p>
    <w:p w14:paraId="5F32E813"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Для приемки машин и узлов Т-34 необходимо:</w:t>
      </w:r>
    </w:p>
    <w:p w14:paraId="3EFDFEDD" w14:textId="77777777" w:rsidR="00A25AD1" w:rsidRPr="00DB5D0D" w:rsidRDefault="00A25AD1" w:rsidP="00DB5D0D">
      <w:pPr>
        <w:pStyle w:val="1110"/>
        <w:shd w:val="clear" w:color="auto" w:fill="auto"/>
        <w:tabs>
          <w:tab w:val="left" w:pos="481"/>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а)на сборку машин по 2 чел. В смену на 2 см. - воентехников - 4 чел.</w:t>
      </w:r>
    </w:p>
    <w:p w14:paraId="31273595" w14:textId="77777777" w:rsidR="00A25AD1" w:rsidRPr="00DB5D0D" w:rsidRDefault="00A25AD1" w:rsidP="00DB5D0D">
      <w:pPr>
        <w:pStyle w:val="1110"/>
        <w:shd w:val="clear" w:color="auto" w:fill="auto"/>
        <w:tabs>
          <w:tab w:val="left" w:pos="492"/>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б)на обкатку машин - воентехников - 2 чел.</w:t>
      </w:r>
    </w:p>
    <w:p w14:paraId="483F720A" w14:textId="77777777" w:rsidR="00A25AD1" w:rsidRPr="00DB5D0D" w:rsidRDefault="00A25AD1" w:rsidP="00DB5D0D">
      <w:pPr>
        <w:pStyle w:val="1110"/>
        <w:shd w:val="clear" w:color="auto" w:fill="auto"/>
        <w:tabs>
          <w:tab w:val="left" w:pos="466"/>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в)для проверки подготовки средств производства, хода строи</w:t>
      </w:r>
      <w:r w:rsidRPr="00DB5D0D">
        <w:rPr>
          <w:rFonts w:ascii="Times New Roman" w:hAnsi="Times New Roman" w:cs="Times New Roman"/>
          <w:i w:val="0"/>
          <w:iCs w:val="0"/>
          <w:color w:val="000000" w:themeColor="text1"/>
          <w:sz w:val="16"/>
          <w:szCs w:val="16"/>
          <w:lang w:val="ru-RU"/>
        </w:rPr>
        <w:softHyphen/>
        <w:t>тельства - 2 чел.</w:t>
      </w:r>
    </w:p>
    <w:p w14:paraId="4506CC77"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Итого: 8 чел.</w:t>
      </w:r>
    </w:p>
    <w:p w14:paraId="30DEBB1C"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Фактически же работает только 2 чел (2 военинженера) и охва</w:t>
      </w:r>
      <w:r w:rsidRPr="00DB5D0D">
        <w:rPr>
          <w:rFonts w:ascii="Times New Roman" w:hAnsi="Times New Roman" w:cs="Times New Roman"/>
          <w:i w:val="0"/>
          <w:iCs w:val="0"/>
          <w:color w:val="000000" w:themeColor="text1"/>
          <w:sz w:val="16"/>
          <w:szCs w:val="16"/>
          <w:lang w:val="ru-RU"/>
        </w:rPr>
        <w:softHyphen/>
        <w:t>тить весь объем работ крайне трудно. Прошу увеличить штат воен</w:t>
      </w:r>
      <w:r w:rsidRPr="00DB5D0D">
        <w:rPr>
          <w:rFonts w:ascii="Times New Roman" w:hAnsi="Times New Roman" w:cs="Times New Roman"/>
          <w:i w:val="0"/>
          <w:iCs w:val="0"/>
          <w:color w:val="000000" w:themeColor="text1"/>
          <w:sz w:val="16"/>
          <w:szCs w:val="16"/>
          <w:lang w:val="ru-RU"/>
        </w:rPr>
        <w:softHyphen/>
        <w:t>ной приемки.</w:t>
      </w:r>
    </w:p>
    <w:p w14:paraId="6BBCFEC1"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 xml:space="preserve">ВОЕНПРЕД АБТУ КА ВОЕНИНЖЕНЕР 2 РАНГА ЛЕВИН. [ЦАМО. Ф.38. </w:t>
      </w:r>
      <w:r w:rsidRPr="00DB5D0D">
        <w:rPr>
          <w:rFonts w:ascii="Times New Roman" w:hAnsi="Times New Roman" w:cs="Times New Roman"/>
          <w:i w:val="0"/>
          <w:iCs w:val="0"/>
          <w:noProof w:val="0"/>
          <w:color w:val="000000" w:themeColor="text1"/>
          <w:sz w:val="16"/>
          <w:szCs w:val="16"/>
        </w:rPr>
        <w:t>On</w:t>
      </w:r>
      <w:r w:rsidRPr="00DB5D0D">
        <w:rPr>
          <w:rFonts w:ascii="Times New Roman" w:hAnsi="Times New Roman" w:cs="Times New Roman"/>
          <w:i w:val="0"/>
          <w:iCs w:val="0"/>
          <w:noProof w:val="0"/>
          <w:color w:val="000000" w:themeColor="text1"/>
          <w:sz w:val="16"/>
          <w:szCs w:val="16"/>
          <w:lang w:val="ru-RU"/>
        </w:rPr>
        <w:t xml:space="preserve">. </w:t>
      </w:r>
      <w:r w:rsidRPr="00DB5D0D">
        <w:rPr>
          <w:rFonts w:ascii="Times New Roman" w:hAnsi="Times New Roman" w:cs="Times New Roman"/>
          <w:i w:val="0"/>
          <w:iCs w:val="0"/>
          <w:color w:val="000000" w:themeColor="text1"/>
          <w:sz w:val="16"/>
          <w:szCs w:val="16"/>
          <w:lang w:val="ru-RU"/>
        </w:rPr>
        <w:t>11355. Д.30. Л. 15-21</w:t>
      </w:r>
      <w:r w:rsidRPr="00DB5D0D">
        <w:rPr>
          <w:rFonts w:ascii="Times New Roman" w:hAnsi="Times New Roman" w:cs="Times New Roman"/>
          <w:bCs/>
          <w:i w:val="0"/>
          <w:color w:val="000000" w:themeColor="text1"/>
          <w:sz w:val="16"/>
          <w:szCs w:val="16"/>
          <w:lang w:val="ru-RU"/>
        </w:rPr>
        <w:t>.</w:t>
      </w:r>
      <w:r w:rsidRPr="00DB5D0D">
        <w:rPr>
          <w:rFonts w:ascii="Times New Roman" w:hAnsi="Times New Roman" w:cs="Times New Roman"/>
          <w:i w:val="0"/>
          <w:iCs w:val="0"/>
          <w:color w:val="000000" w:themeColor="text1"/>
          <w:sz w:val="16"/>
          <w:szCs w:val="16"/>
          <w:lang w:val="ru-RU"/>
        </w:rPr>
        <w:t>]</w:t>
      </w:r>
      <w:r w:rsidRPr="00DB5D0D">
        <w:rPr>
          <w:rFonts w:ascii="Times New Roman" w:hAnsi="Times New Roman" w:cs="Times New Roman"/>
          <w:i w:val="0"/>
          <w:iCs w:val="0"/>
          <w:noProof w:val="0"/>
          <w:color w:val="000000" w:themeColor="text1"/>
          <w:sz w:val="16"/>
          <w:szCs w:val="16"/>
          <w:lang w:val="ru-RU"/>
        </w:rPr>
        <w:t xml:space="preserve"> (11906).</w:t>
      </w:r>
    </w:p>
    <w:p w14:paraId="4C862D4C" w14:textId="77777777" w:rsidR="00A25AD1" w:rsidRPr="00DB5D0D" w:rsidRDefault="00A25AD1" w:rsidP="00DB5D0D">
      <w:pPr>
        <w:pStyle w:val="a3"/>
        <w:rPr>
          <w:color w:val="000000" w:themeColor="text1"/>
          <w:lang w:val="ru-RU"/>
        </w:rPr>
      </w:pPr>
    </w:p>
    <w:p w14:paraId="528487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 секретарь КО М. Пугаев писал письмо № 5712/ко нарокмвооружения Ванникову Б.Л., наркомсудпром Носенко И.И., наркомчермет Тевосяну И.Т., НКО Тимошенко С.К., Главный контроль Новикову А.С.</w:t>
      </w:r>
    </w:p>
    <w:p w14:paraId="415924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Сообщаю, что КО в развитие своего постановления за № 7с от 4 января 1940 года разрешает наркому вооружения освободить НИИ-13 от дальнейших работ по подбору броневой стали для газовых баллонов с оставлением этих работ в НИИ-48 НКСП (7709, 457).</w:t>
      </w:r>
    </w:p>
    <w:p w14:paraId="13E5819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A99C1A" w14:textId="77777777" w:rsidR="00CE5B6F"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13D68344" w14:textId="77777777" w:rsidR="00CE5B6F" w:rsidRPr="00DB5D0D" w:rsidRDefault="00CE5B6F" w:rsidP="00DB5D0D">
      <w:pPr>
        <w:spacing w:after="0" w:line="240" w:lineRule="auto"/>
        <w:jc w:val="both"/>
        <w:rPr>
          <w:rFonts w:ascii="Times New Roman" w:hAnsi="Times New Roman"/>
          <w:iCs/>
          <w:color w:val="000000" w:themeColor="text1"/>
          <w:sz w:val="16"/>
          <w:szCs w:val="16"/>
        </w:rPr>
      </w:pPr>
    </w:p>
    <w:p w14:paraId="277677CF" w14:textId="77777777" w:rsidR="00CE5B6F" w:rsidRPr="00DB5D0D" w:rsidRDefault="00CE5B6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20 июня 1940 года с Мытищинского вагоностроительного завода на Московский метрополитен прибыл первый моторный вагон типа Г и совершил пробный рейс на участке «Сокольники» — «Центральный парк культуры и отдыха им. Горького». После поступления с завода еще четырех моторных вагонов типа Г из них был составлен поезд, который испытывался в августе-сентябре 1940 года; в октябре началась его опытная эксплуатация на Горьковской линии. Всего в 1940 году Мытищинским вагоностроительным заводом и заводом «Динамо» имени С.М. Кирова было выпущено 6 моторных вагонов типа Г, получивших номера 201-206 (с 1945 года №№301-306).Электровагоны типа Г имели более округленные очертания, чем электровагоны типов А и Б. Длина кузова вагона типа Г была увеличена по сравнению с вагоном Б на 370 мм. и составляла 18770 мм., что при одновременном уменьшении длины кабины машиниста на 100 мм. позволило увеличить длину пассажирского салона на 470 мм. При этом длина по центрам автосцепок и база электровагона были увеличены на 200мм.; ширина его осталась прежней — 2700 мм. Масса опытного моторного вагона с электрическим оборудованием равнялась 42 т. (17409).</w:t>
      </w:r>
    </w:p>
    <w:p w14:paraId="06DF0B35" w14:textId="77777777" w:rsidR="00CE5B6F" w:rsidRPr="00DB5D0D" w:rsidRDefault="00CE5B6F" w:rsidP="00DB5D0D">
      <w:pPr>
        <w:spacing w:after="0" w:line="240" w:lineRule="auto"/>
        <w:jc w:val="both"/>
        <w:rPr>
          <w:rFonts w:ascii="Times New Roman" w:hAnsi="Times New Roman"/>
          <w:iCs/>
          <w:color w:val="000000" w:themeColor="text1"/>
          <w:sz w:val="16"/>
          <w:szCs w:val="16"/>
        </w:rPr>
      </w:pPr>
    </w:p>
    <w:p w14:paraId="35BD9CE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6397A6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00568C9" w14:textId="25A12A8C" w:rsidR="003544E2" w:rsidRPr="00DB5D0D" w:rsidRDefault="003544E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 июня 1940 Франция сдается Германии (20795).</w:t>
      </w:r>
    </w:p>
    <w:p w14:paraId="5A91C222" w14:textId="77777777" w:rsidR="003544E2" w:rsidRPr="00DB5D0D" w:rsidRDefault="003544E2" w:rsidP="00DB5D0D">
      <w:pPr>
        <w:spacing w:after="0" w:line="240" w:lineRule="auto"/>
        <w:jc w:val="both"/>
        <w:rPr>
          <w:rFonts w:ascii="Times New Roman" w:hAnsi="Times New Roman"/>
          <w:color w:val="0070C0"/>
          <w:sz w:val="16"/>
          <w:szCs w:val="16"/>
        </w:rPr>
      </w:pPr>
    </w:p>
    <w:p w14:paraId="24D16766" w14:textId="77777777" w:rsidR="003544E2" w:rsidRPr="00DB5D0D" w:rsidRDefault="003544E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 июня 1940 Генерал Кессельринг направляет Гауптмана Wolfgang Falck создать в Люфтваффе первую настоящую честь ночных истребителей, Nachtjagdgeschwader 1. Это рождение немецких специализированных ночных истребителей времен Второй мировой войны (20795).</w:t>
      </w:r>
    </w:p>
    <w:p w14:paraId="10786DC1" w14:textId="77777777" w:rsidR="003544E2" w:rsidRPr="00DB5D0D" w:rsidRDefault="003544E2" w:rsidP="00DB5D0D">
      <w:pPr>
        <w:spacing w:after="0" w:line="240" w:lineRule="auto"/>
        <w:jc w:val="both"/>
        <w:rPr>
          <w:rFonts w:ascii="Times New Roman" w:hAnsi="Times New Roman"/>
          <w:color w:val="0070C0"/>
          <w:sz w:val="16"/>
          <w:szCs w:val="16"/>
        </w:rPr>
      </w:pPr>
    </w:p>
    <w:p w14:paraId="261885A6"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22nd, 1940: An armistice between France and Germany is signed at Compiegne. Its terms, read out loud to the French delegation by Generaloberst Keitel, provide for the occupation of the entire Channel and Atlantic coastlines, all major industrial areas, Alsace-Lorraine (to be returned to Germany). Most of southern France will remain unoccupied, with a French administrative center at Vichy; the French Army and Navy is to be demobilized and disarmed; France is to bear the cost of the German occupation, and all French prisoners of war are to remain in Germany until a peace treaty is signed (3819).</w:t>
      </w:r>
    </w:p>
    <w:p w14:paraId="15CC03C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4EBAA8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в Компьене в том же вагоне было подписано франко-германское соглашение о перемирии (2443,416).</w:t>
      </w:r>
    </w:p>
    <w:p w14:paraId="69EA14A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26A7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в Компьене французские делегаты поставили свои подписи под соглашением о франко-германском перемирии.</w:t>
      </w:r>
    </w:p>
    <w:p w14:paraId="69F2D8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его условиям германские войска заняли северные и западные районы Франции. В южной части страны сохранялась французская администрация, и германские войска в нее не вводились, за исключением ряда пунктов на франко-испанской границе, где были размещены немецкие гарнизоны. Кроме того, французские войска были отведены на 50 км от линии фактического соприкосновения с итальянской армией на юге.</w:t>
      </w:r>
    </w:p>
    <w:p w14:paraId="2471D5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Взамен оккупированного Парижа правительство Петена сделало местом своего пребывания г. Виши. Оно сохранило свою власть над французскими колониями, главнейшие из которых в стратегическом смысле находились в Северной Африке и Индокитае. Режим Виши формально сохранял под своим командованием французский флот, который он обязался сконцентрировать в Тулоне и разоружить. Под германо-итальянский контроль были поставлены и основные военные объекты в неоккупированной зоне - прежде всего аэродромы (3871).</w:t>
      </w:r>
    </w:p>
    <w:p w14:paraId="3E159FB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9D4FFA"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22 июня</w:t>
      </w:r>
      <w:r w:rsidRPr="00DB5D0D">
        <w:rPr>
          <w:rFonts w:ascii="Times New Roman" w:hAnsi="Times New Roman"/>
          <w:color w:val="000000" w:themeColor="text1"/>
          <w:sz w:val="16"/>
          <w:szCs w:val="16"/>
        </w:rPr>
        <w:t xml:space="preserve"> в 1940 году между фашистской Германией и французским капитулянтским правительством А.Ф.Петена заключено Компьенское перемирие. 3 сентября 1939 года, после нападения гитлеровской Германии на союзника Франции - Польшу, Франция объявила войну Германии. Однако французское военное командование ничего не сделало для отпора агрессору. В мае 1940 года германские войска вторглись на территорию Франции. 14 июня гитлеровцы без боя заняли Париж. 22 июня представители правительства Анри Филиппа Петена приняли условия капитуляции, известные под именем Компьенского (по месту подписания) перемирия 1940 года (в том самом вагоне, в котором в 1918 году подписывала капитуляцию Германия). 10 июля, после переезда правительства в Виши - небольшой курортный городок под Парижем, французское Национальное собрание передало Петену всю полноту власти, что означало ликвидацию режима Третьей республики. Гитлеровские войска оккупировали две трети французской территории; в не оккупированной зоне был создан марионеточный профашистский режим правительства Виши во главе с Петеном (позднее его сменил Пьер Лаваль). В ноябре 1942 года гитлеровские и итальянские войска оккупировали и эту территорию. В ответ французский народ развернул широкое движение Сопротивления. В Лондоне образовался центр Сопротивления - «Свободная Франция» (с 1942 года - «Сражающаяся Франция») во главе с генералом Шарлем де Голлем, возглавившим в 1943 году Французский комитет национального освобождения (ФКНО). В июне 1944 года ФКНО принял наименование Временного правительства. В 1944 году, в обстановке побед, одержанных Советской Армией и войсками союзников, французские патриоты начали всенародное восстание, кульминационным моментом которого явилось Парижское восстание. В конце 1944 года освобождение Франции французскими патриотами (они освободили до половины территории) и англо-американскими войсками, высадившимися во Франции в июне - августе 1944 года, было завершено (14930).</w:t>
      </w:r>
    </w:p>
    <w:p w14:paraId="54120681"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5290772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22 June 1940 France signs an armistice with Germany (270).</w:t>
      </w:r>
    </w:p>
    <w:p w14:paraId="0B37E96A"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B023D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Франция подписала с Германией перемирие (270).</w:t>
      </w:r>
    </w:p>
    <w:p w14:paraId="200242B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C562F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C73197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6A5B6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 вышло постановление № 275сс КО О внедрении в серийное производство самолетов "100" в варианте пикирующего бомбардировщика</w:t>
      </w:r>
    </w:p>
    <w:p w14:paraId="5E4D16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4E5AA7A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 директора завода № 39 Журавлева и ОТБ НКВД отработать конструкцию и поставить на заводе № 39 серийное производство пикирующих бомбардировщиков "100" конструкции ОТБ НКВД (без ТК и герметической кабины).</w:t>
      </w:r>
    </w:p>
    <w:p w14:paraId="06DDAF4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для самолета "100" в варианте пикирующего бомбардировщика следующие основные летно-тактические данные:</w:t>
      </w:r>
    </w:p>
    <w:p w14:paraId="019AA7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5000 м – 540 км/час</w:t>
      </w:r>
    </w:p>
    <w:p w14:paraId="252B63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при 0,9 максимальной скорости – 1500 км</w:t>
      </w:r>
    </w:p>
    <w:p w14:paraId="0C8CC1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бомбовой нагрузке:</w:t>
      </w:r>
    </w:p>
    <w:p w14:paraId="0EDD03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ФАБ-100 </w:t>
      </w:r>
    </w:p>
    <w:p w14:paraId="4FE9B2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ФАБ-250</w:t>
      </w:r>
    </w:p>
    <w:p w14:paraId="5370C0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или ФАБ-500</w:t>
      </w:r>
    </w:p>
    <w:p w14:paraId="278A97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стрелковое вооружение:</w:t>
      </w:r>
    </w:p>
    <w:p w14:paraId="0AD5B4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вперед два пулемета Шкас калибра 7,62 мм, установленных неподвижно</w:t>
      </w:r>
    </w:p>
    <w:p w14:paraId="437D13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вниз для обстрела нижней полусферы один подвижный пулемет Шкас 7,62 мм</w:t>
      </w:r>
    </w:p>
    <w:p w14:paraId="305323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назад – один подвижный пулемет Шкас – 7,62 мм</w:t>
      </w:r>
    </w:p>
    <w:p w14:paraId="008DF7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самолеты выпускать с первого же экземпляра с воздушными тормозами и автоматическими аппаратами для вывода из пикирования.</w:t>
      </w:r>
    </w:p>
    <w:p w14:paraId="61646E2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программу по заводу № 39 по выпуску самолетов "ПБ-100" в следующих количествах:</w:t>
      </w:r>
    </w:p>
    <w:p w14:paraId="64E2F6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1940 год – 30 штук</w:t>
      </w:r>
    </w:p>
    <w:p w14:paraId="7215CA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1941 год – 400 штук</w:t>
      </w:r>
    </w:p>
    <w:p w14:paraId="4904D02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НКВД:</w:t>
      </w:r>
    </w:p>
    <w:p w14:paraId="58B361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предъявить на утверждение НКО макет кабины фюзеляжа для пикирующего бомбардировщика "100" по образцу которого производить серийный выпуск самолетов;</w:t>
      </w:r>
    </w:p>
    <w:p w14:paraId="74A7E8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выделить группу ведущих конструкторов в количестве 30 человек из ОТБ НКВД для передачи технических материалов и участия при внедрении на заводе № 39 самолета "100";</w:t>
      </w:r>
    </w:p>
    <w:p w14:paraId="6891BB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закончить разработку чертежей на фюзеляж под пикирующий вариант с передачей их заводу № 39 к 15 июля 1940 года</w:t>
      </w:r>
    </w:p>
    <w:p w14:paraId="39C93F1F" w14:textId="523394B3"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обеспечите к 1 августа 1946 года передачу заводам №№ 22 и 39 по 8 комплектов синек </w:t>
      </w:r>
      <w:r w:rsidR="00415C9A" w:rsidRPr="00DB5D0D">
        <w:rPr>
          <w:rFonts w:ascii="Times New Roman" w:hAnsi="Times New Roman"/>
          <w:color w:val="000000" w:themeColor="text1"/>
          <w:sz w:val="16"/>
          <w:szCs w:val="16"/>
        </w:rPr>
        <w:t>с</w:t>
      </w:r>
      <w:r w:rsidRPr="00DB5D0D">
        <w:rPr>
          <w:rFonts w:ascii="Times New Roman" w:hAnsi="Times New Roman"/>
          <w:color w:val="000000" w:themeColor="text1"/>
          <w:sz w:val="16"/>
          <w:szCs w:val="16"/>
        </w:rPr>
        <w:t xml:space="preserve"> одного полного ко</w:t>
      </w:r>
      <w:r w:rsidR="00415C9A" w:rsidRPr="00DB5D0D">
        <w:rPr>
          <w:rFonts w:ascii="Times New Roman" w:hAnsi="Times New Roman"/>
          <w:color w:val="000000" w:themeColor="text1"/>
          <w:sz w:val="16"/>
          <w:szCs w:val="16"/>
        </w:rPr>
        <w:t>мплекта</w:t>
      </w:r>
      <w:r w:rsidRPr="00DB5D0D">
        <w:rPr>
          <w:rFonts w:ascii="Times New Roman" w:hAnsi="Times New Roman"/>
          <w:color w:val="000000" w:themeColor="text1"/>
          <w:sz w:val="16"/>
          <w:szCs w:val="16"/>
        </w:rPr>
        <w:t xml:space="preserve"> калек заводу № 39 по самолету “100" с учетом всех изменений, связанных с переходом самолета "100” в вариант пикирующего бомбардировщика.</w:t>
      </w:r>
    </w:p>
    <w:p w14:paraId="78875C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директора завода № 39 Журавлева и ОТБ НКВД изготовить в первом полугодии 1941 года 10 самолетов "100" в варианте истребителя сопровождения, из них 3 штуки с герметической кабиной и с ТК-2 со следующими данными:</w:t>
      </w:r>
    </w:p>
    <w:p w14:paraId="7C04FA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10000 м – 620 км/час</w:t>
      </w:r>
    </w:p>
    <w:p w14:paraId="65F93A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при 0,9 максимальной скорости – 1400 км</w:t>
      </w:r>
    </w:p>
    <w:p w14:paraId="2555B8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12000 м</w:t>
      </w:r>
    </w:p>
    <w:p w14:paraId="648319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146B90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вперед 1 Швак 200 мм и 2 Шкас 7,62 мм</w:t>
      </w:r>
    </w:p>
    <w:p w14:paraId="7D9819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назад – 1 Шкас 7,62 мм</w:t>
      </w:r>
    </w:p>
    <w:p w14:paraId="4F1EBE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вариант 100 кг дистанционных бомб в перегрузке 400 кг</w:t>
      </w:r>
    </w:p>
    <w:p w14:paraId="697079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7 самолетов без герметической кабины и без ТК с нижеследующими летно-тактическими данными:</w:t>
      </w:r>
    </w:p>
    <w:p w14:paraId="1AFFDB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5000 м – 550 км/час</w:t>
      </w:r>
    </w:p>
    <w:p w14:paraId="649534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при 0,9 максимальной скорости – 1500 км</w:t>
      </w:r>
    </w:p>
    <w:p w14:paraId="4B1326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38C03D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вперед - 2 Швак 200 мм и 2 Шкас 7,62 мм</w:t>
      </w:r>
    </w:p>
    <w:p w14:paraId="420712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назад – 1 Шкас 7,62 мм</w:t>
      </w:r>
    </w:p>
    <w:p w14:paraId="244E90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вариант 100 кг дистанционных бомб в перегрузке 400 кг.</w:t>
      </w:r>
    </w:p>
    <w:p w14:paraId="750ECC1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директора завода № 22 Окулова:</w:t>
      </w:r>
    </w:p>
    <w:p w14:paraId="53B7C4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производство самолетов СПБ конструкции Поликарпова на заводе № 22 прекратить; конструкторскш кадры, занятые на этой работе, передать на разработку технологии и внедрение в производство с-тов “100”.</w:t>
      </w:r>
    </w:p>
    <w:p w14:paraId="4BEAF3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изготовить на заводе № 22 в 1940 году 50 самолетов "ПБ-100" конструкции ОТБ НКВД (без ТК и герметической кабины) с данными, указанными в п. 2, с воздушными тормозами и автоматическими аппаратами для вывода из пикирования с первого экземпляра самолета и подготовить производство их на 1941 год, в связи с этим снять с программы второго полугодия 100 самолетов "СБ" в существующей конструкции.</w:t>
      </w:r>
    </w:p>
    <w:p w14:paraId="0F7E497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Обязать Наркомвнешторг закупить по импорту для организации нового лонжеронного цеха на заводе № 22 металлорежущих станков и оборудования в количестве во 34 единиц, с обеспечением завоза в четвертом квартале 1940 года в первом квартале 1941 г. по спесификации завода № 22 (приложение № 6).</w:t>
      </w:r>
    </w:p>
    <w:p w14:paraId="7AD4A2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Обязать Наркома электропромышленности тов. Богатырева организовать производство электроматериалов и электрооборудования для заводов №№ 39 и 22 по прилагаемой спецификации, со сроком поставки 20 комплектов к 1 сентября и 60 комплектов к 1 октября 1940 г.(Приложение № 1).</w:t>
      </w:r>
    </w:p>
    <w:p w14:paraId="4A67639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Обязать Наркома среднего машиностроения тов. Лихачева:</w:t>
      </w:r>
    </w:p>
    <w:p w14:paraId="7B659DB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организовать производство специального оборудования на заводах ЗЭМ и АТЭ по прилагаемой спесификации, со сроком поставки первых 20 комплектов к 1 сентября и 60 комплектов к 1 октября 1940 г. (Приложение № 2).</w:t>
      </w:r>
    </w:p>
    <w:p w14:paraId="046005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организовать на СТЗ штамповку 10 наименований самолетных деталей по спесификации завода № 39, со сроками поставки первых партий к 15 августа 1940 года.</w:t>
      </w:r>
    </w:p>
    <w:p w14:paraId="72C06D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Обязать Наркома химической промышленности тов. ДЕНИСОВА организовать производство изделий из пластмассы, виниловых смол и резиновых изделий по придлагаемой спесификации, со сроком поставки первых 20 комплектов к 1 сентября и 60 комплектов к 1 октября 1940 г. (Приложение № 3).</w:t>
      </w:r>
    </w:p>
    <w:p w14:paraId="5B48AF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Обязать Наркама вооружения тов. ВАННИКОВА на заводах № 217, ГОМЗ, ЗОМЗ организовать производство спецоборудования, со сроком поставки первых 20 комплектов к 1 сентября и 60 комплектов к 1 октября 1940 г. (Приложение № 4).</w:t>
      </w:r>
    </w:p>
    <w:p w14:paraId="0E8914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Обязать Наркома Черной металлургии тов. ТЕВОСЯН организовать:</w:t>
      </w:r>
    </w:p>
    <w:p w14:paraId="3BE0C4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заводах "Главспецстали” прокатку и калибровку хромансилевых угольников и поставку материалов по прилагаемой спесификации, со сроками сдачи первой партии к 15 июля 1940 г (Приложение № 5).</w:t>
      </w:r>
    </w:p>
    <w:p w14:paraId="38D8AF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принять и выполнить заказ завода № 39 и № 22 на 200 шт. кубиков для штампов, со сроком поставки к 1 октября 1940 г. по спесификации з-да № 39.</w:t>
      </w:r>
    </w:p>
    <w:p w14:paraId="6BD535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Обязать НКфин СССР тов. ЗВЕРЕВА выделить из резервного фонда СНК СССР в распоряжение НКАП для премирования рабочих, ИТР и служащих за освоение и внедрение в серийное производство первых 10 с-тов “100” в соответствии с положением о премировании:</w:t>
      </w:r>
    </w:p>
    <w:p w14:paraId="6D6BD2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39 - премиальный фонд в сумме 2,5 млн. руб. И на постановку производства 5 млн. руб.</w:t>
      </w:r>
    </w:p>
    <w:p w14:paraId="5C8787D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22 - премиальный фонд в сумме 2,5 млн. руб. И на постановку производства 5 млн. руб. (469,70 и 7595, 122-126).</w:t>
      </w:r>
    </w:p>
    <w:p w14:paraId="56742B4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AD6E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вышло Постановление Комитета Обороны № 275 о запуске в серийное производство ПБ-100. Максимальная скорость ПБ-100 должна была составлять 550 км/ч, нормальная бомбовая нагрузка устанавливалась в 600 кг (в перегрузку 1000 кг). Постановление Комитета Обороны № 335 от 26 июля 1940 г. предусматривало выпуск 80 экземпляров ПБ-100 на 39-м и 22-м авиазаводах уже к концу года (9655).</w:t>
      </w:r>
    </w:p>
    <w:p w14:paraId="3587566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E9B515" w14:textId="77777777" w:rsidR="00DA71FA" w:rsidRPr="00DB5D0D" w:rsidRDefault="00DA71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июня 1940 Приказом по НКАП директора заводов №№ 22 и 39 были обязаны начать подготовку серийного производства самолета ПБ-100. Он должен был развивать скорость 540 км/ч на высоте 5 000 м и иметь дальность 1 500 км с нормальной нагрузкой на скорости, равной 0,9 от максимальной, а расчетная перегрузка на выходе из пике была взята 13 единиц с учетом запаса прочности.</w:t>
      </w:r>
    </w:p>
    <w:p w14:paraId="20D48607" w14:textId="77777777" w:rsidR="00DA71FA" w:rsidRPr="00DB5D0D" w:rsidRDefault="00DA71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Нормальная боевая нагрузка была задана 600 кг — четыре ФАБ-50 или ФАБ-100 подвешивались в фюзеляжный отсек и по одной — в мотогондольные за нишами шасси. В перегрузку взамен этого вооружения или в дополнение к нему под крыло подвешивались четыре бомбы калибра от 50 до 250 кг или две ФАБ-500. Кроме фугасных, можно было брать бронебойные, бетонобойные, химические и светящиеся авиабомбы. Оставались в проекте и кассеты К-76 или К-100 для малокалиберных осколочных авиабомб. При этом Заказчик согласился с тем, что без ограничения по углу пикирования сбрасывались только бомбы с внутренних подкрыльевых замков, </w:t>
      </w:r>
      <w:r w:rsidRPr="00DB5D0D">
        <w:rPr>
          <w:rFonts w:ascii="Times New Roman" w:hAnsi="Times New Roman"/>
          <w:color w:val="0070C0"/>
          <w:sz w:val="16"/>
          <w:szCs w:val="16"/>
        </w:rPr>
        <w:lastRenderedPageBreak/>
        <w:t>внешние «перекрывали» диски винтов, и это было возможно только в пологом пике, а из отсеков они нормально выходили лишь в горизонтальном полете. Это был большой «минус» по сравнению с проектами СБ-РК Архангельского и «103» Туполева, но он позволял облегчить и упростить планер, а это приближало срок поставки машины, давало снижение ее стоимости и веса, повышая летные данные и прочность.</w:t>
      </w:r>
    </w:p>
    <w:p w14:paraId="14267225" w14:textId="77777777" w:rsidR="00DA71FA" w:rsidRPr="00DB5D0D" w:rsidRDefault="00DA71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Оборону должны были обеспечивать два 7,62-мм пулемета ШКАС в носовой части с боезапасом по 500 патронов и по одному подвижному для защиты верхней и нижней полусфер от атак сзади с 750 патронами на каждый. Верхний устанавливался на «полутурели» ТСС-1 с обстрелом на 180° в стороны, а нижний — в установке МВ-2, такой же, как на серийном СБ, но более удобно скомпонованной в фюзеляже. Самолет ПБ-100 имел и пассивную защиту — местное бронирование для экипажа и протектирование всех баков. Слой мягкой резины поверх их металлической оболочки гасит скорость пули, несколько уменьшая «разворачивание» пробоины ее энергией а невулканизированный слой при контакте с бензином набухает и затягивает отверстие. Каждый самолет должен оборудоваться приемо-передающей радиостанцией и радиополукомпасом. Вместо опытных двигателей М-105 с турбокомпрессорами ТК-2 поставили серийные М-105Р с двухскоростными приводными центробежными нагнетателями (ПЦН), что повлекло переделку их воздухозаборников и установку обычных выхлопных коллекторов — на ВИ-100 отработанные газы выходили через турбины компрессоров. Специальные воздушные винты ВИШ-42 диаметром 2,8 м заменили на ВИШ-61Б большего диаметра — 3,200 м. Новые радиаторы системы охлаждения моторов потребовали переделки их тоннелей. В связи с изменением систем силовой установки, основных опор шасси и введением дополнительных бомбоотсеков в хвостовых частях мотогондол конструкция их и капотов двигателей также стала другой, упрощение конструкции фюзеляжа обусловило перекомпоновку топливной системы (22819).</w:t>
      </w:r>
    </w:p>
    <w:p w14:paraId="21F5ABE1" w14:textId="77777777" w:rsidR="00DA71FA" w:rsidRPr="00DB5D0D" w:rsidRDefault="00DA71FA" w:rsidP="00DB5D0D">
      <w:pPr>
        <w:spacing w:after="0" w:line="240" w:lineRule="auto"/>
        <w:jc w:val="both"/>
        <w:rPr>
          <w:rFonts w:ascii="Times New Roman" w:hAnsi="Times New Roman"/>
          <w:color w:val="0070C0"/>
          <w:sz w:val="16"/>
          <w:szCs w:val="16"/>
        </w:rPr>
      </w:pPr>
    </w:p>
    <w:p w14:paraId="240A37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 было принято решение о серии ПБ100. Опытного экземпляра не строили, настолько хорошо зарекомендовал себя самолет " 100". Уже в начале июля все чертежи были переданы заводам. Сталин оценил работоспособность заключенных конструкторов и В.М.Петлякову была присуждена (в начале 1941 г.) Государственная премия. Что гораздо важнее, его освободили вместе с рядом сотрудников, хотя само ОКБ с июля 1940 г. до начала войны находилось в системе Особого технического бюро НКВД и лишь с началом войны было передано в НКАП.</w:t>
      </w:r>
    </w:p>
    <w:p w14:paraId="370FA9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Первоначально конструкторам очень хотелось оставить в новой машине, получившей название ПБ-100, главные изюминки прототипа - герметичную кабину экипажа и турбонагнетатели на моторах. Был прорисован вариант с двумя гермокабинами - передней для пилота и задней для штурмана и стрелка- радиста. У штурмана предусматривались дублирующее управление и основные приборы на случай гибели или тяжелого ранения летчика.</w:t>
      </w:r>
    </w:p>
    <w:p w14:paraId="6EEA6F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Неподвижное направленное вперед вооружение должно было состоять либо из четырех пулеметов IIIKAC, либо из двух пушек LL1BAK и двух пулеметов IJIKAC (на опытной машине был реализован второй вариант). Подвижная установка у стрелка была задумана с дистанционным управлением и перископическим прицелом (на опытной машине ее не было). Планировалась нормальная бомбовая нагрузка массой 600 кг, размещавшаяся в бомбоотсеке центроплана, еще 400 кг бомб можно было подвесить снаружи при ближних полетах.</w:t>
      </w:r>
    </w:p>
    <w:p w14:paraId="32C3A9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Поскольку основной зоной боевых действий для пикирующего бомбардировщика являлись малые и средние высоты, конструкторы довольно быстро отказались от всех атрибутов высотного самолета. Опытный самолет ПБ-100 имел традиционный вид. Гермокабины отсутствовали, а на моторах М-105Р вместо турбонагнетателей стояли обычные нагнетатели с приводом от самого двигателя.</w:t>
      </w:r>
    </w:p>
    <w:p w14:paraId="173D5D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имел цельнометаллическую конструкцию и был выполнен по схеме свободно- несущего низкоплана. Конструкция фюзеляжа, разработанная А. И. Путиловым, по типу приближалась к монококу. Толстая, в среднем 1,5-2 мм, обшивка и редкие, через 0,5 м, шпангоуты. Стрингеров для подкрепления обшивки Г1е-2 не имел, стояли только лонжероны. Фюзеляж круглого сечения для технологичности выполнили составным из нескольких усеченных конусов - от середины до хвостовой законцовки. Конструкция фюзеляжа была предельно проста и рациональна.</w:t>
      </w:r>
    </w:p>
    <w:p w14:paraId="2847BF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фюзеляжа составляла 12,6 м. В носовой его части находилась внизу остекленная плоская поверхность для обеспечения обзора вниз летчику и штурману, который сидел за летчиком со сдвигом вправо.</w:t>
      </w:r>
    </w:p>
    <w:p w14:paraId="637964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резко отличалось по конструкции от фюзеляжа. Оно состояло из центроплана и консолей. Каркас имел густой набор стрингеров, подкрепляющих сравнительно тонкую обшивку (ее толщина составляла в разных местах от 0,6 до 0,8 мм). Полки лонжеронов образовывали стальные тавры, стенки набирались из листового дюраля, нервюры штамповались из листа с облегчающими отверстиями и малкованными полками.</w:t>
      </w:r>
    </w:p>
    <w:p w14:paraId="42FE9E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поперечного V центроплана был нулевым, консолей - 7 по задней кромке. Че- тырехсекционные закрылки типа "Шренк" опускались на 45° (при слегка опущенных закрылках разбег не превышал 590 м). Элероны имели внутреннюю компенсацию.</w:t>
      </w:r>
    </w:p>
    <w:p w14:paraId="3D11C0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нижней поверхности консолей устанавливались решетчатые воздушные тормоза, сваренные из стальных труб. Они выпускались по команде автомата и благодаря им допускалось пикирование под углом до 70° без боязни превысить допустимую по прочности планера скорость.</w:t>
      </w:r>
    </w:p>
    <w:p w14:paraId="6D0EF7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имел убирающееся трехопорное шасси с хвостовым колесом. В зимнее время могло устанавливаться лыжное шасси.</w:t>
      </w:r>
    </w:p>
    <w:p w14:paraId="7233F9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Силовая установка состояла из двух поршневых V-оразных 12-цилиндровых редук- торных двигателей жидкостного охлаждения М-105Р конструкции В.Я.Климова с трехлопастными металлическими винтами изменяемого шага ВИШ-61Б. Водорадиаторы размещались в крыле по обе стороны от каждого двигателя. Маслорадиаторы размещались непосредственно под двигателями. Топливо размещалось в протектированных баках.</w:t>
      </w:r>
    </w:p>
    <w:p w14:paraId="4EF9AF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обороны самолет имел два неподвижных пулемета ШКАС в носу, огонь из которых вел летчик, целясь по коллиматорному прицелу. Штурман мог использовать ограниченно подвижный пулемет IIIKAC в шкворневой турели, закрываемой в полете секцией фонаря. Арсенал дополняли два пулемета LLIKAC у стрел ка-радиста, один из которых находился в люковой установке, а второй мог перекидываться с борта на борт (12037).</w:t>
      </w:r>
    </w:p>
    <w:p w14:paraId="5BDDF95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B4A426"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23 июня</w:t>
      </w:r>
      <w:r w:rsidRPr="00DB5D0D">
        <w:rPr>
          <w:rFonts w:ascii="Times New Roman" w:hAnsi="Times New Roman"/>
          <w:color w:val="000000" w:themeColor="text1"/>
          <w:sz w:val="16"/>
          <w:szCs w:val="16"/>
        </w:rPr>
        <w:t xml:space="preserve"> в 1940 году самолет </w:t>
      </w:r>
      <w:hyperlink r:id="rId137" w:tgtFrame="_blank" w:history="1">
        <w:r w:rsidRPr="00DB5D0D">
          <w:rPr>
            <w:rFonts w:ascii="Times New Roman" w:hAnsi="Times New Roman"/>
            <w:color w:val="000000" w:themeColor="text1"/>
            <w:sz w:val="16"/>
            <w:szCs w:val="16"/>
          </w:rPr>
          <w:t xml:space="preserve">«ПБ-100» («Пе-2») </w:t>
        </w:r>
      </w:hyperlink>
      <w:r w:rsidRPr="00DB5D0D">
        <w:rPr>
          <w:rFonts w:ascii="Times New Roman" w:hAnsi="Times New Roman"/>
          <w:color w:val="000000" w:themeColor="text1"/>
          <w:sz w:val="16"/>
          <w:szCs w:val="16"/>
        </w:rPr>
        <w:t>был принят к серийному производству. Серийный самолет имел некоторые отличия. Наиболее заметной внешней переменой было смещение вперед кабины пилота. За пилотом, чуть справа, находилось место штурмана. Носовая часть снизу была остеклена, что позволяло вести прицеливание при бомбометании. Штурман имел стрелявший назад пулемет «ШКАС» на шкворневой установке. За задней кромкой крыла находилось место стрелка-радиста, управлявшего подфюзеляжной "кинжальной" установкой «ШКАС». Опытный образец-эталон серийной машины так и не был построен (точнее, его построили, но "задним числом") - берегли время в напряженной обстановке надвигавшейся войны. Официальные государственные испытания пикировщика прошли лишь в январе-феврале 1941 года. Тогда это соответствовало общепринятой практике -не только в СССР, но и в Англии, США, Германии зачастую готовили к серийному выпуску машины, еще не закончив их испытаний. Серийный выпуск «ПБ-100» поручили московскому заводу №22, где до этого строили «Ар-2». Полный комплект рабочих чертежей завод получил в июле 1940 года, а к концу года изготовил первый пикировщик. В том же году после введения новой системы обозначения самолетов по фамилиям руководителей КБ бомбардировщик «ПБ-100» переименовали в «Пе-2». Коллектив Петлякова тем не менее оставался в структуре НКВД. Внедрением самолета в серию занимался А.И.Путилов (14931).</w:t>
      </w:r>
    </w:p>
    <w:p w14:paraId="460A428F"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12A8526D" w14:textId="77777777" w:rsidR="00E729B5" w:rsidRPr="00DB5D0D" w:rsidRDefault="00E729B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23 июня 1940г Постановлением КО СНК №275сс и приказом по НКАП №309сс от 23 июня 1940г о развертывании производства Пе-2 на заводах №22 и № 39, была установлена программа выпуска самолета: на заводе №22 50 самолетов в 1940г и 400 самолетов в 1941г; на заводе №39 – 30 самолетов в 1940г и 400 самолетов в 1941г. Головным определялся завод №22 в Филях, где располагалось ОКБ В.М.Петлякова. Авиационный завод №39, расположенный на восточной окраине Ходынского поля был дополнительным. Однако к концу 1940г именно на нем удалось собрать 1-й головной самолет с номером 390101. На заводские испытания он был сдан 9 декабря, облетан 15 декабря 1940г. 22 декабря 1940г самолет был передан в НИИ ВВС на Государственные Испытания (19207).</w:t>
      </w:r>
    </w:p>
    <w:p w14:paraId="5E6ED758" w14:textId="77777777" w:rsidR="00E729B5" w:rsidRPr="00DB5D0D" w:rsidRDefault="00E729B5" w:rsidP="00DB5D0D">
      <w:pPr>
        <w:spacing w:after="0" w:line="240" w:lineRule="auto"/>
        <w:jc w:val="both"/>
        <w:rPr>
          <w:rFonts w:ascii="Times New Roman" w:hAnsi="Times New Roman"/>
          <w:color w:val="000000" w:themeColor="text1"/>
          <w:sz w:val="16"/>
          <w:szCs w:val="16"/>
        </w:rPr>
      </w:pPr>
    </w:p>
    <w:p w14:paraId="5D482A33" w14:textId="77777777" w:rsidR="006A5336" w:rsidRPr="00DB5D0D" w:rsidRDefault="006A5336"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июня 1940 года вышел приказ НКАП № 309сс, в соответствии с которым завод № 39 и завод № 22 в Филях приступили к развертыванию серийного производства пикирующих бомбардировщиков ПБ-100. Этими документами задавались основные летно-технические характеристики и определялось количество выпуска новых машин в 1940 году: заводу № 39 - 30 ПБ-100, причем первые три машины должны быть построены в сентябре (180); заводу № 22 предстояло выпустить 50 ПБ-100. Всего полтора месяца было отпущено В.М. Петлякову и его конструкторам на серьезную переделку истребителя в пикирующий бомбардировщик ПБ-100. К 1-му августа следовало представить комплекты чертежей бомбардировщика на оба завода. Коллектив конструкторов был укреплен почти сотней специалистов из конструкторских бюро Яковлева, Ильюшина и Архангельского. В начале июля, после изматывающего темпа работы, который был характерен для системы НКВД, все чертежи требуемого бомбардировщика ПБ-100, были переданы на заводы. Для ускорения работ серию запустили без изготовления опытного образца, полагаясь на отличные показатели самолета ВИ-100 при испытаниях. Принятый к серийному производству на московских заводах №№ 39 и 22 пикирующий бомбардировщик ПБ-100 образца 1940 года в общем виде представлял собой цельнометаллический свободнонесущий низкоплан, с размахом крыла 17,60 м., длиной фюзеляжа 12,60 м., с двухкилевым вертикальным оперением в виде концевых шайб. Фюзеляж сигарообразной формы, круглого поперечного сечения. В носовой его части находилась остекленная плоская поверхность для обеспечения нижнего обзора. Шасси самолета - убирающееся, трехопорное. Его главные колеса с двухстоечной амортизацией убирались в мотогондолы, а хвостовое колесо - в фюзеляж. Самолет оснащался двумя двигателями М-105 жидкостного охлаждения конструкции В.Я. Климова с трехлопастными металлическими винтами изменяемого шага и взлетной мощностью 1100 л.с. Мягкие протектированные топливные баки помещались в фюзеляже, центроплане и консолях крыла. Экипаж состоял из трех человек: летчика, штурмана и стрелка-радиста. Летчик был защищен бронеспинкой толщиной 9 мм. Скорость полета составляла 515 км/час, максимальный потолок – 8800 метров, дальность полета 1250 км. Для обороны самолет имел стрелковое вооружение, состоящее из пяти пулеметов ШКАС калибром 7,62 мм. и скорострельностью - 1800 выстрелов в минуту: из них два неподвижных находились в носовой части, огонь из которых вел летчик, один у штурмана и два у стрелка – радиста для ведения огня сзади. Для этого один пулемет располагался за крылом в люковой установке, второй перекладывался с борта на борт. Максимальная бомбовая нагрузка составляла до 1500 кг. Бомбы ФАБ-100 размещались в центральной части фюзеляжа и в небольших </w:t>
      </w:r>
      <w:r w:rsidRPr="00DB5D0D">
        <w:rPr>
          <w:rFonts w:ascii="Times New Roman" w:hAnsi="Times New Roman"/>
          <w:color w:val="000000" w:themeColor="text1"/>
          <w:sz w:val="16"/>
          <w:szCs w:val="16"/>
        </w:rPr>
        <w:lastRenderedPageBreak/>
        <w:t>отсеках хвостовой части мотогондол, а ФАБ-250 - на внешней подвеске. Причем в пикирующем режиме бомбы могли сбрасываться только с внешней подвески. В оборудовании и управлении агрегатами самолета ПБ-100 широко применялась электротехника. В нем было до 50-ти электродвигателей, что в то время являлось новшеством для отечественных самолетов такого класса (15223).</w:t>
      </w:r>
    </w:p>
    <w:p w14:paraId="3487E190" w14:textId="77777777" w:rsidR="006A5336" w:rsidRPr="00DB5D0D" w:rsidRDefault="006A5336" w:rsidP="00DB5D0D">
      <w:pPr>
        <w:shd w:val="clear" w:color="auto" w:fill="FFFFFF"/>
        <w:spacing w:after="0" w:line="240" w:lineRule="auto"/>
        <w:jc w:val="both"/>
        <w:rPr>
          <w:rFonts w:ascii="Times New Roman" w:hAnsi="Times New Roman"/>
          <w:color w:val="000000" w:themeColor="text1"/>
          <w:sz w:val="16"/>
          <w:szCs w:val="16"/>
        </w:rPr>
      </w:pPr>
    </w:p>
    <w:p w14:paraId="5BE50E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вышло постановление Правительства N 275сс о том, что на заводе 22 снят с производства самолет СПБ 2М-105 Н.Н.П. (1293,118).</w:t>
      </w:r>
    </w:p>
    <w:p w14:paraId="7D6B3A3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5A637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вышло Постановление N 275сс КО СНК "О внедрении в серийное производство самолетов "100" в варианте пикирующего бомбардировщика".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3833"/>
      </w:tblGrid>
      <w:tr w:rsidR="007D5DF8" w:rsidRPr="00DB5D0D" w14:paraId="31DC8441" w14:textId="77777777" w:rsidTr="009223E5">
        <w:tc>
          <w:tcPr>
            <w:tcW w:w="3833" w:type="dxa"/>
            <w:tcBorders>
              <w:top w:val="single" w:sz="12" w:space="0" w:color="auto"/>
            </w:tcBorders>
          </w:tcPr>
          <w:p w14:paraId="24A2DD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39 заводе. Программа производства:</w:t>
            </w:r>
          </w:p>
        </w:tc>
        <w:tc>
          <w:tcPr>
            <w:tcW w:w="3833" w:type="dxa"/>
            <w:tcBorders>
              <w:top w:val="single" w:sz="12" w:space="0" w:color="auto"/>
            </w:tcBorders>
          </w:tcPr>
          <w:p w14:paraId="172ABB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1940</w:t>
            </w:r>
          </w:p>
        </w:tc>
        <w:tc>
          <w:tcPr>
            <w:tcW w:w="3833" w:type="dxa"/>
            <w:tcBorders>
              <w:top w:val="single" w:sz="12" w:space="0" w:color="auto"/>
            </w:tcBorders>
          </w:tcPr>
          <w:p w14:paraId="5D661F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шт.</w:t>
            </w:r>
          </w:p>
        </w:tc>
      </w:tr>
      <w:tr w:rsidR="007D5DF8" w:rsidRPr="00DB5D0D" w14:paraId="62369F26" w14:textId="77777777" w:rsidTr="009223E5">
        <w:tc>
          <w:tcPr>
            <w:tcW w:w="3833" w:type="dxa"/>
          </w:tcPr>
          <w:p w14:paraId="73CA8F5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33" w:type="dxa"/>
          </w:tcPr>
          <w:p w14:paraId="3CEA2C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1941</w:t>
            </w:r>
          </w:p>
        </w:tc>
        <w:tc>
          <w:tcPr>
            <w:tcW w:w="3833" w:type="dxa"/>
          </w:tcPr>
          <w:p w14:paraId="7EAA31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 шт.</w:t>
            </w:r>
          </w:p>
        </w:tc>
      </w:tr>
      <w:tr w:rsidR="007D5DF8" w:rsidRPr="00DB5D0D" w14:paraId="7F2AB023" w14:textId="77777777" w:rsidTr="009223E5">
        <w:tc>
          <w:tcPr>
            <w:tcW w:w="3833" w:type="dxa"/>
          </w:tcPr>
          <w:p w14:paraId="648467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22:</w:t>
            </w:r>
          </w:p>
        </w:tc>
        <w:tc>
          <w:tcPr>
            <w:tcW w:w="3833" w:type="dxa"/>
          </w:tcPr>
          <w:p w14:paraId="468436A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33" w:type="dxa"/>
          </w:tcPr>
          <w:p w14:paraId="5932712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32A384D" w14:textId="77777777" w:rsidTr="009223E5">
        <w:tc>
          <w:tcPr>
            <w:tcW w:w="3833" w:type="dxa"/>
            <w:tcBorders>
              <w:bottom w:val="single" w:sz="12" w:space="0" w:color="auto"/>
            </w:tcBorders>
          </w:tcPr>
          <w:p w14:paraId="23B434E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833" w:type="dxa"/>
            <w:tcBorders>
              <w:bottom w:val="single" w:sz="12" w:space="0" w:color="auto"/>
            </w:tcBorders>
          </w:tcPr>
          <w:p w14:paraId="535EB4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1940</w:t>
            </w:r>
          </w:p>
        </w:tc>
        <w:tc>
          <w:tcPr>
            <w:tcW w:w="3833" w:type="dxa"/>
            <w:tcBorders>
              <w:bottom w:val="single" w:sz="12" w:space="0" w:color="auto"/>
            </w:tcBorders>
          </w:tcPr>
          <w:p w14:paraId="7349D9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шт. (469)</w:t>
            </w:r>
          </w:p>
        </w:tc>
      </w:tr>
    </w:tbl>
    <w:p w14:paraId="35BEC7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22 заводе тоже (725).</w:t>
      </w:r>
    </w:p>
    <w:p w14:paraId="72F298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этот приказ вышел 22 июня</w:t>
      </w:r>
    </w:p>
    <w:p w14:paraId="5FCD26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 данные, что в этом постановлении N 275сс от 23 июня шла речь о постройке в первом полугодии 1941 10 самолетов 100 в варианте истребителя сопровождения (1273).</w:t>
      </w:r>
    </w:p>
    <w:p w14:paraId="5C400FC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0AA32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Комитет Обороны принял постановление о развертывании серийного производства самолета " 100" в варианте пикирующего бомбардировщика на двух московских заводах - № 22 и № 39. Этим постановлением задавались основные летно-технические характеристики новой машины и предусматривался выпуск в 1940 г. 30 новых пикировщиков на заводе № 39 и 50 таких машин на заводе № 22. Вместе с тем все еще оставалось в силе решение о выпуске 10 высотных истребителей " 100" на заводе № 39. Всего 45 дней было выделено Петлякову и его коллективу на весьма серьезную переделку самолета: разработку и испытание практически нового фюзеляжа, тормозных щитков и системы управления ими, пересмотр коренным образом размещения экипажа, изменение винтомоторной установки. К 1 августа 1940 г. следовало представить комплекты рабочих чертежей нового бомбардировщика на оба завода. Коллектив "зеков" (впрочем, летом 1940 г. Петляков был освобожден, а в октябре назначен главным конструктором завода № 39) был укреплен почти сотней специалистов из конструкторских бюро Яковлева, Ильюшина и Архангельского. Кроме того, был введен дополнительный ужин в 22 ч, после которого еще 2-3 часа работали (3542).</w:t>
      </w:r>
    </w:p>
    <w:p w14:paraId="3C61AB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9FE3A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вышел приказ НКАП N 309 о подготовке производства и запуске в серию самолета ПБ-100 на 22,39 и 156 заводах (1213).</w:t>
      </w:r>
    </w:p>
    <w:p w14:paraId="790D8B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правительства от 23 июня 1940 года по вопросу "О внедрении в серийное производство самолетов "100" в варианте пикирующего бомбардировщика, приказываю:</w:t>
      </w:r>
    </w:p>
    <w:p w14:paraId="17B84C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Директору завода N 39 Журавлеву совместно с ОТБ НКВД отработать конструкцию и поставить на заводе N 39 серийное производство пикирующих бомбардировщиков "100" конструкции ОТБ НКВД (без ТК и герметической кабины).</w:t>
      </w:r>
    </w:p>
    <w:p w14:paraId="144970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для самолета "100" в варианте пикирующего бомбардировщика следующие основные летно-тактические данные:</w:t>
      </w:r>
    </w:p>
    <w:p w14:paraId="6069DA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максимальная скорость на 5000 м - 540 км/час</w:t>
      </w:r>
    </w:p>
    <w:p w14:paraId="57E900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дальность при 0,9 максимальной скорости - 1500 км</w:t>
      </w:r>
    </w:p>
    <w:p w14:paraId="20B426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при бомбовой нагрузке: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3833"/>
      </w:tblGrid>
      <w:tr w:rsidR="007D5DF8" w:rsidRPr="00DB5D0D" w14:paraId="3781FFE7" w14:textId="77777777" w:rsidTr="009223E5">
        <w:tc>
          <w:tcPr>
            <w:tcW w:w="3833" w:type="dxa"/>
            <w:tcBorders>
              <w:top w:val="single" w:sz="12" w:space="0" w:color="auto"/>
            </w:tcBorders>
          </w:tcPr>
          <w:p w14:paraId="3A4346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ФАБ-100</w:t>
            </w:r>
          </w:p>
        </w:tc>
        <w:tc>
          <w:tcPr>
            <w:tcW w:w="3833" w:type="dxa"/>
            <w:tcBorders>
              <w:top w:val="single" w:sz="12" w:space="0" w:color="auto"/>
            </w:tcBorders>
          </w:tcPr>
          <w:p w14:paraId="41E6E8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штук</w:t>
            </w:r>
          </w:p>
        </w:tc>
        <w:tc>
          <w:tcPr>
            <w:tcW w:w="3833" w:type="dxa"/>
            <w:tcBorders>
              <w:top w:val="single" w:sz="12" w:space="0" w:color="auto"/>
            </w:tcBorders>
          </w:tcPr>
          <w:p w14:paraId="52663E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внутренняя подвеска и</w:t>
            </w:r>
          </w:p>
        </w:tc>
      </w:tr>
      <w:tr w:rsidR="007D5DF8" w:rsidRPr="00DB5D0D" w14:paraId="6F0D955E" w14:textId="77777777" w:rsidTr="009223E5">
        <w:tc>
          <w:tcPr>
            <w:tcW w:w="3833" w:type="dxa"/>
          </w:tcPr>
          <w:p w14:paraId="114304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ФАБ-250</w:t>
            </w:r>
          </w:p>
        </w:tc>
        <w:tc>
          <w:tcPr>
            <w:tcW w:w="3833" w:type="dxa"/>
          </w:tcPr>
          <w:p w14:paraId="53137C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штуки</w:t>
            </w:r>
          </w:p>
        </w:tc>
        <w:tc>
          <w:tcPr>
            <w:tcW w:w="3833" w:type="dxa"/>
          </w:tcPr>
          <w:p w14:paraId="2D9959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подвеска внешняя, сбрасывания</w:t>
            </w:r>
          </w:p>
        </w:tc>
      </w:tr>
      <w:tr w:rsidR="007D5DF8" w:rsidRPr="00DB5D0D" w14:paraId="10DC95D9" w14:textId="77777777" w:rsidTr="009223E5">
        <w:tc>
          <w:tcPr>
            <w:tcW w:w="3833" w:type="dxa"/>
            <w:tcBorders>
              <w:bottom w:val="single" w:sz="12" w:space="0" w:color="auto"/>
            </w:tcBorders>
          </w:tcPr>
          <w:p w14:paraId="77282F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или ФАБ-500</w:t>
            </w:r>
          </w:p>
        </w:tc>
        <w:tc>
          <w:tcPr>
            <w:tcW w:w="3833" w:type="dxa"/>
            <w:tcBorders>
              <w:bottom w:val="single" w:sz="12" w:space="0" w:color="auto"/>
            </w:tcBorders>
          </w:tcPr>
          <w:p w14:paraId="5BC0D6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штуки</w:t>
            </w:r>
          </w:p>
        </w:tc>
        <w:tc>
          <w:tcPr>
            <w:tcW w:w="3833" w:type="dxa"/>
            <w:tcBorders>
              <w:bottom w:val="single" w:sz="12" w:space="0" w:color="auto"/>
            </w:tcBorders>
          </w:tcPr>
          <w:p w14:paraId="0FECF7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пикирования</w:t>
            </w:r>
          </w:p>
        </w:tc>
      </w:tr>
    </w:tbl>
    <w:p w14:paraId="796D4E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перегрузочном варианте.</w:t>
      </w:r>
    </w:p>
    <w:p w14:paraId="716450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стрелковое вооружение:</w:t>
      </w:r>
    </w:p>
    <w:p w14:paraId="30679A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Вперед 2 пулемета Шкас калибра 7,62 мм установленных неподвижно;</w:t>
      </w:r>
    </w:p>
    <w:p w14:paraId="11ACF4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Вниз для обстрела нижней полусферы один подвижной пулемет Шкас 7,62 мм;</w:t>
      </w:r>
    </w:p>
    <w:p w14:paraId="33310D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Назад один подвижной пулемет Шкас 7,62 мм</w:t>
      </w:r>
    </w:p>
    <w:p w14:paraId="7BD3E8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самолеты выпускать с первого же экземпляра с воздушными тормозами и автоматическими аппаратами для вывода из пикирования.</w:t>
      </w:r>
    </w:p>
    <w:p w14:paraId="0B92AA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Программу заводу N 39 по выпуску самолетов ПБ-100 утверждаю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55E8FAFE" w14:textId="77777777" w:rsidTr="009223E5">
        <w:tc>
          <w:tcPr>
            <w:tcW w:w="5749" w:type="dxa"/>
            <w:tcBorders>
              <w:top w:val="single" w:sz="12" w:space="0" w:color="auto"/>
            </w:tcBorders>
          </w:tcPr>
          <w:p w14:paraId="14A81A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1940 год</w:t>
            </w:r>
          </w:p>
        </w:tc>
        <w:tc>
          <w:tcPr>
            <w:tcW w:w="5749" w:type="dxa"/>
            <w:tcBorders>
              <w:top w:val="single" w:sz="12" w:space="0" w:color="auto"/>
            </w:tcBorders>
          </w:tcPr>
          <w:p w14:paraId="100CCB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штук</w:t>
            </w:r>
          </w:p>
        </w:tc>
      </w:tr>
      <w:tr w:rsidR="007D5DF8" w:rsidRPr="00DB5D0D" w14:paraId="5E2378DB" w14:textId="77777777" w:rsidTr="009223E5">
        <w:tc>
          <w:tcPr>
            <w:tcW w:w="5749" w:type="dxa"/>
            <w:tcBorders>
              <w:bottom w:val="single" w:sz="12" w:space="0" w:color="auto"/>
            </w:tcBorders>
          </w:tcPr>
          <w:p w14:paraId="65F1D3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1941 год</w:t>
            </w:r>
          </w:p>
        </w:tc>
        <w:tc>
          <w:tcPr>
            <w:tcW w:w="5749" w:type="dxa"/>
            <w:tcBorders>
              <w:bottom w:val="single" w:sz="12" w:space="0" w:color="auto"/>
            </w:tcBorders>
          </w:tcPr>
          <w:p w14:paraId="0942AE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 штук</w:t>
            </w:r>
          </w:p>
        </w:tc>
      </w:tr>
    </w:tbl>
    <w:p w14:paraId="11E05E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Директору завода N 39 Журавлеву совместно с ОТБ НКВД изготовить в первом полугодии 1941 года 10 самолетов "100" в варианте истребителя сопровождения, из них 3 самолета с герметической кабиной и с ТК-2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7062E6CD" w14:textId="77777777" w:rsidTr="009223E5">
        <w:tc>
          <w:tcPr>
            <w:tcW w:w="5749" w:type="dxa"/>
            <w:tcBorders>
              <w:top w:val="single" w:sz="12" w:space="0" w:color="auto"/>
            </w:tcBorders>
          </w:tcPr>
          <w:p w14:paraId="67A282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максимальная скорость на высоте 10000 м</w:t>
            </w:r>
          </w:p>
        </w:tc>
        <w:tc>
          <w:tcPr>
            <w:tcW w:w="5749" w:type="dxa"/>
            <w:tcBorders>
              <w:top w:val="single" w:sz="12" w:space="0" w:color="auto"/>
            </w:tcBorders>
          </w:tcPr>
          <w:p w14:paraId="607129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 км/час</w:t>
            </w:r>
          </w:p>
        </w:tc>
      </w:tr>
      <w:tr w:rsidR="007D5DF8" w:rsidRPr="00DB5D0D" w14:paraId="6528159B" w14:textId="77777777" w:rsidTr="009223E5">
        <w:tc>
          <w:tcPr>
            <w:tcW w:w="5749" w:type="dxa"/>
          </w:tcPr>
          <w:p w14:paraId="1D3D48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дальность нормальная на 0,9 макс.. скорости</w:t>
            </w:r>
          </w:p>
        </w:tc>
        <w:tc>
          <w:tcPr>
            <w:tcW w:w="5749" w:type="dxa"/>
          </w:tcPr>
          <w:p w14:paraId="5300EA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 км</w:t>
            </w:r>
          </w:p>
        </w:tc>
      </w:tr>
      <w:tr w:rsidR="007D5DF8" w:rsidRPr="00DB5D0D" w14:paraId="0364FADB" w14:textId="77777777" w:rsidTr="009223E5">
        <w:tc>
          <w:tcPr>
            <w:tcW w:w="5749" w:type="dxa"/>
            <w:tcBorders>
              <w:bottom w:val="single" w:sz="12" w:space="0" w:color="auto"/>
            </w:tcBorders>
          </w:tcPr>
          <w:p w14:paraId="4DD1D2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практический потолок</w:t>
            </w:r>
          </w:p>
        </w:tc>
        <w:tc>
          <w:tcPr>
            <w:tcW w:w="5749" w:type="dxa"/>
            <w:tcBorders>
              <w:bottom w:val="single" w:sz="12" w:space="0" w:color="auto"/>
            </w:tcBorders>
          </w:tcPr>
          <w:p w14:paraId="058611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 м</w:t>
            </w:r>
          </w:p>
        </w:tc>
      </w:tr>
    </w:tbl>
    <w:p w14:paraId="53F844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767545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вперед 2 Швак 20 мм и 2 Шкас 7,62 мм</w:t>
      </w:r>
    </w:p>
    <w:p w14:paraId="0BF304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назад 1 Шкас 7,62 мм</w:t>
      </w:r>
    </w:p>
    <w:p w14:paraId="0500D5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вариант 100 кг дистанционных бомб, в перегрузку К. 400 кг и 7 самолетов без герметической кабины и без ТК с нижеследующими летно-тактическими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3B5E12FF" w14:textId="77777777" w:rsidTr="009223E5">
        <w:tc>
          <w:tcPr>
            <w:tcW w:w="5749" w:type="dxa"/>
            <w:tcBorders>
              <w:top w:val="single" w:sz="12" w:space="0" w:color="auto"/>
            </w:tcBorders>
          </w:tcPr>
          <w:p w14:paraId="0C114D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максимальная скорость на 5000 м</w:t>
            </w:r>
          </w:p>
        </w:tc>
        <w:tc>
          <w:tcPr>
            <w:tcW w:w="5749" w:type="dxa"/>
            <w:tcBorders>
              <w:top w:val="single" w:sz="12" w:space="0" w:color="auto"/>
            </w:tcBorders>
          </w:tcPr>
          <w:p w14:paraId="0EC875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 км/час</w:t>
            </w:r>
          </w:p>
        </w:tc>
      </w:tr>
      <w:tr w:rsidR="007D5DF8" w:rsidRPr="00DB5D0D" w14:paraId="13B794DC" w14:textId="77777777" w:rsidTr="009223E5">
        <w:tc>
          <w:tcPr>
            <w:tcW w:w="5749" w:type="dxa"/>
            <w:tcBorders>
              <w:bottom w:val="single" w:sz="12" w:space="0" w:color="auto"/>
            </w:tcBorders>
          </w:tcPr>
          <w:p w14:paraId="230BA2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дальность при 0,9 максимальной скорости</w:t>
            </w:r>
          </w:p>
        </w:tc>
        <w:tc>
          <w:tcPr>
            <w:tcW w:w="5749" w:type="dxa"/>
            <w:tcBorders>
              <w:bottom w:val="single" w:sz="12" w:space="0" w:color="auto"/>
            </w:tcBorders>
          </w:tcPr>
          <w:p w14:paraId="10687E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 км</w:t>
            </w:r>
          </w:p>
        </w:tc>
      </w:tr>
    </w:tbl>
    <w:p w14:paraId="04D665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300F5E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вперед 2 Швак 20 мм и 2 Шкас 7,62 мм</w:t>
      </w:r>
    </w:p>
    <w:p w14:paraId="589BC9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назад 1 Шкас 7,62 мм</w:t>
      </w:r>
    </w:p>
    <w:p w14:paraId="6B9B4E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вариант 100 кг дистанционных бомб и в перегрузку 400 кг.</w:t>
      </w:r>
    </w:p>
    <w:p w14:paraId="402C73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Директору завода N 22 Окулову:</w:t>
      </w:r>
    </w:p>
    <w:p w14:paraId="0448CD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производство самолетов СПБ конструкции Поликарпова на заводе N 22 прекратить, конструкторские кадры, занятые на этой работе, передать на разработку технологии и внедрению в производство самолетов "100";</w:t>
      </w:r>
    </w:p>
    <w:p w14:paraId="77F975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изготовить на заводе N 22 в 1940 году 50 самолетов ПБ-100 конструкции ОТБ НКВД (без ТК и герметической кабины) с данными, указанными в пункте 2, с воздушными тормозами и автоматическими аппаратами для вывода из пикирования с первого экземпляра самолета и подготовить производство их на 1941 год, в связи с этим снять с программы второго полугодия 100 самолетов СБ в существующей конструкции.</w:t>
      </w:r>
    </w:p>
    <w:p w14:paraId="382101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Директорам заводов N 22 Окулову и N 39 Журавлеву принять от ОТБ НКВД:</w:t>
      </w:r>
    </w:p>
    <w:p w14:paraId="6544E3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разработанные чертежи на фюзеляж под пикирующий вариант для завода N 39 к 15 июля 1940 года.</w:t>
      </w:r>
    </w:p>
    <w:p w14:paraId="1ED1B8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для заводов NN 22 и 39 по 8 комплектов синек и одного полного комплекта калек заводу N 39 по самолету "100" к 1 августа 1940 года с учетом всех изменений, связанных с переходом самолета "100" на вариант пикирующего бомбардировщика.</w:t>
      </w:r>
    </w:p>
    <w:p w14:paraId="6EB20F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Начальнику Иносектора и директору завода N 22 Окулову в пятидневный срок сдать в Наркомвнешторг спецификации на станки и оборудование (согласно приложения N 6) потребных заводу N 22 для организации нового лонжеронного цеха и проследить за поставкой их в четвертом квартале 1940 года и в первом квартале 1941 года (1293,77).</w:t>
      </w:r>
    </w:p>
    <w:p w14:paraId="4014580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80EB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 Комитет Обороны принял постановление о развертывании серийного производства самолета "100" в варианте пикирующего бомбардировщика на двух московских заводах - № 22 и № 39. Этим постановлением задавались основные летно-технические характеристики новой машины и предусматривался в 1940 г. выпуск 30 новых пикировщиков на заводе № 39 и 50 таких машин на заводе № 22. Вместе с тем все еще оставалось в силе решение о выпуске десяти высотных истребителей "100" на заводе № 39.</w:t>
      </w:r>
    </w:p>
    <w:p w14:paraId="57C4CB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Ожидаемые летно-технические характеристики пикирующего бомбардировщика, получившего обозначение ПБ-100, являлись следующими: максимальная скорость полета 535 км/ч на высоте 4800-4900 м, дальность полета на скорости 0,9 от максимальной на высоте 5000 м - 1600 км, а с учетом расхода топлива на руление, взлет </w:t>
      </w:r>
      <w:r w:rsidRPr="00DB5D0D">
        <w:rPr>
          <w:rFonts w:ascii="Times New Roman" w:hAnsi="Times New Roman"/>
          <w:color w:val="000000" w:themeColor="text1"/>
          <w:sz w:val="16"/>
          <w:szCs w:val="16"/>
        </w:rPr>
        <w:lastRenderedPageBreak/>
        <w:t>и набор высоты - 1300 км. Практический потолок ПБ-100 определялся в 8000 м. При нормальной полетной массе разрушающая перегрузка принималась равной 10, а при перегрузочной массе - 9,5.</w:t>
      </w:r>
    </w:p>
    <w:p w14:paraId="33B904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45 дней выделялось В.М. Петляко- ву и его коллективу на весьма серьезную переделку самолета: разработку и испытание практически нового фюзеляжа, тормозных щитков и системы управления ими, коренной пересмотр размещения экипажа, изменение винтомоторной установки. К 1 августа 1940 г. следовало представить комплекты рабочих чертежей нового бомбардировщика на оба завода. Даже тот изматывающий темп работы, который был характерен для СТО в период проектирования истребителя "100", признали недостаточно напряженным. Решением наркомата коллектив "зеков" (впрочем, летом 1940 г. Владимира Михайловича освободили, а в октябре назначили главным конструктором завода № 39) усилили почти сотней специалистов из конструкторских бюро Яковлева, Ильюшина и Архангельского. Кроме того, для арестованных конструкторов ввели дополнительный ужин в 22 ч, после которого они работали на статических еще 2-3 часа.</w:t>
      </w:r>
    </w:p>
    <w:p w14:paraId="5BFF90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Сверхнапряжение сил дало свои результаты - в установленный срок все чертежи были сданы. Сбывались обещания, данные Л.П. Берией: "машина - в воздух, вы - на свободу". Однако титанический труд разработчиков в значительной степени обесценила неподготовленность авиационных заводов к производству машины. Опытного самолета по-существу не было, сделали только деревянный макет и собранный "на коленке" фюзеляж. Пикирующий бомбардировщик П Б-100 с самого начала строили как серийный самолет. Но на заводах не сумели своевременно подготовить и отработать многочисленные шаблоны, стапели, сборочные стенды, словом, отсутствовала технология изготовления этой во многом совершенно оригинальной машины.</w:t>
      </w:r>
    </w:p>
    <w:p w14:paraId="7667CC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Между тем производство ПБ-100 было непростым. Особенно много трудностей пришлось преодолеть при налаживании изготовления двухлонжеронного крыла со сравнительно тонкой обшивкой из дюраля толщиной 0,6-0,8 мм и плотным набором стрингеров-угольников и нервюр. Впоследствии это крыло преподнесло создателям самолета ряд неприятных сюрпризов. Кроме того, в "наследство" пикировщику достались электромеханические дистанционные механизмы управления. Электромоторы приводили в движение посадочные щитки, тормозные решетки, жалюзи и заслонки радиаторов, триммеры рулевых поверхностей, изменяли угол установки стабилизатора, выполняли ряд других функций. Серийное производство ПБ-100 потребовало развернуть выпуск нескольких типов электромоторов, работающих от бортовой сети.</w:t>
      </w:r>
    </w:p>
    <w:p w14:paraId="0711ED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Немало времени ушло на изготовление и отладку автомата пикирования АП-1. На первых порах автоматы пикирования намеревались покупать в Германии через наркомат внешней торговли, затем разработали два отечественных варианта. Один автомат являлся копией немецкого электрогидравлического, а другой работал по оригинальной пневматической схеме. Оба устройства вместе с тормозными решетками для будущего ПБ-100 испытывались в июле 1940 г. на одном из трех закупленных Ju 88А-1. В итоге выбрали пневматический вариант. У "юн- керса" позаимствовали также нанесение на боковых стеклах кабины линий, соответствующих определенным углам пикирования.</w:t>
      </w:r>
    </w:p>
    <w:p w14:paraId="55D56A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сравнению с высотным истребителем "100" внешний вид новой машины существенно изменился. Штурман теперь располагался вместе с летчиком в общей негерметичной кабине. Исчезли выступавшие за кили "рога" стабилизатора. Другие отличия были связаны в основном с изменениями в винтомоторной установке. Так, снятие турбокомпрессоров позволило уменьшить мидель мотогондол на 20-25%, что в сочетании с использованием реактивных выхлопных патрубков несколько увеличило скорость полета. С этой же целью была изменена форма тоннелей маслорадиаторов, а их площадь охлаждения увеличена на 60% для улучшения температурных режимов моторов М-105. Увеличили и охлаждаемую поверхность водорадиаторов (на 30%), а также установили жалюзи вместо створок на выходе соответствующих тоннелей. Однако новый выступающий фонарь кабины пилота- штурмана, тормозные решетки и обтекатель люковой установки увеличили сопротивление самолета. Пришлось заменить опытный винт ВИШ-42, применявшийся на "сотке", серийным ВИШ-61Б.</w:t>
      </w:r>
    </w:p>
    <w:p w14:paraId="775B72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Сравнение проекта ПБ-100 с "конкурентами" - самолетами Ар-2 и Як-4 - было не в пользу последних. Новый бомбардировщик Петлякова мог летать на 60 км/ч быстрее Ар-2 и нести заметно большую бомбовую нагрузку, чем Як-4. И самое важное - он мог применяться с крутого пикирования, вплоть до углов порядка 70-75°.</w:t>
      </w:r>
    </w:p>
    <w:p w14:paraId="0A5594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все усилия, предпринятые серийными заводами для обеспечения выпуска установленного количества ПБ-100 в 1940 г., выполнить план не удалось. Не смогли они реализовать и другое указание НКАП, посланное вслед за первым и явно нацеленное на смягчение последствий невыполнения задания Комитета Обороны - сдать первый самолет к 7 ноября 1940 г. Наказание последовало незамедлительно: со своих постов сняли директоров заводов № 39 и № 156, получил взыскание директор завода № 22. Полет хотя бы одного серийного ПБ-100 еще в 1940 г. являлся "последним шансом" для руководства НКАП. Он состоялся 15 декабря 1940 г., когда летчик- испытатель завода № 39 Н. Федоров поднял в воздух Пе-2 зав. № 390101 - головной самолет первой серии. Название Пе-2 вместо ПБ-100 было принято в соответствии с введенными в декабре 1940 г. новыми правилами обозначения типа самолета по двум первым буквам фамилии главного конструктора.</w:t>
      </w:r>
    </w:p>
    <w:p w14:paraId="102E72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течение нескольких следующих декабрьских дней на заводе ускоренно провели краткие испытания новой машины. С полетной массой 6800 кг головной Пе-2 развил максимальную скорость 540 км/ч на высоте 5000 м, что полностью соответствовало техническому заданию. Впрочем, и этот и последующие четыре самолета лишь условно можно считать серийными. Макетное стрелковое и бомбардировочное вооружение, длинный перечень дефектов по планеру, силовой установке и оборудованию обесценивали их боевые возможности. По распоряжению наркомата самолет № 3 оставили в распоряжении главного конструктора для отработки вводимых изменений, первым из которых было оборудование машины двойным управлением (с рабочего места штурмана). Самолеты № 1 и № 5, выработавшие к маю моторесурс на 100%, передали в одну из технических школ ВВС. Но это случилось позднее, а 16 января 1941 г. военная приемка приняла первый Пе-2, изготовленный на заводе № 22. Вместе с головными машинами завода № 39 его отправили на государственные испытания в НИИ ВВС (12042).</w:t>
      </w:r>
    </w:p>
    <w:p w14:paraId="60F9D1B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EE56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закончились гос. испытания ДБ-ЛК 2М-87Б (2090,132), которые начались 8 марта 1940 и, по-видимому, были совместными (2090,140).</w:t>
      </w:r>
    </w:p>
    <w:p w14:paraId="54821F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25 июня 1940 (2090,147).</w:t>
      </w:r>
    </w:p>
    <w:p w14:paraId="1EF3A44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F2B70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 вышел приказ НИИ ВВС № 0118</w:t>
      </w:r>
    </w:p>
    <w:p w14:paraId="1163481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 ДБ-ЛК конструкции Беляева (6891, 243).</w:t>
      </w:r>
    </w:p>
    <w:p w14:paraId="28D1E3C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71B93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 закончились гос. испытания самолета – дальний бомбардировщик – летающее крыло (ДБ-ЛК) с 2М-87Б Строящая организация – завод № 156, которые проходили с 25 апреля 1940</w:t>
      </w:r>
    </w:p>
    <w:p w14:paraId="17ED99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 Беляев</w:t>
      </w:r>
    </w:p>
    <w:p w14:paraId="11200E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15D8F5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Самарин</w:t>
      </w:r>
    </w:p>
    <w:p w14:paraId="3F6066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 майор Нюхтиков</w:t>
      </w:r>
    </w:p>
    <w:p w14:paraId="705BA7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0726EE0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летно-тактических данных самолета – Тактико-техническим требованиям.</w:t>
      </w:r>
    </w:p>
    <w:p w14:paraId="7B85A0E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летно-тактические преимущества и недостатки схемы самолета «Летающее крыло».</w:t>
      </w:r>
    </w:p>
    <w:p w14:paraId="507AF0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 4 человека:</w:t>
      </w:r>
    </w:p>
    <w:p w14:paraId="177685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штурман, стрелок-радист, стрелок</w:t>
      </w:r>
    </w:p>
    <w:p w14:paraId="38E7BE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2D7843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вместимость:</w:t>
      </w:r>
    </w:p>
    <w:p w14:paraId="79C18B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Внутрь – 1000 кг (от АО-8 до ФАБ-250 включительно).</w:t>
      </w:r>
    </w:p>
    <w:p w14:paraId="111DAB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Снаружи – 2000 кг (от ФАБ-100 до ФАБ-1000 включительно).</w:t>
      </w:r>
    </w:p>
    <w:p w14:paraId="3A43F1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Нормальная бомбовая нагрузка – 1000 кг</w:t>
      </w:r>
    </w:p>
    <w:p w14:paraId="5BA483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Перегрузочная бомбовая загрузка – 2000 кг</w:t>
      </w:r>
    </w:p>
    <w:p w14:paraId="515F9C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w:t>
      </w:r>
    </w:p>
    <w:p w14:paraId="5C149FD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Передняя установка – дистанционного управления</w:t>
      </w:r>
    </w:p>
    <w:p w14:paraId="1E45EB15" w14:textId="77777777" w:rsidR="00A25AD1" w:rsidRPr="00DB5D0D" w:rsidRDefault="00A25AD1" w:rsidP="00DB5D0D">
      <w:pPr>
        <w:pStyle w:val="a3"/>
        <w:widowControl/>
        <w:rPr>
          <w:color w:val="000000" w:themeColor="text1"/>
          <w:lang w:val="ru-RU"/>
        </w:rPr>
      </w:pPr>
      <w:r w:rsidRPr="00DB5D0D">
        <w:rPr>
          <w:color w:val="000000" w:themeColor="text1"/>
          <w:lang w:val="ru-RU"/>
        </w:rPr>
        <w:t>Спарка пулемета ШКАС-7,62 мм патрон 1500 шт.</w:t>
      </w:r>
    </w:p>
    <w:p w14:paraId="7B58398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Средняя установка – две вращающиеся башни с одним пулеметом ШКАС каждая, патрон по 850 штук на установку.</w:t>
      </w:r>
    </w:p>
    <w:p w14:paraId="02A3D30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Задние установки – два вращающихся конуса с одним пулеметом ШКАС каждый – патрон по 750 штук на установку.</w:t>
      </w:r>
    </w:p>
    <w:p w14:paraId="61E365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Схема самолета представляет собой – летающее крыло полубесхостого типа с крыльями, заведенными своими концами вперед.</w:t>
      </w:r>
    </w:p>
    <w:p w14:paraId="6BA93F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Горизонтальное оперение, состоящее из небольшого стабилизатора и руля высоты вынесено вверх и расположено над задней кромкой центроплана, крепится к вертикальному оперению, расположенному по оси центроплана</w:t>
      </w:r>
    </w:p>
    <w:p w14:paraId="570376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Две моторные гондолы переходят в кабины, где располагается экипаж и бомбовая нагрузка, что делает ненужным – фюзеляж между моторными гондолами обычной схемы 2-х моторного самолета.</w:t>
      </w:r>
    </w:p>
    <w:p w14:paraId="3AEB79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левых кабинах расположены – пилот и стрелок.</w:t>
      </w:r>
    </w:p>
    <w:p w14:paraId="76AF49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правых – штурман и стрелок-радист.</w:t>
      </w:r>
    </w:p>
    <w:p w14:paraId="3D9E37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Левая и правая гондолы заканчиваются вращающимися средними и задними конусными стрелковыми точками.</w:t>
      </w:r>
    </w:p>
    <w:p w14:paraId="79B48A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самолета – металлическая, обшивка – гладкая, клепка полностью впотай.</w:t>
      </w:r>
    </w:p>
    <w:p w14:paraId="1E3166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683DCE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Самолет поступил на испытание 25 апреля 1940 года</w:t>
      </w:r>
    </w:p>
    <w:p w14:paraId="263905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закончил испытания 25 июня 1940 года</w:t>
      </w:r>
    </w:p>
    <w:p w14:paraId="749B05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период испытания произведено 73 полета общей продолжительностью 44 час. 58 мин.</w:t>
      </w:r>
    </w:p>
    <w:p w14:paraId="7A3D48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испытания – 60 дней, из них летных – 34.</w:t>
      </w:r>
    </w:p>
    <w:p w14:paraId="1C0AA6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FAF078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предъявленном виде самолет ДБ-ЛК 2М87Б конструкции инженера Беляева производства завода № 156 гос. испытания не выдержал.</w:t>
      </w:r>
    </w:p>
    <w:p w14:paraId="58C0B1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4574"/>
        <w:gridCol w:w="884"/>
        <w:gridCol w:w="884"/>
        <w:gridCol w:w="2485"/>
      </w:tblGrid>
      <w:tr w:rsidR="007D5DF8" w:rsidRPr="00DB5D0D" w14:paraId="7EF412E2" w14:textId="77777777" w:rsidTr="009223E5">
        <w:tc>
          <w:tcPr>
            <w:tcW w:w="1771" w:type="dxa"/>
          </w:tcPr>
          <w:p w14:paraId="735A74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4574" w:type="dxa"/>
          </w:tcPr>
          <w:p w14:paraId="70437C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 работы</w:t>
            </w:r>
          </w:p>
        </w:tc>
        <w:tc>
          <w:tcPr>
            <w:tcW w:w="884" w:type="dxa"/>
          </w:tcPr>
          <w:p w14:paraId="67FB49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 полетов</w:t>
            </w:r>
          </w:p>
        </w:tc>
        <w:tc>
          <w:tcPr>
            <w:tcW w:w="884" w:type="dxa"/>
          </w:tcPr>
          <w:p w14:paraId="2E4D1A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w:t>
            </w:r>
          </w:p>
        </w:tc>
        <w:tc>
          <w:tcPr>
            <w:tcW w:w="2485" w:type="dxa"/>
          </w:tcPr>
          <w:p w14:paraId="5EFF30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r>
      <w:tr w:rsidR="007D5DF8" w:rsidRPr="00DB5D0D" w14:paraId="143877E3" w14:textId="77777777" w:rsidTr="009223E5">
        <w:tc>
          <w:tcPr>
            <w:tcW w:w="1771" w:type="dxa"/>
          </w:tcPr>
          <w:p w14:paraId="748562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апреля 1940 г.</w:t>
            </w:r>
          </w:p>
        </w:tc>
        <w:tc>
          <w:tcPr>
            <w:tcW w:w="4574" w:type="dxa"/>
          </w:tcPr>
          <w:p w14:paraId="3C1C34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Перевозка самолета из 30 цеха опытного завода НИИ на аэродром. Полет на опробование самолета после переделок.</w:t>
            </w:r>
          </w:p>
        </w:tc>
        <w:tc>
          <w:tcPr>
            <w:tcW w:w="884" w:type="dxa"/>
          </w:tcPr>
          <w:p w14:paraId="210C5A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720554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0-18</w:t>
            </w:r>
          </w:p>
        </w:tc>
        <w:tc>
          <w:tcPr>
            <w:tcW w:w="2485" w:type="dxa"/>
          </w:tcPr>
          <w:p w14:paraId="5199CC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 Самарин</w:t>
            </w:r>
          </w:p>
        </w:tc>
      </w:tr>
      <w:tr w:rsidR="007D5DF8" w:rsidRPr="00DB5D0D" w14:paraId="77CB650F" w14:textId="77777777" w:rsidTr="009223E5">
        <w:tc>
          <w:tcPr>
            <w:tcW w:w="1771" w:type="dxa"/>
          </w:tcPr>
          <w:p w14:paraId="555C02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апреля 1940 г.</w:t>
            </w:r>
          </w:p>
        </w:tc>
        <w:tc>
          <w:tcPr>
            <w:tcW w:w="4574" w:type="dxa"/>
          </w:tcPr>
          <w:p w14:paraId="45E81D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полет на уборку шасси.</w:t>
            </w:r>
          </w:p>
        </w:tc>
        <w:tc>
          <w:tcPr>
            <w:tcW w:w="884" w:type="dxa"/>
          </w:tcPr>
          <w:p w14:paraId="74C753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1DE6FD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0-45</w:t>
            </w:r>
          </w:p>
        </w:tc>
        <w:tc>
          <w:tcPr>
            <w:tcW w:w="2485" w:type="dxa"/>
          </w:tcPr>
          <w:p w14:paraId="4197CE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 Самарин</w:t>
            </w:r>
          </w:p>
        </w:tc>
      </w:tr>
      <w:tr w:rsidR="007D5DF8" w:rsidRPr="00DB5D0D" w14:paraId="60525211" w14:textId="77777777" w:rsidTr="009223E5">
        <w:tc>
          <w:tcPr>
            <w:tcW w:w="1771" w:type="dxa"/>
          </w:tcPr>
          <w:p w14:paraId="50F0DC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апреля 1940 г.</w:t>
            </w:r>
          </w:p>
        </w:tc>
        <w:tc>
          <w:tcPr>
            <w:tcW w:w="4574" w:type="dxa"/>
          </w:tcPr>
          <w:p w14:paraId="434AAB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с различными положениями щитков.</w:t>
            </w:r>
          </w:p>
        </w:tc>
        <w:tc>
          <w:tcPr>
            <w:tcW w:w="884" w:type="dxa"/>
          </w:tcPr>
          <w:p w14:paraId="2291D0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884" w:type="dxa"/>
          </w:tcPr>
          <w:p w14:paraId="4EEBDA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0-25</w:t>
            </w:r>
          </w:p>
        </w:tc>
        <w:tc>
          <w:tcPr>
            <w:tcW w:w="2485" w:type="dxa"/>
          </w:tcPr>
          <w:p w14:paraId="4926D1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 Самарин</w:t>
            </w:r>
          </w:p>
          <w:p w14:paraId="713A30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28EFE474" w14:textId="77777777" w:rsidTr="009223E5">
        <w:tc>
          <w:tcPr>
            <w:tcW w:w="1771" w:type="dxa"/>
          </w:tcPr>
          <w:p w14:paraId="51232D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апреля 1940 г.</w:t>
            </w:r>
          </w:p>
        </w:tc>
        <w:tc>
          <w:tcPr>
            <w:tcW w:w="4574" w:type="dxa"/>
          </w:tcPr>
          <w:p w14:paraId="4D82E0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с передней центровкой.</w:t>
            </w:r>
          </w:p>
        </w:tc>
        <w:tc>
          <w:tcPr>
            <w:tcW w:w="884" w:type="dxa"/>
          </w:tcPr>
          <w:p w14:paraId="30E3A8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28BFC3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c>
          <w:tcPr>
            <w:tcW w:w="2485" w:type="dxa"/>
          </w:tcPr>
          <w:p w14:paraId="5FBE77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Нюхтиков Самарин </w:t>
            </w:r>
          </w:p>
        </w:tc>
      </w:tr>
      <w:tr w:rsidR="007D5DF8" w:rsidRPr="00DB5D0D" w14:paraId="1B4A1B3E" w14:textId="77777777" w:rsidTr="009223E5">
        <w:tc>
          <w:tcPr>
            <w:tcW w:w="1771" w:type="dxa"/>
          </w:tcPr>
          <w:p w14:paraId="161BF2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апреля 1940 г.</w:t>
            </w:r>
          </w:p>
        </w:tc>
        <w:tc>
          <w:tcPr>
            <w:tcW w:w="4574" w:type="dxa"/>
          </w:tcPr>
          <w:p w14:paraId="493154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границы высотности.</w:t>
            </w:r>
          </w:p>
        </w:tc>
        <w:tc>
          <w:tcPr>
            <w:tcW w:w="884" w:type="dxa"/>
          </w:tcPr>
          <w:p w14:paraId="048F6F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0DA333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2485" w:type="dxa"/>
          </w:tcPr>
          <w:p w14:paraId="48FFE0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 Самарин</w:t>
            </w:r>
          </w:p>
        </w:tc>
      </w:tr>
      <w:tr w:rsidR="007D5DF8" w:rsidRPr="00DB5D0D" w14:paraId="72B5A5CB" w14:textId="77777777" w:rsidTr="009223E5">
        <w:tc>
          <w:tcPr>
            <w:tcW w:w="1771" w:type="dxa"/>
          </w:tcPr>
          <w:p w14:paraId="0503CA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апреля 1940 г.</w:t>
            </w:r>
          </w:p>
        </w:tc>
        <w:tc>
          <w:tcPr>
            <w:tcW w:w="4574" w:type="dxa"/>
          </w:tcPr>
          <w:p w14:paraId="7D8BCE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Перегонка самолета на Центральный аэродром для участия в первомайском параде.</w:t>
            </w:r>
          </w:p>
        </w:tc>
        <w:tc>
          <w:tcPr>
            <w:tcW w:w="884" w:type="dxa"/>
          </w:tcPr>
          <w:p w14:paraId="7775EC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020F77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2485" w:type="dxa"/>
          </w:tcPr>
          <w:p w14:paraId="2654FD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586B6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3C0FDA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472BB4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Нефедов</w:t>
            </w:r>
          </w:p>
        </w:tc>
      </w:tr>
      <w:tr w:rsidR="007D5DF8" w:rsidRPr="00DB5D0D" w14:paraId="648FAA7B" w14:textId="77777777" w:rsidTr="009223E5">
        <w:tc>
          <w:tcPr>
            <w:tcW w:w="1771" w:type="dxa"/>
          </w:tcPr>
          <w:p w14:paraId="3DA641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апреля 1940 г.</w:t>
            </w:r>
          </w:p>
        </w:tc>
        <w:tc>
          <w:tcPr>
            <w:tcW w:w="4574" w:type="dxa"/>
          </w:tcPr>
          <w:p w14:paraId="2E3257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Тренировочные полеты к параду 1 Мая.</w:t>
            </w:r>
          </w:p>
        </w:tc>
        <w:tc>
          <w:tcPr>
            <w:tcW w:w="884" w:type="dxa"/>
          </w:tcPr>
          <w:p w14:paraId="5C443E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84" w:type="dxa"/>
          </w:tcPr>
          <w:p w14:paraId="411844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c>
          <w:tcPr>
            <w:tcW w:w="2485" w:type="dxa"/>
          </w:tcPr>
          <w:p w14:paraId="5B060B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12062B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11BB96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0C223576" w14:textId="77777777" w:rsidTr="009223E5">
        <w:tc>
          <w:tcPr>
            <w:tcW w:w="1771" w:type="dxa"/>
          </w:tcPr>
          <w:p w14:paraId="768C2F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w:t>
            </w:r>
          </w:p>
        </w:tc>
        <w:tc>
          <w:tcPr>
            <w:tcW w:w="4574" w:type="dxa"/>
          </w:tcPr>
          <w:p w14:paraId="7B1128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с Центрального аэродрома в Чкаловскую с выполнением задания на сверхмаксимальную скорость на 10%.</w:t>
            </w:r>
          </w:p>
        </w:tc>
        <w:tc>
          <w:tcPr>
            <w:tcW w:w="884" w:type="dxa"/>
          </w:tcPr>
          <w:p w14:paraId="5C3B51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6ABEB4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2485" w:type="dxa"/>
          </w:tcPr>
          <w:p w14:paraId="313038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1EAB9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44E123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732B1791" w14:textId="77777777" w:rsidTr="009223E5">
        <w:tc>
          <w:tcPr>
            <w:tcW w:w="1771" w:type="dxa"/>
          </w:tcPr>
          <w:p w14:paraId="176997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w:t>
            </w:r>
          </w:p>
        </w:tc>
        <w:tc>
          <w:tcPr>
            <w:tcW w:w="4574" w:type="dxa"/>
          </w:tcPr>
          <w:p w14:paraId="48DD6D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сверхмаксимальную скорость на 15%.</w:t>
            </w:r>
          </w:p>
        </w:tc>
        <w:tc>
          <w:tcPr>
            <w:tcW w:w="884" w:type="dxa"/>
          </w:tcPr>
          <w:p w14:paraId="71BD2C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0163BBA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485" w:type="dxa"/>
          </w:tcPr>
          <w:p w14:paraId="6A239F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739F99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4CCD18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7B0BAB73" w14:textId="77777777" w:rsidTr="009223E5">
        <w:tc>
          <w:tcPr>
            <w:tcW w:w="1771" w:type="dxa"/>
          </w:tcPr>
          <w:p w14:paraId="573419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w:t>
            </w:r>
          </w:p>
        </w:tc>
        <w:tc>
          <w:tcPr>
            <w:tcW w:w="4574" w:type="dxa"/>
          </w:tcPr>
          <w:p w14:paraId="04CAC3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c>
          <w:tcPr>
            <w:tcW w:w="884" w:type="dxa"/>
          </w:tcPr>
          <w:p w14:paraId="71CCAF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547D3F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c>
          <w:tcPr>
            <w:tcW w:w="2485" w:type="dxa"/>
          </w:tcPr>
          <w:p w14:paraId="63EB3A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23755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2FCA32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2B9A9511" w14:textId="77777777" w:rsidTr="009223E5">
        <w:tc>
          <w:tcPr>
            <w:tcW w:w="1771" w:type="dxa"/>
          </w:tcPr>
          <w:p w14:paraId="09BD57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w:t>
            </w:r>
          </w:p>
        </w:tc>
        <w:tc>
          <w:tcPr>
            <w:tcW w:w="4574" w:type="dxa"/>
          </w:tcPr>
          <w:p w14:paraId="3FDF66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скорости по высотам и скороподъемность до высоты 7000 м.</w:t>
            </w:r>
          </w:p>
        </w:tc>
        <w:tc>
          <w:tcPr>
            <w:tcW w:w="884" w:type="dxa"/>
          </w:tcPr>
          <w:p w14:paraId="7866CB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1A965B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w:t>
            </w:r>
          </w:p>
        </w:tc>
        <w:tc>
          <w:tcPr>
            <w:tcW w:w="2485" w:type="dxa"/>
          </w:tcPr>
          <w:p w14:paraId="154F8D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7F040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46E901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Перевалов</w:t>
            </w:r>
          </w:p>
          <w:p w14:paraId="73DACA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Дугин</w:t>
            </w:r>
          </w:p>
        </w:tc>
      </w:tr>
      <w:tr w:rsidR="007D5DF8" w:rsidRPr="00DB5D0D" w14:paraId="3E7916E5" w14:textId="77777777" w:rsidTr="009223E5">
        <w:tc>
          <w:tcPr>
            <w:tcW w:w="1771" w:type="dxa"/>
          </w:tcPr>
          <w:p w14:paraId="645566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w:t>
            </w:r>
          </w:p>
        </w:tc>
        <w:tc>
          <w:tcPr>
            <w:tcW w:w="4574" w:type="dxa"/>
          </w:tcPr>
          <w:p w14:paraId="3B38AF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отстрел стрелковых точек на автоматику с включением зависания элеронов при открывании щитков.</w:t>
            </w:r>
          </w:p>
        </w:tc>
        <w:tc>
          <w:tcPr>
            <w:tcW w:w="884" w:type="dxa"/>
          </w:tcPr>
          <w:p w14:paraId="089F83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6A7625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0-16</w:t>
            </w:r>
          </w:p>
        </w:tc>
        <w:tc>
          <w:tcPr>
            <w:tcW w:w="2485" w:type="dxa"/>
          </w:tcPr>
          <w:p w14:paraId="5187FA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8A5E4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3F4A33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Ссорин</w:t>
            </w:r>
          </w:p>
          <w:p w14:paraId="1CAD46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Перевалов</w:t>
            </w:r>
          </w:p>
        </w:tc>
      </w:tr>
      <w:tr w:rsidR="007D5DF8" w:rsidRPr="00DB5D0D" w14:paraId="04E83085" w14:textId="77777777" w:rsidTr="009223E5">
        <w:tc>
          <w:tcPr>
            <w:tcW w:w="1771" w:type="dxa"/>
          </w:tcPr>
          <w:p w14:paraId="467030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w:t>
            </w:r>
          </w:p>
        </w:tc>
        <w:tc>
          <w:tcPr>
            <w:tcW w:w="4574" w:type="dxa"/>
          </w:tcPr>
          <w:p w14:paraId="58FF7C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отстрел автоматики в воздухе.</w:t>
            </w:r>
          </w:p>
        </w:tc>
        <w:tc>
          <w:tcPr>
            <w:tcW w:w="884" w:type="dxa"/>
          </w:tcPr>
          <w:p w14:paraId="5C629F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4E874C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2485" w:type="dxa"/>
          </w:tcPr>
          <w:p w14:paraId="379B4F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C4FB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784BD9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10DCE2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Соколов</w:t>
            </w:r>
          </w:p>
        </w:tc>
      </w:tr>
      <w:tr w:rsidR="007D5DF8" w:rsidRPr="00DB5D0D" w14:paraId="14F39AF0" w14:textId="77777777" w:rsidTr="009223E5">
        <w:tc>
          <w:tcPr>
            <w:tcW w:w="1771" w:type="dxa"/>
          </w:tcPr>
          <w:p w14:paraId="5A9A10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w:t>
            </w:r>
          </w:p>
        </w:tc>
        <w:tc>
          <w:tcPr>
            <w:tcW w:w="4574" w:type="dxa"/>
          </w:tcPr>
          <w:p w14:paraId="63788C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 стрельба по наземным целям.</w:t>
            </w:r>
          </w:p>
        </w:tc>
        <w:tc>
          <w:tcPr>
            <w:tcW w:w="884" w:type="dxa"/>
          </w:tcPr>
          <w:p w14:paraId="22B75C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6F55D9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0-45</w:t>
            </w:r>
          </w:p>
        </w:tc>
        <w:tc>
          <w:tcPr>
            <w:tcW w:w="2485" w:type="dxa"/>
          </w:tcPr>
          <w:p w14:paraId="4B7735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373F10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096FB2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1D13A0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3362FE3A" w14:textId="77777777" w:rsidTr="009223E5">
        <w:tc>
          <w:tcPr>
            <w:tcW w:w="1771" w:type="dxa"/>
          </w:tcPr>
          <w:p w14:paraId="608BA7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г.</w:t>
            </w:r>
          </w:p>
        </w:tc>
        <w:tc>
          <w:tcPr>
            <w:tcW w:w="4574" w:type="dxa"/>
          </w:tcPr>
          <w:p w14:paraId="68A3E4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растряску и взлетно-посадочные свойства и растряску и взлет со щитками на 10 градусов.</w:t>
            </w:r>
          </w:p>
        </w:tc>
        <w:tc>
          <w:tcPr>
            <w:tcW w:w="884" w:type="dxa"/>
          </w:tcPr>
          <w:p w14:paraId="728DA0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884" w:type="dxa"/>
          </w:tcPr>
          <w:p w14:paraId="3E5738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0-25</w:t>
            </w:r>
          </w:p>
        </w:tc>
        <w:tc>
          <w:tcPr>
            <w:tcW w:w="2485" w:type="dxa"/>
          </w:tcPr>
          <w:p w14:paraId="3310C0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4BA78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20BD8B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228DC2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469278C5" w14:textId="77777777" w:rsidTr="009223E5">
        <w:tc>
          <w:tcPr>
            <w:tcW w:w="1771" w:type="dxa"/>
          </w:tcPr>
          <w:p w14:paraId="77BFC8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w:t>
            </w:r>
          </w:p>
        </w:tc>
        <w:tc>
          <w:tcPr>
            <w:tcW w:w="4574" w:type="dxa"/>
          </w:tcPr>
          <w:p w14:paraId="136DFB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 Отработка бомбового вооружения.</w:t>
            </w:r>
          </w:p>
        </w:tc>
        <w:tc>
          <w:tcPr>
            <w:tcW w:w="884" w:type="dxa"/>
          </w:tcPr>
          <w:p w14:paraId="7D5433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224F90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2485" w:type="dxa"/>
          </w:tcPr>
          <w:p w14:paraId="615F97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B4934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327DC4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1DE072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2885A005" w14:textId="77777777" w:rsidTr="009223E5">
        <w:tc>
          <w:tcPr>
            <w:tcW w:w="1771" w:type="dxa"/>
          </w:tcPr>
          <w:p w14:paraId="7C2FE7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w:t>
            </w:r>
          </w:p>
        </w:tc>
        <w:tc>
          <w:tcPr>
            <w:tcW w:w="4574" w:type="dxa"/>
          </w:tcPr>
          <w:p w14:paraId="54DA5D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c>
          <w:tcPr>
            <w:tcW w:w="884" w:type="dxa"/>
          </w:tcPr>
          <w:p w14:paraId="584122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55D3B6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2485" w:type="dxa"/>
          </w:tcPr>
          <w:p w14:paraId="35FEB8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07F411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393EA8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33D2A6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Дугин</w:t>
            </w:r>
          </w:p>
          <w:p w14:paraId="335A41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Золоторев</w:t>
            </w:r>
          </w:p>
        </w:tc>
      </w:tr>
      <w:tr w:rsidR="007D5DF8" w:rsidRPr="00DB5D0D" w14:paraId="682963F4" w14:textId="77777777" w:rsidTr="009223E5">
        <w:tc>
          <w:tcPr>
            <w:tcW w:w="1771" w:type="dxa"/>
          </w:tcPr>
          <w:p w14:paraId="2958B8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w:t>
            </w:r>
          </w:p>
        </w:tc>
        <w:tc>
          <w:tcPr>
            <w:tcW w:w="4574" w:type="dxa"/>
          </w:tcPr>
          <w:p w14:paraId="4B97F6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w:t>
            </w:r>
          </w:p>
        </w:tc>
        <w:tc>
          <w:tcPr>
            <w:tcW w:w="884" w:type="dxa"/>
          </w:tcPr>
          <w:p w14:paraId="1FDA40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12DD37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0-50</w:t>
            </w:r>
          </w:p>
        </w:tc>
        <w:tc>
          <w:tcPr>
            <w:tcW w:w="2485" w:type="dxa"/>
          </w:tcPr>
          <w:p w14:paraId="4BA3F6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C3D75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Перевалов</w:t>
            </w:r>
          </w:p>
          <w:p w14:paraId="0CD526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Золоторев</w:t>
            </w:r>
          </w:p>
        </w:tc>
      </w:tr>
      <w:tr w:rsidR="007D5DF8" w:rsidRPr="00DB5D0D" w14:paraId="06307ADC" w14:textId="77777777" w:rsidTr="009223E5">
        <w:tc>
          <w:tcPr>
            <w:tcW w:w="1771" w:type="dxa"/>
          </w:tcPr>
          <w:p w14:paraId="16EC67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w:t>
            </w:r>
          </w:p>
        </w:tc>
        <w:tc>
          <w:tcPr>
            <w:tcW w:w="4574" w:type="dxa"/>
          </w:tcPr>
          <w:p w14:paraId="064793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w:t>
            </w:r>
          </w:p>
        </w:tc>
        <w:tc>
          <w:tcPr>
            <w:tcW w:w="884" w:type="dxa"/>
          </w:tcPr>
          <w:p w14:paraId="02E492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15E0FB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2485" w:type="dxa"/>
          </w:tcPr>
          <w:p w14:paraId="730AD7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01F144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1FDD41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017521B8" w14:textId="77777777" w:rsidTr="009223E5">
        <w:tc>
          <w:tcPr>
            <w:tcW w:w="1771" w:type="dxa"/>
          </w:tcPr>
          <w:p w14:paraId="0CE60A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w:t>
            </w:r>
          </w:p>
        </w:tc>
        <w:tc>
          <w:tcPr>
            <w:tcW w:w="4574" w:type="dxa"/>
          </w:tcPr>
          <w:p w14:paraId="701CCD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w:t>
            </w:r>
          </w:p>
        </w:tc>
        <w:tc>
          <w:tcPr>
            <w:tcW w:w="884" w:type="dxa"/>
          </w:tcPr>
          <w:p w14:paraId="1C12B7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1515D1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2485" w:type="dxa"/>
          </w:tcPr>
          <w:p w14:paraId="010026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7DC173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37B9126B" w14:textId="77777777" w:rsidTr="009223E5">
        <w:tc>
          <w:tcPr>
            <w:tcW w:w="1771" w:type="dxa"/>
          </w:tcPr>
          <w:p w14:paraId="059B53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w:t>
            </w:r>
          </w:p>
        </w:tc>
        <w:tc>
          <w:tcPr>
            <w:tcW w:w="4574" w:type="dxa"/>
          </w:tcPr>
          <w:p w14:paraId="32CE17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w:t>
            </w:r>
          </w:p>
        </w:tc>
        <w:tc>
          <w:tcPr>
            <w:tcW w:w="884" w:type="dxa"/>
          </w:tcPr>
          <w:p w14:paraId="2760DA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49B674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2485" w:type="dxa"/>
          </w:tcPr>
          <w:p w14:paraId="77B07B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88880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167AE91B" w14:textId="77777777" w:rsidTr="009223E5">
        <w:tc>
          <w:tcPr>
            <w:tcW w:w="1771" w:type="dxa"/>
          </w:tcPr>
          <w:p w14:paraId="520461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w:t>
            </w:r>
          </w:p>
        </w:tc>
        <w:tc>
          <w:tcPr>
            <w:tcW w:w="4574" w:type="dxa"/>
          </w:tcPr>
          <w:p w14:paraId="0D1387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w:t>
            </w:r>
          </w:p>
        </w:tc>
        <w:tc>
          <w:tcPr>
            <w:tcW w:w="884" w:type="dxa"/>
          </w:tcPr>
          <w:p w14:paraId="4144FC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0E979C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w:t>
            </w:r>
          </w:p>
        </w:tc>
        <w:tc>
          <w:tcPr>
            <w:tcW w:w="2485" w:type="dxa"/>
          </w:tcPr>
          <w:p w14:paraId="694D91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FE044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39BCAE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Коломинов</w:t>
            </w:r>
          </w:p>
        </w:tc>
      </w:tr>
      <w:tr w:rsidR="007D5DF8" w:rsidRPr="00DB5D0D" w14:paraId="4ED4B6A6" w14:textId="77777777" w:rsidTr="009223E5">
        <w:tc>
          <w:tcPr>
            <w:tcW w:w="1771" w:type="dxa"/>
          </w:tcPr>
          <w:p w14:paraId="044D5B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w:t>
            </w:r>
          </w:p>
        </w:tc>
        <w:tc>
          <w:tcPr>
            <w:tcW w:w="4574" w:type="dxa"/>
          </w:tcPr>
          <w:p w14:paraId="26C844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w:t>
            </w:r>
          </w:p>
          <w:p w14:paraId="6C0471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опробование в воздухе баузеров.</w:t>
            </w:r>
          </w:p>
        </w:tc>
        <w:tc>
          <w:tcPr>
            <w:tcW w:w="884" w:type="dxa"/>
          </w:tcPr>
          <w:p w14:paraId="0184D2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5F7D7C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w:t>
            </w:r>
          </w:p>
        </w:tc>
        <w:tc>
          <w:tcPr>
            <w:tcW w:w="2485" w:type="dxa"/>
          </w:tcPr>
          <w:p w14:paraId="6C24C0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8E7C7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1977F141" w14:textId="77777777" w:rsidTr="009223E5">
        <w:tc>
          <w:tcPr>
            <w:tcW w:w="1771" w:type="dxa"/>
          </w:tcPr>
          <w:p w14:paraId="516FDF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w:t>
            </w:r>
          </w:p>
        </w:tc>
        <w:tc>
          <w:tcPr>
            <w:tcW w:w="4574" w:type="dxa"/>
          </w:tcPr>
          <w:p w14:paraId="4BE068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w:t>
            </w:r>
          </w:p>
        </w:tc>
        <w:tc>
          <w:tcPr>
            <w:tcW w:w="884" w:type="dxa"/>
          </w:tcPr>
          <w:p w14:paraId="7B0E86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p w14:paraId="773B606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84" w:type="dxa"/>
          </w:tcPr>
          <w:p w14:paraId="3BEDF1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2485" w:type="dxa"/>
          </w:tcPr>
          <w:p w14:paraId="3256FA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DE5CC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03F2EC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Коломинов</w:t>
            </w:r>
          </w:p>
        </w:tc>
      </w:tr>
      <w:tr w:rsidR="007D5DF8" w:rsidRPr="00DB5D0D" w14:paraId="5F42C8B7" w14:textId="77777777" w:rsidTr="009223E5">
        <w:tc>
          <w:tcPr>
            <w:tcW w:w="1771" w:type="dxa"/>
          </w:tcPr>
          <w:p w14:paraId="296F04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w:t>
            </w:r>
          </w:p>
        </w:tc>
        <w:tc>
          <w:tcPr>
            <w:tcW w:w="4574" w:type="dxa"/>
          </w:tcPr>
          <w:p w14:paraId="22FC7F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 ФАБ-100.</w:t>
            </w:r>
          </w:p>
        </w:tc>
        <w:tc>
          <w:tcPr>
            <w:tcW w:w="884" w:type="dxa"/>
          </w:tcPr>
          <w:p w14:paraId="4BBB1F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64A83A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c>
          <w:tcPr>
            <w:tcW w:w="2485" w:type="dxa"/>
          </w:tcPr>
          <w:p w14:paraId="24D04D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64CFC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328B94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Коломинов</w:t>
            </w:r>
          </w:p>
          <w:p w14:paraId="2FDA28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67C539D6" w14:textId="77777777" w:rsidTr="009223E5">
        <w:tc>
          <w:tcPr>
            <w:tcW w:w="1771" w:type="dxa"/>
          </w:tcPr>
          <w:p w14:paraId="201AF3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26 мая 1940 г.</w:t>
            </w:r>
          </w:p>
        </w:tc>
        <w:tc>
          <w:tcPr>
            <w:tcW w:w="4574" w:type="dxa"/>
          </w:tcPr>
          <w:p w14:paraId="450D27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растряску и бомбометание АО15.</w:t>
            </w:r>
          </w:p>
        </w:tc>
        <w:tc>
          <w:tcPr>
            <w:tcW w:w="884" w:type="dxa"/>
          </w:tcPr>
          <w:p w14:paraId="24BB3B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884" w:type="dxa"/>
          </w:tcPr>
          <w:p w14:paraId="3DD572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c>
          <w:tcPr>
            <w:tcW w:w="2485" w:type="dxa"/>
          </w:tcPr>
          <w:p w14:paraId="4092F6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10068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42AAA367" w14:textId="77777777" w:rsidTr="009223E5">
        <w:tc>
          <w:tcPr>
            <w:tcW w:w="1771" w:type="dxa"/>
          </w:tcPr>
          <w:p w14:paraId="1448B1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w:t>
            </w:r>
          </w:p>
        </w:tc>
        <w:tc>
          <w:tcPr>
            <w:tcW w:w="4574" w:type="dxa"/>
          </w:tcPr>
          <w:p w14:paraId="43C928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по конусам и стрельба по наземным целям.</w:t>
            </w:r>
          </w:p>
        </w:tc>
        <w:tc>
          <w:tcPr>
            <w:tcW w:w="884" w:type="dxa"/>
          </w:tcPr>
          <w:p w14:paraId="17304A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32A1F3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0-45</w:t>
            </w:r>
          </w:p>
        </w:tc>
        <w:tc>
          <w:tcPr>
            <w:tcW w:w="2485" w:type="dxa"/>
          </w:tcPr>
          <w:p w14:paraId="0A17CE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E4695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04F4E9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tc>
      </w:tr>
      <w:tr w:rsidR="007D5DF8" w:rsidRPr="00DB5D0D" w14:paraId="6AA6EBF7" w14:textId="77777777" w:rsidTr="009223E5">
        <w:tc>
          <w:tcPr>
            <w:tcW w:w="1771" w:type="dxa"/>
          </w:tcPr>
          <w:p w14:paraId="274B8C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г.</w:t>
            </w:r>
          </w:p>
        </w:tc>
        <w:tc>
          <w:tcPr>
            <w:tcW w:w="4574" w:type="dxa"/>
          </w:tcPr>
          <w:p w14:paraId="18671F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 определение динамической и статической устойчивости.</w:t>
            </w:r>
          </w:p>
        </w:tc>
        <w:tc>
          <w:tcPr>
            <w:tcW w:w="884" w:type="dxa"/>
          </w:tcPr>
          <w:p w14:paraId="474078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0F54EE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1-43</w:t>
            </w:r>
          </w:p>
        </w:tc>
        <w:tc>
          <w:tcPr>
            <w:tcW w:w="2485" w:type="dxa"/>
          </w:tcPr>
          <w:p w14:paraId="485FE8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26A12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5A5048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Дугин</w:t>
            </w:r>
          </w:p>
          <w:p w14:paraId="54FF8B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Нефедов</w:t>
            </w:r>
          </w:p>
        </w:tc>
      </w:tr>
      <w:tr w:rsidR="007D5DF8" w:rsidRPr="00DB5D0D" w14:paraId="483D6E6F" w14:textId="77777777" w:rsidTr="009223E5">
        <w:tc>
          <w:tcPr>
            <w:tcW w:w="1771" w:type="dxa"/>
          </w:tcPr>
          <w:p w14:paraId="20B754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w:t>
            </w:r>
          </w:p>
        </w:tc>
        <w:tc>
          <w:tcPr>
            <w:tcW w:w="4574" w:type="dxa"/>
          </w:tcPr>
          <w:p w14:paraId="343BF4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 определение динамической и статической устойчивости.</w:t>
            </w:r>
          </w:p>
        </w:tc>
        <w:tc>
          <w:tcPr>
            <w:tcW w:w="884" w:type="dxa"/>
          </w:tcPr>
          <w:p w14:paraId="7B3080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0EB2AB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1-43</w:t>
            </w:r>
          </w:p>
        </w:tc>
        <w:tc>
          <w:tcPr>
            <w:tcW w:w="2485" w:type="dxa"/>
          </w:tcPr>
          <w:p w14:paraId="777B3C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DBF8A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289886D2" w14:textId="77777777" w:rsidTr="009223E5">
        <w:tc>
          <w:tcPr>
            <w:tcW w:w="1771" w:type="dxa"/>
          </w:tcPr>
          <w:p w14:paraId="77C271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w:t>
            </w:r>
          </w:p>
        </w:tc>
        <w:tc>
          <w:tcPr>
            <w:tcW w:w="4574" w:type="dxa"/>
          </w:tcPr>
          <w:p w14:paraId="7988A8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расходов горючего на высоте.</w:t>
            </w:r>
          </w:p>
        </w:tc>
        <w:tc>
          <w:tcPr>
            <w:tcW w:w="884" w:type="dxa"/>
          </w:tcPr>
          <w:p w14:paraId="0AA578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091C548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485" w:type="dxa"/>
          </w:tcPr>
          <w:p w14:paraId="1EE420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30BCDD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Акопян</w:t>
            </w:r>
          </w:p>
          <w:p w14:paraId="5896B4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Золоторев</w:t>
            </w:r>
          </w:p>
        </w:tc>
      </w:tr>
      <w:tr w:rsidR="007D5DF8" w:rsidRPr="00DB5D0D" w14:paraId="750382C0" w14:textId="77777777" w:rsidTr="009223E5">
        <w:tc>
          <w:tcPr>
            <w:tcW w:w="1771" w:type="dxa"/>
          </w:tcPr>
          <w:p w14:paraId="7E78EF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w:t>
            </w:r>
          </w:p>
        </w:tc>
        <w:tc>
          <w:tcPr>
            <w:tcW w:w="4574" w:type="dxa"/>
          </w:tcPr>
          <w:p w14:paraId="00913F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расходов горючего на высоте.</w:t>
            </w:r>
          </w:p>
        </w:tc>
        <w:tc>
          <w:tcPr>
            <w:tcW w:w="884" w:type="dxa"/>
          </w:tcPr>
          <w:p w14:paraId="5F506D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2B9147B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485" w:type="dxa"/>
          </w:tcPr>
          <w:p w14:paraId="7F78E8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C702F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Акопян</w:t>
            </w:r>
          </w:p>
          <w:p w14:paraId="56D99A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Золоторев</w:t>
            </w:r>
          </w:p>
        </w:tc>
      </w:tr>
      <w:tr w:rsidR="007D5DF8" w:rsidRPr="00DB5D0D" w14:paraId="58E2CBC7" w14:textId="77777777" w:rsidTr="009223E5">
        <w:tc>
          <w:tcPr>
            <w:tcW w:w="1771" w:type="dxa"/>
          </w:tcPr>
          <w:p w14:paraId="22BBFC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w:t>
            </w:r>
          </w:p>
        </w:tc>
        <w:tc>
          <w:tcPr>
            <w:tcW w:w="4574" w:type="dxa"/>
          </w:tcPr>
          <w:p w14:paraId="20E40A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Чкаловская-Москва и обратно. Демонстрация самолета КО.</w:t>
            </w:r>
          </w:p>
        </w:tc>
        <w:tc>
          <w:tcPr>
            <w:tcW w:w="884" w:type="dxa"/>
          </w:tcPr>
          <w:p w14:paraId="6775FB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84" w:type="dxa"/>
          </w:tcPr>
          <w:p w14:paraId="3445BD2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485" w:type="dxa"/>
          </w:tcPr>
          <w:p w14:paraId="72761A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37DD7D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471183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05FD13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Коломинов</w:t>
            </w:r>
          </w:p>
        </w:tc>
      </w:tr>
      <w:tr w:rsidR="007D5DF8" w:rsidRPr="00DB5D0D" w14:paraId="409FBA76" w14:textId="77777777" w:rsidTr="009223E5">
        <w:tc>
          <w:tcPr>
            <w:tcW w:w="1771" w:type="dxa"/>
          </w:tcPr>
          <w:p w14:paraId="0FB071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w:t>
            </w:r>
          </w:p>
        </w:tc>
        <w:tc>
          <w:tcPr>
            <w:tcW w:w="4574" w:type="dxa"/>
          </w:tcPr>
          <w:p w14:paraId="7F0A9D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после переделок рулей высоты для определения поведения самолета в воздухе.</w:t>
            </w:r>
          </w:p>
        </w:tc>
        <w:tc>
          <w:tcPr>
            <w:tcW w:w="884" w:type="dxa"/>
          </w:tcPr>
          <w:p w14:paraId="554994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02DFC5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0-32</w:t>
            </w:r>
          </w:p>
        </w:tc>
        <w:tc>
          <w:tcPr>
            <w:tcW w:w="2485" w:type="dxa"/>
          </w:tcPr>
          <w:p w14:paraId="5DA713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D9231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1C92A3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5D08F9B9" w14:textId="77777777" w:rsidTr="009223E5">
        <w:tc>
          <w:tcPr>
            <w:tcW w:w="1771" w:type="dxa"/>
          </w:tcPr>
          <w:p w14:paraId="4AC11A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w:t>
            </w:r>
          </w:p>
        </w:tc>
        <w:tc>
          <w:tcPr>
            <w:tcW w:w="4574" w:type="dxa"/>
          </w:tcPr>
          <w:p w14:paraId="6D3303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 и стрельбу, проверка управления самолетом после переделок.</w:t>
            </w:r>
          </w:p>
        </w:tc>
        <w:tc>
          <w:tcPr>
            <w:tcW w:w="884" w:type="dxa"/>
          </w:tcPr>
          <w:p w14:paraId="590863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84" w:type="dxa"/>
          </w:tcPr>
          <w:p w14:paraId="31E419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2485" w:type="dxa"/>
          </w:tcPr>
          <w:p w14:paraId="16BC75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6F763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6BA8F4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4BB440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tc>
      </w:tr>
      <w:tr w:rsidR="007D5DF8" w:rsidRPr="00DB5D0D" w14:paraId="710A1247" w14:textId="77777777" w:rsidTr="009223E5">
        <w:tc>
          <w:tcPr>
            <w:tcW w:w="1771" w:type="dxa"/>
          </w:tcPr>
          <w:p w14:paraId="3C611C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w:t>
            </w:r>
          </w:p>
        </w:tc>
        <w:tc>
          <w:tcPr>
            <w:tcW w:w="4574" w:type="dxa"/>
          </w:tcPr>
          <w:p w14:paraId="748982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 растряска и бомбометание корпусами ФАБ-250.</w:t>
            </w:r>
          </w:p>
        </w:tc>
        <w:tc>
          <w:tcPr>
            <w:tcW w:w="884" w:type="dxa"/>
          </w:tcPr>
          <w:p w14:paraId="5A72D2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884" w:type="dxa"/>
          </w:tcPr>
          <w:p w14:paraId="0208AA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2485" w:type="dxa"/>
          </w:tcPr>
          <w:p w14:paraId="218CB1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D820B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Акопян</w:t>
            </w:r>
          </w:p>
        </w:tc>
      </w:tr>
      <w:tr w:rsidR="007D5DF8" w:rsidRPr="00DB5D0D" w14:paraId="74D9618B" w14:textId="77777777" w:rsidTr="009223E5">
        <w:tc>
          <w:tcPr>
            <w:tcW w:w="1771" w:type="dxa"/>
          </w:tcPr>
          <w:p w14:paraId="2A6C10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w:t>
            </w:r>
          </w:p>
        </w:tc>
        <w:tc>
          <w:tcPr>
            <w:tcW w:w="4574" w:type="dxa"/>
          </w:tcPr>
          <w:p w14:paraId="0ECF33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w:t>
            </w:r>
          </w:p>
        </w:tc>
        <w:tc>
          <w:tcPr>
            <w:tcW w:w="884" w:type="dxa"/>
          </w:tcPr>
          <w:p w14:paraId="3E01C5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84" w:type="dxa"/>
          </w:tcPr>
          <w:p w14:paraId="64FD4E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w:t>
            </w:r>
          </w:p>
        </w:tc>
        <w:tc>
          <w:tcPr>
            <w:tcW w:w="2485" w:type="dxa"/>
          </w:tcPr>
          <w:p w14:paraId="64B8D2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179D2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59823F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Золоторев</w:t>
            </w:r>
          </w:p>
        </w:tc>
      </w:tr>
      <w:tr w:rsidR="007D5DF8" w:rsidRPr="00DB5D0D" w14:paraId="0F32D715" w14:textId="77777777" w:rsidTr="009223E5">
        <w:tc>
          <w:tcPr>
            <w:tcW w:w="1771" w:type="dxa"/>
          </w:tcPr>
          <w:p w14:paraId="528004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w:t>
            </w:r>
          </w:p>
        </w:tc>
        <w:tc>
          <w:tcPr>
            <w:tcW w:w="4574" w:type="dxa"/>
          </w:tcPr>
          <w:p w14:paraId="143148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 определение динамической и статической устойчивости с новыми рулями.</w:t>
            </w:r>
          </w:p>
        </w:tc>
        <w:tc>
          <w:tcPr>
            <w:tcW w:w="884" w:type="dxa"/>
          </w:tcPr>
          <w:p w14:paraId="41C48E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2CAE57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0-45</w:t>
            </w:r>
          </w:p>
        </w:tc>
        <w:tc>
          <w:tcPr>
            <w:tcW w:w="2485" w:type="dxa"/>
          </w:tcPr>
          <w:p w14:paraId="376B2F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61503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1DB00B63" w14:textId="77777777" w:rsidTr="009223E5">
        <w:tc>
          <w:tcPr>
            <w:tcW w:w="1771" w:type="dxa"/>
          </w:tcPr>
          <w:p w14:paraId="2C71F4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w:t>
            </w:r>
          </w:p>
        </w:tc>
        <w:tc>
          <w:tcPr>
            <w:tcW w:w="4574" w:type="dxa"/>
          </w:tcPr>
          <w:p w14:paraId="2ACB40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по наземным мишеням.</w:t>
            </w:r>
          </w:p>
        </w:tc>
        <w:tc>
          <w:tcPr>
            <w:tcW w:w="884" w:type="dxa"/>
          </w:tcPr>
          <w:p w14:paraId="526A47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52583A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2485" w:type="dxa"/>
          </w:tcPr>
          <w:p w14:paraId="1DBBDF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B7763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3E2050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78BA49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tc>
      </w:tr>
      <w:tr w:rsidR="007D5DF8" w:rsidRPr="00DB5D0D" w14:paraId="5428AFEA" w14:textId="77777777" w:rsidTr="009223E5">
        <w:tc>
          <w:tcPr>
            <w:tcW w:w="1771" w:type="dxa"/>
          </w:tcPr>
          <w:p w14:paraId="05B18A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w:t>
            </w:r>
          </w:p>
        </w:tc>
        <w:tc>
          <w:tcPr>
            <w:tcW w:w="4574" w:type="dxa"/>
          </w:tcPr>
          <w:p w14:paraId="072264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 ФАБ-250 (корпусами).</w:t>
            </w:r>
          </w:p>
        </w:tc>
        <w:tc>
          <w:tcPr>
            <w:tcW w:w="884" w:type="dxa"/>
          </w:tcPr>
          <w:p w14:paraId="4D8383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495193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2485" w:type="dxa"/>
          </w:tcPr>
          <w:p w14:paraId="59A367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CB418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370AF674" w14:textId="77777777" w:rsidTr="009223E5">
        <w:tc>
          <w:tcPr>
            <w:tcW w:w="1771" w:type="dxa"/>
          </w:tcPr>
          <w:p w14:paraId="37F181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w:t>
            </w:r>
          </w:p>
        </w:tc>
        <w:tc>
          <w:tcPr>
            <w:tcW w:w="4574" w:type="dxa"/>
          </w:tcPr>
          <w:p w14:paraId="46FFB9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w:t>
            </w:r>
          </w:p>
        </w:tc>
        <w:tc>
          <w:tcPr>
            <w:tcW w:w="884" w:type="dxa"/>
          </w:tcPr>
          <w:p w14:paraId="5B746C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1C6042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2485" w:type="dxa"/>
          </w:tcPr>
          <w:p w14:paraId="33E6BD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36035E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3A49A9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3705E3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77F618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Дугин</w:t>
            </w:r>
          </w:p>
        </w:tc>
      </w:tr>
      <w:tr w:rsidR="007D5DF8" w:rsidRPr="00DB5D0D" w14:paraId="76C32AA4" w14:textId="77777777" w:rsidTr="009223E5">
        <w:tc>
          <w:tcPr>
            <w:tcW w:w="1771" w:type="dxa"/>
          </w:tcPr>
          <w:p w14:paraId="3A9D94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w:t>
            </w:r>
          </w:p>
        </w:tc>
        <w:tc>
          <w:tcPr>
            <w:tcW w:w="4574" w:type="dxa"/>
          </w:tcPr>
          <w:p w14:paraId="4A4E8D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воздушный бой.</w:t>
            </w:r>
          </w:p>
        </w:tc>
        <w:tc>
          <w:tcPr>
            <w:tcW w:w="884" w:type="dxa"/>
          </w:tcPr>
          <w:p w14:paraId="429E52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4EC686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2485" w:type="dxa"/>
          </w:tcPr>
          <w:p w14:paraId="311311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395F9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Шауров</w:t>
            </w:r>
          </w:p>
          <w:p w14:paraId="6B90F6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333AED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Акопян</w:t>
            </w:r>
          </w:p>
        </w:tc>
      </w:tr>
      <w:tr w:rsidR="007D5DF8" w:rsidRPr="00DB5D0D" w14:paraId="038024DD" w14:textId="77777777" w:rsidTr="009223E5">
        <w:tc>
          <w:tcPr>
            <w:tcW w:w="1771" w:type="dxa"/>
          </w:tcPr>
          <w:p w14:paraId="3847D8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w:t>
            </w:r>
          </w:p>
        </w:tc>
        <w:tc>
          <w:tcPr>
            <w:tcW w:w="4574" w:type="dxa"/>
          </w:tcPr>
          <w:p w14:paraId="373A47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воздушный бой.</w:t>
            </w:r>
          </w:p>
        </w:tc>
        <w:tc>
          <w:tcPr>
            <w:tcW w:w="884" w:type="dxa"/>
          </w:tcPr>
          <w:p w14:paraId="51D4A1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653B32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0-50</w:t>
            </w:r>
          </w:p>
        </w:tc>
        <w:tc>
          <w:tcPr>
            <w:tcW w:w="2485" w:type="dxa"/>
          </w:tcPr>
          <w:p w14:paraId="2B1003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06F88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71C133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Шауров</w:t>
            </w:r>
          </w:p>
          <w:p w14:paraId="1BDCDF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56F6DB5F" w14:textId="77777777" w:rsidTr="009223E5">
        <w:tc>
          <w:tcPr>
            <w:tcW w:w="1771" w:type="dxa"/>
          </w:tcPr>
          <w:p w14:paraId="6612E5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w:t>
            </w:r>
          </w:p>
        </w:tc>
        <w:tc>
          <w:tcPr>
            <w:tcW w:w="4574" w:type="dxa"/>
          </w:tcPr>
          <w:p w14:paraId="7DFC9B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w:t>
            </w:r>
          </w:p>
        </w:tc>
        <w:tc>
          <w:tcPr>
            <w:tcW w:w="884" w:type="dxa"/>
          </w:tcPr>
          <w:p w14:paraId="5EF5AC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11E01F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2485" w:type="dxa"/>
          </w:tcPr>
          <w:p w14:paraId="5E3691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E79E9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560348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tc>
      </w:tr>
      <w:tr w:rsidR="007D5DF8" w:rsidRPr="00DB5D0D" w14:paraId="37F383FF" w14:textId="77777777" w:rsidTr="009223E5">
        <w:tc>
          <w:tcPr>
            <w:tcW w:w="1771" w:type="dxa"/>
          </w:tcPr>
          <w:p w14:paraId="574AA0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w:t>
            </w:r>
          </w:p>
        </w:tc>
        <w:tc>
          <w:tcPr>
            <w:tcW w:w="4574" w:type="dxa"/>
          </w:tcPr>
          <w:p w14:paraId="64FB67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взлетно-посадочных свойств самолета.</w:t>
            </w:r>
          </w:p>
        </w:tc>
        <w:tc>
          <w:tcPr>
            <w:tcW w:w="884" w:type="dxa"/>
          </w:tcPr>
          <w:p w14:paraId="1BC8EF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884" w:type="dxa"/>
          </w:tcPr>
          <w:p w14:paraId="069E69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2485" w:type="dxa"/>
          </w:tcPr>
          <w:p w14:paraId="0635D4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A1A24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12C76780" w14:textId="77777777" w:rsidTr="009223E5">
        <w:tc>
          <w:tcPr>
            <w:tcW w:w="1771" w:type="dxa"/>
          </w:tcPr>
          <w:p w14:paraId="141B9B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w:t>
            </w:r>
          </w:p>
        </w:tc>
        <w:tc>
          <w:tcPr>
            <w:tcW w:w="4574" w:type="dxa"/>
          </w:tcPr>
          <w:p w14:paraId="023459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и центровку и бомбометание.</w:t>
            </w:r>
          </w:p>
        </w:tc>
        <w:tc>
          <w:tcPr>
            <w:tcW w:w="884" w:type="dxa"/>
          </w:tcPr>
          <w:p w14:paraId="2D4D96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149BF1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2485" w:type="dxa"/>
          </w:tcPr>
          <w:p w14:paraId="3D86F8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7E014B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75913C03" w14:textId="77777777" w:rsidTr="009223E5">
        <w:tc>
          <w:tcPr>
            <w:tcW w:w="1771" w:type="dxa"/>
          </w:tcPr>
          <w:p w14:paraId="06DA5E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w:t>
            </w:r>
          </w:p>
        </w:tc>
        <w:tc>
          <w:tcPr>
            <w:tcW w:w="4574" w:type="dxa"/>
          </w:tcPr>
          <w:p w14:paraId="026E45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боковую устойчивость.</w:t>
            </w:r>
          </w:p>
        </w:tc>
        <w:tc>
          <w:tcPr>
            <w:tcW w:w="884" w:type="dxa"/>
          </w:tcPr>
          <w:p w14:paraId="5B7F2D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84" w:type="dxa"/>
          </w:tcPr>
          <w:p w14:paraId="38FBFC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c>
          <w:tcPr>
            <w:tcW w:w="2485" w:type="dxa"/>
          </w:tcPr>
          <w:p w14:paraId="360C5E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13A0F6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Торгман</w:t>
            </w:r>
          </w:p>
          <w:p w14:paraId="2123CD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Янчук</w:t>
            </w:r>
          </w:p>
        </w:tc>
      </w:tr>
      <w:tr w:rsidR="007D5DF8" w:rsidRPr="00DB5D0D" w14:paraId="54B7EFC8" w14:textId="77777777" w:rsidTr="009223E5">
        <w:tc>
          <w:tcPr>
            <w:tcW w:w="1771" w:type="dxa"/>
          </w:tcPr>
          <w:p w14:paraId="5FB83C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w:t>
            </w:r>
          </w:p>
        </w:tc>
        <w:tc>
          <w:tcPr>
            <w:tcW w:w="4574" w:type="dxa"/>
          </w:tcPr>
          <w:p w14:paraId="39EB17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Вывозка-облет летного состава.</w:t>
            </w:r>
          </w:p>
        </w:tc>
        <w:tc>
          <w:tcPr>
            <w:tcW w:w="884" w:type="dxa"/>
          </w:tcPr>
          <w:p w14:paraId="0AEC67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884" w:type="dxa"/>
          </w:tcPr>
          <w:p w14:paraId="2A5E0B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p w14:paraId="74ED4A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0-42</w:t>
            </w:r>
          </w:p>
          <w:p w14:paraId="4E4499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0-05</w:t>
            </w:r>
          </w:p>
          <w:p w14:paraId="38AEE6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0-22</w:t>
            </w:r>
          </w:p>
        </w:tc>
        <w:tc>
          <w:tcPr>
            <w:tcW w:w="2485" w:type="dxa"/>
          </w:tcPr>
          <w:p w14:paraId="28BF31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Кабанов</w:t>
            </w:r>
          </w:p>
          <w:p w14:paraId="49E9D0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9F520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Холопцев</w:t>
            </w:r>
          </w:p>
          <w:p w14:paraId="3BF0A0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Стефановский</w:t>
            </w:r>
          </w:p>
          <w:p w14:paraId="195089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Мируц</w:t>
            </w:r>
          </w:p>
          <w:p w14:paraId="41A881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Марин-Федоров</w:t>
            </w:r>
          </w:p>
          <w:p w14:paraId="786EFB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Щербаков</w:t>
            </w:r>
          </w:p>
        </w:tc>
      </w:tr>
      <w:tr w:rsidR="007D5DF8" w:rsidRPr="00DB5D0D" w14:paraId="62B955FB" w14:textId="77777777" w:rsidTr="009223E5">
        <w:tc>
          <w:tcPr>
            <w:tcW w:w="1771" w:type="dxa"/>
          </w:tcPr>
          <w:p w14:paraId="2F76B0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w:t>
            </w:r>
          </w:p>
        </w:tc>
        <w:tc>
          <w:tcPr>
            <w:tcW w:w="4574" w:type="dxa"/>
          </w:tcPr>
          <w:p w14:paraId="776137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Полет-облет самолета.</w:t>
            </w:r>
          </w:p>
        </w:tc>
        <w:tc>
          <w:tcPr>
            <w:tcW w:w="884" w:type="dxa"/>
          </w:tcPr>
          <w:p w14:paraId="67A178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884" w:type="dxa"/>
          </w:tcPr>
          <w:p w14:paraId="38950D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w:t>
            </w:r>
          </w:p>
        </w:tc>
        <w:tc>
          <w:tcPr>
            <w:tcW w:w="2485" w:type="dxa"/>
          </w:tcPr>
          <w:p w14:paraId="4926E6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747387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0F26C8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Филин</w:t>
            </w:r>
          </w:p>
          <w:p w14:paraId="5DEEC1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2B93DE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Мируц</w:t>
            </w:r>
          </w:p>
        </w:tc>
      </w:tr>
    </w:tbl>
    <w:p w14:paraId="7B247B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(4556).</w:t>
      </w:r>
    </w:p>
    <w:p w14:paraId="4195D33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D4166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 А. Шахурин писал письмо № 1600сс/ог председателю КО маршалу Ворошилову К.Е.</w:t>
      </w:r>
    </w:p>
    <w:p w14:paraId="026B72B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Представляю при этом на Ваше рассмотрение и утверждение проекты постановлений КО по вопросу создания новых скоростных одноместных истребителей конструкторов Болховитинова и Бериева.</w:t>
      </w:r>
    </w:p>
    <w:p w14:paraId="6F1B8F8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два проекта постановления на 4 листах.</w:t>
      </w:r>
    </w:p>
    <w:p w14:paraId="0F5EBDE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(Пометка: Пугаеву. Срочно подработайте с вызовом, если потребуется, конструкторов и работников ЦИАС и НИИ.) (3420, 104).</w:t>
      </w:r>
    </w:p>
    <w:p w14:paraId="40A777B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июле 1940 года было подготовлено:</w:t>
      </w:r>
    </w:p>
    <w:p w14:paraId="73A8A7E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(проект).</w:t>
      </w:r>
    </w:p>
    <w:p w14:paraId="283E55D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одноместного истребителя конструкции Болховитинова с двумя спаренными моторами и сосоными толкающими винтами</w:t>
      </w:r>
    </w:p>
    <w:p w14:paraId="7A70A60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4E9E0A7F"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 директора и главного конструктора опытного завода № 293 Болховитинова спроектировать и построить одноместный истребитель с двумя спаренными моторами и соосными толкающими винтами со следующими летно-тактическими данными:</w:t>
      </w:r>
    </w:p>
    <w:p w14:paraId="20058D9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М-103</w:t>
      </w:r>
    </w:p>
    <w:p w14:paraId="1014CEF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5500 м – 720 км/час</w:t>
      </w:r>
    </w:p>
    <w:p w14:paraId="0953B02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6A9A396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399A530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70702F7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1ADA1F6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две пушки 23 мм и 2 пулемета 12,7 мм или одна пушка 37 мм и 2 пушки 23 мм</w:t>
      </w:r>
    </w:p>
    <w:p w14:paraId="3CF49D2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w:t>
      </w:r>
    </w:p>
    <w:p w14:paraId="0F3D7AA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7500 м – 780 км/час</w:t>
      </w:r>
    </w:p>
    <w:p w14:paraId="4496DC7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6A958B5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0610547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3B851F5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две пушки 23 мм и 2 пулемета 12,7 мм или одна пушка 37 мм и 2 пушки 23 мм</w:t>
      </w:r>
    </w:p>
    <w:p w14:paraId="7D110D3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Главному конструктору самолета Болховитинову предусмотреть на обоих экземплярах возможность постановки вместо 12,7 мм пулеметов, 23 мм пушек.</w:t>
      </w:r>
    </w:p>
    <w:p w14:paraId="123526C4"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закончить заводские испытания и доводку истребителя конструкции Болховитинова и предъявить его на гос. испытания в следующие сроки:</w:t>
      </w:r>
    </w:p>
    <w:p w14:paraId="1C1CE5C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М-103 к 1 ноября 1941 года</w:t>
      </w:r>
    </w:p>
    <w:p w14:paraId="1BA7BC1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 к 1 декабря 1941 года</w:t>
      </w:r>
    </w:p>
    <w:p w14:paraId="0CE78C0F"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стоимость работ по обоим экземплярам самолета конструкции Болховитинова в 10 млн. 500 тысяч рублей.</w:t>
      </w:r>
    </w:p>
    <w:p w14:paraId="29F4DCCA"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Отпустить Наркомавиапрому из резервного фонда СНК:</w:t>
      </w:r>
    </w:p>
    <w:p w14:paraId="31C6F3D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финансирование этих работ в 1940 году – 2 млн. 500 тысяч рублей;</w:t>
      </w:r>
    </w:p>
    <w:p w14:paraId="388583B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распоряжение НКАП на премирование конструкторов, ИТР, рабочих и служащих завода № 293 за выполнение в установленный срок одноместного истребителя с двумя спаренными моторами и соосными винтами, в соответствии с Положением о премировании, 2,5 млн. рублей, в том числе:</w:t>
      </w:r>
    </w:p>
    <w:p w14:paraId="751B63B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1-й экземпляр – 1 млн. 650 тыс. рублей</w:t>
      </w:r>
    </w:p>
    <w:p w14:paraId="36CE3C7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2-й экземпляр – 850 тысяч рублей.</w:t>
      </w:r>
    </w:p>
    <w:p w14:paraId="20F1EC1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Наркомавиапрому представить в КО к 1 февраля 1941 года отчет об израсходованных в течение 1940 года средствах.</w:t>
      </w:r>
    </w:p>
    <w:p w14:paraId="7BFBA9F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(Вычеркнуто: 5. Обязать Наркомавиапром Шахурина А.И. форсировать строительство опытного завода № 293 НКАП, с окончанием 1-й очереди к 1 января 1941 года и перевести на завод № 293 необходимое количество рабочих, служащих и инженерно-технических работников с других предприятий Наркомавиапрома.) (3420, 98-99).</w:t>
      </w:r>
    </w:p>
    <w:p w14:paraId="00B440A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было подготовлено:</w:t>
      </w:r>
    </w:p>
    <w:p w14:paraId="1E1FF02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(проект).</w:t>
      </w:r>
    </w:p>
    <w:p w14:paraId="4A4CBA3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одноместного истребителя конструкции Бериева с двумя спаренными моторами и сосоными толкающими винтами</w:t>
      </w:r>
    </w:p>
    <w:p w14:paraId="7C90E89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5E3712B0" w14:textId="77777777" w:rsidR="00A25AD1" w:rsidRPr="00DB5D0D" w:rsidRDefault="00A25AD1" w:rsidP="00DB5D0D">
      <w:pPr>
        <w:pStyle w:val="a3"/>
        <w:widowControl/>
        <w:tabs>
          <w:tab w:val="left" w:pos="360"/>
          <w:tab w:val="left" w:pos="2410"/>
        </w:tabs>
        <w:rPr>
          <w:color w:val="000000" w:themeColor="text1"/>
          <w:lang w:val="ru-RU"/>
        </w:rPr>
      </w:pPr>
      <w:r w:rsidRPr="00DB5D0D">
        <w:rPr>
          <w:color w:val="000000" w:themeColor="text1"/>
          <w:lang w:val="ru-RU"/>
        </w:rPr>
        <w:t>Обязать НКАП – директора завода № 31 Трухана и главного конструктора Бериева спроектировать и построить одноместный истребитель с двумя спаренными моторами и соосными толкающими винтами со следующими летно-тактическими данными:</w:t>
      </w:r>
    </w:p>
    <w:p w14:paraId="01D4C84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М-105</w:t>
      </w:r>
    </w:p>
    <w:p w14:paraId="5B13F33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5500 м – 740 км/час</w:t>
      </w:r>
    </w:p>
    <w:p w14:paraId="2766009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0F3069A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4F52279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1DC6030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50700E3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две пушки 23 мм и 2 пулемета 12,7 мм или одна пушка 37 мм и 2 пушки 23 мм</w:t>
      </w:r>
    </w:p>
    <w:p w14:paraId="75DD736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w:t>
      </w:r>
    </w:p>
    <w:p w14:paraId="4BA0E4B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7500 м – 780 км/час</w:t>
      </w:r>
    </w:p>
    <w:p w14:paraId="767370E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45C077F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03C6EB0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0132B95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11FD23F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две пушки 23 мм и 2 пулемета 12,7 мм или одна пушка 37 мм и 2 пушки 23 мм</w:t>
      </w:r>
    </w:p>
    <w:p w14:paraId="375A4B2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Главному конструктору самолета Бериеву предусмотреть возможность установки на обоих экземплярах вместо 12,7 мм пулеметов, 23 мм пушек.</w:t>
      </w:r>
    </w:p>
    <w:p w14:paraId="1E02A70C" w14:textId="77777777" w:rsidR="00A25AD1" w:rsidRPr="00DB5D0D" w:rsidRDefault="00A25AD1" w:rsidP="00DB5D0D">
      <w:pPr>
        <w:pStyle w:val="a3"/>
        <w:widowControl/>
        <w:tabs>
          <w:tab w:val="left" w:pos="360"/>
          <w:tab w:val="left" w:pos="2410"/>
        </w:tabs>
        <w:rPr>
          <w:color w:val="000000" w:themeColor="text1"/>
          <w:lang w:val="ru-RU"/>
        </w:rPr>
      </w:pPr>
      <w:r w:rsidRPr="00DB5D0D">
        <w:rPr>
          <w:color w:val="000000" w:themeColor="text1"/>
          <w:lang w:val="ru-RU"/>
        </w:rPr>
        <w:t>Обязать НКАП – директора завода № 31 Трухана и главного конструктора Бериева - закончить заводские испытания и доводку истребителя конструкции Бериева и предъявить его на гос. испытания в следующие сроки:</w:t>
      </w:r>
    </w:p>
    <w:p w14:paraId="66CF413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М-105 к 1 сентября 1941 года</w:t>
      </w:r>
    </w:p>
    <w:p w14:paraId="38069EB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 к 1 октября 1941 года</w:t>
      </w:r>
    </w:p>
    <w:p w14:paraId="7104DA34" w14:textId="77777777" w:rsidR="00A25AD1" w:rsidRPr="00DB5D0D" w:rsidRDefault="00A25AD1" w:rsidP="00DB5D0D">
      <w:pPr>
        <w:pStyle w:val="a3"/>
        <w:widowControl/>
        <w:tabs>
          <w:tab w:val="left" w:pos="360"/>
          <w:tab w:val="left" w:pos="2410"/>
        </w:tabs>
        <w:rPr>
          <w:color w:val="000000" w:themeColor="text1"/>
          <w:lang w:val="ru-RU"/>
        </w:rPr>
      </w:pPr>
      <w:r w:rsidRPr="00DB5D0D">
        <w:rPr>
          <w:color w:val="000000" w:themeColor="text1"/>
          <w:lang w:val="ru-RU"/>
        </w:rPr>
        <w:t>Определить стоимость работ по обоим экземплярам самолета конструкции Бериева в 10 млн. 500 тысяч рублей. Выделить Наркомавиапрому из резервного фонда СНК на финансирование этих работ в 1940 году – 2,5 млн. рублей.</w:t>
      </w:r>
    </w:p>
    <w:p w14:paraId="6233EE68" w14:textId="77777777" w:rsidR="00A25AD1" w:rsidRPr="00DB5D0D" w:rsidRDefault="00A25AD1" w:rsidP="00DB5D0D">
      <w:pPr>
        <w:pStyle w:val="a3"/>
        <w:widowControl/>
        <w:tabs>
          <w:tab w:val="left" w:pos="2410"/>
        </w:tabs>
        <w:rPr>
          <w:color w:val="000000" w:themeColor="text1"/>
          <w:lang w:val="ru-RU"/>
        </w:rPr>
      </w:pPr>
      <w:r w:rsidRPr="00DB5D0D">
        <w:rPr>
          <w:color w:val="000000" w:themeColor="text1"/>
          <w:lang w:val="ru-RU"/>
        </w:rPr>
        <w:t>4. Отпустить в распоряжение Наркомавиапрома на премирование конструкторов, ИТР, рабочих и служащих завода № 31 за выполнение в установленный срок одноместного истребителя с двумя спаренными моторами и соосными винтами, в соответствии с Положением о премировании, 2,5 млн. рублей, в том числе:</w:t>
      </w:r>
    </w:p>
    <w:p w14:paraId="7D4DECC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1-й экземпляр – 1 млн. 650 тыс. рублей</w:t>
      </w:r>
    </w:p>
    <w:p w14:paraId="3182CA0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2-й экземпляр – 850 тысяч рублей.</w:t>
      </w:r>
    </w:p>
    <w:p w14:paraId="018CEF5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Наркомавиапрому представить в КО к 1 февраля 1941 года отчет об израсходованных в течение 1940 года средствах (3420, 100-101).</w:t>
      </w:r>
    </w:p>
    <w:p w14:paraId="16C7C2E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088D55B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 Начальник ГУАС генерал-лейтенант авиации Алексеев и Военком ГУАС бригадный комиссар Князев утвердили Отчет по гос. испытаниям одноместного истребителя И-26 М-105П с винтом ВИШ-61 постройки завода № 115 конструкции Яковлева (6591).</w:t>
      </w:r>
    </w:p>
    <w:p w14:paraId="311E102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95D9E7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4795F11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вед. летчик капитан Николаев</w:t>
      </w:r>
    </w:p>
    <w:p w14:paraId="5E4F196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вед. летчик майор Стефановский</w:t>
      </w:r>
    </w:p>
    <w:p w14:paraId="1B8E960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81D7B6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его устойчивости, управляемости.</w:t>
      </w:r>
    </w:p>
    <w:p w14:paraId="2E15075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доведенности самолета, винто-моторной группы, вооружения и спецоборудования.</w:t>
      </w:r>
    </w:p>
    <w:p w14:paraId="77C7B9B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442DBB1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проводились с 1 июня по 15 июня 1940 года.</w:t>
      </w:r>
    </w:p>
    <w:p w14:paraId="2970229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15 дней, из них летных – 8.</w:t>
      </w:r>
    </w:p>
    <w:p w14:paraId="4DEB2F7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период испытаний выполнено 52 полета общей продолжительностью 21 час. 11 мин.</w:t>
      </w:r>
    </w:p>
    <w:p w14:paraId="52893F8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655E5B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И-26 М-105П конструкции инженера Яковлева был предъявлен на гос. испытания в недоведенном состоянии и не испытан на пикирование, высший пилотаж с перегрузками и штопор.</w:t>
      </w:r>
    </w:p>
    <w:p w14:paraId="585AA3F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самолет гос. испытаний не выдержал.</w:t>
      </w:r>
    </w:p>
    <w:p w14:paraId="2851897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7D5DF8" w:rsidRPr="00DB5D0D" w14:paraId="5D336EC4" w14:textId="77777777" w:rsidTr="009223E5">
        <w:tc>
          <w:tcPr>
            <w:tcW w:w="1951" w:type="dxa"/>
            <w:tcBorders>
              <w:top w:val="single" w:sz="12" w:space="0" w:color="auto"/>
            </w:tcBorders>
          </w:tcPr>
          <w:p w14:paraId="5B132CF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Дата</w:t>
            </w:r>
          </w:p>
        </w:tc>
        <w:tc>
          <w:tcPr>
            <w:tcW w:w="8647" w:type="dxa"/>
            <w:tcBorders>
              <w:top w:val="single" w:sz="12" w:space="0" w:color="auto"/>
            </w:tcBorders>
          </w:tcPr>
          <w:p w14:paraId="09B0C2F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7D4118B9" w14:textId="77777777" w:rsidTr="009223E5">
        <w:tc>
          <w:tcPr>
            <w:tcW w:w="1951" w:type="dxa"/>
          </w:tcPr>
          <w:p w14:paraId="192D3F8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w:t>
            </w:r>
          </w:p>
        </w:tc>
        <w:tc>
          <w:tcPr>
            <w:tcW w:w="8647" w:type="dxa"/>
          </w:tcPr>
          <w:p w14:paraId="77EAEE37"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Произведено 3 полета:</w:t>
            </w:r>
          </w:p>
          <w:p w14:paraId="0AC19B7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полет для проверки самолета летчиком завода Корзинщиковым.</w:t>
            </w:r>
          </w:p>
          <w:p w14:paraId="4075AB8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полет для ознакомления летчика НИИ ВВС Николаева.</w:t>
            </w:r>
          </w:p>
        </w:tc>
      </w:tr>
      <w:tr w:rsidR="007D5DF8" w:rsidRPr="00DB5D0D" w14:paraId="397BCAAA" w14:textId="77777777" w:rsidTr="009223E5">
        <w:tc>
          <w:tcPr>
            <w:tcW w:w="1951" w:type="dxa"/>
          </w:tcPr>
          <w:p w14:paraId="455E7F7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8647" w:type="dxa"/>
          </w:tcPr>
          <w:p w14:paraId="554E0294"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определение границ высотности мотора.</w:t>
            </w:r>
          </w:p>
          <w:p w14:paraId="2CC5C0A2"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2-й полет на определение границ высотности мотора.</w:t>
            </w:r>
          </w:p>
        </w:tc>
      </w:tr>
      <w:tr w:rsidR="007D5DF8" w:rsidRPr="00DB5D0D" w14:paraId="7161CB71" w14:textId="77777777" w:rsidTr="009223E5">
        <w:tc>
          <w:tcPr>
            <w:tcW w:w="1951" w:type="dxa"/>
          </w:tcPr>
          <w:p w14:paraId="5D1A9DF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tc>
        <w:tc>
          <w:tcPr>
            <w:tcW w:w="8647" w:type="dxa"/>
          </w:tcPr>
          <w:p w14:paraId="612C08FD"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3-й полет на определение границ высотности мотора.</w:t>
            </w:r>
          </w:p>
        </w:tc>
      </w:tr>
      <w:tr w:rsidR="007D5DF8" w:rsidRPr="00DB5D0D" w14:paraId="5D9EFBFD" w14:textId="77777777" w:rsidTr="009223E5">
        <w:tc>
          <w:tcPr>
            <w:tcW w:w="1951" w:type="dxa"/>
          </w:tcPr>
          <w:p w14:paraId="4FC69FB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года</w:t>
            </w:r>
          </w:p>
        </w:tc>
        <w:tc>
          <w:tcPr>
            <w:tcW w:w="8647" w:type="dxa"/>
          </w:tcPr>
          <w:p w14:paraId="11EA1E74"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Произведен пилотаж.</w:t>
            </w:r>
          </w:p>
        </w:tc>
      </w:tr>
      <w:tr w:rsidR="007D5DF8" w:rsidRPr="00DB5D0D" w14:paraId="3A9326B3" w14:textId="77777777" w:rsidTr="009223E5">
        <w:tc>
          <w:tcPr>
            <w:tcW w:w="1951" w:type="dxa"/>
          </w:tcPr>
          <w:p w14:paraId="37360D6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года</w:t>
            </w:r>
          </w:p>
        </w:tc>
        <w:tc>
          <w:tcPr>
            <w:tcW w:w="8647" w:type="dxa"/>
          </w:tcPr>
          <w:p w14:paraId="2FADD362"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6 полетов на определение взлетно-посадочных свойств самолета.</w:t>
            </w:r>
          </w:p>
        </w:tc>
      </w:tr>
      <w:tr w:rsidR="007D5DF8" w:rsidRPr="00DB5D0D" w14:paraId="2BEEF3FC" w14:textId="77777777" w:rsidTr="009223E5">
        <w:tc>
          <w:tcPr>
            <w:tcW w:w="1951" w:type="dxa"/>
          </w:tcPr>
          <w:p w14:paraId="3A40818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w:t>
            </w:r>
          </w:p>
        </w:tc>
        <w:tc>
          <w:tcPr>
            <w:tcW w:w="8647" w:type="dxa"/>
          </w:tcPr>
          <w:p w14:paraId="57B63CCF"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2 полета на зубцы.</w:t>
            </w:r>
          </w:p>
          <w:p w14:paraId="0547BB74"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определение маневренности самолета на высоте 3000 м.</w:t>
            </w:r>
          </w:p>
        </w:tc>
      </w:tr>
      <w:tr w:rsidR="007D5DF8" w:rsidRPr="00DB5D0D" w14:paraId="478035AC" w14:textId="77777777" w:rsidTr="009223E5">
        <w:tc>
          <w:tcPr>
            <w:tcW w:w="1951" w:type="dxa"/>
          </w:tcPr>
          <w:p w14:paraId="0912CFC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8647" w:type="dxa"/>
          </w:tcPr>
          <w:p w14:paraId="31B9FF34"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8 полетов на снятие взлетно-посадочных свойств самолета.</w:t>
            </w:r>
          </w:p>
        </w:tc>
      </w:tr>
      <w:tr w:rsidR="007D5DF8" w:rsidRPr="00DB5D0D" w14:paraId="7456FA46" w14:textId="77777777" w:rsidTr="009223E5">
        <w:tc>
          <w:tcPr>
            <w:tcW w:w="1951" w:type="dxa"/>
          </w:tcPr>
          <w:p w14:paraId="1C97E1C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8647" w:type="dxa"/>
          </w:tcPr>
          <w:p w14:paraId="09BD3E0D"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скороподъемность и скорость по высотам до Н=5500 м.</w:t>
            </w:r>
          </w:p>
          <w:p w14:paraId="3C023963"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километраж.</w:t>
            </w:r>
          </w:p>
          <w:p w14:paraId="3C605B70"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скороподъемность и скорость по высотам до Н=8000 м.</w:t>
            </w:r>
          </w:p>
          <w:p w14:paraId="57A0B4AC"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скороподъемность и скорость по высотам до Н=8000 м и отстрел на автоматику из пушки и пулеметов.</w:t>
            </w:r>
          </w:p>
          <w:p w14:paraId="4B401448"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маневренность и стрельбу.</w:t>
            </w:r>
          </w:p>
        </w:tc>
      </w:tr>
      <w:tr w:rsidR="007D5DF8" w:rsidRPr="00DB5D0D" w14:paraId="27D968B3" w14:textId="77777777" w:rsidTr="009223E5">
        <w:tc>
          <w:tcPr>
            <w:tcW w:w="1951" w:type="dxa"/>
          </w:tcPr>
          <w:p w14:paraId="47CC53C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года</w:t>
            </w:r>
          </w:p>
        </w:tc>
        <w:tc>
          <w:tcPr>
            <w:tcW w:w="8647" w:type="dxa"/>
          </w:tcPr>
          <w:p w14:paraId="04B5E490"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скороподъемность и скорость по высотам до Н=8000 м и отстрел вооружения на автоматику.</w:t>
            </w:r>
          </w:p>
          <w:p w14:paraId="510E2CCC"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стрельбу.</w:t>
            </w:r>
          </w:p>
        </w:tc>
      </w:tr>
      <w:tr w:rsidR="007D5DF8" w:rsidRPr="00DB5D0D" w14:paraId="23CD5AC7" w14:textId="77777777" w:rsidTr="009223E5">
        <w:tc>
          <w:tcPr>
            <w:tcW w:w="1951" w:type="dxa"/>
          </w:tcPr>
          <w:p w14:paraId="5A9265A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w:t>
            </w:r>
          </w:p>
        </w:tc>
        <w:tc>
          <w:tcPr>
            <w:tcW w:w="8647" w:type="dxa"/>
          </w:tcPr>
          <w:p w14:paraId="3D52B493"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скороподъемность и скорость по высотам до Н=5000 м.</w:t>
            </w:r>
          </w:p>
          <w:p w14:paraId="28E63D60"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определение расхода горючего.</w:t>
            </w:r>
          </w:p>
        </w:tc>
      </w:tr>
      <w:tr w:rsidR="007D5DF8" w:rsidRPr="00DB5D0D" w14:paraId="28455B16" w14:textId="77777777" w:rsidTr="009223E5">
        <w:tc>
          <w:tcPr>
            <w:tcW w:w="1951" w:type="dxa"/>
          </w:tcPr>
          <w:p w14:paraId="1820420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w:t>
            </w:r>
          </w:p>
        </w:tc>
        <w:tc>
          <w:tcPr>
            <w:tcW w:w="8647" w:type="dxa"/>
          </w:tcPr>
          <w:p w14:paraId="28922086"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расход горючего.</w:t>
            </w:r>
          </w:p>
          <w:p w14:paraId="08F67293"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Облет самолета летчиками Кубышкиным, Кабановым.</w:t>
            </w:r>
          </w:p>
          <w:p w14:paraId="71962639"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устойчивость.</w:t>
            </w:r>
          </w:p>
        </w:tc>
      </w:tr>
      <w:tr w:rsidR="007D5DF8" w:rsidRPr="00DB5D0D" w14:paraId="119009A0" w14:textId="77777777" w:rsidTr="009223E5">
        <w:tc>
          <w:tcPr>
            <w:tcW w:w="1951" w:type="dxa"/>
          </w:tcPr>
          <w:p w14:paraId="07C4109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8647" w:type="dxa"/>
          </w:tcPr>
          <w:p w14:paraId="07BC5FA6"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Полет на устойчивость Н=3000 м.</w:t>
            </w:r>
          </w:p>
          <w:p w14:paraId="60AE1608"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Облет самолета летчиками полковым комиссаром Холопцевым, в/инженером 1 ранга генерал-майором Филиным.</w:t>
            </w:r>
          </w:p>
        </w:tc>
      </w:tr>
      <w:tr w:rsidR="007D5DF8" w:rsidRPr="00DB5D0D" w14:paraId="5456F64A" w14:textId="77777777" w:rsidTr="009223E5">
        <w:tc>
          <w:tcPr>
            <w:tcW w:w="1951" w:type="dxa"/>
            <w:tcBorders>
              <w:bottom w:val="single" w:sz="12" w:space="0" w:color="auto"/>
            </w:tcBorders>
          </w:tcPr>
          <w:p w14:paraId="5DCDF4F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8647" w:type="dxa"/>
            <w:tcBorders>
              <w:bottom w:val="single" w:sz="12" w:space="0" w:color="auto"/>
            </w:tcBorders>
          </w:tcPr>
          <w:p w14:paraId="413CCB7B" w14:textId="77777777" w:rsidR="00A25AD1" w:rsidRPr="00DB5D0D" w:rsidRDefault="00A25AD1" w:rsidP="00DB5D0D">
            <w:pPr>
              <w:pStyle w:val="a3"/>
              <w:widowControl/>
              <w:tabs>
                <w:tab w:val="left" w:pos="11199"/>
              </w:tabs>
              <w:rPr>
                <w:color w:val="000000" w:themeColor="text1"/>
                <w:lang w:val="ru-RU"/>
              </w:rPr>
            </w:pPr>
            <w:r w:rsidRPr="00DB5D0D">
              <w:rPr>
                <w:color w:val="000000" w:themeColor="text1"/>
                <w:lang w:val="ru-RU"/>
              </w:rPr>
              <w:t>Облет самолета летчиками: в/инженером 1 ранга Никашиным, в/инженером 2 ранга Максимовым, в/инженером 2 ранга Кочетковым, капитаном Прошаковым, майором Малышевым, ст. лейтенантом Шапоровым.</w:t>
            </w:r>
          </w:p>
        </w:tc>
      </w:tr>
    </w:tbl>
    <w:p w14:paraId="27334F1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(6591).</w:t>
      </w:r>
    </w:p>
    <w:p w14:paraId="766E403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EA302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Нач. ГУАС Алексеев и военком бк Князев утвердили Отчет по испытаниям одноместного истребителя И-26 М-105П с винтом ВИШ-61 Д-3 м постройки завода 115 конструкции А.С.Я. (2911).</w:t>
      </w:r>
    </w:p>
    <w:p w14:paraId="4EA6DE6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ADF7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был утвержден Отчет по испытаниям одноместного истребителя И-26 М-105П с винтом ВИШ-61 Д-3 м постройки завода 115 конструкции А.С.Я. (699).</w:t>
      </w:r>
    </w:p>
    <w:p w14:paraId="16F8B4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1 июня и закончены 15 июня 1940</w:t>
      </w:r>
    </w:p>
    <w:p w14:paraId="5E2FD3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15 дней, из них наземные испытания 4 дня, нелетная погода 3 дня</w:t>
      </w:r>
    </w:p>
    <w:p w14:paraId="6BD2D8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Заводской ли Корзинщиков пароизвел три полета для проверки с-та 2 июня 1940 г.</w:t>
      </w:r>
    </w:p>
    <w:p w14:paraId="12D70C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5F0FFF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03B995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вед. летчик капитан Николаев</w:t>
      </w:r>
    </w:p>
    <w:p w14:paraId="01A39D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вед. летчик майор Стефановский</w:t>
      </w:r>
    </w:p>
    <w:p w14:paraId="7CED52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Нач. ГУАС КА Алексееву за № 395 было направлено</w:t>
      </w:r>
    </w:p>
    <w:p w14:paraId="377854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по передаче на госиспытания с-та И-26 конструкции и постройки з-да № 115:</w:t>
      </w:r>
    </w:p>
    <w:p w14:paraId="1E4D0C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Отчет по заводским летным испытаниям с-та И-26 утвердить</w:t>
      </w:r>
    </w:p>
    <w:p w14:paraId="0CED4D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Принять, что с-т может быть передан га госиспытания</w:t>
      </w:r>
    </w:p>
    <w:p w14:paraId="06C027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Рез-ты летных испытаний близки к заданным и расчетным</w:t>
      </w:r>
    </w:p>
    <w:p w14:paraId="14CAE3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Приложения:</w:t>
      </w:r>
    </w:p>
    <w:p w14:paraId="467881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 Комиссии А.С.Я., М.Громов, Корзинщиков (699).</w:t>
      </w:r>
    </w:p>
    <w:p w14:paraId="180BA4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Акт</w:t>
      </w:r>
    </w:p>
    <w:p w14:paraId="11B555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составлен на предмет приемки с-та И-26 М-105П в винтом ВИШ-61 № 2 постройки з-да № 115 на госиспытания представителями НИИ ВВС КА в составе ви ви2р Н.М.Максимова, испытателя по вооружению ви1р В.А.Березина, исп. По ВМГ ви2р Иванова, техн. С-та вт1р В.Ф.Сбитнева, техн. По спецобор. Ви1р Н.Т.Баранец.</w:t>
      </w:r>
    </w:p>
    <w:p w14:paraId="74AE13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осмотрела и проверила матчасть с-та, вооружение, отчет по заводским испытаниям и документацию, и нашла следующее:</w:t>
      </w:r>
    </w:p>
    <w:p w14:paraId="55257A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Программа заводских летных испытаний выполнена на 65%</w:t>
      </w:r>
    </w:p>
    <w:p w14:paraId="19D001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заводских летных испытаниях не выполнено:</w:t>
      </w:r>
    </w:p>
    <w:p w14:paraId="5BC82F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штопор до 2-х витков</w:t>
      </w:r>
    </w:p>
    <w:p w14:paraId="29E432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 отработана ВМГ на высоте более 5000 м. Полеты выше 5500 м не проводились</w:t>
      </w:r>
    </w:p>
    <w:p w14:paraId="326E6A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полеты с перегрузками (пикирование, бочки, иммельман)</w:t>
      </w:r>
    </w:p>
    <w:p w14:paraId="51096B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полеты на устойчивость с-та</w:t>
      </w:r>
    </w:p>
    <w:p w14:paraId="715ADB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полеты на определение расхода горючего</w:t>
      </w:r>
    </w:p>
    <w:p w14:paraId="45B045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полеты на отработку стрелково-пушечного вооружения</w:t>
      </w:r>
    </w:p>
    <w:p w14:paraId="166293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Прочность с-та</w:t>
      </w:r>
    </w:p>
    <w:p w14:paraId="5EC8FE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Носок крыла слаб. На статиспытаниях носок крыла после усиления выдержал всего 67% нагрузки по нормам прочности с-тов редакции 1940 г. Общая прочность недостаточна, т.к. расчет с-та произведен на вес 2300 кг, а действительный вес с-та 2700 кг, что составляет 11 кратный запас прочности вместо 13 положенных для истребителей по нормам прочности.</w:t>
      </w:r>
    </w:p>
    <w:p w14:paraId="5FD302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 осмотре матчасти с-та обнаружен ряд дефектов, часть которых заводом была устранена.</w:t>
      </w:r>
    </w:p>
    <w:p w14:paraId="3D1155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Неустраненными дефектами остались:</w:t>
      </w:r>
    </w:p>
    <w:p w14:paraId="5D0C24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с-ту (6)</w:t>
      </w:r>
    </w:p>
    <w:p w14:paraId="35EA66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ВМГ (5)</w:t>
      </w:r>
    </w:p>
    <w:p w14:paraId="7C595F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спецоборудованию (13)</w:t>
      </w:r>
    </w:p>
    <w:p w14:paraId="0BACEC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 015-33 наработал 36:57 до выработки ресурса осталось 13:03</w:t>
      </w:r>
    </w:p>
    <w:p w14:paraId="03FD73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не установлен генератор</w:t>
      </w:r>
    </w:p>
    <w:p w14:paraId="2D51B2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не оборудован ночными посадочными средствами</w:t>
      </w:r>
    </w:p>
    <w:p w14:paraId="32456F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Отсутствует розетка для питания сети от аэродромного аккумулятора</w:t>
      </w:r>
    </w:p>
    <w:p w14:paraId="2CD002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Нет обогрева трубки Пито</w:t>
      </w:r>
    </w:p>
    <w:p w14:paraId="42FE11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Электропроводка не экранирована и отсутствует металлизация</w:t>
      </w:r>
    </w:p>
    <w:p w14:paraId="27E393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не установлен приемник-передатчик радиостанции</w:t>
      </w:r>
    </w:p>
    <w:p w14:paraId="609C7D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установлен вариометр</w:t>
      </w:r>
    </w:p>
    <w:p w14:paraId="6E8DC9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Кислородное оборудование в воздухе не проверялось</w:t>
      </w:r>
    </w:p>
    <w:p w14:paraId="506ED5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вооружене с-та не доработано</w:t>
      </w:r>
    </w:p>
    <w:p w14:paraId="46FD7D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велась от синхронизатора с однокулачковой шайбой.</w:t>
      </w:r>
    </w:p>
    <w:p w14:paraId="05C844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Пушечное вооружение не отрабоано</w:t>
      </w:r>
    </w:p>
    <w:p w14:paraId="6F016D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из пушки не производилась</w:t>
      </w:r>
    </w:p>
    <w:p w14:paraId="24E066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Кроме указанного, заводом не выполнены ТТТ по следующим пунктам:</w:t>
      </w:r>
    </w:p>
    <w:p w14:paraId="4FB774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не установлено бомбардировочное вооружение, не предусмотрена установка для подвески бомбосбрасывателя</w:t>
      </w:r>
    </w:p>
    <w:p w14:paraId="4C0347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установлен на 2-м экз. ТК</w:t>
      </w:r>
    </w:p>
    <w:p w14:paraId="34E8EC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заводом не представлена следующая документация по с-ту - - расчеты на прочность шасси и костыля, замков шасси, узлов крепления фюзеляжа, весовой сводки, материалов статиспытаний, объяснительной записки к расчету на прочность, инструкции по эксплуатации, описания и чертежей по вооружению, невилировочный чертеж, компоновочный чертеж.</w:t>
      </w:r>
    </w:p>
    <w:p w14:paraId="66CAEC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Комиссия считает, что с-т И-26 М-105П завода № 115 не доведен и заводские летные испытания согласно Постановлению Правительства не закончены, ввиду недостаточной прочности носка крыла и недоработки ВМГ выше 5000 м. С-т может быть принят на госиспытания с целлью проверки данных в объеме заводских испытаний.</w:t>
      </w:r>
    </w:p>
    <w:p w14:paraId="11E588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приказу Нач. ГУАС КА комдива Алексеенко № 071 от 29 мая 1940 с-т И-26 М-105П ВИШ-61 принят на госиспытания 1 июня 1940.</w:t>
      </w:r>
    </w:p>
    <w:p w14:paraId="2DAF9B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подписали:</w:t>
      </w:r>
    </w:p>
    <w:p w14:paraId="44EF8E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 ви2р Максимов</w:t>
      </w:r>
    </w:p>
    <w:p w14:paraId="3530E3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2F9FEB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вооружению ви3р Берлин</w:t>
      </w:r>
    </w:p>
    <w:p w14:paraId="252B46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ВМГ ви2р</w:t>
      </w:r>
    </w:p>
    <w:p w14:paraId="0839C7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спецоборудованию</w:t>
      </w:r>
    </w:p>
    <w:p w14:paraId="2BA91A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характеристики с-та</w:t>
      </w:r>
    </w:p>
    <w:p w14:paraId="117150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2206</w:t>
      </w:r>
    </w:p>
    <w:p w14:paraId="4324E0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нагрузки 494</w:t>
      </w:r>
    </w:p>
    <w:p w14:paraId="78CEB4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Полный полетный вес 2700 кг</w:t>
      </w:r>
    </w:p>
    <w:p w14:paraId="2CEFD7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мотора 1050 лс</w:t>
      </w:r>
    </w:p>
    <w:p w14:paraId="081C3E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1 м2 153.5 кг</w:t>
      </w:r>
    </w:p>
    <w:p w14:paraId="3EA946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1 лс 2,535 кг</w:t>
      </w:r>
    </w:p>
    <w:p w14:paraId="7EFDC2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Сравнительная таблица: с-ты И-28 М-88 (ГИ), И-180 М-88 (ЗИ), И-3-1 М-105П (ЗИ), И-200 (ЗИ), Хе-100, Ме-109, Спитфайр, Бедд ХР-39</w:t>
      </w:r>
    </w:p>
    <w:p w14:paraId="681197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5EF93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И-26 М-105П конструкции инженера Яковлева был предъявлен на гос. испытания в недоведенном состоянии и не испытан на пикирование, высший пилотаж с перегрузками и штопор.</w:t>
      </w:r>
    </w:p>
    <w:p w14:paraId="52EFE8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Предъявленный самолет гос. испытаний не выдержал вследствие наличия следующих основных дефектов:</w:t>
      </w:r>
    </w:p>
    <w:p w14:paraId="58C478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недостаточной прочности носка крыла (составляет 67% от норм прочности), что лимитурует полет с перегрузками</w:t>
      </w:r>
    </w:p>
    <w:p w14:paraId="046175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недоведенности шасси с-та и невозможности их уборки при наборе высоты</w:t>
      </w:r>
    </w:p>
    <w:p w14:paraId="29D414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наличие высокой температуры воздуха в кабине пилота и попадание в нее отработанных газов, что приводит к быстрому утомлению летчика</w:t>
      </w:r>
    </w:p>
    <w:p w14:paraId="4827C1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недоведенности ВМГ, вследствие чего невозможна эксплуатация мотора на номинальной мощности при наборе высоты (перегрев масла)</w:t>
      </w:r>
    </w:p>
    <w:p w14:paraId="382E66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недоведенность вооружения, когда при производстве стрельбы звенья и гильзы попадают в стабилизатор</w:t>
      </w:r>
    </w:p>
    <w:p w14:paraId="670D25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недостаточный запас продольной устойчивости</w:t>
      </w:r>
    </w:p>
    <w:p w14:paraId="7E5D30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ГК с-та И-26 т. А.С.Я. и директору з-да № 115 надлежит в кратчайший срок довести с-т и устранив основные дефекты, затрудняющие нормальную эксплуатацию, предъявить вновь на госиспытания</w:t>
      </w:r>
    </w:p>
    <w:p w14:paraId="5826E2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Просить НКАП т. А.И.Ш. о даче указаний з-дам № 301 и № 292 о необходимости устранения всех основных дефектов, выявленных при первых госиспытаниях с-та И-26, на серийных с-тах</w:t>
      </w:r>
    </w:p>
    <w:p w14:paraId="66C926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Плодписали Нач. НИИ ВВС Филин и Военком НИИ ВВС полк. Комиссар Холопов</w:t>
      </w:r>
    </w:p>
    <w:p w14:paraId="4DC65C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деревянное с двумя деревянными лонжеронами коробчатого сечения.</w:t>
      </w:r>
    </w:p>
    <w:p w14:paraId="4DD3A9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и моторама - из хромансилевых труб - одно целое.</w:t>
      </w:r>
    </w:p>
    <w:p w14:paraId="4C174B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облета Холопцев, Никашин, Малышев, Кубышкин, Максимов, Кабанов, Корчергин, Шапотов (маневренность лучше, чем у Ме-109), Прошаков (перекладывание из виража в вираж легкое, посадка простая, пробег устойчив, в кабине душно, машина представляет больше удовлетворение).</w:t>
      </w:r>
    </w:p>
    <w:p w14:paraId="34A83C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максимальных скоростей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D5DF8" w:rsidRPr="00DB5D0D" w14:paraId="7090AFF8" w14:textId="77777777" w:rsidTr="009223E5">
        <w:tc>
          <w:tcPr>
            <w:tcW w:w="2802" w:type="dxa"/>
            <w:tcBorders>
              <w:top w:val="single" w:sz="12" w:space="0" w:color="auto"/>
            </w:tcBorders>
          </w:tcPr>
          <w:p w14:paraId="3537D5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2802" w:type="dxa"/>
            <w:tcBorders>
              <w:top w:val="single" w:sz="12" w:space="0" w:color="auto"/>
            </w:tcBorders>
          </w:tcPr>
          <w:p w14:paraId="3A13EB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2802" w:type="dxa"/>
            <w:tcBorders>
              <w:top w:val="single" w:sz="12" w:space="0" w:color="auto"/>
            </w:tcBorders>
          </w:tcPr>
          <w:p w14:paraId="2935EF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2802" w:type="dxa"/>
            <w:tcBorders>
              <w:top w:val="single" w:sz="12" w:space="0" w:color="auto"/>
            </w:tcBorders>
          </w:tcPr>
          <w:p w14:paraId="1540C3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r>
      <w:tr w:rsidR="007D5DF8" w:rsidRPr="00DB5D0D" w14:paraId="69C09806" w14:textId="77777777" w:rsidTr="009223E5">
        <w:tc>
          <w:tcPr>
            <w:tcW w:w="2802" w:type="dxa"/>
          </w:tcPr>
          <w:p w14:paraId="79BB9E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2802" w:type="dxa"/>
          </w:tcPr>
          <w:p w14:paraId="2DCAD2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w:t>
            </w:r>
          </w:p>
        </w:tc>
        <w:tc>
          <w:tcPr>
            <w:tcW w:w="2802" w:type="dxa"/>
          </w:tcPr>
          <w:p w14:paraId="590839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2BA165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23492C7E" w14:textId="77777777" w:rsidTr="009223E5">
        <w:tc>
          <w:tcPr>
            <w:tcW w:w="2802" w:type="dxa"/>
          </w:tcPr>
          <w:p w14:paraId="1C950F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802" w:type="dxa"/>
          </w:tcPr>
          <w:p w14:paraId="1D90A0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519</w:t>
            </w:r>
          </w:p>
        </w:tc>
        <w:tc>
          <w:tcPr>
            <w:tcW w:w="2802" w:type="dxa"/>
          </w:tcPr>
          <w:p w14:paraId="505FEC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0B10EC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0DF932C7" w14:textId="77777777" w:rsidTr="009223E5">
        <w:tc>
          <w:tcPr>
            <w:tcW w:w="2802" w:type="dxa"/>
          </w:tcPr>
          <w:p w14:paraId="493C9C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2802" w:type="dxa"/>
          </w:tcPr>
          <w:p w14:paraId="3557C2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546,5</w:t>
            </w:r>
          </w:p>
        </w:tc>
        <w:tc>
          <w:tcPr>
            <w:tcW w:w="2802" w:type="dxa"/>
          </w:tcPr>
          <w:p w14:paraId="02BA8B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497E51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59CA886B" w14:textId="77777777" w:rsidTr="009223E5">
        <w:tc>
          <w:tcPr>
            <w:tcW w:w="2802" w:type="dxa"/>
          </w:tcPr>
          <w:p w14:paraId="2C1DC3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 1 гв</w:t>
            </w:r>
          </w:p>
        </w:tc>
        <w:tc>
          <w:tcPr>
            <w:tcW w:w="2802" w:type="dxa"/>
          </w:tcPr>
          <w:p w14:paraId="0CEF47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564</w:t>
            </w:r>
          </w:p>
        </w:tc>
        <w:tc>
          <w:tcPr>
            <w:tcW w:w="2802" w:type="dxa"/>
          </w:tcPr>
          <w:p w14:paraId="5299DA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735688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27EC06A6" w14:textId="77777777" w:rsidTr="009223E5">
        <w:tc>
          <w:tcPr>
            <w:tcW w:w="2802" w:type="dxa"/>
          </w:tcPr>
          <w:p w14:paraId="49E065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2802" w:type="dxa"/>
          </w:tcPr>
          <w:p w14:paraId="409E4B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567,5</w:t>
            </w:r>
          </w:p>
        </w:tc>
        <w:tc>
          <w:tcPr>
            <w:tcW w:w="2802" w:type="dxa"/>
          </w:tcPr>
          <w:p w14:paraId="13CCD4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340E69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0EF938CB" w14:textId="77777777" w:rsidTr="009223E5">
        <w:tc>
          <w:tcPr>
            <w:tcW w:w="2802" w:type="dxa"/>
          </w:tcPr>
          <w:p w14:paraId="24C7D2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2802" w:type="dxa"/>
          </w:tcPr>
          <w:p w14:paraId="20D76B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577</w:t>
            </w:r>
          </w:p>
        </w:tc>
        <w:tc>
          <w:tcPr>
            <w:tcW w:w="2802" w:type="dxa"/>
          </w:tcPr>
          <w:p w14:paraId="0330F0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0798E0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890</w:t>
            </w:r>
          </w:p>
        </w:tc>
      </w:tr>
      <w:tr w:rsidR="007D5DF8" w:rsidRPr="00DB5D0D" w14:paraId="7FD2A4A3" w14:textId="77777777" w:rsidTr="009223E5">
        <w:tc>
          <w:tcPr>
            <w:tcW w:w="2802" w:type="dxa"/>
          </w:tcPr>
          <w:p w14:paraId="0A048E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4800 2 гв</w:t>
            </w:r>
          </w:p>
        </w:tc>
        <w:tc>
          <w:tcPr>
            <w:tcW w:w="2802" w:type="dxa"/>
          </w:tcPr>
          <w:p w14:paraId="6BE1F2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585,5</w:t>
            </w:r>
          </w:p>
        </w:tc>
        <w:tc>
          <w:tcPr>
            <w:tcW w:w="2802" w:type="dxa"/>
          </w:tcPr>
          <w:p w14:paraId="563144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2802" w:type="dxa"/>
          </w:tcPr>
          <w:p w14:paraId="3B106A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3681F7FD" w14:textId="77777777" w:rsidTr="009223E5">
        <w:tc>
          <w:tcPr>
            <w:tcW w:w="2802" w:type="dxa"/>
          </w:tcPr>
          <w:p w14:paraId="4F02EF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2802" w:type="dxa"/>
          </w:tcPr>
          <w:p w14:paraId="3EB995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572,5</w:t>
            </w:r>
          </w:p>
        </w:tc>
        <w:tc>
          <w:tcPr>
            <w:tcW w:w="2802" w:type="dxa"/>
          </w:tcPr>
          <w:p w14:paraId="70B7BE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2802" w:type="dxa"/>
          </w:tcPr>
          <w:p w14:paraId="540DF5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r>
      <w:tr w:rsidR="007D5DF8" w:rsidRPr="00DB5D0D" w14:paraId="1820CF75" w14:textId="77777777" w:rsidTr="009223E5">
        <w:tc>
          <w:tcPr>
            <w:tcW w:w="2802" w:type="dxa"/>
          </w:tcPr>
          <w:p w14:paraId="331368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2802" w:type="dxa"/>
          </w:tcPr>
          <w:p w14:paraId="0A9124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553</w:t>
            </w:r>
          </w:p>
        </w:tc>
        <w:tc>
          <w:tcPr>
            <w:tcW w:w="2802" w:type="dxa"/>
          </w:tcPr>
          <w:p w14:paraId="7D2C50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2802" w:type="dxa"/>
          </w:tcPr>
          <w:p w14:paraId="281A68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r>
      <w:tr w:rsidR="007D5DF8" w:rsidRPr="00DB5D0D" w14:paraId="131C1050" w14:textId="77777777" w:rsidTr="009223E5">
        <w:tc>
          <w:tcPr>
            <w:tcW w:w="2802" w:type="dxa"/>
            <w:tcBorders>
              <w:bottom w:val="single" w:sz="12" w:space="0" w:color="auto"/>
            </w:tcBorders>
          </w:tcPr>
          <w:p w14:paraId="3DC381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2802" w:type="dxa"/>
            <w:tcBorders>
              <w:bottom w:val="single" w:sz="12" w:space="0" w:color="auto"/>
            </w:tcBorders>
          </w:tcPr>
          <w:p w14:paraId="1056E4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529</w:t>
            </w:r>
          </w:p>
        </w:tc>
        <w:tc>
          <w:tcPr>
            <w:tcW w:w="2802" w:type="dxa"/>
            <w:tcBorders>
              <w:bottom w:val="single" w:sz="12" w:space="0" w:color="auto"/>
            </w:tcBorders>
          </w:tcPr>
          <w:p w14:paraId="7084D1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2802" w:type="dxa"/>
            <w:tcBorders>
              <w:bottom w:val="single" w:sz="12" w:space="0" w:color="auto"/>
            </w:tcBorders>
          </w:tcPr>
          <w:p w14:paraId="326621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w:t>
            </w:r>
          </w:p>
        </w:tc>
      </w:tr>
    </w:tbl>
    <w:p w14:paraId="36AA80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теоретический 10400, практический 10200, время набора 26,5</w:t>
      </w:r>
    </w:p>
    <w:p w14:paraId="461A9F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скороподъемности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842"/>
        <w:gridCol w:w="1843"/>
        <w:gridCol w:w="1843"/>
        <w:gridCol w:w="1843"/>
        <w:gridCol w:w="1843"/>
      </w:tblGrid>
      <w:tr w:rsidR="007D5DF8" w:rsidRPr="00DB5D0D" w14:paraId="5ACABC9B" w14:textId="77777777" w:rsidTr="009223E5">
        <w:tc>
          <w:tcPr>
            <w:tcW w:w="1668" w:type="dxa"/>
            <w:tcBorders>
              <w:top w:val="single" w:sz="12" w:space="0" w:color="auto"/>
            </w:tcBorders>
          </w:tcPr>
          <w:p w14:paraId="066298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1842" w:type="dxa"/>
            <w:tcBorders>
              <w:top w:val="single" w:sz="12" w:space="0" w:color="auto"/>
            </w:tcBorders>
          </w:tcPr>
          <w:p w14:paraId="0F907E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верт.</w:t>
            </w:r>
          </w:p>
        </w:tc>
        <w:tc>
          <w:tcPr>
            <w:tcW w:w="1843" w:type="dxa"/>
            <w:tcBorders>
              <w:top w:val="single" w:sz="12" w:space="0" w:color="auto"/>
            </w:tcBorders>
          </w:tcPr>
          <w:p w14:paraId="35614B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1843" w:type="dxa"/>
            <w:tcBorders>
              <w:top w:val="single" w:sz="12" w:space="0" w:color="auto"/>
            </w:tcBorders>
          </w:tcPr>
          <w:p w14:paraId="709915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горизонт.</w:t>
            </w:r>
          </w:p>
        </w:tc>
        <w:tc>
          <w:tcPr>
            <w:tcW w:w="1843" w:type="dxa"/>
            <w:tcBorders>
              <w:top w:val="single" w:sz="12" w:space="0" w:color="auto"/>
            </w:tcBorders>
          </w:tcPr>
          <w:p w14:paraId="3BD9F6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1843" w:type="dxa"/>
            <w:tcBorders>
              <w:top w:val="single" w:sz="12" w:space="0" w:color="auto"/>
            </w:tcBorders>
          </w:tcPr>
          <w:p w14:paraId="33C655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r>
      <w:tr w:rsidR="007D5DF8" w:rsidRPr="00DB5D0D" w14:paraId="798BC751" w14:textId="77777777" w:rsidTr="009223E5">
        <w:tc>
          <w:tcPr>
            <w:tcW w:w="1668" w:type="dxa"/>
          </w:tcPr>
          <w:p w14:paraId="2EB26D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842" w:type="dxa"/>
          </w:tcPr>
          <w:p w14:paraId="0E1F0C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1843" w:type="dxa"/>
          </w:tcPr>
          <w:p w14:paraId="582DB9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843" w:type="dxa"/>
          </w:tcPr>
          <w:p w14:paraId="6D2890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43" w:type="dxa"/>
          </w:tcPr>
          <w:p w14:paraId="4839D7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6E0965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5AEF1B73" w14:textId="77777777" w:rsidTr="009223E5">
        <w:tc>
          <w:tcPr>
            <w:tcW w:w="1668" w:type="dxa"/>
          </w:tcPr>
          <w:p w14:paraId="026A70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842" w:type="dxa"/>
          </w:tcPr>
          <w:p w14:paraId="487364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1843" w:type="dxa"/>
          </w:tcPr>
          <w:p w14:paraId="0DE7BB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843" w:type="dxa"/>
          </w:tcPr>
          <w:p w14:paraId="0E0173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43" w:type="dxa"/>
          </w:tcPr>
          <w:p w14:paraId="68B1BD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05D1C1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61D91259" w14:textId="77777777" w:rsidTr="009223E5">
        <w:tc>
          <w:tcPr>
            <w:tcW w:w="1668" w:type="dxa"/>
          </w:tcPr>
          <w:p w14:paraId="21FCDF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842" w:type="dxa"/>
          </w:tcPr>
          <w:p w14:paraId="7D263B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15,9</w:t>
            </w:r>
          </w:p>
        </w:tc>
        <w:tc>
          <w:tcPr>
            <w:tcW w:w="1843" w:type="dxa"/>
          </w:tcPr>
          <w:p w14:paraId="3EBAA3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843" w:type="dxa"/>
          </w:tcPr>
          <w:p w14:paraId="192B66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43" w:type="dxa"/>
          </w:tcPr>
          <w:p w14:paraId="30F745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1925FF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5B65055E" w14:textId="77777777" w:rsidTr="009223E5">
        <w:tc>
          <w:tcPr>
            <w:tcW w:w="1668" w:type="dxa"/>
          </w:tcPr>
          <w:p w14:paraId="5FA1D0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842" w:type="dxa"/>
          </w:tcPr>
          <w:p w14:paraId="5DD9D4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1843" w:type="dxa"/>
          </w:tcPr>
          <w:p w14:paraId="08B3F4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1843" w:type="dxa"/>
          </w:tcPr>
          <w:p w14:paraId="7AAB7C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w:t>
            </w:r>
          </w:p>
        </w:tc>
        <w:tc>
          <w:tcPr>
            <w:tcW w:w="1843" w:type="dxa"/>
          </w:tcPr>
          <w:p w14:paraId="1FC4C0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5A2513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810</w:t>
            </w:r>
          </w:p>
        </w:tc>
      </w:tr>
      <w:tr w:rsidR="007D5DF8" w:rsidRPr="00DB5D0D" w14:paraId="5684B649" w14:textId="77777777" w:rsidTr="009223E5">
        <w:tc>
          <w:tcPr>
            <w:tcW w:w="1668" w:type="dxa"/>
          </w:tcPr>
          <w:p w14:paraId="4D8BC9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1842" w:type="dxa"/>
          </w:tcPr>
          <w:p w14:paraId="06BF2C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13.4</w:t>
            </w:r>
          </w:p>
        </w:tc>
        <w:tc>
          <w:tcPr>
            <w:tcW w:w="1843" w:type="dxa"/>
          </w:tcPr>
          <w:p w14:paraId="6F2804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843" w:type="dxa"/>
          </w:tcPr>
          <w:p w14:paraId="6D305F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w:t>
            </w:r>
          </w:p>
        </w:tc>
        <w:tc>
          <w:tcPr>
            <w:tcW w:w="1843" w:type="dxa"/>
          </w:tcPr>
          <w:p w14:paraId="73D290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6FFCF6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865</w:t>
            </w:r>
          </w:p>
        </w:tc>
      </w:tr>
      <w:tr w:rsidR="007D5DF8" w:rsidRPr="00DB5D0D" w14:paraId="6AACC246" w14:textId="77777777" w:rsidTr="009223E5">
        <w:tc>
          <w:tcPr>
            <w:tcW w:w="1668" w:type="dxa"/>
          </w:tcPr>
          <w:p w14:paraId="3C5200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1842" w:type="dxa"/>
          </w:tcPr>
          <w:p w14:paraId="30EF39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w:t>
            </w:r>
          </w:p>
        </w:tc>
        <w:tc>
          <w:tcPr>
            <w:tcW w:w="1843" w:type="dxa"/>
          </w:tcPr>
          <w:p w14:paraId="6471ED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1843" w:type="dxa"/>
          </w:tcPr>
          <w:p w14:paraId="01B827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1843" w:type="dxa"/>
          </w:tcPr>
          <w:p w14:paraId="10C099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47C84F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830</w:t>
            </w:r>
          </w:p>
        </w:tc>
      </w:tr>
      <w:tr w:rsidR="007D5DF8" w:rsidRPr="00DB5D0D" w14:paraId="2C095FB3" w14:textId="77777777" w:rsidTr="009223E5">
        <w:tc>
          <w:tcPr>
            <w:tcW w:w="1668" w:type="dxa"/>
          </w:tcPr>
          <w:p w14:paraId="00A5F4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842" w:type="dxa"/>
          </w:tcPr>
          <w:p w14:paraId="799B59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1843" w:type="dxa"/>
          </w:tcPr>
          <w:p w14:paraId="57BA61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w:t>
            </w:r>
          </w:p>
        </w:tc>
        <w:tc>
          <w:tcPr>
            <w:tcW w:w="1843" w:type="dxa"/>
          </w:tcPr>
          <w:p w14:paraId="2449E4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235</w:t>
            </w:r>
          </w:p>
        </w:tc>
        <w:tc>
          <w:tcPr>
            <w:tcW w:w="1843" w:type="dxa"/>
          </w:tcPr>
          <w:p w14:paraId="41CE2F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1E07CB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725</w:t>
            </w:r>
          </w:p>
        </w:tc>
      </w:tr>
      <w:tr w:rsidR="007D5DF8" w:rsidRPr="00DB5D0D" w14:paraId="05B2B613" w14:textId="77777777" w:rsidTr="009223E5">
        <w:tc>
          <w:tcPr>
            <w:tcW w:w="1668" w:type="dxa"/>
          </w:tcPr>
          <w:p w14:paraId="7EA929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1842" w:type="dxa"/>
          </w:tcPr>
          <w:p w14:paraId="3AA134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1843" w:type="dxa"/>
          </w:tcPr>
          <w:p w14:paraId="556FA1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w:t>
            </w:r>
          </w:p>
        </w:tc>
        <w:tc>
          <w:tcPr>
            <w:tcW w:w="1843" w:type="dxa"/>
          </w:tcPr>
          <w:p w14:paraId="36A4C8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229</w:t>
            </w:r>
          </w:p>
        </w:tc>
        <w:tc>
          <w:tcPr>
            <w:tcW w:w="1843" w:type="dxa"/>
          </w:tcPr>
          <w:p w14:paraId="6AB980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6979EE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w:t>
            </w:r>
          </w:p>
        </w:tc>
      </w:tr>
      <w:tr w:rsidR="007D5DF8" w:rsidRPr="00DB5D0D" w14:paraId="0AFEC9C7" w14:textId="77777777" w:rsidTr="009223E5">
        <w:tc>
          <w:tcPr>
            <w:tcW w:w="1668" w:type="dxa"/>
          </w:tcPr>
          <w:p w14:paraId="33FFB1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1842" w:type="dxa"/>
          </w:tcPr>
          <w:p w14:paraId="733DB1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1843" w:type="dxa"/>
          </w:tcPr>
          <w:p w14:paraId="20C194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1843" w:type="dxa"/>
          </w:tcPr>
          <w:p w14:paraId="3D5AD9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222</w:t>
            </w:r>
          </w:p>
        </w:tc>
        <w:tc>
          <w:tcPr>
            <w:tcW w:w="1843" w:type="dxa"/>
          </w:tcPr>
          <w:p w14:paraId="6167FD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843" w:type="dxa"/>
          </w:tcPr>
          <w:p w14:paraId="6D73B5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540</w:t>
            </w:r>
          </w:p>
        </w:tc>
      </w:tr>
      <w:tr w:rsidR="007D5DF8" w:rsidRPr="00DB5D0D" w14:paraId="0662ABEB" w14:textId="77777777" w:rsidTr="009223E5">
        <w:tc>
          <w:tcPr>
            <w:tcW w:w="1668" w:type="dxa"/>
          </w:tcPr>
          <w:p w14:paraId="6B8F8E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1842" w:type="dxa"/>
          </w:tcPr>
          <w:p w14:paraId="7D5573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w:t>
            </w:r>
          </w:p>
        </w:tc>
        <w:tc>
          <w:tcPr>
            <w:tcW w:w="1843" w:type="dxa"/>
          </w:tcPr>
          <w:p w14:paraId="522ACD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w:t>
            </w:r>
          </w:p>
        </w:tc>
        <w:tc>
          <w:tcPr>
            <w:tcW w:w="1843" w:type="dxa"/>
          </w:tcPr>
          <w:p w14:paraId="4F18A2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Pr>
          <w:p w14:paraId="7F31F1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Pr>
          <w:p w14:paraId="3A19AF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E84023C" w14:textId="77777777" w:rsidTr="009223E5">
        <w:tc>
          <w:tcPr>
            <w:tcW w:w="1668" w:type="dxa"/>
            <w:tcBorders>
              <w:bottom w:val="single" w:sz="12" w:space="0" w:color="auto"/>
            </w:tcBorders>
          </w:tcPr>
          <w:p w14:paraId="126A03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842" w:type="dxa"/>
            <w:tcBorders>
              <w:bottom w:val="single" w:sz="12" w:space="0" w:color="auto"/>
            </w:tcBorders>
          </w:tcPr>
          <w:p w14:paraId="082585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w:t>
            </w:r>
          </w:p>
        </w:tc>
        <w:tc>
          <w:tcPr>
            <w:tcW w:w="1843" w:type="dxa"/>
            <w:tcBorders>
              <w:bottom w:val="single" w:sz="12" w:space="0" w:color="auto"/>
            </w:tcBorders>
          </w:tcPr>
          <w:p w14:paraId="2287CF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23,6</w:t>
            </w:r>
          </w:p>
        </w:tc>
        <w:tc>
          <w:tcPr>
            <w:tcW w:w="1843" w:type="dxa"/>
            <w:tcBorders>
              <w:bottom w:val="single" w:sz="12" w:space="0" w:color="auto"/>
            </w:tcBorders>
          </w:tcPr>
          <w:p w14:paraId="4F3F34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Borders>
              <w:bottom w:val="single" w:sz="12" w:space="0" w:color="auto"/>
            </w:tcBorders>
          </w:tcPr>
          <w:p w14:paraId="46DA31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43" w:type="dxa"/>
            <w:tcBorders>
              <w:bottom w:val="single" w:sz="12" w:space="0" w:color="auto"/>
            </w:tcBorders>
          </w:tcPr>
          <w:p w14:paraId="3BB1C9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195696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Взлетно-посадочные данные:</w:t>
      </w:r>
    </w:p>
    <w:p w14:paraId="29D023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300, время 12.3, скорость 1,2 м/сек, скорость отрыва 175 км/час</w:t>
      </w:r>
    </w:p>
    <w:p w14:paraId="30FCE2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350 м, время 33, скорость 1-2, скорость посадочная 135 км/час</w:t>
      </w:r>
    </w:p>
    <w:p w14:paraId="7079D8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Маневренность на 1000 м на скорости 300</w:t>
      </w:r>
    </w:p>
    <w:p w14:paraId="0D6DF2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левый 22</w:t>
      </w:r>
    </w:p>
    <w:p w14:paraId="4E02B1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правый 22</w:t>
      </w:r>
    </w:p>
    <w:p w14:paraId="58541A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серийный левый 1:15</w:t>
      </w:r>
    </w:p>
    <w:p w14:paraId="2D8DB7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серийный правый 1:25</w:t>
      </w:r>
    </w:p>
    <w:p w14:paraId="30D4DB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Размеры</w:t>
      </w:r>
    </w:p>
    <w:p w14:paraId="70F996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10000 мм, удилинение 5,83</w:t>
      </w:r>
    </w:p>
    <w:p w14:paraId="320090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на стоянке 8475</w:t>
      </w:r>
    </w:p>
    <w:p w14:paraId="5AC6BA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2485</w:t>
      </w:r>
    </w:p>
    <w:p w14:paraId="14F698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17,58</w:t>
      </w:r>
    </w:p>
    <w:p w14:paraId="533468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Профиль Кларк УН, у фюзеляжа 15%, на концах - 7%</w:t>
      </w:r>
    </w:p>
    <w:p w14:paraId="1C9A6D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Вкс пустого 2206 кг</w:t>
      </w:r>
    </w:p>
    <w:p w14:paraId="6B663C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полетный 2691,2</w:t>
      </w:r>
    </w:p>
    <w:p w14:paraId="4C1BC0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w:t>
      </w:r>
    </w:p>
    <w:p w14:paraId="5FC43E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с парашютом 90</w:t>
      </w:r>
    </w:p>
    <w:p w14:paraId="06A453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 305</w:t>
      </w:r>
    </w:p>
    <w:p w14:paraId="691A9C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 29</w:t>
      </w:r>
    </w:p>
    <w:p w14:paraId="3CE4B5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патроны для пулемета 27,7</w:t>
      </w:r>
    </w:p>
    <w:p w14:paraId="2D0248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патроны для пушки 25.5</w:t>
      </w:r>
    </w:p>
    <w:p w14:paraId="4B9217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аккумулятор 8</w:t>
      </w:r>
    </w:p>
    <w:p w14:paraId="3E8928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ЦТ пустого 18,55%, при нормальном полетном - 25,2%</w:t>
      </w:r>
    </w:p>
    <w:p w14:paraId="2EDFC3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 01533</w:t>
      </w:r>
    </w:p>
    <w:p w14:paraId="59521A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Диаметр цилиндра 170 мм, ход поршня 148 мм</w:t>
      </w:r>
    </w:p>
    <w:p w14:paraId="3DDC3A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Степень сжатия 7, пер. число к нагнетателю 1: 7,85, 1:20</w:t>
      </w:r>
    </w:p>
    <w:p w14:paraId="44AF4B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Редукция 2/3</w:t>
      </w:r>
    </w:p>
    <w:p w14:paraId="140261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Направление вращения - мотор правое, винт левое</w:t>
      </w:r>
    </w:p>
    <w:p w14:paraId="3A6647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 вес 580 кг</w:t>
      </w:r>
    </w:p>
    <w:p w14:paraId="00D5BA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мощность 1100 лс, Рк 950, обор. 2600</w:t>
      </w:r>
    </w:p>
    <w:p w14:paraId="226C65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 Мощность 1020, Рк 910, обороты 2650</w:t>
      </w:r>
    </w:p>
    <w:p w14:paraId="337332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 Мощность на расчетной высоте 1100/1050 (1 и 2)</w:t>
      </w:r>
    </w:p>
    <w:p w14:paraId="656E60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высотность 2000/4000</w:t>
      </w:r>
    </w:p>
    <w:p w14:paraId="5678FC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Расход горючего 230/260 г/лс/ч</w:t>
      </w:r>
    </w:p>
    <w:p w14:paraId="7A8B2F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Автоматы - РПД и Р-6</w:t>
      </w:r>
    </w:p>
    <w:p w14:paraId="48B34F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Габариты:</w:t>
      </w:r>
    </w:p>
    <w:p w14:paraId="21F388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2027</w:t>
      </w:r>
    </w:p>
    <w:p w14:paraId="16B8A5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946</w:t>
      </w:r>
    </w:p>
    <w:p w14:paraId="44A9AD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777</w:t>
      </w:r>
    </w:p>
    <w:p w14:paraId="3C74A1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отличия от М-105 - двухскоростной нагнетатель, степеньт сжатия 7 вместо 6</w:t>
      </w:r>
    </w:p>
    <w:p w14:paraId="617378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ВИШ-61 завода № 28, шир. Лопасти 250 мм.</w:t>
      </w:r>
    </w:p>
    <w:p w14:paraId="25D81F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Установочный угол макс. 50 гр., мин. 23:40</w:t>
      </w:r>
    </w:p>
    <w:p w14:paraId="6F2D7C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винта 131 кг</w:t>
      </w:r>
    </w:p>
    <w:p w14:paraId="3F1DE2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7882F7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ШКАСх2 = 37 кг, 760 патронов - 24,3 кг</w:t>
      </w:r>
    </w:p>
    <w:p w14:paraId="536F65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Мотор-пушка ШВАК 20мм - 53 кг, патронов 120 - 25,8 кг</w:t>
      </w:r>
    </w:p>
    <w:p w14:paraId="73A2E2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 дефектов, опасных для полета на с-те И-26</w:t>
      </w:r>
    </w:p>
    <w:p w14:paraId="4AD4D9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 большихх скоростях фонарь кабины сдвигается вперед и при открывании требуются большие усилия</w:t>
      </w:r>
    </w:p>
    <w:p w14:paraId="62A001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звенья и гильзы пушки попадают в стаюбилизатор и пробивают обшивку</w:t>
      </w:r>
    </w:p>
    <w:p w14:paraId="2F576F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шасси не убирается на скорости свыше 210-220 км/час</w:t>
      </w:r>
    </w:p>
    <w:p w14:paraId="4852FF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с-ту - 31 дефект, по ВМГ - выброс масла через суфлер, перегрев мотора и т.д. (699).</w:t>
      </w:r>
    </w:p>
    <w:p w14:paraId="330E8C2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23A1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 Начальник ГУАС генерал-лейтенант авиации Алексеев и Военком ГУАС бригадный комиссар Князев утвердили Отчет по гос. испытаниям одноместного истребителя И-26 М-105П с винтом ВИШ-61 постройки завода № 115 конструкции Яковлева</w:t>
      </w:r>
    </w:p>
    <w:p w14:paraId="01F712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E9812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Максимов</w:t>
      </w:r>
    </w:p>
    <w:p w14:paraId="2AF806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вед. летчик капитан Николаев</w:t>
      </w:r>
    </w:p>
    <w:p w14:paraId="0818DF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вед. летчик майор Стефановский</w:t>
      </w:r>
    </w:p>
    <w:p w14:paraId="3D3D30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6F8214E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его устойчивости, управляемости.</w:t>
      </w:r>
    </w:p>
    <w:p w14:paraId="6C69900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доведенности самолета, винтомоторной группы, вооружения и спецоборудования.</w:t>
      </w:r>
    </w:p>
    <w:p w14:paraId="28C744C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7FA606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проводились с 1 июня по 15 июня 1940 года.</w:t>
      </w:r>
    </w:p>
    <w:p w14:paraId="1F54E4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15 дней, из них летных – 8.</w:t>
      </w:r>
    </w:p>
    <w:p w14:paraId="16D66C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период испытаний выполнено 52 полета общей продолжительностью 21 час. 11 мин.</w:t>
      </w:r>
    </w:p>
    <w:p w14:paraId="3B0CB9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2351E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И-26 М-105П конструкции инженера Яковлева был предъявлен на гос. испытания в недоведенном состоянии и не испытан на пикирование, высший пилотаж с перегрузками и штопор.</w:t>
      </w:r>
    </w:p>
    <w:p w14:paraId="7AEFF8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самолет гос. испытаний не выдержал.</w:t>
      </w:r>
    </w:p>
    <w:p w14:paraId="632801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8789"/>
      </w:tblGrid>
      <w:tr w:rsidR="007D5DF8" w:rsidRPr="00DB5D0D" w14:paraId="15EBF06D" w14:textId="77777777" w:rsidTr="009223E5">
        <w:tc>
          <w:tcPr>
            <w:tcW w:w="1809" w:type="dxa"/>
            <w:tcBorders>
              <w:top w:val="single" w:sz="12" w:space="0" w:color="auto"/>
            </w:tcBorders>
          </w:tcPr>
          <w:p w14:paraId="10D134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8789" w:type="dxa"/>
            <w:tcBorders>
              <w:top w:val="single" w:sz="12" w:space="0" w:color="auto"/>
            </w:tcBorders>
          </w:tcPr>
          <w:p w14:paraId="44C6B3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79FB8CF2" w14:textId="77777777" w:rsidTr="009223E5">
        <w:tc>
          <w:tcPr>
            <w:tcW w:w="1809" w:type="dxa"/>
          </w:tcPr>
          <w:p w14:paraId="177347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июня 1940 года</w:t>
            </w:r>
          </w:p>
        </w:tc>
        <w:tc>
          <w:tcPr>
            <w:tcW w:w="8789" w:type="dxa"/>
          </w:tcPr>
          <w:p w14:paraId="3C80A722" w14:textId="77777777" w:rsidR="00A25AD1" w:rsidRPr="00DB5D0D" w:rsidRDefault="00A25AD1" w:rsidP="00DB5D0D">
            <w:pPr>
              <w:pStyle w:val="a3"/>
              <w:widowControl/>
              <w:rPr>
                <w:color w:val="000000" w:themeColor="text1"/>
                <w:lang w:val="ru-RU"/>
              </w:rPr>
            </w:pPr>
            <w:r w:rsidRPr="00DB5D0D">
              <w:rPr>
                <w:color w:val="000000" w:themeColor="text1"/>
                <w:lang w:val="ru-RU"/>
              </w:rPr>
              <w:t>Произведено 3 полета:</w:t>
            </w:r>
          </w:p>
          <w:p w14:paraId="2E9891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полет для проверки самолета летчиком завода Корзинщиковым.</w:t>
            </w:r>
          </w:p>
          <w:p w14:paraId="2E0467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полет для ознакомления летчика НИИ ВВС Николаева.</w:t>
            </w:r>
          </w:p>
        </w:tc>
      </w:tr>
      <w:tr w:rsidR="007D5DF8" w:rsidRPr="00DB5D0D" w14:paraId="7520C30D" w14:textId="77777777" w:rsidTr="009223E5">
        <w:tc>
          <w:tcPr>
            <w:tcW w:w="1809" w:type="dxa"/>
          </w:tcPr>
          <w:p w14:paraId="425B24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8789" w:type="dxa"/>
          </w:tcPr>
          <w:p w14:paraId="3DA3E85E"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определение границ высотности мотора.</w:t>
            </w:r>
          </w:p>
          <w:p w14:paraId="5416434D" w14:textId="77777777" w:rsidR="00A25AD1" w:rsidRPr="00DB5D0D" w:rsidRDefault="00A25AD1" w:rsidP="00DB5D0D">
            <w:pPr>
              <w:pStyle w:val="a3"/>
              <w:widowControl/>
              <w:rPr>
                <w:color w:val="000000" w:themeColor="text1"/>
                <w:lang w:val="ru-RU"/>
              </w:rPr>
            </w:pPr>
            <w:r w:rsidRPr="00DB5D0D">
              <w:rPr>
                <w:color w:val="000000" w:themeColor="text1"/>
                <w:lang w:val="ru-RU"/>
              </w:rPr>
              <w:t>2-й полет на определение границ высотности мотора.</w:t>
            </w:r>
          </w:p>
        </w:tc>
      </w:tr>
      <w:tr w:rsidR="007D5DF8" w:rsidRPr="00DB5D0D" w14:paraId="55FDD7F7" w14:textId="77777777" w:rsidTr="009223E5">
        <w:tc>
          <w:tcPr>
            <w:tcW w:w="1809" w:type="dxa"/>
          </w:tcPr>
          <w:p w14:paraId="04E7C10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789" w:type="dxa"/>
          </w:tcPr>
          <w:p w14:paraId="49E44A29" w14:textId="77777777" w:rsidR="00A25AD1" w:rsidRPr="00DB5D0D" w:rsidRDefault="00A25AD1" w:rsidP="00DB5D0D">
            <w:pPr>
              <w:pStyle w:val="a3"/>
              <w:widowControl/>
              <w:rPr>
                <w:color w:val="000000" w:themeColor="text1"/>
                <w:lang w:val="ru-RU"/>
              </w:rPr>
            </w:pPr>
            <w:r w:rsidRPr="00DB5D0D">
              <w:rPr>
                <w:color w:val="000000" w:themeColor="text1"/>
                <w:lang w:val="ru-RU"/>
              </w:rPr>
              <w:t>3-й полет на определение границ высотности мотора.</w:t>
            </w:r>
          </w:p>
        </w:tc>
      </w:tr>
      <w:tr w:rsidR="007D5DF8" w:rsidRPr="00DB5D0D" w14:paraId="64C8D78C" w14:textId="77777777" w:rsidTr="009223E5">
        <w:tc>
          <w:tcPr>
            <w:tcW w:w="1809" w:type="dxa"/>
          </w:tcPr>
          <w:p w14:paraId="06530D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года</w:t>
            </w:r>
          </w:p>
        </w:tc>
        <w:tc>
          <w:tcPr>
            <w:tcW w:w="8789" w:type="dxa"/>
          </w:tcPr>
          <w:p w14:paraId="3B2A6747" w14:textId="77777777" w:rsidR="00A25AD1" w:rsidRPr="00DB5D0D" w:rsidRDefault="00A25AD1" w:rsidP="00DB5D0D">
            <w:pPr>
              <w:pStyle w:val="a3"/>
              <w:widowControl/>
              <w:rPr>
                <w:color w:val="000000" w:themeColor="text1"/>
                <w:lang w:val="ru-RU"/>
              </w:rPr>
            </w:pPr>
            <w:r w:rsidRPr="00DB5D0D">
              <w:rPr>
                <w:color w:val="000000" w:themeColor="text1"/>
                <w:lang w:val="ru-RU"/>
              </w:rPr>
              <w:t>Произведен пилотаж.</w:t>
            </w:r>
          </w:p>
        </w:tc>
      </w:tr>
      <w:tr w:rsidR="007D5DF8" w:rsidRPr="00DB5D0D" w14:paraId="2966E889" w14:textId="77777777" w:rsidTr="009223E5">
        <w:tc>
          <w:tcPr>
            <w:tcW w:w="1809" w:type="dxa"/>
          </w:tcPr>
          <w:p w14:paraId="0801FE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года</w:t>
            </w:r>
          </w:p>
        </w:tc>
        <w:tc>
          <w:tcPr>
            <w:tcW w:w="8789" w:type="dxa"/>
          </w:tcPr>
          <w:p w14:paraId="4F7A7EFF" w14:textId="77777777" w:rsidR="00A25AD1" w:rsidRPr="00DB5D0D" w:rsidRDefault="00A25AD1" w:rsidP="00DB5D0D">
            <w:pPr>
              <w:pStyle w:val="a3"/>
              <w:widowControl/>
              <w:rPr>
                <w:color w:val="000000" w:themeColor="text1"/>
                <w:lang w:val="ru-RU"/>
              </w:rPr>
            </w:pPr>
            <w:r w:rsidRPr="00DB5D0D">
              <w:rPr>
                <w:color w:val="000000" w:themeColor="text1"/>
                <w:lang w:val="ru-RU"/>
              </w:rPr>
              <w:t>6 полетов на определение взлетно-посадочных свойств самолета.</w:t>
            </w:r>
          </w:p>
        </w:tc>
      </w:tr>
      <w:tr w:rsidR="007D5DF8" w:rsidRPr="00DB5D0D" w14:paraId="0744FE0C" w14:textId="77777777" w:rsidTr="009223E5">
        <w:tc>
          <w:tcPr>
            <w:tcW w:w="1809" w:type="dxa"/>
          </w:tcPr>
          <w:p w14:paraId="6BF398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w:t>
            </w:r>
          </w:p>
        </w:tc>
        <w:tc>
          <w:tcPr>
            <w:tcW w:w="8789" w:type="dxa"/>
          </w:tcPr>
          <w:p w14:paraId="7B3AB44F" w14:textId="77777777" w:rsidR="00A25AD1" w:rsidRPr="00DB5D0D" w:rsidRDefault="00A25AD1" w:rsidP="00DB5D0D">
            <w:pPr>
              <w:pStyle w:val="a3"/>
              <w:widowControl/>
              <w:rPr>
                <w:color w:val="000000" w:themeColor="text1"/>
                <w:lang w:val="ru-RU"/>
              </w:rPr>
            </w:pPr>
            <w:r w:rsidRPr="00DB5D0D">
              <w:rPr>
                <w:color w:val="000000" w:themeColor="text1"/>
                <w:lang w:val="ru-RU"/>
              </w:rPr>
              <w:t>2 полета на зубцы.</w:t>
            </w:r>
          </w:p>
          <w:p w14:paraId="16243D01"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определение маневренности самолета на высоте 3000 м.</w:t>
            </w:r>
          </w:p>
        </w:tc>
      </w:tr>
      <w:tr w:rsidR="007D5DF8" w:rsidRPr="00DB5D0D" w14:paraId="7CDF34E5" w14:textId="77777777" w:rsidTr="009223E5">
        <w:tc>
          <w:tcPr>
            <w:tcW w:w="1809" w:type="dxa"/>
          </w:tcPr>
          <w:p w14:paraId="7CD2CC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8789" w:type="dxa"/>
          </w:tcPr>
          <w:p w14:paraId="3DEB09AE" w14:textId="77777777" w:rsidR="00A25AD1" w:rsidRPr="00DB5D0D" w:rsidRDefault="00A25AD1" w:rsidP="00DB5D0D">
            <w:pPr>
              <w:pStyle w:val="a3"/>
              <w:widowControl/>
              <w:rPr>
                <w:color w:val="000000" w:themeColor="text1"/>
                <w:lang w:val="ru-RU"/>
              </w:rPr>
            </w:pPr>
            <w:r w:rsidRPr="00DB5D0D">
              <w:rPr>
                <w:color w:val="000000" w:themeColor="text1"/>
                <w:lang w:val="ru-RU"/>
              </w:rPr>
              <w:t>8 полетов на снятие взлетно-посадочных свойств самолета.</w:t>
            </w:r>
          </w:p>
        </w:tc>
      </w:tr>
      <w:tr w:rsidR="007D5DF8" w:rsidRPr="00DB5D0D" w14:paraId="26CB6071" w14:textId="77777777" w:rsidTr="009223E5">
        <w:tc>
          <w:tcPr>
            <w:tcW w:w="1809" w:type="dxa"/>
          </w:tcPr>
          <w:p w14:paraId="19FD29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8789" w:type="dxa"/>
          </w:tcPr>
          <w:p w14:paraId="202D29EE"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Н=5500 м.</w:t>
            </w:r>
          </w:p>
          <w:p w14:paraId="7FAE458E"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километраж.</w:t>
            </w:r>
          </w:p>
          <w:p w14:paraId="5BAF5E55"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Н=8000 м.</w:t>
            </w:r>
          </w:p>
          <w:p w14:paraId="71C2C58F"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Н=8000 м и отстрел на автоматику из пушки и пулеметов.</w:t>
            </w:r>
          </w:p>
          <w:p w14:paraId="5821E141"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маневренность и стрельбу.</w:t>
            </w:r>
          </w:p>
        </w:tc>
      </w:tr>
      <w:tr w:rsidR="007D5DF8" w:rsidRPr="00DB5D0D" w14:paraId="68558870" w14:textId="77777777" w:rsidTr="009223E5">
        <w:tc>
          <w:tcPr>
            <w:tcW w:w="1809" w:type="dxa"/>
          </w:tcPr>
          <w:p w14:paraId="633FA3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июня 1940 года</w:t>
            </w:r>
          </w:p>
        </w:tc>
        <w:tc>
          <w:tcPr>
            <w:tcW w:w="8789" w:type="dxa"/>
          </w:tcPr>
          <w:p w14:paraId="1B61AE76"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Н=8000 м и отстрел вооружения на автоматику.</w:t>
            </w:r>
          </w:p>
          <w:p w14:paraId="0D6EA250"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стрельбу.</w:t>
            </w:r>
          </w:p>
        </w:tc>
      </w:tr>
      <w:tr w:rsidR="007D5DF8" w:rsidRPr="00DB5D0D" w14:paraId="05906109" w14:textId="77777777" w:rsidTr="009223E5">
        <w:tc>
          <w:tcPr>
            <w:tcW w:w="1809" w:type="dxa"/>
          </w:tcPr>
          <w:p w14:paraId="346025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w:t>
            </w:r>
          </w:p>
        </w:tc>
        <w:tc>
          <w:tcPr>
            <w:tcW w:w="8789" w:type="dxa"/>
          </w:tcPr>
          <w:p w14:paraId="6788A049"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скороподъемность и скорость по высотам до Н=5000 м.</w:t>
            </w:r>
          </w:p>
          <w:p w14:paraId="7F79FA9D"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определение расхода горючего.</w:t>
            </w:r>
          </w:p>
        </w:tc>
      </w:tr>
      <w:tr w:rsidR="007D5DF8" w:rsidRPr="00DB5D0D" w14:paraId="1A29641E" w14:textId="77777777" w:rsidTr="009223E5">
        <w:tc>
          <w:tcPr>
            <w:tcW w:w="1809" w:type="dxa"/>
          </w:tcPr>
          <w:p w14:paraId="0EE73D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w:t>
            </w:r>
          </w:p>
        </w:tc>
        <w:tc>
          <w:tcPr>
            <w:tcW w:w="8789" w:type="dxa"/>
          </w:tcPr>
          <w:p w14:paraId="582D8B44"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расход горючего.</w:t>
            </w:r>
          </w:p>
          <w:p w14:paraId="6644A0C5" w14:textId="77777777" w:rsidR="00A25AD1" w:rsidRPr="00DB5D0D" w:rsidRDefault="00A25AD1" w:rsidP="00DB5D0D">
            <w:pPr>
              <w:pStyle w:val="a3"/>
              <w:widowControl/>
              <w:rPr>
                <w:color w:val="000000" w:themeColor="text1"/>
                <w:lang w:val="ru-RU"/>
              </w:rPr>
            </w:pPr>
            <w:r w:rsidRPr="00DB5D0D">
              <w:rPr>
                <w:color w:val="000000" w:themeColor="text1"/>
                <w:lang w:val="ru-RU"/>
              </w:rPr>
              <w:t>Облет самолета летчиками Кубышкиным, Кабановым.</w:t>
            </w:r>
          </w:p>
          <w:p w14:paraId="71D88313"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устойчивость.</w:t>
            </w:r>
          </w:p>
        </w:tc>
      </w:tr>
      <w:tr w:rsidR="007D5DF8" w:rsidRPr="00DB5D0D" w14:paraId="1FE966E8" w14:textId="77777777" w:rsidTr="009223E5">
        <w:tc>
          <w:tcPr>
            <w:tcW w:w="1809" w:type="dxa"/>
          </w:tcPr>
          <w:p w14:paraId="40F2A2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8789" w:type="dxa"/>
          </w:tcPr>
          <w:p w14:paraId="37473270" w14:textId="77777777" w:rsidR="00A25AD1" w:rsidRPr="00DB5D0D" w:rsidRDefault="00A25AD1" w:rsidP="00DB5D0D">
            <w:pPr>
              <w:pStyle w:val="a3"/>
              <w:widowControl/>
              <w:rPr>
                <w:color w:val="000000" w:themeColor="text1"/>
                <w:lang w:val="ru-RU"/>
              </w:rPr>
            </w:pPr>
            <w:r w:rsidRPr="00DB5D0D">
              <w:rPr>
                <w:color w:val="000000" w:themeColor="text1"/>
                <w:lang w:val="ru-RU"/>
              </w:rPr>
              <w:t>Полет на устойчивость Н=3000 м.</w:t>
            </w:r>
          </w:p>
          <w:p w14:paraId="4166CD93" w14:textId="77777777" w:rsidR="00A25AD1" w:rsidRPr="00DB5D0D" w:rsidRDefault="00A25AD1" w:rsidP="00DB5D0D">
            <w:pPr>
              <w:pStyle w:val="a3"/>
              <w:widowControl/>
              <w:rPr>
                <w:color w:val="000000" w:themeColor="text1"/>
                <w:lang w:val="ru-RU"/>
              </w:rPr>
            </w:pPr>
            <w:r w:rsidRPr="00DB5D0D">
              <w:rPr>
                <w:color w:val="000000" w:themeColor="text1"/>
                <w:lang w:val="ru-RU"/>
              </w:rPr>
              <w:t>Облет самолета летчиками полковым комиссаром Холопцевым, в/инженером 1 ранга генерал-майором Филиным.</w:t>
            </w:r>
          </w:p>
        </w:tc>
      </w:tr>
      <w:tr w:rsidR="007D5DF8" w:rsidRPr="00DB5D0D" w14:paraId="3AB76114" w14:textId="77777777" w:rsidTr="009223E5">
        <w:tc>
          <w:tcPr>
            <w:tcW w:w="1809" w:type="dxa"/>
            <w:tcBorders>
              <w:bottom w:val="single" w:sz="12" w:space="0" w:color="auto"/>
            </w:tcBorders>
          </w:tcPr>
          <w:p w14:paraId="581D98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16 июня 1940 года</w:t>
            </w:r>
          </w:p>
        </w:tc>
        <w:tc>
          <w:tcPr>
            <w:tcW w:w="8789" w:type="dxa"/>
            <w:tcBorders>
              <w:bottom w:val="single" w:sz="12" w:space="0" w:color="auto"/>
            </w:tcBorders>
          </w:tcPr>
          <w:p w14:paraId="026A1514" w14:textId="77777777" w:rsidR="00A25AD1" w:rsidRPr="00DB5D0D" w:rsidRDefault="00A25AD1" w:rsidP="00DB5D0D">
            <w:pPr>
              <w:pStyle w:val="a3"/>
              <w:widowControl/>
              <w:rPr>
                <w:color w:val="000000" w:themeColor="text1"/>
                <w:lang w:val="ru-RU"/>
              </w:rPr>
            </w:pPr>
            <w:r w:rsidRPr="00DB5D0D">
              <w:rPr>
                <w:color w:val="000000" w:themeColor="text1"/>
                <w:lang w:val="ru-RU"/>
              </w:rPr>
              <w:t>Облет самолета летчиками: в/инженером 1 ранга Никашиным, в/инженером 2 ранга Максимовым, в/инженером 2 ранга Кочетковым, капитаном Прошаковым, майором Малышевым, ст. лейтенантом Шапоровым.</w:t>
            </w:r>
          </w:p>
        </w:tc>
      </w:tr>
    </w:tbl>
    <w:p w14:paraId="28141A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(4557).</w:t>
      </w:r>
    </w:p>
    <w:p w14:paraId="26504A9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4A8A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был утвержден Отчет о гос. испытаниях И-26, проводимых с 1 по 15 июня 1940 (699).</w:t>
      </w:r>
    </w:p>
    <w:p w14:paraId="53B7DAE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56B7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в ходе гос. испытаний И-301 М-105 П, которые проводились в НИИ ВВС с 14 по 27 июня 1940 л Супруном и П.М.Стефановским были полеты: на расход горючего на 1-й скорости нагнетателя; полет на 8000 м; полет на расход на 2-й скорости; полет на определение устойчивости при средней центровке; полет на устойчивость при передней центровке. Устанавливали новые выхлопные патрубки (2922).</w:t>
      </w:r>
    </w:p>
    <w:p w14:paraId="4CCA779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E5A26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нач. инспекции при наркоме Фокин писал зам. наркома П.А.Воронину справку N 2376 о результатах испытания ВРД Меркулова на И-15бис и И-153 согласно приказы N 59с от 20 февраля 1940. Приказ был выполнен не полностью из-за недоведенности двигателя. По договоренности НИИ ГУАС с заводом 1 самолет И-153 был передан для продолжения испытаний (1172).</w:t>
      </w:r>
    </w:p>
    <w:p w14:paraId="3386F6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- 14 апреля 1940</w:t>
      </w:r>
    </w:p>
    <w:p w14:paraId="5BA594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была закончена программа испытаний и тренировочных полетов ЦКБ-30 (ДБ-3) Украина тренировочного. Севершили 36 полетов в мае и 19 в июне. Расход горючего получился даже ниже, чем ожидали: 0.71 кг/км вместо ожидавшихся 0.76-0.78. Машина была выпущена в полет для перелета Нестеренко 20 апреля 1940 (2102,4).</w:t>
      </w:r>
    </w:p>
    <w:p w14:paraId="7A3D74C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B668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Нач. инспекции при Наркоме писал Зам. НКАП П.А.Воронину справку N 2376 о выполнении приказа НКАП N 59с от 20 февраля 1940:</w:t>
      </w:r>
    </w:p>
    <w:p w14:paraId="4AC9B3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N 59с от 20 февраля 1940 завод 1 обязывался провести испытания ВРД конструкции Меркулова: на И-15бис - к 25 февраля, на И-153 - к 20 марта.</w:t>
      </w:r>
    </w:p>
    <w:p w14:paraId="36FA9F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 выполнен не полностью.</w:t>
      </w:r>
    </w:p>
    <w:p w14:paraId="47C541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И-15бис проведены в марте с опозданием из-за недоведенности двигателей.</w:t>
      </w:r>
    </w:p>
    <w:p w14:paraId="757907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оборудован с опозданием в 1 мес., испытания проведены не были из-за недоведенности двигателя. были проведены продувки двигателя и несколько пробных полетов (характеристики не снимались).</w:t>
      </w:r>
    </w:p>
    <w:p w14:paraId="3F29FF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договоренности завода 1 с НИП ГУАС КА самолет И-153 передается на дальнейшие испытания в НИИ ГУАС КА." (1172,3).</w:t>
      </w:r>
    </w:p>
    <w:p w14:paraId="494BF81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7998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 генерал-лейтенант авиации Алексеев и бригадный комиссар Князев писали письмо № 501616с наркому обороны маршалу Тимошенко С.К.</w:t>
      </w:r>
    </w:p>
    <w:p w14:paraId="0DCDAA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Представляя протокол заседания Техсовета при НИИ ГУАС по самолету И-28 М-88 конструкции Яценко, докладываю, что постановлением КО за № 235сс от 29 мая 1940 года самолет И-28 М-88 с серийного производства снят (7709, 453).</w:t>
      </w:r>
    </w:p>
    <w:p w14:paraId="2607C85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0D95CB" w14:textId="77777777" w:rsidR="00C41294" w:rsidRPr="00DB5D0D" w:rsidRDefault="00C4129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июня 1940 г. закончились испытания головного серий</w:t>
      </w:r>
      <w:r w:rsidRPr="00DB5D0D">
        <w:rPr>
          <w:rFonts w:ascii="Times New Roman" w:hAnsi="Times New Roman"/>
          <w:color w:val="0070C0"/>
          <w:sz w:val="16"/>
          <w:szCs w:val="16"/>
        </w:rPr>
        <w:softHyphen/>
        <w:t>ного «Звена-СПБ», составленного из ТБ-3 №22731 и И-16 №2421и11 и №2421з68. Сдаточные испытания велись с 17 по 21 июня 1940 года на аэродроме НИИ ВВС в Чкалов</w:t>
      </w:r>
      <w:r w:rsidRPr="00DB5D0D">
        <w:rPr>
          <w:rFonts w:ascii="Times New Roman" w:hAnsi="Times New Roman"/>
          <w:color w:val="0070C0"/>
          <w:sz w:val="16"/>
          <w:szCs w:val="16"/>
        </w:rPr>
        <w:softHyphen/>
        <w:t>ской по программе, согласованной заводом №207 и УМА ВМФ. Командиром от летной группы ВМФ являлся полков</w:t>
      </w:r>
      <w:r w:rsidRPr="00DB5D0D">
        <w:rPr>
          <w:rFonts w:ascii="Times New Roman" w:hAnsi="Times New Roman"/>
          <w:color w:val="0070C0"/>
          <w:sz w:val="16"/>
          <w:szCs w:val="16"/>
        </w:rPr>
        <w:softHyphen/>
        <w:t>ник Фомичев (он летал правым пилотом на ТБ-3). Коман</w:t>
      </w:r>
      <w:r w:rsidRPr="00DB5D0D">
        <w:rPr>
          <w:rFonts w:ascii="Times New Roman" w:hAnsi="Times New Roman"/>
          <w:color w:val="0070C0"/>
          <w:sz w:val="16"/>
          <w:szCs w:val="16"/>
        </w:rPr>
        <w:softHyphen/>
        <w:t>диром ТБ-3 являлся капитан Разумов, штурманом — капи</w:t>
      </w:r>
      <w:r w:rsidRPr="00DB5D0D">
        <w:rPr>
          <w:rFonts w:ascii="Times New Roman" w:hAnsi="Times New Roman"/>
          <w:color w:val="0070C0"/>
          <w:sz w:val="16"/>
          <w:szCs w:val="16"/>
        </w:rPr>
        <w:softHyphen/>
        <w:t>тан Богданов. Пилоты И-16 — лейтенанты Литвинчук и Рыжов.</w:t>
      </w:r>
    </w:p>
    <w:p w14:paraId="06386EC2" w14:textId="77777777" w:rsidR="00C41294" w:rsidRPr="00DB5D0D" w:rsidRDefault="00C4129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 время испытаний провели 6 подвесок И-16 к носите</w:t>
      </w:r>
      <w:r w:rsidRPr="00DB5D0D">
        <w:rPr>
          <w:rFonts w:ascii="Times New Roman" w:hAnsi="Times New Roman"/>
          <w:color w:val="0070C0"/>
          <w:sz w:val="16"/>
          <w:szCs w:val="16"/>
        </w:rPr>
        <w:softHyphen/>
        <w:t>лю. В полете произвели 5 отцепок по команде с ТБ-3 и од</w:t>
      </w:r>
      <w:r w:rsidRPr="00DB5D0D">
        <w:rPr>
          <w:rFonts w:ascii="Times New Roman" w:hAnsi="Times New Roman"/>
          <w:color w:val="0070C0"/>
          <w:sz w:val="16"/>
          <w:szCs w:val="16"/>
        </w:rPr>
        <w:softHyphen/>
        <w:t>ну отцепку аварийным сбрасывателем по решению летчи</w:t>
      </w:r>
      <w:r w:rsidRPr="00DB5D0D">
        <w:rPr>
          <w:rFonts w:ascii="Times New Roman" w:hAnsi="Times New Roman"/>
          <w:color w:val="0070C0"/>
          <w:sz w:val="16"/>
          <w:szCs w:val="16"/>
        </w:rPr>
        <w:softHyphen/>
        <w:t>ков И-16. Всего произвели три полета с авиабомбами и по</w:t>
      </w:r>
      <w:r w:rsidRPr="00DB5D0D">
        <w:rPr>
          <w:rFonts w:ascii="Times New Roman" w:hAnsi="Times New Roman"/>
          <w:color w:val="0070C0"/>
          <w:sz w:val="16"/>
          <w:szCs w:val="16"/>
        </w:rPr>
        <w:softHyphen/>
        <w:t>следующим их сбросом. Все отцепки происходили при скорости 200 км/ч. Один полет был выполнен с ФАБ-250 с отцепкой на 3000 метров и последующим пикировани</w:t>
      </w:r>
      <w:r w:rsidRPr="00DB5D0D">
        <w:rPr>
          <w:rFonts w:ascii="Times New Roman" w:hAnsi="Times New Roman"/>
          <w:color w:val="0070C0"/>
          <w:sz w:val="16"/>
          <w:szCs w:val="16"/>
        </w:rPr>
        <w:softHyphen/>
        <w:t>ем под углом 85 градусов. Все замки при подвеске и от</w:t>
      </w:r>
      <w:r w:rsidRPr="00DB5D0D">
        <w:rPr>
          <w:rFonts w:ascii="Times New Roman" w:hAnsi="Times New Roman"/>
          <w:color w:val="0070C0"/>
          <w:sz w:val="16"/>
          <w:szCs w:val="16"/>
        </w:rPr>
        <w:softHyphen/>
        <w:t>цеплении работали безотказно. Указывалось, что на И-16 перед прицелом были установлены сигнальные лампы, которые показывали вызов летчиков истребителей коман</w:t>
      </w:r>
      <w:r w:rsidRPr="00DB5D0D">
        <w:rPr>
          <w:rFonts w:ascii="Times New Roman" w:hAnsi="Times New Roman"/>
          <w:color w:val="0070C0"/>
          <w:sz w:val="16"/>
          <w:szCs w:val="16"/>
        </w:rPr>
        <w:softHyphen/>
        <w:t>диром ТБ-3. В дальнейшем предлагалось устанавливать та</w:t>
      </w:r>
      <w:r w:rsidRPr="00DB5D0D">
        <w:rPr>
          <w:rFonts w:ascii="Times New Roman" w:hAnsi="Times New Roman"/>
          <w:color w:val="0070C0"/>
          <w:sz w:val="16"/>
          <w:szCs w:val="16"/>
        </w:rPr>
        <w:softHyphen/>
        <w:t>кие лампы вместо ранее оборудованных сирен на всех И-16 СПБ.</w:t>
      </w:r>
    </w:p>
    <w:p w14:paraId="3DFDAC11" w14:textId="77777777" w:rsidR="00C41294" w:rsidRPr="00DB5D0D" w:rsidRDefault="00C4129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выводах по результатам испытаний указывалось тре</w:t>
      </w:r>
      <w:r w:rsidRPr="00DB5D0D">
        <w:rPr>
          <w:rFonts w:ascii="Times New Roman" w:hAnsi="Times New Roman"/>
          <w:color w:val="0070C0"/>
          <w:sz w:val="16"/>
          <w:szCs w:val="16"/>
        </w:rPr>
        <w:softHyphen/>
        <w:t>буемые мелкие доработки (например, усилить пружины на замках пирамид). Предлагалось оборудовать и использо</w:t>
      </w:r>
      <w:r w:rsidRPr="00DB5D0D">
        <w:rPr>
          <w:rFonts w:ascii="Times New Roman" w:hAnsi="Times New Roman"/>
          <w:color w:val="0070C0"/>
          <w:sz w:val="16"/>
          <w:szCs w:val="16"/>
        </w:rPr>
        <w:softHyphen/>
        <w:t>вать специальную тележку для подьема авиабомб на И-16.</w:t>
      </w:r>
    </w:p>
    <w:p w14:paraId="47BEECBB" w14:textId="77777777" w:rsidR="00C41294" w:rsidRPr="00DB5D0D" w:rsidRDefault="00C4129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Были отмечены некоторые особенности поведения ис</w:t>
      </w:r>
      <w:r w:rsidRPr="00DB5D0D">
        <w:rPr>
          <w:rFonts w:ascii="Times New Roman" w:hAnsi="Times New Roman"/>
          <w:color w:val="0070C0"/>
          <w:sz w:val="16"/>
          <w:szCs w:val="16"/>
        </w:rPr>
        <w:softHyphen/>
        <w:t>требителей в воздухе. Так, высота проваливания при от</w:t>
      </w:r>
      <w:r w:rsidRPr="00DB5D0D">
        <w:rPr>
          <w:rFonts w:ascii="Times New Roman" w:hAnsi="Times New Roman"/>
          <w:color w:val="0070C0"/>
          <w:sz w:val="16"/>
          <w:szCs w:val="16"/>
        </w:rPr>
        <w:softHyphen/>
        <w:t>цепке от ТБ-3 на скорости 200 км/ч с 250-кг бомбами со</w:t>
      </w:r>
      <w:r w:rsidRPr="00DB5D0D">
        <w:rPr>
          <w:rFonts w:ascii="Times New Roman" w:hAnsi="Times New Roman"/>
          <w:color w:val="0070C0"/>
          <w:sz w:val="16"/>
          <w:szCs w:val="16"/>
        </w:rPr>
        <w:softHyphen/>
        <w:t>ставила 500 метров. Скорость при вводе в пикирование — 250 км/ч, на выводе с углом 85° — 480 км/ч.</w:t>
      </w:r>
    </w:p>
    <w:p w14:paraId="028C92A3" w14:textId="77777777" w:rsidR="00C41294" w:rsidRPr="00DB5D0D" w:rsidRDefault="00C4129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Отмечалось, что система прошла испытания и могла быть допущена к эксплуатации. После оформления всех не</w:t>
      </w:r>
      <w:r w:rsidRPr="00DB5D0D">
        <w:rPr>
          <w:rFonts w:ascii="Times New Roman" w:hAnsi="Times New Roman"/>
          <w:color w:val="0070C0"/>
          <w:sz w:val="16"/>
          <w:szCs w:val="16"/>
        </w:rPr>
        <w:softHyphen/>
        <w:t>обходимых формальностей 21 августа должен был состо</w:t>
      </w:r>
      <w:r w:rsidRPr="00DB5D0D">
        <w:rPr>
          <w:rFonts w:ascii="Times New Roman" w:hAnsi="Times New Roman"/>
          <w:color w:val="0070C0"/>
          <w:sz w:val="16"/>
          <w:szCs w:val="16"/>
        </w:rPr>
        <w:softHyphen/>
        <w:t>яться вылет «Звена-СПБ» в полном составе к месту бази</w:t>
      </w:r>
      <w:r w:rsidRPr="00DB5D0D">
        <w:rPr>
          <w:rFonts w:ascii="Times New Roman" w:hAnsi="Times New Roman"/>
          <w:color w:val="0070C0"/>
          <w:sz w:val="16"/>
          <w:szCs w:val="16"/>
        </w:rPr>
        <w:softHyphen/>
        <w:t>рования на ЧФ. Однако, произошло непредвиденное. Младший лейтенант Рыжов, который накануне находился в увольнении в Москве, попал в романтическую историю и к назначенному часу опоздал. Понятно, что молодой летчик получил выговор за то, что сорвал вылет, однако мы теперь знаем, что первый образец «Звено-СПБ» поступил на Черноморский флот в последних числах августа 1940 г. О том, когда прибыли еще два комплектных «звена», до</w:t>
      </w:r>
      <w:r w:rsidRPr="00DB5D0D">
        <w:rPr>
          <w:rFonts w:ascii="Times New Roman" w:hAnsi="Times New Roman"/>
          <w:color w:val="0070C0"/>
          <w:sz w:val="16"/>
          <w:szCs w:val="16"/>
        </w:rPr>
        <w:softHyphen/>
        <w:t>кументов не обнаружено, поэтому можно предположить, что собрались они все на месте базирования уже осенью (20364).</w:t>
      </w:r>
    </w:p>
    <w:p w14:paraId="65E21C61" w14:textId="77777777" w:rsidR="00C41294" w:rsidRPr="00DB5D0D" w:rsidRDefault="00C41294" w:rsidP="00DB5D0D">
      <w:pPr>
        <w:shd w:val="clear" w:color="auto" w:fill="FFFFFF"/>
        <w:spacing w:after="0" w:line="240" w:lineRule="auto"/>
        <w:jc w:val="both"/>
        <w:rPr>
          <w:rFonts w:ascii="Times New Roman" w:hAnsi="Times New Roman"/>
          <w:color w:val="0070C0"/>
          <w:sz w:val="16"/>
          <w:szCs w:val="16"/>
        </w:rPr>
      </w:pPr>
    </w:p>
    <w:p w14:paraId="139E74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июня 1940 г. было решено, что мощный (а значит, большой) завод в Москве уместить будет затруднительно, поэтому перспективную мощность завода № 82 было решено ограничить цифрой 200 моторов в год (ГА РФ. Ф. 8007.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xml:space="preserve"> 1. Д. 25. Л. 167). Впрочем, на 19 сентября 1940 г. еще ни один новый цех этого предприятия не был введён в эксплуатацию (ГА РФ. Ф. 8007.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xml:space="preserve"> 1. Д. 25. Л. 104.), поэтому запланированный дефицит авиадизелей не должен вызывать удивления (12011).</w:t>
      </w:r>
    </w:p>
    <w:p w14:paraId="40D8B48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9289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1940г. по приказу НКАП № 170с заводу № 119 (Завод № 119 НКОП, Завод № 119 им. Г.М. Маленкова НКАП, АО «П. Ильин», Московский военно-автомобильный завод ВСНХ, Завод автомобильных запчастей «Спартак», Горьковское ПО «Гидромаш», Р-6328, Нижегородское ОАО «Гидромаш» /г. Москва ул. Пименовская, 2 (1920г.); ул. Краснопролетарская; 1-й Щемиловский пер., 16; г. Горький Сталинский р-н, ул. Интернациональная, 85/ /603022 г. Нижний Новгород пр. Гагарина, 22 тел. 78-84-44/) присвоено имя Г.М. Маленкова.</w:t>
      </w:r>
    </w:p>
    <w:p w14:paraId="14C0CA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войной группа специалистов завода № 119 переведена на завод № 457 НКАП.</w:t>
      </w:r>
    </w:p>
    <w:p w14:paraId="43223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16с от 9.01.1941г. в состав завода № 119 НКАП влит бывший 1-й Весовой завод как территория «б». Площадка на Краснопролетарской ул. стала территорией «а».</w:t>
      </w:r>
    </w:p>
    <w:p w14:paraId="126B46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ВОВ: производство авиашасси (литье) и амортстоек.</w:t>
      </w:r>
    </w:p>
    <w:p w14:paraId="386AE5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приказу № 1072сс от 15.10.1941г. завод № 119 2ГУ НКАП эвакуирован и с конца 1941г. базировался на территории филиала № 1 завода № 21 НКАП (бывшего завода им. Воробьева- «Гудок Октября») и на площадке </w:t>
      </w:r>
    </w:p>
    <w:p w14:paraId="780529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Авиатехникума. По приказу № 1121с от 15.11.1941 г. завод № 119 подчинен заводу № 21 на правах филиала. Директор филиала- А.Ф. Попов. По приказу № 277с от 14.04.1942 г. часть несмонтированного оборудования завода № 119 передана филиалу завода № 145 в Болшево.</w:t>
      </w:r>
    </w:p>
    <w:p w14:paraId="7928D9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территории «а» в Москве был образован завод № 282 НКАП по термоизмерительным приборам.</w:t>
      </w:r>
    </w:p>
    <w:p w14:paraId="2F282B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территория «б» сначала оставался филиал завода № 119, затем она была передана в распоряжение МАТИ для организации лабораторий и мастерских. В соответствии с пост. ГКО № 3919с от 13.08.1943 г. и приказом НКАП № 532с от 3.09.1943 г. на площадке по 1-му Щемиловскому пер., 16 в 10.1943 г. организован филиал завода № 149 НКАП. В соответствии с распоряжением правительства № 17703рс от 1.09.1944 г. и приказом НКАП № 570с от 20.09.1944 г. филиал преобразован в самостоятельный завод № 295 НКАП. С 1952 г. на площадке образован завод № 914 МАП.</w:t>
      </w:r>
    </w:p>
    <w:p w14:paraId="33193E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26с от 11.01.1942 г. филиал завода № 21 получил статус самостоятельного завода № 119 НКАП в системе 2ГУ. В распоряжение завода передана площадка филиала № 1 завода № 21 НКАП.</w:t>
      </w:r>
    </w:p>
    <w:p w14:paraId="6A88BA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Продолжено производство шасси.</w:t>
      </w:r>
    </w:p>
    <w:p w14:paraId="1A73BB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19с от 25.01.1946 г. площадка бывшего завод им. Воробьева (филиала № 1 завода № 21) освобождена заводом № 119 и передана НКМВ.</w:t>
      </w:r>
    </w:p>
    <w:p w14:paraId="64F91D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280с от 7.05.1946 г. завод передан из 2ГУ в 1ГУ, с 1951 г.- в 14ГУ, с 1953 г.- из 14ГУ во 2ГУ, с 1.05.1956 г.- из 2ГУ в 1ГУ. В соответствии с пост. СМ СССР № 713-342 от 26.06.1957 г. передан в ведение СНХ РСФСР.</w:t>
      </w:r>
    </w:p>
    <w:p w14:paraId="43E37E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войны были построены производственные корпуса, начался серийный выпуск агрегатов шасси.</w:t>
      </w:r>
    </w:p>
    <w:p w14:paraId="097CEB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1972 г. в состав завода вошло КБ «Автоприбор», проектирующее шасси.</w:t>
      </w:r>
    </w:p>
    <w:p w14:paraId="185638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1993 г. предприятие совместно с немецкой МВВ выиграло конкурс на создание шасси для европейского многоразового космического корабля «Гермес». В 2000-е  г. изготавливало титановые блоки для системы управления спойлерами А-380. Была проведена подготовка производства передней опоры шасси для А-350. Для этого был куплен станок глубокого сверления ТВТ (ФРГ). Для концерна «Либхерр» изготовлялись компоненты самолетов </w:t>
      </w:r>
      <w:r w:rsidRPr="00DB5D0D">
        <w:rPr>
          <w:rFonts w:ascii="Times New Roman" w:hAnsi="Times New Roman"/>
          <w:color w:val="000000" w:themeColor="text1"/>
          <w:sz w:val="16"/>
          <w:szCs w:val="16"/>
          <w:lang w:val="en-US"/>
        </w:rPr>
        <w:t>Embraer</w:t>
      </w:r>
      <w:r w:rsidRPr="00DB5D0D">
        <w:rPr>
          <w:rFonts w:ascii="Times New Roman" w:hAnsi="Times New Roman"/>
          <w:color w:val="000000" w:themeColor="text1"/>
          <w:sz w:val="16"/>
          <w:szCs w:val="16"/>
        </w:rPr>
        <w:t>-135/145, -170/175, -190; для компаний Глобал Экспресс и Агуста - АВ-139; для французской «Месье Даути» - А-340 и АТР-42.</w:t>
      </w:r>
    </w:p>
    <w:p w14:paraId="3EB3C7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2000-05 г. были приобретены: обрабатывающие центры фирм </w:t>
      </w:r>
      <w:r w:rsidRPr="00DB5D0D">
        <w:rPr>
          <w:rFonts w:ascii="Times New Roman" w:hAnsi="Times New Roman"/>
          <w:color w:val="000000" w:themeColor="text1"/>
          <w:sz w:val="16"/>
          <w:szCs w:val="16"/>
          <w:lang w:val="en-US"/>
        </w:rPr>
        <w:t>Hermle</w:t>
      </w:r>
      <w:r w:rsidRPr="00DB5D0D">
        <w:rPr>
          <w:rFonts w:ascii="Times New Roman" w:hAnsi="Times New Roman"/>
          <w:color w:val="000000" w:themeColor="text1"/>
          <w:sz w:val="16"/>
          <w:szCs w:val="16"/>
        </w:rPr>
        <w:t xml:space="preserve"> и </w:t>
      </w:r>
      <w:r w:rsidRPr="00DB5D0D">
        <w:rPr>
          <w:rFonts w:ascii="Times New Roman" w:hAnsi="Times New Roman"/>
          <w:color w:val="000000" w:themeColor="text1"/>
          <w:sz w:val="16"/>
          <w:szCs w:val="16"/>
          <w:lang w:val="en-US"/>
        </w:rPr>
        <w:t>Index</w:t>
      </w:r>
      <w:r w:rsidRPr="00DB5D0D">
        <w:rPr>
          <w:rFonts w:ascii="Times New Roman" w:hAnsi="Times New Roman"/>
          <w:color w:val="000000" w:themeColor="text1"/>
          <w:sz w:val="16"/>
          <w:szCs w:val="16"/>
        </w:rPr>
        <w:t xml:space="preserve"> (Германия), </w:t>
      </w:r>
      <w:r w:rsidRPr="00DB5D0D">
        <w:rPr>
          <w:rFonts w:ascii="Times New Roman" w:hAnsi="Times New Roman"/>
          <w:color w:val="000000" w:themeColor="text1"/>
          <w:sz w:val="16"/>
          <w:szCs w:val="16"/>
          <w:lang w:val="en-US"/>
        </w:rPr>
        <w:t>Mandelly</w:t>
      </w:r>
      <w:r w:rsidRPr="00DB5D0D">
        <w:rPr>
          <w:rFonts w:ascii="Times New Roman" w:hAnsi="Times New Roman"/>
          <w:color w:val="000000" w:themeColor="text1"/>
          <w:sz w:val="16"/>
          <w:szCs w:val="16"/>
        </w:rPr>
        <w:t xml:space="preserve"> (Италия); шлифовальный программный станок </w:t>
      </w:r>
      <w:r w:rsidRPr="00DB5D0D">
        <w:rPr>
          <w:rFonts w:ascii="Times New Roman" w:hAnsi="Times New Roman"/>
          <w:color w:val="000000" w:themeColor="text1"/>
          <w:sz w:val="16"/>
          <w:szCs w:val="16"/>
          <w:lang w:val="en-US"/>
        </w:rPr>
        <w:t>ShaudPF</w:t>
      </w:r>
      <w:r w:rsidRPr="00DB5D0D">
        <w:rPr>
          <w:rFonts w:ascii="Times New Roman" w:hAnsi="Times New Roman"/>
          <w:color w:val="000000" w:themeColor="text1"/>
          <w:sz w:val="16"/>
          <w:szCs w:val="16"/>
        </w:rPr>
        <w:t xml:space="preserve">-61 (Германия), заточной станок </w:t>
      </w:r>
      <w:r w:rsidRPr="00DB5D0D">
        <w:rPr>
          <w:rFonts w:ascii="Times New Roman" w:hAnsi="Times New Roman"/>
          <w:color w:val="000000" w:themeColor="text1"/>
          <w:sz w:val="16"/>
          <w:szCs w:val="16"/>
          <w:lang w:val="en-US"/>
        </w:rPr>
        <w:t>Walter</w:t>
      </w:r>
      <w:r w:rsidRPr="00DB5D0D">
        <w:rPr>
          <w:rFonts w:ascii="Times New Roman" w:hAnsi="Times New Roman"/>
          <w:color w:val="000000" w:themeColor="text1"/>
          <w:sz w:val="16"/>
          <w:szCs w:val="16"/>
        </w:rPr>
        <w:t xml:space="preserve"> (Германия). Термический комплекс завода оснащен шахтными печами </w:t>
      </w:r>
      <w:r w:rsidRPr="00DB5D0D">
        <w:rPr>
          <w:rFonts w:ascii="Times New Roman" w:hAnsi="Times New Roman"/>
          <w:color w:val="000000" w:themeColor="text1"/>
          <w:sz w:val="16"/>
          <w:szCs w:val="16"/>
          <w:lang w:val="en-US"/>
        </w:rPr>
        <w:t>Pegat</w:t>
      </w:r>
      <w:r w:rsidRPr="00DB5D0D">
        <w:rPr>
          <w:rFonts w:ascii="Times New Roman" w:hAnsi="Times New Roman"/>
          <w:color w:val="000000" w:themeColor="text1"/>
          <w:sz w:val="16"/>
          <w:szCs w:val="16"/>
        </w:rPr>
        <w:t xml:space="preserve"> (Польша), вакуумной печью </w:t>
      </w:r>
      <w:r w:rsidRPr="00DB5D0D">
        <w:rPr>
          <w:rFonts w:ascii="Times New Roman" w:hAnsi="Times New Roman"/>
          <w:color w:val="000000" w:themeColor="text1"/>
          <w:sz w:val="16"/>
          <w:szCs w:val="16"/>
          <w:lang w:val="en-US"/>
        </w:rPr>
        <w:t>Elterma</w:t>
      </w:r>
      <w:r w:rsidRPr="00DB5D0D">
        <w:rPr>
          <w:rFonts w:ascii="Times New Roman" w:hAnsi="Times New Roman"/>
          <w:color w:val="000000" w:themeColor="text1"/>
          <w:sz w:val="16"/>
          <w:szCs w:val="16"/>
        </w:rPr>
        <w:t xml:space="preserve"> (Польша), холодильной камерой </w:t>
      </w:r>
      <w:r w:rsidRPr="00DB5D0D">
        <w:rPr>
          <w:rFonts w:ascii="Times New Roman" w:hAnsi="Times New Roman"/>
          <w:color w:val="000000" w:themeColor="text1"/>
          <w:sz w:val="16"/>
          <w:szCs w:val="16"/>
          <w:lang w:val="en-US"/>
        </w:rPr>
        <w:t>Messer</w:t>
      </w:r>
      <w:r w:rsidRPr="00DB5D0D">
        <w:rPr>
          <w:rFonts w:ascii="Times New Roman" w:hAnsi="Times New Roman"/>
          <w:color w:val="000000" w:themeColor="text1"/>
          <w:sz w:val="16"/>
          <w:szCs w:val="16"/>
        </w:rPr>
        <w:t xml:space="preserve"> (ФРГ)</w:t>
      </w:r>
    </w:p>
    <w:p w14:paraId="12084C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1989 г. имело наименование- предприятие п/я Р-6328. В 1992 г. ПО «Гидромаш» акционировано. По решению правительства № 22-р от 9.01.2004 г. вошло в перечень стратегических предприятий.</w:t>
      </w:r>
    </w:p>
    <w:p w14:paraId="6366AA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Работы (2004 г.): проектирование и изготовление взлетно-посадочных устройств </w:t>
      </w:r>
      <w:r w:rsidRPr="00DB5D0D">
        <w:rPr>
          <w:rFonts w:ascii="Times New Roman" w:hAnsi="Times New Roman"/>
          <w:color w:val="000000" w:themeColor="text1"/>
          <w:sz w:val="16"/>
          <w:szCs w:val="16"/>
          <w:lang w:val="en-US"/>
        </w:rPr>
        <w:t>JIA</w:t>
      </w:r>
      <w:r w:rsidRPr="00DB5D0D">
        <w:rPr>
          <w:rFonts w:ascii="Times New Roman" w:hAnsi="Times New Roman"/>
          <w:color w:val="000000" w:themeColor="text1"/>
          <w:sz w:val="16"/>
          <w:szCs w:val="16"/>
        </w:rPr>
        <w:t xml:space="preserve"> (шасси и гидроагрегаты); стиральные машины.</w:t>
      </w:r>
    </w:p>
    <w:p w14:paraId="74A725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(1.01.2001 г.)- 3175 чел., (2002 г.)- 4000 чел.</w:t>
      </w:r>
    </w:p>
    <w:p w14:paraId="4B6799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(-06-10.12.1937 г.)- А.А. Еленин, (10.12.1937-09.1938 г.-)- П.А. Антонов, (1939 г.)- А. Качеров, (12.1940-41 г.)- А.Ф. Попов, (-01.1943-06.1944 г.-)- Григорьев, (01.1946 г.)- В.А. Солонин, (50-е  г.)- А.А. Волков, (1969 г.-)- В.И. Лузянин. Гендиректор (1999 г.)- В.И. Лузянин, (-2002-10.2004 г.-)- Е.А. Живулин.</w:t>
      </w:r>
    </w:p>
    <w:p w14:paraId="606622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зам. гендиректора (2006 г.)- А.В. Лузянин. Зам. директора (06.1937 г.)- А.С. Покрас. Зам. гендиректора по маркетингу (2006 г.)- С.В. Касаткин.</w:t>
      </w:r>
    </w:p>
    <w:p w14:paraId="4935CA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(-06.1937-19.07.1938 г.)- С.А. Покрас, (19.07.1938 г.-)- А.Я. Качеров.</w:t>
      </w:r>
      <w:r w:rsidRPr="00DB5D0D">
        <w:rPr>
          <w:rFonts w:ascii="Times New Roman" w:hAnsi="Times New Roman"/>
          <w:color w:val="000000" w:themeColor="text1"/>
          <w:sz w:val="16"/>
          <w:szCs w:val="16"/>
          <w:vertAlign w:val="superscript"/>
        </w:rPr>
        <w:t>139</w:t>
      </w:r>
    </w:p>
    <w:p w14:paraId="2FA3B9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автомобили НАМИ-1, «Форд-АА-НАМИ»; шасси для самолетов И-16, УТИ-4, И-29, ДБ-3, Пе- 2, И-180, УТ-3, ПС-84, Ер-2, Ил-2, ЛаГГ-3, И-240, ОКО-6, «302» (1942), ОК «Буран» (1988) (11982).</w:t>
      </w:r>
    </w:p>
    <w:p w14:paraId="3702C2D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F8A7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 согласно Отчета старшего инженера лаборатории №3 НИИ-3 НКБ М.Горшкова о проведенных опытах с донным взрывателем РД в 82-мм опытной ракетной камере, вышелшего 25 июня 1940 г.: « в лаборатории №2 НИИ-3 НКБ закончены опыты по использованию взрывателя РД. Цель их — выявить качество донного взрывателя в смысле безопасности его использования для РС. Все опыты проводили в опытной камере 82-мм модели 45044. В дно камеры завинчивается РД на свинцовой 2.5-3-мм прокладке. Снаружи на дно навинчен колпак-голока, на который опирается камера при опыте. После установки взрывателя и головки, дно навертывали на камеру. Снаряжал двигатель ракетным зарядом со стороны сопла. РЗ - одна шашка НГВ 60/10-200 мм. Она давала время горения, что и в 203- и 305-мм двигателях. Давление в камере двигателя регулировали, изменяя диаметр критического сечения сопла от 9 до 10 мм. Через выполнены» сбоку отверстие замеряли максимальную величину давления в камере крешерным прибором.</w:t>
      </w:r>
    </w:p>
    <w:p w14:paraId="014C9E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по работе:</w:t>
      </w:r>
    </w:p>
    <w:p w14:paraId="735FFC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Прорыв газов из камеры в БЧ вполне возможен, так как крупная резьба с шагом 5 мм и толстая свинцовая прокладка не герметизируют двигатель снаряда;</w:t>
      </w:r>
    </w:p>
    <w:p w14:paraId="44741D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Следы прорывавшихся из камеры газов к хвостовику цилиндра через шаровые клапаны в случае недостаточной затяжки резьбы и донышка взрывателя к капсюлю-детонатору через стенки цилиндра говорят за то, что запрессованный порох в донных отверстиях сгорает раньше, чем РЗ;</w:t>
      </w:r>
    </w:p>
    <w:p w14:paraId="35A9ED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Несмотря на то, что в проведенных четырех опытах капсюли-детонаторы не сработали, указанные недостатки (возможный прорыв газов через резьбу в головку снаряда и к цилиндрику взрывателя) не дает полной гарантии для безопасного использования донного взрывателя РД в РС» (11402).</w:t>
      </w:r>
    </w:p>
    <w:p w14:paraId="5303F9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A80DE9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CE8F15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0EFDA92" w14:textId="77777777" w:rsidR="002627A1" w:rsidRPr="00DB5D0D" w:rsidRDefault="002627A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июня 1940 вышло Постановление Комитета обороны при СНК СССР "О производстве 7,62-мм самозарядных винтовок образца 1940 г. на заводе № 314 Наркомата вооружения и Подольском заводе Наркомата общмаша" (21936).</w:t>
      </w:r>
    </w:p>
    <w:p w14:paraId="7CA0D7EF" w14:textId="77777777" w:rsidR="002627A1" w:rsidRPr="00DB5D0D" w:rsidRDefault="002627A1" w:rsidP="00DB5D0D">
      <w:pPr>
        <w:spacing w:after="0" w:line="240" w:lineRule="auto"/>
        <w:jc w:val="both"/>
        <w:rPr>
          <w:rFonts w:ascii="Times New Roman" w:hAnsi="Times New Roman"/>
          <w:color w:val="0070C0"/>
          <w:sz w:val="16"/>
          <w:szCs w:val="16"/>
        </w:rPr>
      </w:pPr>
    </w:p>
    <w:p w14:paraId="64215DF8"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июня 1940 вышло Постановление Комитета обороны при СНК СССР № 263сс "О принятии НКО от фирмы "Шкода" 210-мм пушки"</w:t>
      </w:r>
    </w:p>
    <w:p w14:paraId="6F1EECED"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ОБОРОНЫ при СНК Союза ССР ПОСТАНОВЛЯЕТ:</w:t>
      </w:r>
    </w:p>
    <w:p w14:paraId="10742747"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Разрешить НКО принять от фирмы "Шкода" 210 мм пушку в том виде, в каком она предъявлена к сдаче.</w:t>
      </w:r>
    </w:p>
    <w:p w14:paraId="531386EA"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Обязать Наркомвнешторг добиться от фирмы Шкода" снижения цены пушки на 10-20%, вследствие частичного несоответствия ее тактико-техническим требованиям (21934).</w:t>
      </w:r>
    </w:p>
    <w:p w14:paraId="2F2B9AB9" w14:textId="77777777" w:rsidR="00D31A84" w:rsidRPr="00DB5D0D" w:rsidRDefault="00D31A84" w:rsidP="00DB5D0D">
      <w:pPr>
        <w:spacing w:after="0" w:line="240" w:lineRule="auto"/>
        <w:jc w:val="both"/>
        <w:rPr>
          <w:rFonts w:ascii="Times New Roman" w:hAnsi="Times New Roman"/>
          <w:color w:val="0070C0"/>
          <w:sz w:val="16"/>
          <w:szCs w:val="16"/>
        </w:rPr>
      </w:pPr>
    </w:p>
    <w:p w14:paraId="2F8096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на двух первых серийных танках Т-34. Собранных на з-да № 183 были запущены двигатели. Были еще без гусениц и пробег осуществить не удалось, т.к. 27 июня первые 6 комплектов гусениц направили на СТЗ, а 28 июня 1940 с московского АТЭ проставили первые 5 стартеров, которые оказались негодными. 23 июня в сборочном цехе было всего 5 машин, а для остальных не было корпусов и башен (4661, 42).</w:t>
      </w:r>
    </w:p>
    <w:p w14:paraId="730D9C2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2B73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w:t>
      </w:r>
    </w:p>
    <w:p w14:paraId="5A0598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Выписки из оперативных сводок с завода № 183 (ХПЗ) за 1940 год.</w:t>
      </w:r>
    </w:p>
    <w:p w14:paraId="23C1B0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Сводка на 23.06.1940 г. </w:t>
      </w:r>
    </w:p>
    <w:p w14:paraId="589091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сборочном цеху находится 5 машин, на которых ведутся работы. На них установлены все главные механизмы и агрегаты (моторы, коробки, БФ, ГФ, БП, водяные и масляные радиаторы, баки и др.). </w:t>
      </w:r>
    </w:p>
    <w:p w14:paraId="3D2CBA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Две машины прокручены мотором на месте и одна из них в основном готова к пробегу (но нет траков, спаренной шаровой установки, мотора поворота башни, стекол «триплекс», стартеров). На последующие 5 машин нет корпусов и башен, которые должны поступить к 25.06.1940 г. Изготовление их задерживается из-за отсутствия сварщиков – они заняты на А-7. Директор ХПЗ их переброску до последнего времени не разрешает. Отсутствует резина (завод «Красный Треугольник», г.Ленинград), траки СТЗ и остальные, указанные выше детали и агрегаты. </w:t>
      </w:r>
    </w:p>
    <w:p w14:paraId="780C9E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немедленно прекратить изготовление машин А-7 (БТ-7) и преступить к программе по выпуску А-34 (Т-34). Другое решение вопроса может сорвать программу по этой машине в будущем месяце. </w:t>
      </w:r>
    </w:p>
    <w:p w14:paraId="17388D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Козырев (11842).</w:t>
      </w:r>
    </w:p>
    <w:p w14:paraId="6FA7F71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BED49F"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23</w:t>
      </w:r>
      <w:r w:rsidRPr="00DB5D0D">
        <w:rPr>
          <w:rFonts w:ascii="Times New Roman" w:hAnsi="Times New Roman" w:cs="Times New Roman"/>
          <w:i w:val="0"/>
          <w:iCs w:val="0"/>
          <w:noProof w:val="0"/>
          <w:color w:val="000000" w:themeColor="text1"/>
          <w:sz w:val="16"/>
          <w:szCs w:val="16"/>
          <w:lang w:val="ru-RU"/>
        </w:rPr>
        <w:t xml:space="preserve"> июня </w:t>
      </w:r>
      <w:r w:rsidRPr="00DB5D0D">
        <w:rPr>
          <w:rFonts w:ascii="Times New Roman" w:hAnsi="Times New Roman" w:cs="Times New Roman"/>
          <w:i w:val="0"/>
          <w:iCs w:val="0"/>
          <w:color w:val="000000" w:themeColor="text1"/>
          <w:sz w:val="16"/>
          <w:szCs w:val="16"/>
          <w:lang w:val="ru-RU"/>
        </w:rPr>
        <w:t>1940</w:t>
      </w:r>
    </w:p>
    <w:p w14:paraId="48EF9221"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noProof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 xml:space="preserve">НАЧАЛЬНИКУ 8 ОТДЕЛА АБТУ КА ВОЕНИНЖЕНЕРУ </w:t>
      </w:r>
      <w:r w:rsidRPr="00DB5D0D">
        <w:rPr>
          <w:rFonts w:ascii="Times New Roman" w:hAnsi="Times New Roman" w:cs="Times New Roman"/>
          <w:i w:val="0"/>
          <w:iCs w:val="0"/>
          <w:color w:val="000000" w:themeColor="text1"/>
          <w:sz w:val="16"/>
          <w:szCs w:val="16"/>
        </w:rPr>
        <w:t>I</w:t>
      </w:r>
      <w:r w:rsidRPr="00DB5D0D">
        <w:rPr>
          <w:rFonts w:ascii="Times New Roman" w:hAnsi="Times New Roman" w:cs="Times New Roman"/>
          <w:i w:val="0"/>
          <w:iCs w:val="0"/>
          <w:color w:val="000000" w:themeColor="text1"/>
          <w:sz w:val="16"/>
          <w:szCs w:val="16"/>
          <w:lang w:val="ru-RU"/>
        </w:rPr>
        <w:t xml:space="preserve"> РАНГА т. АФОНИНУ</w:t>
      </w:r>
    </w:p>
    <w:p w14:paraId="29C5E8F0"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noProof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НАЧАЛЬНИКУ 4 ОТДЕЛА АБГУ КА ВОЕНИНЖЕНЕРУ! РАНГА т. АЛЫМОВУ</w:t>
      </w:r>
    </w:p>
    <w:p w14:paraId="2885F6B6" w14:textId="77777777" w:rsidR="00A25AD1" w:rsidRPr="00DB5D0D" w:rsidRDefault="00A25AD1" w:rsidP="00DB5D0D">
      <w:pPr>
        <w:pStyle w:val="1110"/>
        <w:shd w:val="clear" w:color="auto" w:fill="auto"/>
        <w:spacing w:line="240" w:lineRule="auto"/>
        <w:jc w:val="both"/>
        <w:rPr>
          <w:rStyle w:val="117"/>
          <w:rFonts w:ascii="Times New Roman" w:hAnsi="Times New Roman" w:cs="Times New Roman"/>
          <w:iCs/>
          <w:noProof w:val="0"/>
          <w:color w:val="000000" w:themeColor="text1"/>
          <w:sz w:val="16"/>
          <w:szCs w:val="16"/>
          <w:lang w:val="ru-RU"/>
        </w:rPr>
      </w:pPr>
      <w:r w:rsidRPr="00DB5D0D">
        <w:rPr>
          <w:rStyle w:val="117"/>
          <w:rFonts w:ascii="Times New Roman" w:hAnsi="Times New Roman" w:cs="Times New Roman"/>
          <w:iCs/>
          <w:color w:val="000000" w:themeColor="text1"/>
          <w:sz w:val="16"/>
          <w:szCs w:val="16"/>
          <w:lang w:val="ru-RU"/>
        </w:rPr>
        <w:t xml:space="preserve">СВОДКА </w:t>
      </w:r>
      <w:r w:rsidRPr="00DB5D0D">
        <w:rPr>
          <w:rFonts w:ascii="Times New Roman" w:hAnsi="Times New Roman" w:cs="Times New Roman"/>
          <w:i w:val="0"/>
          <w:iCs w:val="0"/>
          <w:color w:val="000000" w:themeColor="text1"/>
          <w:sz w:val="16"/>
          <w:szCs w:val="16"/>
          <w:lang w:val="ru-RU"/>
        </w:rPr>
        <w:t>№302с</w:t>
      </w:r>
      <w:r w:rsidRPr="00DB5D0D">
        <w:rPr>
          <w:rStyle w:val="117"/>
          <w:rFonts w:ascii="Times New Roman" w:hAnsi="Times New Roman" w:cs="Times New Roman"/>
          <w:iCs/>
          <w:color w:val="000000" w:themeColor="text1"/>
          <w:sz w:val="16"/>
          <w:szCs w:val="16"/>
          <w:lang w:val="ru-RU"/>
        </w:rPr>
        <w:t xml:space="preserve"> О ХОДЕ РАБОТ ПО 10 МАШИ</w:t>
      </w:r>
      <w:r w:rsidRPr="00DB5D0D">
        <w:rPr>
          <w:rStyle w:val="117"/>
          <w:rFonts w:ascii="Times New Roman" w:hAnsi="Times New Roman" w:cs="Times New Roman"/>
          <w:iCs/>
          <w:color w:val="000000" w:themeColor="text1"/>
          <w:sz w:val="16"/>
          <w:szCs w:val="16"/>
          <w:lang w:val="ru-RU"/>
        </w:rPr>
        <w:softHyphen/>
        <w:t>НАМ ОПЫТНОЙ СЕРИИ «А-34» НА 20/</w:t>
      </w:r>
      <w:r w:rsidRPr="00DB5D0D">
        <w:rPr>
          <w:rStyle w:val="117"/>
          <w:rFonts w:ascii="Times New Roman" w:hAnsi="Times New Roman" w:cs="Times New Roman"/>
          <w:iCs/>
          <w:noProof w:val="0"/>
          <w:color w:val="000000" w:themeColor="text1"/>
          <w:sz w:val="16"/>
          <w:szCs w:val="16"/>
        </w:rPr>
        <w:t>VI</w:t>
      </w:r>
      <w:r w:rsidRPr="00DB5D0D">
        <w:rPr>
          <w:rStyle w:val="117"/>
          <w:rFonts w:ascii="Times New Roman" w:hAnsi="Times New Roman" w:cs="Times New Roman"/>
          <w:iCs/>
          <w:color w:val="000000" w:themeColor="text1"/>
          <w:sz w:val="16"/>
          <w:szCs w:val="16"/>
          <w:lang w:val="ru-RU"/>
        </w:rPr>
        <w:t>-40 г.</w:t>
      </w:r>
    </w:p>
    <w:p w14:paraId="36566E72"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 сборочном цехе находят</w:t>
      </w:r>
      <w:r w:rsidRPr="00DB5D0D">
        <w:rPr>
          <w:rFonts w:ascii="Times New Roman" w:hAnsi="Times New Roman" w:cs="Times New Roman"/>
          <w:i w:val="0"/>
          <w:iCs w:val="0"/>
          <w:color w:val="000000" w:themeColor="text1"/>
          <w:sz w:val="16"/>
          <w:szCs w:val="16"/>
          <w:lang w:val="ru-RU"/>
        </w:rPr>
        <w:softHyphen/>
        <w:t>ся 5 машин на которых ведутся работы. На всех машинах уста</w:t>
      </w:r>
      <w:r w:rsidRPr="00DB5D0D">
        <w:rPr>
          <w:rFonts w:ascii="Times New Roman" w:hAnsi="Times New Roman" w:cs="Times New Roman"/>
          <w:i w:val="0"/>
          <w:iCs w:val="0"/>
          <w:color w:val="000000" w:themeColor="text1"/>
          <w:sz w:val="16"/>
          <w:szCs w:val="16"/>
          <w:lang w:val="ru-RU"/>
        </w:rPr>
        <w:softHyphen/>
        <w:t>новлены все главные механиз</w:t>
      </w:r>
      <w:r w:rsidRPr="00DB5D0D">
        <w:rPr>
          <w:rFonts w:ascii="Times New Roman" w:hAnsi="Times New Roman" w:cs="Times New Roman"/>
          <w:i w:val="0"/>
          <w:iCs w:val="0"/>
          <w:color w:val="000000" w:themeColor="text1"/>
          <w:sz w:val="16"/>
          <w:szCs w:val="16"/>
          <w:lang w:val="ru-RU"/>
        </w:rPr>
        <w:softHyphen/>
        <w:t>мы и агрегаты (моторы, короб</w:t>
      </w:r>
      <w:r w:rsidRPr="00DB5D0D">
        <w:rPr>
          <w:rFonts w:ascii="Times New Roman" w:hAnsi="Times New Roman" w:cs="Times New Roman"/>
          <w:i w:val="0"/>
          <w:iCs w:val="0"/>
          <w:color w:val="000000" w:themeColor="text1"/>
          <w:sz w:val="16"/>
          <w:szCs w:val="16"/>
          <w:lang w:val="ru-RU"/>
        </w:rPr>
        <w:softHyphen/>
        <w:t>ки, бортовые и главные фрик</w:t>
      </w:r>
      <w:r w:rsidRPr="00DB5D0D">
        <w:rPr>
          <w:rFonts w:ascii="Times New Roman" w:hAnsi="Times New Roman" w:cs="Times New Roman"/>
          <w:i w:val="0"/>
          <w:iCs w:val="0"/>
          <w:color w:val="000000" w:themeColor="text1"/>
          <w:sz w:val="16"/>
          <w:szCs w:val="16"/>
          <w:lang w:val="ru-RU"/>
        </w:rPr>
        <w:softHyphen/>
        <w:t>ционы, бортовые передачи, во</w:t>
      </w:r>
      <w:r w:rsidRPr="00DB5D0D">
        <w:rPr>
          <w:rFonts w:ascii="Times New Roman" w:hAnsi="Times New Roman" w:cs="Times New Roman"/>
          <w:i w:val="0"/>
          <w:iCs w:val="0"/>
          <w:color w:val="000000" w:themeColor="text1"/>
          <w:sz w:val="16"/>
          <w:szCs w:val="16"/>
          <w:lang w:val="ru-RU"/>
        </w:rPr>
        <w:softHyphen/>
        <w:t>дяные и масляные радиаторы, баки и др.).</w:t>
      </w:r>
    </w:p>
    <w:p w14:paraId="2CD7EC73"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стартеров.</w:t>
      </w:r>
    </w:p>
    <w:p w14:paraId="7296B3DE"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 последующие пять ма</w:t>
      </w:r>
      <w:r w:rsidRPr="00DB5D0D">
        <w:rPr>
          <w:rFonts w:ascii="Times New Roman" w:hAnsi="Times New Roman" w:cs="Times New Roman"/>
          <w:i w:val="0"/>
          <w:iCs w:val="0"/>
          <w:color w:val="000000" w:themeColor="text1"/>
          <w:sz w:val="16"/>
          <w:szCs w:val="16"/>
          <w:lang w:val="ru-RU"/>
        </w:rPr>
        <w:softHyphen/>
        <w:t>шин отсутствуют корпуса и баш</w:t>
      </w:r>
      <w:r w:rsidRPr="00DB5D0D">
        <w:rPr>
          <w:rFonts w:ascii="Times New Roman" w:hAnsi="Times New Roman" w:cs="Times New Roman"/>
          <w:i w:val="0"/>
          <w:iCs w:val="0"/>
          <w:color w:val="000000" w:themeColor="text1"/>
          <w:sz w:val="16"/>
          <w:szCs w:val="16"/>
          <w:lang w:val="ru-RU"/>
        </w:rPr>
        <w:softHyphen/>
        <w:t>ни, которые должны поступить к 25/</w:t>
      </w:r>
      <w:r w:rsidRPr="00DB5D0D">
        <w:rPr>
          <w:rFonts w:ascii="Times New Roman" w:hAnsi="Times New Roman" w:cs="Times New Roman"/>
          <w:i w:val="0"/>
          <w:iCs w:val="0"/>
          <w:noProof w:val="0"/>
          <w:color w:val="000000" w:themeColor="text1"/>
          <w:sz w:val="16"/>
          <w:szCs w:val="16"/>
        </w:rPr>
        <w:t>VI</w:t>
      </w:r>
      <w:r w:rsidRPr="00DB5D0D">
        <w:rPr>
          <w:rFonts w:ascii="Times New Roman" w:hAnsi="Times New Roman" w:cs="Times New Roman"/>
          <w:i w:val="0"/>
          <w:iCs w:val="0"/>
          <w:color w:val="000000" w:themeColor="text1"/>
          <w:sz w:val="16"/>
          <w:szCs w:val="16"/>
          <w:lang w:val="ru-RU"/>
        </w:rPr>
        <w:t>-40 г. Изготовление после</w:t>
      </w:r>
      <w:r w:rsidRPr="00DB5D0D">
        <w:rPr>
          <w:rFonts w:ascii="Times New Roman" w:hAnsi="Times New Roman" w:cs="Times New Roman"/>
          <w:i w:val="0"/>
          <w:iCs w:val="0"/>
          <w:color w:val="000000" w:themeColor="text1"/>
          <w:sz w:val="16"/>
          <w:szCs w:val="16"/>
          <w:lang w:val="ru-RU"/>
        </w:rPr>
        <w:softHyphen/>
        <w:t>дних задерживается из-за отсут</w:t>
      </w:r>
      <w:r w:rsidRPr="00DB5D0D">
        <w:rPr>
          <w:rFonts w:ascii="Times New Roman" w:hAnsi="Times New Roman" w:cs="Times New Roman"/>
          <w:i w:val="0"/>
          <w:iCs w:val="0"/>
          <w:color w:val="000000" w:themeColor="text1"/>
          <w:sz w:val="16"/>
          <w:szCs w:val="16"/>
          <w:lang w:val="ru-RU"/>
        </w:rPr>
        <w:softHyphen/>
        <w:t>ствия сварщиков, так как основ</w:t>
      </w:r>
      <w:r w:rsidRPr="00DB5D0D">
        <w:rPr>
          <w:rFonts w:ascii="Times New Roman" w:hAnsi="Times New Roman" w:cs="Times New Roman"/>
          <w:i w:val="0"/>
          <w:iCs w:val="0"/>
          <w:color w:val="000000" w:themeColor="text1"/>
          <w:sz w:val="16"/>
          <w:szCs w:val="16"/>
          <w:lang w:val="ru-RU"/>
        </w:rPr>
        <w:softHyphen/>
        <w:t>ное количество сварщиков заня</w:t>
      </w:r>
      <w:r w:rsidRPr="00DB5D0D">
        <w:rPr>
          <w:rFonts w:ascii="Times New Roman" w:hAnsi="Times New Roman" w:cs="Times New Roman"/>
          <w:i w:val="0"/>
          <w:iCs w:val="0"/>
          <w:color w:val="000000" w:themeColor="text1"/>
          <w:sz w:val="16"/>
          <w:szCs w:val="16"/>
          <w:lang w:val="ru-RU"/>
        </w:rPr>
        <w:softHyphen/>
        <w:t>ты на корпусах А-7, переброска же их на корпуса А-34 до после</w:t>
      </w:r>
      <w:r w:rsidRPr="00DB5D0D">
        <w:rPr>
          <w:rFonts w:ascii="Times New Roman" w:hAnsi="Times New Roman" w:cs="Times New Roman"/>
          <w:i w:val="0"/>
          <w:iCs w:val="0"/>
          <w:color w:val="000000" w:themeColor="text1"/>
          <w:sz w:val="16"/>
          <w:szCs w:val="16"/>
          <w:lang w:val="ru-RU"/>
        </w:rPr>
        <w:softHyphen/>
        <w:t>днего времени Директором за</w:t>
      </w:r>
      <w:r w:rsidRPr="00DB5D0D">
        <w:rPr>
          <w:rFonts w:ascii="Times New Roman" w:hAnsi="Times New Roman" w:cs="Times New Roman"/>
          <w:i w:val="0"/>
          <w:iCs w:val="0"/>
          <w:color w:val="000000" w:themeColor="text1"/>
          <w:sz w:val="16"/>
          <w:szCs w:val="16"/>
          <w:lang w:val="ru-RU"/>
        </w:rPr>
        <w:softHyphen/>
        <w:t>вода не разрешалось. Также от</w:t>
      </w:r>
      <w:r w:rsidRPr="00DB5D0D">
        <w:rPr>
          <w:rFonts w:ascii="Times New Roman" w:hAnsi="Times New Roman" w:cs="Times New Roman"/>
          <w:i w:val="0"/>
          <w:iCs w:val="0"/>
          <w:color w:val="000000" w:themeColor="text1"/>
          <w:sz w:val="16"/>
          <w:szCs w:val="16"/>
          <w:lang w:val="ru-RU"/>
        </w:rPr>
        <w:softHyphen/>
        <w:t>сутствует резина (завод Красный</w:t>
      </w:r>
    </w:p>
    <w:p w14:paraId="1A7F3F6A"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Две машины прокручены мотором на месте и одна из них в основном готова к пробегу, но не может быть сдана из-за от</w:t>
      </w:r>
      <w:r w:rsidRPr="00DB5D0D">
        <w:rPr>
          <w:rFonts w:ascii="Times New Roman" w:hAnsi="Times New Roman" w:cs="Times New Roman"/>
          <w:i w:val="0"/>
          <w:iCs w:val="0"/>
          <w:color w:val="000000" w:themeColor="text1"/>
          <w:sz w:val="16"/>
          <w:szCs w:val="16"/>
          <w:lang w:val="ru-RU"/>
        </w:rPr>
        <w:softHyphen/>
        <w:t>сутствия ряда дефицитных деталей и механизмов как то:</w:t>
      </w:r>
    </w:p>
    <w:p w14:paraId="1EB0916A"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Треугольник г. Ленинград), траки литые (завод СТЗ), стартеры, мо</w:t>
      </w:r>
      <w:r w:rsidRPr="00DB5D0D">
        <w:rPr>
          <w:rFonts w:ascii="Times New Roman" w:hAnsi="Times New Roman" w:cs="Times New Roman"/>
          <w:i w:val="0"/>
          <w:iCs w:val="0"/>
          <w:color w:val="000000" w:themeColor="text1"/>
          <w:sz w:val="16"/>
          <w:szCs w:val="16"/>
          <w:lang w:val="ru-RU"/>
        </w:rPr>
        <w:softHyphen/>
        <w:t>торы поворота башни, спаренные шаровые установки, стекла «ТРИП</w:t>
      </w:r>
      <w:r w:rsidRPr="00DB5D0D">
        <w:rPr>
          <w:rFonts w:ascii="Times New Roman" w:hAnsi="Times New Roman" w:cs="Times New Roman"/>
          <w:i w:val="0"/>
          <w:iCs w:val="0"/>
          <w:color w:val="000000" w:themeColor="text1"/>
          <w:sz w:val="16"/>
          <w:szCs w:val="16"/>
          <w:lang w:val="ru-RU"/>
        </w:rPr>
        <w:softHyphen/>
        <w:t>ЛЕКС».</w:t>
      </w:r>
    </w:p>
    <w:p w14:paraId="76C7430E"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Отсутствие этих механизмов и деталей может отразиться на про</w:t>
      </w:r>
      <w:r w:rsidRPr="00DB5D0D">
        <w:rPr>
          <w:rFonts w:ascii="Times New Roman" w:hAnsi="Times New Roman" w:cs="Times New Roman"/>
          <w:i w:val="0"/>
          <w:iCs w:val="0"/>
          <w:color w:val="000000" w:themeColor="text1"/>
          <w:sz w:val="16"/>
          <w:szCs w:val="16"/>
          <w:lang w:val="ru-RU"/>
        </w:rPr>
        <w:softHyphen/>
        <w:t>грамме Июня мес. Нами всем военпредам заводов, которые подают вышеуказанные детали, посланы телеграммы с просьбой ускорить подачу деталей «34» машины для завода № 183.</w:t>
      </w:r>
    </w:p>
    <w:p w14:paraId="55646F17"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При условии поступления всех дефицитных деталей отдел «500» сможет сдать в этом месяце только пять машин, так как сейчас ос</w:t>
      </w:r>
      <w:r w:rsidRPr="00DB5D0D">
        <w:rPr>
          <w:rFonts w:ascii="Times New Roman" w:hAnsi="Times New Roman" w:cs="Times New Roman"/>
          <w:i w:val="0"/>
          <w:iCs w:val="0"/>
          <w:color w:val="000000" w:themeColor="text1"/>
          <w:sz w:val="16"/>
          <w:szCs w:val="16"/>
          <w:lang w:val="ru-RU"/>
        </w:rPr>
        <w:softHyphen/>
        <w:t>новная задержка из-за подачи корпусов и башен.</w:t>
      </w:r>
    </w:p>
    <w:p w14:paraId="09069AB4"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Необходимо немедленно прекратить изготовление машин А-7М и приступить к программе по выпуску А-34. Другое решение вопро</w:t>
      </w:r>
      <w:r w:rsidRPr="00DB5D0D">
        <w:rPr>
          <w:rFonts w:ascii="Times New Roman" w:hAnsi="Times New Roman" w:cs="Times New Roman"/>
          <w:i w:val="0"/>
          <w:iCs w:val="0"/>
          <w:color w:val="000000" w:themeColor="text1"/>
          <w:sz w:val="16"/>
          <w:szCs w:val="16"/>
          <w:lang w:val="ru-RU"/>
        </w:rPr>
        <w:softHyphen/>
        <w:t>са может сорвать программу по этой машине в будущем месяце.</w:t>
      </w:r>
    </w:p>
    <w:p w14:paraId="5D699A98"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 xml:space="preserve">СТ. ВОЕНПРЕД АБТУКА ВОЕНИНЖЕНЕР 2 РАНГА КОЗЫРЕВ. [ЦАМО. Ф.38. </w:t>
      </w:r>
      <w:r w:rsidRPr="00DB5D0D">
        <w:rPr>
          <w:rFonts w:ascii="Times New Roman" w:hAnsi="Times New Roman" w:cs="Times New Roman"/>
          <w:i w:val="0"/>
          <w:iCs w:val="0"/>
          <w:noProof w:val="0"/>
          <w:color w:val="000000" w:themeColor="text1"/>
          <w:sz w:val="16"/>
          <w:szCs w:val="16"/>
        </w:rPr>
        <w:t>On</w:t>
      </w:r>
      <w:r w:rsidRPr="00DB5D0D">
        <w:rPr>
          <w:rFonts w:ascii="Times New Roman" w:hAnsi="Times New Roman" w:cs="Times New Roman"/>
          <w:i w:val="0"/>
          <w:iCs w:val="0"/>
          <w:noProof w:val="0"/>
          <w:color w:val="000000" w:themeColor="text1"/>
          <w:sz w:val="16"/>
          <w:szCs w:val="16"/>
          <w:lang w:val="ru-RU"/>
        </w:rPr>
        <w:t xml:space="preserve">. </w:t>
      </w:r>
      <w:r w:rsidRPr="00DB5D0D">
        <w:rPr>
          <w:rFonts w:ascii="Times New Roman" w:hAnsi="Times New Roman" w:cs="Times New Roman"/>
          <w:i w:val="0"/>
          <w:iCs w:val="0"/>
          <w:color w:val="000000" w:themeColor="text1"/>
          <w:sz w:val="16"/>
          <w:szCs w:val="16"/>
          <w:lang w:val="ru-RU"/>
        </w:rPr>
        <w:t>11355. Д32. Л. 16.]</w:t>
      </w:r>
      <w:r w:rsidRPr="00DB5D0D">
        <w:rPr>
          <w:rFonts w:ascii="Times New Roman" w:hAnsi="Times New Roman" w:cs="Times New Roman"/>
          <w:i w:val="0"/>
          <w:iCs w:val="0"/>
          <w:noProof w:val="0"/>
          <w:color w:val="000000" w:themeColor="text1"/>
          <w:sz w:val="16"/>
          <w:szCs w:val="16"/>
          <w:lang w:val="ru-RU"/>
        </w:rPr>
        <w:t xml:space="preserve"> (11906).</w:t>
      </w:r>
    </w:p>
    <w:p w14:paraId="375CA3B1"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noProof w:val="0"/>
          <w:color w:val="000000" w:themeColor="text1"/>
          <w:sz w:val="16"/>
          <w:szCs w:val="16"/>
          <w:lang w:val="ru-RU"/>
        </w:rPr>
      </w:pPr>
    </w:p>
    <w:p w14:paraId="78009B68"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23 Июня 1940 г.</w:t>
      </w:r>
    </w:p>
    <w:p w14:paraId="4A56EA61"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036A5FFC"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___ </w:t>
      </w:r>
    </w:p>
    <w:p w14:paraId="22F10ABC"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23 Июня 1940 г. </w:t>
      </w:r>
    </w:p>
    <w:p w14:paraId="14358D04"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302с </w:t>
      </w:r>
    </w:p>
    <w:p w14:paraId="656F8733"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8 ОТДЕЛА АБТУ КА</w:t>
      </w:r>
    </w:p>
    <w:p w14:paraId="02A2AAF0"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1 РАНГА т. АФОНИНУ</w:t>
      </w:r>
    </w:p>
    <w:p w14:paraId="358472E2"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4 ОТДЕЛА АБТУ КА</w:t>
      </w:r>
    </w:p>
    <w:p w14:paraId="35381CB3"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1 РАНГА тов. АЛЫМОВУ</w:t>
      </w:r>
    </w:p>
    <w:p w14:paraId="44B1CC47"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СВОДКА</w:t>
      </w:r>
    </w:p>
    <w:p w14:paraId="73F6A40B"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 ХОДЕ РАБОТ ПО 10 МАШИНАМ ОПЫТНОЙ СЕРИИ "А-34" НА 20/VI-40 г.</w:t>
      </w:r>
    </w:p>
    <w:p w14:paraId="58003B8C"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В сборочном цехе находятся 5 машин, на которых ведутся работы. На всех машинах установлены все главные механизмы и агрегаты (моторы, коробки, бортовые и главные фрикционы, бортовые передачи, водяные и масляные радиаторы, баки и др.). </w:t>
      </w:r>
    </w:p>
    <w:p w14:paraId="1BF945F3"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Две машины прокручены мотором на месте и одна из них в основном готова к пробегу, но не может быть сдана из-за отсутствия ряда дефицитных деталей и механизмов как то: нет траков, шаровой установки спаренной, моторов поворота башен, стекол "ТРИПЛЕКС", стартеров. </w:t>
      </w:r>
    </w:p>
    <w:p w14:paraId="44FD37D2"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последующие пять машин отсутствуют корпуса и башни, которые должны поступить к 25/VI-40 г. Изготовление последних задерживается из-за отсутствия сварщиков, так как основное количество сварщиков заняты на корпусах А-7, переброска же их на корпуса А-34 до последнего времени Директором завода не разрешалось. Также отсутствует резина (завод Красный Треугольник гор. Ленинград), траки литые (завод СТЗ), стартеры, моторы поворота башни, спаренные шаровые установки, стекла "ТРИПЛЕКС". </w:t>
      </w:r>
    </w:p>
    <w:p w14:paraId="41534423"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Отсутствие этих механизмов и деталей может отразиться на программе Июня мес. Нами всем военпредам заводов, которые подают вышеуказанные детали, посланы телеграммы с просьбой ускорить подачу деталей "34" машины для завода № 183. </w:t>
      </w:r>
    </w:p>
    <w:p w14:paraId="3269CC2E"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условии поступления всех дефицитных деталей отдел "500" сможет сдать в этом месяце только пять машин, так как сейчас основная задержка из-за подачи корпусов и башен. </w:t>
      </w:r>
    </w:p>
    <w:p w14:paraId="1FCAD5E8"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Необходимо немедленно прекратить изготовление машин А-7М и приступить к программе по выпуску А-34. Другое решение вопроса может сорвать программу по этой машине в будущем месяце. </w:t>
      </w:r>
    </w:p>
    <w:p w14:paraId="437CECEA"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СТ. ВОЕНПРЕД АБТУ КА ВОЕНИНЖЕНЕР 2 РАНГА подпись (КОЗЫРЕВ)</w:t>
      </w:r>
    </w:p>
    <w:p w14:paraId="2A99995D"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Отпечатано 3 экз. </w:t>
      </w:r>
    </w:p>
    <w:p w14:paraId="619D3BC8"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Исполнитель Павлов</w:t>
      </w:r>
    </w:p>
    <w:p w14:paraId="680B4DEE"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 132</w:t>
      </w:r>
      <w:r w:rsidRPr="00DB5D0D">
        <w:rPr>
          <w:rFonts w:ascii="Times New Roman" w:eastAsia="Times New Roman" w:hAnsi="Times New Roman"/>
          <w:color w:val="000000" w:themeColor="text1"/>
          <w:sz w:val="16"/>
          <w:szCs w:val="16"/>
          <w:lang w:eastAsia="ru-RU"/>
        </w:rPr>
        <w:t xml:space="preserve"> (18076).</w:t>
      </w:r>
    </w:p>
    <w:p w14:paraId="14B9A158" w14:textId="77777777" w:rsidR="00B02964" w:rsidRPr="00DB5D0D" w:rsidRDefault="00B02964" w:rsidP="00DB5D0D">
      <w:pPr>
        <w:spacing w:after="0" w:line="240" w:lineRule="auto"/>
        <w:jc w:val="both"/>
        <w:rPr>
          <w:rFonts w:ascii="Times New Roman" w:eastAsia="Times New Roman" w:hAnsi="Times New Roman"/>
          <w:color w:val="000000" w:themeColor="text1"/>
          <w:sz w:val="16"/>
          <w:szCs w:val="16"/>
          <w:lang w:eastAsia="ru-RU"/>
        </w:rPr>
      </w:pPr>
    </w:p>
    <w:p w14:paraId="306F6671"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заместитель народного комисса</w:t>
      </w:r>
      <w:r w:rsidRPr="00DB5D0D">
        <w:rPr>
          <w:rFonts w:ascii="Times New Roman" w:hAnsi="Times New Roman"/>
          <w:color w:val="000000" w:themeColor="text1"/>
          <w:sz w:val="16"/>
          <w:szCs w:val="16"/>
        </w:rPr>
        <w:softHyphen/>
        <w:t>ра обороны СССР Маршал Советского Сою</w:t>
      </w:r>
      <w:r w:rsidRPr="00DB5D0D">
        <w:rPr>
          <w:rFonts w:ascii="Times New Roman" w:hAnsi="Times New Roman"/>
          <w:color w:val="000000" w:themeColor="text1"/>
          <w:sz w:val="16"/>
          <w:szCs w:val="16"/>
        </w:rPr>
        <w:softHyphen/>
        <w:t>за Г. Кулик в письме председателю Комитета обороны при СНК СССР Маршалу Советского Союза тов. К Е Ворошилову подвел некоторые итоги работ по химприцепкам:</w:t>
      </w:r>
    </w:p>
    <w:p w14:paraId="3CB9BCBE"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«Химическая прицепка прошла войсковые испытания и одобрена комиссией Главного во</w:t>
      </w:r>
      <w:r w:rsidRPr="00DB5D0D">
        <w:rPr>
          <w:rFonts w:ascii="Times New Roman" w:cs="Times New Roman"/>
          <w:color w:val="000000" w:themeColor="text1"/>
          <w:sz w:val="16"/>
          <w:szCs w:val="16"/>
        </w:rPr>
        <w:softHyphen/>
        <w:t>енного Совета.</w:t>
      </w:r>
    </w:p>
    <w:p w14:paraId="3C8A87A3"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Завод ДРО изготовляет в июне месяце установочную серию в количестве 10 химпри</w:t>
      </w:r>
      <w:r w:rsidRPr="00DB5D0D">
        <w:rPr>
          <w:rFonts w:ascii="Times New Roman" w:cs="Times New Roman"/>
          <w:color w:val="000000" w:themeColor="text1"/>
          <w:sz w:val="16"/>
          <w:szCs w:val="16"/>
        </w:rPr>
        <w:softHyphen/>
        <w:t>цепок с устранением недостатков, отмеченных в акте войсковой комиссии.</w:t>
      </w:r>
    </w:p>
    <w:p w14:paraId="29823E0D"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Прошу обязать Народный Комиссариат Тя</w:t>
      </w:r>
      <w:r w:rsidRPr="00DB5D0D">
        <w:rPr>
          <w:rFonts w:ascii="Times New Roman" w:cs="Times New Roman"/>
          <w:color w:val="000000" w:themeColor="text1"/>
          <w:sz w:val="16"/>
          <w:szCs w:val="16"/>
        </w:rPr>
        <w:softHyphen/>
        <w:t>желого Машиностроения изготовить химичес</w:t>
      </w:r>
      <w:r w:rsidRPr="00DB5D0D">
        <w:rPr>
          <w:rFonts w:ascii="Times New Roman" w:cs="Times New Roman"/>
          <w:color w:val="000000" w:themeColor="text1"/>
          <w:sz w:val="16"/>
          <w:szCs w:val="16"/>
        </w:rPr>
        <w:softHyphen/>
        <w:t xml:space="preserve">ких прицепок: в </w:t>
      </w:r>
      <w:r w:rsidRPr="00DB5D0D">
        <w:rPr>
          <w:rFonts w:ascii="Times New Roman" w:cs="Times New Roman"/>
          <w:color w:val="000000" w:themeColor="text1"/>
          <w:sz w:val="16"/>
          <w:szCs w:val="16"/>
          <w:lang w:val="en-US"/>
        </w:rPr>
        <w:t>III</w:t>
      </w:r>
      <w:r w:rsidRPr="00DB5D0D">
        <w:rPr>
          <w:rFonts w:ascii="Times New Roman" w:cs="Times New Roman"/>
          <w:color w:val="000000" w:themeColor="text1"/>
          <w:sz w:val="16"/>
          <w:szCs w:val="16"/>
        </w:rPr>
        <w:t xml:space="preserve"> квартале 40 шт. и в IV квар</w:t>
      </w:r>
      <w:r w:rsidRPr="00DB5D0D">
        <w:rPr>
          <w:rFonts w:ascii="Times New Roman" w:cs="Times New Roman"/>
          <w:color w:val="000000" w:themeColor="text1"/>
          <w:sz w:val="16"/>
          <w:szCs w:val="16"/>
        </w:rPr>
        <w:softHyphen/>
        <w:t>тале 150 шт., а всего 200 шт., как это опреде</w:t>
      </w:r>
      <w:r w:rsidRPr="00DB5D0D">
        <w:rPr>
          <w:rFonts w:ascii="Times New Roman" w:cs="Times New Roman"/>
          <w:color w:val="000000" w:themeColor="text1"/>
          <w:sz w:val="16"/>
          <w:szCs w:val="16"/>
        </w:rPr>
        <w:softHyphen/>
        <w:t>лено постановлением КО при СНК СССР №4 от 2 января с/о».</w:t>
      </w:r>
    </w:p>
    <w:p w14:paraId="0493374B"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такие прогнозы совершенно не соответствовали реальному положению дел (17480).</w:t>
      </w:r>
    </w:p>
    <w:p w14:paraId="1EBCDF10" w14:textId="77777777" w:rsidR="004A0330" w:rsidRPr="00DB5D0D" w:rsidRDefault="004A0330" w:rsidP="00DB5D0D">
      <w:pPr>
        <w:spacing w:after="0" w:line="240" w:lineRule="auto"/>
        <w:jc w:val="both"/>
        <w:rPr>
          <w:rFonts w:ascii="Times New Roman" w:hAnsi="Times New Roman"/>
          <w:color w:val="000000" w:themeColor="text1"/>
          <w:sz w:val="16"/>
          <w:szCs w:val="16"/>
        </w:rPr>
      </w:pPr>
    </w:p>
    <w:p w14:paraId="1EB2C685"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июня 1940 вышло Постановление Комитета обороны при СНК СССР № 272 "Об утверждении приемного акта легкого крейсера проекта № 26 „Ворошилов“" с приложением (21935).</w:t>
      </w:r>
    </w:p>
    <w:p w14:paraId="4B76A7FE" w14:textId="77777777" w:rsidR="00D31A84" w:rsidRPr="00DB5D0D" w:rsidRDefault="00D31A84" w:rsidP="00DB5D0D">
      <w:pPr>
        <w:spacing w:after="0" w:line="240" w:lineRule="auto"/>
        <w:jc w:val="both"/>
        <w:rPr>
          <w:rFonts w:ascii="Times New Roman" w:hAnsi="Times New Roman"/>
          <w:color w:val="0070C0"/>
          <w:sz w:val="16"/>
          <w:szCs w:val="16"/>
        </w:rPr>
      </w:pPr>
    </w:p>
    <w:p w14:paraId="4EC61FBC" w14:textId="7320373A" w:rsidR="006A5336" w:rsidRPr="00DB5D0D" w:rsidRDefault="006A5336" w:rsidP="00DB5D0D">
      <w:pPr>
        <w:spacing w:after="0" w:line="240" w:lineRule="auto"/>
        <w:jc w:val="both"/>
        <w:rPr>
          <w:rFonts w:ascii="Times New Roman" w:hAnsi="Times New Roman"/>
          <w:i/>
          <w:color w:val="000000" w:themeColor="text1"/>
          <w:sz w:val="16"/>
          <w:szCs w:val="16"/>
        </w:rPr>
      </w:pPr>
      <w:r w:rsidRPr="00DB5D0D">
        <w:rPr>
          <w:rFonts w:ascii="Times New Roman" w:hAnsi="Times New Roman"/>
          <w:i/>
          <w:color w:val="000000" w:themeColor="text1"/>
          <w:sz w:val="16"/>
          <w:szCs w:val="16"/>
        </w:rPr>
        <w:t>Жизнь и внутренняя политика:</w:t>
      </w:r>
    </w:p>
    <w:p w14:paraId="21BC4E9C" w14:textId="77777777" w:rsidR="006A5336" w:rsidRPr="00DB5D0D" w:rsidRDefault="006A5336" w:rsidP="00DB5D0D">
      <w:pPr>
        <w:spacing w:after="0" w:line="240" w:lineRule="auto"/>
        <w:jc w:val="both"/>
        <w:rPr>
          <w:rFonts w:ascii="Times New Roman" w:hAnsi="Times New Roman"/>
          <w:i/>
          <w:color w:val="000000" w:themeColor="text1"/>
          <w:sz w:val="16"/>
          <w:szCs w:val="16"/>
        </w:rPr>
      </w:pPr>
    </w:p>
    <w:p w14:paraId="50206BF2"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23 июня</w:t>
      </w:r>
      <w:r w:rsidRPr="00DB5D0D">
        <w:rPr>
          <w:rFonts w:ascii="Times New Roman" w:hAnsi="Times New Roman"/>
          <w:color w:val="000000" w:themeColor="text1"/>
          <w:sz w:val="16"/>
          <w:szCs w:val="16"/>
        </w:rPr>
        <w:t xml:space="preserve"> в 1940 году приказ НКВД о выселении из Мурманска и Мурманской области «граждан инонациональностей»: греков, китайцев, корейцев, немцев, норвежцев, поляков, финнов, шведов (всего 9 тысяч человек), которые были переселены на Алтай (14931).</w:t>
      </w:r>
    </w:p>
    <w:p w14:paraId="06DA0260"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7499E01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4E36833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C5472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в заявлении, опубликованном правительством СССР, говорилось, что не планируется никакого давления на Германию (2536,107).</w:t>
      </w:r>
    </w:p>
    <w:p w14:paraId="6EBC67F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EC49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В.М.М. сообщил Шуленбургу, что решение бессарабского вопроса не терпит отлагательства, но что наши притязания распространяются и на новый регион - Буковину (2536,107).</w:t>
      </w:r>
    </w:p>
    <w:p w14:paraId="1FD2D2C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EC01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Молотов впервые сообщил Шуленбургу о намерениях Советского правительства относительно отторжения от этой страны части её территории. Он сделал заявление, согласно которому решение бессарабского вопроса не терпит отлагательства. Советское правительство... решило использовать силу, если румынское правительство отклонит мирное урегулирование. К изумлению Шуленбурга, Молотов добавил, что советские притязания распространяются также на Буковину и что Советское правительство рассчитывает на то, что Германия не будет мешать советским акциям и даже поддержит их. Молотов особо подчеркнул, что Советское правительство считает вопрос о Бессарабии и Буковине "чрезвычайно срочным" (9492).</w:t>
      </w:r>
    </w:p>
    <w:p w14:paraId="79FC4E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F5D8ED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33DF3C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ABDBDB6"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после успешной атаки Бленхейма был сбит До-17 - первый в мире случай, когда самолет был сбит с использованием бортовой РЛС (2143,3).</w:t>
      </w:r>
    </w:p>
    <w:p w14:paraId="7C23AD3B"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7FB9A08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Гитлер совершил экскурсию по историческим местам захваченного Парижа (4962).</w:t>
      </w:r>
    </w:p>
    <w:p w14:paraId="0F502AB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182A57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23rd, 1940: Hitler makes a brief sightseeing visit to Paris; motoring through nearly empty streets, he makes a special point of viewing Napoleon's tomb, ending his tour at the Eiffel tower (3819).</w:t>
      </w:r>
    </w:p>
    <w:p w14:paraId="5C118B0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2810A2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June 23 1940 Hitler tours Paris (1050).</w:t>
      </w:r>
    </w:p>
    <w:p w14:paraId="21304F3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5C2E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А.Гитлер совершил прогулку по Парижу (1050).</w:t>
      </w:r>
    </w:p>
    <w:p w14:paraId="4C6A003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97248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французский генерал Шарль де Голль объявил о создании в Лондоне Французского национального комитета (4962).</w:t>
      </w:r>
    </w:p>
    <w:p w14:paraId="56624EF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147C9C2C"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23 июня</w:t>
      </w:r>
      <w:r w:rsidRPr="00DB5D0D">
        <w:rPr>
          <w:rFonts w:ascii="Times New Roman" w:hAnsi="Times New Roman"/>
          <w:color w:val="000000" w:themeColor="text1"/>
          <w:sz w:val="16"/>
          <w:szCs w:val="16"/>
        </w:rPr>
        <w:t xml:space="preserve"> в 1940 году немецкие войска заняли Ла-Рошель (14931).</w:t>
      </w:r>
    </w:p>
    <w:p w14:paraId="0B80052D"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495343DF"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23 июня</w:t>
      </w:r>
      <w:r w:rsidRPr="00DB5D0D">
        <w:rPr>
          <w:rFonts w:ascii="Times New Roman" w:hAnsi="Times New Roman"/>
          <w:color w:val="000000" w:themeColor="text1"/>
          <w:sz w:val="16"/>
          <w:szCs w:val="16"/>
        </w:rPr>
        <w:t xml:space="preserve"> в 1940 году в оккупированной немецкими войсками части Франции создана зона, ограниченная «линией Гитлера» (устье Соммы – канал Марна-Сона – Женева) (14931).</w:t>
      </w:r>
    </w:p>
    <w:p w14:paraId="1A5FA884"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62D09602"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23 июня</w:t>
      </w:r>
      <w:r w:rsidRPr="00DB5D0D">
        <w:rPr>
          <w:rFonts w:ascii="Times New Roman" w:hAnsi="Times New Roman"/>
          <w:color w:val="000000" w:themeColor="text1"/>
          <w:sz w:val="16"/>
          <w:szCs w:val="16"/>
        </w:rPr>
        <w:t xml:space="preserve"> в 1940 году Италия выдвинула претензии на французские территории до Роны, Корсику, Тунис, Французское Сомали, а также выразила желание создать военно-морские базы в Алжире и Марокко, однако Германия не поддержала итальянские претензии, и в итоге итальянские войска смогли оккупировать всего 832 квадратных километра французской территории с населением 28 тысяч человек (14931).</w:t>
      </w:r>
    </w:p>
    <w:p w14:paraId="7717C48F"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65DC8920"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23 июня</w:t>
      </w:r>
      <w:r w:rsidRPr="00DB5D0D">
        <w:rPr>
          <w:rFonts w:ascii="Times New Roman" w:hAnsi="Times New Roman"/>
          <w:color w:val="000000" w:themeColor="text1"/>
          <w:sz w:val="16"/>
          <w:szCs w:val="16"/>
        </w:rPr>
        <w:t xml:space="preserve"> в 1940 году командир итальянской подводной лодки "Эванджелиста Ториччели" капитан 3 ранга Сальваторе Пелози получил задание патрулировать около Джибути. На позиции его лодка столкнулась с активной противолодочной обороной англичан и, изменив курс, пошла к своим берегам. Возвращалась она по поверхности, так как не могла погружаться из-за повреждений. Севернее Перима лодка встретила английский шлюп "Шорхем", который срочно вызвал помощь. Субмарина имела одно 120-мм орудие и первой открыло огонь, попав вторым снарядом в шлюп, позднее его отвели на ремонт в Аден. К месту боя, тем временем, подошел индийский шлюп "Индус", а затем дивизион новых английских эскадренных миноносцев. Против единственной пушки лодки оказалось 19 120-мм и 4-е 102-мм орудия, плюс множество пулеметов. Капитан Пелози принял бой. Он выстрелил все торпеды в эсминцы "Кингстон", "Кандагар" и "Хартум", продолжая при этом стрелять из пушки. От торпед англичане увернулись, но один из снарядов попал в "Хартум". Только через полчаса после начала сражения, лодка получила снаряд в корму, повредившее рулевое устройство и ранившее Пелози. Спустя еще некоторое время орудие "Эванджелисты Ториччели" было разбито прямым попаданием. Исчерпав все возможности для сопротивления, капитан приказал затопить корабль. Оставшиеся в живых были взяты на борт эсминца "Кандагар", причем, Пелози был встречен британскими офицерами военным приветствием. С борта эсминца итальянцы наблюдали, как пожар на "Хартуме" все увеличивался. Завершился он взрывом боеприпасов и гибелью эсминца. "Хартум" (1690 т, 1939 г. постройки) считался новейшим кораблем. Случай, когда субмарина топит в артиллерийском бою эсминец, не имеет аналогов в морской истории. Англичане высоко оценили доблесть итальянских подводников. Пелози и его старший офицер в Адене были приглашены на официальный ужин, где присутствовал и командир "Хартума", с которым они обменялись тостами. Затем Пелози был принят старшим морским </w:t>
      </w:r>
      <w:r w:rsidRPr="00DB5D0D">
        <w:rPr>
          <w:rFonts w:ascii="Times New Roman" w:hAnsi="Times New Roman"/>
          <w:color w:val="000000" w:themeColor="text1"/>
          <w:sz w:val="16"/>
          <w:szCs w:val="16"/>
        </w:rPr>
        <w:lastRenderedPageBreak/>
        <w:t>офицером в Красном море контр-адмиралом Мюрреем. Помимо потерь, понесенных британскими кораблями, англичане выпустили 700 снарядов и пять сотен пулеметных магазинов, чтобы потопить одну субмарину. "Ториччели" ушла под воду с развевающимся Боевым флагом, который можно поднимать только на виду противника. Доблесть оценили по достоинству, Пелонези был удостоен высшей военной награды Италии "Медалиа Д Ор Ал Валор Милитари" - Золотая Медаль «За Военную Доблесть» (14931).</w:t>
      </w:r>
    </w:p>
    <w:p w14:paraId="58856F1C"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120460E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D05A48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4ADDD6D"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 июля 1940 года начальник ВВС Смушкевич и член Военсовета ВВС Агальцов сообщали наркому Шахурину, что «по сведениям &lt;...&gt; П. Ф. Жигарева на аэродроме завода № 126 имелось 48 ДБ-3, из ко</w:t>
      </w:r>
      <w:r w:rsidRPr="00DB5D0D">
        <w:rPr>
          <w:rFonts w:ascii="Times New Roman" w:hAnsi="Times New Roman"/>
          <w:color w:val="0070C0"/>
          <w:sz w:val="16"/>
          <w:szCs w:val="16"/>
        </w:rPr>
        <w:softHyphen/>
        <w:t>торых 11 передали ВВС, а 37 — заказчик не принял из-за течи консольных клепаных бензобаков, отсут</w:t>
      </w:r>
      <w:r w:rsidRPr="00DB5D0D">
        <w:rPr>
          <w:rFonts w:ascii="Times New Roman" w:hAnsi="Times New Roman"/>
          <w:color w:val="0070C0"/>
          <w:sz w:val="16"/>
          <w:szCs w:val="16"/>
        </w:rPr>
        <w:softHyphen/>
        <w:t>ствия инструментальных сумок, некомплектности ма</w:t>
      </w:r>
      <w:r w:rsidRPr="00DB5D0D">
        <w:rPr>
          <w:rFonts w:ascii="Times New Roman" w:hAnsi="Times New Roman"/>
          <w:color w:val="0070C0"/>
          <w:sz w:val="16"/>
          <w:szCs w:val="16"/>
        </w:rPr>
        <w:softHyphen/>
        <w:t>шин, отсутствия турельных установок МВ-2 и МВ-3, а также радиополукомпасов РПК-2.</w:t>
      </w:r>
    </w:p>
    <w:p w14:paraId="3D146974"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Постановлениями Комитета Обороны от 11 ян</w:t>
      </w:r>
      <w:r w:rsidRPr="00DB5D0D">
        <w:rPr>
          <w:rFonts w:ascii="Times New Roman" w:hAnsi="Times New Roman"/>
          <w:color w:val="0070C0"/>
          <w:sz w:val="16"/>
          <w:szCs w:val="16"/>
        </w:rPr>
        <w:softHyphen/>
        <w:t>варя и 27 апреля 1940 года завод № 126 обяза</w:t>
      </w:r>
      <w:r w:rsidRPr="00DB5D0D">
        <w:rPr>
          <w:rFonts w:ascii="Times New Roman" w:hAnsi="Times New Roman"/>
          <w:color w:val="0070C0"/>
          <w:sz w:val="16"/>
          <w:szCs w:val="16"/>
        </w:rPr>
        <w:softHyphen/>
        <w:t>ли поставлять ДБ-3 со стрелковыми установка</w:t>
      </w:r>
      <w:r w:rsidRPr="00DB5D0D">
        <w:rPr>
          <w:rFonts w:ascii="Times New Roman" w:hAnsi="Times New Roman"/>
          <w:color w:val="0070C0"/>
          <w:sz w:val="16"/>
          <w:szCs w:val="16"/>
        </w:rPr>
        <w:softHyphen/>
        <w:t>ми МВ-2 и МВ-3 с 1 апреля 1940, устанавливать РПК-2 с 25 апреля 1940 по 25 мая из расчета один радиополукомпас на три самолета, а с 25 мая по 1 июля — на каждую вторую машину, что завод, несмотря на настоятельные требования ГУАС КА, не выполнял...».</w:t>
      </w:r>
    </w:p>
    <w:p w14:paraId="531E5A9C"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Правда, 37 самолетов ДБ-3 (завода № 126) без МВ-2, МВ-3 и РПК-2 приняли, но с их дооборудовани</w:t>
      </w:r>
      <w:r w:rsidRPr="00DB5D0D">
        <w:rPr>
          <w:rFonts w:ascii="Times New Roman" w:hAnsi="Times New Roman"/>
          <w:color w:val="0070C0"/>
          <w:sz w:val="16"/>
          <w:szCs w:val="16"/>
        </w:rPr>
        <w:softHyphen/>
        <w:t>ем в строевых частях к 15 августа 1940 года (23188).</w:t>
      </w:r>
    </w:p>
    <w:p w14:paraId="4E86F9D9" w14:textId="77777777" w:rsidR="00D31A84" w:rsidRPr="00DB5D0D" w:rsidRDefault="00D31A84" w:rsidP="00DB5D0D">
      <w:pPr>
        <w:spacing w:after="0" w:line="240" w:lineRule="auto"/>
        <w:jc w:val="both"/>
        <w:rPr>
          <w:rFonts w:ascii="Times New Roman" w:hAnsi="Times New Roman"/>
          <w:color w:val="0070C0"/>
          <w:sz w:val="16"/>
          <w:szCs w:val="16"/>
        </w:rPr>
      </w:pPr>
    </w:p>
    <w:p w14:paraId="6C85B47E"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24 июня</w:t>
      </w:r>
      <w:r w:rsidRPr="00DB5D0D">
        <w:rPr>
          <w:rFonts w:ascii="Times New Roman" w:hAnsi="Times New Roman"/>
          <w:color w:val="000000" w:themeColor="text1"/>
          <w:sz w:val="16"/>
          <w:szCs w:val="16"/>
        </w:rPr>
        <w:t xml:space="preserve"> в 1940 году после выполнения 26 полетов были завершены испытания </w:t>
      </w:r>
      <w:hyperlink r:id="rId138" w:tgtFrame="_blank" w:history="1">
        <w:r w:rsidRPr="00DB5D0D">
          <w:rPr>
            <w:rFonts w:ascii="Times New Roman" w:hAnsi="Times New Roman"/>
            <w:color w:val="000000" w:themeColor="text1"/>
            <w:sz w:val="16"/>
            <w:szCs w:val="16"/>
          </w:rPr>
          <w:t xml:space="preserve">«МБР-7» </w:t>
        </w:r>
      </w:hyperlink>
      <w:r w:rsidRPr="00DB5D0D">
        <w:rPr>
          <w:rFonts w:ascii="Times New Roman" w:hAnsi="Times New Roman"/>
          <w:color w:val="000000" w:themeColor="text1"/>
          <w:sz w:val="16"/>
          <w:szCs w:val="16"/>
        </w:rPr>
        <w:t>– дублера. На этот раз особых проблем не возникало (14932).</w:t>
      </w:r>
    </w:p>
    <w:p w14:paraId="606A43BA"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67B51D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июня 1940 И.о. Управления ПВО и охраны НКАП Харитонов подготовил и отправил с письмом № 851 Список объектов НКАП, на которых норма оружия д.б. установлена два ствола на пост и на каждые 10 стволов 1 ствол резервный: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48"/>
        <w:gridCol w:w="6210"/>
      </w:tblGrid>
      <w:tr w:rsidR="007D5DF8" w:rsidRPr="00DB5D0D" w14:paraId="01F218F0" w14:textId="77777777" w:rsidTr="009223E5">
        <w:tc>
          <w:tcPr>
            <w:tcW w:w="1548" w:type="dxa"/>
          </w:tcPr>
          <w:p w14:paraId="2A3787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6210" w:type="dxa"/>
          </w:tcPr>
          <w:p w14:paraId="2F4EED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r>
      <w:tr w:rsidR="007D5DF8" w:rsidRPr="00DB5D0D" w14:paraId="447EA461" w14:textId="77777777" w:rsidTr="009223E5">
        <w:tc>
          <w:tcPr>
            <w:tcW w:w="1548" w:type="dxa"/>
          </w:tcPr>
          <w:p w14:paraId="3FB355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154</w:t>
            </w:r>
          </w:p>
        </w:tc>
        <w:tc>
          <w:tcPr>
            <w:tcW w:w="6210" w:type="dxa"/>
          </w:tcPr>
          <w:p w14:paraId="5DE8BB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w:t>
            </w:r>
          </w:p>
        </w:tc>
      </w:tr>
      <w:tr w:rsidR="007D5DF8" w:rsidRPr="00DB5D0D" w14:paraId="0B71D8EB" w14:textId="77777777" w:rsidTr="009223E5">
        <w:tc>
          <w:tcPr>
            <w:tcW w:w="1548" w:type="dxa"/>
          </w:tcPr>
          <w:p w14:paraId="4974ED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6210" w:type="dxa"/>
          </w:tcPr>
          <w:p w14:paraId="25D8DB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w:t>
            </w:r>
          </w:p>
        </w:tc>
      </w:tr>
      <w:tr w:rsidR="007D5DF8" w:rsidRPr="00DB5D0D" w14:paraId="46F37FEF" w14:textId="77777777" w:rsidTr="009223E5">
        <w:tc>
          <w:tcPr>
            <w:tcW w:w="1548" w:type="dxa"/>
          </w:tcPr>
          <w:p w14:paraId="299B76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6210" w:type="dxa"/>
          </w:tcPr>
          <w:p w14:paraId="4C146F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w:t>
            </w:r>
          </w:p>
        </w:tc>
      </w:tr>
      <w:tr w:rsidR="007D5DF8" w:rsidRPr="00DB5D0D" w14:paraId="06C184AC" w14:textId="77777777" w:rsidTr="009223E5">
        <w:tc>
          <w:tcPr>
            <w:tcW w:w="1548" w:type="dxa"/>
          </w:tcPr>
          <w:p w14:paraId="067FD6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6210" w:type="dxa"/>
          </w:tcPr>
          <w:p w14:paraId="714F35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w:t>
            </w:r>
          </w:p>
        </w:tc>
      </w:tr>
      <w:tr w:rsidR="007D5DF8" w:rsidRPr="00DB5D0D" w14:paraId="6CDEEE6C" w14:textId="77777777" w:rsidTr="009223E5">
        <w:tc>
          <w:tcPr>
            <w:tcW w:w="1548" w:type="dxa"/>
          </w:tcPr>
          <w:p w14:paraId="490B67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6210" w:type="dxa"/>
          </w:tcPr>
          <w:p w14:paraId="558F13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w:t>
            </w:r>
          </w:p>
        </w:tc>
      </w:tr>
      <w:tr w:rsidR="007D5DF8" w:rsidRPr="00DB5D0D" w14:paraId="4290AF89" w14:textId="77777777" w:rsidTr="009223E5">
        <w:tc>
          <w:tcPr>
            <w:tcW w:w="1548" w:type="dxa"/>
          </w:tcPr>
          <w:p w14:paraId="3F6D9F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w:t>
            </w:r>
          </w:p>
        </w:tc>
        <w:tc>
          <w:tcPr>
            <w:tcW w:w="6210" w:type="dxa"/>
          </w:tcPr>
          <w:p w14:paraId="6B9EB4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w:t>
            </w:r>
          </w:p>
        </w:tc>
      </w:tr>
      <w:tr w:rsidR="007D5DF8" w:rsidRPr="00DB5D0D" w14:paraId="4221CC0B" w14:textId="77777777" w:rsidTr="009223E5">
        <w:tc>
          <w:tcPr>
            <w:tcW w:w="1548" w:type="dxa"/>
          </w:tcPr>
          <w:p w14:paraId="43AAEB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6210" w:type="dxa"/>
          </w:tcPr>
          <w:p w14:paraId="0F2965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w:t>
            </w:r>
          </w:p>
        </w:tc>
      </w:tr>
      <w:tr w:rsidR="007D5DF8" w:rsidRPr="00DB5D0D" w14:paraId="1DF4A848" w14:textId="77777777" w:rsidTr="009223E5">
        <w:tc>
          <w:tcPr>
            <w:tcW w:w="1548" w:type="dxa"/>
          </w:tcPr>
          <w:p w14:paraId="259D8B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219</w:t>
            </w:r>
          </w:p>
        </w:tc>
        <w:tc>
          <w:tcPr>
            <w:tcW w:w="6210" w:type="dxa"/>
          </w:tcPr>
          <w:p w14:paraId="27EF2F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w:t>
            </w:r>
          </w:p>
        </w:tc>
      </w:tr>
      <w:tr w:rsidR="007D5DF8" w:rsidRPr="00DB5D0D" w14:paraId="1F1619FD" w14:textId="77777777" w:rsidTr="009223E5">
        <w:tc>
          <w:tcPr>
            <w:tcW w:w="1548" w:type="dxa"/>
          </w:tcPr>
          <w:p w14:paraId="4DE899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w:t>
            </w:r>
          </w:p>
        </w:tc>
        <w:tc>
          <w:tcPr>
            <w:tcW w:w="6210" w:type="dxa"/>
          </w:tcPr>
          <w:p w14:paraId="6F5807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w:t>
            </w:r>
          </w:p>
        </w:tc>
      </w:tr>
      <w:tr w:rsidR="007D5DF8" w:rsidRPr="00DB5D0D" w14:paraId="5E6692FC" w14:textId="77777777" w:rsidTr="009223E5">
        <w:tc>
          <w:tcPr>
            <w:tcW w:w="1548" w:type="dxa"/>
          </w:tcPr>
          <w:p w14:paraId="2DEFBD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291</w:t>
            </w:r>
          </w:p>
        </w:tc>
        <w:tc>
          <w:tcPr>
            <w:tcW w:w="6210" w:type="dxa"/>
          </w:tcPr>
          <w:p w14:paraId="61503D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w:t>
            </w:r>
          </w:p>
        </w:tc>
      </w:tr>
      <w:tr w:rsidR="007D5DF8" w:rsidRPr="00DB5D0D" w14:paraId="4A468870" w14:textId="77777777" w:rsidTr="009223E5">
        <w:tc>
          <w:tcPr>
            <w:tcW w:w="1548" w:type="dxa"/>
          </w:tcPr>
          <w:p w14:paraId="2021AE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w:t>
            </w:r>
          </w:p>
        </w:tc>
        <w:tc>
          <w:tcPr>
            <w:tcW w:w="6210" w:type="dxa"/>
          </w:tcPr>
          <w:p w14:paraId="472AA6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w:t>
            </w:r>
          </w:p>
        </w:tc>
      </w:tr>
      <w:tr w:rsidR="007D5DF8" w:rsidRPr="00DB5D0D" w14:paraId="08E0EDF6" w14:textId="77777777" w:rsidTr="009223E5">
        <w:tc>
          <w:tcPr>
            <w:tcW w:w="1548" w:type="dxa"/>
          </w:tcPr>
          <w:p w14:paraId="0EECFB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6210" w:type="dxa"/>
          </w:tcPr>
          <w:p w14:paraId="347508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Рыбинск</w:t>
            </w:r>
          </w:p>
        </w:tc>
      </w:tr>
      <w:tr w:rsidR="007D5DF8" w:rsidRPr="00DB5D0D" w14:paraId="109B0CE3" w14:textId="77777777" w:rsidTr="009223E5">
        <w:tc>
          <w:tcPr>
            <w:tcW w:w="1548" w:type="dxa"/>
          </w:tcPr>
          <w:p w14:paraId="38159F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307</w:t>
            </w:r>
          </w:p>
        </w:tc>
        <w:tc>
          <w:tcPr>
            <w:tcW w:w="6210" w:type="dxa"/>
          </w:tcPr>
          <w:p w14:paraId="308C47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Калининская обл.</w:t>
            </w:r>
          </w:p>
        </w:tc>
      </w:tr>
      <w:tr w:rsidR="007D5DF8" w:rsidRPr="00DB5D0D" w14:paraId="1AA1F82B" w14:textId="77777777" w:rsidTr="009223E5">
        <w:tc>
          <w:tcPr>
            <w:tcW w:w="1548" w:type="dxa"/>
          </w:tcPr>
          <w:p w14:paraId="274A20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w:t>
            </w:r>
          </w:p>
        </w:tc>
        <w:tc>
          <w:tcPr>
            <w:tcW w:w="6210" w:type="dxa"/>
          </w:tcPr>
          <w:p w14:paraId="61C341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Днепропетровская обл.</w:t>
            </w:r>
          </w:p>
        </w:tc>
      </w:tr>
      <w:tr w:rsidR="007D5DF8" w:rsidRPr="00DB5D0D" w14:paraId="43E643C6" w14:textId="77777777" w:rsidTr="009223E5">
        <w:tc>
          <w:tcPr>
            <w:tcW w:w="1548" w:type="dxa"/>
          </w:tcPr>
          <w:p w14:paraId="52BA48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278</w:t>
            </w:r>
          </w:p>
        </w:tc>
        <w:tc>
          <w:tcPr>
            <w:tcW w:w="6210" w:type="dxa"/>
          </w:tcPr>
          <w:p w14:paraId="4F7E85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Ленинград</w:t>
            </w:r>
          </w:p>
        </w:tc>
      </w:tr>
      <w:tr w:rsidR="007D5DF8" w:rsidRPr="00DB5D0D" w14:paraId="5DC0DDD5" w14:textId="77777777" w:rsidTr="009223E5">
        <w:tc>
          <w:tcPr>
            <w:tcW w:w="1548" w:type="dxa"/>
          </w:tcPr>
          <w:p w14:paraId="73C2E41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6210" w:type="dxa"/>
          </w:tcPr>
          <w:p w14:paraId="16B5F6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(7482)</w:t>
            </w:r>
          </w:p>
        </w:tc>
      </w:tr>
    </w:tbl>
    <w:p w14:paraId="4B0B275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5F040B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6CEEA03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98536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июня 1940 г Черчилль направил Сталину секретное послание, в котором говорилось о готовности британского правительства "полностью обсудить с Советским правительством любую из громадных проблем, возникающих в результате нынешней попытки Германии осуществлять в Европе последовательными этапами методический процесс завоевания и поглощения" (9492).</w:t>
      </w:r>
    </w:p>
    <w:p w14:paraId="268D471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4EDAC61"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24 июня</w:t>
      </w:r>
      <w:r w:rsidRPr="00DB5D0D">
        <w:rPr>
          <w:rFonts w:ascii="Times New Roman" w:hAnsi="Times New Roman"/>
          <w:color w:val="000000" w:themeColor="text1"/>
          <w:sz w:val="16"/>
          <w:szCs w:val="16"/>
        </w:rPr>
        <w:t xml:space="preserve"> в 1940 году У.Черчилль направил И.В.Сталину личное послание, в котором говорилось о готовности британского правительства "полностью обсудить с Советским правительством любую из громадных проблем, возникающих в результате нынешней попытки Германии осуществлять в Европе последовательными этапами методический процесс завоевания и поглощения". В письме содержалось завуалированное предложение вступить в войну против Германии (14932).</w:t>
      </w:r>
    </w:p>
    <w:p w14:paraId="7CFAC958"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3C0B3971"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июня 1940 были установлены дипотношения с Югославией (1348,245).</w:t>
      </w:r>
    </w:p>
    <w:p w14:paraId="15A7834A"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56645C3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331810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D2F5FA6"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24 июня</w:t>
      </w:r>
      <w:r w:rsidRPr="00DB5D0D">
        <w:rPr>
          <w:rFonts w:ascii="Times New Roman" w:hAnsi="Times New Roman"/>
          <w:color w:val="000000" w:themeColor="text1"/>
          <w:sz w:val="16"/>
          <w:szCs w:val="16"/>
        </w:rPr>
        <w:t xml:space="preserve"> в 1940 году впервые взлетел прототип югославского бомбардировщика-разведчика, пилотировал Душан Миливоевич. </w:t>
      </w:r>
      <w:hyperlink r:id="rId139" w:tgtFrame="_blank" w:history="1">
        <w:r w:rsidRPr="00DB5D0D">
          <w:rPr>
            <w:rFonts w:ascii="Times New Roman" w:hAnsi="Times New Roman"/>
            <w:color w:val="000000" w:themeColor="text1"/>
            <w:sz w:val="16"/>
            <w:szCs w:val="16"/>
          </w:rPr>
          <w:t xml:space="preserve">«Оркан» </w:t>
        </w:r>
      </w:hyperlink>
      <w:r w:rsidRPr="00DB5D0D">
        <w:rPr>
          <w:rFonts w:ascii="Times New Roman" w:hAnsi="Times New Roman"/>
          <w:color w:val="000000" w:themeColor="text1"/>
          <w:sz w:val="16"/>
          <w:szCs w:val="16"/>
        </w:rPr>
        <w:t>рассчитывался под 14-цилиндровые двигатели ''Испано-Сьюиза'' 14АВ (670 л.с.), сравнительно небольшого диаметра. Но, после вступления Франции в войну, поставки двигателей из этой страны прекратились. Проблема с двигателями, помимо иных технических трудностей, привела к тому, что доводка ''Оркана'' затянулась. Правда, ''Икарусу'' удалось выиграть некоторое время, использовав патентованное французское шасси ''Мессьер''. Однако, уже в марте 1940 года стало ясно, что самолет вряд ли удастся вовремя запустить в серию. Тем не менее, руководство ВВС согласилось испытать машину с итальянскими 840- сильными двигателями ''Фиат'' «А-74RC-38», большей мощности, но в то же время и большего диаметра. Были установлены итальянские винты изменяемого шага. Схема вооружения претерпела изменения: одна неподвижная пушка и два пулемета для курсовой стрельбы, 12,7 -мм. пулемет сверху и пулемет «FN» снизу. Боезапас составлял 60 снарядов для пушки и 250 патронов для пулеметов (14932).</w:t>
      </w:r>
    </w:p>
    <w:p w14:paraId="1D756469"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3B99C26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июня 1940 Франция подписала мирное соглашение с Италией (4962).</w:t>
      </w:r>
    </w:p>
    <w:p w14:paraId="14C47E8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135E976"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24th, 1940: An armistice is signed between France and Italy at Villa Indusa near Rome (3819).</w:t>
      </w:r>
    </w:p>
    <w:p w14:paraId="1C4A427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67E4869A"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24 June 1940 France signs an armistice with Italy (270).</w:t>
      </w:r>
    </w:p>
    <w:p w14:paraId="450CA4B3"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111750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июня 1940 Франция подписала перемирие с Италией (270).</w:t>
      </w:r>
    </w:p>
    <w:p w14:paraId="46707BA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4596A7"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24 июня</w:t>
      </w:r>
      <w:r w:rsidRPr="00DB5D0D">
        <w:rPr>
          <w:rFonts w:ascii="Times New Roman" w:hAnsi="Times New Roman"/>
          <w:color w:val="000000" w:themeColor="text1"/>
          <w:sz w:val="16"/>
          <w:szCs w:val="16"/>
        </w:rPr>
        <w:t xml:space="preserve"> в 1940 году впервые телекамеры используются для освещения политического события — съезда республиканцев, выбирающих своего кандидата на президентские выборы в США (14932).</w:t>
      </w:r>
    </w:p>
    <w:p w14:paraId="5CB179B4"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1F96E3F5"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24 июня</w:t>
      </w:r>
      <w:r w:rsidRPr="00DB5D0D">
        <w:rPr>
          <w:rFonts w:ascii="Times New Roman" w:hAnsi="Times New Roman"/>
          <w:color w:val="000000" w:themeColor="text1"/>
          <w:sz w:val="16"/>
          <w:szCs w:val="16"/>
        </w:rPr>
        <w:t xml:space="preserve"> в 1940 году заключается перемирие между Италией и вишистской Францией, предусматривающее также выход из войны всех французских колоний (14932).</w:t>
      </w:r>
    </w:p>
    <w:p w14:paraId="7AB3E140"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61D55DB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июня 1940 впервые телевидение освещало политическое событие - съезд американских республиканцев (4962).</w:t>
      </w:r>
    </w:p>
    <w:p w14:paraId="517A27D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657AA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июня 1940 телевидение было впервые использовано для освещения политического события в США (3481).</w:t>
      </w:r>
    </w:p>
    <w:p w14:paraId="7C2BC4E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2D8F5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CE1942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4FDDD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Нач. штаба перелета Нестеренко Антонов писал А.И.Ш. письмо N 3780:</w:t>
      </w:r>
    </w:p>
    <w:p w14:paraId="5A2C69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Рекордный самолет</w:t>
      </w:r>
    </w:p>
    <w:p w14:paraId="74D9BD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выпущен с завода 39 после окончательной окраски, тарировки баков и взвешивания - 07.06.1940</w:t>
      </w:r>
    </w:p>
    <w:p w14:paraId="603D62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 летным испытаниям самолета и его оборудования приступлено 08.06.1940</w:t>
      </w:r>
    </w:p>
    <w:p w14:paraId="2DE7F3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сделано 9 полетов общей продолжительностью 13 часов, из которых 2 полета на расход горючего, один из них продолжительностью свыше 4 час.</w:t>
      </w:r>
    </w:p>
    <w:p w14:paraId="367E00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Во время этих полетов проверены и испытаны в воздухе:</w:t>
      </w:r>
    </w:p>
    <w:p w14:paraId="1ADFAD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аварийный слив горючего</w:t>
      </w:r>
    </w:p>
    <w:p w14:paraId="1220FA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работа радиостанции и радиокомпаса</w:t>
      </w:r>
    </w:p>
    <w:p w14:paraId="1633F5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всех приборов</w:t>
      </w:r>
    </w:p>
    <w:p w14:paraId="625C0C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списана девиация магнитных приборов и радиокомпаса</w:t>
      </w:r>
    </w:p>
    <w:p w14:paraId="00472F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определены разбеги при взлетных весах: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46C5C70C" w14:textId="77777777" w:rsidTr="009223E5">
        <w:tc>
          <w:tcPr>
            <w:tcW w:w="5749" w:type="dxa"/>
            <w:tcBorders>
              <w:top w:val="single" w:sz="12" w:space="0" w:color="auto"/>
            </w:tcBorders>
          </w:tcPr>
          <w:p w14:paraId="45EEA2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 т</w:t>
            </w:r>
          </w:p>
        </w:tc>
        <w:tc>
          <w:tcPr>
            <w:tcW w:w="5749" w:type="dxa"/>
            <w:tcBorders>
              <w:top w:val="single" w:sz="12" w:space="0" w:color="auto"/>
            </w:tcBorders>
          </w:tcPr>
          <w:p w14:paraId="6ED6F0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 м</w:t>
            </w:r>
          </w:p>
        </w:tc>
      </w:tr>
      <w:tr w:rsidR="007D5DF8" w:rsidRPr="00DB5D0D" w14:paraId="719F86EB" w14:textId="77777777" w:rsidTr="009223E5">
        <w:tc>
          <w:tcPr>
            <w:tcW w:w="5749" w:type="dxa"/>
            <w:tcBorders>
              <w:bottom w:val="single" w:sz="12" w:space="0" w:color="auto"/>
            </w:tcBorders>
          </w:tcPr>
          <w:p w14:paraId="2C71FA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 т</w:t>
            </w:r>
          </w:p>
        </w:tc>
        <w:tc>
          <w:tcPr>
            <w:tcW w:w="5749" w:type="dxa"/>
            <w:tcBorders>
              <w:bottom w:val="single" w:sz="12" w:space="0" w:color="auto"/>
            </w:tcBorders>
          </w:tcPr>
          <w:p w14:paraId="2BAEF2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880 м</w:t>
            </w:r>
          </w:p>
        </w:tc>
      </w:tr>
    </w:tbl>
    <w:p w14:paraId="1007E3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подобран шаг винта, обеспечивающий мин. разбег (малый шаг - 26 гр.).</w:t>
      </w:r>
    </w:p>
    <w:p w14:paraId="19B16D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самолет принят экипажем по акту 16.06.1940 (срок - 15.06).</w:t>
      </w:r>
    </w:p>
    <w:p w14:paraId="46C529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Тренировочный самолет</w:t>
      </w:r>
    </w:p>
    <w:p w14:paraId="14CC1A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Выпущен с завода 20 апреля 1940 (1313,36).</w:t>
      </w:r>
    </w:p>
    <w:p w14:paraId="750E29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Совершено полетов:</w:t>
      </w:r>
    </w:p>
    <w:p w14:paraId="3B6463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- 36, общей продолжительностью - 28 час</w:t>
      </w:r>
    </w:p>
    <w:p w14:paraId="154E9F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19 - 33:35</w:t>
      </w:r>
    </w:p>
    <w:p w14:paraId="044A02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Программа летных испытаний и тренировочных полетов окончена 23 июня 1940</w:t>
      </w:r>
    </w:p>
    <w:p w14:paraId="264B5B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Определение километровых расходов</w:t>
      </w:r>
    </w:p>
    <w:p w14:paraId="33F774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374971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Неполадки в матчасти</w:t>
      </w:r>
    </w:p>
    <w:p w14:paraId="178DA9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30BD30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Подготовка экипажа</w:t>
      </w:r>
    </w:p>
    <w:p w14:paraId="650545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163F2F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Обеспечение перелета</w:t>
      </w:r>
    </w:p>
    <w:p w14:paraId="10FBD3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27EF57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Организация перелета</w:t>
      </w:r>
    </w:p>
    <w:p w14:paraId="23FFD2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282974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Общее состояние работ на 25 июня</w:t>
      </w:r>
    </w:p>
    <w:p w14:paraId="59587C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32A7D0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Мероприятия по аварийному обеспечению...(2102,4).</w:t>
      </w:r>
    </w:p>
    <w:p w14:paraId="6B08F4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...ВМГ самолета ЦКБ-30 Н1 за N 2819 прошла испытания на предмет определения качества моторов М-87 N 1306 и 1303 спецсборки, изготовленных заводом 29 согласно приказа НКАП N 197с 1939 г.</w:t>
      </w:r>
    </w:p>
    <w:p w14:paraId="51A4C2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законсервированы, сняты с самолета, опломбированы и отправлены в Хабаровск к месту старта, где после установки их на самолет надлежит провести контрольные полеты, предусмотренные программой испытаний самолета (1313,64).</w:t>
      </w:r>
    </w:p>
    <w:p w14:paraId="38BDFB3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5BCD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закончились гос. испытания ДБЛК 2 М-88 Беляева (2090,147).</w:t>
      </w:r>
    </w:p>
    <w:p w14:paraId="3BE06FD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2EAB93"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25 июня 1940 состоялось заседание Техсовета ГУАС КА</w:t>
      </w:r>
    </w:p>
    <w:p w14:paraId="1578E98B"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Докладывал ви1р И.А.Марков. Содокладчики т. Стефановский и Никитин о рез-тах гостспытаний с-та “100” 2хМ-15</w:t>
      </w:r>
    </w:p>
    <w:p w14:paraId="5AA42361"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Испытаниями на с-те получена скорость 455 км/час у земли и 535 км/час на 5000 м, посадочная скорость 140 км/час.</w:t>
      </w:r>
    </w:p>
    <w:p w14:paraId="65EE2EAE"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Остальные данные не определены в силу неудовлетворительной работы ВМГ</w:t>
      </w:r>
    </w:p>
    <w:p w14:paraId="7D81BF5F"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Решение:</w:t>
      </w:r>
    </w:p>
    <w:p w14:paraId="75978A82"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1. В связи с тем, что с-т “100” является первым отечественным высотным с-том с ГК для всего экипажа с двумя моторами М-105 с 2хТК-2 и представляет громадный интерес для ВВС КА, как новый тип с-та, обеспечивающий нормальные условия работы экипажа на высотах 9000 м и выше, необходимо построить войсковую серию в количесве 10-15 шт. для дополнительного изучения, освоения и накопления боевого опыта в работе с ГК на всех высотах (705,4).</w:t>
      </w:r>
    </w:p>
    <w:p w14:paraId="51A985C0"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2. В целях использования высокой аэродинамики с-та “100” и создания на его базе массового ПБ без ГК и без ТК обязать КБ разработать с-т “100” в варианте ПБи предъявить его макет к 1 июля с.г.. По утверждению макета построить войсковую серию в количестве 30 шт. (705,4)</w:t>
      </w:r>
    </w:p>
    <w:p w14:paraId="6F7CFF92"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3. С-т “100” в варианте ПБ должен иметь макс. скорость 550 км/час на высоте 5000 м, бомбовую еагрузку внутри фюзеляжа не менее 600 ккг, наружную бомбовую подвеску, позволяющую сбрасывать при пикировании 1000 кг (2х500 или 4х250)</w:t>
      </w:r>
    </w:p>
    <w:p w14:paraId="296588AA"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4. Для ускорения отработки с-та 100 в варианте ПБ вернуть с-т 100 дкблер на заволд № 156 НКАП для восстановления и переделки его согласно утвержденного макета к 1 сентября 1940</w:t>
      </w:r>
    </w:p>
    <w:p w14:paraId="3738A8B7"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гм Филин, члены дк Репин, комкор Гусев</w:t>
      </w:r>
    </w:p>
    <w:p w14:paraId="13AD4ED9"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За время испытаний два раза меняли моторы М-105 (выплавление вкладышей коренного подшипника)</w:t>
      </w:r>
    </w:p>
    <w:p w14:paraId="7AB6908D"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Из заключения:</w:t>
      </w:r>
    </w:p>
    <w:p w14:paraId="48D47A7E"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...Установленные на с-та 1000 моторы М-105 оказались недоведенными. При полетах на всотах более 6000 м из суфлера мотора выбрасывалось за один полет до 35 кг масла. В силу этого определить полные летные данные не было возмоожно (795,1).</w:t>
      </w:r>
    </w:p>
    <w:p w14:paraId="1A6C04A0" w14:textId="77777777" w:rsidR="00A25AD1" w:rsidRPr="00DB5D0D" w:rsidRDefault="00A25AD1" w:rsidP="00DB5D0D">
      <w:pPr>
        <w:pStyle w:val="Iauiue"/>
        <w:jc w:val="both"/>
        <w:rPr>
          <w:color w:val="000000" w:themeColor="text1"/>
          <w:sz w:val="16"/>
          <w:szCs w:val="16"/>
        </w:rPr>
      </w:pPr>
    </w:p>
    <w:p w14:paraId="3CFA21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23 июня 1940</w:t>
      </w:r>
    </w:p>
    <w:p w14:paraId="62D983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 закончились испытаниям самолета СБ 2М-103А № 1/286 эталона первого полугодия 1940 года, которые проходили с 16 мая 1940</w:t>
      </w:r>
    </w:p>
    <w:p w14:paraId="4D8D8F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4AC0A2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Мальцев</w:t>
      </w:r>
    </w:p>
    <w:p w14:paraId="5B2A7E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Стадник</w:t>
      </w:r>
    </w:p>
    <w:p w14:paraId="0846DA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41 день</w:t>
      </w:r>
    </w:p>
    <w:p w14:paraId="2127AF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11 дней</w:t>
      </w:r>
    </w:p>
    <w:p w14:paraId="0A8514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Проведено полетов – 49</w:t>
      </w:r>
    </w:p>
    <w:p w14:paraId="2E6D59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Часов налета – 24 час. 35 мин.</w:t>
      </w:r>
    </w:p>
    <w:p w14:paraId="34072E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28F83F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летные данные самолета.</w:t>
      </w:r>
    </w:p>
    <w:p w14:paraId="26C6A60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винтомоторной группы, оборудования и вооружения.</w:t>
      </w:r>
    </w:p>
    <w:p w14:paraId="2DDC01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 2М-103А № 1/286 с винтами ВИШ-22 представлен на основании заключения НИИ ВВС по испытаниям эталона самолета СБ первой половины 1940 года № 1/257. Самолет представлен 15 мая 1940 года вместо указанного в заключении срока – 25 апреля 1940 года. Все требования к эталону самолета СБ первой половины 1940 года не выполненные на самолете № 1/257 на данном самолете № 1/286 выполнены.</w:t>
      </w:r>
    </w:p>
    <w:p w14:paraId="6C2CDD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034584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самолет СБ 2М103А № 1/286 эталоном служить не может из-за большого количества дефектов и недоделок в произведенных изменениях на самолете (4477).</w:t>
      </w:r>
    </w:p>
    <w:p w14:paraId="432B776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759196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в ходе гос. испытаний И-301 М-105 П, которые проводились в НИИ ВВС с 14 по 27 июня 1940 л Супруном и П.М.Стефановским были полеты: на устойчивость при задней центровке; полет на 6000 м и снятие скоростей по высотам с новыми всасывающими патрубками; определение взлетно-посадочных свойств. На 1-м полете вновь сорвало щиток шасси (2922).</w:t>
      </w:r>
    </w:p>
    <w:p w14:paraId="6D44707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9A9C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при установленном плановом сроке - август 1940 согласно письму N 4056 от 10 июля 1940 Нач. финотдела НКАП Хавин в адрес А.И.Ш., что...первый этап работ 1 экз. самолета КОР-2 с М-63 выполнен конструкторским бюро завода 31 Бериева (1270).</w:t>
      </w:r>
    </w:p>
    <w:p w14:paraId="477A96C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F663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25 июня 1940 года на НИП АВ ВВС закончились полигонные испытания ХАРП-500 конструкции завода № 145 (в применении штурмовой авиацией), которые проходили с 20 июня 1940.</w:t>
      </w:r>
    </w:p>
    <w:p w14:paraId="3B56C2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0A7999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инженер 4 отделения Опытного отдела НИП АВ ГУАС в/инженер 2 ранга Рублев</w:t>
      </w:r>
    </w:p>
    <w:p w14:paraId="75FB64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485BFA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возможность применения ХАРП-500 штурмовой авиацией на малых высотах.</w:t>
      </w:r>
    </w:p>
    <w:p w14:paraId="0BAA58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Химический авиационный разовый прибор (ХАРП-500) разработан заводом № 145 в 1938 году. Прибор изготовлен в габаритах ФАБ-500 и по внешнему виду немногим отличается от ХАБ-500. Прибор предназначается для поражения живой силы и заражения местности стойкими БХВ.</w:t>
      </w:r>
    </w:p>
    <w:p w14:paraId="21118C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93983D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применении ХАРП-500 штурмовой авиацией решить после проведения окончательных полигонных испытаний в летних и зимних условиях сравнительно с ХАБ-500 и ВАП-500 (7599).</w:t>
      </w:r>
    </w:p>
    <w:p w14:paraId="6E847FC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6C264A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после ознакомления с предварительными материалами и ТТ Штаба ВВС, Е.Ф.Бурче направил Председателю комиссии, созданной 9 июня 1940, п Романову докладную записку, в которой излагал свои соображения по поводу основных направлений деятельности комиссии. Бурче предлагал:</w:t>
      </w:r>
    </w:p>
    <w:p w14:paraId="1410C1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Принять за основу для всех работ тот факт, что деформирующие окраски выгоднее одноцветных (это не было бесспорно для ВВС).</w:t>
      </w:r>
    </w:p>
    <w:p w14:paraId="61DBAD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Рассматривать создание временных образцов деформирующих окрасок "как меру, пригодную до начала выпуска самолетов непосредственно с заводов с готовой постоянной деформирующей окраской". В связи с этим перенацелить работу на "разработку и испытания (в целях отбора наилучших) схем основного заводского окрашивания для всех самолетов, состоящих на вооружении ВВС КА и универсальной расцветки пятен для этих схем", а временные, легко удаляемые и не портящие основного покрытия, краски использовать "для камуфлирования самолетов еще имеющих старую одноцветную окраску, для временной перекраски отдельных пятен деформирующих окрасок на резко несоответствующих фонах и для перекраски самолетов на зимний период",</w:t>
      </w:r>
    </w:p>
    <w:p w14:paraId="439FDA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"Упростить требования к недешифрируемости окрасок, особенно -для аэрофотосъемки. Если самолеты находятся на земле в дополнение к камуфляжу должны применяться различные наземные средства, укрытия. В воздухе, если самолет не будет обнаруживаться невооруженным глазом, -никто его не будет и фотографировать",</w:t>
      </w:r>
    </w:p>
    <w:p w14:paraId="669F1B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"Поставить опыты, с целью последующего доклада правительству о целесообразности уменьшения, несимметричного расположения (на одном крыле) или даже полного удаления с верхних поверхностей крыльев опознавательных знаков"</w:t>
      </w:r>
    </w:p>
    <w:p w14:paraId="00FE4A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этого в докладной записке содержалось много рекомендаций по выбору цвета камуфляжа, количеству схем для каждого типа самолетов и организации введения новой окраски в летных частях (2771,20).</w:t>
      </w:r>
    </w:p>
    <w:p w14:paraId="36746C1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62C6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вышло постановление Правительства "О реорганизации авиационных сил Красной Армии", которым предусматривалось формирование новых 106 АП, включая 15 ДА, перевооружение 45% полков ДА на ДБ-3Ф и Ер-2, а 33% полков, вооруженных ТБ-3 (АНТ-6) на ТБ-7 (АНТ-42) (556,42).</w:t>
      </w:r>
    </w:p>
    <w:p w14:paraId="0754F2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очень то понятно, так как планы по ТБ-7 были скромными и ТБ-3 (АНТ-6) они заменить не могли.</w:t>
      </w:r>
    </w:p>
    <w:p w14:paraId="60E377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в ходе гос. испытаний ПС-84 в военных вариантах - транспортном, десантном и санитарном, которые проходили в НИИ ВВС с 11 мая по 29 июня 1940 на машине, которая была переоборудована из санитарной в транспортную, был выполнен контрольный полет на скороподъемность с внутренней загрузкой (2:00) (2923).</w:t>
      </w:r>
    </w:p>
    <w:p w14:paraId="1171807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5AC7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 на НИП АВ ВВС закончились полигонные испытания турели под два пулемета ШКАС калибра 7,62 мм конструкции завода N 22 (Михайлова) на самолете СБ, которые проходили с 20 апреля 1940 года (2984).</w:t>
      </w:r>
    </w:p>
    <w:p w14:paraId="17A350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6F4721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 2-го ранга Успенский.</w:t>
      </w:r>
    </w:p>
    <w:p w14:paraId="16E173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21427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Предъявленная на полигонные испытания заводом N 22 турель под два пулемета ШКАС конструкции Михайлова на самолете СБ полигонные испытания выдержала.</w:t>
      </w:r>
    </w:p>
    <w:p w14:paraId="3A2C18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Турель (констр. Михайлова) по сравнению с ТУР-МВ-3С имеет более простую и более жесткую головку обеспечивающую постоянство пристрелки (2984).</w:t>
      </w:r>
    </w:p>
    <w:p w14:paraId="48A5CEF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0125E2" w14:textId="77777777" w:rsidR="00A25AD1" w:rsidRPr="00DB5D0D" w:rsidRDefault="00A25AD1" w:rsidP="00DB5D0D">
      <w:pPr>
        <w:pStyle w:val="24"/>
        <w:widowControl/>
        <w:rPr>
          <w:color w:val="000000" w:themeColor="text1"/>
        </w:rPr>
      </w:pPr>
      <w:r w:rsidRPr="00DB5D0D">
        <w:rPr>
          <w:color w:val="000000" w:themeColor="text1"/>
        </w:rPr>
        <w:t>С 25 по 29 июня 1940 года на НИП АВ ГУАС проходили заводские испытания упрощенных выливных авиационных приборов ВАП-6 му (в двух вариантах) конструкции завода "ВУЛКАН" на самолете И-15 бис</w:t>
      </w:r>
    </w:p>
    <w:p w14:paraId="73170E43" w14:textId="77777777" w:rsidR="00A25AD1" w:rsidRPr="00DB5D0D" w:rsidRDefault="00A25AD1" w:rsidP="00DB5D0D">
      <w:pPr>
        <w:pStyle w:val="24"/>
        <w:widowControl/>
        <w:rPr>
          <w:color w:val="000000" w:themeColor="text1"/>
        </w:rPr>
      </w:pPr>
      <w:r w:rsidRPr="00DB5D0D">
        <w:rPr>
          <w:color w:val="000000" w:themeColor="text1"/>
        </w:rPr>
        <w:t>Отв. исполнитель:</w:t>
      </w:r>
    </w:p>
    <w:p w14:paraId="568B2543" w14:textId="77777777" w:rsidR="00A25AD1" w:rsidRPr="00DB5D0D" w:rsidRDefault="00A25AD1" w:rsidP="00DB5D0D">
      <w:pPr>
        <w:pStyle w:val="24"/>
        <w:widowControl/>
        <w:rPr>
          <w:color w:val="000000" w:themeColor="text1"/>
        </w:rPr>
      </w:pPr>
      <w:r w:rsidRPr="00DB5D0D">
        <w:rPr>
          <w:color w:val="000000" w:themeColor="text1"/>
        </w:rPr>
        <w:t>В/инженер 3 ранга Лукашев</w:t>
      </w:r>
    </w:p>
    <w:p w14:paraId="33215E2C" w14:textId="77777777" w:rsidR="00A25AD1" w:rsidRPr="00DB5D0D" w:rsidRDefault="00A25AD1" w:rsidP="00DB5D0D">
      <w:pPr>
        <w:pStyle w:val="24"/>
        <w:widowControl/>
        <w:rPr>
          <w:color w:val="000000" w:themeColor="text1"/>
        </w:rPr>
      </w:pPr>
      <w:r w:rsidRPr="00DB5D0D">
        <w:rPr>
          <w:color w:val="000000" w:themeColor="text1"/>
        </w:rPr>
        <w:t>Цель испытания</w:t>
      </w:r>
    </w:p>
    <w:p w14:paraId="222687DE" w14:textId="77777777" w:rsidR="00A25AD1" w:rsidRPr="00DB5D0D" w:rsidRDefault="00A25AD1" w:rsidP="00DB5D0D">
      <w:pPr>
        <w:pStyle w:val="24"/>
        <w:widowControl/>
        <w:rPr>
          <w:color w:val="000000" w:themeColor="text1"/>
        </w:rPr>
      </w:pPr>
      <w:r w:rsidRPr="00DB5D0D">
        <w:rPr>
          <w:color w:val="000000" w:themeColor="text1"/>
        </w:rPr>
        <w:t>В процессе заводских испытаний необходимо было выявить следующие элементы:</w:t>
      </w:r>
    </w:p>
    <w:p w14:paraId="3B3706DF" w14:textId="77777777" w:rsidR="00A25AD1" w:rsidRPr="00DB5D0D" w:rsidRDefault="00A25AD1" w:rsidP="00DB5D0D">
      <w:pPr>
        <w:pStyle w:val="24"/>
        <w:widowControl/>
        <w:tabs>
          <w:tab w:val="left" w:pos="360"/>
        </w:tabs>
        <w:rPr>
          <w:color w:val="000000" w:themeColor="text1"/>
        </w:rPr>
      </w:pPr>
      <w:r w:rsidRPr="00DB5D0D">
        <w:rPr>
          <w:color w:val="000000" w:themeColor="text1"/>
        </w:rPr>
        <w:t>Прочность и надежность конструкции.</w:t>
      </w:r>
    </w:p>
    <w:p w14:paraId="490F6DD5" w14:textId="77777777" w:rsidR="00A25AD1" w:rsidRPr="00DB5D0D" w:rsidRDefault="00A25AD1" w:rsidP="00DB5D0D">
      <w:pPr>
        <w:pStyle w:val="24"/>
        <w:widowControl/>
        <w:tabs>
          <w:tab w:val="left" w:pos="360"/>
        </w:tabs>
        <w:rPr>
          <w:color w:val="000000" w:themeColor="text1"/>
        </w:rPr>
      </w:pPr>
      <w:r w:rsidRPr="00DB5D0D">
        <w:rPr>
          <w:color w:val="000000" w:themeColor="text1"/>
        </w:rPr>
        <w:t>Возможность забрызгивания самолета.</w:t>
      </w:r>
    </w:p>
    <w:p w14:paraId="6FF54F88" w14:textId="77777777" w:rsidR="00A25AD1" w:rsidRPr="00DB5D0D" w:rsidRDefault="00A25AD1" w:rsidP="00DB5D0D">
      <w:pPr>
        <w:pStyle w:val="24"/>
        <w:widowControl/>
        <w:tabs>
          <w:tab w:val="left" w:pos="360"/>
        </w:tabs>
        <w:rPr>
          <w:color w:val="000000" w:themeColor="text1"/>
        </w:rPr>
      </w:pPr>
      <w:r w:rsidRPr="00DB5D0D">
        <w:rPr>
          <w:color w:val="000000" w:themeColor="text1"/>
        </w:rPr>
        <w:t>Характер дробления жидкости на площади при выливании.</w:t>
      </w:r>
    </w:p>
    <w:p w14:paraId="30F8F55D"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работы механизмов приборов.</w:t>
      </w:r>
    </w:p>
    <w:p w14:paraId="59E9CC6C" w14:textId="77777777" w:rsidR="00A25AD1" w:rsidRPr="00DB5D0D" w:rsidRDefault="00A25AD1" w:rsidP="00DB5D0D">
      <w:pPr>
        <w:pStyle w:val="24"/>
        <w:widowControl/>
        <w:rPr>
          <w:color w:val="000000" w:themeColor="text1"/>
        </w:rPr>
      </w:pPr>
      <w:r w:rsidRPr="00DB5D0D">
        <w:rPr>
          <w:color w:val="000000" w:themeColor="text1"/>
        </w:rPr>
        <w:t>Заключение</w:t>
      </w:r>
    </w:p>
    <w:p w14:paraId="79542AB1" w14:textId="77777777" w:rsidR="00A25AD1" w:rsidRPr="00DB5D0D" w:rsidRDefault="00A25AD1" w:rsidP="00DB5D0D">
      <w:pPr>
        <w:pStyle w:val="24"/>
        <w:widowControl/>
        <w:tabs>
          <w:tab w:val="left" w:pos="360"/>
        </w:tabs>
        <w:rPr>
          <w:color w:val="000000" w:themeColor="text1"/>
        </w:rPr>
      </w:pPr>
      <w:r w:rsidRPr="00DB5D0D">
        <w:rPr>
          <w:color w:val="000000" w:themeColor="text1"/>
        </w:rPr>
        <w:t>Предъявленные на заводские испытания заводом "ВУЛКАН" выливные авиаприборы ВАП-6 упрощенной конструкции в двух вариантах заводские испытания не выдержали (7651).</w:t>
      </w:r>
    </w:p>
    <w:p w14:paraId="2CF6B1E0" w14:textId="77777777" w:rsidR="00A25AD1" w:rsidRPr="00DB5D0D" w:rsidRDefault="00A25AD1" w:rsidP="00DB5D0D">
      <w:pPr>
        <w:pStyle w:val="24"/>
        <w:widowControl/>
        <w:tabs>
          <w:tab w:val="left" w:pos="360"/>
        </w:tabs>
        <w:rPr>
          <w:color w:val="000000" w:themeColor="text1"/>
        </w:rPr>
      </w:pPr>
    </w:p>
    <w:p w14:paraId="0F12B5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25 июня по 25 августа 1940 года на НИП АВ ГУАС проходили заводские испытания термитных шаров 100 и 30 грамм. Термитных шаров новой рецептуры НИИ-6 и ЗАРП-ТШ-100 завода № 145</w:t>
      </w:r>
    </w:p>
    <w:p w14:paraId="5BD02C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5C36BA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инженер 4 отделения опытного отдела НИП АВ ВВС в/инженер 2 ранга Рублев</w:t>
      </w:r>
    </w:p>
    <w:p w14:paraId="3AA825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5FBE3A0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преимущества термитных шаров новой рецептуры в сравнении со старыми термитными шарами.</w:t>
      </w:r>
    </w:p>
    <w:p w14:paraId="1FC6011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боевые и эксплуатационные качества ЗАРП-ТШ-100 с термитными шарами новой рецептуры.</w:t>
      </w:r>
    </w:p>
    <w:p w14:paraId="0A2530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Термошары огневого воспламенения для применения в ЗАРПах начали разрабатываться НИИ № 6 в 1938 году. На полигонных испытаниях в октябре-декабре 1939 года они из-за большого процента отказов испытания не выдержали и были рекомендованы на доработку.</w:t>
      </w:r>
    </w:p>
    <w:p w14:paraId="4FBD4B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январе 1940 года ЗАРП-ТШ-100 проходили заводские испытания в НИИ АВ ВВС.</w:t>
      </w:r>
    </w:p>
    <w:p w14:paraId="2C0781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70EC75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ЗАРП-ТШ-100 завода № 145 100 и 300 грамм термитные шары новой рецептуры НИИ-6 заводские испытания выдержали (7820).</w:t>
      </w:r>
    </w:p>
    <w:p w14:paraId="4D033C3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1028CB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 вышел Отчет старшего инженера лаборатории №3 НИИ-3 НКБ М.Горшкова о проведенных опытах с донным взрывателем РД в 82-мм опытной ракетной камере: «23 июня 1940 г. в лаборатории №2 НИИ-3 НКБ закончены опыты по использованию взрывателя РД. Цель их — выявить качество донного взрывателя в смысле безопасности его использования для РС. Все опыты проводили в опытной камере 82-мм модели 45044. В дно камеры завинчивается РД на свинцовой 2.5-3-мм прокладке. Снаружи на дно навинчен колпак-голока, на который опирается камера при опыте. После установки взрывателя и головки, дно навертывали на камеру. Снаряжал двигатель ракетным зарядом со стороны сопла. РЗ - одна шашка НГВ 60/10-200 мм. Она давала время горения, что и в 203- и 305-мм двигателях. Давление в камере двигателя регулировали, изменяя диаметр критического сечения сопла от 9 до 10 мм. Через выполнены» сбоку отверстие замеряли максимальную величину давления в камере крешерным прибором.</w:t>
      </w:r>
    </w:p>
    <w:p w14:paraId="081444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по работе:</w:t>
      </w:r>
    </w:p>
    <w:p w14:paraId="0C9F0DC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Прорыв газов из камеры в БЧ вполне возможен, так как крупная резьба с шагом 5 мм и толстая свинцовая прокладка не герметизируют двигатель снаряда;</w:t>
      </w:r>
    </w:p>
    <w:p w14:paraId="4CE0B8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Следы прорывавшихся из камеры газов к хвостовику цилиндра через шаровые клапаны в случае недостаточной затяжки резьбы и донышка взрывателя к капсюлю-детонатору через стенки цилиндра говорят за то, что запрессованный порох в донных отверстиях сгорает раньше, чем РЗ;</w:t>
      </w:r>
    </w:p>
    <w:p w14:paraId="64058B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Несмотря на то, что в проведенных четырех опытах капсюли-детонаторы не сработали, указанные недостатки (возможный прорыв газов через резьбу в головку снаряда и к цилиндрику взрывателя) не дает полной гарантии для безопасного использования донного взрывателя РД в РС» (11402).</w:t>
      </w:r>
    </w:p>
    <w:p w14:paraId="43CE5D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EE2E5E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19BB24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D1421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 приказ № 178 НКВ</w:t>
      </w:r>
    </w:p>
    <w:p w14:paraId="586233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приказом НКВ № 159/с от 11 июня 1940 года:</w:t>
      </w:r>
    </w:p>
    <w:p w14:paraId="4A6665F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ЦКБ-40 произвести приемку дел от ГСПИ-3.</w:t>
      </w:r>
    </w:p>
    <w:p w14:paraId="5563A6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Приемку произвести в соответствии с постановлением СНК от 2 марта 1938 года № 248 (9186).</w:t>
      </w:r>
    </w:p>
    <w:p w14:paraId="6B02E50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9194696" w14:textId="77777777" w:rsidR="00A25AD1" w:rsidRPr="00DB5D0D" w:rsidRDefault="00A25AD1" w:rsidP="00DB5D0D">
      <w:pPr>
        <w:pStyle w:val="a3"/>
        <w:rPr>
          <w:color w:val="000000" w:themeColor="text1"/>
          <w:lang w:val="ru-RU"/>
        </w:rPr>
      </w:pPr>
      <w:r w:rsidRPr="00DB5D0D">
        <w:rPr>
          <w:color w:val="000000" w:themeColor="text1"/>
          <w:lang w:val="ru-RU"/>
        </w:rPr>
        <w:t>25 июня 1940 руководство Мариупольского завода обратилось в 7-ое ГУ НКСП с просьбой поддержать их позицию в спорных вопро</w:t>
      </w:r>
      <w:r w:rsidRPr="00DB5D0D">
        <w:rPr>
          <w:color w:val="000000" w:themeColor="text1"/>
          <w:lang w:val="ru-RU"/>
        </w:rPr>
        <w:softHyphen/>
        <w:t>сах с заводом №183:</w:t>
      </w:r>
    </w:p>
    <w:p w14:paraId="09B5CAE0" w14:textId="77777777" w:rsidR="00A25AD1" w:rsidRPr="00DB5D0D" w:rsidRDefault="00A25AD1" w:rsidP="00DB5D0D">
      <w:pPr>
        <w:pStyle w:val="a3"/>
        <w:rPr>
          <w:color w:val="000000" w:themeColor="text1"/>
          <w:lang w:val="ru-RU"/>
        </w:rPr>
      </w:pPr>
      <w:r w:rsidRPr="00DB5D0D">
        <w:rPr>
          <w:rStyle w:val="150pt62"/>
          <w:rFonts w:ascii="Times New Roman" w:hAnsi="Times New Roman" w:cs="Times New Roman"/>
          <w:i w:val="0"/>
          <w:iCs w:val="0"/>
          <w:color w:val="000000" w:themeColor="text1"/>
          <w:lang w:val="ru-RU"/>
        </w:rPr>
        <w:t>25.06.1940 №3218</w:t>
      </w:r>
    </w:p>
    <w:p w14:paraId="1E34B9CF" w14:textId="77777777" w:rsidR="00E4769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 xml:space="preserve">НАЧ. 7-го ГЛАВНОГО УПРАВЛЕНИЯ НКСП тов. ЕМЕЛЬЯНОВУ </w:t>
      </w:r>
    </w:p>
    <w:p w14:paraId="67C90A25"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rStyle w:val="207"/>
          <w:bCs/>
          <w:iCs/>
          <w:color w:val="000000" w:themeColor="text1"/>
          <w:sz w:val="16"/>
          <w:szCs w:val="16"/>
          <w:lang w:val="ru-RU"/>
        </w:rPr>
        <w:t>Копия:</w:t>
      </w:r>
      <w:r w:rsidRPr="00DB5D0D">
        <w:rPr>
          <w:b w:val="0"/>
          <w:bCs w:val="0"/>
          <w:i w:val="0"/>
          <w:iCs w:val="0"/>
          <w:color w:val="000000" w:themeColor="text1"/>
          <w:sz w:val="16"/>
          <w:szCs w:val="16"/>
          <w:lang w:val="ru-RU"/>
        </w:rPr>
        <w:t xml:space="preserve"> НАЧ. АБТУКА ВОЕНИНЖЕНЕРУ 1-го РАНГА тов. КОРОБКОВУ </w:t>
      </w:r>
      <w:r w:rsidRPr="00DB5D0D">
        <w:rPr>
          <w:rStyle w:val="207"/>
          <w:bCs/>
          <w:iCs/>
          <w:color w:val="000000" w:themeColor="text1"/>
          <w:sz w:val="16"/>
          <w:szCs w:val="16"/>
          <w:lang w:val="ru-RU"/>
        </w:rPr>
        <w:t>ПО ВОПРОСУ:</w:t>
      </w:r>
      <w:r w:rsidRPr="00DB5D0D">
        <w:rPr>
          <w:b w:val="0"/>
          <w:bCs w:val="0"/>
          <w:i w:val="0"/>
          <w:iCs w:val="0"/>
          <w:color w:val="000000" w:themeColor="text1"/>
          <w:sz w:val="16"/>
          <w:szCs w:val="16"/>
          <w:lang w:val="ru-RU"/>
        </w:rPr>
        <w:t xml:space="preserve"> договора с заводом № 183. В процессе заключения договора на поставку деталей машины Т-34 с Харьковским заводом №183 им. «Коминтерна» возникли раз</w:t>
      </w:r>
      <w:r w:rsidRPr="00DB5D0D">
        <w:rPr>
          <w:b w:val="0"/>
          <w:bCs w:val="0"/>
          <w:i w:val="0"/>
          <w:iCs w:val="0"/>
          <w:color w:val="000000" w:themeColor="text1"/>
          <w:sz w:val="16"/>
          <w:szCs w:val="16"/>
          <w:lang w:val="ru-RU"/>
        </w:rPr>
        <w:softHyphen/>
        <w:t>ногласия, вследствие чего договор заключен с протоколом разно</w:t>
      </w:r>
      <w:r w:rsidRPr="00DB5D0D">
        <w:rPr>
          <w:b w:val="0"/>
          <w:bCs w:val="0"/>
          <w:i w:val="0"/>
          <w:iCs w:val="0"/>
          <w:color w:val="000000" w:themeColor="text1"/>
          <w:sz w:val="16"/>
          <w:szCs w:val="16"/>
          <w:lang w:val="ru-RU"/>
        </w:rPr>
        <w:softHyphen/>
        <w:t>гласий (см. приложение).</w:t>
      </w:r>
    </w:p>
    <w:p w14:paraId="26972661"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 Мариупольский завод принимает к изготовлению деталь «бал</w:t>
      </w:r>
      <w:r w:rsidRPr="00DB5D0D">
        <w:rPr>
          <w:b w:val="0"/>
          <w:bCs w:val="0"/>
          <w:i w:val="0"/>
          <w:iCs w:val="0"/>
          <w:color w:val="000000" w:themeColor="text1"/>
          <w:sz w:val="16"/>
          <w:szCs w:val="16"/>
          <w:lang w:val="ru-RU"/>
        </w:rPr>
        <w:softHyphen/>
        <w:t>ку носа» №34-29-906 без сверловки отверстий, исходя из того, что при сборке деталей носа угол оси отверстий в детали34-29-906будет меняться, вследствие чего отверстия должны сверлиться на месте сборки корпуса. Это предусмотрено технологией изготовления дета</w:t>
      </w:r>
      <w:r w:rsidRPr="00DB5D0D">
        <w:rPr>
          <w:b w:val="0"/>
          <w:bCs w:val="0"/>
          <w:i w:val="0"/>
          <w:iCs w:val="0"/>
          <w:color w:val="000000" w:themeColor="text1"/>
          <w:sz w:val="16"/>
          <w:szCs w:val="16"/>
          <w:lang w:val="ru-RU"/>
        </w:rPr>
        <w:softHyphen/>
        <w:t>ли 34-29-906, которая поставляется заводу №183 в высоко отпущен</w:t>
      </w:r>
      <w:r w:rsidRPr="00DB5D0D">
        <w:rPr>
          <w:b w:val="0"/>
          <w:bCs w:val="0"/>
          <w:i w:val="0"/>
          <w:iCs w:val="0"/>
          <w:color w:val="000000" w:themeColor="text1"/>
          <w:sz w:val="16"/>
          <w:szCs w:val="16"/>
          <w:lang w:val="ru-RU"/>
        </w:rPr>
        <w:softHyphen/>
        <w:t>ном состоянии (для возможности проведения сверловки при сборке). Кроме того, ввиду отсутствия на Мариупольском заводе им. Ильича литейной базы, деталь 34-29-906 будет передана путем кооперации на другие заводы. Естественно, что при этом положении сборка дета</w:t>
      </w:r>
      <w:r w:rsidRPr="00DB5D0D">
        <w:rPr>
          <w:b w:val="0"/>
          <w:bCs w:val="0"/>
          <w:i w:val="0"/>
          <w:iCs w:val="0"/>
          <w:color w:val="000000" w:themeColor="text1"/>
          <w:sz w:val="16"/>
          <w:szCs w:val="16"/>
          <w:lang w:val="ru-RU"/>
        </w:rPr>
        <w:softHyphen/>
        <w:t>лей носа должна производился на заводе №183. Завод №183 вмес</w:t>
      </w:r>
      <w:r w:rsidRPr="00DB5D0D">
        <w:rPr>
          <w:b w:val="0"/>
          <w:bCs w:val="0"/>
          <w:i w:val="0"/>
          <w:iCs w:val="0"/>
          <w:color w:val="000000" w:themeColor="text1"/>
          <w:sz w:val="16"/>
          <w:szCs w:val="16"/>
          <w:lang w:val="ru-RU"/>
        </w:rPr>
        <w:softHyphen/>
        <w:t>то реального разрешения вопроса в протоколе разногласий требует изготовлять эту деталь цельноштампованной, чем ставит Мариуполь</w:t>
      </w:r>
      <w:r w:rsidRPr="00DB5D0D">
        <w:rPr>
          <w:b w:val="0"/>
          <w:bCs w:val="0"/>
          <w:i w:val="0"/>
          <w:iCs w:val="0"/>
          <w:color w:val="000000" w:themeColor="text1"/>
          <w:sz w:val="16"/>
          <w:szCs w:val="16"/>
          <w:lang w:val="ru-RU"/>
        </w:rPr>
        <w:softHyphen/>
        <w:t>ский завод в такое положение, при котором не будет выполнено пра-вительственное задание. Ссылка на то, что Гпавный инженер завода тов. Ниценкодал согласие изготов</w:t>
      </w:r>
      <w:r w:rsidRPr="00DB5D0D">
        <w:rPr>
          <w:b w:val="0"/>
          <w:bCs w:val="0"/>
          <w:i w:val="0"/>
          <w:iCs w:val="0"/>
          <w:color w:val="000000" w:themeColor="text1"/>
          <w:sz w:val="16"/>
          <w:szCs w:val="16"/>
          <w:lang w:val="ru-RU"/>
        </w:rPr>
        <w:softHyphen/>
        <w:t>лять деталь 34-29-906 со сверловкой, не соответ</w:t>
      </w:r>
      <w:r w:rsidRPr="00DB5D0D">
        <w:rPr>
          <w:b w:val="0"/>
          <w:bCs w:val="0"/>
          <w:i w:val="0"/>
          <w:iCs w:val="0"/>
          <w:color w:val="000000" w:themeColor="text1"/>
          <w:sz w:val="16"/>
          <w:szCs w:val="16"/>
          <w:lang w:val="ru-RU"/>
        </w:rPr>
        <w:softHyphen/>
        <w:t>ствует действительности, т.к. в момент рассмотре</w:t>
      </w:r>
      <w:r w:rsidRPr="00DB5D0D">
        <w:rPr>
          <w:b w:val="0"/>
          <w:bCs w:val="0"/>
          <w:i w:val="0"/>
          <w:iCs w:val="0"/>
          <w:color w:val="000000" w:themeColor="text1"/>
          <w:sz w:val="16"/>
          <w:szCs w:val="16"/>
          <w:lang w:val="ru-RU"/>
        </w:rPr>
        <w:softHyphen/>
        <w:t>ния чертежей Мариупольский завод совершенно не знал количества необходимых деталей. Мариуполь</w:t>
      </w:r>
      <w:r w:rsidRPr="00DB5D0D">
        <w:rPr>
          <w:b w:val="0"/>
          <w:bCs w:val="0"/>
          <w:i w:val="0"/>
          <w:iCs w:val="0"/>
          <w:color w:val="000000" w:themeColor="text1"/>
          <w:sz w:val="16"/>
          <w:szCs w:val="16"/>
          <w:lang w:val="ru-RU"/>
        </w:rPr>
        <w:softHyphen/>
        <w:t>ский завод сможет изготовить«балку носа» со свер</w:t>
      </w:r>
      <w:r w:rsidRPr="00DB5D0D">
        <w:rPr>
          <w:b w:val="0"/>
          <w:bCs w:val="0"/>
          <w:i w:val="0"/>
          <w:iCs w:val="0"/>
          <w:color w:val="000000" w:themeColor="text1"/>
          <w:sz w:val="16"/>
          <w:szCs w:val="16"/>
          <w:lang w:val="ru-RU"/>
        </w:rPr>
        <w:softHyphen/>
        <w:t>ловкой отверстий, но это количество определяется единицами, а не сотнями, ссылка же завода № 183 на отсутствие у него сверлильных станков, является абсолютно неосновательной.</w:t>
      </w:r>
    </w:p>
    <w:p w14:paraId="0FA81129" w14:textId="77777777" w:rsidR="00A25AD1" w:rsidRPr="00DB5D0D" w:rsidRDefault="00A25AD1" w:rsidP="00DB5D0D">
      <w:pPr>
        <w:pStyle w:val="201"/>
        <w:shd w:val="clear" w:color="auto" w:fill="auto"/>
        <w:tabs>
          <w:tab w:val="left" w:pos="476"/>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2.Мариупольский завод отказался также принять к изготовлению две литых детали №№34-29-019 и 34-16-003 исключительно ввиду отсутствия литей</w:t>
      </w:r>
      <w:r w:rsidRPr="00DB5D0D">
        <w:rPr>
          <w:b w:val="0"/>
          <w:bCs w:val="0"/>
          <w:i w:val="0"/>
          <w:iCs w:val="0"/>
          <w:color w:val="000000" w:themeColor="text1"/>
          <w:sz w:val="16"/>
          <w:szCs w:val="16"/>
          <w:lang w:val="ru-RU"/>
        </w:rPr>
        <w:softHyphen/>
        <w:t>ной базы. Имеющийся сталелитейный цех Мариу</w:t>
      </w:r>
      <w:r w:rsidRPr="00DB5D0D">
        <w:rPr>
          <w:b w:val="0"/>
          <w:bCs w:val="0"/>
          <w:i w:val="0"/>
          <w:iCs w:val="0"/>
          <w:color w:val="000000" w:themeColor="text1"/>
          <w:sz w:val="16"/>
          <w:szCs w:val="16"/>
          <w:lang w:val="ru-RU"/>
        </w:rPr>
        <w:softHyphen/>
        <w:t>польским заводом загружается отливкой башен, т.к. при производстве катанных штампованных башен программа будет сорвана ввиду отсутствия необ</w:t>
      </w:r>
      <w:r w:rsidRPr="00DB5D0D">
        <w:rPr>
          <w:b w:val="0"/>
          <w:bCs w:val="0"/>
          <w:i w:val="0"/>
          <w:iCs w:val="0"/>
          <w:color w:val="000000" w:themeColor="text1"/>
          <w:sz w:val="16"/>
          <w:szCs w:val="16"/>
          <w:lang w:val="ru-RU"/>
        </w:rPr>
        <w:softHyphen/>
        <w:t>ходимых прессов. Имеющиеся пресса обеспечива</w:t>
      </w:r>
      <w:r w:rsidRPr="00DB5D0D">
        <w:rPr>
          <w:b w:val="0"/>
          <w:bCs w:val="0"/>
          <w:i w:val="0"/>
          <w:iCs w:val="0"/>
          <w:color w:val="000000" w:themeColor="text1"/>
          <w:sz w:val="16"/>
          <w:szCs w:val="16"/>
          <w:lang w:val="ru-RU"/>
        </w:rPr>
        <w:softHyphen/>
        <w:t>ют программу только на 25-30%. Для выполнения Правительственного задания Мариупольский завод вынужден просить 7-е Главное Управление НКСП обратиться с ходатайством перед Правительством о размещении части башен на другие машиностро</w:t>
      </w:r>
      <w:r w:rsidRPr="00DB5D0D">
        <w:rPr>
          <w:b w:val="0"/>
          <w:bCs w:val="0"/>
          <w:i w:val="0"/>
          <w:iCs w:val="0"/>
          <w:color w:val="000000" w:themeColor="text1"/>
          <w:sz w:val="16"/>
          <w:szCs w:val="16"/>
          <w:lang w:val="ru-RU"/>
        </w:rPr>
        <w:softHyphen/>
        <w:t>ительные заводы (Ново-Краматорский, Сталинград</w:t>
      </w:r>
      <w:r w:rsidRPr="00DB5D0D">
        <w:rPr>
          <w:b w:val="0"/>
          <w:bCs w:val="0"/>
          <w:i w:val="0"/>
          <w:iCs w:val="0"/>
          <w:color w:val="000000" w:themeColor="text1"/>
          <w:sz w:val="16"/>
          <w:szCs w:val="16"/>
          <w:lang w:val="ru-RU"/>
        </w:rPr>
        <w:softHyphen/>
        <w:t>ский и др.). Только при положительном решении этого вопроса программа будет выполнена.</w:t>
      </w:r>
    </w:p>
    <w:p w14:paraId="3DA71508"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Детали 34-29-019 и 34-16-003 могут быть вы</w:t>
      </w:r>
      <w:r w:rsidRPr="00DB5D0D">
        <w:rPr>
          <w:b w:val="0"/>
          <w:bCs w:val="0"/>
          <w:i w:val="0"/>
          <w:iCs w:val="0"/>
          <w:color w:val="000000" w:themeColor="text1"/>
          <w:sz w:val="16"/>
          <w:szCs w:val="16"/>
          <w:lang w:val="ru-RU"/>
        </w:rPr>
        <w:softHyphen/>
        <w:t>полнены самим заводом №183, располагающим более мощной базой чем Мариупольский завод. Завод № 183 провел соответствующие опыты по от</w:t>
      </w:r>
      <w:r w:rsidRPr="00DB5D0D">
        <w:rPr>
          <w:b w:val="0"/>
          <w:bCs w:val="0"/>
          <w:i w:val="0"/>
          <w:iCs w:val="0"/>
          <w:color w:val="000000" w:themeColor="text1"/>
          <w:sz w:val="16"/>
          <w:szCs w:val="16"/>
          <w:lang w:val="ru-RU"/>
        </w:rPr>
        <w:softHyphen/>
        <w:t>ливке этих деталей и получил неплохие результаты при снарядных испытаниях на полигоне Мариуполь</w:t>
      </w:r>
      <w:r w:rsidRPr="00DB5D0D">
        <w:rPr>
          <w:b w:val="0"/>
          <w:bCs w:val="0"/>
          <w:i w:val="0"/>
          <w:iCs w:val="0"/>
          <w:color w:val="000000" w:themeColor="text1"/>
          <w:sz w:val="16"/>
          <w:szCs w:val="16"/>
          <w:lang w:val="ru-RU"/>
        </w:rPr>
        <w:softHyphen/>
        <w:t>ского завода. Просим 7-е Гл. Управление, через Наркомат обязать завод № 183 изготовлять детали №34-29-019 и 34-16-003у себя.</w:t>
      </w:r>
    </w:p>
    <w:p w14:paraId="4DDEA427" w14:textId="77777777" w:rsidR="00A25AD1" w:rsidRPr="00DB5D0D" w:rsidRDefault="00A25AD1" w:rsidP="00DB5D0D">
      <w:pPr>
        <w:pStyle w:val="201"/>
        <w:shd w:val="clear" w:color="auto" w:fill="auto"/>
        <w:tabs>
          <w:tab w:val="left" w:pos="51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3.Завод №183 требует, чтобы Мариупольский завод заключил на 150 тонн деталей россыпи, не ука</w:t>
      </w:r>
      <w:r w:rsidRPr="00DB5D0D">
        <w:rPr>
          <w:b w:val="0"/>
          <w:bCs w:val="0"/>
          <w:i w:val="0"/>
          <w:iCs w:val="0"/>
          <w:color w:val="000000" w:themeColor="text1"/>
          <w:sz w:val="16"/>
          <w:szCs w:val="16"/>
          <w:lang w:val="ru-RU"/>
        </w:rPr>
        <w:softHyphen/>
        <w:t>зывая какие же ему требуются детали. Естественно, что мы не можем заключить договор на неизвестные детали. В договоре мы указали, что Мариупольский завод обязуется изготовить детали россыпи после представления спецификации с оформлением со</w:t>
      </w:r>
      <w:r w:rsidRPr="00DB5D0D">
        <w:rPr>
          <w:b w:val="0"/>
          <w:bCs w:val="0"/>
          <w:i w:val="0"/>
          <w:iCs w:val="0"/>
          <w:color w:val="000000" w:themeColor="text1"/>
          <w:sz w:val="16"/>
          <w:szCs w:val="16"/>
          <w:lang w:val="ru-RU"/>
        </w:rPr>
        <w:softHyphen/>
        <w:t>ответствующего дополнительного соглашения.</w:t>
      </w:r>
    </w:p>
    <w:p w14:paraId="714C5A9C" w14:textId="77777777" w:rsidR="00A25AD1" w:rsidRPr="00DB5D0D" w:rsidRDefault="00A25AD1" w:rsidP="00DB5D0D">
      <w:pPr>
        <w:pStyle w:val="201"/>
        <w:shd w:val="clear" w:color="auto" w:fill="auto"/>
        <w:tabs>
          <w:tab w:val="left" w:pos="486"/>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4.Завод №183 в протоколе разногласий требует «цену за 1 комплект установить в сумме 60000руб.». Нам совершенно не понятно, из каких расчетов за</w:t>
      </w:r>
      <w:r w:rsidRPr="00DB5D0D">
        <w:rPr>
          <w:b w:val="0"/>
          <w:bCs w:val="0"/>
          <w:i w:val="0"/>
          <w:iCs w:val="0"/>
          <w:color w:val="000000" w:themeColor="text1"/>
          <w:sz w:val="16"/>
          <w:szCs w:val="16"/>
          <w:lang w:val="ru-RU"/>
        </w:rPr>
        <w:softHyphen/>
        <w:t>казчиком определена эта стоимость</w:t>
      </w:r>
      <w:r w:rsidRPr="00DB5D0D">
        <w:rPr>
          <w:b w:val="0"/>
          <w:bCs w:val="0"/>
          <w:i w:val="0"/>
          <w:iCs w:val="0"/>
          <w:noProof w:val="0"/>
          <w:color w:val="000000" w:themeColor="text1"/>
          <w:sz w:val="16"/>
          <w:szCs w:val="16"/>
          <w:lang w:val="ru-RU"/>
        </w:rPr>
        <w:t>.</w:t>
      </w:r>
      <w:r w:rsidRPr="00DB5D0D">
        <w:rPr>
          <w:b w:val="0"/>
          <w:bCs w:val="0"/>
          <w:i w:val="0"/>
          <w:iCs w:val="0"/>
          <w:color w:val="000000" w:themeColor="text1"/>
          <w:sz w:val="16"/>
          <w:szCs w:val="16"/>
          <w:lang w:val="ru-RU"/>
        </w:rPr>
        <w:t xml:space="preserve"> Сметная сто</w:t>
      </w:r>
      <w:r w:rsidRPr="00DB5D0D">
        <w:rPr>
          <w:b w:val="0"/>
          <w:bCs w:val="0"/>
          <w:i w:val="0"/>
          <w:iCs w:val="0"/>
          <w:color w:val="000000" w:themeColor="text1"/>
          <w:sz w:val="16"/>
          <w:szCs w:val="16"/>
          <w:lang w:val="ru-RU"/>
        </w:rPr>
        <w:softHyphen/>
        <w:t>имость 1-го комплекта деталей брони определи</w:t>
      </w:r>
      <w:r w:rsidRPr="00DB5D0D">
        <w:rPr>
          <w:b w:val="0"/>
          <w:bCs w:val="0"/>
          <w:i w:val="0"/>
          <w:iCs w:val="0"/>
          <w:color w:val="000000" w:themeColor="text1"/>
          <w:sz w:val="16"/>
          <w:szCs w:val="16"/>
          <w:lang w:val="ru-RU"/>
        </w:rPr>
        <w:softHyphen/>
        <w:t>лась в 168000 руб. Просим поставить вопрос пе</w:t>
      </w:r>
      <w:r w:rsidRPr="00DB5D0D">
        <w:rPr>
          <w:b w:val="0"/>
          <w:bCs w:val="0"/>
          <w:i w:val="0"/>
          <w:iCs w:val="0"/>
          <w:color w:val="000000" w:themeColor="text1"/>
          <w:sz w:val="16"/>
          <w:szCs w:val="16"/>
          <w:lang w:val="ru-RU"/>
        </w:rPr>
        <w:softHyphen/>
        <w:t>ред Экономсоветом о скорейшем утверждении от</w:t>
      </w:r>
      <w:r w:rsidRPr="00DB5D0D">
        <w:rPr>
          <w:b w:val="0"/>
          <w:bCs w:val="0"/>
          <w:i w:val="0"/>
          <w:iCs w:val="0"/>
          <w:color w:val="000000" w:themeColor="text1"/>
          <w:sz w:val="16"/>
          <w:szCs w:val="16"/>
          <w:lang w:val="ru-RU"/>
        </w:rPr>
        <w:softHyphen/>
        <w:t>пускной цены на комплект деталей машины А-34, чтобы урегулировать расчеты с заводом № 183.</w:t>
      </w:r>
    </w:p>
    <w:p w14:paraId="193D08D6"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ГЛАВНЫЙ ИНЖЕНЕР (Ниценко).</w:t>
      </w:r>
      <w:r w:rsidRPr="00DB5D0D">
        <w:rPr>
          <w:rStyle w:val="20150pt61"/>
          <w:rFonts w:ascii="Times New Roman" w:hAnsi="Times New Roman" w:cs="Times New Roman"/>
          <w:iCs/>
          <w:color w:val="000000" w:themeColor="text1"/>
          <w:spacing w:val="0"/>
          <w:lang w:val="ru-RU"/>
        </w:rPr>
        <w:t xml:space="preserve"> [</w:t>
      </w:r>
      <w:r w:rsidRPr="00DB5D0D">
        <w:rPr>
          <w:b w:val="0"/>
          <w:bCs w:val="0"/>
          <w:i w:val="0"/>
          <w:iCs w:val="0"/>
          <w:color w:val="000000" w:themeColor="text1"/>
          <w:sz w:val="16"/>
          <w:szCs w:val="16"/>
          <w:lang w:val="ru-RU"/>
        </w:rPr>
        <w:t>РГВА Ф.31811. Оп.2. Д. 1176. Л. 176.</w:t>
      </w:r>
      <w:r w:rsidRPr="00DB5D0D">
        <w:rPr>
          <w:rStyle w:val="20150pt61"/>
          <w:rFonts w:ascii="Times New Roman" w:hAnsi="Times New Roman" w:cs="Times New Roman"/>
          <w:iCs/>
          <w:color w:val="000000" w:themeColor="text1"/>
          <w:spacing w:val="0"/>
          <w:lang w:val="ru-RU"/>
        </w:rPr>
        <w:t>]</w:t>
      </w:r>
    </w:p>
    <w:p w14:paraId="5588BE73" w14:textId="77777777" w:rsidR="00A25AD1" w:rsidRPr="00DB5D0D" w:rsidRDefault="00A25AD1" w:rsidP="00DB5D0D">
      <w:pPr>
        <w:pStyle w:val="a3"/>
        <w:rPr>
          <w:color w:val="000000" w:themeColor="text1"/>
          <w:lang w:val="ru-RU"/>
        </w:rPr>
      </w:pPr>
      <w:r w:rsidRPr="00DB5D0D">
        <w:rPr>
          <w:color w:val="000000" w:themeColor="text1"/>
          <w:lang w:val="ru-RU"/>
        </w:rPr>
        <w:t>В результате дальнейших переговоров сторо</w:t>
      </w:r>
      <w:r w:rsidRPr="00DB5D0D">
        <w:rPr>
          <w:color w:val="000000" w:themeColor="text1"/>
          <w:lang w:val="ru-RU"/>
        </w:rPr>
        <w:softHyphen/>
        <w:t>ны пришли к компромиссу: изготовление литых деталей 34.29.019 и 34.16.003 брал на себя за</w:t>
      </w:r>
      <w:r w:rsidRPr="00DB5D0D">
        <w:rPr>
          <w:color w:val="000000" w:themeColor="text1"/>
          <w:lang w:val="ru-RU"/>
        </w:rPr>
        <w:softHyphen/>
        <w:t>вод №183, а Мариупольский завод, в свою оче</w:t>
      </w:r>
      <w:r w:rsidRPr="00DB5D0D">
        <w:rPr>
          <w:color w:val="000000" w:themeColor="text1"/>
          <w:lang w:val="ru-RU"/>
        </w:rPr>
        <w:softHyphen/>
        <w:t>редь, обязался поставлять носовую балку с гото</w:t>
      </w:r>
      <w:r w:rsidRPr="00DB5D0D">
        <w:rPr>
          <w:color w:val="000000" w:themeColor="text1"/>
          <w:lang w:val="ru-RU"/>
        </w:rPr>
        <w:softHyphen/>
        <w:t>выми отверстиями с нарезанной резьбой под гу- жоны. Таким образом, вопрос с поставкой бронедеталей на завод №183 формально был решен. Согласно заключенному договору, Мариупольс</w:t>
      </w:r>
      <w:r w:rsidRPr="00DB5D0D">
        <w:rPr>
          <w:color w:val="000000" w:themeColor="text1"/>
          <w:lang w:val="ru-RU"/>
        </w:rPr>
        <w:softHyphen/>
        <w:t>кий завод обязывался поставить в 1940 г. всего 775 комплектов бронедеталей корпусов и башен Т-34 по прилагаемой описи (см. табл. №9) комп лектно, со следующей разбивкой по месяцам: июнь - 20, июль - 40, август - 75, сентябрь - 120, октябрь - 140, ноябрь - 170, декабрь - 200. Необходимо отметить, что в 775 комплектов вхо</w:t>
      </w:r>
      <w:r w:rsidRPr="00DB5D0D">
        <w:rPr>
          <w:color w:val="000000" w:themeColor="text1"/>
          <w:lang w:val="ru-RU"/>
        </w:rPr>
        <w:softHyphen/>
        <w:t>дили 10 комплектов, поставленных Мариупольским заводом в ап</w:t>
      </w:r>
      <w:r w:rsidRPr="00DB5D0D">
        <w:rPr>
          <w:color w:val="000000" w:themeColor="text1"/>
          <w:lang w:val="ru-RU"/>
        </w:rPr>
        <w:softHyphen/>
        <w:t>реле для машин установочной серии.</w:t>
      </w:r>
    </w:p>
    <w:p w14:paraId="79FF3144" w14:textId="77777777" w:rsidR="00A25AD1" w:rsidRPr="00DB5D0D" w:rsidRDefault="00A25AD1" w:rsidP="00DB5D0D">
      <w:pPr>
        <w:pStyle w:val="aff1"/>
        <w:shd w:val="clear" w:color="auto" w:fill="auto"/>
        <w:spacing w:line="240" w:lineRule="auto"/>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Таблица №9</w:t>
      </w:r>
    </w:p>
    <w:p w14:paraId="4E1208B2" w14:textId="77777777" w:rsidR="00A25AD1" w:rsidRPr="00DB5D0D" w:rsidRDefault="00A25AD1" w:rsidP="00DB5D0D">
      <w:pPr>
        <w:pStyle w:val="aff1"/>
        <w:shd w:val="clear" w:color="auto" w:fill="auto"/>
        <w:spacing w:line="240" w:lineRule="auto"/>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lang w:val="ru-RU"/>
        </w:rPr>
        <w:t xml:space="preserve">(Данные из «Описи деталей машины Т-34 и условий приемки». </w:t>
      </w:r>
      <w:r w:rsidRPr="00DB5D0D">
        <w:rPr>
          <w:rFonts w:ascii="Times New Roman" w:hAnsi="Times New Roman" w:cs="Times New Roman"/>
          <w:i w:val="0"/>
          <w:iCs w:val="0"/>
          <w:color w:val="000000" w:themeColor="text1"/>
          <w:sz w:val="16"/>
          <w:szCs w:val="16"/>
        </w:rPr>
        <w:t>РГВА 31811-2-1010, лл. 248-250)</w:t>
      </w:r>
    </w:p>
    <w:tbl>
      <w:tblPr>
        <w:tblW w:w="0" w:type="auto"/>
        <w:tblInd w:w="8" w:type="dxa"/>
        <w:tblLayout w:type="fixed"/>
        <w:tblCellMar>
          <w:left w:w="0" w:type="dxa"/>
          <w:right w:w="0" w:type="dxa"/>
        </w:tblCellMar>
        <w:tblLook w:val="0000" w:firstRow="0" w:lastRow="0" w:firstColumn="0" w:lastColumn="0" w:noHBand="0" w:noVBand="0"/>
      </w:tblPr>
      <w:tblGrid>
        <w:gridCol w:w="509"/>
        <w:gridCol w:w="1051"/>
        <w:gridCol w:w="2400"/>
        <w:gridCol w:w="706"/>
        <w:gridCol w:w="946"/>
        <w:gridCol w:w="917"/>
      </w:tblGrid>
      <w:tr w:rsidR="007D5DF8" w:rsidRPr="00DB5D0D" w14:paraId="1EAA9E85" w14:textId="77777777" w:rsidTr="009223E5">
        <w:trPr>
          <w:trHeight w:val="331"/>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4E46C6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№№п/п</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A1FA02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 деталей</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A4FF83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Наименование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8F2667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Кол-во</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650DEA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Толщина детали в мм</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377BAD0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Вес 1 детали вкг</w:t>
            </w:r>
          </w:p>
        </w:tc>
      </w:tr>
      <w:tr w:rsidR="007D5DF8" w:rsidRPr="00DB5D0D" w14:paraId="3EA0F937" w14:textId="77777777" w:rsidTr="009223E5">
        <w:trPr>
          <w:trHeight w:val="158"/>
        </w:trPr>
        <w:tc>
          <w:tcPr>
            <w:tcW w:w="6529" w:type="dxa"/>
            <w:gridSpan w:val="6"/>
            <w:tcBorders>
              <w:top w:val="single" w:sz="6" w:space="0" w:color="auto"/>
              <w:left w:val="single" w:sz="6" w:space="0" w:color="auto"/>
              <w:bottom w:val="single" w:sz="6" w:space="0" w:color="auto"/>
              <w:right w:val="single" w:sz="6" w:space="0" w:color="auto"/>
            </w:tcBorders>
            <w:shd w:val="clear" w:color="auto" w:fill="FFFFFF"/>
          </w:tcPr>
          <w:p w14:paraId="1290232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КОРПУС</w:t>
            </w:r>
          </w:p>
        </w:tc>
      </w:tr>
      <w:tr w:rsidR="007D5DF8" w:rsidRPr="00DB5D0D" w14:paraId="2839974D"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085845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D33549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34.29.005</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5406A1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Бортовой лист правый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6333A4C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F45B37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400202F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1169</w:t>
            </w:r>
          </w:p>
        </w:tc>
      </w:tr>
      <w:tr w:rsidR="007D5DF8" w:rsidRPr="00DB5D0D" w14:paraId="00571517"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46E345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2DA155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34.29.006</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371857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Бортовой лист левый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51B194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7BA57ED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170044A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1169</w:t>
            </w:r>
          </w:p>
        </w:tc>
      </w:tr>
      <w:tr w:rsidR="007D5DF8" w:rsidRPr="00DB5D0D" w14:paraId="499320F6"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7D0B2F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C6EED5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34.29.007</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6935C7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Нижний лист кормы</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2E4F673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736CFD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4CCF58E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457</w:t>
            </w:r>
          </w:p>
        </w:tc>
      </w:tr>
      <w:tr w:rsidR="007D5DF8" w:rsidRPr="00DB5D0D" w14:paraId="7640B975"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C64654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28EC59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34.29.008</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A3FE9E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Задний лист верхний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60FE3DC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493FD5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0C6ABF7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451</w:t>
            </w:r>
          </w:p>
        </w:tc>
      </w:tr>
      <w:tr w:rsidR="007D5DF8" w:rsidRPr="00DB5D0D" w14:paraId="44903D18"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C17AD4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36016C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34.29.009-1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8558AE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Передний лист днища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4BFBBB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0A91C4A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1532451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450</w:t>
            </w:r>
          </w:p>
        </w:tc>
      </w:tr>
      <w:tr w:rsidR="007D5DF8" w:rsidRPr="00DB5D0D" w14:paraId="0E31E70D"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6C84AA1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6</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87E358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34.29.010-1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CD881F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Задний лист днища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78FDC4B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A710D0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1E0DB05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333</w:t>
            </w:r>
          </w:p>
        </w:tc>
      </w:tr>
      <w:tr w:rsidR="007D5DF8" w:rsidRPr="00DB5D0D" w14:paraId="1F77DF92"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B79861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01AB65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3429.011-1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4BD1FD1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Передний лист крыши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51E78BA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AE5BB9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1A5A90F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155,5</w:t>
            </w:r>
          </w:p>
        </w:tc>
      </w:tr>
      <w:tr w:rsidR="007D5DF8" w:rsidRPr="00DB5D0D" w14:paraId="751DCB6E"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54C8B25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8</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26E865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34.29.012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5240C5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Лист подкрылка правый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62FB79C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647B4B9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90EBAB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722</w:t>
            </w:r>
          </w:p>
        </w:tc>
      </w:tr>
      <w:tr w:rsidR="007D5DF8" w:rsidRPr="00DB5D0D" w14:paraId="18689140"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31229B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9</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AD6CA3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34.29.013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D18621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Лист подкрылка левый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B7707F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70791D6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16A5C6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722</w:t>
            </w:r>
          </w:p>
        </w:tc>
      </w:tr>
      <w:tr w:rsidR="007D5DF8" w:rsidRPr="00DB5D0D" w14:paraId="727F0EF1"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7E98FB0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DE2E68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34.29.014</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4B3934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Лист крыши правый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824EAE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B543B9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97E047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14,5</w:t>
            </w:r>
          </w:p>
        </w:tc>
      </w:tr>
      <w:tr w:rsidR="007D5DF8" w:rsidRPr="00DB5D0D" w14:paraId="5E5908DF"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0F6D242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9115FC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34.29.015</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A93830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Лист крыши левый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6816461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98B89B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392F158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14,5</w:t>
            </w:r>
          </w:p>
        </w:tc>
      </w:tr>
      <w:tr w:rsidR="007D5DF8" w:rsidRPr="00DB5D0D" w14:paraId="650A277F"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8B63B6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2111FC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34 29.017</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05FCF4D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люка кормы</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5449333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73DD84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3A9E46A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68,5</w:t>
            </w:r>
          </w:p>
        </w:tc>
      </w:tr>
      <w:tr w:rsidR="007D5DF8" w:rsidRPr="00DB5D0D" w14:paraId="3741ED61" w14:textId="77777777" w:rsidTr="009223E5">
        <w:trPr>
          <w:trHeight w:val="16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519A2C5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2A50E4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34.29.021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1229F5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Защита картера правая</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1848117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FD1FC6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5CD123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40</w:t>
            </w:r>
          </w:p>
        </w:tc>
      </w:tr>
      <w:tr w:rsidR="007D5DF8" w:rsidRPr="00DB5D0D" w14:paraId="5E62F11A"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773C6AB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3D5FAF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34.29.022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2308C61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Защита картера левая</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22A458B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5EB4D3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EFD81A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40</w:t>
            </w:r>
          </w:p>
        </w:tc>
      </w:tr>
      <w:tr w:rsidR="007D5DF8" w:rsidRPr="00DB5D0D" w14:paraId="0EA3E100"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4C856C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4B5CC1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34.29.023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2D633FE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Колпак выхлопной трубы</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53969D6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5421BCF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2D5AC77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24.7</w:t>
            </w:r>
          </w:p>
        </w:tc>
      </w:tr>
      <w:tr w:rsidR="007D5DF8" w:rsidRPr="00DB5D0D" w14:paraId="6E3213E2"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3FFB87A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F8F020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34.29.024-1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C4DBEE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^ышка передней правой шахты</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6DA08CA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3402D5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1017700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8</w:t>
            </w:r>
          </w:p>
        </w:tc>
      </w:tr>
      <w:tr w:rsidR="007D5DF8" w:rsidRPr="00DB5D0D" w14:paraId="7C60728C"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231C6A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A9ED0C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34.29.025-1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9BB5F0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передней левой шахты</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43913A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CB43A3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492A71E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8</w:t>
            </w:r>
          </w:p>
        </w:tc>
      </w:tr>
      <w:tr w:rsidR="007D5DF8" w:rsidRPr="00DB5D0D" w14:paraId="52580DE9"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B17579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18</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9877FD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34.29.026</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0E4021F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люка в днище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D64BA4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2C4C228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FD6110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17.9</w:t>
            </w:r>
          </w:p>
        </w:tc>
      </w:tr>
      <w:tr w:rsidR="007D5DF8" w:rsidRPr="00DB5D0D" w14:paraId="3E228392"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71A91D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19</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15AAC8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34.29.027</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E9A217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среднего люка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3A03C64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DD9592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63EB13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12,57</w:t>
            </w:r>
          </w:p>
        </w:tc>
      </w:tr>
      <w:tr w:rsidR="007D5DF8" w:rsidRPr="00DB5D0D" w14:paraId="67205159"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D1E4F0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ECABB5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34.29.028</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62813BB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заднего люка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12DBB54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1C6B65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0F4F0FD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3.66</w:t>
            </w:r>
          </w:p>
        </w:tc>
      </w:tr>
      <w:tr w:rsidR="007D5DF8" w:rsidRPr="00DB5D0D" w14:paraId="2397797C"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5DDDA8C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BA0FE9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34.29.029</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0A548D7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наливного люка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68C43CE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B60B9D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8C5493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0,53</w:t>
            </w:r>
          </w:p>
        </w:tc>
      </w:tr>
      <w:tr w:rsidR="007D5DF8" w:rsidRPr="00DB5D0D" w14:paraId="4A04232C"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051C591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B92DFC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34.29.035</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C9F00D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Задний лист крыши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3AF069D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4190AE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3FC37FA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20,3</w:t>
            </w:r>
          </w:p>
        </w:tc>
      </w:tr>
      <w:tr w:rsidR="007D5DF8" w:rsidRPr="00DB5D0D" w14:paraId="2E1A314D"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BC6271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BD6DB4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34.29.037</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CA7DE0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Створю жалюзи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6EFEAB0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AF52E7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B04B17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w:t>
            </w:r>
          </w:p>
        </w:tc>
      </w:tr>
      <w:tr w:rsidR="007D5DF8" w:rsidRPr="00DB5D0D" w14:paraId="4AA77EC9"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3DE21AA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624938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34.29.044</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643C008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наливного люка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6CEDF3A4"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7FA8D34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0ABE895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3,45</w:t>
            </w:r>
          </w:p>
        </w:tc>
      </w:tr>
      <w:tr w:rsidR="007D5DF8" w:rsidRPr="00DB5D0D" w14:paraId="2BA09B83" w14:textId="77777777" w:rsidTr="009223E5">
        <w:trPr>
          <w:trHeight w:val="16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6B7B6F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0F3FD2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34.29.050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4B44651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лкжа мотора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19E6F09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BA94E9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3937C58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50</w:t>
            </w:r>
          </w:p>
        </w:tc>
      </w:tr>
      <w:tr w:rsidR="007D5DF8" w:rsidRPr="00DB5D0D" w14:paraId="18B53151"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B7ACC8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26</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1052C0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34.29.038</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7E76482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Накладка днища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1ABBE56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55D62D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AA5763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18,1</w:t>
            </w:r>
          </w:p>
        </w:tc>
      </w:tr>
      <w:tr w:rsidR="007D5DF8" w:rsidRPr="00DB5D0D" w14:paraId="18E631D2"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7A31A44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D7805F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34.29.052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6088D9C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Правый колпак</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7D1757F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0397AE0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CFBF4A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106</w:t>
            </w:r>
          </w:p>
        </w:tc>
      </w:tr>
      <w:tr w:rsidR="007D5DF8" w:rsidRPr="00DB5D0D" w14:paraId="7C498D34"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5211F5C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28</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60E4E0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3429 053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DD5072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Левый колпак</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307FAF5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2D759BF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13ECBE3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106</w:t>
            </w:r>
          </w:p>
        </w:tc>
      </w:tr>
      <w:tr w:rsidR="007D5DF8" w:rsidRPr="00DB5D0D" w14:paraId="120AC00C"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CBB0C9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29</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EDDAFC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34.29.054</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9AD395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Экран фыши правый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57E76F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FA75EF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2F3E7A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19</w:t>
            </w:r>
          </w:p>
        </w:tc>
      </w:tr>
      <w:tr w:rsidR="007D5DF8" w:rsidRPr="00DB5D0D" w14:paraId="59B77458"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1763FD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07BC66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34.29.055</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777A9E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Экран крыши левый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24BDAAD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B50664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670A00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19</w:t>
            </w:r>
          </w:p>
        </w:tc>
      </w:tr>
      <w:tr w:rsidR="007D5DF8" w:rsidRPr="00DB5D0D" w14:paraId="4CA17125"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6DF74B7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3177CA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34.29.058</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7716244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Основание шахты правое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2779A8A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0148F7C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75540B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12,3</w:t>
            </w:r>
          </w:p>
        </w:tc>
      </w:tr>
      <w:tr w:rsidR="007D5DF8" w:rsidRPr="00DB5D0D" w14:paraId="70DC4CC4"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687E7F9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7F2AEC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34.29.059</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4290FF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Основание шахты левое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6557B1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860532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4263270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12,3</w:t>
            </w:r>
          </w:p>
        </w:tc>
      </w:tr>
      <w:tr w:rsidR="007D5DF8" w:rsidRPr="00DB5D0D" w14:paraId="678FE808"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E7A01A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99D2BD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34.29.060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DA8CE3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Основание средней шахты левое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2FFB393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53CFDAA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803744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12,1</w:t>
            </w:r>
          </w:p>
        </w:tc>
      </w:tr>
      <w:tr w:rsidR="007D5DF8" w:rsidRPr="00DB5D0D" w14:paraId="7705231C"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6C575D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0477BE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34.29.061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4168ED8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Основание средней шахты правое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716C94F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6D9B30B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5A9328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12,1</w:t>
            </w:r>
          </w:p>
        </w:tc>
      </w:tr>
      <w:tr w:rsidR="007D5DF8" w:rsidRPr="00DB5D0D" w14:paraId="6FAF9AC7"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B20EBE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lastRenderedPageBreak/>
              <w:t>35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907953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34.29.062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2F4996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Крыша средней шахты правая</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CADDB4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4C160D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49AC3D1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10.6</w:t>
            </w:r>
          </w:p>
        </w:tc>
      </w:tr>
      <w:tr w:rsidR="007D5DF8" w:rsidRPr="00DB5D0D" w14:paraId="277C7492"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3ED1A9D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36</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C6CBBE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34.29.063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4272366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Фланец</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329D2BC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52A5A43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3799EF4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1.1</w:t>
            </w:r>
          </w:p>
        </w:tc>
      </w:tr>
      <w:tr w:rsidR="007D5DF8" w:rsidRPr="00DB5D0D" w14:paraId="5F42E58A"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6C90C45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8C99D3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34.29.064</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9A03B3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Крыша средней шахты левая</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530D763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67CFAC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43AD026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10,6</w:t>
            </w:r>
          </w:p>
        </w:tc>
      </w:tr>
      <w:tr w:rsidR="007D5DF8" w:rsidRPr="00DB5D0D" w14:paraId="278E2D7C"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46CC61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38</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BF8037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34.29.065</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74AB003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Днищеподкрылка правое первое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5F3533F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716BAA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E02AC0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68</w:t>
            </w:r>
          </w:p>
        </w:tc>
      </w:tr>
      <w:tr w:rsidR="007D5DF8" w:rsidRPr="00DB5D0D" w14:paraId="590603A0"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473B69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39</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6301F0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34.29.066</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6F22885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Днище подкрылка правое второе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1AD61C3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23047DD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E5D36A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67</w:t>
            </w:r>
          </w:p>
        </w:tc>
      </w:tr>
      <w:tr w:rsidR="007D5DF8" w:rsidRPr="00DB5D0D" w14:paraId="4240EB9B"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56C5E71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13E5E2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34.29.067-1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0ADE17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Днище подкрылка левое третье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39B07FE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326CFA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42F814C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67,2</w:t>
            </w:r>
          </w:p>
        </w:tc>
      </w:tr>
      <w:tr w:rsidR="007D5DF8" w:rsidRPr="00DB5D0D" w14:paraId="298E9870"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F9B7BB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AE4FBB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34.29.069</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D9A2B3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Днище подкрылка левое первое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7E79E27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24F182C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033429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68</w:t>
            </w:r>
          </w:p>
        </w:tc>
      </w:tr>
      <w:tr w:rsidR="007D5DF8" w:rsidRPr="00DB5D0D" w14:paraId="6FD7E253"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5E7AC4A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6D6E47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34.29.070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D0803C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Днище подкрылка левое второе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57867D0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5D77602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47B1174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67</w:t>
            </w:r>
          </w:p>
        </w:tc>
      </w:tr>
      <w:tr w:rsidR="007D5DF8" w:rsidRPr="00DB5D0D" w14:paraId="4D8B3205"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81285E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9A8FE5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34.29.071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332F5C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Днище подкрылка правое третье</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50B8B6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66F03D3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296973C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68</w:t>
            </w:r>
          </w:p>
        </w:tc>
      </w:tr>
      <w:tr w:rsidR="007D5DF8" w:rsidRPr="00DB5D0D" w14:paraId="75B21F04"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700AC16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7AA999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34.29.375</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6D2CB1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Кольцо</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2FC4E7C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2FFD65C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2736A05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2.7</w:t>
            </w:r>
          </w:p>
        </w:tc>
      </w:tr>
      <w:tr w:rsidR="007D5DF8" w:rsidRPr="00DB5D0D" w14:paraId="69885DC0"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D5CCE7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C6AA34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34.29.655</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2207673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продольных жалюзи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110E687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70CB6B4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46DEB9B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17.65</w:t>
            </w:r>
          </w:p>
        </w:tc>
      </w:tr>
      <w:tr w:rsidR="007D5DF8" w:rsidRPr="00DB5D0D" w14:paraId="2F26E6C1"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F8183A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46</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6A3EBD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34.29.759</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299B78F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люка водителя</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C7C57B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593F272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6CF060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78</w:t>
            </w:r>
          </w:p>
        </w:tc>
      </w:tr>
      <w:tr w:rsidR="007D5DF8" w:rsidRPr="00DB5D0D" w14:paraId="0EA8F2FE"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026F340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F2C006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34.29.849</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618660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Лист крыши над мотором</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10F1FF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C4B1A0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2831843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145.2</w:t>
            </w:r>
          </w:p>
        </w:tc>
      </w:tr>
      <w:tr w:rsidR="007D5DF8" w:rsidRPr="00DB5D0D" w14:paraId="158D6E18"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027EADA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48</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0D9908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34.29.850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458B4EB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lang w:val="ru-RU"/>
              </w:rPr>
            </w:pPr>
            <w:r w:rsidRPr="00DB5D0D">
              <w:rPr>
                <w:b w:val="0"/>
                <w:bCs w:val="0"/>
                <w:color w:val="000000" w:themeColor="text1"/>
                <w:sz w:val="16"/>
                <w:szCs w:val="16"/>
                <w:lang w:val="ru-RU"/>
              </w:rPr>
              <w:t>Лист крыши над мотором правый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C58672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67A096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02C6894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55,2</w:t>
            </w:r>
          </w:p>
        </w:tc>
      </w:tr>
      <w:tr w:rsidR="007D5DF8" w:rsidRPr="00DB5D0D" w14:paraId="5B3CA65F"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6DC5478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49</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45577A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34.29.851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DDC46A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lang w:val="ru-RU"/>
              </w:rPr>
            </w:pPr>
            <w:r w:rsidRPr="00DB5D0D">
              <w:rPr>
                <w:b w:val="0"/>
                <w:bCs w:val="0"/>
                <w:color w:val="000000" w:themeColor="text1"/>
                <w:sz w:val="16"/>
                <w:szCs w:val="16"/>
                <w:lang w:val="ru-RU"/>
              </w:rPr>
              <w:t>Лист крыши над мотором левый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268FD16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766160F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10D1C9F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55</w:t>
            </w:r>
          </w:p>
        </w:tc>
      </w:tr>
      <w:tr w:rsidR="007D5DF8" w:rsidRPr="00DB5D0D" w14:paraId="438849E3"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0C76E7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DE5B0E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34.29.852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2FC0A0C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Стыковая планка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BE4CCB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638F04F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00BF3CB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5,84</w:t>
            </w:r>
          </w:p>
        </w:tc>
      </w:tr>
      <w:tr w:rsidR="007D5DF8" w:rsidRPr="00DB5D0D" w14:paraId="6C280F84"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5E875F6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A640B3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34.29.877-1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B0E650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Верхняя часть носа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32461AD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680F33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BFF4C8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110</w:t>
            </w:r>
          </w:p>
        </w:tc>
      </w:tr>
      <w:tr w:rsidR="007D5DF8" w:rsidRPr="00DB5D0D" w14:paraId="3683D2CF"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57E81C6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E97B44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34.29.878</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CECCFF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Планка стыковая правая</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3F39A2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736D154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3AD5C8C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6.97</w:t>
            </w:r>
          </w:p>
        </w:tc>
      </w:tr>
      <w:tr w:rsidR="007D5DF8" w:rsidRPr="00DB5D0D" w14:paraId="7B423BF0"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7A3B0D3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677C64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34.29.879</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7BFEB25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Планка стыковая левая</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750D7D7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2192220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E2F64F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4,35</w:t>
            </w:r>
          </w:p>
        </w:tc>
      </w:tr>
      <w:tr w:rsidR="007D5DF8" w:rsidRPr="00DB5D0D" w14:paraId="5F6C05A2"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3702541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F617BA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34.29.904</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09D0B7F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Лист носа верхний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272D541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100EC4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B74158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C33AB60"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E210D4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506B56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34.29.905</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4D69359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Лист носа нижний</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583A86A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584D6EF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2DA7DF7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D93FAE4"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054233A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56</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7C3725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3429.906</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00065F0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Литая балка носа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F7961B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EA5B9B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6D17C2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3928FB07" w14:textId="77777777" w:rsidTr="009223E5">
        <w:trPr>
          <w:trHeight w:val="163"/>
        </w:trPr>
        <w:tc>
          <w:tcPr>
            <w:tcW w:w="6529" w:type="dxa"/>
            <w:gridSpan w:val="6"/>
            <w:tcBorders>
              <w:top w:val="single" w:sz="6" w:space="0" w:color="auto"/>
              <w:left w:val="single" w:sz="6" w:space="0" w:color="auto"/>
              <w:bottom w:val="single" w:sz="6" w:space="0" w:color="auto"/>
              <w:right w:val="single" w:sz="6" w:space="0" w:color="auto"/>
            </w:tcBorders>
            <w:shd w:val="clear" w:color="auto" w:fill="FFFFFF"/>
          </w:tcPr>
          <w:p w14:paraId="110CF53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БАШНЯ</w:t>
            </w:r>
          </w:p>
        </w:tc>
      </w:tr>
      <w:tr w:rsidR="007D5DF8" w:rsidRPr="00DB5D0D" w14:paraId="034C1F44"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74331B8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7B3D7A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34.30.001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79659BD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Лобовой лист башни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A18E72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8682E1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0FBDE6C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250</w:t>
            </w:r>
          </w:p>
        </w:tc>
      </w:tr>
      <w:tr w:rsidR="007D5DF8" w:rsidRPr="00DB5D0D" w14:paraId="6D2E5553"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A58308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44B313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34.30.006-1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3AC115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Передняя обичайка башни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B21912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61C9F2C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1B74DC2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101</w:t>
            </w:r>
          </w:p>
        </w:tc>
      </w:tr>
      <w:tr w:rsidR="007D5DF8" w:rsidRPr="00DB5D0D" w14:paraId="1B208A2A"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58C41D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0C6DC8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34.30.007-2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805FCF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Задняя обичайка баиии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58C6106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170319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082C009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197</w:t>
            </w:r>
          </w:p>
        </w:tc>
      </w:tr>
      <w:tr w:rsidR="007D5DF8" w:rsidRPr="00DB5D0D" w14:paraId="703A7068"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4A611BC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A73E68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34.30.008-1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B5EBFB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Передний лист крыши башни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1CED11E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DD425D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EBC133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46</w:t>
            </w:r>
          </w:p>
        </w:tc>
      </w:tr>
      <w:tr w:rsidR="007D5DF8" w:rsidRPr="00DB5D0D" w14:paraId="10F56FE0"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0CF74BE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627BC2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34.30.009-2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D69F8D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Днище ниши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257C0D5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2317EBF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7C523A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75</w:t>
            </w:r>
          </w:p>
        </w:tc>
      </w:tr>
      <w:tr w:rsidR="007D5DF8" w:rsidRPr="00DB5D0D" w14:paraId="7F75449E"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32D18C5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6</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C00ABC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34.30.010-1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0CB05E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лкжа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77AD43A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D086ED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791624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68</w:t>
            </w:r>
          </w:p>
        </w:tc>
      </w:tr>
      <w:tr w:rsidR="007D5DF8" w:rsidRPr="00DB5D0D" w14:paraId="7E1FC6B4"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50D64C0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82F47F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34.30.011-2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8E7A02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Дверца ниши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8F7A31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5F38F95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27C2FAE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78</w:t>
            </w:r>
          </w:p>
        </w:tc>
      </w:tr>
      <w:tr w:rsidR="007D5DF8" w:rsidRPr="00DB5D0D" w14:paraId="12A6F0B9"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416EB5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8</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E4F3D8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34.30.014</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60F7299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Заглушка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504959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BEBEA7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448DE56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1,83</w:t>
            </w:r>
          </w:p>
        </w:tc>
      </w:tr>
      <w:tr w:rsidR="007D5DF8" w:rsidRPr="00DB5D0D" w14:paraId="75B43C56"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96D9B3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9</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CE739D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34.30.015</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7DA27F7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Воротник люка вентиляции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5E00BF0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5DADAF2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B2496A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2,4</w:t>
            </w:r>
          </w:p>
        </w:tc>
      </w:tr>
      <w:tr w:rsidR="007D5DF8" w:rsidRPr="00DB5D0D" w14:paraId="4D750A32"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E7BADF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9CCFCC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34.30017-1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809117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Задний лист крыши башни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2EEEDEA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CE0E59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AD4B6C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23</w:t>
            </w:r>
          </w:p>
        </w:tc>
      </w:tr>
      <w:tr w:rsidR="007D5DF8" w:rsidRPr="00DB5D0D" w14:paraId="696949C1"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E14FD9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651C3D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34.30.018-2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29D26F6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Правый лист башни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908EF5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6D3323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F3AAF7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460</w:t>
            </w:r>
          </w:p>
        </w:tc>
      </w:tr>
      <w:tr w:rsidR="007D5DF8" w:rsidRPr="00DB5D0D" w14:paraId="041E9BB9"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073F6AC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6F0ED5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34.30.019-2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03CE55F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Левый лист башни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1DC5788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BAE37B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259C9C2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460</w:t>
            </w:r>
          </w:p>
        </w:tc>
      </w:tr>
      <w:tr w:rsidR="007D5DF8" w:rsidRPr="00DB5D0D" w14:paraId="6B110BE8"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548B3B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12447F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34 30.117</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7E943D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Колпак люка вентиляции</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6ADD689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B02A45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3F66EFF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4.75</w:t>
            </w:r>
          </w:p>
        </w:tc>
      </w:tr>
      <w:tr w:rsidR="007D5DF8" w:rsidRPr="00DB5D0D" w14:paraId="27D6638E"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0802A51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883324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34.30.192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0C2D858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Накладка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967249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4F38B5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E34BA2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7.75</w:t>
            </w:r>
          </w:p>
        </w:tc>
      </w:tr>
      <w:tr w:rsidR="007D5DF8" w:rsidRPr="00DB5D0D" w14:paraId="04941067" w14:textId="77777777" w:rsidTr="009223E5">
        <w:trPr>
          <w:trHeight w:val="16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66B5FBF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E8F906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34.30.1903-1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14A4050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Щиток</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7360D0C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64354A5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B71B75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4,44</w:t>
            </w:r>
          </w:p>
        </w:tc>
      </w:tr>
      <w:tr w:rsidR="007D5DF8" w:rsidRPr="00DB5D0D" w14:paraId="7A980072" w14:textId="77777777" w:rsidTr="009223E5">
        <w:trPr>
          <w:trHeight w:val="154"/>
        </w:trPr>
        <w:tc>
          <w:tcPr>
            <w:tcW w:w="6529" w:type="dxa"/>
            <w:gridSpan w:val="6"/>
            <w:tcBorders>
              <w:top w:val="single" w:sz="6" w:space="0" w:color="auto"/>
              <w:left w:val="single" w:sz="6" w:space="0" w:color="auto"/>
              <w:bottom w:val="single" w:sz="6" w:space="0" w:color="auto"/>
              <w:right w:val="single" w:sz="6" w:space="0" w:color="auto"/>
            </w:tcBorders>
            <w:shd w:val="clear" w:color="auto" w:fill="FFFFFF"/>
          </w:tcPr>
          <w:p w14:paraId="3F45FA1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ЗАЩИТА ВООРУЖЕНИЯ</w:t>
            </w:r>
          </w:p>
        </w:tc>
      </w:tr>
      <w:tr w:rsidR="007D5DF8" w:rsidRPr="00DB5D0D" w14:paraId="55D32DF1"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3456092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3AAF59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34.31.001</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309D61F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Корпус заицты Л-11</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20C37FE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070F2FA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CA3752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58</w:t>
            </w:r>
          </w:p>
        </w:tc>
      </w:tr>
      <w:tr w:rsidR="007D5DF8" w:rsidRPr="00DB5D0D" w14:paraId="0C6F4668"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196544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F2C574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34.31.002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031D01B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Лобовая крышка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AD7381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7D8FEB8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154B7FB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44</w:t>
            </w:r>
          </w:p>
        </w:tc>
      </w:tr>
      <w:tr w:rsidR="007D5DF8" w:rsidRPr="00DB5D0D" w14:paraId="690B58F7"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23ECBCBB"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C11073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34.31.003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444E5BB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Привинтной щит</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0D213EB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F6EE384"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6C1B294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30</w:t>
            </w:r>
          </w:p>
        </w:tc>
      </w:tr>
      <w:tr w:rsidR="007D5DF8" w:rsidRPr="00DB5D0D" w14:paraId="6ED72E88"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7360E35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6FEFBE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34.31.008</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F13228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Заслонка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7C20DC8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3B8089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162D9C7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0,28</w:t>
            </w:r>
          </w:p>
        </w:tc>
      </w:tr>
      <w:tr w:rsidR="007D5DF8" w:rsidRPr="00DB5D0D" w14:paraId="5A961C4C"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5020F9F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C2140A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34.31.043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42B9558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Щит маски Л-11</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5B12EB3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7FD7832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09CEB8D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44</w:t>
            </w:r>
          </w:p>
        </w:tc>
      </w:tr>
      <w:tr w:rsidR="007D5DF8" w:rsidRPr="00DB5D0D" w14:paraId="61A4DC68" w14:textId="77777777" w:rsidTr="009223E5">
        <w:trPr>
          <w:trHeight w:val="158"/>
        </w:trPr>
        <w:tc>
          <w:tcPr>
            <w:tcW w:w="6529" w:type="dxa"/>
            <w:gridSpan w:val="6"/>
            <w:tcBorders>
              <w:top w:val="single" w:sz="6" w:space="0" w:color="auto"/>
              <w:left w:val="single" w:sz="6" w:space="0" w:color="auto"/>
              <w:bottom w:val="single" w:sz="6" w:space="0" w:color="auto"/>
              <w:right w:val="single" w:sz="6" w:space="0" w:color="auto"/>
            </w:tcBorders>
            <w:shd w:val="clear" w:color="auto" w:fill="FFFFFF"/>
          </w:tcPr>
          <w:p w14:paraId="4BC863A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ПРОЧЕЕ</w:t>
            </w:r>
          </w:p>
        </w:tc>
      </w:tr>
      <w:tr w:rsidR="007D5DF8" w:rsidRPr="00DB5D0D" w14:paraId="7217FF50"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0CA8659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34E033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34.11.002</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2DEE32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ведущего колеса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BBDE8A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4F93F895"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7AB44DC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3,3</w:t>
            </w:r>
          </w:p>
        </w:tc>
      </w:tr>
      <w:tr w:rsidR="007D5DF8" w:rsidRPr="00DB5D0D" w14:paraId="33F92395" w14:textId="77777777" w:rsidTr="009223E5">
        <w:trPr>
          <w:trHeight w:val="15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1DAA996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4CAAE59"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34.12.003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5E8F6831"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Диск поддерживающего колеса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3E9D142A"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2B1B6C78"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8</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61D0FEF"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29,2</w:t>
            </w:r>
          </w:p>
        </w:tc>
      </w:tr>
      <w:tr w:rsidR="007D5DF8" w:rsidRPr="00DB5D0D" w14:paraId="365D6F47" w14:textId="77777777" w:rsidTr="009223E5">
        <w:trPr>
          <w:trHeight w:val="163"/>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77D6EA36"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AE406B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34.12.013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68E25FF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поддерживающего колеса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4F8762A3"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10</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17DFE900"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03FA5A0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5,5</w:t>
            </w:r>
          </w:p>
        </w:tc>
      </w:tr>
      <w:tr w:rsidR="007D5DF8" w:rsidRPr="00DB5D0D" w14:paraId="3131F2A6" w14:textId="77777777" w:rsidTr="009223E5">
        <w:trPr>
          <w:trHeight w:val="178"/>
        </w:trPr>
        <w:tc>
          <w:tcPr>
            <w:tcW w:w="509" w:type="dxa"/>
            <w:tcBorders>
              <w:top w:val="single" w:sz="6" w:space="0" w:color="auto"/>
              <w:left w:val="single" w:sz="6" w:space="0" w:color="auto"/>
              <w:bottom w:val="single" w:sz="6" w:space="0" w:color="auto"/>
              <w:right w:val="single" w:sz="6" w:space="0" w:color="auto"/>
            </w:tcBorders>
            <w:shd w:val="clear" w:color="auto" w:fill="FFFFFF"/>
          </w:tcPr>
          <w:p w14:paraId="3982C65E"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900DA3D"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34.15.006</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14:paraId="60C14B0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Крышка ленивца</w:t>
            </w:r>
          </w:p>
        </w:tc>
        <w:tc>
          <w:tcPr>
            <w:tcW w:w="706" w:type="dxa"/>
            <w:tcBorders>
              <w:top w:val="single" w:sz="6" w:space="0" w:color="auto"/>
              <w:left w:val="single" w:sz="6" w:space="0" w:color="auto"/>
              <w:bottom w:val="single" w:sz="6" w:space="0" w:color="auto"/>
              <w:right w:val="single" w:sz="6" w:space="0" w:color="auto"/>
            </w:tcBorders>
            <w:shd w:val="clear" w:color="auto" w:fill="FFFFFF"/>
          </w:tcPr>
          <w:p w14:paraId="7268F2FC"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w:t>
            </w:r>
          </w:p>
        </w:tc>
        <w:tc>
          <w:tcPr>
            <w:tcW w:w="946" w:type="dxa"/>
            <w:tcBorders>
              <w:top w:val="single" w:sz="6" w:space="0" w:color="auto"/>
              <w:left w:val="single" w:sz="6" w:space="0" w:color="auto"/>
              <w:bottom w:val="single" w:sz="6" w:space="0" w:color="auto"/>
              <w:right w:val="single" w:sz="6" w:space="0" w:color="auto"/>
            </w:tcBorders>
            <w:shd w:val="clear" w:color="auto" w:fill="FFFFFF"/>
          </w:tcPr>
          <w:p w14:paraId="3F3E8F67"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20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14:paraId="5E1044F2" w14:textId="77777777" w:rsidR="00A25AD1" w:rsidRPr="00DB5D0D" w:rsidRDefault="00A25AD1" w:rsidP="00DB5D0D">
            <w:pPr>
              <w:pStyle w:val="131"/>
              <w:shd w:val="clear" w:color="auto" w:fill="auto"/>
              <w:spacing w:before="0" w:line="240" w:lineRule="auto"/>
              <w:jc w:val="both"/>
              <w:rPr>
                <w:b w:val="0"/>
                <w:bCs w:val="0"/>
                <w:color w:val="000000" w:themeColor="text1"/>
                <w:sz w:val="16"/>
                <w:szCs w:val="16"/>
              </w:rPr>
            </w:pPr>
            <w:r w:rsidRPr="00DB5D0D">
              <w:rPr>
                <w:b w:val="0"/>
                <w:bCs w:val="0"/>
                <w:color w:val="000000" w:themeColor="text1"/>
                <w:sz w:val="16"/>
                <w:szCs w:val="16"/>
              </w:rPr>
              <w:t>5,06</w:t>
            </w:r>
          </w:p>
        </w:tc>
      </w:tr>
    </w:tbl>
    <w:p w14:paraId="64369202" w14:textId="77777777" w:rsidR="00A25AD1" w:rsidRPr="00DB5D0D" w:rsidRDefault="00A25AD1" w:rsidP="00DB5D0D">
      <w:pPr>
        <w:pStyle w:val="a3"/>
        <w:rPr>
          <w:color w:val="000000" w:themeColor="text1"/>
          <w:lang w:val="ru-RU"/>
        </w:rPr>
      </w:pPr>
      <w:r w:rsidRPr="00DB5D0D">
        <w:rPr>
          <w:color w:val="000000" w:themeColor="text1"/>
          <w:lang w:val="ru-RU"/>
        </w:rPr>
        <w:t>Кроме работ по оптимизации конструкции броневых деталей, в мае-июне 1940 г. специалисты опытного отдела завода №183 ак</w:t>
      </w:r>
      <w:r w:rsidRPr="00DB5D0D">
        <w:rPr>
          <w:color w:val="000000" w:themeColor="text1"/>
          <w:lang w:val="ru-RU"/>
        </w:rPr>
        <w:softHyphen/>
        <w:t>тивно вели работы по улучшению боевых и эксплуатационных ка</w:t>
      </w:r>
      <w:r w:rsidRPr="00DB5D0D">
        <w:rPr>
          <w:color w:val="000000" w:themeColor="text1"/>
          <w:lang w:val="ru-RU"/>
        </w:rPr>
        <w:softHyphen/>
        <w:t>честв танка Т-34. В частности, в середине мая состоялись испыта</w:t>
      </w:r>
      <w:r w:rsidRPr="00DB5D0D">
        <w:rPr>
          <w:color w:val="000000" w:themeColor="text1"/>
          <w:lang w:val="ru-RU"/>
        </w:rPr>
        <w:softHyphen/>
        <w:t>ния системы механического сервоуправления, разработанной кон</w:t>
      </w:r>
      <w:r w:rsidRPr="00DB5D0D">
        <w:rPr>
          <w:color w:val="000000" w:themeColor="text1"/>
          <w:lang w:val="ru-RU"/>
        </w:rPr>
        <w:softHyphen/>
        <w:t>структором КБ 520 П.П. Васильевым.</w:t>
      </w:r>
    </w:p>
    <w:p w14:paraId="1C8C506A" w14:textId="77777777" w:rsidR="00A25AD1" w:rsidRPr="00DB5D0D" w:rsidRDefault="00A25AD1" w:rsidP="00DB5D0D">
      <w:pPr>
        <w:pStyle w:val="a3"/>
        <w:rPr>
          <w:color w:val="000000" w:themeColor="text1"/>
          <w:lang w:val="ru-RU"/>
        </w:rPr>
      </w:pPr>
      <w:r w:rsidRPr="00DB5D0D">
        <w:rPr>
          <w:color w:val="000000" w:themeColor="text1"/>
          <w:lang w:val="ru-RU"/>
        </w:rPr>
        <w:t>В предлагаемой системе сервоуправления уменьшение усилий, прилагаемых водителем к органам управления машиной во время движения, достигалось механическим путем благодаря взаимодей</w:t>
      </w:r>
      <w:r w:rsidRPr="00DB5D0D">
        <w:rPr>
          <w:color w:val="000000" w:themeColor="text1"/>
          <w:lang w:val="ru-RU"/>
        </w:rPr>
        <w:softHyphen/>
        <w:t>ствию системы рычагов и вспомогательных пружин. Сервопривод действовал при выключении бортовых фрикционов и при затяжке тормозных лент рычагами. Кроме того, изменением конструкции воз</w:t>
      </w:r>
      <w:r w:rsidRPr="00DB5D0D">
        <w:rPr>
          <w:color w:val="000000" w:themeColor="text1"/>
          <w:lang w:val="ru-RU"/>
        </w:rPr>
        <w:softHyphen/>
        <w:t>вратных пружин на тормозных тягах было снижено усилие, прилага</w:t>
      </w:r>
      <w:r w:rsidRPr="00DB5D0D">
        <w:rPr>
          <w:color w:val="000000" w:themeColor="text1"/>
          <w:lang w:val="ru-RU"/>
        </w:rPr>
        <w:softHyphen/>
        <w:t>емое к педали горного тормоза при торможении. Эту систему пла</w:t>
      </w:r>
      <w:r w:rsidRPr="00DB5D0D">
        <w:rPr>
          <w:color w:val="000000" w:themeColor="text1"/>
          <w:lang w:val="ru-RU"/>
        </w:rPr>
        <w:softHyphen/>
        <w:t>нировалось устанавливать на серийные танки вместо пневматичес</w:t>
      </w:r>
      <w:r w:rsidRPr="00DB5D0D">
        <w:rPr>
          <w:color w:val="000000" w:themeColor="text1"/>
          <w:lang w:val="ru-RU"/>
        </w:rPr>
        <w:softHyphen/>
        <w:t>кого сервоуправления, показавшего себя не с лучшей стороны во время войсковых испытаний опытных образцов Т-34 (11904).</w:t>
      </w:r>
    </w:p>
    <w:p w14:paraId="4DF5A562" w14:textId="77777777" w:rsidR="00A25AD1" w:rsidRPr="00DB5D0D" w:rsidRDefault="00A25AD1" w:rsidP="00DB5D0D">
      <w:pPr>
        <w:pStyle w:val="a3"/>
        <w:rPr>
          <w:color w:val="000000" w:themeColor="text1"/>
          <w:lang w:val="ru-RU"/>
        </w:rPr>
      </w:pPr>
    </w:p>
    <w:p w14:paraId="63D687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 была подготовлена Сводка о подготовке производства танка Т-34, направленная военпредом Козыревым в АБТУ КА:</w:t>
      </w:r>
    </w:p>
    <w:p w14:paraId="380F9C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«ТЕХНОЛОГИЯ.</w:t>
      </w:r>
    </w:p>
    <w:p w14:paraId="49F7D7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Спроектировано приспособлений и штампов первой очереди (1400 наименований) по изготовлению их особых изменений по отношению к сводке от 10/У1 не произошло. Изготовление штампов, приспособлений и спец. инструмента задерживают заводы: ГАЗ, СТЗ, 1-й ГПЗ и ХТЗ, которые должны изготовить более 1000 наименований приспособлений и штампов, но изготовленных еще нет.</w:t>
      </w:r>
    </w:p>
    <w:p w14:paraId="44227A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К1/УП все техпроцессы первой очереди с нормалей будут спущены в производство и к 1/У11 - 2-я очередь.</w:t>
      </w:r>
    </w:p>
    <w:p w14:paraId="79C198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Капитальное строительство до сих пор полностью не развернуто. Строительные организации не имеют достаточного количества рабсилы, принимаются меры по вербовке рабсилы в других областях и нет достаточного количества строительных материалов. Материалы согласно решения Правительства еще не поступают.</w:t>
      </w:r>
    </w:p>
    <w:p w14:paraId="12F2FC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имеется полных 16 комплектов брони и 5 комплектов не полных.</w:t>
      </w:r>
    </w:p>
    <w:p w14:paraId="0ED227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Сварено корпусов 7. башен 3. в сварке корпусов 3. башен 7 (не считая отправленных на СТЗ 1 корпус и 1 башня), машин в сборе 5.</w:t>
      </w:r>
    </w:p>
    <w:p w14:paraId="2F4C79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Договор на поставку брони с Мар[иупольского]завода заключен 15/У1 Марзавод отказался изготавливать из литой брони детали 34-29-019 передняя зашита ДТ и детали 34-16-003 крышка бортовой передачи. Необходимо влияние на Марзавод через НКСМ.</w:t>
      </w:r>
    </w:p>
    <w:p w14:paraId="23DA06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СТЗ из 90 наименований заготовок и деталей не выполнил ничего, траков должен поставить к 1/УШ 11100 шт., на 25/УГ отгрузил всего 200 шт.</w:t>
      </w:r>
    </w:p>
    <w:p w14:paraId="7E441B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Обрезиненных бандажей колес есть всего на 4 машины и на 6 машин бандажей для заливки направлено заводу «Кр. Треугольник». На последующие машины бандажи будут изготавливать заводы: Людиновский. «Проводник», Ивторфмаш. Заливку должен производить «ЯРАК».</w:t>
      </w:r>
    </w:p>
    <w:p w14:paraId="15DA11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стартерам СТ-700 нет никакой обеспеченности, первая партия 5 шт. оказалась негодная, необходимо принять срочные меры по улучшению конструкции и выпуску.</w:t>
      </w:r>
    </w:p>
    <w:p w14:paraId="69E22C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изготовлению подшипников на 1-й ГПЗ №№ 1494, 1495 и 1496 задания не дано, подшипники №№ 1494 и 1496 будут поставлены серийные. № 1495 пока будет изготавливать завод № 183, в дальнейшем необходимо добиться изготовление его на 1-м ГПЗ.</w:t>
      </w:r>
    </w:p>
    <w:p w14:paraId="24E203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Номенклатура запчастей по А-34 будет разработана к 15/ХИ, наставление оп А-34 к 1/Х, каталог запчастей к 1/Х1, инструкция I часть по маш. А-34 разработана, для согласования 26/У1 направляется в АБТУ.</w:t>
      </w:r>
    </w:p>
    <w:p w14:paraId="0DA913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отработки укладки возимого комплекта на маш. Прошу срочно выслать табель личного имущества экипажа и опись ЗИПа».</w:t>
      </w:r>
    </w:p>
    <w:p w14:paraId="2A539A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результате, в июне 1940 года завод № 183 сумел предъявить представителям военной приемки всего 4 танка Т-34, которые были приняты. В конце месяца Мариупольский завод начал освоение производства так называемых «расширенных» башен. На них, по сравнению с «узкими» башнями (изготавливались по образцу </w:t>
      </w:r>
      <w:r w:rsidRPr="00DB5D0D">
        <w:rPr>
          <w:rFonts w:ascii="Times New Roman" w:hAnsi="Times New Roman"/>
          <w:color w:val="000000" w:themeColor="text1"/>
          <w:sz w:val="16"/>
          <w:szCs w:val="16"/>
        </w:rPr>
        <w:lastRenderedPageBreak/>
        <w:t>башен опытных А-34). которые шли на машины установочной партии линию изгиба бортов сдвинули к корме. В результате этого изменилась конструкция крыши и башенного люка. Кроме того, прямоугольной броневой накладкой усилили места сочленения лобового и бортовых листов корпуса. Пока не удалось найти информации о том, сколько всего танков Т-34 получили «узкую» башню, однако их вряд ли могло быть больше 10 - 15 штук (а скорее всего меньше). Подтверждением этого может служить фото танка № 811-78 - пятой по счету серийной машины - на которой уже установлена «расширенная» башня.</w:t>
      </w:r>
    </w:p>
    <w:p w14:paraId="645EA3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Причиной невыполнения июньской программы являлась не готовность приспособлений, штампов, мерительного инструмента, а также не законченная реконструкция цехов завода № 183, о чем военпред Козырев сообщал в АБТУ КА письмом от 5 июля 1940 года:</w:t>
      </w:r>
    </w:p>
    <w:p w14:paraId="1DA39C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«Проектирование приспособлений и штампов первой очереди к 1/УП не закончено, спроектировано 1600 наименований, для изготовления спущено 1400 наименований.</w:t>
      </w:r>
    </w:p>
    <w:p w14:paraId="28B59B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 183 изготовлено 330 наименований, из коих по отделу 100 испытано и принято на производство 42 наименования, по отделу 700 - 11 наименований.</w:t>
      </w:r>
    </w:p>
    <w:p w14:paraId="5A11DE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Надругихзаводахзаказано 540наименований, выполненных нет, за исключением: на СТЗ изготовлено 13 наименований.</w:t>
      </w:r>
    </w:p>
    <w:p w14:paraId="7A896F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Техпроцессы разработкой закончены, пронормировано 80% и спущены в цеха.</w:t>
      </w:r>
    </w:p>
    <w:p w14:paraId="05970B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 и мерительный инструмент вновь спроектировано 520 наименований, из коих заказано 500 наименований. Старой номенклатуры900наименований изготовлено 250 наименований. Изгот-ние инструмента на других заводах идет крайне неудовлетворительно из-за недостатка инструментальных сталей.</w:t>
      </w:r>
    </w:p>
    <w:p w14:paraId="0EAF35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капитальномустроительству: запуск первого тяжелого пролета для сварки корпусов в отделе 700, как намечалось по плану к 20ДГ, не закончен. Кран установлен, идет установка станочных плит и другие внутренние работы в первой половине Июля должны быть сданы в эксплуатацию.</w:t>
      </w:r>
    </w:p>
    <w:p w14:paraId="72AE6C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Июня развернулись работы по строительству второго пролета в отделе 700. Строительство должно быть закончено к 15ДИ Остальные работы по капстроительству и реконструкции не начаты из-за недостатка материалов ирабсилы.</w:t>
      </w:r>
    </w:p>
    <w:p w14:paraId="287901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Июльь мес. завод запланировал кроме 20 шт. программных машин собрать еще дополнительно в отделе 100 - 5 машин</w:t>
      </w:r>
    </w:p>
    <w:p w14:paraId="453EF8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имеется 23 комплекта брони, считая с первых 10 машин. В сборе 2 корпуса и 6 башен, собрано всего корпус ов 9 шт., башен 6 шт.</w:t>
      </w:r>
    </w:p>
    <w:p w14:paraId="1BDC20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машины А-34 без башен отправлены 3ДП заводу № 8. По основным вопросам особых изменений по отношению к сводкам от 25ДТ и 2ДП нет.</w:t>
      </w:r>
    </w:p>
    <w:p w14:paraId="66CB25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срочно выслать табель личного имущества и опись ЗИПа вооружения» (12217).</w:t>
      </w:r>
    </w:p>
    <w:p w14:paraId="1A62FBB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25EDE1D"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25 июня 1940</w:t>
      </w:r>
    </w:p>
    <w:p w14:paraId="6C7BE170"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67847CE5"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1 </w:t>
      </w:r>
    </w:p>
    <w:p w14:paraId="60B85D18"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25/VI 1940 г. </w:t>
      </w:r>
    </w:p>
    <w:p w14:paraId="1BD83DE2"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3226 </w:t>
      </w:r>
    </w:p>
    <w:p w14:paraId="51CACA9C"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АБТУ КА</w:t>
      </w:r>
    </w:p>
    <w:p w14:paraId="6BCBB5C2"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 Москва</w:t>
      </w:r>
    </w:p>
    <w:p w14:paraId="0108D3AF"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Директору Завода № 183</w:t>
      </w:r>
    </w:p>
    <w:p w14:paraId="4AAD8BF5"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 Харьков</w:t>
      </w:r>
    </w:p>
    <w:p w14:paraId="7EDF165C"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Военпреду АБТУ КА на Заводе № 183</w:t>
      </w:r>
    </w:p>
    <w:p w14:paraId="4F69C35A"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 Харьков</w:t>
      </w:r>
    </w:p>
    <w:p w14:paraId="27783E52"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 этом препровождаем 2 протокола технических совещаний на Заводе им. Ильича от 12/VI-с/г. по вопросу предъявленных Заводом им. Ильича претензий к Заводу № 183 по новым чертежам деталей машины А-34. </w:t>
      </w:r>
    </w:p>
    <w:p w14:paraId="4AFB9579"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Приложение: упомянутое на 4-х листах. </w:t>
      </w:r>
    </w:p>
    <w:p w14:paraId="30A219F3"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Штамп "Начальник Производственно-Технического Отдела" подпись</w:t>
      </w:r>
    </w:p>
    <w:p w14:paraId="55CA54B2"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4 экз. </w:t>
      </w:r>
    </w:p>
    <w:p w14:paraId="4E200D33"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Перепелица </w:t>
      </w:r>
    </w:p>
    <w:p w14:paraId="3EA743E1"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1176 листы 143 – 144</w:t>
      </w:r>
    </w:p>
    <w:p w14:paraId="31E3ED39"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ДЛЯ СЛУЖЕБНОГО ПОЛЬЗОВАНИЯ</w:t>
      </w:r>
    </w:p>
    <w:p w14:paraId="10107F6C"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ПРОТОКОЛ</w:t>
      </w:r>
    </w:p>
    <w:p w14:paraId="63F5124C"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Совещания представителей Завода № 183 тов. Таршинова М.И. и Завода им. Ильича тов. Заседского Г.Ф.</w:t>
      </w:r>
    </w:p>
    <w:p w14:paraId="4BCBD310"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 12 июня 1940 г.</w:t>
      </w:r>
    </w:p>
    <w:p w14:paraId="656CE467"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Предъявленные Заводом им. Ильича претензии к заводу № 183 по новым чертежам деталей А-34 решены представленными 12/VI-40 г. чертежами Завода № 183. Помимо этого, в процессе дальнейшего производства деталей на заводе им. Ильича возникла необходимость постановки дополнительных претензий к заводу № 183, кои и были поставлены на заседании тов. Заседским и приняты представителем завода № 183 тов. Таршиновым, а именно: </w:t>
      </w:r>
    </w:p>
    <w:p w14:paraId="1D832A39"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По детали 34-29-877-1 отменить фаску под углом 22° в щелях для смотровых приборов, и заменить прямой стенкой с галтелью R = 5 мм. </w:t>
      </w:r>
    </w:p>
    <w:p w14:paraId="4BF78846"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этой же детали отменить выфрезеровку углубления под петлю (112×295×10) и заменить площадкой аналогичных размеров, проверенной резцом и цилиндрической фрезеровкой фрезой R = 19 мм на длине 295 мм. </w:t>
      </w:r>
    </w:p>
    <w:p w14:paraId="7233CEC7"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По детали 34-29-007 расширить допуск на размер 548,5 и 559,5 до величины ± 4 мм вместо ± 2 мм. </w:t>
      </w:r>
    </w:p>
    <w:p w14:paraId="489090F8"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Таршинов с предложенным согласен, при допуске на собранном корпусе уступа до 4 мм между дет. 34-29-007 и 34-29-008 со снятием фаски. </w:t>
      </w:r>
    </w:p>
    <w:p w14:paraId="6D164A7D"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По детали 34-29-850 и 851 вместо наварки бонки для удобства сверловки допустить для той же цели вместо наплавки подфрезеровку в плоскости, перпендикулярной оси сверления. </w:t>
      </w:r>
    </w:p>
    <w:p w14:paraId="0B3499CB"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той же детали установить на размер 41 мм допуск + 3 мм. </w:t>
      </w:r>
    </w:p>
    <w:p w14:paraId="7BFCC84D"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 детали 34-29-849 установить на размер 141 мм допуск ± 3 мм вместо + 1 – 2. </w:t>
      </w:r>
    </w:p>
    <w:p w14:paraId="2B9D1DB9"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той же детали на размеры 500 мм и 800 мм установить допуск + 0,5 – 1,5 мм вместо + 0,5 мм. </w:t>
      </w:r>
    </w:p>
    <w:p w14:paraId="4589FD7A"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той же детали установить неприлегание по сегменту до 6 мм вместо 5 мм. </w:t>
      </w:r>
    </w:p>
    <w:p w14:paraId="59CDFECB"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По деталям 34-29-065 до 071 сверловку и приемку отверстий производить по специальному кондуктору в сыром состоянии. </w:t>
      </w:r>
    </w:p>
    <w:p w14:paraId="4EB4AAE8"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По деталям 34-29-005 и 34-29-006 вместо радиусной фаски (R = 18 мм) по сечению ВГ установить фаску м катетами 18х18 мм при угле 45°. </w:t>
      </w:r>
    </w:p>
    <w:p w14:paraId="040D551C"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По детали 34-29-008 допускается смещение эллипса в отв. под выхлопную трубу с тыльной стороны на ± 3,0 мм. </w:t>
      </w:r>
    </w:p>
    <w:p w14:paraId="0E86C9F3"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ГЛАВНЫЙ ИНЖЕНЕР З-ДА ИМ. ИЛЬИЧА подпись (Ниценко) </w:t>
      </w:r>
    </w:p>
    <w:p w14:paraId="63FE1A49"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 ПРОИЗВ. ТЕХ. ОТД. ЗАВОДА подпись (Арехов) </w:t>
      </w:r>
    </w:p>
    <w:p w14:paraId="26434667"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 ВОЕНПРЕД АБТУ КА Военинженер 2-го ранга подпись (Зухер) </w:t>
      </w:r>
    </w:p>
    <w:p w14:paraId="7DF095C3"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Представитель завода № 183 подпись 16.VI.40 (Таршинов) </w:t>
      </w:r>
    </w:p>
    <w:p w14:paraId="11AE4A76"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Представители з-да им. Ильича </w:t>
      </w:r>
    </w:p>
    <w:p w14:paraId="666B44A4"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 5 цеха подпись (Варфоломеев) </w:t>
      </w:r>
    </w:p>
    <w:p w14:paraId="3C353520"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Зам. Нач. 5 цеха подпись (Засецский)</w:t>
      </w:r>
    </w:p>
    <w:p w14:paraId="6043D587"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Изменения чертежей утверждаю. </w:t>
      </w:r>
    </w:p>
    <w:p w14:paraId="25639222"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п/п НАЧ. 8-ГО ОТДЕЛА АБТУ КА </w:t>
      </w:r>
    </w:p>
    <w:p w14:paraId="77E9E004"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ВОЕНИНЖЕНЕР 1-го РАНГА (Афонин) </w:t>
      </w:r>
    </w:p>
    <w:p w14:paraId="6243E619"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Верно: подпись </w:t>
      </w:r>
    </w:p>
    <w:p w14:paraId="61DF359B"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7 экз. </w:t>
      </w:r>
    </w:p>
    <w:p w14:paraId="4B18640F" w14:textId="77777777" w:rsidR="00E47691" w:rsidRPr="00DB5D0D" w:rsidRDefault="00E4769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1176 лист 142</w:t>
      </w:r>
      <w:r w:rsidRPr="00DB5D0D">
        <w:rPr>
          <w:rFonts w:ascii="Times New Roman" w:eastAsia="Times New Roman" w:hAnsi="Times New Roman"/>
          <w:color w:val="000000" w:themeColor="text1"/>
          <w:sz w:val="16"/>
          <w:szCs w:val="16"/>
          <w:lang w:eastAsia="ru-RU"/>
        </w:rPr>
        <w:t xml:space="preserve"> </w:t>
      </w:r>
    </w:p>
    <w:p w14:paraId="01C36ABF"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40E2C5F4"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ПРОТОКОЛ</w:t>
      </w:r>
    </w:p>
    <w:p w14:paraId="56D0EDB2"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Технического совещания по рассмотрению чертежей 183-го завода на составной нос и башню Т-34.</w:t>
      </w:r>
    </w:p>
    <w:p w14:paraId="283B9E28"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 12 июня 1940 г.</w:t>
      </w:r>
    </w:p>
    <w:p w14:paraId="122F2BDE"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ПРИСУТСТВОВАЛИ: </w:t>
      </w:r>
    </w:p>
    <w:p w14:paraId="36B29421"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Главный инженер завода – Ниценко </w:t>
      </w:r>
    </w:p>
    <w:p w14:paraId="7BE97D77"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ПТО – Арехов </w:t>
      </w:r>
    </w:p>
    <w:p w14:paraId="477F495F"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 8-го Отдела АБТУ КА Военинженер 1-го ранга – т. Афонин </w:t>
      </w:r>
    </w:p>
    <w:p w14:paraId="792EA730"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 Военпред АБТУ КА Военинженер II-го ранга – т. Зухер </w:t>
      </w:r>
    </w:p>
    <w:p w14:paraId="0DD0C8F0"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 Конструктор завода № 183 – т. Таршинов </w:t>
      </w:r>
    </w:p>
    <w:p w14:paraId="1DB95344"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цеха № 5 – т. Варфоломеев </w:t>
      </w:r>
    </w:p>
    <w:p w14:paraId="69BC1465"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Зам. Начальника цеха № 5 – т. Заседский </w:t>
      </w:r>
    </w:p>
    <w:p w14:paraId="6F674579"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По детали № 34-29-906 </w:t>
      </w:r>
    </w:p>
    <w:p w14:paraId="67E12A8A"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К изготовлению принять, при этом допускается углубление средней части по R-20 мм, делать по усмотрению Завода им. Ильича в зависимости от результатов термической обработки. </w:t>
      </w:r>
    </w:p>
    <w:p w14:paraId="4429EC70"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Маргосзаводу приступить к опытным работам по отливке деталей 29-906 и 29-905 заодно целое. </w:t>
      </w:r>
    </w:p>
    <w:p w14:paraId="17606BA4"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По деталям 34-30-018-2 и 34-30-019-2 к изготовлению принимаются с 38 комплекта. </w:t>
      </w:r>
    </w:p>
    <w:p w14:paraId="690E3C15"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По деталям №№ 34-30-007-2 и 34-30-006 Маргосзавод к изготовлению принимает и настаивает на расширение следующих допусков: по R-887 допустить местное неприлегание по сегменту на дуге 130° на участке длиной 120 мм не более 3 мм. </w:t>
      </w:r>
    </w:p>
    <w:p w14:paraId="6223D2BC"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По детали № 34-30-001 на размеры 270 и 286,6 изменить допуск до ± 3 мм вместо ± 2 мм. </w:t>
      </w:r>
    </w:p>
    <w:p w14:paraId="13585FB9"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В дальнейшем на 1940 г. для обеспечения выполнения программы заводы взаимно прекращают претензии на изменение конструкции деталей и допусков за исключением опытных работ. </w:t>
      </w:r>
    </w:p>
    <w:p w14:paraId="405D057D"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Главный инженер завода Ильича подпись (Ниценко) </w:t>
      </w:r>
    </w:p>
    <w:p w14:paraId="4BA8589D"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 8-го Отдела АБТУ КА Военинженер 1-го ранга (Афонин) </w:t>
      </w:r>
    </w:p>
    <w:p w14:paraId="145C4E76"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 ПРОИЗ. ТЕХ. ОТДЕЛА З-ДА подпись (Арехов) </w:t>
      </w:r>
    </w:p>
    <w:p w14:paraId="343ACD06"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 ВОЕНПРЕД АБТУ КА Военинженер II-го ранга подпись (Зухер) </w:t>
      </w:r>
    </w:p>
    <w:p w14:paraId="4ED835F2"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Ст. Конструктор завода № 183 подпись 16.VI.40 (Таршинов) </w:t>
      </w:r>
    </w:p>
    <w:p w14:paraId="579A6BCA"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 цеха № 5 подпись (Варфоломеев) </w:t>
      </w:r>
    </w:p>
    <w:p w14:paraId="5A260D48"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Зам. Нач. цеха № 5 подпись (Заседский)</w:t>
      </w:r>
    </w:p>
    <w:p w14:paraId="00D86863"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Отп. 7 экз.</w:t>
      </w:r>
    </w:p>
    <w:p w14:paraId="092960A8"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1176 листы 145 – 146</w:t>
      </w:r>
      <w:r w:rsidRPr="00DB5D0D">
        <w:rPr>
          <w:rFonts w:ascii="Times New Roman" w:eastAsia="Times New Roman" w:hAnsi="Times New Roman"/>
          <w:color w:val="000000" w:themeColor="text1"/>
          <w:sz w:val="16"/>
          <w:szCs w:val="16"/>
          <w:lang w:eastAsia="ru-RU"/>
        </w:rPr>
        <w:t xml:space="preserve"> (18076).</w:t>
      </w:r>
    </w:p>
    <w:p w14:paraId="136DB379" w14:textId="77777777" w:rsidR="007A1142" w:rsidRPr="00DB5D0D" w:rsidRDefault="007A1142" w:rsidP="00DB5D0D">
      <w:pPr>
        <w:spacing w:after="0" w:line="240" w:lineRule="auto"/>
        <w:jc w:val="both"/>
        <w:rPr>
          <w:rFonts w:ascii="Times New Roman" w:eastAsia="Times New Roman" w:hAnsi="Times New Roman"/>
          <w:color w:val="000000" w:themeColor="text1"/>
          <w:sz w:val="16"/>
          <w:szCs w:val="16"/>
          <w:lang w:eastAsia="ru-RU"/>
        </w:rPr>
      </w:pPr>
    </w:p>
    <w:p w14:paraId="728AEEE6"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25 июня 1940 года заработала доменная печь №1 НТМК мощностью до 430 тыс. тонн чугуна в год объемом 1100 кубических метров, а также были построены коксовая батарея и первая очередь ТЭЦ. Правда, до полноценного металлургического предприятия НТМК было еще далеко – не было дорог, кранов, складов, вспомогательных цехов, существовала проблема энергоснабжения. Все эти объекты строились параллельно с основным производством – домнами и мартеновским цехом.</w:t>
      </w:r>
    </w:p>
    <w:p w14:paraId="56FBF01E"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Из приказа Наркомстроя №141Н от 25.06.1940 г.:</w:t>
      </w:r>
    </w:p>
    <w:p w14:paraId="1A378931"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«Сталинская идея о превращении Урала во вторую металлургическую базу воплощается в жизнь…В отличии от строительства других наших гигантов металлургии – Магнитогорского и Кузнецкого – Ново-Тагильский завод построен исключительно силами советских специалистов и рабочих, по проектам советских инженеров и оснащен первоклассным оборудованием, изготовленном на предприятиях Советского Союза. В этом сказывается бурный расцвет нашей социалистической индустрии и высокая культура наших советских технических кадров». </w:t>
      </w:r>
    </w:p>
    <w:p w14:paraId="5F96CB8E"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На самом деле, собственного оборудования для металлургии остро не хватало. Производство стали и чугуна налаживалось медленно, поскольку достаточно часто случались аварии. Впрочем, высокая аварийность и низкая эффективность были бичом всей советской металлургии в 30-х годах. К примеру, практически еженедельно аварии происходили на Магнитогорском меткомбинате, а на Верх-Исетском заводе были случаи, когда за неделю случалось по 3-4 крупных ЧП. Строительство новых мощностей шло крайне медленно по сравнению с запланированными сроками. К примеру, в 1938-1942 годах в СССР предполагалось построить 23 новых домны, однако реально за первые три года III пятилетки (к концу 1940 года) было запущено с трудом лишь 5. Из 56 мартенов введено в эксплуатацию было лишь 10, а из 34 прокатных станов – только 7. В итоге прирост объемов производства в черной металлургии в 1940 году по сравнению с 1937 годом был мизерным – по чугуну на 1%, по стали – на 1,6%, по прокату – 0,8% (11514).</w:t>
      </w:r>
    </w:p>
    <w:p w14:paraId="370BED9D"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5FA77082" w14:textId="77777777" w:rsidR="00167809" w:rsidRPr="00DB5D0D" w:rsidRDefault="00167809" w:rsidP="00DB5D0D">
      <w:pPr>
        <w:pStyle w:val="af2"/>
        <w:jc w:val="both"/>
        <w:rPr>
          <w:i w:val="0"/>
          <w:iCs w:val="0"/>
          <w:color w:val="000000" w:themeColor="text1"/>
          <w:spacing w:val="0"/>
          <w:kern w:val="0"/>
          <w:position w:val="0"/>
          <w:sz w:val="16"/>
          <w:szCs w:val="16"/>
          <w:lang w:val="ru-RU"/>
        </w:rPr>
      </w:pPr>
      <w:r w:rsidRPr="00DB5D0D">
        <w:rPr>
          <w:i w:val="0"/>
          <w:color w:val="000000" w:themeColor="text1"/>
          <w:spacing w:val="0"/>
          <w:kern w:val="0"/>
          <w:position w:val="0"/>
          <w:sz w:val="16"/>
          <w:szCs w:val="16"/>
          <w:lang w:val="ru-RU"/>
        </w:rPr>
        <w:t>25 июня 1940 г. и</w:t>
      </w:r>
      <w:r w:rsidRPr="00DB5D0D">
        <w:rPr>
          <w:rStyle w:val="a7"/>
          <w:b w:val="0"/>
          <w:bCs w:val="0"/>
          <w:i w:val="0"/>
          <w:color w:val="000000" w:themeColor="text1"/>
          <w:spacing w:val="0"/>
          <w:kern w:val="0"/>
          <w:position w:val="0"/>
          <w:sz w:val="16"/>
          <w:szCs w:val="16"/>
          <w:lang w:val="ru-RU"/>
        </w:rPr>
        <w:t>з приказа Наркомстроя СССР № 141Н об окончании строительства и сдаче в эксплуатацию первой очереди Ново-Тагильского металлургического и коксохимического заводов</w:t>
      </w:r>
    </w:p>
    <w:p w14:paraId="35940837" w14:textId="77777777" w:rsidR="00167809" w:rsidRPr="00DB5D0D" w:rsidRDefault="001678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Строителями и монтажниками Ново-Тагильского металлургического и коксохимического заводов одержана большая победа. Построена, смонтирована и сдана в эксплуатацию первая очередь заводов в составе двух котлов, двух турбовоздуходувок, домны № 1 объемом 1100 куб. м со всем подсобным хозяйством, коксовой батареи № 2 с углеподготовкой, а также железнодорожного, электро- и энергохозяйства.</w:t>
      </w:r>
    </w:p>
    <w:p w14:paraId="0B0BE96B" w14:textId="77777777" w:rsidR="00167809" w:rsidRPr="00DB5D0D" w:rsidRDefault="001678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выполненные коллективом строителей и монтажников, Правительственная комиссия по приемке заводов признала в большинстве отличной и хорошей. Значительная часть работ выполнена в течение последних двух лет, когда было прекращено распыление сил и средств по многочисленным объектам и ликвидирована практика ведения работ рассыпным фронтом.</w:t>
      </w:r>
    </w:p>
    <w:p w14:paraId="630673A1" w14:textId="77777777" w:rsidR="00167809" w:rsidRPr="00DB5D0D" w:rsidRDefault="001678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Полный разворот строительства начался с сентября 1939 г., когда к работам были привлечены специализированные субподрядные организации и все силы направлены на первоочередные пусковые объекты. В результате этого страна получила два мощных завода; оживлен омертвленный в течение ряда лет капитал в 400 млн. руб.</w:t>
      </w:r>
    </w:p>
    <w:p w14:paraId="098EC574" w14:textId="77777777" w:rsidR="00167809" w:rsidRPr="00DB5D0D" w:rsidRDefault="001678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Коллектив строителей комбината, сдав в эксплуатацию домну № 1, теплоэлектроцентраль и коксовую батарею № 2, тем самым положил начало выполнению постановления XVIII съезда ВКП(б) о завершении в третьей пятилетке строительства Ново-Тагильского металлургического и коксохимического заводов.</w:t>
      </w:r>
    </w:p>
    <w:p w14:paraId="45399E13" w14:textId="77777777" w:rsidR="00167809" w:rsidRPr="00DB5D0D" w:rsidRDefault="001678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Получение первого кокса и чугуна на Ново-Тагильском коксохимическом и металлургическом заводах является праздником не только коллектива строителей, но и всего народа нашей страны. С нынешнего дня гиганты машиностроения - Уралвагонзавод и Уралмашзавод - будут получать чугун марки НТМЗ. Этим может гордиться каждый, вложивший свой труд в строительство комбината.</w:t>
      </w:r>
    </w:p>
    <w:p w14:paraId="4E721BD0" w14:textId="77777777" w:rsidR="00167809" w:rsidRPr="00DB5D0D" w:rsidRDefault="001678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Сталинская идея о превращении Урала во вторую металлургическую базу воплощается в жизнь. Чувство высокой ответственности, чувство советского патриотизма, любовь к Родине воодушевляли коллектив строителей и монтажников в борьбе за быстрейший пуск Ново-Тагильских заводов. В отличие от строительства других наших гигантов металлургии - Магнитогорского и Кузнецкого - Ново-Тагильские заводы построены исключительно силами советских специалистов и рабочих, по проектам советских инженеров и оснащены первоклассным оборудованием, изготовленным на заводах Советского Союза. В этом сказывается бурный расцвет нашей социалистической индустрии и высокая культура наших советских технических кадров.</w:t>
      </w:r>
    </w:p>
    <w:p w14:paraId="0AA1DD66" w14:textId="77777777" w:rsidR="00167809" w:rsidRPr="00DB5D0D" w:rsidRDefault="001678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Поздравляя коллектив строителей и монтажников коксохимического и металлургического заводов с успешным завершением строительства первой очереди, приказываю:</w:t>
      </w:r>
    </w:p>
    <w:p w14:paraId="7EB73591" w14:textId="77777777" w:rsidR="00167809" w:rsidRPr="00DB5D0D" w:rsidRDefault="001678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Объявить благодарность коллективам рабочих, инженерно-технических работников и служащих, принимавших участие в строительстве и монтаже заводов.</w:t>
      </w:r>
    </w:p>
    <w:p w14:paraId="558EFFA0" w14:textId="77777777" w:rsidR="00167809" w:rsidRPr="00DB5D0D" w:rsidRDefault="001678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Наградить следующих руководителей, стахановцев, инженерно-технических работников и служащих, особо отличившихся в борьбе за быстрейший пуск завода в эксплуатацию.</w:t>
      </w:r>
    </w:p>
    <w:p w14:paraId="69F17204" w14:textId="77777777" w:rsidR="00167809" w:rsidRPr="00DB5D0D" w:rsidRDefault="001678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по строительству С. Гинзбург</w:t>
      </w:r>
    </w:p>
    <w:p w14:paraId="6EAFFBEF" w14:textId="77777777" w:rsidR="00167809" w:rsidRPr="00DB5D0D" w:rsidRDefault="001678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ЦГАНХ СССР, ф. 8590, on. 2, д. 47, л. 80-80 об. Типогр. экз. (17395).</w:t>
      </w:r>
    </w:p>
    <w:p w14:paraId="70610305" w14:textId="77777777" w:rsidR="00167809" w:rsidRPr="00DB5D0D" w:rsidRDefault="00167809" w:rsidP="00DB5D0D">
      <w:pPr>
        <w:pStyle w:val="ae"/>
        <w:spacing w:before="0" w:after="0"/>
        <w:jc w:val="both"/>
        <w:rPr>
          <w:color w:val="000000" w:themeColor="text1"/>
          <w:sz w:val="16"/>
          <w:szCs w:val="16"/>
        </w:rPr>
      </w:pPr>
    </w:p>
    <w:p w14:paraId="54BDD91E" w14:textId="77777777" w:rsidR="00194340" w:rsidRPr="00DB5D0D" w:rsidRDefault="00194340"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25 июня</w:t>
      </w:r>
      <w:r w:rsidRPr="00DB5D0D">
        <w:rPr>
          <w:rFonts w:ascii="Times New Roman" w:hAnsi="Times New Roman"/>
          <w:color w:val="000000" w:themeColor="text1"/>
          <w:sz w:val="16"/>
          <w:szCs w:val="16"/>
        </w:rPr>
        <w:t xml:space="preserve"> в 1940 году выдает первый чугун Ново-Тагильский металлургический завод (город Нижний Тагил, Свердловская область) (14933).</w:t>
      </w:r>
    </w:p>
    <w:p w14:paraId="123F28F2" w14:textId="77777777" w:rsidR="00194340" w:rsidRPr="00DB5D0D" w:rsidRDefault="00194340" w:rsidP="00DB5D0D">
      <w:pPr>
        <w:spacing w:after="0" w:line="240" w:lineRule="auto"/>
        <w:jc w:val="both"/>
        <w:rPr>
          <w:rFonts w:ascii="Times New Roman" w:hAnsi="Times New Roman"/>
          <w:color w:val="000000" w:themeColor="text1"/>
          <w:sz w:val="16"/>
          <w:szCs w:val="16"/>
        </w:rPr>
      </w:pPr>
    </w:p>
    <w:p w14:paraId="1C12859D"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w:t>
      </w:r>
    </w:p>
    <w:p w14:paraId="0D9C8645"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150. Докладная записка начальника Артиллерийского управления Красной армии Г. К. Савченко секретарю ЦК ВКП(б) И. В. Сталину и председателю СНК СССР В. М. Молотову об обеспечении Красной армии новейшими приборами управления артиллерийским зенитным огнем</w:t>
      </w:r>
    </w:p>
    <w:p w14:paraId="48D7BB50"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1739D963"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618-619.</w:t>
      </w:r>
    </w:p>
    <w:p w14:paraId="21555EF8"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632905D1"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 З. Оп. 46. Д. 342. Л. 89-90. Подлинник.</w:t>
      </w:r>
    </w:p>
    <w:p w14:paraId="37D105D5"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68D98D39"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Комитета обороны за № 85сс от 25 февраля 1940 г. народным комиссарам судостроительной промышленности и общего машиностроения предложено изготовить в 1940 г. 74 прибора управления артиллерийским зенитным огнем и дать к 25 марта 1940 г. свои предложения по обеспечению производства приборов этого типа в 1941 г. из расчета: по Наркомату судостроительной  промышленности — 300 приборов, по Наркомату общего машиностроения — 200 приборов.</w:t>
      </w:r>
    </w:p>
    <w:p w14:paraId="7D0BC388"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Прошло три месяца, а этот актуальнейший вопрос вооружения зенитной артиллерией Красной армии лучшим современным прибором управления артиллерийским зенитным огнем до сего времени Комитетом обороны не разрешен. В связи с этим ни Наркомат судостроительной промышленности, ни Наркомат общего машиностроения не ведут никаких работ по подготовке производства этих приборов на 1941 г.</w:t>
      </w:r>
    </w:p>
    <w:p w14:paraId="475933F6"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этого, проектом, разработанным Комитетом обороны, предусматривается изготовление в 1941 г. только 400 приборов: по Наркомату судостроительной промышленности — 260 приборов и Наркомату общего машиностроения — 140 приборов, что не обеспечивает даже комплектование предположенных к выпуску в 1941 г. зенитных пушек.</w:t>
      </w:r>
    </w:p>
    <w:p w14:paraId="442B5270"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Минимальное количество, необходимое для зенитной артиллерии  Красной армии, исчисляется в 1 тыс. приборов, из них: для комплектации изготовляемых в 1941 г. пушек — 600 приборов и для замены устаревших приборов управления артиллерийским зенитным огнем (ПУАЗО “Вест IV”) — 400 приборов.</w:t>
      </w:r>
    </w:p>
    <w:p w14:paraId="4D066602"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Прощу Вашего личного вмешательства в разрешение данного вопроса, так как его затяжка поставила под угрозу снабжение зенитной артиллерии  Красной армии новыми современными приборами управления артиллерийским зенитным огнем.</w:t>
      </w:r>
    </w:p>
    <w:p w14:paraId="098433F8"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Артиллерийского управления Красной армии, генерал-майор артиллерииГ. Савченко[</w:t>
      </w:r>
      <w:hyperlink r:id="rId140"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w:t>
      </w:r>
    </w:p>
    <w:p w14:paraId="2FCA7162"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Резолюции: «Тов. Вознесенскому. Прошу обратить внимание на эту записку и быстренько двинуть дело вперед. И. Сталин»; «Тов. Горемыкину и Шафранову. Срок 2</w:t>
      </w:r>
      <w:r w:rsidRPr="00DB5D0D">
        <w:rPr>
          <w:rFonts w:ascii="Times New Roman" w:hAnsi="Times New Roman"/>
          <w:color w:val="000000" w:themeColor="text1"/>
          <w:sz w:val="16"/>
          <w:szCs w:val="16"/>
        </w:rPr>
        <w:noBreakHyphen/>
        <w:t>3 дня и доложить мне. 28 июня. Н. Вознесенский».</w:t>
      </w:r>
    </w:p>
    <w:p w14:paraId="046C909A"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Помета: «Вопрос решен постановлением КО № З66сс от 21 августа 1940 г.»</w:t>
      </w:r>
    </w:p>
    <w:p w14:paraId="53F408CF"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p w14:paraId="5402D520"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41"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Тому же вопросу посвящена докладная записка наркома ВМФ Н. Г. Кузнецова председателю СНК СССР В. М. Молотову и секретарю ЦК ВКП(б) И. В. Сталину от 6</w:t>
      </w:r>
      <w:r w:rsidRPr="00DB5D0D">
        <w:rPr>
          <w:rFonts w:ascii="Times New Roman" w:hAnsi="Times New Roman"/>
          <w:color w:val="000000" w:themeColor="text1"/>
          <w:sz w:val="16"/>
          <w:szCs w:val="16"/>
        </w:rPr>
        <w:noBreakHyphen/>
        <w:t>8 июля 1940 г. В ней говорилось: «До  1940 г. сдачу новых кораблей тормозила главным образом несвоевременная поставка приборов управления огнем вследствие недостатка производственных мощностей заводов, изготовляющих приборы. Все новые эсминцы и лидеры не имеют приборов управления зенитным и торпедным огнем. Отсутствие приборов управления зенитным огнем делает корабли совершенно беззащитными от атак самолетов, а отсутствие приборов управления торпедной стрельбой заставляет выходить корабли в атаку по способам времен первой империалистической войны. На 1941 г. затруднения с изготовлением приборов управления стрельбой принимают катастрофический характер...» В записке приведены примеры этих затруднений по конкретным заводам и внесены предложения: «1. Перевести  завод № 205 8</w:t>
      </w:r>
      <w:r w:rsidRPr="00DB5D0D">
        <w:rPr>
          <w:rFonts w:ascii="Times New Roman" w:hAnsi="Times New Roman"/>
          <w:color w:val="000000" w:themeColor="text1"/>
          <w:sz w:val="16"/>
          <w:szCs w:val="16"/>
        </w:rPr>
        <w:noBreakHyphen/>
        <w:t>го Главного управления НКСП полностью на изготовление морских приборов управления стрельбой. 2. Поручить Госплану СССР подыскать заводы, могущие быть использованными для изготовления морских  приборов управления стрельбой и передать их 8</w:t>
      </w:r>
      <w:r w:rsidRPr="00DB5D0D">
        <w:rPr>
          <w:rFonts w:ascii="Times New Roman" w:hAnsi="Times New Roman"/>
          <w:color w:val="000000" w:themeColor="text1"/>
          <w:sz w:val="16"/>
          <w:szCs w:val="16"/>
        </w:rPr>
        <w:noBreakHyphen/>
        <w:t>му Главному управлению НКСП». Прилагалась также таблица необходимой и имеющейся производственных мощностей. (АП РФ. Ф. 3. Оп. 46. Д. 555. Л. 157</w:t>
      </w:r>
      <w:r w:rsidRPr="00DB5D0D">
        <w:rPr>
          <w:rFonts w:ascii="Times New Roman" w:hAnsi="Times New Roman"/>
          <w:color w:val="000000" w:themeColor="text1"/>
          <w:sz w:val="16"/>
          <w:szCs w:val="16"/>
        </w:rPr>
        <w:noBreakHyphen/>
        <w:t>159; РГАСПИ. Ф. 82. Оп. 2. Д. 823. Л. 47-49.)</w:t>
      </w:r>
    </w:p>
    <w:p w14:paraId="0BB703FF"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 З. Оп. 46. Д. 342. Л. 89-90. Подлинник (17910).</w:t>
      </w:r>
    </w:p>
    <w:p w14:paraId="0720F92D" w14:textId="77777777" w:rsidR="004857DE" w:rsidRPr="00DB5D0D" w:rsidRDefault="004857DE" w:rsidP="00DB5D0D">
      <w:pPr>
        <w:spacing w:after="0" w:line="240" w:lineRule="auto"/>
        <w:jc w:val="both"/>
        <w:rPr>
          <w:rFonts w:ascii="Times New Roman" w:hAnsi="Times New Roman"/>
          <w:color w:val="000000" w:themeColor="text1"/>
          <w:sz w:val="16"/>
          <w:szCs w:val="16"/>
        </w:rPr>
      </w:pPr>
    </w:p>
    <w:p w14:paraId="1703D4EB" w14:textId="77777777" w:rsidR="00E83C71" w:rsidRPr="00DB5D0D" w:rsidRDefault="00E83C7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25 июня 1940 года были пущены первые тонны сумзовской меди. Эта дата считается днем рождения </w:t>
      </w:r>
      <w:r w:rsidRPr="00DB5D0D">
        <w:rPr>
          <w:rFonts w:ascii="Times New Roman" w:eastAsia="Times New Roman" w:hAnsi="Times New Roman"/>
          <w:bCs/>
          <w:color w:val="000000" w:themeColor="text1"/>
          <w:sz w:val="16"/>
          <w:szCs w:val="16"/>
          <w:lang w:eastAsia="ru-RU"/>
        </w:rPr>
        <w:t>Среднеуральского медеплавильного завода</w:t>
      </w:r>
      <w:r w:rsidRPr="00DB5D0D">
        <w:rPr>
          <w:rFonts w:ascii="Times New Roman" w:eastAsia="Times New Roman" w:hAnsi="Times New Roman"/>
          <w:color w:val="000000" w:themeColor="text1"/>
          <w:sz w:val="16"/>
          <w:szCs w:val="16"/>
          <w:lang w:eastAsia="ru-RU"/>
        </w:rPr>
        <w:t xml:space="preserve">. </w:t>
      </w:r>
    </w:p>
    <w:p w14:paraId="090BFD3D" w14:textId="77777777" w:rsidR="00E83C71" w:rsidRPr="00DB5D0D" w:rsidRDefault="00E83C7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Основателем Средуралмедьзавода, первым начальником строительства был Сергей Платонович Устинов,  директором завода был назначен  Евгений Николаевич  Никольский. В 1952 году завод возглавил Леонид Михайлович Леонов. При нем реконструируется обогатительная фабрика. В послевоенные годы из небольшого убыточного завода СУМЗ превратился в крупное  металлургическое  предприятие. </w:t>
      </w:r>
    </w:p>
    <w:p w14:paraId="2BFEB3AD" w14:textId="77777777" w:rsidR="00E83C71" w:rsidRPr="00DB5D0D" w:rsidRDefault="00E83C7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1964 году директором стал Иосиф Гевандович Саркисов. Главным событием тех лет является строительство и ввод  цеха двойного суперфосфата.</w:t>
      </w:r>
    </w:p>
    <w:p w14:paraId="653FB542" w14:textId="77777777" w:rsidR="00E83C71" w:rsidRPr="00DB5D0D" w:rsidRDefault="00E83C7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Леонид Александрович Смирнов руководил заводом двадцать лет с 1976 по 1996 годы. В 70-80-х годах на СУМЗе шло активное  строительство, техническое перевооружение вспомогательного производства, построена автодорога “Ревда-СУМЗ”. Главным  детищем Смирнова стал опытно-промышленный комплекс  плавки  меди  в  жидкой  ванне (ПЖВ). </w:t>
      </w:r>
    </w:p>
    <w:p w14:paraId="581994C5" w14:textId="77777777" w:rsidR="00185F69" w:rsidRPr="00DB5D0D" w:rsidRDefault="00E83C71" w:rsidP="00DB5D0D">
      <w:pPr>
        <w:pStyle w:val="ae"/>
        <w:spacing w:before="0" w:after="0"/>
        <w:jc w:val="both"/>
        <w:rPr>
          <w:rFonts w:eastAsia="Times New Roman"/>
          <w:color w:val="000000" w:themeColor="text1"/>
          <w:sz w:val="16"/>
          <w:szCs w:val="16"/>
          <w:lang w:eastAsia="ru-RU"/>
        </w:rPr>
      </w:pPr>
      <w:r w:rsidRPr="00DB5D0D">
        <w:rPr>
          <w:rFonts w:eastAsia="Times New Roman"/>
          <w:color w:val="000000" w:themeColor="text1"/>
          <w:sz w:val="16"/>
          <w:szCs w:val="16"/>
          <w:lang w:eastAsia="ru-RU"/>
        </w:rPr>
        <w:t>В 1992 году в соответствии с Указом Президента Российской Федерации № 721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предприятие «Среднеуральский медеплавильный завод» преобразовано в акционерное общество открытого типа. В 1996 году для приведения в соответствие с новым Гражданским кодексом Российской Федерации АООТ «Среднеуральский медеплавильный завод» было преобразовано в открытое акционерное общество</w:t>
      </w:r>
      <w:r w:rsidR="00185F69" w:rsidRPr="00DB5D0D">
        <w:rPr>
          <w:rFonts w:eastAsia="Times New Roman"/>
          <w:color w:val="000000" w:themeColor="text1"/>
          <w:sz w:val="16"/>
          <w:szCs w:val="16"/>
          <w:lang w:eastAsia="ru-RU"/>
        </w:rPr>
        <w:t>.</w:t>
      </w:r>
    </w:p>
    <w:p w14:paraId="686D23B4"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Август 1931 года</w:t>
      </w:r>
      <w:r w:rsidRPr="00DB5D0D">
        <w:rPr>
          <w:rFonts w:ascii="Times New Roman" w:eastAsia="Times New Roman" w:hAnsi="Times New Roman"/>
          <w:color w:val="000000" w:themeColor="text1"/>
          <w:sz w:val="16"/>
          <w:szCs w:val="16"/>
          <w:lang w:eastAsia="ru-RU"/>
        </w:rPr>
        <w:t xml:space="preserve"> — Правительственное Постановление о строительстве на Урале крупного медеплавильного комбината на базе Дегтярского месторождения медистых пиритов.</w:t>
      </w:r>
    </w:p>
    <w:p w14:paraId="3DFF9DF0"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Сентябрь 1931 года</w:t>
      </w:r>
      <w:r w:rsidRPr="00DB5D0D">
        <w:rPr>
          <w:rFonts w:ascii="Times New Roman" w:eastAsia="Times New Roman" w:hAnsi="Times New Roman"/>
          <w:color w:val="000000" w:themeColor="text1"/>
          <w:sz w:val="16"/>
          <w:szCs w:val="16"/>
          <w:lang w:eastAsia="ru-RU"/>
        </w:rPr>
        <w:t xml:space="preserve"> — специальная комиссия выбрала место для строительства комбината между Ревдой и Первоуральском.</w:t>
      </w:r>
    </w:p>
    <w:p w14:paraId="125AC919"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1933-1935 годы</w:t>
      </w:r>
      <w:r w:rsidRPr="00DB5D0D">
        <w:rPr>
          <w:rFonts w:ascii="Times New Roman" w:eastAsia="Times New Roman" w:hAnsi="Times New Roman"/>
          <w:color w:val="000000" w:themeColor="text1"/>
          <w:sz w:val="16"/>
          <w:szCs w:val="16"/>
          <w:lang w:eastAsia="ru-RU"/>
        </w:rPr>
        <w:t xml:space="preserve"> — строительство подсобных предприятий: кирпичного, деревообрабатывающего, ремонтно-механического заводов, щебеночного и каменного карьеров. Идет развитие железнодорожного транспорта, строится жилье и объекты соцкультбыта.</w:t>
      </w:r>
    </w:p>
    <w:p w14:paraId="3FE16D71"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27 июля 1937 года</w:t>
      </w:r>
      <w:r w:rsidRPr="00DB5D0D">
        <w:rPr>
          <w:rFonts w:ascii="Times New Roman" w:eastAsia="Times New Roman" w:hAnsi="Times New Roman"/>
          <w:color w:val="000000" w:themeColor="text1"/>
          <w:sz w:val="16"/>
          <w:szCs w:val="16"/>
          <w:lang w:eastAsia="ru-RU"/>
        </w:rPr>
        <w:t xml:space="preserve"> — введена в эксплуатацию первая секция обогатительной фабрики. была построена для переработки колчеданных медно-цинковых руд Дегтярского месторождения и введена в эксплуатацию.</w:t>
      </w:r>
    </w:p>
    <w:p w14:paraId="46306C14"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Январь 1938 года</w:t>
      </w:r>
      <w:r w:rsidRPr="00DB5D0D">
        <w:rPr>
          <w:rFonts w:ascii="Times New Roman" w:eastAsia="Times New Roman" w:hAnsi="Times New Roman"/>
          <w:color w:val="000000" w:themeColor="text1"/>
          <w:sz w:val="16"/>
          <w:szCs w:val="16"/>
          <w:lang w:eastAsia="ru-RU"/>
        </w:rPr>
        <w:t xml:space="preserve"> — создано управление Средуралмедькомбината (СУМКа). </w:t>
      </w:r>
    </w:p>
    <w:p w14:paraId="4AAF27E9"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1938 год</w:t>
      </w:r>
      <w:r w:rsidRPr="00DB5D0D">
        <w:rPr>
          <w:rFonts w:ascii="Times New Roman" w:eastAsia="Times New Roman" w:hAnsi="Times New Roman"/>
          <w:color w:val="000000" w:themeColor="text1"/>
          <w:sz w:val="16"/>
          <w:szCs w:val="16"/>
          <w:lang w:eastAsia="ru-RU"/>
        </w:rPr>
        <w:t xml:space="preserve"> — вступил в строй завод ксантогенатов, освоен выпуск ксантогената калия.</w:t>
      </w:r>
    </w:p>
    <w:p w14:paraId="3C9AFE05"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Апрель 1939 года</w:t>
      </w:r>
      <w:r w:rsidRPr="00DB5D0D">
        <w:rPr>
          <w:rFonts w:ascii="Times New Roman" w:eastAsia="Times New Roman" w:hAnsi="Times New Roman"/>
          <w:color w:val="000000" w:themeColor="text1"/>
          <w:sz w:val="16"/>
          <w:szCs w:val="16"/>
          <w:lang w:eastAsia="ru-RU"/>
        </w:rPr>
        <w:t xml:space="preserve"> — начала работу вторая секция обогатительной фабрики.</w:t>
      </w:r>
    </w:p>
    <w:p w14:paraId="210FE0A2"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1938-1940</w:t>
      </w:r>
      <w:r w:rsidRPr="00DB5D0D">
        <w:rPr>
          <w:rFonts w:ascii="Times New Roman" w:eastAsia="Times New Roman" w:hAnsi="Times New Roman"/>
          <w:color w:val="000000" w:themeColor="text1"/>
          <w:sz w:val="16"/>
          <w:szCs w:val="16"/>
          <w:lang w:eastAsia="ru-RU"/>
        </w:rPr>
        <w:t xml:space="preserve"> — строится медеплавильный завод.</w:t>
      </w:r>
    </w:p>
    <w:p w14:paraId="79296005"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Март 1939 года</w:t>
      </w:r>
      <w:r w:rsidRPr="00DB5D0D">
        <w:rPr>
          <w:rFonts w:ascii="Times New Roman" w:eastAsia="Times New Roman" w:hAnsi="Times New Roman"/>
          <w:color w:val="000000" w:themeColor="text1"/>
          <w:sz w:val="16"/>
          <w:szCs w:val="16"/>
          <w:lang w:eastAsia="ru-RU"/>
        </w:rPr>
        <w:t xml:space="preserve"> — СУМК переименован в СУМЗ.</w:t>
      </w:r>
    </w:p>
    <w:p w14:paraId="4355905C"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Июнь 1940 года</w:t>
      </w:r>
      <w:r w:rsidRPr="00DB5D0D">
        <w:rPr>
          <w:rFonts w:ascii="Times New Roman" w:eastAsia="Times New Roman" w:hAnsi="Times New Roman"/>
          <w:color w:val="000000" w:themeColor="text1"/>
          <w:sz w:val="16"/>
          <w:szCs w:val="16"/>
          <w:lang w:eastAsia="ru-RU"/>
        </w:rPr>
        <w:t xml:space="preserve"> — запущен в эксплуатацию медеплавильный цех завода. </w:t>
      </w:r>
    </w:p>
    <w:p w14:paraId="448FECAB"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1954-1957 года</w:t>
      </w:r>
      <w:r w:rsidRPr="00DB5D0D">
        <w:rPr>
          <w:rFonts w:ascii="Times New Roman" w:eastAsia="Times New Roman" w:hAnsi="Times New Roman"/>
          <w:color w:val="000000" w:themeColor="text1"/>
          <w:sz w:val="16"/>
          <w:szCs w:val="16"/>
          <w:lang w:eastAsia="ru-RU"/>
        </w:rPr>
        <w:t xml:space="preserve"> — восстановление и реконструкция 3-й секции обогатительной фабрики, которая в 1959 году переведена на селективную флотацию.</w:t>
      </w:r>
    </w:p>
    <w:p w14:paraId="60772E64"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Ноябрь 1960 года</w:t>
      </w:r>
      <w:r w:rsidRPr="00DB5D0D">
        <w:rPr>
          <w:rFonts w:ascii="Times New Roman" w:eastAsia="Times New Roman" w:hAnsi="Times New Roman"/>
          <w:color w:val="000000" w:themeColor="text1"/>
          <w:sz w:val="16"/>
          <w:szCs w:val="16"/>
          <w:lang w:eastAsia="ru-RU"/>
        </w:rPr>
        <w:t xml:space="preserve"> —  Постановление Совета Министров СССР о расширении и реконструкции завода.</w:t>
      </w:r>
    </w:p>
    <w:p w14:paraId="573B9D1A"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1960 год</w:t>
      </w:r>
      <w:r w:rsidRPr="00DB5D0D">
        <w:rPr>
          <w:rFonts w:ascii="Times New Roman" w:eastAsia="Times New Roman" w:hAnsi="Times New Roman"/>
          <w:color w:val="000000" w:themeColor="text1"/>
          <w:sz w:val="16"/>
          <w:szCs w:val="16"/>
          <w:lang w:eastAsia="ru-RU"/>
        </w:rPr>
        <w:t xml:space="preserve"> — завод впервые сработал рентабельно, дал 8,8 тыс. рублей.</w:t>
      </w:r>
    </w:p>
    <w:p w14:paraId="2506C211"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Июль 1963 года</w:t>
      </w:r>
      <w:r w:rsidRPr="00DB5D0D">
        <w:rPr>
          <w:rFonts w:ascii="Times New Roman" w:eastAsia="Times New Roman" w:hAnsi="Times New Roman"/>
          <w:color w:val="000000" w:themeColor="text1"/>
          <w:sz w:val="16"/>
          <w:szCs w:val="16"/>
          <w:lang w:eastAsia="ru-RU"/>
        </w:rPr>
        <w:t xml:space="preserve"> — введена в эксплуатацию 1-я очередь сернокислотного цеха Средуралмедьзавода.</w:t>
      </w:r>
    </w:p>
    <w:p w14:paraId="0F4FD4EE"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 августа 1963 года</w:t>
      </w:r>
      <w:r w:rsidRPr="00DB5D0D">
        <w:rPr>
          <w:rFonts w:ascii="Times New Roman" w:eastAsia="Times New Roman" w:hAnsi="Times New Roman"/>
          <w:color w:val="000000" w:themeColor="text1"/>
          <w:sz w:val="16"/>
          <w:szCs w:val="16"/>
          <w:lang w:eastAsia="ru-RU"/>
        </w:rPr>
        <w:t xml:space="preserve"> — выдана первая серная кислота СУМЗа.</w:t>
      </w:r>
    </w:p>
    <w:p w14:paraId="04A85E45"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Август 1964 года</w:t>
      </w:r>
      <w:r w:rsidRPr="00DB5D0D">
        <w:rPr>
          <w:rFonts w:ascii="Times New Roman" w:eastAsia="Times New Roman" w:hAnsi="Times New Roman"/>
          <w:color w:val="000000" w:themeColor="text1"/>
          <w:sz w:val="16"/>
          <w:szCs w:val="16"/>
          <w:lang w:eastAsia="ru-RU"/>
        </w:rPr>
        <w:t xml:space="preserve"> — введена 2-я очередь сернокислотного цеха.</w:t>
      </w:r>
    </w:p>
    <w:p w14:paraId="4A352C32" w14:textId="77777777" w:rsidR="00185F69" w:rsidRPr="00DB5D0D" w:rsidRDefault="00185F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1966 год</w:t>
      </w:r>
      <w:r w:rsidRPr="00DB5D0D">
        <w:rPr>
          <w:rFonts w:ascii="Times New Roman" w:eastAsia="Times New Roman" w:hAnsi="Times New Roman"/>
          <w:color w:val="000000" w:themeColor="text1"/>
          <w:sz w:val="16"/>
          <w:szCs w:val="16"/>
          <w:lang w:eastAsia="ru-RU"/>
        </w:rPr>
        <w:t xml:space="preserve"> — впервые в отрасли на заводе разработан план социального развития коллектива на 1966 – 1970 годы.</w:t>
      </w:r>
    </w:p>
    <w:p w14:paraId="74ED5DAA" w14:textId="77777777" w:rsidR="00E83C71" w:rsidRPr="00DB5D0D" w:rsidRDefault="00185F69" w:rsidP="00DB5D0D">
      <w:pPr>
        <w:pStyle w:val="ae"/>
        <w:spacing w:before="0" w:after="0"/>
        <w:jc w:val="both"/>
        <w:rPr>
          <w:color w:val="000000" w:themeColor="text1"/>
          <w:sz w:val="16"/>
          <w:szCs w:val="16"/>
        </w:rPr>
      </w:pPr>
      <w:r w:rsidRPr="00DB5D0D">
        <w:rPr>
          <w:rFonts w:eastAsia="Times New Roman"/>
          <w:bCs/>
          <w:color w:val="000000" w:themeColor="text1"/>
          <w:sz w:val="16"/>
          <w:szCs w:val="16"/>
          <w:lang w:eastAsia="ru-RU"/>
        </w:rPr>
        <w:t>1972 год</w:t>
      </w:r>
      <w:r w:rsidRPr="00DB5D0D">
        <w:rPr>
          <w:rFonts w:eastAsia="Times New Roman"/>
          <w:color w:val="000000" w:themeColor="text1"/>
          <w:sz w:val="16"/>
          <w:szCs w:val="16"/>
          <w:lang w:eastAsia="ru-RU"/>
        </w:rPr>
        <w:t xml:space="preserve"> — завершение реконструкции второй секции обогатительной фабрики (перевод ее на селективную флотацию).</w:t>
      </w:r>
      <w:r w:rsidR="00E83C71" w:rsidRPr="00DB5D0D">
        <w:rPr>
          <w:rFonts w:eastAsia="Times New Roman"/>
          <w:color w:val="000000" w:themeColor="text1"/>
          <w:sz w:val="16"/>
          <w:szCs w:val="16"/>
          <w:lang w:eastAsia="ru-RU"/>
        </w:rPr>
        <w:t xml:space="preserve"> (17411).</w:t>
      </w:r>
    </w:p>
    <w:p w14:paraId="512F4B5A" w14:textId="77777777" w:rsidR="00E83C71" w:rsidRPr="00DB5D0D" w:rsidRDefault="00E83C71" w:rsidP="00DB5D0D">
      <w:pPr>
        <w:pStyle w:val="ae"/>
        <w:spacing w:before="0" w:after="0"/>
        <w:jc w:val="both"/>
        <w:rPr>
          <w:color w:val="000000" w:themeColor="text1"/>
          <w:sz w:val="16"/>
          <w:szCs w:val="16"/>
        </w:rPr>
      </w:pPr>
    </w:p>
    <w:p w14:paraId="1E6A9AA2" w14:textId="77777777" w:rsidR="00194340" w:rsidRPr="00DB5D0D" w:rsidRDefault="00194340"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25 июня</w:t>
      </w:r>
      <w:r w:rsidRPr="00DB5D0D">
        <w:rPr>
          <w:rFonts w:ascii="Times New Roman" w:hAnsi="Times New Roman"/>
          <w:color w:val="000000" w:themeColor="text1"/>
          <w:sz w:val="16"/>
          <w:szCs w:val="16"/>
        </w:rPr>
        <w:t xml:space="preserve"> в 1940 году вошел в число действующих Среднеуральский медеплавильный завод (город Ревда, Свердловская область); теперь – ОАО «СУМЗ». Крупнейшее на Урале предприятие по выплавке меди из первичного сырья, производству из отходящих металлургических газов серной кислоты; на СУМЗе действуют крупнейшие в России сернокислотные и суперфосфатные производства (14933).</w:t>
      </w:r>
    </w:p>
    <w:p w14:paraId="7ABAF1A5" w14:textId="77777777" w:rsidR="00194340" w:rsidRPr="00DB5D0D" w:rsidRDefault="00194340" w:rsidP="00DB5D0D">
      <w:pPr>
        <w:spacing w:after="0" w:line="240" w:lineRule="auto"/>
        <w:jc w:val="both"/>
        <w:rPr>
          <w:rFonts w:ascii="Times New Roman" w:hAnsi="Times New Roman"/>
          <w:color w:val="000000" w:themeColor="text1"/>
          <w:sz w:val="16"/>
          <w:szCs w:val="16"/>
        </w:rPr>
      </w:pPr>
    </w:p>
    <w:p w14:paraId="70D53B01"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3F457D2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7DE9795" w14:textId="77777777" w:rsidR="006A5336" w:rsidRPr="00DB5D0D" w:rsidRDefault="006A533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25 июня</w:t>
      </w:r>
      <w:r w:rsidRPr="00DB5D0D">
        <w:rPr>
          <w:rFonts w:ascii="Times New Roman" w:hAnsi="Times New Roman"/>
          <w:color w:val="000000" w:themeColor="text1"/>
          <w:sz w:val="16"/>
          <w:szCs w:val="16"/>
        </w:rPr>
        <w:t xml:space="preserve"> в 1940 году вышло Постановление правительства "О реорганизации авиационных сил Красной Армии", которым предусматривалось формирование 106 новых авиаполков, включая 15 полков Дальней Авиации, а также перевооружение частей, оснащенных «ТБ-3». За 1940 год завод №18 выпустил 808 «ДБ-3Ф» и 555 «ДБ-3», завод №39 - соответственно 198 и 279, завод №126 - 100 «ДБ-3». Всего за год предприятия НКАП построили 10565 самолетов, в т.ч. 8392 боевых, что на 19,8% больше, чем в 1939 году (14933).</w:t>
      </w:r>
    </w:p>
    <w:p w14:paraId="616A103C" w14:textId="77777777" w:rsidR="006A5336" w:rsidRPr="00DB5D0D" w:rsidRDefault="006A5336" w:rsidP="00DB5D0D">
      <w:pPr>
        <w:spacing w:after="0" w:line="240" w:lineRule="auto"/>
        <w:jc w:val="both"/>
        <w:rPr>
          <w:rFonts w:ascii="Times New Roman" w:hAnsi="Times New Roman"/>
          <w:color w:val="000000" w:themeColor="text1"/>
          <w:sz w:val="16"/>
          <w:szCs w:val="16"/>
        </w:rPr>
      </w:pPr>
    </w:p>
    <w:p w14:paraId="3CFDB7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 вышло постановление Правительства "О реорганизации авиационных сил Красной Армии", которым предусматривалось формирование 106 новых авиаполков, включая 15 полков Дальней авиации, а также перевооружение частей, оснащенных ДБ-ЗФ, хотя и не в полном объеме соответствовал запросам ВВС, но был для того времени самолетом вполне современным. В его конструкцию постоянно вносились изменения, направленные на улучшение эксплуатационных качеств. Воевать на нем было не хуже и не лучше, чем на большинстве других советских самолетах того времени. Начало войны сразу выявило существенные тактические недостатки Ер-2: малую высотность и неспособность лететь горизонтально на одном моторе. Кроме того, он имел значительно большую трудоемкость изготовления. В результате предвоенный курс на свертывание выпуска ДБ-ЗФ в пользу Ер-2 пришлось радикально пересмотреть: высокая технологичность и низкая трудоемкость (она равнялась 12,5 тыс. часов, что было меньше, чем для Пе-2) ильюшинского бомбардировщика оказалась решающим доводом в пользу его массового выпуска. А вот выпускать его было негде. Воронежский завод был под ударами немецкой авиации и в любом случае подлежал эвакуации, московский 39-й был вывезен чуть позже (12037).</w:t>
      </w:r>
    </w:p>
    <w:p w14:paraId="6C6ACEF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8938C1C" w14:textId="77777777" w:rsidR="00B84839" w:rsidRPr="00DB5D0D" w:rsidRDefault="00B84839"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2F730409" w14:textId="77777777" w:rsidR="00B84839" w:rsidRPr="00DB5D0D" w:rsidRDefault="00B84839" w:rsidP="00DB5D0D">
      <w:pPr>
        <w:spacing w:after="0" w:line="240" w:lineRule="auto"/>
        <w:jc w:val="both"/>
        <w:rPr>
          <w:rFonts w:ascii="Times New Roman" w:hAnsi="Times New Roman"/>
          <w:iCs/>
          <w:color w:val="000000" w:themeColor="text1"/>
          <w:sz w:val="16"/>
          <w:szCs w:val="16"/>
        </w:rPr>
      </w:pPr>
    </w:p>
    <w:p w14:paraId="6A6E9C64" w14:textId="77777777" w:rsidR="00B84839" w:rsidRPr="00DB5D0D" w:rsidRDefault="00B8483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25 и 26 июня 1940 г. на заседании Политбюро ЦК ВКП(б) были рассмотрены вопросы о повышении трудовой дисциплины, об увеличении продолжительности рабочего дня и о переводе всех предприятий и учреждений на семидневную рабочую неделю, а также был заслушан проект обращения Всесоюзного Центрального Совета Профессиональных Союзов (ВЦСПС) </w:t>
      </w:r>
      <w:r w:rsidRPr="00DB5D0D">
        <w:rPr>
          <w:rFonts w:ascii="Times New Roman" w:hAnsi="Times New Roman"/>
          <w:iCs/>
          <w:color w:val="000000" w:themeColor="text1"/>
          <w:sz w:val="16"/>
          <w:szCs w:val="16"/>
        </w:rPr>
        <w:t>ко всем рабочим и работницам, инженерам, техникам и служащим, ко всем членам профессиональных союзов</w:t>
      </w:r>
      <w:r w:rsidRPr="00DB5D0D">
        <w:rPr>
          <w:rFonts w:ascii="Times New Roman" w:hAnsi="Times New Roman"/>
          <w:color w:val="000000" w:themeColor="text1"/>
          <w:sz w:val="16"/>
          <w:szCs w:val="16"/>
        </w:rPr>
        <w:t xml:space="preserve">. </w:t>
      </w:r>
    </w:p>
    <w:p w14:paraId="3072A157" w14:textId="77777777" w:rsidR="00B84839" w:rsidRPr="00DB5D0D" w:rsidRDefault="00B8483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отметить, что в СССР начиная с 1931 г. на большинстве предприятий и учреждений действовала шестидневная рабочая неделя («шестидневка») с фиксированными днями отдыха, приходившимися на 6, 12, 18, 24 и 30 число каждого месяца. При этом 1 марта использовалось вместо 30 февраля, а каждое 31 число являлось дополнительным рабочим днем. </w:t>
      </w:r>
    </w:p>
    <w:p w14:paraId="38A4477F" w14:textId="77777777" w:rsidR="00B84839" w:rsidRPr="00DB5D0D" w:rsidRDefault="00B8483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связи с тем, что заслушанный на заседании Политбюро проект обращения ВЦСПС ко всем трудящимся напрямую касался работников оборонной промышленности, участвовавших в оснащении Красной Армии современным вооружением</w:t>
      </w:r>
    </w:p>
    <w:p w14:paraId="11579228" w14:textId="77777777" w:rsidR="00B84839" w:rsidRPr="00DB5D0D" w:rsidRDefault="00B84839" w:rsidP="00DB5D0D">
      <w:pPr>
        <w:spacing w:after="0" w:line="240" w:lineRule="auto"/>
        <w:jc w:val="both"/>
        <w:rPr>
          <w:rFonts w:ascii="Times New Roman" w:hAnsi="Times New Roman"/>
          <w:color w:val="000000" w:themeColor="text1"/>
          <w:sz w:val="16"/>
          <w:szCs w:val="16"/>
        </w:rPr>
      </w:pPr>
    </w:p>
    <w:p w14:paraId="678EB2CA" w14:textId="77777777" w:rsidR="00CC36E5" w:rsidRPr="00DB5D0D" w:rsidRDefault="00CC36E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Газета "Московский транспортник" сообщала: "В связи с Указом Президиума Верховного Совета СССР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исполком Московского городского Совета установил новый порядок работы городского пассажирского транспорта, который уже вступил в силу со вчерашнего дня. В часы большой нагрузки от 6 до 10 часов утра и от 15 часов 30 минут до 20 часов - на линии выходит максимальное количество подвижного состава всех видов городского транспорта. Работа трамвая, троллейбусов и автобусов удлиняется на один час. Последние поезда и машины с конечных станций отправляются в 2 часа ночи. Ночное движение трамвая и автобусов сохраняется полностью. Первые трамваи и автобусы с конечных станций отправляются по-прежнему в 5 часов 30 минут утра, а троллейбусы и поезда метро - с 6 часов" (18701).</w:t>
      </w:r>
    </w:p>
    <w:p w14:paraId="686DDA4E" w14:textId="77777777" w:rsidR="00CC36E5" w:rsidRPr="00DB5D0D" w:rsidRDefault="00CC36E5" w:rsidP="00DB5D0D">
      <w:pPr>
        <w:spacing w:after="0" w:line="240" w:lineRule="auto"/>
        <w:jc w:val="both"/>
        <w:rPr>
          <w:rFonts w:ascii="Times New Roman" w:hAnsi="Times New Roman"/>
          <w:color w:val="000000" w:themeColor="text1"/>
          <w:sz w:val="16"/>
          <w:szCs w:val="16"/>
        </w:rPr>
      </w:pPr>
    </w:p>
    <w:p w14:paraId="595CC3E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56D3EEB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4D6DFE7"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25 июня 1940 года Шуленбург вернулся к проблеме немецких транспортных судов, теперь уже других, попросил Молотова «оказать содействие в их ремонте в Мурманске». И вновь советскому премьеру пришлось пойти навстречу столь, в общем, необременительной просьбе. На Мурманском судоремонтном заводе чистка котлов, отлаживание машин, осмотр кузовов заняли почти весь август. В первых числах сентября суда Германии наконец покинули советские воды (20467).</w:t>
      </w:r>
    </w:p>
    <w:p w14:paraId="42586421" w14:textId="77777777" w:rsidR="00D31A84" w:rsidRPr="00DB5D0D" w:rsidRDefault="00D31A84" w:rsidP="00DB5D0D">
      <w:pPr>
        <w:spacing w:after="0" w:line="240" w:lineRule="auto"/>
        <w:jc w:val="both"/>
        <w:rPr>
          <w:rFonts w:ascii="Times New Roman" w:hAnsi="Times New Roman"/>
          <w:color w:val="0070C0"/>
          <w:sz w:val="16"/>
          <w:szCs w:val="16"/>
        </w:rPr>
      </w:pPr>
    </w:p>
    <w:p w14:paraId="54061D34"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 июня 1941 - В районе города Киев получивший повреждения в результате обстрела Ju.88 (В3+ВМ) совершил вынужденную посадку.</w:t>
      </w:r>
    </w:p>
    <w:p w14:paraId="099B3E38"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Вынужденную посадку «юнкерса» использовала советская пропаганда. Через два дня Совинформбюро сообщило: «25 июня вблизи Киева приземлились на пикирующем бомбардировщике «юнкерс-88» четыре немецких лётчика: унтер-офицер Ганс Герман, уроженец города Бреславль в Средней Силезии; лётчик-наблюдатель Ганс Кратц, уроженец Франкфурта-на-Майне; старший ефрейтор Адольф Аппель, уроженец города Брно в Моравии, и радист Вильгельм Шмидт, уроженец города Регенсбурга. Все они составляли экипаж, входивший во вторую группу 54-й эскадры. Не желая воевать против советского народа, лётчики предварительно сбросили бомбы в Днепр, а затем приземлились неподалеку от города, где и сдались местным крестьянам».</w:t>
      </w:r>
    </w:p>
    <w:p w14:paraId="23AE9428"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Как доложил Сталину секретарь ЦК КП(б)У М. А. Бурмистенко, экипаж Ju.88 захватили молодые колхозники села Глебовка Киевской области и передали в руки сотрудников «компетентных органов». В документах разведотдела штаба ВВС Юго-Западного фронта не удалось обнаружить протоколов допросов этих военнослужащих. В других же случаях начального периода войны офицеры НКВД неизменно спрашивали пленных: почему немецкие трудящиеся воюют против Советского Союза — государства рабочих и крестьян? Вопросы оставались без ответа. В этом смысле якобы подписанное пленными немецкими авиаторами воззвание выполнено в духе наших предвоенных лозунгов: «Братья лётчики и солдаты, следуйте нашему примеру. Бросьте убийцу Гитлера и переходите сюда, в Россию» (22449).</w:t>
      </w:r>
    </w:p>
    <w:p w14:paraId="7B7683A4" w14:textId="77777777" w:rsidR="00D31A84" w:rsidRPr="00DB5D0D" w:rsidRDefault="00D31A84" w:rsidP="00DB5D0D">
      <w:pPr>
        <w:spacing w:after="0" w:line="240" w:lineRule="auto"/>
        <w:jc w:val="both"/>
        <w:rPr>
          <w:rFonts w:ascii="Times New Roman" w:hAnsi="Times New Roman"/>
          <w:color w:val="0070C0"/>
          <w:sz w:val="16"/>
          <w:szCs w:val="16"/>
        </w:rPr>
      </w:pPr>
    </w:p>
    <w:p w14:paraId="1B791F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немцы пытались убедить СССР, что по Буковине договоренности не было, которая не принадлежала даже царской России. В.М.М. сообщил, что это последняя, недостающая часть Украины (2536,109).</w:t>
      </w:r>
    </w:p>
    <w:p w14:paraId="10CB555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96B171"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722220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380488C" w14:textId="77777777" w:rsidR="00194340" w:rsidRPr="00DB5D0D" w:rsidRDefault="00194340"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25 июня</w:t>
      </w:r>
      <w:r w:rsidRPr="00DB5D0D">
        <w:rPr>
          <w:rFonts w:ascii="Times New Roman" w:hAnsi="Times New Roman"/>
          <w:color w:val="000000" w:themeColor="text1"/>
          <w:sz w:val="16"/>
          <w:szCs w:val="16"/>
        </w:rPr>
        <w:t xml:space="preserve"> в 1940 году совершил первый пробный вылет первый прототип французского бомбардировщика </w:t>
      </w:r>
      <w:hyperlink r:id="rId142" w:tgtFrame="_blank" w:history="1">
        <w:r w:rsidRPr="00DB5D0D">
          <w:rPr>
            <w:rFonts w:ascii="Times New Roman" w:hAnsi="Times New Roman"/>
            <w:color w:val="000000" w:themeColor="text1"/>
            <w:sz w:val="16"/>
            <w:szCs w:val="16"/>
          </w:rPr>
          <w:t xml:space="preserve">«САО.700». </w:t>
        </w:r>
      </w:hyperlink>
      <w:r w:rsidRPr="00DB5D0D">
        <w:rPr>
          <w:rFonts w:ascii="Times New Roman" w:hAnsi="Times New Roman"/>
          <w:color w:val="000000" w:themeColor="text1"/>
          <w:sz w:val="16"/>
          <w:szCs w:val="16"/>
        </w:rPr>
        <w:t>Затем самолёт стал на временную стоянку в ангаре завода «SNCAO», где был уничтожен под бомбами союзников в 1943 году (14933).</w:t>
      </w:r>
    </w:p>
    <w:p w14:paraId="4B6C132D" w14:textId="77777777" w:rsidR="00194340" w:rsidRPr="00DB5D0D" w:rsidRDefault="00194340" w:rsidP="00DB5D0D">
      <w:pPr>
        <w:spacing w:after="0" w:line="240" w:lineRule="auto"/>
        <w:jc w:val="both"/>
        <w:rPr>
          <w:rFonts w:ascii="Times New Roman" w:hAnsi="Times New Roman"/>
          <w:color w:val="000000" w:themeColor="text1"/>
          <w:sz w:val="16"/>
          <w:szCs w:val="16"/>
        </w:rPr>
      </w:pPr>
    </w:p>
    <w:p w14:paraId="2BEF2A86"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 июня 1940 - Совершил первый пробный вылет первый прототип французского бомбардировщика САО.700. Затем самолёт стал на временную стоянку в ангаре завода SNCAO, где был уничтожен под бомбами союзников в 1943 году (22449).</w:t>
      </w:r>
    </w:p>
    <w:p w14:paraId="113F219C" w14:textId="77777777" w:rsidR="00D31A84" w:rsidRPr="00DB5D0D" w:rsidRDefault="00D31A84" w:rsidP="00DB5D0D">
      <w:pPr>
        <w:spacing w:after="0" w:line="240" w:lineRule="auto"/>
        <w:jc w:val="both"/>
        <w:rPr>
          <w:rFonts w:ascii="Times New Roman" w:hAnsi="Times New Roman"/>
          <w:color w:val="0070C0"/>
          <w:sz w:val="16"/>
          <w:szCs w:val="16"/>
        </w:rPr>
      </w:pPr>
    </w:p>
    <w:p w14:paraId="3DF929B9"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До 25 июня 1940 года - до капитуляции Франции было построено 452 самолета LeO 45 всех вариантов, из них принято ВВС и ВМФ было 373. Потери составили около 130 машин этого типа. Из заказанных 200 Амио 351 ВВС успели получить 35 машин, сколько было построено из 45-ти оплаченных Амио 354 — точно не известно (22813).</w:t>
      </w:r>
    </w:p>
    <w:p w14:paraId="1AC2860F" w14:textId="77777777" w:rsidR="00D31A84" w:rsidRPr="00DB5D0D" w:rsidRDefault="00D31A84" w:rsidP="00DB5D0D">
      <w:pPr>
        <w:spacing w:after="0" w:line="240" w:lineRule="auto"/>
        <w:jc w:val="both"/>
        <w:rPr>
          <w:rFonts w:ascii="Times New Roman" w:hAnsi="Times New Roman"/>
          <w:color w:val="0070C0"/>
          <w:sz w:val="16"/>
          <w:szCs w:val="16"/>
        </w:rPr>
      </w:pPr>
    </w:p>
    <w:p w14:paraId="0C2889E8"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25th, 1940: At 1:35 a.m. CET, all acts of war between the French and German armed forces cease officially (3819).</w:t>
      </w:r>
    </w:p>
    <w:p w14:paraId="0A3F339F"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5ABFF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в 1:35 вступило в силу перемирие между Германией и Францией (3819).</w:t>
      </w:r>
    </w:p>
    <w:p w14:paraId="2286048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68C2A8" w14:textId="77777777" w:rsidR="00194340" w:rsidRPr="00DB5D0D" w:rsidRDefault="00194340"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25 июня</w:t>
      </w:r>
      <w:r w:rsidRPr="00DB5D0D">
        <w:rPr>
          <w:rFonts w:ascii="Times New Roman" w:hAnsi="Times New Roman"/>
          <w:color w:val="000000" w:themeColor="text1"/>
          <w:sz w:val="16"/>
          <w:szCs w:val="16"/>
        </w:rPr>
        <w:t xml:space="preserve"> в 1940 году согласно условиям перемирия с Германией Франции позволено иметь армию численностью не более 100 тысяч человек (только пехотные и кавалерийские части) (14933).</w:t>
      </w:r>
    </w:p>
    <w:p w14:paraId="70005410" w14:textId="77777777" w:rsidR="00194340" w:rsidRPr="00DB5D0D" w:rsidRDefault="00194340" w:rsidP="00DB5D0D">
      <w:pPr>
        <w:spacing w:after="0" w:line="240" w:lineRule="auto"/>
        <w:jc w:val="both"/>
        <w:rPr>
          <w:rFonts w:ascii="Times New Roman" w:hAnsi="Times New Roman"/>
          <w:color w:val="000000" w:themeColor="text1"/>
          <w:sz w:val="16"/>
          <w:szCs w:val="16"/>
        </w:rPr>
      </w:pPr>
    </w:p>
    <w:p w14:paraId="57A5CA05" w14:textId="77777777" w:rsidR="00194340" w:rsidRPr="00DB5D0D" w:rsidRDefault="00194340"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25 июня</w:t>
      </w:r>
      <w:r w:rsidRPr="00DB5D0D">
        <w:rPr>
          <w:rFonts w:ascii="Times New Roman" w:hAnsi="Times New Roman"/>
          <w:color w:val="000000" w:themeColor="text1"/>
          <w:sz w:val="16"/>
          <w:szCs w:val="16"/>
        </w:rPr>
        <w:t xml:space="preserve"> в 1940 году Адольф Гитлер побывал на Эйфелевой башне и могиле Наполеона во Франции (14933).</w:t>
      </w:r>
    </w:p>
    <w:p w14:paraId="0E44045A" w14:textId="77777777" w:rsidR="00194340" w:rsidRPr="00DB5D0D" w:rsidRDefault="00194340" w:rsidP="00DB5D0D">
      <w:pPr>
        <w:spacing w:after="0" w:line="240" w:lineRule="auto"/>
        <w:jc w:val="both"/>
        <w:rPr>
          <w:rFonts w:ascii="Times New Roman" w:hAnsi="Times New Roman"/>
          <w:color w:val="000000" w:themeColor="text1"/>
          <w:sz w:val="16"/>
          <w:szCs w:val="16"/>
        </w:rPr>
      </w:pPr>
    </w:p>
    <w:p w14:paraId="62679EB3" w14:textId="77777777" w:rsidR="00194340" w:rsidRPr="00DB5D0D" w:rsidRDefault="00194340"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25 июня</w:t>
      </w:r>
      <w:r w:rsidRPr="00DB5D0D">
        <w:rPr>
          <w:rFonts w:ascii="Times New Roman" w:hAnsi="Times New Roman"/>
          <w:color w:val="000000" w:themeColor="text1"/>
          <w:sz w:val="16"/>
          <w:szCs w:val="16"/>
        </w:rPr>
        <w:t xml:space="preserve"> в 1940 году японские войска высаживаются в Хайфоне (Французский Индокитай) с целью перерезать железнодорожную ветку Хайфон-Куньмин и лишить китайское правительство возможности снабжения с юга (14933).</w:t>
      </w:r>
    </w:p>
    <w:p w14:paraId="3C402719" w14:textId="77777777" w:rsidR="00194340" w:rsidRPr="00DB5D0D" w:rsidRDefault="00194340" w:rsidP="00DB5D0D">
      <w:pPr>
        <w:spacing w:after="0" w:line="240" w:lineRule="auto"/>
        <w:jc w:val="both"/>
        <w:rPr>
          <w:rFonts w:ascii="Times New Roman" w:hAnsi="Times New Roman"/>
          <w:color w:val="000000" w:themeColor="text1"/>
          <w:sz w:val="16"/>
          <w:szCs w:val="16"/>
        </w:rPr>
      </w:pPr>
    </w:p>
    <w:p w14:paraId="0428BD6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9F6F1A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1A1A0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июня 1940 маршал К.Е.Ворошилов </w:t>
      </w:r>
      <w:r w:rsidRPr="00DB5D0D">
        <w:rPr>
          <w:rFonts w:ascii="Times New Roman" w:hAnsi="Times New Roman"/>
          <w:bCs/>
          <w:color w:val="000000" w:themeColor="text1"/>
          <w:sz w:val="16"/>
          <w:szCs w:val="16"/>
        </w:rPr>
        <w:t>подписал</w:t>
      </w:r>
      <w:r w:rsidRPr="00DB5D0D">
        <w:rPr>
          <w:rFonts w:ascii="Times New Roman" w:hAnsi="Times New Roman"/>
          <w:color w:val="000000" w:themeColor="text1"/>
          <w:sz w:val="16"/>
          <w:szCs w:val="16"/>
        </w:rPr>
        <w:t xml:space="preserve"> (?) Постановление Комитета обороны при СНК СССР о выпуске 10 машин БШ-2 АМ-35 войсковой серии. При этом предполагалось выпус</w:t>
      </w:r>
      <w:r w:rsidRPr="00DB5D0D">
        <w:rPr>
          <w:rFonts w:ascii="Times New Roman" w:hAnsi="Times New Roman"/>
          <w:color w:val="000000" w:themeColor="text1"/>
          <w:sz w:val="16"/>
          <w:szCs w:val="16"/>
        </w:rPr>
        <w:softHyphen/>
        <w:t>тить в 1941 г. еще 150 таких машин. Практически наркоматом авиапро</w:t>
      </w:r>
      <w:r w:rsidRPr="00DB5D0D">
        <w:rPr>
          <w:rFonts w:ascii="Times New Roman" w:hAnsi="Times New Roman"/>
          <w:color w:val="000000" w:themeColor="text1"/>
          <w:sz w:val="16"/>
          <w:szCs w:val="16"/>
        </w:rPr>
        <w:softHyphen/>
        <w:t>мышленности в установленные сроки ничего сделано не было (6467).</w:t>
      </w:r>
    </w:p>
    <w:p w14:paraId="309E2D9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4705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маршалом К.Е.Ворошиловым было подписано Постановление Комитета обороны при СНК СССР о выпуске 10 машин БШ-2 АМ-35 войсковой серии. При этом предполагалось выпустить в 1941 г. еще 150 таких машин. Практически наркоматом авиапромышленности в установленные сроки ничего сделано не было (9649).</w:t>
      </w:r>
    </w:p>
    <w:p w14:paraId="22A1F52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81598C" w14:textId="77777777" w:rsidR="00D31A84" w:rsidRPr="00DB5D0D" w:rsidRDefault="00D31A84" w:rsidP="00DB5D0D">
      <w:pPr>
        <w:shd w:val="clear" w:color="auto" w:fill="FFFFFF"/>
        <w:spacing w:after="0" w:line="240" w:lineRule="auto"/>
        <w:jc w:val="both"/>
        <w:rPr>
          <w:rFonts w:ascii="Times New Roman" w:hAnsi="Times New Roman"/>
          <w:color w:val="0070C0"/>
          <w:sz w:val="16"/>
          <w:szCs w:val="16"/>
        </w:rPr>
      </w:pPr>
      <w:r w:rsidRPr="00DB5D0D">
        <w:rPr>
          <w:rFonts w:ascii="Times New Roman" w:eastAsia="Times New Roman" w:hAnsi="Times New Roman"/>
          <w:color w:val="0070C0"/>
          <w:sz w:val="16"/>
          <w:szCs w:val="16"/>
        </w:rPr>
        <w:t>Постановление Комитета Обороны при СНК СССР о выпуске 10 ма</w:t>
      </w:r>
      <w:r w:rsidRPr="00DB5D0D">
        <w:rPr>
          <w:rFonts w:ascii="Times New Roman" w:eastAsia="Times New Roman" w:hAnsi="Times New Roman"/>
          <w:color w:val="0070C0"/>
          <w:sz w:val="16"/>
          <w:szCs w:val="16"/>
        </w:rPr>
        <w:softHyphen/>
        <w:t>шин БШ-2 АМ-35 войсковой серии было подписано маршалом К.Е. Вороши</w:t>
      </w:r>
      <w:r w:rsidRPr="00DB5D0D">
        <w:rPr>
          <w:rFonts w:ascii="Times New Roman" w:eastAsia="Times New Roman" w:hAnsi="Times New Roman"/>
          <w:color w:val="0070C0"/>
          <w:sz w:val="16"/>
          <w:szCs w:val="16"/>
        </w:rPr>
        <w:softHyphen/>
        <w:t>ловым 26 июня. При этом предполагалось выпустить в 1941 г. еще 150 таких машин (ЦАМО РФ, Ф. 229, оп. 181, д. 25, л. 13.) (20186).</w:t>
      </w:r>
    </w:p>
    <w:p w14:paraId="185521AF" w14:textId="77777777" w:rsidR="00D31A84" w:rsidRPr="00DB5D0D" w:rsidRDefault="00D31A84" w:rsidP="00DB5D0D">
      <w:pPr>
        <w:spacing w:after="0" w:line="240" w:lineRule="auto"/>
        <w:jc w:val="both"/>
        <w:rPr>
          <w:rStyle w:val="811"/>
          <w:rFonts w:ascii="Times New Roman" w:hAnsi="Times New Roman" w:cs="Times New Roman"/>
          <w:color w:val="0070C0"/>
          <w:sz w:val="16"/>
          <w:szCs w:val="16"/>
        </w:rPr>
      </w:pPr>
    </w:p>
    <w:p w14:paraId="3A45D9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К.Е.Ворошиловым было подписано Постановление КО при СНК СССР о выпуске 10 машин БШ-2 АМ-35 войсковой серии. При этом предполагалось выпустить до конца 1941 г. еще 150 самолетов. Практически же наркоматом авиа</w:t>
      </w:r>
      <w:r w:rsidRPr="00DB5D0D">
        <w:rPr>
          <w:rFonts w:ascii="Times New Roman" w:hAnsi="Times New Roman"/>
          <w:color w:val="000000" w:themeColor="text1"/>
          <w:sz w:val="16"/>
          <w:szCs w:val="16"/>
        </w:rPr>
        <w:softHyphen/>
        <w:t>промышленности в установленные сроки ничего сделано не было (4140).</w:t>
      </w:r>
    </w:p>
    <w:p w14:paraId="24A43D9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BDC4F81" w14:textId="77777777" w:rsidR="003C0C51" w:rsidRPr="00DB5D0D" w:rsidRDefault="003C0C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26 июня 1940 председатель Комитета Обороны маршал Ворошилов подписал постановление «Об увеличении выпуска самолетов и авиамоторов на период август-декабрь 1940 г.», которое предусматривало выпуск к концу года 10 БШ-2 АМ-35 в редакции: «по образцу, прошедшему государственные испытания в НИИ ГУАС КА».То есть, с устранением всех недостатков и дефектов самолета, выявленных в ходе государственных испытаний, и со стрелковым вооружением в составе четырех крыльевых пулеметов ШКАС и одного пулемета ШКАС на турели. При этом подготовку производства требо</w:t>
      </w:r>
      <w:r w:rsidRPr="00DB5D0D">
        <w:rPr>
          <w:rFonts w:ascii="Times New Roman" w:hAnsi="Times New Roman" w:cs="Times New Roman"/>
          <w:color w:val="000000" w:themeColor="text1"/>
          <w:sz w:val="16"/>
          <w:szCs w:val="16"/>
        </w:rPr>
        <w:softHyphen/>
        <w:t>валось вести из расчета выпуска в 1941 г. 150 самолетов этого типа. Очевидно, для повышения интереса НКАП к этому заданию.</w:t>
      </w:r>
    </w:p>
    <w:p w14:paraId="5DE2ECCA" w14:textId="77777777" w:rsidR="003C0C51" w:rsidRPr="00DB5D0D" w:rsidRDefault="003C0C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Здесь следует сказать несколько слов о заводе №30. По замыслу, этот завод, расположенный на берегу Иваньковского водохранилища, должен был стать крупным центром морского самолетостроения, но таковым не стал. После почти пяти лет строительства завод к лету 1940 г. все еще не имел завершенного главного корпуса. Завод не был обеспечен металлорежущими станками в количестве, необходимом для крупносерийного производства. По этим причинам завод не имел своего самолета. Специалистов высокой квалификации в цехах насчитывалось единицы.</w:t>
      </w:r>
    </w:p>
    <w:p w14:paraId="65A2F4EC" w14:textId="77777777" w:rsidR="003C0C51" w:rsidRPr="00DB5D0D" w:rsidRDefault="003C0C5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Очевидно, выбор завода №30 в качестве «застрельщика» серийного производства БШ-2 являлся вынужденной и главное временной мерой (19087).</w:t>
      </w:r>
    </w:p>
    <w:p w14:paraId="379ADF05" w14:textId="77777777" w:rsidR="003C0C51" w:rsidRPr="00DB5D0D" w:rsidRDefault="003C0C51"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4B6AA2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июня 1940 г. маршал К.Е. Ворошилов подписал постановление Комитета Обороны (КО), которым конструктору В.С. Ильюшину предписывалось выпустить в 1940 г. 10 самолетов БШ-2 войсковой серии (будущие Ил-2). Военные настаивали на усилении наступательного вооружения штурмовика, поэтому вместо четырех </w:t>
      </w:r>
      <w:r w:rsidRPr="00DB5D0D">
        <w:rPr>
          <w:rFonts w:ascii="Times New Roman" w:hAnsi="Times New Roman"/>
          <w:color w:val="000000" w:themeColor="text1"/>
          <w:sz w:val="16"/>
          <w:szCs w:val="16"/>
        </w:rPr>
        <w:lastRenderedPageBreak/>
        <w:t>пулеметов ШКАС, которые имелись на опытной машине, самолеты для войсковых испытаний должны были оснащаться двумя пушками Таубина-Бабурина и двумя ШКАСами. Из-за неготовности мотора АМ-38 и большого объема переделок в конструкции самолета (главный конструктор принял решение ликвидировать рабочее место стрелка-радиста и смонтировать за спиной у летчика дополнительный бензобак) указанное постановление КО не было выполнено. В то время ильюшинское КБ буквально задыхалось под грузом проблем, время работало против него. "На пятки" ильюшинцам наступал бронированный штурмовик конструкции П.О. Сухого, которому симпатизировал новый нарком обороны С.К. Тимошенко. На двух авиазаводах - московском № 39 и воронежском № 18 свертывалось серийное производство бомбардировщика ДБ-3Ф конструкции С.В. Ильюшина и вместо него начиналось освоение самолетов других разработчиков. Промедление с внедрением БШ-2 грозило С.В. Ильюшину полной потерей всяческих перспектив на будущее, ведь за полтора десятилетия в авиапроме он успел нажить не только друзей, но и могущественных врагов. Достаточно указать, что приказом наркома авиапромышленности А.И. Шахурина от 3 октября 1940 г. С.В. Ильюшин должен был отправиться на маломощный ленинградский авиазавод № 381 и там до конца года (!) организовать выпуск десяти БШ-2 войсковой серии. Естественно, этот приказ выполнен не был (11149). Имелись у С.В. Ильюшина и влиятельные сторонники. Один из них - заместитель наркома А.И. Шахурина по опытному строительству, молодой авиаконструктор и нештатный консультант И.В. Сталина по авиации А.С. Яковлев оказал неоценимую услугу своему учителю и старшему товарищу по военно-воздушной академии им. Н.Е. Жуковского. По-видимому, не обошлось без соответствующего доклада главе советского правительства о БШ-2. Во всяком случае, в ноябре-декабре 1940 г. отношение к ильюшинскому штурмовику со стороны А.И. Шахурина резко переменилось: он вдруг стал "нужен ВВС КА незамедлительно". Сам Александр Иванович весьма тактично написал в мемуарах об этом этапе: "Сказать откровенно, штурмовик Ильюшина не всеми был принят: раздавались и неодобрительные и осторожные голоса. Потребовались большие усилия, чтобы изменить отношение к этому самолету" (11149).</w:t>
      </w:r>
    </w:p>
    <w:p w14:paraId="54DA814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9DC6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 вышло соответствующее постановление КО по реализации решения от 4 июня 1940 г. о выпуске на заводе № 1 10 самолетов БШ-2 (Ил-2) с мотором АМ-35 для войсковых испытаний.. На 1941 г. был запланирован выпуск еще 150 машин. Пост. ГКО № 594 от 27.08.1941 г. заводу поручено производство Ил-2. 23.09.1941 г. вышло постановление ГКО № 708 о ежедневном плане выпуска самолета МиГ-3 - 6 машин с 6-ю РС-82 (11982).</w:t>
      </w:r>
    </w:p>
    <w:p w14:paraId="08E069B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4335CB" w14:textId="77777777" w:rsidR="00194340" w:rsidRPr="00DB5D0D" w:rsidRDefault="00194340" w:rsidP="00DB5D0D">
      <w:pPr>
        <w:pStyle w:val="a3"/>
        <w:rPr>
          <w:color w:val="000000" w:themeColor="text1"/>
          <w:lang w:val="ru-RU"/>
        </w:rPr>
      </w:pPr>
      <w:r w:rsidRPr="00DB5D0D">
        <w:rPr>
          <w:color w:val="000000" w:themeColor="text1"/>
          <w:lang w:val="ru-RU"/>
        </w:rPr>
        <w:t>26 июня 1940 г. маршал К.Е. Ворошилов подписал Постановление Комитета Обороны (КО), предписывающее конструктору С.В. Ильюшину выпустить в 1940 г. 10 самолётов БШ-2 войсковой серии (будущие Ил-2). Военные настаивали на усилении наступатель</w:t>
      </w:r>
      <w:r w:rsidRPr="00DB5D0D">
        <w:rPr>
          <w:color w:val="000000" w:themeColor="text1"/>
          <w:lang w:val="ru-RU"/>
        </w:rPr>
        <w:softHyphen/>
        <w:t xml:space="preserve">ного вооружения штурмовика, поэтому вместо четырёх пулемётов </w:t>
      </w:r>
      <w:r w:rsidRPr="00DB5D0D">
        <w:rPr>
          <w:color w:val="000000" w:themeColor="text1"/>
        </w:rPr>
        <w:t>LUKAC</w:t>
      </w:r>
      <w:r w:rsidRPr="00DB5D0D">
        <w:rPr>
          <w:color w:val="000000" w:themeColor="text1"/>
          <w:lang w:val="ru-RU"/>
        </w:rPr>
        <w:t>, имевшихся на опытной машине, самолёты, для войсковых испытаний должны были оснащаться двумя пушками Таубина-Бабурина и двумя ШКАСами. Из-за неготовности мотора АМ-38 и большого объёма переделок в конструкции самолёта (главный конструктор принял ре</w:t>
      </w:r>
      <w:r w:rsidRPr="00DB5D0D">
        <w:rPr>
          <w:color w:val="000000" w:themeColor="text1"/>
          <w:lang w:val="ru-RU"/>
        </w:rPr>
        <w:softHyphen/>
        <w:t>шение ликвидировать рабочее место стрелка-радиста и смонтировать за спиной у лёт</w:t>
      </w:r>
      <w:r w:rsidRPr="00DB5D0D">
        <w:rPr>
          <w:color w:val="000000" w:themeColor="text1"/>
          <w:lang w:val="ru-RU"/>
        </w:rPr>
        <w:softHyphen/>
        <w:t>чика дополнительный бензобак) указанное постановление КО не выполнили.</w:t>
      </w:r>
    </w:p>
    <w:p w14:paraId="417370B5" w14:textId="77777777" w:rsidR="00194340" w:rsidRPr="00DB5D0D" w:rsidRDefault="0019434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Ильюшинское КБ буквально задыхалось под грузом проблем, время работало против него. «На пятки» ильюшинцам наступал бронированный штурмовик конструкции П.О. Сухого, которому симпатизировал новый нарком обороны С.К. Тимошенко. На двух авиазаводах — московском № 39 и воронежском № 18 свёртывалось серийное произ</w:t>
      </w:r>
      <w:r w:rsidRPr="00DB5D0D">
        <w:rPr>
          <w:rFonts w:ascii="Times New Roman" w:hAnsi="Times New Roman"/>
          <w:color w:val="000000" w:themeColor="text1"/>
          <w:sz w:val="16"/>
          <w:szCs w:val="16"/>
        </w:rPr>
        <w:softHyphen/>
        <w:t>водство бомбардировщика ДБ-ЗФ конструкции С.В. Ильюшина и вместо него начина</w:t>
      </w:r>
      <w:r w:rsidRPr="00DB5D0D">
        <w:rPr>
          <w:rFonts w:ascii="Times New Roman" w:hAnsi="Times New Roman"/>
          <w:color w:val="000000" w:themeColor="text1"/>
          <w:sz w:val="16"/>
          <w:szCs w:val="16"/>
        </w:rPr>
        <w:softHyphen/>
        <w:t>лось освоение самолётов других разработчиков. Промедление с внедрением БШ-2 гро</w:t>
      </w:r>
      <w:r w:rsidRPr="00DB5D0D">
        <w:rPr>
          <w:rFonts w:ascii="Times New Roman" w:hAnsi="Times New Roman"/>
          <w:color w:val="000000" w:themeColor="text1"/>
          <w:sz w:val="16"/>
          <w:szCs w:val="16"/>
        </w:rPr>
        <w:softHyphen/>
        <w:t>зило С.В. Ильюшину полной потерей всяческих перспектив на будущее, ведь за полто</w:t>
      </w:r>
      <w:r w:rsidRPr="00DB5D0D">
        <w:rPr>
          <w:rFonts w:ascii="Times New Roman" w:hAnsi="Times New Roman"/>
          <w:color w:val="000000" w:themeColor="text1"/>
          <w:sz w:val="16"/>
          <w:szCs w:val="16"/>
        </w:rPr>
        <w:softHyphen/>
        <w:t>ра десятилетия в авиапроме он успел нажить не только друзей, но и могущественных врагов. Достаточно указать, что приказом наркома авиапромышленности А.И. Шахури- на от 3 октября 1940 г. С.В. Ильюшин должен был отправиться на маломощный ленин</w:t>
      </w:r>
      <w:r w:rsidRPr="00DB5D0D">
        <w:rPr>
          <w:rFonts w:ascii="Times New Roman" w:hAnsi="Times New Roman"/>
          <w:color w:val="000000" w:themeColor="text1"/>
          <w:sz w:val="16"/>
          <w:szCs w:val="16"/>
        </w:rPr>
        <w:softHyphen/>
        <w:t>градский авиазавод № 381 и там до конца года (!) организовать выпуск десяти БШ-2 войсковой серии. Естественно, и этот приказ выполнен не был.</w:t>
      </w:r>
    </w:p>
    <w:p w14:paraId="04B79FEE" w14:textId="77777777" w:rsidR="00194340" w:rsidRPr="00DB5D0D" w:rsidRDefault="00194340" w:rsidP="00DB5D0D">
      <w:pPr>
        <w:pStyle w:val="a3"/>
        <w:rPr>
          <w:color w:val="000000" w:themeColor="text1"/>
          <w:lang w:val="ru-RU"/>
        </w:rPr>
      </w:pPr>
      <w:r w:rsidRPr="00DB5D0D">
        <w:rPr>
          <w:color w:val="000000" w:themeColor="text1"/>
          <w:lang w:val="ru-RU"/>
        </w:rPr>
        <w:t>Имелись у С.В. Ильюшина и влиятельные сторонники. Один из них — зам. наркома по опытному строительству, молодой авиаконструктор и нештатный консультант И.В. Стали</w:t>
      </w:r>
      <w:r w:rsidRPr="00DB5D0D">
        <w:rPr>
          <w:color w:val="000000" w:themeColor="text1"/>
          <w:lang w:val="ru-RU"/>
        </w:rPr>
        <w:softHyphen/>
        <w:t>на по авиации А.С. Яковлев — оказал неоценимую услугу своему учителю и старшему товарищу по Академии им. Н.Е. Жуковского. По-видимому, не обошлось без соответст</w:t>
      </w:r>
      <w:r w:rsidRPr="00DB5D0D">
        <w:rPr>
          <w:color w:val="000000" w:themeColor="text1"/>
          <w:lang w:val="ru-RU"/>
        </w:rPr>
        <w:softHyphen/>
        <w:t>вующего доклада главе советского правительства о БШ-2. Во всяком случае, в ноябре- декабре 1940 г. отношение к ильюшинскому штурмовику со стороны А.И. Шахурина резко переменилось: он вдруг стал «нужен ВВС КА незамедлительно». Сам Алексей Иванович весьма тактично написал в мемуарах об этом этапе: «Сказать откровенно, штурмовик Ильюшина не всеми был принят: раздавались и неодобрительные и осторожные голоса. Потребовались большие усилия, чтобы изменить отношение к этому самолёту» (15787).</w:t>
      </w:r>
    </w:p>
    <w:p w14:paraId="137F2E94" w14:textId="77777777" w:rsidR="00194340" w:rsidRPr="00DB5D0D" w:rsidRDefault="00194340" w:rsidP="00DB5D0D">
      <w:pPr>
        <w:spacing w:after="0" w:line="240" w:lineRule="auto"/>
        <w:jc w:val="both"/>
        <w:rPr>
          <w:rFonts w:ascii="Times New Roman" w:hAnsi="Times New Roman"/>
          <w:color w:val="000000" w:themeColor="text1"/>
          <w:sz w:val="16"/>
          <w:szCs w:val="16"/>
        </w:rPr>
      </w:pPr>
    </w:p>
    <w:p w14:paraId="112A9153" w14:textId="77777777" w:rsidR="00BD6368" w:rsidRPr="00DB5D0D" w:rsidRDefault="00BD63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26 июня</w:t>
      </w:r>
      <w:r w:rsidRPr="00DB5D0D">
        <w:rPr>
          <w:rFonts w:ascii="Times New Roman" w:hAnsi="Times New Roman"/>
          <w:color w:val="000000" w:themeColor="text1"/>
          <w:sz w:val="16"/>
          <w:szCs w:val="16"/>
        </w:rPr>
        <w:t xml:space="preserve"> в 1940 году подписано маршалом К.Е.Ворошиловым Постановление Комитета обороны при СНК СССР о выпуске 10 машин </w:t>
      </w:r>
      <w:hyperlink r:id="rId143" w:tgtFrame="_blank" w:history="1">
        <w:r w:rsidRPr="00DB5D0D">
          <w:rPr>
            <w:rFonts w:ascii="Times New Roman" w:hAnsi="Times New Roman"/>
            <w:color w:val="000000" w:themeColor="text1"/>
            <w:sz w:val="16"/>
            <w:szCs w:val="16"/>
          </w:rPr>
          <w:t xml:space="preserve">«БШ-2» «АМ-35» </w:t>
        </w:r>
      </w:hyperlink>
      <w:r w:rsidRPr="00DB5D0D">
        <w:rPr>
          <w:rFonts w:ascii="Times New Roman" w:hAnsi="Times New Roman"/>
          <w:color w:val="000000" w:themeColor="text1"/>
          <w:sz w:val="16"/>
          <w:szCs w:val="16"/>
        </w:rPr>
        <w:t>войсковой серии. При этом предполагалось выпустить в 1941 году еще 150 таких машин. Практически наркоматом авиапромышленности в установленные сроки ничего сделано не было (14934).</w:t>
      </w:r>
    </w:p>
    <w:p w14:paraId="2915E16A" w14:textId="77777777" w:rsidR="00BD6368" w:rsidRPr="00DB5D0D" w:rsidRDefault="00BD6368" w:rsidP="00DB5D0D">
      <w:pPr>
        <w:spacing w:after="0" w:line="240" w:lineRule="auto"/>
        <w:jc w:val="both"/>
        <w:rPr>
          <w:rFonts w:ascii="Times New Roman" w:hAnsi="Times New Roman"/>
          <w:color w:val="000000" w:themeColor="text1"/>
          <w:sz w:val="16"/>
          <w:szCs w:val="16"/>
        </w:rPr>
      </w:pPr>
    </w:p>
    <w:p w14:paraId="477565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закончились предрекордные полеты самолета Украина, который был выпущен в воздух 17 мая 1940 и совершил 20 полетов (1313,88).</w:t>
      </w:r>
    </w:p>
    <w:p w14:paraId="7DB7DFC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11442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 секретарь КО М. Пугаев писал письмо № 5860/ко в Наркомавиапром Шахурину А.И.</w:t>
      </w:r>
    </w:p>
    <w:p w14:paraId="3B70DBC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дополнение к сообщению переданному Вам по телефону 16 июня 1940 года сообщаю, что вопрос о постройке пикирующего бомбардировщика конструкции Кочеригина докладывался председателю КО Ворошилову К.Е. Дано указание: Наркомавиапрому поставить этот вопрос перед ЦК ВКП(б) (3420, 46).</w:t>
      </w:r>
    </w:p>
    <w:p w14:paraId="73ACE11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4A445A9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 секретарь КО М. Пугаев писал письмо № 5859/ко</w:t>
      </w:r>
    </w:p>
    <w:p w14:paraId="3B53487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указанию председателя КО Ворошилова К.Е. направляю на Ваше заключение два проекта постановления КО о создании опытных самолетов конструкции Болховитинова и конструкции Бериева.</w:t>
      </w:r>
    </w:p>
    <w:p w14:paraId="050FC44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Ваше заключение ожидается не позднее 29 июня 1940 года.</w:t>
      </w:r>
    </w:p>
    <w:p w14:paraId="48E91FA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упомянутое на 4-х листах (подлежит возврату) (3420, 95).</w:t>
      </w:r>
    </w:p>
    <w:p w14:paraId="3270E17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было подготовлено:</w:t>
      </w:r>
    </w:p>
    <w:p w14:paraId="2F85DC0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(проект).</w:t>
      </w:r>
    </w:p>
    <w:p w14:paraId="3D57F8C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одноместного истребителя конструкции Болховитинова с двумя спаренными моторами и сосоными толкающими винтами</w:t>
      </w:r>
    </w:p>
    <w:p w14:paraId="72EFAF2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701F423B"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 директора и главного конструктора опытного завода № 293 Болховитинова спроектировать и построить одноместный истребитель с двумя спаренными моторами и соосными толкающими винтами со следующими летно-тактическими данными:</w:t>
      </w:r>
    </w:p>
    <w:p w14:paraId="7A3CD45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М-103</w:t>
      </w:r>
    </w:p>
    <w:p w14:paraId="0AAAA74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5500 м – 720 км/час</w:t>
      </w:r>
    </w:p>
    <w:p w14:paraId="4FE140D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0F823CD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12650D2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49B64D1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71B910F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две пушки 23 мм и 2 пулемета 12,7 мм или одна пушка 37 мм и 2 пушки 23 мм</w:t>
      </w:r>
    </w:p>
    <w:p w14:paraId="63CE011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w:t>
      </w:r>
    </w:p>
    <w:p w14:paraId="710BE1E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7500 м – 780 км/час</w:t>
      </w:r>
    </w:p>
    <w:p w14:paraId="6FE58CD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54590A1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76E5FE0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704F70A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две пушки 23 мм и 2 пулемета 12,7 мм или одна пушка 37 мм и 2 пушки 23 мм</w:t>
      </w:r>
    </w:p>
    <w:p w14:paraId="32A1279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Главному конструктору самолета Болховитинову предусмотреть на обоих экземплярах возможность постановки вместо 12,7 мм пулеметов, 23 мм пушек.</w:t>
      </w:r>
    </w:p>
    <w:p w14:paraId="6B795207"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закончить заводские испытания и доводку истребителя конструкции Болховитинова и предъявить его на гос. испытания в следующие сроки:</w:t>
      </w:r>
    </w:p>
    <w:p w14:paraId="284CC5E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М-103 к 1 ноября 1941 года</w:t>
      </w:r>
    </w:p>
    <w:p w14:paraId="24506C4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 к 1 декабря 1941 года</w:t>
      </w:r>
    </w:p>
    <w:p w14:paraId="3C57DA2E"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стоимость работ по обоим экземплярам самолета конструкции Болховитинова в 10 млн. 500 тысяч рублей.</w:t>
      </w:r>
    </w:p>
    <w:p w14:paraId="1159FB7E"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Отпустить Наркомавиапрому из резервного фонда СНК:</w:t>
      </w:r>
    </w:p>
    <w:p w14:paraId="4411D00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финансирование этих работ в 1940 году – 2 млн. 500 тысяч рублей;</w:t>
      </w:r>
    </w:p>
    <w:p w14:paraId="7A65E89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распоряжение НКАП на премирование конструкторов, ИТР, рабочих и служащих завода № 293 за выполнение в установленный срок одноместного истребителя с двумя спаренными моторами и соосными винтами, в соответствии с Положением о премировании, 2,5 млн. рублей, в том числе:</w:t>
      </w:r>
    </w:p>
    <w:p w14:paraId="3299D3F6"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1-й экземпляр – 1 млн. 650 тыс. рублей</w:t>
      </w:r>
    </w:p>
    <w:p w14:paraId="526540D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2-й экземпляр – 850 тысяч рублей.</w:t>
      </w:r>
    </w:p>
    <w:p w14:paraId="11751BA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Наркомавиапрому представить в КО к 1 февраля 1941 года отчет об израсходованных в течение 1940 года средствах.</w:t>
      </w:r>
    </w:p>
    <w:p w14:paraId="54B1805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(Вычеркнуто: 5. Обязать Наркомавиапром Шахурина А.И. форсировать строительство опытного завода № 293 НКАП, с окончанием 1-й очереди к 1 января 1941 года и перевести на завод № 293 необходимое количество рабочих, служащих и инженерно-технических работников с других предприятий Наркомавиапрома.) (3420, 98-99).</w:t>
      </w:r>
    </w:p>
    <w:p w14:paraId="3895AB2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было подготовлено:</w:t>
      </w:r>
    </w:p>
    <w:p w14:paraId="60D3C25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(проект).</w:t>
      </w:r>
    </w:p>
    <w:p w14:paraId="36D2A4B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одноместного истребителя конструкции Бериева с двумя спаренными моторами и сосоными толкающими винтами</w:t>
      </w:r>
    </w:p>
    <w:p w14:paraId="4A070EE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0BD278E7" w14:textId="77777777" w:rsidR="00A25AD1" w:rsidRPr="00DB5D0D" w:rsidRDefault="00A25AD1" w:rsidP="00DB5D0D">
      <w:pPr>
        <w:pStyle w:val="a3"/>
        <w:widowControl/>
        <w:tabs>
          <w:tab w:val="left" w:pos="360"/>
          <w:tab w:val="left" w:pos="2410"/>
        </w:tabs>
        <w:rPr>
          <w:color w:val="000000" w:themeColor="text1"/>
          <w:lang w:val="ru-RU"/>
        </w:rPr>
      </w:pPr>
      <w:r w:rsidRPr="00DB5D0D">
        <w:rPr>
          <w:color w:val="000000" w:themeColor="text1"/>
          <w:lang w:val="ru-RU"/>
        </w:rPr>
        <w:t>Обязать НКАП – директора завода № 31 Трухана и главного конструктора Бериева спроектировать и построить одноместный истребитель с двумя спаренными моторами и соосными толкающими винтами со следующими летно-тактическими данными:</w:t>
      </w:r>
    </w:p>
    <w:p w14:paraId="2474DB0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М-105</w:t>
      </w:r>
    </w:p>
    <w:p w14:paraId="3202B23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5500 м – 740 км/час</w:t>
      </w:r>
    </w:p>
    <w:p w14:paraId="2C7AF32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03CF8BA5"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4C2CF64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73F2057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26C8C574"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две пушки 23 мм и 2 пулемета 12,7 мм или одна пушка 37 мм и 2 пушки 23 мм</w:t>
      </w:r>
    </w:p>
    <w:p w14:paraId="7F4BCC8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w:t>
      </w:r>
    </w:p>
    <w:p w14:paraId="19F24BA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7500 м – 780 км/час</w:t>
      </w:r>
    </w:p>
    <w:p w14:paraId="7F4C519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2DE3734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09CA988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3C4B3BAE"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2D3D4F9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две пушки 23 мм и 2 пулемета 12,7 мм или одна пушка 37 мм и 2 пушки 23 мм</w:t>
      </w:r>
    </w:p>
    <w:p w14:paraId="242405D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Главному конструктору самолета Бериеву предусмотреть возможность установки на обоих экземплярах вместо 12,7 мм пулеметов, 23 мм пушек.</w:t>
      </w:r>
    </w:p>
    <w:p w14:paraId="1501C23C" w14:textId="77777777" w:rsidR="00A25AD1" w:rsidRPr="00DB5D0D" w:rsidRDefault="00A25AD1" w:rsidP="00DB5D0D">
      <w:pPr>
        <w:pStyle w:val="a3"/>
        <w:widowControl/>
        <w:tabs>
          <w:tab w:val="left" w:pos="360"/>
          <w:tab w:val="left" w:pos="2410"/>
        </w:tabs>
        <w:rPr>
          <w:color w:val="000000" w:themeColor="text1"/>
          <w:lang w:val="ru-RU"/>
        </w:rPr>
      </w:pPr>
      <w:r w:rsidRPr="00DB5D0D">
        <w:rPr>
          <w:color w:val="000000" w:themeColor="text1"/>
          <w:lang w:val="ru-RU"/>
        </w:rPr>
        <w:t>Обязать НКАП – директора завода № 31 Трухана и главного конструктора Бериева - закончить заводские испытания и доводку истребителя конструкции Бериева и предъявить его на гос. испытания в следующие сроки:</w:t>
      </w:r>
    </w:p>
    <w:p w14:paraId="7F852E3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М-105 к 1 сентября 1941 года</w:t>
      </w:r>
    </w:p>
    <w:p w14:paraId="334A090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 к 1 октября 1941 года</w:t>
      </w:r>
    </w:p>
    <w:p w14:paraId="3A4A56A5" w14:textId="77777777" w:rsidR="00A25AD1" w:rsidRPr="00DB5D0D" w:rsidRDefault="00A25AD1" w:rsidP="00DB5D0D">
      <w:pPr>
        <w:pStyle w:val="a3"/>
        <w:widowControl/>
        <w:tabs>
          <w:tab w:val="left" w:pos="360"/>
          <w:tab w:val="left" w:pos="2410"/>
        </w:tabs>
        <w:rPr>
          <w:color w:val="000000" w:themeColor="text1"/>
          <w:lang w:val="ru-RU"/>
        </w:rPr>
      </w:pPr>
      <w:r w:rsidRPr="00DB5D0D">
        <w:rPr>
          <w:color w:val="000000" w:themeColor="text1"/>
          <w:lang w:val="ru-RU"/>
        </w:rPr>
        <w:t>Определить стоимость работ по обоим экземплярам самолета конструкции Бериева в 10 млн. 500 тысяч рублей. Выделить Наркомавиапрому из резервного фонда СНК на финансирование этих работ в 1940 году – 2,5 млн. рублей.</w:t>
      </w:r>
    </w:p>
    <w:p w14:paraId="50EADBBF" w14:textId="77777777" w:rsidR="00A25AD1" w:rsidRPr="00DB5D0D" w:rsidRDefault="00A25AD1" w:rsidP="00DB5D0D">
      <w:pPr>
        <w:pStyle w:val="a3"/>
        <w:widowControl/>
        <w:tabs>
          <w:tab w:val="left" w:pos="2410"/>
        </w:tabs>
        <w:rPr>
          <w:color w:val="000000" w:themeColor="text1"/>
          <w:lang w:val="ru-RU"/>
        </w:rPr>
      </w:pPr>
      <w:r w:rsidRPr="00DB5D0D">
        <w:rPr>
          <w:color w:val="000000" w:themeColor="text1"/>
          <w:lang w:val="ru-RU"/>
        </w:rPr>
        <w:t>4. Отпустить в распоряжение Наркомавиапрома на премирование конструкторов, ИТР, рабочих и служащих завода № 31 за выполнение в установленный срок одноместного истребителя с двумя спаренными моторами и соосными винтами, в соответствии с Положением о премировании, 2,5 млн. рублей, в том числе:</w:t>
      </w:r>
    </w:p>
    <w:p w14:paraId="5CFD062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1-й экземпляр – 1 млн. 650 тыс. рублей</w:t>
      </w:r>
    </w:p>
    <w:p w14:paraId="71E0EE5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2-й экземпляр – 850 тысяч рублей.</w:t>
      </w:r>
    </w:p>
    <w:p w14:paraId="5D253F79"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Наркомавиапрому представить в КО к 1 февраля 1941 года отчет об израсходованных в течение 1940 года средствах (3420, 100-101).</w:t>
      </w:r>
    </w:p>
    <w:p w14:paraId="7900EF21"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33E2AD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вышел совместный приказ НКВД и НКАП N 00757/306сс. По признаку "Для обеспечения серийного производства самолета "100" в варианте пикирующего бомбардировщика ПРИКАЗЫВАЮ: (406,13).</w:t>
      </w:r>
    </w:p>
    <w:p w14:paraId="1A2A43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этот приказ вышел 22 июня 1940</w:t>
      </w:r>
    </w:p>
    <w:p w14:paraId="626141C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25AD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 вышел очень жесткий по своей сути Указ Верховного Совета "О переходе на восьмичасовой рабочий день и семидневную рабочую неделю и запрещении самовольного ухода рабочих и служащих с предприятий и учреждений". Теперь на законном основании можно было попасть под суд за несколько опозданий или за прогул. Но если это в основном касалось просто нерадивых и распущенных работников, то закрепление трудящихся за предприятиями лишало их возможности выбора места трудоустройства с лучшими условиями.</w:t>
      </w:r>
    </w:p>
    <w:p w14:paraId="688501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условиях отсутствия экономических стимулов приходилось прибегать к "внеэкономическому побуждению к труду". Так государство стремилось ликвидировать текучесть кадров. На 125-м заводе эту проблему характеризует таблица, составленная по результатам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D5DF8" w:rsidRPr="00DB5D0D" w14:paraId="50541BD9" w14:textId="77777777" w:rsidTr="009223E5">
        <w:tc>
          <w:tcPr>
            <w:tcW w:w="2802" w:type="dxa"/>
            <w:tcBorders>
              <w:top w:val="single" w:sz="12" w:space="0" w:color="auto"/>
            </w:tcBorders>
          </w:tcPr>
          <w:p w14:paraId="51962B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Показатели/Категории</w:t>
            </w:r>
          </w:p>
        </w:tc>
        <w:tc>
          <w:tcPr>
            <w:tcW w:w="2802" w:type="dxa"/>
            <w:tcBorders>
              <w:top w:val="single" w:sz="12" w:space="0" w:color="auto"/>
            </w:tcBorders>
          </w:tcPr>
          <w:p w14:paraId="091CA9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ИТР</w:t>
            </w:r>
          </w:p>
        </w:tc>
        <w:tc>
          <w:tcPr>
            <w:tcW w:w="2802" w:type="dxa"/>
            <w:tcBorders>
              <w:top w:val="single" w:sz="12" w:space="0" w:color="auto"/>
            </w:tcBorders>
          </w:tcPr>
          <w:p w14:paraId="2B9AB2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Рабочие</w:t>
            </w:r>
          </w:p>
        </w:tc>
        <w:tc>
          <w:tcPr>
            <w:tcW w:w="2802" w:type="dxa"/>
            <w:tcBorders>
              <w:top w:val="single" w:sz="12" w:space="0" w:color="auto"/>
            </w:tcBorders>
          </w:tcPr>
          <w:p w14:paraId="68C45D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r>
      <w:tr w:rsidR="007D5DF8" w:rsidRPr="00DB5D0D" w14:paraId="13DD930B" w14:textId="77777777" w:rsidTr="009223E5">
        <w:tc>
          <w:tcPr>
            <w:tcW w:w="2802" w:type="dxa"/>
          </w:tcPr>
          <w:p w14:paraId="45BD2A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Принято на работу</w:t>
            </w:r>
          </w:p>
        </w:tc>
        <w:tc>
          <w:tcPr>
            <w:tcW w:w="2802" w:type="dxa"/>
          </w:tcPr>
          <w:p w14:paraId="050117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173</w:t>
            </w:r>
          </w:p>
        </w:tc>
        <w:tc>
          <w:tcPr>
            <w:tcW w:w="2802" w:type="dxa"/>
          </w:tcPr>
          <w:p w14:paraId="15EF20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1826</w:t>
            </w:r>
          </w:p>
        </w:tc>
        <w:tc>
          <w:tcPr>
            <w:tcW w:w="2802" w:type="dxa"/>
          </w:tcPr>
          <w:p w14:paraId="11B626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2536</w:t>
            </w:r>
          </w:p>
        </w:tc>
      </w:tr>
      <w:tr w:rsidR="007D5DF8" w:rsidRPr="00DB5D0D" w14:paraId="34F07E50" w14:textId="77777777" w:rsidTr="009223E5">
        <w:tc>
          <w:tcPr>
            <w:tcW w:w="2802" w:type="dxa"/>
            <w:tcBorders>
              <w:bottom w:val="single" w:sz="12" w:space="0" w:color="auto"/>
            </w:tcBorders>
          </w:tcPr>
          <w:p w14:paraId="365EBE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Уволено</w:t>
            </w:r>
          </w:p>
        </w:tc>
        <w:tc>
          <w:tcPr>
            <w:tcW w:w="2802" w:type="dxa"/>
            <w:tcBorders>
              <w:bottom w:val="single" w:sz="12" w:space="0" w:color="auto"/>
            </w:tcBorders>
          </w:tcPr>
          <w:p w14:paraId="6BCB76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221</w:t>
            </w:r>
          </w:p>
        </w:tc>
        <w:tc>
          <w:tcPr>
            <w:tcW w:w="2802" w:type="dxa"/>
            <w:tcBorders>
              <w:bottom w:val="single" w:sz="12" w:space="0" w:color="auto"/>
            </w:tcBorders>
          </w:tcPr>
          <w:p w14:paraId="778CE7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1622</w:t>
            </w:r>
          </w:p>
        </w:tc>
        <w:tc>
          <w:tcPr>
            <w:tcW w:w="2802" w:type="dxa"/>
            <w:tcBorders>
              <w:bottom w:val="single" w:sz="12" w:space="0" w:color="auto"/>
            </w:tcBorders>
          </w:tcPr>
          <w:p w14:paraId="7391A1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2277</w:t>
            </w:r>
          </w:p>
        </w:tc>
      </w:tr>
    </w:tbl>
    <w:p w14:paraId="092A8A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Вновь принятая рабочая сила едва-едва покрывала убыль по количеству. Но не по качеству! Ведь на завод принимали в основном молодежь, никогда ранее не работавшую на производстве. Их обучали путем индивидуального ученичества у рабочих мест, а также через ФЗУ.</w:t>
      </w:r>
    </w:p>
    <w:p w14:paraId="40203A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Остро не хватало квалифицированных конструкторов самолетных специальностей, специалистов в области холодной обработки металлов, сварки, плановиков</w:t>
      </w:r>
    </w:p>
    <w:p w14:paraId="2F7603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видно из таблицы, очень неплохо выглядит строка с укомплектованностью вахтерами. Примета времени...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D5DF8" w:rsidRPr="00DB5D0D" w14:paraId="54A837CF" w14:textId="77777777" w:rsidTr="009223E5">
        <w:tc>
          <w:tcPr>
            <w:tcW w:w="2802" w:type="dxa"/>
            <w:tcBorders>
              <w:top w:val="single" w:sz="12" w:space="0" w:color="auto"/>
            </w:tcBorders>
          </w:tcPr>
          <w:p w14:paraId="5D7093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Категории</w:t>
            </w:r>
          </w:p>
        </w:tc>
        <w:tc>
          <w:tcPr>
            <w:tcW w:w="2802" w:type="dxa"/>
            <w:tcBorders>
              <w:top w:val="single" w:sz="12" w:space="0" w:color="auto"/>
            </w:tcBorders>
          </w:tcPr>
          <w:p w14:paraId="42D56F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2802" w:type="dxa"/>
            <w:tcBorders>
              <w:top w:val="single" w:sz="12" w:space="0" w:color="auto"/>
            </w:tcBorders>
          </w:tcPr>
          <w:p w14:paraId="112C21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w:t>
            </w:r>
          </w:p>
        </w:tc>
        <w:tc>
          <w:tcPr>
            <w:tcW w:w="2802" w:type="dxa"/>
            <w:tcBorders>
              <w:top w:val="single" w:sz="12" w:space="0" w:color="auto"/>
            </w:tcBorders>
          </w:tcPr>
          <w:p w14:paraId="6506E5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 к плану</w:t>
            </w:r>
          </w:p>
        </w:tc>
      </w:tr>
      <w:tr w:rsidR="007D5DF8" w:rsidRPr="00DB5D0D" w14:paraId="2DF70E91" w14:textId="77777777" w:rsidTr="009223E5">
        <w:tc>
          <w:tcPr>
            <w:tcW w:w="2802" w:type="dxa"/>
          </w:tcPr>
          <w:p w14:paraId="5471EA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ИТР</w:t>
            </w:r>
          </w:p>
        </w:tc>
        <w:tc>
          <w:tcPr>
            <w:tcW w:w="2802" w:type="dxa"/>
          </w:tcPr>
          <w:p w14:paraId="313367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2802" w:type="dxa"/>
          </w:tcPr>
          <w:p w14:paraId="1C1179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776</w:t>
            </w:r>
          </w:p>
        </w:tc>
        <w:tc>
          <w:tcPr>
            <w:tcW w:w="2802" w:type="dxa"/>
          </w:tcPr>
          <w:p w14:paraId="655FF9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w:t>
            </w:r>
          </w:p>
        </w:tc>
      </w:tr>
      <w:tr w:rsidR="007D5DF8" w:rsidRPr="00DB5D0D" w14:paraId="52D4AC23" w14:textId="77777777" w:rsidTr="009223E5">
        <w:tc>
          <w:tcPr>
            <w:tcW w:w="2802" w:type="dxa"/>
          </w:tcPr>
          <w:p w14:paraId="79F69C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Рабочие</w:t>
            </w:r>
          </w:p>
        </w:tc>
        <w:tc>
          <w:tcPr>
            <w:tcW w:w="2802" w:type="dxa"/>
          </w:tcPr>
          <w:p w14:paraId="04CD94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4700</w:t>
            </w:r>
          </w:p>
        </w:tc>
        <w:tc>
          <w:tcPr>
            <w:tcW w:w="2802" w:type="dxa"/>
          </w:tcPr>
          <w:p w14:paraId="5DCA0D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3803</w:t>
            </w:r>
          </w:p>
        </w:tc>
        <w:tc>
          <w:tcPr>
            <w:tcW w:w="2802" w:type="dxa"/>
          </w:tcPr>
          <w:p w14:paraId="2B7C18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80,9</w:t>
            </w:r>
          </w:p>
        </w:tc>
      </w:tr>
      <w:tr w:rsidR="007D5DF8" w:rsidRPr="00DB5D0D" w14:paraId="0DD4934E" w14:textId="77777777" w:rsidTr="009223E5">
        <w:tc>
          <w:tcPr>
            <w:tcW w:w="2802" w:type="dxa"/>
          </w:tcPr>
          <w:p w14:paraId="43DCA0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 и тал ьное строи тел ьство</w:t>
            </w:r>
          </w:p>
        </w:tc>
        <w:tc>
          <w:tcPr>
            <w:tcW w:w="2802" w:type="dxa"/>
          </w:tcPr>
          <w:p w14:paraId="0204E8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w:t>
            </w:r>
          </w:p>
        </w:tc>
        <w:tc>
          <w:tcPr>
            <w:tcW w:w="2802" w:type="dxa"/>
          </w:tcPr>
          <w:p w14:paraId="115FCA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463</w:t>
            </w:r>
          </w:p>
        </w:tc>
        <w:tc>
          <w:tcPr>
            <w:tcW w:w="2802" w:type="dxa"/>
          </w:tcPr>
          <w:p w14:paraId="22FAE2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102,9</w:t>
            </w:r>
          </w:p>
        </w:tc>
      </w:tr>
      <w:tr w:rsidR="007D5DF8" w:rsidRPr="00DB5D0D" w14:paraId="4BC769E1" w14:textId="77777777" w:rsidTr="009223E5">
        <w:tc>
          <w:tcPr>
            <w:tcW w:w="2802" w:type="dxa"/>
          </w:tcPr>
          <w:p w14:paraId="2F23CA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Младший обслуживающи й персонал</w:t>
            </w:r>
          </w:p>
        </w:tc>
        <w:tc>
          <w:tcPr>
            <w:tcW w:w="2802" w:type="dxa"/>
          </w:tcPr>
          <w:p w14:paraId="0B2B3F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w:t>
            </w:r>
          </w:p>
        </w:tc>
        <w:tc>
          <w:tcPr>
            <w:tcW w:w="2802" w:type="dxa"/>
          </w:tcPr>
          <w:p w14:paraId="1520C4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179</w:t>
            </w:r>
          </w:p>
        </w:tc>
        <w:tc>
          <w:tcPr>
            <w:tcW w:w="2802" w:type="dxa"/>
          </w:tcPr>
          <w:p w14:paraId="250F01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102,3</w:t>
            </w:r>
          </w:p>
        </w:tc>
      </w:tr>
      <w:tr w:rsidR="007D5DF8" w:rsidRPr="00DB5D0D" w14:paraId="39D28896" w14:textId="77777777" w:rsidTr="009223E5">
        <w:tc>
          <w:tcPr>
            <w:tcW w:w="2802" w:type="dxa"/>
          </w:tcPr>
          <w:p w14:paraId="3C35BA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Вахтеры</w:t>
            </w:r>
          </w:p>
        </w:tc>
        <w:tc>
          <w:tcPr>
            <w:tcW w:w="2802" w:type="dxa"/>
          </w:tcPr>
          <w:p w14:paraId="743F96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2802" w:type="dxa"/>
          </w:tcPr>
          <w:p w14:paraId="4685AD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w:t>
            </w:r>
          </w:p>
        </w:tc>
        <w:tc>
          <w:tcPr>
            <w:tcW w:w="2802" w:type="dxa"/>
          </w:tcPr>
          <w:p w14:paraId="1159B7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7А</w:t>
            </w:r>
          </w:p>
        </w:tc>
      </w:tr>
      <w:tr w:rsidR="007D5DF8" w:rsidRPr="00DB5D0D" w14:paraId="77D983AF" w14:textId="77777777" w:rsidTr="009223E5">
        <w:tc>
          <w:tcPr>
            <w:tcW w:w="2802" w:type="dxa"/>
          </w:tcPr>
          <w:p w14:paraId="5CCEAD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Ученики ФЗУ</w:t>
            </w:r>
          </w:p>
        </w:tc>
        <w:tc>
          <w:tcPr>
            <w:tcW w:w="2802" w:type="dxa"/>
          </w:tcPr>
          <w:p w14:paraId="7FD174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2802" w:type="dxa"/>
          </w:tcPr>
          <w:p w14:paraId="217FCA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189</w:t>
            </w:r>
          </w:p>
        </w:tc>
        <w:tc>
          <w:tcPr>
            <w:tcW w:w="2802" w:type="dxa"/>
          </w:tcPr>
          <w:p w14:paraId="3E9867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94,5</w:t>
            </w:r>
          </w:p>
        </w:tc>
      </w:tr>
      <w:tr w:rsidR="007D5DF8" w:rsidRPr="00DB5D0D" w14:paraId="5CCA4B71" w14:textId="77777777" w:rsidTr="009223E5">
        <w:tc>
          <w:tcPr>
            <w:tcW w:w="2802" w:type="dxa"/>
          </w:tcPr>
          <w:p w14:paraId="6E9DD4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Ученики взрослые</w:t>
            </w:r>
          </w:p>
        </w:tc>
        <w:tc>
          <w:tcPr>
            <w:tcW w:w="2802" w:type="dxa"/>
          </w:tcPr>
          <w:p w14:paraId="37F4AD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802" w:type="dxa"/>
          </w:tcPr>
          <w:p w14:paraId="40A9C6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501</w:t>
            </w:r>
          </w:p>
        </w:tc>
        <w:tc>
          <w:tcPr>
            <w:tcW w:w="2802" w:type="dxa"/>
          </w:tcPr>
          <w:p w14:paraId="4C2C5B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100,2</w:t>
            </w:r>
          </w:p>
        </w:tc>
      </w:tr>
      <w:tr w:rsidR="007D5DF8" w:rsidRPr="00DB5D0D" w14:paraId="6E028949" w14:textId="77777777" w:rsidTr="009223E5">
        <w:tc>
          <w:tcPr>
            <w:tcW w:w="2802" w:type="dxa"/>
            <w:tcBorders>
              <w:bottom w:val="single" w:sz="12" w:space="0" w:color="auto"/>
            </w:tcBorders>
          </w:tcPr>
          <w:p w14:paraId="57BD1F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2802" w:type="dxa"/>
            <w:tcBorders>
              <w:bottom w:val="single" w:sz="12" w:space="0" w:color="auto"/>
            </w:tcBorders>
          </w:tcPr>
          <w:p w14:paraId="0D7F3D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6975</w:t>
            </w:r>
          </w:p>
        </w:tc>
        <w:tc>
          <w:tcPr>
            <w:tcW w:w="2802" w:type="dxa"/>
            <w:tcBorders>
              <w:bottom w:val="single" w:sz="12" w:space="0" w:color="auto"/>
            </w:tcBorders>
          </w:tcPr>
          <w:p w14:paraId="6579D9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6058</w:t>
            </w:r>
          </w:p>
        </w:tc>
        <w:tc>
          <w:tcPr>
            <w:tcW w:w="2802" w:type="dxa"/>
            <w:tcBorders>
              <w:bottom w:val="single" w:sz="12" w:space="0" w:color="auto"/>
            </w:tcBorders>
          </w:tcPr>
          <w:p w14:paraId="0EA514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w:t>
            </w:r>
          </w:p>
        </w:tc>
      </w:tr>
    </w:tbl>
    <w:p w14:paraId="725998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Причины текучки среди рабочих и И ГР были все те же - плохое снабжение и скверные жилищные условия. К этому следует прибавить дефицит мест в детском саду и яслях и неудобное сообщение с городом.</w:t>
      </w:r>
    </w:p>
    <w:p w14:paraId="722AFF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Структура жилого фонда авиазавода выглядела следующим образом:</w:t>
      </w:r>
    </w:p>
    <w:p w14:paraId="768BE3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каменных домов общей площадью 14 032 кв. м -44 деревянных двухэтажных дома общей площадью 13 030 кв. м -47 одноэтажных бараков (площадь 19810 кв. м) -четыре шлакобетонных дома (1785 кв. м) -пять временно приспособленных для жилья деревянных домов (175 кв. м) -два арендованных дома (1380 кв. м). Всего жилплощадь завода составляла 51 607 кв. м, т.е. на одного работающего приходилось более семи квадратных метров. 11о эта цифра не учитывает членов семьи, а принимая во внимание многочисленность тогдашних "ячеек общества", то получится совсем мало - немногим более 1 кв. м. Поскольку цифра средняя, то она ярче всего характеризует тесноту, в которой жили в основном рабочие, самая многочисленная категория заводчан.</w:t>
      </w:r>
    </w:p>
    <w:p w14:paraId="6F9E89C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178D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закончились заводские испытания И-220 М-87Б, которые проходили с 20 февраля 1940 пока машина не была снята (2090,232).</w:t>
      </w:r>
    </w:p>
    <w:p w14:paraId="12A1FFB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DC8E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закончились заводские испытания И-180 М-88Р, а потом на гос. испытаниях машина была разбита (2090,132).</w:t>
      </w:r>
    </w:p>
    <w:p w14:paraId="074F438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DF85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в ходе гос. испытаний И-301 М-105 П, которые проводились в НИИ ВВС с 14 по 27 июня 1940 л Супруном и П.М.Стефановским был облет И-301 и летали г-л Филин, п/комиссар Холопцев, п Кабанов. При посадке была обнаружена течь радиатора. Машина дорабатывалась (2922).</w:t>
      </w:r>
    </w:p>
    <w:p w14:paraId="480FE8C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618C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26 июня по 4 сентября 1940 г. в НИП АВ ВВС КА проводились полигонные испытания СБ № 221. вооруженного ракетными осколочными и бронебойными снарядами типа PC-132 и РБС-132. Ракетные орудия РО-132 монтировались под крылом самолета. Стрельба велась с пикирования под углами 45-50гр с дистанции 1500-1700 м. Было установлено, что вероятное круговое отклонение РБС-132 при стрельбе в воздухе примерно в 1,4 раза было меньше, чем при стрельбе PC-132. и не превышало 30 м в боковом направлении (вместо 40 м для PC-132) и 39 м по дальности (вместо 55 м для PC-132).</w:t>
      </w:r>
    </w:p>
    <w:p w14:paraId="2A5541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Несмотря на общие положительные результаты стрельб, было принято решение запретить применение РБС-132 для стрельбы с самолета СБ. Дело в том, что при стрельбе РБС-132. как на земле, так и воздухе, от мощной газовой струи деформировались элероны самолета. По этой причине в ходе полигонных стрельб произошло разрушение элерона самолета. Вносить какие-либо изменения в конструкцию установки ракетных орудий под крылом самолета посчитали нецелесообразным (9655).</w:t>
      </w:r>
    </w:p>
    <w:p w14:paraId="23ABDCE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345F7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полковник Фомичев доложил рапортом о завершении обучения группы и принятии двух заводских "Звеньев-СПБ". Но только сам завод, чутко реагируя на обстановку, тут же прекратил дальнейшее переоборудование самолетов под "Звено-СПБ", хотя было заготовлено уже все необходимое для нескольких комплексов. На КБФ формирование "спецназа" тоже по каким-то причинам было отложено, и лишь стараниями Коробкова и Никитенко сохранена единственная эскадрилья СПБ на Черноморском флоте (8636).</w:t>
      </w:r>
    </w:p>
    <w:p w14:paraId="7E39F5C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9639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 на основании постановления ЦК ВКП(б) и СНК за № 1080/425сс завод им. КПГ был передан из НКОМ в НКАП (9226).</w:t>
      </w:r>
    </w:p>
    <w:p w14:paraId="6E3AA9F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B9694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 вышло постановление ЦК ВКП(б) и СНК за № 1080/425сс о перевод завода полиграфического оборудования в НКАП и стал заводом № 487 (9356).</w:t>
      </w:r>
    </w:p>
    <w:p w14:paraId="3AC6798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31A774"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26 июня 1940 г. в контрольном листе № учета выполнения постановления правительства № 430сс от 21 ноября 1939 о производстве подвесных бензобаков для УВВС РККА НКАПом в 1939-40 гг. была сделана запись:</w:t>
      </w:r>
    </w:p>
    <w:p w14:paraId="6AF204CC"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Справка от тов. Туманова о выпуске ВИАМ подвесных бензобаков</w:t>
      </w:r>
    </w:p>
    <w:p w14:paraId="61AF0975"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На 26 июня ВИАМ сдал на окончательную комплектацию на завод № 1 - 6162 бака и на завод № 301 - 887 баков. Всего 7049 баков.</w:t>
      </w:r>
    </w:p>
    <w:p w14:paraId="130AB761"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На 10 июля 1940</w:t>
      </w:r>
    </w:p>
    <w:p w14:paraId="1D29D0F8"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Количество бензобаков, выпущенных заводом № 21 НКАП:</w:t>
      </w:r>
    </w:p>
    <w:p w14:paraId="68426D91"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декабрь - 1200</w:t>
      </w:r>
    </w:p>
    <w:p w14:paraId="57724BB6"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январь - с декабрем - 1200</w:t>
      </w:r>
    </w:p>
    <w:p w14:paraId="56CF5E81"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февраль - 800.</w:t>
      </w:r>
    </w:p>
    <w:p w14:paraId="6C696F73"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Справка дана работником ПГУ НКАП Зеленовым (10106).</w:t>
      </w:r>
    </w:p>
    <w:p w14:paraId="23E580E5" w14:textId="77777777" w:rsidR="00A25AD1" w:rsidRPr="00DB5D0D" w:rsidRDefault="00A25AD1" w:rsidP="00DB5D0D">
      <w:pPr>
        <w:pStyle w:val="27"/>
        <w:shd w:val="clear" w:color="auto" w:fill="auto"/>
        <w:spacing w:after="0" w:line="240" w:lineRule="auto"/>
        <w:ind w:firstLine="0"/>
        <w:rPr>
          <w:rFonts w:ascii="Times New Roman" w:cs="Times New Roman"/>
          <w:color w:val="000000" w:themeColor="text1"/>
          <w:spacing w:val="0"/>
        </w:rPr>
      </w:pPr>
    </w:p>
    <w:p w14:paraId="368E9D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 начальник НИП АВ полковник Шевченко и военком НИП АВ в/инженер 2 ранга Щербинин утвердили:</w:t>
      </w:r>
    </w:p>
    <w:p w14:paraId="18333B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осколочных бомб АО-2,5 переделанных из 45 мм артснарядов опытного суррогатного снаряжения 1939 года, завода № 12</w:t>
      </w:r>
    </w:p>
    <w:p w14:paraId="0079A2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 8 апреля 1940 года</w:t>
      </w:r>
    </w:p>
    <w:p w14:paraId="55532D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11 июня 1940 года</w:t>
      </w:r>
    </w:p>
    <w:p w14:paraId="73035C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62FA20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0ADEB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имело целью определить:</w:t>
      </w:r>
    </w:p>
    <w:p w14:paraId="1B3F8C5B"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w:t>
      </w:r>
    </w:p>
    <w:p w14:paraId="6FF84291" w14:textId="77777777" w:rsidR="00A25AD1" w:rsidRPr="00DB5D0D" w:rsidRDefault="00A25AD1"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221EA7C5"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действия бомб.</w:t>
      </w:r>
    </w:p>
    <w:p w14:paraId="0D16E40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в полете.</w:t>
      </w:r>
    </w:p>
    <w:p w14:paraId="42374B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E5EB88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АО-2,5 переделанные из 45 мм артснарядов снаряженные АМТ 80/20 НБК и АМН 88/12 НБК по осколочному действию и рациональному дроблению корпуса бомбы взрывчатым веществом в сравнении с бомбами АО-2,5 снаряженных французской смесью-заливкой дали неудовлетворительные результаты и полигонные испытания не выдержали (7552).</w:t>
      </w:r>
    </w:p>
    <w:p w14:paraId="72D947D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14A4E8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 на НИП АВ ВВС закончились полигонные испытания 5 вариантов дымпатронов ДП-40, изготовленных заводом № 12, которые проходили с 13 июня 1940.</w:t>
      </w:r>
    </w:p>
    <w:p w14:paraId="157F27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4A121D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Лавров</w:t>
      </w:r>
    </w:p>
    <w:p w14:paraId="33F6B1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9F8C7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видимость разрывов бомб П-40 при бомбометании с высоты 8000 м.</w:t>
      </w:r>
    </w:p>
    <w:p w14:paraId="780C0D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были предъявлены дымпатроны следующих рецептур:</w:t>
      </w:r>
    </w:p>
    <w:p w14:paraId="016B87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валового снаряжения (метод заливки).</w:t>
      </w:r>
    </w:p>
    <w:p w14:paraId="1530AA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опытного (метод набивики).</w:t>
      </w:r>
    </w:p>
    <w:p w14:paraId="070000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Аммотол опытного</w:t>
      </w:r>
    </w:p>
    <w:p w14:paraId="261ACE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Французская смесь</w:t>
      </w:r>
    </w:p>
    <w:p w14:paraId="6D60D9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ДНН/ТНТ</w:t>
      </w:r>
    </w:p>
    <w:p w14:paraId="377597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554CFE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Дымпатроны ДП-40, снаряженные:</w:t>
      </w:r>
    </w:p>
    <w:p w14:paraId="11B8A8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валового снаряжения (метод заливки).</w:t>
      </w:r>
    </w:p>
    <w:p w14:paraId="742849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опытного (метод набивики).</w:t>
      </w:r>
    </w:p>
    <w:p w14:paraId="48A7DA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Аммотол опытного</w:t>
      </w:r>
    </w:p>
    <w:p w14:paraId="6A710B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Французская смесь</w:t>
      </w:r>
    </w:p>
    <w:p w14:paraId="0DD35F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ДНН/ТНТ</w:t>
      </w:r>
    </w:p>
    <w:p w14:paraId="00FEEE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обеспечению видимости разрывов с высоты 8000 м – полигонные испытания не выдержали.</w:t>
      </w:r>
    </w:p>
    <w:p w14:paraId="4F0990B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наблюдений разрывов с высоты бомбометания не больше 6000 м, считать равноценными ДП-40:</w:t>
      </w:r>
    </w:p>
    <w:p w14:paraId="3D0176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валового снаряжения</w:t>
      </w:r>
    </w:p>
    <w:p w14:paraId="7C2DDB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опытного снаряжения</w:t>
      </w:r>
    </w:p>
    <w:p w14:paraId="065487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ДНН/ТНТ (7537).</w:t>
      </w:r>
    </w:p>
    <w:p w14:paraId="73EBAEA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97FFF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94311F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D1571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июня 1940 г. вышел Указ Президиума Верховного Совета СССР в отношении предания суду летунов и прогульщиков. Отныне опоздание на работу свыше 20 минут приравнивалось к прогулу, за который рабочий нес уже не административную, а уголовную ответственность. Основным наказанием были определены исправительные работы, — как правило, на этом же предприятии, но уже бесплатно. [116 — Там же, Оп. 2, Д. 436, Л. 87.]. Кроме того, указ увеличил продолжительность рабочего дня до семи часов, а рабочую неделю — до семи дней. [117 — Сомов В.А. Указ. соч., с. 27.] Таким образом, никаких выходных дней отныне не было, народ должен был трудиться и еще раз трудиться. Такого не было даже в Древнем Риме, где рабы и то имели право на дни отдыха. Фактически с этого момента крепостное право в России было возвращено в полном объеме. Теперь наряду с крепостными крестьянами-колхозниками появились и крепостные рабочие, насильно прикрепленные к тому или иному заводу. В дополнение к Указу 22 июля того же года нарком юстиции и прокурор СССР издали совместный приказ, согласно которому рабочие, ушедшие на обед более чем на 20 минут раньше положенного времени и вернувшиеся с трапезы более чем через 20 минут после официально установленного времени, должны были привлекаться к судебной ответственности, как за прогул. [118 — ГУ ЦАНО, Ф. 2439, Оп. 2, с. 48.] Первый приказ директора завода № 92 А. Е. Еляна по преданию суду 38 прогульщиков был подписан 20 июля. В дальнейшем, в течение месяца, в суд передали дела еще на 201 прогульщика. [119 — Д. 442, Л. 73, 78, 86, 103, 120, 128, 155, 170, 183.] В результате этих мер в сентябре количество прогульщиков сократилось в среднем с 25 до 8 человек в день. Но в то же время резко возросло сокрытие прогулов и предоставление задним числом административных отпусков, и реальное состояние дисциплины улучшилось незначительно. За первые десять лет существования завода № 92 проблемы трудовой дисциплины оказывали сильное влияние на его работу. Прогулы и опоздания, многочисленные поломки и аварии оборудования, несмотря на постоянную борьбу с ними, дезорганизовывали работу цехов, порождали высокую текучесть кадров. Подобная ситуация складывалась на всех предприятиях страны, из-за чего и появился пресловутый Указ от 26 июня, фактически вернувший в промышленность крепостное право, забытое в России 80 лет назад. Однако массовые прогулы и текучесть кадров вовсе не оправдывают драконовских мер, принятых сталинским руководством. Вместо того чтобы создать эффективную систему стимулирования труда, предпочли просто прибегнуть к банальной принудиловке. Кроме того, Указ от 26 июня фактически означал поражение советской власти в идеологическом воспитании трудящихся. Тем самым власть признала, что одними только </w:t>
      </w:r>
      <w:r w:rsidRPr="00DB5D0D">
        <w:rPr>
          <w:rFonts w:ascii="Times New Roman" w:hAnsi="Times New Roman"/>
          <w:color w:val="000000" w:themeColor="text1"/>
          <w:sz w:val="16"/>
          <w:szCs w:val="16"/>
        </w:rPr>
        <w:lastRenderedPageBreak/>
        <w:t>лозунгами типа «трудись ради Родины» и призывами к энтузиазму заставить людей хорошо работать не удалось. Поэтому власти дальше решили действовать по принципу «Не хочешь — заставим!» (11741).</w:t>
      </w:r>
    </w:p>
    <w:p w14:paraId="4AB3C2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D4863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26 июня 1940 года в войска с завода N 8 было отгружено 307 45-мм казематных установок ДОТ-4 изготовления 1939 года и 103, изготовленных в 1940 году. Из них в Каменец-Подольском укрепрайоне было установлено 12 систем, в Гродно - 24, в Осовце - 24, в Брест-Литовске - 24, во Владивостоке - 55 и т.д. Установки ДОТ-4 успешно применялись в Великой Отечественной войне и долгие годы оставались на вооружении (3861).</w:t>
      </w:r>
    </w:p>
    <w:p w14:paraId="0D11474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E772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26 июня 1940 г. в войска было отгружено 307 установок ДОТ-4 изготовления 1939 г. и 103, изготовленные в 1940 г. Из них в Каменец-Подольском укрепрайоне было установлено 12 систем, в Гродно — 24, в Осовце — 24, в Брест-Литовске — 24, во Владивостоке — 55 и т. д.</w:t>
      </w:r>
    </w:p>
    <w:p w14:paraId="4C1A32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Установки ДОТ-4 успешно применялись в Великой Отечественной войне и долгие годы оставались на вооружении.</w:t>
      </w:r>
    </w:p>
    <w:p w14:paraId="240C2E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была оснащена 45-мм танковой пушкой обр. 1934 года, спаренной с 7,62-мм пулеметом ДС с оптическим прицелом КТ-1. Пушка танковая штатная с усиленной люлькой. Пулемет ДС крепился на верхнем станке пушки справа. Шаровой наконечник надульника служил центром вращения пулемета. Шар служил для крепления качающейся части установки. Крепление установки с орудием осуществлено посредством двух шаров: шара бронировки и шара, ввернутого в воротник амбразуры короба. Уравновешивающий механизм пружинный. Подъемный и поворотный механизмы пушки секторного типа. Установка имела сиденье с ножным спуском.</w:t>
      </w:r>
    </w:p>
    <w:p w14:paraId="0270F2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монтаже установки воротник с коробом заделывался в бетон заранее, до монтажа всей установки. При заделке короба его козырек служил опорной площадкой для роликов нижнего станка.</w:t>
      </w:r>
    </w:p>
    <w:p w14:paraId="421789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Данные установки ДОТ-4 </w:t>
      </w:r>
    </w:p>
    <w:p w14:paraId="1BFF52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Калибр орудия, мм — 45</w:t>
      </w:r>
    </w:p>
    <w:p w14:paraId="2D1ECC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ВН, град — −12; +12</w:t>
      </w:r>
    </w:p>
    <w:p w14:paraId="11873E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ГН, град — 60</w:t>
      </w:r>
    </w:p>
    <w:p w14:paraId="0C7E59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линии огня от пола каземата, мм — 1475</w:t>
      </w:r>
    </w:p>
    <w:p w14:paraId="663324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амбразурного короба в собранном виде, мм — 1000</w:t>
      </w:r>
    </w:p>
    <w:p w14:paraId="53008F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Раствор воротника (высотах ширина), мм — 465 х 720</w:t>
      </w:r>
    </w:p>
    <w:p w14:paraId="579196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Раствор короба (высотах ширина), мм — 765 х 1360</w:t>
      </w:r>
    </w:p>
    <w:p w14:paraId="074B90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ствола орудия с затвором, кгм — 113</w:t>
      </w:r>
    </w:p>
    <w:p w14:paraId="78FBEF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орудия с противооткатными устройствами, кг — 138</w:t>
      </w:r>
    </w:p>
    <w:p w14:paraId="74307E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амбразурного короба, кг — 1545</w:t>
      </w:r>
    </w:p>
    <w:p w14:paraId="037CD2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бронещита, кг — 31</w:t>
      </w:r>
    </w:p>
    <w:p w14:paraId="66A9AD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шара, кг — 105</w:t>
      </w:r>
    </w:p>
    <w:p w14:paraId="1672E6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прижимного щита, кг — 96</w:t>
      </w:r>
    </w:p>
    <w:p w14:paraId="5105F5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верхнего станка, кг — 97</w:t>
      </w:r>
    </w:p>
    <w:p w14:paraId="6CA10D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нижнего станка, кг — 140</w:t>
      </w:r>
    </w:p>
    <w:p w14:paraId="79A00D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всей собранной установки, кг — 2364</w:t>
      </w:r>
    </w:p>
    <w:p w14:paraId="0C2CD7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стрельбе снарядом О-240 с начальной скоростью 335 м/с под углом 1151 дальность составляла 3000 м (12705).</w:t>
      </w:r>
    </w:p>
    <w:p w14:paraId="2F53AD4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2A5E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26 июня по 2 июля 1940 прошли повторные полигонные испытания ПТР Рукавишникова и Владимирова. ПТРВ изготовили для испытаний по чертежам опытного образца, а ружье конкурента взяли из серии в 50 единиц с завода №2. В ходе испытаний у ПТРВ выявили недопустимо большую отдачу, сильно утомлявшую стрелка. Отсутствие приклада также признали неудобным. ПТРР при стрельбе засыпало стрелка песком, пылью, мелкой травой и обдавало горячими газами, что сильно затрудняло стрельбу. При принятии на вооружение ПТРР в комплекте к нему был предусмотрен брезентовый чехол-подстилка для крепления к грунту под дульным тормозом (не трудно представить, как второй номер в бою под огнем перемещает этот брезент при изменении направления стрельбы или смене огневой позиции!). ПТРР было чувствительно к запылению, при этом заклинивало его подвижную систему. У него было 70% задержек с сухими патронами заводского изготовления, а у ПТРВ - 17%. При стрельбе патронами, покрытыми слоями парафина и лака, ПТР работали лучше. Автоматика ружья не работала при упоре его в массивную неподвижную опору, а также совсем без упора, на весу. </w:t>
      </w:r>
    </w:p>
    <w:p w14:paraId="4C68A3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итоге комиссия сделала вывод, что ружья испытания не выдержали и их необходимо доработать, прежде всего, для стрельбы нормальными, непарафинированными патронами, и устранить неэкстракцию гильз. Комиссия отметила хорошую живучесть деталей, особенно стволов, которая увеличилась в 1,5 раза по сравнению с предыдущими испытаниями. Отметили необходимость доработки и патрона. В конце протокола была фраза: «С актом комиссии ознакомлен и с выводами согласен» и стояли личные подписи Владимирова и Рукавишникова. Через несколько недель, 26 июля 1940 г., КО принял постановление, гласившее: «ПТР 14,5 мм и боеприпасы к нему с вооружения снять и производство прекратить» (12093).</w:t>
      </w:r>
    </w:p>
    <w:p w14:paraId="655524B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E6F4C31"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26 июня по 2 июля 1940 были проведены повторные полигонные испытания ПТРР и ПТРВ. ПТРВ изготовили для испытаний по чертежам опытного образца, а ружье конкурента взяли из серии в 50 единиц с завода №2. В ходе испытаний у ПТРВ выявили недопустимо большую отдачу, сильно утомлявшую стрелка. Отсутствие приклада также признали неудобным. ПТРР при стрельбе засыпало стрелка песком, пылью, мелкой травой и обдавало горячими газами, что сильно затрудняло стрельбу. При принятии на вооружение ПТРР в комплекте к нему был предусмотрен брезентовый чехол-подстилка для крепления к грунту под дульным тормозом (не трудно представить, как второй номер в бою под огнем перемещает этот брезент при изменении направления стрельбы или смене огневой позиции!). ПТРР было чувствительно к запылению, при этом заклинивало его подвижную систему. У него было 70% задержек с сухими патронами заводского изготовления, а у ПТРВ — 17%. При стрельбе патронами, покрытыми слоями парафина и лака, ПТР работали лучше. Автоматика ружья не работала при упоре его в массивную неподвижную опору, а также совсем без упора, на весу.</w:t>
      </w:r>
    </w:p>
    <w:p w14:paraId="5ECAABFF"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итоге комиссия сделала вывод, что ружья испытания не выдержали и их необходимо доработать, прежде всего, для стрельбы нормальными, непарафинированными патронами, и устранить неэкстракцию гильз. Комиссия отметила хорошую живучесть деталей, особенно стволов, которая увеличилась в 1,5 раза по сравнению с предыдущими испытаниями, Отметили необходимость доработки и патрона. В конце протокола была фраза: «С актом комиссии ознакомлен и с выводами согласен» и стояли личные подписи Владимирова и Рукавишникова. Через несколько недель, 26 июля 1940 г., КО принял постановление, гласившее: «ПТР 14,5 мм и боеприпасы к нему с вооружения снять и производство прекратить» (18638).</w:t>
      </w:r>
    </w:p>
    <w:p w14:paraId="20353852" w14:textId="77777777" w:rsidR="003C0C51" w:rsidRPr="00DB5D0D" w:rsidRDefault="003C0C51" w:rsidP="00DB5D0D">
      <w:pPr>
        <w:spacing w:after="0" w:line="240" w:lineRule="auto"/>
        <w:jc w:val="both"/>
        <w:rPr>
          <w:rFonts w:ascii="Times New Roman" w:hAnsi="Times New Roman"/>
          <w:color w:val="000000" w:themeColor="text1"/>
          <w:sz w:val="16"/>
          <w:szCs w:val="16"/>
        </w:rPr>
      </w:pPr>
    </w:p>
    <w:p w14:paraId="34BE5DBC" w14:textId="77777777" w:rsidR="004857DE" w:rsidRPr="00DB5D0D" w:rsidRDefault="004857DE"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 26 июня по 2 июля 1940 комиссия по проверке ПТРР и ПТРВ под председательством начальника УСВ Склизкова, созданная 17 июня 1940 г. Распоряжением КО, провела повторные полигонные испытания. ПТРВ изготовили для испытаний по чертежам опытного образца, а ружье конкурента взяли из серии в 50 единиц с завода №2. В ходе испытаний у ПТРВ выявили недопустимо большую отдачу, сильно утомлявшую стрелка. Отсутствие приклада также признали неудобным. ПТРР при стрельбе засыпало стрелка песком, пылью, мелкой травой и обдавало горячими газами, что сильно затрудняло стрельбу. При принятии на вооружение ПТРР в комплекте к нему был предусмотрен брезентовый чехол-подстилка для крепления к грунту под дульным тормозом (не трудно представить, как второй номер в бою под огнем перемещает этот брезент при изменении направления стрельбы или смене огневой позиции!). ПТРР было чувствительно к запылению, при этом заклинивало его подвижную систему. У него было 70% задержек с сухими патронами заводского изготовления, а у ПТРВ – 17%. При стрельбе патронами, покрытыми слоями парафина и лака, ПТР работали лучше. Автоматика ружья не работала при упоре его в массивную неподвижную опору, а также совсем без упора, на весу.</w:t>
      </w:r>
    </w:p>
    <w:p w14:paraId="061EB4C4" w14:textId="77777777" w:rsidR="004857DE" w:rsidRPr="00DB5D0D" w:rsidRDefault="004857DE"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итоге комиссия сделала вывод, что ружья испытания не выдержали и их необходимо доработать, прежде всего, для стрельбы нормальными, непарафинированными патронами, и устранить неэкстракцию гильз. Комиссия отметила хорошую живучесть деталей, особенно стволов, которая увеличилась в 1,5 раза по сравнению с предыдущими испытаниями, Отметили необходимость доработки и патрона. В конце протокола была фраза: «С актом комиссии ознакомлен и с выводами согласен» и стояли личные подписи Владимирова и Рукавишникова. Через несколько недель, 26 июля 1940 г., КО принял постановление, гласившее: «ПТР 14,5 мм и боеприпасы к нему с вооружения снять и производство прекратить» (17498).</w:t>
      </w:r>
    </w:p>
    <w:p w14:paraId="630970E8" w14:textId="77777777" w:rsidR="004857DE" w:rsidRPr="00DB5D0D" w:rsidRDefault="004857DE" w:rsidP="00DB5D0D">
      <w:pPr>
        <w:spacing w:after="0" w:line="240" w:lineRule="auto"/>
        <w:jc w:val="both"/>
        <w:rPr>
          <w:rFonts w:ascii="Times New Roman" w:eastAsia="Times New Roman" w:hAnsi="Times New Roman"/>
          <w:color w:val="000000" w:themeColor="text1"/>
          <w:sz w:val="16"/>
          <w:szCs w:val="16"/>
          <w:lang w:eastAsia="ru-RU"/>
        </w:rPr>
      </w:pPr>
    </w:p>
    <w:p w14:paraId="7C3D6C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 за № 43/254 вышло поручение О.Б. ЦК ВКП(б) Выписка из протокола № 43 с запиской секретаря парткома Кировского завода Козина и начальника сварочного бюро завода Шашкова (7479, 112-116).</w:t>
      </w:r>
    </w:p>
    <w:p w14:paraId="5B8557E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58A5D63"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По состоянию на на 26 июня 1940 г. была подготовлена Сводка по ХПЗ:</w:t>
      </w:r>
    </w:p>
    <w:p w14:paraId="482D6D57"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На заводе имеется полных 16 комплектов брони и 5 комплектов не поданных. Сварено 7 корпусов, три башни. В сварке 3 корпуса, 7 башен, не считая одной, отправленной на СТЗ. Машин в сборке – 5. </w:t>
      </w:r>
    </w:p>
    <w:p w14:paraId="11C87C4C"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lastRenderedPageBreak/>
        <w:t xml:space="preserve">Договор на поставку брони с Мариупольского завода заключен 15.06.1940 г. Завод отказался из литой брони детали 34.29.019, передней защиты ДТ и крышку бортовой передачи. Необходимо повлиять на завод через НКСМ. </w:t>
      </w:r>
    </w:p>
    <w:p w14:paraId="5355335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Завод СТЗ из 90 наименований заготовок и деталей не выполнил ничего (траков должен поставить к 01.07.1940 г. 11100 шт., на 25.06.1940 г. отправлено 200 шт.). Водяные радиаторы должен поставлять завод ЗИС, к 01.07 – 70 шт., пока не подано ни одного. </w:t>
      </w:r>
    </w:p>
    <w:p w14:paraId="069F989B"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Обрезиненных бандажей колес – есть всего на 4 машины и на 6 машин бандажей для заливки направлено на завод «Красный Треугольник». На последующие машины бандажи будут изготавливать заводы : Людиновский, Проводник Ивторфмаш. Заливку должен производить «ЯРАК». </w:t>
      </w:r>
    </w:p>
    <w:p w14:paraId="33AE196C"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По СТ-700 – нет никакой обеспеченности, первая партия 50 шт. оказалась негодной – необходимо улучшить конструкцию. </w:t>
      </w:r>
    </w:p>
    <w:p w14:paraId="3912170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По изготовлению подшипников на ГНЗ №1 : №1494,1495,1496 – задание не дано. </w:t>
      </w:r>
    </w:p>
    <w:p w14:paraId="060A5CBC"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Козырев (11450).</w:t>
      </w:r>
    </w:p>
    <w:p w14:paraId="56944F12"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12AA36EA" w14:textId="77777777" w:rsidR="00A25AD1" w:rsidRPr="00DB5D0D" w:rsidRDefault="00A25AD1" w:rsidP="00DB5D0D">
      <w:pPr>
        <w:pStyle w:val="a3"/>
        <w:rPr>
          <w:color w:val="000000" w:themeColor="text1"/>
          <w:lang w:val="ru-RU"/>
        </w:rPr>
      </w:pPr>
      <w:r w:rsidRPr="00DB5D0D">
        <w:rPr>
          <w:color w:val="000000" w:themeColor="text1"/>
          <w:lang w:val="ru-RU"/>
        </w:rPr>
        <w:t>26 июня 1949 была подготовлена сводка о ходе подготовительных работ к серийному производ</w:t>
      </w:r>
      <w:r w:rsidRPr="00DB5D0D">
        <w:rPr>
          <w:color w:val="000000" w:themeColor="text1"/>
          <w:lang w:val="ru-RU"/>
        </w:rPr>
        <w:softHyphen/>
        <w:t xml:space="preserve">ству по состоянию на 25 июня 1940 г. </w:t>
      </w:r>
      <w:r w:rsidRPr="00DB5D0D">
        <w:rPr>
          <w:rStyle w:val="143"/>
          <w:rFonts w:ascii="Times New Roman" w:hAnsi="Times New Roman" w:cs="Times New Roman"/>
          <w:i w:val="0"/>
          <w:iCs w:val="0"/>
          <w:color w:val="000000" w:themeColor="text1"/>
          <w:spacing w:val="0"/>
          <w:sz w:val="16"/>
          <w:szCs w:val="16"/>
          <w:lang w:val="ru-RU"/>
        </w:rPr>
        <w:t>26.06.1940№307с</w:t>
      </w:r>
    </w:p>
    <w:p w14:paraId="27096C87"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НАЧАЛЬНИКУ 4 ОТДЕЛА АБТУ КА ВОЕНИНЖЕНЕРУ! РАНГА т. АЛЫМОВУ</w:t>
      </w:r>
    </w:p>
    <w:p w14:paraId="2F952F64"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НАЧАЛЬНИКУ 8 ОТДЕЛА АБГУКА ВОЕНИНЖЕНЕРУ /РАНГА т. АФОНИНУ</w:t>
      </w:r>
    </w:p>
    <w:p w14:paraId="0947D996"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Style w:val="115"/>
          <w:rFonts w:ascii="Times New Roman" w:hAnsi="Times New Roman" w:cs="Times New Roman"/>
          <w:iCs/>
          <w:color w:val="000000" w:themeColor="text1"/>
          <w:sz w:val="16"/>
          <w:szCs w:val="16"/>
          <w:lang w:val="ru-RU"/>
        </w:rPr>
        <w:t>СВОД</w:t>
      </w:r>
      <w:r w:rsidRPr="00DB5D0D">
        <w:rPr>
          <w:rFonts w:ascii="Times New Roman" w:hAnsi="Times New Roman" w:cs="Times New Roman"/>
          <w:i w:val="0"/>
          <w:iCs w:val="0"/>
          <w:color w:val="000000" w:themeColor="text1"/>
          <w:sz w:val="16"/>
          <w:szCs w:val="16"/>
          <w:lang w:val="ru-RU"/>
        </w:rPr>
        <w:t>КА</w:t>
      </w:r>
      <w:r w:rsidRPr="00DB5D0D">
        <w:rPr>
          <w:rStyle w:val="115"/>
          <w:rFonts w:ascii="Times New Roman" w:hAnsi="Times New Roman" w:cs="Times New Roman"/>
          <w:iCs/>
          <w:color w:val="000000" w:themeColor="text1"/>
          <w:sz w:val="16"/>
          <w:szCs w:val="16"/>
          <w:lang w:val="ru-RU"/>
        </w:rPr>
        <w:t>О ХОДЕ ПОДГОТОВКИ К СЕРИЙНОМУ ВЫПУСКУ МАШ. «А-34» НА 25/</w:t>
      </w:r>
      <w:r w:rsidRPr="00DB5D0D">
        <w:rPr>
          <w:rStyle w:val="115"/>
          <w:rFonts w:ascii="Times New Roman" w:hAnsi="Times New Roman" w:cs="Times New Roman"/>
          <w:iCs/>
          <w:noProof w:val="0"/>
          <w:color w:val="000000" w:themeColor="text1"/>
          <w:sz w:val="16"/>
          <w:szCs w:val="16"/>
        </w:rPr>
        <w:t>VI</w:t>
      </w:r>
      <w:r w:rsidRPr="00DB5D0D">
        <w:rPr>
          <w:rStyle w:val="115"/>
          <w:rFonts w:ascii="Times New Roman" w:hAnsi="Times New Roman" w:cs="Times New Roman"/>
          <w:iCs/>
          <w:color w:val="000000" w:themeColor="text1"/>
          <w:sz w:val="16"/>
          <w:szCs w:val="16"/>
          <w:lang w:val="ru-RU"/>
        </w:rPr>
        <w:t>-40 г.</w:t>
      </w:r>
    </w:p>
    <w:p w14:paraId="24730332"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ТЕХНОЛОГИЯ: Спроектировано приспособлений и штампов пер</w:t>
      </w:r>
      <w:r w:rsidRPr="00DB5D0D">
        <w:rPr>
          <w:rFonts w:ascii="Times New Roman" w:hAnsi="Times New Roman" w:cs="Times New Roman"/>
          <w:i w:val="0"/>
          <w:iCs w:val="0"/>
          <w:color w:val="000000" w:themeColor="text1"/>
          <w:sz w:val="16"/>
          <w:szCs w:val="16"/>
          <w:lang w:val="ru-RU"/>
        </w:rPr>
        <w:softHyphen/>
        <w:t>вой очереди 1400наименований, по изготовлению их особых изме</w:t>
      </w:r>
      <w:r w:rsidRPr="00DB5D0D">
        <w:rPr>
          <w:rFonts w:ascii="Times New Roman" w:hAnsi="Times New Roman" w:cs="Times New Roman"/>
          <w:i w:val="0"/>
          <w:iCs w:val="0"/>
          <w:color w:val="000000" w:themeColor="text1"/>
          <w:sz w:val="16"/>
          <w:szCs w:val="16"/>
          <w:lang w:val="ru-RU"/>
        </w:rPr>
        <w:softHyphen/>
        <w:t>нений по отношению к сводке от 10/</w:t>
      </w:r>
      <w:r w:rsidRPr="00DB5D0D">
        <w:rPr>
          <w:rFonts w:ascii="Times New Roman" w:hAnsi="Times New Roman" w:cs="Times New Roman"/>
          <w:i w:val="0"/>
          <w:iCs w:val="0"/>
          <w:noProof w:val="0"/>
          <w:color w:val="000000" w:themeColor="text1"/>
          <w:sz w:val="16"/>
          <w:szCs w:val="16"/>
        </w:rPr>
        <w:t>VI</w:t>
      </w:r>
      <w:r w:rsidRPr="00DB5D0D">
        <w:rPr>
          <w:rFonts w:ascii="Times New Roman" w:hAnsi="Times New Roman" w:cs="Times New Roman"/>
          <w:i w:val="0"/>
          <w:iCs w:val="0"/>
          <w:color w:val="000000" w:themeColor="text1"/>
          <w:sz w:val="16"/>
          <w:szCs w:val="16"/>
          <w:lang w:val="ru-RU"/>
        </w:rPr>
        <w:t>-40</w:t>
      </w:r>
      <w:r w:rsidRPr="00DB5D0D">
        <w:rPr>
          <w:rFonts w:ascii="Times New Roman" w:hAnsi="Times New Roman" w:cs="Times New Roman"/>
          <w:i w:val="0"/>
          <w:iCs w:val="0"/>
          <w:noProof w:val="0"/>
          <w:color w:val="000000" w:themeColor="text1"/>
          <w:sz w:val="16"/>
          <w:szCs w:val="16"/>
        </w:rPr>
        <w:t>r</w:t>
      </w:r>
      <w:r w:rsidRPr="00DB5D0D">
        <w:rPr>
          <w:rFonts w:ascii="Times New Roman" w:hAnsi="Times New Roman" w:cs="Times New Roman"/>
          <w:i w:val="0"/>
          <w:iCs w:val="0"/>
          <w:color w:val="000000" w:themeColor="text1"/>
          <w:sz w:val="16"/>
          <w:szCs w:val="16"/>
          <w:lang w:val="ru-RU"/>
        </w:rPr>
        <w:t>. не произошло. Изготов</w:t>
      </w:r>
      <w:r w:rsidRPr="00DB5D0D">
        <w:rPr>
          <w:rFonts w:ascii="Times New Roman" w:hAnsi="Times New Roman" w:cs="Times New Roman"/>
          <w:i w:val="0"/>
          <w:iCs w:val="0"/>
          <w:color w:val="000000" w:themeColor="text1"/>
          <w:sz w:val="16"/>
          <w:szCs w:val="16"/>
          <w:lang w:val="ru-RU"/>
        </w:rPr>
        <w:softHyphen/>
        <w:t>ление штампов, приспособлений и специнструмента задерживают заводы: «ГАЗ», «СТЗ», «</w:t>
      </w:r>
      <w:r w:rsidRPr="00DB5D0D">
        <w:rPr>
          <w:rFonts w:ascii="Times New Roman" w:hAnsi="Times New Roman" w:cs="Times New Roman"/>
          <w:i w:val="0"/>
          <w:iCs w:val="0"/>
          <w:color w:val="000000" w:themeColor="text1"/>
          <w:sz w:val="16"/>
          <w:szCs w:val="16"/>
        </w:rPr>
        <w:t>I</w:t>
      </w:r>
      <w:r w:rsidRPr="00DB5D0D">
        <w:rPr>
          <w:rFonts w:ascii="Times New Roman" w:hAnsi="Times New Roman" w:cs="Times New Roman"/>
          <w:i w:val="0"/>
          <w:iCs w:val="0"/>
          <w:color w:val="000000" w:themeColor="text1"/>
          <w:sz w:val="16"/>
          <w:szCs w:val="16"/>
          <w:lang w:val="ru-RU"/>
        </w:rPr>
        <w:t>ГПЗ» и «ХТЗ», которые должны изготовить более 1000 наименований приспособлений и штампов, но изготов</w:t>
      </w:r>
      <w:r w:rsidRPr="00DB5D0D">
        <w:rPr>
          <w:rFonts w:ascii="Times New Roman" w:hAnsi="Times New Roman" w:cs="Times New Roman"/>
          <w:i w:val="0"/>
          <w:iCs w:val="0"/>
          <w:color w:val="000000" w:themeColor="text1"/>
          <w:sz w:val="16"/>
          <w:szCs w:val="16"/>
          <w:lang w:val="ru-RU"/>
        </w:rPr>
        <w:softHyphen/>
        <w:t>ленных еще нет. К</w:t>
      </w:r>
      <w:r w:rsidRPr="00DB5D0D">
        <w:rPr>
          <w:rFonts w:ascii="Times New Roman" w:hAnsi="Times New Roman" w:cs="Times New Roman"/>
          <w:i w:val="0"/>
          <w:iCs w:val="0"/>
          <w:noProof w:val="0"/>
          <w:color w:val="000000" w:themeColor="text1"/>
          <w:sz w:val="16"/>
          <w:szCs w:val="16"/>
        </w:rPr>
        <w:t>I</w:t>
      </w:r>
      <w:r w:rsidRPr="00DB5D0D">
        <w:rPr>
          <w:rFonts w:ascii="Times New Roman" w:hAnsi="Times New Roman" w:cs="Times New Roman"/>
          <w:i w:val="0"/>
          <w:iCs w:val="0"/>
          <w:color w:val="000000" w:themeColor="text1"/>
          <w:sz w:val="16"/>
          <w:szCs w:val="16"/>
          <w:lang w:val="ru-RU"/>
        </w:rPr>
        <w:t>/</w:t>
      </w:r>
      <w:r w:rsidRPr="00DB5D0D">
        <w:rPr>
          <w:rFonts w:ascii="Times New Roman" w:hAnsi="Times New Roman" w:cs="Times New Roman"/>
          <w:i w:val="0"/>
          <w:iCs w:val="0"/>
          <w:noProof w:val="0"/>
          <w:color w:val="000000" w:themeColor="text1"/>
          <w:sz w:val="16"/>
          <w:szCs w:val="16"/>
        </w:rPr>
        <w:t>VII</w:t>
      </w:r>
      <w:r w:rsidRPr="00DB5D0D">
        <w:rPr>
          <w:rFonts w:ascii="Times New Roman" w:hAnsi="Times New Roman" w:cs="Times New Roman"/>
          <w:i w:val="0"/>
          <w:iCs w:val="0"/>
          <w:color w:val="000000" w:themeColor="text1"/>
          <w:sz w:val="16"/>
          <w:szCs w:val="16"/>
          <w:lang w:val="ru-RU"/>
        </w:rPr>
        <w:t xml:space="preserve"> все техпроцессы первой очереди с нормаля</w:t>
      </w:r>
      <w:r w:rsidRPr="00DB5D0D">
        <w:rPr>
          <w:rFonts w:ascii="Times New Roman" w:hAnsi="Times New Roman" w:cs="Times New Roman"/>
          <w:i w:val="0"/>
          <w:iCs w:val="0"/>
          <w:color w:val="000000" w:themeColor="text1"/>
          <w:sz w:val="16"/>
          <w:szCs w:val="16"/>
          <w:lang w:val="ru-RU"/>
        </w:rPr>
        <w:softHyphen/>
        <w:t xml:space="preserve">ми будут спущены в производство и к </w:t>
      </w:r>
      <w:r w:rsidRPr="00DB5D0D">
        <w:rPr>
          <w:rFonts w:ascii="Times New Roman" w:hAnsi="Times New Roman" w:cs="Times New Roman"/>
          <w:i w:val="0"/>
          <w:iCs w:val="0"/>
          <w:noProof w:val="0"/>
          <w:color w:val="000000" w:themeColor="text1"/>
          <w:sz w:val="16"/>
          <w:szCs w:val="16"/>
        </w:rPr>
        <w:t>l</w:t>
      </w:r>
      <w:r w:rsidRPr="00DB5D0D">
        <w:rPr>
          <w:rFonts w:ascii="Times New Roman" w:hAnsi="Times New Roman" w:cs="Times New Roman"/>
          <w:i w:val="0"/>
          <w:iCs w:val="0"/>
          <w:color w:val="000000" w:themeColor="text1"/>
          <w:sz w:val="16"/>
          <w:szCs w:val="16"/>
          <w:lang w:val="ru-RU"/>
        </w:rPr>
        <w:t>/</w:t>
      </w:r>
      <w:r w:rsidRPr="00DB5D0D">
        <w:rPr>
          <w:rFonts w:ascii="Times New Roman" w:hAnsi="Times New Roman" w:cs="Times New Roman"/>
          <w:i w:val="0"/>
          <w:iCs w:val="0"/>
          <w:noProof w:val="0"/>
          <w:color w:val="000000" w:themeColor="text1"/>
          <w:sz w:val="16"/>
          <w:szCs w:val="16"/>
        </w:rPr>
        <w:t>VIII</w:t>
      </w:r>
      <w:r w:rsidRPr="00DB5D0D">
        <w:rPr>
          <w:rFonts w:ascii="Times New Roman" w:hAnsi="Times New Roman" w:cs="Times New Roman"/>
          <w:i w:val="0"/>
          <w:iCs w:val="0"/>
          <w:color w:val="000000" w:themeColor="text1"/>
          <w:sz w:val="16"/>
          <w:szCs w:val="16"/>
          <w:lang w:val="ru-RU"/>
        </w:rPr>
        <w:t xml:space="preserve"> - </w:t>
      </w:r>
      <w:r w:rsidRPr="00DB5D0D">
        <w:rPr>
          <w:rFonts w:ascii="Times New Roman" w:hAnsi="Times New Roman" w:cs="Times New Roman"/>
          <w:i w:val="0"/>
          <w:iCs w:val="0"/>
          <w:color w:val="000000" w:themeColor="text1"/>
          <w:sz w:val="16"/>
          <w:szCs w:val="16"/>
        </w:rPr>
        <w:t>II</w:t>
      </w:r>
      <w:r w:rsidRPr="00DB5D0D">
        <w:rPr>
          <w:rFonts w:ascii="Times New Roman" w:hAnsi="Times New Roman" w:cs="Times New Roman"/>
          <w:i w:val="0"/>
          <w:iCs w:val="0"/>
          <w:color w:val="000000" w:themeColor="text1"/>
          <w:sz w:val="16"/>
          <w:szCs w:val="16"/>
          <w:lang w:val="ru-RU"/>
        </w:rPr>
        <w:t xml:space="preserve"> очередь.</w:t>
      </w:r>
    </w:p>
    <w:p w14:paraId="6B4E5560"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Капитальное строительство до сих пор полностью не разверну</w:t>
      </w:r>
      <w:r w:rsidRPr="00DB5D0D">
        <w:rPr>
          <w:rFonts w:ascii="Times New Roman" w:hAnsi="Times New Roman" w:cs="Times New Roman"/>
          <w:i w:val="0"/>
          <w:iCs w:val="0"/>
          <w:color w:val="000000" w:themeColor="text1"/>
          <w:sz w:val="16"/>
          <w:szCs w:val="16"/>
          <w:lang w:val="ru-RU"/>
        </w:rPr>
        <w:softHyphen/>
        <w:t>то. Строительные организации не имеют достаточного количества рабсилы, принимаются меры по вербовке рабсилы в других облас</w:t>
      </w:r>
      <w:r w:rsidRPr="00DB5D0D">
        <w:rPr>
          <w:rFonts w:ascii="Times New Roman" w:hAnsi="Times New Roman" w:cs="Times New Roman"/>
          <w:i w:val="0"/>
          <w:iCs w:val="0"/>
          <w:color w:val="000000" w:themeColor="text1"/>
          <w:sz w:val="16"/>
          <w:szCs w:val="16"/>
          <w:lang w:val="ru-RU"/>
        </w:rPr>
        <w:softHyphen/>
        <w:t>тях, и нет достаточного количества строительных материалов. Мате</w:t>
      </w:r>
      <w:r w:rsidRPr="00DB5D0D">
        <w:rPr>
          <w:rFonts w:ascii="Times New Roman" w:hAnsi="Times New Roman" w:cs="Times New Roman"/>
          <w:i w:val="0"/>
          <w:iCs w:val="0"/>
          <w:color w:val="000000" w:themeColor="text1"/>
          <w:sz w:val="16"/>
          <w:szCs w:val="16"/>
          <w:lang w:val="ru-RU"/>
        </w:rPr>
        <w:softHyphen/>
        <w:t>риалы, согласно решению Правительства, еще не поступают.</w:t>
      </w:r>
    </w:p>
    <w:p w14:paraId="372E3744"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 заводе имеются полных 16 комплектов брони и 5 комплектов не полных. Сварено корпусов 7, башен 3, в сварке корпусов 3, ба</w:t>
      </w:r>
      <w:r w:rsidRPr="00DB5D0D">
        <w:rPr>
          <w:rFonts w:ascii="Times New Roman" w:hAnsi="Times New Roman" w:cs="Times New Roman"/>
          <w:i w:val="0"/>
          <w:iCs w:val="0"/>
          <w:color w:val="000000" w:themeColor="text1"/>
          <w:sz w:val="16"/>
          <w:szCs w:val="16"/>
          <w:lang w:val="ru-RU"/>
        </w:rPr>
        <w:softHyphen/>
        <w:t>шен 7 (не считая отправленных на СТЗ 1 корпус и 1 башня), машин в сборе 5.</w:t>
      </w:r>
    </w:p>
    <w:p w14:paraId="030AFB0E"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Договор на поставку брони с Марзаводом заключен 15/</w:t>
      </w:r>
      <w:r w:rsidRPr="00DB5D0D">
        <w:rPr>
          <w:rFonts w:ascii="Times New Roman" w:hAnsi="Times New Roman" w:cs="Times New Roman"/>
          <w:i w:val="0"/>
          <w:iCs w:val="0"/>
          <w:noProof w:val="0"/>
          <w:color w:val="000000" w:themeColor="text1"/>
          <w:sz w:val="16"/>
          <w:szCs w:val="16"/>
        </w:rPr>
        <w:t>VI</w:t>
      </w:r>
      <w:r w:rsidRPr="00DB5D0D">
        <w:rPr>
          <w:rFonts w:ascii="Times New Roman" w:hAnsi="Times New Roman" w:cs="Times New Roman"/>
          <w:i w:val="0"/>
          <w:iCs w:val="0"/>
          <w:color w:val="000000" w:themeColor="text1"/>
          <w:sz w:val="16"/>
          <w:szCs w:val="16"/>
          <w:lang w:val="ru-RU"/>
        </w:rPr>
        <w:t>. Мар- завод отказался изготавливать из литой брони детали 34-29-019, передняя защита ДГ и дет. 34-16-003 крышка бортовой передачи. Необходимо влияние на Марзавод через НКСМ.</w:t>
      </w:r>
    </w:p>
    <w:p w14:paraId="574E0946"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Завод СТЗ из 90 наименований заготовок идет, выполнил ни</w:t>
      </w:r>
      <w:r w:rsidRPr="00DB5D0D">
        <w:rPr>
          <w:rFonts w:ascii="Times New Roman" w:hAnsi="Times New Roman" w:cs="Times New Roman"/>
          <w:i w:val="0"/>
          <w:iCs w:val="0"/>
          <w:color w:val="000000" w:themeColor="text1"/>
          <w:sz w:val="16"/>
          <w:szCs w:val="16"/>
          <w:lang w:val="ru-RU"/>
        </w:rPr>
        <w:softHyphen/>
        <w:t xml:space="preserve">чего, траков должен поставить к </w:t>
      </w:r>
      <w:r w:rsidRPr="00DB5D0D">
        <w:rPr>
          <w:rFonts w:ascii="Times New Roman" w:hAnsi="Times New Roman" w:cs="Times New Roman"/>
          <w:i w:val="0"/>
          <w:iCs w:val="0"/>
          <w:noProof w:val="0"/>
          <w:color w:val="000000" w:themeColor="text1"/>
          <w:sz w:val="16"/>
          <w:szCs w:val="16"/>
        </w:rPr>
        <w:t>I</w:t>
      </w:r>
      <w:r w:rsidRPr="00DB5D0D">
        <w:rPr>
          <w:rFonts w:ascii="Times New Roman" w:hAnsi="Times New Roman" w:cs="Times New Roman"/>
          <w:i w:val="0"/>
          <w:iCs w:val="0"/>
          <w:color w:val="000000" w:themeColor="text1"/>
          <w:sz w:val="16"/>
          <w:szCs w:val="16"/>
          <w:lang w:val="ru-RU"/>
        </w:rPr>
        <w:t>/</w:t>
      </w:r>
      <w:r w:rsidRPr="00DB5D0D">
        <w:rPr>
          <w:rFonts w:ascii="Times New Roman" w:hAnsi="Times New Roman" w:cs="Times New Roman"/>
          <w:i w:val="0"/>
          <w:iCs w:val="0"/>
          <w:noProof w:val="0"/>
          <w:color w:val="000000" w:themeColor="text1"/>
          <w:sz w:val="16"/>
          <w:szCs w:val="16"/>
        </w:rPr>
        <w:t>VII</w:t>
      </w:r>
      <w:r w:rsidRPr="00DB5D0D">
        <w:rPr>
          <w:rFonts w:ascii="Times New Roman" w:hAnsi="Times New Roman" w:cs="Times New Roman"/>
          <w:i w:val="0"/>
          <w:iCs w:val="0"/>
          <w:color w:val="000000" w:themeColor="text1"/>
          <w:sz w:val="16"/>
          <w:szCs w:val="16"/>
          <w:lang w:val="ru-RU"/>
        </w:rPr>
        <w:t xml:space="preserve"> 11.100 шт., 25/</w:t>
      </w:r>
      <w:r w:rsidRPr="00DB5D0D">
        <w:rPr>
          <w:rFonts w:ascii="Times New Roman" w:hAnsi="Times New Roman" w:cs="Times New Roman"/>
          <w:i w:val="0"/>
          <w:iCs w:val="0"/>
          <w:noProof w:val="0"/>
          <w:color w:val="000000" w:themeColor="text1"/>
          <w:sz w:val="16"/>
          <w:szCs w:val="16"/>
        </w:rPr>
        <w:t>VI</w:t>
      </w:r>
      <w:r w:rsidRPr="00DB5D0D">
        <w:rPr>
          <w:rFonts w:ascii="Times New Roman" w:hAnsi="Times New Roman" w:cs="Times New Roman"/>
          <w:i w:val="0"/>
          <w:iCs w:val="0"/>
          <w:color w:val="000000" w:themeColor="text1"/>
          <w:sz w:val="16"/>
          <w:szCs w:val="16"/>
          <w:lang w:val="ru-RU"/>
        </w:rPr>
        <w:t xml:space="preserve"> отправил всего 200 шт.</w:t>
      </w:r>
    </w:p>
    <w:p w14:paraId="67C69D51"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Водяные радиаторы по последнему решению НКСМ должен по</w:t>
      </w:r>
      <w:r w:rsidRPr="00DB5D0D">
        <w:rPr>
          <w:rFonts w:ascii="Times New Roman" w:hAnsi="Times New Roman" w:cs="Times New Roman"/>
          <w:i w:val="0"/>
          <w:iCs w:val="0"/>
          <w:color w:val="000000" w:themeColor="text1"/>
          <w:sz w:val="16"/>
          <w:szCs w:val="16"/>
          <w:lang w:val="ru-RU"/>
        </w:rPr>
        <w:softHyphen/>
        <w:t xml:space="preserve">ставлять завод «ЗИС», к </w:t>
      </w:r>
      <w:r w:rsidRPr="00DB5D0D">
        <w:rPr>
          <w:rFonts w:ascii="Times New Roman" w:hAnsi="Times New Roman" w:cs="Times New Roman"/>
          <w:i w:val="0"/>
          <w:iCs w:val="0"/>
          <w:noProof w:val="0"/>
          <w:color w:val="000000" w:themeColor="text1"/>
          <w:sz w:val="16"/>
          <w:szCs w:val="16"/>
        </w:rPr>
        <w:t>I</w:t>
      </w:r>
      <w:r w:rsidRPr="00DB5D0D">
        <w:rPr>
          <w:rFonts w:ascii="Times New Roman" w:hAnsi="Times New Roman" w:cs="Times New Roman"/>
          <w:i w:val="0"/>
          <w:iCs w:val="0"/>
          <w:color w:val="000000" w:themeColor="text1"/>
          <w:sz w:val="16"/>
          <w:szCs w:val="16"/>
          <w:lang w:val="ru-RU"/>
        </w:rPr>
        <w:t>/</w:t>
      </w:r>
      <w:r w:rsidRPr="00DB5D0D">
        <w:rPr>
          <w:rFonts w:ascii="Times New Roman" w:hAnsi="Times New Roman" w:cs="Times New Roman"/>
          <w:i w:val="0"/>
          <w:iCs w:val="0"/>
          <w:noProof w:val="0"/>
          <w:color w:val="000000" w:themeColor="text1"/>
          <w:sz w:val="16"/>
          <w:szCs w:val="16"/>
        </w:rPr>
        <w:t>VII</w:t>
      </w:r>
      <w:r w:rsidRPr="00DB5D0D">
        <w:rPr>
          <w:rFonts w:ascii="Times New Roman" w:hAnsi="Times New Roman" w:cs="Times New Roman"/>
          <w:i w:val="0"/>
          <w:iCs w:val="0"/>
          <w:color w:val="000000" w:themeColor="text1"/>
          <w:sz w:val="16"/>
          <w:szCs w:val="16"/>
          <w:lang w:val="ru-RU"/>
        </w:rPr>
        <w:t xml:space="preserve"> должно быть изготовлено 70 радиато</w:t>
      </w:r>
      <w:r w:rsidRPr="00DB5D0D">
        <w:rPr>
          <w:rFonts w:ascii="Times New Roman" w:hAnsi="Times New Roman" w:cs="Times New Roman"/>
          <w:i w:val="0"/>
          <w:iCs w:val="0"/>
          <w:color w:val="000000" w:themeColor="text1"/>
          <w:sz w:val="16"/>
          <w:szCs w:val="16"/>
          <w:lang w:val="ru-RU"/>
        </w:rPr>
        <w:softHyphen/>
        <w:t>ров, но пока нет ни одного.</w:t>
      </w:r>
    </w:p>
    <w:p w14:paraId="498E29EE"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Обрезиненных бандажей колес есть всего на 4 машины и на 6 машин бандажей для заливки направлено заводу Кр. Треуголь</w:t>
      </w:r>
      <w:r w:rsidRPr="00DB5D0D">
        <w:rPr>
          <w:rFonts w:ascii="Times New Roman" w:hAnsi="Times New Roman" w:cs="Times New Roman"/>
          <w:i w:val="0"/>
          <w:iCs w:val="0"/>
          <w:color w:val="000000" w:themeColor="text1"/>
          <w:sz w:val="16"/>
          <w:szCs w:val="16"/>
          <w:lang w:val="ru-RU"/>
        </w:rPr>
        <w:softHyphen/>
        <w:t>ник. На последующие машины бандажи будут изготавливать за</w:t>
      </w:r>
      <w:r w:rsidRPr="00DB5D0D">
        <w:rPr>
          <w:rFonts w:ascii="Times New Roman" w:hAnsi="Times New Roman" w:cs="Times New Roman"/>
          <w:i w:val="0"/>
          <w:iCs w:val="0"/>
          <w:color w:val="000000" w:themeColor="text1"/>
          <w:sz w:val="16"/>
          <w:szCs w:val="16"/>
          <w:lang w:val="ru-RU"/>
        </w:rPr>
        <w:softHyphen/>
        <w:t>воды: Людиновский, Проводник Ивторфмаш. Заливку должен про</w:t>
      </w:r>
      <w:r w:rsidRPr="00DB5D0D">
        <w:rPr>
          <w:rFonts w:ascii="Times New Roman" w:hAnsi="Times New Roman" w:cs="Times New Roman"/>
          <w:i w:val="0"/>
          <w:iCs w:val="0"/>
          <w:color w:val="000000" w:themeColor="text1"/>
          <w:sz w:val="16"/>
          <w:szCs w:val="16"/>
          <w:lang w:val="ru-RU"/>
        </w:rPr>
        <w:softHyphen/>
        <w:t>изводить «ЯРАК».</w:t>
      </w:r>
    </w:p>
    <w:p w14:paraId="6DEB72D0"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По стартерам СТ-700нет никакой обеспеченности, первая партия 5 шт. оказалась негодная, необходимо принять срочные меры по улучшению конструкции и выпуску.</w:t>
      </w:r>
    </w:p>
    <w:p w14:paraId="7CA09037"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 xml:space="preserve">По изготовлению подшипников на </w:t>
      </w:r>
      <w:r w:rsidRPr="00DB5D0D">
        <w:rPr>
          <w:rFonts w:ascii="Times New Roman" w:hAnsi="Times New Roman" w:cs="Times New Roman"/>
          <w:i w:val="0"/>
          <w:iCs w:val="0"/>
          <w:color w:val="000000" w:themeColor="text1"/>
          <w:sz w:val="16"/>
          <w:szCs w:val="16"/>
        </w:rPr>
        <w:t>I</w:t>
      </w:r>
      <w:r w:rsidRPr="00DB5D0D">
        <w:rPr>
          <w:rFonts w:ascii="Times New Roman" w:hAnsi="Times New Roman" w:cs="Times New Roman"/>
          <w:i w:val="0"/>
          <w:iCs w:val="0"/>
          <w:color w:val="000000" w:themeColor="text1"/>
          <w:sz w:val="16"/>
          <w:szCs w:val="16"/>
          <w:lang w:val="ru-RU"/>
        </w:rPr>
        <w:t xml:space="preserve"> ГПЗ №№ 1494, 1495 и 1496 задания не дано, подшипники №№ 1494 и 1496 будут поставлены серийные, № 1495 пока будет изготавливать завод № 183, в даль</w:t>
      </w:r>
      <w:r w:rsidRPr="00DB5D0D">
        <w:rPr>
          <w:rFonts w:ascii="Times New Roman" w:hAnsi="Times New Roman" w:cs="Times New Roman"/>
          <w:i w:val="0"/>
          <w:iCs w:val="0"/>
          <w:color w:val="000000" w:themeColor="text1"/>
          <w:sz w:val="16"/>
          <w:szCs w:val="16"/>
          <w:lang w:val="ru-RU"/>
        </w:rPr>
        <w:softHyphen/>
        <w:t xml:space="preserve">нейшем необходимо добиться изготовления его на </w:t>
      </w:r>
      <w:r w:rsidRPr="00DB5D0D">
        <w:rPr>
          <w:rFonts w:ascii="Times New Roman" w:hAnsi="Times New Roman" w:cs="Times New Roman"/>
          <w:i w:val="0"/>
          <w:iCs w:val="0"/>
          <w:color w:val="000000" w:themeColor="text1"/>
          <w:sz w:val="16"/>
          <w:szCs w:val="16"/>
        </w:rPr>
        <w:t>I</w:t>
      </w:r>
      <w:r w:rsidRPr="00DB5D0D">
        <w:rPr>
          <w:rFonts w:ascii="Times New Roman" w:hAnsi="Times New Roman" w:cs="Times New Roman"/>
          <w:i w:val="0"/>
          <w:iCs w:val="0"/>
          <w:color w:val="000000" w:themeColor="text1"/>
          <w:sz w:val="16"/>
          <w:szCs w:val="16"/>
          <w:lang w:val="ru-RU"/>
        </w:rPr>
        <w:t xml:space="preserve"> ГПЗ.</w:t>
      </w:r>
    </w:p>
    <w:p w14:paraId="36C99B85"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Номенклатура запчастей по А-34 будет разработана к 15/</w:t>
      </w:r>
      <w:r w:rsidRPr="00DB5D0D">
        <w:rPr>
          <w:rFonts w:ascii="Times New Roman" w:hAnsi="Times New Roman" w:cs="Times New Roman"/>
          <w:i w:val="0"/>
          <w:iCs w:val="0"/>
          <w:noProof w:val="0"/>
          <w:color w:val="000000" w:themeColor="text1"/>
          <w:sz w:val="16"/>
          <w:szCs w:val="16"/>
        </w:rPr>
        <w:t>VII</w:t>
      </w:r>
      <w:r w:rsidRPr="00DB5D0D">
        <w:rPr>
          <w:rFonts w:ascii="Times New Roman" w:hAnsi="Times New Roman" w:cs="Times New Roman"/>
          <w:i w:val="0"/>
          <w:iCs w:val="0"/>
          <w:color w:val="000000" w:themeColor="text1"/>
          <w:sz w:val="16"/>
          <w:szCs w:val="16"/>
          <w:lang w:val="ru-RU"/>
        </w:rPr>
        <w:t xml:space="preserve">, наставление по А-34 к 1/Х, каталог запчастей к </w:t>
      </w:r>
      <w:r w:rsidRPr="00DB5D0D">
        <w:rPr>
          <w:rFonts w:ascii="Times New Roman" w:hAnsi="Times New Roman" w:cs="Times New Roman"/>
          <w:i w:val="0"/>
          <w:iCs w:val="0"/>
          <w:noProof w:val="0"/>
          <w:color w:val="000000" w:themeColor="text1"/>
          <w:sz w:val="16"/>
          <w:szCs w:val="16"/>
        </w:rPr>
        <w:t>I</w:t>
      </w:r>
      <w:r w:rsidRPr="00DB5D0D">
        <w:rPr>
          <w:rFonts w:ascii="Times New Roman" w:hAnsi="Times New Roman" w:cs="Times New Roman"/>
          <w:i w:val="0"/>
          <w:iCs w:val="0"/>
          <w:color w:val="000000" w:themeColor="text1"/>
          <w:sz w:val="16"/>
          <w:szCs w:val="16"/>
          <w:lang w:val="ru-RU"/>
        </w:rPr>
        <w:t>/</w:t>
      </w:r>
      <w:r w:rsidRPr="00DB5D0D">
        <w:rPr>
          <w:rFonts w:ascii="Times New Roman" w:hAnsi="Times New Roman" w:cs="Times New Roman"/>
          <w:i w:val="0"/>
          <w:iCs w:val="0"/>
          <w:noProof w:val="0"/>
          <w:color w:val="000000" w:themeColor="text1"/>
          <w:sz w:val="16"/>
          <w:szCs w:val="16"/>
        </w:rPr>
        <w:t>XI</w:t>
      </w:r>
      <w:r w:rsidRPr="00DB5D0D">
        <w:rPr>
          <w:rFonts w:ascii="Times New Roman" w:hAnsi="Times New Roman" w:cs="Times New Roman"/>
          <w:i w:val="0"/>
          <w:iCs w:val="0"/>
          <w:color w:val="000000" w:themeColor="text1"/>
          <w:sz w:val="16"/>
          <w:szCs w:val="16"/>
          <w:lang w:val="ru-RU"/>
        </w:rPr>
        <w:t>, инструкция 1 часть по маш. А-34 разработана для согласования 26/</w:t>
      </w:r>
      <w:r w:rsidRPr="00DB5D0D">
        <w:rPr>
          <w:rFonts w:ascii="Times New Roman" w:hAnsi="Times New Roman" w:cs="Times New Roman"/>
          <w:i w:val="0"/>
          <w:iCs w:val="0"/>
          <w:noProof w:val="0"/>
          <w:color w:val="000000" w:themeColor="text1"/>
          <w:sz w:val="16"/>
          <w:szCs w:val="16"/>
        </w:rPr>
        <w:t>VI</w:t>
      </w:r>
      <w:r w:rsidRPr="00DB5D0D">
        <w:rPr>
          <w:rFonts w:ascii="Times New Roman" w:hAnsi="Times New Roman" w:cs="Times New Roman"/>
          <w:i w:val="0"/>
          <w:iCs w:val="0"/>
          <w:color w:val="000000" w:themeColor="text1"/>
          <w:sz w:val="16"/>
          <w:szCs w:val="16"/>
          <w:lang w:val="ru-RU"/>
        </w:rPr>
        <w:t xml:space="preserve"> направля</w:t>
      </w:r>
      <w:r w:rsidRPr="00DB5D0D">
        <w:rPr>
          <w:rFonts w:ascii="Times New Roman" w:hAnsi="Times New Roman" w:cs="Times New Roman"/>
          <w:i w:val="0"/>
          <w:iCs w:val="0"/>
          <w:color w:val="000000" w:themeColor="text1"/>
          <w:sz w:val="16"/>
          <w:szCs w:val="16"/>
          <w:lang w:val="ru-RU"/>
        </w:rPr>
        <w:softHyphen/>
        <w:t>ется в АБТУ.</w:t>
      </w:r>
    </w:p>
    <w:p w14:paraId="6F601BCC"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Для отработки укладки возимого комплекта на маш. прошу срочно выслать табель личного имущества экипажа и опись ЗИПа вооружения.</w:t>
      </w:r>
    </w:p>
    <w:p w14:paraId="5517632F"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СТ. ВОЕНПРЕД АБТУКА ВОЕНИНЖЕНЕР 2 РАНГА КОЗЫРЕВ.</w:t>
      </w:r>
      <w:r w:rsidRPr="00DB5D0D">
        <w:rPr>
          <w:rStyle w:val="1180"/>
          <w:rFonts w:ascii="Times New Roman" w:hAnsi="Times New Roman" w:cs="Times New Roman"/>
          <w:iCs/>
          <w:color w:val="000000" w:themeColor="text1"/>
          <w:spacing w:val="0"/>
          <w:sz w:val="16"/>
          <w:szCs w:val="16"/>
          <w:lang w:val="ru-RU"/>
        </w:rPr>
        <w:t xml:space="preserve"> [</w:t>
      </w:r>
      <w:r w:rsidRPr="00DB5D0D">
        <w:rPr>
          <w:rFonts w:ascii="Times New Roman" w:hAnsi="Times New Roman" w:cs="Times New Roman"/>
          <w:i w:val="0"/>
          <w:iCs w:val="0"/>
          <w:color w:val="000000" w:themeColor="text1"/>
          <w:sz w:val="16"/>
          <w:szCs w:val="16"/>
          <w:lang w:val="ru-RU"/>
        </w:rPr>
        <w:t>РГВА. Ф.31811. Оп.2. Д. 1181. Л. 139-140</w:t>
      </w:r>
      <w:r w:rsidRPr="00DB5D0D">
        <w:rPr>
          <w:rFonts w:ascii="Times New Roman" w:hAnsi="Times New Roman" w:cs="Times New Roman"/>
          <w:bCs/>
          <w:i w:val="0"/>
          <w:color w:val="000000" w:themeColor="text1"/>
          <w:sz w:val="16"/>
          <w:szCs w:val="16"/>
          <w:lang w:val="ru-RU"/>
        </w:rPr>
        <w:t>.</w:t>
      </w:r>
      <w:r w:rsidRPr="00DB5D0D">
        <w:rPr>
          <w:rStyle w:val="1180"/>
          <w:rFonts w:ascii="Times New Roman" w:hAnsi="Times New Roman" w:cs="Times New Roman"/>
          <w:iCs/>
          <w:color w:val="000000" w:themeColor="text1"/>
          <w:spacing w:val="0"/>
          <w:sz w:val="16"/>
          <w:szCs w:val="16"/>
          <w:lang w:val="ru-RU"/>
        </w:rPr>
        <w:t>]</w:t>
      </w:r>
    </w:p>
    <w:p w14:paraId="7D44E87F" w14:textId="77777777" w:rsidR="00A25AD1" w:rsidRPr="00DB5D0D" w:rsidRDefault="00A25AD1" w:rsidP="00DB5D0D">
      <w:pPr>
        <w:pStyle w:val="a3"/>
        <w:rPr>
          <w:color w:val="000000" w:themeColor="text1"/>
          <w:lang w:val="ru-RU"/>
        </w:rPr>
      </w:pPr>
      <w:r w:rsidRPr="00DB5D0D">
        <w:rPr>
          <w:color w:val="000000" w:themeColor="text1"/>
          <w:lang w:val="ru-RU"/>
        </w:rPr>
        <w:t>Несколько лучше обстояли дела на Мариупольском заводе им. Ильича: предприятие смогло полностью выполнить июньский план по бронедеталям Т-34, изготовив и отгрузив на завод №183 до кон</w:t>
      </w:r>
      <w:r w:rsidRPr="00DB5D0D">
        <w:rPr>
          <w:color w:val="000000" w:themeColor="text1"/>
          <w:lang w:val="ru-RU"/>
        </w:rPr>
        <w:softHyphen/>
        <w:t>ца месяца 20 комплектов корпусов и башен. Немалый вклад в этот успех внесли результаты совместной работы конструкторов и техно</w:t>
      </w:r>
      <w:r w:rsidRPr="00DB5D0D">
        <w:rPr>
          <w:color w:val="000000" w:themeColor="text1"/>
          <w:lang w:val="ru-RU"/>
        </w:rPr>
        <w:softHyphen/>
        <w:t>логов завода № 183 и Марзавода по упрощению конструкции наибо</w:t>
      </w:r>
      <w:r w:rsidRPr="00DB5D0D">
        <w:rPr>
          <w:color w:val="000000" w:themeColor="text1"/>
          <w:lang w:val="ru-RU"/>
        </w:rPr>
        <w:softHyphen/>
        <w:t>лее трудоемких деталей и узлов, уточнению допусков и ввода в про</w:t>
      </w:r>
      <w:r w:rsidRPr="00DB5D0D">
        <w:rPr>
          <w:color w:val="000000" w:themeColor="text1"/>
          <w:lang w:val="ru-RU"/>
        </w:rPr>
        <w:softHyphen/>
        <w:t>изводство разрезного носа. Данные мероприятия позволили нала</w:t>
      </w:r>
      <w:r w:rsidRPr="00DB5D0D">
        <w:rPr>
          <w:color w:val="000000" w:themeColor="text1"/>
          <w:lang w:val="ru-RU"/>
        </w:rPr>
        <w:softHyphen/>
        <w:t>дил» выпуск бронедеталей на имеющемся оборудовании в объемах июньской программы. Но для выполнения Постановления СНКСССР и ЦК ВКП (б) №976-368сс этого было явно недостаточно. Напомним, что согласно этому постановлению, Марзавод был обязан изгото</w:t>
      </w:r>
      <w:r w:rsidRPr="00DB5D0D">
        <w:rPr>
          <w:color w:val="000000" w:themeColor="text1"/>
          <w:lang w:val="ru-RU"/>
        </w:rPr>
        <w:softHyphen/>
        <w:t xml:space="preserve">вить в 1940 г. всего 775 комплектов брони, в том числе 20 - в июне, 40 — в июле и 75 комплектов в августе (11906). </w:t>
      </w:r>
    </w:p>
    <w:p w14:paraId="57985BF4" w14:textId="77777777" w:rsidR="00A25AD1" w:rsidRPr="00DB5D0D" w:rsidRDefault="00A25AD1" w:rsidP="00DB5D0D">
      <w:pPr>
        <w:pStyle w:val="a3"/>
        <w:rPr>
          <w:color w:val="000000" w:themeColor="text1"/>
          <w:lang w:val="ru-RU"/>
        </w:rPr>
      </w:pPr>
    </w:p>
    <w:p w14:paraId="0B0C7763"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26 Июня 1940 г.</w:t>
      </w:r>
    </w:p>
    <w:p w14:paraId="784CB8F9"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32612883"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___ </w:t>
      </w:r>
    </w:p>
    <w:p w14:paraId="545BED66"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26 Июня 1940 г. </w:t>
      </w:r>
    </w:p>
    <w:p w14:paraId="65AF4AA7"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307с </w:t>
      </w:r>
    </w:p>
    <w:p w14:paraId="10CFD864"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4 ОТДЕЛА АБТУ КА</w:t>
      </w:r>
    </w:p>
    <w:p w14:paraId="10AD2123"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I РАНГА т. АЛЫМОВУ</w:t>
      </w:r>
    </w:p>
    <w:p w14:paraId="5CDD0704"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8 ОТДЕЛА АБТУ КА</w:t>
      </w:r>
    </w:p>
    <w:p w14:paraId="26631359"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1 РАНГА тов. АФОНИНУ</w:t>
      </w:r>
    </w:p>
    <w:p w14:paraId="41EA1094"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СВОДКА</w:t>
      </w:r>
    </w:p>
    <w:p w14:paraId="4B8AD009"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 ХОДЕ ПОДГОТОВКИ К СЕРИЙНОМУ ВЫПУСКУ МАШ. А-34 НА 25/VI</w:t>
      </w:r>
    </w:p>
    <w:p w14:paraId="275BD40B"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ТЕХНОЛОГИЯ: Спроектировано приспособлений и штампов первой очереди 1400 наименований, по изготовлению их особых изменений по отношению к сводке от 10/VI-40 г. не произошло. Изготовление штампов, приспособлений и специнструмента задерживают заводы: "ГАЗ", "СТЗ", "I ГПЗ" и "ХТЗ", которые должны изготовить более 1000 наименований приспособлений и штампов, но изготовленных еще нет. К I/VII все техпроцессы первой очереди с нормалей будут спущены в производство и к I/VIII – II очередь. </w:t>
      </w:r>
    </w:p>
    <w:p w14:paraId="08E27D9F"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Капитальное строительство до сих пор полностью не развернуто. Строительные организации не имеют достаточного количества рабсилы, принимаются меры по вербовке рабсилы в других областях, и нет достаточного количества строительных материалов. Материалы согласно решения Правительства еще не поступают. </w:t>
      </w:r>
    </w:p>
    <w:p w14:paraId="73F9E525"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заводе имеется полных 16 комплектов брони и 5 комплектов не полных. Сварено корпусов 7, башен 3, в сварке корпусов 3, башен 7 (не считая отправленных на СТЗ 1 корпус и 1 башня), машин в сборе 5. </w:t>
      </w:r>
    </w:p>
    <w:p w14:paraId="54D8B8F9"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Договор на поставку брони с Марзаводом заключен 15/VI. Марзавод отказался изготавливать из литой брони детали 34-29-019, передняя защита ДТ и дет. 34-16-003 крышка бортовой передачи. Необходимо влияние на Марзавод через НКСМ. </w:t>
      </w:r>
    </w:p>
    <w:p w14:paraId="193CFE1A"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Завод СТЗ из 90 наименований заготовок и дет. не выполнил ничего, траков должен поставить к I/VII 11.100 шт., 25/VI отправил всего 200 шт. </w:t>
      </w:r>
    </w:p>
    <w:p w14:paraId="53ECF686"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Водяные радиаторы по последнему решению НКСМ должен поставлять завод "ЗИС", к I/VII должно быть изготовлено 70 радиаторов, но пока нет ни одного. </w:t>
      </w:r>
    </w:p>
    <w:p w14:paraId="44BA4CAB"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Обрезиненных бандажей колес есть всего на 4 машины и на 6 машин бандажей для заливки направлено заводу Кр. Треугольник. На последующие машины бандажи будут изготавливать заводы: Людиновский, Проводник Ивторфмаш. Заливку должен производить "ЯРАК". </w:t>
      </w:r>
    </w:p>
    <w:p w14:paraId="3A1C1BBB"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стартерам СТ-700 нет никакой обеспеченности, первая партия 5 шт. оказалась не годная, необходимо принять срочные меры по улучшению конструкции и выпуску. </w:t>
      </w:r>
    </w:p>
    <w:p w14:paraId="6360A614"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изготовлению подшипников на 1 ГПЗ №№ 1494, 1495 и 1496 задания не дано, подшипники №№ 1494 и 1496 будут поставлены серийные, № 1495 пока будет изготавливать завод № 183, в дальнейшем необходимо добиться изготовления его на 1 ГПЗ. </w:t>
      </w:r>
    </w:p>
    <w:p w14:paraId="0DD0429B"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Номенклатура запчастей по А-34 будет разработана к 15/VII, наставление по А-34 к I/X, каталог запчастей к I/XI, инструкция 1 часть по маш. А-34 разработана для согласования 26/VI направляется в АБТУ. </w:t>
      </w:r>
    </w:p>
    <w:p w14:paraId="0997F906"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отработки укладки возимого комплекта на маш. прошу срочно выслать табель личного имущества экипажа и опись ЗИПа вооружения. </w:t>
      </w:r>
    </w:p>
    <w:p w14:paraId="2638FDF3"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СТ. ВОЕНПРЕД АБТУ КА ВОЕНИНЖЕНЕР 2 РАНГА подпись (КОЗЫРЕВ)</w:t>
      </w:r>
    </w:p>
    <w:p w14:paraId="7373118A"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3 экз. </w:t>
      </w:r>
    </w:p>
    <w:p w14:paraId="2074D92A"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 Горидько</w:t>
      </w:r>
    </w:p>
    <w:p w14:paraId="3DBBE7D1"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листы 139 – 140</w:t>
      </w:r>
      <w:r w:rsidRPr="00DB5D0D">
        <w:rPr>
          <w:rFonts w:ascii="Times New Roman" w:eastAsia="Times New Roman" w:hAnsi="Times New Roman"/>
          <w:color w:val="000000" w:themeColor="text1"/>
          <w:sz w:val="16"/>
          <w:szCs w:val="16"/>
          <w:lang w:eastAsia="ru-RU"/>
        </w:rPr>
        <w:t xml:space="preserve"> (18076).</w:t>
      </w:r>
    </w:p>
    <w:p w14:paraId="6CB9024F" w14:textId="77777777" w:rsidR="00133B2C" w:rsidRPr="00DB5D0D" w:rsidRDefault="00133B2C" w:rsidP="00DB5D0D">
      <w:pPr>
        <w:spacing w:after="0" w:line="240" w:lineRule="auto"/>
        <w:jc w:val="both"/>
        <w:rPr>
          <w:rFonts w:ascii="Times New Roman" w:eastAsia="Times New Roman" w:hAnsi="Times New Roman"/>
          <w:color w:val="000000" w:themeColor="text1"/>
          <w:sz w:val="16"/>
          <w:szCs w:val="16"/>
          <w:lang w:eastAsia="ru-RU"/>
        </w:rPr>
      </w:pPr>
    </w:p>
    <w:p w14:paraId="109A722F" w14:textId="77777777" w:rsidR="00795A6E" w:rsidRPr="00DB5D0D" w:rsidRDefault="00795A6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июня 1940 г., Д.М. Козырев направил в ГАБТУ КА еще одну свожку, касавшуюся хода подготовки производственной базы завода № 183 для серийного выпуска танков Т-34 по состоянию на 25 июня 1940 г. В этом документе Д.М. Козырев, в частности, сообщил: </w:t>
      </w:r>
    </w:p>
    <w:p w14:paraId="101B34B1" w14:textId="77777777" w:rsidR="00795A6E" w:rsidRPr="00DB5D0D" w:rsidRDefault="00795A6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«ТЕХНОЛОГИЯ: Спроектировано приспособлений и штампов первой очереди 1400 наименований, по изготовлению их особых изменений по отношению к сводке от 10/VI-40 г. не произошло. Изготовление штампов, приспособлений и специнструмента задерживают заводы: "ГАЗ", "СТЗ", "I ГПЗ" и "ХТЗ", которые должны изготовить более 1000 наименований приспособлений и штампов, но изготовленных еще нет. К I/VII все техпроцессы первой очереди с нормалей будут спущены в производство и к I/VIII – II очередь. </w:t>
      </w:r>
    </w:p>
    <w:p w14:paraId="7EC125F1" w14:textId="77777777" w:rsidR="00795A6E" w:rsidRPr="00DB5D0D" w:rsidRDefault="00795A6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lastRenderedPageBreak/>
        <w:t xml:space="preserve">Капитальное строительство до сих пор полностью не развернуто. Строительные организации не имеют достаточного количества рабсилы, принимаются меры по вербовке рабсилы в других областях, и нет достаточного количества строительных материалов. Материалы согласно решения Правительства еще не поступают. </w:t>
      </w:r>
    </w:p>
    <w:p w14:paraId="52D97EDE" w14:textId="77777777" w:rsidR="00795A6E" w:rsidRPr="00DB5D0D" w:rsidRDefault="00795A6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На заводе имеется полных 16 комплектов брони и 5 комплектов не полных. Сварено корпусов 7, башен 3, в сварке корпусов 3, башен 7 (не считая отправленных на СТЗ 1 корпус и 1 башня), машин в сборе 5. </w:t>
      </w:r>
    </w:p>
    <w:p w14:paraId="7CE4EF46" w14:textId="77777777" w:rsidR="00795A6E" w:rsidRPr="00DB5D0D" w:rsidRDefault="00795A6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Договор на поставку брони с Марзаводом заключен 15/VI. Марзавод отказался изготавливать из литой брони детали 34-29-019, передняя защита ДТ и дет. 34-16-003 крышка бортовой передачи. Необходимо влияние на Марзавод через НКСМ. </w:t>
      </w:r>
    </w:p>
    <w:p w14:paraId="75BC4E75" w14:textId="77777777" w:rsidR="00795A6E" w:rsidRPr="00DB5D0D" w:rsidRDefault="00795A6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Завод СТЗ из 90 наименований заготовок и дет. не выполнил ничего, траков должен поставить к I/VII 11.100 шт., 25/VI отправил всего 200 шт. </w:t>
      </w:r>
    </w:p>
    <w:p w14:paraId="541ACC6C" w14:textId="77777777" w:rsidR="00795A6E" w:rsidRPr="00DB5D0D" w:rsidRDefault="00795A6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Водяные радиаторы по последнему решению НКСМ должен поставлять завод "ЗИС", к I/VII должно быть изготовлено 70 радиаторов, но пока нет ни одного. </w:t>
      </w:r>
    </w:p>
    <w:p w14:paraId="2321370F" w14:textId="77777777" w:rsidR="00795A6E" w:rsidRPr="00DB5D0D" w:rsidRDefault="00795A6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Обрезиненных бандажей колес есть всего на 4 машины и на 6 машин бандажей для заливки направлено заводу Кр. Треугольник. На последующие машины бандажи будут изготавливать заводы: Людиновский, Проводник Ивторфмаш. Заливку должен производить "ЯРАК". </w:t>
      </w:r>
    </w:p>
    <w:p w14:paraId="4C49FC89" w14:textId="77777777" w:rsidR="00795A6E" w:rsidRPr="00DB5D0D" w:rsidRDefault="00795A6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По стартерам СТ-700 нет никакой обеспеченности, первая партия 5 шт. оказалась не годная, необходимо принять срочные меры по улучшению конструкции и выпуску. </w:t>
      </w:r>
    </w:p>
    <w:p w14:paraId="4D69F58D" w14:textId="77777777" w:rsidR="00795A6E" w:rsidRPr="00DB5D0D" w:rsidRDefault="00795A6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По изготовлению подшипников на 1 ГПЗ №№ 1494, 1495 и 1496 задания не дано, подшипники №№ 1494 и 1496 будут поставлены серийные, № 1495 пока будет изготавливать завод № 183, в дальнейшем необходимо добиться изготовления его на 1 ГПЗ. </w:t>
      </w:r>
    </w:p>
    <w:p w14:paraId="74FDFDA2" w14:textId="77777777" w:rsidR="00795A6E" w:rsidRPr="00DB5D0D" w:rsidRDefault="00795A6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Номенклатура запчастей по А-34 будет разработана к 15/VII, наставление по А-34 к I/X, каталог запчастей к I/XI, инструкция 1 часть по маш. А-34 разработана для согласования 26/VI направляется в АБТУ. </w:t>
      </w:r>
    </w:p>
    <w:p w14:paraId="4EF820C5" w14:textId="77777777" w:rsidR="00795A6E" w:rsidRPr="00DB5D0D" w:rsidRDefault="00795A6E"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Для отработки укладки возимого комплекта на маш. прошу срочно выслать табель личного имущества экипажа и опись ЗИПа вооружения»</w:t>
      </w:r>
      <w:r w:rsidRPr="00DB5D0D">
        <w:rPr>
          <w:rFonts w:ascii="Times New Roman" w:hAnsi="Times New Roman"/>
          <w:color w:val="000000" w:themeColor="text1"/>
          <w:sz w:val="16"/>
          <w:szCs w:val="16"/>
        </w:rPr>
        <w:t xml:space="preserve">. </w:t>
      </w:r>
    </w:p>
    <w:p w14:paraId="200DF538" w14:textId="77777777" w:rsidR="00795A6E" w:rsidRPr="00DB5D0D" w:rsidRDefault="00795A6E" w:rsidP="00DB5D0D">
      <w:pPr>
        <w:pStyle w:val="ae"/>
        <w:spacing w:before="0" w:after="0"/>
        <w:jc w:val="both"/>
        <w:rPr>
          <w:bCs/>
          <w:color w:val="000000" w:themeColor="text1"/>
          <w:sz w:val="16"/>
          <w:szCs w:val="16"/>
        </w:rPr>
      </w:pPr>
      <w:r w:rsidRPr="00DB5D0D">
        <w:rPr>
          <w:bCs/>
          <w:color w:val="000000" w:themeColor="text1"/>
          <w:sz w:val="16"/>
          <w:szCs w:val="16"/>
        </w:rPr>
        <w:t>[РГВА. Ф. 31811. Оп. 2. Д. 1181. Л. 139 – 140] (18076).</w:t>
      </w:r>
    </w:p>
    <w:p w14:paraId="52851C0A" w14:textId="77777777" w:rsidR="00795A6E" w:rsidRPr="00DB5D0D" w:rsidRDefault="00795A6E" w:rsidP="00DB5D0D">
      <w:pPr>
        <w:pStyle w:val="ae"/>
        <w:spacing w:before="0" w:after="0"/>
        <w:jc w:val="both"/>
        <w:rPr>
          <w:color w:val="000000" w:themeColor="text1"/>
          <w:sz w:val="16"/>
          <w:szCs w:val="16"/>
        </w:rPr>
      </w:pPr>
    </w:p>
    <w:p w14:paraId="57919C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июня 1940 вышло постановление ЦК ВКП(б) и Совета народных ко­миссаров (СНК), которым мотопромышленность нацеливали на резкое повышение выпуска мотоциклов. В соответствии с эти Постановлением ЦК ВКП(б) и Совета народных ко­миссаров (СНК) СССР в Ленинграде заводу «Красный Октябрь» предписывалось до 15.08.40 передать на завод «ПРОМЕТ» всю документацию по мо­тоциклу Л-8, спецоборудование, необходимое для изготовления этой машины, материалы и «незавер­шенку», т.е. изготовленные детали и узлы. А для ско­рейшего развёртывания на заводе «ПРОМЕТ» выпуска Л-8, с завода «Красный Октябрь» направили 10 инженеров-конструкторов, 10 инженеров-технологов, 12 мастеров и 50 рабочих, занятых изготовлением «восьмёрки». </w:t>
      </w:r>
    </w:p>
    <w:p w14:paraId="0829DD0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12406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5C3E3D0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AB764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 Приказом НКО No.0128 АБТУ реорганизовано в Главное автобронетанковое управление Красной Армии с непосредственным подчинением наркому обороны.</w:t>
      </w:r>
    </w:p>
    <w:p w14:paraId="48935B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5826105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4D29CD" w14:textId="77777777" w:rsidR="006355F0" w:rsidRPr="00DB5D0D" w:rsidRDefault="006355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июня 1940 г. Народным комиссаром обороны СССР С.К. Тимошенко был подписан приказ № 0128 о реорганизации АБТУ РККА в Главное автобронетанковое управление Красной Армии (далее – ГАБТУ КА). С этого момента ГАБТУ КА стало центральным органом Народного комиссариата обороны СССР, а его начальник – генерал-лейтенант танковых войск Я.Н. Федоренко – стал и начальником автобронетанковых войск (АБТВ) Красной Армии. При этом основные отделы АБТУ РККА были реорганизованы в управления ГАБТУ КА, что повысило их роль и ответственность. В состав ГАБТУ КА стало входить четыре управления – Боевой подготовки, Бронетанковое, Автотракторное и Управление ремонта и эксплуатации, а также три отдела – мобилизационно-плановый, финансовый и отдел кадров. </w:t>
      </w:r>
    </w:p>
    <w:p w14:paraId="76497BA8" w14:textId="77777777" w:rsidR="006355F0" w:rsidRPr="00DB5D0D" w:rsidRDefault="006355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Хотелось бы отметить, что из-за того, что реорганизация АБТУ РККА в ГАБТУ КА происходила постепенно, в деловой переписке с конца июня по конец июля 1940 г. употреблялись оба наименования – прежнее (АБТУ) и новое (ГАБТУ) (18076).</w:t>
      </w:r>
    </w:p>
    <w:p w14:paraId="7C19C23B" w14:textId="77777777" w:rsidR="006355F0" w:rsidRPr="00DB5D0D" w:rsidRDefault="006355F0" w:rsidP="00DB5D0D">
      <w:pPr>
        <w:spacing w:after="0" w:line="240" w:lineRule="auto"/>
        <w:jc w:val="both"/>
        <w:rPr>
          <w:rFonts w:ascii="Times New Roman" w:hAnsi="Times New Roman"/>
          <w:i/>
          <w:iCs/>
          <w:color w:val="000000" w:themeColor="text1"/>
          <w:sz w:val="16"/>
          <w:szCs w:val="16"/>
        </w:rPr>
      </w:pPr>
    </w:p>
    <w:p w14:paraId="033D485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610D3BF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3C392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 в обращении ВЦСПС к рабочим и служащим были официально выдвинуты Предложения Сталина. На следующий день был обнародован Указ Президиума Верховного Совета СССР от 26 июня "О переходе на 8-часовой рабочий день, на 7-дневную рабочую неделю и о запрещении самовольного ухода рабочих и служащих с предприятий и учреждений" (9492).</w:t>
      </w:r>
    </w:p>
    <w:p w14:paraId="10CFD38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FF300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М. И. Калинин подписал указ ПВС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на основании которого самовольный уход с предприятий и учреждений карался по приговору суда тюремным заключением от 2 до 4 месяцев, а прогул без уважительных причин - исправительно-трудовыми работами (по месту работы) сроком до 6 месяцев с удержанием из зарплаты до 25 процентов (7560).</w:t>
      </w:r>
    </w:p>
    <w:p w14:paraId="7867A84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4C410FF"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июня 1940 г. в соответствии с указом Президиума Верховного Совета СССР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произошел возврат к 7-дневной неделе. Однако неделя в СССР начиналась с воскресенья, лишь в более поздние годы – с понедельника. (21168).</w:t>
      </w:r>
    </w:p>
    <w:p w14:paraId="60CCD1DD" w14:textId="77777777" w:rsidR="00D31A84" w:rsidRPr="00DB5D0D" w:rsidRDefault="00D31A84" w:rsidP="00DB5D0D">
      <w:pPr>
        <w:spacing w:after="0" w:line="240" w:lineRule="auto"/>
        <w:jc w:val="both"/>
        <w:rPr>
          <w:rStyle w:val="811"/>
          <w:rFonts w:ascii="Times New Roman" w:hAnsi="Times New Roman" w:cs="Times New Roman"/>
          <w:color w:val="0070C0"/>
          <w:sz w:val="16"/>
          <w:szCs w:val="16"/>
        </w:rPr>
      </w:pPr>
    </w:p>
    <w:p w14:paraId="2C9BF336" w14:textId="77777777" w:rsidR="00D31A84" w:rsidRPr="00DB5D0D" w:rsidRDefault="00D31A8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июня 1940 года в связи с начавшейся Второй мировой войной и напряжённой международной обстановкой, указом Президиума Верховного Совета СССР в стране введены 8-часовой рабочий день, 7-дневная рабочая неделя (шесть рабочих и один выходной) и уголовная ответственность за опоздание на работу более 21 минуты. Речь идет об Указе Президиума Верховного Совета СССР от 26.06.1940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(21190).</w:t>
      </w:r>
    </w:p>
    <w:p w14:paraId="75CE35FB" w14:textId="77777777" w:rsidR="00D31A84" w:rsidRPr="00DB5D0D" w:rsidRDefault="00D31A84" w:rsidP="00DB5D0D">
      <w:pPr>
        <w:spacing w:after="0" w:line="240" w:lineRule="auto"/>
        <w:jc w:val="both"/>
        <w:rPr>
          <w:rStyle w:val="811"/>
          <w:rFonts w:ascii="Times New Roman" w:hAnsi="Times New Roman" w:cs="Times New Roman"/>
          <w:color w:val="0070C0"/>
          <w:sz w:val="16"/>
          <w:szCs w:val="16"/>
        </w:rPr>
      </w:pPr>
    </w:p>
    <w:p w14:paraId="3BB0CF2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вышел закон "О введении восьмичасового рабочего дня, семидневной рабочей недели, соблюдения трудовой дисциплины и борьбы с самовольными отлучками". Всякое немотивированное отсутствие, опоздание на срок свыше двадцати минут отныне стало уголовно наказуемо. Нарушитель приговаривался либо к шести месяцам "исправительных работ" без лишения свободы либо к удержанию 25% зарплаты, эта мера отягчалась иногда заключением на два-три месяца в тюрьму (6804).</w:t>
      </w:r>
    </w:p>
    <w:p w14:paraId="090870D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3DD1E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вышел указ Президиума ВС "О переходе на 8 часовой рабочий день и семидневную рабочую неделю и о запрещении самовольного ухода рабочих и служащих с предприятий и учреждений" (173,200).</w:t>
      </w:r>
    </w:p>
    <w:p w14:paraId="74D7AD6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24DF01"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июня 1940 г. был принят Указ Президиума Верховного совета СССР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который был утвержден законом СССР от 7 августа 1940 г. Этим указом вводилось следующее: «1. Увеличить продолжительность рабочего дня рабочих и служащих во всех государственных, кооперативных и общественных предприятиях и учреждениях: с семи до восьми часов — на предприятиях с семичасовым рабочим днем; с шести до семи часов — на работах с шестичасовым рабочим днем, за исключением профессий с вредными условиями труда, по спискам, утверждаемым СНК СССР; с шести до восьми часов — для служащих учреждений; с шести до восьми часов — для лиц, достигших 16 лет. 2. Перевести во всех государственных, кооперативных и общественных предприятиях и учреждениях работу с шестидневки на семидневную неделю, считая седьмой день недели — воскресенье — днем отдыха. 3. Запретить самовольный уход рабочих и служащих из государственных, кооперативных и общественных предприятий и учреждений, а также самовольный переход с одного предприятия на другое или из одного учреждения в другое. Уход с предприятия и учреждения или переход с одного предприятия на другое и из одного учреждения в другое может разрешить только директор предприятия или начальник учреждения. 4. Установить, что директор предприятия и начальник учреждения имеет право и обязан дать разрешение на уход рабочего и служащего с предприятия или из учреждения в следующих случаях: а) когда рабочий, работница или служащий согласно заключению врачебно-трудовой экспертной комиссии не может выполнять прежнюю работу вследствие болезни или инвалидности, а администрация не может предоставить ему другую подходящую работу в том же предприятии или учреждении, или когда пенсионер, которому назначена пенсия по старости, желает оставить работу; б) когда рабочий, работница или служащий должен прекратить работу в связи с зачислением его в высшее или среднее специальное учебное заведение. Отпуска работницам и женщинам — служащим по беременности и родам сохраняются в соответствии с действующим законодательством. 5. Установить, что рабочие и служащие, самовольно ушедшие из государственных, кооперативных и общественных предприятий или учреждений, предаются суду и по приговору народного суда подвергаются тюремному заключению сроком от 2 месяцев до 4 месяцев. Установить, что за прогул без уважительной причины рабочие и служащие государственных, кооперативных и </w:t>
      </w:r>
      <w:r w:rsidRPr="00DB5D0D">
        <w:rPr>
          <w:rFonts w:ascii="Times New Roman" w:hAnsi="Times New Roman"/>
          <w:color w:val="000000" w:themeColor="text1"/>
          <w:sz w:val="16"/>
          <w:szCs w:val="16"/>
        </w:rPr>
        <w:lastRenderedPageBreak/>
        <w:t>общественных предприятий и учреждений предаются суду и по приговору народного суда караются исправительно-трудовыми работами по месту работы на срок до 6 месяцев с удержанием из заработной платы до 25%. В связи с этим отменить обязательное увольнение за прогул без уважительных причин. Предложить народным судам все дела, указанные в настоящей статье, рассматривать не более чем в 5</w:t>
      </w:r>
      <w:r w:rsidRPr="00DB5D0D">
        <w:rPr>
          <w:rFonts w:ascii="Times New Roman" w:hAnsi="Times New Roman"/>
          <w:color w:val="000000" w:themeColor="text1"/>
          <w:sz w:val="16"/>
          <w:szCs w:val="16"/>
        </w:rPr>
        <w:noBreakHyphen/>
        <w:t>дневный срок и приговоры по этим делам приводить в исполнение немедленно. 6. Установить, что директора предприятий и начальники учреждений за уклонение от предания суду лиц, виновных в самовольном уходе с предприятия и из учреждения, и лиц, виновных в прогулах без уважительных причин, — привлекаются к судебной ответственности. Установить также, что директора предприятий и начальники учреждений, принявшие на работу укрывающихся от закона лиц, самовольно ушедших с предприятий и из учреждений, подвергаются судебной ответственности. 7. Настоящий Указ входит в силу с 27 июня 1940 г.».</w:t>
      </w:r>
    </w:p>
    <w:p w14:paraId="4E8BEA07"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постановлении СНК СССР № 1320 от 20 декабря 1938 г. “О введении трудовых книжек” говорилось, что трудовые книжки вводятся для рабочих и служащих всех государственных и кооперативных предприятий и учреждений с 15 января 1939 г. для упорядочения учета кадров. Трудовые книжки должны были выдаваться администрацией предприятия или учреждения и содержать следующие сведения о владельце: фамилия, имя и отчество, возраст, образование (среднее и высшее образование указываются только на основании документов, а начальное — со слов рабочего или служащего), профессия (основная, заявленная рабочим или служащим) и сведения о его работе (прежде всего — подтвержденный документами и со слов стаж), о всех переходах из одного учреждения или предприятия в другое и о причинах этих переходов, а также о поощрениях и награждениях владельца. Взыскания в трудовую книжку не вносились. При поступлении на работу рабочий или служащий обязан был предъявить трудовую книжку. Граждане, которые впервые устраивались на работу, должны были принести справку из домоуправления или сельского совета о своем последнем занятии. Трудовые книжки должны были оформляться на всех рабочих и служащих, работающих в учреждении или на предприятии свыше 5 дней, к их числу относились также сезонные и временные работники. На лиц, работающих по совместительству, трудовые книжки велись только по месту основной работы. За получение трудовой книжки владелец платил 50 коп., а за ее утерю — 25 руб. (ВВС СССР. 1940. № 20; СЗ СССР. 1926. № 66. Ст. 502.) (18009).</w:t>
      </w:r>
    </w:p>
    <w:p w14:paraId="689DDF04" w14:textId="77777777" w:rsidR="004857DE" w:rsidRPr="00DB5D0D" w:rsidRDefault="004857DE" w:rsidP="00DB5D0D">
      <w:pPr>
        <w:spacing w:after="0" w:line="240" w:lineRule="auto"/>
        <w:jc w:val="both"/>
        <w:rPr>
          <w:rFonts w:ascii="Times New Roman" w:hAnsi="Times New Roman"/>
          <w:color w:val="000000" w:themeColor="text1"/>
          <w:sz w:val="16"/>
          <w:szCs w:val="16"/>
        </w:rPr>
      </w:pPr>
    </w:p>
    <w:p w14:paraId="0B817971"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Газета "Московский транспортник" сообщала: "Государственная автоинспекция Управления РК милиции г. Москвы предупреждает работников автотранспорта, что в связи с введением знака "Стоянка воспрещена", знак "Остановка воспрещена" приобретает свое настоящее значение, то есть запрещает даже кратковременную остановку для высадки или посадки пассажиров" (18701).</w:t>
      </w:r>
    </w:p>
    <w:p w14:paraId="011CA77E" w14:textId="77777777" w:rsidR="003C0C51" w:rsidRPr="00DB5D0D" w:rsidRDefault="003C0C51" w:rsidP="00DB5D0D">
      <w:pPr>
        <w:spacing w:after="0" w:line="240" w:lineRule="auto"/>
        <w:jc w:val="both"/>
        <w:rPr>
          <w:rFonts w:ascii="Times New Roman" w:hAnsi="Times New Roman"/>
          <w:color w:val="000000" w:themeColor="text1"/>
          <w:sz w:val="16"/>
          <w:szCs w:val="16"/>
        </w:rPr>
      </w:pPr>
    </w:p>
    <w:p w14:paraId="43522C2B"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 Указом президиума Верховного совета СССР"О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предписывалось: </w:t>
      </w:r>
    </w:p>
    <w:p w14:paraId="42754B95"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Запретить самовольный уход рабочих и служащих из государственных, кооперативных и общественных предприятий и учреждений, а также самовольный переход с одного предприятия на другое или из одного учреждения в другое. Уход с предприятия и учреждения или переход с одного предприятия на другое и из одного учреждения в другое может разрешить только директор предприятия или начальник учреждения. </w:t>
      </w:r>
    </w:p>
    <w:p w14:paraId="28E16FE4"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Установить, что директор предприятия и начальник учреждения имеет право и обязан дать разрешение на уход рабочего и служащего с предприятия или из учреждения в следующих случаях: </w:t>
      </w:r>
    </w:p>
    <w:p w14:paraId="6B8E52B8"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когда рабочий, работница или служащий, согласно заключению врачебно-трудовой экспертной комиссии, не может выполнять прежнюю работу вследствие болезни или инвалидности, а администрация не может предоставить ему другую подходящую работу в том же предприятии или учреждении, или когда пенсионер, которому назначена пенсия по старости, желает оставить работу; </w:t>
      </w:r>
    </w:p>
    <w:p w14:paraId="4E085554"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когда рабочий, работница или служащий должен прекратить работу в связи с зачислением его в высшее или среднее специальное учебное заведение. </w:t>
      </w:r>
    </w:p>
    <w:p w14:paraId="30BE545A"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Отпуска работницам и женщинам-служащим по беременности и родам сохраняются в соответствии с действующим законодательством. </w:t>
      </w:r>
    </w:p>
    <w:p w14:paraId="10B6DC90"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Установить, что рабочие и служащие, самовольно ушедшие из государственных, кооперативных и общественных предприятий или учреждений, предаются суду и по приговору народного суда подвергаются тюремному заключению сроком от 2-х месяцев до 4-х месяцев. </w:t>
      </w:r>
    </w:p>
    <w:p w14:paraId="523827F3"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что за прогул без уважительной причины рабочие и служащие государственных, кооперативных и общественных предприятий и учреждений предаются суду и по приговору народного суда караются исправительно-трудовыми работами по месту работы на срок до 6 месяцев с удержанием из заработной платы до 25%. </w:t>
      </w:r>
    </w:p>
    <w:p w14:paraId="4F61727D"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этим отменить обязательное увольнение за прогул без уважительных причин. </w:t>
      </w:r>
    </w:p>
    <w:p w14:paraId="6871FDC0"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Предложить народным судам все дела, указанные в настоящей статье, рассматривать не более чем в 5-дневный срок и приговоры по этим делам приводить в исполнение немедленно. </w:t>
      </w:r>
    </w:p>
    <w:p w14:paraId="78208E81"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Установить, что директора предприятий и начальники учреждений за уклонение от предания суду лиц, виновных в самовольном уходе с предприятия и из учреждения, и лиц, виновных в прогулах без уважительных причин, привлекаются к судебной ответственности. </w:t>
      </w:r>
    </w:p>
    <w:p w14:paraId="1407F050"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также, что директора предприятий и начальники учреждений, принявшие на работу укрывающихся от закона лиц, самовольно ушедших с предприятий и из учреждений, подвергаются судебной ответственности".[8] </w:t>
      </w:r>
    </w:p>
    <w:p w14:paraId="0F9AF3DF" w14:textId="77777777" w:rsidR="003C0C51" w:rsidRPr="00DB5D0D" w:rsidRDefault="003C0C5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указа от 26 июня совершившие на работе мелкую кражу или хулиганский поступок подлежали увольнению. С 10 августа 1940 года за те же проступки полагался год тюрьмы, если размер украденного или цинизм содеянного не предусматривали более сурового наказания. Легальной возможности сменить работу больше не существовало (18406).</w:t>
      </w:r>
    </w:p>
    <w:p w14:paraId="468A7E70" w14:textId="77777777" w:rsidR="003C0C51" w:rsidRPr="00DB5D0D" w:rsidRDefault="003C0C51" w:rsidP="00DB5D0D">
      <w:pPr>
        <w:spacing w:after="0" w:line="240" w:lineRule="auto"/>
        <w:jc w:val="both"/>
        <w:rPr>
          <w:rFonts w:ascii="Times New Roman" w:hAnsi="Times New Roman"/>
          <w:color w:val="000000" w:themeColor="text1"/>
          <w:sz w:val="16"/>
          <w:szCs w:val="16"/>
        </w:rPr>
      </w:pPr>
    </w:p>
    <w:p w14:paraId="4A21730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в СССР введена уголовная ответственность за опоздание на работу более 21 минуты (4962).</w:t>
      </w:r>
    </w:p>
    <w:p w14:paraId="0046429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27632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вышел также указ о прогулах (опоздание более 20 минут - тюрьма) (69,179).</w:t>
      </w:r>
    </w:p>
    <w:p w14:paraId="2B7E9AA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FECBF6" w14:textId="77777777" w:rsidR="00BD6368" w:rsidRPr="00DB5D0D" w:rsidRDefault="00BD6368" w:rsidP="00DB5D0D">
      <w:pPr>
        <w:spacing w:after="0" w:line="240" w:lineRule="auto"/>
        <w:jc w:val="both"/>
        <w:rPr>
          <w:rFonts w:ascii="Times New Roman" w:hAnsi="Times New Roman"/>
          <w:color w:val="000000" w:themeColor="text1"/>
          <w:sz w:val="16"/>
          <w:szCs w:val="16"/>
        </w:rPr>
      </w:pPr>
      <w:r w:rsidRPr="00DB5D0D">
        <w:rPr>
          <w:rStyle w:val="a7"/>
          <w:rFonts w:ascii="Times New Roman" w:hAnsi="Times New Roman"/>
          <w:b w:val="0"/>
          <w:color w:val="000000" w:themeColor="text1"/>
          <w:sz w:val="16"/>
          <w:szCs w:val="16"/>
        </w:rPr>
        <w:t xml:space="preserve">26 июня 1940 г. </w:t>
      </w:r>
      <w:r w:rsidRPr="00DB5D0D">
        <w:rPr>
          <w:rFonts w:ascii="Times New Roman" w:hAnsi="Times New Roman"/>
          <w:color w:val="000000" w:themeColor="text1"/>
          <w:sz w:val="16"/>
          <w:szCs w:val="16"/>
        </w:rPr>
        <w:t>О переходе на восьмичасовой рабочий день, на семидневную неделю и о запрещении самовольного ухода рабочих и служащих с предприятий и учреждений</w:t>
      </w:r>
    </w:p>
    <w:p w14:paraId="73E35C0E" w14:textId="77777777" w:rsidR="00A25AD1" w:rsidRPr="00DB5D0D" w:rsidRDefault="00A25AD1" w:rsidP="00DB5D0D">
      <w:pPr>
        <w:pStyle w:val="rtecenter"/>
        <w:spacing w:before="0" w:after="0"/>
        <w:jc w:val="both"/>
        <w:rPr>
          <w:color w:val="000000" w:themeColor="text1"/>
          <w:sz w:val="16"/>
          <w:szCs w:val="16"/>
        </w:rPr>
      </w:pPr>
      <w:r w:rsidRPr="00DB5D0D">
        <w:rPr>
          <w:rStyle w:val="a7"/>
          <w:rFonts w:eastAsia="Gungsuh"/>
          <w:b w:val="0"/>
          <w:color w:val="000000" w:themeColor="text1"/>
          <w:sz w:val="16"/>
          <w:szCs w:val="16"/>
        </w:rPr>
        <w:t>1.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w:t>
      </w:r>
    </w:p>
    <w:p w14:paraId="744F6E0F" w14:textId="77777777" w:rsidR="00A25AD1" w:rsidRPr="00DB5D0D" w:rsidRDefault="00A25AD1" w:rsidP="00DB5D0D">
      <w:pPr>
        <w:pStyle w:val="rtecenter"/>
        <w:spacing w:before="0" w:after="0"/>
        <w:jc w:val="both"/>
        <w:rPr>
          <w:color w:val="000000" w:themeColor="text1"/>
          <w:sz w:val="16"/>
          <w:szCs w:val="16"/>
        </w:rPr>
      </w:pPr>
      <w:r w:rsidRPr="00DB5D0D">
        <w:rPr>
          <w:rStyle w:val="a7"/>
          <w:rFonts w:eastAsia="Gungsuh"/>
          <w:b w:val="0"/>
          <w:color w:val="000000" w:themeColor="text1"/>
          <w:sz w:val="16"/>
          <w:szCs w:val="16"/>
        </w:rPr>
        <w:t>Указ Президиума Верховного Совета СССР 26 июня 1940 г. (“Ведомости Верховного Совета СССР” 1940 г. № 20)</w:t>
      </w:r>
    </w:p>
    <w:p w14:paraId="263E21B9"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Согласно представления Всесоюзного Центрального Совета Профессиональных Союзов — Президиум Верховного Совета СССР постановляет:</w:t>
      </w:r>
    </w:p>
    <w:p w14:paraId="38A07BD1"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1. Увеличить продолжительность рабочего дня рабочих и служащих во всех государственных, кооперативных и общественных предприятиях и учреждениях:</w:t>
      </w:r>
    </w:p>
    <w:p w14:paraId="7FBAD0F2"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с семи до восьми часов — на предприятиях с семичасовым рабочим днем;</w:t>
      </w:r>
    </w:p>
    <w:p w14:paraId="3CEED3D1"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с шести до семи часов — на работах с шестичасовым рабочим днем, за исключением профессий с вредными условиями труда, по спискам, утверждаемым СНК СССР;</w:t>
      </w:r>
    </w:p>
    <w:p w14:paraId="3140D52A"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с шести до восьми часов — для служащих учреждений;</w:t>
      </w:r>
    </w:p>
    <w:p w14:paraId="1F3E76BD"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с шести до восьми часов — для лиц, достигших 16</w:t>
      </w:r>
      <w:r w:rsidRPr="00DB5D0D">
        <w:rPr>
          <w:color w:val="000000" w:themeColor="text1"/>
          <w:sz w:val="16"/>
          <w:szCs w:val="16"/>
        </w:rPr>
        <w:noBreakHyphen/>
        <w:t>ти лет.</w:t>
      </w:r>
    </w:p>
    <w:p w14:paraId="3A5DF944"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2. Перевести во всех государственных, кооперативных и общественных предприятиях и учреждениях работу с шестидневки на семидневную неделю, считая седьмой день недели — воскресенье — днем отдыха.</w:t>
      </w:r>
    </w:p>
    <w:p w14:paraId="42307FEB"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3. Запретить самовольный уход рабочих и служащих из государственных, кооперативных и общественных предприятий и учреждений, а также самовольный переход с одного предприятия на другое или из одного учреждения в другое.</w:t>
      </w:r>
    </w:p>
    <w:p w14:paraId="59A82885"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Уход с предприятия и учреждения, или переход с одного предприятия на другое и из одного учреждения в другое может разрешить только директор предприятия или начальник учреждения.</w:t>
      </w:r>
    </w:p>
    <w:p w14:paraId="23276177"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4. Установить, что директор предприятия и начальник учреждения имеет право и обязан дать разрешение на уход рабочего и служащего с предприятия или из учреждения в следующих случаях:</w:t>
      </w:r>
    </w:p>
    <w:p w14:paraId="38D2E254"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а) когда рабочий, работница или служащий согласно заключению врачебно-трудовой экспертной комиссии не может выполнять прежнюю работу вследствие болезни или инвалидности, а администрация не может предоставить ему другую подходящую работу в том же предприятии или учреждении, или когда пенсионер, которому назначена пенсия по старости, желает оставить работу;</w:t>
      </w:r>
    </w:p>
    <w:p w14:paraId="0D419107"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б) когда рабочий, работница или служащий должен прекратить работу в связи с зачислением его в высшее или среднее специальное учебное заведение.</w:t>
      </w:r>
    </w:p>
    <w:p w14:paraId="27656B39"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Отпуска работницам и женщинам-служащим по беременности и родам сохраняются в соответствии с действующим законодательством.</w:t>
      </w:r>
    </w:p>
    <w:p w14:paraId="78CF2D97"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5. Установить что рабочие и служащие, самовольно ушедшие из государственных, кооперативных и общественных предприятий или учреждений, предаются -суду и по приговору народного суда подвергаются тюремному заключению сроком от 2</w:t>
      </w:r>
      <w:r w:rsidRPr="00DB5D0D">
        <w:rPr>
          <w:color w:val="000000" w:themeColor="text1"/>
          <w:sz w:val="16"/>
          <w:szCs w:val="16"/>
        </w:rPr>
        <w:noBreakHyphen/>
        <w:t>х месяцев до 4</w:t>
      </w:r>
      <w:r w:rsidRPr="00DB5D0D">
        <w:rPr>
          <w:color w:val="000000" w:themeColor="text1"/>
          <w:sz w:val="16"/>
          <w:szCs w:val="16"/>
        </w:rPr>
        <w:noBreakHyphen/>
        <w:t>х месяцев.</w:t>
      </w:r>
    </w:p>
    <w:p w14:paraId="3F14E96D"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Установить, что за прогул без уважительной причины рабочие и служащие государственных, кооперативных и общественных предприятий и учреждений предаются суду и по приговору народного суда караются исправительно-трудовыми работами по месту работы на срок до 6 месяцев с удержанием из заработной платы до 25%.</w:t>
      </w:r>
    </w:p>
    <w:p w14:paraId="204BBFE9"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В связи с этим отменить обязательное увольнение за прогул без уважительных причин.</w:t>
      </w:r>
    </w:p>
    <w:p w14:paraId="150E01CC"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Предложить народным судам все дела, указанные в настоящей статье, рассматривать не более чем в 5</w:t>
      </w:r>
      <w:r w:rsidRPr="00DB5D0D">
        <w:rPr>
          <w:color w:val="000000" w:themeColor="text1"/>
          <w:sz w:val="16"/>
          <w:szCs w:val="16"/>
        </w:rPr>
        <w:noBreakHyphen/>
        <w:t>дневный срок и приговоры по этим делам приводить в исполнение немедленно.</w:t>
      </w:r>
    </w:p>
    <w:p w14:paraId="5567B2C5"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lastRenderedPageBreak/>
        <w:t>6. Установить, что директора предприятий и начальники учреждений за уклонение от предания суду лиц, виновных в самовольном уходе с предприятия и из учреждения, и лиц, виновных в прогулах без уважительных причин — привлекаются к судебной ответственности.</w:t>
      </w:r>
    </w:p>
    <w:p w14:paraId="06420A3C"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Установить также, что директора предприятий и начальники учреждений, принявшие на работу укрывающихся от закона лиц, самовольно ушедших с предприятий и из учреждений, подвергаются судебной ответственности.</w:t>
      </w:r>
    </w:p>
    <w:p w14:paraId="2E8F4B08" w14:textId="77777777" w:rsidR="00A25AD1" w:rsidRPr="00DB5D0D" w:rsidRDefault="00A25AD1" w:rsidP="00DB5D0D">
      <w:pPr>
        <w:pStyle w:val="rtejustify"/>
        <w:spacing w:before="0" w:after="0"/>
        <w:rPr>
          <w:color w:val="000000" w:themeColor="text1"/>
          <w:sz w:val="16"/>
          <w:szCs w:val="16"/>
        </w:rPr>
      </w:pPr>
      <w:r w:rsidRPr="00DB5D0D">
        <w:rPr>
          <w:color w:val="000000" w:themeColor="text1"/>
          <w:sz w:val="16"/>
          <w:szCs w:val="16"/>
        </w:rPr>
        <w:t>7. Настоящий Указ входит в силу с 27 июня 1940 года (12181)</w:t>
      </w:r>
    </w:p>
    <w:p w14:paraId="4A3E445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D01CDC" w14:textId="77777777" w:rsidR="00BD6368" w:rsidRPr="00DB5D0D" w:rsidRDefault="00BD63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26 июня</w:t>
      </w:r>
      <w:r w:rsidRPr="00DB5D0D">
        <w:rPr>
          <w:rFonts w:ascii="Times New Roman" w:hAnsi="Times New Roman"/>
          <w:color w:val="000000" w:themeColor="text1"/>
          <w:sz w:val="16"/>
          <w:szCs w:val="16"/>
        </w:rPr>
        <w:t xml:space="preserve"> в 1940 году </w:t>
      </w:r>
      <w:hyperlink r:id="rId144" w:tgtFrame="_blank" w:history="1">
        <w:r w:rsidRPr="00DB5D0D">
          <w:rPr>
            <w:rFonts w:ascii="Times New Roman" w:hAnsi="Times New Roman"/>
            <w:color w:val="000000" w:themeColor="text1"/>
            <w:sz w:val="16"/>
            <w:szCs w:val="16"/>
          </w:rPr>
          <w:t>Указ Президиума ВС СССР от 26.06.1940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w:t>
        </w:r>
      </w:hyperlink>
    </w:p>
    <w:p w14:paraId="37F015AA" w14:textId="77777777" w:rsidR="00BD6368" w:rsidRPr="00DB5D0D" w:rsidRDefault="00BD6368" w:rsidP="00DB5D0D">
      <w:pPr>
        <w:spacing w:after="0" w:line="240" w:lineRule="auto"/>
        <w:jc w:val="both"/>
        <w:rPr>
          <w:rFonts w:ascii="Times New Roman" w:hAnsi="Times New Roman"/>
          <w:color w:val="000000" w:themeColor="text1"/>
          <w:sz w:val="16"/>
          <w:szCs w:val="16"/>
        </w:rPr>
      </w:pPr>
    </w:p>
    <w:p w14:paraId="107BEA43" w14:textId="77777777" w:rsidR="00BD6368" w:rsidRPr="00DB5D0D" w:rsidRDefault="00BD63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26 июня</w:t>
      </w:r>
      <w:r w:rsidRPr="00DB5D0D">
        <w:rPr>
          <w:rFonts w:ascii="Times New Roman" w:hAnsi="Times New Roman"/>
          <w:color w:val="000000" w:themeColor="text1"/>
          <w:sz w:val="16"/>
          <w:szCs w:val="16"/>
        </w:rPr>
        <w:t xml:space="preserve"> в 1940 году </w:t>
      </w:r>
      <w:hyperlink r:id="rId145" w:tgtFrame="_blank" w:history="1">
        <w:r w:rsidRPr="00DB5D0D">
          <w:rPr>
            <w:rFonts w:ascii="Times New Roman" w:hAnsi="Times New Roman"/>
            <w:color w:val="000000" w:themeColor="text1"/>
            <w:sz w:val="16"/>
            <w:szCs w:val="16"/>
          </w:rPr>
          <w:t xml:space="preserve">Постановление СНК СССР от 26.06.1940 N 1099 "О повышении норм выработки и снижении расценок в связи с переходом на 8-часовой рабочий день" </w:t>
        </w:r>
      </w:hyperlink>
    </w:p>
    <w:p w14:paraId="7CD6B519" w14:textId="77777777" w:rsidR="00BD6368" w:rsidRPr="00DB5D0D" w:rsidRDefault="00BD6368" w:rsidP="00DB5D0D">
      <w:pPr>
        <w:spacing w:after="0" w:line="240" w:lineRule="auto"/>
        <w:jc w:val="both"/>
        <w:rPr>
          <w:rFonts w:ascii="Times New Roman" w:hAnsi="Times New Roman"/>
          <w:color w:val="000000" w:themeColor="text1"/>
          <w:sz w:val="16"/>
          <w:szCs w:val="16"/>
        </w:rPr>
      </w:pPr>
    </w:p>
    <w:p w14:paraId="53EE7917"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7EA84EA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9DF558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СССР предъявил Румынии ультиматум с требованием передачи Бессарабии и Северной Буковины (4962). Советское правительство передало румынскому посланнику в Москве Давидеску заявление, в котором укзывалось, что "Советский Союз считает необходимым и своевременным в интересах восстановления справедливости приступить совместно с Румынией к немедленному решению вопроса о возвращении Бессарабии Советскому Союзу. Правительство СССР считает, что вопрос о возвращении Бессарабии органически связан с вопросом о передаче Советскому Союзу той части Буковины, население которой в своем громадном большинстве связано с Советской Украиной, как общностью исторической судьбы, так и общностью языка и национального состава". После вынужденного согласия румынского правительства 28 июня начался "Освободительный поход Красной Армии в Бессарабию и Северную Буковину" (4963 ).</w:t>
      </w:r>
    </w:p>
    <w:p w14:paraId="27E21B9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849B5D1" w14:textId="77777777" w:rsidR="00BD6368" w:rsidRPr="00DB5D0D" w:rsidRDefault="00BD63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26 июня</w:t>
      </w:r>
      <w:r w:rsidRPr="00DB5D0D">
        <w:rPr>
          <w:rFonts w:ascii="Times New Roman" w:hAnsi="Times New Roman"/>
          <w:color w:val="000000" w:themeColor="text1"/>
          <w:sz w:val="16"/>
          <w:szCs w:val="16"/>
        </w:rPr>
        <w:t xml:space="preserve"> в 1940 году Советское правительство передало румынскому посланнику в Москве Давидеску заявление, в котором указывалось, что "Советский Союз считает необходимым и своевременным в интересах восстановления справедливости приступить совместно с Румынией к немедленному решению вопроса о возвращении Бессарабии Советскому Союзу. Правительство СССР считает, что вопрос о возвращении Бессарабии органически связан с вопросом о передаче Советскому Союзу той части Буковины, население которой в своем громадном большинстве связано с Советской Украиной, как общностью исторической судьбы, так и общностью языка и национального состава". После вынужденного согласия румынского правительства 28 июня начался "Освободительный поход Красной Армии в Бессарабию и Северную Буковину" (14934).</w:t>
      </w:r>
    </w:p>
    <w:p w14:paraId="2ED0E8B8" w14:textId="77777777" w:rsidR="00BD6368" w:rsidRPr="00DB5D0D" w:rsidRDefault="00BD6368" w:rsidP="00DB5D0D">
      <w:pPr>
        <w:spacing w:after="0" w:line="240" w:lineRule="auto"/>
        <w:jc w:val="both"/>
        <w:rPr>
          <w:rFonts w:ascii="Times New Roman" w:hAnsi="Times New Roman"/>
          <w:color w:val="000000" w:themeColor="text1"/>
          <w:sz w:val="16"/>
          <w:szCs w:val="16"/>
        </w:rPr>
      </w:pPr>
    </w:p>
    <w:p w14:paraId="1F7CB3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June</w:t>
      </w:r>
      <w:r w:rsidRPr="00DB5D0D">
        <w:rPr>
          <w:rFonts w:ascii="Times New Roman" w:hAnsi="Times New Roman"/>
          <w:color w:val="000000" w:themeColor="text1"/>
          <w:sz w:val="16"/>
          <w:szCs w:val="16"/>
        </w:rPr>
        <w:t xml:space="preserve"> 26 1940 </w:t>
      </w:r>
      <w:r w:rsidRPr="00DB5D0D">
        <w:rPr>
          <w:rFonts w:ascii="Times New Roman" w:hAnsi="Times New Roman"/>
          <w:color w:val="000000" w:themeColor="text1"/>
          <w:sz w:val="16"/>
          <w:szCs w:val="16"/>
          <w:lang w:val="en-US"/>
        </w:rPr>
        <w:t>SovietUniondeliversultimatumtoRumania</w:t>
      </w:r>
      <w:r w:rsidRPr="00DB5D0D">
        <w:rPr>
          <w:rFonts w:ascii="Times New Roman" w:hAnsi="Times New Roman"/>
          <w:color w:val="000000" w:themeColor="text1"/>
          <w:sz w:val="16"/>
          <w:szCs w:val="16"/>
        </w:rPr>
        <w:t xml:space="preserve"> (1242).</w:t>
      </w:r>
    </w:p>
    <w:p w14:paraId="0E0CD0A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AE10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СССР предъявил ультиматум Румынии (1242) об отторгнутой Бессарабии и части Буковины, которая населена украинцами. Срок ответа - 12 час - утром 27 июня (2536,110).</w:t>
      </w:r>
    </w:p>
    <w:p w14:paraId="5CBB08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Требовали немедленно передать СССР Бессарабию и Буковину (1348,245). 27 июня А.Г. согласился (3907,223).</w:t>
      </w:r>
    </w:p>
    <w:p w14:paraId="0E4CF98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0CDF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 советское правительство предъявило Румынии свои требования по возврату Бессарабии и передачи Буковины в форме ультиматума (3871).</w:t>
      </w:r>
    </w:p>
    <w:p w14:paraId="1AD59BA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FC0929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9C52EB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91C5083" w14:textId="77777777" w:rsidR="00066B41" w:rsidRPr="00DB5D0D" w:rsidRDefault="00066B4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июня 1940 Королевские военно-воздушные силы распускают Advanced Air Striking Force. С начала немецкого наступления на Западе 10 мая AASF потеряли 229 самолетов (20795).</w:t>
      </w:r>
    </w:p>
    <w:p w14:paraId="5E49952B" w14:textId="77777777" w:rsidR="00066B41" w:rsidRPr="00DB5D0D" w:rsidRDefault="00066B41" w:rsidP="00DB5D0D">
      <w:pPr>
        <w:spacing w:after="0" w:line="240" w:lineRule="auto"/>
        <w:jc w:val="both"/>
        <w:rPr>
          <w:rFonts w:ascii="Times New Roman" w:hAnsi="Times New Roman"/>
          <w:color w:val="0070C0"/>
          <w:sz w:val="16"/>
          <w:szCs w:val="16"/>
        </w:rPr>
      </w:pPr>
    </w:p>
    <w:p w14:paraId="4C9DAC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 Муссолини писал Гитлеру:</w:t>
      </w:r>
    </w:p>
    <w:p w14:paraId="57FEB0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"Фюрер! Теперь, когда пришло время разделаться с Англией, я напоминаю Вам о том, что я сказал Вам в Мюнхене о прямом участии Италии в штурме острова. Я готов участвовать в нем сухопутными и воздушными силами, и Вы знаете, насколько я этого желаю. Я прошу Вас дать ответ, чтобы я мог перейти к действиям. В ожидании этого дня шлю Вам товарищеский привет (3573).</w:t>
      </w:r>
    </w:p>
    <w:p w14:paraId="60C7BF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Муссолини" (3573).</w:t>
      </w:r>
    </w:p>
    <w:p w14:paraId="69FD224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1888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w:t>
      </w:r>
      <w:r w:rsidRPr="00DB5D0D">
        <w:rPr>
          <w:rFonts w:ascii="Times New Roman" w:hAnsi="Times New Roman"/>
          <w:color w:val="000000" w:themeColor="text1"/>
          <w:sz w:val="16"/>
          <w:szCs w:val="16"/>
          <w:lang w:val="en-US"/>
        </w:rPr>
        <w:t>June</w:t>
      </w:r>
      <w:r w:rsidRPr="00DB5D0D">
        <w:rPr>
          <w:rFonts w:ascii="Times New Roman" w:hAnsi="Times New Roman"/>
          <w:color w:val="000000" w:themeColor="text1"/>
          <w:sz w:val="16"/>
          <w:szCs w:val="16"/>
        </w:rPr>
        <w:t xml:space="preserve"> 1940 </w:t>
      </w:r>
      <w:r w:rsidRPr="00DB5D0D">
        <w:rPr>
          <w:rFonts w:ascii="Times New Roman" w:hAnsi="Times New Roman"/>
          <w:color w:val="000000" w:themeColor="text1"/>
          <w:sz w:val="16"/>
          <w:szCs w:val="16"/>
          <w:lang w:val="en-US"/>
        </w:rPr>
        <w:t>FreeFrenchandPolesjointheBritishArmy</w:t>
      </w:r>
      <w:r w:rsidRPr="00DB5D0D">
        <w:rPr>
          <w:rFonts w:ascii="Times New Roman" w:hAnsi="Times New Roman"/>
          <w:color w:val="000000" w:themeColor="text1"/>
          <w:sz w:val="16"/>
          <w:szCs w:val="16"/>
        </w:rPr>
        <w:t xml:space="preserve"> (270).</w:t>
      </w:r>
    </w:p>
    <w:p w14:paraId="5B39BC1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0F1A8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Свободная Франция и Польша присоединились к Британской армии (270).</w:t>
      </w:r>
    </w:p>
    <w:p w14:paraId="61DB2BA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2622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английская подлодка атаковала линейный крейсер Гнейзенау (2536,136).</w:t>
      </w:r>
    </w:p>
    <w:p w14:paraId="41FE90C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0513F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3DB8CE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8B926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Смушкевич как нач. ВВС КА утвердил протокол макетной комиссии по рассмотрению макета самолета одноместного пикирующего бомбардировщика с М-90 конструкции тов. Кочеригина, представленного заводом 156. Комиссия заседала 14 июня 1940 (2062,62).</w:t>
      </w:r>
    </w:p>
    <w:p w14:paraId="121258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был ОПБ М-90 С.А.Кочеригина (3807,78).</w:t>
      </w:r>
    </w:p>
    <w:p w14:paraId="64E35BC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6A88F31" w14:textId="77777777" w:rsidR="00066B41" w:rsidRPr="00DB5D0D" w:rsidRDefault="00066B4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27 июня 1940 г. при рассмотрении эскизного проекта ММШ Кочеригина отмечались слиш</w:t>
      </w:r>
      <w:r w:rsidRPr="00DB5D0D">
        <w:rPr>
          <w:rFonts w:ascii="Times New Roman" w:hAnsi="Times New Roman"/>
          <w:color w:val="0070C0"/>
          <w:sz w:val="16"/>
          <w:szCs w:val="16"/>
        </w:rPr>
        <w:softHyphen/>
        <w:t>ком высокая посадочная скорость и большая длина разбега, малая дальность полета. В первом варианте заключе</w:t>
      </w:r>
      <w:r w:rsidRPr="00DB5D0D">
        <w:rPr>
          <w:rFonts w:ascii="Times New Roman" w:hAnsi="Times New Roman"/>
          <w:color w:val="0070C0"/>
          <w:sz w:val="16"/>
          <w:szCs w:val="16"/>
        </w:rPr>
        <w:softHyphen/>
        <w:t>ния НИИ ГУАС КА предлагалось самолет довести и испы</w:t>
      </w:r>
      <w:r w:rsidRPr="00DB5D0D">
        <w:rPr>
          <w:rFonts w:ascii="Times New Roman" w:hAnsi="Times New Roman"/>
          <w:color w:val="0070C0"/>
          <w:sz w:val="16"/>
          <w:szCs w:val="16"/>
        </w:rPr>
        <w:softHyphen/>
        <w:t>тать. Однако затем эти строки были зачеркнуты и от ру</w:t>
      </w:r>
      <w:r w:rsidRPr="00DB5D0D">
        <w:rPr>
          <w:rFonts w:ascii="Times New Roman" w:hAnsi="Times New Roman"/>
          <w:color w:val="0070C0"/>
          <w:sz w:val="16"/>
          <w:szCs w:val="16"/>
        </w:rPr>
        <w:softHyphen/>
        <w:t>ки на документе дописано: «Считать нецелесообразным продолжать работы над этим самолетом». Подписано на</w:t>
      </w:r>
      <w:r w:rsidRPr="00DB5D0D">
        <w:rPr>
          <w:rFonts w:ascii="Times New Roman" w:hAnsi="Times New Roman"/>
          <w:color w:val="0070C0"/>
          <w:sz w:val="16"/>
          <w:szCs w:val="16"/>
        </w:rPr>
        <w:softHyphen/>
        <w:t>чальником НИИ ГУАС КА генерал-майором Филиным (20362).</w:t>
      </w:r>
    </w:p>
    <w:p w14:paraId="2B8A17C1" w14:textId="77777777" w:rsidR="00066B41" w:rsidRPr="00DB5D0D" w:rsidRDefault="00066B41" w:rsidP="00DB5D0D">
      <w:pPr>
        <w:shd w:val="clear" w:color="auto" w:fill="FFFFFF"/>
        <w:spacing w:after="0" w:line="240" w:lineRule="auto"/>
        <w:jc w:val="both"/>
        <w:rPr>
          <w:rFonts w:ascii="Times New Roman" w:hAnsi="Times New Roman"/>
          <w:color w:val="0070C0"/>
          <w:sz w:val="16"/>
          <w:szCs w:val="16"/>
        </w:rPr>
      </w:pPr>
    </w:p>
    <w:p w14:paraId="014574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 начальник ВВС КА Я.В.Смушкевич утвердил протокол нового заседания макетной комиссии по самолету ОПБ М-90 от 16 июня 1940 г. Председателем этой комиссии был начальник НИИ ВВС А. И. Филин. Члены комиссии практически были те же, что в первой. Дополнительно в работе комиссии принял участие С. П. Супрун.</w:t>
      </w:r>
    </w:p>
    <w:p w14:paraId="609BF8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ОПБ М-90 в целом был утвержден, хотя членами комиссии были сделаны некоторые замечания по самолету. В частности, «открытие фонаря кабины рекомендовалось сделать по типу самолета СБ» (имелся ввиду самолет СБ-РК - авт.).</w:t>
      </w:r>
    </w:p>
    <w:p w14:paraId="5AA027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уже отработанных ранее вариантов бомбовой нагрузки, комиссия предложила предусмотреть возможность применения на самолете мелких бомб в кассетах по типу самолета «100» (имелись ввиду кассеты мелких бомб) и обеспечить подвеску 6-8 реактивных снарядов.</w:t>
      </w:r>
    </w:p>
    <w:p w14:paraId="4D2184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комиссии отмечалось, что предложенное ОКБ специальное остекление пола пилотской кабины и бомбовых люков под ней, необходимо утвердить, хотя серьезного улучшения обзора зоны непосредственно под самолетом оно все же не дает. Подтверждалась необходимость установки в перегрузочном варианте дополнительно двух пулеметов БС.</w:t>
      </w:r>
    </w:p>
    <w:p w14:paraId="19F76C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требовалось обеспечить обогрев и вентиляцию кабины летчика, поставить посадочную фару, увеличить механизацию крыла, разработать и установить воздушные тормоза для ограничения скорости пикирования не более 550 км/ч, а также автомат вывода из пикирования.</w:t>
      </w:r>
    </w:p>
    <w:p w14:paraId="4410D4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макетная комиссия отметила, что «предъявленный самолет представляет значительный интерес для ВВС КА и поэтому считает необходимым войти с ходатайством в КО при СНК СССР о скорейшем разрешении вопроса о постройке самолета» (9649).</w:t>
      </w:r>
    </w:p>
    <w:p w14:paraId="54A21C2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1FE7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 проект малой модификации штурмовика типа «Ш» - ММШ с мотором М-81. был утвержден Я. В. Смушкевичем.</w:t>
      </w:r>
    </w:p>
    <w:p w14:paraId="64F49A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основу проекта ММШ был взят самолет Ш-2, на котором вместо М-87А был установлен мотор М-81 мощностью 1280 л. с. Вместо шести протек-тированных бензобаков оставлено только четыре.</w:t>
      </w:r>
    </w:p>
    <w:p w14:paraId="16E031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турели под капотом мотора был установлен маслорадиатор увеличенных размеров. Капот имел заднюю регулируемую щель.</w:t>
      </w:r>
    </w:p>
    <w:p w14:paraId="31D7DF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деревянной конструкции с уменьшенной до 18 м2 площадью (вместо 24,15 м2). Соответственно были уменьшены размеры горизонтального и вертикального оперения.</w:t>
      </w:r>
    </w:p>
    <w:p w14:paraId="419BAB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Центровка самолета стала более передней - 25,5% вместо 30,6% САХ. Состав вооружения предусматривал установку только четырех крыльевых пулеметов ШКАС и бомбовой нагрузки 200 кг (в перегрузку - 400 кг).</w:t>
      </w:r>
    </w:p>
    <w:p w14:paraId="0C03E2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расчетам, при полетном весе 3800 кг ММШ М-81 мог развить у земли скорость до 450 км/ч, а на расчетной высоте 5000 м - до 520 км/ч. Нагрузка на крыло равнялась 211 кг/м2. Нагрузка на мощность - 2,97 кг/л. с. Мощность, отнесенная к площади крыла - 71 л. с. /м2. Время набора высоты 6000 м не превышало 11 минут. Посадочная скорость - 140 км/ч. Скоростная дальность полета - 685 км, а максимальная - 905 км. Разбег при взлете составлял 400 м, пробег на посадке - 300 м.</w:t>
      </w:r>
    </w:p>
    <w:p w14:paraId="0C1EB9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Специалисты НИИ ВВС считали, что заявленные конструктором летные данные вполне реальны. В выводах по эскизному проекту было записано:</w:t>
      </w:r>
    </w:p>
    <w:p w14:paraId="11AE88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«...учитывая/что самолет фактически уже построен, необходимо его довести и испытать».</w:t>
      </w:r>
    </w:p>
    <w:p w14:paraId="6FB4DA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Отметим, что несмотря на то, что позже этот пункт был зачеркнут и вместо него записано: «...нецелесообразно продолжать работы», из архивных документов следует, что ММШ М-81 был построен, испытан и рекомендован в серию в качестве ближнего бомбардировщика. Самолет получил обозначение ББ-21 и был принят к серийному производству на заводе № 292. Однако вскоре, вместо ББ-21, заводу поручили внедрять истребитель И-28, а затем и Як-1...(9649).</w:t>
      </w:r>
    </w:p>
    <w:p w14:paraId="0823A22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0FB0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 Начальник ВВС генерал-лейтенант авиации Смушкевич утвердил Заключение по эскизному проекту самолета ММШ-М-81</w:t>
      </w:r>
    </w:p>
    <w:p w14:paraId="26F1B5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 Кочеригин</w:t>
      </w:r>
    </w:p>
    <w:p w14:paraId="21C600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Строящая организация – завод № 156</w:t>
      </w:r>
    </w:p>
    <w:p w14:paraId="441995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ММШ-М81 является малой модификацией самолета Ш-М87А.</w:t>
      </w:r>
    </w:p>
    <w:p w14:paraId="248A73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плане опытного строительства этот самолет не стоит.</w:t>
      </w:r>
    </w:p>
    <w:p w14:paraId="6E7146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 проведена на 2 экземпляре самолета Ш. На самолете проводится следующая работа:</w:t>
      </w:r>
    </w:p>
    <w:p w14:paraId="0ABD0FE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Ставится мотор М-81 вместо М-88.</w:t>
      </w:r>
    </w:p>
    <w:p w14:paraId="12171EF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Ставится крыло деревянной конструкции с уменьшением площади крыльев с 24,15 м кв. до 19 м кв.</w:t>
      </w:r>
    </w:p>
    <w:p w14:paraId="1C0B45E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Уменьшено горизонтальное и вертикальное оперение.</w:t>
      </w:r>
    </w:p>
    <w:p w14:paraId="7786029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Обеспечивается более передняя центровка.</w:t>
      </w:r>
    </w:p>
    <w:p w14:paraId="6B1E39D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Исключен как отдельный вариант загрузки – установка в крыле 2-х пушек Швак и 2-х пулеметов Шкас. В крыльях ставится только 4 Шкас.</w:t>
      </w:r>
    </w:p>
    <w:p w14:paraId="019EB9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413BE1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139D0F1" w14:textId="77777777" w:rsidR="00A25AD1" w:rsidRPr="00DB5D0D" w:rsidRDefault="00A25AD1" w:rsidP="00DB5D0D">
      <w:pPr>
        <w:tabs>
          <w:tab w:val="left" w:pos="39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ММШ представляет из себя модификацию самолета Ш, прошедшего неудовлетворительно гос. испытания в НИИ в 1939 году.</w:t>
      </w:r>
    </w:p>
    <w:p w14:paraId="121173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нецелесообразным проводить работы над этим самолетом (4563).</w:t>
      </w:r>
    </w:p>
    <w:p w14:paraId="42959AC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05EB8E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 Начальник ВВС генерал-лейтенант авиации Смушкевич утвердил Заключение по эскизному проекту самолета ММШ-М-81 Конструктор Кочеригин (6603).</w:t>
      </w:r>
    </w:p>
    <w:p w14:paraId="4CE93BA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Строящая организация – завод № 156</w:t>
      </w:r>
    </w:p>
    <w:p w14:paraId="2AA1800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ММШ-М81 является малой модификацией самолета Ш-М87А.</w:t>
      </w:r>
    </w:p>
    <w:p w14:paraId="10B9946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плане опытного строительства этот самолет не стоит.</w:t>
      </w:r>
    </w:p>
    <w:p w14:paraId="3A7E7FD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 проведена на 2 экземпляре самолета Ш. На самолете проводится следующая работа:</w:t>
      </w:r>
    </w:p>
    <w:p w14:paraId="21FC42B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Ставится мотор М-81 вместо М-88.</w:t>
      </w:r>
    </w:p>
    <w:p w14:paraId="6597280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Ставится крыло деревянной конструкции с уменьшением площади крыльев с 24,15 м кв. до 19 м кв.</w:t>
      </w:r>
    </w:p>
    <w:p w14:paraId="72E6DF44"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Уменьшено горизонтальное и вертикальное оперение.</w:t>
      </w:r>
    </w:p>
    <w:p w14:paraId="1E102E4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Обеспечивается более передняя центровка.</w:t>
      </w:r>
    </w:p>
    <w:p w14:paraId="6DCC86A6"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Исключен как отдельный вариант загрузки – установка в крыле 2-х пушек Швак и 2-х пулеметов Шкас. В крыльях ставится только 4 Шкас.</w:t>
      </w:r>
    </w:p>
    <w:p w14:paraId="5A56903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45E8001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057AE2B" w14:textId="77777777" w:rsidR="00A25AD1" w:rsidRPr="00DB5D0D" w:rsidRDefault="00A25AD1" w:rsidP="00DB5D0D">
      <w:pPr>
        <w:tabs>
          <w:tab w:val="left" w:pos="39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ММШ представляет из себя модификацию самолета Ш, прошедшего неудовлетворительно гос. испытания в НИИ в 1939 году.</w:t>
      </w:r>
    </w:p>
    <w:p w14:paraId="6EC19C9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нецелесообразным проводить работы над этим самолетом (6603).</w:t>
      </w:r>
    </w:p>
    <w:p w14:paraId="14A0EEC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7CF5EC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вышел приказ НКАП N 317сс, который звучал "В связи с решением правительства о прекращении производства самолетов ББ-22 конструкции тов. Яковлева на заводе N 1 и изготовлении их на заводе 81, ПРИКАЗЫВАЮ: (407,11).</w:t>
      </w:r>
    </w:p>
    <w:p w14:paraId="018DA6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Все работы по модификации самолета ББ-22 проводящиеся на заводе 1 передать заводу 81.</w:t>
      </w:r>
    </w:p>
    <w:p w14:paraId="3228BF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Для доводки самолета ББ-22 в серийном производстве и проведения работ по модификации самолета ББ-22 организовать конструкторское бюро. Назначить инженера тов. Курбала начальником конструкторского бюро завода 81.</w:t>
      </w:r>
    </w:p>
    <w:p w14:paraId="604F3AF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Директору завода 81 тов. Климовицкому и начальнику конструкторского отдела тов. Курбала к 18 августа выпустить на заводские испытания модификацию ББ-22 в качестве пикирующего бомбардировщика и разведчика с моторами М-105 со следующими ЛТД:</w:t>
      </w:r>
    </w:p>
    <w:p w14:paraId="5A956A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Вес с-та 5850 кг</w:t>
      </w:r>
    </w:p>
    <w:p w14:paraId="3121FB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Максимальная скорость горизонтального полета на высоте 4800-5000 м - 570 км/час</w:t>
      </w:r>
    </w:p>
    <w:p w14:paraId="7FBA0D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Скорость пикирования с воздушными тормозами при угле 50 гр. - 580 км/час</w:t>
      </w:r>
    </w:p>
    <w:p w14:paraId="1FAB9E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Бомбовое вооружение: 2х250 наружная или 4х100</w:t>
      </w:r>
    </w:p>
    <w:p w14:paraId="15E040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Стрелковое вооружение: два неподвижных пулемета ШКАС стреляющих вперед с запасом патронов по 750 шт. ша каждый. Один пулемет, закрепленный на турели ТСС-1, углы простреливания вверх 65 гр., в гор. Плоскости - 180 гр., вниз 25 гр. (по кромке крыла), зарпас патронов - 1000 шт.</w:t>
      </w:r>
    </w:p>
    <w:p w14:paraId="5708D7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Спецоборудование - фото, радио</w:t>
      </w:r>
    </w:p>
    <w:p w14:paraId="093890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Дальность полета 1200 км на 0,85 максимальной скорости</w:t>
      </w:r>
    </w:p>
    <w:p w14:paraId="5A0664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Экипаж - 2 пилот и штурман-радист</w:t>
      </w:r>
    </w:p>
    <w:p w14:paraId="425C78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связи с необходимостью окончательной доводки самолета "ОКО-6" конструкции тов. Таирова В.К., и возможностью решения о запуске его в серию на заводе N 43, оставить тов. Таирова В.К. главным конструктором завода 43 с освобождением его от работы на заводе N 81 к 1 июля 1940..."(407,11).</w:t>
      </w:r>
    </w:p>
    <w:p w14:paraId="708B85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Директору завода № 1 тов. Дементьеву:</w:t>
      </w:r>
    </w:p>
    <w:p w14:paraId="337E62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перевести нижеуказанных работников завода № 1, работав</w:t>
      </w:r>
      <w:r w:rsidRPr="00DB5D0D">
        <w:rPr>
          <w:rFonts w:ascii="Times New Roman" w:hAnsi="Times New Roman"/>
          <w:color w:val="000000" w:themeColor="text1"/>
          <w:sz w:val="16"/>
          <w:szCs w:val="16"/>
        </w:rPr>
        <w:softHyphen/>
        <w:t>ших по модификации ББ-22 на завод № 81 к 1.УП.1940 года:</w:t>
      </w:r>
    </w:p>
    <w:p w14:paraId="12A343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r w:rsidRPr="00DB5D0D">
        <w:rPr>
          <w:rFonts w:ascii="Times New Roman" w:hAnsi="Times New Roman"/>
          <w:color w:val="000000" w:themeColor="text1"/>
          <w:sz w:val="16"/>
          <w:szCs w:val="16"/>
        </w:rPr>
        <w:tab/>
        <w:t>конструктора-плазовика</w:t>
      </w:r>
    </w:p>
    <w:p w14:paraId="1C6AEE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r w:rsidRPr="00DB5D0D">
        <w:rPr>
          <w:rFonts w:ascii="Times New Roman" w:hAnsi="Times New Roman"/>
          <w:color w:val="000000" w:themeColor="text1"/>
          <w:sz w:val="16"/>
          <w:szCs w:val="16"/>
        </w:rPr>
        <w:tab/>
        <w:t>конструктора-плазовика</w:t>
      </w:r>
    </w:p>
    <w:p w14:paraId="4D4F3E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r w:rsidRPr="00DB5D0D">
        <w:rPr>
          <w:rFonts w:ascii="Times New Roman" w:hAnsi="Times New Roman"/>
          <w:color w:val="000000" w:themeColor="text1"/>
          <w:sz w:val="16"/>
          <w:szCs w:val="16"/>
        </w:rPr>
        <w:tab/>
        <w:t>конструктора-плазовика</w:t>
      </w:r>
    </w:p>
    <w:p w14:paraId="741862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r w:rsidRPr="00DB5D0D">
        <w:rPr>
          <w:rFonts w:ascii="Times New Roman" w:hAnsi="Times New Roman"/>
          <w:color w:val="000000" w:themeColor="text1"/>
          <w:sz w:val="16"/>
          <w:szCs w:val="16"/>
        </w:rPr>
        <w:tab/>
        <w:t>конструктора-плазовика</w:t>
      </w:r>
    </w:p>
    <w:p w14:paraId="66797ED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r w:rsidRPr="00DB5D0D">
        <w:rPr>
          <w:rFonts w:ascii="Times New Roman" w:hAnsi="Times New Roman"/>
          <w:color w:val="000000" w:themeColor="text1"/>
          <w:sz w:val="16"/>
          <w:szCs w:val="16"/>
        </w:rPr>
        <w:tab/>
        <w:t>конструктора-плазовика</w:t>
      </w:r>
    </w:p>
    <w:p w14:paraId="5E045C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r w:rsidRPr="00DB5D0D">
        <w:rPr>
          <w:rFonts w:ascii="Times New Roman" w:hAnsi="Times New Roman"/>
          <w:color w:val="000000" w:themeColor="text1"/>
          <w:sz w:val="16"/>
          <w:szCs w:val="16"/>
        </w:rPr>
        <w:tab/>
        <w:t>конструктора</w:t>
      </w:r>
    </w:p>
    <w:p w14:paraId="68600B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r w:rsidRPr="00DB5D0D">
        <w:rPr>
          <w:rFonts w:ascii="Times New Roman" w:hAnsi="Times New Roman"/>
          <w:color w:val="000000" w:themeColor="text1"/>
          <w:sz w:val="16"/>
          <w:szCs w:val="16"/>
        </w:rPr>
        <w:tab/>
        <w:t>конструктора</w:t>
      </w:r>
    </w:p>
    <w:p w14:paraId="47ACE6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r w:rsidRPr="00DB5D0D">
        <w:rPr>
          <w:rFonts w:ascii="Times New Roman" w:hAnsi="Times New Roman"/>
          <w:color w:val="000000" w:themeColor="text1"/>
          <w:sz w:val="16"/>
          <w:szCs w:val="16"/>
        </w:rPr>
        <w:tab/>
        <w:t>Антонова А.Ф.</w:t>
      </w:r>
      <w:r w:rsidRPr="00DB5D0D">
        <w:rPr>
          <w:rFonts w:ascii="Times New Roman" w:hAnsi="Times New Roman"/>
          <w:color w:val="000000" w:themeColor="text1"/>
          <w:sz w:val="16"/>
          <w:szCs w:val="16"/>
        </w:rPr>
        <w:tab/>
        <w:t>конструктора</w:t>
      </w:r>
    </w:p>
    <w:p w14:paraId="4F0E0A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r w:rsidRPr="00DB5D0D">
        <w:rPr>
          <w:rFonts w:ascii="Times New Roman" w:hAnsi="Times New Roman"/>
          <w:color w:val="000000" w:themeColor="text1"/>
          <w:sz w:val="16"/>
          <w:szCs w:val="16"/>
        </w:rPr>
        <w:tab/>
        <w:t>Козодон М.С.</w:t>
      </w:r>
      <w:r w:rsidRPr="00DB5D0D">
        <w:rPr>
          <w:rFonts w:ascii="Times New Roman" w:hAnsi="Times New Roman"/>
          <w:color w:val="000000" w:themeColor="text1"/>
          <w:sz w:val="16"/>
          <w:szCs w:val="16"/>
        </w:rPr>
        <w:tab/>
        <w:t>конструктора</w:t>
      </w:r>
    </w:p>
    <w:p w14:paraId="68AB0C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p w14:paraId="050730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Беляева В.И.</w:t>
      </w:r>
      <w:r w:rsidRPr="00DB5D0D">
        <w:rPr>
          <w:rFonts w:ascii="Times New Roman" w:hAnsi="Times New Roman"/>
          <w:color w:val="000000" w:themeColor="text1"/>
          <w:sz w:val="16"/>
          <w:szCs w:val="16"/>
        </w:rPr>
        <w:tab/>
        <w:t>конструктора</w:t>
      </w:r>
    </w:p>
    <w:p w14:paraId="7FDA50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Чватова М.А.</w:t>
      </w:r>
      <w:r w:rsidRPr="00DB5D0D">
        <w:rPr>
          <w:rFonts w:ascii="Times New Roman" w:hAnsi="Times New Roman"/>
          <w:color w:val="000000" w:themeColor="text1"/>
          <w:sz w:val="16"/>
          <w:szCs w:val="16"/>
        </w:rPr>
        <w:tab/>
        <w:t>конструктора</w:t>
      </w:r>
    </w:p>
    <w:p w14:paraId="75462C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Пименова Ф.П.</w:t>
      </w:r>
      <w:r w:rsidRPr="00DB5D0D">
        <w:rPr>
          <w:rFonts w:ascii="Times New Roman" w:hAnsi="Times New Roman"/>
          <w:color w:val="000000" w:themeColor="text1"/>
          <w:sz w:val="16"/>
          <w:szCs w:val="16"/>
        </w:rPr>
        <w:tab/>
        <w:t>ведущего инженера</w:t>
      </w:r>
    </w:p>
    <w:p w14:paraId="201899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кредиты по сметам опытного строительства модификаций ББ-22 передать заводу № 81 (407,11).</w:t>
      </w:r>
    </w:p>
    <w:p w14:paraId="6AD5F72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76AB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 для подстраховки ПБ-100 в соответствии Приказом по НКАП № 317 от "директору завода № 81 тов. Климовицкому и начальнику конструкторского отдела тов. Курбала" приказывалось "...к 18 августа выпустить на заводские испытания модификацию ББ-22 в качестве пикирующего бомбардировщика и разведчика с моторами М-105". Максимальная скорость самолета ББ-22ПБ (другое обозначение БПБ-22) на высоте 4800-5000 м устанавливалась 570 км/ч, дальность полета 1200 км на скорости 0,85 максимальной, бомбовая нагрузка 2 ФАБ-250 на наружной подвеске или 4 ФАБ-100 (9655).</w:t>
      </w:r>
    </w:p>
    <w:p w14:paraId="3CA2A55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ADC5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 по приказу НКАП № 317сс от все работы по организации серийного выпуска ББ-22 переданы с завода № 1 на завод № 81, там образовано КБ под руководством инженера Курбала (11982).</w:t>
      </w:r>
    </w:p>
    <w:p w14:paraId="137A251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ED605C" w14:textId="77777777" w:rsidR="00BD6368" w:rsidRPr="00DB5D0D" w:rsidRDefault="00BD63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27 июня</w:t>
      </w:r>
      <w:r w:rsidRPr="00DB5D0D">
        <w:rPr>
          <w:rFonts w:ascii="Times New Roman" w:hAnsi="Times New Roman"/>
          <w:color w:val="000000" w:themeColor="text1"/>
          <w:sz w:val="16"/>
          <w:szCs w:val="16"/>
        </w:rPr>
        <w:t xml:space="preserve"> в 1940 году постановление правительства №317. В нем ставилась задача создания модифицированного «ББ-22» в варианте пикирующего бомбардировщика и задавались основные требования к нему: максимальная скорость на высоте 5000 м - 570 км/ч, дальность полета -1200 км, способность брать на борт четыре 100-кг или две 250-кг бомбы. Тормозные решетки должны были ограничивать скорость пикирования - не более 560 км/ч по прибору. Этой машиной с июля 1940 г. на заводе №81 стал заниматься Л.П.Курбала. Она получила название "изделие 31" или «БПБ-22». Самолет оснастили механизмом автоматического ввода и вывода из пикирования и увеличили остекление пилотской кабины для улучшения обзора вперед-вниз. В конце октября 1940 года летчик М.А.Липкин поднял «БПБ-22» в воздух. С полетной массой 5962 кг самолет на испытаниях показал скорость 533 км/ч на высоте 5100 м (она возрастала до 558 км/ч после сброса бомб). Дальнейшие испытания на аэродроме в Раменском производил летчик Я.Пауль. Опытный испытатель сумел предотвратить катастрофу, когда внезапно прекратилась подача горючего и моторы остановились один за другим. Ему удалось круто развернуть строгий самолет и не свалиться при этом в штопор. Машина заходила на посадку под углом к полосе, но все же нескольких метров высоты не хватило, чтобы пере тянуть через забор аэродрома. Авария «БПБ-22» задержала дальнейшие работы, а прекращение серийного производства вариантов «ББ-22» поставило на них крест (14935).</w:t>
      </w:r>
    </w:p>
    <w:p w14:paraId="60967912" w14:textId="77777777" w:rsidR="00BD6368" w:rsidRPr="00DB5D0D" w:rsidRDefault="00BD6368" w:rsidP="00DB5D0D">
      <w:pPr>
        <w:spacing w:after="0" w:line="240" w:lineRule="auto"/>
        <w:jc w:val="both"/>
        <w:rPr>
          <w:rFonts w:ascii="Times New Roman" w:hAnsi="Times New Roman"/>
          <w:color w:val="000000" w:themeColor="text1"/>
          <w:sz w:val="16"/>
          <w:szCs w:val="16"/>
        </w:rPr>
      </w:pPr>
    </w:p>
    <w:p w14:paraId="07AF84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 Приказом по НКАП № 317 "директору завода № 81 тов. Климовицкому и начальнику конструкторского отдела тов. Курбала" приказывалось "к 18 августа выпустить на заводские испытания модификацию ББ-22 в качестве пикирующего бомбардировщика и разведчика с моторами М-105". Максимальная скорость самолета ББ-22ПБ (другое обозначение БПБ-22) на высоте 4800-5000 м устанавливалась равной 570 км/ч, а нормальная бомбовая нагрузка должна была состоять из двух ФАБ-250 на наружной подвеске или четырех ФАБ-100 внутри фюзеляжа (12042).</w:t>
      </w:r>
    </w:p>
    <w:p w14:paraId="737ED25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5888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 Начальник ГУ ВВС генерал-лейтенант авиации Смушкевич и Военком ГУ ВВС утвердили Отчет по гос. испытанию самолета И-16 М-63 эталона 1940 года</w:t>
      </w:r>
    </w:p>
    <w:p w14:paraId="567303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154F22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2 ранга Кочетков</w:t>
      </w:r>
    </w:p>
    <w:p w14:paraId="17F534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капитан Прошаков</w:t>
      </w:r>
    </w:p>
    <w:p w14:paraId="34F6C1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964C50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доведенности винтомоторной группы И-16 М-63 и проверка работы подвесных бензобаков.</w:t>
      </w:r>
    </w:p>
    <w:p w14:paraId="29E893B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Проведение эксплуатационных испытаний для проверки прочности конструкции в связи с увеличением полетного веса и конструктивными изменениями самолета.</w:t>
      </w:r>
    </w:p>
    <w:p w14:paraId="5A7871A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вооружения в воздухе.</w:t>
      </w:r>
    </w:p>
    <w:p w14:paraId="59AC21A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летных характеристик с винтом АВ-1.</w:t>
      </w:r>
    </w:p>
    <w:p w14:paraId="3B92E5C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самолета.</w:t>
      </w:r>
    </w:p>
    <w:p w14:paraId="0D86817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маневренности самолета.</w:t>
      </w:r>
    </w:p>
    <w:p w14:paraId="7C20F76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спецоборудования самолета.</w:t>
      </w:r>
    </w:p>
    <w:p w14:paraId="17C060C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Летная оценка самолета.</w:t>
      </w:r>
    </w:p>
    <w:p w14:paraId="4A4E2A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И-16 № 24П2136 типа “24” с мотором М-63 представляет дальнейшую модификацию серийного самолета И-16 типа “10” с М-25В.</w:t>
      </w:r>
    </w:p>
    <w:p w14:paraId="33B135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начаты с 4 мая 1940 года</w:t>
      </w:r>
    </w:p>
    <w:p w14:paraId="305A9F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проведено 104 полета с налетом 24 часа</w:t>
      </w:r>
    </w:p>
    <w:p w14:paraId="1F95F3B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что эталон самолета И-16 М-63 гос. испытания прошел с замечаниями.</w:t>
      </w:r>
    </w:p>
    <w:p w14:paraId="56B2D2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7D5DF8" w:rsidRPr="00DB5D0D" w14:paraId="789F1418" w14:textId="77777777" w:rsidTr="009223E5">
        <w:tc>
          <w:tcPr>
            <w:tcW w:w="3024" w:type="dxa"/>
            <w:tcBorders>
              <w:top w:val="single" w:sz="12" w:space="0" w:color="auto"/>
            </w:tcBorders>
          </w:tcPr>
          <w:p w14:paraId="253A97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года</w:t>
            </w:r>
          </w:p>
        </w:tc>
        <w:tc>
          <w:tcPr>
            <w:tcW w:w="7574" w:type="dxa"/>
            <w:tcBorders>
              <w:top w:val="single" w:sz="12" w:space="0" w:color="auto"/>
            </w:tcBorders>
          </w:tcPr>
          <w:p w14:paraId="53C99D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для проверки работы агрегатов и приборов в воздухе</w:t>
            </w:r>
          </w:p>
        </w:tc>
      </w:tr>
      <w:tr w:rsidR="007D5DF8" w:rsidRPr="00DB5D0D" w14:paraId="3F79D399" w14:textId="77777777" w:rsidTr="009223E5">
        <w:tc>
          <w:tcPr>
            <w:tcW w:w="3024" w:type="dxa"/>
          </w:tcPr>
          <w:p w14:paraId="09D2D3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года</w:t>
            </w:r>
          </w:p>
        </w:tc>
        <w:tc>
          <w:tcPr>
            <w:tcW w:w="7574" w:type="dxa"/>
          </w:tcPr>
          <w:p w14:paraId="780DAB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замер температурного режима мотора</w:t>
            </w:r>
          </w:p>
        </w:tc>
      </w:tr>
      <w:tr w:rsidR="007D5DF8" w:rsidRPr="00DB5D0D" w14:paraId="35DD0E3E" w14:textId="77777777" w:rsidTr="009223E5">
        <w:tc>
          <w:tcPr>
            <w:tcW w:w="3024" w:type="dxa"/>
          </w:tcPr>
          <w:p w14:paraId="3FB77D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 1940 года</w:t>
            </w:r>
          </w:p>
        </w:tc>
        <w:tc>
          <w:tcPr>
            <w:tcW w:w="7574" w:type="dxa"/>
          </w:tcPr>
          <w:p w14:paraId="7D475D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по кругу на эксплуатационные испытания</w:t>
            </w:r>
          </w:p>
        </w:tc>
      </w:tr>
      <w:tr w:rsidR="007D5DF8" w:rsidRPr="00DB5D0D" w14:paraId="653E228A" w14:textId="77777777" w:rsidTr="009223E5">
        <w:tc>
          <w:tcPr>
            <w:tcW w:w="3024" w:type="dxa"/>
          </w:tcPr>
          <w:p w14:paraId="7C782B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года</w:t>
            </w:r>
          </w:p>
        </w:tc>
        <w:tc>
          <w:tcPr>
            <w:tcW w:w="7574" w:type="dxa"/>
          </w:tcPr>
          <w:p w14:paraId="292AAD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полета на эксплуатационные испытания (пилотаж)</w:t>
            </w:r>
          </w:p>
        </w:tc>
      </w:tr>
      <w:tr w:rsidR="007D5DF8" w:rsidRPr="00DB5D0D" w14:paraId="2CA489A1" w14:textId="77777777" w:rsidTr="009223E5">
        <w:tc>
          <w:tcPr>
            <w:tcW w:w="3024" w:type="dxa"/>
          </w:tcPr>
          <w:p w14:paraId="1BBFFF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w:t>
            </w:r>
          </w:p>
        </w:tc>
        <w:tc>
          <w:tcPr>
            <w:tcW w:w="7574" w:type="dxa"/>
          </w:tcPr>
          <w:p w14:paraId="2FB0CC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эксплуатационные испытания (пилотаж)</w:t>
            </w:r>
          </w:p>
        </w:tc>
      </w:tr>
      <w:tr w:rsidR="007D5DF8" w:rsidRPr="00DB5D0D" w14:paraId="5C6134F1" w14:textId="77777777" w:rsidTr="009223E5">
        <w:tc>
          <w:tcPr>
            <w:tcW w:w="3024" w:type="dxa"/>
          </w:tcPr>
          <w:p w14:paraId="3F40AC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w:t>
            </w:r>
          </w:p>
        </w:tc>
        <w:tc>
          <w:tcPr>
            <w:tcW w:w="7574" w:type="dxa"/>
          </w:tcPr>
          <w:p w14:paraId="2F2FEB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эксплуатационные испытания (пилотаж)</w:t>
            </w:r>
          </w:p>
        </w:tc>
      </w:tr>
      <w:tr w:rsidR="007D5DF8" w:rsidRPr="00DB5D0D" w14:paraId="34D5F4F9" w14:textId="77777777" w:rsidTr="009223E5">
        <w:tc>
          <w:tcPr>
            <w:tcW w:w="3024" w:type="dxa"/>
          </w:tcPr>
          <w:p w14:paraId="1838E5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года</w:t>
            </w:r>
          </w:p>
        </w:tc>
        <w:tc>
          <w:tcPr>
            <w:tcW w:w="7574" w:type="dxa"/>
          </w:tcPr>
          <w:p w14:paraId="59DAAA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полета на эксплуатационные испытания (пилотаж)</w:t>
            </w:r>
          </w:p>
        </w:tc>
      </w:tr>
      <w:tr w:rsidR="007D5DF8" w:rsidRPr="00DB5D0D" w14:paraId="6D675A63" w14:textId="77777777" w:rsidTr="009223E5">
        <w:tc>
          <w:tcPr>
            <w:tcW w:w="3024" w:type="dxa"/>
          </w:tcPr>
          <w:p w14:paraId="0F23D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w:t>
            </w:r>
          </w:p>
        </w:tc>
        <w:tc>
          <w:tcPr>
            <w:tcW w:w="7574" w:type="dxa"/>
          </w:tcPr>
          <w:p w14:paraId="6C1B46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Четыре полета на эксплуатационные испытания (пилотаж)</w:t>
            </w:r>
          </w:p>
        </w:tc>
      </w:tr>
      <w:tr w:rsidR="007D5DF8" w:rsidRPr="00DB5D0D" w14:paraId="5E20F992" w14:textId="77777777" w:rsidTr="009223E5">
        <w:tc>
          <w:tcPr>
            <w:tcW w:w="3024" w:type="dxa"/>
          </w:tcPr>
          <w:p w14:paraId="31038A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года</w:t>
            </w:r>
          </w:p>
        </w:tc>
        <w:tc>
          <w:tcPr>
            <w:tcW w:w="7574" w:type="dxa"/>
          </w:tcPr>
          <w:p w14:paraId="6FF326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Эксплуатационные испытания ( один полет на пилотаж, 1 полет на пикирование и 9 полетов по кругу)</w:t>
            </w:r>
          </w:p>
        </w:tc>
      </w:tr>
      <w:tr w:rsidR="007D5DF8" w:rsidRPr="00DB5D0D" w14:paraId="5F69AC98" w14:textId="77777777" w:rsidTr="009223E5">
        <w:tc>
          <w:tcPr>
            <w:tcW w:w="3024" w:type="dxa"/>
          </w:tcPr>
          <w:p w14:paraId="32132D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7574" w:type="dxa"/>
          </w:tcPr>
          <w:p w14:paraId="24D020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километраж</w:t>
            </w:r>
          </w:p>
        </w:tc>
      </w:tr>
      <w:tr w:rsidR="007D5DF8" w:rsidRPr="00DB5D0D" w14:paraId="11073301" w14:textId="77777777" w:rsidTr="009223E5">
        <w:tc>
          <w:tcPr>
            <w:tcW w:w="3024" w:type="dxa"/>
          </w:tcPr>
          <w:p w14:paraId="740F2D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7574" w:type="dxa"/>
          </w:tcPr>
          <w:p w14:paraId="054A5E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скороподъемность Н=5000 м</w:t>
            </w:r>
          </w:p>
        </w:tc>
      </w:tr>
      <w:tr w:rsidR="007D5DF8" w:rsidRPr="00DB5D0D" w14:paraId="59DDE6CA" w14:textId="77777777" w:rsidTr="009223E5">
        <w:tc>
          <w:tcPr>
            <w:tcW w:w="3024" w:type="dxa"/>
          </w:tcPr>
          <w:p w14:paraId="5C3C60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года</w:t>
            </w:r>
          </w:p>
        </w:tc>
        <w:tc>
          <w:tcPr>
            <w:tcW w:w="7574" w:type="dxa"/>
          </w:tcPr>
          <w:p w14:paraId="135909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километраж</w:t>
            </w:r>
          </w:p>
        </w:tc>
      </w:tr>
      <w:tr w:rsidR="007D5DF8" w:rsidRPr="00DB5D0D" w14:paraId="391B3D24" w14:textId="77777777" w:rsidTr="009223E5">
        <w:tc>
          <w:tcPr>
            <w:tcW w:w="3024" w:type="dxa"/>
          </w:tcPr>
          <w:p w14:paraId="30EBC7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мая 1940 года</w:t>
            </w:r>
          </w:p>
        </w:tc>
        <w:tc>
          <w:tcPr>
            <w:tcW w:w="7574" w:type="dxa"/>
          </w:tcPr>
          <w:p w14:paraId="605507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полетов по кругу на эксплуатационные испытания</w:t>
            </w:r>
          </w:p>
        </w:tc>
      </w:tr>
      <w:tr w:rsidR="007D5DF8" w:rsidRPr="00DB5D0D" w14:paraId="7D1B2DD7" w14:textId="77777777" w:rsidTr="009223E5">
        <w:tc>
          <w:tcPr>
            <w:tcW w:w="3024" w:type="dxa"/>
          </w:tcPr>
          <w:p w14:paraId="65056D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w:t>
            </w:r>
          </w:p>
        </w:tc>
        <w:tc>
          <w:tcPr>
            <w:tcW w:w="7574" w:type="dxa"/>
          </w:tcPr>
          <w:p w14:paraId="1C36CB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скороподъемность Н=7000 м и Н=9000 м</w:t>
            </w:r>
          </w:p>
        </w:tc>
      </w:tr>
      <w:tr w:rsidR="007D5DF8" w:rsidRPr="00DB5D0D" w14:paraId="2BFAA5FB" w14:textId="77777777" w:rsidTr="009223E5">
        <w:tc>
          <w:tcPr>
            <w:tcW w:w="3024" w:type="dxa"/>
          </w:tcPr>
          <w:p w14:paraId="16BA79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7574" w:type="dxa"/>
          </w:tcPr>
          <w:p w14:paraId="0AC7BF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Замер взлетно-посадочных свойств</w:t>
            </w:r>
          </w:p>
        </w:tc>
      </w:tr>
      <w:tr w:rsidR="007D5DF8" w:rsidRPr="00DB5D0D" w14:paraId="337D2EA3" w14:textId="77777777" w:rsidTr="009223E5">
        <w:tc>
          <w:tcPr>
            <w:tcW w:w="3024" w:type="dxa"/>
          </w:tcPr>
          <w:p w14:paraId="49BE52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7574" w:type="dxa"/>
          </w:tcPr>
          <w:p w14:paraId="257924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отстрел пулеметов в воздухе</w:t>
            </w:r>
          </w:p>
        </w:tc>
      </w:tr>
      <w:tr w:rsidR="007D5DF8" w:rsidRPr="00DB5D0D" w14:paraId="5FA87121" w14:textId="77777777" w:rsidTr="009223E5">
        <w:tc>
          <w:tcPr>
            <w:tcW w:w="3024" w:type="dxa"/>
          </w:tcPr>
          <w:p w14:paraId="6472FA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года</w:t>
            </w:r>
          </w:p>
        </w:tc>
        <w:tc>
          <w:tcPr>
            <w:tcW w:w="7574" w:type="dxa"/>
          </w:tcPr>
          <w:p w14:paraId="29F2B8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в воздухе на автоматику</w:t>
            </w:r>
          </w:p>
        </w:tc>
      </w:tr>
      <w:tr w:rsidR="007D5DF8" w:rsidRPr="00DB5D0D" w14:paraId="5396519D" w14:textId="77777777" w:rsidTr="009223E5">
        <w:tc>
          <w:tcPr>
            <w:tcW w:w="3024" w:type="dxa"/>
          </w:tcPr>
          <w:p w14:paraId="5C08E4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мая 1940 года</w:t>
            </w:r>
          </w:p>
        </w:tc>
        <w:tc>
          <w:tcPr>
            <w:tcW w:w="7574" w:type="dxa"/>
          </w:tcPr>
          <w:p w14:paraId="5C44B9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стрельбу по наземной мишени</w:t>
            </w:r>
          </w:p>
        </w:tc>
      </w:tr>
      <w:tr w:rsidR="007D5DF8" w:rsidRPr="00DB5D0D" w14:paraId="1596B81E" w14:textId="77777777" w:rsidTr="009223E5">
        <w:tc>
          <w:tcPr>
            <w:tcW w:w="3024" w:type="dxa"/>
            <w:tcBorders>
              <w:bottom w:val="single" w:sz="12" w:space="0" w:color="auto"/>
            </w:tcBorders>
          </w:tcPr>
          <w:p w14:paraId="48C5D8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года</w:t>
            </w:r>
          </w:p>
        </w:tc>
        <w:tc>
          <w:tcPr>
            <w:tcW w:w="7574" w:type="dxa"/>
            <w:tcBorders>
              <w:bottom w:val="single" w:sz="12" w:space="0" w:color="auto"/>
            </w:tcBorders>
          </w:tcPr>
          <w:p w14:paraId="6912E9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стрельбу по конусу</w:t>
            </w:r>
          </w:p>
        </w:tc>
      </w:tr>
    </w:tbl>
    <w:p w14:paraId="52220D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(4432).</w:t>
      </w:r>
    </w:p>
    <w:p w14:paraId="7F7ED05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0B6D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 генерал-лейтенант авиации Алексеев писал письмо N 553527 Ворошилову.</w:t>
      </w:r>
    </w:p>
    <w:p w14:paraId="346179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1939 году конструктором Шпитальным была предъявлена и подвергалась испытаниям 20 мм синхронная пушка ШВАК, установленная на самолете И-16.</w:t>
      </w:r>
    </w:p>
    <w:p w14:paraId="1A76A8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совет ВВС (Локтионов и Агальцев) на основании имевших место прострелов винта и заключений ЦАГИ об опасности таких прострелов, выводы отчета испытаний не утвердил. Свое решение с заключением по испытаниям Военный совет ВВС препроводил Наркомату вооружения 10 октября 1939 г.</w:t>
      </w:r>
    </w:p>
    <w:p w14:paraId="553105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Шпитальный не согласился с решением Военного совета, то ему в марте 1940 г. была представлена возможность и оказано содействие в проведении на Ногинском полигоне заводских испытаний синхронных пушек ШВАК, установленных на самолете И-153.</w:t>
      </w:r>
    </w:p>
    <w:p w14:paraId="54A463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неудовлетворительный результат испытаний, по требованию Шпитального ему предоставлена возможность в проведении войсковых испытаний:</w:t>
      </w:r>
    </w:p>
    <w:p w14:paraId="417FEA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этого:</w:t>
      </w:r>
    </w:p>
    <w:p w14:paraId="6365A4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заказано заводу N 1 15 самолетов И-153 с синхронными пушками ШВАК;</w:t>
      </w:r>
    </w:p>
    <w:p w14:paraId="4D517C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Шпитальному выдано 30 крыльевых пушек для приспособления их в качестве синхронных и</w:t>
      </w:r>
    </w:p>
    <w:p w14:paraId="4A2309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НКО издан приказ (N 0106 от 25 мая 1904 г.) о проведении войсковых испытаний в Баку.</w:t>
      </w:r>
    </w:p>
    <w:p w14:paraId="3D2D98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самолета И-153 15 июня 1940 г. были готовы к отправке на испытания. Однако Шпитальный изъял с завода N 1 синхронные пушки ШВАК, предназначенные к отправке с самолетами и отказывается их выдать до тех пор пока ему не будет выслан неутвержденный б. Военным советом отчет, якобы для учета всех отрицательных моментов пушки..... (159-160).</w:t>
      </w:r>
    </w:p>
    <w:p w14:paraId="1936C08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8560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на гос. испытания поступил И-180 М-88, но не завершил, т.к. машина была разбита (2090,133).</w:t>
      </w:r>
    </w:p>
    <w:p w14:paraId="6BD5C2B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9B90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27 июня по 5 июля 1940 проходили гос. испытания И-180 М-88Р Н.Н.П. и 5 июля машина была разбита (2090,147).</w:t>
      </w:r>
    </w:p>
    <w:p w14:paraId="2503EE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с 27 июня 1940 начались гос. испытания И-180 М-88ТК и они не закончились (2090,232).</w:t>
      </w:r>
    </w:p>
    <w:p w14:paraId="22D010E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324AC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 наркомат подтвердил свое решение о создании на бывшей территории 8-го отдела ЦАГИ нового опытного завода, которому присваивался номер 51. Поликарпову предписывалось заняться его строи­тельством. Ситуация напоминала известную русскую народную сказку о лисе и зайце с «лубяной избушкой». Отведенная заводу № 51 территория плохо подходила для роли опытного предприятия. На ней находился только бывший опытный ангар ЦАГИ. Необходимо было построить корпус для конструкторского бюро, помещения для металлообрабатывающих цехов, складов, гаража и др. Тем не менее, Николай Николаевич и его сотрудники быстро освободили территорию завода № 1. Организационные неурядицы серьезно затормозили ход работ по И—185 (11706).</w:t>
      </w:r>
    </w:p>
    <w:p w14:paraId="51035AB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8BC4E6A" w14:textId="77777777" w:rsidR="00BD6368" w:rsidRPr="00DB5D0D" w:rsidRDefault="00BD63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27 июня 1940 г. в соответствии с приказом НКАП № 319 завод № 100 стал заводом № 51 НКАП. При</w:t>
      </w:r>
      <w:r w:rsidRPr="00DB5D0D">
        <w:rPr>
          <w:rFonts w:ascii="Times New Roman" w:hAnsi="Times New Roman"/>
          <w:color w:val="000000" w:themeColor="text1"/>
          <w:sz w:val="16"/>
          <w:szCs w:val="16"/>
        </w:rPr>
        <w:softHyphen/>
        <w:t>казом № 272/к от 8 июля 1940 г. Поликарпов назначался Директором и Главным конст</w:t>
      </w:r>
      <w:r w:rsidRPr="00DB5D0D">
        <w:rPr>
          <w:rFonts w:ascii="Times New Roman" w:hAnsi="Times New Roman"/>
          <w:color w:val="000000" w:themeColor="text1"/>
          <w:sz w:val="16"/>
          <w:szCs w:val="16"/>
        </w:rPr>
        <w:softHyphen/>
        <w:t>руктором завода № 51 (15804).</w:t>
      </w:r>
    </w:p>
    <w:p w14:paraId="3B18FEDE" w14:textId="77777777" w:rsidR="00BD6368" w:rsidRPr="00DB5D0D" w:rsidRDefault="00BD6368" w:rsidP="00DB5D0D">
      <w:pPr>
        <w:spacing w:after="0" w:line="240" w:lineRule="auto"/>
        <w:jc w:val="both"/>
        <w:rPr>
          <w:rFonts w:ascii="Times New Roman" w:hAnsi="Times New Roman"/>
          <w:color w:val="000000" w:themeColor="text1"/>
          <w:sz w:val="16"/>
          <w:szCs w:val="16"/>
        </w:rPr>
      </w:pPr>
    </w:p>
    <w:p w14:paraId="48F653A1" w14:textId="77777777" w:rsidR="00BD6368" w:rsidRPr="00DB5D0D" w:rsidRDefault="00BD6368"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27 июня и 8 июля 1940 Приказами НКАП опытный завод, ко</w:t>
      </w:r>
      <w:r w:rsidRPr="00DB5D0D">
        <w:rPr>
          <w:rFonts w:ascii="Times New Roman" w:cs="Times New Roman"/>
          <w:color w:val="000000" w:themeColor="text1"/>
          <w:spacing w:val="0"/>
        </w:rPr>
        <w:softHyphen/>
        <w:t>торый стал производственной базой для ОКБ Поликарпова получил обо</w:t>
      </w:r>
      <w:r w:rsidRPr="00DB5D0D">
        <w:rPr>
          <w:rFonts w:ascii="Times New Roman" w:cs="Times New Roman"/>
          <w:color w:val="000000" w:themeColor="text1"/>
          <w:spacing w:val="0"/>
        </w:rPr>
        <w:softHyphen/>
        <w:t>значение №51 НКАП, а его директором и главным конструктором был назначен Н.Н. Поликарпов. Очередной (четвертый за последние четыре года) переезд ОКБ на новую территорию состоялся в сен</w:t>
      </w:r>
      <w:r w:rsidRPr="00DB5D0D">
        <w:rPr>
          <w:rFonts w:ascii="Times New Roman" w:cs="Times New Roman"/>
          <w:color w:val="000000" w:themeColor="text1"/>
          <w:spacing w:val="0"/>
        </w:rPr>
        <w:softHyphen/>
        <w:t>тябре 1940 г. (15755)</w:t>
      </w:r>
    </w:p>
    <w:p w14:paraId="2CF31E2F" w14:textId="77777777" w:rsidR="00BD6368" w:rsidRPr="00DB5D0D" w:rsidRDefault="00BD6368" w:rsidP="00DB5D0D">
      <w:pPr>
        <w:pStyle w:val="27"/>
        <w:shd w:val="clear" w:color="auto" w:fill="auto"/>
        <w:spacing w:after="0" w:line="240" w:lineRule="auto"/>
        <w:ind w:firstLine="0"/>
        <w:rPr>
          <w:rFonts w:ascii="Times New Roman" w:cs="Times New Roman"/>
          <w:color w:val="000000" w:themeColor="text1"/>
          <w:spacing w:val="0"/>
        </w:rPr>
      </w:pPr>
    </w:p>
    <w:p w14:paraId="05D9AA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по приказу МАП в исполнение постановления СНК от 26 января 1940 было организовано ОКБ П.О.С. (240,5).</w:t>
      </w:r>
    </w:p>
    <w:p w14:paraId="0A735C6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AD59B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 закончились гос. испытания самолета И-301 М-105П конструкции Горбунова, Лавочкина и Гудкова, которые проходили с 14 или 15 июня 1940 (6895).</w:t>
      </w:r>
    </w:p>
    <w:p w14:paraId="4357FAC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213C85B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 майор Супрун, майор Стефановский</w:t>
      </w:r>
    </w:p>
    <w:p w14:paraId="29E202F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Таракановский</w:t>
      </w:r>
    </w:p>
    <w:p w14:paraId="5E98768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A07E6B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в пределах проведенных заводских испытаний.</w:t>
      </w:r>
    </w:p>
    <w:p w14:paraId="3C2BEEB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конструкции самолета и доведенности его винтомоторной группы и спецоборудования.</w:t>
      </w:r>
    </w:p>
    <w:p w14:paraId="7C721807"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4010C92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постройки завода № 301 был изготовлен по тактико-техническим требованиям ВВС и должен был иметь следующие данные:</w:t>
      </w:r>
    </w:p>
    <w:p w14:paraId="5F023D9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мотором М-105 и ТК-2</w:t>
      </w:r>
    </w:p>
    <w:p w14:paraId="7401312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9000 м – 650-675 км/час</w:t>
      </w:r>
    </w:p>
    <w:p w14:paraId="6CC69B1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12000 м</w:t>
      </w:r>
    </w:p>
    <w:p w14:paraId="1A380AE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2БС калибра 12,7 мм, 2 ШКАС 7,62 мм</w:t>
      </w:r>
    </w:p>
    <w:p w14:paraId="730657F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мотором М-106П</w:t>
      </w:r>
    </w:p>
    <w:p w14:paraId="556A879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6000-7000 м – 600-625 км/час</w:t>
      </w:r>
    </w:p>
    <w:p w14:paraId="72E056F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11000 м</w:t>
      </w:r>
    </w:p>
    <w:p w14:paraId="2374200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пушка калибра 20-23 мм, 2 ШКАС 7,62 мм</w:t>
      </w:r>
    </w:p>
    <w:p w14:paraId="38FDD40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 счет перегрузки в обоих вариантах предусматривалась установка 8 шт. РС-82 мм и бомб общим весом до 100 кг.</w:t>
      </w:r>
    </w:p>
    <w:p w14:paraId="7CBB294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Оба варианте самолета должны были иметь следующие данные:</w:t>
      </w:r>
    </w:p>
    <w:p w14:paraId="332BF08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 скорости – 600 км</w:t>
      </w:r>
    </w:p>
    <w:p w14:paraId="37B7FDA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подвесными баками – 1000 км</w:t>
      </w:r>
    </w:p>
    <w:p w14:paraId="288AE4D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 – 16-18 сек.</w:t>
      </w:r>
    </w:p>
    <w:p w14:paraId="737A82B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 не более 200 м</w:t>
      </w:r>
    </w:p>
    <w:p w14:paraId="3DF4B80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пробега не более – 150 м</w:t>
      </w:r>
    </w:p>
    <w:p w14:paraId="7045154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предусматривалось применение уплотненной древесины и материала дюрамольд.</w:t>
      </w:r>
    </w:p>
    <w:p w14:paraId="254EF14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представления самолетов на гос. испытания был установлен:</w:t>
      </w:r>
    </w:p>
    <w:p w14:paraId="608A332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1-го экземпляра – февраль 1940 года</w:t>
      </w:r>
    </w:p>
    <w:p w14:paraId="30D8AE7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2-го экземпляра – май 1940 года</w:t>
      </w:r>
    </w:p>
    <w:p w14:paraId="03A9E28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14 июня 1940 года на гос. испытания самолет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w:t>
      </w:r>
    </w:p>
    <w:p w14:paraId="2763F99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 патронов.</w:t>
      </w:r>
    </w:p>
    <w:p w14:paraId="416BA1B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 счет перегрузки на самолете могут быть установлены пулеметы Шкас калибра 7,62 мм с боезапасом 1300-1500 шт. патронов.</w:t>
      </w:r>
    </w:p>
    <w:p w14:paraId="59281E0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бомб, РС-82 и подвесных баков для горючего на данном экземпляре самолета не осуществлена.</w:t>
      </w:r>
    </w:p>
    <w:p w14:paraId="7315F5D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самолета И-301 в НИИ ВВС (15-27 июня 1940 года) на самолете было сделано 42 полета общей продолжительностью 16 час. 30 мин.</w:t>
      </w:r>
    </w:p>
    <w:p w14:paraId="2C855BD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32181C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был предъявлен на гос. испытания с недоведенным вооружением и не испытан на штопор, пикирование и высший пилотаж.</w:t>
      </w:r>
    </w:p>
    <w:p w14:paraId="077B8E8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гос. испытаний не прошел из-за отсутствия испытания вооружения и испытаний на штопор и пикирование.</w:t>
      </w:r>
    </w:p>
    <w:p w14:paraId="2A167F9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7D5DF8" w:rsidRPr="00DB5D0D" w14:paraId="21CED82B" w14:textId="77777777" w:rsidTr="009223E5">
        <w:tc>
          <w:tcPr>
            <w:tcW w:w="1951" w:type="dxa"/>
            <w:tcBorders>
              <w:top w:val="single" w:sz="12" w:space="0" w:color="auto"/>
            </w:tcBorders>
          </w:tcPr>
          <w:p w14:paraId="3C2AB64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w:t>
            </w:r>
          </w:p>
        </w:tc>
        <w:tc>
          <w:tcPr>
            <w:tcW w:w="8647" w:type="dxa"/>
            <w:tcBorders>
              <w:top w:val="single" w:sz="12" w:space="0" w:color="auto"/>
            </w:tcBorders>
          </w:tcPr>
          <w:p w14:paraId="4DA0830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гос. испытания в НИИ ВВС</w:t>
            </w:r>
          </w:p>
        </w:tc>
      </w:tr>
      <w:tr w:rsidR="007D5DF8" w:rsidRPr="00DB5D0D" w14:paraId="20A66F6B" w14:textId="77777777" w:rsidTr="009223E5">
        <w:tc>
          <w:tcPr>
            <w:tcW w:w="1951" w:type="dxa"/>
          </w:tcPr>
          <w:p w14:paraId="1747A77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8647" w:type="dxa"/>
          </w:tcPr>
          <w:p w14:paraId="32EF47E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летчика Стефановского</w:t>
            </w:r>
          </w:p>
        </w:tc>
      </w:tr>
      <w:tr w:rsidR="007D5DF8" w:rsidRPr="00DB5D0D" w14:paraId="2924D23D" w14:textId="77777777" w:rsidTr="009223E5">
        <w:tc>
          <w:tcPr>
            <w:tcW w:w="1951" w:type="dxa"/>
          </w:tcPr>
          <w:p w14:paraId="2C0D111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8647" w:type="dxa"/>
          </w:tcPr>
          <w:p w14:paraId="0C54B80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сверхмаксимальную скорость</w:t>
            </w:r>
          </w:p>
        </w:tc>
      </w:tr>
      <w:tr w:rsidR="007D5DF8" w:rsidRPr="00DB5D0D" w14:paraId="4566893F" w14:textId="77777777" w:rsidTr="009223E5">
        <w:tc>
          <w:tcPr>
            <w:tcW w:w="1951" w:type="dxa"/>
          </w:tcPr>
          <w:p w14:paraId="04A2450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8647" w:type="dxa"/>
          </w:tcPr>
          <w:p w14:paraId="603DFED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второго ведущего летчика Супруна</w:t>
            </w:r>
          </w:p>
        </w:tc>
      </w:tr>
      <w:tr w:rsidR="007D5DF8" w:rsidRPr="00DB5D0D" w14:paraId="1505108F" w14:textId="77777777" w:rsidTr="009223E5">
        <w:tc>
          <w:tcPr>
            <w:tcW w:w="1951" w:type="dxa"/>
          </w:tcPr>
          <w:p w14:paraId="09AC1B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8647" w:type="dxa"/>
          </w:tcPr>
          <w:p w14:paraId="2AA76F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747E28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26EE0A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дефектов, обнаруженных после полета: выброс масла из суфлера мотора, устранение утечки воздуха, замена барографа</w:t>
            </w:r>
          </w:p>
        </w:tc>
      </w:tr>
      <w:tr w:rsidR="007D5DF8" w:rsidRPr="00DB5D0D" w14:paraId="7C77B22F" w14:textId="77777777" w:rsidTr="009223E5">
        <w:tc>
          <w:tcPr>
            <w:tcW w:w="1951" w:type="dxa"/>
          </w:tcPr>
          <w:p w14:paraId="7E5904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w:t>
            </w:r>
          </w:p>
        </w:tc>
        <w:tc>
          <w:tcPr>
            <w:tcW w:w="8647" w:type="dxa"/>
          </w:tcPr>
          <w:p w14:paraId="3809F3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70D13A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из-за отсоединения тяги нормального газа мотора. Заварка выхлопного коллектора. Устранение причин, вызвавших вынужденную посадку</w:t>
            </w:r>
          </w:p>
          <w:p w14:paraId="25CC3D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на пилотаж. После полета обнаружены следы пожара во всасывающем патрубке мотора. Патрубок снят и осмотрен.</w:t>
            </w:r>
          </w:p>
          <w:p w14:paraId="276F86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пилотаж с засечкой фигур с земли. Ремонт гибкого валика счетчика оборотов</w:t>
            </w:r>
          </w:p>
        </w:tc>
      </w:tr>
      <w:tr w:rsidR="007D5DF8" w:rsidRPr="00DB5D0D" w14:paraId="00556A51" w14:textId="77777777" w:rsidTr="009223E5">
        <w:tc>
          <w:tcPr>
            <w:tcW w:w="1951" w:type="dxa"/>
          </w:tcPr>
          <w:p w14:paraId="16FBBE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w:t>
            </w:r>
          </w:p>
        </w:tc>
        <w:tc>
          <w:tcPr>
            <w:tcW w:w="8647" w:type="dxa"/>
          </w:tcPr>
          <w:p w14:paraId="52B967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2DBBFB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w:t>
            </w:r>
          </w:p>
          <w:p w14:paraId="1FAF9F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без пользования тормозами, т.к. лопнула воздушная трубка</w:t>
            </w:r>
          </w:p>
          <w:p w14:paraId="2F9274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 и скорости по высотам.</w:t>
            </w:r>
          </w:p>
          <w:p w14:paraId="20889A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с-та. Подготовка с-та к испытанию на расход горючего.</w:t>
            </w:r>
          </w:p>
          <w:p w14:paraId="338B41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неисправновстей во всасявающем патрубке, подводящим воздух к нагнетателю</w:t>
            </w:r>
          </w:p>
        </w:tc>
      </w:tr>
      <w:tr w:rsidR="007D5DF8" w:rsidRPr="00DB5D0D" w14:paraId="4FA1EB8B" w14:textId="77777777" w:rsidTr="009223E5">
        <w:tc>
          <w:tcPr>
            <w:tcW w:w="1951" w:type="dxa"/>
          </w:tcPr>
          <w:p w14:paraId="67DC47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w:t>
            </w:r>
          </w:p>
        </w:tc>
        <w:tc>
          <w:tcPr>
            <w:tcW w:w="8647" w:type="dxa"/>
          </w:tcPr>
          <w:p w14:paraId="08A226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Замена покрышек колес, т.к. смонтированные покрышки деформировались и не убирается шасси. Устранение течи воды в пауке водосистемы</w:t>
            </w:r>
          </w:p>
        </w:tc>
      </w:tr>
      <w:tr w:rsidR="007D5DF8" w:rsidRPr="00DB5D0D" w14:paraId="5C361CF7" w14:textId="77777777" w:rsidTr="009223E5">
        <w:tc>
          <w:tcPr>
            <w:tcW w:w="1951" w:type="dxa"/>
          </w:tcPr>
          <w:p w14:paraId="11D6173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w:t>
            </w:r>
          </w:p>
        </w:tc>
        <w:tc>
          <w:tcPr>
            <w:tcW w:w="8647" w:type="dxa"/>
          </w:tcPr>
          <w:p w14:paraId="5D45DCD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Полет на расход горючего.</w:t>
            </w:r>
          </w:p>
        </w:tc>
      </w:tr>
      <w:tr w:rsidR="007D5DF8" w:rsidRPr="00DB5D0D" w14:paraId="4D7FF546" w14:textId="77777777" w:rsidTr="009223E5">
        <w:tc>
          <w:tcPr>
            <w:tcW w:w="1951" w:type="dxa"/>
          </w:tcPr>
          <w:p w14:paraId="2302090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w:t>
            </w:r>
          </w:p>
        </w:tc>
        <w:tc>
          <w:tcPr>
            <w:tcW w:w="8647" w:type="dxa"/>
          </w:tcPr>
          <w:p w14:paraId="2021D89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первой скорости нагнетателя. Полет на высоту 8000 м. Полет на расход горючего на второй скорости нагнетателя. Полет для определения устойчивости при средней центровке. Полет на устойчивость при передней центровке.</w:t>
            </w:r>
          </w:p>
        </w:tc>
      </w:tr>
      <w:tr w:rsidR="007D5DF8" w:rsidRPr="00DB5D0D" w14:paraId="5DB634D2" w14:textId="77777777" w:rsidTr="009223E5">
        <w:tc>
          <w:tcPr>
            <w:tcW w:w="1951" w:type="dxa"/>
          </w:tcPr>
          <w:p w14:paraId="40F14A0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8647" w:type="dxa"/>
          </w:tcPr>
          <w:p w14:paraId="03B1F95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с задней центровкой. Полет на высоту 6000 м и снятие скоростей по высотам.</w:t>
            </w:r>
          </w:p>
        </w:tc>
      </w:tr>
      <w:tr w:rsidR="007D5DF8" w:rsidRPr="00DB5D0D" w14:paraId="019DB0AA" w14:textId="77777777" w:rsidTr="009223E5">
        <w:tc>
          <w:tcPr>
            <w:tcW w:w="1951" w:type="dxa"/>
          </w:tcPr>
          <w:p w14:paraId="3215566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w:t>
            </w:r>
          </w:p>
        </w:tc>
        <w:tc>
          <w:tcPr>
            <w:tcW w:w="8647" w:type="dxa"/>
          </w:tcPr>
          <w:p w14:paraId="77A149E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w:t>
            </w:r>
          </w:p>
        </w:tc>
      </w:tr>
      <w:tr w:rsidR="007D5DF8" w:rsidRPr="00DB5D0D" w14:paraId="5E57FDBB" w14:textId="77777777" w:rsidTr="009223E5">
        <w:tc>
          <w:tcPr>
            <w:tcW w:w="1951" w:type="dxa"/>
            <w:tcBorders>
              <w:bottom w:val="single" w:sz="12" w:space="0" w:color="auto"/>
            </w:tcBorders>
          </w:tcPr>
          <w:p w14:paraId="198F19A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8647" w:type="dxa"/>
            <w:tcBorders>
              <w:bottom w:val="single" w:sz="12" w:space="0" w:color="auto"/>
            </w:tcBorders>
          </w:tcPr>
          <w:p w14:paraId="21D75EA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полет для снятия скоростей по высотам</w:t>
            </w:r>
          </w:p>
        </w:tc>
      </w:tr>
    </w:tbl>
    <w:p w14:paraId="70ADE02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гос. испытания 14 июня 1940 года. Начало испытаний – 15 июня 1940 года. Количество летных дней – 10. Конец испытания 27 июня 1940 года. За время испытаний проведено 42 полета общей продолжительностью 16 час. 30 мин. (6895).</w:t>
      </w:r>
    </w:p>
    <w:p w14:paraId="597E6D2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622E313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закончились гос. испытания самолета И-301 М-105П конструкции Горбунова, Лавочина и Гудкова, которые проходили с 15 июня (6599).</w:t>
      </w:r>
    </w:p>
    <w:p w14:paraId="212389E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B6DA10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Супрун, майор Стефановский</w:t>
      </w:r>
    </w:p>
    <w:p w14:paraId="67C87CE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Вед. инженер в/инженер 3 ранга Таракановский</w:t>
      </w:r>
    </w:p>
    <w:p w14:paraId="116BF26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753EF60A"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в пределах, проведенных заводских испытаний.</w:t>
      </w:r>
    </w:p>
    <w:p w14:paraId="0B71C650"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конструкции самолета и доведенности его винто-моторной группы и спецоборудования.</w:t>
      </w:r>
    </w:p>
    <w:p w14:paraId="26D19519"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5151B61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Горбунова, Лавочина и Гудкова, постройки завода № 301 был изготовлен по тактико-техническим требованиям ВВС и должен был иметь следующие данные:</w:t>
      </w:r>
    </w:p>
    <w:p w14:paraId="46C3CB0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мотором М-105 и ТК-2</w:t>
      </w:r>
    </w:p>
    <w:p w14:paraId="604FAAB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6B5642D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БС калибра 12,7 мм</w:t>
      </w:r>
    </w:p>
    <w:p w14:paraId="6750248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калибра 7,62 мм</w:t>
      </w:r>
    </w:p>
    <w:p w14:paraId="0897104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мотором М-106П</w:t>
      </w:r>
    </w:p>
    <w:p w14:paraId="2657A86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калибра 20-23 мм</w:t>
      </w:r>
    </w:p>
    <w:p w14:paraId="0BE4CEB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калибра 7,62 мм</w:t>
      </w:r>
    </w:p>
    <w:p w14:paraId="63DA0A2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предусматривалось использование уплотненной древесины и материала дюрамольд.</w:t>
      </w:r>
    </w:p>
    <w:p w14:paraId="3EC480A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представления самолетов на гос. испытания был установлен:</w:t>
      </w:r>
    </w:p>
    <w:p w14:paraId="1388D55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1-го экземпляра – февраль 1940 года</w:t>
      </w:r>
    </w:p>
    <w:p w14:paraId="036C834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2-го экземпляра – май 1940 года</w:t>
      </w:r>
    </w:p>
    <w:p w14:paraId="74F5287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14-го июня 1940 года на гос. испытания самолет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w:t>
      </w:r>
    </w:p>
    <w:p w14:paraId="7C1F1A4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штук патронов.</w:t>
      </w:r>
    </w:p>
    <w:p w14:paraId="503EF72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в счет перегрузки могут быть установлены пулеметы ШКАС калибра 7,62 мм с боезапасом 1300-1500 шт. патронов. Установка бомб, РС-82 и подвесных баков для горючего на данном экземпляре самолета не осуществлена.</w:t>
      </w:r>
    </w:p>
    <w:p w14:paraId="1A9D187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самолета И-301 в НИИ ВВС (15-27 июня 1940 года) на самолете было сделано 42 полета общей продолжительностью 16 час. 30 мин.</w:t>
      </w:r>
    </w:p>
    <w:p w14:paraId="17BF8F8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AF1034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инженеров Горбунова, Лавочина и Гудкова производства завода № 301 был предъявлен на гос. испытания с недоведенным вооружением и не испытан на штопор, пикирование и высший пилотаж.</w:t>
      </w:r>
    </w:p>
    <w:p w14:paraId="7B17BC9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гос. испытаний не прошел из-за отсутствия испытания вооружения и испытаний на штопор и пикирование.</w:t>
      </w:r>
    </w:p>
    <w:p w14:paraId="58A9F79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7D5DF8" w:rsidRPr="00DB5D0D" w14:paraId="6BC8A685" w14:textId="77777777" w:rsidTr="009223E5">
        <w:tc>
          <w:tcPr>
            <w:tcW w:w="1951" w:type="dxa"/>
            <w:tcBorders>
              <w:top w:val="single" w:sz="12" w:space="0" w:color="auto"/>
            </w:tcBorders>
          </w:tcPr>
          <w:p w14:paraId="0B8C51D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8647" w:type="dxa"/>
            <w:tcBorders>
              <w:top w:val="single" w:sz="12" w:space="0" w:color="auto"/>
            </w:tcBorders>
          </w:tcPr>
          <w:p w14:paraId="212D8EB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0CC6A79E" w14:textId="77777777" w:rsidTr="009223E5">
        <w:tc>
          <w:tcPr>
            <w:tcW w:w="1951" w:type="dxa"/>
          </w:tcPr>
          <w:p w14:paraId="0BA9245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8647" w:type="dxa"/>
          </w:tcPr>
          <w:p w14:paraId="72E315C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летчика Стефановского.</w:t>
            </w:r>
          </w:p>
        </w:tc>
      </w:tr>
      <w:tr w:rsidR="007D5DF8" w:rsidRPr="00DB5D0D" w14:paraId="5C671122" w14:textId="77777777" w:rsidTr="009223E5">
        <w:tc>
          <w:tcPr>
            <w:tcW w:w="1951" w:type="dxa"/>
          </w:tcPr>
          <w:p w14:paraId="3C1920D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8647" w:type="dxa"/>
          </w:tcPr>
          <w:p w14:paraId="2B0E3DD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сверхмаксимальную скорость.</w:t>
            </w:r>
          </w:p>
        </w:tc>
      </w:tr>
      <w:tr w:rsidR="007D5DF8" w:rsidRPr="00DB5D0D" w14:paraId="075DA143" w14:textId="77777777" w:rsidTr="009223E5">
        <w:tc>
          <w:tcPr>
            <w:tcW w:w="1951" w:type="dxa"/>
          </w:tcPr>
          <w:p w14:paraId="79092FB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8647" w:type="dxa"/>
          </w:tcPr>
          <w:p w14:paraId="7079AFE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второго вед. летчика Супруна.</w:t>
            </w:r>
          </w:p>
        </w:tc>
      </w:tr>
      <w:tr w:rsidR="007D5DF8" w:rsidRPr="00DB5D0D" w14:paraId="255F3DB5" w14:textId="77777777" w:rsidTr="009223E5">
        <w:tc>
          <w:tcPr>
            <w:tcW w:w="1951" w:type="dxa"/>
          </w:tcPr>
          <w:p w14:paraId="2E003C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8647" w:type="dxa"/>
          </w:tcPr>
          <w:p w14:paraId="5A16B3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33DE4D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725AED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дефектов, обнаруженных после полета: выброс масла из суфлера мотора, устранение утечки воздуха, замена барографа</w:t>
            </w:r>
          </w:p>
        </w:tc>
      </w:tr>
      <w:tr w:rsidR="007D5DF8" w:rsidRPr="00DB5D0D" w14:paraId="1E110497" w14:textId="77777777" w:rsidTr="009223E5">
        <w:tc>
          <w:tcPr>
            <w:tcW w:w="1951" w:type="dxa"/>
          </w:tcPr>
          <w:p w14:paraId="51CF1E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w:t>
            </w:r>
          </w:p>
        </w:tc>
        <w:tc>
          <w:tcPr>
            <w:tcW w:w="8647" w:type="dxa"/>
          </w:tcPr>
          <w:p w14:paraId="11D979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5F1B6B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из-за отсоединения тяги нормального газа мотора. Заварка выхлопного коллектора. Устранение причин, вызвавших вынужденную посадку</w:t>
            </w:r>
          </w:p>
          <w:p w14:paraId="3A075E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на пилотаж. После полета обнаружены следы пожара во всасывающем патрубке мотора. Патрубок снят и осмотрен.</w:t>
            </w:r>
          </w:p>
          <w:p w14:paraId="47AEF5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пилотаж с засечкой фигур с земли. Ремонт гибкого валика счетчика оборотов</w:t>
            </w:r>
          </w:p>
        </w:tc>
      </w:tr>
      <w:tr w:rsidR="007D5DF8" w:rsidRPr="00DB5D0D" w14:paraId="2CA4C001" w14:textId="77777777" w:rsidTr="009223E5">
        <w:tc>
          <w:tcPr>
            <w:tcW w:w="1951" w:type="dxa"/>
          </w:tcPr>
          <w:p w14:paraId="0DE9E1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w:t>
            </w:r>
          </w:p>
        </w:tc>
        <w:tc>
          <w:tcPr>
            <w:tcW w:w="8647" w:type="dxa"/>
          </w:tcPr>
          <w:p w14:paraId="606BCB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227918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w:t>
            </w:r>
          </w:p>
          <w:p w14:paraId="1AAEF0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без пользования тормозами, т.к. лопнула воздушная трубка</w:t>
            </w:r>
          </w:p>
          <w:p w14:paraId="4440AE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 и скорости по высотам.</w:t>
            </w:r>
          </w:p>
          <w:p w14:paraId="008116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с-та. Подготовка с-та к испытанию на расход горючего.</w:t>
            </w:r>
          </w:p>
          <w:p w14:paraId="73555B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неисправновстей во всасявающем патрубке, подводящим воздух к нагнетателю</w:t>
            </w:r>
          </w:p>
        </w:tc>
      </w:tr>
      <w:tr w:rsidR="007D5DF8" w:rsidRPr="00DB5D0D" w14:paraId="0EB393E4" w14:textId="77777777" w:rsidTr="009223E5">
        <w:tc>
          <w:tcPr>
            <w:tcW w:w="1951" w:type="dxa"/>
          </w:tcPr>
          <w:p w14:paraId="4766BE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w:t>
            </w:r>
          </w:p>
        </w:tc>
        <w:tc>
          <w:tcPr>
            <w:tcW w:w="8647" w:type="dxa"/>
          </w:tcPr>
          <w:p w14:paraId="4BAEDF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Замена покрышек колес, т.к. смонтированные покрышки деформировались и не убирается шасси. Устранение течи воды в пауке водосистемы</w:t>
            </w:r>
          </w:p>
        </w:tc>
      </w:tr>
      <w:tr w:rsidR="007D5DF8" w:rsidRPr="00DB5D0D" w14:paraId="4E6B0A3C" w14:textId="77777777" w:rsidTr="009223E5">
        <w:tc>
          <w:tcPr>
            <w:tcW w:w="1951" w:type="dxa"/>
          </w:tcPr>
          <w:p w14:paraId="1A3D589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w:t>
            </w:r>
          </w:p>
        </w:tc>
        <w:tc>
          <w:tcPr>
            <w:tcW w:w="8647" w:type="dxa"/>
          </w:tcPr>
          <w:p w14:paraId="3E7B51C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p w14:paraId="1BFCDB0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w:t>
            </w:r>
          </w:p>
        </w:tc>
      </w:tr>
      <w:tr w:rsidR="007D5DF8" w:rsidRPr="00DB5D0D" w14:paraId="34FE1225" w14:textId="77777777" w:rsidTr="009223E5">
        <w:tc>
          <w:tcPr>
            <w:tcW w:w="1951" w:type="dxa"/>
          </w:tcPr>
          <w:p w14:paraId="7B747B3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w:t>
            </w:r>
          </w:p>
        </w:tc>
        <w:tc>
          <w:tcPr>
            <w:tcW w:w="8647" w:type="dxa"/>
          </w:tcPr>
          <w:p w14:paraId="3EA7912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первой скорости нагнетателя.</w:t>
            </w:r>
          </w:p>
          <w:p w14:paraId="3D7914A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8000 м.</w:t>
            </w:r>
          </w:p>
          <w:p w14:paraId="691967E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второй скорости нагнетателя.</w:t>
            </w:r>
          </w:p>
          <w:p w14:paraId="0EB4466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при передней центровке.</w:t>
            </w:r>
          </w:p>
        </w:tc>
      </w:tr>
      <w:tr w:rsidR="007D5DF8" w:rsidRPr="00DB5D0D" w14:paraId="1C3A1A9F" w14:textId="77777777" w:rsidTr="009223E5">
        <w:tc>
          <w:tcPr>
            <w:tcW w:w="1951" w:type="dxa"/>
          </w:tcPr>
          <w:p w14:paraId="120AF3C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8647" w:type="dxa"/>
          </w:tcPr>
          <w:p w14:paraId="4936E71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с задней центровкой.</w:t>
            </w:r>
          </w:p>
          <w:p w14:paraId="5A4B65D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6000 м и снятие скоростей по высотам.</w:t>
            </w:r>
          </w:p>
          <w:p w14:paraId="198EF42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tc>
      </w:tr>
      <w:tr w:rsidR="007D5DF8" w:rsidRPr="00DB5D0D" w14:paraId="78598DC5" w14:textId="77777777" w:rsidTr="009223E5">
        <w:tc>
          <w:tcPr>
            <w:tcW w:w="1951" w:type="dxa"/>
          </w:tcPr>
          <w:p w14:paraId="7C1C090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w:t>
            </w:r>
          </w:p>
        </w:tc>
        <w:tc>
          <w:tcPr>
            <w:tcW w:w="8647" w:type="dxa"/>
          </w:tcPr>
          <w:p w14:paraId="5A93EF8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 Летали в облете: генерал-майор авиации Филин, полковой комиссар Холопцев и полковник Кабанов.</w:t>
            </w:r>
          </w:p>
        </w:tc>
      </w:tr>
      <w:tr w:rsidR="007D5DF8" w:rsidRPr="00DB5D0D" w14:paraId="6255F3F0" w14:textId="77777777" w:rsidTr="009223E5">
        <w:tc>
          <w:tcPr>
            <w:tcW w:w="1951" w:type="dxa"/>
            <w:tcBorders>
              <w:bottom w:val="single" w:sz="12" w:space="0" w:color="auto"/>
            </w:tcBorders>
          </w:tcPr>
          <w:p w14:paraId="1EA0BC7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8647" w:type="dxa"/>
            <w:tcBorders>
              <w:bottom w:val="single" w:sz="12" w:space="0" w:color="auto"/>
            </w:tcBorders>
          </w:tcPr>
          <w:p w14:paraId="176A4140"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полет для снятия скоростей по высотам с новыми всасывающими патрубками (с направляющими пластинками), новыми выхлопными патрубками, при законтренных щитках-закрылках, чтобы оценить влияние их открывания на высоте на максимальную скорость.</w:t>
            </w:r>
          </w:p>
        </w:tc>
      </w:tr>
    </w:tbl>
    <w:p w14:paraId="167C272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испытания 14 июня 1940 года</w:t>
      </w:r>
    </w:p>
    <w:p w14:paraId="33F73C1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Начало испытаний – 15 июня 1940 года</w:t>
      </w:r>
    </w:p>
    <w:p w14:paraId="2EC92349"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летных дней – 10</w:t>
      </w:r>
    </w:p>
    <w:p w14:paraId="755B74B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испытания – 27 июня 1940 года</w:t>
      </w:r>
    </w:p>
    <w:p w14:paraId="5098ADF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проведено 42 полета общей продолжительностью 16 час. 30 мин (6599).</w:t>
      </w:r>
    </w:p>
    <w:p w14:paraId="0C5622AA"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F7C90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закончились гос. испытания И-301 (65,17), которые проходили с 15 июня 1940 (706).</w:t>
      </w:r>
    </w:p>
    <w:p w14:paraId="48AD2B5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646C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закончились гос. испытания И-301 М-105П Горбунова, С.А.Л. и Гудкова, которые проходили с 14 июня 1940. Отв. исполнители: вл Супрун и П.М.Стефановский, ви Таракановский. Начали 15 июня, было 10 летных дней. Провели 42 полета и налетали 16:30 (2922).</w:t>
      </w:r>
    </w:p>
    <w:p w14:paraId="459767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C6A48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и С.А.Л., Гудкова и Горбунова производства завода 301 был предъявлен на гос. испытания с недоведенным вооружением и не испытан на штопор, пикирование и высший пилотаж в выполнении фигур иммельмана и бочки.</w:t>
      </w:r>
    </w:p>
    <w:p w14:paraId="7479CB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И-301 гос. испытаний не прошел из-за отсутствия испытания вооружения и испытаний на штопор и пикирование.</w:t>
      </w:r>
    </w:p>
    <w:p w14:paraId="7F84CF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Конструкторам И-301 и директору завода 301 надлежит на опытном самолете после отстрела пушки в воздухе в кратчайший срок довести все стрелковое вооружение, заменить РВ, довести ВМГ, улучшить устойчивость на пробеге, устранить дефекты по щиткам, закрылкам и шасси и испытать его на штопор, пикирование, пилотаж и отстрел вооружения в воздухе.</w:t>
      </w:r>
    </w:p>
    <w:p w14:paraId="250CD1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проведения этих испытаний самолет передать в НИИ ВВС на контрольные испытания.</w:t>
      </w:r>
    </w:p>
    <w:p w14:paraId="77CD37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дублере самолета д.б. устранены ограничения в скорости пикирования и устранены основные дефекты, выявленные на гос. испытаниях 1-го экз.</w:t>
      </w:r>
    </w:p>
    <w:p w14:paraId="16D024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4. Считать целесообразным построить войсковую серию самолетов И-301 М-105П и вести подготовку к серийной постройке, поскольку И-301 имеет:</w:t>
      </w:r>
    </w:p>
    <w:p w14:paraId="4A0B6E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макс. скорость 605 км/час на 4950 м</w:t>
      </w:r>
    </w:p>
    <w:p w14:paraId="339F3B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мощное вооружение - одна пушка калибра 23 мм, 2 пулемета Березина, 2 ШКАС и 8 РС-82</w:t>
      </w:r>
    </w:p>
    <w:p w14:paraId="7EC6EF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удобство в эксплуатации за счет наличия отъемных консолей крыла, съемной моторамы и стойкого покрытия самолета</w:t>
      </w:r>
    </w:p>
    <w:p w14:paraId="30E7D0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И-301 М-105П конструктивно разрешена, в основном, задача создания целиком деревянного самолета с применением упроченной древесины.</w:t>
      </w:r>
    </w:p>
    <w:p w14:paraId="482BD4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И-301 возможна установка ТК на мотор М-105 и установка более мощного АМ-37 (без пушки).</w:t>
      </w:r>
    </w:p>
    <w:p w14:paraId="548EA7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самолетах войсковой серии д.б. устранены основные дефекты, перечисленные в настоящем отчете.</w:t>
      </w:r>
    </w:p>
    <w:p w14:paraId="7FB789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Считать необходимым потребовать от ГК подобрать колеса, соответствующие весу машины размера и провести их эксплуатационные испытания.</w:t>
      </w:r>
    </w:p>
    <w:p w14:paraId="3F158C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Считать необходимым просить А.И.Ш. о повышении внимания со стороны НКАП в деле доводки, испытания и постройки И-301 М-105П (2922).</w:t>
      </w:r>
    </w:p>
    <w:p w14:paraId="38B6948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6D5A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в ходе гос. испытаний И-301 М-105 П, которые проводились в НИИ ВВС с 14 по 27 июня 1940 л Супруном и П.М.Стефановским был проведен экспериментальный полет для снятия скоростей по высотам с новыми всасывающими патрубками, новыми выхлопными патрубками, при законтренных щитках-закрылках, чтобы оценить влияние их открывания на высоте на макс. скорости. В полете произошел пожар в карбюраторе. Посадка - нормальная. Карбюраторы сняли. Полеты запретили (2922).</w:t>
      </w:r>
    </w:p>
    <w:p w14:paraId="312D686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0C09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 в НИИ ВВС закончились государственные испытания И-301, которые проходили с 15 июня 1940 (4707).</w:t>
      </w:r>
    </w:p>
    <w:p w14:paraId="06D516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Ведущими летчиками на И-301 назначили - П.М.Стефановского и С.П.Супруна. Никашин ознакомил их с особенностями техники пилотирования и выпустил в первый полет. Погода полетам благоприятствовала, серьезных отказов матчасти не произошло, и уже через четыре дня Таракановский смог подвести предварительные итоги, в частности определить максимальную скорость горизонтального полета - получилось 585 км/ч. Начальник бригады испытателей рассчитывал получить больше. Сравнительный анализ полетов И-301 с уже испытанным яковлевским И-26 показал, что изделие из Химок при том же двигателе имеет меньшую границу высотности. Причину определили быстро, опять же путем сравнения: площадь входных отверстий всасывающих патрубков И-301 оказалась меньше, чем на И-26. Доложили Лавочкину - он дал согласие на проведение доработки, прислал рабочих и материалы для изготовления новых патрубков. За ночь машину доработали, а утром Супрун 40 минут гонял ее в небе на разных режимах. Приведенная к условиям стандартной атмосферы максимальная скорость теперь составила 605 км/ ч (4707).</w:t>
      </w:r>
    </w:p>
    <w:p w14:paraId="37C133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госиспытаний на И-301 выполнили 42 полета. Конечно, машина была сырой - меняли покрышки колес шасси, водорадиатор и карбюраторы, устраняли течь в системе охлаждения мотора и утечки воздуха из пневмосис-темы, но серьезных отказов, которые могли бы замедлить испытания, не было. В доработках активное участие принимала заводская бригада рабочих под руководством ведущего инженера П.Г.Питерина. Подобно И-26, И-301 госиспытания не прошел, но как И-26 по результатам госиспытаний И-301 рекомендовали к запуску в серию.</w:t>
      </w:r>
    </w:p>
    <w:p w14:paraId="09E011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конструкции инженеров Лавочкина, Горбунова, Гудко-ва был предъявлен на государственные испытания с недоведенным вооружением и не испытан на штопор, пикирование и высший пилотаж... На дублере (2-м экземпляре) должны быть сняты ограничения в скорости пикирования и устранены недостатки, выявленные гос испытаниями 1-го экземпляра. Считать целесообразным построить серию самолетов И-301 в количестве 25-30 экземпляров для прохождения войсковых испытаний в 1940 г. и немедленно начать подготовку к серийной постройке самолетов... Считать необходимым просить народного комиссара авиационной промышленности Шахурина о повышении внимания со стороны НКАП в деле доводки, испытания и постройки самолета И-301.</w:t>
      </w:r>
    </w:p>
    <w:p w14:paraId="741221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Недостатков по И-301 нашлось достаточно: жара в кабине, плохой обзор вперед и в стороны из-за некачественного остекления фонаря, перегрев воды и масла при наборе высоты (в отношении нагрева воды и масла И-301, все-таки, до И-26 было очень далеко), большие нагрузки на ручке от элеронов и руля высоты, недостаточная продольная устойчивость, предельные нагрузки на опоры шасси при взлете, замечания в отношении удобства эксплуатации истребителя на полевых аэродромах; "наличие отсутствия" посадочной фары и радиостанции (4707).</w:t>
      </w:r>
    </w:p>
    <w:p w14:paraId="768B442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C217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 закончились гос. испытания самолета И-301 М-105П конструкции Горбунова, Лавочина и Гудкова, которые проходили с 14 июня 1940</w:t>
      </w:r>
    </w:p>
    <w:p w14:paraId="4C0BB4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80580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Супрун, майор Стефановский</w:t>
      </w:r>
    </w:p>
    <w:p w14:paraId="062EDF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Таракановский</w:t>
      </w:r>
    </w:p>
    <w:p w14:paraId="4F2F09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5A9BAE2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в пределах, проведенных заводских испытаний.</w:t>
      </w:r>
    </w:p>
    <w:p w14:paraId="2174A95E"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конструкции самолета и доведенности его винтомоторной группы и спецоборудования.</w:t>
      </w:r>
    </w:p>
    <w:p w14:paraId="13925285"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6F7463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Горбунова, Лавочина и Гудкова, постройки завода № 301 был изготовлен по тактико-техническим требованиям ВВС и должен был иметь следующие данные:</w:t>
      </w:r>
    </w:p>
    <w:p w14:paraId="5F276A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мотором М-105 и ТК-2</w:t>
      </w:r>
    </w:p>
    <w:p w14:paraId="061F35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7661B9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БС калибра 12,7 мм</w:t>
      </w:r>
    </w:p>
    <w:p w14:paraId="1E05CF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калибра 7,62 мм</w:t>
      </w:r>
    </w:p>
    <w:p w14:paraId="5FEF1F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мотором М-106П</w:t>
      </w:r>
    </w:p>
    <w:p w14:paraId="73A8CE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калибра 20-23 мм</w:t>
      </w:r>
    </w:p>
    <w:p w14:paraId="2E097A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калибра 7,62 мм</w:t>
      </w:r>
    </w:p>
    <w:p w14:paraId="3C9E00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предусматривалось использование уплотненной древесины и материала дюрамольд.</w:t>
      </w:r>
    </w:p>
    <w:p w14:paraId="14918B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представления самолетов на гос. испытания был установлен:</w:t>
      </w:r>
    </w:p>
    <w:p w14:paraId="2EA704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1-го экземпляра – февраль 1940 года</w:t>
      </w:r>
    </w:p>
    <w:p w14:paraId="585AAD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2-го экземпляра – май 1940 года</w:t>
      </w:r>
    </w:p>
    <w:p w14:paraId="29BBB5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14-го июня 1940 года на гос. испытания самолет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w:t>
      </w:r>
    </w:p>
    <w:p w14:paraId="212012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штук патронов.</w:t>
      </w:r>
    </w:p>
    <w:p w14:paraId="6665E6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в счет перегрузки могут быть установлены пулеметы ШКАС калибра 7,62 мм с боезапасом 1300-1500 шт. патронов. Установка бомб, РС-82 и подвесных баков для горючего на данном экземпляре самолета не осуществлена.</w:t>
      </w:r>
    </w:p>
    <w:p w14:paraId="6E4484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самолета И-301 в НИИ ВВС (15-27 июня 1940 года) на самолете было сделано 42 полета общей продолжительностью 16 час. 30 мин.</w:t>
      </w:r>
    </w:p>
    <w:p w14:paraId="5594BF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68F64C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И-301 гос. испытаний не прошел из-за отсутствия испытания вооружения и испытаний на штопор и пикирование.</w:t>
      </w:r>
    </w:p>
    <w:p w14:paraId="061B0F4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целесообразным построить войсковую серию с-тов И-301 М-105П и вести подготовку к серийному производству.</w:t>
      </w:r>
    </w:p>
    <w:p w14:paraId="5726B5F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конструкторами решена в основном задача создания целиком деревянного с-та с применением упроченной древесины.</w:t>
      </w:r>
    </w:p>
    <w:p w14:paraId="0320B3E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Считать необходимым просить НКАП т. Шахурина о повышении внимания со стороны НКАП в дело доводки, испытания и эксплуатации с-тов</w:t>
      </w:r>
    </w:p>
    <w:p w14:paraId="18A19A14"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дублере с-та д.б. устранены ограничения в скорости пикирования и изжиты основные дефекты, выявленные госиспытаниями 1-го экз. (706,1)</w:t>
      </w:r>
    </w:p>
    <w:p w14:paraId="0AA0B4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5760"/>
      </w:tblGrid>
      <w:tr w:rsidR="007D5DF8" w:rsidRPr="00DB5D0D" w14:paraId="40273B57" w14:textId="77777777" w:rsidTr="009223E5">
        <w:tc>
          <w:tcPr>
            <w:tcW w:w="3024" w:type="dxa"/>
            <w:tcBorders>
              <w:top w:val="single" w:sz="12" w:space="0" w:color="auto"/>
            </w:tcBorders>
          </w:tcPr>
          <w:p w14:paraId="5246F9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5760" w:type="dxa"/>
            <w:tcBorders>
              <w:top w:val="single" w:sz="12" w:space="0" w:color="auto"/>
            </w:tcBorders>
          </w:tcPr>
          <w:p w14:paraId="07ED92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6B231C49" w14:textId="77777777" w:rsidTr="009223E5">
        <w:tc>
          <w:tcPr>
            <w:tcW w:w="3024" w:type="dxa"/>
          </w:tcPr>
          <w:p w14:paraId="3C1C4E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5760" w:type="dxa"/>
          </w:tcPr>
          <w:p w14:paraId="24F878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летчика Стефановского.</w:t>
            </w:r>
          </w:p>
        </w:tc>
      </w:tr>
      <w:tr w:rsidR="007D5DF8" w:rsidRPr="00DB5D0D" w14:paraId="060FA357" w14:textId="77777777" w:rsidTr="009223E5">
        <w:tc>
          <w:tcPr>
            <w:tcW w:w="3024" w:type="dxa"/>
          </w:tcPr>
          <w:p w14:paraId="3D00FC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5760" w:type="dxa"/>
          </w:tcPr>
          <w:p w14:paraId="69F20D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сверхмаксимальную скорость.</w:t>
            </w:r>
          </w:p>
        </w:tc>
      </w:tr>
      <w:tr w:rsidR="007D5DF8" w:rsidRPr="00DB5D0D" w14:paraId="02B603C7" w14:textId="77777777" w:rsidTr="009223E5">
        <w:tc>
          <w:tcPr>
            <w:tcW w:w="3024" w:type="dxa"/>
          </w:tcPr>
          <w:p w14:paraId="20FA00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5760" w:type="dxa"/>
          </w:tcPr>
          <w:p w14:paraId="31FE45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второго вед. летчика Супруна.</w:t>
            </w:r>
          </w:p>
        </w:tc>
      </w:tr>
      <w:tr w:rsidR="007D5DF8" w:rsidRPr="00DB5D0D" w14:paraId="2F1D7F7E" w14:textId="77777777" w:rsidTr="009223E5">
        <w:tc>
          <w:tcPr>
            <w:tcW w:w="3024" w:type="dxa"/>
          </w:tcPr>
          <w:p w14:paraId="1BBBAA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760" w:type="dxa"/>
          </w:tcPr>
          <w:p w14:paraId="09880B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4330DD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44B000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дефектов, обнаруженных после полета: выброс масла из суфлера мотора, устранение утечки воздуха, замена барографа</w:t>
            </w:r>
          </w:p>
        </w:tc>
      </w:tr>
      <w:tr w:rsidR="007D5DF8" w:rsidRPr="00DB5D0D" w14:paraId="777CAA90" w14:textId="77777777" w:rsidTr="009223E5">
        <w:tc>
          <w:tcPr>
            <w:tcW w:w="3024" w:type="dxa"/>
          </w:tcPr>
          <w:p w14:paraId="19B0C5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w:t>
            </w:r>
          </w:p>
        </w:tc>
        <w:tc>
          <w:tcPr>
            <w:tcW w:w="5760" w:type="dxa"/>
          </w:tcPr>
          <w:p w14:paraId="2D960A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700BAD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из-за отсоединения тяги нормального газа мотора. Заварка выхлопного коллектора. Устранение причин, вызвавших вынужденную посадку</w:t>
            </w:r>
          </w:p>
          <w:p w14:paraId="0B1648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Тренировочный полет на пилотаж. После полета обнаружены следы пожара во всасывающем патрубке мотора. Патрубок снят и осмотрен.</w:t>
            </w:r>
          </w:p>
          <w:p w14:paraId="70F163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пилотаж с засечкой фигур с земли. Ремонт гибкого валика счетчика оборотов</w:t>
            </w:r>
          </w:p>
        </w:tc>
      </w:tr>
      <w:tr w:rsidR="007D5DF8" w:rsidRPr="00DB5D0D" w14:paraId="5A27F5D5" w14:textId="77777777" w:rsidTr="009223E5">
        <w:tc>
          <w:tcPr>
            <w:tcW w:w="3024" w:type="dxa"/>
          </w:tcPr>
          <w:p w14:paraId="04A84B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20 июня 1940 года</w:t>
            </w:r>
          </w:p>
        </w:tc>
        <w:tc>
          <w:tcPr>
            <w:tcW w:w="5760" w:type="dxa"/>
          </w:tcPr>
          <w:p w14:paraId="476DEA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5EC33E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w:t>
            </w:r>
          </w:p>
          <w:p w14:paraId="033358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без пользования тормозами, т.к. лопнула воздушная трубка</w:t>
            </w:r>
          </w:p>
          <w:p w14:paraId="63E537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 и скорости по высотам.</w:t>
            </w:r>
          </w:p>
          <w:p w14:paraId="6B90320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с-та. Подготовка с-та к испытанию на расход горючего.</w:t>
            </w:r>
          </w:p>
          <w:p w14:paraId="15DCFE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неисправновстей во всасявающем патрубке, подводящим воздух к нагнетателю</w:t>
            </w:r>
          </w:p>
        </w:tc>
      </w:tr>
      <w:tr w:rsidR="007D5DF8" w:rsidRPr="00DB5D0D" w14:paraId="5756650D" w14:textId="77777777" w:rsidTr="009223E5">
        <w:tc>
          <w:tcPr>
            <w:tcW w:w="3024" w:type="dxa"/>
          </w:tcPr>
          <w:p w14:paraId="4A0ED3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w:t>
            </w:r>
          </w:p>
        </w:tc>
        <w:tc>
          <w:tcPr>
            <w:tcW w:w="5760" w:type="dxa"/>
          </w:tcPr>
          <w:p w14:paraId="35DF6C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Замена покрышек колес, т.к. смонтированные покрышки деформировались и не убирается шасси. Устранение течи воды в пауке водосистемы</w:t>
            </w:r>
          </w:p>
        </w:tc>
      </w:tr>
      <w:tr w:rsidR="007D5DF8" w:rsidRPr="00DB5D0D" w14:paraId="0915BFAD" w14:textId="77777777" w:rsidTr="009223E5">
        <w:tc>
          <w:tcPr>
            <w:tcW w:w="3024" w:type="dxa"/>
          </w:tcPr>
          <w:p w14:paraId="286F8F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w:t>
            </w:r>
          </w:p>
        </w:tc>
        <w:tc>
          <w:tcPr>
            <w:tcW w:w="5760" w:type="dxa"/>
          </w:tcPr>
          <w:p w14:paraId="5ADCF0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p w14:paraId="68F7E4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w:t>
            </w:r>
          </w:p>
        </w:tc>
      </w:tr>
      <w:tr w:rsidR="007D5DF8" w:rsidRPr="00DB5D0D" w14:paraId="16A43D24" w14:textId="77777777" w:rsidTr="009223E5">
        <w:tc>
          <w:tcPr>
            <w:tcW w:w="3024" w:type="dxa"/>
          </w:tcPr>
          <w:p w14:paraId="2266FB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w:t>
            </w:r>
          </w:p>
        </w:tc>
        <w:tc>
          <w:tcPr>
            <w:tcW w:w="5760" w:type="dxa"/>
          </w:tcPr>
          <w:p w14:paraId="63BB27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первой скорости нагнетателя.</w:t>
            </w:r>
          </w:p>
          <w:p w14:paraId="1DD5F0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8000 м.</w:t>
            </w:r>
          </w:p>
          <w:p w14:paraId="3367AD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второй скорости нагнетателя.</w:t>
            </w:r>
          </w:p>
          <w:p w14:paraId="2B87DF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при передней центровке.</w:t>
            </w:r>
          </w:p>
        </w:tc>
      </w:tr>
      <w:tr w:rsidR="007D5DF8" w:rsidRPr="00DB5D0D" w14:paraId="37433234" w14:textId="77777777" w:rsidTr="009223E5">
        <w:tc>
          <w:tcPr>
            <w:tcW w:w="3024" w:type="dxa"/>
          </w:tcPr>
          <w:p w14:paraId="35CA3A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5760" w:type="dxa"/>
          </w:tcPr>
          <w:p w14:paraId="2A2DC2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с задней центровкой.</w:t>
            </w:r>
          </w:p>
          <w:p w14:paraId="389225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6000 м и снятие скоростей по высотам.</w:t>
            </w:r>
          </w:p>
          <w:p w14:paraId="59C35F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tc>
      </w:tr>
      <w:tr w:rsidR="007D5DF8" w:rsidRPr="00DB5D0D" w14:paraId="0CE18771" w14:textId="77777777" w:rsidTr="009223E5">
        <w:tc>
          <w:tcPr>
            <w:tcW w:w="3024" w:type="dxa"/>
          </w:tcPr>
          <w:p w14:paraId="27E9D6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w:t>
            </w:r>
          </w:p>
        </w:tc>
        <w:tc>
          <w:tcPr>
            <w:tcW w:w="5760" w:type="dxa"/>
          </w:tcPr>
          <w:p w14:paraId="50D4C0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 Летали в облете: генерал-майор авиации Филин, полковой комиссар Холопцев и полковник Кабанов.</w:t>
            </w:r>
          </w:p>
        </w:tc>
      </w:tr>
      <w:tr w:rsidR="007D5DF8" w:rsidRPr="00DB5D0D" w14:paraId="23E0977E" w14:textId="77777777" w:rsidTr="009223E5">
        <w:tc>
          <w:tcPr>
            <w:tcW w:w="3024" w:type="dxa"/>
            <w:tcBorders>
              <w:bottom w:val="single" w:sz="12" w:space="0" w:color="auto"/>
            </w:tcBorders>
          </w:tcPr>
          <w:p w14:paraId="4315A2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5760" w:type="dxa"/>
            <w:tcBorders>
              <w:bottom w:val="single" w:sz="12" w:space="0" w:color="auto"/>
            </w:tcBorders>
          </w:tcPr>
          <w:p w14:paraId="2FF9F9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полет для снятия скоростей по высотам с новыми всасывающими патрубками (с направляющими пластинками), новыми выхлопными патрубками, при законтренных щитках-закрылках, чтобы оценить влияние их открывания на высоте на максимальную скорость.</w:t>
            </w:r>
          </w:p>
        </w:tc>
      </w:tr>
    </w:tbl>
    <w:p w14:paraId="7A2078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испытания 14 июня 1940 года</w:t>
      </w:r>
    </w:p>
    <w:p w14:paraId="4AB86A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Начало испытаний – 15 июня 1940 года</w:t>
      </w:r>
    </w:p>
    <w:p w14:paraId="1FE705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летных дней – 10</w:t>
      </w:r>
    </w:p>
    <w:p w14:paraId="7CC272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испытания – 27 июня 1940 года</w:t>
      </w:r>
    </w:p>
    <w:p w14:paraId="4ABBD0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проведено 42 полета общей продолжительностью 16 час. 30 мин. (4559).</w:t>
      </w:r>
    </w:p>
    <w:p w14:paraId="2229AD5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3EB8692" w14:textId="77777777" w:rsidR="00BD6368" w:rsidRPr="00DB5D0D" w:rsidRDefault="00BD63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27 июня</w:t>
      </w:r>
      <w:r w:rsidRPr="00DB5D0D">
        <w:rPr>
          <w:rFonts w:ascii="Times New Roman" w:hAnsi="Times New Roman"/>
          <w:color w:val="000000" w:themeColor="text1"/>
          <w:sz w:val="16"/>
          <w:szCs w:val="16"/>
        </w:rPr>
        <w:t xml:space="preserve"> в 1940 году завершились (с 15 июня) государственные испытания </w:t>
      </w:r>
      <w:hyperlink r:id="rId146" w:tgtFrame="_blank" w:history="1">
        <w:r w:rsidRPr="00DB5D0D">
          <w:rPr>
            <w:rFonts w:ascii="Times New Roman" w:hAnsi="Times New Roman"/>
            <w:color w:val="000000" w:themeColor="text1"/>
            <w:sz w:val="16"/>
            <w:szCs w:val="16"/>
          </w:rPr>
          <w:t xml:space="preserve">«И-301» («ЛаГГ-1»). </w:t>
        </w:r>
      </w:hyperlink>
      <w:r w:rsidRPr="00DB5D0D">
        <w:rPr>
          <w:rFonts w:ascii="Times New Roman" w:hAnsi="Times New Roman"/>
          <w:color w:val="000000" w:themeColor="text1"/>
          <w:sz w:val="16"/>
          <w:szCs w:val="16"/>
        </w:rPr>
        <w:t>Ведущими летчиками на «И-301» назначили - П.М.Стефановского и С.П.Супруна. Погода полетам благоприятствовала, серьезных отказов матчасти не произошло, и уже через четыре дня смогли подвести предварительные итоги, в частности определить максимальную скорость горизонтального полета - получилось 585 км/ч. Начальник бригады испытателей рассчитывал получить больше. Сравнительный анализ полетов «И-301» с уже испытанным яковлевским «И-26» показал, что «И-301» при том же двигателе имеет меньшую границу высотности. Причину определили быстро, опять же путем сравнения: площадь входных отверстий всасывающих патрубков «И-301» оказалась меньше, чем на «И-26». Доложили Лавочкину - он дал согласие на проведение доработки, прислал рабочих и материалы для изготовления новых патрубков. За ночь машину доработали, а утром Супрун 40 минут гонял ее в небе на разных режимах. Приведенная к условиям стандартной атмосферы максимальная скорость теперь составила 605 км/ ч. В ходе госиспытаний на «И-301» выполнили 42 полета (14935).</w:t>
      </w:r>
    </w:p>
    <w:p w14:paraId="6D967012" w14:textId="77777777" w:rsidR="00BD6368" w:rsidRPr="00DB5D0D" w:rsidRDefault="00BD6368" w:rsidP="00DB5D0D">
      <w:pPr>
        <w:spacing w:after="0" w:line="240" w:lineRule="auto"/>
        <w:jc w:val="both"/>
        <w:rPr>
          <w:rFonts w:ascii="Times New Roman" w:hAnsi="Times New Roman"/>
          <w:color w:val="000000" w:themeColor="text1"/>
          <w:sz w:val="16"/>
          <w:szCs w:val="16"/>
        </w:rPr>
      </w:pPr>
    </w:p>
    <w:p w14:paraId="3F5644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в ходе гос. испытаний ПС-84 в военных вариантах - транспортном, десантном и санитарном, которые проходили в НИИ ВВС с 11 мая по 29 июня 1940 на машине, которая была переоборудована из санитарной в транспортную, был выполнен контрольный полет с наружной загрузкой (2:00) (2923).</w:t>
      </w:r>
    </w:p>
    <w:p w14:paraId="6BA1B82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23E3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был утвержден эскизный проект первого вертолета МАИ Омега И.П.Братухина (1040,29).</w:t>
      </w:r>
    </w:p>
    <w:p w14:paraId="19D00CB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85C0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 был утвержден Эскизный проект первого маевского вертолета, названного «Омега». Строительство первого опытного образца завершилось в августе 1941 г., и сразу же начались испытания. Первые запуски и наземные испытания вертолета (первоначально на привязи) проводились на территории МАИ. Осенью 1941 г. ОКБ-3 вместе с институтом эвакуировался в Алма-Ату. В сложных условиях эвакуации после устранения некоторых неполадок в работе двигателей и доводки всех систем в 1943 г. летные испытания были продолжены. Испытывал вертолет «Омега» летчик-испытатель К. И. Пономарев. Технические данные и особенности конструкции вертолетов «Омега»: расположение несущих винтов — поперечное; диаметр винтов 7 м. Три цельнодюралюминиевые лопасти крепились к втулке вертикальными, горизонтальными и осевыми шарнирами. Несущие винты приводились в движение двумя рядными двигателями воздушного охлаждения МВ-6 (перевернутого типа) мощностью 220 л.с. при 2500 об/мин на высоте 2000 м. Трансмиссия вертолета состояла из специального редуктора, муфты свободного хода и включения, а также из вала синхронизации, который связывал двигатели между собой и с муфтой, чем обеспечивался полет на одном двигателе. Фюзеляж ферменный, сваренный из стальных труб и обшитый полотном. В носовой части двухместная кабина, закрытая большим фонарем и носовым прозрачным обтекателем. Хвостовое оперение — самолетного типа с Т-образным подкосным стабилизатором, выполненным цельнопово-ротным с изменяемым в полете углом установки. Шасси четырехстоечное. Две основные стойки размещались под мотогондолами, а на фюзеляже — носовая стойка и хвостовое колесо. Четырехгранная ферма сварной конструкции из тонкостенных стальных труб связывала мотогондолы с фюзеляжем, к которому она крепилась за кабиной пилота. После возвращения в Москву работы по совершенствованию вертолета «Омега» были продолжены. Хотя после эвакуации ОКБ-3 выделилось из структуры МАИ и получило самостоятельность, будут уместными несколько слов о следующем вертолете ОКБ-3, тем более, что он создан на базе вертолета «Омега-I» и разработан при непосредственном участии сотрудников и преподавателей МАИ. Модификацией первого вертолета ОКБ-3 стал вертолет «Омега-П», на который установили два звездообразных двигателя воздушного охлаждения МГ-31Ф мощностью по 300 л.с. при скорости вращения 1860 об/мин (330 л.с. при скорости вращения 1950 об/мин). Перепроектированы были верхние и нижние редукторы, муфты включения и боковые фермы. Переделке подверглись моторамы, капоты, система вентиляции, топливная система, основные стойки шасси и т.д. Впервые в практике советского вертолетостроения вертолет «Омега-П» демонстрировался на воздушном параде в Тушине в 1946 г. Машина была снята с эксплуатации после износа двигателей. В 1945 г. группа конструкторов ОКБ-3 за большие достижения в области развития авиационной техники была награждена орденами и медалями Советского Союза, а в 1946 г. И. П. Братухину и Б. Н. Юрьеву за создание первых советских вертолетов, предназначенных для практического применения в народном хозяйстве и для обороны страны, присуждена Государственная премия (12075).</w:t>
      </w:r>
    </w:p>
    <w:p w14:paraId="6F35A79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6A35B2" w14:textId="77777777" w:rsidR="00BD6368" w:rsidRPr="00DB5D0D" w:rsidRDefault="00BD63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27 июня 1940 г. был утвержден эскизный проект первого маевского вертолета, названного «Омега», разработанный в ОКБ-3. Строительство первого опытного образца завершилось в августе 1941 г., и сразу же начались испытания. Первые запуски и наземные испытания вертолета (первоначально на привязи) проводились на территории МАИ. Осенью 1941 г. ОКБ-3 вместе с институтом эвакуировался в Алма-Ату. В сложных условиях эвакуации после устранения некоторых неполадок в работе двигателей и доводки всех систем в 1943 г. летные испытания были продолжены. Испытывал вертолет «Омега» летчик-испытатель К. И. Пономарев. Технические данные и особенности конструкции вертолетов «Омега»: расположение несущих винтов — поперечное; диаметр винтов 7 м. Три цельнодюралюминиевые лопасти крепились к втулке вертикальными, горизонтальными и осевыми шарнирами. Несущие винты приводились в движение двумя рядными двигателями воздушного охлаждения МВ-6 (перевернутого типа) мощностью 220 л.с. при 2500 об/мин на высоте 2000 м. Трансмиссия вертолета состояла из специального редуктора, муфты свободного хода и включения, а также из вала синхронизации, который связывал двигатели между собой и с муфтой, чем обеспечивался полет на одном двигателе. Фюзеляж ферменный, сваренный из стальных труб и обшитый полотном. В носовой части двухместная кабина, закрытая большим фонарем и носовым прозрачным обтекателем. Хвостовое оперение — самолетного типа с Т-образным подкосным стабилизатором, выполненным цельнопово-ротным с изменяемым в полете углом установки. Шасси четырехстоечное. Две основные стойки размещались под мотогондолами, а на фюзеляже — носовая стойка и хвостовое колесо. Четырехгранная ферма сварной конструкции из тонкостенных стальных труб связывала мотогондолы с фюзеляжем, к которому </w:t>
      </w:r>
      <w:r w:rsidRPr="00DB5D0D">
        <w:rPr>
          <w:rFonts w:ascii="Times New Roman" w:hAnsi="Times New Roman"/>
          <w:color w:val="000000" w:themeColor="text1"/>
          <w:sz w:val="16"/>
          <w:szCs w:val="16"/>
        </w:rPr>
        <w:lastRenderedPageBreak/>
        <w:t>она крепилась за кабиной пилота. После возвращения в Москву работы по совершенствованию вертолета «Омега» были продолжены. Хотя после эвакуации ОКБ-3 выделилось из структуры  МАИ  и получило самостоятельность, будут уместными несколько слов о следующем вертолете ОКБ-3, тем более, что он создан на базе вертолета «Омега-I» и разработан при непосредственном участии сотрудников и преподавателей  МАИ . Модификацией первого вертолета ОКБ-3 стал вертолет «Омега-П», на который установили два звездообразных двигателя воздушного охлаждения МГ-31Ф мощностью по 300 л.с. при скорости вращения 1860 об/мин (330 л.с. при скорости вращения 1950 об/мин). Перепроектированы были верхние и нижние редукторы, муфты включения и боковые фермы. Переделке подверглись моторамы, капоты, система вентиляции, топливная система, основные стойки шасси и т.д. Впервые в практике советского вертолетостроения вертолет «Омега-П» демонстрировался на воздушном параде в Тушине в 1946 г. Машина была снята с эксплуатации после износа двигателей. В 1945 г. группа конструкторов ОКБ-3 за большие достижения в области развития авиационной техники была награждена орденами и медалями Советского Союза, а в 1946 г. И. П. Братухину и Б. Н. Юрьеву за создание первых советских вертолетов, предназначенных для практического применения в народном хозяйстве и для обороны страны, присуждена Государственная премия (15730).</w:t>
      </w:r>
    </w:p>
    <w:p w14:paraId="1D9AED92" w14:textId="77777777" w:rsidR="00BD6368" w:rsidRPr="00DB5D0D" w:rsidRDefault="00BD6368" w:rsidP="00DB5D0D">
      <w:pPr>
        <w:spacing w:after="0" w:line="240" w:lineRule="auto"/>
        <w:jc w:val="both"/>
        <w:rPr>
          <w:rFonts w:ascii="Times New Roman" w:hAnsi="Times New Roman"/>
          <w:color w:val="000000" w:themeColor="text1"/>
          <w:sz w:val="16"/>
          <w:szCs w:val="16"/>
        </w:rPr>
      </w:pPr>
    </w:p>
    <w:p w14:paraId="5B98AF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Я.И.Алкснис утвердил Отчет по испытаниям ПБ Ю-88А-1 (846).</w:t>
      </w:r>
    </w:p>
    <w:p w14:paraId="0BA16E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очень то ясно, не был ли в это время Я.И.Алкснис уже арестован.</w:t>
      </w:r>
    </w:p>
    <w:p w14:paraId="4B187A0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0DC5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Алексеев утвердил Отчет по испытаниям ПБ Ю-88А-1</w:t>
      </w:r>
    </w:p>
    <w:p w14:paraId="7C64FF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- 4 человека, л, ш, стрелок-радист, стрелок</w:t>
      </w:r>
    </w:p>
    <w:p w14:paraId="49A1E5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MG-15, вес пули 15 гр. (бронебойной)</w:t>
      </w:r>
    </w:p>
    <w:p w14:paraId="62E33F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Скорострельность 950-1000 выстрелов в минуту</w:t>
      </w:r>
    </w:p>
    <w:p w14:paraId="42FD82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2хЮМО-211 жидкостного охлаждения, V-образный, перевернутый 12 цилиндров, 2 нагнетателя</w:t>
      </w:r>
    </w:p>
    <w:p w14:paraId="1284D1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1200 лс</w:t>
      </w:r>
    </w:p>
    <w:p w14:paraId="0C6F9D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5200 - 930 лс</w:t>
      </w:r>
    </w:p>
    <w:p w14:paraId="310390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Диаметро винта - 3,6 м</w:t>
      </w:r>
    </w:p>
    <w:p w14:paraId="70DB23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9368, с-т испытывался с весом 10350 кг, данные фирмы - 10855 кг</w:t>
      </w:r>
    </w:p>
    <w:p w14:paraId="21E9B0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365 км/час у земли и 445 км/час на 5600, данные фирмы 460 км/час</w:t>
      </w:r>
    </w:p>
    <w:p w14:paraId="1D377E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7400 м, данные фирмы 7500</w:t>
      </w:r>
    </w:p>
    <w:p w14:paraId="74FEBA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125 км/час</w:t>
      </w:r>
    </w:p>
    <w:p w14:paraId="6B3BC0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м2 197 кг (846).</w:t>
      </w:r>
    </w:p>
    <w:p w14:paraId="6E4B4E7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0DDE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Протокол № 18. Решения ПБ за 25 нюня - 19 июля 1940 г.</w:t>
      </w:r>
    </w:p>
    <w:p w14:paraId="611A18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27.6.40 г.</w:t>
      </w:r>
    </w:p>
    <w:p w14:paraId="411842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7. Вопрос КО. Об изготовлении автоматических приборов для вывода самолета из пикирования*.</w:t>
      </w:r>
    </w:p>
    <w:p w14:paraId="5AB426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w:t>
      </w:r>
      <w:r w:rsidRPr="00DB5D0D">
        <w:rPr>
          <w:rFonts w:ascii="Times New Roman" w:hAnsi="Times New Roman"/>
          <w:color w:val="000000" w:themeColor="text1"/>
          <w:sz w:val="16"/>
          <w:szCs w:val="16"/>
          <w:u w:val="single"/>
        </w:rPr>
        <w:t>.6-40 г,</w:t>
      </w:r>
    </w:p>
    <w:p w14:paraId="4C2AE63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 Об организации производства легковых бронированных автомобилей на автозаводе им. Сталина*.</w:t>
      </w:r>
    </w:p>
    <w:p w14:paraId="24CDDA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29.6. 40 г.</w:t>
      </w:r>
    </w:p>
    <w:p w14:paraId="083D1A3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20. Об автомашинах для НКО*.</w:t>
      </w:r>
    </w:p>
    <w:p w14:paraId="2B2359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12.7.40 г.</w:t>
      </w:r>
    </w:p>
    <w:p w14:paraId="0635A1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152. Вопрос КО. Об организации серийного производства самолетов И-26*.</w:t>
      </w:r>
    </w:p>
    <w:p w14:paraId="52943E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153. Вопрос КО. О плане опытных работ по самолетным и моторным агрегатам*.</w:t>
      </w:r>
    </w:p>
    <w:p w14:paraId="1C3FDA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17.7. 40 г.</w:t>
      </w:r>
    </w:p>
    <w:p w14:paraId="58AF363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226. О вооружении танков (постановление СНК СССР и ЦК ВКП (б))* (11773).</w:t>
      </w:r>
    </w:p>
    <w:p w14:paraId="54C0FA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18.7.40 г.</w:t>
      </w:r>
    </w:p>
    <w:p w14:paraId="0A563A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229. Вопрос КО. О создании двухместного самолета первоначального обучения (11773).</w:t>
      </w:r>
    </w:p>
    <w:p w14:paraId="2912A1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AB757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вышел приказ НКАП N 176 в исполнение постановления Правительства о переходе на 8 часовой день и о запрещении самовольного ухода (618,27).</w:t>
      </w:r>
    </w:p>
    <w:p w14:paraId="769C870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F3F2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Б.Л.Ванников писал зам. наркома маршалу Кулику письмо об установке пулеметов 12.7 мм на самолеты (1171). Потом писал и Г.М.Маленкову письмо по письму воен. комиссара 3 ГУ авиаоборудования ВВС Матаева N 990с от 13 июля 1940 (1171).</w:t>
      </w:r>
    </w:p>
    <w:p w14:paraId="4298C71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1AA1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в ВИАМе состоялось Первое заседание комиссии ВВС по окраске самолетов. На нем были рассмотрены работы института по разработке новых аэролаков и аэроэмалей и информация НИИИТ КА о схемах камуфляжа. О разработках ВИАМа докладывал В. В. Чеботаревский. После краткого вступления, в котором описывалось состояние дел в окраске самолетов -"до мая месяца т. г. самолеты окрашивались или целиком (верх -низ) в алюминиевый (серебристый) цвет, или верх -зеленый, низ - алюминиевый (серебристый) цвет", а в мае ГУАС КА утверждены и запущены в производство новые расцветки: зеленая и светло-голубая, имеющие глянцевую поверхность - он перешел непосредственно к делу.</w:t>
      </w:r>
    </w:p>
    <w:p w14:paraId="6AAE19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разработке недешифрируемых красок для ткани, металла и дерева в качестве пигментов ВИАМом использовались зеленая окись хрома, свинцовый оранжевый крон и охра. Связующее в новых красках изменениям не подвергалось, была изменена только пигментная часть. Испытания показали удовлетворительные атмосферостойкость и недешифрируемость. Недостатком новых красок являлась более высокая стоимость и дефицитность сырья для их изготовления (из-за содержания окиси хрома) и меньшая технологичность. Недостатком являлось и то, что краски были не матовыми, а полуглянцевыми.</w:t>
      </w:r>
    </w:p>
    <w:p w14:paraId="340B6E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качестве временных смываемых красок ВИАМом предлагались все те же казеиновые покрытия, разработанные еще в 30-е годы.</w:t>
      </w:r>
    </w:p>
    <w:p w14:paraId="35979A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совещания основными цветами для временных маскировочных красок приняли эталоны ВИАМ: черный (коэффициент отражения 0,05), темно-коричневый (0,11), серо-песочный (0,20 -0,22), серый (0,18 -0,20) и зеленый (0,13). Для основных, постоянных, красок для деформирующей окраски -черный, темно-коричневый и зеленый. Причем такой же зеленый цвет стал основным и при одноцветной защитной окраске. До окончания работ решили пока использовать краски по расцветке, утвержденной ГУАС КА.</w:t>
      </w:r>
    </w:p>
    <w:p w14:paraId="141E1A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окраски нижних поверхностей была временно выбрана светло-голубая краска, причем отмечалась ее недостаточная светлота.</w:t>
      </w:r>
    </w:p>
    <w:p w14:paraId="61EAD1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Рецептуры и расцветки красок не были окончательными и нуждались в уточнении и в привязке к существующей производственной базе и запасам сырья. Трудности заключались в получении достаточного количества окиси хрома и в отсутствии производства казеиновых красок. В качестве опытной базы для изготовления красок были выбраны Краснопресненский завод (аэроэмали для металлических поверхностей) и завод 36 (аэролаки для деревянных и полотняных обшивок).</w:t>
      </w:r>
    </w:p>
    <w:p w14:paraId="08862F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схемах окраски был решен, вероятно, из-за меньшего числа приглашенных специалистов -присутствовали только Бурче и Щеглов из НИИИТ КА, значительно быстрее. Камуфляж немецких самолетов с прямолинейными границами цветов был раскритикован. Лучшей окраской признали 3-цветную, содержащую 40 -50 % зеленого цвета, 10 -20 % светлого (серого) цвета и 30 -40 % черного. Из представленных камуфляжей самолетов были отобраны 10 схем двух- и трехцветной окраски, которые и передали в НИИИТ КА для предварительных опытов на макетах. Срок проведения был определен в 10 дней со дня получения макетов. После окончания опытов лучшие схемы предполагалось испытать в НИИ ВВС (2771,21).</w:t>
      </w:r>
    </w:p>
    <w:p w14:paraId="1EE765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3B9F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ЦАГИ было поручено издать "Руководство для конструкторских бюро и летно-испытательных станций". Потому, что в марте было назначено 25 новых ГК. Ответственный редактор А.А.Горяинов, под редакцией которого в ЦАГИ в 1937-1939 были изданы три тома "Справочника авиаконструктора" - эпиграф - "по личному указанию незабвенного руководителя тяжелой промышленности Г.К.Орджоникидзе". В отличие от справочника - Руководство - обязательно для применения (88,149).</w:t>
      </w:r>
    </w:p>
    <w:p w14:paraId="4069D29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C0D8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вышел приказ Начальника ВВС КА и Наркома АП N 091/312с: (406,43).</w:t>
      </w:r>
    </w:p>
    <w:p w14:paraId="1F490F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Начальнику УБП ВВС КА Г-м тов. Никитину провести испытания химического авиационного прибора, предложенного т.т. Голосовым и Репкиным к 1 августа 1940 года.</w:t>
      </w:r>
    </w:p>
    <w:p w14:paraId="50EB41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о результатах испытаний представить нам к 5 августа 1940</w:t>
      </w:r>
    </w:p>
    <w:p w14:paraId="6C3619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ВВС КА обеспечивает испытания самолетом и танками и прикомандировывает специальный летно-технический состав; НКАП обеспечивает производство и монтаж специального оборудования на заводе N 145, а также расходы по содержанию группы изобретателя тов. Голосова на время проведения испытаний до 1 августа 1940</w:t>
      </w:r>
    </w:p>
    <w:p w14:paraId="7279F8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Вопрос относительно дальнейшего существования группы тов. Голосова и дальнейшей ее работы разрешить по проведении испытаний, т.е. к 5 августа 1940 года..."(406,43).</w:t>
      </w:r>
    </w:p>
    <w:p w14:paraId="4C4ED0C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ACE6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вышло постановление КО N 285с "Об изготовлении автоматического прибора для вывода самолета из пикирования".</w:t>
      </w:r>
    </w:p>
    <w:p w14:paraId="32258F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обеспечения, в кратчайший срок, пикирующтих бомбардировщиков автоматическими приборами для вывода самолета из пикирования, КО при СНК СССР постановляет:</w:t>
      </w:r>
    </w:p>
    <w:p w14:paraId="65F1F4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тов. Шахурина А.И. немедленно приступить к изготовлению на заводе № 213 автоматического прибора для вывода самолета из пикирования по образцу, установленному на самолете Ю-88, в двух вариантах:</w:t>
      </w:r>
    </w:p>
    <w:p w14:paraId="0E3546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пневматический автомат - со сроком выпуска первых 3-х штук к 15 июля 1940 года</w:t>
      </w:r>
    </w:p>
    <w:p w14:paraId="2CE135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электрический автомат - со сроком выпуска первых 3-х штук к 1 августа 1940 года</w:t>
      </w:r>
    </w:p>
    <w:p w14:paraId="56D87B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НКВТ закупить в Германии 10 комплектов автоматов для вывода самолета из пикирования с поставкой их заводу № 213 в слеждующие сроки:</w:t>
      </w:r>
    </w:p>
    <w:p w14:paraId="49F9E7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5 штук к 1 августа 1940</w:t>
      </w:r>
    </w:p>
    <w:p w14:paraId="133BB2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5 штук к 15 августа 1940 года.</w:t>
      </w:r>
    </w:p>
    <w:p w14:paraId="7449E8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Приемку указанных автоматов поручить находящемуся в Германии ГК з-да № 213 НКАП т. Антонову Е.Ф.</w:t>
      </w:r>
    </w:p>
    <w:p w14:paraId="5276FD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НКАП тов. Шахурина А.И. обеспечить непосредственное участие ответственных конструкторов завода № 22 во всех работах завода № 213 по освоению автоматического прибора для вывола самолета из пикирования и проведение в ЦАГИ всех необходимых исследовательских работ, сявзанных с созданием этого автоматического прибора.</w:t>
      </w:r>
    </w:p>
    <w:p w14:paraId="39DCF0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НКО (НИИ ГУАС КА - тов Филина) обеспечить проведение испытаний прибора для вывода самолета из пикирования и составление заключений по этому прибору в 16-дневный срок, со дня предхъявленгия его НКАП на испытания.</w:t>
      </w:r>
    </w:p>
    <w:p w14:paraId="6C13E5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Отпустить из резервного фонда СНК под отчет в распоряжение НКАП 300 тыс. руб. для премирования работников, участвующих в производстве автоматического прибора для вывода самолета из пикирования (10395).</w:t>
      </w:r>
    </w:p>
    <w:p w14:paraId="52538AE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05E4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 вышел приказ НКАП № 319с о реконструкции зданий бывш. 8-го отдела ЦАГИ в завод № 51:</w:t>
      </w:r>
    </w:p>
    <w:p w14:paraId="7F26FD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октябре 1940 года завод № 51 был частично введен в эксплуатацию:</w:t>
      </w:r>
    </w:p>
    <w:p w14:paraId="15E2F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производства – опытный завод</w:t>
      </w:r>
    </w:p>
    <w:p w14:paraId="3E49EC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производства – самолетостроение</w:t>
      </w:r>
    </w:p>
    <w:p w14:paraId="34FA90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Адрес: Москва, 40, п/я 2450 (9236).</w:t>
      </w:r>
    </w:p>
    <w:p w14:paraId="0B79D82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C6626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 Приказом НКАП за № 319сс ОКБ Поликарпова было переоборудовано в самостоятельный завод № 51, где проводилось проектирование и постройка самолетов разных типов. В октябре 1941 года завод № 51 был эвакуирован в Новосибирск. В начале 1942 года началась реэвакуация из Новосибирскав Москву на принадлежащую заводу № 51 территорию, которая была закончена в начале 1944 года.</w:t>
      </w:r>
    </w:p>
    <w:p w14:paraId="55EAC5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июня 1940 года по 1944 год гл. конструктор Поликарпов Н.Н. проектировал и строил опытные самолеты разных типов.</w:t>
      </w:r>
    </w:p>
    <w:p w14:paraId="2AB939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НКАП № 717/к от 19 октября 1944 года гл. конструктором завода № 51 был назначен Челомей В.Н., который в период с октября 1944 года по февраль 1953 года проектировал, строил беспилотные самолеты-снаряды.</w:t>
      </w:r>
    </w:p>
    <w:p w14:paraId="1ED224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приказом МАП № 229 от 21 февраля 1953 года завод № 51 был передан со всем составом рабочих, ИТР и служащих и оборудованием заводу № 155. Гл. конструктором был Микоян А.И. На территории завода был организован филиал завода № 155, с февраля 1953 года по декабрь 1953 года филиал завода занимался доводочными работами по беспилотным самолетам.</w:t>
      </w:r>
    </w:p>
    <w:p w14:paraId="7EDF3B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МАП № 135сс от 26 октября 1953 года, филиал завода № 155 (бывш. завод № 51) был передан ОКБ-1 со всем личным составом и оборудованием гл. конструктору Сухому П.О., а приказом МАП № 25сс от 15 января 1954 года ОКБ № 1 Сухого было преобразовано в самостоятельный завод № 51, который занимается проектированием, постройкой и доводкой самолетов-истребителей.</w:t>
      </w:r>
    </w:p>
    <w:p w14:paraId="54F913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 Е. Иванов</w:t>
      </w:r>
    </w:p>
    <w:p w14:paraId="727C7B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Адрес: Москва, Боткинский проезд, 8-й тупик</w:t>
      </w:r>
    </w:p>
    <w:p w14:paraId="2CA911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Производственный профиль – проектирование и постройка самолетов-истребителей</w:t>
      </w:r>
    </w:p>
    <w:p w14:paraId="6D1AB0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1958 году в соответствии с приказом № 419сс от 7 октября 1958 года ГК по авиатехнике организуется филиал завода № 51 на серийном заводе № 153 в Новосибирске. Приказом № 431сс от 22 октября 1958 года ГК по авиатехнике приступил к организации филиала завода № 51 на заводе № 126 в Комсомольске (9832).</w:t>
      </w:r>
    </w:p>
    <w:p w14:paraId="33EEBF2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92823B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 наркомат подтвердил свое решение о создании на бывшей территории 8-го отдела ЦАГИ нового опытного завода, которому присваивался номер 51. Поликарпову предписывалось заняться его строи</w:t>
      </w:r>
      <w:r w:rsidRPr="00DB5D0D">
        <w:rPr>
          <w:rFonts w:ascii="Times New Roman" w:hAnsi="Times New Roman"/>
          <w:color w:val="000000" w:themeColor="text1"/>
          <w:sz w:val="16"/>
          <w:szCs w:val="16"/>
        </w:rPr>
        <w:softHyphen/>
        <w:t>тельством. Ситуация напоминала известную русскую народную сказку о лисе и зайце с «лубяной избуш</w:t>
      </w:r>
      <w:r w:rsidRPr="00DB5D0D">
        <w:rPr>
          <w:rFonts w:ascii="Times New Roman" w:hAnsi="Times New Roman"/>
          <w:color w:val="000000" w:themeColor="text1"/>
          <w:sz w:val="16"/>
          <w:szCs w:val="16"/>
        </w:rPr>
        <w:softHyphen/>
        <w:t>кой». Отведенная заводу № 51 территория плохо под</w:t>
      </w:r>
      <w:r w:rsidRPr="00DB5D0D">
        <w:rPr>
          <w:rFonts w:ascii="Times New Roman" w:hAnsi="Times New Roman"/>
          <w:color w:val="000000" w:themeColor="text1"/>
          <w:sz w:val="16"/>
          <w:szCs w:val="16"/>
        </w:rPr>
        <w:softHyphen/>
        <w:t>ходила для роли опытного предприятия. На ней нахо</w:t>
      </w:r>
      <w:r w:rsidRPr="00DB5D0D">
        <w:rPr>
          <w:rFonts w:ascii="Times New Roman" w:hAnsi="Times New Roman"/>
          <w:color w:val="000000" w:themeColor="text1"/>
          <w:sz w:val="16"/>
          <w:szCs w:val="16"/>
        </w:rPr>
        <w:softHyphen/>
        <w:t>дился только бывший опытный ангар ЦАГИ. Необходимо было построить корпус для конструктор</w:t>
      </w:r>
      <w:r w:rsidRPr="00DB5D0D">
        <w:rPr>
          <w:rFonts w:ascii="Times New Roman" w:hAnsi="Times New Roman"/>
          <w:color w:val="000000" w:themeColor="text1"/>
          <w:sz w:val="16"/>
          <w:szCs w:val="16"/>
        </w:rPr>
        <w:softHyphen/>
        <w:t>ского бюро, помещения для металлообрабатывающих цехов, складов, гаража и др. Тем не менее, Николай Николаевич и его сотрудники быстро освободили тер</w:t>
      </w:r>
      <w:r w:rsidRPr="00DB5D0D">
        <w:rPr>
          <w:rFonts w:ascii="Times New Roman" w:hAnsi="Times New Roman"/>
          <w:color w:val="000000" w:themeColor="text1"/>
          <w:sz w:val="16"/>
          <w:szCs w:val="16"/>
        </w:rPr>
        <w:softHyphen/>
        <w:t>риторию завода № 1. Организационные неурядицы серьезно затормозили ход работ по И—185 (9984).</w:t>
      </w:r>
    </w:p>
    <w:p w14:paraId="43EE26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23698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 и 11 февраля 1940 г. приказами НКАП № 319с и № 45с в соответствии с пост. СНК СССР № 132-60сс от 26.01.1940 г. в системе 7ГУ на базе мастерских ОЭЛИД ЦАГИ на территории завода № 1 НКАП ГС создан завод № 51 НКАП (сначала планировалось присвоить ему № 100).</w:t>
      </w:r>
    </w:p>
    <w:p w14:paraId="23729C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8.07.1940 г. гд. конструктором и директором завода № 51 назначен Н.Н. Поликарпов (ОКБ Поликарпова получило название ОКБ-51 НКАП). Занимаемые ОКБ площади в конструкторском здании завода № 1 закреплены за заводом № 51 до 1.05.1951 г. Опытный завод строился заново на базе неприспособленных помещений (два корпуса и бараки), завод полностью перебазировался в 10.1940 г. Комплектовался личным составом ОКБ Поликарпова и оборудованием из цехов № 28,7, ЛЭС завода № 1.</w:t>
      </w:r>
    </w:p>
    <w:p w14:paraId="7EE627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доводке И-185, по проектам ТИС, ИТП, ОДБ.</w:t>
      </w:r>
    </w:p>
    <w:p w14:paraId="5E8C19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СНК № 1842-830сс от 9.07.1941 г. и приказом № 1050сс от 8.10.1941 г. в 10.1941 г. завод № 51 7ГУ был эвакуирован в  г. Новосибирск на площадку Рембазы Облавтотранса, неприспособленную для проведения работ (первоначально планировалось - на площадку завода № 153 НКАП). Здесь завод действовал до конца 1943 г. ОКБ-51 вместе с заводом эвакуировалось в 1941 г. в  г. Новосибирск.</w:t>
      </w:r>
    </w:p>
    <w:p w14:paraId="3FBBD3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Продолжены работы по ТИС, ИТП, доводка И-185. Проектировались НБ, «Малютка», «Лимузин». В 1941-43 г. проводились также работы по десантным планерам БДП, БДП-2, МП.</w:t>
      </w:r>
    </w:p>
    <w:p w14:paraId="23BBA9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Москве на старой площадке по приказу № 239с от 30.03.1942 г. образован Ремонтный завод при Главремуправлении НКАП для ремонта самолетов (в 05.1942 г. начат ремонт И-16), Далее он действовал как филиал завода № 51 по ремонту и опытным работам. Реэвакуация завода началась в 1942 г. В начале 1943 г. основной территорией завода стала площадка в Москве, а Новосибирская - филиалом. В соответствии с пост. ГКО № 4290с от 8.10.1943 г. и по приказу № 641с от 28.10.1943 г. Новосибирский филиал вернулся на старую площадку в Москву со всем оборудованием и кадрами, соединившись с заводом. Реэвакуация была завершена к началу 1944 г. Сооружения в Новосибирске переданы в НК автотранспорта РСФСР.</w:t>
      </w:r>
    </w:p>
    <w:p w14:paraId="71586E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работ по истребителям, Поликарпову поручили работы (с 1943 г.) по ФАУ-1, но он всячески сопротивлялся этому. После смерти Поликарпова по приказу НКАП № 717/к от 19.09.1944 г. гл. конструктором завода № 51 стал В.Н. Челомей, который до 1953 г. проектировал и строил на заводе самолеты-снаряды. На заводе были построены опытные партии КР 14Х, 16Х.</w:t>
      </w:r>
    </w:p>
    <w:p w14:paraId="68A0F4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1944 г. на заводе № 51 образована самостоятельная группа под руководством В.Н. Челомея для проведения работ по КР (с 16.06.1944 г. Челомей возглавлял отдел ПД № 6 в ЦИАМ). Пост. ГКО № 7350 от 18.01.1945 г. ему поручено спроектировать ракету по типу ФАУ-1, получившую название «10Х». С 1944 г. в группе работал Д.Л. Томашевич, переведенный из ОТБ НКВД при заводе № 288. После окончания войны он участвовал в изучении трофейной ракетной техники. С 1947 г. - в КБ-2 МСХМ.</w:t>
      </w:r>
    </w:p>
    <w:p w14:paraId="01C6A2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656с от 2.11.1944 г. завод № 51 передан из 7ГУ во вновь образованное 18ГУ по авиационной реактивной технике. По приказу № 122с от 19.03.1946 г., в связи с ликвидацией 18ГУ, завод передан в 8ГУ, а с 1.05.1948 г.-в 14ГУ.</w:t>
      </w:r>
    </w:p>
    <w:p w14:paraId="3C58AA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1949-50 г. спроектирован и построен ПуВРД для вертолета с реактивным приводом СБИЖ М-1.</w:t>
      </w:r>
      <w:r w:rsidRPr="00DB5D0D">
        <w:rPr>
          <w:rFonts w:ascii="Times New Roman" w:hAnsi="Times New Roman"/>
          <w:color w:val="000000" w:themeColor="text1"/>
          <w:sz w:val="16"/>
          <w:szCs w:val="16"/>
          <w:vertAlign w:val="superscript"/>
        </w:rPr>
        <w:t>51</w:t>
      </w:r>
    </w:p>
    <w:p w14:paraId="30970E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МОП № 229сс от 21.02.1953 г. завод № 51 передан в подчинение заводу № 155 МОП гл. конструктора А.И. Микояна в качестве филиала. Работы по доводке истребителей. С 1.04.1953 г. завод № 51 передан в 7ГУ.</w:t>
      </w:r>
    </w:p>
    <w:p w14:paraId="2E00FE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МАП № 135сс от 26.10.1953 г. филиал завода № 155 передан ОКБ-1 в качестве производственной базы. По приказу № 25сс от 15.01.1954 г. ОКБ-1 присвоено название ГС опытный завод № 51 МАП (с ОКБ-51 МАП при нем). С этого момента завод строит опытные самолеты П.О. Сухого. В 08.1957 г. - в ведении 1ГУ МАП.</w:t>
      </w:r>
    </w:p>
    <w:p w14:paraId="7725C3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1950-е  г. имел наименование «п/я 2325», затем - п/я В-2481. По приказу МАП № 175 от 30.04.1966 г. завод № 51 получил название ММЗ «Кулон». В соответствии с пост. СМ СССР от 10.11.1975 г. и приказом МАП № 135 от 19.07.1976 г. ММЗ «Кулон» переименован в Машиностроительный завод им. П.О. Сухого. По приказу Департамента АП МП № 48 от 12.03.1992 г. МЗ преобразован в Авиационный научно-промышленный комплекс (АНПК) «ОКБ Сухого». В соответствии с </w:t>
      </w:r>
      <w:r w:rsidRPr="00DB5D0D">
        <w:rPr>
          <w:rFonts w:ascii="Times New Roman" w:hAnsi="Times New Roman"/>
          <w:color w:val="000000" w:themeColor="text1"/>
          <w:sz w:val="16"/>
          <w:szCs w:val="16"/>
        </w:rPr>
        <w:lastRenderedPageBreak/>
        <w:t>распоряжением Правительства № 2456-р от 30.12.1992 г. приказом по предприятию № 798 от 11.11.1994 г. АНПК преобразован в АООТ «ОКБ Сухого», с 2002 г.- ОАО «ОКБ Сухого».</w:t>
      </w:r>
    </w:p>
    <w:p w14:paraId="7EDB02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19.10.1996 г. создано ГП «АВПК «Сухой» (в соответствии с Указом Президента РФ от 26.08.1996 г.). В его состав входили: АООТ «ОКБ Сухого», КнААПО, ИАПО, НАПО, ТАНТК им. Бериева (2002 г.). По Указу Президента РФ № 1009 от 4.08.2004 г. вошло в число стратегических оборонных предприятий. В 2005 г. - ОАО «Компания «Сухой».</w:t>
      </w:r>
    </w:p>
    <w:p w14:paraId="330309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Имело представительство в Китае (директор (2006 г.)- С. Сергеев).</w:t>
      </w:r>
    </w:p>
    <w:p w14:paraId="169C05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территории (2008 г.)- около 25 га.</w:t>
      </w:r>
    </w:p>
    <w:p w14:paraId="7A795A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(1.04.2003 г.)- 70 чел.</w:t>
      </w:r>
    </w:p>
    <w:p w14:paraId="1C9EFB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(07.1940 г.)- Н.Н. Поликарпов, (1940-49 г.)- П.О. Сухой, (05-12.1954 г.)- Е.А. Иванов, (12.1954-58 г.)- М.С. Жезлов; и.о. (07.1958-10.1959 г.)- Е.А. Иванов, (1959 г.)- А. Худяков; (10.1959-08.1960 г.)- Ю.К. Лавровский, (08.1960-; 1963-71 г.)- М.П. Семенов, (10.1971-04.1983 г.)- А.С. Зажигин, (07.1983-05.1984 г.)- В.Н. Мизгер, (05.1984-01.1992 г.)- Б.В. Ракитин, (02.1992-09.1998 г.)- В.Н. Авраменко. (09.1998-10.1999 г.)- В.В. Головкин. Гендиректор (1995-99 г.)- М.П. Симонов, (1999-2006 г.-)- М.А. Погосян.</w:t>
      </w:r>
    </w:p>
    <w:p w14:paraId="1A360B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1-й зам. гендиректора (1992-98 г.)- В.Н. Авраменко, (1998-99 г.)- Н.Ф. Никитин, (-2002-03 г.-&gt; А.И. Кнышев, (2007 г.)- С.С. Короткое. Зам. директора: по МФВ и кап. строительству (07.1940 г.-)- И.Н. Давыдов; по технической части (07.1940 г.-)- М.К. Янгель. Зам. гендиректора (11.2000-11.2003 г.)- В. Торянин, (-2002-05  г.-)- А.Н. Клементьев, (-2002-07 г.-)- </w:t>
      </w:r>
      <w:r w:rsidRPr="00DB5D0D">
        <w:rPr>
          <w:rFonts w:ascii="Times New Roman" w:hAnsi="Times New Roman"/>
          <w:color w:val="000000" w:themeColor="text1"/>
          <w:sz w:val="16"/>
          <w:szCs w:val="16"/>
          <w:lang w:val="en-US"/>
        </w:rPr>
        <w:t>B</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C</w:t>
      </w:r>
      <w:r w:rsidRPr="00DB5D0D">
        <w:rPr>
          <w:rFonts w:ascii="Times New Roman" w:hAnsi="Times New Roman"/>
          <w:color w:val="000000" w:themeColor="text1"/>
          <w:sz w:val="16"/>
          <w:szCs w:val="16"/>
        </w:rPr>
        <w:t>. Присяжнюк, (2003 г.)- С.С. Короткое, (2005 г.)- Б. Брегман, (2006 г.)- С. Сергеев, (2007 г.)- В. Викторов, (2007 г.)- Н. Константинова, (2007 г.)- Ю. Тарасов; по контрактам и поставкам (1997-98 г.)- А. Г. Белов; по маркетингу (-2006-07 г.-)- А.Н. Клементьев; по кадровой политике (2007 г.)- С.М. Рясовский; по связям с общественностью (2005 г.)- В. Разумовский; по корпоративным финансам (2007 г.)- И .Я. Озар.</w:t>
      </w:r>
    </w:p>
    <w:p w14:paraId="267455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производства (-1948 г.)- А.В. Потопалов. Директор: исполнительный (1992-98; 2002 г.)- В.Н. Авраменко, 91998-99 г.)- В.В. Головкин; по маркетингу и продажам (2000 г.)- А. Усачев; коммерческий (2005 г.)- А.Н. Клементьев; финансовый (2006 г.)- И.Я. Озар; по связям с общественностью (-2006-07 г.-)- В. Г. Разумовский.</w:t>
      </w:r>
    </w:p>
    <w:p w14:paraId="5812E0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(07.1940-09.1944 г.)- Н.Н. Поликарпов {9.06.1892-30.07.1944}, (19.10.1944-1953 г.)- В.Н. Челомей, (01.1954 г.-)- П.О. Сухой.</w:t>
      </w:r>
    </w:p>
    <w:p w14:paraId="674A3D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конструктора (1941 г.)- Н.А. Жемчужин, (-04.1946-47 г.)- Д.Л. Томашевич, (04.1946 г.)- Л.П. Короткое.</w:t>
      </w:r>
    </w:p>
    <w:p w14:paraId="262569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(1951-54 г.)- А.И. Шаповалов, (1954-58 г.)- Е.А. Иванов, (1958-61 г.)- М.И. Шейгам, (1961-71 г.)- А.С. Зажигин, (1971-89 г.)-  Г.Т. Лебедев, (1989-92 г.)- В.Н. Авраменко, (1992-95; 1999 г.)- В.А. Кузнецов, (1996- 99 г.)- Ю.М. Тарасов.</w:t>
      </w:r>
    </w:p>
    <w:p w14:paraId="044A81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инженера- П.К. Лырщиков.</w:t>
      </w:r>
    </w:p>
    <w:p w14:paraId="394FF0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КБ (1953-55 г.)- С.Д. Трефилов, (1955-56 г.)- К.Н. Стрекалов, (1956 г.)- А.П. Наумов, (1956-63 г.)- П.С. Анищенков, (1963-68 г.)- В.В. Коренастое, (1968-69 г.)- В.Я. Лукьяненко, (1969-83; 1986 г.)- </w:t>
      </w:r>
      <w:r w:rsidRPr="00DB5D0D">
        <w:rPr>
          <w:rFonts w:ascii="Times New Roman" w:hAnsi="Times New Roman"/>
          <w:color w:val="000000" w:themeColor="text1"/>
          <w:sz w:val="16"/>
          <w:szCs w:val="16"/>
          <w:lang w:val="en-US"/>
        </w:rPr>
        <w:t>B</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C</w:t>
      </w:r>
      <w:r w:rsidRPr="00DB5D0D">
        <w:rPr>
          <w:rFonts w:ascii="Times New Roman" w:hAnsi="Times New Roman"/>
          <w:color w:val="000000" w:themeColor="text1"/>
          <w:sz w:val="16"/>
          <w:szCs w:val="16"/>
        </w:rPr>
        <w:t>. Федотов, (1983-85 г.)- В.В. Барсуков, (1985-89 г.-)- А.И. Григоренко.</w:t>
      </w:r>
    </w:p>
    <w:p w14:paraId="4AD94D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Производство:</w:t>
      </w:r>
      <w:r w:rsidRPr="00DB5D0D">
        <w:rPr>
          <w:rFonts w:ascii="Times New Roman" w:hAnsi="Times New Roman"/>
          <w:color w:val="000000" w:themeColor="text1"/>
          <w:sz w:val="16"/>
          <w:szCs w:val="16"/>
        </w:rPr>
        <w:t xml:space="preserve"> бомбардировщики: НБ (1943)- 1, Т-6 (1967-)- 4 (11982).</w:t>
      </w:r>
    </w:p>
    <w:p w14:paraId="0D780B4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543C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с 27 июня по 5 августа 1940 г. исследовали прочность крыльев самолета И-153 (ремонтный вари</w:t>
      </w:r>
      <w:r w:rsidRPr="00DB5D0D">
        <w:rPr>
          <w:rFonts w:ascii="Times New Roman" w:hAnsi="Times New Roman"/>
          <w:color w:val="000000" w:themeColor="text1"/>
          <w:sz w:val="16"/>
          <w:szCs w:val="16"/>
        </w:rPr>
        <w:softHyphen/>
        <w:t>ант) при стрельбе РОС-82. Для этого на заводе №1 НКАП для огневых испытаний на НИПАВ ГУ ВВС КА приготовили истребитель № 8152, выполнив ремонт ный вариант обшивки нижнего крыла, посильный мастерским частей ВВС. На верхней части нижних плоскостей п районе крепления РО поверх стандартного полотна АСТ-100 наклеили жаростойкое АЛЛ-16, по периметру оклеенное миткалевой тканью. Ведущими специ</w:t>
      </w:r>
      <w:r w:rsidRPr="00DB5D0D">
        <w:rPr>
          <w:rFonts w:ascii="Times New Roman" w:hAnsi="Times New Roman"/>
          <w:color w:val="000000" w:themeColor="text1"/>
          <w:sz w:val="16"/>
          <w:szCs w:val="16"/>
        </w:rPr>
        <w:softHyphen/>
        <w:t>алистами по отстрелу снарядов назначили начальника опытного от цеха НИПАВ военинженсра 1 ранга С.Онисько и начальника 2 отделения опытного отдела военинженера 1 ранга Цилова. За это время израсходовали 105 снарядов. На земле огонь вели с таким темпом что на заключительном этапе после 2-3 выстрелов у РО отпускало закал</w:t>
      </w:r>
      <w:r w:rsidRPr="00DB5D0D">
        <w:rPr>
          <w:rFonts w:ascii="Times New Roman" w:hAnsi="Times New Roman"/>
          <w:color w:val="000000" w:themeColor="text1"/>
          <w:sz w:val="16"/>
          <w:szCs w:val="16"/>
        </w:rPr>
        <w:softHyphen/>
        <w:t>ку пружин контактов электроцепи и разбалтывались замки пирописто-летов. В итоге из-за этого начали отказывать пиропатроны.</w:t>
      </w:r>
    </w:p>
    <w:p w14:paraId="2794ED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Испытатели «выжали» из машины все, на что она была способна и с измочаленными консолями нижнего крыла вернули на завод, попро</w:t>
      </w:r>
      <w:r w:rsidRPr="00DB5D0D">
        <w:rPr>
          <w:rFonts w:ascii="Times New Roman" w:hAnsi="Times New Roman"/>
          <w:color w:val="000000" w:themeColor="text1"/>
          <w:sz w:val="16"/>
          <w:szCs w:val="16"/>
        </w:rPr>
        <w:softHyphen/>
        <w:t>сив «усилить обшивку нижнего крыла в местах крепления РО и на фюзе</w:t>
      </w:r>
      <w:r w:rsidRPr="00DB5D0D">
        <w:rPr>
          <w:rFonts w:ascii="Times New Roman" w:hAnsi="Times New Roman"/>
          <w:color w:val="000000" w:themeColor="text1"/>
          <w:sz w:val="16"/>
          <w:szCs w:val="16"/>
        </w:rPr>
        <w:softHyphen/>
        <w:t>ляже у хвостового оперения за счет «улучшения качества полотна, при</w:t>
      </w:r>
      <w:r w:rsidRPr="00DB5D0D">
        <w:rPr>
          <w:rFonts w:ascii="Times New Roman" w:hAnsi="Times New Roman"/>
          <w:color w:val="000000" w:themeColor="text1"/>
          <w:sz w:val="16"/>
          <w:szCs w:val="16"/>
        </w:rPr>
        <w:softHyphen/>
        <w:t>менения добавочных шурупов или постановки дюралевых листов». У новой машины серийного варианта укрепили силовой набор крыла дополтельными нервюрами, а защитную дюралевую обшивку, ранее приме-I дрщуюся только снизу, продлили, защитив переднюю кромку крыла а участок верхней обш ивки до первого лонжерона (11402).</w:t>
      </w:r>
    </w:p>
    <w:p w14:paraId="176DE3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DC5478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 27 июня по 20 октября 1940 г. в лаборатории №3 ЦАГИ на предмет исследования внешних нагрузок на хвостовом оперении испытывался "польский самолет PZL-Лось, двухмоторный бомбардировщик-моноплан со средним расположением крыла, с двойным вертикальным оперением", причем указывалось, что "самолет достаточно изношен". Судя по этим признакам, а также по двигателям "Бристоль Пегас" ХII, этот самолет относился к модификации PZL P37A bis, которая к началу войны использовалась в Польше, в основном, для учебных целей. На нем летал летчик В.И.Терехин, а отчет об испытаниях был составлен 18 ноября 1940 г. ведущим инженером В.В.Волковичем. В работе указаны результаты летных испытаний на распределение давления по поверхности горизонтального и вертикального оперения самолета на различных режимах полета. </w:t>
      </w:r>
    </w:p>
    <w:p w14:paraId="44560FC3"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Вышеприведенные данные о самолете "Лось" отличаются от информации, приводимой В.Р.Котельниковым в статье ""Лось" в небе". Он сообщал, что ни один из двух попавших в СССР экземпляров после весны 1940 г. не восстанавливался и не эксплуатировался. Но это было не так. Как явствует из документов, на 8 октября 1940 г. в составе самолетного парка 8-й лаборатории ЦАГИ значилось два типа польских машин. Одной из них был ПЗЛ "Лось", выпущенный в 1938 г, который находился в лаборатории с апреля 1940 г. К этому времени он налетал 127 часов и один раз побывал в ремонте. Эти данные практически полностью совпадают с описывавшимся В.Р.Котельниковым PZL P.37A bis из НИИ ВВС: во-первых, он был также выпущен в первой половине 1938 г., во-вторых также имел налет более 100 часов, а в третьих работы по его обследованию в НИИ ВВС завершились именно в конце весны 1940 г Так как других самолетов типа "Лось" в авиапарке ЦАГИ не было, с уверенностью можно сказать, что он был передан туда из НИИ ВВС и, в отличии от версии В.Р.Котельникова, его изучение, включая летные испытания, все-таки было продолжено. </w:t>
      </w:r>
    </w:p>
    <w:p w14:paraId="34A78049"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 своих воспоминаниях известный советский летчик-испытатель П.М.Стефановский характеризовал "Лось" как "вполне современный бомбардировщик". Он указывал, что перед тем как передать польские машины в НИИ ВВС, ""Лосей" продемонстрировали нашему правительству на земле и в воздухе" (11465).</w:t>
      </w:r>
    </w:p>
    <w:p w14:paraId="18F13F32"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7A1230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с 27 июня по 20 октября 1940 года в лаборатории № 3 ЦАГИ на предмет исследования внешних нагрузок на хвостовом оперении испытывался «польский самолет PZL-Лось, двухмоторный бомбардировщикмоноплан со средним расположением крыла, с двойным вертикальным оперением», причем указывалось, что «самолет достаточно изношен» (Самарский филиал РГАНТД. Ф. Р-217. Оп. 3-1. Д. 90. Л. 6, 16.).</w:t>
      </w:r>
    </w:p>
    <w:p w14:paraId="26D639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Судя по этим признакам, а также по двигателям Бристоль Пегас XII, этот самолет относился к модификации PZL P.37A bis, которая к началу войны использовалась в Польше в основном для учебных целей. На нем летал летчик В.И. Терехин, а отчет об испытаниях был составлен 18 ноября 1940 года ведущим инженером В.В. Волковичем (Там же. Л.2). В работе указаны результаты летных испытаний на распределение давления по поверхности горизонтального и вертикального оперения самолета на различных режимах полета (Там же. Л.3).</w:t>
      </w:r>
    </w:p>
    <w:p w14:paraId="0364E1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Вышеприведенные данные о самолете «Лось» отличаются от информации, приводимой В.Р. Котельниковым. Он сообщал, что ни один из двух попавших в НИИ ВВС экземпляров после весны 1940 года не восстанавливался и не эксплуатировался (Котельников В.Р. «Лось» в небе. Польский бомбардировщик PZL-37. С. 26.). Но это было не так. Как явствует из архивных документов, на 8 октября 1940 года в составе самолетного парка 8-ой лаборатории ЦАГИ значился ПЗЛ «Лось», выпущенный в 1938 году, который находился в лаборатории с апреля 1940 года. К этому времени он налетал 127 часов и один раз побывал в ремонте (Самарский филиал РГАНТД. Ф. Р-220. Оп. 2-6. Д. 3. Л. 4 323 Там же.). Эти данные практически полностью совпадают с описывавшимся В.Р. Котельниковым PZL P.37A bis из НИИ ВВС: во-первых, он был также выпущен в первой половине 1938 года, во-вторых, также имел налет более 100 часов, а в-третьих, работы по его обследованию в НИИ ВВС завершились именно в конце весны 1940 года. Так как других самолетов типа «Лось» в авиапарке ЦАГИ не было, с уверенностью можно сказать, что он был передан туда из НИИ ВВС и его изучение, включая летные испытания, всетаки было продолжено.</w:t>
      </w:r>
    </w:p>
    <w:p w14:paraId="501FAD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Польская авиатехника из состава самолетного парка 8-й лаборатории ЦАГИ на 8 октября 1940 года была также представлена еще одним типом.</w:t>
      </w:r>
    </w:p>
    <w:p w14:paraId="6A5C6B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был учебный самолет RWD-8 (РВД-8), попавший в лабораторию в июне 1940 года в двух экземплярах. В документе указано, что они налетали по 34 часа каждый, хотя, вероятно, в данном случае его составители ошиблись – такой одинаковый синхронный налет маловероятен, и, по всей видимости, эта цифра относилась только к одной из двух машин.</w:t>
      </w:r>
    </w:p>
    <w:p w14:paraId="768634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Осенью 1939 года был захвачен принадлежавший Польше американский пассажирский самолет Локхид Электра (Lockheed L-10A «Electra»). Согласно отчету об испытаниях Локхид Электра, проводившихся с 31 марта по 12 апреля 1941 года, начальником НИИ ГВФ Авербахом и начальником летного отдела института Табаровским констатировалась «полная возможность эксплуатации самолета без ограничений» и было решено эту машину «отнести ко второму классу самолетного парка ГВФ» (Там же. Ф. Р-4. Оп. 2-1. Д. 290. Л. 1, 1а.).</w:t>
      </w:r>
    </w:p>
    <w:p w14:paraId="158E05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Секретный отдел Научно-исследовательского Химического института (НИХИ) РККА направил письмо 15 мая 1940 года на имя директора Всесоюзного института авиационных материалов (ВИАМ) за подписями замначальника НИХИ и начальника секретного отдела института военинженера 3-го ранга Кондратьева. В нем сообщалось: «Направляю вам образец польского авиационного клея и его анализ для изучения и возможного использования в Вашей работе». К письму прилагалась банка с клеем и анализ №8 на одном листе «Испытание польского авиационного клея», который был подписан начальником 1-го отдела НИХИ РККА военинженером </w:t>
      </w:r>
      <w:r w:rsidRPr="00DB5D0D">
        <w:rPr>
          <w:rFonts w:ascii="Times New Roman" w:hAnsi="Times New Roman"/>
          <w:color w:val="000000" w:themeColor="text1"/>
          <w:sz w:val="16"/>
          <w:szCs w:val="16"/>
        </w:rPr>
        <w:lastRenderedPageBreak/>
        <w:t>2-го ранга Рулиным и научным сотрудником Ю.Н. Дагаевой. Последняя вместе с лаборантом Кузьминовой произвела анализ клея в марте 1940 года. Эти материалы 25 мая 1940 года передавались замначальника 9-й лаборатории ВИАМ Чеботаревскому (Там же. Ф. Р-124. Д. 86. Л. 54.) (11672).</w:t>
      </w:r>
    </w:p>
    <w:p w14:paraId="0472687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41F20A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933BA8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08862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было назначено специальное заседание СНК и ЦК ВКП(б), посвященное вопросу о "...недостаточной мощности вооружения новых танков KB и Т-34, а также иных образцов перспективных танков, находящихся в проектировании". На нем было признано, что 45-мм танковые орудия обладают недостаточной эффективностью и являются неперспективными. Для их замены предполагалось разработать новые 55-60-мм орудия (3862).</w:t>
      </w:r>
    </w:p>
    <w:p w14:paraId="4B3A99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к тому моменту Грабинское КБ уже разрабатывало 57-мм противотанковое орудие, то ему поручили разработку также и танкового варианта, хотя эскизный проект такого орудия был сделан в инициативном порядке еще до упомянутого заседания (3862).</w:t>
      </w:r>
    </w:p>
    <w:p w14:paraId="222B96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Председательствовал К.Е.В и участвовал Г.И.Кулик, НКВ Б.Л.Ванников, НКТП Ефремов, Нач. АБТУ Я.Н.Федоренко и обсуждали пр-т постановление СНК и ЦК ВКП(б) “О вооружении танков”. Решили выйти в СНК с представлением изготовить в 1940 на з-де № 92 50 пушек Ф-34, а НКСМ к 1 декабря установить в Т-34 новую пушку и предъявить в НКО для испытаний (4829, 23).</w:t>
      </w:r>
    </w:p>
    <w:p w14:paraId="7D36D9F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53E6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 в Москве состоялось совещание "О системе автобронетанкового вооружения Красной Армии", на котором рассматривался вопрос о перспективных типах танков и о снятии с вооружения старых образцов В отношении Т-35 мнения разделились Одни считали, что их нужно переделать в самоходно-артиллерийские установки большой мощности (типа СУ-14), другие предлагали передать их танковому полку ВАММ и использовать для парадов Но в связи с начавшейся реорганизацией танковых войск Красной Армии и формированием механизированных корпусов Т-35 решили "оставить на вооружении до полного износа, изучив вопрос об их экранировке до 50 - 70 мм". В результате почти все машины оказались в 67-м и 68-м танковых полках 34-й танковой дивизии 8-го механизированного корпуса Киевского Особого военного округа. Боевая карьера Т-35 оказалась очень короткой (3862).</w:t>
      </w:r>
    </w:p>
    <w:p w14:paraId="79C01C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20373B" w14:textId="77777777" w:rsidR="004A0330" w:rsidRPr="00DB5D0D" w:rsidRDefault="004A0330" w:rsidP="00DB5D0D">
      <w:pPr>
        <w:pStyle w:val="a3"/>
        <w:rPr>
          <w:color w:val="000000" w:themeColor="text1"/>
          <w:lang w:val="ru-RU"/>
        </w:rPr>
      </w:pPr>
      <w:r w:rsidRPr="00DB5D0D">
        <w:rPr>
          <w:color w:val="000000" w:themeColor="text1"/>
          <w:lang w:val="ru-RU"/>
        </w:rPr>
        <w:t>27 июня 1940 года датированная записка военинженера 3-го ранга П.К. Ворошилова (прием</w:t>
      </w:r>
      <w:r w:rsidRPr="00DB5D0D">
        <w:rPr>
          <w:color w:val="000000" w:themeColor="text1"/>
          <w:lang w:val="ru-RU"/>
        </w:rPr>
        <w:softHyphen/>
        <w:t>ный сын маршала Ворошилова курировал разработку тяжелых совет</w:t>
      </w:r>
      <w:r w:rsidRPr="00DB5D0D">
        <w:rPr>
          <w:color w:val="000000" w:themeColor="text1"/>
          <w:lang w:val="ru-RU"/>
        </w:rPr>
        <w:softHyphen/>
        <w:t>ских танков):</w:t>
      </w:r>
    </w:p>
    <w:p w14:paraId="20F3B079" w14:textId="77777777" w:rsidR="004A0330" w:rsidRPr="00DB5D0D" w:rsidRDefault="004A0330"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«Если говорить о танке, как базе для самоходной артиллерии большой мощности, то наиболее подходящим является танк «СМК». Соображения в пользу этого выбора те, что прототипом для танка «КВ» являлся танк «СМК» и у них взаимозаменяемая ходовая часть и часть трансмиссии. Те</w:t>
      </w:r>
      <w:r w:rsidRPr="00DB5D0D">
        <w:rPr>
          <w:i w:val="0"/>
          <w:color w:val="000000" w:themeColor="text1"/>
          <w:sz w:val="16"/>
          <w:szCs w:val="16"/>
        </w:rPr>
        <w:softHyphen/>
        <w:t>перь проделав обратную работу по унификации, можно добиться полной взаимозаменяемости всех агрегатов трансмиссии и ходовой части обоих танков.</w:t>
      </w:r>
    </w:p>
    <w:p w14:paraId="3FC5C3DC"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Такая взаимозаменяемость благотворно отразится на производстве танков и не будет вызывать затруднений в снабжении воинских частей запчастями» (17484).</w:t>
      </w:r>
    </w:p>
    <w:p w14:paraId="20F7A7B7" w14:textId="77777777" w:rsidR="004A0330" w:rsidRPr="00DB5D0D" w:rsidRDefault="004A0330" w:rsidP="00DB5D0D">
      <w:pPr>
        <w:spacing w:after="0" w:line="240" w:lineRule="auto"/>
        <w:jc w:val="both"/>
        <w:rPr>
          <w:rFonts w:ascii="Times New Roman" w:hAnsi="Times New Roman"/>
          <w:color w:val="000000" w:themeColor="text1"/>
          <w:sz w:val="16"/>
          <w:szCs w:val="16"/>
        </w:rPr>
      </w:pPr>
    </w:p>
    <w:p w14:paraId="57E9D4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было назначено специальное заседание СНК и ЦК ВКП (б), посвященное вопросу недостаточной мощности вооружения новых танков КВ и Т-34 (10782). На этом заседании 45-мм танковые орудия были призна</w:t>
      </w:r>
      <w:r w:rsidRPr="00DB5D0D">
        <w:rPr>
          <w:rFonts w:ascii="Times New Roman" w:hAnsi="Times New Roman"/>
          <w:color w:val="000000" w:themeColor="text1"/>
          <w:sz w:val="16"/>
          <w:szCs w:val="16"/>
        </w:rPr>
        <w:softHyphen/>
        <w:t>ны неперспективными, а для вооружения тяжелых танков активно «продвигались» тяжеловесы — пушки калибра 85— 107-мм, а также гаубицы 122—152-мм (10782).</w:t>
      </w:r>
    </w:p>
    <w:p w14:paraId="40833A8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5687C93"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27/28 июня 1940</w:t>
      </w:r>
    </w:p>
    <w:p w14:paraId="147FC3BC"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РГВА Фонд 31811 Опись 2 Дело 1181 лист 133 </w:t>
      </w:r>
    </w:p>
    <w:p w14:paraId="0484BCD9"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734D7120"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Экз. № 4 </w:t>
      </w:r>
    </w:p>
    <w:p w14:paraId="7CF9BD7A"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27/28 июня 1940 г. </w:t>
      </w:r>
    </w:p>
    <w:p w14:paraId="13E6DE0B"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73965с </w:t>
      </w:r>
    </w:p>
    <w:p w14:paraId="1AE1150E"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ГЛАВСПЕЦМАША НКСМ СССР</w:t>
      </w:r>
    </w:p>
    <w:p w14:paraId="47F17162"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СУРЕНЯНУ</w:t>
      </w:r>
    </w:p>
    <w:p w14:paraId="14979864"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ДИРЕКТОРУ ЗАВОДА 183 тов. МАКСАРЕВУ</w:t>
      </w:r>
    </w:p>
    <w:p w14:paraId="16BDFB5D"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ВОЕННОМУ ПРЕДСТАВИТЕЛЮ З-ДА 183</w:t>
      </w:r>
    </w:p>
    <w:p w14:paraId="1160D9C2"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ВОЕНИНЖЕНЕРУ 2 РАНГА тов. КОЗЫРЕВУ</w:t>
      </w:r>
    </w:p>
    <w:p w14:paraId="4B8E9914"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Несмотря на неоднократные указания, данные заводу 183 от АБТУ КА и Комиссии по испытанию танка Т-34 о разработке и установке радиостанции 71-ТК-3 в носовой части танка, а не в башне, последний до сего времени указаний не выполнил и не приступил к разработке. </w:t>
      </w:r>
    </w:p>
    <w:p w14:paraId="3893778C"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АБТУ КА требует немедленно приступить к разработке установки радиостанции 71-ТК-3 в носовой части танка и предъявить разработанный вариант не позднее 10 июля с.г. в опытном образце. </w:t>
      </w:r>
    </w:p>
    <w:p w14:paraId="0C5E0330"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Ст. Военному представителю з-да 183 разрешаю принять опытную партию танков Т-34 в количестве 10 шт. с размещением рации в башне танка, обязав завод 183 за его счет произвести перестановку по окончании разработки установки рации в носовой части. В дальнейшем приемку танков Т-34 с установкой радиостанции в башне танка не производить. </w:t>
      </w:r>
    </w:p>
    <w:p w14:paraId="0DAD0D4D"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 НАЧАЛЬНИК АБТУ КР. АРМИИ ГЕНЕРАЛ-ЛЕЙТЕНАНТ ТАНКОВЫХ ВОЙСК (ФЕДОРЕНКО)</w:t>
      </w:r>
    </w:p>
    <w:p w14:paraId="42E3F3AD"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 ВРИД. ВОЕННОГО КОМИССАРА АБТУ КА ВОЕНИНЖЕНЕР 2 РАНГА (ЧУРИН)</w:t>
      </w:r>
    </w:p>
    <w:p w14:paraId="3E08103C" w14:textId="77777777" w:rsidR="001A68A7" w:rsidRPr="00DB5D0D" w:rsidRDefault="001A68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 в 4 экз. (18170).</w:t>
      </w:r>
    </w:p>
    <w:p w14:paraId="5663A636" w14:textId="77777777" w:rsidR="001A68A7" w:rsidRPr="00DB5D0D" w:rsidRDefault="001A68A7" w:rsidP="00DB5D0D">
      <w:pPr>
        <w:spacing w:after="0" w:line="240" w:lineRule="auto"/>
        <w:jc w:val="both"/>
        <w:rPr>
          <w:rFonts w:ascii="Times New Roman" w:hAnsi="Times New Roman"/>
          <w:color w:val="000000" w:themeColor="text1"/>
          <w:sz w:val="16"/>
          <w:szCs w:val="16"/>
        </w:rPr>
      </w:pPr>
    </w:p>
    <w:p w14:paraId="47EC4C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27 июня 1940 в докладе, направленном заместителю наркома обороны Маршалу Советского Союза Кулику, по броневикам предлагалось «...снять с вооружения бронеавтомобили: БА-27, ФАИ, БАИ, БА-3, Д-8, Д-12, Д-13, использовав механизмы в качестве запасных частей к колесным машинам, корпуса реализовать через ОФИ как металлолом. Реализацию этого произвести по мере поступления бронеавтомобилей, оставленных на вооружении». Но, несмотря на это, БА-27М оставались в войсках вплоть до июня 1941 года. К началу Великой Отечественной войны большинство этих машин входили в состав стрелковых частей Красной Армии. Так, типовая стрелковая дивизия штата 4/100 от 13 июня 1940 года имела разведывательный батальон (штат 4/126), в составе которого имелась автобронетанковая рота (кадр) с 10 средними бронеавтомобилями (из них 4 радийных). По штату полагались БА-6 или БА-10, но часто вместо них использовали БА-27М. Имевшиеся в составе стрелковых дивизий приграничных округов БА-27М использовались в боях первых недель войны. При этом большая часть их была потеряна, большей частью по техническим причинам. Кроме того, боевая ценность машин снижалась из-за отсутствия снарядов к 37-мм пушке Гочкиса. Из-за сильного износа БА-27 и их невысоких боевых характеристик, к концу лета 1941 года практически все они были выведены из состава разведбатов стрелковых дивизий и переданы в учебные части или ОСОАВИАХИМ. Тем не менее, из-за огромных потерь в бронетанковой технике, осенью 1941 года БА-27 использовались даже в составе танковых подразделений. Например, в 18-й танковой бригаде 5-й армии, прикрывавшей московское направление, к 10 октября 1941 года было два таких броневика. 21 ноября один БА-27 вместе с ремонтным взводом бригады прикрывал дорогу Тархово-Петровское. В бою с немецкими танками этот броневик «был подбит и сгорел вместе с экипажем». По состоянию на 30 марта 1942 года в танковых частях 5-й армии Западного фронта имелось 3 БА-27, правда, все они требовали капитального ремонта. Скорее всего, это были одни из последних БА-27М, находившихся в боевых частях. До сегодняшнего дня сохранился один экземпляр БА-27М, находящийся в экспозиции военно-исторического музея бронетанкового вооружения и техники в поселке Кубинка Московской области. Кроме того, в свое время БА-27 был увековечен кинематографистами. Речь идет о фильме «Чапаев», в котором БА-27 «сыграл» роль броневика периода гражданской войны.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7D5DF8" w:rsidRPr="00DB5D0D" w14:paraId="5012C3C3" w14:textId="77777777" w:rsidTr="009223E5">
        <w:trPr>
          <w:jc w:val="center"/>
        </w:trPr>
        <w:tc>
          <w:tcPr>
            <w:tcW w:w="4715" w:type="dxa"/>
            <w:tcBorders>
              <w:top w:val="single" w:sz="12" w:space="0" w:color="auto"/>
            </w:tcBorders>
          </w:tcPr>
          <w:p w14:paraId="4F39A6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Масса</w:t>
            </w:r>
          </w:p>
        </w:tc>
        <w:tc>
          <w:tcPr>
            <w:tcW w:w="4800" w:type="dxa"/>
            <w:tcBorders>
              <w:top w:val="single" w:sz="12" w:space="0" w:color="auto"/>
            </w:tcBorders>
          </w:tcPr>
          <w:p w14:paraId="71C5E5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 кг</w:t>
            </w:r>
          </w:p>
        </w:tc>
      </w:tr>
      <w:tr w:rsidR="007D5DF8" w:rsidRPr="00DB5D0D" w14:paraId="0B2E6564" w14:textId="77777777" w:rsidTr="009223E5">
        <w:trPr>
          <w:jc w:val="center"/>
        </w:trPr>
        <w:tc>
          <w:tcPr>
            <w:tcW w:w="4715" w:type="dxa"/>
          </w:tcPr>
          <w:p w14:paraId="7AECE3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c>
          <w:tcPr>
            <w:tcW w:w="4800" w:type="dxa"/>
          </w:tcPr>
          <w:p w14:paraId="6CE794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человека</w:t>
            </w:r>
          </w:p>
        </w:tc>
      </w:tr>
      <w:tr w:rsidR="007D5DF8" w:rsidRPr="00DB5D0D" w14:paraId="7D7A34DE" w14:textId="77777777" w:rsidTr="009223E5">
        <w:trPr>
          <w:jc w:val="center"/>
        </w:trPr>
        <w:tc>
          <w:tcPr>
            <w:tcW w:w="4715" w:type="dxa"/>
          </w:tcPr>
          <w:p w14:paraId="0DF46B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w:t>
            </w:r>
          </w:p>
        </w:tc>
        <w:tc>
          <w:tcPr>
            <w:tcW w:w="4800" w:type="dxa"/>
          </w:tcPr>
          <w:p w14:paraId="74D07D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4830 мм</w:t>
            </w:r>
          </w:p>
        </w:tc>
      </w:tr>
      <w:tr w:rsidR="007D5DF8" w:rsidRPr="00DB5D0D" w14:paraId="0183C802" w14:textId="77777777" w:rsidTr="009223E5">
        <w:trPr>
          <w:jc w:val="center"/>
        </w:trPr>
        <w:tc>
          <w:tcPr>
            <w:tcW w:w="4715" w:type="dxa"/>
          </w:tcPr>
          <w:p w14:paraId="544B2C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w:t>
            </w:r>
          </w:p>
        </w:tc>
        <w:tc>
          <w:tcPr>
            <w:tcW w:w="4800" w:type="dxa"/>
          </w:tcPr>
          <w:p w14:paraId="63063D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1930 мм</w:t>
            </w:r>
          </w:p>
        </w:tc>
      </w:tr>
      <w:tr w:rsidR="007D5DF8" w:rsidRPr="00DB5D0D" w14:paraId="034FDE9C" w14:textId="77777777" w:rsidTr="009223E5">
        <w:trPr>
          <w:jc w:val="center"/>
        </w:trPr>
        <w:tc>
          <w:tcPr>
            <w:tcW w:w="4715" w:type="dxa"/>
          </w:tcPr>
          <w:p w14:paraId="379CAC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4800" w:type="dxa"/>
          </w:tcPr>
          <w:p w14:paraId="109A1C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2540 мм</w:t>
            </w:r>
          </w:p>
        </w:tc>
      </w:tr>
      <w:tr w:rsidR="007D5DF8" w:rsidRPr="00DB5D0D" w14:paraId="5CD5918E" w14:textId="77777777" w:rsidTr="009223E5">
        <w:trPr>
          <w:jc w:val="center"/>
        </w:trPr>
        <w:tc>
          <w:tcPr>
            <w:tcW w:w="4715" w:type="dxa"/>
          </w:tcPr>
          <w:p w14:paraId="2A1BBC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Клиренс</w:t>
            </w:r>
          </w:p>
        </w:tc>
        <w:tc>
          <w:tcPr>
            <w:tcW w:w="4800" w:type="dxa"/>
          </w:tcPr>
          <w:p w14:paraId="052E50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 мм</w:t>
            </w:r>
          </w:p>
        </w:tc>
      </w:tr>
      <w:tr w:rsidR="007D5DF8" w:rsidRPr="00DB5D0D" w14:paraId="15414EE2" w14:textId="77777777" w:rsidTr="009223E5">
        <w:trPr>
          <w:jc w:val="center"/>
        </w:trPr>
        <w:tc>
          <w:tcPr>
            <w:tcW w:w="4715" w:type="dxa"/>
          </w:tcPr>
          <w:p w14:paraId="083DEE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Давление на грунт</w:t>
            </w:r>
          </w:p>
        </w:tc>
        <w:tc>
          <w:tcPr>
            <w:tcW w:w="4800" w:type="dxa"/>
          </w:tcPr>
          <w:p w14:paraId="4AED86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кг/см2</w:t>
            </w:r>
          </w:p>
        </w:tc>
      </w:tr>
      <w:tr w:rsidR="007D5DF8" w:rsidRPr="00DB5D0D" w14:paraId="576D720F" w14:textId="77777777" w:rsidTr="009223E5">
        <w:trPr>
          <w:jc w:val="center"/>
        </w:trPr>
        <w:tc>
          <w:tcPr>
            <w:tcW w:w="4715" w:type="dxa"/>
          </w:tcPr>
          <w:p w14:paraId="057BE2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двигателя</w:t>
            </w:r>
          </w:p>
        </w:tc>
        <w:tc>
          <w:tcPr>
            <w:tcW w:w="4800" w:type="dxa"/>
          </w:tcPr>
          <w:p w14:paraId="7C9E13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 цил., карб. ГАЗ-АА</w:t>
            </w:r>
          </w:p>
        </w:tc>
      </w:tr>
      <w:tr w:rsidR="007D5DF8" w:rsidRPr="00DB5D0D" w14:paraId="4490F4DA" w14:textId="77777777" w:rsidTr="009223E5">
        <w:trPr>
          <w:jc w:val="center"/>
        </w:trPr>
        <w:tc>
          <w:tcPr>
            <w:tcW w:w="4715" w:type="dxa"/>
          </w:tcPr>
          <w:p w14:paraId="1CBD82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двигателя</w:t>
            </w:r>
          </w:p>
        </w:tc>
        <w:tc>
          <w:tcPr>
            <w:tcW w:w="4800" w:type="dxa"/>
          </w:tcPr>
          <w:p w14:paraId="2D4B80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 л.с.</w:t>
            </w:r>
          </w:p>
        </w:tc>
      </w:tr>
      <w:tr w:rsidR="007D5DF8" w:rsidRPr="00DB5D0D" w14:paraId="6852C142" w14:textId="77777777" w:rsidTr="009223E5">
        <w:trPr>
          <w:jc w:val="center"/>
        </w:trPr>
        <w:tc>
          <w:tcPr>
            <w:tcW w:w="4715" w:type="dxa"/>
          </w:tcPr>
          <w:p w14:paraId="080E1A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по шоссе</w:t>
            </w:r>
          </w:p>
        </w:tc>
        <w:tc>
          <w:tcPr>
            <w:tcW w:w="4800" w:type="dxa"/>
          </w:tcPr>
          <w:p w14:paraId="201889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48 км/ч</w:t>
            </w:r>
          </w:p>
        </w:tc>
      </w:tr>
      <w:tr w:rsidR="007D5DF8" w:rsidRPr="00DB5D0D" w14:paraId="3FD39795" w14:textId="77777777" w:rsidTr="009223E5">
        <w:trPr>
          <w:jc w:val="center"/>
        </w:trPr>
        <w:tc>
          <w:tcPr>
            <w:tcW w:w="4715" w:type="dxa"/>
          </w:tcPr>
          <w:p w14:paraId="49CCF9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хода по шоссе</w:t>
            </w:r>
          </w:p>
        </w:tc>
        <w:tc>
          <w:tcPr>
            <w:tcW w:w="4800" w:type="dxa"/>
          </w:tcPr>
          <w:p w14:paraId="578261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415 км</w:t>
            </w:r>
          </w:p>
        </w:tc>
      </w:tr>
      <w:tr w:rsidR="007D5DF8" w:rsidRPr="00DB5D0D" w14:paraId="3DF02082" w14:textId="77777777" w:rsidTr="009223E5">
        <w:trPr>
          <w:jc w:val="center"/>
        </w:trPr>
        <w:tc>
          <w:tcPr>
            <w:tcW w:w="4715" w:type="dxa"/>
          </w:tcPr>
          <w:p w14:paraId="336AFC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Преодолеваемый подъем</w:t>
            </w:r>
          </w:p>
        </w:tc>
        <w:tc>
          <w:tcPr>
            <w:tcW w:w="4800" w:type="dxa"/>
          </w:tcPr>
          <w:p w14:paraId="2A529A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23°</w:t>
            </w:r>
          </w:p>
        </w:tc>
      </w:tr>
      <w:tr w:rsidR="007D5DF8" w:rsidRPr="00DB5D0D" w14:paraId="357E2BC9" w14:textId="77777777" w:rsidTr="009223E5">
        <w:trPr>
          <w:jc w:val="center"/>
        </w:trPr>
        <w:tc>
          <w:tcPr>
            <w:tcW w:w="4715" w:type="dxa"/>
          </w:tcPr>
          <w:p w14:paraId="401BF5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4800" w:type="dxa"/>
          </w:tcPr>
          <w:p w14:paraId="0BA0DE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37-мм пушка Гочкис, 7,62-мм пулемет ДТ</w:t>
            </w:r>
          </w:p>
        </w:tc>
      </w:tr>
      <w:tr w:rsidR="007D5DF8" w:rsidRPr="00DB5D0D" w14:paraId="435D5D5E" w14:textId="77777777" w:rsidTr="009223E5">
        <w:trPr>
          <w:jc w:val="center"/>
        </w:trPr>
        <w:tc>
          <w:tcPr>
            <w:tcW w:w="4715" w:type="dxa"/>
          </w:tcPr>
          <w:p w14:paraId="44628D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Боекомплект</w:t>
            </w:r>
          </w:p>
        </w:tc>
        <w:tc>
          <w:tcPr>
            <w:tcW w:w="4800" w:type="dxa"/>
          </w:tcPr>
          <w:p w14:paraId="13E496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 снарядов, 2016 патронов</w:t>
            </w:r>
          </w:p>
        </w:tc>
      </w:tr>
      <w:tr w:rsidR="007D5DF8" w:rsidRPr="00DB5D0D" w14:paraId="79C2D34E" w14:textId="77777777" w:rsidTr="009223E5">
        <w:trPr>
          <w:jc w:val="center"/>
        </w:trPr>
        <w:tc>
          <w:tcPr>
            <w:tcW w:w="4715" w:type="dxa"/>
            <w:tcBorders>
              <w:bottom w:val="single" w:sz="12" w:space="0" w:color="auto"/>
            </w:tcBorders>
          </w:tcPr>
          <w:p w14:paraId="6FD3C7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Бронирование</w:t>
            </w:r>
          </w:p>
        </w:tc>
        <w:tc>
          <w:tcPr>
            <w:tcW w:w="4800" w:type="dxa"/>
            <w:tcBorders>
              <w:bottom w:val="single" w:sz="12" w:space="0" w:color="auto"/>
            </w:tcBorders>
          </w:tcPr>
          <w:p w14:paraId="2A9A3A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 мм</w:t>
            </w:r>
          </w:p>
        </w:tc>
      </w:tr>
    </w:tbl>
    <w:p w14:paraId="423147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(11861).</w:t>
      </w:r>
    </w:p>
    <w:p w14:paraId="779F55F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B276D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77851AD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863D863" w14:textId="77777777" w:rsidR="00BD6368" w:rsidRPr="00DB5D0D" w:rsidRDefault="00BD63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27 июня</w:t>
      </w:r>
      <w:r w:rsidRPr="00DB5D0D">
        <w:rPr>
          <w:rFonts w:ascii="Times New Roman" w:hAnsi="Times New Roman"/>
          <w:color w:val="000000" w:themeColor="text1"/>
          <w:sz w:val="16"/>
          <w:szCs w:val="16"/>
        </w:rPr>
        <w:t xml:space="preserve"> в 1940 году советские войска были введены на территорию Бесарабии и Северной Буковины, которые Румыния уступила Советскому Союзу. Румыния просит помощи Германии, но безуспешно (14935).</w:t>
      </w:r>
    </w:p>
    <w:p w14:paraId="39713AFC" w14:textId="77777777" w:rsidR="00BD6368" w:rsidRPr="00DB5D0D" w:rsidRDefault="00BD6368" w:rsidP="00DB5D0D">
      <w:pPr>
        <w:spacing w:after="0" w:line="240" w:lineRule="auto"/>
        <w:jc w:val="both"/>
        <w:rPr>
          <w:rFonts w:ascii="Times New Roman" w:hAnsi="Times New Roman"/>
          <w:color w:val="000000" w:themeColor="text1"/>
          <w:sz w:val="16"/>
          <w:szCs w:val="16"/>
        </w:rPr>
      </w:pPr>
    </w:p>
    <w:p w14:paraId="47F0BA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требования СССР к Румынии были поддержаны Германией. Румынское правительство уступило (3871).</w:t>
      </w:r>
    </w:p>
    <w:p w14:paraId="792BC79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F9626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June 27 1940 Soviet Union invades Rumania (1242).</w:t>
      </w:r>
    </w:p>
    <w:p w14:paraId="5E510E5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69FFEC3"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27 июня 1940 СССР вторгся на территорию Румынии</w:t>
      </w:r>
      <w:r w:rsidRPr="00DB5D0D">
        <w:rPr>
          <w:rFonts w:ascii="Times New Roman" w:hAnsi="Times New Roman"/>
          <w:color w:val="000000" w:themeColor="text1"/>
          <w:sz w:val="16"/>
          <w:szCs w:val="16"/>
          <w:lang w:val="en-US"/>
        </w:rPr>
        <w:t xml:space="preserve"> (1242).</w:t>
      </w:r>
    </w:p>
    <w:p w14:paraId="22FD72E8"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02DEF9E"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27 Thu. 1940 Romania yields to Russian ultimatum and cedes Bessarabia and northern Bukovina (1064).</w:t>
      </w:r>
    </w:p>
    <w:p w14:paraId="2D4E693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4278E0B"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27 1940 Rumania agreed to cede Bessarabia to U.S.S.R. (1223).</w:t>
      </w:r>
    </w:p>
    <w:p w14:paraId="6C8109C5"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2D60B9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Румыния согласилась на Советский ультиматум о передаче Бессарабии и Северной Буковины СССР (1223,1064).</w:t>
      </w:r>
    </w:p>
    <w:p w14:paraId="72AF17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ТБ-3 высаживали парашютный десант под Измаилом (1854).</w:t>
      </w:r>
    </w:p>
    <w:p w14:paraId="4228480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E5F33E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556906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4EE08A6"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Боинг получил дополнительные средства на достройку макета бомбардировщика "Модель 345" - будущего В-29, а перед этим - на модель и продувки (1051,11).</w:t>
      </w:r>
    </w:p>
    <w:p w14:paraId="5ACE843F"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3FB44AB7"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27 июня</w:t>
      </w:r>
      <w:r w:rsidRPr="00DB5D0D">
        <w:rPr>
          <w:rFonts w:ascii="Times New Roman" w:hAnsi="Times New Roman"/>
          <w:color w:val="000000" w:themeColor="text1"/>
          <w:sz w:val="16"/>
          <w:szCs w:val="16"/>
        </w:rPr>
        <w:t xml:space="preserve"> в 1940 году армия США заключила контракты на предварительные технические данные нового супер-бомбардировщика с четырьмя компаниями «Boeing», «Consolidated», «Douglas» и «Lockheed». Проекты были обозначены в порядке предпочтения как «Boeing» «XB-29», «Lockheed» «XB-30», «Douglas» «XB-31» и «Consolidated» «XB-32». Вскоре «Lockheed» и «Douglas» отказались от участия в разработке, а «Boeing» и «Consolidated» продолжили разработку проектов (14935).</w:t>
      </w:r>
    </w:p>
    <w:p w14:paraId="02A3228E"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47714D6B"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27 Thu. 1940 President declares a "national emergency" and invokes Espionage Act of 1917 to exercise control over shipping movements in territorial waters and in vicinity of Panama Canal.</w:t>
      </w:r>
    </w:p>
    <w:p w14:paraId="60B3E5AD"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07F0C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Ф.Д.Р. объявил в стране чрезвычайное положение и ввел в силу Акт о шпионаже 1917 для контроля за движением судов в территориальных водах и в окрестностях Панамского Канала (1064).</w:t>
      </w:r>
    </w:p>
    <w:p w14:paraId="5512E8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6F5DA1"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27 июня</w:t>
      </w:r>
      <w:r w:rsidRPr="00DB5D0D">
        <w:rPr>
          <w:rFonts w:ascii="Times New Roman" w:hAnsi="Times New Roman"/>
          <w:color w:val="000000" w:themeColor="text1"/>
          <w:sz w:val="16"/>
          <w:szCs w:val="16"/>
        </w:rPr>
        <w:t xml:space="preserve"> в 1940 году Ф.Д.Рузвельт объявил в стране чрезвычайное положение и ввел в силу «Акт о шпионаже» 1917 для контроля за движением судов в территориальных водах и в окрестностях Панамского Канала. Гопкинс сделал заявление в поддержку президента со словами: "...вновь, как и во время Великой войны...". Пресса активно начала проводить аналогии между Гопкинсом и Вудро Вильсоном (14935).</w:t>
      </w:r>
    </w:p>
    <w:p w14:paraId="3867DA7B"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0335773B"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27 июня</w:t>
      </w:r>
      <w:r w:rsidRPr="00DB5D0D">
        <w:rPr>
          <w:rFonts w:ascii="Times New Roman" w:hAnsi="Times New Roman"/>
          <w:color w:val="000000" w:themeColor="text1"/>
          <w:sz w:val="16"/>
          <w:szCs w:val="16"/>
        </w:rPr>
        <w:t xml:space="preserve"> в 1940 году японские войска заняли гонконгский полуостров (14935).</w:t>
      </w:r>
    </w:p>
    <w:p w14:paraId="352BBE0B"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6A267AE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1459E4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6D6B4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Броневой институт (НИИ-48) предъявил на гос. испытания броню толщиной 13 мм, которая удовлетворительно защищала от 12.7 мм бронебойных пуль и была почти эквивалентна 20 мм цементованной или 25 мм гомогенной (2877,311).</w:t>
      </w:r>
    </w:p>
    <w:p w14:paraId="35CA479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2A06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Ст. военпред ГУАС КА на заводе 156 ви 1р Бровко направил Нач. НИИ ГУАС КА, нач. 11 ГУ НКАП и нач. 17 отдела завода 156 протокол макетной комиссии по ОПБ М-90 конструкции Кочеригина (2062).</w:t>
      </w:r>
    </w:p>
    <w:p w14:paraId="6353221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4E9F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года на НИП АВ ВВС закончились заводские испытания авиационно-дымовых шашек (АДШ) конструкции завода № 145 на самолете СБ, которые проходили с 7 июня 1940.</w:t>
      </w:r>
    </w:p>
    <w:p w14:paraId="6E5802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4168D0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4 отделения Опытного отдела НИП АВ ВВС Комарницкий</w:t>
      </w:r>
    </w:p>
    <w:p w14:paraId="6D23B4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0DD7C4A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боевые и конструктивно-эксплуатационные качества авиационно-дымовых шашек (АДШ) конструкции завода № 145 на самолете СБ.</w:t>
      </w:r>
    </w:p>
    <w:p w14:paraId="29A089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АДШ предназначены для применения с самолета в целях создания наземных завес нейтрального или ядовитого дыма.</w:t>
      </w:r>
    </w:p>
    <w:p w14:paraId="0EDAC6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9EF358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Авиационно-дымовые шашки конструкции завода № 145 заводские испытания не выдержали (7596).</w:t>
      </w:r>
    </w:p>
    <w:p w14:paraId="68E4701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1EAC7D6B"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28 июня</w:t>
      </w:r>
      <w:r w:rsidRPr="00DB5D0D">
        <w:rPr>
          <w:rFonts w:ascii="Times New Roman" w:hAnsi="Times New Roman"/>
          <w:color w:val="000000" w:themeColor="text1"/>
          <w:sz w:val="16"/>
          <w:szCs w:val="16"/>
        </w:rPr>
        <w:t xml:space="preserve"> в 1940 году погиб лётчик-испытатель П.Л.Попов. Лётчик-испытатель авиазавода № 39 имени Менжинского, испытывал серийные ДБ-3. 29 мая 1940 самолет ДБ-3, пилотируемый экипажем П.Л.Попова, в полете по маршруту Москва-Молотов на обратном пути совершил вынужденную посадку из-за неисправности мотора (14936).</w:t>
      </w:r>
    </w:p>
    <w:p w14:paraId="5A5436A7"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6BC19B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г. зам. наркома ВМФ адмирал Галлер писал письмо N 2753сс Ворошилову.</w:t>
      </w:r>
    </w:p>
    <w:p w14:paraId="7D6921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борьбы с белофиннами было выявлено, что средние стрелковые установки самолетов СБ (ТУР-9) и люковые установки самолетов СБ и ДБ-3 ?ЛУ-СБ и ЛУДБ-30 имеют следующие недостатки:</w:t>
      </w:r>
    </w:p>
    <w:p w14:paraId="4536DD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ТУР-9 недостаточна маневренна и к тому же не экранирована, что приводит к обмораживанию летного состава при низких температурах.</w:t>
      </w:r>
    </w:p>
    <w:p w14:paraId="64CFF1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ЛУ-СБ и ЛУДБ-3 имеют недостаточно хороший обзор и в должной степени не обеспечивают обстрела задней полусферы (3366,20).</w:t>
      </w:r>
    </w:p>
    <w:p w14:paraId="187723A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9FCB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года была подготовлена справка для К.Е.Ворошилова:</w:t>
      </w:r>
    </w:p>
    <w:p w14:paraId="664F0E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Алексеев П.А. (УВВС) докладывает, что согласно приказу НКО от 25 мая 1940 г. за N 0106 в Баку должны быть проведены войсковые испытания самолетов И-153 с синхронными пушками Швак.</w:t>
      </w:r>
    </w:p>
    <w:p w14:paraId="01DE8C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подготовки этих испытаний ГУАС выдало в апреле 1940 г. Шпитальному 30 крыльевых пушек Швак для переделки их в синхронные к самолету И-153.</w:t>
      </w:r>
    </w:p>
    <w:p w14:paraId="51B02D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три самолета И-153 готовы для испытания пушек Швак. Однако, Шпитальный изъял с 1 завода НКАП, полученные им от ГУАС для подготовки к испытаниям пушки и отказывается их выдавать для испытания пока ему не будет выслан отчет о первом испытании синхронной пушки Швак, проведенном в 1939 г.</w:t>
      </w:r>
    </w:p>
    <w:p w14:paraId="6EDC27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Секретариатом Ко установлено, что первые испытания синхронных пушек Швак конструкции Шпитального проводились в 1939 г. на самолете И-16. Ввиду имевших место прострелов винта, Военный совет ВВС отчет об испытаниях этой пушки не утвердил.</w:t>
      </w:r>
    </w:p>
    <w:p w14:paraId="0EF428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47BFD7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считает целесообразным:</w:t>
      </w:r>
    </w:p>
    <w:p w14:paraId="25BB5E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НКВ - Ванникова Б.Л. немедленно передать в НКО пушки Швак, полученные Шпитальным для приспособления их в качестве синхронных (3395,157).</w:t>
      </w:r>
    </w:p>
    <w:p w14:paraId="20124D0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2167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C 28 июня 1940 начались гос. испытания И-180-3 и летал А.Г.Прошаков пока 5 июля 1940 не произошла авария, когда выполнялся комплекс пилотажа и на вертикальной фигуре машина сорвалась в штопор. А.Г.П. пытался выйти, но вошел в перевернутый. выбросился и приземлился (172,67).</w:t>
      </w:r>
    </w:p>
    <w:p w14:paraId="118F33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этого в ходе заводских за 4 месяца Е.Г.Уляхиным было выполнено 46 полетов. Показатели были не очень-то - 585 км/ч и набор высоты 5000 за 5 минут (1204,130).</w:t>
      </w:r>
    </w:p>
    <w:p w14:paraId="3DA6E3B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7B14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в ходе гос. испытаний ПС-84 в военных вариантах - транспортном, десантном и санитарном, которые проходили в НИИ ВВС с 11 мая по 29 июня 1940 на машине, которая была переоборудована из санитарной в транспортную, был выполнен полет в Рыбинск и обратно (2:20) (2923).</w:t>
      </w:r>
    </w:p>
    <w:p w14:paraId="7AC14E9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4F023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года начальник инспекции при наркоме Фокин писал письмо N 2436 Шахурину в сопровождение Докладной записки по вопросу организации серийного производства самолетов с турбокомпрессорами.</w:t>
      </w:r>
    </w:p>
    <w:p w14:paraId="6B9019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Докладная записка</w:t>
      </w:r>
    </w:p>
    <w:p w14:paraId="1223E9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организации серийного производства самолетов с турбокомпрессорами</w:t>
      </w:r>
    </w:p>
    <w:p w14:paraId="06BA5A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правительства от 26 июля 1939 г. за N 215сс НКАП обязывался выпускать с 1.I.40 г. самолеты И-153 и И-16 с моторами М-62 и М-63, оборудованными ТК; самолеты СБ выпускать оборудованными ТК-2 с 1.III.40 г.</w:t>
      </w:r>
    </w:p>
    <w:p w14:paraId="3633D8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установленные сроки постановление правительства не выполнено, заводы самолеты И-16, И-153 и СБ оборудованные ТК не выпускают.</w:t>
      </w:r>
    </w:p>
    <w:p w14:paraId="7DF2B8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N 1 заканчиваются производством и проходят сдаточные испытания 20 самолетов И-153, оборудованные ТК. По заводу N 21 работы по организации серийного производства И-16 с М-62 ТК не производились. Самолет И-16 с М-63 вообще не был оборудован ТК и не испытан.</w:t>
      </w:r>
    </w:p>
    <w:p w14:paraId="63A805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самолету СБ с ТК-2 в части организации серийного производства заводом N 22 также ничего не сделано. В настоящее время ведутся испытания самолетов СБ, оборудованных ТК-2Б.</w:t>
      </w:r>
    </w:p>
    <w:p w14:paraId="3FD7DF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Такое положение создалось в результате безразличного отношения к организации серийного производства самолетов с ТК со стороны руководства 1 Гл. управления - в частности гл. инженера Тер-Маркаряна. Решение всех вопросов по ТК, доводок и увязок на самолетах, 1 Гл. управлением было передано Техническому совету.</w:t>
      </w:r>
    </w:p>
    <w:p w14:paraId="57A443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Письмом от 8.V-с.г. за Вашей подписью в КО с проектом постановления Комитета Обороны испрашивались новые сроки на оборудование турбокомпрессорами небольших серий машин И-16, И-153 и СБ.</w:t>
      </w:r>
    </w:p>
    <w:p w14:paraId="53BA8D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по линии 1 Гл. управления для реализации этого задания ничего не сделано: до заводов программы по производству самолетов с ТК и сроки не доведены; заводы поэтому никакой подготовительной работы не проводят.</w:t>
      </w:r>
    </w:p>
    <w:p w14:paraId="36C8B6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создавшимся положением по организации производства самолетов И-16, И-153 и СБ с ТК, необходимо провести следующие мероприятия:</w:t>
      </w:r>
    </w:p>
    <w:p w14:paraId="4D0E0A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Вашим заместителям Воронину и Баландину, совместно с председателем Техсовета Голяевым и гл. конструкторами разрешить все вопросы по организации серийных производств и технических требований по оборудованию самолетов ТК.</w:t>
      </w:r>
    </w:p>
    <w:p w14:paraId="2EB459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И.о. начальника 1 Гл. управления Чаусскому немедленно довести до заводов указанную программу производства самолетов с ТК и сроки их сдачи.</w:t>
      </w:r>
    </w:p>
    <w:p w14:paraId="57D602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Заводам составить графики подготовки и выпуска самолетов.</w:t>
      </w:r>
    </w:p>
    <w:p w14:paraId="483867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И.о. начальника 1 Гл. управления Чаусскому взять под особое наблюдение выпуск указанных самолетов, возложить персонально ответственность по 1 Гл. управлению на Белиловского (2602,138).</w:t>
      </w:r>
    </w:p>
    <w:p w14:paraId="36F5A7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6-го главного управления Куликов И.В. писал Шахурину:</w:t>
      </w:r>
    </w:p>
    <w:p w14:paraId="09261E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о перспективах развития и специализации заводов 6-го главного управления по изготовлению запчастей к самолетам и ремонту авиамоторов.</w:t>
      </w:r>
    </w:p>
    <w:p w14:paraId="16673D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организацией 6-го главного управления, прошу Вас утвердить следующее:</w:t>
      </w:r>
    </w:p>
    <w:p w14:paraId="11A6E4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Изготовление запчастей к самолетам производить в комплектном наборе для каждого самолета, дающем возможность производить замену или ремонт в полевых условиях и мастерских ГУАС.</w:t>
      </w:r>
    </w:p>
    <w:p w14:paraId="4A8B5C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Прекратить с 1.I.1941 года ремонт самолетов на заводах NN 35, 43, 45 и перевести эти заводы полностью на изготовление запасных частей к самолетам, сохранив на них цеха по ремонту моторов.</w:t>
      </w:r>
    </w:p>
    <w:p w14:paraId="5F6294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Реконструировать заводы ДВК NN 99, 116, 83 на изготовление запчастей к самолетам, включая баки и шасси и оставить ремонт самолетов в небольшом объеме (20-30%) на 1941 год.</w:t>
      </w:r>
    </w:p>
    <w:p w14:paraId="63E043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Ремонтные цеха по авиамоторам сохранить полностью.</w:t>
      </w:r>
    </w:p>
    <w:p w14:paraId="2D8038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Реконструировать заводы NN 163, 164, 165 и 169 на изготовление запчастей к самолетам.</w:t>
      </w:r>
    </w:p>
    <w:p w14:paraId="2B13C3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специализации заводов по изготовлению баков и шасси для заводов Европейской части СССР, считаю необходимым:</w:t>
      </w:r>
    </w:p>
    <w:p w14:paraId="30332C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специализировать производство баков для всех типов самолетов на заводе N 169, для чего организовать специальный баковый цех с установкой мастерской по протектированию баков;</w:t>
      </w:r>
    </w:p>
    <w:p w14:paraId="364D68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заводе N 165 организовать цех для производства шасси ко всем типам самолетов.</w:t>
      </w:r>
    </w:p>
    <w:p w14:paraId="52B138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Сообщая об изложенном, прошу Вас утвердить дислокацию и мощность заводов по изготовлению запчастей и ремонту моторов по состоянию на 1.I.1942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1"/>
        <w:gridCol w:w="821"/>
        <w:gridCol w:w="821"/>
        <w:gridCol w:w="821"/>
        <w:gridCol w:w="821"/>
        <w:gridCol w:w="821"/>
        <w:gridCol w:w="821"/>
        <w:gridCol w:w="821"/>
        <w:gridCol w:w="821"/>
        <w:gridCol w:w="821"/>
        <w:gridCol w:w="821"/>
        <w:gridCol w:w="821"/>
      </w:tblGrid>
      <w:tr w:rsidR="007D5DF8" w:rsidRPr="00DB5D0D" w14:paraId="5ADD9D1E" w14:textId="77777777" w:rsidTr="009223E5">
        <w:tc>
          <w:tcPr>
            <w:tcW w:w="821" w:type="dxa"/>
            <w:tcBorders>
              <w:top w:val="single" w:sz="12" w:space="0" w:color="auto"/>
            </w:tcBorders>
          </w:tcPr>
          <w:p w14:paraId="73CAA4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машин</w:t>
            </w:r>
          </w:p>
        </w:tc>
        <w:tc>
          <w:tcPr>
            <w:tcW w:w="821" w:type="dxa"/>
            <w:tcBorders>
              <w:top w:val="single" w:sz="12" w:space="0" w:color="auto"/>
            </w:tcBorders>
          </w:tcPr>
          <w:p w14:paraId="4005DB5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top w:val="single" w:sz="12" w:space="0" w:color="auto"/>
            </w:tcBorders>
          </w:tcPr>
          <w:p w14:paraId="3BBBD8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NN заводов</w:t>
            </w:r>
          </w:p>
        </w:tc>
        <w:tc>
          <w:tcPr>
            <w:tcW w:w="821" w:type="dxa"/>
            <w:tcBorders>
              <w:top w:val="single" w:sz="12" w:space="0" w:color="auto"/>
            </w:tcBorders>
          </w:tcPr>
          <w:p w14:paraId="30695AF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top w:val="single" w:sz="12" w:space="0" w:color="auto"/>
            </w:tcBorders>
          </w:tcPr>
          <w:p w14:paraId="54D4232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top w:val="single" w:sz="12" w:space="0" w:color="auto"/>
            </w:tcBorders>
          </w:tcPr>
          <w:p w14:paraId="695666F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top w:val="single" w:sz="12" w:space="0" w:color="auto"/>
            </w:tcBorders>
          </w:tcPr>
          <w:p w14:paraId="32B7ED1D"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top w:val="single" w:sz="12" w:space="0" w:color="auto"/>
            </w:tcBorders>
          </w:tcPr>
          <w:p w14:paraId="551048E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top w:val="single" w:sz="12" w:space="0" w:color="auto"/>
            </w:tcBorders>
          </w:tcPr>
          <w:p w14:paraId="6CC997D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top w:val="single" w:sz="12" w:space="0" w:color="auto"/>
            </w:tcBorders>
          </w:tcPr>
          <w:p w14:paraId="0CD1F4D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top w:val="single" w:sz="12" w:space="0" w:color="auto"/>
            </w:tcBorders>
          </w:tcPr>
          <w:p w14:paraId="6DAB5DC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top w:val="single" w:sz="12" w:space="0" w:color="auto"/>
            </w:tcBorders>
          </w:tcPr>
          <w:p w14:paraId="6239B4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r>
      <w:tr w:rsidR="007D5DF8" w:rsidRPr="00DB5D0D" w14:paraId="33F78ADA" w14:textId="77777777" w:rsidTr="009223E5">
        <w:tc>
          <w:tcPr>
            <w:tcW w:w="821" w:type="dxa"/>
          </w:tcPr>
          <w:p w14:paraId="02E15F4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1B10859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63E22C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821" w:type="dxa"/>
          </w:tcPr>
          <w:p w14:paraId="76E08C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821" w:type="dxa"/>
          </w:tcPr>
          <w:p w14:paraId="1F7EDA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w:t>
            </w:r>
          </w:p>
        </w:tc>
        <w:tc>
          <w:tcPr>
            <w:tcW w:w="821" w:type="dxa"/>
          </w:tcPr>
          <w:p w14:paraId="608299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w:t>
            </w:r>
          </w:p>
        </w:tc>
        <w:tc>
          <w:tcPr>
            <w:tcW w:w="821" w:type="dxa"/>
          </w:tcPr>
          <w:p w14:paraId="0D4A6C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w:t>
            </w:r>
          </w:p>
        </w:tc>
        <w:tc>
          <w:tcPr>
            <w:tcW w:w="821" w:type="dxa"/>
          </w:tcPr>
          <w:p w14:paraId="7B39EA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w:t>
            </w:r>
          </w:p>
        </w:tc>
        <w:tc>
          <w:tcPr>
            <w:tcW w:w="821" w:type="dxa"/>
          </w:tcPr>
          <w:p w14:paraId="77EAA1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164</w:t>
            </w:r>
          </w:p>
        </w:tc>
        <w:tc>
          <w:tcPr>
            <w:tcW w:w="821" w:type="dxa"/>
          </w:tcPr>
          <w:p w14:paraId="7F4031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w:t>
            </w:r>
          </w:p>
        </w:tc>
        <w:tc>
          <w:tcPr>
            <w:tcW w:w="821" w:type="dxa"/>
          </w:tcPr>
          <w:p w14:paraId="5CACB1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169</w:t>
            </w:r>
          </w:p>
        </w:tc>
        <w:tc>
          <w:tcPr>
            <w:tcW w:w="821" w:type="dxa"/>
          </w:tcPr>
          <w:p w14:paraId="6819770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5223EF6B" w14:textId="77777777" w:rsidTr="009223E5">
        <w:tc>
          <w:tcPr>
            <w:tcW w:w="821" w:type="dxa"/>
          </w:tcPr>
          <w:p w14:paraId="3A96A2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w:t>
            </w:r>
          </w:p>
        </w:tc>
        <w:tc>
          <w:tcPr>
            <w:tcW w:w="821" w:type="dxa"/>
          </w:tcPr>
          <w:p w14:paraId="3FD51E7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6DFF0B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6C5BD9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821" w:type="dxa"/>
          </w:tcPr>
          <w:p w14:paraId="1AAFC5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6445B4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6123D1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c>
          <w:tcPr>
            <w:tcW w:w="821" w:type="dxa"/>
          </w:tcPr>
          <w:p w14:paraId="362C1D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557529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Запчасти</w:t>
            </w:r>
          </w:p>
        </w:tc>
        <w:tc>
          <w:tcPr>
            <w:tcW w:w="821" w:type="dxa"/>
          </w:tcPr>
          <w:p w14:paraId="0AC0E1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24A629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w:t>
            </w:r>
          </w:p>
        </w:tc>
        <w:tc>
          <w:tcPr>
            <w:tcW w:w="821" w:type="dxa"/>
          </w:tcPr>
          <w:p w14:paraId="158CB5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r>
      <w:tr w:rsidR="007D5DF8" w:rsidRPr="00DB5D0D" w14:paraId="6FEC9197" w14:textId="77777777" w:rsidTr="009223E5">
        <w:tc>
          <w:tcPr>
            <w:tcW w:w="821" w:type="dxa"/>
          </w:tcPr>
          <w:p w14:paraId="47A4AF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w:t>
            </w:r>
          </w:p>
        </w:tc>
        <w:tc>
          <w:tcPr>
            <w:tcW w:w="821" w:type="dxa"/>
          </w:tcPr>
          <w:p w14:paraId="13F5E32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5B177F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821" w:type="dxa"/>
          </w:tcPr>
          <w:p w14:paraId="2F83E7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726594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3E08ED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821" w:type="dxa"/>
          </w:tcPr>
          <w:p w14:paraId="779E9A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821" w:type="dxa"/>
          </w:tcPr>
          <w:p w14:paraId="1AA5F5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6BBD9F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с-там</w:t>
            </w:r>
          </w:p>
        </w:tc>
        <w:tc>
          <w:tcPr>
            <w:tcW w:w="821" w:type="dxa"/>
          </w:tcPr>
          <w:p w14:paraId="64AF98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3F8046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Лавочкина</w:t>
            </w:r>
          </w:p>
        </w:tc>
        <w:tc>
          <w:tcPr>
            <w:tcW w:w="821" w:type="dxa"/>
          </w:tcPr>
          <w:p w14:paraId="3723B5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r>
      <w:tr w:rsidR="007D5DF8" w:rsidRPr="00DB5D0D" w14:paraId="2EE92669" w14:textId="77777777" w:rsidTr="009223E5">
        <w:tc>
          <w:tcPr>
            <w:tcW w:w="821" w:type="dxa"/>
          </w:tcPr>
          <w:p w14:paraId="619A43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w:t>
            </w:r>
          </w:p>
        </w:tc>
        <w:tc>
          <w:tcPr>
            <w:tcW w:w="821" w:type="dxa"/>
          </w:tcPr>
          <w:p w14:paraId="760ADA2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195F1B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70B76C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47C026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318FA5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6ECFE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37FD6C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1036B5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Р-5, Р-ЗЕТ</w:t>
            </w:r>
          </w:p>
        </w:tc>
        <w:tc>
          <w:tcPr>
            <w:tcW w:w="821" w:type="dxa"/>
          </w:tcPr>
          <w:p w14:paraId="1DEBFF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821" w:type="dxa"/>
          </w:tcPr>
          <w:p w14:paraId="01A3B9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Горбунова</w:t>
            </w:r>
          </w:p>
        </w:tc>
        <w:tc>
          <w:tcPr>
            <w:tcW w:w="821" w:type="dxa"/>
          </w:tcPr>
          <w:p w14:paraId="011572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r>
      <w:tr w:rsidR="007D5DF8" w:rsidRPr="00DB5D0D" w14:paraId="4E9088BE" w14:textId="77777777" w:rsidTr="009223E5">
        <w:tc>
          <w:tcPr>
            <w:tcW w:w="821" w:type="dxa"/>
          </w:tcPr>
          <w:p w14:paraId="417348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w:t>
            </w:r>
          </w:p>
        </w:tc>
        <w:tc>
          <w:tcPr>
            <w:tcW w:w="821" w:type="dxa"/>
          </w:tcPr>
          <w:p w14:paraId="7EB4D47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7A4872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821" w:type="dxa"/>
          </w:tcPr>
          <w:p w14:paraId="485821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77F872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821" w:type="dxa"/>
          </w:tcPr>
          <w:p w14:paraId="115E80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821" w:type="dxa"/>
          </w:tcPr>
          <w:p w14:paraId="7173F5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089D40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821" w:type="dxa"/>
          </w:tcPr>
          <w:p w14:paraId="13CA1A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др. и</w:t>
            </w:r>
          </w:p>
        </w:tc>
        <w:tc>
          <w:tcPr>
            <w:tcW w:w="821" w:type="dxa"/>
          </w:tcPr>
          <w:p w14:paraId="4B6C8F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1ECE87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 с-тов</w:t>
            </w:r>
          </w:p>
        </w:tc>
        <w:tc>
          <w:tcPr>
            <w:tcW w:w="821" w:type="dxa"/>
          </w:tcPr>
          <w:p w14:paraId="742871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r>
      <w:tr w:rsidR="007D5DF8" w:rsidRPr="00DB5D0D" w14:paraId="6AADECF9" w14:textId="77777777" w:rsidTr="009223E5">
        <w:tc>
          <w:tcPr>
            <w:tcW w:w="821" w:type="dxa"/>
          </w:tcPr>
          <w:p w14:paraId="19DACA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w:t>
            </w:r>
          </w:p>
        </w:tc>
        <w:tc>
          <w:tcPr>
            <w:tcW w:w="821" w:type="dxa"/>
          </w:tcPr>
          <w:p w14:paraId="7989E79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3A85CF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3A6673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821" w:type="dxa"/>
          </w:tcPr>
          <w:p w14:paraId="076447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821" w:type="dxa"/>
          </w:tcPr>
          <w:p w14:paraId="2D0EFA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32A947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232A58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2A8723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авиалыжи.</w:t>
            </w:r>
          </w:p>
        </w:tc>
        <w:tc>
          <w:tcPr>
            <w:tcW w:w="821" w:type="dxa"/>
          </w:tcPr>
          <w:p w14:paraId="1D597B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0CEC50A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60DF1E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w:t>
            </w:r>
          </w:p>
        </w:tc>
      </w:tr>
      <w:tr w:rsidR="007D5DF8" w:rsidRPr="00DB5D0D" w14:paraId="366727A5" w14:textId="77777777" w:rsidTr="009223E5">
        <w:tc>
          <w:tcPr>
            <w:tcW w:w="821" w:type="dxa"/>
          </w:tcPr>
          <w:p w14:paraId="2D68FD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"Чайка"</w:t>
            </w:r>
          </w:p>
        </w:tc>
        <w:tc>
          <w:tcPr>
            <w:tcW w:w="821" w:type="dxa"/>
          </w:tcPr>
          <w:p w14:paraId="2FCD1B7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6AA2E0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059999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70A404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821" w:type="dxa"/>
          </w:tcPr>
          <w:p w14:paraId="5F4978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821" w:type="dxa"/>
          </w:tcPr>
          <w:p w14:paraId="20A275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137E51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701107B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58628A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821" w:type="dxa"/>
          </w:tcPr>
          <w:p w14:paraId="576CA8A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7E8E5B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r>
      <w:tr w:rsidR="007D5DF8" w:rsidRPr="00DB5D0D" w14:paraId="27079C54" w14:textId="77777777" w:rsidTr="009223E5">
        <w:tc>
          <w:tcPr>
            <w:tcW w:w="821" w:type="dxa"/>
          </w:tcPr>
          <w:p w14:paraId="2E68B0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М-25-63</w:t>
            </w:r>
          </w:p>
        </w:tc>
        <w:tc>
          <w:tcPr>
            <w:tcW w:w="821" w:type="dxa"/>
          </w:tcPr>
          <w:p w14:paraId="013E296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48C7C1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821" w:type="dxa"/>
          </w:tcPr>
          <w:p w14:paraId="32486E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w:t>
            </w:r>
          </w:p>
        </w:tc>
        <w:tc>
          <w:tcPr>
            <w:tcW w:w="821" w:type="dxa"/>
          </w:tcPr>
          <w:p w14:paraId="1FB75D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821" w:type="dxa"/>
          </w:tcPr>
          <w:p w14:paraId="58988C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821" w:type="dxa"/>
          </w:tcPr>
          <w:p w14:paraId="6F53D5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7E226F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0A2612F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71B224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5A381111"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33F3B2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1950</w:t>
            </w:r>
          </w:p>
        </w:tc>
      </w:tr>
      <w:tr w:rsidR="007D5DF8" w:rsidRPr="00DB5D0D" w14:paraId="603A6C5B" w14:textId="77777777" w:rsidTr="009223E5">
        <w:tc>
          <w:tcPr>
            <w:tcW w:w="821" w:type="dxa"/>
          </w:tcPr>
          <w:p w14:paraId="6A0501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М-85-87</w:t>
            </w:r>
          </w:p>
        </w:tc>
        <w:tc>
          <w:tcPr>
            <w:tcW w:w="821" w:type="dxa"/>
          </w:tcPr>
          <w:p w14:paraId="5D188F0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1233EA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821" w:type="dxa"/>
          </w:tcPr>
          <w:p w14:paraId="6CB6B8C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821" w:type="dxa"/>
          </w:tcPr>
          <w:p w14:paraId="38DBE3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66C278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4DA1E5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821" w:type="dxa"/>
          </w:tcPr>
          <w:p w14:paraId="56F62D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3D34563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1BDD1A4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Pr>
          <w:p w14:paraId="0C4617D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Pr>
          <w:p w14:paraId="780E86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r>
      <w:tr w:rsidR="007D5DF8" w:rsidRPr="00DB5D0D" w14:paraId="3609E9AA" w14:textId="77777777" w:rsidTr="009223E5">
        <w:tc>
          <w:tcPr>
            <w:tcW w:w="821" w:type="dxa"/>
            <w:tcBorders>
              <w:bottom w:val="single" w:sz="12" w:space="0" w:color="auto"/>
            </w:tcBorders>
          </w:tcPr>
          <w:p w14:paraId="3C5BB6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М-100-105</w:t>
            </w:r>
          </w:p>
        </w:tc>
        <w:tc>
          <w:tcPr>
            <w:tcW w:w="821" w:type="dxa"/>
            <w:tcBorders>
              <w:bottom w:val="single" w:sz="12" w:space="0" w:color="auto"/>
            </w:tcBorders>
          </w:tcPr>
          <w:p w14:paraId="2580A4D9"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5340F2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821" w:type="dxa"/>
            <w:tcBorders>
              <w:bottom w:val="single" w:sz="12" w:space="0" w:color="auto"/>
            </w:tcBorders>
          </w:tcPr>
          <w:p w14:paraId="7DA4C2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Borders>
              <w:bottom w:val="single" w:sz="12" w:space="0" w:color="auto"/>
            </w:tcBorders>
          </w:tcPr>
          <w:p w14:paraId="34C33E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821" w:type="dxa"/>
            <w:tcBorders>
              <w:bottom w:val="single" w:sz="12" w:space="0" w:color="auto"/>
            </w:tcBorders>
          </w:tcPr>
          <w:p w14:paraId="4133B8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821" w:type="dxa"/>
            <w:tcBorders>
              <w:bottom w:val="single" w:sz="12" w:space="0" w:color="auto"/>
            </w:tcBorders>
          </w:tcPr>
          <w:p w14:paraId="783ED2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821" w:type="dxa"/>
            <w:tcBorders>
              <w:bottom w:val="single" w:sz="12" w:space="0" w:color="auto"/>
            </w:tcBorders>
          </w:tcPr>
          <w:p w14:paraId="1D14D2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Borders>
              <w:bottom w:val="single" w:sz="12" w:space="0" w:color="auto"/>
            </w:tcBorders>
          </w:tcPr>
          <w:p w14:paraId="42D54B0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0BAB86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21" w:type="dxa"/>
            <w:tcBorders>
              <w:bottom w:val="single" w:sz="12" w:space="0" w:color="auto"/>
            </w:tcBorders>
          </w:tcPr>
          <w:p w14:paraId="4E6363C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1" w:type="dxa"/>
            <w:tcBorders>
              <w:bottom w:val="single" w:sz="12" w:space="0" w:color="auto"/>
            </w:tcBorders>
          </w:tcPr>
          <w:p w14:paraId="55F86A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2200 (2795,46)</w:t>
            </w:r>
          </w:p>
        </w:tc>
      </w:tr>
    </w:tbl>
    <w:p w14:paraId="3555F04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CEFC5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г. мотор М-81 на заводе №19 успешно прошел 100-часовые стендовые госиспытания. Нарком авиапромышленности А.И. Шахурин в письме Ворошилову и Молотову ука</w:t>
      </w:r>
      <w:r w:rsidRPr="00DB5D0D">
        <w:rPr>
          <w:rFonts w:ascii="Times New Roman" w:hAnsi="Times New Roman"/>
          <w:color w:val="000000" w:themeColor="text1"/>
          <w:sz w:val="16"/>
          <w:szCs w:val="16"/>
        </w:rPr>
        <w:softHyphen/>
        <w:t>зывал: «Мотор М-81 предназначен для установки на самолеты: «Ш» (штур</w:t>
      </w:r>
      <w:r w:rsidRPr="00DB5D0D">
        <w:rPr>
          <w:rFonts w:ascii="Times New Roman" w:hAnsi="Times New Roman"/>
          <w:color w:val="000000" w:themeColor="text1"/>
          <w:sz w:val="16"/>
          <w:szCs w:val="16"/>
        </w:rPr>
        <w:softHyphen/>
        <w:t>мовик конструктора Кочеригина) и ББ-1 (ближний бомбардировщик кон</w:t>
      </w:r>
      <w:r w:rsidRPr="00DB5D0D">
        <w:rPr>
          <w:rFonts w:ascii="Times New Roman" w:hAnsi="Times New Roman"/>
          <w:color w:val="000000" w:themeColor="text1"/>
          <w:sz w:val="16"/>
          <w:szCs w:val="16"/>
        </w:rPr>
        <w:softHyphen/>
        <w:t>структора Сухого), И-185 (истребитель конструктора Поликарпова)» (10686).</w:t>
      </w:r>
    </w:p>
    <w:p w14:paraId="557CC82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16D8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вышел приказ НКАП N 315сс, поручивший Нач. 5 ГУ Балакиреву и дир. завода 213 Михайлову в соответствии с постановлением Правительства N 285сс от 27 июня 1940 немедленно приступить к изготовлению автоматического прибора для вывода самолета из пикирования по образцу, установленному на Ю-88. Хотели для СБ. Потом попало на 100 (1293,246).</w:t>
      </w:r>
    </w:p>
    <w:p w14:paraId="1A6C70A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D2A74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вышел приказ НКВ N 180сс во исполнение постановления Правительства N 275сс от 23 июня 1940 об изготовлении на заводах 217, 355 и 349 и сдачу заводам 39 и 22 авиаприцелов для машин СТО, на заводе 66 - ШКАС и на заводе 2 - ШВАК (1293).</w:t>
      </w:r>
    </w:p>
    <w:p w14:paraId="70B24E0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68CE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А.И.Ш. ответил на письмо маршала С.К.Тимошенко N 16638с от 11 июня письмо N 2835 о том, что работы по устранению недостатков моторов М-88 ведутся (1188).</w:t>
      </w:r>
    </w:p>
    <w:p w14:paraId="66C6912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BBC6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вышел приказ НКАП и НКОМ № 157сс/320сс о передаче в систему НКАП з-да им. Компартии Германии (1320, 21).</w:t>
      </w:r>
    </w:p>
    <w:p w14:paraId="40BA4EC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6DDA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28 июня 1940 г. приказом НКОМ/НКАП № 157сс/320сс в соответствии с пост. СНК № 1080-425сс от 22.06.1940 г. площадка завода возле ст. Товарная-Бутырская под названием «Завод им. КПГ» со всеми корпусами (кроме литейного цеха, который передан соседнему заводу «Арматура» НКОМ) передана в систему НКАЛ. Оборудование по производству взрывателей и авиабомб оставлено за НКОМ. По приказу № 383с от 30.07.1940 г. завод был включен с 20.07.1940 г. в систему 2ГУ НКАП на правах филиала завода № 32 НКАП. Начальник филиала- Самсонов. Начались работы по организации производства агрегатов вооружения.</w:t>
      </w:r>
    </w:p>
    <w:p w14:paraId="7F624E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1940 г. на завод переведена с завода № 32 бригада КБ-3 гл. конструктора И.П. Шебанова и образовано КБ при заводе под его руководством (ОКБ-487).</w:t>
      </w:r>
    </w:p>
    <w:p w14:paraId="79707D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269с от 25.03.1941 г. филиал завода № 32 был с 1.04.1941 г. преобразован в самостоятельный ГС завод № 487 им. КП Г.</w:t>
      </w:r>
    </w:p>
    <w:p w14:paraId="6B9B4F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ГКО № 213сс от 20.07.1941 г. и приказом № 1057сс от 10.10.1941 г. завод планировалось эвакуировать на площадку завода № 455 НКАП. Затем по приказу № 1109сс от 11.11.1941 г. часть завода № 487 (около 30 %) эвакуирована в Куйбышев и (70 %) в Сызрань. В Сызрани завод был влит в состав эвакуированного туда же завода № 481 НКАП, а в Куйбышеве- в состав завода № 454 НКАП. Завод № 487 выбыл из числа действующих.</w:t>
      </w:r>
    </w:p>
    <w:p w14:paraId="404B84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площадке эвакуированного завода № 487 в начале 1942 г. образован Московский филиал завода № 481 НКАП, далее вновь преобразованный в самостоятельный завод № 487 НКАП.</w:t>
      </w:r>
    </w:p>
    <w:p w14:paraId="2C334D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(04.1941 г.-&gt; Самсонов, (06.1941 г.-)- Степанов, (08.1941 г.)- М.П. Озимков (с 01.1942 г.- начальник Реммастерских на месте завода № 207).</w:t>
      </w:r>
    </w:p>
    <w:p w14:paraId="472A25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(1941 г.)- И.П. Шебанов.</w:t>
      </w:r>
    </w:p>
    <w:p w14:paraId="36E3AF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Производство:</w:t>
      </w:r>
      <w:r w:rsidRPr="00DB5D0D">
        <w:rPr>
          <w:rFonts w:ascii="Times New Roman" w:hAnsi="Times New Roman"/>
          <w:color w:val="000000" w:themeColor="text1"/>
          <w:sz w:val="16"/>
          <w:szCs w:val="16"/>
        </w:rPr>
        <w:t xml:space="preserve"> (1940-41 г.) стрелковые башни М-42, установки ШВАК для ТБ-7, бомбовые кассеты КМБ-2, лафеты пушек для Су-2 и Ил-2, балки РО-132 (2РУ-322), РО-82 (2РУ-223), электроспуски М-10, аварийные бомбосбрасыватели для Су-2.</w:t>
      </w:r>
    </w:p>
    <w:p w14:paraId="57C875B6"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 завода № 487 НКАП, ОКБ-487 НКАП гл. конструктора И.П. Шебанова</w:t>
      </w:r>
    </w:p>
    <w:p w14:paraId="40589A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280сс от 10.06.1940 г. на заводе им. КПГ был образован Опытный отдел по проектированию и изготовлению опытных образцов установок стрелкового вооружения. Сюда в. полном составе переведена с завода № 32 бригада КБ-3 гл. конструктора И.П. Шебанова, а также часть оборудования с завода № 32, и образовано КБ при заводе под его руководством (ОКБ-487). Начальник опытного цеха- А.А. Ляпин, его зам.- К.А. Бацын.</w:t>
      </w:r>
    </w:p>
    <w:p w14:paraId="221B34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установкам вооружения: установка ШКАС для Пе-2 и «103».</w:t>
      </w:r>
    </w:p>
    <w:p w14:paraId="08BCC0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32/35 от 13.10.1941 г. ОКБ-487 7ГУ гл. конструктора И.П. Шебанова вместе с частью завода эвакуировано на территорию завода № 454 НКАП в Куйбышев и продолжило работу под названием ОКБ-454 (11982).</w:t>
      </w:r>
    </w:p>
    <w:p w14:paraId="4C29F5BB"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00C4E3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Нач. 6 ГУ НКАП И.В.Куликов писал А.И.Ш. записку по вопросу: о перспективах развития и специализации заводов 6 ГУ по изготовлению запчастей к самолетам и ремонту авиамоторов в связи с организаций 6 ГУ. Заводы:</w:t>
      </w:r>
    </w:p>
    <w:p w14:paraId="1C62D8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43, 45 - изготовление запчастей</w:t>
      </w:r>
    </w:p>
    <w:p w14:paraId="1715C1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 116, 83 - изготовление запчастей</w:t>
      </w:r>
    </w:p>
    <w:p w14:paraId="38BEE3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 164, 165, 169 - изготовление запчастей (2795,46).</w:t>
      </w:r>
    </w:p>
    <w:p w14:paraId="0E1A5D4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47866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года начальник ОКБ-15 Шпитальный писал письмо № 698с в КО Лешукову</w:t>
      </w:r>
    </w:p>
    <w:p w14:paraId="3A0D68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указаний Стрекопытова, ОКБ-15 посылает Вам просимый материал.</w:t>
      </w:r>
    </w:p>
    <w:p w14:paraId="2F7B14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на 1 листе, машинописный № 1147 (3375,34).</w:t>
      </w:r>
    </w:p>
    <w:p w14:paraId="1FD45F1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513BC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46EA77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41A80B3"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28 июня 1940:</w:t>
      </w:r>
    </w:p>
    <w:p w14:paraId="37C84D63"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Из оперативной сводки по СТЗ от 28.06.1940 г. </w:t>
      </w:r>
    </w:p>
    <w:p w14:paraId="1A4D9A45"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На завод № 183 с СТЗ отправлено багажом 10 комплектов траков Т-34. Задержка их изготовления объясняется отсутствием металлических моделей. Формовка производилась вручную по деревянным моделям. Металлические модели будут готовы к 05.07.1940 г. По освоении моделей отправка траков будет производиться повагонно. </w:t>
      </w:r>
    </w:p>
    <w:p w14:paraId="2E241199"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Военный представитель АБТУ РККА на СТЗ</w:t>
      </w:r>
    </w:p>
    <w:p w14:paraId="38C3EDD4"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военинженер 2-го ранга Левин (11450).</w:t>
      </w:r>
    </w:p>
    <w:p w14:paraId="4F87B049"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2382CB4B"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1941 года</w:t>
      </w:r>
    </w:p>
    <w:p w14:paraId="6BBDCFDD"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8156 лл 28/VI-41 г. </w:t>
      </w:r>
    </w:p>
    <w:p w14:paraId="6BDC4665"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Секретно.</w:t>
      </w:r>
    </w:p>
    <w:p w14:paraId="7C858D4B"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w:t>
      </w:r>
    </w:p>
    <w:p w14:paraId="2A8A7926"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НАРОДНОМУ КОМИССАРИАТУ СРЕДНЕГО МАШИНОСТРОЕНИЯ СОЮЗА ССР</w:t>
      </w:r>
    </w:p>
    <w:p w14:paraId="1D5666DF"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w:t>
      </w:r>
    </w:p>
    <w:p w14:paraId="16B5381B"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КОМИССАРИАТУ ТЯЖЕЛОГО МАШИНОСТРОЕНИЯ СССР</w:t>
      </w:r>
    </w:p>
    <w:p w14:paraId="41361509"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400/264сс </w:t>
      </w:r>
    </w:p>
    <w:p w14:paraId="52D1E112"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гор. Москва </w:t>
      </w:r>
    </w:p>
    <w:p w14:paraId="58B45178"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1941 года</w:t>
      </w:r>
    </w:p>
    <w:p w14:paraId="18A651F2"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соответствии с постановлением СНК СССР и ЦК ВКП(б) от 25 Июня 1941 года, ПРИКАЗЫВАЮ: </w:t>
      </w:r>
    </w:p>
    <w:p w14:paraId="3FA2733A"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p w14:paraId="562B4864"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Передать Кировский завод Наркомата Тяжелого Машиностроения в систему Наркомата Среднего Машиностроения СССР в декадный срок по балансовой стоимости на 1-е Июня 1941 года. </w:t>
      </w:r>
    </w:p>
    <w:p w14:paraId="558519BD"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p w14:paraId="6E3959B3"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приемки и передачи Кировского завода назначить Комиссию в составе: </w:t>
      </w:r>
    </w:p>
    <w:p w14:paraId="29331367"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 НАРКОМАТА СРЕДНЕГО МАШИНОСТРОЕНИЯ – </w:t>
      </w:r>
    </w:p>
    <w:p w14:paraId="277C1523"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КАБЕЛЕВСКИЙ – Зам. Нач. Техотдела (Председатель Комиссии). </w:t>
      </w:r>
    </w:p>
    <w:p w14:paraId="5E439476"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МАСЛОВА – Гл. Бухгалтера завода № 174 Наркомсредмаша. </w:t>
      </w:r>
    </w:p>
    <w:p w14:paraId="61A36E46"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ПЕТРОВА А.П. – ст. инженера Военного Отдела НКСМ. </w:t>
      </w:r>
    </w:p>
    <w:p w14:paraId="55CA537D"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ЗАБАЛУЕВА Б.М. – ст. экономиста Финансового отдела НКСМ. </w:t>
      </w:r>
    </w:p>
    <w:p w14:paraId="4DF1B701"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 НАРКОМАТА ТЯЖЕЛОГО МАШИНОСТРОЕНИЯ. </w:t>
      </w:r>
    </w:p>
    <w:p w14:paraId="4D067DF9"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ЛИХАЧЕВА В.К. ст. инженер-экономист НКТМ. </w:t>
      </w:r>
    </w:p>
    <w:p w14:paraId="0D1BA6C8"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ПЕТРОВА В.А. ст. инженера Военного Отдела НКТМ. </w:t>
      </w:r>
    </w:p>
    <w:p w14:paraId="78D9FAA7"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КОЗЛОВ Л.В. ст. инспектора Бухгалтерии НКТМ. </w:t>
      </w:r>
    </w:p>
    <w:p w14:paraId="5D71DB1E"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p w14:paraId="73EFF0E0"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Комиссии приемку и передачу Кировского завода произвести в соответствии с постановлением СНК СССР от 15 Февраля 36 года № 254 и от 2-го Марта 38 г. № 48, а также инструкций: НКФ СССР, НКО СССР и Госарбитража при СНК СССР от 26/V-1940 г. № 349-62-58 га/10. </w:t>
      </w:r>
    </w:p>
    <w:p w14:paraId="56F8BF8E"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p w14:paraId="1FD97FEE"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Комиссии приступить к работе немедленно. Акт приемки и сдачи представить на утверждение в НКСМ и НКТМ к 20 Июля 1941 года. </w:t>
      </w:r>
    </w:p>
    <w:p w14:paraId="760DA307"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p w14:paraId="04342E05"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Перевести из системы Наркомтяжмаша в систему Наркомсредмаша следующих работников, ведущих Кировский завод: НОВАКОВСКОГО М.Л. и СИНИЦЫНА И.Е. </w:t>
      </w:r>
    </w:p>
    <w:p w14:paraId="60D62DA3"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НАРОДНОГО КОМИССАРА СРЕДНЕГО МАШИНОСТРОЕНИЯ СССР</w:t>
      </w:r>
    </w:p>
    <w:p w14:paraId="13A1AC6C"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подпись (С. АКОПОВ)</w:t>
      </w:r>
    </w:p>
    <w:p w14:paraId="3C60556B"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НАРОДНОГО КОМИССАРА ТЯЖЕЛОГО МАШИНОСТРОЕНИЯ СССР</w:t>
      </w:r>
    </w:p>
    <w:p w14:paraId="56B9CDD3"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подпись (СТЕПАНОВ)</w:t>
      </w:r>
    </w:p>
    <w:p w14:paraId="3119FD55"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Фонд 8115 Опись 8 Дело 82 лист 115 – 116 (17929).</w:t>
      </w:r>
    </w:p>
    <w:p w14:paraId="4D186C03" w14:textId="77777777" w:rsidR="004857DE" w:rsidRPr="00DB5D0D" w:rsidRDefault="004857DE" w:rsidP="00DB5D0D">
      <w:pPr>
        <w:spacing w:after="0" w:line="240" w:lineRule="auto"/>
        <w:jc w:val="both"/>
        <w:rPr>
          <w:rFonts w:ascii="Times New Roman" w:hAnsi="Times New Roman"/>
          <w:color w:val="000000" w:themeColor="text1"/>
          <w:sz w:val="16"/>
          <w:szCs w:val="16"/>
        </w:rPr>
      </w:pPr>
    </w:p>
    <w:p w14:paraId="3CF489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вышел приказ народно</w:t>
      </w:r>
      <w:r w:rsidRPr="00DB5D0D">
        <w:rPr>
          <w:rFonts w:ascii="Times New Roman" w:hAnsi="Times New Roman"/>
          <w:color w:val="000000" w:themeColor="text1"/>
          <w:sz w:val="16"/>
          <w:szCs w:val="16"/>
        </w:rPr>
        <w:softHyphen/>
        <w:t>го комиссара обороны СССР № 0030, согласно которому в июле-августе 1940 три се</w:t>
      </w:r>
      <w:r w:rsidRPr="00DB5D0D">
        <w:rPr>
          <w:rFonts w:ascii="Times New Roman" w:hAnsi="Times New Roman"/>
          <w:color w:val="000000" w:themeColor="text1"/>
          <w:sz w:val="16"/>
          <w:szCs w:val="16"/>
        </w:rPr>
        <w:softHyphen/>
        <w:t>рийных БА-11 прошли войсковые испытания. Они велись по маршруту Киев - Житомир - Бердичев - Проскуров, всего 4820 км. В выводах, доложенных Ворошилову, гово</w:t>
      </w:r>
      <w:r w:rsidRPr="00DB5D0D">
        <w:rPr>
          <w:rFonts w:ascii="Times New Roman" w:hAnsi="Times New Roman"/>
          <w:color w:val="000000" w:themeColor="text1"/>
          <w:sz w:val="16"/>
          <w:szCs w:val="16"/>
        </w:rPr>
        <w:softHyphen/>
        <w:t>рилось, что войсковые испытания БА-11 «наряду с хорошей динамикой и боевыми качествами машины выявили не</w:t>
      </w:r>
      <w:r w:rsidRPr="00DB5D0D">
        <w:rPr>
          <w:rFonts w:ascii="Times New Roman" w:hAnsi="Times New Roman"/>
          <w:color w:val="000000" w:themeColor="text1"/>
          <w:sz w:val="16"/>
          <w:szCs w:val="16"/>
        </w:rPr>
        <w:softHyphen/>
        <w:t>прочность главных деталей коробки скоростей, демультип</w:t>
      </w:r>
      <w:r w:rsidRPr="00DB5D0D">
        <w:rPr>
          <w:rFonts w:ascii="Times New Roman" w:hAnsi="Times New Roman"/>
          <w:color w:val="000000" w:themeColor="text1"/>
          <w:sz w:val="16"/>
          <w:szCs w:val="16"/>
        </w:rPr>
        <w:softHyphen/>
        <w:t>ликатора и карданного вала». Приводимые в отечественной ли</w:t>
      </w:r>
      <w:r w:rsidRPr="00DB5D0D">
        <w:rPr>
          <w:rFonts w:ascii="Times New Roman" w:hAnsi="Times New Roman"/>
          <w:color w:val="000000" w:themeColor="text1"/>
          <w:sz w:val="16"/>
          <w:szCs w:val="16"/>
        </w:rPr>
        <w:softHyphen/>
        <w:t>тературе сведения о том, что БА-11 являлся тяжелым броневиком, не соответствуют действительности. Во всех документах по про</w:t>
      </w:r>
      <w:r w:rsidRPr="00DB5D0D">
        <w:rPr>
          <w:rFonts w:ascii="Times New Roman" w:hAnsi="Times New Roman"/>
          <w:color w:val="000000" w:themeColor="text1"/>
          <w:sz w:val="16"/>
          <w:szCs w:val="16"/>
        </w:rPr>
        <w:softHyphen/>
      </w:r>
      <w:r w:rsidRPr="00DB5D0D">
        <w:rPr>
          <w:rFonts w:ascii="Times New Roman" w:hAnsi="Times New Roman"/>
          <w:color w:val="000000" w:themeColor="text1"/>
          <w:sz w:val="16"/>
          <w:szCs w:val="16"/>
        </w:rPr>
        <w:lastRenderedPageBreak/>
        <w:t>ектированию, изготовлению и испытанию этих машин они именова</w:t>
      </w:r>
      <w:r w:rsidRPr="00DB5D0D">
        <w:rPr>
          <w:rFonts w:ascii="Times New Roman" w:hAnsi="Times New Roman"/>
          <w:color w:val="000000" w:themeColor="text1"/>
          <w:sz w:val="16"/>
          <w:szCs w:val="16"/>
        </w:rPr>
        <w:softHyphen/>
        <w:t>лись средними. Причем характер боевых задач, для выполнения кото</w:t>
      </w:r>
      <w:r w:rsidRPr="00DB5D0D">
        <w:rPr>
          <w:rFonts w:ascii="Times New Roman" w:hAnsi="Times New Roman"/>
          <w:color w:val="000000" w:themeColor="text1"/>
          <w:sz w:val="16"/>
          <w:szCs w:val="16"/>
        </w:rPr>
        <w:softHyphen/>
        <w:t>рых создавался БА-11, ничем не отличался от задач для БА-3, БА-6 и БА-10. Поэтому, по мнению автора, несмотря на то что масса БА-11 на 3 тонны превышала массу БА-3, БА-6, БА-10, он являлся средним бронеавтомобилем (11284).</w:t>
      </w:r>
    </w:p>
    <w:p w14:paraId="0C4CE31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CB114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года за № 43/367 вышло поручение О.Б. ЦК ВКП(б) Записка Ленинградского горкома ВКП(б) о скоростном проектировании и новой технике. 2 октября 1940 года предложения наркоматов рассматривались на заседании СОП. Было предложено наркомам обсудить этот вопрос на коллегиях и принять решение по применению скоростных методов в проектировании в своих отраслях промышленности. До сего времени на коллегиях этот вопрос не обсуждался (7479, 112-116).</w:t>
      </w:r>
    </w:p>
    <w:p w14:paraId="307A59D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D695F4" w14:textId="77777777" w:rsidR="0059006F"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23439898" w14:textId="77777777" w:rsidR="0059006F" w:rsidRPr="00DB5D0D" w:rsidRDefault="0059006F" w:rsidP="00DB5D0D">
      <w:pPr>
        <w:spacing w:after="0" w:line="240" w:lineRule="auto"/>
        <w:jc w:val="both"/>
        <w:rPr>
          <w:rFonts w:ascii="Times New Roman" w:hAnsi="Times New Roman"/>
          <w:iCs/>
          <w:color w:val="000000" w:themeColor="text1"/>
          <w:sz w:val="16"/>
          <w:szCs w:val="16"/>
        </w:rPr>
      </w:pPr>
    </w:p>
    <w:p w14:paraId="7341C8B8"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28 июня</w:t>
      </w:r>
      <w:r w:rsidRPr="00DB5D0D">
        <w:rPr>
          <w:rFonts w:ascii="Times New Roman" w:hAnsi="Times New Roman"/>
          <w:color w:val="000000" w:themeColor="text1"/>
          <w:sz w:val="16"/>
          <w:szCs w:val="16"/>
        </w:rPr>
        <w:t xml:space="preserve"> в 1940 году нарком юстиции СССР Рычков отдает секретный приказ "Об устранении недостатков в работе судов по рассмотрению дел о контрреволюционных преступлениях". Нарком отмечает такие "недостатки" в работе судебных органов, как прекращение дел, оправдание обвиняемых, краткосрочные меры наказания (в пределах 2-х лет лишения свободы), и по существу, запрещает судам выносить по делам о контрреволюционной деятельности оправдательные приговоры (14936).</w:t>
      </w:r>
    </w:p>
    <w:p w14:paraId="3DBE4251"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4702E07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546AE4B0"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3D42681"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28 июня</w:t>
      </w:r>
      <w:r w:rsidRPr="00DB5D0D">
        <w:rPr>
          <w:rFonts w:ascii="Times New Roman" w:hAnsi="Times New Roman"/>
          <w:color w:val="000000" w:themeColor="text1"/>
          <w:sz w:val="16"/>
          <w:szCs w:val="16"/>
        </w:rPr>
        <w:t xml:space="preserve"> в 1940 году после ультиматума Советского правительста румынское руководство дает согласие на ввод частей Красной Армии в Бессарабию и Северную Буковину. Конфликт, как писали историки, был разрешен мирным путем. Во время Освободительного похода войска двигались двумя эшелонами: в первом — танковые и кавалерийские части, во втором — стрелковые дивизии. Румынские солдаты просто побросали оружие и разошлись. После было подобрано 52 704 винтовки, 4480 пистолетов, 1071 ручной и 346 станковых пулеметов, 40 минометов, 258 орудий и др. Так и представляется, как советские солдаты ходили по полям и лесам и собирали в корзины брошенное оружие, а жители сел и городов встречали их после выхода из леса с хлебом-солью. В начале июля Буковина и часть Бессарабии были включены в состав Украины, а остальная часть Бессарабии объединена с Молдавской АССР (Приднестровьем) и преобразована в Молдавскую ССР (14936).</w:t>
      </w:r>
    </w:p>
    <w:p w14:paraId="1CD5F24A"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56BCC9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пограничники НКВД захватывают мосты через Днестр, а танки и пехота Красной армии вторгаются на территорию Бессарабии. Румунешты закричали: Адольф Алоизович, беспредел! Гитлер сказал: не выпендривайтесь, благородные даки, это судьба. В смысле, пакт Молотова-Рибентропа. Румыны заткнулись, а в Бессарабию и Буковину въехала на танках новая жизнь. Верховный совет СССР принял закон об образовании Молдавской ССР и включении в состав УССР северной Буковины и трёх уездов Бессарабии на Черноморском побережье (12629).</w:t>
      </w:r>
    </w:p>
    <w:p w14:paraId="23795B67"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01B43EE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советские войска заняли Бессарабию (4962).</w:t>
      </w:r>
    </w:p>
    <w:p w14:paraId="7ADF195B"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BDCC3A7"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28th, 1940: Following an ultimatum to the Rumanian government, the Red Army occupies Bessarabia and the northern part of Bukovina (3819).</w:t>
      </w:r>
    </w:p>
    <w:p w14:paraId="3F4AB75C"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306908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советские войска вступили в Бессарабию, оккупированную Румынией в 1918. 29 июня ВДВ взяли Белград. Воздушных боев не было (438,786).</w:t>
      </w:r>
    </w:p>
    <w:p w14:paraId="486AC8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советско-румынским соглашением (1074,137).</w:t>
      </w:r>
    </w:p>
    <w:p w14:paraId="438DC0B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27BF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была проведена операция по освобождению Бессарабии (142,30). Без консультаций с немцами, хотя это направление на Плоешти (68,127). С ТБ-3 (АНТ-6) высаживали комбинированный десант (556,57).</w:t>
      </w:r>
    </w:p>
    <w:p w14:paraId="7FDACA8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79913A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692FF4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058F176"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28 июня</w:t>
      </w:r>
      <w:r w:rsidRPr="00DB5D0D">
        <w:rPr>
          <w:rFonts w:ascii="Times New Roman" w:hAnsi="Times New Roman"/>
          <w:color w:val="000000" w:themeColor="text1"/>
          <w:sz w:val="16"/>
          <w:szCs w:val="16"/>
        </w:rPr>
        <w:t xml:space="preserve"> в 1940 году совершил испытательный полет в Бетпэйдже опытный самолет пятиместной модели </w:t>
      </w:r>
      <w:hyperlink r:id="rId147" w:tgtFrame="_blank" w:history="1">
        <w:r w:rsidRPr="00DB5D0D">
          <w:rPr>
            <w:rFonts w:ascii="Times New Roman" w:hAnsi="Times New Roman"/>
            <w:color w:val="000000" w:themeColor="text1"/>
            <w:sz w:val="16"/>
            <w:szCs w:val="16"/>
          </w:rPr>
          <w:t xml:space="preserve">«Grumman» «G-44» «Widgeon», </w:t>
        </w:r>
      </w:hyperlink>
      <w:r w:rsidRPr="00DB5D0D">
        <w:rPr>
          <w:rFonts w:ascii="Times New Roman" w:hAnsi="Times New Roman"/>
          <w:color w:val="000000" w:themeColor="text1"/>
          <w:sz w:val="16"/>
          <w:szCs w:val="16"/>
        </w:rPr>
        <w:t>имевшей два двигателя «Рэйнджер» «L-440C-5» мощностью 200 л.с.. Самолет пилотируемый Роем Грумманом и Бадом Гиллесом показал отличные результаты и 10 экземпляров было продано заказчикам еще до того, как 21 февраля 1941 года был поставлен первый серийный экземпляр (14936).</w:t>
      </w:r>
    </w:p>
    <w:p w14:paraId="0F33F018"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4017D293" w14:textId="3E1C143B" w:rsidR="00066B41" w:rsidRPr="00DB5D0D" w:rsidRDefault="00066B4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28 июня 1940 итальянские зенитки сбивают Savoia-Marchetti SM.79 Sparviero ВВС Италии с маршалом ВВС, генерал-губернатором Ливии и главнокомандующим в Италии в Северной Африке Бальба на борту после того, как машина пытается приземлиться в Тобруке, Ливия, сразу после налета британских бомбардировщиков Бристоль Бленхейм. Бальбо и все остальные на борту самолета погибают 30 июня (20795).</w:t>
      </w:r>
    </w:p>
    <w:p w14:paraId="6CF624DF" w14:textId="77777777" w:rsidR="00066B41" w:rsidRPr="00DB5D0D" w:rsidRDefault="00066B41" w:rsidP="00DB5D0D">
      <w:pPr>
        <w:spacing w:after="0" w:line="240" w:lineRule="auto"/>
        <w:jc w:val="both"/>
        <w:rPr>
          <w:rFonts w:ascii="Times New Roman" w:hAnsi="Times New Roman"/>
          <w:color w:val="0070C0"/>
          <w:sz w:val="16"/>
          <w:szCs w:val="16"/>
        </w:rPr>
      </w:pPr>
    </w:p>
    <w:p w14:paraId="568E9359"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28 июня</w:t>
      </w:r>
      <w:r w:rsidRPr="00DB5D0D">
        <w:rPr>
          <w:rFonts w:ascii="Times New Roman" w:hAnsi="Times New Roman"/>
          <w:color w:val="000000" w:themeColor="text1"/>
          <w:sz w:val="16"/>
          <w:szCs w:val="16"/>
        </w:rPr>
        <w:t xml:space="preserve"> в 1940 году папа римский рассылает Гитлеру, Муссолини и Черчиллю конфиденциальные послания, в которых предлагает свое посредничество в установлении "справедливого и почетного мира" (14936).</w:t>
      </w:r>
    </w:p>
    <w:p w14:paraId="36B793E0"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3BB0CA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июня по 3 июля 1940 была эвакуация из Дюнкерка (340,10).</w:t>
      </w:r>
    </w:p>
    <w:p w14:paraId="084F873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E03C6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английское правительство признало Ш. де Голя главой движения Свободная Франция (2443,417).</w:t>
      </w:r>
    </w:p>
    <w:p w14:paraId="21E4696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2ABB8EE"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28 июня</w:t>
      </w:r>
      <w:r w:rsidRPr="00DB5D0D">
        <w:rPr>
          <w:rFonts w:ascii="Times New Roman" w:hAnsi="Times New Roman"/>
          <w:color w:val="000000" w:themeColor="text1"/>
          <w:sz w:val="16"/>
          <w:szCs w:val="16"/>
        </w:rPr>
        <w:t xml:space="preserve"> в 1940 году Великобритания признала генерала Шарля Де Голля лидером движения "Свободная Франция", который сразу же приступил к созданию новых вооруженных сил (14936).</w:t>
      </w:r>
    </w:p>
    <w:p w14:paraId="20E2649F"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283AD94B"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28 1940 Britain recognizes Gen. Charles de Gaulle as Free French leader (1050).</w:t>
      </w:r>
    </w:p>
    <w:p w14:paraId="74AEC831"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7042F7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Англия признала Ш. Де-Голя лидером Свободной Франции (1050).</w:t>
      </w:r>
    </w:p>
    <w:p w14:paraId="5422069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863D6DA" w14:textId="77777777" w:rsidR="0059006F" w:rsidRPr="00DB5D0D" w:rsidRDefault="0059006F"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у Тобрука собственными зенитками подбит самолет с итальянским губернатором Ливии Итало Бальбо (4962).</w:t>
      </w:r>
    </w:p>
    <w:p w14:paraId="693636AB" w14:textId="77777777" w:rsidR="0059006F" w:rsidRPr="00DB5D0D" w:rsidRDefault="0059006F" w:rsidP="00DB5D0D">
      <w:pPr>
        <w:tabs>
          <w:tab w:val="left" w:pos="11199"/>
        </w:tabs>
        <w:spacing w:after="0" w:line="240" w:lineRule="auto"/>
        <w:jc w:val="both"/>
        <w:rPr>
          <w:rFonts w:ascii="Times New Roman" w:hAnsi="Times New Roman"/>
          <w:color w:val="000000" w:themeColor="text1"/>
          <w:sz w:val="16"/>
          <w:szCs w:val="16"/>
        </w:rPr>
      </w:pPr>
    </w:p>
    <w:p w14:paraId="5FDC37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в США был принят закон о национальной обороне (3960, 251).</w:t>
      </w:r>
    </w:p>
    <w:p w14:paraId="1E4193F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D6E152"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28 июня</w:t>
      </w:r>
      <w:r w:rsidRPr="00DB5D0D">
        <w:rPr>
          <w:rFonts w:ascii="Times New Roman" w:hAnsi="Times New Roman"/>
          <w:color w:val="000000" w:themeColor="text1"/>
          <w:sz w:val="16"/>
          <w:szCs w:val="16"/>
        </w:rPr>
        <w:t xml:space="preserve"> в 1940 году президент США подписал законопроект, обязывающий иностранцев заполнить специальные анкеты. Выяснилось, что в США проживает 5 млн. человек, не являющихся американскими гражданами (14936).</w:t>
      </w:r>
    </w:p>
    <w:p w14:paraId="528ED829"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4D0780C6"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28 июня</w:t>
      </w:r>
      <w:r w:rsidRPr="00DB5D0D">
        <w:rPr>
          <w:rFonts w:ascii="Times New Roman" w:hAnsi="Times New Roman"/>
          <w:color w:val="000000" w:themeColor="text1"/>
          <w:sz w:val="16"/>
          <w:szCs w:val="16"/>
        </w:rPr>
        <w:t xml:space="preserve"> в 1940 году в Средиземном море англичанами был потоплен итальянский крейсер «Эсперо» (14936).</w:t>
      </w:r>
    </w:p>
    <w:p w14:paraId="33E40AA4"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4E78FFD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2FB687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1E29D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директор завода 22 В.Окулов писал А.С.Я. письмо N 7216с на N 4/1015 по вопросу докладной записки парторга ЦК по опытному строительству на 22 заводе о том, что задержки с СБ РК были вызваны срочными работами по СПБ Н.Н.П. и сейчас завод старается успеть к сроку, установленному правительством по машине Б А.А.А. (1192,7).</w:t>
      </w:r>
    </w:p>
    <w:p w14:paraId="7DC5F68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директор завода № 22 писал письмо № 7216с Зам. НКАП А.С.Я.</w:t>
      </w:r>
    </w:p>
    <w:p w14:paraId="2E8EF5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Ваш № 4/1015 по вопросу докладной записки парторга ЦК завода № 22 тов. БОРИСОВА по опытному строительству докладываю:</w:t>
      </w:r>
    </w:p>
    <w:p w14:paraId="3D65729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Большинство поставленных в письме вопросов .уже решено или находятся в стадии разрешения.</w:t>
      </w:r>
    </w:p>
    <w:p w14:paraId="77EA396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например,- тех. бюро завода укреплено руководством и усилено, опытная база усиливается за счет слияния цеха малых серий с опытным цехом, стат. лаборатория заканчивавтся строительством.</w:t>
      </w:r>
    </w:p>
    <w:p w14:paraId="6FAA60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с конструкторским отделом тов. ПОЛИКАРПОВА и с машиной СПБ решен постановлением Комитета Обороны, также решен вопрос о запуске в серийное производство .самолета СБ РК.</w:t>
      </w:r>
    </w:p>
    <w:p w14:paraId="763459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 с наполнением бензо-баков инертными газами заканчивает испытания в НИИ, завод же выпускает самолеты с наполнением бензобаков СО от баллона.</w:t>
      </w:r>
    </w:p>
    <w:p w14:paraId="5148F8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Закончены заводские испытания 2 самолетов СБ с ТК, причем ; выявлено целый ряд дефектов, над устранением которых в настоящее время работает тов. АРХАНРЕЛЬСКИЙ.</w:t>
      </w:r>
    </w:p>
    <w:p w14:paraId="776C6A2F" w14:textId="77777777" w:rsidR="00A25AD1" w:rsidRPr="00DB5D0D" w:rsidRDefault="00A25AD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color w:val="000000" w:themeColor="text1"/>
          <w:sz w:val="16"/>
          <w:szCs w:val="16"/>
        </w:rPr>
        <w:t>Размещение заказа на 156 завод по изготовлению крыльев, фюзеляжа и шасси для самолета "Б" т.Архангельского является следствием того, что в тот период времени все мощности завода были загружены выполнением Правительственного задания по сам. СПБ тов. ПОЛИКАРПОВА.</w:t>
      </w:r>
    </w:p>
    <w:p w14:paraId="153296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завод принимает меры, чтобы самолет “Б” изготовить к правительственному сроку (1195,8).</w:t>
      </w:r>
    </w:p>
    <w:p w14:paraId="50D57DC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94740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года закончились гос. испытания самолета ПС-84 в транспортном, десантном и санитарном вариантах, которые проходили с 11 мая 1940</w:t>
      </w:r>
    </w:p>
    <w:p w14:paraId="2D82E0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10DDBD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1 ранга Паузер</w:t>
      </w:r>
    </w:p>
    <w:p w14:paraId="25B29A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капитан Предейн</w:t>
      </w:r>
    </w:p>
    <w:p w14:paraId="4FE458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0614D05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летно-тактические данные самолета в варианте:</w:t>
      </w:r>
    </w:p>
    <w:p w14:paraId="678851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транспортном с внутренней и внешней загрузками;</w:t>
      </w:r>
    </w:p>
    <w:p w14:paraId="73BE81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санитарном;</w:t>
      </w:r>
    </w:p>
    <w:p w14:paraId="6E817B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десантном.</w:t>
      </w:r>
    </w:p>
    <w:p w14:paraId="78754DB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соответствие всех вариантов тактико-техническим требованиям и установить возможность принятия самолета на вооружение ВВС.</w:t>
      </w:r>
    </w:p>
    <w:p w14:paraId="47324A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Пассажирский самолет ПС-84 проходил земные и летные испытания в НИИ ГВФ с 3 сентября по 17 декабря 1939 года с производством 166 полетов продолжительностью 73 час. 45 мин.</w:t>
      </w:r>
    </w:p>
    <w:p w14:paraId="6F53A5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цельнометаллический моноплан с низкорасположенным крылом, оборудован двумя моторами М-62-ИР. Предъявленный самолет разнится от пассажирского только внутренним оборудованием пассажирской кабины и вырезом грузовой двери в левом борту.</w:t>
      </w:r>
    </w:p>
    <w:p w14:paraId="770843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на самолете не предусмотрено.</w:t>
      </w:r>
    </w:p>
    <w:p w14:paraId="1320DA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самолета производились в НИИ ВВС с 11 мая по 29 июня 1940 года. Во время испытаний проведено 56 полетов продолжительностью 34 часа 42 минуты.</w:t>
      </w:r>
    </w:p>
    <w:p w14:paraId="6E765F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E33311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ПС-84-К и И, т.е. в военных вариантах:</w:t>
      </w:r>
    </w:p>
    <w:p w14:paraId="1CEE2B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транспортном;</w:t>
      </w:r>
    </w:p>
    <w:p w14:paraId="77FCFF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санитарном;</w:t>
      </w:r>
    </w:p>
    <w:p w14:paraId="3FE58A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десантном,</w:t>
      </w:r>
    </w:p>
    <w:p w14:paraId="63FAC5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прошел гос. испытания удовлетворительно и рекомендуется к принятию на вооружение ВВС.</w:t>
      </w:r>
    </w:p>
    <w:p w14:paraId="267DF2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768"/>
        <w:gridCol w:w="1784"/>
      </w:tblGrid>
      <w:tr w:rsidR="007D5DF8" w:rsidRPr="00DB5D0D" w14:paraId="7EAD4C56" w14:textId="77777777" w:rsidTr="009223E5">
        <w:tc>
          <w:tcPr>
            <w:tcW w:w="2214" w:type="dxa"/>
          </w:tcPr>
          <w:p w14:paraId="48CB5B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5832" w:type="dxa"/>
          </w:tcPr>
          <w:p w14:paraId="3C7B83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работ</w:t>
            </w:r>
          </w:p>
        </w:tc>
        <w:tc>
          <w:tcPr>
            <w:tcW w:w="768" w:type="dxa"/>
          </w:tcPr>
          <w:p w14:paraId="697B30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 полетов</w:t>
            </w:r>
          </w:p>
        </w:tc>
        <w:tc>
          <w:tcPr>
            <w:tcW w:w="1784" w:type="dxa"/>
          </w:tcPr>
          <w:p w14:paraId="35F121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r>
      <w:tr w:rsidR="007D5DF8" w:rsidRPr="00DB5D0D" w14:paraId="1ACF3B36" w14:textId="77777777" w:rsidTr="009223E5">
        <w:tc>
          <w:tcPr>
            <w:tcW w:w="2214" w:type="dxa"/>
          </w:tcPr>
          <w:p w14:paraId="595687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w:t>
            </w:r>
          </w:p>
        </w:tc>
        <w:tc>
          <w:tcPr>
            <w:tcW w:w="5832" w:type="dxa"/>
          </w:tcPr>
          <w:p w14:paraId="67A31B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Перегонка самолета с завода на аэродром НИИ ВВС</w:t>
            </w:r>
          </w:p>
        </w:tc>
        <w:tc>
          <w:tcPr>
            <w:tcW w:w="768" w:type="dxa"/>
          </w:tcPr>
          <w:p w14:paraId="777170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560863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1FD9F69D" w14:textId="77777777" w:rsidTr="009223E5">
        <w:tc>
          <w:tcPr>
            <w:tcW w:w="2214" w:type="dxa"/>
          </w:tcPr>
          <w:p w14:paraId="1B1F3A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w:t>
            </w:r>
          </w:p>
        </w:tc>
        <w:tc>
          <w:tcPr>
            <w:tcW w:w="5832" w:type="dxa"/>
          </w:tcPr>
          <w:p w14:paraId="181E5B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Тренировка летчика</w:t>
            </w:r>
          </w:p>
        </w:tc>
        <w:tc>
          <w:tcPr>
            <w:tcW w:w="768" w:type="dxa"/>
          </w:tcPr>
          <w:p w14:paraId="5F9E9A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784" w:type="dxa"/>
          </w:tcPr>
          <w:p w14:paraId="62A2EF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0-35</w:t>
            </w:r>
          </w:p>
        </w:tc>
      </w:tr>
      <w:tr w:rsidR="007D5DF8" w:rsidRPr="00DB5D0D" w14:paraId="229E22AD" w14:textId="77777777" w:rsidTr="009223E5">
        <w:tc>
          <w:tcPr>
            <w:tcW w:w="2214" w:type="dxa"/>
          </w:tcPr>
          <w:p w14:paraId="07D6B7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5832" w:type="dxa"/>
          </w:tcPr>
          <w:p w14:paraId="5345F5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с грузом</w:t>
            </w:r>
          </w:p>
        </w:tc>
        <w:tc>
          <w:tcPr>
            <w:tcW w:w="768" w:type="dxa"/>
          </w:tcPr>
          <w:p w14:paraId="3DFA6D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4B4EA1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0-37</w:t>
            </w:r>
          </w:p>
        </w:tc>
      </w:tr>
      <w:tr w:rsidR="007D5DF8" w:rsidRPr="00DB5D0D" w14:paraId="3D12B3F9" w14:textId="77777777" w:rsidTr="009223E5">
        <w:tc>
          <w:tcPr>
            <w:tcW w:w="2214" w:type="dxa"/>
          </w:tcPr>
          <w:p w14:paraId="27A507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w:t>
            </w:r>
          </w:p>
        </w:tc>
        <w:tc>
          <w:tcPr>
            <w:tcW w:w="5832" w:type="dxa"/>
          </w:tcPr>
          <w:p w14:paraId="01269C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г. Рязань и обратно</w:t>
            </w:r>
          </w:p>
        </w:tc>
        <w:tc>
          <w:tcPr>
            <w:tcW w:w="768" w:type="dxa"/>
          </w:tcPr>
          <w:p w14:paraId="415569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04BC0B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tc>
      </w:tr>
      <w:tr w:rsidR="007D5DF8" w:rsidRPr="00DB5D0D" w14:paraId="50ECCD10" w14:textId="77777777" w:rsidTr="009223E5">
        <w:tc>
          <w:tcPr>
            <w:tcW w:w="2214" w:type="dxa"/>
          </w:tcPr>
          <w:p w14:paraId="118F3C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5832" w:type="dxa"/>
          </w:tcPr>
          <w:p w14:paraId="3F098F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границы высотности мотора</w:t>
            </w:r>
          </w:p>
        </w:tc>
        <w:tc>
          <w:tcPr>
            <w:tcW w:w="768" w:type="dxa"/>
          </w:tcPr>
          <w:p w14:paraId="6CCA2B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22F29F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r>
      <w:tr w:rsidR="007D5DF8" w:rsidRPr="00DB5D0D" w14:paraId="292F4A95" w14:textId="77777777" w:rsidTr="009223E5">
        <w:tc>
          <w:tcPr>
            <w:tcW w:w="2214" w:type="dxa"/>
          </w:tcPr>
          <w:p w14:paraId="2783B3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года</w:t>
            </w:r>
          </w:p>
        </w:tc>
        <w:tc>
          <w:tcPr>
            <w:tcW w:w="5832" w:type="dxa"/>
          </w:tcPr>
          <w:p w14:paraId="028959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tc>
        <w:tc>
          <w:tcPr>
            <w:tcW w:w="768" w:type="dxa"/>
          </w:tcPr>
          <w:p w14:paraId="6A3248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2615B0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r>
      <w:tr w:rsidR="007D5DF8" w:rsidRPr="00DB5D0D" w14:paraId="72E3C5B1" w14:textId="77777777" w:rsidTr="009223E5">
        <w:tc>
          <w:tcPr>
            <w:tcW w:w="2214" w:type="dxa"/>
          </w:tcPr>
          <w:p w14:paraId="164CFB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w:t>
            </w:r>
          </w:p>
        </w:tc>
        <w:tc>
          <w:tcPr>
            <w:tcW w:w="5832" w:type="dxa"/>
          </w:tcPr>
          <w:p w14:paraId="2253F2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моторов</w:t>
            </w:r>
          </w:p>
        </w:tc>
        <w:tc>
          <w:tcPr>
            <w:tcW w:w="768" w:type="dxa"/>
          </w:tcPr>
          <w:p w14:paraId="09846E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389623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r>
      <w:tr w:rsidR="007D5DF8" w:rsidRPr="00DB5D0D" w14:paraId="33120A3C" w14:textId="77777777" w:rsidTr="009223E5">
        <w:tc>
          <w:tcPr>
            <w:tcW w:w="2214" w:type="dxa"/>
          </w:tcPr>
          <w:p w14:paraId="2723FE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года</w:t>
            </w:r>
          </w:p>
        </w:tc>
        <w:tc>
          <w:tcPr>
            <w:tcW w:w="5832" w:type="dxa"/>
          </w:tcPr>
          <w:p w14:paraId="2AE0AD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на Центральный аэродром и обратно</w:t>
            </w:r>
          </w:p>
        </w:tc>
        <w:tc>
          <w:tcPr>
            <w:tcW w:w="768" w:type="dxa"/>
          </w:tcPr>
          <w:p w14:paraId="085C22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51AE9E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1CDDECBA" w14:textId="77777777" w:rsidTr="009223E5">
        <w:tc>
          <w:tcPr>
            <w:tcW w:w="2214" w:type="dxa"/>
          </w:tcPr>
          <w:p w14:paraId="561F7A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5832" w:type="dxa"/>
          </w:tcPr>
          <w:p w14:paraId="10A132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на уборку и выпуск шасси</w:t>
            </w:r>
          </w:p>
        </w:tc>
        <w:tc>
          <w:tcPr>
            <w:tcW w:w="768" w:type="dxa"/>
          </w:tcPr>
          <w:p w14:paraId="1328B3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1B8D75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r>
      <w:tr w:rsidR="007D5DF8" w:rsidRPr="00DB5D0D" w14:paraId="49D4E512" w14:textId="77777777" w:rsidTr="009223E5">
        <w:tc>
          <w:tcPr>
            <w:tcW w:w="2214" w:type="dxa"/>
          </w:tcPr>
          <w:p w14:paraId="08CF5C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года</w:t>
            </w:r>
          </w:p>
        </w:tc>
        <w:tc>
          <w:tcPr>
            <w:tcW w:w="5832" w:type="dxa"/>
          </w:tcPr>
          <w:p w14:paraId="160F5A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Растряска ПДББ-100</w:t>
            </w:r>
          </w:p>
        </w:tc>
        <w:tc>
          <w:tcPr>
            <w:tcW w:w="768" w:type="dxa"/>
          </w:tcPr>
          <w:p w14:paraId="660BDC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784" w:type="dxa"/>
          </w:tcPr>
          <w:p w14:paraId="7009FA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r>
      <w:tr w:rsidR="007D5DF8" w:rsidRPr="00DB5D0D" w14:paraId="7D4D8377" w14:textId="77777777" w:rsidTr="009223E5">
        <w:tc>
          <w:tcPr>
            <w:tcW w:w="2214" w:type="dxa"/>
          </w:tcPr>
          <w:p w14:paraId="0764AF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года</w:t>
            </w:r>
          </w:p>
        </w:tc>
        <w:tc>
          <w:tcPr>
            <w:tcW w:w="5832" w:type="dxa"/>
          </w:tcPr>
          <w:p w14:paraId="3CBC9B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и сбрасывание ПДББ-100</w:t>
            </w:r>
          </w:p>
        </w:tc>
        <w:tc>
          <w:tcPr>
            <w:tcW w:w="768" w:type="dxa"/>
          </w:tcPr>
          <w:p w14:paraId="2A9A66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0063520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w:t>
            </w:r>
          </w:p>
        </w:tc>
      </w:tr>
      <w:tr w:rsidR="007D5DF8" w:rsidRPr="00DB5D0D" w14:paraId="225BC666" w14:textId="77777777" w:rsidTr="009223E5">
        <w:tc>
          <w:tcPr>
            <w:tcW w:w="2214" w:type="dxa"/>
          </w:tcPr>
          <w:p w14:paraId="21B978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w:t>
            </w:r>
          </w:p>
        </w:tc>
        <w:tc>
          <w:tcPr>
            <w:tcW w:w="5832" w:type="dxa"/>
          </w:tcPr>
          <w:p w14:paraId="635649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Растряска ПДББ-250</w:t>
            </w:r>
          </w:p>
        </w:tc>
        <w:tc>
          <w:tcPr>
            <w:tcW w:w="768" w:type="dxa"/>
          </w:tcPr>
          <w:p w14:paraId="0046F6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784" w:type="dxa"/>
          </w:tcPr>
          <w:p w14:paraId="3D668D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04504067" w14:textId="77777777" w:rsidTr="009223E5">
        <w:tc>
          <w:tcPr>
            <w:tcW w:w="2214" w:type="dxa"/>
          </w:tcPr>
          <w:p w14:paraId="35D70A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w:t>
            </w:r>
          </w:p>
        </w:tc>
        <w:tc>
          <w:tcPr>
            <w:tcW w:w="5832" w:type="dxa"/>
          </w:tcPr>
          <w:p w14:paraId="15C43D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ПДББ-250</w:t>
            </w:r>
          </w:p>
        </w:tc>
        <w:tc>
          <w:tcPr>
            <w:tcW w:w="768" w:type="dxa"/>
          </w:tcPr>
          <w:p w14:paraId="2476F6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02E0C7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r>
      <w:tr w:rsidR="007D5DF8" w:rsidRPr="00DB5D0D" w14:paraId="423C95EF" w14:textId="77777777" w:rsidTr="009223E5">
        <w:tc>
          <w:tcPr>
            <w:tcW w:w="2214" w:type="dxa"/>
          </w:tcPr>
          <w:p w14:paraId="15C356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832" w:type="dxa"/>
          </w:tcPr>
          <w:p w14:paraId="01E148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 подвеской ПДББ-400</w:t>
            </w:r>
          </w:p>
        </w:tc>
        <w:tc>
          <w:tcPr>
            <w:tcW w:w="768" w:type="dxa"/>
          </w:tcPr>
          <w:p w14:paraId="3AB7F3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784" w:type="dxa"/>
          </w:tcPr>
          <w:p w14:paraId="3E118C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210E6CA7" w14:textId="77777777" w:rsidTr="009223E5">
        <w:tc>
          <w:tcPr>
            <w:tcW w:w="2214" w:type="dxa"/>
          </w:tcPr>
          <w:p w14:paraId="2950D3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832" w:type="dxa"/>
          </w:tcPr>
          <w:p w14:paraId="1CBBBD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ПДББ-400</w:t>
            </w:r>
          </w:p>
        </w:tc>
        <w:tc>
          <w:tcPr>
            <w:tcW w:w="768" w:type="dxa"/>
          </w:tcPr>
          <w:p w14:paraId="696B80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5C32B9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r>
      <w:tr w:rsidR="007D5DF8" w:rsidRPr="00DB5D0D" w14:paraId="6770FD59" w14:textId="77777777" w:rsidTr="009223E5">
        <w:tc>
          <w:tcPr>
            <w:tcW w:w="2214" w:type="dxa"/>
          </w:tcPr>
          <w:p w14:paraId="416AF6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832" w:type="dxa"/>
          </w:tcPr>
          <w:p w14:paraId="3F749A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Растряска П-45</w:t>
            </w:r>
          </w:p>
        </w:tc>
        <w:tc>
          <w:tcPr>
            <w:tcW w:w="768" w:type="dxa"/>
          </w:tcPr>
          <w:p w14:paraId="776A8A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4D5C42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r>
      <w:tr w:rsidR="007D5DF8" w:rsidRPr="00DB5D0D" w14:paraId="685DF603" w14:textId="77777777" w:rsidTr="009223E5">
        <w:tc>
          <w:tcPr>
            <w:tcW w:w="2214" w:type="dxa"/>
          </w:tcPr>
          <w:p w14:paraId="74B424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832" w:type="dxa"/>
          </w:tcPr>
          <w:p w14:paraId="3DD74B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Загрузка П-76 и растряска</w:t>
            </w:r>
          </w:p>
        </w:tc>
        <w:tc>
          <w:tcPr>
            <w:tcW w:w="768" w:type="dxa"/>
          </w:tcPr>
          <w:p w14:paraId="0787C6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7EDC66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0-25</w:t>
            </w:r>
          </w:p>
        </w:tc>
      </w:tr>
      <w:tr w:rsidR="007D5DF8" w:rsidRPr="00DB5D0D" w14:paraId="7C141462" w14:textId="77777777" w:rsidTr="009223E5">
        <w:tc>
          <w:tcPr>
            <w:tcW w:w="2214" w:type="dxa"/>
          </w:tcPr>
          <w:p w14:paraId="77B3C87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5832" w:type="dxa"/>
          </w:tcPr>
          <w:p w14:paraId="471DCB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Километраж</w:t>
            </w:r>
          </w:p>
        </w:tc>
        <w:tc>
          <w:tcPr>
            <w:tcW w:w="768" w:type="dxa"/>
          </w:tcPr>
          <w:p w14:paraId="5D0870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27D6F2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r>
      <w:tr w:rsidR="007D5DF8" w:rsidRPr="00DB5D0D" w14:paraId="0758CE34" w14:textId="77777777" w:rsidTr="009223E5">
        <w:tc>
          <w:tcPr>
            <w:tcW w:w="2214" w:type="dxa"/>
          </w:tcPr>
          <w:p w14:paraId="295EF4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5832" w:type="dxa"/>
          </w:tcPr>
          <w:p w14:paraId="3AD5D6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tc>
        <w:tc>
          <w:tcPr>
            <w:tcW w:w="768" w:type="dxa"/>
          </w:tcPr>
          <w:p w14:paraId="388CC8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784" w:type="dxa"/>
          </w:tcPr>
          <w:p w14:paraId="0BF9C0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0-55</w:t>
            </w:r>
          </w:p>
        </w:tc>
      </w:tr>
      <w:tr w:rsidR="007D5DF8" w:rsidRPr="00DB5D0D" w14:paraId="13DECB54" w14:textId="77777777" w:rsidTr="009223E5">
        <w:tc>
          <w:tcPr>
            <w:tcW w:w="2214" w:type="dxa"/>
          </w:tcPr>
          <w:p w14:paraId="74EB4C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w:t>
            </w:r>
          </w:p>
        </w:tc>
        <w:tc>
          <w:tcPr>
            <w:tcW w:w="5832" w:type="dxa"/>
          </w:tcPr>
          <w:p w14:paraId="01F0F8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Выпрыгивание инструкторов</w:t>
            </w:r>
          </w:p>
        </w:tc>
        <w:tc>
          <w:tcPr>
            <w:tcW w:w="768" w:type="dxa"/>
          </w:tcPr>
          <w:p w14:paraId="1483D3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205FBC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r>
      <w:tr w:rsidR="007D5DF8" w:rsidRPr="00DB5D0D" w14:paraId="3A8E0D29" w14:textId="77777777" w:rsidTr="009223E5">
        <w:tc>
          <w:tcPr>
            <w:tcW w:w="2214" w:type="dxa"/>
          </w:tcPr>
          <w:p w14:paraId="652B0E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5832" w:type="dxa"/>
          </w:tcPr>
          <w:p w14:paraId="3FC841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в д. Реблицы (ЛВО)</w:t>
            </w:r>
          </w:p>
        </w:tc>
        <w:tc>
          <w:tcPr>
            <w:tcW w:w="768" w:type="dxa"/>
          </w:tcPr>
          <w:p w14:paraId="007842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20AA26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r>
      <w:tr w:rsidR="007D5DF8" w:rsidRPr="00DB5D0D" w14:paraId="0F0FD412" w14:textId="77777777" w:rsidTr="009223E5">
        <w:tc>
          <w:tcPr>
            <w:tcW w:w="2214" w:type="dxa"/>
          </w:tcPr>
          <w:p w14:paraId="769BA1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5832" w:type="dxa"/>
          </w:tcPr>
          <w:p w14:paraId="4B878F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десанта</w:t>
            </w:r>
          </w:p>
        </w:tc>
        <w:tc>
          <w:tcPr>
            <w:tcW w:w="768" w:type="dxa"/>
          </w:tcPr>
          <w:p w14:paraId="2A9F49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3BCBA89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0-50</w:t>
            </w:r>
          </w:p>
        </w:tc>
      </w:tr>
      <w:tr w:rsidR="007D5DF8" w:rsidRPr="00DB5D0D" w14:paraId="49C4EA14" w14:textId="77777777" w:rsidTr="009223E5">
        <w:tc>
          <w:tcPr>
            <w:tcW w:w="2214" w:type="dxa"/>
          </w:tcPr>
          <w:p w14:paraId="6D476B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832" w:type="dxa"/>
          </w:tcPr>
          <w:p w14:paraId="6802C9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десанта</w:t>
            </w:r>
          </w:p>
        </w:tc>
        <w:tc>
          <w:tcPr>
            <w:tcW w:w="768" w:type="dxa"/>
          </w:tcPr>
          <w:p w14:paraId="4E0815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784" w:type="dxa"/>
          </w:tcPr>
          <w:p w14:paraId="272822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r>
      <w:tr w:rsidR="007D5DF8" w:rsidRPr="00DB5D0D" w14:paraId="31A21D70" w14:textId="77777777" w:rsidTr="009223E5">
        <w:tc>
          <w:tcPr>
            <w:tcW w:w="2214" w:type="dxa"/>
          </w:tcPr>
          <w:p w14:paraId="2254E3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832" w:type="dxa"/>
          </w:tcPr>
          <w:p w14:paraId="2DAB3D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Реблицы-Сольцы для зарядки горючим</w:t>
            </w:r>
          </w:p>
        </w:tc>
        <w:tc>
          <w:tcPr>
            <w:tcW w:w="768" w:type="dxa"/>
          </w:tcPr>
          <w:p w14:paraId="1D7141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1CF302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w:t>
            </w:r>
          </w:p>
        </w:tc>
      </w:tr>
      <w:tr w:rsidR="007D5DF8" w:rsidRPr="00DB5D0D" w14:paraId="69139A94" w14:textId="77777777" w:rsidTr="009223E5">
        <w:tc>
          <w:tcPr>
            <w:tcW w:w="2214" w:type="dxa"/>
          </w:tcPr>
          <w:p w14:paraId="3350296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832" w:type="dxa"/>
          </w:tcPr>
          <w:p w14:paraId="25522F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Перелет Сольцы-Чкаловская </w:t>
            </w:r>
          </w:p>
        </w:tc>
        <w:tc>
          <w:tcPr>
            <w:tcW w:w="768" w:type="dxa"/>
          </w:tcPr>
          <w:p w14:paraId="5CEECF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50ABC7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r>
      <w:tr w:rsidR="007D5DF8" w:rsidRPr="00DB5D0D" w14:paraId="7D1E605B" w14:textId="77777777" w:rsidTr="009223E5">
        <w:tc>
          <w:tcPr>
            <w:tcW w:w="2214" w:type="dxa"/>
          </w:tcPr>
          <w:p w14:paraId="301E13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w:t>
            </w:r>
          </w:p>
        </w:tc>
        <w:tc>
          <w:tcPr>
            <w:tcW w:w="5832" w:type="dxa"/>
          </w:tcPr>
          <w:p w14:paraId="0CE2F4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санитарном варианте</w:t>
            </w:r>
          </w:p>
        </w:tc>
        <w:tc>
          <w:tcPr>
            <w:tcW w:w="768" w:type="dxa"/>
          </w:tcPr>
          <w:p w14:paraId="79BB7E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28F5E9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0-45</w:t>
            </w:r>
          </w:p>
        </w:tc>
      </w:tr>
      <w:tr w:rsidR="007D5DF8" w:rsidRPr="00DB5D0D" w14:paraId="53CB49B6" w14:textId="77777777" w:rsidTr="009223E5">
        <w:tc>
          <w:tcPr>
            <w:tcW w:w="2214" w:type="dxa"/>
          </w:tcPr>
          <w:p w14:paraId="11636D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5832" w:type="dxa"/>
          </w:tcPr>
          <w:p w14:paraId="2E7C38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Контрольный полет на скороподъемность с внутренней загрузкой</w:t>
            </w:r>
          </w:p>
        </w:tc>
        <w:tc>
          <w:tcPr>
            <w:tcW w:w="768" w:type="dxa"/>
          </w:tcPr>
          <w:p w14:paraId="6E7DF0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707BAD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r>
      <w:tr w:rsidR="007D5DF8" w:rsidRPr="00DB5D0D" w14:paraId="56D476C5" w14:textId="77777777" w:rsidTr="009223E5">
        <w:tc>
          <w:tcPr>
            <w:tcW w:w="2214" w:type="dxa"/>
          </w:tcPr>
          <w:p w14:paraId="38D7C0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5832" w:type="dxa"/>
          </w:tcPr>
          <w:p w14:paraId="47FC2D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Контрольный полет с наружной загрузкой</w:t>
            </w:r>
          </w:p>
        </w:tc>
        <w:tc>
          <w:tcPr>
            <w:tcW w:w="768" w:type="dxa"/>
          </w:tcPr>
          <w:p w14:paraId="306456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144C86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r>
      <w:tr w:rsidR="007D5DF8" w:rsidRPr="00DB5D0D" w14:paraId="18E0AE4F" w14:textId="77777777" w:rsidTr="009223E5">
        <w:tc>
          <w:tcPr>
            <w:tcW w:w="2214" w:type="dxa"/>
          </w:tcPr>
          <w:p w14:paraId="2FDD3F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года</w:t>
            </w:r>
          </w:p>
        </w:tc>
        <w:tc>
          <w:tcPr>
            <w:tcW w:w="5832" w:type="dxa"/>
          </w:tcPr>
          <w:p w14:paraId="55DCEC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Рыбинск и обратно</w:t>
            </w:r>
          </w:p>
        </w:tc>
        <w:tc>
          <w:tcPr>
            <w:tcW w:w="768" w:type="dxa"/>
          </w:tcPr>
          <w:p w14:paraId="17718A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784" w:type="dxa"/>
          </w:tcPr>
          <w:p w14:paraId="79D5C4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r>
      <w:tr w:rsidR="007D5DF8" w:rsidRPr="00DB5D0D" w14:paraId="2F860E07" w14:textId="77777777" w:rsidTr="009223E5">
        <w:tc>
          <w:tcPr>
            <w:tcW w:w="2214" w:type="dxa"/>
          </w:tcPr>
          <w:p w14:paraId="7E8BC2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года</w:t>
            </w:r>
          </w:p>
        </w:tc>
        <w:tc>
          <w:tcPr>
            <w:tcW w:w="5832" w:type="dxa"/>
          </w:tcPr>
          <w:p w14:paraId="52B44B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(летчик Нюхтиков)</w:t>
            </w:r>
          </w:p>
        </w:tc>
        <w:tc>
          <w:tcPr>
            <w:tcW w:w="768" w:type="dxa"/>
          </w:tcPr>
          <w:p w14:paraId="69CFE5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784" w:type="dxa"/>
          </w:tcPr>
          <w:p w14:paraId="67B1EA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r>
      <w:tr w:rsidR="007D5DF8" w:rsidRPr="00DB5D0D" w14:paraId="6CBDCBB5" w14:textId="77777777" w:rsidTr="009223E5">
        <w:tc>
          <w:tcPr>
            <w:tcW w:w="2214" w:type="dxa"/>
          </w:tcPr>
          <w:p w14:paraId="44D4E8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5832" w:type="dxa"/>
          </w:tcPr>
          <w:p w14:paraId="36D8105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768" w:type="dxa"/>
          </w:tcPr>
          <w:p w14:paraId="19F6F7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w:t>
            </w:r>
          </w:p>
        </w:tc>
        <w:tc>
          <w:tcPr>
            <w:tcW w:w="1784" w:type="dxa"/>
          </w:tcPr>
          <w:p w14:paraId="327FD2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34-42 (4605)</w:t>
            </w:r>
          </w:p>
        </w:tc>
      </w:tr>
    </w:tbl>
    <w:p w14:paraId="483CC01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A1E408" w14:textId="77777777" w:rsidR="00A25AD1" w:rsidRPr="00DB5D0D" w:rsidRDefault="00A25AD1" w:rsidP="00DB5D0D">
      <w:pPr>
        <w:pStyle w:val="24"/>
        <w:widowControl/>
        <w:rPr>
          <w:color w:val="000000" w:themeColor="text1"/>
        </w:rPr>
      </w:pPr>
      <w:r w:rsidRPr="00DB5D0D">
        <w:rPr>
          <w:color w:val="000000" w:themeColor="text1"/>
        </w:rPr>
        <w:t>29 июня 1940 года в НИИ ВВС закончились гос. испытания самолета ПС-84 в транспортном, десантном и санитарном вариантах, которые проходили с 11 мая 1940.</w:t>
      </w:r>
    </w:p>
    <w:p w14:paraId="26B5F128" w14:textId="77777777" w:rsidR="00A25AD1" w:rsidRPr="00DB5D0D" w:rsidRDefault="00A25AD1" w:rsidP="00DB5D0D">
      <w:pPr>
        <w:pStyle w:val="24"/>
        <w:widowControl/>
        <w:rPr>
          <w:color w:val="000000" w:themeColor="text1"/>
        </w:rPr>
      </w:pPr>
      <w:r w:rsidRPr="00DB5D0D">
        <w:rPr>
          <w:color w:val="000000" w:themeColor="text1"/>
        </w:rPr>
        <w:t>Отв. исполнители:</w:t>
      </w:r>
    </w:p>
    <w:p w14:paraId="2CF154BD" w14:textId="77777777" w:rsidR="00A25AD1" w:rsidRPr="00DB5D0D" w:rsidRDefault="00A25AD1" w:rsidP="00DB5D0D">
      <w:pPr>
        <w:pStyle w:val="24"/>
        <w:widowControl/>
        <w:rPr>
          <w:color w:val="000000" w:themeColor="text1"/>
        </w:rPr>
      </w:pPr>
      <w:r w:rsidRPr="00DB5D0D">
        <w:rPr>
          <w:color w:val="000000" w:themeColor="text1"/>
        </w:rPr>
        <w:t>Вед. инженер в/инженер 1 ранга Паузер</w:t>
      </w:r>
    </w:p>
    <w:p w14:paraId="414C9BE5" w14:textId="77777777" w:rsidR="00A25AD1" w:rsidRPr="00DB5D0D" w:rsidRDefault="00A25AD1" w:rsidP="00DB5D0D">
      <w:pPr>
        <w:pStyle w:val="24"/>
        <w:widowControl/>
        <w:rPr>
          <w:color w:val="000000" w:themeColor="text1"/>
        </w:rPr>
      </w:pPr>
      <w:r w:rsidRPr="00DB5D0D">
        <w:rPr>
          <w:color w:val="000000" w:themeColor="text1"/>
        </w:rPr>
        <w:t>Вед. летчик капитан Предейн</w:t>
      </w:r>
    </w:p>
    <w:p w14:paraId="330573BD" w14:textId="77777777" w:rsidR="00A25AD1" w:rsidRPr="00DB5D0D" w:rsidRDefault="00A25AD1" w:rsidP="00DB5D0D">
      <w:pPr>
        <w:pStyle w:val="24"/>
        <w:widowControl/>
        <w:rPr>
          <w:color w:val="000000" w:themeColor="text1"/>
        </w:rPr>
      </w:pPr>
      <w:r w:rsidRPr="00DB5D0D">
        <w:rPr>
          <w:color w:val="000000" w:themeColor="text1"/>
        </w:rPr>
        <w:t>Цель испытаний</w:t>
      </w:r>
    </w:p>
    <w:p w14:paraId="7335E170" w14:textId="77777777" w:rsidR="00A25AD1" w:rsidRPr="00DB5D0D" w:rsidRDefault="00A25AD1" w:rsidP="00DB5D0D">
      <w:pPr>
        <w:pStyle w:val="24"/>
        <w:widowControl/>
        <w:tabs>
          <w:tab w:val="left" w:pos="360"/>
        </w:tabs>
        <w:rPr>
          <w:color w:val="000000" w:themeColor="text1"/>
        </w:rPr>
      </w:pPr>
      <w:r w:rsidRPr="00DB5D0D">
        <w:rPr>
          <w:color w:val="000000" w:themeColor="text1"/>
        </w:rPr>
        <w:t>Определить летно-тактические данные самолета в варианте:</w:t>
      </w:r>
    </w:p>
    <w:p w14:paraId="75168656" w14:textId="77777777" w:rsidR="00A25AD1" w:rsidRPr="00DB5D0D" w:rsidRDefault="00A25AD1" w:rsidP="00DB5D0D">
      <w:pPr>
        <w:pStyle w:val="24"/>
        <w:widowControl/>
        <w:rPr>
          <w:color w:val="000000" w:themeColor="text1"/>
        </w:rPr>
      </w:pPr>
      <w:r w:rsidRPr="00DB5D0D">
        <w:rPr>
          <w:color w:val="000000" w:themeColor="text1"/>
        </w:rPr>
        <w:t>а) транспортном с внутренней и внешней загрузками;</w:t>
      </w:r>
    </w:p>
    <w:p w14:paraId="7C2C8CCC" w14:textId="77777777" w:rsidR="00A25AD1" w:rsidRPr="00DB5D0D" w:rsidRDefault="00A25AD1" w:rsidP="00DB5D0D">
      <w:pPr>
        <w:pStyle w:val="24"/>
        <w:widowControl/>
        <w:rPr>
          <w:color w:val="000000" w:themeColor="text1"/>
        </w:rPr>
      </w:pPr>
      <w:r w:rsidRPr="00DB5D0D">
        <w:rPr>
          <w:color w:val="000000" w:themeColor="text1"/>
        </w:rPr>
        <w:t>б) санитарном;</w:t>
      </w:r>
    </w:p>
    <w:p w14:paraId="54225C2E" w14:textId="77777777" w:rsidR="00A25AD1" w:rsidRPr="00DB5D0D" w:rsidRDefault="00A25AD1" w:rsidP="00DB5D0D">
      <w:pPr>
        <w:pStyle w:val="24"/>
        <w:widowControl/>
        <w:rPr>
          <w:color w:val="000000" w:themeColor="text1"/>
        </w:rPr>
      </w:pPr>
      <w:r w:rsidRPr="00DB5D0D">
        <w:rPr>
          <w:color w:val="000000" w:themeColor="text1"/>
        </w:rPr>
        <w:t>в) десантном</w:t>
      </w:r>
    </w:p>
    <w:p w14:paraId="4537241B" w14:textId="77777777" w:rsidR="00A25AD1" w:rsidRPr="00DB5D0D" w:rsidRDefault="00A25AD1" w:rsidP="00DB5D0D">
      <w:pPr>
        <w:pStyle w:val="24"/>
        <w:widowControl/>
        <w:tabs>
          <w:tab w:val="left" w:pos="360"/>
        </w:tabs>
        <w:rPr>
          <w:color w:val="000000" w:themeColor="text1"/>
        </w:rPr>
      </w:pPr>
      <w:r w:rsidRPr="00DB5D0D">
        <w:rPr>
          <w:color w:val="000000" w:themeColor="text1"/>
        </w:rPr>
        <w:t>Проверить соответствие всех вариантов тактико-техническим требованиям и установить возможность принятия самолета на вооружение ВВС.</w:t>
      </w:r>
    </w:p>
    <w:p w14:paraId="6F710004" w14:textId="77777777" w:rsidR="00A25AD1" w:rsidRPr="00DB5D0D" w:rsidRDefault="00A25AD1" w:rsidP="00DB5D0D">
      <w:pPr>
        <w:pStyle w:val="24"/>
        <w:widowControl/>
        <w:rPr>
          <w:color w:val="000000" w:themeColor="text1"/>
        </w:rPr>
      </w:pPr>
      <w:r w:rsidRPr="00DB5D0D">
        <w:rPr>
          <w:color w:val="000000" w:themeColor="text1"/>
        </w:rPr>
        <w:t>Пассажирский самолет ПС-84 проходил земные и летные испытания в НИИ ГВФ с 3 сентября по 17 декабря 1939 года с производством 166 полетов продолжительностью 73 часа 45 минут.</w:t>
      </w:r>
    </w:p>
    <w:p w14:paraId="5D1A7BFB" w14:textId="77777777" w:rsidR="00A25AD1" w:rsidRPr="00DB5D0D" w:rsidRDefault="00A25AD1" w:rsidP="00DB5D0D">
      <w:pPr>
        <w:pStyle w:val="24"/>
        <w:widowControl/>
        <w:rPr>
          <w:color w:val="000000" w:themeColor="text1"/>
        </w:rPr>
      </w:pPr>
      <w:r w:rsidRPr="00DB5D0D">
        <w:rPr>
          <w:color w:val="000000" w:themeColor="text1"/>
        </w:rPr>
        <w:t>Самолет цельнометаллический моноплан с низкорасположенным крылом, оборудован двумя моторами М-62-ИР мощностью 820 л.с. Представленный самолет разнится от пассажирского только внутренним оборудованием пассажирской кабины и вырезом грузовой двери в левом борту.</w:t>
      </w:r>
    </w:p>
    <w:p w14:paraId="5C1346FD" w14:textId="77777777" w:rsidR="00A25AD1" w:rsidRPr="00DB5D0D" w:rsidRDefault="00A25AD1" w:rsidP="00DB5D0D">
      <w:pPr>
        <w:pStyle w:val="24"/>
        <w:widowControl/>
        <w:rPr>
          <w:color w:val="000000" w:themeColor="text1"/>
        </w:rPr>
      </w:pPr>
      <w:r w:rsidRPr="00DB5D0D">
        <w:rPr>
          <w:color w:val="000000" w:themeColor="text1"/>
        </w:rPr>
        <w:t>Вооружение на самолете не предусмотрено.</w:t>
      </w:r>
    </w:p>
    <w:p w14:paraId="6A974CF2" w14:textId="77777777" w:rsidR="00A25AD1" w:rsidRPr="00DB5D0D" w:rsidRDefault="00A25AD1" w:rsidP="00DB5D0D">
      <w:pPr>
        <w:pStyle w:val="24"/>
        <w:widowControl/>
        <w:rPr>
          <w:color w:val="000000" w:themeColor="text1"/>
        </w:rPr>
      </w:pPr>
      <w:r w:rsidRPr="00DB5D0D">
        <w:rPr>
          <w:color w:val="000000" w:themeColor="text1"/>
        </w:rPr>
        <w:t>Госиспытания самолета ПС-84 в транспортном, десантном и санитарном вариантах производились в НИИ ВВС с 11 мая по 29 июня 1940 года. Во время испытаний произведено 56 полетов продолжительностью 34 часа 42 минуты.</w:t>
      </w:r>
    </w:p>
    <w:p w14:paraId="496FD57A" w14:textId="77777777" w:rsidR="00A25AD1" w:rsidRPr="00DB5D0D" w:rsidRDefault="00A25AD1" w:rsidP="00DB5D0D">
      <w:pPr>
        <w:pStyle w:val="24"/>
        <w:widowControl/>
        <w:rPr>
          <w:color w:val="000000" w:themeColor="text1"/>
        </w:rPr>
      </w:pPr>
      <w:r w:rsidRPr="00DB5D0D">
        <w:rPr>
          <w:color w:val="000000" w:themeColor="text1"/>
        </w:rPr>
        <w:t>Заключение</w:t>
      </w:r>
    </w:p>
    <w:p w14:paraId="625D82EF" w14:textId="77777777" w:rsidR="00A25AD1" w:rsidRPr="00DB5D0D" w:rsidRDefault="00A25AD1" w:rsidP="00DB5D0D">
      <w:pPr>
        <w:pStyle w:val="24"/>
        <w:widowControl/>
        <w:rPr>
          <w:color w:val="000000" w:themeColor="text1"/>
        </w:rPr>
      </w:pPr>
      <w:r w:rsidRPr="00DB5D0D">
        <w:rPr>
          <w:color w:val="000000" w:themeColor="text1"/>
        </w:rPr>
        <w:lastRenderedPageBreak/>
        <w:t>Самолет ПС-84 в военных вариантах:</w:t>
      </w:r>
    </w:p>
    <w:p w14:paraId="3874EDF5" w14:textId="77777777" w:rsidR="00A25AD1" w:rsidRPr="00DB5D0D" w:rsidRDefault="00A25AD1" w:rsidP="00DB5D0D">
      <w:pPr>
        <w:pStyle w:val="24"/>
        <w:widowControl/>
        <w:rPr>
          <w:color w:val="000000" w:themeColor="text1"/>
        </w:rPr>
      </w:pPr>
      <w:r w:rsidRPr="00DB5D0D">
        <w:rPr>
          <w:color w:val="000000" w:themeColor="text1"/>
        </w:rPr>
        <w:t>а) транспортном;</w:t>
      </w:r>
    </w:p>
    <w:p w14:paraId="78D98F64" w14:textId="77777777" w:rsidR="00A25AD1" w:rsidRPr="00DB5D0D" w:rsidRDefault="00A25AD1" w:rsidP="00DB5D0D">
      <w:pPr>
        <w:pStyle w:val="24"/>
        <w:widowControl/>
        <w:rPr>
          <w:color w:val="000000" w:themeColor="text1"/>
        </w:rPr>
      </w:pPr>
      <w:r w:rsidRPr="00DB5D0D">
        <w:rPr>
          <w:color w:val="000000" w:themeColor="text1"/>
        </w:rPr>
        <w:t>б) санитарном;</w:t>
      </w:r>
    </w:p>
    <w:p w14:paraId="4D5EE2CB" w14:textId="77777777" w:rsidR="00A25AD1" w:rsidRPr="00DB5D0D" w:rsidRDefault="00A25AD1" w:rsidP="00DB5D0D">
      <w:pPr>
        <w:pStyle w:val="24"/>
        <w:widowControl/>
        <w:rPr>
          <w:color w:val="000000" w:themeColor="text1"/>
        </w:rPr>
      </w:pPr>
      <w:r w:rsidRPr="00DB5D0D">
        <w:rPr>
          <w:color w:val="000000" w:themeColor="text1"/>
        </w:rPr>
        <w:t>в) десантном</w:t>
      </w:r>
    </w:p>
    <w:p w14:paraId="4C2F5C23" w14:textId="77777777" w:rsidR="00A25AD1" w:rsidRPr="00DB5D0D" w:rsidRDefault="00A25AD1" w:rsidP="00DB5D0D">
      <w:pPr>
        <w:pStyle w:val="24"/>
        <w:widowControl/>
        <w:rPr>
          <w:color w:val="000000" w:themeColor="text1"/>
        </w:rPr>
      </w:pPr>
      <w:r w:rsidRPr="00DB5D0D">
        <w:rPr>
          <w:color w:val="000000" w:themeColor="text1"/>
        </w:rPr>
        <w:t>прошел госиспытания удовлетворительно и рекомендуется к принятию на вооружение ВВС.</w:t>
      </w:r>
    </w:p>
    <w:p w14:paraId="4FEE951D" w14:textId="77777777" w:rsidR="00A25AD1" w:rsidRPr="00DB5D0D" w:rsidRDefault="00A25AD1" w:rsidP="00DB5D0D">
      <w:pPr>
        <w:pStyle w:val="24"/>
        <w:widowControl/>
        <w:rPr>
          <w:color w:val="000000" w:themeColor="text1"/>
        </w:rPr>
      </w:pPr>
      <w:r w:rsidRPr="00DB5D0D">
        <w:rPr>
          <w:color w:val="000000" w:themeColor="text1"/>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6662"/>
        <w:gridCol w:w="1559"/>
      </w:tblGrid>
      <w:tr w:rsidR="007D5DF8" w:rsidRPr="00DB5D0D" w14:paraId="3AFD952D" w14:textId="77777777" w:rsidTr="009223E5">
        <w:tc>
          <w:tcPr>
            <w:tcW w:w="2235" w:type="dxa"/>
          </w:tcPr>
          <w:p w14:paraId="0EDB50AE" w14:textId="77777777" w:rsidR="00A25AD1" w:rsidRPr="00DB5D0D" w:rsidRDefault="00A25AD1" w:rsidP="00DB5D0D">
            <w:pPr>
              <w:pStyle w:val="24"/>
              <w:widowControl/>
              <w:rPr>
                <w:color w:val="000000" w:themeColor="text1"/>
              </w:rPr>
            </w:pPr>
            <w:r w:rsidRPr="00DB5D0D">
              <w:rPr>
                <w:color w:val="000000" w:themeColor="text1"/>
              </w:rPr>
              <w:t>Дата</w:t>
            </w:r>
          </w:p>
        </w:tc>
        <w:tc>
          <w:tcPr>
            <w:tcW w:w="6662" w:type="dxa"/>
          </w:tcPr>
          <w:p w14:paraId="0EB2E035" w14:textId="77777777" w:rsidR="00A25AD1" w:rsidRPr="00DB5D0D" w:rsidRDefault="00A25AD1" w:rsidP="00DB5D0D">
            <w:pPr>
              <w:pStyle w:val="24"/>
              <w:widowControl/>
              <w:rPr>
                <w:color w:val="000000" w:themeColor="text1"/>
              </w:rPr>
            </w:pPr>
            <w:r w:rsidRPr="00DB5D0D">
              <w:rPr>
                <w:color w:val="000000" w:themeColor="text1"/>
              </w:rPr>
              <w:t>Выполняемая работа</w:t>
            </w:r>
          </w:p>
        </w:tc>
        <w:tc>
          <w:tcPr>
            <w:tcW w:w="1559" w:type="dxa"/>
          </w:tcPr>
          <w:p w14:paraId="7F4FFF2E" w14:textId="77777777" w:rsidR="00A25AD1" w:rsidRPr="00DB5D0D" w:rsidRDefault="00A25AD1" w:rsidP="00DB5D0D">
            <w:pPr>
              <w:pStyle w:val="24"/>
              <w:widowControl/>
              <w:rPr>
                <w:color w:val="000000" w:themeColor="text1"/>
              </w:rPr>
            </w:pPr>
            <w:r w:rsidRPr="00DB5D0D">
              <w:rPr>
                <w:color w:val="000000" w:themeColor="text1"/>
              </w:rPr>
              <w:t>Продолжительность</w:t>
            </w:r>
          </w:p>
        </w:tc>
      </w:tr>
      <w:tr w:rsidR="007D5DF8" w:rsidRPr="00DB5D0D" w14:paraId="4274530D" w14:textId="77777777" w:rsidTr="009223E5">
        <w:tc>
          <w:tcPr>
            <w:tcW w:w="2235" w:type="dxa"/>
          </w:tcPr>
          <w:p w14:paraId="2D50B6CA" w14:textId="77777777" w:rsidR="00A25AD1" w:rsidRPr="00DB5D0D" w:rsidRDefault="00A25AD1" w:rsidP="00DB5D0D">
            <w:pPr>
              <w:pStyle w:val="24"/>
              <w:widowControl/>
              <w:rPr>
                <w:color w:val="000000" w:themeColor="text1"/>
              </w:rPr>
            </w:pPr>
            <w:r w:rsidRPr="00DB5D0D">
              <w:rPr>
                <w:color w:val="000000" w:themeColor="text1"/>
              </w:rPr>
              <w:t>10 мая 1940 года</w:t>
            </w:r>
          </w:p>
        </w:tc>
        <w:tc>
          <w:tcPr>
            <w:tcW w:w="6662" w:type="dxa"/>
          </w:tcPr>
          <w:p w14:paraId="0C813C40" w14:textId="77777777" w:rsidR="00A25AD1" w:rsidRPr="00DB5D0D" w:rsidRDefault="00A25AD1" w:rsidP="00DB5D0D">
            <w:pPr>
              <w:pStyle w:val="24"/>
              <w:widowControl/>
              <w:rPr>
                <w:color w:val="000000" w:themeColor="text1"/>
              </w:rPr>
            </w:pPr>
            <w:r w:rsidRPr="00DB5D0D">
              <w:rPr>
                <w:color w:val="000000" w:themeColor="text1"/>
              </w:rPr>
              <w:t>Перегонка самолета с завода на аэродром</w:t>
            </w:r>
          </w:p>
        </w:tc>
        <w:tc>
          <w:tcPr>
            <w:tcW w:w="1559" w:type="dxa"/>
          </w:tcPr>
          <w:p w14:paraId="54F1270F" w14:textId="77777777" w:rsidR="00A25AD1" w:rsidRPr="00DB5D0D" w:rsidRDefault="00A25AD1" w:rsidP="00DB5D0D">
            <w:pPr>
              <w:pStyle w:val="24"/>
              <w:widowControl/>
              <w:rPr>
                <w:color w:val="000000" w:themeColor="text1"/>
              </w:rPr>
            </w:pPr>
            <w:r w:rsidRPr="00DB5D0D">
              <w:rPr>
                <w:color w:val="000000" w:themeColor="text1"/>
              </w:rPr>
              <w:t>40 мин.</w:t>
            </w:r>
          </w:p>
        </w:tc>
      </w:tr>
      <w:tr w:rsidR="007D5DF8" w:rsidRPr="00DB5D0D" w14:paraId="30230215" w14:textId="77777777" w:rsidTr="009223E5">
        <w:tc>
          <w:tcPr>
            <w:tcW w:w="2235" w:type="dxa"/>
          </w:tcPr>
          <w:p w14:paraId="03A2E315" w14:textId="77777777" w:rsidR="00A25AD1" w:rsidRPr="00DB5D0D" w:rsidRDefault="00A25AD1" w:rsidP="00DB5D0D">
            <w:pPr>
              <w:pStyle w:val="24"/>
              <w:widowControl/>
              <w:rPr>
                <w:color w:val="000000" w:themeColor="text1"/>
              </w:rPr>
            </w:pPr>
            <w:r w:rsidRPr="00DB5D0D">
              <w:rPr>
                <w:color w:val="000000" w:themeColor="text1"/>
              </w:rPr>
              <w:t>13 мая 1940 года</w:t>
            </w:r>
          </w:p>
        </w:tc>
        <w:tc>
          <w:tcPr>
            <w:tcW w:w="6662" w:type="dxa"/>
          </w:tcPr>
          <w:p w14:paraId="1AEE4970" w14:textId="77777777" w:rsidR="00A25AD1" w:rsidRPr="00DB5D0D" w:rsidRDefault="00A25AD1" w:rsidP="00DB5D0D">
            <w:pPr>
              <w:pStyle w:val="24"/>
              <w:widowControl/>
              <w:rPr>
                <w:color w:val="000000" w:themeColor="text1"/>
              </w:rPr>
            </w:pPr>
            <w:r w:rsidRPr="00DB5D0D">
              <w:rPr>
                <w:color w:val="000000" w:themeColor="text1"/>
              </w:rPr>
              <w:t>Тренировка летчика</w:t>
            </w:r>
          </w:p>
        </w:tc>
        <w:tc>
          <w:tcPr>
            <w:tcW w:w="1559" w:type="dxa"/>
          </w:tcPr>
          <w:p w14:paraId="428418FE" w14:textId="77777777" w:rsidR="00A25AD1" w:rsidRPr="00DB5D0D" w:rsidRDefault="00A25AD1" w:rsidP="00DB5D0D">
            <w:pPr>
              <w:pStyle w:val="24"/>
              <w:widowControl/>
              <w:rPr>
                <w:color w:val="000000" w:themeColor="text1"/>
              </w:rPr>
            </w:pPr>
            <w:r w:rsidRPr="00DB5D0D">
              <w:rPr>
                <w:color w:val="000000" w:themeColor="text1"/>
              </w:rPr>
              <w:t>4 полета</w:t>
            </w:r>
          </w:p>
          <w:p w14:paraId="60BF90CD" w14:textId="77777777" w:rsidR="00A25AD1" w:rsidRPr="00DB5D0D" w:rsidRDefault="00A25AD1" w:rsidP="00DB5D0D">
            <w:pPr>
              <w:pStyle w:val="24"/>
              <w:widowControl/>
              <w:rPr>
                <w:color w:val="000000" w:themeColor="text1"/>
              </w:rPr>
            </w:pPr>
            <w:r w:rsidRPr="00DB5D0D">
              <w:rPr>
                <w:color w:val="000000" w:themeColor="text1"/>
              </w:rPr>
              <w:t>35 мин.</w:t>
            </w:r>
          </w:p>
        </w:tc>
      </w:tr>
      <w:tr w:rsidR="007D5DF8" w:rsidRPr="00DB5D0D" w14:paraId="6241F676" w14:textId="77777777" w:rsidTr="009223E5">
        <w:tc>
          <w:tcPr>
            <w:tcW w:w="2235" w:type="dxa"/>
          </w:tcPr>
          <w:p w14:paraId="4A13B1E6" w14:textId="77777777" w:rsidR="00A25AD1" w:rsidRPr="00DB5D0D" w:rsidRDefault="00A25AD1" w:rsidP="00DB5D0D">
            <w:pPr>
              <w:pStyle w:val="24"/>
              <w:widowControl/>
              <w:rPr>
                <w:color w:val="000000" w:themeColor="text1"/>
              </w:rPr>
            </w:pPr>
            <w:r w:rsidRPr="00DB5D0D">
              <w:rPr>
                <w:color w:val="000000" w:themeColor="text1"/>
              </w:rPr>
              <w:t>16 мая 1940 года</w:t>
            </w:r>
          </w:p>
        </w:tc>
        <w:tc>
          <w:tcPr>
            <w:tcW w:w="6662" w:type="dxa"/>
          </w:tcPr>
          <w:p w14:paraId="709CAF53" w14:textId="77777777" w:rsidR="00A25AD1" w:rsidRPr="00DB5D0D" w:rsidRDefault="00A25AD1" w:rsidP="00DB5D0D">
            <w:pPr>
              <w:pStyle w:val="24"/>
              <w:widowControl/>
              <w:rPr>
                <w:color w:val="000000" w:themeColor="text1"/>
              </w:rPr>
            </w:pPr>
            <w:r w:rsidRPr="00DB5D0D">
              <w:rPr>
                <w:color w:val="000000" w:themeColor="text1"/>
              </w:rPr>
              <w:t>Тренировочный полет с грузом</w:t>
            </w:r>
          </w:p>
        </w:tc>
        <w:tc>
          <w:tcPr>
            <w:tcW w:w="1559" w:type="dxa"/>
          </w:tcPr>
          <w:p w14:paraId="45FEFD23" w14:textId="77777777" w:rsidR="00A25AD1" w:rsidRPr="00DB5D0D" w:rsidRDefault="00A25AD1" w:rsidP="00DB5D0D">
            <w:pPr>
              <w:pStyle w:val="24"/>
              <w:widowControl/>
              <w:rPr>
                <w:color w:val="000000" w:themeColor="text1"/>
              </w:rPr>
            </w:pPr>
            <w:r w:rsidRPr="00DB5D0D">
              <w:rPr>
                <w:color w:val="000000" w:themeColor="text1"/>
              </w:rPr>
              <w:t>37 мин.</w:t>
            </w:r>
          </w:p>
        </w:tc>
      </w:tr>
      <w:tr w:rsidR="007D5DF8" w:rsidRPr="00DB5D0D" w14:paraId="0F00FF51" w14:textId="77777777" w:rsidTr="009223E5">
        <w:tc>
          <w:tcPr>
            <w:tcW w:w="2235" w:type="dxa"/>
          </w:tcPr>
          <w:p w14:paraId="17990967" w14:textId="77777777" w:rsidR="00A25AD1" w:rsidRPr="00DB5D0D" w:rsidRDefault="00A25AD1" w:rsidP="00DB5D0D">
            <w:pPr>
              <w:pStyle w:val="24"/>
              <w:widowControl/>
              <w:rPr>
                <w:color w:val="000000" w:themeColor="text1"/>
              </w:rPr>
            </w:pPr>
            <w:r w:rsidRPr="00DB5D0D">
              <w:rPr>
                <w:color w:val="000000" w:themeColor="text1"/>
              </w:rPr>
              <w:t>19 мая 1940 года</w:t>
            </w:r>
          </w:p>
        </w:tc>
        <w:tc>
          <w:tcPr>
            <w:tcW w:w="6662" w:type="dxa"/>
          </w:tcPr>
          <w:p w14:paraId="650A638C" w14:textId="77777777" w:rsidR="00A25AD1" w:rsidRPr="00DB5D0D" w:rsidRDefault="00A25AD1" w:rsidP="00DB5D0D">
            <w:pPr>
              <w:pStyle w:val="24"/>
              <w:widowControl/>
              <w:rPr>
                <w:color w:val="000000" w:themeColor="text1"/>
              </w:rPr>
            </w:pPr>
            <w:r w:rsidRPr="00DB5D0D">
              <w:rPr>
                <w:color w:val="000000" w:themeColor="text1"/>
              </w:rPr>
              <w:t>Полет в Рязань и обратно</w:t>
            </w:r>
          </w:p>
        </w:tc>
        <w:tc>
          <w:tcPr>
            <w:tcW w:w="1559" w:type="dxa"/>
          </w:tcPr>
          <w:p w14:paraId="5A99D55D" w14:textId="77777777" w:rsidR="00A25AD1" w:rsidRPr="00DB5D0D" w:rsidRDefault="00A25AD1" w:rsidP="00DB5D0D">
            <w:pPr>
              <w:pStyle w:val="24"/>
              <w:widowControl/>
              <w:rPr>
                <w:color w:val="000000" w:themeColor="text1"/>
              </w:rPr>
            </w:pPr>
            <w:r w:rsidRPr="00DB5D0D">
              <w:rPr>
                <w:color w:val="000000" w:themeColor="text1"/>
              </w:rPr>
              <w:t>2 полета</w:t>
            </w:r>
          </w:p>
          <w:p w14:paraId="5A9B3304" w14:textId="77777777" w:rsidR="00A25AD1" w:rsidRPr="00DB5D0D" w:rsidRDefault="00A25AD1" w:rsidP="00DB5D0D">
            <w:pPr>
              <w:pStyle w:val="24"/>
              <w:widowControl/>
              <w:rPr>
                <w:color w:val="000000" w:themeColor="text1"/>
              </w:rPr>
            </w:pPr>
            <w:r w:rsidRPr="00DB5D0D">
              <w:rPr>
                <w:color w:val="000000" w:themeColor="text1"/>
              </w:rPr>
              <w:t>2 часа 10 мин.</w:t>
            </w:r>
          </w:p>
        </w:tc>
      </w:tr>
      <w:tr w:rsidR="007D5DF8" w:rsidRPr="00DB5D0D" w14:paraId="77CD30A6" w14:textId="77777777" w:rsidTr="009223E5">
        <w:tc>
          <w:tcPr>
            <w:tcW w:w="2235" w:type="dxa"/>
          </w:tcPr>
          <w:p w14:paraId="344F7841" w14:textId="77777777" w:rsidR="00A25AD1" w:rsidRPr="00DB5D0D" w:rsidRDefault="00A25AD1" w:rsidP="00DB5D0D">
            <w:pPr>
              <w:pStyle w:val="24"/>
              <w:widowControl/>
              <w:rPr>
                <w:color w:val="000000" w:themeColor="text1"/>
              </w:rPr>
            </w:pPr>
            <w:r w:rsidRPr="00DB5D0D">
              <w:rPr>
                <w:color w:val="000000" w:themeColor="text1"/>
              </w:rPr>
              <w:t>20 мая 1940 года</w:t>
            </w:r>
          </w:p>
        </w:tc>
        <w:tc>
          <w:tcPr>
            <w:tcW w:w="6662" w:type="dxa"/>
          </w:tcPr>
          <w:p w14:paraId="67C5276F" w14:textId="77777777" w:rsidR="00A25AD1" w:rsidRPr="00DB5D0D" w:rsidRDefault="00A25AD1" w:rsidP="00DB5D0D">
            <w:pPr>
              <w:pStyle w:val="24"/>
              <w:widowControl/>
              <w:rPr>
                <w:color w:val="000000" w:themeColor="text1"/>
              </w:rPr>
            </w:pPr>
            <w:r w:rsidRPr="00DB5D0D">
              <w:rPr>
                <w:color w:val="000000" w:themeColor="text1"/>
              </w:rPr>
              <w:t>Полет на определение границы высотности мотора</w:t>
            </w:r>
          </w:p>
        </w:tc>
        <w:tc>
          <w:tcPr>
            <w:tcW w:w="1559" w:type="dxa"/>
          </w:tcPr>
          <w:p w14:paraId="1186B4A7" w14:textId="77777777" w:rsidR="00A25AD1" w:rsidRPr="00DB5D0D" w:rsidRDefault="00A25AD1" w:rsidP="00DB5D0D">
            <w:pPr>
              <w:pStyle w:val="24"/>
              <w:widowControl/>
              <w:rPr>
                <w:color w:val="000000" w:themeColor="text1"/>
              </w:rPr>
            </w:pPr>
            <w:r w:rsidRPr="00DB5D0D">
              <w:rPr>
                <w:color w:val="000000" w:themeColor="text1"/>
              </w:rPr>
              <w:t>1 час. 10 мин.</w:t>
            </w:r>
          </w:p>
        </w:tc>
      </w:tr>
      <w:tr w:rsidR="007D5DF8" w:rsidRPr="00DB5D0D" w14:paraId="188103F1" w14:textId="77777777" w:rsidTr="009223E5">
        <w:tc>
          <w:tcPr>
            <w:tcW w:w="2235" w:type="dxa"/>
          </w:tcPr>
          <w:p w14:paraId="15D0432C" w14:textId="77777777" w:rsidR="00A25AD1" w:rsidRPr="00DB5D0D" w:rsidRDefault="00A25AD1" w:rsidP="00DB5D0D">
            <w:pPr>
              <w:pStyle w:val="24"/>
              <w:widowControl/>
              <w:rPr>
                <w:color w:val="000000" w:themeColor="text1"/>
              </w:rPr>
            </w:pPr>
            <w:r w:rsidRPr="00DB5D0D">
              <w:rPr>
                <w:color w:val="000000" w:themeColor="text1"/>
              </w:rPr>
              <w:t>21 мая 1940 года</w:t>
            </w:r>
          </w:p>
        </w:tc>
        <w:tc>
          <w:tcPr>
            <w:tcW w:w="6662" w:type="dxa"/>
          </w:tcPr>
          <w:p w14:paraId="71ADB3FE" w14:textId="77777777" w:rsidR="00A25AD1" w:rsidRPr="00DB5D0D" w:rsidRDefault="00A25AD1" w:rsidP="00DB5D0D">
            <w:pPr>
              <w:pStyle w:val="24"/>
              <w:widowControl/>
              <w:rPr>
                <w:color w:val="000000" w:themeColor="text1"/>
              </w:rPr>
            </w:pPr>
            <w:r w:rsidRPr="00DB5D0D">
              <w:rPr>
                <w:color w:val="000000" w:themeColor="text1"/>
              </w:rPr>
              <w:t>Полет на скороподъемность</w:t>
            </w:r>
          </w:p>
        </w:tc>
        <w:tc>
          <w:tcPr>
            <w:tcW w:w="1559" w:type="dxa"/>
          </w:tcPr>
          <w:p w14:paraId="2FDEFC47" w14:textId="77777777" w:rsidR="00A25AD1" w:rsidRPr="00DB5D0D" w:rsidRDefault="00A25AD1" w:rsidP="00DB5D0D">
            <w:pPr>
              <w:pStyle w:val="24"/>
              <w:widowControl/>
              <w:rPr>
                <w:color w:val="000000" w:themeColor="text1"/>
              </w:rPr>
            </w:pPr>
            <w:r w:rsidRPr="00DB5D0D">
              <w:rPr>
                <w:color w:val="000000" w:themeColor="text1"/>
              </w:rPr>
              <w:t>1 час 40 мин.</w:t>
            </w:r>
          </w:p>
        </w:tc>
      </w:tr>
      <w:tr w:rsidR="007D5DF8" w:rsidRPr="00DB5D0D" w14:paraId="4A0D69E9" w14:textId="77777777" w:rsidTr="009223E5">
        <w:tc>
          <w:tcPr>
            <w:tcW w:w="2235" w:type="dxa"/>
          </w:tcPr>
          <w:p w14:paraId="2880E75B" w14:textId="77777777" w:rsidR="00A25AD1" w:rsidRPr="00DB5D0D" w:rsidRDefault="00A25AD1" w:rsidP="00DB5D0D">
            <w:pPr>
              <w:pStyle w:val="24"/>
              <w:widowControl/>
              <w:rPr>
                <w:color w:val="000000" w:themeColor="text1"/>
              </w:rPr>
            </w:pPr>
            <w:r w:rsidRPr="00DB5D0D">
              <w:rPr>
                <w:color w:val="000000" w:themeColor="text1"/>
              </w:rPr>
              <w:t>29 мая 1940 года</w:t>
            </w:r>
          </w:p>
        </w:tc>
        <w:tc>
          <w:tcPr>
            <w:tcW w:w="6662" w:type="dxa"/>
          </w:tcPr>
          <w:p w14:paraId="74384760" w14:textId="77777777" w:rsidR="00A25AD1" w:rsidRPr="00DB5D0D" w:rsidRDefault="00A25AD1" w:rsidP="00DB5D0D">
            <w:pPr>
              <w:pStyle w:val="24"/>
              <w:widowControl/>
              <w:rPr>
                <w:color w:val="000000" w:themeColor="text1"/>
              </w:rPr>
            </w:pPr>
            <w:r w:rsidRPr="00DB5D0D">
              <w:rPr>
                <w:color w:val="000000" w:themeColor="text1"/>
              </w:rPr>
              <w:t>Пробный полет после аварии</w:t>
            </w:r>
          </w:p>
        </w:tc>
        <w:tc>
          <w:tcPr>
            <w:tcW w:w="1559" w:type="dxa"/>
          </w:tcPr>
          <w:p w14:paraId="2E172C5B" w14:textId="77777777" w:rsidR="00A25AD1" w:rsidRPr="00DB5D0D" w:rsidRDefault="00A25AD1" w:rsidP="00DB5D0D">
            <w:pPr>
              <w:pStyle w:val="24"/>
              <w:widowControl/>
              <w:rPr>
                <w:color w:val="000000" w:themeColor="text1"/>
              </w:rPr>
            </w:pPr>
            <w:r w:rsidRPr="00DB5D0D">
              <w:rPr>
                <w:color w:val="000000" w:themeColor="text1"/>
              </w:rPr>
              <w:t>30 мин.</w:t>
            </w:r>
          </w:p>
        </w:tc>
      </w:tr>
      <w:tr w:rsidR="007D5DF8" w:rsidRPr="00DB5D0D" w14:paraId="4156CE68" w14:textId="77777777" w:rsidTr="009223E5">
        <w:tc>
          <w:tcPr>
            <w:tcW w:w="2235" w:type="dxa"/>
          </w:tcPr>
          <w:p w14:paraId="7FA4FB17" w14:textId="77777777" w:rsidR="00A25AD1" w:rsidRPr="00DB5D0D" w:rsidRDefault="00A25AD1" w:rsidP="00DB5D0D">
            <w:pPr>
              <w:pStyle w:val="24"/>
              <w:widowControl/>
              <w:rPr>
                <w:color w:val="000000" w:themeColor="text1"/>
              </w:rPr>
            </w:pPr>
            <w:r w:rsidRPr="00DB5D0D">
              <w:rPr>
                <w:color w:val="000000" w:themeColor="text1"/>
              </w:rPr>
              <w:t>31 мая 1940 года</w:t>
            </w:r>
          </w:p>
        </w:tc>
        <w:tc>
          <w:tcPr>
            <w:tcW w:w="6662" w:type="dxa"/>
          </w:tcPr>
          <w:p w14:paraId="77418D53" w14:textId="77777777" w:rsidR="00A25AD1" w:rsidRPr="00DB5D0D" w:rsidRDefault="00A25AD1" w:rsidP="00DB5D0D">
            <w:pPr>
              <w:pStyle w:val="24"/>
              <w:widowControl/>
              <w:rPr>
                <w:color w:val="000000" w:themeColor="text1"/>
              </w:rPr>
            </w:pPr>
            <w:r w:rsidRPr="00DB5D0D">
              <w:rPr>
                <w:color w:val="000000" w:themeColor="text1"/>
              </w:rPr>
              <w:t>Полет на Центральный аэродром и обратно</w:t>
            </w:r>
          </w:p>
        </w:tc>
        <w:tc>
          <w:tcPr>
            <w:tcW w:w="1559" w:type="dxa"/>
          </w:tcPr>
          <w:p w14:paraId="28D79F9E" w14:textId="77777777" w:rsidR="00A25AD1" w:rsidRPr="00DB5D0D" w:rsidRDefault="00A25AD1" w:rsidP="00DB5D0D">
            <w:pPr>
              <w:pStyle w:val="24"/>
              <w:widowControl/>
              <w:rPr>
                <w:color w:val="000000" w:themeColor="text1"/>
              </w:rPr>
            </w:pPr>
            <w:r w:rsidRPr="00DB5D0D">
              <w:rPr>
                <w:color w:val="000000" w:themeColor="text1"/>
              </w:rPr>
              <w:t>2 полета</w:t>
            </w:r>
          </w:p>
          <w:p w14:paraId="73132A9D" w14:textId="77777777" w:rsidR="00A25AD1" w:rsidRPr="00DB5D0D" w:rsidRDefault="00A25AD1" w:rsidP="00DB5D0D">
            <w:pPr>
              <w:pStyle w:val="24"/>
              <w:widowControl/>
              <w:rPr>
                <w:color w:val="000000" w:themeColor="text1"/>
              </w:rPr>
            </w:pPr>
            <w:r w:rsidRPr="00DB5D0D">
              <w:rPr>
                <w:color w:val="000000" w:themeColor="text1"/>
              </w:rPr>
              <w:t>40 мин.</w:t>
            </w:r>
          </w:p>
        </w:tc>
      </w:tr>
      <w:tr w:rsidR="007D5DF8" w:rsidRPr="00DB5D0D" w14:paraId="2AA030F6" w14:textId="77777777" w:rsidTr="009223E5">
        <w:tc>
          <w:tcPr>
            <w:tcW w:w="2235" w:type="dxa"/>
          </w:tcPr>
          <w:p w14:paraId="3A3951E9" w14:textId="77777777" w:rsidR="00A25AD1" w:rsidRPr="00DB5D0D" w:rsidRDefault="00A25AD1" w:rsidP="00DB5D0D">
            <w:pPr>
              <w:pStyle w:val="24"/>
              <w:widowControl/>
              <w:rPr>
                <w:color w:val="000000" w:themeColor="text1"/>
              </w:rPr>
            </w:pPr>
            <w:r w:rsidRPr="00DB5D0D">
              <w:rPr>
                <w:color w:val="000000" w:themeColor="text1"/>
              </w:rPr>
              <w:t>3 июня 1940 года</w:t>
            </w:r>
          </w:p>
        </w:tc>
        <w:tc>
          <w:tcPr>
            <w:tcW w:w="6662" w:type="dxa"/>
          </w:tcPr>
          <w:p w14:paraId="44082139" w14:textId="77777777" w:rsidR="00A25AD1" w:rsidRPr="00DB5D0D" w:rsidRDefault="00A25AD1" w:rsidP="00DB5D0D">
            <w:pPr>
              <w:pStyle w:val="24"/>
              <w:widowControl/>
              <w:rPr>
                <w:color w:val="000000" w:themeColor="text1"/>
              </w:rPr>
            </w:pPr>
            <w:r w:rsidRPr="00DB5D0D">
              <w:rPr>
                <w:color w:val="000000" w:themeColor="text1"/>
              </w:rPr>
              <w:t>Пробный полет на уборку и выпуск шасси</w:t>
            </w:r>
          </w:p>
        </w:tc>
        <w:tc>
          <w:tcPr>
            <w:tcW w:w="1559" w:type="dxa"/>
          </w:tcPr>
          <w:p w14:paraId="06EF6FC9" w14:textId="77777777" w:rsidR="00A25AD1" w:rsidRPr="00DB5D0D" w:rsidRDefault="00A25AD1" w:rsidP="00DB5D0D">
            <w:pPr>
              <w:pStyle w:val="24"/>
              <w:widowControl/>
              <w:rPr>
                <w:color w:val="000000" w:themeColor="text1"/>
              </w:rPr>
            </w:pPr>
            <w:r w:rsidRPr="00DB5D0D">
              <w:rPr>
                <w:color w:val="000000" w:themeColor="text1"/>
              </w:rPr>
              <w:t>20 мин.</w:t>
            </w:r>
          </w:p>
        </w:tc>
      </w:tr>
      <w:tr w:rsidR="007D5DF8" w:rsidRPr="00DB5D0D" w14:paraId="6F97EC43" w14:textId="77777777" w:rsidTr="009223E5">
        <w:tc>
          <w:tcPr>
            <w:tcW w:w="2235" w:type="dxa"/>
          </w:tcPr>
          <w:p w14:paraId="5E831705" w14:textId="77777777" w:rsidR="00A25AD1" w:rsidRPr="00DB5D0D" w:rsidRDefault="00A25AD1" w:rsidP="00DB5D0D">
            <w:pPr>
              <w:pStyle w:val="24"/>
              <w:widowControl/>
              <w:rPr>
                <w:color w:val="000000" w:themeColor="text1"/>
              </w:rPr>
            </w:pPr>
            <w:r w:rsidRPr="00DB5D0D">
              <w:rPr>
                <w:color w:val="000000" w:themeColor="text1"/>
              </w:rPr>
              <w:t>6 июня 1940 года</w:t>
            </w:r>
          </w:p>
        </w:tc>
        <w:tc>
          <w:tcPr>
            <w:tcW w:w="6662" w:type="dxa"/>
          </w:tcPr>
          <w:p w14:paraId="661709DC" w14:textId="77777777" w:rsidR="00A25AD1" w:rsidRPr="00DB5D0D" w:rsidRDefault="00A25AD1" w:rsidP="00DB5D0D">
            <w:pPr>
              <w:pStyle w:val="24"/>
              <w:widowControl/>
              <w:rPr>
                <w:color w:val="000000" w:themeColor="text1"/>
              </w:rPr>
            </w:pPr>
            <w:r w:rsidRPr="00DB5D0D">
              <w:rPr>
                <w:color w:val="000000" w:themeColor="text1"/>
              </w:rPr>
              <w:t>Растряска ПДББ-100</w:t>
            </w:r>
          </w:p>
        </w:tc>
        <w:tc>
          <w:tcPr>
            <w:tcW w:w="1559" w:type="dxa"/>
          </w:tcPr>
          <w:p w14:paraId="1CE21E1B" w14:textId="77777777" w:rsidR="00A25AD1" w:rsidRPr="00DB5D0D" w:rsidRDefault="00A25AD1" w:rsidP="00DB5D0D">
            <w:pPr>
              <w:pStyle w:val="24"/>
              <w:widowControl/>
              <w:rPr>
                <w:color w:val="000000" w:themeColor="text1"/>
              </w:rPr>
            </w:pPr>
            <w:r w:rsidRPr="00DB5D0D">
              <w:rPr>
                <w:color w:val="000000" w:themeColor="text1"/>
              </w:rPr>
              <w:t>3 полета</w:t>
            </w:r>
          </w:p>
          <w:p w14:paraId="29A9BBD7" w14:textId="77777777" w:rsidR="00A25AD1" w:rsidRPr="00DB5D0D" w:rsidRDefault="00A25AD1" w:rsidP="00DB5D0D">
            <w:pPr>
              <w:pStyle w:val="24"/>
              <w:widowControl/>
              <w:rPr>
                <w:color w:val="000000" w:themeColor="text1"/>
              </w:rPr>
            </w:pPr>
            <w:r w:rsidRPr="00DB5D0D">
              <w:rPr>
                <w:color w:val="000000" w:themeColor="text1"/>
              </w:rPr>
              <w:t>1 час. 00 мин.</w:t>
            </w:r>
          </w:p>
        </w:tc>
      </w:tr>
      <w:tr w:rsidR="007D5DF8" w:rsidRPr="00DB5D0D" w14:paraId="62331434" w14:textId="77777777" w:rsidTr="009223E5">
        <w:tc>
          <w:tcPr>
            <w:tcW w:w="2235" w:type="dxa"/>
          </w:tcPr>
          <w:p w14:paraId="324FB948" w14:textId="77777777" w:rsidR="00A25AD1" w:rsidRPr="00DB5D0D" w:rsidRDefault="00A25AD1" w:rsidP="00DB5D0D">
            <w:pPr>
              <w:pStyle w:val="24"/>
              <w:widowControl/>
              <w:rPr>
                <w:color w:val="000000" w:themeColor="text1"/>
              </w:rPr>
            </w:pPr>
            <w:r w:rsidRPr="00DB5D0D">
              <w:rPr>
                <w:color w:val="000000" w:themeColor="text1"/>
              </w:rPr>
              <w:t>6 июня 1940 года</w:t>
            </w:r>
          </w:p>
        </w:tc>
        <w:tc>
          <w:tcPr>
            <w:tcW w:w="6662" w:type="dxa"/>
          </w:tcPr>
          <w:p w14:paraId="3783CB36" w14:textId="77777777" w:rsidR="00A25AD1" w:rsidRPr="00DB5D0D" w:rsidRDefault="00A25AD1" w:rsidP="00DB5D0D">
            <w:pPr>
              <w:pStyle w:val="24"/>
              <w:widowControl/>
              <w:rPr>
                <w:color w:val="000000" w:themeColor="text1"/>
              </w:rPr>
            </w:pPr>
            <w:r w:rsidRPr="00DB5D0D">
              <w:rPr>
                <w:color w:val="000000" w:themeColor="text1"/>
              </w:rPr>
              <w:t>Скороподъемность и сбрасывание ПДББ-100</w:t>
            </w:r>
          </w:p>
        </w:tc>
        <w:tc>
          <w:tcPr>
            <w:tcW w:w="1559" w:type="dxa"/>
          </w:tcPr>
          <w:p w14:paraId="5617981A" w14:textId="77777777" w:rsidR="00A25AD1" w:rsidRPr="00DB5D0D" w:rsidRDefault="00A25AD1" w:rsidP="00DB5D0D">
            <w:pPr>
              <w:pStyle w:val="24"/>
              <w:widowControl/>
              <w:rPr>
                <w:color w:val="000000" w:themeColor="text1"/>
              </w:rPr>
            </w:pPr>
            <w:r w:rsidRPr="00DB5D0D">
              <w:rPr>
                <w:color w:val="000000" w:themeColor="text1"/>
              </w:rPr>
              <w:t>2 полета 2 час. 05 мин.</w:t>
            </w:r>
          </w:p>
        </w:tc>
      </w:tr>
      <w:tr w:rsidR="007D5DF8" w:rsidRPr="00DB5D0D" w14:paraId="7AF36178" w14:textId="77777777" w:rsidTr="009223E5">
        <w:tc>
          <w:tcPr>
            <w:tcW w:w="2235" w:type="dxa"/>
          </w:tcPr>
          <w:p w14:paraId="5C9B0B45" w14:textId="77777777" w:rsidR="00A25AD1" w:rsidRPr="00DB5D0D" w:rsidRDefault="00A25AD1" w:rsidP="00DB5D0D">
            <w:pPr>
              <w:pStyle w:val="24"/>
              <w:widowControl/>
              <w:rPr>
                <w:color w:val="000000" w:themeColor="text1"/>
              </w:rPr>
            </w:pPr>
            <w:r w:rsidRPr="00DB5D0D">
              <w:rPr>
                <w:color w:val="000000" w:themeColor="text1"/>
              </w:rPr>
              <w:t>9 июня 1940 года</w:t>
            </w:r>
          </w:p>
        </w:tc>
        <w:tc>
          <w:tcPr>
            <w:tcW w:w="6662" w:type="dxa"/>
          </w:tcPr>
          <w:p w14:paraId="430C43FD" w14:textId="77777777" w:rsidR="00A25AD1" w:rsidRPr="00DB5D0D" w:rsidRDefault="00A25AD1" w:rsidP="00DB5D0D">
            <w:pPr>
              <w:pStyle w:val="24"/>
              <w:widowControl/>
              <w:rPr>
                <w:color w:val="000000" w:themeColor="text1"/>
              </w:rPr>
            </w:pPr>
            <w:r w:rsidRPr="00DB5D0D">
              <w:rPr>
                <w:color w:val="000000" w:themeColor="text1"/>
              </w:rPr>
              <w:t>Растряска ПДББ-250</w:t>
            </w:r>
          </w:p>
        </w:tc>
        <w:tc>
          <w:tcPr>
            <w:tcW w:w="1559" w:type="dxa"/>
          </w:tcPr>
          <w:p w14:paraId="4899064B" w14:textId="77777777" w:rsidR="00A25AD1" w:rsidRPr="00DB5D0D" w:rsidRDefault="00A25AD1" w:rsidP="00DB5D0D">
            <w:pPr>
              <w:pStyle w:val="24"/>
              <w:widowControl/>
              <w:rPr>
                <w:color w:val="000000" w:themeColor="text1"/>
              </w:rPr>
            </w:pPr>
            <w:r w:rsidRPr="00DB5D0D">
              <w:rPr>
                <w:color w:val="000000" w:themeColor="text1"/>
              </w:rPr>
              <w:t>3 полета</w:t>
            </w:r>
          </w:p>
          <w:p w14:paraId="31934CBB" w14:textId="77777777" w:rsidR="00A25AD1" w:rsidRPr="00DB5D0D" w:rsidRDefault="00A25AD1" w:rsidP="00DB5D0D">
            <w:pPr>
              <w:pStyle w:val="24"/>
              <w:widowControl/>
              <w:rPr>
                <w:color w:val="000000" w:themeColor="text1"/>
              </w:rPr>
            </w:pPr>
            <w:r w:rsidRPr="00DB5D0D">
              <w:rPr>
                <w:color w:val="000000" w:themeColor="text1"/>
              </w:rPr>
              <w:t>40 мин.</w:t>
            </w:r>
          </w:p>
        </w:tc>
      </w:tr>
      <w:tr w:rsidR="007D5DF8" w:rsidRPr="00DB5D0D" w14:paraId="3B6824B8" w14:textId="77777777" w:rsidTr="009223E5">
        <w:tc>
          <w:tcPr>
            <w:tcW w:w="2235" w:type="dxa"/>
          </w:tcPr>
          <w:p w14:paraId="65EF39FE" w14:textId="77777777" w:rsidR="00A25AD1" w:rsidRPr="00DB5D0D" w:rsidRDefault="00A25AD1" w:rsidP="00DB5D0D">
            <w:pPr>
              <w:pStyle w:val="24"/>
              <w:widowControl/>
              <w:rPr>
                <w:color w:val="000000" w:themeColor="text1"/>
              </w:rPr>
            </w:pPr>
            <w:r w:rsidRPr="00DB5D0D">
              <w:rPr>
                <w:color w:val="000000" w:themeColor="text1"/>
              </w:rPr>
              <w:t>9 июня 1940 года</w:t>
            </w:r>
          </w:p>
        </w:tc>
        <w:tc>
          <w:tcPr>
            <w:tcW w:w="6662" w:type="dxa"/>
          </w:tcPr>
          <w:p w14:paraId="2590B9CA" w14:textId="77777777" w:rsidR="00A25AD1" w:rsidRPr="00DB5D0D" w:rsidRDefault="00A25AD1" w:rsidP="00DB5D0D">
            <w:pPr>
              <w:pStyle w:val="24"/>
              <w:widowControl/>
              <w:rPr>
                <w:color w:val="000000" w:themeColor="text1"/>
              </w:rPr>
            </w:pPr>
            <w:r w:rsidRPr="00DB5D0D">
              <w:rPr>
                <w:color w:val="000000" w:themeColor="text1"/>
              </w:rPr>
              <w:t>Сбрасывание ПДББ-250</w:t>
            </w:r>
          </w:p>
        </w:tc>
        <w:tc>
          <w:tcPr>
            <w:tcW w:w="1559" w:type="dxa"/>
          </w:tcPr>
          <w:p w14:paraId="3C343F2B" w14:textId="77777777" w:rsidR="00A25AD1" w:rsidRPr="00DB5D0D" w:rsidRDefault="00A25AD1" w:rsidP="00DB5D0D">
            <w:pPr>
              <w:pStyle w:val="24"/>
              <w:widowControl/>
              <w:rPr>
                <w:color w:val="000000" w:themeColor="text1"/>
              </w:rPr>
            </w:pPr>
            <w:r w:rsidRPr="00DB5D0D">
              <w:rPr>
                <w:color w:val="000000" w:themeColor="text1"/>
              </w:rPr>
              <w:t>20 мин.</w:t>
            </w:r>
          </w:p>
        </w:tc>
      </w:tr>
      <w:tr w:rsidR="007D5DF8" w:rsidRPr="00DB5D0D" w14:paraId="2533A669" w14:textId="77777777" w:rsidTr="009223E5">
        <w:tc>
          <w:tcPr>
            <w:tcW w:w="2235" w:type="dxa"/>
          </w:tcPr>
          <w:p w14:paraId="2555875A" w14:textId="77777777" w:rsidR="00A25AD1" w:rsidRPr="00DB5D0D" w:rsidRDefault="00A25AD1" w:rsidP="00DB5D0D">
            <w:pPr>
              <w:pStyle w:val="24"/>
              <w:widowControl/>
              <w:rPr>
                <w:color w:val="000000" w:themeColor="text1"/>
              </w:rPr>
            </w:pPr>
            <w:r w:rsidRPr="00DB5D0D">
              <w:rPr>
                <w:color w:val="000000" w:themeColor="text1"/>
              </w:rPr>
              <w:t>10 июня 1940 года</w:t>
            </w:r>
          </w:p>
        </w:tc>
        <w:tc>
          <w:tcPr>
            <w:tcW w:w="6662" w:type="dxa"/>
          </w:tcPr>
          <w:p w14:paraId="5D365FBC" w14:textId="77777777" w:rsidR="00A25AD1" w:rsidRPr="00DB5D0D" w:rsidRDefault="00A25AD1" w:rsidP="00DB5D0D">
            <w:pPr>
              <w:pStyle w:val="24"/>
              <w:widowControl/>
              <w:rPr>
                <w:color w:val="000000" w:themeColor="text1"/>
              </w:rPr>
            </w:pPr>
            <w:r w:rsidRPr="00DB5D0D">
              <w:rPr>
                <w:color w:val="000000" w:themeColor="text1"/>
              </w:rPr>
              <w:t>Определение взлетно-посадочных свойств с подвеской ПДББ-400</w:t>
            </w:r>
          </w:p>
        </w:tc>
        <w:tc>
          <w:tcPr>
            <w:tcW w:w="1559" w:type="dxa"/>
          </w:tcPr>
          <w:p w14:paraId="0A03998C" w14:textId="77777777" w:rsidR="00A25AD1" w:rsidRPr="00DB5D0D" w:rsidRDefault="00A25AD1" w:rsidP="00DB5D0D">
            <w:pPr>
              <w:pStyle w:val="24"/>
              <w:widowControl/>
              <w:rPr>
                <w:color w:val="000000" w:themeColor="text1"/>
              </w:rPr>
            </w:pPr>
            <w:r w:rsidRPr="00DB5D0D">
              <w:rPr>
                <w:color w:val="000000" w:themeColor="text1"/>
              </w:rPr>
              <w:t>4 полета</w:t>
            </w:r>
          </w:p>
          <w:p w14:paraId="47265910" w14:textId="77777777" w:rsidR="00A25AD1" w:rsidRPr="00DB5D0D" w:rsidRDefault="00A25AD1" w:rsidP="00DB5D0D">
            <w:pPr>
              <w:pStyle w:val="24"/>
              <w:widowControl/>
              <w:rPr>
                <w:color w:val="000000" w:themeColor="text1"/>
              </w:rPr>
            </w:pPr>
            <w:r w:rsidRPr="00DB5D0D">
              <w:rPr>
                <w:color w:val="000000" w:themeColor="text1"/>
              </w:rPr>
              <w:t>40 мин.</w:t>
            </w:r>
          </w:p>
        </w:tc>
      </w:tr>
      <w:tr w:rsidR="007D5DF8" w:rsidRPr="00DB5D0D" w14:paraId="73873E7D" w14:textId="77777777" w:rsidTr="009223E5">
        <w:tc>
          <w:tcPr>
            <w:tcW w:w="2235" w:type="dxa"/>
          </w:tcPr>
          <w:p w14:paraId="4983DDB0" w14:textId="77777777" w:rsidR="00A25AD1" w:rsidRPr="00DB5D0D" w:rsidRDefault="00A25AD1" w:rsidP="00DB5D0D">
            <w:pPr>
              <w:pStyle w:val="24"/>
              <w:widowControl/>
              <w:rPr>
                <w:color w:val="000000" w:themeColor="text1"/>
              </w:rPr>
            </w:pPr>
            <w:r w:rsidRPr="00DB5D0D">
              <w:rPr>
                <w:color w:val="000000" w:themeColor="text1"/>
              </w:rPr>
              <w:t>10 июня 1940 года</w:t>
            </w:r>
          </w:p>
        </w:tc>
        <w:tc>
          <w:tcPr>
            <w:tcW w:w="6662" w:type="dxa"/>
          </w:tcPr>
          <w:p w14:paraId="62DC9715" w14:textId="77777777" w:rsidR="00A25AD1" w:rsidRPr="00DB5D0D" w:rsidRDefault="00A25AD1" w:rsidP="00DB5D0D">
            <w:pPr>
              <w:pStyle w:val="24"/>
              <w:widowControl/>
              <w:rPr>
                <w:color w:val="000000" w:themeColor="text1"/>
              </w:rPr>
            </w:pPr>
            <w:r w:rsidRPr="00DB5D0D">
              <w:rPr>
                <w:color w:val="000000" w:themeColor="text1"/>
              </w:rPr>
              <w:t>Сбрасывание ПДББ-400</w:t>
            </w:r>
          </w:p>
        </w:tc>
        <w:tc>
          <w:tcPr>
            <w:tcW w:w="1559" w:type="dxa"/>
          </w:tcPr>
          <w:p w14:paraId="439CDAEB" w14:textId="77777777" w:rsidR="00A25AD1" w:rsidRPr="00DB5D0D" w:rsidRDefault="00A25AD1" w:rsidP="00DB5D0D">
            <w:pPr>
              <w:pStyle w:val="24"/>
              <w:widowControl/>
              <w:rPr>
                <w:color w:val="000000" w:themeColor="text1"/>
              </w:rPr>
            </w:pPr>
            <w:r w:rsidRPr="00DB5D0D">
              <w:rPr>
                <w:color w:val="000000" w:themeColor="text1"/>
              </w:rPr>
              <w:t>20 мин.</w:t>
            </w:r>
          </w:p>
        </w:tc>
      </w:tr>
      <w:tr w:rsidR="007D5DF8" w:rsidRPr="00DB5D0D" w14:paraId="3DCC6ED6" w14:textId="77777777" w:rsidTr="009223E5">
        <w:tc>
          <w:tcPr>
            <w:tcW w:w="2235" w:type="dxa"/>
          </w:tcPr>
          <w:p w14:paraId="26752870" w14:textId="77777777" w:rsidR="00A25AD1" w:rsidRPr="00DB5D0D" w:rsidRDefault="00A25AD1" w:rsidP="00DB5D0D">
            <w:pPr>
              <w:pStyle w:val="24"/>
              <w:widowControl/>
              <w:rPr>
                <w:color w:val="000000" w:themeColor="text1"/>
              </w:rPr>
            </w:pPr>
            <w:r w:rsidRPr="00DB5D0D">
              <w:rPr>
                <w:color w:val="000000" w:themeColor="text1"/>
              </w:rPr>
              <w:t>10 июня 1940 года</w:t>
            </w:r>
          </w:p>
        </w:tc>
        <w:tc>
          <w:tcPr>
            <w:tcW w:w="6662" w:type="dxa"/>
          </w:tcPr>
          <w:p w14:paraId="779D213B" w14:textId="77777777" w:rsidR="00A25AD1" w:rsidRPr="00DB5D0D" w:rsidRDefault="00A25AD1" w:rsidP="00DB5D0D">
            <w:pPr>
              <w:pStyle w:val="24"/>
              <w:widowControl/>
              <w:rPr>
                <w:color w:val="000000" w:themeColor="text1"/>
              </w:rPr>
            </w:pPr>
            <w:r w:rsidRPr="00DB5D0D">
              <w:rPr>
                <w:color w:val="000000" w:themeColor="text1"/>
              </w:rPr>
              <w:t>Растряска П-45</w:t>
            </w:r>
          </w:p>
        </w:tc>
        <w:tc>
          <w:tcPr>
            <w:tcW w:w="1559" w:type="dxa"/>
          </w:tcPr>
          <w:p w14:paraId="6210DEC0" w14:textId="77777777" w:rsidR="00A25AD1" w:rsidRPr="00DB5D0D" w:rsidRDefault="00A25AD1" w:rsidP="00DB5D0D">
            <w:pPr>
              <w:pStyle w:val="24"/>
              <w:widowControl/>
              <w:rPr>
                <w:color w:val="000000" w:themeColor="text1"/>
              </w:rPr>
            </w:pPr>
            <w:r w:rsidRPr="00DB5D0D">
              <w:rPr>
                <w:color w:val="000000" w:themeColor="text1"/>
              </w:rPr>
              <w:t>2 полета</w:t>
            </w:r>
          </w:p>
          <w:p w14:paraId="3C3E5194" w14:textId="77777777" w:rsidR="00A25AD1" w:rsidRPr="00DB5D0D" w:rsidRDefault="00A25AD1" w:rsidP="00DB5D0D">
            <w:pPr>
              <w:pStyle w:val="24"/>
              <w:widowControl/>
              <w:rPr>
                <w:color w:val="000000" w:themeColor="text1"/>
              </w:rPr>
            </w:pPr>
            <w:r w:rsidRPr="00DB5D0D">
              <w:rPr>
                <w:color w:val="000000" w:themeColor="text1"/>
              </w:rPr>
              <w:t>20 мин.</w:t>
            </w:r>
          </w:p>
        </w:tc>
      </w:tr>
      <w:tr w:rsidR="007D5DF8" w:rsidRPr="00DB5D0D" w14:paraId="0EDD9CB5" w14:textId="77777777" w:rsidTr="009223E5">
        <w:tc>
          <w:tcPr>
            <w:tcW w:w="2235" w:type="dxa"/>
          </w:tcPr>
          <w:p w14:paraId="66C4D9F0" w14:textId="77777777" w:rsidR="00A25AD1" w:rsidRPr="00DB5D0D" w:rsidRDefault="00A25AD1" w:rsidP="00DB5D0D">
            <w:pPr>
              <w:pStyle w:val="24"/>
              <w:widowControl/>
              <w:rPr>
                <w:color w:val="000000" w:themeColor="text1"/>
              </w:rPr>
            </w:pPr>
            <w:r w:rsidRPr="00DB5D0D">
              <w:rPr>
                <w:color w:val="000000" w:themeColor="text1"/>
              </w:rPr>
              <w:t>10 июня 1940 года</w:t>
            </w:r>
          </w:p>
        </w:tc>
        <w:tc>
          <w:tcPr>
            <w:tcW w:w="6662" w:type="dxa"/>
          </w:tcPr>
          <w:p w14:paraId="28E9AFFE" w14:textId="77777777" w:rsidR="00A25AD1" w:rsidRPr="00DB5D0D" w:rsidRDefault="00A25AD1" w:rsidP="00DB5D0D">
            <w:pPr>
              <w:pStyle w:val="24"/>
              <w:widowControl/>
              <w:rPr>
                <w:color w:val="000000" w:themeColor="text1"/>
              </w:rPr>
            </w:pPr>
            <w:r w:rsidRPr="00DB5D0D">
              <w:rPr>
                <w:color w:val="000000" w:themeColor="text1"/>
              </w:rPr>
              <w:t>Загрузка П-76 и растряска</w:t>
            </w:r>
          </w:p>
        </w:tc>
        <w:tc>
          <w:tcPr>
            <w:tcW w:w="1559" w:type="dxa"/>
          </w:tcPr>
          <w:p w14:paraId="28117B04" w14:textId="77777777" w:rsidR="00A25AD1" w:rsidRPr="00DB5D0D" w:rsidRDefault="00A25AD1" w:rsidP="00DB5D0D">
            <w:pPr>
              <w:pStyle w:val="24"/>
              <w:widowControl/>
              <w:rPr>
                <w:color w:val="000000" w:themeColor="text1"/>
              </w:rPr>
            </w:pPr>
            <w:r w:rsidRPr="00DB5D0D">
              <w:rPr>
                <w:color w:val="000000" w:themeColor="text1"/>
              </w:rPr>
              <w:t>2 полета</w:t>
            </w:r>
          </w:p>
          <w:p w14:paraId="41A916D4" w14:textId="77777777" w:rsidR="00A25AD1" w:rsidRPr="00DB5D0D" w:rsidRDefault="00A25AD1" w:rsidP="00DB5D0D">
            <w:pPr>
              <w:pStyle w:val="24"/>
              <w:widowControl/>
              <w:rPr>
                <w:color w:val="000000" w:themeColor="text1"/>
              </w:rPr>
            </w:pPr>
            <w:r w:rsidRPr="00DB5D0D">
              <w:rPr>
                <w:color w:val="000000" w:themeColor="text1"/>
              </w:rPr>
              <w:t>25 мин.</w:t>
            </w:r>
          </w:p>
        </w:tc>
      </w:tr>
      <w:tr w:rsidR="007D5DF8" w:rsidRPr="00DB5D0D" w14:paraId="70FBCBC0" w14:textId="77777777" w:rsidTr="009223E5">
        <w:tc>
          <w:tcPr>
            <w:tcW w:w="2235" w:type="dxa"/>
          </w:tcPr>
          <w:p w14:paraId="66D18F7D" w14:textId="77777777" w:rsidR="00A25AD1" w:rsidRPr="00DB5D0D" w:rsidRDefault="00A25AD1" w:rsidP="00DB5D0D">
            <w:pPr>
              <w:pStyle w:val="24"/>
              <w:widowControl/>
              <w:rPr>
                <w:color w:val="000000" w:themeColor="text1"/>
              </w:rPr>
            </w:pPr>
            <w:r w:rsidRPr="00DB5D0D">
              <w:rPr>
                <w:color w:val="000000" w:themeColor="text1"/>
              </w:rPr>
              <w:t>11 июня 1940 года</w:t>
            </w:r>
          </w:p>
        </w:tc>
        <w:tc>
          <w:tcPr>
            <w:tcW w:w="6662" w:type="dxa"/>
          </w:tcPr>
          <w:p w14:paraId="107A900C" w14:textId="77777777" w:rsidR="00A25AD1" w:rsidRPr="00DB5D0D" w:rsidRDefault="00A25AD1" w:rsidP="00DB5D0D">
            <w:pPr>
              <w:pStyle w:val="24"/>
              <w:widowControl/>
              <w:rPr>
                <w:color w:val="000000" w:themeColor="text1"/>
              </w:rPr>
            </w:pPr>
            <w:r w:rsidRPr="00DB5D0D">
              <w:rPr>
                <w:color w:val="000000" w:themeColor="text1"/>
              </w:rPr>
              <w:t>Километраж</w:t>
            </w:r>
          </w:p>
        </w:tc>
        <w:tc>
          <w:tcPr>
            <w:tcW w:w="1559" w:type="dxa"/>
          </w:tcPr>
          <w:p w14:paraId="48F4C379" w14:textId="77777777" w:rsidR="00A25AD1" w:rsidRPr="00DB5D0D" w:rsidRDefault="00A25AD1" w:rsidP="00DB5D0D">
            <w:pPr>
              <w:pStyle w:val="24"/>
              <w:widowControl/>
              <w:rPr>
                <w:color w:val="000000" w:themeColor="text1"/>
              </w:rPr>
            </w:pPr>
            <w:r w:rsidRPr="00DB5D0D">
              <w:rPr>
                <w:color w:val="000000" w:themeColor="text1"/>
              </w:rPr>
              <w:t>1 час. 10 мин.</w:t>
            </w:r>
          </w:p>
        </w:tc>
      </w:tr>
      <w:tr w:rsidR="007D5DF8" w:rsidRPr="00DB5D0D" w14:paraId="62675AA8" w14:textId="77777777" w:rsidTr="009223E5">
        <w:tc>
          <w:tcPr>
            <w:tcW w:w="2235" w:type="dxa"/>
          </w:tcPr>
          <w:p w14:paraId="06C479F1" w14:textId="77777777" w:rsidR="00A25AD1" w:rsidRPr="00DB5D0D" w:rsidRDefault="00A25AD1" w:rsidP="00DB5D0D">
            <w:pPr>
              <w:pStyle w:val="24"/>
              <w:widowControl/>
              <w:rPr>
                <w:color w:val="000000" w:themeColor="text1"/>
              </w:rPr>
            </w:pPr>
            <w:r w:rsidRPr="00DB5D0D">
              <w:rPr>
                <w:color w:val="000000" w:themeColor="text1"/>
              </w:rPr>
              <w:t>11 июня 1940 года</w:t>
            </w:r>
          </w:p>
        </w:tc>
        <w:tc>
          <w:tcPr>
            <w:tcW w:w="6662" w:type="dxa"/>
          </w:tcPr>
          <w:p w14:paraId="3A86C953" w14:textId="77777777" w:rsidR="00A25AD1" w:rsidRPr="00DB5D0D" w:rsidRDefault="00A25AD1" w:rsidP="00DB5D0D">
            <w:pPr>
              <w:pStyle w:val="24"/>
              <w:widowControl/>
              <w:rPr>
                <w:color w:val="000000" w:themeColor="text1"/>
              </w:rPr>
            </w:pPr>
            <w:r w:rsidRPr="00DB5D0D">
              <w:rPr>
                <w:color w:val="000000" w:themeColor="text1"/>
              </w:rPr>
              <w:t>Определение взлетно-посадочных свойств</w:t>
            </w:r>
          </w:p>
        </w:tc>
        <w:tc>
          <w:tcPr>
            <w:tcW w:w="1559" w:type="dxa"/>
          </w:tcPr>
          <w:p w14:paraId="5FE64686" w14:textId="77777777" w:rsidR="00A25AD1" w:rsidRPr="00DB5D0D" w:rsidRDefault="00A25AD1" w:rsidP="00DB5D0D">
            <w:pPr>
              <w:pStyle w:val="24"/>
              <w:widowControl/>
              <w:rPr>
                <w:color w:val="000000" w:themeColor="text1"/>
              </w:rPr>
            </w:pPr>
            <w:r w:rsidRPr="00DB5D0D">
              <w:rPr>
                <w:color w:val="000000" w:themeColor="text1"/>
              </w:rPr>
              <w:t>5 полетов</w:t>
            </w:r>
          </w:p>
          <w:p w14:paraId="202C6690" w14:textId="77777777" w:rsidR="00A25AD1" w:rsidRPr="00DB5D0D" w:rsidRDefault="00A25AD1" w:rsidP="00DB5D0D">
            <w:pPr>
              <w:pStyle w:val="24"/>
              <w:widowControl/>
              <w:rPr>
                <w:color w:val="000000" w:themeColor="text1"/>
              </w:rPr>
            </w:pPr>
            <w:r w:rsidRPr="00DB5D0D">
              <w:rPr>
                <w:color w:val="000000" w:themeColor="text1"/>
              </w:rPr>
              <w:t>55 мин.</w:t>
            </w:r>
          </w:p>
        </w:tc>
      </w:tr>
      <w:tr w:rsidR="007D5DF8" w:rsidRPr="00DB5D0D" w14:paraId="5549B5EE" w14:textId="77777777" w:rsidTr="009223E5">
        <w:tc>
          <w:tcPr>
            <w:tcW w:w="2235" w:type="dxa"/>
          </w:tcPr>
          <w:p w14:paraId="320DCFA6" w14:textId="77777777" w:rsidR="00A25AD1" w:rsidRPr="00DB5D0D" w:rsidRDefault="00A25AD1" w:rsidP="00DB5D0D">
            <w:pPr>
              <w:pStyle w:val="24"/>
              <w:widowControl/>
              <w:rPr>
                <w:color w:val="000000" w:themeColor="text1"/>
              </w:rPr>
            </w:pPr>
            <w:r w:rsidRPr="00DB5D0D">
              <w:rPr>
                <w:color w:val="000000" w:themeColor="text1"/>
              </w:rPr>
              <w:t>13 июня 1940 года</w:t>
            </w:r>
          </w:p>
        </w:tc>
        <w:tc>
          <w:tcPr>
            <w:tcW w:w="6662" w:type="dxa"/>
          </w:tcPr>
          <w:p w14:paraId="56E3ED5E" w14:textId="77777777" w:rsidR="00A25AD1" w:rsidRPr="00DB5D0D" w:rsidRDefault="00A25AD1" w:rsidP="00DB5D0D">
            <w:pPr>
              <w:pStyle w:val="24"/>
              <w:widowControl/>
              <w:rPr>
                <w:color w:val="000000" w:themeColor="text1"/>
              </w:rPr>
            </w:pPr>
            <w:r w:rsidRPr="00DB5D0D">
              <w:rPr>
                <w:color w:val="000000" w:themeColor="text1"/>
              </w:rPr>
              <w:t>Выпрыгивание инструкторов</w:t>
            </w:r>
          </w:p>
        </w:tc>
        <w:tc>
          <w:tcPr>
            <w:tcW w:w="1559" w:type="dxa"/>
          </w:tcPr>
          <w:p w14:paraId="011615BB" w14:textId="77777777" w:rsidR="00A25AD1" w:rsidRPr="00DB5D0D" w:rsidRDefault="00A25AD1" w:rsidP="00DB5D0D">
            <w:pPr>
              <w:pStyle w:val="24"/>
              <w:widowControl/>
              <w:rPr>
                <w:color w:val="000000" w:themeColor="text1"/>
              </w:rPr>
            </w:pPr>
            <w:r w:rsidRPr="00DB5D0D">
              <w:rPr>
                <w:color w:val="000000" w:themeColor="text1"/>
              </w:rPr>
              <w:t>2 полета</w:t>
            </w:r>
          </w:p>
          <w:p w14:paraId="474C4D99" w14:textId="77777777" w:rsidR="00A25AD1" w:rsidRPr="00DB5D0D" w:rsidRDefault="00A25AD1" w:rsidP="00DB5D0D">
            <w:pPr>
              <w:pStyle w:val="24"/>
              <w:widowControl/>
              <w:rPr>
                <w:color w:val="000000" w:themeColor="text1"/>
              </w:rPr>
            </w:pPr>
            <w:r w:rsidRPr="00DB5D0D">
              <w:rPr>
                <w:color w:val="000000" w:themeColor="text1"/>
              </w:rPr>
              <w:t>1 час. 20 мин.</w:t>
            </w:r>
          </w:p>
        </w:tc>
      </w:tr>
      <w:tr w:rsidR="007D5DF8" w:rsidRPr="00DB5D0D" w14:paraId="2A1C023C" w14:textId="77777777" w:rsidTr="009223E5">
        <w:tc>
          <w:tcPr>
            <w:tcW w:w="2235" w:type="dxa"/>
          </w:tcPr>
          <w:p w14:paraId="07D55E7B" w14:textId="77777777" w:rsidR="00A25AD1" w:rsidRPr="00DB5D0D" w:rsidRDefault="00A25AD1" w:rsidP="00DB5D0D">
            <w:pPr>
              <w:pStyle w:val="24"/>
              <w:widowControl/>
              <w:rPr>
                <w:color w:val="000000" w:themeColor="text1"/>
              </w:rPr>
            </w:pPr>
            <w:r w:rsidRPr="00DB5D0D">
              <w:rPr>
                <w:color w:val="000000" w:themeColor="text1"/>
              </w:rPr>
              <w:t>17 июня 1940 года</w:t>
            </w:r>
          </w:p>
        </w:tc>
        <w:tc>
          <w:tcPr>
            <w:tcW w:w="6662" w:type="dxa"/>
          </w:tcPr>
          <w:p w14:paraId="1F964131" w14:textId="77777777" w:rsidR="00A25AD1" w:rsidRPr="00DB5D0D" w:rsidRDefault="00A25AD1" w:rsidP="00DB5D0D">
            <w:pPr>
              <w:pStyle w:val="24"/>
              <w:widowControl/>
              <w:rPr>
                <w:color w:val="000000" w:themeColor="text1"/>
              </w:rPr>
            </w:pPr>
            <w:r w:rsidRPr="00DB5D0D">
              <w:rPr>
                <w:color w:val="000000" w:themeColor="text1"/>
              </w:rPr>
              <w:t>Перелет в д. Реблицы ЛВО</w:t>
            </w:r>
          </w:p>
        </w:tc>
        <w:tc>
          <w:tcPr>
            <w:tcW w:w="1559" w:type="dxa"/>
          </w:tcPr>
          <w:p w14:paraId="624FCA98" w14:textId="77777777" w:rsidR="00A25AD1" w:rsidRPr="00DB5D0D" w:rsidRDefault="00A25AD1" w:rsidP="00DB5D0D">
            <w:pPr>
              <w:pStyle w:val="24"/>
              <w:widowControl/>
              <w:rPr>
                <w:color w:val="000000" w:themeColor="text1"/>
              </w:rPr>
            </w:pPr>
            <w:r w:rsidRPr="00DB5D0D">
              <w:rPr>
                <w:color w:val="000000" w:themeColor="text1"/>
              </w:rPr>
              <w:t>2 час. 30 мин.</w:t>
            </w:r>
          </w:p>
        </w:tc>
      </w:tr>
      <w:tr w:rsidR="007D5DF8" w:rsidRPr="00DB5D0D" w14:paraId="3256EDEC" w14:textId="77777777" w:rsidTr="009223E5">
        <w:tc>
          <w:tcPr>
            <w:tcW w:w="2235" w:type="dxa"/>
          </w:tcPr>
          <w:p w14:paraId="0F8E898C" w14:textId="77777777" w:rsidR="00A25AD1" w:rsidRPr="00DB5D0D" w:rsidRDefault="00A25AD1" w:rsidP="00DB5D0D">
            <w:pPr>
              <w:pStyle w:val="24"/>
              <w:widowControl/>
              <w:rPr>
                <w:color w:val="000000" w:themeColor="text1"/>
              </w:rPr>
            </w:pPr>
            <w:r w:rsidRPr="00DB5D0D">
              <w:rPr>
                <w:color w:val="000000" w:themeColor="text1"/>
              </w:rPr>
              <w:t>17 июня 1940 года</w:t>
            </w:r>
          </w:p>
        </w:tc>
        <w:tc>
          <w:tcPr>
            <w:tcW w:w="6662" w:type="dxa"/>
          </w:tcPr>
          <w:p w14:paraId="6A3F79DA" w14:textId="77777777" w:rsidR="00A25AD1" w:rsidRPr="00DB5D0D" w:rsidRDefault="00A25AD1" w:rsidP="00DB5D0D">
            <w:pPr>
              <w:pStyle w:val="24"/>
              <w:widowControl/>
              <w:rPr>
                <w:color w:val="000000" w:themeColor="text1"/>
              </w:rPr>
            </w:pPr>
            <w:r w:rsidRPr="00DB5D0D">
              <w:rPr>
                <w:color w:val="000000" w:themeColor="text1"/>
              </w:rPr>
              <w:t>Сбрасывание десанта</w:t>
            </w:r>
          </w:p>
        </w:tc>
        <w:tc>
          <w:tcPr>
            <w:tcW w:w="1559" w:type="dxa"/>
          </w:tcPr>
          <w:p w14:paraId="203290AA" w14:textId="77777777" w:rsidR="00A25AD1" w:rsidRPr="00DB5D0D" w:rsidRDefault="00A25AD1" w:rsidP="00DB5D0D">
            <w:pPr>
              <w:pStyle w:val="24"/>
              <w:widowControl/>
              <w:rPr>
                <w:color w:val="000000" w:themeColor="text1"/>
              </w:rPr>
            </w:pPr>
            <w:r w:rsidRPr="00DB5D0D">
              <w:rPr>
                <w:color w:val="000000" w:themeColor="text1"/>
              </w:rPr>
              <w:t>2 полета</w:t>
            </w:r>
          </w:p>
          <w:p w14:paraId="4EE495E2" w14:textId="77777777" w:rsidR="00A25AD1" w:rsidRPr="00DB5D0D" w:rsidRDefault="00A25AD1" w:rsidP="00DB5D0D">
            <w:pPr>
              <w:pStyle w:val="24"/>
              <w:widowControl/>
              <w:rPr>
                <w:color w:val="000000" w:themeColor="text1"/>
              </w:rPr>
            </w:pPr>
            <w:r w:rsidRPr="00DB5D0D">
              <w:rPr>
                <w:color w:val="000000" w:themeColor="text1"/>
              </w:rPr>
              <w:t>50 мин.</w:t>
            </w:r>
          </w:p>
        </w:tc>
      </w:tr>
      <w:tr w:rsidR="007D5DF8" w:rsidRPr="00DB5D0D" w14:paraId="13BAF5ED" w14:textId="77777777" w:rsidTr="009223E5">
        <w:tc>
          <w:tcPr>
            <w:tcW w:w="2235" w:type="dxa"/>
          </w:tcPr>
          <w:p w14:paraId="4BF24303" w14:textId="77777777" w:rsidR="00A25AD1" w:rsidRPr="00DB5D0D" w:rsidRDefault="00A25AD1" w:rsidP="00DB5D0D">
            <w:pPr>
              <w:pStyle w:val="24"/>
              <w:widowControl/>
              <w:rPr>
                <w:color w:val="000000" w:themeColor="text1"/>
              </w:rPr>
            </w:pPr>
            <w:r w:rsidRPr="00DB5D0D">
              <w:rPr>
                <w:color w:val="000000" w:themeColor="text1"/>
              </w:rPr>
              <w:t>18 июня 1940 года</w:t>
            </w:r>
          </w:p>
        </w:tc>
        <w:tc>
          <w:tcPr>
            <w:tcW w:w="6662" w:type="dxa"/>
          </w:tcPr>
          <w:p w14:paraId="2801A07C" w14:textId="77777777" w:rsidR="00A25AD1" w:rsidRPr="00DB5D0D" w:rsidRDefault="00A25AD1" w:rsidP="00DB5D0D">
            <w:pPr>
              <w:pStyle w:val="24"/>
              <w:widowControl/>
              <w:rPr>
                <w:color w:val="000000" w:themeColor="text1"/>
              </w:rPr>
            </w:pPr>
            <w:r w:rsidRPr="00DB5D0D">
              <w:rPr>
                <w:color w:val="000000" w:themeColor="text1"/>
              </w:rPr>
              <w:t>Сбрасывание десанта</w:t>
            </w:r>
          </w:p>
        </w:tc>
        <w:tc>
          <w:tcPr>
            <w:tcW w:w="1559" w:type="dxa"/>
          </w:tcPr>
          <w:p w14:paraId="61767914" w14:textId="77777777" w:rsidR="00A25AD1" w:rsidRPr="00DB5D0D" w:rsidRDefault="00A25AD1" w:rsidP="00DB5D0D">
            <w:pPr>
              <w:pStyle w:val="24"/>
              <w:widowControl/>
              <w:rPr>
                <w:color w:val="000000" w:themeColor="text1"/>
              </w:rPr>
            </w:pPr>
            <w:r w:rsidRPr="00DB5D0D">
              <w:rPr>
                <w:color w:val="000000" w:themeColor="text1"/>
              </w:rPr>
              <w:t>5 полетов</w:t>
            </w:r>
          </w:p>
          <w:p w14:paraId="190FF1C6" w14:textId="77777777" w:rsidR="00A25AD1" w:rsidRPr="00DB5D0D" w:rsidRDefault="00A25AD1" w:rsidP="00DB5D0D">
            <w:pPr>
              <w:pStyle w:val="24"/>
              <w:widowControl/>
              <w:rPr>
                <w:color w:val="000000" w:themeColor="text1"/>
              </w:rPr>
            </w:pPr>
            <w:r w:rsidRPr="00DB5D0D">
              <w:rPr>
                <w:color w:val="000000" w:themeColor="text1"/>
              </w:rPr>
              <w:t>1 час. 20 мин.</w:t>
            </w:r>
          </w:p>
        </w:tc>
      </w:tr>
      <w:tr w:rsidR="007D5DF8" w:rsidRPr="00DB5D0D" w14:paraId="3BD7FF8B" w14:textId="77777777" w:rsidTr="009223E5">
        <w:tc>
          <w:tcPr>
            <w:tcW w:w="2235" w:type="dxa"/>
          </w:tcPr>
          <w:p w14:paraId="06793308" w14:textId="77777777" w:rsidR="00A25AD1" w:rsidRPr="00DB5D0D" w:rsidRDefault="00A25AD1" w:rsidP="00DB5D0D">
            <w:pPr>
              <w:pStyle w:val="24"/>
              <w:widowControl/>
              <w:rPr>
                <w:color w:val="000000" w:themeColor="text1"/>
              </w:rPr>
            </w:pPr>
            <w:r w:rsidRPr="00DB5D0D">
              <w:rPr>
                <w:color w:val="000000" w:themeColor="text1"/>
              </w:rPr>
              <w:t>18 июня 1940 года</w:t>
            </w:r>
          </w:p>
        </w:tc>
        <w:tc>
          <w:tcPr>
            <w:tcW w:w="6662" w:type="dxa"/>
          </w:tcPr>
          <w:p w14:paraId="72A77AA4" w14:textId="77777777" w:rsidR="00A25AD1" w:rsidRPr="00DB5D0D" w:rsidRDefault="00A25AD1" w:rsidP="00DB5D0D">
            <w:pPr>
              <w:pStyle w:val="24"/>
              <w:widowControl/>
              <w:rPr>
                <w:color w:val="000000" w:themeColor="text1"/>
              </w:rPr>
            </w:pPr>
            <w:r w:rsidRPr="00DB5D0D">
              <w:rPr>
                <w:color w:val="000000" w:themeColor="text1"/>
              </w:rPr>
              <w:t>Перелет Реблицы-Сольцы для зарядки горючим</w:t>
            </w:r>
          </w:p>
        </w:tc>
        <w:tc>
          <w:tcPr>
            <w:tcW w:w="1559" w:type="dxa"/>
          </w:tcPr>
          <w:p w14:paraId="1E18E363" w14:textId="77777777" w:rsidR="00A25AD1" w:rsidRPr="00DB5D0D" w:rsidRDefault="00A25AD1" w:rsidP="00DB5D0D">
            <w:pPr>
              <w:pStyle w:val="24"/>
              <w:widowControl/>
              <w:rPr>
                <w:color w:val="000000" w:themeColor="text1"/>
              </w:rPr>
            </w:pPr>
            <w:r w:rsidRPr="00DB5D0D">
              <w:rPr>
                <w:color w:val="000000" w:themeColor="text1"/>
              </w:rPr>
              <w:t>10 мин.</w:t>
            </w:r>
          </w:p>
        </w:tc>
      </w:tr>
      <w:tr w:rsidR="007D5DF8" w:rsidRPr="00DB5D0D" w14:paraId="72F00985" w14:textId="77777777" w:rsidTr="009223E5">
        <w:tc>
          <w:tcPr>
            <w:tcW w:w="2235" w:type="dxa"/>
          </w:tcPr>
          <w:p w14:paraId="68734246" w14:textId="77777777" w:rsidR="00A25AD1" w:rsidRPr="00DB5D0D" w:rsidRDefault="00A25AD1" w:rsidP="00DB5D0D">
            <w:pPr>
              <w:pStyle w:val="24"/>
              <w:widowControl/>
              <w:rPr>
                <w:color w:val="000000" w:themeColor="text1"/>
              </w:rPr>
            </w:pPr>
            <w:r w:rsidRPr="00DB5D0D">
              <w:rPr>
                <w:color w:val="000000" w:themeColor="text1"/>
              </w:rPr>
              <w:t>18 июня 1940 года</w:t>
            </w:r>
          </w:p>
        </w:tc>
        <w:tc>
          <w:tcPr>
            <w:tcW w:w="6662" w:type="dxa"/>
          </w:tcPr>
          <w:p w14:paraId="28C25BE9" w14:textId="77777777" w:rsidR="00A25AD1" w:rsidRPr="00DB5D0D" w:rsidRDefault="00A25AD1" w:rsidP="00DB5D0D">
            <w:pPr>
              <w:pStyle w:val="24"/>
              <w:widowControl/>
              <w:rPr>
                <w:color w:val="000000" w:themeColor="text1"/>
              </w:rPr>
            </w:pPr>
            <w:r w:rsidRPr="00DB5D0D">
              <w:rPr>
                <w:color w:val="000000" w:themeColor="text1"/>
              </w:rPr>
              <w:t>Перелет Сольцы-Чкаловская</w:t>
            </w:r>
          </w:p>
        </w:tc>
        <w:tc>
          <w:tcPr>
            <w:tcW w:w="1559" w:type="dxa"/>
          </w:tcPr>
          <w:p w14:paraId="434CC360" w14:textId="77777777" w:rsidR="00A25AD1" w:rsidRPr="00DB5D0D" w:rsidRDefault="00A25AD1" w:rsidP="00DB5D0D">
            <w:pPr>
              <w:pStyle w:val="24"/>
              <w:widowControl/>
              <w:rPr>
                <w:color w:val="000000" w:themeColor="text1"/>
              </w:rPr>
            </w:pPr>
            <w:r w:rsidRPr="00DB5D0D">
              <w:rPr>
                <w:color w:val="000000" w:themeColor="text1"/>
              </w:rPr>
              <w:t>2 часа</w:t>
            </w:r>
          </w:p>
        </w:tc>
      </w:tr>
      <w:tr w:rsidR="007D5DF8" w:rsidRPr="00DB5D0D" w14:paraId="5FC05191" w14:textId="77777777" w:rsidTr="009223E5">
        <w:tc>
          <w:tcPr>
            <w:tcW w:w="2235" w:type="dxa"/>
          </w:tcPr>
          <w:p w14:paraId="7DAA36BD" w14:textId="77777777" w:rsidR="00A25AD1" w:rsidRPr="00DB5D0D" w:rsidRDefault="00A25AD1" w:rsidP="00DB5D0D">
            <w:pPr>
              <w:pStyle w:val="24"/>
              <w:widowControl/>
              <w:rPr>
                <w:color w:val="000000" w:themeColor="text1"/>
              </w:rPr>
            </w:pPr>
            <w:r w:rsidRPr="00DB5D0D">
              <w:rPr>
                <w:color w:val="000000" w:themeColor="text1"/>
              </w:rPr>
              <w:t>21 июня 1940 года</w:t>
            </w:r>
          </w:p>
        </w:tc>
        <w:tc>
          <w:tcPr>
            <w:tcW w:w="6662" w:type="dxa"/>
          </w:tcPr>
          <w:p w14:paraId="0602E195" w14:textId="77777777" w:rsidR="00A25AD1" w:rsidRPr="00DB5D0D" w:rsidRDefault="00A25AD1" w:rsidP="00DB5D0D">
            <w:pPr>
              <w:pStyle w:val="24"/>
              <w:widowControl/>
              <w:rPr>
                <w:color w:val="000000" w:themeColor="text1"/>
              </w:rPr>
            </w:pPr>
            <w:r w:rsidRPr="00DB5D0D">
              <w:rPr>
                <w:color w:val="000000" w:themeColor="text1"/>
              </w:rPr>
              <w:t>Полет в санитарном варианте</w:t>
            </w:r>
          </w:p>
        </w:tc>
        <w:tc>
          <w:tcPr>
            <w:tcW w:w="1559" w:type="dxa"/>
          </w:tcPr>
          <w:p w14:paraId="3794BA6A" w14:textId="77777777" w:rsidR="00A25AD1" w:rsidRPr="00DB5D0D" w:rsidRDefault="00A25AD1" w:rsidP="00DB5D0D">
            <w:pPr>
              <w:pStyle w:val="24"/>
              <w:widowControl/>
              <w:rPr>
                <w:color w:val="000000" w:themeColor="text1"/>
              </w:rPr>
            </w:pPr>
            <w:r w:rsidRPr="00DB5D0D">
              <w:rPr>
                <w:color w:val="000000" w:themeColor="text1"/>
              </w:rPr>
              <w:t>45 мин.</w:t>
            </w:r>
          </w:p>
        </w:tc>
      </w:tr>
      <w:tr w:rsidR="007D5DF8" w:rsidRPr="00DB5D0D" w14:paraId="187E413A" w14:textId="77777777" w:rsidTr="009223E5">
        <w:tc>
          <w:tcPr>
            <w:tcW w:w="2235" w:type="dxa"/>
          </w:tcPr>
          <w:p w14:paraId="70061871" w14:textId="77777777" w:rsidR="00A25AD1" w:rsidRPr="00DB5D0D" w:rsidRDefault="00A25AD1" w:rsidP="00DB5D0D">
            <w:pPr>
              <w:pStyle w:val="24"/>
              <w:widowControl/>
              <w:rPr>
                <w:color w:val="000000" w:themeColor="text1"/>
              </w:rPr>
            </w:pPr>
            <w:r w:rsidRPr="00DB5D0D">
              <w:rPr>
                <w:color w:val="000000" w:themeColor="text1"/>
              </w:rPr>
              <w:t>25 июня 1940 года</w:t>
            </w:r>
          </w:p>
        </w:tc>
        <w:tc>
          <w:tcPr>
            <w:tcW w:w="6662" w:type="dxa"/>
          </w:tcPr>
          <w:p w14:paraId="34E48F0D" w14:textId="77777777" w:rsidR="00A25AD1" w:rsidRPr="00DB5D0D" w:rsidRDefault="00A25AD1" w:rsidP="00DB5D0D">
            <w:pPr>
              <w:pStyle w:val="24"/>
              <w:widowControl/>
              <w:rPr>
                <w:color w:val="000000" w:themeColor="text1"/>
              </w:rPr>
            </w:pPr>
            <w:r w:rsidRPr="00DB5D0D">
              <w:rPr>
                <w:color w:val="000000" w:themeColor="text1"/>
              </w:rPr>
              <w:t>Контрольный полет на скороподъемность с внутренней загрузкой</w:t>
            </w:r>
          </w:p>
        </w:tc>
        <w:tc>
          <w:tcPr>
            <w:tcW w:w="1559" w:type="dxa"/>
          </w:tcPr>
          <w:p w14:paraId="3F50C40F" w14:textId="77777777" w:rsidR="00A25AD1" w:rsidRPr="00DB5D0D" w:rsidRDefault="00A25AD1" w:rsidP="00DB5D0D">
            <w:pPr>
              <w:pStyle w:val="24"/>
              <w:widowControl/>
              <w:rPr>
                <w:color w:val="000000" w:themeColor="text1"/>
              </w:rPr>
            </w:pPr>
            <w:r w:rsidRPr="00DB5D0D">
              <w:rPr>
                <w:color w:val="000000" w:themeColor="text1"/>
              </w:rPr>
              <w:t>2 часа</w:t>
            </w:r>
          </w:p>
        </w:tc>
      </w:tr>
      <w:tr w:rsidR="007D5DF8" w:rsidRPr="00DB5D0D" w14:paraId="03A2BBB5" w14:textId="77777777" w:rsidTr="009223E5">
        <w:tc>
          <w:tcPr>
            <w:tcW w:w="2235" w:type="dxa"/>
          </w:tcPr>
          <w:p w14:paraId="3E991660" w14:textId="77777777" w:rsidR="00A25AD1" w:rsidRPr="00DB5D0D" w:rsidRDefault="00A25AD1" w:rsidP="00DB5D0D">
            <w:pPr>
              <w:pStyle w:val="24"/>
              <w:widowControl/>
              <w:rPr>
                <w:color w:val="000000" w:themeColor="text1"/>
              </w:rPr>
            </w:pPr>
            <w:r w:rsidRPr="00DB5D0D">
              <w:rPr>
                <w:color w:val="000000" w:themeColor="text1"/>
              </w:rPr>
              <w:t>27 июня 1940 года</w:t>
            </w:r>
          </w:p>
        </w:tc>
        <w:tc>
          <w:tcPr>
            <w:tcW w:w="6662" w:type="dxa"/>
          </w:tcPr>
          <w:p w14:paraId="11FC4595" w14:textId="77777777" w:rsidR="00A25AD1" w:rsidRPr="00DB5D0D" w:rsidRDefault="00A25AD1" w:rsidP="00DB5D0D">
            <w:pPr>
              <w:pStyle w:val="24"/>
              <w:widowControl/>
              <w:rPr>
                <w:color w:val="000000" w:themeColor="text1"/>
              </w:rPr>
            </w:pPr>
            <w:r w:rsidRPr="00DB5D0D">
              <w:rPr>
                <w:color w:val="000000" w:themeColor="text1"/>
              </w:rPr>
              <w:t>Контрольный полет с наружной загрузкой</w:t>
            </w:r>
          </w:p>
        </w:tc>
        <w:tc>
          <w:tcPr>
            <w:tcW w:w="1559" w:type="dxa"/>
          </w:tcPr>
          <w:p w14:paraId="16061D67" w14:textId="77777777" w:rsidR="00A25AD1" w:rsidRPr="00DB5D0D" w:rsidRDefault="00A25AD1" w:rsidP="00DB5D0D">
            <w:pPr>
              <w:pStyle w:val="24"/>
              <w:widowControl/>
              <w:rPr>
                <w:color w:val="000000" w:themeColor="text1"/>
              </w:rPr>
            </w:pPr>
            <w:r w:rsidRPr="00DB5D0D">
              <w:rPr>
                <w:color w:val="000000" w:themeColor="text1"/>
              </w:rPr>
              <w:t>1 час. 40 мин.</w:t>
            </w:r>
          </w:p>
        </w:tc>
      </w:tr>
      <w:tr w:rsidR="007D5DF8" w:rsidRPr="00DB5D0D" w14:paraId="58206944" w14:textId="77777777" w:rsidTr="009223E5">
        <w:tc>
          <w:tcPr>
            <w:tcW w:w="2235" w:type="dxa"/>
          </w:tcPr>
          <w:p w14:paraId="1507C694" w14:textId="77777777" w:rsidR="00A25AD1" w:rsidRPr="00DB5D0D" w:rsidRDefault="00A25AD1" w:rsidP="00DB5D0D">
            <w:pPr>
              <w:pStyle w:val="24"/>
              <w:widowControl/>
              <w:rPr>
                <w:color w:val="000000" w:themeColor="text1"/>
              </w:rPr>
            </w:pPr>
            <w:r w:rsidRPr="00DB5D0D">
              <w:rPr>
                <w:color w:val="000000" w:themeColor="text1"/>
              </w:rPr>
              <w:t>28 июня 1940 года</w:t>
            </w:r>
          </w:p>
        </w:tc>
        <w:tc>
          <w:tcPr>
            <w:tcW w:w="6662" w:type="dxa"/>
          </w:tcPr>
          <w:p w14:paraId="6659DB9A" w14:textId="77777777" w:rsidR="00A25AD1" w:rsidRPr="00DB5D0D" w:rsidRDefault="00A25AD1" w:rsidP="00DB5D0D">
            <w:pPr>
              <w:pStyle w:val="24"/>
              <w:widowControl/>
              <w:rPr>
                <w:color w:val="000000" w:themeColor="text1"/>
              </w:rPr>
            </w:pPr>
            <w:r w:rsidRPr="00DB5D0D">
              <w:rPr>
                <w:color w:val="000000" w:themeColor="text1"/>
              </w:rPr>
              <w:t>Полет в Рыбинск и обратно</w:t>
            </w:r>
          </w:p>
        </w:tc>
        <w:tc>
          <w:tcPr>
            <w:tcW w:w="1559" w:type="dxa"/>
          </w:tcPr>
          <w:p w14:paraId="204A99DC" w14:textId="77777777" w:rsidR="00A25AD1" w:rsidRPr="00DB5D0D" w:rsidRDefault="00A25AD1" w:rsidP="00DB5D0D">
            <w:pPr>
              <w:pStyle w:val="24"/>
              <w:widowControl/>
              <w:rPr>
                <w:color w:val="000000" w:themeColor="text1"/>
              </w:rPr>
            </w:pPr>
            <w:r w:rsidRPr="00DB5D0D">
              <w:rPr>
                <w:color w:val="000000" w:themeColor="text1"/>
              </w:rPr>
              <w:t>2 полета</w:t>
            </w:r>
          </w:p>
          <w:p w14:paraId="68FD4A83" w14:textId="77777777" w:rsidR="00A25AD1" w:rsidRPr="00DB5D0D" w:rsidRDefault="00A25AD1" w:rsidP="00DB5D0D">
            <w:pPr>
              <w:pStyle w:val="24"/>
              <w:widowControl/>
              <w:rPr>
                <w:color w:val="000000" w:themeColor="text1"/>
              </w:rPr>
            </w:pPr>
            <w:r w:rsidRPr="00DB5D0D">
              <w:rPr>
                <w:color w:val="000000" w:themeColor="text1"/>
              </w:rPr>
              <w:t>2 часа 20 мин.</w:t>
            </w:r>
          </w:p>
        </w:tc>
      </w:tr>
      <w:tr w:rsidR="007D5DF8" w:rsidRPr="00DB5D0D" w14:paraId="645FA3AC" w14:textId="77777777" w:rsidTr="009223E5">
        <w:tc>
          <w:tcPr>
            <w:tcW w:w="2235" w:type="dxa"/>
          </w:tcPr>
          <w:p w14:paraId="6E734232" w14:textId="77777777" w:rsidR="00A25AD1" w:rsidRPr="00DB5D0D" w:rsidRDefault="00A25AD1" w:rsidP="00DB5D0D">
            <w:pPr>
              <w:pStyle w:val="24"/>
              <w:widowControl/>
              <w:rPr>
                <w:color w:val="000000" w:themeColor="text1"/>
              </w:rPr>
            </w:pPr>
            <w:r w:rsidRPr="00DB5D0D">
              <w:rPr>
                <w:color w:val="000000" w:themeColor="text1"/>
              </w:rPr>
              <w:t>29 июня 1940 года</w:t>
            </w:r>
          </w:p>
        </w:tc>
        <w:tc>
          <w:tcPr>
            <w:tcW w:w="6662" w:type="dxa"/>
          </w:tcPr>
          <w:p w14:paraId="56BF78F7" w14:textId="77777777" w:rsidR="00A25AD1" w:rsidRPr="00DB5D0D" w:rsidRDefault="00A25AD1" w:rsidP="00DB5D0D">
            <w:pPr>
              <w:pStyle w:val="24"/>
              <w:widowControl/>
              <w:rPr>
                <w:color w:val="000000" w:themeColor="text1"/>
              </w:rPr>
            </w:pPr>
            <w:r w:rsidRPr="00DB5D0D">
              <w:rPr>
                <w:color w:val="000000" w:themeColor="text1"/>
              </w:rPr>
              <w:t>Полет на скороподъемность (летчик Нюхтиков)</w:t>
            </w:r>
          </w:p>
        </w:tc>
        <w:tc>
          <w:tcPr>
            <w:tcW w:w="1559" w:type="dxa"/>
          </w:tcPr>
          <w:p w14:paraId="0A907EDD" w14:textId="77777777" w:rsidR="00A25AD1" w:rsidRPr="00DB5D0D" w:rsidRDefault="00A25AD1" w:rsidP="00DB5D0D">
            <w:pPr>
              <w:pStyle w:val="24"/>
              <w:widowControl/>
              <w:rPr>
                <w:color w:val="000000" w:themeColor="text1"/>
              </w:rPr>
            </w:pPr>
            <w:r w:rsidRPr="00DB5D0D">
              <w:rPr>
                <w:color w:val="000000" w:themeColor="text1"/>
              </w:rPr>
              <w:t>2 часа 30 мин.</w:t>
            </w:r>
          </w:p>
        </w:tc>
      </w:tr>
      <w:tr w:rsidR="007D5DF8" w:rsidRPr="00DB5D0D" w14:paraId="1E5C36A9" w14:textId="77777777" w:rsidTr="009223E5">
        <w:tc>
          <w:tcPr>
            <w:tcW w:w="2235" w:type="dxa"/>
          </w:tcPr>
          <w:p w14:paraId="4416F0F3" w14:textId="77777777" w:rsidR="00A25AD1" w:rsidRPr="00DB5D0D" w:rsidRDefault="00A25AD1" w:rsidP="00DB5D0D">
            <w:pPr>
              <w:pStyle w:val="24"/>
              <w:widowControl/>
              <w:rPr>
                <w:color w:val="000000" w:themeColor="text1"/>
              </w:rPr>
            </w:pPr>
          </w:p>
        </w:tc>
        <w:tc>
          <w:tcPr>
            <w:tcW w:w="6662" w:type="dxa"/>
          </w:tcPr>
          <w:p w14:paraId="3F267098" w14:textId="77777777" w:rsidR="00A25AD1" w:rsidRPr="00DB5D0D" w:rsidRDefault="00A25AD1" w:rsidP="00DB5D0D">
            <w:pPr>
              <w:pStyle w:val="24"/>
              <w:widowControl/>
              <w:rPr>
                <w:color w:val="000000" w:themeColor="text1"/>
              </w:rPr>
            </w:pPr>
            <w:r w:rsidRPr="00DB5D0D">
              <w:rPr>
                <w:color w:val="000000" w:themeColor="text1"/>
              </w:rPr>
              <w:t>ВСЕГО</w:t>
            </w:r>
          </w:p>
        </w:tc>
        <w:tc>
          <w:tcPr>
            <w:tcW w:w="1559" w:type="dxa"/>
          </w:tcPr>
          <w:p w14:paraId="40BA5AA6" w14:textId="77777777" w:rsidR="00A25AD1" w:rsidRPr="00DB5D0D" w:rsidRDefault="00A25AD1" w:rsidP="00DB5D0D">
            <w:pPr>
              <w:pStyle w:val="24"/>
              <w:widowControl/>
              <w:rPr>
                <w:color w:val="000000" w:themeColor="text1"/>
              </w:rPr>
            </w:pPr>
            <w:r w:rsidRPr="00DB5D0D">
              <w:rPr>
                <w:color w:val="000000" w:themeColor="text1"/>
              </w:rPr>
              <w:t>56 полетов</w:t>
            </w:r>
          </w:p>
          <w:p w14:paraId="48346D91" w14:textId="77777777" w:rsidR="00A25AD1" w:rsidRPr="00DB5D0D" w:rsidRDefault="00A25AD1" w:rsidP="00DB5D0D">
            <w:pPr>
              <w:pStyle w:val="24"/>
              <w:widowControl/>
              <w:rPr>
                <w:color w:val="000000" w:themeColor="text1"/>
              </w:rPr>
            </w:pPr>
            <w:r w:rsidRPr="00DB5D0D">
              <w:rPr>
                <w:color w:val="000000" w:themeColor="text1"/>
              </w:rPr>
              <w:t>34 часа 42 мин.</w:t>
            </w:r>
          </w:p>
        </w:tc>
      </w:tr>
    </w:tbl>
    <w:p w14:paraId="52A9A2D9" w14:textId="77777777" w:rsidR="00A25AD1" w:rsidRPr="00DB5D0D" w:rsidRDefault="00A25AD1" w:rsidP="00DB5D0D">
      <w:pPr>
        <w:pStyle w:val="24"/>
        <w:widowControl/>
        <w:rPr>
          <w:color w:val="000000" w:themeColor="text1"/>
        </w:rPr>
      </w:pPr>
      <w:r w:rsidRPr="00DB5D0D">
        <w:rPr>
          <w:color w:val="000000" w:themeColor="text1"/>
        </w:rPr>
        <w:t>(7758)</w:t>
      </w:r>
    </w:p>
    <w:p w14:paraId="50D9342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B377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закончились гос. испытания ПС-84 2хМ-62 (Ли-2) в транспортном, десантном и санитарном вариантах, которые начались 11 мая 1940 (796,35).</w:t>
      </w:r>
    </w:p>
    <w:p w14:paraId="7B0C36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ПС-84-К отличался от пассажирского ПС-84 усиленным полом и десантно-транспортным оборудованием, в состав которого, в частности, входил подъемный кран на 850 кг и другие приспособления, обеспечивающие погрузку и разгрузку таких предметов, как авиационные моторы, полковые пушки калибра 76 мм с зарядным ящиком, авиационные бомбы всех основных калибров, бензобаки, бидоны с бензином и смазкой, оружие и патроны в ящиках, тюки с обмундированием, мешки и тюки с продуктами питания. Грузовая дверь размером 1,65х1,52 м в левом борту открывалась наружу вверх и предназначалась для загрузки и выгрузки посадочного десанта. Нормальная нагрузка - до 1600 кг, с небольшой перегрузкой - 2000 кг. Предусмотрена была и внешняя подвеска парашютных грузов массой до 2000 кг на мостах под центропланом (бензин в бочках, тюки со всевозможными военными грузами и т. п.). Самолет ПС-84 К в десантном варианте мог перевозить 25 человек в полной экипировке. Десант можно было выбросить в течение 16-20 сек с кучностью посадки парашютистов на площадке 0,5х0,5 км. Самолет в этом варианте имел продольные скамейки, на которых сидели спиной друг к другу, лицом к окнам, и в момент высадки каждый ряд парашютистов двигался к одной из двух дверей, имеющихся в правом и левом борту. При максимальной загрузке самолет вмещал до 30 десантников, а нагрузка при радиусе действия 500 км достигала 2400 кг (что на 400 кг превышало коммерческую нагрузку ПС-84). В случае необходимости самолет быстро переоборудовался в санитарный ПС-84-И. В этом варианте он мог перевозить 18 раненых на носилках и еще двух сидячих раненых и одного-двух человек медперсонала. В отчете по испытаниям отмечалось, что санитарные варианты самолета были использованы еще в ходе боевых действий в Монголии и Финляндии. Причет, под руководством Сенькова для этих целей были переделаны три американских самолета ДС-3 (3404).</w:t>
      </w:r>
    </w:p>
    <w:p w14:paraId="1E92EA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заключении сказано "Самолет ПС-84-К и И...прошел гос. испытания удовлетворительно и рекомендуется к принятию на вооружение (1168,18).</w:t>
      </w:r>
    </w:p>
    <w:p w14:paraId="05464CF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5040D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в НИИ ВВС закончились гос. испытания ПС-84 в транспортном, десантном и санитарном вариантах, которые проходили с 11 мая 1940. Отв. исполнители: ви ви1р Паузер, вл к Предейн (2923).</w:t>
      </w:r>
    </w:p>
    <w:p w14:paraId="379447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испытаний:</w:t>
      </w:r>
    </w:p>
    <w:p w14:paraId="4E92603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Пс-84 - пассажирский постройки 84 завода, переоборудованный заводом для решения следующих задач:</w:t>
      </w:r>
    </w:p>
    <w:p w14:paraId="60818C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перевозке грузов внутри и снаружи с возможностью сбрасывания на парашютах</w:t>
      </w:r>
    </w:p>
    <w:p w14:paraId="64FB9E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сбрасыванию парашютного десанта и</w:t>
      </w:r>
    </w:p>
    <w:p w14:paraId="23EA41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перевозке больных и раненых</w:t>
      </w:r>
    </w:p>
    <w:p w14:paraId="6CD4D0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Пассажирский ПС-84 самолет ПС-84 проходил зимние и летние испытания в НИИ ВВС с 3 сентября по 17 декабря 1939, с производством 166 полетов продолжительностью 73:45 (2923).</w:t>
      </w:r>
    </w:p>
    <w:p w14:paraId="3B513E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Самолет ПС-84 в вариантах: 1. транспортном ПС-84-к, 2. десантном - ПС-84-д и 3. санитарном - ПС-84-и прошел на заводе 84 только земные испытания и совершил пробные полеты в транспортном варианте с внутренней загрузкой.</w:t>
      </w:r>
    </w:p>
    <w:p w14:paraId="36C89B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десантного варианта и транспортного с внешней загрузкой проведены совместно с заводскими испытаниями.</w:t>
      </w:r>
    </w:p>
    <w:p w14:paraId="48FABE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не предусмотрено (2923).</w:t>
      </w:r>
    </w:p>
    <w:p w14:paraId="5673B2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испытаний выполнили 56 полетов и налетали 34:42</w:t>
      </w:r>
    </w:p>
    <w:p w14:paraId="2F9A46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C9B09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ПС-84 К и И, т.е. в военных вариантах:</w:t>
      </w:r>
    </w:p>
    <w:p w14:paraId="72D7BE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транспортном</w:t>
      </w:r>
    </w:p>
    <w:p w14:paraId="59A7CD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десантном</w:t>
      </w:r>
    </w:p>
    <w:p w14:paraId="158AD7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санитарном</w:t>
      </w:r>
    </w:p>
    <w:p w14:paraId="0A6E4F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прошел испытания удовлетворительно и рекомендуется к принятию на вооружение ВВС2. Все военные варианты м.б. успешно использованы</w:t>
      </w:r>
    </w:p>
    <w:p w14:paraId="44DDDC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Все самолеты ПС-84 необходимо строить со всеми изменениями, необходимыми для переоборудования их в военные варианты, с учетом выявленных во время испытаний недостатков (2923).</w:t>
      </w:r>
    </w:p>
    <w:p w14:paraId="0E73740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E3731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было окончательно отказано в передаче 81 заводу аэродрома НИИ ГВФ в Тушино. Решили, что должны использовать аэродром совместно (1172).</w:t>
      </w:r>
    </w:p>
    <w:p w14:paraId="26729FC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667F8C0"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w:t>
      </w:r>
    </w:p>
    <w:p w14:paraId="2DBE895C"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Докладная записка уполномоченного КПК по Хабаровскому краю А.Л.Орлова на имя председателя КПК А.А.Андреева и секретаря Хабаровского краевого комитета ВКП(б) Г.А.Боркова «О работе авиационного завода № 126 за январь—апрель 1940 года» от 29.06.1940] (18627).</w:t>
      </w:r>
    </w:p>
    <w:p w14:paraId="01A85D53" w14:textId="77777777" w:rsidR="00447326" w:rsidRPr="00DB5D0D" w:rsidRDefault="00447326" w:rsidP="00DB5D0D">
      <w:pPr>
        <w:spacing w:after="0" w:line="240" w:lineRule="auto"/>
        <w:jc w:val="both"/>
        <w:rPr>
          <w:rFonts w:ascii="Times New Roman" w:hAnsi="Times New Roman"/>
          <w:color w:val="000000" w:themeColor="text1"/>
          <w:sz w:val="16"/>
          <w:szCs w:val="16"/>
        </w:rPr>
      </w:pPr>
    </w:p>
    <w:p w14:paraId="3310F6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вышло постановление КО N 286сс "О передаче Уфимского моторного завода НКсредмаша в систему НКАП" в развитие постановления КО N 209 сс "О постройке и внедрении мотора АМ-35А на заводе 24 НКАП" (1292,128).</w:t>
      </w:r>
    </w:p>
    <w:p w14:paraId="2CDC7C7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19EEA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года вышло постановление № 286сс КО О передаче Уфимского моторного завода Наркомсредмаша в систему НКАП</w:t>
      </w:r>
    </w:p>
    <w:p w14:paraId="68A2CA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развитие постановления КО № 209сс от 20 мая 1940 года "О постройке и внедрении в серийное производство мотора АМ-35А на заводе № 24 НКАП, КО постановляет:</w:t>
      </w:r>
    </w:p>
    <w:p w14:paraId="484604E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Передать в месячный срок Уфимский моторный завод НКСМ в систему НКАП ………………..(7595, 139).</w:t>
      </w:r>
    </w:p>
    <w:p w14:paraId="4137275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7BEC7C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вышло постановление КО N 296 "О передаче Уфимского моторного завода НКСМ в систему НКАП." (1292,128).</w:t>
      </w:r>
    </w:p>
    <w:p w14:paraId="3A6AB94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5277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 было принято решение о перепрофилировании завода (ГС Завод № 384 НКАП, Уфимский моторный завод НКСМ /г. Уфа/) на выпуск авиационных моторов М-88, 22.08.1940 г. решение изменено в пользу М-105. На 1940 г. утвержден план по выпуску 20 моторов, на 1941 г. - 1000 шт., с 1942 г. планировалось выйти на проектную мощность в 2500 шт. в год. По приказу № 464с/206с от 4.09.1940 г. завод передан из НКСМ в ЗГУ НКАП и получил наименование ГС Завод № 384. В том же году введен в эксплуатацию по новому профилю. Для освоения новой продукции с завода № 26 направлена группа специалистов во главе с гл. технологом А.Т. Кладовщиковым. В 1941 г. освоено производство М-105Р и М-105П, до начала войны выпущено 675 моторов.</w:t>
      </w:r>
    </w:p>
    <w:p w14:paraId="15C2A8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1941 г. в  г.Уфу на площадку завода № 384 НКАП эвакуированно ОКБ завода № 26 </w:t>
      </w:r>
      <w:r w:rsidRPr="00DB5D0D">
        <w:rPr>
          <w:rFonts w:ascii="Times New Roman" w:hAnsi="Times New Roman"/>
          <w:color w:val="000000" w:themeColor="text1"/>
          <w:sz w:val="16"/>
          <w:szCs w:val="16"/>
          <w:lang w:val="en-US"/>
        </w:rPr>
        <w:t>HKA</w:t>
      </w:r>
      <w:r w:rsidRPr="00DB5D0D">
        <w:rPr>
          <w:rFonts w:ascii="Times New Roman" w:hAnsi="Times New Roman"/>
          <w:color w:val="000000" w:themeColor="text1"/>
          <w:sz w:val="16"/>
          <w:szCs w:val="16"/>
        </w:rPr>
        <w:t>П гл. конструктора В .Я. Климова. Работы по авиамоторам М-100, М-101, М-103, М-105Ф, ВК-105, М-106, М-107, ВК-107, М-120.</w:t>
      </w:r>
    </w:p>
    <w:p w14:paraId="67C476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приказам № 652сс от 9.07.1941 г. и № 729сс от 22.07.1941 г. на площадку завода № 384 эвакуированы из Ленинграда заводы № 234 и № 451 НКАП. Далее по приказу № 824сс от 8.08.1941 г. заводы № 234, № 451, № 338 и № 384 со всем оборудованием и личным составом объединены в один завод, получивший название завод № 384 ЗГУ НКАП. В конце 1941 г. выпускались детали корпусов для снарядов М-8 и М-13.</w:t>
      </w:r>
    </w:p>
    <w:p w14:paraId="76F868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Затем на площадку завода № 384 эвакуирован завод № 26 НКАП с опытным производством. Далее заводы № 26, № 384 и № 282 НКАП были слиты в единый завод № 26 НКАП, расположившийся на площадках заводов № 384, №338 и №282.</w:t>
      </w:r>
    </w:p>
    <w:p w14:paraId="32E064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началом ВОВ на площадку завода № 384 НКАП эвакуировано ОКБ завода № 16 НКАП (приказ № 1057сс от 10.10.1941 г.). Здесь на базе ОКБ и его опытного производства (эвакуированного по приказу № 1053сс от 9.10.1941 г. на площадку протезного завода) к 11.1941 г. образовано самостоятельное ОКБ-250 НКАП под руководством В.А. Добрынина. Кроме того, в 1941 г. в Уфу на площадку завода № 384 должен был быть эвакуирован завод № 291 НКАП (эвакуирован на площадку Завода горного оборудования) и влит в его состав. Также по приказу № 1053сс от 9.10.1941 г. на площадку литейного цеха завода № 384 должно было эвакуироваться оборудование и личный состав завода № 219 9ГУ НКАП (эвакуирован частично, часть- на площадку завода № 338). На площадку завода № 384 эвакуированы также Опытный завод и производственные лаборатории ЦИАТИМ НКАП и стройтрест № 11 НКАП.</w:t>
      </w:r>
    </w:p>
    <w:p w14:paraId="65705A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(10.1940-08.1941 г.)-  Г.Д. Брусникин, (08.1941 г.-&gt; В.П. Баландин (11982).</w:t>
      </w:r>
    </w:p>
    <w:p w14:paraId="2257803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DEF5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приказом НКАП на базе нескольких отделов ЦАГИ был образован Институт летных исследований и 17 февраля 1941 он как ЛИИ был выделен из ЦАГИ (237,191).</w:t>
      </w:r>
    </w:p>
    <w:p w14:paraId="3170C3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12 июня 1940</w:t>
      </w:r>
    </w:p>
    <w:p w14:paraId="4E152E8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A69F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вышел приказ НКАП:</w:t>
      </w:r>
    </w:p>
    <w:p w14:paraId="1C3BFC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ЦАГИ “приступить к организации ЛИИ на базе 6, 7, 8 и 22 отделов и 3-й лаборатории ЦАГИ (5995).</w:t>
      </w:r>
    </w:p>
    <w:p w14:paraId="44625FD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03BC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года вышел приказ № 323 НКАП</w:t>
      </w:r>
    </w:p>
    <w:p w14:paraId="635815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обеспечение постановления СНК и ЦК ВКП(б) от 13 июня 1940 года за № 1032/398сс об организации и строительстве институтат летных исследований, приказываю:</w:t>
      </w:r>
    </w:p>
    <w:p w14:paraId="4549E79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ЦАГИ генерал-майору Петрову И.Ф. приступить к организации института летных исследований на базе 6, 7, 8 и 22 отжделов и 3 лаборатории ЦАГИ.</w:t>
      </w:r>
    </w:p>
    <w:p w14:paraId="3F465E94"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Назначить заместителем начальника института летных исследований по научной части профессора Чесалова А.В.</w:t>
      </w:r>
    </w:p>
    <w:p w14:paraId="09A71B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Главным инженером по производственно-техническим вопросам инженера Антонова Д.И.</w:t>
      </w:r>
    </w:p>
    <w:p w14:paraId="6ADB84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Помощником начальника института по общим вопросам Гиллера И.М.</w:t>
      </w:r>
    </w:p>
    <w:p w14:paraId="026484D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ЦАГИ генерал-майору Петрову И.Ф. к 1-му сентября 1940 года представить мне на утверждение положение об институте и организационную схему.</w:t>
      </w:r>
    </w:p>
    <w:p w14:paraId="65480709"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Впредь до завершения части нового строительства, могущей обеспечить производственными возможностями основные задачи института, выполнение тематики института и производственное обеспечение работ возложить на подразделения ЦАГИ, упомянутые в п. 1.</w:t>
      </w:r>
    </w:p>
    <w:p w14:paraId="1742DE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вопросы финансирования тематики института, материально-технического снабжения, материально-бытового обеспечения транспортом и т.д. подразделений института возложить на аппарат ЦАГИ.</w:t>
      </w:r>
    </w:p>
    <w:p w14:paraId="7B60C8D8"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следующий объем строительства института дополнительно к ранее утвержденному строительству в генеральной смете ЦАГИ:</w:t>
      </w:r>
    </w:p>
    <w:p w14:paraId="4B060FD0"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Три ангара по существующему типу в 8 отделе ЦАГИ со сроками окончания:</w:t>
      </w:r>
    </w:p>
    <w:p w14:paraId="429976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ангар – 1 июля 1941 года</w:t>
      </w:r>
    </w:p>
    <w:p w14:paraId="14621C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ангар – 1 ноября 1941 года</w:t>
      </w:r>
    </w:p>
    <w:p w14:paraId="12EA5F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ангар – 1 июля 1942 года</w:t>
      </w:r>
    </w:p>
    <w:p w14:paraId="4461E857"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Авиамастерские со сроком окончания к 1 сентября 1941 года, но со сдачей в эксплуатацию сборочных мастерских и подособных цехов, помимо горячих, к 1 июля 1941 года.</w:t>
      </w:r>
    </w:p>
    <w:p w14:paraId="7B1B2C3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Приборно-лабораторный корпус со сроком окончания к 1 июля 1942 года.</w:t>
      </w:r>
    </w:p>
    <w:p w14:paraId="5C7B44C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Подземный тир с холодильной установкой со сроком окончания к 1 апреля 1942 года.</w:t>
      </w:r>
    </w:p>
    <w:p w14:paraId="000AF64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Расширение аэродрома до 350 га летного поля и увеличение взлетно-рулежных полос со сроком окончания к 1 июля 1942 года.</w:t>
      </w:r>
    </w:p>
    <w:p w14:paraId="3F9746D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Благоустройство, энерго-водоснабжение, жилье и подсобные сооружения со сроком полного окончания к 1 июля 1942 года.</w:t>
      </w:r>
    </w:p>
    <w:p w14:paraId="29860E76" w14:textId="77777777" w:rsidR="00A25AD1" w:rsidRPr="00DB5D0D" w:rsidRDefault="00A25AD1" w:rsidP="00DB5D0D">
      <w:pPr>
        <w:pStyle w:val="a3"/>
        <w:widowControl/>
        <w:rPr>
          <w:color w:val="000000" w:themeColor="text1"/>
          <w:lang w:val="ru-RU"/>
        </w:rPr>
      </w:pPr>
      <w:r w:rsidRPr="00DB5D0D">
        <w:rPr>
          <w:color w:val="000000" w:themeColor="text1"/>
          <w:lang w:val="ru-RU"/>
        </w:rPr>
        <w:t>6. Установить ориентировочную стоимость дополнительного строительства упомянутого в п. 5 в 60000000 рублей со следующей разбивкой по годам:</w:t>
      </w:r>
    </w:p>
    <w:p w14:paraId="16E590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год – 6000000 рублей</w:t>
      </w:r>
    </w:p>
    <w:p w14:paraId="7FDB90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 год – 40000000 рублей</w:t>
      </w:r>
    </w:p>
    <w:p w14:paraId="253EF5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 год – 14000000 рублей</w:t>
      </w:r>
    </w:p>
    <w:p w14:paraId="7B4D460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проектирование, включая и технологическое, строительство и монтаж оборудования института возложить на трест № 18, который подчинить непосредственно 11 отделу ГУКС.</w:t>
      </w:r>
    </w:p>
    <w:p w14:paraId="5E8355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Управляющему трестом № 18 Шполянскому вести организацию работ, обеспечивающую первоочередное выполнение строительства дорог, подземных коммуникаций и возможность осуществления работ по благоустройству и озеленению параллельно с возведением сооружений.</w:t>
      </w:r>
    </w:p>
    <w:p w14:paraId="6F6A5DC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ЦАГИ Петрову И.Ф. разработать все технические задания на объекты строительства и передать их тресту № 18 в нижеследующие сроки:</w:t>
      </w:r>
    </w:p>
    <w:p w14:paraId="5E9C79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ангарам – к 1 сентября 1940 года</w:t>
      </w:r>
    </w:p>
    <w:p w14:paraId="33FB83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авиамастерским – к 1 августа 1940 года</w:t>
      </w:r>
    </w:p>
    <w:p w14:paraId="52DE6D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лабораторно-приборному корпусу – к 15 августа 1940 года</w:t>
      </w:r>
    </w:p>
    <w:p w14:paraId="3A18A5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подземному тиру и остальным объектам – к 1 сентября 1940 года</w:t>
      </w:r>
    </w:p>
    <w:p w14:paraId="5E9E3E1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Утвердить представленный начальником ЦАГИ Петровым И.Ф. титульный список на строительные работы 1940 года.</w:t>
      </w:r>
    </w:p>
    <w:p w14:paraId="77C1835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ЦАГИ и управляющему трестом № 18 в пятидневный срок заключить договор на производство работ в 1940 году.</w:t>
      </w:r>
    </w:p>
    <w:p w14:paraId="55D7E8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ГУКС к 10 июля 1940 года оформить финансирование строительства института.</w:t>
      </w:r>
    </w:p>
    <w:p w14:paraId="56F055C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ГУКСа выделить в распоряжение начальника ЦАГИ 100000 рублей на 1940 год и необходимые средства на 1941 год для оплаты: работ по составлению технических заданий, экспертизы по специальным вопросам, экспериментальных работ и содержания ведущих инженеров по отдельным объектам института летных исследований.</w:t>
      </w:r>
    </w:p>
    <w:p w14:paraId="5D18C5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Разрешить начальнику ЦАГИ производить вышеуказанные работы по трудовым соглашениям.</w:t>
      </w:r>
    </w:p>
    <w:p w14:paraId="1A63A79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Управляющему трестом № 18 Шполянскому представить в НКАП к 1 января 1941 года на утверждение технический проект и генеральную смету по строительству института.</w:t>
      </w:r>
    </w:p>
    <w:p w14:paraId="7C21BC86"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Проекты строительства отдельных объектов, производства отдельных работ по институту представлять на утверждение мне или моему заместителю Яковлеву А.С.</w:t>
      </w:r>
    </w:p>
    <w:p w14:paraId="354A4B0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Главснаба Папернову:</w:t>
      </w:r>
    </w:p>
    <w:p w14:paraId="7E2C359C"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Обеспечить получение из Госплана СССР и передать 18 тресту для строительства института в начале июля 1940 года (сверх фондов выделенных НКАП) фонды на следующие материалы:</w:t>
      </w:r>
    </w:p>
    <w:p w14:paraId="0111901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Электрокабеля – 3500 м</w:t>
      </w:r>
    </w:p>
    <w:p w14:paraId="19D29E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Металла – 3000 тонн, из них 900 тонн листа</w:t>
      </w:r>
    </w:p>
    <w:p w14:paraId="4024BD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Цемента – 5500 тонн</w:t>
      </w:r>
    </w:p>
    <w:p w14:paraId="5C8304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Оборудования для отопления ангаров и мастерских</w:t>
      </w:r>
    </w:p>
    <w:p w14:paraId="294510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Леса – 5000 м куб., из которого 3500 м куб. Пиломатериала</w:t>
      </w:r>
    </w:p>
    <w:p w14:paraId="599EFD71"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Обеспечить получение фондов Госпланом СССР и передать 18 тресту в июле-августе 1940 года выделенные правительством для строительства института:</w:t>
      </w:r>
    </w:p>
    <w:p w14:paraId="436DC4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Автомашин-самосвалов ЯГ – 10 штук</w:t>
      </w:r>
    </w:p>
    <w:p w14:paraId="651449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Автомашин-самосвалов ГАЗ-АА – 12 штук</w:t>
      </w:r>
    </w:p>
    <w:p w14:paraId="5656B7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Автомашин -трехтонных ЗИС – 5 штук</w:t>
      </w:r>
    </w:p>
    <w:p w14:paraId="57D937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Автомашин легковых – 2 штуки</w:t>
      </w:r>
    </w:p>
    <w:p w14:paraId="432511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Финишер модели 1939 года – 1 штука</w:t>
      </w:r>
    </w:p>
    <w:p w14:paraId="002FA2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Катков моторных, из них: 3-х тонных – 1 штука, 5-ти тонных – 1 штука, 9-12 тонных – 1 штука</w:t>
      </w:r>
    </w:p>
    <w:p w14:paraId="3E8C0D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Автообуви – 180 комплектов</w:t>
      </w:r>
    </w:p>
    <w:p w14:paraId="1DF4F91F"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Выдать тресту 18 в июле 1940 года два бульдозера.</w:t>
      </w:r>
    </w:p>
    <w:p w14:paraId="5A05CB43"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Выдать к 10 июля 1940 года 18 тресту 500 рулонов светокопировальной бумаги.</w:t>
      </w:r>
    </w:p>
    <w:p w14:paraId="2B53C19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18 трест представить в Главснаб Папернову дял получения через Госплан ССС фондов целевого назначения все заявки на типовое оборудование к 15 августа 1940 года и спецоборудования к 1 ноября 1940 года.</w:t>
      </w:r>
    </w:p>
    <w:p w14:paraId="4736F8E0"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Моему заместителю Хруничеву М.В. к 10 июля 1940 года рассмотреть заявку 18 треста и выделить через Главснаб дополнительные материалы для строительства института на третий квартал 1940 года, а также выделить институту из наличия две легковых автомашины.</w:t>
      </w:r>
    </w:p>
    <w:p w14:paraId="22F6919A"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отдела труда и зарплаты Шахназарову обеспечить18 трест нарядами на вербовку рабсилы:</w:t>
      </w:r>
    </w:p>
    <w:p w14:paraId="683C8D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1940 году – на 1500 человек</w:t>
      </w:r>
    </w:p>
    <w:p w14:paraId="761999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 году – на 1500 человек</w:t>
      </w:r>
    </w:p>
    <w:p w14:paraId="4F11EA9B"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ЦФО НКАП Хавину выделить пятьсот тысяч рублей для премирования строителей за выполнение строительных работ в срок.</w:t>
      </w:r>
    </w:p>
    <w:p w14:paraId="7D62167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ЦАГИ генерал-майору авиации Петрову И.Ф. и управляющему стройтрестом № 18 Шполянскому:</w:t>
      </w:r>
    </w:p>
    <w:p w14:paraId="370400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довести до сведения коллектива строителей, что за выполнение в срок строительных работ установлена премия в сумме 500000 рублей, в том числе 100000 рублей в 1940 году;</w:t>
      </w:r>
    </w:p>
    <w:p w14:paraId="2FA5A6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выдача премий за своевременное выполнение строительных работ производится по моему утверждению (2425, 39-43).</w:t>
      </w:r>
    </w:p>
    <w:p w14:paraId="00EE5AE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321DE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года на НИП АВ ВВС проходили полигонные испытанияе осколочных бомб АО-25 м1, снаряженных опытным суррогатным ВВ 1939 года завода № 55, которые проходили с 28 апреля 1940.</w:t>
      </w:r>
    </w:p>
    <w:p w14:paraId="55740A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5FB8CC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Дьячков</w:t>
      </w:r>
    </w:p>
    <w:p w14:paraId="4F94BE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8532319" w14:textId="77777777" w:rsidR="00A25AD1" w:rsidRPr="00DB5D0D" w:rsidRDefault="00A25AD1" w:rsidP="00DB5D0D">
      <w:pPr>
        <w:pStyle w:val="24"/>
        <w:widowControl/>
        <w:rPr>
          <w:color w:val="000000" w:themeColor="text1"/>
        </w:rPr>
      </w:pPr>
      <w:r w:rsidRPr="00DB5D0D">
        <w:rPr>
          <w:color w:val="000000" w:themeColor="text1"/>
        </w:rPr>
        <w:t>Испытание имело цель определить:</w:t>
      </w:r>
    </w:p>
    <w:p w14:paraId="48763000"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 в секторных мишенях.</w:t>
      </w:r>
    </w:p>
    <w:p w14:paraId="791C597F" w14:textId="77777777" w:rsidR="00A25AD1" w:rsidRPr="00DB5D0D" w:rsidRDefault="00A25AD1" w:rsidP="00DB5D0D">
      <w:pPr>
        <w:pStyle w:val="24"/>
        <w:widowControl/>
        <w:tabs>
          <w:tab w:val="left" w:pos="360"/>
        </w:tabs>
        <w:rPr>
          <w:color w:val="000000" w:themeColor="text1"/>
        </w:rPr>
      </w:pPr>
      <w:r w:rsidRPr="00DB5D0D">
        <w:rPr>
          <w:color w:val="000000" w:themeColor="text1"/>
        </w:rPr>
        <w:t>Осколочное действие бомбы по танкам.</w:t>
      </w:r>
    </w:p>
    <w:p w14:paraId="4FA253BF"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действия.</w:t>
      </w:r>
    </w:p>
    <w:p w14:paraId="2173B4E8" w14:textId="77777777" w:rsidR="00A25AD1" w:rsidRPr="00DB5D0D" w:rsidRDefault="00A25AD1" w:rsidP="00DB5D0D">
      <w:pPr>
        <w:pStyle w:val="24"/>
        <w:widowControl/>
        <w:tabs>
          <w:tab w:val="left" w:pos="360"/>
        </w:tabs>
        <w:rPr>
          <w:color w:val="000000" w:themeColor="text1"/>
        </w:rPr>
      </w:pPr>
      <w:r w:rsidRPr="00DB5D0D">
        <w:rPr>
          <w:color w:val="000000" w:themeColor="text1"/>
        </w:rPr>
        <w:t>Устойчивость бомб в полете.</w:t>
      </w:r>
    </w:p>
    <w:p w14:paraId="6EEFFF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818563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АО-25 м1, снаряженные аматолом 80/20 и аммонитом 88/12 методом-набивкой в сравнении с бомбами АО-25м1, снаряженными тротилом методом заливкой дали неудовлетворительные результаты и полигонные испытания не выдержали (7588).</w:t>
      </w:r>
    </w:p>
    <w:p w14:paraId="28B124C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DC85C4" w14:textId="77777777" w:rsidR="00A25AD1" w:rsidRPr="00DB5D0D" w:rsidRDefault="00A25AD1" w:rsidP="00DB5D0D">
      <w:pPr>
        <w:pStyle w:val="24"/>
        <w:widowControl/>
        <w:rPr>
          <w:color w:val="000000" w:themeColor="text1"/>
        </w:rPr>
      </w:pPr>
      <w:r w:rsidRPr="00DB5D0D">
        <w:rPr>
          <w:color w:val="000000" w:themeColor="text1"/>
        </w:rPr>
        <w:t>С 29 июня 1940 года на НИП АВ ГУАС закончились заводские испытания упрощенных выливных авиационных приборов ВАП-6 му (в двух вариантах) конструкции завода "ВУЛКАН" на самолете И-15 бис, которые проходили с 25 июня 1940.</w:t>
      </w:r>
    </w:p>
    <w:p w14:paraId="5D046EC4" w14:textId="77777777" w:rsidR="00A25AD1" w:rsidRPr="00DB5D0D" w:rsidRDefault="00A25AD1" w:rsidP="00DB5D0D">
      <w:pPr>
        <w:pStyle w:val="24"/>
        <w:widowControl/>
        <w:rPr>
          <w:color w:val="000000" w:themeColor="text1"/>
        </w:rPr>
      </w:pPr>
      <w:r w:rsidRPr="00DB5D0D">
        <w:rPr>
          <w:color w:val="000000" w:themeColor="text1"/>
        </w:rPr>
        <w:t>Отв. исполнитель:</w:t>
      </w:r>
    </w:p>
    <w:p w14:paraId="0E1A48BF" w14:textId="77777777" w:rsidR="00A25AD1" w:rsidRPr="00DB5D0D" w:rsidRDefault="00A25AD1" w:rsidP="00DB5D0D">
      <w:pPr>
        <w:pStyle w:val="24"/>
        <w:widowControl/>
        <w:rPr>
          <w:color w:val="000000" w:themeColor="text1"/>
        </w:rPr>
      </w:pPr>
      <w:r w:rsidRPr="00DB5D0D">
        <w:rPr>
          <w:color w:val="000000" w:themeColor="text1"/>
        </w:rPr>
        <w:t>В/инженер 3 ранга Лукашев</w:t>
      </w:r>
    </w:p>
    <w:p w14:paraId="21657E50" w14:textId="77777777" w:rsidR="00A25AD1" w:rsidRPr="00DB5D0D" w:rsidRDefault="00A25AD1" w:rsidP="00DB5D0D">
      <w:pPr>
        <w:pStyle w:val="24"/>
        <w:widowControl/>
        <w:rPr>
          <w:color w:val="000000" w:themeColor="text1"/>
        </w:rPr>
      </w:pPr>
      <w:r w:rsidRPr="00DB5D0D">
        <w:rPr>
          <w:color w:val="000000" w:themeColor="text1"/>
        </w:rPr>
        <w:t>Цель испытания</w:t>
      </w:r>
    </w:p>
    <w:p w14:paraId="4DAB7C02" w14:textId="77777777" w:rsidR="00A25AD1" w:rsidRPr="00DB5D0D" w:rsidRDefault="00A25AD1" w:rsidP="00DB5D0D">
      <w:pPr>
        <w:pStyle w:val="24"/>
        <w:widowControl/>
        <w:rPr>
          <w:color w:val="000000" w:themeColor="text1"/>
        </w:rPr>
      </w:pPr>
      <w:r w:rsidRPr="00DB5D0D">
        <w:rPr>
          <w:color w:val="000000" w:themeColor="text1"/>
        </w:rPr>
        <w:t>В процессе заводских испытаний необходимо было выявить следующие элементы:</w:t>
      </w:r>
    </w:p>
    <w:p w14:paraId="46C1345D" w14:textId="77777777" w:rsidR="00A25AD1" w:rsidRPr="00DB5D0D" w:rsidRDefault="00A25AD1" w:rsidP="00DB5D0D">
      <w:pPr>
        <w:pStyle w:val="24"/>
        <w:widowControl/>
        <w:tabs>
          <w:tab w:val="left" w:pos="360"/>
        </w:tabs>
        <w:rPr>
          <w:color w:val="000000" w:themeColor="text1"/>
        </w:rPr>
      </w:pPr>
      <w:r w:rsidRPr="00DB5D0D">
        <w:rPr>
          <w:color w:val="000000" w:themeColor="text1"/>
        </w:rPr>
        <w:t>Прочность и надежность конструкции.</w:t>
      </w:r>
    </w:p>
    <w:p w14:paraId="7D02B33E" w14:textId="77777777" w:rsidR="00A25AD1" w:rsidRPr="00DB5D0D" w:rsidRDefault="00A25AD1" w:rsidP="00DB5D0D">
      <w:pPr>
        <w:pStyle w:val="24"/>
        <w:widowControl/>
        <w:tabs>
          <w:tab w:val="left" w:pos="360"/>
        </w:tabs>
        <w:rPr>
          <w:color w:val="000000" w:themeColor="text1"/>
        </w:rPr>
      </w:pPr>
      <w:r w:rsidRPr="00DB5D0D">
        <w:rPr>
          <w:color w:val="000000" w:themeColor="text1"/>
        </w:rPr>
        <w:t>Возможность забрызгивания самолета.</w:t>
      </w:r>
    </w:p>
    <w:p w14:paraId="6BA33B18" w14:textId="77777777" w:rsidR="00A25AD1" w:rsidRPr="00DB5D0D" w:rsidRDefault="00A25AD1" w:rsidP="00DB5D0D">
      <w:pPr>
        <w:pStyle w:val="24"/>
        <w:widowControl/>
        <w:tabs>
          <w:tab w:val="left" w:pos="360"/>
        </w:tabs>
        <w:rPr>
          <w:color w:val="000000" w:themeColor="text1"/>
        </w:rPr>
      </w:pPr>
      <w:r w:rsidRPr="00DB5D0D">
        <w:rPr>
          <w:color w:val="000000" w:themeColor="text1"/>
        </w:rPr>
        <w:t>Характер дробления жидкости на площади при выливании.</w:t>
      </w:r>
    </w:p>
    <w:p w14:paraId="701F055F" w14:textId="77777777" w:rsidR="00A25AD1" w:rsidRPr="00DB5D0D" w:rsidRDefault="00A25AD1" w:rsidP="00DB5D0D">
      <w:pPr>
        <w:pStyle w:val="24"/>
        <w:widowControl/>
        <w:tabs>
          <w:tab w:val="left" w:pos="360"/>
        </w:tabs>
        <w:rPr>
          <w:color w:val="000000" w:themeColor="text1"/>
        </w:rPr>
      </w:pPr>
      <w:r w:rsidRPr="00DB5D0D">
        <w:rPr>
          <w:color w:val="000000" w:themeColor="text1"/>
        </w:rPr>
        <w:t>Безотказность работы механизмов приборов.</w:t>
      </w:r>
    </w:p>
    <w:p w14:paraId="711DFEE0" w14:textId="77777777" w:rsidR="00A25AD1" w:rsidRPr="00DB5D0D" w:rsidRDefault="00A25AD1" w:rsidP="00DB5D0D">
      <w:pPr>
        <w:pStyle w:val="24"/>
        <w:widowControl/>
        <w:rPr>
          <w:color w:val="000000" w:themeColor="text1"/>
        </w:rPr>
      </w:pPr>
      <w:r w:rsidRPr="00DB5D0D">
        <w:rPr>
          <w:color w:val="000000" w:themeColor="text1"/>
        </w:rPr>
        <w:t>Заключение</w:t>
      </w:r>
    </w:p>
    <w:p w14:paraId="26C7D0D6" w14:textId="77777777" w:rsidR="00A25AD1" w:rsidRPr="00DB5D0D" w:rsidRDefault="00A25AD1" w:rsidP="00DB5D0D">
      <w:pPr>
        <w:pStyle w:val="24"/>
        <w:widowControl/>
        <w:tabs>
          <w:tab w:val="left" w:pos="360"/>
        </w:tabs>
        <w:rPr>
          <w:color w:val="000000" w:themeColor="text1"/>
        </w:rPr>
      </w:pPr>
      <w:r w:rsidRPr="00DB5D0D">
        <w:rPr>
          <w:color w:val="000000" w:themeColor="text1"/>
        </w:rPr>
        <w:t>Предъявленные на заводские испытания заводом "ВУЛКАН" выливные авиаприборы ВАП-6 упрощенной конструкции в двух вариантах заводские испытания не выдержали (7651).</w:t>
      </w:r>
    </w:p>
    <w:p w14:paraId="5AA36627" w14:textId="77777777" w:rsidR="00A25AD1" w:rsidRPr="00DB5D0D" w:rsidRDefault="00A25AD1" w:rsidP="00DB5D0D">
      <w:pPr>
        <w:pStyle w:val="24"/>
        <w:widowControl/>
        <w:tabs>
          <w:tab w:val="left" w:pos="360"/>
        </w:tabs>
        <w:rPr>
          <w:color w:val="000000" w:themeColor="text1"/>
        </w:rPr>
      </w:pPr>
    </w:p>
    <w:p w14:paraId="4992B9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года Начальник ВИАМ Туманов утвердил Пояснительную записку к технологическому процессу изготовления подвесного литого бензинового бака Гулянского емкостью 100 л (ПЛБГ-100).</w:t>
      </w:r>
    </w:p>
    <w:p w14:paraId="1CEE49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Подвесной литой бак Гулянского емкостью 100 л представляет собой закрытый сосуд удобообтекаемой сигарообразной формы длиной 1342 мм и диаметром в наибольшем сечении 407 мм.</w:t>
      </w:r>
    </w:p>
    <w:p w14:paraId="7C7873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местах соприкосновения бака с опорными деталями крыла самолета, наклеены опорные накладки. Установочные пояски определяют место стяжки бака подвесным поясом.</w:t>
      </w:r>
    </w:p>
    <w:p w14:paraId="33F48A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 изготовляется из растительных волокон.</w:t>
      </w:r>
    </w:p>
    <w:p w14:paraId="477E0A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 в заводских условиях проходит испытание на бензостойкость и герметичность.</w:t>
      </w:r>
    </w:p>
    <w:p w14:paraId="49705D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Количество баков подлежащих испытанию, контрольного отдела и военных представителей, на бензостойкость при серийном производстве, определяется договором сторон.</w:t>
      </w:r>
    </w:p>
    <w:p w14:paraId="76BF85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герметичность испытывается каждый бак.</w:t>
      </w:r>
    </w:p>
    <w:p w14:paraId="2C71CB2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Инструкция по окраске наружной поверхности бензобаков ПЛБГ-100</w:t>
      </w:r>
    </w:p>
    <w:p w14:paraId="248B8B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подготовленную поверхность наносятся два слоя грунта.</w:t>
      </w:r>
    </w:p>
    <w:p w14:paraId="1885FC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Первая грунтовка производится нитроклеем АК-20, который наносится при помощи щетинной кисти.</w:t>
      </w:r>
    </w:p>
    <w:p w14:paraId="6741AA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Процесс окраски загрунтованных поверхностей должен выполняться в следующей последовательности:</w:t>
      </w:r>
    </w:p>
    <w:p w14:paraId="5D26C9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1-я окраска:</w:t>
      </w:r>
    </w:p>
    <w:p w14:paraId="34123C2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Первая окраска производится аэролаком 2-го покрытия АII с/с (“СБ”), который наносится пульверизатором с расходом 180-200 гр. на бак.</w:t>
      </w:r>
    </w:p>
    <w:p w14:paraId="3A9B22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Сушка при температуре 18-25 градусов С – 2 – 2,5 часа или</w:t>
      </w:r>
    </w:p>
    <w:p w14:paraId="6C7AE9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сушка при температуре 35-40 градусов С – 1 час</w:t>
      </w:r>
    </w:p>
    <w:p w14:paraId="424B3C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2-я окраска:</w:t>
      </w:r>
    </w:p>
    <w:p w14:paraId="5B6BAD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Вторая окраска (отделка) производится нитрокраской, состоящей из 50% нитролака АВ-4 д/в (270 МСТУ) и 50% аэролака второго покрытия АII с/с (“СБ”) с расходом 200-250 гр.</w:t>
      </w:r>
    </w:p>
    <w:p w14:paraId="4CFB3DC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Краска наносится пульверизатором.</w:t>
      </w:r>
    </w:p>
    <w:p w14:paraId="5D7EB4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Сушка при температуре 18-25 градусов С – не менее 6 часов или</w:t>
      </w:r>
    </w:p>
    <w:p w14:paraId="60ED88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сушка при температуре 35-40 градусов С – 2,5-3 часа. Маркировка и опознавательные знаки наносятся по трафарету пульверизатором или кистью нитрокраской “АII красной”, “Дм” красной или “Дм” черной.</w:t>
      </w:r>
    </w:p>
    <w:p w14:paraId="13A81C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Привес от покрытий на бак должен находится в пределах 180-200 гр.</w:t>
      </w:r>
    </w:p>
    <w:p w14:paraId="334A72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 изготовлен методом литья из крафт целлюлозы и имеет внутреннюю поперечную нервюру обеспечивающую жесткость конструкций и предохраняющую бак от гидравлического удара. Заливная и заборная горловина расположены на головной половинке.</w:t>
      </w:r>
    </w:p>
    <w:p w14:paraId="4A2011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внутренней стороны бак покрыт специальным составом не пропускающим бензина.</w:t>
      </w:r>
    </w:p>
    <w:p w14:paraId="4B43A4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Снаружи бак окрашен алюминиевой или светло-серой нитрокраской.</w:t>
      </w:r>
    </w:p>
    <w:p w14:paraId="7CFBC5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 подвешивается на металлической ленте, место крепления ленты ограничено поясками. Под ленту желательно подкладывать тонкий слой войлока, сукна и т.д. (4166,48-120).</w:t>
      </w:r>
    </w:p>
    <w:p w14:paraId="61DF239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864DF4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0D6599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A37FB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ночь с 29 на 30 июня 1940 года у 100-мм зенитной пушки 73-К разорвался дульный тормоз, а через 6 выстрелов разорвался второй дульный тормоз (3861).</w:t>
      </w:r>
    </w:p>
    <w:p w14:paraId="70C7A50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131520"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1941 г.</w:t>
      </w:r>
    </w:p>
    <w:p w14:paraId="151E31C9"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28.VI. 8211 </w:t>
      </w:r>
    </w:p>
    <w:p w14:paraId="4268B899"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Сов.секретно.</w:t>
      </w:r>
    </w:p>
    <w:p w14:paraId="467E917C"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w:t>
      </w:r>
    </w:p>
    <w:p w14:paraId="00A01BF7"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НАРОДНОГО КОМИССАРА СРЕДНЕГО МАШИНОСТРОЕНИЯ СОЮЗА ССР</w:t>
      </w:r>
    </w:p>
    <w:p w14:paraId="195D8503"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268сс </w:t>
      </w:r>
    </w:p>
    <w:p w14:paraId="33C472FF"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Москва </w:t>
      </w:r>
    </w:p>
    <w:p w14:paraId="127C7ABE"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1941 г.</w:t>
      </w:r>
    </w:p>
    <w:p w14:paraId="4C7D7B8A"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усилении броневой защиты танков Т-26, БТ и Т-28 путем экранирования.</w:t>
      </w:r>
    </w:p>
    <w:p w14:paraId="04F93B49"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соответствии с постановлением СНК СССР от 28 июня 1941 г. ПРИКАЗЫВАЮ: </w:t>
      </w:r>
    </w:p>
    <w:p w14:paraId="686408BA"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Директору завода № 174 тов. МАРКИНУ:</w:t>
      </w:r>
    </w:p>
    <w:p w14:paraId="60AFC406"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Изготовить к 25 июля 1941 г. 2 опытных образца танков Т-26 (один выпуска 1939 г. – с конической башней и наклонной подбашенной коробкой, второй выпуска 1938 г. с конической башней, вертикальными листами подбашенной коробки) с экранами толщиной 25 – 35 мм. </w:t>
      </w:r>
    </w:p>
    <w:p w14:paraId="52000F11"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К 8 июля 1941 г. разработать, утвердить с ГАБТУ КА чертежи экранировки и представить Ижорскому заводу. </w:t>
      </w:r>
    </w:p>
    <w:p w14:paraId="674EE6CD"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 Директору завода № 183 тов. МАКСАРЕВУ:</w:t>
      </w:r>
    </w:p>
    <w:p w14:paraId="58F92854"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Изготовить к 25 июля 1941 г. четыре опытных образца танков БТ-5 и БТ-7 с экранами толщиной 30 – 35 мм. </w:t>
      </w:r>
    </w:p>
    <w:p w14:paraId="698D00E5"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К 8 июля 1941 г. разработать, утвердить с ГАБТУ КА чертежи экранировки и представить Мариупольскому заводу. </w:t>
      </w:r>
    </w:p>
    <w:p w14:paraId="61683DFC"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3. При изготовлении опытных образцов экранированных танков Т-26 и БТ отработать для каждого из типов экранируемых танков полный комплект броневых деталей, технологию экранирования и подробную инструкцию демонтажно-монтажных работ. </w:t>
      </w:r>
    </w:p>
    <w:p w14:paraId="771EE2DB"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 Указанным постановлением установлено:</w:t>
      </w:r>
    </w:p>
    <w:p w14:paraId="76F1E47D"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Обязать Наркомсудпром в недельный срок, со дня получения утвержденных чертежей, подать: </w:t>
      </w:r>
    </w:p>
    <w:p w14:paraId="38D79635"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заводу № 174 с Ижорского завода два комплекта экрана для опытных образцов танков Т-26 по чертежам завода; </w:t>
      </w:r>
    </w:p>
    <w:p w14:paraId="41AA4067"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заводу № 183 с Мариупольского завода четыре комплекта экранов для танков БТ-5 и БТ-7 по чертежам завода. </w:t>
      </w:r>
    </w:p>
    <w:p w14:paraId="3B757E65"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Обязать Наркомат Обороны (ГАБТУ КА): </w:t>
      </w:r>
    </w:p>
    <w:p w14:paraId="257EAD67"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 пятидневный срок передать Наркомсредмашу разработанные совместно с заводами № 174 и 183 тактико-технические требования на экранировку танков Т-26, БТ-5 и БТ-7; </w:t>
      </w:r>
    </w:p>
    <w:p w14:paraId="07CF118D"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для изготовления опытных образцов экранированных танков подать в пятидневный срок: </w:t>
      </w:r>
    </w:p>
    <w:p w14:paraId="2DE10C7D"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завод № 174 танки Т-26 – 2 шт. </w:t>
      </w:r>
    </w:p>
    <w:p w14:paraId="2DA8EF14"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завод № 183 танки БТ – 4 шт. </w:t>
      </w:r>
    </w:p>
    <w:p w14:paraId="44E899AC"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к 5 августа 1941 г. провести полигонные испытания экранированных танков Т-26 и БТ и совместно с Наркомсредмашем и Наркомсудпромом к 10 августа 1941 г. установить наиболее рациональный способ экранирования указанных танков в 1941 году. </w:t>
      </w:r>
    </w:p>
    <w:p w14:paraId="2A5C394C"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5. Контроль за выполнением настоящего приказа возложить: </w:t>
      </w:r>
    </w:p>
    <w:p w14:paraId="2F0EDBF9"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заводу № 174 – на ведущего инженера Танкового П/Отдела тов. САВИНА </w:t>
      </w:r>
    </w:p>
    <w:p w14:paraId="68199E3F"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заводу № 183 – на ведущего инженера Танкового П/Отдела тов. ГРИГОРЬЕВА. </w:t>
      </w:r>
    </w:p>
    <w:p w14:paraId="39D8B8F8"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НАРОДНОГО КОМИССАРА СРЕДНЕГО МАШИНОСТРОЕНИЯ СССР</w:t>
      </w:r>
    </w:p>
    <w:p w14:paraId="4A3CD304"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подпись С. АКОПОВ</w:t>
      </w:r>
    </w:p>
    <w:p w14:paraId="1A7820E3"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 1 экз. </w:t>
      </w:r>
    </w:p>
    <w:p w14:paraId="0D92758A"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 Богданов </w:t>
      </w:r>
    </w:p>
    <w:p w14:paraId="46B3F724"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+ 11 экз. полностью вг. 29.VI.</w:t>
      </w:r>
    </w:p>
    <w:p w14:paraId="011CE8EA"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Фонд 8115 Опись 8 Дело 82 лист 126 – 127 (17930).</w:t>
      </w:r>
    </w:p>
    <w:p w14:paraId="4D1FFB66" w14:textId="77777777" w:rsidR="004857DE" w:rsidRPr="00DB5D0D" w:rsidRDefault="004857DE" w:rsidP="00DB5D0D">
      <w:pPr>
        <w:spacing w:after="0" w:line="240" w:lineRule="auto"/>
        <w:jc w:val="both"/>
        <w:rPr>
          <w:rFonts w:ascii="Times New Roman" w:hAnsi="Times New Roman"/>
          <w:color w:val="000000" w:themeColor="text1"/>
          <w:sz w:val="16"/>
          <w:szCs w:val="16"/>
        </w:rPr>
      </w:pPr>
    </w:p>
    <w:p w14:paraId="5EFC6034"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29 июня 1940 г. начальник 8-го отдела АБТУ РККА военинженер 1 ранга С.А. Афонин направил начальнику Главспецмаша НКСМ СССР Г.С. Суреняну письмо № 74005с следующего содержания: </w:t>
      </w:r>
    </w:p>
    <w:p w14:paraId="1303A2A1" w14:textId="77777777" w:rsidR="004857DE" w:rsidRPr="00DB5D0D" w:rsidRDefault="004857D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«Хотя предварительные испытания литой гусеницы дали ряд положительных результатов, но несмотря на это окончательного вывода о введении на серийное производство сделать нельзя, так как пройденный километраж за время испытаний (417 км) недостаточен. </w:t>
      </w:r>
    </w:p>
    <w:p w14:paraId="0D82B802"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АБТУ КА считает необходимым испытываемый образец литой гусеницы подвергнуть испытанию до полного износа. Необходимо устранить указанные в отчете недоработки по тракам и изготовить 2 комплекта этой гусеницы, которые подвергнуть испытанию на гарантийный километраж на танках, предъявленных госкомиссии для испытания двигателя М-250».</w:t>
      </w:r>
      <w:r w:rsidRPr="00DB5D0D">
        <w:rPr>
          <w:rFonts w:ascii="Times New Roman" w:hAnsi="Times New Roman"/>
          <w:color w:val="000000" w:themeColor="text1"/>
          <w:sz w:val="16"/>
          <w:szCs w:val="16"/>
        </w:rPr>
        <w:t xml:space="preserve"> </w:t>
      </w:r>
    </w:p>
    <w:p w14:paraId="6AD9DD12" w14:textId="77777777" w:rsidR="004857DE" w:rsidRPr="00DB5D0D" w:rsidRDefault="004857DE" w:rsidP="00DB5D0D">
      <w:pPr>
        <w:pStyle w:val="ae"/>
        <w:spacing w:before="0" w:after="0"/>
        <w:jc w:val="both"/>
        <w:rPr>
          <w:color w:val="000000" w:themeColor="text1"/>
          <w:sz w:val="16"/>
          <w:szCs w:val="16"/>
        </w:rPr>
      </w:pPr>
      <w:r w:rsidRPr="00DB5D0D">
        <w:rPr>
          <w:bCs/>
          <w:color w:val="000000" w:themeColor="text1"/>
          <w:sz w:val="16"/>
          <w:szCs w:val="16"/>
        </w:rPr>
        <w:t>[РГВА. Ф.31811. Оп. 2. Д. 1181. Л 117]</w:t>
      </w:r>
    </w:p>
    <w:p w14:paraId="4302EC28" w14:textId="77777777" w:rsidR="004857DE" w:rsidRPr="00DB5D0D" w:rsidRDefault="004857D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Ход дальнейших событий показал, что во время испытаний литых траков, проведенных одновременно с государственными испытаниями дизеля М-250 в августе – сентябре 1940 г., все траки бездефектно проработали до 600 – 700 км, а часть из них выдержала испытание на дистанции вдвое большей. Однако, из-за недостаточного гарантийного срока службы, литые траки, так и небыли утверждены руководством АБТУ РККА на серийное производство. Но исходя из экономических и технологических факторов, а так же надежды на то, что СТЗ удастся в кратчайшие сроки улучшить качество литых траков и добиться требуемых показателей по гарантийному ресурсу (до 2000 км), в 1940 г. на серийные танки Т-34 устанавливались именно они, вместо утвержденных АБТУ РККА штампованных (17625). </w:t>
      </w:r>
    </w:p>
    <w:p w14:paraId="622A94AB" w14:textId="77777777" w:rsidR="004857DE" w:rsidRPr="00DB5D0D" w:rsidRDefault="004857DE" w:rsidP="00DB5D0D">
      <w:pPr>
        <w:spacing w:after="0" w:line="240" w:lineRule="auto"/>
        <w:jc w:val="both"/>
        <w:rPr>
          <w:rFonts w:ascii="Times New Roman" w:hAnsi="Times New Roman"/>
          <w:color w:val="000000" w:themeColor="text1"/>
          <w:sz w:val="16"/>
          <w:szCs w:val="16"/>
        </w:rPr>
      </w:pPr>
    </w:p>
    <w:p w14:paraId="169651AB" w14:textId="77777777" w:rsidR="00A25AD1" w:rsidRPr="00DB5D0D" w:rsidRDefault="00A25AD1" w:rsidP="00DB5D0D">
      <w:pPr>
        <w:pStyle w:val="a3"/>
        <w:rPr>
          <w:color w:val="000000" w:themeColor="text1"/>
          <w:lang w:val="ru-RU"/>
        </w:rPr>
      </w:pPr>
      <w:r w:rsidRPr="00DB5D0D">
        <w:rPr>
          <w:color w:val="000000" w:themeColor="text1"/>
          <w:lang w:val="ru-RU"/>
        </w:rPr>
        <w:lastRenderedPageBreak/>
        <w:t>29 июня 1940 начальник 8 отдела АБТУ Военинженер 1 -го ранка С А Афонин уведомил письмом №74005с от 29 июня 1940 г. о своем решении по вопросу литых траков руководство завода №183 и Главспецмаш:</w:t>
      </w:r>
    </w:p>
    <w:p w14:paraId="1FC7D607" w14:textId="77777777" w:rsidR="00A25AD1" w:rsidRPr="00DB5D0D" w:rsidRDefault="00A25AD1" w:rsidP="00DB5D0D">
      <w:pPr>
        <w:pStyle w:val="201"/>
        <w:shd w:val="clear" w:color="auto" w:fill="auto"/>
        <w:spacing w:before="0" w:line="240" w:lineRule="auto"/>
        <w:rPr>
          <w:b w:val="0"/>
          <w:i w:val="0"/>
          <w:iCs w:val="0"/>
          <w:color w:val="000000" w:themeColor="text1"/>
          <w:sz w:val="16"/>
          <w:szCs w:val="16"/>
          <w:lang w:val="ru-RU"/>
        </w:rPr>
      </w:pPr>
      <w:r w:rsidRPr="00DB5D0D">
        <w:rPr>
          <w:b w:val="0"/>
          <w:bCs w:val="0"/>
          <w:i w:val="0"/>
          <w:iCs w:val="0"/>
          <w:color w:val="000000" w:themeColor="text1"/>
          <w:sz w:val="16"/>
          <w:szCs w:val="16"/>
          <w:lang w:val="ru-RU"/>
        </w:rPr>
        <w:t>Хотя предварительные испытания литой гусеницы дали ряд по</w:t>
      </w:r>
      <w:r w:rsidRPr="00DB5D0D">
        <w:rPr>
          <w:b w:val="0"/>
          <w:bCs w:val="0"/>
          <w:i w:val="0"/>
          <w:iCs w:val="0"/>
          <w:color w:val="000000" w:themeColor="text1"/>
          <w:sz w:val="16"/>
          <w:szCs w:val="16"/>
          <w:lang w:val="ru-RU"/>
        </w:rPr>
        <w:softHyphen/>
        <w:t>ложительных результатов, но, несмотря на это окончательного вы</w:t>
      </w:r>
      <w:r w:rsidRPr="00DB5D0D">
        <w:rPr>
          <w:b w:val="0"/>
          <w:bCs w:val="0"/>
          <w:i w:val="0"/>
          <w:iCs w:val="0"/>
          <w:color w:val="000000" w:themeColor="text1"/>
          <w:sz w:val="16"/>
          <w:szCs w:val="16"/>
          <w:lang w:val="ru-RU"/>
        </w:rPr>
        <w:softHyphen/>
        <w:t>вода о введении на серийное производство сделать нельзя, так как пройденный километраж за время испытаний (417 км) недостато</w:t>
      </w:r>
      <w:r w:rsidRPr="00DB5D0D">
        <w:rPr>
          <w:b w:val="0"/>
          <w:bCs w:val="0"/>
          <w:i w:val="0"/>
          <w:iCs w:val="0"/>
          <w:color w:val="000000" w:themeColor="text1"/>
          <w:sz w:val="16"/>
          <w:szCs w:val="16"/>
          <w:lang w:val="ru-RU"/>
        </w:rPr>
        <w:softHyphen/>
        <w:t>чен. АБТУ КА считает необходимым испытываемый образец литой гусеницы подвергнуть испытанию до полного ее износа. Необходи</w:t>
      </w:r>
      <w:r w:rsidRPr="00DB5D0D">
        <w:rPr>
          <w:b w:val="0"/>
          <w:bCs w:val="0"/>
          <w:i w:val="0"/>
          <w:iCs w:val="0"/>
          <w:color w:val="000000" w:themeColor="text1"/>
          <w:sz w:val="16"/>
          <w:szCs w:val="16"/>
          <w:lang w:val="ru-RU"/>
        </w:rPr>
        <w:softHyphen/>
        <w:t>мо устранить указанные в отчете недоработки по тракам и изгото</w:t>
      </w:r>
      <w:r w:rsidRPr="00DB5D0D">
        <w:rPr>
          <w:b w:val="0"/>
          <w:bCs w:val="0"/>
          <w:i w:val="0"/>
          <w:iCs w:val="0"/>
          <w:color w:val="000000" w:themeColor="text1"/>
          <w:sz w:val="16"/>
          <w:szCs w:val="16"/>
          <w:lang w:val="ru-RU"/>
        </w:rPr>
        <w:softHyphen/>
        <w:t>вить 2 комплекта этой гусеницы, которые подвергнул, испытанию на гарантийный километраж на танках, предъявленных госкомиссии для испытания двигателя М-250.</w:t>
      </w:r>
      <w:r w:rsidRPr="00DB5D0D">
        <w:rPr>
          <w:rStyle w:val="20MSMincho30pt55"/>
          <w:rFonts w:ascii="Times New Roman" w:cs="Times New Roman"/>
          <w:bCs/>
          <w:iCs/>
          <w:color w:val="000000" w:themeColor="text1"/>
          <w:spacing w:val="0"/>
          <w:lang w:val="ru-RU"/>
        </w:rPr>
        <w:t xml:space="preserve"> [</w:t>
      </w:r>
      <w:r w:rsidRPr="00DB5D0D">
        <w:rPr>
          <w:b w:val="0"/>
          <w:bCs w:val="0"/>
          <w:i w:val="0"/>
          <w:iCs w:val="0"/>
          <w:color w:val="000000" w:themeColor="text1"/>
          <w:sz w:val="16"/>
          <w:szCs w:val="16"/>
          <w:lang w:val="ru-RU"/>
        </w:rPr>
        <w:t>РГВА. Ф.31811. Оп.2. Д. 1181. Л. 117.</w:t>
      </w:r>
      <w:r w:rsidRPr="00DB5D0D">
        <w:rPr>
          <w:rStyle w:val="20MSMincho30pt55"/>
          <w:rFonts w:ascii="Times New Roman" w:cs="Times New Roman"/>
          <w:bCs/>
          <w:iCs/>
          <w:color w:val="000000" w:themeColor="text1"/>
          <w:spacing w:val="0"/>
          <w:lang w:val="ru-RU"/>
        </w:rPr>
        <w:t>]</w:t>
      </w:r>
      <w:r w:rsidRPr="00DB5D0D">
        <w:rPr>
          <w:rStyle w:val="20MSMincho30pt55"/>
          <w:rFonts w:ascii="Times New Roman" w:cs="Times New Roman"/>
          <w:bCs/>
          <w:iCs/>
          <w:noProof w:val="0"/>
          <w:color w:val="000000" w:themeColor="text1"/>
          <w:spacing w:val="0"/>
          <w:lang w:val="ru-RU"/>
        </w:rPr>
        <w:t xml:space="preserve"> (11904).</w:t>
      </w:r>
    </w:p>
    <w:p w14:paraId="506A9A44" w14:textId="77777777" w:rsidR="00A25AD1" w:rsidRPr="00DB5D0D" w:rsidRDefault="00A25AD1" w:rsidP="00DB5D0D">
      <w:pPr>
        <w:pStyle w:val="a3"/>
        <w:rPr>
          <w:color w:val="000000" w:themeColor="text1"/>
          <w:lang w:val="ru-RU"/>
        </w:rPr>
      </w:pPr>
    </w:p>
    <w:p w14:paraId="24AD06BC"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 начальник Артиллерийского управления (далее – АУ) РККА Г.К. Савченко обратился к начальнику ГАБТУ КА Я.Н. Федоренко с с письмом № 447456сс, в котором просил дать распоряжение об отправке на АНИОП одного полностью укомплектованного танка Т-34. Танк был необходим для проведения отстрела пушки Л-11 и спаренного с ней пулемета ДТ в целях определения величин углов вылета (для разработки чертежей нарезки дистанционных шкал прицелов ПТ-6 и ТОД-6), а также для определения прочности установки пушки в башне. Следует отметить, что данные испытания танка Т-34 были инициированы руководством АУ РККА в связи с тем, что все вопросы, связанные с разработкой, производством танкового вооружения и установкой его в боевые машины, со стороны НКО в то время непосредственно курировались Артиллерийским управлением РККА (19575).</w:t>
      </w:r>
    </w:p>
    <w:p w14:paraId="1CE82095" w14:textId="77777777" w:rsidR="00447326" w:rsidRPr="00DB5D0D" w:rsidRDefault="00447326" w:rsidP="00DB5D0D">
      <w:pPr>
        <w:spacing w:after="0" w:line="240" w:lineRule="auto"/>
        <w:jc w:val="both"/>
        <w:rPr>
          <w:rFonts w:ascii="Times New Roman" w:hAnsi="Times New Roman"/>
          <w:color w:val="000000" w:themeColor="text1"/>
          <w:sz w:val="16"/>
          <w:szCs w:val="16"/>
        </w:rPr>
      </w:pPr>
    </w:p>
    <w:p w14:paraId="1036B625"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w:t>
      </w:r>
    </w:p>
    <w:p w14:paraId="1DF65DE5"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Фонд 31811 Опись 2 Дело 1022 лист 33</w:t>
      </w:r>
    </w:p>
    <w:p w14:paraId="0F7CD35D"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42C560F7"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 № 1</w:t>
      </w:r>
    </w:p>
    <w:p w14:paraId="2925B6D4"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w:t>
      </w:r>
    </w:p>
    <w:p w14:paraId="26E3A75A"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447456сс</w:t>
      </w:r>
    </w:p>
    <w:p w14:paraId="0697F45A"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АБТУ КРАСНОЙ АРМИИ</w:t>
      </w:r>
    </w:p>
    <w:p w14:paraId="0E85CD35"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ГЕНЕРАЛ-ЛЕЙТЕНАНТУ ТАНКОВЫХ ВОЙСК т. ФЕДОРЕНКО</w:t>
      </w:r>
    </w:p>
    <w:p w14:paraId="3E1E19AF"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исполнения работ, предусмотренных протоколом совещания от 15.6.40 г. у Зам. НКО Маршала Советского Союза тов. КУЛИКА, прошу Вашего распоряжения об отправке на АНИОП одного танка Т-34 вместе с полным вооружением для проведения испытаний установки пушки Л-11 на прочность, отстрела углов вылета и для последующей передачи этого танка на Кировский завод для отработки установки в этом танке пушки Ф-32.</w:t>
      </w:r>
    </w:p>
    <w:p w14:paraId="23CC2797"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для обеспечения работ по самоходной артиллерии прошу Вашего распоряжения об отправке на завод № 8 двух танков Т-34 без башен и без вооружения (для 85 мм самоходной противотанковой пушки).</w:t>
      </w:r>
    </w:p>
    <w:p w14:paraId="6A179D9A"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распоряжении о немедленной отправке указанных танков.</w:t>
      </w:r>
    </w:p>
    <w:p w14:paraId="2705FD4E"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АРТ. УПРАВЛЕНИЯ КРАСНОЙ АРМИИ</w:t>
      </w:r>
    </w:p>
    <w:p w14:paraId="2BD36371"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ГЕНЕРАЛ-МАЙОР АРТИЛЛЕРИИ подпись (САВЧЕНКО)</w:t>
      </w:r>
    </w:p>
    <w:p w14:paraId="679AB22D"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ВРИД. ВОЕНКОМА АРТ. УПРАВЛЕНИЯ КРАСНОЙ АРМИИ</w:t>
      </w:r>
    </w:p>
    <w:p w14:paraId="34B2572B"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БАТАЛЬОННЫЙ КОМИССАР подпись (СИДОРОВ)</w:t>
      </w:r>
    </w:p>
    <w:p w14:paraId="38C6D8E6"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ВРИД. ПРЕДСЕДАТЕЛЯ АРТКОМА АУ КРАСНОЙ АРМИИ</w:t>
      </w:r>
    </w:p>
    <w:p w14:paraId="3F7BC5F3"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ПОЛКОВНИК подпись 25.6.40 г. (ЗАСОСОВ)</w:t>
      </w:r>
    </w:p>
    <w:p w14:paraId="0A65BF51"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 2 экз.</w:t>
      </w:r>
    </w:p>
    <w:p w14:paraId="7C693733"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3560 23.6.40 г.</w:t>
      </w:r>
    </w:p>
    <w:p w14:paraId="6B77A93E"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 Соркин</w:t>
      </w:r>
    </w:p>
    <w:p w14:paraId="68A4AA54"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документе пометы:</w:t>
      </w:r>
    </w:p>
    <w:p w14:paraId="10274DA2"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 8. Один Т-34 из готовых с башней отправить на АНИОП сообщив им время отгрузки. Сообщите когда отгружено 2 Т-34 для завода № 8 и прибыли ли они на завод. 4.7.40 подпись Б.М. Коробкова»</w:t>
      </w:r>
    </w:p>
    <w:p w14:paraId="4ED9EFA8" w14:textId="77777777" w:rsidR="00447326" w:rsidRPr="00DB5D0D" w:rsidRDefault="004473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«Дана кодограмма об отправке АНИОП одной Т-34. Заводу № 8 две Т-34 отгружены 3.7.40. подпись И.Г. Панова 5.7.» (19576).</w:t>
      </w:r>
    </w:p>
    <w:p w14:paraId="19CBD587" w14:textId="77777777" w:rsidR="00447326" w:rsidRPr="00DB5D0D" w:rsidRDefault="00447326" w:rsidP="00DB5D0D">
      <w:pPr>
        <w:spacing w:after="0" w:line="240" w:lineRule="auto"/>
        <w:jc w:val="both"/>
        <w:rPr>
          <w:rFonts w:ascii="Times New Roman" w:hAnsi="Times New Roman"/>
          <w:color w:val="000000" w:themeColor="text1"/>
          <w:sz w:val="16"/>
          <w:szCs w:val="16"/>
        </w:rPr>
      </w:pPr>
    </w:p>
    <w:p w14:paraId="3BCB592F"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29 июня 1940</w:t>
      </w:r>
    </w:p>
    <w:p w14:paraId="0329424F"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60E18932"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4 </w:t>
      </w:r>
    </w:p>
    <w:p w14:paraId="47591B5B"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29 июня 1940 г. </w:t>
      </w:r>
    </w:p>
    <w:p w14:paraId="407B5AE2"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74005с </w:t>
      </w:r>
    </w:p>
    <w:p w14:paraId="575A6E5C"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ГЛАВСПЕЦМАША НКСМ СССР</w:t>
      </w:r>
    </w:p>
    <w:p w14:paraId="4348AC98"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тов. СУРЕНЯНУ</w:t>
      </w:r>
    </w:p>
    <w:p w14:paraId="56120FA5"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ДИРЕКТОРУ ЗАВОДА № 183 тов. МАКСАРЕВУ</w:t>
      </w:r>
    </w:p>
    <w:p w14:paraId="0DEF1146"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ВОЕНПРЕДУ ЗАВОДА № 183 ВОЕНИНЖЕНЕРУ 2 РАНГА</w:t>
      </w:r>
    </w:p>
    <w:p w14:paraId="27766639"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тов. КОЗЫРЕВУ</w:t>
      </w:r>
    </w:p>
    <w:p w14:paraId="043C709A"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Хотя предварительные испытания литой гусеницы дали ряд положительных результатов, но несмотря на это окончательного вывода о введении на серийное производство сделать нельзя, так как пройденный километраж за время испытаний (417 км) недостаточен. </w:t>
      </w:r>
    </w:p>
    <w:p w14:paraId="1DB879E5"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АБТУ КА считает необходимым испытываемый образец литой гусеницы подвергнуть испытанию до полного износа. Необходимо устранить указанные в отчете недоработки по тракам и изготовить 2 комплекта этой гусеницы, которые подвергнуть испытанию на гарантийный километраж на танках, предъявленных госкомиссии для испытания двигателя М-250. </w:t>
      </w:r>
    </w:p>
    <w:p w14:paraId="492917A3"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п/п НАЧАЛЬНИК 8 ОТДЕЛА АБТУ КР. АРМИИ ВОЕНИНЖЕНЕР 1 РАНГА (АФОНИН)</w:t>
      </w:r>
    </w:p>
    <w:p w14:paraId="487CB310"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п/п ПОМ. НАЧАЛЬНИКА 1 ОТДЕЛЕНИЯ 8 ОТДЕЛА МАЙОР (ПАНОВ)</w:t>
      </w:r>
    </w:p>
    <w:p w14:paraId="72EE4766"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4 экз. </w:t>
      </w:r>
    </w:p>
    <w:p w14:paraId="3A36050C"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Панов </w:t>
      </w:r>
    </w:p>
    <w:p w14:paraId="456C73E7"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28.6.1940 г. № 4014</w:t>
      </w:r>
    </w:p>
    <w:p w14:paraId="6CA736E3"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 117</w:t>
      </w:r>
      <w:r w:rsidRPr="00DB5D0D">
        <w:rPr>
          <w:rFonts w:ascii="Times New Roman" w:eastAsia="Times New Roman" w:hAnsi="Times New Roman"/>
          <w:color w:val="000000" w:themeColor="text1"/>
          <w:sz w:val="16"/>
          <w:szCs w:val="16"/>
          <w:lang w:eastAsia="ru-RU"/>
        </w:rPr>
        <w:t xml:space="preserve"> (18076).</w:t>
      </w:r>
    </w:p>
    <w:p w14:paraId="65F197BA" w14:textId="77777777" w:rsidR="0052059F" w:rsidRPr="00DB5D0D" w:rsidRDefault="0052059F" w:rsidP="00DB5D0D">
      <w:pPr>
        <w:spacing w:after="0" w:line="240" w:lineRule="auto"/>
        <w:jc w:val="both"/>
        <w:rPr>
          <w:rFonts w:ascii="Times New Roman" w:eastAsia="Times New Roman" w:hAnsi="Times New Roman"/>
          <w:color w:val="000000" w:themeColor="text1"/>
          <w:sz w:val="16"/>
          <w:szCs w:val="16"/>
          <w:lang w:eastAsia="ru-RU"/>
        </w:rPr>
      </w:pPr>
    </w:p>
    <w:p w14:paraId="00569EC1"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в крайне остром письме начальника ХИМУ генерал- майора Химических войск Мельникова, воен</w:t>
      </w:r>
      <w:r w:rsidRPr="00DB5D0D">
        <w:rPr>
          <w:rFonts w:ascii="Times New Roman" w:hAnsi="Times New Roman"/>
          <w:color w:val="000000" w:themeColor="text1"/>
          <w:sz w:val="16"/>
          <w:szCs w:val="16"/>
        </w:rPr>
        <w:softHyphen/>
        <w:t>ного комиссара ХИМУ полкового комиссара Дмитриева и начальника 9 отдела ХИМУ пол</w:t>
      </w:r>
      <w:r w:rsidRPr="00DB5D0D">
        <w:rPr>
          <w:rFonts w:ascii="Times New Roman" w:hAnsi="Times New Roman"/>
          <w:color w:val="000000" w:themeColor="text1"/>
          <w:sz w:val="16"/>
          <w:szCs w:val="16"/>
        </w:rPr>
        <w:softHyphen/>
        <w:t>ковника Полянского народному комиссару тяжелого машинострое</w:t>
      </w:r>
      <w:r w:rsidRPr="00DB5D0D">
        <w:rPr>
          <w:rFonts w:ascii="Times New Roman" w:hAnsi="Times New Roman"/>
          <w:color w:val="000000" w:themeColor="text1"/>
          <w:sz w:val="16"/>
          <w:szCs w:val="16"/>
        </w:rPr>
        <w:softHyphen/>
        <w:t>ния тов. Ефимову говорилось:</w:t>
      </w:r>
    </w:p>
    <w:p w14:paraId="1614FFF9"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«Комитет обороны распоряжением №6693 от 28.7.39 г. обязал Выксунский завод ДРО из</w:t>
      </w:r>
      <w:r w:rsidRPr="00DB5D0D">
        <w:rPr>
          <w:rFonts w:ascii="Times New Roman" w:cs="Times New Roman"/>
          <w:color w:val="000000" w:themeColor="text1"/>
          <w:sz w:val="16"/>
          <w:szCs w:val="16"/>
        </w:rPr>
        <w:softHyphen/>
        <w:t>готовить к 1 октября 1939 г. 5 шт. химприцепок и подготовить производство их в 1940 г.</w:t>
      </w:r>
    </w:p>
    <w:p w14:paraId="3EACAD3B"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Завод не выполнил распоряжения К.О., т.к. первая химприцепка была принята представи</w:t>
      </w:r>
      <w:r w:rsidRPr="00DB5D0D">
        <w:rPr>
          <w:rFonts w:ascii="Times New Roman" w:cs="Times New Roman"/>
          <w:color w:val="000000" w:themeColor="text1"/>
          <w:sz w:val="16"/>
          <w:szCs w:val="16"/>
        </w:rPr>
        <w:softHyphen/>
        <w:t>телем ХИМУ только 5 марта 1940 г.</w:t>
      </w:r>
    </w:p>
    <w:p w14:paraId="017E7401"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Вследствие этого ХИМУ не смогло начать войсковые испытания ранее 1 апреля.</w:t>
      </w:r>
    </w:p>
    <w:p w14:paraId="6B34FF8F"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Однако директор завода ДРО т. Пассин- ский рапортом №1/4 от 1.2.40 г. сообщал На</w:t>
      </w:r>
      <w:r w:rsidRPr="00DB5D0D">
        <w:rPr>
          <w:rFonts w:ascii="Times New Roman" w:cs="Times New Roman"/>
          <w:color w:val="000000" w:themeColor="text1"/>
          <w:sz w:val="16"/>
          <w:szCs w:val="16"/>
        </w:rPr>
        <w:softHyphen/>
        <w:t>чальнику ГУКПО:</w:t>
      </w:r>
    </w:p>
    <w:p w14:paraId="6B3D0FCD"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«Специальное задание правительства и Ваше о выпуске опытной партии 5 шт, выпол</w:t>
      </w:r>
      <w:r w:rsidRPr="00DB5D0D">
        <w:rPr>
          <w:rFonts w:ascii="Times New Roman" w:cs="Times New Roman"/>
          <w:color w:val="000000" w:themeColor="text1"/>
          <w:sz w:val="16"/>
          <w:szCs w:val="16"/>
        </w:rPr>
        <w:softHyphen/>
        <w:t>нено.</w:t>
      </w:r>
    </w:p>
    <w:p w14:paraId="209424C9"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...Три машины сданы в декабре и осталь</w:t>
      </w:r>
      <w:r w:rsidRPr="00DB5D0D">
        <w:rPr>
          <w:rFonts w:ascii="Times New Roman" w:cs="Times New Roman"/>
          <w:color w:val="000000" w:themeColor="text1"/>
          <w:sz w:val="16"/>
          <w:szCs w:val="16"/>
        </w:rPr>
        <w:softHyphen/>
        <w:t>ные две в январе...»</w:t>
      </w:r>
    </w:p>
    <w:p w14:paraId="6E53E97D"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На самом же деле к 1.2.40</w:t>
      </w:r>
      <w:r w:rsidRPr="00DB5D0D">
        <w:rPr>
          <w:rStyle w:val="4f0"/>
          <w:rFonts w:ascii="Times New Roman" w:hAnsi="Times New Roman" w:cs="Times New Roman"/>
          <w:i w:val="0"/>
          <w:color w:val="000000" w:themeColor="text1"/>
          <w:sz w:val="16"/>
          <w:szCs w:val="16"/>
        </w:rPr>
        <w:t xml:space="preserve"> г.</w:t>
      </w:r>
      <w:r w:rsidRPr="00DB5D0D">
        <w:rPr>
          <w:rFonts w:ascii="Times New Roman" w:cs="Times New Roman"/>
          <w:color w:val="000000" w:themeColor="text1"/>
          <w:sz w:val="16"/>
          <w:szCs w:val="16"/>
        </w:rPr>
        <w:t xml:space="preserve"> машины име</w:t>
      </w:r>
      <w:r w:rsidRPr="00DB5D0D">
        <w:rPr>
          <w:rFonts w:ascii="Times New Roman" w:cs="Times New Roman"/>
          <w:color w:val="000000" w:themeColor="text1"/>
          <w:sz w:val="16"/>
          <w:szCs w:val="16"/>
        </w:rPr>
        <w:softHyphen/>
        <w:t>ли целый ряд дефектов, которые завод устра</w:t>
      </w:r>
      <w:r w:rsidRPr="00DB5D0D">
        <w:rPr>
          <w:rFonts w:ascii="Times New Roman" w:cs="Times New Roman"/>
          <w:color w:val="000000" w:themeColor="text1"/>
          <w:sz w:val="16"/>
          <w:szCs w:val="16"/>
        </w:rPr>
        <w:softHyphen/>
        <w:t>нял до конца марта 1940 г.</w:t>
      </w:r>
    </w:p>
    <w:p w14:paraId="243162A3"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После окончания войсковых испытаний материалы были срочно с нарочным отправле</w:t>
      </w:r>
      <w:r w:rsidRPr="00DB5D0D">
        <w:rPr>
          <w:rFonts w:ascii="Times New Roman" w:cs="Times New Roman"/>
          <w:color w:val="000000" w:themeColor="text1"/>
          <w:sz w:val="16"/>
          <w:szCs w:val="16"/>
        </w:rPr>
        <w:softHyphen/>
        <w:t>ны заводу ДРО.</w:t>
      </w:r>
    </w:p>
    <w:p w14:paraId="15A1D55E"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31 мая 1940 г. директор завода ДРО подписал договор с ХИМУ на изготовление установочной партии (10 шт.) химприцепок к 1 июля 1940 г.</w:t>
      </w:r>
    </w:p>
    <w:p w14:paraId="7C833BEE"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На сегодняшний день работа по изготов</w:t>
      </w:r>
      <w:r w:rsidRPr="00DB5D0D">
        <w:rPr>
          <w:rFonts w:ascii="Times New Roman" w:cs="Times New Roman"/>
          <w:color w:val="000000" w:themeColor="text1"/>
          <w:sz w:val="16"/>
          <w:szCs w:val="16"/>
        </w:rPr>
        <w:softHyphen/>
        <w:t>лению установочной партии химприцепок идет крайне неудовлетворительно и по имеющимся у меня сведениям завод даже не включил их в план товарного выпуска в июне 1940 г.</w:t>
      </w:r>
    </w:p>
    <w:p w14:paraId="519F0FEC"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Завод ДРО имел и имеет все необходимые условия для выполнения в срок правитель</w:t>
      </w:r>
      <w:r w:rsidRPr="00DB5D0D">
        <w:rPr>
          <w:rFonts w:ascii="Times New Roman" w:cs="Times New Roman"/>
          <w:color w:val="000000" w:themeColor="text1"/>
          <w:sz w:val="16"/>
          <w:szCs w:val="16"/>
        </w:rPr>
        <w:softHyphen/>
        <w:t>ственного постановления, направленного к оснащению боевой техникой Красной Армии.</w:t>
      </w:r>
    </w:p>
    <w:p w14:paraId="5E32B151"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Прошу дать срочные указания руководству завода ДРО о немедленном выполнении до</w:t>
      </w:r>
      <w:r w:rsidRPr="00DB5D0D">
        <w:rPr>
          <w:rFonts w:ascii="Times New Roman" w:cs="Times New Roman"/>
          <w:color w:val="000000" w:themeColor="text1"/>
          <w:sz w:val="16"/>
          <w:szCs w:val="16"/>
        </w:rPr>
        <w:softHyphen/>
        <w:t>говора на изготовление установочной партии химприцепок» (17480).</w:t>
      </w:r>
    </w:p>
    <w:p w14:paraId="59C94F6F" w14:textId="77777777" w:rsidR="004A0330" w:rsidRPr="00DB5D0D" w:rsidRDefault="004A0330" w:rsidP="00DB5D0D">
      <w:pPr>
        <w:spacing w:after="0" w:line="240" w:lineRule="auto"/>
        <w:jc w:val="both"/>
        <w:rPr>
          <w:rFonts w:ascii="Times New Roman" w:hAnsi="Times New Roman"/>
          <w:color w:val="000000" w:themeColor="text1"/>
          <w:sz w:val="16"/>
          <w:szCs w:val="16"/>
        </w:rPr>
      </w:pPr>
    </w:p>
    <w:p w14:paraId="1AF93B7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666A9AB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2BE6C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29 и 30 июня 1940 было два десанта. Первый - на Болград - 99 ТБ-3 с 1476 чел. 204 вдб. Площадки не хватило для посадки и сбрасывали. 30 июня 44 ТБ-3 перебросили под Измаил 201 вдб. Сели 12 с пятью автомобилями и7 пушками и 240 чел. 509 чел. пришлось сбрасывать. Два - вернулись, т.к. везли радиоаппаратуру и оркестр (10248,18).</w:t>
      </w:r>
    </w:p>
    <w:p w14:paraId="7E6558A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07AE8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состоялась операция в районе Болграда. С рассветом к выбранной площадке направили для разведки пару Р-5. За ними вылете</w:t>
      </w:r>
      <w:r w:rsidRPr="00DB5D0D">
        <w:rPr>
          <w:rFonts w:ascii="Times New Roman" w:hAnsi="Times New Roman"/>
          <w:color w:val="000000" w:themeColor="text1"/>
          <w:sz w:val="16"/>
          <w:szCs w:val="16"/>
        </w:rPr>
        <w:softHyphen/>
        <w:t>ли 99 ТБ-3, взявшие на борт 1436 человек. До места долетели 97 са</w:t>
      </w:r>
      <w:r w:rsidRPr="00DB5D0D">
        <w:rPr>
          <w:rFonts w:ascii="Times New Roman" w:hAnsi="Times New Roman"/>
          <w:color w:val="000000" w:themeColor="text1"/>
          <w:sz w:val="16"/>
          <w:szCs w:val="16"/>
        </w:rPr>
        <w:softHyphen/>
        <w:t>молетов, два совершили вынужден</w:t>
      </w:r>
      <w:r w:rsidRPr="00DB5D0D">
        <w:rPr>
          <w:rFonts w:ascii="Times New Roman" w:hAnsi="Times New Roman"/>
          <w:color w:val="000000" w:themeColor="text1"/>
          <w:sz w:val="16"/>
          <w:szCs w:val="16"/>
        </w:rPr>
        <w:softHyphen/>
        <w:t>ные посадки из-за различных непо</w:t>
      </w:r>
      <w:r w:rsidRPr="00DB5D0D">
        <w:rPr>
          <w:rFonts w:ascii="Times New Roman" w:hAnsi="Times New Roman"/>
          <w:color w:val="000000" w:themeColor="text1"/>
          <w:sz w:val="16"/>
          <w:szCs w:val="16"/>
        </w:rPr>
        <w:softHyphen/>
        <w:t>ладок. Площадка была мала для посадки ТБ-3, поэтому десант выб</w:t>
      </w:r>
      <w:r w:rsidRPr="00DB5D0D">
        <w:rPr>
          <w:rFonts w:ascii="Times New Roman" w:hAnsi="Times New Roman"/>
          <w:color w:val="000000" w:themeColor="text1"/>
          <w:sz w:val="16"/>
          <w:szCs w:val="16"/>
        </w:rPr>
        <w:softHyphen/>
        <w:t>росили на парашютах. Сильный ве</w:t>
      </w:r>
      <w:r w:rsidRPr="00DB5D0D">
        <w:rPr>
          <w:rFonts w:ascii="Times New Roman" w:hAnsi="Times New Roman"/>
          <w:color w:val="000000" w:themeColor="text1"/>
          <w:sz w:val="16"/>
          <w:szCs w:val="16"/>
        </w:rPr>
        <w:softHyphen/>
        <w:t>тер при приземлении вызвал не</w:t>
      </w:r>
      <w:r w:rsidRPr="00DB5D0D">
        <w:rPr>
          <w:rFonts w:ascii="Times New Roman" w:hAnsi="Times New Roman"/>
          <w:color w:val="000000" w:themeColor="text1"/>
          <w:sz w:val="16"/>
          <w:szCs w:val="16"/>
        </w:rPr>
        <w:softHyphen/>
        <w:t>сколько несчастных случаев. Двое бойцов погибли (один зацепился ку</w:t>
      </w:r>
      <w:r w:rsidRPr="00DB5D0D">
        <w:rPr>
          <w:rFonts w:ascii="Times New Roman" w:hAnsi="Times New Roman"/>
          <w:color w:val="000000" w:themeColor="text1"/>
          <w:sz w:val="16"/>
          <w:szCs w:val="16"/>
        </w:rPr>
        <w:softHyphen/>
        <w:t>полом за стабилизатор бомбарди</w:t>
      </w:r>
      <w:r w:rsidRPr="00DB5D0D">
        <w:rPr>
          <w:rFonts w:ascii="Times New Roman" w:hAnsi="Times New Roman"/>
          <w:color w:val="000000" w:themeColor="text1"/>
          <w:sz w:val="16"/>
          <w:szCs w:val="16"/>
        </w:rPr>
        <w:softHyphen/>
        <w:t>ровщика, другой получил сильное сотрясение мозга и позже умер в госпитале), пятеро сломали ноги. Но к следующему дню Белград был захвачен бойцами 204-й вдб. Один батальон двинулся на Кагул и после небольшой перестрелки с ру</w:t>
      </w:r>
      <w:r w:rsidRPr="00DB5D0D">
        <w:rPr>
          <w:rFonts w:ascii="Times New Roman" w:hAnsi="Times New Roman"/>
          <w:color w:val="000000" w:themeColor="text1"/>
          <w:sz w:val="16"/>
          <w:szCs w:val="16"/>
        </w:rPr>
        <w:softHyphen/>
        <w:t>мынами у Рени занял город (10690).</w:t>
      </w:r>
    </w:p>
    <w:p w14:paraId="6EBE53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69ABC8D"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29 июня</w:t>
      </w:r>
      <w:r w:rsidRPr="00DB5D0D">
        <w:rPr>
          <w:rFonts w:ascii="Times New Roman" w:hAnsi="Times New Roman"/>
          <w:color w:val="000000" w:themeColor="text1"/>
          <w:sz w:val="16"/>
          <w:szCs w:val="16"/>
        </w:rPr>
        <w:t xml:space="preserve"> в 1940 году в СССР начинаются сборы командиров полков. Из 225 командиров полков ни один не имеет академического образования, только 25 окончили военные училища и 200 - курсы младших лейтенантов. Более 70% командиров полков, 60% военных комиссаров и начальников политотделов соединений работают в этих должностях около года (14937).</w:t>
      </w:r>
    </w:p>
    <w:p w14:paraId="49403348"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3EFC24A0" w14:textId="77777777" w:rsidR="0059006F" w:rsidRPr="00DB5D0D" w:rsidRDefault="0059006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Жизнь и внутреннняя политика:</w:t>
      </w:r>
    </w:p>
    <w:p w14:paraId="6A15F54D" w14:textId="77777777" w:rsidR="0059006F" w:rsidRPr="00DB5D0D" w:rsidRDefault="0059006F" w:rsidP="00DB5D0D">
      <w:pPr>
        <w:spacing w:after="0" w:line="240" w:lineRule="auto"/>
        <w:jc w:val="both"/>
        <w:rPr>
          <w:rFonts w:ascii="Times New Roman" w:hAnsi="Times New Roman"/>
          <w:iCs/>
          <w:color w:val="000000" w:themeColor="text1"/>
          <w:sz w:val="16"/>
          <w:szCs w:val="16"/>
        </w:rPr>
      </w:pPr>
    </w:p>
    <w:p w14:paraId="67706961" w14:textId="77777777" w:rsidR="0059006F" w:rsidRPr="00DB5D0D" w:rsidRDefault="0059006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29 июня</w:t>
      </w:r>
      <w:r w:rsidRPr="00DB5D0D">
        <w:rPr>
          <w:rFonts w:ascii="Times New Roman" w:hAnsi="Times New Roman"/>
          <w:color w:val="000000" w:themeColor="text1"/>
          <w:sz w:val="16"/>
          <w:szCs w:val="16"/>
        </w:rPr>
        <w:t xml:space="preserve"> в 1940 году третья депортация поляков из западных районов СССР в Казахстан, Среднюю Азию и на север России (всего было депортировано 75 тысяч человек) (14937).</w:t>
      </w:r>
    </w:p>
    <w:p w14:paraId="5E87A958" w14:textId="77777777" w:rsidR="0059006F" w:rsidRPr="00DB5D0D" w:rsidRDefault="0059006F" w:rsidP="00DB5D0D">
      <w:pPr>
        <w:spacing w:after="0" w:line="240" w:lineRule="auto"/>
        <w:jc w:val="both"/>
        <w:rPr>
          <w:rFonts w:ascii="Times New Roman" w:hAnsi="Times New Roman"/>
          <w:color w:val="000000" w:themeColor="text1"/>
          <w:sz w:val="16"/>
          <w:szCs w:val="16"/>
        </w:rPr>
      </w:pPr>
    </w:p>
    <w:p w14:paraId="15787F8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AC0D00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1F99E04"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29 июня</w:t>
      </w:r>
      <w:r w:rsidRPr="00DB5D0D">
        <w:rPr>
          <w:rFonts w:ascii="Times New Roman" w:hAnsi="Times New Roman"/>
          <w:color w:val="000000" w:themeColor="text1"/>
          <w:sz w:val="16"/>
          <w:szCs w:val="16"/>
        </w:rPr>
        <w:t xml:space="preserve"> в 1940 году ВМС США подписали предварительный контракт с компанией «Boeing» на строительство прототипа самолета, получившего обозначение </w:t>
      </w:r>
      <w:hyperlink r:id="rId148" w:tgtFrame="_blank" w:history="1">
        <w:r w:rsidRPr="00DB5D0D">
          <w:rPr>
            <w:rFonts w:ascii="Times New Roman" w:hAnsi="Times New Roman"/>
            <w:color w:val="000000" w:themeColor="text1"/>
            <w:sz w:val="16"/>
            <w:szCs w:val="16"/>
          </w:rPr>
          <w:t xml:space="preserve">«XPBB-1» «Sea Ranger», </w:t>
        </w:r>
      </w:hyperlink>
      <w:r w:rsidRPr="00DB5D0D">
        <w:rPr>
          <w:rFonts w:ascii="Times New Roman" w:hAnsi="Times New Roman"/>
          <w:color w:val="000000" w:themeColor="text1"/>
          <w:sz w:val="16"/>
          <w:szCs w:val="16"/>
        </w:rPr>
        <w:t>с последующей поставкой еще 57 экземпляров самолета. «XPBB-1» (бортовой номер 3144) впервые взлетел 5 июля 1942 года (14937).</w:t>
      </w:r>
    </w:p>
    <w:p w14:paraId="402FFADC" w14:textId="77777777" w:rsidR="00C65D4B" w:rsidRPr="00DB5D0D" w:rsidRDefault="00C65D4B" w:rsidP="00DB5D0D">
      <w:pPr>
        <w:spacing w:after="0" w:line="240" w:lineRule="auto"/>
        <w:jc w:val="both"/>
        <w:rPr>
          <w:rFonts w:ascii="Times New Roman" w:hAnsi="Times New Roman"/>
          <w:color w:val="000000" w:themeColor="text1"/>
          <w:sz w:val="16"/>
          <w:szCs w:val="16"/>
        </w:rPr>
      </w:pPr>
    </w:p>
    <w:p w14:paraId="0BB7A9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министр иностранных дел Японии заявил о плане создания "сферы взаимного процветания великой Восточной Азии (3186).</w:t>
      </w:r>
    </w:p>
    <w:p w14:paraId="2000D6C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B3C6CE7"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82AC73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C2A49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июня 1940 был составлен Акт Нач. штаба перелета Нестеренко и Д.И.Антоновым, вед. и завода 39 К.А.Петровым, отв. за моторы, Нач. экспл. отдела завода 29 В.А.Еременко о том, что ВМГ ЦКБ-30 Н1 N 2819 прошла испытания на предмет определения качества моторов М-87 N 1306 и 1303 спецсборки, изготовленных согласно приказа НКАП N 197с. Сделали 14 полетов с наработкой 27:29 и из них в полете 200:12. Обнаружили некоторые дефекты, но все устранили. Расход: 0.75-0.77 при среднем весе 9000 кг удовлетворяли требованиям дальности.</w:t>
      </w:r>
    </w:p>
    <w:p w14:paraId="5D5375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изложенного, считаем, что ВМГ самолета ЦКБ-30 Н-1 отработана и отвечает требованиям длительного перелета.</w:t>
      </w:r>
    </w:p>
    <w:p w14:paraId="65D9C3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плану, моторы законсервированы, сняты с самолета, опломбированы и отправлены в Хабаровск к месту старта, где их после установки на самолет надлежит проверить в контрольном полете, предусмотренным программой испытаний." (2102,12).</w:t>
      </w:r>
    </w:p>
    <w:p w14:paraId="6E1EDA0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09ECB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июня 1940 в 18:30 СБ 2М-103А N 44/3 на аэродроме завода 125 под управлением л Л С.П.Мазура потерпел аварию. Мотор остановился на высоте 2-3 м на расстоянии 480-500 м от старта. Экипаж повреждений не получил. Ошибка экипажа - не открыл бензокран (2698).</w:t>
      </w:r>
    </w:p>
    <w:p w14:paraId="56E95E8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DB2A1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июня 1940 были установлены первые советские рекорды по классу амфибий. И.М.Сухомлин с и2р И.Козыркиным на АНТ-44 4М-85 установил два рекорда высоты полета: 7595 без контрольного груза и 7134 с 1 тонной (438,783).</w:t>
      </w:r>
    </w:p>
    <w:p w14:paraId="5FE9B8A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6D7FC4" w14:textId="77777777" w:rsidR="00066B41" w:rsidRPr="00DB5D0D" w:rsidRDefault="00066B4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30 июня 1941 г. Главному конструктору СКБ завода «Компрессор» В.П. Бармину совместно с НИИ-3 в лице Костикова и еще семи специалистов было поручено создать документацию на серийные образцы Катюши, провести их испытание отработать выявить недостатки устранить их и наладить само производство. При ближайшем рассмотрении предложенная А.Г. Костиковым документация оказалась пригодна лишь для изготовления образцов в кустарных условиях, «то, что называется, на коленках, вручную, единичные образцы подсобными средствами, без всякой механизации, каких-либо процессов разумных... Работа началась с большими трудностями. Что бы мы ни делали, Костиков все браковал... Дело дошло до обострения. Мы взяли чертежи и поехали к министру общего машиностроения (впоследствии министерство минометного вооружения) П.И. Паршину. Паршин опытный технолог, дал заключение по вариантам Костикова, говорит полная технологическая безграмотность... не считайся с ним... делай, что тебе нужно» (' РГАНТД, В.П. Бармин. 6 декабря 1989 г., фоно, арх. № 791-1, ORWO-106, 19 см.сек.). В результате в производство пошли чертежи В.П. Бармина. А.Г. Костиков обратился в ЦК ВКП(б) к Г.М. Маленкову с жалобой на В.П. Бармина. Г.М. Маленков возглавил специальную комиссию по заключению на технологическую конструкцию Костикова Бармина.^ В результате изготовление серийных «Катюш» и создание соответствующей конструкторской документации было поручено В.П. Бармину, а А.Г. Костикова попросили сосредоточится на сверх важном задании, которое было поручено НИИ-3 - изготовление реактивного ускорителя для самолета-перехватчика (22685).</w:t>
      </w:r>
    </w:p>
    <w:p w14:paraId="45CB47BD" w14:textId="77777777" w:rsidR="00066B41" w:rsidRPr="00DB5D0D" w:rsidRDefault="00066B41" w:rsidP="00DB5D0D">
      <w:pPr>
        <w:spacing w:after="0" w:line="240" w:lineRule="auto"/>
        <w:jc w:val="both"/>
        <w:rPr>
          <w:rFonts w:ascii="Times New Roman" w:hAnsi="Times New Roman"/>
          <w:color w:val="0070C0"/>
          <w:sz w:val="16"/>
          <w:szCs w:val="16"/>
        </w:rPr>
      </w:pPr>
    </w:p>
    <w:p w14:paraId="245D966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5603FB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87A30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июня 1940 был подписан акт приемки п/л Н-7 типа Сталинец, спущенной на воду 5 апреля 1937 и заложенной 14 декабря 1936 на заводе Красное Сормово (4145,23).</w:t>
      </w:r>
    </w:p>
    <w:p w14:paraId="12AAD9E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7575F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83A52E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08C26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июня 1940 состоялся второй десант. 44 ТБ-3 комбинированным способом перебросили в Измаил 201-ю вдб. Бригаде поставили зада</w:t>
      </w:r>
      <w:r w:rsidRPr="00DB5D0D">
        <w:rPr>
          <w:rFonts w:ascii="Times New Roman" w:hAnsi="Times New Roman"/>
          <w:color w:val="000000" w:themeColor="text1"/>
          <w:sz w:val="16"/>
          <w:szCs w:val="16"/>
        </w:rPr>
        <w:softHyphen/>
        <w:t>чу взять город, перекрыть дороги и помешать уходу пароходов из порта. Десант предполагался посадоч</w:t>
      </w:r>
      <w:r w:rsidRPr="00DB5D0D">
        <w:rPr>
          <w:rFonts w:ascii="Times New Roman" w:hAnsi="Times New Roman"/>
          <w:color w:val="000000" w:themeColor="text1"/>
          <w:sz w:val="16"/>
          <w:szCs w:val="16"/>
        </w:rPr>
        <w:softHyphen/>
        <w:t>ным. К цели вышли 43 самолета, один отстал и заблудился. Площад</w:t>
      </w:r>
      <w:r w:rsidRPr="00DB5D0D">
        <w:rPr>
          <w:rFonts w:ascii="Times New Roman" w:hAnsi="Times New Roman"/>
          <w:color w:val="000000" w:themeColor="text1"/>
          <w:sz w:val="16"/>
          <w:szCs w:val="16"/>
        </w:rPr>
        <w:softHyphen/>
        <w:t>ка оказалась маловата для ТБ-3, но летчики решили рискнуть. Сели 12 машин, но три из них получили по</w:t>
      </w:r>
      <w:r w:rsidRPr="00DB5D0D">
        <w:rPr>
          <w:rFonts w:ascii="Times New Roman" w:hAnsi="Times New Roman"/>
          <w:color w:val="000000" w:themeColor="text1"/>
          <w:sz w:val="16"/>
          <w:szCs w:val="16"/>
        </w:rPr>
        <w:softHyphen/>
        <w:t>вреждения и загромоздили посадоч</w:t>
      </w:r>
      <w:r w:rsidRPr="00DB5D0D">
        <w:rPr>
          <w:rFonts w:ascii="Times New Roman" w:hAnsi="Times New Roman"/>
          <w:color w:val="000000" w:themeColor="text1"/>
          <w:sz w:val="16"/>
          <w:szCs w:val="16"/>
        </w:rPr>
        <w:softHyphen/>
        <w:t>ную полосу. Тогда начали выброску с парашютами. С ранее севших бомбардировщиков высадились 240 человек, выгрузили автомобиль-пи</w:t>
      </w:r>
      <w:r w:rsidRPr="00DB5D0D">
        <w:rPr>
          <w:rFonts w:ascii="Times New Roman" w:hAnsi="Times New Roman"/>
          <w:color w:val="000000" w:themeColor="text1"/>
          <w:sz w:val="16"/>
          <w:szCs w:val="16"/>
        </w:rPr>
        <w:softHyphen/>
        <w:t>кап и другое имущество. 509 десан</w:t>
      </w:r>
      <w:r w:rsidRPr="00DB5D0D">
        <w:rPr>
          <w:rFonts w:ascii="Times New Roman" w:hAnsi="Times New Roman"/>
          <w:color w:val="000000" w:themeColor="text1"/>
          <w:sz w:val="16"/>
          <w:szCs w:val="16"/>
        </w:rPr>
        <w:softHyphen/>
        <w:t>тников приземлились на парашю</w:t>
      </w:r>
      <w:r w:rsidRPr="00DB5D0D">
        <w:rPr>
          <w:rFonts w:ascii="Times New Roman" w:hAnsi="Times New Roman"/>
          <w:color w:val="000000" w:themeColor="text1"/>
          <w:sz w:val="16"/>
          <w:szCs w:val="16"/>
        </w:rPr>
        <w:softHyphen/>
        <w:t>тах. На этот раз обошлось без жертв, только один боец сломал ногу и еще десятеро получили легкие травмы. Два ТБ-3 возвратились на базу гружеными: на одном везли радиоаппаратуру, которую нельзя было сбрасывать без специальной упаковки, на другом летели музы</w:t>
      </w:r>
      <w:r w:rsidRPr="00DB5D0D">
        <w:rPr>
          <w:rFonts w:ascii="Times New Roman" w:hAnsi="Times New Roman"/>
          <w:color w:val="000000" w:themeColor="text1"/>
          <w:sz w:val="16"/>
          <w:szCs w:val="16"/>
        </w:rPr>
        <w:softHyphen/>
        <w:t>канты, а они, как оказалось, прыгать не умели. В общем, все прошло благопо</w:t>
      </w:r>
      <w:r w:rsidRPr="00DB5D0D">
        <w:rPr>
          <w:rFonts w:ascii="Times New Roman" w:hAnsi="Times New Roman"/>
          <w:color w:val="000000" w:themeColor="text1"/>
          <w:sz w:val="16"/>
          <w:szCs w:val="16"/>
        </w:rPr>
        <w:softHyphen/>
        <w:t>лучно. Но командование прекрасно понимало, что и в Прибалтике, и в Бессарабии десанты высаживались в предельно благоприятных услови</w:t>
      </w:r>
      <w:r w:rsidRPr="00DB5D0D">
        <w:rPr>
          <w:rFonts w:ascii="Times New Roman" w:hAnsi="Times New Roman"/>
          <w:color w:val="000000" w:themeColor="text1"/>
          <w:sz w:val="16"/>
          <w:szCs w:val="16"/>
        </w:rPr>
        <w:softHyphen/>
        <w:t>ях, при отсутствии какого либо про</w:t>
      </w:r>
      <w:r w:rsidRPr="00DB5D0D">
        <w:rPr>
          <w:rFonts w:ascii="Times New Roman" w:hAnsi="Times New Roman"/>
          <w:color w:val="000000" w:themeColor="text1"/>
          <w:sz w:val="16"/>
          <w:szCs w:val="16"/>
        </w:rPr>
        <w:softHyphen/>
        <w:t>тиводействия. Командующий ВВС Киевского военного округа генерал-майор Николаенко написал в отче</w:t>
      </w:r>
      <w:r w:rsidRPr="00DB5D0D">
        <w:rPr>
          <w:rFonts w:ascii="Times New Roman" w:hAnsi="Times New Roman"/>
          <w:color w:val="000000" w:themeColor="text1"/>
          <w:sz w:val="16"/>
          <w:szCs w:val="16"/>
        </w:rPr>
        <w:softHyphen/>
        <w:t>те об операциях в Бессарабии: «Не</w:t>
      </w:r>
      <w:r w:rsidRPr="00DB5D0D">
        <w:rPr>
          <w:rFonts w:ascii="Times New Roman" w:hAnsi="Times New Roman"/>
          <w:color w:val="000000" w:themeColor="text1"/>
          <w:sz w:val="16"/>
          <w:szCs w:val="16"/>
        </w:rPr>
        <w:softHyphen/>
        <w:t>обходимо десантные части воору</w:t>
      </w:r>
      <w:r w:rsidRPr="00DB5D0D">
        <w:rPr>
          <w:rFonts w:ascii="Times New Roman" w:hAnsi="Times New Roman"/>
          <w:color w:val="000000" w:themeColor="text1"/>
          <w:sz w:val="16"/>
          <w:szCs w:val="16"/>
        </w:rPr>
        <w:softHyphen/>
        <w:t>жить десантным самолетом типа «Дуглас», т.к. ТБ-3 из-за низких лет-но-технических качеств для этой цели непригоден» (10690).</w:t>
      </w:r>
    </w:p>
    <w:p w14:paraId="6BB416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6BF102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1ADC2FD8"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C242C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июня 1940 КА вышла на Прут (1074,137).</w:t>
      </w:r>
    </w:p>
    <w:p w14:paraId="62C99CA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8B95F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30 июня 1940 Северная Буковина и Бессарабия были заняты советскими войсками. К этому времени на левобережье Днестра (современная Приднестровская Республика) в составе Советской Украины уже существовала небольшое автономное образование - Молдавская АССР, - в которой преобладало смешанное молдавское, украинское и русское население (3871).</w:t>
      </w:r>
    </w:p>
    <w:p w14:paraId="6504589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C7F72A" w14:textId="77777777" w:rsidR="00A25AD1"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За</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рубежом</w:t>
      </w:r>
      <w:r w:rsidRPr="00DB5D0D">
        <w:rPr>
          <w:rFonts w:ascii="Times New Roman" w:hAnsi="Times New Roman"/>
          <w:i/>
          <w:iCs/>
          <w:color w:val="000000" w:themeColor="text1"/>
          <w:sz w:val="16"/>
          <w:szCs w:val="16"/>
          <w:lang w:val="en-US"/>
        </w:rPr>
        <w:t>:</w:t>
      </w:r>
    </w:p>
    <w:p w14:paraId="7C6203AF" w14:textId="77777777" w:rsidR="00A25AD1" w:rsidRPr="00DB5D0D" w:rsidRDefault="00A25AD1" w:rsidP="00DB5D0D">
      <w:pPr>
        <w:spacing w:after="0" w:line="240" w:lineRule="auto"/>
        <w:jc w:val="both"/>
        <w:rPr>
          <w:rFonts w:ascii="Times New Roman" w:hAnsi="Times New Roman"/>
          <w:iCs/>
          <w:color w:val="000000" w:themeColor="text1"/>
          <w:sz w:val="16"/>
          <w:szCs w:val="16"/>
          <w:lang w:val="en-US"/>
        </w:rPr>
      </w:pPr>
    </w:p>
    <w:p w14:paraId="57345379"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June 30th, 1940: German troops occupy the British Channel Islands off the coast of Brittany (3819).</w:t>
      </w:r>
    </w:p>
    <w:p w14:paraId="0D732F63" w14:textId="77777777" w:rsidR="00A25AD1" w:rsidRPr="00DB5D0D" w:rsidRDefault="00A25AD1" w:rsidP="00DB5D0D">
      <w:pPr>
        <w:spacing w:after="0" w:line="240" w:lineRule="auto"/>
        <w:jc w:val="both"/>
        <w:rPr>
          <w:rFonts w:ascii="Times New Roman" w:hAnsi="Times New Roman"/>
          <w:color w:val="000000" w:themeColor="text1"/>
          <w:sz w:val="16"/>
          <w:szCs w:val="16"/>
          <w:lang w:val="en-US"/>
        </w:rPr>
      </w:pPr>
    </w:p>
    <w:p w14:paraId="16EDA8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июня 1940 германские войска оккупировали Нормандские острова (3907,223).</w:t>
      </w:r>
    </w:p>
    <w:p w14:paraId="3654F8A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4D4EBA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30 июня 1940 Геринг приказал начать воздушную блокаду Англии (4962).</w:t>
      </w:r>
    </w:p>
    <w:p w14:paraId="2761213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444E43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1F427FC"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EAEE11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июня 1940 года за № 1148 в СОП из ЦК ВКП(б) для исполнения поступила Записка Завьялова, Каневского и др. по решению проблемы применения токов высокой частоты для закалки брони (7479, 117-120).</w:t>
      </w:r>
    </w:p>
    <w:p w14:paraId="55FEE50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A5596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8634A57"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427AC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июня 1940 закончились гос. испытания ДБ-ЛК В.Н.Беляева. всего сделали 100 полетов и большую часть выполнил М.А.Нюхтиков. Макс. скорость на 5200 была 488 км/час - на 45 км/час больше, чем у ДБ-3Ф. Однако выводы по гос. испытаниям были неблагоприятны:</w:t>
      </w:r>
    </w:p>
    <w:p w14:paraId="711143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предъявленном виде ДБ-ЛК 2М-87Б конструкции и Беляева производства завода 156 гос. испытаний не выдержал из-за:</w:t>
      </w:r>
    </w:p>
    <w:p w14:paraId="3E49FF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недоступности по взлетно-посадочным свойствам л средней квалификации (большая посадочная скорость, равная 150-155 км/час, большой разбег - 650-680 м, прыжки при взлете).</w:t>
      </w:r>
    </w:p>
    <w:p w14:paraId="37E6D3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плохой обзор у штурмана и л, не обеспечивающие наведение на цель при бомбометании</w:t>
      </w:r>
    </w:p>
    <w:p w14:paraId="2D4538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неотработанность фюзеляжных стрелковых установок, что не позволяет работать одному стрелку</w:t>
      </w:r>
    </w:p>
    <w:p w14:paraId="53A46F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невозможность полной загрузки бомбами и горючим из-за неудовлетворительной центровки</w:t>
      </w:r>
    </w:p>
    <w:p w14:paraId="665DFC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Вместе с тем, ДБ-ЛК как новый тип самолета ЛК по скоростным данным и возможности обеспечения хорошей обороноспособности задней полусферы имеет преимущества перед самолетами нормальной схемы." (2544).</w:t>
      </w:r>
    </w:p>
    <w:p w14:paraId="3EBD9E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Потом Беляев сделал еще один проект и в 1941 был готов макет (2544).</w:t>
      </w:r>
    </w:p>
    <w:p w14:paraId="0B71367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427308" w14:textId="77777777" w:rsidR="00BB273E" w:rsidRPr="00DB5D0D" w:rsidRDefault="00BB273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До конца июня 1940 самолёт ДБ-ЛК проходил государственные испытания. Было сделано 73 полёта, включая имитации воздушного боя с приобретённым в Германии истребителем Мессершмитт Bf 109Е. После увеличения площади киля и изменения положения центра тяжести (для этого в капоты двигателей пришлось заложить по 140 кг свинцового балласта) проблем с устойчивостью и управляемостью не возникало. «По своим полётным свойствам в воздухе самолёт ДБ-ЛК достаточно прост, и пилотирование его не отличается от пилотирования самолётов нормальных схем», — говорилось в отчёте </w:t>
      </w:r>
      <w:hyperlink r:id="rId149" w:history="1">
        <w:r w:rsidRPr="00DB5D0D">
          <w:rPr>
            <w:rFonts w:ascii="Times New Roman" w:eastAsia="Times New Roman" w:hAnsi="Times New Roman"/>
            <w:color w:val="000000" w:themeColor="text1"/>
            <w:sz w:val="16"/>
            <w:szCs w:val="16"/>
            <w:lang w:eastAsia="ru-RU"/>
          </w:rPr>
          <w:t>[296]</w:t>
        </w:r>
      </w:hyperlink>
      <w:r w:rsidRPr="00DB5D0D">
        <w:rPr>
          <w:rFonts w:ascii="Times New Roman" w:eastAsia="Times New Roman" w:hAnsi="Times New Roman"/>
          <w:color w:val="000000" w:themeColor="text1"/>
          <w:sz w:val="16"/>
          <w:szCs w:val="16"/>
          <w:lang w:eastAsia="ru-RU"/>
        </w:rPr>
        <w:t xml:space="preserve"> . Максимальная скорость ДБ-ЛК на высоте 5100 м равнялась 488 км/ч — на 63 км/ч больше, чем у новейшего серийного бомбардировщика ДБ-ЗФ, при такой же бомбовой нагрузке и намного более мощном стрелковом вооружении. Появилось даже предложение не дожидаясь окончания испытаний начать выпуск пробной серии из 10 самолётов </w:t>
      </w:r>
      <w:hyperlink r:id="rId150" w:history="1">
        <w:r w:rsidRPr="00DB5D0D">
          <w:rPr>
            <w:rFonts w:ascii="Times New Roman" w:eastAsia="Times New Roman" w:hAnsi="Times New Roman"/>
            <w:color w:val="000000" w:themeColor="text1"/>
            <w:sz w:val="16"/>
            <w:szCs w:val="16"/>
            <w:lang w:eastAsia="ru-RU"/>
          </w:rPr>
          <w:t>[297]</w:t>
        </w:r>
      </w:hyperlink>
      <w:r w:rsidRPr="00DB5D0D">
        <w:rPr>
          <w:rFonts w:ascii="Times New Roman" w:eastAsia="Times New Roman" w:hAnsi="Times New Roman"/>
          <w:color w:val="000000" w:themeColor="text1"/>
          <w:sz w:val="16"/>
          <w:szCs w:val="16"/>
          <w:lang w:eastAsia="ru-RU"/>
        </w:rPr>
        <w:t xml:space="preserve"> .</w:t>
      </w:r>
    </w:p>
    <w:p w14:paraId="3D43B58D" w14:textId="77777777" w:rsidR="00BB273E" w:rsidRPr="00DB5D0D" w:rsidRDefault="00BB273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Однако решение о принятии ДБ-ЛК на вооружение всё же не состоялось. В выводах НИИ ВВС по испытаниям говорится:</w:t>
      </w:r>
    </w:p>
    <w:p w14:paraId="6998AC2D" w14:textId="77777777" w:rsidR="00BB273E" w:rsidRPr="00DB5D0D" w:rsidRDefault="00BB273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 В предъявленном виде самолёт ДБ-ЛК 2М87Б, конструкции инженера Беляева, производства завода № 156, государственные испытания не выдержал из-за:</w:t>
      </w:r>
    </w:p>
    <w:p w14:paraId="21121EE7" w14:textId="77777777" w:rsidR="00BB273E" w:rsidRPr="00DB5D0D" w:rsidRDefault="00BB273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а). Недоступности по своим взлётно-посадочным свойствам лётчикам средней квалификации (большая посадочная скорость, равная 150–155 км/час, большой разбег — 650–680 м, прыжки при взлёте).</w:t>
      </w:r>
    </w:p>
    <w:p w14:paraId="4F38549D" w14:textId="77777777" w:rsidR="00BB273E" w:rsidRPr="00DB5D0D" w:rsidRDefault="00BB273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 Плохого обзора у штурмана и лётчика, не обеспечивающего наведение на цель и проведение бомбометания.</w:t>
      </w:r>
    </w:p>
    <w:p w14:paraId="3F12FCED" w14:textId="77777777" w:rsidR="00BB273E" w:rsidRPr="00DB5D0D" w:rsidRDefault="00BB273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Неотработанности фюзеляжных стрелковых установок, что не позволяет использовать их одному стрелку для обороны самолёта.</w:t>
      </w:r>
    </w:p>
    <w:p w14:paraId="567DED88" w14:textId="77777777" w:rsidR="00BB273E" w:rsidRPr="00DB5D0D" w:rsidRDefault="00BB273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 Невозможности полной загрузки самолёта бомбами и горючим из-за неудовлетворительной центровки и взлётных свойств самолёта.</w:t>
      </w:r>
    </w:p>
    <w:p w14:paraId="380E67A7" w14:textId="77777777" w:rsidR="00BB273E" w:rsidRPr="00DB5D0D" w:rsidRDefault="00BB273E" w:rsidP="00DB5D0D">
      <w:pPr>
        <w:spacing w:after="0" w:line="240" w:lineRule="auto"/>
        <w:jc w:val="both"/>
        <w:rPr>
          <w:rFonts w:ascii="Times New Roman" w:hAnsi="Times New Roman"/>
          <w:color w:val="000000" w:themeColor="text1"/>
          <w:sz w:val="16"/>
          <w:szCs w:val="16"/>
        </w:rPr>
      </w:pPr>
      <w:r w:rsidRPr="00DB5D0D">
        <w:rPr>
          <w:rFonts w:ascii="Times New Roman" w:eastAsia="Times New Roman" w:hAnsi="Times New Roman"/>
          <w:color w:val="000000" w:themeColor="text1"/>
          <w:sz w:val="16"/>
          <w:szCs w:val="16"/>
          <w:lang w:eastAsia="ru-RU"/>
        </w:rPr>
        <w:t xml:space="preserve">2. Вместе с тем, самолёт ДБ Л К как новый тип самолёта „летающее крыло“ по скоростным данным и возможности обеспечения хорошей обороноспособности задней полусферы имеет преимущества перед самолётами нормальной схемы» </w:t>
      </w:r>
      <w:hyperlink r:id="rId151" w:history="1">
        <w:r w:rsidRPr="00DB5D0D">
          <w:rPr>
            <w:rFonts w:ascii="Times New Roman" w:eastAsia="Times New Roman" w:hAnsi="Times New Roman"/>
            <w:color w:val="000000" w:themeColor="text1"/>
            <w:sz w:val="16"/>
            <w:szCs w:val="16"/>
            <w:lang w:eastAsia="ru-RU"/>
          </w:rPr>
          <w:t>[298]</w:t>
        </w:r>
      </w:hyperlink>
      <w:r w:rsidRPr="00DB5D0D">
        <w:rPr>
          <w:rFonts w:ascii="Times New Roman" w:hAnsi="Times New Roman"/>
          <w:color w:val="000000" w:themeColor="text1"/>
          <w:sz w:val="16"/>
          <w:szCs w:val="16"/>
        </w:rPr>
        <w:t>.</w:t>
      </w:r>
    </w:p>
    <w:p w14:paraId="1BAB4511" w14:textId="77777777" w:rsidR="00BB273E" w:rsidRPr="00DB5D0D" w:rsidRDefault="00BB273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В.Н. Беляеву рекомендовалось усовершенствовать бомбардировщик и затем вновь передать на испытания. Вскоре конструктор представил новый вариант. Для улучшения обзора кабину экипажа решили разместить у передней кромки в центральной части крыла. В соответствии с пожеланиями военных, конструкцию самолёта переработали, чтобы производить бомбометание с пикирования. По расчёту, с новыми моторами А.Д. Швецова М-71 с взлётной мощностью 1800 л. с. модернизированный ДБ-ЛК мог развивать скорость 590 км/ч и нести вдвое большую бомбовую нагрузку </w:t>
      </w:r>
      <w:hyperlink r:id="rId152" w:history="1">
        <w:r w:rsidRPr="00DB5D0D">
          <w:rPr>
            <w:rFonts w:ascii="Times New Roman" w:eastAsia="Times New Roman" w:hAnsi="Times New Roman"/>
            <w:color w:val="000000" w:themeColor="text1"/>
            <w:sz w:val="16"/>
            <w:szCs w:val="16"/>
            <w:lang w:eastAsia="ru-RU"/>
          </w:rPr>
          <w:t>[299]</w:t>
        </w:r>
      </w:hyperlink>
      <w:r w:rsidRPr="00DB5D0D">
        <w:rPr>
          <w:rFonts w:ascii="Times New Roman" w:eastAsia="Times New Roman" w:hAnsi="Times New Roman"/>
          <w:color w:val="000000" w:themeColor="text1"/>
          <w:sz w:val="16"/>
          <w:szCs w:val="16"/>
          <w:lang w:eastAsia="ru-RU"/>
        </w:rPr>
        <w:t xml:space="preserve"> (17489).</w:t>
      </w:r>
    </w:p>
    <w:p w14:paraId="14855706" w14:textId="77777777" w:rsidR="00BB273E" w:rsidRPr="00DB5D0D" w:rsidRDefault="00BB273E" w:rsidP="00DB5D0D">
      <w:pPr>
        <w:spacing w:after="0" w:line="240" w:lineRule="auto"/>
        <w:jc w:val="both"/>
        <w:rPr>
          <w:rFonts w:ascii="Times New Roman" w:eastAsia="Times New Roman" w:hAnsi="Times New Roman"/>
          <w:color w:val="000000" w:themeColor="text1"/>
          <w:sz w:val="16"/>
          <w:szCs w:val="16"/>
          <w:lang w:eastAsia="ru-RU"/>
        </w:rPr>
      </w:pPr>
    </w:p>
    <w:p w14:paraId="5A683D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июня 1940 первый И-180 из войсковой серии из 10 машин, произведенный на 21 заводе, был передан на гос. испытания (408,35).</w:t>
      </w:r>
    </w:p>
    <w:p w14:paraId="6C0653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Н.Н.П. в июне 1940 писал, что только страна, уделяющая внимание опытному самолетостроению имеет шанс иметь авиацию. Каждый серийный завод должен иметь опытную часть, а КБ - завод (70,306).</w:t>
      </w:r>
    </w:p>
    <w:p w14:paraId="49C5E8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так и не так. Мелочевка не нужна как и монополизм.</w:t>
      </w:r>
    </w:p>
    <w:p w14:paraId="4865DA7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Вообще, надо понять, чем при социализме было хуже в конструировании самолетов. Наверное в большем страхе перед партией и больших дьявольских возможностях давить, работать через страх других опираясь на партию как на демиурга - высшего и непогрешимого. Это несло застой и бесовщину.</w:t>
      </w:r>
    </w:p>
    <w:p w14:paraId="067B5A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Трагедия многих конструкторов - трагедия страны. Поддавшись бесовщине и войдя в нее многие из них сами стали ее жертвами.</w:t>
      </w:r>
    </w:p>
    <w:p w14:paraId="454CCF9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C40EC6" w14:textId="77777777" w:rsidR="00BB273E" w:rsidRPr="00DB5D0D" w:rsidRDefault="00BB27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июня 1941 г. построили пятый вариант истребителя И-207 с редукторным двигателем М</w:t>
      </w:r>
      <w:r w:rsidRPr="00DB5D0D">
        <w:rPr>
          <w:rFonts w:ascii="Times New Roman" w:hAnsi="Times New Roman"/>
          <w:color w:val="000000" w:themeColor="text1"/>
          <w:sz w:val="16"/>
          <w:szCs w:val="16"/>
        </w:rPr>
        <w:noBreakHyphen/>
        <w:t>63Р, трехлопастным винтом и убирающимся шасси. Предполагалось, что за счет предельно возможного уменьшения линейных размеров и веса самолет сможет развивать максимальную скорость 550 км/ч. Кабина пилота оснащалась кислородным оборудованием. Предусматривалась возможность установки радиостанции. Вооружение состояло из двух пулеметов ШКАС (400 патронов) и двух пулеметов УБ (200 патронов). Однако с началом Великой Отечественной войны работы над истребителем И</w:t>
      </w:r>
      <w:r w:rsidRPr="00DB5D0D">
        <w:rPr>
          <w:rFonts w:ascii="Times New Roman" w:hAnsi="Times New Roman"/>
          <w:color w:val="000000" w:themeColor="text1"/>
          <w:sz w:val="16"/>
          <w:szCs w:val="16"/>
        </w:rPr>
        <w:noBreakHyphen/>
        <w:t>207 и его модификациями были прерваны, конструкторское бюро расформировано, а его сотрудники переведены на другие предприятия.</w:t>
      </w:r>
    </w:p>
    <w:p w14:paraId="327789A3" w14:textId="77777777" w:rsidR="00BB273E" w:rsidRPr="00DB5D0D" w:rsidRDefault="00BB27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истребитель И</w:t>
      </w:r>
      <w:r w:rsidRPr="00DB5D0D">
        <w:rPr>
          <w:rFonts w:ascii="Times New Roman" w:hAnsi="Times New Roman"/>
          <w:color w:val="000000" w:themeColor="text1"/>
          <w:sz w:val="16"/>
          <w:szCs w:val="16"/>
        </w:rPr>
        <w:noBreakHyphen/>
        <w:t>207 конструкторов А. А. Боровкова и И. Ф. Флорова был построен на заводе № 207, по номеру которого и получил свое обозначение. Прототипом для него послужил самолет № 7211 тех же конструкторов. Конструкторы проводили работу над созданием высокоманевренного биплана со скоростью, равной или даже превышающей скорость истребителей-монопланов с аналогичными двигателями. В 1939</w:t>
      </w:r>
      <w:r w:rsidRPr="00DB5D0D">
        <w:rPr>
          <w:rFonts w:ascii="Times New Roman" w:hAnsi="Times New Roman"/>
          <w:color w:val="000000" w:themeColor="text1"/>
          <w:sz w:val="16"/>
          <w:szCs w:val="16"/>
        </w:rPr>
        <w:noBreakHyphen/>
        <w:t>1940 гг. было подготовлено четыре варианта самолета, на всех модификациях стояли четыре 7,62</w:t>
      </w:r>
      <w:r w:rsidRPr="00DB5D0D">
        <w:rPr>
          <w:rFonts w:ascii="Times New Roman" w:hAnsi="Times New Roman"/>
          <w:color w:val="000000" w:themeColor="text1"/>
          <w:sz w:val="16"/>
          <w:szCs w:val="16"/>
        </w:rPr>
        <w:noBreakHyphen/>
        <w:t>миллиметовых пулемета ШКАС с боезапасом 2200 патронов. Один из этих самолетов с мотором М</w:t>
      </w:r>
      <w:r w:rsidRPr="00DB5D0D">
        <w:rPr>
          <w:rFonts w:ascii="Times New Roman" w:hAnsi="Times New Roman"/>
          <w:color w:val="000000" w:themeColor="text1"/>
          <w:sz w:val="16"/>
          <w:szCs w:val="16"/>
        </w:rPr>
        <w:noBreakHyphen/>
        <w:t>62 принимал участие в боевых действиях во время советско-финской войны 1939</w:t>
      </w:r>
      <w:r w:rsidRPr="00DB5D0D">
        <w:rPr>
          <w:rFonts w:ascii="Times New Roman" w:hAnsi="Times New Roman"/>
          <w:color w:val="000000" w:themeColor="text1"/>
          <w:sz w:val="16"/>
          <w:szCs w:val="16"/>
        </w:rPr>
        <w:noBreakHyphen/>
        <w:t xml:space="preserve">1940 гг. </w:t>
      </w:r>
    </w:p>
    <w:p w14:paraId="2EE80589" w14:textId="77777777" w:rsidR="00BB273E" w:rsidRPr="00DB5D0D" w:rsidRDefault="00BB27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 8044. Оп. 1. Д. 412. Л. 57-57 об. Подлинник (17899).</w:t>
      </w:r>
    </w:p>
    <w:p w14:paraId="16293203" w14:textId="77777777" w:rsidR="00BB273E" w:rsidRPr="00DB5D0D" w:rsidRDefault="00BB273E" w:rsidP="00DB5D0D">
      <w:pPr>
        <w:spacing w:after="0" w:line="240" w:lineRule="auto"/>
        <w:jc w:val="both"/>
        <w:rPr>
          <w:rFonts w:ascii="Times New Roman" w:hAnsi="Times New Roman"/>
          <w:color w:val="000000" w:themeColor="text1"/>
          <w:sz w:val="16"/>
          <w:szCs w:val="16"/>
        </w:rPr>
      </w:pPr>
    </w:p>
    <w:p w14:paraId="45705D61"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2BB263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0B697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июня 1940 з-д № 183 сдал ВП 4 Т-34. Во время сдаточного пробега на одной из машин вышел из строя стартер, а на другой обнаружили заедание механизма натяжения гусеницы, у третий заедала тяга главного фрикциона\. На четвертой плохо работало пневматическое сервоуправление и плохо включались передачи. К этому времени с Мариупольского з-да получили 16 комплектов бронедеталей для корпусов и башен. На СТЗ еще ничего не сделали (4661, 42).</w:t>
      </w:r>
    </w:p>
    <w:p w14:paraId="57CCA91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1805F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концу июня 1940 года судьба тяжёлых самоходных орудий на базе танков Т-100 и СМК была окончательно предрешена. По результатам сравнительных испытаний стало ясно, что оба танка на вооружение приняты не будут, поскольку существовал более защищённый КВ, имевший при этом меньшую массу. В качестве временного решения вопроса об истребителях ДОТов выступал «КВ с большой башней»: уже в июле 1940 года начался выпуск серийных танков.</w:t>
      </w:r>
    </w:p>
    <w:p w14:paraId="14D030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Появление «КВ с большой башней» служило временным решением вопроса создания тяжёлой штурмовой САУ. Дело в том, что разработанная командой Н. В. Курина машина являлась, по сути, гипертрофированным танком поддержки вроде БТ-7 Артиллерийского (часто его называют БТ-7А, но этот индекс принадлежит другому танку). Изготовленный на базе КВ танк (в 1941 году он получил индекс КВ-2) в качестве главного плюса имел максимальную унификацию с базовой машиной. Однако недостатков у него также хватало. Шасси КВ позволяло установить пушку ограниченной мощности, между тем по требованиям военных истребитель ДОТов должен был оснащаться пушкой БР-2. Заряжать пушку М-10Т было занятием не из простых ввиду ограниченного объёма башни. Наличие вращающейся башни отнюдь не означало, что танк может стрелять на всех углах её поворота.</w:t>
      </w:r>
    </w:p>
    <w:p w14:paraId="11E30D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закрытия программ по темам СМК и Т-100 было принято решение сконцентрироваться на создании тяжёлого танка, являвшегося модернизацией КВ (12264).</w:t>
      </w:r>
    </w:p>
    <w:p w14:paraId="4E80386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8008D54" w14:textId="77777777" w:rsidR="004A0330" w:rsidRPr="00DB5D0D" w:rsidRDefault="004A0330" w:rsidP="00DB5D0D">
      <w:pPr>
        <w:pStyle w:val="a3"/>
        <w:rPr>
          <w:color w:val="000000" w:themeColor="text1"/>
          <w:lang w:val="ru-RU"/>
        </w:rPr>
      </w:pPr>
      <w:r w:rsidRPr="00DB5D0D">
        <w:rPr>
          <w:color w:val="000000" w:themeColor="text1"/>
          <w:lang w:val="ru-RU"/>
        </w:rPr>
        <w:t>К концу июня 1940 года судьба СМК и Т-100 между тем была окон</w:t>
      </w:r>
      <w:r w:rsidRPr="00DB5D0D">
        <w:rPr>
          <w:color w:val="000000" w:themeColor="text1"/>
          <w:lang w:val="ru-RU"/>
        </w:rPr>
        <w:softHyphen/>
        <w:t>чательно предрешена. По результатам сравнительных испытаний стало ясно, что оба танка на вооружение приняты не будут, поскольку су</w:t>
      </w:r>
      <w:r w:rsidRPr="00DB5D0D">
        <w:rPr>
          <w:color w:val="000000" w:themeColor="text1"/>
          <w:lang w:val="ru-RU"/>
        </w:rPr>
        <w:softHyphen/>
        <w:t xml:space="preserve">ществовал более защищенный </w:t>
      </w:r>
      <w:r w:rsidRPr="00DB5D0D">
        <w:rPr>
          <w:color w:val="000000" w:themeColor="text1"/>
        </w:rPr>
        <w:t>KB</w:t>
      </w:r>
      <w:r w:rsidRPr="00DB5D0D">
        <w:rPr>
          <w:color w:val="000000" w:themeColor="text1"/>
          <w:lang w:val="ru-RU"/>
        </w:rPr>
        <w:t>, имевший при этом меньшую массу. В качестве временного решения вопроса об истребителях ДОТов вы</w:t>
      </w:r>
      <w:r w:rsidRPr="00DB5D0D">
        <w:rPr>
          <w:color w:val="000000" w:themeColor="text1"/>
          <w:lang w:val="ru-RU"/>
        </w:rPr>
        <w:softHyphen/>
        <w:t>ступал «КВ с большой башней»: уже в июле 1940 года начался выпуск серийных танков (17484).</w:t>
      </w:r>
    </w:p>
    <w:p w14:paraId="383A950D" w14:textId="77777777" w:rsidR="004A0330" w:rsidRPr="00DB5D0D" w:rsidRDefault="004A0330" w:rsidP="00DB5D0D">
      <w:pPr>
        <w:pStyle w:val="a3"/>
        <w:rPr>
          <w:color w:val="000000" w:themeColor="text1"/>
          <w:lang w:val="ru-RU"/>
        </w:rPr>
      </w:pPr>
    </w:p>
    <w:p w14:paraId="53B31E43" w14:textId="041EA1D6" w:rsidR="00066B41" w:rsidRPr="00DB5D0D" w:rsidRDefault="00066B41" w:rsidP="00DB5D0D">
      <w:pPr>
        <w:spacing w:after="0" w:line="240" w:lineRule="auto"/>
        <w:jc w:val="both"/>
        <w:rPr>
          <w:rFonts w:ascii="Times New Roman" w:hAnsi="Times New Roman"/>
          <w:i/>
          <w:iCs/>
          <w:color w:val="000000" w:themeColor="text1"/>
          <w:sz w:val="16"/>
          <w:szCs w:val="16"/>
        </w:rPr>
      </w:pPr>
      <w:r w:rsidRPr="00DB5D0D">
        <w:rPr>
          <w:rFonts w:ascii="Times New Roman" w:hAnsi="Times New Roman"/>
          <w:i/>
          <w:iCs/>
          <w:color w:val="000000" w:themeColor="text1"/>
          <w:sz w:val="16"/>
          <w:szCs w:val="16"/>
        </w:rPr>
        <w:t>За рубежом:</w:t>
      </w:r>
    </w:p>
    <w:p w14:paraId="31CB1871" w14:textId="77777777" w:rsidR="00066B41" w:rsidRPr="00DB5D0D" w:rsidRDefault="00066B41" w:rsidP="00DB5D0D">
      <w:pPr>
        <w:spacing w:after="0" w:line="240" w:lineRule="auto"/>
        <w:jc w:val="both"/>
        <w:rPr>
          <w:rFonts w:ascii="Times New Roman" w:hAnsi="Times New Roman"/>
          <w:i/>
          <w:iCs/>
          <w:color w:val="000000" w:themeColor="text1"/>
          <w:sz w:val="16"/>
          <w:szCs w:val="16"/>
        </w:rPr>
      </w:pPr>
    </w:p>
    <w:p w14:paraId="263350D5" w14:textId="77777777" w:rsidR="00066B41" w:rsidRPr="00DB5D0D" w:rsidRDefault="00066B4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В конце июня 1940 британский авианосец HMS Argus досталяет летающие лодки Супермарин Walrus 701 Squadron Fleet Air Arm в Исландию, где они начнут противолодочные и разведывательные патрули после британской оккупации Исландии, чтобы предотвратить любое возможное немецкое вторжение на остров (20795).</w:t>
      </w:r>
    </w:p>
    <w:p w14:paraId="19B0B6CD" w14:textId="77777777" w:rsidR="00066B41" w:rsidRPr="00DB5D0D" w:rsidRDefault="00066B41" w:rsidP="00DB5D0D">
      <w:pPr>
        <w:spacing w:after="0" w:line="240" w:lineRule="auto"/>
        <w:jc w:val="both"/>
        <w:rPr>
          <w:rFonts w:ascii="Times New Roman" w:hAnsi="Times New Roman"/>
          <w:color w:val="0070C0"/>
          <w:sz w:val="16"/>
          <w:szCs w:val="16"/>
        </w:rPr>
      </w:pPr>
    </w:p>
    <w:p w14:paraId="001C00EA" w14:textId="77777777" w:rsidR="00066B41" w:rsidRPr="00DB5D0D" w:rsidRDefault="00066B4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D5BD3B2" w14:textId="77777777" w:rsidR="00066B41" w:rsidRPr="00DB5D0D" w:rsidRDefault="00066B41" w:rsidP="00DB5D0D">
      <w:pPr>
        <w:spacing w:after="0" w:line="240" w:lineRule="auto"/>
        <w:jc w:val="both"/>
        <w:rPr>
          <w:rFonts w:ascii="Times New Roman" w:hAnsi="Times New Roman"/>
          <w:iCs/>
          <w:color w:val="000000" w:themeColor="text1"/>
          <w:sz w:val="16"/>
          <w:szCs w:val="16"/>
        </w:rPr>
      </w:pPr>
    </w:p>
    <w:p w14:paraId="1214D5A3" w14:textId="77777777" w:rsidR="00066B41" w:rsidRPr="00DB5D0D" w:rsidRDefault="00066B41" w:rsidP="00DB5D0D">
      <w:pPr>
        <w:spacing w:after="0" w:line="240" w:lineRule="auto"/>
        <w:jc w:val="both"/>
        <w:rPr>
          <w:rFonts w:ascii="Times New Roman" w:hAnsi="Times New Roman"/>
          <w:color w:val="0070C0"/>
          <w:sz w:val="16"/>
          <w:szCs w:val="16"/>
        </w:rPr>
      </w:pPr>
      <w:r w:rsidRPr="00DB5D0D">
        <w:rPr>
          <w:rStyle w:val="811"/>
          <w:rFonts w:ascii="Times New Roman" w:hAnsi="Times New Roman" w:cs="Times New Roman"/>
          <w:color w:val="0070C0"/>
          <w:sz w:val="16"/>
          <w:szCs w:val="16"/>
        </w:rPr>
        <w:t>В конце июня - начале июля 1940 года на эксперименталь</w:t>
      </w:r>
      <w:r w:rsidRPr="00DB5D0D">
        <w:rPr>
          <w:rStyle w:val="811"/>
          <w:rFonts w:ascii="Times New Roman" w:hAnsi="Times New Roman" w:cs="Times New Roman"/>
          <w:color w:val="0070C0"/>
          <w:sz w:val="16"/>
          <w:szCs w:val="16"/>
        </w:rPr>
        <w:softHyphen/>
        <w:t>ном заводе №115 КБ А.С. Яковлева впер</w:t>
      </w:r>
      <w:r w:rsidRPr="00DB5D0D">
        <w:rPr>
          <w:rStyle w:val="811"/>
          <w:rFonts w:ascii="Times New Roman" w:hAnsi="Times New Roman" w:cs="Times New Roman"/>
          <w:color w:val="0070C0"/>
          <w:sz w:val="16"/>
          <w:szCs w:val="16"/>
        </w:rPr>
        <w:softHyphen/>
        <w:t>вые камуфляжную окраску нанесли на опыт</w:t>
      </w:r>
      <w:r w:rsidRPr="00DB5D0D">
        <w:rPr>
          <w:rStyle w:val="811"/>
          <w:rFonts w:ascii="Times New Roman" w:hAnsi="Times New Roman" w:cs="Times New Roman"/>
          <w:color w:val="0070C0"/>
          <w:sz w:val="16"/>
          <w:szCs w:val="16"/>
        </w:rPr>
        <w:softHyphen/>
        <w:t>ный учебно-боевой двухместный истребитель УТИ-26-</w:t>
      </w:r>
      <w:r w:rsidRPr="00DB5D0D">
        <w:rPr>
          <w:rStyle w:val="811"/>
          <w:rFonts w:ascii="Times New Roman" w:hAnsi="Times New Roman" w:cs="Times New Roman"/>
          <w:color w:val="0070C0"/>
          <w:sz w:val="16"/>
          <w:szCs w:val="16"/>
          <w:lang w:val="en-US"/>
        </w:rPr>
        <w:t>I</w:t>
      </w:r>
      <w:r w:rsidRPr="00DB5D0D">
        <w:rPr>
          <w:rStyle w:val="811"/>
          <w:rFonts w:ascii="Times New Roman" w:hAnsi="Times New Roman" w:cs="Times New Roman"/>
          <w:color w:val="0070C0"/>
          <w:sz w:val="16"/>
          <w:szCs w:val="16"/>
        </w:rPr>
        <w:t>. Судя по фотографиям с государственных испытаний, которые проходили 23-25 июля 1941 г., самолет изначально был окрашен в двуцветный камуф</w:t>
      </w:r>
      <w:r w:rsidRPr="00DB5D0D">
        <w:rPr>
          <w:rStyle w:val="811"/>
          <w:rFonts w:ascii="Times New Roman" w:hAnsi="Times New Roman" w:cs="Times New Roman"/>
          <w:color w:val="0070C0"/>
          <w:sz w:val="16"/>
          <w:szCs w:val="16"/>
        </w:rPr>
        <w:softHyphen/>
        <w:t>ляж из черных пятен рубленой формы по зеле</w:t>
      </w:r>
      <w:r w:rsidRPr="00DB5D0D">
        <w:rPr>
          <w:rStyle w:val="811"/>
          <w:rFonts w:ascii="Times New Roman" w:hAnsi="Times New Roman" w:cs="Times New Roman"/>
          <w:color w:val="0070C0"/>
          <w:sz w:val="16"/>
          <w:szCs w:val="16"/>
        </w:rPr>
        <w:softHyphen/>
        <w:t>ному фону. Причину этих действий по докумен</w:t>
      </w:r>
      <w:r w:rsidRPr="00DB5D0D">
        <w:rPr>
          <w:rStyle w:val="811"/>
          <w:rFonts w:ascii="Times New Roman" w:hAnsi="Times New Roman" w:cs="Times New Roman"/>
          <w:color w:val="0070C0"/>
          <w:sz w:val="16"/>
          <w:szCs w:val="16"/>
        </w:rPr>
        <w:softHyphen/>
        <w:t>там пока выяснить не удалось, но по некоторым данным это была инициатива ВИАМ, что, впро</w:t>
      </w:r>
      <w:r w:rsidRPr="00DB5D0D">
        <w:rPr>
          <w:rStyle w:val="811"/>
          <w:rFonts w:ascii="Times New Roman" w:hAnsi="Times New Roman" w:cs="Times New Roman"/>
          <w:color w:val="0070C0"/>
          <w:sz w:val="16"/>
          <w:szCs w:val="16"/>
        </w:rPr>
        <w:softHyphen/>
        <w:t>чем, весьма сомнительно. А вот учитывая кон</w:t>
      </w:r>
      <w:r w:rsidRPr="00DB5D0D">
        <w:rPr>
          <w:rStyle w:val="811"/>
          <w:rFonts w:ascii="Times New Roman" w:hAnsi="Times New Roman" w:cs="Times New Roman"/>
          <w:color w:val="0070C0"/>
          <w:sz w:val="16"/>
          <w:szCs w:val="16"/>
        </w:rPr>
        <w:softHyphen/>
        <w:t>текст событий, а именно влияние поездки А.С. Яковлева в Германию в составе закупочной комиссии и покупку немецких самолетов, кото</w:t>
      </w:r>
      <w:r w:rsidRPr="00DB5D0D">
        <w:rPr>
          <w:rStyle w:val="811"/>
          <w:rFonts w:ascii="Times New Roman" w:hAnsi="Times New Roman" w:cs="Times New Roman"/>
          <w:color w:val="0070C0"/>
          <w:sz w:val="16"/>
          <w:szCs w:val="16"/>
        </w:rPr>
        <w:softHyphen/>
        <w:t>рые как раз в тот период прибыли в Москву и базировались на центральном аэродроме, вполне возможно предположить «немецкое влияние». Собственно, на немецкий след кос</w:t>
      </w:r>
      <w:r w:rsidRPr="00DB5D0D">
        <w:rPr>
          <w:rStyle w:val="811"/>
          <w:rFonts w:ascii="Times New Roman" w:hAnsi="Times New Roman" w:cs="Times New Roman"/>
          <w:color w:val="0070C0"/>
          <w:sz w:val="16"/>
          <w:szCs w:val="16"/>
        </w:rPr>
        <w:softHyphen/>
        <w:t>венно указывает специфический вариант нане</w:t>
      </w:r>
      <w:r w:rsidRPr="00DB5D0D">
        <w:rPr>
          <w:rStyle w:val="811"/>
          <w:rFonts w:ascii="Times New Roman" w:hAnsi="Times New Roman" w:cs="Times New Roman"/>
          <w:color w:val="0070C0"/>
          <w:sz w:val="16"/>
          <w:szCs w:val="16"/>
        </w:rPr>
        <w:softHyphen/>
        <w:t xml:space="preserve">сения камуфляжа, отдаленно напоминающий ранний камуфляж </w:t>
      </w:r>
      <w:r w:rsidRPr="00DB5D0D">
        <w:rPr>
          <w:rStyle w:val="811"/>
          <w:rFonts w:ascii="Times New Roman" w:hAnsi="Times New Roman" w:cs="Times New Roman"/>
          <w:color w:val="0070C0"/>
          <w:sz w:val="16"/>
          <w:szCs w:val="16"/>
          <w:lang w:val="en-US"/>
        </w:rPr>
        <w:t>Bf</w:t>
      </w:r>
      <w:r w:rsidRPr="00DB5D0D">
        <w:rPr>
          <w:rStyle w:val="811"/>
          <w:rFonts w:ascii="Times New Roman" w:hAnsi="Times New Roman" w:cs="Times New Roman"/>
          <w:color w:val="0070C0"/>
          <w:sz w:val="16"/>
          <w:szCs w:val="16"/>
        </w:rPr>
        <w:t xml:space="preserve"> 109</w:t>
      </w:r>
      <w:r w:rsidRPr="00DB5D0D">
        <w:rPr>
          <w:rStyle w:val="811"/>
          <w:rFonts w:ascii="Times New Roman" w:hAnsi="Times New Roman" w:cs="Times New Roman"/>
          <w:color w:val="0070C0"/>
          <w:sz w:val="16"/>
          <w:szCs w:val="16"/>
          <w:lang w:val="en-US"/>
        </w:rPr>
        <w:t>E</w:t>
      </w:r>
      <w:r w:rsidRPr="00DB5D0D">
        <w:rPr>
          <w:rStyle w:val="811"/>
          <w:rFonts w:ascii="Times New Roman" w:hAnsi="Times New Roman" w:cs="Times New Roman"/>
          <w:color w:val="0070C0"/>
          <w:sz w:val="16"/>
          <w:szCs w:val="16"/>
        </w:rPr>
        <w:t xml:space="preserve"> Люфтваффе.</w:t>
      </w:r>
    </w:p>
    <w:p w14:paraId="44548822" w14:textId="77777777" w:rsidR="00066B41" w:rsidRPr="00DB5D0D" w:rsidRDefault="00066B41" w:rsidP="00DB5D0D">
      <w:pPr>
        <w:spacing w:after="0" w:line="240" w:lineRule="auto"/>
        <w:jc w:val="both"/>
        <w:rPr>
          <w:rFonts w:ascii="Times New Roman" w:hAnsi="Times New Roman"/>
          <w:color w:val="0070C0"/>
          <w:sz w:val="16"/>
          <w:szCs w:val="16"/>
        </w:rPr>
      </w:pPr>
      <w:r w:rsidRPr="00DB5D0D">
        <w:rPr>
          <w:rStyle w:val="811"/>
          <w:rFonts w:ascii="Times New Roman" w:hAnsi="Times New Roman" w:cs="Times New Roman"/>
          <w:color w:val="0070C0"/>
          <w:sz w:val="16"/>
          <w:szCs w:val="16"/>
        </w:rPr>
        <w:t>Интересно, что в дальнейшем такой вид камуфляжа использовался на всех опытных машинах, которые строил завод №115, в том числе, на И-28, И-30 и Як-7 М-82. Ну а самое загадочное то, что первые серийные Як-7, выпущенные заводом №301 в апреле-июне 1941 года (к 19 июня было принято 26 истре</w:t>
      </w:r>
      <w:r w:rsidRPr="00DB5D0D">
        <w:rPr>
          <w:rStyle w:val="811"/>
          <w:rFonts w:ascii="Times New Roman" w:hAnsi="Times New Roman" w:cs="Times New Roman"/>
          <w:color w:val="0070C0"/>
          <w:sz w:val="16"/>
          <w:szCs w:val="16"/>
        </w:rPr>
        <w:softHyphen/>
        <w:t>бителей), также получили подобную окраску, став первыми серийными самолетами ВВС РККА окрашенными в двухцветный камуф</w:t>
      </w:r>
      <w:r w:rsidRPr="00DB5D0D">
        <w:rPr>
          <w:rStyle w:val="811"/>
          <w:rFonts w:ascii="Times New Roman" w:hAnsi="Times New Roman" w:cs="Times New Roman"/>
          <w:color w:val="0070C0"/>
          <w:sz w:val="16"/>
          <w:szCs w:val="16"/>
        </w:rPr>
        <w:softHyphen/>
        <w:t>ляж. Причем это, судя по всему, была инициа</w:t>
      </w:r>
      <w:r w:rsidRPr="00DB5D0D">
        <w:rPr>
          <w:rStyle w:val="811"/>
          <w:rFonts w:ascii="Times New Roman" w:hAnsi="Times New Roman" w:cs="Times New Roman"/>
          <w:color w:val="0070C0"/>
          <w:sz w:val="16"/>
          <w:szCs w:val="16"/>
        </w:rPr>
        <w:softHyphen/>
        <w:t>тива производственников, видимо, не согла</w:t>
      </w:r>
      <w:r w:rsidRPr="00DB5D0D">
        <w:rPr>
          <w:rStyle w:val="811"/>
          <w:rFonts w:ascii="Times New Roman" w:hAnsi="Times New Roman" w:cs="Times New Roman"/>
          <w:color w:val="0070C0"/>
          <w:sz w:val="16"/>
          <w:szCs w:val="16"/>
        </w:rPr>
        <w:softHyphen/>
        <w:t>сованная с ВВС. Из донесения начальнику штаба ГУ ВВС генерал-майору авиации П.С. Володину от ВРИД начальника 10-го управ</w:t>
      </w:r>
      <w:r w:rsidRPr="00DB5D0D">
        <w:rPr>
          <w:rStyle w:val="811"/>
          <w:rFonts w:ascii="Times New Roman" w:hAnsi="Times New Roman" w:cs="Times New Roman"/>
          <w:color w:val="0070C0"/>
          <w:sz w:val="16"/>
          <w:szCs w:val="16"/>
        </w:rPr>
        <w:softHyphen/>
        <w:t xml:space="preserve">ления ГУ ВВС бригинженера С.А. Пискунова: </w:t>
      </w:r>
      <w:r w:rsidRPr="00DB5D0D">
        <w:rPr>
          <w:rFonts w:ascii="Times New Roman" w:hAnsi="Times New Roman"/>
          <w:color w:val="0070C0"/>
          <w:sz w:val="16"/>
          <w:szCs w:val="16"/>
        </w:rPr>
        <w:t>«Поставляемые для ГУ ВВС Красной армии заводом №301 самолеты Як-7 (учебно-тре</w:t>
      </w:r>
      <w:r w:rsidRPr="00DB5D0D">
        <w:rPr>
          <w:rFonts w:ascii="Times New Roman" w:hAnsi="Times New Roman"/>
          <w:color w:val="0070C0"/>
          <w:sz w:val="16"/>
          <w:szCs w:val="16"/>
        </w:rPr>
        <w:softHyphen/>
        <w:t>нировочный скоростной истребитель), по чертежам гл.конструктора самолета т. Яковлева, камуфлируются черной краской по основному зеленому фону. Прошу сообщить Ваши соображения о целесообразности камуфлирования самолета Як-7»</w:t>
      </w:r>
      <w:r w:rsidRPr="00DB5D0D">
        <w:rPr>
          <w:rStyle w:val="20ArialUnicodeMS"/>
          <w:rFonts w:ascii="Times New Roman" w:hAnsi="Times New Roman" w:cs="Times New Roman"/>
          <w:i w:val="0"/>
          <w:iCs w:val="0"/>
          <w:color w:val="0070C0"/>
          <w:sz w:val="16"/>
          <w:szCs w:val="16"/>
        </w:rPr>
        <w:t>.</w:t>
      </w:r>
    </w:p>
    <w:p w14:paraId="79F769D9" w14:textId="77777777" w:rsidR="00066B41" w:rsidRPr="00DB5D0D" w:rsidRDefault="00066B41" w:rsidP="00DB5D0D">
      <w:pPr>
        <w:spacing w:after="0" w:line="240" w:lineRule="auto"/>
        <w:jc w:val="both"/>
        <w:rPr>
          <w:rStyle w:val="750"/>
          <w:rFonts w:ascii="Times New Roman" w:hAnsi="Times New Roman" w:cs="Times New Roman"/>
          <w:color w:val="0070C0"/>
          <w:sz w:val="16"/>
          <w:szCs w:val="16"/>
        </w:rPr>
      </w:pPr>
      <w:r w:rsidRPr="00DB5D0D">
        <w:rPr>
          <w:rStyle w:val="811"/>
          <w:rFonts w:ascii="Times New Roman" w:hAnsi="Times New Roman" w:cs="Times New Roman"/>
          <w:color w:val="0070C0"/>
          <w:sz w:val="16"/>
          <w:szCs w:val="16"/>
        </w:rPr>
        <w:t>Кроме того, этот камуфляж, вероятно, пред</w:t>
      </w:r>
      <w:r w:rsidRPr="00DB5D0D">
        <w:rPr>
          <w:rStyle w:val="811"/>
          <w:rFonts w:ascii="Times New Roman" w:hAnsi="Times New Roman" w:cs="Times New Roman"/>
          <w:color w:val="0070C0"/>
          <w:sz w:val="16"/>
          <w:szCs w:val="16"/>
        </w:rPr>
        <w:softHyphen/>
        <w:t>полагалось использовать для окраски серий</w:t>
      </w:r>
      <w:r w:rsidRPr="00DB5D0D">
        <w:rPr>
          <w:rStyle w:val="811"/>
          <w:rFonts w:ascii="Times New Roman" w:hAnsi="Times New Roman" w:cs="Times New Roman"/>
          <w:color w:val="0070C0"/>
          <w:sz w:val="16"/>
          <w:szCs w:val="16"/>
        </w:rPr>
        <w:softHyphen/>
        <w:t>ных истребителей И-26, о чем косвенно говорит схема окраски самолета, в котором без труда угадывается И-26 (Як-1 ранних серий выпуска), найденная С.Д. Кузнецовым в архиве ОКБ им А.С. Яковлева. Учитывая тот факт, что А.С. Яков</w:t>
      </w:r>
      <w:r w:rsidRPr="00DB5D0D">
        <w:rPr>
          <w:rStyle w:val="811"/>
          <w:rFonts w:ascii="Times New Roman" w:hAnsi="Times New Roman" w:cs="Times New Roman"/>
          <w:color w:val="0070C0"/>
          <w:sz w:val="16"/>
          <w:szCs w:val="16"/>
        </w:rPr>
        <w:softHyphen/>
        <w:t>лев был в тот момент заместителем Народного Комиссара авиационной промышленности СССР, камуфляж завода №115 впоследствии вполне мог быть использован в окраске не только самолетов, спроектированных самим А.С. Яковлевым, но и для машин других ОКБ. Это тем более вероятно, поскольку у двухцветного камуфляжа были практические преимущества над трехцветным, как указано в акте ВИАМ и завода №21:</w:t>
      </w:r>
      <w:r w:rsidRPr="00DB5D0D">
        <w:rPr>
          <w:rStyle w:val="ArialNarrow0"/>
          <w:rFonts w:ascii="Times New Roman" w:hAnsi="Times New Roman" w:cs="Times New Roman"/>
          <w:i w:val="0"/>
          <w:iCs w:val="0"/>
          <w:color w:val="0070C0"/>
          <w:sz w:val="16"/>
          <w:szCs w:val="16"/>
        </w:rPr>
        <w:t xml:space="preserve"> «Применение 3-х цветной систе</w:t>
      </w:r>
      <w:r w:rsidRPr="00DB5D0D">
        <w:rPr>
          <w:rStyle w:val="ArialNarrow0"/>
          <w:rFonts w:ascii="Times New Roman" w:hAnsi="Times New Roman" w:cs="Times New Roman"/>
          <w:i w:val="0"/>
          <w:iCs w:val="0"/>
          <w:color w:val="0070C0"/>
          <w:sz w:val="16"/>
          <w:szCs w:val="16"/>
        </w:rPr>
        <w:softHyphen/>
        <w:t>мы деформирующей окраски незначительно увеличивает трудоемкость и продолжитель</w:t>
      </w:r>
      <w:r w:rsidRPr="00DB5D0D">
        <w:rPr>
          <w:rStyle w:val="ArialNarrow0"/>
          <w:rFonts w:ascii="Times New Roman" w:hAnsi="Times New Roman" w:cs="Times New Roman"/>
          <w:i w:val="0"/>
          <w:iCs w:val="0"/>
          <w:color w:val="0070C0"/>
          <w:sz w:val="16"/>
          <w:szCs w:val="16"/>
        </w:rPr>
        <w:softHyphen/>
        <w:t>ность окрасочных работ, но требует увеличе</w:t>
      </w:r>
      <w:r w:rsidRPr="00DB5D0D">
        <w:rPr>
          <w:rStyle w:val="ArialNarrow0"/>
          <w:rFonts w:ascii="Times New Roman" w:hAnsi="Times New Roman" w:cs="Times New Roman"/>
          <w:i w:val="0"/>
          <w:iCs w:val="0"/>
          <w:color w:val="0070C0"/>
          <w:sz w:val="16"/>
          <w:szCs w:val="16"/>
        </w:rPr>
        <w:softHyphen/>
        <w:t>ния красконагнетателей, шлангов и пульвели- заторов, по количеству цветов краски...» (19910)</w:t>
      </w:r>
    </w:p>
    <w:p w14:paraId="23A4A072" w14:textId="77777777" w:rsidR="00066B41" w:rsidRPr="00DB5D0D" w:rsidRDefault="00066B41" w:rsidP="00DB5D0D">
      <w:pPr>
        <w:shd w:val="clear" w:color="auto" w:fill="FFFFFF"/>
        <w:spacing w:after="0" w:line="240" w:lineRule="auto"/>
        <w:jc w:val="both"/>
        <w:rPr>
          <w:rFonts w:ascii="Times New Roman" w:hAnsi="Times New Roman"/>
          <w:color w:val="0070C0"/>
          <w:sz w:val="16"/>
          <w:szCs w:val="16"/>
        </w:rPr>
      </w:pPr>
    </w:p>
    <w:p w14:paraId="3A74DCC7" w14:textId="199CDCB0"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0469BF4"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FD9BB6E" w14:textId="77777777" w:rsidR="00A25AD1" w:rsidRPr="00DB5D0D" w:rsidRDefault="00A25AD1"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В кон</w:t>
      </w:r>
      <w:r w:rsidRPr="00DB5D0D">
        <w:rPr>
          <w:rFonts w:ascii="Times New Roman" w:cs="Times New Roman"/>
          <w:color w:val="000000" w:themeColor="text1"/>
          <w:spacing w:val="0"/>
          <w:sz w:val="16"/>
          <w:szCs w:val="16"/>
        </w:rPr>
        <w:softHyphen/>
        <w:t>це июня - начале июля 1941 по новой технологии производства литых башен была осуществлена отливка установочной партии партии литых башен из стали марки МЗ-2. Основные изменения, внесенные в технологию изготовления, заключались в следующем:</w:t>
      </w:r>
    </w:p>
    <w:p w14:paraId="7EF831FD" w14:textId="77777777" w:rsidR="00A25AD1" w:rsidRPr="00DB5D0D" w:rsidRDefault="00A25AD1" w:rsidP="00DB5D0D">
      <w:pPr>
        <w:pStyle w:val="34"/>
        <w:shd w:val="clear" w:color="auto" w:fill="auto"/>
        <w:tabs>
          <w:tab w:val="left" w:pos="718"/>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 С целью получения однородно плотной отливки во всех учас</w:t>
      </w:r>
      <w:r w:rsidRPr="00DB5D0D">
        <w:rPr>
          <w:rFonts w:ascii="Times New Roman" w:cs="Times New Roman"/>
          <w:color w:val="000000" w:themeColor="text1"/>
          <w:spacing w:val="0"/>
          <w:sz w:val="16"/>
          <w:szCs w:val="16"/>
        </w:rPr>
        <w:softHyphen/>
        <w:t>тках башни было изменено положение детали при заливке; башня заливалась в положении, обратном рабочему (т.е. крышей вниз), что дало возможность увеличить количество прибылей, расставлен</w:t>
      </w:r>
      <w:r w:rsidRPr="00DB5D0D">
        <w:rPr>
          <w:rFonts w:ascii="Times New Roman" w:cs="Times New Roman"/>
          <w:color w:val="000000" w:themeColor="text1"/>
          <w:spacing w:val="0"/>
          <w:sz w:val="16"/>
          <w:szCs w:val="16"/>
        </w:rPr>
        <w:softHyphen/>
        <w:t>ных по широкому основанию башни, и тем самым создать более равномерное питание.</w:t>
      </w:r>
    </w:p>
    <w:p w14:paraId="12A2BE9C" w14:textId="77777777" w:rsidR="00A25AD1" w:rsidRPr="00DB5D0D" w:rsidRDefault="00A25AD1" w:rsidP="00DB5D0D">
      <w:pPr>
        <w:pStyle w:val="34"/>
        <w:shd w:val="clear" w:color="auto" w:fill="auto"/>
        <w:tabs>
          <w:tab w:val="left" w:pos="718"/>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2. Для получения еще более плотной здоровой отливки была применена «подпрессовка» через центральный литник.</w:t>
      </w:r>
    </w:p>
    <w:p w14:paraId="0877185A" w14:textId="77777777" w:rsidR="00A25AD1" w:rsidRPr="00DB5D0D" w:rsidRDefault="00A25AD1" w:rsidP="00DB5D0D">
      <w:pPr>
        <w:pStyle w:val="34"/>
        <w:shd w:val="clear" w:color="auto" w:fill="auto"/>
        <w:tabs>
          <w:tab w:val="left" w:pos="697"/>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3. Схему расположения литниковой и прибыльной системы, как оправдавшую себя, оставили прежней, но прибыля для удобного осуществления «подпрессовки» были применены закрытого типа с шаровой поверхностью.</w:t>
      </w:r>
    </w:p>
    <w:p w14:paraId="5BEDF894" w14:textId="77777777" w:rsidR="00A25AD1" w:rsidRPr="00DB5D0D" w:rsidRDefault="00A25AD1" w:rsidP="00DB5D0D">
      <w:pPr>
        <w:pStyle w:val="34"/>
        <w:shd w:val="clear" w:color="auto" w:fill="auto"/>
        <w:tabs>
          <w:tab w:val="left" w:pos="733"/>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4. Изменен метод формовки литой башни с целью упрощения его и получения более точной отливки. Основной стержень №1, об</w:t>
      </w:r>
      <w:r w:rsidRPr="00DB5D0D">
        <w:rPr>
          <w:rFonts w:ascii="Times New Roman" w:cs="Times New Roman"/>
          <w:color w:val="000000" w:themeColor="text1"/>
          <w:spacing w:val="0"/>
          <w:sz w:val="16"/>
          <w:szCs w:val="16"/>
        </w:rPr>
        <w:softHyphen/>
        <w:t>разующий внутреннее очертание тела башни, формовался на месте, по модели, а не отдельно в стержневом ящике, как это имело место при формовке первой башни. Центровка основного стержня относи</w:t>
      </w:r>
      <w:r w:rsidRPr="00DB5D0D">
        <w:rPr>
          <w:rFonts w:ascii="Times New Roman" w:cs="Times New Roman"/>
          <w:color w:val="000000" w:themeColor="text1"/>
          <w:spacing w:val="0"/>
          <w:sz w:val="16"/>
          <w:szCs w:val="16"/>
        </w:rPr>
        <w:softHyphen/>
        <w:t>тельно формы осуществлялась специальными металлическими на</w:t>
      </w:r>
      <w:r w:rsidRPr="00DB5D0D">
        <w:rPr>
          <w:rFonts w:ascii="Times New Roman" w:cs="Times New Roman"/>
          <w:color w:val="000000" w:themeColor="text1"/>
          <w:spacing w:val="0"/>
          <w:sz w:val="16"/>
          <w:szCs w:val="16"/>
        </w:rPr>
        <w:softHyphen/>
        <w:t>правляющими кольцами и штырями. Направляющие кольца меха</w:t>
      </w:r>
      <w:r w:rsidRPr="00DB5D0D">
        <w:rPr>
          <w:rFonts w:ascii="Times New Roman" w:cs="Times New Roman"/>
          <w:color w:val="000000" w:themeColor="text1"/>
          <w:spacing w:val="0"/>
          <w:sz w:val="16"/>
          <w:szCs w:val="16"/>
        </w:rPr>
        <w:softHyphen/>
        <w:t>нически обрабатывались и подгонялись друг к другу, обеспечивая точность установки стержня.</w:t>
      </w:r>
    </w:p>
    <w:p w14:paraId="53663555" w14:textId="77777777" w:rsidR="00A25AD1" w:rsidRPr="00DB5D0D" w:rsidRDefault="00A25AD1" w:rsidP="00DB5D0D">
      <w:pPr>
        <w:pStyle w:val="a3"/>
        <w:rPr>
          <w:color w:val="000000" w:themeColor="text1"/>
          <w:lang w:val="ru-RU"/>
        </w:rPr>
      </w:pPr>
      <w:r w:rsidRPr="00DB5D0D">
        <w:rPr>
          <w:color w:val="000000" w:themeColor="text1"/>
          <w:lang w:val="ru-RU"/>
        </w:rPr>
        <w:t>Менее существенным изменениям подверглась технология тер</w:t>
      </w:r>
      <w:r w:rsidRPr="00DB5D0D">
        <w:rPr>
          <w:color w:val="000000" w:themeColor="text1"/>
          <w:lang w:val="ru-RU"/>
        </w:rPr>
        <w:softHyphen/>
        <w:t>мообработки литых башен. Прежде всего, окончательную закалку под душем, как не оправдавшую себя, заменили закалкой в водя</w:t>
      </w:r>
      <w:r w:rsidRPr="00DB5D0D">
        <w:rPr>
          <w:color w:val="000000" w:themeColor="text1"/>
          <w:lang w:val="ru-RU"/>
        </w:rPr>
        <w:softHyphen/>
        <w:t>ной ванне. Кроме этого, в инструкцию по термообработке ввели некоторые дополнения, уточняющие время выдержки и порядок взятия проб.</w:t>
      </w:r>
    </w:p>
    <w:p w14:paraId="1318E97B" w14:textId="77777777" w:rsidR="00A25AD1" w:rsidRPr="00DB5D0D" w:rsidRDefault="00A25AD1"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Необходимо отметить, что установочная партия литых башен была изготовлена по чертежу 34.30.182, разработанному КБ 520 завода №183 в июне 1940 г. Первый вариант чертежа литой башни, выпол</w:t>
      </w:r>
      <w:r w:rsidRPr="00DB5D0D">
        <w:rPr>
          <w:rFonts w:ascii="Times New Roman" w:cs="Times New Roman"/>
          <w:color w:val="000000" w:themeColor="text1"/>
          <w:spacing w:val="0"/>
          <w:sz w:val="16"/>
          <w:szCs w:val="16"/>
        </w:rPr>
        <w:softHyphen/>
        <w:t>ненный КБ 520 весной 1940 г. для Мариупольского завода (индекс детали 34.30.181), имел ряд недостатков и в металле воплощен не был. Однако он послужил основой для создания чертежа 34.30.182, при разработке которого были устранены конструктивные недостат</w:t>
      </w:r>
      <w:r w:rsidRPr="00DB5D0D">
        <w:rPr>
          <w:rFonts w:ascii="Times New Roman" w:cs="Times New Roman"/>
          <w:color w:val="000000" w:themeColor="text1"/>
          <w:spacing w:val="0"/>
          <w:sz w:val="16"/>
          <w:szCs w:val="16"/>
        </w:rPr>
        <w:softHyphen/>
        <w:t>ки, выявленные в ходе испытаний первой литой башни, а именно:</w:t>
      </w:r>
    </w:p>
    <w:p w14:paraId="3DC1C0DE" w14:textId="77777777" w:rsidR="00A25AD1" w:rsidRPr="00DB5D0D" w:rsidRDefault="00A25AD1" w:rsidP="00DB5D0D">
      <w:pPr>
        <w:pStyle w:val="34"/>
        <w:shd w:val="clear" w:color="auto" w:fill="auto"/>
        <w:tabs>
          <w:tab w:val="left" w:pos="557"/>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 более тщательно проработана общая конфигурация тела башни;</w:t>
      </w:r>
    </w:p>
    <w:p w14:paraId="4D10CC6E" w14:textId="77777777" w:rsidR="00A25AD1" w:rsidRPr="00DB5D0D" w:rsidRDefault="00A25AD1" w:rsidP="00DB5D0D">
      <w:pPr>
        <w:pStyle w:val="34"/>
        <w:shd w:val="clear" w:color="auto" w:fill="auto"/>
        <w:tabs>
          <w:tab w:val="left" w:pos="589"/>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 с целью создания плавного перехода в местах соединения ло</w:t>
      </w:r>
      <w:r w:rsidRPr="00DB5D0D">
        <w:rPr>
          <w:rFonts w:ascii="Times New Roman" w:cs="Times New Roman"/>
          <w:color w:val="000000" w:themeColor="text1"/>
          <w:spacing w:val="0"/>
          <w:sz w:val="16"/>
          <w:szCs w:val="16"/>
        </w:rPr>
        <w:softHyphen/>
        <w:t>бовой части с бортовыми стенками, а также в местах соединения обечаек с корпусом увеличены радиусы скругления.</w:t>
      </w:r>
    </w:p>
    <w:p w14:paraId="187F7241" w14:textId="77777777" w:rsidR="00A25AD1" w:rsidRPr="00DB5D0D" w:rsidRDefault="00A25AD1" w:rsidP="00DB5D0D">
      <w:pPr>
        <w:pStyle w:val="a3"/>
        <w:rPr>
          <w:color w:val="000000" w:themeColor="text1"/>
          <w:lang w:val="ru-RU"/>
        </w:rPr>
      </w:pPr>
      <w:r w:rsidRPr="00DB5D0D">
        <w:rPr>
          <w:color w:val="000000" w:themeColor="text1"/>
          <w:lang w:val="ru-RU"/>
        </w:rPr>
        <w:t>Данные изменения, а также использование ребер жесткости и более длительная выдержка отливки в земле позволили получать корпуса башен, свободные от трещин (11939).</w:t>
      </w:r>
    </w:p>
    <w:p w14:paraId="6C4ED65E" w14:textId="77777777" w:rsidR="00A25AD1" w:rsidRPr="00DB5D0D" w:rsidRDefault="00A25AD1" w:rsidP="00DB5D0D">
      <w:pPr>
        <w:pStyle w:val="a3"/>
        <w:rPr>
          <w:color w:val="000000" w:themeColor="text1"/>
          <w:lang w:val="ru-RU"/>
        </w:rPr>
      </w:pPr>
    </w:p>
    <w:p w14:paraId="2782BB2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D537DE5"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7119E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второй половине июня 1940 Е.Ф. Бурче направил председа</w:t>
      </w:r>
      <w:r w:rsidRPr="00DB5D0D">
        <w:rPr>
          <w:rFonts w:ascii="Times New Roman" w:hAnsi="Times New Roman"/>
          <w:color w:val="000000" w:themeColor="text1"/>
          <w:sz w:val="16"/>
          <w:szCs w:val="16"/>
        </w:rPr>
        <w:softHyphen/>
        <w:t>телю комиссии полковнику Романову докладную записку, в которой излагал свои соображения по поводу основных направлений деятельности комиссии. Бурче предлагал, в частности:</w:t>
      </w:r>
    </w:p>
    <w:p w14:paraId="29ECD7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Принять за основу для всех работ тот факт, что деформирующие окраски выгоднее одноцветных (это не было бесспорно для ГУАС КА).</w:t>
      </w:r>
    </w:p>
    <w:p w14:paraId="7E0586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Рассматривать создание временных образцов дефор</w:t>
      </w:r>
      <w:r w:rsidRPr="00DB5D0D">
        <w:rPr>
          <w:rFonts w:ascii="Times New Roman" w:hAnsi="Times New Roman"/>
          <w:color w:val="000000" w:themeColor="text1"/>
          <w:sz w:val="16"/>
          <w:szCs w:val="16"/>
        </w:rPr>
        <w:softHyphen/>
        <w:t>мирующих окрасок как меру, пригодную до начала выпуска самолетов непосредственно с заводов с готовой постоянной деформирующей окраской».</w:t>
      </w:r>
    </w:p>
    <w:p w14:paraId="3501AB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этим предлагалось перенацелить работу на «разработку и испытания (в целях отбора наилучших) схем основного заводского окрашивания для всех самолетов, со</w:t>
      </w:r>
      <w:r w:rsidRPr="00DB5D0D">
        <w:rPr>
          <w:rFonts w:ascii="Times New Roman" w:hAnsi="Times New Roman"/>
          <w:color w:val="000000" w:themeColor="text1"/>
          <w:sz w:val="16"/>
          <w:szCs w:val="16"/>
        </w:rPr>
        <w:softHyphen/>
        <w:t>стоящих на вооружении ВВС КА и универсальной рас</w:t>
      </w:r>
      <w:r w:rsidRPr="00DB5D0D">
        <w:rPr>
          <w:rFonts w:ascii="Times New Roman" w:hAnsi="Times New Roman"/>
          <w:color w:val="000000" w:themeColor="text1"/>
          <w:sz w:val="16"/>
          <w:szCs w:val="16"/>
        </w:rPr>
        <w:softHyphen/>
        <w:t>цветки пятен для этих схем», а временные, легко удаляе</w:t>
      </w:r>
      <w:r w:rsidRPr="00DB5D0D">
        <w:rPr>
          <w:rFonts w:ascii="Times New Roman" w:hAnsi="Times New Roman"/>
          <w:color w:val="000000" w:themeColor="text1"/>
          <w:sz w:val="16"/>
          <w:szCs w:val="16"/>
        </w:rPr>
        <w:softHyphen/>
        <w:t>мые и не портящие основного покрытия краски использо</w:t>
      </w:r>
      <w:r w:rsidRPr="00DB5D0D">
        <w:rPr>
          <w:rFonts w:ascii="Times New Roman" w:hAnsi="Times New Roman"/>
          <w:color w:val="000000" w:themeColor="text1"/>
          <w:sz w:val="16"/>
          <w:szCs w:val="16"/>
        </w:rPr>
        <w:softHyphen/>
        <w:t>вать «для камуфлирования самолетов, еще имеющих старую одноцветную окраску, для временной перекраски отдельных пятен деформирующих окрасок на резко несо</w:t>
      </w:r>
      <w:r w:rsidRPr="00DB5D0D">
        <w:rPr>
          <w:rFonts w:ascii="Times New Roman" w:hAnsi="Times New Roman"/>
          <w:color w:val="000000" w:themeColor="text1"/>
          <w:sz w:val="16"/>
          <w:szCs w:val="16"/>
        </w:rPr>
        <w:softHyphen/>
        <w:t>ответствующих фонах и для перекраски самолетов на зим</w:t>
      </w:r>
      <w:r w:rsidRPr="00DB5D0D">
        <w:rPr>
          <w:rFonts w:ascii="Times New Roman" w:hAnsi="Times New Roman"/>
          <w:color w:val="000000" w:themeColor="text1"/>
          <w:sz w:val="16"/>
          <w:szCs w:val="16"/>
        </w:rPr>
        <w:softHyphen/>
        <w:t>ний период...» (10745,318).</w:t>
      </w:r>
    </w:p>
    <w:p w14:paraId="1C0EF4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4B808A8"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330BBC5" w14:textId="77777777" w:rsidR="007F2467" w:rsidRPr="00DB5D0D" w:rsidRDefault="007F2467" w:rsidP="00DB5D0D">
      <w:pPr>
        <w:spacing w:after="0" w:line="240" w:lineRule="auto"/>
        <w:jc w:val="both"/>
        <w:rPr>
          <w:rFonts w:ascii="Times New Roman" w:hAnsi="Times New Roman"/>
          <w:iCs/>
          <w:color w:val="000000" w:themeColor="text1"/>
          <w:sz w:val="16"/>
          <w:szCs w:val="16"/>
        </w:rPr>
      </w:pPr>
    </w:p>
    <w:p w14:paraId="1FA04AE3" w14:textId="77777777" w:rsidR="007F2467" w:rsidRPr="00DB5D0D" w:rsidRDefault="00DB5D0D" w:rsidP="00DB5D0D">
      <w:pPr>
        <w:spacing w:after="0" w:line="240" w:lineRule="auto"/>
        <w:jc w:val="both"/>
        <w:rPr>
          <w:rFonts w:ascii="Times New Roman" w:hAnsi="Times New Roman"/>
          <w:color w:val="000000" w:themeColor="text1"/>
          <w:sz w:val="16"/>
          <w:szCs w:val="16"/>
        </w:rPr>
      </w:pPr>
      <w:hyperlink r:id="rId153" w:tgtFrame="_blank" w:history="1"/>
      <w:r w:rsidR="007F2467" w:rsidRPr="00DB5D0D">
        <w:rPr>
          <w:rFonts w:ascii="Times New Roman" w:hAnsi="Times New Roman"/>
          <w:color w:val="000000" w:themeColor="text1"/>
          <w:sz w:val="16"/>
          <w:szCs w:val="16"/>
        </w:rPr>
        <w:t xml:space="preserve">Во второй половине июня 1940 г. военно-политическая обстановка в Европе продолжала накаляться – 22 июня Франция капитулировала перед нацистской Германией. Французская армия, считавшаяся одной из сильнейших в мире, даже в союзе с Великобританией не смогла отразить Германский «блицкриг». Сорок суток понадобилось немцам, чтобы поставить Францию на колени. </w:t>
      </w:r>
    </w:p>
    <w:p w14:paraId="6365A388" w14:textId="77777777" w:rsidR="007F2467" w:rsidRPr="00DB5D0D" w:rsidRDefault="007F246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Наблюдая за «достижениями» Германии, руководство нашей страны было вынуждено принять ряд мер по укреплению обороноспособности государства. Уже 25 и 26 июня 1940 г. на заседании Политбюро ЦК ВКП(б) были рассмотрены вопросы о повышении трудовой дисциплины, об увеличении продолжительности рабочего дня и о переводе всех предприятий и учреждений на семидневную рабочую неделю, а также был заслушан проект обращения Всесоюзного Центрального Совета Профессиональных Союзов (ВЦСПС) </w:t>
      </w:r>
      <w:r w:rsidRPr="00DB5D0D">
        <w:rPr>
          <w:rFonts w:ascii="Times New Roman" w:hAnsi="Times New Roman"/>
          <w:iCs/>
          <w:color w:val="000000" w:themeColor="text1"/>
          <w:sz w:val="16"/>
          <w:szCs w:val="16"/>
        </w:rPr>
        <w:t>ко всем рабочим и работницам, инженерам, техникам и служащим, ко всем членам профессиональных союзов</w:t>
      </w:r>
      <w:r w:rsidRPr="00DB5D0D">
        <w:rPr>
          <w:rFonts w:ascii="Times New Roman" w:hAnsi="Times New Roman"/>
          <w:color w:val="000000" w:themeColor="text1"/>
          <w:sz w:val="16"/>
          <w:szCs w:val="16"/>
        </w:rPr>
        <w:t xml:space="preserve">. </w:t>
      </w:r>
    </w:p>
    <w:p w14:paraId="4D3F73AB" w14:textId="77777777" w:rsidR="007F2467" w:rsidRPr="00DB5D0D" w:rsidRDefault="007F246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отметить, что в СССР начиная с 1931 г. на большинстве предприятий и учреждений действовала шестидневная рабочая неделя («шестидневка») с фиксированными днями отдыха, приходившимися на 6, 12, 18, 24 и 30 число каждого месяца. При этом 1 марта использовалось вместо 30 февраля, а каждое 31 число являлось дополнительным рабочим днем. </w:t>
      </w:r>
    </w:p>
    <w:p w14:paraId="16454A1B" w14:textId="77777777" w:rsidR="007F2467" w:rsidRPr="00DB5D0D" w:rsidRDefault="007F2467"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hAnsi="Times New Roman"/>
          <w:color w:val="000000" w:themeColor="text1"/>
          <w:sz w:val="16"/>
          <w:szCs w:val="16"/>
        </w:rPr>
        <w:t>В связи с тем, что заслушанный на заседании Политбюро проект обращения ВЦСПС ко всем трудящимся напрямую касался работников оборонной промышленности, участвовавших в оснащении Красной Армии современным вооружением, в том числе и новыми танками Т-34, будет уместным привести текст обращения полностью:</w:t>
      </w:r>
    </w:p>
    <w:p w14:paraId="7B389F42"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«Товарищи!</w:t>
      </w:r>
    </w:p>
    <w:p w14:paraId="4642A2AF"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Капиталистический мир вновь потрясен мировой войной. </w:t>
      </w:r>
    </w:p>
    <w:p w14:paraId="0567E939"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Вторая империалистическая война уже захватила в свою орбиту больше половины населения земного шара. Во всем капиталистическом мире – в Европе и Азии, Америке, Африке и Австралии – промышленность, транспорт, сельское хозяйство целиком подчинены интересам войны. До отказа завинчен пресс капиталистической </w:t>
      </w:r>
      <w:r w:rsidRPr="00DB5D0D">
        <w:rPr>
          <w:rFonts w:ascii="Times New Roman" w:hAnsi="Times New Roman"/>
          <w:iCs/>
          <w:color w:val="000000" w:themeColor="text1"/>
          <w:sz w:val="16"/>
          <w:szCs w:val="16"/>
        </w:rPr>
        <w:lastRenderedPageBreak/>
        <w:t xml:space="preserve">эксплуатации, рабочий работает по 10 – 12 и больше часов в сутки, отменены все воскресные и праздничные дни. Путем такой всеобщей военизации хозяйства империалистические государства колоссально повысили производство всех видов вооружения. </w:t>
      </w:r>
    </w:p>
    <w:p w14:paraId="7E6AD46B"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Таким образом, возросла военная опасность для нашей страны; международная обстановка стала чревата неожиданностями. </w:t>
      </w:r>
    </w:p>
    <w:p w14:paraId="63640D39"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 этих условиях наша страна, верная политике мира, обязана в интересах народов СССР еще больше усилить свою оборонную и хозяйственную мощь. Наша страна не может быть менее подготовлена в производстве предметов вооружения и других необходимых товаров, чем капиталистические страны. Мы должны стать во много раз сильнее, чтобы быть всесторонне готовыми к любым испытаниям. Мы должны стать еще более могущественной страной как в хозяйственном, так и в военном отношении. Наша задача - еще больше крепить оборону страны, крепить Красную армию, Военно-Морской и Воздушный флот, совершенствовать и увеличивать их вооружение, крепить социалистическую промышленность, снабжающую Красную армию всем необходимым. Мы обязаны напрячь все силы для дальнейшего развития индустрии, для укрепления нашего государства. Нам нужно больше металла, угля, нефти, больше самолетов, танков, пушек, снарядов, больше паровозов, вагонов, станков, автомобилей, больше продукции всех отраслей нашего народного хозяйства! </w:t>
      </w:r>
    </w:p>
    <w:p w14:paraId="105C2365"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Для дальнейшего укрепления оборонной мощи своей Родины рабочий класс СССР должен пойти на необходимые жертвы. Всесоюзный Центральный Совет Профессиональных Союзов считает, что нынешний 7 – 6-часовой рабочий день на наших предприятиях и в учреждениях в настоящее время недостаточен для выполнения задач, стоящих перед советской страной. Если в капиталистических странах рабочий вынужден работать по 10 – 12 часов в сутки на буржуазию, то наш советский рабочий может и должен работать больше, чем сейчас, по крайней мере 8 часов, ибо он работает на себя, на свое социалистическое государство, на благо народа. </w:t>
      </w:r>
    </w:p>
    <w:p w14:paraId="39C68B72"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Всесоюзный Центральный Совет Профессиональных Союзов считает, что в данных условиях должна быть увеличена продолжительность рабочего дня для рабочих и служащих во всех государственных, кооперативных и общественных предприятиях и учреждениях и доведена до восьми часов. Необходимо продолжительность рабочего дня увеличить: </w:t>
      </w:r>
    </w:p>
    <w:p w14:paraId="10E05F45"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с семи до восьми часов на предприятиях с семичасовым рабочим днем; </w:t>
      </w:r>
    </w:p>
    <w:p w14:paraId="0AB39F27"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с шести до семи часов – на работах с шестичасовым рабочим днем, за исключением профессий с вредными условиями труда; </w:t>
      </w:r>
    </w:p>
    <w:p w14:paraId="27ED60C7"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с шести до восьми часов – для служащих учреждений; </w:t>
      </w:r>
    </w:p>
    <w:p w14:paraId="58A68251"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с шести до восьми часов – для лиц, достигших 16 лет. </w:t>
      </w:r>
    </w:p>
    <w:p w14:paraId="06E236F8"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Всесоюзный Центральный Совет Профессиональных Союзов считает также, что существующая организация работы на предприятиях и в учреждениях на основе шестидневки снижает выпуск продукции. К тому же переход на шестидневку в городе создал разрыв между трудящимися города и деревни, так как в деревне и до настоящего времени существует семидневная неделя. Необходимо и в городе на государственных, кооперативных и общественных предприятиях и в учреждениях перейти на семидневную неделю. </w:t>
      </w:r>
    </w:p>
    <w:p w14:paraId="2F637DE5"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Эти мероприятия будут серьезным шагом к дальнейшему укреплению хозяйственной и оборонной мощи советской страны. Каждый рабочий, каждая работница хорошо знают, что лишний час работы и переход на семидневную неделю дадут дополнительное количество продукции. Увеличение рабочего дня и числа рабочих дней даст нашей стране дополнительно сотни тысяч тонн нефти, угля, руды и металла, тысячи новых станков, пушек, самолетов, танков и прочих машин, на сотни миллионов рублей товаров широкого потребления. </w:t>
      </w:r>
    </w:p>
    <w:p w14:paraId="16E17DB4"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И после увеличения на один час рабочий день в СССР по-прежнему останется самым коротким рабочим днем в мире. Он должен стать и самым производительным. </w:t>
      </w:r>
    </w:p>
    <w:p w14:paraId="63A02F1E"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На наших предприятиях и в учреждениях подавляющая масса рабочих и служащих честно и добросовестно относится к своим обязанностям, к выполнению законов о труде и трудовой дисциплине. Но наряду с ними имеется некоторая часть, а именно 3 – 4 % молодых рабочих и служащих, недавно пришедших на производство, которые, пользуясь отсутствием безработицы, уничтоженной советской властью, и злоупотребляя терпением советского государства, перебегают с завода на завод, подрывают дело дисциплины, не желают честно трудиться, пренебрежительно относятся к выполнению требований, установленных законом и одобренных народом. Против этих летунов, прогульщиков и должны быть в настоящее время усилены меры наказания. Социалистическое государство рабочих и крестьян не может терпеть дальше, чтобы эти люди наносили ущерб народному хозяйству. Государство обязано защитить народное хозяйство от дезорганизаторов производства, обязано оградить интересы народа. </w:t>
      </w:r>
    </w:p>
    <w:p w14:paraId="133C6BBE"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Всесоюзный Центральный Совет Профессиональных Союзов считает, что должен быть запрещен самовольный уход рабочих и служащих из государственных, кооперативных и общественных предприятий и учреждений, а также самовольный переход с одного предприятия на другое или из одного учреждения в другое. Всесоюзный Центральный Совет Профессиональных Союзов считает, что рабочие и служащие, самовольно ушедшие из государственных, кооперативных, общественных предприятий и учреждений, должны предаваться суду и по приговору суда подвергаться тюремному заключению, а прогульщики должны караться исправительно-трудовыми работами по месту работы, с удержанием на определенный срок части их заработной платы. </w:t>
      </w:r>
    </w:p>
    <w:p w14:paraId="0FFE0356"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Всесоюзный Центральный Совет Профессиональных Союзов вошел в Правительство СССР и в Президиум Верховного Совета СССР с предложением об увеличении рабочего дня и доведении его до восьми часов, о переходе с шестидневки на семидневную неделю и о запрещении самовольного ухода рабочих и служащих с предприятий и из учреждений. Эти предложения Правительством СССР и Президиумом Верховного Совета СССР одобрены. </w:t>
      </w:r>
    </w:p>
    <w:p w14:paraId="1ED2AD45" w14:textId="77777777" w:rsidR="007F2467" w:rsidRPr="00DB5D0D" w:rsidRDefault="007F2467"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 xml:space="preserve">Всесоюзный Центральный Совет Профессиональных Союзов призывает весь рабочий класс и всю интеллигенцию использовать до дна все возможности дальнейшего роста производительности труда в СССР, помня слова Ленина о том, что производительность труда – это в последнем счете самое важное, самое главное для победы нового общественного строя. Повысить производительность труда, дать своему государству больше продукции, нужной для роста хозяйственной и оборонной мощи, – в этом первейший долг, обязанность каждого труженика, в какой бы отрасли народного хозяйства он ни работал. Выполнением этого долга каждый гражданин Советского Союза проявляет свой патриотизм, проявляет преданность своей Родине. </w:t>
      </w:r>
    </w:p>
    <w:p w14:paraId="134DFE4B" w14:textId="77777777" w:rsidR="007F2467" w:rsidRPr="00DB5D0D" w:rsidRDefault="007F2467"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Всесоюзный Центральный Совет Профессиональных Союзов выражает уверенность в том, что рабочие и работницы, инженеры, техники и служащие, все члены профессиональных союзов целиком и полностью поддержат эти мероприятия, честно выполнят перед социалистической Родиной свой долг, проявят новые образцы трудового героизма в борьбе за дальнейшее укрепление экономического и оборонного могущества великой страны социализма, в борьбе за новые победы коммунизма, в борьбе за великое дело Ленина – Сталина»</w:t>
      </w:r>
      <w:r w:rsidRPr="00DB5D0D">
        <w:rPr>
          <w:rFonts w:ascii="Times New Roman" w:hAnsi="Times New Roman"/>
          <w:color w:val="000000" w:themeColor="text1"/>
          <w:sz w:val="16"/>
          <w:szCs w:val="16"/>
        </w:rPr>
        <w:t xml:space="preserve">. </w:t>
      </w:r>
    </w:p>
    <w:p w14:paraId="32214F00" w14:textId="77777777" w:rsidR="007F2467" w:rsidRPr="00DB5D0D" w:rsidRDefault="007F2467" w:rsidP="00DB5D0D">
      <w:pPr>
        <w:pStyle w:val="ae"/>
        <w:spacing w:before="0" w:after="0"/>
        <w:jc w:val="both"/>
        <w:rPr>
          <w:color w:val="000000" w:themeColor="text1"/>
          <w:sz w:val="16"/>
          <w:szCs w:val="16"/>
        </w:rPr>
      </w:pPr>
      <w:r w:rsidRPr="00DB5D0D">
        <w:rPr>
          <w:bCs/>
          <w:color w:val="000000" w:themeColor="text1"/>
          <w:sz w:val="16"/>
          <w:szCs w:val="16"/>
        </w:rPr>
        <w:t>[РГАСПИ. Ф. 17. Оп. 3. Д. 1025. Л. 69 – 73]</w:t>
      </w:r>
    </w:p>
    <w:p w14:paraId="42E07EFA" w14:textId="77777777" w:rsidR="007F2467" w:rsidRPr="00DB5D0D" w:rsidRDefault="007F246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Данный проект обращения ВЦСПС ко всем трудящимся СССР 26 июня 1940 г. был утвержден на заседании Политбюро ЦК ВКП(б), а Президиум Верховного Совета СССР в этот же день издал </w:t>
      </w:r>
      <w:hyperlink r:id="rId154" w:tgtFrame="_blank" w:history="1">
        <w:r w:rsidRPr="00DB5D0D">
          <w:rPr>
            <w:rStyle w:val="a5"/>
            <w:rFonts w:ascii="Times New Roman" w:hAnsi="Times New Roman"/>
            <w:color w:val="000000" w:themeColor="text1"/>
            <w:sz w:val="16"/>
            <w:szCs w:val="16"/>
            <w:u w:val="none"/>
          </w:rPr>
          <w:t>Указ «О переходе на восьмичасовой рабочий день, на семидневную рабочую неделю и о запрещении самовольного ухода рабочих и служащих с предприятий и из учреждений»</w:t>
        </w:r>
      </w:hyperlink>
      <w:r w:rsidRPr="00DB5D0D">
        <w:rPr>
          <w:rFonts w:ascii="Times New Roman" w:hAnsi="Times New Roman"/>
          <w:color w:val="000000" w:themeColor="text1"/>
          <w:sz w:val="16"/>
          <w:szCs w:val="16"/>
        </w:rPr>
        <w:t xml:space="preserve">. На следующий день Указ Президиума Верховного Совета СССР и обращение ВЦСПС были опубликованы во всех центральных газетах СССР. Несомненно, что мероприятия, перечисленные в Указе от 26 июня 1940 г. в большой мере способствовали увеличению выпуска продукции, в том числе и военной, что вело к укреплению обороноспособности нашей страны (18076). </w:t>
      </w:r>
    </w:p>
    <w:p w14:paraId="39741DB4" w14:textId="77777777" w:rsidR="007F2467" w:rsidRPr="00DB5D0D" w:rsidRDefault="007F2467" w:rsidP="00DB5D0D">
      <w:pPr>
        <w:spacing w:after="0" w:line="240" w:lineRule="auto"/>
        <w:jc w:val="both"/>
        <w:rPr>
          <w:rFonts w:ascii="Times New Roman" w:hAnsi="Times New Roman"/>
          <w:color w:val="000000" w:themeColor="text1"/>
          <w:sz w:val="16"/>
          <w:szCs w:val="16"/>
        </w:rPr>
      </w:pPr>
    </w:p>
    <w:p w14:paraId="36A456E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9A6FE4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67627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начальник летно-технической группы НКАП М. М. Громов обратил внимание руководства НКАП на явные недочеты в работе ОКБ Ильюшина в части улучшения устойчивости БШ-2. В докладе заместителю наркома авиапромышленности Яковлеву он писал: "...Продольная неустойчивость самолета легко может быть излечена путем соответствующего изменения стреловидности крыла. В настоящее время КБ осуществляет изменение стреловидности без учета потребного смещения вперед ц.т. в отношении САХ, т.к. во время испытаний не определена центровка, при которой самолет устойчив со свободным рулем высоты".</w:t>
      </w:r>
    </w:p>
    <w:p w14:paraId="2DE7E2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сожалению, никакой реакции высоких инстанций так и не последовало. ОКБ Ильюшина продолжало свою работу по совершенствованию самолета в прежнем направлении (12020).</w:t>
      </w:r>
    </w:p>
    <w:p w14:paraId="33E39CB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00FD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Начальник ВВС генерал-лейтенант авиации Смушкевич и Член военсовета ВВС дивизионный комиссар Агальцов утвердили Отчет по войсковым испытаниям самолетов ББ-1 с мотором М-88</w:t>
      </w:r>
    </w:p>
    <w:p w14:paraId="46FC18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50554D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2 ранга Часовиков</w:t>
      </w:r>
    </w:p>
    <w:p w14:paraId="739AA9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самолета ББ-1 с мотором М-88 проводились на Харьковском аэродроме.</w:t>
      </w:r>
    </w:p>
    <w:p w14:paraId="0F5BF2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проводились с 17 мая по 20 июня 1940 года.</w:t>
      </w:r>
    </w:p>
    <w:p w14:paraId="557830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на самолетах ББ-1 произведено 616 полетов при общем налете 157 часов.</w:t>
      </w:r>
    </w:p>
    <w:p w14:paraId="7EF338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3C2BF4D"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ББ-1 М-88 продукции завода № 135 войсковые испытания прошел удовлетворительно (4384).</w:t>
      </w:r>
    </w:p>
    <w:p w14:paraId="7131E022" w14:textId="77777777" w:rsidR="00A25AD1" w:rsidRPr="00DB5D0D" w:rsidRDefault="00A25AD1" w:rsidP="00DB5D0D">
      <w:pPr>
        <w:tabs>
          <w:tab w:val="left" w:pos="360"/>
        </w:tabs>
        <w:spacing w:after="0" w:line="240" w:lineRule="auto"/>
        <w:jc w:val="both"/>
        <w:rPr>
          <w:rFonts w:ascii="Times New Roman" w:hAnsi="Times New Roman"/>
          <w:color w:val="000000" w:themeColor="text1"/>
          <w:sz w:val="16"/>
          <w:szCs w:val="16"/>
        </w:rPr>
      </w:pPr>
    </w:p>
    <w:p w14:paraId="6B833A24" w14:textId="77777777" w:rsidR="001138D8" w:rsidRPr="00DB5D0D" w:rsidRDefault="001138D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июне 1940 состоялась еще одна макетная комиссия, а уже в июле говорилось, что все рабочие чертежи, необходимые для изготовления самолета досрочно сданы. А 7 августа 1940 г. вышло постановление КО №342сс о создании од</w:t>
      </w:r>
      <w:r w:rsidRPr="00DB5D0D">
        <w:rPr>
          <w:rFonts w:ascii="Times New Roman" w:hAnsi="Times New Roman"/>
          <w:color w:val="0070C0"/>
          <w:sz w:val="16"/>
          <w:szCs w:val="16"/>
        </w:rPr>
        <w:softHyphen/>
        <w:t>номестного пикирующего бомбардировщика конструкции Кочеригина с одним мотором М-90. Комитет обороны в со</w:t>
      </w:r>
      <w:r w:rsidRPr="00DB5D0D">
        <w:rPr>
          <w:rFonts w:ascii="Times New Roman" w:hAnsi="Times New Roman"/>
          <w:color w:val="0070C0"/>
          <w:sz w:val="16"/>
          <w:szCs w:val="16"/>
        </w:rPr>
        <w:softHyphen/>
        <w:t>ответствии с этим постановлением обязывал директора за</w:t>
      </w:r>
      <w:r w:rsidRPr="00DB5D0D">
        <w:rPr>
          <w:rFonts w:ascii="Times New Roman" w:hAnsi="Times New Roman"/>
          <w:color w:val="0070C0"/>
          <w:sz w:val="16"/>
          <w:szCs w:val="16"/>
        </w:rPr>
        <w:softHyphen/>
        <w:t>вода №156 Ленкина и главного конструктора Кочеригина спроектировать и построить одноместный пикирующий бомбардировщик с мотором М-90 и предъявить его на го- сиспытания:</w:t>
      </w:r>
    </w:p>
    <w:p w14:paraId="245A59D6" w14:textId="77777777" w:rsidR="001138D8" w:rsidRPr="00DB5D0D" w:rsidRDefault="001138D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первый экземпляр - 1 февраля 1941 г.</w:t>
      </w:r>
    </w:p>
    <w:p w14:paraId="393529CE" w14:textId="77777777" w:rsidR="001138D8" w:rsidRPr="00DB5D0D" w:rsidRDefault="001138D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второй экземпляр - 15 апреля 1941 г.</w:t>
      </w:r>
    </w:p>
    <w:p w14:paraId="47918D1E" w14:textId="77777777" w:rsidR="001138D8" w:rsidRPr="00DB5D0D" w:rsidRDefault="001138D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Летно-технические характеристики к этому моменту не</w:t>
      </w:r>
      <w:r w:rsidRPr="00DB5D0D">
        <w:rPr>
          <w:rFonts w:ascii="Times New Roman" w:hAnsi="Times New Roman"/>
          <w:color w:val="0070C0"/>
          <w:sz w:val="16"/>
          <w:szCs w:val="16"/>
        </w:rPr>
        <w:softHyphen/>
        <w:t>сколько изменились - требовалось обеспечить макси</w:t>
      </w:r>
      <w:r w:rsidRPr="00DB5D0D">
        <w:rPr>
          <w:rFonts w:ascii="Times New Roman" w:hAnsi="Times New Roman"/>
          <w:color w:val="0070C0"/>
          <w:sz w:val="16"/>
          <w:szCs w:val="16"/>
        </w:rPr>
        <w:softHyphen/>
        <w:t>мальную скорость 600 км/ч на высоте 7000 м, полетную дальность с нормальной нагрузкой 700 км, практический потолок 10 500 м, время набора 7000 м - 8,5 мин. Бом</w:t>
      </w:r>
      <w:r w:rsidRPr="00DB5D0D">
        <w:rPr>
          <w:rFonts w:ascii="Times New Roman" w:hAnsi="Times New Roman"/>
          <w:color w:val="0070C0"/>
          <w:sz w:val="16"/>
          <w:szCs w:val="16"/>
        </w:rPr>
        <w:softHyphen/>
        <w:t>бовое и стрелковое вооружение осталось без изменений (20362).</w:t>
      </w:r>
    </w:p>
    <w:p w14:paraId="35DF841A" w14:textId="77777777" w:rsidR="001138D8" w:rsidRPr="00DB5D0D" w:rsidRDefault="001138D8" w:rsidP="00DB5D0D">
      <w:pPr>
        <w:shd w:val="clear" w:color="auto" w:fill="FFFFFF"/>
        <w:spacing w:after="0" w:line="240" w:lineRule="auto"/>
        <w:jc w:val="both"/>
        <w:rPr>
          <w:rFonts w:ascii="Times New Roman" w:hAnsi="Times New Roman"/>
          <w:color w:val="0070C0"/>
          <w:sz w:val="16"/>
          <w:szCs w:val="16"/>
        </w:rPr>
      </w:pPr>
    </w:p>
    <w:p w14:paraId="3FF59E4C" w14:textId="77777777" w:rsidR="00066B41" w:rsidRPr="00DB5D0D" w:rsidRDefault="00066B4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июне 1940 года на государственные испыта</w:t>
      </w:r>
      <w:r w:rsidRPr="00DB5D0D">
        <w:rPr>
          <w:rFonts w:ascii="Times New Roman" w:hAnsi="Times New Roman"/>
          <w:color w:val="0070C0"/>
          <w:sz w:val="16"/>
          <w:szCs w:val="16"/>
        </w:rPr>
        <w:softHyphen/>
        <w:t>ния поступил ДБ-ЗФ № 390204 с новыми стрел</w:t>
      </w:r>
      <w:r w:rsidRPr="00DB5D0D">
        <w:rPr>
          <w:rFonts w:ascii="Times New Roman" w:hAnsi="Times New Roman"/>
          <w:color w:val="0070C0"/>
          <w:sz w:val="16"/>
          <w:szCs w:val="16"/>
        </w:rPr>
        <w:softHyphen/>
        <w:t>ковыми установками: верхней МВ-3 и нижней — МВ-2 вместо верхней СУ и люковой ЛУ. МВ-3 обе</w:t>
      </w:r>
      <w:r w:rsidRPr="00DB5D0D">
        <w:rPr>
          <w:rFonts w:ascii="Times New Roman" w:hAnsi="Times New Roman"/>
          <w:color w:val="0070C0"/>
          <w:sz w:val="16"/>
          <w:szCs w:val="16"/>
        </w:rPr>
        <w:softHyphen/>
        <w:t>спечивала лучшую маневренность пулемета за счет меньших усилий, а МВ-2 с оптическим коленчатым прицепом усиливала оборону от атак истребите</w:t>
      </w:r>
      <w:r w:rsidRPr="00DB5D0D">
        <w:rPr>
          <w:rFonts w:ascii="Times New Roman" w:hAnsi="Times New Roman"/>
          <w:color w:val="0070C0"/>
          <w:sz w:val="16"/>
          <w:szCs w:val="16"/>
        </w:rPr>
        <w:softHyphen/>
        <w:t>лей снизу.</w:t>
      </w:r>
    </w:p>
    <w:p w14:paraId="4CC6B0C9" w14:textId="77777777" w:rsidR="00066B41" w:rsidRPr="00DB5D0D" w:rsidRDefault="00066B4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Испытания показали, что максимальная ско</w:t>
      </w:r>
      <w:r w:rsidRPr="00DB5D0D">
        <w:rPr>
          <w:rFonts w:ascii="Times New Roman" w:hAnsi="Times New Roman"/>
          <w:color w:val="0070C0"/>
          <w:sz w:val="16"/>
          <w:szCs w:val="16"/>
        </w:rPr>
        <w:softHyphen/>
        <w:t>рость самолета с убранной МВ-3 снизилась с 425 до 415 км/ч, а при боевом положении верхней установки скорость не превышала 410 км/ч. Даль</w:t>
      </w:r>
      <w:r w:rsidRPr="00DB5D0D">
        <w:rPr>
          <w:rFonts w:ascii="Times New Roman" w:hAnsi="Times New Roman"/>
          <w:color w:val="0070C0"/>
          <w:sz w:val="16"/>
          <w:szCs w:val="16"/>
        </w:rPr>
        <w:softHyphen/>
        <w:t>ность при полете на высоте 4000 метров со скоростью 340 км/ч сократилась с 3060 до 2950 км. Ухудшились и другие параметры, но зато возросла обороноспо</w:t>
      </w:r>
      <w:r w:rsidRPr="00DB5D0D">
        <w:rPr>
          <w:rFonts w:ascii="Times New Roman" w:hAnsi="Times New Roman"/>
          <w:color w:val="0070C0"/>
          <w:sz w:val="16"/>
          <w:szCs w:val="16"/>
        </w:rPr>
        <w:softHyphen/>
        <w:t>собность машины.</w:t>
      </w:r>
    </w:p>
    <w:p w14:paraId="7D78ED6D" w14:textId="77777777" w:rsidR="00066B41" w:rsidRPr="00DB5D0D" w:rsidRDefault="00066B4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Месяц спустя в НИИ ВВС поступил усовершенство</w:t>
      </w:r>
      <w:r w:rsidRPr="00DB5D0D">
        <w:rPr>
          <w:rFonts w:ascii="Times New Roman" w:hAnsi="Times New Roman"/>
          <w:color w:val="0070C0"/>
          <w:sz w:val="16"/>
          <w:szCs w:val="16"/>
        </w:rPr>
        <w:softHyphen/>
        <w:t>ванный ДБ-ЗФ № 390801. По сравнению с предыду</w:t>
      </w:r>
      <w:r w:rsidRPr="00DB5D0D">
        <w:rPr>
          <w:rFonts w:ascii="Times New Roman" w:hAnsi="Times New Roman"/>
          <w:color w:val="0070C0"/>
          <w:sz w:val="16"/>
          <w:szCs w:val="16"/>
        </w:rPr>
        <w:softHyphen/>
        <w:t>щей машиной на нем клепку крыла и фюзеляжа сдела</w:t>
      </w:r>
      <w:r w:rsidRPr="00DB5D0D">
        <w:rPr>
          <w:rFonts w:ascii="Times New Roman" w:hAnsi="Times New Roman"/>
          <w:color w:val="0070C0"/>
          <w:sz w:val="16"/>
          <w:szCs w:val="16"/>
        </w:rPr>
        <w:softHyphen/>
        <w:t>ли впотай. Изменили обводы передней части фонаря кабины летчика, сделав их более гну-</w:t>
      </w:r>
    </w:p>
    <w:p w14:paraId="233969B5" w14:textId="77777777" w:rsidR="00066B41" w:rsidRPr="00DB5D0D" w:rsidRDefault="00066B4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Много неприятностей доставляли еще «сырые» моторы М-88, что вынудило временно комплектовать боевые машины уже проверенными М-87 Б (23188).</w:t>
      </w:r>
    </w:p>
    <w:p w14:paraId="6C990903" w14:textId="77777777" w:rsidR="00066B41" w:rsidRPr="00DB5D0D" w:rsidRDefault="00066B41" w:rsidP="00DB5D0D">
      <w:pPr>
        <w:spacing w:after="0" w:line="240" w:lineRule="auto"/>
        <w:jc w:val="both"/>
        <w:rPr>
          <w:rFonts w:ascii="Times New Roman" w:hAnsi="Times New Roman"/>
          <w:color w:val="0070C0"/>
          <w:sz w:val="16"/>
          <w:szCs w:val="16"/>
        </w:rPr>
      </w:pPr>
    </w:p>
    <w:p w14:paraId="21707F8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один из пикирующих ДБ-3Б, № 2412 (видимо, № 392412), прошел испытания в НИПАВ. Летал морской летчик — капитан Федоров. На полигоне бомбили круг диаметром 50 м бомбами ФАБ-250, ФАБ-500 и ФАБ-1000, которые самолет нес на наружной подвеске. По результатам сделали гру</w:t>
      </w:r>
      <w:r w:rsidRPr="00DB5D0D">
        <w:rPr>
          <w:rFonts w:ascii="Times New Roman" w:hAnsi="Times New Roman"/>
          <w:color w:val="000000" w:themeColor="text1"/>
          <w:sz w:val="16"/>
          <w:szCs w:val="16"/>
        </w:rPr>
        <w:softHyphen/>
        <w:t>стный вывод: «Самолет ДБ-3 как пики</w:t>
      </w:r>
      <w:r w:rsidRPr="00DB5D0D">
        <w:rPr>
          <w:rFonts w:ascii="Times New Roman" w:hAnsi="Times New Roman"/>
          <w:color w:val="000000" w:themeColor="text1"/>
          <w:sz w:val="16"/>
          <w:szCs w:val="16"/>
        </w:rPr>
        <w:softHyphen/>
        <w:t>рующий бомбардировщик слепой...» Суть этого замечания сводилась к тому, что пилот на подходе просто не видел цель — ее загораживал длинный нос фюзеляжа. Предварительную наводку осуществлял штурман, командовавший летчику «влево» или «вправо». Лишь войдя в крутое пикирование, пилот мог поймать цель в специальный прицел-ПАН-23. А далее — другие проблемы. Без аэродинамических тормозов само</w:t>
      </w:r>
      <w:r w:rsidRPr="00DB5D0D">
        <w:rPr>
          <w:rFonts w:ascii="Times New Roman" w:hAnsi="Times New Roman"/>
          <w:color w:val="000000" w:themeColor="text1"/>
          <w:sz w:val="16"/>
          <w:szCs w:val="16"/>
        </w:rPr>
        <w:softHyphen/>
        <w:t>лет очень быстро разгонялся, что резко ограничивало время прицеливания. Да и условия работы экипажа в этот момент в отчете описывались так: «Летчик на пикировании упирается головой в пото</w:t>
      </w:r>
      <w:r w:rsidRPr="00DB5D0D">
        <w:rPr>
          <w:rFonts w:ascii="Times New Roman" w:hAnsi="Times New Roman"/>
          <w:color w:val="000000" w:themeColor="text1"/>
          <w:sz w:val="16"/>
          <w:szCs w:val="16"/>
        </w:rPr>
        <w:softHyphen/>
        <w:t>лок фонаря, штурман и радист висят на ремнях в полусогнутом положении и не могут работать на стрелковых установ</w:t>
      </w:r>
      <w:r w:rsidRPr="00DB5D0D">
        <w:rPr>
          <w:rFonts w:ascii="Times New Roman" w:hAnsi="Times New Roman"/>
          <w:color w:val="000000" w:themeColor="text1"/>
          <w:sz w:val="16"/>
          <w:szCs w:val="16"/>
        </w:rPr>
        <w:softHyphen/>
        <w:t>ках». В итоге сочли, что ДБ-3 как пики</w:t>
      </w:r>
      <w:r w:rsidRPr="00DB5D0D">
        <w:rPr>
          <w:rFonts w:ascii="Times New Roman" w:hAnsi="Times New Roman"/>
          <w:color w:val="000000" w:themeColor="text1"/>
          <w:sz w:val="16"/>
          <w:szCs w:val="16"/>
        </w:rPr>
        <w:softHyphen/>
        <w:t>ровщик непригоден. Чтобы сделать его полноценной машиной такого класса, нужно переделать носовую часть, улуч</w:t>
      </w:r>
      <w:r w:rsidRPr="00DB5D0D">
        <w:rPr>
          <w:rFonts w:ascii="Times New Roman" w:hAnsi="Times New Roman"/>
          <w:color w:val="000000" w:themeColor="text1"/>
          <w:sz w:val="16"/>
          <w:szCs w:val="16"/>
        </w:rPr>
        <w:softHyphen/>
        <w:t>шить обзор летчику, ввести воздушные тормоза, поставить более современный бомбовый прицел (в качестве образца предлагался полуавтомат с немецкого бомбардировщика Юнкере Ли 88А). Но поскольку ничего лучшего у ВВС РККА пока не имелось, то НИИ ВВС счел возможным использовать пикирующие ДБ-3 для учебных целей. На них собирались осваивать сам метод бомбомета</w:t>
      </w:r>
      <w:r w:rsidRPr="00DB5D0D">
        <w:rPr>
          <w:rFonts w:ascii="Times New Roman" w:hAnsi="Times New Roman"/>
          <w:color w:val="000000" w:themeColor="text1"/>
          <w:sz w:val="16"/>
          <w:szCs w:val="16"/>
        </w:rPr>
        <w:softHyphen/>
        <w:t>ния с пикирования до поступления более совершенной техники (10734,49).</w:t>
      </w:r>
    </w:p>
    <w:p w14:paraId="73D905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7AA82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один из пикирующих ДБ-ЗБ, № 2412 (видимо, № 392412), прошел испытания в НИ ПАВ. Летал морской летчик - капитан Федоров. На полигоне бомбили круг диаметром 50 м бомбами ФАБ-250, ФАБ-500 и ФАБ-1000, которые самолет нес на наружной подвеске. По результатам сделали грустный вывод: "Самолет ДБ-3 как пикирующий бомбардировщик слепой..." Суть этого замечания сводилась к тому, что пилот на подходе просто не видел цель - ее загораживал длинный нос фюзеляжа. Предварительную наводку осуществлял штурман, командовавший летчику "влево" или "вправо". Лишь войдя в крутое пикирование, пилот мог поймать цель в специальный прицел ПАН-23. А далее - другие проблемы. Без аэродинамических тормозов самолет очень быстро разгонялся, что резко ограничивало время прицеливания. Да и условия работы экипажа в этот момент в отчете описывались так: "Летчик на пикировании упирается головой в потолок фонаря, штурман и радист висят на ремнях в полусогнутом положении и не могут работать на стрелковых установках". В итоге сочли, что ДБ-3 как пикировщик непригоден. Чтобы сделать его полноценной машиной такого класса, нужно переделать носовую часть, улучшить обзор летчику, ввести воздушные тормоза, поставить более современный бомбовый прицел (в качестве образца предлагался полуавтомат с немецкого бомбардировщика Юнкере Ju 88А). Но поскольку ничего лучшего у ВВС РККА пока не имелось, то НИИ ВВС счел возможным использовать пикирующие ДБ-3 для учебных целей. На них собирались осваивать сам метод бомбометания с пикирования до поступления более совершенной техники (12021).</w:t>
      </w:r>
    </w:p>
    <w:p w14:paraId="1351A96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DBD9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по сокращенной программе в Севастополе проводи</w:t>
      </w:r>
      <w:r w:rsidRPr="00DB5D0D">
        <w:rPr>
          <w:rFonts w:ascii="Times New Roman" w:hAnsi="Times New Roman"/>
          <w:color w:val="000000" w:themeColor="text1"/>
          <w:sz w:val="16"/>
          <w:szCs w:val="16"/>
        </w:rPr>
        <w:softHyphen/>
        <w:t>лись испытания усовершенствованного вариант гидро</w:t>
      </w:r>
      <w:r w:rsidRPr="00DB5D0D">
        <w:rPr>
          <w:rFonts w:ascii="Times New Roman" w:hAnsi="Times New Roman"/>
          <w:color w:val="000000" w:themeColor="text1"/>
          <w:sz w:val="16"/>
          <w:szCs w:val="16"/>
        </w:rPr>
        <w:softHyphen/>
        <w:t>плана ДБ-3. Поплавки «Шорт» сменили на поплавки ЦАГИ, увеличенного объема и с несколько иными обводами. Измени</w:t>
      </w:r>
      <w:r w:rsidRPr="00DB5D0D">
        <w:rPr>
          <w:rFonts w:ascii="Times New Roman" w:hAnsi="Times New Roman"/>
          <w:color w:val="000000" w:themeColor="text1"/>
          <w:sz w:val="16"/>
          <w:szCs w:val="16"/>
        </w:rPr>
        <w:softHyphen/>
        <w:t>ли крепление съемного трапа и буксиро</w:t>
      </w:r>
      <w:r w:rsidRPr="00DB5D0D">
        <w:rPr>
          <w:rFonts w:ascii="Times New Roman" w:hAnsi="Times New Roman"/>
          <w:color w:val="000000" w:themeColor="text1"/>
          <w:sz w:val="16"/>
          <w:szCs w:val="16"/>
        </w:rPr>
        <w:softHyphen/>
        <w:t>вочной тележки. Взлет и посад</w:t>
      </w:r>
      <w:r w:rsidRPr="00DB5D0D">
        <w:rPr>
          <w:rFonts w:ascii="Times New Roman" w:hAnsi="Times New Roman"/>
          <w:color w:val="000000" w:themeColor="text1"/>
          <w:sz w:val="16"/>
          <w:szCs w:val="16"/>
        </w:rPr>
        <w:softHyphen/>
        <w:t>ка на волну высотой 0,2-0,5 м оказались мягче, чем со старыми поплавками. Но это уже не оказало никакого вли</w:t>
      </w:r>
      <w:r w:rsidRPr="00DB5D0D">
        <w:rPr>
          <w:rFonts w:ascii="Times New Roman" w:hAnsi="Times New Roman"/>
          <w:color w:val="000000" w:themeColor="text1"/>
          <w:sz w:val="16"/>
          <w:szCs w:val="16"/>
        </w:rPr>
        <w:softHyphen/>
        <w:t>яния на судьбу самолета. От серийного производства ДБ-3ПТ отказались. В качестве дальних разведчиков могли быть использованы новые летающие лодки ГСТ и МДР-6, а место торпедо</w:t>
      </w:r>
      <w:r w:rsidRPr="00DB5D0D">
        <w:rPr>
          <w:rFonts w:ascii="Times New Roman" w:hAnsi="Times New Roman"/>
          <w:color w:val="000000" w:themeColor="text1"/>
          <w:sz w:val="16"/>
          <w:szCs w:val="16"/>
        </w:rPr>
        <w:softHyphen/>
        <w:t>носца прочно занял ДБ-3Т. Единственный построенный экземп</w:t>
      </w:r>
      <w:r w:rsidRPr="00DB5D0D">
        <w:rPr>
          <w:rFonts w:ascii="Times New Roman" w:hAnsi="Times New Roman"/>
          <w:color w:val="000000" w:themeColor="text1"/>
          <w:sz w:val="16"/>
          <w:szCs w:val="16"/>
        </w:rPr>
        <w:softHyphen/>
        <w:t>ляр ДБ-3ПТ остался в НИИ ВВС ВМФ и использовался для различных экспе</w:t>
      </w:r>
      <w:r w:rsidRPr="00DB5D0D">
        <w:rPr>
          <w:rFonts w:ascii="Times New Roman" w:hAnsi="Times New Roman"/>
          <w:color w:val="000000" w:themeColor="text1"/>
          <w:sz w:val="16"/>
          <w:szCs w:val="16"/>
        </w:rPr>
        <w:softHyphen/>
        <w:t>риментов. В июле 1941 г. он еще был там. Дальнейшая его судьба неизвестна (10734,25).</w:t>
      </w:r>
    </w:p>
    <w:p w14:paraId="133AFA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8AA9C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на НИПАВ была продемонстрирована система "Огненный град". На подкрыльных бомбодержателях самолет ДБ-3 нес четыре контейнера ЗАРП-500ТШ. В каждом из них находились 3000 термитных шаров весом по 100 г или 1000 шаров по 300 г или 165 неоперенных зажигательных бомб из электрона (по 1 кг). Контейнеры сбрасывались с высоты около 2000 м и разрывались примерно на 350 м. Фактически это были кассетные зажигательные боеприпасы. Четыре контейнера накрывали площадь в 3600 м2. 300-граммовый шар мог прожечь стальную броню толщиной 3,5 мм, а стало быть, ими можно было уничтожать строения с металлической крышей, самолеты, автомобили. К началу 1941 г. изготовили партию из 100 контейнеров ЗАРП-500ТШ (12021).</w:t>
      </w:r>
    </w:p>
    <w:p w14:paraId="245163A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16866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в Севастополе по сокращенной программе проводились испытания доработанного ДБ-3ПТ. Взлет и посадка на волну высотой 0,2-0,5 м оказались мягче, чем со старыми поплавками, но это уже не оказало никакого влияния на судьбу самолета. Сложилась поистине революционная ситуация, когда «верхи не могли, а низы не хотели». Необходимо отметить, что руководство морской авиации не осознавало тех революционных изменений, которые произошли в самолетостроении во второй половине 30-х годов, но его поправила сама жизнь - в данном случае «саботаж» со стороны НКАП. От серийного производства ДБ-3ПТ отказались. Единственный построенный экземпляр ДБ-3ПТ остался в НИИ ВВС ВМФ и использовался для различных экспериментов.</w:t>
      </w:r>
    </w:p>
    <w:p w14:paraId="7D3A4A8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была выведена на аэродром машина И-21 Пашинина, которая проектировалась на заводе 21 с января 1940 (3420, 61-62).</w:t>
      </w:r>
    </w:p>
    <w:p w14:paraId="404A367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7A197F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на НИПАВ была продемонстри</w:t>
      </w:r>
      <w:r w:rsidRPr="00DB5D0D">
        <w:rPr>
          <w:rFonts w:ascii="Times New Roman" w:hAnsi="Times New Roman"/>
          <w:color w:val="000000" w:themeColor="text1"/>
          <w:sz w:val="16"/>
          <w:szCs w:val="16"/>
        </w:rPr>
        <w:softHyphen/>
        <w:t>рована систе</w:t>
      </w:r>
      <w:r w:rsidRPr="00DB5D0D">
        <w:rPr>
          <w:rFonts w:ascii="Times New Roman" w:hAnsi="Times New Roman"/>
          <w:color w:val="000000" w:themeColor="text1"/>
          <w:sz w:val="16"/>
          <w:szCs w:val="16"/>
        </w:rPr>
        <w:softHyphen/>
        <w:t>ма — «Огненный град». На подкрыльных бомбодержателях самолет ДБ-3 нес четыре контейнера ЗАРП-500ТШ. В каждом из них находились 3000 тер</w:t>
      </w:r>
      <w:r w:rsidRPr="00DB5D0D">
        <w:rPr>
          <w:rFonts w:ascii="Times New Roman" w:hAnsi="Times New Roman"/>
          <w:color w:val="000000" w:themeColor="text1"/>
          <w:sz w:val="16"/>
          <w:szCs w:val="16"/>
        </w:rPr>
        <w:softHyphen/>
        <w:t>митных шаров весом по 100 г, или 1000 шаров по 300 г, или 165 неоперенных зажигательных бомб из электрона (по 1 кг). Контейнеры сбрасывались с высоты около 2000 м и разрывались примерно на 350 м. Фактически это были кассет</w:t>
      </w:r>
      <w:r w:rsidRPr="00DB5D0D">
        <w:rPr>
          <w:rFonts w:ascii="Times New Roman" w:hAnsi="Times New Roman"/>
          <w:color w:val="000000" w:themeColor="text1"/>
          <w:sz w:val="16"/>
          <w:szCs w:val="16"/>
        </w:rPr>
        <w:softHyphen/>
        <w:t>ные зажигательные боеприпасы. Четы</w:t>
      </w:r>
      <w:r w:rsidRPr="00DB5D0D">
        <w:rPr>
          <w:rFonts w:ascii="Times New Roman" w:hAnsi="Times New Roman"/>
          <w:color w:val="000000" w:themeColor="text1"/>
          <w:sz w:val="16"/>
          <w:szCs w:val="16"/>
        </w:rPr>
        <w:softHyphen/>
        <w:t>ре контейнера накрывали площадь в 3600 кв.м. 300-граммовый шар мог про</w:t>
      </w:r>
      <w:r w:rsidRPr="00DB5D0D">
        <w:rPr>
          <w:rFonts w:ascii="Times New Roman" w:hAnsi="Times New Roman"/>
          <w:color w:val="000000" w:themeColor="text1"/>
          <w:sz w:val="16"/>
          <w:szCs w:val="16"/>
        </w:rPr>
        <w:softHyphen/>
        <w:t>жечь стальную броню толщиной 3,5 мм, а стало быть, ими можно было уничто</w:t>
      </w:r>
      <w:r w:rsidRPr="00DB5D0D">
        <w:rPr>
          <w:rFonts w:ascii="Times New Roman" w:hAnsi="Times New Roman"/>
          <w:color w:val="000000" w:themeColor="text1"/>
          <w:sz w:val="16"/>
          <w:szCs w:val="16"/>
        </w:rPr>
        <w:softHyphen/>
        <w:t>жать строения с металлической кры</w:t>
      </w:r>
      <w:r w:rsidRPr="00DB5D0D">
        <w:rPr>
          <w:rFonts w:ascii="Times New Roman" w:hAnsi="Times New Roman"/>
          <w:color w:val="000000" w:themeColor="text1"/>
          <w:sz w:val="16"/>
          <w:szCs w:val="16"/>
        </w:rPr>
        <w:softHyphen/>
        <w:t>шей, самолеты, автомобили. К началу 1941 г. изготовили партию из 100 кон</w:t>
      </w:r>
      <w:r w:rsidRPr="00DB5D0D">
        <w:rPr>
          <w:rFonts w:ascii="Times New Roman" w:hAnsi="Times New Roman"/>
          <w:color w:val="000000" w:themeColor="text1"/>
          <w:sz w:val="16"/>
          <w:szCs w:val="16"/>
        </w:rPr>
        <w:softHyphen/>
        <w:t>тейнеров ЗАРП-500ТШ (10734,19).</w:t>
      </w:r>
    </w:p>
    <w:p w14:paraId="3F4F6B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4DB9A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на гос. испытания в НИИ ВВС поступил ДБ-3Ф N 390204 с новыми стрелковыми установками: верхней МВ-3, нижней МВ-2 вместо верхней СУ и люковой ЛУ. Макс. скорость с убранной МВ-3 снизилась с 425 до 415 км/час, а при боевом положении - до 410 км/час. дальность на 4000 м на скорости 430 км/час упала с 3060 до 2950 км (2467,5).</w:t>
      </w:r>
    </w:p>
    <w:p w14:paraId="57BBCB3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703394" w14:textId="77777777" w:rsidR="00C65D4B" w:rsidRPr="00DB5D0D" w:rsidRDefault="00C65D4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одновременно с постройкой ДБ-3Ф, на заводе № 39 начинается подготовка к серийному производству пикирующих бомбардировщиков ПБ -100 (будущий Пе-2) конструкции В.М. Петлякова с выпуском к концу года 30-ти машин (Отчет о работе завода № 39 им. Менжинского за 1940 год по основной деятельности. Центральный архив ИАЗ, дело № 78, лист 30.) (15223).</w:t>
      </w:r>
    </w:p>
    <w:p w14:paraId="1D77A7DC" w14:textId="77777777" w:rsidR="00C65D4B" w:rsidRPr="00DB5D0D" w:rsidRDefault="00C65D4B" w:rsidP="00DB5D0D">
      <w:pPr>
        <w:shd w:val="clear" w:color="auto" w:fill="FFFFFF"/>
        <w:spacing w:after="0" w:line="240" w:lineRule="auto"/>
        <w:jc w:val="both"/>
        <w:rPr>
          <w:rFonts w:ascii="Times New Roman" w:hAnsi="Times New Roman"/>
          <w:color w:val="000000" w:themeColor="text1"/>
          <w:sz w:val="16"/>
          <w:szCs w:val="16"/>
        </w:rPr>
      </w:pPr>
    </w:p>
    <w:p w14:paraId="126F5667" w14:textId="77777777" w:rsidR="0017030F" w:rsidRPr="00DB5D0D" w:rsidRDefault="001703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на заводе № 39 начинается подготовка к серийному производству пикирующих бомбардировщиков ПБ -100 (будущий Пе-2) конструкции В.М. Петлякова с выпуском к концу года 30-ти машин (18293).</w:t>
      </w:r>
    </w:p>
    <w:p w14:paraId="545258BA" w14:textId="77777777" w:rsidR="0017030F" w:rsidRPr="00DB5D0D" w:rsidRDefault="0017030F" w:rsidP="00DB5D0D">
      <w:pPr>
        <w:spacing w:after="0" w:line="240" w:lineRule="auto"/>
        <w:jc w:val="both"/>
        <w:rPr>
          <w:rFonts w:ascii="Times New Roman" w:hAnsi="Times New Roman"/>
          <w:color w:val="000000" w:themeColor="text1"/>
          <w:sz w:val="16"/>
          <w:szCs w:val="16"/>
        </w:rPr>
      </w:pPr>
    </w:p>
    <w:p w14:paraId="7622B0F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В.М.М. начал строить ДВБ-102, к лету кончил статику, с августа был эвакуирован из мастерских ГВФ (4,192).</w:t>
      </w:r>
    </w:p>
    <w:p w14:paraId="2BEB9B9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8BCE1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было решение о запуске сотки в серию - постановление КО - на 39 и 22 в вариантах пикирующего и истребителя сопровождения (163,5).</w:t>
      </w:r>
    </w:p>
    <w:p w14:paraId="5135D96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E358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производство ББ-22 с 1 завода, где было серийное КБ во главе с Я.Н.Стронгиным, после производства 81 машины передали на завод 81 им. В.М.Молотова, где организовали КБ-70 (по числу сотрудников) во главе с Л.П.Курбалой. Завод 81 делал ранее Ди-6, а затем полтора года самолетов не делал и потерял квалифицированных рабочих. Объем заказа на 1940 был 300 машин. В принципе хотели запускать и на 381 заводе в Ленинграде. Завод 1 с машины N 1045 стал вместо турели Д-И-6 ставить турель скоростного самолета ТСС-1 с большими углами обстрела (1081,7).</w:t>
      </w:r>
    </w:p>
    <w:p w14:paraId="41BBBDC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A6C2A9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N 1045 имел ББ-22бис, изготовленный в июне 1940 на 1 заводе, когда 81 уже готовил серию и полномасштабные гос. испытания делать не стали, хотя, известно, что на нем впервые опробовали подвесные баки лодочного типа как на И-16 (1081,9).</w:t>
      </w:r>
    </w:p>
    <w:p w14:paraId="02AA147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E08C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закончились гос. испытания ББ-22бис с М-105 производства завода 1 (1081).</w:t>
      </w:r>
    </w:p>
    <w:p w14:paraId="2E81821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68BA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вышло решение Правительства о постройке трех экземпляров 103 (262,58).</w:t>
      </w:r>
    </w:p>
    <w:p w14:paraId="01D5C2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реорганизации прошло обновление основных нормативных актов, регламентирующих деятельность наркомата. В СНК СССР был направлен проект положения о НКАП. В нем закреплялся статус НКАП как центрального органа государственного управления, действующего под непосредственным руководством ЦК партии и СНК СССР, и руководящего в соответствии со статьями N 75 и 77 Конституции СССР авиационной промышленностью на всей территории СССР. Наркомат нес перед партией, государством и народом ответственность за научно-технический прогресс и технический уровень производства, качество выпускаемых изделий и наиболее полное удовлетворение потребностей страны во всех видах продукции отрасли. Наркомат организовывал свою работу на основе сочетания принципов коллегиальности и единоначалия, возглавлялся наркомом, который назначался Верховным Советом СССР, а в период между сессиями - Президиумом Верховного Совета СССР. Нарком одновременно являлся членом правительства СССР (302).</w:t>
      </w:r>
    </w:p>
    <w:p w14:paraId="00A39D4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и в исполнение законов СССР, указов Президиума Верховного Совета СССР, постановлений и распоряжений СНК СССР в соответствии со статьей N 72 Конституции СССР нарком авиационной промышленности в пределах своей компетенции издавал приказы, инструкции и другие нормативно-распорядительные документы, а также проверял их исполнение. Он нес персональную ответственность за выполнение возложенных на наркомат задач и обязанностей и устанавливал степень ответственности своих заместителей, начальников главков и руководителей других подразделений за деятельность подведомственных предприятий и организаций (302).</w:t>
      </w:r>
    </w:p>
    <w:p w14:paraId="1FD529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качестве совещательного органа при наркоме создавалась коллегия, обсуждавшая вопросы практического руководства предприятиями, подбора, использования и расстановки кадров, проекты важнейших приказов, инструкций, заслушивала отчеты главков. Коллегия в составе наркома (председатель), его заместителей, начальников ведущих главков и некоторых руководящих работников отрасли принимала решения по обсуждавшимся вопросам (302).</w:t>
      </w:r>
    </w:p>
    <w:p w14:paraId="4F977EE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объединял и руководил следующими подотраслями: самолето-, моторо-, приборо-, агрегатостроением и авиаметаллургией. Во главе каждой подотрасли стоял определенный главк (302).</w:t>
      </w:r>
    </w:p>
    <w:p w14:paraId="01ECE3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задачей НКАП было укрепление на основе директив ЦК ВКП(б) и правительства СССР технической мощи воздушного флота, а также дальнейшее совершенствование авиационной техники. В целях реализации этой задачи наркомат разрабатывал отраслевые производственные и финансовые планы, представлял их на утверждение в СНК СССР и руководил их исполнением; подготовлял мобилизационные планы заводов и проводил систематические проверки мобготовности предприятия; создавал новые типы самолетов, отвечавшие тактико-техническим требованиям наркоматов обороны и Военно-Морского Флота СССР, проводил их испытание и сдачу на вооружение Красной Армии; утверждал генеральные планы, проекты и сметы, реализовывал утвержденные правительством планы капитального строительства и руководил пуском и освоением введенных в строй объектов; руководил материально-техническим снабжением производства и строительства; проводил мероприятия, направленные на улучшение качества продукции; осуществлял внедрение в производство новейших научно-технических достижений, технических усовершенствований и изобретений, механизации и автоматизации; оказывал организационно-техническую помощь заводам и обеспечивал соблюдение технологической дисциплины и технических условий на выпускаемую продукцию; назначал технических и хозяйственных руководителей главных управлений, предприятий, трестов, проводил обучение и подготовку технических, хозяйственных и рабочих кадров через втузы, техникумы, курсы и ФЗУ; регулировал нормирование труда и заработной платы, осуществлял организованный набор рабочей силы, руководил развитием стахановского движения, организовывал обмен производственным опытом и содействовал его распространению на предприятиях отрасли; периодически собирал актив главков, заводов, на которых заслушивались доклады о важнейших решениях партии и правительства и руководящие указания наркома (624).</w:t>
      </w:r>
    </w:p>
    <w:p w14:paraId="77D93F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Проведенные в середине 1940 значительные перемены в организационной структуре наркомата способствовали ее стабилизации, количество реорганизаций в центральном аппарате резко сократилось (302).</w:t>
      </w:r>
    </w:p>
    <w:p w14:paraId="6463A18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3984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на представленном в НИИ ВВС на испытания самолете МиГ-1 с крыльями металлической конструкции были установ</w:t>
      </w:r>
      <w:r w:rsidRPr="00DB5D0D">
        <w:rPr>
          <w:rFonts w:ascii="Times New Roman" w:hAnsi="Times New Roman"/>
          <w:color w:val="000000" w:themeColor="text1"/>
          <w:sz w:val="16"/>
          <w:szCs w:val="16"/>
        </w:rPr>
        <w:softHyphen/>
        <w:t>лены восемь РО-82. Отстрел РО-82 на земле и в воздухе показал, что их применение на данном самолете возможно. В отчете по испытаниям МиГ-1 требовалось провести специальные испытания РО-82, смонтиро</w:t>
      </w:r>
      <w:r w:rsidRPr="00DB5D0D">
        <w:rPr>
          <w:rFonts w:ascii="Times New Roman" w:hAnsi="Times New Roman"/>
          <w:color w:val="000000" w:themeColor="text1"/>
          <w:sz w:val="16"/>
          <w:szCs w:val="16"/>
        </w:rPr>
        <w:softHyphen/>
        <w:t>ванных на крыльях деревянной конструкции, которые предполагались на серийных самолетах.</w:t>
      </w:r>
    </w:p>
    <w:p w14:paraId="02973A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постановлению Комитета Обороны №374сс от 7 сентября 1940 г., на 10% самолетов МиГ-1 должны быть установлены по восемь РО-82. На всех выпущенных серийных самолетах МиГ-1 и —3 поставлены кры</w:t>
      </w:r>
      <w:r w:rsidRPr="00DB5D0D">
        <w:rPr>
          <w:rFonts w:ascii="Times New Roman" w:hAnsi="Times New Roman"/>
          <w:color w:val="000000" w:themeColor="text1"/>
          <w:sz w:val="16"/>
          <w:szCs w:val="16"/>
        </w:rPr>
        <w:softHyphen/>
        <w:t>лья деревянной конструкции без установок для РО. Их не устанавливают на основании приказа НКАП №133 от 14 февраля 1941 г. (11402)</w:t>
      </w:r>
    </w:p>
    <w:p w14:paraId="7EA3778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2C75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ИС-1 В.В.Шевченко и В.В.Никитина взлетел и в июле Г.М.Шиянов впервые убрал крыло (206,30).</w:t>
      </w:r>
    </w:p>
    <w:p w14:paraId="2497D35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F9410A3"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Сафонов писал Ворошилову К.Е.</w:t>
      </w:r>
    </w:p>
    <w:p w14:paraId="1E4F4177"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 самолета –28 Яценко докладывает, то возглавляемый им конструкторский коллектив, создавший в прошлом году самолет И-28 (снят с производства постановлением КО от 29 мая 1940 года за № 235) работает в настоящее время над модификацией самолета И-28 с мотором М-90.</w:t>
      </w:r>
    </w:p>
    <w:p w14:paraId="618F3CA2"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Необходимых условий для развертывания работы по модификации И-28 коллектив не имеет, нет помещений, нет производственной базы.</w:t>
      </w:r>
    </w:p>
    <w:p w14:paraId="4F15FADA"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Яценко просит помочь создать на базе цеха ширпотреба завода № 81 НКАП (площадь 1600 кв. м) производственную базу для возглавляемого им конструкторского коллектива.</w:t>
      </w:r>
    </w:p>
    <w:p w14:paraId="19455B88"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w:t>
      </w:r>
    </w:p>
    <w:p w14:paraId="14D53E2F"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И-28 конструктора Яценко ставился на производство на заводе № 292 (б. Саркомбайн). Постановлением КО от 29 мая 1940 года самолет И-28 с производства снят в связи с постановкой на этом заводе производства самолетов И-26 конструктора Яковлева.</w:t>
      </w:r>
    </w:p>
    <w:p w14:paraId="53BF5961"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от 4 марта 1940 года КО обязал Яценко и директора завода № 292 Малахова поставить на самолет И-28 мотор М-90 и к 1 декабря 1940 года сдать первый экземпляр модифицированного самолета И-28 на гос. испытания со следующими летно-техническими данными:</w:t>
      </w:r>
    </w:p>
    <w:p w14:paraId="6ED4C2F0"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650 км/час на высоте 7000 м</w:t>
      </w:r>
    </w:p>
    <w:p w14:paraId="7347762F"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 600 км (с перегрузкой 900 км).</w:t>
      </w:r>
    </w:p>
    <w:p w14:paraId="178DD2CD"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4 пулемета ( в том числе 2 крупнокалиберных).</w:t>
      </w:r>
    </w:p>
    <w:p w14:paraId="36DCC157" w14:textId="77777777" w:rsidR="00A25AD1" w:rsidRPr="00DB5D0D" w:rsidRDefault="00A25AD1"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снятием самолетов И-28 с производства на заводе № 292 вопрос о производственной базе для конструкторского коллектива Яценко и продолжением работ по модификации И-28 остается не ясным.</w:t>
      </w:r>
    </w:p>
    <w:p w14:paraId="4DF1E94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считает целесообразным обязать НКАП и НКО в 5-ти дневный срок внести в КО согласованные предложения по вопросу о дальнейшей работе конструкторского бюро Яценко.</w:t>
      </w:r>
    </w:p>
    <w:p w14:paraId="548FAF0C"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подписать проект распоряжения (3420, 85).</w:t>
      </w:r>
    </w:p>
    <w:p w14:paraId="273B402B" w14:textId="77777777" w:rsidR="00A25AD1" w:rsidRPr="00DB5D0D" w:rsidRDefault="00A25AD1" w:rsidP="00DB5D0D">
      <w:pPr>
        <w:tabs>
          <w:tab w:val="left" w:pos="2410"/>
        </w:tabs>
        <w:spacing w:after="0" w:line="240" w:lineRule="auto"/>
        <w:jc w:val="both"/>
        <w:rPr>
          <w:rFonts w:ascii="Times New Roman" w:hAnsi="Times New Roman"/>
          <w:color w:val="000000" w:themeColor="text1"/>
          <w:sz w:val="16"/>
          <w:szCs w:val="16"/>
        </w:rPr>
      </w:pPr>
    </w:p>
    <w:p w14:paraId="27197F2C"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1940-го все работы по И-28 прекратили. К этому времени уже полным ходом выпускали истребители ЛаГГ-3, МиГ-3 и Як-1. И-28 в значительной мере утратил свое предназначение. Но опыт его внедрения пошел на пользу: вскоре освоение Як-1 на том же заводе "Саркомбайн" шло гораздо быстрее...(15549).</w:t>
      </w:r>
    </w:p>
    <w:p w14:paraId="183094C0" w14:textId="77777777" w:rsidR="00C65D4B" w:rsidRPr="00DB5D0D" w:rsidRDefault="00C65D4B" w:rsidP="00DB5D0D">
      <w:pPr>
        <w:spacing w:after="0" w:line="240" w:lineRule="auto"/>
        <w:jc w:val="both"/>
        <w:rPr>
          <w:rFonts w:ascii="Times New Roman" w:hAnsi="Times New Roman"/>
          <w:color w:val="000000" w:themeColor="text1"/>
          <w:sz w:val="16"/>
          <w:szCs w:val="16"/>
        </w:rPr>
      </w:pPr>
    </w:p>
    <w:p w14:paraId="1AC754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на аэродром был выведен И-21 Пашинина, проектирование которого началось в январе 1940 (3362,60-62).</w:t>
      </w:r>
    </w:p>
    <w:p w14:paraId="6BFFC3A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E01AB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завершилась постройка опытною экземпляра ИП-21. Его первый вылет с заводского аэродрома авиазавода №21 продолжительностью 18 минут состоялся 11 июля 1940 г. Пилотировал летчнк-нспыта- тель П.В.Фокин. До августа, в процессе заводских испытаний удалось выполнить 33 полета с общим налетом 16 часов. Начиная с 3 августа, несколько полетов Фокин выполнил на выполнение фигур высшею пилотажа. По его отзыву И11-21 хорошо слушался рулей, на пикировании был устойчив, по сравнению с И-16 обладал более простыми взлетом и посадкой. ИГ1-21 значился как тип 30 завода №21. при подготовке к его производству предполагали использовать оснастку от И-16 (12015).</w:t>
      </w:r>
    </w:p>
    <w:p w14:paraId="311DDCA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1A74D4F"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завершилась постройка первого опытного экземпляра ИП-21. Отмечалось, что изготовленный самолет в основном соответствует первоначальному проекту, центровка его составляет 28% САХ (15561).</w:t>
      </w:r>
    </w:p>
    <w:p w14:paraId="6A4DAA96" w14:textId="77777777" w:rsidR="00C65D4B" w:rsidRPr="00DB5D0D" w:rsidRDefault="00C65D4B" w:rsidP="00DB5D0D">
      <w:pPr>
        <w:spacing w:after="0" w:line="240" w:lineRule="auto"/>
        <w:jc w:val="both"/>
        <w:rPr>
          <w:rFonts w:ascii="Times New Roman" w:hAnsi="Times New Roman"/>
          <w:color w:val="000000" w:themeColor="text1"/>
          <w:sz w:val="16"/>
          <w:szCs w:val="16"/>
        </w:rPr>
      </w:pPr>
    </w:p>
    <w:p w14:paraId="409622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июне 1940 г проходил гос. испытания в НИИ ВВС опытный истребитель И-301, разработанный конструкторами В.П.Горбуновым, С.А.Лавочкиным и М.И.Гудковым (в дальнейшем получил наименование - ЛаГГ-1, ЛаГГ-3). По ряду причин он испытания не прошел и был возвращен заводу №301 на доиспытание и устранение недостатков (3573).</w:t>
      </w:r>
    </w:p>
    <w:p w14:paraId="5AC956B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0FBE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чертежи Як-1 были переданы с завода 301 на завод 292 (65,45).</w:t>
      </w:r>
    </w:p>
    <w:p w14:paraId="6BFE058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B26EA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вышел отчет НИИ ВВС по гос. испытаниям Як-1 (1684,168).</w:t>
      </w:r>
    </w:p>
    <w:p w14:paraId="6F0018D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C56A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июня 1940 - начало гос. испытаний И-26 и до окончания - запустили и в 1940 сделали 64 (173,13).</w:t>
      </w:r>
    </w:p>
    <w:p w14:paraId="3D901F7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D14635C" w14:textId="77777777" w:rsidR="0017030F" w:rsidRPr="00DB5D0D" w:rsidRDefault="001703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было принято решение о запуске в серийное производство истребителя И-26. Это был первый истребитель, созданный в ОКБ А. С. Яковлева. Заводские испытания опытного самолета начались в январе 1940 г. В апреле была достигнута скорость 602 км/ч, самая высокая в СССР в то время. Истребитель сочли перспективным (война это доказала) и несмотря на катастрофу первого экземпляра самолет запустили в серийное производство еще до завершения испытаний. Почти одновременно к испытаниям приступил истребитель И-301, разработанный под руководством С. А. Лавочкина, В. П. Горбунова и М. И. Гудкова. Его особенностью было широкое применение дерева и дельта-древесины, что в условиях дефицита дюралюминия стало весомым достоинством. Первый полет состоялся в марте 1940 г. Руководство ВВС просило НКАП особо обратить внимание на этот самолет и уже в 1940 г. планировало провести войсковые испытания (25—30 истребителей). В октябре 1940 г. на испытания передали второй, существенно доработанный по новым требованиям самолет, который и запустили в серийное производство (19727).</w:t>
      </w:r>
    </w:p>
    <w:p w14:paraId="7234AAAB" w14:textId="77777777" w:rsidR="0017030F" w:rsidRPr="00DB5D0D" w:rsidRDefault="0017030F" w:rsidP="00DB5D0D">
      <w:pPr>
        <w:spacing w:after="0" w:line="240" w:lineRule="auto"/>
        <w:jc w:val="both"/>
        <w:rPr>
          <w:rFonts w:ascii="Times New Roman" w:hAnsi="Times New Roman"/>
          <w:color w:val="000000" w:themeColor="text1"/>
          <w:sz w:val="16"/>
          <w:szCs w:val="16"/>
        </w:rPr>
      </w:pPr>
    </w:p>
    <w:p w14:paraId="698451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Глав. воен. совет принял на вооружение новые самолеты, 27 августа - утвердил КО СНК (66,221).</w:t>
      </w:r>
    </w:p>
    <w:p w14:paraId="143EB89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3D13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закончились гос. испытания машины В.Ф.Болховитинова, которые начались в марте 1940. Не приняли (173,48).</w:t>
      </w:r>
    </w:p>
    <w:p w14:paraId="5315DC1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8A985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коллектив ОКБ В.Ф.Б. вновь писал письмо А.И.Ш., в котором на примере задержек с самолетом С снова поднял вопрос о постройке собственной производственной базы для ОКБ. Несмотря на то, что после январского письма ОКБ вышло постановление и приказ НКАП о создании базы при заводе 84, но до лета - не помогло. Хотели завод Фотолет на территории 84 завода и в постановлении N 217сс от 29 июля 1939 это прямо было (1192,16).</w:t>
      </w:r>
    </w:p>
    <w:p w14:paraId="6A7CC1F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2AB2F8"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вскоре после окончания первого этапа заводских испытаний, на сов</w:t>
      </w:r>
      <w:r w:rsidRPr="00DB5D0D">
        <w:rPr>
          <w:rFonts w:ascii="Times New Roman" w:hAnsi="Times New Roman"/>
          <w:color w:val="000000" w:themeColor="text1"/>
          <w:sz w:val="16"/>
          <w:szCs w:val="16"/>
        </w:rPr>
        <w:softHyphen/>
        <w:t>местном совещании руководства НКАП и ВВС приняли решение считать целесообраз</w:t>
      </w:r>
      <w:r w:rsidRPr="00DB5D0D">
        <w:rPr>
          <w:rFonts w:ascii="Times New Roman" w:hAnsi="Times New Roman"/>
          <w:color w:val="000000" w:themeColor="text1"/>
          <w:sz w:val="16"/>
          <w:szCs w:val="16"/>
        </w:rPr>
        <w:softHyphen/>
        <w:t>ным для серийного производства бронированного истребителя ОКО-6 2М-88 выделить завод № 43. К концу 1940 г. намечалось построить 10 экземпляров с измененным (двух- килевым) оперением и безредукторными моторами М-88. К 1 августа 1940 г Таирову предлагалось выпустить на заводские испытания модернизированный ОКО-6 с редукторными моторами М-88Р (15828).</w:t>
      </w:r>
    </w:p>
    <w:p w14:paraId="3420A671" w14:textId="77777777" w:rsidR="00C65D4B" w:rsidRPr="00DB5D0D" w:rsidRDefault="00C65D4B" w:rsidP="00DB5D0D">
      <w:pPr>
        <w:spacing w:after="0" w:line="240" w:lineRule="auto"/>
        <w:jc w:val="both"/>
        <w:rPr>
          <w:rFonts w:ascii="Times New Roman" w:hAnsi="Times New Roman"/>
          <w:color w:val="000000" w:themeColor="text1"/>
          <w:sz w:val="16"/>
          <w:szCs w:val="16"/>
        </w:rPr>
      </w:pPr>
    </w:p>
    <w:p w14:paraId="639E08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вскоре после окончания первого этапа заводских испытаний, на совместном совещании руководства НКАП и УВВС КА было принято решение: «...Считать целесообразным для постановки в серийное производство бронированного истребителя ОКО-б 2Н-88 определить завод № 43. Всю необходимую подготовку для производства закончить в 1940 г.</w:t>
      </w:r>
    </w:p>
    <w:p w14:paraId="40B633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концу года построить 10 экземпляров самолета с измененным двухкилевым вертикальным оперением и безредукторными моторами М-88 различного направления вращения.</w:t>
      </w:r>
    </w:p>
    <w:p w14:paraId="28E104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Предложить Таирову к 1 августа 1940 г. выпустить на заводские испытания модернизированный ОКО-б с редукторными моторами М-88Р одинакового вращения...» (9649).</w:t>
      </w:r>
    </w:p>
    <w:p w14:paraId="5B8956E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D85C9F" w14:textId="77777777" w:rsidR="00A25AD1" w:rsidRPr="00DB5D0D" w:rsidRDefault="00A25AD1" w:rsidP="00DB5D0D">
      <w:pPr>
        <w:pStyle w:val="80"/>
        <w:shd w:val="clear" w:color="auto" w:fill="auto"/>
        <w:spacing w:line="240" w:lineRule="auto"/>
        <w:jc w:val="both"/>
        <w:rPr>
          <w:rFonts w:ascii="Times New Roman" w:hAnsi="Times New Roman" w:cs="Times New Roman"/>
          <w:color w:val="000000" w:themeColor="text1"/>
        </w:rPr>
      </w:pPr>
      <w:r w:rsidRPr="00DB5D0D">
        <w:rPr>
          <w:rStyle w:val="8"/>
          <w:rFonts w:ascii="Times New Roman" w:hAnsi="Times New Roman" w:cs="Times New Roman"/>
          <w:i w:val="0"/>
          <w:color w:val="000000" w:themeColor="text1"/>
        </w:rPr>
        <w:t>В июне 1940 г. вскоре после официаль</w:t>
      </w:r>
      <w:r w:rsidRPr="00DB5D0D">
        <w:rPr>
          <w:rStyle w:val="8"/>
          <w:rFonts w:ascii="Times New Roman" w:hAnsi="Times New Roman" w:cs="Times New Roman"/>
          <w:i w:val="0"/>
          <w:color w:val="000000" w:themeColor="text1"/>
        </w:rPr>
        <w:softHyphen/>
        <w:t>ного завершения первого этапа заводских испытаний ОКО-6 на совместном совеща</w:t>
      </w:r>
      <w:r w:rsidRPr="00DB5D0D">
        <w:rPr>
          <w:rStyle w:val="8"/>
          <w:rFonts w:ascii="Times New Roman" w:hAnsi="Times New Roman" w:cs="Times New Roman"/>
          <w:i w:val="0"/>
          <w:color w:val="000000" w:themeColor="text1"/>
        </w:rPr>
        <w:softHyphen/>
        <w:t>нии руководства НКАП и ВВС было принято решение:</w:t>
      </w:r>
      <w:r w:rsidRPr="00DB5D0D">
        <w:rPr>
          <w:rFonts w:ascii="Times New Roman" w:hAnsi="Times New Roman" w:cs="Times New Roman"/>
          <w:color w:val="000000" w:themeColor="text1"/>
        </w:rPr>
        <w:t xml:space="preserve"> «Считать целесообразным для постановки в серийное производство бронированного истребителя ОКО-6 2М-88 определить завод №43. Всю необходимую подготовку для производства закончить в 1940г. К концу года построить Юэкземпля- ров самолета с измененным двухкилевым вертикальным оперением и безредуктор- ными моторами М-88 различного направ</w:t>
      </w:r>
      <w:r w:rsidRPr="00DB5D0D">
        <w:rPr>
          <w:rFonts w:ascii="Times New Roman" w:hAnsi="Times New Roman" w:cs="Times New Roman"/>
          <w:color w:val="000000" w:themeColor="text1"/>
        </w:rPr>
        <w:softHyphen/>
        <w:t>ления вращения. Предложить Таирову не позднее 1 сентября 1940 г. выпустить на заводские испытания модернизированный ОКО-6 с редукторными моторами М-88р одинакового вращения».</w:t>
      </w:r>
    </w:p>
    <w:p w14:paraId="0D6625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Последнее требование объяснялось тем обстоятельством, что при исполь</w:t>
      </w:r>
      <w:r w:rsidRPr="00DB5D0D">
        <w:rPr>
          <w:rFonts w:ascii="Times New Roman" w:hAnsi="Times New Roman"/>
          <w:color w:val="000000" w:themeColor="text1"/>
          <w:sz w:val="16"/>
          <w:szCs w:val="16"/>
        </w:rPr>
        <w:softHyphen/>
        <w:t>зовании безредукторных моторов М-88 эффективность винтов (КПД винтов) была невысокой из-за слишком большой скоро</w:t>
      </w:r>
      <w:r w:rsidRPr="00DB5D0D">
        <w:rPr>
          <w:rFonts w:ascii="Times New Roman" w:hAnsi="Times New Roman"/>
          <w:color w:val="000000" w:themeColor="text1"/>
          <w:sz w:val="16"/>
          <w:szCs w:val="16"/>
        </w:rPr>
        <w:softHyphen/>
        <w:t>сти их вращения (12614).</w:t>
      </w:r>
    </w:p>
    <w:p w14:paraId="22ABA6B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270B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завод № 135 построил еще один самолет Сухого – И-135, или Су-1. Его скорость у земли составляла 500 км/ч, на высоте 10000 м – 640 км/ч. Однако время было упущено, в производство пошел высотный истребитель МиГ-1 со сходными характеристиками. Тогда же, в 1940 году, П. О. Сухой и его коллектив были переведены в Москву по довольно прозаической причине: бытовая неустроенность в Харькове и жизнь в отрыве от семей едва не привели к распаду коллектива москвичей (10674).</w:t>
      </w:r>
    </w:p>
    <w:p w14:paraId="2B024AD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FDBA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контролер Вахрушев подготовил:</w:t>
      </w:r>
    </w:p>
    <w:p w14:paraId="4DDF002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ходе строительства и испытания опытных истребителей.</w:t>
      </w:r>
    </w:p>
    <w:p w14:paraId="7F1640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заводских испытаний опытных истребителей выявил основные летные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1260"/>
        <w:gridCol w:w="1710"/>
        <w:gridCol w:w="825"/>
        <w:gridCol w:w="1071"/>
        <w:gridCol w:w="741"/>
        <w:gridCol w:w="5195"/>
      </w:tblGrid>
      <w:tr w:rsidR="007D5DF8" w:rsidRPr="00DB5D0D" w14:paraId="678DE987" w14:textId="77777777" w:rsidTr="009223E5">
        <w:tc>
          <w:tcPr>
            <w:tcW w:w="468" w:type="dxa"/>
            <w:tcBorders>
              <w:top w:val="single" w:sz="12" w:space="0" w:color="auto"/>
            </w:tcBorders>
          </w:tcPr>
          <w:p w14:paraId="13A4D33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1260" w:type="dxa"/>
            <w:tcBorders>
              <w:top w:val="single" w:sz="12" w:space="0" w:color="auto"/>
            </w:tcBorders>
          </w:tcPr>
          <w:p w14:paraId="35470B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Марка самолета и мотора</w:t>
            </w:r>
          </w:p>
        </w:tc>
        <w:tc>
          <w:tcPr>
            <w:tcW w:w="1710" w:type="dxa"/>
            <w:tcBorders>
              <w:top w:val="single" w:sz="12" w:space="0" w:color="auto"/>
            </w:tcBorders>
          </w:tcPr>
          <w:p w14:paraId="018905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ГК и завод</w:t>
            </w:r>
          </w:p>
        </w:tc>
        <w:tc>
          <w:tcPr>
            <w:tcW w:w="2637" w:type="dxa"/>
            <w:gridSpan w:val="3"/>
            <w:tcBorders>
              <w:top w:val="single" w:sz="12" w:space="0" w:color="auto"/>
            </w:tcBorders>
          </w:tcPr>
          <w:p w14:paraId="00B157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летные данные</w:t>
            </w:r>
          </w:p>
        </w:tc>
        <w:tc>
          <w:tcPr>
            <w:tcW w:w="5194" w:type="dxa"/>
            <w:tcBorders>
              <w:top w:val="single" w:sz="12" w:space="0" w:color="auto"/>
            </w:tcBorders>
          </w:tcPr>
          <w:p w14:paraId="2E7F5F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Фактическое состояние</w:t>
            </w:r>
          </w:p>
        </w:tc>
      </w:tr>
      <w:tr w:rsidR="007D5DF8" w:rsidRPr="00DB5D0D" w14:paraId="7EC42D18" w14:textId="77777777" w:rsidTr="009223E5">
        <w:tc>
          <w:tcPr>
            <w:tcW w:w="468" w:type="dxa"/>
          </w:tcPr>
          <w:p w14:paraId="4A44C6BB"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260" w:type="dxa"/>
          </w:tcPr>
          <w:p w14:paraId="4B88DEA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710" w:type="dxa"/>
          </w:tcPr>
          <w:p w14:paraId="5CD1B98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825" w:type="dxa"/>
          </w:tcPr>
          <w:p w14:paraId="74C65C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у земли (км/час)</w:t>
            </w:r>
          </w:p>
        </w:tc>
        <w:tc>
          <w:tcPr>
            <w:tcW w:w="1071" w:type="dxa"/>
          </w:tcPr>
          <w:p w14:paraId="78E06E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высоте (км/час)</w:t>
            </w:r>
          </w:p>
        </w:tc>
        <w:tc>
          <w:tcPr>
            <w:tcW w:w="741" w:type="dxa"/>
          </w:tcPr>
          <w:p w14:paraId="54EC41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w:t>
            </w:r>
          </w:p>
        </w:tc>
        <w:tc>
          <w:tcPr>
            <w:tcW w:w="5195" w:type="dxa"/>
          </w:tcPr>
          <w:p w14:paraId="06978B3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16FEF9EA" w14:textId="77777777" w:rsidTr="009223E5">
        <w:tc>
          <w:tcPr>
            <w:tcW w:w="468" w:type="dxa"/>
          </w:tcPr>
          <w:p w14:paraId="4702DE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260" w:type="dxa"/>
          </w:tcPr>
          <w:p w14:paraId="541C5E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АМ-35А</w:t>
            </w:r>
          </w:p>
        </w:tc>
        <w:tc>
          <w:tcPr>
            <w:tcW w:w="1710" w:type="dxa"/>
          </w:tcPr>
          <w:p w14:paraId="5F530F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Микоян, Гуречич, з-да № 1</w:t>
            </w:r>
          </w:p>
        </w:tc>
        <w:tc>
          <w:tcPr>
            <w:tcW w:w="825" w:type="dxa"/>
          </w:tcPr>
          <w:p w14:paraId="10854A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071" w:type="dxa"/>
          </w:tcPr>
          <w:p w14:paraId="648358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643/7150</w:t>
            </w:r>
          </w:p>
        </w:tc>
        <w:tc>
          <w:tcPr>
            <w:tcW w:w="741" w:type="dxa"/>
          </w:tcPr>
          <w:p w14:paraId="1DEC20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95" w:type="dxa"/>
          </w:tcPr>
          <w:p w14:paraId="069B83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закончены, доводится вооружение. Подготавливается к госиспытаниям (проектные скорости - достигнуты)</w:t>
            </w:r>
          </w:p>
        </w:tc>
      </w:tr>
      <w:tr w:rsidR="007D5DF8" w:rsidRPr="00DB5D0D" w14:paraId="415C8354" w14:textId="77777777" w:rsidTr="009223E5">
        <w:tc>
          <w:tcPr>
            <w:tcW w:w="468" w:type="dxa"/>
          </w:tcPr>
          <w:p w14:paraId="4EC653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260" w:type="dxa"/>
          </w:tcPr>
          <w:p w14:paraId="2977CF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М-105П</w:t>
            </w:r>
          </w:p>
        </w:tc>
        <w:tc>
          <w:tcPr>
            <w:tcW w:w="1710" w:type="dxa"/>
          </w:tcPr>
          <w:p w14:paraId="7450EF8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Яковлев, з-д № 115</w:t>
            </w:r>
          </w:p>
        </w:tc>
        <w:tc>
          <w:tcPr>
            <w:tcW w:w="825" w:type="dxa"/>
          </w:tcPr>
          <w:p w14:paraId="600150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485</w:t>
            </w:r>
          </w:p>
        </w:tc>
        <w:tc>
          <w:tcPr>
            <w:tcW w:w="1071" w:type="dxa"/>
          </w:tcPr>
          <w:p w14:paraId="2D8C5F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595/5000</w:t>
            </w:r>
          </w:p>
        </w:tc>
        <w:tc>
          <w:tcPr>
            <w:tcW w:w="741" w:type="dxa"/>
          </w:tcPr>
          <w:p w14:paraId="7D3147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5195" w:type="dxa"/>
          </w:tcPr>
          <w:p w14:paraId="668CC4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закончены, доводится вооружение. Подготавливается к госиспытаниям. Получена заниженная скорость (против задания на 25-30 км/час)</w:t>
            </w:r>
          </w:p>
        </w:tc>
      </w:tr>
      <w:tr w:rsidR="007D5DF8" w:rsidRPr="00DB5D0D" w14:paraId="597DC511" w14:textId="77777777" w:rsidTr="009223E5">
        <w:tc>
          <w:tcPr>
            <w:tcW w:w="468" w:type="dxa"/>
          </w:tcPr>
          <w:p w14:paraId="1526F2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260" w:type="dxa"/>
          </w:tcPr>
          <w:p w14:paraId="124143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М-88Р</w:t>
            </w:r>
          </w:p>
        </w:tc>
        <w:tc>
          <w:tcPr>
            <w:tcW w:w="1710" w:type="dxa"/>
          </w:tcPr>
          <w:p w14:paraId="6CB596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Поликарпов, з-д № 1</w:t>
            </w:r>
          </w:p>
        </w:tc>
        <w:tc>
          <w:tcPr>
            <w:tcW w:w="825" w:type="dxa"/>
          </w:tcPr>
          <w:p w14:paraId="0D4EF1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w:t>
            </w:r>
          </w:p>
        </w:tc>
        <w:tc>
          <w:tcPr>
            <w:tcW w:w="1071" w:type="dxa"/>
          </w:tcPr>
          <w:p w14:paraId="288141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575/6900</w:t>
            </w:r>
          </w:p>
        </w:tc>
        <w:tc>
          <w:tcPr>
            <w:tcW w:w="741" w:type="dxa"/>
          </w:tcPr>
          <w:p w14:paraId="01B41E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w:t>
            </w:r>
          </w:p>
        </w:tc>
        <w:tc>
          <w:tcPr>
            <w:tcW w:w="5195" w:type="dxa"/>
          </w:tcPr>
          <w:p w14:paraId="76092F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закончены, доводится вооружение. Подготавливается к госиспытаниям (проектные скорости - достигнуты)</w:t>
            </w:r>
          </w:p>
        </w:tc>
      </w:tr>
      <w:tr w:rsidR="007D5DF8" w:rsidRPr="00DB5D0D" w14:paraId="216399E7" w14:textId="77777777" w:rsidTr="009223E5">
        <w:tc>
          <w:tcPr>
            <w:tcW w:w="468" w:type="dxa"/>
          </w:tcPr>
          <w:p w14:paraId="48FE0C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260" w:type="dxa"/>
          </w:tcPr>
          <w:p w14:paraId="552A81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w:t>
            </w:r>
          </w:p>
        </w:tc>
        <w:tc>
          <w:tcPr>
            <w:tcW w:w="1710" w:type="dxa"/>
          </w:tcPr>
          <w:p w14:paraId="5AB2EBF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Горбунов, Лавочкин, Гудков</w:t>
            </w:r>
          </w:p>
        </w:tc>
        <w:tc>
          <w:tcPr>
            <w:tcW w:w="825" w:type="dxa"/>
          </w:tcPr>
          <w:p w14:paraId="1D1328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w:t>
            </w:r>
          </w:p>
        </w:tc>
        <w:tc>
          <w:tcPr>
            <w:tcW w:w="1071" w:type="dxa"/>
          </w:tcPr>
          <w:p w14:paraId="02FC81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585/4300</w:t>
            </w:r>
          </w:p>
        </w:tc>
        <w:tc>
          <w:tcPr>
            <w:tcW w:w="741" w:type="dxa"/>
          </w:tcPr>
          <w:p w14:paraId="2C0ACD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w:t>
            </w:r>
          </w:p>
        </w:tc>
        <w:tc>
          <w:tcPr>
            <w:tcW w:w="5195" w:type="dxa"/>
          </w:tcPr>
          <w:p w14:paraId="356C93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закончены, доводится вооружение. Подготавливается к госиспытаниям. Получена заниженная скорость (против задания на 60-70 км/час)</w:t>
            </w:r>
          </w:p>
        </w:tc>
      </w:tr>
      <w:tr w:rsidR="007D5DF8" w:rsidRPr="00DB5D0D" w14:paraId="1FE20F4F" w14:textId="77777777" w:rsidTr="009223E5">
        <w:tc>
          <w:tcPr>
            <w:tcW w:w="468" w:type="dxa"/>
          </w:tcPr>
          <w:p w14:paraId="0513E4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260" w:type="dxa"/>
          </w:tcPr>
          <w:p w14:paraId="673E251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 М-88</w:t>
            </w:r>
          </w:p>
        </w:tc>
        <w:tc>
          <w:tcPr>
            <w:tcW w:w="1710" w:type="dxa"/>
          </w:tcPr>
          <w:p w14:paraId="562153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Поликарпов, з-д № 1</w:t>
            </w:r>
          </w:p>
        </w:tc>
        <w:tc>
          <w:tcPr>
            <w:tcW w:w="825" w:type="dxa"/>
          </w:tcPr>
          <w:p w14:paraId="578C0F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w:t>
            </w:r>
          </w:p>
        </w:tc>
        <w:tc>
          <w:tcPr>
            <w:tcW w:w="1071" w:type="dxa"/>
          </w:tcPr>
          <w:p w14:paraId="33345F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450,7050</w:t>
            </w:r>
          </w:p>
        </w:tc>
        <w:tc>
          <w:tcPr>
            <w:tcW w:w="741" w:type="dxa"/>
          </w:tcPr>
          <w:p w14:paraId="7B3CEF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w:t>
            </w:r>
          </w:p>
        </w:tc>
        <w:tc>
          <w:tcPr>
            <w:tcW w:w="5195" w:type="dxa"/>
          </w:tcPr>
          <w:p w14:paraId="6BBBD4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закончены. Самолет показал неудовлетворительные результаты</w:t>
            </w:r>
          </w:p>
        </w:tc>
      </w:tr>
      <w:tr w:rsidR="007D5DF8" w:rsidRPr="00DB5D0D" w14:paraId="56FACDB7" w14:textId="77777777" w:rsidTr="009223E5">
        <w:tc>
          <w:tcPr>
            <w:tcW w:w="468" w:type="dxa"/>
            <w:tcBorders>
              <w:bottom w:val="single" w:sz="12" w:space="0" w:color="auto"/>
            </w:tcBorders>
          </w:tcPr>
          <w:p w14:paraId="3E7208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260" w:type="dxa"/>
            <w:tcBorders>
              <w:bottom w:val="single" w:sz="12" w:space="0" w:color="auto"/>
            </w:tcBorders>
          </w:tcPr>
          <w:p w14:paraId="37B3E5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 2М-88</w:t>
            </w:r>
          </w:p>
        </w:tc>
        <w:tc>
          <w:tcPr>
            <w:tcW w:w="1710" w:type="dxa"/>
            <w:tcBorders>
              <w:bottom w:val="single" w:sz="12" w:space="0" w:color="auto"/>
            </w:tcBorders>
          </w:tcPr>
          <w:p w14:paraId="0B86C6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Таиров</w:t>
            </w:r>
          </w:p>
        </w:tc>
        <w:tc>
          <w:tcPr>
            <w:tcW w:w="825" w:type="dxa"/>
            <w:tcBorders>
              <w:bottom w:val="single" w:sz="12" w:space="0" w:color="auto"/>
            </w:tcBorders>
          </w:tcPr>
          <w:p w14:paraId="4C67B3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448</w:t>
            </w:r>
          </w:p>
        </w:tc>
        <w:tc>
          <w:tcPr>
            <w:tcW w:w="1071" w:type="dxa"/>
            <w:tcBorders>
              <w:bottom w:val="single" w:sz="12" w:space="0" w:color="auto"/>
            </w:tcBorders>
          </w:tcPr>
          <w:p w14:paraId="415D9E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567/7550</w:t>
            </w:r>
          </w:p>
        </w:tc>
        <w:tc>
          <w:tcPr>
            <w:tcW w:w="741" w:type="dxa"/>
            <w:tcBorders>
              <w:bottom w:val="single" w:sz="12" w:space="0" w:color="auto"/>
            </w:tcBorders>
          </w:tcPr>
          <w:p w14:paraId="3F8511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95" w:type="dxa"/>
            <w:tcBorders>
              <w:bottom w:val="single" w:sz="12" w:space="0" w:color="auto"/>
            </w:tcBorders>
          </w:tcPr>
          <w:p w14:paraId="6F0968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закончены. Подготавливается к госиспытаниям. Получена заниженная скорость (против задания)</w:t>
            </w:r>
          </w:p>
        </w:tc>
      </w:tr>
    </w:tbl>
    <w:p w14:paraId="6EB2CF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 Скорости нужно рассматривать как предварительный результат.</w:t>
      </w:r>
    </w:p>
    <w:p w14:paraId="5CDAE2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 недостатком, тормозящим ход испытания опытных самолетов, является недоведенность моторов М-105, М-88 и АМ-35. На приведенных самолетах в среднем сменено по 3 мотора. Отсутствие внимания со стороны НКАП к самолетно-агрегатным, моторно-агрегатным заводам и к конструкторским бюро привело к тому, что узким местом, срывающим постройку, испытания и внедрения в серию самолетов, являются моторные и самолетные агрегаты (карбюраторы, регуляторы винта, радиаторы, тормозные колеса).</w:t>
      </w:r>
    </w:p>
    <w:p w14:paraId="541D4E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Ы В О Д:</w:t>
      </w:r>
    </w:p>
    <w:p w14:paraId="0353B4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НКАП (т. Шахурину) обратить особое внимание на усиление опытно-конструкторских бюро по самолетным и моторным агрегатам.</w:t>
      </w:r>
    </w:p>
    <w:p w14:paraId="3D42679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Форсировать постройку и ввод в эксплоатацию новых самолетных и моторно агрегатных заводов (10514,14).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8"/>
        <w:gridCol w:w="1080"/>
        <w:gridCol w:w="530"/>
        <w:gridCol w:w="550"/>
        <w:gridCol w:w="529"/>
        <w:gridCol w:w="529"/>
        <w:gridCol w:w="529"/>
        <w:gridCol w:w="522"/>
        <w:gridCol w:w="627"/>
        <w:gridCol w:w="434"/>
        <w:gridCol w:w="520"/>
        <w:gridCol w:w="520"/>
        <w:gridCol w:w="520"/>
        <w:gridCol w:w="606"/>
        <w:gridCol w:w="2591"/>
      </w:tblGrid>
      <w:tr w:rsidR="007D5DF8" w:rsidRPr="00DB5D0D" w14:paraId="53153BE6" w14:textId="77777777" w:rsidTr="009223E5">
        <w:tc>
          <w:tcPr>
            <w:tcW w:w="1188" w:type="dxa"/>
            <w:tcBorders>
              <w:top w:val="single" w:sz="12" w:space="0" w:color="auto"/>
            </w:tcBorders>
          </w:tcPr>
          <w:p w14:paraId="378D6B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Марка самолета и мотора</w:t>
            </w:r>
          </w:p>
        </w:tc>
        <w:tc>
          <w:tcPr>
            <w:tcW w:w="1080" w:type="dxa"/>
            <w:tcBorders>
              <w:top w:val="single" w:sz="12" w:space="0" w:color="auto"/>
            </w:tcBorders>
          </w:tcPr>
          <w:p w14:paraId="476B3E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3184" w:type="dxa"/>
            <w:gridSpan w:val="6"/>
            <w:tcBorders>
              <w:top w:val="single" w:sz="12" w:space="0" w:color="auto"/>
            </w:tcBorders>
          </w:tcPr>
          <w:p w14:paraId="785BC6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летные данные (по заводским испытаниям по сокращенной программе)</w:t>
            </w:r>
          </w:p>
        </w:tc>
        <w:tc>
          <w:tcPr>
            <w:tcW w:w="627" w:type="dxa"/>
            <w:tcBorders>
              <w:top w:val="single" w:sz="12" w:space="0" w:color="auto"/>
            </w:tcBorders>
          </w:tcPr>
          <w:p w14:paraId="73D43F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w:t>
            </w:r>
          </w:p>
        </w:tc>
        <w:tc>
          <w:tcPr>
            <w:tcW w:w="433" w:type="dxa"/>
            <w:tcBorders>
              <w:top w:val="single" w:sz="12" w:space="0" w:color="auto"/>
            </w:tcBorders>
          </w:tcPr>
          <w:p w14:paraId="308BB0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Прочность конструкции</w:t>
            </w:r>
          </w:p>
        </w:tc>
        <w:tc>
          <w:tcPr>
            <w:tcW w:w="2162" w:type="dxa"/>
            <w:gridSpan w:val="4"/>
            <w:tcBorders>
              <w:top w:val="single" w:sz="12" w:space="0" w:color="auto"/>
            </w:tcBorders>
          </w:tcPr>
          <w:p w14:paraId="79FB28C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Летно-эксплуатационные свойства</w:t>
            </w:r>
          </w:p>
        </w:tc>
        <w:tc>
          <w:tcPr>
            <w:tcW w:w="2591" w:type="dxa"/>
            <w:tcBorders>
              <w:top w:val="single" w:sz="12" w:space="0" w:color="auto"/>
            </w:tcBorders>
          </w:tcPr>
          <w:p w14:paraId="335807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материал конструкции</w:t>
            </w:r>
          </w:p>
        </w:tc>
      </w:tr>
      <w:tr w:rsidR="007D5DF8" w:rsidRPr="00DB5D0D" w14:paraId="1173C82E" w14:textId="77777777" w:rsidTr="009223E5">
        <w:tc>
          <w:tcPr>
            <w:tcW w:w="1188" w:type="dxa"/>
          </w:tcPr>
          <w:p w14:paraId="70A7BD0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080" w:type="dxa"/>
          </w:tcPr>
          <w:p w14:paraId="6E0B5A2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30" w:type="dxa"/>
          </w:tcPr>
          <w:p w14:paraId="448F902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у земли (км/час)</w:t>
            </w:r>
          </w:p>
        </w:tc>
        <w:tc>
          <w:tcPr>
            <w:tcW w:w="550" w:type="dxa"/>
          </w:tcPr>
          <w:p w14:paraId="529AAC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высоте (км/час)</w:t>
            </w:r>
          </w:p>
        </w:tc>
        <w:tc>
          <w:tcPr>
            <w:tcW w:w="529" w:type="dxa"/>
          </w:tcPr>
          <w:p w14:paraId="12D472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(км/час)</w:t>
            </w:r>
          </w:p>
        </w:tc>
        <w:tc>
          <w:tcPr>
            <w:tcW w:w="529" w:type="dxa"/>
          </w:tcPr>
          <w:p w14:paraId="7B3235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w:t>
            </w:r>
          </w:p>
        </w:tc>
        <w:tc>
          <w:tcPr>
            <w:tcW w:w="529" w:type="dxa"/>
          </w:tcPr>
          <w:p w14:paraId="504742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(м/сек)</w:t>
            </w:r>
          </w:p>
        </w:tc>
        <w:tc>
          <w:tcPr>
            <w:tcW w:w="522" w:type="dxa"/>
          </w:tcPr>
          <w:p w14:paraId="58D7D5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Пробер</w:t>
            </w:r>
          </w:p>
        </w:tc>
        <w:tc>
          <w:tcPr>
            <w:tcW w:w="622" w:type="dxa"/>
          </w:tcPr>
          <w:p w14:paraId="6B2959D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34" w:type="dxa"/>
          </w:tcPr>
          <w:p w14:paraId="2C688D76"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0" w:type="dxa"/>
          </w:tcPr>
          <w:p w14:paraId="4207A1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Управляемость</w:t>
            </w:r>
          </w:p>
        </w:tc>
        <w:tc>
          <w:tcPr>
            <w:tcW w:w="520" w:type="dxa"/>
          </w:tcPr>
          <w:p w14:paraId="39BF86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w:t>
            </w:r>
          </w:p>
        </w:tc>
        <w:tc>
          <w:tcPr>
            <w:tcW w:w="520" w:type="dxa"/>
          </w:tcPr>
          <w:p w14:paraId="0399C0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Маневренность</w:t>
            </w:r>
          </w:p>
        </w:tc>
        <w:tc>
          <w:tcPr>
            <w:tcW w:w="606" w:type="dxa"/>
          </w:tcPr>
          <w:p w14:paraId="3C7874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Обзор</w:t>
            </w:r>
          </w:p>
        </w:tc>
        <w:tc>
          <w:tcPr>
            <w:tcW w:w="2589" w:type="dxa"/>
          </w:tcPr>
          <w:p w14:paraId="740C285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ACCF0E4" w14:textId="77777777" w:rsidTr="009223E5">
        <w:tc>
          <w:tcPr>
            <w:tcW w:w="1188" w:type="dxa"/>
          </w:tcPr>
          <w:p w14:paraId="21D33FE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АМ-35А</w:t>
            </w:r>
          </w:p>
        </w:tc>
        <w:tc>
          <w:tcPr>
            <w:tcW w:w="1080" w:type="dxa"/>
          </w:tcPr>
          <w:p w14:paraId="4046C3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БС</w:t>
            </w:r>
          </w:p>
          <w:p w14:paraId="75CBBA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w:t>
            </w:r>
          </w:p>
        </w:tc>
        <w:tc>
          <w:tcPr>
            <w:tcW w:w="530" w:type="dxa"/>
          </w:tcPr>
          <w:p w14:paraId="23D1BB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w:t>
            </w:r>
          </w:p>
        </w:tc>
        <w:tc>
          <w:tcPr>
            <w:tcW w:w="550" w:type="dxa"/>
          </w:tcPr>
          <w:p w14:paraId="401BA8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643/7150</w:t>
            </w:r>
          </w:p>
        </w:tc>
        <w:tc>
          <w:tcPr>
            <w:tcW w:w="529" w:type="dxa"/>
          </w:tcPr>
          <w:p w14:paraId="001895D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140-150</w:t>
            </w:r>
          </w:p>
        </w:tc>
        <w:tc>
          <w:tcPr>
            <w:tcW w:w="529" w:type="dxa"/>
          </w:tcPr>
          <w:p w14:paraId="4A384C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29" w:type="dxa"/>
          </w:tcPr>
          <w:p w14:paraId="6CD48D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230/39</w:t>
            </w:r>
          </w:p>
        </w:tc>
        <w:tc>
          <w:tcPr>
            <w:tcW w:w="522" w:type="dxa"/>
          </w:tcPr>
          <w:p w14:paraId="314B19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350/19</w:t>
            </w:r>
          </w:p>
        </w:tc>
        <w:tc>
          <w:tcPr>
            <w:tcW w:w="622" w:type="dxa"/>
          </w:tcPr>
          <w:p w14:paraId="290D22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434" w:type="dxa"/>
          </w:tcPr>
          <w:p w14:paraId="77FAF2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520" w:type="dxa"/>
          </w:tcPr>
          <w:p w14:paraId="7134D3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w:t>
            </w:r>
          </w:p>
        </w:tc>
        <w:tc>
          <w:tcPr>
            <w:tcW w:w="520" w:type="dxa"/>
          </w:tcPr>
          <w:p w14:paraId="12AEB3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w:t>
            </w:r>
          </w:p>
        </w:tc>
        <w:tc>
          <w:tcPr>
            <w:tcW w:w="520" w:type="dxa"/>
          </w:tcPr>
          <w:p w14:paraId="533830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06" w:type="dxa"/>
          </w:tcPr>
          <w:p w14:paraId="2D9F31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плох.</w:t>
            </w:r>
          </w:p>
        </w:tc>
        <w:tc>
          <w:tcPr>
            <w:tcW w:w="2589" w:type="dxa"/>
          </w:tcPr>
          <w:p w14:paraId="4F41CF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часть и центроплан - металл, консоли и хвостовая - дерево</w:t>
            </w:r>
          </w:p>
        </w:tc>
      </w:tr>
      <w:tr w:rsidR="007D5DF8" w:rsidRPr="00DB5D0D" w14:paraId="79C74DD6" w14:textId="77777777" w:rsidTr="009223E5">
        <w:tc>
          <w:tcPr>
            <w:tcW w:w="1188" w:type="dxa"/>
          </w:tcPr>
          <w:p w14:paraId="13422E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М-105П</w:t>
            </w:r>
          </w:p>
        </w:tc>
        <w:tc>
          <w:tcPr>
            <w:tcW w:w="1080" w:type="dxa"/>
          </w:tcPr>
          <w:p w14:paraId="6CF9E0A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пушка/ 120</w:t>
            </w:r>
          </w:p>
          <w:p w14:paraId="492C67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ШКАС/1680</w:t>
            </w:r>
          </w:p>
        </w:tc>
        <w:tc>
          <w:tcPr>
            <w:tcW w:w="530" w:type="dxa"/>
          </w:tcPr>
          <w:p w14:paraId="478489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485</w:t>
            </w:r>
          </w:p>
        </w:tc>
        <w:tc>
          <w:tcPr>
            <w:tcW w:w="550" w:type="dxa"/>
          </w:tcPr>
          <w:p w14:paraId="42AE502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595/5000</w:t>
            </w:r>
          </w:p>
        </w:tc>
        <w:tc>
          <w:tcPr>
            <w:tcW w:w="529" w:type="dxa"/>
          </w:tcPr>
          <w:p w14:paraId="3446C11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29" w:type="dxa"/>
          </w:tcPr>
          <w:p w14:paraId="196960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w:t>
            </w:r>
          </w:p>
        </w:tc>
        <w:tc>
          <w:tcPr>
            <w:tcW w:w="529" w:type="dxa"/>
          </w:tcPr>
          <w:p w14:paraId="7A9B5E4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250/11</w:t>
            </w:r>
          </w:p>
        </w:tc>
        <w:tc>
          <w:tcPr>
            <w:tcW w:w="522" w:type="dxa"/>
          </w:tcPr>
          <w:p w14:paraId="357C07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c>
          <w:tcPr>
            <w:tcW w:w="622" w:type="dxa"/>
          </w:tcPr>
          <w:p w14:paraId="72463C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434" w:type="dxa"/>
          </w:tcPr>
          <w:p w14:paraId="0B87AE6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520" w:type="dxa"/>
          </w:tcPr>
          <w:p w14:paraId="6F39A8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w:t>
            </w:r>
          </w:p>
        </w:tc>
        <w:tc>
          <w:tcPr>
            <w:tcW w:w="520" w:type="dxa"/>
          </w:tcPr>
          <w:p w14:paraId="11FCCB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w:t>
            </w:r>
          </w:p>
        </w:tc>
        <w:tc>
          <w:tcPr>
            <w:tcW w:w="520" w:type="dxa"/>
          </w:tcPr>
          <w:p w14:paraId="2A19E3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06" w:type="dxa"/>
          </w:tcPr>
          <w:p w14:paraId="3E3682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w:t>
            </w:r>
          </w:p>
        </w:tc>
        <w:tc>
          <w:tcPr>
            <w:tcW w:w="2589" w:type="dxa"/>
          </w:tcPr>
          <w:p w14:paraId="4C29C7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часть фюзеляжа, центроплан, консоли - металл, лонжероны - хромансиль, хвостовая часть - дерево</w:t>
            </w:r>
          </w:p>
        </w:tc>
      </w:tr>
      <w:tr w:rsidR="007D5DF8" w:rsidRPr="00DB5D0D" w14:paraId="1663D306" w14:textId="77777777" w:rsidTr="009223E5">
        <w:tc>
          <w:tcPr>
            <w:tcW w:w="1188" w:type="dxa"/>
          </w:tcPr>
          <w:p w14:paraId="6E0209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М-88Р</w:t>
            </w:r>
          </w:p>
        </w:tc>
        <w:tc>
          <w:tcPr>
            <w:tcW w:w="1080" w:type="dxa"/>
          </w:tcPr>
          <w:p w14:paraId="5F313A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ШКАС/1500</w:t>
            </w:r>
          </w:p>
          <w:p w14:paraId="7E94690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БС/400</w:t>
            </w:r>
          </w:p>
        </w:tc>
        <w:tc>
          <w:tcPr>
            <w:tcW w:w="530" w:type="dxa"/>
          </w:tcPr>
          <w:p w14:paraId="1E8D880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w:t>
            </w:r>
          </w:p>
        </w:tc>
        <w:tc>
          <w:tcPr>
            <w:tcW w:w="550" w:type="dxa"/>
          </w:tcPr>
          <w:p w14:paraId="36A883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560/7100</w:t>
            </w:r>
          </w:p>
        </w:tc>
        <w:tc>
          <w:tcPr>
            <w:tcW w:w="529" w:type="dxa"/>
          </w:tcPr>
          <w:p w14:paraId="79BB7C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529" w:type="dxa"/>
          </w:tcPr>
          <w:p w14:paraId="2899A4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w:t>
            </w:r>
          </w:p>
        </w:tc>
        <w:tc>
          <w:tcPr>
            <w:tcW w:w="529" w:type="dxa"/>
          </w:tcPr>
          <w:p w14:paraId="2955E25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240/12</w:t>
            </w:r>
          </w:p>
        </w:tc>
        <w:tc>
          <w:tcPr>
            <w:tcW w:w="522" w:type="dxa"/>
          </w:tcPr>
          <w:p w14:paraId="5ED8DE5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200/10</w:t>
            </w:r>
          </w:p>
        </w:tc>
        <w:tc>
          <w:tcPr>
            <w:tcW w:w="622" w:type="dxa"/>
          </w:tcPr>
          <w:p w14:paraId="40D6E5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2440</w:t>
            </w:r>
          </w:p>
        </w:tc>
        <w:tc>
          <w:tcPr>
            <w:tcW w:w="434" w:type="dxa"/>
          </w:tcPr>
          <w:p w14:paraId="0F390C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520" w:type="dxa"/>
          </w:tcPr>
          <w:p w14:paraId="1AAB3A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w:t>
            </w:r>
          </w:p>
        </w:tc>
        <w:tc>
          <w:tcPr>
            <w:tcW w:w="520" w:type="dxa"/>
          </w:tcPr>
          <w:p w14:paraId="35F6F4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w:t>
            </w:r>
          </w:p>
        </w:tc>
        <w:tc>
          <w:tcPr>
            <w:tcW w:w="520" w:type="dxa"/>
          </w:tcPr>
          <w:p w14:paraId="5E13D9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w:t>
            </w:r>
          </w:p>
        </w:tc>
        <w:tc>
          <w:tcPr>
            <w:tcW w:w="606" w:type="dxa"/>
          </w:tcPr>
          <w:p w14:paraId="3A86E8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w:t>
            </w:r>
          </w:p>
        </w:tc>
        <w:tc>
          <w:tcPr>
            <w:tcW w:w="2589" w:type="dxa"/>
          </w:tcPr>
          <w:p w14:paraId="6489D2A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 дерево, крыло - металл, лонжероны - хромансиль</w:t>
            </w:r>
          </w:p>
        </w:tc>
      </w:tr>
      <w:tr w:rsidR="007D5DF8" w:rsidRPr="00DB5D0D" w14:paraId="1F9543FC" w14:textId="77777777" w:rsidTr="009223E5">
        <w:tc>
          <w:tcPr>
            <w:tcW w:w="1188" w:type="dxa"/>
          </w:tcPr>
          <w:p w14:paraId="0EA34C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w:t>
            </w:r>
          </w:p>
        </w:tc>
        <w:tc>
          <w:tcPr>
            <w:tcW w:w="1080" w:type="dxa"/>
          </w:tcPr>
          <w:p w14:paraId="29A92B0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пушка 23 мм</w:t>
            </w:r>
          </w:p>
          <w:p w14:paraId="59E538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БС</w:t>
            </w:r>
          </w:p>
          <w:p w14:paraId="49A85D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ШКАС</w:t>
            </w:r>
          </w:p>
        </w:tc>
        <w:tc>
          <w:tcPr>
            <w:tcW w:w="530" w:type="dxa"/>
          </w:tcPr>
          <w:p w14:paraId="5B1F8F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w:t>
            </w:r>
          </w:p>
        </w:tc>
        <w:tc>
          <w:tcPr>
            <w:tcW w:w="550" w:type="dxa"/>
          </w:tcPr>
          <w:p w14:paraId="64E1EA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583/4430</w:t>
            </w:r>
          </w:p>
        </w:tc>
        <w:tc>
          <w:tcPr>
            <w:tcW w:w="529" w:type="dxa"/>
          </w:tcPr>
          <w:p w14:paraId="49E6F0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29" w:type="dxa"/>
          </w:tcPr>
          <w:p w14:paraId="3B96FF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529" w:type="dxa"/>
          </w:tcPr>
          <w:p w14:paraId="2AD49F5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300/12</w:t>
            </w:r>
          </w:p>
        </w:tc>
        <w:tc>
          <w:tcPr>
            <w:tcW w:w="522" w:type="dxa"/>
          </w:tcPr>
          <w:p w14:paraId="39F20E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300/13</w:t>
            </w:r>
          </w:p>
        </w:tc>
        <w:tc>
          <w:tcPr>
            <w:tcW w:w="622" w:type="dxa"/>
          </w:tcPr>
          <w:p w14:paraId="163520A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434" w:type="dxa"/>
          </w:tcPr>
          <w:p w14:paraId="0F336BD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520" w:type="dxa"/>
          </w:tcPr>
          <w:p w14:paraId="42BD96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w:t>
            </w:r>
          </w:p>
        </w:tc>
        <w:tc>
          <w:tcPr>
            <w:tcW w:w="520" w:type="dxa"/>
          </w:tcPr>
          <w:p w14:paraId="7E4AA7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w:t>
            </w:r>
          </w:p>
        </w:tc>
        <w:tc>
          <w:tcPr>
            <w:tcW w:w="520" w:type="dxa"/>
          </w:tcPr>
          <w:p w14:paraId="11095B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w:t>
            </w:r>
          </w:p>
        </w:tc>
        <w:tc>
          <w:tcPr>
            <w:tcW w:w="606" w:type="dxa"/>
          </w:tcPr>
          <w:p w14:paraId="2EF600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w:t>
            </w:r>
          </w:p>
        </w:tc>
        <w:tc>
          <w:tcPr>
            <w:tcW w:w="2589" w:type="dxa"/>
          </w:tcPr>
          <w:p w14:paraId="2E8E2E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Цельнодеревянный, узлы - металл</w:t>
            </w:r>
          </w:p>
        </w:tc>
      </w:tr>
      <w:tr w:rsidR="007D5DF8" w:rsidRPr="00DB5D0D" w14:paraId="7DF63951" w14:textId="77777777" w:rsidTr="009223E5">
        <w:tc>
          <w:tcPr>
            <w:tcW w:w="1188" w:type="dxa"/>
          </w:tcPr>
          <w:p w14:paraId="3C5DD5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 М-88</w:t>
            </w:r>
          </w:p>
        </w:tc>
        <w:tc>
          <w:tcPr>
            <w:tcW w:w="1080" w:type="dxa"/>
          </w:tcPr>
          <w:p w14:paraId="76DDA08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ШКАС/2500</w:t>
            </w:r>
          </w:p>
        </w:tc>
        <w:tc>
          <w:tcPr>
            <w:tcW w:w="530" w:type="dxa"/>
          </w:tcPr>
          <w:p w14:paraId="2F6458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w:t>
            </w:r>
          </w:p>
        </w:tc>
        <w:tc>
          <w:tcPr>
            <w:tcW w:w="550" w:type="dxa"/>
          </w:tcPr>
          <w:p w14:paraId="379D36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460/6000</w:t>
            </w:r>
          </w:p>
        </w:tc>
        <w:tc>
          <w:tcPr>
            <w:tcW w:w="529" w:type="dxa"/>
          </w:tcPr>
          <w:p w14:paraId="254492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29" w:type="dxa"/>
          </w:tcPr>
          <w:p w14:paraId="52B903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529" w:type="dxa"/>
          </w:tcPr>
          <w:p w14:paraId="1ED856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22" w:type="dxa"/>
          </w:tcPr>
          <w:p w14:paraId="6C8480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22" w:type="dxa"/>
          </w:tcPr>
          <w:p w14:paraId="3254DB6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2050</w:t>
            </w:r>
          </w:p>
        </w:tc>
        <w:tc>
          <w:tcPr>
            <w:tcW w:w="434" w:type="dxa"/>
          </w:tcPr>
          <w:p w14:paraId="7C70C2B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20" w:type="dxa"/>
          </w:tcPr>
          <w:p w14:paraId="0CEB0C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w:t>
            </w:r>
          </w:p>
        </w:tc>
        <w:tc>
          <w:tcPr>
            <w:tcW w:w="520" w:type="dxa"/>
          </w:tcPr>
          <w:p w14:paraId="3051F7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w:t>
            </w:r>
          </w:p>
        </w:tc>
        <w:tc>
          <w:tcPr>
            <w:tcW w:w="520" w:type="dxa"/>
          </w:tcPr>
          <w:p w14:paraId="539D55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w:t>
            </w:r>
          </w:p>
        </w:tc>
        <w:tc>
          <w:tcPr>
            <w:tcW w:w="606" w:type="dxa"/>
          </w:tcPr>
          <w:p w14:paraId="55E91F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w:t>
            </w:r>
          </w:p>
        </w:tc>
        <w:tc>
          <w:tcPr>
            <w:tcW w:w="2589" w:type="dxa"/>
          </w:tcPr>
          <w:p w14:paraId="6B6E35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Смешанная конструкция</w:t>
            </w:r>
          </w:p>
        </w:tc>
      </w:tr>
      <w:tr w:rsidR="007D5DF8" w:rsidRPr="00DB5D0D" w14:paraId="2EF26B1A" w14:textId="77777777" w:rsidTr="009223E5">
        <w:tc>
          <w:tcPr>
            <w:tcW w:w="1188" w:type="dxa"/>
            <w:tcBorders>
              <w:bottom w:val="single" w:sz="12" w:space="0" w:color="auto"/>
            </w:tcBorders>
          </w:tcPr>
          <w:p w14:paraId="6A01D3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 2М-88</w:t>
            </w:r>
          </w:p>
        </w:tc>
        <w:tc>
          <w:tcPr>
            <w:tcW w:w="1080" w:type="dxa"/>
            <w:tcBorders>
              <w:bottom w:val="single" w:sz="12" w:space="0" w:color="auto"/>
            </w:tcBorders>
          </w:tcPr>
          <w:p w14:paraId="631CF3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пушки 20мм/800</w:t>
            </w:r>
          </w:p>
        </w:tc>
        <w:tc>
          <w:tcPr>
            <w:tcW w:w="530" w:type="dxa"/>
            <w:tcBorders>
              <w:bottom w:val="single" w:sz="12" w:space="0" w:color="auto"/>
            </w:tcBorders>
          </w:tcPr>
          <w:p w14:paraId="68A43F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448</w:t>
            </w:r>
          </w:p>
        </w:tc>
        <w:tc>
          <w:tcPr>
            <w:tcW w:w="550" w:type="dxa"/>
            <w:tcBorders>
              <w:bottom w:val="single" w:sz="12" w:space="0" w:color="auto"/>
            </w:tcBorders>
          </w:tcPr>
          <w:p w14:paraId="00285A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568/7550</w:t>
            </w:r>
          </w:p>
        </w:tc>
        <w:tc>
          <w:tcPr>
            <w:tcW w:w="529" w:type="dxa"/>
            <w:tcBorders>
              <w:bottom w:val="single" w:sz="12" w:space="0" w:color="auto"/>
            </w:tcBorders>
          </w:tcPr>
          <w:p w14:paraId="27320C4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529" w:type="dxa"/>
            <w:tcBorders>
              <w:bottom w:val="single" w:sz="12" w:space="0" w:color="auto"/>
            </w:tcBorders>
          </w:tcPr>
          <w:p w14:paraId="460CCF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529" w:type="dxa"/>
            <w:tcBorders>
              <w:bottom w:val="single" w:sz="12" w:space="0" w:color="auto"/>
            </w:tcBorders>
          </w:tcPr>
          <w:p w14:paraId="748C46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380/15</w:t>
            </w:r>
          </w:p>
        </w:tc>
        <w:tc>
          <w:tcPr>
            <w:tcW w:w="522" w:type="dxa"/>
            <w:tcBorders>
              <w:bottom w:val="single" w:sz="12" w:space="0" w:color="auto"/>
            </w:tcBorders>
          </w:tcPr>
          <w:p w14:paraId="44835A2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470/20</w:t>
            </w:r>
          </w:p>
        </w:tc>
        <w:tc>
          <w:tcPr>
            <w:tcW w:w="622" w:type="dxa"/>
            <w:tcBorders>
              <w:bottom w:val="single" w:sz="12" w:space="0" w:color="auto"/>
            </w:tcBorders>
          </w:tcPr>
          <w:p w14:paraId="7E26E7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4530</w:t>
            </w:r>
          </w:p>
        </w:tc>
        <w:tc>
          <w:tcPr>
            <w:tcW w:w="434" w:type="dxa"/>
            <w:tcBorders>
              <w:bottom w:val="single" w:sz="12" w:space="0" w:color="auto"/>
            </w:tcBorders>
          </w:tcPr>
          <w:p w14:paraId="35894F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520" w:type="dxa"/>
            <w:tcBorders>
              <w:bottom w:val="single" w:sz="12" w:space="0" w:color="auto"/>
            </w:tcBorders>
          </w:tcPr>
          <w:p w14:paraId="6FBE10A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w:t>
            </w:r>
          </w:p>
        </w:tc>
        <w:tc>
          <w:tcPr>
            <w:tcW w:w="520" w:type="dxa"/>
            <w:tcBorders>
              <w:bottom w:val="single" w:sz="12" w:space="0" w:color="auto"/>
            </w:tcBorders>
          </w:tcPr>
          <w:p w14:paraId="699243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w:t>
            </w:r>
          </w:p>
        </w:tc>
        <w:tc>
          <w:tcPr>
            <w:tcW w:w="520" w:type="dxa"/>
            <w:tcBorders>
              <w:bottom w:val="single" w:sz="12" w:space="0" w:color="auto"/>
            </w:tcBorders>
          </w:tcPr>
          <w:p w14:paraId="2B2C5F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06" w:type="dxa"/>
            <w:tcBorders>
              <w:bottom w:val="single" w:sz="12" w:space="0" w:color="auto"/>
            </w:tcBorders>
          </w:tcPr>
          <w:p w14:paraId="60602C7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w:t>
            </w:r>
          </w:p>
        </w:tc>
        <w:tc>
          <w:tcPr>
            <w:tcW w:w="2589" w:type="dxa"/>
            <w:tcBorders>
              <w:bottom w:val="single" w:sz="12" w:space="0" w:color="auto"/>
            </w:tcBorders>
          </w:tcPr>
          <w:p w14:paraId="6497CF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Передняя часть фюзеляжа, уентроплан, консоли - металл, Лонжероны - хромансиль, задняя часть - дерево</w:t>
            </w:r>
          </w:p>
        </w:tc>
      </w:tr>
    </w:tbl>
    <w:p w14:paraId="250381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(10514,16).</w:t>
      </w:r>
    </w:p>
    <w:p w14:paraId="1297D9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6798A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проходили испытания И-153 с ГК. Летал В.П.Фе</w:t>
      </w:r>
      <w:r w:rsidRPr="00DB5D0D">
        <w:rPr>
          <w:rFonts w:ascii="Times New Roman" w:hAnsi="Times New Roman"/>
          <w:color w:val="000000" w:themeColor="text1"/>
          <w:sz w:val="16"/>
          <w:szCs w:val="16"/>
        </w:rPr>
        <w:softHyphen/>
        <w:t>доров. В материалах по их результатам говорилось: «...Представленный на госиспытание самолет И-153 с гермокабиной конструкции тов. Щербакова госиспыта</w:t>
      </w:r>
      <w:r w:rsidRPr="00DB5D0D">
        <w:rPr>
          <w:rFonts w:ascii="Times New Roman" w:hAnsi="Times New Roman"/>
          <w:color w:val="000000" w:themeColor="text1"/>
          <w:sz w:val="16"/>
          <w:szCs w:val="16"/>
        </w:rPr>
        <w:softHyphen/>
        <w:t>ние выдержал... Для получения опыта эксплуатации в войсках истребителей с герметической кабиной при</w:t>
      </w:r>
      <w:r w:rsidRPr="00DB5D0D">
        <w:rPr>
          <w:rFonts w:ascii="Times New Roman" w:hAnsi="Times New Roman"/>
          <w:color w:val="000000" w:themeColor="text1"/>
          <w:sz w:val="16"/>
          <w:szCs w:val="16"/>
        </w:rPr>
        <w:softHyphen/>
        <w:t>знать целесообразным заказать за счет плана 1940 года 20-30 самолетов И-153 с герметической кабиной по ис</w:t>
      </w:r>
      <w:r w:rsidRPr="00DB5D0D">
        <w:rPr>
          <w:rFonts w:ascii="Times New Roman" w:hAnsi="Times New Roman"/>
          <w:color w:val="000000" w:themeColor="text1"/>
          <w:sz w:val="16"/>
          <w:szCs w:val="16"/>
        </w:rPr>
        <w:softHyphen/>
        <w:t>пытанному образцу». Но серийная постройка так и не состоялась (10667).</w:t>
      </w:r>
    </w:p>
    <w:p w14:paraId="5FCC4D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BD837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директор завода № 207 Горин прекра</w:t>
      </w:r>
      <w:r w:rsidRPr="00DB5D0D">
        <w:rPr>
          <w:rFonts w:ascii="Times New Roman" w:hAnsi="Times New Roman"/>
          <w:color w:val="000000" w:themeColor="text1"/>
          <w:sz w:val="16"/>
          <w:szCs w:val="16"/>
        </w:rPr>
        <w:softHyphen/>
        <w:t>тил постройку комплектов «звено», ссылаясь на загруз</w:t>
      </w:r>
      <w:r w:rsidRPr="00DB5D0D">
        <w:rPr>
          <w:rFonts w:ascii="Times New Roman" w:hAnsi="Times New Roman"/>
          <w:color w:val="000000" w:themeColor="text1"/>
          <w:sz w:val="16"/>
          <w:szCs w:val="16"/>
        </w:rPr>
        <w:softHyphen/>
        <w:t>ку предприятия производством самолетов ББ-1 (Су-2). Вахмистров занимался дальнейшим совершенство</w:t>
      </w:r>
      <w:r w:rsidRPr="00DB5D0D">
        <w:rPr>
          <w:rFonts w:ascii="Times New Roman" w:hAnsi="Times New Roman"/>
          <w:color w:val="000000" w:themeColor="text1"/>
          <w:sz w:val="16"/>
          <w:szCs w:val="16"/>
        </w:rPr>
        <w:softHyphen/>
        <w:t>ванием системы для флота, проектируя СПБ с подвес</w:t>
      </w:r>
      <w:r w:rsidRPr="00DB5D0D">
        <w:rPr>
          <w:rFonts w:ascii="Times New Roman" w:hAnsi="Times New Roman"/>
          <w:color w:val="000000" w:themeColor="text1"/>
          <w:sz w:val="16"/>
          <w:szCs w:val="16"/>
        </w:rPr>
        <w:softHyphen/>
        <w:t>кой на самолетах И16-М63 двух фугасных авиабомб весом по 500 кг (ФАБ-500) или с подвеской И-16 в истре</w:t>
      </w:r>
      <w:r w:rsidRPr="00DB5D0D">
        <w:rPr>
          <w:rFonts w:ascii="Times New Roman" w:hAnsi="Times New Roman"/>
          <w:color w:val="000000" w:themeColor="text1"/>
          <w:sz w:val="16"/>
          <w:szCs w:val="16"/>
        </w:rPr>
        <w:softHyphen/>
        <w:t>бительном варианте для дальней ПВО. Однако со вто</w:t>
      </w:r>
      <w:r w:rsidRPr="00DB5D0D">
        <w:rPr>
          <w:rFonts w:ascii="Times New Roman" w:hAnsi="Times New Roman"/>
          <w:color w:val="000000" w:themeColor="text1"/>
          <w:sz w:val="16"/>
          <w:szCs w:val="16"/>
        </w:rPr>
        <w:softHyphen/>
        <w:t>рой половины 1940 г. Наркомат авиационной промышленности полностью прекратил финансирова</w:t>
      </w:r>
      <w:r w:rsidRPr="00DB5D0D">
        <w:rPr>
          <w:rFonts w:ascii="Times New Roman" w:hAnsi="Times New Roman"/>
          <w:color w:val="000000" w:themeColor="text1"/>
          <w:sz w:val="16"/>
          <w:szCs w:val="16"/>
        </w:rPr>
        <w:softHyphen/>
        <w:t>ние всех работ по «звену», объясняя свое решение внед</w:t>
      </w:r>
      <w:r w:rsidRPr="00DB5D0D">
        <w:rPr>
          <w:rFonts w:ascii="Times New Roman" w:hAnsi="Times New Roman"/>
          <w:color w:val="000000" w:themeColor="text1"/>
          <w:sz w:val="16"/>
          <w:szCs w:val="16"/>
        </w:rPr>
        <w:softHyphen/>
        <w:t>рением в текущем году в серийное производство пикирующих двухмоторных бомбардировщиков, а так</w:t>
      </w:r>
      <w:r w:rsidRPr="00DB5D0D">
        <w:rPr>
          <w:rFonts w:ascii="Times New Roman" w:hAnsi="Times New Roman"/>
          <w:color w:val="000000" w:themeColor="text1"/>
          <w:sz w:val="16"/>
          <w:szCs w:val="16"/>
        </w:rPr>
        <w:softHyphen/>
        <w:t>же проектированием новых опытных самолетов. Вахмистров, по приглашению Поликарпова, перешел работать в его КБ на завод № 51 (10667).</w:t>
      </w:r>
    </w:p>
    <w:p w14:paraId="70C5CA2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EE892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было принято решение вы</w:t>
      </w:r>
      <w:r w:rsidRPr="00DB5D0D">
        <w:rPr>
          <w:rFonts w:ascii="Times New Roman" w:hAnsi="Times New Roman"/>
          <w:color w:val="000000" w:themeColor="text1"/>
          <w:sz w:val="16"/>
          <w:szCs w:val="16"/>
        </w:rPr>
        <w:softHyphen/>
        <w:t>селить КБ Поликарпова с завода № 1, предоставив ему собственную производственную базу - опытный завод №51. Но фактически завода как такового там просто не было. В то время на окраине Ходынского поля находился старый ангар Отдела эксплуатации, летных испытаний и доводки (ОЭЛИД) ЦАГИ, не имеющий ни помещений для конструкторов, ни подсобных помещений, ни необ</w:t>
      </w:r>
      <w:r w:rsidRPr="00DB5D0D">
        <w:rPr>
          <w:rFonts w:ascii="Times New Roman" w:hAnsi="Times New Roman"/>
          <w:color w:val="000000" w:themeColor="text1"/>
          <w:sz w:val="16"/>
          <w:szCs w:val="16"/>
        </w:rPr>
        <w:softHyphen/>
        <w:t>ходимых станков и оборудования. В него и переселили КБ Поликарпова. Потребовалось много усилий, чтобы на отведенной территории построить действительно опыт</w:t>
      </w:r>
      <w:r w:rsidRPr="00DB5D0D">
        <w:rPr>
          <w:rFonts w:ascii="Times New Roman" w:hAnsi="Times New Roman"/>
          <w:color w:val="000000" w:themeColor="text1"/>
          <w:sz w:val="16"/>
          <w:szCs w:val="16"/>
        </w:rPr>
        <w:softHyphen/>
        <w:t>ный завод. Несмотря на то, что Н.Н.Поликарпов имено</w:t>
      </w:r>
      <w:r w:rsidRPr="00DB5D0D">
        <w:rPr>
          <w:rFonts w:ascii="Times New Roman" w:hAnsi="Times New Roman"/>
          <w:color w:val="000000" w:themeColor="text1"/>
          <w:sz w:val="16"/>
          <w:szCs w:val="16"/>
        </w:rPr>
        <w:softHyphen/>
        <w:t>вался директором и главным конструктором завода № 51, до сентября 1940 г., пока не завершилось минимально не</w:t>
      </w:r>
      <w:r w:rsidRPr="00DB5D0D">
        <w:rPr>
          <w:rFonts w:ascii="Times New Roman" w:hAnsi="Times New Roman"/>
          <w:color w:val="000000" w:themeColor="text1"/>
          <w:sz w:val="16"/>
          <w:szCs w:val="16"/>
        </w:rPr>
        <w:softHyphen/>
        <w:t>обходимое переоборудование ангара, Поликарпов и его КБ находились на заводе № 1. Завод № 21 по-прежнему продолжал саботировать производство И-180. За май-июнь 1940 г. ни одна ма</w:t>
      </w:r>
      <w:r w:rsidRPr="00DB5D0D">
        <w:rPr>
          <w:rFonts w:ascii="Times New Roman" w:hAnsi="Times New Roman"/>
          <w:color w:val="000000" w:themeColor="text1"/>
          <w:sz w:val="16"/>
          <w:szCs w:val="16"/>
        </w:rPr>
        <w:softHyphen/>
        <w:t>шина войсковой серии не покинула сборочного цеха. Николай Николаевич заменил не проявляющего ини</w:t>
      </w:r>
      <w:r w:rsidRPr="00DB5D0D">
        <w:rPr>
          <w:rFonts w:ascii="Times New Roman" w:hAnsi="Times New Roman"/>
          <w:color w:val="000000" w:themeColor="text1"/>
          <w:sz w:val="16"/>
          <w:szCs w:val="16"/>
        </w:rPr>
        <w:softHyphen/>
        <w:t>циативы заместителя главного конструктора по И-180 М.К.Янгеля на И.А.Шабанова. Так как И-180 № 25211 отправили в ЦАГИ для аэро</w:t>
      </w:r>
      <w:r w:rsidRPr="00DB5D0D">
        <w:rPr>
          <w:rFonts w:ascii="Times New Roman" w:hAnsi="Times New Roman"/>
          <w:color w:val="000000" w:themeColor="text1"/>
          <w:sz w:val="16"/>
          <w:szCs w:val="16"/>
        </w:rPr>
        <w:softHyphen/>
        <w:t>динамических исследований, а № 25213 - в полк боевого применения для отстрела вооружения, то на госиспыта</w:t>
      </w:r>
      <w:r w:rsidRPr="00DB5D0D">
        <w:rPr>
          <w:rFonts w:ascii="Times New Roman" w:hAnsi="Times New Roman"/>
          <w:color w:val="000000" w:themeColor="text1"/>
          <w:sz w:val="16"/>
          <w:szCs w:val="16"/>
        </w:rPr>
        <w:softHyphen/>
        <w:t>ния решили передать третий опытный И-180-3 (И-180 Е-3). Испытания проводил летчик-испытатель НИИ ВВС капитан Прошаков. Первые девять полетов прохо</w:t>
      </w:r>
      <w:r w:rsidRPr="00DB5D0D">
        <w:rPr>
          <w:rFonts w:ascii="Times New Roman" w:hAnsi="Times New Roman"/>
          <w:color w:val="000000" w:themeColor="text1"/>
          <w:sz w:val="16"/>
          <w:szCs w:val="16"/>
        </w:rPr>
        <w:softHyphen/>
        <w:t>дили в рамках задания. 6 июля 1940 г. к вечеру Проша</w:t>
      </w:r>
      <w:r w:rsidRPr="00DB5D0D">
        <w:rPr>
          <w:rFonts w:ascii="Times New Roman" w:hAnsi="Times New Roman"/>
          <w:color w:val="000000" w:themeColor="text1"/>
          <w:sz w:val="16"/>
          <w:szCs w:val="16"/>
        </w:rPr>
        <w:softHyphen/>
        <w:t>ков вылетел на И-180 для отработки фигур высшего пилотажа. При выполнении правой бочки, которая по</w:t>
      </w:r>
      <w:r w:rsidRPr="00DB5D0D">
        <w:rPr>
          <w:rFonts w:ascii="Times New Roman" w:hAnsi="Times New Roman"/>
          <w:color w:val="000000" w:themeColor="text1"/>
          <w:sz w:val="16"/>
          <w:szCs w:val="16"/>
        </w:rPr>
        <w:softHyphen/>
        <w:t>степенно перешла в обратную спираль, Прошаков на высоте 1000 м покинул машину и благополучно при</w:t>
      </w:r>
      <w:r w:rsidRPr="00DB5D0D">
        <w:rPr>
          <w:rFonts w:ascii="Times New Roman" w:hAnsi="Times New Roman"/>
          <w:color w:val="000000" w:themeColor="text1"/>
          <w:sz w:val="16"/>
          <w:szCs w:val="16"/>
        </w:rPr>
        <w:softHyphen/>
        <w:t>землился на парашюте. Самолет без летчика опустил нос, затем сорвался в штопор и разбился. Прошаков в докладной записке утверждал, что тянул ручку управления на себя, но не смог вывести машину в нормальный горизонтальный полет. Исходя из его до</w:t>
      </w:r>
      <w:r w:rsidRPr="00DB5D0D">
        <w:rPr>
          <w:rFonts w:ascii="Times New Roman" w:hAnsi="Times New Roman"/>
          <w:color w:val="000000" w:themeColor="text1"/>
          <w:sz w:val="16"/>
          <w:szCs w:val="16"/>
        </w:rPr>
        <w:softHyphen/>
        <w:t>вольно путанных объяснений, аварийная комиссия, в состав которой вопреки сложившейся традиции не включили представителей КБ, сделала предположение, что возможными причинами аварии могли стать: 1) разрушение носков стабилизатора самолета в полете, после чего управление рулем высоты стало невозмож</w:t>
      </w:r>
      <w:r w:rsidRPr="00DB5D0D">
        <w:rPr>
          <w:rFonts w:ascii="Times New Roman" w:hAnsi="Times New Roman"/>
          <w:color w:val="000000" w:themeColor="text1"/>
          <w:sz w:val="16"/>
          <w:szCs w:val="16"/>
        </w:rPr>
        <w:softHyphen/>
        <w:t>ным; 2) заклинивание руля высоты упором оторвавше</w:t>
      </w:r>
      <w:r w:rsidRPr="00DB5D0D">
        <w:rPr>
          <w:rFonts w:ascii="Times New Roman" w:hAnsi="Times New Roman"/>
          <w:color w:val="000000" w:themeColor="text1"/>
          <w:sz w:val="16"/>
          <w:szCs w:val="16"/>
        </w:rPr>
        <w:softHyphen/>
        <w:t>гося балансира весовой компенсации; 3) недостаточная устойчивость самолета И-180-3. Николай Николаевич не мог согласиться с довольно поверхностными выводами аварийной комиссии; он от</w:t>
      </w:r>
      <w:r w:rsidRPr="00DB5D0D">
        <w:rPr>
          <w:rFonts w:ascii="Times New Roman" w:hAnsi="Times New Roman"/>
          <w:color w:val="000000" w:themeColor="text1"/>
          <w:sz w:val="16"/>
          <w:szCs w:val="16"/>
        </w:rPr>
        <w:softHyphen/>
        <w:t>мечал, что точная причина аварии самолета не установ</w:t>
      </w:r>
      <w:r w:rsidRPr="00DB5D0D">
        <w:rPr>
          <w:rFonts w:ascii="Times New Roman" w:hAnsi="Times New Roman"/>
          <w:color w:val="000000" w:themeColor="text1"/>
          <w:sz w:val="16"/>
          <w:szCs w:val="16"/>
        </w:rPr>
        <w:softHyphen/>
        <w:t>лена. Основываясь на анализе расчетов и фактического материала, Поликарпов убедительно доказал невозмож</w:t>
      </w:r>
      <w:r w:rsidRPr="00DB5D0D">
        <w:rPr>
          <w:rFonts w:ascii="Times New Roman" w:hAnsi="Times New Roman"/>
          <w:color w:val="000000" w:themeColor="text1"/>
          <w:sz w:val="16"/>
          <w:szCs w:val="16"/>
        </w:rPr>
        <w:softHyphen/>
        <w:t>ность разрушения носков стабилизатора в полете. Ото</w:t>
      </w:r>
      <w:r w:rsidRPr="00DB5D0D">
        <w:rPr>
          <w:rFonts w:ascii="Times New Roman" w:hAnsi="Times New Roman"/>
          <w:color w:val="000000" w:themeColor="text1"/>
          <w:sz w:val="16"/>
          <w:szCs w:val="16"/>
        </w:rPr>
        <w:softHyphen/>
        <w:t>рвавшийся балансир весовой компенсации заклинить руль высоты также не мог, что наглядно показали спе</w:t>
      </w:r>
      <w:r w:rsidRPr="00DB5D0D">
        <w:rPr>
          <w:rFonts w:ascii="Times New Roman" w:hAnsi="Times New Roman"/>
          <w:color w:val="000000" w:themeColor="text1"/>
          <w:sz w:val="16"/>
          <w:szCs w:val="16"/>
        </w:rPr>
        <w:softHyphen/>
        <w:t>циальные испытания управления, проведенные 11 июля в присутствии аварийной комиссии. Качалка с противо</w:t>
      </w:r>
      <w:r w:rsidRPr="00DB5D0D">
        <w:rPr>
          <w:rFonts w:ascii="Times New Roman" w:hAnsi="Times New Roman"/>
          <w:color w:val="000000" w:themeColor="text1"/>
          <w:sz w:val="16"/>
          <w:szCs w:val="16"/>
        </w:rPr>
        <w:softHyphen/>
        <w:t>весом выдержала 13-кратную перегрузку, а когда ее во</w:t>
      </w:r>
      <w:r w:rsidRPr="00DB5D0D">
        <w:rPr>
          <w:rFonts w:ascii="Times New Roman" w:hAnsi="Times New Roman"/>
          <w:color w:val="000000" w:themeColor="text1"/>
          <w:sz w:val="16"/>
          <w:szCs w:val="16"/>
        </w:rPr>
        <w:softHyphen/>
        <w:t>обще освободили от точек крепления, то она и в этом случае не заклинивала руль высоты и не мешала брать на себя ручку управления до отказа. «...Это предположение НИИ ВВС опровергается и показаниями летчика-испытателя НИИ ВВС тов. Про-шакова, который заявляет, что ручка на себя подавалась туго, - отмечал Н.Н.Поликарпов. - Находясь в перевер</w:t>
      </w:r>
      <w:r w:rsidRPr="00DB5D0D">
        <w:rPr>
          <w:rFonts w:ascii="Times New Roman" w:hAnsi="Times New Roman"/>
          <w:color w:val="000000" w:themeColor="text1"/>
          <w:sz w:val="16"/>
          <w:szCs w:val="16"/>
        </w:rPr>
        <w:softHyphen/>
        <w:t>нутом положении и энергично управляя рулем поворо</w:t>
      </w:r>
      <w:r w:rsidRPr="00DB5D0D">
        <w:rPr>
          <w:rFonts w:ascii="Times New Roman" w:hAnsi="Times New Roman"/>
          <w:color w:val="000000" w:themeColor="text1"/>
          <w:sz w:val="16"/>
          <w:szCs w:val="16"/>
        </w:rPr>
        <w:softHyphen/>
        <w:t>та, летчик был в положении, при котором даже малые усилия на ручке управления были для него трудно пре</w:t>
      </w:r>
      <w:r w:rsidRPr="00DB5D0D">
        <w:rPr>
          <w:rFonts w:ascii="Times New Roman" w:hAnsi="Times New Roman"/>
          <w:color w:val="000000" w:themeColor="text1"/>
          <w:sz w:val="16"/>
          <w:szCs w:val="16"/>
        </w:rPr>
        <w:softHyphen/>
        <w:t>одолимыми. Для уменьшения же давления на ручку уп</w:t>
      </w:r>
      <w:r w:rsidRPr="00DB5D0D">
        <w:rPr>
          <w:rFonts w:ascii="Times New Roman" w:hAnsi="Times New Roman"/>
          <w:color w:val="000000" w:themeColor="text1"/>
          <w:sz w:val="16"/>
          <w:szCs w:val="16"/>
        </w:rPr>
        <w:softHyphen/>
        <w:t>равления летчику нужно было поставить триммер руля высоты в такое положение, при котором усилие на руч</w:t>
      </w:r>
      <w:r w:rsidRPr="00DB5D0D">
        <w:rPr>
          <w:rFonts w:ascii="Times New Roman" w:hAnsi="Times New Roman"/>
          <w:color w:val="000000" w:themeColor="text1"/>
          <w:sz w:val="16"/>
          <w:szCs w:val="16"/>
        </w:rPr>
        <w:softHyphen/>
        <w:t>ке снизилось бы. Но триммер, а также дача газа мотора не были использованы летчиком, что дает нам основа</w:t>
      </w:r>
      <w:r w:rsidRPr="00DB5D0D">
        <w:rPr>
          <w:rFonts w:ascii="Times New Roman" w:hAnsi="Times New Roman"/>
          <w:color w:val="000000" w:themeColor="text1"/>
          <w:sz w:val="16"/>
          <w:szCs w:val="16"/>
        </w:rPr>
        <w:softHyphen/>
        <w:t>ние думать о неиспользовании материальной части са</w:t>
      </w:r>
      <w:r w:rsidRPr="00DB5D0D">
        <w:rPr>
          <w:rFonts w:ascii="Times New Roman" w:hAnsi="Times New Roman"/>
          <w:color w:val="000000" w:themeColor="text1"/>
          <w:sz w:val="16"/>
          <w:szCs w:val="16"/>
        </w:rPr>
        <w:softHyphen/>
        <w:t>молета для выхода из неправильно сделанной Прошаковым фигуры». Третья ссылка НИИ ВВС на якобы недостаточную устойчивость самолета И-180-3 также неубедительна. При центровке И-180-3, равной 26%, истребитель обла</w:t>
      </w:r>
      <w:r w:rsidRPr="00DB5D0D">
        <w:rPr>
          <w:rFonts w:ascii="Times New Roman" w:hAnsi="Times New Roman"/>
          <w:color w:val="000000" w:themeColor="text1"/>
          <w:sz w:val="16"/>
          <w:szCs w:val="16"/>
        </w:rPr>
        <w:softHyphen/>
        <w:t>дал устойчивостью, как это показали уже проведенные летные испытания, выполненные продувки на устойчи</w:t>
      </w:r>
      <w:r w:rsidRPr="00DB5D0D">
        <w:rPr>
          <w:rFonts w:ascii="Times New Roman" w:hAnsi="Times New Roman"/>
          <w:color w:val="000000" w:themeColor="text1"/>
          <w:sz w:val="16"/>
          <w:szCs w:val="16"/>
        </w:rPr>
        <w:softHyphen/>
        <w:t>вость и расчеты. Резюмируя и обобщая приведенные выше доводы, Николай Николаевич официально заявил, что «предпо</w:t>
      </w:r>
      <w:r w:rsidRPr="00DB5D0D">
        <w:rPr>
          <w:rFonts w:ascii="Times New Roman" w:hAnsi="Times New Roman"/>
          <w:color w:val="000000" w:themeColor="text1"/>
          <w:sz w:val="16"/>
          <w:szCs w:val="16"/>
        </w:rPr>
        <w:softHyphen/>
        <w:t>ложение о причинах аварии самолета И-180-3, высказанное в акте аварийной комиссии НИИ ВВС, является необоснованным и не соответствующим действитель</w:t>
      </w:r>
      <w:r w:rsidRPr="00DB5D0D">
        <w:rPr>
          <w:rFonts w:ascii="Times New Roman" w:hAnsi="Times New Roman"/>
          <w:color w:val="000000" w:themeColor="text1"/>
          <w:sz w:val="16"/>
          <w:szCs w:val="16"/>
        </w:rPr>
        <w:softHyphen/>
        <w:t>ности. Единственной вероятной причиной аварии само</w:t>
      </w:r>
      <w:r w:rsidRPr="00DB5D0D">
        <w:rPr>
          <w:rFonts w:ascii="Times New Roman" w:hAnsi="Times New Roman"/>
          <w:color w:val="000000" w:themeColor="text1"/>
          <w:sz w:val="16"/>
          <w:szCs w:val="16"/>
        </w:rPr>
        <w:softHyphen/>
        <w:t>лета И-180-3 является неточность пилотирования самолета И-180-3 летчиком Прошаковым на бочке и плохая ориентация его при происшедшем зависании на спине». Несколько ранее к подобному заключению пришел и ведущий летчик-испытатель по самолету И-180 Уляхин. При встрече с Прошаковым он обратил внимание на большие кровоподтеки глаз (белки были черно-крас</w:t>
      </w:r>
      <w:r w:rsidRPr="00DB5D0D">
        <w:rPr>
          <w:rFonts w:ascii="Times New Roman" w:hAnsi="Times New Roman"/>
          <w:color w:val="000000" w:themeColor="text1"/>
          <w:sz w:val="16"/>
          <w:szCs w:val="16"/>
        </w:rPr>
        <w:softHyphen/>
        <w:t xml:space="preserve">ные), что являлось неопровержимым свидетельством воздействием на </w:t>
      </w:r>
      <w:r w:rsidRPr="00DB5D0D">
        <w:rPr>
          <w:rFonts w:ascii="Times New Roman" w:hAnsi="Times New Roman"/>
          <w:color w:val="000000" w:themeColor="text1"/>
          <w:sz w:val="16"/>
          <w:szCs w:val="16"/>
        </w:rPr>
        <w:lastRenderedPageBreak/>
        <w:t>летчика отрицательной перегрузки. В своих выводах, направленных в аварийную комиссию, Уляхин писал, что, допустив неточность в пилотирова</w:t>
      </w:r>
      <w:r w:rsidRPr="00DB5D0D">
        <w:rPr>
          <w:rFonts w:ascii="Times New Roman" w:hAnsi="Times New Roman"/>
          <w:color w:val="000000" w:themeColor="text1"/>
          <w:sz w:val="16"/>
          <w:szCs w:val="16"/>
        </w:rPr>
        <w:softHyphen/>
        <w:t>нии при выполнении бочки, Прошаков поставил рули в такое положение, при котором самолет перешел в спи</w:t>
      </w:r>
      <w:r w:rsidRPr="00DB5D0D">
        <w:rPr>
          <w:rFonts w:ascii="Times New Roman" w:hAnsi="Times New Roman"/>
          <w:color w:val="000000" w:themeColor="text1"/>
          <w:sz w:val="16"/>
          <w:szCs w:val="16"/>
        </w:rPr>
        <w:softHyphen/>
        <w:t>раль с отрицательной перегрузкой. Из-за сильного кро</w:t>
      </w:r>
      <w:r w:rsidRPr="00DB5D0D">
        <w:rPr>
          <w:rFonts w:ascii="Times New Roman" w:hAnsi="Times New Roman"/>
          <w:color w:val="000000" w:themeColor="text1"/>
          <w:sz w:val="16"/>
          <w:szCs w:val="16"/>
        </w:rPr>
        <w:softHyphen/>
        <w:t>воизлияния на голову летчик не смог нормально управлять самолетом и был вынужден покинуть его. По мнению Уляхина, в этой ситуации Прошаков принял правильное решение покинуть машину, так как, во-пер</w:t>
      </w:r>
      <w:r w:rsidRPr="00DB5D0D">
        <w:rPr>
          <w:rFonts w:ascii="Times New Roman" w:hAnsi="Times New Roman"/>
          <w:color w:val="000000" w:themeColor="text1"/>
          <w:sz w:val="16"/>
          <w:szCs w:val="16"/>
        </w:rPr>
        <w:softHyphen/>
        <w:t>вых, потерял ориентацию, а, во-вторых, даже если бы он вывел машину в горизонтальный полет, с сильными кровоподтеками глаз он не смог бы посадить самолет. Для подтверждения своих слов Уляхин предложил воспроизвести полет с любым желающим на двухмест</w:t>
      </w:r>
      <w:r w:rsidRPr="00DB5D0D">
        <w:rPr>
          <w:rFonts w:ascii="Times New Roman" w:hAnsi="Times New Roman"/>
          <w:color w:val="000000" w:themeColor="text1"/>
          <w:sz w:val="16"/>
          <w:szCs w:val="16"/>
        </w:rPr>
        <w:softHyphen/>
        <w:t>ном истребителе УТИ-4 (10667).</w:t>
      </w:r>
    </w:p>
    <w:p w14:paraId="6B5001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75DAD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июня 1940 года по 1944 год гл. конструктор Поликарпов Н.Н. на заводе № 51 проектировал и строил опытные самолеты разных типов.</w:t>
      </w:r>
    </w:p>
    <w:p w14:paraId="5FC6BB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НКАП № 717/к от 19 октября 1944 года гл. конструктором завода № 51 был назначен Челомей В.Н., который в период с октября 1944 года по февраль 1953 года проектировал, строил беспилотные самолеты-снаряды.</w:t>
      </w:r>
    </w:p>
    <w:p w14:paraId="6613FD7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приказом МАП № 229 от 21 февраля 1953 года завод № 51 был передан со всем составом рабочих, ИТР и служащих и оборудованием заводу № 155. Гл. конструктором был Микоян А.И. На территории завода был организован филиал завода № 155, с февраля 1953 года по декабрь 1953 года филиал завода занимался доводочными работами по беспилотным самолетам.</w:t>
      </w:r>
    </w:p>
    <w:p w14:paraId="27F04B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МАП № 135сс от 26 октября 1953 года, филиал завода № 155 (бывш. завод № 51) был передан ОКБ-1 со всем личным составом и оборудованием гл. конструктору Сухому П.О., а приказом МАП № 25сс от 15 января 1954 года ОКБ № 1 Сухого было преобразовано в самостоятельный завод № 51, который занимается проектированием, постройкой и доводкой самолетов-истребителей.</w:t>
      </w:r>
    </w:p>
    <w:p w14:paraId="4893E6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 Е. Иванов</w:t>
      </w:r>
    </w:p>
    <w:p w14:paraId="6CF3B8E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Адрес: Москва, Боткинский проезд, 8-й тупик</w:t>
      </w:r>
    </w:p>
    <w:p w14:paraId="5D0A39F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Производственный профиль – проектирование и постройка самолетов-истребителей. В 1958 году в соответствии с приказом № 419сс от 7 октября 1958 года ГК по авиатехнике организуется филиал завода № 51 на серийном заводе № 153 в Новосибирске. Приказом № 431сс от 22 октября 1958 года ГК по авиатехнике приступил к организации филиала завода № 51 на заводе № 126 в Комсомольске (9832).</w:t>
      </w:r>
    </w:p>
    <w:p w14:paraId="6C5F42F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984C48" w14:textId="77777777" w:rsidR="009832E5" w:rsidRPr="00DB5D0D" w:rsidRDefault="009832E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июне 1940 чертежи истребителя Беляева передали в производство на авиазавод № 156. Так как завод был сильно загружен изготовлением машин других конструкторов, работы по самолёту Беляева шли медленно, а к осени совсем остановились. </w:t>
      </w:r>
    </w:p>
    <w:p w14:paraId="76B31E20" w14:textId="77777777" w:rsidR="009832E5" w:rsidRPr="00DB5D0D" w:rsidRDefault="009832E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Тем временем Беляев продолжал совершенствовать свой истребитель. Для увеличения скорости было решено применить пароиспарительную систему охлаждения, установить ленточный тормоз на вал винта для безопасного покидания самолёта с парашютом, сделать управляемым горизонтальный стабилизатор. </w:t>
      </w:r>
    </w:p>
    <w:p w14:paraId="5097A5C3" w14:textId="77777777" w:rsidR="009832E5" w:rsidRPr="00DB5D0D" w:rsidRDefault="009832E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1941 г. постройка ЭОИ возобновилась. К апрелю было изготовлено 85 % необходимых деталей и агрегатов, можно было приступать к сборке. Но из-за сложности конструкции самолёта возникли сомнения в его целесообразности. 16 мая вышел приказ о возвращении Беляева в ЦАГИ на научную работу и расформировании его конструкторской группы. ЭОИ намечалось достроить без него и провести испытания в ЛИИ, но после начала войны все работы по этому необычному истребителю были свёрнуты (17489).</w:t>
      </w:r>
    </w:p>
    <w:p w14:paraId="64BF18A8" w14:textId="77777777" w:rsidR="009832E5" w:rsidRPr="00DB5D0D" w:rsidRDefault="009832E5" w:rsidP="00DB5D0D">
      <w:pPr>
        <w:spacing w:after="0" w:line="240" w:lineRule="auto"/>
        <w:jc w:val="both"/>
        <w:rPr>
          <w:rFonts w:ascii="Times New Roman" w:eastAsia="Times New Roman" w:hAnsi="Times New Roman"/>
          <w:color w:val="000000" w:themeColor="text1"/>
          <w:sz w:val="16"/>
          <w:szCs w:val="16"/>
          <w:lang w:eastAsia="ru-RU"/>
        </w:rPr>
      </w:pPr>
    </w:p>
    <w:p w14:paraId="1221D7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на 47 заводе Адлером была закончена модификация УТ-1 в тренировочный истребитель. Потом делали полеты с целью подбора винта, но так и не нашли и заказали 167 заводу новый (2090,117).</w:t>
      </w:r>
    </w:p>
    <w:p w14:paraId="375BB7E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A9F6C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ПС-84 в десантном варианте прошел гос. испытания (4048, 46).</w:t>
      </w:r>
    </w:p>
    <w:p w14:paraId="176CE113"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470352E5"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модифицированный самолет ПС-84 прошел успешно гос. испытания в НИИ ВВС (4048, 49).</w:t>
      </w:r>
    </w:p>
    <w:p w14:paraId="658FEF7C"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5DE34F2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закончились госю испытания модификации ДС-3 с 2М-63 в санитарном, десантном и транспортном вариантах, которые проходили с мая 1940. Гос. испытания выдержал (4048, 4).</w:t>
      </w:r>
    </w:p>
    <w:p w14:paraId="74603C3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2AF415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завод № 124 проверяла комиссия НКАП, и среди ее выводов есть информация об освоении ДС-3:</w:t>
      </w:r>
    </w:p>
    <w:p w14:paraId="70F351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к производству начата во втором квартале 1940 г., причем техническая помощь завода № 84 опоздала на 2,5 месяца. Технологические процессы, а также чертежи и детали на первые пять машин пришли только 15 апреля. В мае приступили к начинке бескрылой машины, а в процессе производства находятся машины № 401 и № 402. К 1 июля должна быть закончена вся оснастка по ДС-3» (12049).</w:t>
      </w:r>
    </w:p>
    <w:p w14:paraId="417A161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ADBE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первый из трех закупленных л/л Мартин 156 под обозначением ПС-30, который перегнали в Хабаровск весной 1940, совершил первый полет по маршруту Хабаровск - Петропавловск-Камчатский. В июле летали все три, но в декабре 1940 числился только один и он эксплуатировался до сентября 1944, налетав 945 час. и после того, как постоял в резерве, был списан только в июле 1946. Экипаж подготовил НИИ ВВС и он включал к А.Я.Овечкин, 2-й п Н.М.Деркунского и м М.В.Туликова, а также р А.Тульвинского (3457,39).</w:t>
      </w:r>
    </w:p>
    <w:p w14:paraId="3B7322E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B0EB3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в НИИ ВВС испытывали серийный Bf-109E (1081,9).</w:t>
      </w:r>
    </w:p>
    <w:p w14:paraId="0E19C4A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98D7B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Нач. ВВС утвердил отчет по испытаниям Ме-110 с моторами ДБ-601А</w:t>
      </w:r>
    </w:p>
    <w:p w14:paraId="3B9833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Тараканов</w:t>
      </w:r>
    </w:p>
    <w:p w14:paraId="5903C73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Николаев</w:t>
      </w:r>
    </w:p>
    <w:p w14:paraId="00FE98D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б/т вт1р Жулев</w:t>
      </w:r>
    </w:p>
    <w:p w14:paraId="423A66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Пономарев</w:t>
      </w:r>
    </w:p>
    <w:p w14:paraId="558368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вооружению Рюмин</w:t>
      </w:r>
    </w:p>
    <w:p w14:paraId="2D5D27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Самозванцев</w:t>
      </w:r>
    </w:p>
    <w:p w14:paraId="69BBD76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АверьяновСализов</w:t>
      </w:r>
    </w:p>
    <w:p w14:paraId="664362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 облета Филин, Холопин, Кабанов, Стефаненко, Никашин, Долгов, Хрипин, Кубышкин, Шапорев</w:t>
      </w:r>
    </w:p>
    <w:p w14:paraId="421C6D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проходили 13-23 мая</w:t>
      </w:r>
    </w:p>
    <w:p w14:paraId="5793D3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530 км/час на 4600 (данные фирмы), 525 км/час на 4600 (наши данные) (718).</w:t>
      </w:r>
    </w:p>
    <w:p w14:paraId="5D2B4B6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F8FF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на авиазаводе №207 построили первую серийную систему "Звено- СПБ", состоящую из ТБ-3 АМ-34РН и двух И-16 тип 24. Всего здесь изготовили пять комплектов "Звено-СПБ*. которые поступили на вооружение 2-й эскадрильи 32-го пап 62-й авиабригады ВВС Черноморского флота, с местом базирования в Евпатории. До конца года эскадрилья отрабатывала тактику применения нового вооружения на макетах боевых кораблей. Однако в январе I941 г. командование флота посчитало оборудование "СПБ" слишком обременительным. поэтому их основные элементы демонтировали и сдали на склад.</w:t>
      </w:r>
    </w:p>
    <w:p w14:paraId="4B732FA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началом войны перед авиацией Черноморского флота была поставлена задача снизить поставки румынской нефти для воюющей Германии. Руководство флота требовало "ударами с воздуха уничтожать нефтебаки, мастерские, корабли и железнодорожные депо в Констанце и Сулине..., а также береговые объекты противника на Дунае". Одной из наиболее важнейших целей для бомбардировочной авиации считался железнодорожный мост через реку Дунай близ станции Чернаводы, в 60 км западнее Констанцы. Этот мост являлся крупнейшим мостовым сооружением, его общая длина составляла I662 метра, а общая высота в наивысшей точке 75 метров. Под нижним настилом моста проходил нефтепровод Плоешти - Констанца. Разрушение моста приостанавливало все железнодорожные перевозки между Бухарестом и другими промышленными центрами, прерывало основную транспортную связь с портом Констанца, ослабляло снабжение румынских войск. Неоднократные попытки 63-й бомбардировочной бригады Черноморского флота, использующей бомбардировщики СБ и ДБ-3. разрушить мост успеха не имели.</w:t>
      </w:r>
    </w:p>
    <w:p w14:paraId="1CF72E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этот период решили срочно восстановить конструкции Вахмистров;! для последующего боевою использования. 22 июля I941 г. последовал приказ из Москвы о применении "Звено-СПБ", а уже 26 июля состоялся первый боевой налет на портовые сооружения Констанцы. В дневное время пара ТБ-3 подошла к румынскому берегу и на удалении 40 км освободилась от четверки истребителей с подвешенными бомбами. Одна пара И-16 успешно атаковала нефтеперегонный завод, другая - плавучий док. Затем вся четверка благополучно покинула место удара и на повышенной скорости ушла. Промежуточную посадку совершили в Одессе. затем, дозаправившись, перелетели в Евпаторию. </w:t>
      </w:r>
    </w:p>
    <w:p w14:paraId="51C087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нанесения удара по Чернаволскому мосту оборудовали три комплекта носителей и шесть истребителей. И-16 оснастили дополнительными подфюзеляжными бензобаками емкостью 95 литров, позволяющими находиться в воздухе дополнительно 35 минут. В 3 часа ночи 10 августа с крымского аэродрома стартовали все три подготовленных ТБ-3. Один из них по причине неисправности вернулся на базу с середины пути. Через 2 часа 10 минут полетного времени, на удалении 310 км от базы и в 15 км от вражеского берега два других отцепили свои И-16. Уже через 15 минут четыре пикировщика вышли к цели, где были встречены плотным зенитным </w:t>
      </w:r>
      <w:r w:rsidRPr="00DB5D0D">
        <w:rPr>
          <w:rFonts w:ascii="Times New Roman" w:hAnsi="Times New Roman"/>
          <w:color w:val="000000" w:themeColor="text1"/>
          <w:sz w:val="16"/>
          <w:szCs w:val="16"/>
        </w:rPr>
        <w:lastRenderedPageBreak/>
        <w:t>огнем. Прорвавшись сквозь обстрел, четверка спикировала с 1800 м и на высоте 300 м сбросила бомбы, после чего скрылась на повышенной скорости. Уже в 6.40 утра И-16 приземлились для дозаправки на Одесском аэродроме.</w:t>
      </w:r>
    </w:p>
    <w:p w14:paraId="622A45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налет на мост повторили, на этот раз шестью пикировщиками. Все было как в предыдущем вылете, только время старта сместилось на полчаса. Атака состоялась в 5.50. пилоты отметили пять прямых попаданий, была полностью разрушена одна ферма моста. На обратном пути шестерка атаковала пулеметным огнем вражескую пехоту в районе Сулина, а в 7.05 приземлилась в Одессе.</w:t>
      </w:r>
    </w:p>
    <w:p w14:paraId="0AB4E8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Достигнутый успех возобновил интерес руководства ВМФ к системе "Звено-СПБ", поэтому количество воздушных авианосцев решили довести до запланированных ранее 12 комплектов. Однако дальнейшее переоборудование теперь ограничивалось недостатком ТБ-3 с двигателями М-34РН. ТБ-3 ранних выпусков с двигателями М-17 для подвески истребителей не подходили по условиям ограничения полетного веса. Из имеющихся на флоте 12 ТБ-3 4М-34РН оборудовали пять машин, а оставшиеся семь оставили для выполнения транспортных операций. 16 августа 1941 г. Командующий Военно-морским флотом адмирал Кузнецов обратился к Сталину с просьбой о получении 10 таких бомбардировщиков от ВВС Красной Армии. Однако потери этих тихоходных гигантов в первые месяцы войны оказались значительны, поэтому выделены они так и не были (12015).</w:t>
      </w:r>
    </w:p>
    <w:p w14:paraId="5937ACB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7EAC3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состоялись 100 часовые гос. испытания М-81, но мотор распоряжением НКАП был снят с производства (822).</w:t>
      </w:r>
    </w:p>
    <w:p w14:paraId="145419E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9716E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июня по декабрь 1940 проводилась доводка и устранение дефектов М-82. К этому времени один мотор прошел два 50-часовых испытаний без дефектов. 15 марта 1940 первый экз. М-82 был испытан. Были сняты характеристики мотора. В марте 1940 возобновили работы над М-82. Мотор был сконструирован на базе М-81. В производстве находился с 1939. С декабря 1939 по март 1940 мотор имел в производстве перерыв из-за снятия с плана (737,18).</w:t>
      </w:r>
    </w:p>
    <w:p w14:paraId="0F9EAEB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A08D7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М-81 прошел государственные испытания. 30 марта совершил первый полет ДБ-ЗФ с двумя М-81. В том же месяце мотор испытывался на истребителе И-185. Работы по М-81 прекратили в конце 1940 г., отдав приоритет М-82.</w:t>
      </w:r>
    </w:p>
    <w:p w14:paraId="0B5F43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60B707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14-цилиндровый двухрядный звездообразный, воздушного охлаждения, редукторный, с одноступенчатым двухскоростным ПЦН;</w:t>
      </w:r>
    </w:p>
    <w:p w14:paraId="68B3F2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1300/1600 л.с. (по проекту 1280/1500 л.с.);</w:t>
      </w:r>
    </w:p>
    <w:p w14:paraId="5A75C7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диаметр цилиндра/ход поршня 155,5/174,5 мм;</w:t>
      </w:r>
    </w:p>
    <w:p w14:paraId="736B13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объем 46,34 л;</w:t>
      </w:r>
    </w:p>
    <w:p w14:paraId="6DCBDF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степень сжатия 7,2;</w:t>
      </w:r>
    </w:p>
    <w:p w14:paraId="41573F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вес 914 кг (с дефлекторами 935 кг).</w:t>
      </w:r>
    </w:p>
    <w:p w14:paraId="4B2650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М-81 устанавливался на опытные образцы самолетов ДБ-ЗФ и И-185 (11852).</w:t>
      </w:r>
    </w:p>
    <w:p w14:paraId="17E9A6D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9B370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М-40 проходил летные испытания на самолете БОК-15, готовившемся для кругосветного перелета М.М. Громова. Этот экземпляр М-40 имел привод наддува гермокабины. С весны 1940 г. производство М-40 осваивал Кировский завод в Ленин</w:t>
      </w:r>
      <w:r w:rsidRPr="00DB5D0D">
        <w:rPr>
          <w:rFonts w:ascii="Times New Roman" w:hAnsi="Times New Roman"/>
          <w:color w:val="000000" w:themeColor="text1"/>
          <w:sz w:val="16"/>
          <w:szCs w:val="16"/>
        </w:rPr>
        <w:softHyphen/>
        <w:t>граде. За первую половину 1941 г. он изготовил 58 экз. С весны 1941 г. М-40 устанавливали на серийные самолеты ТБ-7. Параллельная ветвь развития конструкции АН-1РТК. Создавался в ЦИАМ под руководством В.М. Яковлева с участием М.А. Кузьмина и А.Я. Носача. М-40 был ближе к исходному АН-1РТК, чем М-30, и отличался от последнего в основном конструкцией системы наддува при том же принципиальном подходе — четыре турбонагнетателя без ПЦН. Производство дизелей этого типа прекратили осенью 1941 г. Еще рань</w:t>
      </w:r>
      <w:r w:rsidRPr="00DB5D0D">
        <w:rPr>
          <w:rFonts w:ascii="Times New Roman" w:hAnsi="Times New Roman"/>
          <w:color w:val="000000" w:themeColor="text1"/>
          <w:sz w:val="16"/>
          <w:szCs w:val="16"/>
        </w:rPr>
        <w:softHyphen/>
        <w:t>ше, в августе, их сняли со всех самолетов и законсервировали. В 1942 г. М-40 испытывали на бомбардировщике Ер-2. В 1944 г. завод № 500 раз</w:t>
      </w:r>
      <w:r w:rsidRPr="00DB5D0D">
        <w:rPr>
          <w:rFonts w:ascii="Times New Roman" w:hAnsi="Times New Roman"/>
          <w:color w:val="000000" w:themeColor="text1"/>
          <w:sz w:val="16"/>
          <w:szCs w:val="16"/>
        </w:rPr>
        <w:softHyphen/>
        <w:t>бирал М-40 и использовал их узлы и агрегаты в двигателях АЧ-30Б.</w:t>
      </w:r>
    </w:p>
    <w:p w14:paraId="740241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1590D59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12-цилиндровый, рядный У-образный дизель, четырехтактный, водя</w:t>
      </w:r>
      <w:r w:rsidRPr="00DB5D0D">
        <w:rPr>
          <w:rFonts w:ascii="Times New Roman" w:hAnsi="Times New Roman"/>
          <w:color w:val="000000" w:themeColor="text1"/>
          <w:sz w:val="16"/>
          <w:szCs w:val="16"/>
        </w:rPr>
        <w:softHyphen/>
        <w:t>ного охлаждения;</w:t>
      </w:r>
    </w:p>
    <w:p w14:paraId="705F8E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объем 61,04 л;</w:t>
      </w:r>
    </w:p>
    <w:p w14:paraId="1CD859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Дизель М-40Ф (чертеж)</w:t>
      </w:r>
    </w:p>
    <w:p w14:paraId="32EFE9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Тяжелый бомбардировщик ТБ-7 (Пе-8) с дизелями М-40, 1941 г.</w:t>
      </w:r>
    </w:p>
    <w:p w14:paraId="38DFF8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03495F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степень сжатия 13,5;</w:t>
      </w:r>
    </w:p>
    <w:p w14:paraId="30CEB6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053D3A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М-40, серийный вариант, 1000/1250 л.с., вес 1150 кг.</w:t>
      </w:r>
    </w:p>
    <w:p w14:paraId="190C62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М-40Ф, опытный образец, форсированный по оборотам, 1250/1500 л.с. Проходил госиспытания летом 1940 г., в ноябре того же года был ре</w:t>
      </w:r>
      <w:r w:rsidRPr="00DB5D0D">
        <w:rPr>
          <w:rFonts w:ascii="Times New Roman" w:hAnsi="Times New Roman"/>
          <w:color w:val="000000" w:themeColor="text1"/>
          <w:sz w:val="16"/>
          <w:szCs w:val="16"/>
        </w:rPr>
        <w:softHyphen/>
        <w:t>комендован в серию и выпущен небольшой партией в 1941 г. Летом 1941 г. испытывался на Ер-2.</w:t>
      </w:r>
    </w:p>
    <w:p w14:paraId="0B377ED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Дизели М-40 устанавливались на серийных самолетах ТБ-7 (Пе-8), опытных БОК-15, Ер-2 (11852).</w:t>
      </w:r>
    </w:p>
    <w:p w14:paraId="6B089C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Также был разработан М-41 - Проект дальнейшего развития М-40, выполненный в конструктор</w:t>
      </w:r>
      <w:r w:rsidRPr="00DB5D0D">
        <w:rPr>
          <w:rFonts w:ascii="Times New Roman" w:hAnsi="Times New Roman"/>
          <w:color w:val="000000" w:themeColor="text1"/>
          <w:sz w:val="16"/>
          <w:szCs w:val="16"/>
        </w:rPr>
        <w:softHyphen/>
        <w:t>ском бюро Кировского завода в Ленинграде под руководством В.М. Яков</w:t>
      </w:r>
      <w:r w:rsidRPr="00DB5D0D">
        <w:rPr>
          <w:rFonts w:ascii="Times New Roman" w:hAnsi="Times New Roman"/>
          <w:color w:val="000000" w:themeColor="text1"/>
          <w:sz w:val="16"/>
          <w:szCs w:val="16"/>
        </w:rPr>
        <w:softHyphen/>
        <w:t>лева.</w:t>
      </w:r>
    </w:p>
    <w:p w14:paraId="4462D1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1E0488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мощность 1400/1750 л.с.;</w:t>
      </w:r>
    </w:p>
    <w:p w14:paraId="2EF7AD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вес 1200 кг. (11852).</w:t>
      </w:r>
    </w:p>
    <w:p w14:paraId="6EB54E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C9E66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НКВД предложил проект МБ-100 на рассмотрение НКАП. В 30-х годах А.М. Добротворский работал в конструкторском бюро за</w:t>
      </w:r>
      <w:r w:rsidRPr="00DB5D0D">
        <w:rPr>
          <w:rFonts w:ascii="Times New Roman" w:hAnsi="Times New Roman"/>
          <w:color w:val="000000" w:themeColor="text1"/>
          <w:sz w:val="16"/>
          <w:szCs w:val="16"/>
        </w:rPr>
        <w:softHyphen/>
        <w:t>вода № 24. Там он участвовал в создании ряда модификаций мотора М-34, в частности, спроектировал несколько вариантов карбюратора для него. В период сталинских репрессий его арестовали, и он попал в Особое техническое бюро (ОТБ) НКВД, располагавшееся в Бутырской тюрьме в Москве. Там в 1939—1940 гг. под руководством Добротворского создали проект Х-образного двигателя МБ-100, фактически являвшегося комбина</w:t>
      </w:r>
      <w:r w:rsidRPr="00DB5D0D">
        <w:rPr>
          <w:rFonts w:ascii="Times New Roman" w:hAnsi="Times New Roman"/>
          <w:color w:val="000000" w:themeColor="text1"/>
          <w:sz w:val="16"/>
          <w:szCs w:val="16"/>
        </w:rPr>
        <w:softHyphen/>
        <w:t>цией двух М-103 А, а затем двух М-105. Несмотря на то, что по характеристикам МБ-100 уступал проек</w:t>
      </w:r>
      <w:r w:rsidRPr="00DB5D0D">
        <w:rPr>
          <w:rFonts w:ascii="Times New Roman" w:hAnsi="Times New Roman"/>
          <w:color w:val="000000" w:themeColor="text1"/>
          <w:sz w:val="16"/>
          <w:szCs w:val="16"/>
        </w:rPr>
        <w:softHyphen/>
        <w:t>тировавшемуся в Казани мотору М-130, ему отдали приоритет. Возможно, здесь сыграло свою роль личное обращение главы НКВД Л.П. Берии в правительство. Постановлением от 26 сентября 1940 г. доработку проекта МБ-100 поручили конструкторскому бюро завода № 27 в Казани. Туда из Москвы перевезли группу инженеров-заключенных. По плану первые два опытных экземпляра должны были быть собраны к 1 декабря 1941 г. Государственные испытания планировали начать в сентябре 1942 г. Фактически сроки сорвала начавшаяся война с Германией. Заводы полу</w:t>
      </w:r>
      <w:r w:rsidRPr="00DB5D0D">
        <w:rPr>
          <w:rFonts w:ascii="Times New Roman" w:hAnsi="Times New Roman"/>
          <w:color w:val="000000" w:themeColor="text1"/>
          <w:sz w:val="16"/>
          <w:szCs w:val="16"/>
        </w:rPr>
        <w:softHyphen/>
        <w:t>чили увеличенные планы по серийному производству. Приоритет в опыт</w:t>
      </w:r>
      <w:r w:rsidRPr="00DB5D0D">
        <w:rPr>
          <w:rFonts w:ascii="Times New Roman" w:hAnsi="Times New Roman"/>
          <w:color w:val="000000" w:themeColor="text1"/>
          <w:sz w:val="16"/>
          <w:szCs w:val="16"/>
        </w:rPr>
        <w:softHyphen/>
        <w:t>ных работах был отдан модифицированию уже выпускавшихся типов дви</w:t>
      </w:r>
      <w:r w:rsidRPr="00DB5D0D">
        <w:rPr>
          <w:rFonts w:ascii="Times New Roman" w:hAnsi="Times New Roman"/>
          <w:color w:val="000000" w:themeColor="text1"/>
          <w:sz w:val="16"/>
          <w:szCs w:val="16"/>
        </w:rPr>
        <w:softHyphen/>
        <w:t>гателей. В Казань осенью 1941 г. эвакуировали завод № 16 из Воронежа, поглотивший завод № 27. В декабре 1941 г. заводу № 16 дали задание готовиться к серийному производству МБ-100. Было построено несколько опытных образцов МБ-100, проходивших стендовые испытания в Казани. Позднее они испытывались и в воздухе на бомбардировщике Ер-2. Работы по двигателю велись до 1945 г. Раз</w:t>
      </w:r>
      <w:r w:rsidRPr="00DB5D0D">
        <w:rPr>
          <w:rFonts w:ascii="Times New Roman" w:hAnsi="Times New Roman"/>
          <w:color w:val="000000" w:themeColor="text1"/>
          <w:sz w:val="16"/>
          <w:szCs w:val="16"/>
        </w:rPr>
        <w:softHyphen/>
        <w:t>витием МБ-100 являлись двигатели МБ-102 и МБ-103, изготовленные в опытных образцах и проходившие стендовые испытания.</w:t>
      </w:r>
    </w:p>
    <w:p w14:paraId="23CFE3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МБ-100 подготовили в 1939-1940 гг. в ОТБ НКВД в Москве под руководством А.М. Добротворского. Далее он дорабатывался в конструкторском бюро завода № 27 и в бюро завода № 16 после их слияния.</w:t>
      </w:r>
    </w:p>
    <w:p w14:paraId="7945F7F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Опытные образцы МБ-100 были изготовлены и проходили стендовые, а затем летные испытания. Последние проводились на самолете Ер-2 в марте — июне 1944 г. Очень большие размеры двигателя затрудняли его капотирование.</w:t>
      </w:r>
    </w:p>
    <w:p w14:paraId="0C465F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Характеристики:</w:t>
      </w:r>
    </w:p>
    <w:p w14:paraId="02C98D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24-цшшдровый, Х-образный рядный, четырехтактный, водяного охлаждения, редукторный, с одноступенчатым односкоростным ПЦН;</w:t>
      </w:r>
    </w:p>
    <w:p w14:paraId="093FD0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диаметр цилиндра/ход поршня 148/170 мм;</w:t>
      </w:r>
    </w:p>
    <w:p w14:paraId="7035F5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степень сжатия 6,6;</w:t>
      </w:r>
    </w:p>
    <w:p w14:paraId="6124F3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объем 70,0 л. Известны варианты:</w:t>
      </w:r>
    </w:p>
    <w:p w14:paraId="61AE393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МБ-100 с мощностью 2100/2200 л.с., вес 1325 кг (по проекту 1300 кг, по заданию 1250 кг).</w:t>
      </w:r>
    </w:p>
    <w:p w14:paraId="73D4D6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МБ-100Ф с мощностью 2100/2450 л.с., проходил заводские испытания в октябре 1942 г.</w:t>
      </w:r>
    </w:p>
    <w:p w14:paraId="47426E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МБ-100 устанавливался на доработанный серийный бомбардировщик Ер-2. Его применение также предусматривалось на одном из истребителей, разрабатывавшихся в конструкторском бюро А.С. Яковлева (11952).</w:t>
      </w:r>
    </w:p>
    <w:p w14:paraId="5A9770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ECEA1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винт ВИШ-61П для мотор пушки, спроектированный в октябре 1939, был предъявлен на гос. испытания. Они кончились только в ноябре 1940 (198,16).</w:t>
      </w:r>
    </w:p>
    <w:p w14:paraId="58257D9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5115DA" w14:textId="77777777" w:rsidR="00A25AD1" w:rsidRPr="00DB5D0D" w:rsidRDefault="00A25AD1" w:rsidP="00DB5D0D">
      <w:pPr>
        <w:pStyle w:val="a3"/>
        <w:widowControl/>
        <w:rPr>
          <w:color w:val="000000" w:themeColor="text1"/>
          <w:lang w:val="ru-RU"/>
        </w:rPr>
      </w:pPr>
      <w:r w:rsidRPr="00DB5D0D">
        <w:rPr>
          <w:color w:val="000000" w:themeColor="text1"/>
          <w:lang w:val="ru-RU"/>
        </w:rPr>
        <w:t>В июне 1940 года на заводе № 1 были закончены испытания ВРД состоящие из следующего:</w:t>
      </w:r>
    </w:p>
    <w:p w14:paraId="0EC024EA"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испытаний на земле</w:t>
      </w:r>
    </w:p>
    <w:p w14:paraId="7C54DAE1" w14:textId="77777777" w:rsidR="00A25AD1" w:rsidRPr="00DB5D0D" w:rsidRDefault="00A25AD1" w:rsidP="00DB5D0D">
      <w:pPr>
        <w:pStyle w:val="a3"/>
        <w:widowControl/>
        <w:tabs>
          <w:tab w:val="left" w:pos="360"/>
        </w:tabs>
        <w:rPr>
          <w:color w:val="000000" w:themeColor="text1"/>
          <w:lang w:val="ru-RU"/>
        </w:rPr>
      </w:pPr>
      <w:r w:rsidRPr="00DB5D0D">
        <w:rPr>
          <w:color w:val="000000" w:themeColor="text1"/>
          <w:lang w:val="ru-RU"/>
        </w:rPr>
        <w:t>внешней подвеске двух маломощных ВРД под крыльями И-15 бис и испытаний в воздухе.</w:t>
      </w:r>
    </w:p>
    <w:p w14:paraId="5E5DDA94" w14:textId="77777777" w:rsidR="00A25AD1" w:rsidRPr="00DB5D0D" w:rsidRDefault="00A25AD1" w:rsidP="00DB5D0D">
      <w:pPr>
        <w:pStyle w:val="a3"/>
        <w:widowControl/>
        <w:rPr>
          <w:color w:val="000000" w:themeColor="text1"/>
          <w:lang w:val="ru-RU"/>
        </w:rPr>
      </w:pPr>
      <w:r w:rsidRPr="00DB5D0D">
        <w:rPr>
          <w:color w:val="000000" w:themeColor="text1"/>
          <w:lang w:val="ru-RU"/>
        </w:rPr>
        <w:lastRenderedPageBreak/>
        <w:t>Установлено, что ВРД развивают указанные конструктором Меркуловым мощности. На земле работают надежно, после пяти часов непрерывной работы дефектов не обнаружено.</w:t>
      </w:r>
    </w:p>
    <w:p w14:paraId="51974EE2" w14:textId="77777777" w:rsidR="00A25AD1" w:rsidRPr="00DB5D0D" w:rsidRDefault="00A25AD1" w:rsidP="00DB5D0D">
      <w:pPr>
        <w:pStyle w:val="a3"/>
        <w:widowControl/>
        <w:rPr>
          <w:color w:val="000000" w:themeColor="text1"/>
          <w:lang w:val="ru-RU"/>
        </w:rPr>
      </w:pPr>
      <w:r w:rsidRPr="00DB5D0D">
        <w:rPr>
          <w:color w:val="000000" w:themeColor="text1"/>
          <w:lang w:val="ru-RU"/>
        </w:rPr>
        <w:t>В полете 2 ВРД общим весом 25 кг развили мощность 125 л.с. на Н=2000 м и V=304,5 км/час.</w:t>
      </w:r>
    </w:p>
    <w:p w14:paraId="34BA1C41" w14:textId="77777777" w:rsidR="00A25AD1" w:rsidRPr="00DB5D0D" w:rsidRDefault="00A25AD1" w:rsidP="00DB5D0D">
      <w:pPr>
        <w:pStyle w:val="a3"/>
        <w:widowControl/>
        <w:rPr>
          <w:color w:val="000000" w:themeColor="text1"/>
          <w:lang w:val="ru-RU"/>
        </w:rPr>
      </w:pPr>
      <w:r w:rsidRPr="00DB5D0D">
        <w:rPr>
          <w:color w:val="000000" w:themeColor="text1"/>
          <w:lang w:val="ru-RU"/>
        </w:rPr>
        <w:t>Прирост скорости получен 22 км/час.</w:t>
      </w:r>
    </w:p>
    <w:p w14:paraId="62DAAF85" w14:textId="77777777" w:rsidR="00A25AD1" w:rsidRPr="00DB5D0D" w:rsidRDefault="00A25AD1" w:rsidP="00DB5D0D">
      <w:pPr>
        <w:pStyle w:val="a3"/>
        <w:widowControl/>
        <w:rPr>
          <w:color w:val="000000" w:themeColor="text1"/>
          <w:lang w:val="ru-RU"/>
        </w:rPr>
      </w:pPr>
      <w:r w:rsidRPr="00DB5D0D">
        <w:rPr>
          <w:color w:val="000000" w:themeColor="text1"/>
          <w:lang w:val="ru-RU"/>
        </w:rPr>
        <w:t>Если добавить сюда скорость, съедаемую сопротивлением самих установок ВРД, которые были установлены снаружи, прирост скорости получается 29-30 км/час (3377, 83).</w:t>
      </w:r>
    </w:p>
    <w:p w14:paraId="7A8C6D36" w14:textId="77777777" w:rsidR="00A25AD1" w:rsidRPr="00DB5D0D" w:rsidRDefault="00A25AD1" w:rsidP="00DB5D0D">
      <w:pPr>
        <w:pStyle w:val="a3"/>
        <w:widowControl/>
        <w:rPr>
          <w:color w:val="000000" w:themeColor="text1"/>
          <w:lang w:val="ru-RU"/>
        </w:rPr>
      </w:pPr>
    </w:p>
    <w:p w14:paraId="7846A00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Президиум Верховного Совета СССР принял Указ о переходе на 8-часовой рабочий день, семидневную рабочую неделю и запрещении самовольного ухода рабочих и служащих с пред</w:t>
      </w:r>
      <w:r w:rsidRPr="00DB5D0D">
        <w:rPr>
          <w:rFonts w:ascii="Times New Roman" w:hAnsi="Times New Roman"/>
          <w:color w:val="000000" w:themeColor="text1"/>
          <w:sz w:val="16"/>
          <w:szCs w:val="16"/>
        </w:rPr>
        <w:softHyphen/>
        <w:t>приятий и учреждений (История Второй мировой войны 1939—1945. М., 1974, Т. 3. С. 374). Следует отметить, что в Германии аналогичные меры были приняты ещё в апреле 1939 г. С дру</w:t>
      </w:r>
      <w:r w:rsidRPr="00DB5D0D">
        <w:rPr>
          <w:rFonts w:ascii="Times New Roman" w:hAnsi="Times New Roman"/>
          <w:color w:val="000000" w:themeColor="text1"/>
          <w:sz w:val="16"/>
          <w:szCs w:val="16"/>
        </w:rPr>
        <w:softHyphen/>
        <w:t>гой стороны, надо отметить, что столь жёсткие меры, разуме</w:t>
      </w:r>
      <w:r w:rsidRPr="00DB5D0D">
        <w:rPr>
          <w:rFonts w:ascii="Times New Roman" w:hAnsi="Times New Roman"/>
          <w:color w:val="000000" w:themeColor="text1"/>
          <w:sz w:val="16"/>
          <w:szCs w:val="16"/>
        </w:rPr>
        <w:softHyphen/>
        <w:t>ется, ограничили текучесть кадров, но отнюдь не аннулиро</w:t>
      </w:r>
      <w:r w:rsidRPr="00DB5D0D">
        <w:rPr>
          <w:rFonts w:ascii="Times New Roman" w:hAnsi="Times New Roman"/>
          <w:color w:val="000000" w:themeColor="text1"/>
          <w:sz w:val="16"/>
          <w:szCs w:val="16"/>
        </w:rPr>
        <w:softHyphen/>
        <w:t xml:space="preserve">вали её. Текучесть упала с 45,2 % от среднесписочного числа рабочих (уровень 1939 г.) до 33,6 % в 1940 г., но и только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2775. Л. 20).</w:t>
      </w:r>
    </w:p>
    <w:p w14:paraId="4876570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в течение 1940 г. темп работ на авиазаво</w:t>
      </w:r>
      <w:r w:rsidRPr="00DB5D0D">
        <w:rPr>
          <w:rFonts w:ascii="Times New Roman" w:hAnsi="Times New Roman"/>
          <w:color w:val="000000" w:themeColor="text1"/>
          <w:sz w:val="16"/>
          <w:szCs w:val="16"/>
        </w:rPr>
        <w:softHyphen/>
        <w:t>дах стал более напряжённым — директора заводов получи</w:t>
      </w:r>
      <w:r w:rsidRPr="00DB5D0D">
        <w:rPr>
          <w:rFonts w:ascii="Times New Roman" w:hAnsi="Times New Roman"/>
          <w:color w:val="000000" w:themeColor="text1"/>
          <w:sz w:val="16"/>
          <w:szCs w:val="16"/>
        </w:rPr>
        <w:softHyphen/>
        <w:t xml:space="preserve">ли право своим решением вводить сверхурочные работы и переводить цеха или целые заводы на 2—3-сменную работу. В плане работ на 4-й квартал 1940 г. и 1-й квартал 1941 г. заранее предусматривалось систематическое применение сверхурочных работ по 2—3 часа в сутки на 1 рабочего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674. Л. 44). К со</w:t>
      </w:r>
      <w:r w:rsidRPr="00DB5D0D">
        <w:rPr>
          <w:rFonts w:ascii="Times New Roman" w:hAnsi="Times New Roman"/>
          <w:color w:val="000000" w:themeColor="text1"/>
          <w:sz w:val="16"/>
          <w:szCs w:val="16"/>
        </w:rPr>
        <w:softHyphen/>
        <w:t>жалению, приходится констатировать, что передаю необходи</w:t>
      </w:r>
      <w:r w:rsidRPr="00DB5D0D">
        <w:rPr>
          <w:rFonts w:ascii="Times New Roman" w:hAnsi="Times New Roman"/>
          <w:color w:val="000000" w:themeColor="text1"/>
          <w:sz w:val="16"/>
          <w:szCs w:val="16"/>
        </w:rPr>
        <w:softHyphen/>
        <w:t>мость в сверхурочных работах вызывалась не только ростом производственных заданий, но и плохой координацией работ со стороны заводских администраций. Например, в 1-м квар</w:t>
      </w:r>
      <w:r w:rsidRPr="00DB5D0D">
        <w:rPr>
          <w:rFonts w:ascii="Times New Roman" w:hAnsi="Times New Roman"/>
          <w:color w:val="000000" w:themeColor="text1"/>
          <w:sz w:val="16"/>
          <w:szCs w:val="16"/>
        </w:rPr>
        <w:softHyphen/>
        <w:t>тале 1941 г. на заводе № 18 простои составили 5 % всего отра</w:t>
      </w:r>
      <w:r w:rsidRPr="00DB5D0D">
        <w:rPr>
          <w:rFonts w:ascii="Times New Roman" w:hAnsi="Times New Roman"/>
          <w:color w:val="000000" w:themeColor="text1"/>
          <w:sz w:val="16"/>
          <w:szCs w:val="16"/>
        </w:rPr>
        <w:softHyphen/>
        <w:t xml:space="preserve">ботанного времени, а сверхурочные работы — 7,8 %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674. Л. 65). То есть правильная организация работ, при которой рабочая сила не простаивает, позволила бы практически сократить на этом за</w:t>
      </w:r>
      <w:r w:rsidRPr="00DB5D0D">
        <w:rPr>
          <w:rFonts w:ascii="Times New Roman" w:hAnsi="Times New Roman"/>
          <w:color w:val="000000" w:themeColor="text1"/>
          <w:sz w:val="16"/>
          <w:szCs w:val="16"/>
        </w:rPr>
        <w:softHyphen/>
        <w:t>воде сверхурочные в 2—3 раза (12011).</w:t>
      </w:r>
    </w:p>
    <w:p w14:paraId="7EF4A43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4BDC0C"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С июня 1940 года южнее города Сарапул на территории лесного массива началось строительство завода №284. В то время профиль его предназначался для выпуска авиакомпрессоров и самопусков.</w:t>
      </w:r>
    </w:p>
    <w:p w14:paraId="1B456FBC"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Адрес: Сарапул Удмуртской АССР</w:t>
      </w:r>
    </w:p>
    <w:p w14:paraId="51DC3BB0"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Производственный профиль завода – агрегатный – электрогенераторный</w:t>
      </w:r>
    </w:p>
    <w:p w14:paraId="08EAB837"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Расстояние от завода до города 8 км.</w:t>
      </w:r>
    </w:p>
    <w:p w14:paraId="2FA9D153"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Базой для создания № 284 был завод № 266, который по приказу НКАП от 6 февраля 1942 года № 100с должен был выделить оборудование, оснастку, рабсилу и ИТР.</w:t>
      </w:r>
    </w:p>
    <w:p w14:paraId="20D03199" w14:textId="77777777" w:rsidR="00A25AD1" w:rsidRPr="00DB5D0D" w:rsidRDefault="00A25AD1" w:rsidP="00DB5D0D">
      <w:pPr>
        <w:pStyle w:val="Iauiue"/>
        <w:jc w:val="both"/>
        <w:rPr>
          <w:color w:val="000000" w:themeColor="text1"/>
          <w:sz w:val="16"/>
          <w:szCs w:val="16"/>
        </w:rPr>
      </w:pPr>
      <w:r w:rsidRPr="00DB5D0D">
        <w:rPr>
          <w:color w:val="000000" w:themeColor="text1"/>
          <w:sz w:val="16"/>
          <w:szCs w:val="16"/>
        </w:rPr>
        <w:t>Директор – Н. Крылов (9488)</w:t>
      </w:r>
    </w:p>
    <w:p w14:paraId="6E0B894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B9D78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начались испытания головной серийной установки, изготовленной на авиазаводе № 207. В первой половине 1940 года замо</w:t>
      </w:r>
      <w:r w:rsidRPr="00DB5D0D">
        <w:rPr>
          <w:rFonts w:ascii="Times New Roman" w:hAnsi="Times New Roman"/>
          <w:color w:val="000000" w:themeColor="text1"/>
          <w:sz w:val="16"/>
          <w:szCs w:val="16"/>
        </w:rPr>
        <w:softHyphen/>
        <w:t>роженные работы по системам «Звено-СПБ» снова возобновились. Всего оборудовали пять комплектов «Звено-СПБ», которые поступили на вооружение 2-й специальной эскадрильи под коман</w:t>
      </w:r>
      <w:r w:rsidRPr="00DB5D0D">
        <w:rPr>
          <w:rFonts w:ascii="Times New Roman" w:hAnsi="Times New Roman"/>
          <w:color w:val="000000" w:themeColor="text1"/>
          <w:sz w:val="16"/>
          <w:szCs w:val="16"/>
        </w:rPr>
        <w:softHyphen/>
        <w:t>дованием А. Шубикова из состава 32-го ИАП 62-й авиабригады ВВС Черно</w:t>
      </w:r>
      <w:r w:rsidRPr="00DB5D0D">
        <w:rPr>
          <w:rFonts w:ascii="Times New Roman" w:hAnsi="Times New Roman"/>
          <w:color w:val="000000" w:themeColor="text1"/>
          <w:sz w:val="16"/>
          <w:szCs w:val="16"/>
        </w:rPr>
        <w:softHyphen/>
        <w:t>морского флота, базирующейся в Евпатории. Вплоть до конца 1940 года это соединение усиленно отрабатывало тактику применения нового вооруже</w:t>
      </w:r>
      <w:r w:rsidRPr="00DB5D0D">
        <w:rPr>
          <w:rFonts w:ascii="Times New Roman" w:hAnsi="Times New Roman"/>
          <w:color w:val="000000" w:themeColor="text1"/>
          <w:sz w:val="16"/>
          <w:szCs w:val="16"/>
        </w:rPr>
        <w:softHyphen/>
        <w:t>ния, а основными целями при этом были военные корабли (Маслов М. Истребитель И-16. М, 1997. С. 43-44,46.) (11710,207).</w:t>
      </w:r>
    </w:p>
    <w:p w14:paraId="731830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1F7B35F"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был утвержден Отчет по подбору толщины брони для сидения летчика, дающей с парашютом пуленепробиваемую систему (6765).</w:t>
      </w:r>
    </w:p>
    <w:p w14:paraId="16A8FEC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C430C2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группы 5 отдела НИИ ВВС в/инженер 1 ранга Воротников</w:t>
      </w:r>
    </w:p>
    <w:p w14:paraId="63355E26"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5 отдела НИИ ВВС в/инженер 3 ранга Шлямин</w:t>
      </w:r>
    </w:p>
    <w:p w14:paraId="1169C3E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218E390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минимальную толщину брони для сиденья летчика, дающую вместе с парашютом пуленепробиваемую систему и защищающую летчика при обстреле его снизу пулями разного действия калибра 7,62 мм.</w:t>
      </w:r>
    </w:p>
    <w:p w14:paraId="682FC5BF"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пригодность пораженного пулями парашюта для безопасного спуска летного состава.</w:t>
      </w:r>
    </w:p>
    <w:p w14:paraId="0BC20D4D"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полигонных испытаний по подбору необходимой толщины брони для сиденья летчика – были использованы парашюты типа ПЛ-1 системы «Ирвин».</w:t>
      </w:r>
    </w:p>
    <w:p w14:paraId="2E84FF71"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качестве броневой защиты, предназначаемой для сиденья летчика, применялась цементованная броневая сталь марки «ИЗ», толщиной 6,6-7,0 мм и гомогенная, толщиной 6,6-7,0 мм, 4,85-4,95 мм и 3,7-3,8 мм.</w:t>
      </w:r>
    </w:p>
    <w:p w14:paraId="3F485BE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5FB970C"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Рекомендовать к принятию следующие толщины брони для чашки сидений летчика, обеспечивающих защиту от пуль снизу:</w:t>
      </w:r>
    </w:p>
    <w:p w14:paraId="2FDE7C2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для самолетов истребительного типа 3,5-4,0 мм;</w:t>
      </w:r>
    </w:p>
    <w:p w14:paraId="054EBBDE"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для самолетов бомбардировочного типа 6,0-6,5 мм.</w:t>
      </w:r>
    </w:p>
    <w:p w14:paraId="3889EE3E"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Рекомендовать для изготовления броневых сидений кремне-никель-молибденовую марку броневой стали, разработанную ВИАМом и Подольским заводом (6765).</w:t>
      </w:r>
    </w:p>
    <w:p w14:paraId="1E859C03" w14:textId="77777777" w:rsidR="00A25AD1" w:rsidRPr="00DB5D0D" w:rsidRDefault="00A25AD1" w:rsidP="00DB5D0D">
      <w:pPr>
        <w:tabs>
          <w:tab w:val="left" w:pos="360"/>
          <w:tab w:val="left" w:pos="11199"/>
        </w:tabs>
        <w:spacing w:after="0" w:line="240" w:lineRule="auto"/>
        <w:jc w:val="both"/>
        <w:rPr>
          <w:rFonts w:ascii="Times New Roman" w:hAnsi="Times New Roman"/>
          <w:color w:val="000000" w:themeColor="text1"/>
          <w:sz w:val="16"/>
          <w:szCs w:val="16"/>
        </w:rPr>
      </w:pPr>
    </w:p>
    <w:p w14:paraId="06BEF0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зам. наркома Авиапрома Яковлев писал письмо N 1598с начальнику НИИ ГУАС генерал-майору авиации Филину.</w:t>
      </w:r>
    </w:p>
    <w:p w14:paraId="662182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возложенной на нас задачей по изготовлению автомата для вывода самолета из пикирования, прошу Вашего распоряжения о немедленной передаче заводу N 213 пятого гл. управления НКАП автомата, смонтированного на имеющемся у вас самолете Ю-88.</w:t>
      </w:r>
    </w:p>
    <w:p w14:paraId="2E97CB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Демонтаж прошу произвести в присутствии конструкторов завода N 213 (1194,167).</w:t>
      </w:r>
    </w:p>
    <w:p w14:paraId="107541B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D67E9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начались испытания головной серии установки Звено СПБ, изготовленной на заводе 207. Использовали И-16 тип 24 с М-63 и всего оборудовали пять комплексов, которые поступили на вооружение 2 специальной эскадрильи 32 иап и 62 авиабригады ВВС ЧФ с базированием в Евпатории. До конца года отрабатывали тактику применения (1808,44).</w:t>
      </w:r>
    </w:p>
    <w:p w14:paraId="16642EB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C61666C" w14:textId="77777777" w:rsidR="00086A69" w:rsidRPr="00DB5D0D" w:rsidRDefault="00086A69"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В июне 1940 г. на авиазаводе № 207 подготовили первую серийную систему «Звено-СПБ», состоявшую из ТБ-3 с двигателями АМ-34РН и двух И-16 тип 24, Всего здесь оборудовали пять комплектов «Звена-СПБ», которые поступили на вооружение 2-й эскадрильи 32-го ИАП 62-й авиабригады ВВС Черноморского флота, с местом базирования в Евпатории. До конца года эскадрилья отрабатывала тактику применения нового вооружения на макетах боевых кораблей. Однако в январе 1941 г. командование флота посчитало «СПБ» слишком обременительными, поэтому их основные элементы демонтировали и сдали на склад (19109).</w:t>
      </w:r>
    </w:p>
    <w:p w14:paraId="5FA2F055" w14:textId="77777777" w:rsidR="00086A69" w:rsidRPr="00DB5D0D" w:rsidRDefault="00086A69" w:rsidP="00DB5D0D">
      <w:pPr>
        <w:pStyle w:val="a8"/>
        <w:jc w:val="both"/>
        <w:rPr>
          <w:rFonts w:ascii="Times New Roman" w:hAnsi="Times New Roman" w:cs="Times New Roman"/>
          <w:color w:val="000000" w:themeColor="text1"/>
        </w:rPr>
      </w:pPr>
    </w:p>
    <w:p w14:paraId="08EAE8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по возвращении из Германии И.Ф. Петров сообщил следующее: производство самолетов в Германии якобы в три раза пре</w:t>
      </w:r>
      <w:r w:rsidRPr="00DB5D0D">
        <w:rPr>
          <w:rFonts w:ascii="Times New Roman" w:hAnsi="Times New Roman"/>
          <w:color w:val="000000" w:themeColor="text1"/>
          <w:sz w:val="16"/>
          <w:szCs w:val="16"/>
        </w:rPr>
        <w:softHyphen/>
        <w:t>восходило советское. Это вызвало настоящий шок. Например, А.И. Шахурин пытался дважды опровергнуть эти выкладки, но, согласно рас</w:t>
      </w:r>
      <w:r w:rsidRPr="00DB5D0D">
        <w:rPr>
          <w:rFonts w:ascii="Times New Roman" w:hAnsi="Times New Roman"/>
          <w:color w:val="000000" w:themeColor="text1"/>
          <w:sz w:val="16"/>
          <w:szCs w:val="16"/>
        </w:rPr>
        <w:softHyphen/>
        <w:t>поряжению И.В. Сталина, было решено срочно увеличить вдвое выпуск самолетов (См: Петров И.Ф. Считаю своим долгом рассказать. Война началась до войны // Изобретатель и рационализатор. 1986. №4. С. 28-30, 34; Он же. Я выполнял задание Сталина. С. 32-35.).</w:t>
      </w:r>
    </w:p>
    <w:p w14:paraId="36E3D8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Вот как излагает сам И.Ф. Петров свою работу по оценке немецкого авиапотенциала: «На одной из встреч в Кремле перед поездкой в Герма</w:t>
      </w:r>
      <w:r w:rsidRPr="00DB5D0D">
        <w:rPr>
          <w:rFonts w:ascii="Times New Roman" w:hAnsi="Times New Roman"/>
          <w:color w:val="000000" w:themeColor="text1"/>
          <w:sz w:val="16"/>
          <w:szCs w:val="16"/>
        </w:rPr>
        <w:softHyphen/>
        <w:t>нию И.В. Сталин дал и мне персональное задание: «По договору немцы должны нам показать всю авиационную промышленность. При осмотре постарайтесь определить их промышленный потенциал. На случай вой</w:t>
      </w:r>
      <w:r w:rsidRPr="00DB5D0D">
        <w:rPr>
          <w:rFonts w:ascii="Times New Roman" w:hAnsi="Times New Roman"/>
          <w:color w:val="000000" w:themeColor="text1"/>
          <w:sz w:val="16"/>
          <w:szCs w:val="16"/>
        </w:rPr>
        <w:softHyphen/>
        <w:t>ны с Германией нам очень важно знать сейчас, сколько они смогут вы</w:t>
      </w:r>
      <w:r w:rsidRPr="00DB5D0D">
        <w:rPr>
          <w:rFonts w:ascii="Times New Roman" w:hAnsi="Times New Roman"/>
          <w:color w:val="000000" w:themeColor="text1"/>
          <w:sz w:val="16"/>
          <w:szCs w:val="16"/>
        </w:rPr>
        <w:softHyphen/>
        <w:t>пускать боевых самолетов в день».... Осмотрев в Германии 219 авиацион</w:t>
      </w:r>
      <w:r w:rsidRPr="00DB5D0D">
        <w:rPr>
          <w:rFonts w:ascii="Times New Roman" w:hAnsi="Times New Roman"/>
          <w:color w:val="000000" w:themeColor="text1"/>
          <w:sz w:val="16"/>
          <w:szCs w:val="16"/>
        </w:rPr>
        <w:softHyphen/>
        <w:t>ных точек - большую часть немецких авиазаводов, особенно новых, - я пришел к выводу, что Германия способна выпускать до 70 - 80 боевых са</w:t>
      </w:r>
      <w:r w:rsidRPr="00DB5D0D">
        <w:rPr>
          <w:rFonts w:ascii="Times New Roman" w:hAnsi="Times New Roman"/>
          <w:color w:val="000000" w:themeColor="text1"/>
          <w:sz w:val="16"/>
          <w:szCs w:val="16"/>
        </w:rPr>
        <w:softHyphen/>
        <w:t>молетов в день. Первое сообщение о проведенных мной расчетах я сде</w:t>
      </w:r>
      <w:r w:rsidRPr="00DB5D0D">
        <w:rPr>
          <w:rFonts w:ascii="Times New Roman" w:hAnsi="Times New Roman"/>
          <w:color w:val="000000" w:themeColor="text1"/>
          <w:sz w:val="16"/>
          <w:szCs w:val="16"/>
        </w:rPr>
        <w:softHyphen/>
        <w:t>лал на коллегии МАП, проходившей под руководством А.И. Шахурина. Названная мною цифра настолько не соответствовала существовавшим у руководителей нашей авиационной промышленности представлениям о потенциальной мощи авиапромышленности Германии, что мое сооб</w:t>
      </w:r>
      <w:r w:rsidRPr="00DB5D0D">
        <w:rPr>
          <w:rFonts w:ascii="Times New Roman" w:hAnsi="Times New Roman"/>
          <w:color w:val="000000" w:themeColor="text1"/>
          <w:sz w:val="16"/>
          <w:szCs w:val="16"/>
        </w:rPr>
        <w:softHyphen/>
        <w:t>щение было встречено раздраженно, если не враждебно. После такой реакции я, естественно, почувствовал себя весьма скверно. Шахурин за</w:t>
      </w:r>
      <w:r w:rsidRPr="00DB5D0D">
        <w:rPr>
          <w:rFonts w:ascii="Times New Roman" w:hAnsi="Times New Roman"/>
          <w:color w:val="000000" w:themeColor="text1"/>
          <w:sz w:val="16"/>
          <w:szCs w:val="16"/>
        </w:rPr>
        <w:softHyphen/>
        <w:t>седание коллегии закрыл, позвонил Маленкову. Тот сказал, чтобы мы не</w:t>
      </w:r>
      <w:r w:rsidRPr="00DB5D0D">
        <w:rPr>
          <w:rFonts w:ascii="Times New Roman" w:hAnsi="Times New Roman"/>
          <w:color w:val="000000" w:themeColor="text1"/>
          <w:sz w:val="16"/>
          <w:szCs w:val="16"/>
        </w:rPr>
        <w:softHyphen/>
        <w:t>медленно ехали к нему. Когда мы вошли в кабинет, Маленков задал мне единственный вопрос: «Сколько, по-Вашему, немцы смогут выпускать боевых самолетов в день?» - «По нашему подсчету - 70-80 самолетов в день,» - ответил я. Больше со мной он разговаривать не стал, ибо знал, что я выполнял личное задание Сталина. Он тут же позвонил ему, и Ста</w:t>
      </w:r>
      <w:r w:rsidRPr="00DB5D0D">
        <w:rPr>
          <w:rFonts w:ascii="Times New Roman" w:hAnsi="Times New Roman"/>
          <w:color w:val="000000" w:themeColor="text1"/>
          <w:sz w:val="16"/>
          <w:szCs w:val="16"/>
        </w:rPr>
        <w:softHyphen/>
        <w:t>лин попросил нас приехать к нему. Реакция Маленкова, отвечавшего в ЦК ВКП(б) за авиационную промышленность, и Шахурина была вполне понятна: наша промышленность выпускала в то время лишь 26 самоле</w:t>
      </w:r>
      <w:r w:rsidRPr="00DB5D0D">
        <w:rPr>
          <w:rFonts w:ascii="Times New Roman" w:hAnsi="Times New Roman"/>
          <w:color w:val="000000" w:themeColor="text1"/>
          <w:sz w:val="16"/>
          <w:szCs w:val="16"/>
        </w:rPr>
        <w:softHyphen/>
        <w:t>тов в день, включая и тренировочные... Кроме меня, эти материалы были подписаны инженером-механиком В.К. Михиным, сотрудником наше</w:t>
      </w:r>
      <w:r w:rsidRPr="00DB5D0D">
        <w:rPr>
          <w:rFonts w:ascii="Times New Roman" w:hAnsi="Times New Roman"/>
          <w:color w:val="000000" w:themeColor="text1"/>
          <w:sz w:val="16"/>
          <w:szCs w:val="16"/>
        </w:rPr>
        <w:softHyphen/>
        <w:t>го торгпредства в Германии, и С.П. Супруном. Окончив читать, Сталин встал, подошел к Маленкову: «Надо развернуть нашу промышленность на такое же количество боевых самолетов - на 70 - 80 самолетов в день» ... Вопрос о резком увеличении выпуска самолетов был настолько важен, что Сталин вместе с Дементьевым сам посетил несколько авиационных заводов» (Петров И.Ф. Я выполнял задание Сталина. С. 32-33.).</w:t>
      </w:r>
    </w:p>
    <w:p w14:paraId="5DEE8E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Обратим внимание на описанную И.Ф. Петровым реакцию наркома авиапромышленности А.И. Шахурина на изложенные первым цифры - он дважды усомнился в них. Еще раз отметим это обстоятельство.</w:t>
      </w:r>
    </w:p>
    <w:p w14:paraId="23CFD8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Вот что пишет об этих событиях сам А.И. Шахурин:</w:t>
      </w:r>
    </w:p>
    <w:p w14:paraId="77AF26F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«Поездки в Германию, пополнившие наше представление о немецкой авиации и авиапромышленности, привели нас к важным выводам. Стало ясно, что если взять все заводы, которые мы сейчас знаем в самой Германии, и те, что действуют в оккупированных ею или зависимых от нее странах, то можно считать, что гитлеровцы имеют значительно более мощную авиа</w:t>
      </w:r>
      <w:r w:rsidRPr="00DB5D0D">
        <w:rPr>
          <w:rFonts w:ascii="Times New Roman" w:hAnsi="Times New Roman"/>
          <w:color w:val="000000" w:themeColor="text1"/>
          <w:sz w:val="16"/>
          <w:szCs w:val="16"/>
        </w:rPr>
        <w:softHyphen/>
        <w:t>промышленность, чем наша. И могут еще расширить производство авиаци</w:t>
      </w:r>
      <w:r w:rsidRPr="00DB5D0D">
        <w:rPr>
          <w:rFonts w:ascii="Times New Roman" w:hAnsi="Times New Roman"/>
          <w:color w:val="000000" w:themeColor="text1"/>
          <w:sz w:val="16"/>
          <w:szCs w:val="16"/>
        </w:rPr>
        <w:softHyphen/>
        <w:t>онной техники.... Однажды я сообщил все эти соображения Сталину. Разго</w:t>
      </w:r>
      <w:r w:rsidRPr="00DB5D0D">
        <w:rPr>
          <w:rFonts w:ascii="Times New Roman" w:hAnsi="Times New Roman"/>
          <w:color w:val="000000" w:themeColor="text1"/>
          <w:sz w:val="16"/>
          <w:szCs w:val="16"/>
        </w:rPr>
        <w:softHyphen/>
        <w:t>вор произошел у него на даче... В один из таких вызовов на дачу, а дело было в июне 1940 года, я и рассказал Сталину о том, к каким выводам мы пришли, обобщив материалы поездок наших специалистов в Германию. Я прямо сказал, что выясняется очень опасная для нас картина. Немецкая авиапро</w:t>
      </w:r>
      <w:r w:rsidRPr="00DB5D0D">
        <w:rPr>
          <w:rFonts w:ascii="Times New Roman" w:hAnsi="Times New Roman"/>
          <w:color w:val="000000" w:themeColor="text1"/>
          <w:sz w:val="16"/>
          <w:szCs w:val="16"/>
        </w:rPr>
        <w:softHyphen/>
        <w:t>мышленность вместе с промышленностью оккупированных ею стран при</w:t>
      </w:r>
      <w:r w:rsidRPr="00DB5D0D">
        <w:rPr>
          <w:rFonts w:ascii="Times New Roman" w:hAnsi="Times New Roman"/>
          <w:color w:val="000000" w:themeColor="text1"/>
          <w:sz w:val="16"/>
          <w:szCs w:val="16"/>
        </w:rPr>
        <w:softHyphen/>
        <w:t>мерно в два раза мощнее нашей. Сталин знал немецкие серийные самолеты. Тут для него ничего нового не было. Но, как я мог заметить, он несколько удивился, услышав, что мы существенно отстаем от мощностей немецкой авиапромышленности. Сталин задал несколько вопросов о германских подземных заводах, чем они отличаются от обычных, и предложил:</w:t>
      </w:r>
    </w:p>
    <w:p w14:paraId="1576A9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Напишите все это официально и представьте свои соображения!</w:t>
      </w:r>
    </w:p>
    <w:p w14:paraId="0447B5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записке, направленной в ЦК партии, основанной на впечатлениях на</w:t>
      </w:r>
      <w:r w:rsidRPr="00DB5D0D">
        <w:rPr>
          <w:rFonts w:ascii="Times New Roman" w:hAnsi="Times New Roman"/>
          <w:color w:val="000000" w:themeColor="text1"/>
          <w:sz w:val="16"/>
          <w:szCs w:val="16"/>
        </w:rPr>
        <w:softHyphen/>
        <w:t>ших товарищей, побывавших в Германии, наркомат предлагал увеличить количество авиационных заводов и ускорить строительство тех, что уже возводились... Все наши предложения были приняты... Надо сказать, что и в 1939 году советская авиационная промышленность была уже достаточ</w:t>
      </w:r>
      <w:r w:rsidRPr="00DB5D0D">
        <w:rPr>
          <w:rFonts w:ascii="Times New Roman" w:hAnsi="Times New Roman"/>
          <w:color w:val="000000" w:themeColor="text1"/>
          <w:sz w:val="16"/>
          <w:szCs w:val="16"/>
        </w:rPr>
        <w:softHyphen/>
        <w:t>но мощной отраслью. Решения 1939 года еще усиливали ее. И вот спустя только год предлагалось размах работ увеличить вдвое, намного ускорить реконструкцию производства, создать новые площади, чтобы и тут не усту</w:t>
      </w:r>
      <w:r w:rsidRPr="00DB5D0D">
        <w:rPr>
          <w:rFonts w:ascii="Times New Roman" w:hAnsi="Times New Roman"/>
          <w:color w:val="000000" w:themeColor="text1"/>
          <w:sz w:val="16"/>
          <w:szCs w:val="16"/>
        </w:rPr>
        <w:softHyphen/>
        <w:t>пать вероятному противнику» (Шахурин А.И. Указ. соч. С. 102,104-106.).</w:t>
      </w:r>
    </w:p>
    <w:p w14:paraId="4E1339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Заметим, что А.И. Шахурин не приводил описание своего спора с И.Ф. Петровым. Он датировал решение об удвоении мощностей авиапрома июнем 1940 года и делал акцент на колоссальных усилиях для обеспечения этих решений.</w:t>
      </w:r>
    </w:p>
    <w:p w14:paraId="52A0EF2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Подытожим обзор данных И.Ф. Петрова. Согласно его выкладкам, в Гер</w:t>
      </w:r>
      <w:r w:rsidRPr="00DB5D0D">
        <w:rPr>
          <w:rFonts w:ascii="Times New Roman" w:hAnsi="Times New Roman"/>
          <w:color w:val="000000" w:themeColor="text1"/>
          <w:sz w:val="16"/>
          <w:szCs w:val="16"/>
        </w:rPr>
        <w:softHyphen/>
        <w:t>мании могли выпускать в день 70 - 80 самолетов. То есть соответственно месячный выпуск составлял 2100 - 2400 самолетов, а годовой - 25,2 - 28,2 тысяч машин. По этим же данным, советское производство, составлявшее 26 машин в день, могло соответствовать месячному в 780 машин и годо</w:t>
      </w:r>
      <w:r w:rsidRPr="00DB5D0D">
        <w:rPr>
          <w:rFonts w:ascii="Times New Roman" w:hAnsi="Times New Roman"/>
          <w:color w:val="000000" w:themeColor="text1"/>
          <w:sz w:val="16"/>
          <w:szCs w:val="16"/>
        </w:rPr>
        <w:softHyphen/>
        <w:t>вому в 9,36 тысяч машин. Итоговое соотношение между реальным совет</w:t>
      </w:r>
      <w:r w:rsidRPr="00DB5D0D">
        <w:rPr>
          <w:rFonts w:ascii="Times New Roman" w:hAnsi="Times New Roman"/>
          <w:color w:val="000000" w:themeColor="text1"/>
          <w:sz w:val="16"/>
          <w:szCs w:val="16"/>
        </w:rPr>
        <w:softHyphen/>
        <w:t>ским и предполагаемым немецким авиапроизводством первой половины 1940 года, согласно И.Ф. Петрову, составляло 1 к 2,7 - 3,1 (приблизительно 1:3). И если принять его выкладки за аксиому, то нельзя не прийти к выво</w:t>
      </w:r>
      <w:r w:rsidRPr="00DB5D0D">
        <w:rPr>
          <w:rFonts w:ascii="Times New Roman" w:hAnsi="Times New Roman"/>
          <w:color w:val="000000" w:themeColor="text1"/>
          <w:sz w:val="16"/>
          <w:szCs w:val="16"/>
        </w:rPr>
        <w:softHyphen/>
        <w:t>ду о катастрофическом положении, в котором к лету 1940 года оказались и ВВС РККА, и советская авиапромышленность.</w:t>
      </w:r>
    </w:p>
    <w:p w14:paraId="03040A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Реальные цифры о германском авиапроизводстве известны в отечест</w:t>
      </w:r>
      <w:r w:rsidRPr="00DB5D0D">
        <w:rPr>
          <w:rFonts w:ascii="Times New Roman" w:hAnsi="Times New Roman"/>
          <w:color w:val="000000" w:themeColor="text1"/>
          <w:sz w:val="16"/>
          <w:szCs w:val="16"/>
        </w:rPr>
        <w:softHyphen/>
        <w:t>венной исторической науке как минимум уже свыше трети века. Согласно им, в среднем за день в Германии выпускали: в 1939 году - 23 самолета (в том числе истребителей - 5, бомбардировщиков - 8); в 1940 году - 28 самоле</w:t>
      </w:r>
      <w:r w:rsidRPr="00DB5D0D">
        <w:rPr>
          <w:rFonts w:ascii="Times New Roman" w:hAnsi="Times New Roman"/>
          <w:color w:val="000000" w:themeColor="text1"/>
          <w:sz w:val="16"/>
          <w:szCs w:val="16"/>
        </w:rPr>
        <w:softHyphen/>
        <w:t>тов (в том числе истребителей - 8, бомбардировщиков - 8 (Подсчитано по: Дашичев В.И. Банкротство стратегии германского фашизма. Исторические очерки, документы и материалы. Т. 1. С. 534.). Советское среднее ежедневное авиапроизводство в 1939 - 1940 годах характеризо</w:t>
      </w:r>
      <w:r w:rsidRPr="00DB5D0D">
        <w:rPr>
          <w:rFonts w:ascii="Times New Roman" w:hAnsi="Times New Roman"/>
          <w:color w:val="000000" w:themeColor="text1"/>
          <w:sz w:val="16"/>
          <w:szCs w:val="16"/>
        </w:rPr>
        <w:softHyphen/>
        <w:t>валось следующими цифрами: в 1939 году - 28,39 самолетов (в том числе истребителей - 10,2, бомбардировщиков - 7,52); в 1940 году - 28,95 само</w:t>
      </w:r>
      <w:r w:rsidRPr="00DB5D0D">
        <w:rPr>
          <w:rFonts w:ascii="Times New Roman" w:hAnsi="Times New Roman"/>
          <w:color w:val="000000" w:themeColor="text1"/>
          <w:sz w:val="16"/>
          <w:szCs w:val="16"/>
        </w:rPr>
        <w:softHyphen/>
        <w:t>летов (в том числе истребителей - 12,76, бомбардировщиков - 9,8) (Подсчитано по: 1941 год. Документы. Кн. 2. С. 490-491.). Та</w:t>
      </w:r>
      <w:r w:rsidRPr="00DB5D0D">
        <w:rPr>
          <w:rFonts w:ascii="Times New Roman" w:hAnsi="Times New Roman"/>
          <w:color w:val="000000" w:themeColor="text1"/>
          <w:sz w:val="16"/>
          <w:szCs w:val="16"/>
        </w:rPr>
        <w:softHyphen/>
        <w:t>ким образом, советское авиапроизводство в 1939 году было выше германс</w:t>
      </w:r>
      <w:r w:rsidRPr="00DB5D0D">
        <w:rPr>
          <w:rFonts w:ascii="Times New Roman" w:hAnsi="Times New Roman"/>
          <w:color w:val="000000" w:themeColor="text1"/>
          <w:sz w:val="16"/>
          <w:szCs w:val="16"/>
        </w:rPr>
        <w:softHyphen/>
        <w:t>кого по самолетам всех типов - на 125%, по самолетам-истребителям - на 200% и составляло 95% от производства германских бомбардировщиков. В 1940 году оно опережало германское по самолетам всех типов - на 103%, по истребителям - на 170%, по бомбардировщикам - на 125 %.</w:t>
      </w:r>
    </w:p>
    <w:p w14:paraId="4D11E9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Итак, реальная картина совершенно отличалась от выкладок И.Ф. Пет</w:t>
      </w:r>
      <w:r w:rsidRPr="00DB5D0D">
        <w:rPr>
          <w:rFonts w:ascii="Times New Roman" w:hAnsi="Times New Roman"/>
          <w:color w:val="000000" w:themeColor="text1"/>
          <w:sz w:val="16"/>
          <w:szCs w:val="16"/>
        </w:rPr>
        <w:softHyphen/>
        <w:t>рова. Обратим внимание, что эти цифры оставили без комментариев впервые подготовившие публикацию его мемуаров в 1992 году В.Н. Бычков и Г.В. Костырченко (см. Костырченко Г.В. Наркомат авиационной промышленности накануне и в годы Великой Отечественной войны 1939 - 1945. (07.00.02). Московский государственный историко-архивный институт. М., 1988).). В монографии же ДА Соболева также указано: «Боль</w:t>
      </w:r>
      <w:r w:rsidRPr="00DB5D0D">
        <w:rPr>
          <w:rFonts w:ascii="Times New Roman" w:hAnsi="Times New Roman"/>
          <w:color w:val="000000" w:themeColor="text1"/>
          <w:sz w:val="16"/>
          <w:szCs w:val="16"/>
        </w:rPr>
        <w:softHyphen/>
        <w:t>шую озабоченность у советских руководителей вызвали сведения о темпах выпуска самолетов в Германии. По оценке помощника начальника НИИ ВВС И.Ф. Петрова, немецкие заводы вместе с предприятиями оккупирован</w:t>
      </w:r>
      <w:r w:rsidRPr="00DB5D0D">
        <w:rPr>
          <w:rFonts w:ascii="Times New Roman" w:hAnsi="Times New Roman"/>
          <w:color w:val="000000" w:themeColor="text1"/>
          <w:sz w:val="16"/>
          <w:szCs w:val="16"/>
        </w:rPr>
        <w:softHyphen/>
        <w:t>ных Германией Чехословакии и Польши могли при необходимости выпус</w:t>
      </w:r>
      <w:r w:rsidRPr="00DB5D0D">
        <w:rPr>
          <w:rFonts w:ascii="Times New Roman" w:hAnsi="Times New Roman"/>
          <w:color w:val="000000" w:themeColor="text1"/>
          <w:sz w:val="16"/>
          <w:szCs w:val="16"/>
        </w:rPr>
        <w:softHyphen/>
        <w:t>кать 70 - 80 самолетов в день. Между тем советские авиационные заводы производили 26 боевых самолетов в день» (Соболев Д.А. Указ. соч. С. 49.). Эта же информация находила следующее продолжение: «Как уже говорилось, по сведениям наших специ</w:t>
      </w:r>
      <w:r w:rsidRPr="00DB5D0D">
        <w:rPr>
          <w:rFonts w:ascii="Times New Roman" w:hAnsi="Times New Roman"/>
          <w:color w:val="000000" w:themeColor="text1"/>
          <w:sz w:val="16"/>
          <w:szCs w:val="16"/>
        </w:rPr>
        <w:softHyphen/>
        <w:t>алистов, объем выпуска немецких самолетов был значительно выше, чем в нашей стране» (Соболев Д.А. Указ. соч. С. 54.).</w:t>
      </w:r>
    </w:p>
    <w:p w14:paraId="432724B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еще более странно, что ни один российский историк никогда не поднимал этот вопрос вообще. Лишь весной 2000 года на него указал М.Ю. Мухин, с которым автор обменялся точкой зрения на роль миссии И.Ф. Петрова для развития отечественного авиапрома: «Надо отметить, что данный эпизод относится к ряду «темных мест» довоенного соперничества советской и германской авиапромышленности.... Сейчас трудно однознач</w:t>
      </w:r>
      <w:r w:rsidRPr="00DB5D0D">
        <w:rPr>
          <w:rFonts w:ascii="Times New Roman" w:hAnsi="Times New Roman"/>
          <w:color w:val="000000" w:themeColor="text1"/>
          <w:sz w:val="16"/>
          <w:szCs w:val="16"/>
        </w:rPr>
        <w:softHyphen/>
        <w:t>но утверждать, что послужило причиной этой ошибки - добросовестное заблуждение Петрова, его желание «выдвинуться» на фоне разоблачений «врагов народа» в НКАП, тонкая провокация германских спецслужб, пытав</w:t>
      </w:r>
      <w:r w:rsidRPr="00DB5D0D">
        <w:rPr>
          <w:rFonts w:ascii="Times New Roman" w:hAnsi="Times New Roman"/>
          <w:color w:val="000000" w:themeColor="text1"/>
          <w:sz w:val="16"/>
          <w:szCs w:val="16"/>
        </w:rPr>
        <w:softHyphen/>
        <w:t>шихся сбить с толку потенциального противника, или что-то иное...» (Мухин М.Ю. Эволюция системы управления советской оборонной промышленностью в 1921 -1941 годах и смена приоритетов «оборонки» С. 13.) (11710,269).</w:t>
      </w:r>
    </w:p>
    <w:p w14:paraId="4FB874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2647F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при Центральном институте погоды организовали экспериментальный воздухоплавательный отдел (ЭВО) в Долгопрудном на базе бывшего Дирижаблестроя СССР (224,9).</w:t>
      </w:r>
    </w:p>
    <w:p w14:paraId="148804A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27A6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дело С.П.К. пересмотрели и он получил 8 лет лагерей, пока в сентябре не был направлен в ЦКБ-29 (5380, 24).</w:t>
      </w:r>
    </w:p>
    <w:p w14:paraId="293BC2A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4A6E0A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возобновились испытания ПСН-2, которая должна была наводиться по инфракрасному лучу ИК-прожектора (система получила обозначение "Квант"). В этом же году планировалось запустить в серию и боевые образцы ПТ. Было решение об организации учебного центра для подготовки специалистов по обслуживанию и применению их в войсках. На заводе N023 началась подготовка к серийному производству боевых образцов (3861).</w:t>
      </w:r>
    </w:p>
    <w:p w14:paraId="4106112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0CE04BA"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провели испытания ПСН-2 на буксире за самолётом МБР-2 с длиной троса 125 и 145 м. Испытания проводились на оз. Донузлав с обеспечением из авиабазы г. Евпатория.</w:t>
      </w:r>
    </w:p>
    <w:p w14:paraId="1A982672"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Подготовку к испытаниям ПСН-2 вёл постоянный военный состав СИП (специальной испытательной партии) в количестве 9 человек начальствующего состава и двух младших командиров сверхсрочной службы.</w:t>
      </w:r>
    </w:p>
    <w:p w14:paraId="5A0792D8"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одной из пробежек на буксире на скорости 125-135 км/ч ПСН-2 взлетел и пролетел по прямой на тросе за буксировщиком около 5 км на высоте 10-15 метров. На скорости в </w:t>
      </w:r>
      <w:r w:rsidRPr="00DB5D0D">
        <w:rPr>
          <w:rStyle w:val="5pt20"/>
          <w:rFonts w:ascii="Times New Roman" w:hAnsi="Times New Roman" w:cs="Times New Roman"/>
          <w:b w:val="0"/>
          <w:color w:val="000000" w:themeColor="text1"/>
          <w:w w:val="100"/>
          <w:sz w:val="16"/>
          <w:szCs w:val="16"/>
        </w:rPr>
        <w:t>j</w:t>
      </w:r>
      <w:r w:rsidRPr="00DB5D0D">
        <w:rPr>
          <w:rFonts w:ascii="Times New Roman" w:hAnsi="Times New Roman"/>
          <w:color w:val="000000" w:themeColor="text1"/>
          <w:sz w:val="16"/>
          <w:szCs w:val="16"/>
        </w:rPr>
        <w:t>175 км/ч ПСН-2 отцепился, спланировал и плавно произвёл посадку.</w:t>
      </w:r>
    </w:p>
    <w:p w14:paraId="6F99417B"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на буксире выполнили 13 полётов, 10 из них с подлётом. Планером управлял лётчик испытатель Н.Н. Иванов, МБР-2 пилотировал лётчик Гребенников.</w:t>
      </w:r>
    </w:p>
    <w:p w14:paraId="657203CB"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Было решено перейти к стартам с самолёта-носителя ТБ-3 (ДБ-3 ещё не был предо</w:t>
      </w:r>
      <w:r w:rsidRPr="00DB5D0D">
        <w:rPr>
          <w:rFonts w:ascii="Times New Roman" w:hAnsi="Times New Roman"/>
          <w:color w:val="000000" w:themeColor="text1"/>
          <w:sz w:val="16"/>
          <w:szCs w:val="16"/>
        </w:rPr>
        <w:softHyphen/>
        <w:t>ставлен для испытаний).</w:t>
      </w:r>
    </w:p>
    <w:p w14:paraId="6208632D"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Аппаратура управления по программе «Изумруд» для ПСН-2 прошла лабораторные испытания, а облёт на истребителе И-16 провести не успели.</w:t>
      </w:r>
    </w:p>
    <w:p w14:paraId="76D1ACC8"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вот на таком, довольно успешном этапе, появляются постановления за номерами №№ 00154 и 00155 от 19 июля 1940 года за подписью Наркома ВМФ Кузнецова о прекращении всех испытаний и дальнейших работ по программе ТОС-ПТ и по составному самолету т. Вахмистрова (проект «Звено - ТБ-3 + 1 И-16 СПБ»).</w:t>
      </w:r>
    </w:p>
    <w:p w14:paraId="64DE6306"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Двухпоплавковый гидропланер-моноплан с низко расположенным крылом. Форма кры</w:t>
      </w:r>
      <w:r w:rsidRPr="00DB5D0D">
        <w:rPr>
          <w:rFonts w:ascii="Times New Roman" w:hAnsi="Times New Roman"/>
          <w:color w:val="000000" w:themeColor="text1"/>
          <w:sz w:val="16"/>
          <w:szCs w:val="16"/>
        </w:rPr>
        <w:softHyphen/>
        <w:t>ла в плане трапециевидная, со скругленными законцовками. По передней кромке крыло имеет резко выраженную стреловидность, введённую, главным образом, для обеспечения правильной центровки планера.</w:t>
      </w:r>
    </w:p>
    <w:p w14:paraId="4289CC73"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фюзеляжа, крыла, стабилизатора и поплавков - деревянная. Рули и элеро</w:t>
      </w:r>
      <w:r w:rsidRPr="00DB5D0D">
        <w:rPr>
          <w:rFonts w:ascii="Times New Roman" w:hAnsi="Times New Roman"/>
          <w:color w:val="000000" w:themeColor="text1"/>
          <w:sz w:val="16"/>
          <w:szCs w:val="16"/>
        </w:rPr>
        <w:softHyphen/>
        <w:t>ны дюралевые, обтянуты полотном и имеют весовую балансировку. Для увеличения путевой устойчивости на кормовой части поплавков установлены дополнительные воздушные кили.</w:t>
      </w:r>
    </w:p>
    <w:p w14:paraId="3B752780"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схему управления включен автопилот, который по желанию летчика может быть вы</w:t>
      </w:r>
      <w:r w:rsidRPr="00DB5D0D">
        <w:rPr>
          <w:rFonts w:ascii="Times New Roman" w:hAnsi="Times New Roman"/>
          <w:color w:val="000000" w:themeColor="text1"/>
          <w:sz w:val="16"/>
          <w:szCs w:val="16"/>
        </w:rPr>
        <w:softHyphen/>
        <w:t>ключен (на испытаниях планер летал только с весовым макетом автопилота). Приборы автомата управления планером размещаются в основном внутри фюзеляжа и, частично, в центроплане, подход к ним обеспечен через люки.</w:t>
      </w:r>
    </w:p>
    <w:p w14:paraId="18793D88"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 пилота наблюдателя расположена в носовой части фюзеляжа.</w:t>
      </w:r>
    </w:p>
    <w:p w14:paraId="7E3A50AF"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планере установлен центральный узел подвески под самолёт-матку и четыре упо</w:t>
      </w:r>
      <w:r w:rsidRPr="00DB5D0D">
        <w:rPr>
          <w:rFonts w:ascii="Times New Roman" w:hAnsi="Times New Roman"/>
          <w:color w:val="000000" w:themeColor="text1"/>
          <w:sz w:val="16"/>
          <w:szCs w:val="16"/>
        </w:rPr>
        <w:softHyphen/>
      </w:r>
      <w:r w:rsidRPr="00DB5D0D">
        <w:rPr>
          <w:rStyle w:val="0pt1"/>
          <w:rFonts w:eastAsia="Arial Unicode MS"/>
          <w:b w:val="0"/>
          <w:color w:val="000000" w:themeColor="text1"/>
          <w:spacing w:val="0"/>
          <w:sz w:val="16"/>
          <w:szCs w:val="16"/>
        </w:rPr>
        <w:t>ра</w:t>
      </w:r>
      <w:r w:rsidRPr="00DB5D0D">
        <w:rPr>
          <w:rFonts w:ascii="Times New Roman" w:hAnsi="Times New Roman"/>
          <w:color w:val="000000" w:themeColor="text1"/>
          <w:sz w:val="16"/>
          <w:szCs w:val="16"/>
        </w:rPr>
        <w:t xml:space="preserve"> - два на фюзеляже и два на консолях крыла. В центроплане под фюзеляжем установлен змок подвески специальных грузов (бомбы или торпеды) и соответствуюшие упоры. В качестве буксировщика предлагался самолёт ДБ-3.</w:t>
      </w:r>
    </w:p>
    <w:p w14:paraId="1E365851" w14:textId="77777777" w:rsidR="00C65D4B" w:rsidRPr="00DB5D0D" w:rsidRDefault="00C65D4B" w:rsidP="00DB5D0D">
      <w:pPr>
        <w:pStyle w:val="290"/>
        <w:shd w:val="clear" w:color="auto" w:fill="auto"/>
        <w:spacing w:after="0" w:line="240" w:lineRule="auto"/>
        <w:rPr>
          <w:rFonts w:ascii="Times New Roman" w:hAnsi="Times New Roman" w:cs="Times New Roman"/>
          <w:b w:val="0"/>
          <w:color w:val="000000" w:themeColor="text1"/>
          <w:sz w:val="16"/>
          <w:szCs w:val="16"/>
        </w:rPr>
      </w:pPr>
      <w:r w:rsidRPr="00DB5D0D">
        <w:rPr>
          <w:rFonts w:ascii="Times New Roman" w:hAnsi="Times New Roman" w:cs="Times New Roman"/>
          <w:b w:val="0"/>
          <w:color w:val="000000" w:themeColor="text1"/>
          <w:sz w:val="16"/>
          <w:szCs w:val="16"/>
        </w:rPr>
        <w:t>Тактико-технические данные планера ПСН-2, 1940 г.</w:t>
      </w:r>
    </w:p>
    <w:p w14:paraId="25E6CFF4" w14:textId="77777777" w:rsidR="00C65D4B" w:rsidRPr="00DB5D0D" w:rsidRDefault="00C65D4B" w:rsidP="00DB5D0D">
      <w:pPr>
        <w:tabs>
          <w:tab w:val="left" w:leader="dot" w:pos="727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крыла, м</w:t>
      </w:r>
      <w:r w:rsidRPr="00DB5D0D">
        <w:rPr>
          <w:rFonts w:ascii="Times New Roman" w:hAnsi="Times New Roman"/>
          <w:color w:val="000000" w:themeColor="text1"/>
          <w:sz w:val="16"/>
          <w:szCs w:val="16"/>
        </w:rPr>
        <w:tab/>
        <w:t>7,00</w:t>
      </w:r>
    </w:p>
    <w:p w14:paraId="22C483C8" w14:textId="77777777" w:rsidR="00C65D4B" w:rsidRPr="00DB5D0D" w:rsidRDefault="00C65D4B" w:rsidP="00DB5D0D">
      <w:pPr>
        <w:tabs>
          <w:tab w:val="left" w:leader="dot" w:pos="7283"/>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центроплана, м</w:t>
      </w:r>
      <w:r w:rsidRPr="00DB5D0D">
        <w:rPr>
          <w:rFonts w:ascii="Times New Roman" w:hAnsi="Times New Roman"/>
          <w:color w:val="000000" w:themeColor="text1"/>
          <w:sz w:val="16"/>
          <w:szCs w:val="16"/>
        </w:rPr>
        <w:tab/>
        <w:t>2,02</w:t>
      </w:r>
    </w:p>
    <w:p w14:paraId="680055B6" w14:textId="77777777" w:rsidR="00C65D4B" w:rsidRPr="00DB5D0D" w:rsidRDefault="00C65D4B" w:rsidP="00DB5D0D">
      <w:pPr>
        <w:tabs>
          <w:tab w:val="left" w:leader="dot" w:pos="727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ab/>
        <w:t>9,47</w:t>
      </w:r>
    </w:p>
    <w:p w14:paraId="6FE520F3" w14:textId="77777777" w:rsidR="00C65D4B" w:rsidRPr="00DB5D0D" w:rsidRDefault="00C65D4B" w:rsidP="00DB5D0D">
      <w:pPr>
        <w:tabs>
          <w:tab w:val="left" w:leader="dot" w:pos="747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установки крыла, гр</w:t>
      </w:r>
      <w:r w:rsidRPr="00DB5D0D">
        <w:rPr>
          <w:rFonts w:ascii="Times New Roman" w:hAnsi="Times New Roman"/>
          <w:color w:val="000000" w:themeColor="text1"/>
          <w:sz w:val="16"/>
          <w:szCs w:val="16"/>
        </w:rPr>
        <w:tab/>
        <w:t xml:space="preserve"> 2</w:t>
      </w:r>
    </w:p>
    <w:p w14:paraId="442DF174" w14:textId="77777777" w:rsidR="00C65D4B" w:rsidRPr="00DB5D0D" w:rsidRDefault="00C65D4B" w:rsidP="00DB5D0D">
      <w:pPr>
        <w:tabs>
          <w:tab w:val="left" w:leader="dot" w:pos="7557"/>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Поперечное V, гр</w:t>
      </w:r>
      <w:r w:rsidRPr="00DB5D0D">
        <w:rPr>
          <w:rFonts w:ascii="Times New Roman" w:hAnsi="Times New Roman"/>
          <w:color w:val="000000" w:themeColor="text1"/>
          <w:sz w:val="16"/>
          <w:szCs w:val="16"/>
        </w:rPr>
        <w:tab/>
        <w:t>4</w:t>
      </w:r>
    </w:p>
    <w:p w14:paraId="3194CDA0" w14:textId="77777777" w:rsidR="00C65D4B" w:rsidRPr="00DB5D0D" w:rsidRDefault="00C65D4B" w:rsidP="00DB5D0D">
      <w:pPr>
        <w:tabs>
          <w:tab w:val="left" w:leader="dot" w:pos="718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элерона, м</w:t>
      </w:r>
      <w:r w:rsidRPr="00DB5D0D">
        <w:rPr>
          <w:rFonts w:ascii="Times New Roman" w:hAnsi="Times New Roman"/>
          <w:color w:val="000000" w:themeColor="text1"/>
          <w:sz w:val="16"/>
          <w:szCs w:val="16"/>
        </w:rPr>
        <w:tab/>
        <w:t>1,966</w:t>
      </w:r>
    </w:p>
    <w:p w14:paraId="34A14ED7" w14:textId="77777777" w:rsidR="00C65D4B" w:rsidRPr="00DB5D0D" w:rsidRDefault="00C65D4B" w:rsidP="00DB5D0D">
      <w:pPr>
        <w:tabs>
          <w:tab w:val="left" w:leader="dot" w:pos="5258"/>
          <w:tab w:val="left" w:leader="dot" w:pos="720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планера, м</w:t>
      </w:r>
      <w:r w:rsidRPr="00DB5D0D">
        <w:rPr>
          <w:rFonts w:ascii="Times New Roman" w:hAnsi="Times New Roman"/>
          <w:color w:val="000000" w:themeColor="text1"/>
          <w:sz w:val="16"/>
          <w:szCs w:val="16"/>
        </w:rPr>
        <w:tab/>
        <w:t>:</w:t>
      </w:r>
      <w:r w:rsidRPr="00DB5D0D">
        <w:rPr>
          <w:rFonts w:ascii="Times New Roman" w:hAnsi="Times New Roman"/>
          <w:color w:val="000000" w:themeColor="text1"/>
          <w:sz w:val="16"/>
          <w:szCs w:val="16"/>
        </w:rPr>
        <w:tab/>
        <w:t>7,980</w:t>
      </w:r>
    </w:p>
    <w:p w14:paraId="2B5A4E2C" w14:textId="77777777" w:rsidR="00C65D4B" w:rsidRPr="00DB5D0D" w:rsidRDefault="00C65D4B" w:rsidP="00DB5D0D">
      <w:pPr>
        <w:tabs>
          <w:tab w:val="left" w:leader="dot" w:pos="727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на поплавках, м</w:t>
      </w:r>
      <w:r w:rsidRPr="00DB5D0D">
        <w:rPr>
          <w:rFonts w:ascii="Times New Roman" w:hAnsi="Times New Roman"/>
          <w:color w:val="000000" w:themeColor="text1"/>
          <w:sz w:val="16"/>
          <w:szCs w:val="16"/>
        </w:rPr>
        <w:tab/>
        <w:t>2,80</w:t>
      </w:r>
    </w:p>
    <w:p w14:paraId="4275AD13" w14:textId="77777777" w:rsidR="00C65D4B" w:rsidRPr="00DB5D0D" w:rsidRDefault="00C65D4B" w:rsidP="00DB5D0D">
      <w:pPr>
        <w:tabs>
          <w:tab w:val="left" w:leader="dot" w:pos="727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Размах стабилизатора, м </w:t>
      </w:r>
      <w:r w:rsidRPr="00DB5D0D">
        <w:rPr>
          <w:rFonts w:ascii="Times New Roman" w:hAnsi="Times New Roman"/>
          <w:color w:val="000000" w:themeColor="text1"/>
          <w:sz w:val="16"/>
          <w:szCs w:val="16"/>
        </w:rPr>
        <w:tab/>
        <w:t>2,50</w:t>
      </w:r>
    </w:p>
    <w:p w14:paraId="377D897F" w14:textId="77777777" w:rsidR="00C65D4B" w:rsidRPr="00DB5D0D" w:rsidRDefault="00C65D4B" w:rsidP="00DB5D0D">
      <w:pPr>
        <w:tabs>
          <w:tab w:val="left" w:leader="dot" w:pos="717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колеи поплавков, м</w:t>
      </w:r>
      <w:r w:rsidRPr="00DB5D0D">
        <w:rPr>
          <w:rFonts w:ascii="Times New Roman" w:hAnsi="Times New Roman"/>
          <w:color w:val="000000" w:themeColor="text1"/>
          <w:sz w:val="16"/>
          <w:szCs w:val="16"/>
        </w:rPr>
        <w:tab/>
        <w:t>1,728</w:t>
      </w:r>
    </w:p>
    <w:p w14:paraId="66108D93"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Поплавки ЦАГИ, модель 91:</w:t>
      </w:r>
    </w:p>
    <w:p w14:paraId="24142256" w14:textId="77777777" w:rsidR="00C65D4B" w:rsidRPr="00DB5D0D" w:rsidRDefault="00C65D4B" w:rsidP="00DB5D0D">
      <w:pPr>
        <w:tabs>
          <w:tab w:val="left" w:leader="dot" w:pos="728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поплавка, м</w:t>
      </w:r>
      <w:r w:rsidRPr="00DB5D0D">
        <w:rPr>
          <w:rFonts w:ascii="Times New Roman" w:hAnsi="Times New Roman"/>
          <w:color w:val="000000" w:themeColor="text1"/>
          <w:sz w:val="16"/>
          <w:szCs w:val="16"/>
        </w:rPr>
        <w:tab/>
        <w:t>5,04</w:t>
      </w:r>
    </w:p>
    <w:p w14:paraId="3376003B" w14:textId="77777777" w:rsidR="00C65D4B" w:rsidRPr="00DB5D0D" w:rsidRDefault="00C65D4B" w:rsidP="00DB5D0D">
      <w:pPr>
        <w:tabs>
          <w:tab w:val="left" w:leader="dot" w:pos="727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поплавка по миделю, м</w:t>
      </w:r>
      <w:r w:rsidRPr="00DB5D0D">
        <w:rPr>
          <w:rFonts w:ascii="Times New Roman" w:hAnsi="Times New Roman"/>
          <w:color w:val="000000" w:themeColor="text1"/>
          <w:sz w:val="16"/>
          <w:szCs w:val="16"/>
        </w:rPr>
        <w:tab/>
        <w:t>0,60</w:t>
      </w:r>
    </w:p>
    <w:p w14:paraId="50F399BF" w14:textId="77777777" w:rsidR="00C65D4B" w:rsidRPr="00DB5D0D" w:rsidRDefault="00C65D4B" w:rsidP="00DB5D0D">
      <w:pPr>
        <w:pStyle w:val="290"/>
        <w:shd w:val="clear" w:color="auto" w:fill="auto"/>
        <w:spacing w:after="0" w:line="240" w:lineRule="auto"/>
        <w:rPr>
          <w:rFonts w:ascii="Times New Roman" w:hAnsi="Times New Roman" w:cs="Times New Roman"/>
          <w:b w:val="0"/>
          <w:color w:val="000000" w:themeColor="text1"/>
          <w:sz w:val="16"/>
          <w:szCs w:val="16"/>
        </w:rPr>
      </w:pPr>
      <w:r w:rsidRPr="00DB5D0D">
        <w:rPr>
          <w:rFonts w:ascii="Times New Roman" w:hAnsi="Times New Roman" w:cs="Times New Roman"/>
          <w:b w:val="0"/>
          <w:color w:val="000000" w:themeColor="text1"/>
          <w:sz w:val="16"/>
          <w:szCs w:val="16"/>
        </w:rPr>
        <w:t>Высота поплавка по миделю, м</w:t>
      </w:r>
      <w:r w:rsidRPr="00DB5D0D">
        <w:rPr>
          <w:rFonts w:ascii="Times New Roman" w:hAnsi="Times New Roman" w:cs="Times New Roman"/>
          <w:b w:val="0"/>
          <w:color w:val="000000" w:themeColor="text1"/>
          <w:sz w:val="16"/>
          <w:szCs w:val="16"/>
        </w:rPr>
        <w:tab/>
        <w:t>0,60</w:t>
      </w:r>
    </w:p>
    <w:p w14:paraId="2C5E04B6" w14:textId="77777777" w:rsidR="00C65D4B" w:rsidRPr="00DB5D0D" w:rsidRDefault="00C65D4B" w:rsidP="00DB5D0D">
      <w:pPr>
        <w:tabs>
          <w:tab w:val="left" w:leader="dot" w:pos="7265"/>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Объем поплавка, л</w:t>
      </w:r>
      <w:r w:rsidRPr="00DB5D0D">
        <w:rPr>
          <w:rFonts w:ascii="Times New Roman" w:hAnsi="Times New Roman"/>
          <w:color w:val="000000" w:themeColor="text1"/>
          <w:sz w:val="16"/>
          <w:szCs w:val="16"/>
        </w:rPr>
        <w:tab/>
        <w:t xml:space="preserve"> 771</w:t>
      </w:r>
    </w:p>
    <w:p w14:paraId="2DE7892B"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редана, мм</w:t>
      </w:r>
      <w:r w:rsidRPr="00DB5D0D">
        <w:rPr>
          <w:rFonts w:ascii="Times New Roman" w:hAnsi="Times New Roman"/>
          <w:color w:val="000000" w:themeColor="text1"/>
          <w:sz w:val="16"/>
          <w:szCs w:val="16"/>
        </w:rPr>
        <w:tab/>
        <w:t>20 (15845). (15845).</w:t>
      </w:r>
    </w:p>
    <w:p w14:paraId="2686024D" w14:textId="77777777" w:rsidR="00C65D4B" w:rsidRPr="00DB5D0D" w:rsidRDefault="00C65D4B" w:rsidP="00DB5D0D">
      <w:pPr>
        <w:spacing w:after="0" w:line="240" w:lineRule="auto"/>
        <w:jc w:val="both"/>
        <w:rPr>
          <w:rFonts w:ascii="Times New Roman" w:hAnsi="Times New Roman"/>
          <w:color w:val="000000" w:themeColor="text1"/>
          <w:sz w:val="16"/>
          <w:szCs w:val="16"/>
        </w:rPr>
      </w:pPr>
    </w:p>
    <w:p w14:paraId="7E1308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начались испытания ПСН-2 (10223).</w:t>
      </w:r>
    </w:p>
    <w:p w14:paraId="3B4C6A3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D9287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испытания ПСН-2 возобновились. 1 июня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796838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2E44751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18E11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экипаж Овечкина совершил первый полет на ПС-30 из Хабаровска в Петропавловск. Всего за 1940 г. ПС-30 налетал на Дальнем Востоке 223 часа. Мог бы и больше, но на стоянке в Хабаровске на него наскочил проходивший по Амуру пароход. Повреждения оказались небольшими, и к весне следующего года их исправили местные мастерские. Но тут оказалось, что выработан ресурс импортных моторов G2. Всю первую половину 1941 г. ПС-30 простаивал, ожидая замены. До конца навигации самолет успел налетать 168 часов. Военные даже после начала войны с Германией на лодку не претендовали. Никаких планов ее переделки для боевого применения не появилось. Самолет эпизодически привлекали к транспортным перевозкам в интересах армии и флота, но машина так и оставалась гражданской. Проблемы с двигателями преследовали «Мартин» и весь 1942 год. Выпуск их в США уже прекратили, так что новые моторы данного типа нельзя было приобрести и там. За год налетали всего 82 часа. В начале 1943 г. двигатели «Райт» начали менять на очень схожие отечественные АШ-62ИР. У GR-1820-G2 и АШ-62ИР был общий «предок» -«Райт» SR-1820-F3. Этот мотор по лицензии выпускали в Перми как М-25, и далее конструкторское бюро А.Д. Швецова постоянно модернизировало его, зачастую заимствуя удачные решения у американских коллег. В частности, М-62ИР (АШ-62ИР) копировал тот же G2 и, частично, -более современный G100 (8943).</w:t>
      </w:r>
    </w:p>
    <w:p w14:paraId="0234777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1D79421" w14:textId="77777777" w:rsidR="0017030F" w:rsidRPr="00DB5D0D" w:rsidRDefault="0017030F"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июне 1940 года на аэростате «Осоавиахим-2» завершились полеты в стратосферу в ССР перед войной. Старт был дан в 5 часов 17 минут в подмосковном Звенигороде. В его экипаж входили майор И.И. Зыков и сотрудник Академии наук СССР А.П. Кузнецовым. Однако и он оказался неудачным. На высоте около десяти метров произошло самопроизвольное отделение гондолы от оболочки. Благо, что аэронавты отделались ушибами. Расследование происшествия показало, что перед стартом забыли проверить ранцевый механизм гондольного парашюта. Обычная расхлябанность обслуживающего персонала вкупе со спешкой на старте (19613).</w:t>
      </w:r>
    </w:p>
    <w:p w14:paraId="365A7A8D" w14:textId="77777777" w:rsidR="0017030F" w:rsidRPr="00DB5D0D" w:rsidRDefault="0017030F"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том же году аэронавты Фомин и Крикун обратились в правительство с просьбой разрешить рекордный полет на стратостате с оболочкой объемом 31 000 м</w:t>
      </w:r>
      <w:r w:rsidRPr="00DB5D0D">
        <w:rPr>
          <w:color w:val="000000" w:themeColor="text1"/>
          <w:sz w:val="16"/>
          <w:szCs w:val="16"/>
          <w:bdr w:val="none" w:sz="0" w:space="0" w:color="auto" w:frame="1"/>
          <w:vertAlign w:val="superscript"/>
        </w:rPr>
        <w:t>3</w:t>
      </w:r>
      <w:r w:rsidRPr="00DB5D0D">
        <w:rPr>
          <w:color w:val="000000" w:themeColor="text1"/>
          <w:sz w:val="16"/>
          <w:szCs w:val="16"/>
        </w:rPr>
        <w:t> на высоту 24 000 метров. Параллельно планировалось провести ряд исследований, согласованных с Академией наук. Однако, учитывая предыдущие неудачи, начальник ВВС Я.П. Смушкевич высказал наркому обороны С.К. Тимошенко неуверенность в благополучном завершении полета. Дело кончилось тем, что военные предложили поручить исследование верхних слоев атмосферы Академии наук. Но начавшаяся война не позволила продолжить работы в этом направлении (19613).</w:t>
      </w:r>
    </w:p>
    <w:p w14:paraId="481C456B" w14:textId="77777777" w:rsidR="0017030F" w:rsidRPr="00DB5D0D" w:rsidRDefault="0017030F" w:rsidP="00DB5D0D">
      <w:pPr>
        <w:spacing w:after="0" w:line="240" w:lineRule="auto"/>
        <w:jc w:val="both"/>
        <w:rPr>
          <w:rFonts w:ascii="Times New Roman" w:hAnsi="Times New Roman"/>
          <w:color w:val="000000" w:themeColor="text1"/>
          <w:sz w:val="16"/>
          <w:szCs w:val="16"/>
        </w:rPr>
      </w:pPr>
    </w:p>
    <w:p w14:paraId="7F9FFDAC" w14:textId="77777777" w:rsidR="00086A69" w:rsidRPr="00DB5D0D" w:rsidRDefault="00086A6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июне 1940 г. Храпко и другим заключенным «торжественно» объявили приговор, вынесенный заочно Военной коллегией Верховного суда СССР 28 мая 1940 г. («всего лишь» через 2,5 года после ареста). М.А. Храпко получил 10 лет тюремного заключения и 5 лет поражения в правах по ст. 58, п.п. 7, 8, 11 (вредительство, террор и участие в контрреволюционной организации), Б.С. Стечкин – такое же наказание, А.Н. Туполеву и А.Д. Чаромскому дали по 15 лет тюрьмы и 5 лет поражения в правах. В течение </w:t>
      </w:r>
      <w:r w:rsidRPr="00DB5D0D">
        <w:rPr>
          <w:rFonts w:ascii="Times New Roman" w:eastAsia="Times New Roman" w:hAnsi="Times New Roman"/>
          <w:i/>
          <w:iCs/>
          <w:color w:val="000000" w:themeColor="text1"/>
          <w:sz w:val="16"/>
          <w:szCs w:val="16"/>
          <w:lang w:eastAsia="ru-RU"/>
        </w:rPr>
        <w:t>одного</w:t>
      </w:r>
      <w:r w:rsidRPr="00DB5D0D">
        <w:rPr>
          <w:rFonts w:ascii="Times New Roman" w:eastAsia="Times New Roman" w:hAnsi="Times New Roman"/>
          <w:color w:val="000000" w:themeColor="text1"/>
          <w:sz w:val="16"/>
          <w:szCs w:val="16"/>
          <w:lang w:eastAsia="ru-RU"/>
        </w:rPr>
        <w:t> выездного заседания 28 мая Военная коллегия сумела, по-стахановски, заочно осудить больше 100 заключенных из ЦКБ-29 и ОКБ-82! (19568).</w:t>
      </w:r>
    </w:p>
    <w:p w14:paraId="37D3AD97" w14:textId="77777777" w:rsidR="00086A69" w:rsidRPr="00DB5D0D" w:rsidRDefault="00086A69" w:rsidP="00DB5D0D">
      <w:pPr>
        <w:spacing w:after="0" w:line="240" w:lineRule="auto"/>
        <w:jc w:val="both"/>
        <w:rPr>
          <w:rFonts w:ascii="Times New Roman" w:hAnsi="Times New Roman"/>
          <w:color w:val="000000" w:themeColor="text1"/>
          <w:sz w:val="16"/>
          <w:szCs w:val="16"/>
        </w:rPr>
      </w:pPr>
    </w:p>
    <w:p w14:paraId="05E24B52" w14:textId="77777777" w:rsidR="009C53FC" w:rsidRPr="00DB5D0D" w:rsidRDefault="009C53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июне 1940 г. в Долгопрудной органи</w:t>
      </w:r>
      <w:r w:rsidRPr="00DB5D0D">
        <w:rPr>
          <w:rFonts w:ascii="Times New Roman" w:hAnsi="Times New Roman"/>
          <w:color w:val="0070C0"/>
          <w:sz w:val="16"/>
          <w:szCs w:val="16"/>
        </w:rPr>
        <w:softHyphen/>
        <w:t>зовали Аэрологическую обсерваторию в соста</w:t>
      </w:r>
      <w:r w:rsidRPr="00DB5D0D">
        <w:rPr>
          <w:rFonts w:ascii="Times New Roman" w:hAnsi="Times New Roman"/>
          <w:color w:val="0070C0"/>
          <w:sz w:val="16"/>
          <w:szCs w:val="16"/>
        </w:rPr>
        <w:softHyphen/>
        <w:t>ве ЦИПа на базе ОВГ ГВФ, московского пункта радиозондирования и пункта самолётного зон</w:t>
      </w:r>
      <w:r w:rsidRPr="00DB5D0D">
        <w:rPr>
          <w:rFonts w:ascii="Times New Roman" w:hAnsi="Times New Roman"/>
          <w:color w:val="0070C0"/>
          <w:sz w:val="16"/>
          <w:szCs w:val="16"/>
        </w:rPr>
        <w:softHyphen/>
        <w:t>дирования в Быково. Первым начальником об</w:t>
      </w:r>
      <w:r w:rsidRPr="00DB5D0D">
        <w:rPr>
          <w:rFonts w:ascii="Times New Roman" w:hAnsi="Times New Roman"/>
          <w:color w:val="0070C0"/>
          <w:sz w:val="16"/>
          <w:szCs w:val="16"/>
        </w:rPr>
        <w:softHyphen/>
        <w:t>серватории стал О.Г. Кричак. При обсерватории создали КБ под руководством В.С. Хахалина, где работали инженеры Т.М. Кулинченко и А.С. Ма- сенкас.</w:t>
      </w:r>
    </w:p>
    <w:p w14:paraId="55704C60" w14:textId="77777777" w:rsidR="009C53FC" w:rsidRPr="00DB5D0D" w:rsidRDefault="009C53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Отдельная воздухоплавательная группа (ОВГ) обсерватории получила большой аэростатный парк, включавший в себя оболочки пяти наи</w:t>
      </w:r>
      <w:r w:rsidRPr="00DB5D0D">
        <w:rPr>
          <w:rFonts w:ascii="Times New Roman" w:hAnsi="Times New Roman"/>
          <w:color w:val="0070C0"/>
          <w:sz w:val="16"/>
          <w:szCs w:val="16"/>
        </w:rPr>
        <w:softHyphen/>
        <w:t>более распространённых объёмов: 150, 600, 900, 2200 и 2700 м3 (то есть, от шаров-прыгунов до субстратостатов) и необходимое число раз</w:t>
      </w:r>
      <w:r w:rsidRPr="00DB5D0D">
        <w:rPr>
          <w:rFonts w:ascii="Times New Roman" w:hAnsi="Times New Roman"/>
          <w:color w:val="0070C0"/>
          <w:sz w:val="16"/>
          <w:szCs w:val="16"/>
        </w:rPr>
        <w:softHyphen/>
        <w:t>ных гондол. Наибольшее число полётов пило</w:t>
      </w:r>
      <w:r w:rsidRPr="00DB5D0D">
        <w:rPr>
          <w:rFonts w:ascii="Times New Roman" w:hAnsi="Times New Roman"/>
          <w:color w:val="0070C0"/>
          <w:sz w:val="16"/>
          <w:szCs w:val="16"/>
        </w:rPr>
        <w:softHyphen/>
        <w:t>ты ОВГ выполнили на аэростатах с оболочкой объёмом 900 м3 (их называли «девятисотками»). Менее интенсивно использовались «шестисотки» и «две-двести». Несмотря на малое число полётов на аэростатах с оболочками в 380 м3 и 2700 м3, не</w:t>
      </w:r>
      <w:r w:rsidRPr="00DB5D0D">
        <w:rPr>
          <w:rFonts w:ascii="Times New Roman" w:hAnsi="Times New Roman"/>
          <w:color w:val="0070C0"/>
          <w:sz w:val="16"/>
          <w:szCs w:val="16"/>
        </w:rPr>
        <w:softHyphen/>
        <w:t>которые из них стали рекордными.</w:t>
      </w:r>
    </w:p>
    <w:p w14:paraId="502ED292" w14:textId="77777777" w:rsidR="009C53FC" w:rsidRPr="00DB5D0D" w:rsidRDefault="009C53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состав ОВГ обсерватории вошли пилоты-воз</w:t>
      </w:r>
      <w:r w:rsidRPr="00DB5D0D">
        <w:rPr>
          <w:rFonts w:ascii="Times New Roman" w:hAnsi="Times New Roman"/>
          <w:color w:val="0070C0"/>
          <w:sz w:val="16"/>
          <w:szCs w:val="16"/>
        </w:rPr>
        <w:softHyphen/>
        <w:t>духоплаватели, прошедшие хорошую школу: А.А. Фомин (командир ОВГ), А.Ф. Крикун (на</w:t>
      </w:r>
      <w:r w:rsidRPr="00DB5D0D">
        <w:rPr>
          <w:rFonts w:ascii="Times New Roman" w:hAnsi="Times New Roman"/>
          <w:color w:val="0070C0"/>
          <w:sz w:val="16"/>
          <w:szCs w:val="16"/>
        </w:rPr>
        <w:softHyphen/>
        <w:t>чальник штаба), старшие пилоты Г.И. Голышев, Б.А. Невернов, П.П. Полосухин, С.А. Зиновеев, К.П. Сверщек, А.И. Рощин, Н.И. Большакова. Их характеризовали так: «Отличительная черта этой замечательной плеяды — спокойствие при всех условиях полёта, как бы ни был он труден и опа</w:t>
      </w:r>
      <w:r w:rsidRPr="00DB5D0D">
        <w:rPr>
          <w:rFonts w:ascii="Times New Roman" w:hAnsi="Times New Roman"/>
          <w:color w:val="0070C0"/>
          <w:sz w:val="16"/>
          <w:szCs w:val="16"/>
        </w:rPr>
        <w:softHyphen/>
        <w:t>сен, способность принимать быстрые и правиль</w:t>
      </w:r>
      <w:r w:rsidRPr="00DB5D0D">
        <w:rPr>
          <w:rFonts w:ascii="Times New Roman" w:hAnsi="Times New Roman"/>
          <w:color w:val="0070C0"/>
          <w:sz w:val="16"/>
          <w:szCs w:val="16"/>
        </w:rPr>
        <w:softHyphen/>
        <w:t>ные решения, крепкое чувство товарищества».</w:t>
      </w:r>
    </w:p>
    <w:p w14:paraId="2F5100C2" w14:textId="77777777" w:rsidR="009C53FC" w:rsidRPr="00DB5D0D" w:rsidRDefault="009C53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Всего в полётах ОВГ ЦАО участвовало, вместе с сотрудниками обсерватории, 46 человек.</w:t>
      </w:r>
    </w:p>
    <w:p w14:paraId="5196E486" w14:textId="77777777" w:rsidR="009C53FC" w:rsidRPr="00DB5D0D" w:rsidRDefault="009C53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Обсерватория сосредоточила усилия на изу</w:t>
      </w:r>
      <w:r w:rsidRPr="00DB5D0D">
        <w:rPr>
          <w:rFonts w:ascii="Times New Roman" w:hAnsi="Times New Roman"/>
          <w:color w:val="0070C0"/>
          <w:sz w:val="16"/>
          <w:szCs w:val="16"/>
        </w:rPr>
        <w:softHyphen/>
        <w:t>чении тропосферы, особенно его нижнего слоя (4-5 км), учитывая, что именно в этом относи</w:t>
      </w:r>
      <w:r w:rsidRPr="00DB5D0D">
        <w:rPr>
          <w:rFonts w:ascii="Times New Roman" w:hAnsi="Times New Roman"/>
          <w:color w:val="0070C0"/>
          <w:sz w:val="16"/>
          <w:szCs w:val="16"/>
        </w:rPr>
        <w:softHyphen/>
        <w:t>тельно малом слое протекают процессы, опреде</w:t>
      </w:r>
      <w:r w:rsidRPr="00DB5D0D">
        <w:rPr>
          <w:rFonts w:ascii="Times New Roman" w:hAnsi="Times New Roman"/>
          <w:color w:val="0070C0"/>
          <w:sz w:val="16"/>
          <w:szCs w:val="16"/>
        </w:rPr>
        <w:softHyphen/>
        <w:t>ляющие тот или иной режим погоды (20120).</w:t>
      </w:r>
    </w:p>
    <w:p w14:paraId="24C9BE8D" w14:textId="77777777" w:rsidR="009C53FC" w:rsidRPr="00DB5D0D" w:rsidRDefault="009C53FC" w:rsidP="00DB5D0D">
      <w:pPr>
        <w:spacing w:after="0" w:line="240" w:lineRule="auto"/>
        <w:jc w:val="both"/>
        <w:rPr>
          <w:rFonts w:ascii="Times New Roman" w:hAnsi="Times New Roman"/>
          <w:color w:val="0070C0"/>
          <w:sz w:val="16"/>
          <w:szCs w:val="16"/>
        </w:rPr>
      </w:pPr>
    </w:p>
    <w:p w14:paraId="4EB7484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85DB8F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0B2C154" w14:textId="77777777" w:rsidR="001138D8" w:rsidRPr="00DB5D0D" w:rsidRDefault="001138D8"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В июне 1940 года появилось предложение о разработке 107-мм орудия с баллистикой М-60 (29349).</w:t>
      </w:r>
    </w:p>
    <w:p w14:paraId="74AF8170" w14:textId="77777777" w:rsidR="001138D8" w:rsidRPr="00DB5D0D" w:rsidRDefault="001138D8"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6E8ECE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в Каменец-Подольском укрепрайоне были смонтированы первые 76-мм казематные установки Л-17 (3861).</w:t>
      </w:r>
    </w:p>
    <w:p w14:paraId="778B4F4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66C60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июне 1940 на НИПСВО были проведены параллельные испытания БаС-2 (разработанное на заводе №74 в 1940 г. 14,5-мм ружье главного конструктора завода Бачина и Светличного. Его автоматика работала за счет энергии пороховых газов, отводимых через специальное отверстие в канале ствола. Запирание производилось посредством перекоса затвора вниз) и двух доработанных образцов ПТР Рукавишникова. БаС-2 испытания не выдержало из-за недостаточной броне-пробиваемости, большой энергии отдачи, малой живучести и неотработанной подачи патронов из магазина. ПТР Рукавишникова в отчете НИПСВО от 23 июня 1941 г. было рекомендовано для принятия на вооружение. По сравнению с образцом 1939 г., ПТР было доработано и несколько изменено, но дало 3,6% задержек, причем, в основном, смазанными патронами. </w:t>
      </w:r>
    </w:p>
    <w:p w14:paraId="76CF6F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Возможно, на выводы НИПСВО повлияло то, что примерно в мае 1941 г. Рукавишников направил жалобу в ЦК ВКП (б) тов. Маленкову. В ней описывались плохие условия для его конструкторской работы на НИПСВО, которая к тому же дает основания «конкурентам» обвинять полигон в пристрастности к образцам </w:t>
      </w:r>
      <w:r w:rsidRPr="00DB5D0D">
        <w:rPr>
          <w:rFonts w:ascii="Times New Roman" w:hAnsi="Times New Roman"/>
          <w:color w:val="000000" w:themeColor="text1"/>
          <w:sz w:val="16"/>
          <w:szCs w:val="16"/>
        </w:rPr>
        <w:lastRenderedPageBreak/>
        <w:t xml:space="preserve">Рукавишникова. Конструктор полагал, что при принятии в 1940 г. решения о снятии его ПТР с производства были преувеличены отрицательные стороны ружья и преуменьшены положительные. На конструкцию оружия работниками завода №2 и наркомата списывались недостатки производства и его организации, они же выступали за повторные испытания. </w:t>
      </w:r>
    </w:p>
    <w:p w14:paraId="0EE59D0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Рукавишников писал: «Правда, протащить систему Владимирова и на этот раз не удалось, так как в ней выявлена полная невозможность ее дальнейшей доработки и опасность для самого стреляющего, но зато удалось окончательно сорвать систему Рукавишникова, использовав «теорию» непригодности ружей для борьбы против бронесил противника. В результате наша пехота осталась без противотанковых ружей, а армии воюющих стран, имея не плохую противотанковую артиллерию, одновременно и с успехом используют ружья, несмотря на то, что они значительно хуже наших». Напомню, что ни в одном из изученных мною архивных материалах не ставилась под сомнение способность ПТР бороться с танками. </w:t>
      </w:r>
    </w:p>
    <w:p w14:paraId="19C5B6B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Причинами плохих результатов испытаний его ПТР конструктор считал патроны и ружье заводского изготовления, чего не было с опытными ружьями и патронами, сделанными на НИПСВО. Доработанное облегченное ружье с улучшенным дульным тормозом дало хорошие результаты по отчетам НИПСВО за декабрь и январь 1941 г. Рукавишников полагал, что, доработав гильзу патрона по чертежу НИПСВО и снабдив его новыми элементами (сердечник и порох), можно будет достигнуть пробивания брони, значительно превышающей 40-50 мм. Он просил модернизировать 20-30 штук его ПТР находящихся на консервации на заводе №2, и передать их на полигонные и войсковые испытания. Жалобу, очевидно, направили для рассмотрения в СНК, потому что в копии сохранилась резолюция зам. председателя Н. Вознесенского от 3 июня: «тт. Ванникову и Кулику (лично). Прошу сообщить Ваше заключение о «ПТР» Рукавишникова и вообще о жалобе т. Рукавишникова». Там же была и резолюция нового Наркома вооружений Д. Устинова (Б. Ванников 6 июня был арестован) от 16 июня: «т. Барсукову. Нужно дать мне все материалы по этому вопросу, в том числе решение НКО» (12093).</w:t>
      </w:r>
    </w:p>
    <w:p w14:paraId="5100360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2625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концу лета 1940 г. (по-видимому, после заседания ГАУ 17—19 августа) существовавшая в РККА классификация тан</w:t>
      </w:r>
      <w:r w:rsidRPr="00DB5D0D">
        <w:rPr>
          <w:rFonts w:ascii="Times New Roman" w:hAnsi="Times New Roman"/>
          <w:color w:val="000000" w:themeColor="text1"/>
          <w:sz w:val="16"/>
          <w:szCs w:val="16"/>
        </w:rPr>
        <w:softHyphen/>
        <w:t>ковых пушек по калибрам была пересмотрена. Если прежде калибр 45-мм считался «средним», то теперь относился к «малому». Принятая 1 октября 1940 г. классификация танко</w:t>
      </w:r>
      <w:r w:rsidRPr="00DB5D0D">
        <w:rPr>
          <w:rFonts w:ascii="Times New Roman" w:hAnsi="Times New Roman"/>
          <w:color w:val="000000" w:themeColor="text1"/>
          <w:sz w:val="16"/>
          <w:szCs w:val="16"/>
        </w:rPr>
        <w:softHyphen/>
        <w:t>вых орудий по калибрам выглядела следующим образом:</w:t>
      </w:r>
    </w:p>
    <w:p w14:paraId="22789F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малокалиберные танковые орудия — до 45-мм (считать временной мерой вплоть до разработки специальных танко</w:t>
      </w:r>
      <w:r w:rsidRPr="00DB5D0D">
        <w:rPr>
          <w:rFonts w:ascii="Times New Roman" w:hAnsi="Times New Roman"/>
          <w:color w:val="000000" w:themeColor="text1"/>
          <w:sz w:val="16"/>
          <w:szCs w:val="16"/>
        </w:rPr>
        <w:softHyphen/>
        <w:t>вых пушек калибра 55-60-мм);</w:t>
      </w:r>
    </w:p>
    <w:p w14:paraId="088128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танковые орудия средних калибров — от 76-мм до 95-мм;</w:t>
      </w:r>
    </w:p>
    <w:p w14:paraId="5E04F5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танковые орудия больших калибров — более 95-мм (с 1941 г. более 107мм)» (10782).</w:t>
      </w:r>
    </w:p>
    <w:p w14:paraId="7F4994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4C164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принимается решение о разво-рачивании серийного выпуска Ф-32 не только на Л КЗ, но также на заводах № 92 и № 13 с программой выпуска в 1941 г. соответственно 2500, 2000 и 700 штук. Но к этому времени ОКБ-92 под управлением В. Грабина предложило ГАУ проект новой, 76,2-мм танковой пушки Ф-34, которая при большей, чем у Ф-32, мощности (длина ствола составляла 41 калибр против 30 калибров у Ф-32), была более простой и потому должна была иметь меньшую стоимость и сложность в изготовлении. Артуправление принято проект, выпустив приказ о проведении полигонных испытаний пушки в сентябре 1940 г. Однако Наркомат обо</w:t>
      </w:r>
      <w:r w:rsidRPr="00DB5D0D">
        <w:rPr>
          <w:rFonts w:ascii="Times New Roman" w:hAnsi="Times New Roman"/>
          <w:color w:val="000000" w:themeColor="text1"/>
          <w:sz w:val="16"/>
          <w:szCs w:val="16"/>
        </w:rPr>
        <w:softHyphen/>
        <w:t>роны в письме от 13 июня уже рекомендовал вооружать «улучшенный танк Т-34» именно этим образцом танкового орудия, которое было в то время самым мощным в мире, но которое еще предстояло создать и испытать (10782).</w:t>
      </w:r>
    </w:p>
    <w:p w14:paraId="4A3C61E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984901F" w14:textId="77777777" w:rsidR="009832E5" w:rsidRPr="00DB5D0D" w:rsidRDefault="009832E5"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июне 1940 года одновременно стартовали проектные работы по Ф-27 и Ф-30. Регулярные отчеты о статусе программ танкового и противотанкового вооружения, приходившие с завода №92, однозначно говорят о том, что Ф-27 была отнюдь не «бумажной» системой. Больше того, работы по Ф-27 продвигались быстрее, чем по Ф-30. К 23 июля рабочие чертежи системы были направлены в производство. В случае же с Ф-30 возник ряд проблем, главной из которых стало то, что в «малую башню», то есть обычную башню КВ-1, орудие не помещалось (17675).</w:t>
      </w:r>
    </w:p>
    <w:p w14:paraId="3D99A764" w14:textId="77777777" w:rsidR="009832E5" w:rsidRPr="00DB5D0D" w:rsidRDefault="009832E5" w:rsidP="00DB5D0D">
      <w:pPr>
        <w:spacing w:after="0" w:line="240" w:lineRule="auto"/>
        <w:jc w:val="both"/>
        <w:rPr>
          <w:rFonts w:ascii="Times New Roman" w:eastAsia="Times New Roman" w:hAnsi="Times New Roman"/>
          <w:color w:val="000000" w:themeColor="text1"/>
          <w:sz w:val="16"/>
          <w:szCs w:val="16"/>
          <w:lang w:eastAsia="ru-RU"/>
        </w:rPr>
      </w:pPr>
    </w:p>
    <w:p w14:paraId="4AB76EA9" w14:textId="77777777" w:rsidR="00A25AD1" w:rsidRPr="00DB5D0D" w:rsidRDefault="00A25AD1"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В июне 1940 и январе-феврале 1941 на НИБТ полигоне на БТ-7 и Т-26 испытывали усовершенствованный инфракрасный прибор для ночного вождения танка Дудка. В комплекс входили перископические очки водителя и командира и два инфракрасных прожектора ао 1000 вт диаметром 140 мм. Изготовил завод 211 НКЭП. Дальность видения - 50 м (9527,29).</w:t>
      </w:r>
    </w:p>
    <w:p w14:paraId="7A1D203C" w14:textId="77777777" w:rsidR="00A25AD1" w:rsidRPr="00DB5D0D" w:rsidRDefault="00A25AD1" w:rsidP="00DB5D0D">
      <w:pPr>
        <w:pStyle w:val="a8"/>
        <w:widowControl/>
        <w:jc w:val="both"/>
        <w:rPr>
          <w:rFonts w:ascii="Times New Roman" w:hAnsi="Times New Roman" w:cs="Times New Roman"/>
          <w:color w:val="000000" w:themeColor="text1"/>
        </w:rPr>
      </w:pPr>
    </w:p>
    <w:p w14:paraId="4A6A8BA4" w14:textId="77777777" w:rsidR="00A25AD1" w:rsidRPr="00DB5D0D" w:rsidRDefault="00A25AD1"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В июне 1940 макетная комиссия рассмотрела проект и деревянный макет танка сопровождения КБ завода № 174, получившего обозначение Т-126СП. Комиссия обратила внимание на большую массу 916-17 т вместо 13 по ТТТ) и сложность. Поэтому параллельно с разработкой рабочих чертежей к И.Голотвянский разработал проект Т-126 весом 13 т с 40 мм броней. Объект 127. Работы прекратили, когда появились первая и вторая модификации Т-126СП - предшественники Т-50 завода № 174 (9527,67).</w:t>
      </w:r>
    </w:p>
    <w:p w14:paraId="747BF781" w14:textId="77777777" w:rsidR="00A25AD1" w:rsidRPr="00DB5D0D" w:rsidRDefault="00A25AD1" w:rsidP="00DB5D0D">
      <w:pPr>
        <w:pStyle w:val="a8"/>
        <w:widowControl/>
        <w:jc w:val="both"/>
        <w:rPr>
          <w:rFonts w:ascii="Times New Roman" w:hAnsi="Times New Roman" w:cs="Times New Roman"/>
          <w:color w:val="000000" w:themeColor="text1"/>
        </w:rPr>
      </w:pPr>
    </w:p>
    <w:p w14:paraId="52D30367" w14:textId="77777777" w:rsidR="009832E5" w:rsidRPr="00DB5D0D" w:rsidRDefault="009832E5"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В июне 1940 года Главное автобронетанковое управление Красной Армии (ГАБТУ КА) начало проработку вопроса модернизации тяжелого танка КВ-1. Cерийное производство этой машины ещё не было толком организовано, а у военных уже стали возникать к ней претензии. Впрочем, само по себе это вполне нормальное явление, особенно с учётом того, что с началом Второй мировой войны развитие бронетанковой техники довольно сильно ускорилось. По мнению руководства ГАБТУ КА, танку КВ-1 следовало нарастить броню, а главное — снабдить его более мощным орудием. С последним трудно поспорить, ведь сложилась ненормальная ситуация, когда новые средний и тяжелый танки Красной Армии — Т-34 и КВ-1 — имели одинаковые пушки (17675).</w:t>
      </w:r>
    </w:p>
    <w:p w14:paraId="043663DC" w14:textId="77777777" w:rsidR="009832E5" w:rsidRPr="00DB5D0D" w:rsidRDefault="009832E5" w:rsidP="00DB5D0D">
      <w:pPr>
        <w:spacing w:after="0" w:line="240" w:lineRule="auto"/>
        <w:jc w:val="both"/>
        <w:rPr>
          <w:rFonts w:ascii="Times New Roman" w:eastAsia="Times New Roman" w:hAnsi="Times New Roman"/>
          <w:color w:val="000000" w:themeColor="text1"/>
          <w:sz w:val="16"/>
          <w:szCs w:val="16"/>
          <w:lang w:eastAsia="ru-RU"/>
        </w:rPr>
      </w:pPr>
    </w:p>
    <w:p w14:paraId="35A18F71" w14:textId="77777777" w:rsidR="00206FD6" w:rsidRPr="00DB5D0D" w:rsidRDefault="00206FD6"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июне 1941 на НИПСВО были проведены параллельные испытания БаС-2 и двух доработанных образцов ПТР Рукавишникова. БаС-2 испытания не выдержало из-за недостаточной бронепробиваемости, большой энергии отдачи, малой живучести и неотработанной подачи патронов из магазина. ПТР Рукавишникова в отчете НИПСВО от 23 июня 1941 г, было рекомендовано для принятия на вооружение. По сравнению с образцом 1939 г., ПТР было доработано и несколько изменено, но дало 3,6% задержек, причем, в основном, смазанными патронами.</w:t>
      </w:r>
    </w:p>
    <w:p w14:paraId="1208B573" w14:textId="77777777" w:rsidR="00206FD6" w:rsidRPr="00DB5D0D" w:rsidRDefault="00206FD6"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Возможно, на выводы НИПСВО повлияло то, что примерно в мае 1941 г. Рукавишников направил жалобу в ЦК ВКП (б) тов. Маленкову. В ней описывались плохие условия для его конструкторской работы на НИПСВО, которая к тому же дает основания «конкурентам» обвинять полигон в пристрастности к образцам Рукавишникова, Конструктор полагал, что при принятии в 1940 г, решения о снятии его ПТР с производства были преувеличены отрицательные стороны ружья и преуменьшены положительные. На конструкцию оружия работниками завода №2 и наркомата списывались недостатки производства и его организации, они же выступали за повторные испытания.</w:t>
      </w:r>
    </w:p>
    <w:p w14:paraId="7325B69F" w14:textId="77777777" w:rsidR="00206FD6" w:rsidRPr="00DB5D0D" w:rsidRDefault="00206FD6"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Рукавишников писал: «Правда, протащить систему Владимирова и на этот раз не удалось, так как в ней выявлена полная невозможность ее дальнейшей доработки и опасность для самого стреляющего, но зато удалось окончательно сорвать систему Рукавишникова, использовав «теорию» непригодности ружей для борьбы против бронесил противника, В результате наша пехота осталась без противотанковых ружей, а армии воюющих стран, имея не плохую противотанковую артиллерию, одновременно и с успехом используют ружья, несмотря на то, что они значительно хуже наших». Напомню, что ни в одном из изученных мною архивных материалах не ставилась под сомнение способность ПТР бороться с танками.</w:t>
      </w:r>
    </w:p>
    <w:p w14:paraId="08DBD44C" w14:textId="77777777" w:rsidR="00206FD6" w:rsidRPr="00DB5D0D" w:rsidRDefault="00206FD6"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Причинами плохих результатов испытаний его ПТР конструктор считал патроны и ружье заводского изготовления, чего не было с опытными ружьями и патронами, сделанными на НИПСВО. Доработанное облегченное ружье с улучшенным дульным тормозом дало хорошие результаты по отчетам НИПСВО за декабрь и январь 1941 г. Рукавишников полагал, что, доработав гильзу патрона по чертежу НИПСВО и снабдив его новыми элементами (сердечник и порох), можно будет достигнуть пробивания брони, значительно превышающей 40-50 мм. Он просил модернизировать 20-30 штук его ПТР, находящихся на консервации на заводе №2, и передать их на полигонные и войсковые испытания. Жалобу, очевидно, направили для рассмотрения в СНК, потому что в копии сохранилась резолюция зам. председателя Н. Вознесенского от 3 июня: «тт. Ванникову и Кулику (лично). Прошу сообщить Ваше заключение о «ПТР» Рукавишникова и вообще о жалобе т. Рукавишникова». Там же была и резолюция нового Наркома вооружений Д. Устинова (Б. Ванников б июня был арестован) от 16 июня: «т. Барсукову. Нужно дать мне все материалы по этому вопросу, в том числе решение НКО» (17498).</w:t>
      </w:r>
    </w:p>
    <w:p w14:paraId="746C15B0" w14:textId="77777777" w:rsidR="00206FD6" w:rsidRPr="00DB5D0D" w:rsidRDefault="00206FD6" w:rsidP="00DB5D0D">
      <w:pPr>
        <w:spacing w:after="0" w:line="240" w:lineRule="auto"/>
        <w:jc w:val="both"/>
        <w:rPr>
          <w:rFonts w:ascii="Times New Roman" w:eastAsia="Times New Roman" w:hAnsi="Times New Roman"/>
          <w:color w:val="000000" w:themeColor="text1"/>
          <w:sz w:val="16"/>
          <w:szCs w:val="16"/>
          <w:lang w:eastAsia="ru-RU"/>
        </w:rPr>
      </w:pPr>
    </w:p>
    <w:p w14:paraId="7188F5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директор Кировского завода И. Зальцман получил письмо от начальника 8-го отдела АБТУ военинженера Афонина, в котором заводу разрешалось изготовить два опытных образца танка СП (проект № 21 1), с литой броней, и с катаной толщиной 45-мм, подчеркнув, что высшее ко</w:t>
      </w:r>
      <w:r w:rsidRPr="00DB5D0D">
        <w:rPr>
          <w:rFonts w:ascii="Times New Roman" w:hAnsi="Times New Roman"/>
          <w:color w:val="000000" w:themeColor="text1"/>
          <w:sz w:val="16"/>
          <w:szCs w:val="16"/>
        </w:rPr>
        <w:softHyphen/>
        <w:t>мандование Красной Армии не разрешает увеличить толщи</w:t>
      </w:r>
      <w:r w:rsidRPr="00DB5D0D">
        <w:rPr>
          <w:rFonts w:ascii="Times New Roman" w:hAnsi="Times New Roman"/>
          <w:color w:val="000000" w:themeColor="text1"/>
          <w:sz w:val="16"/>
          <w:szCs w:val="16"/>
        </w:rPr>
        <w:softHyphen/>
        <w:t>ну брони танка сопровождения более 45 мм и вес в 1 3 т (10782).</w:t>
      </w:r>
    </w:p>
    <w:p w14:paraId="2E51472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49E43A8" w14:textId="77777777" w:rsidR="009C53FC" w:rsidRPr="00DB5D0D" w:rsidRDefault="009C53FC"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shd w:val="clear" w:color="auto" w:fill="FFFFFF"/>
        </w:rPr>
        <w:t>В июне 1940 года был упущен последний шанс Т-100Y стать серийной машиной. Тогда предлагалось запустить её как временную меру, но при этом в ГАБТУ КА склонялись, скорее, к базе СМК. Она была унифицирована с КВ-1, что упрощало задачу. Идея состояла в создании на базе СМК самоходки с двумя типами орудий — БР-2 и 180-мм морской пушки Б-1. Но эти идеи не были реализованы. 17 июля 1940 года вышло постановление СНК СССР и ЦК ВКП(б) №1288-495сс, которое стало отправной точкой для создания «истребителя дотов», более известного как </w:t>
      </w:r>
      <w:hyperlink r:id="rId155" w:history="1">
        <w:r w:rsidRPr="00DB5D0D">
          <w:rPr>
            <w:rStyle w:val="a5"/>
            <w:rFonts w:ascii="Times New Roman" w:hAnsi="Times New Roman"/>
            <w:color w:val="0070C0"/>
            <w:sz w:val="16"/>
            <w:szCs w:val="16"/>
            <w:bdr w:val="none" w:sz="0" w:space="0" w:color="auto" w:frame="1"/>
          </w:rPr>
          <w:t>212</w:t>
        </w:r>
      </w:hyperlink>
      <w:r w:rsidRPr="00DB5D0D">
        <w:rPr>
          <w:rFonts w:ascii="Times New Roman" w:hAnsi="Times New Roman"/>
          <w:color w:val="0070C0"/>
          <w:sz w:val="16"/>
          <w:szCs w:val="16"/>
          <w:shd w:val="clear" w:color="auto" w:fill="FFFFFF"/>
        </w:rPr>
        <w:t xml:space="preserve">. Фактически данная машина представляла идейное продолжение СУ-14, но уже на базе агрегатов КВ. Ну, а базы Т-100 и СМК канули в лету. Оставшиеся на НИБТ Полигоне самоходки за год стояния сильно поизносились, а завод №174 выкатил на их ремонт ценник в 125 000 рублей. Сам же полигон от свалившегося «счастья» хотел избавиться. В апреле 1941 года предлагалось провести ремонт и отправить </w:t>
      </w:r>
      <w:r w:rsidRPr="00DB5D0D">
        <w:rPr>
          <w:rFonts w:ascii="Times New Roman" w:hAnsi="Times New Roman"/>
          <w:color w:val="0070C0"/>
          <w:sz w:val="16"/>
          <w:szCs w:val="16"/>
          <w:shd w:val="clear" w:color="auto" w:fill="FFFFFF"/>
        </w:rPr>
        <w:lastRenderedPageBreak/>
        <w:t>машины «артиллеристам», но этого не произошло — все три САУ так и остались на полигоне. В таком виде машины встретили начало Великой Отечественной войны (19857).</w:t>
      </w:r>
    </w:p>
    <w:p w14:paraId="46962899" w14:textId="77777777" w:rsidR="009C53FC" w:rsidRPr="00DB5D0D" w:rsidRDefault="009C53FC"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7F2424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было принято постановление СНК СССР № 967-368сс, в котором до конца 1940 г. планировалось изготовить не менее 600 танков Т-34, из которых на долю завода № 183 приходилось 500 машин, на СТЗ — 100 (10782).</w:t>
      </w:r>
    </w:p>
    <w:p w14:paraId="288F66B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06569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Лишь в июне 1940 г. группа из трех танков Т-34 прошла около 2500 км по маршруту Харьков-Москва-Смоленск-Киев-Харьков. Кроме того, были проведены полигонные испытания и испытания на линии "Маннергейма". Отчет об испытаниях, подписанный Черняевым, содержал большое количество замечаний по работе двигателя, главного фрикциона, коробки перемены передач (КПП), гусениц. Отмечалось несовершенство приборов наблюдения, плохой обзор местности. Большие претензии были из-за стесненности боевого отделения (особенно башни), неудобства пользования боекомплектом и т.д., и т.п. Что и говорить, весьма серьезная критика. Поэтому, когда заместитель наркома обороны маршал Кулик утвердил отчет комиссии Черняева, то было поставлено по сомнение выполнение решения Политбюро ЦК ВКП(б) и СНК СССР от 5 июня 1940 г. о производстве уже в этом году 600 танков Т-34 (из них 500 в Харькове и 100 - в Сталинграде). Военные настаивали на выпуске БТ-7М (11224). </w:t>
      </w:r>
    </w:p>
    <w:p w14:paraId="6D8F40F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BBBBE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был подготовлен проект постановления СНК СССР и ЦК ВКП(б) о производстве танков Т-34 и приложения к проекту. Представлен Жданову. Д.12, л.40-88 (11775).</w:t>
      </w:r>
    </w:p>
    <w:p w14:paraId="5C901F8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015C4CD" w14:textId="77777777" w:rsidR="00086A69" w:rsidRPr="00DB5D0D" w:rsidRDefault="00086A6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Политбюро ЦК ВКП(б) приняло постановление «О производстве танков Т-34 в 1940 г.», в котором обязало Наркомат среднего машиностроения СССР изготовить в 1940 г. 600 танков Т-34. Принятие Т-34 на вооружение РККА произошло 19 декабря 1939 г. Освоение в серийном производстве началось на харьковском танковом заводе № 183. Затянувшаяся подготовка рационального технологического процесса не позволяла загрузить под серийное производство Т-34 мощности Челябинского и Сталинградского тракторных заводов, поэтому в течение 1940 г. промышленность выпустила только 115 боевых машин данного типа. В начале 1941 г. к серийному выпуску Т-34 подключились все тракторные и броневые заводы страны. Изготовленные в течение 1940 г. и первой половины 1941 г. 1225 «тридцатьчетверок» вместе с 636 тяжелыми танками КВ производства ленинградского Кировского завода составили около 10% от общего количества единиц бронетанковой техники, состоявшей на вооружении Красной Армии (18676).</w:t>
      </w:r>
    </w:p>
    <w:p w14:paraId="7E2BA8A3" w14:textId="77777777" w:rsidR="00086A69" w:rsidRPr="00DB5D0D" w:rsidRDefault="00086A69" w:rsidP="00DB5D0D">
      <w:pPr>
        <w:spacing w:after="0" w:line="240" w:lineRule="auto"/>
        <w:jc w:val="both"/>
        <w:rPr>
          <w:rFonts w:ascii="Times New Roman" w:hAnsi="Times New Roman"/>
          <w:color w:val="000000" w:themeColor="text1"/>
          <w:sz w:val="16"/>
          <w:szCs w:val="16"/>
        </w:rPr>
      </w:pPr>
    </w:p>
    <w:p w14:paraId="6BF16FF2" w14:textId="77777777" w:rsidR="00A25AD1" w:rsidRPr="00DB5D0D" w:rsidRDefault="00A25AD1" w:rsidP="00DB5D0D">
      <w:pPr>
        <w:pStyle w:val="a3"/>
        <w:rPr>
          <w:color w:val="000000" w:themeColor="text1"/>
          <w:lang w:val="ru-RU"/>
        </w:rPr>
      </w:pPr>
      <w:r w:rsidRPr="00DB5D0D">
        <w:rPr>
          <w:color w:val="000000" w:themeColor="text1"/>
          <w:lang w:val="ru-RU"/>
        </w:rPr>
        <w:t>В июне 1940 г. на Мариупольском заводе было выполнено: изготовление установочной серии литых башен шло с неболь</w:t>
      </w:r>
      <w:r w:rsidRPr="00DB5D0D">
        <w:rPr>
          <w:color w:val="000000" w:themeColor="text1"/>
          <w:lang w:val="ru-RU"/>
        </w:rPr>
        <w:softHyphen/>
        <w:t>шим опережением заводского графика. В июне металлургам уда</w:t>
      </w:r>
      <w:r w:rsidRPr="00DB5D0D">
        <w:rPr>
          <w:color w:val="000000" w:themeColor="text1"/>
          <w:lang w:val="ru-RU"/>
        </w:rPr>
        <w:softHyphen/>
        <w:t>лось отлить восемь башен, три из которых были признаны браком. Но об этом будет подробно рассказано в следующем разделе, по</w:t>
      </w:r>
      <w:r w:rsidRPr="00DB5D0D">
        <w:rPr>
          <w:color w:val="000000" w:themeColor="text1"/>
          <w:lang w:val="ru-RU"/>
        </w:rPr>
        <w:softHyphen/>
        <w:t>священном событиям июля 1940 г. А вот опытные работы по изго</w:t>
      </w:r>
      <w:r w:rsidRPr="00DB5D0D">
        <w:rPr>
          <w:color w:val="000000" w:themeColor="text1"/>
          <w:lang w:val="ru-RU"/>
        </w:rPr>
        <w:softHyphen/>
        <w:t>товлению литой кормы не дали положительных результатов: из-за сложной конфигурации детали (нижнюю кормовую деталь планиро</w:t>
      </w:r>
      <w:r w:rsidRPr="00DB5D0D">
        <w:rPr>
          <w:color w:val="000000" w:themeColor="text1"/>
          <w:lang w:val="ru-RU"/>
        </w:rPr>
        <w:softHyphen/>
        <w:t>валось отливать зацело с защитой картеров бортовой передачи) и отсутствия необходимых мощностей литейной базы специалисты Ма</w:t>
      </w:r>
      <w:r w:rsidRPr="00DB5D0D">
        <w:rPr>
          <w:color w:val="000000" w:themeColor="text1"/>
          <w:lang w:val="ru-RU"/>
        </w:rPr>
        <w:softHyphen/>
        <w:t>риупольского завода от этой идеи отказались (11903).</w:t>
      </w:r>
    </w:p>
    <w:p w14:paraId="28608523" w14:textId="77777777" w:rsidR="00A25AD1" w:rsidRPr="00DB5D0D" w:rsidRDefault="00A25AD1" w:rsidP="00DB5D0D">
      <w:pPr>
        <w:pStyle w:val="a3"/>
        <w:rPr>
          <w:color w:val="000000" w:themeColor="text1"/>
          <w:lang w:val="ru-RU"/>
        </w:rPr>
      </w:pPr>
    </w:p>
    <w:p w14:paraId="19E04AB0" w14:textId="77777777" w:rsidR="00A25AD1" w:rsidRPr="00DB5D0D" w:rsidRDefault="00A25AD1" w:rsidP="00DB5D0D">
      <w:pPr>
        <w:pStyle w:val="a3"/>
        <w:rPr>
          <w:color w:val="000000" w:themeColor="text1"/>
          <w:lang w:val="ru-RU"/>
        </w:rPr>
      </w:pPr>
      <w:r w:rsidRPr="00DB5D0D">
        <w:rPr>
          <w:color w:val="000000" w:themeColor="text1"/>
          <w:lang w:val="ru-RU"/>
        </w:rPr>
        <w:t>В июне 1940 события, связанные с производством дизеля В-2 на за</w:t>
      </w:r>
      <w:r w:rsidRPr="00DB5D0D">
        <w:rPr>
          <w:color w:val="000000" w:themeColor="text1"/>
          <w:lang w:val="ru-RU"/>
        </w:rPr>
        <w:softHyphen/>
        <w:t>воде №75, развивались следующим образом .</w:t>
      </w:r>
    </w:p>
    <w:p w14:paraId="4C9DF38A" w14:textId="77777777" w:rsidR="00A25AD1" w:rsidRPr="00DB5D0D" w:rsidRDefault="00A25AD1" w:rsidP="00DB5D0D">
      <w:pPr>
        <w:pStyle w:val="a3"/>
        <w:rPr>
          <w:color w:val="000000" w:themeColor="text1"/>
          <w:lang w:val="ru-RU"/>
        </w:rPr>
      </w:pPr>
      <w:r w:rsidRPr="00DB5D0D">
        <w:rPr>
          <w:color w:val="000000" w:themeColor="text1"/>
          <w:lang w:val="ru-RU"/>
        </w:rPr>
        <w:t>В начале месяца из-за отсутствия форсунок, конических шес</w:t>
      </w:r>
      <w:r w:rsidRPr="00DB5D0D">
        <w:rPr>
          <w:color w:val="000000" w:themeColor="text1"/>
          <w:lang w:val="ru-RU"/>
        </w:rPr>
        <w:softHyphen/>
        <w:t>терен и приводов топливных насосов сборка дизелей практичес</w:t>
      </w:r>
      <w:r w:rsidRPr="00DB5D0D">
        <w:rPr>
          <w:color w:val="000000" w:themeColor="text1"/>
          <w:lang w:val="ru-RU"/>
        </w:rPr>
        <w:softHyphen/>
        <w:t>ки не производилась, за первую декаду завод смог изготовить всего лишь 29 моторов. С середины месяца ситуация несколько улучшилась: для ликвидации особо узких мест, по распоряжению заводоуправления, в цеха, занятые изготовлением топливной ап</w:t>
      </w:r>
      <w:r w:rsidRPr="00DB5D0D">
        <w:rPr>
          <w:color w:val="000000" w:themeColor="text1"/>
          <w:lang w:val="ru-RU"/>
        </w:rPr>
        <w:softHyphen/>
        <w:t>паратуры и конических шестерен, началась переброска станочно</w:t>
      </w:r>
      <w:r w:rsidRPr="00DB5D0D">
        <w:rPr>
          <w:color w:val="000000" w:themeColor="text1"/>
          <w:lang w:val="ru-RU"/>
        </w:rPr>
        <w:softHyphen/>
        <w:t>го оборудования с других, менее загруженных участков; снабже</w:t>
      </w:r>
      <w:r w:rsidRPr="00DB5D0D">
        <w:rPr>
          <w:color w:val="000000" w:themeColor="text1"/>
          <w:lang w:val="ru-RU"/>
        </w:rPr>
        <w:softHyphen/>
        <w:t>ние металлом также немного улучшилось. Благодаря этому за месяц заводу удалось выпустить 175 серийных моторов (при пла</w:t>
      </w:r>
      <w:r w:rsidRPr="00DB5D0D">
        <w:rPr>
          <w:color w:val="000000" w:themeColor="text1"/>
          <w:lang w:val="ru-RU"/>
        </w:rPr>
        <w:softHyphen/>
        <w:t xml:space="preserve">не 210 штук), из них 30 штук мощностью 600 л.с. - для танка </w:t>
      </w:r>
      <w:r w:rsidRPr="00DB5D0D">
        <w:rPr>
          <w:color w:val="000000" w:themeColor="text1"/>
        </w:rPr>
        <w:t>KB</w:t>
      </w:r>
      <w:r w:rsidRPr="00DB5D0D">
        <w:rPr>
          <w:color w:val="000000" w:themeColor="text1"/>
          <w:lang w:val="ru-RU"/>
        </w:rPr>
        <w:t>, 45 штук мощностью 375 л.с. - для трактора «Ворошиловец» и 100 штук мощностью 500 л.с. - для БТ-7М.</w:t>
      </w:r>
    </w:p>
    <w:p w14:paraId="6294D869" w14:textId="77777777" w:rsidR="00A25AD1" w:rsidRPr="00DB5D0D" w:rsidRDefault="00A25AD1" w:rsidP="00DB5D0D">
      <w:pPr>
        <w:pStyle w:val="a3"/>
        <w:rPr>
          <w:color w:val="000000" w:themeColor="text1"/>
          <w:lang w:val="ru-RU"/>
        </w:rPr>
      </w:pPr>
      <w:r w:rsidRPr="00DB5D0D">
        <w:rPr>
          <w:color w:val="000000" w:themeColor="text1"/>
          <w:lang w:val="ru-RU"/>
        </w:rPr>
        <w:t>Отправок моторов и запасных частей на ремонтные базы по до</w:t>
      </w:r>
      <w:r w:rsidRPr="00DB5D0D">
        <w:rPr>
          <w:color w:val="000000" w:themeColor="text1"/>
          <w:lang w:val="ru-RU"/>
        </w:rPr>
        <w:softHyphen/>
        <w:t>говору с АБТУ в июне 1940 г. не производилось (11906).</w:t>
      </w:r>
    </w:p>
    <w:p w14:paraId="033F27D6" w14:textId="77777777" w:rsidR="00A25AD1" w:rsidRPr="00DB5D0D" w:rsidRDefault="00A25AD1" w:rsidP="00DB5D0D">
      <w:pPr>
        <w:pStyle w:val="a3"/>
        <w:rPr>
          <w:color w:val="000000" w:themeColor="text1"/>
          <w:lang w:val="ru-RU"/>
        </w:rPr>
      </w:pPr>
    </w:p>
    <w:p w14:paraId="28E8019A" w14:textId="77777777" w:rsidR="00A25AD1" w:rsidRPr="00DB5D0D" w:rsidRDefault="00A25AD1" w:rsidP="00DB5D0D">
      <w:pPr>
        <w:pStyle w:val="a3"/>
        <w:rPr>
          <w:color w:val="000000" w:themeColor="text1"/>
          <w:lang w:val="ru-RU"/>
        </w:rPr>
      </w:pPr>
      <w:r w:rsidRPr="00DB5D0D">
        <w:rPr>
          <w:color w:val="000000" w:themeColor="text1"/>
          <w:lang w:val="ru-RU"/>
        </w:rPr>
        <w:t>В июне 1940 г. для обеспечения июльской и августовской программ на Мариупольском заводе, по приказу директора А.Ф. Гармашева, начались работы по разверты</w:t>
      </w:r>
      <w:r w:rsidRPr="00DB5D0D">
        <w:rPr>
          <w:color w:val="000000" w:themeColor="text1"/>
          <w:lang w:val="ru-RU"/>
        </w:rPr>
        <w:softHyphen/>
        <w:t>ванию производственных мощностей (11906).</w:t>
      </w:r>
    </w:p>
    <w:p w14:paraId="67924803" w14:textId="77777777" w:rsidR="00A25AD1" w:rsidRPr="00DB5D0D" w:rsidRDefault="00A25AD1" w:rsidP="00DB5D0D">
      <w:pPr>
        <w:pStyle w:val="a3"/>
        <w:rPr>
          <w:color w:val="000000" w:themeColor="text1"/>
          <w:lang w:val="ru-RU"/>
        </w:rPr>
      </w:pPr>
    </w:p>
    <w:p w14:paraId="71E18E7A" w14:textId="77777777" w:rsidR="00A25AD1" w:rsidRPr="00DB5D0D" w:rsidRDefault="00A25AD1" w:rsidP="00DB5D0D">
      <w:pPr>
        <w:pStyle w:val="a3"/>
        <w:rPr>
          <w:color w:val="000000" w:themeColor="text1"/>
          <w:lang w:val="ru-RU"/>
        </w:rPr>
      </w:pPr>
      <w:r w:rsidRPr="00DB5D0D">
        <w:rPr>
          <w:color w:val="000000" w:themeColor="text1"/>
          <w:lang w:val="ru-RU"/>
        </w:rPr>
        <w:t>В июне 1940 г. вместо десяти запланированных Т-34 военной приемкой были приняты только четыре не полностью укомплектованные машины, две из которых (без башен и вооруже</w:t>
      </w:r>
      <w:r w:rsidRPr="00DB5D0D">
        <w:rPr>
          <w:color w:val="000000" w:themeColor="text1"/>
          <w:lang w:val="ru-RU"/>
        </w:rPr>
        <w:softHyphen/>
        <w:t>ния) 3 июля 1940 г. по распоряжению начальника АБТУ отправили на завод №8 для установки на них 85-мм пушек. Решение о проектиро</w:t>
      </w:r>
      <w:r w:rsidRPr="00DB5D0D">
        <w:rPr>
          <w:color w:val="000000" w:themeColor="text1"/>
          <w:lang w:val="ru-RU"/>
        </w:rPr>
        <w:softHyphen/>
        <w:t>вании самоходной 85-мм пушки на шасси Т-34, предназначенной для борьбы с танками противника, было принято 15 июня 1940 г. на сове</w:t>
      </w:r>
      <w:r w:rsidRPr="00DB5D0D">
        <w:rPr>
          <w:color w:val="000000" w:themeColor="text1"/>
          <w:lang w:val="ru-RU"/>
        </w:rPr>
        <w:softHyphen/>
        <w:t>щании у заместителя народного комиссара обороны Г.И. Кулика по вопросу «Новых опытных работ по танковому и противотанковому во</w:t>
      </w:r>
      <w:r w:rsidRPr="00DB5D0D">
        <w:rPr>
          <w:color w:val="000000" w:themeColor="text1"/>
          <w:lang w:val="ru-RU"/>
        </w:rPr>
        <w:softHyphen/>
        <w:t>оружению». Приведем выписки из протокола этого совещания:</w:t>
      </w:r>
    </w:p>
    <w:p w14:paraId="7523D408" w14:textId="77777777" w:rsidR="00A25AD1" w:rsidRPr="00DB5D0D" w:rsidRDefault="00A25AD1" w:rsidP="00DB5D0D">
      <w:pPr>
        <w:pStyle w:val="a3"/>
        <w:rPr>
          <w:rStyle w:val="152"/>
          <w:rFonts w:ascii="Times New Roman" w:hAnsi="Times New Roman" w:cs="Times New Roman"/>
          <w:i w:val="0"/>
          <w:iCs w:val="0"/>
          <w:color w:val="000000" w:themeColor="text1"/>
          <w:spacing w:val="0"/>
          <w:sz w:val="16"/>
          <w:szCs w:val="16"/>
          <w:lang w:val="ru-RU"/>
        </w:rPr>
      </w:pPr>
      <w:r w:rsidRPr="00DB5D0D">
        <w:rPr>
          <w:rStyle w:val="152"/>
          <w:rFonts w:ascii="Times New Roman" w:hAnsi="Times New Roman" w:cs="Times New Roman"/>
          <w:i w:val="0"/>
          <w:iCs w:val="0"/>
          <w:color w:val="000000" w:themeColor="text1"/>
          <w:spacing w:val="0"/>
          <w:sz w:val="16"/>
          <w:szCs w:val="16"/>
          <w:lang w:val="ru-RU"/>
        </w:rPr>
        <w:t>СОВЕЩАНИЕ ПОСТАНОВИЛО:</w:t>
      </w:r>
    </w:p>
    <w:p w14:paraId="7A8A1E87" w14:textId="77777777" w:rsidR="00A25AD1" w:rsidRPr="00DB5D0D" w:rsidRDefault="00A25AD1" w:rsidP="00DB5D0D">
      <w:pPr>
        <w:pStyle w:val="a3"/>
        <w:rPr>
          <w:color w:val="000000" w:themeColor="text1"/>
          <w:lang w:val="ru-RU"/>
        </w:rPr>
      </w:pPr>
      <w:r w:rsidRPr="00DB5D0D">
        <w:rPr>
          <w:rStyle w:val="152"/>
          <w:rFonts w:ascii="Times New Roman" w:hAnsi="Times New Roman" w:cs="Times New Roman"/>
          <w:i w:val="0"/>
          <w:iCs w:val="0"/>
          <w:color w:val="000000" w:themeColor="text1"/>
          <w:spacing w:val="0"/>
          <w:sz w:val="16"/>
          <w:szCs w:val="16"/>
        </w:rPr>
        <w:t>I</w:t>
      </w:r>
      <w:r w:rsidRPr="00DB5D0D">
        <w:rPr>
          <w:rStyle w:val="152"/>
          <w:rFonts w:ascii="Times New Roman" w:hAnsi="Times New Roman" w:cs="Times New Roman"/>
          <w:i w:val="0"/>
          <w:iCs w:val="0"/>
          <w:color w:val="000000" w:themeColor="text1"/>
          <w:spacing w:val="0"/>
          <w:sz w:val="16"/>
          <w:szCs w:val="16"/>
          <w:lang w:val="ru-RU"/>
        </w:rPr>
        <w:t>. Противотанковое вооружение.</w:t>
      </w:r>
    </w:p>
    <w:p w14:paraId="1FC22957" w14:textId="77777777" w:rsidR="00A25AD1" w:rsidRPr="00DB5D0D" w:rsidRDefault="00A25AD1" w:rsidP="00DB5D0D">
      <w:pPr>
        <w:pStyle w:val="1110"/>
        <w:shd w:val="clear" w:color="auto" w:fill="auto"/>
        <w:tabs>
          <w:tab w:val="left" w:pos="52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1.На шасси танка Т-34 сконструировать самоходную пушку для борьбы с танками (истребитель танков). Пушка должна обладать следующими основными характеристиками:</w:t>
      </w:r>
    </w:p>
    <w:p w14:paraId="76B8B1AA" w14:textId="77777777" w:rsidR="00A25AD1" w:rsidRPr="00DB5D0D" w:rsidRDefault="00A25AD1" w:rsidP="00DB5D0D">
      <w:pPr>
        <w:pStyle w:val="1110"/>
        <w:shd w:val="clear" w:color="auto" w:fill="auto"/>
        <w:tabs>
          <w:tab w:val="left" w:pos="507"/>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а)калибр - 85 мм.</w:t>
      </w:r>
    </w:p>
    <w:p w14:paraId="2684B667" w14:textId="77777777" w:rsidR="00A25AD1" w:rsidRPr="00DB5D0D" w:rsidRDefault="00A25AD1" w:rsidP="00DB5D0D">
      <w:pPr>
        <w:pStyle w:val="1110"/>
        <w:shd w:val="clear" w:color="auto" w:fill="auto"/>
        <w:tabs>
          <w:tab w:val="left" w:pos="512"/>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б)начальная скорость - 800 м/с.</w:t>
      </w:r>
    </w:p>
    <w:p w14:paraId="4C5659C5" w14:textId="77777777" w:rsidR="00A25AD1" w:rsidRPr="00DB5D0D" w:rsidRDefault="00A25AD1" w:rsidP="00DB5D0D">
      <w:pPr>
        <w:pStyle w:val="1110"/>
        <w:shd w:val="clear" w:color="auto" w:fill="auto"/>
        <w:tabs>
          <w:tab w:val="left" w:pos="51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в)бронепробиваемость - 80—85мм броню на дистанции 1000 м под углом 30°.</w:t>
      </w:r>
    </w:p>
    <w:p w14:paraId="27BEB7EE" w14:textId="77777777" w:rsidR="00A25AD1" w:rsidRPr="00DB5D0D" w:rsidRDefault="00A25AD1" w:rsidP="00DB5D0D">
      <w:pPr>
        <w:pStyle w:val="1110"/>
        <w:shd w:val="clear" w:color="auto" w:fill="auto"/>
        <w:tabs>
          <w:tab w:val="left" w:pos="493"/>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г)вертикальный обстрел - -5° +45°</w:t>
      </w:r>
    </w:p>
    <w:p w14:paraId="5AA2E560" w14:textId="77777777" w:rsidR="00A25AD1" w:rsidRPr="00DB5D0D" w:rsidRDefault="00A25AD1" w:rsidP="00DB5D0D">
      <w:pPr>
        <w:pStyle w:val="1110"/>
        <w:shd w:val="clear" w:color="auto" w:fill="auto"/>
        <w:tabs>
          <w:tab w:val="left" w:pos="531"/>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д)горизонтальный обстрел - 360°.</w:t>
      </w:r>
    </w:p>
    <w:p w14:paraId="36466B64" w14:textId="77777777" w:rsidR="00A25AD1" w:rsidRPr="00DB5D0D" w:rsidRDefault="00A25AD1" w:rsidP="00DB5D0D">
      <w:pPr>
        <w:pStyle w:val="1110"/>
        <w:shd w:val="clear" w:color="auto" w:fill="auto"/>
        <w:tabs>
          <w:tab w:val="left" w:pos="512"/>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е)скорострельность практическая Н6 М6НСС 15 выстр./мин.</w:t>
      </w:r>
    </w:p>
    <w:p w14:paraId="4692BB29" w14:textId="77777777" w:rsidR="00A25AD1" w:rsidRPr="00DB5D0D" w:rsidRDefault="00A25AD1" w:rsidP="00DB5D0D">
      <w:pPr>
        <w:pStyle w:val="1110"/>
        <w:shd w:val="clear" w:color="auto" w:fill="auto"/>
        <w:tabs>
          <w:tab w:val="left" w:pos="534"/>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ж)бортовая броня должна защищать от поражения крупнокали</w:t>
      </w:r>
      <w:r w:rsidRPr="00DB5D0D">
        <w:rPr>
          <w:rFonts w:ascii="Times New Roman" w:hAnsi="Times New Roman" w:cs="Times New Roman"/>
          <w:i w:val="0"/>
          <w:iCs w:val="0"/>
          <w:color w:val="000000" w:themeColor="text1"/>
          <w:sz w:val="16"/>
          <w:szCs w:val="16"/>
          <w:lang w:val="ru-RU"/>
        </w:rPr>
        <w:softHyphen/>
        <w:t>берными пулями и иметь толщину не менее 20 мм.</w:t>
      </w:r>
    </w:p>
    <w:p w14:paraId="0622F9F3" w14:textId="77777777" w:rsidR="00A25AD1" w:rsidRPr="00DB5D0D" w:rsidRDefault="00A25AD1" w:rsidP="00DB5D0D">
      <w:pPr>
        <w:pStyle w:val="1110"/>
        <w:shd w:val="clear" w:color="auto" w:fill="auto"/>
        <w:tabs>
          <w:tab w:val="left" w:pos="496"/>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2.АБТУ подать на завод №8 два танка Т-34 и прикомандировать к заводу №8 конструкторов танкистов с завода № 183.</w:t>
      </w:r>
    </w:p>
    <w:p w14:paraId="06DBA1E4" w14:textId="77777777" w:rsidR="00A25AD1" w:rsidRPr="00DB5D0D" w:rsidRDefault="00A25AD1" w:rsidP="00DB5D0D">
      <w:pPr>
        <w:pStyle w:val="1110"/>
        <w:shd w:val="clear" w:color="auto" w:fill="auto"/>
        <w:tabs>
          <w:tab w:val="left" w:pos="501"/>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3.Две самоходные установки должны быть сданы в месячный срок со дня подачи шасси. Работу считать первоочередной.</w:t>
      </w:r>
    </w:p>
    <w:p w14:paraId="32DE6DAA" w14:textId="77777777" w:rsidR="00A25AD1" w:rsidRPr="00DB5D0D" w:rsidRDefault="00A25AD1" w:rsidP="00DB5D0D">
      <w:pPr>
        <w:pStyle w:val="1110"/>
        <w:shd w:val="clear" w:color="auto" w:fill="auto"/>
        <w:tabs>
          <w:tab w:val="left" w:pos="472"/>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4.АУи НИИ-24 немедленно спроектировать, изготовить и испы</w:t>
      </w:r>
      <w:r w:rsidRPr="00DB5D0D">
        <w:rPr>
          <w:rFonts w:ascii="Times New Roman" w:hAnsi="Times New Roman" w:cs="Times New Roman"/>
          <w:i w:val="0"/>
          <w:iCs w:val="0"/>
          <w:color w:val="000000" w:themeColor="text1"/>
          <w:sz w:val="16"/>
          <w:szCs w:val="16"/>
          <w:lang w:val="ru-RU"/>
        </w:rPr>
        <w:softHyphen/>
        <w:t>тать 85 мм бронебойный снаряд.</w:t>
      </w:r>
    </w:p>
    <w:p w14:paraId="1A21D153" w14:textId="77777777" w:rsidR="00A25AD1" w:rsidRPr="00DB5D0D" w:rsidRDefault="00A25AD1"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Народный Комиссар Вооружения СССР ВАННИКОВ Заместитель Народного Комиссара Обороны Союза ССР Маршал Советского Союза КУЛИК Начальник АБТУ КА Гэнерал-лейтенант Танковых войск ФЕДОРЕНКО Начальник Арт. Управления КА Генерал-майор Артиллерии САВЧЕНКО.</w:t>
      </w:r>
      <w:r w:rsidRPr="00DB5D0D">
        <w:rPr>
          <w:rStyle w:val="1190"/>
          <w:rFonts w:ascii="Times New Roman" w:hAnsi="Times New Roman" w:cs="Times New Roman"/>
          <w:iCs/>
          <w:color w:val="000000" w:themeColor="text1"/>
          <w:spacing w:val="0"/>
          <w:sz w:val="16"/>
          <w:szCs w:val="16"/>
          <w:lang w:val="ru-RU"/>
        </w:rPr>
        <w:t xml:space="preserve"> [</w:t>
      </w:r>
      <w:r w:rsidRPr="00DB5D0D">
        <w:rPr>
          <w:rFonts w:ascii="Times New Roman" w:hAnsi="Times New Roman" w:cs="Times New Roman"/>
          <w:i w:val="0"/>
          <w:iCs w:val="0"/>
          <w:color w:val="000000" w:themeColor="text1"/>
          <w:sz w:val="16"/>
          <w:szCs w:val="16"/>
          <w:lang w:val="ru-RU"/>
        </w:rPr>
        <w:t xml:space="preserve">РГВА. Ф.31811. </w:t>
      </w:r>
      <w:r w:rsidRPr="00DB5D0D">
        <w:rPr>
          <w:rFonts w:ascii="Times New Roman" w:hAnsi="Times New Roman" w:cs="Times New Roman"/>
          <w:i w:val="0"/>
          <w:iCs w:val="0"/>
          <w:noProof w:val="0"/>
          <w:color w:val="000000" w:themeColor="text1"/>
          <w:sz w:val="16"/>
          <w:szCs w:val="16"/>
        </w:rPr>
        <w:t>On</w:t>
      </w:r>
      <w:r w:rsidRPr="00DB5D0D">
        <w:rPr>
          <w:rFonts w:ascii="Times New Roman" w:hAnsi="Times New Roman" w:cs="Times New Roman"/>
          <w:i w:val="0"/>
          <w:iCs w:val="0"/>
          <w:noProof w:val="0"/>
          <w:color w:val="000000" w:themeColor="text1"/>
          <w:sz w:val="16"/>
          <w:szCs w:val="16"/>
          <w:lang w:val="ru-RU"/>
        </w:rPr>
        <w:t>.</w:t>
      </w:r>
      <w:r w:rsidRPr="00DB5D0D">
        <w:rPr>
          <w:rFonts w:ascii="Times New Roman" w:hAnsi="Times New Roman" w:cs="Times New Roman"/>
          <w:i w:val="0"/>
          <w:iCs w:val="0"/>
          <w:color w:val="000000" w:themeColor="text1"/>
          <w:sz w:val="16"/>
          <w:szCs w:val="16"/>
          <w:lang w:val="ru-RU"/>
        </w:rPr>
        <w:t>2. Д. 1053. Л.65-68</w:t>
      </w:r>
      <w:r w:rsidRPr="00DB5D0D">
        <w:rPr>
          <w:rFonts w:ascii="Times New Roman" w:hAnsi="Times New Roman" w:cs="Times New Roman"/>
          <w:bCs/>
          <w:i w:val="0"/>
          <w:color w:val="000000" w:themeColor="text1"/>
          <w:sz w:val="16"/>
          <w:szCs w:val="16"/>
          <w:lang w:val="ru-RU"/>
        </w:rPr>
        <w:t>.</w:t>
      </w:r>
      <w:r w:rsidRPr="00DB5D0D">
        <w:rPr>
          <w:rStyle w:val="1190"/>
          <w:rFonts w:ascii="Times New Roman" w:hAnsi="Times New Roman" w:cs="Times New Roman"/>
          <w:iCs/>
          <w:color w:val="000000" w:themeColor="text1"/>
          <w:spacing w:val="0"/>
          <w:sz w:val="16"/>
          <w:szCs w:val="16"/>
          <w:lang w:val="ru-RU"/>
        </w:rPr>
        <w:t>]</w:t>
      </w:r>
    </w:p>
    <w:p w14:paraId="1E682A55" w14:textId="77777777" w:rsidR="00A25AD1" w:rsidRPr="00DB5D0D" w:rsidRDefault="00A25AD1" w:rsidP="00DB5D0D">
      <w:pPr>
        <w:pStyle w:val="a3"/>
        <w:rPr>
          <w:color w:val="000000" w:themeColor="text1"/>
          <w:lang w:val="ru-RU"/>
        </w:rPr>
      </w:pPr>
      <w:r w:rsidRPr="00DB5D0D">
        <w:rPr>
          <w:color w:val="000000" w:themeColor="text1"/>
          <w:lang w:val="ru-RU"/>
        </w:rPr>
        <w:t>Забегая вперед, скажем, что эти опытные работы не увенчались успехом. Конструкторам завода №8 не удалось установить 85-мм пушку в корпус танка Т-34 без существенных переделок последнего, о чем главный конструктор завода №8 М.Н. Логинов уведомил руко</w:t>
      </w:r>
      <w:r w:rsidRPr="00DB5D0D">
        <w:rPr>
          <w:color w:val="000000" w:themeColor="text1"/>
          <w:lang w:val="ru-RU"/>
        </w:rPr>
        <w:softHyphen/>
        <w:t>водство АБТУ в конце июля 1940 г. (11906).</w:t>
      </w:r>
    </w:p>
    <w:p w14:paraId="1D2CB5CE" w14:textId="77777777" w:rsidR="00A25AD1" w:rsidRPr="00DB5D0D" w:rsidRDefault="00A25AD1" w:rsidP="00DB5D0D">
      <w:pPr>
        <w:pStyle w:val="a3"/>
        <w:rPr>
          <w:color w:val="000000" w:themeColor="text1"/>
          <w:lang w:val="ru-RU"/>
        </w:rPr>
      </w:pPr>
    </w:p>
    <w:p w14:paraId="574758C8" w14:textId="77777777" w:rsidR="00787613" w:rsidRPr="00DB5D0D" w:rsidRDefault="0078761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июне 1940 г. заводу № 183 удалось изготовить и сдать заказчику 4 танка Т-34, что составило 40 % от месячного и квартального плана по этой машине. Кроме 4 танков Т-34 во втором квартале 1940 г. заводом № 183 было изготовлено и сдано по договорам с АБТУ РККА: </w:t>
      </w:r>
    </w:p>
    <w:p w14:paraId="6725CC4B" w14:textId="77777777" w:rsidR="00787613" w:rsidRPr="00DB5D0D" w:rsidRDefault="0078761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линейных танков БТ-7М – 163 шт.; </w:t>
      </w:r>
    </w:p>
    <w:p w14:paraId="301B38B5" w14:textId="77777777" w:rsidR="00787613" w:rsidRPr="00DB5D0D" w:rsidRDefault="0078761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танков БТ-7М, оборудованных радиостанциями – 134 шт.; </w:t>
      </w:r>
    </w:p>
    <w:p w14:paraId="1F5B3AF8" w14:textId="77777777" w:rsidR="00787613" w:rsidRPr="00DB5D0D" w:rsidRDefault="0078761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запасных частей для танков БТ-5 и БТ-7 на сумму 3736800 рублей; </w:t>
      </w:r>
    </w:p>
    <w:p w14:paraId="09F1ECF3" w14:textId="77777777" w:rsidR="00787613" w:rsidRPr="00DB5D0D" w:rsidRDefault="0078761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запасных частей для танков Т-35 на сумму 149639 рублей; </w:t>
      </w:r>
    </w:p>
    <w:p w14:paraId="211BEA3D" w14:textId="77777777" w:rsidR="00787613" w:rsidRPr="00DB5D0D" w:rsidRDefault="0078761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главных фрикционов, установленных на двигатели М-17Т для танков БТ-7 – 42 шт.; </w:t>
      </w:r>
    </w:p>
    <w:p w14:paraId="46F5F655" w14:textId="77777777" w:rsidR="00787613" w:rsidRPr="00DB5D0D" w:rsidRDefault="0078761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главных фрикционов для танков БТ-5 – 92 шт.; </w:t>
      </w:r>
    </w:p>
    <w:p w14:paraId="64F8025A" w14:textId="77777777" w:rsidR="00787613" w:rsidRPr="00DB5D0D" w:rsidRDefault="0078761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3-ступенчатых коробок передач для танков БТ-7 и БТ-7М – 5 шт. </w:t>
      </w:r>
    </w:p>
    <w:p w14:paraId="197F30FB" w14:textId="77777777" w:rsidR="00787613" w:rsidRPr="00DB5D0D" w:rsidRDefault="0078761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hAnsi="Times New Roman"/>
          <w:color w:val="000000" w:themeColor="text1"/>
          <w:sz w:val="16"/>
          <w:szCs w:val="16"/>
        </w:rPr>
        <w:t>По договорам с ГУВС НКВД и НК ВМФ во втором квартале заводом № 183 было изготовлено и сдано 72 танка БТ-7М с двигателем М-17Т (18076).</w:t>
      </w:r>
    </w:p>
    <w:p w14:paraId="3F86D172" w14:textId="77777777" w:rsidR="00787613" w:rsidRPr="00DB5D0D" w:rsidRDefault="00787613" w:rsidP="00DB5D0D">
      <w:pPr>
        <w:spacing w:after="0" w:line="240" w:lineRule="auto"/>
        <w:jc w:val="both"/>
        <w:rPr>
          <w:rFonts w:ascii="Times New Roman" w:eastAsia="Times New Roman" w:hAnsi="Times New Roman"/>
          <w:color w:val="000000" w:themeColor="text1"/>
          <w:sz w:val="16"/>
          <w:szCs w:val="16"/>
          <w:lang w:eastAsia="ru-RU"/>
        </w:rPr>
      </w:pPr>
    </w:p>
    <w:p w14:paraId="321DC819" w14:textId="77777777" w:rsidR="00A25AD1" w:rsidRPr="00DB5D0D" w:rsidRDefault="00A25AD1" w:rsidP="00DB5D0D">
      <w:pPr>
        <w:pStyle w:val="a3"/>
        <w:rPr>
          <w:color w:val="000000" w:themeColor="text1"/>
          <w:lang w:val="ru-RU"/>
        </w:rPr>
      </w:pPr>
      <w:r w:rsidRPr="00DB5D0D">
        <w:rPr>
          <w:color w:val="000000" w:themeColor="text1"/>
          <w:lang w:val="ru-RU"/>
        </w:rPr>
        <w:t>В июне 1940 г. Мариупольский завод им. Ильича, ссылаясь на недостаточную мощность литейной базы, отказался от изготовления ряда литых деталей для танка Т-34, и их произ</w:t>
      </w:r>
      <w:r w:rsidRPr="00DB5D0D">
        <w:rPr>
          <w:color w:val="000000" w:themeColor="text1"/>
          <w:lang w:val="ru-RU"/>
        </w:rPr>
        <w:softHyphen/>
        <w:t>водство легло на плечи завода №183. Руководство завода на про</w:t>
      </w:r>
      <w:r w:rsidRPr="00DB5D0D">
        <w:rPr>
          <w:color w:val="000000" w:themeColor="text1"/>
          <w:lang w:val="ru-RU"/>
        </w:rPr>
        <w:softHyphen/>
        <w:t>тяжении года неоднократно поднимало вопрос о поиске новых про</w:t>
      </w:r>
      <w:r w:rsidRPr="00DB5D0D">
        <w:rPr>
          <w:color w:val="000000" w:themeColor="text1"/>
          <w:lang w:val="ru-RU"/>
        </w:rPr>
        <w:softHyphen/>
        <w:t>изводственных баз на стороне, пытаясь таким образом избавить себя от выпуска этих деталей, но в 1940 г. такие базы не нашли. В итоге, завод №183 был вынужден наладить у себя выпуск следующих литых бронедеталей: защиты курсового пулемета ДТ (деталь 34.29.019) и крышки бортовых передач (детали 34.16.003). При их изготовлении основные затруднения вызывались, прежде всего, отсутствием у работников завода №183 опыта по литью и термообработке броневой стали, а также последующей ее меха</w:t>
      </w:r>
      <w:r w:rsidRPr="00DB5D0D">
        <w:rPr>
          <w:color w:val="000000" w:themeColor="text1"/>
          <w:lang w:val="ru-RU"/>
        </w:rPr>
        <w:softHyphen/>
        <w:t>нической обработке. С целью обеспечения своевременного вы</w:t>
      </w:r>
      <w:r w:rsidRPr="00DB5D0D">
        <w:rPr>
          <w:color w:val="000000" w:themeColor="text1"/>
          <w:lang w:val="ru-RU"/>
        </w:rPr>
        <w:softHyphen/>
        <w:t>пуска этих деталей технологи завода были вынуждены упрощать процесс их производства, зачастую ценой отступления от утверж</w:t>
      </w:r>
      <w:r w:rsidRPr="00DB5D0D">
        <w:rPr>
          <w:color w:val="000000" w:themeColor="text1"/>
          <w:lang w:val="ru-RU"/>
        </w:rPr>
        <w:softHyphen/>
        <w:t>денных ГАБТУ технических условий. В качестве примера приве</w:t>
      </w:r>
      <w:r w:rsidRPr="00DB5D0D">
        <w:rPr>
          <w:color w:val="000000" w:themeColor="text1"/>
          <w:lang w:val="ru-RU"/>
        </w:rPr>
        <w:softHyphen/>
        <w:t xml:space="preserve">дем ситуацию, сложившуюся с выпуском крышек бортовой </w:t>
      </w:r>
      <w:r w:rsidRPr="00DB5D0D">
        <w:rPr>
          <w:color w:val="000000" w:themeColor="text1"/>
          <w:lang w:val="ru-RU"/>
        </w:rPr>
        <w:lastRenderedPageBreak/>
        <w:t>пере</w:t>
      </w:r>
      <w:r w:rsidRPr="00DB5D0D">
        <w:rPr>
          <w:color w:val="000000" w:themeColor="text1"/>
          <w:lang w:val="ru-RU"/>
        </w:rPr>
        <w:softHyphen/>
        <w:t>дачи. В августе 1941 для облегчения механической обработки крышек руководство завода предложило снизить твердость этой детали и изменить порядок ее приемки (11940).</w:t>
      </w:r>
    </w:p>
    <w:p w14:paraId="3B923E13" w14:textId="77777777" w:rsidR="00A25AD1" w:rsidRPr="00DB5D0D" w:rsidRDefault="00A25AD1" w:rsidP="00DB5D0D">
      <w:pPr>
        <w:pStyle w:val="aff1"/>
        <w:spacing w:line="240" w:lineRule="auto"/>
        <w:rPr>
          <w:rFonts w:ascii="Times New Roman" w:hAnsi="Times New Roman" w:cs="Times New Roman"/>
          <w:i w:val="0"/>
          <w:color w:val="000000" w:themeColor="text1"/>
          <w:sz w:val="16"/>
          <w:szCs w:val="16"/>
          <w:lang w:val="ru-RU"/>
        </w:rPr>
      </w:pPr>
    </w:p>
    <w:p w14:paraId="746434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начальник АБТУ Д. Г. Павлов обратился к Наркому Обороны С.К. Тимошенко с просьбой потребовать от Кировского завода скорейшего исполнения постановления Комитета обороны.</w:t>
      </w:r>
    </w:p>
    <w:p w14:paraId="43380A53" w14:textId="77777777" w:rsidR="00A25AD1" w:rsidRPr="00DB5D0D" w:rsidRDefault="00A25AD1" w:rsidP="00DB5D0D">
      <w:pPr>
        <w:pStyle w:val="a3"/>
        <w:rPr>
          <w:color w:val="000000" w:themeColor="text1"/>
          <w:lang w:val="ru-RU"/>
        </w:rPr>
      </w:pPr>
      <w:r w:rsidRPr="00DB5D0D">
        <w:rPr>
          <w:color w:val="000000" w:themeColor="text1"/>
          <w:lang w:val="ru-RU"/>
        </w:rPr>
        <w:t>НАРОДНОМУ КОМИССАРУ ОБОРОНЫ СССР МАРШАЛУ СОВЕТСКОГО СОЮЗА тов. ТИМОШЕНКО</w:t>
      </w:r>
    </w:p>
    <w:p w14:paraId="57F0F894" w14:textId="77777777" w:rsidR="00A25AD1" w:rsidRPr="00DB5D0D" w:rsidRDefault="00A25AD1" w:rsidP="00DB5D0D">
      <w:pPr>
        <w:pStyle w:val="a3"/>
        <w:rPr>
          <w:color w:val="000000" w:themeColor="text1"/>
          <w:lang w:val="ru-RU"/>
        </w:rPr>
      </w:pPr>
      <w:r w:rsidRPr="00DB5D0D">
        <w:rPr>
          <w:color w:val="000000" w:themeColor="text1"/>
          <w:u w:val="single"/>
          <w:lang w:val="ru-RU"/>
        </w:rPr>
        <w:t>По вопросу:</w:t>
      </w:r>
      <w:r w:rsidRPr="00DB5D0D">
        <w:rPr>
          <w:color w:val="000000" w:themeColor="text1"/>
          <w:lang w:val="ru-RU"/>
        </w:rPr>
        <w:t xml:space="preserve"> 76 мм танковых пушек Ф-32 и Л-11.</w:t>
      </w:r>
    </w:p>
    <w:p w14:paraId="527D2B38" w14:textId="77777777" w:rsidR="00A25AD1" w:rsidRPr="00DB5D0D" w:rsidRDefault="00A25AD1" w:rsidP="00DB5D0D">
      <w:pPr>
        <w:pStyle w:val="a3"/>
        <w:rPr>
          <w:color w:val="000000" w:themeColor="text1"/>
          <w:lang w:val="ru-RU"/>
        </w:rPr>
      </w:pPr>
      <w:r w:rsidRPr="00DB5D0D">
        <w:rPr>
          <w:color w:val="000000" w:themeColor="text1"/>
          <w:lang w:val="ru-RU"/>
        </w:rPr>
        <w:t>В результате сравнительных испытаний в 1939г. 76 мм танковых пушек Ф-32 (завода №92) и Л-11 (Кировского завода) было уста</w:t>
      </w:r>
      <w:r w:rsidRPr="00DB5D0D">
        <w:rPr>
          <w:color w:val="000000" w:themeColor="text1"/>
          <w:lang w:val="ru-RU"/>
        </w:rPr>
        <w:softHyphen/>
        <w:t>новлено, что система Ф-32 в танке обладает значительными пре</w:t>
      </w:r>
      <w:r w:rsidRPr="00DB5D0D">
        <w:rPr>
          <w:color w:val="000000" w:themeColor="text1"/>
          <w:lang w:val="ru-RU"/>
        </w:rPr>
        <w:softHyphen/>
        <w:t>имуществами перед системой Л-11 в смысле удобств обслужива</w:t>
      </w:r>
      <w:r w:rsidRPr="00DB5D0D">
        <w:rPr>
          <w:color w:val="000000" w:themeColor="text1"/>
          <w:lang w:val="ru-RU"/>
        </w:rPr>
        <w:softHyphen/>
        <w:t>ния, надежности работы механизмов и эксплоатационных свойств. На основании указанных преимуществ пушка Ф-32 принята на воо</w:t>
      </w:r>
      <w:r w:rsidRPr="00DB5D0D">
        <w:rPr>
          <w:color w:val="000000" w:themeColor="text1"/>
          <w:lang w:val="ru-RU"/>
        </w:rPr>
        <w:softHyphen/>
        <w:t>ружение танков (Постановление КО №45сс).</w:t>
      </w:r>
    </w:p>
    <w:p w14:paraId="26EFDAF0" w14:textId="77777777" w:rsidR="00A25AD1" w:rsidRPr="00DB5D0D" w:rsidRDefault="00A25AD1" w:rsidP="00DB5D0D">
      <w:pPr>
        <w:pStyle w:val="a3"/>
        <w:rPr>
          <w:color w:val="000000" w:themeColor="text1"/>
          <w:lang w:val="ru-RU"/>
        </w:rPr>
      </w:pPr>
      <w:r w:rsidRPr="00DB5D0D">
        <w:rPr>
          <w:color w:val="000000" w:themeColor="text1"/>
          <w:lang w:val="ru-RU"/>
        </w:rPr>
        <w:t>В мае с/г для проверки надежности работы улучшенного образ</w:t>
      </w:r>
      <w:r w:rsidRPr="00DB5D0D">
        <w:rPr>
          <w:color w:val="000000" w:themeColor="text1"/>
          <w:lang w:val="ru-RU"/>
        </w:rPr>
        <w:softHyphen/>
        <w:t>ца пушки «Л-11» Комиссией АУ и АБТУ Красной Армии были вновь проведены полигонные испытания этой пушки. Испытания выявили, что система Л-11 не является надежной в работе, не позволяет вес</w:t>
      </w:r>
      <w:r w:rsidRPr="00DB5D0D">
        <w:rPr>
          <w:color w:val="000000" w:themeColor="text1"/>
          <w:lang w:val="ru-RU"/>
        </w:rPr>
        <w:softHyphen/>
        <w:t>ти стрельбу под углами снижения больше -10весьма капризна и сложна в эксплоатации.</w:t>
      </w:r>
    </w:p>
    <w:p w14:paraId="5AAEE9A0" w14:textId="77777777" w:rsidR="00A25AD1" w:rsidRPr="00DB5D0D" w:rsidRDefault="00A25AD1" w:rsidP="00DB5D0D">
      <w:pPr>
        <w:pStyle w:val="a3"/>
        <w:rPr>
          <w:color w:val="000000" w:themeColor="text1"/>
          <w:lang w:val="ru-RU"/>
        </w:rPr>
      </w:pPr>
      <w:r w:rsidRPr="00DB5D0D">
        <w:rPr>
          <w:color w:val="000000" w:themeColor="text1"/>
          <w:lang w:val="ru-RU"/>
        </w:rPr>
        <w:t>Доработка пушки Л-11 связана с коренной переделкой и конструи</w:t>
      </w:r>
      <w:r w:rsidRPr="00DB5D0D">
        <w:rPr>
          <w:color w:val="000000" w:themeColor="text1"/>
          <w:lang w:val="ru-RU"/>
        </w:rPr>
        <w:softHyphen/>
        <w:t>рованием вновь основных агрегатов пушки. АБТУ Красной Армии счита</w:t>
      </w:r>
      <w:r w:rsidRPr="00DB5D0D">
        <w:rPr>
          <w:color w:val="000000" w:themeColor="text1"/>
          <w:lang w:val="ru-RU"/>
        </w:rPr>
        <w:softHyphen/>
        <w:t>ет необходимым потребовать от Кировского завода скорейшего выпол</w:t>
      </w:r>
      <w:r w:rsidRPr="00DB5D0D">
        <w:rPr>
          <w:color w:val="000000" w:themeColor="text1"/>
          <w:lang w:val="ru-RU"/>
        </w:rPr>
        <w:softHyphen/>
        <w:t xml:space="preserve">нения Постановления Комитета Обороны при СНК СССР от27.01.40за </w:t>
      </w:r>
      <w:r w:rsidRPr="00DB5D0D">
        <w:rPr>
          <w:color w:val="000000" w:themeColor="text1"/>
        </w:rPr>
        <w:t>N</w:t>
      </w:r>
      <w:r w:rsidRPr="00DB5D0D">
        <w:rPr>
          <w:color w:val="000000" w:themeColor="text1"/>
          <w:lang w:val="ru-RU"/>
        </w:rPr>
        <w:t>°45</w:t>
      </w:r>
      <w:r w:rsidRPr="00DB5D0D">
        <w:rPr>
          <w:color w:val="000000" w:themeColor="text1"/>
        </w:rPr>
        <w:t>cc</w:t>
      </w:r>
      <w:r w:rsidRPr="00DB5D0D">
        <w:rPr>
          <w:color w:val="000000" w:themeColor="text1"/>
          <w:lang w:val="ru-RU"/>
        </w:rPr>
        <w:t xml:space="preserve"> о развертывании производства танковых пушек Ф-32.</w:t>
      </w:r>
    </w:p>
    <w:p w14:paraId="0345810F" w14:textId="77777777" w:rsidR="00A25AD1" w:rsidRPr="00DB5D0D" w:rsidRDefault="00A25AD1" w:rsidP="00DB5D0D">
      <w:pPr>
        <w:pStyle w:val="a3"/>
        <w:rPr>
          <w:color w:val="000000" w:themeColor="text1"/>
          <w:lang w:val="ru-RU"/>
        </w:rPr>
      </w:pPr>
      <w:r w:rsidRPr="00DB5D0D">
        <w:rPr>
          <w:color w:val="000000" w:themeColor="text1"/>
          <w:lang w:val="ru-RU"/>
        </w:rPr>
        <w:t>До момента готовности системы Ф-32 считаю возможным уста</w:t>
      </w:r>
      <w:r w:rsidRPr="00DB5D0D">
        <w:rPr>
          <w:color w:val="000000" w:themeColor="text1"/>
          <w:lang w:val="ru-RU"/>
        </w:rPr>
        <w:softHyphen/>
        <w:t>навливать в танки пушки Л-11, как временные, с последующей за</w:t>
      </w:r>
      <w:r w:rsidRPr="00DB5D0D">
        <w:rPr>
          <w:color w:val="000000" w:themeColor="text1"/>
          <w:lang w:val="ru-RU"/>
        </w:rPr>
        <w:softHyphen/>
        <w:t>меной их пушками Ф-32, запретив при этом стрельбу из пушек Л-11 под углами снижения больше -10°.</w:t>
      </w:r>
    </w:p>
    <w:p w14:paraId="1C74DF70" w14:textId="77777777" w:rsidR="00A25AD1" w:rsidRPr="00DB5D0D" w:rsidRDefault="00A25AD1" w:rsidP="00DB5D0D">
      <w:pPr>
        <w:pStyle w:val="a3"/>
        <w:rPr>
          <w:color w:val="000000" w:themeColor="text1"/>
          <w:lang w:val="ru-RU"/>
        </w:rPr>
      </w:pPr>
      <w:r w:rsidRPr="00DB5D0D">
        <w:rPr>
          <w:color w:val="000000" w:themeColor="text1"/>
          <w:lang w:val="ru-RU"/>
        </w:rPr>
        <w:t>Начальник АБТУ Красной Армии Командарм 2 ранга (Павлов)</w:t>
      </w:r>
    </w:p>
    <w:p w14:paraId="4AAC8E00" w14:textId="77777777" w:rsidR="00A25AD1" w:rsidRPr="00DB5D0D" w:rsidRDefault="00A25AD1" w:rsidP="00DB5D0D">
      <w:pPr>
        <w:pStyle w:val="a3"/>
        <w:rPr>
          <w:color w:val="000000" w:themeColor="text1"/>
          <w:lang w:val="ru-RU"/>
        </w:rPr>
      </w:pPr>
      <w:r w:rsidRPr="00DB5D0D">
        <w:rPr>
          <w:color w:val="000000" w:themeColor="text1"/>
          <w:lang w:val="ru-RU"/>
        </w:rPr>
        <w:t xml:space="preserve">Военный Комиссар АБТУ Кр. Армии Дивизионный комиссар (Куликов). [РГВА. Ф.31811. </w:t>
      </w:r>
      <w:r w:rsidRPr="00DB5D0D">
        <w:rPr>
          <w:color w:val="000000" w:themeColor="text1"/>
        </w:rPr>
        <w:t>On</w:t>
      </w:r>
      <w:r w:rsidRPr="00DB5D0D">
        <w:rPr>
          <w:color w:val="000000" w:themeColor="text1"/>
          <w:lang w:val="ru-RU"/>
        </w:rPr>
        <w:t>.2. Д.978. Л. 187-188.]</w:t>
      </w:r>
    </w:p>
    <w:p w14:paraId="58D07D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острую потребность ГАБТУ в большом количестве тан</w:t>
      </w:r>
      <w:r w:rsidRPr="00DB5D0D">
        <w:rPr>
          <w:rFonts w:ascii="Times New Roman" w:hAnsi="Times New Roman"/>
          <w:color w:val="000000" w:themeColor="text1"/>
          <w:sz w:val="16"/>
          <w:szCs w:val="16"/>
        </w:rPr>
        <w:softHyphen/>
        <w:t>ковых пушек Ф-32 (кроме Т-34 этой системой планировалось воору</w:t>
      </w:r>
      <w:r w:rsidRPr="00DB5D0D">
        <w:rPr>
          <w:rFonts w:ascii="Times New Roman" w:hAnsi="Times New Roman"/>
          <w:color w:val="000000" w:themeColor="text1"/>
          <w:sz w:val="16"/>
          <w:szCs w:val="16"/>
        </w:rPr>
        <w:softHyphen/>
        <w:t>жать танки KB), в середине июля Д.Г. Павлов внес на рассмотрение Комитета обороны предложение о развертывании выпуска Ф-32 до конца 1940 г. еще на двух заводах - №92 и №13. Кроме того, осоз</w:t>
      </w:r>
      <w:r w:rsidRPr="00DB5D0D">
        <w:rPr>
          <w:rFonts w:ascii="Times New Roman" w:hAnsi="Times New Roman"/>
          <w:color w:val="000000" w:themeColor="text1"/>
          <w:sz w:val="16"/>
          <w:szCs w:val="16"/>
        </w:rPr>
        <w:softHyphen/>
        <w:t>навая, что обеспечить весь годовой план Т-34 в 600 машин система</w:t>
      </w:r>
      <w:r w:rsidRPr="00DB5D0D">
        <w:rPr>
          <w:rFonts w:ascii="Times New Roman" w:hAnsi="Times New Roman"/>
          <w:color w:val="000000" w:themeColor="text1"/>
          <w:sz w:val="16"/>
          <w:szCs w:val="16"/>
        </w:rPr>
        <w:softHyphen/>
        <w:t>ми Ф-32 не удастся ни при каких условиях, прозвучало предложение вооружать в 1940 г. часть танков Т-34 45-мм пушками с последую</w:t>
      </w:r>
      <w:r w:rsidRPr="00DB5D0D">
        <w:rPr>
          <w:rFonts w:ascii="Times New Roman" w:hAnsi="Times New Roman"/>
          <w:color w:val="000000" w:themeColor="text1"/>
          <w:sz w:val="16"/>
          <w:szCs w:val="16"/>
        </w:rPr>
        <w:softHyphen/>
        <w:t>щей их заменой на Ф-32 (11940).</w:t>
      </w:r>
    </w:p>
    <w:p w14:paraId="5164C57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EBE46B4" w14:textId="77777777" w:rsidR="001138D8" w:rsidRPr="00DB5D0D" w:rsidRDefault="001138D8"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В июне 1940 года возникло предложение создать для КВ-2 орудие с баллистикой 107-мм дивизионной пушки М-60. Данное орудие стало наследником идей дивизионного орудия калибра 95 мм, которое прорабатывалось в конце 30-х годов. Прежде всего, речь идет о дивизионной пушке Ф-28, которая создавалась в паре со 122-мм гаубицей Ф-25. Опытный образец орудия был изготовлен в феврале 1940 года, прошел испытания, но летом 1940 года было очевидно, что М-60 его превосходит. К тому же под калибр 95 мм требовалось создавать новый боеприпас, и, в отличие от зенитного орудия 52-К с калибром 85 мм, новый калибр для дивизионки вводить не решились.</w:t>
      </w:r>
    </w:p>
    <w:p w14:paraId="44AB5157" w14:textId="77777777" w:rsidR="001138D8" w:rsidRPr="00DB5D0D" w:rsidRDefault="001138D8"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На тот момент КБ завода №92 заказа на танковое орудие калибра 107 мм не получало. А вот СКБ-4 Кировского завода, как следует из переписке, данную работу предлагали, срок исполнения - ноябрь 1940 года. Но там от разработки данной системы отказались. В случае с КБ завода №92 заказа не последовало по той причине, что там работали над 95-мм танковым орудием Ф-39. Увы, по орудию пока известна только схема установки и то, что орудие было, тем не менее, работы по нему вполне велись. Орудие было построено, после чего его установили в Т-28 и провели испытания, сделав 45 выстрелов. Вместе с тем, стало очевидно, что у Ф-39 нет будущего, поскольку "базовая" пушка, то есть Ф-28, на вооружение не принималась. А ради одной танковой пушки никто бы осваивать производство боеприпасов нового калибра не стал (20349).</w:t>
      </w:r>
    </w:p>
    <w:p w14:paraId="7B5C4A4C" w14:textId="77777777" w:rsidR="001138D8" w:rsidRPr="00DB5D0D" w:rsidRDefault="001138D8"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21F98C01" w14:textId="77777777" w:rsidR="00C65D4B" w:rsidRPr="00DB5D0D" w:rsidRDefault="00C65D4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 июне 1940 две машины — У-4 и У-7 — в прибыли на полигон в под</w:t>
      </w:r>
      <w:r w:rsidRPr="00DB5D0D">
        <w:rPr>
          <w:rFonts w:ascii="Times New Roman" w:cs="Times New Roman"/>
          <w:color w:val="000000" w:themeColor="text1"/>
          <w:spacing w:val="0"/>
        </w:rPr>
        <w:softHyphen/>
        <w:t>московную Кубинку для испытаний. Од</w:t>
      </w:r>
      <w:r w:rsidRPr="00DB5D0D">
        <w:rPr>
          <w:rFonts w:ascii="Times New Roman" w:cs="Times New Roman"/>
          <w:color w:val="000000" w:themeColor="text1"/>
          <w:spacing w:val="0"/>
        </w:rPr>
        <w:softHyphen/>
        <w:t>нако затем проведение испытаний было возложено на Кировский завод, и обе машины вернули обратно. 10 июня 1940 года начались заводские испытания тан</w:t>
      </w:r>
      <w:r w:rsidRPr="00DB5D0D">
        <w:rPr>
          <w:rFonts w:ascii="Times New Roman" w:cs="Times New Roman"/>
          <w:color w:val="000000" w:themeColor="text1"/>
          <w:spacing w:val="0"/>
        </w:rPr>
        <w:softHyphen/>
        <w:t xml:space="preserve">ка У-1 в районе Ленинграда, во время которых машина прошла 2648 км. Во второй половине июля испытывался танк У-21 со 152-мм гаубицей, а в августе — У-7 с 76-мм пушкой. Пробег У-21 и У-7 составил 1631 и 2050 км соответственно. В результате у танков </w:t>
      </w:r>
      <w:r w:rsidRPr="00DB5D0D">
        <w:rPr>
          <w:rFonts w:ascii="Times New Roman" w:cs="Times New Roman"/>
          <w:color w:val="000000" w:themeColor="text1"/>
          <w:spacing w:val="0"/>
          <w:lang w:val="en-US"/>
        </w:rPr>
        <w:t>KB</w:t>
      </w:r>
      <w:r w:rsidRPr="00DB5D0D">
        <w:rPr>
          <w:rFonts w:ascii="Times New Roman" w:cs="Times New Roman"/>
          <w:color w:val="000000" w:themeColor="text1"/>
          <w:spacing w:val="0"/>
        </w:rPr>
        <w:t xml:space="preserve"> были выявлены существенные недостатки в трансмис</w:t>
      </w:r>
      <w:r w:rsidRPr="00DB5D0D">
        <w:rPr>
          <w:rFonts w:ascii="Times New Roman" w:cs="Times New Roman"/>
          <w:color w:val="000000" w:themeColor="text1"/>
          <w:spacing w:val="0"/>
        </w:rPr>
        <w:softHyphen/>
        <w:t>сии, ходовой части и двигателе (15232).</w:t>
      </w:r>
    </w:p>
    <w:p w14:paraId="7D7CC74B" w14:textId="77777777" w:rsidR="00C65D4B" w:rsidRPr="00DB5D0D" w:rsidRDefault="00C65D4B" w:rsidP="00DB5D0D">
      <w:pPr>
        <w:pStyle w:val="27"/>
        <w:shd w:val="clear" w:color="auto" w:fill="auto"/>
        <w:spacing w:after="0" w:line="240" w:lineRule="auto"/>
        <w:ind w:firstLine="0"/>
        <w:rPr>
          <w:rFonts w:ascii="Times New Roman" w:cs="Times New Roman"/>
          <w:color w:val="000000" w:themeColor="text1"/>
          <w:spacing w:val="0"/>
        </w:rPr>
      </w:pPr>
    </w:p>
    <w:p w14:paraId="36F68CA5" w14:textId="77777777" w:rsidR="00C65D4B" w:rsidRPr="00DB5D0D" w:rsidRDefault="00C65D4B"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июне 1940 года появились первые признаки того, что военных не устраивает ни «КВ с большой башней», ни «КВ с малой башней»,. Согласно предложению по уточнению системы танкового вооружения, КВ-1 предлагалось вооружить 76-мм пушкой с баллистикой 76-мм зенитной пушки обр.1931 г. (3-К). Кроме того, предлагалось усилить бронирование его лобовой части до 90–100 мм. Впрочем, насчёт зенитного орудия 3-К тогда же возникли большие сомнения. Согласно расчётам, 76-мм зенитная пушка пробивала на дистанции в километр броню толщиной порядка 70 мм, установленную под углом 30 градусов. Хороший показатель, но при новых требованиях получалось, что толщина усиленной брони самого КВ-1 оказывалась выше пробиваемости 3-К. Вдобавок, эту систему уже сняли с производства. Вместо 3-К начался выпуск более мощной 85-мм зенитной пушки обр.1939 года (52-К). Это орудие на той же дистанции и под тем же углом пробивало уже 88 мм брони. Неудивительно, что в ведомости танковых, самоходных и противотанковых систем, подлежащих разработке, появились две пушки: одна – с баллистикой 76-мм зенитного орудия, вторая – с баллистикой 85-мм зенитки. Для обоих вариантов перевооружения «КВ с малой башней» сроком изготовления опытного образца указывалось 1 сентября 1940 года. В качестве разработчика обеих систем был выбран завод №92. 76-мм орудие с баллистикой 3-К получило заводской индекс Ф-27, а 85-мм орудие с баллистикой 52-К обозначили как Ф-30. Руководство по разработке систем возглавил главный конструктор завода №92 В. Г. Грабин. На Ф-30 возлагали большие надежды: согласно плану по вооружению танков на 1941 год, 50% КВ предполагалось вооружать именно этой системой (15224).</w:t>
      </w:r>
    </w:p>
    <w:p w14:paraId="2B7E6E49" w14:textId="77777777" w:rsidR="00C65D4B" w:rsidRPr="00DB5D0D" w:rsidRDefault="00C65D4B" w:rsidP="00DB5D0D">
      <w:pPr>
        <w:pStyle w:val="ae"/>
        <w:shd w:val="clear" w:color="auto" w:fill="FFFFFF"/>
        <w:spacing w:before="0" w:after="0"/>
        <w:jc w:val="both"/>
        <w:rPr>
          <w:color w:val="000000" w:themeColor="text1"/>
          <w:sz w:val="16"/>
          <w:szCs w:val="16"/>
        </w:rPr>
      </w:pPr>
    </w:p>
    <w:p w14:paraId="2C599FEB" w14:textId="77777777" w:rsidR="00C65D4B" w:rsidRPr="00DB5D0D" w:rsidRDefault="00C65D4B" w:rsidP="00DB5D0D">
      <w:pPr>
        <w:pStyle w:val="ae"/>
        <w:shd w:val="clear" w:color="auto" w:fill="FFFFFF"/>
        <w:spacing w:before="0" w:after="0"/>
        <w:jc w:val="both"/>
        <w:rPr>
          <w:color w:val="000000" w:themeColor="text1"/>
          <w:sz w:val="16"/>
          <w:szCs w:val="16"/>
        </w:rPr>
      </w:pPr>
      <w:r w:rsidRPr="00DB5D0D">
        <w:rPr>
          <w:color w:val="000000" w:themeColor="text1"/>
          <w:sz w:val="16"/>
          <w:szCs w:val="16"/>
        </w:rPr>
        <w:t xml:space="preserve">В июне 1940 года в предложениях по уточнению системы танкового вооружения, пунктом 3 шло создание </w:t>
      </w:r>
      <w:r w:rsidRPr="00DB5D0D">
        <w:rPr>
          <w:iCs/>
          <w:color w:val="000000" w:themeColor="text1"/>
          <w:sz w:val="16"/>
          <w:szCs w:val="16"/>
        </w:rPr>
        <w:t>«самоходной бронированной тяжёлой артиллерии с задачей разрушения ДОТов»</w:t>
      </w:r>
      <w:r w:rsidRPr="00DB5D0D">
        <w:rPr>
          <w:color w:val="000000" w:themeColor="text1"/>
          <w:sz w:val="16"/>
          <w:szCs w:val="16"/>
        </w:rPr>
        <w:t>. В качестве базы предлагалось использовать тяжёлый танк СМК. Вооружать систему предлагалось пушками калибра 122, 130, 152 или 180 мм. Впрочем, основным вариантом указывалась конкретная 152-мм пушка обр.1935 г, она же БР-2. Также в качестве временной меры предлагалось немедленно запустить в серию Т-100Y, проработав вопрос установки на ту же базу 152-мм пушки БР-2. Никаких работ по созданию установок на базе СМК и Т-100 провести не успели: от самих этих машин отказались уже в июле. Из всех предложений с июля 1940 года было реализовано одно, а именно – запуск в серию «КВ с большой башней». Как это часто бывает, временное решение стало и основным.</w:t>
      </w:r>
    </w:p>
    <w:p w14:paraId="0558B319" w14:textId="77777777" w:rsidR="00C65D4B" w:rsidRPr="00DB5D0D" w:rsidRDefault="00C65D4B" w:rsidP="00DB5D0D">
      <w:pPr>
        <w:pStyle w:val="ae"/>
        <w:shd w:val="clear" w:color="auto" w:fill="FFFFFF"/>
        <w:spacing w:before="0" w:after="0"/>
        <w:jc w:val="both"/>
        <w:rPr>
          <w:color w:val="000000" w:themeColor="text1"/>
          <w:sz w:val="16"/>
          <w:szCs w:val="16"/>
        </w:rPr>
      </w:pPr>
      <w:r w:rsidRPr="00DB5D0D">
        <w:rPr>
          <w:color w:val="000000" w:themeColor="text1"/>
          <w:sz w:val="16"/>
          <w:szCs w:val="16"/>
        </w:rPr>
        <w:t>Акцентирование внимания артиллеристов на БР-2 было отнюдь не случайным. Завод №185 поставил на 130-мм морскую пушку Б-13, поскольку она была компактнее и обладала достойными характеристиками. 130-мм броню она уверенно пробивала на дистанции почти в 4,5 километра. Правда, наблюдалась проблема с прочностью снарядов, но этим грешило большинство советских боеприпасов того периода. Казалось бы, при таких характеристиках Б-13 для борьбы с укреплениями хватит. Но у артиллеристов были свои аргументы. Хотя судьба БР-2 оказалась сложной, а объём выпуска – мизерным даже на фоне далеко не самой массовой 203-мм гаубицы особой мощности Б-4, тем не менее характеристики у этого орудия были выдающимися. Те же 130 мм брони БР-2 пробивала на дистанции в 5 километров. Вдобавок к этому, расчёты показали, что бетонобойным снарядом БР-2 пробьёт железобетонную стенку толщиной 2 метра. Именно такую толщину имели стены долговременных сооружений на Линии Маннергейма. Наличие такой «открывашки» на самоходном шасси с противоснарядной бронёй в значительной степени решало проблему подготовленной эшелонированной обороны.</w:t>
      </w:r>
    </w:p>
    <w:p w14:paraId="36DB6674" w14:textId="77777777" w:rsidR="00C65D4B" w:rsidRPr="00DB5D0D" w:rsidRDefault="00C65D4B" w:rsidP="00DB5D0D">
      <w:pPr>
        <w:pStyle w:val="ae"/>
        <w:shd w:val="clear" w:color="auto" w:fill="FFFFFF"/>
        <w:spacing w:before="0" w:after="0"/>
        <w:jc w:val="both"/>
        <w:rPr>
          <w:color w:val="000000" w:themeColor="text1"/>
          <w:sz w:val="16"/>
          <w:szCs w:val="16"/>
        </w:rPr>
      </w:pPr>
      <w:r w:rsidRPr="00DB5D0D">
        <w:rPr>
          <w:color w:val="000000" w:themeColor="text1"/>
          <w:sz w:val="16"/>
          <w:szCs w:val="16"/>
        </w:rPr>
        <w:t>После окончательного закрытия проектов Т-100 и СМК вопрос «истребителя ДОТов» никуда не делся (15739).</w:t>
      </w:r>
    </w:p>
    <w:p w14:paraId="19F6359A" w14:textId="77777777" w:rsidR="00C65D4B" w:rsidRPr="00DB5D0D" w:rsidRDefault="00C65D4B" w:rsidP="00DB5D0D">
      <w:pPr>
        <w:pStyle w:val="ae"/>
        <w:shd w:val="clear" w:color="auto" w:fill="FFFFFF"/>
        <w:spacing w:before="0" w:after="0"/>
        <w:jc w:val="both"/>
        <w:rPr>
          <w:color w:val="000000" w:themeColor="text1"/>
          <w:sz w:val="16"/>
          <w:szCs w:val="16"/>
        </w:rPr>
      </w:pPr>
    </w:p>
    <w:p w14:paraId="1573170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начиная с машины У-18 на КВ в серию пошла «граненая» башня вместо «круглой», что позволило высвобо</w:t>
      </w:r>
      <w:r w:rsidRPr="00DB5D0D">
        <w:rPr>
          <w:rFonts w:ascii="Times New Roman" w:hAnsi="Times New Roman"/>
          <w:color w:val="000000" w:themeColor="text1"/>
          <w:sz w:val="16"/>
          <w:szCs w:val="16"/>
        </w:rPr>
        <w:softHyphen/>
        <w:t>дить прессовое оборудование и упростить процесс сборки танка. Далее, при монтаже оборудования танка по возмож</w:t>
      </w:r>
      <w:r w:rsidRPr="00DB5D0D">
        <w:rPr>
          <w:rFonts w:ascii="Times New Roman" w:hAnsi="Times New Roman"/>
          <w:color w:val="000000" w:themeColor="text1"/>
          <w:sz w:val="16"/>
          <w:szCs w:val="16"/>
        </w:rPr>
        <w:softHyphen/>
        <w:t>ности отказывались от винтовых соединений в пользу болто</w:t>
      </w:r>
      <w:r w:rsidRPr="00DB5D0D">
        <w:rPr>
          <w:rFonts w:ascii="Times New Roman" w:hAnsi="Times New Roman"/>
          <w:color w:val="000000" w:themeColor="text1"/>
          <w:sz w:val="16"/>
          <w:szCs w:val="16"/>
        </w:rPr>
        <w:softHyphen/>
        <w:t>вых, была упрощена форма крыльев, установлены сварные баки вместо штампованно-сварных. Изменена конструкция КПП, введен литой картер, уменьшено число опорных под</w:t>
      </w:r>
      <w:r w:rsidRPr="00DB5D0D">
        <w:rPr>
          <w:rFonts w:ascii="Times New Roman" w:hAnsi="Times New Roman"/>
          <w:color w:val="000000" w:themeColor="text1"/>
          <w:sz w:val="16"/>
          <w:szCs w:val="16"/>
        </w:rPr>
        <w:softHyphen/>
        <w:t>шипников. Даже по предварительным прикидкам, стои</w:t>
      </w:r>
      <w:r w:rsidRPr="00DB5D0D">
        <w:rPr>
          <w:rFonts w:ascii="Times New Roman" w:hAnsi="Times New Roman"/>
          <w:color w:val="000000" w:themeColor="text1"/>
          <w:sz w:val="16"/>
          <w:szCs w:val="16"/>
        </w:rPr>
        <w:softHyphen/>
        <w:t>мость танка снижалась на 10—15 процентов, что радовало. Тем временем заместитель наркома обороны по воору</w:t>
      </w:r>
      <w:r w:rsidRPr="00DB5D0D">
        <w:rPr>
          <w:rFonts w:ascii="Times New Roman" w:hAnsi="Times New Roman"/>
          <w:color w:val="000000" w:themeColor="text1"/>
          <w:sz w:val="16"/>
          <w:szCs w:val="16"/>
        </w:rPr>
        <w:softHyphen/>
        <w:t>жению маршал Г. Кулик, обеспокоенный, что танк КВ при приеме на вооружение не прошел всей необходимой про</w:t>
      </w:r>
      <w:r w:rsidRPr="00DB5D0D">
        <w:rPr>
          <w:rFonts w:ascii="Times New Roman" w:hAnsi="Times New Roman"/>
          <w:color w:val="000000" w:themeColor="text1"/>
          <w:sz w:val="16"/>
          <w:szCs w:val="16"/>
        </w:rPr>
        <w:softHyphen/>
        <w:t>граммы испытаний, потребовал от АБТУ РККА «завершить программу в полном объеме» (10782).</w:t>
      </w:r>
    </w:p>
    <w:p w14:paraId="7B476FA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E948E59" w14:textId="77777777" w:rsidR="00206FD6" w:rsidRPr="00DB5D0D" w:rsidRDefault="00206FD6"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июне 1940 года впервые был поднят вопрос о самоходной установке среднего класса. В ходе обсуждения системы вооружения советских танков и САУ в качестве одного из орудий впервые была предложена 85-м зенитная пушка обр.1939 года (52-К). Согласно расчётным данным, на дистанции в километр орудие должно было пробивать бронебойным снарядом броню толщиной 88 мм. Правда, с одной оговоркой – бронебойного снаряда для этой системы на тот момент не существовало.</w:t>
      </w:r>
    </w:p>
    <w:p w14:paraId="2425DD40" w14:textId="77777777" w:rsidR="00206FD6" w:rsidRPr="00DB5D0D" w:rsidRDefault="00206FD6"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Согласно ведомости опытных танковых, самоходных и противотанковых систем, подлежащих разработке, 85-мм зенитная пушка предполагалось в качестве вооружения для танка КВ с малой башней (КВ-1). В этом документе, датированном 21 июня 1940 года, данная система фигурировала третьим пунктом. Ещё интереснее выглядит пункт №7 данной ведомости. Под ним значится «85-мм самоходная пушка на шасси танка Т-34» (истребитель танков). Эта САУ должна была весить 26 тонн и развивать максимальную скорость 40 км/ч. Угол горизонтального обстрела из её орудия должен был составлять 360 градусов (17641).</w:t>
      </w:r>
    </w:p>
    <w:p w14:paraId="5BA5AFE6" w14:textId="77777777" w:rsidR="00206FD6" w:rsidRPr="00DB5D0D" w:rsidRDefault="00206FD6" w:rsidP="00DB5D0D">
      <w:pPr>
        <w:spacing w:after="0" w:line="240" w:lineRule="auto"/>
        <w:jc w:val="both"/>
        <w:rPr>
          <w:rFonts w:ascii="Times New Roman" w:eastAsia="Times New Roman" w:hAnsi="Times New Roman"/>
          <w:color w:val="000000" w:themeColor="text1"/>
          <w:sz w:val="16"/>
          <w:szCs w:val="16"/>
          <w:lang w:eastAsia="ru-RU"/>
        </w:rPr>
      </w:pPr>
    </w:p>
    <w:p w14:paraId="7E59E79D" w14:textId="77777777" w:rsidR="00206FD6" w:rsidRPr="00DB5D0D" w:rsidRDefault="00206FD6"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 xml:space="preserve">В июне 1940 года в предложениях по уточнению системы танкового вооружения, пунктом 3 шло создание </w:t>
      </w:r>
      <w:r w:rsidRPr="00DB5D0D">
        <w:rPr>
          <w:rFonts w:ascii="Times New Roman" w:eastAsia="Times New Roman" w:hAnsi="Times New Roman"/>
          <w:iCs/>
          <w:color w:val="000000" w:themeColor="text1"/>
          <w:sz w:val="16"/>
          <w:szCs w:val="16"/>
          <w:lang w:eastAsia="ru-RU"/>
        </w:rPr>
        <w:t>«самоходной бронированной тяжёлой артиллерии с задачей разрушения ДОТов»</w:t>
      </w:r>
      <w:r w:rsidRPr="00DB5D0D">
        <w:rPr>
          <w:rFonts w:ascii="Times New Roman" w:eastAsia="Times New Roman" w:hAnsi="Times New Roman"/>
          <w:color w:val="000000" w:themeColor="text1"/>
          <w:sz w:val="16"/>
          <w:szCs w:val="16"/>
          <w:lang w:eastAsia="ru-RU"/>
        </w:rPr>
        <w:t>. В качестве базы предлагалось использовать тяжёлый танк СМК. Вооружать систему предлагалось пушками калибра 122, 130, 152 или 180 мм. Впрочем, основным вариантом указывалась конкретная 152-мм пушка обр.1935 г, она же БР-2. Также в качестве временной меры предлагалось немедленно запустить в серию Т-100Y, проработав вопрос установки на ту же базу 152-мм пушки БР-2. Никаких работ по созданию установок на базе СМК и Т-100 провести не успели: от самих этих машин отказались уже в июле. Из всех предложений с июля 1940 года было реализовано одно, а именно – запуск в серию «КВ с большой башней». Как это часто бывает, временное решение стало и основным (17646).</w:t>
      </w:r>
    </w:p>
    <w:p w14:paraId="5A1762CD" w14:textId="77777777" w:rsidR="00206FD6" w:rsidRPr="00DB5D0D" w:rsidRDefault="00206FD6" w:rsidP="00DB5D0D">
      <w:pPr>
        <w:spacing w:after="0" w:line="240" w:lineRule="auto"/>
        <w:jc w:val="both"/>
        <w:rPr>
          <w:rFonts w:ascii="Times New Roman" w:eastAsia="Times New Roman" w:hAnsi="Times New Roman"/>
          <w:color w:val="000000" w:themeColor="text1"/>
          <w:sz w:val="16"/>
          <w:szCs w:val="16"/>
          <w:lang w:eastAsia="ru-RU"/>
        </w:rPr>
      </w:pPr>
    </w:p>
    <w:p w14:paraId="4E363A8C" w14:textId="77777777" w:rsidR="00A25AD1" w:rsidRPr="00DB5D0D" w:rsidRDefault="00A25AD1"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В июне 1940 прошли испытания двух прицепов ХП-2 - химических прицепок, разработанных Выксунским заводом ДРО М.В.Суховым под руководством нач. СКБ М.У.Мирошина в 1939-40. Одноосный прицеп на колесном ходу с резервуаром на 600 л, защищенным броней в 6-10 мм (9527,180).</w:t>
      </w:r>
    </w:p>
    <w:p w14:paraId="1170F22A" w14:textId="77777777" w:rsidR="00A25AD1" w:rsidRPr="00DB5D0D" w:rsidRDefault="00A25AD1" w:rsidP="00DB5D0D">
      <w:pPr>
        <w:pStyle w:val="a8"/>
        <w:widowControl/>
        <w:jc w:val="both"/>
        <w:rPr>
          <w:rFonts w:ascii="Times New Roman" w:hAnsi="Times New Roman" w:cs="Times New Roman"/>
          <w:color w:val="000000" w:themeColor="text1"/>
        </w:rPr>
      </w:pPr>
    </w:p>
    <w:p w14:paraId="3506FE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проводились испытания мостового танка ИТ-28. В результате их было выявлено, что прочность механизмов мостового привода и прочность металлоконструкции моста достаточны для пропуска танков массой до 50 т. Для получения более полных тактических и технических данных было признано необходимым провести испытания танка в войсковых условиях. К июню 1941 года ИТ-28 вряд ли производился серийно. Возможно, было построено 1-2 опытных образца (3918).</w:t>
      </w:r>
    </w:p>
    <w:p w14:paraId="686E1FB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C284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1940 году на Ленинградском Кировском заводе был создан Мостовой танк ИТ-28. В качестве базы послужил серийный танк Т-28Э. Вместо башен и подбашенной коробки была установлена восьмигранная рубка с толщиной брони от 30 до 50 мм и наклоном листов от 8 до 25°. В лобовом листе рубки размещались два пулемета ДТ в шаровых установках с секторами обстрела: горизонтальным - 42° и вертикальным - 32°. Боекомплект пулеметов состоял из 4473 патронов.</w:t>
      </w:r>
    </w:p>
    <w:p w14:paraId="385363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Сверху на рубке монтировался двухколейный мост длиной 13,3 м, шириной 3,35 м. Для наводки моста танк был оборудован специальным мостовым приводом, включавшим в себя устройство отбора мощности от двигателя, муфту сцепления, коробку передач, гидравлический привод, промежуточную передачу, привод главных рычагов, главные рычаги и механизм управления. Конструкцию мостового оборудования разработали специалисты НАТИ.</w:t>
      </w:r>
    </w:p>
    <w:p w14:paraId="7214F9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Масса танка с мостом составила 29т, без моста - 25 т. Габариты с мостом: 13,3х3,5х3,7 м, без моста: 7,36х2,87х3,77 м (с рычагами, уложенными по-походному). Силовая установка осталась прежней. Скорость движения танка с мостом по проселочной дороге достигала 14 км/ч. Ширина перекрываемого мостом препятствия - до 12,5м.</w:t>
      </w:r>
    </w:p>
    <w:p w14:paraId="29B0D7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наводки моста: по горизонтали - 1-3 мин., по вертикали - 2-3 мин. Время подъема моста с препятствия на танк - 3-5 мин (3918).</w:t>
      </w:r>
    </w:p>
    <w:p w14:paraId="0042B07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978F9C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вышло решение ПБ "О производстве танков Т-34 в 1940, которое также привлекло к программе другие заводы и большое число наркоматов. Позволило за первые полгода 1941 выпустить 1500 (338,15).</w:t>
      </w:r>
    </w:p>
    <w:p w14:paraId="51144A9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7EB3F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вместе с машинами других образцов Т-34 был направлен на Карельский перешеек. Там на бывших финских противотанковых препятствиях танк еще раз продемонстрировал свои великолепные качества. Было там и такое препятствие: в бывшем когда-то лесу остались примерно метровые пни от спиленных могучих сосен. За этим участком находился ров, по дну которого с наклоном были установлены древесные стволы. Водитель-испытатель Н. Ф. Носик, разогнав Т-34, повалил пни в сторону рва, преодолел его и вышел на противоположную сторону. (3862).</w:t>
      </w:r>
    </w:p>
    <w:p w14:paraId="21CAFBB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27BEC1" w14:textId="77777777" w:rsidR="00A25AD1" w:rsidRPr="00DB5D0D" w:rsidRDefault="00A25AD1"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В июне 1940 года началось серийное производство танков Т-34 и к концу года было выпущено 115 машин (9154).</w:t>
      </w:r>
    </w:p>
    <w:p w14:paraId="26CD9DB9" w14:textId="77777777" w:rsidR="00A25AD1" w:rsidRPr="00DB5D0D" w:rsidRDefault="00A25AD1" w:rsidP="00DB5D0D">
      <w:pPr>
        <w:pStyle w:val="a8"/>
        <w:widowControl/>
        <w:jc w:val="both"/>
        <w:rPr>
          <w:rFonts w:ascii="Times New Roman" w:hAnsi="Times New Roman" w:cs="Times New Roman"/>
          <w:color w:val="000000" w:themeColor="text1"/>
        </w:rPr>
      </w:pPr>
    </w:p>
    <w:p w14:paraId="3928911C" w14:textId="77777777" w:rsidR="00A25AD1" w:rsidRPr="00DB5D0D" w:rsidRDefault="00A25AD1"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В июне 1940 года правительством было принято решение о разворачивании производства танков Т-34 на других крупных предприятиях страны. В связи с этим конструкторским бюро завода №183 были в срочном порядке изготовлены полные комплекты чертежно-технической документации танка Т-34 и в необходимых количествах направлены Сталинградскому тракторному и Сормовскому судостроительному заводам (9154).</w:t>
      </w:r>
    </w:p>
    <w:p w14:paraId="6453B3EA" w14:textId="77777777" w:rsidR="00A25AD1" w:rsidRPr="00DB5D0D" w:rsidRDefault="00A25AD1" w:rsidP="00DB5D0D">
      <w:pPr>
        <w:pStyle w:val="a8"/>
        <w:widowControl/>
        <w:jc w:val="both"/>
        <w:rPr>
          <w:rFonts w:ascii="Times New Roman" w:hAnsi="Times New Roman" w:cs="Times New Roman"/>
          <w:color w:val="000000" w:themeColor="text1"/>
        </w:rPr>
      </w:pPr>
    </w:p>
    <w:p w14:paraId="7A2A028D"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По состоянию на июнь 1940 Сводка по Т-34 на заводе ХПЗ:</w:t>
      </w:r>
    </w:p>
    <w:p w14:paraId="38B0E6AA"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1. Четыре машины собраны и приняты военпредовским пробегом, две из них 2 июля отправляются на завод № 8 (без башен). </w:t>
      </w:r>
    </w:p>
    <w:p w14:paraId="758DE2F1"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2. Изготовлено всего 10 корпусов и 5 башен. </w:t>
      </w:r>
    </w:p>
    <w:p w14:paraId="5F4839ED"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Во время пробегов обнаружены дефекты : Полетел привод к стартеру, заедание натяжного механизма гусеницы из-за неправильной технологической обработки червяка и шестерни ; Заедание тяги главного фрикциона; Ненормальная работа пневматического сервоуправления – регулировка ; Полетела подушка стартера – конструктивный недостаток ; Трудное включение 1-я и 2-я передачи и ряд мелких дефектов. </w:t>
      </w:r>
    </w:p>
    <w:p w14:paraId="70E31508"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Козырев (11450).</w:t>
      </w:r>
    </w:p>
    <w:p w14:paraId="52AACF3D"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152EA111" w14:textId="77777777" w:rsidR="009C53FC" w:rsidRPr="00DB5D0D" w:rsidRDefault="009C53FC"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В июне 1940 года было дано задание на разработку 76-мм танковой пушки с баллистикой зенитного орудия 3-К. Такая система, получившая индекс Ф-27, была построена и испытана, но дальше случился ряд метаморфоз. Весной 1941 года орудие переименовали в ЗИС-5, а далее ее "прикрыли" в первый раз. Дело в том, что для тяжелых танков более подходящим калибром посчитали даже не 85, а 107 мм. Кроме того, орудия 3-К постепенно заменяли на 85-мм зенитки 52-К, а иметь 2 боеприпаса калибра 76 мм военные не очень хотели. Но - жизнь ЗИС-5 продолжилась. Уже с баллистикой дивизионного орудия Ф-22. Пушку успешно испытали и даже приняли на вооружение. Тем не менее, в сентябре 1941 года ЗИС-5 начали производить со стволами Ф-34. Казалось бы, на этом всё закончилось (22229).</w:t>
      </w:r>
    </w:p>
    <w:p w14:paraId="38E5C0A0" w14:textId="77777777" w:rsidR="009C53FC" w:rsidRPr="00DB5D0D" w:rsidRDefault="009C53FC"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611B7D7C" w14:textId="77777777" w:rsidR="009C53FC" w:rsidRPr="00DB5D0D" w:rsidRDefault="009C53FC"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В июне 1940 встал вопрос по созданию танкового орудия с баллистикой 3-К. Данные работы были инициированы постановлением Совета народных комиссаров Союза ССР и ЦК ВКП(б) №1288–495сс от 17 июля 1940 года. Предполагалось построить 2 опытных образца орудия, которые ставились в штатную башню КВ-1. Базой для данной системы, получившей обозначение Ф-27, послужило орудие Ф-34. Таким образом, потенциально имелась возможность поставить орудие и в Т-34 (20272).</w:t>
      </w:r>
    </w:p>
    <w:p w14:paraId="01532595" w14:textId="77777777" w:rsidR="009C53FC" w:rsidRPr="00DB5D0D" w:rsidRDefault="009C53FC"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6DD57202" w14:textId="77777777" w:rsidR="009C53FC" w:rsidRPr="00DB5D0D" w:rsidRDefault="009C53FC"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В июне 1940 года начались работы по орудию Ф-27, а к 23 июля рабочие чертежи системы были направлены в производство. При этом, в отличие от 85-мм орудия Ф-30, которое начали разрабатывать одновременно с Ф-27, система калибром 76 мм в башню вписалась. К 21 сентября был изготовлен опытный образец орудия, его поставили в башню танка Т-28 и начали огневые испытания. На первом этапе было произведено 122 выстрела, каких-то серьёзных нареканий не обнаружилось. Но уже к 26 сентября, после 600 выстрелов, выявились проблемы в работе противооткатной системы. Это привело к тому, что первоначальные планы по установке Ф-27 в тяжелый танк Т-150 пришлось менять. На танк поставили систему Ф-32. А у Ф-27 начались проблемы, которые начали валиться, как снежный ком. Нет, поначалу всё было не так плохо. В начале декабря орудие подготовили к отправке на Гороховецкий АНИОП, построили второй образец. Но дальше началось торможение, хотя второе орудие всё же поставили в КВ-1, после чего выяснилось, что не работает ножной спуск, а сама система неуравновешенная. Несмотря на такие проблемы, работы продолжались, а в феврале 1941 года систему переименовали в ЗИС-5. Так теперь назывались новые разработки КБ завода №92. 57-мм противотанковая пушка Ф-31 стала называться ЗИС-2, а ее танковая версия стала называться ЗИС-4. А вот Ф-30 совсем не повезло. Работы по ней прекратились, зато начались работы по 107-мм танковой пушке Ф-42, которая стала именоваться ЗИС-6 (20272).</w:t>
      </w:r>
    </w:p>
    <w:p w14:paraId="3083AF5D" w14:textId="77777777" w:rsidR="009C53FC" w:rsidRPr="00DB5D0D" w:rsidRDefault="009C53FC"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7DDD3065" w14:textId="77777777" w:rsidR="00A25AD1" w:rsidRPr="00DB5D0D" w:rsidRDefault="00A25AD1"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В июне 1940 началась эскизная проработка 85-мм самоходной противотанковой пушки на базе Т-34 и Т-34М (9527,265)</w:t>
      </w:r>
    </w:p>
    <w:p w14:paraId="29969FB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79B6E7" w14:textId="77777777" w:rsidR="00C65D4B" w:rsidRPr="00DB5D0D" w:rsidRDefault="00C65D4B"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июне 1940 года впервые был поднят вопрос о самоходной установке среднего класса. В ходе обсуждения системы вооружения советских танков и САУ в качестве одного из орудий впервые была предложена 85-м зенитная пушка обр.1939 года (52-К). Согласно расчётным данным, на дистанции в километр орудие должно было пробивать бронебойным снарядом броню толщиной 88 мм. Правда, с одной оговоркой – бронебойного снаряда для этой системы на тот момент не существовало (15615).</w:t>
      </w:r>
    </w:p>
    <w:p w14:paraId="626A6EB8" w14:textId="77777777" w:rsidR="00C65D4B" w:rsidRPr="00DB5D0D" w:rsidRDefault="00C65D4B" w:rsidP="00DB5D0D">
      <w:pPr>
        <w:pStyle w:val="ae"/>
        <w:shd w:val="clear" w:color="auto" w:fill="FFFFFF"/>
        <w:spacing w:before="0" w:after="0"/>
        <w:jc w:val="both"/>
        <w:rPr>
          <w:color w:val="000000" w:themeColor="text1"/>
          <w:sz w:val="16"/>
          <w:szCs w:val="16"/>
        </w:rPr>
      </w:pPr>
    </w:p>
    <w:p w14:paraId="28266887" w14:textId="77777777" w:rsidR="00A25AD1" w:rsidRPr="00DB5D0D" w:rsidRDefault="00A25AD1"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В июне 1940 г. под руководством начальника АУ Красной Армии Г.К. Савченко состоялись повторные испытания системы Л-11, так</w:t>
      </w:r>
      <w:r w:rsidRPr="00DB5D0D">
        <w:rPr>
          <w:rFonts w:ascii="Times New Roman" w:hAnsi="Times New Roman" w:cs="Times New Roman"/>
          <w:i w:val="0"/>
          <w:iCs w:val="0"/>
          <w:color w:val="000000" w:themeColor="text1"/>
          <w:sz w:val="16"/>
          <w:szCs w:val="16"/>
        </w:rPr>
        <w:softHyphen/>
        <w:t>же показавшие неудовлетворительные результаты: течь жидкости из противооткатных устройств, необеспеченность стрельбы при уг</w:t>
      </w:r>
      <w:r w:rsidRPr="00DB5D0D">
        <w:rPr>
          <w:rFonts w:ascii="Times New Roman" w:hAnsi="Times New Roman" w:cs="Times New Roman"/>
          <w:i w:val="0"/>
          <w:iCs w:val="0"/>
          <w:color w:val="000000" w:themeColor="text1"/>
          <w:sz w:val="16"/>
          <w:szCs w:val="16"/>
        </w:rPr>
        <w:softHyphen/>
        <w:t>лах от -5° до +35° вследствие чрезмерно больших длин отката, нена</w:t>
      </w:r>
      <w:r w:rsidRPr="00DB5D0D">
        <w:rPr>
          <w:rFonts w:ascii="Times New Roman" w:hAnsi="Times New Roman" w:cs="Times New Roman"/>
          <w:i w:val="0"/>
          <w:iCs w:val="0"/>
          <w:color w:val="000000" w:themeColor="text1"/>
          <w:sz w:val="16"/>
          <w:szCs w:val="16"/>
        </w:rPr>
        <w:softHyphen/>
        <w:t>дежную работу инерционного спуска. Для окончательной оценки пригодности пушки /1-11 для нужд РККА летом 1940 г. на самом высоком уровне была создана специальная правительственная ко</w:t>
      </w:r>
      <w:r w:rsidRPr="00DB5D0D">
        <w:rPr>
          <w:rFonts w:ascii="Times New Roman" w:hAnsi="Times New Roman" w:cs="Times New Roman"/>
          <w:i w:val="0"/>
          <w:iCs w:val="0"/>
          <w:color w:val="000000" w:themeColor="text1"/>
          <w:sz w:val="16"/>
          <w:szCs w:val="16"/>
        </w:rPr>
        <w:softHyphen/>
        <w:t>миссия под председательством Маршала СССР Г.И. Кулика. Изучив данные последних испытаний Л-11, в начале июля комиссия пред</w:t>
      </w:r>
      <w:r w:rsidRPr="00DB5D0D">
        <w:rPr>
          <w:rFonts w:ascii="Times New Roman" w:hAnsi="Times New Roman" w:cs="Times New Roman"/>
          <w:i w:val="0"/>
          <w:iCs w:val="0"/>
          <w:color w:val="000000" w:themeColor="text1"/>
          <w:sz w:val="16"/>
          <w:szCs w:val="16"/>
        </w:rPr>
        <w:softHyphen/>
        <w:t>ложила Кировскому заводу в кратчайший срок доработать конструк</w:t>
      </w:r>
      <w:r w:rsidRPr="00DB5D0D">
        <w:rPr>
          <w:rFonts w:ascii="Times New Roman" w:hAnsi="Times New Roman" w:cs="Times New Roman"/>
          <w:i w:val="0"/>
          <w:iCs w:val="0"/>
          <w:color w:val="000000" w:themeColor="text1"/>
          <w:sz w:val="16"/>
          <w:szCs w:val="16"/>
        </w:rPr>
        <w:softHyphen/>
        <w:t>цию противооткатных устройств и спускового механизма, обеспе</w:t>
      </w:r>
      <w:r w:rsidRPr="00DB5D0D">
        <w:rPr>
          <w:rFonts w:ascii="Times New Roman" w:hAnsi="Times New Roman" w:cs="Times New Roman"/>
          <w:i w:val="0"/>
          <w:iCs w:val="0"/>
          <w:color w:val="000000" w:themeColor="text1"/>
          <w:sz w:val="16"/>
          <w:szCs w:val="16"/>
        </w:rPr>
        <w:softHyphen/>
        <w:t>чив надежную работу системы. Новые тактико-технические требо</w:t>
      </w:r>
      <w:r w:rsidRPr="00DB5D0D">
        <w:rPr>
          <w:rFonts w:ascii="Times New Roman" w:hAnsi="Times New Roman" w:cs="Times New Roman"/>
          <w:i w:val="0"/>
          <w:iCs w:val="0"/>
          <w:color w:val="000000" w:themeColor="text1"/>
          <w:sz w:val="16"/>
          <w:szCs w:val="16"/>
        </w:rPr>
        <w:softHyphen/>
        <w:t>вания на доработку Л-11 были утверждены 20 июля 1940 г. и вклю</w:t>
      </w:r>
      <w:r w:rsidRPr="00DB5D0D">
        <w:rPr>
          <w:rFonts w:ascii="Times New Roman" w:hAnsi="Times New Roman" w:cs="Times New Roman"/>
          <w:i w:val="0"/>
          <w:iCs w:val="0"/>
          <w:color w:val="000000" w:themeColor="text1"/>
          <w:sz w:val="16"/>
          <w:szCs w:val="16"/>
        </w:rPr>
        <w:softHyphen/>
        <w:t>чали в себя следующие пункты:</w:t>
      </w:r>
    </w:p>
    <w:p w14:paraId="6484DB28" w14:textId="77777777" w:rsidR="00A25AD1" w:rsidRPr="00DB5D0D" w:rsidRDefault="00A25AD1" w:rsidP="00DB5D0D">
      <w:pPr>
        <w:pStyle w:val="212"/>
        <w:shd w:val="clear" w:color="auto" w:fill="auto"/>
        <w:tabs>
          <w:tab w:val="left" w:pos="638"/>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 скорострельность не менее 20 выстр./мин при режиме 200 выстрелов в течение 20 мин и 600 выстрелов без смены воротников;</w:t>
      </w:r>
    </w:p>
    <w:p w14:paraId="57D87EBF" w14:textId="77777777" w:rsidR="00A25AD1" w:rsidRPr="00DB5D0D" w:rsidRDefault="00A25AD1" w:rsidP="00DB5D0D">
      <w:pPr>
        <w:pStyle w:val="212"/>
        <w:shd w:val="clear" w:color="auto" w:fill="auto"/>
        <w:tabs>
          <w:tab w:val="left" w:pos="587"/>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 отказы в работе полуавтоматики - не более 0,5% при стрельбе не менее 200 выстрелов без добавления смазки;</w:t>
      </w:r>
    </w:p>
    <w:p w14:paraId="278350D6" w14:textId="77777777" w:rsidR="00A25AD1" w:rsidRPr="00DB5D0D" w:rsidRDefault="00A25AD1" w:rsidP="00DB5D0D">
      <w:pPr>
        <w:pStyle w:val="212"/>
        <w:shd w:val="clear" w:color="auto" w:fill="auto"/>
        <w:tabs>
          <w:tab w:val="left" w:pos="611"/>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lastRenderedPageBreak/>
        <w:t>- стрельба под углами от -20" до +35°;</w:t>
      </w:r>
    </w:p>
    <w:p w14:paraId="73C0E759" w14:textId="77777777" w:rsidR="00A25AD1" w:rsidRPr="00DB5D0D" w:rsidRDefault="00A25AD1" w:rsidP="00DB5D0D">
      <w:pPr>
        <w:pStyle w:val="212"/>
        <w:shd w:val="clear" w:color="auto" w:fill="auto"/>
        <w:tabs>
          <w:tab w:val="left" w:pos="618"/>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 кучность В(в) и В(б) не более 0,3 м на 1000 м (11940).</w:t>
      </w:r>
    </w:p>
    <w:p w14:paraId="4A7837B8" w14:textId="77777777" w:rsidR="00A25AD1" w:rsidRPr="00DB5D0D" w:rsidRDefault="00A25AD1"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p>
    <w:p w14:paraId="00FE676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Д.Г. Павлов уже не был одинок. В этом направлении уже думали многие. В частности, руко</w:t>
      </w:r>
      <w:r w:rsidRPr="00DB5D0D">
        <w:rPr>
          <w:rFonts w:ascii="Times New Roman" w:hAnsi="Times New Roman"/>
          <w:color w:val="000000" w:themeColor="text1"/>
          <w:sz w:val="16"/>
          <w:szCs w:val="16"/>
        </w:rPr>
        <w:softHyphen/>
        <w:t>водство ГАУ в лице Н.Д. Яковлева и Г.И. Кулика так виде</w:t>
      </w:r>
      <w:r w:rsidRPr="00DB5D0D">
        <w:rPr>
          <w:rFonts w:ascii="Times New Roman" w:hAnsi="Times New Roman"/>
          <w:color w:val="000000" w:themeColor="text1"/>
          <w:sz w:val="16"/>
          <w:szCs w:val="16"/>
        </w:rPr>
        <w:softHyphen/>
        <w:t>ло организацию самоходной артиллерии Красной Армии:</w:t>
      </w:r>
    </w:p>
    <w:p w14:paraId="3AD0F6C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дополнение к письму от 21/У 1-1940 г.</w:t>
      </w:r>
    </w:p>
    <w:p w14:paraId="7D9780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поднятия мобильности артиллерии в ходе современ</w:t>
      </w:r>
      <w:r w:rsidRPr="00DB5D0D">
        <w:rPr>
          <w:rFonts w:ascii="Times New Roman" w:hAnsi="Times New Roman"/>
          <w:color w:val="000000" w:themeColor="text1"/>
          <w:sz w:val="16"/>
          <w:szCs w:val="16"/>
        </w:rPr>
        <w:softHyphen/>
        <w:t>ного общевойскового боя в т. году вести работы по переводу основных артиллерийских средств на самоходные лафеты.</w:t>
      </w:r>
    </w:p>
    <w:p w14:paraId="3831C4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пехоты продолжить работы по «штурмовой артил</w:t>
      </w:r>
      <w:r w:rsidRPr="00DB5D0D">
        <w:rPr>
          <w:rFonts w:ascii="Times New Roman" w:hAnsi="Times New Roman"/>
          <w:color w:val="000000" w:themeColor="text1"/>
          <w:sz w:val="16"/>
          <w:szCs w:val="16"/>
        </w:rPr>
        <w:softHyphen/>
        <w:t>лерии» тип АТ-1, но с вооружением из 76,2-мм танковой пуш</w:t>
      </w:r>
      <w:r w:rsidRPr="00DB5D0D">
        <w:rPr>
          <w:rFonts w:ascii="Times New Roman" w:hAnsi="Times New Roman"/>
          <w:color w:val="000000" w:themeColor="text1"/>
          <w:sz w:val="16"/>
          <w:szCs w:val="16"/>
        </w:rPr>
        <w:softHyphen/>
        <w:t>ки обр. 1939 и пулемета. Немецкие войска успешно применя</w:t>
      </w:r>
      <w:r w:rsidRPr="00DB5D0D">
        <w:rPr>
          <w:rFonts w:ascii="Times New Roman" w:hAnsi="Times New Roman"/>
          <w:color w:val="000000" w:themeColor="text1"/>
          <w:sz w:val="16"/>
          <w:szCs w:val="16"/>
        </w:rPr>
        <w:softHyphen/>
        <w:t>ют такие установки в боях, и отзывы немецкой пехоты от применения таких машин очень хороши.</w:t>
      </w:r>
    </w:p>
    <w:p w14:paraId="6852CC6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танковых войск в наст, время ориентироваться на создание артиллерийских танков, которые вооружать круп-но-калиберным орудием сниженной (гаубичной) баллистики. Эти танки должны составлять резерв командира танкового соединения для усиления по необходимости.</w:t>
      </w:r>
    </w:p>
    <w:p w14:paraId="4B7793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ожидаемого появления в германской армии сильно забронированных танков и аттакующих самолетов, срочно провести изыскания совместно с НКСМ по созданию артил</w:t>
      </w:r>
      <w:r w:rsidRPr="00DB5D0D">
        <w:rPr>
          <w:rFonts w:ascii="Times New Roman" w:hAnsi="Times New Roman"/>
          <w:color w:val="000000" w:themeColor="text1"/>
          <w:sz w:val="16"/>
          <w:szCs w:val="16"/>
        </w:rPr>
        <w:softHyphen/>
        <w:t>лерийских танков-истребителей и танков с зенитным пу</w:t>
      </w:r>
      <w:r w:rsidRPr="00DB5D0D">
        <w:rPr>
          <w:rFonts w:ascii="Times New Roman" w:hAnsi="Times New Roman"/>
          <w:color w:val="000000" w:themeColor="text1"/>
          <w:sz w:val="16"/>
          <w:szCs w:val="16"/>
        </w:rPr>
        <w:softHyphen/>
        <w:t>шечным или пушечно-пулеметным вооружением.</w:t>
      </w:r>
    </w:p>
    <w:p w14:paraId="4563B0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просим вас рассмотреть вопрос об от</w:t>
      </w:r>
      <w:r w:rsidRPr="00DB5D0D">
        <w:rPr>
          <w:rFonts w:ascii="Times New Roman" w:hAnsi="Times New Roman"/>
          <w:color w:val="000000" w:themeColor="text1"/>
          <w:sz w:val="16"/>
          <w:szCs w:val="16"/>
        </w:rPr>
        <w:softHyphen/>
        <w:t>крытии совместных с НКСМ работ по темам: Название Особенности конструкции Примечание 1. Штурмовая САУ Шасси - легкий танк Такая САУ АТ-1 уже (поддержка пехоты Вооружение - 76,2-мм обр. 40, в основном создана.</w:t>
      </w:r>
    </w:p>
    <w:p w14:paraId="1C7C03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7,62-мм пулемет ДТ</w:t>
      </w:r>
    </w:p>
    <w:p w14:paraId="5CA7DE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Броня - 30-40 мм</w:t>
      </w:r>
    </w:p>
    <w:p w14:paraId="2F09C5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тяжелый танк Уже выпускается</w:t>
      </w:r>
    </w:p>
    <w:p w14:paraId="24F4A3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- 152-мм обр 38</w:t>
      </w:r>
    </w:p>
    <w:p w14:paraId="58439B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7,62-мм пулемета</w:t>
      </w:r>
    </w:p>
    <w:p w14:paraId="34AC2E0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Броня - 75-мм</w:t>
      </w:r>
    </w:p>
    <w:p w14:paraId="4C6F9E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средний танк Спешно закончить</w:t>
      </w:r>
    </w:p>
    <w:p w14:paraId="712C4F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- 55-60-мм пушка работы по новой</w:t>
      </w:r>
    </w:p>
    <w:p w14:paraId="4BE850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пулемет. Броня - 45-мм ПТ пушке.</w:t>
      </w:r>
    </w:p>
    <w:p w14:paraId="2A6D65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средний танк Уточнить 777</w:t>
      </w:r>
    </w:p>
    <w:p w14:paraId="41C8C0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- 20-25-мм ЗП</w:t>
      </w:r>
    </w:p>
    <w:p w14:paraId="4D7EEF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Броня - 45-мм, открыт сверху</w:t>
      </w:r>
    </w:p>
    <w:p w14:paraId="19C362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 тяжелый танк Уточнить 777</w:t>
      </w:r>
    </w:p>
    <w:p w14:paraId="77B7A9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- 37-мм ЗП обр 39</w:t>
      </w:r>
    </w:p>
    <w:p w14:paraId="5C0050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Броня - 45-75-мм открыт сверху Ваше решение просим сообщить...» Видимо, активность в данном направлении сыграла по</w:t>
      </w:r>
      <w:r w:rsidRPr="00DB5D0D">
        <w:rPr>
          <w:rFonts w:ascii="Times New Roman" w:hAnsi="Times New Roman"/>
          <w:color w:val="000000" w:themeColor="text1"/>
          <w:sz w:val="16"/>
          <w:szCs w:val="16"/>
        </w:rPr>
        <w:softHyphen/>
        <w:t>ложительную роль, так как в конце 1940 г. начались проект</w:t>
      </w:r>
      <w:r w:rsidRPr="00DB5D0D">
        <w:rPr>
          <w:rFonts w:ascii="Times New Roman" w:hAnsi="Times New Roman"/>
          <w:color w:val="000000" w:themeColor="text1"/>
          <w:sz w:val="16"/>
          <w:szCs w:val="16"/>
        </w:rPr>
        <w:softHyphen/>
        <w:t>ные работы, в той или иной степени связанные с создани</w:t>
      </w:r>
      <w:r w:rsidRPr="00DB5D0D">
        <w:rPr>
          <w:rFonts w:ascii="Times New Roman" w:hAnsi="Times New Roman"/>
          <w:color w:val="000000" w:themeColor="text1"/>
          <w:sz w:val="16"/>
          <w:szCs w:val="16"/>
        </w:rPr>
        <w:softHyphen/>
        <w:t>ем самоходно-артиллерийских систем.</w:t>
      </w:r>
    </w:p>
    <w:p w14:paraId="132034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наступлении, усиление обороны)</w:t>
      </w:r>
    </w:p>
    <w:p w14:paraId="5591B4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Арттанк усиления механизированных войск</w:t>
      </w:r>
    </w:p>
    <w:p w14:paraId="51D202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Танк-истребитель</w:t>
      </w:r>
    </w:p>
    <w:p w14:paraId="00A9584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Зенитный танк</w:t>
      </w:r>
    </w:p>
    <w:p w14:paraId="7BAD5C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Танкзенитно-противотанковой обороны (11417).</w:t>
      </w:r>
    </w:p>
    <w:p w14:paraId="44BF0B3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978498" w14:textId="77777777" w:rsidR="001138D8" w:rsidRPr="00DB5D0D" w:rsidRDefault="001138D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июне 1940 газогенераторный отдел НАТИ реорганизуется. Испытательные станции по автомо</w:t>
      </w:r>
      <w:r w:rsidRPr="00DB5D0D">
        <w:rPr>
          <w:rFonts w:ascii="Times New Roman" w:hAnsi="Times New Roman"/>
          <w:color w:val="0070C0"/>
          <w:sz w:val="16"/>
          <w:szCs w:val="16"/>
        </w:rPr>
        <w:softHyphen/>
        <w:t>билям и тракторам объединяются с конструкторским бюро. На их базе создаются конструкторско-экспери</w:t>
      </w:r>
      <w:r w:rsidRPr="00DB5D0D">
        <w:rPr>
          <w:rFonts w:ascii="Times New Roman" w:hAnsi="Times New Roman"/>
          <w:color w:val="0070C0"/>
          <w:sz w:val="16"/>
          <w:szCs w:val="16"/>
        </w:rPr>
        <w:softHyphen/>
        <w:t>ментальные бюро (КЭБ) по газогенераторным авто</w:t>
      </w:r>
      <w:r w:rsidRPr="00DB5D0D">
        <w:rPr>
          <w:rFonts w:ascii="Times New Roman" w:hAnsi="Times New Roman"/>
          <w:color w:val="0070C0"/>
          <w:sz w:val="16"/>
          <w:szCs w:val="16"/>
        </w:rPr>
        <w:softHyphen/>
        <w:t>мобилям и тракторам (22518).</w:t>
      </w:r>
    </w:p>
    <w:p w14:paraId="7FC6A9E2" w14:textId="77777777" w:rsidR="001138D8" w:rsidRPr="00DB5D0D" w:rsidRDefault="001138D8" w:rsidP="00DB5D0D">
      <w:pPr>
        <w:spacing w:after="0" w:line="240" w:lineRule="auto"/>
        <w:jc w:val="both"/>
        <w:rPr>
          <w:rFonts w:ascii="Times New Roman" w:hAnsi="Times New Roman"/>
          <w:color w:val="0070C0"/>
          <w:sz w:val="16"/>
          <w:szCs w:val="16"/>
        </w:rPr>
      </w:pPr>
    </w:p>
    <w:p w14:paraId="701D8DD9" w14:textId="77777777" w:rsidR="00086A69" w:rsidRPr="00DB5D0D" w:rsidRDefault="00086A6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на НИБТ полигоне прошли испытания усовершенствованного комплекта «Дудка», а затем и в январе — феврале 1941 г. В комплект входили перископические инфракрасные очки для механика-водителя и командира танка, два инфракрасных прожектора мощностью по 1 кВт диаметром 140 мм, блок-пульт, отдельный инфракрасный сигнальный фонарь и комплект электрокабелей к прожекторам и очкам. Масса очков без нашлемного крепления (налобный щиток, боковые растяжки и ремни) составляла 750 г, угол зрения — 24°, дальность видения — до 50 м. Приборы ночного видения были изготовлены заводом № 211 НКЭП. Эти приборы в основном, удовлетворяли ТТТ ГАБТУ РККА и обеспечивали возможность вождения машин в ночных условиях, однако громоздкость и несовершенство конструкции инфракрасных очков, а также трудность их использования, особенно в зимнее время, потребовали их дальнейшей конструктивной доработки, которая не была окончательно сделана из-за начавшейся Великой Отечественной войны (18157).</w:t>
      </w:r>
    </w:p>
    <w:p w14:paraId="38D7B45F" w14:textId="77777777" w:rsidR="00086A69" w:rsidRPr="00DB5D0D" w:rsidRDefault="00086A69" w:rsidP="00DB5D0D">
      <w:pPr>
        <w:spacing w:after="0" w:line="240" w:lineRule="auto"/>
        <w:jc w:val="both"/>
        <w:rPr>
          <w:rFonts w:ascii="Times New Roman" w:hAnsi="Times New Roman"/>
          <w:color w:val="000000" w:themeColor="text1"/>
          <w:sz w:val="16"/>
          <w:szCs w:val="16"/>
        </w:rPr>
      </w:pPr>
    </w:p>
    <w:p w14:paraId="462F61C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нарком ВМФ утвердил новое ОТЗ на легкий крейсер, которое в основном повторяло элементы МК, но главным назначением корабля стал вывод в атаку эскадренных миноносцев. Дальность плавания — 7000—8000. миль — обосновывалась соот</w:t>
      </w:r>
      <w:r w:rsidRPr="00DB5D0D">
        <w:rPr>
          <w:rFonts w:ascii="Times New Roman" w:hAnsi="Times New Roman"/>
          <w:color w:val="000000" w:themeColor="text1"/>
          <w:sz w:val="16"/>
          <w:szCs w:val="16"/>
        </w:rPr>
        <w:softHyphen/>
        <w:t>ветствующими данными линкоров, а сохранение 100-мм артилле</w:t>
      </w:r>
      <w:r w:rsidRPr="00DB5D0D">
        <w:rPr>
          <w:rFonts w:ascii="Times New Roman" w:hAnsi="Times New Roman"/>
          <w:color w:val="000000" w:themeColor="text1"/>
          <w:sz w:val="16"/>
          <w:szCs w:val="16"/>
        </w:rPr>
        <w:softHyphen/>
        <w:t>рии — необходимостью обеспечить ПВО эскадры (3898).</w:t>
      </w:r>
    </w:p>
    <w:p w14:paraId="22C6CAC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5E63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нарком ВМФ распорядился установить на новом эсминце универсальную двухорудийную башенную уста</w:t>
      </w:r>
      <w:r w:rsidRPr="00DB5D0D">
        <w:rPr>
          <w:rFonts w:ascii="Times New Roman" w:hAnsi="Times New Roman"/>
          <w:color w:val="000000" w:themeColor="text1"/>
          <w:sz w:val="16"/>
          <w:szCs w:val="16"/>
        </w:rPr>
        <w:softHyphen/>
        <w:t>новку Б-2У (3898).</w:t>
      </w:r>
    </w:p>
    <w:p w14:paraId="23182CD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17D77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июня 1940 г. крейсер Лютцов достраивался под руководством немецких инженеров ("Бюро Л") на Балтийском заводе (189) в Ленинграде. Он представ</w:t>
      </w:r>
      <w:r w:rsidRPr="00DB5D0D">
        <w:rPr>
          <w:rFonts w:ascii="Times New Roman" w:hAnsi="Times New Roman"/>
          <w:color w:val="000000" w:themeColor="text1"/>
          <w:sz w:val="16"/>
          <w:szCs w:val="16"/>
        </w:rPr>
        <w:softHyphen/>
        <w:t>лял собой наиболее совершенный тип вашингтонского тяжелого крейсера, созданного немцами с полуторным превышением (тай</w:t>
      </w:r>
      <w:r w:rsidRPr="00DB5D0D">
        <w:rPr>
          <w:rFonts w:ascii="Times New Roman" w:hAnsi="Times New Roman"/>
          <w:color w:val="000000" w:themeColor="text1"/>
          <w:sz w:val="16"/>
          <w:szCs w:val="16"/>
        </w:rPr>
        <w:softHyphen/>
        <w:t>ным) договорного стандартного водоизмещения (3898). Мотивами для покупки корабля послужили желание ускорить пополнение ВМФ, получить и изучить новые образцы германской техники и вооружения. Стоимость контракта составила 10 655 млн марок (ок. 116 млн руб. золотом), при этом все поставки должны были завершиться к 1 мая 1941 г., а вступление в срой ожидалось в 1942 г. Корабль получил название "Петропавловск" (с 1944 г. — "Таллин") и официально именовался "крейсером" пр. 83 в отличие от гораздо более крупных тяжелых крейсеров пр. 69.</w:t>
      </w:r>
    </w:p>
    <w:p w14:paraId="755099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Управление кораблестроения Наркомата ВМФ считало "Петропавловск" "весьма ценным приобретением", представлявшим большой интерес в отношении конструкции корпуса (целиком сварной, за исключением бортовой брони), системы бронирования (развал Юртов), машинно-котельной установки (котлы системы "Вагнерешимаг", 450°С, 58 кгс/см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зенитной артиллерии (105-мм спаренные стабилизированные башенные установки, 37-мм автома</w:t>
      </w:r>
      <w:r w:rsidRPr="00DB5D0D">
        <w:rPr>
          <w:rFonts w:ascii="Times New Roman" w:hAnsi="Times New Roman"/>
          <w:color w:val="000000" w:themeColor="text1"/>
          <w:sz w:val="16"/>
          <w:szCs w:val="16"/>
        </w:rPr>
        <w:softHyphen/>
        <w:t>ты), успокоителей качки системы Фрама. В ЦКБ-17 переводились и изучались все проектные материлы, чертежи и спецификации, в том числе "Общие правила постройки кораблей германского фло</w:t>
      </w:r>
      <w:r w:rsidRPr="00DB5D0D">
        <w:rPr>
          <w:rFonts w:ascii="Times New Roman" w:hAnsi="Times New Roman"/>
          <w:color w:val="000000" w:themeColor="text1"/>
          <w:sz w:val="16"/>
          <w:szCs w:val="16"/>
        </w:rPr>
        <w:softHyphen/>
        <w:t>та". Особое внимание обратила на себя и немецкая технология сварки, при которой "трудно было отличить основной материал от шва корпуса".</w:t>
      </w:r>
    </w:p>
    <w:p w14:paraId="300AE8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завершение постройки купленного корабля це</w:t>
      </w:r>
      <w:r w:rsidRPr="00DB5D0D">
        <w:rPr>
          <w:rFonts w:ascii="Times New Roman" w:hAnsi="Times New Roman"/>
          <w:color w:val="000000" w:themeColor="text1"/>
          <w:sz w:val="16"/>
          <w:szCs w:val="16"/>
        </w:rPr>
        <w:softHyphen/>
        <w:t>ликом зависело от поставок механизмов и вооружения из Герма</w:t>
      </w:r>
      <w:r w:rsidRPr="00DB5D0D">
        <w:rPr>
          <w:rFonts w:ascii="Times New Roman" w:hAnsi="Times New Roman"/>
          <w:color w:val="000000" w:themeColor="text1"/>
          <w:sz w:val="16"/>
          <w:szCs w:val="16"/>
        </w:rPr>
        <w:softHyphen/>
        <w:t>нии. Немцы не без тайного умысла отказались продать более гото</w:t>
      </w:r>
      <w:r w:rsidRPr="00DB5D0D">
        <w:rPr>
          <w:rFonts w:ascii="Times New Roman" w:hAnsi="Times New Roman"/>
          <w:color w:val="000000" w:themeColor="text1"/>
          <w:sz w:val="16"/>
          <w:szCs w:val="16"/>
        </w:rPr>
        <w:softHyphen/>
        <w:t>вый однотипный "Зейдлиц", который также привлек внимание ко</w:t>
      </w:r>
      <w:r w:rsidRPr="00DB5D0D">
        <w:rPr>
          <w:rFonts w:ascii="Times New Roman" w:hAnsi="Times New Roman"/>
          <w:color w:val="000000" w:themeColor="text1"/>
          <w:sz w:val="16"/>
          <w:szCs w:val="16"/>
        </w:rPr>
        <w:softHyphen/>
        <w:t>миссии И. Ф. Тевосяна. В июне 1941 г. готовность "Петропав</w:t>
      </w:r>
      <w:r w:rsidRPr="00DB5D0D">
        <w:rPr>
          <w:rFonts w:ascii="Times New Roman" w:hAnsi="Times New Roman"/>
          <w:color w:val="000000" w:themeColor="text1"/>
          <w:sz w:val="16"/>
          <w:szCs w:val="16"/>
        </w:rPr>
        <w:softHyphen/>
        <w:t>ловска" составляла около 51% полной (по другим сведениям — ок. 70%), а стоимость произведенных работ оценивалась в 200 млн руб. Однако к 22 июня германские специалисты постепен</w:t>
      </w:r>
      <w:r w:rsidRPr="00DB5D0D">
        <w:rPr>
          <w:rFonts w:ascii="Times New Roman" w:hAnsi="Times New Roman"/>
          <w:color w:val="000000" w:themeColor="text1"/>
          <w:sz w:val="16"/>
          <w:szCs w:val="16"/>
        </w:rPr>
        <w:softHyphen/>
        <w:t>но свернули работы и убыли в Германию.</w:t>
      </w:r>
    </w:p>
    <w:p w14:paraId="2D872D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Часть вооружения, в том числе все 105-мм установки и боль</w:t>
      </w:r>
      <w:r w:rsidRPr="00DB5D0D">
        <w:rPr>
          <w:rFonts w:ascii="Times New Roman" w:hAnsi="Times New Roman"/>
          <w:color w:val="000000" w:themeColor="text1"/>
          <w:sz w:val="16"/>
          <w:szCs w:val="16"/>
        </w:rPr>
        <w:softHyphen/>
        <w:t>шая часть 37-мм автоматов, и некоторые механизмы так и не при</w:t>
      </w:r>
      <w:r w:rsidRPr="00DB5D0D">
        <w:rPr>
          <w:rFonts w:ascii="Times New Roman" w:hAnsi="Times New Roman"/>
          <w:color w:val="000000" w:themeColor="text1"/>
          <w:sz w:val="16"/>
          <w:szCs w:val="16"/>
        </w:rPr>
        <w:softHyphen/>
        <w:t>были в СССР. Во время войны "Петропавловск" ("Таллин") исполь</w:t>
      </w:r>
      <w:r w:rsidRPr="00DB5D0D">
        <w:rPr>
          <w:rFonts w:ascii="Times New Roman" w:hAnsi="Times New Roman"/>
          <w:color w:val="000000" w:themeColor="text1"/>
          <w:sz w:val="16"/>
          <w:szCs w:val="16"/>
        </w:rPr>
        <w:softHyphen/>
        <w:t>зовался в качестве несамоходной плавучей батареи с двумя 203-мм башнями и внес весомый вклад в оброону Ленинграда, выпустив по позициям противника более 1700 снарядов германского произ</w:t>
      </w:r>
      <w:r w:rsidRPr="00DB5D0D">
        <w:rPr>
          <w:rFonts w:ascii="Times New Roman" w:hAnsi="Times New Roman"/>
          <w:color w:val="000000" w:themeColor="text1"/>
          <w:sz w:val="16"/>
          <w:szCs w:val="16"/>
        </w:rPr>
        <w:softHyphen/>
        <w:t>водства. Правда, одно орудие носовой башни на 22-м выстреле ра</w:t>
      </w:r>
      <w:r w:rsidRPr="00DB5D0D">
        <w:rPr>
          <w:rFonts w:ascii="Times New Roman" w:hAnsi="Times New Roman"/>
          <w:color w:val="000000" w:themeColor="text1"/>
          <w:sz w:val="16"/>
          <w:szCs w:val="16"/>
        </w:rPr>
        <w:softHyphen/>
        <w:t>зорвало.</w:t>
      </w:r>
    </w:p>
    <w:p w14:paraId="35F5EC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окончания войны из-за причин технологического, отча</w:t>
      </w:r>
      <w:r w:rsidRPr="00DB5D0D">
        <w:rPr>
          <w:rFonts w:ascii="Times New Roman" w:hAnsi="Times New Roman"/>
          <w:color w:val="000000" w:themeColor="text1"/>
          <w:sz w:val="16"/>
          <w:szCs w:val="16"/>
        </w:rPr>
        <w:softHyphen/>
        <w:t>сти и финансового характера, этот крейсер так и не был введен в состав ВМФ, хотя в 1945 г. в Кенигсберге был захвачен его недост</w:t>
      </w:r>
      <w:r w:rsidRPr="00DB5D0D">
        <w:rPr>
          <w:rFonts w:ascii="Times New Roman" w:hAnsi="Times New Roman"/>
          <w:color w:val="000000" w:themeColor="text1"/>
          <w:sz w:val="16"/>
          <w:szCs w:val="16"/>
        </w:rPr>
        <w:softHyphen/>
        <w:t>роенный и поврежденный "собрат" —"Зейдлиц" — часть механизмов последнего можио было использовать на "Таллине". В 1949— 1952 гг. прорабатывались варианты достройки корабля с отечест</w:t>
      </w:r>
      <w:r w:rsidRPr="00DB5D0D">
        <w:rPr>
          <w:rFonts w:ascii="Times New Roman" w:hAnsi="Times New Roman"/>
          <w:color w:val="000000" w:themeColor="text1"/>
          <w:sz w:val="16"/>
          <w:szCs w:val="16"/>
        </w:rPr>
        <w:softHyphen/>
        <w:t>венным вооружением, в том числе в качестве учебного. Но все они не бьши реализованы, а корпус в 1959—1961 гг. разрезали на ме</w:t>
      </w:r>
      <w:r w:rsidRPr="00DB5D0D">
        <w:rPr>
          <w:rFonts w:ascii="Times New Roman" w:hAnsi="Times New Roman"/>
          <w:color w:val="000000" w:themeColor="text1"/>
          <w:sz w:val="16"/>
          <w:szCs w:val="16"/>
        </w:rPr>
        <w:softHyphen/>
        <w:t>талл (3898).</w:t>
      </w:r>
    </w:p>
    <w:p w14:paraId="369190F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973DC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фирмой Maschinenfabrik Augsburg-Nurnberg A.G. советскому внешнеторговому объединению «Машиноимпорт» были проданы семь дизельных двигателей типа G7Z52/70 мощностью 2200 л.с. и тринадцать типа G7V74 мощностью 1500 л.с, изучение которых способствовало развитию отечественного двигателестроения (11208).</w:t>
      </w:r>
    </w:p>
    <w:p w14:paraId="3CE5BD7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4A2C8F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0405595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C4056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июне 1940 г. заместитель начальника ВВС Смушкевич писал новому наркому обороны маршалу Тимошенко: "Первый же месяц эксплоатации этих самолетов (ДБ-3Ф) выявил ряд серьезнейших дефектов и недостатков конструктивно-производственного порядка...". Расход горючего оказался почти вдвое больше, чем у ДБ-ЗБ. Впоследствии выявили дефект карбюраторов АК-88, дававших переобогащенную смесь. Карбюраторы еще периодически и горели при заходе на посадку. Жаловались на недостаточную прочность капотов моторов и всасывающих патрубков - трескаются. Полужесткие баки деформировались. Из-за неудачной конструкции заборников в баках оставался значительный невырабатываемый запас горючего, превышавший 150 л. И, наконец, в носовой кабине плохо закреплялось сиденье штурмана: "При резких толчках на рулении сиденье вместе со штурманом попадает в педали управления самолетом...".</w:t>
      </w:r>
    </w:p>
    <w:p w14:paraId="2B3925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ДБ-ЗФ не вызывал восторга и у пилотов. Изменение центровки привело к значительному снижению устойчивости. "Пилотажные качества самолетов ДБ-ЗФ в значительной степени ухудшились по сравнению с качествами самолета ДБ-3", - писал Смушкевич (12021).</w:t>
      </w:r>
    </w:p>
    <w:p w14:paraId="4A61447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8C91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июня 1940 г. начали формирование эсткадрилий пикировщиков в 42-м, 12-м, 21-м и 8-м дбап. Каждая состояла из 12 самолетов. Для них с завода № 39 направлялись специально доработанные машины уже новой модификации, ДБ-ЗФ. Надо сказать, что и из ДБ-ЗФ полноценного пикировщика не получилось. К тем "болячкам", которые уже выявили у ДБ-ЗБ, у него добавилось еще и сплющивание полужестких баков. Во время испытаний пикировщика № 390612 верхняя часть баков вминалась до 25 мм. Только остаточная деформация по крылу составляла 2- 5 мм. В ходе пикирования самолет постоянно разгонялся, что приводило к перераскрутке винтов. И, наконец, еще более длинный нос ДБ-ЗФ стал виной тому, что пилот мог начать прицеливание лишь при угле около 85"! Но с весны 1941 г. в войсках уже появились "настоящие" пикировщики Ар-2, а затем Пе-2 с аэродинамическими тормозами-ре- шетками. Все внимание теперь уделили им (12021).</w:t>
      </w:r>
    </w:p>
    <w:p w14:paraId="7BBD6AC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CB5E8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при подготовке десантной опе</w:t>
      </w:r>
      <w:r w:rsidRPr="00DB5D0D">
        <w:rPr>
          <w:rFonts w:ascii="Times New Roman" w:hAnsi="Times New Roman"/>
          <w:color w:val="000000" w:themeColor="text1"/>
          <w:sz w:val="16"/>
          <w:szCs w:val="16"/>
        </w:rPr>
        <w:softHyphen/>
        <w:t>рации в Бессарабии в Киевский и Одесский военные окру</w:t>
      </w:r>
      <w:r w:rsidRPr="00DB5D0D">
        <w:rPr>
          <w:rFonts w:ascii="Times New Roman" w:hAnsi="Times New Roman"/>
          <w:color w:val="000000" w:themeColor="text1"/>
          <w:sz w:val="16"/>
          <w:szCs w:val="16"/>
        </w:rPr>
        <w:softHyphen/>
        <w:t>га перебросили четыре полка ТБ-3, всего 136 бомбардировщиков. Пер</w:t>
      </w:r>
      <w:r w:rsidRPr="00DB5D0D">
        <w:rPr>
          <w:rFonts w:ascii="Times New Roman" w:hAnsi="Times New Roman"/>
          <w:color w:val="000000" w:themeColor="text1"/>
          <w:sz w:val="16"/>
          <w:szCs w:val="16"/>
        </w:rPr>
        <w:softHyphen/>
        <w:t>воначально командование Юж</w:t>
      </w:r>
      <w:r w:rsidRPr="00DB5D0D">
        <w:rPr>
          <w:rFonts w:ascii="Times New Roman" w:hAnsi="Times New Roman"/>
          <w:color w:val="000000" w:themeColor="text1"/>
          <w:sz w:val="16"/>
          <w:szCs w:val="16"/>
        </w:rPr>
        <w:softHyphen/>
        <w:t>ного фронта (располагавшее 201-й, 204-й и 214-й вдб) планировало орга</w:t>
      </w:r>
      <w:r w:rsidRPr="00DB5D0D">
        <w:rPr>
          <w:rFonts w:ascii="Times New Roman" w:hAnsi="Times New Roman"/>
          <w:color w:val="000000" w:themeColor="text1"/>
          <w:sz w:val="16"/>
          <w:szCs w:val="16"/>
        </w:rPr>
        <w:softHyphen/>
        <w:t>низовать один крупный десант в рай</w:t>
      </w:r>
      <w:r w:rsidRPr="00DB5D0D">
        <w:rPr>
          <w:rFonts w:ascii="Times New Roman" w:hAnsi="Times New Roman"/>
          <w:color w:val="000000" w:themeColor="text1"/>
          <w:sz w:val="16"/>
          <w:szCs w:val="16"/>
        </w:rPr>
        <w:softHyphen/>
        <w:t>оне Тыргу-Фрумос, в 20 км от Ясс, перекрыв крупный узел дорог, что</w:t>
      </w:r>
      <w:r w:rsidRPr="00DB5D0D">
        <w:rPr>
          <w:rFonts w:ascii="Times New Roman" w:hAnsi="Times New Roman"/>
          <w:color w:val="000000" w:themeColor="text1"/>
          <w:sz w:val="16"/>
          <w:szCs w:val="16"/>
        </w:rPr>
        <w:softHyphen/>
        <w:t>бы воспрепятствовать эвакуации материальных ценностей в Румы</w:t>
      </w:r>
      <w:r w:rsidRPr="00DB5D0D">
        <w:rPr>
          <w:rFonts w:ascii="Times New Roman" w:hAnsi="Times New Roman"/>
          <w:color w:val="000000" w:themeColor="text1"/>
          <w:sz w:val="16"/>
          <w:szCs w:val="16"/>
        </w:rPr>
        <w:softHyphen/>
        <w:t>нию. Десант должны были высажи</w:t>
      </w:r>
      <w:r w:rsidRPr="00DB5D0D">
        <w:rPr>
          <w:rFonts w:ascii="Times New Roman" w:hAnsi="Times New Roman"/>
          <w:color w:val="000000" w:themeColor="text1"/>
          <w:sz w:val="16"/>
          <w:szCs w:val="16"/>
        </w:rPr>
        <w:softHyphen/>
        <w:t>вать 120 ТБ-3, которые предполага</w:t>
      </w:r>
      <w:r w:rsidRPr="00DB5D0D">
        <w:rPr>
          <w:rFonts w:ascii="Times New Roman" w:hAnsi="Times New Roman"/>
          <w:color w:val="000000" w:themeColor="text1"/>
          <w:sz w:val="16"/>
          <w:szCs w:val="16"/>
        </w:rPr>
        <w:softHyphen/>
        <w:t>лось прикрывать пятью полками ис</w:t>
      </w:r>
      <w:r w:rsidRPr="00DB5D0D">
        <w:rPr>
          <w:rFonts w:ascii="Times New Roman" w:hAnsi="Times New Roman"/>
          <w:color w:val="000000" w:themeColor="text1"/>
          <w:sz w:val="16"/>
          <w:szCs w:val="16"/>
        </w:rPr>
        <w:softHyphen/>
        <w:t>требителей. Реально же высадили два десан</w:t>
      </w:r>
      <w:r w:rsidRPr="00DB5D0D">
        <w:rPr>
          <w:rFonts w:ascii="Times New Roman" w:hAnsi="Times New Roman"/>
          <w:color w:val="000000" w:themeColor="text1"/>
          <w:sz w:val="16"/>
          <w:szCs w:val="16"/>
        </w:rPr>
        <w:softHyphen/>
        <w:t>та (10690).</w:t>
      </w:r>
    </w:p>
    <w:p w14:paraId="599219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4DB95C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создали морскую пехоту в составе БФ (68,131).</w:t>
      </w:r>
    </w:p>
    <w:p w14:paraId="070DDE5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1885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командующий войсками был вынужден издать приказ с констатацией, что на складе № 301 (Воздвиженский), как и прежде, "плохой учет и сбережение химического имущества" (9065).</w:t>
      </w:r>
    </w:p>
    <w:p w14:paraId="59BDD96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4ADB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при начальнике управления и во главе с ним образуется Ученый медицинский совет (УМС). Очередное изменение штата управления состоялось в сентябре того же года. В его структуру входили управление, 10 отделов с 27 отделениями и 4 самостоятельных отделения. В числе отделов были организационно-мобилизационный, кадров, лечебный, санитарно-эпидемический, военно-медицинских учебных заведений, боевой подготовки, снабжения, заготовок, курортных и детских учреждений, финансовый. В составе самостоятельных отделений -административно-хозяйственное, санитарно-химической защиты, редакционно-издательское и секретное. В связи с наличием в Управлении ВВС отдела авиационной медицины принимается решение о ликвидации в структуре СУ РККА отдела санитарной службы ВВС и о создании вместо него соответствующей инспекции. Общая численность сотрудников управления со 142 человек увеличивается до 212 человек (9090).</w:t>
      </w:r>
    </w:p>
    <w:p w14:paraId="49E2F45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2C3F1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 1940 г. В соответствии с приказом НКВД СССР началась подготовка личного состава органов внутренних дел на лагерных сборах. В лагерях летних сборов 1940 г. прошли переподготовку 2 680 человек старшего начальствующего состава милиции, 3836 участковых инспекторов и 1 311 внештатных инструкторов по боевой и физической подготовке (10303).</w:t>
      </w:r>
    </w:p>
    <w:p w14:paraId="5226541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374DB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во время освобождения Бессарабии и Северной Буковины вновь была сформирована Дунайская военная флотилия. К началу Великой Отечественной войны в нее входили 5 мониторов, 22 бронекатера, до 30 сторожевых катеров, 7 катеров-тральщиков, 6 полуглиссеров, 6 береговых артиллерийских батарей, авиаэскадрилья, отдельный зенитный дивизион, стрелковая и пулеметная роты. ДуВФ принимала участие в оборонительных операциях на реках Дунай, Южный Буг, Днепр и у Керченского прол., куда перешла морем. С 22 июня 1941 высадила несколько десантов на побережье противника, вела артиллерийский огонь по вражеским силам и средствам. 20 ноября 1941 в связи с временной потерей баз ДуВФ была расформирована, а ее корабли и части вошли в состав АВФ и Керченской ВМБ.</w:t>
      </w:r>
    </w:p>
    <w:p w14:paraId="5515EC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выходом Красной Армии к Днестру в апреле 1944 ДуВФ была создана вновь для содействия войскам в наступательных операциях по освобождению Придунайских государств. В нее вошли 50 бронекатеров, 18 минометных катеров, 22 тральщика, 16 полуглиссеров, отдельный батальон морской пехоты, зенитно-артиллерийский дивизион, 4 артиллерийские батареи. В ходе боевых действий силы флотилии были увеличены (около 60 БКА, 38 ТЩ, артиллерийские средства).</w:t>
      </w:r>
    </w:p>
    <w:p w14:paraId="451763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ДФ успешно взаимодействовала с сухопутными войсками в Ясско-Кишиневской, Белградской, Будапештской и Венской наступательных операциях, при форсировании Днестровского лимана; высадила 20 тактических десантов, поддерживала огнем артиллерии десанты и приречные фланги частей, перевозила войска и воинские грузы в оперативных масштабах. Всего было переправлено более 900 тыс. человек, свыше 1,5 тыс. танков и САУ, 7 тыс. орудий и минометов, 450 тыс. т военных грузов. Корабли флотилии прошли с боями по Дунаю более 2 тыс. км, уничтожили до 600 мин. </w:t>
      </w:r>
    </w:p>
    <w:p w14:paraId="2D55AB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 боевые заслуги флотилия награждена орденами Красного Знамени, Нахимова I степени, Кутузова II степени. Ее соединениям и частям присвоены почетные наименования Сулинских, Тульчинских, Белградских, Братиславских, Венских. </w:t>
      </w:r>
    </w:p>
    <w:p w14:paraId="4A956E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Флотилией командовали: Н. О. Абрамов (июнь 1940 — сентябрь 1941), А. С.Фролов (сентябрь — ноябрь 1941), С. Г. Горшков (апрель — декабрь 1944), Г. Н. Холостяков (декабрь 1944 — май 1945) (11712).</w:t>
      </w:r>
    </w:p>
    <w:p w14:paraId="61B2E22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69B5474" w14:textId="77777777" w:rsidR="005D3AF1" w:rsidRPr="00DB5D0D" w:rsidRDefault="005D3AF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3003AEE6" w14:textId="77777777" w:rsidR="005D3AF1" w:rsidRPr="00DB5D0D" w:rsidRDefault="005D3AF1" w:rsidP="00DB5D0D">
      <w:pPr>
        <w:spacing w:after="0" w:line="240" w:lineRule="auto"/>
        <w:jc w:val="both"/>
        <w:rPr>
          <w:rFonts w:ascii="Times New Roman" w:hAnsi="Times New Roman"/>
          <w:iCs/>
          <w:color w:val="000000" w:themeColor="text1"/>
          <w:sz w:val="16"/>
          <w:szCs w:val="16"/>
        </w:rPr>
      </w:pPr>
    </w:p>
    <w:p w14:paraId="18596F58"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 1940. Повышены цены на обувь и металлические изделия (18701).</w:t>
      </w:r>
    </w:p>
    <w:p w14:paraId="3A1148E1" w14:textId="77777777" w:rsidR="005D3AF1" w:rsidRPr="00DB5D0D" w:rsidRDefault="005D3AF1" w:rsidP="00DB5D0D">
      <w:pPr>
        <w:spacing w:after="0" w:line="240" w:lineRule="auto"/>
        <w:jc w:val="both"/>
        <w:rPr>
          <w:rFonts w:ascii="Times New Roman" w:hAnsi="Times New Roman"/>
          <w:color w:val="000000" w:themeColor="text1"/>
          <w:sz w:val="16"/>
          <w:szCs w:val="16"/>
        </w:rPr>
      </w:pPr>
    </w:p>
    <w:p w14:paraId="4425A54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7342377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E576DB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Ф. Рузвельт, считавший посла США в Москве Л. Штейнгардта верным политическим сторонником и умелым дипломатом, сказал ему: «Вы выполнили задание на все сто процентов» (Данн Д. Между Рузвельтом и Сталиным. Американские послы в Москве. С. 157.). Эмбарго было введено в ответ на нападение СССР на Финляндию. К сожалению, в отечественной литературе, посвященной ис</w:t>
      </w:r>
      <w:r w:rsidRPr="00DB5D0D">
        <w:rPr>
          <w:rFonts w:ascii="Times New Roman" w:hAnsi="Times New Roman"/>
          <w:color w:val="000000" w:themeColor="text1"/>
          <w:sz w:val="16"/>
          <w:szCs w:val="16"/>
        </w:rPr>
        <w:softHyphen/>
        <w:t>тории отечественной авиации, получила распространение иная трактовка его введения. Например, Д.А. Соболев считает: «Однако в конце 1940 года американское правительство в знак протеста против активного сотрудни</w:t>
      </w:r>
      <w:r w:rsidRPr="00DB5D0D">
        <w:rPr>
          <w:rFonts w:ascii="Times New Roman" w:hAnsi="Times New Roman"/>
          <w:color w:val="000000" w:themeColor="text1"/>
          <w:sz w:val="16"/>
          <w:szCs w:val="16"/>
        </w:rPr>
        <w:softHyphen/>
        <w:t>чества СССР с Германией, ведущей войну в Европе, наложило эмбарго на техническую помощь СССР» (Соболев ДА Немецкий след в истории советской авиации. С. 54.). Практически то же самое сообщает В.Р. Ми</w:t>
      </w:r>
      <w:r w:rsidRPr="00DB5D0D">
        <w:rPr>
          <w:rFonts w:ascii="Times New Roman" w:hAnsi="Times New Roman"/>
          <w:color w:val="000000" w:themeColor="text1"/>
          <w:sz w:val="16"/>
          <w:szCs w:val="16"/>
        </w:rPr>
        <w:softHyphen/>
        <w:t>хеев: «Однако заключение советско-германского пакта о ненападении нега</w:t>
      </w:r>
      <w:r w:rsidRPr="00DB5D0D">
        <w:rPr>
          <w:rFonts w:ascii="Times New Roman" w:hAnsi="Times New Roman"/>
          <w:color w:val="000000" w:themeColor="text1"/>
          <w:sz w:val="16"/>
          <w:szCs w:val="16"/>
        </w:rPr>
        <w:softHyphen/>
        <w:t>тивным образом сказалось на торговых и технических связях СССР и США. Американские авиафирмы, в том числе и «Райт», наложили «моральное эм</w:t>
      </w:r>
      <w:r w:rsidRPr="00DB5D0D">
        <w:rPr>
          <w:rFonts w:ascii="Times New Roman" w:hAnsi="Times New Roman"/>
          <w:color w:val="000000" w:themeColor="text1"/>
          <w:sz w:val="16"/>
          <w:szCs w:val="16"/>
        </w:rPr>
        <w:softHyphen/>
        <w:t>барго» на поставки новой техники в нашу страну» (Михеев В.Р. «Белые» самолеты для Красной армии. С. 36.). На самом деле, вопрос о введении «морального эмбарго», кстати, достаточно широко освещавший</w:t>
      </w:r>
      <w:r w:rsidRPr="00DB5D0D">
        <w:rPr>
          <w:rFonts w:ascii="Times New Roman" w:hAnsi="Times New Roman"/>
          <w:color w:val="000000" w:themeColor="text1"/>
          <w:sz w:val="16"/>
          <w:szCs w:val="16"/>
        </w:rPr>
        <w:softHyphen/>
        <w:t>ся в отечественной литературе еще в советское время, естественно, никако</w:t>
      </w:r>
      <w:r w:rsidRPr="00DB5D0D">
        <w:rPr>
          <w:rFonts w:ascii="Times New Roman" w:hAnsi="Times New Roman"/>
          <w:color w:val="000000" w:themeColor="text1"/>
          <w:sz w:val="16"/>
          <w:szCs w:val="16"/>
        </w:rPr>
        <w:softHyphen/>
        <w:t>го отношения к советско-германским контактам не имел (11710,227).</w:t>
      </w:r>
    </w:p>
    <w:p w14:paraId="0B1894B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90D1F4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775732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FCF9E40"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на базе персонала и техники авиакомпаний «Крылья фашизма», «Итальянские авиалинии» и L.AT. I. была образована специальная авиационная служба Servizi Aerei Speciali — S.AS. В её составе имелись 132 машины различных типов, включая 31 SM.75 с большой дальностью полёта (19672).</w:t>
      </w:r>
    </w:p>
    <w:p w14:paraId="2AF6B320" w14:textId="77777777" w:rsidR="005D3AF1" w:rsidRPr="00DB5D0D" w:rsidRDefault="005D3AF1" w:rsidP="00DB5D0D">
      <w:pPr>
        <w:spacing w:after="0" w:line="240" w:lineRule="auto"/>
        <w:jc w:val="both"/>
        <w:rPr>
          <w:rFonts w:ascii="Times New Roman" w:hAnsi="Times New Roman"/>
          <w:color w:val="000000" w:themeColor="text1"/>
          <w:sz w:val="16"/>
          <w:szCs w:val="16"/>
        </w:rPr>
      </w:pPr>
    </w:p>
    <w:p w14:paraId="457349EC" w14:textId="77777777" w:rsidR="001138D8" w:rsidRPr="00DB5D0D" w:rsidRDefault="001138D8"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rPr>
        <w:t>В июне 1940 года пала Франция, над Рочестером стали появляться немецкие разведчики, и было принято решение о переводе производства «Стирлингов» в столицу Северной Ирландии — Белфаст. Чтобы серия пошла там быстрее, решили внедрять лишь самые необходимые изменения (22823).</w:t>
      </w:r>
    </w:p>
    <w:p w14:paraId="72E7AEEF" w14:textId="77777777" w:rsidR="001138D8" w:rsidRPr="00DB5D0D" w:rsidRDefault="001138D8"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55429D1A" w14:textId="77777777" w:rsidR="005D3AF1" w:rsidRPr="00DB5D0D" w:rsidRDefault="005D3AF1" w:rsidP="00DB5D0D">
      <w:pPr>
        <w:pStyle w:val="ae"/>
        <w:shd w:val="clear" w:color="auto" w:fill="FFFFFF"/>
        <w:spacing w:before="0" w:after="0"/>
        <w:jc w:val="both"/>
        <w:textAlignment w:val="baseline"/>
        <w:rPr>
          <w:color w:val="000000" w:themeColor="text1"/>
          <w:sz w:val="16"/>
          <w:szCs w:val="16"/>
        </w:rPr>
      </w:pPr>
      <w:r w:rsidRPr="00DB5D0D">
        <w:rPr>
          <w:color w:val="000000" w:themeColor="text1"/>
          <w:sz w:val="16"/>
          <w:szCs w:val="16"/>
        </w:rPr>
        <w:t>В июне 1940 года был готов проект танкового дизеля MB 809. Мотор прошёл стендовые испытания в феврале 1941 года, через месяц его установили на танк. Таким образом, VK 20.01 (D), первый немецкий танк с дизельным двигателем, был спроектирован и построен ещё до нападения на СССР. К концу войны пробег опытного шасси превысил 6000 километров.</w:t>
      </w:r>
    </w:p>
    <w:p w14:paraId="7791DD69" w14:textId="77777777" w:rsidR="005D3AF1" w:rsidRPr="00DB5D0D" w:rsidRDefault="005D3AF1" w:rsidP="00DB5D0D">
      <w:pPr>
        <w:spacing w:after="0" w:line="240" w:lineRule="auto"/>
        <w:jc w:val="both"/>
        <w:rPr>
          <w:rFonts w:ascii="Times New Roman" w:hAnsi="Times New Roman"/>
          <w:color w:val="000000" w:themeColor="text1"/>
          <w:sz w:val="16"/>
          <w:szCs w:val="16"/>
        </w:rPr>
      </w:pPr>
    </w:p>
    <w:p w14:paraId="31E805B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года Конгресс США выделил средства на реализацию плана строительства 10 000 самолетов. Отдельной строкой в этом документе предусматривалось изготовление 48 полужестких дирижаблей (11324).</w:t>
      </w:r>
    </w:p>
    <w:p w14:paraId="2D30585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2BA86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в Лондоне при поддержке британского правительства генерал Шарль де Голль, занимавший пост зам. министра обороны в последнем правительстве независимой Франции перед оккупацией, основал движение "Свободная Франция" ("Сражающаяся Франция" с 1942 г.). Своей целью оно провозгласило борьбу против нацизма и национальное освобождение Франции. Не имея возможности действовать на территории, оккупированной немцами, и в зоне Виши, власти которого объявили де Голля мятежником, "Свободная Франция" перенесла центр тяжести своей деятельности во французские колонии - главным образом в Африке. Большая часть французской колониальной администрации, в том числе во Французском Индокитае, не сочувствовала де Голлю. Однако европейские события вынуждали колониальные власти так или иначе ориентироваться относительно раскола французской элиты на коллаборационистов и патриотов (3871).</w:t>
      </w:r>
    </w:p>
    <w:p w14:paraId="38BB6F5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9ABB0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после ультиматума Японии французским властям в Индокитае поставки Китаю материалов по Индокитайской дороге были прекращены (3871).</w:t>
      </w:r>
    </w:p>
    <w:p w14:paraId="1A9392E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789E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китайское командование провело реорганизацию истребительной авиации. Для укомплектования 4-й эс</w:t>
      </w:r>
      <w:r w:rsidRPr="00DB5D0D">
        <w:rPr>
          <w:rFonts w:ascii="Times New Roman" w:hAnsi="Times New Roman"/>
          <w:color w:val="000000" w:themeColor="text1"/>
          <w:sz w:val="16"/>
          <w:szCs w:val="16"/>
        </w:rPr>
        <w:softHyphen/>
        <w:t>кадрильи самолёты забрали из 3-й и 5-й. В результате 4-я эскадрилья имела один отряд на И-16 и два - на И-15бис, в каж</w:t>
      </w:r>
      <w:r w:rsidRPr="00DB5D0D">
        <w:rPr>
          <w:rFonts w:ascii="Times New Roman" w:hAnsi="Times New Roman"/>
          <w:color w:val="000000" w:themeColor="text1"/>
          <w:sz w:val="16"/>
          <w:szCs w:val="16"/>
        </w:rPr>
        <w:softHyphen/>
        <w:t>дом по девять машин.</w:t>
      </w:r>
    </w:p>
    <w:p w14:paraId="706D75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этому времени японцы уже широко применяли монопланы Ки.27 (в наших документах - И-97). «Бис» значительно уступал этому истребителю в скорости и скороподъёмности, манёвренность у них была сравнимой, хотя радиус разворота у биплана получался меньше. И-15бис превосходил также почти вдвое по се</w:t>
      </w:r>
      <w:r w:rsidRPr="00DB5D0D">
        <w:rPr>
          <w:rFonts w:ascii="Times New Roman" w:hAnsi="Times New Roman"/>
          <w:color w:val="000000" w:themeColor="text1"/>
          <w:sz w:val="16"/>
          <w:szCs w:val="16"/>
        </w:rPr>
        <w:softHyphen/>
        <w:t>кундному залпу.</w:t>
      </w:r>
    </w:p>
    <w:p w14:paraId="323AB6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Воздушные бои второй половины 1939 г. и начала 1940 г. привели к значи</w:t>
      </w:r>
      <w:r w:rsidRPr="00DB5D0D">
        <w:rPr>
          <w:rFonts w:ascii="Times New Roman" w:hAnsi="Times New Roman"/>
          <w:color w:val="000000" w:themeColor="text1"/>
          <w:sz w:val="16"/>
          <w:szCs w:val="16"/>
        </w:rPr>
        <w:softHyphen/>
        <w:t>тельным потерям прежде всего И-15бис, поэтому в дальнейшем эти самолёты упо</w:t>
      </w:r>
      <w:r w:rsidRPr="00DB5D0D">
        <w:rPr>
          <w:rFonts w:ascii="Times New Roman" w:hAnsi="Times New Roman"/>
          <w:color w:val="000000" w:themeColor="text1"/>
          <w:sz w:val="16"/>
          <w:szCs w:val="16"/>
        </w:rPr>
        <w:softHyphen/>
        <w:t>минаются редко.</w:t>
      </w:r>
    </w:p>
    <w:p w14:paraId="1173C7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Когда китайцы списали последние «би- сы», остаётся неизвестным (12294).</w:t>
      </w:r>
    </w:p>
    <w:p w14:paraId="21B9B46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C497A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г. таиландское правительство заключило с Японией договор о дружбе и территориальной целостности (3871).</w:t>
      </w:r>
    </w:p>
    <w:p w14:paraId="59F8DF9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BA68AE2"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F2AD092"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890746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июне-июле 1940 г. в Вазиани провели сборы, на которых читались лекции по теории бомбометания с пикирования, проводилась демонстрация таких полетов на ДБ-3 и СБ. Подготовку прошли 14 сборных экипажей из 6-го, 8-го, 12-го, 42-го и 83-го дбап. Через месяц каждый из них мог с высоты 2000 м уложиться в круг диаметром 50 м. По сравнению с обычным бомбометанием точность повышалась в два-три раза.</w:t>
      </w:r>
    </w:p>
    <w:p w14:paraId="48CDE3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 оказался менее удобен как пикировщик, нежели СБ. Отзывы экипажей во многом повторили выводы отчета НИ ПАВ. Командир экипажа Егоров в своем отзыве написал: "Самолет слепой вплоть до достижения заданного угла пикирования". Он имел в виду то, что длинный массивный нос бомбардировщика полностью закрывал летчику обзор вперед-вниз. Кроме того, на носовой части стоял обтекатель рамочной антенны радиополукомпаса. Козырек кабины не давал возможности поставить прицел для бомбометания с пикирования ПАН-23 по оси. На пикировании бензин выливался из заливных бачков моторов.</w:t>
      </w:r>
    </w:p>
    <w:p w14:paraId="1DAA7B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сборов завод № 39 подготовил шесть специально доработанных ДБ-ЗБ с прицелами ПАН-23. Интенсивная эксплуатация на сборах (каждая машина сделала более 150 пикирований) привела к тому, что выявились деформации обшивки крыла, течи бензобаков, отставание полотна на рулях. Вываливались заклепки и шурупы, трескались коки винтов, капоты, кронштейны дефлекторов моторов. Плексиглас фонарей кабин трескался и вдавливался внутрь. После сборов в Вазиани четыре самолета отправили в ремонт и признали более к пикированию непригодными (12021).</w:t>
      </w:r>
    </w:p>
    <w:p w14:paraId="305D743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52482B" w14:textId="77777777" w:rsidR="001138D8" w:rsidRPr="00DB5D0D" w:rsidRDefault="001138D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июне-июле 1940 г. в Вазиани (Гру</w:t>
      </w:r>
      <w:r w:rsidRPr="00DB5D0D">
        <w:rPr>
          <w:rFonts w:ascii="Times New Roman" w:hAnsi="Times New Roman"/>
          <w:color w:val="0070C0"/>
          <w:sz w:val="16"/>
          <w:szCs w:val="16"/>
        </w:rPr>
        <w:softHyphen/>
        <w:t>зия) прошли сборы по обучению бомбо</w:t>
      </w:r>
      <w:r w:rsidRPr="00DB5D0D">
        <w:rPr>
          <w:rFonts w:ascii="Times New Roman" w:hAnsi="Times New Roman"/>
          <w:color w:val="0070C0"/>
          <w:sz w:val="16"/>
          <w:szCs w:val="16"/>
        </w:rPr>
        <w:softHyphen/>
        <w:t>метания с пикирования. В них участвова</w:t>
      </w:r>
      <w:r w:rsidRPr="00DB5D0D">
        <w:rPr>
          <w:rFonts w:ascii="Times New Roman" w:hAnsi="Times New Roman"/>
          <w:color w:val="0070C0"/>
          <w:sz w:val="16"/>
          <w:szCs w:val="16"/>
        </w:rPr>
        <w:softHyphen/>
        <w:t>ли 14 сборных экипажей из восьми дальнебомбардировочных полков, а 39-й завод предоставил 6 специально дорабо</w:t>
      </w:r>
      <w:r w:rsidRPr="00DB5D0D">
        <w:rPr>
          <w:rFonts w:ascii="Times New Roman" w:hAnsi="Times New Roman"/>
          <w:color w:val="0070C0"/>
          <w:sz w:val="16"/>
          <w:szCs w:val="16"/>
        </w:rPr>
        <w:softHyphen/>
        <w:t>танных ДБ-ЗБ с прицелами ПАН-23.</w:t>
      </w:r>
    </w:p>
    <w:p w14:paraId="08A77902" w14:textId="77777777" w:rsidR="001138D8" w:rsidRPr="00DB5D0D" w:rsidRDefault="001138D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Подготовка шла интенсивно, и через ме</w:t>
      </w:r>
      <w:r w:rsidRPr="00DB5D0D">
        <w:rPr>
          <w:rFonts w:ascii="Times New Roman" w:hAnsi="Times New Roman"/>
          <w:color w:val="0070C0"/>
          <w:sz w:val="16"/>
          <w:szCs w:val="16"/>
        </w:rPr>
        <w:softHyphen/>
        <w:t>сяц каждый экипаж мог с высоты 2000 м укладывать бомбы в 50-метровый круг. Летчики отмечали ограниченный обзор: при подходе к цели пилот ее не видел — загораживал длинный нос фюзеляжа. Предварительная наводка осуществля</w:t>
      </w:r>
      <w:r w:rsidRPr="00DB5D0D">
        <w:rPr>
          <w:rFonts w:ascii="Times New Roman" w:hAnsi="Times New Roman"/>
          <w:color w:val="0070C0"/>
          <w:sz w:val="16"/>
          <w:szCs w:val="16"/>
        </w:rPr>
        <w:softHyphen/>
        <w:t>лась по командам штурмана, а поймать объект в прицел летчик мог, лишь войдя в крутое пикирование.</w:t>
      </w:r>
    </w:p>
    <w:p w14:paraId="1BD9FE0C" w14:textId="77777777" w:rsidR="001138D8" w:rsidRPr="00DB5D0D" w:rsidRDefault="001138D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Каждый самолет совершил более 150 вылетов, что не лучшим образом сказа</w:t>
      </w:r>
      <w:r w:rsidRPr="00DB5D0D">
        <w:rPr>
          <w:rFonts w:ascii="Times New Roman" w:hAnsi="Times New Roman"/>
          <w:color w:val="0070C0"/>
          <w:sz w:val="16"/>
          <w:szCs w:val="16"/>
        </w:rPr>
        <w:softHyphen/>
        <w:t>лось на техническом состоянии машин. Была выявлена деформация обшивки крыла, текли бензобаки, на рулях отста</w:t>
      </w:r>
      <w:r w:rsidRPr="00DB5D0D">
        <w:rPr>
          <w:rFonts w:ascii="Times New Roman" w:hAnsi="Times New Roman"/>
          <w:color w:val="0070C0"/>
          <w:sz w:val="16"/>
          <w:szCs w:val="16"/>
        </w:rPr>
        <w:softHyphen/>
        <w:t>вало полотно. Отмечался и ряд других более мелких «прелестей». После сборов 4 машины отправили в ремонт и признали более непригодными к работе с пикиро</w:t>
      </w:r>
      <w:r w:rsidRPr="00DB5D0D">
        <w:rPr>
          <w:rFonts w:ascii="Times New Roman" w:hAnsi="Times New Roman"/>
          <w:color w:val="0070C0"/>
          <w:sz w:val="16"/>
          <w:szCs w:val="16"/>
        </w:rPr>
        <w:softHyphen/>
        <w:t>вания.</w:t>
      </w:r>
    </w:p>
    <w:p w14:paraId="14F3CE4E" w14:textId="77777777" w:rsidR="001138D8" w:rsidRPr="00DB5D0D" w:rsidRDefault="001138D8"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Тем не менее, полученный опыт был признан полезным, и подобные сборы провели в Киевском, Ленинградском и Белорусском округах. Здесь за год про</w:t>
      </w:r>
      <w:r w:rsidRPr="00DB5D0D">
        <w:rPr>
          <w:rFonts w:ascii="Times New Roman" w:hAnsi="Times New Roman"/>
          <w:color w:val="0070C0"/>
          <w:sz w:val="16"/>
          <w:szCs w:val="16"/>
        </w:rPr>
        <w:softHyphen/>
        <w:t>шло более 130 учений с участием пики</w:t>
      </w:r>
      <w:r w:rsidRPr="00DB5D0D">
        <w:rPr>
          <w:rFonts w:ascii="Times New Roman" w:hAnsi="Times New Roman"/>
          <w:color w:val="0070C0"/>
          <w:sz w:val="16"/>
          <w:szCs w:val="16"/>
        </w:rPr>
        <w:softHyphen/>
        <w:t>ровщиков ДБ-3. В ряде полков началось формирование первых эскадрилий, од</w:t>
      </w:r>
      <w:r w:rsidRPr="00DB5D0D">
        <w:rPr>
          <w:rFonts w:ascii="Times New Roman" w:hAnsi="Times New Roman"/>
          <w:color w:val="0070C0"/>
          <w:sz w:val="16"/>
          <w:szCs w:val="16"/>
        </w:rPr>
        <w:softHyphen/>
        <w:t>нако они стали получать более современ</w:t>
      </w:r>
      <w:r w:rsidRPr="00DB5D0D">
        <w:rPr>
          <w:rFonts w:ascii="Times New Roman" w:hAnsi="Times New Roman"/>
          <w:color w:val="0070C0"/>
          <w:sz w:val="16"/>
          <w:szCs w:val="16"/>
        </w:rPr>
        <w:softHyphen/>
        <w:t>ные ДБ-ЗФ, которые оказались менее подходящими для данного вида боевой работы (19944).</w:t>
      </w:r>
    </w:p>
    <w:p w14:paraId="683E45CC" w14:textId="77777777" w:rsidR="001138D8" w:rsidRPr="00DB5D0D" w:rsidRDefault="001138D8" w:rsidP="00DB5D0D">
      <w:pPr>
        <w:shd w:val="clear" w:color="auto" w:fill="FFFFFF"/>
        <w:spacing w:after="0" w:line="240" w:lineRule="auto"/>
        <w:jc w:val="both"/>
        <w:rPr>
          <w:rFonts w:ascii="Times New Roman" w:hAnsi="Times New Roman"/>
          <w:color w:val="0070C0"/>
          <w:sz w:val="16"/>
          <w:szCs w:val="16"/>
        </w:rPr>
      </w:pPr>
    </w:p>
    <w:p w14:paraId="0C405A0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июня-июля 1940 г. Авиазавод №1 стал выпускать зеленые «Чайки». Не смотря на разнообразие окраски, опознавательные знаки московским заводом наносились по единому стандарту. На верхнем крыле красились красные звезды в черной окантовке, вписываемые в круг диаметром 1070мм, с внутренним черным кольцом диаметром 400мм. Центр звезды совпадал с осью 7-й нервюры(если считать от законцовки крыла), верхний луч отстоял от передней кромки на 150 мм. На нижнем крыле звезды вписывались в диаметр 900 мм, внутреннее кольцо имело диаметр 340мм. Центр звезды отстоял от закон-цовки крыла на 600мм, ее верхний луч от передней кромки - на 70 мм.</w:t>
      </w:r>
    </w:p>
    <w:p w14:paraId="1BCA24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боковой поверхности фюзеляжа звезда вписывалась в диаметр 900 мм, с внутренним кольцом 340 мм. Центр звезды по вертикали находился ниже оси верхнего лонжерона фюзеляжа на 170 мм, по горизонтали - посередине между задним обрезом створки кабины и началом листа обтекателя киля и стабилизатора. Встречались отдельные И-153, на которых звезды рисовались не на фюзеляже, а на вертикальном оперении.</w:t>
      </w:r>
    </w:p>
    <w:p w14:paraId="34F440B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указанной черной окантовки и внутреннего кольца 8 мм. В ходе увеличения производства, на большинстве И-153 внутреннее кольцо черного цвета наносить прекратили. Все остальные атрибуты принадлежности самолета: бортовые номера, знаки эскадрилий в виде «пилоток» на верхушке киля и другие отличия наносились уже в частях (6592).</w:t>
      </w:r>
    </w:p>
    <w:p w14:paraId="1962B86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49AC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июне-июле 1940 г. было закончено создание времен</w:t>
      </w:r>
      <w:r w:rsidRPr="00DB5D0D">
        <w:rPr>
          <w:rFonts w:ascii="Times New Roman" w:hAnsi="Times New Roman"/>
          <w:color w:val="000000" w:themeColor="text1"/>
          <w:sz w:val="16"/>
          <w:szCs w:val="16"/>
        </w:rPr>
        <w:softHyphen/>
        <w:t>ной технологии изготовления истребителя. При ее разработке учитывалась намеченная производитель</w:t>
      </w:r>
      <w:r w:rsidRPr="00DB5D0D">
        <w:rPr>
          <w:rFonts w:ascii="Times New Roman" w:hAnsi="Times New Roman"/>
          <w:color w:val="000000" w:themeColor="text1"/>
          <w:sz w:val="16"/>
          <w:szCs w:val="16"/>
        </w:rPr>
        <w:softHyphen/>
        <w:t>ность предприятия на 1941 г. — 3500 машин (9—10 истребителей в день). Впрочем, впоследствии боль</w:t>
      </w:r>
      <w:r w:rsidRPr="00DB5D0D">
        <w:rPr>
          <w:rFonts w:ascii="Times New Roman" w:hAnsi="Times New Roman"/>
          <w:color w:val="000000" w:themeColor="text1"/>
          <w:sz w:val="16"/>
          <w:szCs w:val="16"/>
        </w:rPr>
        <w:softHyphen/>
        <w:t>шинство технологических карт пришлось пересмот</w:t>
      </w:r>
      <w:r w:rsidRPr="00DB5D0D">
        <w:rPr>
          <w:rFonts w:ascii="Times New Roman" w:hAnsi="Times New Roman"/>
          <w:color w:val="000000" w:themeColor="text1"/>
          <w:sz w:val="16"/>
          <w:szCs w:val="16"/>
        </w:rPr>
        <w:softHyphen/>
        <w:t>реть в связи с тем, что поздней осенью 1940 г. в кон</w:t>
      </w:r>
      <w:r w:rsidRPr="00DB5D0D">
        <w:rPr>
          <w:rFonts w:ascii="Times New Roman" w:hAnsi="Times New Roman"/>
          <w:color w:val="000000" w:themeColor="text1"/>
          <w:sz w:val="16"/>
          <w:szCs w:val="16"/>
        </w:rPr>
        <w:softHyphen/>
        <w:t>струкцию И—200 были внесены многочисленные изменения (9984).</w:t>
      </w:r>
    </w:p>
    <w:p w14:paraId="5478E1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C77FE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течение июня-июля 1940 г. на самолете И-153 М-63 №8019 летали на штопор летчики Жуков, Супрун, Кубышкин, Аарюшкин. По результатам этих полетов сделали заключение, что И-153 с мотором М-63, при строгом следовании инструкции, имеет возможность безопасного выхода из штопора, с запаздыванием от одного до 1,75 витка после любого числа выполненных до этого витков. Хотя испытуемая машина имела за счет установки тяжелого двигателя более переднюю центровку, улучшения штопорных характеристик при этом отмечено не было. Методика ввода и вывода данного самолета оценивалась одинаково с методикой для самолета И-153 с М-62. «Самолет И-153 с мотором М-63, винтом АВ-1, вполне пригоден для производства тренировочных полетов на штопор в войсковых частях на высоте не ниже 5000 метров.» (6592).</w:t>
      </w:r>
    </w:p>
    <w:p w14:paraId="625AFB8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76FBD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июне-ноябре 1940 состоялись гос. испытания И-26 А.С.Я. (4,204).</w:t>
      </w:r>
    </w:p>
    <w:p w14:paraId="74D56E0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AEA1ED0" w14:textId="77777777" w:rsidR="0095126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2ACF48B" w14:textId="77777777" w:rsidR="00951261" w:rsidRPr="00DB5D0D" w:rsidRDefault="00951261" w:rsidP="00DB5D0D">
      <w:pPr>
        <w:spacing w:after="0" w:line="240" w:lineRule="auto"/>
        <w:jc w:val="both"/>
        <w:rPr>
          <w:rFonts w:ascii="Times New Roman" w:hAnsi="Times New Roman"/>
          <w:iCs/>
          <w:color w:val="000000" w:themeColor="text1"/>
          <w:sz w:val="16"/>
          <w:szCs w:val="16"/>
        </w:rPr>
      </w:pPr>
    </w:p>
    <w:p w14:paraId="002E5051"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 xml:space="preserve">В июне-октябре 1940 года на НИАПе производились испытания 76-мм </w:t>
      </w:r>
      <w:bookmarkStart w:id="46" w:name="YANDEX_570"/>
      <w:bookmarkEnd w:id="46"/>
      <w:r w:rsidRPr="00DB5D0D">
        <w:rPr>
          <w:rStyle w:val="highlight"/>
          <w:rFonts w:ascii="Times New Roman" w:hAnsi="Times New Roman"/>
          <w:bCs/>
          <w:color w:val="000000" w:themeColor="text1"/>
          <w:sz w:val="16"/>
          <w:szCs w:val="16"/>
        </w:rPr>
        <w:t> пушки </w:t>
      </w:r>
      <w:r w:rsidRPr="00DB5D0D">
        <w:rPr>
          <w:rFonts w:ascii="Times New Roman" w:hAnsi="Times New Roman"/>
          <w:bCs/>
          <w:color w:val="000000" w:themeColor="text1"/>
          <w:sz w:val="16"/>
          <w:szCs w:val="16"/>
        </w:rPr>
        <w:t xml:space="preserve"> Л-11 на </w:t>
      </w:r>
      <w:bookmarkStart w:id="47" w:name="YANDEX_571"/>
      <w:bookmarkEnd w:id="47"/>
      <w:r w:rsidRPr="00DB5D0D">
        <w:rPr>
          <w:rStyle w:val="highlight"/>
          <w:rFonts w:ascii="Times New Roman" w:hAnsi="Times New Roman"/>
          <w:bCs/>
          <w:color w:val="000000" w:themeColor="text1"/>
          <w:sz w:val="16"/>
          <w:szCs w:val="16"/>
        </w:rPr>
        <w:t> танке </w:t>
      </w:r>
      <w:r w:rsidRPr="00DB5D0D">
        <w:rPr>
          <w:rFonts w:ascii="Times New Roman" w:hAnsi="Times New Roman"/>
          <w:bCs/>
          <w:color w:val="000000" w:themeColor="text1"/>
          <w:sz w:val="16"/>
          <w:szCs w:val="16"/>
        </w:rPr>
        <w:t xml:space="preserve"> Т-34 в объеме 343 выстрелов. Угол ВН -5°; +25° вперед и в бок, назад-1,2°; +25°. Мертвая зона впереди и сбоку 18- 19 м, назад 80 м. В целом испытания прошли удовлетворительно (17361).</w:t>
      </w:r>
    </w:p>
    <w:p w14:paraId="0BCBE269" w14:textId="77777777" w:rsidR="00951261" w:rsidRPr="00DB5D0D" w:rsidRDefault="00951261" w:rsidP="00DB5D0D">
      <w:pPr>
        <w:spacing w:after="0" w:line="240" w:lineRule="auto"/>
        <w:jc w:val="both"/>
        <w:rPr>
          <w:rFonts w:ascii="Times New Roman" w:hAnsi="Times New Roman"/>
          <w:color w:val="000000" w:themeColor="text1"/>
          <w:sz w:val="16"/>
          <w:szCs w:val="16"/>
        </w:rPr>
      </w:pPr>
    </w:p>
    <w:p w14:paraId="27B9855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33DA02F"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E36F52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июне-июле 1940 г. в Вазиани про</w:t>
      </w:r>
      <w:r w:rsidRPr="00DB5D0D">
        <w:rPr>
          <w:rFonts w:ascii="Times New Roman" w:hAnsi="Times New Roman"/>
          <w:color w:val="000000" w:themeColor="text1"/>
          <w:sz w:val="16"/>
          <w:szCs w:val="16"/>
        </w:rPr>
        <w:softHyphen/>
        <w:t>вели сборы, на которых читались лекции по теории бомбометания с пикиро</w:t>
      </w:r>
      <w:r w:rsidRPr="00DB5D0D">
        <w:rPr>
          <w:rFonts w:ascii="Times New Roman" w:hAnsi="Times New Roman"/>
          <w:color w:val="000000" w:themeColor="text1"/>
          <w:sz w:val="16"/>
          <w:szCs w:val="16"/>
        </w:rPr>
        <w:softHyphen/>
        <w:t>вания, проводилась демонстрация таких полетов на ДБ-3 и СБ. Подготовку про</w:t>
      </w:r>
      <w:r w:rsidRPr="00DB5D0D">
        <w:rPr>
          <w:rFonts w:ascii="Times New Roman" w:hAnsi="Times New Roman"/>
          <w:color w:val="000000" w:themeColor="text1"/>
          <w:sz w:val="16"/>
          <w:szCs w:val="16"/>
        </w:rPr>
        <w:softHyphen/>
        <w:t>шли 14 сборных экипажей из 6-го, 8-го, 12-го, 42-го и 83-го дбап. Через месяц каждый из них мог с высоты 2000 м уло</w:t>
      </w:r>
      <w:r w:rsidRPr="00DB5D0D">
        <w:rPr>
          <w:rFonts w:ascii="Times New Roman" w:hAnsi="Times New Roman"/>
          <w:color w:val="000000" w:themeColor="text1"/>
          <w:sz w:val="16"/>
          <w:szCs w:val="16"/>
        </w:rPr>
        <w:softHyphen/>
        <w:t>житься в круг диаметром 50 м. По срав</w:t>
      </w:r>
      <w:r w:rsidRPr="00DB5D0D">
        <w:rPr>
          <w:rFonts w:ascii="Times New Roman" w:hAnsi="Times New Roman"/>
          <w:color w:val="000000" w:themeColor="text1"/>
          <w:sz w:val="16"/>
          <w:szCs w:val="16"/>
        </w:rPr>
        <w:softHyphen/>
        <w:t>нению с обычным бомбометанием точ</w:t>
      </w:r>
      <w:r w:rsidRPr="00DB5D0D">
        <w:rPr>
          <w:rFonts w:ascii="Times New Roman" w:hAnsi="Times New Roman"/>
          <w:color w:val="000000" w:themeColor="text1"/>
          <w:sz w:val="16"/>
          <w:szCs w:val="16"/>
        </w:rPr>
        <w:softHyphen/>
        <w:t>ность повышалась в два-три раза. ДБ-3 оказался менее удобен как пи</w:t>
      </w:r>
      <w:r w:rsidRPr="00DB5D0D">
        <w:rPr>
          <w:rFonts w:ascii="Times New Roman" w:hAnsi="Times New Roman"/>
          <w:color w:val="000000" w:themeColor="text1"/>
          <w:sz w:val="16"/>
          <w:szCs w:val="16"/>
        </w:rPr>
        <w:softHyphen/>
        <w:t>кировщик, нежели СБ. Отзывы экипа</w:t>
      </w:r>
      <w:r w:rsidRPr="00DB5D0D">
        <w:rPr>
          <w:rFonts w:ascii="Times New Roman" w:hAnsi="Times New Roman"/>
          <w:color w:val="000000" w:themeColor="text1"/>
          <w:sz w:val="16"/>
          <w:szCs w:val="16"/>
        </w:rPr>
        <w:softHyphen/>
        <w:t>жей во многом повторили выводы отче</w:t>
      </w:r>
      <w:r w:rsidRPr="00DB5D0D">
        <w:rPr>
          <w:rFonts w:ascii="Times New Roman" w:hAnsi="Times New Roman"/>
          <w:color w:val="000000" w:themeColor="text1"/>
          <w:sz w:val="16"/>
          <w:szCs w:val="16"/>
        </w:rPr>
        <w:softHyphen/>
        <w:t>та НИПАВ. Командир экипажа Егоров в своем отзыве написал: «Самолет сле</w:t>
      </w:r>
      <w:r w:rsidRPr="00DB5D0D">
        <w:rPr>
          <w:rFonts w:ascii="Times New Roman" w:hAnsi="Times New Roman"/>
          <w:color w:val="000000" w:themeColor="text1"/>
          <w:sz w:val="16"/>
          <w:szCs w:val="16"/>
        </w:rPr>
        <w:softHyphen/>
        <w:t>пой вплоть до достижения заданного уг</w:t>
      </w:r>
      <w:r w:rsidRPr="00DB5D0D">
        <w:rPr>
          <w:rFonts w:ascii="Times New Roman" w:hAnsi="Times New Roman"/>
          <w:color w:val="000000" w:themeColor="text1"/>
          <w:sz w:val="16"/>
          <w:szCs w:val="16"/>
        </w:rPr>
        <w:softHyphen/>
        <w:t>ла пикирования». Он имел в виду то, что длинный массивный нос бомбарди</w:t>
      </w:r>
      <w:r w:rsidRPr="00DB5D0D">
        <w:rPr>
          <w:rFonts w:ascii="Times New Roman" w:hAnsi="Times New Roman"/>
          <w:color w:val="000000" w:themeColor="text1"/>
          <w:sz w:val="16"/>
          <w:szCs w:val="16"/>
        </w:rPr>
        <w:softHyphen/>
        <w:t>ровщика полностью закрывал летчику обзор вперед-вниз. Кроме того, на но</w:t>
      </w:r>
      <w:r w:rsidRPr="00DB5D0D">
        <w:rPr>
          <w:rFonts w:ascii="Times New Roman" w:hAnsi="Times New Roman"/>
          <w:color w:val="000000" w:themeColor="text1"/>
          <w:sz w:val="16"/>
          <w:szCs w:val="16"/>
        </w:rPr>
        <w:softHyphen/>
        <w:t>совой части стоял обтекатель рамочной антенны радиополукомпаса. Козырек кабины не давал возможности поста</w:t>
      </w:r>
      <w:r w:rsidRPr="00DB5D0D">
        <w:rPr>
          <w:rFonts w:ascii="Times New Roman" w:hAnsi="Times New Roman"/>
          <w:color w:val="000000" w:themeColor="text1"/>
          <w:sz w:val="16"/>
          <w:szCs w:val="16"/>
        </w:rPr>
        <w:softHyphen/>
        <w:t>вить прицел для бомбометания с пики</w:t>
      </w:r>
      <w:r w:rsidRPr="00DB5D0D">
        <w:rPr>
          <w:rFonts w:ascii="Times New Roman" w:hAnsi="Times New Roman"/>
          <w:color w:val="000000" w:themeColor="text1"/>
          <w:sz w:val="16"/>
          <w:szCs w:val="16"/>
        </w:rPr>
        <w:softHyphen/>
        <w:t xml:space="preserve">рования ПАН-23 по оси. На </w:t>
      </w:r>
      <w:r w:rsidRPr="00DB5D0D">
        <w:rPr>
          <w:rFonts w:ascii="Times New Roman" w:hAnsi="Times New Roman"/>
          <w:color w:val="000000" w:themeColor="text1"/>
          <w:sz w:val="16"/>
          <w:szCs w:val="16"/>
        </w:rPr>
        <w:lastRenderedPageBreak/>
        <w:t>пикирова</w:t>
      </w:r>
      <w:r w:rsidRPr="00DB5D0D">
        <w:rPr>
          <w:rFonts w:ascii="Times New Roman" w:hAnsi="Times New Roman"/>
          <w:color w:val="000000" w:themeColor="text1"/>
          <w:sz w:val="16"/>
          <w:szCs w:val="16"/>
        </w:rPr>
        <w:softHyphen/>
        <w:t>нии бензин выливался из заливных бач</w:t>
      </w:r>
      <w:r w:rsidRPr="00DB5D0D">
        <w:rPr>
          <w:rFonts w:ascii="Times New Roman" w:hAnsi="Times New Roman"/>
          <w:color w:val="000000" w:themeColor="text1"/>
          <w:sz w:val="16"/>
          <w:szCs w:val="16"/>
        </w:rPr>
        <w:softHyphen/>
        <w:t>ков моторов. Для сборов завод № 39 подготовил шесть специально доработанных ДБ-3Б с прицелами ПАН-23. Интенсивная эксплуатация на сборах (каждая маши</w:t>
      </w:r>
      <w:r w:rsidRPr="00DB5D0D">
        <w:rPr>
          <w:rFonts w:ascii="Times New Roman" w:hAnsi="Times New Roman"/>
          <w:color w:val="000000" w:themeColor="text1"/>
          <w:sz w:val="16"/>
          <w:szCs w:val="16"/>
        </w:rPr>
        <w:softHyphen/>
        <w:t>на сделала более 150 пикирований) привела к тому, что выявились дефор</w:t>
      </w:r>
      <w:r w:rsidRPr="00DB5D0D">
        <w:rPr>
          <w:rFonts w:ascii="Times New Roman" w:hAnsi="Times New Roman"/>
          <w:color w:val="000000" w:themeColor="text1"/>
          <w:sz w:val="16"/>
          <w:szCs w:val="16"/>
        </w:rPr>
        <w:softHyphen/>
        <w:t>мации обшивки крыла, течи бензоба</w:t>
      </w:r>
      <w:r w:rsidRPr="00DB5D0D">
        <w:rPr>
          <w:rFonts w:ascii="Times New Roman" w:hAnsi="Times New Roman"/>
          <w:color w:val="000000" w:themeColor="text1"/>
          <w:sz w:val="16"/>
          <w:szCs w:val="16"/>
        </w:rPr>
        <w:softHyphen/>
        <w:t>ков, отставание полотна на рулях. Вы</w:t>
      </w:r>
      <w:r w:rsidRPr="00DB5D0D">
        <w:rPr>
          <w:rFonts w:ascii="Times New Roman" w:hAnsi="Times New Roman"/>
          <w:color w:val="000000" w:themeColor="text1"/>
          <w:sz w:val="16"/>
          <w:szCs w:val="16"/>
        </w:rPr>
        <w:softHyphen/>
        <w:t>валивались заклепки и шурупы, треска</w:t>
      </w:r>
      <w:r w:rsidRPr="00DB5D0D">
        <w:rPr>
          <w:rFonts w:ascii="Times New Roman" w:hAnsi="Times New Roman"/>
          <w:color w:val="000000" w:themeColor="text1"/>
          <w:sz w:val="16"/>
          <w:szCs w:val="16"/>
        </w:rPr>
        <w:softHyphen/>
        <w:t>лись коки винтов, капоты, кронштейны дефлекторов моторов. Плексиглас фо</w:t>
      </w:r>
      <w:r w:rsidRPr="00DB5D0D">
        <w:rPr>
          <w:rFonts w:ascii="Times New Roman" w:hAnsi="Times New Roman"/>
          <w:color w:val="000000" w:themeColor="text1"/>
          <w:sz w:val="16"/>
          <w:szCs w:val="16"/>
        </w:rPr>
        <w:softHyphen/>
        <w:t>нарей кабин трескался и вдавливался внутрь. После сборов в Вазиани четыре самолета отправили в ремонт и призна</w:t>
      </w:r>
      <w:r w:rsidRPr="00DB5D0D">
        <w:rPr>
          <w:rFonts w:ascii="Times New Roman" w:hAnsi="Times New Roman"/>
          <w:color w:val="000000" w:themeColor="text1"/>
          <w:sz w:val="16"/>
          <w:szCs w:val="16"/>
        </w:rPr>
        <w:softHyphen/>
        <w:t>ли более к пикированию непригодными (10734,49).</w:t>
      </w:r>
    </w:p>
    <w:p w14:paraId="5D6741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9068347" w14:textId="02043E25" w:rsidR="00FF3936" w:rsidRPr="00DB5D0D" w:rsidRDefault="00FF3936" w:rsidP="00DB5D0D">
      <w:pPr>
        <w:spacing w:after="0" w:line="240" w:lineRule="auto"/>
        <w:jc w:val="both"/>
        <w:rPr>
          <w:rFonts w:ascii="Times New Roman" w:hAnsi="Times New Roman"/>
          <w:i/>
          <w:iCs/>
          <w:color w:val="000000" w:themeColor="text1"/>
          <w:sz w:val="16"/>
          <w:szCs w:val="16"/>
        </w:rPr>
      </w:pPr>
      <w:r w:rsidRPr="00DB5D0D">
        <w:rPr>
          <w:rFonts w:ascii="Times New Roman" w:hAnsi="Times New Roman"/>
          <w:i/>
          <w:iCs/>
          <w:color w:val="000000" w:themeColor="text1"/>
          <w:sz w:val="16"/>
          <w:szCs w:val="16"/>
        </w:rPr>
        <w:t>За рубежом:</w:t>
      </w:r>
    </w:p>
    <w:p w14:paraId="0328E47E" w14:textId="77777777" w:rsidR="00FF3936" w:rsidRPr="00DB5D0D" w:rsidRDefault="00FF3936" w:rsidP="00DB5D0D">
      <w:pPr>
        <w:spacing w:after="0" w:line="240" w:lineRule="auto"/>
        <w:jc w:val="both"/>
        <w:rPr>
          <w:rFonts w:ascii="Times New Roman" w:hAnsi="Times New Roman"/>
          <w:i/>
          <w:iCs/>
          <w:color w:val="000000" w:themeColor="text1"/>
          <w:sz w:val="16"/>
          <w:szCs w:val="16"/>
        </w:rPr>
      </w:pPr>
    </w:p>
    <w:p w14:paraId="77D0CA16" w14:textId="77777777" w:rsidR="00FF3936" w:rsidRPr="00DB5D0D" w:rsidRDefault="00FF3936"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hAnsi="Times New Roman"/>
          <w:color w:val="0070C0"/>
          <w:sz w:val="16"/>
          <w:szCs w:val="16"/>
          <w:shd w:val="clear" w:color="auto" w:fill="FFFFFF"/>
        </w:rPr>
        <w:t>С июня 1940 по ноябрь 1943 года численность работников судостроительной промышленности США возросла со 168 тысяч до 1 миллиона 778 тысяч человек, а занятых в производстве артиллерийско-стрелкового вооружения – с 21 тысячи до 1 миллиона 436 тысяч (21541).</w:t>
      </w:r>
    </w:p>
    <w:p w14:paraId="1FE59420" w14:textId="77777777" w:rsidR="00FF3936" w:rsidRPr="00DB5D0D" w:rsidRDefault="00FF3936" w:rsidP="00DB5D0D">
      <w:pPr>
        <w:spacing w:after="0" w:line="240" w:lineRule="auto"/>
        <w:jc w:val="both"/>
        <w:rPr>
          <w:rFonts w:ascii="Times New Roman" w:hAnsi="Times New Roman"/>
          <w:color w:val="0070C0"/>
          <w:sz w:val="16"/>
          <w:szCs w:val="16"/>
        </w:rPr>
      </w:pPr>
    </w:p>
    <w:p w14:paraId="5D581894" w14:textId="09E722A6"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7B3C18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6152B9E" w14:textId="77777777" w:rsidR="00A25AD1" w:rsidRPr="00DB5D0D" w:rsidRDefault="00A25AD1" w:rsidP="00DB5D0D">
      <w:pPr>
        <w:pStyle w:val="a3"/>
        <w:rPr>
          <w:color w:val="000000" w:themeColor="text1"/>
          <w:lang w:val="ru-RU"/>
        </w:rPr>
      </w:pPr>
      <w:r w:rsidRPr="00DB5D0D">
        <w:rPr>
          <w:color w:val="000000" w:themeColor="text1"/>
          <w:lang w:val="ru-RU"/>
        </w:rPr>
        <w:t>В первой половине 1940 г. фосфорные гранулы попробовали рассеивать с помо</w:t>
      </w:r>
      <w:r w:rsidRPr="00DB5D0D">
        <w:rPr>
          <w:color w:val="000000" w:themeColor="text1"/>
          <w:lang w:val="ru-RU"/>
        </w:rPr>
        <w:softHyphen/>
        <w:t>щью прибора ХАРП-500, запущен</w:t>
      </w:r>
      <w:r w:rsidRPr="00DB5D0D">
        <w:rPr>
          <w:color w:val="000000" w:themeColor="text1"/>
          <w:lang w:val="ru-RU"/>
        </w:rPr>
        <w:softHyphen/>
        <w:t>ного в небольшую серию в том же году. Фактически это была кассет</w:t>
      </w:r>
      <w:r w:rsidRPr="00DB5D0D">
        <w:rPr>
          <w:color w:val="000000" w:themeColor="text1"/>
          <w:lang w:val="ru-RU"/>
        </w:rPr>
        <w:softHyphen/>
        <w:t>ная бомба, предназначавшаяся для внутренней и наружной подвески на СБ и ДБ-3. Ее сбрасывали с вы</w:t>
      </w:r>
      <w:r w:rsidRPr="00DB5D0D">
        <w:rPr>
          <w:color w:val="000000" w:themeColor="text1"/>
          <w:lang w:val="ru-RU"/>
        </w:rPr>
        <w:softHyphen/>
        <w:t>соты 4000 м, примерно на 500-600 м пиротехнический механизм с дис</w:t>
      </w:r>
      <w:r w:rsidRPr="00DB5D0D">
        <w:rPr>
          <w:color w:val="000000" w:themeColor="text1"/>
          <w:lang w:val="ru-RU"/>
        </w:rPr>
        <w:softHyphen/>
        <w:t>танционной трубкой отрывал крыш</w:t>
      </w:r>
      <w:r w:rsidRPr="00DB5D0D">
        <w:rPr>
          <w:color w:val="000000" w:themeColor="text1"/>
          <w:lang w:val="ru-RU"/>
        </w:rPr>
        <w:softHyphen/>
        <w:t>ку, разбрасывая содержимое. Одна кассета позволяла накрыть площадь примерно в 4 га. Часть гранул вспы</w:t>
      </w:r>
      <w:r w:rsidRPr="00DB5D0D">
        <w:rPr>
          <w:color w:val="000000" w:themeColor="text1"/>
          <w:lang w:val="ru-RU"/>
        </w:rPr>
        <w:softHyphen/>
        <w:t>хивала сразу после падения, но некоторые загорались очень неско</w:t>
      </w:r>
      <w:r w:rsidRPr="00DB5D0D">
        <w:rPr>
          <w:color w:val="000000" w:themeColor="text1"/>
          <w:lang w:val="ru-RU"/>
        </w:rPr>
        <w:softHyphen/>
        <w:t>ро - с задержкой до 12 часов. При</w:t>
      </w:r>
      <w:r w:rsidRPr="00DB5D0D">
        <w:rPr>
          <w:color w:val="000000" w:themeColor="text1"/>
          <w:lang w:val="ru-RU"/>
        </w:rPr>
        <w:softHyphen/>
        <w:t>знали, что эта система неудачна (12022).</w:t>
      </w:r>
    </w:p>
    <w:p w14:paraId="55372DBB" w14:textId="77777777" w:rsidR="00A25AD1" w:rsidRPr="00DB5D0D" w:rsidRDefault="00A25AD1" w:rsidP="00DB5D0D">
      <w:pPr>
        <w:pStyle w:val="a3"/>
        <w:rPr>
          <w:color w:val="000000" w:themeColor="text1"/>
          <w:lang w:val="ru-RU"/>
        </w:rPr>
      </w:pPr>
    </w:p>
    <w:p w14:paraId="40E236E6"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160F8D6"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036F712" w14:textId="77777777" w:rsidR="00A25AD1" w:rsidRPr="00DB5D0D" w:rsidRDefault="00A25AD1" w:rsidP="00DB5D0D">
      <w:pPr>
        <w:pStyle w:val="a3"/>
        <w:rPr>
          <w:color w:val="000000" w:themeColor="text1"/>
          <w:lang w:val="ru-RU"/>
        </w:rPr>
      </w:pPr>
      <w:r w:rsidRPr="00DB5D0D">
        <w:rPr>
          <w:color w:val="000000" w:themeColor="text1"/>
          <w:lang w:val="ru-RU"/>
        </w:rPr>
        <w:t>В конце первого полугодия 1940 г. кроме опытных работ по внедрению в производство системы ме</w:t>
      </w:r>
      <w:r w:rsidRPr="00DB5D0D">
        <w:rPr>
          <w:color w:val="000000" w:themeColor="text1"/>
          <w:lang w:val="ru-RU"/>
        </w:rPr>
        <w:softHyphen/>
        <w:t>ханического сервоуправления и литой гусеницы из стали Гатфильда силами специалистов опытного отдела завода №183 были проведены испытания нового танкового прицельного прожектора (ТПП), изготовленного московским заводом «Электросвет» и предназначенного для освещения мишени при стрель</w:t>
      </w:r>
      <w:r w:rsidRPr="00DB5D0D">
        <w:rPr>
          <w:color w:val="000000" w:themeColor="text1"/>
          <w:lang w:val="ru-RU"/>
        </w:rPr>
        <w:softHyphen/>
        <w:t>бе в ночное время. Следует отметить, что прожектор ТПП был при</w:t>
      </w:r>
      <w:r w:rsidRPr="00DB5D0D">
        <w:rPr>
          <w:color w:val="000000" w:themeColor="text1"/>
          <w:lang w:val="ru-RU"/>
        </w:rPr>
        <w:softHyphen/>
        <w:t>зван заменить собой менее мощный прожектор, устанавливаемый на серийных танках в конце 1930-х тт. (в табл. №10 приведены сравни</w:t>
      </w:r>
      <w:r w:rsidRPr="00DB5D0D">
        <w:rPr>
          <w:color w:val="000000" w:themeColor="text1"/>
          <w:lang w:val="ru-RU"/>
        </w:rPr>
        <w:softHyphen/>
        <w:t>тельные данные серийных прожекторов и прожектора ТПП).</w:t>
      </w:r>
    </w:p>
    <w:p w14:paraId="17B13267"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Style w:val="1420"/>
          <w:rFonts w:ascii="Times New Roman" w:hAnsi="Times New Roman" w:cs="Times New Roman"/>
          <w:color w:val="000000" w:themeColor="text1"/>
          <w:spacing w:val="0"/>
          <w:sz w:val="16"/>
          <w:szCs w:val="16"/>
        </w:rPr>
        <w:t>Таблица №10</w:t>
      </w:r>
    </w:p>
    <w:tbl>
      <w:tblPr>
        <w:tblW w:w="0" w:type="auto"/>
        <w:tblInd w:w="8" w:type="dxa"/>
        <w:tblLayout w:type="fixed"/>
        <w:tblCellMar>
          <w:left w:w="0" w:type="dxa"/>
          <w:right w:w="0" w:type="dxa"/>
        </w:tblCellMar>
        <w:tblLook w:val="0000" w:firstRow="0" w:lastRow="0" w:firstColumn="0" w:lastColumn="0" w:noHBand="0" w:noVBand="0"/>
      </w:tblPr>
      <w:tblGrid>
        <w:gridCol w:w="2016"/>
        <w:gridCol w:w="1570"/>
        <w:gridCol w:w="1483"/>
      </w:tblGrid>
      <w:tr w:rsidR="007D5DF8" w:rsidRPr="00DB5D0D" w14:paraId="407C0C92" w14:textId="77777777" w:rsidTr="009223E5">
        <w:trPr>
          <w:trHeight w:val="202"/>
        </w:trPr>
        <w:tc>
          <w:tcPr>
            <w:tcW w:w="2016" w:type="dxa"/>
            <w:tcBorders>
              <w:top w:val="single" w:sz="6" w:space="0" w:color="auto"/>
              <w:left w:val="single" w:sz="6" w:space="0" w:color="auto"/>
              <w:bottom w:val="single" w:sz="6" w:space="0" w:color="auto"/>
              <w:right w:val="single" w:sz="6" w:space="0" w:color="auto"/>
            </w:tcBorders>
            <w:shd w:val="clear" w:color="auto" w:fill="FFFFFF"/>
          </w:tcPr>
          <w:p w14:paraId="03E74A2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1570" w:type="dxa"/>
            <w:tcBorders>
              <w:top w:val="single" w:sz="6" w:space="0" w:color="auto"/>
              <w:left w:val="single" w:sz="6" w:space="0" w:color="auto"/>
              <w:bottom w:val="single" w:sz="6" w:space="0" w:color="auto"/>
              <w:right w:val="single" w:sz="6" w:space="0" w:color="auto"/>
            </w:tcBorders>
            <w:shd w:val="clear" w:color="auto" w:fill="FFFFFF"/>
          </w:tcPr>
          <w:p w14:paraId="5B1363A6"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Серийный прожектор</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1E2AFB9"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Прожектор ТПП</w:t>
            </w:r>
          </w:p>
        </w:tc>
      </w:tr>
      <w:tr w:rsidR="007D5DF8" w:rsidRPr="00DB5D0D" w14:paraId="52E308E8" w14:textId="77777777" w:rsidTr="009223E5">
        <w:trPr>
          <w:trHeight w:val="197"/>
        </w:trPr>
        <w:tc>
          <w:tcPr>
            <w:tcW w:w="2016" w:type="dxa"/>
            <w:tcBorders>
              <w:top w:val="single" w:sz="6" w:space="0" w:color="auto"/>
              <w:left w:val="single" w:sz="6" w:space="0" w:color="auto"/>
              <w:bottom w:val="single" w:sz="6" w:space="0" w:color="auto"/>
              <w:right w:val="single" w:sz="6" w:space="0" w:color="auto"/>
            </w:tcBorders>
            <w:shd w:val="clear" w:color="auto" w:fill="FFFFFF"/>
          </w:tcPr>
          <w:p w14:paraId="71FB1800"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Отражательная поверхность</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14:paraId="48D4A578"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Диаметр 200 мм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0DCD4F9"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Диаметр 240 мм</w:t>
            </w:r>
          </w:p>
        </w:tc>
      </w:tr>
      <w:tr w:rsidR="007D5DF8" w:rsidRPr="00DB5D0D" w14:paraId="576FA15B" w14:textId="77777777" w:rsidTr="009223E5">
        <w:trPr>
          <w:trHeight w:val="379"/>
        </w:trPr>
        <w:tc>
          <w:tcPr>
            <w:tcW w:w="2016" w:type="dxa"/>
            <w:tcBorders>
              <w:top w:val="single" w:sz="6" w:space="0" w:color="auto"/>
              <w:left w:val="single" w:sz="6" w:space="0" w:color="auto"/>
              <w:bottom w:val="single" w:sz="6" w:space="0" w:color="auto"/>
              <w:right w:val="single" w:sz="6" w:space="0" w:color="auto"/>
            </w:tcBorders>
            <w:shd w:val="clear" w:color="auto" w:fill="FFFFFF"/>
          </w:tcPr>
          <w:p w14:paraId="6AD98BD0"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Мощность источника освещения</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14:paraId="36D59B1B"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noProof w:val="0"/>
                <w:color w:val="000000" w:themeColor="text1"/>
                <w:sz w:val="16"/>
                <w:szCs w:val="16"/>
              </w:rPr>
              <w:t>100W (12V)</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BAC2E0E"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noProof w:val="0"/>
                <w:color w:val="000000" w:themeColor="text1"/>
                <w:sz w:val="16"/>
                <w:szCs w:val="16"/>
              </w:rPr>
              <w:t>250W (24V)</w:t>
            </w:r>
          </w:p>
        </w:tc>
      </w:tr>
      <w:tr w:rsidR="007D5DF8" w:rsidRPr="00DB5D0D" w14:paraId="1E1F9AEC" w14:textId="77777777" w:rsidTr="009223E5">
        <w:trPr>
          <w:trHeight w:val="192"/>
        </w:trPr>
        <w:tc>
          <w:tcPr>
            <w:tcW w:w="2016" w:type="dxa"/>
            <w:tcBorders>
              <w:top w:val="single" w:sz="6" w:space="0" w:color="auto"/>
              <w:left w:val="single" w:sz="6" w:space="0" w:color="auto"/>
              <w:bottom w:val="single" w:sz="6" w:space="0" w:color="auto"/>
              <w:right w:val="single" w:sz="6" w:space="0" w:color="auto"/>
            </w:tcBorders>
            <w:shd w:val="clear" w:color="auto" w:fill="FFFFFF"/>
          </w:tcPr>
          <w:p w14:paraId="708E0AD4"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Патрон</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14:paraId="14426100"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Двухконтактный</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1900BC0"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Одноконтаюный</w:t>
            </w:r>
          </w:p>
        </w:tc>
      </w:tr>
      <w:tr w:rsidR="007D5DF8" w:rsidRPr="00DB5D0D" w14:paraId="728A4FF7" w14:textId="77777777" w:rsidTr="009223E5">
        <w:trPr>
          <w:trHeight w:val="379"/>
        </w:trPr>
        <w:tc>
          <w:tcPr>
            <w:tcW w:w="2016" w:type="dxa"/>
            <w:tcBorders>
              <w:top w:val="single" w:sz="6" w:space="0" w:color="auto"/>
              <w:left w:val="single" w:sz="6" w:space="0" w:color="auto"/>
              <w:bottom w:val="single" w:sz="6" w:space="0" w:color="auto"/>
              <w:right w:val="single" w:sz="6" w:space="0" w:color="auto"/>
            </w:tcBorders>
            <w:shd w:val="clear" w:color="auto" w:fill="FFFFFF"/>
          </w:tcPr>
          <w:p w14:paraId="3D86FEDD"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Стекло</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14:paraId="7EEC47C9"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Гладкое толщиной 4 мм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498AF29D"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Гладкое толщиной 4 мм</w:t>
            </w:r>
          </w:p>
        </w:tc>
      </w:tr>
      <w:tr w:rsidR="007D5DF8" w:rsidRPr="00DB5D0D" w14:paraId="32A19872" w14:textId="77777777" w:rsidTr="009223E5">
        <w:trPr>
          <w:trHeight w:val="379"/>
        </w:trPr>
        <w:tc>
          <w:tcPr>
            <w:tcW w:w="2016" w:type="dxa"/>
            <w:tcBorders>
              <w:top w:val="single" w:sz="6" w:space="0" w:color="auto"/>
              <w:left w:val="single" w:sz="6" w:space="0" w:color="auto"/>
              <w:bottom w:val="single" w:sz="6" w:space="0" w:color="auto"/>
              <w:right w:val="single" w:sz="6" w:space="0" w:color="auto"/>
            </w:tcBorders>
            <w:shd w:val="clear" w:color="auto" w:fill="FFFFFF"/>
          </w:tcPr>
          <w:p w14:paraId="3F2ABC41"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Крепление прожектора к кронштейну</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14:paraId="6584D776"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Болтом</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44ABF81"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Хомутом</w:t>
            </w:r>
          </w:p>
        </w:tc>
      </w:tr>
      <w:tr w:rsidR="007D5DF8" w:rsidRPr="00DB5D0D" w14:paraId="3CEA45BB" w14:textId="77777777" w:rsidTr="009223E5">
        <w:trPr>
          <w:trHeight w:val="389"/>
        </w:trPr>
        <w:tc>
          <w:tcPr>
            <w:tcW w:w="2016" w:type="dxa"/>
            <w:tcBorders>
              <w:top w:val="single" w:sz="6" w:space="0" w:color="auto"/>
              <w:left w:val="single" w:sz="6" w:space="0" w:color="auto"/>
              <w:bottom w:val="single" w:sz="6" w:space="0" w:color="auto"/>
              <w:right w:val="single" w:sz="6" w:space="0" w:color="auto"/>
            </w:tcBorders>
            <w:shd w:val="clear" w:color="auto" w:fill="FFFFFF"/>
          </w:tcPr>
          <w:p w14:paraId="7C622C6B"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Сечение подводящего провода</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14:paraId="5D4F115C"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2,5 мм</w:t>
            </w:r>
            <w:r w:rsidRPr="00DB5D0D">
              <w:rPr>
                <w:rFonts w:ascii="Times New Roman" w:hAnsi="Times New Roman" w:cs="Times New Roman"/>
                <w:color w:val="000000" w:themeColor="text1"/>
                <w:sz w:val="16"/>
                <w:szCs w:val="16"/>
                <w:vertAlign w:val="superscript"/>
              </w:rPr>
              <w:t>2</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D59E671" w14:textId="77777777" w:rsidR="00A25AD1" w:rsidRPr="00DB5D0D" w:rsidRDefault="00A25AD1" w:rsidP="00DB5D0D">
            <w:pPr>
              <w:pStyle w:val="141"/>
              <w:shd w:val="clear" w:color="auto" w:fill="auto"/>
              <w:spacing w:before="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4 мм</w:t>
            </w:r>
            <w:r w:rsidRPr="00DB5D0D">
              <w:rPr>
                <w:rFonts w:ascii="Times New Roman" w:hAnsi="Times New Roman" w:cs="Times New Roman"/>
                <w:color w:val="000000" w:themeColor="text1"/>
                <w:sz w:val="16"/>
                <w:szCs w:val="16"/>
                <w:vertAlign w:val="superscript"/>
              </w:rPr>
              <w:t>2</w:t>
            </w:r>
          </w:p>
        </w:tc>
      </w:tr>
    </w:tbl>
    <w:p w14:paraId="0281F81F" w14:textId="77777777" w:rsidR="00A25AD1" w:rsidRPr="00DB5D0D" w:rsidRDefault="00A25AD1" w:rsidP="00DB5D0D">
      <w:pPr>
        <w:pStyle w:val="a3"/>
        <w:rPr>
          <w:color w:val="000000" w:themeColor="text1"/>
          <w:lang w:val="ru-RU"/>
        </w:rPr>
      </w:pPr>
      <w:r w:rsidRPr="00DB5D0D">
        <w:rPr>
          <w:color w:val="000000" w:themeColor="text1"/>
          <w:lang w:val="ru-RU"/>
        </w:rPr>
        <w:t>Основными целями испытания прожектора ТПП являлись:</w:t>
      </w:r>
    </w:p>
    <w:p w14:paraId="4F1860ED" w14:textId="77777777" w:rsidR="00A25AD1" w:rsidRPr="00DB5D0D" w:rsidRDefault="00A25AD1" w:rsidP="00DB5D0D">
      <w:pPr>
        <w:pStyle w:val="a3"/>
        <w:tabs>
          <w:tab w:val="left" w:pos="418"/>
        </w:tabs>
        <w:rPr>
          <w:color w:val="000000" w:themeColor="text1"/>
          <w:lang w:val="ru-RU"/>
        </w:rPr>
      </w:pPr>
      <w:r w:rsidRPr="00DB5D0D">
        <w:rPr>
          <w:color w:val="000000" w:themeColor="text1"/>
          <w:lang w:val="ru-RU"/>
        </w:rPr>
        <w:t>- оценка удобства монтажа и регулировки прожектора на ма</w:t>
      </w:r>
      <w:r w:rsidRPr="00DB5D0D">
        <w:rPr>
          <w:color w:val="000000" w:themeColor="text1"/>
          <w:lang w:val="ru-RU"/>
        </w:rPr>
        <w:softHyphen/>
        <w:t>шине;</w:t>
      </w:r>
    </w:p>
    <w:p w14:paraId="754B4F9F" w14:textId="77777777" w:rsidR="00A25AD1" w:rsidRPr="00DB5D0D" w:rsidRDefault="00A25AD1" w:rsidP="00DB5D0D">
      <w:pPr>
        <w:pStyle w:val="a3"/>
        <w:tabs>
          <w:tab w:val="left" w:pos="409"/>
        </w:tabs>
        <w:rPr>
          <w:color w:val="000000" w:themeColor="text1"/>
          <w:lang w:val="ru-RU"/>
        </w:rPr>
      </w:pPr>
      <w:r w:rsidRPr="00DB5D0D">
        <w:rPr>
          <w:color w:val="000000" w:themeColor="text1"/>
          <w:lang w:val="ru-RU"/>
        </w:rPr>
        <w:t>- выяснение качества освещения местности (параллельность лу</w:t>
      </w:r>
      <w:r w:rsidRPr="00DB5D0D">
        <w:rPr>
          <w:color w:val="000000" w:themeColor="text1"/>
          <w:lang w:val="ru-RU"/>
        </w:rPr>
        <w:softHyphen/>
        <w:t>чей, интенсивность и равномерность освещения) при движении и стоянке на различных расстояниях от машины;</w:t>
      </w:r>
    </w:p>
    <w:p w14:paraId="653A6A57" w14:textId="77777777" w:rsidR="00A25AD1" w:rsidRPr="00DB5D0D" w:rsidRDefault="00A25AD1" w:rsidP="00DB5D0D">
      <w:pPr>
        <w:pStyle w:val="a3"/>
        <w:tabs>
          <w:tab w:val="left" w:pos="399"/>
        </w:tabs>
        <w:rPr>
          <w:color w:val="000000" w:themeColor="text1"/>
          <w:lang w:val="ru-RU"/>
        </w:rPr>
      </w:pPr>
      <w:r w:rsidRPr="00DB5D0D">
        <w:rPr>
          <w:color w:val="000000" w:themeColor="text1"/>
          <w:lang w:val="ru-RU"/>
        </w:rPr>
        <w:t>- определение механической прочности отдельных деталей (стек</w:t>
      </w:r>
      <w:r w:rsidRPr="00DB5D0D">
        <w:rPr>
          <w:color w:val="000000" w:themeColor="text1"/>
          <w:lang w:val="ru-RU"/>
        </w:rPr>
        <w:softHyphen/>
        <w:t>ла, электролампы, рефлектора и т.д.), а также механической проч</w:t>
      </w:r>
      <w:r w:rsidRPr="00DB5D0D">
        <w:rPr>
          <w:color w:val="000000" w:themeColor="text1"/>
          <w:lang w:val="ru-RU"/>
        </w:rPr>
        <w:softHyphen/>
        <w:t>ности всей конструкции при работе на машине;</w:t>
      </w:r>
    </w:p>
    <w:p w14:paraId="0D0E74E2" w14:textId="77777777" w:rsidR="00A25AD1" w:rsidRPr="00DB5D0D" w:rsidRDefault="00A25AD1" w:rsidP="00DB5D0D">
      <w:pPr>
        <w:pStyle w:val="a3"/>
        <w:tabs>
          <w:tab w:val="left" w:pos="399"/>
        </w:tabs>
        <w:rPr>
          <w:color w:val="000000" w:themeColor="text1"/>
          <w:lang w:val="ru-RU"/>
        </w:rPr>
      </w:pPr>
      <w:r w:rsidRPr="00DB5D0D">
        <w:rPr>
          <w:color w:val="000000" w:themeColor="text1"/>
          <w:lang w:val="ru-RU"/>
        </w:rPr>
        <w:t>- определение влияния выстрела на стекло, электролампу и креп</w:t>
      </w:r>
      <w:r w:rsidRPr="00DB5D0D">
        <w:rPr>
          <w:color w:val="000000" w:themeColor="text1"/>
          <w:lang w:val="ru-RU"/>
        </w:rPr>
        <w:softHyphen/>
        <w:t>ление прожектора на системе.</w:t>
      </w:r>
    </w:p>
    <w:p w14:paraId="7EA6BD71" w14:textId="77777777" w:rsidR="00A25AD1" w:rsidRPr="00DB5D0D" w:rsidRDefault="00A25AD1" w:rsidP="00DB5D0D">
      <w:pPr>
        <w:pStyle w:val="a3"/>
        <w:rPr>
          <w:color w:val="000000" w:themeColor="text1"/>
          <w:lang w:val="ru-RU"/>
        </w:rPr>
      </w:pPr>
      <w:r w:rsidRPr="00DB5D0D">
        <w:rPr>
          <w:color w:val="000000" w:themeColor="text1"/>
          <w:lang w:val="ru-RU"/>
        </w:rPr>
        <w:t>Испытания прошли по утвержденной программе и включали в себя следующие этапы:</w:t>
      </w:r>
    </w:p>
    <w:p w14:paraId="5DBE92DB" w14:textId="77777777" w:rsidR="00A25AD1" w:rsidRPr="00DB5D0D" w:rsidRDefault="00A25AD1" w:rsidP="00DB5D0D">
      <w:pPr>
        <w:pStyle w:val="a3"/>
        <w:tabs>
          <w:tab w:val="left" w:pos="473"/>
        </w:tabs>
        <w:rPr>
          <w:color w:val="000000" w:themeColor="text1"/>
          <w:lang w:val="ru-RU"/>
        </w:rPr>
      </w:pPr>
      <w:r w:rsidRPr="00DB5D0D">
        <w:rPr>
          <w:color w:val="000000" w:themeColor="text1"/>
          <w:lang w:val="ru-RU"/>
        </w:rPr>
        <w:t>1. Установка прожектора ТПП.</w:t>
      </w:r>
    </w:p>
    <w:p w14:paraId="7314D0AB" w14:textId="77777777" w:rsidR="00A25AD1" w:rsidRPr="00DB5D0D" w:rsidRDefault="00A25AD1" w:rsidP="00DB5D0D">
      <w:pPr>
        <w:pStyle w:val="a3"/>
        <w:rPr>
          <w:color w:val="000000" w:themeColor="text1"/>
          <w:lang w:val="ru-RU"/>
        </w:rPr>
      </w:pPr>
      <w:r w:rsidRPr="00DB5D0D">
        <w:rPr>
          <w:color w:val="000000" w:themeColor="text1"/>
          <w:lang w:val="ru-RU"/>
        </w:rPr>
        <w:t>Опытный прожектор ТПП 17 февраля 1940 г. был установлен на машину БТ-7М (заводской номер 327-45) для проведения испыта</w:t>
      </w:r>
      <w:r w:rsidRPr="00DB5D0D">
        <w:rPr>
          <w:color w:val="000000" w:themeColor="text1"/>
          <w:lang w:val="ru-RU"/>
        </w:rPr>
        <w:softHyphen/>
        <w:t>ния на гарантийный километраж. С системой прожектор соединялся при помощи установочного кронштейна, жестко закрепленного на бронировке 45-мм пушки. Недостатком такой конструкции являлось то, что кронштейн позволял производить регулировку направления прожектора только в горизонтальной плоскости (путем поворачива</w:t>
      </w:r>
      <w:r w:rsidRPr="00DB5D0D">
        <w:rPr>
          <w:color w:val="000000" w:themeColor="text1"/>
          <w:lang w:val="ru-RU"/>
        </w:rPr>
        <w:softHyphen/>
        <w:t>ния ТПП в хомуте), регулировка же в вертикальной плоскости при данной конструкции кронштейна была невозможна.</w:t>
      </w:r>
    </w:p>
    <w:p w14:paraId="00962CA8" w14:textId="77777777" w:rsidR="00A25AD1" w:rsidRPr="00DB5D0D" w:rsidRDefault="00A25AD1" w:rsidP="00DB5D0D">
      <w:pPr>
        <w:pStyle w:val="a3"/>
        <w:tabs>
          <w:tab w:val="left" w:pos="495"/>
        </w:tabs>
        <w:rPr>
          <w:color w:val="000000" w:themeColor="text1"/>
          <w:lang w:val="ru-RU"/>
        </w:rPr>
      </w:pPr>
      <w:r w:rsidRPr="00DB5D0D">
        <w:rPr>
          <w:color w:val="000000" w:themeColor="text1"/>
          <w:lang w:val="ru-RU"/>
        </w:rPr>
        <w:t>2. Испытание прожектора ТПП на тряску на машине БТ-7М в те</w:t>
      </w:r>
      <w:r w:rsidRPr="00DB5D0D">
        <w:rPr>
          <w:color w:val="000000" w:themeColor="text1"/>
          <w:lang w:val="ru-RU"/>
        </w:rPr>
        <w:softHyphen/>
        <w:t>чение ее гарантийного пробега.</w:t>
      </w:r>
    </w:p>
    <w:p w14:paraId="1C3BD850" w14:textId="77777777" w:rsidR="00A25AD1" w:rsidRPr="00DB5D0D" w:rsidRDefault="00A25AD1" w:rsidP="00DB5D0D">
      <w:pPr>
        <w:pStyle w:val="a3"/>
        <w:rPr>
          <w:color w:val="000000" w:themeColor="text1"/>
          <w:lang w:val="ru-RU"/>
        </w:rPr>
      </w:pPr>
      <w:r w:rsidRPr="00DB5D0D">
        <w:rPr>
          <w:color w:val="000000" w:themeColor="text1"/>
          <w:lang w:val="ru-RU"/>
        </w:rPr>
        <w:t>В период с 22 февраля по 26 апреля 1940 г. танк БТ-7М №327-45 с установленным прожектором ТПП прошел гарантийный пробег в 2563 км. В течение всего пробега электролампа в прожекторе отсут</w:t>
      </w:r>
      <w:r w:rsidRPr="00DB5D0D">
        <w:rPr>
          <w:color w:val="000000" w:themeColor="text1"/>
          <w:lang w:val="ru-RU"/>
        </w:rPr>
        <w:softHyphen/>
        <w:t>ствовала, так как повреждение имевшейся лампы и отсутствие ламп в запасе могло прервать дальнейшее испытание ТПП. После прой</w:t>
      </w:r>
      <w:r w:rsidRPr="00DB5D0D">
        <w:rPr>
          <w:color w:val="000000" w:themeColor="text1"/>
          <w:lang w:val="ru-RU"/>
        </w:rPr>
        <w:softHyphen/>
        <w:t>денных машиной 1444 км, из-за поломки шпильки в штепсельном гнезде, произошедшей вследствие тряски, прожектор ТПП был от</w:t>
      </w:r>
      <w:r w:rsidRPr="00DB5D0D">
        <w:rPr>
          <w:color w:val="000000" w:themeColor="text1"/>
          <w:lang w:val="ru-RU"/>
        </w:rPr>
        <w:softHyphen/>
        <w:t>ремонтирован. Других неполадок прожектора в ходе пробега не на</w:t>
      </w:r>
      <w:r w:rsidRPr="00DB5D0D">
        <w:rPr>
          <w:color w:val="000000" w:themeColor="text1"/>
          <w:lang w:val="ru-RU"/>
        </w:rPr>
        <w:softHyphen/>
        <w:t>блюдалось.</w:t>
      </w:r>
    </w:p>
    <w:p w14:paraId="3EE64024" w14:textId="77777777" w:rsidR="00A25AD1" w:rsidRPr="00DB5D0D" w:rsidRDefault="00A25AD1" w:rsidP="00DB5D0D">
      <w:pPr>
        <w:pStyle w:val="a3"/>
        <w:tabs>
          <w:tab w:val="left" w:pos="482"/>
        </w:tabs>
        <w:rPr>
          <w:color w:val="000000" w:themeColor="text1"/>
          <w:lang w:val="ru-RU"/>
        </w:rPr>
      </w:pPr>
      <w:r w:rsidRPr="00DB5D0D">
        <w:rPr>
          <w:color w:val="000000" w:themeColor="text1"/>
          <w:lang w:val="ru-RU"/>
        </w:rPr>
        <w:t>3. Специальные испытания в ночных условиях.</w:t>
      </w:r>
    </w:p>
    <w:p w14:paraId="22378A92" w14:textId="77777777" w:rsidR="00A25AD1" w:rsidRPr="00DB5D0D" w:rsidRDefault="00A25AD1" w:rsidP="00DB5D0D">
      <w:pPr>
        <w:pStyle w:val="a3"/>
        <w:rPr>
          <w:color w:val="000000" w:themeColor="text1"/>
          <w:lang w:val="ru-RU"/>
        </w:rPr>
      </w:pPr>
      <w:r w:rsidRPr="00DB5D0D">
        <w:rPr>
          <w:color w:val="000000" w:themeColor="text1"/>
          <w:lang w:val="ru-RU"/>
        </w:rPr>
        <w:t>5 мая 1940 г., после окончания гарантийных испытаний БТ-7М №327-45, прожектор ТПП подвергли ночным испытаниям, в резуль</w:t>
      </w:r>
      <w:r w:rsidRPr="00DB5D0D">
        <w:rPr>
          <w:color w:val="000000" w:themeColor="text1"/>
          <w:lang w:val="ru-RU"/>
        </w:rPr>
        <w:softHyphen/>
        <w:t>тате которых были получены следующие результаты.</w:t>
      </w:r>
    </w:p>
    <w:p w14:paraId="47CBCAF8" w14:textId="77777777" w:rsidR="00A25AD1" w:rsidRPr="00DB5D0D" w:rsidRDefault="00A25AD1" w:rsidP="00DB5D0D">
      <w:pPr>
        <w:pStyle w:val="a3"/>
        <w:rPr>
          <w:color w:val="000000" w:themeColor="text1"/>
          <w:lang w:val="ru-RU"/>
        </w:rPr>
      </w:pPr>
      <w:r w:rsidRPr="00DB5D0D">
        <w:rPr>
          <w:color w:val="000000" w:themeColor="text1"/>
          <w:lang w:val="ru-RU"/>
        </w:rPr>
        <w:t>Мишень, находившаяся от машины на расстоянии до 300 м, ос</w:t>
      </w:r>
      <w:r w:rsidRPr="00DB5D0D">
        <w:rPr>
          <w:color w:val="000000" w:themeColor="text1"/>
          <w:lang w:val="ru-RU"/>
        </w:rPr>
        <w:softHyphen/>
        <w:t>вещалась прожектором хорошо, видимость мишени на таком рас</w:t>
      </w:r>
      <w:r w:rsidRPr="00DB5D0D">
        <w:rPr>
          <w:color w:val="000000" w:themeColor="text1"/>
          <w:lang w:val="ru-RU"/>
        </w:rPr>
        <w:softHyphen/>
        <w:t>стоянии через оптический прицел была признана хорошей.</w:t>
      </w:r>
    </w:p>
    <w:p w14:paraId="70367451" w14:textId="77777777" w:rsidR="00A25AD1" w:rsidRPr="00DB5D0D" w:rsidRDefault="00A25AD1" w:rsidP="00DB5D0D">
      <w:pPr>
        <w:pStyle w:val="a3"/>
        <w:rPr>
          <w:color w:val="000000" w:themeColor="text1"/>
          <w:lang w:val="ru-RU"/>
        </w:rPr>
      </w:pPr>
      <w:r w:rsidRPr="00DB5D0D">
        <w:rPr>
          <w:color w:val="000000" w:themeColor="text1"/>
          <w:lang w:val="ru-RU"/>
        </w:rPr>
        <w:t>Мишень, находившаяся от машины на расстоянии от 300 до 500 м, освещалась прожектором удовлетворительно, при этом ви</w:t>
      </w:r>
      <w:r w:rsidRPr="00DB5D0D">
        <w:rPr>
          <w:color w:val="000000" w:themeColor="text1"/>
          <w:lang w:val="ru-RU"/>
        </w:rPr>
        <w:softHyphen/>
        <w:t>димость мишени через оптический прицел на таком расстоянии зна</w:t>
      </w:r>
      <w:r w:rsidRPr="00DB5D0D">
        <w:rPr>
          <w:color w:val="000000" w:themeColor="text1"/>
          <w:lang w:val="ru-RU"/>
        </w:rPr>
        <w:softHyphen/>
        <w:t>чительно ухудшалась. Прицеливание по крупным мишеням в таких условиях было признано возможным, но затруднительным.</w:t>
      </w:r>
    </w:p>
    <w:p w14:paraId="74193AAA" w14:textId="77777777" w:rsidR="00A25AD1" w:rsidRPr="00DB5D0D" w:rsidRDefault="00A25AD1" w:rsidP="00DB5D0D">
      <w:pPr>
        <w:pStyle w:val="a3"/>
        <w:rPr>
          <w:color w:val="000000" w:themeColor="text1"/>
          <w:lang w:val="ru-RU"/>
        </w:rPr>
      </w:pPr>
      <w:r w:rsidRPr="00DB5D0D">
        <w:rPr>
          <w:color w:val="000000" w:themeColor="text1"/>
          <w:lang w:val="ru-RU"/>
        </w:rPr>
        <w:t>Прицеливание через оптический прицел по мишеням, освещен</w:t>
      </w:r>
      <w:r w:rsidRPr="00DB5D0D">
        <w:rPr>
          <w:color w:val="000000" w:themeColor="text1"/>
          <w:lang w:val="ru-RU"/>
        </w:rPr>
        <w:softHyphen/>
        <w:t>ным прожектором ТПП на расстоянии более 500 м, признали невоз</w:t>
      </w:r>
      <w:r w:rsidRPr="00DB5D0D">
        <w:rPr>
          <w:color w:val="000000" w:themeColor="text1"/>
          <w:lang w:val="ru-RU"/>
        </w:rPr>
        <w:softHyphen/>
        <w:t>можным ввиду слабого освещения цели.</w:t>
      </w:r>
    </w:p>
    <w:p w14:paraId="06EC73B0" w14:textId="77777777" w:rsidR="00A25AD1" w:rsidRPr="00DB5D0D" w:rsidRDefault="00A25AD1" w:rsidP="00DB5D0D">
      <w:pPr>
        <w:pStyle w:val="a3"/>
        <w:rPr>
          <w:color w:val="000000" w:themeColor="text1"/>
          <w:lang w:val="ru-RU"/>
        </w:rPr>
      </w:pPr>
      <w:r w:rsidRPr="00DB5D0D">
        <w:rPr>
          <w:color w:val="000000" w:themeColor="text1"/>
          <w:lang w:val="ru-RU"/>
        </w:rPr>
        <w:t>После проведения ночных испытаний прожектор ТПП сняли с машины и разобрали для осмотра, в результате которого было об</w:t>
      </w:r>
      <w:r w:rsidRPr="00DB5D0D">
        <w:rPr>
          <w:color w:val="000000" w:themeColor="text1"/>
          <w:lang w:val="ru-RU"/>
        </w:rPr>
        <w:softHyphen/>
        <w:t>наружено:</w:t>
      </w:r>
    </w:p>
    <w:p w14:paraId="381ED804" w14:textId="77777777" w:rsidR="00A25AD1" w:rsidRPr="00DB5D0D" w:rsidRDefault="00A25AD1" w:rsidP="00DB5D0D">
      <w:pPr>
        <w:pStyle w:val="a3"/>
        <w:tabs>
          <w:tab w:val="left" w:pos="490"/>
        </w:tabs>
        <w:rPr>
          <w:color w:val="000000" w:themeColor="text1"/>
          <w:lang w:val="ru-RU"/>
        </w:rPr>
      </w:pPr>
      <w:r w:rsidRPr="00DB5D0D">
        <w:rPr>
          <w:color w:val="000000" w:themeColor="text1"/>
          <w:lang w:val="ru-RU"/>
        </w:rPr>
        <w:t>а) вследствие неравномерного нагрева лопнуло стекло рефлек</w:t>
      </w:r>
      <w:r w:rsidRPr="00DB5D0D">
        <w:rPr>
          <w:color w:val="000000" w:themeColor="text1"/>
          <w:lang w:val="ru-RU"/>
        </w:rPr>
        <w:softHyphen/>
        <w:t>тора.</w:t>
      </w:r>
    </w:p>
    <w:p w14:paraId="1251EA52" w14:textId="77777777" w:rsidR="00A25AD1" w:rsidRPr="00DB5D0D" w:rsidRDefault="00A25AD1" w:rsidP="00DB5D0D">
      <w:pPr>
        <w:pStyle w:val="a3"/>
        <w:tabs>
          <w:tab w:val="left" w:pos="481"/>
        </w:tabs>
        <w:rPr>
          <w:color w:val="000000" w:themeColor="text1"/>
          <w:lang w:val="ru-RU"/>
        </w:rPr>
      </w:pPr>
      <w:r w:rsidRPr="00DB5D0D">
        <w:rPr>
          <w:color w:val="000000" w:themeColor="text1"/>
          <w:lang w:val="ru-RU"/>
        </w:rPr>
        <w:t>б) внутренняя и наружная поверхности защитной полусферы, рас</w:t>
      </w:r>
      <w:r w:rsidRPr="00DB5D0D">
        <w:rPr>
          <w:color w:val="000000" w:themeColor="text1"/>
          <w:lang w:val="ru-RU"/>
        </w:rPr>
        <w:softHyphen/>
        <w:t>положенные около электролампы, проржавели.</w:t>
      </w:r>
    </w:p>
    <w:p w14:paraId="6B970F99" w14:textId="77777777" w:rsidR="00A25AD1" w:rsidRPr="00DB5D0D" w:rsidRDefault="00A25AD1" w:rsidP="00DB5D0D">
      <w:pPr>
        <w:pStyle w:val="a3"/>
        <w:tabs>
          <w:tab w:val="left" w:pos="500"/>
        </w:tabs>
        <w:rPr>
          <w:color w:val="000000" w:themeColor="text1"/>
          <w:lang w:val="ru-RU"/>
        </w:rPr>
      </w:pPr>
      <w:r w:rsidRPr="00DB5D0D">
        <w:rPr>
          <w:color w:val="000000" w:themeColor="text1"/>
          <w:lang w:val="ru-RU"/>
        </w:rPr>
        <w:t>в) из-за тряски отошли винты, присоединяющие электропрово</w:t>
      </w:r>
      <w:r w:rsidRPr="00DB5D0D">
        <w:rPr>
          <w:color w:val="000000" w:themeColor="text1"/>
          <w:lang w:val="ru-RU"/>
        </w:rPr>
        <w:softHyphen/>
        <w:t>да к патрону рефлектора.</w:t>
      </w:r>
    </w:p>
    <w:p w14:paraId="1D3E492F" w14:textId="77777777" w:rsidR="00A25AD1" w:rsidRPr="00DB5D0D" w:rsidRDefault="00A25AD1" w:rsidP="00DB5D0D">
      <w:pPr>
        <w:pStyle w:val="a3"/>
        <w:tabs>
          <w:tab w:val="left" w:pos="476"/>
        </w:tabs>
        <w:rPr>
          <w:color w:val="000000" w:themeColor="text1"/>
          <w:lang w:val="ru-RU"/>
        </w:rPr>
      </w:pPr>
      <w:r w:rsidRPr="00DB5D0D">
        <w:rPr>
          <w:color w:val="000000" w:themeColor="text1"/>
          <w:lang w:val="ru-RU"/>
        </w:rPr>
        <w:t>г) прожектор ТПП находится в хорошем состоянии и после уст</w:t>
      </w:r>
      <w:r w:rsidRPr="00DB5D0D">
        <w:rPr>
          <w:color w:val="000000" w:themeColor="text1"/>
          <w:lang w:val="ru-RU"/>
        </w:rPr>
        <w:softHyphen/>
        <w:t>ранения указанных дефектов может быть пригоден к дальнейшей работе.</w:t>
      </w:r>
    </w:p>
    <w:p w14:paraId="798A596D" w14:textId="77777777" w:rsidR="00A25AD1" w:rsidRPr="00DB5D0D" w:rsidRDefault="00A25AD1" w:rsidP="00DB5D0D">
      <w:pPr>
        <w:pStyle w:val="a3"/>
        <w:rPr>
          <w:color w:val="000000" w:themeColor="text1"/>
          <w:lang w:val="ru-RU"/>
        </w:rPr>
      </w:pPr>
      <w:r w:rsidRPr="00DB5D0D">
        <w:rPr>
          <w:color w:val="000000" w:themeColor="text1"/>
          <w:lang w:val="ru-RU"/>
        </w:rPr>
        <w:t>Испытания по определению влияния выстрела на прочность про</w:t>
      </w:r>
      <w:r w:rsidRPr="00DB5D0D">
        <w:rPr>
          <w:color w:val="000000" w:themeColor="text1"/>
          <w:lang w:val="ru-RU"/>
        </w:rPr>
        <w:softHyphen/>
        <w:t>жектора ТПП было решено не проводить, так как в ноябре 1939 г. на БТ-7 №610-45 с установленным прожектором ТПП было произведе</w:t>
      </w:r>
      <w:r w:rsidRPr="00DB5D0D">
        <w:rPr>
          <w:color w:val="000000" w:themeColor="text1"/>
          <w:lang w:val="ru-RU"/>
        </w:rPr>
        <w:softHyphen/>
        <w:t>но 100 выстрелов из 45-мм пушки, и при этом повреждений стекла, электролампы и всего прожектора обнаружено не было.</w:t>
      </w:r>
    </w:p>
    <w:p w14:paraId="4B95A422" w14:textId="77777777" w:rsidR="00A25AD1" w:rsidRPr="00DB5D0D" w:rsidRDefault="00A25AD1" w:rsidP="00DB5D0D">
      <w:pPr>
        <w:pStyle w:val="a3"/>
        <w:rPr>
          <w:color w:val="000000" w:themeColor="text1"/>
          <w:lang w:val="ru-RU"/>
        </w:rPr>
      </w:pPr>
      <w:r w:rsidRPr="00DB5D0D">
        <w:rPr>
          <w:color w:val="000000" w:themeColor="text1"/>
          <w:lang w:val="ru-RU"/>
        </w:rPr>
        <w:t>В конечном итоге, по результатам испытаний, комиссией были сделаны следующие выводы и заключения:</w:t>
      </w:r>
    </w:p>
    <w:p w14:paraId="46C677CE"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rStyle w:val="2020"/>
          <w:bCs/>
          <w:iCs/>
          <w:color w:val="000000" w:themeColor="text1"/>
          <w:sz w:val="16"/>
          <w:szCs w:val="16"/>
          <w:lang w:val="ru-RU"/>
        </w:rPr>
        <w:t>ВЫВОДЫ</w:t>
      </w:r>
    </w:p>
    <w:p w14:paraId="46EEF04E"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Испытания прожектора ТПП показали, что этот тип прожекторов имеет следующие конструктивные недоработки:</w:t>
      </w:r>
    </w:p>
    <w:p w14:paraId="5785AB57" w14:textId="77777777" w:rsidR="00A25AD1" w:rsidRPr="00DB5D0D" w:rsidRDefault="00A25AD1" w:rsidP="00DB5D0D">
      <w:pPr>
        <w:pStyle w:val="201"/>
        <w:shd w:val="clear" w:color="auto" w:fill="auto"/>
        <w:tabs>
          <w:tab w:val="left" w:pos="51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1)Ненадежная защита стекла прожектора от чрезмерных пере</w:t>
      </w:r>
      <w:r w:rsidRPr="00DB5D0D">
        <w:rPr>
          <w:b w:val="0"/>
          <w:bCs w:val="0"/>
          <w:i w:val="0"/>
          <w:iCs w:val="0"/>
          <w:color w:val="000000" w:themeColor="text1"/>
          <w:sz w:val="16"/>
          <w:szCs w:val="16"/>
          <w:lang w:val="ru-RU"/>
        </w:rPr>
        <w:softHyphen/>
        <w:t>греваний при включенной эл. лампе.</w:t>
      </w:r>
    </w:p>
    <w:p w14:paraId="3E0AFBA0" w14:textId="77777777" w:rsidR="00A25AD1" w:rsidRPr="00DB5D0D" w:rsidRDefault="00A25AD1" w:rsidP="00DB5D0D">
      <w:pPr>
        <w:pStyle w:val="201"/>
        <w:shd w:val="clear" w:color="auto" w:fill="auto"/>
        <w:tabs>
          <w:tab w:val="left" w:pos="50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2)Отсутствует уплотнение между крышкой рефлектора, в кото</w:t>
      </w:r>
      <w:r w:rsidRPr="00DB5D0D">
        <w:rPr>
          <w:b w:val="0"/>
          <w:bCs w:val="0"/>
          <w:i w:val="0"/>
          <w:iCs w:val="0"/>
          <w:color w:val="000000" w:themeColor="text1"/>
          <w:sz w:val="16"/>
          <w:szCs w:val="16"/>
          <w:lang w:val="ru-RU"/>
        </w:rPr>
        <w:softHyphen/>
        <w:t>рой укреплено стекло, и корпусом ТПП, вследствие чего внутрь про</w:t>
      </w:r>
      <w:r w:rsidRPr="00DB5D0D">
        <w:rPr>
          <w:b w:val="0"/>
          <w:bCs w:val="0"/>
          <w:i w:val="0"/>
          <w:iCs w:val="0"/>
          <w:color w:val="000000" w:themeColor="text1"/>
          <w:sz w:val="16"/>
          <w:szCs w:val="16"/>
          <w:lang w:val="ru-RU"/>
        </w:rPr>
        <w:softHyphen/>
        <w:t>жектора возможно проникновение влаги.</w:t>
      </w:r>
    </w:p>
    <w:p w14:paraId="46640CDB" w14:textId="77777777" w:rsidR="00A25AD1" w:rsidRPr="00DB5D0D" w:rsidRDefault="00A25AD1" w:rsidP="00DB5D0D">
      <w:pPr>
        <w:pStyle w:val="201"/>
        <w:shd w:val="clear" w:color="auto" w:fill="auto"/>
        <w:tabs>
          <w:tab w:val="left" w:pos="50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3)Ненадежное присоединение эл. проводов к патрону. Провода необходимо крепить при помощи винтов с плоской головкой и пре</w:t>
      </w:r>
      <w:r w:rsidRPr="00DB5D0D">
        <w:rPr>
          <w:b w:val="0"/>
          <w:bCs w:val="0"/>
          <w:i w:val="0"/>
          <w:iCs w:val="0"/>
          <w:color w:val="000000" w:themeColor="text1"/>
          <w:sz w:val="16"/>
          <w:szCs w:val="16"/>
          <w:lang w:val="ru-RU"/>
        </w:rPr>
        <w:softHyphen/>
        <w:t>дохранить их от самовыворачивания. На все провода необходимо напаивать наконечники.</w:t>
      </w:r>
    </w:p>
    <w:p w14:paraId="074DFE56" w14:textId="77777777" w:rsidR="00A25AD1" w:rsidRPr="00DB5D0D" w:rsidRDefault="00A25AD1" w:rsidP="00DB5D0D">
      <w:pPr>
        <w:pStyle w:val="201"/>
        <w:shd w:val="clear" w:color="auto" w:fill="auto"/>
        <w:tabs>
          <w:tab w:val="left" w:pos="490"/>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4)Шпильки для крепления прожектора в гнезде не обеспечива</w:t>
      </w:r>
      <w:r w:rsidRPr="00DB5D0D">
        <w:rPr>
          <w:b w:val="0"/>
          <w:bCs w:val="0"/>
          <w:i w:val="0"/>
          <w:iCs w:val="0"/>
          <w:color w:val="000000" w:themeColor="text1"/>
          <w:sz w:val="16"/>
          <w:szCs w:val="16"/>
          <w:lang w:val="ru-RU"/>
        </w:rPr>
        <w:softHyphen/>
        <w:t>ют надежного крепления ТПП на системе. При затяжке гаек шпильки вываливаются из мест приварки их в гнезде.</w:t>
      </w:r>
    </w:p>
    <w:p w14:paraId="5622D560" w14:textId="77777777" w:rsidR="00A25AD1" w:rsidRPr="00DB5D0D" w:rsidRDefault="00A25AD1" w:rsidP="00DB5D0D">
      <w:pPr>
        <w:pStyle w:val="201"/>
        <w:shd w:val="clear" w:color="auto" w:fill="auto"/>
        <w:tabs>
          <w:tab w:val="left" w:pos="50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5)Ввиду того, что при данных испытаниях констатировано пло</w:t>
      </w:r>
      <w:r w:rsidRPr="00DB5D0D">
        <w:rPr>
          <w:b w:val="0"/>
          <w:bCs w:val="0"/>
          <w:i w:val="0"/>
          <w:iCs w:val="0"/>
          <w:color w:val="000000" w:themeColor="text1"/>
          <w:sz w:val="16"/>
          <w:szCs w:val="16"/>
          <w:lang w:val="ru-RU"/>
        </w:rPr>
        <w:softHyphen/>
        <w:t>хое освещение прожектором объектов на расстоянии 500 мт и бо</w:t>
      </w:r>
      <w:r w:rsidRPr="00DB5D0D">
        <w:rPr>
          <w:b w:val="0"/>
          <w:bCs w:val="0"/>
          <w:i w:val="0"/>
          <w:iCs w:val="0"/>
          <w:color w:val="000000" w:themeColor="text1"/>
          <w:sz w:val="16"/>
          <w:szCs w:val="16"/>
          <w:lang w:val="ru-RU"/>
        </w:rPr>
        <w:softHyphen/>
        <w:t>лее, есть основание предполагать, что в данном прожекторе неточ</w:t>
      </w:r>
      <w:r w:rsidRPr="00DB5D0D">
        <w:rPr>
          <w:b w:val="0"/>
          <w:bCs w:val="0"/>
          <w:i w:val="0"/>
          <w:iCs w:val="0"/>
          <w:color w:val="000000" w:themeColor="text1"/>
          <w:sz w:val="16"/>
          <w:szCs w:val="16"/>
          <w:lang w:val="ru-RU"/>
        </w:rPr>
        <w:softHyphen/>
        <w:t>но выдержано фокусное расстояние в связи с применением не од</w:t>
      </w:r>
      <w:r w:rsidRPr="00DB5D0D">
        <w:rPr>
          <w:b w:val="0"/>
          <w:bCs w:val="0"/>
          <w:i w:val="0"/>
          <w:iCs w:val="0"/>
          <w:color w:val="000000" w:themeColor="text1"/>
          <w:sz w:val="16"/>
          <w:szCs w:val="16"/>
          <w:lang w:val="ru-RU"/>
        </w:rPr>
        <w:softHyphen/>
        <w:t>ной и той же эл. лампы при регулировке ТПП на з-де Электросвет и при испытаниях. Патрон прожектора ТПП должен иметь приспособ</w:t>
      </w:r>
      <w:r w:rsidRPr="00DB5D0D">
        <w:rPr>
          <w:b w:val="0"/>
          <w:bCs w:val="0"/>
          <w:i w:val="0"/>
          <w:iCs w:val="0"/>
          <w:color w:val="000000" w:themeColor="text1"/>
          <w:sz w:val="16"/>
          <w:szCs w:val="16"/>
          <w:lang w:val="ru-RU"/>
        </w:rPr>
        <w:softHyphen/>
        <w:t>ление для регулировки фокусного расстояния в соответствии с по</w:t>
      </w:r>
      <w:r w:rsidRPr="00DB5D0D">
        <w:rPr>
          <w:b w:val="0"/>
          <w:bCs w:val="0"/>
          <w:i w:val="0"/>
          <w:iCs w:val="0"/>
          <w:color w:val="000000" w:themeColor="text1"/>
          <w:sz w:val="16"/>
          <w:szCs w:val="16"/>
          <w:lang w:val="ru-RU"/>
        </w:rPr>
        <w:softHyphen/>
        <w:t>ставленной в прожектор эл. лампой.</w:t>
      </w:r>
    </w:p>
    <w:p w14:paraId="11609D31"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rStyle w:val="2020"/>
          <w:bCs/>
          <w:iCs/>
          <w:color w:val="000000" w:themeColor="text1"/>
          <w:sz w:val="16"/>
          <w:szCs w:val="16"/>
          <w:lang w:val="ru-RU"/>
        </w:rPr>
        <w:t xml:space="preserve">Дефекты электролампы </w:t>
      </w:r>
      <w:r w:rsidRPr="00DB5D0D">
        <w:rPr>
          <w:rStyle w:val="2020"/>
          <w:bCs/>
          <w:iCs/>
          <w:noProof w:val="0"/>
          <w:color w:val="000000" w:themeColor="text1"/>
          <w:sz w:val="16"/>
          <w:szCs w:val="16"/>
          <w:lang w:val="ru-RU"/>
        </w:rPr>
        <w:t>250</w:t>
      </w:r>
      <w:r w:rsidRPr="00DB5D0D">
        <w:rPr>
          <w:rStyle w:val="2020"/>
          <w:bCs/>
          <w:iCs/>
          <w:noProof w:val="0"/>
          <w:color w:val="000000" w:themeColor="text1"/>
          <w:sz w:val="16"/>
          <w:szCs w:val="16"/>
        </w:rPr>
        <w:t>W</w:t>
      </w:r>
      <w:r w:rsidRPr="00DB5D0D">
        <w:rPr>
          <w:rStyle w:val="2020"/>
          <w:bCs/>
          <w:iCs/>
          <w:noProof w:val="0"/>
          <w:color w:val="000000" w:themeColor="text1"/>
          <w:sz w:val="16"/>
          <w:szCs w:val="16"/>
          <w:lang w:val="ru-RU"/>
        </w:rPr>
        <w:t>24</w:t>
      </w:r>
      <w:r w:rsidRPr="00DB5D0D">
        <w:rPr>
          <w:rStyle w:val="2020"/>
          <w:bCs/>
          <w:iCs/>
          <w:noProof w:val="0"/>
          <w:color w:val="000000" w:themeColor="text1"/>
          <w:sz w:val="16"/>
          <w:szCs w:val="16"/>
        </w:rPr>
        <w:t>B</w:t>
      </w:r>
    </w:p>
    <w:p w14:paraId="427B280F" w14:textId="77777777" w:rsidR="00A25AD1" w:rsidRPr="00DB5D0D" w:rsidRDefault="00A25AD1" w:rsidP="00DB5D0D">
      <w:pPr>
        <w:pStyle w:val="201"/>
        <w:shd w:val="clear" w:color="auto" w:fill="auto"/>
        <w:tabs>
          <w:tab w:val="left" w:pos="495"/>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lastRenderedPageBreak/>
        <w:t>1)Ненадежное крепление нахальной нити электролампы. От тряс</w:t>
      </w:r>
      <w:r w:rsidRPr="00DB5D0D">
        <w:rPr>
          <w:b w:val="0"/>
          <w:bCs w:val="0"/>
          <w:i w:val="0"/>
          <w:iCs w:val="0"/>
          <w:color w:val="000000" w:themeColor="text1"/>
          <w:sz w:val="16"/>
          <w:szCs w:val="16"/>
          <w:lang w:val="ru-RU"/>
        </w:rPr>
        <w:softHyphen/>
        <w:t>ки на машине нить обрывается в местах приварки ее к стойкам. Креп</w:t>
      </w:r>
      <w:r w:rsidRPr="00DB5D0D">
        <w:rPr>
          <w:b w:val="0"/>
          <w:bCs w:val="0"/>
          <w:i w:val="0"/>
          <w:iCs w:val="0"/>
          <w:color w:val="000000" w:themeColor="text1"/>
          <w:sz w:val="16"/>
          <w:szCs w:val="16"/>
          <w:lang w:val="ru-RU"/>
        </w:rPr>
        <w:softHyphen/>
        <w:t>ление стоек в местах приварки к стеклянному держателю также не надежно, от тряски стойки обламываются.</w:t>
      </w:r>
    </w:p>
    <w:p w14:paraId="09BC9754" w14:textId="77777777" w:rsidR="00A25AD1" w:rsidRPr="00DB5D0D" w:rsidRDefault="00A25AD1" w:rsidP="00DB5D0D">
      <w:pPr>
        <w:pStyle w:val="201"/>
        <w:shd w:val="clear" w:color="auto" w:fill="auto"/>
        <w:tabs>
          <w:tab w:val="left" w:pos="538"/>
        </w:tabs>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2)Выступы на цоколе лампы, удерживающие ее в патроне, непрочны. При вдевании лампы в патрон эти выступы деформи</w:t>
      </w:r>
      <w:r w:rsidRPr="00DB5D0D">
        <w:rPr>
          <w:b w:val="0"/>
          <w:bCs w:val="0"/>
          <w:i w:val="0"/>
          <w:iCs w:val="0"/>
          <w:color w:val="000000" w:themeColor="text1"/>
          <w:sz w:val="16"/>
          <w:szCs w:val="16"/>
          <w:lang w:val="ru-RU"/>
        </w:rPr>
        <w:softHyphen/>
        <w:t>руются.</w:t>
      </w:r>
    </w:p>
    <w:p w14:paraId="230616C2"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rStyle w:val="2020"/>
          <w:bCs/>
          <w:iCs/>
          <w:color w:val="000000" w:themeColor="text1"/>
          <w:sz w:val="16"/>
          <w:szCs w:val="16"/>
          <w:lang w:val="ru-RU"/>
        </w:rPr>
        <w:t>ЗАКЛЮЧЕНИЕ</w:t>
      </w:r>
    </w:p>
    <w:p w14:paraId="3BA3CE85" w14:textId="77777777" w:rsidR="00A25AD1" w:rsidRPr="00DB5D0D" w:rsidRDefault="00A25AD1" w:rsidP="00DB5D0D">
      <w:pPr>
        <w:pStyle w:val="201"/>
        <w:shd w:val="clear" w:color="auto" w:fill="auto"/>
        <w:spacing w:before="0" w:line="240" w:lineRule="auto"/>
        <w:rPr>
          <w:b w:val="0"/>
          <w:bCs w:val="0"/>
          <w:i w:val="0"/>
          <w:iCs w:val="0"/>
          <w:color w:val="000000" w:themeColor="text1"/>
          <w:sz w:val="16"/>
          <w:szCs w:val="16"/>
          <w:lang w:val="ru-RU"/>
        </w:rPr>
      </w:pPr>
      <w:r w:rsidRPr="00DB5D0D">
        <w:rPr>
          <w:b w:val="0"/>
          <w:bCs w:val="0"/>
          <w:i w:val="0"/>
          <w:iCs w:val="0"/>
          <w:color w:val="000000" w:themeColor="text1"/>
          <w:sz w:val="16"/>
          <w:szCs w:val="16"/>
          <w:lang w:val="ru-RU"/>
        </w:rPr>
        <w:t>Испытания ТПП показали, что прожектор данной конструкции при условии устранения дефектов, указанных в заключении, пригоден для установки на машинах типа «А».</w:t>
      </w:r>
    </w:p>
    <w:p w14:paraId="16368715" w14:textId="77777777" w:rsidR="00A25AD1" w:rsidRPr="00DB5D0D" w:rsidRDefault="00A25AD1" w:rsidP="00DB5D0D">
      <w:pPr>
        <w:pStyle w:val="201"/>
        <w:shd w:val="clear" w:color="auto" w:fill="auto"/>
        <w:spacing w:before="0" w:line="240" w:lineRule="auto"/>
        <w:rPr>
          <w:rStyle w:val="20110pt54"/>
          <w:rFonts w:ascii="Times New Roman" w:hAnsi="Times New Roman" w:cs="Times New Roman"/>
          <w:bCs/>
          <w:iCs/>
          <w:noProof w:val="0"/>
          <w:color w:val="000000" w:themeColor="text1"/>
          <w:spacing w:val="0"/>
          <w:lang w:val="ru-RU"/>
        </w:rPr>
      </w:pPr>
      <w:r w:rsidRPr="00DB5D0D">
        <w:rPr>
          <w:b w:val="0"/>
          <w:bCs w:val="0"/>
          <w:i w:val="0"/>
          <w:iCs w:val="0"/>
          <w:color w:val="000000" w:themeColor="text1"/>
          <w:sz w:val="16"/>
          <w:szCs w:val="16"/>
          <w:lang w:val="ru-RU"/>
        </w:rPr>
        <w:t>Для обеспечения правильной установки прожектора на машине, 520 необходимо разработать специальную конструкцию установоч</w:t>
      </w:r>
      <w:r w:rsidRPr="00DB5D0D">
        <w:rPr>
          <w:b w:val="0"/>
          <w:bCs w:val="0"/>
          <w:i w:val="0"/>
          <w:iCs w:val="0"/>
          <w:color w:val="000000" w:themeColor="text1"/>
          <w:sz w:val="16"/>
          <w:szCs w:val="16"/>
          <w:lang w:val="ru-RU"/>
        </w:rPr>
        <w:softHyphen/>
        <w:t>ного кронштейна, допускающего как вертикальную, так и горизон</w:t>
      </w:r>
      <w:r w:rsidRPr="00DB5D0D">
        <w:rPr>
          <w:b w:val="0"/>
          <w:bCs w:val="0"/>
          <w:i w:val="0"/>
          <w:iCs w:val="0"/>
          <w:color w:val="000000" w:themeColor="text1"/>
          <w:sz w:val="16"/>
          <w:szCs w:val="16"/>
          <w:lang w:val="ru-RU"/>
        </w:rPr>
        <w:softHyphen/>
        <w:t>тальную регулировку прожектора на системе.</w:t>
      </w:r>
      <w:r w:rsidRPr="00DB5D0D">
        <w:rPr>
          <w:rStyle w:val="20110pt54"/>
          <w:rFonts w:ascii="Times New Roman" w:hAnsi="Times New Roman" w:cs="Times New Roman"/>
          <w:bCs/>
          <w:iCs/>
          <w:color w:val="000000" w:themeColor="text1"/>
          <w:spacing w:val="0"/>
          <w:lang w:val="ru-RU"/>
        </w:rPr>
        <w:t xml:space="preserve"> [</w:t>
      </w:r>
      <w:r w:rsidRPr="00DB5D0D">
        <w:rPr>
          <w:b w:val="0"/>
          <w:bCs w:val="0"/>
          <w:i w:val="0"/>
          <w:iCs w:val="0"/>
          <w:color w:val="000000" w:themeColor="text1"/>
          <w:sz w:val="16"/>
          <w:szCs w:val="16"/>
          <w:lang w:val="ru-RU"/>
        </w:rPr>
        <w:t xml:space="preserve">РГВА. Ф.31811. </w:t>
      </w:r>
      <w:r w:rsidRPr="00DB5D0D">
        <w:rPr>
          <w:b w:val="0"/>
          <w:bCs w:val="0"/>
          <w:i w:val="0"/>
          <w:iCs w:val="0"/>
          <w:noProof w:val="0"/>
          <w:color w:val="000000" w:themeColor="text1"/>
          <w:sz w:val="16"/>
          <w:szCs w:val="16"/>
        </w:rPr>
        <w:t>On</w:t>
      </w:r>
      <w:r w:rsidRPr="00DB5D0D">
        <w:rPr>
          <w:b w:val="0"/>
          <w:bCs w:val="0"/>
          <w:i w:val="0"/>
          <w:iCs w:val="0"/>
          <w:noProof w:val="0"/>
          <w:color w:val="000000" w:themeColor="text1"/>
          <w:sz w:val="16"/>
          <w:szCs w:val="16"/>
          <w:lang w:val="ru-RU"/>
        </w:rPr>
        <w:t>.</w:t>
      </w:r>
      <w:r w:rsidRPr="00DB5D0D">
        <w:rPr>
          <w:b w:val="0"/>
          <w:bCs w:val="0"/>
          <w:i w:val="0"/>
          <w:iCs w:val="0"/>
          <w:color w:val="000000" w:themeColor="text1"/>
          <w:sz w:val="16"/>
          <w:szCs w:val="16"/>
          <w:lang w:val="ru-RU"/>
        </w:rPr>
        <w:t>2. Д. 1168. Л.51-52</w:t>
      </w:r>
      <w:r w:rsidRPr="00DB5D0D">
        <w:rPr>
          <w:rStyle w:val="20110pt54"/>
          <w:rFonts w:ascii="Times New Roman" w:hAnsi="Times New Roman" w:cs="Times New Roman"/>
          <w:bCs/>
          <w:iCs/>
          <w:color w:val="000000" w:themeColor="text1"/>
          <w:spacing w:val="0"/>
          <w:lang w:val="ru-RU"/>
        </w:rPr>
        <w:t>]</w:t>
      </w:r>
      <w:r w:rsidRPr="00DB5D0D">
        <w:rPr>
          <w:rStyle w:val="20110pt54"/>
          <w:rFonts w:ascii="Times New Roman" w:hAnsi="Times New Roman" w:cs="Times New Roman"/>
          <w:bCs/>
          <w:iCs/>
          <w:noProof w:val="0"/>
          <w:color w:val="000000" w:themeColor="text1"/>
          <w:spacing w:val="0"/>
          <w:lang w:val="ru-RU"/>
        </w:rPr>
        <w:t>.</w:t>
      </w:r>
    </w:p>
    <w:p w14:paraId="44E8DE09" w14:textId="77777777" w:rsidR="00A25AD1" w:rsidRPr="00DB5D0D" w:rsidRDefault="00A25AD1" w:rsidP="00DB5D0D">
      <w:pPr>
        <w:pStyle w:val="a3"/>
        <w:rPr>
          <w:color w:val="000000" w:themeColor="text1"/>
          <w:lang w:val="ru-RU"/>
        </w:rPr>
      </w:pPr>
      <w:r w:rsidRPr="00DB5D0D">
        <w:rPr>
          <w:color w:val="000000" w:themeColor="text1"/>
          <w:lang w:val="ru-RU"/>
        </w:rPr>
        <w:t>Отметим, что после устранения указанных комиссией дефектов и недостатков прожекторы ТПП планировалось устанавливать и на серийные танки Т-34, из расчета один прожектор на каждую пятую машину. Но поскольку по тактическим требованиям особой необхо</w:t>
      </w:r>
      <w:r w:rsidRPr="00DB5D0D">
        <w:rPr>
          <w:color w:val="000000" w:themeColor="text1"/>
          <w:lang w:val="ru-RU"/>
        </w:rPr>
        <w:softHyphen/>
        <w:t>димости в прожекторе не было, в конце августа 1940 г. начальником ГАБГУ Я.Н. Федоренко было принято решение не устанавливать ТПП на танк Т-34. Однако часть машин, собранных до сентября 1940 г., имела на лобовой крышке защиты Л-11 установочный кронштейн для крепления прожектора к системе (11904).</w:t>
      </w:r>
    </w:p>
    <w:p w14:paraId="349ADBF5" w14:textId="77777777" w:rsidR="00A25AD1" w:rsidRPr="00DB5D0D" w:rsidRDefault="00A25AD1" w:rsidP="00DB5D0D">
      <w:pPr>
        <w:pStyle w:val="a3"/>
        <w:rPr>
          <w:color w:val="000000" w:themeColor="text1"/>
          <w:lang w:val="ru-RU"/>
        </w:rPr>
      </w:pPr>
    </w:p>
    <w:p w14:paraId="33F513EE" w14:textId="77777777" w:rsidR="005D3AF1" w:rsidRPr="00DB5D0D" w:rsidRDefault="005D3AF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C0A67B4" w14:textId="77777777" w:rsidR="005D3AF1" w:rsidRPr="00DB5D0D" w:rsidRDefault="005D3AF1" w:rsidP="00DB5D0D">
      <w:pPr>
        <w:spacing w:after="0" w:line="240" w:lineRule="auto"/>
        <w:jc w:val="both"/>
        <w:rPr>
          <w:rFonts w:ascii="Times New Roman" w:hAnsi="Times New Roman"/>
          <w:iCs/>
          <w:color w:val="000000" w:themeColor="text1"/>
          <w:sz w:val="16"/>
          <w:szCs w:val="16"/>
        </w:rPr>
      </w:pPr>
    </w:p>
    <w:p w14:paraId="163940DB"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В начале лета 1940 36 самолетов двенадцати разных типов поступили на аэродром НИИ ВВС для испытаний. Наибольший интерес представляли истребители Ме-109Е и Me-110С, бомбардировщики Ю-88А и До-215В, которые тогда составляли основу люфтваффе. Широко примененные немцами против Польши, Франции, малых стран, эти самолеты не могли представлять военной тайны. Но одно дело знакомиться с ними по публикациям печати, совсем другое — практически.</w:t>
      </w:r>
    </w:p>
    <w:p w14:paraId="2D79CA95"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Изучение истребителя “Мессершмитт”-109Е-3 показало, какой рывок сделали немецкие конструкторы в сравнении с модификацией С, изученной в НИИ ВВС в 1937 г. При полетном весе 2605 кг Ме-109Е имел скорость у земли 440 км/ч, на высоте 5000 м — 546 км/ч. Последняя почти на 100 км/ч превышала скорость серийных И-16 последних модификаций и более чем на 100 км/ч И-153 “Чайка”. Эти истребители Н. Поликарпова составляли основу советской авиации, и такое существенное отставание внушало тревогу.</w:t>
      </w:r>
    </w:p>
    <w:p w14:paraId="345D725F"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Правда, в нашей стране в это время уже испытывались истребители нового поколения: И-26, И-301, И-200. Они развивали скорость 585–605 км/ч, а последний самолет на высоте 7200 м достиг 628 км/ч. Однако новые советские машины еще предстояло довести и внедрить в серийное производство. Как показал дальнейший ход событий, времени на это уже не хватило.</w:t>
      </w:r>
    </w:p>
    <w:p w14:paraId="7FF981D9"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Настораживали и другие данные, полученные при испытании Ме-109Е. Самолет набирал высоту 5000 м за 6,3 мин, его практический потолок доходил до 10 000 м. Наряду с пулеметами он имел пушки 20 мм “Эрликон”, установленные в крыле. Вес секундного залпа немецкого истребителя составлял 2,49 кг, что более чем вдвое превосходило мощность оружия советских пулеметных истребителей, в т. ч. и новых И-200. Пушки “Мессершмиттов”, позволявшие вести огонь на поражение с больших дистанций, делали их очень опасными.</w:t>
      </w:r>
    </w:p>
    <w:p w14:paraId="21F74BC8"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Высокую оценку получил и двухместный двухмоторный Ме-110С-4, хотя его максимальная скорость и была несколько ниже — 525 км/ч на высоте 4600 м. Однако в скороподъемности и маневренности “сто десятый” уступал советским истребителям, что было вызвано относительно большим для двух моторов ДБ-601А полетным весом — 6510 кг. Высоту 5000 м самолет набирал за 8,4 мин, а полный вираж на 1000 м выполнял за 30 сек. Его артиллерийское вооружение по сравнению с Ме-109Е-3 было еще более мощным. В носу самолета располагалась целая батарея из двух пушек и четырех пулеметов, дававшая залп весом 2,85 кг/сек. Для защиты самолета от атак сзади сверху имелся пулемет у стрелка.</w:t>
      </w:r>
    </w:p>
    <w:p w14:paraId="27230B81"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Особенно высокую оценку в НИИ ВВС получили пилотажные свойства машины.</w:t>
      </w:r>
    </w:p>
    <w:p w14:paraId="067D1129"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“Самолет обладает хорошей управляемостью, маневренностью и устойчивостью, — говорилось в отчете. — Возможен длительный полет с полностью брошенным управлением. По технике пилотирования самолет прост и доступен для летчиков средней и ниже средней квалификации… Возможен полет на одном работающем моторе”.</w:t>
      </w:r>
    </w:p>
    <w:p w14:paraId="0707F557"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Представляли интерес двухмоторные бомбардировщики “Юнкерс”-88А и “Дорнье”-215В. При всех различиях оба самолета имели немало общего, что позволяло говорить об основных концепциях немецких авиастроителей. Это и цельнометаллическая конструкция, и размещение экипажа из четырех человек в одной кабине (при необходимости можно оказывать помощь друг другу), и оборонительное вооружение из трех подвижных пулеметов МГ-15 с магазинным питанием.</w:t>
      </w:r>
    </w:p>
    <w:p w14:paraId="575BBADC"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Самолет “Юнкерс”-88 был первым немецким двухмоторным пикирующим бомбардировщиком. Это назначение обусловило ряд объективных особенностей: размещение бомб крупного калибра под крыльями вне плоскости, ометаемой винтом, установка воздушных тормозов под крыльями, обеспечение автоматом ввода и вывода самолета из пикирования, отличный обзор для летчика.</w:t>
      </w:r>
    </w:p>
    <w:p w14:paraId="751C62DC"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Большое внимание немецкие конструкторы уделили живучести самолета. Для этого на бомбардировщике стояло ограниченное количество (3—5 штук) хорошо протектированных бензобаков увеличенной емкости. Бензобаки размещались в терметически изолированных отсеках, а бензомагистрали и управление самолетов дублировались.</w:t>
      </w:r>
    </w:p>
    <w:p w14:paraId="5D098310" w14:textId="77777777" w:rsidR="005D3AF1" w:rsidRPr="00DB5D0D" w:rsidRDefault="005D3AF1" w:rsidP="00DB5D0D">
      <w:pPr>
        <w:pStyle w:val="ae"/>
        <w:shd w:val="clear" w:color="auto" w:fill="FFFFFF"/>
        <w:spacing w:before="0" w:after="0"/>
        <w:jc w:val="both"/>
        <w:textAlignment w:val="baseline"/>
        <w:rPr>
          <w:color w:val="000000" w:themeColor="text1"/>
          <w:sz w:val="16"/>
          <w:szCs w:val="16"/>
        </w:rPr>
      </w:pPr>
      <w:r w:rsidRPr="00DB5D0D">
        <w:rPr>
          <w:color w:val="000000" w:themeColor="text1"/>
          <w:sz w:val="16"/>
          <w:szCs w:val="16"/>
        </w:rPr>
        <w:t>С полетным весом 10 350 кг Ю-88А-1 развивал максимальную скорость 365 км/ч у земли и 445 км/ч на второй границе высотности (5600 м). Высоту 5000 м бомбардировщик набирал за 18 мин. Еще быстрее оказался горизонтальный бомбардировщик “Дорнье”-215В. С полетным весом 8621 кг он “забирался” на высоту 5000 м за 10,8 мин.</w:t>
      </w:r>
    </w:p>
    <w:p w14:paraId="50F5E171"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Но в отличие от Ю-88, До-215 не предназначался для бомбометания с пикирования, все бомбы весом до 1000 кг размещались в бомболюке. В варианте разведчика вместо бомб устанавливался дополнительный бензобак на 900 литров. В этой последней модификации самолет главным образом и применялся в войне против Советского Союза: оснащенный фотоаппаратами и дополнительным кислородным оборудованием, он часто вел разведку в нашем тылу на больших высотах.</w:t>
      </w:r>
    </w:p>
    <w:p w14:paraId="03D683B9" w14:textId="77777777" w:rsidR="005D3AF1" w:rsidRPr="00DB5D0D" w:rsidRDefault="005D3AF1" w:rsidP="00DB5D0D">
      <w:pPr>
        <w:pStyle w:val="wp-caption-text"/>
        <w:shd w:val="clear" w:color="auto" w:fill="FFFFFF"/>
        <w:spacing w:before="0" w:beforeAutospacing="0" w:after="0" w:afterAutospacing="0"/>
        <w:jc w:val="both"/>
        <w:textAlignment w:val="baseline"/>
        <w:rPr>
          <w:color w:val="000000" w:themeColor="text1"/>
          <w:sz w:val="16"/>
          <w:szCs w:val="16"/>
        </w:rPr>
      </w:pPr>
      <w:r w:rsidRPr="00DB5D0D">
        <w:rPr>
          <w:color w:val="000000" w:themeColor="text1"/>
          <w:sz w:val="16"/>
          <w:szCs w:val="16"/>
        </w:rPr>
        <w:t>Попавшие в СССР два Do215B-3 представляли собой типичные «универсалы» с умеренной бомбовой нагрузкой, способные выполнять разведывательные задания. Возможность монтажа в бомбоотсеке дополнительного бензобака, довольно мощное оборонительное вооружение, насчитывавшее до восьми пулеметов, и достаточно высокие скоростные характеристики, позволяли экипажам этих машин с успехом вести стратегическую разведку на первых этапах Второй Мировой войны.</w:t>
      </w:r>
    </w:p>
    <w:p w14:paraId="5787F140"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А что же “Хейнкель”-100, первый самолет, с которым ознакомилась советская делегация? Он оказался скорее гоночной машиной, чем боевым истребителем. Его скорость была примерно на 100 км/ч выше, чем у Ме-109Е на всех высотах при аналогичном двигателе. Это достигалось за счет использования несколько меньшего крыла скоростного профиля и применения пароводяного и испарительно-спиртового охлаждения с установкой конденсаторов вместо водяных радиаторов на других самолетах. При полетном весе 2444 кг посадочная скорость Хе-100 довольно высока — 159 км/ч. В отличие от других немецких самолетов, он проявлял неустойчивость, особенно в продольном отношении. Всего лишь два пулемета винтовочного калибра считались совершенно недостаточным вооружением для истребителя в 1940 г. Оставляла желать лучшего и горизонтальная маневренность.</w:t>
      </w:r>
    </w:p>
    <w:p w14:paraId="153F0210"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Немцы, пропагандируя этот самолет, пытались создать у советских и у англичан впечатление, что уже в начале 1941 г. у них на вооружении не один, а два типа одноместных истребителя: Ме-109 и Хе-100. Но ввести в заблуждение относительно последнего специалистов НИИ ВВС не удалось.</w:t>
      </w:r>
    </w:p>
    <w:p w14:paraId="2D3EE32D"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Результаты испытаний немецких самолетов в нашем институте были достаточно объективны. Так, летно-технические характеристики Ме-110С и До-215 мало отличались от фирменных, которые стали известны позднее. У Ю-88А в Советском Союзе несколько занизили потолок и уменьшили посадочную скорость. Больше расхождений с результатами испытаний в других странах наблюдалось у “советского” Ме-109Е (№ 2738). Заниженной можно считать полученную у земли скорость 440 км/ч (у более медлительного на других высотах Ме-110С она оказалась на 2 км/ч выше вблизи земли), а типичная для этой модификации полученная в Англии скорость 465–470 км/ч.</w:t>
      </w:r>
    </w:p>
    <w:p w14:paraId="609DF423"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Скороподъемность у земли 11,2 м/с представляется недостаточно высокой для данного типа истребителя. Эти отклонения можно объяснить недобором мощности двигателя испытываемого самолета.</w:t>
      </w:r>
    </w:p>
    <w:p w14:paraId="26ABC4CC"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Противоречивые результаты получены при испытании маневренности Ме-109Е. Отмечавшееся “хорошее” поведение истребителя при потере скорости на околокритических скоростях, синхронная работа автоматических предкрылков, малый радиус разворота трудно связать с полученным средним временем виража 28 сек (для сравнения у И-26, И-200, И-301 от 20 до 24 сек.).</w:t>
      </w:r>
    </w:p>
    <w:p w14:paraId="26A99709"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Значительное внимание было обращено на поиск слабых сторон. Немецкие истребители не могли достаточно энергично выполнять восходящие маневры, быстро разгоняться на пикировании. Бомбардировщики не имели брони, недостаточным было их оборонительное вооружение. Ограниченные размеры бомболюков не позволяли загружать в самолеты бомбы калибром более 50 кг. А вот топливные насосы, расширительные бачки, водяные и масляные радиаторы были легко уязвимы. Это — не к чести опытных самолетостроителей, располагавших мощной авиапромышленностью. Однако нельзя было не видеть, что цельнометаллические, хорошо оборудованные машины отличала высокая степень доведенности конструкций. И вот еще что бросалось в глаза: ради удобства работы экипажа немецкие инженеры зачастую жертвовали другими качествами, прежде всего скоростью.</w:t>
      </w:r>
    </w:p>
    <w:p w14:paraId="5313EE57"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Все немецкие самолеты, кроме Хе-100, получили в НИИ ВВС отличные оценки за устойчивость (продольную, поперечную, путевую). Советская же концепция определяла, что только бомбардировщики должны быть устойчивыми, истребители нейтральными, а разведчики — занимать промежуточное положение.</w:t>
      </w:r>
    </w:p>
    <w:p w14:paraId="3EAB50AE"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 xml:space="preserve">В конструкции И-16, этого яркого представителя советской предвоенной авиации, была заложена центровка свыше 30% САХ, чтобы самолет буквально “ходил за ручкой”. Считалось, что неустойчивость положительно скажется на маневренных качествах самолета. Немцы, напротив, считали, что противопоставление </w:t>
      </w:r>
      <w:r w:rsidRPr="00DB5D0D">
        <w:rPr>
          <w:color w:val="000000" w:themeColor="text1"/>
          <w:sz w:val="16"/>
          <w:szCs w:val="16"/>
        </w:rPr>
        <w:lastRenderedPageBreak/>
        <w:t>устойчивости и маневренности в корне неверно. И на наших самолетах поколения 40-х годов уже велась большая работа по совмещению этих качеств. Она сыграла свою позитивную роль при переучивании молодого летного состава на новую матчасть.</w:t>
      </w:r>
    </w:p>
    <w:p w14:paraId="4D42EB37"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По максимальной горизонтальной скорости До-215В и Ю-88А находились между СБ-2М-103 и ДБ-3 2М-88 (согласно отчетам по госиспытаниям).</w:t>
      </w:r>
    </w:p>
    <w:p w14:paraId="1B468C2D"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У немцев стоило многому поучиться в организации работы экипажа, особенно в длительном полете. И “Юнкерc”, и “Дорнье” выгодно отличались от неустойчивого ДБ-3 и недостаточно живучего СБ. В отличие от наших, немецкие двухмоторные машины позволяли уверенно летать на одном работающем двигателе. При оценке кабины, навигационного и связного оборудования сравнение тоже было не в нашу пользу.</w:t>
      </w:r>
    </w:p>
    <w:p w14:paraId="7C7C631A" w14:textId="77777777" w:rsidR="005D3AF1" w:rsidRPr="00DB5D0D" w:rsidRDefault="005D3AF1" w:rsidP="00DB5D0D">
      <w:pPr>
        <w:pStyle w:val="ae"/>
        <w:shd w:val="clear" w:color="auto" w:fill="FFFFFF"/>
        <w:spacing w:before="0" w:after="0"/>
        <w:jc w:val="both"/>
        <w:textAlignment w:val="baseline"/>
        <w:rPr>
          <w:color w:val="000000" w:themeColor="text1"/>
          <w:sz w:val="16"/>
          <w:szCs w:val="16"/>
        </w:rPr>
      </w:pPr>
      <w:r w:rsidRPr="00DB5D0D">
        <w:rPr>
          <w:color w:val="000000" w:themeColor="text1"/>
          <w:sz w:val="16"/>
          <w:szCs w:val="16"/>
        </w:rPr>
        <w:t>Начальник НИИ ВВС генерал А. Филин, выступая в ЦАГИ, говорил:</w:t>
      </w:r>
    </w:p>
    <w:p w14:paraId="4AF2C498"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“В настоящее время еще существует абсолютно неправильное мнение о том, что чем более совершенный самолет, тем сложнее в технике пилотирования он должен быть. Это совершенно неверно: с таким положением надо бороться”.</w:t>
      </w:r>
    </w:p>
    <w:p w14:paraId="5E6CE7A3" w14:textId="77777777" w:rsidR="005D3AF1" w:rsidRPr="00DB5D0D" w:rsidRDefault="005D3AF1" w:rsidP="00DB5D0D">
      <w:pPr>
        <w:pStyle w:val="rtejustify"/>
        <w:shd w:val="clear" w:color="auto" w:fill="FFFFFF"/>
        <w:spacing w:before="0" w:after="0"/>
        <w:rPr>
          <w:color w:val="000000" w:themeColor="text1"/>
          <w:sz w:val="16"/>
          <w:szCs w:val="16"/>
        </w:rPr>
      </w:pPr>
      <w:r w:rsidRPr="00DB5D0D">
        <w:rPr>
          <w:color w:val="000000" w:themeColor="text1"/>
          <w:sz w:val="16"/>
          <w:szCs w:val="16"/>
        </w:rPr>
        <w:t>Это было одно из последних выступлений талантливого инженера и ученого: вскоре он был арестован…(19179).</w:t>
      </w:r>
    </w:p>
    <w:p w14:paraId="12FF520D" w14:textId="77777777" w:rsidR="005D3AF1" w:rsidRPr="00DB5D0D" w:rsidRDefault="005D3AF1" w:rsidP="00DB5D0D">
      <w:pPr>
        <w:pStyle w:val="rtejustify"/>
        <w:shd w:val="clear" w:color="auto" w:fill="FFFFFF"/>
        <w:spacing w:before="0" w:after="0"/>
        <w:rPr>
          <w:color w:val="000000" w:themeColor="text1"/>
          <w:sz w:val="16"/>
          <w:szCs w:val="16"/>
        </w:rPr>
      </w:pPr>
    </w:p>
    <w:p w14:paraId="67FB7D89"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60BCF2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7E17EC74"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Летом 1940 г. заводу № 381 были переданы производственные площади заводов «Красный металлист», «Ленкранстрой», ремонтно-механического и подъемных сооружений [12, с. 216]. Завод № 381 территориально располагался в пригороде Ленинграда, на станции Ижора Кировской железной дороги, и тоже предназначался для выпуска «летающих танков» ЛТ-АМ34ФРН, как первоначально назывался штурмовик Ил-2.</w:t>
      </w:r>
    </w:p>
    <w:p w14:paraId="76D708B0"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На ленинградском предприятии «Красногвардеец» для авиазавода № 380 во внеочередном порядке было организовано изготовление 400 комплектов горяче-штамповочных изделий. На производственных площадках самого завода № 380 по ул. Чугунной и в Озерках в 1940-1941 гг. срочно строились сборочные корпуса, кислородные и ацетиленовые станции, котельные, ангары, взлетно-посадочная полоса, трансформаторные подстанции и иные сооружения [7, д. 8, л. 16].</w:t>
      </w:r>
    </w:p>
    <w:p w14:paraId="32752D2B"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(12698).</w:t>
      </w:r>
    </w:p>
    <w:p w14:paraId="54528D62" w14:textId="77777777" w:rsidR="00A25AD1" w:rsidRPr="00DB5D0D" w:rsidRDefault="00A25AD1" w:rsidP="00DB5D0D">
      <w:pPr>
        <w:spacing w:after="0" w:line="240" w:lineRule="auto"/>
        <w:jc w:val="both"/>
        <w:rPr>
          <w:rFonts w:ascii="Times New Roman" w:eastAsia="TimesNewRoman" w:hAnsi="Times New Roman"/>
          <w:color w:val="000000" w:themeColor="text1"/>
          <w:sz w:val="16"/>
          <w:szCs w:val="16"/>
        </w:rPr>
      </w:pPr>
    </w:p>
    <w:p w14:paraId="7E06BC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реальной возможности выбора типа пушки у отечественных авиаконструкторов не было. Все типы "пушечных" самолетов оснащались уже упоминавшейся пушкой ШВАК, представлявшей собой "перестволенный" 12,7-миллиметровый пулемет, откуда, собственно, и взялось наименование образца: "Шпитальный - Владимиров авиационный крупнокалиберный". Патрон к этой пушке был получен следующим нехитрым способом: дульце гильзы при неизменной длине переобжали на калибр 20 мм, а снаряд пришлось выполнить толстым и "тупоголовым" с тем, чтобы не выйти за длину штатного пулеметного 12,7-миллиметрового патрона. Органические недостатки "ШВАКовского" снаряда стали ясны еще по результатам довоенных локальных конфликтов: недостаточное разрушающее действие при стрельбе по цельнометаллическим самолетам противника из-за малой массы снаряда (93…105 г) и малого количества взрывчатого вещества в нем; быстрое уменьшение скорости снаряда на траектории из-за неудовлетворительной аэродинамической формы (при этом увеличивалось время полета снаряда к цели, что приводило к промахам в условиях динамичного воздушного боя). Да и сама пушка оказалась тяжеловатой - ее масса превышала 40 кг. Впрочем, по сравнению с зарубежными современницами ШВАК по внешним характеристикам смотрелась вполне "на уровне" и безусловно превосходила их по скорострельности. Кроме того, достоинством ШВАК в тот период можно считать звеньевое (ленточное) питание, что позволяло иметь на самолете относительно большой боекомплект (11149).</w:t>
      </w:r>
    </w:p>
    <w:p w14:paraId="6375653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9B82388"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в ОКО завода 1, возглавляемом А.И.Микоя</w:t>
      </w:r>
      <w:r w:rsidRPr="00DB5D0D">
        <w:rPr>
          <w:rFonts w:ascii="Times New Roman" w:hAnsi="Times New Roman"/>
          <w:color w:val="000000" w:themeColor="text1"/>
          <w:sz w:val="16"/>
          <w:szCs w:val="16"/>
        </w:rPr>
        <w:softHyphen/>
        <w:t>ном, велась раз</w:t>
      </w:r>
      <w:r w:rsidRPr="00DB5D0D">
        <w:rPr>
          <w:rFonts w:ascii="Times New Roman" w:hAnsi="Times New Roman"/>
          <w:color w:val="000000" w:themeColor="text1"/>
          <w:sz w:val="16"/>
          <w:szCs w:val="16"/>
        </w:rPr>
        <w:softHyphen/>
        <w:t>работка самолета ПБШ-2 с мотором АМ-38. Учитывая, что одним из основ</w:t>
      </w:r>
      <w:r w:rsidRPr="00DB5D0D">
        <w:rPr>
          <w:rFonts w:ascii="Times New Roman" w:hAnsi="Times New Roman"/>
          <w:color w:val="000000" w:themeColor="text1"/>
          <w:sz w:val="16"/>
          <w:szCs w:val="16"/>
        </w:rPr>
        <w:softHyphen/>
        <w:t>ных недостатков ПБШ-1 были плохие взлетно-посадочные характеристики, а также вызывали опасения недостаточ</w:t>
      </w:r>
      <w:r w:rsidRPr="00DB5D0D">
        <w:rPr>
          <w:rFonts w:ascii="Times New Roman" w:hAnsi="Times New Roman"/>
          <w:color w:val="000000" w:themeColor="text1"/>
          <w:sz w:val="16"/>
          <w:szCs w:val="16"/>
        </w:rPr>
        <w:softHyphen/>
        <w:t>ные запасы устойчивости, вполне ве</w:t>
      </w:r>
      <w:r w:rsidRPr="00DB5D0D">
        <w:rPr>
          <w:rFonts w:ascii="Times New Roman" w:hAnsi="Times New Roman"/>
          <w:color w:val="000000" w:themeColor="text1"/>
          <w:sz w:val="16"/>
          <w:szCs w:val="16"/>
        </w:rPr>
        <w:softHyphen/>
        <w:t>роятно, что со стороны конструкто</w:t>
      </w:r>
      <w:r w:rsidRPr="00DB5D0D">
        <w:rPr>
          <w:rFonts w:ascii="Times New Roman" w:hAnsi="Times New Roman"/>
          <w:color w:val="000000" w:themeColor="text1"/>
          <w:sz w:val="16"/>
          <w:szCs w:val="16"/>
        </w:rPr>
        <w:softHyphen/>
        <w:t>ров делались попытки поиска альтер</w:t>
      </w:r>
      <w:r w:rsidRPr="00DB5D0D">
        <w:rPr>
          <w:rFonts w:ascii="Times New Roman" w:hAnsi="Times New Roman"/>
          <w:color w:val="000000" w:themeColor="text1"/>
          <w:sz w:val="16"/>
          <w:szCs w:val="16"/>
        </w:rPr>
        <w:softHyphen/>
        <w:t>нативного варианта, у которого эти проблемы решались бы лучшим обра</w:t>
      </w:r>
      <w:r w:rsidRPr="00DB5D0D">
        <w:rPr>
          <w:rFonts w:ascii="Times New Roman" w:hAnsi="Times New Roman"/>
          <w:color w:val="000000" w:themeColor="text1"/>
          <w:sz w:val="16"/>
          <w:szCs w:val="16"/>
        </w:rPr>
        <w:softHyphen/>
        <w:t>зом. В связи с чем вместо монопланного варианта на ПБШ-2 была приме</w:t>
      </w:r>
      <w:r w:rsidRPr="00DB5D0D">
        <w:rPr>
          <w:rFonts w:ascii="Times New Roman" w:hAnsi="Times New Roman"/>
          <w:color w:val="000000" w:themeColor="text1"/>
          <w:sz w:val="16"/>
          <w:szCs w:val="16"/>
        </w:rPr>
        <w:softHyphen/>
        <w:t>нена бипланная схема. Таким образом, пилотажные и особенно взлетно-посадочные качества могли быть заметно улучшены, а также более успешно ре</w:t>
      </w:r>
      <w:r w:rsidRPr="00DB5D0D">
        <w:rPr>
          <w:rFonts w:ascii="Times New Roman" w:hAnsi="Times New Roman"/>
          <w:color w:val="000000" w:themeColor="text1"/>
          <w:sz w:val="16"/>
          <w:szCs w:val="16"/>
        </w:rPr>
        <w:softHyphen/>
        <w:t>шались проблемы устойчивости. На</w:t>
      </w:r>
      <w:r w:rsidRPr="00DB5D0D">
        <w:rPr>
          <w:rFonts w:ascii="Times New Roman" w:hAnsi="Times New Roman"/>
          <w:color w:val="000000" w:themeColor="text1"/>
          <w:sz w:val="16"/>
          <w:szCs w:val="16"/>
        </w:rPr>
        <w:softHyphen/>
        <w:t>грузку на крыло снизили до 149 кг/м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Но естественно, при этом летные дан</w:t>
      </w:r>
      <w:r w:rsidRPr="00DB5D0D">
        <w:rPr>
          <w:rFonts w:ascii="Times New Roman" w:hAnsi="Times New Roman"/>
          <w:color w:val="000000" w:themeColor="text1"/>
          <w:sz w:val="16"/>
          <w:szCs w:val="16"/>
        </w:rPr>
        <w:softHyphen/>
        <w:t>ные у ПБШ-2 были бы намного ниже, чем у ПБШ-1, и поэтому он не мог иметь перспективы развития. Намно</w:t>
      </w:r>
      <w:r w:rsidRPr="00DB5D0D">
        <w:rPr>
          <w:rFonts w:ascii="Times New Roman" w:hAnsi="Times New Roman"/>
          <w:color w:val="000000" w:themeColor="text1"/>
          <w:sz w:val="16"/>
          <w:szCs w:val="16"/>
        </w:rPr>
        <w:softHyphen/>
        <w:t>го сложнее была бы и конструкция самолета. Винтомоторная группа и бронеотсек были аналогичны ПБШ-1, за исклю</w:t>
      </w:r>
      <w:r w:rsidRPr="00DB5D0D">
        <w:rPr>
          <w:rFonts w:ascii="Times New Roman" w:hAnsi="Times New Roman"/>
          <w:color w:val="000000" w:themeColor="text1"/>
          <w:sz w:val="16"/>
          <w:szCs w:val="16"/>
        </w:rPr>
        <w:softHyphen/>
        <w:t>чением того, что у ПБШ-2 сделали бронедверь, которая в аварийной ситуации принудительно сбрасывалась в возду</w:t>
      </w:r>
      <w:r w:rsidRPr="00DB5D0D">
        <w:rPr>
          <w:rFonts w:ascii="Times New Roman" w:hAnsi="Times New Roman"/>
          <w:color w:val="000000" w:themeColor="text1"/>
          <w:sz w:val="16"/>
          <w:szCs w:val="16"/>
        </w:rPr>
        <w:softHyphen/>
        <w:t>хе. Вооружение также состояло из двух пушек МП-3 и шести пулеметов ШКАС. В центроплане располагались два бомбоотсека. Длина самолета - 8,85 м, высота -3,5 м. Площадь верхнего крыла - 10,26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xml:space="preserve"> - была почти в два раза меньше пло</w:t>
      </w:r>
      <w:r w:rsidRPr="00DB5D0D">
        <w:rPr>
          <w:rFonts w:ascii="Times New Roman" w:hAnsi="Times New Roman"/>
          <w:color w:val="000000" w:themeColor="text1"/>
          <w:sz w:val="16"/>
          <w:szCs w:val="16"/>
        </w:rPr>
        <w:softHyphen/>
        <w:t>щади нижнего крыла (22,14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Раз</w:t>
      </w:r>
      <w:r w:rsidRPr="00DB5D0D">
        <w:rPr>
          <w:rFonts w:ascii="Times New Roman" w:hAnsi="Times New Roman"/>
          <w:color w:val="000000" w:themeColor="text1"/>
          <w:sz w:val="16"/>
          <w:szCs w:val="16"/>
        </w:rPr>
        <w:softHyphen/>
        <w:t>мах верхнего крыла составлял 8,6 м, нижнего - 12,4 м. Верхнее крыло было сдвинуто назад по отношению к ниж</w:t>
      </w:r>
      <w:r w:rsidRPr="00DB5D0D">
        <w:rPr>
          <w:rFonts w:ascii="Times New Roman" w:hAnsi="Times New Roman"/>
          <w:color w:val="000000" w:themeColor="text1"/>
          <w:sz w:val="16"/>
          <w:szCs w:val="16"/>
        </w:rPr>
        <w:softHyphen/>
        <w:t>нему и имело обратную стреловидность. По расчетам, ПБШ-2 должен был иметь максимальную скорость - 426 км/ч, дальность полета 740 км, а с подвес</w:t>
      </w:r>
      <w:r w:rsidRPr="00DB5D0D">
        <w:rPr>
          <w:rFonts w:ascii="Times New Roman" w:hAnsi="Times New Roman"/>
          <w:color w:val="000000" w:themeColor="text1"/>
          <w:sz w:val="16"/>
          <w:szCs w:val="16"/>
        </w:rPr>
        <w:softHyphen/>
        <w:t>ными топливными баками 929 км (5278).</w:t>
      </w:r>
    </w:p>
    <w:p w14:paraId="1837CF42" w14:textId="77777777" w:rsidR="00A25AD1" w:rsidRPr="00DB5D0D" w:rsidRDefault="00A25AD1" w:rsidP="00DB5D0D">
      <w:pPr>
        <w:tabs>
          <w:tab w:val="left" w:pos="11199"/>
        </w:tabs>
        <w:spacing w:after="0" w:line="240" w:lineRule="auto"/>
        <w:jc w:val="both"/>
        <w:rPr>
          <w:rFonts w:ascii="Times New Roman" w:hAnsi="Times New Roman"/>
          <w:color w:val="000000" w:themeColor="text1"/>
          <w:sz w:val="16"/>
          <w:szCs w:val="16"/>
        </w:rPr>
      </w:pPr>
    </w:p>
    <w:p w14:paraId="3016C8F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испытывался ШБ (штурмовик-бомбардировщик) П.О.С. Уступала Ил (84,66) и со слабым бронированием как бы не понадобился (173,43).</w:t>
      </w:r>
    </w:p>
    <w:p w14:paraId="752818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ШБ испытывался зимой и весной 1940.</w:t>
      </w:r>
    </w:p>
    <w:p w14:paraId="1E3CE0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Именно эта машина ШБ П.О.С. имела разворачивающиеся колеса основного шасси. Вооружение - 6хШКАС + 600 кг бомб (1454,53).</w:t>
      </w:r>
    </w:p>
    <w:p w14:paraId="206F8B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 начал проектировать одноместный ОБШ летом 1940. Низкоплан с М-71 мощностью 1800, которую в ходе испытаний повысили до 2000 (173,44).</w:t>
      </w:r>
    </w:p>
    <w:p w14:paraId="72564FE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443C227"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Летом 1940 года поднялся в воздух опытный штурмовик-бомбардировщик (ШБ), разработанный группой конструкторов, которыми руководил Павел Осипович Сухой. Проектирование этого самолета началось в 1938 году, когда даже военные специалисты еще недостаточно четко представляли себе круг боевых обязанностей машин для непосредственной поддержки наземных войск на поле боя. Поэтому конструкторы стремились обеспечить ШБ такие летно-технические параметры, которые позволяли бы использовать его и для уничтожения живой силы и техники на поле боя и для ударов по коммуникациям и военным объектам противника в его ближнем тылу. </w:t>
      </w:r>
    </w:p>
    <w:p w14:paraId="667C5AC3"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По первым наметкам конструкция штурмовика предполагалась цельнометаллической. Затем для экономии дефицитного в то время и еще дорогого дюралюминия было решено строить самолет с максимально возможным применением дерева. Так, фюзеляж типа полумонокок строился весь из дерева. Набор его шпангоутов и четыре лонжерона со стрингерами были изготовлены из сосновых брусков. Несущая обшивка фюзеляжа - из фанеры небольшой толщины. Крыло с небольшим поперечным "V", состоявшее из центроплана и отъемных консолей, оставлено цельнометаллическим. Стыки консолей с центропланом закрывались дюралевыми лентами. Щитки из двух половин крепились к заднему лонжерону крыла и были обшиты листами тонкого дюралюминия. Металлический каркас элеронов обшивался полотном. Левый элерон был снабжен триммером, Свободнонесущий стабилизатор и киль - цельнометаллические, симметричного профиля. Обшивка рулей полотняная. Рули высоты имели управляемые триммеры. </w:t>
      </w:r>
    </w:p>
    <w:p w14:paraId="4BB2C9C6"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Шасси ШБ - обычной схемы. Костыль убирался в обтекатель в конце фюзеляжа. Главные стойки с тормозными колесами убирались назад по потоку в центроплан и закрывались створками заподлицо с нижним контуром крыла. При этом колеса поворачивались на 90¦ с помощью зубчатого зацепления. Такая оригинальная схема уборки стоек шасси в дальнейшем неоднократно применялась советскими конструкторами на различных типах самолетов, а том числе на истребителях Су-1, Су-3, Су-7, на штурмовиках Су-6 и Ил-10. </w:t>
      </w:r>
    </w:p>
    <w:p w14:paraId="24F39017"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Разрабатывая новый самолет, конструкторский коллектив стремился учесть возможность использования производственниками самой прогрессивной по тому времени технологии: многие узлы и детали из алюминиевых сплавов выполнялись методом горячей штамповки или литья. Сварочные операции были сведены к минимуму. Широко применялись в конструкции профили стандартного типа. Все это облегчало поточное производство самолетов, снижало их себестоимость. Для повышения боевой живучести штурмовика его основные элементы защищались специальными средствами. Внутренние полости топливных баков, например, покрывались самозатягивающимся слоем специальной резины; кабины летчика и стрелка-радиста защищались бронеплитами. Опытный образец штурмовика-бомбардировщика имел на вооружении шесть скорострельных пулеметов ШКАС калибра 7,62 мм. Из них четыре были установлены в консолях крыла, один - в башенной турельной установке и один - в нижней люковой пулеметной установке. Башенный пулемет в полете до района цели для лучшего обтекания воздухом закрывался специальным кожухом. При нормальном взлетном весе 4500 кг на кассетных держателях во внутрифюзеляжном отсеке подвешивалось до 600 кг бомб различного калибра. </w:t>
      </w:r>
    </w:p>
    <w:p w14:paraId="2EEB900F" w14:textId="77777777" w:rsidR="00A25AD1" w:rsidRPr="00DB5D0D" w:rsidRDefault="00A25AD1"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По расчетам конструкторов, штурмовик-бомбардировщик с двигателем воздушного охлаждения должен был развивать скорость у земли до 350 км/ч. Его дальность полета около 800 км, потолок до 8 тыс.м. Летные испытания в основном подтвердили расчетные данные. Самолет показал хорошую устойчивость и управляемость. Однако, как показали первые же крупные операции, проведенные противниками в первый период второй мировой войны, сочетать в одном самолете качества штурмовика и бомбардировщика (хотя экономически это и выгодно) все же нецелесообразно. Штурмовику нужны более сильное бронирование, стрелковое вооружение разного, в том числе крупного калибра, меньшая высотность, но большая скорость у земли. С учетом этих, продиктованных жизнью требований конструкторы приступили к разработке специализированного самолета - штурмовика под новый мощный двигатель воздушного охлаждения М-71. В новом самолете они использовали ряд элементов, примененных в опытном ШБ (11470).</w:t>
      </w:r>
    </w:p>
    <w:p w14:paraId="1E0250CA" w14:textId="77777777" w:rsidR="00A25AD1" w:rsidRPr="00DB5D0D" w:rsidRDefault="00A25AD1" w:rsidP="00DB5D0D">
      <w:pPr>
        <w:pStyle w:val="af2"/>
        <w:jc w:val="both"/>
        <w:rPr>
          <w:i w:val="0"/>
          <w:iCs w:val="0"/>
          <w:color w:val="000000" w:themeColor="text1"/>
          <w:spacing w:val="0"/>
          <w:kern w:val="0"/>
          <w:position w:val="0"/>
          <w:sz w:val="16"/>
          <w:szCs w:val="16"/>
          <w:lang w:val="ru-RU"/>
        </w:rPr>
      </w:pPr>
    </w:p>
    <w:p w14:paraId="59E217D8" w14:textId="77777777" w:rsidR="00DA3BA6" w:rsidRPr="00DB5D0D" w:rsidRDefault="00DA3BA6" w:rsidP="00DB5D0D">
      <w:pPr>
        <w:pStyle w:val="a3"/>
        <w:rPr>
          <w:color w:val="000000" w:themeColor="text1"/>
          <w:lang w:val="ru-RU"/>
        </w:rPr>
      </w:pPr>
      <w:r w:rsidRPr="00DB5D0D">
        <w:rPr>
          <w:color w:val="000000" w:themeColor="text1"/>
          <w:lang w:val="ru-RU"/>
        </w:rPr>
        <w:t>Летом 1940 года в Харьков с инспекторской проверкой прибыли заместитель начальника ВВС КА генерал-лейтенант авиации П.В. Рычагов и начальник НИИ ГУАС (ГУ ВВС) КА генерал- майор авиации А.И. Филин. Целью проверки явилось обследование</w:t>
      </w:r>
      <w:r w:rsidRPr="00DB5D0D">
        <w:rPr>
          <w:rStyle w:val="581"/>
          <w:rFonts w:ascii="Times New Roman" w:hAnsi="Times New Roman" w:cs="Times New Roman"/>
          <w:i w:val="0"/>
          <w:color w:val="000000" w:themeColor="text1"/>
          <w:lang w:val="ru-RU"/>
        </w:rPr>
        <w:t xml:space="preserve"> «состояния постройки но </w:t>
      </w:r>
      <w:r w:rsidRPr="00DB5D0D">
        <w:rPr>
          <w:color w:val="000000" w:themeColor="text1"/>
          <w:lang w:val="ru-RU"/>
        </w:rPr>
        <w:t>заводе</w:t>
      </w:r>
      <w:r w:rsidRPr="00DB5D0D">
        <w:rPr>
          <w:rStyle w:val="581"/>
          <w:rFonts w:ascii="Times New Roman" w:hAnsi="Times New Roman" w:cs="Times New Roman"/>
          <w:i w:val="0"/>
          <w:color w:val="000000" w:themeColor="text1"/>
          <w:lang w:val="ru-RU"/>
        </w:rPr>
        <w:t xml:space="preserve"> № 135 и эксплуатации в строевых частях Харьковского</w:t>
      </w:r>
      <w:r w:rsidRPr="00DB5D0D">
        <w:rPr>
          <w:color w:val="000000" w:themeColor="text1"/>
          <w:lang w:val="ru-RU"/>
        </w:rPr>
        <w:t xml:space="preserve"> военного</w:t>
      </w:r>
      <w:r w:rsidRPr="00DB5D0D">
        <w:rPr>
          <w:rStyle w:val="581"/>
          <w:rFonts w:ascii="Times New Roman" w:hAnsi="Times New Roman" w:cs="Times New Roman"/>
          <w:i w:val="0"/>
          <w:color w:val="000000" w:themeColor="text1"/>
          <w:lang w:val="ru-RU"/>
        </w:rPr>
        <w:t xml:space="preserve"> округа самолётов ББ-1 с мотором М-88».</w:t>
      </w:r>
      <w:r w:rsidRPr="00DB5D0D">
        <w:rPr>
          <w:color w:val="000000" w:themeColor="text1"/>
          <w:lang w:val="ru-RU"/>
        </w:rPr>
        <w:t xml:space="preserve"> По результатам обследования была составлена докладная записка на имя Наркома обороны. В ней </w:t>
      </w:r>
      <w:r w:rsidRPr="00DB5D0D">
        <w:rPr>
          <w:color w:val="000000" w:themeColor="text1"/>
          <w:lang w:val="ru-RU"/>
        </w:rPr>
        <w:lastRenderedPageBreak/>
        <w:t>отмечалось, что:</w:t>
      </w:r>
    </w:p>
    <w:p w14:paraId="51B997BA" w14:textId="77777777" w:rsidR="00DA3BA6" w:rsidRPr="00DB5D0D" w:rsidRDefault="00DA3BA6"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Style w:val="248"/>
          <w:rFonts w:ascii="Times New Roman" w:eastAsia="Arial Unicode MS" w:hAnsi="Times New Roman" w:cs="Times New Roman"/>
          <w:i w:val="0"/>
          <w:iCs w:val="0"/>
          <w:color w:val="000000" w:themeColor="text1"/>
        </w:rPr>
        <w:t>«... При</w:t>
      </w:r>
      <w:r w:rsidRPr="00DB5D0D">
        <w:rPr>
          <w:rFonts w:ascii="Times New Roman" w:hAnsi="Times New Roman" w:cs="Times New Roman"/>
          <w:i w:val="0"/>
          <w:color w:val="000000" w:themeColor="text1"/>
          <w:sz w:val="16"/>
          <w:szCs w:val="16"/>
        </w:rPr>
        <w:t xml:space="preserve"> обследовании были выполнены контрольные полёты генерал-лейтенантом авиации </w:t>
      </w:r>
      <w:r w:rsidRPr="00DB5D0D">
        <w:rPr>
          <w:rStyle w:val="248"/>
          <w:rFonts w:ascii="Times New Roman" w:eastAsia="Arial Unicode MS" w:hAnsi="Times New Roman" w:cs="Times New Roman"/>
          <w:i w:val="0"/>
          <w:iCs w:val="0"/>
          <w:color w:val="000000" w:themeColor="text1"/>
        </w:rPr>
        <w:t>т.</w:t>
      </w:r>
      <w:r w:rsidRPr="00DB5D0D">
        <w:rPr>
          <w:rFonts w:ascii="Times New Roman" w:hAnsi="Times New Roman" w:cs="Times New Roman"/>
          <w:i w:val="0"/>
          <w:color w:val="000000" w:themeColor="text1"/>
          <w:sz w:val="16"/>
          <w:szCs w:val="16"/>
        </w:rPr>
        <w:t xml:space="preserve"> Рычаговым, генерал-майором</w:t>
      </w:r>
      <w:r w:rsidRPr="00DB5D0D">
        <w:rPr>
          <w:rStyle w:val="248"/>
          <w:rFonts w:ascii="Times New Roman" w:eastAsia="Arial Unicode MS" w:hAnsi="Times New Roman" w:cs="Times New Roman"/>
          <w:i w:val="0"/>
          <w:iCs w:val="0"/>
          <w:color w:val="000000" w:themeColor="text1"/>
        </w:rPr>
        <w:t xml:space="preserve"> авиации т.</w:t>
      </w:r>
      <w:r w:rsidRPr="00DB5D0D">
        <w:rPr>
          <w:rFonts w:ascii="Times New Roman" w:hAnsi="Times New Roman" w:cs="Times New Roman"/>
          <w:i w:val="0"/>
          <w:color w:val="000000" w:themeColor="text1"/>
          <w:sz w:val="16"/>
          <w:szCs w:val="16"/>
        </w:rPr>
        <w:t xml:space="preserve"> Филином и лётчиком-испытателем майором т.</w:t>
      </w:r>
      <w:r w:rsidRPr="00DB5D0D">
        <w:rPr>
          <w:rStyle w:val="248"/>
          <w:rFonts w:ascii="Times New Roman" w:eastAsia="Arial Unicode MS" w:hAnsi="Times New Roman" w:cs="Times New Roman"/>
          <w:i w:val="0"/>
          <w:iCs w:val="0"/>
          <w:color w:val="000000" w:themeColor="text1"/>
        </w:rPr>
        <w:t xml:space="preserve"> Сте- </w:t>
      </w:r>
      <w:r w:rsidRPr="00DB5D0D">
        <w:rPr>
          <w:rFonts w:ascii="Times New Roman" w:hAnsi="Times New Roman" w:cs="Times New Roman"/>
          <w:i w:val="0"/>
          <w:color w:val="000000" w:themeColor="text1"/>
          <w:sz w:val="16"/>
          <w:szCs w:val="16"/>
        </w:rPr>
        <w:t>фановским; кроме этого лётчиками 135 авиаполка были произведены полёты с бомбовой на</w:t>
      </w:r>
      <w:r w:rsidRPr="00DB5D0D">
        <w:rPr>
          <w:rFonts w:ascii="Times New Roman" w:hAnsi="Times New Roman" w:cs="Times New Roman"/>
          <w:i w:val="0"/>
          <w:color w:val="000000" w:themeColor="text1"/>
          <w:sz w:val="16"/>
          <w:szCs w:val="16"/>
        </w:rPr>
        <w:softHyphen/>
        <w:t>грузкой 400 и 700 кг. Взлёт самолёта ББ-1 с нагрузкой в 700 кг происходил нормально.</w:t>
      </w:r>
    </w:p>
    <w:p w14:paraId="57FEA7BD" w14:textId="77777777" w:rsidR="00DA3BA6" w:rsidRPr="00DB5D0D" w:rsidRDefault="00DA3BA6"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Обследование подтвердило наличие у самолёта ряда существенных положительных сторон, отмеченных ранее государственными и войсковыми испытаниями самолётов ББ-1:</w:t>
      </w:r>
    </w:p>
    <w:p w14:paraId="5F75F073" w14:textId="77777777" w:rsidR="00DA3BA6" w:rsidRPr="00DB5D0D" w:rsidRDefault="00DA3BA6" w:rsidP="00DB5D0D">
      <w:pPr>
        <w:pStyle w:val="212"/>
        <w:shd w:val="clear" w:color="auto" w:fill="auto"/>
        <w:tabs>
          <w:tab w:val="left" w:pos="473"/>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1. Сравнительно простые качества самолёта в отношении техники пилотирования.</w:t>
      </w:r>
    </w:p>
    <w:p w14:paraId="4A96501B" w14:textId="77777777" w:rsidR="00DA3BA6" w:rsidRPr="00DB5D0D" w:rsidRDefault="00DA3BA6" w:rsidP="00DB5D0D">
      <w:pPr>
        <w:pStyle w:val="212"/>
        <w:shd w:val="clear" w:color="auto" w:fill="auto"/>
        <w:tabs>
          <w:tab w:val="left" w:pos="519"/>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 Мощное бомбовое вооружение - в нормальном варианте самолёт берёт до 500 кг бомб калибра от 1</w:t>
      </w:r>
      <w:r w:rsidRPr="00DB5D0D">
        <w:rPr>
          <w:rStyle w:val="248"/>
          <w:rFonts w:ascii="Times New Roman" w:eastAsia="Arial Unicode MS" w:hAnsi="Times New Roman" w:cs="Times New Roman"/>
          <w:i w:val="0"/>
          <w:iCs w:val="0"/>
          <w:color w:val="000000" w:themeColor="text1"/>
        </w:rPr>
        <w:t xml:space="preserve"> кг до</w:t>
      </w:r>
      <w:r w:rsidRPr="00DB5D0D">
        <w:rPr>
          <w:rFonts w:ascii="Times New Roman" w:hAnsi="Times New Roman" w:cs="Times New Roman"/>
          <w:i w:val="0"/>
          <w:color w:val="000000" w:themeColor="text1"/>
          <w:sz w:val="16"/>
          <w:szCs w:val="16"/>
        </w:rPr>
        <w:t xml:space="preserve"> 250 кг и в перегрузочном варианте, проверенном на войсковых испытаниях, до 700 кг.</w:t>
      </w:r>
    </w:p>
    <w:p w14:paraId="038BFDF8" w14:textId="77777777" w:rsidR="00DA3BA6" w:rsidRPr="00DB5D0D" w:rsidRDefault="00DA3BA6" w:rsidP="00DB5D0D">
      <w:pPr>
        <w:pStyle w:val="212"/>
        <w:shd w:val="clear" w:color="auto" w:fill="auto"/>
        <w:tabs>
          <w:tab w:val="left" w:pos="492"/>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3. Хорошую огневую мощь самолёта в варианте штурмовика:</w:t>
      </w:r>
    </w:p>
    <w:p w14:paraId="2C9AC49F" w14:textId="77777777" w:rsidR="00DA3BA6" w:rsidRPr="00DB5D0D" w:rsidRDefault="00DA3BA6" w:rsidP="00DB5D0D">
      <w:pPr>
        <w:pStyle w:val="212"/>
        <w:shd w:val="clear" w:color="auto" w:fill="auto"/>
        <w:tabs>
          <w:tab w:val="left" w:pos="751"/>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а) 4 крыльевых пулемёта ШКАС 7,62 мм с запасом патрон 850 штук на пулемёт;</w:t>
      </w:r>
    </w:p>
    <w:p w14:paraId="4875E413" w14:textId="77777777" w:rsidR="00DA3BA6" w:rsidRPr="00DB5D0D" w:rsidRDefault="00DA3BA6" w:rsidP="00DB5D0D">
      <w:pPr>
        <w:pStyle w:val="212"/>
        <w:shd w:val="clear" w:color="auto" w:fill="auto"/>
        <w:tabs>
          <w:tab w:val="left" w:pos="794"/>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б) 1 турельный пулемёт с запасом патрон 1000 штук;</w:t>
      </w:r>
    </w:p>
    <w:p w14:paraId="6DBB7E59" w14:textId="77777777" w:rsidR="00DA3BA6" w:rsidRPr="00DB5D0D" w:rsidRDefault="00DA3BA6" w:rsidP="00DB5D0D">
      <w:pPr>
        <w:pStyle w:val="212"/>
        <w:shd w:val="clear" w:color="auto" w:fill="auto"/>
        <w:tabs>
          <w:tab w:val="left" w:pos="775"/>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 144 бомбы калибра от 1 до 2,5</w:t>
      </w:r>
      <w:r w:rsidRPr="00DB5D0D">
        <w:rPr>
          <w:rStyle w:val="248"/>
          <w:rFonts w:ascii="Times New Roman" w:eastAsia="Arial Unicode MS" w:hAnsi="Times New Roman" w:cs="Times New Roman"/>
          <w:i w:val="0"/>
          <w:iCs w:val="0"/>
          <w:color w:val="000000" w:themeColor="text1"/>
        </w:rPr>
        <w:t xml:space="preserve"> кг или</w:t>
      </w:r>
      <w:r w:rsidRPr="00DB5D0D">
        <w:rPr>
          <w:rFonts w:ascii="Times New Roman" w:hAnsi="Times New Roman" w:cs="Times New Roman"/>
          <w:i w:val="0"/>
          <w:color w:val="000000" w:themeColor="text1"/>
          <w:sz w:val="16"/>
          <w:szCs w:val="16"/>
        </w:rPr>
        <w:t xml:space="preserve"> 30 бомб калибра от 8</w:t>
      </w:r>
      <w:r w:rsidRPr="00DB5D0D">
        <w:rPr>
          <w:rStyle w:val="248"/>
          <w:rFonts w:ascii="Times New Roman" w:eastAsia="Arial Unicode MS" w:hAnsi="Times New Roman" w:cs="Times New Roman"/>
          <w:i w:val="0"/>
          <w:iCs w:val="0"/>
          <w:color w:val="000000" w:themeColor="text1"/>
        </w:rPr>
        <w:t xml:space="preserve"> до 20 кг.</w:t>
      </w:r>
    </w:p>
    <w:p w14:paraId="4CEB072E" w14:textId="77777777" w:rsidR="00DA3BA6" w:rsidRPr="00DB5D0D" w:rsidRDefault="00DA3BA6"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Вместо бомб возможна установка химвооружения - двух ВАП-200.</w:t>
      </w:r>
    </w:p>
    <w:p w14:paraId="6F7F4A72" w14:textId="77777777" w:rsidR="00DA3BA6" w:rsidRPr="00DB5D0D" w:rsidRDefault="00DA3BA6" w:rsidP="00DB5D0D">
      <w:pPr>
        <w:pStyle w:val="212"/>
        <w:shd w:val="clear" w:color="auto" w:fill="auto"/>
        <w:tabs>
          <w:tab w:val="left" w:pos="521"/>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4. Максимальная горизонтальная скорость самолёта</w:t>
      </w:r>
    </w:p>
    <w:p w14:paraId="0157F659" w14:textId="77777777" w:rsidR="00DA3BA6" w:rsidRPr="00DB5D0D" w:rsidRDefault="00DA3BA6" w:rsidP="00DB5D0D">
      <w:pPr>
        <w:pStyle w:val="212"/>
        <w:shd w:val="clear" w:color="auto" w:fill="auto"/>
        <w:tabs>
          <w:tab w:val="left" w:leader="dot" w:pos="1582"/>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у земли</w:t>
      </w:r>
      <w:r w:rsidRPr="00DB5D0D">
        <w:rPr>
          <w:rFonts w:ascii="Times New Roman" w:hAnsi="Times New Roman" w:cs="Times New Roman"/>
          <w:i w:val="0"/>
          <w:color w:val="000000" w:themeColor="text1"/>
          <w:sz w:val="16"/>
          <w:szCs w:val="16"/>
        </w:rPr>
        <w:tab/>
        <w:t xml:space="preserve"> - 375 км/ч</w:t>
      </w:r>
    </w:p>
    <w:p w14:paraId="26925C6C" w14:textId="77777777" w:rsidR="00DA3BA6" w:rsidRPr="00DB5D0D" w:rsidRDefault="00DA3BA6"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на высоте 6600 м - 467 км/ч ...</w:t>
      </w:r>
    </w:p>
    <w:p w14:paraId="57F05587" w14:textId="77777777" w:rsidR="00DA3BA6" w:rsidRPr="00DB5D0D" w:rsidRDefault="00DA3BA6"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Style w:val="248"/>
          <w:rFonts w:ascii="Times New Roman" w:eastAsia="Arial Unicode MS" w:hAnsi="Times New Roman" w:cs="Times New Roman"/>
          <w:i w:val="0"/>
          <w:iCs w:val="0"/>
          <w:color w:val="000000" w:themeColor="text1"/>
        </w:rPr>
        <w:t>...На войсковых испытаниях</w:t>
      </w:r>
      <w:r w:rsidRPr="00DB5D0D">
        <w:rPr>
          <w:rFonts w:ascii="Times New Roman" w:hAnsi="Times New Roman" w:cs="Times New Roman"/>
          <w:i w:val="0"/>
          <w:color w:val="000000" w:themeColor="text1"/>
          <w:sz w:val="16"/>
          <w:szCs w:val="16"/>
        </w:rPr>
        <w:t xml:space="preserve"> подтвердилась недоведённость винтомоторной группы самолёта ББ-1 с мотором М-88 и выявилась недостаточная прочность шасси, колёс и пневматиков, что не даёт возможности нормальной эксплуатации самолёта в строевых частях.</w:t>
      </w:r>
    </w:p>
    <w:p w14:paraId="3A0E0D86" w14:textId="77777777" w:rsidR="00DA3BA6" w:rsidRPr="00DB5D0D" w:rsidRDefault="00DA3BA6"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 настоящее время полёты в частях на самолётах ББ-1 с мотором М-88 прекращены из-за непрочности шасси, колёс и пневматиков.</w:t>
      </w:r>
    </w:p>
    <w:p w14:paraId="48299802" w14:textId="77777777" w:rsidR="00DA3BA6" w:rsidRPr="00DB5D0D" w:rsidRDefault="00DA3BA6"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Заводом № 135 температурный режим масла доведён до удовлетворительного состояния, что будет окончательно проверено дополнительными испытаниями в НИИ ВВС КА.</w:t>
      </w:r>
    </w:p>
    <w:p w14:paraId="7EB965C1" w14:textId="77777777" w:rsidR="00DA3BA6" w:rsidRPr="00DB5D0D" w:rsidRDefault="00DA3BA6"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Для обеспечения нормальной эксплуатации самолёта ББ-1 с мотором М-88 в строевых частях ВВС Красной Армии необходимо потребовать от НКАП выполнения следующих мероприятий:</w:t>
      </w:r>
    </w:p>
    <w:p w14:paraId="2981A5EF" w14:textId="77777777" w:rsidR="00DA3BA6" w:rsidRPr="00DB5D0D" w:rsidRDefault="00DA3BA6" w:rsidP="00DB5D0D">
      <w:pPr>
        <w:pStyle w:val="212"/>
        <w:shd w:val="clear" w:color="auto" w:fill="auto"/>
        <w:tabs>
          <w:tab w:val="left" w:pos="510"/>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1. Усилить амортизационную стойку и верхний подкос шасси и установить их на всех ранее выпущенных самолётах.</w:t>
      </w:r>
    </w:p>
    <w:p w14:paraId="6DC78F5F" w14:textId="77777777" w:rsidR="00DA3BA6" w:rsidRPr="00DB5D0D" w:rsidRDefault="00DA3BA6" w:rsidP="00DB5D0D">
      <w:pPr>
        <w:pStyle w:val="212"/>
        <w:shd w:val="clear" w:color="auto" w:fill="auto"/>
        <w:tabs>
          <w:tab w:val="left" w:pos="511"/>
        </w:tabs>
        <w:spacing w:line="240" w:lineRule="auto"/>
        <w:jc w:val="both"/>
        <w:rPr>
          <w:rFonts w:ascii="Times New Roman" w:hAnsi="Times New Roman" w:cs="Times New Roman"/>
          <w:i w:val="0"/>
          <w:color w:val="000000" w:themeColor="text1"/>
          <w:sz w:val="16"/>
          <w:szCs w:val="16"/>
        </w:rPr>
      </w:pPr>
      <w:r w:rsidRPr="00DB5D0D">
        <w:rPr>
          <w:rStyle w:val="246"/>
          <w:rFonts w:ascii="Times New Roman" w:eastAsia="Arial Unicode MS" w:hAnsi="Times New Roman" w:cs="Times New Roman"/>
          <w:i w:val="0"/>
          <w:iCs w:val="0"/>
          <w:color w:val="000000" w:themeColor="text1"/>
        </w:rPr>
        <w:t>2. Усилить</w:t>
      </w:r>
      <w:r w:rsidRPr="00DB5D0D">
        <w:rPr>
          <w:rFonts w:ascii="Times New Roman" w:hAnsi="Times New Roman" w:cs="Times New Roman"/>
          <w:i w:val="0"/>
          <w:color w:val="000000" w:themeColor="text1"/>
          <w:sz w:val="16"/>
          <w:szCs w:val="16"/>
        </w:rPr>
        <w:t xml:space="preserve"> колёса и пневматики.</w:t>
      </w:r>
    </w:p>
    <w:p w14:paraId="1BD42FA4" w14:textId="77777777" w:rsidR="00DA3BA6" w:rsidRPr="00DB5D0D" w:rsidRDefault="00DA3BA6" w:rsidP="00DB5D0D">
      <w:pPr>
        <w:pStyle w:val="212"/>
        <w:shd w:val="clear" w:color="auto" w:fill="auto"/>
        <w:tabs>
          <w:tab w:val="left" w:pos="506"/>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3. Обеспечить вполне надёжную работу мотора М-88.</w:t>
      </w:r>
    </w:p>
    <w:p w14:paraId="3634716F" w14:textId="77777777" w:rsidR="00DA3BA6" w:rsidRPr="00DB5D0D" w:rsidRDefault="00DA3BA6" w:rsidP="00DB5D0D">
      <w:pPr>
        <w:pStyle w:val="212"/>
        <w:shd w:val="clear" w:color="auto" w:fill="auto"/>
        <w:tabs>
          <w:tab w:val="left" w:pos="521"/>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4. Устранить замасливание прицела и нижнего люка штурмана.</w:t>
      </w:r>
    </w:p>
    <w:p w14:paraId="14F07469" w14:textId="77777777" w:rsidR="00DA3BA6" w:rsidRPr="00DB5D0D" w:rsidRDefault="00DA3BA6" w:rsidP="00DB5D0D">
      <w:pPr>
        <w:pStyle w:val="212"/>
        <w:shd w:val="clear" w:color="auto" w:fill="auto"/>
        <w:tabs>
          <w:tab w:val="left" w:pos="524"/>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5. Обязать главного конструктора т. Сухого лично</w:t>
      </w:r>
      <w:r w:rsidRPr="00DB5D0D">
        <w:rPr>
          <w:rStyle w:val="246"/>
          <w:rFonts w:ascii="Times New Roman" w:eastAsia="Arial Unicode MS" w:hAnsi="Times New Roman" w:cs="Times New Roman"/>
          <w:i w:val="0"/>
          <w:iCs w:val="0"/>
          <w:color w:val="000000" w:themeColor="text1"/>
        </w:rPr>
        <w:t xml:space="preserve"> руководить</w:t>
      </w:r>
      <w:r w:rsidRPr="00DB5D0D">
        <w:rPr>
          <w:rFonts w:ascii="Times New Roman" w:hAnsi="Times New Roman" w:cs="Times New Roman"/>
          <w:i w:val="0"/>
          <w:color w:val="000000" w:themeColor="text1"/>
          <w:sz w:val="16"/>
          <w:szCs w:val="16"/>
        </w:rPr>
        <w:t xml:space="preserve"> доводкой самолёта ББ-1</w:t>
      </w:r>
      <w:r w:rsidRPr="00DB5D0D">
        <w:rPr>
          <w:rStyle w:val="246"/>
          <w:rFonts w:ascii="Times New Roman" w:eastAsia="Arial Unicode MS" w:hAnsi="Times New Roman" w:cs="Times New Roman"/>
          <w:i w:val="0"/>
          <w:iCs w:val="0"/>
          <w:color w:val="000000" w:themeColor="text1"/>
        </w:rPr>
        <w:t xml:space="preserve"> и </w:t>
      </w:r>
      <w:r w:rsidRPr="00DB5D0D">
        <w:rPr>
          <w:rFonts w:ascii="Times New Roman" w:hAnsi="Times New Roman" w:cs="Times New Roman"/>
          <w:i w:val="0"/>
          <w:color w:val="000000" w:themeColor="text1"/>
          <w:sz w:val="16"/>
          <w:szCs w:val="16"/>
        </w:rPr>
        <w:t>устранением дефектов на заводе № 135.</w:t>
      </w:r>
    </w:p>
    <w:p w14:paraId="67AEA5C0" w14:textId="77777777" w:rsidR="00DA3BA6" w:rsidRPr="00DB5D0D" w:rsidRDefault="00DA3BA6"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На 1941 год необходимо потребовать от</w:t>
      </w:r>
      <w:r w:rsidRPr="00DB5D0D">
        <w:rPr>
          <w:rStyle w:val="246"/>
          <w:rFonts w:ascii="Times New Roman" w:eastAsia="Arial Unicode MS" w:hAnsi="Times New Roman" w:cs="Times New Roman"/>
          <w:i w:val="0"/>
          <w:iCs w:val="0"/>
          <w:color w:val="000000" w:themeColor="text1"/>
        </w:rPr>
        <w:t xml:space="preserve"> главного</w:t>
      </w:r>
      <w:r w:rsidRPr="00DB5D0D">
        <w:rPr>
          <w:rFonts w:ascii="Times New Roman" w:hAnsi="Times New Roman" w:cs="Times New Roman"/>
          <w:i w:val="0"/>
          <w:color w:val="000000" w:themeColor="text1"/>
          <w:sz w:val="16"/>
          <w:szCs w:val="16"/>
        </w:rPr>
        <w:t xml:space="preserve"> конструктора самолёта ББ-1 т. Сухого и завода № 135:</w:t>
      </w:r>
    </w:p>
    <w:p w14:paraId="3219AD23" w14:textId="77777777" w:rsidR="00DA3BA6" w:rsidRPr="00DB5D0D" w:rsidRDefault="00DA3BA6" w:rsidP="00DB5D0D">
      <w:pPr>
        <w:pStyle w:val="212"/>
        <w:shd w:val="clear" w:color="auto" w:fill="auto"/>
        <w:tabs>
          <w:tab w:val="left" w:pos="473"/>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1. Установки на самолёте ББ-1 предкрылков.</w:t>
      </w:r>
    </w:p>
    <w:p w14:paraId="1E13F142" w14:textId="77777777" w:rsidR="00DA3BA6" w:rsidRPr="00DB5D0D" w:rsidRDefault="00DA3BA6" w:rsidP="00DB5D0D">
      <w:pPr>
        <w:pStyle w:val="212"/>
        <w:shd w:val="clear" w:color="auto" w:fill="auto"/>
        <w:tabs>
          <w:tab w:val="left" w:pos="511"/>
        </w:tabs>
        <w:spacing w:line="240" w:lineRule="auto"/>
        <w:jc w:val="both"/>
        <w:rPr>
          <w:rFonts w:ascii="Times New Roman" w:hAnsi="Times New Roman" w:cs="Times New Roman"/>
          <w:i w:val="0"/>
          <w:color w:val="000000" w:themeColor="text1"/>
          <w:sz w:val="16"/>
          <w:szCs w:val="16"/>
        </w:rPr>
      </w:pPr>
      <w:r w:rsidRPr="00DB5D0D">
        <w:rPr>
          <w:rStyle w:val="246"/>
          <w:rFonts w:ascii="Times New Roman" w:eastAsia="Arial Unicode MS" w:hAnsi="Times New Roman" w:cs="Times New Roman"/>
          <w:i w:val="0"/>
          <w:iCs w:val="0"/>
          <w:color w:val="000000" w:themeColor="text1"/>
        </w:rPr>
        <w:t>2. Увеличения</w:t>
      </w:r>
      <w:r w:rsidRPr="00DB5D0D">
        <w:rPr>
          <w:rFonts w:ascii="Times New Roman" w:hAnsi="Times New Roman" w:cs="Times New Roman"/>
          <w:i w:val="0"/>
          <w:color w:val="000000" w:themeColor="text1"/>
          <w:sz w:val="16"/>
          <w:szCs w:val="16"/>
        </w:rPr>
        <w:t xml:space="preserve"> поперечного V.</w:t>
      </w:r>
    </w:p>
    <w:p w14:paraId="7E1B26C6" w14:textId="77777777" w:rsidR="00DA3BA6" w:rsidRPr="00DB5D0D" w:rsidRDefault="00DA3BA6" w:rsidP="00DB5D0D">
      <w:pPr>
        <w:pStyle w:val="212"/>
        <w:shd w:val="clear" w:color="auto" w:fill="auto"/>
        <w:tabs>
          <w:tab w:val="left" w:pos="510"/>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3. Установки хвостового колёса по типу самолёта Мессершмидт 109 и установки стопора костыля.</w:t>
      </w:r>
    </w:p>
    <w:p w14:paraId="72AB63CD" w14:textId="77777777" w:rsidR="00DA3BA6" w:rsidRPr="00DB5D0D" w:rsidRDefault="00DA3BA6" w:rsidP="00DB5D0D">
      <w:pPr>
        <w:pStyle w:val="212"/>
        <w:shd w:val="clear" w:color="auto" w:fill="auto"/>
        <w:tabs>
          <w:tab w:val="left" w:pos="516"/>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4. Увеличения времени выпуска щитков до 6-8 сек.</w:t>
      </w:r>
    </w:p>
    <w:p w14:paraId="3420A2A3" w14:textId="77777777" w:rsidR="00DA3BA6" w:rsidRPr="00DB5D0D" w:rsidRDefault="00DA3BA6" w:rsidP="00DB5D0D">
      <w:pPr>
        <w:pStyle w:val="212"/>
        <w:shd w:val="clear" w:color="auto" w:fill="auto"/>
        <w:tabs>
          <w:tab w:val="left" w:pos="514"/>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5. Отработки нормального нарастания перегрузок на рули, установив «аэродинамический» люфт в руле высоты и трение в элеронах.</w:t>
      </w:r>
    </w:p>
    <w:p w14:paraId="630C2818" w14:textId="77777777" w:rsidR="00DA3BA6" w:rsidRPr="00DB5D0D" w:rsidRDefault="00DA3BA6" w:rsidP="00DB5D0D">
      <w:pPr>
        <w:pStyle w:val="212"/>
        <w:shd w:val="clear" w:color="auto" w:fill="auto"/>
        <w:tabs>
          <w:tab w:val="left" w:pos="511"/>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6. Отработать установку для подвески одной бомбы в 500 кг.</w:t>
      </w:r>
    </w:p>
    <w:p w14:paraId="646B1B99" w14:textId="77777777" w:rsidR="00DA3BA6" w:rsidRPr="00DB5D0D" w:rsidRDefault="00DA3BA6" w:rsidP="00DB5D0D">
      <w:pPr>
        <w:pStyle w:val="212"/>
        <w:shd w:val="clear" w:color="auto" w:fill="auto"/>
        <w:tabs>
          <w:tab w:val="left" w:pos="497"/>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 Довести скорости самолёта до расчётных.</w:t>
      </w:r>
    </w:p>
    <w:p w14:paraId="7C0EB896" w14:textId="77777777" w:rsidR="00DA3BA6" w:rsidRPr="00DB5D0D" w:rsidRDefault="00DA3BA6" w:rsidP="00DB5D0D">
      <w:pPr>
        <w:pStyle w:val="212"/>
        <w:shd w:val="clear" w:color="auto" w:fill="auto"/>
        <w:tabs>
          <w:tab w:val="left" w:pos="502"/>
        </w:tabs>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8. Проработать вопрос применения самолёта ББ-1 для бомбометания с пикирования.»</w:t>
      </w:r>
      <w:r w:rsidRPr="00DB5D0D">
        <w:rPr>
          <w:rStyle w:val="246"/>
          <w:rFonts w:ascii="Times New Roman" w:eastAsia="Arial Unicode MS" w:hAnsi="Times New Roman" w:cs="Times New Roman"/>
          <w:i w:val="0"/>
          <w:iCs w:val="0"/>
          <w:color w:val="000000" w:themeColor="text1"/>
        </w:rPr>
        <w:t xml:space="preserve"> (15975).</w:t>
      </w:r>
    </w:p>
    <w:p w14:paraId="5BCC43EF" w14:textId="77777777" w:rsidR="00DA3BA6" w:rsidRPr="00DB5D0D" w:rsidRDefault="00DA3BA6" w:rsidP="00DB5D0D">
      <w:pPr>
        <w:pStyle w:val="a3"/>
        <w:rPr>
          <w:color w:val="000000" w:themeColor="text1"/>
          <w:lang w:val="ru-RU"/>
        </w:rPr>
      </w:pPr>
    </w:p>
    <w:p w14:paraId="465701F7" w14:textId="77777777" w:rsidR="00A25AD1" w:rsidRPr="00DB5D0D" w:rsidRDefault="00A25AD1" w:rsidP="00DB5D0D">
      <w:pPr>
        <w:pStyle w:val="a3"/>
        <w:tabs>
          <w:tab w:val="left" w:pos="11199"/>
        </w:tabs>
        <w:rPr>
          <w:color w:val="000000" w:themeColor="text1"/>
          <w:lang w:val="ru-RU"/>
        </w:rPr>
      </w:pPr>
      <w:r w:rsidRPr="00DB5D0D">
        <w:rPr>
          <w:color w:val="000000" w:themeColor="text1"/>
          <w:lang w:val="ru-RU"/>
        </w:rPr>
        <w:t>Летом 1940 в НКАП были представлены эскиз</w:t>
      </w:r>
      <w:r w:rsidRPr="00DB5D0D">
        <w:rPr>
          <w:color w:val="000000" w:themeColor="text1"/>
          <w:lang w:val="ru-RU"/>
        </w:rPr>
        <w:softHyphen/>
        <w:t>ные проекты самолетов поля боя - маневренно-скоростных истребителей - са</w:t>
      </w:r>
      <w:r w:rsidRPr="00DB5D0D">
        <w:rPr>
          <w:color w:val="000000" w:themeColor="text1"/>
          <w:lang w:val="ru-RU"/>
        </w:rPr>
        <w:softHyphen/>
        <w:t>молетов И-207 № 10 и № 11 (6269).</w:t>
      </w:r>
    </w:p>
    <w:p w14:paraId="12F327EA" w14:textId="77777777" w:rsidR="00A25AD1" w:rsidRPr="00DB5D0D" w:rsidRDefault="00A25AD1" w:rsidP="00DB5D0D">
      <w:pPr>
        <w:pStyle w:val="a3"/>
        <w:tabs>
          <w:tab w:val="left" w:pos="11199"/>
        </w:tabs>
        <w:rPr>
          <w:color w:val="000000" w:themeColor="text1"/>
          <w:lang w:val="ru-RU"/>
        </w:rPr>
      </w:pPr>
    </w:p>
    <w:p w14:paraId="154F04E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в Харьков с ин</w:t>
      </w:r>
      <w:r w:rsidRPr="00DB5D0D">
        <w:rPr>
          <w:rFonts w:ascii="Times New Roman" w:hAnsi="Times New Roman"/>
          <w:color w:val="000000" w:themeColor="text1"/>
          <w:sz w:val="16"/>
          <w:szCs w:val="16"/>
        </w:rPr>
        <w:softHyphen/>
        <w:t>спекторской проверкой прибыли: заместитель начальника ВВС КА ге</w:t>
      </w:r>
      <w:r w:rsidRPr="00DB5D0D">
        <w:rPr>
          <w:rFonts w:ascii="Times New Roman" w:hAnsi="Times New Roman"/>
          <w:color w:val="000000" w:themeColor="text1"/>
          <w:sz w:val="16"/>
          <w:szCs w:val="16"/>
        </w:rPr>
        <w:softHyphen/>
        <w:t>нерал-лейтенант авиации П.В.Рыча</w:t>
      </w:r>
      <w:r w:rsidRPr="00DB5D0D">
        <w:rPr>
          <w:rFonts w:ascii="Times New Roman" w:hAnsi="Times New Roman"/>
          <w:color w:val="000000" w:themeColor="text1"/>
          <w:sz w:val="16"/>
          <w:szCs w:val="16"/>
        </w:rPr>
        <w:softHyphen/>
        <w:t>гов и начальник НИИ ГУАС (ГУ ВВС) КА генерал-майор авиации А.И.Фи-лин.ЧДелью проверки явилось обсле</w:t>
      </w:r>
      <w:r w:rsidRPr="00DB5D0D">
        <w:rPr>
          <w:rFonts w:ascii="Times New Roman" w:hAnsi="Times New Roman"/>
          <w:color w:val="000000" w:themeColor="text1"/>
          <w:sz w:val="16"/>
          <w:szCs w:val="16"/>
        </w:rPr>
        <w:softHyphen/>
        <w:t>дование «состояния постройки на заводе №135 и эксплуатации в стро</w:t>
      </w:r>
      <w:r w:rsidRPr="00DB5D0D">
        <w:rPr>
          <w:rFonts w:ascii="Times New Roman" w:hAnsi="Times New Roman"/>
          <w:color w:val="000000" w:themeColor="text1"/>
          <w:sz w:val="16"/>
          <w:szCs w:val="16"/>
        </w:rPr>
        <w:softHyphen/>
        <w:t>евых частях Харьковского военного округа самолетов ББ-1 с мотором М-88». По результатам обследования была составлена докладная записка на имя Наркома обороны. В ней отмечалось, что:</w:t>
      </w:r>
    </w:p>
    <w:p w14:paraId="137C54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При обследовании были вы</w:t>
      </w:r>
      <w:r w:rsidRPr="00DB5D0D">
        <w:rPr>
          <w:rFonts w:ascii="Times New Roman" w:hAnsi="Times New Roman"/>
          <w:color w:val="000000" w:themeColor="text1"/>
          <w:sz w:val="16"/>
          <w:szCs w:val="16"/>
        </w:rPr>
        <w:softHyphen/>
        <w:t>полнены контрольные полеты гене</w:t>
      </w:r>
      <w:r w:rsidRPr="00DB5D0D">
        <w:rPr>
          <w:rFonts w:ascii="Times New Roman" w:hAnsi="Times New Roman"/>
          <w:color w:val="000000" w:themeColor="text1"/>
          <w:sz w:val="16"/>
          <w:szCs w:val="16"/>
        </w:rPr>
        <w:softHyphen/>
        <w:t>рал-лейтенантом авиации т. Рычаго-вым, генерал-майором авиации т. Филином и летчиком-испытателем майором т. Стефановским; кроме этого летчиками 135 авиаполка были произведены полеты с бомбовой нагрузкой 400 и 700 кг. Взлет само</w:t>
      </w:r>
      <w:r w:rsidRPr="00DB5D0D">
        <w:rPr>
          <w:rFonts w:ascii="Times New Roman" w:hAnsi="Times New Roman"/>
          <w:color w:val="000000" w:themeColor="text1"/>
          <w:sz w:val="16"/>
          <w:szCs w:val="16"/>
        </w:rPr>
        <w:softHyphen/>
        <w:t>лета ББ- 1 с нагрузкой в 700 кг про</w:t>
      </w:r>
      <w:r w:rsidRPr="00DB5D0D">
        <w:rPr>
          <w:rFonts w:ascii="Times New Roman" w:hAnsi="Times New Roman"/>
          <w:color w:val="000000" w:themeColor="text1"/>
          <w:sz w:val="16"/>
          <w:szCs w:val="16"/>
        </w:rPr>
        <w:softHyphen/>
        <w:t>исходил нормально.</w:t>
      </w:r>
    </w:p>
    <w:p w14:paraId="23CB6D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Обследование подтвердило нали</w:t>
      </w:r>
      <w:r w:rsidRPr="00DB5D0D">
        <w:rPr>
          <w:rFonts w:ascii="Times New Roman" w:hAnsi="Times New Roman"/>
          <w:color w:val="000000" w:themeColor="text1"/>
          <w:sz w:val="16"/>
          <w:szCs w:val="16"/>
        </w:rPr>
        <w:softHyphen/>
        <w:t>чие у самолета ряда существенных положительных сторон, отмеченных ранее государственными и войско</w:t>
      </w:r>
      <w:r w:rsidRPr="00DB5D0D">
        <w:rPr>
          <w:rFonts w:ascii="Times New Roman" w:hAnsi="Times New Roman"/>
          <w:color w:val="000000" w:themeColor="text1"/>
          <w:sz w:val="16"/>
          <w:szCs w:val="16"/>
        </w:rPr>
        <w:softHyphen/>
        <w:t>выми испытаниями самолетов ББ-1:</w:t>
      </w:r>
    </w:p>
    <w:p w14:paraId="4E46630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Сравнительно простые каче</w:t>
      </w:r>
      <w:r w:rsidRPr="00DB5D0D">
        <w:rPr>
          <w:rFonts w:ascii="Times New Roman" w:hAnsi="Times New Roman"/>
          <w:color w:val="000000" w:themeColor="text1"/>
          <w:sz w:val="16"/>
          <w:szCs w:val="16"/>
        </w:rPr>
        <w:softHyphen/>
        <w:t>ства самолета в отношении техники пилотирования.</w:t>
      </w:r>
    </w:p>
    <w:p w14:paraId="7D5152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Мощное бомбовое вооруже</w:t>
      </w:r>
      <w:r w:rsidRPr="00DB5D0D">
        <w:rPr>
          <w:rFonts w:ascii="Times New Roman" w:hAnsi="Times New Roman"/>
          <w:color w:val="000000" w:themeColor="text1"/>
          <w:sz w:val="16"/>
          <w:szCs w:val="16"/>
        </w:rPr>
        <w:softHyphen/>
        <w:t>ние - в нормальном варианте само</w:t>
      </w:r>
      <w:r w:rsidRPr="00DB5D0D">
        <w:rPr>
          <w:rFonts w:ascii="Times New Roman" w:hAnsi="Times New Roman"/>
          <w:color w:val="000000" w:themeColor="text1"/>
          <w:sz w:val="16"/>
          <w:szCs w:val="16"/>
        </w:rPr>
        <w:softHyphen/>
        <w:t>лет берет до 500 кг бомб калибра</w:t>
      </w:r>
    </w:p>
    <w:p w14:paraId="33D57A0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 / А/1-556</w:t>
      </w:r>
    </w:p>
    <w:p w14:paraId="1FB7D7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1 кг до 250 кг и в перегрузочном варианте, проверенном на войско</w:t>
      </w:r>
      <w:r w:rsidRPr="00DB5D0D">
        <w:rPr>
          <w:rFonts w:ascii="Times New Roman" w:hAnsi="Times New Roman"/>
          <w:color w:val="000000" w:themeColor="text1"/>
          <w:sz w:val="16"/>
          <w:szCs w:val="16"/>
        </w:rPr>
        <w:softHyphen/>
        <w:t>вых испытаниях до 700 кг.</w:t>
      </w:r>
    </w:p>
    <w:p w14:paraId="6AD446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Хорошую огневую мощь само</w:t>
      </w:r>
      <w:r w:rsidRPr="00DB5D0D">
        <w:rPr>
          <w:rFonts w:ascii="Times New Roman" w:hAnsi="Times New Roman"/>
          <w:color w:val="000000" w:themeColor="text1"/>
          <w:sz w:val="16"/>
          <w:szCs w:val="16"/>
        </w:rPr>
        <w:softHyphen/>
        <w:t>лета в варианте штурмовика:</w:t>
      </w:r>
    </w:p>
    <w:p w14:paraId="6CA4BB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4 крыльевых пулемета ШКАС 7,62 мм с запасом патрон 850 штук на пулемет;</w:t>
      </w:r>
    </w:p>
    <w:p w14:paraId="06BD54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1 турельный пулемет с запа</w:t>
      </w:r>
      <w:r w:rsidRPr="00DB5D0D">
        <w:rPr>
          <w:rFonts w:ascii="Times New Roman" w:hAnsi="Times New Roman"/>
          <w:color w:val="000000" w:themeColor="text1"/>
          <w:sz w:val="16"/>
          <w:szCs w:val="16"/>
        </w:rPr>
        <w:softHyphen/>
        <w:t>сом патрон 1000 штук;</w:t>
      </w:r>
    </w:p>
    <w:p w14:paraId="285688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144 бомбы калибра от 1 до 2,5 кг или 30 бомб калибра от 8 до 20кг.</w:t>
      </w:r>
    </w:p>
    <w:p w14:paraId="1ABB86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Вместо бомб возможна установ</w:t>
      </w:r>
      <w:r w:rsidRPr="00DB5D0D">
        <w:rPr>
          <w:rFonts w:ascii="Times New Roman" w:hAnsi="Times New Roman"/>
          <w:color w:val="000000" w:themeColor="text1"/>
          <w:sz w:val="16"/>
          <w:szCs w:val="16"/>
        </w:rPr>
        <w:softHyphen/>
        <w:t>ка химвооружения - двух ВАП-200.</w:t>
      </w:r>
    </w:p>
    <w:p w14:paraId="272E2B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Максимальная горизонтальная скорость самолета</w:t>
      </w:r>
    </w:p>
    <w:p w14:paraId="3159EBB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земли - 375 км/ч</w:t>
      </w:r>
    </w:p>
    <w:p w14:paraId="61B39E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6600 м - 467 км/ч...</w:t>
      </w:r>
    </w:p>
    <w:p w14:paraId="42E491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войсковых испытаниях под</w:t>
      </w:r>
      <w:r w:rsidRPr="00DB5D0D">
        <w:rPr>
          <w:rFonts w:ascii="Times New Roman" w:hAnsi="Times New Roman"/>
          <w:color w:val="000000" w:themeColor="text1"/>
          <w:sz w:val="16"/>
          <w:szCs w:val="16"/>
        </w:rPr>
        <w:softHyphen/>
        <w:t>твердилась недоведенность винтомо</w:t>
      </w:r>
      <w:r w:rsidRPr="00DB5D0D">
        <w:rPr>
          <w:rFonts w:ascii="Times New Roman" w:hAnsi="Times New Roman"/>
          <w:color w:val="000000" w:themeColor="text1"/>
          <w:sz w:val="16"/>
          <w:szCs w:val="16"/>
        </w:rPr>
        <w:softHyphen/>
        <w:t>торной группы самолета ББ-1 с мо</w:t>
      </w:r>
      <w:r w:rsidRPr="00DB5D0D">
        <w:rPr>
          <w:rFonts w:ascii="Times New Roman" w:hAnsi="Times New Roman"/>
          <w:color w:val="000000" w:themeColor="text1"/>
          <w:sz w:val="16"/>
          <w:szCs w:val="16"/>
        </w:rPr>
        <w:softHyphen/>
        <w:t>тором М-88 и выявилась недостаточ</w:t>
      </w:r>
      <w:r w:rsidRPr="00DB5D0D">
        <w:rPr>
          <w:rFonts w:ascii="Times New Roman" w:hAnsi="Times New Roman"/>
          <w:color w:val="000000" w:themeColor="text1"/>
          <w:sz w:val="16"/>
          <w:szCs w:val="16"/>
        </w:rPr>
        <w:softHyphen/>
        <w:t>ная прочность шасси, колес и пнев-матиков, что не дает возможности нормальной эксплуатации самолета в строевых частях.</w:t>
      </w:r>
    </w:p>
    <w:p w14:paraId="55A957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полеты в час</w:t>
      </w:r>
      <w:r w:rsidRPr="00DB5D0D">
        <w:rPr>
          <w:rFonts w:ascii="Times New Roman" w:hAnsi="Times New Roman"/>
          <w:color w:val="000000" w:themeColor="text1"/>
          <w:sz w:val="16"/>
          <w:szCs w:val="16"/>
        </w:rPr>
        <w:softHyphen/>
        <w:t>тях на самолетах ББ-1 с мотором М-88 прекращены из-за непрочнос</w:t>
      </w:r>
      <w:r w:rsidRPr="00DB5D0D">
        <w:rPr>
          <w:rFonts w:ascii="Times New Roman" w:hAnsi="Times New Roman"/>
          <w:color w:val="000000" w:themeColor="text1"/>
          <w:sz w:val="16"/>
          <w:szCs w:val="16"/>
        </w:rPr>
        <w:softHyphen/>
        <w:t>ти шасси и пневматиков.</w:t>
      </w:r>
    </w:p>
    <w:p w14:paraId="5C81601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Заводом №135 температурный режим масла доведен до удовлетво</w:t>
      </w:r>
      <w:r w:rsidRPr="00DB5D0D">
        <w:rPr>
          <w:rFonts w:ascii="Times New Roman" w:hAnsi="Times New Roman"/>
          <w:color w:val="000000" w:themeColor="text1"/>
          <w:sz w:val="16"/>
          <w:szCs w:val="16"/>
        </w:rPr>
        <w:softHyphen/>
        <w:t>рительного состояния, что будет окончательно проверено дополни</w:t>
      </w:r>
      <w:r w:rsidRPr="00DB5D0D">
        <w:rPr>
          <w:rFonts w:ascii="Times New Roman" w:hAnsi="Times New Roman"/>
          <w:color w:val="000000" w:themeColor="text1"/>
          <w:sz w:val="16"/>
          <w:szCs w:val="16"/>
        </w:rPr>
        <w:softHyphen/>
        <w:t>тельными испытаниями в НИИ ВВС КА.</w:t>
      </w:r>
    </w:p>
    <w:p w14:paraId="6A5116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нормальной эк</w:t>
      </w:r>
      <w:r w:rsidRPr="00DB5D0D">
        <w:rPr>
          <w:rFonts w:ascii="Times New Roman" w:hAnsi="Times New Roman"/>
          <w:color w:val="000000" w:themeColor="text1"/>
          <w:sz w:val="16"/>
          <w:szCs w:val="16"/>
        </w:rPr>
        <w:softHyphen/>
        <w:t>сплуатации самолета ББ-1 с мото</w:t>
      </w:r>
      <w:r w:rsidRPr="00DB5D0D">
        <w:rPr>
          <w:rFonts w:ascii="Times New Roman" w:hAnsi="Times New Roman"/>
          <w:color w:val="000000" w:themeColor="text1"/>
          <w:sz w:val="16"/>
          <w:szCs w:val="16"/>
        </w:rPr>
        <w:softHyphen/>
        <w:t>ром М-88 в строевых частях ВВС Красной Армии необходимо потре</w:t>
      </w:r>
      <w:r w:rsidRPr="00DB5D0D">
        <w:rPr>
          <w:rFonts w:ascii="Times New Roman" w:hAnsi="Times New Roman"/>
          <w:color w:val="000000" w:themeColor="text1"/>
          <w:sz w:val="16"/>
          <w:szCs w:val="16"/>
        </w:rPr>
        <w:softHyphen/>
        <w:t>бовать от НКАП выполнения следу</w:t>
      </w:r>
      <w:r w:rsidRPr="00DB5D0D">
        <w:rPr>
          <w:rFonts w:ascii="Times New Roman" w:hAnsi="Times New Roman"/>
          <w:color w:val="000000" w:themeColor="text1"/>
          <w:sz w:val="16"/>
          <w:szCs w:val="16"/>
        </w:rPr>
        <w:softHyphen/>
        <w:t>ющих мероприятий:</w:t>
      </w:r>
    </w:p>
    <w:p w14:paraId="43D5F79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Усилить амортизационную стойку и верхний подкос шасси и установить их на всех ранее выпу</w:t>
      </w:r>
      <w:r w:rsidRPr="00DB5D0D">
        <w:rPr>
          <w:rFonts w:ascii="Times New Roman" w:hAnsi="Times New Roman"/>
          <w:color w:val="000000" w:themeColor="text1"/>
          <w:sz w:val="16"/>
          <w:szCs w:val="16"/>
        </w:rPr>
        <w:softHyphen/>
        <w:t>щенных самолетах.</w:t>
      </w:r>
    </w:p>
    <w:p w14:paraId="0287305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Усилить колеса и пневматики.</w:t>
      </w:r>
    </w:p>
    <w:p w14:paraId="1756826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Обеспечить вполне надежную</w:t>
      </w:r>
    </w:p>
    <w:p w14:paraId="6CD65D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работу мотора М-88.</w:t>
      </w:r>
    </w:p>
    <w:p w14:paraId="76BAABD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Устранить замасливание при</w:t>
      </w:r>
      <w:r w:rsidRPr="00DB5D0D">
        <w:rPr>
          <w:rFonts w:ascii="Times New Roman" w:hAnsi="Times New Roman"/>
          <w:color w:val="000000" w:themeColor="text1"/>
          <w:sz w:val="16"/>
          <w:szCs w:val="16"/>
        </w:rPr>
        <w:softHyphen/>
        <w:t>цела и нижнего люка штурмана.</w:t>
      </w:r>
    </w:p>
    <w:p w14:paraId="725ED45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главного конструкто</w:t>
      </w:r>
      <w:r w:rsidRPr="00DB5D0D">
        <w:rPr>
          <w:rFonts w:ascii="Times New Roman" w:hAnsi="Times New Roman"/>
          <w:color w:val="000000" w:themeColor="text1"/>
          <w:sz w:val="16"/>
          <w:szCs w:val="16"/>
        </w:rPr>
        <w:softHyphen/>
        <w:t>ра т. Сухого лично руководить до</w:t>
      </w:r>
      <w:r w:rsidRPr="00DB5D0D">
        <w:rPr>
          <w:rFonts w:ascii="Times New Roman" w:hAnsi="Times New Roman"/>
          <w:color w:val="000000" w:themeColor="text1"/>
          <w:sz w:val="16"/>
          <w:szCs w:val="16"/>
        </w:rPr>
        <w:softHyphen/>
        <w:t>водкой самолета ББ-1 и устранени</w:t>
      </w:r>
      <w:r w:rsidRPr="00DB5D0D">
        <w:rPr>
          <w:rFonts w:ascii="Times New Roman" w:hAnsi="Times New Roman"/>
          <w:color w:val="000000" w:themeColor="text1"/>
          <w:sz w:val="16"/>
          <w:szCs w:val="16"/>
        </w:rPr>
        <w:softHyphen/>
        <w:t>ем дефектов на заводе №135.</w:t>
      </w:r>
    </w:p>
    <w:p w14:paraId="3B04A58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1941 год необходимо потре</w:t>
      </w:r>
      <w:r w:rsidRPr="00DB5D0D">
        <w:rPr>
          <w:rFonts w:ascii="Times New Roman" w:hAnsi="Times New Roman"/>
          <w:color w:val="000000" w:themeColor="text1"/>
          <w:sz w:val="16"/>
          <w:szCs w:val="16"/>
        </w:rPr>
        <w:softHyphen/>
        <w:t>бовать от главного конструктора самолета ББ-1 т. Сухого и завода №135:</w:t>
      </w:r>
    </w:p>
    <w:p w14:paraId="3C4E43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Установки на самолете ББ-1 предкрылков.</w:t>
      </w:r>
    </w:p>
    <w:p w14:paraId="21924F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Увеличения поперечного V.</w:t>
      </w:r>
    </w:p>
    <w:p w14:paraId="04FF884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Установки хвостового колеса по типу самолета Мессершмидт 109 и установки стопора костыля.</w:t>
      </w:r>
    </w:p>
    <w:p w14:paraId="5A1C1C4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Увеличения времени выпуска щитков до 6-8 сек.</w:t>
      </w:r>
    </w:p>
    <w:p w14:paraId="0374CB4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Отработки нормального нара</w:t>
      </w:r>
      <w:r w:rsidRPr="00DB5D0D">
        <w:rPr>
          <w:rFonts w:ascii="Times New Roman" w:hAnsi="Times New Roman"/>
          <w:color w:val="000000" w:themeColor="text1"/>
          <w:sz w:val="16"/>
          <w:szCs w:val="16"/>
        </w:rPr>
        <w:softHyphen/>
        <w:t>стания перегрузок на рули, устано</w:t>
      </w:r>
      <w:r w:rsidRPr="00DB5D0D">
        <w:rPr>
          <w:rFonts w:ascii="Times New Roman" w:hAnsi="Times New Roman"/>
          <w:color w:val="000000" w:themeColor="text1"/>
          <w:sz w:val="16"/>
          <w:szCs w:val="16"/>
        </w:rPr>
        <w:softHyphen/>
        <w:t>вив «аэродинамический» люфт в руле высоты и трение е элеронах.</w:t>
      </w:r>
    </w:p>
    <w:p w14:paraId="32A5FD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Отработать установку для под</w:t>
      </w:r>
      <w:r w:rsidRPr="00DB5D0D">
        <w:rPr>
          <w:rFonts w:ascii="Times New Roman" w:hAnsi="Times New Roman"/>
          <w:color w:val="000000" w:themeColor="text1"/>
          <w:sz w:val="16"/>
          <w:szCs w:val="16"/>
        </w:rPr>
        <w:softHyphen/>
        <w:t>вески одной бомбы в 500 кг.</w:t>
      </w:r>
    </w:p>
    <w:p w14:paraId="24F5AB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Довести скорости самолета до расчетных.</w:t>
      </w:r>
    </w:p>
    <w:p w14:paraId="7FC441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Проработать вопрос примене</w:t>
      </w:r>
      <w:r w:rsidRPr="00DB5D0D">
        <w:rPr>
          <w:rFonts w:ascii="Times New Roman" w:hAnsi="Times New Roman"/>
          <w:color w:val="000000" w:themeColor="text1"/>
          <w:sz w:val="16"/>
          <w:szCs w:val="16"/>
        </w:rPr>
        <w:softHyphen/>
        <w:t>ния самолета ББ-1 для бомбомета</w:t>
      </w:r>
      <w:r w:rsidRPr="00DB5D0D">
        <w:rPr>
          <w:rFonts w:ascii="Times New Roman" w:hAnsi="Times New Roman"/>
          <w:color w:val="000000" w:themeColor="text1"/>
          <w:sz w:val="16"/>
          <w:szCs w:val="16"/>
        </w:rPr>
        <w:softHyphen/>
        <w:t>ния с пикирования» (11849).</w:t>
      </w:r>
    </w:p>
    <w:p w14:paraId="27230A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66145B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Летом 1940 летал ББ-МАИ, хотя был построен в конце 1939. Опоздал, т.к. сконцентрировались на Ил-2 и пикировщиках (80,201).</w:t>
      </w:r>
    </w:p>
    <w:p w14:paraId="5CBD4E8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579ABD0" w14:textId="77777777" w:rsidR="005D3AF1" w:rsidRPr="00DB5D0D" w:rsidRDefault="005D3AF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Летом 1940 г. в ОКО, возглавляемом А.И.Микояном, велась разработка самолета ПБШ-2 с мотором АМ-38. Учитывая, что одним из основных недостатков ПБШ-1 были плохие взлетно-посадочные характеристики, а также вызывали опасения недостаточные запасы устойчивости, вполне вероятно, что со стороны конструкторов делались попытки поиска альтернативного варианта, у которого эти проблемы решались бы лучшим образом. В связи с чем вместо монопланного варианта на ПБШ-2 была применена бипланная схема. Таким образом, пилотажные и особенно взлетно-посадочные качества могли быть заметно улучшены, а также более успешно решались проблемы устойчивости. Нагрузку на крыло снизили до 149 кг/м2. Но естественно, при этом летные данные у ПБШ-2 были бы намного ниже, чем у ПБШ-1, и поэтому он не мог иметь перспективы развития. Намного сложнее была бы и конструкция самолета.</w:t>
      </w:r>
    </w:p>
    <w:p w14:paraId="07C13B8F" w14:textId="77777777" w:rsidR="005D3AF1" w:rsidRPr="00DB5D0D" w:rsidRDefault="005D3AF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Винтомоторная группа и бронеотсек были аналогичны ПБШ-1, за исключением того, что у ПБШ-2 сделали бронедверь, которая в аварийной ситуации принудительно сбрасывалась в воздухе. Вооружение также состояло из двух пушек МП-3 и шести пулеметов ШКАС. В центроплане располагались два бомбоотсека.</w:t>
      </w:r>
    </w:p>
    <w:p w14:paraId="1B168D21" w14:textId="77777777" w:rsidR="005D3AF1" w:rsidRPr="00DB5D0D" w:rsidRDefault="005D3AF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Длина самолета - 8,85 м, высота -3,5 м. Площадь верхнего крыла (10,26 м2) была почти в два раза меньше площади нижнего крыла (22,14 м2). Размах верхнего крыла составлял 8,6 м, нижнего - 12,4 м. Верхнее крыло было сдвинуто назад по отношению к нижнему и имело обратную стреловидность. По расчетам, ПБШ-2 должен был иметь максимальную скорость - 426 км/ч, дальность полета 740 км, а с подвесными топливными баками 929 км (19568).</w:t>
      </w:r>
    </w:p>
    <w:p w14:paraId="4B30FCF6" w14:textId="77777777" w:rsidR="005D3AF1" w:rsidRPr="00DB5D0D" w:rsidRDefault="005D3AF1" w:rsidP="00DB5D0D">
      <w:pPr>
        <w:spacing w:after="0" w:line="240" w:lineRule="auto"/>
        <w:jc w:val="both"/>
        <w:rPr>
          <w:rFonts w:ascii="Times New Roman" w:hAnsi="Times New Roman"/>
          <w:color w:val="000000" w:themeColor="text1"/>
          <w:sz w:val="16"/>
          <w:szCs w:val="16"/>
        </w:rPr>
      </w:pPr>
    </w:p>
    <w:p w14:paraId="316538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ДБ-3Ф испытали в качестве пикируюшего бомбардировщика (ведущий летчик - полковш В.А.Степанченок). Был сделан вывод, что прочность машины обеспечивает пикирование с углами, близкими к 90°, но, как и в случае с ДБ-3, обзор из кабины штурмана и летчика не обеспечивал необходимых углов прицеливания для точного бомбометания по малоразмерным целям. Кроме того, самолет должен был выводиться из пикирования на высоте не менее 1500 что делало его уязвимым и для истребителей, и для малокалиберной скорострельной зенитной артиллерии противника (9528).</w:t>
      </w:r>
    </w:p>
    <w:p w14:paraId="132C6CC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A570E7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на СБ внедрили турель МВ-3. Правда, контрольные испытания вооружения, проводившиеся в начале августа, показали, что на больших высотах МВ-3 перестает вращаться. Оказалось, что при сильном охлаждении алюминиевое кольцо зажимает ролики (9927).</w:t>
      </w:r>
    </w:p>
    <w:p w14:paraId="68D2360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36FAC1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в НИИ ВВС провели обстоятельные испытания СБ с двигателями М-105 для определения дальности полета на различных высотах и режимах работы двигателя. В результате родилась инструкция, определяющая дальность полета одиночного СБ со средним полетным весом 6200 кг, оснащенного воздушными винтами постоянных оборотов ВИШ-22Е, с нормальным запасом топлива (т.е. без использования подвесных баков) 1220 кг и 144 кг масла. Основные положения этих расчетов для различных высот и полетных скоростей выглядели следующим образом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7D5DF8" w:rsidRPr="00DB5D0D" w14:paraId="52E0B246" w14:textId="77777777" w:rsidTr="009223E5">
        <w:tc>
          <w:tcPr>
            <w:tcW w:w="3736" w:type="dxa"/>
            <w:tcBorders>
              <w:top w:val="single" w:sz="12" w:space="0" w:color="auto"/>
            </w:tcBorders>
          </w:tcPr>
          <w:p w14:paraId="4E29F0B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2700 об/мин. (макс.)</w:t>
            </w:r>
          </w:p>
        </w:tc>
        <w:tc>
          <w:tcPr>
            <w:tcW w:w="3736" w:type="dxa"/>
            <w:tcBorders>
              <w:top w:val="single" w:sz="12" w:space="0" w:color="auto"/>
            </w:tcBorders>
          </w:tcPr>
          <w:p w14:paraId="3A0511DF"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6F8B6CF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691C71B" w14:textId="77777777" w:rsidTr="009223E5">
        <w:tc>
          <w:tcPr>
            <w:tcW w:w="3736" w:type="dxa"/>
          </w:tcPr>
          <w:p w14:paraId="1124003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3736" w:type="dxa"/>
          </w:tcPr>
          <w:p w14:paraId="2D2947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3736" w:type="dxa"/>
          </w:tcPr>
          <w:p w14:paraId="23AAB2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w:t>
            </w:r>
          </w:p>
        </w:tc>
      </w:tr>
      <w:tr w:rsidR="007D5DF8" w:rsidRPr="00DB5D0D" w14:paraId="72ED29A4" w14:textId="77777777" w:rsidTr="009223E5">
        <w:tc>
          <w:tcPr>
            <w:tcW w:w="3736" w:type="dxa"/>
          </w:tcPr>
          <w:p w14:paraId="019053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 м</w:t>
            </w:r>
          </w:p>
        </w:tc>
        <w:tc>
          <w:tcPr>
            <w:tcW w:w="3736" w:type="dxa"/>
          </w:tcPr>
          <w:p w14:paraId="18EE25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 км/ч</w:t>
            </w:r>
          </w:p>
        </w:tc>
        <w:tc>
          <w:tcPr>
            <w:tcW w:w="3736" w:type="dxa"/>
          </w:tcPr>
          <w:p w14:paraId="0315B5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777 км</w:t>
            </w:r>
          </w:p>
        </w:tc>
      </w:tr>
      <w:tr w:rsidR="007D5DF8" w:rsidRPr="00DB5D0D" w14:paraId="20943367" w14:textId="77777777" w:rsidTr="009223E5">
        <w:tc>
          <w:tcPr>
            <w:tcW w:w="3736" w:type="dxa"/>
          </w:tcPr>
          <w:p w14:paraId="0F6373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8100 м</w:t>
            </w:r>
          </w:p>
        </w:tc>
        <w:tc>
          <w:tcPr>
            <w:tcW w:w="3736" w:type="dxa"/>
          </w:tcPr>
          <w:p w14:paraId="755E51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415 км/ч</w:t>
            </w:r>
          </w:p>
        </w:tc>
        <w:tc>
          <w:tcPr>
            <w:tcW w:w="3736" w:type="dxa"/>
          </w:tcPr>
          <w:p w14:paraId="3E7B706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1250</w:t>
            </w:r>
          </w:p>
        </w:tc>
      </w:tr>
      <w:tr w:rsidR="007D5DF8" w:rsidRPr="00DB5D0D" w14:paraId="533C11CB" w14:textId="77777777" w:rsidTr="009223E5">
        <w:tc>
          <w:tcPr>
            <w:tcW w:w="3736" w:type="dxa"/>
          </w:tcPr>
          <w:p w14:paraId="7084C64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2100 об/мин. (наивыгодн.)</w:t>
            </w:r>
          </w:p>
        </w:tc>
        <w:tc>
          <w:tcPr>
            <w:tcW w:w="3736" w:type="dxa"/>
          </w:tcPr>
          <w:p w14:paraId="30B7F6D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3736" w:type="dxa"/>
          </w:tcPr>
          <w:p w14:paraId="1C85C750"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D5B0CF5" w14:textId="77777777" w:rsidTr="009223E5">
        <w:tc>
          <w:tcPr>
            <w:tcW w:w="3736" w:type="dxa"/>
          </w:tcPr>
          <w:p w14:paraId="428368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3736" w:type="dxa"/>
          </w:tcPr>
          <w:p w14:paraId="4648C7C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3736" w:type="dxa"/>
          </w:tcPr>
          <w:p w14:paraId="712401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w:t>
            </w:r>
          </w:p>
        </w:tc>
      </w:tr>
      <w:tr w:rsidR="007D5DF8" w:rsidRPr="00DB5D0D" w14:paraId="4FC6BFFC" w14:textId="77777777" w:rsidTr="009223E5">
        <w:tc>
          <w:tcPr>
            <w:tcW w:w="3736" w:type="dxa"/>
          </w:tcPr>
          <w:p w14:paraId="790CCA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 м</w:t>
            </w:r>
          </w:p>
        </w:tc>
        <w:tc>
          <w:tcPr>
            <w:tcW w:w="3736" w:type="dxa"/>
          </w:tcPr>
          <w:p w14:paraId="7AD3A69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369 км/ч</w:t>
            </w:r>
          </w:p>
        </w:tc>
        <w:tc>
          <w:tcPr>
            <w:tcW w:w="3736" w:type="dxa"/>
          </w:tcPr>
          <w:p w14:paraId="24AB04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1425 км</w:t>
            </w:r>
          </w:p>
        </w:tc>
      </w:tr>
      <w:tr w:rsidR="007D5DF8" w:rsidRPr="00DB5D0D" w14:paraId="58D64F10" w14:textId="77777777" w:rsidTr="009223E5">
        <w:tc>
          <w:tcPr>
            <w:tcW w:w="3736" w:type="dxa"/>
            <w:tcBorders>
              <w:bottom w:val="single" w:sz="12" w:space="0" w:color="auto"/>
            </w:tcBorders>
          </w:tcPr>
          <w:p w14:paraId="16C003E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8100 м</w:t>
            </w:r>
          </w:p>
        </w:tc>
        <w:tc>
          <w:tcPr>
            <w:tcW w:w="3736" w:type="dxa"/>
            <w:tcBorders>
              <w:bottom w:val="single" w:sz="12" w:space="0" w:color="auto"/>
            </w:tcBorders>
          </w:tcPr>
          <w:p w14:paraId="5F62C1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 км/ч</w:t>
            </w:r>
          </w:p>
        </w:tc>
        <w:tc>
          <w:tcPr>
            <w:tcW w:w="3736" w:type="dxa"/>
            <w:tcBorders>
              <w:bottom w:val="single" w:sz="12" w:space="0" w:color="auto"/>
            </w:tcBorders>
          </w:tcPr>
          <w:p w14:paraId="6AA862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1560 км</w:t>
            </w:r>
          </w:p>
        </w:tc>
      </w:tr>
    </w:tbl>
    <w:p w14:paraId="30A3FE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наружной подвеске бомб расход топлива увеличивался на 6%, при подвеске ВАП или ДАП на 10%. При по/urre строем, когда ведомым самолетам приходилось маневрировать по высоте и скорости, по сравнению с одиночным самолетом, расход топлива увеличивался на 10%. При полете без газоанализаторов, когда качество рабочей смеси устанавливалось по внешним признакам нормальной работы моторов (отсутствие дымления, тряски и т.д.) показатели дальности могли уменьшиться еще на 15%.</w:t>
      </w:r>
    </w:p>
    <w:p w14:paraId="1E754D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при сочетании всех указанных выше факторов снижение максимальной дальности полета могло достигать 20-30 %.</w:t>
      </w:r>
    </w:p>
    <w:p w14:paraId="1521C9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последних серий СБ, оснащенных двигателями М-105, а также для Ар-2 и опытной машины "Б" дальность полета не превышала 1000 км (для Ар-2 техническая дальность на скорости 390 км/ч, на высоте 5000 м с подвеской 500 кг бомб внутри фюзеляжа определялась 990 км), поэтому их боевое использование предполагалось с подвесными топливными баками (12027).</w:t>
      </w:r>
    </w:p>
    <w:p w14:paraId="4C2F81E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97BB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на ББ-22 пришлось вновь увеличить про</w:t>
      </w:r>
      <w:r w:rsidRPr="00DB5D0D">
        <w:rPr>
          <w:rFonts w:ascii="Times New Roman" w:hAnsi="Times New Roman"/>
          <w:color w:val="000000" w:themeColor="text1"/>
          <w:sz w:val="16"/>
          <w:szCs w:val="16"/>
        </w:rPr>
        <w:softHyphen/>
        <w:t>ходное сечение каналов радиаторов, ввести еще по одному маслорадиатору (восьмидюймовому) с воздухозаборни</w:t>
      </w:r>
      <w:r w:rsidRPr="00DB5D0D">
        <w:rPr>
          <w:rFonts w:ascii="Times New Roman" w:hAnsi="Times New Roman"/>
          <w:color w:val="000000" w:themeColor="text1"/>
          <w:sz w:val="16"/>
          <w:szCs w:val="16"/>
        </w:rPr>
        <w:softHyphen/>
        <w:t>ком на внутренней (обращенной к фюзе</w:t>
      </w:r>
      <w:r w:rsidRPr="00DB5D0D">
        <w:rPr>
          <w:rFonts w:ascii="Times New Roman" w:hAnsi="Times New Roman"/>
          <w:color w:val="000000" w:themeColor="text1"/>
          <w:sz w:val="16"/>
          <w:szCs w:val="16"/>
        </w:rPr>
        <w:softHyphen/>
        <w:t>ляжу) поверхности мотогондол и устано</w:t>
      </w:r>
      <w:r w:rsidRPr="00DB5D0D">
        <w:rPr>
          <w:rFonts w:ascii="Times New Roman" w:hAnsi="Times New Roman"/>
          <w:color w:val="000000" w:themeColor="text1"/>
          <w:sz w:val="16"/>
          <w:szCs w:val="16"/>
        </w:rPr>
        <w:softHyphen/>
        <w:t>вить спаренные колеса на основные стойки шасси. Мидель мотогондол не</w:t>
      </w:r>
      <w:r w:rsidRPr="00DB5D0D">
        <w:rPr>
          <w:rFonts w:ascii="Times New Roman" w:hAnsi="Times New Roman"/>
          <w:color w:val="000000" w:themeColor="text1"/>
          <w:sz w:val="16"/>
          <w:szCs w:val="16"/>
        </w:rPr>
        <w:softHyphen/>
        <w:t>сколько вырос в связи с разворотом во-дорадиаторов перпендикулярно воздуш</w:t>
      </w:r>
      <w:r w:rsidRPr="00DB5D0D">
        <w:rPr>
          <w:rFonts w:ascii="Times New Roman" w:hAnsi="Times New Roman"/>
          <w:color w:val="000000" w:themeColor="text1"/>
          <w:sz w:val="16"/>
          <w:szCs w:val="16"/>
        </w:rPr>
        <w:softHyphen/>
        <w:t>ному потоку. Для улучшения обороноспо</w:t>
      </w:r>
      <w:r w:rsidRPr="00DB5D0D">
        <w:rPr>
          <w:rFonts w:ascii="Times New Roman" w:hAnsi="Times New Roman"/>
          <w:color w:val="000000" w:themeColor="text1"/>
          <w:sz w:val="16"/>
          <w:szCs w:val="16"/>
        </w:rPr>
        <w:softHyphen/>
        <w:t>собности на серийных машинах понизи</w:t>
      </w:r>
      <w:r w:rsidRPr="00DB5D0D">
        <w:rPr>
          <w:rFonts w:ascii="Times New Roman" w:hAnsi="Times New Roman"/>
          <w:color w:val="000000" w:themeColor="text1"/>
          <w:sz w:val="16"/>
          <w:szCs w:val="16"/>
        </w:rPr>
        <w:softHyphen/>
        <w:t>ли гаргрот за кабиной штурмана по об</w:t>
      </w:r>
      <w:r w:rsidRPr="00DB5D0D">
        <w:rPr>
          <w:rFonts w:ascii="Times New Roman" w:hAnsi="Times New Roman"/>
          <w:color w:val="000000" w:themeColor="text1"/>
          <w:sz w:val="16"/>
          <w:szCs w:val="16"/>
        </w:rPr>
        <w:softHyphen/>
        <w:t>разцу, опробованному в ходе войсковых испытаний. В штурманской кабине смон</w:t>
      </w:r>
      <w:r w:rsidRPr="00DB5D0D">
        <w:rPr>
          <w:rFonts w:ascii="Times New Roman" w:hAnsi="Times New Roman"/>
          <w:color w:val="000000" w:themeColor="text1"/>
          <w:sz w:val="16"/>
          <w:szCs w:val="16"/>
        </w:rPr>
        <w:softHyphen/>
        <w:t>тировали стрелковую установку ДИ-6 с пулеметом ШКАС. Начиная с машины № 1045 на ББ-22 стали устанавливать стандартную турель скоростного самоле</w:t>
      </w:r>
      <w:r w:rsidRPr="00DB5D0D">
        <w:rPr>
          <w:rFonts w:ascii="Times New Roman" w:hAnsi="Times New Roman"/>
          <w:color w:val="000000" w:themeColor="text1"/>
          <w:sz w:val="16"/>
          <w:szCs w:val="16"/>
        </w:rPr>
        <w:softHyphen/>
        <w:t>та ТСС-1, которая обеспечивала увели</w:t>
      </w:r>
      <w:r w:rsidRPr="00DB5D0D">
        <w:rPr>
          <w:rFonts w:ascii="Times New Roman" w:hAnsi="Times New Roman"/>
          <w:color w:val="000000" w:themeColor="text1"/>
          <w:sz w:val="16"/>
          <w:szCs w:val="16"/>
        </w:rPr>
        <w:softHyphen/>
        <w:t>чение углов обстрела и отличалась бо</w:t>
      </w:r>
      <w:r w:rsidRPr="00DB5D0D">
        <w:rPr>
          <w:rFonts w:ascii="Times New Roman" w:hAnsi="Times New Roman"/>
          <w:color w:val="000000" w:themeColor="text1"/>
          <w:sz w:val="16"/>
          <w:szCs w:val="16"/>
        </w:rPr>
        <w:softHyphen/>
        <w:t>лее высокой надежностью.</w:t>
      </w:r>
    </w:p>
    <w:p w14:paraId="38F4D7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Качество производственного выполне</w:t>
      </w:r>
      <w:r w:rsidRPr="00DB5D0D">
        <w:rPr>
          <w:rFonts w:ascii="Times New Roman" w:hAnsi="Times New Roman"/>
          <w:color w:val="000000" w:themeColor="text1"/>
          <w:sz w:val="16"/>
          <w:szCs w:val="16"/>
        </w:rPr>
        <w:softHyphen/>
        <w:t>ния планера по-прежнему оставалось низ</w:t>
      </w:r>
      <w:r w:rsidRPr="00DB5D0D">
        <w:rPr>
          <w:rFonts w:ascii="Times New Roman" w:hAnsi="Times New Roman"/>
          <w:color w:val="000000" w:themeColor="text1"/>
          <w:sz w:val="16"/>
          <w:szCs w:val="16"/>
        </w:rPr>
        <w:softHyphen/>
        <w:t>ким: обшивка крыла имела волнистость, не вышкуривалась, окрашенные поверх</w:t>
      </w:r>
      <w:r w:rsidRPr="00DB5D0D">
        <w:rPr>
          <w:rFonts w:ascii="Times New Roman" w:hAnsi="Times New Roman"/>
          <w:color w:val="000000" w:themeColor="text1"/>
          <w:sz w:val="16"/>
          <w:szCs w:val="16"/>
        </w:rPr>
        <w:softHyphen/>
        <w:t>ности получались шероховатыми. Полет</w:t>
      </w:r>
      <w:r w:rsidRPr="00DB5D0D">
        <w:rPr>
          <w:rFonts w:ascii="Times New Roman" w:hAnsi="Times New Roman"/>
          <w:color w:val="000000" w:themeColor="text1"/>
          <w:sz w:val="16"/>
          <w:szCs w:val="16"/>
        </w:rPr>
        <w:softHyphen/>
        <w:t>ная масса машины вновь возросла и до</w:t>
      </w:r>
      <w:r w:rsidRPr="00DB5D0D">
        <w:rPr>
          <w:rFonts w:ascii="Times New Roman" w:hAnsi="Times New Roman"/>
          <w:color w:val="000000" w:themeColor="text1"/>
          <w:sz w:val="16"/>
          <w:szCs w:val="16"/>
        </w:rPr>
        <w:softHyphen/>
        <w:t>стигла 5660 кг. Удельная нагрузка на кры</w:t>
      </w:r>
      <w:r w:rsidRPr="00DB5D0D">
        <w:rPr>
          <w:rFonts w:ascii="Times New Roman" w:hAnsi="Times New Roman"/>
          <w:color w:val="000000" w:themeColor="text1"/>
          <w:sz w:val="16"/>
          <w:szCs w:val="16"/>
        </w:rPr>
        <w:softHyphen/>
        <w:t>ло при этом увеличилась до 192,5 кг/м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Максимальная скорость полета, замерен</w:t>
      </w:r>
      <w:r w:rsidRPr="00DB5D0D">
        <w:rPr>
          <w:rFonts w:ascii="Times New Roman" w:hAnsi="Times New Roman"/>
          <w:color w:val="000000" w:themeColor="text1"/>
          <w:sz w:val="16"/>
          <w:szCs w:val="16"/>
        </w:rPr>
        <w:softHyphen/>
        <w:t>ная на серийном ББ-22 № 1041, на рас</w:t>
      </w:r>
      <w:r w:rsidRPr="00DB5D0D">
        <w:rPr>
          <w:rFonts w:ascii="Times New Roman" w:hAnsi="Times New Roman"/>
          <w:color w:val="000000" w:themeColor="text1"/>
          <w:sz w:val="16"/>
          <w:szCs w:val="16"/>
        </w:rPr>
        <w:softHyphen/>
        <w:t>четной высоте 4600 м упала до 478 км/ч даже при отсутствии бомб на внешней подвеске! С нагрузкой, состоявшей из 400 кг бомб в фюзеляже и двух ФАБ-50 под крылом, машина уже не могла разо</w:t>
      </w:r>
      <w:r w:rsidRPr="00DB5D0D">
        <w:rPr>
          <w:rFonts w:ascii="Times New Roman" w:hAnsi="Times New Roman"/>
          <w:color w:val="000000" w:themeColor="text1"/>
          <w:sz w:val="16"/>
          <w:szCs w:val="16"/>
        </w:rPr>
        <w:softHyphen/>
        <w:t>гнаться быстрее 445 км/ч. Таким образом, по скорости полета она практически срав</w:t>
      </w:r>
      <w:r w:rsidRPr="00DB5D0D">
        <w:rPr>
          <w:rFonts w:ascii="Times New Roman" w:hAnsi="Times New Roman"/>
          <w:color w:val="000000" w:themeColor="text1"/>
          <w:sz w:val="16"/>
          <w:szCs w:val="16"/>
        </w:rPr>
        <w:softHyphen/>
        <w:t>нялась с СБ! Следовало предпринять что-то радикальное.</w:t>
      </w:r>
    </w:p>
    <w:p w14:paraId="23F6C3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попытались найти в двух пло</w:t>
      </w:r>
      <w:r w:rsidRPr="00DB5D0D">
        <w:rPr>
          <w:rFonts w:ascii="Times New Roman" w:hAnsi="Times New Roman"/>
          <w:color w:val="000000" w:themeColor="text1"/>
          <w:sz w:val="16"/>
          <w:szCs w:val="16"/>
        </w:rPr>
        <w:softHyphen/>
        <w:t>скостях. Во-первых, по указанию НКАП производство ББ-22 полностью переда</w:t>
      </w:r>
      <w:r w:rsidRPr="00DB5D0D">
        <w:rPr>
          <w:rFonts w:ascii="Times New Roman" w:hAnsi="Times New Roman"/>
          <w:color w:val="000000" w:themeColor="text1"/>
          <w:sz w:val="16"/>
          <w:szCs w:val="16"/>
        </w:rPr>
        <w:softHyphen/>
        <w:t>ли на тушинский завод № 81 им. В.М. Мо-лотова (существовали планы развертывания постройки самолетов этого типа также на заводе № 381). Завод № 1, из</w:t>
      </w:r>
      <w:r w:rsidRPr="00DB5D0D">
        <w:rPr>
          <w:rFonts w:ascii="Times New Roman" w:hAnsi="Times New Roman"/>
          <w:color w:val="000000" w:themeColor="text1"/>
          <w:sz w:val="16"/>
          <w:szCs w:val="16"/>
        </w:rPr>
        <w:softHyphen/>
        <w:t>готовив 81 машину (что составило 116% плана, много раз откорректированного в сторону уменьшения), перешел на вы</w:t>
      </w:r>
      <w:r w:rsidRPr="00DB5D0D">
        <w:rPr>
          <w:rFonts w:ascii="Times New Roman" w:hAnsi="Times New Roman"/>
          <w:color w:val="000000" w:themeColor="text1"/>
          <w:sz w:val="16"/>
          <w:szCs w:val="16"/>
        </w:rPr>
        <w:softHyphen/>
        <w:t>пуск истребителей И-200. Во-вторых, конструкторы сформированного на заво</w:t>
      </w:r>
      <w:r w:rsidRPr="00DB5D0D">
        <w:rPr>
          <w:rFonts w:ascii="Times New Roman" w:hAnsi="Times New Roman"/>
          <w:color w:val="000000" w:themeColor="text1"/>
          <w:sz w:val="16"/>
          <w:szCs w:val="16"/>
        </w:rPr>
        <w:softHyphen/>
        <w:t>де № 81 бюро КБ-70 во главе с Л.П. Кур-балой (говорят, что число 70 — это про</w:t>
      </w:r>
      <w:r w:rsidRPr="00DB5D0D">
        <w:rPr>
          <w:rFonts w:ascii="Times New Roman" w:hAnsi="Times New Roman"/>
          <w:color w:val="000000" w:themeColor="text1"/>
          <w:sz w:val="16"/>
          <w:szCs w:val="16"/>
        </w:rPr>
        <w:softHyphen/>
        <w:t>сто количество конструкторов и техноло</w:t>
      </w:r>
      <w:r w:rsidRPr="00DB5D0D">
        <w:rPr>
          <w:rFonts w:ascii="Times New Roman" w:hAnsi="Times New Roman"/>
          <w:color w:val="000000" w:themeColor="text1"/>
          <w:sz w:val="16"/>
          <w:szCs w:val="16"/>
        </w:rPr>
        <w:softHyphen/>
        <w:t>гов, переведенных в Тушино с завода № 1) приступили к разработке чертежей серийной модификации ББ-22 с мотора</w:t>
      </w:r>
      <w:r w:rsidRPr="00DB5D0D">
        <w:rPr>
          <w:rFonts w:ascii="Times New Roman" w:hAnsi="Times New Roman"/>
          <w:color w:val="000000" w:themeColor="text1"/>
          <w:sz w:val="16"/>
          <w:szCs w:val="16"/>
        </w:rPr>
        <w:softHyphen/>
        <w:t>ми М-105 (11214).</w:t>
      </w:r>
    </w:p>
    <w:p w14:paraId="4CBFB89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21898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машинах ББ-22, построенных летом 1940 г., пришлось вновь увеличить проходное сечение каналов радиаторов, ввести еще по одному маслорадиатору (восьмидюймовому) с воздухозаборником на внутренней (обращенной к фюзеляжу) поверхности мотогондол и установить спаренные колеса на основные стойки шасси. Мидель мотогондол несколько вырос в связи с разворотом во- дорадиаторов перпендикулярно воздушному потоку. Для улучшения обороноспособности на серийных машинах понизили гаргрот за кабиной штурмана по образцу, опробованному в ходе войсковых испытаний. В штурманской кабине смонтировали стрелковую установку ДИ-6 с пулеметом ШKAC. Начиная с машины № 1045 на ББ-22 стали устанавливать стандартную турель скоростного самолета ТСС-1, которая обеспечивала увеличение углов обстрела и отличалась более высокой надежностью.</w:t>
      </w:r>
    </w:p>
    <w:p w14:paraId="349F29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Качество производственного выполнения планера по-прежнему оставалось низким: обшивка крыла имела волнистость, не вышкуривалась, окрашенные поверхности получались шероховатыми. Полетная масса машины вновь возросла и достигла 5660 кг. Удельная нагрузка на крыло при этом увеличилась до 192,5 кг/м2. Максимальная скорость полета, замеренная на серийном ББ-22 № 1041, на расчетной высоте 4600 м упала до 478 км/ч даже при отсутствии бомб на внешней подвеске! С нагрузкой, состоявшей из 400 кг бомб в фюзеляже и двух ФАБ-50 под крылом, машина уже не могла разогнаться быстрее 445 км/ч. Таким образом, по скорости полета она практически сравнялась с СБ! Следовало предпринять что-то радикальное.</w:t>
      </w:r>
    </w:p>
    <w:p w14:paraId="5910026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попытались найти в двух плоскостях. Во-первых, по указанию НКАП производство ББ-22 полностью передали на тушинский завод № 81 им. В.М. Молотова (существовали планы разверты- лее перспективный вариант "самолета № 22". Машина строилась во второй половине 1940 г. и оснащалась моторами М-105. Наступательное вооружение самолета состояло из двух пушек ШВАК, смонтированных под фюзеляжем. И-29 был одноместным. Первый полет, в котором выявились проблемы с винтомоторной группой, машина совершила в декабре 1940 г. Далее последовал длительный и мучительный этап доводок (11991).</w:t>
      </w:r>
    </w:p>
    <w:p w14:paraId="5639411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8241F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ОКО А.И. Микояна выдви</w:t>
      </w:r>
      <w:r w:rsidRPr="00DB5D0D">
        <w:rPr>
          <w:rFonts w:ascii="Times New Roman" w:hAnsi="Times New Roman"/>
          <w:color w:val="000000" w:themeColor="text1"/>
          <w:sz w:val="16"/>
          <w:szCs w:val="16"/>
        </w:rPr>
        <w:softHyphen/>
        <w:t>нуло проект самолета ИП—201, представлявшего со</w:t>
      </w:r>
      <w:r w:rsidRPr="00DB5D0D">
        <w:rPr>
          <w:rFonts w:ascii="Times New Roman" w:hAnsi="Times New Roman"/>
          <w:color w:val="000000" w:themeColor="text1"/>
          <w:sz w:val="16"/>
          <w:szCs w:val="16"/>
        </w:rPr>
        <w:softHyphen/>
        <w:t>бой несколько модернизированный И—200. Его вооружение должно было состоять из двух пушек МП—3 (ПТБ—23) калибра 23 мм (магазины по 60 па</w:t>
      </w:r>
      <w:r w:rsidRPr="00DB5D0D">
        <w:rPr>
          <w:rFonts w:ascii="Times New Roman" w:hAnsi="Times New Roman"/>
          <w:color w:val="000000" w:themeColor="text1"/>
          <w:sz w:val="16"/>
          <w:szCs w:val="16"/>
        </w:rPr>
        <w:softHyphen/>
        <w:t>тронов) и двух пулеметов ШКАС калибра 7,62 мм (боезапас по 750 патронов). Пулемет БС сняли, по</w:t>
      </w:r>
      <w:r w:rsidRPr="00DB5D0D">
        <w:rPr>
          <w:rFonts w:ascii="Times New Roman" w:hAnsi="Times New Roman"/>
          <w:color w:val="000000" w:themeColor="text1"/>
          <w:sz w:val="16"/>
          <w:szCs w:val="16"/>
        </w:rPr>
        <w:softHyphen/>
        <w:t>скольку на машину планировалось установить перед</w:t>
      </w:r>
      <w:r w:rsidRPr="00DB5D0D">
        <w:rPr>
          <w:rFonts w:ascii="Times New Roman" w:hAnsi="Times New Roman"/>
          <w:color w:val="000000" w:themeColor="text1"/>
          <w:sz w:val="16"/>
          <w:szCs w:val="16"/>
        </w:rPr>
        <w:softHyphen/>
        <w:t>ний фюзеляжный бак увеличенной емкости (195 л). Пушки МП—3 конструкции Я.Г.Таубина и М.Н.Бабу</w:t>
      </w:r>
      <w:r w:rsidRPr="00DB5D0D">
        <w:rPr>
          <w:rFonts w:ascii="Times New Roman" w:hAnsi="Times New Roman"/>
          <w:color w:val="000000" w:themeColor="text1"/>
          <w:sz w:val="16"/>
          <w:szCs w:val="16"/>
        </w:rPr>
        <w:softHyphen/>
        <w:t>рина (ОКБ—16 НКВ) подвешивались в обтекателях под каждой консолью крыла (в зоне, не ометаемой винтом) на металлических лафетах. В перегрузочном варианте ИП—201 мог брать две 100 кг бомбы. По предварительным расчетам его максимальная ско</w:t>
      </w:r>
      <w:r w:rsidRPr="00DB5D0D">
        <w:rPr>
          <w:rFonts w:ascii="Times New Roman" w:hAnsi="Times New Roman"/>
          <w:color w:val="000000" w:themeColor="text1"/>
          <w:sz w:val="16"/>
          <w:szCs w:val="16"/>
        </w:rPr>
        <w:softHyphen/>
        <w:t>рость должна была уменьшиться на 10—15 км/ч по сравнению с И—200. Применение двигателя АМ—37 позволяло увеличить ее до 650 км/ч (9984).</w:t>
      </w:r>
    </w:p>
    <w:p w14:paraId="392915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82A53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Летом 1940 г. ОКО А.И. Микояна выдвинуло проект самолета ИП-201, представлявшего собой несколько модернизированный И-200. Его вооружение должно было состоять из двух пушек МП-3 (ПТБ-23) калибра 23 мм (магазины по 60 патронов) и двух пулеметов ШКАС калибра 7,62 мм (боезапас по 750 патронов). В перегрузочном варианте ИП-201 мог брать две 100 кг бомбы. По предварительным расчетам его максимальная скорость должна была уменьшиться на 10... 15 км/ч по сравнению с И-200. Применение двигателя АМ-37 позволяло увеличить ее до 650 км/ч.</w:t>
      </w:r>
    </w:p>
    <w:p w14:paraId="0ACB54B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Постройка самолета ИП-201 началась в конце сентября 1940 г. В качестве основы использовался третий опытный экземпляр истребителя И-200. 12 октября 1940 г. был выдан заказ наркомату вооружения на проведение опытных работ по изучению возможности установки 23-мм пушки МП-3 на И-200 вместо пулеметов ШКАС. По результатам примерок было установлено, что новую пушку можно смонтировать только после внесения значительных изменений в ее конструкцию. Вместе с тем, Я.Г. Таубин брался разработать специальный вариант пушки для установки его в мотоотсеке истребителя ИП-201, однако расчеты свидетельствовали, что для ее нормальной работы необходимо было значительно усилить конструкцию моторамы. Установка пушки в крыле не представляла особых трудностей и могла быть осуществлена без изменений ее конструкции.</w:t>
      </w:r>
    </w:p>
    <w:p w14:paraId="357EE2D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Вскоре ОКБ-16 довело скорострельность пушки до 600 выстр./мин. (этот вариант получил название МП-6). После окончания испытаний постановлением Комитета Обороны от 16 ноября 1940 г. МП-6 приняли на вооружение. Коллективу, возглавляемому А.И. Микояном, надлежало разработать фюзеляжную и крыльевые установки для пушки и пулемета, а также установку синхронной пушки на моторе. Тем временем работы на опытном ИП-201 подходили к завершению. На нем установили новые консоли крыла, доработанные для размещения пушек МП-6, а ШКАСы заменили пулеметами АП-12,7. Однако передать самолет на испытания в Н И П АВ не удалось из-за выявившейся после установки пушек деформации консолей.</w:t>
      </w:r>
    </w:p>
    <w:p w14:paraId="5FD1994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декабря 1940 г. летчик В.Н. Гурский выполнил первый пробный полет, во время которого произошла остановка двигателя вследствие выработки горючего из фюзеляжного бака. В результате вынужденной посадки самолет получил повреждения и был отправлен в ремонт, продолжавшийся до февраля 1941 г. В марте были проведены предварительные заводские испытания, однако работы вскоре прекратились в связи с отказом от пушки МП-6. Все дальнейшие варианты машин семейства И-200 создавались уже на основе конструкции самолета МиГ-3 (12045).</w:t>
      </w:r>
    </w:p>
    <w:p w14:paraId="06F197E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D5D36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течение лета 1940 г И-153П проходили испытания в 16 иап 24-й авиадивизии Московского военного. По отзывам летчиков, эти «Чайки», за счет возросшего веса, стали несколько инертнее в пилотировании, основным неудобством считалось загрязнение прозрачного пилотского козырька пороховой гарью. В целом испытания прошли успешно, последовало решение о постройке еще трех таких пушечных аппаратов. Согласно заводского отчета всего изготовили 8 экземпляров И-153П.</w:t>
      </w:r>
    </w:p>
    <w:p w14:paraId="7BFB3F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пушки установили в синхронном варианте, со стрельбой через винт. Эта работа тогда проводилась впервые, поэтому имелись сомнения в успехе. Представлялось, что в отдельных случаях (затяжной выстрел) снаряд попадет в лопасть и перебьет ее. Для уменьшения такой вероятности, силами конструкторских бюро Н.Поликарпова и Б.Шпитального, провели значительную исследовательскую работу. Принятая до того момента во всем мире регулировка «щелчка», то есть момента выстрела, «после лопасти», была заменена регулировкой «до лопасти», а стрельба на малых оборотах исключена. Для уменьшения «углов относа» использовали привод синхронизации внутри пушки, то есть импульс синхрониз ции стал передаваться не на затыльник, а началу ствольной коробки. Все эти и друп нововведения позволили говорить о безопа ности стрельбы из синхронных пушек. Тем ь менее, сомнения существовали, поэтому п' тем нарушения регулировки синхронизатор добились пробития лопасти сначала на зе\ ле, а затем и в воздухе (летал Е.Уляхин). Про битая при этом лопасть воздушного винта ос талась работоспособной, мотор тянул, воз можность добраться до своего аэродром представлялась реальной (6592).</w:t>
      </w:r>
    </w:p>
    <w:p w14:paraId="70B2FCB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D958C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почти одновременно с пушечными «Чайками» велись испытания штурмовых подвесок. И-153 «Ш» и И-153 «УШ» имели под нижним крылом обтекаемые каплевидные контейнеры с пулеметами ШКАС (всего четыре) или бомбовые кассеты, в каждой кассете по двадцать 2,5 кг бомб (6592).</w:t>
      </w:r>
    </w:p>
    <w:p w14:paraId="0D3B5E1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99497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закончились испытания самолета И-15бис с ДМ-2, которые начались 25 января 1940 г. Они велись на скоростях 320—340 км/ч. При включении ДМ скорость увеличивалась на 18—22 км/ч. Всего было проведено 54 таких полета. Кроме Логи</w:t>
      </w:r>
      <w:r w:rsidRPr="00DB5D0D">
        <w:rPr>
          <w:rFonts w:ascii="Times New Roman" w:hAnsi="Times New Roman"/>
          <w:color w:val="000000" w:themeColor="text1"/>
          <w:sz w:val="16"/>
          <w:szCs w:val="16"/>
        </w:rPr>
        <w:softHyphen/>
        <w:t>нова летали летчики А.Давыдов, Н.Сопоцко и старейший московский испытатель А.Жуков (10547).</w:t>
      </w:r>
    </w:p>
    <w:p w14:paraId="1472D4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4403D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1941 г. И-180-7 выполнил несколько полетов. По крайней мере, один зачехленный И-180 на стоянке за</w:t>
      </w:r>
      <w:r w:rsidRPr="00DB5D0D">
        <w:rPr>
          <w:rFonts w:ascii="Times New Roman" w:hAnsi="Times New Roman"/>
          <w:color w:val="000000" w:themeColor="text1"/>
          <w:sz w:val="16"/>
          <w:szCs w:val="16"/>
        </w:rPr>
        <w:softHyphen/>
        <w:t>вода №51 в Москве в то время имелся (9979).</w:t>
      </w:r>
    </w:p>
    <w:p w14:paraId="7F9525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7CBE53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рассматривался проект И-195, однако решения о его строительстве не последовало. Торжество маневренных бипланов в воздушном бою за</w:t>
      </w:r>
      <w:r w:rsidRPr="00DB5D0D">
        <w:rPr>
          <w:rFonts w:ascii="Times New Roman" w:hAnsi="Times New Roman"/>
          <w:color w:val="000000" w:themeColor="text1"/>
          <w:sz w:val="16"/>
          <w:szCs w:val="16"/>
        </w:rPr>
        <w:softHyphen/>
        <w:t>кончилось и они окончательно сдали свои по</w:t>
      </w:r>
      <w:r w:rsidRPr="00DB5D0D">
        <w:rPr>
          <w:rFonts w:ascii="Times New Roman" w:hAnsi="Times New Roman"/>
          <w:color w:val="000000" w:themeColor="text1"/>
          <w:sz w:val="16"/>
          <w:szCs w:val="16"/>
        </w:rPr>
        <w:softHyphen/>
        <w:t>зиции скоростным монопланам (9979).</w:t>
      </w:r>
    </w:p>
    <w:p w14:paraId="0424F0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81C0B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в ремонтных мастерских ВВС ВМФ два самолета И-16 тип 24 были оборудованы бомбодержателями конструкции Орлова. Брали 10 по 15 кг или одну 100 кг. Испытывали в 62 аб ВВС ЧФ (1808,25).</w:t>
      </w:r>
    </w:p>
    <w:p w14:paraId="06E2053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EEC7A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в ремонтных мастерских ВВС ЧФ два И-16 тип 24 оборудовали бомбодержателями конструктора Орлова. Самолеты брали 10 бомб по 15 кг или одну 100 килограммовую бомбу. Установки испытыва- лись в 62-й авиабригадс ВВС Черноморского флота (12015).</w:t>
      </w:r>
    </w:p>
    <w:p w14:paraId="0E6D2B4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2126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руководство ВВС изменило свою пози</w:t>
      </w:r>
      <w:r w:rsidRPr="00DB5D0D">
        <w:rPr>
          <w:rFonts w:ascii="Times New Roman" w:hAnsi="Times New Roman"/>
          <w:color w:val="000000" w:themeColor="text1"/>
          <w:sz w:val="16"/>
          <w:szCs w:val="16"/>
        </w:rPr>
        <w:softHyphen/>
        <w:t>цию по отношению к переоснащению И-16 другими моторами, считая, что это отвлекает промышленность от производства новых образцов авиационной техники. После детального анализа этой проблемы Комитет Обо</w:t>
      </w:r>
      <w:r w:rsidRPr="00DB5D0D">
        <w:rPr>
          <w:rFonts w:ascii="Times New Roman" w:hAnsi="Times New Roman"/>
          <w:color w:val="000000" w:themeColor="text1"/>
          <w:sz w:val="16"/>
          <w:szCs w:val="16"/>
        </w:rPr>
        <w:softHyphen/>
        <w:t>роны при СНК СССР 11 октября 1940 г. издал постанов</w:t>
      </w:r>
      <w:r w:rsidRPr="00DB5D0D">
        <w:rPr>
          <w:rFonts w:ascii="Times New Roman" w:hAnsi="Times New Roman"/>
          <w:color w:val="000000" w:themeColor="text1"/>
          <w:sz w:val="16"/>
          <w:szCs w:val="16"/>
        </w:rPr>
        <w:softHyphen/>
        <w:t>ление о прекращении работ по замене на И-16 моторов М-25 на М-62, все ранее подписанные соглашения анну</w:t>
      </w:r>
      <w:r w:rsidRPr="00DB5D0D">
        <w:rPr>
          <w:rFonts w:ascii="Times New Roman" w:hAnsi="Times New Roman"/>
          <w:color w:val="000000" w:themeColor="text1"/>
          <w:sz w:val="16"/>
          <w:szCs w:val="16"/>
        </w:rPr>
        <w:softHyphen/>
        <w:t>лировались (10667).</w:t>
      </w:r>
    </w:p>
    <w:p w14:paraId="4BC30DE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4F82F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ВВС предложили заводу № 21 рассмот</w:t>
      </w:r>
      <w:r w:rsidRPr="00DB5D0D">
        <w:rPr>
          <w:rFonts w:ascii="Times New Roman" w:hAnsi="Times New Roman"/>
          <w:color w:val="000000" w:themeColor="text1"/>
          <w:sz w:val="16"/>
          <w:szCs w:val="16"/>
        </w:rPr>
        <w:softHyphen/>
        <w:t>реть вопрос об установке на И-16 тип 29 более мощного редукторного мотора М-64Р с удлиненным валом, ново</w:t>
      </w:r>
      <w:r w:rsidRPr="00DB5D0D">
        <w:rPr>
          <w:rFonts w:ascii="Times New Roman" w:hAnsi="Times New Roman"/>
          <w:color w:val="000000" w:themeColor="text1"/>
          <w:sz w:val="16"/>
          <w:szCs w:val="16"/>
        </w:rPr>
        <w:softHyphen/>
        <w:t>го винта и капота. Предварительный проект такой мо</w:t>
      </w:r>
      <w:r w:rsidRPr="00DB5D0D">
        <w:rPr>
          <w:rFonts w:ascii="Times New Roman" w:hAnsi="Times New Roman"/>
          <w:color w:val="000000" w:themeColor="text1"/>
          <w:sz w:val="16"/>
          <w:szCs w:val="16"/>
        </w:rPr>
        <w:softHyphen/>
        <w:t>дификации разработали в КБ Н.Н.Поликарпова еще в начале 1940 г. Постройка не состоялась по тем же причи</w:t>
      </w:r>
      <w:r w:rsidRPr="00DB5D0D">
        <w:rPr>
          <w:rFonts w:ascii="Times New Roman" w:hAnsi="Times New Roman"/>
          <w:color w:val="000000" w:themeColor="text1"/>
          <w:sz w:val="16"/>
          <w:szCs w:val="16"/>
        </w:rPr>
        <w:softHyphen/>
        <w:t>нам, что и в случае с И-16 тип 24 (10667).</w:t>
      </w:r>
    </w:p>
    <w:p w14:paraId="1049EFD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F83E05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прошел испытания УТИ-4 с винтом АВ-1, лопасти которого постоянно устанавливались в фиксированное положение. Для воздушного винта диаметром 2.8 м с шириной лопасти 220 мм. опытным путем определили наиболее эффективный угол разворота лопастей - 32*. Такое положение являлось оптимальным при проведении учебных полетов, полетов по кругу и простого пилотажа (12015).</w:t>
      </w:r>
    </w:p>
    <w:p w14:paraId="0141D7B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5FCB821" w14:textId="77777777" w:rsidR="005D3AF1" w:rsidRPr="00DB5D0D" w:rsidRDefault="005D3AF1"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Летом 1940 г. прошел испытания УТИ-4 с винтом АВ-1, лопасти которого устанавливались в фиксированном положении. Для воздушного винта диаметром 2,8 м с шириной лопасти 220 мм опытным путем определили наиболее эффективный угол установки лопастей -32°. Такое положение являлось оптимальным при проведении учебных полетов и простого пилотажа (19109).</w:t>
      </w:r>
    </w:p>
    <w:p w14:paraId="5B30BC7B" w14:textId="77777777" w:rsidR="005D3AF1" w:rsidRPr="00DB5D0D" w:rsidRDefault="005D3AF1" w:rsidP="00DB5D0D">
      <w:pPr>
        <w:pStyle w:val="a8"/>
        <w:jc w:val="both"/>
        <w:rPr>
          <w:rFonts w:ascii="Times New Roman" w:hAnsi="Times New Roman" w:cs="Times New Roman"/>
          <w:color w:val="000000" w:themeColor="text1"/>
        </w:rPr>
      </w:pPr>
    </w:p>
    <w:p w14:paraId="77BB8E9A" w14:textId="77777777" w:rsidR="005D3AF1" w:rsidRPr="00DB5D0D" w:rsidRDefault="005D3AF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hAnsi="Times New Roman"/>
          <w:color w:val="000000" w:themeColor="text1"/>
          <w:sz w:val="16"/>
          <w:szCs w:val="16"/>
        </w:rPr>
        <w:t xml:space="preserve">Летом 1940 года в НКАП был представлен в НКАП был представлен эскизный проект самолета </w:t>
      </w:r>
      <w:r w:rsidRPr="00DB5D0D">
        <w:rPr>
          <w:rFonts w:ascii="Times New Roman" w:eastAsia="Times New Roman" w:hAnsi="Times New Roman"/>
          <w:color w:val="000000" w:themeColor="text1"/>
          <w:sz w:val="16"/>
          <w:szCs w:val="16"/>
          <w:lang w:eastAsia="ru-RU"/>
        </w:rPr>
        <w:t>И-207 № 10, или, как его еще называли, «Изделие 10». Конструкторы А.А. Боровков и И.Ф. Флоров предусмотрели уста новку дополнительного мотора внутри фюзеляжа, за кабиной летчика. В обычном полете ДМ не мешал, но когда требова лось резко увеличить скорость, например, догнать противни ка, должны были открыться прикрывающие створки и вклю читься ПВРД.</w:t>
      </w:r>
    </w:p>
    <w:p w14:paraId="715A9491" w14:textId="77777777" w:rsidR="005D3AF1" w:rsidRPr="00DB5D0D" w:rsidRDefault="005D3AF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Самолет № 10 предполагалось использовать в трех вари антах:</w:t>
      </w:r>
    </w:p>
    <w:p w14:paraId="3B026ACC" w14:textId="77777777" w:rsidR="005D3AF1" w:rsidRPr="00DB5D0D" w:rsidRDefault="005D3AF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скоростной маневренный истребитель, — истребитель сопровождения, — пикирующий бомбардировщик.</w:t>
      </w:r>
    </w:p>
    <w:p w14:paraId="66C7F224" w14:textId="77777777" w:rsidR="005D3AF1" w:rsidRPr="00DB5D0D" w:rsidRDefault="005D3AF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Вооружение самолета должно было состоять из легкосъем ных установок. Первоначальный вариант — 2 ШКАС и 1 БС, которые можно было легко снять и в полевых условиях заме нить двумя пушками калибра 23 мм.</w:t>
      </w:r>
    </w:p>
    <w:p w14:paraId="1FA14DB6" w14:textId="77777777" w:rsidR="005D3AF1" w:rsidRPr="00DB5D0D" w:rsidRDefault="005D3AF1" w:rsidP="00DB5D0D">
      <w:pPr>
        <w:pStyle w:val="ae"/>
        <w:shd w:val="clear" w:color="auto" w:fill="FFFFFF"/>
        <w:spacing w:before="0" w:after="0"/>
        <w:jc w:val="both"/>
        <w:rPr>
          <w:color w:val="000000" w:themeColor="text1"/>
          <w:sz w:val="16"/>
          <w:szCs w:val="16"/>
        </w:rPr>
      </w:pPr>
      <w:r w:rsidRPr="00DB5D0D">
        <w:rPr>
          <w:color w:val="000000" w:themeColor="text1"/>
          <w:sz w:val="16"/>
          <w:szCs w:val="16"/>
        </w:rPr>
        <w:t>К дополнительным нововведениям стоит отнести шасси с носовой стойкой. Несомненным катализатором использо вания этой новой схемы шасси следует назвать исследова тельские работы ЦАГИ и испытания, проведенные на само лете СБ. Сразу несколько проектов перспективных самоле тов имели в 1940 г. шасси с носовой стойкой. Что касается самолета И-207 № 10, то здесь выбранное решение было про диктовано необходимостью, так как хвостовая часть была занята ДМ (19586).</w:t>
      </w:r>
    </w:p>
    <w:p w14:paraId="0A2EF18C" w14:textId="77777777" w:rsidR="005D3AF1" w:rsidRPr="00DB5D0D" w:rsidRDefault="005D3AF1" w:rsidP="00DB5D0D">
      <w:pPr>
        <w:pStyle w:val="ae"/>
        <w:shd w:val="clear" w:color="auto" w:fill="FFFFFF"/>
        <w:spacing w:before="0" w:after="0"/>
        <w:jc w:val="both"/>
        <w:rPr>
          <w:color w:val="000000" w:themeColor="text1"/>
          <w:sz w:val="16"/>
          <w:szCs w:val="16"/>
        </w:rPr>
      </w:pPr>
    </w:p>
    <w:p w14:paraId="45F544B3" w14:textId="77777777" w:rsidR="005D3AF1" w:rsidRPr="00DB5D0D" w:rsidRDefault="005D3AF1"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Летом 1940 г. в Харьков с инспектор</w:t>
      </w:r>
      <w:r w:rsidRPr="00DB5D0D">
        <w:rPr>
          <w:rFonts w:ascii="Times New Roman" w:cs="Times New Roman"/>
          <w:color w:val="000000" w:themeColor="text1"/>
          <w:spacing w:val="0"/>
        </w:rPr>
        <w:softHyphen/>
        <w:t>ской проверкой прибыли: заместитель начальника ВВС генерал-лейтенант ПВ Рычагов и начальник НИИ ВВС гене- рал-майор А И Филин. Целью проверки являлось обследование «состояния пос</w:t>
      </w:r>
      <w:r w:rsidRPr="00DB5D0D">
        <w:rPr>
          <w:rFonts w:ascii="Times New Roman" w:cs="Times New Roman"/>
          <w:color w:val="000000" w:themeColor="text1"/>
          <w:spacing w:val="0"/>
        </w:rPr>
        <w:softHyphen/>
        <w:t>тройки на заводе № 135 и эксплуатации в строевых частях Харьковского военного округа самолетов ББ-1 с мотором М-88» Обследование подтвердило простоту пилотирования самолета, наличие отно</w:t>
      </w:r>
      <w:r w:rsidRPr="00DB5D0D">
        <w:rPr>
          <w:rFonts w:ascii="Times New Roman" w:cs="Times New Roman"/>
          <w:color w:val="000000" w:themeColor="text1"/>
          <w:spacing w:val="0"/>
        </w:rPr>
        <w:softHyphen/>
        <w:t>сительно мощного вооружения, непло</w:t>
      </w:r>
      <w:r w:rsidRPr="00DB5D0D">
        <w:rPr>
          <w:rFonts w:ascii="Times New Roman" w:cs="Times New Roman"/>
          <w:color w:val="000000" w:themeColor="text1"/>
          <w:spacing w:val="0"/>
        </w:rPr>
        <w:softHyphen/>
        <w:t>хие летно-технические характеристики Вместе с тем подтвердились проблемы с недоведенной винтомоторной группой, недостаточной прочностью шасси, колес и пневматиков Для обеспечения нор</w:t>
      </w:r>
      <w:r w:rsidRPr="00DB5D0D">
        <w:rPr>
          <w:rFonts w:ascii="Times New Roman" w:cs="Times New Roman"/>
          <w:color w:val="000000" w:themeColor="text1"/>
          <w:spacing w:val="0"/>
        </w:rPr>
        <w:softHyphen/>
        <w:t>мальной эксплуатации ББ-1 с мотором М-88 в строевых частях ВВС требовалось устранение ряда недостатков, а также внесение некоторых изменений в конст</w:t>
      </w:r>
      <w:r w:rsidRPr="00DB5D0D">
        <w:rPr>
          <w:rFonts w:ascii="Times New Roman" w:cs="Times New Roman"/>
          <w:color w:val="000000" w:themeColor="text1"/>
          <w:spacing w:val="0"/>
        </w:rPr>
        <w:softHyphen/>
        <w:t>рукцию самолета (19102).</w:t>
      </w:r>
    </w:p>
    <w:p w14:paraId="6D5973BF" w14:textId="77777777" w:rsidR="005D3AF1" w:rsidRPr="00DB5D0D" w:rsidRDefault="005D3AF1" w:rsidP="00DB5D0D">
      <w:pPr>
        <w:pStyle w:val="27"/>
        <w:shd w:val="clear" w:color="auto" w:fill="auto"/>
        <w:spacing w:after="0" w:line="240" w:lineRule="auto"/>
        <w:ind w:firstLine="0"/>
        <w:rPr>
          <w:rFonts w:ascii="Times New Roman" w:cs="Times New Roman"/>
          <w:color w:val="000000" w:themeColor="text1"/>
          <w:spacing w:val="0"/>
        </w:rPr>
      </w:pPr>
    </w:p>
    <w:p w14:paraId="1BBA55B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Летом 1940 г. были проведены аэродинамические исследования модели САМ-13, подтвердившие основные параметры самолета и построен полноразмерный макет для увязки основных агрегатов и оборудования. По причине малых размеров самолета вооружение состоявшее из четырех пулеметов ШКАС, пришлось разместить в обтекателях в районе крепления хвостовых балок к крылу (11952).</w:t>
      </w:r>
    </w:p>
    <w:p w14:paraId="5677BDC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B842C6"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Летом 1940 г. проект истребителя Б-10 Г.М. Бериева обсуждался в Комитете обороны и по предложению командующего Военно-морским флотом Н.Г. Кузнецова был отклонен из опасений, что работа над истребителем помешает конструктору в срок выполнить основное задание — проектирование и постройку палубного разведчика КОР-2. </w:t>
      </w:r>
    </w:p>
    <w:p w14:paraId="19E68AB6"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РГАЭ. Ф. 8164. Оп. 1. Д. 91; Панатов Г.С., Удалов К.Г. Иллюстрированная энциклопедия самолётов ТАНТК им. Г.М. Бериева. Т. 1. М., 1998 (17489).</w:t>
      </w:r>
    </w:p>
    <w:p w14:paraId="3C64275B"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p>
    <w:p w14:paraId="6946B3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в НКАП были представлены Эскизные проек</w:t>
      </w:r>
      <w:r w:rsidRPr="00DB5D0D">
        <w:rPr>
          <w:rFonts w:ascii="Times New Roman" w:hAnsi="Times New Roman"/>
          <w:color w:val="000000" w:themeColor="text1"/>
          <w:sz w:val="16"/>
          <w:szCs w:val="16"/>
        </w:rPr>
        <w:softHyphen/>
        <w:t>ты этих самолетов И-207 № 10 и № 11.</w:t>
      </w:r>
    </w:p>
    <w:p w14:paraId="586460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И-207 № 10 был рассмотрен 3 августа комиссией академика Б.Н. Юрьева, которая посчитала постройку самоле</w:t>
      </w:r>
      <w:r w:rsidRPr="00DB5D0D">
        <w:rPr>
          <w:rFonts w:ascii="Times New Roman" w:hAnsi="Times New Roman"/>
          <w:color w:val="000000" w:themeColor="text1"/>
          <w:sz w:val="16"/>
          <w:szCs w:val="16"/>
        </w:rPr>
        <w:softHyphen/>
        <w:t>та целесообразной, «но в облегченном варианте, считая основ</w:t>
      </w:r>
      <w:r w:rsidRPr="00DB5D0D">
        <w:rPr>
          <w:rFonts w:ascii="Times New Roman" w:hAnsi="Times New Roman"/>
          <w:color w:val="000000" w:themeColor="text1"/>
          <w:sz w:val="16"/>
          <w:szCs w:val="16"/>
        </w:rPr>
        <w:softHyphen/>
        <w:t>ным использованием его как маневренного истребителя. Под</w:t>
      </w:r>
      <w:r w:rsidRPr="00DB5D0D">
        <w:rPr>
          <w:rFonts w:ascii="Times New Roman" w:hAnsi="Times New Roman"/>
          <w:color w:val="000000" w:themeColor="text1"/>
          <w:sz w:val="16"/>
          <w:szCs w:val="16"/>
        </w:rPr>
        <w:softHyphen/>
        <w:t>веску бомб принять только в перегрузочном варианте и бомбо</w:t>
      </w:r>
      <w:r w:rsidRPr="00DB5D0D">
        <w:rPr>
          <w:rFonts w:ascii="Times New Roman" w:hAnsi="Times New Roman"/>
          <w:color w:val="000000" w:themeColor="text1"/>
          <w:sz w:val="16"/>
          <w:szCs w:val="16"/>
        </w:rPr>
        <w:softHyphen/>
        <w:t>вую нагрузку считать предельной в 2x250 и 4x100».</w:t>
      </w:r>
    </w:p>
    <w:p w14:paraId="1DC5B56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Конструктивные отличия от предыдущих вариантов своди</w:t>
      </w:r>
      <w:r w:rsidRPr="00DB5D0D">
        <w:rPr>
          <w:rFonts w:ascii="Times New Roman" w:hAnsi="Times New Roman"/>
          <w:color w:val="000000" w:themeColor="text1"/>
          <w:sz w:val="16"/>
          <w:szCs w:val="16"/>
        </w:rPr>
        <w:softHyphen/>
        <w:t>лись к тому, что верхнее и нижнее крылья были изогнуты в виде «чайки». Хвостовая часть фюзеляжа представляла дюралевый монокок с работающей обшивкой. Шасси трехколесное уби</w:t>
      </w:r>
      <w:r w:rsidRPr="00DB5D0D">
        <w:rPr>
          <w:rFonts w:ascii="Times New Roman" w:hAnsi="Times New Roman"/>
          <w:color w:val="000000" w:themeColor="text1"/>
          <w:sz w:val="16"/>
          <w:szCs w:val="16"/>
        </w:rPr>
        <w:softHyphen/>
        <w:t>рающееся.</w:t>
      </w:r>
    </w:p>
    <w:p w14:paraId="44CD12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хвостовой части устанавливался прямоточный воздуш</w:t>
      </w:r>
      <w:r w:rsidRPr="00DB5D0D">
        <w:rPr>
          <w:rFonts w:ascii="Times New Roman" w:hAnsi="Times New Roman"/>
          <w:color w:val="000000" w:themeColor="text1"/>
          <w:sz w:val="16"/>
          <w:szCs w:val="16"/>
        </w:rPr>
        <w:softHyphen/>
        <w:t>но-реактивный двигатель И.А. Меркулова. В качестве мотора конструкторы выбрали М-71.</w:t>
      </w:r>
    </w:p>
    <w:p w14:paraId="0A5429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бомбовая нагрузка составляла 1000 кг (2x500 или 4x250). Стрелковое вооружение включало два пулемета ка</w:t>
      </w:r>
      <w:r w:rsidRPr="00DB5D0D">
        <w:rPr>
          <w:rFonts w:ascii="Times New Roman" w:hAnsi="Times New Roman"/>
          <w:color w:val="000000" w:themeColor="text1"/>
          <w:sz w:val="16"/>
          <w:szCs w:val="16"/>
        </w:rPr>
        <w:softHyphen/>
        <w:t>либра 12,7 мм и два — калибра 7,62 мм. Предусматривалась подвеска 8 РС-82. Бронирование предусматривало исполь</w:t>
      </w:r>
      <w:r w:rsidRPr="00DB5D0D">
        <w:rPr>
          <w:rFonts w:ascii="Times New Roman" w:hAnsi="Times New Roman"/>
          <w:color w:val="000000" w:themeColor="text1"/>
          <w:sz w:val="16"/>
          <w:szCs w:val="16"/>
        </w:rPr>
        <w:softHyphen/>
        <w:t>зование бронеспинки из цементированной брони толщиной 8,5 мм и бронесиденья толщиной 4—4,5 мм.</w:t>
      </w:r>
    </w:p>
    <w:p w14:paraId="59B712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полета без включения ПВРД по про</w:t>
      </w:r>
      <w:r w:rsidRPr="00DB5D0D">
        <w:rPr>
          <w:rFonts w:ascii="Times New Roman" w:hAnsi="Times New Roman"/>
          <w:color w:val="000000" w:themeColor="text1"/>
          <w:sz w:val="16"/>
          <w:szCs w:val="16"/>
        </w:rPr>
        <w:softHyphen/>
        <w:t>екту составляла 658 км/ч. По мнению комиссии с учетом потерь на охлаждение мотора М-71 и дополнительного аэродинамиче</w:t>
      </w:r>
      <w:r w:rsidRPr="00DB5D0D">
        <w:rPr>
          <w:rFonts w:ascii="Times New Roman" w:hAnsi="Times New Roman"/>
          <w:color w:val="000000" w:themeColor="text1"/>
          <w:sz w:val="16"/>
          <w:szCs w:val="16"/>
        </w:rPr>
        <w:softHyphen/>
        <w:t>ского сопротивления реактивного двигателя максимальная ско</w:t>
      </w:r>
      <w:r w:rsidRPr="00DB5D0D">
        <w:rPr>
          <w:rFonts w:ascii="Times New Roman" w:hAnsi="Times New Roman"/>
          <w:color w:val="000000" w:themeColor="text1"/>
          <w:sz w:val="16"/>
          <w:szCs w:val="16"/>
        </w:rPr>
        <w:softHyphen/>
        <w:t>рость без включения ПВРД могла быть не более 605 км/ч.</w:t>
      </w:r>
    </w:p>
    <w:p w14:paraId="5F4765C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Следовательно, в варианте самолета поля боя максималь</w:t>
      </w:r>
      <w:r w:rsidRPr="00DB5D0D">
        <w:rPr>
          <w:rFonts w:ascii="Times New Roman" w:hAnsi="Times New Roman"/>
          <w:color w:val="000000" w:themeColor="text1"/>
          <w:sz w:val="16"/>
          <w:szCs w:val="16"/>
        </w:rPr>
        <w:softHyphen/>
        <w:t>ная скорость была бы не менее 550 км/ч, что очень неплохо. С реальным мотором М-82А максимальная скорость полета мог</w:t>
      </w:r>
      <w:r w:rsidRPr="00DB5D0D">
        <w:rPr>
          <w:rFonts w:ascii="Times New Roman" w:hAnsi="Times New Roman"/>
          <w:color w:val="000000" w:themeColor="text1"/>
          <w:sz w:val="16"/>
          <w:szCs w:val="16"/>
        </w:rPr>
        <w:softHyphen/>
        <w:t>ла быть не менее 520 км/ч.</w:t>
      </w:r>
    </w:p>
    <w:p w14:paraId="51194D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И-207 № 11 являлся переработкой само</w:t>
      </w:r>
      <w:r w:rsidRPr="00DB5D0D">
        <w:rPr>
          <w:rFonts w:ascii="Times New Roman" w:hAnsi="Times New Roman"/>
          <w:color w:val="000000" w:themeColor="text1"/>
          <w:sz w:val="16"/>
          <w:szCs w:val="16"/>
        </w:rPr>
        <w:softHyphen/>
        <w:t>лета № 10 под основное назначение по требованию комиссии Юрьева. На самолете устанавливались два двигателя Меркулова. Мотор М-71 предполагалось использовать с удлиненным валом. Бомбовое вооружение включало две бомбы по 250 кг. Вместо бомб предусматривалась подвеска двух пушек ПТБ-23 калибра 23 мм. Кроме того, на самолете устанавливались два синхронных пулемета калибра 12,7 мм и два — нормального калибра. Максимальная скорость на высоте 5830 м без включе</w:t>
      </w:r>
      <w:r w:rsidRPr="00DB5D0D">
        <w:rPr>
          <w:rFonts w:ascii="Times New Roman" w:hAnsi="Times New Roman"/>
          <w:color w:val="000000" w:themeColor="text1"/>
          <w:sz w:val="16"/>
          <w:szCs w:val="16"/>
        </w:rPr>
        <w:softHyphen/>
        <w:t>ния ПВРД достигала 654 км/ч. По проекту максимальная ско</w:t>
      </w:r>
      <w:r w:rsidRPr="00DB5D0D">
        <w:rPr>
          <w:rFonts w:ascii="Times New Roman" w:hAnsi="Times New Roman"/>
          <w:color w:val="000000" w:themeColor="text1"/>
          <w:sz w:val="16"/>
          <w:szCs w:val="16"/>
        </w:rPr>
        <w:softHyphen/>
        <w:t>рость с бомбовой нагрузкой составляла 611 км/ч. Время набора высоты 5000 м, соответственно — 3,7 и 4,5 мин.</w:t>
      </w:r>
    </w:p>
    <w:p w14:paraId="52B674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комиссии, без бомб максимальная скорость мог</w:t>
      </w:r>
      <w:r w:rsidRPr="00DB5D0D">
        <w:rPr>
          <w:rFonts w:ascii="Times New Roman" w:hAnsi="Times New Roman"/>
          <w:color w:val="000000" w:themeColor="text1"/>
          <w:sz w:val="16"/>
          <w:szCs w:val="16"/>
        </w:rPr>
        <w:softHyphen/>
        <w:t>ла быть равной только 630 км/ч. Тогда с бомбами можно было ожидать скорость порядка 585 км/ч. Комиссия посчитала целесо</w:t>
      </w:r>
      <w:r w:rsidRPr="00DB5D0D">
        <w:rPr>
          <w:rFonts w:ascii="Times New Roman" w:hAnsi="Times New Roman"/>
          <w:color w:val="000000" w:themeColor="text1"/>
          <w:sz w:val="16"/>
          <w:szCs w:val="16"/>
        </w:rPr>
        <w:softHyphen/>
        <w:t>образным строить самолет как экспериментальный. Яковлев со</w:t>
      </w:r>
      <w:r w:rsidRPr="00DB5D0D">
        <w:rPr>
          <w:rFonts w:ascii="Times New Roman" w:hAnsi="Times New Roman"/>
          <w:color w:val="000000" w:themeColor="text1"/>
          <w:sz w:val="16"/>
          <w:szCs w:val="16"/>
        </w:rPr>
        <w:softHyphen/>
        <w:t>гласился включить работу в план экспериментальных работ.</w:t>
      </w:r>
    </w:p>
    <w:p w14:paraId="3CA17A2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октябре 1940 г. эскизный проект самолета И-207 № 11 рассматривался в НИИ ВВС. Заключение на проект начальник ВВС генерал П.В. Рычагов утвердил 9 декабря.</w:t>
      </w:r>
    </w:p>
    <w:p w14:paraId="19D7B7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эскизный проект был оценен положительно. Са</w:t>
      </w:r>
      <w:r w:rsidRPr="00DB5D0D">
        <w:rPr>
          <w:rFonts w:ascii="Times New Roman" w:hAnsi="Times New Roman"/>
          <w:color w:val="000000" w:themeColor="text1"/>
          <w:sz w:val="16"/>
          <w:szCs w:val="16"/>
        </w:rPr>
        <w:softHyphen/>
        <w:t>молет рекомендовали включить в план опытного строительст</w:t>
      </w:r>
      <w:r w:rsidRPr="00DB5D0D">
        <w:rPr>
          <w:rFonts w:ascii="Times New Roman" w:hAnsi="Times New Roman"/>
          <w:color w:val="000000" w:themeColor="text1"/>
          <w:sz w:val="16"/>
          <w:szCs w:val="16"/>
        </w:rPr>
        <w:softHyphen/>
        <w:t>ва на 1941 г. в качестве экпериментального истребителя при условии выполнения пресловутого — совершенно нереального для того времени — требования обеспечить скоростную даль</w:t>
      </w:r>
      <w:r w:rsidRPr="00DB5D0D">
        <w:rPr>
          <w:rFonts w:ascii="Times New Roman" w:hAnsi="Times New Roman"/>
          <w:color w:val="000000" w:themeColor="text1"/>
          <w:sz w:val="16"/>
          <w:szCs w:val="16"/>
        </w:rPr>
        <w:softHyphen/>
        <w:t>ность полета не менее 1000 км, а в перегрузку — 1400 км.</w:t>
      </w:r>
    </w:p>
    <w:p w14:paraId="039957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Поскольку И-207 не планировалось использовать для со</w:t>
      </w:r>
      <w:r w:rsidRPr="00DB5D0D">
        <w:rPr>
          <w:rFonts w:ascii="Times New Roman" w:hAnsi="Times New Roman"/>
          <w:color w:val="000000" w:themeColor="text1"/>
          <w:sz w:val="16"/>
          <w:szCs w:val="16"/>
        </w:rPr>
        <w:softHyphen/>
        <w:t>провождения бомбардировщиков, то такая дальность полета ему была не нужна (11474,72).</w:t>
      </w:r>
    </w:p>
    <w:p w14:paraId="2CAEC8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8536F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в ОКБ А.Д.Швецова собирались закон</w:t>
      </w:r>
      <w:r w:rsidRPr="00DB5D0D">
        <w:rPr>
          <w:rFonts w:ascii="Times New Roman" w:hAnsi="Times New Roman"/>
          <w:color w:val="000000" w:themeColor="text1"/>
          <w:sz w:val="16"/>
          <w:szCs w:val="16"/>
        </w:rPr>
        <w:softHyphen/>
        <w:t>чить испытания нового мотора воздушного охлаждения М-71. 5 мая 1940 г. нарком авиапромышленности А.И.Шахурин дал распоряжение об установке указанно</w:t>
      </w:r>
      <w:r w:rsidRPr="00DB5D0D">
        <w:rPr>
          <w:rFonts w:ascii="Times New Roman" w:hAnsi="Times New Roman"/>
          <w:color w:val="000000" w:themeColor="text1"/>
          <w:sz w:val="16"/>
          <w:szCs w:val="16"/>
        </w:rPr>
        <w:softHyphen/>
        <w:t>го двигателя на И-185 и построить с ним два самолета из числа заказанных. Предполагалось, что мотор будет по</w:t>
      </w:r>
      <w:r w:rsidRPr="00DB5D0D">
        <w:rPr>
          <w:rFonts w:ascii="Times New Roman" w:hAnsi="Times New Roman"/>
          <w:color w:val="000000" w:themeColor="text1"/>
          <w:sz w:val="16"/>
          <w:szCs w:val="16"/>
        </w:rPr>
        <w:softHyphen/>
        <w:t>лучен к 1 июля 1940 г. Однако сроки готовности этого мотора постоянно отодвигались и в итоге ни один эк</w:t>
      </w:r>
      <w:r w:rsidRPr="00DB5D0D">
        <w:rPr>
          <w:rFonts w:ascii="Times New Roman" w:hAnsi="Times New Roman"/>
          <w:color w:val="000000" w:themeColor="text1"/>
          <w:sz w:val="16"/>
          <w:szCs w:val="16"/>
        </w:rPr>
        <w:softHyphen/>
        <w:t>земпляр М-71 не был поставлен в течение всего 1940 г. 3 июля 1940 г. Шахурин распорядился переработать чер</w:t>
      </w:r>
      <w:r w:rsidRPr="00DB5D0D">
        <w:rPr>
          <w:rFonts w:ascii="Times New Roman" w:hAnsi="Times New Roman"/>
          <w:color w:val="000000" w:themeColor="text1"/>
          <w:sz w:val="16"/>
          <w:szCs w:val="16"/>
        </w:rPr>
        <w:softHyphen/>
        <w:t>тежи под установку еще одного нового мотора А.Д.Шве</w:t>
      </w:r>
      <w:r w:rsidRPr="00DB5D0D">
        <w:rPr>
          <w:rFonts w:ascii="Times New Roman" w:hAnsi="Times New Roman"/>
          <w:color w:val="000000" w:themeColor="text1"/>
          <w:sz w:val="16"/>
          <w:szCs w:val="16"/>
        </w:rPr>
        <w:softHyphen/>
        <w:t>цова - М-81. Но сроки поставки этого мотора также срывались. Николай Николаевич не без оснований счи</w:t>
      </w:r>
      <w:r w:rsidRPr="00DB5D0D">
        <w:rPr>
          <w:rFonts w:ascii="Times New Roman" w:hAnsi="Times New Roman"/>
          <w:color w:val="000000" w:themeColor="text1"/>
          <w:sz w:val="16"/>
          <w:szCs w:val="16"/>
        </w:rPr>
        <w:softHyphen/>
        <w:t>тал, что наркомат не желает оказывать действенную помощь моторостроительным КБ, занимающимся раз</w:t>
      </w:r>
      <w:r w:rsidRPr="00DB5D0D">
        <w:rPr>
          <w:rFonts w:ascii="Times New Roman" w:hAnsi="Times New Roman"/>
          <w:color w:val="000000" w:themeColor="text1"/>
          <w:sz w:val="16"/>
          <w:szCs w:val="16"/>
        </w:rPr>
        <w:softHyphen/>
        <w:t>работкой двигателей воздушного охлаждения, сделав ставку на моторы жидкостного охлаждения. На заводе № 1 на его ОКБ смотрели косо, любую ме</w:t>
      </w:r>
      <w:r w:rsidRPr="00DB5D0D">
        <w:rPr>
          <w:rFonts w:ascii="Times New Roman" w:hAnsi="Times New Roman"/>
          <w:color w:val="000000" w:themeColor="text1"/>
          <w:sz w:val="16"/>
          <w:szCs w:val="16"/>
        </w:rPr>
        <w:softHyphen/>
        <w:t>лочь приходилось «пробивать» с большим трудом (10667).</w:t>
      </w:r>
    </w:p>
    <w:p w14:paraId="43ED39B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ECCFCD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проходил госиспытания М-40Ф, опытный образец, форсированный по оборотам, 1250/1500 л.с. В ноябре того же года был ре</w:t>
      </w:r>
      <w:r w:rsidRPr="00DB5D0D">
        <w:rPr>
          <w:rFonts w:ascii="Times New Roman" w:hAnsi="Times New Roman"/>
          <w:color w:val="000000" w:themeColor="text1"/>
          <w:sz w:val="16"/>
          <w:szCs w:val="16"/>
        </w:rPr>
        <w:softHyphen/>
        <w:t>комендован в серию и выпущен небольшой партией в 1941 г. Летом 1941 г. испытывался на Ер-2 (11852).</w:t>
      </w:r>
    </w:p>
    <w:p w14:paraId="190CED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201214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состоялась защита технического проекта двига</w:t>
      </w:r>
      <w:r w:rsidRPr="00DB5D0D">
        <w:rPr>
          <w:rFonts w:ascii="Times New Roman" w:hAnsi="Times New Roman"/>
          <w:color w:val="000000" w:themeColor="text1"/>
          <w:sz w:val="16"/>
          <w:szCs w:val="16"/>
        </w:rPr>
        <w:softHyphen/>
        <w:t>теля РД-1 в НКАП. При создании РД-1 наряду с тщатель</w:t>
      </w:r>
      <w:r w:rsidRPr="00DB5D0D">
        <w:rPr>
          <w:rFonts w:ascii="Times New Roman" w:hAnsi="Times New Roman"/>
          <w:color w:val="000000" w:themeColor="text1"/>
          <w:sz w:val="16"/>
          <w:szCs w:val="16"/>
        </w:rPr>
        <w:softHyphen/>
        <w:t>ными расчетам широко использовались физическое моделирование и экспери</w:t>
      </w:r>
      <w:r w:rsidRPr="00DB5D0D">
        <w:rPr>
          <w:rFonts w:ascii="Times New Roman" w:hAnsi="Times New Roman"/>
          <w:color w:val="000000" w:themeColor="text1"/>
          <w:sz w:val="16"/>
          <w:szCs w:val="16"/>
        </w:rPr>
        <w:softHyphen/>
        <w:t>ментальная отработка реальных узлов двигателя (11133).</w:t>
      </w:r>
    </w:p>
    <w:p w14:paraId="70AADC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5EC63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КБ Н.Н.Поликарпова совместно с частью заводского КБ для крупносерийного производства И-180 разработа</w:t>
      </w:r>
      <w:r w:rsidRPr="00DB5D0D">
        <w:rPr>
          <w:rFonts w:ascii="Times New Roman" w:hAnsi="Times New Roman"/>
          <w:color w:val="000000" w:themeColor="text1"/>
          <w:sz w:val="16"/>
          <w:szCs w:val="16"/>
        </w:rPr>
        <w:softHyphen/>
        <w:t>ли так называемый «эталон 1941 года» (в документации ОКБ И-180 Е-5), в котором устранялись выявленные на испытаниях недостатки, улучшалась конструкция, по</w:t>
      </w:r>
      <w:r w:rsidRPr="00DB5D0D">
        <w:rPr>
          <w:rFonts w:ascii="Times New Roman" w:hAnsi="Times New Roman"/>
          <w:color w:val="000000" w:themeColor="text1"/>
          <w:sz w:val="16"/>
          <w:szCs w:val="16"/>
        </w:rPr>
        <w:softHyphen/>
        <w:t>вышались летные характеристики. И-180 - эталон 1941 г. имел следующие отличия от исходного И-180 тип 25:</w:t>
      </w:r>
    </w:p>
    <w:p w14:paraId="38BC6D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одностоечное шасси вместо пирамидального,</w:t>
      </w:r>
    </w:p>
    <w:p w14:paraId="2FC6BD5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измененный по конструкции центроплан,</w:t>
      </w:r>
    </w:p>
    <w:p w14:paraId="765B66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усиленный передний лонжерон,</w:t>
      </w:r>
    </w:p>
    <w:p w14:paraId="2B7D4A7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хвостовое колесо размером 300x125 и, в связи с этим, новый хвостовой кок,</w:t>
      </w:r>
    </w:p>
    <w:p w14:paraId="009F7E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улучшенный фонарь кабины пилота,</w:t>
      </w:r>
    </w:p>
    <w:p w14:paraId="01B718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увеличенный угол поперечного «V» консолей,</w:t>
      </w:r>
    </w:p>
    <w:p w14:paraId="68217C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центровка 20-22% САХ,</w:t>
      </w:r>
    </w:p>
    <w:p w14:paraId="67A16E0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установка подвесных бензобаков,</w:t>
      </w:r>
    </w:p>
    <w:p w14:paraId="3705F51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установка радиостанции РСИ-4 с антенной по ти</w:t>
      </w:r>
      <w:r w:rsidRPr="00DB5D0D">
        <w:rPr>
          <w:rFonts w:ascii="Times New Roman" w:hAnsi="Times New Roman"/>
          <w:color w:val="000000" w:themeColor="text1"/>
          <w:sz w:val="16"/>
          <w:szCs w:val="16"/>
        </w:rPr>
        <w:softHyphen/>
        <w:t>пу И-185,</w:t>
      </w:r>
    </w:p>
    <w:p w14:paraId="7A97DC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мотор М-88А вместо М-88Р,</w:t>
      </w:r>
    </w:p>
    <w:p w14:paraId="2EF30B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упрощенное управление закрылками,</w:t>
      </w:r>
    </w:p>
    <w:p w14:paraId="3D06F7B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три бензобака новой конфигурации вместо одного,</w:t>
      </w:r>
    </w:p>
    <w:p w14:paraId="4F5A5C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маслорадиатор под кабиной пилота по типу И-185,</w:t>
      </w:r>
    </w:p>
    <w:p w14:paraId="5895FB5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установка системы наполнения бензобаков нейт</w:t>
      </w:r>
      <w:r w:rsidRPr="00DB5D0D">
        <w:rPr>
          <w:rFonts w:ascii="Times New Roman" w:hAnsi="Times New Roman"/>
          <w:color w:val="000000" w:themeColor="text1"/>
          <w:sz w:val="16"/>
          <w:szCs w:val="16"/>
        </w:rPr>
        <w:softHyphen/>
        <w:t>ральными газами,</w:t>
      </w:r>
    </w:p>
    <w:p w14:paraId="0CD7B16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фары новой конструкции, дополнительные мас</w:t>
      </w:r>
      <w:r w:rsidRPr="00DB5D0D">
        <w:rPr>
          <w:rFonts w:ascii="Times New Roman" w:hAnsi="Times New Roman"/>
          <w:color w:val="000000" w:themeColor="text1"/>
          <w:sz w:val="16"/>
          <w:szCs w:val="16"/>
        </w:rPr>
        <w:softHyphen/>
        <w:t>лобаки на 30 литров, другие мелкие доработки (10667).</w:t>
      </w:r>
    </w:p>
    <w:p w14:paraId="49BDF89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7F589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лету 1940 г. обстановка вокруг Поликарпова ухуд</w:t>
      </w:r>
      <w:r w:rsidRPr="00DB5D0D">
        <w:rPr>
          <w:rFonts w:ascii="Times New Roman" w:hAnsi="Times New Roman"/>
          <w:color w:val="000000" w:themeColor="text1"/>
          <w:sz w:val="16"/>
          <w:szCs w:val="16"/>
        </w:rPr>
        <w:softHyphen/>
        <w:t>шилась. Его многочисленные попытки добиться от нар</w:t>
      </w:r>
      <w:r w:rsidRPr="00DB5D0D">
        <w:rPr>
          <w:rFonts w:ascii="Times New Roman" w:hAnsi="Times New Roman"/>
          <w:color w:val="000000" w:themeColor="text1"/>
          <w:sz w:val="16"/>
          <w:szCs w:val="16"/>
        </w:rPr>
        <w:softHyphen/>
        <w:t>комата и директора завода №21 хоть какого-нибудь положительного сдвига в организации серийной пост</w:t>
      </w:r>
      <w:r w:rsidRPr="00DB5D0D">
        <w:rPr>
          <w:rFonts w:ascii="Times New Roman" w:hAnsi="Times New Roman"/>
          <w:color w:val="000000" w:themeColor="text1"/>
          <w:sz w:val="16"/>
          <w:szCs w:val="16"/>
        </w:rPr>
        <w:softHyphen/>
        <w:t>ройки истребителя И-180 вызывали только раздраже</w:t>
      </w:r>
      <w:r w:rsidRPr="00DB5D0D">
        <w:rPr>
          <w:rFonts w:ascii="Times New Roman" w:hAnsi="Times New Roman"/>
          <w:color w:val="000000" w:themeColor="text1"/>
          <w:sz w:val="16"/>
          <w:szCs w:val="16"/>
        </w:rPr>
        <w:softHyphen/>
        <w:t>ние. Еще один источник напряженных отношений с наркоматом был связан с И-185. Недостроенные эк</w:t>
      </w:r>
      <w:r w:rsidRPr="00DB5D0D">
        <w:rPr>
          <w:rFonts w:ascii="Times New Roman" w:hAnsi="Times New Roman"/>
          <w:color w:val="000000" w:themeColor="text1"/>
          <w:sz w:val="16"/>
          <w:szCs w:val="16"/>
        </w:rPr>
        <w:softHyphen/>
        <w:t>земпляры истребителя стояли в сборочном цехе без движения, так как стендовая отработка двигателя М-90 затянулась. Вскоре выяснилось, что для ее завершения потребуется не меньше года (10667).</w:t>
      </w:r>
    </w:p>
    <w:p w14:paraId="41BAF13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C1D88CA" w14:textId="77777777" w:rsidR="00CE3D33" w:rsidRPr="00DB5D0D" w:rsidRDefault="00CE3D3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Летом 1940 г. БОК-7 вместе с другими высотными БОКами базировался на аэродроме 8-го отдела ЦАГИ в Ра</w:t>
      </w:r>
      <w:r w:rsidRPr="00DB5D0D">
        <w:rPr>
          <w:rFonts w:ascii="Times New Roman" w:hAnsi="Times New Roman"/>
          <w:color w:val="0070C0"/>
          <w:sz w:val="16"/>
          <w:szCs w:val="16"/>
        </w:rPr>
        <w:softHyphen/>
        <w:t>менском. Именно в этот период самолет использовался при проведении съемок художественного фильма «Вале</w:t>
      </w:r>
      <w:r w:rsidRPr="00DB5D0D">
        <w:rPr>
          <w:rFonts w:ascii="Times New Roman" w:hAnsi="Times New Roman"/>
          <w:color w:val="0070C0"/>
          <w:sz w:val="16"/>
          <w:szCs w:val="16"/>
        </w:rPr>
        <w:softHyphen/>
        <w:t>рий Чкалов» в роли... АНТ-25. Интересно, что останки са</w:t>
      </w:r>
      <w:r w:rsidRPr="00DB5D0D">
        <w:rPr>
          <w:rFonts w:ascii="Times New Roman" w:hAnsi="Times New Roman"/>
          <w:color w:val="0070C0"/>
          <w:sz w:val="16"/>
          <w:szCs w:val="16"/>
        </w:rPr>
        <w:softHyphen/>
        <w:t>молета со следами «киношной» деятельности долго еще находились на самолетном кладбище. По воспоминаниям старожилов, в конце войны на окраине аэродрома в Рамен</w:t>
      </w:r>
      <w:r w:rsidRPr="00DB5D0D">
        <w:rPr>
          <w:rFonts w:ascii="Times New Roman" w:hAnsi="Times New Roman"/>
          <w:color w:val="0070C0"/>
          <w:sz w:val="16"/>
          <w:szCs w:val="16"/>
        </w:rPr>
        <w:softHyphen/>
        <w:t>ском (аэродром ЛИИ в г. Жуковском) находился фюзеляж неизвестного самолета с полустертой надписью «Сталин</w:t>
      </w:r>
      <w:r w:rsidRPr="00DB5D0D">
        <w:rPr>
          <w:rFonts w:ascii="Times New Roman" w:hAnsi="Times New Roman"/>
          <w:color w:val="0070C0"/>
          <w:sz w:val="16"/>
          <w:szCs w:val="16"/>
        </w:rPr>
        <w:softHyphen/>
        <w:t>ский маршрут» (20363).</w:t>
      </w:r>
    </w:p>
    <w:p w14:paraId="241589C5" w14:textId="77777777" w:rsidR="00CE3D33" w:rsidRPr="00DB5D0D" w:rsidRDefault="00CE3D33" w:rsidP="00DB5D0D">
      <w:pPr>
        <w:shd w:val="clear" w:color="auto" w:fill="FFFFFF"/>
        <w:spacing w:after="0" w:line="240" w:lineRule="auto"/>
        <w:jc w:val="both"/>
        <w:rPr>
          <w:rFonts w:ascii="Times New Roman" w:hAnsi="Times New Roman"/>
          <w:color w:val="0070C0"/>
          <w:sz w:val="16"/>
          <w:szCs w:val="16"/>
        </w:rPr>
      </w:pPr>
    </w:p>
    <w:p w14:paraId="3BC5C4EB"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Летом 1940 г. на БОК-15 установили дизельные моторы М-40, представлявшие собой усовершенствованный вариант АН-1РТК. В их конструкции был предусмотрен компрессор для наддува гермокабины. БОК-7 также снабдили авиадизелем М-40. Как выяснилось, этот дизельный мотор из-за чувствительности к составу топливной смеси мог самопроизвольно выключаться на высоте более 4000 м и запустить его снова было непросто (17489).</w:t>
      </w:r>
    </w:p>
    <w:p w14:paraId="2D204CB4"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p>
    <w:p w14:paraId="4B2B6D5B"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Летом 1940 г. новый заместитель наркома авиапромышленности А.С. Яковлев начал компанию по прекращению финансирования работ небольших конструкторских коллективов по опытным машинам, чтобы увеличить средства на освоение производства новых боевых самолётов Як-1, ЛаГГ-1, МиГ-3, Ил-2. Под удар попало и ОКБ-30.</w:t>
      </w:r>
    </w:p>
    <w:p w14:paraId="5C0F1F56"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A. С. Яковлева поддержал начальник недавно образованного Института лётных исследований (ЛИИ) М.М. Громов. Обращаясь к замнаркома, он писал: «Снятие лётных характеристик данного самолёта нецелесообразно, т. к. вариант биплана аэродинамически выполнен неудачно и по качествам хуже И-153, а вариант моноплана хуже самолёта И-16 (по скорости). Мотор М-63, стоящий на самолёте ранее, заменяется на М-62, что снизит лётные данные самолёта. Запас прочности самолёта за счёт введённых изменений и увеличения веса недостаточен. В виду всего перечисленного прошу Вашего указания о прекращении дальнейших испытаний и передаче самолёта гл. конструктору майору Шевченко» </w:t>
      </w:r>
      <w:hyperlink r:id="rId156" w:history="1">
        <w:r w:rsidRPr="00DB5D0D">
          <w:rPr>
            <w:rFonts w:ascii="Times New Roman" w:eastAsia="Times New Roman" w:hAnsi="Times New Roman"/>
            <w:color w:val="000000" w:themeColor="text1"/>
            <w:sz w:val="16"/>
            <w:szCs w:val="16"/>
            <w:lang w:eastAsia="ru-RU"/>
          </w:rPr>
          <w:t>[311]</w:t>
        </w:r>
      </w:hyperlink>
      <w:r w:rsidRPr="00DB5D0D">
        <w:rPr>
          <w:rFonts w:ascii="Times New Roman" w:eastAsia="Times New Roman" w:hAnsi="Times New Roman"/>
          <w:color w:val="000000" w:themeColor="text1"/>
          <w:sz w:val="16"/>
          <w:szCs w:val="16"/>
          <w:lang w:eastAsia="ru-RU"/>
        </w:rPr>
        <w:t xml:space="preserve"> (17489).</w:t>
      </w:r>
    </w:p>
    <w:p w14:paraId="4B3219EE"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p>
    <w:p w14:paraId="4D3C833E" w14:textId="77777777" w:rsidR="00CE3D33" w:rsidRPr="00DB5D0D" w:rsidRDefault="00CE3D3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Летом 1940 г. бы</w:t>
      </w:r>
      <w:r w:rsidRPr="00DB5D0D">
        <w:rPr>
          <w:rFonts w:ascii="Times New Roman" w:hAnsi="Times New Roman"/>
          <w:color w:val="0070C0"/>
          <w:sz w:val="16"/>
          <w:szCs w:val="16"/>
        </w:rPr>
        <w:softHyphen/>
        <w:t>ла решена дальнейшая судьба систем Вахмистрова. Именно тогда в авиапромыш</w:t>
      </w:r>
      <w:r w:rsidRPr="00DB5D0D">
        <w:rPr>
          <w:rFonts w:ascii="Times New Roman" w:hAnsi="Times New Roman"/>
          <w:color w:val="0070C0"/>
          <w:sz w:val="16"/>
          <w:szCs w:val="16"/>
        </w:rPr>
        <w:softHyphen/>
        <w:t>ленности началось резкое сокращение экспериментальных и исследовательских работ. Приближение войны ощущалось явственно, поэтому руководство старалось сосредоточить основные усилия создателей авиатехники на наиболее ре</w:t>
      </w:r>
      <w:r w:rsidRPr="00DB5D0D">
        <w:rPr>
          <w:rFonts w:ascii="Times New Roman" w:hAnsi="Times New Roman"/>
          <w:color w:val="0070C0"/>
          <w:sz w:val="16"/>
          <w:szCs w:val="16"/>
        </w:rPr>
        <w:softHyphen/>
        <w:t>альных работах. На авиазаводе №289 было прекращено фи</w:t>
      </w:r>
      <w:r w:rsidRPr="00DB5D0D">
        <w:rPr>
          <w:rFonts w:ascii="Times New Roman" w:hAnsi="Times New Roman"/>
          <w:color w:val="0070C0"/>
          <w:sz w:val="16"/>
          <w:szCs w:val="16"/>
        </w:rPr>
        <w:softHyphen/>
        <w:t>нансирование «высотной» тематики — стратопланов, гермо</w:t>
      </w:r>
      <w:r w:rsidRPr="00DB5D0D">
        <w:rPr>
          <w:rFonts w:ascii="Times New Roman" w:hAnsi="Times New Roman"/>
          <w:color w:val="0070C0"/>
          <w:sz w:val="16"/>
          <w:szCs w:val="16"/>
        </w:rPr>
        <w:softHyphen/>
        <w:t>кабин и турбокомпрессоров (20364).</w:t>
      </w:r>
    </w:p>
    <w:p w14:paraId="2583C8B4" w14:textId="77777777" w:rsidR="00CE3D33" w:rsidRPr="00DB5D0D" w:rsidRDefault="00CE3D33" w:rsidP="00DB5D0D">
      <w:pPr>
        <w:shd w:val="clear" w:color="auto" w:fill="FFFFFF"/>
        <w:spacing w:after="0" w:line="240" w:lineRule="auto"/>
        <w:jc w:val="both"/>
        <w:rPr>
          <w:rFonts w:ascii="Times New Roman" w:hAnsi="Times New Roman"/>
          <w:color w:val="0070C0"/>
          <w:sz w:val="16"/>
          <w:szCs w:val="16"/>
        </w:rPr>
      </w:pPr>
    </w:p>
    <w:p w14:paraId="779FE1A4" w14:textId="77777777" w:rsidR="00CE3D33" w:rsidRPr="00DB5D0D" w:rsidRDefault="00CE3D33"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Два составных бомбардировщика вместе с оснасткой для оборудования ещё двух «Звеньев» летом 1940 года были доставлены в Евпаторию со складов 207-го завода. Так появилась первая и единственная в истории авиации эскадрилья составных самолётов (2-я авиационная эскадрилья 32-го истребительного полка 62-й авиабригады), которую возглавил опытный лётчик капитан А. В. Шубиков. Весной 1941 года он продемонстрировал возможности своей необычной эскадрильи командованию Черноморского флота. Результаты бомбометания трёх СПБ (четвёртый ещё находился в сборке в местных авиамастерских) на полигоне так впечатлили адмирал Ф. С. Октябрьского, что он распорядился повторить показ на буксируемой тральщиком барже, а после её «потопления» выделил в качестве мишени радиоуправляемый торпедный катер (19918).</w:t>
      </w:r>
    </w:p>
    <w:p w14:paraId="4BA05AE5" w14:textId="77777777" w:rsidR="00CE3D33" w:rsidRPr="00DB5D0D" w:rsidRDefault="00CE3D33" w:rsidP="00DB5D0D">
      <w:pPr>
        <w:shd w:val="clear" w:color="auto" w:fill="FFFFFF"/>
        <w:spacing w:after="0" w:line="240" w:lineRule="auto"/>
        <w:jc w:val="both"/>
        <w:rPr>
          <w:rFonts w:ascii="Times New Roman" w:hAnsi="Times New Roman"/>
          <w:color w:val="0070C0"/>
          <w:sz w:val="16"/>
          <w:szCs w:val="16"/>
        </w:rPr>
      </w:pPr>
    </w:p>
    <w:p w14:paraId="38CEE05A" w14:textId="77777777" w:rsidR="00CE3D33" w:rsidRPr="00DB5D0D" w:rsidRDefault="00CE3D3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Летом 1940</w:t>
      </w:r>
    </w:p>
    <w:p w14:paraId="7381A201"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Выдержки из выводов специальной комиссии по рассмотрению состояния дел в опытном самолетостроении, под руководством Главного конструктора А.А. Сенькова.</w:t>
      </w:r>
    </w:p>
    <w:p w14:paraId="4F30F1E1"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...Обращает на себя внимание возможность, при этом очень легкая, стать главным конструктором. Для этого нужна «идея», неглубокое изучение предложения лицами, подготавливающими заключения и решение, получение огромных сумм и привлечение откуда угодно действительных конструкторов, за «сходную» цену готовых разрабатывать что угодно и создавать авторитет и звание главного конструктора кому угодно.</w:t>
      </w:r>
    </w:p>
    <w:p w14:paraId="23BC25C6"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К сожалению, таких конструкторов еще достаточно. «Главные конструктора» типа Шевченко, Никитина, Сильванского оперируют огромными суммами, бесконтрольно нанимают, нанимают и увольняют кого хотят, когда угодно и сколько им нужно и при этом все-таки никогда не поспевают в срок. Начинают всегда с обзаведения штатом «деловых» людей и автомобилей.</w:t>
      </w:r>
    </w:p>
    <w:p w14:paraId="0401D907"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ПРЕДЛОЖЕНИЕ: 1. Не поручать проектирование серьезных объектов КБ, не имеющим достаточного уровня теоретической подготовки, практики производства и эксплуатации. Не давать звания главного конструктора лицам, не умеющим даже чертить и не имеющим никакого технического образования.</w:t>
      </w:r>
    </w:p>
    <w:p w14:paraId="55EF8894"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2. Обращает на себя внимание явление спешного выпуска проектов одного за другим, особенно если первый оказывается неудачным.</w:t>
      </w:r>
    </w:p>
    <w:p w14:paraId="615787F4"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Разбросавшийся главный конструктор тем меньше имеет возможности уделять серьезное внимание ранее выпущенным образцам, чем больше он занимается следующими находящимися в проектировании. В таких случаях даже прошедшие госиспытания, удачные машины рискуют провалиться в серии, если главный конструктор не возмется лично за внедрение в серию, а будет отделываться назначением «ведущих», «зам. гл. конструктора и т. д.» (например, Поликарпов). Еще хуже с В. Н. Беляевым. Огромный коллектив конструкторов и инженеров 130 чел. Буквально занимается «прожектерством». Не дав ничего нового на первой машине и не обещая дать на следующей, уже носятся с новыми проектами. Таким образом, коллектив 130 чел. ничего не дает государству, регулярно получая в месяц 100 тыс. рублей только на зарплату.</w:t>
      </w:r>
    </w:p>
    <w:p w14:paraId="760794F2"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ПРЕДЛОЖЕНИЕ:</w:t>
      </w:r>
    </w:p>
    <w:p w14:paraId="1BEA0B0B"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Обязать главных конструкторов доводить свои образцы через серию до эксплуатации, а не разбрасываться на бесконечные количества новых проектов.</w:t>
      </w:r>
    </w:p>
    <w:p w14:paraId="7CB653AC"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3. В деле машины «ИС» ШЕВЧЕНКО фигурирует инженер СТОЛБОВОЙ, который по обязанности работника Наркомата давал заключения по проекту, а по собственной инициативе, никем не пресекаемой, участвовал в расчетах машины «ИС» за особое вознаграждение и был членом комиссии по первому вылету, где совместно с ШЕВЧЕНКО и НИКИТИНЫМ давал свои особые заверения в надежности машины, что, как известно, не подтвердилось.</w:t>
      </w:r>
    </w:p>
    <w:p w14:paraId="79B4F3E7"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ПРЕДЛОЖЕНИЕ:</w:t>
      </w:r>
    </w:p>
    <w:p w14:paraId="2DFDE007"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Ни в коем случае нельзя допускать личной заинтересованности у сотрудников Наркомата и его Главков в том или ином проекте, прохождение которого зависит от этих сотрудников.</w:t>
      </w:r>
    </w:p>
    <w:p w14:paraId="7F8830CD"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4. На фронте науки и экспериментов в авиации у нас не вполне все благополучно. Это обстоятельство усугубляется тем, что люди теории и науки начинают заниматься не своим делом, и, как показывает практика, мы теряем хороших теоретиков и расчетчиков и приобретаем неважных конструкторов, хотя и обладающих оригинальными идеями.</w:t>
      </w:r>
    </w:p>
    <w:p w14:paraId="26C51485"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Происходит это, по-видимому, потому, что лавры некоторых известных конструкторов не дают покоя некоторым авиационным работникам от профессора и летчика до начинающего чертежника, и они пытаются менять с большими или меньшими основаниями.</w:t>
      </w:r>
    </w:p>
    <w:p w14:paraId="71B10975"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По-видимому, следует энергично разъяснять товарищам, что у Партии и Правительства не остаются не отмеченными героизм и плодотворная работа летчика и ценные открытия и работы профессоров (БЕЛЯЕВ имеет орден за свои расчетные труды, ШЕВЧЕНКО – за летную работу, КОЗЛОВ – за боевые заслуги).</w:t>
      </w:r>
    </w:p>
    <w:p w14:paraId="2FC4B0DC"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Положение усугубляется еще и тем, что подобные коллективы без значительного, полезного эффекта отнимают производственные базы, ресурсы, средства и людей от плодотворной работы.</w:t>
      </w:r>
    </w:p>
    <w:p w14:paraId="27C1BC5E"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ПРЕДЛОЖЕНИЯ:</w:t>
      </w:r>
    </w:p>
    <w:p w14:paraId="4E6430D3"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1. Все экспериментальные работы должны производиться в ЦАГИ, в тесном контакте с научными работниками и теоретиками, на базе достаточно мощного и культурного конструкторского коллектива, где должны и могут реализовываться любые ценные идеи в авиации, откуда бы они ни исходили.</w:t>
      </w:r>
    </w:p>
    <w:p w14:paraId="74B1DDD9" w14:textId="77777777" w:rsidR="00CE3D33" w:rsidRPr="00DB5D0D" w:rsidRDefault="00CE3D33" w:rsidP="00DB5D0D">
      <w:pPr>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2. Давать задания на новые типы боевых самолетов только конструкторским коллективам, возглавляемым главными конструкторами, имеющими степень»...(20360)</w:t>
      </w:r>
    </w:p>
    <w:p w14:paraId="6698CDCF" w14:textId="77777777" w:rsidR="00CE3D33" w:rsidRPr="00DB5D0D" w:rsidRDefault="00CE3D33" w:rsidP="00DB5D0D">
      <w:pPr>
        <w:spacing w:after="0" w:line="240" w:lineRule="auto"/>
        <w:jc w:val="both"/>
        <w:rPr>
          <w:rFonts w:ascii="Times New Roman" w:hAnsi="Times New Roman"/>
          <w:color w:val="0070C0"/>
          <w:sz w:val="16"/>
          <w:szCs w:val="16"/>
        </w:rPr>
      </w:pPr>
    </w:p>
    <w:p w14:paraId="1E87EEDB" w14:textId="77777777" w:rsidR="009C53FC" w:rsidRPr="00DB5D0D" w:rsidRDefault="009C53FC"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лета 1940 года летчиком-испы</w:t>
      </w:r>
      <w:r w:rsidRPr="00DB5D0D">
        <w:rPr>
          <w:rFonts w:ascii="Times New Roman" w:hAnsi="Times New Roman"/>
          <w:color w:val="000000" w:themeColor="text1"/>
          <w:sz w:val="16"/>
          <w:szCs w:val="16"/>
        </w:rPr>
        <w:softHyphen/>
        <w:t>тателем И. Шелестом был выполнен ряд ночных полетов на планере, предназначенным для уничтожения прожекторов. В конце 30-х годов изобретатель Фищук предложил проект планера для подавления зенитных проекторов про</w:t>
      </w:r>
      <w:r w:rsidRPr="00DB5D0D">
        <w:rPr>
          <w:rFonts w:ascii="Times New Roman" w:hAnsi="Times New Roman"/>
          <w:color w:val="000000" w:themeColor="text1"/>
          <w:sz w:val="16"/>
          <w:szCs w:val="16"/>
        </w:rPr>
        <w:softHyphen/>
        <w:t>тивника. Планер должен был иметь головку самонаведения, координато</w:t>
      </w:r>
      <w:r w:rsidRPr="00DB5D0D">
        <w:rPr>
          <w:rFonts w:ascii="Times New Roman" w:hAnsi="Times New Roman"/>
          <w:color w:val="000000" w:themeColor="text1"/>
          <w:sz w:val="16"/>
          <w:szCs w:val="16"/>
        </w:rPr>
        <w:softHyphen/>
        <w:t>ром цели в которой служили фотоэле</w:t>
      </w:r>
      <w:r w:rsidRPr="00DB5D0D">
        <w:rPr>
          <w:rFonts w:ascii="Times New Roman" w:hAnsi="Times New Roman"/>
          <w:color w:val="000000" w:themeColor="text1"/>
          <w:sz w:val="16"/>
          <w:szCs w:val="16"/>
        </w:rPr>
        <w:softHyphen/>
        <w:t>менты. Предполагалось, что бомбарди</w:t>
      </w:r>
      <w:r w:rsidRPr="00DB5D0D">
        <w:rPr>
          <w:rFonts w:ascii="Times New Roman" w:hAnsi="Times New Roman"/>
          <w:color w:val="000000" w:themeColor="text1"/>
          <w:sz w:val="16"/>
          <w:szCs w:val="16"/>
        </w:rPr>
        <w:softHyphen/>
        <w:t>ровщики, вылетая на ночную бомбеж</w:t>
      </w:r>
      <w:r w:rsidRPr="00DB5D0D">
        <w:rPr>
          <w:rFonts w:ascii="Times New Roman" w:hAnsi="Times New Roman"/>
          <w:color w:val="000000" w:themeColor="text1"/>
          <w:sz w:val="16"/>
          <w:szCs w:val="16"/>
        </w:rPr>
        <w:softHyphen/>
        <w:t>ку, на буксире потянут за собой эти планеры. В районе цели буксир будет сброшен, и планеры автоматически направятся на работающие прожекто</w:t>
      </w:r>
      <w:r w:rsidRPr="00DB5D0D">
        <w:rPr>
          <w:rFonts w:ascii="Times New Roman" w:hAnsi="Times New Roman"/>
          <w:color w:val="000000" w:themeColor="text1"/>
          <w:sz w:val="16"/>
          <w:szCs w:val="16"/>
        </w:rPr>
        <w:softHyphen/>
        <w:t>ры противника. Для отработки аппаратуры наведе</w:t>
      </w:r>
      <w:r w:rsidRPr="00DB5D0D">
        <w:rPr>
          <w:rFonts w:ascii="Times New Roman" w:hAnsi="Times New Roman"/>
          <w:color w:val="000000" w:themeColor="text1"/>
          <w:sz w:val="16"/>
          <w:szCs w:val="16"/>
        </w:rPr>
        <w:softHyphen/>
        <w:t>ния был выделен один планер типа «Рот фронт-7». На фюзеляже планера сверху и с боков, после установки ап</w:t>
      </w:r>
      <w:r w:rsidRPr="00DB5D0D">
        <w:rPr>
          <w:rFonts w:ascii="Times New Roman" w:hAnsi="Times New Roman"/>
          <w:color w:val="000000" w:themeColor="text1"/>
          <w:sz w:val="16"/>
          <w:szCs w:val="16"/>
        </w:rPr>
        <w:softHyphen/>
        <w:t>паратуры, появились «наросты». При</w:t>
      </w:r>
      <w:r w:rsidRPr="00DB5D0D">
        <w:rPr>
          <w:rFonts w:ascii="Times New Roman" w:hAnsi="Times New Roman"/>
          <w:color w:val="000000" w:themeColor="text1"/>
          <w:sz w:val="16"/>
          <w:szCs w:val="16"/>
        </w:rPr>
        <w:softHyphen/>
        <w:t>боры управления работали плохо. Это связано, по-видимому, с отсутствием автопилота на борту и с отсутствием обратной связи от рулей к автопило</w:t>
      </w:r>
      <w:r w:rsidRPr="00DB5D0D">
        <w:rPr>
          <w:rFonts w:ascii="Times New Roman" w:hAnsi="Times New Roman"/>
          <w:color w:val="000000" w:themeColor="text1"/>
          <w:sz w:val="16"/>
          <w:szCs w:val="16"/>
        </w:rPr>
        <w:softHyphen/>
        <w:t>ту. Координаторы цели были напря</w:t>
      </w:r>
      <w:r w:rsidRPr="00DB5D0D">
        <w:rPr>
          <w:rFonts w:ascii="Times New Roman" w:hAnsi="Times New Roman"/>
          <w:color w:val="000000" w:themeColor="text1"/>
          <w:sz w:val="16"/>
          <w:szCs w:val="16"/>
        </w:rPr>
        <w:softHyphen/>
        <w:t>мую связаны с исполнительными ме</w:t>
      </w:r>
      <w:r w:rsidRPr="00DB5D0D">
        <w:rPr>
          <w:rFonts w:ascii="Times New Roman" w:hAnsi="Times New Roman"/>
          <w:color w:val="000000" w:themeColor="text1"/>
          <w:sz w:val="16"/>
          <w:szCs w:val="16"/>
        </w:rPr>
        <w:softHyphen/>
        <w:t>ханизмами, что приводило к резким рывкам планера в сторону работаю</w:t>
      </w:r>
      <w:r w:rsidRPr="00DB5D0D">
        <w:rPr>
          <w:rFonts w:ascii="Times New Roman" w:hAnsi="Times New Roman"/>
          <w:color w:val="000000" w:themeColor="text1"/>
          <w:sz w:val="16"/>
          <w:szCs w:val="16"/>
        </w:rPr>
        <w:softHyphen/>
        <w:t>щего прожектора, и в целом устойчи</w:t>
      </w:r>
      <w:r w:rsidRPr="00DB5D0D">
        <w:rPr>
          <w:rFonts w:ascii="Times New Roman" w:hAnsi="Times New Roman"/>
          <w:color w:val="000000" w:themeColor="text1"/>
          <w:sz w:val="16"/>
          <w:szCs w:val="16"/>
        </w:rPr>
        <w:softHyphen/>
        <w:t>вого управления добиться не удалось. С началом войны работы по этой теме были приостановлены и больше не возобновлялись. А изобретатель Фищук в 1943 году, в Кузбассе, создал проходческий щит, за что был удостоен Сталинской пре</w:t>
      </w:r>
      <w:r w:rsidRPr="00DB5D0D">
        <w:rPr>
          <w:rFonts w:ascii="Times New Roman" w:hAnsi="Times New Roman"/>
          <w:color w:val="000000" w:themeColor="text1"/>
          <w:sz w:val="16"/>
          <w:szCs w:val="16"/>
        </w:rPr>
        <w:softHyphen/>
        <w:t>мии первой степени. Воистину, если человек талантлив, то он талантлив во многих областях (10734).</w:t>
      </w:r>
    </w:p>
    <w:p w14:paraId="5FE31350" w14:textId="77777777" w:rsidR="009C53FC" w:rsidRPr="00DB5D0D" w:rsidRDefault="009C53FC" w:rsidP="00DB5D0D">
      <w:pPr>
        <w:shd w:val="clear" w:color="auto" w:fill="FFFFFF"/>
        <w:spacing w:after="0" w:line="240" w:lineRule="auto"/>
        <w:jc w:val="both"/>
        <w:rPr>
          <w:rFonts w:ascii="Times New Roman" w:hAnsi="Times New Roman"/>
          <w:color w:val="000000" w:themeColor="text1"/>
          <w:sz w:val="16"/>
          <w:szCs w:val="16"/>
        </w:rPr>
      </w:pPr>
    </w:p>
    <w:p w14:paraId="5C19AAAF"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Летом 1940 г. Два составных бомбардировщика вместе с оснасткой для оборудования ещё двух «звеньев» были доставлены в Евпаторию со складов 207-го завода. Так появилась первая и единственная в истории авиации эскадрилья составных самолётов (2-я авиационная эскадрилья 32-го истребительного полка 62-й авиабригады). Её возглавил опытный лётчик капитан А.В. Шубиков.</w:t>
      </w:r>
    </w:p>
    <w:p w14:paraId="5FB5D2A4"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Весной 1941 г. Шубиков продемонстрировал возможности своей необычной эскадрильи командованию Черноморского флота. Результаты бомбометания трёх СПБ (четвертый ещё находился в сборке в местных авиамастерских) на полигоне так впечатлили адмирал Ф.С. Октябрьского, что он распорядился повторить показ на буксируемой тральщиком барже, а после её «потопления» выделил в качестве мишени радиоуправляемый торпедный катер </w:t>
      </w:r>
      <w:hyperlink r:id="rId157" w:history="1">
        <w:r w:rsidRPr="00DB5D0D">
          <w:rPr>
            <w:rFonts w:ascii="Times New Roman" w:eastAsia="Times New Roman" w:hAnsi="Times New Roman"/>
            <w:color w:val="000000" w:themeColor="text1"/>
            <w:sz w:val="16"/>
            <w:szCs w:val="16"/>
            <w:lang w:eastAsia="ru-RU"/>
          </w:rPr>
          <w:t>[108]</w:t>
        </w:r>
      </w:hyperlink>
      <w:r w:rsidRPr="00DB5D0D">
        <w:rPr>
          <w:rFonts w:ascii="Times New Roman" w:eastAsia="Times New Roman" w:hAnsi="Times New Roman"/>
          <w:color w:val="000000" w:themeColor="text1"/>
          <w:sz w:val="16"/>
          <w:szCs w:val="16"/>
          <w:lang w:eastAsia="ru-RU"/>
        </w:rPr>
        <w:t xml:space="preserve"> .</w:t>
      </w:r>
    </w:p>
    <w:p w14:paraId="5D5EB9F7"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Через несколько дней после начала Великой Отечественной войны появился приказ о расформировании эскадрильи Шубикова. Арматуру подвесок сняли, самолёты должны были использоваться по отдельности. Но затем родилась идея применить СПБ для бомбёжки румынского порта Констанцы и уничтожения стратегически важного Чернаводского моста через Дунай (17489).</w:t>
      </w:r>
    </w:p>
    <w:p w14:paraId="16111126"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p>
    <w:p w14:paraId="27CB9F2B"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Летом 1940 г. под руководством И.А. Меркулова были изготовлены новые прямоточные двигатели ДМ-4, отличающиеся увеличенными размерами.</w:t>
      </w:r>
    </w:p>
    <w:p w14:paraId="49A60F95"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 октября 1940 г. прошёл первый полёт на И-153 с ДМ-4. Самолёт поднялся на высоту двух тысяч метров и при собственной скорости 388 км/ч после включения ПВРД увеличил скорость на 42 км/ч. Во время последующих полётов средний прирост скорости составил примерно 40 км/час по сравнению с полётом при неработающих воздушно-реактивных двигателях. 27 октября было достигнуто увеличение скорости на 51 км/ч (17489).</w:t>
      </w:r>
    </w:p>
    <w:p w14:paraId="02B0B49A" w14:textId="77777777" w:rsidR="00497E64" w:rsidRPr="00DB5D0D" w:rsidRDefault="00497E64" w:rsidP="00DB5D0D">
      <w:pPr>
        <w:spacing w:after="0" w:line="240" w:lineRule="auto"/>
        <w:jc w:val="both"/>
        <w:rPr>
          <w:rFonts w:ascii="Times New Roman" w:eastAsia="Times New Roman" w:hAnsi="Times New Roman"/>
          <w:color w:val="000000" w:themeColor="text1"/>
          <w:sz w:val="16"/>
          <w:szCs w:val="16"/>
          <w:lang w:eastAsia="ru-RU"/>
        </w:rPr>
      </w:pPr>
    </w:p>
    <w:p w14:paraId="500D39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 лета 1940 г. на заводе № 27 в Казани работала группа заключенных конструкторов под руководством гл. конструктора В.П. Глушко. После образования единого завода № 16 НКАП группа влилась в ОТБ НКВД завода № 16 (11982).</w:t>
      </w:r>
    </w:p>
    <w:p w14:paraId="267266F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DE44C9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Шахурин представил в Совет оборонной промышленности докладную записку, по</w:t>
      </w:r>
      <w:r w:rsidRPr="00DB5D0D">
        <w:rPr>
          <w:rFonts w:ascii="Times New Roman" w:hAnsi="Times New Roman"/>
          <w:color w:val="000000" w:themeColor="text1"/>
          <w:sz w:val="16"/>
          <w:szCs w:val="16"/>
        </w:rPr>
        <w:softHyphen/>
        <w:t xml:space="preserve">священную перспективам развития производства проката, поковок и штамповок из алюминия и лёгких сплавов для авиапромышленности на период 1940—1943 гг. (ГА РФ. Ф. 8007.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xml:space="preserve"> 1. Д. 29. Л. 2). По расчетам НКАП потребность на 1 января 1943 г. в указанных полуфа</w:t>
      </w:r>
      <w:r w:rsidRPr="00DB5D0D">
        <w:rPr>
          <w:rFonts w:ascii="Times New Roman" w:hAnsi="Times New Roman"/>
          <w:color w:val="000000" w:themeColor="text1"/>
          <w:sz w:val="16"/>
          <w:szCs w:val="16"/>
        </w:rPr>
        <w:softHyphen/>
        <w:t>брикатах должна была составить 120 100 т. в год, в том числе прокат из алюминиевых сплавов — 12 500 т. (Госплан был не согласен с такой оценкой и определял потребности НКАП на 1943 г. (в размере 106 000 т)) При условии наращивания мощности заводов № 95 и 150 и постройки в срок трёх заводов типа № 268 по прокату магниевых спла</w:t>
      </w:r>
      <w:r w:rsidRPr="00DB5D0D">
        <w:rPr>
          <w:rFonts w:ascii="Times New Roman" w:hAnsi="Times New Roman"/>
          <w:color w:val="000000" w:themeColor="text1"/>
          <w:sz w:val="16"/>
          <w:szCs w:val="16"/>
        </w:rPr>
        <w:softHyphen/>
        <w:t>вов, потребность НКАП была бы покрыта в размере 76 700 т (63,8 % от потребного), а по магниевым сплавам на—12 500 т (100 %). Для покрытия ожидаемого дефицита Шахурин пред</w:t>
      </w:r>
      <w:r w:rsidRPr="00DB5D0D">
        <w:rPr>
          <w:rFonts w:ascii="Times New Roman" w:hAnsi="Times New Roman"/>
          <w:color w:val="000000" w:themeColor="text1"/>
          <w:sz w:val="16"/>
          <w:szCs w:val="16"/>
        </w:rPr>
        <w:softHyphen/>
        <w:t>ложил построить в системе Наркомцветмета 2 прокатных завода типа № 95 мощностью по 20 тыс. т в год. Для повы</w:t>
      </w:r>
      <w:r w:rsidRPr="00DB5D0D">
        <w:rPr>
          <w:rFonts w:ascii="Times New Roman" w:hAnsi="Times New Roman"/>
          <w:color w:val="000000" w:themeColor="text1"/>
          <w:sz w:val="16"/>
          <w:szCs w:val="16"/>
        </w:rPr>
        <w:softHyphen/>
        <w:t>шения мощности по выпуску проката из лёгких сплавов в те</w:t>
      </w:r>
      <w:r w:rsidRPr="00DB5D0D">
        <w:rPr>
          <w:rFonts w:ascii="Times New Roman" w:hAnsi="Times New Roman"/>
          <w:color w:val="000000" w:themeColor="text1"/>
          <w:sz w:val="16"/>
          <w:szCs w:val="16"/>
        </w:rPr>
        <w:softHyphen/>
        <w:t>чение 1941—1943 гг. требовалось осуществить капитальные вложения в размере 563,5 млн руб. Эти средства, по замыслу Шахурина, должны были бы быть распределены следующим образом:</w:t>
      </w:r>
    </w:p>
    <w:p w14:paraId="0A5A6425" w14:textId="77777777" w:rsidR="00A25AD1" w:rsidRPr="00DB5D0D" w:rsidRDefault="00A25AD1" w:rsidP="00DB5D0D">
      <w:pPr>
        <w:tabs>
          <w:tab w:val="left" w:pos="65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A) на строительство и оборудование двух заводов-дуб- лёров № 95 — 500 млн руб.</w:t>
      </w:r>
    </w:p>
    <w:p w14:paraId="48C090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сооружение трубо-прессового цеха мощностью 6300 т в год на заводе № 150 — 40 млн руб.</w:t>
      </w:r>
    </w:p>
    <w:p w14:paraId="1E75172F" w14:textId="77777777" w:rsidR="00A25AD1" w:rsidRPr="00DB5D0D" w:rsidRDefault="00A25AD1" w:rsidP="00DB5D0D">
      <w:pPr>
        <w:tabs>
          <w:tab w:val="left" w:pos="577"/>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B) на реконструкцию прессовочного цеха на заводе № 95 с доведением мощности до 7200 т в год — 20 млн руб.</w:t>
      </w:r>
    </w:p>
    <w:p w14:paraId="0D0729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по этой программе следовало предусмотреть выделение «импортного контингента» на 3 млн руб. для при</w:t>
      </w:r>
      <w:r w:rsidRPr="00DB5D0D">
        <w:rPr>
          <w:rFonts w:ascii="Times New Roman" w:hAnsi="Times New Roman"/>
          <w:color w:val="000000" w:themeColor="text1"/>
          <w:sz w:val="16"/>
          <w:szCs w:val="16"/>
        </w:rPr>
        <w:softHyphen/>
        <w:t>обретения в Германии специальной установки по непрерыв</w:t>
      </w:r>
      <w:r w:rsidRPr="00DB5D0D">
        <w:rPr>
          <w:rFonts w:ascii="Times New Roman" w:hAnsi="Times New Roman"/>
          <w:color w:val="000000" w:themeColor="text1"/>
          <w:sz w:val="16"/>
          <w:szCs w:val="16"/>
        </w:rPr>
        <w:softHyphen/>
        <w:t>ному литью типа «</w:t>
      </w:r>
      <w:r w:rsidRPr="00DB5D0D">
        <w:rPr>
          <w:rFonts w:ascii="Times New Roman" w:hAnsi="Times New Roman"/>
          <w:color w:val="000000" w:themeColor="text1"/>
          <w:sz w:val="16"/>
          <w:szCs w:val="16"/>
          <w:lang w:val="en-US"/>
        </w:rPr>
        <w:t>Junghaus</w:t>
      </w:r>
      <w:r w:rsidRPr="00DB5D0D">
        <w:rPr>
          <w:rFonts w:ascii="Times New Roman" w:hAnsi="Times New Roman"/>
          <w:color w:val="000000" w:themeColor="text1"/>
          <w:sz w:val="16"/>
          <w:szCs w:val="16"/>
        </w:rPr>
        <w:t>».</w:t>
      </w:r>
    </w:p>
    <w:p w14:paraId="66DEAB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эти крупномасштабные планы вызвали недоволь</w:t>
      </w:r>
      <w:r w:rsidRPr="00DB5D0D">
        <w:rPr>
          <w:rFonts w:ascii="Times New Roman" w:hAnsi="Times New Roman"/>
          <w:color w:val="000000" w:themeColor="text1"/>
          <w:sz w:val="16"/>
          <w:szCs w:val="16"/>
        </w:rPr>
        <w:softHyphen/>
        <w:t>ство Госплана, стремившегося по мере возможностей со</w:t>
      </w:r>
      <w:r w:rsidRPr="00DB5D0D">
        <w:rPr>
          <w:rFonts w:ascii="Times New Roman" w:hAnsi="Times New Roman"/>
          <w:color w:val="000000" w:themeColor="text1"/>
          <w:sz w:val="16"/>
          <w:szCs w:val="16"/>
        </w:rPr>
        <w:softHyphen/>
        <w:t>кратить расходы. Поэтому, принимая программу Шахурина в целом, Госплан рекомендовал построить только 1 завод типа № 95 мощностью 20 тыс. т в год; ограничил, мощность трубо-прессового цеха на заводе № 150 4200 т в год (Шаху</w:t>
      </w:r>
      <w:r w:rsidRPr="00DB5D0D">
        <w:rPr>
          <w:rFonts w:ascii="Times New Roman" w:hAnsi="Times New Roman"/>
          <w:color w:val="000000" w:themeColor="text1"/>
          <w:sz w:val="16"/>
          <w:szCs w:val="16"/>
        </w:rPr>
        <w:softHyphen/>
        <w:t>рин предлагал 6300 т), а штамповочного — 5000 т (Шахурин планировал 6000); строительство заводов дюралиминиевого проката поручить непосредственно НКАПу и предусмотреть на строящемся Уральском заводе алюминиевого проката про</w:t>
      </w:r>
      <w:r w:rsidRPr="00DB5D0D">
        <w:rPr>
          <w:rFonts w:ascii="Times New Roman" w:hAnsi="Times New Roman"/>
          <w:color w:val="000000" w:themeColor="text1"/>
          <w:sz w:val="16"/>
          <w:szCs w:val="16"/>
        </w:rPr>
        <w:softHyphen/>
        <w:t>изводство прутков, проволок и заклёпок для НКАП на 3000 т в год. В результате дальнейший выпуск алюминия должен был развиваться следующими темпами:</w:t>
      </w:r>
    </w:p>
    <w:p w14:paraId="076DE1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Перспектива выпуска алюминия в 1940—1943 гг. по скорректированной программе Шахурина (тыс. т.)</w:t>
      </w:r>
    </w:p>
    <w:tbl>
      <w:tblPr>
        <w:tblW w:w="0" w:type="auto"/>
        <w:tblInd w:w="8" w:type="dxa"/>
        <w:tblLayout w:type="fixed"/>
        <w:tblCellMar>
          <w:left w:w="0" w:type="dxa"/>
          <w:right w:w="0" w:type="dxa"/>
        </w:tblCellMar>
        <w:tblLook w:val="0000" w:firstRow="0" w:lastRow="0" w:firstColumn="0" w:lastColumn="0" w:noHBand="0" w:noVBand="0"/>
      </w:tblPr>
      <w:tblGrid>
        <w:gridCol w:w="1901"/>
        <w:gridCol w:w="509"/>
        <w:gridCol w:w="518"/>
        <w:gridCol w:w="514"/>
        <w:gridCol w:w="509"/>
        <w:gridCol w:w="2006"/>
      </w:tblGrid>
      <w:tr w:rsidR="007D5DF8" w:rsidRPr="00DB5D0D" w14:paraId="6103100D" w14:textId="77777777" w:rsidTr="009223E5">
        <w:trPr>
          <w:trHeight w:val="230"/>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1D7A2F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37F4C4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759D222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833B8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3410A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1943</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14:paraId="51345D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Примчана</w:t>
            </w:r>
          </w:p>
        </w:tc>
      </w:tr>
      <w:tr w:rsidR="007D5DF8" w:rsidRPr="00DB5D0D" w14:paraId="2D634B4E" w14:textId="77777777" w:rsidTr="009223E5">
        <w:trPr>
          <w:trHeight w:val="221"/>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4D8BB8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Волховский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426C2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5DF76B9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7E765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3237F6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14:paraId="03DC16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Функционирует</w:t>
            </w:r>
          </w:p>
        </w:tc>
      </w:tr>
      <w:tr w:rsidR="007D5DF8" w:rsidRPr="00DB5D0D" w14:paraId="297AC9DF" w14:textId="77777777" w:rsidTr="009223E5">
        <w:trPr>
          <w:trHeight w:val="226"/>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554CCC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Днепропетровский, </w:t>
            </w:r>
            <w:r w:rsidRPr="00DB5D0D">
              <w:rPr>
                <w:rFonts w:ascii="Times New Roman" w:hAnsi="Times New Roman"/>
                <w:color w:val="000000" w:themeColor="text1"/>
                <w:sz w:val="16"/>
                <w:szCs w:val="16"/>
                <w:lang w:val="en-US"/>
              </w:rPr>
              <w:t xml:space="preserve">I-VI </w:t>
            </w:r>
            <w:r w:rsidRPr="00DB5D0D">
              <w:rPr>
                <w:rFonts w:ascii="Times New Roman" w:hAnsi="Times New Roman"/>
                <w:color w:val="000000" w:themeColor="text1"/>
                <w:sz w:val="16"/>
                <w:szCs w:val="16"/>
              </w:rPr>
              <w:t>серии</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E5B12B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38,5</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06E98D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8E87EB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40, 5</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A511A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40,5</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14:paraId="3479388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Функционирует</w:t>
            </w:r>
          </w:p>
        </w:tc>
      </w:tr>
      <w:tr w:rsidR="007D5DF8" w:rsidRPr="00DB5D0D" w14:paraId="49031BF3" w14:textId="77777777" w:rsidTr="009223E5">
        <w:trPr>
          <w:trHeight w:val="221"/>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669F2B4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Днепропетровский, VII серия</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34C36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1DD8B7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J</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E0A2A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6FF282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14:paraId="05B342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Строится</w:t>
            </w:r>
          </w:p>
        </w:tc>
      </w:tr>
      <w:tr w:rsidR="007D5DF8" w:rsidRPr="00DB5D0D" w14:paraId="5E5A2FEE" w14:textId="77777777" w:rsidTr="009223E5">
        <w:trPr>
          <w:trHeight w:val="221"/>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175417E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Уральский, 1-П серии</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0262F4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23F12E6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68F182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A9ED3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14:paraId="6A3069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Функционирует</w:t>
            </w:r>
          </w:p>
        </w:tc>
      </w:tr>
      <w:tr w:rsidR="007D5DF8" w:rsidRPr="00DB5D0D" w14:paraId="31FC4CEF" w14:textId="77777777" w:rsidTr="009223E5">
        <w:trPr>
          <w:trHeight w:val="226"/>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44EDA5D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Уральский, 1П</w:t>
            </w:r>
            <w:r w:rsidRPr="00DB5D0D">
              <w:rPr>
                <w:rFonts w:ascii="Times New Roman" w:hAnsi="Times New Roman"/>
                <w:iCs/>
                <w:color w:val="000000" w:themeColor="text1"/>
                <w:sz w:val="16"/>
                <w:szCs w:val="16"/>
              </w:rPr>
              <w:t xml:space="preserve"> серия</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BFFDD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51E370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1D511F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4C32E5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14:paraId="5788B10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не начато</w:t>
            </w:r>
          </w:p>
        </w:tc>
      </w:tr>
      <w:tr w:rsidR="007D5DF8" w:rsidRPr="00DB5D0D" w14:paraId="265CF93A" w14:textId="77777777" w:rsidTr="009223E5">
        <w:trPr>
          <w:trHeight w:val="600"/>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37203C2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Кандалакшинсквй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AB14B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2EABA1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096590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8669D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14:paraId="33C1A1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Строитса. Возможен срыв пу</w:t>
            </w:r>
            <w:r w:rsidRPr="00DB5D0D">
              <w:rPr>
                <w:rFonts w:ascii="Times New Roman" w:hAnsi="Times New Roman"/>
                <w:color w:val="000000" w:themeColor="text1"/>
                <w:sz w:val="16"/>
                <w:szCs w:val="16"/>
              </w:rPr>
              <w:softHyphen/>
              <w:t>ска—неокончено строительство электростанции</w:t>
            </w:r>
          </w:p>
        </w:tc>
      </w:tr>
      <w:tr w:rsidR="007D5DF8" w:rsidRPr="00DB5D0D" w14:paraId="29C0D06A" w14:textId="77777777" w:rsidTr="009223E5">
        <w:trPr>
          <w:trHeight w:val="226"/>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57D1DE1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Сталинский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942F9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096FF3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26CEF7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D018F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2006" w:type="dxa"/>
            <w:tcBorders>
              <w:top w:val="single" w:sz="6" w:space="0" w:color="auto"/>
              <w:left w:val="single" w:sz="6" w:space="0" w:color="auto"/>
              <w:bottom w:val="nil"/>
              <w:right w:val="single" w:sz="6" w:space="0" w:color="auto"/>
            </w:tcBorders>
            <w:shd w:val="clear" w:color="auto" w:fill="FFFFFF"/>
          </w:tcPr>
          <w:p w14:paraId="6FEB1CE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Строительные площадки ещё не утверждены</w:t>
            </w:r>
          </w:p>
        </w:tc>
      </w:tr>
      <w:tr w:rsidR="007D5DF8" w:rsidRPr="00DB5D0D" w14:paraId="67D9D0A4" w14:textId="77777777" w:rsidTr="009223E5">
        <w:trPr>
          <w:trHeight w:val="221"/>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65084E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Карагандинский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0AAAC0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53B721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337EC63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2186A3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2006" w:type="dxa"/>
            <w:tcBorders>
              <w:top w:val="nil"/>
              <w:left w:val="single" w:sz="6" w:space="0" w:color="auto"/>
              <w:bottom w:val="single" w:sz="6" w:space="0" w:color="auto"/>
              <w:right w:val="single" w:sz="6" w:space="0" w:color="auto"/>
            </w:tcBorders>
            <w:shd w:val="clear" w:color="auto" w:fill="FFFFFF"/>
          </w:tcPr>
          <w:p w14:paraId="45304527"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21FBAA6" w14:textId="77777777" w:rsidTr="009223E5">
        <w:trPr>
          <w:trHeight w:val="226"/>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2A261DD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Богословский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13546B8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28AE9F8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4E2B6E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33A86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006" w:type="dxa"/>
            <w:tcBorders>
              <w:top w:val="single" w:sz="6" w:space="0" w:color="auto"/>
              <w:left w:val="single" w:sz="6" w:space="0" w:color="auto"/>
              <w:bottom w:val="nil"/>
              <w:right w:val="single" w:sz="6" w:space="0" w:color="auto"/>
            </w:tcBorders>
            <w:shd w:val="clear" w:color="auto" w:fill="FFFFFF"/>
          </w:tcPr>
          <w:p w14:paraId="27534F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Строительные площадки ещё не намечены</w:t>
            </w:r>
          </w:p>
        </w:tc>
      </w:tr>
      <w:tr w:rsidR="007D5DF8" w:rsidRPr="00DB5D0D" w14:paraId="678F9F8A" w14:textId="77777777" w:rsidTr="009223E5">
        <w:trPr>
          <w:trHeight w:val="221"/>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564857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Кемеровский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05B85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420CC3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EC72FC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A7FC21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006" w:type="dxa"/>
            <w:tcBorders>
              <w:top w:val="nil"/>
              <w:left w:val="single" w:sz="6" w:space="0" w:color="auto"/>
              <w:bottom w:val="nil"/>
              <w:right w:val="single" w:sz="6" w:space="0" w:color="auto"/>
            </w:tcBorders>
            <w:shd w:val="clear" w:color="auto" w:fill="FFFFFF"/>
          </w:tcPr>
          <w:p w14:paraId="524621E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7FFFA29C" w14:textId="77777777" w:rsidTr="009223E5">
        <w:trPr>
          <w:trHeight w:val="221"/>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0BE85E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Кольский (аглумин)</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C76A2C3"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1E4EF72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566D0ED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0DFA00E"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single" w:sz="6" w:space="0" w:color="auto"/>
              <w:right w:val="single" w:sz="6" w:space="0" w:color="auto"/>
            </w:tcBorders>
            <w:shd w:val="clear" w:color="auto" w:fill="FFFFFF"/>
          </w:tcPr>
          <w:p w14:paraId="0E0C1148"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604C1112" w14:textId="77777777" w:rsidTr="009223E5">
        <w:trPr>
          <w:trHeight w:val="413"/>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0D0E485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Несветаевский</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7FADD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6E1D7AF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7C02308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7B0BFE0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14:paraId="161C8C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Госплан предлагает перенести строительную площадку</w:t>
            </w:r>
          </w:p>
        </w:tc>
      </w:tr>
      <w:tr w:rsidR="007D5DF8" w:rsidRPr="00DB5D0D" w14:paraId="254E4216" w14:textId="77777777" w:rsidTr="009223E5">
        <w:trPr>
          <w:trHeight w:val="235"/>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6137C0C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32EC23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280BAA3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8S</w:t>
            </w:r>
          </w:p>
        </w:tc>
        <w:tc>
          <w:tcPr>
            <w:tcW w:w="514" w:type="dxa"/>
            <w:tcBorders>
              <w:top w:val="single" w:sz="6" w:space="0" w:color="auto"/>
              <w:left w:val="single" w:sz="6" w:space="0" w:color="auto"/>
              <w:bottom w:val="single" w:sz="6" w:space="0" w:color="auto"/>
              <w:right w:val="single" w:sz="6" w:space="0" w:color="auto"/>
            </w:tcBorders>
            <w:shd w:val="clear" w:color="auto" w:fill="FFFFFF"/>
          </w:tcPr>
          <w:p w14:paraId="628DA69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w:t>
            </w:r>
          </w:p>
        </w:tc>
        <w:tc>
          <w:tcPr>
            <w:tcW w:w="509" w:type="dxa"/>
            <w:tcBorders>
              <w:top w:val="single" w:sz="6" w:space="0" w:color="auto"/>
              <w:left w:val="single" w:sz="6" w:space="0" w:color="auto"/>
              <w:bottom w:val="single" w:sz="6" w:space="0" w:color="auto"/>
              <w:right w:val="single" w:sz="6" w:space="0" w:color="auto"/>
            </w:tcBorders>
            <w:shd w:val="clear" w:color="auto" w:fill="FFFFFF"/>
          </w:tcPr>
          <w:p w14:paraId="6F3BF76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221</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14:paraId="6A8FAF8A"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bl>
    <w:p w14:paraId="464A109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Впрочем, надо признать, что возможность осуществле</w:t>
      </w:r>
      <w:r w:rsidRPr="00DB5D0D">
        <w:rPr>
          <w:rFonts w:ascii="Times New Roman" w:hAnsi="Times New Roman"/>
          <w:color w:val="000000" w:themeColor="text1"/>
          <w:sz w:val="16"/>
          <w:szCs w:val="16"/>
        </w:rPr>
        <w:softHyphen/>
        <w:t>ния столь амбициозной программы уже тогда стала вызы</w:t>
      </w:r>
      <w:r w:rsidRPr="00DB5D0D">
        <w:rPr>
          <w:rFonts w:ascii="Times New Roman" w:hAnsi="Times New Roman"/>
          <w:color w:val="000000" w:themeColor="text1"/>
          <w:sz w:val="16"/>
          <w:szCs w:val="16"/>
        </w:rPr>
        <w:softHyphen/>
        <w:t>вать скепсис у многих руководителей-хозяйственников. Так как судьба многих заводов-новостроек ещё витала в облаках и ожидала разметки и утверждения хотя бы строительных площадок, начальник Главалюминия и заместитель наркома цветной металлургии составили программу-минимум, со</w:t>
      </w:r>
      <w:r w:rsidRPr="00DB5D0D">
        <w:rPr>
          <w:rFonts w:ascii="Times New Roman" w:hAnsi="Times New Roman"/>
          <w:color w:val="000000" w:themeColor="text1"/>
          <w:sz w:val="16"/>
          <w:szCs w:val="16"/>
        </w:rPr>
        <w:softHyphen/>
        <w:t xml:space="preserve">гласно которой при планомерном развитии отрасли выпуск алюминия в 1942 г. может составить 108 тыс. т, а именно (ГА РФ. Ф. 8007. </w:t>
      </w:r>
      <w:r w:rsidRPr="00DB5D0D">
        <w:rPr>
          <w:rFonts w:ascii="Times New Roman" w:hAnsi="Times New Roman"/>
          <w:color w:val="000000" w:themeColor="text1"/>
          <w:sz w:val="16"/>
          <w:szCs w:val="16"/>
          <w:lang w:val="en-US"/>
        </w:rPr>
        <w:t xml:space="preserve">On </w:t>
      </w:r>
      <w:r w:rsidRPr="00DB5D0D">
        <w:rPr>
          <w:rFonts w:ascii="Times New Roman" w:hAnsi="Times New Roman"/>
          <w:color w:val="000000" w:themeColor="text1"/>
          <w:sz w:val="16"/>
          <w:szCs w:val="16"/>
        </w:rPr>
        <w:t>1. Д. 29. Л. 4):</w:t>
      </w:r>
    </w:p>
    <w:tbl>
      <w:tblPr>
        <w:tblW w:w="0" w:type="auto"/>
        <w:tblInd w:w="8" w:type="dxa"/>
        <w:tblLayout w:type="fixed"/>
        <w:tblCellMar>
          <w:left w:w="0" w:type="dxa"/>
          <w:right w:w="0" w:type="dxa"/>
        </w:tblCellMar>
        <w:tblLook w:val="0000" w:firstRow="0" w:lastRow="0" w:firstColumn="0" w:lastColumn="0" w:noHBand="0" w:noVBand="0"/>
      </w:tblPr>
      <w:tblGrid>
        <w:gridCol w:w="4214"/>
        <w:gridCol w:w="1718"/>
      </w:tblGrid>
      <w:tr w:rsidR="007D5DF8" w:rsidRPr="00DB5D0D" w14:paraId="3989A999" w14:textId="77777777" w:rsidTr="009223E5">
        <w:trPr>
          <w:trHeight w:val="240"/>
        </w:trPr>
        <w:tc>
          <w:tcPr>
            <w:tcW w:w="4214" w:type="dxa"/>
            <w:tcBorders>
              <w:top w:val="single" w:sz="6" w:space="0" w:color="auto"/>
              <w:left w:val="single" w:sz="6" w:space="0" w:color="auto"/>
              <w:bottom w:val="single" w:sz="6" w:space="0" w:color="auto"/>
              <w:right w:val="single" w:sz="6" w:space="0" w:color="auto"/>
            </w:tcBorders>
            <w:shd w:val="clear" w:color="auto" w:fill="FFFFFF"/>
          </w:tcPr>
          <w:p w14:paraId="226C7A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Волховский алюминиевый закщ</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369CD4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тыс. т</w:t>
            </w:r>
          </w:p>
        </w:tc>
      </w:tr>
      <w:tr w:rsidR="007D5DF8" w:rsidRPr="00DB5D0D" w14:paraId="6F21D4C4" w14:textId="77777777" w:rsidTr="009223E5">
        <w:trPr>
          <w:trHeight w:val="221"/>
        </w:trPr>
        <w:tc>
          <w:tcPr>
            <w:tcW w:w="4214" w:type="dxa"/>
            <w:tcBorders>
              <w:top w:val="single" w:sz="6" w:space="0" w:color="auto"/>
              <w:left w:val="single" w:sz="6" w:space="0" w:color="auto"/>
              <w:bottom w:val="single" w:sz="6" w:space="0" w:color="auto"/>
              <w:right w:val="single" w:sz="6" w:space="0" w:color="auto"/>
            </w:tcBorders>
            <w:shd w:val="clear" w:color="auto" w:fill="FFFFFF"/>
          </w:tcPr>
          <w:p w14:paraId="713C36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Днепропетровский алюминияый завод</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2E0ACB3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55тнс.т</w:t>
            </w:r>
          </w:p>
        </w:tc>
      </w:tr>
      <w:tr w:rsidR="007D5DF8" w:rsidRPr="00DB5D0D" w14:paraId="42244331" w14:textId="77777777" w:rsidTr="009223E5">
        <w:trPr>
          <w:trHeight w:val="221"/>
        </w:trPr>
        <w:tc>
          <w:tcPr>
            <w:tcW w:w="4214" w:type="dxa"/>
            <w:tcBorders>
              <w:top w:val="single" w:sz="6" w:space="0" w:color="auto"/>
              <w:left w:val="single" w:sz="6" w:space="0" w:color="auto"/>
              <w:bottom w:val="single" w:sz="6" w:space="0" w:color="auto"/>
              <w:right w:val="single" w:sz="6" w:space="0" w:color="auto"/>
            </w:tcBorders>
            <w:shd w:val="clear" w:color="auto" w:fill="FFFFFF"/>
          </w:tcPr>
          <w:p w14:paraId="7FEC45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Уральский алюминиевый завод</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262DB2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тыс. т</w:t>
            </w:r>
          </w:p>
        </w:tc>
      </w:tr>
      <w:tr w:rsidR="007D5DF8" w:rsidRPr="00DB5D0D" w14:paraId="05438DBF" w14:textId="77777777" w:rsidTr="009223E5">
        <w:trPr>
          <w:trHeight w:val="226"/>
        </w:trPr>
        <w:tc>
          <w:tcPr>
            <w:tcW w:w="4214" w:type="dxa"/>
            <w:tcBorders>
              <w:top w:val="single" w:sz="6" w:space="0" w:color="auto"/>
              <w:left w:val="single" w:sz="6" w:space="0" w:color="auto"/>
              <w:bottom w:val="single" w:sz="6" w:space="0" w:color="auto"/>
              <w:right w:val="single" w:sz="6" w:space="0" w:color="auto"/>
            </w:tcBorders>
            <w:shd w:val="clear" w:color="auto" w:fill="FFFFFF"/>
          </w:tcPr>
          <w:p w14:paraId="04327EF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Кандашшнискяй алюминиевый завод</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203DFDE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Зтыс.т</w:t>
            </w:r>
          </w:p>
        </w:tc>
      </w:tr>
    </w:tbl>
    <w:p w14:paraId="0BA19CA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магния в этом случае ожидался на уровне 7,9 тыс. т:</w:t>
      </w:r>
    </w:p>
    <w:tbl>
      <w:tblPr>
        <w:tblW w:w="0" w:type="auto"/>
        <w:tblInd w:w="8" w:type="dxa"/>
        <w:tblLayout w:type="fixed"/>
        <w:tblCellMar>
          <w:left w:w="0" w:type="dxa"/>
          <w:right w:w="0" w:type="dxa"/>
        </w:tblCellMar>
        <w:tblLook w:val="0000" w:firstRow="0" w:lastRow="0" w:firstColumn="0" w:lastColumn="0" w:noHBand="0" w:noVBand="0"/>
      </w:tblPr>
      <w:tblGrid>
        <w:gridCol w:w="4214"/>
        <w:gridCol w:w="1718"/>
      </w:tblGrid>
      <w:tr w:rsidR="007D5DF8" w:rsidRPr="00DB5D0D" w14:paraId="4B86CC56" w14:textId="77777777" w:rsidTr="009223E5">
        <w:trPr>
          <w:trHeight w:val="221"/>
        </w:trPr>
        <w:tc>
          <w:tcPr>
            <w:tcW w:w="4214" w:type="dxa"/>
            <w:tcBorders>
              <w:top w:val="single" w:sz="6" w:space="0" w:color="auto"/>
              <w:left w:val="single" w:sz="6" w:space="0" w:color="auto"/>
              <w:bottom w:val="single" w:sz="6" w:space="0" w:color="auto"/>
              <w:right w:val="single" w:sz="6" w:space="0" w:color="auto"/>
            </w:tcBorders>
            <w:shd w:val="clear" w:color="auto" w:fill="FFFFFF"/>
          </w:tcPr>
          <w:p w14:paraId="520351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Днепропетровский магниевый завод</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646D2D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тыс. т</w:t>
            </w:r>
          </w:p>
        </w:tc>
      </w:tr>
      <w:tr w:rsidR="007D5DF8" w:rsidRPr="00DB5D0D" w14:paraId="0836636E" w14:textId="77777777" w:rsidTr="009223E5">
        <w:trPr>
          <w:trHeight w:val="221"/>
        </w:trPr>
        <w:tc>
          <w:tcPr>
            <w:tcW w:w="4214" w:type="dxa"/>
            <w:tcBorders>
              <w:top w:val="single" w:sz="6" w:space="0" w:color="auto"/>
              <w:left w:val="single" w:sz="6" w:space="0" w:color="auto"/>
              <w:bottom w:val="single" w:sz="6" w:space="0" w:color="auto"/>
              <w:right w:val="single" w:sz="6" w:space="0" w:color="auto"/>
            </w:tcBorders>
            <w:shd w:val="clear" w:color="auto" w:fill="FFFFFF"/>
          </w:tcPr>
          <w:p w14:paraId="0D59DBC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Каневский магниевый завод</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4B5147A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449CC214" w14:textId="77777777" w:rsidTr="009223E5">
        <w:trPr>
          <w:trHeight w:val="245"/>
        </w:trPr>
        <w:tc>
          <w:tcPr>
            <w:tcW w:w="4214" w:type="dxa"/>
            <w:tcBorders>
              <w:top w:val="single" w:sz="6" w:space="0" w:color="auto"/>
              <w:left w:val="single" w:sz="6" w:space="0" w:color="auto"/>
              <w:bottom w:val="single" w:sz="6" w:space="0" w:color="auto"/>
              <w:right w:val="single" w:sz="6" w:space="0" w:color="auto"/>
            </w:tcBorders>
            <w:shd w:val="clear" w:color="auto" w:fill="FFFFFF"/>
          </w:tcPr>
          <w:p w14:paraId="2991285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Соликамский магниевый чаицц</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40C4452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 тыс. т</w:t>
            </w:r>
          </w:p>
        </w:tc>
      </w:tr>
    </w:tbl>
    <w:p w14:paraId="4CCE50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Развитие авиационной отрасли в первой половине 1941 г. Последние предвоенные месяцы стали временем ин</w:t>
      </w:r>
      <w:r w:rsidRPr="00DB5D0D">
        <w:rPr>
          <w:rFonts w:ascii="Times New Roman" w:hAnsi="Times New Roman"/>
          <w:color w:val="000000" w:themeColor="text1"/>
          <w:sz w:val="16"/>
          <w:szCs w:val="16"/>
        </w:rPr>
        <w:softHyphen/>
        <w:t>тенсивного, можно сказать, лихорадочного, наращивания темпов авиавыпуска. Принятый весной 1941 г. план произ</w:t>
      </w:r>
      <w:r w:rsidRPr="00DB5D0D">
        <w:rPr>
          <w:rFonts w:ascii="Times New Roman" w:hAnsi="Times New Roman"/>
          <w:color w:val="000000" w:themeColor="text1"/>
          <w:sz w:val="16"/>
          <w:szCs w:val="16"/>
        </w:rPr>
        <w:softHyphen/>
        <w:t>водства самолётов примерно вдвое превышал реальный уро</w:t>
      </w:r>
      <w:r w:rsidRPr="00DB5D0D">
        <w:rPr>
          <w:rFonts w:ascii="Times New Roman" w:hAnsi="Times New Roman"/>
          <w:color w:val="000000" w:themeColor="text1"/>
          <w:sz w:val="16"/>
          <w:szCs w:val="16"/>
        </w:rPr>
        <w:softHyphen/>
        <w:t>вень авиавыпуска 1940 г. (см. прил. 12). Суммарно по плану, утвержденному в начале 1941 г., предполагалось в течение года выпустить 6305 бомбардировщиков и 13 618 истребите</w:t>
      </w:r>
      <w:r w:rsidRPr="00DB5D0D">
        <w:rPr>
          <w:rFonts w:ascii="Times New Roman" w:hAnsi="Times New Roman"/>
          <w:color w:val="000000" w:themeColor="text1"/>
          <w:sz w:val="16"/>
          <w:szCs w:val="16"/>
        </w:rPr>
        <w:softHyphen/>
        <w:t>лей, учебных самолетов и одномоторных бомбардировщиков. Всего — 19 923 самолетов. Конечно, это было почти вдвое меньше показателей развития, приведенных в Программе наркомата в 1939 г. (см. прил. 1), однако следует учитывать, что Программа составлялась на некий абстрактный пери</w:t>
      </w:r>
      <w:r w:rsidRPr="00DB5D0D">
        <w:rPr>
          <w:rFonts w:ascii="Times New Roman" w:hAnsi="Times New Roman"/>
          <w:color w:val="000000" w:themeColor="text1"/>
          <w:sz w:val="16"/>
          <w:szCs w:val="16"/>
        </w:rPr>
        <w:softHyphen/>
        <w:t>од времени, в ходе которого мощности предприятий нарко</w:t>
      </w:r>
      <w:r w:rsidRPr="00DB5D0D">
        <w:rPr>
          <w:rFonts w:ascii="Times New Roman" w:hAnsi="Times New Roman"/>
          <w:color w:val="000000" w:themeColor="text1"/>
          <w:sz w:val="16"/>
          <w:szCs w:val="16"/>
        </w:rPr>
        <w:softHyphen/>
        <w:t>мата предполагалось увеличить до указанных показателей. План же 1941 г. отражает решимость руководства авиапро</w:t>
      </w:r>
      <w:r w:rsidRPr="00DB5D0D">
        <w:rPr>
          <w:rFonts w:ascii="Times New Roman" w:hAnsi="Times New Roman"/>
          <w:color w:val="000000" w:themeColor="text1"/>
          <w:sz w:val="16"/>
          <w:szCs w:val="16"/>
        </w:rPr>
        <w:softHyphen/>
        <w:t>мышленности резко увеличить авиавыпуск в течение одного года. Впрочем, как будет показано ниже, даже этот вариант плана не стал окончательным (12011).</w:t>
      </w:r>
    </w:p>
    <w:p w14:paraId="2200C85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31353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после проведения ряда экспериментов по маскировке самолетов было рекомендовано убрать опознавательные знаки с верхней поверхности крыла. Это требование внесли в новые правила размещения опознавательных знаков, которые отразились уже на самолетах выпуска второй половины 1941 г. (11987).</w:t>
      </w:r>
    </w:p>
    <w:p w14:paraId="67718D0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A3CC7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начались основные события, связанные со становлением СБП-ФАБ-250 на флоте. По разработанным в УВВС ВМФ штатам началось формирование на трех флотах "эскадрилий специального назначения - СПБ", включавших каждая четыре самолета-носителя ТБ-3 и восемь И-16-СПБ. Но пока все это было на бумаге (8636).</w:t>
      </w:r>
    </w:p>
    <w:p w14:paraId="58C4E1C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4179140" w14:textId="77777777" w:rsidR="00DA3BA6" w:rsidRPr="00DB5D0D" w:rsidRDefault="00DA3B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были проведены аэродинамические исследования модели САМ-13, подтвердившие основные параметры самолета и построен полноразмерный макет для увязки основных агрегатов и оборудования. По причине малых размеров самолета вооружение состоявшее из четырех пулеметов ШКАС, пришлось разместить в обтекателях в районе крепления хвостовых балок к крылу (15564).</w:t>
      </w:r>
    </w:p>
    <w:p w14:paraId="672C0FED" w14:textId="77777777" w:rsidR="00DA3BA6" w:rsidRPr="00DB5D0D" w:rsidRDefault="00DA3BA6" w:rsidP="00DB5D0D">
      <w:pPr>
        <w:spacing w:after="0" w:line="240" w:lineRule="auto"/>
        <w:jc w:val="both"/>
        <w:rPr>
          <w:rFonts w:ascii="Times New Roman" w:hAnsi="Times New Roman"/>
          <w:color w:val="000000" w:themeColor="text1"/>
          <w:sz w:val="16"/>
          <w:szCs w:val="16"/>
        </w:rPr>
      </w:pPr>
    </w:p>
    <w:p w14:paraId="206BE27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Герой Советского Союза В.И. Раков являвшийся командиром 63-й авиабригады ВВС Черноморского флота писал: “Мы вылетели с Хатиашвили на двух самолетах УТ-1. Существовал такой легкий и удобный самолет, во многом схожий с По-2. Но если По-2 имел ско</w:t>
      </w:r>
      <w:r w:rsidRPr="00DB5D0D">
        <w:rPr>
          <w:rFonts w:ascii="Times New Roman" w:hAnsi="Times New Roman"/>
          <w:color w:val="000000" w:themeColor="text1"/>
          <w:sz w:val="16"/>
          <w:szCs w:val="16"/>
        </w:rPr>
        <w:softHyphen/>
        <w:t>рость всего сто километров в час, то УТ-1 легко держал сто восемьдесят - сто девяносто километров. Он был и ком</w:t>
      </w:r>
      <w:r w:rsidRPr="00DB5D0D">
        <w:rPr>
          <w:rFonts w:ascii="Times New Roman" w:hAnsi="Times New Roman"/>
          <w:color w:val="000000" w:themeColor="text1"/>
          <w:sz w:val="16"/>
          <w:szCs w:val="16"/>
        </w:rPr>
        <w:softHyphen/>
        <w:t>фортабельнее, отличался более тща</w:t>
      </w:r>
      <w:r w:rsidRPr="00DB5D0D">
        <w:rPr>
          <w:rFonts w:ascii="Times New Roman" w:hAnsi="Times New Roman"/>
          <w:color w:val="000000" w:themeColor="text1"/>
          <w:sz w:val="16"/>
          <w:szCs w:val="16"/>
        </w:rPr>
        <w:softHyphen/>
        <w:t xml:space="preserve">тельной отделкой и по внешнему виду походил на миниатюрный </w:t>
      </w:r>
      <w:r w:rsidRPr="00DB5D0D">
        <w:rPr>
          <w:rFonts w:ascii="Times New Roman" w:hAnsi="Times New Roman"/>
          <w:color w:val="000000" w:themeColor="text1"/>
          <w:sz w:val="16"/>
          <w:szCs w:val="16"/>
        </w:rPr>
        <w:lastRenderedPageBreak/>
        <w:t>истребитель. Для его подготовки к полету требова</w:t>
      </w:r>
      <w:r w:rsidRPr="00DB5D0D">
        <w:rPr>
          <w:rFonts w:ascii="Times New Roman" w:hAnsi="Times New Roman"/>
          <w:color w:val="000000" w:themeColor="text1"/>
          <w:sz w:val="16"/>
          <w:szCs w:val="16"/>
        </w:rPr>
        <w:softHyphen/>
        <w:t>лось меньше времени, чем уходило на дорогу от штаба до ангара. Собственно, он был всегда готов, как легковой авто</w:t>
      </w:r>
      <w:r w:rsidRPr="00DB5D0D">
        <w:rPr>
          <w:rFonts w:ascii="Times New Roman" w:hAnsi="Times New Roman"/>
          <w:color w:val="000000" w:themeColor="text1"/>
          <w:sz w:val="16"/>
          <w:szCs w:val="16"/>
        </w:rPr>
        <w:softHyphen/>
        <w:t>мобиль летом: вода, бензин и масло за</w:t>
      </w:r>
      <w:r w:rsidRPr="00DB5D0D">
        <w:rPr>
          <w:rFonts w:ascii="Times New Roman" w:hAnsi="Times New Roman"/>
          <w:color w:val="000000" w:themeColor="text1"/>
          <w:sz w:val="16"/>
          <w:szCs w:val="16"/>
        </w:rPr>
        <w:softHyphen/>
        <w:t>литы, чтобы выехать, там нужно только нажать на стартер, а тут крутить винт” (3955).</w:t>
      </w:r>
    </w:p>
    <w:p w14:paraId="65DBFA9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2993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в Харькове закончили постройку экспериментального одноместного мотопланера Г-5 С.В.Гризодубова, но испытать успели только как планер (553,141).</w:t>
      </w:r>
    </w:p>
    <w:p w14:paraId="2D151FB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E6F4EF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все закупленные Не 100 отправили по железной дороге в Союз. К сожалению, судьба всей пятерки (или четверки?) не прослеживается, более того, определенная ясность имеется в отношении всего лишь 3-х машин:</w:t>
      </w:r>
    </w:p>
    <w:p w14:paraId="2F35CB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Один Не 100 (заводской №3006) с двигателем DB 601М проходил государственные испытания в НИИ ВВС в период 9.06-26.06.40 г. Ведущий летчик-испытатель майор Супрун С.П., ведущий инженер по самолету и ВМГ военный инженер 3 ранга Оноприенко П.С.</w:t>
      </w:r>
    </w:p>
    <w:p w14:paraId="3DC513D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Второй He-100, заводской №3014 (скорее всего номер подправлен на более высокий по причинам указанным выше) испытывался на полигоне боевого применения НИИ ВВС РККА. В процессе испытаний потерпел аварию, после чего его передали в “подразделение 21” авиазавода №156. Там самолет полностью разобрали с целью изучения конструкции и оборудования.</w:t>
      </w:r>
    </w:p>
    <w:p w14:paraId="4C96711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Третий Не 100 (заводской номер не установлен) поступил для проведения оценочных испытаний в летный отдел ЦАГИ (9971).</w:t>
      </w:r>
    </w:p>
    <w:p w14:paraId="427DB80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Государственные испытания в НИИ ВВС ставили своей целью определение летно-технических данных и оценку винтомоторной группы с “пароводяным и испарительно-спиртовым охлаждением”. Несмотря на заверения немецких друзей, специалисты НИИ ВВС подчеркивали, что Не 100 является опытным шпаратом, построенным в небольшой :ерии. При упоминании вооружения назывались два крыльевых пулемета калибра 7,92 мм, причем подчеркивалось, что нa двух самолетах, прибывших последими, установлен третий пулемет, стреляющий через втулку винта. Всего в ходе госиспытаний Не 100 sfb3006 выполнил 16 полетов и налетал 5 часов 05 минут. Отмечалось, что по “максимальной скорости у земли и на высоте, и скороподъемности, он стоит выше всех отечественных и иностранных самолетов”.</w:t>
      </w:r>
    </w:p>
    <w:p w14:paraId="6C0AC11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проведении оценочных испытаний в ЦАГИ ставилась задача выявления наиболее удачных конструктивных элементов и летных свойств с целью их использования при проектировании новых самолетов. Интересной представляется качественная оценка пилотажных свойств “сотого” в сравнении с другими истребителями (советскими и немецкими), данная летчиками ЦАГИ (с марта 1941 г. летный отдел ЦАГИ стал именоваться Летно-исследовательским институтом - ЛИИ). Оценка по каждому отдельному показателю выставлялась по пятибалльной системе, где 5 - “хорошо”, 3 - “удовлетворительно”, 1 - “неудовлетворительно”, 4 и 2 - промежуточные оценки, знак * указывает, что нагрузки на рычаги управления рулями чрезвычайно велики.</w:t>
      </w:r>
    </w:p>
    <w:p w14:paraId="739F28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Судя по подготовленным техническим отчетам ЦАГИ, ничего необычного в самолете не отмечалось. Элементами, вызвавшими особый интерес (по-моему, чисто эмоциональный) стали фонарь кабины пилота и подножка для подъема в самолет: “Фонарь состоит из электронного каркаса и пластин плексигласа толщиной 5 мм плавной формы... только перед прицелом имеется небольшой плоский участок стекла....При закрытом фонаре средняя часть устанавливается заподлицо с неподвижными частями. При открывании подвижная часть приподнимается и нижние края расходятся на 25 мм....Каркас подвижной части достаточно гибок, так что изгибание его не требует значительных усилий при открытии и закрытии.</w:t>
      </w:r>
    </w:p>
    <w:p w14:paraId="3BE9AA5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...Подножка для влезания в кабину убирается под зализ крыла и устанавливается заподлицо с нижней поверхностью зализа. Эта подножка сложнее, чем обычно применяемые потайные ступеньки в борту фюзеляжа, но для данного самолета, имеющего высокое шасси, она более удобна”.</w:t>
      </w:r>
    </w:p>
    <w:p w14:paraId="0E392F9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касается поверхностных систем охлаждения двигателя, они естественно рассматривались более подробно. В Советском Союзе также интересовались</w:t>
      </w:r>
    </w:p>
    <w:p w14:paraId="42E4699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Центральная часть фюзеляжа Не 100. Виден вертикальный “солдатик” положения выпущенного шасси на верхней поверхности крыла у фюзеляжа, оригинальная градуировка на посадочном щитке, позволяющая пилоту видеть ее, слегка косясь в левую сторону. В центре щитка имеется надпись “NICHT BETRETEN” (“НЕ НАСТУПАТЬ””).</w:t>
      </w:r>
    </w:p>
    <w:p w14:paraId="4FB45B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точки зрения особенностей конструкции отмечалось следующее:</w:t>
      </w:r>
    </w:p>
    <w:p w14:paraId="55313CB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Моторама, выполненная заодно с бортами фюзеляжа. Хотя такое решение оценивалось как оригинальное и эффективное, однако не позволяло использовать никакой другой двигатель, кроме DB 601.</w:t>
      </w:r>
    </w:p>
    <w:p w14:paraId="5CF393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Использование профилей переменного сечения (лонжероны фюзеляжа, полки лонжеронов крыла) вело к снижению веса, однако повышало стоимость самолета (9971).</w:t>
      </w:r>
    </w:p>
    <w:p w14:paraId="0762C70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379ED3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А.С.Я. вызвали за "зажим" других конструкторов на заседание Политбюро ЦК. Зачли письмо конструктора истребителя по этому делу. Решили построить. Дали 9-10 млн. Разбился испытатель (74,166).</w:t>
      </w:r>
    </w:p>
    <w:p w14:paraId="278D83F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B0C4450" w14:textId="77777777" w:rsidR="00DA3BA6" w:rsidRPr="00DB5D0D" w:rsidRDefault="00DA3B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у серийного крупнокалиберного пулемёта М.Е. Березина (лю</w:t>
      </w:r>
      <w:r w:rsidRPr="00DB5D0D">
        <w:rPr>
          <w:rFonts w:ascii="Times New Roman" w:hAnsi="Times New Roman"/>
          <w:color w:val="000000" w:themeColor="text1"/>
          <w:sz w:val="16"/>
          <w:szCs w:val="16"/>
        </w:rPr>
        <w:softHyphen/>
        <w:t>бопытно, что по фамилии этого конструктора в то время не знали даже в Управлении вооружения ГУ ВВС КА, поэтому в некоторых документах наименование пулемёта писали так— 12,7-мм пулемет «Березина», полагая, что оно выбрано по имени реки) выявились крупные недостатки. Дошло до того, что начали высказываться пред</w:t>
      </w:r>
      <w:r w:rsidRPr="00DB5D0D">
        <w:rPr>
          <w:rFonts w:ascii="Times New Roman" w:hAnsi="Times New Roman"/>
          <w:color w:val="000000" w:themeColor="text1"/>
          <w:sz w:val="16"/>
          <w:szCs w:val="16"/>
        </w:rPr>
        <w:softHyphen/>
        <w:t>ложения о прекращении выпуска пулемета и создании взамен другого, более надёжно</w:t>
      </w:r>
      <w:r w:rsidRPr="00DB5D0D">
        <w:rPr>
          <w:rFonts w:ascii="Times New Roman" w:hAnsi="Times New Roman"/>
          <w:color w:val="000000" w:themeColor="text1"/>
          <w:sz w:val="16"/>
          <w:szCs w:val="16"/>
        </w:rPr>
        <w:softHyphen/>
        <w:t>го. На одном из совещаний «в верхах» Г.М. Маленков неожиданно предложил Я.Г. Таубину в очень короткий срок (за шесть месяцев) разработать новый 12,7-мм пулемёт. Впослед</w:t>
      </w:r>
      <w:r w:rsidRPr="00DB5D0D">
        <w:rPr>
          <w:rFonts w:ascii="Times New Roman" w:hAnsi="Times New Roman"/>
          <w:color w:val="000000" w:themeColor="text1"/>
          <w:sz w:val="16"/>
          <w:szCs w:val="16"/>
        </w:rPr>
        <w:softHyphen/>
        <w:t>ствии известный отечественный конструктор вооружения А.Э. Нудельман отмечал склон</w:t>
      </w:r>
      <w:r w:rsidRPr="00DB5D0D">
        <w:rPr>
          <w:rFonts w:ascii="Times New Roman" w:hAnsi="Times New Roman"/>
          <w:color w:val="000000" w:themeColor="text1"/>
          <w:sz w:val="16"/>
          <w:szCs w:val="16"/>
        </w:rPr>
        <w:softHyphen/>
        <w:t>ность своего тогдашнего начальника к принятию скоропалительных решений и раздаче необоснованных «авансов». В данном случае после довольно быстрой прикидки Таубин пообещал Маленкову создать пулемёт массой всего 13... 15 кг, в то время как пулемёт Бе</w:t>
      </w:r>
      <w:r w:rsidRPr="00DB5D0D">
        <w:rPr>
          <w:rFonts w:ascii="Times New Roman" w:hAnsi="Times New Roman"/>
          <w:color w:val="000000" w:themeColor="text1"/>
          <w:sz w:val="16"/>
          <w:szCs w:val="16"/>
        </w:rPr>
        <w:softHyphen/>
        <w:t>резина в зависимости от варианта (крыльевого или синхронного) весил 22...24 кг (15787).</w:t>
      </w:r>
    </w:p>
    <w:p w14:paraId="20A5AA00" w14:textId="77777777" w:rsidR="00DA3BA6" w:rsidRPr="00DB5D0D" w:rsidRDefault="00DA3BA6" w:rsidP="00DB5D0D">
      <w:pPr>
        <w:spacing w:after="0" w:line="240" w:lineRule="auto"/>
        <w:jc w:val="both"/>
        <w:rPr>
          <w:rFonts w:ascii="Times New Roman" w:hAnsi="Times New Roman"/>
          <w:color w:val="000000" w:themeColor="text1"/>
          <w:sz w:val="16"/>
          <w:szCs w:val="16"/>
        </w:rPr>
      </w:pPr>
    </w:p>
    <w:p w14:paraId="0E777C13" w14:textId="77777777" w:rsidR="00DA3BA6" w:rsidRPr="00DB5D0D" w:rsidRDefault="00DA3BA6" w:rsidP="00DB5D0D">
      <w:pPr>
        <w:pStyle w:val="a3"/>
        <w:rPr>
          <w:color w:val="000000" w:themeColor="text1"/>
          <w:lang w:val="ru-RU"/>
        </w:rPr>
      </w:pPr>
      <w:r w:rsidRPr="00DB5D0D">
        <w:rPr>
          <w:color w:val="000000" w:themeColor="text1"/>
          <w:lang w:val="ru-RU"/>
        </w:rPr>
        <w:t>Летом 1940 г. реальной возможности выбора типа пушки у отечественных авиаконструкторов не было (см. табл.). Все типы «пушечных» самолётов оснащались уже упоминавшейся пушкой ШВАК, представлявшей собой «перестволенный» 12,7-мм пулемёт, откуда, собственно, и взялось наименование образца: «Шпитальный-Влади- миров авиационный крупнокалиберный». Патрон к этой пушке получили следующим не</w:t>
      </w:r>
      <w:r w:rsidRPr="00DB5D0D">
        <w:rPr>
          <w:color w:val="000000" w:themeColor="text1"/>
          <w:lang w:val="ru-RU"/>
        </w:rPr>
        <w:softHyphen/>
        <w:t>хитрым способом: дульце гильзы при неизменной длине переобжали на калибр 20 мм, а снаряд пришлось выполнить толстым и «тупоголовым» с тем, чтобы не выйти за дли</w:t>
      </w:r>
      <w:r w:rsidRPr="00DB5D0D">
        <w:rPr>
          <w:color w:val="000000" w:themeColor="text1"/>
          <w:lang w:val="ru-RU"/>
        </w:rPr>
        <w:softHyphen/>
        <w:t>ну штатного пулемётного 12,7-мм патрона. Органические недостатки «ШВАКовского» снаряда стали ясны ещё по результатам довоенных локальных конфликтов:</w:t>
      </w:r>
    </w:p>
    <w:p w14:paraId="18DF8F9D" w14:textId="77777777" w:rsidR="00DA3BA6" w:rsidRPr="00DB5D0D" w:rsidRDefault="00DA3BA6" w:rsidP="00DB5D0D">
      <w:pPr>
        <w:pStyle w:val="a3"/>
        <w:tabs>
          <w:tab w:val="left" w:pos="409"/>
        </w:tabs>
        <w:rPr>
          <w:color w:val="000000" w:themeColor="text1"/>
          <w:lang w:val="ru-RU"/>
        </w:rPr>
      </w:pPr>
      <w:r w:rsidRPr="00DB5D0D">
        <w:rPr>
          <w:color w:val="000000" w:themeColor="text1"/>
          <w:lang w:val="ru-RU"/>
        </w:rPr>
        <w:t>- недостаточное разрушающее действие при стрельбе по цельнометаллическим са</w:t>
      </w:r>
      <w:r w:rsidRPr="00DB5D0D">
        <w:rPr>
          <w:color w:val="000000" w:themeColor="text1"/>
          <w:lang w:val="ru-RU"/>
        </w:rPr>
        <w:softHyphen/>
        <w:t>молётам противника из-за малой массы снаряда (91... 105 г) и малого количества взрывчатого вещества в нём;</w:t>
      </w:r>
    </w:p>
    <w:p w14:paraId="5395420A" w14:textId="77777777" w:rsidR="00DA3BA6" w:rsidRPr="00DB5D0D" w:rsidRDefault="00DA3BA6" w:rsidP="00DB5D0D">
      <w:pPr>
        <w:pStyle w:val="a3"/>
        <w:tabs>
          <w:tab w:val="left" w:pos="404"/>
        </w:tabs>
        <w:rPr>
          <w:color w:val="000000" w:themeColor="text1"/>
          <w:lang w:val="ru-RU"/>
        </w:rPr>
      </w:pPr>
      <w:r w:rsidRPr="00DB5D0D">
        <w:rPr>
          <w:color w:val="000000" w:themeColor="text1"/>
          <w:lang w:val="ru-RU"/>
        </w:rPr>
        <w:t>- быстрое уменьшение скорости снаряда на траектории из-за неудовлетворительной аэродинамической формы (при этом увеличивалось время полёта снаряда к цели, что приводило к промахам в условиях динамичного воздушного боя).</w:t>
      </w:r>
    </w:p>
    <w:p w14:paraId="201368D4" w14:textId="77777777" w:rsidR="00DA3BA6" w:rsidRPr="00DB5D0D" w:rsidRDefault="00DA3B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 и сама пушка оказалась тяжеловатой — ее масса превышала 40 кг. Впрочем, по сравнению с зарубежными современницами ШВАК по внешним характеристикам смот</w:t>
      </w:r>
      <w:r w:rsidRPr="00DB5D0D">
        <w:rPr>
          <w:rFonts w:ascii="Times New Roman" w:hAnsi="Times New Roman"/>
          <w:color w:val="000000" w:themeColor="text1"/>
          <w:sz w:val="16"/>
          <w:szCs w:val="16"/>
        </w:rPr>
        <w:softHyphen/>
        <w:t>релась вполне «на уровне» и безусловно превосходила их по скорострельности. Кроме того, достоинством ШВАК в тот период можно считать звеньевое (лен</w:t>
      </w:r>
      <w:r w:rsidRPr="00DB5D0D">
        <w:rPr>
          <w:rFonts w:ascii="Times New Roman" w:hAnsi="Times New Roman"/>
          <w:color w:val="000000" w:themeColor="text1"/>
          <w:sz w:val="16"/>
          <w:szCs w:val="16"/>
        </w:rPr>
        <w:softHyphen/>
        <w:t>точное) питание, что позволяло иметь на самолёте относительно большой боекомплект.</w:t>
      </w:r>
    </w:p>
    <w:p w14:paraId="23A955C6" w14:textId="77777777" w:rsidR="00DA3BA6" w:rsidRPr="00DB5D0D" w:rsidRDefault="00DA3B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ВАРИАНТЫ ВООРУЖЕНИЯ СЕРИЙНЫХ ИСТРЕБИТЕЛЕЙ ВВС КА В НАЧАЛЕ ВЕЛИКОЙ ОТЕЧЕСТВЕННОЙ ВОЙНЫ</w:t>
      </w:r>
    </w:p>
    <w:tbl>
      <w:tblPr>
        <w:tblW w:w="0" w:type="auto"/>
        <w:tblLayout w:type="fixed"/>
        <w:tblCellMar>
          <w:left w:w="0" w:type="dxa"/>
          <w:right w:w="0" w:type="dxa"/>
        </w:tblCellMar>
        <w:tblLook w:val="0000" w:firstRow="0" w:lastRow="0" w:firstColumn="0" w:lastColumn="0" w:noHBand="0" w:noVBand="0"/>
      </w:tblPr>
      <w:tblGrid>
        <w:gridCol w:w="749"/>
        <w:gridCol w:w="1675"/>
        <w:gridCol w:w="974"/>
        <w:gridCol w:w="1469"/>
        <w:gridCol w:w="1440"/>
        <w:gridCol w:w="1714"/>
      </w:tblGrid>
      <w:tr w:rsidR="007D5DF8" w:rsidRPr="00DB5D0D" w14:paraId="203EC04A" w14:textId="77777777" w:rsidTr="00A61CD2">
        <w:trPr>
          <w:trHeight w:val="274"/>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324C4EB8"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Тип</w:t>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3474AEC1"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Тип оружия</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7B60E7A5"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Запас</w:t>
            </w:r>
          </w:p>
        </w:tc>
        <w:tc>
          <w:tcPr>
            <w:tcW w:w="2909" w:type="dxa"/>
            <w:gridSpan w:val="2"/>
            <w:tcBorders>
              <w:top w:val="single" w:sz="4" w:space="0" w:color="auto"/>
              <w:left w:val="single" w:sz="4" w:space="0" w:color="auto"/>
              <w:bottom w:val="single" w:sz="4" w:space="0" w:color="auto"/>
              <w:right w:val="single" w:sz="4" w:space="0" w:color="auto"/>
            </w:tcBorders>
            <w:shd w:val="clear" w:color="auto" w:fill="FFFFFF"/>
          </w:tcPr>
          <w:p w14:paraId="4FA3945C"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Темп стрельбы, Время</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517F6B28"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Масса секундного</w:t>
            </w:r>
          </w:p>
        </w:tc>
      </w:tr>
      <w:tr w:rsidR="007D5DF8" w:rsidRPr="00DB5D0D" w14:paraId="2474EB0D" w14:textId="77777777" w:rsidTr="00A61CD2">
        <w:trPr>
          <w:trHeight w:val="178"/>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226399CC"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само</w:t>
            </w:r>
            <w:r w:rsidRPr="00DB5D0D">
              <w:rPr>
                <w:rFonts w:ascii="Times New Roman" w:cs="Times New Roman"/>
                <w:color w:val="000000" w:themeColor="text1"/>
                <w:sz w:val="16"/>
                <w:szCs w:val="16"/>
              </w:rPr>
              <w:softHyphen/>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620FE273"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166F5096"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патронов</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4773592B"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выстр./мин</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2F3095D2"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непрерывной</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75F072E6"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залпа, кг</w:t>
            </w:r>
          </w:p>
        </w:tc>
      </w:tr>
      <w:tr w:rsidR="007D5DF8" w:rsidRPr="00DB5D0D" w14:paraId="32E0F2D0" w14:textId="77777777" w:rsidTr="00A61CD2">
        <w:trPr>
          <w:trHeight w:val="22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346A1130"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лёта</w:t>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64223281"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0EF8776D"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на ствол</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6D0A4E09"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3F60AD60"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стрельбы,с</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7AE80A52"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r w:rsidR="007D5DF8" w:rsidRPr="00DB5D0D" w14:paraId="2AC16613" w14:textId="77777777" w:rsidTr="00A61CD2">
        <w:trPr>
          <w:trHeight w:val="22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7ACFD553"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И-16</w:t>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1237C119"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2хШКАС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7FF79DF1"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500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597319CA"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1466</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2FB1424F"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20,5</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E49A811"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1,046</w:t>
            </w:r>
          </w:p>
        </w:tc>
      </w:tr>
      <w:tr w:rsidR="007D5DF8" w:rsidRPr="00DB5D0D" w14:paraId="1E43D5E3" w14:textId="77777777" w:rsidTr="00A61CD2">
        <w:trPr>
          <w:trHeight w:val="22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5875AED5"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35C1099B"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2хШКАС крыл.</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499A4C2F"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750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3F698EDA"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1800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4F9A0AA0"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25</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63967643"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r w:rsidR="007D5DF8" w:rsidRPr="00DB5D0D" w14:paraId="2D12C7BD" w14:textId="77777777" w:rsidTr="00A61CD2">
        <w:trPr>
          <w:trHeight w:val="22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2B712E5F"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И-16</w:t>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300CC23D"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2хШКАС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74845BD3"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500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14C39A4D"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1466</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2F033E23"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20,5</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2A73871A"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3,024</w:t>
            </w:r>
          </w:p>
        </w:tc>
      </w:tr>
      <w:tr w:rsidR="007D5DF8" w:rsidRPr="00DB5D0D" w14:paraId="36525502" w14:textId="77777777" w:rsidTr="00A61CD2">
        <w:trPr>
          <w:trHeight w:val="235"/>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44856897"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4D0A34E8"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2хШВАК крыл.</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1B9C9022"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80 (95)</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605238BF"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800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4D57F3C4"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6,0(7,2)</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422F9420"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r w:rsidR="007D5DF8" w:rsidRPr="00DB5D0D" w14:paraId="7C072528" w14:textId="77777777" w:rsidTr="00A61CD2">
        <w:trPr>
          <w:trHeight w:val="22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0F940F36"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И-16</w:t>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3E184A28"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2хШКАС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44E1BB92"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500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22E59E1E"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1466</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5DEFA2B6"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20,5</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4D421AB3"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1,174</w:t>
            </w:r>
          </w:p>
        </w:tc>
      </w:tr>
      <w:tr w:rsidR="007D5DF8" w:rsidRPr="00DB5D0D" w14:paraId="67FD7AF8" w14:textId="77777777" w:rsidTr="00A61CD2">
        <w:trPr>
          <w:trHeight w:val="235"/>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39297175"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05F26E26"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1хБС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407856B6"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230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63A352B7"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880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0BA92514"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15,7</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730027A3"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r w:rsidR="007D5DF8" w:rsidRPr="00DB5D0D" w14:paraId="1A2A54DB" w14:textId="77777777" w:rsidTr="00A61CD2">
        <w:trPr>
          <w:trHeight w:val="278"/>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02636586"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И-153</w:t>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3A3A6899"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4хШКАС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6DCB81C9"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600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333EE273"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1466</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0E8214F2"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24,6</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2F6A401D"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0,94</w:t>
            </w:r>
          </w:p>
        </w:tc>
      </w:tr>
      <w:tr w:rsidR="007D5DF8" w:rsidRPr="00DB5D0D" w14:paraId="22970BA8" w14:textId="77777777" w:rsidTr="00A61CD2">
        <w:trPr>
          <w:trHeight w:val="22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65061180"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МиГ-3</w:t>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34DA4154"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2хШКАС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34090796"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750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5974D7B0"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1500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72835EBD"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30</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4D676C4"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1,2</w:t>
            </w:r>
          </w:p>
        </w:tc>
      </w:tr>
      <w:tr w:rsidR="007D5DF8" w:rsidRPr="00DB5D0D" w14:paraId="07A2CA00" w14:textId="77777777" w:rsidTr="00A61CD2">
        <w:trPr>
          <w:trHeight w:val="230"/>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17A6E654"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78DEE420"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1хБС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19E2A7FF"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300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2753AB98"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900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4FEAA469"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20</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77B220D7"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r w:rsidR="007D5DF8" w:rsidRPr="00DB5D0D" w14:paraId="08DA4894" w14:textId="77777777" w:rsidTr="00A61CD2">
        <w:trPr>
          <w:trHeight w:val="235"/>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0B2C1913"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МиГ-3</w:t>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35CAB4C9"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2хШКАС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3C86566A"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750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08AE00B8"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1500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165E4F04"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30</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B09FA76"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2,8</w:t>
            </w:r>
          </w:p>
        </w:tc>
      </w:tr>
      <w:tr w:rsidR="007D5DF8" w:rsidRPr="00DB5D0D" w14:paraId="5F1EA244" w14:textId="77777777" w:rsidTr="00A61CD2">
        <w:trPr>
          <w:trHeight w:val="178"/>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391F02B9"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75B84C72"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1хБС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3A599811"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300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1A2B9853"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900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157F5AF5"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20</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51D12253"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r w:rsidR="007D5DF8" w:rsidRPr="00DB5D0D" w14:paraId="0AA67A04" w14:textId="77777777" w:rsidTr="00A61CD2">
        <w:trPr>
          <w:trHeight w:val="235"/>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3543FBEC"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0C2451D2"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2хБК крыл.</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6863AAE5"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150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52A00994"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1000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609C4C4E"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9</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6728287F"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r w:rsidR="007D5DF8" w:rsidRPr="00DB5D0D" w14:paraId="5A659288" w14:textId="77777777" w:rsidTr="00A61CD2">
        <w:trPr>
          <w:trHeight w:val="230"/>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2FA391D1"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ЛаГГ-3</w:t>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311DD8C4"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2хШКАС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6111A8E0"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650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7D8872C3"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1350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76A7976D"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26,85</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166922B7"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1,952</w:t>
            </w:r>
          </w:p>
        </w:tc>
      </w:tr>
      <w:tr w:rsidR="007D5DF8" w:rsidRPr="00DB5D0D" w14:paraId="78811818" w14:textId="77777777" w:rsidTr="00A61CD2">
        <w:trPr>
          <w:trHeight w:val="178"/>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05B35343"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4B8DDB60"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1хБС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1C25C7E5"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200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707263BF"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900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6F698222"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13,5</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DB233FC"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r w:rsidR="007D5DF8" w:rsidRPr="00DB5D0D" w14:paraId="1E0474F4" w14:textId="77777777" w:rsidTr="00A61CD2">
        <w:trPr>
          <w:trHeight w:val="22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0B8650DA"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3AD85FB0"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1хБК втулка</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19DBA806"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130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1AC9B3CA"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1000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47031C68"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7,8</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5D659B52"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r w:rsidR="007D5DF8" w:rsidRPr="00DB5D0D" w14:paraId="6016142C" w14:textId="77777777" w:rsidTr="00A61CD2">
        <w:trPr>
          <w:trHeight w:val="230"/>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2C077827"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ЛаГГ-3</w:t>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35993CE5"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lang w:val="en-US"/>
              </w:rPr>
              <w:t>2xLU</w:t>
            </w:r>
            <w:r w:rsidRPr="00DB5D0D">
              <w:rPr>
                <w:rFonts w:ascii="Times New Roman" w:cs="Times New Roman"/>
                <w:color w:val="000000" w:themeColor="text1"/>
                <w:sz w:val="16"/>
                <w:szCs w:val="16"/>
              </w:rPr>
              <w:t>КАС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52C1F708"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650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762EBF93"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1350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7A786A27"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26,85</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788D4ED4"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2,429</w:t>
            </w:r>
          </w:p>
        </w:tc>
      </w:tr>
      <w:tr w:rsidR="007D5DF8" w:rsidRPr="00DB5D0D" w14:paraId="4BEAEED1" w14:textId="77777777" w:rsidTr="00A61CD2">
        <w:trPr>
          <w:trHeight w:val="187"/>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4A10D13F"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023841FF"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1хБС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43487A86"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200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4E914AEF"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900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36F4A504"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13,5</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626B5D66"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r w:rsidR="007D5DF8" w:rsidRPr="00DB5D0D" w14:paraId="21E48A32" w14:textId="77777777" w:rsidTr="00A61CD2">
        <w:trPr>
          <w:trHeight w:val="230"/>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0ED89CD3"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2704F66A"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1хШВАК втулка</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046DF6FC"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150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09A8D70D"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800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2D4EB55C"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11,25</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F9067A2"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r w:rsidR="007D5DF8" w:rsidRPr="00DB5D0D" w14:paraId="7D11BF76" w14:textId="77777777" w:rsidTr="00A61CD2">
        <w:trPr>
          <w:trHeight w:val="22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5796598F"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Як-1</w:t>
            </w: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3DF6A209"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2хШКАС синхр.</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39B2FA01"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750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222DBDD3"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1350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4FD809BD"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22,5</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2DFA7971"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1,709</w:t>
            </w:r>
          </w:p>
        </w:tc>
      </w:tr>
      <w:tr w:rsidR="007D5DF8" w:rsidRPr="00DB5D0D" w14:paraId="7CAD8F66" w14:textId="77777777" w:rsidTr="00A61CD2">
        <w:trPr>
          <w:trHeight w:val="206"/>
        </w:trPr>
        <w:tc>
          <w:tcPr>
            <w:tcW w:w="749" w:type="dxa"/>
            <w:tcBorders>
              <w:top w:val="single" w:sz="4" w:space="0" w:color="auto"/>
              <w:left w:val="single" w:sz="4" w:space="0" w:color="auto"/>
              <w:bottom w:val="single" w:sz="4" w:space="0" w:color="auto"/>
              <w:right w:val="single" w:sz="4" w:space="0" w:color="auto"/>
            </w:tcBorders>
            <w:shd w:val="clear" w:color="auto" w:fill="FFFFFF"/>
          </w:tcPr>
          <w:p w14:paraId="2CEB02C9"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c>
          <w:tcPr>
            <w:tcW w:w="1675" w:type="dxa"/>
            <w:tcBorders>
              <w:top w:val="single" w:sz="4" w:space="0" w:color="auto"/>
              <w:left w:val="single" w:sz="4" w:space="0" w:color="auto"/>
              <w:bottom w:val="single" w:sz="4" w:space="0" w:color="auto"/>
              <w:right w:val="single" w:sz="4" w:space="0" w:color="auto"/>
            </w:tcBorders>
            <w:shd w:val="clear" w:color="auto" w:fill="FFFFFF"/>
          </w:tcPr>
          <w:p w14:paraId="4ED6A8AB"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1хШВАК втулка</w:t>
            </w:r>
          </w:p>
        </w:tc>
        <w:tc>
          <w:tcPr>
            <w:tcW w:w="974" w:type="dxa"/>
            <w:tcBorders>
              <w:top w:val="single" w:sz="4" w:space="0" w:color="auto"/>
              <w:left w:val="single" w:sz="4" w:space="0" w:color="auto"/>
              <w:bottom w:val="single" w:sz="4" w:space="0" w:color="auto"/>
              <w:right w:val="single" w:sz="4" w:space="0" w:color="auto"/>
            </w:tcBorders>
            <w:shd w:val="clear" w:color="auto" w:fill="FFFFFF"/>
          </w:tcPr>
          <w:p w14:paraId="1C11852F"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120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14:paraId="672F267A"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800</w:t>
            </w:r>
          </w:p>
        </w:tc>
        <w:tc>
          <w:tcPr>
            <w:tcW w:w="1440" w:type="dxa"/>
            <w:tcBorders>
              <w:top w:val="single" w:sz="4" w:space="0" w:color="auto"/>
              <w:left w:val="single" w:sz="4" w:space="0" w:color="auto"/>
              <w:bottom w:val="single" w:sz="4" w:space="0" w:color="auto"/>
              <w:right w:val="single" w:sz="4" w:space="0" w:color="auto"/>
            </w:tcBorders>
            <w:shd w:val="clear" w:color="auto" w:fill="FFFFFF"/>
          </w:tcPr>
          <w:p w14:paraId="16E3FE53" w14:textId="77777777" w:rsidR="00DA3BA6" w:rsidRPr="00DB5D0D" w:rsidRDefault="00DA3BA6"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13,3</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43A06E20" w14:textId="77777777" w:rsidR="00DA3BA6" w:rsidRPr="00DB5D0D" w:rsidRDefault="00DA3BA6" w:rsidP="00DB5D0D">
            <w:pPr>
              <w:spacing w:after="0" w:line="240" w:lineRule="auto"/>
              <w:jc w:val="both"/>
              <w:rPr>
                <w:rFonts w:ascii="Times New Roman" w:hAnsi="Times New Roman"/>
                <w:color w:val="000000" w:themeColor="text1"/>
                <w:sz w:val="16"/>
                <w:szCs w:val="16"/>
              </w:rPr>
            </w:pPr>
          </w:p>
        </w:tc>
      </w:tr>
    </w:tbl>
    <w:p w14:paraId="29632ABA" w14:textId="77777777" w:rsidR="00DA3BA6" w:rsidRPr="00DB5D0D" w:rsidRDefault="00DA3B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(15787).</w:t>
      </w:r>
    </w:p>
    <w:p w14:paraId="5C6ADFFC" w14:textId="77777777" w:rsidR="00DA3BA6" w:rsidRPr="00DB5D0D" w:rsidRDefault="00DA3BA6" w:rsidP="00DB5D0D">
      <w:pPr>
        <w:spacing w:after="0" w:line="240" w:lineRule="auto"/>
        <w:jc w:val="both"/>
        <w:rPr>
          <w:rFonts w:ascii="Times New Roman" w:hAnsi="Times New Roman"/>
          <w:color w:val="000000" w:themeColor="text1"/>
          <w:sz w:val="16"/>
          <w:szCs w:val="16"/>
        </w:rPr>
      </w:pPr>
    </w:p>
    <w:p w14:paraId="0B1FAC2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пробные летные испытания пушек МП-6 с магазинным питанием проводились на одном из первых самолетов Ил-2 (263,29).</w:t>
      </w:r>
    </w:p>
    <w:p w14:paraId="591C135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Две пушки были поставлены под крыльями, так как к этому вынуждало использование магазинов (263,29). Первые пробные стрельбы выявили недостатки магазинного питания МП-6 для наружного размещения пушек (263,29). Выходящая из пушки при стрельбе обойма, попадая в воздушный поток, иногда заклинивалась, что приводило к остановке стрельбы (263,29). Построенные для устранения этого дефекта обтекатели ухудшали аэродинамику полета (263,29).</w:t>
      </w:r>
    </w:p>
    <w:p w14:paraId="251E827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Было установлено, что магазинная подача патронов не обеспечивает нормальную эксплуатацию и встала задача создания ленточной (звеньевой) подачи патронов (263,39).</w:t>
      </w:r>
    </w:p>
    <w:p w14:paraId="1E7EE5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Тут надо иметь в виду, что происходило это где-то летом 1940.</w:t>
      </w:r>
    </w:p>
    <w:p w14:paraId="0532297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06D2CF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А.Э.Нудельман предложил и разработал звеньевое питание для МП-6, которое решало многие эксплуатационные и установочные вопросы, делало более совершенным "самолетные" качества пушки. Заводские испытания проводились на закупленном в 1940 Германии двухмоторном истребителе Мессершмидт-110. Работу по замене двух 20-мм пушек "Эрликон" проделали за два месяца под руководством Н.И.Волкова (263,31).</w:t>
      </w:r>
    </w:p>
    <w:p w14:paraId="2762FA2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B23EF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после успешных испытаний пушки МП-6 со звеньевым питанием на истребителе И-21 снова установили такие пушки на самолеты Ил-2 (263,140).</w:t>
      </w:r>
    </w:p>
    <w:p w14:paraId="4CABD8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есть впервые МП-6 с магазинным питанием ставили еще совсем весной.</w:t>
      </w:r>
    </w:p>
    <w:p w14:paraId="77A4A76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2B842D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после успешных испытаний МП-6 со звеньевым питанием на опытном истребителе И-21, установили такие пушки снова на Ил-2. Первый отстрел был произведен в августе 1940 г. в тире авиационного завода (10695).</w:t>
      </w:r>
    </w:p>
    <w:p w14:paraId="71E7F83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5AE6FB0"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Летом 1940 г. систему «Бесконтактный взрыватель» испытали в Мытищах и Звенигороде на восприятие излуче</w:t>
      </w:r>
      <w:r w:rsidRPr="00DB5D0D">
        <w:rPr>
          <w:rFonts w:ascii="Times New Roman" w:hAnsi="Times New Roman"/>
          <w:color w:val="0070C0"/>
          <w:sz w:val="16"/>
          <w:szCs w:val="16"/>
        </w:rPr>
        <w:softHyphen/>
        <w:t>ний от неметаллического (У-2) и металлического (СБ) самолётов. Отмечались хорошие результа</w:t>
      </w:r>
      <w:r w:rsidRPr="00DB5D0D">
        <w:rPr>
          <w:rFonts w:ascii="Times New Roman" w:hAnsi="Times New Roman"/>
          <w:color w:val="0070C0"/>
          <w:sz w:val="16"/>
          <w:szCs w:val="16"/>
        </w:rPr>
        <w:softHyphen/>
        <w:t>ты срабатывания мин, но, видимо, из-за сложно</w:t>
      </w:r>
      <w:r w:rsidRPr="00DB5D0D">
        <w:rPr>
          <w:rFonts w:ascii="Times New Roman" w:hAnsi="Times New Roman"/>
          <w:color w:val="0070C0"/>
          <w:sz w:val="16"/>
          <w:szCs w:val="16"/>
        </w:rPr>
        <w:softHyphen/>
        <w:t>сти излучающих станций система не нашла при</w:t>
      </w:r>
      <w:r w:rsidRPr="00DB5D0D">
        <w:rPr>
          <w:rFonts w:ascii="Times New Roman" w:hAnsi="Times New Roman"/>
          <w:color w:val="0070C0"/>
          <w:sz w:val="16"/>
          <w:szCs w:val="16"/>
        </w:rPr>
        <w:softHyphen/>
        <w:t>менения в военное время.</w:t>
      </w:r>
    </w:p>
    <w:p w14:paraId="4FFF929F"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Инженер С.Н. Корольков из НИИ связи раз</w:t>
      </w:r>
      <w:r w:rsidRPr="00DB5D0D">
        <w:rPr>
          <w:rFonts w:ascii="Times New Roman" w:hAnsi="Times New Roman"/>
          <w:color w:val="0070C0"/>
          <w:sz w:val="16"/>
          <w:szCs w:val="16"/>
        </w:rPr>
        <w:softHyphen/>
        <w:t>работал «Бесконтактный взрыватель», конструк</w:t>
      </w:r>
      <w:r w:rsidRPr="00DB5D0D">
        <w:rPr>
          <w:rFonts w:ascii="Times New Roman" w:hAnsi="Times New Roman"/>
          <w:color w:val="0070C0"/>
          <w:sz w:val="16"/>
          <w:szCs w:val="16"/>
        </w:rPr>
        <w:softHyphen/>
        <w:t>ция которого основывалась на использовании разности параметров излучающей УКВ антенны, расположенной на аэростате, до прохождения самолёта и после его появления в районе аэро</w:t>
      </w:r>
      <w:r w:rsidRPr="00DB5D0D">
        <w:rPr>
          <w:rFonts w:ascii="Times New Roman" w:hAnsi="Times New Roman"/>
          <w:color w:val="0070C0"/>
          <w:sz w:val="16"/>
          <w:szCs w:val="16"/>
        </w:rPr>
        <w:softHyphen/>
        <w:t>стата. Изменение силы отражённого сигнала вы</w:t>
      </w:r>
      <w:r w:rsidRPr="00DB5D0D">
        <w:rPr>
          <w:rFonts w:ascii="Times New Roman" w:hAnsi="Times New Roman"/>
          <w:color w:val="0070C0"/>
          <w:sz w:val="16"/>
          <w:szCs w:val="16"/>
        </w:rPr>
        <w:softHyphen/>
        <w:t>зывало срабатывание запального реле и взрыв мины. Предполагалось, что осколки мины могут повредить самолёт, пролетающий на расстоя</w:t>
      </w:r>
      <w:r w:rsidRPr="00DB5D0D">
        <w:rPr>
          <w:rFonts w:ascii="Times New Roman" w:hAnsi="Times New Roman"/>
          <w:color w:val="0070C0"/>
          <w:sz w:val="16"/>
          <w:szCs w:val="16"/>
        </w:rPr>
        <w:softHyphen/>
        <w:t xml:space="preserve">нии 50 м от неё. </w:t>
      </w:r>
    </w:p>
    <w:p w14:paraId="1AA8B5E1"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Идею С.Н. Королько- ва в годы Второй мировой войны реализовали в США и Великобритании в виде радиолокаци</w:t>
      </w:r>
      <w:r w:rsidRPr="00DB5D0D">
        <w:rPr>
          <w:rFonts w:ascii="Times New Roman" w:hAnsi="Times New Roman"/>
          <w:color w:val="0070C0"/>
          <w:sz w:val="16"/>
          <w:szCs w:val="16"/>
        </w:rPr>
        <w:softHyphen/>
        <w:t>онных взрывателей снарядов ПВО, что стало воз</w:t>
      </w:r>
      <w:r w:rsidRPr="00DB5D0D">
        <w:rPr>
          <w:rFonts w:ascii="Times New Roman" w:hAnsi="Times New Roman"/>
          <w:color w:val="0070C0"/>
          <w:sz w:val="16"/>
          <w:szCs w:val="16"/>
        </w:rPr>
        <w:softHyphen/>
        <w:t>можным благодаря миниатюризации радиоэлек</w:t>
      </w:r>
      <w:r w:rsidRPr="00DB5D0D">
        <w:rPr>
          <w:rFonts w:ascii="Times New Roman" w:hAnsi="Times New Roman"/>
          <w:color w:val="0070C0"/>
          <w:sz w:val="16"/>
          <w:szCs w:val="16"/>
        </w:rPr>
        <w:softHyphen/>
        <w:t>тронной аппаратуры (20120).</w:t>
      </w:r>
    </w:p>
    <w:p w14:paraId="55564397" w14:textId="77777777" w:rsidR="00C150CD" w:rsidRPr="00DB5D0D" w:rsidRDefault="00C150CD" w:rsidP="00DB5D0D">
      <w:pPr>
        <w:spacing w:after="0" w:line="240" w:lineRule="auto"/>
        <w:jc w:val="both"/>
        <w:rPr>
          <w:rFonts w:ascii="Times New Roman" w:hAnsi="Times New Roman"/>
          <w:color w:val="0070C0"/>
          <w:sz w:val="16"/>
          <w:szCs w:val="16"/>
        </w:rPr>
      </w:pPr>
    </w:p>
    <w:p w14:paraId="6B29F08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М.Н.Каминский на Дорнье Валь N 235 сел в тундре на вынужденную и И.П.Мазурук, до этого никогда не летавший на Валь, смог взлететь по деревянному настилу, смазанному маслом (2543,14).</w:t>
      </w:r>
    </w:p>
    <w:p w14:paraId="42FC815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F9F5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немецкий самолет приземлился на Красной площади в Москве; в приступе страшной ярости Сталин приказал расстрелять все руководство ПВО, но и новое во главе с Г Штерном оказалось не состоятельным, что стало очевидно весной 1941 г (3906).</w:t>
      </w:r>
    </w:p>
    <w:p w14:paraId="6F47C58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F72DCB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лета 1940-го ЦКБ-15 является экспонатом в небольшом музее В.П.Чкалова в г. Чкаловск под Нижним Новгородом (9630).</w:t>
      </w:r>
    </w:p>
    <w:p w14:paraId="64890867"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1447A8"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D0DFBFB"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C88A113"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ЦК ВКП(б) и СНК СССР издали специальное Постановление "О плане накопления госрезервов и мобзапасов на 1940 год" &lt;1&gt;. Поставщики обязывались немедленно отгружать, а предприятия - закладывать в запас необходимые материалы и оборудование для развертывания военного производства. В предвоенный год из месяца в месяц возрастал процент спецзаказов на гражданских предприятиях (18390).</w:t>
      </w:r>
    </w:p>
    <w:p w14:paraId="00984E64" w14:textId="77777777" w:rsidR="005D3AF1" w:rsidRPr="00DB5D0D" w:rsidRDefault="005D3AF1" w:rsidP="00DB5D0D">
      <w:pPr>
        <w:spacing w:after="0" w:line="240" w:lineRule="auto"/>
        <w:jc w:val="both"/>
        <w:rPr>
          <w:rFonts w:ascii="Times New Roman" w:hAnsi="Times New Roman"/>
          <w:color w:val="000000" w:themeColor="text1"/>
          <w:sz w:val="16"/>
          <w:szCs w:val="16"/>
        </w:rPr>
      </w:pPr>
    </w:p>
    <w:p w14:paraId="6E0408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И.В.С. вопреки мнению всего военно-промышленного руководства страны вводит запрет на производство старых образцов вооружений из уже имеющихся запасных частей и комплектующих и о переходе на выпуск только новейшей, даже и не вполне доведенной техники, бросив свои известные слова "на старых самолетах легко летать, но их легко и сбивать", что означало омертвление огромных ресурсов, недополучение тысяч единиц танков и самолетов (3906).</w:t>
      </w:r>
    </w:p>
    <w:p w14:paraId="2BD27C5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4F8C8C8" w14:textId="77777777" w:rsidR="00DA3BA6" w:rsidRPr="00DB5D0D" w:rsidRDefault="00DA3BA6" w:rsidP="00DB5D0D">
      <w:pPr>
        <w:pStyle w:val="rtejustify"/>
        <w:shd w:val="clear" w:color="auto" w:fill="FFFFFF"/>
        <w:spacing w:before="0" w:after="0"/>
        <w:rPr>
          <w:color w:val="000000" w:themeColor="text1"/>
          <w:sz w:val="16"/>
          <w:szCs w:val="16"/>
        </w:rPr>
      </w:pPr>
      <w:r w:rsidRPr="00DB5D0D">
        <w:rPr>
          <w:color w:val="000000" w:themeColor="text1"/>
          <w:sz w:val="16"/>
          <w:szCs w:val="16"/>
        </w:rPr>
        <w:t>Летом 1940 г. первый опыт НКВД по организации военного производства завершился передачей всех заводов наркомату вооружения. Передавались уже вполне сложившиеся предприятия, выполнившие план первого квартала (НИПЦ «Мемориал». Коллекция документов). Сам факт передачи номерных заводов другому ведомству может, на наш взгляд, свидетельствовать о стремлении руководства НКВД разгрузить свой аппарат от дублирования функций профильных наркоматов. Кроме того, можно предположить, что создание заводов под эгидой органов внутренних дел вызвано желанием скрытно развернуть новые мощности по производству некоторых вновь осваиваемых категорий военной продукции (15473).</w:t>
      </w:r>
    </w:p>
    <w:p w14:paraId="173B7CD2" w14:textId="77777777" w:rsidR="00DA3BA6" w:rsidRPr="00DB5D0D" w:rsidRDefault="00DA3BA6" w:rsidP="00DB5D0D">
      <w:pPr>
        <w:pStyle w:val="rtejustify"/>
        <w:shd w:val="clear" w:color="auto" w:fill="FFFFFF"/>
        <w:spacing w:before="0" w:after="0"/>
        <w:rPr>
          <w:color w:val="000000" w:themeColor="text1"/>
          <w:sz w:val="16"/>
          <w:szCs w:val="16"/>
        </w:rPr>
      </w:pPr>
    </w:p>
    <w:p w14:paraId="744E8379" w14:textId="77777777" w:rsidR="009E25DB" w:rsidRPr="00DB5D0D" w:rsidRDefault="009E25DB"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К лету 1940 года стало ясно: ГАУ КА явно выбрала 107-мм дивизионную пушку, поэтому Ф-28 с калибром 95 мм Грабина оставалась не у дел. Это орудие существовало и в виде танковой пушки Ф-39, которую даже испытали, но к тому моменту уже стало понятно - даже полигонных испытаний не будет. Поэтому Василий Гаврилович и начал работы по новой дивизионной пушке, а также танковому орудию. Тем более что данные работы утвердили тогда же, когда и истребитель танков на базе Т-34, то есть 16 июня 1940 года. Теоретически данная система должна была вписываться в "малую башню" КВ, то есть в КВ-1. Изначальным сроком изготовления орудия значилось 1 сентября 1940 года. Отчасти такая скорость объяснялась тем, что орудие, получившее обозначение Ф-30, создавалось на базе технических решений по системам Ф-34 и Ф-39. Но нельзя не признать, что Грабин слишком торопился. Увы, такова была ситуация: более мощное орудие потребовалось срочно, поэтому времени не осталось. Это сильно повлияло и на судьбу Ф-30, и на судьбу Ф-7 (21243).</w:t>
      </w:r>
    </w:p>
    <w:p w14:paraId="0316B198" w14:textId="77777777" w:rsidR="009E25DB" w:rsidRPr="00DB5D0D" w:rsidRDefault="009E25DB"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2F38704E" w14:textId="77777777" w:rsidR="00CE3D33" w:rsidRPr="00DB5D0D" w:rsidRDefault="00CE3D33"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Летом 1940 года была запущена разработка противотанковой пушки калибра 50-60 мм, разработчиком орудия стало КБ завода №92 под руководством В.Г. Грабина. Им был выбран калибр 57 мм, а орудие получило обозначение Ф-31. Это была первая противотанковая пушка, созданная под руководством Грабина. В качестве основы была использована 76-мм полковая пушка Ф-24. Индекс Ф-31 прожил недолго: уже в марте 1941 года индексы изделий КБ завода №92 изменились, поэтому 57-мм противотанковая пушка стала именоваться как ЗИС-2. Ее приняли на вооружение как 57-мм противотанковая пушка обр.1941 года.</w:t>
      </w:r>
    </w:p>
    <w:p w14:paraId="23393B73" w14:textId="77777777" w:rsidR="00CE3D33" w:rsidRPr="00DB5D0D" w:rsidRDefault="00CE3D33"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Всего за 1941 год было изготовлено 371 орудие данного типа. Из них 100 установили на шасси артиллерийских тягачей "Комсомолец", известна данная версия как ЗИС-30. За время выпуска орудие несколько изменилось: составной ствол заменили на моноблок, а клепаные станины квадратного сечения заменили на сварные трубчатые (21143).</w:t>
      </w:r>
    </w:p>
    <w:p w14:paraId="65AA7FD2" w14:textId="77777777" w:rsidR="00CE3D33" w:rsidRPr="00DB5D0D" w:rsidRDefault="00CE3D33"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2933D4CB" w14:textId="77777777" w:rsidR="00C150CD" w:rsidRPr="00DB5D0D" w:rsidRDefault="00C150CD"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Летом 1940 года командование ГАУ КА инициировало работы по созданию новой противотанковой пушки калибра 50-60 мм. Это стало результатом изучения вопроса соответствия 45-мм противотанковой пушки, на тот момент типового противотанкового средства Красной Армии, реалиям современной войны. Выяснилось, что увеличение толщины брони привело к резкому снижению противотанковых возможностей пушки. Броня толщиной 40 мм могла пробиваться на дистанции не более 200-300 метров, дальнейшее увеличение толщины делало пушку бесполезной. Результатом запущенной программы противотанковой артиллерии стало создание 57-мм противотанкового орудия Ф-31, в марте 1941 года переименованного в ЗИС-2 (21375).</w:t>
      </w:r>
    </w:p>
    <w:p w14:paraId="44774311" w14:textId="77777777" w:rsidR="00C150CD" w:rsidRPr="00DB5D0D" w:rsidRDefault="00C150CD" w:rsidP="00DB5D0D">
      <w:pPr>
        <w:pStyle w:val="article-renderblock"/>
        <w:shd w:val="clear" w:color="auto" w:fill="FFFFFF"/>
        <w:spacing w:before="0" w:beforeAutospacing="0" w:after="0" w:afterAutospacing="0"/>
        <w:jc w:val="both"/>
        <w:rPr>
          <w:color w:val="0070C0"/>
          <w:sz w:val="16"/>
          <w:szCs w:val="16"/>
        </w:rPr>
      </w:pPr>
    </w:p>
    <w:p w14:paraId="2E54BC6B" w14:textId="77777777" w:rsidR="00C150CD" w:rsidRPr="00DB5D0D" w:rsidRDefault="00C150CD"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bdr w:val="none" w:sz="0" w:space="0" w:color="auto" w:frame="1"/>
          <w:lang w:eastAsia="ru-RU"/>
        </w:rPr>
        <w:t xml:space="preserve">Летом 1940 года вспомнили про 76-мм зенитную пушку 3-К. По иронии судьбы, как раз в этот момент ее прекратили выпускать. </w:t>
      </w:r>
      <w:r w:rsidRPr="00DB5D0D">
        <w:rPr>
          <w:rFonts w:ascii="Times New Roman" w:eastAsia="Times New Roman" w:hAnsi="Times New Roman"/>
          <w:color w:val="0070C0"/>
          <w:sz w:val="16"/>
          <w:szCs w:val="16"/>
          <w:lang w:eastAsia="ru-RU"/>
        </w:rPr>
        <w:t xml:space="preserve">Вместе с тем, к лету 1940 года появились мысли о том, что мощь Ф-34 также недостаточна. Почему возникли такие мысли, очевидно. Принятый на вооружение Красной Армии тяжелый танк КВ </w:t>
      </w:r>
      <w:r w:rsidRPr="00DB5D0D">
        <w:rPr>
          <w:rFonts w:ascii="Times New Roman" w:eastAsia="Times New Roman" w:hAnsi="Times New Roman"/>
          <w:color w:val="0070C0"/>
          <w:sz w:val="16"/>
          <w:szCs w:val="16"/>
          <w:lang w:eastAsia="ru-RU"/>
        </w:rPr>
        <w:lastRenderedPageBreak/>
        <w:t>не мог пробить сам себя, а о том, что у тех же французов имеются тяжелые танки, имеющие противоснарядное бронирование, знали. Да и появление тяжелых танков у немцев считалось лишь вопросом времени. Между тем, в системе вооружения Красной Армии имелось еще одно орудие калибра 76 мм, которое вполне могло поражать броню толщиной 75 мм под прямым углом. Речь идет о зенитном орудие 3-К. Как показали испытания, на дистанции в километр бронебойный снаряд пробил плиту толщиной 70 мм, поставленную под углом в 30 градусов. На 500 метров ее снаряд пробивал плиту толщиной 90 мм, поставленную под прямым углом. Неудивительно, что уже в июне встал вопрос по созданию танкового орудия с баллистикой 3-К. Данные работы были инициированы постановлением Совета народных комиссаров Союза ССР и ЦК ВКП(б) №1288–495сс от 17 июля 1940 года. Предполагалось построить 2 опытных образца орудия, которые ставились в штатную башню КВ-1. Базой для данной системы, получившей обозначение Ф-27, послужило орудие Ф-34. Таким образом, потенциально имелась возможность поставить орудие и в Т-34 (20272).</w:t>
      </w:r>
    </w:p>
    <w:p w14:paraId="03CD152A" w14:textId="77777777" w:rsidR="00C150CD" w:rsidRPr="00DB5D0D" w:rsidRDefault="00C150CD"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603047C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опытный образец Бр-19 вновь испытывался на НИАПе. При весе снаряда 49,1 кг получена начальная скорость 880 м/с и дальность 25334 м при угле +45. Кучность в "пределах технических условий". Однако по непонятным причинам валовое производство Бр-19 начато не было (3861).</w:t>
      </w:r>
    </w:p>
    <w:p w14:paraId="373F503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2F48E5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группа И. Савина (бывш. завод № 185) по</w:t>
      </w:r>
      <w:r w:rsidRPr="00DB5D0D">
        <w:rPr>
          <w:rFonts w:ascii="Times New Roman" w:hAnsi="Times New Roman"/>
          <w:color w:val="000000" w:themeColor="text1"/>
          <w:sz w:val="16"/>
          <w:szCs w:val="16"/>
        </w:rPr>
        <w:softHyphen/>
        <w:t>лучила ТТТ на разработку вращающейся башни с 25-мм или 37-мм зенитным автоматом соответственно для танков Т-126 и Т-34 со сроком исполнения заказа в I квартале 1941 г. (10782).</w:t>
      </w:r>
    </w:p>
    <w:p w14:paraId="4B067D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315BA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на НИБТ полигоне прошел испытания огнеметный танк ОТ-134, разработанный в 1930 КБ-2 завода № 174, возглавляемом и С.И.Шлангмана (9527,193).</w:t>
      </w:r>
    </w:p>
    <w:p w14:paraId="03A7737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045B7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в ОКБ № 92 начались работы по созданию самого массового отечественного танкового орудия времен войны — Ф-34 Эскизное проектирование было прове</w:t>
      </w:r>
      <w:r w:rsidRPr="00DB5D0D">
        <w:rPr>
          <w:rFonts w:ascii="Times New Roman" w:hAnsi="Times New Roman"/>
          <w:color w:val="000000" w:themeColor="text1"/>
          <w:sz w:val="16"/>
          <w:szCs w:val="16"/>
        </w:rPr>
        <w:softHyphen/>
        <w:t>дено на основании заказа НКСМ (договор от 2 июня 1940 г.), озабоченного созданием танка Т-34 «частичной модер</w:t>
      </w:r>
      <w:r w:rsidRPr="00DB5D0D">
        <w:rPr>
          <w:rFonts w:ascii="Times New Roman" w:hAnsi="Times New Roman"/>
          <w:color w:val="000000" w:themeColor="text1"/>
          <w:sz w:val="16"/>
          <w:szCs w:val="16"/>
        </w:rPr>
        <w:softHyphen/>
        <w:t>низации» (танк А-41). Согласно требованиям НКСМ, вы</w:t>
      </w:r>
      <w:r w:rsidRPr="00DB5D0D">
        <w:rPr>
          <w:rFonts w:ascii="Times New Roman" w:hAnsi="Times New Roman"/>
          <w:color w:val="000000" w:themeColor="text1"/>
          <w:sz w:val="16"/>
          <w:szCs w:val="16"/>
        </w:rPr>
        <w:softHyphen/>
        <w:t>двинутым на основании решения КО при СНК и ЦК ВКПб от 13 июня 1940 г., для вооружения нового среднего танка требовалось 76-мм орудие с баллистикой дивизионной пушки Ф-22. Приказом по НКВ № 164 от 14 июня 1940 г. заводу № 92 предписывалось начать испытания нового орудия с полевого станка 1 сентября 1940 г. Для экономии времени ОКБ № 92 использовало практи</w:t>
      </w:r>
      <w:r w:rsidRPr="00DB5D0D">
        <w:rPr>
          <w:rFonts w:ascii="Times New Roman" w:hAnsi="Times New Roman"/>
          <w:color w:val="000000" w:themeColor="text1"/>
          <w:sz w:val="16"/>
          <w:szCs w:val="16"/>
        </w:rPr>
        <w:softHyphen/>
        <w:t>чески законченный проект 76-мм танковой пушки с баллис</w:t>
      </w:r>
      <w:r w:rsidRPr="00DB5D0D">
        <w:rPr>
          <w:rFonts w:ascii="Times New Roman" w:hAnsi="Times New Roman"/>
          <w:color w:val="000000" w:themeColor="text1"/>
          <w:sz w:val="16"/>
          <w:szCs w:val="16"/>
        </w:rPr>
        <w:softHyphen/>
        <w:t>тикой зенитного орудия обр. 1931/38 гг. — Ф-27. В проекте были сделаны лишь те изменения, которые требовались для уравновешивания более короткого ствола, а также упроще</w:t>
      </w:r>
      <w:r w:rsidRPr="00DB5D0D">
        <w:rPr>
          <w:rFonts w:ascii="Times New Roman" w:hAnsi="Times New Roman"/>
          <w:color w:val="000000" w:themeColor="text1"/>
          <w:sz w:val="16"/>
          <w:szCs w:val="16"/>
        </w:rPr>
        <w:softHyphen/>
        <w:t>ния технологии изготовления. С 15 по 25 сентября орудие Ф-34 проходило программу отстрела с полевого станка (от орудия Ф-22УСВ). К 1 октября опытное орудие было установлено в башне танка БТ-7А и поступило на заводские ис</w:t>
      </w:r>
      <w:r w:rsidRPr="00DB5D0D">
        <w:rPr>
          <w:rFonts w:ascii="Times New Roman" w:hAnsi="Times New Roman"/>
          <w:color w:val="000000" w:themeColor="text1"/>
          <w:sz w:val="16"/>
          <w:szCs w:val="16"/>
        </w:rPr>
        <w:softHyphen/>
        <w:t>пытания обкаткой и стрельбой. Испытания завершились 20 ноября, а поскольку никаких серьезных недоработок в конструкции пушки найдено не было, то уже 21 ноября ору</w:t>
      </w:r>
      <w:r w:rsidRPr="00DB5D0D">
        <w:rPr>
          <w:rFonts w:ascii="Times New Roman" w:hAnsi="Times New Roman"/>
          <w:color w:val="000000" w:themeColor="text1"/>
          <w:sz w:val="16"/>
          <w:szCs w:val="16"/>
        </w:rPr>
        <w:softHyphen/>
        <w:t>дие было рекомендовано для принятия на вооружение и предстало перед приемочной комиссией НКО (10782).</w:t>
      </w:r>
    </w:p>
    <w:p w14:paraId="2434CA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8374F6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в начались работы по созданию самого массового отечественного танкового орудия времен войны — Ф-34 было прове</w:t>
      </w:r>
      <w:r w:rsidRPr="00DB5D0D">
        <w:rPr>
          <w:rFonts w:ascii="Times New Roman" w:hAnsi="Times New Roman"/>
          <w:color w:val="000000" w:themeColor="text1"/>
          <w:sz w:val="16"/>
          <w:szCs w:val="16"/>
        </w:rPr>
        <w:softHyphen/>
        <w:t xml:space="preserve">дено на основании заказа НКСМ (договор от </w:t>
      </w:r>
    </w:p>
    <w:p w14:paraId="1CEEDD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2A59D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(начало работ в июле) 1940 г. был выполнен первый проект модернизации Т-34 в ОКБ-24. Он имел за</w:t>
      </w:r>
      <w:r w:rsidRPr="00DB5D0D">
        <w:rPr>
          <w:rFonts w:ascii="Times New Roman" w:hAnsi="Times New Roman"/>
          <w:color w:val="000000" w:themeColor="text1"/>
          <w:sz w:val="16"/>
          <w:szCs w:val="16"/>
        </w:rPr>
        <w:softHyphen/>
        <w:t>водской индекс А-41. Формально руководителем работ по нему являлся, видимо, еще тяжелобольной М. Кошкин. В переписке по НКСМ (и НКТП) первое упоминание об А-41 встречается 12 сентября, когда подводились промежу</w:t>
      </w:r>
      <w:r w:rsidRPr="00DB5D0D">
        <w:rPr>
          <w:rFonts w:ascii="Times New Roman" w:hAnsi="Times New Roman"/>
          <w:color w:val="000000" w:themeColor="text1"/>
          <w:sz w:val="16"/>
          <w:szCs w:val="16"/>
        </w:rPr>
        <w:softHyphen/>
        <w:t>точные итоги. Танк А-41 (Т-34улучшенный) представлял со</w:t>
      </w:r>
      <w:r w:rsidRPr="00DB5D0D">
        <w:rPr>
          <w:rFonts w:ascii="Times New Roman" w:hAnsi="Times New Roman"/>
          <w:color w:val="000000" w:themeColor="text1"/>
          <w:sz w:val="16"/>
          <w:szCs w:val="16"/>
        </w:rPr>
        <w:softHyphen/>
        <w:t>бой развитие Т-34 «второго опытного образца» (видимо,, имеется в виду установка наблюдательной башенки механи</w:t>
      </w:r>
      <w:r w:rsidRPr="00DB5D0D">
        <w:rPr>
          <w:rFonts w:ascii="Times New Roman" w:hAnsi="Times New Roman"/>
          <w:color w:val="000000" w:themeColor="text1"/>
          <w:sz w:val="16"/>
          <w:szCs w:val="16"/>
        </w:rPr>
        <w:softHyphen/>
        <w:t>ка-водителя на лобовой части корпуса). От прототипа танк отличался трехместной штампованной башней на погоне диаметром 1700 мм, в которую должно было быть установле</w:t>
      </w:r>
      <w:r w:rsidRPr="00DB5D0D">
        <w:rPr>
          <w:rFonts w:ascii="Times New Roman" w:hAnsi="Times New Roman"/>
          <w:color w:val="000000" w:themeColor="text1"/>
          <w:sz w:val="16"/>
          <w:szCs w:val="16"/>
        </w:rPr>
        <w:softHyphen/>
        <w:t>но 76-мм длинноствольное орудие, заказанное в ОКБ № 92 (имеется в виду орудие Ф-34), вместо дизеля В-2 в МТО но</w:t>
      </w:r>
      <w:r w:rsidRPr="00DB5D0D">
        <w:rPr>
          <w:rFonts w:ascii="Times New Roman" w:hAnsi="Times New Roman"/>
          <w:color w:val="000000" w:themeColor="text1"/>
          <w:sz w:val="16"/>
          <w:szCs w:val="16"/>
        </w:rPr>
        <w:softHyphen/>
        <w:t>вого танка должен был разместиться дизель-мотор М-250. Но корпус и ходовая часть должны были остаться прежними. Предполагалось, что просторная трехместная башня с на</w:t>
      </w:r>
      <w:r w:rsidRPr="00DB5D0D">
        <w:rPr>
          <w:rFonts w:ascii="Times New Roman" w:hAnsi="Times New Roman"/>
          <w:color w:val="000000" w:themeColor="text1"/>
          <w:sz w:val="16"/>
          <w:szCs w:val="16"/>
        </w:rPr>
        <w:softHyphen/>
        <w:t>блюдательной башенкой разом снимет большинство проб</w:t>
      </w:r>
      <w:r w:rsidRPr="00DB5D0D">
        <w:rPr>
          <w:rFonts w:ascii="Times New Roman" w:hAnsi="Times New Roman"/>
          <w:color w:val="000000" w:themeColor="text1"/>
          <w:sz w:val="16"/>
          <w:szCs w:val="16"/>
        </w:rPr>
        <w:softHyphen/>
        <w:t>лем танка с обзорностью и комфортабельностью внутри; упростит управление танком в бою. Из прочих улучшений машины предполагалось устано</w:t>
      </w:r>
      <w:r w:rsidRPr="00DB5D0D">
        <w:rPr>
          <w:rFonts w:ascii="Times New Roman" w:hAnsi="Times New Roman"/>
          <w:color w:val="000000" w:themeColor="text1"/>
          <w:sz w:val="16"/>
          <w:szCs w:val="16"/>
        </w:rPr>
        <w:softHyphen/>
        <w:t>вить в нее новую шестискоростную КПП с усиленным главным фрикционом, а также увеличить на 60-80 л. емкость топливных баков и предусмотреть возможность уста</w:t>
      </w:r>
      <w:r w:rsidRPr="00DB5D0D">
        <w:rPr>
          <w:rFonts w:ascii="Times New Roman" w:hAnsi="Times New Roman"/>
          <w:color w:val="000000" w:themeColor="text1"/>
          <w:sz w:val="16"/>
          <w:szCs w:val="16"/>
        </w:rPr>
        <w:softHyphen/>
        <w:t>новки вместо курсового пулемета огнемета пневматичес</w:t>
      </w:r>
      <w:r w:rsidRPr="00DB5D0D">
        <w:rPr>
          <w:rFonts w:ascii="Times New Roman" w:hAnsi="Times New Roman"/>
          <w:color w:val="000000" w:themeColor="text1"/>
          <w:sz w:val="16"/>
          <w:szCs w:val="16"/>
        </w:rPr>
        <w:softHyphen/>
        <w:t>кого действия (по опыту советско-финской войны) (10782).</w:t>
      </w:r>
    </w:p>
    <w:p w14:paraId="7699A8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7FE4E963" w14:textId="77777777" w:rsidR="00A25AD1" w:rsidRPr="00DB5D0D" w:rsidRDefault="00A25AD1" w:rsidP="00DB5D0D">
      <w:pPr>
        <w:pStyle w:val="a3"/>
        <w:rPr>
          <w:color w:val="000000" w:themeColor="text1"/>
          <w:lang w:val="ru-RU"/>
        </w:rPr>
      </w:pPr>
      <w:r w:rsidRPr="00DB5D0D">
        <w:rPr>
          <w:color w:val="000000" w:themeColor="text1"/>
          <w:lang w:val="ru-RU"/>
        </w:rPr>
        <w:t>На протяжении лета 1940 г. было проведено несколько совместных совещаний, на которых руководство ГАБТУ и завода №183 согласовывали перечень конструктивных измене</w:t>
      </w:r>
      <w:r w:rsidRPr="00DB5D0D">
        <w:rPr>
          <w:color w:val="000000" w:themeColor="text1"/>
          <w:lang w:val="ru-RU"/>
        </w:rPr>
        <w:softHyphen/>
        <w:t>ний и доработок по танку Т-34, подлежащих обязательному вве</w:t>
      </w:r>
      <w:r w:rsidRPr="00DB5D0D">
        <w:rPr>
          <w:color w:val="000000" w:themeColor="text1"/>
          <w:lang w:val="ru-RU"/>
        </w:rPr>
        <w:softHyphen/>
        <w:t>дению в серийное производство в 1940 г. Результатом этих сове</w:t>
      </w:r>
      <w:r w:rsidRPr="00DB5D0D">
        <w:rPr>
          <w:color w:val="000000" w:themeColor="text1"/>
          <w:lang w:val="ru-RU"/>
        </w:rPr>
        <w:softHyphen/>
        <w:t>щаний как раз и стало дополнительное соглашение №4-529 от 3 августа 1940 г., в котором кроме списка конструктивных изме</w:t>
      </w:r>
      <w:r w:rsidRPr="00DB5D0D">
        <w:rPr>
          <w:color w:val="000000" w:themeColor="text1"/>
          <w:lang w:val="ru-RU"/>
        </w:rPr>
        <w:softHyphen/>
        <w:t>нений был прописан и новый, увеличенный согласно Постановле</w:t>
      </w:r>
      <w:r w:rsidRPr="00DB5D0D">
        <w:rPr>
          <w:color w:val="000000" w:themeColor="text1"/>
          <w:lang w:val="ru-RU"/>
        </w:rPr>
        <w:softHyphen/>
        <w:t>нию СНК СССР и ЦК ВКП (б) №976-368сс от 7 июня 1940 г., план по выпуску танков Т-34 в 1940 г. Включенный в соглашение пере</w:t>
      </w:r>
      <w:r w:rsidRPr="00DB5D0D">
        <w:rPr>
          <w:color w:val="000000" w:themeColor="text1"/>
          <w:lang w:val="ru-RU"/>
        </w:rPr>
        <w:softHyphen/>
        <w:t>чень конструктивных изменений (см. табл. №11) был составлен на основании отчета комиссии по проведению войсковых испыта</w:t>
      </w:r>
      <w:r w:rsidRPr="00DB5D0D">
        <w:rPr>
          <w:color w:val="000000" w:themeColor="text1"/>
          <w:lang w:val="ru-RU"/>
        </w:rPr>
        <w:softHyphen/>
        <w:t>ний двух опытных образцов Т-34, и в него вошли не исправленные на тот момент недостатки и дефекты машины с оговоренными сроками их устранения (11939).</w:t>
      </w:r>
    </w:p>
    <w:p w14:paraId="0BDA8104" w14:textId="77777777" w:rsidR="00A25AD1" w:rsidRPr="00DB5D0D" w:rsidRDefault="00A25AD1" w:rsidP="00DB5D0D">
      <w:pPr>
        <w:pStyle w:val="a3"/>
        <w:rPr>
          <w:color w:val="000000" w:themeColor="text1"/>
          <w:lang w:val="ru-RU"/>
        </w:rPr>
      </w:pPr>
    </w:p>
    <w:p w14:paraId="589428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по распоря</w:t>
      </w:r>
      <w:r w:rsidRPr="00DB5D0D">
        <w:rPr>
          <w:rFonts w:ascii="Times New Roman" w:hAnsi="Times New Roman"/>
          <w:color w:val="000000" w:themeColor="text1"/>
          <w:sz w:val="16"/>
          <w:szCs w:val="16"/>
        </w:rPr>
        <w:softHyphen/>
        <w:t>жению начальника АБТУ и начальника управделами Нарко</w:t>
      </w:r>
      <w:r w:rsidRPr="00DB5D0D">
        <w:rPr>
          <w:rFonts w:ascii="Times New Roman" w:hAnsi="Times New Roman"/>
          <w:color w:val="000000" w:themeColor="text1"/>
          <w:sz w:val="16"/>
          <w:szCs w:val="16"/>
        </w:rPr>
        <w:softHyphen/>
        <w:t>мата Обороны Дратвина на завод № 174 прибыла комиссия в соста</w:t>
      </w:r>
      <w:r w:rsidRPr="00DB5D0D">
        <w:rPr>
          <w:rFonts w:ascii="Times New Roman" w:hAnsi="Times New Roman"/>
          <w:color w:val="000000" w:themeColor="text1"/>
          <w:sz w:val="16"/>
          <w:szCs w:val="16"/>
        </w:rPr>
        <w:softHyphen/>
        <w:t>ве начальника БТУ Красной армии военинженера 1-го ран</w:t>
      </w:r>
      <w:r w:rsidRPr="00DB5D0D">
        <w:rPr>
          <w:rFonts w:ascii="Times New Roman" w:hAnsi="Times New Roman"/>
          <w:color w:val="000000" w:themeColor="text1"/>
          <w:sz w:val="16"/>
          <w:szCs w:val="16"/>
        </w:rPr>
        <w:softHyphen/>
        <w:t>га Коробкова и начальника 3-го отдела БТУ военинженера 1-го ранга Афонина. В течение десяти дней комиссия изуча</w:t>
      </w:r>
      <w:r w:rsidRPr="00DB5D0D">
        <w:rPr>
          <w:rFonts w:ascii="Times New Roman" w:hAnsi="Times New Roman"/>
          <w:color w:val="000000" w:themeColor="text1"/>
          <w:sz w:val="16"/>
          <w:szCs w:val="16"/>
        </w:rPr>
        <w:softHyphen/>
        <w:t>ла все представленные материалы, в результате чего состави</w:t>
      </w:r>
      <w:r w:rsidRPr="00DB5D0D">
        <w:rPr>
          <w:rFonts w:ascii="Times New Roman" w:hAnsi="Times New Roman"/>
          <w:color w:val="000000" w:themeColor="text1"/>
          <w:sz w:val="16"/>
          <w:szCs w:val="16"/>
        </w:rPr>
        <w:softHyphen/>
        <w:t>ла письмо следующего содержания:</w:t>
      </w:r>
    </w:p>
    <w:p w14:paraId="46DA23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УПРАВЛЕНИЯ ДЕЛАМИ НКО ГЕНЕРАЛ-МАЙОРУ тов. ДРАТВИНУ</w:t>
      </w:r>
    </w:p>
    <w:p w14:paraId="39A315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Конструкторы завода №174 тт. ГОЛТВЯНСКИЙ и МАКАРОВ предложили разработать танк «СП» (проект № 127) с мотором дизель «744» мощностью 180л.с.</w:t>
      </w:r>
    </w:p>
    <w:p w14:paraId="406F18C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Авторы считают, что вес такого танка составит около 13 тн. при 45мм толщине основной брони. В своем предложении авторы проводят сравнение с проектом танка «СП» № 126, разработанного заводом № 174 и принятого в июле с.г. макет</w:t>
      </w:r>
      <w:r w:rsidRPr="00DB5D0D">
        <w:rPr>
          <w:rFonts w:ascii="Times New Roman" w:hAnsi="Times New Roman"/>
          <w:color w:val="000000" w:themeColor="text1"/>
          <w:sz w:val="16"/>
          <w:szCs w:val="16"/>
        </w:rPr>
        <w:softHyphen/>
        <w:t>ной комиссией.</w:t>
      </w:r>
    </w:p>
    <w:p w14:paraId="0116C9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Танк СП (проект 126) строится сейчас в опытных образцах с 45 и 55мм основной броней, с дизелем В-3 мощностью 250л.с.</w:t>
      </w:r>
    </w:p>
    <w:p w14:paraId="624BCE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преимущества в весе танка «127» против танка № 126 считаем, что проект № 127 разрабатывать нецелесообразно по следующим соображениям:</w:t>
      </w:r>
    </w:p>
    <w:p w14:paraId="1139FD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Тесно боевое отделение.</w:t>
      </w:r>
    </w:p>
    <w:p w14:paraId="78AF3F1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ширине боевое отделение уже боевого отделения тан</w:t>
      </w:r>
      <w:r w:rsidRPr="00DB5D0D">
        <w:rPr>
          <w:rFonts w:ascii="Times New Roman" w:hAnsi="Times New Roman"/>
          <w:color w:val="000000" w:themeColor="text1"/>
          <w:sz w:val="16"/>
          <w:szCs w:val="16"/>
        </w:rPr>
        <w:softHyphen/>
        <w:t>ка 126 на 75мм и по высоте на 135мм.</w:t>
      </w:r>
    </w:p>
    <w:p w14:paraId="7613FFC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Размер башни по погону и в свету у танка № 127 состав</w:t>
      </w:r>
      <w:r w:rsidRPr="00DB5D0D">
        <w:rPr>
          <w:rFonts w:ascii="Times New Roman" w:hAnsi="Times New Roman"/>
          <w:color w:val="000000" w:themeColor="text1"/>
          <w:sz w:val="16"/>
          <w:szCs w:val="16"/>
        </w:rPr>
        <w:softHyphen/>
        <w:t>ляет около 1200 мм против 1300 мм у танка 126. Размеры боевого отделения танка № 127не обеспечивают нормальной работы экипажа танка.</w:t>
      </w:r>
    </w:p>
    <w:p w14:paraId="7847D4D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Отсутствует отработанный дизельмотор «744» на который ориентируются авторы.</w:t>
      </w:r>
    </w:p>
    <w:p w14:paraId="76BD702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Дизель «744» проходит заводские испытания и определить сроки и возможность его пуска в серию можно будет лишь по</w:t>
      </w:r>
      <w:r w:rsidRPr="00DB5D0D">
        <w:rPr>
          <w:rFonts w:ascii="Times New Roman" w:hAnsi="Times New Roman"/>
          <w:color w:val="000000" w:themeColor="text1"/>
          <w:sz w:val="16"/>
          <w:szCs w:val="16"/>
        </w:rPr>
        <w:softHyphen/>
        <w:t>сле государственных испытаний. Утверждения авторов, о том, что мощность дизеля «744» можно без наддува поднять до 250 л.с. и с наддувом до 270-300 л.с. не имеют серьезных оснований.</w:t>
      </w:r>
    </w:p>
    <w:p w14:paraId="5C849A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Предлагаемая к установке в проекте № 1273-х торси</w:t>
      </w:r>
      <w:r w:rsidRPr="00DB5D0D">
        <w:rPr>
          <w:rFonts w:ascii="Times New Roman" w:hAnsi="Times New Roman"/>
          <w:color w:val="000000" w:themeColor="text1"/>
          <w:sz w:val="16"/>
          <w:szCs w:val="16"/>
        </w:rPr>
        <w:softHyphen/>
        <w:t>онная, на каждый борт, подвеска с парными тележками ме</w:t>
      </w:r>
      <w:r w:rsidRPr="00DB5D0D">
        <w:rPr>
          <w:rFonts w:ascii="Times New Roman" w:hAnsi="Times New Roman"/>
          <w:color w:val="000000" w:themeColor="text1"/>
          <w:sz w:val="16"/>
          <w:szCs w:val="16"/>
        </w:rPr>
        <w:softHyphen/>
        <w:t>нее надежна в работе, чем 6-ти торсионная, индивидуальная подвеска проекта № 126.</w:t>
      </w:r>
    </w:p>
    <w:p w14:paraId="6639562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Более сложный корпус, чем у № 126 и наличие гнутых броневых деталей усложнит изготовление корпуса и потре</w:t>
      </w:r>
      <w:r w:rsidRPr="00DB5D0D">
        <w:rPr>
          <w:rFonts w:ascii="Times New Roman" w:hAnsi="Times New Roman"/>
          <w:color w:val="000000" w:themeColor="text1"/>
          <w:sz w:val="16"/>
          <w:szCs w:val="16"/>
        </w:rPr>
        <w:softHyphen/>
        <w:t>бует больший по объему механической обработки.</w:t>
      </w:r>
    </w:p>
    <w:p w14:paraId="40AC37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Отсутствие перспективы в развитии танка по увели</w:t>
      </w:r>
      <w:r w:rsidRPr="00DB5D0D">
        <w:rPr>
          <w:rFonts w:ascii="Times New Roman" w:hAnsi="Times New Roman"/>
          <w:color w:val="000000" w:themeColor="text1"/>
          <w:sz w:val="16"/>
          <w:szCs w:val="16"/>
        </w:rPr>
        <w:softHyphen/>
        <w:t>чении бронирования т.к. дизель «744» не обеспечит необходи</w:t>
      </w:r>
      <w:r w:rsidRPr="00DB5D0D">
        <w:rPr>
          <w:rFonts w:ascii="Times New Roman" w:hAnsi="Times New Roman"/>
          <w:color w:val="000000" w:themeColor="text1"/>
          <w:sz w:val="16"/>
          <w:szCs w:val="16"/>
        </w:rPr>
        <w:softHyphen/>
        <w:t>мых мощностей при увеличении веса. НАЧАЛЬНИК БТУ КРАСНОЙ АРМИИ ВОЕНИНЖЕНЕР 1 РАНГА ............... .(КОРОБКОВ)</w:t>
      </w:r>
    </w:p>
    <w:p w14:paraId="29CF39A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3 ОТДЕЛА БТУ КРАСНОЙ АРМИИ ВОЕНИНЖЕНЕР 1 РАНГА ............... .(АФОНИН)».</w:t>
      </w:r>
    </w:p>
    <w:p w14:paraId="0DE2D0F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Вскоре после этого письма работы по проекту «127» (он же П-127, Т-127) были свернуты (10782).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11"/>
        <w:gridCol w:w="826"/>
        <w:gridCol w:w="883"/>
        <w:gridCol w:w="758"/>
        <w:gridCol w:w="787"/>
        <w:gridCol w:w="797"/>
      </w:tblGrid>
      <w:tr w:rsidR="007D5DF8" w:rsidRPr="00DB5D0D" w14:paraId="756CF2BB" w14:textId="77777777" w:rsidTr="009223E5">
        <w:trPr>
          <w:trHeight w:val="413"/>
        </w:trPr>
        <w:tc>
          <w:tcPr>
            <w:tcW w:w="5462" w:type="dxa"/>
            <w:gridSpan w:val="6"/>
            <w:tcBorders>
              <w:top w:val="single" w:sz="12" w:space="0" w:color="auto"/>
            </w:tcBorders>
          </w:tcPr>
          <w:p w14:paraId="5177A1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Тактико-технические характеристики советских пехотных танков 1940 г.</w:t>
            </w:r>
          </w:p>
        </w:tc>
      </w:tr>
      <w:tr w:rsidR="007D5DF8" w:rsidRPr="00DB5D0D" w14:paraId="7D0C8C6C" w14:textId="77777777" w:rsidTr="009223E5">
        <w:trPr>
          <w:trHeight w:val="230"/>
        </w:trPr>
        <w:tc>
          <w:tcPr>
            <w:tcW w:w="1411" w:type="dxa"/>
          </w:tcPr>
          <w:p w14:paraId="6FA8F34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tc>
        <w:tc>
          <w:tcPr>
            <w:tcW w:w="826" w:type="dxa"/>
          </w:tcPr>
          <w:p w14:paraId="3F89FB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Т-26-5</w:t>
            </w:r>
          </w:p>
        </w:tc>
        <w:tc>
          <w:tcPr>
            <w:tcW w:w="883" w:type="dxa"/>
          </w:tcPr>
          <w:p w14:paraId="2B702E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«126-2»*</w:t>
            </w:r>
          </w:p>
        </w:tc>
        <w:tc>
          <w:tcPr>
            <w:tcW w:w="758" w:type="dxa"/>
          </w:tcPr>
          <w:p w14:paraId="09BCB6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«211»*</w:t>
            </w:r>
          </w:p>
        </w:tc>
        <w:tc>
          <w:tcPr>
            <w:tcW w:w="787" w:type="dxa"/>
          </w:tcPr>
          <w:p w14:paraId="27B47FD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w:t>
            </w:r>
          </w:p>
        </w:tc>
        <w:tc>
          <w:tcPr>
            <w:tcW w:w="797" w:type="dxa"/>
          </w:tcPr>
          <w:p w14:paraId="529A1B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Т- 126</w:t>
            </w:r>
          </w:p>
        </w:tc>
      </w:tr>
      <w:tr w:rsidR="007D5DF8" w:rsidRPr="00DB5D0D" w14:paraId="0BE257A5" w14:textId="77777777" w:rsidTr="009223E5">
        <w:trPr>
          <w:trHeight w:val="182"/>
        </w:trPr>
        <w:tc>
          <w:tcPr>
            <w:tcW w:w="1411" w:type="dxa"/>
          </w:tcPr>
          <w:p w14:paraId="65740F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ТТХ/Марка танка</w:t>
            </w:r>
          </w:p>
        </w:tc>
        <w:tc>
          <w:tcPr>
            <w:tcW w:w="826" w:type="dxa"/>
          </w:tcPr>
          <w:p w14:paraId="307473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w:t>
            </w:r>
          </w:p>
        </w:tc>
        <w:tc>
          <w:tcPr>
            <w:tcW w:w="883" w:type="dxa"/>
          </w:tcPr>
          <w:p w14:paraId="7E6D7C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1940</w:t>
            </w:r>
          </w:p>
        </w:tc>
        <w:tc>
          <w:tcPr>
            <w:tcW w:w="758" w:type="dxa"/>
          </w:tcPr>
          <w:p w14:paraId="494C4E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1940</w:t>
            </w:r>
          </w:p>
        </w:tc>
        <w:tc>
          <w:tcPr>
            <w:tcW w:w="787" w:type="dxa"/>
          </w:tcPr>
          <w:p w14:paraId="0F74EE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1940</w:t>
            </w:r>
          </w:p>
        </w:tc>
        <w:tc>
          <w:tcPr>
            <w:tcW w:w="797" w:type="dxa"/>
          </w:tcPr>
          <w:p w14:paraId="13E679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w:t>
            </w:r>
          </w:p>
        </w:tc>
      </w:tr>
      <w:tr w:rsidR="007D5DF8" w:rsidRPr="00DB5D0D" w14:paraId="6B36E88E" w14:textId="77777777" w:rsidTr="009223E5">
        <w:trPr>
          <w:trHeight w:val="163"/>
        </w:trPr>
        <w:tc>
          <w:tcPr>
            <w:tcW w:w="1411" w:type="dxa"/>
          </w:tcPr>
          <w:p w14:paraId="054917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Боевой вес, кг</w:t>
            </w:r>
          </w:p>
        </w:tc>
        <w:tc>
          <w:tcPr>
            <w:tcW w:w="826" w:type="dxa"/>
          </w:tcPr>
          <w:p w14:paraId="600549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10600</w:t>
            </w:r>
          </w:p>
        </w:tc>
        <w:tc>
          <w:tcPr>
            <w:tcW w:w="883" w:type="dxa"/>
          </w:tcPr>
          <w:p w14:paraId="45DAD0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15800</w:t>
            </w:r>
          </w:p>
        </w:tc>
        <w:tc>
          <w:tcPr>
            <w:tcW w:w="758" w:type="dxa"/>
          </w:tcPr>
          <w:p w14:paraId="768015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15200</w:t>
            </w:r>
          </w:p>
        </w:tc>
        <w:tc>
          <w:tcPr>
            <w:tcW w:w="787" w:type="dxa"/>
          </w:tcPr>
          <w:p w14:paraId="2ABB48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12600</w:t>
            </w:r>
          </w:p>
        </w:tc>
        <w:tc>
          <w:tcPr>
            <w:tcW w:w="797" w:type="dxa"/>
          </w:tcPr>
          <w:p w14:paraId="6DC64A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16900</w:t>
            </w:r>
          </w:p>
        </w:tc>
      </w:tr>
      <w:tr w:rsidR="007D5DF8" w:rsidRPr="00DB5D0D" w14:paraId="569A3289" w14:textId="77777777" w:rsidTr="009223E5">
        <w:trPr>
          <w:trHeight w:val="202"/>
        </w:trPr>
        <w:tc>
          <w:tcPr>
            <w:tcW w:w="1411" w:type="dxa"/>
          </w:tcPr>
          <w:p w14:paraId="34846F1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c>
          <w:tcPr>
            <w:tcW w:w="826" w:type="dxa"/>
          </w:tcPr>
          <w:p w14:paraId="57A7C28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883" w:type="dxa"/>
          </w:tcPr>
          <w:p w14:paraId="59DE1C0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758" w:type="dxa"/>
          </w:tcPr>
          <w:p w14:paraId="38E5AC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787" w:type="dxa"/>
          </w:tcPr>
          <w:p w14:paraId="5E057B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797" w:type="dxa"/>
          </w:tcPr>
          <w:p w14:paraId="13704F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0ECDEF89" w14:textId="77777777" w:rsidTr="009223E5">
        <w:trPr>
          <w:trHeight w:val="211"/>
        </w:trPr>
        <w:tc>
          <w:tcPr>
            <w:tcW w:w="5462" w:type="dxa"/>
            <w:gridSpan w:val="6"/>
          </w:tcPr>
          <w:p w14:paraId="74918C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Размерения. мм</w:t>
            </w:r>
          </w:p>
        </w:tc>
      </w:tr>
      <w:tr w:rsidR="007D5DF8" w:rsidRPr="00DB5D0D" w14:paraId="4DAFC2B4" w14:textId="77777777" w:rsidTr="009223E5">
        <w:trPr>
          <w:trHeight w:val="221"/>
        </w:trPr>
        <w:tc>
          <w:tcPr>
            <w:tcW w:w="1411" w:type="dxa"/>
          </w:tcPr>
          <w:p w14:paraId="0D6B20D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общая</w:t>
            </w:r>
          </w:p>
        </w:tc>
        <w:tc>
          <w:tcPr>
            <w:tcW w:w="826" w:type="dxa"/>
          </w:tcPr>
          <w:p w14:paraId="61D7387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4620</w:t>
            </w:r>
          </w:p>
        </w:tc>
        <w:tc>
          <w:tcPr>
            <w:tcW w:w="883" w:type="dxa"/>
          </w:tcPr>
          <w:p w14:paraId="189ED43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4875</w:t>
            </w:r>
          </w:p>
        </w:tc>
        <w:tc>
          <w:tcPr>
            <w:tcW w:w="758" w:type="dxa"/>
          </w:tcPr>
          <w:p w14:paraId="20406D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3750</w:t>
            </w:r>
          </w:p>
        </w:tc>
        <w:tc>
          <w:tcPr>
            <w:tcW w:w="787" w:type="dxa"/>
          </w:tcPr>
          <w:p w14:paraId="62A6EC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4700</w:t>
            </w:r>
          </w:p>
        </w:tc>
        <w:tc>
          <w:tcPr>
            <w:tcW w:w="797" w:type="dxa"/>
          </w:tcPr>
          <w:p w14:paraId="38D13A2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4700</w:t>
            </w:r>
          </w:p>
        </w:tc>
      </w:tr>
      <w:tr w:rsidR="007D5DF8" w:rsidRPr="00DB5D0D" w14:paraId="3F4AFCE0" w14:textId="77777777" w:rsidTr="009223E5">
        <w:trPr>
          <w:trHeight w:val="173"/>
        </w:trPr>
        <w:tc>
          <w:tcPr>
            <w:tcW w:w="1411" w:type="dxa"/>
          </w:tcPr>
          <w:p w14:paraId="6ACD4E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w:t>
            </w:r>
          </w:p>
        </w:tc>
        <w:tc>
          <w:tcPr>
            <w:tcW w:w="826" w:type="dxa"/>
          </w:tcPr>
          <w:p w14:paraId="61497F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2445</w:t>
            </w:r>
          </w:p>
        </w:tc>
        <w:tc>
          <w:tcPr>
            <w:tcW w:w="883" w:type="dxa"/>
          </w:tcPr>
          <w:p w14:paraId="5BBCC7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2620</w:t>
            </w:r>
          </w:p>
        </w:tc>
        <w:tc>
          <w:tcPr>
            <w:tcW w:w="758" w:type="dxa"/>
          </w:tcPr>
          <w:p w14:paraId="743B09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2860</w:t>
            </w:r>
          </w:p>
        </w:tc>
        <w:tc>
          <w:tcPr>
            <w:tcW w:w="787" w:type="dxa"/>
          </w:tcPr>
          <w:p w14:paraId="17D7D0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2440</w:t>
            </w:r>
          </w:p>
        </w:tc>
        <w:tc>
          <w:tcPr>
            <w:tcW w:w="797" w:type="dxa"/>
          </w:tcPr>
          <w:p w14:paraId="4D548A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2765</w:t>
            </w:r>
          </w:p>
        </w:tc>
      </w:tr>
      <w:tr w:rsidR="007D5DF8" w:rsidRPr="00DB5D0D" w14:paraId="2DF0FE7C" w14:textId="77777777" w:rsidTr="009223E5">
        <w:trPr>
          <w:trHeight w:val="154"/>
        </w:trPr>
        <w:tc>
          <w:tcPr>
            <w:tcW w:w="1411" w:type="dxa"/>
          </w:tcPr>
          <w:p w14:paraId="3AD3E0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826" w:type="dxa"/>
          </w:tcPr>
          <w:p w14:paraId="6D6171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2330</w:t>
            </w:r>
          </w:p>
        </w:tc>
        <w:tc>
          <w:tcPr>
            <w:tcW w:w="883" w:type="dxa"/>
          </w:tcPr>
          <w:p w14:paraId="4E4A2AD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2045</w:t>
            </w:r>
          </w:p>
        </w:tc>
        <w:tc>
          <w:tcPr>
            <w:tcW w:w="758" w:type="dxa"/>
          </w:tcPr>
          <w:p w14:paraId="0E5B0A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2100</w:t>
            </w:r>
          </w:p>
        </w:tc>
        <w:tc>
          <w:tcPr>
            <w:tcW w:w="787" w:type="dxa"/>
          </w:tcPr>
          <w:p w14:paraId="55BEC0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2280</w:t>
            </w:r>
          </w:p>
        </w:tc>
        <w:tc>
          <w:tcPr>
            <w:tcW w:w="797" w:type="dxa"/>
          </w:tcPr>
          <w:p w14:paraId="11F638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2330</w:t>
            </w:r>
          </w:p>
        </w:tc>
      </w:tr>
      <w:tr w:rsidR="007D5DF8" w:rsidRPr="00DB5D0D" w14:paraId="1F6A4BE0" w14:textId="77777777" w:rsidTr="009223E5">
        <w:trPr>
          <w:trHeight w:val="182"/>
        </w:trPr>
        <w:tc>
          <w:tcPr>
            <w:tcW w:w="1411" w:type="dxa"/>
          </w:tcPr>
          <w:p w14:paraId="115FA05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Клиренс</w:t>
            </w:r>
          </w:p>
        </w:tc>
        <w:tc>
          <w:tcPr>
            <w:tcW w:w="826" w:type="dxa"/>
          </w:tcPr>
          <w:p w14:paraId="1C979D9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w:t>
            </w:r>
          </w:p>
        </w:tc>
        <w:tc>
          <w:tcPr>
            <w:tcW w:w="883" w:type="dxa"/>
          </w:tcPr>
          <w:p w14:paraId="7F84D40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758" w:type="dxa"/>
          </w:tcPr>
          <w:p w14:paraId="25C844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787" w:type="dxa"/>
          </w:tcPr>
          <w:p w14:paraId="0EF7CE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797" w:type="dxa"/>
          </w:tcPr>
          <w:p w14:paraId="53A9428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w:t>
            </w:r>
          </w:p>
        </w:tc>
      </w:tr>
      <w:tr w:rsidR="007D5DF8" w:rsidRPr="00DB5D0D" w14:paraId="7DABB2BF" w14:textId="77777777" w:rsidTr="009223E5">
        <w:trPr>
          <w:trHeight w:val="202"/>
        </w:trPr>
        <w:tc>
          <w:tcPr>
            <w:tcW w:w="1411" w:type="dxa"/>
          </w:tcPr>
          <w:p w14:paraId="4BED9C8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трака</w:t>
            </w:r>
          </w:p>
        </w:tc>
        <w:tc>
          <w:tcPr>
            <w:tcW w:w="826" w:type="dxa"/>
          </w:tcPr>
          <w:p w14:paraId="7599C95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c>
          <w:tcPr>
            <w:tcW w:w="883" w:type="dxa"/>
          </w:tcPr>
          <w:p w14:paraId="27CD1B1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758" w:type="dxa"/>
          </w:tcPr>
          <w:p w14:paraId="029431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87" w:type="dxa"/>
          </w:tcPr>
          <w:p w14:paraId="0A4431D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97" w:type="dxa"/>
          </w:tcPr>
          <w:p w14:paraId="7537ED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634E7504" w14:textId="77777777" w:rsidTr="009223E5">
        <w:trPr>
          <w:trHeight w:val="202"/>
        </w:trPr>
        <w:tc>
          <w:tcPr>
            <w:tcW w:w="5462" w:type="dxa"/>
            <w:gridSpan w:val="6"/>
          </w:tcPr>
          <w:p w14:paraId="3EF54B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r>
      <w:tr w:rsidR="007D5DF8" w:rsidRPr="00DB5D0D" w14:paraId="0D361546" w14:textId="77777777" w:rsidTr="009223E5">
        <w:trPr>
          <w:trHeight w:val="221"/>
        </w:trPr>
        <w:tc>
          <w:tcPr>
            <w:tcW w:w="1411" w:type="dxa"/>
          </w:tcPr>
          <w:p w14:paraId="53EBF5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Пушек, шт. х кал.</w:t>
            </w:r>
          </w:p>
        </w:tc>
        <w:tc>
          <w:tcPr>
            <w:tcW w:w="826" w:type="dxa"/>
          </w:tcPr>
          <w:p w14:paraId="1E2751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 45-мм</w:t>
            </w:r>
          </w:p>
        </w:tc>
        <w:tc>
          <w:tcPr>
            <w:tcW w:w="883" w:type="dxa"/>
          </w:tcPr>
          <w:p w14:paraId="656E47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 45-мм</w:t>
            </w:r>
          </w:p>
        </w:tc>
        <w:tc>
          <w:tcPr>
            <w:tcW w:w="758" w:type="dxa"/>
          </w:tcPr>
          <w:p w14:paraId="52BC0B4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 45-мм</w:t>
            </w:r>
          </w:p>
        </w:tc>
        <w:tc>
          <w:tcPr>
            <w:tcW w:w="787" w:type="dxa"/>
          </w:tcPr>
          <w:p w14:paraId="130A2D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1х45-мм</w:t>
            </w:r>
          </w:p>
        </w:tc>
        <w:tc>
          <w:tcPr>
            <w:tcW w:w="797" w:type="dxa"/>
          </w:tcPr>
          <w:p w14:paraId="0893126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1х45-мм</w:t>
            </w:r>
          </w:p>
        </w:tc>
      </w:tr>
      <w:tr w:rsidR="007D5DF8" w:rsidRPr="00DB5D0D" w14:paraId="1CBFA7D0" w14:textId="77777777" w:rsidTr="009223E5">
        <w:trPr>
          <w:trHeight w:val="163"/>
        </w:trPr>
        <w:tc>
          <w:tcPr>
            <w:tcW w:w="1411" w:type="dxa"/>
          </w:tcPr>
          <w:p w14:paraId="6EDACAB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орудия</w:t>
            </w:r>
          </w:p>
        </w:tc>
        <w:tc>
          <w:tcPr>
            <w:tcW w:w="826" w:type="dxa"/>
          </w:tcPr>
          <w:p w14:paraId="5A9F8F5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20К</w:t>
            </w:r>
          </w:p>
        </w:tc>
        <w:tc>
          <w:tcPr>
            <w:tcW w:w="883" w:type="dxa"/>
          </w:tcPr>
          <w:p w14:paraId="364BEEA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20К</w:t>
            </w:r>
          </w:p>
        </w:tc>
        <w:tc>
          <w:tcPr>
            <w:tcW w:w="758" w:type="dxa"/>
          </w:tcPr>
          <w:p w14:paraId="1A10416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20К</w:t>
            </w:r>
          </w:p>
        </w:tc>
        <w:tc>
          <w:tcPr>
            <w:tcW w:w="787" w:type="dxa"/>
          </w:tcPr>
          <w:p w14:paraId="7CAA15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20К</w:t>
            </w:r>
          </w:p>
        </w:tc>
        <w:tc>
          <w:tcPr>
            <w:tcW w:w="797" w:type="dxa"/>
          </w:tcPr>
          <w:p w14:paraId="240632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20К</w:t>
            </w:r>
          </w:p>
        </w:tc>
      </w:tr>
      <w:tr w:rsidR="007D5DF8" w:rsidRPr="00DB5D0D" w14:paraId="7BAB093E" w14:textId="77777777" w:rsidTr="009223E5">
        <w:trPr>
          <w:trHeight w:val="173"/>
        </w:trPr>
        <w:tc>
          <w:tcPr>
            <w:tcW w:w="1411" w:type="dxa"/>
          </w:tcPr>
          <w:p w14:paraId="7F95AAA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Снарядов, шт.</w:t>
            </w:r>
          </w:p>
        </w:tc>
        <w:tc>
          <w:tcPr>
            <w:tcW w:w="826" w:type="dxa"/>
          </w:tcPr>
          <w:p w14:paraId="2BBFDB0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186</w:t>
            </w:r>
          </w:p>
        </w:tc>
        <w:tc>
          <w:tcPr>
            <w:tcW w:w="883" w:type="dxa"/>
          </w:tcPr>
          <w:p w14:paraId="7A433F3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w:t>
            </w:r>
          </w:p>
        </w:tc>
        <w:tc>
          <w:tcPr>
            <w:tcW w:w="758" w:type="dxa"/>
          </w:tcPr>
          <w:p w14:paraId="00DDE5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87" w:type="dxa"/>
          </w:tcPr>
          <w:p w14:paraId="5BC866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97" w:type="dxa"/>
          </w:tcPr>
          <w:p w14:paraId="320818C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r>
      <w:tr w:rsidR="007D5DF8" w:rsidRPr="00DB5D0D" w14:paraId="0BA6A0C0" w14:textId="77777777" w:rsidTr="009223E5">
        <w:trPr>
          <w:trHeight w:val="173"/>
        </w:trPr>
        <w:tc>
          <w:tcPr>
            <w:tcW w:w="1411" w:type="dxa"/>
          </w:tcPr>
          <w:p w14:paraId="6B8E7A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Пулеметов, шт. х кал.</w:t>
            </w:r>
          </w:p>
        </w:tc>
        <w:tc>
          <w:tcPr>
            <w:tcW w:w="826" w:type="dxa"/>
          </w:tcPr>
          <w:p w14:paraId="540D88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1х7,62-мм</w:t>
            </w:r>
          </w:p>
        </w:tc>
        <w:tc>
          <w:tcPr>
            <w:tcW w:w="883" w:type="dxa"/>
          </w:tcPr>
          <w:p w14:paraId="26319A4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1х7,62-мм</w:t>
            </w:r>
          </w:p>
        </w:tc>
        <w:tc>
          <w:tcPr>
            <w:tcW w:w="758" w:type="dxa"/>
          </w:tcPr>
          <w:p w14:paraId="57F78B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2x7,62- мм</w:t>
            </w:r>
          </w:p>
        </w:tc>
        <w:tc>
          <w:tcPr>
            <w:tcW w:w="787" w:type="dxa"/>
          </w:tcPr>
          <w:p w14:paraId="4EB4551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2х7,62-мм</w:t>
            </w:r>
          </w:p>
        </w:tc>
        <w:tc>
          <w:tcPr>
            <w:tcW w:w="797" w:type="dxa"/>
          </w:tcPr>
          <w:p w14:paraId="77301BC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2х7,62-мм</w:t>
            </w:r>
          </w:p>
        </w:tc>
      </w:tr>
      <w:tr w:rsidR="007D5DF8" w:rsidRPr="00DB5D0D" w14:paraId="5D699CBF" w14:textId="77777777" w:rsidTr="009223E5">
        <w:trPr>
          <w:trHeight w:val="163"/>
        </w:trPr>
        <w:tc>
          <w:tcPr>
            <w:tcW w:w="1411" w:type="dxa"/>
          </w:tcPr>
          <w:p w14:paraId="1271982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пулемета</w:t>
            </w:r>
          </w:p>
        </w:tc>
        <w:tc>
          <w:tcPr>
            <w:tcW w:w="826" w:type="dxa"/>
          </w:tcPr>
          <w:p w14:paraId="2AE7D98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ДТ</w:t>
            </w:r>
          </w:p>
        </w:tc>
        <w:tc>
          <w:tcPr>
            <w:tcW w:w="883" w:type="dxa"/>
          </w:tcPr>
          <w:p w14:paraId="1B91E2F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ДТ</w:t>
            </w:r>
          </w:p>
        </w:tc>
        <w:tc>
          <w:tcPr>
            <w:tcW w:w="758" w:type="dxa"/>
          </w:tcPr>
          <w:p w14:paraId="46BC26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ДС,ДТ</w:t>
            </w:r>
          </w:p>
        </w:tc>
        <w:tc>
          <w:tcPr>
            <w:tcW w:w="787" w:type="dxa"/>
          </w:tcPr>
          <w:p w14:paraId="3B2CF5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ДС, ДТ</w:t>
            </w:r>
          </w:p>
        </w:tc>
        <w:tc>
          <w:tcPr>
            <w:tcW w:w="797" w:type="dxa"/>
          </w:tcPr>
          <w:p w14:paraId="46E1BF0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ДС,ДТ</w:t>
            </w:r>
          </w:p>
        </w:tc>
      </w:tr>
      <w:tr w:rsidR="007D5DF8" w:rsidRPr="00DB5D0D" w14:paraId="2639219E" w14:textId="77777777" w:rsidTr="009223E5">
        <w:trPr>
          <w:trHeight w:val="202"/>
        </w:trPr>
        <w:tc>
          <w:tcPr>
            <w:tcW w:w="1411" w:type="dxa"/>
          </w:tcPr>
          <w:p w14:paraId="37AF30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Патронов, шт.</w:t>
            </w:r>
          </w:p>
        </w:tc>
        <w:tc>
          <w:tcPr>
            <w:tcW w:w="826" w:type="dxa"/>
          </w:tcPr>
          <w:p w14:paraId="56DA80B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3528</w:t>
            </w:r>
          </w:p>
        </w:tc>
        <w:tc>
          <w:tcPr>
            <w:tcW w:w="883" w:type="dxa"/>
          </w:tcPr>
          <w:p w14:paraId="1789675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3780</w:t>
            </w:r>
          </w:p>
        </w:tc>
        <w:tc>
          <w:tcPr>
            <w:tcW w:w="758" w:type="dxa"/>
          </w:tcPr>
          <w:p w14:paraId="0D4E538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87" w:type="dxa"/>
          </w:tcPr>
          <w:p w14:paraId="10E7B44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97" w:type="dxa"/>
          </w:tcPr>
          <w:p w14:paraId="23FC6E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4250</w:t>
            </w:r>
          </w:p>
        </w:tc>
      </w:tr>
      <w:tr w:rsidR="007D5DF8" w:rsidRPr="00DB5D0D" w14:paraId="2F1C122F" w14:textId="77777777" w:rsidTr="009223E5">
        <w:trPr>
          <w:trHeight w:val="202"/>
        </w:trPr>
        <w:tc>
          <w:tcPr>
            <w:tcW w:w="5462" w:type="dxa"/>
            <w:gridSpan w:val="6"/>
          </w:tcPr>
          <w:p w14:paraId="78CB6CD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Толщина брони, мм</w:t>
            </w:r>
          </w:p>
        </w:tc>
      </w:tr>
      <w:tr w:rsidR="007D5DF8" w:rsidRPr="00DB5D0D" w14:paraId="3EC2D62D" w14:textId="77777777" w:rsidTr="009223E5">
        <w:trPr>
          <w:trHeight w:val="221"/>
        </w:trPr>
        <w:tc>
          <w:tcPr>
            <w:tcW w:w="1411" w:type="dxa"/>
          </w:tcPr>
          <w:p w14:paraId="62F25C0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Верт. корпуса</w:t>
            </w:r>
          </w:p>
        </w:tc>
        <w:tc>
          <w:tcPr>
            <w:tcW w:w="826" w:type="dxa"/>
          </w:tcPr>
          <w:p w14:paraId="06C1794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883" w:type="dxa"/>
          </w:tcPr>
          <w:p w14:paraId="4756282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8" w:type="dxa"/>
          </w:tcPr>
          <w:p w14:paraId="4F4F431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40-20</w:t>
            </w:r>
          </w:p>
        </w:tc>
        <w:tc>
          <w:tcPr>
            <w:tcW w:w="787" w:type="dxa"/>
          </w:tcPr>
          <w:p w14:paraId="2ECD00C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40-20</w:t>
            </w:r>
          </w:p>
        </w:tc>
        <w:tc>
          <w:tcPr>
            <w:tcW w:w="797" w:type="dxa"/>
          </w:tcPr>
          <w:p w14:paraId="09A29F3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45-40-30</w:t>
            </w:r>
          </w:p>
        </w:tc>
      </w:tr>
      <w:tr w:rsidR="007D5DF8" w:rsidRPr="00DB5D0D" w14:paraId="7EA70D66" w14:textId="77777777" w:rsidTr="009223E5">
        <w:trPr>
          <w:trHeight w:val="173"/>
        </w:trPr>
        <w:tc>
          <w:tcPr>
            <w:tcW w:w="1411" w:type="dxa"/>
          </w:tcPr>
          <w:p w14:paraId="539F43F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 корпуса</w:t>
            </w:r>
          </w:p>
        </w:tc>
        <w:tc>
          <w:tcPr>
            <w:tcW w:w="826" w:type="dxa"/>
          </w:tcPr>
          <w:p w14:paraId="1FFFC08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w:t>
            </w:r>
          </w:p>
        </w:tc>
        <w:tc>
          <w:tcPr>
            <w:tcW w:w="883" w:type="dxa"/>
          </w:tcPr>
          <w:p w14:paraId="318A252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20-15-10</w:t>
            </w:r>
          </w:p>
        </w:tc>
        <w:tc>
          <w:tcPr>
            <w:tcW w:w="758" w:type="dxa"/>
          </w:tcPr>
          <w:p w14:paraId="1BBF49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87" w:type="dxa"/>
          </w:tcPr>
          <w:p w14:paraId="146A8D3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97" w:type="dxa"/>
          </w:tcPr>
          <w:p w14:paraId="56B87D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226273B8" w14:textId="77777777" w:rsidTr="009223E5">
        <w:trPr>
          <w:trHeight w:val="182"/>
        </w:trPr>
        <w:tc>
          <w:tcPr>
            <w:tcW w:w="1411" w:type="dxa"/>
          </w:tcPr>
          <w:p w14:paraId="69B9EB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Башня</w:t>
            </w:r>
          </w:p>
        </w:tc>
        <w:tc>
          <w:tcPr>
            <w:tcW w:w="826" w:type="dxa"/>
          </w:tcPr>
          <w:p w14:paraId="1C7A57D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883" w:type="dxa"/>
          </w:tcPr>
          <w:p w14:paraId="1C87B2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8" w:type="dxa"/>
          </w:tcPr>
          <w:p w14:paraId="1CD621E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87" w:type="dxa"/>
          </w:tcPr>
          <w:p w14:paraId="5DE038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97" w:type="dxa"/>
          </w:tcPr>
          <w:p w14:paraId="7DE0567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r>
      <w:tr w:rsidR="007D5DF8" w:rsidRPr="00DB5D0D" w14:paraId="6F714787" w14:textId="77777777" w:rsidTr="009223E5">
        <w:trPr>
          <w:trHeight w:val="230"/>
        </w:trPr>
        <w:tc>
          <w:tcPr>
            <w:tcW w:w="5462" w:type="dxa"/>
            <w:gridSpan w:val="6"/>
          </w:tcPr>
          <w:p w14:paraId="35FE14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Двигатель</w:t>
            </w:r>
          </w:p>
        </w:tc>
      </w:tr>
      <w:tr w:rsidR="007D5DF8" w:rsidRPr="00DB5D0D" w14:paraId="1A406727" w14:textId="77777777" w:rsidTr="009223E5">
        <w:trPr>
          <w:trHeight w:val="202"/>
        </w:trPr>
        <w:tc>
          <w:tcPr>
            <w:tcW w:w="1411" w:type="dxa"/>
          </w:tcPr>
          <w:p w14:paraId="67D1E9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w:t>
            </w:r>
          </w:p>
        </w:tc>
        <w:tc>
          <w:tcPr>
            <w:tcW w:w="826" w:type="dxa"/>
          </w:tcPr>
          <w:p w14:paraId="7AF0E28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4т/4ц/д/в</w:t>
            </w:r>
          </w:p>
        </w:tc>
        <w:tc>
          <w:tcPr>
            <w:tcW w:w="883" w:type="dxa"/>
          </w:tcPr>
          <w:p w14:paraId="06302D6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4т/4ц/д/ж</w:t>
            </w:r>
          </w:p>
        </w:tc>
        <w:tc>
          <w:tcPr>
            <w:tcW w:w="758" w:type="dxa"/>
          </w:tcPr>
          <w:p w14:paraId="014B0E7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4т/6ц/д/ж</w:t>
            </w:r>
          </w:p>
        </w:tc>
        <w:tc>
          <w:tcPr>
            <w:tcW w:w="787" w:type="dxa"/>
          </w:tcPr>
          <w:p w14:paraId="377654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4т/4ц/д/в</w:t>
            </w:r>
          </w:p>
        </w:tc>
        <w:tc>
          <w:tcPr>
            <w:tcW w:w="797" w:type="dxa"/>
          </w:tcPr>
          <w:p w14:paraId="51A3F6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4т/6ц/д/ж</w:t>
            </w:r>
          </w:p>
        </w:tc>
      </w:tr>
      <w:tr w:rsidR="007D5DF8" w:rsidRPr="00DB5D0D" w14:paraId="3B74E403" w14:textId="77777777" w:rsidTr="009223E5">
        <w:trPr>
          <w:trHeight w:val="173"/>
        </w:trPr>
        <w:tc>
          <w:tcPr>
            <w:tcW w:w="1411" w:type="dxa"/>
          </w:tcPr>
          <w:p w14:paraId="33C1F1A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Марка</w:t>
            </w:r>
          </w:p>
        </w:tc>
        <w:tc>
          <w:tcPr>
            <w:tcW w:w="826" w:type="dxa"/>
          </w:tcPr>
          <w:p w14:paraId="325F524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Д-744</w:t>
            </w:r>
          </w:p>
        </w:tc>
        <w:tc>
          <w:tcPr>
            <w:tcW w:w="883" w:type="dxa"/>
          </w:tcPr>
          <w:p w14:paraId="0DE44EC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В-3</w:t>
            </w:r>
          </w:p>
        </w:tc>
        <w:tc>
          <w:tcPr>
            <w:tcW w:w="758" w:type="dxa"/>
          </w:tcPr>
          <w:p w14:paraId="0AADF7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В-3</w:t>
            </w:r>
          </w:p>
        </w:tc>
        <w:tc>
          <w:tcPr>
            <w:tcW w:w="787" w:type="dxa"/>
          </w:tcPr>
          <w:p w14:paraId="4EF2B0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Д-744</w:t>
            </w:r>
          </w:p>
        </w:tc>
        <w:tc>
          <w:tcPr>
            <w:tcW w:w="797" w:type="dxa"/>
          </w:tcPr>
          <w:p w14:paraId="4F70F50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В-3</w:t>
            </w:r>
          </w:p>
        </w:tc>
      </w:tr>
      <w:tr w:rsidR="007D5DF8" w:rsidRPr="00DB5D0D" w14:paraId="0279511D" w14:textId="77777777" w:rsidTr="009223E5">
        <w:trPr>
          <w:trHeight w:val="163"/>
        </w:trPr>
        <w:tc>
          <w:tcPr>
            <w:tcW w:w="1411" w:type="dxa"/>
          </w:tcPr>
          <w:p w14:paraId="0E5C121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макс., л.с.</w:t>
            </w:r>
          </w:p>
        </w:tc>
        <w:tc>
          <w:tcPr>
            <w:tcW w:w="826" w:type="dxa"/>
          </w:tcPr>
          <w:p w14:paraId="7D2EF5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c>
          <w:tcPr>
            <w:tcW w:w="883" w:type="dxa"/>
          </w:tcPr>
          <w:p w14:paraId="0D96376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758" w:type="dxa"/>
          </w:tcPr>
          <w:p w14:paraId="56D7C8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787" w:type="dxa"/>
          </w:tcPr>
          <w:p w14:paraId="2F273FD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w:t>
            </w:r>
          </w:p>
        </w:tc>
        <w:tc>
          <w:tcPr>
            <w:tcW w:w="797" w:type="dxa"/>
          </w:tcPr>
          <w:p w14:paraId="0FC7E3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r>
      <w:tr w:rsidR="007D5DF8" w:rsidRPr="00DB5D0D" w14:paraId="6F041784" w14:textId="77777777" w:rsidTr="009223E5">
        <w:trPr>
          <w:trHeight w:val="173"/>
        </w:trPr>
        <w:tc>
          <w:tcPr>
            <w:tcW w:w="1411" w:type="dxa"/>
          </w:tcPr>
          <w:p w14:paraId="03296B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частоте об/мин</w:t>
            </w:r>
          </w:p>
        </w:tc>
        <w:tc>
          <w:tcPr>
            <w:tcW w:w="826" w:type="dxa"/>
          </w:tcPr>
          <w:p w14:paraId="670ED1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1800</w:t>
            </w:r>
          </w:p>
        </w:tc>
        <w:tc>
          <w:tcPr>
            <w:tcW w:w="883" w:type="dxa"/>
          </w:tcPr>
          <w:p w14:paraId="3E7669E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1800</w:t>
            </w:r>
          </w:p>
        </w:tc>
        <w:tc>
          <w:tcPr>
            <w:tcW w:w="758" w:type="dxa"/>
          </w:tcPr>
          <w:p w14:paraId="5FC9D6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1950</w:t>
            </w:r>
          </w:p>
        </w:tc>
        <w:tc>
          <w:tcPr>
            <w:tcW w:w="787" w:type="dxa"/>
          </w:tcPr>
          <w:p w14:paraId="5D34EC9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797" w:type="dxa"/>
          </w:tcPr>
          <w:p w14:paraId="52645B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1950</w:t>
            </w:r>
          </w:p>
        </w:tc>
      </w:tr>
      <w:tr w:rsidR="007D5DF8" w:rsidRPr="00DB5D0D" w14:paraId="7828B60A" w14:textId="77777777" w:rsidTr="009223E5">
        <w:trPr>
          <w:trHeight w:val="173"/>
        </w:trPr>
        <w:tc>
          <w:tcPr>
            <w:tcW w:w="1411" w:type="dxa"/>
          </w:tcPr>
          <w:p w14:paraId="0B07213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Передач КПП</w:t>
            </w:r>
          </w:p>
        </w:tc>
        <w:tc>
          <w:tcPr>
            <w:tcW w:w="826" w:type="dxa"/>
          </w:tcPr>
          <w:p w14:paraId="2B91CA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w:t>
            </w:r>
          </w:p>
        </w:tc>
        <w:tc>
          <w:tcPr>
            <w:tcW w:w="883" w:type="dxa"/>
          </w:tcPr>
          <w:p w14:paraId="1317CD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w:t>
            </w:r>
          </w:p>
        </w:tc>
        <w:tc>
          <w:tcPr>
            <w:tcW w:w="758" w:type="dxa"/>
          </w:tcPr>
          <w:p w14:paraId="1346700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w:t>
            </w:r>
          </w:p>
        </w:tc>
        <w:tc>
          <w:tcPr>
            <w:tcW w:w="787" w:type="dxa"/>
          </w:tcPr>
          <w:p w14:paraId="10438A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w:t>
            </w:r>
          </w:p>
        </w:tc>
        <w:tc>
          <w:tcPr>
            <w:tcW w:w="797" w:type="dxa"/>
          </w:tcPr>
          <w:p w14:paraId="0A36EC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w:t>
            </w:r>
          </w:p>
        </w:tc>
      </w:tr>
      <w:tr w:rsidR="007D5DF8" w:rsidRPr="00DB5D0D" w14:paraId="47B488B2" w14:textId="77777777" w:rsidTr="009223E5">
        <w:trPr>
          <w:trHeight w:val="173"/>
        </w:trPr>
        <w:tc>
          <w:tcPr>
            <w:tcW w:w="1411" w:type="dxa"/>
          </w:tcPr>
          <w:p w14:paraId="4CDC97D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 км/ч</w:t>
            </w:r>
          </w:p>
        </w:tc>
        <w:tc>
          <w:tcPr>
            <w:tcW w:w="826" w:type="dxa"/>
          </w:tcPr>
          <w:p w14:paraId="45B9F6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883" w:type="dxa"/>
          </w:tcPr>
          <w:p w14:paraId="0A3F40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8" w:type="dxa"/>
          </w:tcPr>
          <w:p w14:paraId="379ADA7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w:t>
            </w:r>
          </w:p>
        </w:tc>
        <w:tc>
          <w:tcPr>
            <w:tcW w:w="787" w:type="dxa"/>
          </w:tcPr>
          <w:p w14:paraId="4ABB471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w:t>
            </w:r>
          </w:p>
        </w:tc>
        <w:tc>
          <w:tcPr>
            <w:tcW w:w="797" w:type="dxa"/>
          </w:tcPr>
          <w:p w14:paraId="0DA32A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r>
      <w:tr w:rsidR="007D5DF8" w:rsidRPr="00DB5D0D" w14:paraId="4FA3D635" w14:textId="77777777" w:rsidTr="009223E5">
        <w:trPr>
          <w:trHeight w:val="154"/>
        </w:trPr>
        <w:tc>
          <w:tcPr>
            <w:tcW w:w="1411" w:type="dxa"/>
          </w:tcPr>
          <w:p w14:paraId="73ECE04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топлива</w:t>
            </w:r>
          </w:p>
        </w:tc>
        <w:tc>
          <w:tcPr>
            <w:tcW w:w="826" w:type="dxa"/>
          </w:tcPr>
          <w:p w14:paraId="6164751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Дизтопливо</w:t>
            </w:r>
          </w:p>
        </w:tc>
        <w:tc>
          <w:tcPr>
            <w:tcW w:w="883" w:type="dxa"/>
          </w:tcPr>
          <w:p w14:paraId="65ED75E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Дизтопливо</w:t>
            </w:r>
          </w:p>
        </w:tc>
        <w:tc>
          <w:tcPr>
            <w:tcW w:w="1545" w:type="dxa"/>
            <w:gridSpan w:val="2"/>
          </w:tcPr>
          <w:p w14:paraId="61D2259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ДизтопливоДизтопливо</w:t>
            </w:r>
          </w:p>
        </w:tc>
        <w:tc>
          <w:tcPr>
            <w:tcW w:w="797" w:type="dxa"/>
          </w:tcPr>
          <w:p w14:paraId="55F914E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Дизтопливо</w:t>
            </w:r>
          </w:p>
        </w:tc>
      </w:tr>
      <w:tr w:rsidR="007D5DF8" w:rsidRPr="00DB5D0D" w14:paraId="5CECE42D" w14:textId="77777777" w:rsidTr="009223E5">
        <w:trPr>
          <w:trHeight w:val="202"/>
        </w:trPr>
        <w:tc>
          <w:tcPr>
            <w:tcW w:w="1411" w:type="dxa"/>
          </w:tcPr>
          <w:p w14:paraId="5B5D857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Емк. бака, л</w:t>
            </w:r>
          </w:p>
        </w:tc>
        <w:tc>
          <w:tcPr>
            <w:tcW w:w="826" w:type="dxa"/>
          </w:tcPr>
          <w:p w14:paraId="2DD7359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w:t>
            </w:r>
          </w:p>
        </w:tc>
        <w:tc>
          <w:tcPr>
            <w:tcW w:w="883" w:type="dxa"/>
          </w:tcPr>
          <w:p w14:paraId="34300D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8" w:type="dxa"/>
          </w:tcPr>
          <w:p w14:paraId="32949F5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787" w:type="dxa"/>
          </w:tcPr>
          <w:p w14:paraId="0AB1819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w:t>
            </w:r>
          </w:p>
        </w:tc>
        <w:tc>
          <w:tcPr>
            <w:tcW w:w="797" w:type="dxa"/>
          </w:tcPr>
          <w:p w14:paraId="56C4F4B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r>
      <w:tr w:rsidR="007D5DF8" w:rsidRPr="00DB5D0D" w14:paraId="4F772639" w14:textId="77777777" w:rsidTr="009223E5">
        <w:trPr>
          <w:trHeight w:val="221"/>
        </w:trPr>
        <w:tc>
          <w:tcPr>
            <w:tcW w:w="5462" w:type="dxa"/>
            <w:gridSpan w:val="6"/>
          </w:tcPr>
          <w:p w14:paraId="06FA68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хода, км</w:t>
            </w:r>
          </w:p>
        </w:tc>
      </w:tr>
      <w:tr w:rsidR="007D5DF8" w:rsidRPr="00DB5D0D" w14:paraId="4D8BEFBB" w14:textId="77777777" w:rsidTr="009223E5">
        <w:trPr>
          <w:trHeight w:val="221"/>
        </w:trPr>
        <w:tc>
          <w:tcPr>
            <w:tcW w:w="1411" w:type="dxa"/>
          </w:tcPr>
          <w:p w14:paraId="29022E9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шоссе</w:t>
            </w:r>
          </w:p>
        </w:tc>
        <w:tc>
          <w:tcPr>
            <w:tcW w:w="826" w:type="dxa"/>
          </w:tcPr>
          <w:p w14:paraId="53C19D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883" w:type="dxa"/>
          </w:tcPr>
          <w:p w14:paraId="45BFAC9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w:t>
            </w:r>
          </w:p>
        </w:tc>
        <w:tc>
          <w:tcPr>
            <w:tcW w:w="758" w:type="dxa"/>
          </w:tcPr>
          <w:p w14:paraId="654CFD9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787" w:type="dxa"/>
          </w:tcPr>
          <w:p w14:paraId="55A9507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w:t>
            </w:r>
          </w:p>
        </w:tc>
        <w:tc>
          <w:tcPr>
            <w:tcW w:w="797" w:type="dxa"/>
          </w:tcPr>
          <w:p w14:paraId="5B7FB69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r>
      <w:tr w:rsidR="007D5DF8" w:rsidRPr="00DB5D0D" w14:paraId="45836C69" w14:textId="77777777" w:rsidTr="009223E5">
        <w:trPr>
          <w:trHeight w:val="202"/>
        </w:trPr>
        <w:tc>
          <w:tcPr>
            <w:tcW w:w="1411" w:type="dxa"/>
          </w:tcPr>
          <w:p w14:paraId="0C78B9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проселок</w:t>
            </w:r>
          </w:p>
        </w:tc>
        <w:tc>
          <w:tcPr>
            <w:tcW w:w="826" w:type="dxa"/>
          </w:tcPr>
          <w:p w14:paraId="0E831B3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tc>
        <w:tc>
          <w:tcPr>
            <w:tcW w:w="883" w:type="dxa"/>
          </w:tcPr>
          <w:p w14:paraId="56B6CD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w:t>
            </w:r>
          </w:p>
        </w:tc>
        <w:tc>
          <w:tcPr>
            <w:tcW w:w="758" w:type="dxa"/>
          </w:tcPr>
          <w:p w14:paraId="3E037C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показано</w:t>
            </w:r>
          </w:p>
        </w:tc>
        <w:tc>
          <w:tcPr>
            <w:tcW w:w="787" w:type="dxa"/>
          </w:tcPr>
          <w:p w14:paraId="26DCAFC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c>
          <w:tcPr>
            <w:tcW w:w="797" w:type="dxa"/>
          </w:tcPr>
          <w:p w14:paraId="7B4FF55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tc>
      </w:tr>
      <w:tr w:rsidR="007D5DF8" w:rsidRPr="00DB5D0D" w14:paraId="60794F69" w14:textId="77777777" w:rsidTr="009223E5">
        <w:trPr>
          <w:trHeight w:val="144"/>
        </w:trPr>
        <w:tc>
          <w:tcPr>
            <w:tcW w:w="5462" w:type="dxa"/>
            <w:gridSpan w:val="6"/>
          </w:tcPr>
          <w:p w14:paraId="5DE2CA5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Поеололеваемые поепятствия</w:t>
            </w:r>
          </w:p>
        </w:tc>
      </w:tr>
      <w:tr w:rsidR="007D5DF8" w:rsidRPr="00DB5D0D" w14:paraId="2DC234CF" w14:textId="77777777" w:rsidTr="009223E5">
        <w:trPr>
          <w:trHeight w:val="259"/>
        </w:trPr>
        <w:tc>
          <w:tcPr>
            <w:tcW w:w="1411" w:type="dxa"/>
          </w:tcPr>
          <w:p w14:paraId="28E846E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 давление, кгс/см</w:t>
            </w:r>
            <w:r w:rsidRPr="00DB5D0D">
              <w:rPr>
                <w:rFonts w:ascii="Times New Roman" w:hAnsi="Times New Roman"/>
                <w:color w:val="000000" w:themeColor="text1"/>
                <w:sz w:val="16"/>
                <w:szCs w:val="16"/>
                <w:vertAlign w:val="superscript"/>
              </w:rPr>
              <w:t>2</w:t>
            </w:r>
          </w:p>
        </w:tc>
        <w:tc>
          <w:tcPr>
            <w:tcW w:w="826" w:type="dxa"/>
          </w:tcPr>
          <w:p w14:paraId="71F440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0,69</w:t>
            </w:r>
          </w:p>
        </w:tc>
        <w:tc>
          <w:tcPr>
            <w:tcW w:w="883" w:type="dxa"/>
          </w:tcPr>
          <w:p w14:paraId="426851C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0,66</w:t>
            </w:r>
          </w:p>
        </w:tc>
        <w:tc>
          <w:tcPr>
            <w:tcW w:w="758" w:type="dxa"/>
          </w:tcPr>
          <w:p w14:paraId="3716C2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0,68</w:t>
            </w:r>
          </w:p>
        </w:tc>
        <w:tc>
          <w:tcPr>
            <w:tcW w:w="787" w:type="dxa"/>
          </w:tcPr>
          <w:p w14:paraId="7F4099F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0,56</w:t>
            </w:r>
          </w:p>
        </w:tc>
        <w:tc>
          <w:tcPr>
            <w:tcW w:w="797" w:type="dxa"/>
          </w:tcPr>
          <w:p w14:paraId="6C5FAE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w:t>
            </w:r>
          </w:p>
        </w:tc>
      </w:tr>
      <w:tr w:rsidR="007D5DF8" w:rsidRPr="00DB5D0D" w14:paraId="6B6524C6" w14:textId="77777777" w:rsidTr="009223E5">
        <w:trPr>
          <w:trHeight w:val="173"/>
        </w:trPr>
        <w:tc>
          <w:tcPr>
            <w:tcW w:w="1411" w:type="dxa"/>
          </w:tcPr>
          <w:p w14:paraId="0E70BB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Подъем, град.</w:t>
            </w:r>
          </w:p>
        </w:tc>
        <w:tc>
          <w:tcPr>
            <w:tcW w:w="826" w:type="dxa"/>
          </w:tcPr>
          <w:p w14:paraId="15D7B53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883" w:type="dxa"/>
          </w:tcPr>
          <w:p w14:paraId="0F50B4A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758" w:type="dxa"/>
          </w:tcPr>
          <w:p w14:paraId="262F86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787" w:type="dxa"/>
          </w:tcPr>
          <w:p w14:paraId="08486EF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797" w:type="dxa"/>
          </w:tcPr>
          <w:p w14:paraId="5DD5BA9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r>
      <w:tr w:rsidR="007D5DF8" w:rsidRPr="00DB5D0D" w14:paraId="66F31891" w14:textId="77777777" w:rsidTr="009223E5">
        <w:trPr>
          <w:trHeight w:val="173"/>
        </w:trPr>
        <w:tc>
          <w:tcPr>
            <w:tcW w:w="1411" w:type="dxa"/>
          </w:tcPr>
          <w:p w14:paraId="2240B6E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Спуск, град.</w:t>
            </w:r>
          </w:p>
        </w:tc>
        <w:tc>
          <w:tcPr>
            <w:tcW w:w="826" w:type="dxa"/>
          </w:tcPr>
          <w:p w14:paraId="27B619E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883" w:type="dxa"/>
          </w:tcPr>
          <w:p w14:paraId="100DA10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758" w:type="dxa"/>
          </w:tcPr>
          <w:p w14:paraId="75E703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w:t>
            </w:r>
          </w:p>
        </w:tc>
        <w:tc>
          <w:tcPr>
            <w:tcW w:w="787" w:type="dxa"/>
          </w:tcPr>
          <w:p w14:paraId="3A775E1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797" w:type="dxa"/>
          </w:tcPr>
          <w:p w14:paraId="1060A6F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w:t>
            </w:r>
          </w:p>
        </w:tc>
      </w:tr>
      <w:tr w:rsidR="007D5DF8" w:rsidRPr="00DB5D0D" w14:paraId="1CF03A08" w14:textId="77777777" w:rsidTr="009223E5">
        <w:trPr>
          <w:trHeight w:val="163"/>
        </w:trPr>
        <w:tc>
          <w:tcPr>
            <w:tcW w:w="1411" w:type="dxa"/>
          </w:tcPr>
          <w:p w14:paraId="170258A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Крен, град.</w:t>
            </w:r>
          </w:p>
        </w:tc>
        <w:tc>
          <w:tcPr>
            <w:tcW w:w="826" w:type="dxa"/>
          </w:tcPr>
          <w:p w14:paraId="500FE0A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883" w:type="dxa"/>
          </w:tcPr>
          <w:p w14:paraId="0C2B16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8" w:type="dxa"/>
          </w:tcPr>
          <w:p w14:paraId="6C169B0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87" w:type="dxa"/>
          </w:tcPr>
          <w:p w14:paraId="3A462C3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97" w:type="dxa"/>
          </w:tcPr>
          <w:p w14:paraId="311C122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r>
      <w:tr w:rsidR="007D5DF8" w:rsidRPr="00DB5D0D" w14:paraId="7A6C0952" w14:textId="77777777" w:rsidTr="009223E5">
        <w:trPr>
          <w:trHeight w:val="154"/>
        </w:trPr>
        <w:tc>
          <w:tcPr>
            <w:tcW w:w="1411" w:type="dxa"/>
          </w:tcPr>
          <w:p w14:paraId="46EF07A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Ров, мм</w:t>
            </w:r>
          </w:p>
        </w:tc>
        <w:tc>
          <w:tcPr>
            <w:tcW w:w="826" w:type="dxa"/>
          </w:tcPr>
          <w:p w14:paraId="5B05FE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883" w:type="dxa"/>
          </w:tcPr>
          <w:p w14:paraId="10104D8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758" w:type="dxa"/>
          </w:tcPr>
          <w:p w14:paraId="5C7A8E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c>
          <w:tcPr>
            <w:tcW w:w="787" w:type="dxa"/>
          </w:tcPr>
          <w:p w14:paraId="64C823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2100</w:t>
            </w:r>
          </w:p>
        </w:tc>
        <w:tc>
          <w:tcPr>
            <w:tcW w:w="797" w:type="dxa"/>
          </w:tcPr>
          <w:p w14:paraId="6D1930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2100</w:t>
            </w:r>
          </w:p>
        </w:tc>
      </w:tr>
      <w:tr w:rsidR="007D5DF8" w:rsidRPr="00DB5D0D" w14:paraId="0A40A98A" w14:textId="77777777" w:rsidTr="009223E5">
        <w:trPr>
          <w:trHeight w:val="173"/>
        </w:trPr>
        <w:tc>
          <w:tcPr>
            <w:tcW w:w="1411" w:type="dxa"/>
          </w:tcPr>
          <w:p w14:paraId="1DAE97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Стенка, мм</w:t>
            </w:r>
          </w:p>
        </w:tc>
        <w:tc>
          <w:tcPr>
            <w:tcW w:w="826" w:type="dxa"/>
          </w:tcPr>
          <w:p w14:paraId="4E03A8C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w:t>
            </w:r>
          </w:p>
        </w:tc>
        <w:tc>
          <w:tcPr>
            <w:tcW w:w="883" w:type="dxa"/>
          </w:tcPr>
          <w:p w14:paraId="7D6E074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c>
          <w:tcPr>
            <w:tcW w:w="758" w:type="dxa"/>
          </w:tcPr>
          <w:p w14:paraId="0119D86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787" w:type="dxa"/>
          </w:tcPr>
          <w:p w14:paraId="578ED3E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797" w:type="dxa"/>
          </w:tcPr>
          <w:p w14:paraId="1D636C5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r>
      <w:tr w:rsidR="007D5DF8" w:rsidRPr="00DB5D0D" w14:paraId="57C0D909" w14:textId="77777777" w:rsidTr="009223E5">
        <w:trPr>
          <w:trHeight w:val="192"/>
        </w:trPr>
        <w:tc>
          <w:tcPr>
            <w:tcW w:w="1411" w:type="dxa"/>
            <w:tcBorders>
              <w:bottom w:val="single" w:sz="12" w:space="0" w:color="auto"/>
            </w:tcBorders>
          </w:tcPr>
          <w:p w14:paraId="6DB4DBB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Брод, мм</w:t>
            </w:r>
          </w:p>
        </w:tc>
        <w:tc>
          <w:tcPr>
            <w:tcW w:w="826" w:type="dxa"/>
            <w:tcBorders>
              <w:bottom w:val="single" w:sz="12" w:space="0" w:color="auto"/>
            </w:tcBorders>
          </w:tcPr>
          <w:p w14:paraId="4E5EBBE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883" w:type="dxa"/>
            <w:tcBorders>
              <w:bottom w:val="single" w:sz="12" w:space="0" w:color="auto"/>
            </w:tcBorders>
          </w:tcPr>
          <w:p w14:paraId="235A4E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58" w:type="dxa"/>
            <w:tcBorders>
              <w:bottom w:val="single" w:sz="12" w:space="0" w:color="auto"/>
            </w:tcBorders>
          </w:tcPr>
          <w:p w14:paraId="5A8355D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87" w:type="dxa"/>
            <w:tcBorders>
              <w:bottom w:val="single" w:sz="12" w:space="0" w:color="auto"/>
            </w:tcBorders>
          </w:tcPr>
          <w:p w14:paraId="7B8076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797" w:type="dxa"/>
            <w:tcBorders>
              <w:bottom w:val="single" w:sz="12" w:space="0" w:color="auto"/>
            </w:tcBorders>
          </w:tcPr>
          <w:p w14:paraId="0A40170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r>
    </w:tbl>
    <w:p w14:paraId="1C5318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 данным танкам приведены проектные данные (10782).</w:t>
      </w:r>
    </w:p>
    <w:p w14:paraId="3AE06F86"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232CEA"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одновременно с изготовлением установочной партии танков Т-34, на заводе № 183 шла интенсивная подготовка производственных мощностей к серийному выпуску этой новой боевой машины (18148).</w:t>
      </w:r>
    </w:p>
    <w:p w14:paraId="137EE08E" w14:textId="77777777" w:rsidR="005D3AF1" w:rsidRPr="00DB5D0D" w:rsidRDefault="005D3AF1" w:rsidP="00DB5D0D">
      <w:pPr>
        <w:spacing w:after="0" w:line="240" w:lineRule="auto"/>
        <w:jc w:val="both"/>
        <w:rPr>
          <w:rFonts w:ascii="Times New Roman" w:hAnsi="Times New Roman"/>
          <w:color w:val="000000" w:themeColor="text1"/>
          <w:sz w:val="16"/>
          <w:szCs w:val="16"/>
        </w:rPr>
      </w:pPr>
    </w:p>
    <w:p w14:paraId="05796F5F"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Сталинградский тракторный завод начал выпуск литых траков для танков Т-34, при этом траки изготавливались из стали Гадфильда – трак с гребнем по чертежу 34.44.004 и трак без гребня по чертежу 34.44.005. Однако из-за несовершенной конструкции и низкого качества эти траки не обеспечивали требуемого ГАБТУ КА гарантийного срока службы в 2000 км. Принимая во внимание то, что на момент начала освоения серийного производства танка Т-34 альтернативы литым тракам, изготавливаемых в Сталинграде, не было, а «тридцатьчетверки» требовалось выпускать срочно и в большом количестве, было принято решение – временно, до разработки новой конструкции гусеницы, устанавливать на танки Т-34 в 1940 г. сталинградские траки, изготовленные по чертежам 34.44.004 и 34.44.005. При этом для обеспечения гарантийного срока службы машины, завод № 183 и Сталинградский тракторный завод обязывались к каждому отправляемому в Красную Армию танку Т-34 дополнительно поставлять по одному комплекту гусениц. Естественно, что такое паллиативное решение не в полной мере устраивало ни ГАБТУ КА, ни Народный комиссариат среднего машиностроения (18533).</w:t>
      </w:r>
    </w:p>
    <w:p w14:paraId="1EB24370" w14:textId="77777777" w:rsidR="005D3AF1" w:rsidRPr="00DB5D0D" w:rsidRDefault="005D3AF1" w:rsidP="00DB5D0D">
      <w:pPr>
        <w:spacing w:after="0" w:line="240" w:lineRule="auto"/>
        <w:jc w:val="both"/>
        <w:rPr>
          <w:rFonts w:ascii="Times New Roman" w:hAnsi="Times New Roman"/>
          <w:color w:val="000000" w:themeColor="text1"/>
          <w:sz w:val="16"/>
          <w:szCs w:val="16"/>
        </w:rPr>
      </w:pPr>
    </w:p>
    <w:p w14:paraId="37D1F4CF"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руководство АУ РККА совместно с АБТУ РККА инициировало вопрос о вооружении танков Т-34 новой, более мощной, чем пушка Ф-32, 76,2-мм пушкой Ф-34, также разработанной под руководством В.Г. Грабина на заводе № 92. Для рассмотрения возможности установки пушки Ф-34 в башне танка Т-34 8 сентября 1940 г. на заводе № 183 состоялось техническое совещание, в работе которого приняли участие: от завода № 183 – главный инженер С.Н. Махонин, заместитель главного конструктора А.А. Морозов, старший инженер-конструктор А.А. Молоштанов; от ГАБТУ КА – военный представитель ГАБТУ КА на заводе № 183 военинженер 3 ранга П.П. Байков; от завода № 92 – старший инженер-конструктор П.Ф. Муравьев и техник-конструктор Б.Г. Ласман. Ознакомившись с представленной конструкторской документацией, участники технического совещания пришли к выводу, что установка пушки Ф-34 в танке Т-34 возможна при условии внесения следующих изменений в существующую конструкцию башни: </w:t>
      </w:r>
    </w:p>
    <w:p w14:paraId="0CA969DE"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Стопор баши на походе, находящийся в задней части башни, перенести в другое место, т.к. он мешает гильзоулавливателю. </w:t>
      </w:r>
    </w:p>
    <w:p w14:paraId="5A4F13C2"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Люк башни под смотровым прибором поднять на 26 мм и удлинить назад на 70 мм, задний лист крыши спереди укоротить на 70 мм, уплотнение люка переделать; при этом будет обеспечен 20 мм зазор между крышей и откатными частями при предельном откате, равном 425 мм. Замок люка перенести вправо. Люк для сигнализации перенести вправо на 15 мм. </w:t>
      </w:r>
    </w:p>
    <w:p w14:paraId="26B5D677"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Для обеспечения угла возвышения 30° верхнюю часть лобового листа башни, соприкасающуюся с бронировкой люльки подрезать на 40 мм. Изменить контур верхней части выреза. </w:t>
      </w:r>
    </w:p>
    <w:p w14:paraId="28F156AB"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Правую часть амбразуры в лобовом листе башни вырезать на 34 мм. Левую часть амбразуры в нижней части выровнять с верхней частью, вырезав на 39 мм».</w:t>
      </w:r>
    </w:p>
    <w:p w14:paraId="4D96A3E1"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31811. Оп. 2. Д. 1186. Л. 96 – 97]</w:t>
      </w:r>
    </w:p>
    <w:p w14:paraId="2719CCB3"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последнем пункте протокола технического совещания было отмечено: </w:t>
      </w:r>
    </w:p>
    <w:p w14:paraId="23CEC054"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Настоящий протокол подлежит утверждению командованием ГАУ и ГАБТУ и вступает в силу немедленно после его утверждения» (18206).</w:t>
      </w:r>
    </w:p>
    <w:p w14:paraId="4DB50D10" w14:textId="77777777" w:rsidR="005D3AF1" w:rsidRPr="00DB5D0D" w:rsidRDefault="005D3AF1" w:rsidP="00DB5D0D">
      <w:pPr>
        <w:spacing w:after="0" w:line="240" w:lineRule="auto"/>
        <w:jc w:val="both"/>
        <w:rPr>
          <w:rFonts w:ascii="Times New Roman" w:hAnsi="Times New Roman"/>
          <w:color w:val="000000" w:themeColor="text1"/>
          <w:sz w:val="16"/>
          <w:szCs w:val="16"/>
        </w:rPr>
      </w:pPr>
    </w:p>
    <w:p w14:paraId="35C301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в связи с недостаточным объемом выпуска орудий Л-11 и Ф-32, половина из выпускаемых Т-34 должна была временно вооружаться 45-мм танковым орудием обр. 1938 г. Установка 45-мм орудия была в целом подобна спа</w:t>
      </w:r>
      <w:r w:rsidRPr="00DB5D0D">
        <w:rPr>
          <w:rFonts w:ascii="Times New Roman" w:hAnsi="Times New Roman"/>
          <w:color w:val="000000" w:themeColor="text1"/>
          <w:sz w:val="16"/>
          <w:szCs w:val="16"/>
        </w:rPr>
        <w:softHyphen/>
        <w:t>ренной установке танка А-20, но без уравновешивающего механизма. Однако благодаря реорганизации артиллерий</w:t>
      </w:r>
      <w:r w:rsidRPr="00DB5D0D">
        <w:rPr>
          <w:rFonts w:ascii="Times New Roman" w:hAnsi="Times New Roman"/>
          <w:color w:val="000000" w:themeColor="text1"/>
          <w:sz w:val="16"/>
          <w:szCs w:val="16"/>
        </w:rPr>
        <w:softHyphen/>
        <w:t>ского производства ЛКЗ, проведенной в первой половине 1940 г., и форсированному производству орудий Л-11 необхо</w:t>
      </w:r>
      <w:r w:rsidRPr="00DB5D0D">
        <w:rPr>
          <w:rFonts w:ascii="Times New Roman" w:hAnsi="Times New Roman"/>
          <w:color w:val="000000" w:themeColor="text1"/>
          <w:sz w:val="16"/>
          <w:szCs w:val="16"/>
        </w:rPr>
        <w:softHyphen/>
        <w:t>димость в вооружении Т-34 45-мм пушкой отпала.</w:t>
      </w:r>
    </w:p>
    <w:p w14:paraId="1522E0D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(10782).</w:t>
      </w:r>
    </w:p>
    <w:p w14:paraId="7617B5D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6A92733" w14:textId="77777777" w:rsidR="00A25AD1" w:rsidRPr="00DB5D0D" w:rsidRDefault="00A25AD1" w:rsidP="00DB5D0D">
      <w:pPr>
        <w:pStyle w:val="a3"/>
        <w:rPr>
          <w:color w:val="000000" w:themeColor="text1"/>
          <w:lang w:val="ru-RU"/>
        </w:rPr>
      </w:pPr>
      <w:r w:rsidRPr="00DB5D0D">
        <w:rPr>
          <w:color w:val="000000" w:themeColor="text1"/>
          <w:lang w:val="ru-RU"/>
        </w:rPr>
        <w:t>Летом 1940 г. с обес</w:t>
      </w:r>
      <w:r w:rsidRPr="00DB5D0D">
        <w:rPr>
          <w:color w:val="000000" w:themeColor="text1"/>
          <w:lang w:val="ru-RU"/>
        </w:rPr>
        <w:softHyphen/>
        <w:t>печением выпуска танка Т-34 76-мм пушками сложилась следующая ситуация: Согласно распоряже</w:t>
      </w:r>
      <w:r w:rsidRPr="00DB5D0D">
        <w:rPr>
          <w:color w:val="000000" w:themeColor="text1"/>
          <w:lang w:val="ru-RU"/>
        </w:rPr>
        <w:softHyphen/>
        <w:t>нию АБТУ, до освоения массового выпуска пушек Ф-32 на Кировском заводе танки Т-34 должны были вооружаться системами Л-11. Одна</w:t>
      </w:r>
      <w:r w:rsidRPr="00DB5D0D">
        <w:rPr>
          <w:color w:val="000000" w:themeColor="text1"/>
          <w:lang w:val="ru-RU"/>
        </w:rPr>
        <w:softHyphen/>
        <w:t xml:space="preserve">ко весной 1940 г. руководством НКТМ на самом высоком уровне был </w:t>
      </w:r>
      <w:r w:rsidRPr="00DB5D0D">
        <w:rPr>
          <w:color w:val="000000" w:themeColor="text1"/>
          <w:lang w:val="ru-RU"/>
        </w:rPr>
        <w:lastRenderedPageBreak/>
        <w:t>поднят вопрос о пересмотре решения Комитета обороны о производ</w:t>
      </w:r>
      <w:r w:rsidRPr="00DB5D0D">
        <w:rPr>
          <w:color w:val="000000" w:themeColor="text1"/>
          <w:lang w:val="ru-RU"/>
        </w:rPr>
        <w:softHyphen/>
        <w:t>стве пушки Ф-32 на Ленинградском Кировском заводе.</w:t>
      </w:r>
    </w:p>
    <w:p w14:paraId="22517452" w14:textId="77777777" w:rsidR="00A25AD1" w:rsidRPr="00DB5D0D" w:rsidRDefault="00A25AD1" w:rsidP="00DB5D0D">
      <w:pPr>
        <w:pStyle w:val="a3"/>
        <w:rPr>
          <w:color w:val="000000" w:themeColor="text1"/>
          <w:lang w:val="ru-RU"/>
        </w:rPr>
      </w:pPr>
      <w:r w:rsidRPr="00DB5D0D">
        <w:rPr>
          <w:color w:val="000000" w:themeColor="text1"/>
          <w:lang w:val="ru-RU"/>
        </w:rPr>
        <w:t>Напомним вкратце историю этого вопроса. С 1938 г. активно велась разработка единой 76-мм танковой пушки для нужд броне</w:t>
      </w:r>
      <w:r w:rsidRPr="00DB5D0D">
        <w:rPr>
          <w:color w:val="000000" w:themeColor="text1"/>
          <w:lang w:val="ru-RU"/>
        </w:rPr>
        <w:softHyphen/>
        <w:t>танковых войск. К середине 1939 г. на роль такой системы претен</w:t>
      </w:r>
      <w:r w:rsidRPr="00DB5D0D">
        <w:rPr>
          <w:color w:val="000000" w:themeColor="text1"/>
          <w:lang w:val="ru-RU"/>
        </w:rPr>
        <w:softHyphen/>
        <w:t>довали две танковые пушки — система Л-11 (разработки Ленинг</w:t>
      </w:r>
      <w:r w:rsidRPr="00DB5D0D">
        <w:rPr>
          <w:color w:val="000000" w:themeColor="text1"/>
          <w:lang w:val="ru-RU"/>
        </w:rPr>
        <w:softHyphen/>
        <w:t>радского Кировского завода НКТМ) и система Ф-32 (разработки за</w:t>
      </w:r>
      <w:r w:rsidRPr="00DB5D0D">
        <w:rPr>
          <w:color w:val="000000" w:themeColor="text1"/>
          <w:lang w:val="ru-RU"/>
        </w:rPr>
        <w:softHyphen/>
        <w:t>вода №92 НКВ). Весной 1939 г. обе пушки прошли полигонные ис</w:t>
      </w:r>
      <w:r w:rsidRPr="00DB5D0D">
        <w:rPr>
          <w:color w:val="000000" w:themeColor="text1"/>
          <w:lang w:val="ru-RU"/>
        </w:rPr>
        <w:softHyphen/>
        <w:t>пытания, по результатам которых было установлено, что система Ф-32 в танке обладает значительными преимуществами перед сис</w:t>
      </w:r>
      <w:r w:rsidRPr="00DB5D0D">
        <w:rPr>
          <w:color w:val="000000" w:themeColor="text1"/>
          <w:lang w:val="ru-RU"/>
        </w:rPr>
        <w:softHyphen/>
        <w:t>темой Л-11 в смысле удобств обслуживания, надежности работы механизмов и эксплуатационных свойств. Основным недостатком си</w:t>
      </w:r>
      <w:r w:rsidRPr="00DB5D0D">
        <w:rPr>
          <w:color w:val="000000" w:themeColor="text1"/>
          <w:lang w:val="ru-RU"/>
        </w:rPr>
        <w:softHyphen/>
        <w:t>стемы Л-11 являлась ненадежная работа противооткатных устройств при стрельбе под углами снижения (подробнее об испытаниях Л-11 и Ф-32 см. «ТиВ» №9/2010 г.).</w:t>
      </w:r>
    </w:p>
    <w:p w14:paraId="29E82862" w14:textId="77777777" w:rsidR="00A25AD1" w:rsidRPr="00DB5D0D" w:rsidRDefault="00A25AD1" w:rsidP="00DB5D0D">
      <w:pPr>
        <w:pStyle w:val="a3"/>
        <w:rPr>
          <w:color w:val="000000" w:themeColor="text1"/>
          <w:lang w:val="ru-RU"/>
        </w:rPr>
      </w:pPr>
      <w:r w:rsidRPr="00DB5D0D">
        <w:rPr>
          <w:color w:val="000000" w:themeColor="text1"/>
          <w:lang w:val="ru-RU"/>
        </w:rPr>
        <w:t>В сентябре 1939 г. танковая пушка Ф-32 успешно прошла вой</w:t>
      </w:r>
      <w:r w:rsidRPr="00DB5D0D">
        <w:rPr>
          <w:color w:val="000000" w:themeColor="text1"/>
          <w:lang w:val="ru-RU"/>
        </w:rPr>
        <w:softHyphen/>
        <w:t>сковые испытания и в январе следующего года Постановлением Комитета обороны при СНК СССР №45сс от 27 января 1940 г. была принята на вооружение. Согласно этому же документу про</w:t>
      </w:r>
      <w:r w:rsidRPr="00DB5D0D">
        <w:rPr>
          <w:color w:val="000000" w:themeColor="text1"/>
          <w:lang w:val="ru-RU"/>
        </w:rPr>
        <w:softHyphen/>
        <w:t>изводство пушек Ф-32 поручалось освоить Кировскому заводу НКТМ. Система Л -11 до освоения массового выпуска Ф-32 с про</w:t>
      </w:r>
      <w:r w:rsidRPr="00DB5D0D">
        <w:rPr>
          <w:color w:val="000000" w:themeColor="text1"/>
          <w:lang w:val="ru-RU"/>
        </w:rPr>
        <w:softHyphen/>
        <w:t>изводства на Л КЗ не снималась и рассматривалась для нужд АБТУ как «промежуточная». В начале 1940 г. АБТУ приняло решение в качестве временной меры оснащать танки Т-34 системой Л-11 до момента начала серийного выпуска Ф-32. Кроме того, система Л-11 использовалась для постановки в укрепрайонах (УР) в каче</w:t>
      </w:r>
      <w:r w:rsidRPr="00DB5D0D">
        <w:rPr>
          <w:color w:val="000000" w:themeColor="text1"/>
          <w:lang w:val="ru-RU"/>
        </w:rPr>
        <w:softHyphen/>
        <w:t>стве капонирной пушки (Л-17) (11940).</w:t>
      </w:r>
    </w:p>
    <w:p w14:paraId="4A621317" w14:textId="77777777" w:rsidR="00A25AD1" w:rsidRPr="00DB5D0D" w:rsidRDefault="00A25AD1" w:rsidP="00DB5D0D">
      <w:pPr>
        <w:pStyle w:val="a3"/>
        <w:rPr>
          <w:color w:val="000000" w:themeColor="text1"/>
          <w:lang w:val="ru-RU"/>
        </w:rPr>
      </w:pPr>
      <w:r w:rsidRPr="00DB5D0D">
        <w:rPr>
          <w:color w:val="000000" w:themeColor="text1"/>
          <w:lang w:val="ru-RU"/>
        </w:rPr>
        <w:t>Весной 1940 г. руководством НКТМ на самом высоком уровне был поднят вопрос о пересмотре решения Комитета обороны о производ</w:t>
      </w:r>
      <w:r w:rsidRPr="00DB5D0D">
        <w:rPr>
          <w:color w:val="000000" w:themeColor="text1"/>
          <w:lang w:val="ru-RU"/>
        </w:rPr>
        <w:softHyphen/>
        <w:t>стве пушки Ф-32 на Ленинградском Кировском заводе.</w:t>
      </w:r>
    </w:p>
    <w:p w14:paraId="2F832AE1" w14:textId="77777777" w:rsidR="00A25AD1" w:rsidRPr="00DB5D0D" w:rsidRDefault="00A25AD1" w:rsidP="00DB5D0D">
      <w:pPr>
        <w:pStyle w:val="a3"/>
        <w:rPr>
          <w:color w:val="000000" w:themeColor="text1"/>
          <w:lang w:val="ru-RU"/>
        </w:rPr>
      </w:pPr>
      <w:r w:rsidRPr="00DB5D0D">
        <w:rPr>
          <w:color w:val="000000" w:themeColor="text1"/>
          <w:lang w:val="ru-RU"/>
        </w:rPr>
        <w:t>Напомним вкратце историю этого вопроса. С 1938 г. активно велась разработка единой 76-мм танковой пушки для нужд броне</w:t>
      </w:r>
      <w:r w:rsidRPr="00DB5D0D">
        <w:rPr>
          <w:color w:val="000000" w:themeColor="text1"/>
          <w:lang w:val="ru-RU"/>
        </w:rPr>
        <w:softHyphen/>
        <w:t>танковых войск. К середине 1939 г. на роль такой системы претен</w:t>
      </w:r>
      <w:r w:rsidRPr="00DB5D0D">
        <w:rPr>
          <w:color w:val="000000" w:themeColor="text1"/>
          <w:lang w:val="ru-RU"/>
        </w:rPr>
        <w:softHyphen/>
        <w:t>довали две танковые пушки — система Л-11 (разработки Ленинг</w:t>
      </w:r>
      <w:r w:rsidRPr="00DB5D0D">
        <w:rPr>
          <w:color w:val="000000" w:themeColor="text1"/>
          <w:lang w:val="ru-RU"/>
        </w:rPr>
        <w:softHyphen/>
        <w:t>радского Кировского завода НКТМ) и система Ф-32 (разработки за</w:t>
      </w:r>
      <w:r w:rsidRPr="00DB5D0D">
        <w:rPr>
          <w:color w:val="000000" w:themeColor="text1"/>
          <w:lang w:val="ru-RU"/>
        </w:rPr>
        <w:softHyphen/>
        <w:t>вода №92 НКВ). Весной 1939 г. обе пушки прошли полигонные ис</w:t>
      </w:r>
      <w:r w:rsidRPr="00DB5D0D">
        <w:rPr>
          <w:color w:val="000000" w:themeColor="text1"/>
          <w:lang w:val="ru-RU"/>
        </w:rPr>
        <w:softHyphen/>
        <w:t>пытания, по результатам которых было установлено, что система Ф-32 в танке обладает значительными преимуществами перед сис</w:t>
      </w:r>
      <w:r w:rsidRPr="00DB5D0D">
        <w:rPr>
          <w:color w:val="000000" w:themeColor="text1"/>
          <w:lang w:val="ru-RU"/>
        </w:rPr>
        <w:softHyphen/>
        <w:t>темой Л-11 в смысле удобств обслуживания, надежности работы механизмов и эксплуатационных свойств. Основным недостатком си</w:t>
      </w:r>
      <w:r w:rsidRPr="00DB5D0D">
        <w:rPr>
          <w:color w:val="000000" w:themeColor="text1"/>
          <w:lang w:val="ru-RU"/>
        </w:rPr>
        <w:softHyphen/>
        <w:t>стемы Л-11 являлась ненадежная работа противооткатных устройств при стрельбе под углами снижения (подробнее об испытаниях Л-11 и Ф-32 см. «ТиВ» №9/2010 г.).</w:t>
      </w:r>
    </w:p>
    <w:p w14:paraId="5610C531" w14:textId="77777777" w:rsidR="00A25AD1" w:rsidRPr="00DB5D0D" w:rsidRDefault="00A25AD1" w:rsidP="00DB5D0D">
      <w:pPr>
        <w:pStyle w:val="a3"/>
        <w:rPr>
          <w:color w:val="000000" w:themeColor="text1"/>
          <w:lang w:val="ru-RU"/>
        </w:rPr>
      </w:pPr>
      <w:r w:rsidRPr="00DB5D0D">
        <w:rPr>
          <w:color w:val="000000" w:themeColor="text1"/>
          <w:lang w:val="ru-RU"/>
        </w:rPr>
        <w:t>В сентябре 1939 г. танковая пушка Ф-32 успешно прошла вой</w:t>
      </w:r>
      <w:r w:rsidRPr="00DB5D0D">
        <w:rPr>
          <w:color w:val="000000" w:themeColor="text1"/>
          <w:lang w:val="ru-RU"/>
        </w:rPr>
        <w:softHyphen/>
        <w:t>сковые испытания и в январе следующего года Постановлением Комитета обороны при СНК СССР №45сс от 27 января 1940 г. была принята на вооружение. Согласно этому же документу про</w:t>
      </w:r>
      <w:r w:rsidRPr="00DB5D0D">
        <w:rPr>
          <w:color w:val="000000" w:themeColor="text1"/>
          <w:lang w:val="ru-RU"/>
        </w:rPr>
        <w:softHyphen/>
        <w:t>изводство пушек Ф-32 поручалось освоить Кировскому заводу НКТМ. Система Л -11 до освоения массового выпуска Ф-32 с про</w:t>
      </w:r>
      <w:r w:rsidRPr="00DB5D0D">
        <w:rPr>
          <w:color w:val="000000" w:themeColor="text1"/>
          <w:lang w:val="ru-RU"/>
        </w:rPr>
        <w:softHyphen/>
        <w:t>изводства на Л КЗ не снималась и рассматривалась для нужд АБТУ как «промежуточная». В начале 1940 г. АБТУ приняло решение в качестве временной меры оснащать танки Т-34 системой Л-11 до момента начала серийного выпуска Ф-32. Кроме того, система Л-11 использовалась для постановки в укрепрайонах (УР) в каче</w:t>
      </w:r>
      <w:r w:rsidRPr="00DB5D0D">
        <w:rPr>
          <w:color w:val="000000" w:themeColor="text1"/>
          <w:lang w:val="ru-RU"/>
        </w:rPr>
        <w:softHyphen/>
        <w:t>стве капонирной пушки (Л-17) (11940).</w:t>
      </w:r>
    </w:p>
    <w:p w14:paraId="5C69BF44" w14:textId="77777777" w:rsidR="00A25AD1" w:rsidRPr="00DB5D0D" w:rsidRDefault="00A25AD1" w:rsidP="00DB5D0D">
      <w:pPr>
        <w:pStyle w:val="a3"/>
        <w:rPr>
          <w:color w:val="000000" w:themeColor="text1"/>
          <w:lang w:val="ru-RU"/>
        </w:rPr>
      </w:pPr>
    </w:p>
    <w:p w14:paraId="5FDB8511" w14:textId="77777777" w:rsidR="00DA3BA6" w:rsidRPr="00DB5D0D" w:rsidRDefault="00DA3B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Летом 1940 года датируются первые опытные работы по теме истребителя </w:t>
      </w:r>
      <w:hyperlink r:id="rId158"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ов на шасси Т-34. Тогда 2 шасси без башен были отправлены на завод № 8 им. Калинина в Калининграде (ныне г. Королев). Предполагалось разработать два варианта САУ с открытой сверху вращающейся рубкой, внутри которой устанавливалась 85-мм зенитная пушка 52-К. Работы сильно затянулись, а затем совсем заглохли (15644).</w:t>
      </w:r>
    </w:p>
    <w:p w14:paraId="038CD690" w14:textId="77777777" w:rsidR="00DA3BA6" w:rsidRPr="00DB5D0D" w:rsidRDefault="00DA3BA6" w:rsidP="00DB5D0D">
      <w:pPr>
        <w:spacing w:after="0" w:line="240" w:lineRule="auto"/>
        <w:jc w:val="both"/>
        <w:rPr>
          <w:rFonts w:ascii="Times New Roman" w:hAnsi="Times New Roman"/>
          <w:color w:val="000000" w:themeColor="text1"/>
          <w:sz w:val="16"/>
          <w:szCs w:val="16"/>
        </w:rPr>
      </w:pPr>
    </w:p>
    <w:p w14:paraId="4D100FA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мощность КВ была сочтена недостаточной, 17 июля было принято поста</w:t>
      </w:r>
      <w:r w:rsidRPr="00DB5D0D">
        <w:rPr>
          <w:rFonts w:ascii="Times New Roman" w:hAnsi="Times New Roman"/>
          <w:color w:val="000000" w:themeColor="text1"/>
          <w:sz w:val="16"/>
          <w:szCs w:val="16"/>
        </w:rPr>
        <w:softHyphen/>
        <w:t>новление СНК СССР и ЦК ВКП (б), в котором Кировско</w:t>
      </w:r>
      <w:r w:rsidRPr="00DB5D0D">
        <w:rPr>
          <w:rFonts w:ascii="Times New Roman" w:hAnsi="Times New Roman"/>
          <w:color w:val="000000" w:themeColor="text1"/>
          <w:sz w:val="16"/>
          <w:szCs w:val="16"/>
        </w:rPr>
        <w:softHyphen/>
        <w:t>му заводу предписывалось к 1 ноября выпустить два танка с броней 90 мм, из которых один должен быть вооружен 85-мм пушкой Ф-30, а к 1 декабря два аналогичных танка, но уже с броней 100 мм. Но к 5 ноября завод сдал всего лишь один танк Т-150 с броней 90 мм и с пушкой Ф-32, а к 5 де</w:t>
      </w:r>
      <w:r w:rsidRPr="00DB5D0D">
        <w:rPr>
          <w:rFonts w:ascii="Times New Roman" w:hAnsi="Times New Roman"/>
          <w:color w:val="000000" w:themeColor="text1"/>
          <w:sz w:val="16"/>
          <w:szCs w:val="16"/>
        </w:rPr>
        <w:softHyphen/>
        <w:t>кабря один Т-220 с броней 100 мм и пушкой Ф-30. При этом масса Т-150 превысила 50 т, и потому на него планировалось установить 650 л.с. дизель В-5, но был уста</w:t>
      </w:r>
      <w:r w:rsidRPr="00DB5D0D">
        <w:rPr>
          <w:rFonts w:ascii="Times New Roman" w:hAnsi="Times New Roman"/>
          <w:color w:val="000000" w:themeColor="text1"/>
          <w:sz w:val="16"/>
          <w:szCs w:val="16"/>
        </w:rPr>
        <w:softHyphen/>
        <w:t>новлен лишь форсированный до 600 л.с. В-2. Внешне же танк почти ничем не отличался от ставших уже привычны</w:t>
      </w:r>
      <w:r w:rsidRPr="00DB5D0D">
        <w:rPr>
          <w:rFonts w:ascii="Times New Roman" w:hAnsi="Times New Roman"/>
          <w:color w:val="000000" w:themeColor="text1"/>
          <w:sz w:val="16"/>
          <w:szCs w:val="16"/>
        </w:rPr>
        <w:softHyphen/>
        <w:t>ми КВ-1. Танк же Т-220 (в документах называется также КВ-220, «Объект 220») имел удлиненный корпус, растяну</w:t>
      </w:r>
      <w:r w:rsidRPr="00DB5D0D">
        <w:rPr>
          <w:rFonts w:ascii="Times New Roman" w:hAnsi="Times New Roman"/>
          <w:color w:val="000000" w:themeColor="text1"/>
          <w:sz w:val="16"/>
          <w:szCs w:val="16"/>
        </w:rPr>
        <w:softHyphen/>
        <w:t>тое на один каток шасси и увеличенную башню с 85-мм орудием Ф-30. Поскольку масса танка превысила 65 т, на него был установлен дизель В-5 мощностью 700 л.с. Однако оба танка, будучи переданными на испытания, недолго уте</w:t>
      </w:r>
      <w:r w:rsidRPr="00DB5D0D">
        <w:rPr>
          <w:rFonts w:ascii="Times New Roman" w:hAnsi="Times New Roman"/>
          <w:color w:val="000000" w:themeColor="text1"/>
          <w:sz w:val="16"/>
          <w:szCs w:val="16"/>
        </w:rPr>
        <w:softHyphen/>
        <w:t>шали своих создателей. Т-150 был снят с испытаний через месяц, когда его пробег лишь приблизился к 200 км. У него сильно перегревалось масло в двигателе, «вылетали» под</w:t>
      </w:r>
      <w:r w:rsidRPr="00DB5D0D">
        <w:rPr>
          <w:rFonts w:ascii="Times New Roman" w:hAnsi="Times New Roman"/>
          <w:color w:val="000000" w:themeColor="text1"/>
          <w:sz w:val="16"/>
          <w:szCs w:val="16"/>
        </w:rPr>
        <w:softHyphen/>
        <w:t>шипники в КПП, причем все неприятности почему-то про</w:t>
      </w:r>
      <w:r w:rsidRPr="00DB5D0D">
        <w:rPr>
          <w:rFonts w:ascii="Times New Roman" w:hAnsi="Times New Roman"/>
          <w:color w:val="000000" w:themeColor="text1"/>
          <w:sz w:val="16"/>
          <w:szCs w:val="16"/>
        </w:rPr>
        <w:softHyphen/>
        <w:t>являлись именно при движении по шоссе на 3-й и 4-й пере</w:t>
      </w:r>
      <w:r w:rsidRPr="00DB5D0D">
        <w:rPr>
          <w:rFonts w:ascii="Times New Roman" w:hAnsi="Times New Roman"/>
          <w:color w:val="000000" w:themeColor="text1"/>
          <w:sz w:val="16"/>
          <w:szCs w:val="16"/>
        </w:rPr>
        <w:softHyphen/>
        <w:t>дачах. Танк же Т-220 просуществовал на полигоне рекордно короткий отрезок времени. Дизель В-5 сломался уже на вто</w:t>
      </w:r>
      <w:r w:rsidRPr="00DB5D0D">
        <w:rPr>
          <w:rFonts w:ascii="Times New Roman" w:hAnsi="Times New Roman"/>
          <w:color w:val="000000" w:themeColor="text1"/>
          <w:sz w:val="16"/>
          <w:szCs w:val="16"/>
        </w:rPr>
        <w:softHyphen/>
        <w:t>рой день. Танки были отправлены на доработку...(10782).</w:t>
      </w:r>
    </w:p>
    <w:p w14:paraId="7C3656F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4BB3D4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над Т-34 начали сгущаться тучи. Дело в том, что на полигон в Кубинку поступили два танка Pz lll, купленные в Германии после подписания пакта о ненападении. Результаты сравнительных испытаний немецкого танка и Т-34 оказались неутешительными для советской боевой машины (3862).</w:t>
      </w:r>
    </w:p>
    <w:p w14:paraId="4CDA836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Т-34 превосходил "тройку" по вооружению и броневой защите, уступая по ряду других показателей. Pz lll имел трехместную башню, в которой были достаточно комфортные условия для боевой работы членов экипажа. Командир имел удобную башенку, обеспечивавшую ему прекрасный обзор, у всех членов экипажа имелись собственные приборы внутренней связи (3862).</w:t>
      </w:r>
    </w:p>
    <w:p w14:paraId="75EF3B3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башне же Т-34 с трудом размещались два танкиста, один из которых выполнял функции не только наводчика, но и командира танка, а в ряде случаев и командира подразделения. Внутренней связью обеспечивались только два члена экипажа из четырех - командир танка и механик-водитель (3862).</w:t>
      </w:r>
    </w:p>
    <w:p w14:paraId="75BE928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Немецкая машина превзошла Т-34 и по плавности хода, она оказалась и менее шумной - при максимальной скорости движения Pz lll было слышно за 150 - 200 м, а Т-34 - за 450-500 м (3862).</w:t>
      </w:r>
    </w:p>
    <w:p w14:paraId="2B091DA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Полной неожиданностью для наших военных явилось и превосходство "немца" в скорости. На гравийном шоссе Кубинка-Репище Pz lll разогнался на мерном километре до скорости 69,7 км/ч, в то время как лучший показатель для Т-34 составил 48,2 км/ч. Выделенный же в качестве эталона БТ-7 на колесах развил только 68,1 км/ч (3862).</w:t>
      </w:r>
    </w:p>
    <w:p w14:paraId="17C2DE2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отчете об испытаниях отмечались и более удачная подвеска немецкого танка, высокое качество оптических приборов, удобное размещение боекомплекта и радиостанции, надежные двигатель и трансмиссия (3862).</w:t>
      </w:r>
    </w:p>
    <w:p w14:paraId="29D0E27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этим результатам ГАБТУ предоставило отчет маршалу Г.И.Кулику, который утвердил его и тем самым приостановил производство и приемку Т-34, потребовав устранения всех недостатков. Начались препирательства, закончившиеся распоряжением маршала К.Е.Ворошилова: "Машины продолжать делать; сдавать в армию, установив 1000-км гарантийный пробег. Заводу начать разрабатывать новую машину - Т-34М, введя в нее не только прочностные изменения, но и пятискоростную коробку передач."</w:t>
      </w:r>
    </w:p>
    <w:p w14:paraId="4D8C014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для знакомства с новыми танками Т-40 на завод N 37 приезжали новый нарком обороны СССР С.К.Тимошенко и начальник Генерального штаба Г.К.Жуков, который проявил особый интерес к танку Т-40 и к мобилизационным возможностям предприятия в целом (3862).</w:t>
      </w:r>
    </w:p>
    <w:p w14:paraId="0F1B21F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EF3F5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завод № 75 получил значительную помощь: было увеличено финансирование строительства, снабжение завода переведено в ранг приоритетного, с других предприятий переведены около 500 квалифицированных рабочих. На тот момент завод был единственным изготовителем танковых дизелей, и Наркомсредмаш приказал выпускать их круглосуточно, в три смены. Для этого цех топливной аппаратуры перевели из главного корпуса в отдельное пятиэтажное здание, однако это решение не было удачным - работе точного оборудования мешала вибрация междуэтажных перекрытий. В конце концов пришлось начать строительство нового цеха площадью 30 000 м2. Его возвели очень быстро, но пустить в эксплуатацию помешала война (9023).</w:t>
      </w:r>
    </w:p>
    <w:p w14:paraId="101DFC6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967D6A6" w14:textId="77777777" w:rsidR="005D3AF1" w:rsidRPr="00DB5D0D" w:rsidRDefault="005D3AF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Летом 1940 года возглавляемая А.С. Назаровым конструкторская группа, в которую вошли челябинцы Михаил Алексеевич Храпко, Александр Васильевич Шестунин (бывший начальник механосборочного цеха ЧТЗ) и Василий Иванович Павлов (бывший начальник дизельного цеха), в «столыпинском» вагоне была отправлена в Казань, где размещена на третьем и четвертом этажах заводоуправления строящегося Казанского самолетостроительного завода. Рядом достраивался авиационный моторостроительный завод № 27, получивший заказ на изготовление разработанного в ОКБ-82 приводного центробежного нагнетателя для дизеля мощностью 2000 лс.</w:t>
      </w:r>
      <w:r w:rsidRPr="00DB5D0D">
        <w:rPr>
          <w:rFonts w:ascii="Times New Roman" w:eastAsia="Times New Roman" w:hAnsi="Times New Roman"/>
          <w:color w:val="000000" w:themeColor="text1"/>
          <w:sz w:val="16"/>
          <w:szCs w:val="16"/>
          <w:lang w:eastAsia="ru-RU"/>
        </w:rPr>
        <w:t> </w:t>
      </w:r>
      <w:r w:rsidRPr="00DB5D0D">
        <w:rPr>
          <w:rFonts w:ascii="Times New Roman" w:eastAsia="Times New Roman" w:hAnsi="Times New Roman"/>
          <w:color w:val="000000" w:themeColor="text1"/>
          <w:sz w:val="16"/>
          <w:szCs w:val="16"/>
          <w:lang w:eastAsia="ru-RU"/>
        </w:rPr>
        <w:t>Позже в Казань приехал и главный конструктор этого дизеля А.Д. Чаромский, в сопровождении двух охранников, по переменке бдительно стороживших его во время поездки в купе обычного пассажирского вагона.</w:t>
      </w:r>
    </w:p>
    <w:p w14:paraId="4FA28E19" w14:textId="77777777" w:rsidR="005D3AF1" w:rsidRPr="00DB5D0D" w:rsidRDefault="005D3AF1" w:rsidP="00DB5D0D">
      <w:pPr>
        <w:pStyle w:val="ae"/>
        <w:spacing w:before="0" w:after="0"/>
        <w:jc w:val="both"/>
        <w:rPr>
          <w:color w:val="000000" w:themeColor="text1"/>
          <w:sz w:val="16"/>
          <w:szCs w:val="16"/>
        </w:rPr>
      </w:pPr>
      <w:r w:rsidRPr="00DB5D0D">
        <w:rPr>
          <w:color w:val="000000" w:themeColor="text1"/>
          <w:sz w:val="16"/>
          <w:szCs w:val="16"/>
        </w:rPr>
        <w:t>Завод № 27 после объединения с эвакуированным Воронежским авиамоторным заводом № 16 стал называться заводом № 16, поэтому и ОКБ-82 переименовали в ОКБ-16. Его куратором от НКВД был полковник В.А. Бекетов.</w:t>
      </w:r>
    </w:p>
    <w:p w14:paraId="2A322F39" w14:textId="77777777" w:rsidR="005D3AF1" w:rsidRPr="00DB5D0D" w:rsidRDefault="005D3AF1" w:rsidP="00DB5D0D">
      <w:pPr>
        <w:pStyle w:val="ae"/>
        <w:spacing w:before="0" w:after="0"/>
        <w:jc w:val="both"/>
        <w:rPr>
          <w:color w:val="000000" w:themeColor="text1"/>
          <w:sz w:val="16"/>
          <w:szCs w:val="16"/>
        </w:rPr>
      </w:pPr>
      <w:r w:rsidRPr="00DB5D0D">
        <w:rPr>
          <w:color w:val="000000" w:themeColor="text1"/>
          <w:sz w:val="16"/>
          <w:szCs w:val="16"/>
        </w:rPr>
        <w:t>Основными направлениями деятельности ОКБ-16 были:</w:t>
      </w:r>
    </w:p>
    <w:p w14:paraId="624A64E3" w14:textId="77777777" w:rsidR="005D3AF1" w:rsidRPr="00DB5D0D" w:rsidRDefault="005D3AF1" w:rsidP="00DB5D0D">
      <w:pPr>
        <w:pStyle w:val="ae"/>
        <w:spacing w:before="0" w:after="0"/>
        <w:jc w:val="both"/>
        <w:rPr>
          <w:color w:val="000000" w:themeColor="text1"/>
          <w:sz w:val="16"/>
          <w:szCs w:val="16"/>
        </w:rPr>
      </w:pPr>
      <w:r w:rsidRPr="00DB5D0D">
        <w:rPr>
          <w:color w:val="000000" w:themeColor="text1"/>
          <w:sz w:val="16"/>
          <w:szCs w:val="16"/>
        </w:rPr>
        <w:t>– техническая помощь заводу в завершении строительства и монтаже оборудования;</w:t>
      </w:r>
    </w:p>
    <w:p w14:paraId="5B0D47BB" w14:textId="77777777" w:rsidR="005D3AF1" w:rsidRPr="00DB5D0D" w:rsidRDefault="005D3AF1" w:rsidP="00DB5D0D">
      <w:pPr>
        <w:pStyle w:val="ae"/>
        <w:spacing w:before="0" w:after="0"/>
        <w:jc w:val="both"/>
        <w:rPr>
          <w:color w:val="000000" w:themeColor="text1"/>
          <w:sz w:val="16"/>
          <w:szCs w:val="16"/>
        </w:rPr>
      </w:pPr>
      <w:r w:rsidRPr="00DB5D0D">
        <w:rPr>
          <w:color w:val="000000" w:themeColor="text1"/>
          <w:sz w:val="16"/>
          <w:szCs w:val="16"/>
        </w:rPr>
        <w:t>– испытания уже собранного приводного центробежного нагнетателя (ПЦН) для дизеля мощностью 2000 л.с. (руководитель проекта – А.С. Назаров);</w:t>
      </w:r>
    </w:p>
    <w:p w14:paraId="2785C706" w14:textId="77777777" w:rsidR="005D3AF1" w:rsidRPr="00DB5D0D" w:rsidRDefault="005D3AF1" w:rsidP="00DB5D0D">
      <w:pPr>
        <w:pStyle w:val="ae"/>
        <w:spacing w:before="0" w:after="0"/>
        <w:jc w:val="both"/>
        <w:rPr>
          <w:color w:val="000000" w:themeColor="text1"/>
          <w:sz w:val="16"/>
          <w:szCs w:val="16"/>
        </w:rPr>
      </w:pPr>
      <w:r w:rsidRPr="00DB5D0D">
        <w:rPr>
          <w:color w:val="000000" w:themeColor="text1"/>
          <w:sz w:val="16"/>
          <w:szCs w:val="16"/>
        </w:rPr>
        <w:t>– помощь заводу по запуску в серийное производство 12-цилиндрового </w:t>
      </w:r>
      <w:r w:rsidRPr="00DB5D0D">
        <w:rPr>
          <w:color w:val="000000" w:themeColor="text1"/>
          <w:sz w:val="16"/>
          <w:szCs w:val="16"/>
          <w:lang w:val="en-US"/>
        </w:rPr>
        <w:t>V</w:t>
      </w:r>
      <w:r w:rsidRPr="00DB5D0D">
        <w:rPr>
          <w:color w:val="000000" w:themeColor="text1"/>
          <w:sz w:val="16"/>
          <w:szCs w:val="16"/>
        </w:rPr>
        <w:t>-образного авиадвигателя водяного охлаждения МБ-100 конструкции В.Я. Климова, мощностью 2200 л.с. (руководитель проекта – А.М. Добротворский);</w:t>
      </w:r>
    </w:p>
    <w:p w14:paraId="5230EED8" w14:textId="77777777" w:rsidR="005D3AF1" w:rsidRPr="00DB5D0D" w:rsidRDefault="005D3AF1" w:rsidP="00DB5D0D">
      <w:pPr>
        <w:pStyle w:val="ae"/>
        <w:spacing w:before="0" w:after="0"/>
        <w:jc w:val="both"/>
        <w:rPr>
          <w:color w:val="000000" w:themeColor="text1"/>
          <w:sz w:val="16"/>
          <w:szCs w:val="16"/>
        </w:rPr>
      </w:pPr>
      <w:r w:rsidRPr="00DB5D0D">
        <w:rPr>
          <w:color w:val="000000" w:themeColor="text1"/>
          <w:sz w:val="16"/>
          <w:szCs w:val="16"/>
        </w:rPr>
        <w:t>– создание опытного 24-цилиндрового </w:t>
      </w:r>
      <w:r w:rsidRPr="00DB5D0D">
        <w:rPr>
          <w:color w:val="000000" w:themeColor="text1"/>
          <w:sz w:val="16"/>
          <w:szCs w:val="16"/>
          <w:lang w:val="en-US"/>
        </w:rPr>
        <w:t>X</w:t>
      </w:r>
      <w:r w:rsidRPr="00DB5D0D">
        <w:rPr>
          <w:color w:val="000000" w:themeColor="text1"/>
          <w:sz w:val="16"/>
          <w:szCs w:val="16"/>
        </w:rPr>
        <w:t>-образного авиадвигателя водяного охлаждения на базе серийного 12-цилиндрового (руководитель проекта – А.М. Добротворский);</w:t>
      </w:r>
    </w:p>
    <w:p w14:paraId="3A47C11E" w14:textId="77777777" w:rsidR="005D3AF1" w:rsidRPr="00DB5D0D" w:rsidRDefault="005D3AF1" w:rsidP="00DB5D0D">
      <w:pPr>
        <w:pStyle w:val="ae"/>
        <w:spacing w:before="0" w:after="0"/>
        <w:jc w:val="both"/>
        <w:rPr>
          <w:color w:val="000000" w:themeColor="text1"/>
          <w:sz w:val="16"/>
          <w:szCs w:val="16"/>
        </w:rPr>
      </w:pPr>
      <w:r w:rsidRPr="00DB5D0D">
        <w:rPr>
          <w:color w:val="000000" w:themeColor="text1"/>
          <w:sz w:val="16"/>
          <w:szCs w:val="16"/>
        </w:rPr>
        <w:t>– продолжение работ по созданию жидкостно-реактивных двигателей РД для формирования маневров самолета (руководитель проекта – В.П. Глушко).</w:t>
      </w:r>
    </w:p>
    <w:p w14:paraId="6DC85DE8" w14:textId="77777777" w:rsidR="005D3AF1" w:rsidRPr="00DB5D0D" w:rsidRDefault="005D3AF1" w:rsidP="00DB5D0D">
      <w:pPr>
        <w:pStyle w:val="ae"/>
        <w:spacing w:before="0" w:after="0"/>
        <w:jc w:val="both"/>
        <w:rPr>
          <w:color w:val="000000" w:themeColor="text1"/>
          <w:sz w:val="16"/>
          <w:szCs w:val="16"/>
        </w:rPr>
      </w:pPr>
      <w:r w:rsidRPr="00DB5D0D">
        <w:rPr>
          <w:color w:val="000000" w:themeColor="text1"/>
          <w:sz w:val="16"/>
          <w:szCs w:val="16"/>
        </w:rPr>
        <w:t>Кроме того, некоторые специалисты из ОКБ-16 работали на казанских заводах, производивших мины и минометы (19567).</w:t>
      </w:r>
    </w:p>
    <w:p w14:paraId="3AC78E75" w14:textId="77777777" w:rsidR="005D3AF1" w:rsidRPr="00DB5D0D" w:rsidRDefault="005D3AF1" w:rsidP="00DB5D0D">
      <w:pPr>
        <w:pStyle w:val="ae"/>
        <w:spacing w:before="0" w:after="0"/>
        <w:jc w:val="both"/>
        <w:rPr>
          <w:color w:val="000000" w:themeColor="text1"/>
          <w:sz w:val="16"/>
          <w:szCs w:val="16"/>
        </w:rPr>
      </w:pPr>
    </w:p>
    <w:p w14:paraId="0982637D" w14:textId="77777777" w:rsidR="00CE3D33" w:rsidRPr="00DB5D0D" w:rsidRDefault="00CE3D3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Летом 1940 года впервые заговорили о необходимости создания средних самоходных артиллерийских установок. В то время за их разработку отвечали структуры, находящиеся в подчинении ГАУ КА (Главное Артиллерийское Управление Красной Армии). Вопреки "каноничной" версии развития событий, вплоть до весны 1942 года средняя САУ, базой для которой служил танк Т-34, представлял собой истребитель танков. Предполагалось, что данная машина получит, в качестве вооружения, 85-мм зенитное орудие 52-К, причем система будет иметь круговой сектор обстрела. Изначально разработчиком данной САУ должен был стать завод №8, но по ряду причин тема в 1940 году заглохла (20931).</w:t>
      </w:r>
    </w:p>
    <w:p w14:paraId="6A2F77B7" w14:textId="77777777" w:rsidR="00CE3D33" w:rsidRPr="00DB5D0D" w:rsidRDefault="00CE3D33" w:rsidP="00DB5D0D">
      <w:pPr>
        <w:spacing w:after="0" w:line="240" w:lineRule="auto"/>
        <w:jc w:val="both"/>
        <w:rPr>
          <w:rFonts w:ascii="Times New Roman" w:hAnsi="Times New Roman"/>
          <w:color w:val="0070C0"/>
          <w:sz w:val="16"/>
          <w:szCs w:val="16"/>
        </w:rPr>
      </w:pPr>
    </w:p>
    <w:p w14:paraId="2D0C8C58" w14:textId="77777777" w:rsidR="00CE3D33" w:rsidRPr="00DB5D0D" w:rsidRDefault="00CE3D3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Летом 1940 года была утверждена разработка истребителя танков с установкой 85-мм зенитного орудия 52-К. Базой для данной боевой машиной являлся средний танк Т-34, который как раз в то время осваивался на заводе №183. Разработка непосредственно САУ возлагалась на завод №8, разработчика и производителя зенитного орудия 52-К. Возглавлял разработку М.Н. Логинов, главный конструктор завода №8. Согласно требованиям, вооружение истребителя танков имело круговое вращение, бортовая броня имела толщину не менее 20 мм. Для разработки машины завод №183 выделял 2 танка Т-34. Свою часть работы завод выполнил, а вот разработка САУ быстро зашла в тупик. Во многом потому, что 28 октября 1940 года не стало Логинова, а без него проект, даже не успевший получить заводской индекс, осиротел. Далее работы по аналогичной машине пошли уже по линии завода №183, начались они в мае 1941 года (20877).</w:t>
      </w:r>
    </w:p>
    <w:p w14:paraId="5570E20F" w14:textId="77777777" w:rsidR="00CE3D33" w:rsidRPr="00DB5D0D" w:rsidRDefault="00CE3D33" w:rsidP="00DB5D0D">
      <w:pPr>
        <w:pStyle w:val="article-renderblock"/>
        <w:shd w:val="clear" w:color="auto" w:fill="FFFFFF"/>
        <w:spacing w:before="0" w:beforeAutospacing="0" w:after="0" w:afterAutospacing="0"/>
        <w:jc w:val="both"/>
        <w:rPr>
          <w:color w:val="0070C0"/>
          <w:sz w:val="16"/>
          <w:szCs w:val="16"/>
        </w:rPr>
      </w:pPr>
    </w:p>
    <w:p w14:paraId="14B0FE0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на НИБТ полигоне испытывали группу телемеханических танков на базе Т-26, которые весной, после окончания боев, пробовали применять против Линии Маннергеймав районе Суммы (9527,199).</w:t>
      </w:r>
    </w:p>
    <w:p w14:paraId="650E8FC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AAFF1A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 уже в начале серийного производства танков KB — обсуждался вопрос о разработке машины с более мощным бронированием. 17 июня 1940 года Совет народных комиссаров СССР и Центральный комитет ВКП(б) приняли постановление № 1288-495 ее, в котором, в частности, говорилось: «К 1 ноября 1940 года Кировскому заводу изготовить два танка KB с броней 90 мм: один с пушкой 76 мм Ф-32, другой с пушкой 85 мм. Один корпус будет подан с Ижорского завода в конце октября, изготовление танка намечено закончить к 5 ноября. Второй корпус будет изготовлен в ноябре (11640).</w:t>
      </w:r>
    </w:p>
    <w:p w14:paraId="4AD6A4B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7A66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Летом 1940-го танк Т-100 передали для хранения в Кубинку, а когда началась война — эвакуировали в Казань, а затем в Челябинск. Здесь машина была передана в распоряжение опытного завода № 100, где и оставалась до конца войны. Дальнейшая ее судьба не установлена, но, по некоторым данным, до середины 50-х годов она находилась на территории Челябинского танкового училища. </w:t>
      </w:r>
    </w:p>
    <w:p w14:paraId="1DBE5B5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Самоходная установка T-100-Y также попала в Кубинку летом 1940 года. В ноябре 1941-го T-100-Y, вместе с 152-мм опытными САУ СУ-14 и СУ-14-1, вошла в состав самоходного артиллерийского дивизиона особого назначения. Однако сведений о боевом применении СУ-100-Y обнаружить не удалось, но она сохранилась до настоящего времени и находится в Военно-историческом музее бронетанкового вооружения техники в подмосковной Кубинке (11640).</w:t>
      </w:r>
    </w:p>
    <w:p w14:paraId="2AC3D49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5BF0AC8" w14:textId="77777777" w:rsidR="00DA3BA6" w:rsidRPr="00DB5D0D" w:rsidRDefault="00DA3B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Летом 1940 года испытывался бойковый (ТР-28) минный трал. Он позволял разминировать проход шириной 3500 мм. Перед </w:t>
      </w:r>
      <w:hyperlink r:id="rId159"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ом крепился барабан с размещёнными на нём отрезками тросов, концы которых утяжелялись грузиками. Вращаясь тросы с грузами били по земле и мины детонировали (15647).</w:t>
      </w:r>
    </w:p>
    <w:p w14:paraId="7D0D6C66" w14:textId="77777777" w:rsidR="00DA3BA6" w:rsidRPr="00DB5D0D" w:rsidRDefault="00DA3BA6" w:rsidP="00DB5D0D">
      <w:pPr>
        <w:spacing w:after="0" w:line="240" w:lineRule="auto"/>
        <w:jc w:val="both"/>
        <w:rPr>
          <w:rFonts w:ascii="Times New Roman" w:hAnsi="Times New Roman"/>
          <w:color w:val="000000" w:themeColor="text1"/>
          <w:sz w:val="16"/>
          <w:szCs w:val="16"/>
        </w:rPr>
      </w:pPr>
    </w:p>
    <w:p w14:paraId="07048BC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лету 1940 года модернизация всего парка бронемашин БА-3 и БАИ была завершена. В от</w:t>
      </w:r>
      <w:r w:rsidRPr="00DB5D0D">
        <w:rPr>
          <w:rFonts w:ascii="Times New Roman" w:hAnsi="Times New Roman"/>
          <w:color w:val="000000" w:themeColor="text1"/>
          <w:sz w:val="16"/>
          <w:szCs w:val="16"/>
        </w:rPr>
        <w:softHyphen/>
        <w:t>личие от БА-27М, БА-ЗМ и БАИ-М, автор не располагает информацией об аналогичной модернизации бронеавто</w:t>
      </w:r>
      <w:r w:rsidRPr="00DB5D0D">
        <w:rPr>
          <w:rFonts w:ascii="Times New Roman" w:hAnsi="Times New Roman"/>
          <w:color w:val="000000" w:themeColor="text1"/>
          <w:sz w:val="16"/>
          <w:szCs w:val="16"/>
        </w:rPr>
        <w:softHyphen/>
        <w:t>мобилей Д-13, но можно предположить, что она также была проведена (11284).</w:t>
      </w:r>
    </w:p>
    <w:p w14:paraId="54731B8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EF4A3E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на Выксунском за</w:t>
      </w:r>
      <w:r w:rsidRPr="00DB5D0D">
        <w:rPr>
          <w:rFonts w:ascii="Times New Roman" w:hAnsi="Times New Roman"/>
          <w:color w:val="000000" w:themeColor="text1"/>
          <w:sz w:val="16"/>
          <w:szCs w:val="16"/>
        </w:rPr>
        <w:softHyphen/>
        <w:t>воде ДРО по заданию военно-химического управления РККА изготовили бронеавтомобиль БА-23Х (химический), который в некоторых документах проходит как ЛБ-23Х. Судя по отчету завода, этот броневик был изготовлен на шасси ЗИС-6, однако как выглядела эта машина, выяснить пока не удалось (11284).</w:t>
      </w:r>
    </w:p>
    <w:p w14:paraId="6A417B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D24791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Летом С-2 продемонстрировали на ВСХВ. Он имел типичную для транспортного трактора плотную схему размещения агрегатов с предельно сдвинутыми вперед двигателем и кабиной на удлиненной полураме, задняя часть которой крепилась к несущей главной передаче. Двигатель МТ-17 — относительно тихоходный четырехцилиндровый, четырехтактный дизель с тракторной компоновкой (типа «Катерлиллер») — отличался высокой надежностью, долговечностью и экономичностью, хотя и имел увеличенные массу (2200 кг) и габариты, то есть был явно «нетранспортного» типа. Шестеренные приводы всех вспомогательных агрегатов работали безотказно. Был добавлен глушитель выхлопа, изменен всасывающе-выхлопной коллектор. Воздухоочиститель устанавливался в кабине. МТ-17 мог уверенно работать не только на дизтопливе, но и на смеси автола с бензином и керосином, что нередко использовалось во фронтовых условиях. Легко заводился даже при — 30 "С от специального пускового бензинового двигателя В-20 мощностью 20 л.с, в спою очередь, имевшего ручной и автомобильный электростартеры- При холодном запуске существенным было то обстоятельство, что В-20 одновременно с прокручиванием дизеля через двухступенчатый редуктор прогревал его систему охлаждения и всасывающий тракт. </w:t>
      </w:r>
    </w:p>
    <w:p w14:paraId="2B4636B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 агрегаты трансмиссии размещались под грузовой платформой. Главный фрикцион — однодисковый, тракторного типа, с педальным управлением (усилие на педали до 60 кгс) — был связан с коробкой передач соединительным валом с карданными шарнирами от автомобиля ЗИС-6. Коробка передач — четырехступенчатая, тракторного типа, в общем картере с задним мостом. Силовой диапазон — 6,48. Предполагалась установка пятиступенчатой коробки передач с еще большим силовым диапазоном. Задний несущий мост с главной передачей, бортовыми фрикционами и бортовыми передачами, полностью заимствованные от трактора С-65, работали с большим перенапряжением и сильно нагревались. В приводе бортовых фрикционов использовались пружинные сервоусилители(более эффективные пневмоусилители стояли только на первых С-1). Тормоза — с плавающими опорами лент и двухсторонним серводействием (по-танковому). Управление — от одной педали. На тягаче было применено хорошо работавшее гребневое зацепление ведущей звездочки с гусеницей. </w:t>
      </w:r>
    </w:p>
    <w:p w14:paraId="3FAD7F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Ходовая часть, применительно к одному борту, состояла из шести сдвоенных обрезиненных опорных катков диаметром 330 мм в двух каретках с рес-сорно-балансирной подвеской по типу танка Т-26, с упругими ограничителями их поворота. Одновременно сохранялась хорошо зарекомендовавшая себя на С-65 упруго-балансирная (через поперечную рессору) подвеска рам тележек с качанием их вокруг осей задних ведущих звездочек (11639).</w:t>
      </w:r>
    </w:p>
    <w:p w14:paraId="7DEE9E4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3C1F14"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извещая Правительство о некомплекте легких мотоциклов в армии более чем в 20 000, маршал Кулик просил изготовить и поставить для НКО в 1940 году заводом № 234 7000 шт. мотоциклов Л-8 и в 1941 г. еще 10 000 шт. А ведь помимо армии, мотоциклы должны были поступать в милицию, внутренние войска и др. На 1 января 1941 в войсках НКВД по штату полагалось 1665 мотоциклов всех типов, но некомплект составлял 895 шт. На 1941 г. для войск НКВД была подана заявка на 300 мотоциклов всех типов, но был выделен лимит в 60 легких мотоциклов (19776).</w:t>
      </w:r>
    </w:p>
    <w:p w14:paraId="0B812F24" w14:textId="77777777" w:rsidR="005D3AF1" w:rsidRPr="00DB5D0D" w:rsidRDefault="005D3AF1" w:rsidP="00DB5D0D">
      <w:pPr>
        <w:spacing w:after="0" w:line="240" w:lineRule="auto"/>
        <w:jc w:val="both"/>
        <w:rPr>
          <w:rFonts w:ascii="Times New Roman" w:hAnsi="Times New Roman"/>
          <w:color w:val="000000" w:themeColor="text1"/>
          <w:sz w:val="16"/>
          <w:szCs w:val="16"/>
        </w:rPr>
      </w:pPr>
    </w:p>
    <w:p w14:paraId="75FA28A1" w14:textId="77777777" w:rsidR="004E1CE5" w:rsidRPr="00DB5D0D" w:rsidRDefault="004E1CE5"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Летом 1940 г. в результате кропотливой работы специалистам Мариупольского завода и филиала НИИ-48 удалось добиться повышения качества 40-мм броневых листов из стали марки «И-8С», проблема была решена, броня и этой толщины стала отвечать требованиям заказчика (17629). </w:t>
      </w:r>
    </w:p>
    <w:p w14:paraId="18F59D4E" w14:textId="77777777" w:rsidR="004E1CE5" w:rsidRPr="00DB5D0D" w:rsidRDefault="004E1CE5" w:rsidP="00DB5D0D">
      <w:pPr>
        <w:spacing w:after="0" w:line="240" w:lineRule="auto"/>
        <w:jc w:val="both"/>
        <w:rPr>
          <w:rFonts w:ascii="Times New Roman" w:eastAsia="Times New Roman" w:hAnsi="Times New Roman"/>
          <w:color w:val="000000" w:themeColor="text1"/>
          <w:sz w:val="16"/>
          <w:szCs w:val="16"/>
          <w:lang w:eastAsia="ru-RU"/>
        </w:rPr>
      </w:pPr>
    </w:p>
    <w:p w14:paraId="21A073B5" w14:textId="77777777" w:rsidR="00A25AD1" w:rsidRPr="00DB5D0D" w:rsidRDefault="00A25AD1"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Летом 1940 года прошли совмещенные полигонные и войсковые испытания опытных образцов РЛС, разработанных НИИ-20. В состав станции входили: генератор, размещенный в фургоне, вращающемся на шасси автомашины ЗИС-6, приемная аппаратура в таком же фургоне, вращающемся синхронно с генератором, и агрегат питания, размещенный на третьей машине. Передающая и приемная антенны были жестко укреплены на крышах фургонов. В целом станции, работавшие на длине волны 4 м, имели достаточно высокий уровень и были способны обнаруживать самолеты на дальности до 150 километров (9921).</w:t>
      </w:r>
    </w:p>
    <w:p w14:paraId="2383AD57" w14:textId="77777777" w:rsidR="00A25AD1" w:rsidRPr="00DB5D0D" w:rsidRDefault="00A25AD1" w:rsidP="00DB5D0D">
      <w:pPr>
        <w:pStyle w:val="a8"/>
        <w:widowControl/>
        <w:jc w:val="both"/>
        <w:rPr>
          <w:rFonts w:ascii="Times New Roman" w:hAnsi="Times New Roman" w:cs="Times New Roman"/>
          <w:color w:val="000000" w:themeColor="text1"/>
        </w:rPr>
      </w:pPr>
    </w:p>
    <w:p w14:paraId="0D9D9A2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на Черном мо</w:t>
      </w:r>
      <w:r w:rsidRPr="00DB5D0D">
        <w:rPr>
          <w:rFonts w:ascii="Times New Roman" w:hAnsi="Times New Roman"/>
          <w:color w:val="000000" w:themeColor="text1"/>
          <w:sz w:val="16"/>
          <w:szCs w:val="16"/>
        </w:rPr>
        <w:softHyphen/>
        <w:t>ре комиссией капитана 2 ранга Б. В. Никитина испытывался головной катер Д-3 завода № 5 и в августе того же года он вступил в строй Черноморского флота. Скорость катера на ти</w:t>
      </w:r>
      <w:r w:rsidRPr="00DB5D0D">
        <w:rPr>
          <w:rFonts w:ascii="Times New Roman" w:hAnsi="Times New Roman"/>
          <w:color w:val="000000" w:themeColor="text1"/>
          <w:sz w:val="16"/>
          <w:szCs w:val="16"/>
        </w:rPr>
        <w:softHyphen/>
        <w:t>хой воде достигала 48 уз. В приемном акте были отмечены хоро</w:t>
      </w:r>
      <w:r w:rsidRPr="00DB5D0D">
        <w:rPr>
          <w:rFonts w:ascii="Times New Roman" w:hAnsi="Times New Roman"/>
          <w:color w:val="000000" w:themeColor="text1"/>
          <w:sz w:val="16"/>
          <w:szCs w:val="16"/>
        </w:rPr>
        <w:softHyphen/>
        <w:t>шие мореходные качества (до 6 баллов), достаточная прочность корпуса, удобство размещения 12,7-мм пулеметов, которые комис</w:t>
      </w:r>
      <w:r w:rsidRPr="00DB5D0D">
        <w:rPr>
          <w:rFonts w:ascii="Times New Roman" w:hAnsi="Times New Roman"/>
          <w:color w:val="000000" w:themeColor="text1"/>
          <w:sz w:val="16"/>
          <w:szCs w:val="16"/>
        </w:rPr>
        <w:softHyphen/>
        <w:t>сия все же считала необходимым заменить не менее чем т[ "пулеметами калибром 20—25 мм" (3898).</w:t>
      </w:r>
    </w:p>
    <w:p w14:paraId="722EAE5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3E23A7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катер завода № 5 Д-3 по железной дороге доставили в Севастополь (10675).</w:t>
      </w:r>
    </w:p>
    <w:p w14:paraId="18E97D0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506E96A3"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3D95D94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0CF71F27" w14:textId="77777777" w:rsidR="00551353" w:rsidRPr="00DB5D0D" w:rsidRDefault="0055135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 лета 1940 в дальнебомбардировочных полках началось формирование пикирующих эскадрилий, в которые к 1 октября планировалось све</w:t>
      </w:r>
      <w:r w:rsidRPr="00DB5D0D">
        <w:rPr>
          <w:rFonts w:ascii="Times New Roman" w:hAnsi="Times New Roman"/>
          <w:color w:val="0070C0"/>
          <w:sz w:val="16"/>
          <w:szCs w:val="16"/>
        </w:rPr>
        <w:softHyphen/>
        <w:t>сти пятую часть всего парка ДБ-3 (19944).</w:t>
      </w:r>
    </w:p>
    <w:p w14:paraId="7F72DBE7" w14:textId="77777777" w:rsidR="00551353" w:rsidRPr="00DB5D0D" w:rsidRDefault="00551353" w:rsidP="00DB5D0D">
      <w:pPr>
        <w:spacing w:after="0" w:line="240" w:lineRule="auto"/>
        <w:jc w:val="both"/>
        <w:rPr>
          <w:rFonts w:ascii="Times New Roman" w:hAnsi="Times New Roman"/>
          <w:color w:val="0070C0"/>
          <w:sz w:val="16"/>
          <w:szCs w:val="16"/>
        </w:rPr>
      </w:pPr>
    </w:p>
    <w:p w14:paraId="38BD98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Летом 1940 года началось формирование танковых дивизий и корпсов. Так, по штату № 010/10 танковая дивизия должна была иметь 375 танков, из которых 210 (56%) должны были составлять Т-34. В состав моторизованной дивизии мехкорпуса тридцатьчетверки включать не планировалось. Таким образом, в полностью укомплектованном механизированном корпусе (две танковых и моторизованная дивизии) должно было насчитываться 420 тридцатьчетверок, что составляло почти 41% всех танков корпуса (1031 по штату).</w:t>
      </w:r>
    </w:p>
    <w:p w14:paraId="5C9D495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большими потерями в танках. 6 июля 1941 года постановлением Государственного Комитета Обороны (ГКО) началось формирование десяти танковых дивизий сокращенного состава по 215 танков в каждой. При этом количество тридцатьчетверок в них значительно сокращалось - до 42 машин (21%) (12217).</w:t>
      </w:r>
    </w:p>
    <w:p w14:paraId="19139BA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045F6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подготовка китайского персонала л, ш и стрелков была завершена и советские экипажи вернулись домой, а ДБ-3 продолжали воевать (1727).</w:t>
      </w:r>
    </w:p>
    <w:p w14:paraId="37183BB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B75051" w14:textId="77777777" w:rsidR="005D3AF1" w:rsidRPr="00DB5D0D" w:rsidRDefault="005D3AF1"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0E910ACC" w14:textId="77777777" w:rsidR="005D3AF1" w:rsidRPr="00DB5D0D" w:rsidRDefault="005D3AF1" w:rsidP="00DB5D0D">
      <w:pPr>
        <w:spacing w:after="0" w:line="240" w:lineRule="auto"/>
        <w:jc w:val="both"/>
        <w:rPr>
          <w:rFonts w:ascii="Times New Roman" w:hAnsi="Times New Roman"/>
          <w:iCs/>
          <w:color w:val="000000" w:themeColor="text1"/>
          <w:sz w:val="16"/>
          <w:szCs w:val="16"/>
        </w:rPr>
      </w:pPr>
    </w:p>
    <w:p w14:paraId="6D57DFA4" w14:textId="77777777" w:rsidR="005D3AF1" w:rsidRPr="00DB5D0D" w:rsidRDefault="005D3AF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после возвращения Прибалтики в состав нашей страны, советское руководство предложило Германии отказаться от своих прав на часть литовской территории в обмен на материальную компенсацию [605]. Этот вопрос был окончательно урегулирован 10 января 1941 года. В тот день в Москве помимо соглашения о взаимных торговых поставках были также заключены договор о советско-германской границе от реки Игорки до Балтийского моря, соглашение о переселении в Германию немцев из Литовской, Латвийской и Эстонской ССР и соглашение об урегулировании взаимных имущественных претензий, связанных с этим переселением. Кроме того, был подписан секретный протокол, по которому СССР обязался уплатить Германии компенсацию в размере 31,5 млн марок за отказ Германии от претензий на кусок территории на юго-западе Литвы [606]. Из этой суммы 1/8 следовало покрыть советскими поставками цветных металлов в течение 3 месяцев, а оставшиеся 7/8 вычтены из суммы германских платежей при взаимных расчётах [607] (18279).</w:t>
      </w:r>
    </w:p>
    <w:p w14:paraId="5F2B84DF" w14:textId="77777777" w:rsidR="005D3AF1" w:rsidRPr="00DB5D0D" w:rsidRDefault="005D3AF1" w:rsidP="00DB5D0D">
      <w:pPr>
        <w:spacing w:after="0" w:line="240" w:lineRule="auto"/>
        <w:jc w:val="both"/>
        <w:rPr>
          <w:rFonts w:ascii="Times New Roman" w:hAnsi="Times New Roman"/>
          <w:color w:val="000000" w:themeColor="text1"/>
          <w:sz w:val="16"/>
          <w:szCs w:val="16"/>
        </w:rPr>
      </w:pPr>
    </w:p>
    <w:p w14:paraId="2395473D"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0DABC0A"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26C8D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1940-го проходили эксплуатационные испытания штурмовика Hs-129 и вызвали такую критику у руководства "Люфтваффе", что самолет признали непригодным для принятия на вооружение. Hs 129А-0 мог поднимать лишь две 50-кг бомбы на наружных узлах подвески, при этом максимальный угол пикирования не превышал 15°. При большем угле усилия на ручке были столь велики, что самолет становился неуправляемым. Не выдерживала критики тесная кабина с искаженной видимостью, из-за чего произошел ряд летных происшествий. Еще во время испытаний конструкторы "Хеншеля" разработали модификацию Hs 129A-1 с новой кабиной с улучшенной видимостью и облегченным управлением. Однако "Люфтваффе" отказались принимать семь первых Hs 129A-1, решив прекратить выпуск неудачного самолета (3039,29).</w:t>
      </w:r>
    </w:p>
    <w:p w14:paraId="296BCEC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E8F58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1940-го после капитуляции Франции, появилась возможность использовать французский двигатель воздушного охлаждения. Хотя Тном-Рон" 14М тяжелей "Аргуса" почти в два раза, но зато был мощнее на 50%. Фридрих Николаус вместе со своим КБ стал срочно разрабатывать модификации штурмовика под новые моторы с целью возобновления серийного выпуска машины. Проработали два варианта: первый представлял собой доработанный Hs 129 с более вытянутым фюзеляжем, а второй - больший по всем размерам. Однако эти модификации не устраивали министерство авиации, прежде всего необходимостью замены всей оснастки, по которой выпускались первые Hs 129 (3039,29).</w:t>
      </w:r>
    </w:p>
    <w:p w14:paraId="2F1FDC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468D330" w14:textId="77777777" w:rsidR="00DA3BA6" w:rsidRPr="00DB5D0D" w:rsidRDefault="00DA3B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лета 1940 г. над Британскими островами, а незадолго до 22 июня 1941 г. и над СССР, стали совершать разведполёты немецкие высотные самолеты </w:t>
      </w:r>
      <w:r w:rsidRPr="00DB5D0D">
        <w:rPr>
          <w:rFonts w:ascii="Times New Roman" w:hAnsi="Times New Roman"/>
          <w:color w:val="000000" w:themeColor="text1"/>
          <w:sz w:val="16"/>
          <w:szCs w:val="16"/>
          <w:lang w:val="en-US"/>
        </w:rPr>
        <w:t>Ju</w:t>
      </w:r>
      <w:r w:rsidRPr="00DB5D0D">
        <w:rPr>
          <w:rFonts w:ascii="Times New Roman" w:hAnsi="Times New Roman"/>
          <w:color w:val="000000" w:themeColor="text1"/>
          <w:sz w:val="16"/>
          <w:szCs w:val="16"/>
        </w:rPr>
        <w:t xml:space="preserve"> 86</w:t>
      </w:r>
      <w:r w:rsidRPr="00DB5D0D">
        <w:rPr>
          <w:rFonts w:ascii="Times New Roman" w:hAnsi="Times New Roman"/>
          <w:color w:val="000000" w:themeColor="text1"/>
          <w:sz w:val="16"/>
          <w:szCs w:val="16"/>
          <w:lang w:val="en-US"/>
        </w:rPr>
        <w:t>R</w:t>
      </w:r>
      <w:r w:rsidRPr="00DB5D0D">
        <w:rPr>
          <w:rFonts w:ascii="Times New Roman" w:hAnsi="Times New Roman"/>
          <w:color w:val="000000" w:themeColor="text1"/>
          <w:sz w:val="16"/>
          <w:szCs w:val="16"/>
        </w:rPr>
        <w:t xml:space="preserve">-1 и </w:t>
      </w:r>
      <w:r w:rsidRPr="00DB5D0D">
        <w:rPr>
          <w:rFonts w:ascii="Times New Roman" w:hAnsi="Times New Roman"/>
          <w:color w:val="000000" w:themeColor="text1"/>
          <w:sz w:val="16"/>
          <w:szCs w:val="16"/>
          <w:lang w:val="en-US"/>
        </w:rPr>
        <w:t>R</w:t>
      </w:r>
      <w:r w:rsidRPr="00DB5D0D">
        <w:rPr>
          <w:rFonts w:ascii="Times New Roman" w:hAnsi="Times New Roman"/>
          <w:color w:val="000000" w:themeColor="text1"/>
          <w:sz w:val="16"/>
          <w:szCs w:val="16"/>
        </w:rPr>
        <w:t>-2 из разве</w:t>
      </w:r>
      <w:r w:rsidRPr="00DB5D0D">
        <w:rPr>
          <w:rFonts w:ascii="Times New Roman" w:hAnsi="Times New Roman"/>
          <w:color w:val="000000" w:themeColor="text1"/>
          <w:sz w:val="16"/>
          <w:szCs w:val="16"/>
        </w:rPr>
        <w:softHyphen/>
        <w:t>дывательной группы Ровеля (</w:t>
      </w:r>
      <w:r w:rsidRPr="00DB5D0D">
        <w:rPr>
          <w:rFonts w:ascii="Times New Roman" w:hAnsi="Times New Roman"/>
          <w:color w:val="000000" w:themeColor="text1"/>
          <w:sz w:val="16"/>
          <w:szCs w:val="16"/>
          <w:lang w:val="en-US"/>
        </w:rPr>
        <w:t>Aufkl</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Gr</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Ob</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d</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L</w:t>
      </w:r>
      <w:r w:rsidRPr="00DB5D0D">
        <w:rPr>
          <w:rFonts w:ascii="Times New Roman" w:hAnsi="Times New Roman"/>
          <w:color w:val="000000" w:themeColor="text1"/>
          <w:sz w:val="16"/>
          <w:szCs w:val="16"/>
        </w:rPr>
        <w:t xml:space="preserve">). Созданные уже в начале Второй мировой войны высотные модификации </w:t>
      </w:r>
      <w:r w:rsidRPr="00DB5D0D">
        <w:rPr>
          <w:rFonts w:ascii="Times New Roman" w:hAnsi="Times New Roman"/>
          <w:color w:val="000000" w:themeColor="text1"/>
          <w:sz w:val="16"/>
          <w:szCs w:val="16"/>
          <w:lang w:val="en-US"/>
        </w:rPr>
        <w:t>R</w:t>
      </w:r>
      <w:r w:rsidRPr="00DB5D0D">
        <w:rPr>
          <w:rFonts w:ascii="Times New Roman" w:hAnsi="Times New Roman"/>
          <w:color w:val="000000" w:themeColor="text1"/>
          <w:sz w:val="16"/>
          <w:szCs w:val="16"/>
        </w:rPr>
        <w:t xml:space="preserve">-1 (высотный бомбардировщик) и </w:t>
      </w:r>
      <w:r w:rsidRPr="00DB5D0D">
        <w:rPr>
          <w:rFonts w:ascii="Times New Roman" w:hAnsi="Times New Roman"/>
          <w:color w:val="000000" w:themeColor="text1"/>
          <w:sz w:val="16"/>
          <w:szCs w:val="16"/>
          <w:lang w:val="en-US"/>
        </w:rPr>
        <w:t>R</w:t>
      </w:r>
      <w:r w:rsidRPr="00DB5D0D">
        <w:rPr>
          <w:rFonts w:ascii="Times New Roman" w:hAnsi="Times New Roman"/>
          <w:color w:val="000000" w:themeColor="text1"/>
          <w:sz w:val="16"/>
          <w:szCs w:val="16"/>
        </w:rPr>
        <w:t>-2 (высотный раз</w:t>
      </w:r>
      <w:r w:rsidRPr="00DB5D0D">
        <w:rPr>
          <w:rFonts w:ascii="Times New Roman" w:hAnsi="Times New Roman"/>
          <w:color w:val="000000" w:themeColor="text1"/>
          <w:sz w:val="16"/>
          <w:szCs w:val="16"/>
        </w:rPr>
        <w:softHyphen/>
        <w:t xml:space="preserve">ведчик) известного ещё по Гражданской войне в Испании бомбера </w:t>
      </w:r>
      <w:r w:rsidRPr="00DB5D0D">
        <w:rPr>
          <w:rFonts w:ascii="Times New Roman" w:hAnsi="Times New Roman"/>
          <w:color w:val="000000" w:themeColor="text1"/>
          <w:sz w:val="16"/>
          <w:szCs w:val="16"/>
          <w:lang w:val="en-US"/>
        </w:rPr>
        <w:t>Ju</w:t>
      </w:r>
      <w:r w:rsidRPr="00DB5D0D">
        <w:rPr>
          <w:rFonts w:ascii="Times New Roman" w:hAnsi="Times New Roman"/>
          <w:color w:val="000000" w:themeColor="text1"/>
          <w:sz w:val="16"/>
          <w:szCs w:val="16"/>
        </w:rPr>
        <w:t xml:space="preserve"> 86, благодаря ше</w:t>
      </w:r>
      <w:r w:rsidRPr="00DB5D0D">
        <w:rPr>
          <w:rFonts w:ascii="Times New Roman" w:hAnsi="Times New Roman"/>
          <w:color w:val="000000" w:themeColor="text1"/>
          <w:sz w:val="16"/>
          <w:szCs w:val="16"/>
        </w:rPr>
        <w:softHyphen/>
        <w:t xml:space="preserve">стицилиндровым авиационным дизелям </w:t>
      </w:r>
      <w:r w:rsidRPr="00DB5D0D">
        <w:rPr>
          <w:rFonts w:ascii="Times New Roman" w:hAnsi="Times New Roman"/>
          <w:color w:val="000000" w:themeColor="text1"/>
          <w:sz w:val="16"/>
          <w:szCs w:val="16"/>
          <w:lang w:val="en-US"/>
        </w:rPr>
        <w:t>Jumo</w:t>
      </w:r>
      <w:r w:rsidRPr="00DB5D0D">
        <w:rPr>
          <w:rFonts w:ascii="Times New Roman" w:hAnsi="Times New Roman"/>
          <w:color w:val="000000" w:themeColor="text1"/>
          <w:sz w:val="16"/>
          <w:szCs w:val="16"/>
        </w:rPr>
        <w:t xml:space="preserve"> 207А-1 с двумя центробежными нагне</w:t>
      </w:r>
      <w:r w:rsidRPr="00DB5D0D">
        <w:rPr>
          <w:rFonts w:ascii="Times New Roman" w:hAnsi="Times New Roman"/>
          <w:color w:val="000000" w:themeColor="text1"/>
          <w:sz w:val="16"/>
          <w:szCs w:val="16"/>
        </w:rPr>
        <w:softHyphen/>
        <w:t>тателями и установке консолей крыла с размахом 25,6 м, а также двухместной гермока</w:t>
      </w:r>
      <w:r w:rsidRPr="00DB5D0D">
        <w:rPr>
          <w:rFonts w:ascii="Times New Roman" w:hAnsi="Times New Roman"/>
          <w:color w:val="000000" w:themeColor="text1"/>
          <w:sz w:val="16"/>
          <w:szCs w:val="16"/>
        </w:rPr>
        <w:softHyphen/>
        <w:t>бине, могли проводить бомбардировку и воздушную разведку с высоты более 12000 м (15830).</w:t>
      </w:r>
    </w:p>
    <w:p w14:paraId="747ACE86" w14:textId="77777777" w:rsidR="00DA3BA6" w:rsidRPr="00DB5D0D" w:rsidRDefault="00DA3BA6" w:rsidP="00DB5D0D">
      <w:pPr>
        <w:spacing w:after="0" w:line="240" w:lineRule="auto"/>
        <w:jc w:val="both"/>
        <w:rPr>
          <w:rFonts w:ascii="Times New Roman" w:hAnsi="Times New Roman"/>
          <w:color w:val="000000" w:themeColor="text1"/>
          <w:sz w:val="16"/>
          <w:szCs w:val="16"/>
        </w:rPr>
      </w:pPr>
    </w:p>
    <w:p w14:paraId="2DBAF74A"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Летом 1940 выполнил первый полет Tachikawa Ki-54 (союзное название "Гикори") (20795).</w:t>
      </w:r>
    </w:p>
    <w:p w14:paraId="78AD9DA2" w14:textId="77777777" w:rsidR="00C150CD" w:rsidRPr="00DB5D0D" w:rsidRDefault="00C150CD" w:rsidP="00DB5D0D">
      <w:pPr>
        <w:spacing w:after="0" w:line="240" w:lineRule="auto"/>
        <w:jc w:val="both"/>
        <w:rPr>
          <w:rFonts w:ascii="Times New Roman" w:hAnsi="Times New Roman"/>
          <w:color w:val="0070C0"/>
          <w:sz w:val="16"/>
          <w:szCs w:val="16"/>
        </w:rPr>
      </w:pPr>
    </w:p>
    <w:p w14:paraId="2651CEB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после победы над Францией, когда все средства были брошены на подготовку нападения на СССР, проект «А-4» был даже вычеркнут из списка приоритетных. В дальнейшем ассигнования на разработку «А-4» менялись в зависимости от обстановки на фронтах. Так, после отказа от вторжения на Британские острова (операция «Морской лев»), когда основным видом действий против Англии стали воздушные удары, Гитлер в ноябре 1940 года частично восстановил ассигнования на продолжение разработки «А-4» до прежнего уровня, считая, что в перспективе ракетные удары смогут дополнить налеты авиации на Англию, и в марте 1941 года вновь включил проект в список приоритетных. Однако сразу же после нападения на СССР, рассчитывая на успех «блицкрига» («молниеносной войны»), он сокращает наполовину бюджет Пенемюнде, составлявший 50,4 миллионов марок в год. Снижение ассигнований, нехватка необходимых материалов, направляющихся на проекты, имевшие «высший приоритет», технические трудности задерживали работу, но все же летом 1942 года команде Вернера фон Брауна удалось выпустить первые опытные образцы «Большой ракеты» (11688).</w:t>
      </w:r>
    </w:p>
    <w:p w14:paraId="2B73E27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7C42B4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года повоевали французские DB-7 и при этом понесли большие потери, штурмуя немецкие танковые колонны. После поражения Франции оставшиеся в Америке DB-7, также как и другие заказы, достались англичанам. Все варианты этой машины получили в королевских ВВС название "Бостон", впоследствии оно привилось и у нас (3457,99).</w:t>
      </w:r>
    </w:p>
    <w:p w14:paraId="5BBDFFA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305FCAB" w14:textId="77777777" w:rsidR="00A25AD1" w:rsidRPr="00DB5D0D" w:rsidRDefault="00A25AD1" w:rsidP="00DB5D0D">
      <w:pPr>
        <w:pStyle w:val="92"/>
        <w:shd w:val="clear" w:color="auto" w:fill="auto"/>
        <w:spacing w:after="0" w:line="240" w:lineRule="auto"/>
        <w:ind w:firstLine="0"/>
        <w:jc w:val="both"/>
        <w:rPr>
          <w:color w:val="000000" w:themeColor="text1"/>
          <w:sz w:val="16"/>
          <w:szCs w:val="16"/>
        </w:rPr>
      </w:pPr>
      <w:r w:rsidRPr="00DB5D0D">
        <w:rPr>
          <w:color w:val="000000" w:themeColor="text1"/>
          <w:sz w:val="16"/>
          <w:szCs w:val="16"/>
        </w:rPr>
        <w:t>Летом 1940 года был подписан дополни</w:t>
      </w:r>
      <w:r w:rsidRPr="00DB5D0D">
        <w:rPr>
          <w:color w:val="000000" w:themeColor="text1"/>
          <w:sz w:val="16"/>
          <w:szCs w:val="16"/>
        </w:rPr>
        <w:softHyphen/>
        <w:t>тельный контракт на углубленную прора</w:t>
      </w:r>
      <w:r w:rsidRPr="00DB5D0D">
        <w:rPr>
          <w:color w:val="000000" w:themeColor="text1"/>
          <w:sz w:val="16"/>
          <w:szCs w:val="16"/>
        </w:rPr>
        <w:softHyphen/>
        <w:t>ботку машины, получившей обозначение ХВ-29. Продолжали работать над аналогич</w:t>
      </w:r>
      <w:r w:rsidRPr="00DB5D0D">
        <w:rPr>
          <w:color w:val="000000" w:themeColor="text1"/>
          <w:sz w:val="16"/>
          <w:szCs w:val="16"/>
        </w:rPr>
        <w:softHyphen/>
        <w:t>ными бомбардировщиками, и специалисты компаний «Локхид» (ХВ-30). «Дуглас» (ХВ- 31) и «Консолидейтед» (ХВ-32), но недол</w:t>
      </w:r>
      <w:r w:rsidRPr="00DB5D0D">
        <w:rPr>
          <w:color w:val="000000" w:themeColor="text1"/>
          <w:sz w:val="16"/>
          <w:szCs w:val="16"/>
        </w:rPr>
        <w:softHyphen/>
        <w:t>го, поскольку в августе военные подписали контракт с «Боингом» на изготовление двух опытных машин и в следующем месяце для подстраховки — с «Консолидейтед» (12292).</w:t>
      </w:r>
    </w:p>
    <w:p w14:paraId="37BAF2C8" w14:textId="77777777" w:rsidR="00A25AD1" w:rsidRPr="00DB5D0D" w:rsidRDefault="00A25AD1" w:rsidP="00DB5D0D">
      <w:pPr>
        <w:pStyle w:val="92"/>
        <w:shd w:val="clear" w:color="auto" w:fill="auto"/>
        <w:spacing w:after="0" w:line="240" w:lineRule="auto"/>
        <w:ind w:firstLine="0"/>
        <w:jc w:val="both"/>
        <w:rPr>
          <w:color w:val="000000" w:themeColor="text1"/>
          <w:sz w:val="16"/>
          <w:szCs w:val="16"/>
        </w:rPr>
      </w:pPr>
    </w:p>
    <w:p w14:paraId="36BADD20"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Летом 1940 года 701-й железнодорожная батарея, вооруженная двумя орудиями «К12», была передислоцирована из Германии на южное побережье Франции. Орудия обстреливали цели в графстве Кент, в частности район Дувр, с позиций у берегов пролива Па-де-Кале. Самая большая дальность стрельбы составляла, видимо, порядка 90 км. Первые выстрелы были произведены в сентябре 1940 года, а до середины 1941 года обе пушки израсходовали 72 снаряда. Вопреки ожиданиям немецких военных, обстрел не дал ожидавшегося психологического эффекта, во многом это было обусловлено слабым фугасным действием снаряда (из его общего веса в 100 кг на взрывчатое вещество приходилось всего 7,5 кг, из-за громадного давления пороховых газов в канале ствола стенки снаряда приходилось делать очень толстыми). Ахиллесовой пятой пушек «К12» являлась низкая живучесть ствола, составлявшая всего 80-100 выстрелов. До конца войны дожило только одно такое орудие, которое и захватили англичане в Голландии в 1945 году (22870).</w:t>
      </w:r>
    </w:p>
    <w:p w14:paraId="39C1DA62" w14:textId="77777777" w:rsidR="00C150CD" w:rsidRPr="00DB5D0D" w:rsidRDefault="00C150CD" w:rsidP="00DB5D0D">
      <w:pPr>
        <w:spacing w:after="0" w:line="240" w:lineRule="auto"/>
        <w:jc w:val="both"/>
        <w:rPr>
          <w:rFonts w:ascii="Times New Roman" w:hAnsi="Times New Roman"/>
          <w:color w:val="0070C0"/>
          <w:sz w:val="16"/>
          <w:szCs w:val="16"/>
        </w:rPr>
      </w:pPr>
    </w:p>
    <w:p w14:paraId="1A00A12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лета 1940 по лето 1941 г. проходило несколько туров переговоров японских представителей и голландскими колониальными властями в Батавии, административном центре Голландской Ост-Индии. Япония добивалась прежде всего льгот и привилегий в отношении импорта необходимых ей нефтепродуктов - прежде всего высокооктанового авиационного бензина - и другого сырья. Японскому правительству удалось добиться согласия голландской администрации на поставки нефти в Японию. Однако основным потребителем авиационного бензина из Голландской Ост-Индии была британская авиация, которая вела борьбу за спасение Британии в Европе. Находившееся в Лондоне в эмиграции правительство Нидерландов полностью зависело от Британии и США. Предвидя осложнения отношения этих держав с Японией, оно упорно уклонялось от предлагаемого сотрудничества с Токио (3871).</w:t>
      </w:r>
    </w:p>
    <w:p w14:paraId="2532F50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EEE55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1940 г. вермахт получил на пополнение два бронепоезда, состоявшие из польских броневагонов и локомотивов. Тогда же немцы, используя чешские горные 75-мм орудия и другое вооружение, построили еще три бронепоезда (11148).</w:t>
      </w:r>
    </w:p>
    <w:p w14:paraId="0852C81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AD239B2" w14:textId="77777777" w:rsidR="000A6785" w:rsidRPr="00DB5D0D" w:rsidRDefault="000A67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Летом 1940-го в США началась подготовка программы разделения сырья и продукции между собственным и зарубежными правительствами. Предполагаемые в тот период меры носили временный характер, их приходилось пересматривать, возникали новые проблемы. Но начало было положено. Руководство планированием этой работы осуществляли Национальная консультативная комиссия по обороне и Президентский комитет по связям. Консультативная комиссия отвечала за планирование расширения производства, а делать это надо было осторожно и тонко. Поэтому постоянно приходилось консультироваться с руководством армии и флота, иностранными закупочными миссиями, Президентским комитетом по связям, действовавшими самостоятельно. </w:t>
      </w:r>
    </w:p>
    <w:p w14:paraId="1DFC55BB" w14:textId="77777777" w:rsidR="000A6785" w:rsidRPr="00DB5D0D" w:rsidRDefault="000A67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Как уполномоченный по промышленным материалам, Эдвард Стеттиниус лично отвечал за снабжение сырьем предприятий, производящих военные материалы. Позднее, после 21 октября, когда был создан Совет по приоритетам, состоящий из У. Кнадсена, Л. Хендерсона и Стеттинуса, стали определять приоритеты как на зарубежные, так и на собственные государственные заказы. </w:t>
      </w:r>
    </w:p>
    <w:p w14:paraId="7471A858" w14:textId="77777777" w:rsidR="000A6785" w:rsidRPr="00DB5D0D" w:rsidRDefault="000A67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Особую роль в координации этой деятельности играл Президентский комитет по связям, созданный в декабре 1939 года для контактов с иностранными правительствами, желавшими производить у нас закупки военных материалов. К иностранным правительствам обращались с просьбой представить в комитет доклад по каждому из контрактов, которые они собирались заключить. Прежде чем утвердить контракт, комитет анализировал, не будет ли он помехой нашему собственному перевооружению, предлагал дополнительные источники, когда программа заказа была слишком обширной, а позднее помогал определить приоритет, если это было необходимо. По военным самолетам подлежала предварительному анализу вся программа заказов иностранных миссий (17417).</w:t>
      </w:r>
    </w:p>
    <w:p w14:paraId="475427C3" w14:textId="77777777" w:rsidR="000A6785" w:rsidRPr="00DB5D0D" w:rsidRDefault="000A6785" w:rsidP="00DB5D0D">
      <w:pPr>
        <w:spacing w:after="0" w:line="240" w:lineRule="auto"/>
        <w:jc w:val="both"/>
        <w:rPr>
          <w:rFonts w:ascii="Times New Roman" w:hAnsi="Times New Roman"/>
          <w:color w:val="000000" w:themeColor="text1"/>
          <w:sz w:val="16"/>
          <w:szCs w:val="16"/>
        </w:rPr>
      </w:pPr>
    </w:p>
    <w:p w14:paraId="02863DFC"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3048D5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0B018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лета 1940 на аэродроме Лебедено (ХВО) базировалось 25 ББ-22 с таким количеством дефектов, что они не были пригодны к эксплуатации и длительное время доводились заводской бригадой (439,8).</w:t>
      </w:r>
    </w:p>
    <w:p w14:paraId="4E97B7D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D73818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лета 1940 стало ясно, что само</w:t>
      </w:r>
      <w:r w:rsidRPr="00DB5D0D">
        <w:rPr>
          <w:rFonts w:ascii="Times New Roman" w:hAnsi="Times New Roman"/>
          <w:color w:val="000000" w:themeColor="text1"/>
          <w:sz w:val="16"/>
          <w:szCs w:val="16"/>
        </w:rPr>
        <w:softHyphen/>
        <w:t>лет отстал от того ряда усовершенство</w:t>
      </w:r>
      <w:r w:rsidRPr="00DB5D0D">
        <w:rPr>
          <w:rFonts w:ascii="Times New Roman" w:hAnsi="Times New Roman"/>
          <w:color w:val="000000" w:themeColor="text1"/>
          <w:sz w:val="16"/>
          <w:szCs w:val="16"/>
        </w:rPr>
        <w:softHyphen/>
        <w:t>ваний, которые были уже внесены или готовились к внедрению на серийных ма</w:t>
      </w:r>
      <w:r w:rsidRPr="00DB5D0D">
        <w:rPr>
          <w:rFonts w:ascii="Times New Roman" w:hAnsi="Times New Roman"/>
          <w:color w:val="000000" w:themeColor="text1"/>
          <w:sz w:val="16"/>
          <w:szCs w:val="16"/>
        </w:rPr>
        <w:softHyphen/>
        <w:t>шинах (спаренные колеса, улучшенная система охлаждения моторов, новая оборонительная установка и пр.). В связи с этим доводить Р-12 не стали. Сведения о полученных при испытаниях летных данных пока не найдены (11214).</w:t>
      </w:r>
    </w:p>
    <w:p w14:paraId="433CDF2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1499D1C"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лета 1940 года на аэродроме Лебедино (Харь</w:t>
      </w:r>
      <w:r w:rsidRPr="00DB5D0D">
        <w:rPr>
          <w:rFonts w:ascii="Times New Roman" w:hAnsi="Times New Roman"/>
          <w:color w:val="000000" w:themeColor="text1"/>
          <w:sz w:val="16"/>
          <w:szCs w:val="16"/>
        </w:rPr>
        <w:softHyphen/>
        <w:t>ковский военный округ) базировались 25 ББ-22 с таким ко</w:t>
      </w:r>
      <w:r w:rsidRPr="00DB5D0D">
        <w:rPr>
          <w:rFonts w:ascii="Times New Roman" w:hAnsi="Times New Roman"/>
          <w:color w:val="000000" w:themeColor="text1"/>
          <w:sz w:val="16"/>
          <w:szCs w:val="16"/>
        </w:rPr>
        <w:softHyphen/>
        <w:t>личеством дефектов, что они не были пригодны для эксплу</w:t>
      </w:r>
      <w:r w:rsidRPr="00DB5D0D">
        <w:rPr>
          <w:rFonts w:ascii="Times New Roman" w:hAnsi="Times New Roman"/>
          <w:color w:val="000000" w:themeColor="text1"/>
          <w:sz w:val="16"/>
          <w:szCs w:val="16"/>
        </w:rPr>
        <w:softHyphen/>
        <w:t>атации и длительное время доводились заводской бригадой (10745,206).</w:t>
      </w:r>
    </w:p>
    <w:p w14:paraId="501CE8A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00163254"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 после озна</w:t>
      </w:r>
      <w:r w:rsidRPr="00DB5D0D">
        <w:rPr>
          <w:rFonts w:ascii="Times New Roman" w:hAnsi="Times New Roman"/>
          <w:color w:val="000000" w:themeColor="text1"/>
          <w:sz w:val="16"/>
          <w:szCs w:val="16"/>
        </w:rPr>
        <w:softHyphen/>
        <w:t>комления с немецкими самолетами, на которых повсеместно устанавливались фибровые про</w:t>
      </w:r>
      <w:r w:rsidRPr="00DB5D0D">
        <w:rPr>
          <w:rFonts w:ascii="Times New Roman" w:hAnsi="Times New Roman"/>
          <w:color w:val="000000" w:themeColor="text1"/>
          <w:sz w:val="16"/>
          <w:szCs w:val="16"/>
        </w:rPr>
        <w:softHyphen/>
        <w:t>тестированные бензобаки было получено удовлетворительное отечественное решение.</w:t>
      </w:r>
    </w:p>
    <w:p w14:paraId="6E9563F4"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Специалистам ВИАМ удалось довольно быстро отработать технологию изготовления фибровых протестированных бензобаков из отечественной авиационной конструкционной фибры. Уже к концу года изготовили 100 таких бензобаков для самолетов СБ, 30 баков - для Су-2 и 30 баков - для Як-1. В 1941 г. приняли решение о массовом производстве фибровых баков вместо использовавшихся ранее метал</w:t>
      </w:r>
      <w:r w:rsidRPr="00DB5D0D">
        <w:rPr>
          <w:rFonts w:ascii="Times New Roman" w:hAnsi="Times New Roman"/>
          <w:color w:val="000000" w:themeColor="text1"/>
          <w:sz w:val="16"/>
          <w:szCs w:val="16"/>
        </w:rPr>
        <w:softHyphen/>
        <w:t>лических.</w:t>
      </w:r>
    </w:p>
    <w:p w14:paraId="7428849F" w14:textId="77777777" w:rsidR="00C65D4B" w:rsidRPr="00DB5D0D" w:rsidRDefault="00C65D4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фибровых бензобаков в ВИАМ предло</w:t>
      </w:r>
      <w:r w:rsidRPr="00DB5D0D">
        <w:rPr>
          <w:rFonts w:ascii="Times New Roman" w:hAnsi="Times New Roman"/>
          <w:color w:val="000000" w:themeColor="text1"/>
          <w:sz w:val="16"/>
          <w:szCs w:val="16"/>
        </w:rPr>
        <w:softHyphen/>
        <w:t>жили специальный протектор (образца 1941 г.), который обеспечивал защиту от вытекания топ</w:t>
      </w:r>
      <w:r w:rsidRPr="00DB5D0D">
        <w:rPr>
          <w:rFonts w:ascii="Times New Roman" w:hAnsi="Times New Roman"/>
          <w:color w:val="000000" w:themeColor="text1"/>
          <w:sz w:val="16"/>
          <w:szCs w:val="16"/>
        </w:rPr>
        <w:softHyphen/>
        <w:t>лива на входных и выходных отверстиях при попадании пуль калибра 12,7 мм (всего до 5-8 пробоин). Вес протектора составлял 14,5 кг/м</w:t>
      </w:r>
      <w:r w:rsidRPr="00DB5D0D">
        <w:rPr>
          <w:rFonts w:ascii="Times New Roman" w:hAnsi="Times New Roman"/>
          <w:color w:val="000000" w:themeColor="text1"/>
          <w:sz w:val="16"/>
          <w:szCs w:val="16"/>
          <w:vertAlign w:val="superscript"/>
        </w:rPr>
        <w:t xml:space="preserve">2 </w:t>
      </w:r>
      <w:r w:rsidRPr="00DB5D0D">
        <w:rPr>
          <w:rFonts w:ascii="Times New Roman" w:hAnsi="Times New Roman"/>
          <w:color w:val="000000" w:themeColor="text1"/>
          <w:sz w:val="16"/>
          <w:szCs w:val="16"/>
        </w:rPr>
        <w:t>при толщине 17,5 мм (15768).</w:t>
      </w:r>
    </w:p>
    <w:p w14:paraId="5174AE7D" w14:textId="77777777" w:rsidR="00C65D4B" w:rsidRPr="00DB5D0D" w:rsidRDefault="00C65D4B" w:rsidP="00DB5D0D">
      <w:pPr>
        <w:spacing w:after="0" w:line="240" w:lineRule="auto"/>
        <w:jc w:val="both"/>
        <w:rPr>
          <w:rFonts w:ascii="Times New Roman" w:hAnsi="Times New Roman"/>
          <w:color w:val="000000" w:themeColor="text1"/>
          <w:sz w:val="16"/>
          <w:szCs w:val="16"/>
        </w:rPr>
      </w:pPr>
    </w:p>
    <w:p w14:paraId="0456CC74" w14:textId="77777777" w:rsidR="00A25AD1" w:rsidRPr="00DB5D0D" w:rsidRDefault="00A25AD1" w:rsidP="00DB5D0D">
      <w:pPr>
        <w:pStyle w:val="a3"/>
        <w:rPr>
          <w:color w:val="000000" w:themeColor="text1"/>
          <w:lang w:val="ru-RU"/>
        </w:rPr>
      </w:pPr>
      <w:r w:rsidRPr="00DB5D0D">
        <w:rPr>
          <w:color w:val="000000" w:themeColor="text1"/>
          <w:lang w:val="ru-RU"/>
        </w:rPr>
        <w:t>К середине 1940 г. интерес к «Огненному дождю» начал быстро угасать. Начальник Главного управ</w:t>
      </w:r>
      <w:r w:rsidRPr="00DB5D0D">
        <w:rPr>
          <w:color w:val="000000" w:themeColor="text1"/>
          <w:lang w:val="ru-RU"/>
        </w:rPr>
        <w:softHyphen/>
        <w:t>ления авиационного снабжения комдив Алексеев предложил огра</w:t>
      </w:r>
      <w:r w:rsidRPr="00DB5D0D">
        <w:rPr>
          <w:color w:val="000000" w:themeColor="text1"/>
          <w:lang w:val="ru-RU"/>
        </w:rPr>
        <w:softHyphen/>
        <w:t>ничиться небольшими заказами при</w:t>
      </w:r>
      <w:r w:rsidRPr="00DB5D0D">
        <w:rPr>
          <w:color w:val="000000" w:themeColor="text1"/>
          <w:lang w:val="ru-RU"/>
        </w:rPr>
        <w:softHyphen/>
        <w:t>боров в расчете на действия по живой силе летом.</w:t>
      </w:r>
    </w:p>
    <w:p w14:paraId="10EE25DB" w14:textId="77777777" w:rsidR="00A25AD1" w:rsidRPr="00DB5D0D" w:rsidRDefault="00A25AD1" w:rsidP="00DB5D0D">
      <w:pPr>
        <w:pStyle w:val="a3"/>
        <w:rPr>
          <w:color w:val="000000" w:themeColor="text1"/>
          <w:lang w:val="ru-RU"/>
        </w:rPr>
      </w:pPr>
      <w:r w:rsidRPr="00DB5D0D">
        <w:rPr>
          <w:color w:val="000000" w:themeColor="text1"/>
          <w:lang w:val="ru-RU"/>
        </w:rPr>
        <w:t>Дело было и в том, что появи</w:t>
      </w:r>
      <w:r w:rsidRPr="00DB5D0D">
        <w:rPr>
          <w:color w:val="000000" w:themeColor="text1"/>
          <w:lang w:val="ru-RU"/>
        </w:rPr>
        <w:softHyphen/>
        <w:t>лись новые виды зажигательного оружия, способные поражать боль</w:t>
      </w:r>
      <w:r w:rsidRPr="00DB5D0D">
        <w:rPr>
          <w:color w:val="000000" w:themeColor="text1"/>
          <w:lang w:val="ru-RU"/>
        </w:rPr>
        <w:softHyphen/>
        <w:t>шие площади, причем более эффек</w:t>
      </w:r>
      <w:r w:rsidRPr="00DB5D0D">
        <w:rPr>
          <w:color w:val="000000" w:themeColor="text1"/>
          <w:lang w:val="ru-RU"/>
        </w:rPr>
        <w:softHyphen/>
        <w:t>тивно. В широкое употребление вошли ампульные кассеты, из кото</w:t>
      </w:r>
      <w:r w:rsidRPr="00DB5D0D">
        <w:rPr>
          <w:color w:val="000000" w:themeColor="text1"/>
          <w:lang w:val="ru-RU"/>
        </w:rPr>
        <w:softHyphen/>
        <w:t>рых на цель сбрасывались шаро</w:t>
      </w:r>
      <w:r w:rsidRPr="00DB5D0D">
        <w:rPr>
          <w:color w:val="000000" w:themeColor="text1"/>
          <w:lang w:val="ru-RU"/>
        </w:rPr>
        <w:softHyphen/>
        <w:t>вые ампулы из стекла или жести. Заправленная в них жидкость КС, самовоспламенявшаяся на воздухе, эффективно поджигала дерево, ре</w:t>
      </w:r>
      <w:r w:rsidRPr="00DB5D0D">
        <w:rPr>
          <w:color w:val="000000" w:themeColor="text1"/>
          <w:lang w:val="ru-RU"/>
        </w:rPr>
        <w:softHyphen/>
        <w:t>зину, ткань, наносила тяжелые ожоги подопытным животным. С ее помо</w:t>
      </w:r>
      <w:r w:rsidRPr="00DB5D0D">
        <w:rPr>
          <w:color w:val="000000" w:themeColor="text1"/>
          <w:lang w:val="ru-RU"/>
        </w:rPr>
        <w:softHyphen/>
        <w:t>щью можно было поджечь автомо</w:t>
      </w:r>
      <w:r w:rsidRPr="00DB5D0D">
        <w:rPr>
          <w:color w:val="000000" w:themeColor="text1"/>
          <w:lang w:val="ru-RU"/>
        </w:rPr>
        <w:softHyphen/>
        <w:t>биль, самолет и даже танк. Прав</w:t>
      </w:r>
      <w:r w:rsidRPr="00DB5D0D">
        <w:rPr>
          <w:color w:val="000000" w:themeColor="text1"/>
          <w:lang w:val="ru-RU"/>
        </w:rPr>
        <w:softHyphen/>
        <w:t>да, в сильный мороз КС кристалли</w:t>
      </w:r>
      <w:r w:rsidRPr="00DB5D0D">
        <w:rPr>
          <w:color w:val="000000" w:themeColor="text1"/>
          <w:lang w:val="ru-RU"/>
        </w:rPr>
        <w:softHyphen/>
        <w:t>зовалась и вспыхивала с трудом, но в большинстве случаев действова</w:t>
      </w:r>
      <w:r w:rsidRPr="00DB5D0D">
        <w:rPr>
          <w:color w:val="000000" w:themeColor="text1"/>
          <w:lang w:val="ru-RU"/>
        </w:rPr>
        <w:softHyphen/>
        <w:t>ла очень надежно. Этой жидкостью стали заполнять ампулы.</w:t>
      </w:r>
    </w:p>
    <w:p w14:paraId="1B2F0061" w14:textId="77777777" w:rsidR="00A25AD1" w:rsidRPr="00DB5D0D" w:rsidRDefault="00A25AD1" w:rsidP="00DB5D0D">
      <w:pPr>
        <w:pStyle w:val="a3"/>
        <w:rPr>
          <w:color w:val="000000" w:themeColor="text1"/>
          <w:lang w:val="ru-RU"/>
        </w:rPr>
      </w:pPr>
      <w:r w:rsidRPr="00DB5D0D">
        <w:rPr>
          <w:color w:val="000000" w:themeColor="text1"/>
          <w:lang w:val="ru-RU"/>
        </w:rPr>
        <w:t>Применение ампул позволяло поднять высоту сброса, уменьшив вероятность поражения самолета зенитными средствами. Концентра</w:t>
      </w:r>
      <w:r w:rsidRPr="00DB5D0D">
        <w:rPr>
          <w:color w:val="000000" w:themeColor="text1"/>
          <w:lang w:val="ru-RU"/>
        </w:rPr>
        <w:softHyphen/>
        <w:t>ция жидкости в месте попадания ампулы от высоты полета почти не зависела - ампула разбивалась при ударе о землю.</w:t>
      </w:r>
    </w:p>
    <w:p w14:paraId="752E3717" w14:textId="77777777" w:rsidR="00A25AD1" w:rsidRPr="00DB5D0D" w:rsidRDefault="00A25AD1" w:rsidP="00DB5D0D">
      <w:pPr>
        <w:pStyle w:val="a3"/>
        <w:rPr>
          <w:color w:val="000000" w:themeColor="text1"/>
          <w:lang w:val="ru-RU"/>
        </w:rPr>
      </w:pPr>
      <w:r w:rsidRPr="00DB5D0D">
        <w:rPr>
          <w:color w:val="000000" w:themeColor="text1"/>
          <w:lang w:val="ru-RU"/>
        </w:rPr>
        <w:t>Другим важным конкурентом ста</w:t>
      </w:r>
      <w:r w:rsidRPr="00DB5D0D">
        <w:rPr>
          <w:color w:val="000000" w:themeColor="text1"/>
          <w:lang w:val="ru-RU"/>
        </w:rPr>
        <w:softHyphen/>
        <w:t>ла система «Огненный град», ис</w:t>
      </w:r>
      <w:r w:rsidRPr="00DB5D0D">
        <w:rPr>
          <w:color w:val="000000" w:themeColor="text1"/>
          <w:lang w:val="ru-RU"/>
        </w:rPr>
        <w:softHyphen/>
        <w:t>пользовавшая термитные шары разного размера. Температура горения термита выше, чем у фос</w:t>
      </w:r>
      <w:r w:rsidRPr="00DB5D0D">
        <w:rPr>
          <w:color w:val="000000" w:themeColor="text1"/>
          <w:lang w:val="ru-RU"/>
        </w:rPr>
        <w:softHyphen/>
        <w:t>фора, соответственно он способен поджечь и менее горючие матери</w:t>
      </w:r>
      <w:r w:rsidRPr="00DB5D0D">
        <w:rPr>
          <w:color w:val="000000" w:themeColor="text1"/>
          <w:lang w:val="ru-RU"/>
        </w:rPr>
        <w:softHyphen/>
        <w:t>алы. Термит предлагали использо</w:t>
      </w:r>
      <w:r w:rsidRPr="00DB5D0D">
        <w:rPr>
          <w:color w:val="000000" w:themeColor="text1"/>
          <w:lang w:val="ru-RU"/>
        </w:rPr>
        <w:softHyphen/>
        <w:t>вать давно. В 1933 г. П.И. Гроховс- кий заложил в план работ своего Осконбюро «зажигательный тер- мит-кассет» Г-51 для бомбардиров</w:t>
      </w:r>
      <w:r w:rsidRPr="00DB5D0D">
        <w:rPr>
          <w:color w:val="000000" w:themeColor="text1"/>
          <w:lang w:val="ru-RU"/>
        </w:rPr>
        <w:softHyphen/>
        <w:t>щика ТБ-1. Два «кассета» должны были подвешиваться на внутренние держатели в бомбоотсеке. В кон</w:t>
      </w:r>
      <w:r w:rsidRPr="00DB5D0D">
        <w:rPr>
          <w:color w:val="000000" w:themeColor="text1"/>
          <w:lang w:val="ru-RU"/>
        </w:rPr>
        <w:softHyphen/>
        <w:t>тейнере должны были укладывать</w:t>
      </w:r>
      <w:r w:rsidRPr="00DB5D0D">
        <w:rPr>
          <w:color w:val="000000" w:themeColor="text1"/>
          <w:lang w:val="ru-RU"/>
        </w:rPr>
        <w:softHyphen/>
        <w:t>ся 5000 термитных патронов, каж</w:t>
      </w:r>
      <w:r w:rsidRPr="00DB5D0D">
        <w:rPr>
          <w:color w:val="000000" w:themeColor="text1"/>
          <w:lang w:val="ru-RU"/>
        </w:rPr>
        <w:softHyphen/>
        <w:t>дый со своим фитилем. На выход</w:t>
      </w:r>
      <w:r w:rsidRPr="00DB5D0D">
        <w:rPr>
          <w:color w:val="000000" w:themeColor="text1"/>
          <w:lang w:val="ru-RU"/>
        </w:rPr>
        <w:softHyphen/>
        <w:t>ном люке собирались поставить за</w:t>
      </w:r>
      <w:r w:rsidRPr="00DB5D0D">
        <w:rPr>
          <w:color w:val="000000" w:themeColor="text1"/>
          <w:lang w:val="ru-RU"/>
        </w:rPr>
        <w:softHyphen/>
        <w:t>жигательное устройство, впрыски</w:t>
      </w:r>
      <w:r w:rsidRPr="00DB5D0D">
        <w:rPr>
          <w:color w:val="000000" w:themeColor="text1"/>
          <w:lang w:val="ru-RU"/>
        </w:rPr>
        <w:softHyphen/>
        <w:t>вавшее бензин и поджигавшее его от магнето. А уже бензиновое пла</w:t>
      </w:r>
      <w:r w:rsidRPr="00DB5D0D">
        <w:rPr>
          <w:color w:val="000000" w:themeColor="text1"/>
          <w:lang w:val="ru-RU"/>
        </w:rPr>
        <w:softHyphen/>
        <w:t>мя поджигало фитили патронов. Термит собирались использовать и в кассете Г-59 для «крейсера» Р-6. По замыслу, это был «дважды кас</w:t>
      </w:r>
      <w:r w:rsidRPr="00DB5D0D">
        <w:rPr>
          <w:color w:val="000000" w:themeColor="text1"/>
          <w:lang w:val="ru-RU"/>
        </w:rPr>
        <w:softHyphen/>
        <w:t>сетный» боеприпас. Из него долж</w:t>
      </w:r>
      <w:r w:rsidRPr="00DB5D0D">
        <w:rPr>
          <w:color w:val="000000" w:themeColor="text1"/>
          <w:lang w:val="ru-RU"/>
        </w:rPr>
        <w:softHyphen/>
        <w:t>ны были высыпаться 300 небольших бомб; падая, они разрывались, раз</w:t>
      </w:r>
      <w:r w:rsidRPr="00DB5D0D">
        <w:rPr>
          <w:color w:val="000000" w:themeColor="text1"/>
          <w:lang w:val="ru-RU"/>
        </w:rPr>
        <w:softHyphen/>
        <w:t>брасывая термитные патроны. В том же плане упоминается проект без обозначения - контейнер для разбрасывания термитных шаров с ТБ-1. Но никаких данных о реали</w:t>
      </w:r>
      <w:r w:rsidRPr="00DB5D0D">
        <w:rPr>
          <w:color w:val="000000" w:themeColor="text1"/>
          <w:lang w:val="ru-RU"/>
        </w:rPr>
        <w:softHyphen/>
        <w:t>зации этих задумок не обнаруже</w:t>
      </w:r>
      <w:r w:rsidRPr="00DB5D0D">
        <w:rPr>
          <w:color w:val="000000" w:themeColor="text1"/>
          <w:lang w:val="ru-RU"/>
        </w:rPr>
        <w:softHyphen/>
        <w:t>но. Реально к термитным системам вернулись значительно позже (12022).</w:t>
      </w:r>
    </w:p>
    <w:p w14:paraId="090473DB" w14:textId="77777777" w:rsidR="00A25AD1" w:rsidRPr="00DB5D0D" w:rsidRDefault="00A25AD1" w:rsidP="00DB5D0D">
      <w:pPr>
        <w:pStyle w:val="a3"/>
        <w:rPr>
          <w:color w:val="000000" w:themeColor="text1"/>
          <w:lang w:val="ru-RU"/>
        </w:rPr>
      </w:pPr>
    </w:p>
    <w:p w14:paraId="0ADD4D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лета 1940 начальник опытного отдела НИПАВ ГУАС КА военинженер 1 ранга С.Онисько и начальник 2 отделения опытного отдела военинженер 1 ранга Цилов сформировали программу полигонных ис</w:t>
      </w:r>
      <w:r w:rsidRPr="00DB5D0D">
        <w:rPr>
          <w:rFonts w:ascii="Times New Roman" w:hAnsi="Times New Roman"/>
          <w:color w:val="000000" w:themeColor="text1"/>
          <w:sz w:val="16"/>
          <w:szCs w:val="16"/>
        </w:rPr>
        <w:softHyphen/>
        <w:t>пытаний РБС- 132 двух вариантов с опытными взрывателями АВ-96 сн1 ЦКБ-22 (ее 2 августа 1940 г. утвердил начальник НИПАВ полковник Г.М.Шевченко), но.в интересах «сухопутной авиации» — ВВС КА.</w:t>
      </w:r>
    </w:p>
    <w:p w14:paraId="66FFC3D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каждому варианту РБС- 132 планировалось оценить прочность корпуса БЧ при стрельбе с дистанции 1000-1200 м по бетонной площад</w:t>
      </w:r>
      <w:r w:rsidRPr="00DB5D0D">
        <w:rPr>
          <w:rFonts w:ascii="Times New Roman" w:hAnsi="Times New Roman"/>
          <w:color w:val="000000" w:themeColor="text1"/>
          <w:sz w:val="16"/>
          <w:szCs w:val="16"/>
        </w:rPr>
        <w:softHyphen/>
        <w:t>ке с бомбардировщика СБ на пикировании. Глубину проникания в бетой затем пересчитывали на проникающую способность по броне. При этом необходимо было фиксировать глубину проникания боеприпасов, а так</w:t>
      </w:r>
      <w:r w:rsidRPr="00DB5D0D">
        <w:rPr>
          <w:rFonts w:ascii="Times New Roman" w:hAnsi="Times New Roman"/>
          <w:color w:val="000000" w:themeColor="text1"/>
          <w:sz w:val="16"/>
          <w:szCs w:val="16"/>
        </w:rPr>
        <w:softHyphen/>
        <w:t>же безотказность действия взрывателей АВ-96. По самому скромному подсчету, для этого требовалось израсходовать 13 инертных РБС -132 первого варианта и 20 боевых, три инертных РБС-132 второго варианта 15 боевых, а также 39 взрывателей АВ-96 (только для боевых РБС). Инертные РБС-132 без взрывателей планировали использовать только для одиночной стрельбы при скорости носителя 250 км/ч. На масштабном плане местности после каждого полета требовалось фиксировать падения боеприпаса в районе цели, а деформированные корпуса БЧ в обязательном порядке фотографировать.</w:t>
      </w:r>
    </w:p>
    <w:p w14:paraId="7D08D250"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Итак, поскольку на Ногинский полигон поступили ракетно-бронебойные снаряды, а обещанный морскими авиаторами бомбардировщик ДБ-3 еще не прибыл, военные решили отстрелять боеприпасы по программе ВВС с бомбардировщика СБ. Заметим, что оперативно и тайком эту затею решили реализовать, в тот же день, утвердив и программу испытаний. Что из этого получилось, говорится в донесении начальнику 8-го управления ГУ ВВС КА военинженеру 1 ранга Никонову от 8 августа 1940 г. за подписями председателя комиссии старшего инженера 2 от</w:t>
      </w:r>
      <w:r w:rsidRPr="00DB5D0D">
        <w:rPr>
          <w:rFonts w:ascii="Times New Roman" w:hAnsi="Times New Roman"/>
          <w:color w:val="000000" w:themeColor="text1"/>
          <w:sz w:val="16"/>
          <w:szCs w:val="16"/>
        </w:rPr>
        <w:softHyphen/>
        <w:t>деления военинженера 1 ранга Беляева и членов комиссии военинженера 3 ранга Пантелеева и майора Ашиткова. «Доношу, что 2 августа 1940 г. при стрельбе РБС-132 в серном снаряжении с бомбардировщика СБ с бортовым №221 во втором полете при втором выстреле с УРО №2 (левая плоскость) газами от РЗ отогнуло осевой компенсатор основной секции элерона на 90° вниз. Стрелял с пикирова</w:t>
      </w:r>
      <w:r w:rsidRPr="00DB5D0D">
        <w:rPr>
          <w:rFonts w:ascii="Times New Roman" w:hAnsi="Times New Roman"/>
          <w:color w:val="000000" w:themeColor="text1"/>
          <w:sz w:val="16"/>
          <w:szCs w:val="16"/>
        </w:rPr>
        <w:softHyphen/>
        <w:t>ния под утлом 45° летчик полковник Борщев. На высоте 1200 м при скоро</w:t>
      </w:r>
      <w:r w:rsidRPr="00DB5D0D">
        <w:rPr>
          <w:rFonts w:ascii="Times New Roman" w:hAnsi="Times New Roman"/>
          <w:color w:val="000000" w:themeColor="text1"/>
          <w:sz w:val="16"/>
          <w:szCs w:val="16"/>
        </w:rPr>
        <w:softHyphen/>
        <w:t>сти 240 км/ч произошел резкий рывок штурвала с отклонением до 30 гр. ле</w:t>
      </w:r>
      <w:r w:rsidRPr="00DB5D0D">
        <w:rPr>
          <w:rFonts w:ascii="Times New Roman" w:hAnsi="Times New Roman"/>
          <w:color w:val="000000" w:themeColor="text1"/>
          <w:sz w:val="16"/>
          <w:szCs w:val="16"/>
        </w:rPr>
        <w:softHyphen/>
        <w:t>вый крен и сильная вибрация всего самолета. Звук от двигателя РС имел усиливающийся двойной характер. Самолет выровняли левым мотором, снятием нагрузки триммером и приложением усилий пилота. Предполагаемая причина - недостаточная прочность элеронов для стрельбы РБС -132 с повышенным РЗ (7,28 кг) и большим критическим сечением сопла. Мною испытания прекращены до доработки самолета под РБС-132».</w:t>
      </w:r>
    </w:p>
    <w:p w14:paraId="567944A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Именно таким образом судьба, образно выражаясь, наказала ВВС за неприличный проступок. Когда в Управлении ВВС ВМФ узнали, что их опытными боеприпасами без уведомления пользуются конкуренты, не</w:t>
      </w:r>
      <w:r w:rsidRPr="00DB5D0D">
        <w:rPr>
          <w:rFonts w:ascii="Times New Roman" w:hAnsi="Times New Roman"/>
          <w:color w:val="000000" w:themeColor="text1"/>
          <w:sz w:val="16"/>
          <w:szCs w:val="16"/>
        </w:rPr>
        <w:softHyphen/>
        <w:t>годованию не было границ. Примерно это могло выглядеть так: «Мы за</w:t>
      </w:r>
      <w:r w:rsidRPr="00DB5D0D">
        <w:rPr>
          <w:rFonts w:ascii="Times New Roman" w:hAnsi="Times New Roman"/>
          <w:color w:val="000000" w:themeColor="text1"/>
          <w:sz w:val="16"/>
          <w:szCs w:val="16"/>
        </w:rPr>
        <w:softHyphen/>
        <w:t>казывали, мы оплачивали, мы создавали, а с нами даже не советуются!». Дабы не создавать более прецедентов, 18 сентября 1940 г. согласно прось</w:t>
      </w:r>
      <w:r w:rsidRPr="00DB5D0D">
        <w:rPr>
          <w:rFonts w:ascii="Times New Roman" w:hAnsi="Times New Roman"/>
          <w:color w:val="000000" w:themeColor="text1"/>
          <w:sz w:val="16"/>
          <w:szCs w:val="16"/>
        </w:rPr>
        <w:softHyphen/>
        <w:t>бы начальника 7 отдела УА ВМФ воснинженера 1 ранга Захаренко и на</w:t>
      </w:r>
      <w:r w:rsidRPr="00DB5D0D">
        <w:rPr>
          <w:rFonts w:ascii="Times New Roman" w:hAnsi="Times New Roman"/>
          <w:color w:val="000000" w:themeColor="text1"/>
          <w:sz w:val="16"/>
          <w:szCs w:val="16"/>
        </w:rPr>
        <w:softHyphen/>
        <w:t>чальника 2 отделения 7 отдела УА ВМФ военинженсра 1 ранга Кудрова оставшиеся 44 штуки РБС-132 с взрывателями АВ-96 отправили в Ленинград. В итоге руководство ВВС ВМФ основательно поссорилось с ГУ ВВС КА и больше не обращалось к ним с просьбами об аренде полигона.</w:t>
      </w:r>
    </w:p>
    <w:p w14:paraId="054B31E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Доподлинно не известно, каким образом ГУ ВВС КА компенсиро</w:t>
      </w:r>
      <w:r w:rsidRPr="00DB5D0D">
        <w:rPr>
          <w:rFonts w:ascii="Times New Roman" w:hAnsi="Times New Roman"/>
          <w:color w:val="000000" w:themeColor="text1"/>
          <w:sz w:val="16"/>
          <w:szCs w:val="16"/>
        </w:rPr>
        <w:softHyphen/>
        <w:t>вало финансовый ущерб морским авиаторам, но история получила са</w:t>
      </w:r>
      <w:r w:rsidRPr="00DB5D0D">
        <w:rPr>
          <w:rFonts w:ascii="Times New Roman" w:hAnsi="Times New Roman"/>
          <w:color w:val="000000" w:themeColor="text1"/>
          <w:sz w:val="16"/>
          <w:szCs w:val="16"/>
        </w:rPr>
        <w:softHyphen/>
        <w:t>мое неожиданное продолжение. Во-первых, ВВС ВМФ твердо реши</w:t>
      </w:r>
      <w:r w:rsidRPr="00DB5D0D">
        <w:rPr>
          <w:rFonts w:ascii="Times New Roman" w:hAnsi="Times New Roman"/>
          <w:color w:val="000000" w:themeColor="text1"/>
          <w:sz w:val="16"/>
          <w:szCs w:val="16"/>
        </w:rPr>
        <w:softHyphen/>
        <w:t>ли в дальнейшем испытывать РБС только своими силами, но для за</w:t>
      </w:r>
      <w:r w:rsidRPr="00DB5D0D">
        <w:rPr>
          <w:rFonts w:ascii="Times New Roman" w:hAnsi="Times New Roman"/>
          <w:color w:val="000000" w:themeColor="text1"/>
          <w:sz w:val="16"/>
          <w:szCs w:val="16"/>
        </w:rPr>
        <w:softHyphen/>
        <w:t>вершения программы полигонных испытаний требовалось восстано</w:t>
      </w:r>
      <w:r w:rsidRPr="00DB5D0D">
        <w:rPr>
          <w:rFonts w:ascii="Times New Roman" w:hAnsi="Times New Roman"/>
          <w:color w:val="000000" w:themeColor="text1"/>
          <w:sz w:val="16"/>
          <w:szCs w:val="16"/>
        </w:rPr>
        <w:softHyphen/>
        <w:t>вить необходимое количество снарядов (11402).</w:t>
      </w:r>
    </w:p>
    <w:p w14:paraId="30C63B18"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3FD5C8D5"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786674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A35B93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и осенью 1940 в НКАП были представлены эскизные проекты более совершенных самолетовполя боя Боровкова и Флорова И-207 № 10 и № 11 (9649).</w:t>
      </w:r>
    </w:p>
    <w:p w14:paraId="0A0FF87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Конструктивные отличия И-207 № 10 от предыдущих вариантов сводились к тому, что верхние и нижние крылья были изогнуты в виде «чайки».</w:t>
      </w:r>
    </w:p>
    <w:p w14:paraId="21BC5DA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Хвостовая часть фюзеляжа вместо деревянной представляла дюралевый монокок с работающей обшивкой. В хвостовой части предусматривалась установка прямоточного двигателя И. А. Меркулова.</w:t>
      </w:r>
    </w:p>
    <w:p w14:paraId="52628B4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было трехколесным убирающимся. В качестве мотора конструкторы выбрали М-71.</w:t>
      </w:r>
    </w:p>
    <w:p w14:paraId="29858C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бомбовая нагрузка составляла 1000 кг (2х500 или 4х250). Стрелковое вооружение включало два пулемета калибра 12,7 мм и 2 - калибра 7,62 мм.</w:t>
      </w:r>
    </w:p>
    <w:p w14:paraId="0361E6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Предусматривалась подвеска 8 PC-82. Бронирование предусматривало использование бронеспинки из цементированной брони толщиной 8,5 мм и бронесидения толщиной 4-4,5 мм.</w:t>
      </w:r>
    </w:p>
    <w:p w14:paraId="5DD50E1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полета без включения ПВРД по проекту - 658 км/ч. По мнению комиссии с учетом потерь на охлаждение мощного мотора и дополнительного аэродинамического сопротивления реактивного двигателя максимальная скорость без включения ПВРД могла быть 605 км/ч.</w:t>
      </w:r>
    </w:p>
    <w:p w14:paraId="5189CA9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Следовательно, в варианте самолета поля боя она была бы не менее 550 км/ч. Этот вариант И-207 в полной мере мог бы быть эффективным самолетом поля боя. С реальным мотором М-82А максимальная скорость полета могла быть не менее 520 км/ч (9649).</w:t>
      </w:r>
    </w:p>
    <w:p w14:paraId="2E2ECF7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 представлен в июне 1940 и рассмотрен 3 августа 1940.</w:t>
      </w:r>
    </w:p>
    <w:p w14:paraId="54D9C75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появился эскизный проект И-207 № 11, который являлся переработкой самолета № 10 под основное назначение по требованию комиссии Юрьева.</w:t>
      </w:r>
    </w:p>
    <w:p w14:paraId="41C06C6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отличия сводились к тому, что на самолете устанавливались два двигателя Меркулова. Мотор М-71 предполагалось использовать с удлиненным валом. Бомбовое вооружение включало 2 бомбы по 250 кг. Вместо бомб предусматривалась подвеска двух пушек ПТБ-23 калибра 23 мм.</w:t>
      </w:r>
    </w:p>
    <w:p w14:paraId="0E0AAC0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устанавливались 2 синхронных пулемета калибра 12,7 мм и 2 нормального калибра. Максимальная скорость на высоте 5830 м без включения ПВРД - 654 км/ч.</w:t>
      </w:r>
    </w:p>
    <w:p w14:paraId="4A76DD9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проекту максимальная скорость с бомбовой нагрузкой составляла 611 км/ч. Время набора высоты 5000 м, соответственно - 3,7 и 4,5 мин.</w:t>
      </w:r>
    </w:p>
    <w:p w14:paraId="4D1EC6A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комиссии, без бомб максимальная скорость могла быть равной 630 км/ч. Тогда с бомбами можно было ожидать скорость порядка 585 км/ч. Комиссия посчитала целесообразным строить самолет как экспериментальный. Яковлев согласился включить работу в план экспериментальных работ.</w:t>
      </w:r>
    </w:p>
    <w:p w14:paraId="30B82A1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самолета И-207 № 11 был представлен в сентябре и рассмотрен в октябре 1940 г. (9649).</w:t>
      </w:r>
    </w:p>
    <w:p w14:paraId="2432C4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AB7215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Летом-осенью 1940 г. прошли Государственные испытания головного крейсера пр.26-бис “Максим Горький”, оснащенного катапультой ЗК-1 Б. Они показали, что замечания, высказанные в адрес авиационного вооружения крейсеров пр.26, во многом остались неустраненными: отсутствие площадок, трапов, других необходимых приспособлений, недостаточный вылет стрелы са-молетно-барказного крана. Тем не менее, катапульты типа ЗК-1 остались на крейсерах пр.26-бис (9966).</w:t>
      </w:r>
    </w:p>
    <w:p w14:paraId="6E86ABE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F7E41B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9ACFB1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C29EF8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года сдаются испытания более совершенного мотора АМ-35А, обладающего по сравнению с АМ-34 большой мощностью и высотностью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5FD815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промышленных зданий на этой площадке начато в 1940 году.</w:t>
      </w:r>
    </w:p>
    <w:p w14:paraId="7FD091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w:t>
      </w:r>
    </w:p>
    <w:p w14:paraId="7F643E7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7D5DF8" w:rsidRPr="00DB5D0D" w14:paraId="6BF0A278" w14:textId="77777777" w:rsidTr="009223E5">
        <w:tc>
          <w:tcPr>
            <w:tcW w:w="2235" w:type="dxa"/>
          </w:tcPr>
          <w:p w14:paraId="43BD84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Объекты</w:t>
            </w:r>
          </w:p>
        </w:tc>
        <w:tc>
          <w:tcPr>
            <w:tcW w:w="2268" w:type="dxa"/>
          </w:tcPr>
          <w:p w14:paraId="58967BF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 год</w:t>
            </w:r>
          </w:p>
        </w:tc>
        <w:tc>
          <w:tcPr>
            <w:tcW w:w="2198" w:type="dxa"/>
          </w:tcPr>
          <w:p w14:paraId="201DA9C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1943 год</w:t>
            </w:r>
          </w:p>
        </w:tc>
        <w:tc>
          <w:tcPr>
            <w:tcW w:w="2196" w:type="dxa"/>
          </w:tcPr>
          <w:p w14:paraId="2D06762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1944 год</w:t>
            </w:r>
          </w:p>
        </w:tc>
      </w:tr>
      <w:tr w:rsidR="007D5DF8" w:rsidRPr="00DB5D0D" w14:paraId="0DC5655B" w14:textId="77777777" w:rsidTr="009223E5">
        <w:tc>
          <w:tcPr>
            <w:tcW w:w="2235" w:type="dxa"/>
          </w:tcPr>
          <w:p w14:paraId="0995B4A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tc>
        <w:tc>
          <w:tcPr>
            <w:tcW w:w="2268" w:type="dxa"/>
          </w:tcPr>
          <w:p w14:paraId="4F413E0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173</w:t>
            </w:r>
          </w:p>
        </w:tc>
        <w:tc>
          <w:tcPr>
            <w:tcW w:w="2198" w:type="dxa"/>
          </w:tcPr>
          <w:p w14:paraId="14F5123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202</w:t>
            </w:r>
          </w:p>
        </w:tc>
        <w:tc>
          <w:tcPr>
            <w:tcW w:w="2196" w:type="dxa"/>
          </w:tcPr>
          <w:p w14:paraId="18C9B8D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6DAB4F3" w14:textId="77777777" w:rsidTr="009223E5">
        <w:tc>
          <w:tcPr>
            <w:tcW w:w="2235" w:type="dxa"/>
          </w:tcPr>
          <w:p w14:paraId="68CE059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АМ-38</w:t>
            </w:r>
          </w:p>
        </w:tc>
        <w:tc>
          <w:tcPr>
            <w:tcW w:w="2268" w:type="dxa"/>
          </w:tcPr>
          <w:p w14:paraId="42B927C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7832</w:t>
            </w:r>
          </w:p>
        </w:tc>
        <w:tc>
          <w:tcPr>
            <w:tcW w:w="2198" w:type="dxa"/>
          </w:tcPr>
          <w:p w14:paraId="5438DB4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196" w:type="dxa"/>
          </w:tcPr>
          <w:p w14:paraId="24414402"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05819637" w14:textId="77777777" w:rsidTr="009223E5">
        <w:tc>
          <w:tcPr>
            <w:tcW w:w="2235" w:type="dxa"/>
          </w:tcPr>
          <w:p w14:paraId="3F5CBF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АМ38Ф</w:t>
            </w:r>
          </w:p>
        </w:tc>
        <w:tc>
          <w:tcPr>
            <w:tcW w:w="2268" w:type="dxa"/>
          </w:tcPr>
          <w:p w14:paraId="642290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377</w:t>
            </w:r>
          </w:p>
        </w:tc>
        <w:tc>
          <w:tcPr>
            <w:tcW w:w="2198" w:type="dxa"/>
          </w:tcPr>
          <w:p w14:paraId="1D1282A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10584</w:t>
            </w:r>
          </w:p>
        </w:tc>
        <w:tc>
          <w:tcPr>
            <w:tcW w:w="2196" w:type="dxa"/>
          </w:tcPr>
          <w:p w14:paraId="6A2AC2D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10330</w:t>
            </w:r>
          </w:p>
        </w:tc>
      </w:tr>
      <w:tr w:rsidR="007D5DF8" w:rsidRPr="00DB5D0D" w14:paraId="6848EA18" w14:textId="77777777" w:rsidTr="009223E5">
        <w:tc>
          <w:tcPr>
            <w:tcW w:w="2235" w:type="dxa"/>
          </w:tcPr>
          <w:p w14:paraId="576C62D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ГАМ-34ВС</w:t>
            </w:r>
          </w:p>
        </w:tc>
        <w:tc>
          <w:tcPr>
            <w:tcW w:w="2268" w:type="dxa"/>
          </w:tcPr>
          <w:p w14:paraId="7419C2E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2198" w:type="dxa"/>
          </w:tcPr>
          <w:p w14:paraId="1B56F31C"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c>
          <w:tcPr>
            <w:tcW w:w="2196" w:type="dxa"/>
          </w:tcPr>
          <w:p w14:paraId="71B92EE5" w14:textId="77777777" w:rsidR="00A25AD1" w:rsidRPr="00DB5D0D" w:rsidRDefault="00A25AD1" w:rsidP="00DB5D0D">
            <w:pPr>
              <w:spacing w:after="0" w:line="240" w:lineRule="auto"/>
              <w:jc w:val="both"/>
              <w:rPr>
                <w:rFonts w:ascii="Times New Roman" w:hAnsi="Times New Roman"/>
                <w:color w:val="000000" w:themeColor="text1"/>
                <w:sz w:val="16"/>
                <w:szCs w:val="16"/>
              </w:rPr>
            </w:pPr>
          </w:p>
        </w:tc>
      </w:tr>
      <w:tr w:rsidR="007D5DF8" w:rsidRPr="00DB5D0D" w14:paraId="21DBC918" w14:textId="77777777" w:rsidTr="009223E5">
        <w:tc>
          <w:tcPr>
            <w:tcW w:w="2235" w:type="dxa"/>
          </w:tcPr>
          <w:p w14:paraId="504991E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АМ-42</w:t>
            </w:r>
          </w:p>
        </w:tc>
        <w:tc>
          <w:tcPr>
            <w:tcW w:w="2268" w:type="dxa"/>
          </w:tcPr>
          <w:p w14:paraId="317030E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2198" w:type="dxa"/>
          </w:tcPr>
          <w:p w14:paraId="3811C9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2196" w:type="dxa"/>
          </w:tcPr>
          <w:p w14:paraId="1D6409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501</w:t>
            </w:r>
          </w:p>
        </w:tc>
      </w:tr>
    </w:tbl>
    <w:p w14:paraId="07BE54B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2BC4D6C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Адрес: Куйбышев, Кировский район, п/я 32</w:t>
      </w:r>
    </w:p>
    <w:p w14:paraId="396FA7F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Производственный профиль – авиадвигателестроение. В мае 1949 года Правительство приняло решение об организации на заводе производства реактивных двигателей ВК-1 конструкции Климова.</w:t>
      </w:r>
    </w:p>
    <w:p w14:paraId="0B8C9B1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Госиспытание двигателя ВК-1 было сдано в январе 1950 года. В 1951 и 1952 гг. завод выпускал двигатели ВК-1 и АМ-42 (9755).</w:t>
      </w:r>
    </w:p>
    <w:p w14:paraId="2C2740D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F020E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1940 г. опытный образец подвесной кабины Герасимова для ДБ-3 еще не достроили до конца. Применением этой кабины пытались прасширить возможности ДБ-3 как разведчика. Идея была проста: бомбардировщик нес под фюзеляжем что-то вроде ма</w:t>
      </w:r>
      <w:r w:rsidRPr="00DB5D0D">
        <w:rPr>
          <w:rFonts w:ascii="Times New Roman" w:hAnsi="Times New Roman"/>
          <w:color w:val="000000" w:themeColor="text1"/>
          <w:sz w:val="16"/>
          <w:szCs w:val="16"/>
        </w:rPr>
        <w:softHyphen/>
        <w:t>ленького планера, который при необхо</w:t>
      </w:r>
      <w:r w:rsidRPr="00DB5D0D">
        <w:rPr>
          <w:rFonts w:ascii="Times New Roman" w:hAnsi="Times New Roman"/>
          <w:color w:val="000000" w:themeColor="text1"/>
          <w:sz w:val="16"/>
          <w:szCs w:val="16"/>
        </w:rPr>
        <w:softHyphen/>
        <w:t>димости опускался на тросе вниз. В нем сидел штурман-наблюдатель. Первона</w:t>
      </w:r>
      <w:r w:rsidRPr="00DB5D0D">
        <w:rPr>
          <w:rFonts w:ascii="Times New Roman" w:hAnsi="Times New Roman"/>
          <w:color w:val="000000" w:themeColor="text1"/>
          <w:sz w:val="16"/>
          <w:szCs w:val="16"/>
        </w:rPr>
        <w:softHyphen/>
        <w:t>чально такая конструкция предлагалась для четырехмоторного ТБ-3. Разведы</w:t>
      </w:r>
      <w:r w:rsidRPr="00DB5D0D">
        <w:rPr>
          <w:rFonts w:ascii="Times New Roman" w:hAnsi="Times New Roman"/>
          <w:color w:val="000000" w:themeColor="text1"/>
          <w:sz w:val="16"/>
          <w:szCs w:val="16"/>
        </w:rPr>
        <w:softHyphen/>
        <w:t>вательная кабина, по расчетам автора, позволяла самому бомбардировщику держаться повыше, подальше от зени</w:t>
      </w:r>
      <w:r w:rsidRPr="00DB5D0D">
        <w:rPr>
          <w:rFonts w:ascii="Times New Roman" w:hAnsi="Times New Roman"/>
          <w:color w:val="000000" w:themeColor="text1"/>
          <w:sz w:val="16"/>
          <w:szCs w:val="16"/>
        </w:rPr>
        <w:softHyphen/>
        <w:t>ток. Самолет мог идти в облаках, а ка</w:t>
      </w:r>
      <w:r w:rsidRPr="00DB5D0D">
        <w:rPr>
          <w:rFonts w:ascii="Times New Roman" w:hAnsi="Times New Roman"/>
          <w:color w:val="000000" w:themeColor="text1"/>
          <w:sz w:val="16"/>
          <w:szCs w:val="16"/>
        </w:rPr>
        <w:softHyphen/>
        <w:t>бина под кромкой облачности. Из нее можно было вести визуальную развед</w:t>
      </w:r>
      <w:r w:rsidRPr="00DB5D0D">
        <w:rPr>
          <w:rFonts w:ascii="Times New Roman" w:hAnsi="Times New Roman"/>
          <w:color w:val="000000" w:themeColor="text1"/>
          <w:sz w:val="16"/>
          <w:szCs w:val="16"/>
        </w:rPr>
        <w:softHyphen/>
        <w:t>ку, фотографирование и прицеливание при бомбометании. Кабина под ТБ-3 была реально построена и испытана. Кабина для ДБ-3 изготовлялась целиком из дерева и выглядела как самолет без кры</w:t>
      </w:r>
      <w:r w:rsidRPr="00DB5D0D">
        <w:rPr>
          <w:rFonts w:ascii="Times New Roman" w:hAnsi="Times New Roman"/>
          <w:color w:val="000000" w:themeColor="text1"/>
          <w:sz w:val="16"/>
          <w:szCs w:val="16"/>
        </w:rPr>
        <w:softHyphen/>
        <w:t>льев. В хвостовой части размещалось горизонтальное оперение и руль на</w:t>
      </w:r>
      <w:r w:rsidRPr="00DB5D0D">
        <w:rPr>
          <w:rFonts w:ascii="Times New Roman" w:hAnsi="Times New Roman"/>
          <w:color w:val="000000" w:themeColor="text1"/>
          <w:sz w:val="16"/>
          <w:szCs w:val="16"/>
        </w:rPr>
        <w:softHyphen/>
        <w:t>правления. В отличие от первого вари</w:t>
      </w:r>
      <w:r w:rsidRPr="00DB5D0D">
        <w:rPr>
          <w:rFonts w:ascii="Times New Roman" w:hAnsi="Times New Roman"/>
          <w:color w:val="000000" w:themeColor="text1"/>
          <w:sz w:val="16"/>
          <w:szCs w:val="16"/>
        </w:rPr>
        <w:softHyphen/>
        <w:t>анта штурман сидел в полностью за</w:t>
      </w:r>
      <w:r w:rsidRPr="00DB5D0D">
        <w:rPr>
          <w:rFonts w:ascii="Times New Roman" w:hAnsi="Times New Roman"/>
          <w:color w:val="000000" w:themeColor="text1"/>
          <w:sz w:val="16"/>
          <w:szCs w:val="16"/>
        </w:rPr>
        <w:softHyphen/>
        <w:t>крытой кабине. Он располагал основ</w:t>
      </w:r>
      <w:r w:rsidRPr="00DB5D0D">
        <w:rPr>
          <w:rFonts w:ascii="Times New Roman" w:hAnsi="Times New Roman"/>
          <w:color w:val="000000" w:themeColor="text1"/>
          <w:sz w:val="16"/>
          <w:szCs w:val="16"/>
        </w:rPr>
        <w:softHyphen/>
        <w:t>ными приборами, прицелом ОПБ-2 и связывался со штурманом самолета-но</w:t>
      </w:r>
      <w:r w:rsidRPr="00DB5D0D">
        <w:rPr>
          <w:rFonts w:ascii="Times New Roman" w:hAnsi="Times New Roman"/>
          <w:color w:val="000000" w:themeColor="text1"/>
          <w:sz w:val="16"/>
          <w:szCs w:val="16"/>
        </w:rPr>
        <w:softHyphen/>
        <w:t>сителя с помощью УКВ-радиостанции. Предполагалось, что он будет садиться в полете через люк стрелка, для чего после выпуска троса на 10-15 м кабину подтягивали под люк. Вниз кабина шла под собственным весом, удерживаемая тормозом. Вверх ее тянула лебедка, приводимая в действие мотоциклетным мотором ПМЗ мощностью 18 л.с. Ле</w:t>
      </w:r>
      <w:r w:rsidRPr="00DB5D0D">
        <w:rPr>
          <w:rFonts w:ascii="Times New Roman" w:hAnsi="Times New Roman"/>
          <w:color w:val="000000" w:themeColor="text1"/>
          <w:sz w:val="16"/>
          <w:szCs w:val="16"/>
        </w:rPr>
        <w:softHyphen/>
        <w:t>бедкой управлял дополнительный член экипажа. Кабина получилась довольно легкой — вместе со штурманом она ве</w:t>
      </w:r>
      <w:r w:rsidRPr="00DB5D0D">
        <w:rPr>
          <w:rFonts w:ascii="Times New Roman" w:hAnsi="Times New Roman"/>
          <w:color w:val="000000" w:themeColor="text1"/>
          <w:sz w:val="16"/>
          <w:szCs w:val="16"/>
        </w:rPr>
        <w:softHyphen/>
        <w:t>сила всего 200 кг. По расчетам скорость самолета-носителя при выпущенной кабине должна была упасть на 54-66 км/ч. При длине троса 600 м кабина должна была идти на 200-250 м ниже самолета. Кабину почти до конца построили, но прежде чем подвешивать ее к бомбар</w:t>
      </w:r>
      <w:r w:rsidRPr="00DB5D0D">
        <w:rPr>
          <w:rFonts w:ascii="Times New Roman" w:hAnsi="Times New Roman"/>
          <w:color w:val="000000" w:themeColor="text1"/>
          <w:sz w:val="16"/>
          <w:szCs w:val="16"/>
        </w:rPr>
        <w:softHyphen/>
        <w:t>дировщику, решили опробовать выпу</w:t>
      </w:r>
      <w:r w:rsidRPr="00DB5D0D">
        <w:rPr>
          <w:rFonts w:ascii="Times New Roman" w:hAnsi="Times New Roman"/>
          <w:color w:val="000000" w:themeColor="text1"/>
          <w:sz w:val="16"/>
          <w:szCs w:val="16"/>
        </w:rPr>
        <w:softHyphen/>
        <w:t>скное устройство. Вместо кабины под ДБ-3Б прицепили весовой макет бомбы ФАБ-250. С ним бомбардировщик, оборудованный в НИИ ВВС как носи</w:t>
      </w:r>
      <w:r w:rsidRPr="00DB5D0D">
        <w:rPr>
          <w:rFonts w:ascii="Times New Roman" w:hAnsi="Times New Roman"/>
          <w:color w:val="000000" w:themeColor="text1"/>
          <w:sz w:val="16"/>
          <w:szCs w:val="16"/>
        </w:rPr>
        <w:softHyphen/>
        <w:t>тель, совершил свой первый и единст</w:t>
      </w:r>
      <w:r w:rsidRPr="00DB5D0D">
        <w:rPr>
          <w:rFonts w:ascii="Times New Roman" w:hAnsi="Times New Roman"/>
          <w:color w:val="000000" w:themeColor="text1"/>
          <w:sz w:val="16"/>
          <w:szCs w:val="16"/>
        </w:rPr>
        <w:softHyphen/>
        <w:t>венный полет 25 июля 1940 г. Бомбу в полете сначала попробовали подать под люк стрелка, а затем выпустить на пол</w:t>
      </w:r>
      <w:r w:rsidRPr="00DB5D0D">
        <w:rPr>
          <w:rFonts w:ascii="Times New Roman" w:hAnsi="Times New Roman"/>
          <w:color w:val="000000" w:themeColor="text1"/>
          <w:sz w:val="16"/>
          <w:szCs w:val="16"/>
        </w:rPr>
        <w:softHyphen/>
        <w:t>ную длину троса. У деревни Драчево бомба оторвалась. Даже столь недолгие испытания вы</w:t>
      </w:r>
      <w:r w:rsidRPr="00DB5D0D">
        <w:rPr>
          <w:rFonts w:ascii="Times New Roman" w:hAnsi="Times New Roman"/>
          <w:color w:val="000000" w:themeColor="text1"/>
          <w:sz w:val="16"/>
          <w:szCs w:val="16"/>
        </w:rPr>
        <w:softHyphen/>
        <w:t>явили множество недостатков кабины Герасимова. Возможность влезть в по</w:t>
      </w:r>
      <w:r w:rsidRPr="00DB5D0D">
        <w:rPr>
          <w:rFonts w:ascii="Times New Roman" w:hAnsi="Times New Roman"/>
          <w:color w:val="000000" w:themeColor="text1"/>
          <w:sz w:val="16"/>
          <w:szCs w:val="16"/>
        </w:rPr>
        <w:softHyphen/>
        <w:t>лете в раскачивающуюся кабину в теп</w:t>
      </w:r>
      <w:r w:rsidRPr="00DB5D0D">
        <w:rPr>
          <w:rFonts w:ascii="Times New Roman" w:hAnsi="Times New Roman"/>
          <w:color w:val="000000" w:themeColor="text1"/>
          <w:sz w:val="16"/>
          <w:szCs w:val="16"/>
        </w:rPr>
        <w:softHyphen/>
        <w:t>лом обмундировании и с парашютом представлялась весьма сомнительной. Обратно же при подтягивании кабины к носителю штурман мог попасть только в бомболюк. Там он-и оставался сидеть до конца полета на узкой дощечке, оби</w:t>
      </w:r>
      <w:r w:rsidRPr="00DB5D0D">
        <w:rPr>
          <w:rFonts w:ascii="Times New Roman" w:hAnsi="Times New Roman"/>
          <w:color w:val="000000" w:themeColor="text1"/>
          <w:sz w:val="16"/>
          <w:szCs w:val="16"/>
        </w:rPr>
        <w:softHyphen/>
        <w:t>той дерматином. Использование каби</w:t>
      </w:r>
      <w:r w:rsidRPr="00DB5D0D">
        <w:rPr>
          <w:rFonts w:ascii="Times New Roman" w:hAnsi="Times New Roman"/>
          <w:color w:val="000000" w:themeColor="text1"/>
          <w:sz w:val="16"/>
          <w:szCs w:val="16"/>
        </w:rPr>
        <w:softHyphen/>
        <w:t>ны при прицеливании при бомбомета</w:t>
      </w:r>
      <w:r w:rsidRPr="00DB5D0D">
        <w:rPr>
          <w:rFonts w:ascii="Times New Roman" w:hAnsi="Times New Roman"/>
          <w:color w:val="000000" w:themeColor="text1"/>
          <w:sz w:val="16"/>
          <w:szCs w:val="16"/>
        </w:rPr>
        <w:softHyphen/>
        <w:t>нии тоже выглядело проблематичным. Во-первых, бомбовая нагрузка при под</w:t>
      </w:r>
      <w:r w:rsidRPr="00DB5D0D">
        <w:rPr>
          <w:rFonts w:ascii="Times New Roman" w:hAnsi="Times New Roman"/>
          <w:color w:val="000000" w:themeColor="text1"/>
          <w:sz w:val="16"/>
          <w:szCs w:val="16"/>
        </w:rPr>
        <w:softHyphen/>
        <w:t>веске кабины уменьшалась до 300-350 кг. Во-вторых, кабина имела другую вы</w:t>
      </w:r>
      <w:r w:rsidRPr="00DB5D0D">
        <w:rPr>
          <w:rFonts w:ascii="Times New Roman" w:hAnsi="Times New Roman"/>
          <w:color w:val="000000" w:themeColor="text1"/>
          <w:sz w:val="16"/>
          <w:szCs w:val="16"/>
        </w:rPr>
        <w:softHyphen/>
        <w:t>соту и расстояние до цели, чем несущий бомбы самолет, да еще возможен был боковой увод кабины ветром. Не ис</w:t>
      </w:r>
      <w:r w:rsidRPr="00DB5D0D">
        <w:rPr>
          <w:rFonts w:ascii="Times New Roman" w:hAnsi="Times New Roman"/>
          <w:color w:val="000000" w:themeColor="text1"/>
          <w:sz w:val="16"/>
          <w:szCs w:val="16"/>
        </w:rPr>
        <w:softHyphen/>
        <w:t>ключался обрыв троса при обледене</w:t>
      </w:r>
      <w:r w:rsidRPr="00DB5D0D">
        <w:rPr>
          <w:rFonts w:ascii="Times New Roman" w:hAnsi="Times New Roman"/>
          <w:color w:val="000000" w:themeColor="text1"/>
          <w:sz w:val="16"/>
          <w:szCs w:val="16"/>
        </w:rPr>
        <w:softHyphen/>
        <w:t>нии. Кроме этого, испытания выявили ненадежность тормоза и недостаточную мощность лебедки. Все это вместе поставило крест на кабине Герасимова. Начальник НИИ ВВС Филин издал приказ: «Производ</w:t>
      </w:r>
      <w:r w:rsidRPr="00DB5D0D">
        <w:rPr>
          <w:rFonts w:ascii="Times New Roman" w:hAnsi="Times New Roman"/>
          <w:color w:val="000000" w:themeColor="text1"/>
          <w:sz w:val="16"/>
          <w:szCs w:val="16"/>
        </w:rPr>
        <w:softHyphen/>
        <w:t>ство дальнейших работ по испытаниям и доводкам выпускной кабины конст</w:t>
      </w:r>
      <w:r w:rsidRPr="00DB5D0D">
        <w:rPr>
          <w:rFonts w:ascii="Times New Roman" w:hAnsi="Times New Roman"/>
          <w:color w:val="000000" w:themeColor="text1"/>
          <w:sz w:val="16"/>
          <w:szCs w:val="16"/>
        </w:rPr>
        <w:softHyphen/>
        <w:t>рукции капитана Герасимова — пре</w:t>
      </w:r>
      <w:r w:rsidRPr="00DB5D0D">
        <w:rPr>
          <w:rFonts w:ascii="Times New Roman" w:hAnsi="Times New Roman"/>
          <w:color w:val="000000" w:themeColor="text1"/>
          <w:sz w:val="16"/>
          <w:szCs w:val="16"/>
        </w:rPr>
        <w:softHyphen/>
        <w:t>кратить» (10734,20).</w:t>
      </w:r>
    </w:p>
    <w:p w14:paraId="2F2ADD6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A7C03E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середины 1940 г. все ДБ-3 не имели штатного фотоаппарата, штурман работал с ручной камерой. Затем появился перспективный аппарат в штурманской кабине. По бумагам же, еще с начала 1940 г. требовалось ставить плановый АФА-27Т (АФА-Б) на каждый третий бомбардировщик. Фактически их стали ставить (точнее, предусмотрели установку) лишь в конце года (7494).</w:t>
      </w:r>
    </w:p>
    <w:p w14:paraId="22AE355F"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042347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середины 1940 г. все ДБ-3 не имели штатного фотоаппарата, штурман работал с ручной камерой. Затем появился перспективный аппарат в штурманской кабине. По бумагам же еще с начала 1940 г. требовалось ставить плановый АФА-27Т (АФА-Б) на каждый третий бомбардировщик. Фактически их стали монтировать (точнее, предусмотрели установку) лишь в конце года (12021).</w:t>
      </w:r>
    </w:p>
    <w:p w14:paraId="56E265A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661D37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1940 г. уже приняли 413 ДБ-3, но выпустили существенно больше, так как на заводах скапливалось по несколько десятков машин, забракованных приемщиками. Кстати, название ДБ-3М к этому времени почти вышло из употребления. Да и ранее оно использовалось лишь в техописаниях и отчетах НИИ ВВС. Военная приемка делила бомбардировщики лишь на &lt;ДБ-3Ф М-87&gt; и &lt;ДБ-3Ф М-88&gt;, а чаще просто считала машины &lt;типа Ф&gt;. Со второй половины 1940 г. во всех документах новые бомбардировщики Ильюшина фигурируют как ДБ-3Ф независимо от марки моторов (7494).</w:t>
      </w:r>
    </w:p>
    <w:p w14:paraId="31FB41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Всю сумму изменений, внесенных в машину за 1-е полугодие, внесли в так называемый &lt;эталон на 2-ю половину 1940 г.&gt;. На нем стояли М-88 в капотах &lt;типа Б&gt;, причем всасывающий патрубок вытянули до переднего обреза капота. Маслорадиаторы были упрятаны в крыло. Раньше два радиатора стояли параллельно друг другу, ориентированные вдоль оси самолета. Теперь их развернули на 90° и уложили друг за другом в тоннеле вдоль лонжерона. Гидравлическое управление юбками заменили механическим (тросиками). Козырек пилотской кабины опять сделали гнутым. На самолете смонтировали турели МВ-2 и МВ-3. Позже добавили уборку хвостового колеса пневматикой и длинный фанерный гаргрот от пилотской кабины до турели МВ-3. Гаргрот должен был улучшить обтекание громоздкого фонаря турели и теоретически уменьшить расход горючего, а также немного поднять скорость. Самолет испытывался в НИИ ВВС до 29 октября 1940 г. Капоты &lt;типа Б&gt; себя оправдали, так же как и масло-радиаторы в крыле, но гаргрот оказался бесполезным. Прирост скорости составил всего 2 км/ч, зато существенно уменьшились </w:t>
      </w:r>
      <w:r w:rsidRPr="00DB5D0D">
        <w:rPr>
          <w:rFonts w:ascii="Times New Roman" w:hAnsi="Times New Roman"/>
          <w:color w:val="000000" w:themeColor="text1"/>
          <w:sz w:val="16"/>
          <w:szCs w:val="16"/>
        </w:rPr>
        <w:lastRenderedPageBreak/>
        <w:t>углы обстрела в передней полусфере, а гнутый козырек искажал обзор. Убирающееся хвостовое колесо одобрили, но отметили, что оно сократило угол обстрела нижней турели вверх почти на 2° (7494).</w:t>
      </w:r>
    </w:p>
    <w:p w14:paraId="0F1ACB3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что эталоном &lt;эталон&gt; не стал, но капоты &lt;типа Б&gt; и механическое управление юбками внедрили на серийных машинах со второго полугодия. Всего за 1940 г. изготовили 1106 ДБ-3, незначительную долю из них с М-88. Последних было бы больше, если бы не приостановка производства М-88 в августе-ноябре. Сборку двигателей прекратили и возобновили только после ликвидации основных дефектов и усовершенствования технологии. Практически все лето и осень собирались только самолеты с М-87. Лишь 28 ноября через приемку на заводе №18 прошли три бомбардировщика с М-88 (7494).</w:t>
      </w:r>
    </w:p>
    <w:p w14:paraId="11F320ED"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742E80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1940 г. уже приняли 413 ДБ-ЗМ. Выпустили существенно больше, на заводах скапливалось по несколько десятков машин, забракованных приемщиками. Кстати, название ДБ-ЗМ к этому времени почти вышло из употребления. Да и ранее оно использовалось лишь в техописаниях и отчетах НИИ ВВС. Военная приемка делила бомбардировщики лишь на "ДБ-ЗФ М-87" и "ДБ-ЗФ М-88", анаше просто считала машины "типа Ф". Со второй половины 1940 г. во всех документах новые бомбардировщики Ильюшина фигурируют как ДБ-ЗФ независимо от марки моторов.</w:t>
      </w:r>
    </w:p>
    <w:p w14:paraId="1CCD57A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Всю сумму изменений, внесенных в ДБ-ЗФ за 1-е полугодие 1940 г., внесли в самолет, названный "эталоном на 2-ю половину 1940 г.". На нем стояли М-88 в капотах "типа Б", причем всасывающий патрубок вытянули до переднего обреза капота. Маслорадиаторы были упрятаны в крыло. Гидравлическое управление юбками заменили механическим (тросиками). Козырек пилотской кабины опять сделали гнутым. На самолете были смонтированы турели МВ-2 и МВ-3.</w:t>
      </w:r>
    </w:p>
    <w:p w14:paraId="0CA7563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Впоследствии на "эталоне" добавили уборку хвостового колеса пневматикой и длинный фанерный гаргрот от пилотской кабины до турели МВ-3. Гаргрот должен был улучшить обтекание громоздкого фонаря турели. Таким способом хотели уменьшить расход горючего и хоть немного поднять скорость.</w:t>
      </w:r>
    </w:p>
    <w:p w14:paraId="0AA4361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испытывался в НИИ ВВС до 29 октября 1940 г. Капоты "типа Б" себя оправдали, так же как и маслорадиаторы в крыле. Зато гарфот оказался бесполезным. Прирост скорости составил всего 2 км/ч, зато существенно уменьшились углы обстрела в передней полусфере. Гнутый козырек искажал обзор. Убирающееся хвостовое колесо одобрили, но отметили, что оно сократило угол обстрела вверх почти на два градуса.</w:t>
      </w:r>
    </w:p>
    <w:p w14:paraId="58BB87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что эталоном "эталон" не стал, но капоты "типа Б" и механическое управление юбками внедрили на серийных машинах со второго полугодия. В октябре прошли испытания новые зимние жалюзи для самолетов с капотами "типа Ф". Сделали их в Москве, но образцом послужили уже упоминавшиеся жалюзи завода № 126. Они надежно и эффективно работали. Предписали укомплектовать новыми жалюзи все ранее выпушенные бомбардировщики (12021).</w:t>
      </w:r>
    </w:p>
    <w:p w14:paraId="2D58FB8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B5A79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середины 1940 г. ВИТ-2 летал, по некоторым све</w:t>
      </w:r>
      <w:r w:rsidRPr="00DB5D0D">
        <w:rPr>
          <w:rFonts w:ascii="Times New Roman" w:hAnsi="Times New Roman"/>
          <w:color w:val="000000" w:themeColor="text1"/>
          <w:sz w:val="16"/>
          <w:szCs w:val="16"/>
        </w:rPr>
        <w:softHyphen/>
        <w:t>дениям в конце 1939 г. его переделали в конфигурацию ВИТ, т.е. установили 37-мм пушки, затем, к середине 1940 г., все работы по машине были прекращены (10667).</w:t>
      </w:r>
    </w:p>
    <w:p w14:paraId="58EAD48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3E8DB6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1940 г. все работы по машине ВИТ-2 были прекращены (10667).</w:t>
      </w:r>
    </w:p>
    <w:p w14:paraId="5735980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3E16BC7B"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 появилось решение о прекращении всех работ над ДР, БСБ, МПИ-3 (10667).</w:t>
      </w:r>
    </w:p>
    <w:p w14:paraId="0949966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Характеристики проектов ДР и БСБ с моторами М-88, АМ-35 и СМ </w:t>
      </w:r>
    </w:p>
    <w:tbl>
      <w:tblPr>
        <w:tblW w:w="0" w:type="auto"/>
        <w:tblInd w:w="40" w:type="dxa"/>
        <w:tblLayout w:type="fixed"/>
        <w:tblCellMar>
          <w:left w:w="40" w:type="dxa"/>
          <w:right w:w="40" w:type="dxa"/>
        </w:tblCellMar>
        <w:tblLook w:val="0000" w:firstRow="0" w:lastRow="0" w:firstColumn="0" w:lastColumn="0" w:noHBand="0" w:noVBand="0"/>
      </w:tblPr>
      <w:tblGrid>
        <w:gridCol w:w="2256"/>
        <w:gridCol w:w="701"/>
        <w:gridCol w:w="701"/>
        <w:gridCol w:w="701"/>
        <w:gridCol w:w="701"/>
      </w:tblGrid>
      <w:tr w:rsidR="007D5DF8" w:rsidRPr="00DB5D0D" w14:paraId="53542D31" w14:textId="77777777" w:rsidTr="009223E5">
        <w:trPr>
          <w:trHeight w:val="461"/>
        </w:trPr>
        <w:tc>
          <w:tcPr>
            <w:tcW w:w="2256" w:type="dxa"/>
            <w:tcBorders>
              <w:top w:val="single" w:sz="6" w:space="0" w:color="auto"/>
              <w:left w:val="single" w:sz="6" w:space="0" w:color="auto"/>
              <w:bottom w:val="single" w:sz="6" w:space="0" w:color="auto"/>
              <w:right w:val="single" w:sz="6" w:space="0" w:color="auto"/>
            </w:tcBorders>
          </w:tcPr>
          <w:p w14:paraId="671B871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М-88</w:t>
            </w:r>
          </w:p>
        </w:tc>
        <w:tc>
          <w:tcPr>
            <w:tcW w:w="701" w:type="dxa"/>
            <w:tcBorders>
              <w:top w:val="single" w:sz="6" w:space="0" w:color="auto"/>
              <w:left w:val="single" w:sz="6" w:space="0" w:color="auto"/>
              <w:bottom w:val="single" w:sz="6" w:space="0" w:color="auto"/>
              <w:right w:val="single" w:sz="6" w:space="0" w:color="auto"/>
            </w:tcBorders>
          </w:tcPr>
          <w:p w14:paraId="261B6F5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 1 вар.</w:t>
            </w:r>
          </w:p>
        </w:tc>
        <w:tc>
          <w:tcPr>
            <w:tcW w:w="701" w:type="dxa"/>
            <w:tcBorders>
              <w:top w:val="single" w:sz="6" w:space="0" w:color="auto"/>
              <w:left w:val="single" w:sz="6" w:space="0" w:color="auto"/>
              <w:bottom w:val="single" w:sz="6" w:space="0" w:color="auto"/>
              <w:right w:val="single" w:sz="6" w:space="0" w:color="auto"/>
            </w:tcBorders>
          </w:tcPr>
          <w:p w14:paraId="058BA74A"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 2 вар.</w:t>
            </w:r>
          </w:p>
        </w:tc>
        <w:tc>
          <w:tcPr>
            <w:tcW w:w="701" w:type="dxa"/>
            <w:tcBorders>
              <w:top w:val="single" w:sz="6" w:space="0" w:color="auto"/>
              <w:left w:val="single" w:sz="6" w:space="0" w:color="auto"/>
              <w:bottom w:val="single" w:sz="6" w:space="0" w:color="auto"/>
              <w:right w:val="single" w:sz="6" w:space="0" w:color="auto"/>
            </w:tcBorders>
          </w:tcPr>
          <w:p w14:paraId="599D8252"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 3 вар.</w:t>
            </w:r>
          </w:p>
        </w:tc>
        <w:tc>
          <w:tcPr>
            <w:tcW w:w="701" w:type="dxa"/>
            <w:tcBorders>
              <w:top w:val="single" w:sz="6" w:space="0" w:color="auto"/>
              <w:left w:val="single" w:sz="6" w:space="0" w:color="auto"/>
              <w:bottom w:val="single" w:sz="6" w:space="0" w:color="auto"/>
              <w:right w:val="single" w:sz="6" w:space="0" w:color="auto"/>
            </w:tcBorders>
          </w:tcPr>
          <w:p w14:paraId="0A9D65B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w:t>
            </w:r>
          </w:p>
        </w:tc>
      </w:tr>
      <w:tr w:rsidR="007D5DF8" w:rsidRPr="00DB5D0D" w14:paraId="0CDA7E50" w14:textId="77777777" w:rsidTr="009223E5">
        <w:trPr>
          <w:trHeight w:val="509"/>
        </w:trPr>
        <w:tc>
          <w:tcPr>
            <w:tcW w:w="2256" w:type="dxa"/>
            <w:tcBorders>
              <w:top w:val="single" w:sz="6" w:space="0" w:color="auto"/>
              <w:left w:val="single" w:sz="6" w:space="0" w:color="auto"/>
              <w:bottom w:val="single" w:sz="6" w:space="0" w:color="auto"/>
              <w:right w:val="single" w:sz="6" w:space="0" w:color="auto"/>
            </w:tcBorders>
          </w:tcPr>
          <w:p w14:paraId="5F569979"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кг 6500 Скорость, км/ч : 534</w:t>
            </w:r>
          </w:p>
        </w:tc>
        <w:tc>
          <w:tcPr>
            <w:tcW w:w="701" w:type="dxa"/>
            <w:tcBorders>
              <w:top w:val="single" w:sz="6" w:space="0" w:color="auto"/>
              <w:left w:val="single" w:sz="6" w:space="0" w:color="auto"/>
              <w:bottom w:val="single" w:sz="6" w:space="0" w:color="auto"/>
              <w:right w:val="single" w:sz="6" w:space="0" w:color="auto"/>
            </w:tcBorders>
          </w:tcPr>
          <w:p w14:paraId="184AADA5"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7140 534</w:t>
            </w:r>
          </w:p>
        </w:tc>
        <w:tc>
          <w:tcPr>
            <w:tcW w:w="701" w:type="dxa"/>
            <w:tcBorders>
              <w:top w:val="single" w:sz="6" w:space="0" w:color="auto"/>
              <w:left w:val="single" w:sz="6" w:space="0" w:color="auto"/>
              <w:bottom w:val="single" w:sz="6" w:space="0" w:color="auto"/>
              <w:right w:val="single" w:sz="6" w:space="0" w:color="auto"/>
            </w:tcBorders>
          </w:tcPr>
          <w:p w14:paraId="03F461F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7100 528</w:t>
            </w:r>
          </w:p>
        </w:tc>
        <w:tc>
          <w:tcPr>
            <w:tcW w:w="701" w:type="dxa"/>
            <w:tcBorders>
              <w:top w:val="single" w:sz="6" w:space="0" w:color="auto"/>
              <w:left w:val="single" w:sz="6" w:space="0" w:color="auto"/>
              <w:bottom w:val="single" w:sz="6" w:space="0" w:color="auto"/>
              <w:right w:val="single" w:sz="6" w:space="0" w:color="auto"/>
            </w:tcBorders>
          </w:tcPr>
          <w:p w14:paraId="516018F3"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7400 520</w:t>
            </w:r>
          </w:p>
        </w:tc>
        <w:tc>
          <w:tcPr>
            <w:tcW w:w="701" w:type="dxa"/>
            <w:tcBorders>
              <w:top w:val="single" w:sz="6" w:space="0" w:color="auto"/>
              <w:left w:val="single" w:sz="6" w:space="0" w:color="auto"/>
              <w:bottom w:val="single" w:sz="6" w:space="0" w:color="auto"/>
              <w:right w:val="single" w:sz="6" w:space="0" w:color="auto"/>
            </w:tcBorders>
          </w:tcPr>
          <w:p w14:paraId="6EAA0DA6"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8300 630</w:t>
            </w:r>
          </w:p>
        </w:tc>
      </w:tr>
    </w:tbl>
    <w:p w14:paraId="352C70D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(10667).</w:t>
      </w:r>
    </w:p>
    <w:p w14:paraId="04F1E7A3"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F5011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1940 года советское руководство сделало ставку на авральное расширение авиаиндустрии со значительным увеличением производственных мощностей. Целый ряд правительственных постановлений в области авиации касался и ленинградских предприятий. 26 июля 1940 года Решением Политбюро ЦК ВКП(б) № П 19 / 96 – ОП утверждалось Постановление ЦК ВКП(б) и СНК СССР «Об организации производства боевых самолетов и авиамоторов в Ленинграде» (РГАСПИ. Ф. 17. Оп. 162. Д. 28. Л. 58.). В соответствующем Приложении к Постановлению предписывалось по самолетостроению к 1 января 1942 года создать в Ленинграде мощности, обеспечивающие в 1942 году выпуск 1000 штук ближних бомбардировщиков ББ-22, 1500 штук истребителей И-301, 1500 штук бронированных штурмовиков БШ. Кроме этого должен был быть обеспечен выпуск в 1940 году – 10 И-301, 10 БШ, 10 ББ22, а в 1941 году – 500 И-301, 600 БШ, 600 ББ-22. Авиазавод № 23 должен был переключиться на выпуск И-301, а на базе завода им. Каракозова – ЦС Осоавиахима и нового корпуса завода «Лентекстильмаш» НКОМ должен был быть организован завод по производству учебных самолетов У-2 с программой выпуска в 1940 году – 100, в 1941 году – 1500 и с доведением мощности до 2500 машин к 1 января 1942 года. На выпуск боевых самолетов переориентировались многие ленинградские предприятия, например, вагоноремонтный завод (ВАРЗ) Ленсовета – на производство ББ-22. Также развертывались мощности по моторостроению, причем на них предписывалось изготовить в 1940 году 10 авиадвигателей М-105, в 1941 году – 2000 М-105 и к 1 января 1942 года выйти по производству на уровень до 5000 М-105 в год (РГАЭ. Ф. 8044. Оп. 1. Д. 411. Л. 91-92.). Решением Политбюро ЦК ВКП(б) № П 19 / 112 от 29 июля 1940 года «О директорах авиационных заводов Ленинграда» предписывалось утвердить Баринова С.С. директором, а Гриншпун Л.Я. – главным инженером Ленинградского самолетостроительного завода по производству самолетов ББ-22; Филимончука Т.Х. – директором Ленинградского самолетостроительного завода по производству самолетов БШ; Фролова П.В. – директором завода № 23 по производству самолетов И-301 (РГАСПИ. Ф. 17. Оп. 3. Д. 1026. Л. 29.).</w:t>
      </w:r>
    </w:p>
    <w:p w14:paraId="4DBD8CE2"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Политбюро ЦК ВКП(б) № П 20 / 285 – ОП от 25 сентября 1940 года утверждался ряд решений по вопросам Комитета Обороны, в частности, о материально-техническом обеспечении производства авиамоторов М-105 на заводе № 234 Наркомавиапрома (РГАСПИ. Ф. 17. Оп. 162. Д. 29. Л. 14.). Правительственное задание для этого завода на 1941 год составляло 2000 авиамоторов М-105 (Минаев П.П. Восстановление и развитие авиационной промышленности Ленинграда в 20-е – 30-е годы XX века. СПб., 2004. С. 34.).</w:t>
      </w:r>
    </w:p>
    <w:p w14:paraId="7BD2AB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21 / 100 – ОП от 8 октября 1940 года утверждалось Постановление ЦК ВКП(б) и СНК СССР «О строительстве в Ленинграде второго авиамоторного завода» (РГАСПИ. Ф. 17. Оп. 162. Д. 29. Л. 129.). В соответствующем Приложении к Постановлению Нарком авиапромышленности А.И. Шахурин обязывался создать в Ленинграде вторую производственную базу (кроме переданного НКАП завода № 234) по выпуску авиационных моторов типа М-105 мощностью в 5000 штук в год при двухсменной работе, восьмичасовом рабочем дне и семидневной неделе. Срок окончания работ и пуска первой очереди 2500 моторов в год определялся первым кварталом 1942 года с выпуском в 1942 году 2000 моторов, а выход на полную мощность – к четвертому кварталу 1942 года. Для строительства авиамоторного завода на ст. Саперная из резервного фонда СНК предписывалось выделить 40 млн рублей (РГАСПИ. Ф. 17. Оп. 162. Д. 29. Л. 161-162.).</w:t>
      </w:r>
    </w:p>
    <w:p w14:paraId="5C032DD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21 / 46 – ОП от 2 октября 1940 года было утверждено Постановление СНК СССР и ЦК ВКП(б) «Об увеличении дальностей истребителей и постановке их производства на заводах». Пятый пункт данного Постановления касался завода № 23 и обязывал наркома авиапромышленности А.И. Шахурина, а также директора завода Фролова П.В.: «а) в изменение постановления № 1369-534сс от 26.VII.</w:t>
      </w:r>
    </w:p>
    <w:p w14:paraId="0103B02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года заводу № 23 ограничить выпуск самолетов И-301 5 машинами к 1 января 1941 года для проверки этого самолета на войсковых испытаниях; б) перейти с января 1941 года на производство самолетов И-26 улучшенных».</w:t>
      </w:r>
    </w:p>
    <w:p w14:paraId="0588E65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Восьмой пункт данного Постановления обязывал Шахурина и директора завода № 380 Баринова С.С. «с января 1941 года перейти на производство двухмоторного истребителя конструкции тов. Яковлева А.С.» (Там же. Л. 125-126.).</w:t>
      </w:r>
    </w:p>
    <w:p w14:paraId="6FF85C5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всего лишь неделю спустя, решением Политбюро ЦК ВКП(б) № П 21 / 117 – ОП от 9 октября 1940 года «О самолете И-301», в частности, предписывалось во изменение постановления ЦК ВКП(б) и СНК СССР от 2 октября 1940 года о постановке на серийное производство на заводе № 23 самолета И-26 поставить серийное производство самолетов И-301 на заводе № 23 с дальностью полета в 1000 км на 0,9 максимальной скорости (Там же. Л. 129-130.).</w:t>
      </w:r>
    </w:p>
    <w:p w14:paraId="25FC1DD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декабре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541137E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w:t>
      </w:r>
      <w:r w:rsidRPr="00DB5D0D">
        <w:rPr>
          <w:rFonts w:ascii="Times New Roman" w:hAnsi="Times New Roman"/>
          <w:color w:val="000000" w:themeColor="text1"/>
          <w:sz w:val="16"/>
          <w:szCs w:val="16"/>
        </w:rPr>
        <w:lastRenderedPageBreak/>
        <w:t>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3399F28E"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33FB0B6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40F2264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24B2FE7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01D89CB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E017DA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середины 1940 г. СБ 201-й серии для полетов в зимнее время оборудовались убираемыми в полете лыжами. По существующим в советской авиации нормам, при достижении высоты снежного покрова равного 1/3 диаметра колес, следовало переходить на зимнее шасси. Ранее СБ летали зимой на неуби- раемых лыжах, которые заметно снижали скоростные характеристики самолета. Теперь этот недостаток устранили. Основным внешним отличием новых "зимних" СБ явилось использование специального ложемента на нижней части мотогондолы, форма которого повторяла контуры верхней части лыжи (12027).</w:t>
      </w:r>
    </w:p>
    <w:p w14:paraId="4A3F94EB"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0440CCF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середины 1940 на И-16 тип 29 стали ставить БС (1808,25).</w:t>
      </w:r>
    </w:p>
    <w:p w14:paraId="45041884"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2D524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середины 1940 в ЦАГИ для испытаний использовали 2РА-L Северского, на один из которых поставили М-25 и во время эвакуации ЛИИ обе машины уничтожили (3457,38).</w:t>
      </w:r>
    </w:p>
    <w:p w14:paraId="6ABB1F5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AE8F32" w14:textId="77777777" w:rsidR="00956582" w:rsidRPr="00DB5D0D" w:rsidRDefault="0095658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 под руководством А. Г. Костикова началась разработка одноместного истребителя «302». Самолет предполагалось оснастить комбинированной силовой установкой из двух маршевых ПВРД конструкции B. C. Зуева под консолями крыла и разгонного ЖРД РД-1400 конструкции Л. C. Душкина, установленного в хвостовой части фюзеляжа. Предполагалось, что самолет «302» будет развивать максимальную скорость 900 км/ч, иметь практический потолок 9000 м и достигать его через 2 мин. Проект самолета был закончен весной 1941 г., но после начала войны все работы были приостановлены. Лишь к концу 1942 г. приняли решение о возобновлении работ. По заданию НИИ-3 (главный конструктор А. Г. Костиков) лаборатория № 4 начала продувки модели самолета «302». Первые результаты показали, что продольная устойчивость недостаточна, а эффективность элеронов неудовлетворительна. Продолжать дальнейшие эксперименты до переделки модели было нецелесообразно. В трубе Т-1 провели сравнительные испытания профилей САЧ-6Б-12, RAF-34-12 и САЧ-302-12, выявившие, что профили САЧ обладают меньшим сопротивлением. К весне 1943 г. выяснилось, что ПВРД еще не изготовлены, а ЖРД только начал огневые испытания. По этой причине в конце августа 1943 г. самолет в планерном варианте, получивший обозначение «302П», поступил на испытания в ЛИИ. Там он совершил несколько десятков полетов на буксире за самолетами Ту-2 и В-25. В начале 1944 г. второй экземпляр самолета «302П» прошел испытания в натурной аэродинамической трубе ЦАГИ и был готов к полетам (только с ЖРД, без установки ПВРД), но государственная комиссия приняла решение отказаться от производства самолета «302». Мотивировалось это наличием малой серии самолетов БИ, а также отсутствием потребности фронтовой авиации и авиации ПВО в ракетном перехватчике с малым радиусом действия (19727).</w:t>
      </w:r>
    </w:p>
    <w:p w14:paraId="6EB84049" w14:textId="77777777" w:rsidR="00956582" w:rsidRPr="00DB5D0D" w:rsidRDefault="00956582" w:rsidP="00DB5D0D">
      <w:pPr>
        <w:spacing w:after="0" w:line="240" w:lineRule="auto"/>
        <w:jc w:val="both"/>
        <w:rPr>
          <w:rFonts w:ascii="Times New Roman" w:hAnsi="Times New Roman"/>
          <w:color w:val="000000" w:themeColor="text1"/>
          <w:sz w:val="16"/>
          <w:szCs w:val="16"/>
        </w:rPr>
      </w:pPr>
    </w:p>
    <w:p w14:paraId="2D8729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середине 1940 г. на заводе приступили к постройке пяти военных автожиров А-7-За. Летчик Кошиц начал их испытания. Обучались пилотировать винтокрылые машины и военные летчики. В одном из вылетов случилась авария. Летчик при заходе на заводской аэродром не рассчитал дистанцию и приземлился на крышу одного из зданий. К счастью, летчики остались живы, а автожир после ремонта вернулся к полетам. </w:t>
      </w:r>
    </w:p>
    <w:p w14:paraId="3551075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началом Великой Отечественной войны из пяти А-7-За сформировали отдельную автожирную эскадрилью — первую часть винтокрылых машин в ВВС Красной Армии. Сам Камов так вспоминал о действиях своих автожиров в боях против фашистских захватчиков: </w:t>
      </w:r>
    </w:p>
    <w:p w14:paraId="00948D8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«Отряд автожиров, организованный Главным артиллерийским управлением, действовал в составе 24-й армии в районе города Ельня и базировался одно время на аэродроме в деревне Подопхай. Летчики отряда под командованием старшего лейтенанта Трофимова совершили целый ряд боевых вылетов для корректировки артогня и в тыл противника к партизанам. Полеты проводились днем и ночью. </w:t>
      </w:r>
    </w:p>
    <w:p w14:paraId="5E050DA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Особенно тяжело было проводить ночные полеты. Это был наш первый опыт, а на войне, как говорится, долго не раздумывают. Как только автожиры прибыли к месту расположения, на следующий же день командование приказало готовиться к выполнению боевого задания ночью. Полеты производились в полной темноте. Ни о каких лампах, хотя бы «летучих мышах», даже разговоров не было. Прифронтовой аэродром находился всего в двадцати километрах от передовой. За несколько дней до прибытия автожиров немцы засекли аэродром и девятка «мессеров» разбомбила его в пух и прах. Командир истребительного полка, бывшего на этом аэродроме, все время остерегался очередного налета немцев. Поэтому, как только автожир выруливал из укрытия, чтобы раскрутить винт перед взлетом, вокруг машины начиналась возня и раздавалась ругань: «Взлетай скорее!!! Не канительтесь!» и тому подобное. Ночью взлеты и посадки проводились в полной темноте — только по звуку мотора можно было определить, где машина и что с ней. Если гудит, значит цела...» </w:t>
      </w:r>
    </w:p>
    <w:p w14:paraId="02E9118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Камов знал это все не из рассказов летчиков и техников. Он побывал на фронте вместе со своим заместителем М. Л. Милем. Главной задачей конструкторов на передовой был ремонт автожиров, подбитых в бою. </w:t>
      </w:r>
    </w:p>
    <w:p w14:paraId="4251B81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начале октября автожирная эскадрилья перебазируется на восток. Две машины перелетели в 43-ю армию. Два из оставшихся в части А-7-За направили в Москву для ремонта, а на третьем командир эскадрильи Трофимов получил задание срочно доставить донесение в штаб наших войск в Гжатске. В донесении, подписанном руководством 24-й армии, сообщалось о прорыве немцев в районе стыка 24-й и 43-й армий. Полет выполнялся в полной темноте, которая защищала тихоходный аппарат от атак немецких истребителей. Но посадку в таких условиях выполнять было очень сложно. Пилот в сумерках принял лес за земляной покров аэродрома и спарашютировал на него с высоты 10 метров. Автожир получил серьезные повреждения, но Трофимов остался жив, и пакет с донесением был доставлен вовремя. Этот эпизод стал последним в боевой карьере винтокрылого разведчика и корректировщика А-7-За конструкции Н. И. Камова. </w:t>
      </w:r>
    </w:p>
    <w:p w14:paraId="54101A9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угрозой захвата Москвы завод из Ухтомской эвакуировали в поселок Билимбай Свердловской области. Здесь Камов и его соратники ремонтировали уцелевшие А-7. Но главный конструктор уже думал о новой винтокрылой машине — «прыгающем» автожире АК (артиллерийский корректировщик), проектирование которого началось перед самой войной. Этот автожир с двигателем МВ-6 (225 л.с.) имел управление несущим винтом как на современных вертолетах — с помощью автомата перекоса, меняющего циклический шаг лопастей. В сложных условиях эвакуации постройка машины оказалась невозможной. ЗаводвБилимбае перепрофилировали на ремонт автомобильной и авиационной техники, а Н. И. Камов смог приступить к конструкторской работе только после войны. К автожирам он больше не возвращался, полностью переключившись на создание вертолетов (11810). </w:t>
      </w:r>
    </w:p>
    <w:p w14:paraId="08D98B6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7145BD4"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сере</w:t>
      </w:r>
      <w:r w:rsidRPr="00DB5D0D">
        <w:rPr>
          <w:rFonts w:ascii="Times New Roman" w:hAnsi="Times New Roman"/>
          <w:color w:val="0070C0"/>
          <w:sz w:val="16"/>
          <w:szCs w:val="16"/>
        </w:rPr>
        <w:softHyphen/>
        <w:t>дине 1940 г. все исследовательские работы по составным самолетам Вахмистрова официально были прекращены. Практически одновременно были достроены и испытаны се</w:t>
      </w:r>
      <w:r w:rsidRPr="00DB5D0D">
        <w:rPr>
          <w:rFonts w:ascii="Times New Roman" w:hAnsi="Times New Roman"/>
          <w:color w:val="0070C0"/>
          <w:sz w:val="16"/>
          <w:szCs w:val="16"/>
        </w:rPr>
        <w:softHyphen/>
        <w:t>рийные образцы «Звена-СПБ», которые в августе-сентябре 1940 г. поступили заказчику на Черноморский флот. Все это означало, что фрагмент этой истории закончился, и конст</w:t>
      </w:r>
      <w:r w:rsidRPr="00DB5D0D">
        <w:rPr>
          <w:rFonts w:ascii="Times New Roman" w:hAnsi="Times New Roman"/>
          <w:color w:val="0070C0"/>
          <w:sz w:val="16"/>
          <w:szCs w:val="16"/>
        </w:rPr>
        <w:softHyphen/>
        <w:t>руктору Вахмистрову теперь следовало изыскивать новые направления своей деятельности, не бросая, впрочем, и ос</w:t>
      </w:r>
      <w:r w:rsidRPr="00DB5D0D">
        <w:rPr>
          <w:rFonts w:ascii="Times New Roman" w:hAnsi="Times New Roman"/>
          <w:color w:val="0070C0"/>
          <w:sz w:val="16"/>
          <w:szCs w:val="16"/>
        </w:rPr>
        <w:softHyphen/>
        <w:t>новную тему по составным самолетам.</w:t>
      </w:r>
    </w:p>
    <w:p w14:paraId="1313B474"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указанный период Владимир Сергеевич направляет письмо на имя замнаркома авиапромышленности по опыт</w:t>
      </w:r>
      <w:r w:rsidRPr="00DB5D0D">
        <w:rPr>
          <w:rFonts w:ascii="Times New Roman" w:hAnsi="Times New Roman"/>
          <w:color w:val="0070C0"/>
          <w:sz w:val="16"/>
          <w:szCs w:val="16"/>
        </w:rPr>
        <w:softHyphen/>
        <w:t>ному самолетостроению А.С. Яковлева, начальника ВВС Я.В. Смушкевича, начальника Управления морской авиа</w:t>
      </w:r>
      <w:r w:rsidRPr="00DB5D0D">
        <w:rPr>
          <w:rFonts w:ascii="Times New Roman" w:hAnsi="Times New Roman"/>
          <w:color w:val="0070C0"/>
          <w:sz w:val="16"/>
          <w:szCs w:val="16"/>
        </w:rPr>
        <w:softHyphen/>
        <w:t>ции С.Ф. Жаворонкова и начальника ВВС А.И. Филина.</w:t>
      </w:r>
    </w:p>
    <w:p w14:paraId="75FE70D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Свое обращение он начинает с общих представлений о методах уже ведущейся войны, из которых особо выделя</w:t>
      </w:r>
      <w:r w:rsidRPr="00DB5D0D">
        <w:rPr>
          <w:rFonts w:ascii="Times New Roman" w:hAnsi="Times New Roman"/>
          <w:color w:val="0070C0"/>
          <w:sz w:val="16"/>
          <w:szCs w:val="16"/>
        </w:rPr>
        <w:softHyphen/>
        <w:t>ет действия десантной авиации и пикирующих бомбарди</w:t>
      </w:r>
      <w:r w:rsidRPr="00DB5D0D">
        <w:rPr>
          <w:rFonts w:ascii="Times New Roman" w:hAnsi="Times New Roman"/>
          <w:color w:val="0070C0"/>
          <w:sz w:val="16"/>
          <w:szCs w:val="16"/>
        </w:rPr>
        <w:softHyphen/>
        <w:t>ровщиков. Десантная авиация в деятельности конструкто</w:t>
      </w:r>
      <w:r w:rsidRPr="00DB5D0D">
        <w:rPr>
          <w:rFonts w:ascii="Times New Roman" w:hAnsi="Times New Roman"/>
          <w:color w:val="0070C0"/>
          <w:sz w:val="16"/>
          <w:szCs w:val="16"/>
        </w:rPr>
        <w:softHyphen/>
        <w:t>ра в скором времени была представлена проектом плане</w:t>
      </w:r>
      <w:r w:rsidRPr="00DB5D0D">
        <w:rPr>
          <w:rFonts w:ascii="Times New Roman" w:hAnsi="Times New Roman"/>
          <w:color w:val="0070C0"/>
          <w:sz w:val="16"/>
          <w:szCs w:val="16"/>
        </w:rPr>
        <w:softHyphen/>
        <w:t>ра БДП (о нем мы уже говорили). Что же касается пикирующих бомбардировщиков, то здесь Вахмистров оказывается традиционен, он предлагает использовать в этой роли обычные истребители, подвешиваемые под большим, специально созданным десантно-транспортным самолетом. Более того, он пишет, что готов включиться в проектирование такого транспортного самолета.</w:t>
      </w:r>
    </w:p>
    <w:p w14:paraId="3D3C2334"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Приведенные фрагменты письма были обнаружены в неразобранных папках архива В.С. Вахмистрова, не име</w:t>
      </w:r>
      <w:r w:rsidRPr="00DB5D0D">
        <w:rPr>
          <w:rFonts w:ascii="Times New Roman" w:hAnsi="Times New Roman"/>
          <w:color w:val="0070C0"/>
          <w:sz w:val="16"/>
          <w:szCs w:val="16"/>
        </w:rPr>
        <w:softHyphen/>
        <w:t>ют ни дат, ни выходных данных, поэтому, возможно, явля</w:t>
      </w:r>
      <w:r w:rsidRPr="00DB5D0D">
        <w:rPr>
          <w:rFonts w:ascii="Times New Roman" w:hAnsi="Times New Roman"/>
          <w:color w:val="0070C0"/>
          <w:sz w:val="16"/>
          <w:szCs w:val="16"/>
        </w:rPr>
        <w:softHyphen/>
        <w:t>ются черновиками. Тем не менее, спустя четыре года изобретатель вновь вернулся к своим сочлененным само</w:t>
      </w:r>
      <w:r w:rsidRPr="00DB5D0D">
        <w:rPr>
          <w:rFonts w:ascii="Times New Roman" w:hAnsi="Times New Roman"/>
          <w:color w:val="0070C0"/>
          <w:sz w:val="16"/>
          <w:szCs w:val="16"/>
        </w:rPr>
        <w:softHyphen/>
        <w:t>летам в несколько измененном виде.</w:t>
      </w:r>
    </w:p>
    <w:p w14:paraId="471F4ACC"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этот раз к рассмотрению предлагался летательный аппарат, определяемый как планер или мотопланер «X» (Сигма). Судя по всему, это был один из вариантов заду</w:t>
      </w:r>
      <w:r w:rsidRPr="00DB5D0D">
        <w:rPr>
          <w:rFonts w:ascii="Times New Roman" w:hAnsi="Times New Roman"/>
          <w:color w:val="0070C0"/>
          <w:sz w:val="16"/>
          <w:szCs w:val="16"/>
        </w:rPr>
        <w:softHyphen/>
        <w:t>манного еще перед войной десантно-транспортного само</w:t>
      </w:r>
      <w:r w:rsidRPr="00DB5D0D">
        <w:rPr>
          <w:rFonts w:ascii="Times New Roman" w:hAnsi="Times New Roman"/>
          <w:color w:val="0070C0"/>
          <w:sz w:val="16"/>
          <w:szCs w:val="16"/>
        </w:rPr>
        <w:softHyphen/>
        <w:t xml:space="preserve">лета. Очевидно, такое видоизменение возникло в связи с успешным использованием транспортных и </w:t>
      </w:r>
      <w:r w:rsidRPr="00DB5D0D">
        <w:rPr>
          <w:rFonts w:ascii="Times New Roman" w:hAnsi="Times New Roman"/>
          <w:color w:val="0070C0"/>
          <w:sz w:val="16"/>
          <w:szCs w:val="16"/>
        </w:rPr>
        <w:lastRenderedPageBreak/>
        <w:t>десантных планеров в период войны. Среди многих вариантов совер</w:t>
      </w:r>
      <w:r w:rsidRPr="00DB5D0D">
        <w:rPr>
          <w:rFonts w:ascii="Times New Roman" w:hAnsi="Times New Roman"/>
          <w:color w:val="0070C0"/>
          <w:sz w:val="16"/>
          <w:szCs w:val="16"/>
        </w:rPr>
        <w:softHyphen/>
        <w:t>шенствования таких планеров особое развитие нашла идея оснастить их двигателями, тем самым превратив в мотопланеры. В 1943 году, в частности был модернизиро</w:t>
      </w:r>
      <w:r w:rsidRPr="00DB5D0D">
        <w:rPr>
          <w:rFonts w:ascii="Times New Roman" w:hAnsi="Times New Roman"/>
          <w:color w:val="0070C0"/>
          <w:sz w:val="16"/>
          <w:szCs w:val="16"/>
        </w:rPr>
        <w:softHyphen/>
        <w:t>ван таким образом планер БДП Поликарпова. Он был ос</w:t>
      </w:r>
      <w:r w:rsidRPr="00DB5D0D">
        <w:rPr>
          <w:rFonts w:ascii="Times New Roman" w:hAnsi="Times New Roman"/>
          <w:color w:val="0070C0"/>
          <w:sz w:val="16"/>
          <w:szCs w:val="16"/>
        </w:rPr>
        <w:softHyphen/>
        <w:t>нащен двумя двигателями М-11Ф, что позволяло ему про</w:t>
      </w:r>
      <w:r w:rsidRPr="00DB5D0D">
        <w:rPr>
          <w:rFonts w:ascii="Times New Roman" w:hAnsi="Times New Roman"/>
          <w:color w:val="0070C0"/>
          <w:sz w:val="16"/>
          <w:szCs w:val="16"/>
        </w:rPr>
        <w:softHyphen/>
        <w:t>должать прямолинейный полет без снижения после отцеп</w:t>
      </w:r>
      <w:r w:rsidRPr="00DB5D0D">
        <w:rPr>
          <w:rFonts w:ascii="Times New Roman" w:hAnsi="Times New Roman"/>
          <w:color w:val="0070C0"/>
          <w:sz w:val="16"/>
          <w:szCs w:val="16"/>
        </w:rPr>
        <w:softHyphen/>
        <w:t>ки от буксировщика. Впрочем, на практике до использо</w:t>
      </w:r>
      <w:r w:rsidRPr="00DB5D0D">
        <w:rPr>
          <w:rFonts w:ascii="Times New Roman" w:hAnsi="Times New Roman"/>
          <w:color w:val="0070C0"/>
          <w:sz w:val="16"/>
          <w:szCs w:val="16"/>
        </w:rPr>
        <w:softHyphen/>
        <w:t>вания мотопланера дело не дошло. Хотя сами транспорт</w:t>
      </w:r>
      <w:r w:rsidRPr="00DB5D0D">
        <w:rPr>
          <w:rFonts w:ascii="Times New Roman" w:hAnsi="Times New Roman"/>
          <w:color w:val="0070C0"/>
          <w:sz w:val="16"/>
          <w:szCs w:val="16"/>
        </w:rPr>
        <w:softHyphen/>
        <w:t>ные планеры вполне успешно использовались в опытных перевозках грузов в тылу СССР. В частности, вопросами использования планеров в народном хозяйстве совмест</w:t>
      </w:r>
      <w:r w:rsidRPr="00DB5D0D">
        <w:rPr>
          <w:rFonts w:ascii="Times New Roman" w:hAnsi="Times New Roman"/>
          <w:color w:val="0070C0"/>
          <w:sz w:val="16"/>
          <w:szCs w:val="16"/>
        </w:rPr>
        <w:softHyphen/>
        <w:t>но с НИИ ГВФ занималось опытное планерное звено Мос ковского управления ГВФ, в рас</w:t>
      </w:r>
      <w:r w:rsidRPr="00DB5D0D">
        <w:rPr>
          <w:rFonts w:ascii="Times New Roman" w:hAnsi="Times New Roman"/>
          <w:color w:val="0070C0"/>
          <w:sz w:val="16"/>
          <w:szCs w:val="16"/>
        </w:rPr>
        <w:softHyphen/>
        <w:t>поряжении которого находились планеры Г-11. Представители НИИ ГВФ заявляли о высокой эффективности таких планерных поездов.</w:t>
      </w:r>
    </w:p>
    <w:p w14:paraId="168543D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Вахмистров, увлеченный идеей перевозок грузов по воздуху при помощи планеров, предложил очередной оригинальный про</w:t>
      </w:r>
      <w:r w:rsidRPr="00DB5D0D">
        <w:rPr>
          <w:rFonts w:ascii="Times New Roman" w:hAnsi="Times New Roman"/>
          <w:color w:val="0070C0"/>
          <w:sz w:val="16"/>
          <w:szCs w:val="16"/>
        </w:rPr>
        <w:softHyphen/>
        <w:t>ект. В первоначальном варианте это был крупный транспортный планер £.Т.П.(ТП+2И) с разма</w:t>
      </w:r>
      <w:r w:rsidRPr="00DB5D0D">
        <w:rPr>
          <w:rFonts w:ascii="Times New Roman" w:hAnsi="Times New Roman"/>
          <w:color w:val="0070C0"/>
          <w:sz w:val="16"/>
          <w:szCs w:val="16"/>
        </w:rPr>
        <w:softHyphen/>
        <w:t>хом крыла более 33 метров. Под крылом этого планера-высоко</w:t>
      </w:r>
      <w:r w:rsidRPr="00DB5D0D">
        <w:rPr>
          <w:rFonts w:ascii="Times New Roman" w:hAnsi="Times New Roman"/>
          <w:color w:val="0070C0"/>
          <w:sz w:val="16"/>
          <w:szCs w:val="16"/>
        </w:rPr>
        <w:softHyphen/>
        <w:t>плана подвешивались два истре</w:t>
      </w:r>
      <w:r w:rsidRPr="00DB5D0D">
        <w:rPr>
          <w:rFonts w:ascii="Times New Roman" w:hAnsi="Times New Roman"/>
          <w:color w:val="0070C0"/>
          <w:sz w:val="16"/>
          <w:szCs w:val="16"/>
        </w:rPr>
        <w:softHyphen/>
        <w:t>бителя типа Як-1 или Як-9 (по</w:t>
      </w:r>
      <w:r w:rsidRPr="00DB5D0D">
        <w:rPr>
          <w:rFonts w:ascii="Times New Roman" w:hAnsi="Times New Roman"/>
          <w:color w:val="0070C0"/>
          <w:sz w:val="16"/>
          <w:szCs w:val="16"/>
        </w:rPr>
        <w:softHyphen/>
        <w:t>летный вес каждого 3000 кг, пло</w:t>
      </w:r>
      <w:r w:rsidRPr="00DB5D0D">
        <w:rPr>
          <w:rFonts w:ascii="Times New Roman" w:hAnsi="Times New Roman"/>
          <w:color w:val="0070C0"/>
          <w:sz w:val="16"/>
          <w:szCs w:val="16"/>
        </w:rPr>
        <w:softHyphen/>
        <w:t>щадь крыла 17,5 кв. м, мощность двигателя 1630 л.с.). Таким обра</w:t>
      </w:r>
      <w:r w:rsidRPr="00DB5D0D">
        <w:rPr>
          <w:rFonts w:ascii="Times New Roman" w:hAnsi="Times New Roman"/>
          <w:color w:val="0070C0"/>
          <w:sz w:val="16"/>
          <w:szCs w:val="16"/>
        </w:rPr>
        <w:softHyphen/>
        <w:t>зом, предлагаемая система во многом повторяла уже извест</w:t>
      </w:r>
      <w:r w:rsidRPr="00DB5D0D">
        <w:rPr>
          <w:rFonts w:ascii="Times New Roman" w:hAnsi="Times New Roman"/>
          <w:color w:val="0070C0"/>
          <w:sz w:val="16"/>
          <w:szCs w:val="16"/>
        </w:rPr>
        <w:softHyphen/>
        <w:t>ный «самолет-звено». Истребите</w:t>
      </w:r>
      <w:r w:rsidRPr="00DB5D0D">
        <w:rPr>
          <w:rFonts w:ascii="Times New Roman" w:hAnsi="Times New Roman"/>
          <w:color w:val="0070C0"/>
          <w:sz w:val="16"/>
          <w:szCs w:val="16"/>
        </w:rPr>
        <w:softHyphen/>
        <w:t>ли, обладающие высокой энерго</w:t>
      </w:r>
      <w:r w:rsidRPr="00DB5D0D">
        <w:rPr>
          <w:rFonts w:ascii="Times New Roman" w:hAnsi="Times New Roman"/>
          <w:color w:val="0070C0"/>
          <w:sz w:val="16"/>
          <w:szCs w:val="16"/>
        </w:rPr>
        <w:softHyphen/>
        <w:t>вооруженностью, могли подни</w:t>
      </w:r>
      <w:r w:rsidRPr="00DB5D0D">
        <w:rPr>
          <w:rFonts w:ascii="Times New Roman" w:hAnsi="Times New Roman"/>
          <w:color w:val="0070C0"/>
          <w:sz w:val="16"/>
          <w:szCs w:val="16"/>
        </w:rPr>
        <w:softHyphen/>
        <w:t>мать этот планер в воздух и буксировать его к цели на удале</w:t>
      </w:r>
      <w:r w:rsidRPr="00DB5D0D">
        <w:rPr>
          <w:rFonts w:ascii="Times New Roman" w:hAnsi="Times New Roman"/>
          <w:color w:val="0070C0"/>
          <w:sz w:val="16"/>
          <w:szCs w:val="16"/>
        </w:rPr>
        <w:softHyphen/>
        <w:t>ние свыше 1000 км.</w:t>
      </w:r>
    </w:p>
    <w:p w14:paraId="1188266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Следующим вариантом в этом проекте стал мотопланер Й.М.П.(МП+2И) с размахом кры</w:t>
      </w:r>
      <w:r w:rsidRPr="00DB5D0D">
        <w:rPr>
          <w:rFonts w:ascii="Times New Roman" w:hAnsi="Times New Roman"/>
          <w:color w:val="0070C0"/>
          <w:sz w:val="16"/>
          <w:szCs w:val="16"/>
        </w:rPr>
        <w:softHyphen/>
        <w:t>ла свыше 40 метров, оснащен</w:t>
      </w:r>
      <w:r w:rsidRPr="00DB5D0D">
        <w:rPr>
          <w:rFonts w:ascii="Times New Roman" w:hAnsi="Times New Roman"/>
          <w:color w:val="0070C0"/>
          <w:sz w:val="16"/>
          <w:szCs w:val="16"/>
        </w:rPr>
        <w:softHyphen/>
        <w:t>ный двумя двигателями АШ-82 и также с двумя подвешенными под крылом истребителями. Оба проекта, планер и мотопланер, были утверждены Вахмистровым 9 июля 1945 года. Нужно отме</w:t>
      </w:r>
      <w:r w:rsidRPr="00DB5D0D">
        <w:rPr>
          <w:rFonts w:ascii="Times New Roman" w:hAnsi="Times New Roman"/>
          <w:color w:val="0070C0"/>
          <w:sz w:val="16"/>
          <w:szCs w:val="16"/>
        </w:rPr>
        <w:softHyphen/>
        <w:t>тить, что при всей ясности за</w:t>
      </w:r>
      <w:r w:rsidRPr="00DB5D0D">
        <w:rPr>
          <w:rFonts w:ascii="Times New Roman" w:hAnsi="Times New Roman"/>
          <w:color w:val="0070C0"/>
          <w:sz w:val="16"/>
          <w:szCs w:val="16"/>
        </w:rPr>
        <w:softHyphen/>
        <w:t>мысла сама идея была доста</w:t>
      </w:r>
      <w:r w:rsidRPr="00DB5D0D">
        <w:rPr>
          <w:rFonts w:ascii="Times New Roman" w:hAnsi="Times New Roman"/>
          <w:color w:val="0070C0"/>
          <w:sz w:val="16"/>
          <w:szCs w:val="16"/>
        </w:rPr>
        <w:softHyphen/>
        <w:t>точно амбициозной, так как предлагаемые планер и мото</w:t>
      </w:r>
      <w:r w:rsidRPr="00DB5D0D">
        <w:rPr>
          <w:rFonts w:ascii="Times New Roman" w:hAnsi="Times New Roman"/>
          <w:color w:val="0070C0"/>
          <w:sz w:val="16"/>
          <w:szCs w:val="16"/>
        </w:rPr>
        <w:softHyphen/>
        <w:t>планер являлись весьма значи</w:t>
      </w:r>
      <w:r w:rsidRPr="00DB5D0D">
        <w:rPr>
          <w:rFonts w:ascii="Times New Roman" w:hAnsi="Times New Roman"/>
          <w:color w:val="0070C0"/>
          <w:sz w:val="16"/>
          <w:szCs w:val="16"/>
        </w:rPr>
        <w:softHyphen/>
        <w:t>тельными летательными аппара</w:t>
      </w:r>
      <w:r w:rsidRPr="00DB5D0D">
        <w:rPr>
          <w:rFonts w:ascii="Times New Roman" w:hAnsi="Times New Roman"/>
          <w:color w:val="0070C0"/>
          <w:sz w:val="16"/>
          <w:szCs w:val="16"/>
        </w:rPr>
        <w:softHyphen/>
        <w:t>тами. Достаточно сказать, что даже самый крупный советский десантный планер Ил-32, пост</w:t>
      </w:r>
      <w:r w:rsidRPr="00DB5D0D">
        <w:rPr>
          <w:rFonts w:ascii="Times New Roman" w:hAnsi="Times New Roman"/>
          <w:color w:val="0070C0"/>
          <w:sz w:val="16"/>
          <w:szCs w:val="16"/>
        </w:rPr>
        <w:softHyphen/>
        <w:t>роенный в 1948 году, имел раз</w:t>
      </w:r>
      <w:r w:rsidRPr="00DB5D0D">
        <w:rPr>
          <w:rFonts w:ascii="Times New Roman" w:hAnsi="Times New Roman"/>
          <w:color w:val="0070C0"/>
          <w:sz w:val="16"/>
          <w:szCs w:val="16"/>
        </w:rPr>
        <w:softHyphen/>
        <w:t>мах крыла чуть более 35 мет</w:t>
      </w:r>
      <w:r w:rsidRPr="00DB5D0D">
        <w:rPr>
          <w:rFonts w:ascii="Times New Roman" w:hAnsi="Times New Roman"/>
          <w:color w:val="0070C0"/>
          <w:sz w:val="16"/>
          <w:szCs w:val="16"/>
        </w:rPr>
        <w:softHyphen/>
        <w:t>ров. Впрочем, до реализации проекта « S» (Сигма) дело так и не дошло.</w:t>
      </w:r>
    </w:p>
    <w:p w14:paraId="2F36506E" w14:textId="77777777" w:rsidR="00C150CD" w:rsidRPr="00DB5D0D" w:rsidRDefault="00C150CD" w:rsidP="00DB5D0D">
      <w:pPr>
        <w:spacing w:after="0" w:line="240" w:lineRule="auto"/>
        <w:jc w:val="both"/>
        <w:rPr>
          <w:rFonts w:ascii="Times New Roman" w:hAnsi="Times New Roman"/>
          <w:color w:val="0070C0"/>
          <w:sz w:val="16"/>
          <w:szCs w:val="16"/>
        </w:rPr>
      </w:pPr>
      <w:bookmarkStart w:id="48" w:name="bookmark13"/>
      <w:r w:rsidRPr="00DB5D0D">
        <w:rPr>
          <w:rFonts w:ascii="Times New Roman" w:hAnsi="Times New Roman"/>
          <w:color w:val="0070C0"/>
          <w:sz w:val="16"/>
          <w:szCs w:val="16"/>
        </w:rPr>
        <w:t>Основные технические характеристики</w:t>
      </w:r>
      <w:bookmarkEnd w:id="48"/>
    </w:p>
    <w:tbl>
      <w:tblPr>
        <w:tblOverlap w:val="never"/>
        <w:tblW w:w="0" w:type="auto"/>
        <w:jc w:val="center"/>
        <w:tblLayout w:type="fixed"/>
        <w:tblCellMar>
          <w:left w:w="10" w:type="dxa"/>
          <w:right w:w="10" w:type="dxa"/>
        </w:tblCellMar>
        <w:tblLook w:val="0000" w:firstRow="0" w:lastRow="0" w:firstColumn="0" w:lastColumn="0" w:noHBand="0" w:noVBand="0"/>
      </w:tblPr>
      <w:tblGrid>
        <w:gridCol w:w="2621"/>
        <w:gridCol w:w="1018"/>
        <w:gridCol w:w="1440"/>
      </w:tblGrid>
      <w:tr w:rsidR="00C150CD" w:rsidRPr="00DB5D0D" w14:paraId="25295EB9" w14:textId="77777777" w:rsidTr="007609C9">
        <w:trPr>
          <w:trHeight w:hRule="exact" w:val="720"/>
          <w:jc w:val="center"/>
        </w:trPr>
        <w:tc>
          <w:tcPr>
            <w:tcW w:w="2621" w:type="dxa"/>
            <w:tcBorders>
              <w:top w:val="single" w:sz="4" w:space="0" w:color="auto"/>
              <w:left w:val="single" w:sz="4" w:space="0" w:color="auto"/>
            </w:tcBorders>
            <w:shd w:val="clear" w:color="auto" w:fill="auto"/>
          </w:tcPr>
          <w:p w14:paraId="51B84DF9" w14:textId="77777777" w:rsidR="00C150CD" w:rsidRPr="00DB5D0D" w:rsidRDefault="00C150CD" w:rsidP="00DB5D0D">
            <w:pPr>
              <w:spacing w:after="0" w:line="240" w:lineRule="auto"/>
              <w:jc w:val="both"/>
              <w:rPr>
                <w:rFonts w:ascii="Times New Roman" w:hAnsi="Times New Roman"/>
                <w:color w:val="0070C0"/>
                <w:sz w:val="16"/>
                <w:szCs w:val="16"/>
              </w:rPr>
            </w:pPr>
          </w:p>
        </w:tc>
        <w:tc>
          <w:tcPr>
            <w:tcW w:w="1018" w:type="dxa"/>
            <w:tcBorders>
              <w:top w:val="single" w:sz="4" w:space="0" w:color="auto"/>
            </w:tcBorders>
            <w:shd w:val="clear" w:color="auto" w:fill="auto"/>
            <w:vAlign w:val="bottom"/>
          </w:tcPr>
          <w:p w14:paraId="2694244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Планер Е.Т.П.</w:t>
            </w:r>
          </w:p>
          <w:p w14:paraId="1C404A9A"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(ТП+2И)</w:t>
            </w:r>
          </w:p>
        </w:tc>
        <w:tc>
          <w:tcPr>
            <w:tcW w:w="1440" w:type="dxa"/>
            <w:tcBorders>
              <w:top w:val="single" w:sz="4" w:space="0" w:color="auto"/>
              <w:right w:val="single" w:sz="4" w:space="0" w:color="auto"/>
            </w:tcBorders>
            <w:shd w:val="clear" w:color="auto" w:fill="auto"/>
            <w:vAlign w:val="bottom"/>
          </w:tcPr>
          <w:p w14:paraId="697AC01F"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Мотопланер 2.М.П. (МП+2И)</w:t>
            </w:r>
          </w:p>
        </w:tc>
      </w:tr>
      <w:tr w:rsidR="00C150CD" w:rsidRPr="00DB5D0D" w14:paraId="5CC74EA4" w14:textId="77777777" w:rsidTr="007609C9">
        <w:trPr>
          <w:trHeight w:hRule="exact" w:val="226"/>
          <w:jc w:val="center"/>
        </w:trPr>
        <w:tc>
          <w:tcPr>
            <w:tcW w:w="2621" w:type="dxa"/>
            <w:tcBorders>
              <w:top w:val="single" w:sz="4" w:space="0" w:color="auto"/>
              <w:left w:val="single" w:sz="4" w:space="0" w:color="auto"/>
            </w:tcBorders>
            <w:shd w:val="clear" w:color="auto" w:fill="auto"/>
            <w:vAlign w:val="bottom"/>
          </w:tcPr>
          <w:p w14:paraId="3F23A38B"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Размах крыла (м)</w:t>
            </w:r>
          </w:p>
        </w:tc>
        <w:tc>
          <w:tcPr>
            <w:tcW w:w="1018" w:type="dxa"/>
            <w:tcBorders>
              <w:top w:val="single" w:sz="4" w:space="0" w:color="auto"/>
            </w:tcBorders>
            <w:shd w:val="clear" w:color="auto" w:fill="auto"/>
            <w:vAlign w:val="bottom"/>
          </w:tcPr>
          <w:p w14:paraId="5545D82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33,60</w:t>
            </w:r>
          </w:p>
        </w:tc>
        <w:tc>
          <w:tcPr>
            <w:tcW w:w="1440" w:type="dxa"/>
            <w:tcBorders>
              <w:top w:val="single" w:sz="4" w:space="0" w:color="auto"/>
              <w:right w:val="single" w:sz="4" w:space="0" w:color="auto"/>
            </w:tcBorders>
            <w:shd w:val="clear" w:color="auto" w:fill="auto"/>
            <w:vAlign w:val="bottom"/>
          </w:tcPr>
          <w:p w14:paraId="7381FCAC"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40,00</w:t>
            </w:r>
          </w:p>
        </w:tc>
      </w:tr>
      <w:tr w:rsidR="00C150CD" w:rsidRPr="00DB5D0D" w14:paraId="5CB282A9" w14:textId="77777777" w:rsidTr="007609C9">
        <w:trPr>
          <w:trHeight w:hRule="exact" w:val="192"/>
          <w:jc w:val="center"/>
        </w:trPr>
        <w:tc>
          <w:tcPr>
            <w:tcW w:w="2621" w:type="dxa"/>
            <w:tcBorders>
              <w:left w:val="single" w:sz="4" w:space="0" w:color="auto"/>
            </w:tcBorders>
            <w:shd w:val="clear" w:color="auto" w:fill="auto"/>
            <w:vAlign w:val="bottom"/>
          </w:tcPr>
          <w:p w14:paraId="6520C2AA"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Длина в линии полета (м)</w:t>
            </w:r>
          </w:p>
        </w:tc>
        <w:tc>
          <w:tcPr>
            <w:tcW w:w="1018" w:type="dxa"/>
            <w:shd w:val="clear" w:color="auto" w:fill="auto"/>
            <w:vAlign w:val="bottom"/>
          </w:tcPr>
          <w:p w14:paraId="34D8F2D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20,00</w:t>
            </w:r>
          </w:p>
        </w:tc>
        <w:tc>
          <w:tcPr>
            <w:tcW w:w="1440" w:type="dxa"/>
            <w:tcBorders>
              <w:right w:val="single" w:sz="4" w:space="0" w:color="auto"/>
            </w:tcBorders>
            <w:shd w:val="clear" w:color="auto" w:fill="auto"/>
            <w:vAlign w:val="bottom"/>
          </w:tcPr>
          <w:p w14:paraId="01E8D7FC"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24,00</w:t>
            </w:r>
          </w:p>
        </w:tc>
      </w:tr>
      <w:tr w:rsidR="00C150CD" w:rsidRPr="00DB5D0D" w14:paraId="6A427562" w14:textId="77777777" w:rsidTr="007609C9">
        <w:trPr>
          <w:trHeight w:hRule="exact" w:val="197"/>
          <w:jc w:val="center"/>
        </w:trPr>
        <w:tc>
          <w:tcPr>
            <w:tcW w:w="2621" w:type="dxa"/>
            <w:tcBorders>
              <w:left w:val="single" w:sz="4" w:space="0" w:color="auto"/>
            </w:tcBorders>
            <w:shd w:val="clear" w:color="auto" w:fill="auto"/>
            <w:vAlign w:val="bottom"/>
          </w:tcPr>
          <w:p w14:paraId="474B7C5E"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Полетный вес (кг)</w:t>
            </w:r>
          </w:p>
        </w:tc>
        <w:tc>
          <w:tcPr>
            <w:tcW w:w="1018" w:type="dxa"/>
            <w:shd w:val="clear" w:color="auto" w:fill="auto"/>
            <w:vAlign w:val="bottom"/>
          </w:tcPr>
          <w:p w14:paraId="35EEED01"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10 660</w:t>
            </w:r>
          </w:p>
        </w:tc>
        <w:tc>
          <w:tcPr>
            <w:tcW w:w="1440" w:type="dxa"/>
            <w:tcBorders>
              <w:right w:val="single" w:sz="4" w:space="0" w:color="auto"/>
            </w:tcBorders>
            <w:shd w:val="clear" w:color="auto" w:fill="auto"/>
            <w:vAlign w:val="bottom"/>
          </w:tcPr>
          <w:p w14:paraId="2A070473"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26 000</w:t>
            </w:r>
          </w:p>
        </w:tc>
      </w:tr>
      <w:tr w:rsidR="00C150CD" w:rsidRPr="00DB5D0D" w14:paraId="7B22150F" w14:textId="77777777" w:rsidTr="007609C9">
        <w:trPr>
          <w:trHeight w:hRule="exact" w:val="197"/>
          <w:jc w:val="center"/>
        </w:trPr>
        <w:tc>
          <w:tcPr>
            <w:tcW w:w="2621" w:type="dxa"/>
            <w:tcBorders>
              <w:left w:val="single" w:sz="4" w:space="0" w:color="auto"/>
            </w:tcBorders>
            <w:shd w:val="clear" w:color="auto" w:fill="auto"/>
          </w:tcPr>
          <w:p w14:paraId="129E26FE"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Полетный вес с</w:t>
            </w:r>
          </w:p>
        </w:tc>
        <w:tc>
          <w:tcPr>
            <w:tcW w:w="1018" w:type="dxa"/>
            <w:shd w:val="clear" w:color="auto" w:fill="auto"/>
          </w:tcPr>
          <w:p w14:paraId="584A9173" w14:textId="77777777" w:rsidR="00C150CD" w:rsidRPr="00DB5D0D" w:rsidRDefault="00C150CD" w:rsidP="00DB5D0D">
            <w:pPr>
              <w:spacing w:after="0" w:line="240" w:lineRule="auto"/>
              <w:jc w:val="both"/>
              <w:rPr>
                <w:rFonts w:ascii="Times New Roman" w:hAnsi="Times New Roman"/>
                <w:color w:val="0070C0"/>
                <w:sz w:val="16"/>
                <w:szCs w:val="16"/>
              </w:rPr>
            </w:pPr>
          </w:p>
        </w:tc>
        <w:tc>
          <w:tcPr>
            <w:tcW w:w="1440" w:type="dxa"/>
            <w:tcBorders>
              <w:right w:val="single" w:sz="4" w:space="0" w:color="auto"/>
            </w:tcBorders>
            <w:shd w:val="clear" w:color="auto" w:fill="auto"/>
          </w:tcPr>
          <w:p w14:paraId="3FBAC4F1" w14:textId="77777777" w:rsidR="00C150CD" w:rsidRPr="00DB5D0D" w:rsidRDefault="00C150CD" w:rsidP="00DB5D0D">
            <w:pPr>
              <w:spacing w:after="0" w:line="240" w:lineRule="auto"/>
              <w:jc w:val="both"/>
              <w:rPr>
                <w:rFonts w:ascii="Times New Roman" w:hAnsi="Times New Roman"/>
                <w:color w:val="0070C0"/>
                <w:sz w:val="16"/>
                <w:szCs w:val="16"/>
              </w:rPr>
            </w:pPr>
          </w:p>
        </w:tc>
      </w:tr>
      <w:tr w:rsidR="00C150CD" w:rsidRPr="00DB5D0D" w14:paraId="2DF44361" w14:textId="77777777" w:rsidTr="007609C9">
        <w:trPr>
          <w:trHeight w:hRule="exact" w:val="211"/>
          <w:jc w:val="center"/>
        </w:trPr>
        <w:tc>
          <w:tcPr>
            <w:tcW w:w="2621" w:type="dxa"/>
            <w:tcBorders>
              <w:left w:val="single" w:sz="4" w:space="0" w:color="auto"/>
            </w:tcBorders>
            <w:shd w:val="clear" w:color="auto" w:fill="auto"/>
          </w:tcPr>
          <w:p w14:paraId="658ED38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2-мя истребителями (кг)</w:t>
            </w:r>
          </w:p>
        </w:tc>
        <w:tc>
          <w:tcPr>
            <w:tcW w:w="1018" w:type="dxa"/>
            <w:shd w:val="clear" w:color="auto" w:fill="auto"/>
          </w:tcPr>
          <w:p w14:paraId="33562EF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16 660</w:t>
            </w:r>
          </w:p>
        </w:tc>
        <w:tc>
          <w:tcPr>
            <w:tcW w:w="1440" w:type="dxa"/>
            <w:tcBorders>
              <w:right w:val="single" w:sz="4" w:space="0" w:color="auto"/>
            </w:tcBorders>
            <w:shd w:val="clear" w:color="auto" w:fill="auto"/>
          </w:tcPr>
          <w:p w14:paraId="0C54D822"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32 000</w:t>
            </w:r>
          </w:p>
        </w:tc>
      </w:tr>
      <w:tr w:rsidR="00C150CD" w:rsidRPr="00DB5D0D" w14:paraId="08C4EE91" w14:textId="77777777" w:rsidTr="007609C9">
        <w:trPr>
          <w:trHeight w:hRule="exact" w:val="202"/>
          <w:jc w:val="center"/>
        </w:trPr>
        <w:tc>
          <w:tcPr>
            <w:tcW w:w="2621" w:type="dxa"/>
            <w:tcBorders>
              <w:left w:val="single" w:sz="4" w:space="0" w:color="auto"/>
            </w:tcBorders>
            <w:shd w:val="clear" w:color="auto" w:fill="auto"/>
          </w:tcPr>
          <w:p w14:paraId="0EC9AE77"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Полезная нагрузка (кг)</w:t>
            </w:r>
          </w:p>
        </w:tc>
        <w:tc>
          <w:tcPr>
            <w:tcW w:w="1018" w:type="dxa"/>
            <w:shd w:val="clear" w:color="auto" w:fill="auto"/>
          </w:tcPr>
          <w:p w14:paraId="6A36D6FB"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5330</w:t>
            </w:r>
          </w:p>
        </w:tc>
        <w:tc>
          <w:tcPr>
            <w:tcW w:w="1440" w:type="dxa"/>
            <w:tcBorders>
              <w:right w:val="single" w:sz="4" w:space="0" w:color="auto"/>
            </w:tcBorders>
            <w:shd w:val="clear" w:color="auto" w:fill="auto"/>
          </w:tcPr>
          <w:p w14:paraId="54E24D8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12 800</w:t>
            </w:r>
          </w:p>
        </w:tc>
      </w:tr>
      <w:tr w:rsidR="00C150CD" w:rsidRPr="00DB5D0D" w14:paraId="1C6AE9F8" w14:textId="77777777" w:rsidTr="007609C9">
        <w:trPr>
          <w:trHeight w:hRule="exact" w:val="197"/>
          <w:jc w:val="center"/>
        </w:trPr>
        <w:tc>
          <w:tcPr>
            <w:tcW w:w="2621" w:type="dxa"/>
            <w:tcBorders>
              <w:left w:val="single" w:sz="4" w:space="0" w:color="auto"/>
            </w:tcBorders>
            <w:shd w:val="clear" w:color="auto" w:fill="auto"/>
            <w:vAlign w:val="bottom"/>
          </w:tcPr>
          <w:p w14:paraId="0600DED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Максимальная скорость с</w:t>
            </w:r>
          </w:p>
        </w:tc>
        <w:tc>
          <w:tcPr>
            <w:tcW w:w="1018" w:type="dxa"/>
            <w:shd w:val="clear" w:color="auto" w:fill="auto"/>
          </w:tcPr>
          <w:p w14:paraId="6A716705" w14:textId="77777777" w:rsidR="00C150CD" w:rsidRPr="00DB5D0D" w:rsidRDefault="00C150CD" w:rsidP="00DB5D0D">
            <w:pPr>
              <w:spacing w:after="0" w:line="240" w:lineRule="auto"/>
              <w:jc w:val="both"/>
              <w:rPr>
                <w:rFonts w:ascii="Times New Roman" w:hAnsi="Times New Roman"/>
                <w:color w:val="0070C0"/>
                <w:sz w:val="16"/>
                <w:szCs w:val="16"/>
              </w:rPr>
            </w:pPr>
          </w:p>
        </w:tc>
        <w:tc>
          <w:tcPr>
            <w:tcW w:w="1440" w:type="dxa"/>
            <w:tcBorders>
              <w:right w:val="single" w:sz="4" w:space="0" w:color="auto"/>
            </w:tcBorders>
            <w:shd w:val="clear" w:color="auto" w:fill="auto"/>
          </w:tcPr>
          <w:p w14:paraId="1B8A1C43" w14:textId="77777777" w:rsidR="00C150CD" w:rsidRPr="00DB5D0D" w:rsidRDefault="00C150CD" w:rsidP="00DB5D0D">
            <w:pPr>
              <w:spacing w:after="0" w:line="240" w:lineRule="auto"/>
              <w:jc w:val="both"/>
              <w:rPr>
                <w:rFonts w:ascii="Times New Roman" w:hAnsi="Times New Roman"/>
                <w:color w:val="0070C0"/>
                <w:sz w:val="16"/>
                <w:szCs w:val="16"/>
              </w:rPr>
            </w:pPr>
          </w:p>
        </w:tc>
      </w:tr>
      <w:tr w:rsidR="00C150CD" w:rsidRPr="00DB5D0D" w14:paraId="1F91F838" w14:textId="77777777" w:rsidTr="007609C9">
        <w:trPr>
          <w:trHeight w:hRule="exact" w:val="206"/>
          <w:jc w:val="center"/>
        </w:trPr>
        <w:tc>
          <w:tcPr>
            <w:tcW w:w="2621" w:type="dxa"/>
            <w:tcBorders>
              <w:left w:val="single" w:sz="4" w:space="0" w:color="auto"/>
            </w:tcBorders>
            <w:shd w:val="clear" w:color="auto" w:fill="auto"/>
          </w:tcPr>
          <w:p w14:paraId="4C9E8857"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2-мя истребителями (км/ч)</w:t>
            </w:r>
          </w:p>
        </w:tc>
        <w:tc>
          <w:tcPr>
            <w:tcW w:w="1018" w:type="dxa"/>
            <w:shd w:val="clear" w:color="auto" w:fill="auto"/>
          </w:tcPr>
          <w:p w14:paraId="78E142C0"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306</w:t>
            </w:r>
          </w:p>
        </w:tc>
        <w:tc>
          <w:tcPr>
            <w:tcW w:w="1440" w:type="dxa"/>
            <w:tcBorders>
              <w:right w:val="single" w:sz="4" w:space="0" w:color="auto"/>
            </w:tcBorders>
            <w:shd w:val="clear" w:color="auto" w:fill="auto"/>
          </w:tcPr>
          <w:p w14:paraId="74CAB51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340</w:t>
            </w:r>
          </w:p>
        </w:tc>
      </w:tr>
      <w:tr w:rsidR="00C150CD" w:rsidRPr="00DB5D0D" w14:paraId="5C80F367" w14:textId="77777777" w:rsidTr="007609C9">
        <w:trPr>
          <w:trHeight w:hRule="exact" w:val="187"/>
          <w:jc w:val="center"/>
        </w:trPr>
        <w:tc>
          <w:tcPr>
            <w:tcW w:w="2621" w:type="dxa"/>
            <w:tcBorders>
              <w:left w:val="single" w:sz="4" w:space="0" w:color="auto"/>
            </w:tcBorders>
            <w:shd w:val="clear" w:color="auto" w:fill="auto"/>
          </w:tcPr>
          <w:p w14:paraId="3DEC2D1F"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Потолок (м)</w:t>
            </w:r>
          </w:p>
        </w:tc>
        <w:tc>
          <w:tcPr>
            <w:tcW w:w="1018" w:type="dxa"/>
            <w:shd w:val="clear" w:color="auto" w:fill="auto"/>
          </w:tcPr>
          <w:p w14:paraId="288BE19E"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7000</w:t>
            </w:r>
          </w:p>
        </w:tc>
        <w:tc>
          <w:tcPr>
            <w:tcW w:w="1440" w:type="dxa"/>
            <w:tcBorders>
              <w:right w:val="single" w:sz="4" w:space="0" w:color="auto"/>
            </w:tcBorders>
            <w:shd w:val="clear" w:color="auto" w:fill="auto"/>
          </w:tcPr>
          <w:p w14:paraId="195B3EB2"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6000</w:t>
            </w:r>
          </w:p>
        </w:tc>
      </w:tr>
      <w:tr w:rsidR="00C150CD" w:rsidRPr="00DB5D0D" w14:paraId="4DDD9666" w14:textId="77777777" w:rsidTr="007609C9">
        <w:trPr>
          <w:trHeight w:hRule="exact" w:val="259"/>
          <w:jc w:val="center"/>
        </w:trPr>
        <w:tc>
          <w:tcPr>
            <w:tcW w:w="2621" w:type="dxa"/>
            <w:tcBorders>
              <w:left w:val="single" w:sz="4" w:space="0" w:color="auto"/>
              <w:bottom w:val="single" w:sz="4" w:space="0" w:color="auto"/>
            </w:tcBorders>
            <w:shd w:val="clear" w:color="auto" w:fill="auto"/>
          </w:tcPr>
          <w:p w14:paraId="5A068DDC"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Дальность(км)</w:t>
            </w:r>
          </w:p>
        </w:tc>
        <w:tc>
          <w:tcPr>
            <w:tcW w:w="1018" w:type="dxa"/>
            <w:tcBorders>
              <w:bottom w:val="single" w:sz="4" w:space="0" w:color="auto"/>
            </w:tcBorders>
            <w:shd w:val="clear" w:color="auto" w:fill="auto"/>
          </w:tcPr>
          <w:p w14:paraId="487D09C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1200</w:t>
            </w:r>
          </w:p>
        </w:tc>
        <w:tc>
          <w:tcPr>
            <w:tcW w:w="1440" w:type="dxa"/>
            <w:tcBorders>
              <w:bottom w:val="single" w:sz="4" w:space="0" w:color="auto"/>
              <w:right w:val="single" w:sz="4" w:space="0" w:color="auto"/>
            </w:tcBorders>
            <w:shd w:val="clear" w:color="auto" w:fill="auto"/>
          </w:tcPr>
          <w:p w14:paraId="7FED4E30"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960</w:t>
            </w:r>
          </w:p>
        </w:tc>
      </w:tr>
    </w:tbl>
    <w:p w14:paraId="48DFB6C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(20364).</w:t>
      </w:r>
    </w:p>
    <w:p w14:paraId="49739D1A"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Таблица подготовлена самим В.С. Вахмистровым</w:t>
      </w:r>
    </w:p>
    <w:tbl>
      <w:tblPr>
        <w:tblOverlap w:val="never"/>
        <w:tblW w:w="10469" w:type="dxa"/>
        <w:jc w:val="center"/>
        <w:tblLayout w:type="fixed"/>
        <w:tblCellMar>
          <w:left w:w="10" w:type="dxa"/>
          <w:right w:w="10" w:type="dxa"/>
        </w:tblCellMar>
        <w:tblLook w:val="0000" w:firstRow="0" w:lastRow="0" w:firstColumn="0" w:lastColumn="0" w:noHBand="0" w:noVBand="0"/>
      </w:tblPr>
      <w:tblGrid>
        <w:gridCol w:w="384"/>
        <w:gridCol w:w="1574"/>
        <w:gridCol w:w="10"/>
        <w:gridCol w:w="1488"/>
        <w:gridCol w:w="10"/>
        <w:gridCol w:w="2692"/>
        <w:gridCol w:w="15"/>
        <w:gridCol w:w="2352"/>
        <w:gridCol w:w="1944"/>
      </w:tblGrid>
      <w:tr w:rsidR="00C150CD" w:rsidRPr="00DB5D0D" w14:paraId="67034968" w14:textId="77777777" w:rsidTr="007609C9">
        <w:trPr>
          <w:trHeight w:hRule="exact" w:val="379"/>
          <w:jc w:val="center"/>
        </w:trPr>
        <w:tc>
          <w:tcPr>
            <w:tcW w:w="384" w:type="dxa"/>
            <w:tcBorders>
              <w:top w:val="single" w:sz="4" w:space="0" w:color="auto"/>
              <w:left w:val="single" w:sz="4" w:space="0" w:color="auto"/>
            </w:tcBorders>
            <w:shd w:val="clear" w:color="auto" w:fill="auto"/>
            <w:vAlign w:val="center"/>
          </w:tcPr>
          <w:p w14:paraId="735EB9BF"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p>
        </w:tc>
        <w:tc>
          <w:tcPr>
            <w:tcW w:w="1584" w:type="dxa"/>
            <w:gridSpan w:val="2"/>
            <w:tcBorders>
              <w:top w:val="single" w:sz="4" w:space="0" w:color="auto"/>
            </w:tcBorders>
            <w:shd w:val="clear" w:color="auto" w:fill="auto"/>
            <w:vAlign w:val="center"/>
          </w:tcPr>
          <w:p w14:paraId="1408C34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Название</w:t>
            </w:r>
          </w:p>
        </w:tc>
        <w:tc>
          <w:tcPr>
            <w:tcW w:w="1498" w:type="dxa"/>
            <w:gridSpan w:val="2"/>
            <w:tcBorders>
              <w:top w:val="single" w:sz="4" w:space="0" w:color="auto"/>
            </w:tcBorders>
            <w:shd w:val="clear" w:color="auto" w:fill="auto"/>
            <w:vAlign w:val="center"/>
          </w:tcPr>
          <w:p w14:paraId="2F387467"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Дата выпуска</w:t>
            </w:r>
          </w:p>
        </w:tc>
        <w:tc>
          <w:tcPr>
            <w:tcW w:w="2707" w:type="dxa"/>
            <w:gridSpan w:val="2"/>
            <w:tcBorders>
              <w:top w:val="single" w:sz="4" w:space="0" w:color="auto"/>
            </w:tcBorders>
            <w:shd w:val="clear" w:color="auto" w:fill="auto"/>
            <w:vAlign w:val="center"/>
          </w:tcPr>
          <w:p w14:paraId="23D665B1"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Конструктивное описание</w:t>
            </w:r>
          </w:p>
        </w:tc>
        <w:tc>
          <w:tcPr>
            <w:tcW w:w="2352" w:type="dxa"/>
            <w:tcBorders>
              <w:top w:val="single" w:sz="4" w:space="0" w:color="auto"/>
            </w:tcBorders>
            <w:shd w:val="clear" w:color="auto" w:fill="auto"/>
            <w:vAlign w:val="center"/>
          </w:tcPr>
          <w:p w14:paraId="7307FBB5"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Основные записи</w:t>
            </w:r>
          </w:p>
        </w:tc>
        <w:tc>
          <w:tcPr>
            <w:tcW w:w="1944" w:type="dxa"/>
            <w:tcBorders>
              <w:top w:val="single" w:sz="4" w:space="0" w:color="auto"/>
              <w:right w:val="single" w:sz="4" w:space="0" w:color="auto"/>
            </w:tcBorders>
            <w:shd w:val="clear" w:color="auto" w:fill="auto"/>
            <w:vAlign w:val="center"/>
          </w:tcPr>
          <w:p w14:paraId="145048BD"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Примечание</w:t>
            </w:r>
          </w:p>
        </w:tc>
      </w:tr>
      <w:tr w:rsidR="00C150CD" w:rsidRPr="00DB5D0D" w14:paraId="69D2DD39" w14:textId="77777777" w:rsidTr="007609C9">
        <w:trPr>
          <w:trHeight w:hRule="exact" w:val="1805"/>
          <w:jc w:val="center"/>
        </w:trPr>
        <w:tc>
          <w:tcPr>
            <w:tcW w:w="384" w:type="dxa"/>
            <w:tcBorders>
              <w:top w:val="single" w:sz="4" w:space="0" w:color="auto"/>
              <w:left w:val="single" w:sz="4" w:space="0" w:color="auto"/>
            </w:tcBorders>
            <w:shd w:val="clear" w:color="auto" w:fill="auto"/>
          </w:tcPr>
          <w:p w14:paraId="04241751"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w:t>
            </w:r>
          </w:p>
        </w:tc>
        <w:tc>
          <w:tcPr>
            <w:tcW w:w="1584" w:type="dxa"/>
            <w:gridSpan w:val="2"/>
            <w:tcBorders>
              <w:top w:val="single" w:sz="4" w:space="0" w:color="auto"/>
            </w:tcBorders>
            <w:shd w:val="clear" w:color="auto" w:fill="auto"/>
          </w:tcPr>
          <w:p w14:paraId="779F2D8D"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Звено-1 «3-1»</w:t>
            </w:r>
          </w:p>
          <w:p w14:paraId="30A38418"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ТБ-1+2И-4</w:t>
            </w:r>
          </w:p>
        </w:tc>
        <w:tc>
          <w:tcPr>
            <w:tcW w:w="1498" w:type="dxa"/>
            <w:gridSpan w:val="2"/>
            <w:tcBorders>
              <w:top w:val="single" w:sz="4" w:space="0" w:color="auto"/>
            </w:tcBorders>
            <w:shd w:val="clear" w:color="auto" w:fill="auto"/>
          </w:tcPr>
          <w:p w14:paraId="0C0F4897"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03.12.1931 —</w:t>
            </w:r>
          </w:p>
          <w:p w14:paraId="4160815A"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07.1933</w:t>
            </w:r>
          </w:p>
        </w:tc>
        <w:tc>
          <w:tcPr>
            <w:tcW w:w="2707" w:type="dxa"/>
            <w:gridSpan w:val="2"/>
            <w:tcBorders>
              <w:top w:val="single" w:sz="4" w:space="0" w:color="auto"/>
            </w:tcBorders>
            <w:shd w:val="clear" w:color="auto" w:fill="auto"/>
            <w:vAlign w:val="center"/>
          </w:tcPr>
          <w:p w14:paraId="2E4F31E3"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Установка 2 И-4: нижнее крыло снято, добавлены маслобаки, оборудованы замки крепления. На ТБ-1 оборудованы пауки с передними замками, управляе</w:t>
            </w:r>
            <w:r w:rsidRPr="00DB5D0D">
              <w:rPr>
                <w:rFonts w:ascii="Times New Roman" w:hAnsi="Times New Roman"/>
                <w:color w:val="0070C0"/>
                <w:sz w:val="16"/>
                <w:szCs w:val="16"/>
              </w:rPr>
              <w:softHyphen/>
              <w:t>мыми с места 2-го пилота. Шасси усилено, изменена бен</w:t>
            </w:r>
            <w:r w:rsidRPr="00DB5D0D">
              <w:rPr>
                <w:rFonts w:ascii="Times New Roman" w:hAnsi="Times New Roman"/>
                <w:color w:val="0070C0"/>
                <w:sz w:val="16"/>
                <w:szCs w:val="16"/>
              </w:rPr>
              <w:softHyphen/>
              <w:t>зосистема.</w:t>
            </w:r>
          </w:p>
        </w:tc>
        <w:tc>
          <w:tcPr>
            <w:tcW w:w="2352" w:type="dxa"/>
            <w:tcBorders>
              <w:top w:val="single" w:sz="4" w:space="0" w:color="auto"/>
            </w:tcBorders>
            <w:shd w:val="clear" w:color="auto" w:fill="auto"/>
            <w:vAlign w:val="center"/>
          </w:tcPr>
          <w:p w14:paraId="2F39A34A"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Рапорт РВС о первом полете 3-1 05.12.1931 г.</w:t>
            </w:r>
          </w:p>
          <w:p w14:paraId="513A0ED8"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Акт об окончании летных испытаний 01-08.04.1932 г.</w:t>
            </w:r>
          </w:p>
          <w:p w14:paraId="3B5860D1"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Отчет о войсковых испы</w:t>
            </w:r>
            <w:r w:rsidRPr="00DB5D0D">
              <w:rPr>
                <w:rFonts w:ascii="Times New Roman" w:hAnsi="Times New Roman"/>
                <w:color w:val="0070C0"/>
                <w:sz w:val="16"/>
                <w:szCs w:val="16"/>
              </w:rPr>
              <w:softHyphen/>
              <w:t>таниях 08.1933 г.</w:t>
            </w:r>
          </w:p>
          <w:p w14:paraId="4886FE6D"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Летная книжка П.М. Сте- фановского</w:t>
            </w:r>
          </w:p>
        </w:tc>
        <w:tc>
          <w:tcPr>
            <w:tcW w:w="1944" w:type="dxa"/>
            <w:tcBorders>
              <w:top w:val="single" w:sz="4" w:space="0" w:color="auto"/>
              <w:right w:val="single" w:sz="4" w:space="0" w:color="auto"/>
            </w:tcBorders>
            <w:shd w:val="clear" w:color="auto" w:fill="auto"/>
          </w:tcPr>
          <w:p w14:paraId="7DDB86E4"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После первого полета доработка замков рас</w:t>
            </w:r>
            <w:r w:rsidRPr="00DB5D0D">
              <w:rPr>
                <w:rFonts w:ascii="Times New Roman" w:hAnsi="Times New Roman"/>
                <w:color w:val="0070C0"/>
                <w:sz w:val="16"/>
                <w:szCs w:val="16"/>
              </w:rPr>
              <w:softHyphen/>
              <w:t>цепки. Была изготов</w:t>
            </w:r>
            <w:r w:rsidRPr="00DB5D0D">
              <w:rPr>
                <w:rFonts w:ascii="Times New Roman" w:hAnsi="Times New Roman"/>
                <w:color w:val="0070C0"/>
                <w:sz w:val="16"/>
                <w:szCs w:val="16"/>
              </w:rPr>
              <w:softHyphen/>
              <w:t>лена малая серия «3-1» для войсковых испытаний, которые прошли успешно</w:t>
            </w:r>
          </w:p>
        </w:tc>
      </w:tr>
      <w:tr w:rsidR="00C150CD" w:rsidRPr="00DB5D0D" w14:paraId="33F82C03" w14:textId="77777777" w:rsidTr="007609C9">
        <w:trPr>
          <w:trHeight w:hRule="exact" w:val="1190"/>
          <w:jc w:val="center"/>
        </w:trPr>
        <w:tc>
          <w:tcPr>
            <w:tcW w:w="384" w:type="dxa"/>
            <w:tcBorders>
              <w:left w:val="single" w:sz="4" w:space="0" w:color="auto"/>
            </w:tcBorders>
            <w:shd w:val="clear" w:color="auto" w:fill="auto"/>
          </w:tcPr>
          <w:p w14:paraId="597DD26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w:t>
            </w:r>
          </w:p>
        </w:tc>
        <w:tc>
          <w:tcPr>
            <w:tcW w:w="1584" w:type="dxa"/>
            <w:gridSpan w:val="2"/>
            <w:shd w:val="clear" w:color="auto" w:fill="auto"/>
          </w:tcPr>
          <w:p w14:paraId="4AFDE5E7"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«З-1а»</w:t>
            </w:r>
          </w:p>
          <w:p w14:paraId="0969AE01"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ТБ-1+2И-5</w:t>
            </w:r>
          </w:p>
        </w:tc>
        <w:tc>
          <w:tcPr>
            <w:tcW w:w="1498" w:type="dxa"/>
            <w:gridSpan w:val="2"/>
            <w:shd w:val="clear" w:color="auto" w:fill="auto"/>
          </w:tcPr>
          <w:p w14:paraId="3645231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09.1933 —</w:t>
            </w:r>
          </w:p>
          <w:p w14:paraId="15603B8B"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05.10.1933 г.</w:t>
            </w:r>
          </w:p>
        </w:tc>
        <w:tc>
          <w:tcPr>
            <w:tcW w:w="2707" w:type="dxa"/>
            <w:gridSpan w:val="2"/>
            <w:shd w:val="clear" w:color="auto" w:fill="auto"/>
          </w:tcPr>
          <w:p w14:paraId="27D9059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ТБ-1 доработан для установки И-5</w:t>
            </w:r>
          </w:p>
        </w:tc>
        <w:tc>
          <w:tcPr>
            <w:tcW w:w="2352" w:type="dxa"/>
            <w:shd w:val="clear" w:color="auto" w:fill="auto"/>
            <w:vAlign w:val="center"/>
          </w:tcPr>
          <w:p w14:paraId="4BB806E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Протокол испытаний «3-1а» 09.1933 г.</w:t>
            </w:r>
          </w:p>
          <w:p w14:paraId="6DEDF40E"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Акт, утвержденный Алкснисом испытаний «3-1а» 05.10.1933 г.</w:t>
            </w:r>
          </w:p>
        </w:tc>
        <w:tc>
          <w:tcPr>
            <w:tcW w:w="1944" w:type="dxa"/>
            <w:tcBorders>
              <w:right w:val="single" w:sz="4" w:space="0" w:color="auto"/>
            </w:tcBorders>
            <w:shd w:val="clear" w:color="auto" w:fill="auto"/>
          </w:tcPr>
          <w:p w14:paraId="5CB8AE00"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Изготовлена малая се</w:t>
            </w:r>
            <w:r w:rsidRPr="00DB5D0D">
              <w:rPr>
                <w:rFonts w:ascii="Times New Roman" w:hAnsi="Times New Roman"/>
                <w:color w:val="0070C0"/>
                <w:sz w:val="16"/>
                <w:szCs w:val="16"/>
              </w:rPr>
              <w:softHyphen/>
              <w:t>рия «3-1а». Войсковые испытания прошли ус</w:t>
            </w:r>
            <w:r w:rsidRPr="00DB5D0D">
              <w:rPr>
                <w:rFonts w:ascii="Times New Roman" w:hAnsi="Times New Roman"/>
                <w:color w:val="0070C0"/>
                <w:sz w:val="16"/>
                <w:szCs w:val="16"/>
              </w:rPr>
              <w:softHyphen/>
              <w:t>пешно</w:t>
            </w:r>
          </w:p>
        </w:tc>
      </w:tr>
      <w:tr w:rsidR="00C150CD" w:rsidRPr="00DB5D0D" w14:paraId="43B2CE21" w14:textId="77777777" w:rsidTr="007609C9">
        <w:trPr>
          <w:trHeight w:hRule="exact" w:val="1210"/>
          <w:jc w:val="center"/>
        </w:trPr>
        <w:tc>
          <w:tcPr>
            <w:tcW w:w="384" w:type="dxa"/>
            <w:tcBorders>
              <w:left w:val="single" w:sz="4" w:space="0" w:color="auto"/>
            </w:tcBorders>
            <w:shd w:val="clear" w:color="auto" w:fill="auto"/>
          </w:tcPr>
          <w:p w14:paraId="52BD4C2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w:t>
            </w:r>
          </w:p>
        </w:tc>
        <w:tc>
          <w:tcPr>
            <w:tcW w:w="1584" w:type="dxa"/>
            <w:gridSpan w:val="2"/>
            <w:shd w:val="clear" w:color="auto" w:fill="auto"/>
          </w:tcPr>
          <w:p w14:paraId="431F3E92"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Тягач Звена «Т-3»</w:t>
            </w:r>
          </w:p>
        </w:tc>
        <w:tc>
          <w:tcPr>
            <w:tcW w:w="1498" w:type="dxa"/>
            <w:gridSpan w:val="2"/>
            <w:shd w:val="clear" w:color="auto" w:fill="auto"/>
          </w:tcPr>
          <w:p w14:paraId="20B04F0B"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1933 г.</w:t>
            </w:r>
          </w:p>
        </w:tc>
        <w:tc>
          <w:tcPr>
            <w:tcW w:w="2707" w:type="dxa"/>
            <w:gridSpan w:val="2"/>
            <w:shd w:val="clear" w:color="auto" w:fill="auto"/>
            <w:vAlign w:val="center"/>
          </w:tcPr>
          <w:p w14:paraId="26D510F8"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Специальный самолет для уско</w:t>
            </w:r>
            <w:r w:rsidRPr="00DB5D0D">
              <w:rPr>
                <w:rFonts w:ascii="Times New Roman" w:hAnsi="Times New Roman"/>
                <w:color w:val="0070C0"/>
                <w:sz w:val="16"/>
                <w:szCs w:val="16"/>
              </w:rPr>
              <w:softHyphen/>
              <w:t>рения взлета самолета-носите</w:t>
            </w:r>
            <w:r w:rsidRPr="00DB5D0D">
              <w:rPr>
                <w:rFonts w:ascii="Times New Roman" w:hAnsi="Times New Roman"/>
                <w:color w:val="0070C0"/>
                <w:sz w:val="16"/>
                <w:szCs w:val="16"/>
              </w:rPr>
              <w:softHyphen/>
              <w:t>ля с мощным двигателем и специально подобранным воз</w:t>
            </w:r>
            <w:r w:rsidRPr="00DB5D0D">
              <w:rPr>
                <w:rFonts w:ascii="Times New Roman" w:hAnsi="Times New Roman"/>
                <w:color w:val="0070C0"/>
                <w:sz w:val="16"/>
                <w:szCs w:val="16"/>
              </w:rPr>
              <w:softHyphen/>
              <w:t>душным винтом</w:t>
            </w:r>
          </w:p>
        </w:tc>
        <w:tc>
          <w:tcPr>
            <w:tcW w:w="2352" w:type="dxa"/>
            <w:shd w:val="clear" w:color="auto" w:fill="auto"/>
          </w:tcPr>
          <w:p w14:paraId="56F8C7DE"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Эскизный проект</w:t>
            </w:r>
          </w:p>
        </w:tc>
        <w:tc>
          <w:tcPr>
            <w:tcW w:w="1944" w:type="dxa"/>
            <w:tcBorders>
              <w:right w:val="single" w:sz="4" w:space="0" w:color="auto"/>
            </w:tcBorders>
            <w:shd w:val="clear" w:color="auto" w:fill="auto"/>
          </w:tcPr>
          <w:p w14:paraId="21187E52"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Конструктивно не раз</w:t>
            </w:r>
            <w:r w:rsidRPr="00DB5D0D">
              <w:rPr>
                <w:rFonts w:ascii="Times New Roman" w:hAnsi="Times New Roman"/>
                <w:color w:val="0070C0"/>
                <w:sz w:val="16"/>
                <w:szCs w:val="16"/>
              </w:rPr>
              <w:softHyphen/>
              <w:t>рабатывался</w:t>
            </w:r>
          </w:p>
        </w:tc>
      </w:tr>
      <w:tr w:rsidR="00C150CD" w:rsidRPr="00DB5D0D" w14:paraId="732920B8" w14:textId="77777777" w:rsidTr="007609C9">
        <w:trPr>
          <w:trHeight w:hRule="exact" w:val="1397"/>
          <w:jc w:val="center"/>
        </w:trPr>
        <w:tc>
          <w:tcPr>
            <w:tcW w:w="384" w:type="dxa"/>
            <w:tcBorders>
              <w:left w:val="single" w:sz="4" w:space="0" w:color="auto"/>
            </w:tcBorders>
            <w:shd w:val="clear" w:color="auto" w:fill="auto"/>
          </w:tcPr>
          <w:p w14:paraId="3D9AA6A0"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w:t>
            </w:r>
          </w:p>
        </w:tc>
        <w:tc>
          <w:tcPr>
            <w:tcW w:w="1584" w:type="dxa"/>
            <w:gridSpan w:val="2"/>
            <w:shd w:val="clear" w:color="auto" w:fill="auto"/>
          </w:tcPr>
          <w:p w14:paraId="70F70B68"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«З-2» ТБ-3+2И-5</w:t>
            </w:r>
          </w:p>
        </w:tc>
        <w:tc>
          <w:tcPr>
            <w:tcW w:w="1498" w:type="dxa"/>
            <w:gridSpan w:val="2"/>
            <w:shd w:val="clear" w:color="auto" w:fill="auto"/>
          </w:tcPr>
          <w:p w14:paraId="507D9954"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06.1933 г. —</w:t>
            </w:r>
          </w:p>
          <w:p w14:paraId="7D7011CA"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08.1935 г.</w:t>
            </w:r>
          </w:p>
        </w:tc>
        <w:tc>
          <w:tcPr>
            <w:tcW w:w="2707" w:type="dxa"/>
            <w:gridSpan w:val="2"/>
            <w:shd w:val="clear" w:color="auto" w:fill="auto"/>
          </w:tcPr>
          <w:p w14:paraId="4F677043"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Конструкция крепления трех И-5 аналогична «3-1а»</w:t>
            </w:r>
          </w:p>
        </w:tc>
        <w:tc>
          <w:tcPr>
            <w:tcW w:w="2352" w:type="dxa"/>
            <w:shd w:val="clear" w:color="auto" w:fill="auto"/>
            <w:vAlign w:val="center"/>
          </w:tcPr>
          <w:p w14:paraId="4E4A9A2C"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.Летная книжка П.М. Сте- фановского</w:t>
            </w:r>
          </w:p>
          <w:p w14:paraId="1F09700A"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Отчет по тактическим испытаниям самолета 3ве- но ТБ-3+2И-5 (с бензопи</w:t>
            </w:r>
            <w:r w:rsidRPr="00DB5D0D">
              <w:rPr>
                <w:rFonts w:ascii="Times New Roman" w:hAnsi="Times New Roman"/>
                <w:color w:val="0070C0"/>
                <w:sz w:val="16"/>
                <w:szCs w:val="16"/>
              </w:rPr>
              <w:softHyphen/>
              <w:t>танием)</w:t>
            </w:r>
          </w:p>
        </w:tc>
        <w:tc>
          <w:tcPr>
            <w:tcW w:w="1944" w:type="dxa"/>
            <w:tcBorders>
              <w:right w:val="single" w:sz="4" w:space="0" w:color="auto"/>
            </w:tcBorders>
            <w:shd w:val="clear" w:color="auto" w:fill="auto"/>
          </w:tcPr>
          <w:p w14:paraId="481BF23E"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Испытывались ТБ-3+2И-5, ТБ-3+1И-5 ТБ-3+3И-5.</w:t>
            </w:r>
          </w:p>
        </w:tc>
      </w:tr>
      <w:tr w:rsidR="00C150CD" w:rsidRPr="00DB5D0D" w14:paraId="0C4CF18A" w14:textId="77777777" w:rsidTr="007609C9">
        <w:trPr>
          <w:trHeight w:hRule="exact" w:val="1003"/>
          <w:jc w:val="center"/>
        </w:trPr>
        <w:tc>
          <w:tcPr>
            <w:tcW w:w="384" w:type="dxa"/>
            <w:tcBorders>
              <w:left w:val="single" w:sz="4" w:space="0" w:color="auto"/>
            </w:tcBorders>
            <w:shd w:val="clear" w:color="auto" w:fill="auto"/>
          </w:tcPr>
          <w:p w14:paraId="0BD917C7"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w:t>
            </w:r>
          </w:p>
        </w:tc>
        <w:tc>
          <w:tcPr>
            <w:tcW w:w="1584" w:type="dxa"/>
            <w:gridSpan w:val="2"/>
            <w:shd w:val="clear" w:color="auto" w:fill="auto"/>
          </w:tcPr>
          <w:p w14:paraId="2271D42F"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«З-3»</w:t>
            </w:r>
          </w:p>
          <w:p w14:paraId="03E5CCF8"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ТБ-3+2И-3ЕТ</w:t>
            </w:r>
          </w:p>
        </w:tc>
        <w:tc>
          <w:tcPr>
            <w:tcW w:w="1498" w:type="dxa"/>
            <w:gridSpan w:val="2"/>
            <w:shd w:val="clear" w:color="auto" w:fill="auto"/>
          </w:tcPr>
          <w:p w14:paraId="21F4FAEC"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07.1934 г.</w:t>
            </w:r>
          </w:p>
        </w:tc>
        <w:tc>
          <w:tcPr>
            <w:tcW w:w="2707" w:type="dxa"/>
            <w:gridSpan w:val="2"/>
            <w:shd w:val="clear" w:color="auto" w:fill="auto"/>
            <w:vAlign w:val="center"/>
          </w:tcPr>
          <w:p w14:paraId="4E4AE562"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И-3ЕТ подвешивались на пла</w:t>
            </w:r>
            <w:r w:rsidRPr="00DB5D0D">
              <w:rPr>
                <w:rFonts w:ascii="Times New Roman" w:hAnsi="Times New Roman"/>
                <w:color w:val="0070C0"/>
                <w:sz w:val="16"/>
                <w:szCs w:val="16"/>
              </w:rPr>
              <w:softHyphen/>
              <w:t>вающей подвеске. При взлете ТБ-3 «3ЕТЫ» стопорились в крайнем нижнем положении</w:t>
            </w:r>
          </w:p>
        </w:tc>
        <w:tc>
          <w:tcPr>
            <w:tcW w:w="2352" w:type="dxa"/>
            <w:shd w:val="clear" w:color="auto" w:fill="auto"/>
          </w:tcPr>
          <w:p w14:paraId="2A4EBC8A"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Летная книжка П.М. Стефа- новского</w:t>
            </w:r>
          </w:p>
        </w:tc>
        <w:tc>
          <w:tcPr>
            <w:tcW w:w="1944" w:type="dxa"/>
            <w:tcBorders>
              <w:right w:val="single" w:sz="4" w:space="0" w:color="auto"/>
            </w:tcBorders>
            <w:shd w:val="clear" w:color="auto" w:fill="auto"/>
            <w:vAlign w:val="center"/>
          </w:tcPr>
          <w:p w14:paraId="29A3CF1A"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первом эксперимен</w:t>
            </w:r>
            <w:r w:rsidRPr="00DB5D0D">
              <w:rPr>
                <w:rFonts w:ascii="Times New Roman" w:hAnsi="Times New Roman"/>
                <w:color w:val="0070C0"/>
                <w:sz w:val="16"/>
                <w:szCs w:val="16"/>
              </w:rPr>
              <w:softHyphen/>
              <w:t>тальном полете катаст</w:t>
            </w:r>
            <w:r w:rsidRPr="00DB5D0D">
              <w:rPr>
                <w:rFonts w:ascii="Times New Roman" w:hAnsi="Times New Roman"/>
                <w:color w:val="0070C0"/>
                <w:sz w:val="16"/>
                <w:szCs w:val="16"/>
              </w:rPr>
              <w:softHyphen/>
              <w:t>рофа, летчик Коротков погиб. Все прекращено</w:t>
            </w:r>
          </w:p>
        </w:tc>
      </w:tr>
      <w:tr w:rsidR="00C150CD" w:rsidRPr="00DB5D0D" w14:paraId="0888AA89" w14:textId="77777777" w:rsidTr="007609C9">
        <w:trPr>
          <w:trHeight w:hRule="exact" w:val="806"/>
          <w:jc w:val="center"/>
        </w:trPr>
        <w:tc>
          <w:tcPr>
            <w:tcW w:w="384" w:type="dxa"/>
            <w:tcBorders>
              <w:left w:val="single" w:sz="4" w:space="0" w:color="auto"/>
            </w:tcBorders>
            <w:shd w:val="clear" w:color="auto" w:fill="auto"/>
          </w:tcPr>
          <w:p w14:paraId="7EDAED7B"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w:t>
            </w:r>
          </w:p>
        </w:tc>
        <w:tc>
          <w:tcPr>
            <w:tcW w:w="1584" w:type="dxa"/>
            <w:gridSpan w:val="2"/>
            <w:shd w:val="clear" w:color="auto" w:fill="auto"/>
            <w:vAlign w:val="center"/>
          </w:tcPr>
          <w:p w14:paraId="2FD58A4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«З-4» ТБ-3+И-5 (фюзеляж»)</w:t>
            </w:r>
          </w:p>
        </w:tc>
        <w:tc>
          <w:tcPr>
            <w:tcW w:w="1498" w:type="dxa"/>
            <w:gridSpan w:val="2"/>
            <w:shd w:val="clear" w:color="auto" w:fill="auto"/>
          </w:tcPr>
          <w:p w14:paraId="2E26DD13"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11.1935 г.</w:t>
            </w:r>
          </w:p>
        </w:tc>
        <w:tc>
          <w:tcPr>
            <w:tcW w:w="2707" w:type="dxa"/>
            <w:gridSpan w:val="2"/>
            <w:shd w:val="clear" w:color="auto" w:fill="auto"/>
            <w:vAlign w:val="center"/>
          </w:tcPr>
          <w:p w14:paraId="23FBF17A"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Упрощенный «Т-3» с использо</w:t>
            </w:r>
            <w:r w:rsidRPr="00DB5D0D">
              <w:rPr>
                <w:rFonts w:ascii="Times New Roman" w:hAnsi="Times New Roman"/>
                <w:color w:val="0070C0"/>
                <w:sz w:val="16"/>
                <w:szCs w:val="16"/>
              </w:rPr>
              <w:softHyphen/>
              <w:t>ванием И-5 без крыльев и опе</w:t>
            </w:r>
            <w:r w:rsidRPr="00DB5D0D">
              <w:rPr>
                <w:rFonts w:ascii="Times New Roman" w:hAnsi="Times New Roman"/>
                <w:color w:val="0070C0"/>
                <w:sz w:val="16"/>
                <w:szCs w:val="16"/>
              </w:rPr>
              <w:softHyphen/>
              <w:t>рения</w:t>
            </w:r>
          </w:p>
        </w:tc>
        <w:tc>
          <w:tcPr>
            <w:tcW w:w="2352" w:type="dxa"/>
            <w:shd w:val="clear" w:color="auto" w:fill="auto"/>
          </w:tcPr>
          <w:p w14:paraId="136BAB6A" w14:textId="77777777" w:rsidR="00C150CD" w:rsidRPr="00DB5D0D" w:rsidRDefault="00C150CD" w:rsidP="00DB5D0D">
            <w:pPr>
              <w:spacing w:after="0" w:line="240" w:lineRule="auto"/>
              <w:jc w:val="both"/>
              <w:rPr>
                <w:rFonts w:ascii="Times New Roman" w:hAnsi="Times New Roman"/>
                <w:color w:val="0070C0"/>
                <w:sz w:val="16"/>
                <w:szCs w:val="16"/>
              </w:rPr>
            </w:pPr>
          </w:p>
        </w:tc>
        <w:tc>
          <w:tcPr>
            <w:tcW w:w="1944" w:type="dxa"/>
            <w:tcBorders>
              <w:right w:val="single" w:sz="4" w:space="0" w:color="auto"/>
            </w:tcBorders>
            <w:shd w:val="clear" w:color="auto" w:fill="auto"/>
            <w:vAlign w:val="center"/>
          </w:tcPr>
          <w:p w14:paraId="249BD00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Несколько полетов, преимуществ нет, по</w:t>
            </w:r>
            <w:r w:rsidRPr="00DB5D0D">
              <w:rPr>
                <w:rFonts w:ascii="Times New Roman" w:hAnsi="Times New Roman"/>
                <w:color w:val="0070C0"/>
                <w:sz w:val="16"/>
                <w:szCs w:val="16"/>
              </w:rPr>
              <w:softHyphen/>
              <w:t>леты прекратили</w:t>
            </w:r>
          </w:p>
        </w:tc>
      </w:tr>
      <w:tr w:rsidR="00C150CD" w:rsidRPr="00DB5D0D" w14:paraId="0968FD92" w14:textId="77777777" w:rsidTr="007609C9">
        <w:trPr>
          <w:trHeight w:hRule="exact" w:val="802"/>
          <w:jc w:val="center"/>
        </w:trPr>
        <w:tc>
          <w:tcPr>
            <w:tcW w:w="384" w:type="dxa"/>
            <w:tcBorders>
              <w:left w:val="single" w:sz="4" w:space="0" w:color="auto"/>
            </w:tcBorders>
            <w:shd w:val="clear" w:color="auto" w:fill="auto"/>
          </w:tcPr>
          <w:p w14:paraId="7E030542"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w:t>
            </w:r>
          </w:p>
        </w:tc>
        <w:tc>
          <w:tcPr>
            <w:tcW w:w="1584" w:type="dxa"/>
            <w:gridSpan w:val="2"/>
            <w:shd w:val="clear" w:color="auto" w:fill="auto"/>
          </w:tcPr>
          <w:p w14:paraId="54EDBDB8"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«3-5»</w:t>
            </w:r>
          </w:p>
          <w:p w14:paraId="3F9428B7"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ТБ-3+И-3ЕТ</w:t>
            </w:r>
          </w:p>
        </w:tc>
        <w:tc>
          <w:tcPr>
            <w:tcW w:w="1498" w:type="dxa"/>
            <w:gridSpan w:val="2"/>
            <w:shd w:val="clear" w:color="auto" w:fill="auto"/>
          </w:tcPr>
          <w:p w14:paraId="31EACB6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04.04.1935 г.</w:t>
            </w:r>
          </w:p>
        </w:tc>
        <w:tc>
          <w:tcPr>
            <w:tcW w:w="2707" w:type="dxa"/>
            <w:gridSpan w:val="2"/>
            <w:shd w:val="clear" w:color="auto" w:fill="auto"/>
          </w:tcPr>
          <w:p w14:paraId="1789D682"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ТБ-3 оборудован фермой для подцепки И-3ЕТ</w:t>
            </w:r>
          </w:p>
        </w:tc>
        <w:tc>
          <w:tcPr>
            <w:tcW w:w="2352" w:type="dxa"/>
            <w:shd w:val="clear" w:color="auto" w:fill="auto"/>
            <w:vAlign w:val="center"/>
          </w:tcPr>
          <w:p w14:paraId="1DF6F38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Отчет по испытаниям</w:t>
            </w:r>
          </w:p>
          <w:p w14:paraId="25E91B4C"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Летная книжка П.М. Сте- фановского</w:t>
            </w:r>
          </w:p>
        </w:tc>
        <w:tc>
          <w:tcPr>
            <w:tcW w:w="1944" w:type="dxa"/>
            <w:tcBorders>
              <w:right w:val="single" w:sz="4" w:space="0" w:color="auto"/>
            </w:tcBorders>
            <w:shd w:val="clear" w:color="auto" w:fill="auto"/>
          </w:tcPr>
          <w:p w14:paraId="7AC8EE40"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Летчик В.А. Степанчо- нок</w:t>
            </w:r>
          </w:p>
        </w:tc>
      </w:tr>
      <w:tr w:rsidR="00C150CD" w:rsidRPr="00DB5D0D" w14:paraId="06B50298" w14:textId="77777777" w:rsidTr="007609C9">
        <w:trPr>
          <w:trHeight w:hRule="exact" w:val="1982"/>
          <w:jc w:val="center"/>
        </w:trPr>
        <w:tc>
          <w:tcPr>
            <w:tcW w:w="384" w:type="dxa"/>
            <w:tcBorders>
              <w:left w:val="single" w:sz="4" w:space="0" w:color="auto"/>
            </w:tcBorders>
            <w:shd w:val="clear" w:color="auto" w:fill="auto"/>
          </w:tcPr>
          <w:p w14:paraId="1BD4884F"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8.</w:t>
            </w:r>
          </w:p>
        </w:tc>
        <w:tc>
          <w:tcPr>
            <w:tcW w:w="1584" w:type="dxa"/>
            <w:gridSpan w:val="2"/>
            <w:shd w:val="clear" w:color="auto" w:fill="auto"/>
          </w:tcPr>
          <w:p w14:paraId="437DF001"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«3-6»</w:t>
            </w:r>
          </w:p>
          <w:p w14:paraId="516D1DC5"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ТБ-3+2И-16</w:t>
            </w:r>
          </w:p>
        </w:tc>
        <w:tc>
          <w:tcPr>
            <w:tcW w:w="1498" w:type="dxa"/>
            <w:gridSpan w:val="2"/>
            <w:shd w:val="clear" w:color="auto" w:fill="auto"/>
          </w:tcPr>
          <w:p w14:paraId="621BEC60"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12.34 г.—08.34 г.</w:t>
            </w:r>
          </w:p>
          <w:p w14:paraId="6448089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13.12.36 г.</w:t>
            </w:r>
          </w:p>
        </w:tc>
        <w:tc>
          <w:tcPr>
            <w:tcW w:w="2707" w:type="dxa"/>
            <w:gridSpan w:val="2"/>
            <w:shd w:val="clear" w:color="auto" w:fill="auto"/>
          </w:tcPr>
          <w:p w14:paraId="3A7EBABC"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И-16 подвешивались к ТБ-3 на 3-х точках. На вершине пирами</w:t>
            </w:r>
            <w:r w:rsidRPr="00DB5D0D">
              <w:rPr>
                <w:rFonts w:ascii="Times New Roman" w:hAnsi="Times New Roman"/>
                <w:color w:val="0070C0"/>
                <w:sz w:val="16"/>
                <w:szCs w:val="16"/>
              </w:rPr>
              <w:softHyphen/>
              <w:t>ды замки. 3-я точка за сидени</w:t>
            </w:r>
            <w:r w:rsidRPr="00DB5D0D">
              <w:rPr>
                <w:rFonts w:ascii="Times New Roman" w:hAnsi="Times New Roman"/>
                <w:color w:val="0070C0"/>
                <w:sz w:val="16"/>
                <w:szCs w:val="16"/>
              </w:rPr>
              <w:softHyphen/>
              <w:t>ем И-16, стойка откидывалась.</w:t>
            </w:r>
          </w:p>
        </w:tc>
        <w:tc>
          <w:tcPr>
            <w:tcW w:w="2352" w:type="dxa"/>
            <w:shd w:val="clear" w:color="auto" w:fill="auto"/>
          </w:tcPr>
          <w:p w14:paraId="2ACEA061"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Летная книжка П.М. Сте- фановского</w:t>
            </w:r>
          </w:p>
          <w:p w14:paraId="53EB7A2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Отчет по летным испыта</w:t>
            </w:r>
            <w:r w:rsidRPr="00DB5D0D">
              <w:rPr>
                <w:rFonts w:ascii="Times New Roman" w:hAnsi="Times New Roman"/>
                <w:color w:val="0070C0"/>
                <w:sz w:val="16"/>
                <w:szCs w:val="16"/>
              </w:rPr>
              <w:softHyphen/>
              <w:t>ниям</w:t>
            </w:r>
          </w:p>
        </w:tc>
        <w:tc>
          <w:tcPr>
            <w:tcW w:w="1944" w:type="dxa"/>
            <w:tcBorders>
              <w:right w:val="single" w:sz="4" w:space="0" w:color="auto"/>
            </w:tcBorders>
            <w:shd w:val="clear" w:color="auto" w:fill="auto"/>
            <w:vAlign w:val="center"/>
          </w:tcPr>
          <w:p w14:paraId="0BBA5755"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И-16 подруливал, цеп</w:t>
            </w:r>
            <w:r w:rsidRPr="00DB5D0D">
              <w:rPr>
                <w:rFonts w:ascii="Times New Roman" w:hAnsi="Times New Roman"/>
                <w:color w:val="0070C0"/>
                <w:sz w:val="16"/>
                <w:szCs w:val="16"/>
              </w:rPr>
              <w:softHyphen/>
              <w:t>лялся за замки, убирал шасси. Доработка зад</w:t>
            </w:r>
            <w:r w:rsidRPr="00DB5D0D">
              <w:rPr>
                <w:rFonts w:ascii="Times New Roman" w:hAnsi="Times New Roman"/>
                <w:color w:val="0070C0"/>
                <w:sz w:val="16"/>
                <w:szCs w:val="16"/>
              </w:rPr>
              <w:softHyphen/>
              <w:t>него замка, исключаю</w:t>
            </w:r>
            <w:r w:rsidRPr="00DB5D0D">
              <w:rPr>
                <w:rFonts w:ascii="Times New Roman" w:hAnsi="Times New Roman"/>
                <w:color w:val="0070C0"/>
                <w:sz w:val="16"/>
                <w:szCs w:val="16"/>
              </w:rPr>
              <w:softHyphen/>
              <w:t>щего самооткрытие. Испытания положи</w:t>
            </w:r>
            <w:r w:rsidRPr="00DB5D0D">
              <w:rPr>
                <w:rFonts w:ascii="Times New Roman" w:hAnsi="Times New Roman"/>
                <w:color w:val="0070C0"/>
                <w:sz w:val="16"/>
                <w:szCs w:val="16"/>
              </w:rPr>
              <w:softHyphen/>
              <w:t>тельно. Отработка бензопитания И-16 от ТБ-3</w:t>
            </w:r>
          </w:p>
        </w:tc>
      </w:tr>
      <w:tr w:rsidR="00C150CD" w:rsidRPr="00DB5D0D" w14:paraId="37A128DE" w14:textId="77777777" w:rsidTr="007609C9">
        <w:trPr>
          <w:trHeight w:hRule="exact" w:val="1200"/>
          <w:jc w:val="center"/>
        </w:trPr>
        <w:tc>
          <w:tcPr>
            <w:tcW w:w="384" w:type="dxa"/>
            <w:tcBorders>
              <w:left w:val="single" w:sz="4" w:space="0" w:color="auto"/>
            </w:tcBorders>
            <w:shd w:val="clear" w:color="auto" w:fill="auto"/>
          </w:tcPr>
          <w:p w14:paraId="693122DC" w14:textId="77777777" w:rsidR="00C150CD" w:rsidRPr="00DB5D0D" w:rsidRDefault="00C150CD" w:rsidP="00DB5D0D">
            <w:pPr>
              <w:spacing w:after="0" w:line="240" w:lineRule="auto"/>
              <w:jc w:val="both"/>
              <w:rPr>
                <w:rFonts w:ascii="Times New Roman" w:hAnsi="Times New Roman"/>
                <w:color w:val="0070C0"/>
                <w:sz w:val="16"/>
                <w:szCs w:val="16"/>
              </w:rPr>
            </w:pPr>
            <w:bookmarkStart w:id="49" w:name="_Hlk62123853"/>
            <w:r w:rsidRPr="00DB5D0D">
              <w:rPr>
                <w:rFonts w:ascii="Times New Roman" w:hAnsi="Times New Roman"/>
                <w:color w:val="0070C0"/>
                <w:sz w:val="16"/>
                <w:szCs w:val="16"/>
              </w:rPr>
              <w:t>9.</w:t>
            </w:r>
          </w:p>
        </w:tc>
        <w:tc>
          <w:tcPr>
            <w:tcW w:w="1584" w:type="dxa"/>
            <w:gridSpan w:val="2"/>
            <w:shd w:val="clear" w:color="auto" w:fill="auto"/>
          </w:tcPr>
          <w:p w14:paraId="1D13411E"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«И-3» «Истреби</w:t>
            </w:r>
            <w:r w:rsidRPr="00DB5D0D">
              <w:rPr>
                <w:rFonts w:ascii="Times New Roman" w:hAnsi="Times New Roman"/>
                <w:color w:val="0070C0"/>
                <w:sz w:val="16"/>
                <w:szCs w:val="16"/>
              </w:rPr>
              <w:softHyphen/>
              <w:t>тель Звена»</w:t>
            </w:r>
          </w:p>
        </w:tc>
        <w:tc>
          <w:tcPr>
            <w:tcW w:w="1498" w:type="dxa"/>
            <w:gridSpan w:val="2"/>
            <w:shd w:val="clear" w:color="auto" w:fill="auto"/>
          </w:tcPr>
          <w:p w14:paraId="06B5E4A8"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1934-35 гг.</w:t>
            </w:r>
          </w:p>
        </w:tc>
        <w:tc>
          <w:tcPr>
            <w:tcW w:w="2707" w:type="dxa"/>
            <w:gridSpan w:val="2"/>
            <w:shd w:val="clear" w:color="auto" w:fill="auto"/>
          </w:tcPr>
          <w:p w14:paraId="0B11C2D2"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Большая скорость на высоте, малая площадь крыла, нет обычного шасси, возвращался на носитель</w:t>
            </w:r>
          </w:p>
        </w:tc>
        <w:tc>
          <w:tcPr>
            <w:tcW w:w="2352" w:type="dxa"/>
            <w:shd w:val="clear" w:color="auto" w:fill="auto"/>
          </w:tcPr>
          <w:p w14:paraId="436BB833"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Докладная записка замнар- кома Тухачевскому и его резолюция о включении в план работ «И-3»</w:t>
            </w:r>
          </w:p>
        </w:tc>
        <w:tc>
          <w:tcPr>
            <w:tcW w:w="1944" w:type="dxa"/>
            <w:tcBorders>
              <w:right w:val="single" w:sz="4" w:space="0" w:color="auto"/>
            </w:tcBorders>
            <w:shd w:val="clear" w:color="auto" w:fill="auto"/>
            <w:vAlign w:val="center"/>
          </w:tcPr>
          <w:p w14:paraId="16864210"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 спроектиро</w:t>
            </w:r>
            <w:r w:rsidRPr="00DB5D0D">
              <w:rPr>
                <w:rFonts w:ascii="Times New Roman" w:hAnsi="Times New Roman"/>
                <w:color w:val="0070C0"/>
                <w:sz w:val="16"/>
                <w:szCs w:val="16"/>
              </w:rPr>
              <w:softHyphen/>
              <w:t>вали и запустили в производство на заво</w:t>
            </w:r>
            <w:r w:rsidRPr="00DB5D0D">
              <w:rPr>
                <w:rFonts w:ascii="Times New Roman" w:hAnsi="Times New Roman"/>
                <w:color w:val="0070C0"/>
                <w:sz w:val="16"/>
                <w:szCs w:val="16"/>
              </w:rPr>
              <w:softHyphen/>
              <w:t>де №22, но затем сня</w:t>
            </w:r>
            <w:r w:rsidRPr="00DB5D0D">
              <w:rPr>
                <w:rFonts w:ascii="Times New Roman" w:hAnsi="Times New Roman"/>
                <w:color w:val="0070C0"/>
                <w:sz w:val="16"/>
                <w:szCs w:val="16"/>
              </w:rPr>
              <w:softHyphen/>
              <w:t>ли с плана</w:t>
            </w:r>
          </w:p>
        </w:tc>
      </w:tr>
      <w:tr w:rsidR="00C150CD" w:rsidRPr="00DB5D0D" w14:paraId="65DAE746" w14:textId="77777777" w:rsidTr="007609C9">
        <w:trPr>
          <w:trHeight w:hRule="exact" w:val="1258"/>
          <w:jc w:val="center"/>
        </w:trPr>
        <w:tc>
          <w:tcPr>
            <w:tcW w:w="384" w:type="dxa"/>
            <w:tcBorders>
              <w:left w:val="single" w:sz="4" w:space="0" w:color="auto"/>
            </w:tcBorders>
            <w:shd w:val="clear" w:color="auto" w:fill="auto"/>
          </w:tcPr>
          <w:p w14:paraId="3CA9AA4F"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w:t>
            </w:r>
          </w:p>
        </w:tc>
        <w:tc>
          <w:tcPr>
            <w:tcW w:w="1584" w:type="dxa"/>
            <w:gridSpan w:val="2"/>
            <w:shd w:val="clear" w:color="auto" w:fill="auto"/>
          </w:tcPr>
          <w:p w14:paraId="53F7747C"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Авиаматка ПВО («АМ») ТБ-3+2И- 5+2И-16+И-3ЕТ</w:t>
            </w:r>
          </w:p>
        </w:tc>
        <w:tc>
          <w:tcPr>
            <w:tcW w:w="1498" w:type="dxa"/>
            <w:gridSpan w:val="2"/>
            <w:shd w:val="clear" w:color="auto" w:fill="auto"/>
          </w:tcPr>
          <w:p w14:paraId="573CA671"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1935 г.</w:t>
            </w:r>
          </w:p>
        </w:tc>
        <w:tc>
          <w:tcPr>
            <w:tcW w:w="2707" w:type="dxa"/>
            <w:gridSpan w:val="2"/>
            <w:shd w:val="clear" w:color="auto" w:fill="auto"/>
          </w:tcPr>
          <w:p w14:paraId="4CCA1E62"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«3-2» «3-5» и «3-6» объединены и испытаны по специальной программе совместно с заво</w:t>
            </w:r>
            <w:r w:rsidRPr="00DB5D0D">
              <w:rPr>
                <w:rFonts w:ascii="Times New Roman" w:hAnsi="Times New Roman"/>
                <w:color w:val="0070C0"/>
                <w:sz w:val="16"/>
                <w:szCs w:val="16"/>
              </w:rPr>
              <w:softHyphen/>
              <w:t>дом №22</w:t>
            </w:r>
          </w:p>
        </w:tc>
        <w:tc>
          <w:tcPr>
            <w:tcW w:w="2352" w:type="dxa"/>
            <w:shd w:val="clear" w:color="auto" w:fill="auto"/>
            <w:vAlign w:val="center"/>
          </w:tcPr>
          <w:p w14:paraId="00FC6D92"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Отчет по эксперимен</w:t>
            </w:r>
            <w:r w:rsidRPr="00DB5D0D">
              <w:rPr>
                <w:rFonts w:ascii="Times New Roman" w:hAnsi="Times New Roman"/>
                <w:color w:val="0070C0"/>
                <w:sz w:val="16"/>
                <w:szCs w:val="16"/>
              </w:rPr>
              <w:softHyphen/>
              <w:t>тальным испытаниям ТБ-3+2И-5+2И-16+И-3ЕТ.</w:t>
            </w:r>
          </w:p>
          <w:p w14:paraId="6F0436F4"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Летная книжка П.М. Сте- фановского</w:t>
            </w:r>
          </w:p>
        </w:tc>
        <w:tc>
          <w:tcPr>
            <w:tcW w:w="1944" w:type="dxa"/>
            <w:tcBorders>
              <w:right w:val="single" w:sz="4" w:space="0" w:color="auto"/>
            </w:tcBorders>
            <w:shd w:val="clear" w:color="auto" w:fill="auto"/>
          </w:tcPr>
          <w:p w14:paraId="0FBD225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тренировочных поле</w:t>
            </w:r>
            <w:r w:rsidRPr="00DB5D0D">
              <w:rPr>
                <w:rFonts w:ascii="Times New Roman" w:hAnsi="Times New Roman"/>
                <w:color w:val="0070C0"/>
                <w:sz w:val="16"/>
                <w:szCs w:val="16"/>
              </w:rPr>
              <w:softHyphen/>
              <w:t>та, 1 испытательный с положительным ре</w:t>
            </w:r>
            <w:r w:rsidRPr="00DB5D0D">
              <w:rPr>
                <w:rFonts w:ascii="Times New Roman" w:hAnsi="Times New Roman"/>
                <w:color w:val="0070C0"/>
                <w:sz w:val="16"/>
                <w:szCs w:val="16"/>
              </w:rPr>
              <w:softHyphen/>
              <w:t>зультатом</w:t>
            </w:r>
          </w:p>
        </w:tc>
      </w:tr>
      <w:bookmarkEnd w:id="49"/>
      <w:tr w:rsidR="00C150CD" w:rsidRPr="00DB5D0D" w14:paraId="1CAC7A9F" w14:textId="77777777" w:rsidTr="007609C9">
        <w:trPr>
          <w:trHeight w:hRule="exact" w:val="1862"/>
          <w:jc w:val="center"/>
        </w:trPr>
        <w:tc>
          <w:tcPr>
            <w:tcW w:w="1958" w:type="dxa"/>
            <w:gridSpan w:val="2"/>
            <w:tcBorders>
              <w:left w:val="single" w:sz="4" w:space="0" w:color="auto"/>
            </w:tcBorders>
            <w:shd w:val="clear" w:color="auto" w:fill="auto"/>
          </w:tcPr>
          <w:p w14:paraId="19E764D0"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«СПБ И-16»</w:t>
            </w:r>
          </w:p>
          <w:p w14:paraId="5D13471E"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ТБ-3+2И-16 с 2хФАБ-250</w:t>
            </w:r>
          </w:p>
        </w:tc>
        <w:tc>
          <w:tcPr>
            <w:tcW w:w="1498" w:type="dxa"/>
            <w:gridSpan w:val="2"/>
            <w:shd w:val="clear" w:color="auto" w:fill="auto"/>
          </w:tcPr>
          <w:p w14:paraId="479C35A5"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1936-40 гг.</w:t>
            </w:r>
          </w:p>
        </w:tc>
        <w:tc>
          <w:tcPr>
            <w:tcW w:w="2702" w:type="dxa"/>
            <w:gridSpan w:val="2"/>
            <w:shd w:val="clear" w:color="auto" w:fill="auto"/>
          </w:tcPr>
          <w:p w14:paraId="4EC2DC6C"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Под балку, на которую подве</w:t>
            </w:r>
            <w:r w:rsidRPr="00DB5D0D">
              <w:rPr>
                <w:rFonts w:ascii="Times New Roman" w:hAnsi="Times New Roman"/>
                <w:color w:val="0070C0"/>
                <w:sz w:val="16"/>
                <w:szCs w:val="16"/>
              </w:rPr>
              <w:softHyphen/>
              <w:t>шивались И-16, на спец. замки вешали ФАБ-250.</w:t>
            </w:r>
          </w:p>
        </w:tc>
        <w:tc>
          <w:tcPr>
            <w:tcW w:w="2367" w:type="dxa"/>
            <w:gridSpan w:val="2"/>
            <w:shd w:val="clear" w:color="auto" w:fill="auto"/>
            <w:vAlign w:val="center"/>
          </w:tcPr>
          <w:p w14:paraId="248F0124"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Предложение РВС 14.08.36 г. к дню Воздуш</w:t>
            </w:r>
            <w:r w:rsidRPr="00DB5D0D">
              <w:rPr>
                <w:rFonts w:ascii="Times New Roman" w:hAnsi="Times New Roman"/>
                <w:color w:val="0070C0"/>
                <w:sz w:val="16"/>
                <w:szCs w:val="16"/>
              </w:rPr>
              <w:softHyphen/>
              <w:t>ного флота.</w:t>
            </w:r>
          </w:p>
          <w:p w14:paraId="1D2B76C1"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Отчет по летным испыта</w:t>
            </w:r>
            <w:r w:rsidRPr="00DB5D0D">
              <w:rPr>
                <w:rFonts w:ascii="Times New Roman" w:hAnsi="Times New Roman"/>
                <w:color w:val="0070C0"/>
                <w:sz w:val="16"/>
                <w:szCs w:val="16"/>
              </w:rPr>
              <w:softHyphen/>
              <w:t>ниям в 1938 г.</w:t>
            </w:r>
          </w:p>
          <w:p w14:paraId="27779831"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Предложение об исполь</w:t>
            </w:r>
            <w:r w:rsidRPr="00DB5D0D">
              <w:rPr>
                <w:rFonts w:ascii="Times New Roman" w:hAnsi="Times New Roman"/>
                <w:color w:val="0070C0"/>
                <w:sz w:val="16"/>
                <w:szCs w:val="16"/>
              </w:rPr>
              <w:softHyphen/>
              <w:t>зовании в войне с Финлян</w:t>
            </w:r>
            <w:r w:rsidRPr="00DB5D0D">
              <w:rPr>
                <w:rFonts w:ascii="Times New Roman" w:hAnsi="Times New Roman"/>
                <w:color w:val="0070C0"/>
                <w:sz w:val="16"/>
                <w:szCs w:val="16"/>
              </w:rPr>
              <w:softHyphen/>
              <w:t>дией</w:t>
            </w:r>
          </w:p>
        </w:tc>
        <w:tc>
          <w:tcPr>
            <w:tcW w:w="1944" w:type="dxa"/>
            <w:tcBorders>
              <w:right w:val="single" w:sz="4" w:space="0" w:color="auto"/>
            </w:tcBorders>
            <w:shd w:val="clear" w:color="auto" w:fill="auto"/>
          </w:tcPr>
          <w:p w14:paraId="32164D9E"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Малая серия. Одна эс</w:t>
            </w:r>
            <w:r w:rsidRPr="00DB5D0D">
              <w:rPr>
                <w:rFonts w:ascii="Times New Roman" w:hAnsi="Times New Roman"/>
                <w:color w:val="0070C0"/>
                <w:sz w:val="16"/>
                <w:szCs w:val="16"/>
              </w:rPr>
              <w:softHyphen/>
              <w:t>кадрилья в Евпатории. Участие в ВОВ.</w:t>
            </w:r>
          </w:p>
        </w:tc>
      </w:tr>
      <w:tr w:rsidR="00C150CD" w:rsidRPr="00DB5D0D" w14:paraId="4D79D29E" w14:textId="77777777" w:rsidTr="007609C9">
        <w:trPr>
          <w:trHeight w:hRule="exact" w:val="806"/>
          <w:jc w:val="center"/>
        </w:trPr>
        <w:tc>
          <w:tcPr>
            <w:tcW w:w="1958" w:type="dxa"/>
            <w:gridSpan w:val="2"/>
            <w:tcBorders>
              <w:left w:val="single" w:sz="4" w:space="0" w:color="auto"/>
            </w:tcBorders>
            <w:shd w:val="clear" w:color="auto" w:fill="auto"/>
          </w:tcPr>
          <w:p w14:paraId="1FE8DF89"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СПБ ФАБ-500</w:t>
            </w:r>
          </w:p>
        </w:tc>
        <w:tc>
          <w:tcPr>
            <w:tcW w:w="1498" w:type="dxa"/>
            <w:gridSpan w:val="2"/>
            <w:shd w:val="clear" w:color="auto" w:fill="auto"/>
          </w:tcPr>
          <w:p w14:paraId="43D43FF8"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1941 г.</w:t>
            </w:r>
          </w:p>
        </w:tc>
        <w:tc>
          <w:tcPr>
            <w:tcW w:w="2702" w:type="dxa"/>
            <w:gridSpan w:val="2"/>
            <w:shd w:val="clear" w:color="auto" w:fill="auto"/>
            <w:vAlign w:val="center"/>
          </w:tcPr>
          <w:p w14:paraId="40A6E59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подвески ФАБ-500 специ</w:t>
            </w:r>
            <w:r w:rsidRPr="00DB5D0D">
              <w:rPr>
                <w:rFonts w:ascii="Times New Roman" w:hAnsi="Times New Roman"/>
                <w:color w:val="0070C0"/>
                <w:sz w:val="16"/>
                <w:szCs w:val="16"/>
              </w:rPr>
              <w:softHyphen/>
              <w:t>альная рама для вывода бомбы за диск вращающегося винта</w:t>
            </w:r>
          </w:p>
        </w:tc>
        <w:tc>
          <w:tcPr>
            <w:tcW w:w="2367" w:type="dxa"/>
            <w:gridSpan w:val="2"/>
            <w:shd w:val="clear" w:color="auto" w:fill="auto"/>
          </w:tcPr>
          <w:p w14:paraId="5DC272D3" w14:textId="77777777" w:rsidR="00C150CD" w:rsidRPr="00DB5D0D" w:rsidRDefault="00C150CD" w:rsidP="00DB5D0D">
            <w:pPr>
              <w:spacing w:after="0" w:line="240" w:lineRule="auto"/>
              <w:jc w:val="both"/>
              <w:rPr>
                <w:rFonts w:ascii="Times New Roman" w:hAnsi="Times New Roman"/>
                <w:color w:val="0070C0"/>
                <w:sz w:val="16"/>
                <w:szCs w:val="16"/>
              </w:rPr>
            </w:pPr>
          </w:p>
        </w:tc>
        <w:tc>
          <w:tcPr>
            <w:tcW w:w="1944" w:type="dxa"/>
            <w:tcBorders>
              <w:right w:val="single" w:sz="4" w:space="0" w:color="auto"/>
            </w:tcBorders>
            <w:shd w:val="clear" w:color="auto" w:fill="auto"/>
            <w:vAlign w:val="center"/>
          </w:tcPr>
          <w:p w14:paraId="07BBDF7F"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Испытания не прово</w:t>
            </w:r>
            <w:r w:rsidRPr="00DB5D0D">
              <w:rPr>
                <w:rFonts w:ascii="Times New Roman" w:hAnsi="Times New Roman"/>
                <w:color w:val="0070C0"/>
                <w:sz w:val="16"/>
                <w:szCs w:val="16"/>
              </w:rPr>
              <w:softHyphen/>
              <w:t>дились, хотя был обо</w:t>
            </w:r>
            <w:r w:rsidRPr="00DB5D0D">
              <w:rPr>
                <w:rFonts w:ascii="Times New Roman" w:hAnsi="Times New Roman"/>
                <w:color w:val="0070C0"/>
                <w:sz w:val="16"/>
                <w:szCs w:val="16"/>
              </w:rPr>
              <w:softHyphen/>
              <w:t>рудован один самолет</w:t>
            </w:r>
          </w:p>
        </w:tc>
      </w:tr>
      <w:tr w:rsidR="00C150CD" w:rsidRPr="00DB5D0D" w14:paraId="03989DC2" w14:textId="77777777" w:rsidTr="007609C9">
        <w:trPr>
          <w:trHeight w:hRule="exact" w:val="1133"/>
          <w:jc w:val="center"/>
        </w:trPr>
        <w:tc>
          <w:tcPr>
            <w:tcW w:w="1958" w:type="dxa"/>
            <w:gridSpan w:val="2"/>
            <w:tcBorders>
              <w:left w:val="single" w:sz="4" w:space="0" w:color="auto"/>
              <w:bottom w:val="single" w:sz="4" w:space="0" w:color="auto"/>
            </w:tcBorders>
            <w:shd w:val="clear" w:color="auto" w:fill="auto"/>
          </w:tcPr>
          <w:p w14:paraId="5591DC2D"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«З-7» Подцепка</w:t>
            </w:r>
          </w:p>
          <w:p w14:paraId="57B88FF3"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2хИ-16 в воздухе</w:t>
            </w:r>
          </w:p>
        </w:tc>
        <w:tc>
          <w:tcPr>
            <w:tcW w:w="1498" w:type="dxa"/>
            <w:gridSpan w:val="2"/>
            <w:tcBorders>
              <w:bottom w:val="single" w:sz="4" w:space="0" w:color="auto"/>
            </w:tcBorders>
            <w:shd w:val="clear" w:color="auto" w:fill="auto"/>
          </w:tcPr>
          <w:p w14:paraId="5E7742CE"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1939 г.</w:t>
            </w:r>
          </w:p>
        </w:tc>
        <w:tc>
          <w:tcPr>
            <w:tcW w:w="2702" w:type="dxa"/>
            <w:gridSpan w:val="2"/>
            <w:tcBorders>
              <w:bottom w:val="single" w:sz="4" w:space="0" w:color="auto"/>
            </w:tcBorders>
            <w:shd w:val="clear" w:color="auto" w:fill="auto"/>
          </w:tcPr>
          <w:p w14:paraId="204AB766"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Фермы как на З-5 и пирамиды для упора</w:t>
            </w:r>
          </w:p>
        </w:tc>
        <w:tc>
          <w:tcPr>
            <w:tcW w:w="2367" w:type="dxa"/>
            <w:gridSpan w:val="2"/>
            <w:tcBorders>
              <w:bottom w:val="single" w:sz="4" w:space="0" w:color="auto"/>
            </w:tcBorders>
            <w:shd w:val="clear" w:color="auto" w:fill="auto"/>
            <w:vAlign w:val="bottom"/>
          </w:tcPr>
          <w:p w14:paraId="6D6A805F"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Отчет по испытаниям И-16 в полете. Несколько поле</w:t>
            </w:r>
            <w:r w:rsidRPr="00DB5D0D">
              <w:rPr>
                <w:rFonts w:ascii="Times New Roman" w:hAnsi="Times New Roman"/>
                <w:color w:val="0070C0"/>
                <w:sz w:val="16"/>
                <w:szCs w:val="16"/>
              </w:rPr>
              <w:softHyphen/>
              <w:t>тов для тренировки летчи</w:t>
            </w:r>
            <w:r w:rsidRPr="00DB5D0D">
              <w:rPr>
                <w:rFonts w:ascii="Times New Roman" w:hAnsi="Times New Roman"/>
                <w:color w:val="0070C0"/>
                <w:sz w:val="16"/>
                <w:szCs w:val="16"/>
              </w:rPr>
              <w:softHyphen/>
              <w:t>ков П.М. Стефановского и С.П. Супруна.</w:t>
            </w:r>
          </w:p>
        </w:tc>
        <w:tc>
          <w:tcPr>
            <w:tcW w:w="1944" w:type="dxa"/>
            <w:tcBorders>
              <w:bottom w:val="single" w:sz="4" w:space="0" w:color="auto"/>
              <w:right w:val="single" w:sz="4" w:space="0" w:color="auto"/>
            </w:tcBorders>
            <w:shd w:val="clear" w:color="auto" w:fill="auto"/>
          </w:tcPr>
          <w:p w14:paraId="29CB9ED2"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Испытания не законче</w:t>
            </w:r>
            <w:r w:rsidRPr="00DB5D0D">
              <w:rPr>
                <w:rFonts w:ascii="Times New Roman" w:hAnsi="Times New Roman"/>
                <w:color w:val="0070C0"/>
                <w:sz w:val="16"/>
                <w:szCs w:val="16"/>
              </w:rPr>
              <w:softHyphen/>
              <w:t>ны в связи с началом войны</w:t>
            </w:r>
          </w:p>
        </w:tc>
      </w:tr>
    </w:tbl>
    <w:p w14:paraId="10E8C930" w14:textId="77777777" w:rsidR="00C150CD" w:rsidRPr="00DB5D0D" w:rsidRDefault="00C150C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(20364).</w:t>
      </w:r>
    </w:p>
    <w:p w14:paraId="4D7AE245" w14:textId="77777777" w:rsidR="00C150CD" w:rsidRPr="00DB5D0D" w:rsidRDefault="00C150CD" w:rsidP="00DB5D0D">
      <w:pPr>
        <w:spacing w:after="0" w:line="240" w:lineRule="auto"/>
        <w:jc w:val="both"/>
        <w:rPr>
          <w:rFonts w:ascii="Times New Roman" w:hAnsi="Times New Roman"/>
          <w:color w:val="0070C0"/>
          <w:sz w:val="16"/>
          <w:szCs w:val="16"/>
        </w:rPr>
      </w:pPr>
    </w:p>
    <w:p w14:paraId="1CC5686D" w14:textId="77777777" w:rsidR="00956582" w:rsidRPr="00DB5D0D" w:rsidRDefault="0095658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года ОКБ А.Д. Швецова в инициативном порядке разработало новый двигатель воздушного охлаждения М 82 мощностью 1700 л.с. Он имел укороченный до 155 мм ход поршня, что позволило уменьшить диаметр мотора до 1260 мм (для сравнения: диаметры М 71 и М 81 составляли 1375 мм), что сулило снижение лобового сопротивления самолета, и, соответственно, компенсировало снижение мощности. В конце 1940 г. М 82 прошел государственные испытания и мог быть сравнительно легко запущен с серийное производство (19534).</w:t>
      </w:r>
    </w:p>
    <w:p w14:paraId="5C43E30E" w14:textId="77777777" w:rsidR="00956582" w:rsidRPr="00DB5D0D" w:rsidRDefault="00956582" w:rsidP="00DB5D0D">
      <w:pPr>
        <w:spacing w:after="0" w:line="240" w:lineRule="auto"/>
        <w:jc w:val="both"/>
        <w:rPr>
          <w:rFonts w:ascii="Times New Roman" w:hAnsi="Times New Roman"/>
          <w:color w:val="000000" w:themeColor="text1"/>
          <w:sz w:val="16"/>
          <w:szCs w:val="16"/>
        </w:rPr>
      </w:pPr>
    </w:p>
    <w:p w14:paraId="336A7889"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 реактивные снаряды в советских ВВС по-прежнему являлись диковинкой. В этот период только два подразделения И-16 имели их на вооружении: 22-й иап забайкальского военного округа (7 И-16 на аэродроме в Баин-Тумень) и 24-й пап (17 И-16) и подмосковной Кубинке. При этом, самолеты летали с установленными РО-82, однако воздушные стрельбы не выполняли. Оборудование при этом разбалтывалось и ветшало, отдельные элементы требовали замены (12015).</w:t>
      </w:r>
    </w:p>
    <w:p w14:paraId="169F018E"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D0B59A2" w14:textId="77777777" w:rsidR="00956582" w:rsidRPr="00DB5D0D" w:rsidRDefault="00956582"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В середине 1940 г. реактивные снаряды в советских ВВС оставались диковинкой. В этот период только две авиачасти располагали И-16 с таким вооружением: 22-й ИАП Забайкальского военного округа (7 И-16) на аэродроме в Баин- Тумень) и 24-й ИАП (17 И-16) в подмосковной Кубинке (19109).</w:t>
      </w:r>
    </w:p>
    <w:p w14:paraId="677A8CC4" w14:textId="77777777" w:rsidR="00956582" w:rsidRPr="00DB5D0D" w:rsidRDefault="00956582" w:rsidP="00DB5D0D">
      <w:pPr>
        <w:pStyle w:val="a8"/>
        <w:jc w:val="both"/>
        <w:rPr>
          <w:rFonts w:ascii="Times New Roman" w:hAnsi="Times New Roman" w:cs="Times New Roman"/>
          <w:color w:val="000000" w:themeColor="text1"/>
        </w:rPr>
      </w:pPr>
    </w:p>
    <w:p w14:paraId="6377313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года авиабомбы ФАБ-250св поступили на испытания (7453).</w:t>
      </w:r>
    </w:p>
    <w:p w14:paraId="6EA7E80A"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51214D2E" w14:textId="1CA6A61E" w:rsidR="00F03B28" w:rsidRPr="00DB5D0D" w:rsidRDefault="00F03B2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 середине 1940 г. интерес к «огненному дождю» угас, т.к. на испытания была представлена система «Огненный град». Она включала четыре контейнера ЗАРП-500тш, которые подвешивались под крыло ДБ-3. В каж</w:t>
      </w:r>
      <w:r w:rsidRPr="00DB5D0D">
        <w:rPr>
          <w:rFonts w:ascii="Times New Roman" w:hAnsi="Times New Roman"/>
          <w:color w:val="0070C0"/>
          <w:sz w:val="16"/>
          <w:szCs w:val="16"/>
        </w:rPr>
        <w:softHyphen/>
        <w:t>дом из них находились 3000 штук 100-г термитных шаров или 1000 штук 300-г шаров. Контейнеры сбрасывались с вы</w:t>
      </w:r>
      <w:r w:rsidRPr="00DB5D0D">
        <w:rPr>
          <w:rFonts w:ascii="Times New Roman" w:hAnsi="Times New Roman"/>
          <w:color w:val="0070C0"/>
          <w:sz w:val="16"/>
          <w:szCs w:val="16"/>
        </w:rPr>
        <w:softHyphen/>
        <w:t>соты до 2000 м и разрывались на высоте около 350 м, а их содержимое могло на</w:t>
      </w:r>
      <w:r w:rsidRPr="00DB5D0D">
        <w:rPr>
          <w:rFonts w:ascii="Times New Roman" w:hAnsi="Times New Roman"/>
          <w:color w:val="0070C0"/>
          <w:sz w:val="16"/>
          <w:szCs w:val="16"/>
        </w:rPr>
        <w:softHyphen/>
        <w:t>крыть площадь 3000 м</w:t>
      </w:r>
      <w:r w:rsidRPr="00DB5D0D">
        <w:rPr>
          <w:rFonts w:ascii="Times New Roman" w:hAnsi="Times New Roman"/>
          <w:color w:val="0070C0"/>
          <w:sz w:val="16"/>
          <w:szCs w:val="16"/>
          <w:vertAlign w:val="superscript"/>
        </w:rPr>
        <w:t>2</w:t>
      </w:r>
      <w:r w:rsidRPr="00DB5D0D">
        <w:rPr>
          <w:rFonts w:ascii="Times New Roman" w:hAnsi="Times New Roman"/>
          <w:color w:val="0070C0"/>
          <w:sz w:val="16"/>
          <w:szCs w:val="16"/>
        </w:rPr>
        <w:t>. При этом 300-г шары прожигали стальной лист толщиной до 3,5 мм. К началу 1941 г. было выпущено 100 этих контейнеров (19944).</w:t>
      </w:r>
    </w:p>
    <w:p w14:paraId="059ACC29" w14:textId="77777777" w:rsidR="00F03B28" w:rsidRPr="00DB5D0D" w:rsidRDefault="00F03B28" w:rsidP="00DB5D0D">
      <w:pPr>
        <w:spacing w:after="0" w:line="240" w:lineRule="auto"/>
        <w:jc w:val="both"/>
        <w:rPr>
          <w:rFonts w:ascii="Times New Roman" w:hAnsi="Times New Roman"/>
          <w:color w:val="0070C0"/>
          <w:sz w:val="16"/>
          <w:szCs w:val="16"/>
        </w:rPr>
      </w:pPr>
    </w:p>
    <w:p w14:paraId="3A7DB86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г.сняли с вооружения курящиеся авиабомбы ядовитого дыма КРАБ-25яд чертежа 3-0481, которые выпускали на заводе «Красный Аксай» Наркомата среднего машиностроения (7453).</w:t>
      </w:r>
    </w:p>
    <w:p w14:paraId="0418092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9231C4B"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 постановлением Комитета Обороны СССР № 319 на вооружение АУ ВМФ приняли морскую противолодочную авиабомбу МПЛАБ-100 чертежа 04941м (индекс ВВС - ПЛ-100), разработанную в ГСКБ-47. Ее создавали разработчики предыдущего образца - МПЛАБ-100 - А.Ф.Турахин и Н.А.Котов.</w:t>
      </w:r>
    </w:p>
    <w:p w14:paraId="430132E7"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Серийное производство МПЛАБ-100 было организовано на заводе № 67 НКБ, а снаряжали их литым тротилом на заводе № 12 НКБ. Уже к октябрю 1940 г. заказ на изготовление 1000 корпусов был выполнен в срок, а к концу года снаряженные боеприпасы поступили на склады и базы хранения. С 1941 г. авиабомба получила наименование ПЛАБ-100. Вместе с тем общая длина окончательно снаряженного боеприпа-са увеличилась на 220 мм.</w:t>
      </w:r>
    </w:p>
    <w:p w14:paraId="200A909A"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Корпус ПЛАБ-100 состоял из тонкостенного цилиндра, свальцованного из листовой стали толщиной 3 мм с приваренными к нему сферическими передним и задним обтекателями, также отштампованными из тонкой стали. В головной части была вварена горловина с запальным стаканом, поскольку на этапе разработки авиабомбу также планировали окончательно снаряжать головными глубинными дистанционными трубками ТМ-7. На момент принятия МПЛАБ-100 на вооружение эти трубки, изготовленные на заводе № 398, проходили войсковые испытания.</w:t>
      </w:r>
    </w:p>
    <w:p w14:paraId="505A1EC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головной запальный стакан можно было использовать в случае окончательного снаряжания боеприпаса головным взрывателем АМ-А с коротким хвостовиком для мгновенного действия авиабомбы по надводным целям. Там же приваривали и кронштейн, необходимый для подвески ПЛАБ-100 на вертикальных бомбодержателях Дер-34. Кроме того, на цилиндрической части корпуса устанавливали и бугель с подвесным ушком для транспортировки боеприпаса на горизонтальных бомбодержателях.</w:t>
      </w:r>
    </w:p>
    <w:p w14:paraId="2C5B0F3C"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донной части был вварен запальный стакан для окончательного снаряжания взрывателями АВ-87 или ВМ-7 при необходимости «работать» по подлодкам на перископной глубине (7453).</w:t>
      </w:r>
    </w:p>
    <w:p w14:paraId="3C6435F5"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76C49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1940 г. были сданы в эксплуатацию корпуса завода Сибмашстрой по производству истребительной авиации. По заданию правительства должно было быть выпущено 525 самолетов-истребителей типа «И-16», а реально было изготовлено 503 машины (9684).</w:t>
      </w:r>
    </w:p>
    <w:p w14:paraId="46605408"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788490E4"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 началась массовая переделка штифтов на РС в частях ВВС и УМА РКВМФ с прямых бронзовых на стальные Т-образные. Для РС-82 - диаметр 11/6. для РС-132 - диаметр 17/10 и для РС-203 - диа</w:t>
      </w:r>
      <w:r w:rsidRPr="00DB5D0D">
        <w:rPr>
          <w:rFonts w:ascii="Times New Roman" w:hAnsi="Times New Roman"/>
          <w:color w:val="000000" w:themeColor="text1"/>
          <w:sz w:val="16"/>
          <w:szCs w:val="16"/>
        </w:rPr>
        <w:softHyphen/>
        <w:t>метр 26/16. 6 декабря 1940 г. было письмо директору НИИ-3 от заместителя начальника 4-го ГУ НКБ Журавихина: «Предлагаю. согласно письму УА ВМФ от 26 ноября 1940 командировать инженера в Северный флот (Мур</w:t>
      </w:r>
      <w:r w:rsidRPr="00DB5D0D">
        <w:rPr>
          <w:rFonts w:ascii="Times New Roman" w:hAnsi="Times New Roman"/>
          <w:color w:val="000000" w:themeColor="text1"/>
          <w:sz w:val="16"/>
          <w:szCs w:val="16"/>
        </w:rPr>
        <w:softHyphen/>
        <w:t>манск) для обучения личного состава авиации ВМФ применению РС-82». Между тем, на армейских сладах обнаружили большое количество снарядов РОС-82 «легендарной” пятой партии 1937 г. завода №70. у ко</w:t>
      </w:r>
      <w:r w:rsidRPr="00DB5D0D">
        <w:rPr>
          <w:rFonts w:ascii="Times New Roman" w:hAnsi="Times New Roman"/>
          <w:color w:val="000000" w:themeColor="text1"/>
          <w:sz w:val="16"/>
          <w:szCs w:val="16"/>
        </w:rPr>
        <w:softHyphen/>
        <w:t>торых из-за разрыва двигателей на траектории на испытаниях РЗ умень</w:t>
      </w:r>
      <w:r w:rsidRPr="00DB5D0D">
        <w:rPr>
          <w:rFonts w:ascii="Times New Roman" w:hAnsi="Times New Roman"/>
          <w:color w:val="000000" w:themeColor="text1"/>
          <w:sz w:val="16"/>
          <w:szCs w:val="16"/>
        </w:rPr>
        <w:softHyphen/>
        <w:t>шали на две шашки. Входе переоснащения РС на новые штифты, снарядды этой партии предлагали утилизировать (11402).</w:t>
      </w:r>
    </w:p>
    <w:p w14:paraId="10B780CE"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AD5099E"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9DEE7BD"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476D0285"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было принято решение о начале проектирования 160-мм и 240-мм минометов (3861).</w:t>
      </w:r>
    </w:p>
    <w:p w14:paraId="3C067F62"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051AEFD"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середины 1940 года Сталин начинает оценивать обстановку как нетерпимо опасную:</w:t>
      </w:r>
    </w:p>
    <w:p w14:paraId="38B2F854"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прекращается строительство Стратегического Большого Флота и все силы и средства бросаются на краткосрочные военные программы;</w:t>
      </w:r>
    </w:p>
    <w:p w14:paraId="44ED6EE1"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принимается программа формирования 15 танковых корпусов, и не в старой модели М.Тухачевского, тысячные стада "легкобронных скакунов" без какого-либо сопровождения других родов войск, а как объединения разнородных взаимодействующих на поле боя сил "огонь-броня-мотопехота" со сроком комплектации личным составом к лету 1941 года;</w:t>
      </w:r>
    </w:p>
    <w:p w14:paraId="63C388B3"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резко ускоряется формирование стратегических и мобилизационных запасов.</w:t>
      </w:r>
    </w:p>
    <w:p w14:paraId="5F6028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А.М.Василевский свидетельствует, что в 1940-41 годах Сталин неоднократно говорил ему о перспективе войны "далее 42-го года мы в стороне не удержимся", подразумевая ее внешне-принудительной к советской политике характер. На 1942 год была ориентирована и огромная военная программа 3-й пятилетки (3906).</w:t>
      </w:r>
    </w:p>
    <w:p w14:paraId="06FE7871"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6B5F3488"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 начальник группы отделов спецслужб НИИ ВВС генерал С. А. Данилина, занимавшегося уже несколько лет вопросами создания бортовых и аэродромных приборов вождения и посадки самолетов, обсудил мысль об использовании радиолокационных принципов в бортовых приборах ночного боя с ведущими инженерами своих отделов. Участники обсуждения выдвигали разные идеи создания приборов ночного боя. Одни предлагали использовать инфракрасную технику, другие – эвукопеленгаторную аппаратуру с пьезо-кварцевым приемником, третьи (инженер Е. С. Штейн) – применение радиообнаружения. С. А. Данилин горячо поддержал последнее предложение, предусматривавшее создание аппаратуры, подобной РЛС «Редут». Именно эта наземная станция явилась прототипом бортовой самолетной техники радиообнаружения ВВС (11026).</w:t>
      </w:r>
    </w:p>
    <w:p w14:paraId="3E6F2910"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498714C4"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5E3487C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2048EE2D"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середины 1940 года высшее руководство СССР, находясь под впечатлением быстрой капитуляции Франции и военных успехов Германии, приняло чрезвычай</w:t>
      </w:r>
      <w:r w:rsidRPr="00DB5D0D">
        <w:rPr>
          <w:rFonts w:ascii="Times New Roman" w:hAnsi="Times New Roman"/>
          <w:color w:val="000000" w:themeColor="text1"/>
          <w:sz w:val="16"/>
          <w:szCs w:val="16"/>
        </w:rPr>
        <w:softHyphen/>
        <w:t>ные меры для усиления как Красной армии, так и ее военно-воздушных сил. Но за мощным пропагандистским эффектом успехов Германии скрывались ее серьезные просчеты и слабые стороны, естественно, тщательно скры</w:t>
      </w:r>
      <w:r w:rsidRPr="00DB5D0D">
        <w:rPr>
          <w:rFonts w:ascii="Times New Roman" w:hAnsi="Times New Roman"/>
          <w:color w:val="000000" w:themeColor="text1"/>
          <w:sz w:val="16"/>
          <w:szCs w:val="16"/>
        </w:rPr>
        <w:softHyphen/>
        <w:t>ваемые. Следует отметить, что многое из боевого опыта люфтваффе уже применялось на практике в советской авиации. Так, помощник начальника Генерального штаба Красной армии по авиации Я.В. Смушкевич, выступая на совещании высшего руководящего состава РККА в декабре 1940 года, справедливо отмечал: «Сейчас мы в основном знаем характер участия ВВС на Западе. Поэтому мы можем безошибочно сказать, что огромное коли</w:t>
      </w:r>
      <w:r w:rsidRPr="00DB5D0D">
        <w:rPr>
          <w:rFonts w:ascii="Times New Roman" w:hAnsi="Times New Roman"/>
          <w:color w:val="000000" w:themeColor="text1"/>
          <w:sz w:val="16"/>
          <w:szCs w:val="16"/>
        </w:rPr>
        <w:softHyphen/>
        <w:t>чество вопросов, которые были выявлены, скажем, в Испании, на Хасане, Халхин-Голе, а затем и в Финляндии, сейчас составляют почти основу так</w:t>
      </w:r>
      <w:r w:rsidRPr="00DB5D0D">
        <w:rPr>
          <w:rFonts w:ascii="Times New Roman" w:hAnsi="Times New Roman"/>
          <w:color w:val="000000" w:themeColor="text1"/>
          <w:sz w:val="16"/>
          <w:szCs w:val="16"/>
        </w:rPr>
        <w:softHyphen/>
        <w:t>тики действий ВВС на Западе. Я это утверждаю со всей ответственностью, потому что все действия воздушных боев, действия бомбардировочной и истребительной авиации днем и ночью, построение боевого порядка и уп</w:t>
      </w:r>
      <w:r w:rsidRPr="00DB5D0D">
        <w:rPr>
          <w:rFonts w:ascii="Times New Roman" w:hAnsi="Times New Roman"/>
          <w:color w:val="000000" w:themeColor="text1"/>
          <w:sz w:val="16"/>
          <w:szCs w:val="16"/>
        </w:rPr>
        <w:softHyphen/>
        <w:t>равления записаны в наших уставах, составленных на основе применения наших ВВС в Испании, Халхин-Голе, Финляндии» (Русский архив: Великая Отечественная: Накануне войны. Материалы совещания высшего руко</w:t>
      </w:r>
      <w:r w:rsidRPr="00DB5D0D">
        <w:rPr>
          <w:rFonts w:ascii="Times New Roman" w:hAnsi="Times New Roman"/>
          <w:color w:val="000000" w:themeColor="text1"/>
          <w:sz w:val="16"/>
          <w:szCs w:val="16"/>
        </w:rPr>
        <w:softHyphen/>
        <w:t>водящего состава РККА 23 - 31 декабря 1940 года. Т. 12 (1). С. 196.) (11710,417).</w:t>
      </w:r>
    </w:p>
    <w:p w14:paraId="28E5FFE1"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1A9611D0"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0A361F73"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59612BC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года Советская авиация была задействована еще раз для возможного преодоления сопротивления Румынии из-за проблемы Бесса</w:t>
      </w:r>
      <w:r w:rsidRPr="00DB5D0D">
        <w:rPr>
          <w:rFonts w:ascii="Times New Roman" w:hAnsi="Times New Roman"/>
          <w:color w:val="000000" w:themeColor="text1"/>
          <w:sz w:val="16"/>
          <w:szCs w:val="16"/>
        </w:rPr>
        <w:softHyphen/>
        <w:t>рабии. Еще год назад, в середине 1939 года, румынские ВВС, насчитываю</w:t>
      </w:r>
      <w:r w:rsidRPr="00DB5D0D">
        <w:rPr>
          <w:rFonts w:ascii="Times New Roman" w:hAnsi="Times New Roman"/>
          <w:color w:val="000000" w:themeColor="text1"/>
          <w:sz w:val="16"/>
          <w:szCs w:val="16"/>
        </w:rPr>
        <w:softHyphen/>
        <w:t>щие около 500 самолетов (из них - 315 в первой линии), были крупней</w:t>
      </w:r>
      <w:r w:rsidRPr="00DB5D0D">
        <w:rPr>
          <w:rFonts w:ascii="Times New Roman" w:hAnsi="Times New Roman"/>
          <w:color w:val="000000" w:themeColor="text1"/>
          <w:sz w:val="16"/>
          <w:szCs w:val="16"/>
        </w:rPr>
        <w:softHyphen/>
        <w:t>шими среди ВВС балканских государств. После 17 сентября 1939 года они были усилены за счет использования эвакуированных польских машин, ко</w:t>
      </w:r>
      <w:r w:rsidRPr="00DB5D0D">
        <w:rPr>
          <w:rFonts w:ascii="Times New Roman" w:hAnsi="Times New Roman"/>
          <w:color w:val="000000" w:themeColor="text1"/>
          <w:sz w:val="16"/>
          <w:szCs w:val="16"/>
        </w:rPr>
        <w:softHyphen/>
        <w:t>торые перелетели в Румынию.</w:t>
      </w:r>
    </w:p>
    <w:p w14:paraId="7FDA8467"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данным на 1 января 1940 года, число румынских самолетов оце</w:t>
      </w:r>
      <w:r w:rsidRPr="00DB5D0D">
        <w:rPr>
          <w:rFonts w:ascii="Times New Roman" w:hAnsi="Times New Roman"/>
          <w:color w:val="000000" w:themeColor="text1"/>
          <w:sz w:val="16"/>
          <w:szCs w:val="16"/>
        </w:rPr>
        <w:softHyphen/>
        <w:t>нивалось в 1750 машин всех типов, включая гидроавиацию и интерни</w:t>
      </w:r>
      <w:r w:rsidRPr="00DB5D0D">
        <w:rPr>
          <w:rFonts w:ascii="Times New Roman" w:hAnsi="Times New Roman"/>
          <w:color w:val="000000" w:themeColor="text1"/>
          <w:sz w:val="16"/>
          <w:szCs w:val="16"/>
        </w:rPr>
        <w:softHyphen/>
        <w:t>рованные осенью 1939 года польские самолеты. При этом численность самолетов в боевых частях принималась за 727 (считалось, что эти дан</w:t>
      </w:r>
      <w:r w:rsidRPr="00DB5D0D">
        <w:rPr>
          <w:rFonts w:ascii="Times New Roman" w:hAnsi="Times New Roman"/>
          <w:color w:val="000000" w:themeColor="text1"/>
          <w:sz w:val="16"/>
          <w:szCs w:val="16"/>
        </w:rPr>
        <w:softHyphen/>
        <w:t>ные - неполные). Разведцанные на 1 июня 1940 года снизили эти цифры до 658 боевых и 500 вспомогательных самолетов. Имелись и другие дан</w:t>
      </w:r>
      <w:r w:rsidRPr="00DB5D0D">
        <w:rPr>
          <w:rFonts w:ascii="Times New Roman" w:hAnsi="Times New Roman"/>
          <w:color w:val="000000" w:themeColor="text1"/>
          <w:sz w:val="16"/>
          <w:szCs w:val="16"/>
        </w:rPr>
        <w:softHyphen/>
        <w:t>ные, согласно которым в ВВС Румынии насчитывалось 1150 самолетов, в том числе в сухопутной авиации - 520, учебных - 335, в резерве - 120, прочих - 226 (Мельтюхов М. Освободительный поход Сталина. Бессарабский вопрос в советско-румынских отношениях (1917 - 1940 годы). М., 2006. С. 269-270,495.). В распоряжении разведслужб флота имелись несколько меньшие цифры — 1061 машина (с учетом вновь поступивших). Но все-таки и эти оценки авиации Румынии, содержащиеся в деле «Материалы о ВВС и ПВО Японии, Турции, Румынии, Германии, Италии, Англии (развед</w:t>
      </w:r>
      <w:r w:rsidRPr="00DB5D0D">
        <w:rPr>
          <w:rFonts w:ascii="Times New Roman" w:hAnsi="Times New Roman"/>
          <w:color w:val="000000" w:themeColor="text1"/>
          <w:sz w:val="16"/>
          <w:szCs w:val="16"/>
        </w:rPr>
        <w:softHyphen/>
        <w:t>сводки, схемы, тактико-технические данные самолетов)», обнаруживали тенденцию к явному завышению сил потенциального противника (РГАВМФ.Ф.Р-1877.Оп. 1,Д. 142. Л. 23). На самом же деле реальная их численность была значительно ниже: так, к сентябрю 1940 года, то есть тремя месяцами спустя после Бессарабского кризиса ВВС Румынии имели всего 276 боевых самолетов, и еще 440 на</w:t>
      </w:r>
      <w:r w:rsidRPr="00DB5D0D">
        <w:rPr>
          <w:rFonts w:ascii="Times New Roman" w:hAnsi="Times New Roman"/>
          <w:color w:val="000000" w:themeColor="text1"/>
          <w:sz w:val="16"/>
          <w:szCs w:val="16"/>
        </w:rPr>
        <w:softHyphen/>
        <w:t>ходились в летных школах и центрах подготовки (Жирохов М., СтратулатА По сигналу «Ардялул». Румынская авиация 22 июня 1941 года. С. 54.) (11710,415).</w:t>
      </w:r>
    </w:p>
    <w:p w14:paraId="7D166C4F" w14:textId="77777777" w:rsidR="00A25AD1" w:rsidRPr="00DB5D0D" w:rsidRDefault="00A25AD1" w:rsidP="00DB5D0D">
      <w:pPr>
        <w:shd w:val="clear" w:color="auto" w:fill="FFFFFF"/>
        <w:spacing w:after="0" w:line="240" w:lineRule="auto"/>
        <w:jc w:val="both"/>
        <w:rPr>
          <w:rFonts w:ascii="Times New Roman" w:hAnsi="Times New Roman"/>
          <w:color w:val="000000" w:themeColor="text1"/>
          <w:sz w:val="16"/>
          <w:szCs w:val="16"/>
        </w:rPr>
      </w:pPr>
    </w:p>
    <w:p w14:paraId="60460D81" w14:textId="77777777" w:rsidR="004E1CE5" w:rsidRPr="00DB5D0D" w:rsidRDefault="004E1CE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A8102F9" w14:textId="77777777" w:rsidR="004E1CE5" w:rsidRPr="00DB5D0D" w:rsidRDefault="004E1CE5" w:rsidP="00DB5D0D">
      <w:pPr>
        <w:spacing w:after="0" w:line="240" w:lineRule="auto"/>
        <w:jc w:val="both"/>
        <w:rPr>
          <w:rFonts w:ascii="Times New Roman" w:hAnsi="Times New Roman"/>
          <w:iCs/>
          <w:color w:val="000000" w:themeColor="text1"/>
          <w:sz w:val="16"/>
          <w:szCs w:val="16"/>
        </w:rPr>
      </w:pPr>
    </w:p>
    <w:p w14:paraId="235EFD7F" w14:textId="77777777" w:rsidR="00A51D78" w:rsidRPr="00DB5D0D" w:rsidRDefault="00A51D7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середине 1940 г. фирма «Локхид» неожиданно отказалась от участия в конкурсе на дальний бомбардировщик, сосредоточившись на транспортных вариантах своей машины — так родилось целое семейство прекрасных грузовых и пассажирских самолетов, среди которых знаменитый трансокеанский лайнер «Констеллейшн». Чтобы сохранить фактор конкуренции, было решено выдать заказ на строительство опытных бомбардировщиков фирмам «Боинг» и «Консолидейтед» (23005).</w:t>
      </w:r>
    </w:p>
    <w:p w14:paraId="0E2FBF37" w14:textId="77777777" w:rsidR="00A51D78" w:rsidRPr="00DB5D0D" w:rsidRDefault="00A51D78" w:rsidP="00DB5D0D">
      <w:pPr>
        <w:spacing w:after="0" w:line="240" w:lineRule="auto"/>
        <w:jc w:val="both"/>
        <w:rPr>
          <w:rFonts w:ascii="Times New Roman" w:hAnsi="Times New Roman"/>
          <w:color w:val="0070C0"/>
          <w:sz w:val="16"/>
          <w:szCs w:val="16"/>
        </w:rPr>
      </w:pPr>
    </w:p>
    <w:p w14:paraId="58C75ECC" w14:textId="77777777" w:rsidR="00A51D78" w:rsidRPr="00DB5D0D" w:rsidRDefault="00A51D7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середине 1940 года началась сдача первых Ju86P-1 и Р-2 уже. Первая машина была направлена в специальную разведывательную Группу Главного командования Люфтваффе Аufkl. Gr.Ob.d.L, более известную по имени своего командира как «команда Ровеля», и ее пилоты начали полеты над крупнейшими городами Великобритании. Обнаружить Ju86P англичане не смогли. Осенью началось перевооружение на высотные «юнкерсы» второй группы команды Ровеля — II/Аufkl.Gr.Ob.d.L. Она получала и разведчики, и бомбардировщики, но Британские острова пока не бомбила, ограничиваясь аэрофотосъемкой целей для обычных бомбардировщиков в преддверии готовящегося массированного воздушного наступления. Но и когда «Битва за Англию» началась, Ровель не ставил своим подчиненным задач бомбардировки целей. Так прошел почти год. В июне 1941-го группа II/Аufkl.Gr.Ob.d.L. перебазировалась на Восток, а вскоре к ней присоединилась и IV/Аufkl.Gr.Ob.d.L., вооруженная «сборной солянкой» из Ju88, Do215B-4 с фотооборудованием, а также Ju86P-1/-2 (22850).</w:t>
      </w:r>
    </w:p>
    <w:p w14:paraId="738C8C53" w14:textId="77777777" w:rsidR="00A51D78" w:rsidRPr="00DB5D0D" w:rsidRDefault="00A51D78" w:rsidP="00DB5D0D">
      <w:pPr>
        <w:spacing w:after="0" w:line="240" w:lineRule="auto"/>
        <w:jc w:val="both"/>
        <w:rPr>
          <w:rFonts w:ascii="Times New Roman" w:hAnsi="Times New Roman"/>
          <w:color w:val="0070C0"/>
          <w:sz w:val="16"/>
          <w:szCs w:val="16"/>
        </w:rPr>
      </w:pPr>
    </w:p>
    <w:p w14:paraId="3E84C66A" w14:textId="77777777" w:rsidR="00A51D78" w:rsidRPr="00DB5D0D" w:rsidRDefault="00A51D78"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С середины 1940 года в США в течение первых трех лет экономической мобилизации, государство израсходовало на развертывание новых производственных мощностей столько же средств, сколько на закупку самих вооружений.</w:t>
      </w:r>
    </w:p>
    <w:p w14:paraId="06BC978B" w14:textId="77777777" w:rsidR="00A51D78" w:rsidRPr="00DB5D0D" w:rsidRDefault="00A51D78"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Дело в том, что вступление США в войну в декабре 1941 года не прибавило желания американским промышленникам инвестировать собственные деньги в расширение военного производства или в новое строительство, ибо они опасались, что появившиеся в результате этого финансирования мощности после войны окажутся незагруженными. Например, с 1941 по 1944 год частные капиталовложения в производственное оборудование сократились в 2,5 раза. Поэтому администрация Рузвельта, используя полномочия военного времени, пошла на огромное увеличение государственных ассигнований в новое промышленное строительство и расширение имеющихся производственных предприятий. Так, когда крупнейшая металлургическая корпорация США «Ю. С. Стил» отказалась увеличить свои мощности по выплавке стали, Рузвельт приказал приступить к возведению металлургического завода за счет федерального бюджета.</w:t>
      </w:r>
    </w:p>
    <w:p w14:paraId="0C0E6A78" w14:textId="77777777" w:rsidR="00A51D78" w:rsidRPr="00DB5D0D" w:rsidRDefault="00A51D78"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 xml:space="preserve">Для руководства строительством и его финансирования была создана специальная корпорация оборонных заводов (Defense Plant Corporation). За годы войны она израсходовала на эти цели свыше 10 млрд долларов, в том числе на развитие авиационной промышленности – 4,5 млрд, увеличение выплавки алюминия и магния – 1,5 млрд, строительство 45 заводов по производству высокооктанового авиационного топлива – 250 млн долларов, строительство и модернизацию 183 </w:t>
      </w:r>
      <w:r w:rsidRPr="00DB5D0D">
        <w:rPr>
          <w:rFonts w:ascii="Times New Roman" w:eastAsia="Times New Roman" w:hAnsi="Times New Roman"/>
          <w:color w:val="0070C0"/>
          <w:sz w:val="16"/>
          <w:szCs w:val="16"/>
          <w:lang w:eastAsia="ru-RU"/>
        </w:rPr>
        <w:lastRenderedPageBreak/>
        <w:t>металлургических заводов – 1,223 млрд долларов, возведение 51 государственного завода по производству синтетического каучука – 715 млн долларов, расширение станкостроительной промышленности – 2 млрд долларов (в 1942 году в стране было выпущено 307 тыс. станков – в 10 раз больше, чем в 1938-м, и в 50 раз больше, чем в 1933-м).</w:t>
      </w:r>
    </w:p>
    <w:p w14:paraId="20172F33" w14:textId="77777777" w:rsidR="00A51D78" w:rsidRPr="00DB5D0D" w:rsidRDefault="00A51D78"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shd w:val="clear" w:color="auto" w:fill="FFFFFF"/>
        </w:rPr>
        <w:t>в течение Второй мировой учетная ставка Центральной резервной системы США стабильно держалась на уровне 1% в год и только в 1948-м впервые поднялась до 1,34%. Низкой на протяжении всей войны (не более нескольких процентов в год) оставалась и инфляция, так что сбережения населения и прибыли промышленников достигли к концу Второй мировой весьма внушительных размеров. Именно этот накопленный в годы войны неудовлетворенный спрос населения и промышленности позволил Соединенным Штатам провести после 1945 года радикальную конверсию (по американской терминологии – реконверсию) своей военной промышленности в течение 1,5–2 лет.</w:t>
      </w:r>
      <w:r w:rsidRPr="00DB5D0D">
        <w:rPr>
          <w:rFonts w:ascii="Times New Roman" w:eastAsia="Times New Roman" w:hAnsi="Times New Roman"/>
          <w:color w:val="0070C0"/>
          <w:sz w:val="16"/>
          <w:szCs w:val="16"/>
          <w:lang w:eastAsia="ru-RU"/>
        </w:rPr>
        <w:t xml:space="preserve"> (21541).</w:t>
      </w:r>
    </w:p>
    <w:p w14:paraId="347A7472" w14:textId="77777777" w:rsidR="00A51D78" w:rsidRPr="00DB5D0D" w:rsidRDefault="00A51D78" w:rsidP="00DB5D0D">
      <w:pPr>
        <w:spacing w:after="0" w:line="240" w:lineRule="auto"/>
        <w:jc w:val="both"/>
        <w:rPr>
          <w:rFonts w:ascii="Times New Roman" w:hAnsi="Times New Roman"/>
          <w:color w:val="0070C0"/>
          <w:sz w:val="16"/>
          <w:szCs w:val="16"/>
        </w:rPr>
      </w:pPr>
    </w:p>
    <w:p w14:paraId="425C06FD" w14:textId="77777777" w:rsidR="004E1CE5" w:rsidRPr="00DB5D0D" w:rsidRDefault="004E1CE5"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 середине 1940 года в Германии был готов проект тяжёлого танка VK 65.01, который действительно имел обозначение Pz.Kpfw.VII. Один из вариантов танка предполагалось вооружить 105-мм орудием, но длиной всего 20 калибров. С середины 1940 года началась разработка 36-тонного VK 36.01, который также именовался Pz.Kpfw.VI Ausf.B. Именно такую массу имел танк «Тип V», упоминавшийся в разведсводке 11 марта 1941. Информация о реальных машинах оказалась в ней перемешана со слухами. Эти слухи, впрочем, породили такую волну, что планы по производству тяжёлых танков в Советском Союзе были пересмотрены радикальным образом (17643).</w:t>
      </w:r>
    </w:p>
    <w:p w14:paraId="5F84ED8D" w14:textId="77777777" w:rsidR="004E1CE5" w:rsidRPr="00DB5D0D" w:rsidRDefault="004E1CE5" w:rsidP="00DB5D0D">
      <w:pPr>
        <w:spacing w:after="0" w:line="240" w:lineRule="auto"/>
        <w:jc w:val="both"/>
        <w:rPr>
          <w:rFonts w:ascii="Times New Roman" w:eastAsia="Times New Roman" w:hAnsi="Times New Roman"/>
          <w:color w:val="000000" w:themeColor="text1"/>
          <w:sz w:val="16"/>
          <w:szCs w:val="16"/>
          <w:lang w:eastAsia="ru-RU"/>
        </w:rPr>
      </w:pPr>
    </w:p>
    <w:p w14:paraId="099A2BAB"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A89F2BE"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193268F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2-го квартала 1940 г., авиазавод №22 часть СБ, по требованиям военных, выпускал в пикирующем варианте. Отличием от других серийных аппаратов являлась установка держателей ПБ-3 и прицелов ПАН-23. В качестве дополнительного оснащения, на пикирующие СБ предполагалось установить тормозные решетки, однако на практике они прижились лишь на Ар-2. Тем не менее, саму идею не оставили. В частности, предполагалось использовать для торможения на пикировании шасси самолета в выпущенном положении. Для создания ВОЗДУШНОГО сопротивления, равнозначного тормозным решеткам, разработали удлиненные мотогондолы с дополнительными створками. В 1941 г. в ЦАГИ велись продувки модели СБ, позволившие подобрать наиболее эффективные размеры тормозящих створок. До практических испытаний, по причине начала войны, работа не доводилась (6413).</w:t>
      </w:r>
    </w:p>
    <w:p w14:paraId="3DF2CFC9"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271A20FF"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0709B59"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6B046E76"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первой половине 1940 ВВС все же разработали ТТ к целому ряду БШ: скоростному, одноместному, тяжелому с подвижным наступательным, с усиленным бронированием. Работать начали П.О.С., А.И.М., С.В.И., А.А.А. - главная особенность по сравнению с БШ-2 и затем Ил-2 - большая максимальная скорость у земли и более мощное вооружение (173,43).</w:t>
      </w:r>
    </w:p>
    <w:p w14:paraId="240E897F"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Интересно, учел ли С.В.И. в Ил-2 и что предполагал на ЦКБ-60. Видно да</w:t>
      </w:r>
    </w:p>
    <w:p w14:paraId="5CBDA4E0" w14:textId="77777777" w:rsidR="00A25AD1" w:rsidRPr="00DB5D0D" w:rsidRDefault="00A25AD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1940 А.С.Я. стал трепать ЦАГИ за то, что он якобы оторвался от жизни. Назначил начальником генерала И.Ф.Петрова, б. зам. НИИ ВВС. Стал учить летать всех (74,163).</w:t>
      </w:r>
    </w:p>
    <w:p w14:paraId="726B1A1C" w14:textId="77777777" w:rsidR="00A25AD1" w:rsidRPr="00DB5D0D" w:rsidRDefault="00A25AD1" w:rsidP="00DB5D0D">
      <w:pPr>
        <w:spacing w:after="0" w:line="240" w:lineRule="auto"/>
        <w:jc w:val="both"/>
        <w:rPr>
          <w:rFonts w:ascii="Times New Roman" w:hAnsi="Times New Roman"/>
          <w:color w:val="000000" w:themeColor="text1"/>
          <w:sz w:val="16"/>
          <w:szCs w:val="16"/>
        </w:rPr>
      </w:pPr>
    </w:p>
    <w:p w14:paraId="11D5A43A" w14:textId="77777777" w:rsidR="00A25AD1"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C0A08E1" w14:textId="77777777" w:rsidR="00A25AD1" w:rsidRPr="00DB5D0D" w:rsidRDefault="00A25AD1" w:rsidP="00DB5D0D">
      <w:pPr>
        <w:spacing w:after="0" w:line="240" w:lineRule="auto"/>
        <w:jc w:val="both"/>
        <w:rPr>
          <w:rFonts w:ascii="Times New Roman" w:hAnsi="Times New Roman"/>
          <w:iCs/>
          <w:color w:val="000000" w:themeColor="text1"/>
          <w:sz w:val="16"/>
          <w:szCs w:val="16"/>
        </w:rPr>
      </w:pPr>
    </w:p>
    <w:p w14:paraId="38038857" w14:textId="77777777" w:rsidR="00A25AD1" w:rsidRPr="00DB5D0D" w:rsidRDefault="00A25AD1" w:rsidP="00DB5D0D">
      <w:pPr>
        <w:pStyle w:val="a3"/>
        <w:rPr>
          <w:color w:val="000000" w:themeColor="text1"/>
          <w:lang w:val="ru-RU"/>
        </w:rPr>
      </w:pPr>
      <w:r w:rsidRPr="00DB5D0D">
        <w:rPr>
          <w:color w:val="000000" w:themeColor="text1"/>
          <w:lang w:val="ru-RU"/>
        </w:rPr>
        <w:t>В начале второго полугодия 1940 г., говоря о событиях, связанных с производством Т-34, необходимо отметить, что основные уси</w:t>
      </w:r>
      <w:r w:rsidRPr="00DB5D0D">
        <w:rPr>
          <w:color w:val="000000" w:themeColor="text1"/>
          <w:lang w:val="ru-RU"/>
        </w:rPr>
        <w:softHyphen/>
        <w:t>лия промышленности и ГАБТУ (приказом НКО СССР №0128 от 16 июня 1940 г. АБТУ КА было реорганизовано в ГАБТУ КА) были направлены на достижение следующих целей:</w:t>
      </w:r>
    </w:p>
    <w:p w14:paraId="7A923AF5" w14:textId="77777777" w:rsidR="00A25AD1" w:rsidRPr="00DB5D0D" w:rsidRDefault="00A25AD1" w:rsidP="00DB5D0D">
      <w:pPr>
        <w:pStyle w:val="a3"/>
        <w:tabs>
          <w:tab w:val="left" w:pos="625"/>
        </w:tabs>
        <w:rPr>
          <w:color w:val="000000" w:themeColor="text1"/>
          <w:lang w:val="ru-RU"/>
        </w:rPr>
      </w:pPr>
      <w:r w:rsidRPr="00DB5D0D">
        <w:rPr>
          <w:color w:val="000000" w:themeColor="text1"/>
          <w:lang w:val="ru-RU"/>
        </w:rPr>
        <w:t>1. улучшение боевых и эксплуатационных качеств Т-34: прежде всего это касалось решения вопросов вооружения танка (система Л -11 не устраивала военных по ряду параметров), а также работ по переносу радиостанции из башни в корпус танка;</w:t>
      </w:r>
    </w:p>
    <w:p w14:paraId="56ECC289" w14:textId="77777777" w:rsidR="00A25AD1" w:rsidRPr="00DB5D0D" w:rsidRDefault="00A25AD1" w:rsidP="00DB5D0D">
      <w:pPr>
        <w:pStyle w:val="a3"/>
        <w:tabs>
          <w:tab w:val="left" w:pos="560"/>
        </w:tabs>
        <w:rPr>
          <w:color w:val="000000" w:themeColor="text1"/>
          <w:lang w:val="ru-RU"/>
        </w:rPr>
      </w:pPr>
      <w:r w:rsidRPr="00DB5D0D">
        <w:rPr>
          <w:color w:val="000000" w:themeColor="text1"/>
          <w:lang w:val="ru-RU"/>
        </w:rPr>
        <w:t>2. упрощение технологии изготовления наиболее трудоемких бронедеталей на Мариупольском заводе им. Ильича, а также повыше</w:t>
      </w:r>
      <w:r w:rsidRPr="00DB5D0D">
        <w:rPr>
          <w:color w:val="000000" w:themeColor="text1"/>
          <w:lang w:val="ru-RU"/>
        </w:rPr>
        <w:softHyphen/>
        <w:t>ние их качества. Этим занимались инженеры и технологи Мариу</w:t>
      </w:r>
      <w:r w:rsidRPr="00DB5D0D">
        <w:rPr>
          <w:color w:val="000000" w:themeColor="text1"/>
          <w:lang w:val="ru-RU"/>
        </w:rPr>
        <w:softHyphen/>
        <w:t>польского завода и НИИ-48 совместно с КБ завода №183;</w:t>
      </w:r>
    </w:p>
    <w:p w14:paraId="53EFF396" w14:textId="77777777" w:rsidR="00A25AD1" w:rsidRPr="00DB5D0D" w:rsidRDefault="00A25AD1" w:rsidP="00DB5D0D">
      <w:pPr>
        <w:pStyle w:val="a3"/>
        <w:tabs>
          <w:tab w:val="left" w:pos="596"/>
        </w:tabs>
        <w:rPr>
          <w:color w:val="000000" w:themeColor="text1"/>
          <w:lang w:val="ru-RU"/>
        </w:rPr>
      </w:pPr>
      <w:r w:rsidRPr="00DB5D0D">
        <w:rPr>
          <w:color w:val="000000" w:themeColor="text1"/>
          <w:lang w:val="ru-RU"/>
        </w:rPr>
        <w:t>3. развертывание производственных мощностей на предприяти</w:t>
      </w:r>
      <w:r w:rsidRPr="00DB5D0D">
        <w:rPr>
          <w:color w:val="000000" w:themeColor="text1"/>
          <w:lang w:val="ru-RU"/>
        </w:rPr>
        <w:softHyphen/>
        <w:t>ях, занятых в производстве Т-34 по программе 1940 г. (11939).</w:t>
      </w:r>
    </w:p>
    <w:p w14:paraId="376097F6" w14:textId="77777777" w:rsidR="00DA3BA6" w:rsidRPr="00DB5D0D" w:rsidRDefault="00DA3BA6" w:rsidP="00DB5D0D">
      <w:pPr>
        <w:spacing w:after="0" w:line="240" w:lineRule="auto"/>
        <w:jc w:val="both"/>
        <w:rPr>
          <w:rFonts w:ascii="Times New Roman" w:hAnsi="Times New Roman"/>
          <w:iCs/>
          <w:color w:val="000000" w:themeColor="text1"/>
          <w:sz w:val="16"/>
          <w:szCs w:val="16"/>
        </w:rPr>
      </w:pPr>
    </w:p>
    <w:p w14:paraId="0FB28360"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E66A68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30F93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июлю 1940 г. Сухой заканчивает разработку эскизного проекта истребителя с мотором воздушного охлаждения М-90 и двумя турбокомпрессорами ТК-2.</w:t>
      </w:r>
    </w:p>
    <w:p w14:paraId="178C76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своей схеме, конструкции и технологии самолет был аналогом истребителя И-135. Крылья металлические, фюзеляж деревянный. Предусматривалось удлинение вала мотора на 350-400 мм. Для обеспечения хорошей аэродинамики самолета капот мотора был сильно удлинен и заострен.</w:t>
      </w:r>
    </w:p>
    <w:p w14:paraId="02AA6B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Турбокомпрессоры размещены за спиной летчика. С боков фюзеляжа находились воздухо-воздушные радиаторы и газовые трубы. Бензобак на 300 кг. топлива был помещен под сидением летчика. Предусматривался подвесной сбрасываемый 200-кг бензобак.</w:t>
      </w:r>
    </w:p>
    <w:p w14:paraId="5EFA7C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защиты летчика имелась бронеспинка из цементированной брони толщиной 8,65 мм. Сзади прозрачное бронестекло. Бензобак и маслобак протектированные. Предусматривалась система нейтрального газа.</w:t>
      </w:r>
    </w:p>
    <w:p w14:paraId="4A8AC0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Взлетный вес самолета составлял 2940 кг (по оценкам НИИ ВВС - 3060 кг) Взлетная мощность мотора - 1750 л.с. За счет турбокомпрессоров мощность силовой установки на высоте 10000 м составляла 1385 л. с.</w:t>
      </w:r>
    </w:p>
    <w:p w14:paraId="4814DE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была18 м2. Удельная нагрузка на крыло - 170 кг/м2. Нагрузка на мощность на расчетной высоте 10000 метров чуть больше 2,2 кг/л.с. Удельная мощность, отнесенная на площадь крыла, равнялась 77 л.с./м2.</w:t>
      </w:r>
    </w:p>
    <w:p w14:paraId="63BB2C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Относительно высокая тяговооруженность самолета обеспечивала ему довольно высокие летные данные. Максимальная скорость полета у земли на форсажном режиме составляла 530-550 км/ч, на первой расчетной высоте 6000 метров</w:t>
      </w:r>
    </w:p>
    <w:p w14:paraId="1E9706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- 630-650 км/ч, на второй расчетной высоте 10000 метров</w:t>
      </w:r>
    </w:p>
    <w:p w14:paraId="22EEE8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- 670-690 км/ч. Посадочная скорость по оценке НИИ ВВС равнялась 120 км/ч.</w:t>
      </w:r>
    </w:p>
    <w:p w14:paraId="425E75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Анализ специалистов НИИ ВВС показал, что время набора высоты 6000 м составляло бы 5,0 минут, практический потолок - 12500 метров, скоростная дальность полета - 550 км, с подвесным баком - 950 км. В соответствии с эскизным проектом время выполнения виража на высоте 1500 м равнялось 16,8 секундам (полагаем, что это время несколько занижено).</w:t>
      </w:r>
    </w:p>
    <w:p w14:paraId="3CCD83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состояло из четырех синхронных пулеметов ШКАС, помещенных в центроплане, и двух крыльевых пулеметов ШКАС. Общий боезапас составлял 3000 патронов. Для 1940 г. вооружение, конечно, довольно слабое. Можно было использовать синхронные пушки.</w:t>
      </w:r>
    </w:p>
    <w:p w14:paraId="3344C3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отзыве НИИ ВВС на эскизный проект говорилось, что утвердить его не представляется возможным. При этом в качестве основного довода приводились сравнительно невысокие показатели максимальной скорости полета. На сколько этот вывод соответствовал истине - видно из приведенных выше данных. НИИ ВВС не оспаривал реальность расчетных данных по скоростям полета, указанным в эскизном проекте. Конечно, если исходить из нереальных требований о достижении скоростей полета в 750-800 км/ч, то ожидаемая скорость была явно мала.</w:t>
      </w:r>
    </w:p>
    <w:p w14:paraId="70169C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довод сводился к тому, что постройка самолета завершится не ранее февраля-марта 1940 г., а подобный самолет Н.Н.Поликарпова И-185 с мотором М-90 уже построен. Но Поликарпов создавал скоростной и маневренный фронтовой истребитель. Самолет же Сухого больше подходил на роль истребителя-перехватчика.</w:t>
      </w:r>
    </w:p>
    <w:p w14:paraId="2E8D2E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Главная же причина раскрывалась в следующей рекомендации: «Сухому все усилия направить на ББ-1 с М-88, на внедрение модификации ББ-1 с М-81, с М-90, на постройку самолета ОБШ с М-71, на доводку опытного самолета ББ-2 с М-88 и истребителя И-330 с М-105». И работа по самолету была окончательно свернута (6406).</w:t>
      </w:r>
    </w:p>
    <w:p w14:paraId="793B82A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B0F7C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июлю 1940 года в ОКБ завер</w:t>
      </w:r>
      <w:r w:rsidRPr="00DB5D0D">
        <w:rPr>
          <w:rFonts w:ascii="Times New Roman" w:hAnsi="Times New Roman"/>
          <w:color w:val="000000" w:themeColor="text1"/>
          <w:sz w:val="16"/>
          <w:szCs w:val="16"/>
        </w:rPr>
        <w:softHyphen/>
        <w:t>шилась разработка эскизного про</w:t>
      </w:r>
      <w:r w:rsidRPr="00DB5D0D">
        <w:rPr>
          <w:rFonts w:ascii="Times New Roman" w:hAnsi="Times New Roman"/>
          <w:color w:val="000000" w:themeColor="text1"/>
          <w:sz w:val="16"/>
          <w:szCs w:val="16"/>
        </w:rPr>
        <w:softHyphen/>
        <w:t>екта одноместного истребителя г двигателем воздушного охлаждения М-90 (1750 л.с.) с двумя турбокомп</w:t>
      </w:r>
      <w:r w:rsidRPr="00DB5D0D">
        <w:rPr>
          <w:rFonts w:ascii="Times New Roman" w:hAnsi="Times New Roman"/>
          <w:color w:val="000000" w:themeColor="text1"/>
          <w:sz w:val="16"/>
          <w:szCs w:val="16"/>
        </w:rPr>
        <w:softHyphen/>
        <w:t>рессорами ТК-1.</w:t>
      </w:r>
    </w:p>
    <w:p w14:paraId="1C1630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ТТТ самолет предназ</w:t>
      </w:r>
      <w:r w:rsidRPr="00DB5D0D">
        <w:rPr>
          <w:rFonts w:ascii="Times New Roman" w:hAnsi="Times New Roman"/>
          <w:color w:val="000000" w:themeColor="text1"/>
          <w:sz w:val="16"/>
          <w:szCs w:val="16"/>
        </w:rPr>
        <w:softHyphen/>
        <w:t>начался для ведения активного воз</w:t>
      </w:r>
      <w:r w:rsidRPr="00DB5D0D">
        <w:rPr>
          <w:rFonts w:ascii="Times New Roman" w:hAnsi="Times New Roman"/>
          <w:color w:val="000000" w:themeColor="text1"/>
          <w:sz w:val="16"/>
          <w:szCs w:val="16"/>
        </w:rPr>
        <w:softHyphen/>
        <w:t>душного боя, а также для выполне</w:t>
      </w:r>
      <w:r w:rsidRPr="00DB5D0D">
        <w:rPr>
          <w:rFonts w:ascii="Times New Roman" w:hAnsi="Times New Roman"/>
          <w:color w:val="000000" w:themeColor="text1"/>
          <w:sz w:val="16"/>
          <w:szCs w:val="16"/>
        </w:rPr>
        <w:softHyphen/>
        <w:t>ния задач по взаимодействию г наземными войсками.</w:t>
      </w:r>
    </w:p>
    <w:p w14:paraId="1A4C80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отзыве НИИ ВВС на эскизный проект отмечалось:</w:t>
      </w:r>
    </w:p>
    <w:p w14:paraId="03E193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Предъявленный конструкю-ром проект в целом является впоп-не реальным, летно-тактические данные расчетом, в основном, обо</w:t>
      </w:r>
      <w:r w:rsidRPr="00DB5D0D">
        <w:rPr>
          <w:rFonts w:ascii="Times New Roman" w:hAnsi="Times New Roman"/>
          <w:color w:val="000000" w:themeColor="text1"/>
          <w:sz w:val="16"/>
          <w:szCs w:val="16"/>
        </w:rPr>
        <w:softHyphen/>
        <w:t>снованы и обеспечены конструктив</w:t>
      </w:r>
      <w:r w:rsidRPr="00DB5D0D">
        <w:rPr>
          <w:rFonts w:ascii="Times New Roman" w:hAnsi="Times New Roman"/>
          <w:color w:val="000000" w:themeColor="text1"/>
          <w:sz w:val="16"/>
          <w:szCs w:val="16"/>
        </w:rPr>
        <w:softHyphen/>
        <w:t>ной схемой и наличием мощного мотора.</w:t>
      </w:r>
    </w:p>
    <w:p w14:paraId="7FD759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Принимая во внимание:</w:t>
      </w:r>
    </w:p>
    <w:p w14:paraId="038984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сравнительно невысокие пока</w:t>
      </w:r>
      <w:r w:rsidRPr="00DB5D0D">
        <w:rPr>
          <w:rFonts w:ascii="Times New Roman" w:hAnsi="Times New Roman"/>
          <w:color w:val="000000" w:themeColor="text1"/>
          <w:sz w:val="16"/>
          <w:szCs w:val="16"/>
        </w:rPr>
        <w:softHyphen/>
        <w:t>затели максимальных скорое юй проектируемого самолета;</w:t>
      </w:r>
    </w:p>
    <w:p w14:paraId="4DAA8F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что постройка самолета мо</w:t>
      </w:r>
      <w:r w:rsidRPr="00DB5D0D">
        <w:rPr>
          <w:rFonts w:ascii="Times New Roman" w:hAnsi="Times New Roman"/>
          <w:color w:val="000000" w:themeColor="text1"/>
          <w:sz w:val="16"/>
          <w:szCs w:val="16"/>
        </w:rPr>
        <w:softHyphen/>
        <w:t>жет быть закончена не ранее фев</w:t>
      </w:r>
      <w:r w:rsidRPr="00DB5D0D">
        <w:rPr>
          <w:rFonts w:ascii="Times New Roman" w:hAnsi="Times New Roman"/>
          <w:color w:val="000000" w:themeColor="text1"/>
          <w:sz w:val="16"/>
          <w:szCs w:val="16"/>
        </w:rPr>
        <w:softHyphen/>
        <w:t>раля — марта 1941 года, в то вре</w:t>
      </w:r>
      <w:r w:rsidRPr="00DB5D0D">
        <w:rPr>
          <w:rFonts w:ascii="Times New Roman" w:hAnsi="Times New Roman"/>
          <w:color w:val="000000" w:themeColor="text1"/>
          <w:sz w:val="16"/>
          <w:szCs w:val="16"/>
        </w:rPr>
        <w:softHyphen/>
        <w:t>мя, как подобный самолет И-185 М-90 уже построен.</w:t>
      </w:r>
    </w:p>
    <w:p w14:paraId="235516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Постройку самолета с М-90 и 2ТК-1 конструкции тов. Сухого П. О. считать нецелесообразной».</w:t>
      </w:r>
    </w:p>
    <w:p w14:paraId="125159EF" w14:textId="77777777" w:rsidR="003C7E8B" w:rsidRPr="00DB5D0D" w:rsidRDefault="003C7E8B" w:rsidP="00DB5D0D">
      <w:pPr>
        <w:pStyle w:val="af9"/>
        <w:spacing w:before="0" w:after="0"/>
        <w:jc w:val="both"/>
        <w:rPr>
          <w:color w:val="000000" w:themeColor="text1"/>
          <w:sz w:val="16"/>
          <w:szCs w:val="16"/>
        </w:rPr>
      </w:pPr>
      <w:r w:rsidRPr="00DB5D0D">
        <w:rPr>
          <w:color w:val="000000" w:themeColor="text1"/>
          <w:sz w:val="16"/>
          <w:szCs w:val="16"/>
        </w:rPr>
        <w:lastRenderedPageBreak/>
        <w:t>В заключении было указано, что утвердить эскизный проект не пред</w:t>
      </w:r>
      <w:r w:rsidRPr="00DB5D0D">
        <w:rPr>
          <w:color w:val="000000" w:themeColor="text1"/>
          <w:sz w:val="16"/>
          <w:szCs w:val="16"/>
        </w:rPr>
        <w:softHyphen/>
        <w:t>ставляется возможным, а главному конструктору предлагалось: «...на</w:t>
      </w:r>
      <w:r w:rsidRPr="00DB5D0D">
        <w:rPr>
          <w:color w:val="000000" w:themeColor="text1"/>
          <w:sz w:val="16"/>
          <w:szCs w:val="16"/>
        </w:rPr>
        <w:softHyphen/>
        <w:t>править на ближайшее время ра</w:t>
      </w:r>
      <w:r w:rsidRPr="00DB5D0D">
        <w:rPr>
          <w:color w:val="000000" w:themeColor="text1"/>
          <w:sz w:val="16"/>
          <w:szCs w:val="16"/>
        </w:rPr>
        <w:softHyphen/>
        <w:t>боту своего КБ на доводку серий</w:t>
      </w:r>
      <w:r w:rsidRPr="00DB5D0D">
        <w:rPr>
          <w:color w:val="000000" w:themeColor="text1"/>
          <w:sz w:val="16"/>
          <w:szCs w:val="16"/>
        </w:rPr>
        <w:softHyphen/>
        <w:t>ного самолета ББ-1 с М-88 в части ВМГ и максимальных скоростей, на быстрейшее внедрение в серию модификации самолета ББ-1 с М-81, М-90, на постройку опытного самолета ОБШ с М-71, но доводку опытного самолета ББ-2 с М-88 и истребителя И-330 с М-105» (11754).</w:t>
      </w:r>
    </w:p>
    <w:p w14:paraId="55F3D195" w14:textId="77777777" w:rsidR="003C7E8B" w:rsidRPr="00DB5D0D" w:rsidRDefault="003C7E8B" w:rsidP="00DB5D0D">
      <w:pPr>
        <w:pStyle w:val="af9"/>
        <w:spacing w:before="0" w:after="0"/>
        <w:jc w:val="both"/>
        <w:rPr>
          <w:color w:val="000000" w:themeColor="text1"/>
          <w:sz w:val="16"/>
          <w:szCs w:val="16"/>
        </w:rPr>
      </w:pPr>
    </w:p>
    <w:p w14:paraId="05BC1DF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CD6689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8775D38" w14:textId="77777777" w:rsidR="00235A50" w:rsidRPr="00DB5D0D" w:rsidRDefault="00235A5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июлю 1940 года в составе 20-й Краснознаменной танковой бригады имелось уже 10 танков КВ установочной партии, вооруженных как 76-мм пушками, так и 152-мм гаубицами, что позволяло начать обучение экипажей. Эта задача облегча</w:t>
      </w:r>
      <w:r w:rsidRPr="00DB5D0D">
        <w:rPr>
          <w:rFonts w:ascii="Times New Roman" w:hAnsi="Times New Roman"/>
          <w:color w:val="000000" w:themeColor="text1"/>
          <w:sz w:val="16"/>
          <w:szCs w:val="16"/>
        </w:rPr>
        <w:softHyphen/>
        <w:t>лась и наличием в бригаде танкистов уже имевших опыт боевых действий на новых машинах, и дислокацией бригады в Ле</w:t>
      </w:r>
      <w:r w:rsidRPr="00DB5D0D">
        <w:rPr>
          <w:rFonts w:ascii="Times New Roman" w:hAnsi="Times New Roman"/>
          <w:color w:val="000000" w:themeColor="text1"/>
          <w:sz w:val="16"/>
          <w:szCs w:val="16"/>
        </w:rPr>
        <w:softHyphen/>
        <w:t>нинградском военном округе. Неподалеку находились Ленинград и Кировский за</w:t>
      </w:r>
      <w:r w:rsidRPr="00DB5D0D">
        <w:rPr>
          <w:rFonts w:ascii="Times New Roman" w:hAnsi="Times New Roman"/>
          <w:color w:val="000000" w:themeColor="text1"/>
          <w:sz w:val="16"/>
          <w:szCs w:val="16"/>
        </w:rPr>
        <w:softHyphen/>
        <w:t>вод, специалисты которого оказывали танкистам помощь в решении возникав</w:t>
      </w:r>
      <w:r w:rsidRPr="00DB5D0D">
        <w:rPr>
          <w:rFonts w:ascii="Times New Roman" w:hAnsi="Times New Roman"/>
          <w:color w:val="000000" w:themeColor="text1"/>
          <w:sz w:val="16"/>
          <w:szCs w:val="16"/>
        </w:rPr>
        <w:softHyphen/>
        <w:t>ших эксплуатационных проблем. Однако налаживавшийся ритм боевой учебы вскоре был нарушен масштабной реорга</w:t>
      </w:r>
      <w:r w:rsidRPr="00DB5D0D">
        <w:rPr>
          <w:rFonts w:ascii="Times New Roman" w:hAnsi="Times New Roman"/>
          <w:color w:val="000000" w:themeColor="text1"/>
          <w:sz w:val="16"/>
          <w:szCs w:val="16"/>
        </w:rPr>
        <w:softHyphen/>
        <w:t xml:space="preserve">низацией танковых войск. В августе 1940 года все </w:t>
      </w:r>
      <w:r w:rsidRPr="00DB5D0D">
        <w:rPr>
          <w:rFonts w:ascii="Times New Roman" w:hAnsi="Times New Roman"/>
          <w:color w:val="000000" w:themeColor="text1"/>
          <w:sz w:val="16"/>
          <w:szCs w:val="16"/>
          <w:lang w:val="en-US"/>
        </w:rPr>
        <w:t>KB</w:t>
      </w:r>
      <w:r w:rsidRPr="00DB5D0D">
        <w:rPr>
          <w:rFonts w:ascii="Times New Roman" w:hAnsi="Times New Roman"/>
          <w:color w:val="000000" w:themeColor="text1"/>
          <w:sz w:val="16"/>
          <w:szCs w:val="16"/>
        </w:rPr>
        <w:t xml:space="preserve"> из состава 20-й тяжелой танковой бригады были от</w:t>
      </w:r>
      <w:r w:rsidRPr="00DB5D0D">
        <w:rPr>
          <w:rFonts w:ascii="Times New Roman" w:hAnsi="Times New Roman"/>
          <w:color w:val="000000" w:themeColor="text1"/>
          <w:sz w:val="16"/>
          <w:szCs w:val="16"/>
        </w:rPr>
        <w:softHyphen/>
        <w:t>правлены в г.Львов и включены в состав новосформированной 8-й танковой ди</w:t>
      </w:r>
      <w:r w:rsidRPr="00DB5D0D">
        <w:rPr>
          <w:rFonts w:ascii="Times New Roman" w:hAnsi="Times New Roman"/>
          <w:color w:val="000000" w:themeColor="text1"/>
          <w:sz w:val="16"/>
          <w:szCs w:val="16"/>
        </w:rPr>
        <w:softHyphen/>
        <w:t xml:space="preserve">визии 4-го мехкорпуса. В это же время в состав 2-й танковой дивизии 3-го мех- корпуса, дислоцировавшегося в районе Вильно, вошли 13 новых </w:t>
      </w:r>
      <w:r w:rsidRPr="00DB5D0D">
        <w:rPr>
          <w:rFonts w:ascii="Times New Roman" w:hAnsi="Times New Roman"/>
          <w:color w:val="000000" w:themeColor="text1"/>
          <w:sz w:val="16"/>
          <w:szCs w:val="16"/>
          <w:lang w:val="en-US"/>
        </w:rPr>
        <w:t>KB</w:t>
      </w:r>
      <w:r w:rsidRPr="00DB5D0D">
        <w:rPr>
          <w:rFonts w:ascii="Times New Roman" w:hAnsi="Times New Roman"/>
          <w:color w:val="000000" w:themeColor="text1"/>
          <w:sz w:val="16"/>
          <w:szCs w:val="16"/>
        </w:rPr>
        <w:t xml:space="preserve"> (из них 10 — КВ-2 с установками МТ-1). К июню 1941 года в войсках находилось 134 танка КВ- 2, из них 2 — в Ленинградском военном округе, 19 — в Прибалтийском Особом, 22 — в Западном Особом и 89 — в Киев</w:t>
      </w:r>
      <w:r w:rsidRPr="00DB5D0D">
        <w:rPr>
          <w:rFonts w:ascii="Times New Roman" w:hAnsi="Times New Roman"/>
          <w:color w:val="000000" w:themeColor="text1"/>
          <w:sz w:val="16"/>
          <w:szCs w:val="16"/>
        </w:rPr>
        <w:softHyphen/>
        <w:t>ском Особом военных округах. Еще по одной машине поступило в учебные за</w:t>
      </w:r>
      <w:r w:rsidRPr="00DB5D0D">
        <w:rPr>
          <w:rFonts w:ascii="Times New Roman" w:hAnsi="Times New Roman"/>
          <w:color w:val="000000" w:themeColor="text1"/>
          <w:sz w:val="16"/>
          <w:szCs w:val="16"/>
        </w:rPr>
        <w:softHyphen/>
        <w:t>ведения в Московском и Приволжском военных округах. При этом в эксплуата</w:t>
      </w:r>
      <w:r w:rsidRPr="00DB5D0D">
        <w:rPr>
          <w:rFonts w:ascii="Times New Roman" w:hAnsi="Times New Roman"/>
          <w:color w:val="000000" w:themeColor="text1"/>
          <w:sz w:val="16"/>
          <w:szCs w:val="16"/>
        </w:rPr>
        <w:softHyphen/>
        <w:t>ции находилось только 9 танков КВ-2, что неудивительно. Подготовка экипажей для новых тяже</w:t>
      </w:r>
      <w:r w:rsidRPr="00DB5D0D">
        <w:rPr>
          <w:rFonts w:ascii="Times New Roman" w:hAnsi="Times New Roman"/>
          <w:color w:val="000000" w:themeColor="text1"/>
          <w:sz w:val="16"/>
          <w:szCs w:val="16"/>
        </w:rPr>
        <w:softHyphen/>
        <w:t>лых танков часто велась (если вообще ве</w:t>
      </w:r>
      <w:r w:rsidRPr="00DB5D0D">
        <w:rPr>
          <w:rFonts w:ascii="Times New Roman" w:hAnsi="Times New Roman"/>
          <w:color w:val="000000" w:themeColor="text1"/>
          <w:sz w:val="16"/>
          <w:szCs w:val="16"/>
        </w:rPr>
        <w:softHyphen/>
        <w:t>лась) на машинах любых типов (15232).</w:t>
      </w:r>
    </w:p>
    <w:p w14:paraId="46400A8E" w14:textId="77777777" w:rsidR="00235A50" w:rsidRPr="00DB5D0D" w:rsidRDefault="00235A50" w:rsidP="00DB5D0D">
      <w:pPr>
        <w:spacing w:after="0" w:line="240" w:lineRule="auto"/>
        <w:jc w:val="both"/>
        <w:rPr>
          <w:rFonts w:ascii="Times New Roman" w:hAnsi="Times New Roman"/>
          <w:color w:val="000000" w:themeColor="text1"/>
          <w:sz w:val="16"/>
          <w:szCs w:val="16"/>
        </w:rPr>
      </w:pPr>
    </w:p>
    <w:p w14:paraId="21E1C1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июлю 1940 г. из имевшихся 103 линий связи 50 были оборудованы аппаратурой засекречивания телефонных переговоров, а на 01.04.1941 г. шифраторы были установлены на 66 линиях связи из имевшихся 134, что свидетельствовало о невыполнении приказа № 0042. Полное внедрение спецаппаратуры тормозилось ограниченными производственными возможностями заводов “Красная заря”, № 208 и 209, НИИ</w:t>
      </w:r>
      <w:r w:rsidRPr="00DB5D0D">
        <w:rPr>
          <w:rFonts w:ascii="Times New Roman" w:hAnsi="Times New Roman"/>
          <w:color w:val="000000" w:themeColor="text1"/>
          <w:sz w:val="16"/>
          <w:szCs w:val="16"/>
        </w:rPr>
        <w:noBreakHyphen/>
        <w:t>10, а также их недостаточным финансированием (11671).</w:t>
      </w:r>
    </w:p>
    <w:p w14:paraId="6CD980D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F3130A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D23F0C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6D7C2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июлю 1940 г. появились части, практически полностью укомплектованные ДБ-ЗФ. Например, в 8-м дбап на 25 июля значатся даже 72 ДБ-ЗФ с моторами М-88. Новые самолеты стали поступать в Московский, Ленинградский, Северо-Кавказский и другие округа. Лишь на Дальнем Востоке монопольно царили старые ДБ-3. Там сохранилось еще немало машин с М-85 и М-86. "...в 5-й аб имеется 48 самолетов ДБ-3 первого выпуска разных заводов. Все эти самолеты требуют модернизации и в настоящее время небоеспособны из-за отсутствия запчастей, т.к. запчасти серийных самолетов не подходят", - сообщали оттуда.</w:t>
      </w:r>
    </w:p>
    <w:p w14:paraId="4E43FC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Внедрение ДБ-ЗФ в строевых частях поначалу вызвало много неприятностей. "Первый же месяц эксплоатации этих самолетов выявил ряд серьезнейших дефектов и недостатков конструктивно-производственного порядка...", - писал в июне 1940 г. заместитель начальника ВВС Смушкевич новому наркому обороны маршалу Тимошенко. Расход горючего оказался почти вдвое больше, чем у ДБ-ЗБ. Впоследствии выявили дефект карбюраторов АК-88, дававших переобогащенную смесь. Карбюраторы еще периодически и горели при заходе на посадку. Жаловались на недостаточную прочность капотов моторов и всасывающих патрубков - трескаются. Полужесткие баки деформировались. Из-за неудачной конструкции заборников в баках оставался значительный невырабатываемый запас горючего, превышавший 150 л. И, наконец, в носовой кабине плохо закреплялось сиденье штурмана: "При резких толчках на рулении сиденье вместе со штурманом попадает в педали управления самолетом...".</w:t>
      </w:r>
    </w:p>
    <w:p w14:paraId="213C64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ДБ-ЗФ не вызывал восторга и у пилотов. Изменение центровки привело к значительному снижению устойчивости. "Пилотажные качества самолетов ДБ-ЗФ в значительной степени ухудшились по сравнению с качествами самолета ДБ-3", - писал Смушкевич (12021).</w:t>
      </w:r>
    </w:p>
    <w:p w14:paraId="24F77D7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594CA4B" w14:textId="77777777" w:rsidR="00235A50"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8218273" w14:textId="77777777" w:rsidR="00235A50" w:rsidRPr="00DB5D0D" w:rsidRDefault="00235A50" w:rsidP="00DB5D0D">
      <w:pPr>
        <w:spacing w:after="0" w:line="240" w:lineRule="auto"/>
        <w:jc w:val="both"/>
        <w:rPr>
          <w:rFonts w:ascii="Times New Roman" w:hAnsi="Times New Roman"/>
          <w:iCs/>
          <w:color w:val="000000" w:themeColor="text1"/>
          <w:sz w:val="16"/>
          <w:szCs w:val="16"/>
        </w:rPr>
      </w:pPr>
    </w:p>
    <w:p w14:paraId="38966280" w14:textId="77777777" w:rsidR="00235A50" w:rsidRPr="00DB5D0D" w:rsidRDefault="00235A5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июлю 1940 г. был готов проект вертолета Fl.282 Колибри. Вертолет Fl.282 Колибри с самого начала проектировался как двухместный с наблюдателем, что значительно повышало достоинства машины в качестве разведчика. Наблюдатель размещался сразу за стойками винтов, лицом назад. Такое положение позволяло выполнять полеты без пассажира, не нарушая центровки. На заводе Флеттнера в Йохаништале и на Бад Тельц начались работы сразу над 30 опытными и 15 предсерийными вертолетами. Для начала летных испытаний первые три Fl.282 были выполнены одноместными с кабиной закрытой фонарем, но потом они были переделаны в двухместные с открытыми кабинами. Фюзеляж сваривался из стальных труб и покрывался листами легкого сплава в центральной секции и тканью в хвостовой и на оперении. Шасси трехстоечное с управляемым носовым колесом. Fl.282 оказался самым доведенным и летающим вертолетом Третьего Рейха, он прошел полный курс испытаний. Основная работа была проделана пилотом испытателем Флеттнера Гансом Фуйстингом, который проводил и слепые полеты, а также подготовил на Fl.282 50 пилотов. В случае необходимости Колибри мог садиться в режиме авторотации и без использования автомата управления шагом винтов. Вертолет оказался очень маневренным и устойчивым в полете на скорости 60 км/ч пилот мог позволить себе бросить управление. На меньших скоростях сказывалась некоторая продольная неустойчивость, особенно на скорости 40 км/ч. Небольшим недостатком Fl.282 была небольшая вибрация на земле, которая исчезала сразу после взлета. Хотя конструкция ряда узлов была излишне сложной и тяжелой, в целом она оказалась очень хорошо продуманной во время испытаний одна из машин налетала 95 часов без замены каких-либо узлов. Двигатель имел ресурс между переборкой в 400 часов (15139).</w:t>
      </w:r>
    </w:p>
    <w:p w14:paraId="7C4D918D" w14:textId="77777777" w:rsidR="00235A50" w:rsidRPr="00DB5D0D" w:rsidRDefault="00235A50" w:rsidP="00DB5D0D">
      <w:pPr>
        <w:spacing w:after="0" w:line="240" w:lineRule="auto"/>
        <w:jc w:val="both"/>
        <w:rPr>
          <w:rFonts w:ascii="Times New Roman" w:hAnsi="Times New Roman"/>
          <w:color w:val="000000" w:themeColor="text1"/>
          <w:sz w:val="16"/>
          <w:szCs w:val="16"/>
        </w:rPr>
      </w:pPr>
    </w:p>
    <w:p w14:paraId="46D5D23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3EF96D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979F1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года была подготовлена Справка о состоянии работ по подготовке перелета Нестеренко на 1/VII.</w:t>
      </w:r>
    </w:p>
    <w:p w14:paraId="063739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Рекордный самолет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479"/>
        <w:gridCol w:w="4019"/>
      </w:tblGrid>
      <w:tr w:rsidR="007D5DF8" w:rsidRPr="00DB5D0D" w14:paraId="7EFC8E94" w14:textId="77777777" w:rsidTr="00E543D0">
        <w:tc>
          <w:tcPr>
            <w:tcW w:w="7479" w:type="dxa"/>
            <w:tcBorders>
              <w:top w:val="single" w:sz="12" w:space="0" w:color="auto"/>
            </w:tcBorders>
          </w:tcPr>
          <w:p w14:paraId="0FB338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выпущен с завода N 39 после окраски, тарировки баков и взвешивания</w:t>
            </w:r>
          </w:p>
        </w:tc>
        <w:tc>
          <w:tcPr>
            <w:tcW w:w="4019" w:type="dxa"/>
            <w:tcBorders>
              <w:top w:val="single" w:sz="12" w:space="0" w:color="auto"/>
            </w:tcBorders>
          </w:tcPr>
          <w:p w14:paraId="699B1E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7.VI.40 г.</w:t>
            </w:r>
          </w:p>
        </w:tc>
      </w:tr>
      <w:tr w:rsidR="007D5DF8" w:rsidRPr="00DB5D0D" w14:paraId="020A3F9D" w14:textId="77777777" w:rsidTr="00E543D0">
        <w:tc>
          <w:tcPr>
            <w:tcW w:w="7479" w:type="dxa"/>
          </w:tcPr>
          <w:p w14:paraId="39F6B2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перегнан в Раменское</w:t>
            </w:r>
          </w:p>
        </w:tc>
        <w:tc>
          <w:tcPr>
            <w:tcW w:w="4019" w:type="dxa"/>
          </w:tcPr>
          <w:p w14:paraId="4833B0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8.VI.40 г.</w:t>
            </w:r>
          </w:p>
        </w:tc>
      </w:tr>
      <w:tr w:rsidR="007D5DF8" w:rsidRPr="00DB5D0D" w14:paraId="640A537D" w14:textId="77777777" w:rsidTr="00E543D0">
        <w:tc>
          <w:tcPr>
            <w:tcW w:w="7479" w:type="dxa"/>
          </w:tcPr>
          <w:p w14:paraId="5E372A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окончание испытаний самолета, винтомоторной группы и определение</w:t>
            </w:r>
          </w:p>
        </w:tc>
        <w:tc>
          <w:tcPr>
            <w:tcW w:w="4019" w:type="dxa"/>
          </w:tcPr>
          <w:p w14:paraId="056DE5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CEAA938" w14:textId="77777777" w:rsidTr="00E543D0">
        <w:tc>
          <w:tcPr>
            <w:tcW w:w="7479" w:type="dxa"/>
          </w:tcPr>
          <w:p w14:paraId="7B31C3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расходов горючего</w:t>
            </w:r>
          </w:p>
        </w:tc>
        <w:tc>
          <w:tcPr>
            <w:tcW w:w="4019" w:type="dxa"/>
          </w:tcPr>
          <w:p w14:paraId="3F1829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28.VI.40 г.</w:t>
            </w:r>
          </w:p>
        </w:tc>
      </w:tr>
      <w:tr w:rsidR="007D5DF8" w:rsidRPr="00DB5D0D" w14:paraId="2F7EE821" w14:textId="77777777" w:rsidTr="00E543D0">
        <w:tc>
          <w:tcPr>
            <w:tcW w:w="7479" w:type="dxa"/>
          </w:tcPr>
          <w:p w14:paraId="716A7B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Сделано:</w:t>
            </w:r>
          </w:p>
        </w:tc>
        <w:tc>
          <w:tcPr>
            <w:tcW w:w="4019" w:type="dxa"/>
          </w:tcPr>
          <w:p w14:paraId="1D06F8A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C408E96" w14:textId="77777777" w:rsidTr="00E543D0">
        <w:tc>
          <w:tcPr>
            <w:tcW w:w="7479" w:type="dxa"/>
          </w:tcPr>
          <w:p w14:paraId="329C07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полетов продолж. 5 ч. 15 м.</w:t>
            </w:r>
          </w:p>
        </w:tc>
        <w:tc>
          <w:tcPr>
            <w:tcW w:w="4019" w:type="dxa"/>
          </w:tcPr>
          <w:p w14:paraId="26D173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контрольные испытания по матчасти.</w:t>
            </w:r>
          </w:p>
        </w:tc>
      </w:tr>
      <w:tr w:rsidR="007D5DF8" w:rsidRPr="00DB5D0D" w14:paraId="69CC5AE4" w14:textId="77777777" w:rsidTr="00E543D0">
        <w:tc>
          <w:tcPr>
            <w:tcW w:w="7479" w:type="dxa"/>
          </w:tcPr>
          <w:p w14:paraId="63AAEC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 продолжит. 0 ч. 39 м.</w:t>
            </w:r>
          </w:p>
        </w:tc>
        <w:tc>
          <w:tcPr>
            <w:tcW w:w="4019" w:type="dxa"/>
          </w:tcPr>
          <w:p w14:paraId="2F4E4C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взлет с 11,5 тон. и испытание аварийного </w:t>
            </w:r>
          </w:p>
        </w:tc>
      </w:tr>
      <w:tr w:rsidR="007D5DF8" w:rsidRPr="00DB5D0D" w14:paraId="1F083484" w14:textId="77777777" w:rsidTr="00E543D0">
        <w:tc>
          <w:tcPr>
            <w:tcW w:w="7479" w:type="dxa"/>
          </w:tcPr>
          <w:p w14:paraId="5FC7DE2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019" w:type="dxa"/>
          </w:tcPr>
          <w:p w14:paraId="11A26B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слива.</w:t>
            </w:r>
          </w:p>
        </w:tc>
      </w:tr>
      <w:tr w:rsidR="007D5DF8" w:rsidRPr="00DB5D0D" w14:paraId="51236102" w14:textId="77777777" w:rsidTr="00E543D0">
        <w:tc>
          <w:tcPr>
            <w:tcW w:w="7479" w:type="dxa"/>
          </w:tcPr>
          <w:p w14:paraId="18D37F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 продолжит. 4 ч. 48 м.</w:t>
            </w:r>
          </w:p>
        </w:tc>
        <w:tc>
          <w:tcPr>
            <w:tcW w:w="4019" w:type="dxa"/>
          </w:tcPr>
          <w:p w14:paraId="04DA98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расходы с повыш. весом (9,8 тонн).</w:t>
            </w:r>
          </w:p>
        </w:tc>
      </w:tr>
      <w:tr w:rsidR="007D5DF8" w:rsidRPr="00DB5D0D" w14:paraId="0A74FD6D" w14:textId="77777777" w:rsidTr="00E543D0">
        <w:tc>
          <w:tcPr>
            <w:tcW w:w="7479" w:type="dxa"/>
          </w:tcPr>
          <w:p w14:paraId="554D60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полета продолж. 9 ч. 30 м.</w:t>
            </w:r>
          </w:p>
        </w:tc>
        <w:tc>
          <w:tcPr>
            <w:tcW w:w="4019" w:type="dxa"/>
          </w:tcPr>
          <w:p w14:paraId="1475E8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расходы.</w:t>
            </w:r>
          </w:p>
        </w:tc>
      </w:tr>
      <w:tr w:rsidR="007D5DF8" w:rsidRPr="00DB5D0D" w14:paraId="7F806143" w14:textId="77777777" w:rsidTr="00E543D0">
        <w:tc>
          <w:tcPr>
            <w:tcW w:w="7479" w:type="dxa"/>
          </w:tcPr>
          <w:p w14:paraId="452AFC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полетов продолж. 20 ч. 12 м.</w:t>
            </w:r>
          </w:p>
        </w:tc>
        <w:tc>
          <w:tcPr>
            <w:tcW w:w="4019" w:type="dxa"/>
          </w:tcPr>
          <w:p w14:paraId="1D2DC23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48CE11F" w14:textId="77777777" w:rsidTr="00E543D0">
        <w:tc>
          <w:tcPr>
            <w:tcW w:w="7479" w:type="dxa"/>
          </w:tcPr>
          <w:p w14:paraId="7B204A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программе намечалось 7 полетов продолж.</w:t>
            </w:r>
          </w:p>
        </w:tc>
        <w:tc>
          <w:tcPr>
            <w:tcW w:w="4019" w:type="dxa"/>
          </w:tcPr>
          <w:p w14:paraId="20E10B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ч. 30 м.</w:t>
            </w:r>
          </w:p>
        </w:tc>
      </w:tr>
      <w:tr w:rsidR="007D5DF8" w:rsidRPr="00DB5D0D" w14:paraId="34034059" w14:textId="77777777" w:rsidTr="00E543D0">
        <w:tc>
          <w:tcPr>
            <w:tcW w:w="7479" w:type="dxa"/>
          </w:tcPr>
          <w:p w14:paraId="5BA565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моторы наработали</w:t>
            </w:r>
          </w:p>
        </w:tc>
        <w:tc>
          <w:tcPr>
            <w:tcW w:w="4019" w:type="dxa"/>
          </w:tcPr>
          <w:p w14:paraId="733ADB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ч. 29 м.</w:t>
            </w:r>
          </w:p>
        </w:tc>
      </w:tr>
      <w:tr w:rsidR="007D5DF8" w:rsidRPr="00DB5D0D" w14:paraId="60A540D1" w14:textId="77777777" w:rsidTr="00E543D0">
        <w:tc>
          <w:tcPr>
            <w:tcW w:w="7479" w:type="dxa"/>
          </w:tcPr>
          <w:p w14:paraId="7BC86C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Расходы топлива определились</w:t>
            </w:r>
          </w:p>
        </w:tc>
        <w:tc>
          <w:tcPr>
            <w:tcW w:w="4019" w:type="dxa"/>
          </w:tcPr>
          <w:p w14:paraId="52FA1F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=0,75-0,77 кг/км</w:t>
            </w:r>
          </w:p>
        </w:tc>
      </w:tr>
      <w:tr w:rsidR="007D5DF8" w:rsidRPr="00DB5D0D" w14:paraId="05A032A4" w14:textId="77777777" w:rsidTr="00E543D0">
        <w:tc>
          <w:tcPr>
            <w:tcW w:w="7479" w:type="dxa"/>
          </w:tcPr>
          <w:p w14:paraId="3EB482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Расходы масла на правом моторе</w:t>
            </w:r>
          </w:p>
        </w:tc>
        <w:tc>
          <w:tcPr>
            <w:tcW w:w="4019" w:type="dxa"/>
          </w:tcPr>
          <w:p w14:paraId="2DFE08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3,58 кг/час</w:t>
            </w:r>
          </w:p>
        </w:tc>
      </w:tr>
      <w:tr w:rsidR="007D5DF8" w:rsidRPr="00DB5D0D" w14:paraId="1DC8DA43" w14:textId="77777777" w:rsidTr="00E543D0">
        <w:tc>
          <w:tcPr>
            <w:tcW w:w="7479" w:type="dxa"/>
          </w:tcPr>
          <w:p w14:paraId="6DC363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 на левом моторе</w:t>
            </w:r>
          </w:p>
        </w:tc>
        <w:tc>
          <w:tcPr>
            <w:tcW w:w="4019" w:type="dxa"/>
          </w:tcPr>
          <w:p w14:paraId="7BDB0E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3,62 -"-</w:t>
            </w:r>
          </w:p>
        </w:tc>
      </w:tr>
      <w:tr w:rsidR="007D5DF8" w:rsidRPr="00DB5D0D" w14:paraId="1666F1BB" w14:textId="77777777" w:rsidTr="00E543D0">
        <w:tc>
          <w:tcPr>
            <w:tcW w:w="7479" w:type="dxa"/>
          </w:tcPr>
          <w:p w14:paraId="3D69FD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Винтомоторная группа совсеми агрегатами (винты, карбюраторы, магнето, помпы, бензо-масло провод, фильтры, краны) проверена в полетах и работа ее признана вполне удовлетворительной, отвечающей требованиям длительного полета.</w:t>
            </w:r>
          </w:p>
        </w:tc>
        <w:tc>
          <w:tcPr>
            <w:tcW w:w="4019" w:type="dxa"/>
          </w:tcPr>
          <w:p w14:paraId="261BDFD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BE87506" w14:textId="77777777" w:rsidTr="00E543D0">
        <w:tc>
          <w:tcPr>
            <w:tcW w:w="7479" w:type="dxa"/>
          </w:tcPr>
          <w:p w14:paraId="065456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Моторы законсервированы, сняты с самолета, опломбированы и отдельным вагоном с пассажирским поездом, отправлены в Хабаровск 30.VI.40 г.</w:t>
            </w:r>
          </w:p>
        </w:tc>
        <w:tc>
          <w:tcPr>
            <w:tcW w:w="4019" w:type="dxa"/>
          </w:tcPr>
          <w:p w14:paraId="6C82404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16BF37" w14:textId="77777777" w:rsidTr="00E543D0">
        <w:tc>
          <w:tcPr>
            <w:tcW w:w="7479" w:type="dxa"/>
          </w:tcPr>
          <w:p w14:paraId="7FDE5E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На самолет установлены новые моторы для перегона самолета в Хабаровск.</w:t>
            </w:r>
          </w:p>
        </w:tc>
        <w:tc>
          <w:tcPr>
            <w:tcW w:w="4019" w:type="dxa"/>
          </w:tcPr>
          <w:p w14:paraId="10EEFA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2A4FDB2" w14:textId="77777777" w:rsidTr="00E543D0">
        <w:tc>
          <w:tcPr>
            <w:tcW w:w="7479" w:type="dxa"/>
            <w:tcBorders>
              <w:bottom w:val="single" w:sz="12" w:space="0" w:color="auto"/>
            </w:tcBorders>
          </w:tcPr>
          <w:p w14:paraId="72B279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Монтаж и опробование самолета будет закончено 2.VII.40 г.</w:t>
            </w:r>
          </w:p>
        </w:tc>
        <w:tc>
          <w:tcPr>
            <w:tcW w:w="4019" w:type="dxa"/>
            <w:tcBorders>
              <w:bottom w:val="single" w:sz="12" w:space="0" w:color="auto"/>
            </w:tcBorders>
          </w:tcPr>
          <w:p w14:paraId="43EDBE2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5EA53E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Тренировочный самолет.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tblGrid>
      <w:tr w:rsidR="007D5DF8" w:rsidRPr="00DB5D0D" w14:paraId="6465BB7F" w14:textId="77777777" w:rsidTr="00E543D0">
        <w:tc>
          <w:tcPr>
            <w:tcW w:w="3833" w:type="dxa"/>
            <w:tcBorders>
              <w:top w:val="single" w:sz="12" w:space="0" w:color="auto"/>
            </w:tcBorders>
          </w:tcPr>
          <w:p w14:paraId="044D2E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выпущен с завода</w:t>
            </w:r>
          </w:p>
        </w:tc>
        <w:tc>
          <w:tcPr>
            <w:tcW w:w="3833" w:type="dxa"/>
            <w:tcBorders>
              <w:top w:val="single" w:sz="12" w:space="0" w:color="auto"/>
            </w:tcBorders>
          </w:tcPr>
          <w:p w14:paraId="2007C0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20.VI.40 г.</w:t>
            </w:r>
          </w:p>
        </w:tc>
      </w:tr>
      <w:tr w:rsidR="007D5DF8" w:rsidRPr="00DB5D0D" w14:paraId="382E160F" w14:textId="77777777" w:rsidTr="00E543D0">
        <w:tc>
          <w:tcPr>
            <w:tcW w:w="3833" w:type="dxa"/>
          </w:tcPr>
          <w:p w14:paraId="2DD6D5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совершено полетов:</w:t>
            </w:r>
          </w:p>
        </w:tc>
        <w:tc>
          <w:tcPr>
            <w:tcW w:w="3833" w:type="dxa"/>
          </w:tcPr>
          <w:p w14:paraId="25D6B01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496015E" w14:textId="77777777" w:rsidTr="00E543D0">
        <w:tc>
          <w:tcPr>
            <w:tcW w:w="3833" w:type="dxa"/>
          </w:tcPr>
          <w:p w14:paraId="5B10FD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мае 36, общей продолжительностью</w:t>
            </w:r>
          </w:p>
        </w:tc>
        <w:tc>
          <w:tcPr>
            <w:tcW w:w="3833" w:type="dxa"/>
          </w:tcPr>
          <w:p w14:paraId="35E02F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час.</w:t>
            </w:r>
          </w:p>
        </w:tc>
      </w:tr>
      <w:tr w:rsidR="007D5DF8" w:rsidRPr="00DB5D0D" w14:paraId="1EFD3A41" w14:textId="77777777" w:rsidTr="00E543D0">
        <w:tc>
          <w:tcPr>
            <w:tcW w:w="3833" w:type="dxa"/>
            <w:tcBorders>
              <w:bottom w:val="single" w:sz="12" w:space="0" w:color="auto"/>
            </w:tcBorders>
          </w:tcPr>
          <w:p w14:paraId="39BF5A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 -"- -"- -"-</w:t>
            </w:r>
          </w:p>
        </w:tc>
        <w:tc>
          <w:tcPr>
            <w:tcW w:w="3833" w:type="dxa"/>
            <w:tcBorders>
              <w:bottom w:val="single" w:sz="12" w:space="0" w:color="auto"/>
            </w:tcBorders>
          </w:tcPr>
          <w:p w14:paraId="7D0760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 ч. 25 м.</w:t>
            </w:r>
          </w:p>
        </w:tc>
      </w:tr>
    </w:tbl>
    <w:p w14:paraId="73B08D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программа летных испытаний и тренировочных полетов закончена (план - 13.VI) 23.VI.40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642"/>
        <w:gridCol w:w="1642"/>
        <w:gridCol w:w="1642"/>
        <w:gridCol w:w="1642"/>
        <w:gridCol w:w="1642"/>
      </w:tblGrid>
      <w:tr w:rsidR="007D5DF8" w:rsidRPr="00DB5D0D" w14:paraId="46EB1A19" w14:textId="77777777" w:rsidTr="00E543D0">
        <w:tc>
          <w:tcPr>
            <w:tcW w:w="1642" w:type="dxa"/>
            <w:tcBorders>
              <w:top w:val="single" w:sz="12" w:space="0" w:color="auto"/>
            </w:tcBorders>
          </w:tcPr>
          <w:p w14:paraId="573448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Borders>
              <w:top w:val="single" w:sz="12" w:space="0" w:color="auto"/>
            </w:tcBorders>
          </w:tcPr>
          <w:p w14:paraId="0BDE5D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w:t>
            </w:r>
          </w:p>
        </w:tc>
        <w:tc>
          <w:tcPr>
            <w:tcW w:w="1642" w:type="dxa"/>
            <w:tcBorders>
              <w:top w:val="single" w:sz="12" w:space="0" w:color="auto"/>
            </w:tcBorders>
          </w:tcPr>
          <w:p w14:paraId="6CC05F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Borders>
              <w:top w:val="single" w:sz="12" w:space="0" w:color="auto"/>
            </w:tcBorders>
          </w:tcPr>
          <w:p w14:paraId="2B1030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w:t>
            </w:r>
          </w:p>
        </w:tc>
        <w:tc>
          <w:tcPr>
            <w:tcW w:w="1642" w:type="dxa"/>
            <w:tcBorders>
              <w:top w:val="single" w:sz="12" w:space="0" w:color="auto"/>
            </w:tcBorders>
          </w:tcPr>
          <w:p w14:paraId="27316CA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Borders>
              <w:top w:val="single" w:sz="12" w:space="0" w:color="auto"/>
            </w:tcBorders>
          </w:tcPr>
          <w:p w14:paraId="2E2329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642" w:type="dxa"/>
            <w:tcBorders>
              <w:top w:val="single" w:sz="12" w:space="0" w:color="auto"/>
            </w:tcBorders>
          </w:tcPr>
          <w:p w14:paraId="1604883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48C993A" w14:textId="77777777" w:rsidTr="00E543D0">
        <w:tc>
          <w:tcPr>
            <w:tcW w:w="1642" w:type="dxa"/>
          </w:tcPr>
          <w:p w14:paraId="445502A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Pr>
          <w:p w14:paraId="0C549F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w:t>
            </w:r>
          </w:p>
        </w:tc>
        <w:tc>
          <w:tcPr>
            <w:tcW w:w="1642" w:type="dxa"/>
          </w:tcPr>
          <w:p w14:paraId="257CDC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w:t>
            </w:r>
          </w:p>
        </w:tc>
        <w:tc>
          <w:tcPr>
            <w:tcW w:w="1642" w:type="dxa"/>
          </w:tcPr>
          <w:p w14:paraId="42185B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w:t>
            </w:r>
          </w:p>
        </w:tc>
        <w:tc>
          <w:tcPr>
            <w:tcW w:w="1642" w:type="dxa"/>
          </w:tcPr>
          <w:p w14:paraId="3B8AA2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w:t>
            </w:r>
          </w:p>
        </w:tc>
        <w:tc>
          <w:tcPr>
            <w:tcW w:w="1642" w:type="dxa"/>
          </w:tcPr>
          <w:p w14:paraId="5093A1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w:t>
            </w:r>
          </w:p>
        </w:tc>
        <w:tc>
          <w:tcPr>
            <w:tcW w:w="1642" w:type="dxa"/>
          </w:tcPr>
          <w:p w14:paraId="4AB248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w:t>
            </w:r>
          </w:p>
        </w:tc>
      </w:tr>
      <w:tr w:rsidR="007D5DF8" w:rsidRPr="00DB5D0D" w14:paraId="6B438087" w14:textId="77777777" w:rsidTr="00E543D0">
        <w:tc>
          <w:tcPr>
            <w:tcW w:w="1642" w:type="dxa"/>
          </w:tcPr>
          <w:p w14:paraId="10DF05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Сделано:</w:t>
            </w:r>
          </w:p>
        </w:tc>
        <w:tc>
          <w:tcPr>
            <w:tcW w:w="1642" w:type="dxa"/>
          </w:tcPr>
          <w:p w14:paraId="56D2ED9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Pr>
          <w:p w14:paraId="74F28AF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Pr>
          <w:p w14:paraId="17C9BA9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Pr>
          <w:p w14:paraId="3106EC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Pr>
          <w:p w14:paraId="71BDCAF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Pr>
          <w:p w14:paraId="191F927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7A9914E" w14:textId="77777777" w:rsidTr="00E543D0">
        <w:tc>
          <w:tcPr>
            <w:tcW w:w="1642" w:type="dxa"/>
          </w:tcPr>
          <w:p w14:paraId="17A6A0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 полетов</w:t>
            </w:r>
          </w:p>
        </w:tc>
        <w:tc>
          <w:tcPr>
            <w:tcW w:w="1642" w:type="dxa"/>
          </w:tcPr>
          <w:p w14:paraId="6E793E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642" w:type="dxa"/>
          </w:tcPr>
          <w:p w14:paraId="3C70E4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13.10</w:t>
            </w:r>
          </w:p>
        </w:tc>
        <w:tc>
          <w:tcPr>
            <w:tcW w:w="1642" w:type="dxa"/>
          </w:tcPr>
          <w:p w14:paraId="520324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1642" w:type="dxa"/>
          </w:tcPr>
          <w:p w14:paraId="5DA7FB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9.14</w:t>
            </w:r>
          </w:p>
        </w:tc>
        <w:tc>
          <w:tcPr>
            <w:tcW w:w="1642" w:type="dxa"/>
          </w:tcPr>
          <w:p w14:paraId="1062A9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642" w:type="dxa"/>
          </w:tcPr>
          <w:p w14:paraId="341EAB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19.14</w:t>
            </w:r>
          </w:p>
        </w:tc>
      </w:tr>
      <w:tr w:rsidR="007D5DF8" w:rsidRPr="00DB5D0D" w14:paraId="3DA01403" w14:textId="77777777" w:rsidTr="00E543D0">
        <w:tc>
          <w:tcPr>
            <w:tcW w:w="1642" w:type="dxa"/>
          </w:tcPr>
          <w:p w14:paraId="5F3821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 полетов экип.</w:t>
            </w:r>
          </w:p>
        </w:tc>
        <w:tc>
          <w:tcPr>
            <w:tcW w:w="1642" w:type="dxa"/>
          </w:tcPr>
          <w:p w14:paraId="07764F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1642" w:type="dxa"/>
          </w:tcPr>
          <w:p w14:paraId="60E335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24.41</w:t>
            </w:r>
          </w:p>
        </w:tc>
        <w:tc>
          <w:tcPr>
            <w:tcW w:w="1642" w:type="dxa"/>
          </w:tcPr>
          <w:p w14:paraId="07832D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642" w:type="dxa"/>
          </w:tcPr>
          <w:p w14:paraId="4E7CB1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10.46</w:t>
            </w:r>
          </w:p>
        </w:tc>
        <w:tc>
          <w:tcPr>
            <w:tcW w:w="1642" w:type="dxa"/>
          </w:tcPr>
          <w:p w14:paraId="20A999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642" w:type="dxa"/>
          </w:tcPr>
          <w:p w14:paraId="256C0F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35.27</w:t>
            </w:r>
          </w:p>
        </w:tc>
      </w:tr>
      <w:tr w:rsidR="007D5DF8" w:rsidRPr="00DB5D0D" w14:paraId="49D4673E" w14:textId="77777777" w:rsidTr="00E543D0">
        <w:tc>
          <w:tcPr>
            <w:tcW w:w="1642" w:type="dxa"/>
          </w:tcPr>
          <w:p w14:paraId="412C9B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полетов на расходы</w:t>
            </w:r>
          </w:p>
        </w:tc>
        <w:tc>
          <w:tcPr>
            <w:tcW w:w="1642" w:type="dxa"/>
          </w:tcPr>
          <w:p w14:paraId="67505A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642" w:type="dxa"/>
          </w:tcPr>
          <w:p w14:paraId="109F8C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642" w:type="dxa"/>
          </w:tcPr>
          <w:p w14:paraId="53DF8C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13.15</w:t>
            </w:r>
          </w:p>
        </w:tc>
        <w:tc>
          <w:tcPr>
            <w:tcW w:w="1642" w:type="dxa"/>
          </w:tcPr>
          <w:p w14:paraId="421B53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642" w:type="dxa"/>
          </w:tcPr>
          <w:p w14:paraId="2D573D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13.05</w:t>
            </w:r>
          </w:p>
        </w:tc>
        <w:tc>
          <w:tcPr>
            <w:tcW w:w="1642" w:type="dxa"/>
          </w:tcPr>
          <w:p w14:paraId="06D8E4F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B15D699" w14:textId="77777777" w:rsidTr="00E543D0">
        <w:tc>
          <w:tcPr>
            <w:tcW w:w="1642" w:type="dxa"/>
            <w:tcBorders>
              <w:bottom w:val="single" w:sz="12" w:space="0" w:color="auto"/>
            </w:tcBorders>
          </w:tcPr>
          <w:p w14:paraId="7489800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Borders>
              <w:bottom w:val="single" w:sz="12" w:space="0" w:color="auto"/>
            </w:tcBorders>
          </w:tcPr>
          <w:p w14:paraId="5A006E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1642" w:type="dxa"/>
            <w:tcBorders>
              <w:bottom w:val="single" w:sz="12" w:space="0" w:color="auto"/>
            </w:tcBorders>
          </w:tcPr>
          <w:p w14:paraId="5DADFA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61.25</w:t>
            </w:r>
          </w:p>
        </w:tc>
        <w:tc>
          <w:tcPr>
            <w:tcW w:w="1642" w:type="dxa"/>
            <w:tcBorders>
              <w:bottom w:val="single" w:sz="12" w:space="0" w:color="auto"/>
            </w:tcBorders>
          </w:tcPr>
          <w:p w14:paraId="766B56B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Borders>
              <w:bottom w:val="single" w:sz="12" w:space="0" w:color="auto"/>
            </w:tcBorders>
          </w:tcPr>
          <w:p w14:paraId="0EEAB7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Borders>
              <w:bottom w:val="single" w:sz="12" w:space="0" w:color="auto"/>
            </w:tcBorders>
          </w:tcPr>
          <w:p w14:paraId="5D9CB6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Borders>
              <w:bottom w:val="single" w:sz="12" w:space="0" w:color="auto"/>
            </w:tcBorders>
          </w:tcPr>
          <w:p w14:paraId="60146FE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5FD671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подготовляется к перелету на 5000 км.</w:t>
      </w:r>
    </w:p>
    <w:p w14:paraId="40D553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Подготовка экипажа.</w:t>
      </w:r>
    </w:p>
    <w:p w14:paraId="530141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Экипажем закончена программа летной тренировки. Отработаны взлеты с прогрессивной нагрузкой до 11,5 тонн, посадка с тяжелым весом 9,0 тонн, слепые полеты, полеты в облаках и при обледенении (10.VI). Всего сделано 40 полетов.</w:t>
      </w:r>
    </w:p>
    <w:p w14:paraId="7237D1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 время длительных полетов на замер расходов, экипаж тренировался по радио связи (5 полетов).</w:t>
      </w:r>
    </w:p>
    <w:p w14:paraId="62686D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Сделаны специальные полеты по курсовождению на маршрутах.</w:t>
      </w:r>
    </w:p>
    <w:p w14:paraId="5B4A0D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Выполнен ночной полет на ТБ-3 на ориентировку 2 ч. 30 м.</w:t>
      </w:r>
    </w:p>
    <w:p w14:paraId="42F867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Земная подготовка по радио связи закончена. Отработано:</w:t>
      </w:r>
    </w:p>
    <w:p w14:paraId="4E9ACC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работа на ключе</w:t>
      </w:r>
    </w:p>
    <w:p w14:paraId="23A3B8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прием</w:t>
      </w:r>
    </w:p>
    <w:p w14:paraId="5AEA89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тренировка по кодам (1313,49).</w:t>
      </w:r>
    </w:p>
    <w:p w14:paraId="72A5178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8415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состоялось совещание правительственной комиссии по перелету тт. Нестеренко, Михалевой и Русановой. Присутствовали чл. комиссии А.И.Ш., Пересыпкин, Федоров, Рычагов и приглашенные. Слушали о подготовке матчасти - все готово Н1 - 14 полетов, Н2 - 55 полетов, о подготовке экипажа (Нестеренко - 82 час. (135 полетов) на ДБ-3, Михалева - 47 час., штурманская подготовка - 231 час. занятий и сделано 38 полетов) - закончена, прогноз погоды - хороший. Следующее заседание назначили в Раменском в 8 отд. ЦАГИ - 8 июля в 13 час. (2102,13).</w:t>
      </w:r>
    </w:p>
    <w:p w14:paraId="603A5E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Протокол</w:t>
      </w:r>
    </w:p>
    <w:p w14:paraId="3A5447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совещания правительственной комиссии по перелету</w:t>
      </w:r>
    </w:p>
    <w:p w14:paraId="4E3690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Нестеренко, Михалевой и Русаковой 1-го июля 1940 года.</w:t>
      </w:r>
    </w:p>
    <w:p w14:paraId="1E4D4D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Присутствовали: члены комиссии</w:t>
      </w:r>
    </w:p>
    <w:p w14:paraId="169F27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 Пересыпкин, Федоров, Рычагов.</w:t>
      </w:r>
    </w:p>
    <w:p w14:paraId="72B89D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Приглашенные:</w:t>
      </w:r>
    </w:p>
    <w:p w14:paraId="2F9037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Нестеренко, Михалева, Русакова, Антонов, Хорецкий, Лапшин, Устинов, Беляков М.В., Гусев, Крюков, Молчанов, Журавлев, Анищенков, Гиллер, Потемкин, Митителло.</w:t>
      </w:r>
    </w:p>
    <w:p w14:paraId="4ABAEE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w:t>
      </w:r>
    </w:p>
    <w:p w14:paraId="0057A6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подготовке материальной части - докладчик ведущий инженер Петров К.А.</w:t>
      </w:r>
    </w:p>
    <w:p w14:paraId="3D959D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ЦКБ-30 Н-1 сделал 14 полетов, самолет ЦКБ-30 Н-2 - 55 полетов. За время полетной работы имел место ряд неполадок: с электротахометрами, радиокомпасом, винтами, колонками привода к помпам автопилота, маслотурбопроводом, автопилота, масломагистрали на моторе, газоанализаторами, компасами и трехстрелочным индикатором.</w:t>
      </w:r>
    </w:p>
    <w:p w14:paraId="2FC7B9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самолетах были произведены замеры расхода горючего в полете. самолет Н-1 вполне годен к совершению дальнего беспосадочного полета. Самолет Н-2 полностью подготовлен для полета по треугольнику Москва-Свердловск-Севастополь-Москва (см. приложение).</w:t>
      </w:r>
    </w:p>
    <w:p w14:paraId="1C280E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Постановили:</w:t>
      </w:r>
    </w:p>
    <w:p w14:paraId="47B1EE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Установить причины имевших место перерасхода горючего в полете и еще раз проверить в дополнительных полетах как расходы, так и саму систему бензопитания на основном самолете с вторым комплектом моторов.</w:t>
      </w:r>
    </w:p>
    <w:p w14:paraId="101317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После монтажа моторов в Хабаровске проверить расходы на рекордной машине во время пробных полетов.</w:t>
      </w:r>
    </w:p>
    <w:p w14:paraId="478779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Тщательно проверить работу всех приборов рекордного самолета, без чего в Хабаровск его не выпускать.</w:t>
      </w:r>
    </w:p>
    <w:p w14:paraId="334F61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После треугольника и после пробных полетов в Хабаровск еще раз заслушать вопрос о состоянии матчасти и расхода горючего (1313,58).</w:t>
      </w:r>
    </w:p>
    <w:p w14:paraId="076DA2E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0F93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года вед. инженер Петров писал письмо начальнику штаба перелета Антонову.</w:t>
      </w:r>
    </w:p>
    <w:p w14:paraId="3490A0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состоянии материальной части самолетов</w:t>
      </w:r>
    </w:p>
    <w:p w14:paraId="2B5B7C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"ЦКБ-30Н1" и "ЦКБ-30Н2" по состоянию на</w:t>
      </w:r>
    </w:p>
    <w:p w14:paraId="6FC935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 июля 1940 года.</w:t>
      </w:r>
    </w:p>
    <w:p w14:paraId="151A64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период со времени последнего заседания Правительственной комиссии, то есть с 7.VI.40 г. на самолете "ЦКБ-30-Н2" было сделано 9 полетов и на "ЦКБ-30-Н1" - 13 полетов.</w:t>
      </w:r>
    </w:p>
    <w:p w14:paraId="309189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момента же выпуска этих самолетов - самолет "ЦКБ-30-Н2" имеет 55 посадок и самолет "ЦКБ-30-Н1" - 14 посадок.</w:t>
      </w:r>
    </w:p>
    <w:p w14:paraId="5A648B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ходу выполнения плана.</w:t>
      </w:r>
    </w:p>
    <w:p w14:paraId="5E3789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самолета "ЦКБ-30-Н1" в Раменское намечался 7.VI, выполнен 8.VI-40 г.</w:t>
      </w:r>
    </w:p>
    <w:p w14:paraId="138FBA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Проверка девиации компасов в полете намечалась 8.VI, выполнена 14.VI-40 г.</w:t>
      </w:r>
    </w:p>
    <w:p w14:paraId="0C035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Передача самолета экипажу намечалась на 15.VI-40 г., выполнена 16.VI-40 г.</w:t>
      </w:r>
    </w:p>
    <w:p w14:paraId="786B1B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Опоздание на 5-6 дней идет, в основном, по вине материальной части и нелетной погоды.</w:t>
      </w:r>
    </w:p>
    <w:p w14:paraId="4011C9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1.Снимали с самолета почти весь радиополукомпас для доводки на заводе N 203.</w:t>
      </w:r>
    </w:p>
    <w:p w14:paraId="0578F8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Неоднократно заменялись частями и целиком электротахометры завода 230.</w:t>
      </w:r>
    </w:p>
    <w:p w14:paraId="0CE8C7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Снимались винты, изменялся угол установки (на 26 градусов и 36 градусов).</w:t>
      </w:r>
    </w:p>
    <w:p w14:paraId="59471F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Сменили дважды колонки привода к помпам автопилота зав. 29 (двукратная поломка).</w:t>
      </w:r>
    </w:p>
    <w:p w14:paraId="187F2C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Дважды имело место разрушение маслотрубопровода в системе проводки автопилота (аналогичное по своему характеру разрушению, имевшему место на самолете "Москва" в 1939 г.).</w:t>
      </w:r>
    </w:p>
    <w:p w14:paraId="61D787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Разрушилась трубка масломагистрали на моторе (завода 29).</w:t>
      </w:r>
    </w:p>
    <w:p w14:paraId="246A54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Периодически отказывают газоанализаторы (зав. 278).</w:t>
      </w:r>
    </w:p>
    <w:p w14:paraId="1E45A7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Отказал компас, летный и трехстрелочный индикатор (завод 213).</w:t>
      </w:r>
    </w:p>
    <w:p w14:paraId="7136D8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эти дефекты немедленно в процессе устранялись и исправлялись.</w:t>
      </w:r>
    </w:p>
    <w:p w14:paraId="6015BC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Материальная часть, согласно программы, будет дополнительно проверена как в процессе подготовки самолета к перелету, так и во время перелета на Дальний Восток.</w:t>
      </w:r>
    </w:p>
    <w:p w14:paraId="3CE588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остальной части самолет опробован, испытан и проверен; судя по отзывам летчиков-истребителей и экипажа, самолет имеет хорошие летные качества и является вполне годным к совершению дальнего беспосадочного полета.</w:t>
      </w:r>
    </w:p>
    <w:p w14:paraId="4CBFD3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винтомоторной группы до перелета на Восток, согласно программы, закончены, и по результатам испытания как в смысле расходов, так и качества работы, признаны годными, удовлетворяющими условиям дальнего перелета.</w:t>
      </w:r>
    </w:p>
    <w:p w14:paraId="762110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законсервированы, демонтированы, упакованы и отправлены в Хабаровск с поездом N 42 - 30.VI.40 г. (1313,61).</w:t>
      </w:r>
    </w:p>
    <w:p w14:paraId="6D71413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CE00F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июля РПК-2 требовали на всех ДБ- ЗФ. Реально количество машин с РПК-2 определялось поставками их от радиопромышленности. Завод № 39 ставил их примерно на каждый третий бомбардировщик, № 18 - на каждый пятый.</w:t>
      </w:r>
    </w:p>
    <w:p w14:paraId="2AC491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Постепенное старение ДБ-3, который уже никак нельзя было назвать скоростным бомбардировщиком, заставило задуматься о его ночном применении и вообще о проблемах "слепого" самолетовождения. Еще до этого в состав оборудования дальних бомбардировщиков пытались включить радиополукомпас РПК-2. С ними выпускались отдельные серии или просто одиночные машины (12021).</w:t>
      </w:r>
    </w:p>
    <w:p w14:paraId="5206C31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77F35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июля 1940 года Начальник ВВС генерал-лейтенант авиации Смушкевич и Военком ВВС дивизионный комиссар Агальцов утвердили Тактико-технические требования к самолету пикирующему бомбардировщику с двумя моторами М-105 конструкции ОТБ НКВД (Модификация на базе высотного истребителя «100») (6621).</w:t>
      </w:r>
    </w:p>
    <w:p w14:paraId="5CBF5F9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Часть I</w:t>
      </w:r>
    </w:p>
    <w:p w14:paraId="34C22D6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Пикирующий бомбардировщик с двумя моторами М-105 является модификацией на базе высотного истребителя перехватчика «100». При настоящей модификации все основные элементы самолета «100» (крыло, центроплан, шасси, оперение) должны оставаться высотного истребителя перехватчика «100». Конструктором должна быть предусмотрена возможность выпускать строящим заводом без ломки основных методов производства самолет «100» в любом его варианте:</w:t>
      </w:r>
    </w:p>
    <w:p w14:paraId="18544ED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как высотного истребителя перехватчика с герметической кабиной;</w:t>
      </w:r>
    </w:p>
    <w:p w14:paraId="75623F9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так и пикирующего бомбардировщика без герметической кабины.</w:t>
      </w:r>
    </w:p>
    <w:p w14:paraId="552E4C6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самолета</w:t>
      </w:r>
    </w:p>
    <w:p w14:paraId="6C35453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«100» как пикирующий бомбардировщик предназначается для действий в оперативном тылу и на поле боя по малоразмерным, особо прочным целям, как с пикирующего, так и горизонтального полета.</w:t>
      </w:r>
    </w:p>
    <w:p w14:paraId="52ACFAE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«100» предназначается также для действий по морскому флоту противника.</w:t>
      </w:r>
    </w:p>
    <w:p w14:paraId="5121C16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технические требования</w:t>
      </w:r>
    </w:p>
    <w:p w14:paraId="1704D486"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Действие на различных высотах до практического потолка включительно, как днем, так и ночью и в сложных метеорологических условиях.</w:t>
      </w:r>
    </w:p>
    <w:p w14:paraId="2F59DF30"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Наличие отличного обзора у летчика в передней полусфере, обеспечивающего выход на цель, определение начала пикирования и прицеливания для бомбометания. Обеспечение обзора летчику поверх капота вперед-вниз, а также через окно вниз.</w:t>
      </w:r>
    </w:p>
    <w:p w14:paraId="25D40B5B"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Обзор у штурмана должен обеспечивать удобство выполнения общей и детальной ориентировки, выполнение бомбометания с горизонтального полета и вывод на цель для бомбометания с пикирования.</w:t>
      </w:r>
    </w:p>
    <w:p w14:paraId="52C47082"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Обеспечение личной и непосредственной связи штурмана с летчиком. Штурман должен иметь возможность непосредственно указать летчику цель, на которую необходимо произвести нападение с пикирования.</w:t>
      </w:r>
    </w:p>
    <w:p w14:paraId="551D0BE2"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Наводка на цель, прицеливание и сбрасывание бомб на пикирующем полете осуществляется летчиком, на горизонтальном полете – штурманом.</w:t>
      </w:r>
    </w:p>
    <w:p w14:paraId="565DC314"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Наличие воздушных тормозов для бомбардирования с установившейся скоростью пикирования не превышающей 550 км/час и автомата для вывода самолета из пикирования.</w:t>
      </w:r>
    </w:p>
    <w:p w14:paraId="6611B845"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Обеспечение возможности наблюдения за положением бомб в полете хотя бы одним из лиц экипажа.</w:t>
      </w:r>
    </w:p>
    <w:p w14:paraId="50D71F62"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Бомбы наружной подвески при пикировании на одном боевом курсе сбрасываются залпом.</w:t>
      </w:r>
    </w:p>
    <w:p w14:paraId="67DBD727"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Бомбы внутренней подвески сбрасываются при горизонтальном бомбардировании. Порядок сбрасывания – одиночно, сериями, сериями залпов, залпом.</w:t>
      </w:r>
    </w:p>
    <w:p w14:paraId="77D9EA3A"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Бомбы из К-76 сбрасываются при выходе из пикирования.</w:t>
      </w:r>
    </w:p>
    <w:p w14:paraId="7DFBA4F5"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Экипаж самолета должен быть защищен броней. Живучесть самолета должна быть повышена за счет установки протектированных бензиновых баков с заполнением последних нейтральным газом, а также установкой антиобледенителей (тип кожаный). Должна быть предусмотрена возможность установки протекторов на масляных баках.</w:t>
      </w:r>
    </w:p>
    <w:p w14:paraId="39F44ECE"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9. Должна быть обеспечена возможность фотографирования разрывов бомб при выходе из пикирования, а также в момент ухода от цели.</w:t>
      </w:r>
    </w:p>
    <w:p w14:paraId="6C7FFBC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Летно-тактические данные</w:t>
      </w:r>
    </w:p>
    <w:p w14:paraId="04EB751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5000 м – 525-540 км/час</w:t>
      </w:r>
    </w:p>
    <w:p w14:paraId="57F88F6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пикирования с применением воздушных тормозов …… не должна превышать – 550 км/час</w:t>
      </w:r>
    </w:p>
    <w:p w14:paraId="75A2799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120 км/час</w:t>
      </w:r>
    </w:p>
    <w:p w14:paraId="7520B7B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9500 м</w:t>
      </w:r>
    </w:p>
    <w:p w14:paraId="03355B3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Техническая дальность полета на 0,9 Vmax – 1500 км</w:t>
      </w:r>
    </w:p>
    <w:p w14:paraId="30F96EE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w:t>
      </w:r>
    </w:p>
    <w:p w14:paraId="6C205B8D"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Летчик, штурман, стрелок –радист из люковой огневой точки.</w:t>
      </w:r>
    </w:p>
    <w:p w14:paraId="30651394"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Размещение экипажа: летчик и штурман в одной кабине. Штурман сидит сзади, сбоку летчика.</w:t>
      </w:r>
    </w:p>
    <w:p w14:paraId="30ACE936"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Стрелок-радист находится в задней кабине.</w:t>
      </w:r>
    </w:p>
    <w:p w14:paraId="747B8B4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w:t>
      </w:r>
    </w:p>
    <w:p w14:paraId="429B8B72"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Стрелковое</w:t>
      </w:r>
    </w:p>
    <w:p w14:paraId="64416E1A"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Два пулемета Шкас калибра 7,62 мм , установленные неподвижно для стрельбы наводкой самолетом.</w:t>
      </w:r>
    </w:p>
    <w:p w14:paraId="3D29C58B"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Боезапас на ствол – 450 патронов.</w:t>
      </w:r>
    </w:p>
    <w:p w14:paraId="068C4722"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Один пулемет Шкас калибра 7,62 мм с запасом патрон 750 шт. для обстрела задней части верхней полусферы.</w:t>
      </w:r>
    </w:p>
    <w:p w14:paraId="4E918A77"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Один пулемет Шкас калибра 7,62 мм с запасом патрон 750 шт. для обстрела задней части нижней полусферы.</w:t>
      </w:r>
    </w:p>
    <w:p w14:paraId="4079CA0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w:t>
      </w:r>
    </w:p>
    <w:p w14:paraId="1B483D5F"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1. Бомбовая нагрузка самолета устанавливается:</w:t>
      </w:r>
    </w:p>
    <w:p w14:paraId="3D671C4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 нормальном варианте 600 кг</w:t>
      </w:r>
    </w:p>
    <w:p w14:paraId="37B4EDE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перегрузочном варианте 1000 кг</w:t>
      </w:r>
    </w:p>
    <w:p w14:paraId="331727B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Бомбардировочное вооружение самолета должно состоять:</w:t>
      </w:r>
    </w:p>
    <w:p w14:paraId="1A5B297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 нормальных бомб с обычным оперением,</w:t>
      </w:r>
    </w:p>
    <w:p w14:paraId="3652847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 артснарядов без оперения, калибра 76 мм для поражения воздушных и земных целей методом выхода из пикирования.</w:t>
      </w:r>
    </w:p>
    <w:p w14:paraId="16B1631D"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3. Крепление бомб как в бомболюках, так и на наружной подвеске должно обеспечивать от возможного раскачивания их на всех режимах полета, особенно на пикировании.</w:t>
      </w:r>
    </w:p>
    <w:p w14:paraId="2E340FC0" w14:textId="77777777" w:rsidR="003C7E8B" w:rsidRPr="00DB5D0D" w:rsidRDefault="003C7E8B" w:rsidP="00DB5D0D">
      <w:pPr>
        <w:pStyle w:val="a3"/>
        <w:widowControl/>
        <w:tabs>
          <w:tab w:val="left" w:pos="360"/>
          <w:tab w:val="left" w:pos="11199"/>
        </w:tabs>
        <w:rPr>
          <w:color w:val="000000" w:themeColor="text1"/>
          <w:lang w:val="ru-RU"/>
        </w:rPr>
      </w:pPr>
      <w:r w:rsidRPr="00DB5D0D">
        <w:rPr>
          <w:color w:val="000000" w:themeColor="text1"/>
          <w:lang w:val="ru-RU"/>
        </w:rPr>
        <w:t>На самолете должны быть предусмотрены следующие варианты бомбовой нагрузки: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7D5DF8" w:rsidRPr="00DB5D0D" w14:paraId="38AB60E1" w14:textId="77777777" w:rsidTr="00E543D0">
        <w:tc>
          <w:tcPr>
            <w:tcW w:w="2214" w:type="dxa"/>
          </w:tcPr>
          <w:p w14:paraId="1E4D05C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Калибр бомб</w:t>
            </w:r>
          </w:p>
        </w:tc>
        <w:tc>
          <w:tcPr>
            <w:tcW w:w="2214" w:type="dxa"/>
          </w:tcPr>
          <w:p w14:paraId="0BE372A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Внутри фюзеляжа (кол-во бомб)</w:t>
            </w:r>
          </w:p>
        </w:tc>
        <w:tc>
          <w:tcPr>
            <w:tcW w:w="2214" w:type="dxa"/>
          </w:tcPr>
          <w:p w14:paraId="2FB1E52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Снаружи фюзеляжа (кол-во бомб)</w:t>
            </w:r>
          </w:p>
        </w:tc>
        <w:tc>
          <w:tcPr>
            <w:tcW w:w="2214" w:type="dxa"/>
          </w:tcPr>
          <w:p w14:paraId="56AFFDE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Общий вес</w:t>
            </w:r>
          </w:p>
        </w:tc>
      </w:tr>
      <w:tr w:rsidR="007D5DF8" w:rsidRPr="00DB5D0D" w14:paraId="25B57B1D" w14:textId="77777777" w:rsidTr="00E543D0">
        <w:tc>
          <w:tcPr>
            <w:tcW w:w="2214" w:type="dxa"/>
          </w:tcPr>
          <w:p w14:paraId="21B05DC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ФАБ-500</w:t>
            </w:r>
          </w:p>
        </w:tc>
        <w:tc>
          <w:tcPr>
            <w:tcW w:w="2214" w:type="dxa"/>
          </w:tcPr>
          <w:p w14:paraId="060B2E9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14" w:type="dxa"/>
          </w:tcPr>
          <w:p w14:paraId="7606CAF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214" w:type="dxa"/>
          </w:tcPr>
          <w:p w14:paraId="7DA45DF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7507A3CD" w14:textId="77777777" w:rsidTr="00E543D0">
        <w:tc>
          <w:tcPr>
            <w:tcW w:w="2214" w:type="dxa"/>
          </w:tcPr>
          <w:p w14:paraId="3E40CBC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БРАБ-500</w:t>
            </w:r>
          </w:p>
        </w:tc>
        <w:tc>
          <w:tcPr>
            <w:tcW w:w="2214" w:type="dxa"/>
          </w:tcPr>
          <w:p w14:paraId="56D716C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14" w:type="dxa"/>
          </w:tcPr>
          <w:p w14:paraId="149240B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214" w:type="dxa"/>
          </w:tcPr>
          <w:p w14:paraId="49CA681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600FF809" w14:textId="77777777" w:rsidTr="00E543D0">
        <w:tc>
          <w:tcPr>
            <w:tcW w:w="2214" w:type="dxa"/>
          </w:tcPr>
          <w:p w14:paraId="4123D5D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ХАБ-500</w:t>
            </w:r>
          </w:p>
        </w:tc>
        <w:tc>
          <w:tcPr>
            <w:tcW w:w="2214" w:type="dxa"/>
          </w:tcPr>
          <w:p w14:paraId="16CEDE4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14" w:type="dxa"/>
          </w:tcPr>
          <w:p w14:paraId="1932802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214" w:type="dxa"/>
          </w:tcPr>
          <w:p w14:paraId="416BCFC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43AB4FBA" w14:textId="77777777" w:rsidTr="00E543D0">
        <w:tc>
          <w:tcPr>
            <w:tcW w:w="2214" w:type="dxa"/>
          </w:tcPr>
          <w:p w14:paraId="5FAB682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ФАБ-250</w:t>
            </w:r>
          </w:p>
        </w:tc>
        <w:tc>
          <w:tcPr>
            <w:tcW w:w="2214" w:type="dxa"/>
          </w:tcPr>
          <w:p w14:paraId="4DC890A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14" w:type="dxa"/>
          </w:tcPr>
          <w:p w14:paraId="2262AF7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214" w:type="dxa"/>
          </w:tcPr>
          <w:p w14:paraId="3EF121D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3DB089CF" w14:textId="77777777" w:rsidTr="00E543D0">
        <w:tc>
          <w:tcPr>
            <w:tcW w:w="2214" w:type="dxa"/>
          </w:tcPr>
          <w:p w14:paraId="1E1E75A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БРАБ-200 ДС</w:t>
            </w:r>
          </w:p>
        </w:tc>
        <w:tc>
          <w:tcPr>
            <w:tcW w:w="2214" w:type="dxa"/>
          </w:tcPr>
          <w:p w14:paraId="119359E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14" w:type="dxa"/>
          </w:tcPr>
          <w:p w14:paraId="5CED10D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214" w:type="dxa"/>
          </w:tcPr>
          <w:p w14:paraId="0DACEA9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r>
      <w:tr w:rsidR="007D5DF8" w:rsidRPr="00DB5D0D" w14:paraId="0638BA4C" w14:textId="77777777" w:rsidTr="00E543D0">
        <w:tc>
          <w:tcPr>
            <w:tcW w:w="2214" w:type="dxa"/>
          </w:tcPr>
          <w:p w14:paraId="38A393B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БЕТАБ-150 ДС</w:t>
            </w:r>
          </w:p>
        </w:tc>
        <w:tc>
          <w:tcPr>
            <w:tcW w:w="2214" w:type="dxa"/>
          </w:tcPr>
          <w:p w14:paraId="7666417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14" w:type="dxa"/>
          </w:tcPr>
          <w:p w14:paraId="4BEB8E8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214" w:type="dxa"/>
          </w:tcPr>
          <w:p w14:paraId="26C8F3A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r>
      <w:tr w:rsidR="007D5DF8" w:rsidRPr="00DB5D0D" w14:paraId="3F41FE13" w14:textId="77777777" w:rsidTr="00E543D0">
        <w:tc>
          <w:tcPr>
            <w:tcW w:w="2214" w:type="dxa"/>
          </w:tcPr>
          <w:p w14:paraId="494F9A8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ФАБ-100</w:t>
            </w:r>
          </w:p>
        </w:tc>
        <w:tc>
          <w:tcPr>
            <w:tcW w:w="2214" w:type="dxa"/>
          </w:tcPr>
          <w:p w14:paraId="0DE8DBC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2214" w:type="dxa"/>
          </w:tcPr>
          <w:p w14:paraId="39434E5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214" w:type="dxa"/>
          </w:tcPr>
          <w:p w14:paraId="6621F1B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144A0031" w14:textId="77777777" w:rsidTr="00E543D0">
        <w:tc>
          <w:tcPr>
            <w:tcW w:w="2214" w:type="dxa"/>
          </w:tcPr>
          <w:p w14:paraId="61BCF28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ФАБ-50</w:t>
            </w:r>
          </w:p>
        </w:tc>
        <w:tc>
          <w:tcPr>
            <w:tcW w:w="2214" w:type="dxa"/>
          </w:tcPr>
          <w:p w14:paraId="28B0CD6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2214" w:type="dxa"/>
          </w:tcPr>
          <w:p w14:paraId="21C5CB2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214" w:type="dxa"/>
          </w:tcPr>
          <w:p w14:paraId="3C0E867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640B01A4" w14:textId="77777777" w:rsidTr="00E543D0">
        <w:tc>
          <w:tcPr>
            <w:tcW w:w="2214" w:type="dxa"/>
          </w:tcPr>
          <w:p w14:paraId="75F613A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АО 20</w:t>
            </w:r>
          </w:p>
        </w:tc>
        <w:tc>
          <w:tcPr>
            <w:tcW w:w="2214" w:type="dxa"/>
          </w:tcPr>
          <w:p w14:paraId="7C5D65F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2214" w:type="dxa"/>
          </w:tcPr>
          <w:p w14:paraId="261E268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14" w:type="dxa"/>
          </w:tcPr>
          <w:p w14:paraId="6DB8C28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r>
      <w:tr w:rsidR="007D5DF8" w:rsidRPr="00DB5D0D" w14:paraId="6CE31C32" w14:textId="77777777" w:rsidTr="00E543D0">
        <w:tc>
          <w:tcPr>
            <w:tcW w:w="2214" w:type="dxa"/>
          </w:tcPr>
          <w:p w14:paraId="154AD9B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АО 10</w:t>
            </w:r>
          </w:p>
        </w:tc>
        <w:tc>
          <w:tcPr>
            <w:tcW w:w="2214" w:type="dxa"/>
          </w:tcPr>
          <w:p w14:paraId="738EA22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2214" w:type="dxa"/>
          </w:tcPr>
          <w:p w14:paraId="41EFDB9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14" w:type="dxa"/>
          </w:tcPr>
          <w:p w14:paraId="29C7B12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r>
      <w:tr w:rsidR="007D5DF8" w:rsidRPr="00DB5D0D" w14:paraId="6333B443" w14:textId="77777777" w:rsidTr="00E543D0">
        <w:tc>
          <w:tcPr>
            <w:tcW w:w="2214" w:type="dxa"/>
          </w:tcPr>
          <w:p w14:paraId="5FBDA8D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АО 8</w:t>
            </w:r>
          </w:p>
        </w:tc>
        <w:tc>
          <w:tcPr>
            <w:tcW w:w="2214" w:type="dxa"/>
          </w:tcPr>
          <w:p w14:paraId="0A042C7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w:t>
            </w:r>
          </w:p>
        </w:tc>
        <w:tc>
          <w:tcPr>
            <w:tcW w:w="2214" w:type="dxa"/>
          </w:tcPr>
          <w:p w14:paraId="5D2B50B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14" w:type="dxa"/>
          </w:tcPr>
          <w:p w14:paraId="61C5254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384</w:t>
            </w:r>
          </w:p>
        </w:tc>
      </w:tr>
      <w:tr w:rsidR="007D5DF8" w:rsidRPr="00DB5D0D" w14:paraId="5C9D40DD" w14:textId="77777777" w:rsidTr="00E543D0">
        <w:tc>
          <w:tcPr>
            <w:tcW w:w="2214" w:type="dxa"/>
          </w:tcPr>
          <w:p w14:paraId="5197534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АО 2,5</w:t>
            </w:r>
          </w:p>
        </w:tc>
        <w:tc>
          <w:tcPr>
            <w:tcW w:w="2214" w:type="dxa"/>
          </w:tcPr>
          <w:p w14:paraId="35624B3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w:t>
            </w:r>
          </w:p>
        </w:tc>
        <w:tc>
          <w:tcPr>
            <w:tcW w:w="2214" w:type="dxa"/>
          </w:tcPr>
          <w:p w14:paraId="16ED66D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14" w:type="dxa"/>
          </w:tcPr>
          <w:p w14:paraId="2C8DF28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480</w:t>
            </w:r>
          </w:p>
        </w:tc>
      </w:tr>
      <w:tr w:rsidR="007D5DF8" w:rsidRPr="00DB5D0D" w14:paraId="0D641980" w14:textId="77777777" w:rsidTr="00E543D0">
        <w:tc>
          <w:tcPr>
            <w:tcW w:w="2214" w:type="dxa"/>
          </w:tcPr>
          <w:p w14:paraId="17CE3DB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 125</w:t>
            </w:r>
          </w:p>
        </w:tc>
        <w:tc>
          <w:tcPr>
            <w:tcW w:w="2214" w:type="dxa"/>
          </w:tcPr>
          <w:p w14:paraId="5E238B9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312</w:t>
            </w:r>
          </w:p>
        </w:tc>
        <w:tc>
          <w:tcPr>
            <w:tcW w:w="2214" w:type="dxa"/>
          </w:tcPr>
          <w:p w14:paraId="14AF43C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tc>
        <w:tc>
          <w:tcPr>
            <w:tcW w:w="2214" w:type="dxa"/>
          </w:tcPr>
          <w:p w14:paraId="22C8D36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tc>
      </w:tr>
    </w:tbl>
    <w:p w14:paraId="5433049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(6621).</w:t>
      </w:r>
    </w:p>
    <w:p w14:paraId="4444CEF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EC451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 вышло Постановление Комитета обороны. Постановлением предусматривалось изготовление на заводе № 156 трех "двухмоторных пикирующих бомбардировщиков ОТБ НКВД", причем первый экземпляр - с моторами АМ-35А, а два других - с М-120ТК. Прежние сроки готовности признали нереальными, поэтому первая машина должна была выйти из цеха 1 января, вторая - 1 марта, третья - 1 мая 1941 г.</w:t>
      </w:r>
    </w:p>
    <w:p w14:paraId="6C6E63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Расчетные данные самолета ФБ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7D5DF8" w:rsidRPr="00DB5D0D" w14:paraId="4EC0EFCF" w14:textId="77777777" w:rsidTr="00E543D0">
        <w:tc>
          <w:tcPr>
            <w:tcW w:w="3736" w:type="dxa"/>
            <w:tcBorders>
              <w:top w:val="single" w:sz="12" w:space="0" w:color="auto"/>
            </w:tcBorders>
          </w:tcPr>
          <w:p w14:paraId="61E7A3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ФБ (февраль 1940 г.)</w:t>
            </w:r>
          </w:p>
        </w:tc>
        <w:tc>
          <w:tcPr>
            <w:tcW w:w="3736" w:type="dxa"/>
            <w:tcBorders>
              <w:top w:val="single" w:sz="12" w:space="0" w:color="auto"/>
            </w:tcBorders>
          </w:tcPr>
          <w:p w14:paraId="0E89C3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ФБ (апрель 1940 г.)</w:t>
            </w:r>
          </w:p>
        </w:tc>
        <w:tc>
          <w:tcPr>
            <w:tcW w:w="3736" w:type="dxa"/>
            <w:tcBorders>
              <w:top w:val="single" w:sz="12" w:space="0" w:color="auto"/>
            </w:tcBorders>
          </w:tcPr>
          <w:p w14:paraId="561DC2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A2B8362" w14:textId="77777777" w:rsidTr="00E543D0">
        <w:tc>
          <w:tcPr>
            <w:tcW w:w="3736" w:type="dxa"/>
          </w:tcPr>
          <w:p w14:paraId="5ABCB7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w:t>
            </w:r>
          </w:p>
        </w:tc>
        <w:tc>
          <w:tcPr>
            <w:tcW w:w="3736" w:type="dxa"/>
          </w:tcPr>
          <w:p w14:paraId="14C792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2хМ-120ТК</w:t>
            </w:r>
          </w:p>
        </w:tc>
        <w:tc>
          <w:tcPr>
            <w:tcW w:w="3736" w:type="dxa"/>
          </w:tcPr>
          <w:p w14:paraId="47516F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2хДМ-35А</w:t>
            </w:r>
          </w:p>
        </w:tc>
      </w:tr>
      <w:tr w:rsidR="007D5DF8" w:rsidRPr="00DB5D0D" w14:paraId="4A762013" w14:textId="77777777" w:rsidTr="00E543D0">
        <w:tc>
          <w:tcPr>
            <w:tcW w:w="3736" w:type="dxa"/>
          </w:tcPr>
          <w:p w14:paraId="125C0C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крыла, м</w:t>
            </w:r>
          </w:p>
        </w:tc>
        <w:tc>
          <w:tcPr>
            <w:tcW w:w="3736" w:type="dxa"/>
          </w:tcPr>
          <w:p w14:paraId="705BA2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3736" w:type="dxa"/>
          </w:tcPr>
          <w:p w14:paraId="0688D5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18,7</w:t>
            </w:r>
          </w:p>
        </w:tc>
      </w:tr>
      <w:tr w:rsidR="007D5DF8" w:rsidRPr="00DB5D0D" w14:paraId="67C7B50D" w14:textId="77777777" w:rsidTr="00E543D0">
        <w:tc>
          <w:tcPr>
            <w:tcW w:w="3736" w:type="dxa"/>
          </w:tcPr>
          <w:p w14:paraId="30B951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м2</w:t>
            </w:r>
          </w:p>
        </w:tc>
        <w:tc>
          <w:tcPr>
            <w:tcW w:w="3736" w:type="dxa"/>
          </w:tcPr>
          <w:p w14:paraId="506BB7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3736" w:type="dxa"/>
          </w:tcPr>
          <w:p w14:paraId="4F681A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w:t>
            </w:r>
          </w:p>
        </w:tc>
      </w:tr>
      <w:tr w:rsidR="007D5DF8" w:rsidRPr="00DB5D0D" w14:paraId="2E66497B" w14:textId="77777777" w:rsidTr="00E543D0">
        <w:tc>
          <w:tcPr>
            <w:tcW w:w="3736" w:type="dxa"/>
          </w:tcPr>
          <w:p w14:paraId="7379A3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Длина самолета, м</w:t>
            </w:r>
          </w:p>
        </w:tc>
        <w:tc>
          <w:tcPr>
            <w:tcW w:w="3736" w:type="dxa"/>
          </w:tcPr>
          <w:p w14:paraId="1C7199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12,93</w:t>
            </w:r>
          </w:p>
        </w:tc>
        <w:tc>
          <w:tcPr>
            <w:tcW w:w="3736" w:type="dxa"/>
          </w:tcPr>
          <w:p w14:paraId="4D28B9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w:t>
            </w:r>
          </w:p>
        </w:tc>
      </w:tr>
      <w:tr w:rsidR="007D5DF8" w:rsidRPr="00DB5D0D" w14:paraId="1C915A22" w14:textId="77777777" w:rsidTr="00E543D0">
        <w:tc>
          <w:tcPr>
            <w:tcW w:w="3736" w:type="dxa"/>
          </w:tcPr>
          <w:p w14:paraId="251DAE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кг: пустого полетный</w:t>
            </w:r>
          </w:p>
        </w:tc>
        <w:tc>
          <w:tcPr>
            <w:tcW w:w="3736" w:type="dxa"/>
          </w:tcPr>
          <w:p w14:paraId="7EAB15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7500 - 8000</w:t>
            </w:r>
          </w:p>
        </w:tc>
        <w:tc>
          <w:tcPr>
            <w:tcW w:w="3736" w:type="dxa"/>
          </w:tcPr>
          <w:p w14:paraId="046B1F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5440 8080</w:t>
            </w:r>
          </w:p>
        </w:tc>
      </w:tr>
      <w:tr w:rsidR="007D5DF8" w:rsidRPr="00DB5D0D" w14:paraId="31B78737" w14:textId="77777777" w:rsidTr="00E543D0">
        <w:tc>
          <w:tcPr>
            <w:tcW w:w="3736" w:type="dxa"/>
          </w:tcPr>
          <w:p w14:paraId="0F3B8B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км/ч</w:t>
            </w:r>
          </w:p>
        </w:tc>
        <w:tc>
          <w:tcPr>
            <w:tcW w:w="3736" w:type="dxa"/>
          </w:tcPr>
          <w:p w14:paraId="7A7647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700 - 740</w:t>
            </w:r>
          </w:p>
        </w:tc>
        <w:tc>
          <w:tcPr>
            <w:tcW w:w="3736" w:type="dxa"/>
          </w:tcPr>
          <w:p w14:paraId="269809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550 - 590</w:t>
            </w:r>
          </w:p>
        </w:tc>
      </w:tr>
      <w:tr w:rsidR="007D5DF8" w:rsidRPr="00DB5D0D" w14:paraId="4B7A4500" w14:textId="77777777" w:rsidTr="00E543D0">
        <w:tc>
          <w:tcPr>
            <w:tcW w:w="3736" w:type="dxa"/>
          </w:tcPr>
          <w:p w14:paraId="68CB15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м</w:t>
            </w:r>
          </w:p>
        </w:tc>
        <w:tc>
          <w:tcPr>
            <w:tcW w:w="3736" w:type="dxa"/>
          </w:tcPr>
          <w:p w14:paraId="51FB5B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13 000- 14 000</w:t>
            </w:r>
          </w:p>
        </w:tc>
        <w:tc>
          <w:tcPr>
            <w:tcW w:w="3736" w:type="dxa"/>
          </w:tcPr>
          <w:p w14:paraId="32ED0F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11 000 - 12 000</w:t>
            </w:r>
          </w:p>
        </w:tc>
      </w:tr>
      <w:tr w:rsidR="007D5DF8" w:rsidRPr="00DB5D0D" w14:paraId="1B43938E" w14:textId="77777777" w:rsidTr="00E543D0">
        <w:tc>
          <w:tcPr>
            <w:tcW w:w="3736" w:type="dxa"/>
          </w:tcPr>
          <w:p w14:paraId="2CB5F4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 5000 м, мин</w:t>
            </w:r>
          </w:p>
        </w:tc>
        <w:tc>
          <w:tcPr>
            <w:tcW w:w="3736" w:type="dxa"/>
          </w:tcPr>
          <w:p w14:paraId="5B6C1B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4,5 - 6,0</w:t>
            </w:r>
          </w:p>
        </w:tc>
        <w:tc>
          <w:tcPr>
            <w:tcW w:w="3736" w:type="dxa"/>
          </w:tcPr>
          <w:p w14:paraId="5D6232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F9B9347" w14:textId="77777777" w:rsidTr="00E543D0">
        <w:tc>
          <w:tcPr>
            <w:tcW w:w="3736" w:type="dxa"/>
          </w:tcPr>
          <w:p w14:paraId="0A8061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км: нормальная максимальная</w:t>
            </w:r>
          </w:p>
        </w:tc>
        <w:tc>
          <w:tcPr>
            <w:tcW w:w="3736" w:type="dxa"/>
          </w:tcPr>
          <w:p w14:paraId="7A1973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2000 - 2500</w:t>
            </w:r>
          </w:p>
        </w:tc>
        <w:tc>
          <w:tcPr>
            <w:tcW w:w="3736" w:type="dxa"/>
          </w:tcPr>
          <w:p w14:paraId="3D63FA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CEF60B8" w14:textId="77777777" w:rsidTr="00E543D0">
        <w:tc>
          <w:tcPr>
            <w:tcW w:w="3736" w:type="dxa"/>
          </w:tcPr>
          <w:p w14:paraId="4E6DDD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бомбовая нагрузка, кг</w:t>
            </w:r>
          </w:p>
        </w:tc>
        <w:tc>
          <w:tcPr>
            <w:tcW w:w="3736" w:type="dxa"/>
          </w:tcPr>
          <w:p w14:paraId="67E918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3736" w:type="dxa"/>
          </w:tcPr>
          <w:p w14:paraId="744BD9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605B1EBD" w14:textId="77777777" w:rsidTr="00E543D0">
        <w:tc>
          <w:tcPr>
            <w:tcW w:w="3736" w:type="dxa"/>
            <w:tcBorders>
              <w:bottom w:val="single" w:sz="12" w:space="0" w:color="auto"/>
            </w:tcBorders>
          </w:tcPr>
          <w:p w14:paraId="265E45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чел.</w:t>
            </w:r>
          </w:p>
        </w:tc>
        <w:tc>
          <w:tcPr>
            <w:tcW w:w="3736" w:type="dxa"/>
            <w:tcBorders>
              <w:bottom w:val="single" w:sz="12" w:space="0" w:color="auto"/>
            </w:tcBorders>
          </w:tcPr>
          <w:p w14:paraId="099134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3736" w:type="dxa"/>
            <w:tcBorders>
              <w:bottom w:val="single" w:sz="12" w:space="0" w:color="auto"/>
            </w:tcBorders>
          </w:tcPr>
          <w:p w14:paraId="228B98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bl>
    <w:p w14:paraId="22B731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Туполевцы начали выпускать рабочие чертежи деталей и узлов для первого опытного образца. И тут же сказалась специфика ОТБ. Чертежи надо было подписывать, обеспечивая личную ответственность конструкторов. Но на подписи "врагов народа" было наложено строгое табу. Их вымарывали или заливали тушью даже на документах, подписанных ими до ареста. Правом подписи обладали сотрудники НКВД, но по уровню подготовки те не могли контролировать работу высококлассных специалистов. Обойтись совсем без подписей было нельзя, хотя бы потому, что завод № 156 одновременно строил опытные образцы четырех машин, спроектированных арестантами: двухмоторного высотного истребителя Петлякова, дальнего бомбардировщика Мясищева, пикировщика Туполева и истребителя Томашевича. Пошла путаница - на какой самолет какую деталь ставить.</w:t>
      </w:r>
    </w:p>
    <w:p w14:paraId="68F954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чекисты придумали очень оригинальную вещь - номерную печатку. Официально она называлась "факсимиле", а неофициально - "копыто". Каждому заключенному-конструктору выдали такую печатку. У Туполева на ней значилось "0011". Сумма цифр на "копыте" его подчиненных тоже равнялась 11. Так, у Л.Л. Кербера, занимавшегося электрооборудованием, имелась печатка "1262" (1+2+6+2=11). Таким образом, все чертежи, предназначенные для ФБ, были утыканы отпечатками "копыт" с кодом "11".</w:t>
      </w:r>
    </w:p>
    <w:p w14:paraId="4026A5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проблемой являлись посещения конструкторами заводских цехов для оперативного разрешения неувязок и контроля за состоянием работ. В цехах работали вольные, большинство же конструкторов являлось арестантами. Пришлось резко увеличить количество охранников (называвшихся заключенными "тягач" или "попка"), предназначенных специально для сопровождения конструкторов при выходе из здания ОТБ. За каждым из них следовали два-три охранника, пресекавших контакты с посторонними и попытки любых разговоров на неслужебные темы (11988).</w:t>
      </w:r>
    </w:p>
    <w:p w14:paraId="25B6EC7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599E2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макетной комиссии был предъявлен макет скоростного двухмоторного бомбардировщика завода 18 по заданию, полученному директором Шенкманом в декабре 1939.</w:t>
      </w:r>
    </w:p>
    <w:p w14:paraId="2B9ACE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отличался от эскизного проекта, т.к. в нем были учтены все замечания, данные в заключении НИИ ГУАС КА по эскизному проекту.</w:t>
      </w:r>
    </w:p>
    <w:p w14:paraId="6CF417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появлением по решению Правительства требования пикирования ко всем вновь строящимся бомбардировщикам, макетная комиссия признала нецелесообразным продолжать работу по схеме, имеющейся на макете. Использовали установки вооружения от ДБ-3 (2054,1).</w:t>
      </w:r>
    </w:p>
    <w:p w14:paraId="6B28F1A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CBA6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закончились заводские испытания ДБ-240, которые шли с 14 мая 1940, когда машину поднял в воздух Н.П.Шибанов. Выполнили около 30 полетов. На устранение выявленных дефектов В.Г.Е. попросил 2 месяца. Параллельно готовились полеты на максимальную дальность (3322,7).</w:t>
      </w:r>
    </w:p>
    <w:p w14:paraId="4BC9032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98B6647" w14:textId="77777777" w:rsidR="00C72EDF" w:rsidRPr="00DB5D0D" w:rsidRDefault="00C72E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 июля</w:t>
      </w:r>
      <w:r w:rsidRPr="00DB5D0D">
        <w:rPr>
          <w:rFonts w:ascii="Times New Roman" w:hAnsi="Times New Roman"/>
          <w:color w:val="000000" w:themeColor="text1"/>
          <w:sz w:val="16"/>
          <w:szCs w:val="16"/>
        </w:rPr>
        <w:t xml:space="preserve"> в 1940 году завершились заводские испытания </w:t>
      </w:r>
      <w:hyperlink r:id="rId160" w:tgtFrame="_blank" w:history="1">
        <w:r w:rsidRPr="00DB5D0D">
          <w:rPr>
            <w:rFonts w:ascii="Times New Roman" w:hAnsi="Times New Roman"/>
            <w:color w:val="000000" w:themeColor="text1"/>
            <w:sz w:val="16"/>
            <w:szCs w:val="16"/>
          </w:rPr>
          <w:t xml:space="preserve">«ДБ-240» («Ер-2»), </w:t>
        </w:r>
      </w:hyperlink>
      <w:r w:rsidRPr="00DB5D0D">
        <w:rPr>
          <w:rFonts w:ascii="Times New Roman" w:hAnsi="Times New Roman"/>
          <w:color w:val="000000" w:themeColor="text1"/>
          <w:sz w:val="16"/>
          <w:szCs w:val="16"/>
        </w:rPr>
        <w:t>выявились некоторые дефекты машины, для устранения которых главный конструктор попросил два месяца (14939).</w:t>
      </w:r>
    </w:p>
    <w:p w14:paraId="73DFB3F1" w14:textId="77777777" w:rsidR="00C72EDF" w:rsidRPr="00DB5D0D" w:rsidRDefault="00C72EDF" w:rsidP="00DB5D0D">
      <w:pPr>
        <w:spacing w:after="0" w:line="240" w:lineRule="auto"/>
        <w:jc w:val="both"/>
        <w:rPr>
          <w:rFonts w:ascii="Times New Roman" w:hAnsi="Times New Roman"/>
          <w:color w:val="000000" w:themeColor="text1"/>
          <w:sz w:val="16"/>
          <w:szCs w:val="16"/>
        </w:rPr>
      </w:pPr>
    </w:p>
    <w:p w14:paraId="680712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года вышел приказ начальника ГУ ВВС за № 096 о войсковые испытания моторов М-105 на самолете СБ, которые должны были быть начаты 10 июля 1940 года и закончены 15 августа 1940 года. ……………………..(7712, 376).</w:t>
      </w:r>
    </w:p>
    <w:p w14:paraId="724B323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D15C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г. вышло Постановление КО № 240, в котором заводу №22 устанавливалась программа на 1940 г. по СПБ - 15 самолетов войсковой серии (9649).</w:t>
      </w:r>
    </w:p>
    <w:p w14:paraId="7FDAD29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CCF53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года вышел приказ НИИ ВВС № 0120</w:t>
      </w:r>
    </w:p>
    <w:p w14:paraId="39E8389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принятии на гос. испытания самолета И-180 М-88 (6891, 244).</w:t>
      </w:r>
    </w:p>
    <w:p w14:paraId="1CCFCB2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6AB075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Коллегия НКАП обсудила вопрос (прот. 16, п. 1) "О внедрении в серийное производство самолета И-180 на заводе 21 и вопрос "О выполнении постановления Правительства от 26.01.1940 о развитии опытного строительства и обеспечении внедрения новых машин в серийное производство по 2 ГУ. Первый по 4 ГУ был за N 330с выпущен 6 июня (1002,3).</w:t>
      </w:r>
    </w:p>
    <w:p w14:paraId="0E949D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И-180 отмечено, что подготовка производства на 21 заводе идет недопустимо медленно и задание на производство 10 машин войсковой серии в первом полугодии - не выполнено (618,33). Докладывал и директор завода 21 и дал списки того, что нужно для реализации генерального графика запуска во 2 полугодии 1940 (1156,22).</w:t>
      </w:r>
    </w:p>
    <w:p w14:paraId="7671C4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Решили (1213):</w:t>
      </w:r>
    </w:p>
    <w:p w14:paraId="058FF7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совместно с ГК самолета И-180 Н.Н.П. утвердить к 1 августа с.г. ТУ на эталон И-180 1941;</w:t>
      </w:r>
    </w:p>
    <w:p w14:paraId="7F2056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закончить изготовление конструктивных чертежей эталона 1941 к 1 октября 1940;</w:t>
      </w:r>
    </w:p>
    <w:p w14:paraId="169F2B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закончить изготовление эталона 1941 с подачей его на испытания к 15 декабря 1940;</w:t>
      </w:r>
    </w:p>
    <w:p w14:paraId="735EFE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закончить техническое описание конструкции самолета И-180 к 15 сентября 1940 (1213).</w:t>
      </w:r>
    </w:p>
    <w:p w14:paraId="1E5E2C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второму - что неудовлетворительно идет работа по новым колесам и радиаторам (618,33).</w:t>
      </w:r>
    </w:p>
    <w:p w14:paraId="1DEEBC3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AB874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в ходе заводских испытаний И-200 А.И.М, которые проходили с 31 марта по 17 августа 1940, на И-200-1 был контрольный полет машины с новым мотором и полет на проверку работы карбюратора, а также приемистость мотора на пикировании (2988).</w:t>
      </w:r>
    </w:p>
    <w:p w14:paraId="414E0AD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A0387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НКВМФ Кузнецов писал письмо N 1852сс НКАП М.М.К.:</w:t>
      </w:r>
    </w:p>
    <w:p w14:paraId="246B0F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решения Главного Военного Совета РКВМФ и результатов проведенных испытаний, прошу, в целях сокращения сроков освоения, дать указание директору завода 31 о немедленном начале подготовки производства самолетов МДР-6 конструкции т Четверикова с расчетом выпуска в 1940 66 самолетов.</w:t>
      </w:r>
    </w:p>
    <w:p w14:paraId="3A485D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постановления КО по МДР-6 будет доложен Правительству, одновременно с планом опытного гидросамолетостроения на 1939-40." (1354,107).</w:t>
      </w:r>
    </w:p>
    <w:p w14:paraId="05359B5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494D9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нач. 1 отдела 3У ГУАС КА бригинженер Пономарев и начю 1 отдела 3У заморухов подготовили для НИИ-3 НКБ ТТТ на разработку фугасно-реактивной авиационнолй мины ФРАМ. Утвердил Нач. 8У (заказы) ГУ ВВС КА ви1р Никонов:</w:t>
      </w:r>
    </w:p>
    <w:p w14:paraId="0D5D8B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ФРАМ предназначена для бомбометания по площадям, занятым живой силой противника (походные колонны, бивуаки, расположение резервов и т.п.) и легковоспламеняющимися материалами (хворост, солома). Мина должна поражать противника и его матчасть фугасным и зажигательным действием, а также действием огня и сильного шума, производимого ею, воздействовать на психику людей и животных. Она должна удовлетволрять следующим требованиям:</w:t>
      </w:r>
    </w:p>
    <w:p w14:paraId="58AEAE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Содержать реактивный заряд горючего, обеспечивающего действие мины в течение 1.5-2 минут,</w:t>
      </w:r>
    </w:p>
    <w:p w14:paraId="407006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падения на грунт она под действием реактивной силы должна катиться по ровной площадке со скоростью 10-15 м/c в течение 0.5-1 мин.,</w:t>
      </w:r>
    </w:p>
    <w:p w14:paraId="24AACD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концу действия РЗ должен взорваться БЗ, количество которого делжно быть не менее 25% полного веса мины,</w:t>
      </w:r>
    </w:p>
    <w:p w14:paraId="478E6B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Габариты мины должны допускать ее подвеску в кассетницу Онисько в количестве трех штук общим весом 90 кг. Подвеска в горизонтальных держателях должна осуществляться в бомбовых связках,</w:t>
      </w:r>
    </w:p>
    <w:p w14:paraId="3DB274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Приведение в действие мины должно производится дистанционной трубкой АГДТ-Б или ТМ-24Б,</w:t>
      </w:r>
    </w:p>
    <w:p w14:paraId="023742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падении на средний земляной грунт мана не должна зарываться в него, для чего допускается применение аэродинамического тормоза (парашюта),</w:t>
      </w:r>
    </w:p>
    <w:p w14:paraId="1CF555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склады и части мину должны поступать в снаряженном виде и не требовать никаких дополнительных операций, кроме установки трубки. Мина должна быть безопасна в обращении и допускать хранение не менее 7 лет (7453, 637).</w:t>
      </w:r>
    </w:p>
    <w:p w14:paraId="0ACD090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6E118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июля 1940 г. начальник 1-го отдела 3-го управления ГУАС КА бригинженер Пономарев и начальник 1-го отделения 1-го отдела 3-го управления военинженер 2 ранга Заморухов подготовили для НИИ-3 НКБ тактико-технические требования на разработку фугасно-реактивной авиационной мины «ФРАМ». Утвержденные начальником 8-го управления (заказы авиационного вооружения) ГУ ВВС КА военинжене-ром 1 ранга Никоновым, они получили законную силу:</w:t>
      </w:r>
    </w:p>
    <w:p w14:paraId="3465A7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«ФРАМ предназначена для бомбометания по площадям, занятым живой силой противника (походные колонны, бивуаки, расположение резервов и т.п.) и легковоспламеняющимися материалами (хворост, солома и пр.). Мина должна поражать противника и его материальную часть фугасным и зажигательным действием, а также действием огня и сильного шума, производимого ею, воздействовать на психику людей и животных. Она должна удовлетворять следующим требованиям:</w:t>
      </w:r>
    </w:p>
    <w:p w14:paraId="3AE0A3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Содержать реактивный заряд горючего, обеспечивающего действие мины в течение 1,5-2 минут;</w:t>
      </w:r>
    </w:p>
    <w:p w14:paraId="56ED34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После падения на грунт она под действием реактивной силы должна катиться по ровной площадке со скоростью 10-15 м/с в течение 0,5-1 мин.</w:t>
      </w:r>
    </w:p>
    <w:p w14:paraId="651430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 концу действия РЗ должен взорваться БЗ, количество которого должно быть не менее 25% от полного веса мины.</w:t>
      </w:r>
    </w:p>
    <w:p w14:paraId="528C04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Габариты мины должны допускать ее подвеску в кассет-ницу «Онисько» в количестве трех штук общим весом 90 кг. Подвеска в горизонтальных держателях должна осуществляться в бомбовых связках.</w:t>
      </w:r>
    </w:p>
    <w:p w14:paraId="6090E4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Приведение в действие мины должно производиться дистанционной трубкой АГДТ-Б или ТМ-24Б.</w:t>
      </w:r>
    </w:p>
    <w:p w14:paraId="318C15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При падении на средний земляной грунт мина не должна зарываться в него, для чего допускается применение аэродинамического тормоза (парашюта).</w:t>
      </w:r>
    </w:p>
    <w:p w14:paraId="661F28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 склады и части мины должны поступать в снаряженном виде и не требовать при подвеске на самолеты никаких дополнительных операций, кроме установки трубки. Мина должна быть безопасна в обращении и допускать хранение не менее 7 лет» (7453).</w:t>
      </w:r>
    </w:p>
    <w:p w14:paraId="5463924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AEF54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г. для начальника ГУАС КА дивинженера И.Ф.Сакриера была специ</w:t>
      </w:r>
      <w:r w:rsidRPr="00DB5D0D">
        <w:rPr>
          <w:rFonts w:ascii="Times New Roman" w:hAnsi="Times New Roman"/>
          <w:color w:val="000000" w:themeColor="text1"/>
          <w:sz w:val="16"/>
          <w:szCs w:val="16"/>
        </w:rPr>
        <w:softHyphen/>
        <w:t>ально составлена справка: «Завод № 21. Для установки на них РС, заказано 150 истребителей И-16 на первое по</w:t>
      </w:r>
      <w:r w:rsidRPr="00DB5D0D">
        <w:rPr>
          <w:rFonts w:ascii="Times New Roman" w:hAnsi="Times New Roman"/>
          <w:color w:val="000000" w:themeColor="text1"/>
          <w:sz w:val="16"/>
          <w:szCs w:val="16"/>
        </w:rPr>
        <w:softHyphen/>
        <w:t>лугодие. Готовы 78 машин. Из них собраны и облетаны всего 14. Завод № 1. На первое полугодие заказано 126 истребителей И-153, оборудован</w:t>
      </w:r>
      <w:r w:rsidRPr="00DB5D0D">
        <w:rPr>
          <w:rFonts w:ascii="Times New Roman" w:hAnsi="Times New Roman"/>
          <w:color w:val="000000" w:themeColor="text1"/>
          <w:sz w:val="16"/>
          <w:szCs w:val="16"/>
        </w:rPr>
        <w:softHyphen/>
        <w:t>ных для установки РС. Готовы 106 машин». Помимо того, из сведений о производственных мощностях заводов по производству авиационных боеприпасов на 1939-1940 гг. следует, что московскому механическому заводу №70 НКБ был выдан заказ на производство 11.230 штук РС-82 и 5240 штук РС-132. А снаряжательному заводу №12 - на снаряжание 11.000 штук РС-82 и 6000 штук РС-132 (11402).</w:t>
      </w:r>
    </w:p>
    <w:p w14:paraId="1A7F3C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E36E4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июля 1940 года в НИИ ГВФ было 13 машин, в том числе 10 исправных. Сборная ведомость наличия самолетов в ГУГВФ по состоянию на 1 декабря 1940 года дает информацию о наличии в НИИ ГВФ и машин других типов, в том числе ЦКБ-30 с М-86, СХ-1 с 1 МГ-31, ДИ-6 с 1 М-25 (Там же. Л. 94.) (11672).</w:t>
      </w:r>
    </w:p>
    <w:p w14:paraId="3AD886A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FB318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1 июля 1940 года обе «Электры» входили в состав эскадрильи особого назначения ГУГВФ вместе с другим трофейным пассажирским самолетом польского производства Р21 Р.44 «^йЧспег» («Вихрь») (РГАЭ.Ф.9527. ОпЛ.Д. 1б1 1. Л. 55-57.).</w:t>
      </w:r>
    </w:p>
    <w:p w14:paraId="34CC34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Хотя около 160 военных самолетов полякам удалось перегнать в Румынию, а также практически без потерь прошла эвакуация самолетов польской гражданской авиации «LОТ», в руки советских войск попали сотни польских са</w:t>
      </w:r>
      <w:r w:rsidRPr="00DB5D0D">
        <w:rPr>
          <w:rFonts w:ascii="Times New Roman" w:hAnsi="Times New Roman"/>
          <w:color w:val="000000" w:themeColor="text1"/>
          <w:sz w:val="16"/>
          <w:szCs w:val="16"/>
        </w:rPr>
        <w:softHyphen/>
        <w:t>молетов (Мельтюхов М. И. Советско-польские войны. М., 2001. С. 404,458. Автор сообщает о захвате око</w:t>
      </w:r>
      <w:r w:rsidRPr="00DB5D0D">
        <w:rPr>
          <w:rFonts w:ascii="Times New Roman" w:hAnsi="Times New Roman"/>
          <w:color w:val="000000" w:themeColor="text1"/>
          <w:sz w:val="16"/>
          <w:szCs w:val="16"/>
        </w:rPr>
        <w:softHyphen/>
        <w:t>ло 300 польских самолетов (по всей видимости, всех типов, включая и гражданские машины).). Так, только в Киевском Особом военном округе, даже без уче</w:t>
      </w:r>
      <w:r w:rsidRPr="00DB5D0D">
        <w:rPr>
          <w:rFonts w:ascii="Times New Roman" w:hAnsi="Times New Roman"/>
          <w:color w:val="000000" w:themeColor="text1"/>
          <w:sz w:val="16"/>
          <w:szCs w:val="16"/>
        </w:rPr>
        <w:softHyphen/>
        <w:t>та тех машин, что уже были перегнаны за пределы округа, насчитывалось 253 польских самолета, из них 155 исправных. Больше всех было учебных машин К\СТ&gt;8, Р\^5-2б, в значительном количестве встречались также учебные Ро1ег ХХУВ2, разведчики ЪиЬНп К-Х1П и легкие бомбардировщики Р21 Р.23 Кагаз. Из остальных можно отметить истребители Р21 Р.7, бомбар</w:t>
      </w:r>
      <w:r w:rsidRPr="00DB5D0D">
        <w:rPr>
          <w:rFonts w:ascii="Times New Roman" w:hAnsi="Times New Roman"/>
          <w:color w:val="000000" w:themeColor="text1"/>
          <w:sz w:val="16"/>
          <w:szCs w:val="16"/>
        </w:rPr>
        <w:softHyphen/>
        <w:t>дировщики 1Ж5-4 2иЬг («Зубр») и Р2Ь Р.37 Ьоз («Лось»), самолеты ЮйТ&gt;10, 7, ЮйТ&gt;-21, санитарный К.16 Ы5. Специальная правительственная комиссия приняла решение о распределении трофейной техники. Само</w:t>
      </w:r>
      <w:r w:rsidRPr="00DB5D0D">
        <w:rPr>
          <w:rFonts w:ascii="Times New Roman" w:hAnsi="Times New Roman"/>
          <w:color w:val="000000" w:themeColor="text1"/>
          <w:sz w:val="16"/>
          <w:szCs w:val="16"/>
        </w:rPr>
        <w:softHyphen/>
        <w:t>лет Р2Ь Р.23 Кага5 («Карась») предназначался для эксплуатации в строевых частях ВВС РККА; Управление военно-учебных заведений ВУС получило машины типа КШ&gt;-8, ЬиЫш К-ХП1 («Люблин»), Р^5-2б, РоГег ХХУВ2, Р2Ь Р.7; гражданская авиация получила КШ)-10, КШ)-17, ЮйТ&gt;-21, Ш^5-4 2иЬг, некоторые другие машины (Котельников В.Р. Авиация в советско-польском конфликте сентября 1939 года (по документам советских архивов). С. 9-1 0.). В их числе были и два пассажирских само</w:t>
      </w:r>
      <w:r w:rsidRPr="00DB5D0D">
        <w:rPr>
          <w:rFonts w:ascii="Times New Roman" w:hAnsi="Times New Roman"/>
          <w:color w:val="000000" w:themeColor="text1"/>
          <w:sz w:val="16"/>
          <w:szCs w:val="16"/>
        </w:rPr>
        <w:softHyphen/>
        <w:t>лета американского производства фирмы «Локхид» «Электра» (Ьоскпеес! 1-1ОА «Е1есгга»), принадлежавших ранее польской авиакомпании «ЮТ». Из</w:t>
      </w:r>
      <w:r w:rsidRPr="00DB5D0D">
        <w:rPr>
          <w:rFonts w:ascii="Times New Roman" w:hAnsi="Times New Roman"/>
          <w:color w:val="000000" w:themeColor="text1"/>
          <w:sz w:val="16"/>
          <w:szCs w:val="16"/>
        </w:rPr>
        <w:softHyphen/>
        <w:t>вестно, что к началу войны «ЮТ» насчитывала семь самолетов этого типа, пять из которых позднее были эвакуированы в Румынию, а два поврежден</w:t>
      </w:r>
      <w:r w:rsidRPr="00DB5D0D">
        <w:rPr>
          <w:rFonts w:ascii="Times New Roman" w:hAnsi="Times New Roman"/>
          <w:color w:val="000000" w:themeColor="text1"/>
          <w:sz w:val="16"/>
          <w:szCs w:val="16"/>
        </w:rPr>
        <w:softHyphen/>
        <w:t>ных были оставлены в Городеньке и в Коломые.</w:t>
      </w:r>
    </w:p>
    <w:p w14:paraId="18F9FD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также учесть, что часть польских самолетов попала в бал</w:t>
      </w:r>
      <w:r w:rsidRPr="00DB5D0D">
        <w:rPr>
          <w:rFonts w:ascii="Times New Roman" w:hAnsi="Times New Roman"/>
          <w:color w:val="000000" w:themeColor="text1"/>
          <w:sz w:val="16"/>
          <w:szCs w:val="16"/>
        </w:rPr>
        <w:softHyphen/>
        <w:t>тийские страны, где были захвачены летом 1940 года. Только в Латвию после 17 сентября 1939 года, из-за начавшегося советского наступления на Поль</w:t>
      </w:r>
      <w:r w:rsidRPr="00DB5D0D">
        <w:rPr>
          <w:rFonts w:ascii="Times New Roman" w:hAnsi="Times New Roman"/>
          <w:color w:val="000000" w:themeColor="text1"/>
          <w:sz w:val="16"/>
          <w:szCs w:val="16"/>
        </w:rPr>
        <w:softHyphen/>
        <w:t>шу, перелетело 84 польских самолетов (почти все - учебные, типа К'Ш)). Перед тем как попасть в распоряжение СССР, эти самолеты нашли приме</w:t>
      </w:r>
      <w:r w:rsidRPr="00DB5D0D">
        <w:rPr>
          <w:rFonts w:ascii="Times New Roman" w:hAnsi="Times New Roman"/>
          <w:color w:val="000000" w:themeColor="text1"/>
          <w:sz w:val="16"/>
          <w:szCs w:val="16"/>
        </w:rPr>
        <w:softHyphen/>
        <w:t>нение в ВВС Латвии, где главным образом использовались для учебных же целей</w:t>
      </w:r>
      <w:r w:rsidRPr="00DB5D0D">
        <w:rPr>
          <w:rFonts w:ascii="Times New Roman" w:hAnsi="Times New Roman"/>
          <w:color w:val="000000" w:themeColor="text1"/>
          <w:sz w:val="16"/>
          <w:szCs w:val="16"/>
          <w:vertAlign w:val="superscript"/>
        </w:rPr>
        <w:t>283</w:t>
      </w:r>
      <w:r w:rsidRPr="00DB5D0D">
        <w:rPr>
          <w:rFonts w:ascii="Times New Roman" w:hAnsi="Times New Roman"/>
          <w:color w:val="000000" w:themeColor="text1"/>
          <w:sz w:val="16"/>
          <w:szCs w:val="16"/>
        </w:rPr>
        <w:t>. Поэтому общее итоговое число польских самолетов, оказавшихся в СССР в 1939 - 1940 годах, можно оценить как около 400 машин - доста</w:t>
      </w:r>
      <w:r w:rsidRPr="00DB5D0D">
        <w:rPr>
          <w:rFonts w:ascii="Times New Roman" w:hAnsi="Times New Roman"/>
          <w:color w:val="000000" w:themeColor="text1"/>
          <w:sz w:val="16"/>
          <w:szCs w:val="16"/>
        </w:rPr>
        <w:softHyphen/>
        <w:t>точно большая цифра. Примечательно, что трофейные польские самоле</w:t>
      </w:r>
      <w:r w:rsidRPr="00DB5D0D">
        <w:rPr>
          <w:rFonts w:ascii="Times New Roman" w:hAnsi="Times New Roman"/>
          <w:color w:val="000000" w:themeColor="text1"/>
          <w:sz w:val="16"/>
          <w:szCs w:val="16"/>
        </w:rPr>
        <w:softHyphen/>
        <w:t>ты Р2Ь Р.23 Кагаз («Карась»), Р2Ь Р.37 Ьоз («Лось») и ЬиЫт К-Х1И («Люблин») были продемонстрированы населению на специальной выставке в Киеве в 1940 году (11710,393).</w:t>
      </w:r>
    </w:p>
    <w:p w14:paraId="496FEA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581F7F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613D0A5"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32D235F" w14:textId="77777777" w:rsidR="00730A37" w:rsidRPr="00DB5D0D" w:rsidRDefault="00730A37"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1 июля 1940 года, когда был готов эскизный проект машины, впервые стало известно о танке, получившим обозначение Т-127. Следует отметить, что Т-127, ведущим инженером которого являлся И.И. Голтвянский, не являлся "партизанщиной". Инициатором его разработки был А.И. Маркин, директор завода №174. Также к лету 1940 года в состав завода №174 включили опытный завод №185, где под руководством А.С. Макарова продолжали доводить мотор 744. При этом имелся весьма значительный прогресс в разработки данного двигателя. К лету 1940 года двигатель 744-1 показал на стенде максимальную мощность 209 лошадиных сил, также он прошел 500 километров. В варианте без редуктора (а именно эта версия предполагалась для Т-127) мощность возрастала до 215 лошадиных сил. А ведь всего за полгода до того от мотора ожидалась куда меньшая мощность, и даже при рассмотрении проекта Т-126-1 ожидалась мощность 150-175 лошадиных сил. Имелись, безусловно, определенные дефекты, но они были характерны и для В-2, который являлся базой при создании мотора 744. Больше того, как показывали испытания, у мотора имелись дальнейшие резервы для развития, то есть 215 лошадиных сил не являлись пределом. Еще одним важным моментом было то, что 12,7-литровый мотор 744 являлся весьма компактной силовой установкой, что позволяло его поставить, в перспективе, и на модернизированный Т-26. Это и не удивительно, ведь создавать данный двигатель начали как раз для Т-26.</w:t>
      </w:r>
    </w:p>
    <w:p w14:paraId="75B2A3FD" w14:textId="77777777" w:rsidR="00730A37" w:rsidRPr="00DB5D0D" w:rsidRDefault="00730A37"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Согласно проекту, Т-127 был небольшой боевой машиной, причем он получался на 30 см короче и чуть ниже, нежели Т-26 (при этом боевое отделение было длиннее Т-26 на 190 мм). Этим, а также более компактной и легкой силовой установкой, достигалась боевая масса в 13 тонн. Во многом аналогично Т-26, силовую установку Т-127 расположили более компактно, что есть под большим углом. Двигатель, конечно, не лежал строго горизонтально (он лежал под углом 15 градусов), но занимал куда меньше места. Это позволило сделать моторно-трансмиссионное отделение более компактным. В этом смысле Т-127 чем-то напоминал проект Т-125, но у последнего всё же построение МТО было иным. В проекте давались более реалистичные данные по мотору - 180 л.с. при 1800 об/мин и 200 л.с. при 1900 об/мин. В первом случае максимальная скорость составляла 34 км/ч, а во втором - 36 км/ч. Броневая защита при этом соответствовала ТТТ - 45 мм по периметру. Кроме того, проектировщики имели запас на полтонны в случае дополнительной экранировки.</w:t>
      </w:r>
    </w:p>
    <w:p w14:paraId="614A0EC1" w14:textId="77777777" w:rsidR="00730A37" w:rsidRPr="00DB5D0D" w:rsidRDefault="00730A37"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С точки зрения боевого отделения Т-127 во многом повторял СП-126. Как и данной машины, экипаж состоял из 4 человек, из них 2 (механик-водитель и радист) находились в отделении управления. Интересно, что спаренным пулеметом указывался ДТ, а вот курсовым - ДС. Боезапас оценивался в 150 выстрелов к 45-мм пушке и 4750 патронов к пулеметам. С точки зрения обзорности, а также объемов боевого отделения, машины были равнозначными. Следует отметить, что по эскизам башни у Т-127 и СП-126 выглядят немного по-разному, но скорее стоит говорить об их унификации. Собственно говоря, главное отличия у них было в шасси.</w:t>
      </w:r>
    </w:p>
    <w:p w14:paraId="7124FDF8" w14:textId="77777777" w:rsidR="00730A37" w:rsidRPr="00DB5D0D" w:rsidRDefault="00730A37"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Существенная разница между двумя танками была в ходовой части. На Т-127 использовали торсионную подвеску, но существенно отличающуюся от того, что применили на СП-126. Дело в том, что при равном количестве опорных катков торсионов было всего 3 на борт. Это оказалось связано с тем, что катки сблокировали в тележки (3 пары по 2 катка). По мнению авторов машины, это дополнительно облегчало танк. Надо сказать, что такое решение не было уникальным. Итальянский легкий танк Carro Armato L6 так же имел торсионную подвеску с опорными катками, сблокированными в тележки. Вполне была рабочая система. Ширина трака оценивалась в 400 мм, это обеспечивало вполне приличное удельное давление на грунт.</w:t>
      </w:r>
    </w:p>
    <w:p w14:paraId="332FF69A" w14:textId="77777777" w:rsidR="00730A37" w:rsidRPr="00DB5D0D" w:rsidRDefault="00730A37"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Казалось бы, при уже имеющемся образце мотора 744 и наличии проблемы, связанной с чрезмерной массой СП-126, вполне логично было изготовить опытный образец Т-127. Но вот что интересно: само же руководство завода №174 в письме в Спецмашстрой от 18 июля 1940 года признало имеющуюся глобальную проблему Т-127. Заключалась она в том, что Т-127 был хорош как "танк сегодняшнего дня". То есть всё хорошо, но при росте требований по массе удельная мощность, составлявшая 15,4 л.с. на тонну при мощности в 200 л.с., резко падала. Также указывалось, что внедрение Т-127 и мотора 744 требовало большего времени, нежели СП-126. А далее последовало письмо, в котором и Маркин, и Гинзбург выступали против данного проекта в принципе. Прежде всего по причинам производственного характера. Всё это вызывает легкое недоумение, а зачем же те же самые люди инициировали работы по машине, так ее хвалили, а потом раз - и "утопили". (20368).</w:t>
      </w:r>
    </w:p>
    <w:p w14:paraId="52142DD0" w14:textId="77777777" w:rsidR="00730A37" w:rsidRPr="00DB5D0D" w:rsidRDefault="00730A37" w:rsidP="00DB5D0D">
      <w:pPr>
        <w:pStyle w:val="article-renderblock"/>
        <w:shd w:val="clear" w:color="auto" w:fill="FFFFFF"/>
        <w:spacing w:before="0" w:beforeAutospacing="0" w:after="0" w:afterAutospacing="0"/>
        <w:jc w:val="both"/>
        <w:rPr>
          <w:color w:val="0070C0"/>
          <w:sz w:val="16"/>
          <w:szCs w:val="16"/>
        </w:rPr>
      </w:pPr>
    </w:p>
    <w:p w14:paraId="013830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г. приказом Наркомата химической промышленности СССР был создан Государственный проектный институт анилинокрасочной промышленности (Гипроанилкраска). В 1941 - 1943 гг. институт находился в эвакуации в г. Челябинске. Приказом Госкомитета Совета Министров СССР по химии от 17 декабря 1958 г. переименован в Государственный проектный институт по проектированию предприятий органических полупродуктов, красителей и реактивов (Гипроорхим). В 1986 г. объединен с НИОПИК (12102).</w:t>
      </w:r>
    </w:p>
    <w:p w14:paraId="6398EC1E" w14:textId="77777777" w:rsidR="00304726" w:rsidRPr="00DB5D0D" w:rsidRDefault="00304726" w:rsidP="00DB5D0D">
      <w:pPr>
        <w:spacing w:after="0" w:line="240" w:lineRule="auto"/>
        <w:jc w:val="both"/>
        <w:rPr>
          <w:rFonts w:ascii="Times New Roman" w:hAnsi="Times New Roman"/>
          <w:iCs/>
          <w:color w:val="000000" w:themeColor="text1"/>
          <w:sz w:val="16"/>
          <w:szCs w:val="16"/>
        </w:rPr>
      </w:pPr>
    </w:p>
    <w:p w14:paraId="7CA722F9" w14:textId="77777777" w:rsidR="00B13835" w:rsidRPr="00DB5D0D" w:rsidRDefault="00B1383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г. Постановлением СНК СССР № 1119</w:t>
      </w:r>
      <w:r w:rsidRPr="00DB5D0D">
        <w:rPr>
          <w:rFonts w:ascii="Times New Roman" w:hAnsi="Times New Roman"/>
          <w:color w:val="000000" w:themeColor="text1"/>
          <w:sz w:val="16"/>
          <w:szCs w:val="16"/>
        </w:rPr>
        <w:noBreakHyphen/>
        <w:t>438сс и приказом НКСП № 133сс от 10 июля 1940 г. была утверждена новая организационная структура наркомата: а) 1</w:t>
      </w:r>
      <w:r w:rsidRPr="00DB5D0D">
        <w:rPr>
          <w:rFonts w:ascii="Times New Roman" w:hAnsi="Times New Roman"/>
          <w:color w:val="000000" w:themeColor="text1"/>
          <w:sz w:val="16"/>
          <w:szCs w:val="16"/>
        </w:rPr>
        <w:noBreakHyphen/>
        <w:t>е Главное управление (речное судостроение), быв. 4</w:t>
      </w:r>
      <w:r w:rsidRPr="00DB5D0D">
        <w:rPr>
          <w:rFonts w:ascii="Times New Roman" w:hAnsi="Times New Roman"/>
          <w:color w:val="000000" w:themeColor="text1"/>
          <w:sz w:val="16"/>
          <w:szCs w:val="16"/>
        </w:rPr>
        <w:noBreakHyphen/>
        <w:t>е, с заводами № 112, 300, 340, 342, 343, 344, 345, им. Кирова, с Тюменской, Сретенской и Красноармейской верфями, а также конторой “Электроречмонтаж” с заводом им. Ульянова; 2) 2</w:t>
      </w:r>
      <w:r w:rsidRPr="00DB5D0D">
        <w:rPr>
          <w:rFonts w:ascii="Times New Roman" w:hAnsi="Times New Roman"/>
          <w:color w:val="000000" w:themeColor="text1"/>
          <w:sz w:val="16"/>
          <w:szCs w:val="16"/>
        </w:rPr>
        <w:noBreakHyphen/>
        <w:t>е Главное управление (минно-торпедное), быв. 5</w:t>
      </w:r>
      <w:r w:rsidRPr="00DB5D0D">
        <w:rPr>
          <w:rFonts w:ascii="Times New Roman" w:hAnsi="Times New Roman"/>
          <w:color w:val="000000" w:themeColor="text1"/>
          <w:sz w:val="16"/>
          <w:szCs w:val="16"/>
        </w:rPr>
        <w:noBreakHyphen/>
        <w:t>е, с заводами № 103, 175, 181, 182, 215, 231, 238, 347, ЦКБ-36 и  конторой комплектации; 3) 3</w:t>
      </w:r>
      <w:r w:rsidRPr="00DB5D0D">
        <w:rPr>
          <w:rFonts w:ascii="Times New Roman" w:hAnsi="Times New Roman"/>
          <w:color w:val="000000" w:themeColor="text1"/>
          <w:sz w:val="16"/>
          <w:szCs w:val="16"/>
        </w:rPr>
        <w:noBreakHyphen/>
        <w:t>е Главное управление (броневое), быв. 7</w:t>
      </w:r>
      <w:r w:rsidRPr="00DB5D0D">
        <w:rPr>
          <w:rFonts w:ascii="Times New Roman" w:hAnsi="Times New Roman"/>
          <w:color w:val="000000" w:themeColor="text1"/>
          <w:sz w:val="16"/>
          <w:szCs w:val="16"/>
        </w:rPr>
        <w:noBreakHyphen/>
        <w:t>е, с заводами:  Ижорским, Мариупольским, Кулебакским и “Красный Октябрь”, строительством № 7 и НИИ</w:t>
      </w:r>
      <w:r w:rsidRPr="00DB5D0D">
        <w:rPr>
          <w:rFonts w:ascii="Times New Roman" w:hAnsi="Times New Roman"/>
          <w:color w:val="000000" w:themeColor="text1"/>
          <w:sz w:val="16"/>
          <w:szCs w:val="16"/>
        </w:rPr>
        <w:noBreakHyphen/>
        <w:t>48; 4)  4</w:t>
      </w:r>
      <w:r w:rsidRPr="00DB5D0D">
        <w:rPr>
          <w:rFonts w:ascii="Times New Roman" w:hAnsi="Times New Roman"/>
          <w:color w:val="000000" w:themeColor="text1"/>
          <w:sz w:val="16"/>
          <w:szCs w:val="16"/>
        </w:rPr>
        <w:noBreakHyphen/>
        <w:t>е Главное управление (морские приборы), быв. 8</w:t>
      </w:r>
      <w:r w:rsidRPr="00DB5D0D">
        <w:rPr>
          <w:rFonts w:ascii="Times New Roman" w:hAnsi="Times New Roman"/>
          <w:color w:val="000000" w:themeColor="text1"/>
          <w:sz w:val="16"/>
          <w:szCs w:val="16"/>
        </w:rPr>
        <w:noBreakHyphen/>
        <w:t xml:space="preserve">е, с заводами № 192,205,206,209, 212, 251, </w:t>
      </w:r>
      <w:r w:rsidRPr="00DB5D0D">
        <w:rPr>
          <w:rFonts w:ascii="Times New Roman" w:hAnsi="Times New Roman"/>
          <w:color w:val="000000" w:themeColor="text1"/>
          <w:sz w:val="16"/>
          <w:szCs w:val="16"/>
        </w:rPr>
        <w:lastRenderedPageBreak/>
        <w:t>262, 252, с организациями Связьмортрест, Стройтрест № 53, Стройконтора № 51, НИИ</w:t>
      </w:r>
      <w:r w:rsidRPr="00DB5D0D">
        <w:rPr>
          <w:rFonts w:ascii="Times New Roman" w:hAnsi="Times New Roman"/>
          <w:color w:val="000000" w:themeColor="text1"/>
          <w:sz w:val="16"/>
          <w:szCs w:val="16"/>
        </w:rPr>
        <w:noBreakHyphen/>
        <w:t>10, ИИИ</w:t>
      </w:r>
      <w:r w:rsidRPr="00DB5D0D">
        <w:rPr>
          <w:rFonts w:ascii="Times New Roman" w:hAnsi="Times New Roman"/>
          <w:color w:val="000000" w:themeColor="text1"/>
          <w:sz w:val="16"/>
          <w:szCs w:val="16"/>
        </w:rPr>
        <w:noBreakHyphen/>
        <w:t>49 и строительствами № 360, 361 ,362; 5) 5</w:t>
      </w:r>
      <w:r w:rsidRPr="00DB5D0D">
        <w:rPr>
          <w:rFonts w:ascii="Times New Roman" w:hAnsi="Times New Roman"/>
          <w:color w:val="000000" w:themeColor="text1"/>
          <w:sz w:val="16"/>
          <w:szCs w:val="16"/>
        </w:rPr>
        <w:noBreakHyphen/>
        <w:t>е Главное управление (конструкторское), быв. 13</w:t>
      </w:r>
      <w:r w:rsidRPr="00DB5D0D">
        <w:rPr>
          <w:rFonts w:ascii="Times New Roman" w:hAnsi="Times New Roman"/>
          <w:color w:val="000000" w:themeColor="text1"/>
          <w:sz w:val="16"/>
          <w:szCs w:val="16"/>
        </w:rPr>
        <w:noBreakHyphen/>
        <w:t>е, с ЦКБ: 1, 4, 17, 18, 19, 32, 50, 51, 52 и ЦНИИ-45, а также Главное управление снабжения, состоящее на полном хозрасчете, Главное управление учебными заведениями  и  Главное управление капитального строительства. Среди многочисленных отделов были отделы: вооружений, оборудования, секретно-шифровальный, а также технический совет и инспекция при наркоме. Народному комиссару судостроительной промышленности были непосредственно подчинены заводы № 189, 190, 194, 196, 346, 363, 402, 198</w:t>
      </w:r>
      <w:r w:rsidRPr="00DB5D0D">
        <w:rPr>
          <w:rFonts w:ascii="Times New Roman" w:hAnsi="Times New Roman"/>
          <w:color w:val="000000" w:themeColor="text1"/>
          <w:sz w:val="16"/>
          <w:szCs w:val="16"/>
        </w:rPr>
        <w:noBreakHyphen/>
        <w:t>202, 263 и Петрозавод, а также тресты: электромонтажных работ “Электромортрест”, “Оргсудпром”, “Судолес” и “Судогиз”. С 1940 г. в Наркомате судостроения началась реализация программы строительства большого флота: были реконструированы Ленинградские и Николаевские судостроительные заводы, велось строительство  крупных заводов морского судостроения на Дальнем Востоке и на Севере, осуществлялась реконструкция и создавались новые предприятия морского приборостроения и судового машиностроения. Большое развитие получили научные исследования и проектирование, созданы специализированные по классам кораблей центральные конструкторские бюро и научно-исследовательский институт. К началу войны предприятия судостроения передали военно-морскому флоту 312 новых крупных и средних кораблей, в том числе 206 подводных лодок, 4 крейсера, 37 лидеров и эсминцев, 56 сторожевых кораблей и базовых тральщиков, 8 речных мониторов, а также 477 боевых катеров. (ГА РФ. Ф. Р</w:t>
      </w:r>
      <w:r w:rsidRPr="00DB5D0D">
        <w:rPr>
          <w:rFonts w:ascii="Times New Roman" w:hAnsi="Times New Roman"/>
          <w:color w:val="000000" w:themeColor="text1"/>
          <w:sz w:val="16"/>
          <w:szCs w:val="16"/>
        </w:rPr>
        <w:noBreakHyphen/>
        <w:t>8418. Оп. 28. Д. 21. Л. 36; Оп. 23. Д. 626. Л. 1</w:t>
      </w:r>
      <w:r w:rsidRPr="00DB5D0D">
        <w:rPr>
          <w:rFonts w:ascii="Times New Roman" w:hAnsi="Times New Roman"/>
          <w:color w:val="000000" w:themeColor="text1"/>
          <w:sz w:val="16"/>
          <w:szCs w:val="16"/>
        </w:rPr>
        <w:noBreakHyphen/>
        <w:t>2; РГАЭ. Ф. 8899. Д/ф. Л. 2</w:t>
      </w:r>
      <w:r w:rsidRPr="00DB5D0D">
        <w:rPr>
          <w:rFonts w:ascii="Times New Roman" w:hAnsi="Times New Roman"/>
          <w:color w:val="000000" w:themeColor="text1"/>
          <w:sz w:val="16"/>
          <w:szCs w:val="16"/>
        </w:rPr>
        <w:noBreakHyphen/>
        <w:t>8.) (17818).</w:t>
      </w:r>
    </w:p>
    <w:p w14:paraId="32F59B3A" w14:textId="77777777" w:rsidR="00B13835" w:rsidRPr="00DB5D0D" w:rsidRDefault="00B13835" w:rsidP="00DB5D0D">
      <w:pPr>
        <w:spacing w:after="0" w:line="240" w:lineRule="auto"/>
        <w:jc w:val="both"/>
        <w:rPr>
          <w:rFonts w:ascii="Times New Roman" w:hAnsi="Times New Roman"/>
          <w:color w:val="000000" w:themeColor="text1"/>
          <w:sz w:val="16"/>
          <w:szCs w:val="16"/>
        </w:rPr>
      </w:pPr>
    </w:p>
    <w:p w14:paraId="1350C1C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C26FAF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E7679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в ВВС при штатной численности 87 ед. Находилось 180 ДИ-6, из них 42 - неисправных. В июле 1940 Зам. Нач. ВВС П.В.Рычагов направил директиву командующим ВВС округов с переводе запчастей из НЗ в текущий и там был упомянут и ДИ-6 (3876,120).</w:t>
      </w:r>
    </w:p>
    <w:p w14:paraId="420DA3D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05410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июля 1940 г. по данным отдела вооружения Генштаба Красной Армии, на вооружении ВВС при штатной потребности в 87 единиц находилось 180 самолетов, из них 42 в неисправном состоянии (11992).</w:t>
      </w:r>
    </w:p>
    <w:p w14:paraId="53FAA5D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B8EE4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3E99734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FE85D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Сталин имел длительную беседу с британским послом в СССР Р. С. Криппсом, в ходе которой последний заявил о желании Англии "иметь с СССР хорошие отношения". Сталин в довольно откровенном тоне передал Криппсу свою оценку международного положения, указав, в частности, что он "считает ещё преждевременным говорить о господстве Германии в Европе. Разбить Францию - это ещё не значит господствовать в Европе. Для того, чтобы господствовать в Европе, надо иметь господство на морях, а такого господства у Германии нет, да и вряд ли будет". Хотя советская сторона известила германское правительство об этой беседе и передало её основное содержание, сам факт встречи Сталина с британским послом (Сталин лично никогда до этого не принимал послов) не мог не вызвать тревоги и недовольства в нацистском руководстве ((492).</w:t>
      </w:r>
    </w:p>
    <w:p w14:paraId="3046E25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A66E26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80944D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6A3C740" w14:textId="77777777" w:rsidR="00716A3D" w:rsidRPr="00DB5D0D" w:rsidRDefault="00716A3D" w:rsidP="00DB5D0D">
      <w:pPr>
        <w:pStyle w:val="ae"/>
        <w:spacing w:before="0" w:after="0"/>
        <w:jc w:val="both"/>
        <w:rPr>
          <w:color w:val="000000" w:themeColor="text1"/>
          <w:sz w:val="16"/>
          <w:szCs w:val="16"/>
        </w:rPr>
      </w:pPr>
      <w:r w:rsidRPr="00DB5D0D">
        <w:rPr>
          <w:color w:val="000000" w:themeColor="text1"/>
          <w:sz w:val="16"/>
          <w:szCs w:val="16"/>
        </w:rPr>
        <w:t>1 июля 1940 г. началась разработка плана, поручившего впоследствии наименование «Барбаросса», почти за год до начала войны. Еще есть время увеличить производство на своих заводах, есть время собрать «веником с пола» и подлатать французские трофеи, да и самих французов с их заводами напрячь… много еще чего можно сделать. Но — не делается. И после 22 июня не делается. Лишь после Сталинградской катастрофы «проснувшийся» Гитлер 13 января 1943 г объявляет «тотальную мобилизацию» (12624).</w:t>
      </w:r>
    </w:p>
    <w:p w14:paraId="741FAA7A" w14:textId="77777777" w:rsidR="00716A3D" w:rsidRPr="00DB5D0D" w:rsidRDefault="00716A3D" w:rsidP="00DB5D0D">
      <w:pPr>
        <w:pStyle w:val="ae"/>
        <w:spacing w:before="0" w:after="0"/>
        <w:jc w:val="both"/>
        <w:rPr>
          <w:color w:val="000000" w:themeColor="text1"/>
          <w:sz w:val="16"/>
          <w:szCs w:val="16"/>
        </w:rPr>
      </w:pPr>
    </w:p>
    <w:p w14:paraId="7DDC0E6A" w14:textId="77777777" w:rsidR="00304726" w:rsidRPr="00DB5D0D" w:rsidRDefault="003047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 июля</w:t>
      </w:r>
      <w:r w:rsidRPr="00DB5D0D">
        <w:rPr>
          <w:rFonts w:ascii="Times New Roman" w:hAnsi="Times New Roman"/>
          <w:color w:val="000000" w:themeColor="text1"/>
          <w:sz w:val="16"/>
          <w:szCs w:val="16"/>
        </w:rPr>
        <w:t xml:space="preserve"> в 1940 году Уинстон Черчилль говорит в палате общин: "Битва за Британию начинается". Слова эти знаменательны: потом по этому образцу появятся "Битва за Сталинград", "Битва за Кавказ" (14939).</w:t>
      </w:r>
    </w:p>
    <w:p w14:paraId="7E2201B3" w14:textId="77777777" w:rsidR="00304726" w:rsidRPr="00DB5D0D" w:rsidRDefault="00304726" w:rsidP="00DB5D0D">
      <w:pPr>
        <w:spacing w:after="0" w:line="240" w:lineRule="auto"/>
        <w:jc w:val="both"/>
        <w:rPr>
          <w:rFonts w:ascii="Times New Roman" w:hAnsi="Times New Roman"/>
          <w:color w:val="000000" w:themeColor="text1"/>
          <w:sz w:val="16"/>
          <w:szCs w:val="16"/>
        </w:rPr>
      </w:pPr>
    </w:p>
    <w:p w14:paraId="79A820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Правительство Франции переехало в Виши (3186).</w:t>
      </w:r>
    </w:p>
    <w:p w14:paraId="41EDB49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736295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французское правительство Петена переехало в Виши, где разместилось в пустых отелях (4962).</w:t>
      </w:r>
    </w:p>
    <w:p w14:paraId="53DC238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F4BCBBC"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1 July 1940 America begins to take some defence measures (270).</w:t>
      </w:r>
    </w:p>
    <w:p w14:paraId="59D3AF08"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28EEA7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США предприняли некоторые оборонные мероприятия (270).</w:t>
      </w:r>
    </w:p>
    <w:p w14:paraId="669E269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C3C0177" w14:textId="77777777" w:rsidR="00304726" w:rsidRPr="00DB5D0D" w:rsidRDefault="00304726"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1st, 1940: German troops complete the occupation of the Channel Islands, the only British territory ever captured by Germany during WWII. The French government of Marshal Petain moves from Bordeaux to Vichy. Marshal Balbo is replaced by Marshal Graziani as C-in-C of Italian forces in Libya. In the first 6 months of the year, German U-boats have sunk 900,000 tons of Allied shipping (3819).</w:t>
      </w:r>
    </w:p>
    <w:p w14:paraId="0511276C" w14:textId="77777777" w:rsidR="00304726" w:rsidRPr="00DB5D0D" w:rsidRDefault="00304726" w:rsidP="00DB5D0D">
      <w:pPr>
        <w:spacing w:after="0" w:line="240" w:lineRule="auto"/>
        <w:jc w:val="both"/>
        <w:rPr>
          <w:rFonts w:ascii="Times New Roman" w:hAnsi="Times New Roman"/>
          <w:color w:val="000000" w:themeColor="text1"/>
          <w:sz w:val="16"/>
          <w:szCs w:val="16"/>
          <w:lang w:val="en-US"/>
        </w:rPr>
      </w:pPr>
    </w:p>
    <w:p w14:paraId="7E2211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германские войска завершили оккупацию островов в Ла-Манше, единственной захваченной немцами британской территории. Французское правительство м Петена переехало из Бордо в Виши. М Балбо был заменен м Грациани в качестве главнокомандующего итальянскими силами в Ливии. За первые 6 месяцев войны германские п/л потопили корабли и суда общим тоннажем в 900 тыс. т (3819).</w:t>
      </w:r>
    </w:p>
    <w:p w14:paraId="7BF34B1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94E21D" w14:textId="77777777" w:rsidR="00304726" w:rsidRPr="00DB5D0D" w:rsidRDefault="003047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 июля</w:t>
      </w:r>
      <w:r w:rsidRPr="00DB5D0D">
        <w:rPr>
          <w:rFonts w:ascii="Times New Roman" w:hAnsi="Times New Roman"/>
          <w:color w:val="000000" w:themeColor="text1"/>
          <w:sz w:val="16"/>
          <w:szCs w:val="16"/>
        </w:rPr>
        <w:t xml:space="preserve"> в 1940 году два северных французских департамента переданы в управление немецких оккупационных властей Бельгии (14939).</w:t>
      </w:r>
    </w:p>
    <w:p w14:paraId="4DB338E4" w14:textId="77777777" w:rsidR="00304726" w:rsidRPr="00DB5D0D" w:rsidRDefault="00304726" w:rsidP="00DB5D0D">
      <w:pPr>
        <w:spacing w:after="0" w:line="240" w:lineRule="auto"/>
        <w:jc w:val="both"/>
        <w:rPr>
          <w:rFonts w:ascii="Times New Roman" w:hAnsi="Times New Roman"/>
          <w:color w:val="000000" w:themeColor="text1"/>
          <w:sz w:val="16"/>
          <w:szCs w:val="16"/>
        </w:rPr>
      </w:pPr>
    </w:p>
    <w:p w14:paraId="6F9A722B"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1 1940 German U-boats attack merchant ships in the Atlantic (1050).</w:t>
      </w:r>
    </w:p>
    <w:p w14:paraId="131AD8AE"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07F744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июля 1940 германские подлодки начали атаковать торговые суда в Атлантике (1050).</w:t>
      </w:r>
    </w:p>
    <w:p w14:paraId="34186D0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1AA0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на встрече с активистами Трудового фронта А.Г. предложил Англии мир (2536,117).</w:t>
      </w:r>
    </w:p>
    <w:p w14:paraId="207CA5A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EC48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июля по 19 августа 1940 было наступление итальянских войск в Северной Африке (2443,417).</w:t>
      </w:r>
    </w:p>
    <w:p w14:paraId="4BABAC4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3FCB41A" w14:textId="77777777" w:rsidR="00304726" w:rsidRPr="00DB5D0D" w:rsidRDefault="00304726"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bCs/>
          <w:color w:val="000000" w:themeColor="text1"/>
          <w:sz w:val="16"/>
          <w:szCs w:val="16"/>
        </w:rPr>
        <w:t>1 июля</w:t>
      </w:r>
      <w:r w:rsidRPr="00DB5D0D">
        <w:rPr>
          <w:rFonts w:ascii="Times New Roman" w:hAnsi="Times New Roman"/>
          <w:color w:val="000000" w:themeColor="text1"/>
          <w:sz w:val="16"/>
          <w:szCs w:val="16"/>
        </w:rPr>
        <w:t xml:space="preserve"> в 1940 году британское правительство заявило, что не допустит оккупацию СириииЛиванавойскамидругойдержавы</w:t>
      </w:r>
      <w:r w:rsidRPr="00DB5D0D">
        <w:rPr>
          <w:rFonts w:ascii="Times New Roman" w:hAnsi="Times New Roman"/>
          <w:color w:val="000000" w:themeColor="text1"/>
          <w:sz w:val="16"/>
          <w:szCs w:val="16"/>
          <w:lang w:val="en-US"/>
        </w:rPr>
        <w:t xml:space="preserve"> (14939).</w:t>
      </w:r>
    </w:p>
    <w:p w14:paraId="60960589" w14:textId="77777777" w:rsidR="00304726" w:rsidRPr="00DB5D0D" w:rsidRDefault="00304726" w:rsidP="00DB5D0D">
      <w:pPr>
        <w:spacing w:after="0" w:line="240" w:lineRule="auto"/>
        <w:jc w:val="both"/>
        <w:rPr>
          <w:rFonts w:ascii="Times New Roman" w:hAnsi="Times New Roman"/>
          <w:color w:val="000000" w:themeColor="text1"/>
          <w:sz w:val="16"/>
          <w:szCs w:val="16"/>
          <w:lang w:val="en-US"/>
        </w:rPr>
      </w:pPr>
    </w:p>
    <w:p w14:paraId="765F4C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 xml:space="preserve">July 1, 1940 - The newly founded National Defense Research Council (NDRC), headed by Vannevar Bush, takes over responsibility for uranium research. In his final report Briggs requests $140,000 for further work: $40,000 for lab measurements, and $100,000 for large scale uranium-graphite studies. </w:t>
      </w:r>
      <w:r w:rsidRPr="00DB5D0D">
        <w:rPr>
          <w:rFonts w:ascii="Times New Roman" w:hAnsi="Times New Roman"/>
          <w:color w:val="000000" w:themeColor="text1"/>
          <w:sz w:val="16"/>
          <w:szCs w:val="16"/>
        </w:rPr>
        <w:t>Bush approves only $40,000 (1039).</w:t>
      </w:r>
    </w:p>
    <w:p w14:paraId="4107EF9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7F93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недавно созданный Национальный совет оборонных исследований во главе с В.Бушем принял ответственность за исследования в области урана. В окончательном отчете Бриггс потребовал 140 тыс. долл. для дальнейшей работы, но Буш дал только 40 тыс. (1039).</w:t>
      </w:r>
    </w:p>
    <w:p w14:paraId="014B7EC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84C79BB" w14:textId="77777777" w:rsidR="00304726" w:rsidRPr="00DB5D0D" w:rsidRDefault="003047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 июля</w:t>
      </w:r>
      <w:r w:rsidRPr="00DB5D0D">
        <w:rPr>
          <w:rFonts w:ascii="Times New Roman" w:hAnsi="Times New Roman"/>
          <w:color w:val="000000" w:themeColor="text1"/>
          <w:sz w:val="16"/>
          <w:szCs w:val="16"/>
        </w:rPr>
        <w:t xml:space="preserve"> в 1940 году правительство США получило полномочия запрещать деятельность политических объединений (14939).</w:t>
      </w:r>
    </w:p>
    <w:p w14:paraId="38E6CD0F" w14:textId="77777777" w:rsidR="00304726" w:rsidRPr="00DB5D0D" w:rsidRDefault="00304726" w:rsidP="00DB5D0D">
      <w:pPr>
        <w:spacing w:after="0" w:line="240" w:lineRule="auto"/>
        <w:jc w:val="both"/>
        <w:rPr>
          <w:rFonts w:ascii="Times New Roman" w:hAnsi="Times New Roman"/>
          <w:color w:val="000000" w:themeColor="text1"/>
          <w:sz w:val="16"/>
          <w:szCs w:val="16"/>
        </w:rPr>
      </w:pPr>
    </w:p>
    <w:p w14:paraId="09557A64" w14:textId="77777777" w:rsidR="00304726" w:rsidRPr="00DB5D0D" w:rsidRDefault="003047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 июля</w:t>
      </w:r>
      <w:r w:rsidRPr="00DB5D0D">
        <w:rPr>
          <w:rFonts w:ascii="Times New Roman" w:hAnsi="Times New Roman"/>
          <w:color w:val="000000" w:themeColor="text1"/>
          <w:sz w:val="16"/>
          <w:szCs w:val="16"/>
        </w:rPr>
        <w:t xml:space="preserve"> в 1940 году вступил в строй мост у города Такома (США, штат Вашингтон), тогда третий по длине пролета (около 850 м) висячий мост мира. Но выяснилось, что в расчетах не учли вызываемые обдувом крутильные колебания балки жесткости. Следствие этого упущения обнаружилось с первых дней: уже при умеренном ветре настил моста «галопировал» — то поднимался, то опускался примерно на 1 м. Со всех концов сюда потянулись водители-лихачи, чтобы «с ветерком» промчаться по «качелям». 7 ноября 1940 года от налетевшего урагана мост, раскачавшись, рухнул в воду. Так как техслужбы установили посты наблюдения, очевидцев аварии и фотографий с места катастрофы оказалось предостаточно (14939).</w:t>
      </w:r>
    </w:p>
    <w:p w14:paraId="2F44FBD0" w14:textId="77777777" w:rsidR="00304726" w:rsidRPr="00DB5D0D" w:rsidRDefault="00304726" w:rsidP="00DB5D0D">
      <w:pPr>
        <w:spacing w:after="0" w:line="240" w:lineRule="auto"/>
        <w:jc w:val="both"/>
        <w:rPr>
          <w:rFonts w:ascii="Times New Roman" w:hAnsi="Times New Roman"/>
          <w:color w:val="000000" w:themeColor="text1"/>
          <w:sz w:val="16"/>
          <w:szCs w:val="16"/>
        </w:rPr>
      </w:pPr>
    </w:p>
    <w:p w14:paraId="047D17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 1940 японский премьер-министр Ф.Коноэ объявил, что распространение нового порядка на всю Восточную Азию, Индокитай и южную часть Тихого океана является божественной миссией Японии (3186).</w:t>
      </w:r>
    </w:p>
    <w:p w14:paraId="4E08F65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8E0246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июля 1940 в Японии введены ограничения на торговлю сахаром и спичками (4962).</w:t>
      </w:r>
    </w:p>
    <w:p w14:paraId="59E15C5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5A10034" w14:textId="77777777" w:rsidR="00304726" w:rsidRPr="00DB5D0D" w:rsidRDefault="003047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1 июля</w:t>
      </w:r>
      <w:r w:rsidRPr="00DB5D0D">
        <w:rPr>
          <w:rFonts w:ascii="Times New Roman" w:hAnsi="Times New Roman"/>
          <w:color w:val="000000" w:themeColor="text1"/>
          <w:sz w:val="16"/>
          <w:szCs w:val="16"/>
        </w:rPr>
        <w:t xml:space="preserve"> в 1940 году японский премьер-министр объявил, что распространение нового порядка на всю Восточную Азию, Индокитай и южную часть Тихого океана является божественной миссией Японии (14939).</w:t>
      </w:r>
    </w:p>
    <w:p w14:paraId="7C918901" w14:textId="77777777" w:rsidR="00304726" w:rsidRPr="00DB5D0D" w:rsidRDefault="00304726" w:rsidP="00DB5D0D">
      <w:pPr>
        <w:spacing w:after="0" w:line="240" w:lineRule="auto"/>
        <w:jc w:val="both"/>
        <w:rPr>
          <w:rFonts w:ascii="Times New Roman" w:hAnsi="Times New Roman"/>
          <w:color w:val="000000" w:themeColor="text1"/>
          <w:sz w:val="16"/>
          <w:szCs w:val="16"/>
        </w:rPr>
      </w:pPr>
    </w:p>
    <w:p w14:paraId="7641DB7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78CE72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38CA0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на рекордном самолете Нестеренко с новыми моторами был сделан контрольный полет продолжительностью 23 мин. Пилотировал - капитан Крюков (1313,50).</w:t>
      </w:r>
    </w:p>
    <w:p w14:paraId="54EEA1B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1BE80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года Шахурин писал письмо N 1706c/от секретарю КО Пугаеву нп N 5431/5ко (странно, что подготовлено было 19 июня 1940):</w:t>
      </w:r>
    </w:p>
    <w:p w14:paraId="6459A5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предложению инженеров завода N 22 Камкина и Рубцова о создании тяжелого пикирующего бомбардировщика сообщаю, что идея создания тяжелого пикирующего бомбардировщика с 2-мя спарками моторов М-107 или АМ-37 не новая.</w:t>
      </w:r>
    </w:p>
    <w:p w14:paraId="5E314F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 идея уже прорабатывалась Болховитиновым, а на заводе N 22 в КБ Архангельским. Архангельский эту работу приостановил в виду трудностей создания хороших эксплуатационных условий для обслуживания моторных групп.</w:t>
      </w:r>
    </w:p>
    <w:p w14:paraId="24C647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приближенных расчетов летно-тактические данные, заявленные Камкиным и Рубцовым осуществимы с некоторыми изменениями: максимальную скорость с моторами АМ-37 на высоте 7000 м следует ожидать порядка 650-670 км/час (вместо 700+(-)20 км/час). Дальность с 5000 кг горючего и масла на 0,8 максимальной скорости может быть достигнута 3000 км (вместо 4350 км).</w:t>
      </w:r>
    </w:p>
    <w:p w14:paraId="65BB04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более целесообразным создавать не один тяжелый пикирующий бомбардировщик, а два средних пикирующих бомбардировщика с теми же летными данными, с меньшим полетным весом и с одной спаркой моторов у каждого.</w:t>
      </w:r>
    </w:p>
    <w:p w14:paraId="529E65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исключит трудности создания пикирующего бомбардировщика с большим весом и даст возможность:</w:t>
      </w:r>
    </w:p>
    <w:p w14:paraId="219CB1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Увеличить общую бомбовую нагрузку до 2000 кг (по 1000 кг на самолет) вместо - 1500 кг.</w:t>
      </w:r>
    </w:p>
    <w:p w14:paraId="135D53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Достигнуть большей надежности в выполнении боевой задачи и меньшей вероятности быть сбитым.</w:t>
      </w:r>
    </w:p>
    <w:p w14:paraId="7E5BE2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осуществления своего предложения Камкин и Рубцов просят создать для них на заводе N 22 отдельную конструкторскую и производственную базу.</w:t>
      </w:r>
    </w:p>
    <w:p w14:paraId="261D84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что на заводе N 22 в настоящее время имеются уже два КБ (Архангельского и Жемчужина), создание еще третьей базы на том же заводе считаю не допустимым (1195,6).</w:t>
      </w:r>
    </w:p>
    <w:p w14:paraId="5574CE0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0FCF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в ходе заводских испытаний И-200 А.И.М, которые проходили с 31 марта по 17 августа 1940, на И-200-1 был полет на проверку работы карбюратора на пикировании и горках (2988).</w:t>
      </w:r>
    </w:p>
    <w:p w14:paraId="62A5058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FD2F7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в ходе заводских испытаний И-200 А.И.М, которые проходили с 31 марта по 17 августа 1940, на И-200-2 был выполнен контрольный полет на новом моторе. Потом до 15 июля ремонтировали (2988).</w:t>
      </w:r>
    </w:p>
    <w:p w14:paraId="0B5D494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D002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закончились гос. испытания САМ-14 - САМ-5-2бис с МВ-4 в 140 л.с., которые шли с 21 ноября 1939 (1076,648).</w:t>
      </w:r>
    </w:p>
    <w:p w14:paraId="0B038C4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22A3D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Нач. Особой группы НКАП Фирсаев писал письмо N 1643с/ог Дир. завода 81 Климовицкому о том, что “СНК своим распоряжением от 22 июня 1940 N 5703/ко отказал в передаче аэродрома НИИ ГУГВФ (в Тушино) заводу 81 и разрешил заводу 81 производить заводские испытания серийных и опытных машин на аэродроме НИИ ГВФ, организовав совместную эксплуатацию аэродрома.</w:t>
      </w:r>
    </w:p>
    <w:p w14:paraId="4988A4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поручению НКАП сообщаю Вам изложенное для исполнения” (1172,9).</w:t>
      </w:r>
    </w:p>
    <w:p w14:paraId="1A0CCE7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85994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года начальник НИП АВ ВВС полковник Шевченко и военком НИП АВ ВВС в/инженер 2 ранга Щербинин утвердили:</w:t>
      </w:r>
    </w:p>
    <w:p w14:paraId="1FA5DA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5 вариантов дымпатронов ДП-40, изготовленных заводом № 12</w:t>
      </w:r>
    </w:p>
    <w:p w14:paraId="38B9F1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13 июня 1940 года</w:t>
      </w:r>
    </w:p>
    <w:p w14:paraId="50709E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26 июня 1940 года</w:t>
      </w:r>
    </w:p>
    <w:p w14:paraId="0B88BF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182DC8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Лавров</w:t>
      </w:r>
    </w:p>
    <w:p w14:paraId="2F71DE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E6BBB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видимость разрывов бомб П-40 при бомбометании с высоты 8000 м.</w:t>
      </w:r>
    </w:p>
    <w:p w14:paraId="461335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были предъявлены дымпатроны следующих рецептур:</w:t>
      </w:r>
    </w:p>
    <w:p w14:paraId="69E701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валового снаряжения (метод заливки).</w:t>
      </w:r>
    </w:p>
    <w:p w14:paraId="5E3CD3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опытного (метод набивики).</w:t>
      </w:r>
    </w:p>
    <w:p w14:paraId="5E8292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Аммотол опытного</w:t>
      </w:r>
    </w:p>
    <w:p w14:paraId="522BCF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Французская смесь</w:t>
      </w:r>
    </w:p>
    <w:p w14:paraId="75C73C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ДНН/ТНТ</w:t>
      </w:r>
    </w:p>
    <w:p w14:paraId="77623B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E7E832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Дымпатроны ДП-40, снаряженные:</w:t>
      </w:r>
    </w:p>
    <w:p w14:paraId="26798D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валового снаряжения (метод заливки).</w:t>
      </w:r>
    </w:p>
    <w:p w14:paraId="202C27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опытного (метод набивики).</w:t>
      </w:r>
    </w:p>
    <w:p w14:paraId="58F3C7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Аммотол опытного</w:t>
      </w:r>
    </w:p>
    <w:p w14:paraId="1B371C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Французская смесь</w:t>
      </w:r>
    </w:p>
    <w:p w14:paraId="2C4D74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ДНН/ТНТ</w:t>
      </w:r>
    </w:p>
    <w:p w14:paraId="328010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обеспечению видимости разрывов с высоты 8000 м – полигонные испытания не выдержали.</w:t>
      </w:r>
    </w:p>
    <w:p w14:paraId="75FEC65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наблюдений разрывов с высоты бомбометания не больше 6000 м, считать равноценными ДП-40:</w:t>
      </w:r>
    </w:p>
    <w:p w14:paraId="4A0D07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валового снаряжения</w:t>
      </w:r>
    </w:p>
    <w:p w14:paraId="70DCDD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ТНТ опытного снаряжения</w:t>
      </w:r>
    </w:p>
    <w:p w14:paraId="64294B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ДНН/ТНТ (7537).</w:t>
      </w:r>
    </w:p>
    <w:p w14:paraId="1F2FAD3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31441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Ст. КОНТРОЛЕР КО Солддатов и Пом. Нач. Секретариата КО Тугеев подготовил для тов.ВОРОПИЛОВА К.Е.</w:t>
      </w:r>
    </w:p>
    <w:p w14:paraId="3B29C8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Справку об аварии стратостата "Красный Кремль"</w:t>
      </w:r>
    </w:p>
    <w:p w14:paraId="4CF201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29-го апреля с.г. Зам. НКО тов. Локтионов разрешил полет на высоту20-тыс. метров стратосфера “Красный Крмль” объемом 60000 мкуб.</w:t>
      </w:r>
    </w:p>
    <w:p w14:paraId="7B27EC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стратостата назначен был в количестве 2-х человек - командир стратостата майор ЗЫКОВ и научный сотрудник Академии наук т. Кузнецов.</w:t>
      </w:r>
    </w:p>
    <w:p w14:paraId="45B5CB1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подготовки полета и приведения в порядок материальной части был утвержден штаб старта в составе: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4307D383" w14:textId="77777777" w:rsidTr="00E543D0">
        <w:tc>
          <w:tcPr>
            <w:tcW w:w="5636" w:type="dxa"/>
            <w:tcBorders>
              <w:top w:val="single" w:sz="12" w:space="0" w:color="auto"/>
            </w:tcBorders>
            <w:shd w:val="clear" w:color="auto" w:fill="FFFFFF"/>
          </w:tcPr>
          <w:p w14:paraId="6A3D53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Нач-ка штаба старта</w:t>
            </w:r>
          </w:p>
        </w:tc>
        <w:tc>
          <w:tcPr>
            <w:tcW w:w="5636" w:type="dxa"/>
            <w:tcBorders>
              <w:top w:val="single" w:sz="12" w:space="0" w:color="auto"/>
            </w:tcBorders>
            <w:shd w:val="clear" w:color="auto" w:fill="FFFFFF"/>
          </w:tcPr>
          <w:p w14:paraId="4DBC11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полковника ВАКАТОВА И.П.</w:t>
            </w:r>
          </w:p>
        </w:tc>
      </w:tr>
      <w:tr w:rsidR="007D5DF8" w:rsidRPr="00DB5D0D" w14:paraId="0BF481EB" w14:textId="77777777" w:rsidTr="00E543D0">
        <w:tc>
          <w:tcPr>
            <w:tcW w:w="5636" w:type="dxa"/>
            <w:shd w:val="clear" w:color="auto" w:fill="FFFFFF"/>
          </w:tcPr>
          <w:p w14:paraId="1E4A27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Главного стартера</w:t>
            </w:r>
          </w:p>
        </w:tc>
        <w:tc>
          <w:tcPr>
            <w:tcW w:w="5636" w:type="dxa"/>
            <w:shd w:val="clear" w:color="auto" w:fill="FFFFFF"/>
          </w:tcPr>
          <w:p w14:paraId="1DD83E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ДМИТРИЕВА II.С.</w:t>
            </w:r>
          </w:p>
        </w:tc>
      </w:tr>
      <w:tr w:rsidR="007D5DF8" w:rsidRPr="00DB5D0D" w14:paraId="20CE1F93" w14:textId="77777777" w:rsidTr="00E543D0">
        <w:tc>
          <w:tcPr>
            <w:tcW w:w="5636" w:type="dxa"/>
            <w:shd w:val="clear" w:color="auto" w:fill="FFFFFF"/>
          </w:tcPr>
          <w:p w14:paraId="3E28D5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Главного инженера старта - военинженера З ранга ЕГОРОВА А.В.</w:t>
            </w:r>
          </w:p>
        </w:tc>
        <w:tc>
          <w:tcPr>
            <w:tcW w:w="5636" w:type="dxa"/>
            <w:shd w:val="clear" w:color="auto" w:fill="FFFFFF"/>
          </w:tcPr>
          <w:p w14:paraId="3F8D0A3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245600F" w14:textId="77777777" w:rsidTr="00E543D0">
        <w:tc>
          <w:tcPr>
            <w:tcW w:w="5636" w:type="dxa"/>
            <w:shd w:val="clear" w:color="auto" w:fill="FFFFFF"/>
          </w:tcPr>
          <w:p w14:paraId="1E9E0F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 службы спец. Оборудования</w:t>
            </w:r>
          </w:p>
        </w:tc>
        <w:tc>
          <w:tcPr>
            <w:tcW w:w="5636" w:type="dxa"/>
            <w:shd w:val="clear" w:color="auto" w:fill="FFFFFF"/>
          </w:tcPr>
          <w:p w14:paraId="30BF34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КАЛАШНИКОВА</w:t>
            </w:r>
          </w:p>
        </w:tc>
      </w:tr>
      <w:tr w:rsidR="007D5DF8" w:rsidRPr="00DB5D0D" w14:paraId="51121F81" w14:textId="77777777" w:rsidTr="00E543D0">
        <w:tc>
          <w:tcPr>
            <w:tcW w:w="5636" w:type="dxa"/>
            <w:shd w:val="clear" w:color="auto" w:fill="FFFFFF"/>
          </w:tcPr>
          <w:p w14:paraId="2A82F8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Военврача 1-го ранга</w:t>
            </w:r>
          </w:p>
        </w:tc>
        <w:tc>
          <w:tcPr>
            <w:tcW w:w="5636" w:type="dxa"/>
            <w:shd w:val="clear" w:color="auto" w:fill="FFFFFF"/>
          </w:tcPr>
          <w:p w14:paraId="7D7A1F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ПРУНТОВА</w:t>
            </w:r>
          </w:p>
        </w:tc>
      </w:tr>
      <w:tr w:rsidR="007D5DF8" w:rsidRPr="00DB5D0D" w14:paraId="1AA9D7B7" w14:textId="77777777" w:rsidTr="00E543D0">
        <w:tc>
          <w:tcPr>
            <w:tcW w:w="5636" w:type="dxa"/>
            <w:shd w:val="clear" w:color="auto" w:fill="FFFFFF"/>
          </w:tcPr>
          <w:p w14:paraId="3F4F87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Начальника связи</w:t>
            </w:r>
          </w:p>
        </w:tc>
        <w:tc>
          <w:tcPr>
            <w:tcW w:w="5636" w:type="dxa"/>
            <w:shd w:val="clear" w:color="auto" w:fill="FFFFFF"/>
          </w:tcPr>
          <w:p w14:paraId="6905B2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ЖЕЛЕЗОВА</w:t>
            </w:r>
          </w:p>
        </w:tc>
      </w:tr>
      <w:tr w:rsidR="007D5DF8" w:rsidRPr="00DB5D0D" w14:paraId="40CBADB4" w14:textId="77777777" w:rsidTr="00E543D0">
        <w:tc>
          <w:tcPr>
            <w:tcW w:w="5636" w:type="dxa"/>
            <w:tcBorders>
              <w:bottom w:val="single" w:sz="12" w:space="0" w:color="auto"/>
            </w:tcBorders>
            <w:shd w:val="clear" w:color="auto" w:fill="FFFFFF"/>
          </w:tcPr>
          <w:p w14:paraId="00C54E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 гондольной группы</w:t>
            </w:r>
          </w:p>
        </w:tc>
        <w:tc>
          <w:tcPr>
            <w:tcW w:w="5636" w:type="dxa"/>
            <w:tcBorders>
              <w:bottom w:val="single" w:sz="12" w:space="0" w:color="auto"/>
            </w:tcBorders>
            <w:shd w:val="clear" w:color="auto" w:fill="FFFFFF"/>
          </w:tcPr>
          <w:p w14:paraId="2C61D8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ГОСТЕВА</w:t>
            </w:r>
          </w:p>
        </w:tc>
      </w:tr>
    </w:tbl>
    <w:p w14:paraId="60D39A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Указанные товарищи дол</w:t>
      </w:r>
      <w:r w:rsidR="00716A3D" w:rsidRPr="00DB5D0D">
        <w:rPr>
          <w:rFonts w:ascii="Times New Roman" w:hAnsi="Times New Roman"/>
          <w:color w:val="000000" w:themeColor="text1"/>
          <w:sz w:val="16"/>
          <w:szCs w:val="16"/>
        </w:rPr>
        <w:t>ж</w:t>
      </w:r>
      <w:r w:rsidRPr="00DB5D0D">
        <w:rPr>
          <w:rFonts w:ascii="Times New Roman" w:hAnsi="Times New Roman"/>
          <w:color w:val="000000" w:themeColor="text1"/>
          <w:sz w:val="16"/>
          <w:szCs w:val="16"/>
        </w:rPr>
        <w:t>ны были тщате</w:t>
      </w:r>
      <w:r w:rsidR="00716A3D" w:rsidRPr="00DB5D0D">
        <w:rPr>
          <w:rFonts w:ascii="Times New Roman" w:hAnsi="Times New Roman"/>
          <w:color w:val="000000" w:themeColor="text1"/>
          <w:sz w:val="16"/>
          <w:szCs w:val="16"/>
        </w:rPr>
        <w:t>ль</w:t>
      </w:r>
      <w:r w:rsidRPr="00DB5D0D">
        <w:rPr>
          <w:rFonts w:ascii="Times New Roman" w:hAnsi="Times New Roman"/>
          <w:color w:val="000000" w:themeColor="text1"/>
          <w:sz w:val="16"/>
          <w:szCs w:val="16"/>
        </w:rPr>
        <w:t>ным образом подготовить материальную часть; проверить все механизмы на земле и учесть трудности подъема при боковом ветре.</w:t>
      </w:r>
    </w:p>
    <w:p w14:paraId="30E6D3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Такой тщательной подготовки не было сделано, так, например, отцепное приспособление (кольцо), при помощи которого можно отделить гондолу от оболочки, проверялось только под нормальную нагрузку; испытания надежности крепления-гондолы - при боковых усилиях - не было проведено, Сам отцепной механизм сделан примитивно и крепление его ненадежное.</w:t>
      </w:r>
    </w:p>
    <w:p w14:paraId="22419A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Главный стартер Т.ДМИТРИЕВ и главный инженер старта т. ЕГОРОВ, по отзывам Председателя Комиссии по расследованию аварии т. СЕМЕНОВА - недостаточно опытные специалисты и, безусловно, многое в подготовке упустили.</w:t>
      </w:r>
    </w:p>
    <w:p w14:paraId="49D30E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самым подъемом стратостат был наполнен гелием в количест</w:t>
      </w:r>
      <w:r w:rsidR="00716A3D" w:rsidRPr="00DB5D0D">
        <w:rPr>
          <w:rFonts w:ascii="Times New Roman" w:hAnsi="Times New Roman"/>
          <w:color w:val="000000" w:themeColor="text1"/>
          <w:sz w:val="16"/>
          <w:szCs w:val="16"/>
        </w:rPr>
        <w:t>в</w:t>
      </w:r>
      <w:r w:rsidRPr="00DB5D0D">
        <w:rPr>
          <w:rFonts w:ascii="Times New Roman" w:hAnsi="Times New Roman"/>
          <w:color w:val="000000" w:themeColor="text1"/>
          <w:sz w:val="16"/>
          <w:szCs w:val="16"/>
        </w:rPr>
        <w:t>е 4500 куб.метров и водородом в количестве 450 -500 куб. метров (смесь гелий-водород в такой пропорции не огнеопасна).</w:t>
      </w:r>
    </w:p>
    <w:p w14:paraId="40E236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самый начальный момент взлета на высоте 5-7 м гондола оторвалась от оболочки и ударилась о землю, при этом т. ЗЫКОЗ - тяжело ранен, т. КУЗНЕЦОВ - имеет легкие ранения дней через 5-7 выйдет из больниц</w:t>
      </w:r>
      <w:r w:rsidR="00716A3D" w:rsidRPr="00DB5D0D">
        <w:rPr>
          <w:rFonts w:ascii="Times New Roman" w:hAnsi="Times New Roman"/>
          <w:color w:val="000000" w:themeColor="text1"/>
          <w:sz w:val="16"/>
          <w:szCs w:val="16"/>
        </w:rPr>
        <w:t>ы</w:t>
      </w:r>
      <w:r w:rsidRPr="00DB5D0D">
        <w:rPr>
          <w:rFonts w:ascii="Times New Roman" w:hAnsi="Times New Roman"/>
          <w:color w:val="000000" w:themeColor="text1"/>
          <w:sz w:val="16"/>
          <w:szCs w:val="16"/>
        </w:rPr>
        <w:t>. Вся гондола от удара деформировалась и приведена в негоднос</w:t>
      </w:r>
      <w:r w:rsidR="00716A3D" w:rsidRPr="00DB5D0D">
        <w:rPr>
          <w:rFonts w:ascii="Times New Roman" w:hAnsi="Times New Roman"/>
          <w:color w:val="000000" w:themeColor="text1"/>
          <w:sz w:val="16"/>
          <w:szCs w:val="16"/>
        </w:rPr>
        <w:t>т</w:t>
      </w:r>
      <w:r w:rsidRPr="00DB5D0D">
        <w:rPr>
          <w:rFonts w:ascii="Times New Roman" w:hAnsi="Times New Roman"/>
          <w:color w:val="000000" w:themeColor="text1"/>
          <w:sz w:val="16"/>
          <w:szCs w:val="16"/>
        </w:rPr>
        <w:t>ъ. Оболочка поднялась одна и была найдена после в районе Звенигорода.</w:t>
      </w:r>
    </w:p>
    <w:p w14:paraId="415863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Причиной отрыва гондолы от оболочки послужило самопроизвольное открытие замков отцепного механизма, вследствие несовершенного устройства его и возможных боковых усилий троссов при взлете, которых он, как видно, не выдерживает.</w:t>
      </w:r>
    </w:p>
    <w:p w14:paraId="76F067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производит тщательное расследование всей происшедшей аварии и 3 июля с.г. доложит подробно свои выводы (10514,45).</w:t>
      </w:r>
    </w:p>
    <w:p w14:paraId="7FC156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728002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49A73A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4543400"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w:t>
      </w:r>
      <w:r w:rsidRPr="00DB5D0D">
        <w:rPr>
          <w:rFonts w:ascii="Times New Roman" w:hAnsi="Times New Roman" w:cs="Times New Roman"/>
          <w:i w:val="0"/>
          <w:iCs w:val="0"/>
          <w:noProof w:val="0"/>
          <w:color w:val="000000" w:themeColor="text1"/>
          <w:sz w:val="16"/>
          <w:szCs w:val="16"/>
          <w:lang w:val="ru-RU"/>
        </w:rPr>
        <w:t xml:space="preserve"> июля </w:t>
      </w:r>
      <w:r w:rsidRPr="00DB5D0D">
        <w:rPr>
          <w:rFonts w:ascii="Times New Roman" w:hAnsi="Times New Roman" w:cs="Times New Roman"/>
          <w:i w:val="0"/>
          <w:iCs w:val="0"/>
          <w:color w:val="000000" w:themeColor="text1"/>
          <w:sz w:val="16"/>
          <w:szCs w:val="16"/>
          <w:lang w:val="ru-RU"/>
        </w:rPr>
        <w:t>1940 НАЧАЛЬНИКУ 4 ОТДЕЛА АБТУКА ВОЕНИНЖЕНЕРУ</w:t>
      </w:r>
      <w:r w:rsidRPr="00DB5D0D">
        <w:rPr>
          <w:rFonts w:ascii="Times New Roman" w:hAnsi="Times New Roman" w:cs="Times New Roman"/>
          <w:i w:val="0"/>
          <w:iCs w:val="0"/>
          <w:color w:val="000000" w:themeColor="text1"/>
          <w:sz w:val="16"/>
          <w:szCs w:val="16"/>
        </w:rPr>
        <w:t>I</w:t>
      </w:r>
      <w:r w:rsidRPr="00DB5D0D">
        <w:rPr>
          <w:rFonts w:ascii="Times New Roman" w:hAnsi="Times New Roman" w:cs="Times New Roman"/>
          <w:i w:val="0"/>
          <w:iCs w:val="0"/>
          <w:color w:val="000000" w:themeColor="text1"/>
          <w:sz w:val="16"/>
          <w:szCs w:val="16"/>
          <w:lang w:val="ru-RU"/>
        </w:rPr>
        <w:t xml:space="preserve"> РАНГА т. АЛЫМОВУ НАЧАЛЬНИКУ 8 ОТДЕЛА АБТУКА ВОЕНИНЖЕНЕРУ </w:t>
      </w:r>
      <w:r w:rsidRPr="00DB5D0D">
        <w:rPr>
          <w:rFonts w:ascii="Times New Roman" w:hAnsi="Times New Roman" w:cs="Times New Roman"/>
          <w:i w:val="0"/>
          <w:iCs w:val="0"/>
          <w:color w:val="000000" w:themeColor="text1"/>
          <w:sz w:val="16"/>
          <w:szCs w:val="16"/>
        </w:rPr>
        <w:t>I</w:t>
      </w:r>
      <w:r w:rsidRPr="00DB5D0D">
        <w:rPr>
          <w:rFonts w:ascii="Times New Roman" w:hAnsi="Times New Roman" w:cs="Times New Roman"/>
          <w:i w:val="0"/>
          <w:iCs w:val="0"/>
          <w:color w:val="000000" w:themeColor="text1"/>
          <w:sz w:val="16"/>
          <w:szCs w:val="16"/>
          <w:lang w:val="ru-RU"/>
        </w:rPr>
        <w:t xml:space="preserve"> РАНГА т. АФОНИНУ СВОДКА</w:t>
      </w:r>
      <w:r w:rsidRPr="00DB5D0D">
        <w:rPr>
          <w:rStyle w:val="116"/>
          <w:rFonts w:ascii="Times New Roman" w:hAnsi="Times New Roman" w:cs="Times New Roman"/>
          <w:iCs/>
          <w:color w:val="000000" w:themeColor="text1"/>
          <w:sz w:val="16"/>
          <w:szCs w:val="16"/>
          <w:u w:val="none"/>
          <w:lang w:val="ru-RU"/>
        </w:rPr>
        <w:t>ЗА ИЮНЬ МЕСЯЦ 1940 г. ПО МАШИНЕ А-34</w:t>
      </w:r>
      <w:r w:rsidRPr="00DB5D0D">
        <w:rPr>
          <w:rFonts w:ascii="Times New Roman" w:hAnsi="Times New Roman" w:cs="Times New Roman"/>
          <w:i w:val="0"/>
          <w:iCs w:val="0"/>
          <w:color w:val="000000" w:themeColor="text1"/>
          <w:sz w:val="16"/>
          <w:szCs w:val="16"/>
          <w:lang w:val="ru-RU"/>
        </w:rPr>
        <w:t>№326с</w:t>
      </w:r>
    </w:p>
    <w:p w14:paraId="2D5BA56A" w14:textId="77777777" w:rsidR="003C7E8B" w:rsidRPr="00DB5D0D" w:rsidRDefault="003C7E8B" w:rsidP="00DB5D0D">
      <w:pPr>
        <w:pStyle w:val="1110"/>
        <w:shd w:val="clear" w:color="auto" w:fill="auto"/>
        <w:tabs>
          <w:tab w:val="left" w:pos="519"/>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1.4 машины собраны и приняты Военпре- довским пробегом. Две из них 2 Июля отправ</w:t>
      </w:r>
      <w:r w:rsidRPr="00DB5D0D">
        <w:rPr>
          <w:rFonts w:ascii="Times New Roman" w:hAnsi="Times New Roman" w:cs="Times New Roman"/>
          <w:i w:val="0"/>
          <w:iCs w:val="0"/>
          <w:color w:val="000000" w:themeColor="text1"/>
          <w:sz w:val="16"/>
          <w:szCs w:val="16"/>
          <w:lang w:val="ru-RU"/>
        </w:rPr>
        <w:softHyphen/>
        <w:t>ляются заводу №8 (без башен).</w:t>
      </w:r>
    </w:p>
    <w:p w14:paraId="2FE59CF0" w14:textId="77777777" w:rsidR="003C7E8B" w:rsidRPr="00DB5D0D" w:rsidRDefault="003C7E8B" w:rsidP="00DB5D0D">
      <w:pPr>
        <w:pStyle w:val="1110"/>
        <w:shd w:val="clear" w:color="auto" w:fill="auto"/>
        <w:tabs>
          <w:tab w:val="left" w:pos="514"/>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2.Изготовлено всего корпусов - 10 шт. Башен-5 шт.</w:t>
      </w:r>
    </w:p>
    <w:p w14:paraId="16C27D54" w14:textId="77777777" w:rsidR="003C7E8B" w:rsidRPr="00DB5D0D" w:rsidRDefault="003C7E8B" w:rsidP="00DB5D0D">
      <w:pPr>
        <w:pStyle w:val="1110"/>
        <w:shd w:val="clear" w:color="auto" w:fill="auto"/>
        <w:tabs>
          <w:tab w:val="left" w:pos="49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3.На все первые десять машин имеются все детали за исключением:</w:t>
      </w:r>
    </w:p>
    <w:p w14:paraId="3E4EC6B3" w14:textId="77777777" w:rsidR="003C7E8B" w:rsidRPr="00DB5D0D" w:rsidRDefault="003C7E8B" w:rsidP="00DB5D0D">
      <w:pPr>
        <w:pStyle w:val="1110"/>
        <w:shd w:val="clear" w:color="auto" w:fill="auto"/>
        <w:tabs>
          <w:tab w:val="left" w:pos="49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а)Нет грузолент. Поставляет Красный Тре</w:t>
      </w:r>
      <w:r w:rsidRPr="00DB5D0D">
        <w:rPr>
          <w:rFonts w:ascii="Times New Roman" w:hAnsi="Times New Roman" w:cs="Times New Roman"/>
          <w:i w:val="0"/>
          <w:iCs w:val="0"/>
          <w:color w:val="000000" w:themeColor="text1"/>
          <w:sz w:val="16"/>
          <w:szCs w:val="16"/>
          <w:lang w:val="ru-RU"/>
        </w:rPr>
        <w:softHyphen/>
        <w:t>угольник и ЯРАК.</w:t>
      </w:r>
    </w:p>
    <w:p w14:paraId="6F2989EE" w14:textId="77777777" w:rsidR="003C7E8B" w:rsidRPr="00DB5D0D" w:rsidRDefault="003C7E8B" w:rsidP="00DB5D0D">
      <w:pPr>
        <w:pStyle w:val="1110"/>
        <w:shd w:val="clear" w:color="auto" w:fill="auto"/>
        <w:tabs>
          <w:tab w:val="left" w:pos="514"/>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б)Нет стекол триплекс и зеркал для смот</w:t>
      </w:r>
      <w:r w:rsidRPr="00DB5D0D">
        <w:rPr>
          <w:rFonts w:ascii="Times New Roman" w:hAnsi="Times New Roman" w:cs="Times New Roman"/>
          <w:i w:val="0"/>
          <w:iCs w:val="0"/>
          <w:color w:val="000000" w:themeColor="text1"/>
          <w:sz w:val="16"/>
          <w:szCs w:val="16"/>
          <w:lang w:val="ru-RU"/>
        </w:rPr>
        <w:softHyphen/>
        <w:t>ровых приборов.</w:t>
      </w:r>
    </w:p>
    <w:p w14:paraId="279D658D" w14:textId="77777777" w:rsidR="003C7E8B" w:rsidRPr="00DB5D0D" w:rsidRDefault="003C7E8B" w:rsidP="00DB5D0D">
      <w:pPr>
        <w:pStyle w:val="1110"/>
        <w:shd w:val="clear" w:color="auto" w:fill="auto"/>
        <w:tabs>
          <w:tab w:val="left" w:pos="514"/>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в)Нет спаренной шаровой установки для пулемета.</w:t>
      </w:r>
    </w:p>
    <w:p w14:paraId="5C4D8FE3" w14:textId="77777777" w:rsidR="003C7E8B" w:rsidRPr="00DB5D0D" w:rsidRDefault="003C7E8B" w:rsidP="00DB5D0D">
      <w:pPr>
        <w:pStyle w:val="1110"/>
        <w:shd w:val="clear" w:color="auto" w:fill="auto"/>
        <w:tabs>
          <w:tab w:val="left" w:pos="462"/>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г)Не проведены испытания оснований смот</w:t>
      </w:r>
      <w:r w:rsidRPr="00DB5D0D">
        <w:rPr>
          <w:rFonts w:ascii="Times New Roman" w:hAnsi="Times New Roman" w:cs="Times New Roman"/>
          <w:i w:val="0"/>
          <w:iCs w:val="0"/>
          <w:color w:val="000000" w:themeColor="text1"/>
          <w:sz w:val="16"/>
          <w:szCs w:val="16"/>
          <w:lang w:val="ru-RU"/>
        </w:rPr>
        <w:softHyphen/>
        <w:t>ровых приборов обстрелом.</w:t>
      </w:r>
    </w:p>
    <w:p w14:paraId="2695E41D"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Выше перечисленные пункты задерживают окончательную укомплектовку машин. Со сю- роны АБТУ КА необходимо принять срочные меры по высылке на завод № 183 шаровой ус</w:t>
      </w:r>
      <w:r w:rsidRPr="00DB5D0D">
        <w:rPr>
          <w:rFonts w:ascii="Times New Roman" w:hAnsi="Times New Roman" w:cs="Times New Roman"/>
          <w:i w:val="0"/>
          <w:iCs w:val="0"/>
          <w:color w:val="000000" w:themeColor="text1"/>
          <w:sz w:val="16"/>
          <w:szCs w:val="16"/>
          <w:lang w:val="ru-RU"/>
        </w:rPr>
        <w:softHyphen/>
        <w:t>тановки к спаренной системе.</w:t>
      </w:r>
    </w:p>
    <w:p w14:paraId="5F5CEE8C" w14:textId="77777777" w:rsidR="003C7E8B" w:rsidRPr="00DB5D0D" w:rsidRDefault="003C7E8B" w:rsidP="00DB5D0D">
      <w:pPr>
        <w:pStyle w:val="1110"/>
        <w:shd w:val="clear" w:color="auto" w:fill="auto"/>
        <w:tabs>
          <w:tab w:val="left" w:pos="486"/>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1.Во время пробегов были обнаружены сле</w:t>
      </w:r>
      <w:r w:rsidRPr="00DB5D0D">
        <w:rPr>
          <w:rFonts w:ascii="Times New Roman" w:hAnsi="Times New Roman" w:cs="Times New Roman"/>
          <w:i w:val="0"/>
          <w:iCs w:val="0"/>
          <w:color w:val="000000" w:themeColor="text1"/>
          <w:sz w:val="16"/>
          <w:szCs w:val="16"/>
          <w:lang w:val="ru-RU"/>
        </w:rPr>
        <w:softHyphen/>
        <w:t>дующие дефекты:</w:t>
      </w:r>
    </w:p>
    <w:p w14:paraId="0B384BAD" w14:textId="77777777" w:rsidR="003C7E8B" w:rsidRPr="00DB5D0D" w:rsidRDefault="003C7E8B" w:rsidP="00DB5D0D">
      <w:pPr>
        <w:pStyle w:val="1110"/>
        <w:shd w:val="clear" w:color="auto" w:fill="auto"/>
        <w:tabs>
          <w:tab w:val="left" w:pos="519"/>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а)Полетел привод к стартеру - не пра</w:t>
      </w:r>
      <w:r w:rsidRPr="00DB5D0D">
        <w:rPr>
          <w:rFonts w:ascii="Times New Roman" w:hAnsi="Times New Roman" w:cs="Times New Roman"/>
          <w:i w:val="0"/>
          <w:iCs w:val="0"/>
          <w:color w:val="000000" w:themeColor="text1"/>
          <w:sz w:val="16"/>
          <w:szCs w:val="16"/>
          <w:lang w:val="ru-RU"/>
        </w:rPr>
        <w:softHyphen/>
        <w:t>вильная механическая обработка червяка и шестерни.</w:t>
      </w:r>
    </w:p>
    <w:p w14:paraId="09BBE506" w14:textId="77777777" w:rsidR="003C7E8B" w:rsidRPr="00DB5D0D" w:rsidRDefault="003C7E8B" w:rsidP="00DB5D0D">
      <w:pPr>
        <w:pStyle w:val="1110"/>
        <w:shd w:val="clear" w:color="auto" w:fill="auto"/>
        <w:tabs>
          <w:tab w:val="left" w:pos="514"/>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б)Заедание натяжного механизма гусени</w:t>
      </w:r>
      <w:r w:rsidRPr="00DB5D0D">
        <w:rPr>
          <w:rFonts w:ascii="Times New Roman" w:hAnsi="Times New Roman" w:cs="Times New Roman"/>
          <w:i w:val="0"/>
          <w:iCs w:val="0"/>
          <w:color w:val="000000" w:themeColor="text1"/>
          <w:sz w:val="16"/>
          <w:szCs w:val="16"/>
          <w:lang w:val="ru-RU"/>
        </w:rPr>
        <w:softHyphen/>
        <w:t>цы -не правильная технологическая обработ</w:t>
      </w:r>
      <w:r w:rsidRPr="00DB5D0D">
        <w:rPr>
          <w:rFonts w:ascii="Times New Roman" w:hAnsi="Times New Roman" w:cs="Times New Roman"/>
          <w:i w:val="0"/>
          <w:iCs w:val="0"/>
          <w:color w:val="000000" w:themeColor="text1"/>
          <w:sz w:val="16"/>
          <w:szCs w:val="16"/>
          <w:lang w:val="ru-RU"/>
        </w:rPr>
        <w:softHyphen/>
        <w:t>ка червяка и шестерни.</w:t>
      </w:r>
    </w:p>
    <w:p w14:paraId="084DBB00" w14:textId="77777777" w:rsidR="003C7E8B" w:rsidRPr="00DB5D0D" w:rsidRDefault="003C7E8B" w:rsidP="00DB5D0D">
      <w:pPr>
        <w:pStyle w:val="1110"/>
        <w:shd w:val="clear" w:color="auto" w:fill="auto"/>
        <w:tabs>
          <w:tab w:val="left" w:pos="482"/>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в)Заедание тяги главного фрикциона.</w:t>
      </w:r>
    </w:p>
    <w:p w14:paraId="290B9BBC" w14:textId="77777777" w:rsidR="003C7E8B" w:rsidRPr="00DB5D0D" w:rsidRDefault="003C7E8B" w:rsidP="00DB5D0D">
      <w:pPr>
        <w:pStyle w:val="1110"/>
        <w:shd w:val="clear" w:color="auto" w:fill="auto"/>
        <w:tabs>
          <w:tab w:val="left" w:pos="50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г)Ненормальная работа пневматического сервоуправления - регулировка.</w:t>
      </w:r>
    </w:p>
    <w:p w14:paraId="3D623FA2" w14:textId="77777777" w:rsidR="003C7E8B" w:rsidRPr="00DB5D0D" w:rsidRDefault="003C7E8B" w:rsidP="00DB5D0D">
      <w:pPr>
        <w:pStyle w:val="1110"/>
        <w:shd w:val="clear" w:color="auto" w:fill="auto"/>
        <w:tabs>
          <w:tab w:val="left" w:pos="495"/>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д)Полетела подушка стартера - конструк</w:t>
      </w:r>
      <w:r w:rsidRPr="00DB5D0D">
        <w:rPr>
          <w:rFonts w:ascii="Times New Roman" w:hAnsi="Times New Roman" w:cs="Times New Roman"/>
          <w:i w:val="0"/>
          <w:iCs w:val="0"/>
          <w:color w:val="000000" w:themeColor="text1"/>
          <w:sz w:val="16"/>
          <w:szCs w:val="16"/>
          <w:lang w:val="ru-RU"/>
        </w:rPr>
        <w:softHyphen/>
        <w:t>тивный недостаток.</w:t>
      </w:r>
    </w:p>
    <w:p w14:paraId="7D2FF680" w14:textId="77777777" w:rsidR="003C7E8B" w:rsidRPr="00DB5D0D" w:rsidRDefault="003C7E8B" w:rsidP="00DB5D0D">
      <w:pPr>
        <w:pStyle w:val="1110"/>
        <w:shd w:val="clear" w:color="auto" w:fill="auto"/>
        <w:tabs>
          <w:tab w:val="left" w:pos="505"/>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е)Трудное включение 1-й 11-й передачи и ряд других мелких дефектов.</w:t>
      </w:r>
    </w:p>
    <w:p w14:paraId="341085BC"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По вышеуказанным дефектам принимают</w:t>
      </w:r>
      <w:r w:rsidRPr="00DB5D0D">
        <w:rPr>
          <w:rFonts w:ascii="Times New Roman" w:hAnsi="Times New Roman" w:cs="Times New Roman"/>
          <w:i w:val="0"/>
          <w:iCs w:val="0"/>
          <w:color w:val="000000" w:themeColor="text1"/>
          <w:sz w:val="16"/>
          <w:szCs w:val="16"/>
          <w:lang w:val="ru-RU"/>
        </w:rPr>
        <w:softHyphen/>
        <w:t>ся меры к их устранению, как со стороны про</w:t>
      </w:r>
      <w:r w:rsidRPr="00DB5D0D">
        <w:rPr>
          <w:rFonts w:ascii="Times New Roman" w:hAnsi="Times New Roman" w:cs="Times New Roman"/>
          <w:i w:val="0"/>
          <w:iCs w:val="0"/>
          <w:color w:val="000000" w:themeColor="text1"/>
          <w:sz w:val="16"/>
          <w:szCs w:val="16"/>
          <w:lang w:val="ru-RU"/>
        </w:rPr>
        <w:softHyphen/>
        <w:t>изводства, так и со стороны Конструкторского бюро.</w:t>
      </w:r>
    </w:p>
    <w:p w14:paraId="78E7533D" w14:textId="77777777" w:rsidR="003C7E8B" w:rsidRPr="00DB5D0D" w:rsidRDefault="003C7E8B" w:rsidP="00DB5D0D">
      <w:pPr>
        <w:pStyle w:val="1110"/>
        <w:shd w:val="clear" w:color="auto" w:fill="auto"/>
        <w:tabs>
          <w:tab w:val="left" w:pos="505"/>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2.Обеспеченность июльской программы: а) Большинство деталей Июльской програм</w:t>
      </w:r>
      <w:r w:rsidRPr="00DB5D0D">
        <w:rPr>
          <w:rFonts w:ascii="Times New Roman" w:hAnsi="Times New Roman" w:cs="Times New Roman"/>
          <w:i w:val="0"/>
          <w:iCs w:val="0"/>
          <w:color w:val="000000" w:themeColor="text1"/>
          <w:sz w:val="16"/>
          <w:szCs w:val="16"/>
          <w:lang w:val="ru-RU"/>
        </w:rPr>
        <w:softHyphen/>
        <w:t>мы на заводе № 183 будут делаться еще не по серийной технологии, отсюда может быть за</w:t>
      </w:r>
      <w:r w:rsidRPr="00DB5D0D">
        <w:rPr>
          <w:rFonts w:ascii="Times New Roman" w:hAnsi="Times New Roman" w:cs="Times New Roman"/>
          <w:i w:val="0"/>
          <w:iCs w:val="0"/>
          <w:color w:val="000000" w:themeColor="text1"/>
          <w:sz w:val="16"/>
          <w:szCs w:val="16"/>
          <w:lang w:val="ru-RU"/>
        </w:rPr>
        <w:softHyphen/>
        <w:t>держка в механической обработке.</w:t>
      </w:r>
    </w:p>
    <w:p w14:paraId="5D71321C" w14:textId="77777777" w:rsidR="003C7E8B" w:rsidRPr="00DB5D0D" w:rsidRDefault="003C7E8B" w:rsidP="00DB5D0D">
      <w:pPr>
        <w:pStyle w:val="1110"/>
        <w:shd w:val="clear" w:color="auto" w:fill="auto"/>
        <w:tabs>
          <w:tab w:val="left" w:pos="486"/>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б)Ряд заводов, в т.ч. завод №75 и СТЗ не обеспечат завод №183 штампованными заготовками на Июльскую программу.</w:t>
      </w:r>
    </w:p>
    <w:p w14:paraId="5A9C4C30" w14:textId="77777777" w:rsidR="003C7E8B" w:rsidRPr="00DB5D0D" w:rsidRDefault="003C7E8B" w:rsidP="00DB5D0D">
      <w:pPr>
        <w:pStyle w:val="1110"/>
        <w:shd w:val="clear" w:color="auto" w:fill="auto"/>
        <w:tabs>
          <w:tab w:val="left" w:pos="50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в)Завод ЗИС не обеспечит Июльскую программу водяными ра</w:t>
      </w:r>
      <w:r w:rsidRPr="00DB5D0D">
        <w:rPr>
          <w:rFonts w:ascii="Times New Roman" w:hAnsi="Times New Roman" w:cs="Times New Roman"/>
          <w:i w:val="0"/>
          <w:iCs w:val="0"/>
          <w:color w:val="000000" w:themeColor="text1"/>
          <w:sz w:val="16"/>
          <w:szCs w:val="16"/>
          <w:lang w:val="ru-RU"/>
        </w:rPr>
        <w:softHyphen/>
        <w:t>диаторами, необходимо заводу №183 изготовлять кустарным спо</w:t>
      </w:r>
      <w:r w:rsidRPr="00DB5D0D">
        <w:rPr>
          <w:rFonts w:ascii="Times New Roman" w:hAnsi="Times New Roman" w:cs="Times New Roman"/>
          <w:i w:val="0"/>
          <w:iCs w:val="0"/>
          <w:color w:val="000000" w:themeColor="text1"/>
          <w:sz w:val="16"/>
          <w:szCs w:val="16"/>
          <w:lang w:val="ru-RU"/>
        </w:rPr>
        <w:softHyphen/>
        <w:t>собом у себя на заводе.</w:t>
      </w:r>
    </w:p>
    <w:p w14:paraId="3923BC7B"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Вышеперечисленные вопросы будут тормозить выпуск машины Т-34, поэтому необходимо принять меры для скорейшей поставки заводу № 183 материалов, заготовок и готовых деталей.</w:t>
      </w:r>
    </w:p>
    <w:p w14:paraId="2B029BDE"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СТ. ВОЕНПРЕД АБТУКА ВОЕНИНЖЕНЕР 2 РАНГА КОЗЫРЕВ.</w:t>
      </w:r>
      <w:r w:rsidRPr="00DB5D0D">
        <w:rPr>
          <w:rStyle w:val="11100"/>
          <w:rFonts w:ascii="Times New Roman" w:hAnsi="Times New Roman" w:cs="Times New Roman"/>
          <w:color w:val="000000" w:themeColor="text1"/>
          <w:spacing w:val="0"/>
          <w:sz w:val="16"/>
          <w:szCs w:val="16"/>
          <w:lang w:val="ru-RU"/>
        </w:rPr>
        <w:t xml:space="preserve"> [</w:t>
      </w:r>
      <w:r w:rsidRPr="00DB5D0D">
        <w:rPr>
          <w:rFonts w:ascii="Times New Roman" w:hAnsi="Times New Roman" w:cs="Times New Roman"/>
          <w:i w:val="0"/>
          <w:iCs w:val="0"/>
          <w:color w:val="000000" w:themeColor="text1"/>
          <w:sz w:val="16"/>
          <w:szCs w:val="16"/>
          <w:lang w:val="ru-RU"/>
        </w:rPr>
        <w:t>РГВА. Ф.31811. Оп.2. Д. 1181. Л. 141—142</w:t>
      </w:r>
      <w:r w:rsidRPr="00DB5D0D">
        <w:rPr>
          <w:rFonts w:ascii="Times New Roman" w:hAnsi="Times New Roman" w:cs="Times New Roman"/>
          <w:bCs/>
          <w:i w:val="0"/>
          <w:color w:val="000000" w:themeColor="text1"/>
          <w:sz w:val="16"/>
          <w:szCs w:val="16"/>
          <w:lang w:val="ru-RU"/>
        </w:rPr>
        <w:t>.</w:t>
      </w:r>
      <w:r w:rsidRPr="00DB5D0D">
        <w:rPr>
          <w:rStyle w:val="11100"/>
          <w:rFonts w:ascii="Times New Roman" w:hAnsi="Times New Roman" w:cs="Times New Roman"/>
          <w:color w:val="000000" w:themeColor="text1"/>
          <w:spacing w:val="0"/>
          <w:sz w:val="16"/>
          <w:szCs w:val="16"/>
          <w:lang w:val="ru-RU"/>
        </w:rPr>
        <w:t>]</w:t>
      </w:r>
    </w:p>
    <w:p w14:paraId="1E225DA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70A15F"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Июля 1940 г. </w:t>
      </w:r>
    </w:p>
    <w:p w14:paraId="26EB8617"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3483EC42"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2 </w:t>
      </w:r>
    </w:p>
    <w:p w14:paraId="440B79E4"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Июля 1940 г. </w:t>
      </w:r>
    </w:p>
    <w:p w14:paraId="074FF879"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326с </w:t>
      </w:r>
    </w:p>
    <w:p w14:paraId="21FBE8DD"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НАЧАЛЬНИКУ 4 ОТДЕЛА АБТУ КА</w:t>
      </w:r>
    </w:p>
    <w:p w14:paraId="582134E2"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1 РАНГА т. АЛЫМОВУ</w:t>
      </w:r>
    </w:p>
    <w:p w14:paraId="0CF6B0B3"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Копия: НАЧАЛЬНИКУ 8 ОТДЕЛА АБТУ КА</w:t>
      </w:r>
    </w:p>
    <w:p w14:paraId="6EE57A66"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1 РАНГА тов. АФОНИНУ</w:t>
      </w:r>
    </w:p>
    <w:p w14:paraId="74957DCF"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СВОДКА</w:t>
      </w:r>
    </w:p>
    <w:p w14:paraId="260857A0"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 ИЮНЬ МЕСЯЦ 1940 г. ПО МАШИНЕ А-34.</w:t>
      </w:r>
    </w:p>
    <w:p w14:paraId="29165E7B"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4 машины собраны и приняты Военпредовским пробегом. Две из них 2 Июля отправляются заводу № 8 (без башен). </w:t>
      </w:r>
    </w:p>
    <w:p w14:paraId="5A3367DA"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Изготовлено всего корпусов – 10 шт. Башен – 5 шт. </w:t>
      </w:r>
    </w:p>
    <w:p w14:paraId="012407DE"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На все первые десять машин имеются все детали за исключением: </w:t>
      </w:r>
    </w:p>
    <w:p w14:paraId="5E4E71D0"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Нет грузолент. Поставляет Красный Треугольник и ЯРАК. </w:t>
      </w:r>
    </w:p>
    <w:p w14:paraId="0271322D"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Нет стекол триплекс и зеркал для смотровых приборов. </w:t>
      </w:r>
    </w:p>
    <w:p w14:paraId="4B9E9FB8"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Нет спаренной шаровой установки для пулемета. </w:t>
      </w:r>
    </w:p>
    <w:p w14:paraId="1F62389B"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Не проведены испытания оснований смотровых приборов обстрелом. </w:t>
      </w:r>
    </w:p>
    <w:p w14:paraId="162245DD"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Выше перечисленные пункты задерживают окончательную укомплектовку машин. </w:t>
      </w:r>
    </w:p>
    <w:p w14:paraId="3BDEE190"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Со стороны АБТУ КА необходимо принять срочные меры по высылке на завод № 183 шаровой установки к спаренной системе. </w:t>
      </w:r>
    </w:p>
    <w:p w14:paraId="70802694"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Во время пробегов были обнаружены следующие дефекты: </w:t>
      </w:r>
    </w:p>
    <w:p w14:paraId="7F54F0BA"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Полетел привод к стартеру – не правильная механическая обработка червяка и шестерни. </w:t>
      </w:r>
    </w:p>
    <w:p w14:paraId="78A3FE3C"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Заедание натяжного механизма гусеницы – не правильная технологическая обработка червяка и шестерни. </w:t>
      </w:r>
    </w:p>
    <w:p w14:paraId="465D4EF0"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Заедание тяги главного фрикциона. </w:t>
      </w:r>
    </w:p>
    <w:p w14:paraId="04AA32DE"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г) Ненормальная работа пневматического сервоуправления – регулировка. </w:t>
      </w:r>
    </w:p>
    <w:p w14:paraId="106E34C9"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 Полетела подушка стартера – конструктивный недостаток. </w:t>
      </w:r>
    </w:p>
    <w:p w14:paraId="6EEBB718"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е) Трудное включение 1-й и 2-й передачи и ряд других мелких дефектов. </w:t>
      </w:r>
    </w:p>
    <w:p w14:paraId="63DBF6C6"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По вышеуказанным дефектам принимаются меры к их устранению, как со стороны производства, так и со стороны Конструкторского бюро. </w:t>
      </w:r>
    </w:p>
    <w:p w14:paraId="0896E8DE"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Обеспеченность июльской программы: </w:t>
      </w:r>
    </w:p>
    <w:p w14:paraId="20704572"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а) Большинство деталей Июльской программы на заводе № 183 будут делаться еще не по серийной технологии, отсюда может быть задержка в механической обработке. </w:t>
      </w:r>
    </w:p>
    <w:p w14:paraId="0E24F41E"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б) Ряд заводов, в т.ч. завод № 75 и СТЗ не обеспечат завод № 183 штампованными заготовками на Июльскую программу. </w:t>
      </w:r>
    </w:p>
    <w:p w14:paraId="3AB5E43D"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Завод ЗИС не обеспечит Июльскую программу водяными радиаторами, необходимо заводу № 183 изготовлять кустарным способом у себя на заводе. </w:t>
      </w:r>
    </w:p>
    <w:p w14:paraId="6F01BA9E"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Вышеперечисленные вопросы будут тормозить выпуск машины Т-34, поэтому необходимо принять меры для скорейшей поставки заводу № 183 материалов, заготовок и готовых деталей. </w:t>
      </w:r>
    </w:p>
    <w:p w14:paraId="30614406"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СТ. ВОЕНПРЕД АБТУ КА ВОЕНИНЖЕНЕР 2 РАНГА подпись (КОЗЫРЕВ)</w:t>
      </w:r>
    </w:p>
    <w:p w14:paraId="1E7B6124"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3 экз. </w:t>
      </w:r>
    </w:p>
    <w:p w14:paraId="7E4A5613"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 Байков</w:t>
      </w:r>
    </w:p>
    <w:p w14:paraId="04D5195B"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листы 141 – 142</w:t>
      </w:r>
      <w:r w:rsidRPr="00DB5D0D">
        <w:rPr>
          <w:rFonts w:ascii="Times New Roman" w:eastAsia="Times New Roman" w:hAnsi="Times New Roman"/>
          <w:color w:val="000000" w:themeColor="text1"/>
          <w:sz w:val="16"/>
          <w:szCs w:val="16"/>
          <w:lang w:eastAsia="ru-RU"/>
        </w:rPr>
        <w:t xml:space="preserve"> (18076).</w:t>
      </w:r>
    </w:p>
    <w:p w14:paraId="7E3A74AC" w14:textId="77777777" w:rsidR="00D22EE0" w:rsidRPr="00DB5D0D" w:rsidRDefault="00D22EE0" w:rsidP="00DB5D0D">
      <w:pPr>
        <w:spacing w:after="0" w:line="240" w:lineRule="auto"/>
        <w:jc w:val="both"/>
        <w:rPr>
          <w:rFonts w:ascii="Times New Roman" w:eastAsia="Times New Roman" w:hAnsi="Times New Roman"/>
          <w:color w:val="000000" w:themeColor="text1"/>
          <w:sz w:val="16"/>
          <w:szCs w:val="16"/>
          <w:lang w:eastAsia="ru-RU"/>
        </w:rPr>
      </w:pPr>
    </w:p>
    <w:p w14:paraId="239AE8AA"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Июля 1940 г. </w:t>
      </w:r>
    </w:p>
    <w:p w14:paraId="08DC971B"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119D9604"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1 </w:t>
      </w:r>
    </w:p>
    <w:p w14:paraId="6590DB90"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Июля 1940 г. </w:t>
      </w:r>
    </w:p>
    <w:p w14:paraId="0144016D"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323с </w:t>
      </w:r>
    </w:p>
    <w:p w14:paraId="28F76B78"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НАЧАЛЬНИКУ 8 ОТДЕЛА АБТУ КА</w:t>
      </w:r>
    </w:p>
    <w:p w14:paraId="36E2AF44"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ВОЕНИНЖЕНЕРУ 1 РАНГА т. АФОНИНУ</w:t>
      </w:r>
    </w:p>
    <w:p w14:paraId="316A8C6C"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СВОДКА</w:t>
      </w:r>
    </w:p>
    <w:p w14:paraId="5F99DCC1"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ОПЫТНЫМ РАБОТАМ, ПРОВЕДЕННЫМ НА ЗАВОДЕ 183 ЗА ИЮНЬ МЕСЯЦ 1940 г.</w:t>
      </w:r>
    </w:p>
    <w:p w14:paraId="2CB6C9EE"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I. В Июне мес. 1940 г. проведены следующие опытные работы: </w:t>
      </w:r>
    </w:p>
    <w:p w14:paraId="7B6D85ED"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Провели испытание 2-х машин А-7М № 0314-2 и 903-03 с заменителями, на эти машины были установлены ряд деталей из чугуна вместо бронзы и алюминия, а также часть деталей из менее дефицитных сталей вместо деталей легированной стали. Испытания закончены, в настоящее время идет микрометраж. </w:t>
      </w:r>
    </w:p>
    <w:p w14:paraId="33B7C677"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Закончено испытание гарантийной машины А-7М № 327-45. Машина выдержала гарантийный километраж 3000 клм. Оформление отчета по испытанию этой машины заканчивается. </w:t>
      </w:r>
    </w:p>
    <w:p w14:paraId="2C459654"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3. Закончено испытание 2-х двигателей 75 завода с гарантией на 150 час. работы. Двигатели были установлены на машины А-7М №№ 0890-3 и 442-55. </w:t>
      </w:r>
    </w:p>
    <w:p w14:paraId="04A4D8DB"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Первый двигатель прошел около 70 час. и был снят ввиду сильного пробивания газов наружу, в соединение между блоком цилиндров и головкой. Второй прошел 125 час., после чего также появилось сильное пробивание газов в воду, вследствие чего вода из системы охлаждения выбрасывается через редуктор. </w:t>
      </w:r>
    </w:p>
    <w:p w14:paraId="431FEFD9"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этих же двигателях повторялся хронический дефект дизеля – это поломка муфты опережения. </w:t>
      </w:r>
    </w:p>
    <w:p w14:paraId="3B412AB4"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Проводится испытание на маш. Т-34 № 0311-11-3 литой гусеницы из стали Гатфильда, механического управления, вместо пневматического серво и усиленного вентилятора. </w:t>
      </w:r>
    </w:p>
    <w:p w14:paraId="4E10112F"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5. Идет восстановление машины А-5 с двигателем В-3. Работа идет очень медленно, вследствие загрузки отдела 500 выпуском маш. Т-34, кроме этого восстановление этой машины затрудняется тем, что отсутствуют чертежи и детальные описи. Ориентировочно восстановление машины будет закончено 10-го Июля. </w:t>
      </w:r>
    </w:p>
    <w:p w14:paraId="59701116"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6. Продолжаются испытания гарантийного трактора "ВОРОШИЛОВЕЦ" № 68, осталось пройти тяговыми испытаниями 700 клм. </w:t>
      </w:r>
    </w:p>
    <w:p w14:paraId="3B4C711A"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7. Идет испытание трактора № 7 с дизелем В-3, испытание будет окончено в первых числах Июля. </w:t>
      </w:r>
    </w:p>
    <w:p w14:paraId="7E9BD2CD"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8. Собирается трактор № 207 с деталями из заменителей легированных сталей и бронзы. Испытание начнется в первых числах Июля м-ца. </w:t>
      </w:r>
    </w:p>
    <w:p w14:paraId="3AF2F2F1"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9. Выполнение договора завода № 183 с Химуправлением на установку огнемета на машину Т-34 задерживается. В белках сборные чертежи готовы, необходимо заводу со стороны Химуправления КА дать заключительную консультацию, после чего технический проект направить на утверждение. Остальные чертежи могут быть готовы в первых числах Августа мес. </w:t>
      </w:r>
    </w:p>
    <w:p w14:paraId="155ED3C1"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10. Разработка технического проекта по новому трактору (на базе Т-34) закончено. Идет копировка сборных чертежей и разработка детальных чертежей. Разработка детальных чертежей может быть закончена к 10-15 Августа. Задержка в выпуске чертежей заключается в недостатке копировщиков. </w:t>
      </w:r>
    </w:p>
    <w:p w14:paraId="71EE6289"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11. Ведется изготовление деталей пневмо на тракторе "ВОРОШИЛОВЕЦ". Два образца могут быть собраны в течении Июля мес. </w:t>
      </w:r>
    </w:p>
    <w:p w14:paraId="61471049"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СТ. ВОЕНПРЕД АБТУ КА ВОЕНИНЖЕНЕР 2 РАНГА подпись (КОЗЫРЕВ)</w:t>
      </w:r>
    </w:p>
    <w:p w14:paraId="7E48BDB9"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p>
    <w:p w14:paraId="47A3500D"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ВОЕНПРЕД АБТУ КА ВОЕНИНЖЕНЕР 3 РАНГА подпись (БАЙКОВ)</w:t>
      </w:r>
    </w:p>
    <w:p w14:paraId="5F42E7A6"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Отпечатано 2 экз. </w:t>
      </w:r>
    </w:p>
    <w:p w14:paraId="24BDBED9"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 Байков</w:t>
      </w:r>
    </w:p>
    <w:p w14:paraId="1E4F41C2"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1181 листы 148 – 149</w:t>
      </w:r>
      <w:r w:rsidRPr="00DB5D0D">
        <w:rPr>
          <w:rFonts w:ascii="Times New Roman" w:eastAsia="Times New Roman" w:hAnsi="Times New Roman"/>
          <w:color w:val="000000" w:themeColor="text1"/>
          <w:sz w:val="16"/>
          <w:szCs w:val="16"/>
          <w:lang w:eastAsia="ru-RU"/>
        </w:rPr>
        <w:t xml:space="preserve"> (18076).</w:t>
      </w:r>
    </w:p>
    <w:p w14:paraId="619A686C" w14:textId="77777777" w:rsidR="00B63AD4" w:rsidRPr="00DB5D0D" w:rsidRDefault="00B63AD4" w:rsidP="00DB5D0D">
      <w:pPr>
        <w:spacing w:after="0" w:line="240" w:lineRule="auto"/>
        <w:jc w:val="both"/>
        <w:rPr>
          <w:rFonts w:ascii="Times New Roman" w:eastAsia="Times New Roman" w:hAnsi="Times New Roman"/>
          <w:color w:val="000000" w:themeColor="text1"/>
          <w:sz w:val="16"/>
          <w:szCs w:val="16"/>
          <w:lang w:eastAsia="ru-RU"/>
        </w:rPr>
      </w:pPr>
    </w:p>
    <w:p w14:paraId="7BA4D2DE"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D3A947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B5EA95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Гитлер приказал изучить возможности вторжения в Британию (4962).</w:t>
      </w:r>
    </w:p>
    <w:p w14:paraId="09926DA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18588B7" w14:textId="77777777" w:rsidR="00C72EDF" w:rsidRPr="00DB5D0D" w:rsidRDefault="00C72E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 июля</w:t>
      </w:r>
      <w:r w:rsidRPr="00DB5D0D">
        <w:rPr>
          <w:rFonts w:ascii="Times New Roman" w:hAnsi="Times New Roman"/>
          <w:color w:val="000000" w:themeColor="text1"/>
          <w:sz w:val="16"/>
          <w:szCs w:val="16"/>
        </w:rPr>
        <w:t xml:space="preserve"> в 1940 году Верховное командование вооруженных сил Германии принимает решение об осуществлении высадки десанта в Англии. Для этого был разработан план вторжения — операция «Морской лев». Переправе через Ла-Манш должно было предшествовать воздушное нападение на Великобританию с целью уничтожить английскую авиацию, объекты военной промышленности, порты и склады продовольствия. Геринг обещал покончить с противовоздушной обороной Великобритании за четыре дня. Массированные налеты гитлеровской авиации с августа 1940 по май 1941 не смогут сломить сопротивления англичан, и уже осенью 1940 операция «Морской лев» будет перенесена на весну—лето следующего года, когда предполагается завершить войну против СССР. Но всем этим планам не суждено сбыться (14940).</w:t>
      </w:r>
    </w:p>
    <w:p w14:paraId="0ADAC7A6" w14:textId="77777777" w:rsidR="00C72EDF" w:rsidRPr="00DB5D0D" w:rsidRDefault="00C72EDF" w:rsidP="00DB5D0D">
      <w:pPr>
        <w:spacing w:after="0" w:line="240" w:lineRule="auto"/>
        <w:jc w:val="both"/>
        <w:rPr>
          <w:rFonts w:ascii="Times New Roman" w:hAnsi="Times New Roman"/>
          <w:color w:val="000000" w:themeColor="text1"/>
          <w:sz w:val="16"/>
          <w:szCs w:val="16"/>
        </w:rPr>
      </w:pPr>
    </w:p>
    <w:p w14:paraId="0629E5C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в Атлантике немецкой подлодкой потоплен корабль «Арандора Стар», перевозивший немецких и итальянских пленных в Канаду (613 из них погибли) (4962).</w:t>
      </w:r>
    </w:p>
    <w:p w14:paraId="105FC44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4FA97BD"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2nd, 1940: The British liner Arandora Star, carrying 1,500 German and Italian prisoners of war to Canada, is sunk by U-47 (Kptlt. Prien) off the west coast of Ireland, with many casualties (3819).</w:t>
      </w:r>
    </w:p>
    <w:p w14:paraId="5C9BF85D"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6693E5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британский лайнер Арандора Стар, который перевозил 1500 итальянских и немецких пленных в Канаду был потоплен У-47 (Приен) у западного побережья Ирландии (3819).</w:t>
      </w:r>
    </w:p>
    <w:p w14:paraId="52D0627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F5E18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 xml:space="preserve">July 02 Tue. 1940 Export Control Act is passed. The President may, whenever he deems "necessary in the interest of national defense," prohibit or curtail the exportation of military equipment, munitions, tools, materials, etc. </w:t>
      </w:r>
      <w:r w:rsidRPr="00DB5D0D">
        <w:rPr>
          <w:rFonts w:ascii="Times New Roman" w:hAnsi="Times New Roman"/>
          <w:color w:val="000000" w:themeColor="text1"/>
          <w:sz w:val="16"/>
          <w:szCs w:val="16"/>
        </w:rPr>
        <w:t>(1064).</w:t>
      </w:r>
    </w:p>
    <w:p w14:paraId="77D0FDA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A01B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июля 1940 в США вышел закон о контроле за экспортом. Президент мог запретить экспорт любых видов военного оборудования, боеприпасов, инструментов, материалов и т.п. (1064).</w:t>
      </w:r>
    </w:p>
    <w:p w14:paraId="4448248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AED871" w14:textId="77777777" w:rsidR="00C72EDF" w:rsidRPr="00DB5D0D" w:rsidRDefault="00C72E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 июля</w:t>
      </w:r>
      <w:r w:rsidRPr="00DB5D0D">
        <w:rPr>
          <w:rFonts w:ascii="Times New Roman" w:hAnsi="Times New Roman"/>
          <w:color w:val="000000" w:themeColor="text1"/>
          <w:sz w:val="16"/>
          <w:szCs w:val="16"/>
        </w:rPr>
        <w:t xml:space="preserve"> в 1940 году Ф.Д.Рузвельт подписал "Акт о национальной обороне". Раздел VI этого документа предоставлял президенту полномочия контролировать экспорт (14940).</w:t>
      </w:r>
    </w:p>
    <w:p w14:paraId="34B228C4" w14:textId="77777777" w:rsidR="00C72EDF" w:rsidRPr="00DB5D0D" w:rsidRDefault="00C72EDF" w:rsidP="00DB5D0D">
      <w:pPr>
        <w:spacing w:after="0" w:line="240" w:lineRule="auto"/>
        <w:jc w:val="both"/>
        <w:rPr>
          <w:rFonts w:ascii="Times New Roman" w:hAnsi="Times New Roman"/>
          <w:color w:val="000000" w:themeColor="text1"/>
          <w:sz w:val="16"/>
          <w:szCs w:val="16"/>
        </w:rPr>
      </w:pPr>
    </w:p>
    <w:p w14:paraId="31D2A62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93CA31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649BE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года Вознесенский писал письмо N 104 Тимошенко (на N 16457с от 16 мая 1940 года) и Шахурину (на N 1395сс от 4 июня 1940 г).</w:t>
      </w:r>
    </w:p>
    <w:p w14:paraId="762820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находит возможным производить сдачу НКАП самолетов ББ-1 с М-88 и прием их в части ВВС для изучения подготовки летного состава и выявления дефектов в ходе их эксплуатации и предлагает:</w:t>
      </w:r>
    </w:p>
    <w:p w14:paraId="7C670F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НКАП довести винтомоторную группу самолета ББ-1 с М-88 по температурным режимам, закончив совместные с НИИ ГУАС контрольные испытания самолета к 15 июля 1940 г.</w:t>
      </w:r>
    </w:p>
    <w:p w14:paraId="18DBC0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НКОП до окончания контрольных испытаний принимать самолеты ББ-1 с М-88 в существующем варианте по состоянию доведенности на 15 июня 1940 г. (с ограничением набора высоты до 5000 м при условии нормальных температурных режимов).</w:t>
      </w:r>
    </w:p>
    <w:p w14:paraId="417CBB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НКАП:</w:t>
      </w:r>
    </w:p>
    <w:p w14:paraId="69224B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 1 сентября 1940 г. произвести доводку винтомоторной группы на всех ранее выпущенных самолетах, находящихся в частях ВВС;</w:t>
      </w:r>
    </w:p>
    <w:p w14:paraId="63AFC3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оборудовать все самолеты ББ-1, находящиеся на войсковых испытаниях замками на шасси по образцу, разработанному заводом N 135 и закончить испытание замка шасси к 15 июля 1940 г.</w:t>
      </w:r>
    </w:p>
    <w:p w14:paraId="68D9DF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получении удовлетворительных результатов оборудовать замками шасси все ранее выпущенные самолеты до 20-го июля 1940 г.</w:t>
      </w:r>
    </w:p>
    <w:p w14:paraId="0964CF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Предъявить на испытание к 15 июля 1940 г. - 2 самолета ББ-1 с М-88, оборудованных установками заполнения бензобаков нейтральным газом (из баллонов и отработанными газами) (3444,3).</w:t>
      </w:r>
    </w:p>
    <w:p w14:paraId="7B6CA0D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163AB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Секр. КО Пугачев писал А.И.Шахурину, (N 6044/КО) что для доклада КО требуется заключение НКАП по след. пункту проекта постановления "Обязать НКАП переделать два самолета ДБ-3Ф и один СБ на питание твердым топливом и предъявить их на испытания НИИ ГУВВС к 1 декабря 1940." Ответ требовался к 7 июля 1940. А.И.Шахурин ответил 12 июля, что предполагается оборудовать только один СБ к 1 января 1940. Оборудование нескольких нецелесообразно, так как требуется большая предварительная конструкторская и доводочная работа в т.ч. с аппаратурой в наземных условиях. Летные испытания намечены на 1 кв. (1172).</w:t>
      </w:r>
    </w:p>
    <w:p w14:paraId="37AAD16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F3090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июля 1940 года генерал-лейтенант авиации Алексеев писал письмо № 501636с начальнику 1 управления ГУАС бригинженеру Лапину и генерал-майору авиации Филину</w:t>
      </w:r>
    </w:p>
    <w:p w14:paraId="753197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завода № 39 передайте один самолет ДБ3Ф в НИИ для проведения испытаний на дальность.</w:t>
      </w:r>
    </w:p>
    <w:p w14:paraId="0A85F6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окончании испытаний самолет направить в строевую часть по разнарядке 5-го главного управления ГУАС.</w:t>
      </w:r>
    </w:p>
    <w:p w14:paraId="504EA0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испытаниям направьте начальнику ВВС (7712, 213).</w:t>
      </w:r>
    </w:p>
    <w:p w14:paraId="7364056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F3175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года начальник штаба перелета Антонов писал письмо Шахурину.</w:t>
      </w:r>
    </w:p>
    <w:p w14:paraId="07800F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w:t>
      </w:r>
    </w:p>
    <w:p w14:paraId="56EF35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рекордном самолете с новыми моторами сделаны следующие полеты: 2.VII - контрольный полет продолжительностью 23 мин., 3.VII - контрольный полет продолжительностью 1 час 17 мин. и второй полет для взятия проб воздуха из штурманской кабины для химического анализа.</w:t>
      </w:r>
    </w:p>
    <w:p w14:paraId="31E2C5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тренировочном самолете - 3.VII - контрольный полет и снятие девиации магнитного и радиокомпасов (подготовка мат. части к треугольнику).</w:t>
      </w:r>
    </w:p>
    <w:p w14:paraId="63B47E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всех полетах мат. часть работала удовлетворительно. Пилотировал - капитан Крюков.</w:t>
      </w:r>
    </w:p>
    <w:p w14:paraId="1E59BB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предварительному прогнозу погоды благоприятные условия для полета по треугольнику ожидаются 5-го июля с.г. Уточнение прогноза для принятия решения будет сделано 4.VII около 12 час. дня (1313,50).</w:t>
      </w:r>
    </w:p>
    <w:p w14:paraId="737CC7F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51054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на рекордном самолете Нестеренко с новыми моторами был сделан контрольный полет продолжительностью 1 час 17 мин. и второй полет для взятия проб воздуха из штурманской кабины для химического анализа. Пилотировал - капитан Крюков (1313,50).</w:t>
      </w:r>
    </w:p>
    <w:p w14:paraId="2E7FEF4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0AA1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на тренировочном самолете был сделан контрольный полет и снятие девиации магнитного и радиокомпасов (подготовка мат. части к треугольнику). Пилотировал - капитан Крюков (1313,50).</w:t>
      </w:r>
    </w:p>
    <w:p w14:paraId="1BE376C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4FCB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года была подготовлена Справка:</w:t>
      </w:r>
    </w:p>
    <w:p w14:paraId="104514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по треугольнику Москва-Свердловск-Севастополь-Москва длиною 5023 км (вычислено по методу ФАИ) является результативным тренировочным полетом экипажа при подготовке его к беспосадочному перелету Хабаровск-Львов, полетом для проверки графика полета по расходам горючего.</w:t>
      </w:r>
    </w:p>
    <w:p w14:paraId="453AA5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этим полетом можно установить два международных рекорда для женского экипажа:</w:t>
      </w:r>
    </w:p>
    <w:p w14:paraId="75EC29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Рекорд скорости по треугольнику на 5000 км.</w:t>
      </w:r>
    </w:p>
    <w:p w14:paraId="7FF565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Рекорд дальности по замкнутой кривой.</w:t>
      </w:r>
    </w:p>
    <w:p w14:paraId="044AFA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будет совершен на тренировочном самолете ЦКБ-30 Н-2 N 2817 с моторами М-87.</w:t>
      </w:r>
    </w:p>
    <w:p w14:paraId="4B8A8A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тренировочных полетов на нем экипажа Нестеренко, было совершено 57 посадок (с 14/VI по 4/VII).</w:t>
      </w:r>
    </w:p>
    <w:p w14:paraId="1CE106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наработали 63 часа 42 мин.</w:t>
      </w:r>
    </w:p>
    <w:p w14:paraId="7FBE5F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полета на треугольник выполнена специальная подготовка по материальной части:</w:t>
      </w:r>
    </w:p>
    <w:p w14:paraId="455614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Регламентные работы по моторам (проверка фильтров, проверка зазоров в клапанах воздушного распределения, детальный осмотр моторов, подтяжка патрубков всасывающих и выхлопных и т.п.).</w:t>
      </w:r>
    </w:p>
    <w:p w14:paraId="124CBE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Проверка и подтяжка крепежки моторов, проверка шарнирных соединений, силовых узлов, системы бензо и масло проводок.</w:t>
      </w:r>
    </w:p>
    <w:p w14:paraId="253109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Работа приборов и специального оборудования (радиокомпас "Чайка", радиостанция автопилот.).</w:t>
      </w:r>
    </w:p>
    <w:p w14:paraId="655780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Проведено устранение девиации магнитных приборов и радиокомпаса как на земле, так и в воздухе. (Полет 3/VII-40 г.).</w:t>
      </w:r>
    </w:p>
    <w:p w14:paraId="68E0E4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Сделаны 2 контрольных полета самолета: 3/VII - продолжительностью 1 час. 30 мин. и 4/VII - 27 мин. на проверку работы винтомоторной группы в воздухе, работы приборов и специального оборудования (1313,53).</w:t>
      </w:r>
    </w:p>
    <w:p w14:paraId="16B78C5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A8F61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в ходе заводских испытаний И-200 А.И.М, которые проходили с 31 марта по 17 августа 1940, на И-200-1 было два полета на пилотаж (2988).</w:t>
      </w:r>
    </w:p>
    <w:p w14:paraId="09930CA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5916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состоялось 7 заседание Техсовета при НИИ ВВС КА (Протокол № 7):</w:t>
      </w:r>
    </w:p>
    <w:p w14:paraId="19CD39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 "О результатах гос. испытаний самолета И-301, которые проводили С.П.Супрун и В.А.Степанчонок с 15 по 27 июня 1940. Присутствовали С.А.Лавочкин и М.И.Гудков (697,2).</w:t>
      </w:r>
    </w:p>
    <w:p w14:paraId="7134F9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Заседения ТС при НИИ ВВС КА</w:t>
      </w:r>
    </w:p>
    <w:p w14:paraId="186564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 "О результатах гос. испытаний самолета И-301 с М-105П конструкторов ЛаГГ, постройки завода № 301 (698,7).</w:t>
      </w:r>
    </w:p>
    <w:p w14:paraId="04BFD8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ТС при НИИ ВВС КА под председательством Нач. НИИ ВВС КА гма А.И.Филина в составе слена ТС Зам. нач. НИИ ВВС КА би т. Федорова, заслушала доклад ви НИИ ВВС КА ви3р т. Тараконавского содоклады ли м т. Стефанца и м т. Супруна о рез. Госиспытаний И-201 М-105П.</w:t>
      </w:r>
    </w:p>
    <w:p w14:paraId="4ED9DB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Присутствовало 29 человек</w:t>
      </w:r>
    </w:p>
    <w:p w14:paraId="16BE6D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построен по Пост. КО при СНК СССР № 243 от 29 июля 1939. Бвла задана постройка 2-х экз. одноместного цельнодеревянного с-та истребителя с применением новых видов метериалов.</w:t>
      </w:r>
    </w:p>
    <w:p w14:paraId="226DCD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сдачи с-та на госиспытания: 1-й экз. с М-105 с ТК-2 - февраль 1940, 2-й экз. с М-106П - май 1940</w:t>
      </w:r>
    </w:p>
    <w:p w14:paraId="6982D5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построен в двух экз. с М-105П</w:t>
      </w:r>
    </w:p>
    <w:p w14:paraId="5B3B8F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предъявлен на госиспытания 14 июня 1940</w:t>
      </w:r>
    </w:p>
    <w:p w14:paraId="170D60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С-т с моторм М-105 с ТК-2</w:t>
      </w:r>
    </w:p>
    <w:p w14:paraId="77313E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- 2 синхронных ШКАС</w:t>
      </w:r>
    </w:p>
    <w:p w14:paraId="3736AB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Березина</w:t>
      </w:r>
    </w:p>
    <w:p w14:paraId="474B39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РС-82</w:t>
      </w:r>
    </w:p>
    <w:p w14:paraId="2BF271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 мотором М-106П</w:t>
      </w:r>
    </w:p>
    <w:p w14:paraId="0F03DE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1х20-23мм пушка черенз редуктор</w:t>
      </w:r>
    </w:p>
    <w:p w14:paraId="22685F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синхронных ШКАС</w:t>
      </w:r>
    </w:p>
    <w:p w14:paraId="192084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РС-82</w:t>
      </w:r>
    </w:p>
    <w:p w14:paraId="0F928D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госиспытаниях в НИИ ВВС КА 1-го экземпляра с М-105П получены следующие данные:</w:t>
      </w:r>
    </w:p>
    <w:p w14:paraId="04390B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Макс. на 0 - 515 км/час</w:t>
      </w:r>
    </w:p>
    <w:p w14:paraId="1B67E7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Макс. на 4950 - 605 км/час</w:t>
      </w:r>
    </w:p>
    <w:p w14:paraId="7C2708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Макс. на 6000 м - 579 км/час</w:t>
      </w:r>
    </w:p>
    <w:p w14:paraId="008031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Посадочная - 140 км/час</w:t>
      </w:r>
    </w:p>
    <w:p w14:paraId="50F287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на 0,9 макс. - 556 км</w:t>
      </w:r>
    </w:p>
    <w:p w14:paraId="033EE4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в сподвесными данными - не определялась, т.к. баки не устанавлвались</w:t>
      </w:r>
    </w:p>
    <w:p w14:paraId="1EC49A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на 5000 м - 5,85</w:t>
      </w:r>
    </w:p>
    <w:p w14:paraId="775F0F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9600 м</w:t>
      </w:r>
    </w:p>
    <w:p w14:paraId="14E568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1хТаубина калибра 23мм, 81 снаряд</w:t>
      </w:r>
    </w:p>
    <w:p w14:paraId="3FDFFD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2хБерезина, 480 снарядов</w:t>
      </w:r>
    </w:p>
    <w:p w14:paraId="0F1132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самоллете не предъявлены:</w:t>
      </w:r>
    </w:p>
    <w:p w14:paraId="21BCB1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ТК-2</w:t>
      </w:r>
    </w:p>
    <w:p w14:paraId="5EE0CE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фары,</w:t>
      </w:r>
    </w:p>
    <w:p w14:paraId="715B5C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подвесные б/б</w:t>
      </w:r>
    </w:p>
    <w:p w14:paraId="59000E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агрегаты заполнения б/б инерным газом</w:t>
      </w:r>
    </w:p>
    <w:p w14:paraId="723D00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установки под РС-82</w:t>
      </w:r>
    </w:p>
    <w:p w14:paraId="293D0D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Никашин: “Единственно могу сказать, что самолет в своей основе имеет хорошие стороны и те дефекты, которые отмечены госиспытаниями необходимо устранить, а те хорошие стороны, которые имеет данный самолет, сводятся на нет тем монтажем и небрежностью, которые допущены.</w:t>
      </w:r>
    </w:p>
    <w:p w14:paraId="264B10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Отсюда, не говоря о вооружении, конструкторам необходимо не распыляться на другие объекты и заняться доводкой машины и тгда будет прекрасный самолет.”</w:t>
      </w:r>
    </w:p>
    <w:p w14:paraId="28B50C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Лавочкин: “Мы будем работать над тем, чтобы снизить вес машины на 100 кг, не более...”</w:t>
      </w:r>
    </w:p>
    <w:p w14:paraId="44AEB6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w:t>
      </w:r>
    </w:p>
    <w:p w14:paraId="7DAA26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Предъявленный на госиспытания 1-й экз. с-та И-301 с мотором М-105П госиспытаний не выдержал из-за непрохождения госиспытаний на пикированеи, штопор, высший пилотаж, отстрел в воздухе.</w:t>
      </w:r>
    </w:p>
    <w:p w14:paraId="03A65E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 отвечает...</w:t>
      </w:r>
    </w:p>
    <w:p w14:paraId="20789D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Признать, что с-т И-301 представляет несомненный интерес для ВВС в части своего материала - упроченной древесины, мощного вооружения: одна пушка, 2хкрупнокалиберный пулемет и 2хпулемет 7,62, а также в части макс. скорости - 605 км/час</w:t>
      </w:r>
    </w:p>
    <w:p w14:paraId="4E3E07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Необходимо в кратчайший срок построить 2 экз. этого с-та, устранить на нем основные дефекты, выявленные при госиспытаниях 1-го экз., довести стрелковое вооружение, провести заводские испытания с-та по полной программе и перадать его на госиспытания в НИИ ВВС КА (706,10).</w:t>
      </w:r>
    </w:p>
    <w:p w14:paraId="3CBAF2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Стенограмма (698).</w:t>
      </w:r>
    </w:p>
    <w:p w14:paraId="6AFF0EC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Выписки из Стенограммы заседания ТС при НИИ ВВС по с-ту И-301 с М-105П конструкции тт. ЛаГГ</w:t>
      </w:r>
    </w:p>
    <w:p w14:paraId="55E6EB7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Печенко: Нельзя решать вопрос о постройке абсолютно непроверенного с-та. Нет надобности строить войсковую серию. Я все таки согласен с т. Супруном</w:t>
      </w:r>
    </w:p>
    <w:p w14:paraId="16E51CB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Лавочкин: Остановился на Постановлении Правительства по данному с-ту, но который М-106П, а не ТК-2.</w:t>
      </w:r>
    </w:p>
    <w:p w14:paraId="6E8B471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Он дал ответы на все вопросы и согласился с теми дефектами, которые будут устранены на дублере.</w:t>
      </w:r>
    </w:p>
    <w:p w14:paraId="7032F01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Управление будет облегчено (он считается с авторитетом Стефановского), будет улучшен обзор назад (срезом фюзеляжа), улучшим фонарь, будем работать над снижением температуры в кабине (улучшим вентиляцию еще больше изолировав трубы), увеличим запас горючего. Мы можем ззесь сделать официальное заявление, что можем поставить еще два б/б занять половину размаха крыла (это поможет увеличить дальность на 50%), как на И-26. Об этом надо договориться с Вами.</w:t>
      </w:r>
    </w:p>
    <w:p w14:paraId="6D312E6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Подвесные баки будут сделаны.</w:t>
      </w:r>
    </w:p>
    <w:p w14:paraId="12CEA22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Стефановский: а как на счет веса?</w:t>
      </w:r>
    </w:p>
    <w:p w14:paraId="1C2F7F9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Лавочкин: Машина перетяжелена и вот по каким причинам: как правило, все деревянные машины тяжелее металлических и не случайно в Европе не строят деревянные машины.</w:t>
      </w:r>
    </w:p>
    <w:p w14:paraId="653DCFD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нами Правительством поставлена задача нельзя ли приблизить каким нибудь образом самолет деревянной конструкции по весу к металлическому.</w:t>
      </w:r>
    </w:p>
    <w:p w14:paraId="0F5C4A9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Была попытка комбинированных методов, потом попытка создания число деревянного с-та. Возможно, что с весом мы перестраховались, мы не доработали некоторые вопросы. Это - большая проблема. Ведь мы имеем дело с совершенно новыми материалами. Тут надо искать всякие допуски, а они должны оправдываться технически. Мы не довели этого дела.</w:t>
      </w:r>
    </w:p>
    <w:p w14:paraId="62A685F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Нужно ставить так вопрос - если это не важно, тогда перейдем на металл, а если это важно - тогда будем работать.</w:t>
      </w:r>
    </w:p>
    <w:p w14:paraId="296EC31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Супрун: А легче с-т сделать нельзя?</w:t>
      </w:r>
    </w:p>
    <w:p w14:paraId="193EA86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Лавочкин: Нет, почему же. Мы знаем свои ошибки и будем над этим работать. Но, думаю, что сможем снять кг 100, не больше.</w:t>
      </w:r>
    </w:p>
    <w:p w14:paraId="13CEBAC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Стефановский: Лично на меня с-т произвел хорошее впечатление. Во-первых, сама техника пилотирования с-та проста, учитывая наши современные с-ты, но с-т имеет и высокие летные данные. По скорости этот с-т превосходит все одноместные истребители и даже двухмоторные. Это большое качество с-та и совершенно неправильно, когда у конструкторов есть тенденция часть вооружения дать в счет перегрузки. Этот с-т тем и интересен, что имеет очень мощное вооружение и оно будет играть исключительную роль в борьббе с бомбардировщиками. Учитывая, что с-т будет перетяжеленной конструкции, возможно, на нем будет тяжело вести маневренный бой, но это зависит от выбора командира. Который, в зависимости от обстановки, может или снять вооружение, но в конструкции все д.б.</w:t>
      </w:r>
    </w:p>
    <w:p w14:paraId="7CE1265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Коротко об отдельных недостатках: с-т все же тяжел в управлении в смысле нагрузки. Необходимо облегчить управление элеронами и РВ и нужно сделать приблизительно, как на И-26. Уменьшить вес конструкции, снять 100-150 кг. Это улучшит взлетно-посадочные качества, улучшит маневренность и доведет ее до ТТТ. Ст- по прочности вполне выдержан. Необходимо сместить центровку вперед для улучшения устойчивости. Все улучшения надо сделать на дублере. </w:t>
      </w:r>
    </w:p>
    <w:p w14:paraId="64887F3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улучшить фонарь кабины, через него ничего не видно. В самолете жарко, немного ниже, чем на И-26, но все же нагрев высок и это утомляет л. Нужно сделать приспособление, которое позволило бы регулировать в кабине температуру. </w:t>
      </w:r>
    </w:p>
    <w:p w14:paraId="63864AC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увеличить емкость б/б (горючего меньше, чем на И-26). Поэтому необходимо проработать вариант с подвесными б/б.</w:t>
      </w:r>
    </w:p>
    <w:p w14:paraId="31F0C68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улучшить охлаждение воды и масла. Карбюратор не доведен. Возможны пожары и совершенно нельзя работать на среднем режиме.</w:t>
      </w:r>
    </w:p>
    <w:p w14:paraId="7CFC44D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Лавочкин: стал критиковать выступление т. Супруна</w:t>
      </w:r>
    </w:p>
    <w:p w14:paraId="74EAB1B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Он очень уважаемый л, артист и, хотя говорит, что машину не проверял, он все таки может дать оценку стоит или не стоит запускать ее в серию.</w:t>
      </w:r>
    </w:p>
    <w:p w14:paraId="6AB1AFB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Филин: Это прямо по самолюбию (смех))</w:t>
      </w:r>
    </w:p>
    <w:p w14:paraId="3DB0179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понимаю, когда т. Супрун назвал недостатки, я с ним согласен, но я не слышал от него: вещь это или не вещь. То, что сейчас нельзя оценить с-т - я с этим не согласен и т.д. (довольно долго критиковал Супруна)</w:t>
      </w:r>
    </w:p>
    <w:p w14:paraId="2786CB1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Потом стал говорить о том, что вооружение можно было испытать, разве из него нельзя стрелять?</w:t>
      </w:r>
    </w:p>
    <w:p w14:paraId="7929D7C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Стефановский прав, что на одной машине нельзя выявить все недостатки. Но это другое дело.</w:t>
      </w:r>
    </w:p>
    <w:p w14:paraId="5548678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Филин не прав, когда говорит, что он напишет, что машина не выдержала госиспытания. Машина не закончила испытаний.</w:t>
      </w:r>
    </w:p>
    <w:p w14:paraId="55B9802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Нужно сказать, что мы попали в очень неудучное время, когда у вас находятся на испытаниях немецкие машины. Они уже прошли Техсовет. Но вы сравниваете нашу машину с немецкими машинами. Это хорошо, это нас заставляет подтягиваться, но ТС жлоджен считаться и с тем, что у Хейнкеля и Мессрешмитта была такая же куча дефектов.</w:t>
      </w:r>
    </w:p>
    <w:p w14:paraId="4875987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Филин: предполагаю, что меньше.</w:t>
      </w:r>
    </w:p>
    <w:p w14:paraId="6267716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отношении спецоборудования. От вас приезжало много народу, много раз мы делали все, что нам говорили, а оказывается - все ни к черту не годно.</w:t>
      </w:r>
    </w:p>
    <w:p w14:paraId="3575C07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пикирования. Нас это ограничивает флаттер крыла. Мы приняли другое решение и должны безусловно обеспечить на дублере пикирование. У нас РВ лимитурует крыло. Поэтому у нас готов новый руль и когда машина булет у нас, мы его заменим.</w:t>
      </w:r>
    </w:p>
    <w:p w14:paraId="0165D62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колесах: на испытаниях ничего с ними не было. У Микояна машина с такими колесами летает.</w:t>
      </w:r>
    </w:p>
    <w:p w14:paraId="3AD6254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Филин: говорит о порядке прохождения с-тами госиспытаний</w:t>
      </w:r>
    </w:p>
    <w:p w14:paraId="4460358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он же: теперь следует отметить, что мотор не доведен. Так было отмечено по с-ту И-26, так придется отметить и здесь.</w:t>
      </w:r>
    </w:p>
    <w:p w14:paraId="39F3996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 выступление Супруна: т. Стефановский в основном сказал все. Лично мне говорить сегодня и решать судьбу этого с-та очень трудно. Сказать о его дальнейшем запуске в серию или забраковывать его не сегодняшнем совещании я не буду. Ответственность. Потому, что с-т мы не знаем с точки зрения военной.</w:t>
      </w:r>
    </w:p>
    <w:p w14:paraId="5151A25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том, что получилась скорость 605 км/час - эта скорость нас удовлетворяет и радует и мы довольны конструкторами, что они дали нам этот с-т. Но оценивать его с боевой точки зрения я не могу. Мы выявили только взлетно-росадочные воз-ти, сняли скорости и некоторый пилотаж. Но этого недостаточно, чтобы можно было решать судьбу с-та.</w:t>
      </w:r>
    </w:p>
    <w:p w14:paraId="43CDE93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буду подходить не как ли, я буду рассматривать этот с с точки зрения командира. Нам необходимо знать, как он пикирует, как ведет себя во время штопора, как дерется в воздушном бою, как стреляет. Это все элементарные вещи, которые требуются от истребителя для того, чтобы принять его на вооружение, а по этому самолету они еще для нас темны.</w:t>
      </w:r>
    </w:p>
    <w:p w14:paraId="4D78448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Наряду с этим, крайне желательно узнать следующее: радиостанция на этом самолете не стоит. А я вот столько горя хватил без этой радиостанции, что сейчас не мыслю, чтобы принимали на вооружение с-т без р/с. Чтобы мы имели возможность знать о приближении противнка, а то скоростной современный бомбардировщик может прилететь и разбомбить аэродром.</w:t>
      </w:r>
    </w:p>
    <w:p w14:paraId="19EB058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крайне необходимо, чтобы на истребитиелях стояли р/с. Она будет на 10-15 кг, но ее нужно иметь.</w:t>
      </w:r>
    </w:p>
    <w:p w14:paraId="683FF53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Устранить эти моменты и в дальнейшем этот с-т себя покажет.</w:t>
      </w:r>
    </w:p>
    <w:p w14:paraId="78B0264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первый раз присутствовал на совещании ТС. Может быть говорю неправильно, но лично я рассуждаю так.</w:t>
      </w:r>
    </w:p>
    <w:p w14:paraId="18B8B0E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Далее говорил - о необходимости уменьшения полетного веса. О недостатках не повторядся, сославшись на выступление Стефановского.</w:t>
      </w:r>
    </w:p>
    <w:p w14:paraId="006782B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ви3р Пономарев: Бензосистему не пррдумали в части сохранеия б/б на пикировании. Давление масла падает с высотой. Капоты совершенно неудовлетворительной конструкции, состоят из 20 отдельных частей. Монтаж небрежный.</w:t>
      </w:r>
    </w:p>
    <w:p w14:paraId="1E0F209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ви3р Самехов: На ст-те конструкторы не заботились, чтобы спецоборудование было отработано Радио не установлено, но предусмотрено место для его установки. Электрооборудование представлено не полностью.</w:t>
      </w:r>
    </w:p>
    <w:p w14:paraId="456226D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Березин: Воружение очень можное, но оно не отлажено и требует много времени для доводки. По вооружению калибра 12,7 мм работа идет очень плохо. Надо потребовать, чтобы в кратчайший срок отладили вооружение и предъявили на испытания.</w:t>
      </w:r>
    </w:p>
    <w:p w14:paraId="6178A9C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Стефановский (2-й раз): После постановки вопроса Филиным (быть или не быть) хочу услышать ответ от конструкторов.</w:t>
      </w:r>
    </w:p>
    <w:p w14:paraId="6D15D61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считаю, что имеются все данные к тому, чтобы дефекты, которые были выявлены на госиспытаниях они устранили.</w:t>
      </w:r>
    </w:p>
    <w:p w14:paraId="79C2FCE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качество машины и ее летные данные позволяют запустить этот с-т в серию и целый ряд моментов показывает, что этот с-т превосходит ряд с-тов, которые уже запущены в серию. Я считаю, что мы не имеем оснований считать, что этот с-т нельзя готовить к серии.</w:t>
      </w:r>
    </w:p>
    <w:p w14:paraId="486E28E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все качества с-та на одном с-те мы не можем, т.б. проверить боевое применение которое можно проверить только на войсковых испытаниях. Я считаю, что нет оснований не готовить с-т к серии. А все отмеченные дефекты можно устранить, это совершенно очевидно.</w:t>
      </w:r>
    </w:p>
    <w:p w14:paraId="4523014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Рудинцев: т. Супрун на счет того, является ли этот самолет боевым или нет, сказал простую правду. Это на сегодняшний день факт.</w:t>
      </w:r>
    </w:p>
    <w:p w14:paraId="6AF5BE5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счет будущего с-та.</w:t>
      </w:r>
    </w:p>
    <w:p w14:paraId="7093E18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Нам известно, что этот с-т тмеет некоторые преимущества перед теми образцами, которые прошли испытания. Это для нас бесспорно. Я не хочу сказать, что он не имеет недостатков, но во всяком случае, он лучше И-26. У него скорость больше при такой же скороподъемности и данном полетном весе.</w:t>
      </w:r>
    </w:p>
    <w:p w14:paraId="743ED9D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нужно учесть. У него более мощное вооружение, ст-т может быть поставлен на серийное пр-во.</w:t>
      </w:r>
    </w:p>
    <w:p w14:paraId="2A3908E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Супрун (2-е выступление): Я забыл сказать, что можно строить войсковую серию в 20-25 машин. Я сначала думал, что будет строиться целый завод, а если речь идет о том, чтобы пустить серию для войсковых испытаний, то это другое дело. Я думал, что речь идет о серии, которая обойдется государству в значительную сумму. Т.к., например, с-т И-26 запустили на целый завод. Например, по с-ту И-26 на Саркомбайне имеется годовой задел и его можно выбросить. Мы пока тратим время и деньги, а машины нет. У нас имеется целый ряд машин, но нет ни одной, вокруг которой ходил бы и душа радовалась, что есть отечественный самолет и на нем можно свободно воевать. И очень обидно, что на сегодняшний день скорость у нас 605.</w:t>
      </w:r>
    </w:p>
    <w:p w14:paraId="6917EF2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Правда Лавочкин перекрыл вес с-та, но эта машина до строевых частей будет доведена не раньше 1942 г. а это значит скорость 605 в 1942 г. Я уверен, что у немцев будет больше (упомянает 750) и мы вновь будем отставать от немецких с-тов Против факта никуда не денешься. Я, возможно, выступал немного резко. Может быть это конструкторам не понравится, но нельзя их хвалить, пусть работают своей мыслию еще больше, чтобы иметь лучшийц с-т.</w:t>
      </w:r>
    </w:p>
    <w:p w14:paraId="563F2F9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я высказывался о том, что нельзя запускать в массовое производство, то я упустил вопрос о серии.</w:t>
      </w:r>
    </w:p>
    <w:p w14:paraId="5112A8E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Потом выступили Никифоров и Пономарев</w:t>
      </w:r>
    </w:p>
    <w:p w14:paraId="53E74E7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Никашин: Единственно могу сказать, что самолет в своей основе имеет хорошие стороны и те дефекты, которые отмечены госкомиссией, необходимо устранить, а то те хорошие стороны, которые имеет с-т, сведутся на нет тем монтажем и небрежностью, которые допущены.Отсюда, не говоря о вооружении, конструктору необходимо не распыляться на другие машины, а заняться доводкой машины и тогда будет прекрасный акт.</w:t>
      </w:r>
    </w:p>
    <w:p w14:paraId="6BBAC25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Таракановский (отвечая на вопросы т. Филина) - мощность повысилась на 40-50% за счет всасывающего патрубка и выхлопных патрубков (установлены реактивные по типу И-26).</w:t>
      </w:r>
    </w:p>
    <w:p w14:paraId="76BE4E8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Филин: теперь следует отметить, что мотор не доведен. Так было отмечено по с-ту И-26, так придется отметить и здесь (698,2).</w:t>
      </w:r>
    </w:p>
    <w:p w14:paraId="7DD7A9D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1FF37F0"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3 июля 1940 года состоялось заседание Техсовета при НИИ ВВС КА по результатам госиспытаний самолета И-301 с участием С.А. Лавочкина и М.И. Гудкова (Протокол № 7). Председательствовал начальник НИИ генерал-майор А.И. Филин, докладывал военинженер 3 ранга М.И. Таракановский, содокладчиками выступали майор П.М. Стефановский и майор С.П. Супрун.</w:t>
      </w:r>
    </w:p>
    <w:p w14:paraId="5711C907"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Михаил Иванович в основном изложил фактические результаты работ, а оценки оставил на усмотрение пилотов.</w:t>
      </w:r>
    </w:p>
    <w:p w14:paraId="6059FF63"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 xml:space="preserve">Пожалуй, наиболее развернутую характеристику И-301 дал П.М. Стефановский: «Лично на меня самолет произвел хорошее впечатление. Во-первых, сама техника пилотирования самолета проста, учитывая наши современные самолеты, но самолет имеет и высокие летные данные. По скорости этот самолет превосходит все одноместные истребители и даже двухмоторные. Это большое качество самолета и совершенно неправильно, когда у конструкторов есть тенденция часть вооружения дать в счет перегрузки. Этот самолет тем и интересен, что имеет очень мощное вооружение, и оно будет играть исключительную роль в борьбе с бомбардировщиками… </w:t>
      </w:r>
    </w:p>
    <w:p w14:paraId="77A75DBE"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Коротко об отдельных недостатках: самолет все же тяжел в управлении в смысле нагрузки. Необходимо облегчить управление элеронами и РВ и нужно сделать приблизительно, как на И-26. Уменьшить вес конструкции, снять 100-150 кг… Необходимо улучшить фонарь кабины, через него ничего не видно. В самолете жарко, немного ниже, чем на И-26, но все же нагрев высок и это утомляет летчика… Нужно сделать приспособление, которое позволило бы регулировать в кабине температуру. Необходимо увеличить емкость бензобаков (горючего меньше, чем на И-26). Поэтому необходимо проработать вариант с подвесными баками. Необходимо улучшить охлаждение воды и масла. Карбюратор не доведен. Возможны пожары и совершенно нельзя работать на среднем режиме».</w:t>
      </w:r>
    </w:p>
    <w:p w14:paraId="6AC427A0"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С.П. Супрун от прямых оценок ушел: «товарищ Стефановский в основном сказал все. Лично мне говорить сегодня и решать судьбу этого самолета очень трудно. Сказать о его дальнейшем запуске в серию или забраковывать его на сегодняшнем совещании я не буду. Ответственность. Потому, что самолет мы не знаем с точки зрения военной…». Правда, вторично взяв слово в ходе обсуждения, он добавил: «Я забыл сказать, что можно строить войсковую серию в 20-25 машин… Я думал, что речь идет о серии, которая обойдется государству в значительную сумму. Например, самолет И-26 запустили на целый завод. Например, по самолету И-26 на Саркомбайне имеется годовой задел и его можно выбросить. Мы пока тратим время и деньги, а машины нет…».</w:t>
      </w:r>
    </w:p>
    <w:p w14:paraId="02310AA8"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Дали слово и А.И. Никашину, но он, что называется, «ушел в сторону моря»: «Единственно могу сказать, что самолет в своей основе имеет хорошие стороны и те дефекты, которые отмечены госкомиссией необходимо устранить, а то те хорошие стороны, которые имеет самолет, сведутся на нет тем монтажем и небрежностью, которые допущены. Отсюда, не говоря о вооружении, конструктору необходимо не распыляться на другие машины, а заняться доводкой машины и тогда будет прекрасный акт».</w:t>
      </w:r>
    </w:p>
    <w:p w14:paraId="2E72874E"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С.А. Лавочкин отвечал таким образом: «Машина перетяжелена… как правило, все деревянные машины тяжелее металлических и не случайно в Европе не строят деревянные машины. Перед нами Правительством поставлена задача…приблизить каким-нибудь образом самолет деревянной конструкции по весу к металлическому… Возможно, что с весом мы перестраховались, мы не доработали некоторые вопросы. Это – большая проблема. Ведь мы имеем дело с совершенно новыми материалами…Нужно ставить так вопрос – если это не важно, тогда перейдем на металл, а если это важно – тогда будем работать…Мы знаем свои ошибки и будем над этим работать. Но, думаю, что сможем снять кг 100, не больше». По поводу дефектов И-301 Семен Алексеевич дал достаточно много обещаний: «Управление будет облегчено, будет улучшен обзор назад (срезом фюзеляжа), улучшим фонарь, будем работать над снижением температуры в кабине (улучшим вентиляцию еще больше изолировав трубы), увеличим запас горючего. Мы можем здесь сделать официальное заявление, что можем поставить еще два бензобака и занять половину размаха крыла (это поможет увеличить дальность на 50%), как на И-26. Об этом надо договориться с Вами. Подвесные баки будут сделаны».</w:t>
      </w:r>
    </w:p>
    <w:p w14:paraId="7ABD7E9F"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Много выступали вооруженцы, радисты, прибористы, мотористы и другие специалисты по направления. В целом, на их претензии Лавочкин ответил сакральной фразой: «В отношении спецоборудования. От вас приезжало много народу, много раз мы делали все, что нам говорили, а оказывается – все ни к черту не годно».</w:t>
      </w:r>
    </w:p>
    <w:p w14:paraId="52AF8EF3"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По сути, ни ВВС, ни НИИ ВВС на тот момент не имели никаких готовых стандартов, и многие требования к новым машинам оказывались чрезмерными или дублирующими друг друга. В принципе, решение техсовета было очевидным: «Предъявленный на госиспытания 1-й экземпляр самолета И-301 с мотором М105П госиспытаний не выдержал из-за непрохождения госиспытаний на пикирование, штопор, высший пилотаж, отстрел в воздухе…».</w:t>
      </w:r>
    </w:p>
    <w:p w14:paraId="340BDD6A"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С.А. Лавочкин в ходе обсуждения поправлял: «Филин не прав, когда говорит, что он напишет, что машина не выдержала госиспытания. Машина не закончила испытаний».</w:t>
      </w:r>
    </w:p>
    <w:p w14:paraId="4639FCE1"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Тем не менее, главное заключалось в другом: «Признать, что самолет И-301 представляет несомненный интерес для ВВС в части своего материала – упроченной древесины, мощного вооружения, а также в части максимальной скорости – 605 км/час… Признать целесообразным немедленно начать подготовку серийного выпуска самолета И-301 с М-105П, обеспечив выпуск 25-30 самолетов для прохождения войсковых испытаний в 1940 году…» (23183).</w:t>
      </w:r>
    </w:p>
    <w:p w14:paraId="39A7279E" w14:textId="77777777" w:rsidR="00241463" w:rsidRPr="00DB5D0D" w:rsidRDefault="00241463" w:rsidP="00DB5D0D">
      <w:pPr>
        <w:pStyle w:val="article-renderblock"/>
        <w:shd w:val="clear" w:color="auto" w:fill="FFFFFF"/>
        <w:spacing w:before="0" w:beforeAutospacing="0" w:after="0" w:afterAutospacing="0"/>
        <w:jc w:val="both"/>
        <w:rPr>
          <w:color w:val="0070C0"/>
          <w:sz w:val="16"/>
          <w:szCs w:val="16"/>
        </w:rPr>
      </w:pPr>
    </w:p>
    <w:p w14:paraId="559AC5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года на техни</w:t>
      </w:r>
      <w:r w:rsidRPr="00DB5D0D">
        <w:rPr>
          <w:rFonts w:ascii="Times New Roman" w:hAnsi="Times New Roman"/>
          <w:color w:val="000000" w:themeColor="text1"/>
          <w:sz w:val="16"/>
          <w:szCs w:val="16"/>
        </w:rPr>
        <w:softHyphen/>
        <w:t>ческом совете НИИ ВВС под председа</w:t>
      </w:r>
      <w:r w:rsidRPr="00DB5D0D">
        <w:rPr>
          <w:rFonts w:ascii="Times New Roman" w:hAnsi="Times New Roman"/>
          <w:color w:val="000000" w:themeColor="text1"/>
          <w:sz w:val="16"/>
          <w:szCs w:val="16"/>
        </w:rPr>
        <w:softHyphen/>
        <w:t>тельством начальника института А.И. Филина обсуждался отчет по госиспытаниям ЛаГГ-1. После обстоятельного доклада ведущего инженера М.И. Таракановского выступил ведущий летчик-испыта</w:t>
      </w:r>
      <w:r w:rsidRPr="00DB5D0D">
        <w:rPr>
          <w:rFonts w:ascii="Times New Roman" w:hAnsi="Times New Roman"/>
          <w:color w:val="000000" w:themeColor="text1"/>
          <w:sz w:val="16"/>
          <w:szCs w:val="16"/>
        </w:rPr>
        <w:softHyphen/>
        <w:t>тель П.М. Стефановский, задавший тон всему совещанию.</w:t>
      </w:r>
    </w:p>
    <w:p w14:paraId="2D8CA6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«Лично на меня, — докладывал Петр Михайлович, — самолет произвел хорошее впечатление. Во-первых, сама техника пилотирования самолета проста, учитывая наши современные серийные самолеты. С данным мотором самолет имеет выше максимальную скорость, чем до сих пор. По вооружению также &lt;...&gt; превосходит все одномотор</w:t>
      </w:r>
      <w:r w:rsidRPr="00DB5D0D">
        <w:rPr>
          <w:rFonts w:ascii="Times New Roman" w:hAnsi="Times New Roman"/>
          <w:color w:val="000000" w:themeColor="text1"/>
          <w:sz w:val="16"/>
          <w:szCs w:val="16"/>
        </w:rPr>
        <w:softHyphen/>
        <w:t>ные самолеты-истребители и даже побивает двухмотор</w:t>
      </w:r>
      <w:r w:rsidRPr="00DB5D0D">
        <w:rPr>
          <w:rFonts w:ascii="Times New Roman" w:hAnsi="Times New Roman"/>
          <w:color w:val="000000" w:themeColor="text1"/>
          <w:sz w:val="16"/>
          <w:szCs w:val="16"/>
        </w:rPr>
        <w:softHyphen/>
        <w:t>ные. Это большие качества самолета, и совершенно пра</w:t>
      </w:r>
      <w:r w:rsidRPr="00DB5D0D">
        <w:rPr>
          <w:rFonts w:ascii="Times New Roman" w:hAnsi="Times New Roman"/>
          <w:color w:val="000000" w:themeColor="text1"/>
          <w:sz w:val="16"/>
          <w:szCs w:val="16"/>
        </w:rPr>
        <w:softHyphen/>
        <w:t>вильно, когда у конструкторов есть тенденция часть воо</w:t>
      </w:r>
      <w:r w:rsidRPr="00DB5D0D">
        <w:rPr>
          <w:rFonts w:ascii="Times New Roman" w:hAnsi="Times New Roman"/>
          <w:color w:val="000000" w:themeColor="text1"/>
          <w:sz w:val="16"/>
          <w:szCs w:val="16"/>
        </w:rPr>
        <w:softHyphen/>
        <w:t>ружения дать за счет перегрузок. Этот самолет тем и интересен, что имеет очень мощное вооружение, и оно бу</w:t>
      </w:r>
      <w:r w:rsidRPr="00DB5D0D">
        <w:rPr>
          <w:rFonts w:ascii="Times New Roman" w:hAnsi="Times New Roman"/>
          <w:color w:val="000000" w:themeColor="text1"/>
          <w:sz w:val="16"/>
          <w:szCs w:val="16"/>
        </w:rPr>
        <w:softHyphen/>
        <w:t>дет играть исключительную роль при борьбе с бомбардиров</w:t>
      </w:r>
      <w:r w:rsidRPr="00DB5D0D">
        <w:rPr>
          <w:rFonts w:ascii="Times New Roman" w:hAnsi="Times New Roman"/>
          <w:color w:val="000000" w:themeColor="text1"/>
          <w:sz w:val="16"/>
          <w:szCs w:val="16"/>
        </w:rPr>
        <w:softHyphen/>
        <w:t>щиками. Учитывая, что самолет окажется перетяжелен</w:t>
      </w:r>
      <w:r w:rsidRPr="00DB5D0D">
        <w:rPr>
          <w:rFonts w:ascii="Times New Roman" w:hAnsi="Times New Roman"/>
          <w:color w:val="000000" w:themeColor="text1"/>
          <w:sz w:val="16"/>
          <w:szCs w:val="16"/>
        </w:rPr>
        <w:softHyphen/>
        <w:t>ным, возможно, на нем будет тяжело вести маневренный бой, но это все зависит от выбора командира. Командир, в зависимости от обстановки, может или снять вооружение, или поставить все полностью, но в конструкции оно долж</w:t>
      </w:r>
      <w:r w:rsidRPr="00DB5D0D">
        <w:rPr>
          <w:rFonts w:ascii="Times New Roman" w:hAnsi="Times New Roman"/>
          <w:color w:val="000000" w:themeColor="text1"/>
          <w:sz w:val="16"/>
          <w:szCs w:val="16"/>
        </w:rPr>
        <w:softHyphen/>
        <w:t>но быть...</w:t>
      </w:r>
    </w:p>
    <w:p w14:paraId="07D956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улучшить обзор назад. На всех современных машинах мы имеем лучший обзор, а для истребителя это очень важно. На этой машине обзор (назад) почти отсутствует.</w:t>
      </w:r>
    </w:p>
    <w:p w14:paraId="37C8E7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улучшить фонарь пилота. Он исключитель</w:t>
      </w:r>
      <w:r w:rsidRPr="00DB5D0D">
        <w:rPr>
          <w:rFonts w:ascii="Times New Roman" w:hAnsi="Times New Roman"/>
          <w:color w:val="000000" w:themeColor="text1"/>
          <w:sz w:val="16"/>
          <w:szCs w:val="16"/>
        </w:rPr>
        <w:softHyphen/>
        <w:t>но плохо выполнен и через него абсолютно ничего не видно. Нужно его сделать или из специального плексигласа, или за счет замены триплекса или стекла...</w:t>
      </w:r>
    </w:p>
    <w:p w14:paraId="315C91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самолете жарко &lt;...&gt; и это утомляет летчика. Не</w:t>
      </w:r>
      <w:r w:rsidRPr="00DB5D0D">
        <w:rPr>
          <w:rFonts w:ascii="Times New Roman" w:hAnsi="Times New Roman"/>
          <w:color w:val="000000" w:themeColor="text1"/>
          <w:sz w:val="16"/>
          <w:szCs w:val="16"/>
        </w:rPr>
        <w:softHyphen/>
        <w:t>обходимо увеличить горючее...»</w:t>
      </w:r>
    </w:p>
    <w:p w14:paraId="473BB4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Выступивший затем С.П. Супрун отметил:</w:t>
      </w:r>
    </w:p>
    <w:p w14:paraId="58821A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буду подходить не как летчик-испытатель, а буду расценивать этот самолет с точки зрения коман</w:t>
      </w:r>
      <w:r w:rsidRPr="00DB5D0D">
        <w:rPr>
          <w:rFonts w:ascii="Times New Roman" w:hAnsi="Times New Roman"/>
          <w:color w:val="000000" w:themeColor="text1"/>
          <w:sz w:val="16"/>
          <w:szCs w:val="16"/>
        </w:rPr>
        <w:softHyphen/>
        <w:t>дира. Нам необходимо знать, как он пикирует, как ведет себя в штопоре, как дерется в воздушном бою, посмот</w:t>
      </w:r>
      <w:r w:rsidRPr="00DB5D0D">
        <w:rPr>
          <w:rFonts w:ascii="Times New Roman" w:hAnsi="Times New Roman"/>
          <w:color w:val="000000" w:themeColor="text1"/>
          <w:sz w:val="16"/>
          <w:szCs w:val="16"/>
        </w:rPr>
        <w:softHyphen/>
        <w:t>реть, как стреляет &lt;...&gt;, а по этому самолету они для нас не известны...</w:t>
      </w:r>
    </w:p>
    <w:p w14:paraId="123C1F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прост, но вспомните, сколько горя мы хва</w:t>
      </w:r>
      <w:r w:rsidRPr="00DB5D0D">
        <w:rPr>
          <w:rFonts w:ascii="Times New Roman" w:hAnsi="Times New Roman"/>
          <w:color w:val="000000" w:themeColor="text1"/>
          <w:sz w:val="16"/>
          <w:szCs w:val="16"/>
        </w:rPr>
        <w:softHyphen/>
        <w:t>тили с И-16 с пушками. Мне приходилось садиться на очень ограниченные аэродромы. Вот, например, мне дадут этот самолет и скажут: "Поезжайте в Китай воевать". Я ничего не смогу сделать потому, что ни на одном ки</w:t>
      </w:r>
      <w:r w:rsidRPr="00DB5D0D">
        <w:rPr>
          <w:rFonts w:ascii="Times New Roman" w:hAnsi="Times New Roman"/>
          <w:color w:val="000000" w:themeColor="text1"/>
          <w:sz w:val="16"/>
          <w:szCs w:val="16"/>
        </w:rPr>
        <w:softHyphen/>
        <w:t>тайском аэродроме сесть на этом самолете невозможно. Самолет бежит 450 м при пользовании тормозами. А летчик будет бежать на нем 600 м. Во время войны это будет большой трудностью. Это не Халхин-Гол и не Финляндия, а в Китае на аэродроме не взлетите на этой машине.</w:t>
      </w:r>
    </w:p>
    <w:p w14:paraId="279D37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Конструктору необходимо &lt;...&gt; уменьшить полетный вес, тогда посадка будет проще, пробег меньше и самолет может летать с ограниченной площадки в военное время. Мы, должны подходить с этой точки зрения, чтобы на са</w:t>
      </w:r>
      <w:r w:rsidRPr="00DB5D0D">
        <w:rPr>
          <w:rFonts w:ascii="Times New Roman" w:hAnsi="Times New Roman"/>
          <w:color w:val="000000" w:themeColor="text1"/>
          <w:sz w:val="16"/>
          <w:szCs w:val="16"/>
        </w:rPr>
        <w:softHyphen/>
        <w:t>молетах могли драться летчики, не имеющие большого опы</w:t>
      </w:r>
      <w:r w:rsidRPr="00DB5D0D">
        <w:rPr>
          <w:rFonts w:ascii="Times New Roman" w:hAnsi="Times New Roman"/>
          <w:color w:val="000000" w:themeColor="text1"/>
          <w:sz w:val="16"/>
          <w:szCs w:val="16"/>
        </w:rPr>
        <w:softHyphen/>
        <w:t xml:space="preserve">та, особенно летчики военного времени. </w:t>
      </w:r>
      <w:r w:rsidRPr="00DB5D0D">
        <w:rPr>
          <w:rFonts w:ascii="Times New Roman" w:hAnsi="Times New Roman"/>
          <w:color w:val="000000" w:themeColor="text1"/>
          <w:sz w:val="16"/>
          <w:szCs w:val="16"/>
        </w:rPr>
        <w:lastRenderedPageBreak/>
        <w:t>А это относится не только к машине товарища Лавочкина. Я был в Китае, в Германии, облетывал все наши самолеты, и очень обидно, что у нас нет перспективы иметь простой истребитель. Все они имеют посадочную скорость 140—150 км/ч, а это нас не устраивает...»</w:t>
      </w:r>
    </w:p>
    <w:p w14:paraId="555766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«Хочу сказать, — произнес с места начальник 1-го от</w:t>
      </w:r>
      <w:r w:rsidRPr="00DB5D0D">
        <w:rPr>
          <w:rFonts w:ascii="Times New Roman" w:hAnsi="Times New Roman"/>
          <w:color w:val="000000" w:themeColor="text1"/>
          <w:sz w:val="16"/>
          <w:szCs w:val="16"/>
        </w:rPr>
        <w:softHyphen/>
        <w:t>дела института Рудинцев, — что он лучше самолета И-26. У него больше скорость при та</w:t>
      </w:r>
      <w:r w:rsidRPr="00DB5D0D">
        <w:rPr>
          <w:rFonts w:ascii="Times New Roman" w:hAnsi="Times New Roman"/>
          <w:color w:val="000000" w:themeColor="text1"/>
          <w:sz w:val="16"/>
          <w:szCs w:val="16"/>
        </w:rPr>
        <w:softHyphen/>
        <w:t>кой же скороподъемности и большем полетном весе. Это нужно учесть. У него более мощное вооружение, над ним при</w:t>
      </w:r>
      <w:r w:rsidRPr="00DB5D0D">
        <w:rPr>
          <w:rFonts w:ascii="Times New Roman" w:hAnsi="Times New Roman"/>
          <w:color w:val="000000" w:themeColor="text1"/>
          <w:sz w:val="16"/>
          <w:szCs w:val="16"/>
        </w:rPr>
        <w:softHyphen/>
        <w:t>дется еще очень много работать, но его можно довести...</w:t>
      </w:r>
    </w:p>
    <w:p w14:paraId="1515E4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считаем, что этот самолет технологически более прост, нет сварки, выполнен целиком из дерева. Несмотря на трудности в эксплуатации, он все-таки несколько про</w:t>
      </w:r>
      <w:r w:rsidRPr="00DB5D0D">
        <w:rPr>
          <w:rFonts w:ascii="Times New Roman" w:hAnsi="Times New Roman"/>
          <w:color w:val="000000" w:themeColor="text1"/>
          <w:sz w:val="16"/>
          <w:szCs w:val="16"/>
        </w:rPr>
        <w:softHyphen/>
        <w:t>ще. Это, бесспорно, является положительной стороной ма</w:t>
      </w:r>
      <w:r w:rsidRPr="00DB5D0D">
        <w:rPr>
          <w:rFonts w:ascii="Times New Roman" w:hAnsi="Times New Roman"/>
          <w:color w:val="000000" w:themeColor="text1"/>
          <w:sz w:val="16"/>
          <w:szCs w:val="16"/>
        </w:rPr>
        <w:softHyphen/>
        <w:t>шины, по сравнению с И-26 &lt;...&gt;. Необходимо уменьшить по</w:t>
      </w:r>
      <w:r w:rsidRPr="00DB5D0D">
        <w:rPr>
          <w:rFonts w:ascii="Times New Roman" w:hAnsi="Times New Roman"/>
          <w:color w:val="000000" w:themeColor="text1"/>
          <w:sz w:val="16"/>
          <w:szCs w:val="16"/>
        </w:rPr>
        <w:softHyphen/>
        <w:t>садочную скорость...»</w:t>
      </w:r>
    </w:p>
    <w:p w14:paraId="03D8BE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массу положительных оценок истребителя, в заключительной части отчета НИИ ВВС, в частности, от</w:t>
      </w:r>
      <w:r w:rsidRPr="00DB5D0D">
        <w:rPr>
          <w:rFonts w:ascii="Times New Roman" w:hAnsi="Times New Roman"/>
          <w:color w:val="000000" w:themeColor="text1"/>
          <w:sz w:val="16"/>
          <w:szCs w:val="16"/>
        </w:rPr>
        <w:softHyphen/>
        <w:t>мечалось:</w:t>
      </w:r>
    </w:p>
    <w:p w14:paraId="2D1B85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на государственные испытания 1-й эк</w:t>
      </w:r>
      <w:r w:rsidRPr="00DB5D0D">
        <w:rPr>
          <w:rFonts w:ascii="Times New Roman" w:hAnsi="Times New Roman"/>
          <w:color w:val="000000" w:themeColor="text1"/>
          <w:sz w:val="16"/>
          <w:szCs w:val="16"/>
        </w:rPr>
        <w:softHyphen/>
        <w:t>земпляр &lt;...&gt; И-301 с мотором М-105П их не выдержал...</w:t>
      </w:r>
    </w:p>
    <w:p w14:paraId="13DF40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отвечает заданным летным данным по по</w:t>
      </w:r>
      <w:r w:rsidRPr="00DB5D0D">
        <w:rPr>
          <w:rFonts w:ascii="Times New Roman" w:hAnsi="Times New Roman"/>
          <w:color w:val="000000" w:themeColor="text1"/>
          <w:sz w:val="16"/>
          <w:szCs w:val="16"/>
        </w:rPr>
        <w:softHyphen/>
        <w:t>становлению КО № 243, за исключением большой посадоч</w:t>
      </w:r>
      <w:r w:rsidRPr="00DB5D0D">
        <w:rPr>
          <w:rFonts w:ascii="Times New Roman" w:hAnsi="Times New Roman"/>
          <w:color w:val="000000" w:themeColor="text1"/>
          <w:sz w:val="16"/>
          <w:szCs w:val="16"/>
        </w:rPr>
        <w:softHyphen/>
        <w:t>ной скорости 140 км/ч, вместо заданной 110—120 км/ч.</w:t>
      </w:r>
    </w:p>
    <w:p w14:paraId="76CC66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Признать, что &lt;...&gt; И-301 представляет несомненный интерес для ВВС как в части своего материала — упроч</w:t>
      </w:r>
      <w:r w:rsidRPr="00DB5D0D">
        <w:rPr>
          <w:rFonts w:ascii="Times New Roman" w:hAnsi="Times New Roman"/>
          <w:color w:val="000000" w:themeColor="text1"/>
          <w:sz w:val="16"/>
          <w:szCs w:val="16"/>
        </w:rPr>
        <w:softHyphen/>
        <w:t>ненная древесина, мощного вооружения, так и в части мак</w:t>
      </w:r>
      <w:r w:rsidRPr="00DB5D0D">
        <w:rPr>
          <w:rFonts w:ascii="Times New Roman" w:hAnsi="Times New Roman"/>
          <w:color w:val="000000" w:themeColor="text1"/>
          <w:sz w:val="16"/>
          <w:szCs w:val="16"/>
        </w:rPr>
        <w:softHyphen/>
        <w:t>симальной скорости — 605 км/ч.</w:t>
      </w:r>
    </w:p>
    <w:p w14:paraId="1A89DD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в кратчайший срок построить второй эк</w:t>
      </w:r>
      <w:r w:rsidRPr="00DB5D0D">
        <w:rPr>
          <w:rFonts w:ascii="Times New Roman" w:hAnsi="Times New Roman"/>
          <w:color w:val="000000" w:themeColor="text1"/>
          <w:sz w:val="16"/>
          <w:szCs w:val="16"/>
        </w:rPr>
        <w:softHyphen/>
        <w:t>земпляр этого самолета, устранить на нем основные де</w:t>
      </w:r>
      <w:r w:rsidRPr="00DB5D0D">
        <w:rPr>
          <w:rFonts w:ascii="Times New Roman" w:hAnsi="Times New Roman"/>
          <w:color w:val="000000" w:themeColor="text1"/>
          <w:sz w:val="16"/>
          <w:szCs w:val="16"/>
        </w:rPr>
        <w:softHyphen/>
        <w:t>фекты, выявленные при испытаниях первого экземпля</w:t>
      </w:r>
      <w:r w:rsidRPr="00DB5D0D">
        <w:rPr>
          <w:rFonts w:ascii="Times New Roman" w:hAnsi="Times New Roman"/>
          <w:color w:val="000000" w:themeColor="text1"/>
          <w:sz w:val="16"/>
          <w:szCs w:val="16"/>
        </w:rPr>
        <w:softHyphen/>
        <w:t>ра, довести стрелковое вооружение, провести заводские испытания по полной программе и передать его на госис</w:t>
      </w:r>
      <w:r w:rsidRPr="00DB5D0D">
        <w:rPr>
          <w:rFonts w:ascii="Times New Roman" w:hAnsi="Times New Roman"/>
          <w:color w:val="000000" w:themeColor="text1"/>
          <w:sz w:val="16"/>
          <w:szCs w:val="16"/>
        </w:rPr>
        <w:softHyphen/>
        <w:t>пытания...</w:t>
      </w:r>
    </w:p>
    <w:p w14:paraId="3607D9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Признать целесообразным немедленно начать подго</w:t>
      </w:r>
      <w:r w:rsidRPr="00DB5D0D">
        <w:rPr>
          <w:rFonts w:ascii="Times New Roman" w:hAnsi="Times New Roman"/>
          <w:color w:val="000000" w:themeColor="text1"/>
          <w:sz w:val="16"/>
          <w:szCs w:val="16"/>
        </w:rPr>
        <w:softHyphen/>
        <w:t>товку серийного производства &lt;...&gt; И-301 с М-105П, обес</w:t>
      </w:r>
      <w:r w:rsidRPr="00DB5D0D">
        <w:rPr>
          <w:rFonts w:ascii="Times New Roman" w:hAnsi="Times New Roman"/>
          <w:color w:val="000000" w:themeColor="text1"/>
          <w:sz w:val="16"/>
          <w:szCs w:val="16"/>
        </w:rPr>
        <w:softHyphen/>
        <w:t>печив выпуск 25—30 самолетов для прохождения войско</w:t>
      </w:r>
      <w:r w:rsidRPr="00DB5D0D">
        <w:rPr>
          <w:rFonts w:ascii="Times New Roman" w:hAnsi="Times New Roman"/>
          <w:color w:val="000000" w:themeColor="text1"/>
          <w:sz w:val="16"/>
          <w:szCs w:val="16"/>
        </w:rPr>
        <w:softHyphen/>
        <w:t>вых испытаний в 1940 г. Необходимо просить НКАП особо обратить внимание на этот самолет в части быстроты его доводки и постройки войсковой серии с устранением де</w:t>
      </w:r>
      <w:r w:rsidRPr="00DB5D0D">
        <w:rPr>
          <w:rFonts w:ascii="Times New Roman" w:hAnsi="Times New Roman"/>
          <w:color w:val="000000" w:themeColor="text1"/>
          <w:sz w:val="16"/>
          <w:szCs w:val="16"/>
        </w:rPr>
        <w:softHyphen/>
        <w:t>фектов...» (10745,179).</w:t>
      </w:r>
    </w:p>
    <w:p w14:paraId="664235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4F8DB8F"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г. состоялось заседание Техсовета НИИ ВВС по результатам госи</w:t>
      </w:r>
      <w:r w:rsidRPr="00DB5D0D">
        <w:rPr>
          <w:rFonts w:ascii="Times New Roman" w:hAnsi="Times New Roman"/>
          <w:color w:val="000000" w:themeColor="text1"/>
          <w:sz w:val="16"/>
          <w:szCs w:val="16"/>
        </w:rPr>
        <w:softHyphen/>
        <w:t>спытаний И-301, на котором присутство</w:t>
      </w:r>
      <w:r w:rsidRPr="00DB5D0D">
        <w:rPr>
          <w:rFonts w:ascii="Times New Roman" w:hAnsi="Times New Roman"/>
          <w:color w:val="000000" w:themeColor="text1"/>
          <w:sz w:val="16"/>
          <w:szCs w:val="16"/>
        </w:rPr>
        <w:softHyphen/>
        <w:t>вали главные конструкторы Лавочкин и Гудков. Тон обсуждения был совершенно иной, чем на Техсовете по И-26. Летчик- испытатель Стефановский дал в целом положительную оценку самолету, отме</w:t>
      </w:r>
      <w:r w:rsidRPr="00DB5D0D">
        <w:rPr>
          <w:rFonts w:ascii="Times New Roman" w:hAnsi="Times New Roman"/>
          <w:color w:val="000000" w:themeColor="text1"/>
          <w:sz w:val="16"/>
          <w:szCs w:val="16"/>
        </w:rPr>
        <w:softHyphen/>
        <w:t>тив высокую скорость и мощное вооруже</w:t>
      </w:r>
      <w:r w:rsidRPr="00DB5D0D">
        <w:rPr>
          <w:rFonts w:ascii="Times New Roman" w:hAnsi="Times New Roman"/>
          <w:color w:val="000000" w:themeColor="text1"/>
          <w:sz w:val="16"/>
          <w:szCs w:val="16"/>
        </w:rPr>
        <w:softHyphen/>
        <w:t>ние, а из основных недостатков - некото</w:t>
      </w:r>
      <w:r w:rsidRPr="00DB5D0D">
        <w:rPr>
          <w:rFonts w:ascii="Times New Roman" w:hAnsi="Times New Roman"/>
          <w:color w:val="000000" w:themeColor="text1"/>
          <w:sz w:val="16"/>
          <w:szCs w:val="16"/>
        </w:rPr>
        <w:softHyphen/>
        <w:t>рое перетяжеление конструкции и управ</w:t>
      </w:r>
      <w:r w:rsidRPr="00DB5D0D">
        <w:rPr>
          <w:rFonts w:ascii="Times New Roman" w:hAnsi="Times New Roman"/>
          <w:color w:val="000000" w:themeColor="text1"/>
          <w:sz w:val="16"/>
          <w:szCs w:val="16"/>
        </w:rPr>
        <w:softHyphen/>
        <w:t>ления. С другой стороны, Супрун не стал давать окончательной оценки, сослав</w:t>
      </w:r>
      <w:r w:rsidRPr="00DB5D0D">
        <w:rPr>
          <w:rFonts w:ascii="Times New Roman" w:hAnsi="Times New Roman"/>
          <w:color w:val="000000" w:themeColor="text1"/>
          <w:sz w:val="16"/>
          <w:szCs w:val="16"/>
        </w:rPr>
        <w:softHyphen/>
        <w:t>шись на отсутствие отстрела вооружения и пилотажа. Напротив, представитель во- оруженцев - начальник 1-го отдела 3-го Управления ГУАС КА Пономарев - полно</w:t>
      </w:r>
      <w:r w:rsidRPr="00DB5D0D">
        <w:rPr>
          <w:rFonts w:ascii="Times New Roman" w:hAnsi="Times New Roman"/>
          <w:color w:val="000000" w:themeColor="text1"/>
          <w:sz w:val="16"/>
          <w:szCs w:val="16"/>
        </w:rPr>
        <w:softHyphen/>
        <w:t>стью поддержал самолет:</w:t>
      </w:r>
      <w:r w:rsidRPr="00DB5D0D">
        <w:rPr>
          <w:rStyle w:val="aff6"/>
          <w:rFonts w:ascii="Times New Roman" w:hAnsi="Times New Roman" w:cs="Times New Roman"/>
          <w:color w:val="000000" w:themeColor="text1"/>
        </w:rPr>
        <w:t xml:space="preserve"> «Здесь совер</w:t>
      </w:r>
      <w:r w:rsidRPr="00DB5D0D">
        <w:rPr>
          <w:rStyle w:val="aff6"/>
          <w:rFonts w:ascii="Times New Roman" w:hAnsi="Times New Roman" w:cs="Times New Roman"/>
          <w:color w:val="000000" w:themeColor="text1"/>
        </w:rPr>
        <w:softHyphen/>
        <w:t>шенно правильно отметили, что машина является хорошей и с точки зрения воо</w:t>
      </w:r>
      <w:r w:rsidRPr="00DB5D0D">
        <w:rPr>
          <w:rStyle w:val="aff6"/>
          <w:rFonts w:ascii="Times New Roman" w:hAnsi="Times New Roman" w:cs="Times New Roman"/>
          <w:color w:val="000000" w:themeColor="text1"/>
        </w:rPr>
        <w:softHyphen/>
        <w:t>ружения. Нужно прямо сказать, что такой пушечный истребитель является «первен</w:t>
      </w:r>
      <w:r w:rsidRPr="00DB5D0D">
        <w:rPr>
          <w:rStyle w:val="aff6"/>
          <w:rFonts w:ascii="Times New Roman" w:hAnsi="Times New Roman" w:cs="Times New Roman"/>
          <w:color w:val="000000" w:themeColor="text1"/>
        </w:rPr>
        <w:softHyphen/>
        <w:t>цем» и поэтому я считаю, что нужно бу</w:t>
      </w:r>
      <w:r w:rsidRPr="00DB5D0D">
        <w:rPr>
          <w:rStyle w:val="aff6"/>
          <w:rFonts w:ascii="Times New Roman" w:hAnsi="Times New Roman" w:cs="Times New Roman"/>
          <w:color w:val="000000" w:themeColor="text1"/>
        </w:rPr>
        <w:softHyphen/>
        <w:t>дет в Правительстве так и доложить, что машину необходимо запустить в се</w:t>
      </w:r>
      <w:r w:rsidRPr="00DB5D0D">
        <w:rPr>
          <w:rStyle w:val="aff6"/>
          <w:rFonts w:ascii="Times New Roman" w:hAnsi="Times New Roman" w:cs="Times New Roman"/>
          <w:color w:val="000000" w:themeColor="text1"/>
        </w:rPr>
        <w:softHyphen/>
        <w:t>рию, примерно, 50 шт. и самым решитель</w:t>
      </w:r>
      <w:r w:rsidRPr="00DB5D0D">
        <w:rPr>
          <w:rStyle w:val="aff6"/>
          <w:rFonts w:ascii="Times New Roman" w:hAnsi="Times New Roman" w:cs="Times New Roman"/>
          <w:color w:val="000000" w:themeColor="text1"/>
        </w:rPr>
        <w:softHyphen/>
        <w:t>ным образом взяться всему коллективу за доводку, учитывая, что модернизация кое- чего даст (19734).</w:t>
      </w:r>
    </w:p>
    <w:p w14:paraId="2A0BAF27" w14:textId="77777777" w:rsidR="00400268" w:rsidRPr="00DB5D0D" w:rsidRDefault="00400268" w:rsidP="00DB5D0D">
      <w:pPr>
        <w:spacing w:after="0" w:line="240" w:lineRule="auto"/>
        <w:jc w:val="both"/>
        <w:rPr>
          <w:rFonts w:ascii="Times New Roman" w:hAnsi="Times New Roman"/>
          <w:color w:val="000000" w:themeColor="text1"/>
          <w:sz w:val="16"/>
          <w:szCs w:val="16"/>
        </w:rPr>
      </w:pPr>
    </w:p>
    <w:p w14:paraId="1D4B397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вед. инженер в/инженер 3 ранга Таракановский подписал, а 9 июля 1940 года Начальник ГУ ВВС г-л авиации Смушкевич (расписался Гусев) и Военком ГУ ВВС дивизионный комиссар Агальцов утвердили Отчет по гос. испытаниям самолета И-301 М-105П конструкции Горбунова, Лавочина и Гудкова.</w:t>
      </w:r>
    </w:p>
    <w:p w14:paraId="69E8835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1802824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Супрун, майор Стефановский</w:t>
      </w:r>
    </w:p>
    <w:p w14:paraId="334CE56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Таракановский</w:t>
      </w:r>
    </w:p>
    <w:p w14:paraId="2809E48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отдела истребительных с-тов ви1р В...</w:t>
      </w:r>
    </w:p>
    <w:p w14:paraId="1E90104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 облета гма Филин</w:t>
      </w:r>
    </w:p>
    <w:p w14:paraId="17CCCDA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полк. Коммисар Хоменко</w:t>
      </w:r>
    </w:p>
    <w:p w14:paraId="26FA6E6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Полк. Кабанов</w:t>
      </w:r>
    </w:p>
    <w:p w14:paraId="706A9DD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ви1р Никашин</w:t>
      </w:r>
    </w:p>
    <w:p w14:paraId="4535357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254FF3B7"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в пределах, проведенных заводских испытаний.</w:t>
      </w:r>
    </w:p>
    <w:p w14:paraId="074567C9"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конструкции самолета и доведенности его винто-моторной группы и спецоборудования.</w:t>
      </w:r>
    </w:p>
    <w:p w14:paraId="0CAB3542"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1F26D10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испытания:</w:t>
      </w:r>
    </w:p>
    <w:p w14:paraId="2F2E189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Горбунова, Лавочина и Гудкова, постройки завода № 301 был изготовлен по тактико-техническим требованиям ВВС и должен был иметь следующие данные:</w:t>
      </w:r>
    </w:p>
    <w:p w14:paraId="167330C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счет перегрузки в обоих вариантах предусматривалась установка 8хРС-82 и бомб общим весом 100 кг</w:t>
      </w:r>
    </w:p>
    <w:p w14:paraId="5C2311C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д.б. установлена р/с и оборудование для ночных полетов</w:t>
      </w:r>
    </w:p>
    <w:p w14:paraId="486E67D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14-го июня 1940 года на гос. испытания самолет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w:t>
      </w:r>
    </w:p>
    <w:p w14:paraId="4E93A8A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штук патронов.</w:t>
      </w:r>
    </w:p>
    <w:p w14:paraId="11BA1C4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в счет перегрузки могут быть установлены пулеметы ШКАС калибра 7,62 мм с боезапасом 1300-1500 шт. патронов. Установка бомб, РС-82 и подвесных баков для горючего на данном экземпляре самолета не осуществлена.</w:t>
      </w:r>
    </w:p>
    <w:p w14:paraId="2BDBDB8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установлено кислородное оборудование, АНО и освещение приборной доски.</w:t>
      </w:r>
    </w:p>
    <w:p w14:paraId="2C81E76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Радиостанция и оборудование для ночных полетов на с-те не установлено.</w:t>
      </w:r>
    </w:p>
    <w:p w14:paraId="0E96D24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принят на госиспытания в НИИ ВВС в объеме программы проведения завводских испытаний.</w:t>
      </w:r>
    </w:p>
    <w:p w14:paraId="4B0CC2C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заводских испытаниях с-та не было полетов на штопор, пикирование выше 510 км/час по прибору, полетов на высоте выше 5500 м и пилотажа с фигурами иммельмана и бочки.</w:t>
      </w:r>
    </w:p>
    <w:p w14:paraId="439A45B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с-та и спецоборудование не проверялись ни на земле, ни в воздухе</w:t>
      </w:r>
    </w:p>
    <w:p w14:paraId="107107A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 отклонений от ТТТ</w:t>
      </w:r>
    </w:p>
    <w:p w14:paraId="5B401FE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не установлены:</w:t>
      </w:r>
    </w:p>
    <w:p w14:paraId="4615F47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ТК ТК-2</w:t>
      </w:r>
    </w:p>
    <w:p w14:paraId="5350F8A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 бомбодержателя ДЭР-31 и два ДЕР-32</w:t>
      </w:r>
    </w:p>
    <w:p w14:paraId="64604D6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электросбрасыватель ЭСБР-3П</w:t>
      </w:r>
    </w:p>
    <w:p w14:paraId="5D86325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мехм аварийного сбрасывания</w:t>
      </w:r>
    </w:p>
    <w:p w14:paraId="00474B1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держатели и проводка РС-82</w:t>
      </w:r>
    </w:p>
    <w:p w14:paraId="4A179BE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р/с и жесткая антенна</w:t>
      </w:r>
    </w:p>
    <w:p w14:paraId="06C3ABE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бронированный козырек и броня сидения л. Броня спинки установлена толщиной 5мм вместо 8,65 мм по ТТТ</w:t>
      </w:r>
    </w:p>
    <w:p w14:paraId="1BA6A8B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факелодержатели</w:t>
      </w:r>
    </w:p>
    <w:p w14:paraId="63A4431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агрегат заполнения баков нейтральным газом</w:t>
      </w:r>
    </w:p>
    <w:p w14:paraId="2FAF6AF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подвесные сбрасываемы б/б для увеличения дальности полета</w:t>
      </w:r>
    </w:p>
    <w:p w14:paraId="77A6EE0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 с-та:</w:t>
      </w:r>
    </w:p>
    <w:p w14:paraId="5A0759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 Крыла 17,62</w:t>
      </w:r>
    </w:p>
    <w:p w14:paraId="6706B8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8,82</w:t>
      </w:r>
    </w:p>
    <w:p w14:paraId="07D666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9,807</w:t>
      </w:r>
    </w:p>
    <w:p w14:paraId="4718F0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с вооружением 2478 кг</w:t>
      </w:r>
    </w:p>
    <w:p w14:paraId="22D904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без вооружения 2380</w:t>
      </w:r>
    </w:p>
    <w:p w14:paraId="7A7FAA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полезной нагрузки 588 кг</w:t>
      </w:r>
    </w:p>
    <w:p w14:paraId="0ECAFA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2968 кг</w:t>
      </w:r>
    </w:p>
    <w:p w14:paraId="1C03DF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м2 169 кг</w:t>
      </w:r>
    </w:p>
    <w:p w14:paraId="5BAF07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лс 2,83 кг</w:t>
      </w:r>
    </w:p>
    <w:p w14:paraId="64BB10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самолета И-301 в НИИ ВВС (15-27 июня 1940 года) на самолете было сделано 42 полета общей продолжительностью 16 час. 30 мин. Работа мотора на земле 5:20.</w:t>
      </w:r>
    </w:p>
    <w:p w14:paraId="7787CA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с-та проводилось при следующей загрузке</w:t>
      </w:r>
    </w:p>
    <w:p w14:paraId="2F76FF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Таубина 50 кг</w:t>
      </w:r>
    </w:p>
    <w:p w14:paraId="03398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 48 кг</w:t>
      </w:r>
    </w:p>
    <w:p w14:paraId="5005A2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снаряды для пушки (81) 40 кг</w:t>
      </w:r>
    </w:p>
    <w:p w14:paraId="034541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патроны для БС (460) 80,5 кг</w:t>
      </w:r>
    </w:p>
    <w:p w14:paraId="12FAB7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бронеспинка толщиной 5 мм 20,3 кг</w:t>
      </w:r>
    </w:p>
    <w:p w14:paraId="3759F6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кислородное оборудование 7,5 кг</w:t>
      </w:r>
    </w:p>
    <w:p w14:paraId="116103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Акумулятор 12А-5 7 кг</w:t>
      </w:r>
    </w:p>
    <w:p w14:paraId="51C210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Генератор РС-500 и РК-12-350</w:t>
      </w:r>
    </w:p>
    <w:p w14:paraId="1D06E1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 250 кг</w:t>
      </w:r>
    </w:p>
    <w:p w14:paraId="2C074E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 30 кг</w:t>
      </w:r>
    </w:p>
    <w:p w14:paraId="2F5805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 парашютом 90 кг</w:t>
      </w:r>
    </w:p>
    <w:p w14:paraId="5EE4A7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испытании были получены следующие результаты: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992"/>
        <w:gridCol w:w="1134"/>
      </w:tblGrid>
      <w:tr w:rsidR="007D5DF8" w:rsidRPr="00DB5D0D" w14:paraId="3626A806" w14:textId="77777777" w:rsidTr="00E543D0">
        <w:tc>
          <w:tcPr>
            <w:tcW w:w="2518" w:type="dxa"/>
            <w:tcBorders>
              <w:top w:val="single" w:sz="12" w:space="0" w:color="auto"/>
            </w:tcBorders>
          </w:tcPr>
          <w:p w14:paraId="04FE960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35CDCD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ТТТ с М-105</w:t>
            </w:r>
          </w:p>
        </w:tc>
        <w:tc>
          <w:tcPr>
            <w:tcW w:w="1134" w:type="dxa"/>
            <w:tcBorders>
              <w:top w:val="single" w:sz="12" w:space="0" w:color="auto"/>
            </w:tcBorders>
          </w:tcPr>
          <w:p w14:paraId="335099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испытаниям в НИИ ВВС</w:t>
            </w:r>
          </w:p>
        </w:tc>
      </w:tr>
      <w:tr w:rsidR="007D5DF8" w:rsidRPr="00DB5D0D" w14:paraId="1034BEBE" w14:textId="77777777" w:rsidTr="00E543D0">
        <w:tc>
          <w:tcPr>
            <w:tcW w:w="2518" w:type="dxa"/>
          </w:tcPr>
          <w:p w14:paraId="0408C9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6000-7000 м</w:t>
            </w:r>
          </w:p>
        </w:tc>
        <w:tc>
          <w:tcPr>
            <w:tcW w:w="992" w:type="dxa"/>
          </w:tcPr>
          <w:p w14:paraId="601957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600-625</w:t>
            </w:r>
          </w:p>
        </w:tc>
        <w:tc>
          <w:tcPr>
            <w:tcW w:w="1134" w:type="dxa"/>
          </w:tcPr>
          <w:p w14:paraId="47407E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605/4950</w:t>
            </w:r>
          </w:p>
        </w:tc>
      </w:tr>
      <w:tr w:rsidR="007D5DF8" w:rsidRPr="00DB5D0D" w14:paraId="19CD42AB" w14:textId="77777777" w:rsidTr="00E543D0">
        <w:tc>
          <w:tcPr>
            <w:tcW w:w="2518" w:type="dxa"/>
          </w:tcPr>
          <w:p w14:paraId="52863C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992" w:type="dxa"/>
          </w:tcPr>
          <w:p w14:paraId="02C4B9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w:t>
            </w:r>
          </w:p>
        </w:tc>
        <w:tc>
          <w:tcPr>
            <w:tcW w:w="1134" w:type="dxa"/>
          </w:tcPr>
          <w:p w14:paraId="5002E3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9600</w:t>
            </w:r>
          </w:p>
        </w:tc>
      </w:tr>
      <w:tr w:rsidR="007D5DF8" w:rsidRPr="00DB5D0D" w14:paraId="26117D15" w14:textId="77777777" w:rsidTr="00E543D0">
        <w:tc>
          <w:tcPr>
            <w:tcW w:w="2518" w:type="dxa"/>
          </w:tcPr>
          <w:p w14:paraId="728355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w:t>
            </w:r>
          </w:p>
        </w:tc>
        <w:tc>
          <w:tcPr>
            <w:tcW w:w="992" w:type="dxa"/>
          </w:tcPr>
          <w:p w14:paraId="33756A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1134" w:type="dxa"/>
          </w:tcPr>
          <w:p w14:paraId="3A8547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556</w:t>
            </w:r>
          </w:p>
        </w:tc>
      </w:tr>
      <w:tr w:rsidR="007D5DF8" w:rsidRPr="00DB5D0D" w14:paraId="25A55BCF" w14:textId="77777777" w:rsidTr="00E543D0">
        <w:tc>
          <w:tcPr>
            <w:tcW w:w="2518" w:type="dxa"/>
          </w:tcPr>
          <w:p w14:paraId="07F864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же с подвесными б/б</w:t>
            </w:r>
          </w:p>
        </w:tc>
        <w:tc>
          <w:tcPr>
            <w:tcW w:w="992" w:type="dxa"/>
          </w:tcPr>
          <w:p w14:paraId="5F3CDB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134" w:type="dxa"/>
          </w:tcPr>
          <w:p w14:paraId="3CC67C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47E0118" w14:textId="77777777" w:rsidTr="00E543D0">
        <w:tc>
          <w:tcPr>
            <w:tcW w:w="2518" w:type="dxa"/>
          </w:tcPr>
          <w:p w14:paraId="53BFD0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w:t>
            </w:r>
          </w:p>
        </w:tc>
        <w:tc>
          <w:tcPr>
            <w:tcW w:w="992" w:type="dxa"/>
          </w:tcPr>
          <w:p w14:paraId="00A3BA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16-18</w:t>
            </w:r>
          </w:p>
        </w:tc>
        <w:tc>
          <w:tcPr>
            <w:tcW w:w="1134" w:type="dxa"/>
          </w:tcPr>
          <w:p w14:paraId="244134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r>
      <w:tr w:rsidR="007D5DF8" w:rsidRPr="00DB5D0D" w14:paraId="3F70A8CB" w14:textId="77777777" w:rsidTr="00E543D0">
        <w:tc>
          <w:tcPr>
            <w:tcW w:w="2518" w:type="dxa"/>
          </w:tcPr>
          <w:p w14:paraId="20FCE1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(не более)</w:t>
            </w:r>
          </w:p>
        </w:tc>
        <w:tc>
          <w:tcPr>
            <w:tcW w:w="992" w:type="dxa"/>
          </w:tcPr>
          <w:p w14:paraId="2063E3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1134" w:type="dxa"/>
          </w:tcPr>
          <w:p w14:paraId="332577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355</w:t>
            </w:r>
          </w:p>
        </w:tc>
      </w:tr>
      <w:tr w:rsidR="007D5DF8" w:rsidRPr="00DB5D0D" w14:paraId="7303BC73" w14:textId="77777777" w:rsidTr="00E543D0">
        <w:tc>
          <w:tcPr>
            <w:tcW w:w="2518" w:type="dxa"/>
          </w:tcPr>
          <w:p w14:paraId="600840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992" w:type="dxa"/>
          </w:tcPr>
          <w:p w14:paraId="37A3FB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1134" w:type="dxa"/>
          </w:tcPr>
          <w:p w14:paraId="28F5A6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3E87ACAB" w14:textId="77777777" w:rsidTr="00E543D0">
        <w:tc>
          <w:tcPr>
            <w:tcW w:w="2518" w:type="dxa"/>
          </w:tcPr>
          <w:p w14:paraId="716175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Пасадочная скорость</w:t>
            </w:r>
          </w:p>
        </w:tc>
        <w:tc>
          <w:tcPr>
            <w:tcW w:w="992" w:type="dxa"/>
          </w:tcPr>
          <w:p w14:paraId="42DEBA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110-120</w:t>
            </w:r>
          </w:p>
        </w:tc>
        <w:tc>
          <w:tcPr>
            <w:tcW w:w="1134" w:type="dxa"/>
          </w:tcPr>
          <w:p w14:paraId="759A60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r>
      <w:tr w:rsidR="007D5DF8" w:rsidRPr="00DB5D0D" w14:paraId="3355BB82" w14:textId="77777777" w:rsidTr="00E543D0">
        <w:tc>
          <w:tcPr>
            <w:tcW w:w="2518" w:type="dxa"/>
            <w:tcBorders>
              <w:bottom w:val="single" w:sz="12" w:space="0" w:color="auto"/>
            </w:tcBorders>
          </w:tcPr>
          <w:p w14:paraId="75F7DF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5000 м</w:t>
            </w:r>
          </w:p>
        </w:tc>
        <w:tc>
          <w:tcPr>
            <w:tcW w:w="992" w:type="dxa"/>
            <w:tcBorders>
              <w:bottom w:val="single" w:sz="12" w:space="0" w:color="auto"/>
            </w:tcBorders>
          </w:tcPr>
          <w:p w14:paraId="4139D7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Borders>
              <w:bottom w:val="single" w:sz="12" w:space="0" w:color="auto"/>
            </w:tcBorders>
          </w:tcPr>
          <w:p w14:paraId="63078A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r>
    </w:tbl>
    <w:p w14:paraId="7B072A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Примечение: Скорость 605 км/час получена с новым, установленным при госиспытаниях всасывающим патрубком. Макс. скорость со старым всасывающим патрубком - 585 км/час</w:t>
      </w:r>
    </w:p>
    <w:p w14:paraId="5CE87E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045"/>
        <w:gridCol w:w="1045"/>
        <w:gridCol w:w="1045"/>
        <w:gridCol w:w="1045"/>
        <w:gridCol w:w="1045"/>
        <w:gridCol w:w="1045"/>
        <w:gridCol w:w="1045"/>
        <w:gridCol w:w="1045"/>
        <w:gridCol w:w="1045"/>
      </w:tblGrid>
      <w:tr w:rsidR="007D5DF8" w:rsidRPr="00DB5D0D" w14:paraId="3075EDAF" w14:textId="77777777" w:rsidTr="00E543D0">
        <w:tc>
          <w:tcPr>
            <w:tcW w:w="1809" w:type="dxa"/>
            <w:tcBorders>
              <w:top w:val="single" w:sz="12" w:space="0" w:color="auto"/>
            </w:tcBorders>
          </w:tcPr>
          <w:p w14:paraId="5E4D6D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с-та</w:t>
            </w:r>
          </w:p>
        </w:tc>
        <w:tc>
          <w:tcPr>
            <w:tcW w:w="1045" w:type="dxa"/>
            <w:tcBorders>
              <w:top w:val="single" w:sz="12" w:space="0" w:color="auto"/>
            </w:tcBorders>
          </w:tcPr>
          <w:p w14:paraId="5B5D71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w:t>
            </w:r>
          </w:p>
        </w:tc>
        <w:tc>
          <w:tcPr>
            <w:tcW w:w="1045" w:type="dxa"/>
            <w:tcBorders>
              <w:top w:val="single" w:sz="12" w:space="0" w:color="auto"/>
            </w:tcBorders>
          </w:tcPr>
          <w:p w14:paraId="2AE2A1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w:t>
            </w:r>
          </w:p>
        </w:tc>
        <w:tc>
          <w:tcPr>
            <w:tcW w:w="1045" w:type="dxa"/>
            <w:tcBorders>
              <w:top w:val="single" w:sz="12" w:space="0" w:color="auto"/>
            </w:tcBorders>
          </w:tcPr>
          <w:p w14:paraId="536A07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w:t>
            </w:r>
          </w:p>
        </w:tc>
        <w:tc>
          <w:tcPr>
            <w:tcW w:w="1045" w:type="dxa"/>
            <w:tcBorders>
              <w:top w:val="single" w:sz="12" w:space="0" w:color="auto"/>
            </w:tcBorders>
          </w:tcPr>
          <w:p w14:paraId="259FC87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Borders>
              <w:top w:val="single" w:sz="12" w:space="0" w:color="auto"/>
            </w:tcBorders>
          </w:tcPr>
          <w:p w14:paraId="7DDA4A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5000 м</w:t>
            </w:r>
          </w:p>
        </w:tc>
        <w:tc>
          <w:tcPr>
            <w:tcW w:w="1045" w:type="dxa"/>
            <w:tcBorders>
              <w:top w:val="single" w:sz="12" w:space="0" w:color="auto"/>
            </w:tcBorders>
          </w:tcPr>
          <w:p w14:paraId="3A6555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w:t>
            </w:r>
          </w:p>
        </w:tc>
        <w:tc>
          <w:tcPr>
            <w:tcW w:w="1045" w:type="dxa"/>
            <w:tcBorders>
              <w:top w:val="single" w:sz="12" w:space="0" w:color="auto"/>
            </w:tcBorders>
          </w:tcPr>
          <w:p w14:paraId="5C7D4C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вооружением и запасом горючего</w:t>
            </w:r>
          </w:p>
        </w:tc>
        <w:tc>
          <w:tcPr>
            <w:tcW w:w="1045" w:type="dxa"/>
            <w:tcBorders>
              <w:top w:val="single" w:sz="12" w:space="0" w:color="auto"/>
            </w:tcBorders>
          </w:tcPr>
          <w:p w14:paraId="4DEEEC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1045" w:type="dxa"/>
            <w:tcBorders>
              <w:top w:val="single" w:sz="12" w:space="0" w:color="auto"/>
            </w:tcBorders>
          </w:tcPr>
          <w:p w14:paraId="61F5DE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ACDE0B7" w14:textId="77777777" w:rsidTr="00E543D0">
        <w:tc>
          <w:tcPr>
            <w:tcW w:w="1809" w:type="dxa"/>
          </w:tcPr>
          <w:p w14:paraId="372C264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33C4FAC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26D5C31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71A939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земли</w:t>
            </w:r>
          </w:p>
        </w:tc>
        <w:tc>
          <w:tcPr>
            <w:tcW w:w="1045" w:type="dxa"/>
          </w:tcPr>
          <w:p w14:paraId="03FE3A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гр. высотности</w:t>
            </w:r>
          </w:p>
        </w:tc>
        <w:tc>
          <w:tcPr>
            <w:tcW w:w="1045" w:type="dxa"/>
          </w:tcPr>
          <w:p w14:paraId="4B297CE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11A8D1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14858E4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62B0D7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w:t>
            </w:r>
          </w:p>
        </w:tc>
        <w:tc>
          <w:tcPr>
            <w:tcW w:w="1045" w:type="dxa"/>
          </w:tcPr>
          <w:p w14:paraId="35564C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w:t>
            </w:r>
          </w:p>
        </w:tc>
      </w:tr>
      <w:tr w:rsidR="007D5DF8" w:rsidRPr="00DB5D0D" w14:paraId="1DF11A6B" w14:textId="77777777" w:rsidTr="00E543D0">
        <w:tc>
          <w:tcPr>
            <w:tcW w:w="1809" w:type="dxa"/>
          </w:tcPr>
          <w:p w14:paraId="5732B0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 ВИШ-61</w:t>
            </w:r>
          </w:p>
        </w:tc>
        <w:tc>
          <w:tcPr>
            <w:tcW w:w="1045" w:type="dxa"/>
          </w:tcPr>
          <w:p w14:paraId="4EB5D7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2968</w:t>
            </w:r>
          </w:p>
        </w:tc>
        <w:tc>
          <w:tcPr>
            <w:tcW w:w="1045" w:type="dxa"/>
          </w:tcPr>
          <w:p w14:paraId="311395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1045" w:type="dxa"/>
          </w:tcPr>
          <w:p w14:paraId="576C67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w:t>
            </w:r>
          </w:p>
        </w:tc>
        <w:tc>
          <w:tcPr>
            <w:tcW w:w="1045" w:type="dxa"/>
          </w:tcPr>
          <w:p w14:paraId="74CEDD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605/4950</w:t>
            </w:r>
          </w:p>
        </w:tc>
        <w:tc>
          <w:tcPr>
            <w:tcW w:w="1045" w:type="dxa"/>
          </w:tcPr>
          <w:p w14:paraId="3F0CBD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c>
          <w:tcPr>
            <w:tcW w:w="1045" w:type="dxa"/>
          </w:tcPr>
          <w:p w14:paraId="66DAFC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9600</w:t>
            </w:r>
          </w:p>
        </w:tc>
        <w:tc>
          <w:tcPr>
            <w:tcW w:w="1045" w:type="dxa"/>
          </w:tcPr>
          <w:p w14:paraId="7A0371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556/250</w:t>
            </w:r>
          </w:p>
        </w:tc>
        <w:tc>
          <w:tcPr>
            <w:tcW w:w="1045" w:type="dxa"/>
          </w:tcPr>
          <w:p w14:paraId="71170D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8хРС-82</w:t>
            </w:r>
          </w:p>
        </w:tc>
        <w:tc>
          <w:tcPr>
            <w:tcW w:w="1045" w:type="dxa"/>
          </w:tcPr>
          <w:p w14:paraId="1C6CAD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 (460)</w:t>
            </w:r>
          </w:p>
          <w:p w14:paraId="105294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1х23мм (81)</w:t>
            </w:r>
          </w:p>
          <w:p w14:paraId="4B051B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перегрузку 2хШКАС (1500)</w:t>
            </w:r>
          </w:p>
        </w:tc>
      </w:tr>
      <w:tr w:rsidR="007D5DF8" w:rsidRPr="00DB5D0D" w14:paraId="0D94251D" w14:textId="77777777" w:rsidTr="00E543D0">
        <w:tc>
          <w:tcPr>
            <w:tcW w:w="1809" w:type="dxa"/>
          </w:tcPr>
          <w:p w14:paraId="458F38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 ВИШ-21</w:t>
            </w:r>
          </w:p>
        </w:tc>
        <w:tc>
          <w:tcPr>
            <w:tcW w:w="1045" w:type="dxa"/>
          </w:tcPr>
          <w:p w14:paraId="22816C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1045" w:type="dxa"/>
          </w:tcPr>
          <w:p w14:paraId="5A1A24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1045" w:type="dxa"/>
          </w:tcPr>
          <w:p w14:paraId="37F937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w:t>
            </w:r>
          </w:p>
        </w:tc>
        <w:tc>
          <w:tcPr>
            <w:tcW w:w="1045" w:type="dxa"/>
          </w:tcPr>
          <w:p w14:paraId="6ED3E4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585/4800</w:t>
            </w:r>
          </w:p>
        </w:tc>
        <w:tc>
          <w:tcPr>
            <w:tcW w:w="1045" w:type="dxa"/>
          </w:tcPr>
          <w:p w14:paraId="51F78D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1045" w:type="dxa"/>
          </w:tcPr>
          <w:p w14:paraId="20F834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10220</w:t>
            </w:r>
          </w:p>
        </w:tc>
        <w:tc>
          <w:tcPr>
            <w:tcW w:w="1045" w:type="dxa"/>
          </w:tcPr>
          <w:p w14:paraId="6D0235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700/305</w:t>
            </w:r>
          </w:p>
        </w:tc>
        <w:tc>
          <w:tcPr>
            <w:tcW w:w="1045" w:type="dxa"/>
          </w:tcPr>
          <w:p w14:paraId="08DA32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нет</w:t>
            </w:r>
          </w:p>
        </w:tc>
        <w:tc>
          <w:tcPr>
            <w:tcW w:w="1045" w:type="dxa"/>
          </w:tcPr>
          <w:p w14:paraId="35C424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(380)</w:t>
            </w:r>
          </w:p>
          <w:p w14:paraId="40B8D3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1х20мм (120)</w:t>
            </w:r>
          </w:p>
        </w:tc>
      </w:tr>
      <w:tr w:rsidR="007D5DF8" w:rsidRPr="00DB5D0D" w14:paraId="7DDF15BD" w14:textId="77777777" w:rsidTr="00E543D0">
        <w:tc>
          <w:tcPr>
            <w:tcW w:w="1809" w:type="dxa"/>
          </w:tcPr>
          <w:p w14:paraId="076090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М-88</w:t>
            </w:r>
          </w:p>
        </w:tc>
        <w:tc>
          <w:tcPr>
            <w:tcW w:w="1045" w:type="dxa"/>
          </w:tcPr>
          <w:p w14:paraId="1E96EC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2434</w:t>
            </w:r>
          </w:p>
        </w:tc>
        <w:tc>
          <w:tcPr>
            <w:tcW w:w="1045" w:type="dxa"/>
          </w:tcPr>
          <w:p w14:paraId="1EE8E0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045" w:type="dxa"/>
          </w:tcPr>
          <w:p w14:paraId="6700C9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w:t>
            </w:r>
          </w:p>
        </w:tc>
        <w:tc>
          <w:tcPr>
            <w:tcW w:w="1045" w:type="dxa"/>
          </w:tcPr>
          <w:p w14:paraId="244226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575</w:t>
            </w:r>
          </w:p>
        </w:tc>
        <w:tc>
          <w:tcPr>
            <w:tcW w:w="1045" w:type="dxa"/>
          </w:tcPr>
          <w:p w14:paraId="18CA1B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c>
          <w:tcPr>
            <w:tcW w:w="1045" w:type="dxa"/>
          </w:tcPr>
          <w:p w14:paraId="1C8895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045" w:type="dxa"/>
          </w:tcPr>
          <w:p w14:paraId="3EE9A8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w:t>
            </w:r>
          </w:p>
        </w:tc>
        <w:tc>
          <w:tcPr>
            <w:tcW w:w="1045" w:type="dxa"/>
          </w:tcPr>
          <w:p w14:paraId="24F534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1045" w:type="dxa"/>
          </w:tcPr>
          <w:p w14:paraId="6DED9F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 (360)</w:t>
            </w:r>
          </w:p>
          <w:p w14:paraId="500228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(1000)</w:t>
            </w:r>
          </w:p>
        </w:tc>
      </w:tr>
      <w:tr w:rsidR="007D5DF8" w:rsidRPr="00DB5D0D" w14:paraId="4BFEA895" w14:textId="77777777" w:rsidTr="00E543D0">
        <w:tc>
          <w:tcPr>
            <w:tcW w:w="1809" w:type="dxa"/>
          </w:tcPr>
          <w:p w14:paraId="7251E9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 М-88</w:t>
            </w:r>
          </w:p>
        </w:tc>
        <w:tc>
          <w:tcPr>
            <w:tcW w:w="1045" w:type="dxa"/>
          </w:tcPr>
          <w:p w14:paraId="4B86E8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2730</w:t>
            </w:r>
          </w:p>
        </w:tc>
        <w:tc>
          <w:tcPr>
            <w:tcW w:w="1045" w:type="dxa"/>
          </w:tcPr>
          <w:p w14:paraId="118AEA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045" w:type="dxa"/>
          </w:tcPr>
          <w:p w14:paraId="195CAF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w:t>
            </w:r>
          </w:p>
        </w:tc>
        <w:tc>
          <w:tcPr>
            <w:tcW w:w="1045" w:type="dxa"/>
          </w:tcPr>
          <w:p w14:paraId="13C977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566</w:t>
            </w:r>
          </w:p>
        </w:tc>
        <w:tc>
          <w:tcPr>
            <w:tcW w:w="1045" w:type="dxa"/>
          </w:tcPr>
          <w:p w14:paraId="32F440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1045" w:type="dxa"/>
          </w:tcPr>
          <w:p w14:paraId="5F6DF1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045" w:type="dxa"/>
          </w:tcPr>
          <w:p w14:paraId="17D54D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450/200</w:t>
            </w:r>
          </w:p>
        </w:tc>
        <w:tc>
          <w:tcPr>
            <w:tcW w:w="1045" w:type="dxa"/>
          </w:tcPr>
          <w:p w14:paraId="6D1D51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045" w:type="dxa"/>
          </w:tcPr>
          <w:p w14:paraId="18C4DC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 (300)</w:t>
            </w:r>
          </w:p>
          <w:p w14:paraId="535A58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(1500)</w:t>
            </w:r>
          </w:p>
        </w:tc>
      </w:tr>
      <w:tr w:rsidR="007D5DF8" w:rsidRPr="00DB5D0D" w14:paraId="2CB2DE0E" w14:textId="77777777" w:rsidTr="00E543D0">
        <w:tc>
          <w:tcPr>
            <w:tcW w:w="1809" w:type="dxa"/>
          </w:tcPr>
          <w:p w14:paraId="039640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АМ35А</w:t>
            </w:r>
          </w:p>
        </w:tc>
        <w:tc>
          <w:tcPr>
            <w:tcW w:w="1045" w:type="dxa"/>
          </w:tcPr>
          <w:p w14:paraId="362DEA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2988</w:t>
            </w:r>
          </w:p>
        </w:tc>
        <w:tc>
          <w:tcPr>
            <w:tcW w:w="1045" w:type="dxa"/>
          </w:tcPr>
          <w:p w14:paraId="1A9A19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1045" w:type="dxa"/>
          </w:tcPr>
          <w:p w14:paraId="24D145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w:t>
            </w:r>
          </w:p>
        </w:tc>
        <w:tc>
          <w:tcPr>
            <w:tcW w:w="1045" w:type="dxa"/>
          </w:tcPr>
          <w:p w14:paraId="0B613F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w:t>
            </w:r>
          </w:p>
        </w:tc>
        <w:tc>
          <w:tcPr>
            <w:tcW w:w="1045" w:type="dxa"/>
          </w:tcPr>
          <w:p w14:paraId="2CBE1C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w:t>
            </w:r>
          </w:p>
        </w:tc>
        <w:tc>
          <w:tcPr>
            <w:tcW w:w="1045" w:type="dxa"/>
          </w:tcPr>
          <w:p w14:paraId="145F62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045" w:type="dxa"/>
          </w:tcPr>
          <w:p w14:paraId="2A5D5A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609/290</w:t>
            </w:r>
          </w:p>
        </w:tc>
        <w:tc>
          <w:tcPr>
            <w:tcW w:w="1045" w:type="dxa"/>
          </w:tcPr>
          <w:p w14:paraId="5A57D5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1045" w:type="dxa"/>
          </w:tcPr>
          <w:p w14:paraId="76A628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1хБС (300)</w:t>
            </w:r>
          </w:p>
          <w:p w14:paraId="5F67D0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(1200)</w:t>
            </w:r>
          </w:p>
        </w:tc>
      </w:tr>
      <w:tr w:rsidR="007D5DF8" w:rsidRPr="00DB5D0D" w14:paraId="1C3D145A" w14:textId="77777777" w:rsidTr="00E543D0">
        <w:tc>
          <w:tcPr>
            <w:tcW w:w="1809" w:type="dxa"/>
            <w:tcBorders>
              <w:bottom w:val="single" w:sz="12" w:space="0" w:color="auto"/>
            </w:tcBorders>
          </w:tcPr>
          <w:p w14:paraId="64FD82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Хейнкель 100</w:t>
            </w:r>
          </w:p>
        </w:tc>
        <w:tc>
          <w:tcPr>
            <w:tcW w:w="1045" w:type="dxa"/>
            <w:tcBorders>
              <w:bottom w:val="single" w:sz="12" w:space="0" w:color="auto"/>
            </w:tcBorders>
          </w:tcPr>
          <w:p w14:paraId="6C7F54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1045" w:type="dxa"/>
            <w:tcBorders>
              <w:bottom w:val="single" w:sz="12" w:space="0" w:color="auto"/>
            </w:tcBorders>
          </w:tcPr>
          <w:p w14:paraId="6BE116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1045" w:type="dxa"/>
            <w:tcBorders>
              <w:bottom w:val="single" w:sz="12" w:space="0" w:color="auto"/>
            </w:tcBorders>
          </w:tcPr>
          <w:p w14:paraId="353713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571</w:t>
            </w:r>
          </w:p>
        </w:tc>
        <w:tc>
          <w:tcPr>
            <w:tcW w:w="1045" w:type="dxa"/>
            <w:tcBorders>
              <w:bottom w:val="single" w:sz="12" w:space="0" w:color="auto"/>
            </w:tcBorders>
          </w:tcPr>
          <w:p w14:paraId="1CE849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w:t>
            </w:r>
          </w:p>
        </w:tc>
        <w:tc>
          <w:tcPr>
            <w:tcW w:w="1045" w:type="dxa"/>
            <w:tcBorders>
              <w:bottom w:val="single" w:sz="12" w:space="0" w:color="auto"/>
            </w:tcBorders>
          </w:tcPr>
          <w:p w14:paraId="164CC9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045" w:type="dxa"/>
            <w:tcBorders>
              <w:bottom w:val="single" w:sz="12" w:space="0" w:color="auto"/>
            </w:tcBorders>
          </w:tcPr>
          <w:p w14:paraId="1AD902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045" w:type="dxa"/>
            <w:tcBorders>
              <w:bottom w:val="single" w:sz="12" w:space="0" w:color="auto"/>
            </w:tcBorders>
          </w:tcPr>
          <w:p w14:paraId="124CDA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c>
          <w:tcPr>
            <w:tcW w:w="1045" w:type="dxa"/>
            <w:tcBorders>
              <w:bottom w:val="single" w:sz="12" w:space="0" w:color="auto"/>
            </w:tcBorders>
          </w:tcPr>
          <w:p w14:paraId="295B8F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2х7,8 (1000)</w:t>
            </w:r>
          </w:p>
        </w:tc>
        <w:tc>
          <w:tcPr>
            <w:tcW w:w="1045" w:type="dxa"/>
            <w:tcBorders>
              <w:bottom w:val="single" w:sz="12" w:space="0" w:color="auto"/>
            </w:tcBorders>
          </w:tcPr>
          <w:p w14:paraId="38A490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6E4285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 данные по И-180 и И-200 - по заводским испытаниям</w:t>
      </w:r>
    </w:p>
    <w:p w14:paraId="08F650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по Хейнкель -100 по рез-там испытаний в НИИ ВВС</w:t>
      </w:r>
    </w:p>
    <w:p w14:paraId="6C7D50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Маневренность с-та в воздухе хорошая, но несколько велика нагрузка на элероны и РН. В технике пилотирования самолет прост.</w:t>
      </w:r>
    </w:p>
    <w:p w14:paraId="1E953D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Вибрации конструкции с-та при полете на скорости 510 км/час на 4000 м не обнаружены</w:t>
      </w:r>
    </w:p>
    <w:p w14:paraId="5E768E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большей скорости не проводились из-за недостаточности вибропрочности оперения.</w:t>
      </w:r>
    </w:p>
    <w:p w14:paraId="054CAF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испытаниях было проведено 2 полета до высоты 8000 м, хотя при заводских испытаниях полеты выше 5500 м не проводились</w:t>
      </w:r>
    </w:p>
    <w:p w14:paraId="69FAAE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М-105 с карбюраторами К-105 с регулировкой по методу ЦИАМ за время испытаний работал неудовлетворительно.</w:t>
      </w:r>
    </w:p>
    <w:p w14:paraId="510328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работе нагнетателя на второй скорости при среднем положении дросселя мотор мотор имеет плохую приемистост, сильно трясется и работает с перебоями.</w:t>
      </w:r>
    </w:p>
    <w:p w14:paraId="01235B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полете на малом газу было 2 случая воспламенения смеси в карбюраторе</w:t>
      </w:r>
    </w:p>
    <w:p w14:paraId="447A17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Маслосистема не обеспечивает нормальный температурный режим работы мотора в летнее время при температуре у земли 20 гр., как на режиме скороподъемности, так и в горизонтальном полете на полном газе.</w:t>
      </w:r>
    </w:p>
    <w:p w14:paraId="1AF255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5DC20B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ЛД с-та И-301 выше, чем у всех современных отечественных с-тов с М-105</w:t>
      </w:r>
    </w:p>
    <w:p w14:paraId="784EA5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мощности предусмотренного вооружения среди одноместных истребителей с-т стоит на первом плане</w:t>
      </w:r>
    </w:p>
    <w:p w14:paraId="7C408A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Недостатком пушечного вооружения является отсутствие приливов на картере мотора для крепления пушки</w:t>
      </w:r>
    </w:p>
    <w:p w14:paraId="531137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пр-ве с-т прост. Цельнодеревянная конструкция с использованием упрочненной древесины на лонжеронах крыла имеет широкуб базу для производства. Отделка поверхности с-та трудности не представляет</w:t>
      </w:r>
    </w:p>
    <w:p w14:paraId="569DD8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технике пилотирования с-т достаточно прост, статически устойчив при ЦТ 24,6% и соответствует ТТТ</w:t>
      </w:r>
    </w:p>
    <w:p w14:paraId="007CF1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динамически с брошенными рулями с-т не устойчив</w:t>
      </w:r>
    </w:p>
    <w:p w14:paraId="5447B4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серийных с-тах необходимо улучшить продольную динамическую устойчивость путем создания более передней центровки подбором веса балансира РВ и удучного соотношения площади стабилизатора и РВ, а также увеличения поперечного V крыла до 6-7 гр.</w:t>
      </w:r>
    </w:p>
    <w:p w14:paraId="5DE27A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Давление на ручку необходимо снизить путем увеличения компенсации РВ и элеронов</w:t>
      </w:r>
    </w:p>
    <w:p w14:paraId="547A5E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на пробеге необходимо улучшить установкой стопорящегося хвостового колеса и перехода на колесо баллонного типа.</w:t>
      </w:r>
    </w:p>
    <w:p w14:paraId="758335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самолета велик и должен быть снижен за счет лучшего исполнения нового материала, примененного в конструкции с-та. Уменьшение полетного веса улучшит ЛТД с-та</w:t>
      </w:r>
    </w:p>
    <w:p w14:paraId="459B26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полетного веса с-та в 2968 кг нагрузка на колесо в 1340 кг является предельной, что исключает возможность его (колеса) нормальной работы в эксплуатации.</w:t>
      </w:r>
    </w:p>
    <w:p w14:paraId="6C2BAC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Сделать люки в левом борту фюзеляжа с-та для установки р/с и просмотра замка костыля, для освотра тяг управления, а люки для осмотра тяг управления в крыле - увеличить по размеру и т.д.</w:t>
      </w:r>
    </w:p>
    <w:p w14:paraId="627965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подписал Нач. 1 отд. НИИ ВВС ви1р Рудинцев и вком 1 отд. баткомиссар Харчев 5 июля 1940</w:t>
      </w:r>
    </w:p>
    <w:p w14:paraId="663CDA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79E357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И-301 М-105П конструкции и тт. ЛаГГ производства з-да № 301 был предъявлен но гос. испытания с недоведенном вооружением и не испытанным на штопор, пикирование и высший пилотаж с выполнением фигур иммельмана, бочки.</w:t>
      </w:r>
    </w:p>
    <w:p w14:paraId="1B7580B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С-т И-301 М-105П госиспытаний не прошел из-за отсутствия испытания вооружения и испытаний на штопор и пикирование.</w:t>
      </w:r>
    </w:p>
    <w:p w14:paraId="05D8346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целесообразным построить войсковую серию с-тов И-301 М-105П и вести подготовку к серийному производству.</w:t>
      </w:r>
    </w:p>
    <w:p w14:paraId="525EAB7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конструкторами решена в основном задача создания целиком деревянного с-та с применением упроченной древесины.</w:t>
      </w:r>
    </w:p>
    <w:p w14:paraId="14E56EA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дублере с-та д.б. устранены ограничения в скорости пикирования и изжиты основные дефекты, выявленные госиспытаниями 1-го экз.</w:t>
      </w:r>
    </w:p>
    <w:p w14:paraId="40D2651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Считать целесообразным построить войсковую серию с-та И-301 М-105П, вести подшготовку к серийной постройке с-та.</w:t>
      </w:r>
    </w:p>
    <w:p w14:paraId="627C0EB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И-301 конструкторами решена в основном задача создания цельнодеревянного с-та с применением упроченной древесины.</w:t>
      </w:r>
    </w:p>
    <w:p w14:paraId="4C4CB47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Считать необходимым просить НКАП т. Шахурина о повышении внимания со стороны НКАП в деле доводки, испытания и постройки с-та И-301 М-105П</w:t>
      </w:r>
    </w:p>
    <w:p w14:paraId="35B4A927" w14:textId="77777777" w:rsidR="003C7E8B" w:rsidRPr="00DB5D0D" w:rsidRDefault="003C7E8B" w:rsidP="00DB5D0D">
      <w:pPr>
        <w:numPr>
          <w:ilvl w:val="12"/>
          <w:numId w:val="0"/>
        </w:num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Подписали Нач. НИИ ВВС Филин, в/к НИИ ВВС Холопин (697,11).</w:t>
      </w:r>
    </w:p>
    <w:p w14:paraId="6ECA082B" w14:textId="77777777" w:rsidR="003C7E8B" w:rsidRPr="00DB5D0D" w:rsidRDefault="003C7E8B" w:rsidP="00DB5D0D">
      <w:pPr>
        <w:numPr>
          <w:ilvl w:val="12"/>
          <w:numId w:val="0"/>
        </w:num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Исполнители:</w:t>
      </w:r>
    </w:p>
    <w:p w14:paraId="57A85301" w14:textId="77777777" w:rsidR="003C7E8B" w:rsidRPr="00DB5D0D" w:rsidRDefault="003C7E8B" w:rsidP="00DB5D0D">
      <w:pPr>
        <w:numPr>
          <w:ilvl w:val="12"/>
          <w:numId w:val="0"/>
        </w:num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ви3р 3 ранга Таракановский</w:t>
      </w:r>
    </w:p>
    <w:p w14:paraId="6F8531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 ви ви3р Цыпаев</w:t>
      </w:r>
    </w:p>
    <w:p w14:paraId="63B936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 м Стефановский</w:t>
      </w:r>
    </w:p>
    <w:p w14:paraId="536C52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 м Супрун</w:t>
      </w:r>
    </w:p>
    <w:p w14:paraId="7DA2BA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по ВМГ ви3р Пономарев</w:t>
      </w:r>
    </w:p>
    <w:p w14:paraId="66CB1C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по спецоборудованию Салихов</w:t>
      </w:r>
    </w:p>
    <w:p w14:paraId="191690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по вооружению Березин</w:t>
      </w:r>
    </w:p>
    <w:p w14:paraId="11A9BF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техник вт1р Жулев</w:t>
      </w:r>
    </w:p>
    <w:p w14:paraId="381D8A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техник вт2р Стрельнов</w:t>
      </w:r>
    </w:p>
    <w:p w14:paraId="604C99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электротехник мт А.И.Аерьянов</w:t>
      </w:r>
    </w:p>
    <w:p w14:paraId="75BAF9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расчетчик Власов</w:t>
      </w:r>
    </w:p>
    <w:p w14:paraId="20F0AE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расчетчик Андреева</w:t>
      </w:r>
    </w:p>
    <w:p w14:paraId="4C6260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по приборам Петров</w:t>
      </w:r>
    </w:p>
    <w:p w14:paraId="752A5F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по кислороду Кораблев</w:t>
      </w:r>
    </w:p>
    <w:p w14:paraId="75A105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Размеры, веса и центровка с-та</w:t>
      </w:r>
    </w:p>
    <w:p w14:paraId="3D5853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САХ 1962</w:t>
      </w:r>
    </w:p>
    <w:p w14:paraId="009B3D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стабилизатора 3400</w:t>
      </w:r>
    </w:p>
    <w:p w14:paraId="5EA349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щитки-закрылки 6050</w:t>
      </w:r>
    </w:p>
    <w:p w14:paraId="3955C0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колея шасси 2823</w:t>
      </w:r>
    </w:p>
    <w:p w14:paraId="29BD9D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крыла 9,807</w:t>
      </w:r>
    </w:p>
    <w:p w14:paraId="6A5ED5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удлинение крыла 5,46</w:t>
      </w:r>
    </w:p>
    <w:p w14:paraId="5327AC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с-та 8820</w:t>
      </w:r>
    </w:p>
    <w:p w14:paraId="34050F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ГО 2,34 м2</w:t>
      </w:r>
    </w:p>
    <w:p w14:paraId="412F2F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стабилизатора 1,62 м2</w:t>
      </w:r>
    </w:p>
    <w:p w14:paraId="4A34C7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РВ (90% стаб.) 1,46 м2</w:t>
      </w:r>
    </w:p>
    <w:p w14:paraId="65D463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триммера РВ (5%) 0,075 м2</w:t>
      </w:r>
    </w:p>
    <w:p w14:paraId="200419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весовая компенсация РВ - 100%</w:t>
      </w:r>
    </w:p>
    <w:p w14:paraId="58586E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ГО 3,08 м2</w:t>
      </w:r>
    </w:p>
    <w:p w14:paraId="538DB7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киля 0,814 м2</w:t>
      </w:r>
    </w:p>
    <w:p w14:paraId="7EBA17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РН (112% киля) 0,92 м2</w:t>
      </w:r>
    </w:p>
    <w:p w14:paraId="441869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аэродинамическая компенсация РН 100%</w:t>
      </w:r>
    </w:p>
    <w:p w14:paraId="778E5E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ВО 1,734 м2</w:t>
      </w:r>
    </w:p>
    <w:p w14:paraId="2BBF3B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профиль крыла НАКА-230</w:t>
      </w:r>
    </w:p>
    <w:p w14:paraId="624C8B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Регулировочные данные</w:t>
      </w:r>
    </w:p>
    <w:p w14:paraId="2D8E9D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установочный угол крыла +1 гр.</w:t>
      </w:r>
    </w:p>
    <w:p w14:paraId="533E53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поваеречное V по нижнейц кромке заднего лонжерона 5 гр.</w:t>
      </w:r>
    </w:p>
    <w:p w14:paraId="191D1B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РВ верх 25, низ 20:15</w:t>
      </w:r>
    </w:p>
    <w:p w14:paraId="0CC4DA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РН справо 16, влево 15:15</w:t>
      </w:r>
    </w:p>
    <w:p w14:paraId="770B52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элеронов левого вверх 21:30 вгниз 21:30</w:t>
      </w:r>
    </w:p>
    <w:p w14:paraId="086CAD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элеронов правого вверх 20:25, вниз 23:50</w:t>
      </w:r>
    </w:p>
    <w:p w14:paraId="4C3B3E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щитка 60 гр.</w:t>
      </w:r>
    </w:p>
    <w:p w14:paraId="17CB62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триммера РВ правого вверх 13:30, вниз 13</w:t>
      </w:r>
    </w:p>
    <w:p w14:paraId="707EC7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триммера РВ левого вверх 15, вниз 12:15</w:t>
      </w:r>
    </w:p>
    <w:p w14:paraId="4ABD12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триммера РП вправо 16, влево 15:15</w:t>
      </w:r>
    </w:p>
    <w:p w14:paraId="527F70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установчный угол стаб. 0, диапазон изменения 0</w:t>
      </w:r>
    </w:p>
    <w:p w14:paraId="7E1AB7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полетный вес 2968</w:t>
      </w:r>
    </w:p>
    <w:p w14:paraId="6201F0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к весу пустого - 24,8%</w:t>
      </w:r>
    </w:p>
    <w:p w14:paraId="7F7DC7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2478,5</w:t>
      </w:r>
    </w:p>
    <w:p w14:paraId="176C72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 парашютом 90 кг</w:t>
      </w:r>
    </w:p>
    <w:p w14:paraId="3679D4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 250 кг</w:t>
      </w:r>
    </w:p>
    <w:p w14:paraId="7ADD4C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 30 кг</w:t>
      </w:r>
    </w:p>
    <w:p w14:paraId="16DABA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снаряды пушки 40</w:t>
      </w:r>
    </w:p>
    <w:p w14:paraId="602B5F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патроны БС 80,5</w:t>
      </w:r>
    </w:p>
    <w:p w14:paraId="7AF84E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490,5</w:t>
      </w:r>
    </w:p>
    <w:p w14:paraId="22D951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вода в системе охл. 95</w:t>
      </w:r>
    </w:p>
    <w:p w14:paraId="06197B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50</w:t>
      </w:r>
    </w:p>
    <w:p w14:paraId="1A9B98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пулеметы БС 48</w:t>
      </w:r>
    </w:p>
    <w:p w14:paraId="5E28FA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бронеспинка 20,3</w:t>
      </w:r>
    </w:p>
    <w:p w14:paraId="652FC3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кислородное обор. 7,5</w:t>
      </w:r>
    </w:p>
    <w:p w14:paraId="745F3D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Акумулятор и генератор 15,8</w:t>
      </w:r>
    </w:p>
    <w:p w14:paraId="04D02B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Центровки:</w:t>
      </w:r>
    </w:p>
    <w:p w14:paraId="412049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вып. Шасси 24,59%</w:t>
      </w:r>
    </w:p>
    <w:p w14:paraId="0EBEE1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убр. Шасси 24,59</w:t>
      </w:r>
    </w:p>
    <w:p w14:paraId="4BDBF9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стояночный угол 13:30</w:t>
      </w:r>
    </w:p>
    <w:p w14:paraId="50F146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амортизатора 60-70, макс. 150</w:t>
      </w:r>
    </w:p>
    <w:p w14:paraId="532E2C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костыля - норм 100-110, макс. 180</w:t>
      </w:r>
    </w:p>
    <w:p w14:paraId="2D76D0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 с-та закрытого типа со сдвижным назад фонарем из плексигласа</w:t>
      </w:r>
    </w:p>
    <w:p w14:paraId="42393F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Скорлупа фюзеляжа выполнена из березового шпона толщиной у ЦП 9 мм и в хвосте 3 мм</w:t>
      </w:r>
    </w:p>
    <w:p w14:paraId="29404F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Максю гор.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7D5DF8" w:rsidRPr="00DB5D0D" w14:paraId="13B4EA2C" w14:textId="77777777" w:rsidTr="00E543D0">
        <w:tc>
          <w:tcPr>
            <w:tcW w:w="1401" w:type="dxa"/>
            <w:tcBorders>
              <w:top w:val="single" w:sz="12" w:space="0" w:color="auto"/>
            </w:tcBorders>
          </w:tcPr>
          <w:p w14:paraId="232AC9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Стат. высота</w:t>
            </w:r>
          </w:p>
        </w:tc>
        <w:tc>
          <w:tcPr>
            <w:tcW w:w="1401" w:type="dxa"/>
            <w:tcBorders>
              <w:top w:val="single" w:sz="12" w:space="0" w:color="auto"/>
            </w:tcBorders>
          </w:tcPr>
          <w:p w14:paraId="3B7068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2968 кг 1-й вариант всасывающего патрубка</w:t>
            </w:r>
          </w:p>
        </w:tc>
        <w:tc>
          <w:tcPr>
            <w:tcW w:w="1401" w:type="dxa"/>
            <w:tcBorders>
              <w:top w:val="single" w:sz="12" w:space="0" w:color="auto"/>
            </w:tcBorders>
          </w:tcPr>
          <w:p w14:paraId="6272ED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6E1C882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57A15C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2968 кг 2-й вариант всасывающего патрубка</w:t>
            </w:r>
          </w:p>
        </w:tc>
        <w:tc>
          <w:tcPr>
            <w:tcW w:w="1401" w:type="dxa"/>
            <w:tcBorders>
              <w:top w:val="single" w:sz="12" w:space="0" w:color="auto"/>
            </w:tcBorders>
          </w:tcPr>
          <w:p w14:paraId="6471E3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002B434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16C161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0992F27F" w14:textId="77777777" w:rsidTr="00E543D0">
        <w:tc>
          <w:tcPr>
            <w:tcW w:w="1401" w:type="dxa"/>
          </w:tcPr>
          <w:p w14:paraId="1E884F8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6E603D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1401" w:type="dxa"/>
          </w:tcPr>
          <w:p w14:paraId="7D3577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1401" w:type="dxa"/>
          </w:tcPr>
          <w:p w14:paraId="072358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c>
          <w:tcPr>
            <w:tcW w:w="1401" w:type="dxa"/>
          </w:tcPr>
          <w:p w14:paraId="7209D8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1401" w:type="dxa"/>
          </w:tcPr>
          <w:p w14:paraId="7ED471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1401" w:type="dxa"/>
          </w:tcPr>
          <w:p w14:paraId="371B3D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c>
          <w:tcPr>
            <w:tcW w:w="1401" w:type="dxa"/>
          </w:tcPr>
          <w:p w14:paraId="2B0568D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A6F274C" w14:textId="77777777" w:rsidTr="00E543D0">
        <w:tc>
          <w:tcPr>
            <w:tcW w:w="1401" w:type="dxa"/>
          </w:tcPr>
          <w:p w14:paraId="656D9A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0</w:t>
            </w:r>
          </w:p>
        </w:tc>
        <w:tc>
          <w:tcPr>
            <w:tcW w:w="1401" w:type="dxa"/>
          </w:tcPr>
          <w:p w14:paraId="38BC9D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w:t>
            </w:r>
          </w:p>
        </w:tc>
        <w:tc>
          <w:tcPr>
            <w:tcW w:w="1401" w:type="dxa"/>
          </w:tcPr>
          <w:p w14:paraId="36F7CA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401" w:type="dxa"/>
          </w:tcPr>
          <w:p w14:paraId="5B32E0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49D9200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29AF53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462D2C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4E1C30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5D550AC" w14:textId="77777777" w:rsidTr="00E543D0">
        <w:tc>
          <w:tcPr>
            <w:tcW w:w="1401" w:type="dxa"/>
          </w:tcPr>
          <w:p w14:paraId="054369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401" w:type="dxa"/>
          </w:tcPr>
          <w:p w14:paraId="0624B4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536</w:t>
            </w:r>
          </w:p>
        </w:tc>
        <w:tc>
          <w:tcPr>
            <w:tcW w:w="1401" w:type="dxa"/>
          </w:tcPr>
          <w:p w14:paraId="49252F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401" w:type="dxa"/>
          </w:tcPr>
          <w:p w14:paraId="328FEF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56EA6B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7A3A75A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2FBF6CD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5DC0504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85DC646" w14:textId="77777777" w:rsidTr="00E543D0">
        <w:tc>
          <w:tcPr>
            <w:tcW w:w="1401" w:type="dxa"/>
          </w:tcPr>
          <w:p w14:paraId="5384A0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401" w:type="dxa"/>
          </w:tcPr>
          <w:p w14:paraId="221D0C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558</w:t>
            </w:r>
          </w:p>
        </w:tc>
        <w:tc>
          <w:tcPr>
            <w:tcW w:w="1401" w:type="dxa"/>
          </w:tcPr>
          <w:p w14:paraId="4F740F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401" w:type="dxa"/>
          </w:tcPr>
          <w:p w14:paraId="3285FB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590C597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49D04F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5778108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341F1B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90C7ADD" w14:textId="77777777" w:rsidTr="00E543D0">
        <w:tc>
          <w:tcPr>
            <w:tcW w:w="1401" w:type="dxa"/>
          </w:tcPr>
          <w:p w14:paraId="308C2B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1401" w:type="dxa"/>
          </w:tcPr>
          <w:p w14:paraId="0C64C6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567</w:t>
            </w:r>
          </w:p>
        </w:tc>
        <w:tc>
          <w:tcPr>
            <w:tcW w:w="1401" w:type="dxa"/>
          </w:tcPr>
          <w:p w14:paraId="112458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3A76C7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79D3B1F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4960115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0586667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1015A2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граница высотности на 1 ск.</w:t>
            </w:r>
          </w:p>
        </w:tc>
      </w:tr>
      <w:tr w:rsidR="007D5DF8" w:rsidRPr="00DB5D0D" w14:paraId="2AE8320E" w14:textId="77777777" w:rsidTr="00E543D0">
        <w:tc>
          <w:tcPr>
            <w:tcW w:w="1401" w:type="dxa"/>
          </w:tcPr>
          <w:p w14:paraId="5ED246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401" w:type="dxa"/>
          </w:tcPr>
          <w:p w14:paraId="43EB65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562</w:t>
            </w:r>
          </w:p>
        </w:tc>
        <w:tc>
          <w:tcPr>
            <w:tcW w:w="1401" w:type="dxa"/>
          </w:tcPr>
          <w:p w14:paraId="389CEF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778EF4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880</w:t>
            </w:r>
          </w:p>
        </w:tc>
        <w:tc>
          <w:tcPr>
            <w:tcW w:w="1401" w:type="dxa"/>
          </w:tcPr>
          <w:p w14:paraId="424E287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4B73CC0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3466FE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6E2F62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E33F66E" w14:textId="77777777" w:rsidTr="00E543D0">
        <w:tc>
          <w:tcPr>
            <w:tcW w:w="1401" w:type="dxa"/>
          </w:tcPr>
          <w:p w14:paraId="28D4FB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w:t>
            </w:r>
          </w:p>
        </w:tc>
        <w:tc>
          <w:tcPr>
            <w:tcW w:w="1401" w:type="dxa"/>
          </w:tcPr>
          <w:p w14:paraId="0DD2BA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558</w:t>
            </w:r>
          </w:p>
        </w:tc>
        <w:tc>
          <w:tcPr>
            <w:tcW w:w="1401" w:type="dxa"/>
          </w:tcPr>
          <w:p w14:paraId="68503C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691D1B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1CA21C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1238C99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279A276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5FE779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переключение на 2-ю</w:t>
            </w:r>
          </w:p>
        </w:tc>
      </w:tr>
      <w:tr w:rsidR="007D5DF8" w:rsidRPr="00DB5D0D" w14:paraId="6A83AE55" w14:textId="77777777" w:rsidTr="00E543D0">
        <w:tc>
          <w:tcPr>
            <w:tcW w:w="1401" w:type="dxa"/>
          </w:tcPr>
          <w:p w14:paraId="3A81BB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1401" w:type="dxa"/>
          </w:tcPr>
          <w:p w14:paraId="1DF824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577</w:t>
            </w:r>
          </w:p>
        </w:tc>
        <w:tc>
          <w:tcPr>
            <w:tcW w:w="1401" w:type="dxa"/>
          </w:tcPr>
          <w:p w14:paraId="539705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63A7EA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3BE2DD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590</w:t>
            </w:r>
          </w:p>
        </w:tc>
        <w:tc>
          <w:tcPr>
            <w:tcW w:w="1401" w:type="dxa"/>
          </w:tcPr>
          <w:p w14:paraId="095BD5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231B76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c>
          <w:tcPr>
            <w:tcW w:w="1401" w:type="dxa"/>
          </w:tcPr>
          <w:p w14:paraId="6FA00F9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B8384BE" w14:textId="77777777" w:rsidTr="00E543D0">
        <w:tc>
          <w:tcPr>
            <w:tcW w:w="1401" w:type="dxa"/>
          </w:tcPr>
          <w:p w14:paraId="58C3EA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4700</w:t>
            </w:r>
          </w:p>
        </w:tc>
        <w:tc>
          <w:tcPr>
            <w:tcW w:w="1401" w:type="dxa"/>
          </w:tcPr>
          <w:p w14:paraId="6F1ACC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c>
          <w:tcPr>
            <w:tcW w:w="1401" w:type="dxa"/>
          </w:tcPr>
          <w:p w14:paraId="721B3D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1A068D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086339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605/4950</w:t>
            </w:r>
          </w:p>
        </w:tc>
        <w:tc>
          <w:tcPr>
            <w:tcW w:w="1401" w:type="dxa"/>
          </w:tcPr>
          <w:p w14:paraId="61B27B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17317E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c>
          <w:tcPr>
            <w:tcW w:w="1401" w:type="dxa"/>
          </w:tcPr>
          <w:p w14:paraId="60D6CD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2-я гр. высотности</w:t>
            </w:r>
          </w:p>
        </w:tc>
      </w:tr>
      <w:tr w:rsidR="007D5DF8" w:rsidRPr="00DB5D0D" w14:paraId="3AD1246F" w14:textId="77777777" w:rsidTr="00E543D0">
        <w:tc>
          <w:tcPr>
            <w:tcW w:w="1401" w:type="dxa"/>
          </w:tcPr>
          <w:p w14:paraId="6F883D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1401" w:type="dxa"/>
          </w:tcPr>
          <w:p w14:paraId="58B1CD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580</w:t>
            </w:r>
          </w:p>
        </w:tc>
        <w:tc>
          <w:tcPr>
            <w:tcW w:w="1401" w:type="dxa"/>
          </w:tcPr>
          <w:p w14:paraId="383378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29B29C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875</w:t>
            </w:r>
          </w:p>
        </w:tc>
        <w:tc>
          <w:tcPr>
            <w:tcW w:w="1401" w:type="dxa"/>
          </w:tcPr>
          <w:p w14:paraId="443803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604/5000</w:t>
            </w:r>
          </w:p>
        </w:tc>
        <w:tc>
          <w:tcPr>
            <w:tcW w:w="1401" w:type="dxa"/>
          </w:tcPr>
          <w:p w14:paraId="33F006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1A2F08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195A5DE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E0DF770" w14:textId="77777777" w:rsidTr="00E543D0">
        <w:tc>
          <w:tcPr>
            <w:tcW w:w="1401" w:type="dxa"/>
            <w:tcBorders>
              <w:bottom w:val="single" w:sz="12" w:space="0" w:color="auto"/>
            </w:tcBorders>
          </w:tcPr>
          <w:p w14:paraId="046F95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401" w:type="dxa"/>
            <w:tcBorders>
              <w:bottom w:val="single" w:sz="12" w:space="0" w:color="auto"/>
            </w:tcBorders>
          </w:tcPr>
          <w:p w14:paraId="47B544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555</w:t>
            </w:r>
          </w:p>
        </w:tc>
        <w:tc>
          <w:tcPr>
            <w:tcW w:w="1401" w:type="dxa"/>
            <w:tcBorders>
              <w:bottom w:val="single" w:sz="12" w:space="0" w:color="auto"/>
            </w:tcBorders>
          </w:tcPr>
          <w:p w14:paraId="1012A2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Borders>
              <w:bottom w:val="single" w:sz="12" w:space="0" w:color="auto"/>
            </w:tcBorders>
          </w:tcPr>
          <w:p w14:paraId="35FA39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745</w:t>
            </w:r>
          </w:p>
        </w:tc>
        <w:tc>
          <w:tcPr>
            <w:tcW w:w="1401" w:type="dxa"/>
            <w:tcBorders>
              <w:bottom w:val="single" w:sz="12" w:space="0" w:color="auto"/>
            </w:tcBorders>
          </w:tcPr>
          <w:p w14:paraId="5B8095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579</w:t>
            </w:r>
          </w:p>
        </w:tc>
        <w:tc>
          <w:tcPr>
            <w:tcW w:w="1401" w:type="dxa"/>
            <w:tcBorders>
              <w:bottom w:val="single" w:sz="12" w:space="0" w:color="auto"/>
            </w:tcBorders>
          </w:tcPr>
          <w:p w14:paraId="6F0640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Borders>
              <w:bottom w:val="single" w:sz="12" w:space="0" w:color="auto"/>
            </w:tcBorders>
          </w:tcPr>
          <w:p w14:paraId="5DF106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c>
          <w:tcPr>
            <w:tcW w:w="1401" w:type="dxa"/>
            <w:tcBorders>
              <w:bottom w:val="single" w:sz="12" w:space="0" w:color="auto"/>
            </w:tcBorders>
          </w:tcPr>
          <w:p w14:paraId="028EDF0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38DA67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и потолок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7D5DF8" w:rsidRPr="00DB5D0D" w14:paraId="598C2949" w14:textId="77777777" w:rsidTr="00E543D0">
        <w:tc>
          <w:tcPr>
            <w:tcW w:w="1868" w:type="dxa"/>
            <w:tcBorders>
              <w:top w:val="single" w:sz="12" w:space="0" w:color="auto"/>
            </w:tcBorders>
          </w:tcPr>
          <w:p w14:paraId="2DCF9A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Стат. высота</w:t>
            </w:r>
          </w:p>
        </w:tc>
        <w:tc>
          <w:tcPr>
            <w:tcW w:w="1868" w:type="dxa"/>
            <w:tcBorders>
              <w:top w:val="single" w:sz="12" w:space="0" w:color="auto"/>
            </w:tcBorders>
          </w:tcPr>
          <w:p w14:paraId="107534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2968 кг 1-й вариант всасывающего патрубка</w:t>
            </w:r>
          </w:p>
        </w:tc>
        <w:tc>
          <w:tcPr>
            <w:tcW w:w="1868" w:type="dxa"/>
            <w:tcBorders>
              <w:top w:val="single" w:sz="12" w:space="0" w:color="auto"/>
            </w:tcBorders>
          </w:tcPr>
          <w:p w14:paraId="7B5BBF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09D442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2EF8065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C18AC0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63C8631" w14:textId="77777777" w:rsidTr="00E543D0">
        <w:tc>
          <w:tcPr>
            <w:tcW w:w="1868" w:type="dxa"/>
          </w:tcPr>
          <w:p w14:paraId="7118BD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868" w:type="dxa"/>
          </w:tcPr>
          <w:p w14:paraId="5D39D5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Верт. скорость</w:t>
            </w:r>
          </w:p>
        </w:tc>
        <w:tc>
          <w:tcPr>
            <w:tcW w:w="1868" w:type="dxa"/>
          </w:tcPr>
          <w:p w14:paraId="0EAD66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1868" w:type="dxa"/>
          </w:tcPr>
          <w:p w14:paraId="2D514F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по прибору</w:t>
            </w:r>
          </w:p>
        </w:tc>
        <w:tc>
          <w:tcPr>
            <w:tcW w:w="1868" w:type="dxa"/>
          </w:tcPr>
          <w:p w14:paraId="236CB2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1868" w:type="dxa"/>
          </w:tcPr>
          <w:p w14:paraId="1C0491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r>
      <w:tr w:rsidR="007D5DF8" w:rsidRPr="00DB5D0D" w14:paraId="1E01C633" w14:textId="77777777" w:rsidTr="00E543D0">
        <w:tc>
          <w:tcPr>
            <w:tcW w:w="1868" w:type="dxa"/>
          </w:tcPr>
          <w:p w14:paraId="0AF4FF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868" w:type="dxa"/>
          </w:tcPr>
          <w:p w14:paraId="73E8D2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1868" w:type="dxa"/>
          </w:tcPr>
          <w:p w14:paraId="45D548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868" w:type="dxa"/>
          </w:tcPr>
          <w:p w14:paraId="224DD2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68" w:type="dxa"/>
          </w:tcPr>
          <w:p w14:paraId="1E98BF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64F174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r>
      <w:tr w:rsidR="007D5DF8" w:rsidRPr="00DB5D0D" w14:paraId="5635D2CB" w14:textId="77777777" w:rsidTr="00E543D0">
        <w:tc>
          <w:tcPr>
            <w:tcW w:w="1868" w:type="dxa"/>
          </w:tcPr>
          <w:p w14:paraId="451D57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868" w:type="dxa"/>
          </w:tcPr>
          <w:p w14:paraId="11B9C7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868" w:type="dxa"/>
          </w:tcPr>
          <w:p w14:paraId="1F27DE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1868" w:type="dxa"/>
          </w:tcPr>
          <w:p w14:paraId="579D5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68" w:type="dxa"/>
          </w:tcPr>
          <w:p w14:paraId="494B67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6CD22D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r>
      <w:tr w:rsidR="007D5DF8" w:rsidRPr="00DB5D0D" w14:paraId="014878B5" w14:textId="77777777" w:rsidTr="00E543D0">
        <w:tc>
          <w:tcPr>
            <w:tcW w:w="1868" w:type="dxa"/>
          </w:tcPr>
          <w:p w14:paraId="69E4A4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1900</w:t>
            </w:r>
          </w:p>
        </w:tc>
        <w:tc>
          <w:tcPr>
            <w:tcW w:w="1868" w:type="dxa"/>
          </w:tcPr>
          <w:p w14:paraId="03845B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w:t>
            </w:r>
          </w:p>
        </w:tc>
        <w:tc>
          <w:tcPr>
            <w:tcW w:w="1868" w:type="dxa"/>
          </w:tcPr>
          <w:p w14:paraId="07AC05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868" w:type="dxa"/>
          </w:tcPr>
          <w:p w14:paraId="6D5251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68" w:type="dxa"/>
          </w:tcPr>
          <w:p w14:paraId="0A1CC2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0C67B2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r>
      <w:tr w:rsidR="007D5DF8" w:rsidRPr="00DB5D0D" w14:paraId="5B2CD539" w14:textId="77777777" w:rsidTr="00E543D0">
        <w:tc>
          <w:tcPr>
            <w:tcW w:w="1868" w:type="dxa"/>
          </w:tcPr>
          <w:p w14:paraId="544B71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868" w:type="dxa"/>
          </w:tcPr>
          <w:p w14:paraId="6D437D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w:t>
            </w:r>
          </w:p>
        </w:tc>
        <w:tc>
          <w:tcPr>
            <w:tcW w:w="1868" w:type="dxa"/>
          </w:tcPr>
          <w:p w14:paraId="513C6F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1868" w:type="dxa"/>
          </w:tcPr>
          <w:p w14:paraId="169E48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68" w:type="dxa"/>
          </w:tcPr>
          <w:p w14:paraId="5149ED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1C2539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915</w:t>
            </w:r>
          </w:p>
        </w:tc>
      </w:tr>
      <w:tr w:rsidR="007D5DF8" w:rsidRPr="00DB5D0D" w14:paraId="202C50B4" w14:textId="77777777" w:rsidTr="00E543D0">
        <w:tc>
          <w:tcPr>
            <w:tcW w:w="1868" w:type="dxa"/>
          </w:tcPr>
          <w:p w14:paraId="61FCE3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1868" w:type="dxa"/>
          </w:tcPr>
          <w:p w14:paraId="3DB129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c>
          <w:tcPr>
            <w:tcW w:w="1868" w:type="dxa"/>
          </w:tcPr>
          <w:p w14:paraId="509D78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w:t>
            </w:r>
          </w:p>
        </w:tc>
        <w:tc>
          <w:tcPr>
            <w:tcW w:w="1868" w:type="dxa"/>
          </w:tcPr>
          <w:p w14:paraId="4413C8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247</w:t>
            </w:r>
          </w:p>
        </w:tc>
        <w:tc>
          <w:tcPr>
            <w:tcW w:w="1868" w:type="dxa"/>
          </w:tcPr>
          <w:p w14:paraId="45FD6D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266232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r>
      <w:tr w:rsidR="007D5DF8" w:rsidRPr="00DB5D0D" w14:paraId="633118FA" w14:textId="77777777" w:rsidTr="00E543D0">
        <w:tc>
          <w:tcPr>
            <w:tcW w:w="1868" w:type="dxa"/>
          </w:tcPr>
          <w:p w14:paraId="5F20C7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868" w:type="dxa"/>
          </w:tcPr>
          <w:p w14:paraId="078430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1868" w:type="dxa"/>
          </w:tcPr>
          <w:p w14:paraId="754968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1868" w:type="dxa"/>
          </w:tcPr>
          <w:p w14:paraId="1C2F47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246</w:t>
            </w:r>
          </w:p>
        </w:tc>
        <w:tc>
          <w:tcPr>
            <w:tcW w:w="1868" w:type="dxa"/>
          </w:tcPr>
          <w:p w14:paraId="5CDF13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74FE84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r>
      <w:tr w:rsidR="007D5DF8" w:rsidRPr="00DB5D0D" w14:paraId="36BD2F13" w14:textId="77777777" w:rsidTr="00E543D0">
        <w:tc>
          <w:tcPr>
            <w:tcW w:w="1868" w:type="dxa"/>
          </w:tcPr>
          <w:p w14:paraId="6D9808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3700</w:t>
            </w:r>
          </w:p>
        </w:tc>
        <w:tc>
          <w:tcPr>
            <w:tcW w:w="1868" w:type="dxa"/>
          </w:tcPr>
          <w:p w14:paraId="7C858D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16,6</w:t>
            </w:r>
          </w:p>
        </w:tc>
        <w:tc>
          <w:tcPr>
            <w:tcW w:w="1868" w:type="dxa"/>
          </w:tcPr>
          <w:p w14:paraId="2A9577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868" w:type="dxa"/>
          </w:tcPr>
          <w:p w14:paraId="4308ED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243</w:t>
            </w:r>
          </w:p>
        </w:tc>
        <w:tc>
          <w:tcPr>
            <w:tcW w:w="1868" w:type="dxa"/>
          </w:tcPr>
          <w:p w14:paraId="489BB5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189C14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r>
      <w:tr w:rsidR="007D5DF8" w:rsidRPr="00DB5D0D" w14:paraId="43732CB2" w14:textId="77777777" w:rsidTr="00E543D0">
        <w:tc>
          <w:tcPr>
            <w:tcW w:w="1868" w:type="dxa"/>
          </w:tcPr>
          <w:p w14:paraId="12C3B3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1868" w:type="dxa"/>
          </w:tcPr>
          <w:p w14:paraId="78D3FA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1868" w:type="dxa"/>
          </w:tcPr>
          <w:p w14:paraId="7746CF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1868" w:type="dxa"/>
          </w:tcPr>
          <w:p w14:paraId="728B57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241</w:t>
            </w:r>
          </w:p>
        </w:tc>
        <w:tc>
          <w:tcPr>
            <w:tcW w:w="1868" w:type="dxa"/>
          </w:tcPr>
          <w:p w14:paraId="66B128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35601E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895</w:t>
            </w:r>
          </w:p>
        </w:tc>
      </w:tr>
      <w:tr w:rsidR="007D5DF8" w:rsidRPr="00DB5D0D" w14:paraId="60E4691F" w14:textId="77777777" w:rsidTr="00E543D0">
        <w:tc>
          <w:tcPr>
            <w:tcW w:w="1868" w:type="dxa"/>
          </w:tcPr>
          <w:p w14:paraId="34867B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1868" w:type="dxa"/>
          </w:tcPr>
          <w:p w14:paraId="264C6B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w:t>
            </w:r>
          </w:p>
        </w:tc>
        <w:tc>
          <w:tcPr>
            <w:tcW w:w="1868" w:type="dxa"/>
          </w:tcPr>
          <w:p w14:paraId="5CD4DA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c>
          <w:tcPr>
            <w:tcW w:w="1868" w:type="dxa"/>
          </w:tcPr>
          <w:p w14:paraId="6CD9FE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235</w:t>
            </w:r>
          </w:p>
        </w:tc>
        <w:tc>
          <w:tcPr>
            <w:tcW w:w="1868" w:type="dxa"/>
          </w:tcPr>
          <w:p w14:paraId="01FCB8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574082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r>
      <w:tr w:rsidR="007D5DF8" w:rsidRPr="00DB5D0D" w14:paraId="655529A1" w14:textId="77777777" w:rsidTr="00E543D0">
        <w:tc>
          <w:tcPr>
            <w:tcW w:w="1868" w:type="dxa"/>
          </w:tcPr>
          <w:p w14:paraId="35A1C0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868" w:type="dxa"/>
          </w:tcPr>
          <w:p w14:paraId="196879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w:t>
            </w:r>
          </w:p>
        </w:tc>
        <w:tc>
          <w:tcPr>
            <w:tcW w:w="1868" w:type="dxa"/>
          </w:tcPr>
          <w:p w14:paraId="58172F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7,36</w:t>
            </w:r>
          </w:p>
        </w:tc>
        <w:tc>
          <w:tcPr>
            <w:tcW w:w="1868" w:type="dxa"/>
          </w:tcPr>
          <w:p w14:paraId="0C8B1D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227</w:t>
            </w:r>
          </w:p>
        </w:tc>
        <w:tc>
          <w:tcPr>
            <w:tcW w:w="1868" w:type="dxa"/>
          </w:tcPr>
          <w:p w14:paraId="4FF245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1C618C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710</w:t>
            </w:r>
          </w:p>
        </w:tc>
      </w:tr>
      <w:tr w:rsidR="007D5DF8" w:rsidRPr="00DB5D0D" w14:paraId="595763C8" w14:textId="77777777" w:rsidTr="00E543D0">
        <w:tc>
          <w:tcPr>
            <w:tcW w:w="1868" w:type="dxa"/>
          </w:tcPr>
          <w:p w14:paraId="0F2B05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1868" w:type="dxa"/>
          </w:tcPr>
          <w:p w14:paraId="0074E9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w:t>
            </w:r>
          </w:p>
        </w:tc>
        <w:tc>
          <w:tcPr>
            <w:tcW w:w="1868" w:type="dxa"/>
          </w:tcPr>
          <w:p w14:paraId="203836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w:t>
            </w:r>
          </w:p>
        </w:tc>
        <w:tc>
          <w:tcPr>
            <w:tcW w:w="1868" w:type="dxa"/>
          </w:tcPr>
          <w:p w14:paraId="278FBE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219</w:t>
            </w:r>
          </w:p>
        </w:tc>
        <w:tc>
          <w:tcPr>
            <w:tcW w:w="1868" w:type="dxa"/>
          </w:tcPr>
          <w:p w14:paraId="50992A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1EFFE0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w:t>
            </w:r>
          </w:p>
        </w:tc>
      </w:tr>
      <w:tr w:rsidR="007D5DF8" w:rsidRPr="00DB5D0D" w14:paraId="53750F0B" w14:textId="77777777" w:rsidTr="00E543D0">
        <w:tc>
          <w:tcPr>
            <w:tcW w:w="1868" w:type="dxa"/>
          </w:tcPr>
          <w:p w14:paraId="089BDD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1868" w:type="dxa"/>
          </w:tcPr>
          <w:p w14:paraId="5E903C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868" w:type="dxa"/>
          </w:tcPr>
          <w:p w14:paraId="5E605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12,17</w:t>
            </w:r>
          </w:p>
        </w:tc>
        <w:tc>
          <w:tcPr>
            <w:tcW w:w="1868" w:type="dxa"/>
          </w:tcPr>
          <w:p w14:paraId="323459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1868" w:type="dxa"/>
          </w:tcPr>
          <w:p w14:paraId="1D575F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3BEECE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530</w:t>
            </w:r>
          </w:p>
        </w:tc>
      </w:tr>
      <w:tr w:rsidR="007D5DF8" w:rsidRPr="00DB5D0D" w14:paraId="61B6BD73" w14:textId="77777777" w:rsidTr="00E543D0">
        <w:tc>
          <w:tcPr>
            <w:tcW w:w="1868" w:type="dxa"/>
            <w:tcBorders>
              <w:bottom w:val="single" w:sz="12" w:space="0" w:color="auto"/>
            </w:tcBorders>
          </w:tcPr>
          <w:p w14:paraId="4CCEED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1868" w:type="dxa"/>
            <w:tcBorders>
              <w:bottom w:val="single" w:sz="12" w:space="0" w:color="auto"/>
            </w:tcBorders>
          </w:tcPr>
          <w:p w14:paraId="396F37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1868" w:type="dxa"/>
            <w:tcBorders>
              <w:bottom w:val="single" w:sz="12" w:space="0" w:color="auto"/>
            </w:tcBorders>
          </w:tcPr>
          <w:p w14:paraId="7AA22F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17,34</w:t>
            </w:r>
          </w:p>
        </w:tc>
        <w:tc>
          <w:tcPr>
            <w:tcW w:w="1868" w:type="dxa"/>
            <w:tcBorders>
              <w:bottom w:val="single" w:sz="12" w:space="0" w:color="auto"/>
            </w:tcBorders>
          </w:tcPr>
          <w:p w14:paraId="3AF5AA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68" w:type="dxa"/>
            <w:tcBorders>
              <w:bottom w:val="single" w:sz="12" w:space="0" w:color="auto"/>
            </w:tcBorders>
          </w:tcPr>
          <w:p w14:paraId="7D9D90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Borders>
              <w:bottom w:val="single" w:sz="12" w:space="0" w:color="auto"/>
            </w:tcBorders>
          </w:tcPr>
          <w:p w14:paraId="20C933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3A8EC9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Теоретический потолок 9800 м</w:t>
      </w:r>
    </w:p>
    <w:p w14:paraId="12E591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9600 м</w:t>
      </w:r>
    </w:p>
    <w:p w14:paraId="0C0D52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практического потолка 25</w:t>
      </w:r>
    </w:p>
    <w:p w14:paraId="761FB3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произведен до 5690 м (последняя точка)</w:t>
      </w:r>
    </w:p>
    <w:p w14:paraId="392E88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Маневренность с-та на 1000 м</w:t>
      </w:r>
    </w:p>
    <w:p w14:paraId="4933EC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одинарный левый 20,6 сек. (280 км/час), правый 19,8 сек. (300 км/час), крен 70 гр</w:t>
      </w:r>
    </w:p>
    <w:p w14:paraId="67FD1C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Восьмерка 40 сек.</w:t>
      </w:r>
    </w:p>
    <w:p w14:paraId="744465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Взлетно-посадочные данные</w:t>
      </w:r>
    </w:p>
    <w:p w14:paraId="7EF821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сухом аэродроме со слабой травянистостью </w:t>
      </w:r>
    </w:p>
    <w:p w14:paraId="103082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355</w:t>
      </w:r>
    </w:p>
    <w:p w14:paraId="300579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400 при 140 км/час</w:t>
      </w:r>
    </w:p>
    <w:p w14:paraId="5D1151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закрылков с торможением 650 м</w:t>
      </w:r>
    </w:p>
    <w:p w14:paraId="7C67C7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торможения с закрылками 650 м</w:t>
      </w:r>
    </w:p>
    <w:p w14:paraId="344E97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Выписки из летной оценки:</w:t>
      </w:r>
    </w:p>
    <w:p w14:paraId="46234F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 свободная, но размещение рычагов неудачное. Неудобно пользоваться штурвалом триммера РВ РП, т.к. они расположены на правом борту, как и ручками крана шасси и щитков, которые расположены слишком далеко.</w:t>
      </w:r>
    </w:p>
    <w:p w14:paraId="53BCE0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Вместо штурвала управления заслонками водо и маслорадиатора необходимо установить автомат.</w:t>
      </w:r>
    </w:p>
    <w:p w14:paraId="100346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Стопор костыля неудобен, его надо сделать автоматическим.</w:t>
      </w:r>
    </w:p>
    <w:p w14:paraId="68A343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кабине жарко. Необходимо улучшить вентиляцию. Кабину сделать более культурно, заднюю ранель, борта.. Сектор газа пружинит и в незастопоренном положении отходит назад, что особенно опасно на взлете.</w:t>
      </w:r>
    </w:p>
    <w:p w14:paraId="5A5AC8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Качество остекления фонаря плохое, ухуцдшает обзор вперед и в стороны.</w:t>
      </w:r>
    </w:p>
    <w:p w14:paraId="67D83D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резком подъеме хвоста самолет энергично заворачивает вправо.</w:t>
      </w:r>
    </w:p>
    <w:p w14:paraId="6DAE88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наборе на номинальном режиме перегревается вода и масло.</w:t>
      </w:r>
    </w:p>
    <w:p w14:paraId="5BA97C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Правый вираж самолет выполняет лучше.</w:t>
      </w:r>
    </w:p>
    <w:p w14:paraId="101780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Нагрузки на ручку при переходе с левого виража в правый большие.</w:t>
      </w:r>
    </w:p>
    <w:p w14:paraId="70A492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боевом развороте, если самолет разогнан до 450 км/час, набор высоты 600 м за 3000 м.</w:t>
      </w:r>
    </w:p>
    <w:p w14:paraId="749073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облегчить нагрузки на элероны, а также на РВ</w:t>
      </w:r>
    </w:p>
    <w:p w14:paraId="64A11F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застопоренного костыля пробег после посадки опасен</w:t>
      </w:r>
    </w:p>
    <w:p w14:paraId="143EC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Продельная устойчивость на нормальной центровки 24,6% недостаточна.</w:t>
      </w:r>
    </w:p>
    <w:p w14:paraId="466DF7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ВМГ</w:t>
      </w:r>
    </w:p>
    <w:p w14:paraId="03B81E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12 цилиндров, под углом 60 гр.</w:t>
      </w:r>
    </w:p>
    <w:p w14:paraId="497236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Вухой вес мотора - 600 кг</w:t>
      </w:r>
    </w:p>
    <w:p w14:paraId="3D9E96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взлетная у земли 1100 лс, Рк 950+15/-25, 2650 оборотов</w:t>
      </w:r>
    </w:p>
    <w:p w14:paraId="07F2B2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номинальная у земли 1020, Рк 910 +40/-20 и 2650 оборотов</w:t>
      </w:r>
    </w:p>
    <w:p w14:paraId="04C246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номинальная на 1 ск. 1100 лс, на 2-й -1050 лс при Рк 910 и 2700 оборотов</w:t>
      </w:r>
    </w:p>
    <w:p w14:paraId="2C1789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1 ск - 2000 м, 2 ско. - 4000 м, Макс. обороты 2800, минимальные - 500</w:t>
      </w:r>
    </w:p>
    <w:p w14:paraId="1DF538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 3.5Б-80 окт. число 95</w:t>
      </w:r>
    </w:p>
    <w:p w14:paraId="639184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 МДС и СС</w:t>
      </w:r>
    </w:p>
    <w:p w14:paraId="609E26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Расход горючего на 1 ск. 270 г/лс/час, на 2-й - 300</w:t>
      </w:r>
    </w:p>
    <w:p w14:paraId="2E2C16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Охлаждение - водяное, закрытого типа.</w:t>
      </w:r>
    </w:p>
    <w:p w14:paraId="6C6201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расширительном бачке имеется клапан двустороннего действия</w:t>
      </w:r>
    </w:p>
    <w:p w14:paraId="06CFAD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водорадиатора</w:t>
      </w:r>
    </w:p>
    <w:p w14:paraId="684047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входящей - воды 85, масла - 50</w:t>
      </w:r>
    </w:p>
    <w:p w14:paraId="04F9E8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водорадиатора (трубки 8 мм)</w:t>
      </w:r>
    </w:p>
    <w:p w14:paraId="025540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Фронтальная площадь 0,243 м2</w:t>
      </w:r>
    </w:p>
    <w:p w14:paraId="1B97AE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охлаждения 41,7 м2</w:t>
      </w:r>
    </w:p>
    <w:p w14:paraId="24FD6D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Глубина по потоку - 440 мм</w:t>
      </w:r>
    </w:p>
    <w:p w14:paraId="2960FE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Емкость 35,7 л</w:t>
      </w:r>
    </w:p>
    <w:p w14:paraId="090904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85 кг, мкость водяной системы 95 кг</w:t>
      </w:r>
    </w:p>
    <w:p w14:paraId="39EF26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маслорадиатора (трубки 8 мм)</w:t>
      </w:r>
    </w:p>
    <w:p w14:paraId="26A0DF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Фронтальная площадь 0,052 м2</w:t>
      </w:r>
    </w:p>
    <w:p w14:paraId="04A891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охлаждения 2,4 м2</w:t>
      </w:r>
    </w:p>
    <w:p w14:paraId="51CF61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Глубина по потоку 245 мм</w:t>
      </w:r>
    </w:p>
    <w:p w14:paraId="1BCED8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14 кг</w:t>
      </w:r>
    </w:p>
    <w:p w14:paraId="696117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Емкость маслобака 57 л</w:t>
      </w:r>
    </w:p>
    <w:p w14:paraId="4CD63F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заправка маслом 45 кг</w:t>
      </w:r>
    </w:p>
    <w:p w14:paraId="525ABA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Система охлаждения</w:t>
      </w:r>
    </w:p>
    <w:p w14:paraId="7DB638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горизонтальном полете на 4800 м на полном газе при положении заслонки водлорадиатора на половину открыто температура воды достигает через 5 минут полоета 120 гр</w:t>
      </w:r>
    </w:p>
    <w:p w14:paraId="529355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определялась на расчетной высоте 4800 м на скорости 0,9 без учета пути, пройденного на наборе высоты и достигла 558 км</w:t>
      </w:r>
    </w:p>
    <w:p w14:paraId="7945D1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Ведомость дефектов:</w:t>
      </w:r>
    </w:p>
    <w:p w14:paraId="069135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самолету</w:t>
      </w:r>
    </w:p>
    <w:p w14:paraId="0BADE4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кабине жарко. Улучшить вентиляцию кабины, добиться регулировки желаемой темпаратуры в кабине</w:t>
      </w:r>
    </w:p>
    <w:p w14:paraId="29222C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Сидение л в кабине не регулируется, а на земле регулировать очень труднор</w:t>
      </w:r>
    </w:p>
    <w:p w14:paraId="1F01D1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по с-та 39, а по ВМГ - 38, по оснащению 24</w:t>
      </w:r>
    </w:p>
    <w:p w14:paraId="23C984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испытаниях устранено 14</w:t>
      </w:r>
    </w:p>
    <w:p w14:paraId="04FE1F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5760"/>
      </w:tblGrid>
      <w:tr w:rsidR="007D5DF8" w:rsidRPr="00DB5D0D" w14:paraId="79EF01AD" w14:textId="77777777" w:rsidTr="00E543D0">
        <w:tc>
          <w:tcPr>
            <w:tcW w:w="3024" w:type="dxa"/>
            <w:tcBorders>
              <w:top w:val="single" w:sz="12" w:space="0" w:color="auto"/>
            </w:tcBorders>
          </w:tcPr>
          <w:p w14:paraId="240CD2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5760" w:type="dxa"/>
            <w:tcBorders>
              <w:top w:val="single" w:sz="12" w:space="0" w:color="auto"/>
            </w:tcBorders>
          </w:tcPr>
          <w:p w14:paraId="1B0716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13419063" w14:textId="77777777" w:rsidTr="00E543D0">
        <w:tc>
          <w:tcPr>
            <w:tcW w:w="3024" w:type="dxa"/>
          </w:tcPr>
          <w:p w14:paraId="612040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июля 1940</w:t>
            </w:r>
          </w:p>
        </w:tc>
        <w:tc>
          <w:tcPr>
            <w:tcW w:w="5760" w:type="dxa"/>
          </w:tcPr>
          <w:p w14:paraId="2D4A37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прибыл и в 19:00 принят на испытания</w:t>
            </w:r>
          </w:p>
        </w:tc>
      </w:tr>
      <w:tr w:rsidR="007D5DF8" w:rsidRPr="00DB5D0D" w14:paraId="525E66C2" w14:textId="77777777" w:rsidTr="00E543D0">
        <w:tc>
          <w:tcPr>
            <w:tcW w:w="3024" w:type="dxa"/>
          </w:tcPr>
          <w:p w14:paraId="554CE4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5760" w:type="dxa"/>
          </w:tcPr>
          <w:p w14:paraId="01F941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Взвешивание, устранение девиации, оборудование испытательной аппаратурой. Пробный полет летчика Стефановского. Устранение трещин в обшивке фюзеляжа, обнаруженных после полета. </w:t>
            </w:r>
          </w:p>
        </w:tc>
      </w:tr>
      <w:tr w:rsidR="007D5DF8" w:rsidRPr="00DB5D0D" w14:paraId="51F4F682" w14:textId="77777777" w:rsidTr="00E543D0">
        <w:tc>
          <w:tcPr>
            <w:tcW w:w="3024" w:type="dxa"/>
          </w:tcPr>
          <w:p w14:paraId="0A9902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5760" w:type="dxa"/>
          </w:tcPr>
          <w:p w14:paraId="2AEFF0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Осмотр вина со съемом. Установка колес с увеличенной колодкой тормозом. Регулировка сигназизации. Полет на определение границ высотности мотора. Полет на сверхмаксимальную скорость.</w:t>
            </w:r>
          </w:p>
        </w:tc>
      </w:tr>
      <w:tr w:rsidR="007D5DF8" w:rsidRPr="00DB5D0D" w14:paraId="4CE45FA3" w14:textId="77777777" w:rsidTr="00E543D0">
        <w:tc>
          <w:tcPr>
            <w:tcW w:w="3024" w:type="dxa"/>
          </w:tcPr>
          <w:p w14:paraId="3DA1A8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5760" w:type="dxa"/>
          </w:tcPr>
          <w:p w14:paraId="7DCA17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Погода нелетная, облачность и сильный ветор. Пробные полеты второго вед. летчика Супруна.</w:t>
            </w:r>
          </w:p>
        </w:tc>
      </w:tr>
      <w:tr w:rsidR="007D5DF8" w:rsidRPr="00DB5D0D" w14:paraId="14E0B26D" w14:textId="77777777" w:rsidTr="00E543D0">
        <w:tc>
          <w:tcPr>
            <w:tcW w:w="3024" w:type="dxa"/>
          </w:tcPr>
          <w:p w14:paraId="7035D6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760" w:type="dxa"/>
          </w:tcPr>
          <w:p w14:paraId="5C6CB7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51CA5E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5B883E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дефектов, обнаруженных после полета: выброс масла из суфлера мотора, устранение утечки воздуха, замена барографа</w:t>
            </w:r>
          </w:p>
        </w:tc>
      </w:tr>
      <w:tr w:rsidR="007D5DF8" w:rsidRPr="00DB5D0D" w14:paraId="396D452F" w14:textId="77777777" w:rsidTr="00E543D0">
        <w:tc>
          <w:tcPr>
            <w:tcW w:w="3024" w:type="dxa"/>
          </w:tcPr>
          <w:p w14:paraId="0B29C9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w:t>
            </w:r>
          </w:p>
        </w:tc>
        <w:tc>
          <w:tcPr>
            <w:tcW w:w="5760" w:type="dxa"/>
          </w:tcPr>
          <w:p w14:paraId="5D11EB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138B5F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из-за отсоединения тяги нормального газа мотора. Заварка выхлопного коллектора. Устранение причин, вызвавших вынужденную посадку</w:t>
            </w:r>
          </w:p>
          <w:p w14:paraId="64E55E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на пилотаж. После полета обнаружены следы пожара во всасывающем патрубке мотора. Патрубок снят и осмотрен.</w:t>
            </w:r>
          </w:p>
          <w:p w14:paraId="4E62A5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пилотаж с засечкой фигур с земли. Ремонт гибкого валика счетчика оборотов</w:t>
            </w:r>
          </w:p>
        </w:tc>
      </w:tr>
      <w:tr w:rsidR="007D5DF8" w:rsidRPr="00DB5D0D" w14:paraId="6B2B42AB" w14:textId="77777777" w:rsidTr="00E543D0">
        <w:tc>
          <w:tcPr>
            <w:tcW w:w="3024" w:type="dxa"/>
          </w:tcPr>
          <w:p w14:paraId="3003E2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w:t>
            </w:r>
          </w:p>
        </w:tc>
        <w:tc>
          <w:tcPr>
            <w:tcW w:w="5760" w:type="dxa"/>
          </w:tcPr>
          <w:p w14:paraId="200FA5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134A6E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w:t>
            </w:r>
          </w:p>
          <w:p w14:paraId="297014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Вынужденная посадка без пользования тормозами, т.к. лопнула воздушная трубка</w:t>
            </w:r>
          </w:p>
          <w:p w14:paraId="4BC5A5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 и скорости по высотам.</w:t>
            </w:r>
          </w:p>
          <w:p w14:paraId="786840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с-та. Подготовка с-та к испытанию на расход горючего.</w:t>
            </w:r>
          </w:p>
          <w:p w14:paraId="526E43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неисправновстей во всасявающем патрубке, подводящим воздух к нагнетателю</w:t>
            </w:r>
          </w:p>
        </w:tc>
      </w:tr>
      <w:tr w:rsidR="007D5DF8" w:rsidRPr="00DB5D0D" w14:paraId="224C4707" w14:textId="77777777" w:rsidTr="00E543D0">
        <w:tc>
          <w:tcPr>
            <w:tcW w:w="3024" w:type="dxa"/>
          </w:tcPr>
          <w:p w14:paraId="75A993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w:t>
            </w:r>
          </w:p>
        </w:tc>
        <w:tc>
          <w:tcPr>
            <w:tcW w:w="5760" w:type="dxa"/>
          </w:tcPr>
          <w:p w14:paraId="0586E0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Замена покрышек колес, т.к. смонтированные покрышки деформировались и не убирается шасси. Устранение течи воды в пауке водосистемы</w:t>
            </w:r>
          </w:p>
        </w:tc>
      </w:tr>
      <w:tr w:rsidR="007D5DF8" w:rsidRPr="00DB5D0D" w14:paraId="45D76495" w14:textId="77777777" w:rsidTr="00E543D0">
        <w:tc>
          <w:tcPr>
            <w:tcW w:w="3024" w:type="dxa"/>
          </w:tcPr>
          <w:p w14:paraId="634DA8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w:t>
            </w:r>
          </w:p>
        </w:tc>
        <w:tc>
          <w:tcPr>
            <w:tcW w:w="5760" w:type="dxa"/>
          </w:tcPr>
          <w:p w14:paraId="35337E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p w14:paraId="138678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в полете непроизвольно встали на замки в выпущенном положении</w:t>
            </w:r>
          </w:p>
          <w:p w14:paraId="28C919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Вынужденная посадка из-за срыва нижнего щитка шасси. Шасси после взлета не убрались. Устранение дефектов, установка нового щитка, устранение течи водосистемы</w:t>
            </w:r>
          </w:p>
        </w:tc>
      </w:tr>
      <w:tr w:rsidR="007D5DF8" w:rsidRPr="00DB5D0D" w14:paraId="4CBDA7DB" w14:textId="77777777" w:rsidTr="00E543D0">
        <w:tc>
          <w:tcPr>
            <w:tcW w:w="3024" w:type="dxa"/>
          </w:tcPr>
          <w:p w14:paraId="733A79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w:t>
            </w:r>
          </w:p>
        </w:tc>
        <w:tc>
          <w:tcPr>
            <w:tcW w:w="5760" w:type="dxa"/>
          </w:tcPr>
          <w:p w14:paraId="255127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первой скорости нагнетателя.</w:t>
            </w:r>
          </w:p>
          <w:p w14:paraId="356589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8000 м.</w:t>
            </w:r>
          </w:p>
          <w:p w14:paraId="1347CE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второй скорости нагнетателя.</w:t>
            </w:r>
          </w:p>
          <w:p w14:paraId="44C34A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при передней центровке.</w:t>
            </w:r>
          </w:p>
          <w:p w14:paraId="12FE9C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новых выхлопных патрубков</w:t>
            </w:r>
          </w:p>
        </w:tc>
      </w:tr>
      <w:tr w:rsidR="007D5DF8" w:rsidRPr="00DB5D0D" w14:paraId="2D018D6B" w14:textId="77777777" w:rsidTr="00E543D0">
        <w:tc>
          <w:tcPr>
            <w:tcW w:w="3024" w:type="dxa"/>
          </w:tcPr>
          <w:p w14:paraId="22DD5D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5760" w:type="dxa"/>
          </w:tcPr>
          <w:p w14:paraId="21596C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с задней центровкой.</w:t>
            </w:r>
          </w:p>
          <w:p w14:paraId="7EA1FC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6000 м и снятие скоростей по высотам с новым всасывающим патрубком.</w:t>
            </w:r>
          </w:p>
          <w:p w14:paraId="27635E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дефектов</w:t>
            </w:r>
          </w:p>
          <w:p w14:paraId="2A3ACE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tc>
      </w:tr>
      <w:tr w:rsidR="007D5DF8" w:rsidRPr="00DB5D0D" w14:paraId="07F68633" w14:textId="77777777" w:rsidTr="00E543D0">
        <w:tc>
          <w:tcPr>
            <w:tcW w:w="3024" w:type="dxa"/>
          </w:tcPr>
          <w:p w14:paraId="2F9B10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w:t>
            </w:r>
          </w:p>
        </w:tc>
        <w:tc>
          <w:tcPr>
            <w:tcW w:w="5760" w:type="dxa"/>
          </w:tcPr>
          <w:p w14:paraId="6ADF39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 Летали в облете: генерал-майор авиации Филин, полковой комиссар Холопцев и полковник Кабанов.</w:t>
            </w:r>
          </w:p>
          <w:p w14:paraId="10B448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посадке обнаружили течь водорадиатора</w:t>
            </w:r>
          </w:p>
          <w:p w14:paraId="6F5738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направляющих во всасывающем патрубке и новых выхлопных патрубков</w:t>
            </w:r>
          </w:p>
          <w:p w14:paraId="002434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нового нижнего щитка шасси</w:t>
            </w:r>
          </w:p>
        </w:tc>
      </w:tr>
      <w:tr w:rsidR="007D5DF8" w:rsidRPr="00DB5D0D" w14:paraId="7B240274" w14:textId="77777777" w:rsidTr="00E543D0">
        <w:tc>
          <w:tcPr>
            <w:tcW w:w="3024" w:type="dxa"/>
            <w:tcBorders>
              <w:bottom w:val="single" w:sz="12" w:space="0" w:color="auto"/>
            </w:tcBorders>
          </w:tcPr>
          <w:p w14:paraId="178716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5760" w:type="dxa"/>
            <w:tcBorders>
              <w:bottom w:val="single" w:sz="12" w:space="0" w:color="auto"/>
            </w:tcBorders>
          </w:tcPr>
          <w:p w14:paraId="3473B8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полет для снятия скоростей по высотам с новыми всасывающими патрубками (с направляющими пластинками), новыми выхлопными патрубками, при законтренных щитках-закрылках, чтобы оценить влияние их открывания на высоте на максимальную скорость.</w:t>
            </w:r>
          </w:p>
          <w:p w14:paraId="566A21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Госиспытания закончены.</w:t>
            </w:r>
          </w:p>
          <w:p w14:paraId="40A3B7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Карбюраторы сняты, привезены новые карбюраторы, которые не обеспечивают пожарной безопасности.</w:t>
            </w:r>
          </w:p>
          <w:p w14:paraId="63CE44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самолете запрещены</w:t>
            </w:r>
          </w:p>
        </w:tc>
      </w:tr>
    </w:tbl>
    <w:p w14:paraId="2F7F1B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испытания 14 июня 1940 года</w:t>
      </w:r>
    </w:p>
    <w:p w14:paraId="3A5B0E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Начало испытаний – 15 июня 1940 года</w:t>
      </w:r>
    </w:p>
    <w:p w14:paraId="5249E0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летных дней – 10</w:t>
      </w:r>
    </w:p>
    <w:p w14:paraId="773F57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Нелетных дней - 1</w:t>
      </w:r>
    </w:p>
    <w:p w14:paraId="541BF6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Выходных дней - 1</w:t>
      </w:r>
    </w:p>
    <w:p w14:paraId="4FDDFE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Дней на доводку - 1</w:t>
      </w:r>
    </w:p>
    <w:p w14:paraId="126B0B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испытания – 27 июня 1940 года</w:t>
      </w:r>
    </w:p>
    <w:p w14:paraId="2FAEEE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проведено 42 полета общей продолжительностью 16 час. 30 мин. (4559).</w:t>
      </w:r>
    </w:p>
    <w:p w14:paraId="64F38F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Подписал ви Таракановский 3 июля 1940 (697,11).</w:t>
      </w:r>
    </w:p>
    <w:p w14:paraId="6EC8D45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98603E4"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под председательством начальника НИИ ВВС А.И. Филина состоялся технический совет по утверждению от</w:t>
      </w:r>
      <w:r w:rsidRPr="00DB5D0D">
        <w:rPr>
          <w:rFonts w:ascii="Times New Roman" w:hAnsi="Times New Roman"/>
          <w:color w:val="000000" w:themeColor="text1"/>
          <w:sz w:val="16"/>
          <w:szCs w:val="16"/>
        </w:rPr>
        <w:softHyphen/>
        <w:t>чета результатов испытаний И-301, на который пригласили Ла</w:t>
      </w:r>
      <w:r w:rsidRPr="00DB5D0D">
        <w:rPr>
          <w:rFonts w:ascii="Times New Roman" w:hAnsi="Times New Roman"/>
          <w:color w:val="000000" w:themeColor="text1"/>
          <w:sz w:val="16"/>
          <w:szCs w:val="16"/>
        </w:rPr>
        <w:softHyphen/>
        <w:t>вочкина. Было заявлено, что проведенные работы были далеко не полными для всесторонней оценки машины.</w:t>
      </w:r>
    </w:p>
    <w:p w14:paraId="154FFB00"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перечисленных недостатков, отмечались и достоин</w:t>
      </w:r>
      <w:r w:rsidRPr="00DB5D0D">
        <w:rPr>
          <w:rFonts w:ascii="Times New Roman" w:hAnsi="Times New Roman"/>
          <w:color w:val="000000" w:themeColor="text1"/>
          <w:sz w:val="16"/>
          <w:szCs w:val="16"/>
        </w:rPr>
        <w:softHyphen/>
        <w:t>ства машины. В частности, при сравнении с И-26 констатирова</w:t>
      </w:r>
      <w:r w:rsidRPr="00DB5D0D">
        <w:rPr>
          <w:rFonts w:ascii="Times New Roman" w:hAnsi="Times New Roman"/>
          <w:color w:val="000000" w:themeColor="text1"/>
          <w:sz w:val="16"/>
          <w:szCs w:val="16"/>
        </w:rPr>
        <w:softHyphen/>
        <w:t>лось, что у И-301 выше скорость, мощнее вооружение, самолет технологически прост, нет сварки, выполнен целиком из дерева.</w:t>
      </w:r>
    </w:p>
    <w:p w14:paraId="385CF92E"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длительных прений, в которых Лавочкин ярост</w:t>
      </w:r>
      <w:r w:rsidRPr="00DB5D0D">
        <w:rPr>
          <w:rFonts w:ascii="Times New Roman" w:hAnsi="Times New Roman"/>
          <w:color w:val="000000" w:themeColor="text1"/>
          <w:sz w:val="16"/>
          <w:szCs w:val="16"/>
        </w:rPr>
        <w:softHyphen/>
        <w:t>но защищал свое детище, напирая на то, что вместо ожидаемо</w:t>
      </w:r>
      <w:r w:rsidRPr="00DB5D0D">
        <w:rPr>
          <w:rFonts w:ascii="Times New Roman" w:hAnsi="Times New Roman"/>
          <w:color w:val="000000" w:themeColor="text1"/>
          <w:sz w:val="16"/>
          <w:szCs w:val="16"/>
        </w:rPr>
        <w:softHyphen/>
        <w:t xml:space="preserve">го М-106 опытный истребитель оснащен менее совершенным мотором М-105П, в заключении сформулировали следующее: </w:t>
      </w:r>
    </w:p>
    <w:p w14:paraId="61D02CCE" w14:textId="77777777" w:rsidR="00400268" w:rsidRPr="00DB5D0D" w:rsidRDefault="00400268"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 1. Предъявленный на госиспытания 1 -й экземпляр самоле</w:t>
      </w:r>
      <w:r w:rsidRPr="00DB5D0D">
        <w:rPr>
          <w:rFonts w:ascii="Times New Roman" w:cs="Times New Roman"/>
          <w:color w:val="000000" w:themeColor="text1"/>
          <w:spacing w:val="0"/>
          <w:sz w:val="16"/>
          <w:szCs w:val="16"/>
        </w:rPr>
        <w:softHyphen/>
        <w:t>та И-301 с мотором М-105П государственные испытания не вы</w:t>
      </w:r>
      <w:r w:rsidRPr="00DB5D0D">
        <w:rPr>
          <w:rFonts w:ascii="Times New Roman" w:cs="Times New Roman"/>
          <w:color w:val="000000" w:themeColor="text1"/>
          <w:spacing w:val="0"/>
          <w:sz w:val="16"/>
          <w:szCs w:val="16"/>
        </w:rPr>
        <w:softHyphen/>
        <w:t>держал из-за непрохождения испытаний на пикирование, што</w:t>
      </w:r>
      <w:r w:rsidRPr="00DB5D0D">
        <w:rPr>
          <w:rFonts w:ascii="Times New Roman" w:cs="Times New Roman"/>
          <w:color w:val="000000" w:themeColor="text1"/>
          <w:spacing w:val="0"/>
          <w:sz w:val="16"/>
          <w:szCs w:val="16"/>
        </w:rPr>
        <w:softHyphen/>
        <w:t>пор, высший пилотаж и отстрел оружия в воздухе.</w:t>
      </w:r>
    </w:p>
    <w:p w14:paraId="0A53C58A" w14:textId="77777777" w:rsidR="00400268" w:rsidRPr="00DB5D0D" w:rsidRDefault="00400268" w:rsidP="00DB5D0D">
      <w:pPr>
        <w:pStyle w:val="34"/>
        <w:shd w:val="clear" w:color="auto" w:fill="auto"/>
        <w:tabs>
          <w:tab w:val="left" w:pos="510"/>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2. Самолет отвечает заданным летным данным по постанов</w:t>
      </w:r>
      <w:r w:rsidRPr="00DB5D0D">
        <w:rPr>
          <w:rFonts w:ascii="Times New Roman" w:cs="Times New Roman"/>
          <w:color w:val="000000" w:themeColor="text1"/>
          <w:spacing w:val="0"/>
          <w:sz w:val="16"/>
          <w:szCs w:val="16"/>
        </w:rPr>
        <w:softHyphen/>
        <w:t>лению КО № 243, за исключением большой посадочной скоро</w:t>
      </w:r>
      <w:r w:rsidRPr="00DB5D0D">
        <w:rPr>
          <w:rFonts w:ascii="Times New Roman" w:cs="Times New Roman"/>
          <w:color w:val="000000" w:themeColor="text1"/>
          <w:spacing w:val="0"/>
          <w:sz w:val="16"/>
          <w:szCs w:val="16"/>
        </w:rPr>
        <w:softHyphen/>
        <w:t>сти 140 км/ч вместо заданной 1 10-120 км/ч.</w:t>
      </w:r>
    </w:p>
    <w:p w14:paraId="4ACDE56C" w14:textId="77777777" w:rsidR="00400268" w:rsidRPr="00DB5D0D" w:rsidRDefault="00400268" w:rsidP="00DB5D0D">
      <w:pPr>
        <w:pStyle w:val="34"/>
        <w:shd w:val="clear" w:color="auto" w:fill="auto"/>
        <w:tabs>
          <w:tab w:val="left" w:pos="520"/>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3. Признать, что самолет И-301 представляет несомненный интерес для ВВС, как в части своего материала — упрочненная древесина, мощного вооружения, так и в части максимальной скорости — 605 км/ч.</w:t>
      </w:r>
    </w:p>
    <w:p w14:paraId="57E7331B" w14:textId="77777777" w:rsidR="00400268" w:rsidRPr="00DB5D0D" w:rsidRDefault="00400268" w:rsidP="00DB5D0D">
      <w:pPr>
        <w:pStyle w:val="34"/>
        <w:shd w:val="clear" w:color="auto" w:fill="auto"/>
        <w:tabs>
          <w:tab w:val="left" w:pos="506"/>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4. Необходимо в кратчайший срок построить второй экзем</w:t>
      </w:r>
      <w:r w:rsidRPr="00DB5D0D">
        <w:rPr>
          <w:rFonts w:ascii="Times New Roman" w:cs="Times New Roman"/>
          <w:color w:val="000000" w:themeColor="text1"/>
          <w:spacing w:val="0"/>
          <w:sz w:val="16"/>
          <w:szCs w:val="16"/>
        </w:rPr>
        <w:softHyphen/>
        <w:t>пляр этого самолета, устранить на нем основные дефекты, вы</w:t>
      </w:r>
      <w:r w:rsidRPr="00DB5D0D">
        <w:rPr>
          <w:rFonts w:ascii="Times New Roman" w:cs="Times New Roman"/>
          <w:color w:val="000000" w:themeColor="text1"/>
          <w:spacing w:val="0"/>
          <w:sz w:val="16"/>
          <w:szCs w:val="16"/>
        </w:rPr>
        <w:softHyphen/>
        <w:t>явленные при испытаниях первого экземпляра, довести стрел</w:t>
      </w:r>
      <w:r w:rsidRPr="00DB5D0D">
        <w:rPr>
          <w:rFonts w:ascii="Times New Roman" w:cs="Times New Roman"/>
          <w:color w:val="000000" w:themeColor="text1"/>
          <w:spacing w:val="0"/>
          <w:sz w:val="16"/>
          <w:szCs w:val="16"/>
        </w:rPr>
        <w:softHyphen/>
        <w:t>ковое вооружение, провести заводские испытания по полной программе и передать его на государственные испытания.</w:t>
      </w:r>
    </w:p>
    <w:p w14:paraId="5BA0689A" w14:textId="77777777" w:rsidR="00400268" w:rsidRPr="00DB5D0D" w:rsidRDefault="00400268" w:rsidP="00DB5D0D">
      <w:pPr>
        <w:pStyle w:val="34"/>
        <w:shd w:val="clear" w:color="auto" w:fill="auto"/>
        <w:tabs>
          <w:tab w:val="left" w:pos="510"/>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 Признать целесообразным немедленно начать подготов</w:t>
      </w:r>
      <w:r w:rsidRPr="00DB5D0D">
        <w:rPr>
          <w:rFonts w:ascii="Times New Roman" w:cs="Times New Roman"/>
          <w:color w:val="000000" w:themeColor="text1"/>
          <w:spacing w:val="0"/>
          <w:sz w:val="16"/>
          <w:szCs w:val="16"/>
        </w:rPr>
        <w:softHyphen/>
        <w:t>ку серийного производства самолета И-301 с М-105П, обеспе</w:t>
      </w:r>
      <w:r w:rsidRPr="00DB5D0D">
        <w:rPr>
          <w:rFonts w:ascii="Times New Roman" w:cs="Times New Roman"/>
          <w:color w:val="000000" w:themeColor="text1"/>
          <w:spacing w:val="0"/>
          <w:sz w:val="16"/>
          <w:szCs w:val="16"/>
        </w:rPr>
        <w:softHyphen/>
        <w:t>чив выпуск 25-30 самолетов для прохождения войсковых испы</w:t>
      </w:r>
      <w:r w:rsidRPr="00DB5D0D">
        <w:rPr>
          <w:rFonts w:ascii="Times New Roman" w:cs="Times New Roman"/>
          <w:color w:val="000000" w:themeColor="text1"/>
          <w:spacing w:val="0"/>
          <w:sz w:val="16"/>
          <w:szCs w:val="16"/>
        </w:rPr>
        <w:softHyphen/>
        <w:t>таний в 1940 году. Необходимо просить НКАП особо обратить внимание на этот самолет в части быстроты его доводки и по</w:t>
      </w:r>
      <w:r w:rsidRPr="00DB5D0D">
        <w:rPr>
          <w:rFonts w:ascii="Times New Roman" w:cs="Times New Roman"/>
          <w:color w:val="000000" w:themeColor="text1"/>
          <w:spacing w:val="0"/>
          <w:sz w:val="16"/>
          <w:szCs w:val="16"/>
        </w:rPr>
        <w:softHyphen/>
        <w:t>стройки войсковой серии с устранением дефектов...» (19106).</w:t>
      </w:r>
    </w:p>
    <w:p w14:paraId="33D9B4F6" w14:textId="77777777" w:rsidR="00400268" w:rsidRPr="00DB5D0D" w:rsidRDefault="00400268" w:rsidP="00DB5D0D">
      <w:pPr>
        <w:pStyle w:val="34"/>
        <w:shd w:val="clear" w:color="auto" w:fill="auto"/>
        <w:tabs>
          <w:tab w:val="left" w:pos="510"/>
        </w:tabs>
        <w:spacing w:line="240" w:lineRule="auto"/>
        <w:jc w:val="both"/>
        <w:rPr>
          <w:rFonts w:ascii="Times New Roman" w:cs="Times New Roman"/>
          <w:color w:val="000000" w:themeColor="text1"/>
          <w:spacing w:val="0"/>
          <w:sz w:val="16"/>
          <w:szCs w:val="16"/>
        </w:rPr>
      </w:pPr>
    </w:p>
    <w:p w14:paraId="4200131D"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г. на заседании технического совета НИИ ВВС КА начальник 1 отдела Рудинцев заявил, что И-301 лучше И-26: «У него больше скорость при такой же скороподъемности и большем полетном весе… У него более мощное вооружение, над ним придется еще очень много работать, но его можно довести…» (18999).</w:t>
      </w:r>
    </w:p>
    <w:p w14:paraId="17EA1FE5" w14:textId="77777777" w:rsidR="00400268" w:rsidRPr="00DB5D0D" w:rsidRDefault="00400268" w:rsidP="00DB5D0D">
      <w:pPr>
        <w:spacing w:after="0" w:line="240" w:lineRule="auto"/>
        <w:jc w:val="both"/>
        <w:rPr>
          <w:rFonts w:ascii="Times New Roman" w:hAnsi="Times New Roman"/>
          <w:color w:val="000000" w:themeColor="text1"/>
          <w:sz w:val="16"/>
          <w:szCs w:val="16"/>
        </w:rPr>
      </w:pPr>
    </w:p>
    <w:p w14:paraId="0BD65E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вышел приказ НКАП N 324сс об организации на Уфимском заводе производства М-88 с выпуском в 1940 50 и в 1941 - 1000 (1292,129).</w:t>
      </w:r>
    </w:p>
    <w:p w14:paraId="39EC55B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A1FC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года в письме А.И. Шахурина Н-32/1053 к председателю Амторга К.И. Лукашеву, уполномоченному НКАП при Амторге А.А. Анисимо-ву, председателю Комиссии по договору с фирмой «Райт» К.В.Новикову пер</w:t>
      </w:r>
      <w:r w:rsidRPr="00DB5D0D">
        <w:rPr>
          <w:rFonts w:ascii="Times New Roman" w:hAnsi="Times New Roman"/>
          <w:color w:val="000000" w:themeColor="text1"/>
          <w:sz w:val="16"/>
          <w:szCs w:val="16"/>
        </w:rPr>
        <w:softHyphen/>
        <w:t>вым же пунктом сообщалось, что «договор продолжает оставаться предме</w:t>
      </w:r>
      <w:r w:rsidRPr="00DB5D0D">
        <w:rPr>
          <w:rFonts w:ascii="Times New Roman" w:hAnsi="Times New Roman"/>
          <w:color w:val="000000" w:themeColor="text1"/>
          <w:sz w:val="16"/>
          <w:szCs w:val="16"/>
        </w:rPr>
        <w:softHyphen/>
        <w:t>том интереса для всей нашей системы». Санкционировался второй платеж фирме — 62500 американских долларов. Возлагались надежды на коренные изменения в улучшении работы наших специалистов до конца 1940 года. Подчеркивалось, что Комиссия должна «неизменно добиваться получения допуска в цеха и лаборатории фирмы». Особо оговаривалось следующее: «Каждый член комиссии обязан максимально использовать время своего пребывания в США для своего технического роста и усовершенствования не только на базе договора с фирмой «Райт», но и использовать через Ам-торг все имеющиеся для этой цели источники (посещение учебных заведе</w:t>
      </w:r>
      <w:r w:rsidRPr="00DB5D0D">
        <w:rPr>
          <w:rFonts w:ascii="Times New Roman" w:hAnsi="Times New Roman"/>
          <w:color w:val="000000" w:themeColor="text1"/>
          <w:sz w:val="16"/>
          <w:szCs w:val="16"/>
        </w:rPr>
        <w:softHyphen/>
        <w:t>ний, лабораторий, институтов, заводов)» (РГАЭ. Ф. 8044. Оп. 1. Д. 666. Л. 60.).</w:t>
      </w:r>
    </w:p>
    <w:p w14:paraId="7351D7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справке за подписью начальника ИНО НКАП Романова сообщалось, что уполномоченный НКАП А.А. Анисимов и председатель Комиссии по дого</w:t>
      </w:r>
      <w:r w:rsidRPr="00DB5D0D">
        <w:rPr>
          <w:rFonts w:ascii="Times New Roman" w:hAnsi="Times New Roman"/>
          <w:color w:val="000000" w:themeColor="text1"/>
          <w:sz w:val="16"/>
          <w:szCs w:val="16"/>
        </w:rPr>
        <w:softHyphen/>
        <w:t>вору с фирмой «Райт» КВ. Новиков просили об отправке дипломатической почтой технической документации по мотору ДЖИ-100. При этом указы</w:t>
      </w:r>
      <w:r w:rsidRPr="00DB5D0D">
        <w:rPr>
          <w:rFonts w:ascii="Times New Roman" w:hAnsi="Times New Roman"/>
          <w:color w:val="000000" w:themeColor="text1"/>
          <w:sz w:val="16"/>
          <w:szCs w:val="16"/>
        </w:rPr>
        <w:softHyphen/>
        <w:t>валось, что первая партия техдокументации представляла конструктивные чертежи, которые «были направлены с пароходом «Маяковский» и до нас не дошли». Заместитель наркома авиапромышленности В.П. Кузнецов счел необходимым просить Наркомат иностранных дел разрешить отправить соответствующую техдокументацию через диппочту (РГАЭ. Ф. 8044. Оп. 1. Д. 666. Л. 85.) (11710,245).</w:t>
      </w:r>
    </w:p>
    <w:p w14:paraId="25B8AF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93AD0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г. Шахурин писал письмо N 1665сс Ворошилову.</w:t>
      </w:r>
    </w:p>
    <w:p w14:paraId="204F86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заказу УМА НКВМФ заводом N 379 НКАП в течение нескольких последних лет разрабатывались опытные образцы планирующих торпед, которые в июле 1940 г. могут быть представлены на гос. испытания. Заводские испытания образцы ПТ проходили в 1939 г., после которых в текущем году производились необходимые доработки.</w:t>
      </w:r>
    </w:p>
    <w:p w14:paraId="25E63C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неизвестным нам причинам нарком ВМФ адмирал Кузнецов приказом от 19 июня 1940 г. N 00155 работы по планирующим торпедам прекратил, о чем поставил в известность НКАП письмом от 19-20 июня 1940 г. за N 2646.</w:t>
      </w:r>
    </w:p>
    <w:p w14:paraId="0C9C86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что в настоящий момент работа по ПТ доведена до готовности образцов к гос. испытаниям и что в течение пятилетней работы над этой тематикой израсходовано около 17 млн. руб., считаю нецелесообразным немедленное прекращение всех работ без проведения гос. испытаний.</w:t>
      </w:r>
    </w:p>
    <w:p w14:paraId="6BD1EA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Ходатайствую:</w:t>
      </w:r>
    </w:p>
    <w:p w14:paraId="6F0F43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 назначении специальной комиссии для проведения гос. испытаний имеющихся опытных образцов планирующих торпед и подведения тактико-тактических итогов проведенных работ (3395,154-155).</w:t>
      </w:r>
    </w:p>
    <w:p w14:paraId="37A65E0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47257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П.И.Гроховский писал письмо Вознесенскому (вход. КО № 8119 от 6 сентября 1940):</w:t>
      </w:r>
    </w:p>
    <w:p w14:paraId="31A35A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НИКОЛАЙ АЛЕКСЕЕВИЧ!</w:t>
      </w:r>
    </w:p>
    <w:p w14:paraId="62E391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28-го Апреля с.г. мною было передано письмо и аль</w:t>
      </w:r>
      <w:r w:rsidRPr="00DB5D0D">
        <w:rPr>
          <w:rFonts w:ascii="Times New Roman" w:hAnsi="Times New Roman"/>
          <w:color w:val="000000" w:themeColor="text1"/>
          <w:sz w:val="16"/>
          <w:szCs w:val="16"/>
        </w:rPr>
        <w:softHyphen/>
        <w:t>бом И.В.СТАЛИНУ, касавшиеся вопросов моих оборонных изобретений.</w:t>
      </w:r>
    </w:p>
    <w:p w14:paraId="4F55D5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первых числах мая весь этот вопрос был передан СНК СССР, после чего Вами была создана Комиссия под Председательством Генерала тов. РЕПИНА, которая закончила свою работу.</w:t>
      </w:r>
    </w:p>
    <w:p w14:paraId="2AFBDC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весь материал лежит без движения. Я же в период этих двух месяцев нахожусь в абсолютном не</w:t>
      </w:r>
      <w:r w:rsidRPr="00DB5D0D">
        <w:rPr>
          <w:rFonts w:ascii="Times New Roman" w:hAnsi="Times New Roman"/>
          <w:color w:val="000000" w:themeColor="text1"/>
          <w:sz w:val="16"/>
          <w:szCs w:val="16"/>
        </w:rPr>
        <w:softHyphen/>
        <w:t>ведении, так как такое положение в моем коллективе созда</w:t>
      </w:r>
      <w:r w:rsidRPr="00DB5D0D">
        <w:rPr>
          <w:rFonts w:ascii="Times New Roman" w:hAnsi="Times New Roman"/>
          <w:color w:val="000000" w:themeColor="text1"/>
          <w:sz w:val="16"/>
          <w:szCs w:val="16"/>
        </w:rPr>
        <w:softHyphen/>
        <w:t>ет напряженную атмосферу.</w:t>
      </w:r>
    </w:p>
    <w:p w14:paraId="1B4CD5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занимаясь строительством, учебно-оборовных агрегатов (аттракционов) коллектив встречает большие трудности и не может преодолеть всей косности в этом вопросе.</w:t>
      </w:r>
    </w:p>
    <w:p w14:paraId="6DA479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ближайшие дни весь сослав Бюро должен быть уволен, так как средств к существованию больше нет.</w:t>
      </w:r>
    </w:p>
    <w:p w14:paraId="59D651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Мосгорисполком мер в этом вопросе никаких не прини</w:t>
      </w:r>
      <w:r w:rsidRPr="00DB5D0D">
        <w:rPr>
          <w:rFonts w:ascii="Times New Roman" w:hAnsi="Times New Roman"/>
          <w:color w:val="000000" w:themeColor="text1"/>
          <w:sz w:val="16"/>
          <w:szCs w:val="16"/>
        </w:rPr>
        <w:softHyphen/>
        <w:t>мает.</w:t>
      </w:r>
    </w:p>
    <w:p w14:paraId="0E1212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ускорить разрешение вопроса и дать возможность коллективу работать по своей специальности - по парашютно-десантным объектам (10516,21).</w:t>
      </w:r>
    </w:p>
    <w:p w14:paraId="6653AF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389DB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приказом НКО № 182 прицел "ПБП-I” принят на вооружение и был поставлен на валовое производство (4156,19).</w:t>
      </w:r>
    </w:p>
    <w:p w14:paraId="4AABF35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1A273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г. директор НИИ-3 НКБ Б.М.Слонимер спросил у начальни</w:t>
      </w:r>
      <w:r w:rsidRPr="00DB5D0D">
        <w:rPr>
          <w:rFonts w:ascii="Times New Roman" w:hAnsi="Times New Roman"/>
          <w:color w:val="000000" w:themeColor="text1"/>
          <w:sz w:val="16"/>
          <w:szCs w:val="16"/>
        </w:rPr>
        <w:softHyphen/>
        <w:t>ка 3 отдела 4-го ГУ НКБ Певзнера - можно ли ему начинать работать с заказом военных (о котором шла речь в письме Сакриера). Его запрос выглядел следующим образом: «ГУАС КА обратилось к нам письмом с просьбой провести в срочном порядке исследования на темы:</w:t>
      </w:r>
    </w:p>
    <w:p w14:paraId="1045E4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Использования старых РО под новые РС с контактами с гаки расчетом, чтобы переоборудование их можно было провести в строев!,' частях;</w:t>
      </w:r>
    </w:p>
    <w:p w14:paraId="644D6C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Использования РБС-82 и РБС-132 со штатных РО;</w:t>
      </w:r>
    </w:p>
    <w:p w14:paraId="0950F1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Проработать схему и возможность подвески РС-132 на истребите лях И-16, «Чайка» и пр.</w:t>
      </w:r>
    </w:p>
    <w:p w14:paraId="015C74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разрешить выполнение работы».</w:t>
      </w:r>
    </w:p>
    <w:p w14:paraId="52FD507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Ответ на пустяковый, казалось бы, вопрос был дан в течение недели и уже 11 июля 1940 г. помощник начальника ГУАС КА дивизионный ин</w:t>
      </w:r>
      <w:r w:rsidRPr="00DB5D0D">
        <w:rPr>
          <w:rFonts w:ascii="Times New Roman" w:hAnsi="Times New Roman"/>
          <w:color w:val="000000" w:themeColor="text1"/>
          <w:sz w:val="16"/>
          <w:szCs w:val="16"/>
        </w:rPr>
        <w:softHyphen/>
        <w:t>женер И.Ф.Сакриер получил емкий ответ заместителя директора НИИ-Ч НКБ военинженсра I ранга А.Г.Костикова. «Пусковые станки РО-82 и РО-132 изготовления завода №32 НКАП по чертежам 2-РУ-322 и 2-РУ-223 относительно легко могут быть приспособлены для стрельбы бронебойными и другими РС новой конструкции, имеющими контакт</w:t>
      </w:r>
      <w:r w:rsidRPr="00DB5D0D">
        <w:rPr>
          <w:rFonts w:ascii="Times New Roman" w:hAnsi="Times New Roman"/>
          <w:color w:val="000000" w:themeColor="text1"/>
          <w:sz w:val="16"/>
          <w:szCs w:val="16"/>
        </w:rPr>
        <w:softHyphen/>
        <w:t>ное зажигание РЗ.</w:t>
      </w:r>
    </w:p>
    <w:p w14:paraId="5B0455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Установку электроконтактов на пусковые можно выполнить силами технического персонала строевых частей ВВС при условии, что на заво</w:t>
      </w:r>
      <w:r w:rsidRPr="00DB5D0D">
        <w:rPr>
          <w:rFonts w:ascii="Times New Roman" w:hAnsi="Times New Roman"/>
          <w:color w:val="000000" w:themeColor="text1"/>
          <w:sz w:val="16"/>
          <w:szCs w:val="16"/>
        </w:rPr>
        <w:softHyphen/>
        <w:t>де заранее изготовят и направят в части ВВС все необходимые допол</w:t>
      </w:r>
      <w:r w:rsidRPr="00DB5D0D">
        <w:rPr>
          <w:rFonts w:ascii="Times New Roman" w:hAnsi="Times New Roman"/>
          <w:color w:val="000000" w:themeColor="text1"/>
          <w:sz w:val="16"/>
          <w:szCs w:val="16"/>
        </w:rPr>
        <w:softHyphen/>
        <w:t>нительные детали. Переоборудование пусковых электроконтактами можно значительно упростить, если получить разрешение ВВС не изо</w:t>
      </w:r>
      <w:r w:rsidRPr="00DB5D0D">
        <w:rPr>
          <w:rFonts w:ascii="Times New Roman" w:hAnsi="Times New Roman"/>
          <w:color w:val="000000" w:themeColor="text1"/>
          <w:sz w:val="16"/>
          <w:szCs w:val="16"/>
        </w:rPr>
        <w:softHyphen/>
        <w:t>лировать их от электрического корпуса самолета, как это требуется в настоящее время в связи имеющимся на самолете другим электрообо</w:t>
      </w:r>
      <w:r w:rsidRPr="00DB5D0D">
        <w:rPr>
          <w:rFonts w:ascii="Times New Roman" w:hAnsi="Times New Roman"/>
          <w:color w:val="000000" w:themeColor="text1"/>
          <w:sz w:val="16"/>
          <w:szCs w:val="16"/>
        </w:rPr>
        <w:softHyphen/>
        <w:t>рудованием — рации, бомбардировочного освещения, моторного обо</w:t>
      </w:r>
      <w:r w:rsidRPr="00DB5D0D">
        <w:rPr>
          <w:rFonts w:ascii="Times New Roman" w:hAnsi="Times New Roman"/>
          <w:color w:val="000000" w:themeColor="text1"/>
          <w:sz w:val="16"/>
          <w:szCs w:val="16"/>
        </w:rPr>
        <w:softHyphen/>
        <w:t>рудования и пр.</w:t>
      </w:r>
    </w:p>
    <w:p w14:paraId="504269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Пусковые, изготовленные ранее на заводе №21 и в ОКБ-15, вообще ни при каких условиях не могут быть приспособлены к снарядам с кон</w:t>
      </w:r>
      <w:r w:rsidRPr="00DB5D0D">
        <w:rPr>
          <w:rFonts w:ascii="Times New Roman" w:hAnsi="Times New Roman"/>
          <w:color w:val="000000" w:themeColor="text1"/>
          <w:sz w:val="16"/>
          <w:szCs w:val="16"/>
        </w:rPr>
        <w:softHyphen/>
        <w:t>тактным воспламенением, так как у них фрезерованные направляющие планки не имеют зазора для постановки контакта и закрывают собой полностью то место у снарядов, в которое можно поставить контакты.</w:t>
      </w:r>
    </w:p>
    <w:p w14:paraId="1ED7C6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Окончательное решение вопросов об унификации пусковых станков (ракетных орудий), отработка комплекта чертежей дополнительных де</w:t>
      </w:r>
      <w:r w:rsidRPr="00DB5D0D">
        <w:rPr>
          <w:rFonts w:ascii="Times New Roman" w:hAnsi="Times New Roman"/>
          <w:color w:val="000000" w:themeColor="text1"/>
          <w:sz w:val="16"/>
          <w:szCs w:val="16"/>
        </w:rPr>
        <w:softHyphen/>
        <w:t>талей для завода и разработка соответствующей инструкции для монта</w:t>
      </w:r>
      <w:r w:rsidRPr="00DB5D0D">
        <w:rPr>
          <w:rFonts w:ascii="Times New Roman" w:hAnsi="Times New Roman"/>
          <w:color w:val="000000" w:themeColor="text1"/>
          <w:sz w:val="16"/>
          <w:szCs w:val="16"/>
        </w:rPr>
        <w:softHyphen/>
        <w:t>жа электроконтактов в строевых частях может быть выполнена лишь по</w:t>
      </w:r>
      <w:r w:rsidRPr="00DB5D0D">
        <w:rPr>
          <w:rFonts w:ascii="Times New Roman" w:hAnsi="Times New Roman"/>
          <w:color w:val="000000" w:themeColor="text1"/>
          <w:sz w:val="16"/>
          <w:szCs w:val="16"/>
        </w:rPr>
        <w:softHyphen/>
        <w:t>сле проведения специальных экспериментальных работ на самолетах. Для этих работ необходимо выделить соответствующее количество само</w:t>
      </w:r>
      <w:r w:rsidRPr="00DB5D0D">
        <w:rPr>
          <w:rFonts w:ascii="Times New Roman" w:hAnsi="Times New Roman"/>
          <w:color w:val="000000" w:themeColor="text1"/>
          <w:sz w:val="16"/>
          <w:szCs w:val="16"/>
        </w:rPr>
        <w:softHyphen/>
        <w:t>летов, оборудованных пусковыми (РО-82 и РО-132), изготовленными на заводе №12 по чертежам 2-РУ-322 и 2-РУ-223 и предоставить возмож</w:t>
      </w:r>
      <w:r w:rsidRPr="00DB5D0D">
        <w:rPr>
          <w:rFonts w:ascii="Times New Roman" w:hAnsi="Times New Roman"/>
          <w:color w:val="000000" w:themeColor="text1"/>
          <w:sz w:val="16"/>
          <w:szCs w:val="16"/>
        </w:rPr>
        <w:softHyphen/>
        <w:t>ность НИИ-3 переоборудовать их.</w:t>
      </w:r>
    </w:p>
    <w:p w14:paraId="56F351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разговоре (так в письме) с главным конструктором заво</w:t>
      </w:r>
      <w:r w:rsidRPr="00DB5D0D">
        <w:rPr>
          <w:rFonts w:ascii="Times New Roman" w:hAnsi="Times New Roman"/>
          <w:color w:val="000000" w:themeColor="text1"/>
          <w:sz w:val="16"/>
          <w:szCs w:val="16"/>
        </w:rPr>
        <w:softHyphen/>
        <w:t>да №1 Н.Н.Поликарповым стало возможно оборудовать И-153 пусковы</w:t>
      </w:r>
      <w:r w:rsidRPr="00DB5D0D">
        <w:rPr>
          <w:rFonts w:ascii="Times New Roman" w:hAnsi="Times New Roman"/>
          <w:color w:val="000000" w:themeColor="text1"/>
          <w:sz w:val="16"/>
          <w:szCs w:val="16"/>
        </w:rPr>
        <w:softHyphen/>
        <w:t>ми станками для стрельбы РБС-132 по 2 штуки с каждой стороны (их об</w:t>
      </w:r>
      <w:r w:rsidRPr="00DB5D0D">
        <w:rPr>
          <w:rFonts w:ascii="Times New Roman" w:hAnsi="Times New Roman"/>
          <w:color w:val="000000" w:themeColor="text1"/>
          <w:sz w:val="16"/>
          <w:szCs w:val="16"/>
        </w:rPr>
        <w:softHyphen/>
        <w:t>щая масса вместе с РО - 240 кг). Ориентировочная стоимость всех работ по модернизации ПС-82 и ПС-132 на самолетах И-16 и И-153 при условии бесплатного предоставления с Вашей стороны самолетов, уже обо</w:t>
      </w:r>
      <w:r w:rsidRPr="00DB5D0D">
        <w:rPr>
          <w:rFonts w:ascii="Times New Roman" w:hAnsi="Times New Roman"/>
          <w:color w:val="000000" w:themeColor="text1"/>
          <w:sz w:val="16"/>
          <w:szCs w:val="16"/>
        </w:rPr>
        <w:softHyphen/>
        <w:t>рудованных соответствующими РО и дополнительного количества РО-132 для постановки их на И-153 и И-16 вместо РО-82 будет выра-[ жаться суммой около 50-70 тысяч рублей.</w:t>
      </w:r>
    </w:p>
    <w:p w14:paraId="4F8AE5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НИИ-3 полагает, что в настоящее время необходимо оборудовать мо</w:t>
      </w:r>
      <w:r w:rsidRPr="00DB5D0D">
        <w:rPr>
          <w:rFonts w:ascii="Times New Roman" w:hAnsi="Times New Roman"/>
          <w:color w:val="000000" w:themeColor="text1"/>
          <w:sz w:val="16"/>
          <w:szCs w:val="16"/>
        </w:rPr>
        <w:softHyphen/>
        <w:t>дернизированными пусковыми три самолета И-16 с РО-82. два самолета 1СЕ пикирующего варианта (в крайнем случае - пикирующего ДБ), обо</w:t>
      </w:r>
      <w:r w:rsidRPr="00DB5D0D">
        <w:rPr>
          <w:rFonts w:ascii="Times New Roman" w:hAnsi="Times New Roman"/>
          <w:color w:val="000000" w:themeColor="text1"/>
          <w:sz w:val="16"/>
          <w:szCs w:val="16"/>
        </w:rPr>
        <w:softHyphen/>
        <w:t>рудованных РО-132 и один самолет И-153, оборудованный РО-82 для [переоборудования на РО-132».</w:t>
      </w:r>
    </w:p>
    <w:p w14:paraId="1E993A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Между тем, как явствует из переписки военных, в НИИ-3 НКБ для новых РС «изобрели» новые ракетные орудия, всего лишь увеличив длину направляющей части (полозьев). Более того, с подачи главного инженера НИИ-3 НКБ военинженера 1 ранга А.Г.Костикова начальник 4-го ГУ НКБ Иванов уже запустил такие пусковые в серию. А «гваевцы» со</w:t>
      </w:r>
      <w:r w:rsidRPr="00DB5D0D">
        <w:rPr>
          <w:rFonts w:ascii="Times New Roman" w:hAnsi="Times New Roman"/>
          <w:color w:val="000000" w:themeColor="text1"/>
          <w:sz w:val="16"/>
          <w:szCs w:val="16"/>
        </w:rPr>
        <w:softHyphen/>
        <w:t>вершенно проигнорировали тот нюанс, что система воспламенения у РБС-82 - совершенно иная, и не требует пиропистолета, «тогда как снаряд имеет зажигание от пиросвсчи с пиропатроном ПП-3». То есть, модернизируя пусковую, они не удосужились зайти в соседний отдел. И хотя бы полюбопытствовать об условиях модернизации (11402).</w:t>
      </w:r>
    </w:p>
    <w:p w14:paraId="7762F3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A1C1E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Ст. КОНТРОЛЕР КО Солддатов подготовил для тов.ВОРОПИЛОВА К.Е.:</w:t>
      </w:r>
    </w:p>
    <w:p w14:paraId="13C131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Справку об аварии стратостата "Красный Кремль"</w:t>
      </w:r>
    </w:p>
    <w:p w14:paraId="75A51F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ВОРОШИЛОВУ К.В.</w:t>
      </w:r>
    </w:p>
    <w:p w14:paraId="5AA9BF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Об аварии стратостата СССР-2 (Красный Кремль)</w:t>
      </w:r>
    </w:p>
    <w:p w14:paraId="3D1782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КО № 388с от 21.10.39 г. было разрешерго экипажу в составе майора Быкова И.И. и научного сотрудника т.Кузнецова А.П. совершить, с целью научных исследований по тематике, утвержденой Академией Наук СССР, полет на стратостате об'емом 60 тыс. куб. метров до высоты не более 20 тыс. метров. Подготовка и организация полета была возлонена на Комиссию в составе Начальника УВВС РККА т. Локтионова А.Д. (Председатель), Начальника ГУГВФ т. Молокова В.С. и командира в/ч № 5222 УПВО т. Вакатова В.П.</w:t>
      </w:r>
    </w:p>
    <w:p w14:paraId="49F842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стратостата СССР-2 был назначен на 29-е июня 1940 г. (причем взлет должен был состояться до 4-х часов утра, т.к. погода в эти часы была наиболее благоприятной), благодаря плохой организации, стратостат смог быть готовым тету только в 5 час. 17 мин. 29.6.40 г. и в самый начальный под'ема на высоте 10-12 метров от земли, гондола оторвалась от оболочки и упала на землю. Майор Зыков получил тяжелое ранение - перелом позвоночника, Кузнецов - ушибы и сотрясение организма. Гондола деформировалась и вывена из строя, оболочка стратостата получила повреждения.</w:t>
      </w:r>
    </w:p>
    <w:p w14:paraId="541541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установлено следствием и эспертно-технической комиссией, авария стратостата последовала в результате несовершенства конструкции расцепного механизма гондолы (изготовленной еще в 1934 г.) и безответственного отношения к своим обязанностям руководящего старта.</w:t>
      </w:r>
    </w:p>
    <w:p w14:paraId="4E823D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Комиссия т. Локтионов А.Д. и член Комиссди т. Молоков В.С.ограничились формальным назначением 29-го апреля штаба старта для подготовки полета и приведения в порядок материальной части, не проявив при этом должного внимания, заботы и контроля за ходом подготовки стратостата к полету.</w:t>
      </w:r>
    </w:p>
    <w:p w14:paraId="756E38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Работники штаба полета т.т. Вакатов НI.П., Егоров А.В., Гостев Р.И., Дмитриев Н.С, проявили преступную халатность в подготовке стратостата к полету, своевременно не проверили надеж</w:t>
      </w:r>
      <w:r w:rsidRPr="00DB5D0D">
        <w:rPr>
          <w:rFonts w:ascii="Times New Roman" w:hAnsi="Times New Roman"/>
          <w:color w:val="000000" w:themeColor="text1"/>
          <w:sz w:val="16"/>
          <w:szCs w:val="16"/>
        </w:rPr>
        <w:softHyphen/>
        <w:t>ности крепления отцепного приспособления гондолы - при боковых силиях. Окончательный монтаж и закрепление расцепного механизма с опломбированнем ручки в гондоле было проведено за 2 месяца до старта и после этого , несмотря на перевозку гондолы из Кнцева в Звенигород, полной проверки механизма никем произведено не было.</w:t>
      </w:r>
    </w:p>
    <w:p w14:paraId="2085F9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составлении данной справки и проекта постановления СНК СССР - Главному Контролю не представилось возмокным лнчно переговорить с т.т. Локтионовым А.Д. и Молоковым В.С. и выяснить их личное участие в работах комиссии, так как указанные товарищи находятся в командировках.</w:t>
      </w:r>
    </w:p>
    <w:p w14:paraId="4EB117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решения СНК СССР по данному вопросу при сем прилагаю (10514,47).</w:t>
      </w:r>
    </w:p>
    <w:p w14:paraId="7AD6122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183071D" w14:textId="77777777" w:rsidR="003C7E8B" w:rsidRPr="00DB5D0D" w:rsidRDefault="00B30AFA"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AB485C8" w14:textId="77777777" w:rsidR="003C7E8B" w:rsidRPr="00DB5D0D" w:rsidRDefault="003C7E8B" w:rsidP="00DB5D0D">
      <w:pPr>
        <w:shd w:val="clear" w:color="auto" w:fill="FFFFFF"/>
        <w:spacing w:after="0" w:line="240" w:lineRule="auto"/>
        <w:jc w:val="both"/>
        <w:rPr>
          <w:rFonts w:ascii="Times New Roman" w:hAnsi="Times New Roman"/>
          <w:iCs/>
          <w:color w:val="000000" w:themeColor="text1"/>
          <w:sz w:val="16"/>
          <w:szCs w:val="16"/>
        </w:rPr>
      </w:pPr>
    </w:p>
    <w:p w14:paraId="1A7CFD83" w14:textId="77777777" w:rsidR="003C7E8B" w:rsidRPr="00DB5D0D" w:rsidRDefault="003C7E8B" w:rsidP="00DB5D0D">
      <w:pPr>
        <w:pStyle w:val="a3"/>
        <w:rPr>
          <w:color w:val="000000" w:themeColor="text1"/>
          <w:lang w:val="ru-RU"/>
        </w:rPr>
      </w:pPr>
      <w:r w:rsidRPr="00DB5D0D">
        <w:rPr>
          <w:color w:val="000000" w:themeColor="text1"/>
          <w:lang w:val="ru-RU"/>
        </w:rPr>
        <w:t>3 июля 1940 г. АБТУ КА уведомили письмом №74148с заинтересованные стороны:</w:t>
      </w:r>
    </w:p>
    <w:p w14:paraId="48163DE1" w14:textId="77777777" w:rsidR="003C7E8B" w:rsidRPr="00DB5D0D" w:rsidRDefault="003C7E8B"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Гпавному инженеру Мариупольского завода им. Ильича тов. НИЦЕНКО Копии: Ст. военпреду АБТУ КА на Мариупольском заводеим. Ильича тов. ЗУХЕР Главному инженеру завода № 183 тов. МАХОНИНУ Ст. военпреду АБТУ КА на заводе № 183 тов. КОЗЫРЕВУ Начальнику 7-го Гчавного Управления НКСП</w:t>
      </w:r>
    </w:p>
    <w:p w14:paraId="1850B42C" w14:textId="77777777" w:rsidR="003C7E8B" w:rsidRPr="00DB5D0D" w:rsidRDefault="003C7E8B"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На В/№ 3279сс</w:t>
      </w:r>
    </w:p>
    <w:p w14:paraId="6B1CCC74" w14:textId="77777777" w:rsidR="003C7E8B" w:rsidRPr="00DB5D0D" w:rsidRDefault="003C7E8B"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Узел носа корпуса танка Т-34, состоящего из 3-х деталей №№ 34-29-906 (литая носовая), 34-29-904 и 34-29-905 (катанные) утверждаю для серийного производства.</w:t>
      </w:r>
    </w:p>
    <w:p w14:paraId="4ADC817D" w14:textId="77777777" w:rsidR="003C7E8B" w:rsidRPr="00DB5D0D" w:rsidRDefault="003C7E8B" w:rsidP="00DB5D0D">
      <w:pPr>
        <w:pStyle w:val="1210"/>
        <w:shd w:val="clear" w:color="auto" w:fill="auto"/>
        <w:spacing w:before="0" w:line="240" w:lineRule="auto"/>
        <w:rPr>
          <w:rFonts w:ascii="Times New Roman" w:hAnsi="Times New Roman" w:cs="Times New Roman"/>
          <w:i w:val="0"/>
          <w:iCs w:val="0"/>
          <w:color w:val="000000" w:themeColor="text1"/>
          <w:lang w:val="ru-RU"/>
        </w:rPr>
      </w:pPr>
      <w:r w:rsidRPr="00DB5D0D">
        <w:rPr>
          <w:rFonts w:ascii="Times New Roman" w:hAnsi="Times New Roman" w:cs="Times New Roman"/>
          <w:i w:val="0"/>
          <w:iCs w:val="0"/>
          <w:color w:val="000000" w:themeColor="text1"/>
          <w:lang w:val="ru-RU"/>
        </w:rPr>
        <w:t>Одновременно необходимо Мариупольскому заводу форсиро</w:t>
      </w:r>
      <w:r w:rsidRPr="00DB5D0D">
        <w:rPr>
          <w:rFonts w:ascii="Times New Roman" w:hAnsi="Times New Roman" w:cs="Times New Roman"/>
          <w:i w:val="0"/>
          <w:iCs w:val="0"/>
          <w:color w:val="000000" w:themeColor="text1"/>
          <w:lang w:val="ru-RU"/>
        </w:rPr>
        <w:softHyphen/>
        <w:t>вать работы по освоению цельноштампованной носовой детали на 15000прессе, с тем, чтобы в ближайшее время перейти на изготов</w:t>
      </w:r>
      <w:r w:rsidRPr="00DB5D0D">
        <w:rPr>
          <w:rFonts w:ascii="Times New Roman" w:hAnsi="Times New Roman" w:cs="Times New Roman"/>
          <w:i w:val="0"/>
          <w:iCs w:val="0"/>
          <w:color w:val="000000" w:themeColor="text1"/>
          <w:lang w:val="ru-RU"/>
        </w:rPr>
        <w:softHyphen/>
        <w:t>ление носовой детали целиком из катаной брони.</w:t>
      </w:r>
    </w:p>
    <w:p w14:paraId="0860824A" w14:textId="77777777" w:rsidR="003C7E8B" w:rsidRPr="00DB5D0D" w:rsidRDefault="003C7E8B" w:rsidP="00DB5D0D">
      <w:pPr>
        <w:pStyle w:val="a3"/>
        <w:rPr>
          <w:color w:val="000000" w:themeColor="text1"/>
          <w:lang w:val="ru-RU"/>
        </w:rPr>
      </w:pPr>
      <w:r w:rsidRPr="00DB5D0D">
        <w:rPr>
          <w:rStyle w:val="50pt17"/>
          <w:rFonts w:ascii="Times New Roman" w:hAnsi="Times New Roman" w:cs="Times New Roman"/>
          <w:i w:val="0"/>
          <w:iCs w:val="0"/>
          <w:color w:val="000000" w:themeColor="text1"/>
          <w:lang w:val="ru-RU"/>
        </w:rPr>
        <w:t xml:space="preserve">Помощник Начальника АБТУ КА Военинженер 1 ранга КОРОБКОВ </w:t>
      </w:r>
      <w:r w:rsidRPr="00DB5D0D">
        <w:rPr>
          <w:rStyle w:val="50pt17"/>
          <w:rFonts w:ascii="Times New Roman" w:hAnsi="Times New Roman" w:cs="Times New Roman"/>
          <w:i w:val="0"/>
          <w:iCs w:val="0"/>
          <w:color w:val="000000" w:themeColor="text1"/>
        </w:rPr>
        <w:t>BP</w:t>
      </w:r>
      <w:r w:rsidRPr="00DB5D0D">
        <w:rPr>
          <w:rStyle w:val="50pt17"/>
          <w:rFonts w:ascii="Times New Roman" w:hAnsi="Times New Roman" w:cs="Times New Roman"/>
          <w:i w:val="0"/>
          <w:iCs w:val="0"/>
          <w:color w:val="000000" w:themeColor="text1"/>
          <w:lang w:val="ru-RU"/>
        </w:rPr>
        <w:t xml:space="preserve"> Военного комиссара АБТУ КА Военинженер 2 ранга ЧУРИН. [14] </w:t>
      </w:r>
      <w:r w:rsidRPr="00DB5D0D">
        <w:rPr>
          <w:color w:val="000000" w:themeColor="text1"/>
          <w:lang w:val="ru-RU"/>
        </w:rPr>
        <w:t xml:space="preserve">Следует заметить, что фактически выпуск комбинированного носа на Мариупольском заводе начался с </w:t>
      </w:r>
      <w:r w:rsidRPr="00DB5D0D">
        <w:rPr>
          <w:color w:val="000000" w:themeColor="text1"/>
        </w:rPr>
        <w:t>III</w:t>
      </w:r>
      <w:r w:rsidRPr="00DB5D0D">
        <w:rPr>
          <w:color w:val="000000" w:themeColor="text1"/>
          <w:lang w:val="ru-RU"/>
        </w:rPr>
        <w:t xml:space="preserve"> декады июня 1940 г., т.е. до официального утверждения АБТУ. Часть комплектов бронедеталей, изготовленных и поставленных на завод №183 в июне, уже включа</w:t>
      </w:r>
      <w:r w:rsidRPr="00DB5D0D">
        <w:rPr>
          <w:color w:val="000000" w:themeColor="text1"/>
          <w:lang w:val="ru-RU"/>
        </w:rPr>
        <w:softHyphen/>
        <w:t>ла в себя детали 34.29.904 (лист носа верхний), 34.29.905 (лист носа нижний) и 34.29.906 (балка носа) (11903).</w:t>
      </w:r>
    </w:p>
    <w:p w14:paraId="7972F73E" w14:textId="77777777" w:rsidR="003C7E8B" w:rsidRPr="00DB5D0D" w:rsidRDefault="003C7E8B" w:rsidP="00DB5D0D">
      <w:pPr>
        <w:pStyle w:val="a3"/>
        <w:rPr>
          <w:color w:val="000000" w:themeColor="text1"/>
          <w:lang w:val="ru-RU"/>
        </w:rPr>
      </w:pPr>
    </w:p>
    <w:p w14:paraId="4A8405BA" w14:textId="77777777" w:rsidR="00795A6E" w:rsidRPr="00DB5D0D" w:rsidRDefault="00795A6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г. два танка Т-34 без башен были отправлены на подмосковный артиллерийский завод № 8 для проведения опытных работ по созданию самоходных артиллерийских установок (САУ) на базе танка Т-34 – на этих машинах планировалось произвести опытную установку 85-мм зенитных пушек. Однако, проектные работы по установке 85-мм зенитной пушки на шасси танка Т-34 не дали положительных результатов, и в связи с этим в сентябре 1940 г. оба танка в первозданном виде вернулись на завод № 183 (18076).</w:t>
      </w:r>
    </w:p>
    <w:p w14:paraId="45DC8251" w14:textId="77777777" w:rsidR="00795A6E" w:rsidRPr="00DB5D0D" w:rsidRDefault="00795A6E" w:rsidP="00DB5D0D">
      <w:pPr>
        <w:spacing w:after="0" w:line="240" w:lineRule="auto"/>
        <w:jc w:val="both"/>
        <w:rPr>
          <w:rFonts w:ascii="Times New Roman" w:hAnsi="Times New Roman"/>
          <w:color w:val="000000" w:themeColor="text1"/>
          <w:sz w:val="16"/>
          <w:szCs w:val="16"/>
        </w:rPr>
      </w:pPr>
    </w:p>
    <w:p w14:paraId="37803DC9"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w:t>
      </w:r>
    </w:p>
    <w:p w14:paraId="4DCF1220"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РГВА Фонд 31811 Опись 2 Дело 1022 листы 36 – 37 </w:t>
      </w:r>
    </w:p>
    <w:p w14:paraId="1BF721C1"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72D6B191"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АБТУ КА Генерал-лейтенанту танковых войск</w:t>
      </w:r>
    </w:p>
    <w:p w14:paraId="3166FA51"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 Федоренко </w:t>
      </w:r>
    </w:p>
    <w:p w14:paraId="569DCBF8"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войсковых испытаниях танка Т-34, проводимых в зимнем периоде 1939-40 г. отмечены следующие основные недоработки: </w:t>
      </w:r>
    </w:p>
    <w:p w14:paraId="7EA6BB10"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Грелись и коробились диски главного фрикциона, что приводило к отказу его в работе. Причина была не установлена, но предполагалось из-за неправильной регулировки свободного хода. Регулировка на серийных танках уточнена, и завод полагает, что в дальнейшем коробления дисков не будет. </w:t>
      </w:r>
    </w:p>
    <w:p w14:paraId="5D634A13"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Вентилятор при испытании на танке стоял серийного изготовления, который не обеспечил надежной работы благодаря выходу из строя его лопаток, и приводил к аварии танк. Завод изготовил новый, более надежный вентилятор, который и устанавливается на танки. Этот вентилятор требует поверки долговечности его работы. </w:t>
      </w:r>
    </w:p>
    <w:p w14:paraId="451D9F15"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Электростартер СТ-700 по своей мощности вполне обеспечивает надежную заводку мотора, но завод 203 этот стартер усовершенствовал. Усовершенствование дало обратный эффект. Стартеры стали на 20 – 30 заводках выходить из строя. В последнее время завод ЗЭМ дает новую партию стартеров с устранением всех своих ошибок. </w:t>
      </w:r>
    </w:p>
    <w:p w14:paraId="1C6CBCDA"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облегчения управления на танке стояло пневматическое серво управление, которое сложно в изготовлении и недостаточно надежно в работе при низких температурах. Вместо этого сервоуправления разработано механическое сервоуправление, простое по конструкции, удовлетворяющее по облегчению в управлении танком и удобное в обслуживании. Это сервоуправление введено на серийное производство. Требуется проверить на гарантийную прочность. </w:t>
      </w:r>
    </w:p>
    <w:p w14:paraId="1295B0F8"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Переработаны масляная и топливная системы на предмет более удобной заправки, контроля и обслуживания. </w:t>
      </w:r>
    </w:p>
    <w:p w14:paraId="13B2CF4C"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Дорабатывались рабочие места экипажа согласно указаний комиссии. </w:t>
      </w:r>
    </w:p>
    <w:p w14:paraId="4DC748BC"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Усовершенствовался натяжной механизм гусеницы. </w:t>
      </w:r>
    </w:p>
    <w:p w14:paraId="713E41FD"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Перерабатывался механизм открывания и закрывания выхлопных жалюз, который не обеспечивал удобной и надежной работы. </w:t>
      </w:r>
    </w:p>
    <w:p w14:paraId="7C76841D"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Комиссии не удалось выполнить следующие пункты программы: </w:t>
      </w:r>
    </w:p>
    <w:p w14:paraId="69B73A74"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Установить тепловой режим танка из-за низких температур окружающей среды. </w:t>
      </w:r>
    </w:p>
    <w:p w14:paraId="354A5FF7"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Установить пределы преодолеваемых естественных и искусственных препятствий. </w:t>
      </w:r>
    </w:p>
    <w:p w14:paraId="015048D2"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Определить динамику танка. По причине глубокого снежного покрова. </w:t>
      </w:r>
    </w:p>
    <w:p w14:paraId="00065BB6"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все эти непроверенные вопросы имеют не маловажное значение при эксплоатации танков. </w:t>
      </w:r>
    </w:p>
    <w:p w14:paraId="0EF90A2C"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В целях проверки всех вышеизложенных вопросов и остальных мелких недоработок, указанных в отчете войсковой комиссии, поверки правильности издаваемой инструкции по эксплоатации танка считаю необходимым, один танк Т-34 июльской программы выпуска подвергнуть испытанию на гарантийный километраж при НИ Полигоне АБТУ КА в период июля-августа мес. с/г. </w:t>
      </w:r>
    </w:p>
    <w:p w14:paraId="0307E9AE"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Прошу Ваших распоряжений. </w:t>
      </w:r>
    </w:p>
    <w:p w14:paraId="619C5B38"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3.7.40 г. </w:t>
      </w:r>
    </w:p>
    <w:p w14:paraId="46646508"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Майор подпись (Панов)</w:t>
      </w:r>
    </w:p>
    <w:p w14:paraId="1484BB93"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Написано в одном экземпляре. </w:t>
      </w:r>
    </w:p>
    <w:p w14:paraId="431CBDCF"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документе резолюция Б.М. Коробкова: </w:t>
      </w:r>
    </w:p>
    <w:p w14:paraId="40AA8C02" w14:textId="77777777" w:rsidR="00400268" w:rsidRPr="00DB5D0D" w:rsidRDefault="004002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из первых серийных (июльских) машин с устранением всех замечаний по этому рапорту дать одну машину полигону. 5.7.40. подпись» (18173).</w:t>
      </w:r>
    </w:p>
    <w:p w14:paraId="69CA1273" w14:textId="77777777" w:rsidR="00400268" w:rsidRPr="00DB5D0D" w:rsidRDefault="00400268" w:rsidP="00DB5D0D">
      <w:pPr>
        <w:spacing w:after="0" w:line="240" w:lineRule="auto"/>
        <w:jc w:val="both"/>
        <w:rPr>
          <w:rFonts w:ascii="Times New Roman" w:hAnsi="Times New Roman"/>
          <w:color w:val="000000" w:themeColor="text1"/>
          <w:sz w:val="16"/>
          <w:szCs w:val="16"/>
        </w:rPr>
      </w:pPr>
    </w:p>
    <w:p w14:paraId="0832AAEF"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3 июля 1940 г. Указом Верховного Совета СССР И.К. Седин был назначен на пост Народного комиссара нефтяной промышленности. Продолжились регулярные встречи со Сталиным. Уже в день назначения, в 21.15, в Кремле вместе с Вячеславом Молотовым, Лаврентием Берия, Лазарем Кагановичем и Никитой Хрущевым он встретился с генсеком. Почти час длилась встреча, в ходе которой было рассмотрено положение в отрасли и поставлены задачи по наращиванию выпуска высококачественного топлива и смазочных материалов для Красной Армии и народного хозяйства СССР (11523).</w:t>
      </w:r>
    </w:p>
    <w:p w14:paraId="1AD44E8B"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5DD5FB6B" w14:textId="77777777" w:rsidR="00C72EDF"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751B184D" w14:textId="77777777" w:rsidR="00C72EDF" w:rsidRPr="00DB5D0D" w:rsidRDefault="00C72EDF" w:rsidP="00DB5D0D">
      <w:pPr>
        <w:spacing w:after="0" w:line="240" w:lineRule="auto"/>
        <w:jc w:val="both"/>
        <w:rPr>
          <w:rFonts w:ascii="Times New Roman" w:hAnsi="Times New Roman"/>
          <w:iCs/>
          <w:color w:val="000000" w:themeColor="text1"/>
          <w:sz w:val="16"/>
          <w:szCs w:val="16"/>
        </w:rPr>
      </w:pPr>
    </w:p>
    <w:p w14:paraId="2B803969" w14:textId="77777777" w:rsidR="00C72EDF" w:rsidRPr="00DB5D0D" w:rsidRDefault="00C72E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 июля</w:t>
      </w:r>
      <w:r w:rsidRPr="00DB5D0D">
        <w:rPr>
          <w:rFonts w:ascii="Times New Roman" w:hAnsi="Times New Roman"/>
          <w:color w:val="000000" w:themeColor="text1"/>
          <w:sz w:val="16"/>
          <w:szCs w:val="16"/>
        </w:rPr>
        <w:t xml:space="preserve"> в 1940 году </w:t>
      </w:r>
      <w:hyperlink r:id="rId161" w:tgtFrame="_blank" w:history="1">
        <w:r w:rsidRPr="00DB5D0D">
          <w:rPr>
            <w:rFonts w:ascii="Times New Roman" w:hAnsi="Times New Roman"/>
            <w:color w:val="000000" w:themeColor="text1"/>
            <w:sz w:val="16"/>
            <w:szCs w:val="16"/>
          </w:rPr>
          <w:t xml:space="preserve">Постановление СНК СССР от 03.07.1940 N 1140 "О повышении норм выработки и снижении расценок в связи с переходом на 7-дневную рабочую неделю для рабочих и служащих, имевших 8-часовой рабочий день" </w:t>
        </w:r>
      </w:hyperlink>
    </w:p>
    <w:p w14:paraId="7127394C" w14:textId="77777777" w:rsidR="00C72EDF" w:rsidRPr="00DB5D0D" w:rsidRDefault="00C72EDF" w:rsidP="00DB5D0D">
      <w:pPr>
        <w:spacing w:after="0" w:line="240" w:lineRule="auto"/>
        <w:jc w:val="both"/>
        <w:rPr>
          <w:rFonts w:ascii="Times New Roman" w:hAnsi="Times New Roman"/>
          <w:color w:val="000000" w:themeColor="text1"/>
          <w:sz w:val="16"/>
          <w:szCs w:val="16"/>
        </w:rPr>
      </w:pPr>
    </w:p>
    <w:p w14:paraId="08CE15BE" w14:textId="77777777" w:rsidR="00220CD9" w:rsidRPr="00DB5D0D" w:rsidRDefault="00220CD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 июля</w:t>
      </w:r>
      <w:r w:rsidRPr="00DB5D0D">
        <w:rPr>
          <w:rFonts w:ascii="Times New Roman" w:hAnsi="Times New Roman"/>
          <w:color w:val="000000" w:themeColor="text1"/>
          <w:sz w:val="16"/>
          <w:szCs w:val="16"/>
        </w:rPr>
        <w:t xml:space="preserve"> в 1940 году нарком иностранных дел В.М.Молотов встретился в Кремле с заместителем премьер-министра и министром иностранных дел Литвы В.Креве-Мицкявичусом. "Сейчас, — сказал Молотов своему собеседнику, — мы убеждены более чем когда-либо еще, что гениальный Ленин не ошибался, уверяя нас, что вторая мировая война позволит нам завоевать власть во всей Европе, как первая мировая война позволила захватить власть в России. Сегодня мы поддерживаем Германию, однако ровно настолько, чтобы удержать ее от принятия предложений о мире до тех пор, пока голодающие массы воюющих наций не расстанутся с иллюзиями и не поднимутся против своих руководителей. Тогда германская буржуазия договорится со своим врагом, буржуазией союзных государств, с тем чтобы объединенными усилиями подавить восставший пролетариат. Но в этот момент мы придем к нему на помощь, мы придем со свежими силами, хорошо подготовленные, и на территории Западной Европы... произойдет решающая битва между пролетариатом и загнивающей буржуазией, которая и решит навсегда судьбу Европы" (14941).</w:t>
      </w:r>
    </w:p>
    <w:p w14:paraId="6524DAAF" w14:textId="77777777" w:rsidR="00220CD9" w:rsidRPr="00DB5D0D" w:rsidRDefault="00220CD9" w:rsidP="00DB5D0D">
      <w:pPr>
        <w:spacing w:after="0" w:line="240" w:lineRule="auto"/>
        <w:jc w:val="both"/>
        <w:rPr>
          <w:rFonts w:ascii="Times New Roman" w:hAnsi="Times New Roman"/>
          <w:color w:val="000000" w:themeColor="text1"/>
          <w:sz w:val="16"/>
          <w:szCs w:val="16"/>
        </w:rPr>
      </w:pPr>
    </w:p>
    <w:p w14:paraId="51E6626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E5A332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CE64306" w14:textId="77777777" w:rsidR="00C63571" w:rsidRPr="00DB5D0D" w:rsidRDefault="00C635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июля 1940 - Первый взлет самолета-крыла Northrop 1 Model произошел независимо от желания летчика-испытателя Вэнса Бриза. Во время рулежки машина попала носовой стойкой в выбоину и подпрыгнула, Пролетев несколько сотен метров на высоте 6 м, она благополучно опустилась на землю. Попытки поднять самолет выше не увенчались успехом. Наблюдая за происходящим, Нортроп сказал: "Похоже, что у нас получился самолет с 20-футовым потолком". Northrop 1 Model летал подобно экраноплану, опираясь на воздушную подушку и легко скользя над земной поверхностью. В полете у испытателя складывалось впечатление, что он едет по пустыне на автомобиле. И только после замены 65-сильных двигателей на более мощные 117-сильные моторы самолет-крыло смог совершить полноценный полет с набором высоты (22441).</w:t>
      </w:r>
    </w:p>
    <w:p w14:paraId="18A5FB00" w14:textId="77777777" w:rsidR="00C63571" w:rsidRPr="00DB5D0D" w:rsidRDefault="00C63571" w:rsidP="00DB5D0D">
      <w:pPr>
        <w:spacing w:after="0" w:line="240" w:lineRule="auto"/>
        <w:jc w:val="both"/>
        <w:rPr>
          <w:rFonts w:ascii="Times New Roman" w:hAnsi="Times New Roman"/>
          <w:color w:val="0070C0"/>
          <w:sz w:val="16"/>
          <w:szCs w:val="16"/>
        </w:rPr>
      </w:pPr>
    </w:p>
    <w:p w14:paraId="356862CA" w14:textId="77777777" w:rsidR="00220CD9" w:rsidRPr="00DB5D0D" w:rsidRDefault="00220CD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 июля</w:t>
      </w:r>
      <w:r w:rsidRPr="00DB5D0D">
        <w:rPr>
          <w:rFonts w:ascii="Times New Roman" w:hAnsi="Times New Roman"/>
          <w:color w:val="000000" w:themeColor="text1"/>
          <w:sz w:val="16"/>
          <w:szCs w:val="16"/>
        </w:rPr>
        <w:t xml:space="preserve"> в 1940 году во время рулежки самолет-крыло </w:t>
      </w:r>
      <w:hyperlink r:id="rId162" w:tgtFrame="_blank" w:history="1">
        <w:r w:rsidRPr="00DB5D0D">
          <w:rPr>
            <w:rFonts w:ascii="Times New Roman" w:hAnsi="Times New Roman"/>
            <w:color w:val="000000" w:themeColor="text1"/>
            <w:sz w:val="16"/>
            <w:szCs w:val="16"/>
          </w:rPr>
          <w:t xml:space="preserve">«Northrop» «1 Model» </w:t>
        </w:r>
      </w:hyperlink>
      <w:r w:rsidRPr="00DB5D0D">
        <w:rPr>
          <w:rFonts w:ascii="Times New Roman" w:hAnsi="Times New Roman"/>
          <w:color w:val="000000" w:themeColor="text1"/>
          <w:sz w:val="16"/>
          <w:szCs w:val="16"/>
        </w:rPr>
        <w:t>попала носовой стойкой в выбоину и подпрыгнула. Пролетев несколько сотен метров на высоте 6 м, она благополучно опустилась на землю. Попытки летчика-испытателя Вэнса Бриза поднять самолет выше не увенчались успехом. Наблюдая за происходящим, Нортроп сказал: "Похоже, что у нас получился самолет с 20-футовым потолком". И только после замены 65-сильных двигателей на более мощные 117-сильные моторы самолет-крыло смог совершить полноценный полет с набором высоты (14941).</w:t>
      </w:r>
    </w:p>
    <w:p w14:paraId="00A2A525" w14:textId="77777777" w:rsidR="00220CD9" w:rsidRPr="00DB5D0D" w:rsidRDefault="00220CD9" w:rsidP="00DB5D0D">
      <w:pPr>
        <w:spacing w:after="0" w:line="240" w:lineRule="auto"/>
        <w:jc w:val="both"/>
        <w:rPr>
          <w:rFonts w:ascii="Times New Roman" w:hAnsi="Times New Roman"/>
          <w:color w:val="000000" w:themeColor="text1"/>
          <w:sz w:val="16"/>
          <w:szCs w:val="16"/>
        </w:rPr>
      </w:pPr>
    </w:p>
    <w:p w14:paraId="66BD036A" w14:textId="77777777" w:rsidR="00C63571" w:rsidRPr="00DB5D0D" w:rsidRDefault="00C635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3 июля 1940 Британские бомбардировщики совершают дневную атаку на немецкие баржи, собирающиеся в Роттердаме, в ожидании вторжения в Соединенное Королевство, их первое нападение на усилия Германии по созданию сил вторжения. Пик таких рейдов будет в сентябре и завершится в октябре, когда угроза немецкого вторжения уменьшится (20795). </w:t>
      </w:r>
    </w:p>
    <w:p w14:paraId="7C38E2B4" w14:textId="77777777" w:rsidR="00C63571" w:rsidRPr="00DB5D0D" w:rsidRDefault="00C63571" w:rsidP="00DB5D0D">
      <w:pPr>
        <w:spacing w:after="0" w:line="240" w:lineRule="auto"/>
        <w:jc w:val="both"/>
        <w:rPr>
          <w:rFonts w:ascii="Times New Roman" w:hAnsi="Times New Roman"/>
          <w:color w:val="0070C0"/>
          <w:sz w:val="16"/>
          <w:szCs w:val="16"/>
        </w:rPr>
      </w:pPr>
    </w:p>
    <w:p w14:paraId="2D5E147E" w14:textId="77777777" w:rsidR="00C63571" w:rsidRPr="00DB5D0D" w:rsidRDefault="00C635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июля 1940 во время британской атаки на французский флот в Мерс-эль-Кебире, Алжир, самолет Fairey Swordfish с авианосца HMS Ark Royal заминировал гавань и безуспешно атаковал французский линейный крейсер Страсбург, когда он пытался уйти в Тулон. Французские истребители Curtiss Hawk 75 и истребители Blackburn Skua из Ark Royal участвуют в воздушном бою, во время которого французы сбивают одного Скуа (20795).</w:t>
      </w:r>
    </w:p>
    <w:p w14:paraId="0D44FE6B" w14:textId="77777777" w:rsidR="00C63571" w:rsidRPr="00DB5D0D" w:rsidRDefault="00C63571" w:rsidP="00DB5D0D">
      <w:pPr>
        <w:spacing w:after="0" w:line="240" w:lineRule="auto"/>
        <w:jc w:val="both"/>
        <w:rPr>
          <w:rFonts w:ascii="Times New Roman" w:hAnsi="Times New Roman"/>
          <w:color w:val="0070C0"/>
          <w:sz w:val="16"/>
          <w:szCs w:val="16"/>
        </w:rPr>
      </w:pPr>
    </w:p>
    <w:p w14:paraId="7AA6340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в британских портах англичане захватили 59 французских военных кораблей (4962).</w:t>
      </w:r>
    </w:p>
    <w:p w14:paraId="552734E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C2676F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3 июля 1940 в Оране (Алжир) англичанами затоплен французский флот - только на линкоре «Бретань» погибли 977 французов (4962). ВМС провели операцию "Катапульта". Цель операции -уничтожить французские военные корабли , находившиеся в порту Мэрс-эль-Кабир в Алжире, чтобы не допустить их попадание в руки фашистов. Операция была проведена в связи с отказом французского морского командования от предложения англичан: присоединится к Британскому флоту, либо передать корабли британским экипажам , либо затопить их. В ходе операции артиллерийским огнём судов британской эскадры были затоплены линкоры "Бретань" и "Прованс" , а линкор "Дюнкерк" получил тяжёлые повреждения. Погиблооколо</w:t>
      </w:r>
      <w:r w:rsidRPr="00DB5D0D">
        <w:rPr>
          <w:rFonts w:ascii="Times New Roman" w:hAnsi="Times New Roman"/>
          <w:color w:val="000000" w:themeColor="text1"/>
          <w:sz w:val="16"/>
          <w:szCs w:val="16"/>
          <w:lang w:val="en-US"/>
        </w:rPr>
        <w:t xml:space="preserve"> 1250 </w:t>
      </w:r>
      <w:r w:rsidRPr="00DB5D0D">
        <w:rPr>
          <w:rFonts w:ascii="Times New Roman" w:hAnsi="Times New Roman"/>
          <w:color w:val="000000" w:themeColor="text1"/>
          <w:sz w:val="16"/>
          <w:szCs w:val="16"/>
        </w:rPr>
        <w:t>французскихморяков</w:t>
      </w:r>
      <w:r w:rsidRPr="00DB5D0D">
        <w:rPr>
          <w:rFonts w:ascii="Times New Roman" w:hAnsi="Times New Roman"/>
          <w:color w:val="000000" w:themeColor="text1"/>
          <w:sz w:val="16"/>
          <w:szCs w:val="16"/>
          <w:lang w:val="en-US"/>
        </w:rPr>
        <w:t xml:space="preserve"> (4963 ).</w:t>
      </w:r>
    </w:p>
    <w:p w14:paraId="4AAF8A4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lang w:val="en-US"/>
        </w:rPr>
      </w:pPr>
    </w:p>
    <w:p w14:paraId="4B595CE7"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03 Wed. 1940 British attack and damage naval vessels at Oran and Mers-el-Kebir, and seize French men-of-war in British ports (1064).</w:t>
      </w:r>
    </w:p>
    <w:p w14:paraId="3E4DD4D9"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4AEB54E2"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3 июля 1940 англичане атаковали и повредили боевые корабли в Оране и Мерс-эль-Кабире, а также захватили французские военные корабли в Британских портах (1064). ОперацияКатапульта</w:t>
      </w:r>
      <w:r w:rsidRPr="00DB5D0D">
        <w:rPr>
          <w:rFonts w:ascii="Times New Roman" w:hAnsi="Times New Roman"/>
          <w:color w:val="000000" w:themeColor="text1"/>
          <w:sz w:val="16"/>
          <w:szCs w:val="16"/>
          <w:lang w:val="en-US"/>
        </w:rPr>
        <w:t xml:space="preserve"> (2244,5).</w:t>
      </w:r>
    </w:p>
    <w:p w14:paraId="412449F4"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2835E60A"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3rd, 1940: Heavy units of the British Navy, codenamed Force H (Somerville), launch an attack (Operation Catapult) on the French fleet stationed at Mers-el-Kebir near Oran in Algeria, sinking the battleship Bretagne and heavily damaging the battleship Provence and the battlecruiser Dunkerque. 1,300 French sailors are killed and hundreds wounded. Reaction in both occupied and Vichy France is one of shock and outrage at this totally unexpected and ruthless action by their former ally. Some 59 other French warships that had sought refuge at Plymouth and Portsmouth are seized by the Royal Navy, but only after overcoming armed French resistance in some cases (3819).</w:t>
      </w:r>
    </w:p>
    <w:p w14:paraId="36C6E3A7"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071845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ночь на 3 июля 1940 англичане захватили Сюркуф в Плимуте, большую часть команды, отказавшейся воевать на стороне англичан, отправили в лагерь и на смену прибыл экипаж из Де-Голевцев. Был опробован и бортовой самолет, но потом был помещен на склад и поврежден вов ремя бомбежки (7472, 32).</w:t>
      </w:r>
    </w:p>
    <w:p w14:paraId="4924877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96D4EA0" w14:textId="77777777" w:rsidR="00220CD9" w:rsidRPr="00DB5D0D" w:rsidRDefault="00220CD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 июля</w:t>
      </w:r>
      <w:r w:rsidRPr="00DB5D0D">
        <w:rPr>
          <w:rFonts w:ascii="Times New Roman" w:hAnsi="Times New Roman"/>
          <w:color w:val="000000" w:themeColor="text1"/>
          <w:sz w:val="16"/>
          <w:szCs w:val="16"/>
        </w:rPr>
        <w:t xml:space="preserve"> в 1940 году британские ВМС топят французский флот у </w:t>
      </w:r>
      <w:hyperlink r:id="rId163" w:tgtFrame="_blank" w:history="1">
        <w:r w:rsidRPr="00DB5D0D">
          <w:rPr>
            <w:rFonts w:ascii="Times New Roman" w:hAnsi="Times New Roman"/>
            <w:color w:val="000000" w:themeColor="text1"/>
            <w:sz w:val="16"/>
            <w:szCs w:val="16"/>
          </w:rPr>
          <w:t xml:space="preserve">Мерс-эль-Кебира, </w:t>
        </w:r>
      </w:hyperlink>
      <w:r w:rsidRPr="00DB5D0D">
        <w:rPr>
          <w:rFonts w:ascii="Times New Roman" w:hAnsi="Times New Roman"/>
          <w:color w:val="000000" w:themeColor="text1"/>
          <w:sz w:val="16"/>
          <w:szCs w:val="16"/>
        </w:rPr>
        <w:t>недалеко от Орана, Алжир. В британских портах англичане захватывают 59 французских военных кораблей. После капитуляции Франции перед гитлеровской Германией ее военно-морсокой флот был интернирован и сосредоточен в нескольких портах. Англия, ведшая одновременно переговоры и с Де Голлем, и с Петэном, решила в тайне завладеть им, даже если для пришлось бы, как выразился Уинстон Черчилль, «поцеловать Дарлана (министра правительства Виши) в корму». Для этого был разработан план операции «Катапульта», предусматривавший захват или уничтожение флота недавнего союзника. 3 июля англичане предпринимают попытку овладеть французской эскадрой в алжирском порту Оран. Но в ответ на ультиматум командующего английским флотом вице-адмирала Соммервилла сдать корабли или потопить их французы отвечают отказом. На исходе дня английская эскадра открывает огонь по находящимся в гавани французским кораблям, поддержанная ударом тяжелых бомбардировщиков, поднявшихся в воздух с авианосца. Французские корабли и береговые батареи открывают ответный огонь, но силы неравные. Французский линкор «Бретань» взрывается и погибает со всей командой, выходит из строя линкор «Прованс», а «Дюнкерк» выбрасывается на берег. Операция проводится и в других местах дислокации французского флота. В итоге значительная часть французского флота уничтожается либо сдается в плен англичанам. Погибает 1300 французских моряков. Петэн на следующий день прервет отношения с Лондоном, чем немедленно воспользуется Адольф Гитлер (14941).</w:t>
      </w:r>
    </w:p>
    <w:p w14:paraId="116E0FAB" w14:textId="77777777" w:rsidR="00220CD9" w:rsidRPr="00DB5D0D" w:rsidRDefault="00220CD9" w:rsidP="00DB5D0D">
      <w:pPr>
        <w:spacing w:after="0" w:line="240" w:lineRule="auto"/>
        <w:jc w:val="both"/>
        <w:rPr>
          <w:rFonts w:ascii="Times New Roman" w:hAnsi="Times New Roman"/>
          <w:color w:val="000000" w:themeColor="text1"/>
          <w:sz w:val="16"/>
          <w:szCs w:val="16"/>
        </w:rPr>
      </w:pPr>
    </w:p>
    <w:p w14:paraId="465BC7CC" w14:textId="77777777" w:rsidR="00220CD9" w:rsidRPr="00DB5D0D" w:rsidRDefault="00220CD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lastRenderedPageBreak/>
        <w:t>3 июля</w:t>
      </w:r>
      <w:r w:rsidRPr="00DB5D0D">
        <w:rPr>
          <w:rFonts w:ascii="Times New Roman" w:hAnsi="Times New Roman"/>
          <w:color w:val="000000" w:themeColor="text1"/>
          <w:sz w:val="16"/>
          <w:szCs w:val="16"/>
        </w:rPr>
        <w:t xml:space="preserve"> в 1940 году </w:t>
      </w:r>
      <w:hyperlink r:id="rId164" w:tgtFrame="_blank" w:history="1">
        <w:r w:rsidRPr="00DB5D0D">
          <w:rPr>
            <w:rFonts w:ascii="Times New Roman" w:hAnsi="Times New Roman"/>
            <w:color w:val="000000" w:themeColor="text1"/>
            <w:sz w:val="16"/>
            <w:szCs w:val="16"/>
          </w:rPr>
          <w:t xml:space="preserve">германский рейдер "Комет" вышел из немецкого порта Готенхафен. Из Норвегии через Севморпуть рейдер прошёл в сопровождении советских ледоколов для проведения операций в Тихом океане. </w:t>
        </w:r>
      </w:hyperlink>
    </w:p>
    <w:p w14:paraId="4A0CAB2F" w14:textId="77777777" w:rsidR="00220CD9" w:rsidRPr="00DB5D0D" w:rsidRDefault="00220CD9" w:rsidP="00DB5D0D">
      <w:pPr>
        <w:spacing w:after="0" w:line="240" w:lineRule="auto"/>
        <w:jc w:val="both"/>
        <w:rPr>
          <w:rFonts w:ascii="Times New Roman" w:hAnsi="Times New Roman"/>
          <w:color w:val="000000" w:themeColor="text1"/>
          <w:sz w:val="16"/>
          <w:szCs w:val="16"/>
        </w:rPr>
      </w:pPr>
    </w:p>
    <w:p w14:paraId="63100E4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июля 1940 немцы арестовали и отправили в Германию главкома голландской армии генерала Генри Винкельмана (4962).</w:t>
      </w:r>
    </w:p>
    <w:p w14:paraId="79FFA7D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FD6768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18D5B3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6F19F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Нач. ВВС КА Я.В.Смушкевич и чл. Военсовета ВВС КА Ф.А.Агольцов писали А.И.Ш. письмо N 510298с (1304,131).</w:t>
      </w:r>
    </w:p>
    <w:p w14:paraId="5E81E7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полученным мною сведениям от Командующего ВВС 2 ОКА Жигарева на аэродроме 126 НКАП имеется 48 самолетов ДБ-3, из которых: 11 самолетов передаются в части ВВС и 37 самолетов не могут быть переданы по причинам: течи консольных клепаных бензобаков, отсутствия инструментальных сумок, неукомплектованности самолетов одиночными комплектами и неустановки на самолетах стрелковых точек МВ-2 и МВ-3 и РПК-2.</w:t>
      </w:r>
    </w:p>
    <w:p w14:paraId="389F6F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Постановлениями КО NN 183cc от 27 апреля 1940 и 23cc от 11 января 1940 завод 126 обязан поставлять самолеты ДБ-3 со стрелковыми установками МВ-2 и МВ-3 с 1 апреля 1940 и устанавливать РПК-2 с 25 апреля 1940 по 25 мая 1940 из расчета 1 на 3 самолета и с 25 мая 1940 по 1 июля 1940 - по 1 на 2, что заводом несмотря на настоятельные требования ГК АС КА не выполняется.</w:t>
      </w:r>
    </w:p>
    <w:p w14:paraId="5789C4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также не выполняет постановление КО СНК N 220сс от 23 мая 1940 по окраске самолетов.</w:t>
      </w:r>
    </w:p>
    <w:p w14:paraId="5B3ECD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ускорения передачи 37 самолетов ДБ-3 в части ВВС прошу Ваших распоряжений директору завода 126 в кратчайший срок устранить все имеющиеся на самолетах дефекты с заменой консольных бензобаков и укомплектовать самолеты инструментами и одиночными комплектами.</w:t>
      </w:r>
    </w:p>
    <w:p w14:paraId="136227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Установку МВ-2 и МВ-3, а также РПК-2 на всех ранее выпущенных самолетах, включая 37, имеющихся на заводе, произвести в частях ВВС к 15 августа 1940.</w:t>
      </w:r>
    </w:p>
    <w:p w14:paraId="3799AB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допускать предъявления военпреду завода дефектной продукции и строго выполнять постановления КО и договорные обязательства.</w:t>
      </w:r>
    </w:p>
    <w:p w14:paraId="1D585D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Сообщаю, что мною даны указания ст. военпреду завода 126 о принятии 37 самолетов ДБ-3 без МВ-2, МВ-3 и РПК-2 с последующей их установкой, включая и ранее выпущенные самолеты, в частях ВВС к 15 августа 1940 (1304,131).</w:t>
      </w:r>
    </w:p>
    <w:p w14:paraId="62117AC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3A0BB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состоялось совещание Правительственной комиссии по перелету э Нестеренко. Присутствовали А.И.Ш., Пересыпкин, Федоров, рычагов, Смушкевич, Кабулов и приглашенные. Слушали о подготовке тренировочного самолета к полету на треугольник и подготовке экипажа к полету на треугольник. Решили, что экипаж готов к полету по треугольнику Москва - Свердловск - Севастополь - Москва и погода 5 июля будет хорошей (2102,16).</w:t>
      </w:r>
    </w:p>
    <w:p w14:paraId="5836A9D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41F5F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был подготовлен аварийный акт комиссии по аварии СБ 2М-103А N 44/3. Место происшествия - аэродром завода 125 - 30 июня 1940 в 18:30. Л С.П.Мазур. Мотор остановился на высоте 2-3 м на расстоянии 480-500 м от старта. Экипаж повреждений не получил. Ошибка экипажа - не открыл бензокран (2698).</w:t>
      </w:r>
    </w:p>
    <w:p w14:paraId="02ABE1A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FC2F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г. закончились заводские испытания первых серийных самолетов И-180, проходившие с 28 апреля 1940 г. Всего за время испыта</w:t>
      </w:r>
      <w:r w:rsidRPr="00DB5D0D">
        <w:rPr>
          <w:rFonts w:ascii="Times New Roman" w:hAnsi="Times New Roman"/>
          <w:color w:val="000000" w:themeColor="text1"/>
          <w:sz w:val="16"/>
          <w:szCs w:val="16"/>
        </w:rPr>
        <w:softHyphen/>
        <w:t>ний И-180 № 25211 выполнил шесть полетов, №25212 -четыре, № 25213 - три. Характеристики были несколько выше характеристик И-180-3: максимальная скорость на высоте 7150 м стала равной 585 км/ч (470 км/ч у зем</w:t>
      </w:r>
      <w:r w:rsidRPr="00DB5D0D">
        <w:rPr>
          <w:rFonts w:ascii="Times New Roman" w:hAnsi="Times New Roman"/>
          <w:color w:val="000000" w:themeColor="text1"/>
          <w:sz w:val="16"/>
          <w:szCs w:val="16"/>
        </w:rPr>
        <w:softHyphen/>
        <w:t>ли), высоту 5000 м машина набирала за 5 минут. Ведущий летчик-испытатель Е.Г.Уляхин дал такую оценку машине:</w:t>
      </w:r>
    </w:p>
    <w:p w14:paraId="63A654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«Основное назначение самолета И-180 как скоростно</w:t>
      </w:r>
      <w:r w:rsidRPr="00DB5D0D">
        <w:rPr>
          <w:rFonts w:ascii="Times New Roman" w:hAnsi="Times New Roman"/>
          <w:color w:val="000000" w:themeColor="text1"/>
          <w:sz w:val="16"/>
          <w:szCs w:val="16"/>
        </w:rPr>
        <w:softHyphen/>
        <w:t>го истребителя является борьба с тяжелыми кораблями противника как главной целью, а также он отвечает тре</w:t>
      </w:r>
      <w:r w:rsidRPr="00DB5D0D">
        <w:rPr>
          <w:rFonts w:ascii="Times New Roman" w:hAnsi="Times New Roman"/>
          <w:color w:val="000000" w:themeColor="text1"/>
          <w:sz w:val="16"/>
          <w:szCs w:val="16"/>
        </w:rPr>
        <w:softHyphen/>
        <w:t>бованиям самолета-перехватчика для ведения воздушно</w:t>
      </w:r>
      <w:r w:rsidRPr="00DB5D0D">
        <w:rPr>
          <w:rFonts w:ascii="Times New Roman" w:hAnsi="Times New Roman"/>
          <w:color w:val="000000" w:themeColor="text1"/>
          <w:sz w:val="16"/>
          <w:szCs w:val="16"/>
        </w:rPr>
        <w:softHyphen/>
        <w:t>го боя со скоростными истребителями противника. Преимуществами этого самолета служит сконцентриро</w:t>
      </w:r>
      <w:r w:rsidRPr="00DB5D0D">
        <w:rPr>
          <w:rFonts w:ascii="Times New Roman" w:hAnsi="Times New Roman"/>
          <w:color w:val="000000" w:themeColor="text1"/>
          <w:sz w:val="16"/>
          <w:szCs w:val="16"/>
        </w:rPr>
        <w:softHyphen/>
        <w:t>ванное на одном месте оружие, состоящее из двух ШКАСов и двух крупнокалиберных пулеметов. Кроме этого самолет может взять две бомбы по 100 кг.</w:t>
      </w:r>
    </w:p>
    <w:p w14:paraId="7F05961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маневру самолет очень близок к И-16, но более устойчив и лучше на виражах, посадке и устойчивости в полете. В полете самолета мотор на всех режимах вибра</w:t>
      </w:r>
      <w:r w:rsidRPr="00DB5D0D">
        <w:rPr>
          <w:rFonts w:ascii="Times New Roman" w:hAnsi="Times New Roman"/>
          <w:color w:val="000000" w:themeColor="text1"/>
          <w:sz w:val="16"/>
          <w:szCs w:val="16"/>
        </w:rPr>
        <w:softHyphen/>
        <w:t>ций не имеет...</w:t>
      </w:r>
    </w:p>
    <w:p w14:paraId="145C8C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И-180 выполняет все фигуры высшего пи</w:t>
      </w:r>
      <w:r w:rsidRPr="00DB5D0D">
        <w:rPr>
          <w:rFonts w:ascii="Times New Roman" w:hAnsi="Times New Roman"/>
          <w:color w:val="000000" w:themeColor="text1"/>
          <w:sz w:val="16"/>
          <w:szCs w:val="16"/>
        </w:rPr>
        <w:softHyphen/>
        <w:t>лотажа, а также штопор. По характеру выполнения фи</w:t>
      </w:r>
      <w:r w:rsidRPr="00DB5D0D">
        <w:rPr>
          <w:rFonts w:ascii="Times New Roman" w:hAnsi="Times New Roman"/>
          <w:color w:val="000000" w:themeColor="text1"/>
          <w:sz w:val="16"/>
          <w:szCs w:val="16"/>
        </w:rPr>
        <w:softHyphen/>
        <w:t>гур самолет И-180 похож на самолет И-16. На виражах более устойчив, не имеет тенденций срываться в што</w:t>
      </w:r>
      <w:r w:rsidRPr="00DB5D0D">
        <w:rPr>
          <w:rFonts w:ascii="Times New Roman" w:hAnsi="Times New Roman"/>
          <w:color w:val="000000" w:themeColor="text1"/>
          <w:sz w:val="16"/>
          <w:szCs w:val="16"/>
        </w:rPr>
        <w:softHyphen/>
        <w:t>пор. На посадке И-180 также напоминает И-16 и это дает основание считать, что летчику, овладевшему са</w:t>
      </w:r>
      <w:r w:rsidRPr="00DB5D0D">
        <w:rPr>
          <w:rFonts w:ascii="Times New Roman" w:hAnsi="Times New Roman"/>
          <w:color w:val="000000" w:themeColor="text1"/>
          <w:sz w:val="16"/>
          <w:szCs w:val="16"/>
        </w:rPr>
        <w:softHyphen/>
        <w:t>молетом И-16, легко перейти на И-180.</w:t>
      </w:r>
    </w:p>
    <w:p w14:paraId="3D8922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улучшения самолета необходимо заострить вни</w:t>
      </w:r>
      <w:r w:rsidRPr="00DB5D0D">
        <w:rPr>
          <w:rFonts w:ascii="Times New Roman" w:hAnsi="Times New Roman"/>
          <w:color w:val="000000" w:themeColor="text1"/>
          <w:sz w:val="16"/>
          <w:szCs w:val="16"/>
        </w:rPr>
        <w:softHyphen/>
        <w:t>мание на вопросах, которые вредно отражаются на ско</w:t>
      </w:r>
      <w:r w:rsidRPr="00DB5D0D">
        <w:rPr>
          <w:rFonts w:ascii="Times New Roman" w:hAnsi="Times New Roman"/>
          <w:color w:val="000000" w:themeColor="text1"/>
          <w:sz w:val="16"/>
          <w:szCs w:val="16"/>
        </w:rPr>
        <w:softHyphen/>
        <w:t>рости самолета.</w:t>
      </w:r>
    </w:p>
    <w:p w14:paraId="50FB10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Плохо отделана поверхность, очень много трубок, выпущенных наружу самолета с излишним запасом. У левого пулемета пришлось сделать выколотку, тогда как незначительная переделка может сохранить целым капот.</w:t>
      </w:r>
    </w:p>
    <w:p w14:paraId="4AB056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Контровка кока винта явно непригодная и вызывает большое сопротивление. Отсутствие фонаря на самоле</w:t>
      </w:r>
      <w:r w:rsidRPr="00DB5D0D">
        <w:rPr>
          <w:rFonts w:ascii="Times New Roman" w:hAnsi="Times New Roman"/>
          <w:color w:val="000000" w:themeColor="text1"/>
          <w:sz w:val="16"/>
          <w:szCs w:val="16"/>
        </w:rPr>
        <w:softHyphen/>
        <w:t>те создает большие трудности при высотном полете. Очень большое высасывание из кабины создает разря</w:t>
      </w:r>
      <w:r w:rsidRPr="00DB5D0D">
        <w:rPr>
          <w:rFonts w:ascii="Times New Roman" w:hAnsi="Times New Roman"/>
          <w:color w:val="000000" w:themeColor="text1"/>
          <w:sz w:val="16"/>
          <w:szCs w:val="16"/>
        </w:rPr>
        <w:softHyphen/>
        <w:t>жение в кислородной маске, кроме этого вредно сказы</w:t>
      </w:r>
      <w:r w:rsidRPr="00DB5D0D">
        <w:rPr>
          <w:rFonts w:ascii="Times New Roman" w:hAnsi="Times New Roman"/>
          <w:color w:val="000000" w:themeColor="text1"/>
          <w:sz w:val="16"/>
          <w:szCs w:val="16"/>
        </w:rPr>
        <w:softHyphen/>
        <w:t>вается на аэродинамике самолета. Чтобы обеспечить повышение скорости, повышение устойчивости, необ</w:t>
      </w:r>
      <w:r w:rsidRPr="00DB5D0D">
        <w:rPr>
          <w:rFonts w:ascii="Times New Roman" w:hAnsi="Times New Roman"/>
          <w:color w:val="000000" w:themeColor="text1"/>
          <w:sz w:val="16"/>
          <w:szCs w:val="16"/>
        </w:rPr>
        <w:softHyphen/>
        <w:t>ходимо произвести изменение центровки до 19-21% САХ за счет создания стреловидности крыльев. Также увеличить поперечное V крыльев для улучшения попе</w:t>
      </w:r>
      <w:r w:rsidRPr="00DB5D0D">
        <w:rPr>
          <w:rFonts w:ascii="Times New Roman" w:hAnsi="Times New Roman"/>
          <w:color w:val="000000" w:themeColor="text1"/>
          <w:sz w:val="16"/>
          <w:szCs w:val="16"/>
        </w:rPr>
        <w:softHyphen/>
        <w:t>речной устойчивости. Поставить фонарь, улучшить от</w:t>
      </w:r>
      <w:r w:rsidRPr="00DB5D0D">
        <w:rPr>
          <w:rFonts w:ascii="Times New Roman" w:hAnsi="Times New Roman"/>
          <w:color w:val="000000" w:themeColor="text1"/>
          <w:sz w:val="16"/>
          <w:szCs w:val="16"/>
        </w:rPr>
        <w:softHyphen/>
        <w:t>делку поверхности самолета. Переделать капот с регулирующим входным отверстием для разрешения вопроса перегрева и переохлаждения мотора. Заменить костыль, сделать его убирающимся полностью и более прочным и не люфтируюгцим. Подобрать винт и поста</w:t>
      </w:r>
      <w:r w:rsidRPr="00DB5D0D">
        <w:rPr>
          <w:rFonts w:ascii="Times New Roman" w:hAnsi="Times New Roman"/>
          <w:color w:val="000000" w:themeColor="text1"/>
          <w:sz w:val="16"/>
          <w:szCs w:val="16"/>
        </w:rPr>
        <w:softHyphen/>
        <w:t>вить мотор М-88А.</w:t>
      </w:r>
    </w:p>
    <w:p w14:paraId="69F11A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эти вопросы совершенно необходимо разрешить для серии.</w:t>
      </w:r>
    </w:p>
    <w:p w14:paraId="61A1A7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должен давать скорость 600 км/ч и быть про</w:t>
      </w:r>
      <w:r w:rsidRPr="00DB5D0D">
        <w:rPr>
          <w:rFonts w:ascii="Times New Roman" w:hAnsi="Times New Roman"/>
          <w:color w:val="000000" w:themeColor="text1"/>
          <w:sz w:val="16"/>
          <w:szCs w:val="16"/>
        </w:rPr>
        <w:softHyphen/>
        <w:t>стым в эксплуатации.</w:t>
      </w:r>
    </w:p>
    <w:p w14:paraId="11B5BA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полеты мною проведены без весовой компенса</w:t>
      </w:r>
      <w:r w:rsidRPr="00DB5D0D">
        <w:rPr>
          <w:rFonts w:ascii="Times New Roman" w:hAnsi="Times New Roman"/>
          <w:color w:val="000000" w:themeColor="text1"/>
          <w:sz w:val="16"/>
          <w:szCs w:val="16"/>
        </w:rPr>
        <w:softHyphen/>
        <w:t>ции руля глубины на всех режимах, никакой тряски и вибрации замечено не было. Ставить весовую компен</w:t>
      </w:r>
      <w:r w:rsidRPr="00DB5D0D">
        <w:rPr>
          <w:rFonts w:ascii="Times New Roman" w:hAnsi="Times New Roman"/>
          <w:color w:val="000000" w:themeColor="text1"/>
          <w:sz w:val="16"/>
          <w:szCs w:val="16"/>
        </w:rPr>
        <w:softHyphen/>
        <w:t>сацию нет необходимости».</w:t>
      </w:r>
    </w:p>
    <w:p w14:paraId="03C824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выводами Уляхина Николай Николаевич согласил</w:t>
      </w:r>
      <w:r w:rsidRPr="00DB5D0D">
        <w:rPr>
          <w:rFonts w:ascii="Times New Roman" w:hAnsi="Times New Roman"/>
          <w:color w:val="000000" w:themeColor="text1"/>
          <w:sz w:val="16"/>
          <w:szCs w:val="16"/>
        </w:rPr>
        <w:softHyphen/>
        <w:t>ся. Параллельно с предпринятыми усилиями по органи</w:t>
      </w:r>
      <w:r w:rsidRPr="00DB5D0D">
        <w:rPr>
          <w:rFonts w:ascii="Times New Roman" w:hAnsi="Times New Roman"/>
          <w:color w:val="000000" w:themeColor="text1"/>
          <w:sz w:val="16"/>
          <w:szCs w:val="16"/>
        </w:rPr>
        <w:softHyphen/>
        <w:t>зации серийного производства продолжалась разработка мероприятий по дальнейшему совершенствованию ма</w:t>
      </w:r>
      <w:r w:rsidRPr="00DB5D0D">
        <w:rPr>
          <w:rFonts w:ascii="Times New Roman" w:hAnsi="Times New Roman"/>
          <w:color w:val="000000" w:themeColor="text1"/>
          <w:sz w:val="16"/>
          <w:szCs w:val="16"/>
        </w:rPr>
        <w:softHyphen/>
        <w:t>шины (10667).</w:t>
      </w:r>
    </w:p>
    <w:p w14:paraId="30214A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82E8E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вышел приказ НКАП N 327с, согласно которому для проведения заводских испытаний самолета И-185 конструкции инженера Н.Н.Поликарпова был утвержден летно-технический состав. Л-и Е.Г.Уляхин, ведущий инженер по летным испытаниям - Тарасов В.М. (408,9).</w:t>
      </w:r>
    </w:p>
    <w:p w14:paraId="7D0E5D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w:t>
      </w:r>
    </w:p>
    <w:p w14:paraId="2B2F749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заводских испытаний самолета "И-185" конструкции инженера ПОЛИКАРПОВА - УТВЕРЖДАЮ следующий летно-технический-состав:</w:t>
      </w:r>
    </w:p>
    <w:p w14:paraId="569825E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Летчик-испытатель</w:t>
      </w:r>
      <w:r w:rsidRPr="00DB5D0D">
        <w:rPr>
          <w:rFonts w:ascii="Times New Roman" w:hAnsi="Times New Roman"/>
          <w:color w:val="000000" w:themeColor="text1"/>
          <w:sz w:val="16"/>
          <w:szCs w:val="16"/>
        </w:rPr>
        <w:tab/>
        <w:t>тов. УЛЯХИН Е.Г.</w:t>
      </w:r>
    </w:p>
    <w:p w14:paraId="25F334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 по летным испытаниям</w:t>
      </w:r>
      <w:r w:rsidRPr="00DB5D0D">
        <w:rPr>
          <w:rFonts w:ascii="Times New Roman" w:hAnsi="Times New Roman"/>
          <w:color w:val="000000" w:themeColor="text1"/>
          <w:sz w:val="16"/>
          <w:szCs w:val="16"/>
        </w:rPr>
        <w:tab/>
        <w:t>тов. ТАРАСОВ В .И.</w:t>
      </w:r>
    </w:p>
    <w:p w14:paraId="7E3DC8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 по производству</w:t>
      </w:r>
      <w:r w:rsidRPr="00DB5D0D">
        <w:rPr>
          <w:rFonts w:ascii="Times New Roman" w:hAnsi="Times New Roman"/>
          <w:color w:val="000000" w:themeColor="text1"/>
          <w:sz w:val="16"/>
          <w:szCs w:val="16"/>
        </w:rPr>
        <w:tab/>
        <w:t>тов. МАЛАШКИН М.М.</w:t>
      </w:r>
    </w:p>
    <w:p w14:paraId="23505E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Механик по самолету</w:t>
      </w:r>
      <w:r w:rsidRPr="00DB5D0D">
        <w:rPr>
          <w:rFonts w:ascii="Times New Roman" w:hAnsi="Times New Roman"/>
          <w:color w:val="000000" w:themeColor="text1"/>
          <w:sz w:val="16"/>
          <w:szCs w:val="16"/>
        </w:rPr>
        <w:tab/>
        <w:t>тов. ДМИТРИЕВ С.М.</w:t>
      </w:r>
    </w:p>
    <w:p w14:paraId="5D3B55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Моторист</w:t>
      </w:r>
      <w:r w:rsidRPr="00DB5D0D">
        <w:rPr>
          <w:rFonts w:ascii="Times New Roman" w:hAnsi="Times New Roman"/>
          <w:color w:val="000000" w:themeColor="text1"/>
          <w:sz w:val="16"/>
          <w:szCs w:val="16"/>
        </w:rPr>
        <w:tab/>
        <w:t>тов. КОМИССАРОВ И.П.</w:t>
      </w:r>
    </w:p>
    <w:p w14:paraId="48404A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Контролер</w:t>
      </w:r>
      <w:r w:rsidRPr="00DB5D0D">
        <w:rPr>
          <w:rFonts w:ascii="Times New Roman" w:hAnsi="Times New Roman"/>
          <w:color w:val="000000" w:themeColor="text1"/>
          <w:sz w:val="16"/>
          <w:szCs w:val="16"/>
        </w:rPr>
        <w:tab/>
        <w:t>тов. МОРОЗОВ П.И.</w:t>
      </w:r>
    </w:p>
    <w:p w14:paraId="657B2E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w:t>
      </w:r>
    </w:p>
    <w:p w14:paraId="41B93F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дополнительную зарплату летчику-испытателю тов. УЛЯХИНУ за проведение заводских испытании самолета "И-185" "и сдачу его на государственные испытания в установ</w:t>
      </w:r>
      <w:r w:rsidRPr="00DB5D0D">
        <w:rPr>
          <w:rFonts w:ascii="Times New Roman" w:hAnsi="Times New Roman"/>
          <w:color w:val="000000" w:themeColor="text1"/>
          <w:sz w:val="16"/>
          <w:szCs w:val="16"/>
        </w:rPr>
        <w:softHyphen/>
        <w:t>ленный срок - 60.000 рублей (408,9).</w:t>
      </w:r>
    </w:p>
    <w:p w14:paraId="7AD7C04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1F7F3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был подготовлен доклад об опытных истребителях:</w:t>
      </w:r>
    </w:p>
    <w:p w14:paraId="603AE2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Сравнивая по максимальной скорости наши опытные истребители И-26 и И-301 с немецкими Ме-109 и Ме-110 имеем довольно благоприятную картину, которую необходимо в самый краткий срок воплотить в жизнь и не ухудшить при массовом производстве.</w:t>
      </w:r>
    </w:p>
    <w:p w14:paraId="4E008D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наши И-26 и И-301 превосходят скорость с-та Ме-109 на 40-60 км/час и отстают от Хе-100 на 45-65 км/час.</w:t>
      </w:r>
    </w:p>
    <w:p w14:paraId="063CBA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возможности к тому, чтобы имеющиеся опытные с-ты за счет улучшения аэродинамики, довести до скорости Зенкеля, у нас имеются. Для этого надо только путем глубокого изучения в лабораториях и в натуреопределять все резервы наших самолетов и их правильно использовать, а не заниматься разговорами о том, что повысить скорость нельзя, т.к. у нас нет надлежащией мощности моторов.</w:t>
      </w:r>
    </w:p>
    <w:p w14:paraId="62C008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качеству наши моторы хуже, но по мощности они не хуже ДБ-601. Поэтому вправе требовать от конструкторов большой и глубокой отработки аэродинамики с-та в целом, а не только в отношении планера.</w:t>
      </w:r>
    </w:p>
    <w:p w14:paraId="7C2424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Прежде всего обращает на себя внимание, что на находящихся на вооружении с-тах Ме-109 и Ме-110 при наличии большой длины хвоста имеют очень переднюю центровку, причем такую центровку, при которой крыло самолета само по себе делается устойчивым или нейтральным. Это важно не только для устойчивости, но и для живучести самолета При повреждении хвостового оперения самолета с самоустойчивым крылом не может наступить резких изменений в поведении самолета и, следовательно, у л будет время для принятия правильного решения.</w:t>
      </w:r>
    </w:p>
    <w:p w14:paraId="119DD9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понять, что полная устойчивость и безопасность полета очень тесно связаны друг с другом и чем выше устойчивость, тем безопаснее и проще в технике пилоторования с-т.</w:t>
      </w:r>
    </w:p>
    <w:p w14:paraId="6FADF9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(т. Ильюшин и на сегодня считает, что устойчивость не нужна, что с-т в отношении устойчивости д.б. нейтральным).</w:t>
      </w:r>
    </w:p>
    <w:p w14:paraId="0049F3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сегодня немецкие с-ты Ме-109 и Ме-110 являются самолетами простыми в технике пилотирования и в этой части могут служить образцами.</w:t>
      </w:r>
    </w:p>
    <w:p w14:paraId="301518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отличие от наших с-тов немецкие с-ты отличаются доведенностью ВМГ.</w:t>
      </w:r>
    </w:p>
    <w:p w14:paraId="344F12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ВМГ особо обращает на себя внимание следующее:</w:t>
      </w:r>
    </w:p>
    <w:p w14:paraId="587D38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Широкое применение непосредственного впрыска в Германии.</w:t>
      </w:r>
    </w:p>
    <w:p w14:paraId="56F28E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 преимуществом систем непосредственного впрыска является:</w:t>
      </w:r>
    </w:p>
    <w:p w14:paraId="3262A9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правильная дозировка топлива в каждом цилиндре, что позволяет получить совершенное распределение топлива (уменьшить выбросы)</w:t>
      </w:r>
    </w:p>
    <w:p w14:paraId="0E0FD6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понижение пожарной опасности благодая невозможности обратного выхлопа</w:t>
      </w:r>
    </w:p>
    <w:p w14:paraId="109FEB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возможность улучшения продувки и охлаждения камеры сгорания путем соответствующей регулировки фаз распределения и зажигания</w:t>
      </w:r>
    </w:p>
    <w:p w14:paraId="6211EA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отсутствие опасности обледенения.</w:t>
      </w:r>
    </w:p>
    <w:p w14:paraId="64694C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освоения непосредственного впрыска необходимо купить техпомощь на серийное производство аппаратуры непосредственного впрыска горбчего в мотор, а заводам 20 и 33 освоить в 1940 серийное производство насосов, форсунок, автоматики регулировки горючего для моторов непосредственного впрыска.</w:t>
      </w:r>
    </w:p>
    <w:p w14:paraId="36988F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Гидропривод с автоматическим включением нагнетателя, регулирующим число оборотов нагнетателя в зависимости от потребностей в наддуве имеет преимущество перед ПЦН с переключеним на две скорости в том, что мощность, затрачиваемая на нагнетатель с гидроприводом, не расходуется на бесполезное дросселирование воздуха перег нагнетателем и не отвлекает л на переключение скорости.</w:t>
      </w:r>
    </w:p>
    <w:p w14:paraId="15C251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Выключение форсажа автоматически через 1 минуту выполняется часовым механизмом, что разгружает внимание и гарантирует правильную эксплуатацию мотора. Это также надо освоить для наших моторов и изъять еще одну ручку из кабины л.</w:t>
      </w:r>
    </w:p>
    <w:p w14:paraId="5AAD9D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VDM допускает установку лопасти во флюгерное положение, чем достигантся значительное сопротивление при полете на 1 моторе и на планировании с-та с остановкой мотора (увеличивая скорость на 25-30%).</w:t>
      </w:r>
    </w:p>
    <w:p w14:paraId="518794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Сепараторы для отделения пара от воздуха обеспечивают устойчивую работу системы охлаждения (за полет значительно снижается расход воды).</w:t>
      </w:r>
    </w:p>
    <w:p w14:paraId="595111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спецоболрудование отличается высокой культурой производства, продуманностью конструкции и схем, надежностью в работе.</w:t>
      </w:r>
    </w:p>
    <w:p w14:paraId="160FEF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всех немецких самолетах с целью устранения помех радиоприему применяется тзщательное экранирование, металлизация и система сильфонов у источников радиопомех.</w:t>
      </w:r>
    </w:p>
    <w:p w14:paraId="7C56DE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электросхеме всех самолетов применена система защиты сетей и оборудования от электрической перегрузки и коротких замыканий при помощи автоматов фирмы Сименс, служающих одновременно и выключателями (они позволяют изъять из схемы электрооборудование плавкие предохранители).</w:t>
      </w:r>
    </w:p>
    <w:p w14:paraId="2B9335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в кратчайший срок освоить эти автоматы у нас.</w:t>
      </w:r>
    </w:p>
    <w:p w14:paraId="497D45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Мне кажется, следует поручить группе из товарищей от НКАП и ВВС увязать окончательно сделанные первые предложения с нашей стороны с тем, чтобы план реализации был бы в кратчайший срок утвержден.</w:t>
      </w:r>
    </w:p>
    <w:p w14:paraId="65E0C5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Верно Ссорин (852,18).</w:t>
      </w:r>
    </w:p>
    <w:p w14:paraId="7B0966F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2BF9FD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года начальник опытного КБ завода № 47 авиаконструктор Бакшаев писал письмо №917с секретарю Ленинградского обкома и горкома ВКП(б) Кузнецову, КО Лешукову, Оборонный отдел Ленинградского Горкома ВКП(б).</w:t>
      </w:r>
    </w:p>
    <w:p w14:paraId="7C62F47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сохранения опытного КБ на заводе № 47 и его тематике.</w:t>
      </w:r>
    </w:p>
    <w:p w14:paraId="7B491D0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Докладная записка</w:t>
      </w:r>
    </w:p>
    <w:p w14:paraId="3EEC289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 47 с мая 1939 года было организовано опытное КБ. Согласно постановления правительства бюро было поручено спроектировать и построить экспериментальный самолет с раздвижным крылом со скоростью 730-750 км/час. В настоящий момент эта тема по инициативе зам. наркома НКАП Яковлева снята и бюро утвержденной тематике не имеет.</w:t>
      </w:r>
    </w:p>
    <w:p w14:paraId="04DE94A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Весь состав бюро в количестве 42 ИТР в данный момент передан на освоение в серии самолета УТ-3 конструкции Яковлева, т.о. опытное КБ на заводе № 47 фактически ликвидировано. Считаю, что ликвидация бюро противоречит постановления партии и правительства о развертывании опытных конструкторских работ и стимулирования работы конструкторов.</w:t>
      </w:r>
    </w:p>
    <w:p w14:paraId="69F9BC6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 47 построено прекрасное помещение для опытного цеха, собраны кадры конструкторов и производственников. Имеются все необходимые условия для развертывания опытных работ, параллельно с выпуском серийной продукции.</w:t>
      </w:r>
    </w:p>
    <w:p w14:paraId="2CBDD7A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Тематика ОКБ должна отражать нужды советской авиации сегодняшнего дня. (Экспериментальные работы по самолету с раздвижным крылом целесообразно отложить). До сего времени завод № 47 строил тренировочные самолеты. В данный момент осваивается в серии учебно-тренировочный самолет УТ-3 для подготовки пилотов на двухмоторные боевые самолеты. Задача весьма актуальная и к решению ее мы фактически только что приступаем.</w:t>
      </w:r>
    </w:p>
    <w:p w14:paraId="0A06A41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47 единственный в данное время завод в Союзе, который занимается строительством таких самолетов, но к сожалению внедряемый в серию самолет УТ-3 поставленных перед ним задач не решает.</w:t>
      </w:r>
    </w:p>
    <w:p w14:paraId="3BD0F2D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Причины несоответствия УТ-3 своему назначению</w:t>
      </w:r>
    </w:p>
    <w:p w14:paraId="5A00498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Всякий тренировочный самолет должен удовлетворять следующие основные требования:</w:t>
      </w:r>
    </w:p>
    <w:p w14:paraId="58121882" w14:textId="77777777" w:rsidR="003C7E8B" w:rsidRPr="00DB5D0D" w:rsidRDefault="003C7E8B"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характеру пилотирования, по устойчивости и управляемости он должен близко подходить к боевому самолету.</w:t>
      </w:r>
    </w:p>
    <w:p w14:paraId="49432A36" w14:textId="77777777" w:rsidR="003C7E8B" w:rsidRPr="00DB5D0D" w:rsidRDefault="003C7E8B"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оборудованию кабины, по конструкции и месту расположения рычагов управления самолетом должна быть соблюдена определенная степень подобия с боевым самолетом.</w:t>
      </w:r>
    </w:p>
    <w:p w14:paraId="30B7448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соблюдения этих требований тренировка пилотов, как средство подготовки их к боевым самолетам, будет подменяться освоением нового самолета ничего общего не имеющим с боевым самолетом.</w:t>
      </w:r>
    </w:p>
    <w:p w14:paraId="01CD43B2" w14:textId="77777777" w:rsidR="003C7E8B" w:rsidRPr="00DB5D0D" w:rsidRDefault="003C7E8B" w:rsidP="00DB5D0D">
      <w:pPr>
        <w:pStyle w:val="a3"/>
        <w:widowControl/>
        <w:tabs>
          <w:tab w:val="left" w:pos="360"/>
          <w:tab w:val="left" w:pos="2410"/>
        </w:tabs>
        <w:rPr>
          <w:color w:val="000000" w:themeColor="text1"/>
          <w:lang w:val="ru-RU"/>
        </w:rPr>
      </w:pPr>
      <w:r w:rsidRPr="00DB5D0D">
        <w:rPr>
          <w:color w:val="000000" w:themeColor="text1"/>
          <w:lang w:val="ru-RU"/>
        </w:rPr>
        <w:t>Необходимо, чтобы стоимость обучения пилотов на тренировочной машине обходилась дешевле в сравнении со стоимостью обучения на боевых самолетах.</w:t>
      </w:r>
    </w:p>
    <w:p w14:paraId="3AAAA3C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Всем этим требованиям самолет УТ-3 не удовлетворяет, так как согласно отчета гос. испытаний проведенных в НИИ ВВС в феврале 1940 года самолет УТ-3 имеет следующие недостатки:</w:t>
      </w:r>
    </w:p>
    <w:p w14:paraId="3F5B131E" w14:textId="77777777" w:rsidR="003C7E8B" w:rsidRPr="00DB5D0D" w:rsidRDefault="003C7E8B"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Неустойчив относительно всех осей.</w:t>
      </w:r>
    </w:p>
    <w:p w14:paraId="23F94B5A" w14:textId="77777777" w:rsidR="003C7E8B" w:rsidRPr="00DB5D0D" w:rsidRDefault="003C7E8B"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Имеет вибрации хвостового оперения (см. прилагаемые выписки из отчета испытаний УТ-3 на 2-х стр.). Комментарии к ним считаю излишними.</w:t>
      </w:r>
    </w:p>
    <w:p w14:paraId="2DCC934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несмотря на то, что УТ-3 осваивается в серии на 3-м заводе, стоимость серийного самолета определяется в 550 тыс. (без моторов и вооружения), что в 2-3 раза превышает стоимость боевого самолета.</w:t>
      </w:r>
    </w:p>
    <w:p w14:paraId="1C3B3E5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постройку УТ-3 в серии нецелесообразной, так как без коренных конструкторских переделок, она не будет удовлетворять основным требованиям. Доводки которыми сейчас занят завод это полиатив, так как основные ошибки самолета это конструктивные, а не производственные. До сего времени на самолет УТ-3 на заводе № 81 и № 301 затрачено без всякого эффекта порядка 15-20 миллионов рублей.</w:t>
      </w:r>
    </w:p>
    <w:p w14:paraId="27D2B1B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47 затраты по УТ-3 выразятся в 1940 году около 12-15 млн. рублей.</w:t>
      </w:r>
    </w:p>
    <w:p w14:paraId="58F8C93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дальнейшие затраты государственных средств на машину, которая не удовлетворяет основным требованиям не допустимым.</w:t>
      </w:r>
    </w:p>
    <w:p w14:paraId="5B4B457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Создание тренировочного самолета удовлетворяющего всем требованиям подготовки пилотов на двухмоторные самолеты является актуальной задачей. Поэтому опытное конструкторское бюро завода № 47 разработало эскизный проект учебно-тренировочного пикирующего бомбардировщика (УПБ).</w:t>
      </w:r>
    </w:p>
    <w:p w14:paraId="71B529A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Требование обучать пилотов бомбометанию с пикирования настолько очевидно, что только из-за него целесообразно ставить вопрос о замене УТ-3.</w:t>
      </w:r>
    </w:p>
    <w:p w14:paraId="4E0B6DF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рассматривался в НИИ ВВС. Окончательного заключения еще не получено, но мне официально заявлено следующее:</w:t>
      </w:r>
    </w:p>
    <w:p w14:paraId="27877507" w14:textId="77777777" w:rsidR="003C7E8B" w:rsidRPr="00DB5D0D" w:rsidRDefault="003C7E8B"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УПБ (конструкции инженера Баклаева) необходимо строить как модификацию УТ-3 вместо эталона УТ-3 на 1941 год (заявление сделано начальником 1-го отдела НИИ ВВС Рудинцевым, комиссаром этого отдела и ведущим инженером НИИ ВВС по тренировочным самолетам Лысковым).</w:t>
      </w:r>
    </w:p>
    <w:p w14:paraId="12A15986" w14:textId="77777777" w:rsidR="003C7E8B" w:rsidRPr="00DB5D0D" w:rsidRDefault="003C7E8B"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начальника Главного управления авиационного снабжения (ГУАС КА) бригинженер Федоров заявил мне, что такой самолет необходимо строить. Самолет должен пикировать и по характеру управления, по оборудованию должен должен являться подобием СБ пикирующего, как основной машины сегодняшнего дня, что касается модификации УТ-3, то по его мнению это нецелесообразно, так как УТ-3 машина негодная и нет уверенности, что модификация будет удовлетворять всем требованиям.</w:t>
      </w:r>
    </w:p>
    <w:p w14:paraId="52F4243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тренировочный пикирующий самолет строить независимо от УТ-3. Федоров предложил мне от имени генерала-лейтенанта (начальника ГУАС КА) Алексеева, подать докладную записку о строительстве такого самолета на заводе № 47 (что мною и сделано) с тем, чтобы ГУАСКа вошло с ходатайством в правительство о постройке тренировочного пикирующего самолета.</w:t>
      </w:r>
    </w:p>
    <w:p w14:paraId="7B1D8D0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линии НКАП этот вопрос будет решаться зам. наркома НКАП Яковлевым. Поскольку самолет УТ-3 его конструкции, я заранее уверен в его отрицательной позиции, тем более, что передача всех работников опытного КБ на освоение в серии УТ-3 (т.е. фактическая ликвидация ОКБ завода № 47) произведена по его указанию.</w:t>
      </w:r>
    </w:p>
    <w:p w14:paraId="37B8DB0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w:t>
      </w:r>
    </w:p>
    <w:p w14:paraId="49B6808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Принять решение о сохранении опытного КБ на заводе № 47 и его развитии. 2. Оказать помощь в том, чтобы перед опытным КБ завода № 47 была поставлена задача – создание тренировочного пикирующего самолета для подготовки пилотов на двухмоторные боевые самолеты, и добиться всесторонней поддержки со </w:t>
      </w:r>
      <w:r w:rsidRPr="00DB5D0D">
        <w:rPr>
          <w:rFonts w:ascii="Times New Roman" w:hAnsi="Times New Roman"/>
          <w:color w:val="000000" w:themeColor="text1"/>
          <w:sz w:val="16"/>
          <w:szCs w:val="16"/>
        </w:rPr>
        <w:lastRenderedPageBreak/>
        <w:t>стороны НКАП, с тем чтобы в случае удачных испытаний уже в I квартале 1941 года можно было бы самолет запустить в серию на заводе № 47. 3. Поставить затронутые мною вопросы перед НКАП Шахуриным.</w:t>
      </w:r>
    </w:p>
    <w:p w14:paraId="796D28E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всей стороны обязуюсь полностью выполнить эту задачу в короткий срок и с таким расчетом, чтобы в случае возникновения войны, производство тренировочных пикирующих самолетов на заводе № 47 быстро перестроить на выпуск боевых самолетов (3420, 55-57).</w:t>
      </w:r>
    </w:p>
    <w:p w14:paraId="6BC74E2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580D3FF3" w14:textId="77777777" w:rsidR="00220CD9" w:rsidRPr="00DB5D0D" w:rsidRDefault="00220CD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4 июля</w:t>
      </w:r>
      <w:r w:rsidRPr="00DB5D0D">
        <w:rPr>
          <w:rFonts w:ascii="Times New Roman" w:hAnsi="Times New Roman"/>
          <w:color w:val="000000" w:themeColor="text1"/>
          <w:sz w:val="16"/>
          <w:szCs w:val="16"/>
        </w:rPr>
        <w:t xml:space="preserve"> в 1940 году в НИИ ГВФ завершились (с 31 мая) испытания </w:t>
      </w:r>
      <w:hyperlink r:id="rId165" w:tgtFrame="_blank" w:history="1">
        <w:r w:rsidRPr="00DB5D0D">
          <w:rPr>
            <w:rFonts w:ascii="Times New Roman" w:hAnsi="Times New Roman"/>
            <w:color w:val="000000" w:themeColor="text1"/>
            <w:sz w:val="16"/>
            <w:szCs w:val="16"/>
          </w:rPr>
          <w:t xml:space="preserve">«ПС-5» </w:t>
        </w:r>
      </w:hyperlink>
      <w:r w:rsidRPr="00DB5D0D">
        <w:rPr>
          <w:rFonts w:ascii="Times New Roman" w:hAnsi="Times New Roman"/>
          <w:color w:val="000000" w:themeColor="text1"/>
          <w:sz w:val="16"/>
          <w:szCs w:val="16"/>
        </w:rPr>
        <w:t>с двигателем «М-25В». Ведущий инженер С.Д.Спиваковский, летчик-испытатель А.И.Табаровский. Предполагалось, что снятые с вооружения «Р-10» под маркой «ПС-5» будут применяться в Аэрофлоте в качестве почтово-пассажирских. Вооружение и специальное оборудование конструкторы убрали, в фюзеляже оборудовали четырехместную пассажирскую кабину с 4 окнами и входную дверь по левому борту. К каждому сиденью пассажиров вывели индивидуальную вентиляцию. Предусматривалось место для 50 кг багажа. Самолет имел полетный вес 2880 кг, вес коммерческой нагрузки 290 кг и практически такие же лётные данные, как «Р-10». Самолет допустили к полетам на дневных линиях ГВФ, но об эксплуатации подобных машин в "Аэрофлоте" сведений нет. Опытный «ПС-5» использовался некоторое время для заводских перевозок и вскоре разбился при посадке с пассажирами из-за ошибки летчика (14942).</w:t>
      </w:r>
    </w:p>
    <w:p w14:paraId="0F5B1FC7" w14:textId="77777777" w:rsidR="00220CD9" w:rsidRPr="00DB5D0D" w:rsidRDefault="00220CD9" w:rsidP="00DB5D0D">
      <w:pPr>
        <w:spacing w:after="0" w:line="240" w:lineRule="auto"/>
        <w:jc w:val="both"/>
        <w:rPr>
          <w:rFonts w:ascii="Times New Roman" w:hAnsi="Times New Roman"/>
          <w:color w:val="000000" w:themeColor="text1"/>
          <w:sz w:val="16"/>
          <w:szCs w:val="16"/>
        </w:rPr>
      </w:pPr>
    </w:p>
    <w:p w14:paraId="35DEC83F" w14:textId="77777777" w:rsidR="00791713" w:rsidRPr="00DB5D0D" w:rsidRDefault="0079171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4 июля 1940 г. Г.И. Бакшаев пытался протестовать и обратился к партийному руководству Ленинграда с письмом: «На заводе № 47 с мая 1939 г. было организовано опытное КБ. Согласно постановлению правительства бюро было поручено спроектировать и построить экспериментальный самолёт с раздвижным крылом со скоростью 730–750 км/час. В настоящий момент эта тема по инициативе зам. наркома НКАП Яковлева снята и бюро утвержденной тематики не имеет. Весь состав бюро в количестве 42 ИТР (инженерно-технических работников) в данный момент передан на освоение в серии самолёта УТ-3 конструкции Яковлева, таким образом опытное КБ на заводе № 47 фактически ликвидировано. Считаю, что ликвидация бюро противоречит постановлению партии и правительства о развертывании опытных конструкторских работ и стимулирования работы конструкторов» </w:t>
      </w:r>
      <w:hyperlink r:id="rId166" w:history="1">
        <w:r w:rsidRPr="00DB5D0D">
          <w:rPr>
            <w:rFonts w:ascii="Times New Roman" w:eastAsia="Times New Roman" w:hAnsi="Times New Roman"/>
            <w:color w:val="000000" w:themeColor="text1"/>
            <w:sz w:val="16"/>
            <w:szCs w:val="16"/>
            <w:lang w:eastAsia="ru-RU"/>
          </w:rPr>
          <w:t>[285]</w:t>
        </w:r>
      </w:hyperlink>
      <w:r w:rsidRPr="00DB5D0D">
        <w:rPr>
          <w:rFonts w:ascii="Times New Roman" w:eastAsia="Times New Roman" w:hAnsi="Times New Roman"/>
          <w:color w:val="000000" w:themeColor="text1"/>
          <w:sz w:val="16"/>
          <w:szCs w:val="16"/>
          <w:lang w:eastAsia="ru-RU"/>
        </w:rPr>
        <w:t>.</w:t>
      </w:r>
    </w:p>
    <w:p w14:paraId="3EB4E025" w14:textId="77777777" w:rsidR="00791713" w:rsidRPr="00DB5D0D" w:rsidRDefault="0079171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Реакции не последовало; наращивая серийный выпуск вооружений, правительство поощряло курс А.С. Яковлева на сокращение расходов на экспериментальные работы в авиации.</w:t>
      </w:r>
    </w:p>
    <w:p w14:paraId="3C07BB51" w14:textId="77777777" w:rsidR="00791713" w:rsidRPr="00DB5D0D" w:rsidRDefault="00791713"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Итак, все ограничилось постройкой планера. Аппарат передали в ЦАГИ, там ему присвоили обозначение П-47 (планер завода № 47). Он имел ту же конструкцию, что и самолёт СРК-М-105. По двум крыльям могли скользить телескопически выдвигающиеся металлические отсеки постепенно уменьшающейся высоты. Последний, 15-й отсек заканчивался шайбой, которая закрывала щель, возникавшую при уборке раздвижной части крыла в фюзеляж. Элероны, они же закрылки, находились на внешних частях заднего крыла (17489).</w:t>
      </w:r>
    </w:p>
    <w:p w14:paraId="0FA9DE08" w14:textId="77777777" w:rsidR="00791713" w:rsidRPr="00DB5D0D" w:rsidRDefault="00791713" w:rsidP="00DB5D0D">
      <w:pPr>
        <w:spacing w:after="0" w:line="240" w:lineRule="auto"/>
        <w:jc w:val="both"/>
        <w:rPr>
          <w:rFonts w:ascii="Times New Roman" w:eastAsia="Times New Roman" w:hAnsi="Times New Roman"/>
          <w:color w:val="000000" w:themeColor="text1"/>
          <w:sz w:val="16"/>
          <w:szCs w:val="16"/>
          <w:lang w:eastAsia="ru-RU"/>
        </w:rPr>
      </w:pPr>
    </w:p>
    <w:p w14:paraId="44F84029" w14:textId="77777777" w:rsidR="002B13D2" w:rsidRPr="00DB5D0D" w:rsidRDefault="002B13D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июля 1940</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года Бакшаев отправил секретарю Ленин</w:t>
      </w:r>
      <w:r w:rsidRPr="00DB5D0D">
        <w:rPr>
          <w:rFonts w:ascii="Times New Roman" w:hAnsi="Times New Roman"/>
          <w:color w:val="0070C0"/>
          <w:sz w:val="16"/>
          <w:szCs w:val="16"/>
        </w:rPr>
        <w:softHyphen/>
        <w:t>градского обкома и горкома ВКП(б) А.А. Куз</w:t>
      </w:r>
      <w:r w:rsidRPr="00DB5D0D">
        <w:rPr>
          <w:rFonts w:ascii="Times New Roman" w:hAnsi="Times New Roman"/>
          <w:color w:val="0070C0"/>
          <w:sz w:val="16"/>
          <w:szCs w:val="16"/>
        </w:rPr>
        <w:softHyphen/>
        <w:t>нецову, секретарю Комитета Обороны Г.П.</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Лешукову и в Оборонный отдел Ленинград</w:t>
      </w:r>
      <w:r w:rsidRPr="00DB5D0D">
        <w:rPr>
          <w:rFonts w:ascii="Times New Roman" w:hAnsi="Times New Roman"/>
          <w:color w:val="0070C0"/>
          <w:sz w:val="16"/>
          <w:szCs w:val="16"/>
        </w:rPr>
        <w:softHyphen/>
        <w:t>ского Горкома ВКП(б) докладную записку.</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Тема была обозначена нейтрально: «По</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вопросу сохранения опытного КБ на заводе</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 47 и его тематике». Этот документ - доста</w:t>
      </w:r>
      <w:r w:rsidRPr="00DB5D0D">
        <w:rPr>
          <w:rFonts w:ascii="Times New Roman" w:hAnsi="Times New Roman"/>
          <w:color w:val="0070C0"/>
          <w:sz w:val="16"/>
          <w:szCs w:val="16"/>
        </w:rPr>
        <w:softHyphen/>
        <w:t>точно характерная примета той эпохи со</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всеми ее противоречиями, и кое-что позво</w:t>
      </w:r>
      <w:r w:rsidRPr="00DB5D0D">
        <w:rPr>
          <w:rFonts w:ascii="Times New Roman" w:hAnsi="Times New Roman"/>
          <w:color w:val="0070C0"/>
          <w:sz w:val="16"/>
          <w:szCs w:val="16"/>
        </w:rPr>
        <w:softHyphen/>
        <w:t>ляет понять, если учитывать некоторые</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обстоятельства. Г.И. Бакшаев писал:</w:t>
      </w:r>
      <w:r w:rsidRPr="00DB5D0D">
        <w:rPr>
          <w:rStyle w:val="SegoeUI75pt"/>
          <w:rFonts w:ascii="Times New Roman" w:hAnsi="Times New Roman" w:cs="Times New Roman"/>
          <w:color w:val="0070C0"/>
          <w:sz w:val="16"/>
          <w:szCs w:val="16"/>
        </w:rPr>
        <w:t xml:space="preserve"> «На</w:t>
      </w:r>
      <w:r w:rsidRPr="00DB5D0D">
        <w:rPr>
          <w:rStyle w:val="SegoeUI75pt"/>
          <w:rFonts w:ascii="Times New Roman" w:hAnsi="Times New Roman" w:cs="Times New Roman"/>
          <w:color w:val="0070C0"/>
          <w:sz w:val="16"/>
          <w:szCs w:val="16"/>
          <w:lang w:val="ru"/>
        </w:rPr>
        <w:t xml:space="preserve"> </w:t>
      </w:r>
      <w:r w:rsidRPr="00DB5D0D">
        <w:rPr>
          <w:rStyle w:val="SegoeUI75pt"/>
          <w:rFonts w:ascii="Times New Roman" w:hAnsi="Times New Roman" w:cs="Times New Roman"/>
          <w:color w:val="0070C0"/>
          <w:sz w:val="16"/>
          <w:szCs w:val="16"/>
        </w:rPr>
        <w:t>заводе № 47 с мая 1939 года было организо</w:t>
      </w:r>
      <w:r w:rsidRPr="00DB5D0D">
        <w:rPr>
          <w:rStyle w:val="SegoeUI75pt"/>
          <w:rFonts w:ascii="Times New Roman" w:hAnsi="Times New Roman" w:cs="Times New Roman"/>
          <w:color w:val="0070C0"/>
          <w:sz w:val="16"/>
          <w:szCs w:val="16"/>
        </w:rPr>
        <w:softHyphen/>
        <w:t>вано опытное КБ. Согласно постановлению</w:t>
      </w:r>
      <w:r w:rsidRPr="00DB5D0D">
        <w:rPr>
          <w:rStyle w:val="SegoeUI75pt"/>
          <w:rFonts w:ascii="Times New Roman" w:hAnsi="Times New Roman" w:cs="Times New Roman"/>
          <w:color w:val="0070C0"/>
          <w:sz w:val="16"/>
          <w:szCs w:val="16"/>
          <w:lang w:val="ru"/>
        </w:rPr>
        <w:t xml:space="preserve"> </w:t>
      </w:r>
      <w:r w:rsidRPr="00DB5D0D">
        <w:rPr>
          <w:rStyle w:val="SegoeUI75pt"/>
          <w:rFonts w:ascii="Times New Roman" w:hAnsi="Times New Roman" w:cs="Times New Roman"/>
          <w:color w:val="0070C0"/>
          <w:sz w:val="16"/>
          <w:szCs w:val="16"/>
        </w:rPr>
        <w:t>правительства, бюро было поручено спроек</w:t>
      </w:r>
      <w:r w:rsidRPr="00DB5D0D">
        <w:rPr>
          <w:rStyle w:val="SegoeUI75pt"/>
          <w:rFonts w:ascii="Times New Roman" w:hAnsi="Times New Roman" w:cs="Times New Roman"/>
          <w:color w:val="0070C0"/>
          <w:sz w:val="16"/>
          <w:szCs w:val="16"/>
        </w:rPr>
        <w:softHyphen/>
      </w:r>
      <w:r w:rsidRPr="00DB5D0D">
        <w:rPr>
          <w:rStyle w:val="420"/>
          <w:rFonts w:ascii="Times New Roman" w:hAnsi="Times New Roman" w:cs="Times New Roman"/>
          <w:color w:val="0070C0"/>
          <w:sz w:val="16"/>
          <w:szCs w:val="16"/>
          <w:lang w:val="ru-RU"/>
        </w:rPr>
        <w:t>тировать и построить экспериментальный</w:t>
      </w:r>
      <w:r w:rsidRPr="00DB5D0D">
        <w:rPr>
          <w:rFonts w:ascii="Times New Roman" w:hAnsi="Times New Roman"/>
          <w:color w:val="0070C0"/>
          <w:sz w:val="16"/>
          <w:szCs w:val="16"/>
          <w:lang w:val="ru"/>
        </w:rPr>
        <w:t xml:space="preserve"> </w:t>
      </w:r>
      <w:r w:rsidRPr="00DB5D0D">
        <w:rPr>
          <w:rStyle w:val="420"/>
          <w:rFonts w:ascii="Times New Roman" w:hAnsi="Times New Roman" w:cs="Times New Roman"/>
          <w:color w:val="0070C0"/>
          <w:sz w:val="16"/>
          <w:szCs w:val="16"/>
          <w:lang w:val="ru-RU"/>
        </w:rPr>
        <w:t>самолет с раздвижным крылом со скоростью</w:t>
      </w:r>
      <w:r w:rsidRPr="00DB5D0D">
        <w:rPr>
          <w:rFonts w:ascii="Times New Roman" w:hAnsi="Times New Roman"/>
          <w:color w:val="0070C0"/>
          <w:sz w:val="16"/>
          <w:szCs w:val="16"/>
          <w:lang w:val="ru"/>
        </w:rPr>
        <w:t xml:space="preserve"> </w:t>
      </w:r>
      <w:r w:rsidRPr="00DB5D0D">
        <w:rPr>
          <w:rStyle w:val="420"/>
          <w:rFonts w:ascii="Times New Roman" w:hAnsi="Times New Roman" w:cs="Times New Roman"/>
          <w:color w:val="0070C0"/>
          <w:sz w:val="16"/>
          <w:szCs w:val="16"/>
          <w:lang w:val="ru-RU"/>
        </w:rPr>
        <w:t>730-750 км/час. В настоящий момент эта</w:t>
      </w:r>
      <w:r w:rsidRPr="00DB5D0D">
        <w:rPr>
          <w:rFonts w:ascii="Times New Roman" w:hAnsi="Times New Roman"/>
          <w:color w:val="0070C0"/>
          <w:sz w:val="16"/>
          <w:szCs w:val="16"/>
          <w:lang w:val="ru"/>
        </w:rPr>
        <w:t xml:space="preserve"> </w:t>
      </w:r>
      <w:r w:rsidRPr="00DB5D0D">
        <w:rPr>
          <w:rStyle w:val="420"/>
          <w:rFonts w:ascii="Times New Roman" w:hAnsi="Times New Roman" w:cs="Times New Roman"/>
          <w:color w:val="0070C0"/>
          <w:sz w:val="16"/>
          <w:szCs w:val="16"/>
          <w:lang w:val="ru-RU"/>
        </w:rPr>
        <w:t>тема по инициативе зам. наркома НКАП</w:t>
      </w:r>
      <w:r w:rsidRPr="00DB5D0D">
        <w:rPr>
          <w:rFonts w:ascii="Times New Roman" w:hAnsi="Times New Roman"/>
          <w:color w:val="0070C0"/>
          <w:sz w:val="16"/>
          <w:szCs w:val="16"/>
          <w:lang w:val="ru"/>
        </w:rPr>
        <w:t xml:space="preserve"> </w:t>
      </w:r>
      <w:r w:rsidRPr="00DB5D0D">
        <w:rPr>
          <w:rStyle w:val="420"/>
          <w:rFonts w:ascii="Times New Roman" w:hAnsi="Times New Roman" w:cs="Times New Roman"/>
          <w:color w:val="0070C0"/>
          <w:sz w:val="16"/>
          <w:szCs w:val="16"/>
          <w:lang w:val="ru-RU"/>
        </w:rPr>
        <w:t>Яковлева снята и бюро утвержденной тема</w:t>
      </w:r>
      <w:r w:rsidRPr="00DB5D0D">
        <w:rPr>
          <w:rStyle w:val="420"/>
          <w:rFonts w:ascii="Times New Roman" w:hAnsi="Times New Roman" w:cs="Times New Roman"/>
          <w:color w:val="0070C0"/>
          <w:sz w:val="16"/>
          <w:szCs w:val="16"/>
          <w:lang w:val="ru-RU"/>
        </w:rPr>
        <w:softHyphen/>
        <w:t>тике не имеет».</w:t>
      </w:r>
    </w:p>
    <w:p w14:paraId="02C23885" w14:textId="77777777" w:rsidR="002B13D2" w:rsidRPr="00DB5D0D" w:rsidRDefault="002B13D2"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Несомненно, А.С. Яковлев в силу возло</w:t>
      </w:r>
      <w:r w:rsidRPr="00DB5D0D">
        <w:rPr>
          <w:rFonts w:ascii="Times New Roman" w:hAnsi="Times New Roman"/>
          <w:color w:val="0070C0"/>
          <w:sz w:val="16"/>
          <w:szCs w:val="16"/>
        </w:rPr>
        <w:softHyphen/>
        <w:t>женных на него обязанностей замнаркома по</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опытному самолетостроению нес определен</w:t>
      </w:r>
      <w:r w:rsidRPr="00DB5D0D">
        <w:rPr>
          <w:rFonts w:ascii="Times New Roman" w:hAnsi="Times New Roman"/>
          <w:color w:val="0070C0"/>
          <w:sz w:val="16"/>
          <w:szCs w:val="16"/>
        </w:rPr>
        <w:softHyphen/>
        <w:t>ную долю ответственности за закрытие темы,</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но сделано это было по постановлению</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Комитета Обороны № 127сс «О прекращении</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строительства опытных и эксперименталь</w:t>
      </w:r>
      <w:r w:rsidRPr="00DB5D0D">
        <w:rPr>
          <w:rFonts w:ascii="Times New Roman" w:hAnsi="Times New Roman"/>
          <w:color w:val="0070C0"/>
          <w:sz w:val="16"/>
          <w:szCs w:val="16"/>
        </w:rPr>
        <w:softHyphen/>
        <w:t>ных объектов плана, утвержденного КО в</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1939 году» от 4 марта 1940 года. Наряду с</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самолетом Бакшаева, были прекращены</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работы по И-180М-88ТК, И-190М-88ТК, ДБ-</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ЛК 2М-88, ДБ-ЛК 2АМ-35, ИС-ЦАГИ, И-220,</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САМ-12, САМ-13 и еще по ряду разработок. В</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оправдание стоит заметить, что Григорий</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Иванович по должности не мог быть знаком с</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постановлениями Комитета Обороны, до</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него, как было принято, довели дублирующий</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приказ НКАП только по самолету Бакшаева,</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подписанный именно Яковлевым.</w:t>
      </w:r>
    </w:p>
    <w:p w14:paraId="6FFEEEB3" w14:textId="77777777" w:rsidR="002B13D2" w:rsidRPr="00DB5D0D" w:rsidRDefault="002B13D2" w:rsidP="00DB5D0D">
      <w:pPr>
        <w:spacing w:after="0" w:line="240" w:lineRule="auto"/>
        <w:jc w:val="both"/>
        <w:rPr>
          <w:rFonts w:ascii="Times New Roman" w:hAnsi="Times New Roman"/>
          <w:color w:val="0070C0"/>
          <w:sz w:val="16"/>
          <w:szCs w:val="16"/>
        </w:rPr>
      </w:pPr>
      <w:r w:rsidRPr="00DB5D0D">
        <w:rPr>
          <w:rStyle w:val="42Tahoma65pt"/>
          <w:rFonts w:ascii="Times New Roman" w:hAnsi="Times New Roman" w:cs="Times New Roman"/>
          <w:color w:val="0070C0"/>
          <w:sz w:val="16"/>
          <w:szCs w:val="16"/>
        </w:rPr>
        <w:t>Далее в записке было сказано:</w:t>
      </w:r>
      <w:r w:rsidRPr="00DB5D0D">
        <w:rPr>
          <w:rFonts w:ascii="Times New Roman" w:hAnsi="Times New Roman"/>
          <w:color w:val="0070C0"/>
          <w:sz w:val="16"/>
          <w:szCs w:val="16"/>
        </w:rPr>
        <w:t xml:space="preserve"> «Весь</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состав бюро в количестве 42 ИТР в данный</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момент передан на освоение в серии самоле</w:t>
      </w:r>
      <w:r w:rsidRPr="00DB5D0D">
        <w:rPr>
          <w:rFonts w:ascii="Times New Roman" w:hAnsi="Times New Roman"/>
          <w:color w:val="0070C0"/>
          <w:sz w:val="16"/>
          <w:szCs w:val="16"/>
        </w:rPr>
        <w:softHyphen/>
        <w:t>та УТ-3 конструкции Яковлева, т.о. опыт</w:t>
      </w:r>
      <w:r w:rsidRPr="00DB5D0D">
        <w:rPr>
          <w:rFonts w:ascii="Times New Roman" w:hAnsi="Times New Roman"/>
          <w:color w:val="0070C0"/>
          <w:sz w:val="16"/>
          <w:szCs w:val="16"/>
        </w:rPr>
        <w:softHyphen/>
        <w:t>ное КБ на заводе № 47 фактически ликвиди</w:t>
      </w:r>
      <w:r w:rsidRPr="00DB5D0D">
        <w:rPr>
          <w:rFonts w:ascii="Times New Roman" w:hAnsi="Times New Roman"/>
          <w:color w:val="0070C0"/>
          <w:sz w:val="16"/>
          <w:szCs w:val="16"/>
        </w:rPr>
        <w:softHyphen/>
        <w:t>ровано. Считаю, что ликвидация бюро про</w:t>
      </w:r>
      <w:r w:rsidRPr="00DB5D0D">
        <w:rPr>
          <w:rFonts w:ascii="Times New Roman" w:hAnsi="Times New Roman"/>
          <w:color w:val="0070C0"/>
          <w:sz w:val="16"/>
          <w:szCs w:val="16"/>
        </w:rPr>
        <w:softHyphen/>
        <w:t>тиворечит постановлению партии и прави</w:t>
      </w:r>
      <w:r w:rsidRPr="00DB5D0D">
        <w:rPr>
          <w:rFonts w:ascii="Times New Roman" w:hAnsi="Times New Roman"/>
          <w:color w:val="0070C0"/>
          <w:sz w:val="16"/>
          <w:szCs w:val="16"/>
        </w:rPr>
        <w:softHyphen/>
        <w:t>тельства о развертывании опытных кон</w:t>
      </w:r>
      <w:r w:rsidRPr="00DB5D0D">
        <w:rPr>
          <w:rFonts w:ascii="Times New Roman" w:hAnsi="Times New Roman"/>
          <w:color w:val="0070C0"/>
          <w:sz w:val="16"/>
          <w:szCs w:val="16"/>
        </w:rPr>
        <w:softHyphen/>
        <w:t>структорских работ и стимулирования</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работы конструкторов. На заводе № 47</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построено прекрасное помещение для опыт</w:t>
      </w:r>
      <w:r w:rsidRPr="00DB5D0D">
        <w:rPr>
          <w:rFonts w:ascii="Times New Roman" w:hAnsi="Times New Roman"/>
          <w:color w:val="0070C0"/>
          <w:sz w:val="16"/>
          <w:szCs w:val="16"/>
        </w:rPr>
        <w:softHyphen/>
        <w:t>ного цеха, собраны кадры конструкторов и</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производственников. Имеются все необхо</w:t>
      </w:r>
      <w:r w:rsidRPr="00DB5D0D">
        <w:rPr>
          <w:rFonts w:ascii="Times New Roman" w:hAnsi="Times New Roman"/>
          <w:color w:val="0070C0"/>
          <w:sz w:val="16"/>
          <w:szCs w:val="16"/>
        </w:rPr>
        <w:softHyphen/>
        <w:t>димые условия для развертывания опытных</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работ, параллельно с выпуском серийной</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продукции».</w:t>
      </w:r>
    </w:p>
    <w:p w14:paraId="22184590" w14:textId="77777777" w:rsidR="002B13D2" w:rsidRPr="00DB5D0D" w:rsidRDefault="002B13D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Тут Григорий Иванович и вовсе покривил</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душой. Мало того, что он подменил понятия,</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смешав освоение выпуска и налаженное про</w:t>
      </w:r>
      <w:r w:rsidRPr="00DB5D0D">
        <w:rPr>
          <w:rFonts w:ascii="Times New Roman" w:hAnsi="Times New Roman"/>
          <w:color w:val="0070C0"/>
          <w:sz w:val="16"/>
          <w:szCs w:val="16"/>
        </w:rPr>
        <w:softHyphen/>
        <w:t>изводство, но даже если сбросить со счетов</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работы по проектированию вооруженного</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УТ-1, он забыл указать, что КБ имело, по край</w:t>
      </w:r>
      <w:r w:rsidRPr="00DB5D0D">
        <w:rPr>
          <w:rFonts w:ascii="Times New Roman" w:hAnsi="Times New Roman"/>
          <w:color w:val="0070C0"/>
          <w:sz w:val="16"/>
          <w:szCs w:val="16"/>
        </w:rPr>
        <w:softHyphen/>
        <w:t>ней мере, еще одно задание, причем, по теме</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раздвижного крыла. 7 января 1940 года</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Начальник ГУАС утвердил тактико-техниче</w:t>
      </w:r>
      <w:r w:rsidRPr="00DB5D0D">
        <w:rPr>
          <w:rFonts w:ascii="Times New Roman" w:hAnsi="Times New Roman"/>
          <w:color w:val="0070C0"/>
          <w:sz w:val="16"/>
          <w:szCs w:val="16"/>
        </w:rPr>
        <w:softHyphen/>
        <w:t>ские требования к экспериментальному пла</w:t>
      </w:r>
      <w:r w:rsidRPr="00DB5D0D">
        <w:rPr>
          <w:rFonts w:ascii="Times New Roman" w:hAnsi="Times New Roman"/>
          <w:color w:val="0070C0"/>
          <w:sz w:val="16"/>
          <w:szCs w:val="16"/>
        </w:rPr>
        <w:softHyphen/>
        <w:t>неру с раздвижным крылом «СРК» инженера</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Бакшаева, полностью подобному разрабаты</w:t>
      </w:r>
      <w:r w:rsidRPr="00DB5D0D">
        <w:rPr>
          <w:rFonts w:ascii="Times New Roman" w:hAnsi="Times New Roman"/>
          <w:color w:val="0070C0"/>
          <w:sz w:val="16"/>
          <w:szCs w:val="16"/>
        </w:rPr>
        <w:softHyphen/>
        <w:t>ваемому истребителю. 25 марта 1940 года</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(по инициативе А.С. Яковлева, кстати), вышел</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приказ № 21 11-го ГУ НКАП. Директору заво</w:t>
      </w:r>
      <w:r w:rsidRPr="00DB5D0D">
        <w:rPr>
          <w:rFonts w:ascii="Times New Roman" w:hAnsi="Times New Roman"/>
          <w:color w:val="0070C0"/>
          <w:sz w:val="16"/>
          <w:szCs w:val="16"/>
        </w:rPr>
        <w:softHyphen/>
        <w:t>да № 47 Скарандаеву было предписано соз</w:t>
      </w:r>
      <w:r w:rsidRPr="00DB5D0D">
        <w:rPr>
          <w:rFonts w:ascii="Times New Roman" w:hAnsi="Times New Roman"/>
          <w:color w:val="0070C0"/>
          <w:sz w:val="16"/>
          <w:szCs w:val="16"/>
        </w:rPr>
        <w:softHyphen/>
        <w:t>дать все необходимые условия конструктору</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Бакшаеву для форсирования работ по окон</w:t>
      </w:r>
      <w:r w:rsidRPr="00DB5D0D">
        <w:rPr>
          <w:rFonts w:ascii="Times New Roman" w:hAnsi="Times New Roman"/>
          <w:color w:val="0070C0"/>
          <w:sz w:val="16"/>
          <w:szCs w:val="16"/>
        </w:rPr>
        <w:softHyphen/>
        <w:t>чанию планера СРК к 1 мая 1940 и представ</w:t>
      </w:r>
      <w:r w:rsidRPr="00DB5D0D">
        <w:rPr>
          <w:rFonts w:ascii="Times New Roman" w:hAnsi="Times New Roman"/>
          <w:color w:val="0070C0"/>
          <w:sz w:val="16"/>
          <w:szCs w:val="16"/>
        </w:rPr>
        <w:softHyphen/>
        <w:t>лению его в ЦАГИ для исследований не позд</w:t>
      </w:r>
      <w:r w:rsidRPr="00DB5D0D">
        <w:rPr>
          <w:rFonts w:ascii="Times New Roman" w:hAnsi="Times New Roman"/>
          <w:color w:val="0070C0"/>
          <w:sz w:val="16"/>
          <w:szCs w:val="16"/>
        </w:rPr>
        <w:softHyphen/>
        <w:t>нее 10 мая 1940. Начальнику ЦАГИ Шульжен-</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ко следовало произвести полное исследова</w:t>
      </w:r>
      <w:r w:rsidRPr="00DB5D0D">
        <w:rPr>
          <w:rFonts w:ascii="Times New Roman" w:hAnsi="Times New Roman"/>
          <w:color w:val="0070C0"/>
          <w:sz w:val="16"/>
          <w:szCs w:val="16"/>
        </w:rPr>
        <w:softHyphen/>
        <w:t>ние планера с раздвижным крылом и соста</w:t>
      </w:r>
      <w:r w:rsidRPr="00DB5D0D">
        <w:rPr>
          <w:rFonts w:ascii="Times New Roman" w:hAnsi="Times New Roman"/>
          <w:color w:val="0070C0"/>
          <w:sz w:val="16"/>
          <w:szCs w:val="16"/>
        </w:rPr>
        <w:softHyphen/>
        <w:t>вить отчет с заключением к 5 июля 1940.</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Вероятно, во время поездки в Москву Бакша-</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ев получил какие-то сведения по результатам</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продувок, иначе в записке не появился бы</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следующий абзац:</w:t>
      </w:r>
      <w:r w:rsidRPr="00DB5D0D">
        <w:rPr>
          <w:rStyle w:val="SegoeUI75pt"/>
          <w:rFonts w:ascii="Times New Roman" w:hAnsi="Times New Roman" w:cs="Times New Roman"/>
          <w:color w:val="0070C0"/>
          <w:sz w:val="16"/>
          <w:szCs w:val="16"/>
        </w:rPr>
        <w:t xml:space="preserve"> «Тематика ОКБ должна</w:t>
      </w:r>
      <w:r w:rsidRPr="00DB5D0D">
        <w:rPr>
          <w:rStyle w:val="SegoeUI75pt"/>
          <w:rFonts w:ascii="Times New Roman" w:hAnsi="Times New Roman" w:cs="Times New Roman"/>
          <w:color w:val="0070C0"/>
          <w:sz w:val="16"/>
          <w:szCs w:val="16"/>
          <w:lang w:val="ru"/>
        </w:rPr>
        <w:t xml:space="preserve"> </w:t>
      </w:r>
      <w:r w:rsidRPr="00DB5D0D">
        <w:rPr>
          <w:rStyle w:val="SegoeUI75pt"/>
          <w:rFonts w:ascii="Times New Roman" w:hAnsi="Times New Roman" w:cs="Times New Roman"/>
          <w:color w:val="0070C0"/>
          <w:sz w:val="16"/>
          <w:szCs w:val="16"/>
        </w:rPr>
        <w:t>отражать нужды советской авиации сего</w:t>
      </w:r>
      <w:r w:rsidRPr="00DB5D0D">
        <w:rPr>
          <w:rStyle w:val="SegoeUI75pt"/>
          <w:rFonts w:ascii="Times New Roman" w:hAnsi="Times New Roman" w:cs="Times New Roman"/>
          <w:color w:val="0070C0"/>
          <w:sz w:val="16"/>
          <w:szCs w:val="16"/>
        </w:rPr>
        <w:softHyphen/>
        <w:t>дняшнего дня. (Экспериментальные работы</w:t>
      </w:r>
      <w:r w:rsidRPr="00DB5D0D">
        <w:rPr>
          <w:rStyle w:val="SegoeUI75pt"/>
          <w:rFonts w:ascii="Times New Roman" w:hAnsi="Times New Roman" w:cs="Times New Roman"/>
          <w:color w:val="0070C0"/>
          <w:sz w:val="16"/>
          <w:szCs w:val="16"/>
          <w:lang w:val="ru"/>
        </w:rPr>
        <w:t xml:space="preserve"> </w:t>
      </w:r>
      <w:r w:rsidRPr="00DB5D0D">
        <w:rPr>
          <w:rStyle w:val="SegoeUI75pt"/>
          <w:rFonts w:ascii="Times New Roman" w:hAnsi="Times New Roman" w:cs="Times New Roman"/>
          <w:color w:val="0070C0"/>
          <w:sz w:val="16"/>
          <w:szCs w:val="16"/>
        </w:rPr>
        <w:t>по самолету с раздвижным крылом целесооб</w:t>
      </w:r>
      <w:r w:rsidRPr="00DB5D0D">
        <w:rPr>
          <w:rStyle w:val="SegoeUI75pt"/>
          <w:rFonts w:ascii="Times New Roman" w:hAnsi="Times New Roman" w:cs="Times New Roman"/>
          <w:color w:val="0070C0"/>
          <w:sz w:val="16"/>
          <w:szCs w:val="16"/>
        </w:rPr>
        <w:softHyphen/>
        <w:t>разно отложить). До сего времени завод №</w:t>
      </w:r>
      <w:r w:rsidRPr="00DB5D0D">
        <w:rPr>
          <w:rStyle w:val="SegoeUI75pt"/>
          <w:rFonts w:ascii="Times New Roman" w:hAnsi="Times New Roman" w:cs="Times New Roman"/>
          <w:color w:val="0070C0"/>
          <w:sz w:val="16"/>
          <w:szCs w:val="16"/>
          <w:lang w:val="ru"/>
        </w:rPr>
        <w:t xml:space="preserve"> </w:t>
      </w:r>
      <w:r w:rsidRPr="00DB5D0D">
        <w:rPr>
          <w:rStyle w:val="420"/>
          <w:rFonts w:ascii="Times New Roman" w:hAnsi="Times New Roman" w:cs="Times New Roman"/>
          <w:color w:val="0070C0"/>
          <w:sz w:val="16"/>
          <w:szCs w:val="16"/>
          <w:lang w:val="ru-RU"/>
        </w:rPr>
        <w:t>47 строил тренировочные самолеты. В дан</w:t>
      </w:r>
      <w:r w:rsidRPr="00DB5D0D">
        <w:rPr>
          <w:rStyle w:val="420"/>
          <w:rFonts w:ascii="Times New Roman" w:hAnsi="Times New Roman" w:cs="Times New Roman"/>
          <w:color w:val="0070C0"/>
          <w:sz w:val="16"/>
          <w:szCs w:val="16"/>
          <w:lang w:val="ru-RU"/>
        </w:rPr>
        <w:softHyphen/>
        <w:t>ный момент осваивается в серии учебно-</w:t>
      </w:r>
      <w:r w:rsidRPr="00DB5D0D">
        <w:rPr>
          <w:rFonts w:ascii="Times New Roman" w:hAnsi="Times New Roman"/>
          <w:color w:val="0070C0"/>
          <w:sz w:val="16"/>
          <w:szCs w:val="16"/>
          <w:lang w:val="ru"/>
        </w:rPr>
        <w:t xml:space="preserve"> </w:t>
      </w:r>
      <w:r w:rsidRPr="00DB5D0D">
        <w:rPr>
          <w:rStyle w:val="420"/>
          <w:rFonts w:ascii="Times New Roman" w:hAnsi="Times New Roman" w:cs="Times New Roman"/>
          <w:color w:val="0070C0"/>
          <w:sz w:val="16"/>
          <w:szCs w:val="16"/>
          <w:lang w:val="ru-RU"/>
        </w:rPr>
        <w:t>тренировочный самолет УТ-3 для подготов</w:t>
      </w:r>
      <w:r w:rsidRPr="00DB5D0D">
        <w:rPr>
          <w:rStyle w:val="420"/>
          <w:rFonts w:ascii="Times New Roman" w:hAnsi="Times New Roman" w:cs="Times New Roman"/>
          <w:color w:val="0070C0"/>
          <w:sz w:val="16"/>
          <w:szCs w:val="16"/>
          <w:lang w:val="ru-RU"/>
        </w:rPr>
        <w:softHyphen/>
        <w:t>ки пилотов на двухмоторные боевые самоле</w:t>
      </w:r>
      <w:r w:rsidRPr="00DB5D0D">
        <w:rPr>
          <w:rStyle w:val="420"/>
          <w:rFonts w:ascii="Times New Roman" w:hAnsi="Times New Roman" w:cs="Times New Roman"/>
          <w:color w:val="0070C0"/>
          <w:sz w:val="16"/>
          <w:szCs w:val="16"/>
          <w:lang w:val="ru-RU"/>
        </w:rPr>
        <w:softHyphen/>
        <w:t>ты. Задача весьма актуальная и к решению</w:t>
      </w:r>
      <w:r w:rsidRPr="00DB5D0D">
        <w:rPr>
          <w:rFonts w:ascii="Times New Roman" w:hAnsi="Times New Roman"/>
          <w:color w:val="0070C0"/>
          <w:sz w:val="16"/>
          <w:szCs w:val="16"/>
          <w:lang w:val="ru"/>
        </w:rPr>
        <w:t xml:space="preserve"> </w:t>
      </w:r>
      <w:r w:rsidRPr="00DB5D0D">
        <w:rPr>
          <w:rStyle w:val="420"/>
          <w:rFonts w:ascii="Times New Roman" w:hAnsi="Times New Roman" w:cs="Times New Roman"/>
          <w:color w:val="0070C0"/>
          <w:sz w:val="16"/>
          <w:szCs w:val="16"/>
          <w:lang w:val="ru-RU"/>
        </w:rPr>
        <w:t>ее мы фактически только что приступаем»</w:t>
      </w:r>
      <w:r w:rsidRPr="00DB5D0D">
        <w:rPr>
          <w:rStyle w:val="42Tahoma65pt"/>
          <w:rFonts w:ascii="Times New Roman" w:hAnsi="Times New Roman" w:cs="Times New Roman"/>
          <w:color w:val="0070C0"/>
          <w:sz w:val="16"/>
          <w:szCs w:val="16"/>
        </w:rPr>
        <w:t>.</w:t>
      </w:r>
    </w:p>
    <w:p w14:paraId="18316B86" w14:textId="77777777" w:rsidR="002B13D2" w:rsidRPr="00DB5D0D" w:rsidRDefault="002B13D2" w:rsidP="00DB5D0D">
      <w:pPr>
        <w:shd w:val="clear" w:color="auto" w:fill="FFFFFF"/>
        <w:spacing w:after="0" w:line="240" w:lineRule="auto"/>
        <w:jc w:val="both"/>
        <w:rPr>
          <w:rFonts w:ascii="Times New Roman" w:hAnsi="Times New Roman"/>
          <w:color w:val="0070C0"/>
          <w:sz w:val="16"/>
          <w:szCs w:val="16"/>
        </w:rPr>
      </w:pPr>
      <w:r w:rsidRPr="00DB5D0D">
        <w:rPr>
          <w:rStyle w:val="42Tahoma65pt"/>
          <w:rFonts w:ascii="Times New Roman" w:hAnsi="Times New Roman" w:cs="Times New Roman"/>
          <w:color w:val="0070C0"/>
          <w:sz w:val="16"/>
          <w:szCs w:val="16"/>
        </w:rPr>
        <w:t>Попробовав таким образом обратить</w:t>
      </w:r>
      <w:r w:rsidRPr="00DB5D0D">
        <w:rPr>
          <w:rStyle w:val="42Tahoma65pt"/>
          <w:rFonts w:ascii="Times New Roman" w:hAnsi="Times New Roman" w:cs="Times New Roman"/>
          <w:color w:val="0070C0"/>
          <w:sz w:val="16"/>
          <w:szCs w:val="16"/>
          <w:lang w:val="ru"/>
        </w:rPr>
        <w:t xml:space="preserve"> </w:t>
      </w:r>
      <w:r w:rsidRPr="00DB5D0D">
        <w:rPr>
          <w:rStyle w:val="42Tahoma65pt"/>
          <w:rFonts w:ascii="Times New Roman" w:hAnsi="Times New Roman" w:cs="Times New Roman"/>
          <w:color w:val="0070C0"/>
          <w:sz w:val="16"/>
          <w:szCs w:val="16"/>
        </w:rPr>
        <w:t>неудачу с СРК в свою пользу, Григорий Ива</w:t>
      </w:r>
      <w:r w:rsidRPr="00DB5D0D">
        <w:rPr>
          <w:rStyle w:val="42Tahoma65pt"/>
          <w:rFonts w:ascii="Times New Roman" w:hAnsi="Times New Roman" w:cs="Times New Roman"/>
          <w:color w:val="0070C0"/>
          <w:sz w:val="16"/>
          <w:szCs w:val="16"/>
        </w:rPr>
        <w:softHyphen/>
        <w:t>нович далее писал:</w:t>
      </w:r>
      <w:r w:rsidRPr="00DB5D0D">
        <w:rPr>
          <w:rFonts w:ascii="Times New Roman" w:hAnsi="Times New Roman"/>
          <w:color w:val="0070C0"/>
          <w:sz w:val="16"/>
          <w:szCs w:val="16"/>
        </w:rPr>
        <w:t xml:space="preserve"> «Завод № 47 единствен</w:t>
      </w:r>
      <w:r w:rsidRPr="00DB5D0D">
        <w:rPr>
          <w:rFonts w:ascii="Times New Roman" w:hAnsi="Times New Roman"/>
          <w:color w:val="0070C0"/>
          <w:sz w:val="16"/>
          <w:szCs w:val="16"/>
        </w:rPr>
        <w:softHyphen/>
        <w:t>ный в данное время завод в Союзе, который</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занимается строительством таких самоле</w:t>
      </w:r>
      <w:r w:rsidRPr="00DB5D0D">
        <w:rPr>
          <w:rFonts w:ascii="Times New Roman" w:hAnsi="Times New Roman"/>
          <w:color w:val="0070C0"/>
          <w:sz w:val="16"/>
          <w:szCs w:val="16"/>
        </w:rPr>
        <w:softHyphen/>
        <w:t>тов, но, к сожалению, внедряемый в серию</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самолет УТ-3 поставленных перед ним задач</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не решает».</w:t>
      </w:r>
      <w:r w:rsidRPr="00DB5D0D">
        <w:rPr>
          <w:rStyle w:val="42Tahoma65pt"/>
          <w:rFonts w:ascii="Times New Roman" w:hAnsi="Times New Roman" w:cs="Times New Roman"/>
          <w:color w:val="0070C0"/>
          <w:sz w:val="16"/>
          <w:szCs w:val="16"/>
        </w:rPr>
        <w:t xml:space="preserve"> Перечислив недостатки из отче</w:t>
      </w:r>
      <w:r w:rsidRPr="00DB5D0D">
        <w:rPr>
          <w:rStyle w:val="42Tahoma65pt"/>
          <w:rFonts w:ascii="Times New Roman" w:hAnsi="Times New Roman" w:cs="Times New Roman"/>
          <w:color w:val="0070C0"/>
          <w:sz w:val="16"/>
          <w:szCs w:val="16"/>
        </w:rPr>
        <w:softHyphen/>
        <w:t>та по госиспытаниям машины 301101, он про</w:t>
      </w:r>
      <w:r w:rsidRPr="00DB5D0D">
        <w:rPr>
          <w:rStyle w:val="42Tahoma65pt"/>
          <w:rFonts w:ascii="Times New Roman" w:hAnsi="Times New Roman" w:cs="Times New Roman"/>
          <w:color w:val="0070C0"/>
          <w:sz w:val="16"/>
          <w:szCs w:val="16"/>
        </w:rPr>
        <w:softHyphen/>
        <w:t>должал:</w:t>
      </w:r>
      <w:r w:rsidRPr="00DB5D0D">
        <w:rPr>
          <w:rFonts w:ascii="Times New Roman" w:hAnsi="Times New Roman"/>
          <w:color w:val="0070C0"/>
          <w:sz w:val="16"/>
          <w:szCs w:val="16"/>
        </w:rPr>
        <w:t xml:space="preserve"> «Кроме того, несмотря на то, что</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УТ-3 осваивается в серии на 3-м заводе, стои</w:t>
      </w:r>
      <w:r w:rsidRPr="00DB5D0D">
        <w:rPr>
          <w:rFonts w:ascii="Times New Roman" w:hAnsi="Times New Roman"/>
          <w:color w:val="0070C0"/>
          <w:sz w:val="16"/>
          <w:szCs w:val="16"/>
        </w:rPr>
        <w:softHyphen/>
        <w:t>мость серийного самолета определяется в</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550 тыс. (без моторов и вооружения), что в</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2-3 раза превышает стоимость боевого</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самолета. Считаю постройку УТ-3 в серии</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нецелесообразной, так как без коренных кон</w:t>
      </w:r>
      <w:r w:rsidRPr="00DB5D0D">
        <w:rPr>
          <w:rFonts w:ascii="Times New Roman" w:hAnsi="Times New Roman"/>
          <w:color w:val="0070C0"/>
          <w:sz w:val="16"/>
          <w:szCs w:val="16"/>
        </w:rPr>
        <w:softHyphen/>
        <w:t>структорских переделок она не будет удов</w:t>
      </w:r>
      <w:r w:rsidRPr="00DB5D0D">
        <w:rPr>
          <w:rFonts w:ascii="Times New Roman" w:hAnsi="Times New Roman"/>
          <w:color w:val="0070C0"/>
          <w:sz w:val="16"/>
          <w:szCs w:val="16"/>
        </w:rPr>
        <w:softHyphen/>
        <w:t>летворять основным требованиям. Довод</w:t>
      </w:r>
      <w:r w:rsidRPr="00DB5D0D">
        <w:rPr>
          <w:rFonts w:ascii="Times New Roman" w:hAnsi="Times New Roman"/>
          <w:color w:val="0070C0"/>
          <w:sz w:val="16"/>
          <w:szCs w:val="16"/>
        </w:rPr>
        <w:softHyphen/>
        <w:t>ки, которыми сейчас занят завод, это пал</w:t>
      </w:r>
      <w:r w:rsidRPr="00DB5D0D">
        <w:rPr>
          <w:rFonts w:ascii="Times New Roman" w:hAnsi="Times New Roman"/>
          <w:color w:val="0070C0"/>
          <w:sz w:val="16"/>
          <w:szCs w:val="16"/>
        </w:rPr>
        <w:softHyphen/>
        <w:t>лиатив, так как основные ошибки самолета</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это конструктивные, а не производствен</w:t>
      </w:r>
      <w:r w:rsidRPr="00DB5D0D">
        <w:rPr>
          <w:rFonts w:ascii="Times New Roman" w:hAnsi="Times New Roman"/>
          <w:color w:val="0070C0"/>
          <w:sz w:val="16"/>
          <w:szCs w:val="16"/>
        </w:rPr>
        <w:softHyphen/>
        <w:t>ные. До сего времени на самолет УТ-3 на</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заводе № 81 и № 301 затрачено без всякого</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эффекта порядка 15-20 миллионов рублей.</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По заводу № 47 затраты по УТ-3 выразятся в</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1940 году около 12-15 млн. рублей. Считаю</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дальнейшие затраты государственных</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средств на машину, которая не удовлетво</w:t>
      </w:r>
      <w:r w:rsidRPr="00DB5D0D">
        <w:rPr>
          <w:rFonts w:ascii="Times New Roman" w:hAnsi="Times New Roman"/>
          <w:color w:val="0070C0"/>
          <w:sz w:val="16"/>
          <w:szCs w:val="16"/>
        </w:rPr>
        <w:softHyphen/>
        <w:t>ряет основным требованиям, не допусти</w:t>
      </w:r>
      <w:r w:rsidRPr="00DB5D0D">
        <w:rPr>
          <w:rFonts w:ascii="Times New Roman" w:hAnsi="Times New Roman"/>
          <w:color w:val="0070C0"/>
          <w:sz w:val="16"/>
          <w:szCs w:val="16"/>
        </w:rPr>
        <w:softHyphen/>
        <w:t>мым».</w:t>
      </w:r>
    </w:p>
    <w:p w14:paraId="3AF6AEB9" w14:textId="77777777" w:rsidR="002B13D2" w:rsidRPr="00DB5D0D" w:rsidRDefault="002B13D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Странно, что Бакшаев не привел в пример</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серийный У-2, отпускная цена которого</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составляла 24000 рублей. Действительно,</w:t>
      </w:r>
      <w:r w:rsidRPr="00DB5D0D">
        <w:rPr>
          <w:rStyle w:val="72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скажем, И-16 в 1940 году стоил около 180 000</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рублей, но вот цена ББ-1М-88 П.О. Сухого на</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135-м заводе была 430 000 рублей, на 31-м -</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485 000 рублей, а завод № 207 продавал их по</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700 000. Миллионными суммами общих рас</w:t>
      </w:r>
      <w:r w:rsidRPr="00DB5D0D">
        <w:rPr>
          <w:rFonts w:ascii="Times New Roman" w:hAnsi="Times New Roman"/>
          <w:color w:val="0070C0"/>
          <w:sz w:val="16"/>
          <w:szCs w:val="16"/>
        </w:rPr>
        <w:softHyphen/>
        <w:t>ходов Григорий Иванович мог напугать толь</w:t>
      </w:r>
      <w:r w:rsidRPr="00DB5D0D">
        <w:rPr>
          <w:rFonts w:ascii="Times New Roman" w:hAnsi="Times New Roman"/>
          <w:color w:val="0070C0"/>
          <w:sz w:val="16"/>
          <w:szCs w:val="16"/>
        </w:rPr>
        <w:softHyphen/>
        <w:t>ко людей далеких от авиационного про</w:t>
      </w:r>
      <w:r w:rsidRPr="00DB5D0D">
        <w:rPr>
          <w:rFonts w:ascii="Times New Roman" w:hAnsi="Times New Roman"/>
          <w:color w:val="0070C0"/>
          <w:sz w:val="16"/>
          <w:szCs w:val="16"/>
        </w:rPr>
        <w:softHyphen/>
        <w:t>изводства. Для завода № 47, перемножив</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число запланированных к выпуску машин на</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их стоимость, получаем сумму достаточно</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близкую к названной Бакшаевым. То есть это</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нормальная цена вопроса. Похоже, он тут в</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открытую дверь ломился, ну или пытался</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напустить тумана в вопросе фатальных кон</w:t>
      </w:r>
      <w:r w:rsidRPr="00DB5D0D">
        <w:rPr>
          <w:rFonts w:ascii="Times New Roman" w:hAnsi="Times New Roman"/>
          <w:color w:val="0070C0"/>
          <w:sz w:val="16"/>
          <w:szCs w:val="16"/>
        </w:rPr>
        <w:softHyphen/>
        <w:t>структивных ошибок завода № 115. Те же</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результаты испытаний Я-19 заставляют в них</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усомниться, тем более, что на заводе № 47</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внедряли уже не совсем тот самолет, который</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проходил государственные испытания.</w:t>
      </w:r>
    </w:p>
    <w:p w14:paraId="2499CE25" w14:textId="77777777" w:rsidR="002B13D2" w:rsidRPr="00DB5D0D" w:rsidRDefault="002B13D2" w:rsidP="00DB5D0D">
      <w:pPr>
        <w:spacing w:after="0" w:line="240" w:lineRule="auto"/>
        <w:jc w:val="both"/>
        <w:rPr>
          <w:rFonts w:ascii="Times New Roman" w:hAnsi="Times New Roman"/>
          <w:color w:val="0070C0"/>
          <w:sz w:val="16"/>
          <w:szCs w:val="16"/>
        </w:rPr>
      </w:pPr>
      <w:r w:rsidRPr="00DB5D0D">
        <w:rPr>
          <w:rStyle w:val="42Tahoma65pt"/>
          <w:rFonts w:ascii="Times New Roman" w:hAnsi="Times New Roman" w:cs="Times New Roman"/>
          <w:color w:val="0070C0"/>
          <w:sz w:val="16"/>
          <w:szCs w:val="16"/>
        </w:rPr>
        <w:t>Далее Григорий Иванович в своей запис</w:t>
      </w:r>
      <w:r w:rsidRPr="00DB5D0D">
        <w:rPr>
          <w:rStyle w:val="42Tahoma65pt"/>
          <w:rFonts w:ascii="Times New Roman" w:hAnsi="Times New Roman" w:cs="Times New Roman"/>
          <w:color w:val="0070C0"/>
          <w:sz w:val="16"/>
          <w:szCs w:val="16"/>
        </w:rPr>
        <w:softHyphen/>
        <w:t>ке перешел к главному:</w:t>
      </w:r>
      <w:r w:rsidRPr="00DB5D0D">
        <w:rPr>
          <w:rFonts w:ascii="Times New Roman" w:hAnsi="Times New Roman"/>
          <w:color w:val="0070C0"/>
          <w:sz w:val="16"/>
          <w:szCs w:val="16"/>
        </w:rPr>
        <w:t xml:space="preserve"> «Создание трениро</w:t>
      </w:r>
      <w:r w:rsidRPr="00DB5D0D">
        <w:rPr>
          <w:rFonts w:ascii="Times New Roman" w:hAnsi="Times New Roman"/>
          <w:color w:val="0070C0"/>
          <w:sz w:val="16"/>
          <w:szCs w:val="16"/>
        </w:rPr>
        <w:softHyphen/>
        <w:t>вочного самолета, удовлетворяющего всем</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требованиям подготовки пилотов на двух</w:t>
      </w:r>
      <w:r w:rsidRPr="00DB5D0D">
        <w:rPr>
          <w:rFonts w:ascii="Times New Roman" w:hAnsi="Times New Roman"/>
          <w:color w:val="0070C0"/>
          <w:sz w:val="16"/>
          <w:szCs w:val="16"/>
        </w:rPr>
        <w:softHyphen/>
        <w:t>моторные самолеты, является актуальной</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задачей. Поэтому опытное конструктор</w:t>
      </w:r>
      <w:r w:rsidRPr="00DB5D0D">
        <w:rPr>
          <w:rFonts w:ascii="Times New Roman" w:hAnsi="Times New Roman"/>
          <w:color w:val="0070C0"/>
          <w:sz w:val="16"/>
          <w:szCs w:val="16"/>
        </w:rPr>
        <w:softHyphen/>
        <w:t>ское бюро завода № 47 разработало эскиз</w:t>
      </w:r>
      <w:r w:rsidRPr="00DB5D0D">
        <w:rPr>
          <w:rFonts w:ascii="Times New Roman" w:hAnsi="Times New Roman"/>
          <w:color w:val="0070C0"/>
          <w:sz w:val="16"/>
          <w:szCs w:val="16"/>
        </w:rPr>
        <w:softHyphen/>
        <w:t>ный проект учебно-тренировочного пики</w:t>
      </w:r>
      <w:r w:rsidRPr="00DB5D0D">
        <w:rPr>
          <w:rFonts w:ascii="Times New Roman" w:hAnsi="Times New Roman"/>
          <w:color w:val="0070C0"/>
          <w:sz w:val="16"/>
          <w:szCs w:val="16"/>
        </w:rPr>
        <w:softHyphen/>
        <w:t>рующего бомбардировщика (УПБ). Требова</w:t>
      </w:r>
      <w:r w:rsidRPr="00DB5D0D">
        <w:rPr>
          <w:rFonts w:ascii="Times New Roman" w:hAnsi="Times New Roman"/>
          <w:color w:val="0070C0"/>
          <w:sz w:val="16"/>
          <w:szCs w:val="16"/>
        </w:rPr>
        <w:softHyphen/>
        <w:t>ние обучать пилотов бомбометанию с пики</w:t>
      </w:r>
      <w:r w:rsidRPr="00DB5D0D">
        <w:rPr>
          <w:rFonts w:ascii="Times New Roman" w:hAnsi="Times New Roman"/>
          <w:color w:val="0070C0"/>
          <w:sz w:val="16"/>
          <w:szCs w:val="16"/>
        </w:rPr>
        <w:softHyphen/>
        <w:t>рования настолько очевидно, что только из-</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за него целесообразно ставить вопрос о</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заменеУТ-3».</w:t>
      </w:r>
      <w:r w:rsidRPr="00DB5D0D">
        <w:rPr>
          <w:rStyle w:val="42Tahoma65pt"/>
          <w:rFonts w:ascii="Times New Roman" w:hAnsi="Times New Roman" w:cs="Times New Roman"/>
          <w:color w:val="0070C0"/>
          <w:sz w:val="16"/>
          <w:szCs w:val="16"/>
        </w:rPr>
        <w:t xml:space="preserve"> Хорошо вроде бы написано, но</w:t>
      </w:r>
      <w:r w:rsidRPr="00DB5D0D">
        <w:rPr>
          <w:rStyle w:val="42Tahoma65pt"/>
          <w:rFonts w:ascii="Times New Roman" w:hAnsi="Times New Roman" w:cs="Times New Roman"/>
          <w:color w:val="0070C0"/>
          <w:sz w:val="16"/>
          <w:szCs w:val="16"/>
          <w:lang w:val="ru"/>
        </w:rPr>
        <w:t xml:space="preserve"> </w:t>
      </w:r>
      <w:r w:rsidRPr="00DB5D0D">
        <w:rPr>
          <w:rStyle w:val="42Tahoma65pt"/>
          <w:rFonts w:ascii="Times New Roman" w:hAnsi="Times New Roman" w:cs="Times New Roman"/>
          <w:color w:val="0070C0"/>
          <w:sz w:val="16"/>
          <w:szCs w:val="16"/>
        </w:rPr>
        <w:t>в выводах к заключению по эскизному про</w:t>
      </w:r>
      <w:r w:rsidRPr="00DB5D0D">
        <w:rPr>
          <w:rStyle w:val="42Tahoma65pt"/>
          <w:rFonts w:ascii="Times New Roman" w:hAnsi="Times New Roman" w:cs="Times New Roman"/>
          <w:color w:val="0070C0"/>
          <w:sz w:val="16"/>
          <w:szCs w:val="16"/>
        </w:rPr>
        <w:softHyphen/>
        <w:t>екту УПБ военные впоследствии написали,</w:t>
      </w:r>
      <w:r w:rsidRPr="00DB5D0D">
        <w:rPr>
          <w:rStyle w:val="42Tahoma65pt"/>
          <w:rFonts w:ascii="Times New Roman" w:hAnsi="Times New Roman" w:cs="Times New Roman"/>
          <w:color w:val="0070C0"/>
          <w:sz w:val="16"/>
          <w:szCs w:val="16"/>
          <w:lang w:val="ru"/>
        </w:rPr>
        <w:t xml:space="preserve"> </w:t>
      </w:r>
      <w:r w:rsidRPr="00DB5D0D">
        <w:rPr>
          <w:rStyle w:val="42Tahoma65pt"/>
          <w:rFonts w:ascii="Times New Roman" w:hAnsi="Times New Roman" w:cs="Times New Roman"/>
          <w:color w:val="0070C0"/>
          <w:sz w:val="16"/>
          <w:szCs w:val="16"/>
        </w:rPr>
        <w:t>что слабо проработана именно спецчасть -</w:t>
      </w:r>
      <w:r w:rsidRPr="00DB5D0D">
        <w:rPr>
          <w:rStyle w:val="42Tahoma65pt"/>
          <w:rFonts w:ascii="Times New Roman" w:hAnsi="Times New Roman" w:cs="Times New Roman"/>
          <w:color w:val="0070C0"/>
          <w:sz w:val="16"/>
          <w:szCs w:val="16"/>
          <w:lang w:val="ru"/>
        </w:rPr>
        <w:t xml:space="preserve"> </w:t>
      </w:r>
      <w:r w:rsidRPr="00DB5D0D">
        <w:rPr>
          <w:rStyle w:val="42Tahoma65pt"/>
          <w:rFonts w:ascii="Times New Roman" w:hAnsi="Times New Roman" w:cs="Times New Roman"/>
          <w:color w:val="0070C0"/>
          <w:sz w:val="16"/>
          <w:szCs w:val="16"/>
        </w:rPr>
        <w:t>бомбометание с пикирования, не указаны ни</w:t>
      </w:r>
      <w:r w:rsidRPr="00DB5D0D">
        <w:rPr>
          <w:rStyle w:val="42Tahoma65pt"/>
          <w:rFonts w:ascii="Times New Roman" w:hAnsi="Times New Roman" w:cs="Times New Roman"/>
          <w:color w:val="0070C0"/>
          <w:sz w:val="16"/>
          <w:szCs w:val="16"/>
          <w:lang w:val="ru"/>
        </w:rPr>
        <w:t xml:space="preserve"> </w:t>
      </w:r>
      <w:r w:rsidRPr="00DB5D0D">
        <w:rPr>
          <w:rStyle w:val="42Tahoma65pt"/>
          <w:rFonts w:ascii="Times New Roman" w:hAnsi="Times New Roman" w:cs="Times New Roman"/>
          <w:color w:val="0070C0"/>
          <w:sz w:val="16"/>
          <w:szCs w:val="16"/>
        </w:rPr>
        <w:t>калибр бомб, ни схема бомбометания, ни обо</w:t>
      </w:r>
      <w:r w:rsidRPr="00DB5D0D">
        <w:rPr>
          <w:rStyle w:val="42Tahoma65pt"/>
          <w:rFonts w:ascii="Times New Roman" w:hAnsi="Times New Roman" w:cs="Times New Roman"/>
          <w:color w:val="0070C0"/>
          <w:sz w:val="16"/>
          <w:szCs w:val="16"/>
        </w:rPr>
        <w:softHyphen/>
        <w:t>рудование. Затем Бакшаев, что называется,</w:t>
      </w:r>
      <w:r w:rsidRPr="00DB5D0D">
        <w:rPr>
          <w:rStyle w:val="42Tahoma65pt"/>
          <w:rFonts w:ascii="Times New Roman" w:hAnsi="Times New Roman" w:cs="Times New Roman"/>
          <w:color w:val="0070C0"/>
          <w:sz w:val="16"/>
          <w:szCs w:val="16"/>
          <w:lang w:val="ru"/>
        </w:rPr>
        <w:t xml:space="preserve"> </w:t>
      </w:r>
      <w:r w:rsidRPr="00DB5D0D">
        <w:rPr>
          <w:rStyle w:val="42Tahoma65pt"/>
          <w:rFonts w:ascii="Times New Roman" w:hAnsi="Times New Roman" w:cs="Times New Roman"/>
          <w:color w:val="0070C0"/>
          <w:sz w:val="16"/>
          <w:szCs w:val="16"/>
        </w:rPr>
        <w:t>«слил» содержание своих переговоров в</w:t>
      </w:r>
      <w:r w:rsidRPr="00DB5D0D">
        <w:rPr>
          <w:rStyle w:val="42Tahoma65pt"/>
          <w:rFonts w:ascii="Times New Roman" w:hAnsi="Times New Roman" w:cs="Times New Roman"/>
          <w:color w:val="0070C0"/>
          <w:sz w:val="16"/>
          <w:szCs w:val="16"/>
          <w:lang w:val="ru"/>
        </w:rPr>
        <w:t xml:space="preserve"> </w:t>
      </w:r>
      <w:r w:rsidRPr="00DB5D0D">
        <w:rPr>
          <w:rStyle w:val="42Tahoma65pt"/>
          <w:rFonts w:ascii="Times New Roman" w:hAnsi="Times New Roman" w:cs="Times New Roman"/>
          <w:color w:val="0070C0"/>
          <w:sz w:val="16"/>
          <w:szCs w:val="16"/>
        </w:rPr>
        <w:t>НИИ ВВС. В его докладной записке было ска</w:t>
      </w:r>
      <w:r w:rsidRPr="00DB5D0D">
        <w:rPr>
          <w:rStyle w:val="42Tahoma65pt"/>
          <w:rFonts w:ascii="Times New Roman" w:hAnsi="Times New Roman" w:cs="Times New Roman"/>
          <w:color w:val="0070C0"/>
          <w:sz w:val="16"/>
          <w:szCs w:val="16"/>
        </w:rPr>
        <w:softHyphen/>
        <w:t>зано:</w:t>
      </w:r>
      <w:r w:rsidRPr="00DB5D0D">
        <w:rPr>
          <w:rFonts w:ascii="Times New Roman" w:hAnsi="Times New Roman"/>
          <w:color w:val="0070C0"/>
          <w:sz w:val="16"/>
          <w:szCs w:val="16"/>
        </w:rPr>
        <w:t xml:space="preserve"> «Проект рассматривался в НИИ ВВС.</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Окончательного заключения еще не получе</w:t>
      </w:r>
      <w:r w:rsidRPr="00DB5D0D">
        <w:rPr>
          <w:rFonts w:ascii="Times New Roman" w:hAnsi="Times New Roman"/>
          <w:color w:val="0070C0"/>
          <w:sz w:val="16"/>
          <w:szCs w:val="16"/>
        </w:rPr>
        <w:softHyphen/>
        <w:t>но, но мне официально заявлено следующее:</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«Самолет УПБ (конструкции инженера Бакшаева) необходимо строить как модифика</w:t>
      </w:r>
      <w:r w:rsidRPr="00DB5D0D">
        <w:rPr>
          <w:rFonts w:ascii="Times New Roman" w:hAnsi="Times New Roman"/>
          <w:color w:val="0070C0"/>
          <w:sz w:val="16"/>
          <w:szCs w:val="16"/>
        </w:rPr>
        <w:softHyphen/>
        <w:t>цию УТ-3 вместо эталона УТ-3 на 1941 год».</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Заявление сделано начальником 1-го отдела</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НИИ ВВС Рудинцевым, комиссаром этого</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отдела и ведущим инженером НИИ ВВС по</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тренировочным самолетам Лысковым. Зам.</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начальника Главного управления авиацион</w:t>
      </w:r>
      <w:r w:rsidRPr="00DB5D0D">
        <w:rPr>
          <w:rFonts w:ascii="Times New Roman" w:hAnsi="Times New Roman"/>
          <w:color w:val="0070C0"/>
          <w:sz w:val="16"/>
          <w:szCs w:val="16"/>
        </w:rPr>
        <w:softHyphen/>
        <w:t>ного снабжения (ГУАС КА) бригинженер Федо</w:t>
      </w:r>
      <w:r w:rsidRPr="00DB5D0D">
        <w:rPr>
          <w:rFonts w:ascii="Times New Roman" w:hAnsi="Times New Roman"/>
          <w:color w:val="0070C0"/>
          <w:sz w:val="16"/>
          <w:szCs w:val="16"/>
        </w:rPr>
        <w:softHyphen/>
        <w:t>ров заявил мне, что такой самолет необхо</w:t>
      </w:r>
      <w:r w:rsidRPr="00DB5D0D">
        <w:rPr>
          <w:rFonts w:ascii="Times New Roman" w:hAnsi="Times New Roman"/>
          <w:color w:val="0070C0"/>
          <w:sz w:val="16"/>
          <w:szCs w:val="16"/>
        </w:rPr>
        <w:softHyphen/>
        <w:t>димо строить. Самолет должен пикировать</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и по характеру управления, по оборудованию</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должен являться подобием СБ пикирующего,</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как основной машины сегодняшнего дня, что</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касается модификации УТ-3, то по его мне</w:t>
      </w:r>
      <w:r w:rsidRPr="00DB5D0D">
        <w:rPr>
          <w:rFonts w:ascii="Times New Roman" w:hAnsi="Times New Roman"/>
          <w:color w:val="0070C0"/>
          <w:sz w:val="16"/>
          <w:szCs w:val="16"/>
        </w:rPr>
        <w:softHyphen/>
        <w:t>нию, это нецелесообразно, так как УТ-3</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машина негодная и нет уверенности, что</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модификация будет удовлетворять всем</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требованиям.</w:t>
      </w:r>
    </w:p>
    <w:p w14:paraId="3B861A3D" w14:textId="77777777" w:rsidR="002B13D2" w:rsidRPr="00DB5D0D" w:rsidRDefault="002B13D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Необходимо тренировочный пикирующий</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самолет строить независимо от УТ-3. Федо</w:t>
      </w:r>
      <w:r w:rsidRPr="00DB5D0D">
        <w:rPr>
          <w:rFonts w:ascii="Times New Roman" w:hAnsi="Times New Roman"/>
          <w:color w:val="0070C0"/>
          <w:sz w:val="16"/>
          <w:szCs w:val="16"/>
        </w:rPr>
        <w:softHyphen/>
        <w:t>ров предложил мне от имени генерала-лей</w:t>
      </w:r>
      <w:r w:rsidRPr="00DB5D0D">
        <w:rPr>
          <w:rFonts w:ascii="Times New Roman" w:hAnsi="Times New Roman"/>
          <w:color w:val="0070C0"/>
          <w:sz w:val="16"/>
          <w:szCs w:val="16"/>
        </w:rPr>
        <w:softHyphen/>
        <w:t>тенанта (начальника ГУАС КА) Алексеева,</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подать докладную записку о строительстве</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такого самолета на заводе № 47 (что мною и</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сделано) с тем, чтобы ГУАС КА вошло с ходатайством в правительство о постройке</w:t>
      </w:r>
      <w:r w:rsidRPr="00DB5D0D">
        <w:rPr>
          <w:rFonts w:ascii="Times New Roman" w:hAnsi="Times New Roman"/>
          <w:color w:val="0070C0"/>
          <w:sz w:val="16"/>
          <w:szCs w:val="16"/>
          <w:lang w:val="ru"/>
        </w:rPr>
        <w:t xml:space="preserve"> </w:t>
      </w:r>
      <w:r w:rsidRPr="00DB5D0D">
        <w:rPr>
          <w:rFonts w:ascii="Times New Roman" w:hAnsi="Times New Roman"/>
          <w:color w:val="0070C0"/>
          <w:sz w:val="16"/>
          <w:szCs w:val="16"/>
        </w:rPr>
        <w:t>тренировочного пикирующего самолета».</w:t>
      </w:r>
    </w:p>
    <w:p w14:paraId="22A963DD" w14:textId="77777777" w:rsidR="002B13D2" w:rsidRPr="00DB5D0D" w:rsidRDefault="002B13D2"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Трудно сказать, как в действительности</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развивалась ситуация, но заключение готовил</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тот самый ведущий инженер НИИ ВВС по тре</w:t>
      </w:r>
      <w:r w:rsidRPr="00DB5D0D">
        <w:rPr>
          <w:rFonts w:ascii="Times New Roman" w:hAnsi="Times New Roman"/>
          <w:color w:val="0070C0"/>
          <w:sz w:val="16"/>
          <w:szCs w:val="16"/>
        </w:rPr>
        <w:softHyphen/>
        <w:t>нировочным самолетам военинженер 2 ранга</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Лысков, а утверждал его никто иной как бри</w:t>
      </w:r>
      <w:r w:rsidRPr="00DB5D0D">
        <w:rPr>
          <w:rFonts w:ascii="Times New Roman" w:hAnsi="Times New Roman"/>
          <w:color w:val="0070C0"/>
          <w:sz w:val="16"/>
          <w:szCs w:val="16"/>
        </w:rPr>
        <w:softHyphen/>
        <w:t>гинженер Федоров, замещавший 27 сентября</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1940 года Замначальника ГУ ВВС КА генерал-</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лейтенанта Астахова. В заключение было ска</w:t>
      </w:r>
      <w:r w:rsidRPr="00DB5D0D">
        <w:rPr>
          <w:rFonts w:ascii="Times New Roman" w:hAnsi="Times New Roman"/>
          <w:color w:val="0070C0"/>
          <w:sz w:val="16"/>
          <w:szCs w:val="16"/>
        </w:rPr>
        <w:softHyphen/>
        <w:t>зано, что из двух представленных вариантов</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наиболее удовлетворяющим требованиям</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 xml:space="preserve">является модификация самолета </w:t>
      </w:r>
      <w:r w:rsidRPr="00DB5D0D">
        <w:rPr>
          <w:rFonts w:ascii="Times New Roman" w:hAnsi="Times New Roman"/>
          <w:color w:val="0070C0"/>
          <w:sz w:val="16"/>
          <w:szCs w:val="16"/>
        </w:rPr>
        <w:lastRenderedPageBreak/>
        <w:t>«Фокке-</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Вульф», однако при наличии в производстве</w:t>
      </w:r>
      <w:r w:rsidRPr="00DB5D0D">
        <w:rPr>
          <w:rStyle w:val="73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УТ-3 нецелесообразно заказывать опытный образец однотипного самолета. Единственное, что сделал Федоров для Бакшаева – вычеркнул пункт номер три, как не имеющий отношения к заключению. В нем говорилось, что необходимо форсировать доводку УТ-3.</w:t>
      </w:r>
    </w:p>
    <w:p w14:paraId="5768D69F" w14:textId="77777777" w:rsidR="002B13D2" w:rsidRPr="00DB5D0D" w:rsidRDefault="002B13D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Наверное, и заключительная часть обра</w:t>
      </w:r>
      <w:r w:rsidRPr="00DB5D0D">
        <w:rPr>
          <w:rFonts w:ascii="Times New Roman" w:hAnsi="Times New Roman"/>
          <w:color w:val="0070C0"/>
          <w:sz w:val="16"/>
          <w:szCs w:val="16"/>
        </w:rPr>
        <w:softHyphen/>
        <w:t>щения Бакшаева сыграла не в его пользу.</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Как говорится, без комментариев: «По линии</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НКАП этот вопрос будет решаться зам. нар</w:t>
      </w:r>
      <w:r w:rsidRPr="00DB5D0D">
        <w:rPr>
          <w:rFonts w:ascii="Times New Roman" w:hAnsi="Times New Roman"/>
          <w:color w:val="0070C0"/>
          <w:sz w:val="16"/>
          <w:szCs w:val="16"/>
        </w:rPr>
        <w:softHyphen/>
        <w:t>кома НКАП Яковлевым. Поскольку самолет</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УТ-3 его конструкции, я заранее уверен в его</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отрицательной позиции, тем более, что пере</w:t>
      </w:r>
      <w:r w:rsidRPr="00DB5D0D">
        <w:rPr>
          <w:rFonts w:ascii="Times New Roman" w:hAnsi="Times New Roman"/>
          <w:color w:val="0070C0"/>
          <w:sz w:val="16"/>
          <w:szCs w:val="16"/>
        </w:rPr>
        <w:softHyphen/>
        <w:t>дача всех работников опытного КБ на освое</w:t>
      </w:r>
      <w:r w:rsidRPr="00DB5D0D">
        <w:rPr>
          <w:rFonts w:ascii="Times New Roman" w:hAnsi="Times New Roman"/>
          <w:color w:val="0070C0"/>
          <w:sz w:val="16"/>
          <w:szCs w:val="16"/>
        </w:rPr>
        <w:softHyphen/>
        <w:t>ние в серии УТ-3 (т.е. фактическая ликвида</w:t>
      </w:r>
      <w:r w:rsidRPr="00DB5D0D">
        <w:rPr>
          <w:rFonts w:ascii="Times New Roman" w:hAnsi="Times New Roman"/>
          <w:color w:val="0070C0"/>
          <w:sz w:val="16"/>
          <w:szCs w:val="16"/>
        </w:rPr>
        <w:softHyphen/>
        <w:t>ция ОКБ завода № 47) произведена по его</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указанию. Прошу Вас:</w:t>
      </w:r>
    </w:p>
    <w:p w14:paraId="6BFE7A96" w14:textId="77777777" w:rsidR="002B13D2" w:rsidRPr="00DB5D0D" w:rsidRDefault="002B13D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Принять решение о</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сохранении опытного КБ на заводе № 47 и</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 xml:space="preserve">его развитии. </w:t>
      </w:r>
    </w:p>
    <w:p w14:paraId="1CB1AAC1" w14:textId="77777777" w:rsidR="002B13D2" w:rsidRPr="00DB5D0D" w:rsidRDefault="002B13D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Оказать помощь в том, чтобы</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перед опытным КБ завода № 47 была постав</w:t>
      </w:r>
      <w:r w:rsidRPr="00DB5D0D">
        <w:rPr>
          <w:rFonts w:ascii="Times New Roman" w:hAnsi="Times New Roman"/>
          <w:color w:val="0070C0"/>
          <w:sz w:val="16"/>
          <w:szCs w:val="16"/>
        </w:rPr>
        <w:softHyphen/>
        <w:t>лена задача - создание тренировочного</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пикирующего самолета для подготовки</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пилотов на двухмоторные боевые самолеты,</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и добиться всесторонней поддержки со сто</w:t>
      </w:r>
      <w:r w:rsidRPr="00DB5D0D">
        <w:rPr>
          <w:rFonts w:ascii="Times New Roman" w:hAnsi="Times New Roman"/>
          <w:color w:val="0070C0"/>
          <w:sz w:val="16"/>
          <w:szCs w:val="16"/>
        </w:rPr>
        <w:softHyphen/>
        <w:t>роны НКАП, с тем чтобы в случае удачных</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испытаний уже в I квартале 1941 года можно</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было бы самолет запустить в серию на заво</w:t>
      </w:r>
      <w:r w:rsidRPr="00DB5D0D">
        <w:rPr>
          <w:rFonts w:ascii="Times New Roman" w:hAnsi="Times New Roman"/>
          <w:color w:val="0070C0"/>
          <w:sz w:val="16"/>
          <w:szCs w:val="16"/>
        </w:rPr>
        <w:softHyphen/>
        <w:t>де № 47. 3. Поставить затронутые мною</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вопросы перед НКАП Шахуриным. Со своей</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стороны обязуюсь полностью выполнить эту</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задачу в короткий срок и с таким расчетом,</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чтобы в случае возникновения войны про</w:t>
      </w:r>
      <w:r w:rsidRPr="00DB5D0D">
        <w:rPr>
          <w:rFonts w:ascii="Times New Roman" w:hAnsi="Times New Roman"/>
          <w:color w:val="0070C0"/>
          <w:sz w:val="16"/>
          <w:szCs w:val="16"/>
        </w:rPr>
        <w:softHyphen/>
        <w:t>изводство тренировочных пикирующих</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самолетов на заводе № 47 быстро пере</w:t>
      </w:r>
      <w:r w:rsidRPr="00DB5D0D">
        <w:rPr>
          <w:rFonts w:ascii="Times New Roman" w:hAnsi="Times New Roman"/>
          <w:color w:val="0070C0"/>
          <w:sz w:val="16"/>
          <w:szCs w:val="16"/>
        </w:rPr>
        <w:softHyphen/>
        <w:t>строить на выпуск боевых самолетов» (19942).</w:t>
      </w:r>
    </w:p>
    <w:p w14:paraId="66F07511" w14:textId="77777777" w:rsidR="002B13D2" w:rsidRPr="00DB5D0D" w:rsidRDefault="002B13D2" w:rsidP="00DB5D0D">
      <w:pPr>
        <w:spacing w:after="0" w:line="240" w:lineRule="auto"/>
        <w:jc w:val="both"/>
        <w:rPr>
          <w:rFonts w:ascii="Times New Roman" w:hAnsi="Times New Roman"/>
          <w:color w:val="0070C0"/>
          <w:sz w:val="16"/>
          <w:szCs w:val="16"/>
        </w:rPr>
      </w:pPr>
    </w:p>
    <w:p w14:paraId="02B796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А.С.Я. писал Секретарю КО СНК Пугаеву письмо:</w:t>
      </w:r>
    </w:p>
    <w:p w14:paraId="5826AB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постановлению Правительства от 26 января 1940 N 132-60сс в течение 2-3 месяцев должен быть создан перспективный, на 2-3 года, целеустремленный план опытных работ по боевым самолетам.</w:t>
      </w:r>
    </w:p>
    <w:p w14:paraId="5E7C72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целью своевременной постановки и решения задач, необходимых для выполнения требований, предъявляемых к будущим самолетам, моторам и винтам, НКАП сообщил письмом от 3 июня 1940 нач. ВВС РККА, ГСС Я.В.Смушкевичу о необходимости ускорить составление перспективного плана и передачу его в НКАП.</w:t>
      </w:r>
    </w:p>
    <w:p w14:paraId="673DCD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Неполучение до настоящего времени требуемых ЛТД задерживает производство соответствующих расчетов, исследований и определение направлений в работе КБ и НИИ НКАП на текущий и последующие года.</w:t>
      </w:r>
    </w:p>
    <w:p w14:paraId="48F270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Отсутствие перспективного плана опытного самолетостроения лишает возможности загрузить планомерно новыми заданиями ряд КБ НКАП, мощности которых освободились после выпуска ими опытных самолетов, стоявших в плане на 1939 и 1940 гг.</w:t>
      </w:r>
    </w:p>
    <w:p w14:paraId="17C0B9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Создавшееся положение вынуждает ГК составлять инициативные проекты новых самолетов и представлять их на рассмотрение вне связи с общими перспективами развития боевых самолетов.</w:t>
      </w:r>
    </w:p>
    <w:p w14:paraId="57AB61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обязать НКО/ВВС и ГУАСК КА передать НКАП в кратчайшие сроки ЛТХ боевых самолетов, необходимых РККА на ближайшие 2-3 года. (2090,118).</w:t>
      </w:r>
    </w:p>
    <w:p w14:paraId="64D573E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BCB8B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вышло постановление КО N 296сс "О плане текущих военных заказов для НКО, НКВМФ и НКВД на 3 кв.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tblGrid>
      <w:tr w:rsidR="007D5DF8" w:rsidRPr="00DB5D0D" w14:paraId="2C5B7453" w14:textId="77777777" w:rsidTr="00E543D0">
        <w:tc>
          <w:tcPr>
            <w:tcW w:w="2299" w:type="dxa"/>
            <w:tcBorders>
              <w:top w:val="single" w:sz="12" w:space="0" w:color="auto"/>
            </w:tcBorders>
          </w:tcPr>
          <w:p w14:paraId="7AC01E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w:t>
            </w:r>
          </w:p>
        </w:tc>
        <w:tc>
          <w:tcPr>
            <w:tcW w:w="2299" w:type="dxa"/>
            <w:tcBorders>
              <w:top w:val="single" w:sz="12" w:space="0" w:color="auto"/>
            </w:tcBorders>
          </w:tcPr>
          <w:p w14:paraId="37714A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w:t>
            </w:r>
          </w:p>
        </w:tc>
        <w:tc>
          <w:tcPr>
            <w:tcW w:w="2299" w:type="dxa"/>
            <w:tcBorders>
              <w:top w:val="single" w:sz="12" w:space="0" w:color="auto"/>
            </w:tcBorders>
          </w:tcPr>
          <w:p w14:paraId="1041A1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w:t>
            </w:r>
          </w:p>
        </w:tc>
        <w:tc>
          <w:tcPr>
            <w:tcW w:w="2299" w:type="dxa"/>
            <w:tcBorders>
              <w:top w:val="single" w:sz="12" w:space="0" w:color="auto"/>
            </w:tcBorders>
          </w:tcPr>
          <w:p w14:paraId="40CA4F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r>
      <w:tr w:rsidR="007D5DF8" w:rsidRPr="00DB5D0D" w14:paraId="34FA6443" w14:textId="77777777" w:rsidTr="00E543D0">
        <w:tc>
          <w:tcPr>
            <w:tcW w:w="2299" w:type="dxa"/>
          </w:tcPr>
          <w:p w14:paraId="4B8A57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Истребители</w:t>
            </w:r>
          </w:p>
        </w:tc>
        <w:tc>
          <w:tcPr>
            <w:tcW w:w="2299" w:type="dxa"/>
          </w:tcPr>
          <w:p w14:paraId="1543822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59E41A6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1ED6E4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747D5A7" w14:textId="77777777" w:rsidTr="00E543D0">
        <w:tc>
          <w:tcPr>
            <w:tcW w:w="2299" w:type="dxa"/>
          </w:tcPr>
          <w:p w14:paraId="04E520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w:t>
            </w:r>
          </w:p>
        </w:tc>
        <w:tc>
          <w:tcPr>
            <w:tcW w:w="2299" w:type="dxa"/>
          </w:tcPr>
          <w:p w14:paraId="651CB7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М-62</w:t>
            </w:r>
          </w:p>
        </w:tc>
        <w:tc>
          <w:tcPr>
            <w:tcW w:w="2299" w:type="dxa"/>
          </w:tcPr>
          <w:p w14:paraId="19AEE9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2299" w:type="dxa"/>
          </w:tcPr>
          <w:p w14:paraId="664244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328FACE8" w14:textId="77777777" w:rsidTr="00E543D0">
        <w:tc>
          <w:tcPr>
            <w:tcW w:w="2299" w:type="dxa"/>
          </w:tcPr>
          <w:p w14:paraId="39DC29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w:t>
            </w:r>
          </w:p>
        </w:tc>
        <w:tc>
          <w:tcPr>
            <w:tcW w:w="2299" w:type="dxa"/>
          </w:tcPr>
          <w:p w14:paraId="4E23B3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М-63</w:t>
            </w:r>
          </w:p>
        </w:tc>
        <w:tc>
          <w:tcPr>
            <w:tcW w:w="2299" w:type="dxa"/>
          </w:tcPr>
          <w:p w14:paraId="4ABA87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2299" w:type="dxa"/>
          </w:tcPr>
          <w:p w14:paraId="70EC41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20DC9962" w14:textId="77777777" w:rsidTr="00E543D0">
        <w:tc>
          <w:tcPr>
            <w:tcW w:w="2299" w:type="dxa"/>
          </w:tcPr>
          <w:p w14:paraId="4CE921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w:t>
            </w:r>
          </w:p>
        </w:tc>
        <w:tc>
          <w:tcPr>
            <w:tcW w:w="2299" w:type="dxa"/>
          </w:tcPr>
          <w:p w14:paraId="26C6DB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tc>
        <w:tc>
          <w:tcPr>
            <w:tcW w:w="2299" w:type="dxa"/>
          </w:tcPr>
          <w:p w14:paraId="35DEF6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2299" w:type="dxa"/>
          </w:tcPr>
          <w:p w14:paraId="45B08B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52528F41" w14:textId="77777777" w:rsidTr="00E543D0">
        <w:tc>
          <w:tcPr>
            <w:tcW w:w="2299" w:type="dxa"/>
          </w:tcPr>
          <w:p w14:paraId="49F515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w:t>
            </w:r>
          </w:p>
        </w:tc>
        <w:tc>
          <w:tcPr>
            <w:tcW w:w="2299" w:type="dxa"/>
          </w:tcPr>
          <w:p w14:paraId="5A58D5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М-63</w:t>
            </w:r>
          </w:p>
        </w:tc>
        <w:tc>
          <w:tcPr>
            <w:tcW w:w="2299" w:type="dxa"/>
          </w:tcPr>
          <w:p w14:paraId="1CFD22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2299" w:type="dxa"/>
          </w:tcPr>
          <w:p w14:paraId="3632B4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r>
      <w:tr w:rsidR="007D5DF8" w:rsidRPr="00DB5D0D" w14:paraId="4D770821" w14:textId="77777777" w:rsidTr="00E543D0">
        <w:tc>
          <w:tcPr>
            <w:tcW w:w="2299" w:type="dxa"/>
          </w:tcPr>
          <w:p w14:paraId="444E97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w:t>
            </w:r>
          </w:p>
        </w:tc>
        <w:tc>
          <w:tcPr>
            <w:tcW w:w="2299" w:type="dxa"/>
          </w:tcPr>
          <w:p w14:paraId="160AFF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2299" w:type="dxa"/>
          </w:tcPr>
          <w:p w14:paraId="3F0537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2299" w:type="dxa"/>
          </w:tcPr>
          <w:p w14:paraId="4629D2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r>
      <w:tr w:rsidR="007D5DF8" w:rsidRPr="00DB5D0D" w14:paraId="189E9824" w14:textId="77777777" w:rsidTr="00E543D0">
        <w:tc>
          <w:tcPr>
            <w:tcW w:w="2299" w:type="dxa"/>
          </w:tcPr>
          <w:p w14:paraId="6A7FC0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w:t>
            </w:r>
          </w:p>
        </w:tc>
        <w:tc>
          <w:tcPr>
            <w:tcW w:w="2299" w:type="dxa"/>
          </w:tcPr>
          <w:p w14:paraId="420867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М-63</w:t>
            </w:r>
          </w:p>
        </w:tc>
        <w:tc>
          <w:tcPr>
            <w:tcW w:w="2299" w:type="dxa"/>
          </w:tcPr>
          <w:p w14:paraId="578429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w:t>
            </w:r>
          </w:p>
        </w:tc>
        <w:tc>
          <w:tcPr>
            <w:tcW w:w="2299" w:type="dxa"/>
          </w:tcPr>
          <w:p w14:paraId="044651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r>
      <w:tr w:rsidR="007D5DF8" w:rsidRPr="00DB5D0D" w14:paraId="7A77DF67" w14:textId="77777777" w:rsidTr="00E543D0">
        <w:tc>
          <w:tcPr>
            <w:tcW w:w="2299" w:type="dxa"/>
          </w:tcPr>
          <w:p w14:paraId="173F4B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w:t>
            </w:r>
          </w:p>
        </w:tc>
        <w:tc>
          <w:tcPr>
            <w:tcW w:w="2299" w:type="dxa"/>
          </w:tcPr>
          <w:p w14:paraId="723EB2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М-105П</w:t>
            </w:r>
          </w:p>
        </w:tc>
        <w:tc>
          <w:tcPr>
            <w:tcW w:w="2299" w:type="dxa"/>
          </w:tcPr>
          <w:p w14:paraId="6A4181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2299" w:type="dxa"/>
          </w:tcPr>
          <w:p w14:paraId="6E1D70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w:t>
            </w:r>
          </w:p>
        </w:tc>
      </w:tr>
      <w:tr w:rsidR="007D5DF8" w:rsidRPr="00DB5D0D" w14:paraId="1675BA0B" w14:textId="77777777" w:rsidTr="00E543D0">
        <w:tc>
          <w:tcPr>
            <w:tcW w:w="2299" w:type="dxa"/>
          </w:tcPr>
          <w:p w14:paraId="63C274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w:t>
            </w:r>
          </w:p>
        </w:tc>
        <w:tc>
          <w:tcPr>
            <w:tcW w:w="2299" w:type="dxa"/>
          </w:tcPr>
          <w:p w14:paraId="36048B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М-105П</w:t>
            </w:r>
          </w:p>
        </w:tc>
        <w:tc>
          <w:tcPr>
            <w:tcW w:w="2299" w:type="dxa"/>
          </w:tcPr>
          <w:p w14:paraId="677763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299" w:type="dxa"/>
          </w:tcPr>
          <w:p w14:paraId="6A31E0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w:t>
            </w:r>
          </w:p>
        </w:tc>
      </w:tr>
      <w:tr w:rsidR="007D5DF8" w:rsidRPr="00DB5D0D" w14:paraId="279AF76D" w14:textId="77777777" w:rsidTr="00E543D0">
        <w:tc>
          <w:tcPr>
            <w:tcW w:w="2299" w:type="dxa"/>
          </w:tcPr>
          <w:p w14:paraId="3D6EFE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w:t>
            </w:r>
          </w:p>
        </w:tc>
        <w:tc>
          <w:tcPr>
            <w:tcW w:w="2299" w:type="dxa"/>
          </w:tcPr>
          <w:p w14:paraId="6637B1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2299" w:type="dxa"/>
          </w:tcPr>
          <w:p w14:paraId="018E4F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2299" w:type="dxa"/>
          </w:tcPr>
          <w:p w14:paraId="4B8AD1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w:t>
            </w:r>
          </w:p>
        </w:tc>
      </w:tr>
      <w:tr w:rsidR="007D5DF8" w:rsidRPr="00DB5D0D" w14:paraId="70F35D99" w14:textId="77777777" w:rsidTr="00E543D0">
        <w:tc>
          <w:tcPr>
            <w:tcW w:w="2299" w:type="dxa"/>
          </w:tcPr>
          <w:p w14:paraId="7F12CF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Бомбардировщики</w:t>
            </w:r>
          </w:p>
        </w:tc>
        <w:tc>
          <w:tcPr>
            <w:tcW w:w="2299" w:type="dxa"/>
          </w:tcPr>
          <w:p w14:paraId="0FA24B7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6034BEC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628705B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5F5EA28" w14:textId="77777777" w:rsidTr="00E543D0">
        <w:tc>
          <w:tcPr>
            <w:tcW w:w="2299" w:type="dxa"/>
          </w:tcPr>
          <w:p w14:paraId="435ABD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w:t>
            </w:r>
          </w:p>
        </w:tc>
        <w:tc>
          <w:tcPr>
            <w:tcW w:w="2299" w:type="dxa"/>
          </w:tcPr>
          <w:p w14:paraId="0B1763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2хМ-103</w:t>
            </w:r>
          </w:p>
        </w:tc>
        <w:tc>
          <w:tcPr>
            <w:tcW w:w="2299" w:type="dxa"/>
          </w:tcPr>
          <w:p w14:paraId="1B589E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w:t>
            </w:r>
          </w:p>
        </w:tc>
        <w:tc>
          <w:tcPr>
            <w:tcW w:w="2299" w:type="dxa"/>
          </w:tcPr>
          <w:p w14:paraId="31C176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0851B11B" w14:textId="77777777" w:rsidTr="00E543D0">
        <w:tc>
          <w:tcPr>
            <w:tcW w:w="2299" w:type="dxa"/>
          </w:tcPr>
          <w:p w14:paraId="262500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w:t>
            </w:r>
          </w:p>
        </w:tc>
        <w:tc>
          <w:tcPr>
            <w:tcW w:w="2299" w:type="dxa"/>
          </w:tcPr>
          <w:p w14:paraId="7482FF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2хМ-103</w:t>
            </w:r>
          </w:p>
        </w:tc>
        <w:tc>
          <w:tcPr>
            <w:tcW w:w="2299" w:type="dxa"/>
          </w:tcPr>
          <w:p w14:paraId="607D9D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2299" w:type="dxa"/>
          </w:tcPr>
          <w:p w14:paraId="4E0A9D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r>
      <w:tr w:rsidR="007D5DF8" w:rsidRPr="00DB5D0D" w14:paraId="13E9ACD4" w14:textId="77777777" w:rsidTr="00E543D0">
        <w:tc>
          <w:tcPr>
            <w:tcW w:w="2299" w:type="dxa"/>
          </w:tcPr>
          <w:p w14:paraId="410405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w:t>
            </w:r>
          </w:p>
        </w:tc>
        <w:tc>
          <w:tcPr>
            <w:tcW w:w="2299" w:type="dxa"/>
          </w:tcPr>
          <w:p w14:paraId="525B29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2хМ-88</w:t>
            </w:r>
          </w:p>
        </w:tc>
        <w:tc>
          <w:tcPr>
            <w:tcW w:w="2299" w:type="dxa"/>
          </w:tcPr>
          <w:p w14:paraId="0E56B0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w:t>
            </w:r>
          </w:p>
        </w:tc>
        <w:tc>
          <w:tcPr>
            <w:tcW w:w="2299" w:type="dxa"/>
          </w:tcPr>
          <w:p w14:paraId="2EC9EF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r>
      <w:tr w:rsidR="007D5DF8" w:rsidRPr="00DB5D0D" w14:paraId="7FB8628E" w14:textId="77777777" w:rsidTr="00E543D0">
        <w:tc>
          <w:tcPr>
            <w:tcW w:w="2299" w:type="dxa"/>
          </w:tcPr>
          <w:p w14:paraId="0697F0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w:t>
            </w:r>
          </w:p>
        </w:tc>
        <w:tc>
          <w:tcPr>
            <w:tcW w:w="2299" w:type="dxa"/>
          </w:tcPr>
          <w:p w14:paraId="0DFE7D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2хМ-87</w:t>
            </w:r>
          </w:p>
        </w:tc>
        <w:tc>
          <w:tcPr>
            <w:tcW w:w="2299" w:type="dxa"/>
          </w:tcPr>
          <w:p w14:paraId="772C45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2299" w:type="dxa"/>
          </w:tcPr>
          <w:p w14:paraId="786618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r>
      <w:tr w:rsidR="007D5DF8" w:rsidRPr="00DB5D0D" w14:paraId="02A6CD63" w14:textId="77777777" w:rsidTr="00E543D0">
        <w:tc>
          <w:tcPr>
            <w:tcW w:w="2299" w:type="dxa"/>
          </w:tcPr>
          <w:p w14:paraId="5FA9E7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w:t>
            </w:r>
          </w:p>
        </w:tc>
        <w:tc>
          <w:tcPr>
            <w:tcW w:w="2299" w:type="dxa"/>
          </w:tcPr>
          <w:p w14:paraId="1416CA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2хМ-88</w:t>
            </w:r>
          </w:p>
        </w:tc>
        <w:tc>
          <w:tcPr>
            <w:tcW w:w="2299" w:type="dxa"/>
          </w:tcPr>
          <w:p w14:paraId="496F9E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2299" w:type="dxa"/>
          </w:tcPr>
          <w:p w14:paraId="5A1F6D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r>
      <w:tr w:rsidR="007D5DF8" w:rsidRPr="00DB5D0D" w14:paraId="33EEE8D8" w14:textId="77777777" w:rsidTr="00E543D0">
        <w:tc>
          <w:tcPr>
            <w:tcW w:w="2299" w:type="dxa"/>
          </w:tcPr>
          <w:p w14:paraId="5421FD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w:t>
            </w:r>
          </w:p>
        </w:tc>
        <w:tc>
          <w:tcPr>
            <w:tcW w:w="2299" w:type="dxa"/>
          </w:tcPr>
          <w:p w14:paraId="370C83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2хМ-87</w:t>
            </w:r>
          </w:p>
        </w:tc>
        <w:tc>
          <w:tcPr>
            <w:tcW w:w="2299" w:type="dxa"/>
          </w:tcPr>
          <w:p w14:paraId="760A82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2299" w:type="dxa"/>
          </w:tcPr>
          <w:p w14:paraId="0C40FB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w:t>
            </w:r>
          </w:p>
        </w:tc>
      </w:tr>
      <w:tr w:rsidR="007D5DF8" w:rsidRPr="00DB5D0D" w14:paraId="50506B7C" w14:textId="77777777" w:rsidTr="00E543D0">
        <w:tc>
          <w:tcPr>
            <w:tcW w:w="2299" w:type="dxa"/>
          </w:tcPr>
          <w:p w14:paraId="6F6787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пик.</w:t>
            </w:r>
          </w:p>
        </w:tc>
        <w:tc>
          <w:tcPr>
            <w:tcW w:w="2299" w:type="dxa"/>
          </w:tcPr>
          <w:p w14:paraId="71CEBB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2хМ-105</w:t>
            </w:r>
          </w:p>
        </w:tc>
        <w:tc>
          <w:tcPr>
            <w:tcW w:w="2299" w:type="dxa"/>
          </w:tcPr>
          <w:p w14:paraId="22FE91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w:t>
            </w:r>
          </w:p>
        </w:tc>
        <w:tc>
          <w:tcPr>
            <w:tcW w:w="2299" w:type="dxa"/>
          </w:tcPr>
          <w:p w14:paraId="1B1359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r>
      <w:tr w:rsidR="007D5DF8" w:rsidRPr="00DB5D0D" w14:paraId="01A06366" w14:textId="77777777" w:rsidTr="00E543D0">
        <w:tc>
          <w:tcPr>
            <w:tcW w:w="2299" w:type="dxa"/>
          </w:tcPr>
          <w:p w14:paraId="38385B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РК</w:t>
            </w:r>
          </w:p>
        </w:tc>
        <w:tc>
          <w:tcPr>
            <w:tcW w:w="2299" w:type="dxa"/>
          </w:tcPr>
          <w:p w14:paraId="652D36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2хМ-105</w:t>
            </w:r>
          </w:p>
        </w:tc>
        <w:tc>
          <w:tcPr>
            <w:tcW w:w="2299" w:type="dxa"/>
          </w:tcPr>
          <w:p w14:paraId="129D0E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2299" w:type="dxa"/>
          </w:tcPr>
          <w:p w14:paraId="2E43FF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r>
      <w:tr w:rsidR="007D5DF8" w:rsidRPr="00DB5D0D" w14:paraId="4F0C53C6" w14:textId="77777777" w:rsidTr="00E543D0">
        <w:tc>
          <w:tcPr>
            <w:tcW w:w="2299" w:type="dxa"/>
          </w:tcPr>
          <w:p w14:paraId="0111E6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СПБ</w:t>
            </w:r>
          </w:p>
        </w:tc>
        <w:tc>
          <w:tcPr>
            <w:tcW w:w="2299" w:type="dxa"/>
          </w:tcPr>
          <w:p w14:paraId="26C730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2хМ-105</w:t>
            </w:r>
          </w:p>
        </w:tc>
        <w:tc>
          <w:tcPr>
            <w:tcW w:w="2299" w:type="dxa"/>
          </w:tcPr>
          <w:p w14:paraId="429AA7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2299" w:type="dxa"/>
          </w:tcPr>
          <w:p w14:paraId="42082F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r>
      <w:tr w:rsidR="007D5DF8" w:rsidRPr="00DB5D0D" w14:paraId="099A6EAB" w14:textId="77777777" w:rsidTr="00E543D0">
        <w:tc>
          <w:tcPr>
            <w:tcW w:w="2299" w:type="dxa"/>
          </w:tcPr>
          <w:p w14:paraId="26F6BD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w:t>
            </w:r>
          </w:p>
        </w:tc>
        <w:tc>
          <w:tcPr>
            <w:tcW w:w="2299" w:type="dxa"/>
          </w:tcPr>
          <w:p w14:paraId="62DE35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2хМ-105</w:t>
            </w:r>
          </w:p>
        </w:tc>
        <w:tc>
          <w:tcPr>
            <w:tcW w:w="2299" w:type="dxa"/>
          </w:tcPr>
          <w:p w14:paraId="01C0F3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2299" w:type="dxa"/>
          </w:tcPr>
          <w:p w14:paraId="624EF1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r>
      <w:tr w:rsidR="007D5DF8" w:rsidRPr="00DB5D0D" w14:paraId="6B010B8A" w14:textId="77777777" w:rsidTr="00E543D0">
        <w:tc>
          <w:tcPr>
            <w:tcW w:w="2299" w:type="dxa"/>
          </w:tcPr>
          <w:p w14:paraId="049441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w:t>
            </w:r>
          </w:p>
        </w:tc>
        <w:tc>
          <w:tcPr>
            <w:tcW w:w="2299" w:type="dxa"/>
          </w:tcPr>
          <w:p w14:paraId="469092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2299" w:type="dxa"/>
          </w:tcPr>
          <w:p w14:paraId="336423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2299" w:type="dxa"/>
          </w:tcPr>
          <w:p w14:paraId="23B17C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r>
      <w:tr w:rsidR="007D5DF8" w:rsidRPr="00DB5D0D" w14:paraId="6BB0CDED" w14:textId="77777777" w:rsidTr="00E543D0">
        <w:tc>
          <w:tcPr>
            <w:tcW w:w="2299" w:type="dxa"/>
          </w:tcPr>
          <w:p w14:paraId="2224A8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w:t>
            </w:r>
          </w:p>
        </w:tc>
        <w:tc>
          <w:tcPr>
            <w:tcW w:w="2299" w:type="dxa"/>
          </w:tcPr>
          <w:p w14:paraId="7359F6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2299" w:type="dxa"/>
          </w:tcPr>
          <w:p w14:paraId="5D556C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2299" w:type="dxa"/>
          </w:tcPr>
          <w:p w14:paraId="3138D0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r>
      <w:tr w:rsidR="007D5DF8" w:rsidRPr="00DB5D0D" w14:paraId="3F59BE38" w14:textId="77777777" w:rsidTr="00E543D0">
        <w:tc>
          <w:tcPr>
            <w:tcW w:w="2299" w:type="dxa"/>
          </w:tcPr>
          <w:p w14:paraId="78D8E6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w:t>
            </w:r>
          </w:p>
        </w:tc>
        <w:tc>
          <w:tcPr>
            <w:tcW w:w="2299" w:type="dxa"/>
          </w:tcPr>
          <w:p w14:paraId="34162B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2299" w:type="dxa"/>
          </w:tcPr>
          <w:p w14:paraId="519A3C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2299" w:type="dxa"/>
          </w:tcPr>
          <w:p w14:paraId="250802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r>
      <w:tr w:rsidR="007D5DF8" w:rsidRPr="00DB5D0D" w14:paraId="0BEE8051" w14:textId="77777777" w:rsidTr="00E543D0">
        <w:tc>
          <w:tcPr>
            <w:tcW w:w="2299" w:type="dxa"/>
          </w:tcPr>
          <w:p w14:paraId="70E33B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w:t>
            </w:r>
          </w:p>
        </w:tc>
        <w:tc>
          <w:tcPr>
            <w:tcW w:w="2299" w:type="dxa"/>
          </w:tcPr>
          <w:p w14:paraId="585FC0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4хАМ-53А6</w:t>
            </w:r>
          </w:p>
        </w:tc>
        <w:tc>
          <w:tcPr>
            <w:tcW w:w="2299" w:type="dxa"/>
          </w:tcPr>
          <w:p w14:paraId="6C64BC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2299" w:type="dxa"/>
          </w:tcPr>
          <w:p w14:paraId="6F903F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4A46665" w14:textId="77777777" w:rsidTr="00E543D0">
        <w:tc>
          <w:tcPr>
            <w:tcW w:w="2299" w:type="dxa"/>
          </w:tcPr>
          <w:p w14:paraId="57BD49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Морские</w:t>
            </w:r>
          </w:p>
        </w:tc>
        <w:tc>
          <w:tcPr>
            <w:tcW w:w="2299" w:type="dxa"/>
          </w:tcPr>
          <w:p w14:paraId="13AAC56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196337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0E4FC0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35CF412" w14:textId="77777777" w:rsidTr="00E543D0">
        <w:tc>
          <w:tcPr>
            <w:tcW w:w="2299" w:type="dxa"/>
          </w:tcPr>
          <w:p w14:paraId="51F8F6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КОР-1</w:t>
            </w:r>
          </w:p>
        </w:tc>
        <w:tc>
          <w:tcPr>
            <w:tcW w:w="2299" w:type="dxa"/>
          </w:tcPr>
          <w:p w14:paraId="570518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М-25В</w:t>
            </w:r>
          </w:p>
        </w:tc>
        <w:tc>
          <w:tcPr>
            <w:tcW w:w="2299" w:type="dxa"/>
          </w:tcPr>
          <w:p w14:paraId="79854D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299" w:type="dxa"/>
          </w:tcPr>
          <w:p w14:paraId="09FB28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r>
      <w:tr w:rsidR="007D5DF8" w:rsidRPr="00DB5D0D" w14:paraId="3FD26E47" w14:textId="77777777" w:rsidTr="00E543D0">
        <w:tc>
          <w:tcPr>
            <w:tcW w:w="2299" w:type="dxa"/>
          </w:tcPr>
          <w:p w14:paraId="200C1B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w:t>
            </w:r>
          </w:p>
        </w:tc>
        <w:tc>
          <w:tcPr>
            <w:tcW w:w="2299" w:type="dxa"/>
          </w:tcPr>
          <w:p w14:paraId="0B810F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2хМ-63</w:t>
            </w:r>
          </w:p>
        </w:tc>
        <w:tc>
          <w:tcPr>
            <w:tcW w:w="2299" w:type="dxa"/>
          </w:tcPr>
          <w:p w14:paraId="7132EA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2299" w:type="dxa"/>
          </w:tcPr>
          <w:p w14:paraId="4964EC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r>
      <w:tr w:rsidR="007D5DF8" w:rsidRPr="00DB5D0D" w14:paraId="72D95D5A" w14:textId="77777777" w:rsidTr="00E543D0">
        <w:tc>
          <w:tcPr>
            <w:tcW w:w="2299" w:type="dxa"/>
          </w:tcPr>
          <w:p w14:paraId="06DD69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ГСТ</w:t>
            </w:r>
          </w:p>
        </w:tc>
        <w:tc>
          <w:tcPr>
            <w:tcW w:w="2299" w:type="dxa"/>
          </w:tcPr>
          <w:p w14:paraId="773710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2хМ-62ир</w:t>
            </w:r>
          </w:p>
        </w:tc>
        <w:tc>
          <w:tcPr>
            <w:tcW w:w="2299" w:type="dxa"/>
          </w:tcPr>
          <w:p w14:paraId="167595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2299" w:type="dxa"/>
          </w:tcPr>
          <w:p w14:paraId="37E8A3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r>
      <w:tr w:rsidR="007D5DF8" w:rsidRPr="00DB5D0D" w14:paraId="39E841A7" w14:textId="77777777" w:rsidTr="00E543D0">
        <w:tc>
          <w:tcPr>
            <w:tcW w:w="2299" w:type="dxa"/>
          </w:tcPr>
          <w:p w14:paraId="17DF43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боевых</w:t>
            </w:r>
          </w:p>
        </w:tc>
        <w:tc>
          <w:tcPr>
            <w:tcW w:w="2299" w:type="dxa"/>
          </w:tcPr>
          <w:p w14:paraId="6B1C1F3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30E6647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11A9CB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0C291B6" w14:textId="77777777" w:rsidTr="00E543D0">
        <w:tc>
          <w:tcPr>
            <w:tcW w:w="2299" w:type="dxa"/>
          </w:tcPr>
          <w:p w14:paraId="1E2B7BD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053B78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5593F85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28AB5A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1238</w:t>
            </w:r>
          </w:p>
        </w:tc>
      </w:tr>
      <w:tr w:rsidR="007D5DF8" w:rsidRPr="00DB5D0D" w14:paraId="1F123AB2" w14:textId="77777777" w:rsidTr="00E543D0">
        <w:tc>
          <w:tcPr>
            <w:tcW w:w="2299" w:type="dxa"/>
          </w:tcPr>
          <w:p w14:paraId="535CDE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Пассажирские и транспортные</w:t>
            </w:r>
          </w:p>
        </w:tc>
        <w:tc>
          <w:tcPr>
            <w:tcW w:w="2299" w:type="dxa"/>
          </w:tcPr>
          <w:p w14:paraId="2CCD668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5EE3BA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6180A3A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276DAF2" w14:textId="77777777" w:rsidTr="00E543D0">
        <w:tc>
          <w:tcPr>
            <w:tcW w:w="2299" w:type="dxa"/>
          </w:tcPr>
          <w:p w14:paraId="196285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ДС-3</w:t>
            </w:r>
          </w:p>
        </w:tc>
        <w:tc>
          <w:tcPr>
            <w:tcW w:w="2299" w:type="dxa"/>
          </w:tcPr>
          <w:p w14:paraId="739600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2хМ-62ир</w:t>
            </w:r>
          </w:p>
        </w:tc>
        <w:tc>
          <w:tcPr>
            <w:tcW w:w="2299" w:type="dxa"/>
          </w:tcPr>
          <w:p w14:paraId="5C90FB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2299" w:type="dxa"/>
          </w:tcPr>
          <w:p w14:paraId="411089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r>
      <w:tr w:rsidR="007D5DF8" w:rsidRPr="00DB5D0D" w14:paraId="54F37836" w14:textId="77777777" w:rsidTr="00E543D0">
        <w:tc>
          <w:tcPr>
            <w:tcW w:w="2299" w:type="dxa"/>
          </w:tcPr>
          <w:p w14:paraId="14BA56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ДС-3</w:t>
            </w:r>
          </w:p>
        </w:tc>
        <w:tc>
          <w:tcPr>
            <w:tcW w:w="2299" w:type="dxa"/>
          </w:tcPr>
          <w:p w14:paraId="4B9AE4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2хМ-62ир</w:t>
            </w:r>
          </w:p>
        </w:tc>
        <w:tc>
          <w:tcPr>
            <w:tcW w:w="2299" w:type="dxa"/>
          </w:tcPr>
          <w:p w14:paraId="104BB6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2299" w:type="dxa"/>
          </w:tcPr>
          <w:p w14:paraId="439F65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r>
      <w:tr w:rsidR="007D5DF8" w:rsidRPr="00DB5D0D" w14:paraId="067A59A8" w14:textId="77777777" w:rsidTr="00E543D0">
        <w:tc>
          <w:tcPr>
            <w:tcW w:w="2299" w:type="dxa"/>
          </w:tcPr>
          <w:p w14:paraId="1B5792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Учебно-тренировочные</w:t>
            </w:r>
          </w:p>
        </w:tc>
        <w:tc>
          <w:tcPr>
            <w:tcW w:w="2299" w:type="dxa"/>
          </w:tcPr>
          <w:p w14:paraId="098BB04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4EF76C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04FD5A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9FDC57B" w14:textId="77777777" w:rsidTr="00E543D0">
        <w:tc>
          <w:tcPr>
            <w:tcW w:w="2299" w:type="dxa"/>
          </w:tcPr>
          <w:p w14:paraId="1ECE30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УТИ-4</w:t>
            </w:r>
          </w:p>
        </w:tc>
        <w:tc>
          <w:tcPr>
            <w:tcW w:w="2299" w:type="dxa"/>
          </w:tcPr>
          <w:p w14:paraId="6729D6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М-25В</w:t>
            </w:r>
          </w:p>
        </w:tc>
        <w:tc>
          <w:tcPr>
            <w:tcW w:w="2299" w:type="dxa"/>
          </w:tcPr>
          <w:p w14:paraId="4B143D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w:t>
            </w:r>
          </w:p>
        </w:tc>
        <w:tc>
          <w:tcPr>
            <w:tcW w:w="2299" w:type="dxa"/>
          </w:tcPr>
          <w:p w14:paraId="627B29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r>
      <w:tr w:rsidR="007D5DF8" w:rsidRPr="00DB5D0D" w14:paraId="49FEEDC6" w14:textId="77777777" w:rsidTr="00E543D0">
        <w:tc>
          <w:tcPr>
            <w:tcW w:w="2299" w:type="dxa"/>
          </w:tcPr>
          <w:p w14:paraId="078DB6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У-2</w:t>
            </w:r>
          </w:p>
        </w:tc>
        <w:tc>
          <w:tcPr>
            <w:tcW w:w="2299" w:type="dxa"/>
          </w:tcPr>
          <w:p w14:paraId="62A057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М-11</w:t>
            </w:r>
          </w:p>
        </w:tc>
        <w:tc>
          <w:tcPr>
            <w:tcW w:w="2299" w:type="dxa"/>
          </w:tcPr>
          <w:p w14:paraId="3C531A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2299" w:type="dxa"/>
          </w:tcPr>
          <w:p w14:paraId="5B1EDC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r>
      <w:tr w:rsidR="007D5DF8" w:rsidRPr="00DB5D0D" w14:paraId="00D7F8F7" w14:textId="77777777" w:rsidTr="00E543D0">
        <w:tc>
          <w:tcPr>
            <w:tcW w:w="2299" w:type="dxa"/>
          </w:tcPr>
          <w:p w14:paraId="53F4B0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С-2</w:t>
            </w:r>
          </w:p>
        </w:tc>
        <w:tc>
          <w:tcPr>
            <w:tcW w:w="2299" w:type="dxa"/>
          </w:tcPr>
          <w:p w14:paraId="6D2D9E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М-11</w:t>
            </w:r>
          </w:p>
        </w:tc>
        <w:tc>
          <w:tcPr>
            <w:tcW w:w="2299" w:type="dxa"/>
          </w:tcPr>
          <w:p w14:paraId="0A1AEC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w:t>
            </w:r>
          </w:p>
        </w:tc>
        <w:tc>
          <w:tcPr>
            <w:tcW w:w="2299" w:type="dxa"/>
          </w:tcPr>
          <w:p w14:paraId="45E86E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r>
      <w:tr w:rsidR="007D5DF8" w:rsidRPr="00DB5D0D" w14:paraId="1D8ED828" w14:textId="77777777" w:rsidTr="00E543D0">
        <w:tc>
          <w:tcPr>
            <w:tcW w:w="2299" w:type="dxa"/>
          </w:tcPr>
          <w:p w14:paraId="7876C0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УТ-2</w:t>
            </w:r>
          </w:p>
        </w:tc>
        <w:tc>
          <w:tcPr>
            <w:tcW w:w="2299" w:type="dxa"/>
          </w:tcPr>
          <w:p w14:paraId="7ED00E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М-11</w:t>
            </w:r>
          </w:p>
        </w:tc>
        <w:tc>
          <w:tcPr>
            <w:tcW w:w="2299" w:type="dxa"/>
          </w:tcPr>
          <w:p w14:paraId="0ED2FF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2299" w:type="dxa"/>
          </w:tcPr>
          <w:p w14:paraId="4F8E34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r>
      <w:tr w:rsidR="007D5DF8" w:rsidRPr="00DB5D0D" w14:paraId="64D96496" w14:textId="77777777" w:rsidTr="00E543D0">
        <w:tc>
          <w:tcPr>
            <w:tcW w:w="2299" w:type="dxa"/>
          </w:tcPr>
          <w:p w14:paraId="0C0730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Ут-3</w:t>
            </w:r>
          </w:p>
        </w:tc>
        <w:tc>
          <w:tcPr>
            <w:tcW w:w="2299" w:type="dxa"/>
          </w:tcPr>
          <w:p w14:paraId="0ACF15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2хМВ-6</w:t>
            </w:r>
          </w:p>
        </w:tc>
        <w:tc>
          <w:tcPr>
            <w:tcW w:w="2299" w:type="dxa"/>
          </w:tcPr>
          <w:p w14:paraId="4583ED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299" w:type="dxa"/>
          </w:tcPr>
          <w:p w14:paraId="713A4E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 (1292,172)</w:t>
            </w:r>
          </w:p>
        </w:tc>
      </w:tr>
      <w:tr w:rsidR="007D5DF8" w:rsidRPr="00DB5D0D" w14:paraId="169FA84D" w14:textId="77777777" w:rsidTr="00E543D0">
        <w:tc>
          <w:tcPr>
            <w:tcW w:w="2299" w:type="dxa"/>
          </w:tcPr>
          <w:p w14:paraId="02F4BF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w:t>
            </w:r>
          </w:p>
        </w:tc>
        <w:tc>
          <w:tcPr>
            <w:tcW w:w="2299" w:type="dxa"/>
          </w:tcPr>
          <w:p w14:paraId="025A2E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58C90B2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33BDE2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D465E85" w14:textId="77777777" w:rsidTr="00E543D0">
        <w:tc>
          <w:tcPr>
            <w:tcW w:w="2299" w:type="dxa"/>
          </w:tcPr>
          <w:p w14:paraId="06083C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tc>
        <w:tc>
          <w:tcPr>
            <w:tcW w:w="2299" w:type="dxa"/>
          </w:tcPr>
          <w:p w14:paraId="05156D3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220AD3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2299" w:type="dxa"/>
          </w:tcPr>
          <w:p w14:paraId="1465B7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r>
      <w:tr w:rsidR="007D5DF8" w:rsidRPr="00DB5D0D" w14:paraId="3EB477A2" w14:textId="77777777" w:rsidTr="00E543D0">
        <w:tc>
          <w:tcPr>
            <w:tcW w:w="2299" w:type="dxa"/>
          </w:tcPr>
          <w:p w14:paraId="2FA4E9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w:t>
            </w:r>
          </w:p>
        </w:tc>
        <w:tc>
          <w:tcPr>
            <w:tcW w:w="2299" w:type="dxa"/>
          </w:tcPr>
          <w:p w14:paraId="6490AED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1D915B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2299" w:type="dxa"/>
          </w:tcPr>
          <w:p w14:paraId="6C7424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r>
      <w:tr w:rsidR="007D5DF8" w:rsidRPr="00DB5D0D" w14:paraId="3E3FDA5B" w14:textId="77777777" w:rsidTr="00E543D0">
        <w:tc>
          <w:tcPr>
            <w:tcW w:w="2299" w:type="dxa"/>
            <w:tcBorders>
              <w:bottom w:val="single" w:sz="12" w:space="0" w:color="auto"/>
            </w:tcBorders>
          </w:tcPr>
          <w:p w14:paraId="2C5E4D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2299" w:type="dxa"/>
            <w:tcBorders>
              <w:bottom w:val="single" w:sz="12" w:space="0" w:color="auto"/>
            </w:tcBorders>
          </w:tcPr>
          <w:p w14:paraId="38C87F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Borders>
              <w:bottom w:val="single" w:sz="12" w:space="0" w:color="auto"/>
            </w:tcBorders>
          </w:tcPr>
          <w:p w14:paraId="7EDBCC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w:t>
            </w:r>
          </w:p>
        </w:tc>
        <w:tc>
          <w:tcPr>
            <w:tcW w:w="2299" w:type="dxa"/>
            <w:tcBorders>
              <w:bottom w:val="single" w:sz="12" w:space="0" w:color="auto"/>
            </w:tcBorders>
          </w:tcPr>
          <w:p w14:paraId="514E27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(1292,172)</w:t>
            </w:r>
          </w:p>
        </w:tc>
      </w:tr>
    </w:tbl>
    <w:p w14:paraId="32A8A5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Якобы постановление говорило и о постройке 20 ДБ-3 в поплавковом варианте (1304,255).</w:t>
      </w:r>
    </w:p>
    <w:p w14:paraId="0AEEAEE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1B7A0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вышло постановление экономсовета при СНК о подготовке аэродромов НКАП к производству полетов на колесах в зимнее время (1163).</w:t>
      </w:r>
    </w:p>
    <w:p w14:paraId="7C9C6D8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823D6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дизель М-50 с редуктором для подлодки и тк прошел гос. испытания на стенде (1296,227).</w:t>
      </w:r>
    </w:p>
    <w:p w14:paraId="31F53F5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8B82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вышло постановление КО при СНК ССР № 291сс Об отмене мобилизационного положения на заводе № 22 НКАП</w:t>
      </w:r>
    </w:p>
    <w:p w14:paraId="0B0E2A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СССР постановляет:</w:t>
      </w:r>
    </w:p>
    <w:p w14:paraId="3990B3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Отменить с 15 модилизационное положение на заводе № 22 НКАП</w:t>
      </w:r>
    </w:p>
    <w:p w14:paraId="7F55C3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НКО в период с 15 августа по 1 октября 1940 провести демобилизацию рабочих, ИТР и служащих завода, мобилизованных с других заводов на завод № 22 постановлением КО № 266сс/ов от 23 ноября 1938 г.</w:t>
      </w:r>
    </w:p>
    <w:p w14:paraId="182AC6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Порядок демобилизации установить НКО совместно с НКАП.</w:t>
      </w:r>
    </w:p>
    <w:p w14:paraId="3C124C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соответствии с этим прекратить действие пунктов 3 и 4 постановления КО № 266/ов от 23 нояюря 1938 г. и постановление КО № 108 от 7 мая 1939 г.</w:t>
      </w:r>
    </w:p>
    <w:p w14:paraId="25183C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НКАП тов. Шахурина подытожить опыт работы завода № 22 за период его отмобилизования и к 1 декабря 1940 представить в КО выводы из уроков отмобилизования с практическими предложениями (10395,179).</w:t>
      </w:r>
    </w:p>
    <w:p w14:paraId="2DDC45D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66F00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года главный инженер НИИ-3 НКБ в/инженер 1 ранга Костиков утвердил:</w:t>
      </w:r>
    </w:p>
    <w:p w14:paraId="1B6B45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об испытаниях стрельбой на кучность опытной партии 132 мм ракетных осколочно-фугасных снарядов чертежа № 3-00498 с измененными ( к) и стабилизатором</w:t>
      </w:r>
    </w:p>
    <w:p w14:paraId="7D4C29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создания наиболее эффективного, в смысле кучности боя, более экономичного и удобного в эксплуатации 132 мм ракетного осколочного снаряда, было предпринято НИИ № 3 модифицировать штатный 132 мм ракетный осколочный снаряд …………………..</w:t>
      </w:r>
    </w:p>
    <w:p w14:paraId="6DD097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765745F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предельной дистанции.</w:t>
      </w:r>
    </w:p>
    <w:p w14:paraId="0D244CF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кучности боя на предельной дистанции.</w:t>
      </w:r>
    </w:p>
    <w:p w14:paraId="44AA05D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Выявление устойчивости полета снаряда.</w:t>
      </w:r>
    </w:p>
    <w:p w14:paraId="49AEB5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E7A1D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проведенных испытаний РОС-132 с измененными: стабилизатором, диаметром критического сечения сопла и с измененным размером шашек пороха ракетного заряда и полученных при испытании стрельбой по местности на кучность положительных результатов, предлагаем:</w:t>
      </w:r>
    </w:p>
    <w:p w14:paraId="3DD7270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штатных РОС-132 мм, изготовляемых заводами заменить применяемый стабилизатор на стабилизатор, предложенный НИИ-3, т.е. на стабилизатор изготовленный из декопированного железа с дутыми штампованными лопастями согласно чертежей НИИ № 3.</w:t>
      </w:r>
    </w:p>
    <w:p w14:paraId="02012F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……………………………….(7532).</w:t>
      </w:r>
    </w:p>
    <w:p w14:paraId="028DFA0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BBDA8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4 июля и до конца августа 1940 г. на Ногинском полигоне проходи</w:t>
      </w:r>
      <w:r w:rsidRPr="00DB5D0D">
        <w:rPr>
          <w:rFonts w:ascii="Times New Roman" w:hAnsi="Times New Roman"/>
          <w:color w:val="000000" w:themeColor="text1"/>
          <w:sz w:val="16"/>
          <w:szCs w:val="16"/>
        </w:rPr>
        <w:softHyphen/>
        <w:t>ли экспериментальные испытания 20 ракетных снарядов РОС-82 модели 3-00497 по теме 721 объекта партии №12 с легким зарядом. Он состоял из 16-шашек опытного быстрогорящего трехканального пороха рецептуры НГВ марки Нз-16,5/3-230 мм. Диаметр критического сечения сопла у снарядов пришлось расширить до 26 мм, а дисковую диафрагму заме</w:t>
      </w:r>
      <w:r w:rsidRPr="00DB5D0D">
        <w:rPr>
          <w:rFonts w:ascii="Times New Roman" w:hAnsi="Times New Roman"/>
          <w:color w:val="000000" w:themeColor="text1"/>
          <w:sz w:val="16"/>
          <w:szCs w:val="16"/>
        </w:rPr>
        <w:softHyphen/>
        <w:t>нить колосниковой «с мелкой ячеёй». Единственный воспламенитель и 12 г ДРП - донный, с вшитым электрозапалом, концы проводов которо</w:t>
      </w:r>
      <w:r w:rsidRPr="00DB5D0D">
        <w:rPr>
          <w:rFonts w:ascii="Times New Roman" w:hAnsi="Times New Roman"/>
          <w:color w:val="000000" w:themeColor="text1"/>
          <w:sz w:val="16"/>
          <w:szCs w:val="16"/>
        </w:rPr>
        <w:softHyphen/>
        <w:t>го были выведены через весь РЗ и далее наружу через сопло. Под руко</w:t>
      </w:r>
      <w:r w:rsidRPr="00DB5D0D">
        <w:rPr>
          <w:rFonts w:ascii="Times New Roman" w:hAnsi="Times New Roman"/>
          <w:color w:val="000000" w:themeColor="text1"/>
          <w:sz w:val="16"/>
          <w:szCs w:val="16"/>
        </w:rPr>
        <w:softHyphen/>
        <w:t>водством ведущего инженера по теме военинженера 2 ранга М.Н.Тихон равова, военинженера 1 ранга С.Онисько и военинженера 2 ранга Чер нореза определяли кучность стрельбы и измеряли дульную скорость бо еприпасов. Вторая партия также из 20 боеприпасов при стрельбе из 7-ме тровой пусковой продемонстрировала довольно неутешительные резуль таты рассеивания и максимальную скорость в 197,9м/с, что по всем статьям было ниже, чем у штатных боеприпасов (11402).</w:t>
      </w:r>
    </w:p>
    <w:p w14:paraId="55FBCB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7B8191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2CA6A6C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058CE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года в записке наркома обороны С.К Тимошенко и начальника Генштаба Б.М. Шапошникова в Политбюро ЦК ВКП(б) И.В.Сталину и в СНК СССР В.М.Молотову о проведении органи</w:t>
      </w:r>
      <w:r w:rsidRPr="00DB5D0D">
        <w:rPr>
          <w:rFonts w:ascii="Times New Roman" w:hAnsi="Times New Roman"/>
          <w:color w:val="000000" w:themeColor="text1"/>
          <w:sz w:val="16"/>
          <w:szCs w:val="16"/>
        </w:rPr>
        <w:softHyphen/>
        <w:t>зационных мероприятий по военным округам речь шла о планах распределения по округам 178 авиаполков (не считая трех смешанных авиаполков из состава Дальневосточного фронта) (1941 год. Документы. Кн. 1. С. 83,87.) по сравнению со 137 авиаполками на 1 октяюбря 1939 г. Кстати, данный документ уже отражал появившуюся со времен разгрома англо</w:t>
      </w:r>
      <w:r w:rsidRPr="00DB5D0D">
        <w:rPr>
          <w:rFonts w:ascii="Times New Roman" w:hAnsi="Times New Roman"/>
          <w:color w:val="000000" w:themeColor="text1"/>
          <w:sz w:val="16"/>
          <w:szCs w:val="16"/>
        </w:rPr>
        <w:softHyphen/>
        <w:t xml:space="preserve">французских союзников Германией тенденцию рассматривать последнюю в качестве основного предполагаемого противника, и все последующие мероприятия, вызвавшие резкий рост численности ВВС РККА, уже проходили под влиянием этого «германского» фактора (11710,343). </w:t>
      </w:r>
    </w:p>
    <w:p w14:paraId="39FAA7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FEBB9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С.К.Тимошенко - НКО и Б.Шапошников - НГШ писали в ЦК И.В.С. и СНК В.М.М. о необходимости продолжения оргмероприятий по ЛенВО, БелВО, КиВО, ОдВО и в частности формирование мехкорпусов, задержанных в связи с вводом войск в Прибалтику и освобождением Бессарабии и северной части Буковины. В авиации было 4 тбап, 21 дбап, 52 сбап, 4 п ББ-22 и ББ-2, 12 лшап, 4 лбап, 78 иап и всего 178 (1092,19).</w:t>
      </w:r>
    </w:p>
    <w:p w14:paraId="7128A87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D369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численность КА была утверждена в количестве 3461200 по сравнению с 1943000 на 1 января 1939 (1015,19).</w:t>
      </w:r>
    </w:p>
    <w:p w14:paraId="2C72A5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соответствующее постановление СНК вышло 6 июля и имело N 1193-464сс (1092,23).</w:t>
      </w:r>
    </w:p>
    <w:p w14:paraId="4556BB9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B668FA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8A1DBA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47545CE" w14:textId="77777777" w:rsidR="00220CD9" w:rsidRPr="00DB5D0D" w:rsidRDefault="00220CD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4 июля</w:t>
      </w:r>
      <w:r w:rsidRPr="00DB5D0D">
        <w:rPr>
          <w:rFonts w:ascii="Times New Roman" w:hAnsi="Times New Roman"/>
          <w:color w:val="000000" w:themeColor="text1"/>
          <w:sz w:val="16"/>
          <w:szCs w:val="16"/>
        </w:rPr>
        <w:t xml:space="preserve"> в 1940 году на базе «Райт-Филд» начались статические испытания макета будущего </w:t>
      </w:r>
      <w:hyperlink r:id="rId167" w:tgtFrame="_blank" w:history="1">
        <w:r w:rsidRPr="00DB5D0D">
          <w:rPr>
            <w:rFonts w:ascii="Times New Roman" w:hAnsi="Times New Roman"/>
            <w:color w:val="000000" w:themeColor="text1"/>
            <w:sz w:val="16"/>
            <w:szCs w:val="16"/>
          </w:rPr>
          <w:t xml:space="preserve">«В-25» </w:t>
        </w:r>
      </w:hyperlink>
      <w:r w:rsidRPr="00DB5D0D">
        <w:rPr>
          <w:rFonts w:ascii="Times New Roman" w:hAnsi="Times New Roman"/>
          <w:color w:val="000000" w:themeColor="text1"/>
          <w:sz w:val="16"/>
          <w:szCs w:val="16"/>
        </w:rPr>
        <w:t>фирмы «North American» (14942).</w:t>
      </w:r>
    </w:p>
    <w:p w14:paraId="7203AE06" w14:textId="77777777" w:rsidR="00220CD9" w:rsidRPr="00DB5D0D" w:rsidRDefault="00220CD9" w:rsidP="00DB5D0D">
      <w:pPr>
        <w:spacing w:after="0" w:line="240" w:lineRule="auto"/>
        <w:jc w:val="both"/>
        <w:rPr>
          <w:rFonts w:ascii="Times New Roman" w:hAnsi="Times New Roman"/>
          <w:color w:val="000000" w:themeColor="text1"/>
          <w:sz w:val="16"/>
          <w:szCs w:val="16"/>
        </w:rPr>
      </w:pPr>
    </w:p>
    <w:p w14:paraId="2056B15E" w14:textId="77777777" w:rsidR="002B13D2" w:rsidRPr="00DB5D0D" w:rsidRDefault="002B13D2"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июля 1940 в ответ на британскую атаку на Мерс-эль-Кебир бомбардировщики французских ВВС совершают налёт на Гибралтар , причинив небольшой ущерб (20795).</w:t>
      </w:r>
    </w:p>
    <w:p w14:paraId="38DF2922" w14:textId="77777777" w:rsidR="002B13D2" w:rsidRPr="00DB5D0D" w:rsidRDefault="002B13D2" w:rsidP="00DB5D0D">
      <w:pPr>
        <w:spacing w:after="0" w:line="240" w:lineRule="auto"/>
        <w:jc w:val="both"/>
        <w:rPr>
          <w:rFonts w:ascii="Times New Roman" w:hAnsi="Times New Roman"/>
          <w:color w:val="0070C0"/>
          <w:sz w:val="16"/>
          <w:szCs w:val="16"/>
        </w:rPr>
      </w:pPr>
    </w:p>
    <w:p w14:paraId="123813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 xml:space="preserve">July 4th, 1940: In direct response to the devastating British attack on the French fleet at Mers-el-Kebir, the Vichy French government of Marshal Petain breaks off diplomatic relations with Britain. In the House of Commons, prime minister Churchill declares,'I leave the judgment of our actions with confidence to Parliament. I leave it to the nation and I leave it to the United States [?!]. I leave it to the world and to history.' German Stukas and MTBs attack a British convoy S of Portland, sinking 5 merchant ships. </w:t>
      </w:r>
      <w:r w:rsidRPr="00DB5D0D">
        <w:rPr>
          <w:rFonts w:ascii="Times New Roman" w:hAnsi="Times New Roman"/>
          <w:color w:val="000000" w:themeColor="text1"/>
          <w:sz w:val="16"/>
          <w:szCs w:val="16"/>
        </w:rPr>
        <w:t>Italian bombers raid Malta and Alexandria (3819).</w:t>
      </w:r>
    </w:p>
    <w:p w14:paraId="0C46FD2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A6999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в качестве ответа на атаки британской авиации против французского флота правительство Петена разорвало дипотношения с Великобританией. У.Черчиль выступил перед Парламентом с объяснениями. Немецкая авиация и корабли атаковали британский конвой и потопила 5 транспортов. Итальянские бомбардировщики выполнили налет на Мальту и Александрию (3819).</w:t>
      </w:r>
    </w:p>
    <w:p w14:paraId="60208AA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B7495E4" w14:textId="77777777" w:rsidR="00220CD9" w:rsidRPr="00DB5D0D" w:rsidRDefault="00220CD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4 июля</w:t>
      </w:r>
      <w:r w:rsidRPr="00DB5D0D">
        <w:rPr>
          <w:rFonts w:ascii="Times New Roman" w:hAnsi="Times New Roman"/>
          <w:color w:val="000000" w:themeColor="text1"/>
          <w:sz w:val="16"/>
          <w:szCs w:val="16"/>
        </w:rPr>
        <w:t xml:space="preserve"> в 1940 году после уничтожения англичанами французского флота, сосредоточенного по условиям капитуляции Франции перед гитлеровской Германией в ряде французских портов на африканском побережье, временное правительство Петэна прервало все отношения с Великобританией, чем немедленно воспользовался Адольф Гитлер, склонив Петэна и его министров к сотрудничеству с Германией (14942).</w:t>
      </w:r>
    </w:p>
    <w:p w14:paraId="22A72884" w14:textId="77777777" w:rsidR="00220CD9" w:rsidRPr="00DB5D0D" w:rsidRDefault="00220CD9" w:rsidP="00DB5D0D">
      <w:pPr>
        <w:spacing w:after="0" w:line="240" w:lineRule="auto"/>
        <w:jc w:val="both"/>
        <w:rPr>
          <w:rFonts w:ascii="Times New Roman" w:hAnsi="Times New Roman"/>
          <w:color w:val="000000" w:themeColor="text1"/>
          <w:sz w:val="16"/>
          <w:szCs w:val="16"/>
        </w:rPr>
      </w:pPr>
    </w:p>
    <w:p w14:paraId="01CA1D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июля 1940 правительство Петена разорвало дипотношения с Англией (2443,417) и склонилось на сторону А.Гитлера после того, как англичане в портах на африканском побережье уничтожили французский флот (3481).</w:t>
      </w:r>
    </w:p>
    <w:p w14:paraId="41E916F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2377A6" w14:textId="77777777" w:rsidR="00220CD9" w:rsidRPr="00DB5D0D" w:rsidRDefault="00220CD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4 июля</w:t>
      </w:r>
      <w:r w:rsidRPr="00DB5D0D">
        <w:rPr>
          <w:rFonts w:ascii="Times New Roman" w:hAnsi="Times New Roman"/>
          <w:color w:val="000000" w:themeColor="text1"/>
          <w:sz w:val="16"/>
          <w:szCs w:val="16"/>
        </w:rPr>
        <w:t xml:space="preserve"> в 1940 году в Нидерландах населению запрещено слушать зарубежные радиостанции, кроме немецких (14942).</w:t>
      </w:r>
    </w:p>
    <w:p w14:paraId="39B1EB54" w14:textId="77777777" w:rsidR="00220CD9" w:rsidRPr="00DB5D0D" w:rsidRDefault="00220CD9" w:rsidP="00DB5D0D">
      <w:pPr>
        <w:spacing w:after="0" w:line="240" w:lineRule="auto"/>
        <w:jc w:val="both"/>
        <w:rPr>
          <w:rFonts w:ascii="Times New Roman" w:hAnsi="Times New Roman"/>
          <w:color w:val="000000" w:themeColor="text1"/>
          <w:sz w:val="16"/>
          <w:szCs w:val="16"/>
        </w:rPr>
      </w:pPr>
    </w:p>
    <w:p w14:paraId="799DCF0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61D284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79DE2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вышло распоряжение А.И.Ш. по выявлению причин вынужденной посадки самолета ЦКБ-30 Н-2 на аэродроме ГВФ в Свердловске 5 июля 1940 (1313,71). Текст Акта:</w:t>
      </w:r>
    </w:p>
    <w:p w14:paraId="1F16DF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назначенная 5 июля 1940 по распоряжению А.И.Ш. по выявлению причин вынужденной посадки самолета ЦКБ-30 Н-2 на аэродроме ГВФ в Свердловске 5 июля 1940.</w:t>
      </w:r>
    </w:p>
    <w:p w14:paraId="4B81AB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Упало давление масла у левого мотора, одновременно с этим началось выливание масла из-под капота левого мотора, видимое из кабины штурмана.</w:t>
      </w:r>
    </w:p>
    <w:p w14:paraId="489555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течение часа полет продолжался со снижением при давлении масла у левого мотора при сохранении нормальных температурных режимов моторов.</w:t>
      </w:r>
    </w:p>
    <w:p w14:paraId="23EBE6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районе Свердловска давление масла в моторе упало до 0.</w:t>
      </w:r>
    </w:p>
    <w:p w14:paraId="2BED16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посадки самолет вышел из границ рабочей площадки аэродрома. Нестеренко убрала шасси.</w:t>
      </w:r>
    </w:p>
    <w:p w14:paraId="4197DD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посадки с убранным шасси самолет получил следующие повреждения:</w:t>
      </w:r>
    </w:p>
    <w:p w14:paraId="7A23C4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Лопасти обоих винтов погнуты;</w:t>
      </w:r>
    </w:p>
    <w:p w14:paraId="49251F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Смяты и деформированы нижние секции капотов, всасывающие патрубки, карбюраторы.</w:t>
      </w:r>
    </w:p>
    <w:p w14:paraId="303F30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 правого мотора деформирована подмоторная рама.</w:t>
      </w:r>
    </w:p>
    <w:p w14:paraId="032B40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При осмотре мотора, у которого в полете была обнаружена течь масла, установлен обрыв масляной трубки, идущей от тройника гл. масляной магистрали. Обрыв трубки произошел в месте крепления трубки к тройнику гл. магистрали мотора.</w:t>
      </w:r>
    </w:p>
    <w:p w14:paraId="2D4F7C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опроса ведущих инженеров самолета Н-2 Петрова К.А. - завод 39 и Еременко В.А. - завод 29 было установлено, что у аналогичной трубки в полете в одном из предшествующих полетов имел место обрыв у ниппеля. В связи с этим вед. инж. Петровым было произведено изменение конструкции трубки, а именно, перенос компенсирующих винтиков трубки с середины к опорам с целью уменьшения колебаний трубки в полете.</w:t>
      </w:r>
    </w:p>
    <w:p w14:paraId="5D6DFD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Трубки такой конструкции установлены на самолете ЦКБ-30 Н-1</w:t>
      </w:r>
    </w:p>
    <w:p w14:paraId="5FB4E1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Масляная трубка улучшенной конструкции была установлена на самолет непосредственно при окончательной подготовке к полету. Подписал Зам. наркома Кузнецов (1313,71).</w:t>
      </w:r>
    </w:p>
    <w:p w14:paraId="394611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 видно поторопились, недоучили экипаж, а вообще-то - подготовка была грандиозной - костры по маршруту, парашютисты, самолеты и т.п.</w:t>
      </w:r>
    </w:p>
    <w:p w14:paraId="502465D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3CA5C88" w14:textId="77777777" w:rsidR="00C80DC5" w:rsidRPr="00DB5D0D" w:rsidRDefault="00C80DC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 ЦКБ-30 Н-2, который, в отличие от ЦКБ-30 «Москва», был выполнены трехместным: в кабине стрелка-радиста оборудовали рабочее место второго пилота, выполнявшего также обязанности радиста, с женским экипажем в составе: капитана М.П.Нестеренко (командир корабля), старшего лейтенанта Н.И.Русаковой (штурман) и капитана М.Г.Михалевой (второй пилот и радист) стартовал на установление рекорда маршруту Москва - Свердловск (Екатеринбург) - Севастополь - Москва протяженностью 5023 км, но уже в Свердловске он совершил аварийную посадку из-за течи масла и заклинивания в результате этого одного из двигателей (9528).</w:t>
      </w:r>
    </w:p>
    <w:p w14:paraId="554C79FD" w14:textId="77777777" w:rsidR="00C80DC5" w:rsidRPr="00DB5D0D" w:rsidRDefault="00C80DC5" w:rsidP="00DB5D0D">
      <w:pPr>
        <w:spacing w:after="0" w:line="240" w:lineRule="auto"/>
        <w:jc w:val="both"/>
        <w:rPr>
          <w:rFonts w:ascii="Times New Roman" w:hAnsi="Times New Roman"/>
          <w:color w:val="000000" w:themeColor="text1"/>
          <w:sz w:val="16"/>
          <w:szCs w:val="16"/>
        </w:rPr>
      </w:pPr>
    </w:p>
    <w:p w14:paraId="68B70A24" w14:textId="77777777" w:rsidR="00C80DC5" w:rsidRPr="00DB5D0D" w:rsidRDefault="00C80DC5"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5 июля 1940 экипаж Нестеренко на ДБ-3Н-2 отправился в тренировочный полет по маршруту Москва – Свердловск – Севастополь – Москва. В районе Янаула в левом двигателе начало падать давление масла, и штурман сообщила о его течи из-под капота. В течение часа полет продолжался со снижением при сохранении приемлемых температурных режимов моторов, но в районе Свердловска давление масла упало до нуля. Нестеренко приняла решение совершить вынужденную посадку на аэродроме ГВФ в Свердловске.</w:t>
      </w:r>
    </w:p>
    <w:p w14:paraId="510CF945" w14:textId="77777777" w:rsidR="00C80DC5" w:rsidRPr="00DB5D0D" w:rsidRDefault="00C80DC5"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После посадки самолет выкатился за пределы аэродрома, и Нестеренко убрала шасси. В результате были погнуты лопасти обоих винтов, смяты и деформированы капоты, у правого двигателя деформирована подмоторная рама. Позже, осмотр дефектного двигателя выявил причину аварийной посадки – обрыв трубопровода масляной системы.</w:t>
      </w:r>
    </w:p>
    <w:p w14:paraId="79C39F02" w14:textId="77777777" w:rsidR="00C80DC5" w:rsidRPr="00DB5D0D" w:rsidRDefault="00C80DC5"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Скоро М.П. Нестеренко, М.Г. Михалева и Н.И. Русакова на самолете ПС-84 были доставлены в Хабаровск, а после выполнения на самолете «Украина» необходимых, по результатам аварии ДБ-3Н-2, профилактических работ, началось ожидание благоприятной для дальнего перелета погоды (21249).</w:t>
      </w:r>
    </w:p>
    <w:p w14:paraId="60B812D9" w14:textId="77777777" w:rsidR="00C80DC5" w:rsidRPr="00DB5D0D" w:rsidRDefault="00C80DC5" w:rsidP="00DB5D0D">
      <w:pPr>
        <w:spacing w:after="0" w:line="240" w:lineRule="auto"/>
        <w:jc w:val="both"/>
        <w:rPr>
          <w:rFonts w:ascii="Times New Roman" w:hAnsi="Times New Roman"/>
          <w:color w:val="0070C0"/>
          <w:sz w:val="16"/>
          <w:szCs w:val="16"/>
        </w:rPr>
      </w:pPr>
    </w:p>
    <w:p w14:paraId="1F62E6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года Начальник НИП АВ ВВС полковник Шевченко и Военком НИП АВ ВВС в/инженер 2 ранга Щербинин утвердили Отчет по полигонным испытаниям облегченного бомбодержателя Дер-21 изготовленного из стали завода N 32, которые проходили с 22 мая по 19 июня 1940 года (3001).</w:t>
      </w:r>
    </w:p>
    <w:p w14:paraId="30208CD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BC7E1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ГК завода 43 В.Таиров писал письмо в НКАП А.И.Ш. (вход. 3549 от 15 июля). Обещал к 1 января 1941 организовать серию ОКО-6, обеспечить выпуск модифицированного ОКО-6, провести модернизацию ОКО-6, просился на завод Металлоконструкций в ЦАГИ-Раменском (1172,33).</w:t>
      </w:r>
    </w:p>
    <w:p w14:paraId="6E1784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"Алексей Иванович,</w:t>
      </w:r>
    </w:p>
    <w:p w14:paraId="1745B8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Очень благодарен Вам за наш последний разговор.</w:t>
      </w:r>
    </w:p>
    <w:p w14:paraId="68C2AE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Ваши советы и рекомендации помогли мне переоценить некоторые ценности и найти более правильную линию во взаимоотношениях и работе, что важно вообще и для меня в частности.</w:t>
      </w:r>
    </w:p>
    <w:p w14:paraId="0FBDCA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обязуюсь и гарантирую Вам приложить все усилия к тому, чтобы успешно и полностью не позднее 1 января 1941 решить следующие задачи:</w:t>
      </w:r>
    </w:p>
    <w:p w14:paraId="7F0AF1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организовать серийное производство качественных ОКО-6 на заводе 43</w:t>
      </w:r>
    </w:p>
    <w:p w14:paraId="61EC9A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обеспечить выпуск модернизированного ОКО-6 с устранением дефектов 1 экз. и значительным улучшением ЛД</w:t>
      </w:r>
    </w:p>
    <w:p w14:paraId="4CFC62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провести значительную модификацию ОКО-6 для полного удовлетворения требований в 1941.</w:t>
      </w:r>
    </w:p>
    <w:p w14:paraId="096342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как я понял это и из разговора с Вами, вы не считаете мое пребывание в Киеве единственно возможным вариантом.</w:t>
      </w:r>
    </w:p>
    <w:p w14:paraId="400A2B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убедительно прошу Вас рассмотреть мою докладную записку о возможности представления мне не позднее 1 полугодия самостоятельной опытной базы завода "Металлоконструкций ГУ КС НКАП на территории ЦАГИ-Раменское.</w:t>
      </w:r>
    </w:p>
    <w:p w14:paraId="61272A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вариант обеспечил бы мне благоприятное решение вопроса о моей дальнейшей творческой работы в сочетании с полнокровной моей жизнью, что является немаловажным для успеха в работе." (1172,33).</w:t>
      </w:r>
    </w:p>
    <w:p w14:paraId="36A8733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57E5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в ходе заводских испытаний И-200 А.И.М, которые проходили с 31 марта по 17 августа 1940, на И-200-1 был полет на пилотаж (2988).</w:t>
      </w:r>
    </w:p>
    <w:p w14:paraId="0207BE7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238B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Нач. 1 отд. НИИ ВВС ви1р Рудинцев и вком 1 отд. баткомиссар Харчев подписали:</w:t>
      </w:r>
    </w:p>
    <w:p w14:paraId="34B792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Отчета по гос. испытаниям самолета И-301 М-105П конструкции Горбунова, Лавочина и Гудкова:</w:t>
      </w:r>
    </w:p>
    <w:p w14:paraId="017E93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ЛД с-та И-301 выше, чем у всех современных отечественных с-тов с М-105</w:t>
      </w:r>
    </w:p>
    <w:p w14:paraId="6FF612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мощности предусмотренного вооружения среди одноместных истребителей с-т стоит на первом плане</w:t>
      </w:r>
    </w:p>
    <w:p w14:paraId="4E26E6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Недостатком пушечного вооружения является отсутствие приливов на картере мотора для крепления пушки</w:t>
      </w:r>
    </w:p>
    <w:p w14:paraId="455C62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пр-ве с-т прост. Цельнодеревянная конструкция с использованием упрочненной древесины на лонжеронах крыла имеет широкуб базу для производства. Отделка поверхности с-та трудности не представляет</w:t>
      </w:r>
    </w:p>
    <w:p w14:paraId="043F3B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технике пилотирования с-т достаточно прост, статически устойчив при ЦТ 24,6% и соответствует ТТТ</w:t>
      </w:r>
    </w:p>
    <w:p w14:paraId="08D21F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динамически с брошенными рулями с-т не устойчив</w:t>
      </w:r>
    </w:p>
    <w:p w14:paraId="00183C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серийных с-тах необходимо улучшить продольную динамическую устойчивость путем создания более передней центровки подбором веса балансира РВ и удучного соотношения площади стабилизатора и РВ, а также увеличения поперечного V крыла до 6-7 гр.</w:t>
      </w:r>
    </w:p>
    <w:p w14:paraId="3CCF0B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Давление на ручку необходимо снизить путем увеличения компенсации РВ и элеронов</w:t>
      </w:r>
    </w:p>
    <w:p w14:paraId="6DF915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на пробеге необходимо улучшить установкой стопорящегося хвостового колеса и перехода на колесо баллонного типа.</w:t>
      </w:r>
    </w:p>
    <w:p w14:paraId="07A97C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самолета велик и должен быть снижен за счет лучшего исполнения нового материала, примененного в конструкции с-та. Уменьшение полетного веса улучшит ЛТД с-та</w:t>
      </w:r>
    </w:p>
    <w:p w14:paraId="0C1065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полетного веса с-та в 2968 кг нагрузка на колесо в 1340 кг является предельной, что исключает возможность его (колеса) нормальной работы в эксплуатации.</w:t>
      </w:r>
    </w:p>
    <w:p w14:paraId="6C1AD5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Сделать люки в левом борту фюзеляжа с-та для установки р/с и просмотра замка костыля, для освотра тяг управления, а люки для осмотра тяг управления в крыле - увеличить по размеру и т.д. (697,36).</w:t>
      </w:r>
    </w:p>
    <w:p w14:paraId="5C78B10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2CE5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летчик НИИ ВВС А.Прошаков попал на И-180 в перевернутый штопор и разбил самолет выбросившись с парашютом (254,22). 6 (228,131) 1940 - И-180-3 (80,171). С января по июль в НИИ ВВС было 280 полетов с налетом 65 час. 11 мин. (865,135). Испытания были государственным и шли с 28 июня 1940. А.Г.Прошаков при выполнении вертикальной фигуры сорвалась в штопор. А.Г.П. пытался выйти, но вошел в перевернутый. выбросился и приземлился (172,67).</w:t>
      </w:r>
    </w:p>
    <w:p w14:paraId="5E7B14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испытания шли с 27 июня 1940 (2090,147).</w:t>
      </w:r>
    </w:p>
    <w:p w14:paraId="32C3866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2070F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уже ближе к вечеру (в 19 часов 15 минут), летчик-испытатель НИИ ВВС капитан Прошаков вылетел на машине И-180-3 для отработки фигур высшего пилотажа. Это был 45-й полет Е-3, 10-й полет Прошакова на этом типе. На высоте 3500 метров, при выполнении правой бочки самолет сорвался с фигуры и после нескольких кувырканий перешел в перевернутый штопор. Пилоту справиться со штопорящей машиной не удалось, и он на высоте 1000 метров покинул ее. Е-3, вращаясь в перевернутом положении, врезался в землю в окрестностях аэродрома, Прошаков благополучно приземлился на парашюте. Точные причины происшествия установить не удалось. В качестве возможной версии аварийной комиссией предполагались заклинение рулей высоты или деформация передней кромки стабилизатора. Поликарпов, а вместе с ним и Уляхин виновным считали Прошакова, который, по их мнению, не справился с управлением и сам создал ситуацию, приведшую к срыву в штопор. С другой стороны, и это считалось маловероятным, ибо Афанасий Прошаков считался одним из лучших пилотажников НИИ. Афоню - так называли его свои - любили и уважали, прежде всего, за выдающееся летное мастерство (3203,10).</w:t>
      </w:r>
    </w:p>
    <w:p w14:paraId="33EAA0A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2209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года в 20 часов 15 минут летчик-испытатель капитан Прошаков на самолете И-180 с М-88 экземпляр № 3 (первые два экземпляра были разбиты при заводских испытаниях), произведя госиспытания самолета на пилотаж, после выполнения двух виражей приступил к выполнению правой бочки. После дачи рулей на бочку самолет перешел в положение на спину и стал неуправляем, после чего перешел в перевернутый штопор. Не имея возможности вывести самолет в нормальное положение летчик капитан Прошаков принял решение покинуть самолет; на высоте 1200-1500 м летчик покинул самолет и приземлился. Самолет упал в перевернутом положении около деревни Жеребцы ( в 1 км от границы аэродрома).</w:t>
      </w:r>
    </w:p>
    <w:p w14:paraId="73E19C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Самолет разбит (7647, 69).</w:t>
      </w:r>
    </w:p>
    <w:p w14:paraId="3146A14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A5F7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в 19:51 л 1 отд. НИИ ВВС к Прошаков вылетел на с-те И-180 М-88 по заданию на ознакомительный пилотаж с выполнением виражей, б/разворотов, бочек, петель и иммельманов.</w:t>
      </w:r>
    </w:p>
    <w:p w14:paraId="6319EF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3000 м к Прошаков выполнил 2 правых и 2 левых глубоких виража, затем, набрав высоту 3500 м приступил к выполнению правой бочки, для чего разогнал самолет до скорости 270 км/час по прибору и дал рули. С-т не закончил бочку и остался вверх колесами (показания очевидцев разноречивы: один утверждает, что самолет бочку закончил, другие, что он сделал примерно три вращения, третьи - что он не закончил вторую бочку).</w:t>
      </w:r>
    </w:p>
    <w:p w14:paraId="750D64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Поаытка л вывести с-т из перевернутого положения, для чего он оставил сектор газа и облегчил рули, тянул ручку на себя, но она не шла, успеха не имели. На высоте около 1500 м летчик покинул самолет и благополучно приземлился в районе Жеребцы. С-т упал на землю вверх колесами.</w:t>
      </w:r>
    </w:p>
    <w:p w14:paraId="1DD8E8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К-н Прошаков имеет посадок 8697 с налетом 1606 часов.</w:t>
      </w:r>
    </w:p>
    <w:p w14:paraId="255848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Летал на с-тах Р-5, И-4, И-5, УТИ-4, И-15, И-16. На с-тах УТИ-2, Ути-4, И-16 имеет 2608 посадок с налетом 299 часов.</w:t>
      </w:r>
    </w:p>
    <w:p w14:paraId="46D3E0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НИИ ВВС с января по 5 июля 1940 к-н Прошаков произвел 280 полетов с налетом 65:11.</w:t>
      </w:r>
    </w:p>
    <w:p w14:paraId="49669E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вероятной причиной аварии опытного экз. (№3) с-та И-180 М-88 является деформирование передней кромки стабилизатора.</w:t>
      </w:r>
    </w:p>
    <w:p w14:paraId="00D7DB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менее вероятной, но не исключаемой причиной, является заклинение РВ.</w:t>
      </w:r>
    </w:p>
    <w:p w14:paraId="741F5B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Просить командование ВВС о награждении ли истребительных с-тов к-на Прошакова за мужество и хладнокровие, проявленные к-м в полете на навейшем истребителе.</w:t>
      </w:r>
    </w:p>
    <w:p w14:paraId="7203D2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Л-к Прошаков выполнял 7-е задание программы. Все 10 полетов до того (45 минут) были выполнены Прошаковым (задание 7 - полет на маневренность и управляемость)</w:t>
      </w:r>
    </w:p>
    <w:p w14:paraId="17AC4C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заводских испытаниях с 10 февраля по 26 июня 1940 на самолете было выполнено 45 полетов (865,135).</w:t>
      </w:r>
    </w:p>
    <w:p w14:paraId="47FEDD0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7247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 в 19 ч. 51 м последовала авария другого экземпляра И-180 (По поводу времени и даты у различных исследователей имеются расхождения. Так, В.П.Иванов определяет дату полета 6 июля 1939 г. (См. Иванов В.П. Самолеты Н.Н. Поликарпова. С. 331); а М. Маслов (М. Маслов. И-180, И-185) указывает на 5 июля, причем время вылета определяется в 19 ч. 15 мин. (хотя, возможно, в одном из исходных документов по ошибке цифры «1» и «5» поменялись местами).). Летчик-испытатель НИИ ВВС кап. Прошаков вылетел в ознакомительный полет для пилотажа. На высоте 3000 м летчик выполнил ряд глубоких виражей, затем, набрав высоту 3500 м, приступил к выполнению левой бочки, для чего разогнал самолет до скорости 270 км по прибору и дал рули.</w:t>
      </w:r>
    </w:p>
    <w:p w14:paraId="16258B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не закончил бочку и остался в положении вверх колесами.</w:t>
      </w:r>
    </w:p>
    <w:p w14:paraId="39530D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Показатели очевидцев разноречивы – одни указывают, что самолет бочку не закончил, другие – что он сделал три вращения, третьи – что он не окончил вторую бочку и т.д.).</w:t>
      </w:r>
    </w:p>
    <w:p w14:paraId="424AA9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Попытки летчика вывести самолет из перевернутого положения, для чего он тянул обеими руками ручку на себя, успеха не имели. Ручка не шла. На высоте ок. 1500 м. он покинул самолет и благополучно приземлился. Самолет упал на землю вверх колесами и разбился.</w:t>
      </w:r>
    </w:p>
    <w:p w14:paraId="4549CA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Расследование аварии показало: самолет до аварии совершил 55 полетов и пробыл в воздухе ок. 23 часов. 10 полетов длительностью около 5 часов совершил кап. Прошаков. Летчик имеет ок. 8700 посадок с налетом 1600 ч. Летал на многих самолетах, в том числе провел испытания И-153, И-16 М-63, И-97 (Накадзима), Ме-109, И-26-М-105П экз №3, СБ и т. д. Летал на акробатическом сам-те Бюккер на пилотаж с перевернутыми фигурами – на спине. Техникой пилотирования владеет отлично.</w:t>
      </w:r>
    </w:p>
    <w:p w14:paraId="3AE729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Обследование самолета на земле не дало каких-либо указаний на причину отказа управления в полете. Органы управления, проводка, крепления качалок, ручка пилота – если и повреждены, то только при ударе о землю.</w:t>
      </w:r>
    </w:p>
    <w:p w14:paraId="513EBA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Посторонних предметов в самолете не обнаружено.</w:t>
      </w:r>
    </w:p>
    <w:p w14:paraId="6E75C8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предположению комиссии причиной аварии является деформация передней кромки стабилизатора при резком отклонении рулей на вход в бочку, что могло создать большой пик нагрузки на неустойчивом самолете И-180.</w:t>
      </w:r>
    </w:p>
    <w:p w14:paraId="37A99A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менее вероятной, но не менее исключенной причиной... является заклинение руля высоты. Проведенные статические испытания системы управления не могут дать полную картину действительной нагрузки. По показаниям летчика самолет трясло» (Самарский филиал РГАНТД. Ф. Р-217. 1-6. Д. 26. Л. 2-4.).</w:t>
      </w:r>
    </w:p>
    <w:p w14:paraId="009B73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Поликарпову было предложено «немедленно принять меры к обеспечению достаточной продольной устойчивости самолета... без чего считать недопустимым массовый серийный выпуск самолетов». При этом также был сделан упрек в том, что им не учитывается опыт эксплуатации самолета И-16 (Там же. Л. 4.) (11672).</w:t>
      </w:r>
    </w:p>
    <w:p w14:paraId="66A468B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52BA81" w14:textId="77777777" w:rsidR="00220CD9" w:rsidRPr="00DB5D0D" w:rsidRDefault="00220CD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 лётчик-испытатель НИИ ВВС капитан Афанасий Прошаков до ава</w:t>
      </w:r>
      <w:r w:rsidRPr="00DB5D0D">
        <w:rPr>
          <w:rFonts w:ascii="Times New Roman" w:hAnsi="Times New Roman"/>
          <w:color w:val="000000" w:themeColor="text1"/>
          <w:sz w:val="16"/>
          <w:szCs w:val="16"/>
        </w:rPr>
        <w:softHyphen/>
        <w:t>рии на испытываемом опытном истребителе Н.Н. Поликарпова И-180 ус</w:t>
      </w:r>
      <w:r w:rsidRPr="00DB5D0D">
        <w:rPr>
          <w:rFonts w:ascii="Times New Roman" w:hAnsi="Times New Roman"/>
          <w:color w:val="000000" w:themeColor="text1"/>
          <w:sz w:val="16"/>
          <w:szCs w:val="16"/>
        </w:rPr>
        <w:softHyphen/>
        <w:t>пел совершить полеты на немецком акробатическом самолете «Бюккер» «на пилотаж с перевернутыми фигурами — на</w:t>
      </w:r>
      <w:r w:rsidRPr="00DB5D0D">
        <w:rPr>
          <w:rStyle w:val="95pt0"/>
          <w:rFonts w:ascii="Times New Roman" w:hAnsi="Times New Roman" w:cs="Times New Roman"/>
          <w:color w:val="000000" w:themeColor="text1"/>
          <w:sz w:val="16"/>
          <w:szCs w:val="16"/>
        </w:rPr>
        <w:t xml:space="preserve"> спине» (15786).</w:t>
      </w:r>
    </w:p>
    <w:p w14:paraId="1CC9D3BD" w14:textId="77777777" w:rsidR="00220CD9" w:rsidRPr="00DB5D0D" w:rsidRDefault="00220CD9" w:rsidP="00DB5D0D">
      <w:pPr>
        <w:spacing w:after="0" w:line="240" w:lineRule="auto"/>
        <w:jc w:val="both"/>
        <w:rPr>
          <w:rFonts w:ascii="Times New Roman" w:hAnsi="Times New Roman"/>
          <w:color w:val="000000" w:themeColor="text1"/>
          <w:sz w:val="16"/>
          <w:szCs w:val="16"/>
        </w:rPr>
      </w:pPr>
    </w:p>
    <w:p w14:paraId="05CCAA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года завод № 161 на основании Постановления Правительства № 1169-456с из системы Наркомлеса был передан в систему НКАП для производства авиасвечей и магнето. Все оборудование и приспособления для деревообработки были сняты. Завод подвергся полной реконструкции и 23 сентября 1940 года был пущен один цех № 6 (штамповочный) для выпуска новой продукции (9286).</w:t>
      </w:r>
    </w:p>
    <w:p w14:paraId="17AACE6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EBE32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года на основании Постановления Правительства № 1169-456с завод № 161 из системы НК леса был передан в систему НКАП для производства авиасвечей и магнето.</w:t>
      </w:r>
    </w:p>
    <w:p w14:paraId="31A8BD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ОКБ-161 было организовано в 1940 году при заводе № 161 НКАП в Москве.</w:t>
      </w:r>
    </w:p>
    <w:p w14:paraId="3175ED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октябре 1941 года завод № 161 эвакуировался из Москвы в Уфу и разместился на территории бывш. авторемонтного завода, расположенного на ул. Аксакова, 95.</w:t>
      </w:r>
    </w:p>
    <w:p w14:paraId="1433C1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период работы ОКБ-161 с 1940 по 1949 гг. разработаны изделия системы зажигания для поршневых авиамоторов отечественного производства – слюдяные свечи, экранирующие угольники и контактные устройства.</w:t>
      </w:r>
    </w:p>
    <w:p w14:paraId="20821A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1943 году, в I квартале ОКБ освоило керамическую изоляцию.</w:t>
      </w:r>
    </w:p>
    <w:p w14:paraId="3A44D6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1943 по 1945 гг. проделана работа по увеличению сроков службы находящихся в эксплуатации авиасвечей.</w:t>
      </w:r>
    </w:p>
    <w:p w14:paraId="7DDD2D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1945 г. ОКБ обеспечивало выпуск свечей, контактных устройств и угольников для реактивных двигателей.</w:t>
      </w:r>
    </w:p>
    <w:p w14:paraId="292080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1947 и 1948 гг. освоило керамические свечи для авиадвигателей и пусковой подогреватель ПП-20 для облегчения запуска реактивных двигателей в зимних условиях.</w:t>
      </w:r>
    </w:p>
    <w:p w14:paraId="5EE3F8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1950/51 гг. работа ОКБ проводится в двух направлениях:</w:t>
      </w:r>
    </w:p>
    <w:p w14:paraId="6AAEFEE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Разработка новых конструкций систем зажигания (пусковые катушки, свечи, угольники, контактные устройства и др.).</w:t>
      </w:r>
    </w:p>
    <w:p w14:paraId="5675E65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0413870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Разработка агрегатов автоматического запуска для реактивных двигателей типа АП-2, АП-12, АП-12М, АП-2С и др.</w:t>
      </w:r>
    </w:p>
    <w:p w14:paraId="7C30F4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1952 году, согласно приказа МАП № 322 от 25 марта 1952 года, на ОКБ возложено руководство тремя заводами по электроагрегатам: завод № 85, завод № 132, завод № 161.</w:t>
      </w:r>
    </w:p>
    <w:p w14:paraId="7D314E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Работой ОКБ руководили гл. конструкторы:</w:t>
      </w:r>
    </w:p>
    <w:p w14:paraId="679542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Воронков – с 1940 по 1943 гг.</w:t>
      </w:r>
    </w:p>
    <w:p w14:paraId="641A80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Чекунов – с 1943 по 1951 гг.</w:t>
      </w:r>
    </w:p>
    <w:p w14:paraId="67C8B7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Дмитриев – с 1951 по 1956 гг.</w:t>
      </w:r>
    </w:p>
    <w:p w14:paraId="1A36C2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Богомолов – с 1956 г. (9387).</w:t>
      </w:r>
    </w:p>
    <w:p w14:paraId="41E150C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AEA4A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ближе к вечеру (в 19 часов 15 минут), летчик-испытатель НИИ ВВС капитан Прошаков вылетел на И-180-3 для отработки фигур высшего пилотажа. Это был сорок пятый полет Е-3 и десятый полет Прошакова на этом типе. На высоте 3500 метров при выполнении правой бочки самолет сорвался с фигуры и пос</w:t>
      </w:r>
      <w:r w:rsidRPr="00DB5D0D">
        <w:rPr>
          <w:rFonts w:ascii="Times New Roman" w:hAnsi="Times New Roman"/>
          <w:color w:val="000000" w:themeColor="text1"/>
          <w:sz w:val="16"/>
          <w:szCs w:val="16"/>
        </w:rPr>
        <w:softHyphen/>
        <w:t>ле нескольких кувырканий перешел в перевер</w:t>
      </w:r>
      <w:r w:rsidRPr="00DB5D0D">
        <w:rPr>
          <w:rFonts w:ascii="Times New Roman" w:hAnsi="Times New Roman"/>
          <w:color w:val="000000" w:themeColor="text1"/>
          <w:sz w:val="16"/>
          <w:szCs w:val="16"/>
        </w:rPr>
        <w:softHyphen/>
        <w:t>нутый штопор. Пилоту справиться со штопоря</w:t>
      </w:r>
      <w:r w:rsidRPr="00DB5D0D">
        <w:rPr>
          <w:rFonts w:ascii="Times New Roman" w:hAnsi="Times New Roman"/>
          <w:color w:val="000000" w:themeColor="text1"/>
          <w:sz w:val="16"/>
          <w:szCs w:val="16"/>
        </w:rPr>
        <w:softHyphen/>
        <w:t>щей машиной не удалось, и он на высоте 1000 метров выпрыгнул с парашютом. Самолет, вра</w:t>
      </w:r>
      <w:r w:rsidRPr="00DB5D0D">
        <w:rPr>
          <w:rFonts w:ascii="Times New Roman" w:hAnsi="Times New Roman"/>
          <w:color w:val="000000" w:themeColor="text1"/>
          <w:sz w:val="16"/>
          <w:szCs w:val="16"/>
        </w:rPr>
        <w:softHyphen/>
        <w:t>щаясь в перевернутом положении, плашмя упал на землю в окрестностях аэродрома. Прошаков благополучно приземлился. И в этот раз точные причины происшествия установить не удалось. В качестве возможной версии аварийной комиссией предполагались заклинивание рулей высоты или деформация передней кромки стабилизатора. Поликарпов, а вместе с ним и Уляхин считали виновным Прошакова, который, по их мнению, не справился с управлением и сам создал ситуацию, привед</w:t>
      </w:r>
      <w:r w:rsidRPr="00DB5D0D">
        <w:rPr>
          <w:rFonts w:ascii="Times New Roman" w:hAnsi="Times New Roman"/>
          <w:color w:val="000000" w:themeColor="text1"/>
          <w:sz w:val="16"/>
          <w:szCs w:val="16"/>
        </w:rPr>
        <w:softHyphen/>
        <w:t>шую к срыву в перевернутый штопор. С другой стороны, это считалось маловероятным, ибо Афанасий Прошаков являлся одним из лучших пилотажников НИИ ВВС (9979).</w:t>
      </w:r>
    </w:p>
    <w:p w14:paraId="1938E7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71882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был подписан технический отчет (утвердили Нач. ЦИАМ Каширин и ГК з-да № 289 П.О.С.) по испытанию винто-моторной установки М105 с 2-мя турбокомпрессорами ТК-2И на стенде самолета 330 конструкции т. Сухого П.О., согласно приказа НКАП от 19 марта 1940 за № 120с.</w:t>
      </w:r>
    </w:p>
    <w:p w14:paraId="424278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проводлились на ГСЗ № 289 гор. Калиниград в июне 1940.</w:t>
      </w:r>
    </w:p>
    <w:p w14:paraId="0B0B2F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73580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Проверка работы карбюратора при условии подвода к ним воздуха от ВМГ через воздухоочистетиль со стороны винта.</w:t>
      </w:r>
    </w:p>
    <w:p w14:paraId="6A7F20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Определение сопротивления воздухоочистителей и воздуховодов</w:t>
      </w:r>
    </w:p>
    <w:p w14:paraId="29FBD5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Проверка надежности работа мотора при измененном подводе воздуха к карбюраторам, а также надежности ТК установки в части крепления, масляной системы, ресивера, выхлопных коллекторов и воздушных трубопроводов.</w:t>
      </w:r>
    </w:p>
    <w:p w14:paraId="3D2841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Краткий результат испытаний</w:t>
      </w:r>
    </w:p>
    <w:p w14:paraId="4C6156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 951-1, оборудованный двумя ТК ТК-2И, конструкции и производства ЦИАМ, с измененным подводом воздуха к карбюраторам К-105, коммуникацией воздушных и горячих труб конструкции и производства зав. № 135, прошел доводку и длительные испытания на стенде самолета 330 со следующими результатами:</w:t>
      </w:r>
    </w:p>
    <w:p w14:paraId="4D44DB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карбюраторам К-105</w:t>
      </w:r>
    </w:p>
    <w:p w14:paraId="65A820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воздухоохлодителям</w:t>
      </w:r>
    </w:p>
    <w:p w14:paraId="7DEBB6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воздухопроводам</w:t>
      </w:r>
    </w:p>
    <w:p w14:paraId="56B91A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ТК</w:t>
      </w:r>
    </w:p>
    <w:p w14:paraId="162F94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 выхлопным коллекторам</w:t>
      </w:r>
    </w:p>
    <w:p w14:paraId="3A64FC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 мотору</w:t>
      </w:r>
    </w:p>
    <w:p w14:paraId="4F315D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6 этапов 5-ти часовых режимных испытаний. Каждый этап - 1 час на номинале, 4 час. на 0,9 номинала.</w:t>
      </w:r>
    </w:p>
    <w:p w14:paraId="33CA19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мотор проработал 45:55, из них на номинале 9:15, на 0,9 - 26:20.</w:t>
      </w:r>
    </w:p>
    <w:p w14:paraId="6B5076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08D666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экспериментальной части</w:t>
      </w:r>
    </w:p>
    <w:p w14:paraId="243834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проверке надежности</w:t>
      </w:r>
    </w:p>
    <w:p w14:paraId="1B354E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709B8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Моторная установка с мотором М-105П с двумя ТК-2И, с коммуникацией холодных и горячих труб конструкции и производства з-да № 135, прошла 30-ти часовые испытания удовлетворительно.</w:t>
      </w:r>
    </w:p>
    <w:p w14:paraId="7AEAF5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Допустить моторную установку с мотором М-105П с двумя ТК-2И к опытной эксплоатации на самолете при условии устранения всех дефектов, выявленных при испытании (874,2).</w:t>
      </w:r>
    </w:p>
    <w:p w14:paraId="22C8E79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06978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Зам. Главного Контролера КО при СНК Семин писал письмо № 678сс в КОНТРОЛЬ ПОЛИТБЮРО ЦК ВКП(б) -- тов.Ч Е Р Н У X А.</w:t>
      </w:r>
    </w:p>
    <w:p w14:paraId="39380F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Вашему запросу препровождаю справку о выполнении постановления ЦК ВКП(б) и СНК СССР от 10 апреля 1940 г. за №501-179сс "0б ускорении доводки и испытания опытных боевых самолетов, находящихся на испытаниях".</w:t>
      </w:r>
    </w:p>
    <w:p w14:paraId="36AE64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 упомянутое на "3" листах (10514,46).</w:t>
      </w:r>
    </w:p>
    <w:p w14:paraId="5B52FA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95B9688"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w:t>
      </w:r>
    </w:p>
    <w:p w14:paraId="69AAA397"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151. Докладная записка наркома ВМФ СССР Н. Г. Кузнецова Председателю СНК СССР В. М. Молотову о неблагополучном положении дел в советском гидросамолетостроении</w:t>
      </w:r>
    </w:p>
    <w:p w14:paraId="5252BCEF"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4B26F7F0"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619-620.</w:t>
      </w:r>
    </w:p>
    <w:p w14:paraId="3102873B"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490AC27E"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РГАСПИ. Ф. 82. Оп. 2. Д. 823. Л. 41-42. Подлинник.</w:t>
      </w:r>
    </w:p>
    <w:p w14:paraId="3CD4305E"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335062C3"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Авиация Военно-морского флота в силу особенностей театра страны при ведении военных действий на морях без лодочных самолетов обойтись не может. Между тем с гидро</w:t>
      </w:r>
      <w:r w:rsidRPr="00DB5D0D">
        <w:rPr>
          <w:rFonts w:ascii="Times New Roman" w:hAnsi="Times New Roman"/>
          <w:color w:val="000000" w:themeColor="text1"/>
          <w:sz w:val="16"/>
          <w:szCs w:val="16"/>
        </w:rPr>
        <w:softHyphen/>
        <w:t>самолето</w:t>
      </w:r>
      <w:r w:rsidRPr="00DB5D0D">
        <w:rPr>
          <w:rFonts w:ascii="Times New Roman" w:hAnsi="Times New Roman"/>
          <w:color w:val="000000" w:themeColor="text1"/>
          <w:sz w:val="16"/>
          <w:szCs w:val="16"/>
        </w:rPr>
        <w:softHyphen/>
        <w:t>строением дело обстоит чрезвычайно неблагополучно.</w:t>
      </w:r>
    </w:p>
    <w:p w14:paraId="2DE999CC"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Вооружении имеется 830 гидросамолетов МБР</w:t>
      </w:r>
      <w:r w:rsidRPr="00DB5D0D">
        <w:rPr>
          <w:rFonts w:ascii="Times New Roman" w:hAnsi="Times New Roman"/>
          <w:color w:val="000000" w:themeColor="text1"/>
          <w:sz w:val="16"/>
          <w:szCs w:val="16"/>
        </w:rPr>
        <w:noBreakHyphen/>
        <w:t>2 устаревшей конструкции, дорабатывающих свой ресурс, ни в какой степени не отвечающих сложным задачам дальней разведки и других видов взаимодействия с флотом, ныне уже снятых с производства.</w:t>
      </w:r>
    </w:p>
    <w:p w14:paraId="75BE0178"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Внедрение в серийное производство новых гидросамолетов (МТБ</w:t>
      </w:r>
      <w:r w:rsidRPr="00DB5D0D">
        <w:rPr>
          <w:rFonts w:ascii="Times New Roman" w:hAnsi="Times New Roman"/>
          <w:color w:val="000000" w:themeColor="text1"/>
          <w:sz w:val="16"/>
          <w:szCs w:val="16"/>
        </w:rPr>
        <w:noBreakHyphen/>
        <w:t>2, МДР</w:t>
      </w:r>
      <w:r w:rsidRPr="00DB5D0D">
        <w:rPr>
          <w:rFonts w:ascii="Times New Roman" w:hAnsi="Times New Roman"/>
          <w:color w:val="000000" w:themeColor="text1"/>
          <w:sz w:val="16"/>
          <w:szCs w:val="16"/>
        </w:rPr>
        <w:noBreakHyphen/>
        <w:t>6, МДР</w:t>
      </w:r>
      <w:r w:rsidRPr="00DB5D0D">
        <w:rPr>
          <w:rFonts w:ascii="Times New Roman" w:hAnsi="Times New Roman"/>
          <w:color w:val="000000" w:themeColor="text1"/>
          <w:sz w:val="16"/>
          <w:szCs w:val="16"/>
        </w:rPr>
        <w:noBreakHyphen/>
        <w:t>7 и КОР</w:t>
      </w:r>
      <w:r w:rsidRPr="00DB5D0D">
        <w:rPr>
          <w:rFonts w:ascii="Times New Roman" w:hAnsi="Times New Roman"/>
          <w:color w:val="000000" w:themeColor="text1"/>
          <w:sz w:val="16"/>
          <w:szCs w:val="16"/>
        </w:rPr>
        <w:noBreakHyphen/>
        <w:t>1) тянется по несколько лет, причем как со стороны НКАП, так и КО при СНК СССР не принимается резких мер к виновным, не выполняющим годовые, полугодовые и квартальные правительственные планы, к тому же крайне всегда урезываемые КО.</w:t>
      </w:r>
    </w:p>
    <w:p w14:paraId="154B5B0C"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мои неоднократные попытки добиться перелома в гидросамолетостроении, определить для  конструкторских бюро авиапромышленности перспективу его развития встретили большие затруднения и по существу основные вопросы не решены.</w:t>
      </w:r>
    </w:p>
    <w:p w14:paraId="06F097FB"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Единственный в Союзе завод № 31, производивший ранее исключительно гидросамолеты, в данное время более чем на 50% отдан под строительство сухопутного самолета ББ</w:t>
      </w:r>
      <w:r w:rsidRPr="00DB5D0D">
        <w:rPr>
          <w:rFonts w:ascii="Times New Roman" w:hAnsi="Times New Roman"/>
          <w:color w:val="000000" w:themeColor="text1"/>
          <w:sz w:val="16"/>
          <w:szCs w:val="16"/>
        </w:rPr>
        <w:noBreakHyphen/>
        <w:t>1, что в сильной степени затянуло внедрение в серию и сроки готовности гидросамолетов МДР</w:t>
      </w:r>
      <w:r w:rsidRPr="00DB5D0D">
        <w:rPr>
          <w:rFonts w:ascii="Times New Roman" w:hAnsi="Times New Roman"/>
          <w:color w:val="000000" w:themeColor="text1"/>
          <w:sz w:val="16"/>
          <w:szCs w:val="16"/>
        </w:rPr>
        <w:noBreakHyphen/>
        <w:t>6 и КОР</w:t>
      </w:r>
      <w:r w:rsidRPr="00DB5D0D">
        <w:rPr>
          <w:rFonts w:ascii="Times New Roman" w:hAnsi="Times New Roman"/>
          <w:color w:val="000000" w:themeColor="text1"/>
          <w:sz w:val="16"/>
          <w:szCs w:val="16"/>
        </w:rPr>
        <w:noBreakHyphen/>
        <w:t>1. До сего времени из указанных типов заводом не сдано ни одного самолета.</w:t>
      </w:r>
    </w:p>
    <w:p w14:paraId="570329A3"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Крейсеры и линейные корабли остаются не вооруженными корабельными самолетами, что не может не повлечь за собой серьезных последствий от подводного флота для этого типа кораблей.</w:t>
      </w:r>
    </w:p>
    <w:p w14:paraId="2F61278F"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замену устаревших МБР</w:t>
      </w:r>
      <w:r w:rsidRPr="00DB5D0D">
        <w:rPr>
          <w:rFonts w:ascii="Times New Roman" w:hAnsi="Times New Roman"/>
          <w:color w:val="000000" w:themeColor="text1"/>
          <w:sz w:val="16"/>
          <w:szCs w:val="16"/>
        </w:rPr>
        <w:noBreakHyphen/>
        <w:t>2 из авиапромышленности не поступило ни одного самолета и по отношению в НКАП и гидросамолетостроению ожидать поступления необходимого количества гидросамолетов нельзя.</w:t>
      </w:r>
    </w:p>
    <w:p w14:paraId="3D376E85"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всех ранее существовавших КБ по проектированию гидросамолетов осталось по существу одно КБ т. Четверикова, все же остальные переключены или переключаются на строительство сухопутных самолетов, причем и последнее бюро ставится явно в неравные условия с другими КБ по проектированию сухопутных самолетов.</w:t>
      </w:r>
    </w:p>
    <w:p w14:paraId="1297A86E"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Создавшееся положение ставит под угрозу срыва не только развитие современного гидро</w:t>
      </w:r>
      <w:r w:rsidRPr="00DB5D0D">
        <w:rPr>
          <w:rFonts w:ascii="Times New Roman" w:hAnsi="Times New Roman"/>
          <w:color w:val="000000" w:themeColor="text1"/>
          <w:sz w:val="16"/>
          <w:szCs w:val="16"/>
        </w:rPr>
        <w:softHyphen/>
        <w:t>самолето</w:t>
      </w:r>
      <w:r w:rsidRPr="00DB5D0D">
        <w:rPr>
          <w:rFonts w:ascii="Times New Roman" w:hAnsi="Times New Roman"/>
          <w:color w:val="000000" w:themeColor="text1"/>
          <w:sz w:val="16"/>
          <w:szCs w:val="16"/>
        </w:rPr>
        <w:softHyphen/>
        <w:t>строения, но и не обеспечивает замену устаревшей материальной части.</w:t>
      </w:r>
    </w:p>
    <w:p w14:paraId="5F253BB5"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Ваших личных указаний.</w:t>
      </w:r>
    </w:p>
    <w:p w14:paraId="32706DFD"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перечень документов по вопросам морского самолетостроения, отправленных в 1939</w:t>
      </w:r>
      <w:r w:rsidRPr="00DB5D0D">
        <w:rPr>
          <w:rFonts w:ascii="Times New Roman" w:hAnsi="Times New Roman"/>
          <w:color w:val="000000" w:themeColor="text1"/>
          <w:sz w:val="16"/>
          <w:szCs w:val="16"/>
        </w:rPr>
        <w:noBreakHyphen/>
        <w:t>1940 гг. на 4 листах только адресату[</w:t>
      </w:r>
      <w:hyperlink r:id="rId168"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w:t>
      </w:r>
    </w:p>
    <w:p w14:paraId="1E385795"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Военно-морского флота Союза ССР, адмиралКузнецов</w:t>
      </w:r>
    </w:p>
    <w:p w14:paraId="7284AC58"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Резолюция: «Тов. Ворошилову, Вознесенскому, Шахурину. Прошу разобраться и наметить меры по морской авиации. В. Молотов».</w:t>
      </w:r>
    </w:p>
    <w:p w14:paraId="66D4952B"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p w14:paraId="046B6D5D"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69"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Приложение не публикуется (см. там же, Л. 43</w:t>
      </w:r>
      <w:r w:rsidRPr="00DB5D0D">
        <w:rPr>
          <w:rFonts w:ascii="Times New Roman" w:hAnsi="Times New Roman"/>
          <w:color w:val="000000" w:themeColor="text1"/>
          <w:sz w:val="16"/>
          <w:szCs w:val="16"/>
        </w:rPr>
        <w:noBreakHyphen/>
        <w:t>46).</w:t>
      </w:r>
    </w:p>
    <w:p w14:paraId="284F3AFD" w14:textId="77777777" w:rsidR="00BF48DF" w:rsidRPr="00DB5D0D" w:rsidRDefault="00BF48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РГАСПИ. Ф. 82. Оп. 2. Д. 823. Л. 41-42. Подлинник (17911).</w:t>
      </w:r>
    </w:p>
    <w:p w14:paraId="0296CA37" w14:textId="77777777" w:rsidR="00BF48DF" w:rsidRPr="00DB5D0D" w:rsidRDefault="00BF48DF" w:rsidP="00DB5D0D">
      <w:pPr>
        <w:spacing w:after="0" w:line="240" w:lineRule="auto"/>
        <w:jc w:val="both"/>
        <w:rPr>
          <w:rFonts w:ascii="Times New Roman" w:hAnsi="Times New Roman"/>
          <w:color w:val="000000" w:themeColor="text1"/>
          <w:sz w:val="16"/>
          <w:szCs w:val="16"/>
        </w:rPr>
      </w:pPr>
    </w:p>
    <w:p w14:paraId="6DD84C5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5 июля 1940 Нач. ВИАМ Туманов писал письмо № 909/73с Главному контролю СНК тов. Новикову:</w:t>
      </w:r>
    </w:p>
    <w:p w14:paraId="1DF56D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Правительства от 21 ноября 1939 года за № 430сс ВИАМ обязан изготовить подвесные бензобаки ПСВ-100 до 15 апреля 1940 г. в коли</w:t>
      </w:r>
      <w:r w:rsidRPr="00DB5D0D">
        <w:rPr>
          <w:rFonts w:ascii="Times New Roman" w:hAnsi="Times New Roman"/>
          <w:color w:val="000000" w:themeColor="text1"/>
          <w:sz w:val="16"/>
          <w:szCs w:val="16"/>
        </w:rPr>
        <w:softHyphen/>
        <w:t>честве 8000 штук.</w:t>
      </w:r>
    </w:p>
    <w:p w14:paraId="6B7540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ВИАМ"ом было изготовлено падвесных баков:</w:t>
      </w:r>
    </w:p>
    <w:p w14:paraId="0C29F9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ноябре 1939г. - 20 шт.</w:t>
      </w:r>
    </w:p>
    <w:p w14:paraId="416594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декабре 1939г. -194</w:t>
      </w:r>
    </w:p>
    <w:p w14:paraId="71027E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январе 1940 - 1004</w:t>
      </w:r>
    </w:p>
    <w:p w14:paraId="07BA3649" w14:textId="77777777" w:rsidR="003C7E8B" w:rsidRPr="00DB5D0D" w:rsidRDefault="003C7E8B" w:rsidP="00DB5D0D">
      <w:pPr>
        <w:tabs>
          <w:tab w:val="left" w:pos="158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1218 шт.</w:t>
      </w:r>
    </w:p>
    <w:p w14:paraId="0DC131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Принято военной приемкой и сдано заводу № 1 НКАП:</w:t>
      </w:r>
    </w:p>
    <w:p w14:paraId="479B01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декабре 1939 г. - 214 шт.</w:t>
      </w:r>
    </w:p>
    <w:p w14:paraId="209574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январе 1940 г. - 812 шт.</w:t>
      </w:r>
    </w:p>
    <w:p w14:paraId="20B371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1026 шт.</w:t>
      </w:r>
    </w:p>
    <w:p w14:paraId="1F1162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Правительство своим решением от 11 февраля 1940 за №73сс установило новое задание по выпуску подвесных бензобаков РСБ-100 со следующими сроками и в следующем количестве:</w:t>
      </w:r>
    </w:p>
    <w:p w14:paraId="78FA5879" w14:textId="77777777" w:rsidR="003C7E8B" w:rsidRPr="00DB5D0D" w:rsidRDefault="003C7E8B" w:rsidP="00DB5D0D">
      <w:pPr>
        <w:tabs>
          <w:tab w:val="left" w:pos="283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февраль 1940г. - 2720 шт.</w:t>
      </w:r>
    </w:p>
    <w:p w14:paraId="3721087A" w14:textId="77777777" w:rsidR="003C7E8B" w:rsidRPr="00DB5D0D" w:rsidRDefault="003C7E8B" w:rsidP="00DB5D0D">
      <w:pPr>
        <w:tabs>
          <w:tab w:val="left" w:pos="283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март - 2720 шт .</w:t>
      </w:r>
    </w:p>
    <w:p w14:paraId="094F07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апрель - 2720 шт.</w:t>
      </w:r>
    </w:p>
    <w:p w14:paraId="37D29D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8160 шт.</w:t>
      </w:r>
    </w:p>
    <w:p w14:paraId="25FA40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ВИАМ во исполнение данного постановления изгото</w:t>
      </w:r>
      <w:r w:rsidRPr="00DB5D0D">
        <w:rPr>
          <w:rFonts w:ascii="Times New Roman" w:hAnsi="Times New Roman"/>
          <w:color w:val="000000" w:themeColor="text1"/>
          <w:sz w:val="16"/>
          <w:szCs w:val="16"/>
        </w:rPr>
        <w:softHyphen/>
        <w:t>вил подвесных бензобаков ПСБ-100 в следующем коли честве и в следующие сроки:</w:t>
      </w:r>
    </w:p>
    <w:p w14:paraId="0C86EE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Февраль 1940 г. - 2011 шт.</w:t>
      </w:r>
    </w:p>
    <w:p w14:paraId="2F7072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Март - 3650 шт.</w:t>
      </w:r>
    </w:p>
    <w:p w14:paraId="07E204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Апрель " - 2581 шт.</w:t>
      </w:r>
    </w:p>
    <w:p w14:paraId="04DB50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8242 шт.</w:t>
      </w:r>
    </w:p>
    <w:p w14:paraId="6C9BA4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Следовательно ВИАМом было изготовлено ПСБ-100 за время с ноября месяца 1939 г. по 27 апреля 1940г. всего 9460 баков.</w:t>
      </w:r>
    </w:p>
    <w:p w14:paraId="2A0FD8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гадание правительства по выпуску ПСБ-100 было выполнено досрочно. Изготовленная продукция была сдана в следующие сроки и в следующем количестве:</w:t>
      </w:r>
    </w:p>
    <w:tbl>
      <w:tblPr>
        <w:tblW w:w="0" w:type="auto"/>
        <w:tblInd w:w="15" w:type="dxa"/>
        <w:tblLayout w:type="fixed"/>
        <w:tblCellMar>
          <w:left w:w="0" w:type="dxa"/>
          <w:right w:w="0" w:type="dxa"/>
        </w:tblCellMar>
        <w:tblLook w:val="0000" w:firstRow="0" w:lastRow="0" w:firstColumn="0" w:lastColumn="0" w:noHBand="0" w:noVBand="0"/>
      </w:tblPr>
      <w:tblGrid>
        <w:gridCol w:w="1152"/>
        <w:gridCol w:w="1752"/>
        <w:gridCol w:w="2789"/>
      </w:tblGrid>
      <w:tr w:rsidR="007D5DF8" w:rsidRPr="00DB5D0D" w14:paraId="13A0CF84" w14:textId="77777777" w:rsidTr="00E543D0">
        <w:trPr>
          <w:trHeight w:val="365"/>
        </w:trPr>
        <w:tc>
          <w:tcPr>
            <w:tcW w:w="1152" w:type="dxa"/>
            <w:tcBorders>
              <w:top w:val="single" w:sz="12" w:space="0" w:color="auto"/>
              <w:left w:val="single" w:sz="12" w:space="0" w:color="auto"/>
              <w:bottom w:val="single" w:sz="6" w:space="0" w:color="auto"/>
              <w:right w:val="single" w:sz="6" w:space="0" w:color="auto"/>
            </w:tcBorders>
            <w:shd w:val="clear" w:color="auto" w:fill="FFFFFF"/>
          </w:tcPr>
          <w:p w14:paraId="3CE9AF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w:t>
            </w:r>
          </w:p>
        </w:tc>
        <w:tc>
          <w:tcPr>
            <w:tcW w:w="1752" w:type="dxa"/>
            <w:tcBorders>
              <w:top w:val="single" w:sz="12" w:space="0" w:color="auto"/>
              <w:left w:val="single" w:sz="6" w:space="0" w:color="auto"/>
              <w:bottom w:val="single" w:sz="6" w:space="0" w:color="auto"/>
              <w:right w:val="single" w:sz="6" w:space="0" w:color="auto"/>
            </w:tcBorders>
            <w:shd w:val="clear" w:color="auto" w:fill="FFFFFF"/>
          </w:tcPr>
          <w:p w14:paraId="6C0858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1 |</w:t>
            </w:r>
          </w:p>
        </w:tc>
        <w:tc>
          <w:tcPr>
            <w:tcW w:w="2789" w:type="dxa"/>
            <w:tcBorders>
              <w:top w:val="single" w:sz="12" w:space="0" w:color="auto"/>
              <w:left w:val="single" w:sz="6" w:space="0" w:color="auto"/>
              <w:bottom w:val="single" w:sz="6" w:space="0" w:color="auto"/>
              <w:right w:val="single" w:sz="12" w:space="0" w:color="auto"/>
            </w:tcBorders>
            <w:shd w:val="clear" w:color="auto" w:fill="FFFFFF"/>
          </w:tcPr>
          <w:p w14:paraId="172F7B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301</w:t>
            </w:r>
          </w:p>
        </w:tc>
      </w:tr>
      <w:tr w:rsidR="007D5DF8" w:rsidRPr="00DB5D0D" w14:paraId="5A940E0D" w14:textId="77777777" w:rsidTr="00E543D0">
        <w:trPr>
          <w:trHeight w:val="346"/>
        </w:trPr>
        <w:tc>
          <w:tcPr>
            <w:tcW w:w="1152" w:type="dxa"/>
            <w:tcBorders>
              <w:top w:val="single" w:sz="6" w:space="0" w:color="auto"/>
              <w:left w:val="single" w:sz="12" w:space="0" w:color="auto"/>
              <w:bottom w:val="single" w:sz="6" w:space="0" w:color="auto"/>
              <w:right w:val="single" w:sz="6" w:space="0" w:color="auto"/>
            </w:tcBorders>
            <w:shd w:val="clear" w:color="auto" w:fill="FFFFFF"/>
          </w:tcPr>
          <w:p w14:paraId="1B45A6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Февраль</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14:paraId="5A0DF1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1633</w:t>
            </w:r>
          </w:p>
        </w:tc>
        <w:tc>
          <w:tcPr>
            <w:tcW w:w="2789" w:type="dxa"/>
            <w:tcBorders>
              <w:top w:val="single" w:sz="6" w:space="0" w:color="auto"/>
              <w:left w:val="single" w:sz="6" w:space="0" w:color="auto"/>
              <w:bottom w:val="single" w:sz="6" w:space="0" w:color="auto"/>
              <w:right w:val="single" w:sz="12" w:space="0" w:color="auto"/>
            </w:tcBorders>
            <w:shd w:val="clear" w:color="auto" w:fill="FFFFFF"/>
          </w:tcPr>
          <w:p w14:paraId="63F574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сдавалось</w:t>
            </w:r>
          </w:p>
        </w:tc>
      </w:tr>
      <w:tr w:rsidR="007D5DF8" w:rsidRPr="00DB5D0D" w14:paraId="0CF10789" w14:textId="77777777" w:rsidTr="00E543D0">
        <w:trPr>
          <w:trHeight w:val="341"/>
        </w:trPr>
        <w:tc>
          <w:tcPr>
            <w:tcW w:w="1152" w:type="dxa"/>
            <w:tcBorders>
              <w:top w:val="single" w:sz="6" w:space="0" w:color="auto"/>
              <w:left w:val="single" w:sz="12" w:space="0" w:color="auto"/>
              <w:bottom w:val="single" w:sz="6" w:space="0" w:color="auto"/>
              <w:right w:val="single" w:sz="6" w:space="0" w:color="auto"/>
            </w:tcBorders>
            <w:shd w:val="clear" w:color="auto" w:fill="FFFFFF"/>
          </w:tcPr>
          <w:p w14:paraId="7CEBF4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Март</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14:paraId="02FD41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2076</w:t>
            </w:r>
          </w:p>
        </w:tc>
        <w:tc>
          <w:tcPr>
            <w:tcW w:w="2789" w:type="dxa"/>
            <w:tcBorders>
              <w:top w:val="single" w:sz="6" w:space="0" w:color="auto"/>
              <w:left w:val="single" w:sz="6" w:space="0" w:color="auto"/>
              <w:bottom w:val="single" w:sz="6" w:space="0" w:color="auto"/>
              <w:right w:val="single" w:sz="12" w:space="0" w:color="auto"/>
            </w:tcBorders>
            <w:shd w:val="clear" w:color="auto" w:fill="FFFFFF"/>
          </w:tcPr>
          <w:p w14:paraId="48D420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сдавалось</w:t>
            </w:r>
          </w:p>
        </w:tc>
      </w:tr>
      <w:tr w:rsidR="007D5DF8" w:rsidRPr="00DB5D0D" w14:paraId="4A630775" w14:textId="77777777" w:rsidTr="00E543D0">
        <w:trPr>
          <w:trHeight w:val="346"/>
        </w:trPr>
        <w:tc>
          <w:tcPr>
            <w:tcW w:w="1152" w:type="dxa"/>
            <w:tcBorders>
              <w:top w:val="single" w:sz="6" w:space="0" w:color="auto"/>
              <w:left w:val="single" w:sz="12" w:space="0" w:color="auto"/>
              <w:bottom w:val="single" w:sz="6" w:space="0" w:color="auto"/>
              <w:right w:val="single" w:sz="6" w:space="0" w:color="auto"/>
            </w:tcBorders>
            <w:shd w:val="clear" w:color="auto" w:fill="FFFFFF"/>
          </w:tcPr>
          <w:p w14:paraId="15BABC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Апрель</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14:paraId="37D022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сдавалось</w:t>
            </w:r>
          </w:p>
        </w:tc>
        <w:tc>
          <w:tcPr>
            <w:tcW w:w="2789" w:type="dxa"/>
            <w:tcBorders>
              <w:top w:val="single" w:sz="6" w:space="0" w:color="auto"/>
              <w:left w:val="single" w:sz="6" w:space="0" w:color="auto"/>
              <w:bottom w:val="single" w:sz="6" w:space="0" w:color="auto"/>
              <w:right w:val="single" w:sz="12" w:space="0" w:color="auto"/>
            </w:tcBorders>
            <w:shd w:val="clear" w:color="auto" w:fill="FFFFFF"/>
          </w:tcPr>
          <w:p w14:paraId="46B5E0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сдавалось</w:t>
            </w:r>
          </w:p>
        </w:tc>
      </w:tr>
      <w:tr w:rsidR="007D5DF8" w:rsidRPr="00DB5D0D" w14:paraId="66ABB0F4" w14:textId="77777777" w:rsidTr="00E543D0">
        <w:trPr>
          <w:trHeight w:val="346"/>
        </w:trPr>
        <w:tc>
          <w:tcPr>
            <w:tcW w:w="1152" w:type="dxa"/>
            <w:tcBorders>
              <w:top w:val="single" w:sz="6" w:space="0" w:color="auto"/>
              <w:left w:val="single" w:sz="12" w:space="0" w:color="auto"/>
              <w:bottom w:val="single" w:sz="6" w:space="0" w:color="auto"/>
              <w:right w:val="single" w:sz="6" w:space="0" w:color="auto"/>
            </w:tcBorders>
            <w:shd w:val="clear" w:color="auto" w:fill="FFFFFF"/>
          </w:tcPr>
          <w:p w14:paraId="5421EE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14:paraId="34C078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480</w:t>
            </w:r>
          </w:p>
        </w:tc>
        <w:tc>
          <w:tcPr>
            <w:tcW w:w="2789" w:type="dxa"/>
            <w:tcBorders>
              <w:top w:val="single" w:sz="6" w:space="0" w:color="auto"/>
              <w:left w:val="single" w:sz="6" w:space="0" w:color="auto"/>
              <w:bottom w:val="single" w:sz="6" w:space="0" w:color="auto"/>
              <w:right w:val="single" w:sz="12" w:space="0" w:color="auto"/>
            </w:tcBorders>
            <w:shd w:val="clear" w:color="auto" w:fill="FFFFFF"/>
          </w:tcPr>
          <w:p w14:paraId="56ED3F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r>
      <w:tr w:rsidR="007D5DF8" w:rsidRPr="00DB5D0D" w14:paraId="4CC295A0" w14:textId="77777777" w:rsidTr="00E543D0">
        <w:trPr>
          <w:trHeight w:val="346"/>
        </w:trPr>
        <w:tc>
          <w:tcPr>
            <w:tcW w:w="1152" w:type="dxa"/>
            <w:tcBorders>
              <w:top w:val="single" w:sz="6" w:space="0" w:color="auto"/>
              <w:left w:val="single" w:sz="12" w:space="0" w:color="auto"/>
              <w:bottom w:val="single" w:sz="6" w:space="0" w:color="auto"/>
              <w:right w:val="single" w:sz="6" w:space="0" w:color="auto"/>
            </w:tcBorders>
            <w:shd w:val="clear" w:color="auto" w:fill="FFFFFF"/>
          </w:tcPr>
          <w:p w14:paraId="63B06B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14:paraId="0212B5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1186</w:t>
            </w:r>
          </w:p>
        </w:tc>
        <w:tc>
          <w:tcPr>
            <w:tcW w:w="2789" w:type="dxa"/>
            <w:tcBorders>
              <w:top w:val="single" w:sz="6" w:space="0" w:color="auto"/>
              <w:left w:val="single" w:sz="6" w:space="0" w:color="auto"/>
              <w:bottom w:val="single" w:sz="6" w:space="0" w:color="auto"/>
              <w:right w:val="single" w:sz="12" w:space="0" w:color="auto"/>
            </w:tcBorders>
            <w:shd w:val="clear" w:color="auto" w:fill="FFFFFF"/>
          </w:tcPr>
          <w:p w14:paraId="22C077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767</w:t>
            </w:r>
          </w:p>
        </w:tc>
      </w:tr>
      <w:tr w:rsidR="007D5DF8" w:rsidRPr="00DB5D0D" w14:paraId="511EB871" w14:textId="77777777" w:rsidTr="00E543D0">
        <w:trPr>
          <w:trHeight w:val="370"/>
        </w:trPr>
        <w:tc>
          <w:tcPr>
            <w:tcW w:w="1152" w:type="dxa"/>
            <w:tcBorders>
              <w:top w:val="single" w:sz="6" w:space="0" w:color="auto"/>
              <w:left w:val="single" w:sz="12" w:space="0" w:color="auto"/>
              <w:bottom w:val="single" w:sz="12" w:space="0" w:color="auto"/>
              <w:right w:val="single" w:sz="6" w:space="0" w:color="auto"/>
            </w:tcBorders>
            <w:shd w:val="clear" w:color="auto" w:fill="FFFFFF"/>
          </w:tcPr>
          <w:p w14:paraId="5FF30B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1752" w:type="dxa"/>
            <w:tcBorders>
              <w:top w:val="single" w:sz="6" w:space="0" w:color="auto"/>
              <w:left w:val="single" w:sz="6" w:space="0" w:color="auto"/>
              <w:bottom w:val="single" w:sz="12" w:space="0" w:color="auto"/>
              <w:right w:val="single" w:sz="6" w:space="0" w:color="auto"/>
            </w:tcBorders>
            <w:shd w:val="clear" w:color="auto" w:fill="FFFFFF"/>
          </w:tcPr>
          <w:p w14:paraId="09FF53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5375</w:t>
            </w:r>
          </w:p>
        </w:tc>
        <w:tc>
          <w:tcPr>
            <w:tcW w:w="2789" w:type="dxa"/>
            <w:tcBorders>
              <w:top w:val="single" w:sz="6" w:space="0" w:color="auto"/>
              <w:left w:val="single" w:sz="6" w:space="0" w:color="auto"/>
              <w:bottom w:val="single" w:sz="12" w:space="0" w:color="auto"/>
              <w:right w:val="single" w:sz="12" w:space="0" w:color="auto"/>
            </w:tcBorders>
            <w:shd w:val="clear" w:color="auto" w:fill="FFFFFF"/>
          </w:tcPr>
          <w:p w14:paraId="2324AD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927</w:t>
            </w:r>
          </w:p>
        </w:tc>
      </w:tr>
    </w:tbl>
    <w:p w14:paraId="2296B2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Следовательно ВИАМ'ом сдано ПСБ-100 за время с ноября 1939г. по 1-е июля 1940г. 7328 баков.</w:t>
      </w:r>
    </w:p>
    <w:p w14:paraId="0A4D7D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настоящие момент на складах ВИАМ находится не сданных бензо-баков в количестве 2132 шт.</w:t>
      </w:r>
    </w:p>
    <w:p w14:paraId="59E6D2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затоваривание объясняется тем, что эавод № 1 уменьшил приемку баков с 14-го марта и совершенно прекратил ее с 29 марта и только с 25-го мая по 23 июня завод № 1 принял 1666 баков, завод № 301 за то же время принял 927 баков.</w:t>
      </w:r>
    </w:p>
    <w:p w14:paraId="07166F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Оставшиеся баки на складах ВИАМ находятся в сле</w:t>
      </w:r>
      <w:r w:rsidRPr="00DB5D0D">
        <w:rPr>
          <w:rFonts w:ascii="Times New Roman" w:hAnsi="Times New Roman"/>
          <w:color w:val="000000" w:themeColor="text1"/>
          <w:sz w:val="16"/>
          <w:szCs w:val="16"/>
        </w:rPr>
        <w:softHyphen/>
        <w:t>дующем состоянии:</w:t>
      </w:r>
    </w:p>
    <w:p w14:paraId="02CFEF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окрашены и подлежат предъявлению военной приемке -1300 баков</w:t>
      </w:r>
    </w:p>
    <w:p w14:paraId="7E3406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окрашен, и подлежат окраске и сдаче - 832 бака</w:t>
      </w:r>
    </w:p>
    <w:p w14:paraId="2CD722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Окраску баков, комплектование по прказу народного комиссара и отправку производят завожы №№ 1 и 301</w:t>
      </w:r>
    </w:p>
    <w:p w14:paraId="54653C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ВИАМ /Туманов/ (10106,37).</w:t>
      </w:r>
    </w:p>
    <w:p w14:paraId="4AE0A46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p w14:paraId="270FC0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года начальник 3 управления ГУАС в/инженер 1 ранга Никонов и военный комиссар 2 управления ГУАС в/инженер 2 ранга Матаев писали письмо № 519951сс</w:t>
      </w:r>
    </w:p>
    <w:p w14:paraId="225DF0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об опытных работах ОКБ-15 по договорам с ВВС</w:t>
      </w:r>
    </w:p>
    <w:p w14:paraId="08CEFD7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1938 года включительно ОКБ-15 финансировалось за счет 5 фонда и работы выполняло по своему усмотрению, за исключением одного договора, заключенного в 1938 году на проектирование и изготовление 12,7 мм синхронного пулемета.</w:t>
      </w:r>
    </w:p>
    <w:p w14:paraId="07DE707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1938 году ОКБ-15 был заключен договор на сумму 200000 рублей на проектирование и изготовление 12,7 мм синхронного пулемета, по ТТТ УВВС. Этот договор ОКБ-15 не выполнило и подало на испытание 12,7 мм пулемет ШВАК облегченный добавлением пневмоперезарядки. Поданный пулемет не удовлетворял ТТТ. Тем не менее, по решению госарбитра ОКБ-15 получило за этот пулемет как за новый образец 152250 рублей.</w:t>
      </w:r>
    </w:p>
    <w:p w14:paraId="7B8C209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1939 году был заключен договор № 2001 на сумму 2590000 рублей на 7 объектов: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310"/>
        <w:gridCol w:w="1666"/>
      </w:tblGrid>
      <w:tr w:rsidR="007D5DF8" w:rsidRPr="00DB5D0D" w14:paraId="7107B429" w14:textId="77777777" w:rsidTr="00E543D0">
        <w:tc>
          <w:tcPr>
            <w:tcW w:w="3936" w:type="dxa"/>
          </w:tcPr>
          <w:p w14:paraId="49CC6C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объекта</w:t>
            </w:r>
          </w:p>
        </w:tc>
        <w:tc>
          <w:tcPr>
            <w:tcW w:w="1310" w:type="dxa"/>
          </w:tcPr>
          <w:p w14:paraId="427888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Стоимость</w:t>
            </w:r>
          </w:p>
        </w:tc>
        <w:tc>
          <w:tcPr>
            <w:tcW w:w="1666" w:type="dxa"/>
          </w:tcPr>
          <w:p w14:paraId="2520A9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исполнения</w:t>
            </w:r>
          </w:p>
        </w:tc>
      </w:tr>
      <w:tr w:rsidR="007D5DF8" w:rsidRPr="00DB5D0D" w14:paraId="2F2DBE20" w14:textId="77777777" w:rsidTr="00E543D0">
        <w:tc>
          <w:tcPr>
            <w:tcW w:w="3936" w:type="dxa"/>
          </w:tcPr>
          <w:p w14:paraId="4F9770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мм мотор-пушка с установкой на моторе М-103 и 3000 штук патронов</w:t>
            </w:r>
          </w:p>
        </w:tc>
        <w:tc>
          <w:tcPr>
            <w:tcW w:w="1310" w:type="dxa"/>
          </w:tcPr>
          <w:p w14:paraId="7FBBE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500000</w:t>
            </w:r>
          </w:p>
        </w:tc>
        <w:tc>
          <w:tcPr>
            <w:tcW w:w="1666" w:type="dxa"/>
          </w:tcPr>
          <w:p w14:paraId="65A2BC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 1939</w:t>
            </w:r>
          </w:p>
        </w:tc>
      </w:tr>
      <w:tr w:rsidR="007D5DF8" w:rsidRPr="00DB5D0D" w14:paraId="322A3CA6" w14:textId="77777777" w:rsidTr="00E543D0">
        <w:tc>
          <w:tcPr>
            <w:tcW w:w="3936" w:type="dxa"/>
          </w:tcPr>
          <w:p w14:paraId="08E393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трех моторный пушек ШВАК-20 и комплект серийных чертежей</w:t>
            </w:r>
          </w:p>
        </w:tc>
        <w:tc>
          <w:tcPr>
            <w:tcW w:w="1310" w:type="dxa"/>
          </w:tcPr>
          <w:p w14:paraId="1DA68E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200000</w:t>
            </w:r>
          </w:p>
        </w:tc>
        <w:tc>
          <w:tcPr>
            <w:tcW w:w="1666" w:type="dxa"/>
          </w:tcPr>
          <w:p w14:paraId="19C4E8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 1939</w:t>
            </w:r>
          </w:p>
        </w:tc>
      </w:tr>
      <w:tr w:rsidR="007D5DF8" w:rsidRPr="00DB5D0D" w14:paraId="2E9DD68C" w14:textId="77777777" w:rsidTr="00E543D0">
        <w:tc>
          <w:tcPr>
            <w:tcW w:w="3936" w:type="dxa"/>
          </w:tcPr>
          <w:p w14:paraId="19657B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мм пушка с непрерывным питанием и 3000 штук патронов к ней</w:t>
            </w:r>
          </w:p>
        </w:tc>
        <w:tc>
          <w:tcPr>
            <w:tcW w:w="1310" w:type="dxa"/>
          </w:tcPr>
          <w:p w14:paraId="654E3C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800000</w:t>
            </w:r>
          </w:p>
        </w:tc>
        <w:tc>
          <w:tcPr>
            <w:tcW w:w="1666" w:type="dxa"/>
          </w:tcPr>
          <w:p w14:paraId="058085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 1939</w:t>
            </w:r>
          </w:p>
        </w:tc>
      </w:tr>
      <w:tr w:rsidR="007D5DF8" w:rsidRPr="00DB5D0D" w14:paraId="17C8EED9" w14:textId="77777777" w:rsidTr="00E543D0">
        <w:tc>
          <w:tcPr>
            <w:tcW w:w="3936" w:type="dxa"/>
          </w:tcPr>
          <w:p w14:paraId="783C74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Доработка двух 37 мм пушек с магазинным питанием</w:t>
            </w:r>
          </w:p>
        </w:tc>
        <w:tc>
          <w:tcPr>
            <w:tcW w:w="1310" w:type="dxa"/>
          </w:tcPr>
          <w:p w14:paraId="424883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300000</w:t>
            </w:r>
          </w:p>
        </w:tc>
        <w:tc>
          <w:tcPr>
            <w:tcW w:w="1666" w:type="dxa"/>
          </w:tcPr>
          <w:p w14:paraId="72D95C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1939</w:t>
            </w:r>
          </w:p>
        </w:tc>
      </w:tr>
      <w:tr w:rsidR="007D5DF8" w:rsidRPr="00DB5D0D" w14:paraId="75472423" w14:textId="77777777" w:rsidTr="00E543D0">
        <w:tc>
          <w:tcPr>
            <w:tcW w:w="3936" w:type="dxa"/>
          </w:tcPr>
          <w:p w14:paraId="127FC9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Модернизация пулемета УШ 7,62 мм</w:t>
            </w:r>
          </w:p>
        </w:tc>
        <w:tc>
          <w:tcPr>
            <w:tcW w:w="1310" w:type="dxa"/>
          </w:tcPr>
          <w:p w14:paraId="4B59AF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350000</w:t>
            </w:r>
          </w:p>
        </w:tc>
        <w:tc>
          <w:tcPr>
            <w:tcW w:w="1666" w:type="dxa"/>
          </w:tcPr>
          <w:p w14:paraId="4ABAA4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 1939</w:t>
            </w:r>
          </w:p>
        </w:tc>
      </w:tr>
      <w:tr w:rsidR="007D5DF8" w:rsidRPr="00DB5D0D" w14:paraId="10057119" w14:textId="77777777" w:rsidTr="00E543D0">
        <w:tc>
          <w:tcPr>
            <w:tcW w:w="3936" w:type="dxa"/>
          </w:tcPr>
          <w:p w14:paraId="454243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двух синхронных пулеметов УШ-7,62 мм и установка их в самолете И-15; 2 комплекта приспособления автоопережения для этих пулеметов и установка их в самолете для стрельбы через 3-х лопастной винт</w:t>
            </w:r>
          </w:p>
        </w:tc>
        <w:tc>
          <w:tcPr>
            <w:tcW w:w="1310" w:type="dxa"/>
          </w:tcPr>
          <w:p w14:paraId="1A126E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425000</w:t>
            </w:r>
          </w:p>
        </w:tc>
        <w:tc>
          <w:tcPr>
            <w:tcW w:w="1666" w:type="dxa"/>
          </w:tcPr>
          <w:p w14:paraId="502755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 1939</w:t>
            </w:r>
          </w:p>
        </w:tc>
      </w:tr>
      <w:tr w:rsidR="007D5DF8" w:rsidRPr="00DB5D0D" w14:paraId="6A910C23" w14:textId="77777777" w:rsidTr="00E543D0">
        <w:tc>
          <w:tcPr>
            <w:tcW w:w="3936" w:type="dxa"/>
          </w:tcPr>
          <w:p w14:paraId="3BD083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Соединительные муфты для крыльевого пулемета ШКАС</w:t>
            </w:r>
          </w:p>
        </w:tc>
        <w:tc>
          <w:tcPr>
            <w:tcW w:w="1310" w:type="dxa"/>
          </w:tcPr>
          <w:p w14:paraId="4952BB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15000</w:t>
            </w:r>
          </w:p>
        </w:tc>
        <w:tc>
          <w:tcPr>
            <w:tcW w:w="1666" w:type="dxa"/>
          </w:tcPr>
          <w:p w14:paraId="05FA33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 1939</w:t>
            </w:r>
          </w:p>
        </w:tc>
      </w:tr>
    </w:tbl>
    <w:p w14:paraId="598B92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счет этого договора выполнены только п.п. 2 и 7 на сумму 215000 рублей. Позиции 4 и 5 были сняты, а остальные не выполнены.</w:t>
      </w:r>
    </w:p>
    <w:p w14:paraId="5A6CEA6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1939 году с ОКБ-15 заключен договор на две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310"/>
        <w:gridCol w:w="1666"/>
      </w:tblGrid>
      <w:tr w:rsidR="007D5DF8" w:rsidRPr="00DB5D0D" w14:paraId="188FDAB3" w14:textId="77777777" w:rsidTr="00E543D0">
        <w:tc>
          <w:tcPr>
            <w:tcW w:w="3936" w:type="dxa"/>
          </w:tcPr>
          <w:p w14:paraId="1F6A75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мм авиапушка с непрерывным питанием (доработка)</w:t>
            </w:r>
          </w:p>
        </w:tc>
        <w:tc>
          <w:tcPr>
            <w:tcW w:w="1310" w:type="dxa"/>
          </w:tcPr>
          <w:p w14:paraId="522692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474000</w:t>
            </w:r>
          </w:p>
        </w:tc>
        <w:tc>
          <w:tcPr>
            <w:tcW w:w="1666" w:type="dxa"/>
          </w:tcPr>
          <w:p w14:paraId="2CBE38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 1939</w:t>
            </w:r>
          </w:p>
        </w:tc>
      </w:tr>
      <w:tr w:rsidR="007D5DF8" w:rsidRPr="00DB5D0D" w14:paraId="4B7174D9" w14:textId="77777777" w:rsidTr="00E543D0">
        <w:tc>
          <w:tcPr>
            <w:tcW w:w="3936" w:type="dxa"/>
          </w:tcPr>
          <w:p w14:paraId="61C5C6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мм мотор-пушка и 3000 патронов к ней (доработка)</w:t>
            </w:r>
          </w:p>
        </w:tc>
        <w:tc>
          <w:tcPr>
            <w:tcW w:w="1310" w:type="dxa"/>
          </w:tcPr>
          <w:p w14:paraId="7B6905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276000</w:t>
            </w:r>
          </w:p>
        </w:tc>
        <w:tc>
          <w:tcPr>
            <w:tcW w:w="1666" w:type="dxa"/>
          </w:tcPr>
          <w:p w14:paraId="0711A8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 1939</w:t>
            </w:r>
          </w:p>
        </w:tc>
      </w:tr>
    </w:tbl>
    <w:p w14:paraId="5A9C86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(7713, 7-8)</w:t>
      </w:r>
    </w:p>
    <w:p w14:paraId="41E06B9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7CAC24" w14:textId="77777777" w:rsidR="00C80DC5" w:rsidRPr="00DB5D0D" w:rsidRDefault="00C80DC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5 июля 1940 вышло Постановление Комитета обороны при СНК СССР № 301сс "О ходе подготовки производства и выполнении программы по 37-мм и 45-мм автоматическим зенитным пушкам в 1940 г. на заводах № 4 им. Ворошилова и № 8 им. Калинина Наркомата вооружения" (21937).</w:t>
      </w:r>
    </w:p>
    <w:p w14:paraId="32E4DD29" w14:textId="77777777" w:rsidR="00C80DC5" w:rsidRPr="00DB5D0D" w:rsidRDefault="00C80DC5" w:rsidP="00DB5D0D">
      <w:pPr>
        <w:spacing w:after="0" w:line="240" w:lineRule="auto"/>
        <w:jc w:val="both"/>
        <w:rPr>
          <w:rFonts w:ascii="Times New Roman" w:hAnsi="Times New Roman"/>
          <w:color w:val="0070C0"/>
          <w:sz w:val="16"/>
          <w:szCs w:val="16"/>
        </w:rPr>
      </w:pPr>
    </w:p>
    <w:p w14:paraId="11053FF2" w14:textId="77777777" w:rsidR="00C80DC5" w:rsidRPr="00DB5D0D" w:rsidRDefault="00C80DC5" w:rsidP="00DB5D0D">
      <w:pPr>
        <w:spacing w:after="0" w:line="240" w:lineRule="auto"/>
        <w:jc w:val="both"/>
        <w:rPr>
          <w:rFonts w:ascii="Times New Roman" w:hAnsi="Times New Roman"/>
          <w:color w:val="0070C0"/>
          <w:sz w:val="16"/>
          <w:szCs w:val="16"/>
          <w:shd w:val="clear" w:color="auto" w:fill="FFFFFF"/>
        </w:rPr>
      </w:pPr>
      <w:r w:rsidRPr="00DB5D0D">
        <w:rPr>
          <w:rFonts w:ascii="Times New Roman" w:hAnsi="Times New Roman"/>
          <w:color w:val="0070C0"/>
          <w:sz w:val="16"/>
          <w:szCs w:val="16"/>
          <w:shd w:val="clear" w:color="auto" w:fill="FFFFFF"/>
        </w:rPr>
        <w:t>5-6 июля 1940 года провели испытания 4 пушек Л-11 и одной Ф-32. Их Л-11 провалила, маршал Кулик, председатель комиссии, прямым текстом написал, что в предъявленном виде орудие "НЕ ПРИГОДНО". А вот Ф-32 удостоилось похвалы. В протоколе комиссия написала, что выпущенные к тому моменту 70 танков КВ-1 в дальнейшем следовало перевооружить на Ф-32. Кировскому заводу прилетело и за то, что план по организации выпуска Ф-32 он не выполнил.</w:t>
      </w:r>
    </w:p>
    <w:p w14:paraId="1172D66C" w14:textId="77777777" w:rsidR="00C80DC5" w:rsidRPr="00DB5D0D" w:rsidRDefault="00C80DC5" w:rsidP="00DB5D0D">
      <w:pPr>
        <w:spacing w:after="0" w:line="240" w:lineRule="auto"/>
        <w:jc w:val="both"/>
        <w:rPr>
          <w:rFonts w:ascii="Times New Roman" w:hAnsi="Times New Roman"/>
          <w:color w:val="0070C0"/>
          <w:sz w:val="16"/>
          <w:szCs w:val="16"/>
          <w:shd w:val="clear" w:color="auto" w:fill="FFFFFF"/>
        </w:rPr>
      </w:pPr>
      <w:r w:rsidRPr="00DB5D0D">
        <w:rPr>
          <w:rFonts w:ascii="Times New Roman" w:hAnsi="Times New Roman"/>
          <w:color w:val="0070C0"/>
          <w:sz w:val="16"/>
          <w:szCs w:val="16"/>
          <w:shd w:val="clear" w:color="auto" w:fill="FFFFFF"/>
        </w:rPr>
        <w:t>Еще одним неприятным моментом было то, что Л-11, которую ставили в КВ-1, имела очень слабую бронировку системы. Она составляла всего 30 мм при лобовой броне 75 мм. Уже потом неоднократно КВ-1 отхватывал как раз в эту самую подвижную бронировку. У Ф-32 бронировка была значительно толще. Между тем, даже окрик свыше не сильно изменил ситуацию. По факту выпуск Ф-32 начался в декабре 1940 года. При плане на год в 64 пушки сдали 50. Тогда же, наконец, Ф-32 стали ставить в КВ-1. Но не в Т-34! Помимо того, что орудий было мало, вмешался фактор в виде Ф-34. Орудие приняли на вооружение Красной Армии, и именно его собирались теперь ставить в 34-ку. Да и по теме КВ уже имелись варианты. Это и адаптация Ф-34, и 76-мм пушка Ф-27 с баллистикой зенитки 3-К. Поэтому Ф-32 сама становилась временным решением (23022).</w:t>
      </w:r>
    </w:p>
    <w:p w14:paraId="7D98A6DA" w14:textId="77777777" w:rsidR="00C80DC5" w:rsidRPr="00DB5D0D" w:rsidRDefault="00C80DC5" w:rsidP="00DB5D0D">
      <w:pPr>
        <w:spacing w:after="0" w:line="240" w:lineRule="auto"/>
        <w:jc w:val="both"/>
        <w:rPr>
          <w:rFonts w:ascii="Times New Roman" w:hAnsi="Times New Roman"/>
          <w:color w:val="0070C0"/>
          <w:sz w:val="16"/>
          <w:szCs w:val="16"/>
        </w:rPr>
      </w:pPr>
    </w:p>
    <w:p w14:paraId="598B3A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года начальник НИП АВ полковник Шевченко и военком НИП АВ в/инженер 2 ранга Щербинин утвердили:</w:t>
      </w:r>
    </w:p>
    <w:p w14:paraId="4D4A23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осколочных авиабомб АО-10 сталистого чугуна (литье) снаряженных ТНТ+ДНН 80/20 футлярным методом на горизонтальном шнекаппарате 1940 года, завода № 12</w:t>
      </w:r>
    </w:p>
    <w:p w14:paraId="303918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–9 июня 1940 года</w:t>
      </w:r>
    </w:p>
    <w:p w14:paraId="197E92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22 июня 1940 года</w:t>
      </w:r>
    </w:p>
    <w:p w14:paraId="27C5D2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6B396C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507DA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Испытание имело целью определить:</w:t>
      </w:r>
    </w:p>
    <w:p w14:paraId="694DFF0E" w14:textId="77777777" w:rsidR="003C7E8B" w:rsidRPr="00DB5D0D" w:rsidRDefault="003C7E8B" w:rsidP="00DB5D0D">
      <w:pPr>
        <w:pStyle w:val="24"/>
        <w:widowControl/>
        <w:tabs>
          <w:tab w:val="left" w:pos="360"/>
        </w:tabs>
        <w:rPr>
          <w:color w:val="000000" w:themeColor="text1"/>
        </w:rPr>
      </w:pPr>
      <w:r w:rsidRPr="00DB5D0D">
        <w:rPr>
          <w:color w:val="000000" w:themeColor="text1"/>
        </w:rPr>
        <w:t>Осколочное действие бомбы.</w:t>
      </w:r>
    </w:p>
    <w:p w14:paraId="703EA26F" w14:textId="77777777" w:rsidR="003C7E8B" w:rsidRPr="00DB5D0D" w:rsidRDefault="003C7E8B"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2DEA812C" w14:textId="77777777" w:rsidR="003C7E8B" w:rsidRPr="00DB5D0D" w:rsidRDefault="003C7E8B" w:rsidP="00DB5D0D">
      <w:pPr>
        <w:pStyle w:val="24"/>
        <w:widowControl/>
        <w:tabs>
          <w:tab w:val="left" w:pos="360"/>
        </w:tabs>
        <w:rPr>
          <w:color w:val="000000" w:themeColor="text1"/>
        </w:rPr>
      </w:pPr>
      <w:r w:rsidRPr="00DB5D0D">
        <w:rPr>
          <w:color w:val="000000" w:themeColor="text1"/>
        </w:rPr>
        <w:t>Безотказность действия бомб.</w:t>
      </w:r>
    </w:p>
    <w:p w14:paraId="186A50C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в полете.</w:t>
      </w:r>
    </w:p>
    <w:p w14:paraId="41A982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F11F8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АО-10 сталистого чугуна (литье) снаряженные ТНТ+ДНН 80/20 футлярным методом на горизонтальном шнекаппарате 1940 года, завода № 12, по осколочному действию и дроблению корпуса бомбы взрывчатым веществом в сравнении со штатными бомбами АО-10 сталистого чугуна (литье) снаряженные ТНТ+ДНН 80/20 методом шнекования дали удовлетворительные результаты и полигонные испытания выдержали (7550).</w:t>
      </w:r>
    </w:p>
    <w:p w14:paraId="0F7EC2F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D0B6D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5 по 18 июля 1940 года на НИП АВ проходили полигонные испытания осколочных авиабомб АО-15 ОП. П., снаряженных французской смесью методом раздельного снаряжения, 1940 года завода № 12</w:t>
      </w:r>
    </w:p>
    <w:p w14:paraId="0A76AD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05FAAE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D1351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определить:</w:t>
      </w:r>
    </w:p>
    <w:p w14:paraId="6932B5DD" w14:textId="77777777" w:rsidR="003C7E8B" w:rsidRPr="00DB5D0D" w:rsidRDefault="003C7E8B" w:rsidP="00DB5D0D">
      <w:pPr>
        <w:pStyle w:val="24"/>
        <w:widowControl/>
        <w:tabs>
          <w:tab w:val="left" w:pos="360"/>
        </w:tabs>
        <w:rPr>
          <w:color w:val="000000" w:themeColor="text1"/>
        </w:rPr>
      </w:pPr>
      <w:r w:rsidRPr="00DB5D0D">
        <w:rPr>
          <w:color w:val="000000" w:themeColor="text1"/>
        </w:rPr>
        <w:t>Осколочное действие бомб.</w:t>
      </w:r>
    </w:p>
    <w:p w14:paraId="5977DE2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Дробление корпуса бомбы В.В.</w:t>
      </w:r>
    </w:p>
    <w:p w14:paraId="6691D26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Безотказность действия.</w:t>
      </w:r>
    </w:p>
    <w:p w14:paraId="0341DCF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в полете.</w:t>
      </w:r>
    </w:p>
    <w:p w14:paraId="10C79D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4EDEA1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Вследствие того, что штатные бомбы АО-15, снаряженные французской смесью по осколочному действию уступают даже бомбам АО-8м6 снаряженным тем же ВВ из-за дробления корпуса бомбы взрывчатым веществом на крупные осколки, то дальнейшее понижение эффективности осколочного действия бомбы АО-15 НИП АВ ВВС считает нецелесообразным.</w:t>
      </w:r>
    </w:p>
    <w:p w14:paraId="463B0A6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БО-15, снаряженные французской смесью раздельным методом завода № 12, по осколочному действию и дроблению корпуса бомбы взрывчатым веществом в сравнении со штатными бомбами АО-15 дали пониженные результаты на 10,5-4,9% и 44-30,5% и полигонные испытания не выдержали (7548).</w:t>
      </w:r>
    </w:p>
    <w:p w14:paraId="620B60F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6993E9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w:t>
      </w:r>
    </w:p>
    <w:p w14:paraId="6A70CF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«Прокурору Союза ССР. Только лично [от] Королева Сергея Павловича, осужд[енного] Особым Совещанием НКВД к 8 годам Исправительных] Т[рудовых] Л[агерей], Бутырская тюрьма, кам[ера] 66.</w:t>
      </w:r>
    </w:p>
    <w:p w14:paraId="04E592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вызвать меня для личных переговоров с представителем прокуратуры по всем важным вопросам, связанным с моим делом</w:t>
      </w:r>
    </w:p>
    <w:p w14:paraId="762F96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нахожусь под стражей третий год, будучи невиновным в предъявляемых мне обвинениях, м[ожет] б[ыть], хотя бы поэтому Вы не откажете в этой моей просьбе. До сих пор все мои заявления на Ваше имя оставались без ответа...</w:t>
      </w:r>
    </w:p>
    <w:p w14:paraId="1AA4CF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13.09. [19)40 г[ода]. С. Королев» (11912).</w:t>
      </w:r>
    </w:p>
    <w:p w14:paraId="3FAAD46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A3E5E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5B7073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99C82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года завод № 393 направил в ГАУ проект 160-мм миномета М-160 системы Кукушкина. Вес мины 40 кг, начальная скорость 250 м/с, длина ствола 1950 мм (3861).</w:t>
      </w:r>
    </w:p>
    <w:p w14:paraId="64597AE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7CDA2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 17 июля 1940 года на АНИОП были проведенные полигонные испытания 203-мм гаубицы У-3. Кучность у гаубицы У-3 на полном заряде оказалась лучше, чем у гаубицы М-40 на полном заряде и у гаубицы Б-40 на пятом заряде (446 м/с). Отмечен резкий накат ствола после выстрела и конструктивные недостатки подъемного механизма. Гидравлическое устройство для установки гаубицы на поддон работало неудовлетворительно. Вести огонь с колес без поддона нельзя. Неудовлетворительно работал тормоз отката. В ходе испытаний основным средством заряжания служил кокор. Необходимости в кране не было, так как подача снаряда все равно должна производиться вручную. 100-кг снаряд свободно переносился тремя номерами расчета, а 146-кг снаряд четырьмя номерами. Всего на полигонных испытаниях У-3 сделала 695 выстрелов и прошла 516 км обкатки. Подвижность системы удовлетворительная, на походе гаубица устойчива. Согласно заключению комиссии АНИОПа гаубица У-3 полигонные испытания не выдержала, но главный конструктор УЗТМ Сидоренко высказал особое мнение, что гаубица выдержала испытания (3861).</w:t>
      </w:r>
    </w:p>
    <w:p w14:paraId="06D5538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0F22E52"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июля 1940 года Артком срочно приказал собрать четыре 85-мм зенитные пушки и отправить на испытания в Евпаторию, для чего завод № 8 должен снять с 76-мм пушек обр. 1938 г. стволы и заменить их на 85-мм. </w:t>
      </w:r>
    </w:p>
    <w:p w14:paraId="25E7D62F"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Производство 52-К велось исключительно на завдое №8 им. Калинина, который до зимы 1941-42 гг. располагался в деревне Подлипки (Подмосковье), а затем был эвакуирован в г.Свердловск. В 1940 году цена одного орудия 52-К составляла 118 тыс. руб. </w:t>
      </w:r>
    </w:p>
    <w:p w14:paraId="4A108D1C"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22 июня 1941 года в войсках имелось 2630 орудий 52-К. В годы войны 676 орудий было передано в ВМФ. </w:t>
      </w:r>
    </w:p>
    <w:p w14:paraId="7802424F"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Тактико-техничесике характеристики:</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919"/>
        <w:gridCol w:w="799"/>
      </w:tblGrid>
      <w:tr w:rsidR="007D5DF8" w:rsidRPr="00DB5D0D" w14:paraId="02E6651B"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B6DA6C"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Калибр,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60F51"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r>
      <w:tr w:rsidR="007D5DF8" w:rsidRPr="00DB5D0D" w14:paraId="3903F5B8"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165A5"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ствола, клб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5448F"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55,2</w:t>
            </w:r>
          </w:p>
        </w:tc>
      </w:tr>
      <w:tr w:rsidR="007D5DF8" w:rsidRPr="00DB5D0D" w14:paraId="044F9620"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F67087"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Масса орудия в боевом положении,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7DF54"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4300-4900</w:t>
            </w:r>
          </w:p>
        </w:tc>
      </w:tr>
      <w:tr w:rsidR="007D5DF8" w:rsidRPr="00DB5D0D" w14:paraId="3E725C81"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3EFFCB"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Масса откатных частей,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81B77"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940</w:t>
            </w:r>
          </w:p>
        </w:tc>
      </w:tr>
      <w:tr w:rsidR="007D5DF8" w:rsidRPr="00DB5D0D" w14:paraId="7C31671C"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38426"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Углы ВН,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183FD"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+84</w:t>
            </w:r>
          </w:p>
        </w:tc>
      </w:tr>
      <w:tr w:rsidR="007D5DF8" w:rsidRPr="00DB5D0D" w14:paraId="3E7C92AD"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D9416"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Угол ГН,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6CDA8"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r>
      <w:tr w:rsidR="007D5DF8" w:rsidRPr="00DB5D0D" w14:paraId="672195D9"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13DF39"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Начальная скорость снаряда, 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76885"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r>
      <w:tr w:rsidR="007D5DF8" w:rsidRPr="00DB5D0D" w14:paraId="3E141BCB"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E9661"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Скорострельность, выстр/мин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BB3F9"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r>
      <w:tr w:rsidR="007D5DF8" w:rsidRPr="00DB5D0D" w14:paraId="522BA7E4"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7B0766"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Время перевода в боевое положние, мин.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7A6ED"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54122C6A"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D4AED7"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возки по шоссе, км/ч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46637"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r>
      <w:tr w:rsidR="007D5DF8" w:rsidRPr="00DB5D0D" w14:paraId="4E659A8B" w14:textId="77777777" w:rsidTr="0095126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EAF94"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Расчет, чел.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2AF22"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r>
    </w:tbl>
    <w:p w14:paraId="2AE6B59E" w14:textId="77777777" w:rsidR="00951261" w:rsidRPr="00DB5D0D" w:rsidRDefault="0095126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(17356).</w:t>
      </w:r>
    </w:p>
    <w:p w14:paraId="6FD2302F" w14:textId="77777777" w:rsidR="00951261" w:rsidRPr="00DB5D0D" w:rsidRDefault="00951261" w:rsidP="00DB5D0D">
      <w:pPr>
        <w:spacing w:after="0" w:line="240" w:lineRule="auto"/>
        <w:jc w:val="both"/>
        <w:rPr>
          <w:rFonts w:ascii="Times New Roman" w:hAnsi="Times New Roman"/>
          <w:color w:val="000000" w:themeColor="text1"/>
          <w:sz w:val="16"/>
          <w:szCs w:val="16"/>
        </w:rPr>
      </w:pPr>
    </w:p>
    <w:p w14:paraId="6D8F6758" w14:textId="77777777" w:rsidR="003C7E8B" w:rsidRPr="00DB5D0D" w:rsidRDefault="003C7E8B" w:rsidP="00DB5D0D">
      <w:pPr>
        <w:pStyle w:val="a3"/>
        <w:rPr>
          <w:color w:val="000000" w:themeColor="text1"/>
          <w:lang w:val="ru-RU"/>
        </w:rPr>
      </w:pPr>
      <w:r w:rsidRPr="00DB5D0D">
        <w:rPr>
          <w:color w:val="000000" w:themeColor="text1"/>
          <w:lang w:val="ru-RU"/>
        </w:rPr>
        <w:t>На 5 июля 1940 состояние дел по подготовке производства к массовому выпуску бронедеталей для танка Т-34 на Мариупольском заводе на конец июня 1940 г. было следующим:</w:t>
      </w:r>
    </w:p>
    <w:p w14:paraId="317C86F1" w14:textId="77777777" w:rsidR="003C7E8B" w:rsidRPr="00DB5D0D" w:rsidRDefault="003C7E8B" w:rsidP="00DB5D0D">
      <w:pPr>
        <w:pStyle w:val="a3"/>
        <w:rPr>
          <w:color w:val="000000" w:themeColor="text1"/>
          <w:lang w:val="ru-RU"/>
        </w:rPr>
      </w:pPr>
      <w:r w:rsidRPr="00DB5D0D">
        <w:rPr>
          <w:rStyle w:val="122"/>
          <w:rFonts w:ascii="Times New Roman" w:hAnsi="Times New Roman" w:cs="Times New Roman"/>
          <w:i w:val="0"/>
          <w:iCs w:val="0"/>
          <w:color w:val="000000" w:themeColor="text1"/>
          <w:spacing w:val="0"/>
          <w:sz w:val="16"/>
          <w:szCs w:val="16"/>
          <w:lang w:val="ru-RU"/>
        </w:rPr>
        <w:t>№50сс от 05 июля 1940 г.</w:t>
      </w:r>
    </w:p>
    <w:p w14:paraId="11519BA7"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Начальнику Авто Бронетанкового Управления Гэнерал-лейтенанту т. Федоренко</w:t>
      </w:r>
    </w:p>
    <w:p w14:paraId="02CD0FD1"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 соответствии с приказом 025с по АБТУ КА докладываю о со</w:t>
      </w:r>
      <w:r w:rsidRPr="00DB5D0D">
        <w:rPr>
          <w:rFonts w:ascii="Times New Roman" w:hAnsi="Times New Roman" w:cs="Times New Roman"/>
          <w:i w:val="0"/>
          <w:iCs w:val="0"/>
          <w:color w:val="000000" w:themeColor="text1"/>
          <w:sz w:val="16"/>
          <w:szCs w:val="16"/>
          <w:lang w:val="ru-RU"/>
        </w:rPr>
        <w:softHyphen/>
        <w:t>стоянии производства по Заводу им. Ильича.</w:t>
      </w:r>
    </w:p>
    <w:p w14:paraId="0FE4769B"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Style w:val="1140"/>
          <w:rFonts w:ascii="Times New Roman" w:hAnsi="Times New Roman" w:cs="Times New Roman"/>
          <w:iCs/>
          <w:color w:val="000000" w:themeColor="text1"/>
          <w:sz w:val="16"/>
          <w:szCs w:val="16"/>
          <w:lang w:val="ru-RU"/>
        </w:rPr>
        <w:t>Выполнение программы июня.</w:t>
      </w:r>
      <w:r w:rsidRPr="00DB5D0D">
        <w:rPr>
          <w:rFonts w:ascii="Times New Roman" w:hAnsi="Times New Roman" w:cs="Times New Roman"/>
          <w:i w:val="0"/>
          <w:iCs w:val="0"/>
          <w:color w:val="000000" w:themeColor="text1"/>
          <w:sz w:val="16"/>
          <w:szCs w:val="16"/>
          <w:lang w:val="ru-RU"/>
        </w:rPr>
        <w:t xml:space="preserve"> На 1.7.40 программа по Т-34 вы</w:t>
      </w:r>
      <w:r w:rsidRPr="00DB5D0D">
        <w:rPr>
          <w:rFonts w:ascii="Times New Roman" w:hAnsi="Times New Roman" w:cs="Times New Roman"/>
          <w:i w:val="0"/>
          <w:iCs w:val="0"/>
          <w:color w:val="000000" w:themeColor="text1"/>
          <w:sz w:val="16"/>
          <w:szCs w:val="16"/>
          <w:lang w:val="ru-RU"/>
        </w:rPr>
        <w:softHyphen/>
        <w:t>полнена полностью — изготовлено 20 комплектов деталей корпуса и башни и на 1.7.40 все отгружены Заводу № 183.</w:t>
      </w:r>
    </w:p>
    <w:p w14:paraId="4AA6DC32"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Заделы на Июль значительно пополнились. Привожу сравнитель</w:t>
      </w:r>
      <w:r w:rsidRPr="00DB5D0D">
        <w:rPr>
          <w:rFonts w:ascii="Times New Roman" w:hAnsi="Times New Roman" w:cs="Times New Roman"/>
          <w:i w:val="0"/>
          <w:iCs w:val="0"/>
          <w:color w:val="000000" w:themeColor="text1"/>
          <w:sz w:val="16"/>
          <w:szCs w:val="16"/>
          <w:lang w:val="ru-RU"/>
        </w:rPr>
        <w:softHyphen/>
        <w:t>ную таблицу заделов на 20.6.40 и на 1.7.40, всего деталей имею</w:t>
      </w:r>
      <w:r w:rsidRPr="00DB5D0D">
        <w:rPr>
          <w:rFonts w:ascii="Times New Roman" w:hAnsi="Times New Roman" w:cs="Times New Roman"/>
          <w:i w:val="0"/>
          <w:iCs w:val="0"/>
          <w:color w:val="000000" w:themeColor="text1"/>
          <w:sz w:val="16"/>
          <w:szCs w:val="16"/>
          <w:lang w:val="ru-RU"/>
        </w:rPr>
        <w:softHyphen/>
        <w:t>щихся в работе по всем переделам:</w:t>
      </w:r>
    </w:p>
    <w:tbl>
      <w:tblPr>
        <w:tblW w:w="0" w:type="auto"/>
        <w:tblInd w:w="8" w:type="dxa"/>
        <w:tblLayout w:type="fixed"/>
        <w:tblCellMar>
          <w:left w:w="0" w:type="dxa"/>
          <w:right w:w="0" w:type="dxa"/>
        </w:tblCellMar>
        <w:tblLook w:val="0000" w:firstRow="0" w:lastRow="0" w:firstColumn="0" w:lastColumn="0" w:noHBand="0" w:noVBand="0"/>
      </w:tblPr>
      <w:tblGrid>
        <w:gridCol w:w="2750"/>
        <w:gridCol w:w="1162"/>
        <w:gridCol w:w="1128"/>
      </w:tblGrid>
      <w:tr w:rsidR="007D5DF8" w:rsidRPr="00DB5D0D" w14:paraId="043DD8BB" w14:textId="77777777" w:rsidTr="00E543D0">
        <w:trPr>
          <w:trHeight w:val="202"/>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7E5A4A5E"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Основные детали</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68E4010A"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на 20.6.40</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0E08D772"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на 1.7.40</w:t>
            </w:r>
          </w:p>
        </w:tc>
      </w:tr>
      <w:tr w:rsidR="007D5DF8" w:rsidRPr="00DB5D0D" w14:paraId="706EBDDB" w14:textId="77777777" w:rsidTr="00E543D0">
        <w:trPr>
          <w:trHeight w:val="192"/>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53B026C5"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Борт правый</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7CC2D2F"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30</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5EEE20D7"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56</w:t>
            </w:r>
          </w:p>
        </w:tc>
      </w:tr>
      <w:tr w:rsidR="007D5DF8" w:rsidRPr="00DB5D0D" w14:paraId="67B820D4" w14:textId="77777777" w:rsidTr="00E543D0">
        <w:trPr>
          <w:trHeight w:val="192"/>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63766E05"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Борт левый</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5167B292"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30</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123A75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r>
      <w:tr w:rsidR="007D5DF8" w:rsidRPr="00DB5D0D" w14:paraId="51B657A1" w14:textId="77777777" w:rsidTr="00E543D0">
        <w:trPr>
          <w:trHeight w:val="187"/>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1DD0485F"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Подкрылок правый</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5A7538CE"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27</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5E111DF0"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46</w:t>
            </w:r>
          </w:p>
        </w:tc>
      </w:tr>
      <w:tr w:rsidR="007D5DF8" w:rsidRPr="00DB5D0D" w14:paraId="4CB1B39B" w14:textId="77777777" w:rsidTr="00E543D0">
        <w:trPr>
          <w:trHeight w:val="192"/>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5B4C945A"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lastRenderedPageBreak/>
              <w:t>Подкрылок левый</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3E42ADF"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27</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034D6F41"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46</w:t>
            </w:r>
          </w:p>
        </w:tc>
      </w:tr>
      <w:tr w:rsidR="007D5DF8" w:rsidRPr="00DB5D0D" w14:paraId="05F28DBC" w14:textId="77777777" w:rsidTr="00E543D0">
        <w:trPr>
          <w:trHeight w:val="187"/>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5844147B"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Корма корпуса 29-007</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46D294FD"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10</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17AA93BE"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48</w:t>
            </w:r>
          </w:p>
        </w:tc>
      </w:tr>
      <w:tr w:rsidR="007D5DF8" w:rsidRPr="00DB5D0D" w14:paraId="465672DC" w14:textId="77777777" w:rsidTr="00E543D0">
        <w:trPr>
          <w:trHeight w:val="192"/>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45341121"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Корма корпуса 29-008</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798202CA"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28</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0BB1FD7E"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33</w:t>
            </w:r>
          </w:p>
        </w:tc>
      </w:tr>
      <w:tr w:rsidR="007D5DF8" w:rsidRPr="00DB5D0D" w14:paraId="524020BB" w14:textId="77777777" w:rsidTr="00E543D0">
        <w:trPr>
          <w:trHeight w:val="192"/>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7D814293"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Нос корпуса 29-904</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62E40D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61F0141A"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32</w:t>
            </w:r>
          </w:p>
        </w:tc>
      </w:tr>
      <w:tr w:rsidR="007D5DF8" w:rsidRPr="00DB5D0D" w14:paraId="1A7407C7" w14:textId="77777777" w:rsidTr="00E543D0">
        <w:trPr>
          <w:trHeight w:val="192"/>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0134865F"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Нос корпуса 29-905</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57139538" w14:textId="77777777" w:rsidR="003C7E8B" w:rsidRPr="00DB5D0D" w:rsidRDefault="003C7E8B" w:rsidP="00DB5D0D">
            <w:pPr>
              <w:pStyle w:val="213"/>
              <w:shd w:val="clear" w:color="auto" w:fill="auto"/>
              <w:spacing w:after="0" w:line="240" w:lineRule="auto"/>
              <w:ind w:firstLine="0"/>
              <w:rPr>
                <w:rFonts w:ascii="Times New Roman" w:hAnsi="Times New Roman" w:cs="Times New Roman"/>
                <w:b w:val="0"/>
                <w:bCs w:val="0"/>
                <w:i w:val="0"/>
                <w:iCs w:val="0"/>
                <w:color w:val="000000" w:themeColor="text1"/>
              </w:rPr>
            </w:pPr>
            <w:r w:rsidRPr="00DB5D0D">
              <w:rPr>
                <w:rFonts w:ascii="Times New Roman" w:hAnsi="Times New Roman" w:cs="Times New Roman"/>
                <w:b w:val="0"/>
                <w:bCs w:val="0"/>
                <w:i w:val="0"/>
                <w:iCs w:val="0"/>
                <w:color w:val="000000" w:themeColor="text1"/>
              </w:rPr>
              <w:t>—</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255073B7"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48</w:t>
            </w:r>
          </w:p>
        </w:tc>
      </w:tr>
      <w:tr w:rsidR="007D5DF8" w:rsidRPr="00DB5D0D" w14:paraId="0333CB49" w14:textId="77777777" w:rsidTr="00E543D0">
        <w:trPr>
          <w:trHeight w:val="192"/>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705B1E07"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Боковина башни 30-018</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729BF058"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17</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63605F45"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28'</w:t>
            </w:r>
          </w:p>
        </w:tc>
      </w:tr>
      <w:tr w:rsidR="007D5DF8" w:rsidRPr="00DB5D0D" w14:paraId="53657A87" w14:textId="77777777" w:rsidTr="00E543D0">
        <w:trPr>
          <w:trHeight w:val="192"/>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750A749A"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Боковина башни 30-019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D2823EC"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18</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77F6D5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r>
      <w:tr w:rsidR="007D5DF8" w:rsidRPr="00DB5D0D" w14:paraId="3F7B56AD" w14:textId="77777777" w:rsidTr="00E543D0">
        <w:trPr>
          <w:trHeight w:val="202"/>
        </w:trPr>
        <w:tc>
          <w:tcPr>
            <w:tcW w:w="2750" w:type="dxa"/>
            <w:tcBorders>
              <w:top w:val="single" w:sz="6" w:space="0" w:color="auto"/>
              <w:left w:val="single" w:sz="6" w:space="0" w:color="auto"/>
              <w:bottom w:val="single" w:sz="6" w:space="0" w:color="auto"/>
              <w:right w:val="single" w:sz="6" w:space="0" w:color="auto"/>
            </w:tcBorders>
            <w:shd w:val="clear" w:color="auto" w:fill="FFFFFF"/>
          </w:tcPr>
          <w:p w14:paraId="771A6A2D"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Лобовой лист 30-001</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4B683815"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12</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783C61A8" w14:textId="77777777" w:rsidR="003C7E8B" w:rsidRPr="00DB5D0D" w:rsidRDefault="003C7E8B" w:rsidP="00DB5D0D">
            <w:pPr>
              <w:pStyle w:val="71"/>
              <w:shd w:val="clear" w:color="auto" w:fill="auto"/>
              <w:spacing w:line="240" w:lineRule="auto"/>
              <w:ind w:firstLine="0"/>
              <w:jc w:val="both"/>
              <w:rPr>
                <w:rFonts w:ascii="Times New Roman" w:hAnsi="Times New Roman" w:cs="Times New Roman"/>
                <w:i w:val="0"/>
                <w:iCs w:val="0"/>
                <w:color w:val="000000" w:themeColor="text1"/>
                <w:spacing w:val="0"/>
              </w:rPr>
            </w:pPr>
            <w:r w:rsidRPr="00DB5D0D">
              <w:rPr>
                <w:rFonts w:ascii="Times New Roman" w:hAnsi="Times New Roman" w:cs="Times New Roman"/>
                <w:i w:val="0"/>
                <w:iCs w:val="0"/>
                <w:color w:val="000000" w:themeColor="text1"/>
                <w:spacing w:val="0"/>
              </w:rPr>
              <w:t>10</w:t>
            </w:r>
          </w:p>
        </w:tc>
      </w:tr>
    </w:tbl>
    <w:p w14:paraId="79B9135F" w14:textId="77777777" w:rsidR="003C7E8B" w:rsidRPr="00DB5D0D" w:rsidRDefault="003C7E8B" w:rsidP="00DB5D0D">
      <w:pPr>
        <w:pStyle w:val="aff1"/>
        <w:shd w:val="clear" w:color="auto" w:fill="auto"/>
        <w:spacing w:line="240" w:lineRule="auto"/>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Заделы по башенным деталям не созданы ввиду изменения чертежей в связи с расширением башни.</w:t>
      </w:r>
    </w:p>
    <w:p w14:paraId="4C290C43"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Style w:val="1140"/>
          <w:rFonts w:ascii="Times New Roman" w:hAnsi="Times New Roman" w:cs="Times New Roman"/>
          <w:iCs/>
          <w:color w:val="000000" w:themeColor="text1"/>
          <w:sz w:val="16"/>
          <w:szCs w:val="16"/>
          <w:lang w:val="ru-RU"/>
        </w:rPr>
        <w:t>Подготовка к развертыванию.</w:t>
      </w:r>
      <w:r w:rsidRPr="00DB5D0D">
        <w:rPr>
          <w:rFonts w:ascii="Times New Roman" w:hAnsi="Times New Roman" w:cs="Times New Roman"/>
          <w:i w:val="0"/>
          <w:iCs w:val="0"/>
          <w:color w:val="000000" w:themeColor="text1"/>
          <w:sz w:val="16"/>
          <w:szCs w:val="16"/>
          <w:lang w:val="ru-RU"/>
        </w:rPr>
        <w:t xml:space="preserve"> Первый план мероприятий, выпу</w:t>
      </w:r>
      <w:r w:rsidRPr="00DB5D0D">
        <w:rPr>
          <w:rFonts w:ascii="Times New Roman" w:hAnsi="Times New Roman" w:cs="Times New Roman"/>
          <w:i w:val="0"/>
          <w:iCs w:val="0"/>
          <w:color w:val="000000" w:themeColor="text1"/>
          <w:sz w:val="16"/>
          <w:szCs w:val="16"/>
          <w:lang w:val="ru-RU"/>
        </w:rPr>
        <w:softHyphen/>
        <w:t>щенный приказом директора, заканчивается выполнением:</w:t>
      </w:r>
    </w:p>
    <w:p w14:paraId="5DC83DC8" w14:textId="77777777" w:rsidR="003C7E8B" w:rsidRPr="00DB5D0D" w:rsidRDefault="003C7E8B" w:rsidP="00DB5D0D">
      <w:pPr>
        <w:pStyle w:val="1110"/>
        <w:shd w:val="clear" w:color="auto" w:fill="auto"/>
        <w:tabs>
          <w:tab w:val="left" w:pos="553"/>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1.1-го Июля выпущена 1-я плавка стали МЗ-2 из печи №7 в Мартеновском цехе №2. О качестве этой плавки еще ничего сказать нельзя. Во всяком случае, сейчас уже имеется 2 печи, выплавляю</w:t>
      </w:r>
      <w:r w:rsidRPr="00DB5D0D">
        <w:rPr>
          <w:rFonts w:ascii="Times New Roman" w:hAnsi="Times New Roman" w:cs="Times New Roman"/>
          <w:i w:val="0"/>
          <w:iCs w:val="0"/>
          <w:color w:val="000000" w:themeColor="text1"/>
          <w:sz w:val="16"/>
          <w:szCs w:val="16"/>
          <w:lang w:val="ru-RU"/>
        </w:rPr>
        <w:softHyphen/>
        <w:t>щие сталь МЗ-2. Недостатка в металле пока не ощущается.</w:t>
      </w:r>
    </w:p>
    <w:p w14:paraId="65F6FA85" w14:textId="77777777" w:rsidR="003C7E8B" w:rsidRPr="00DB5D0D" w:rsidRDefault="003C7E8B" w:rsidP="00DB5D0D">
      <w:pPr>
        <w:pStyle w:val="1110"/>
        <w:shd w:val="clear" w:color="auto" w:fill="auto"/>
        <w:tabs>
          <w:tab w:val="left" w:pos="519"/>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2.Закончена установка станков Пляуэрт в Цехе 5. Установлено дополнительно 3 огнерезных автомата.</w:t>
      </w:r>
    </w:p>
    <w:p w14:paraId="4EF5AA7D" w14:textId="77777777" w:rsidR="003C7E8B" w:rsidRPr="00DB5D0D" w:rsidRDefault="003C7E8B" w:rsidP="00DB5D0D">
      <w:pPr>
        <w:pStyle w:val="1110"/>
        <w:shd w:val="clear" w:color="auto" w:fill="auto"/>
        <w:tabs>
          <w:tab w:val="left" w:pos="50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3.В новом механическом Цехе «М» установлено 3 строгальных станка и 3 кромкострогальных.</w:t>
      </w:r>
    </w:p>
    <w:p w14:paraId="419A6603" w14:textId="77777777" w:rsidR="003C7E8B" w:rsidRPr="00DB5D0D" w:rsidRDefault="003C7E8B" w:rsidP="00DB5D0D">
      <w:pPr>
        <w:pStyle w:val="1110"/>
        <w:shd w:val="clear" w:color="auto" w:fill="auto"/>
        <w:tabs>
          <w:tab w:val="left" w:pos="519"/>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4.Отремонтирован полностью артиллерийский тир и ведется планировка площадки для стройки нового тира.</w:t>
      </w:r>
    </w:p>
    <w:p w14:paraId="5B484A71"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Некоторые работы, однако, значительно задерживаются:</w:t>
      </w:r>
    </w:p>
    <w:p w14:paraId="7F5CCA95" w14:textId="77777777" w:rsidR="003C7E8B" w:rsidRPr="00DB5D0D" w:rsidRDefault="003C7E8B" w:rsidP="00DB5D0D">
      <w:pPr>
        <w:pStyle w:val="1110"/>
        <w:shd w:val="clear" w:color="auto" w:fill="auto"/>
        <w:tabs>
          <w:tab w:val="left" w:pos="50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1.Не ведутся работы по оборудованию площадей старотрубно</w:t>
      </w:r>
      <w:r w:rsidRPr="00DB5D0D">
        <w:rPr>
          <w:rFonts w:ascii="Times New Roman" w:hAnsi="Times New Roman" w:cs="Times New Roman"/>
          <w:i w:val="0"/>
          <w:iCs w:val="0"/>
          <w:color w:val="000000" w:themeColor="text1"/>
          <w:sz w:val="16"/>
          <w:szCs w:val="16"/>
          <w:lang w:val="ru-RU"/>
        </w:rPr>
        <w:softHyphen/>
        <w:t>го цеха под огнерезный участок.</w:t>
      </w:r>
    </w:p>
    <w:p w14:paraId="25D4A7CC" w14:textId="77777777" w:rsidR="003C7E8B" w:rsidRPr="00DB5D0D" w:rsidRDefault="003C7E8B" w:rsidP="00DB5D0D">
      <w:pPr>
        <w:pStyle w:val="1110"/>
        <w:shd w:val="clear" w:color="auto" w:fill="auto"/>
        <w:tabs>
          <w:tab w:val="left" w:pos="500"/>
        </w:tabs>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2.Очень слабо ведутся работы по термопечам на площадях же</w:t>
      </w:r>
      <w:r w:rsidRPr="00DB5D0D">
        <w:rPr>
          <w:rFonts w:ascii="Times New Roman" w:hAnsi="Times New Roman" w:cs="Times New Roman"/>
          <w:i w:val="0"/>
          <w:iCs w:val="0"/>
          <w:color w:val="000000" w:themeColor="text1"/>
          <w:sz w:val="16"/>
          <w:szCs w:val="16"/>
          <w:lang w:val="ru-RU"/>
        </w:rPr>
        <w:softHyphen/>
        <w:t>лезно-котельного цеха.</w:t>
      </w:r>
    </w:p>
    <w:p w14:paraId="6A3605B6"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 настоящее время готовится второй план мероприятий, в кото</w:t>
      </w:r>
      <w:r w:rsidRPr="00DB5D0D">
        <w:rPr>
          <w:rFonts w:ascii="Times New Roman" w:hAnsi="Times New Roman" w:cs="Times New Roman"/>
          <w:i w:val="0"/>
          <w:iCs w:val="0"/>
          <w:color w:val="000000" w:themeColor="text1"/>
          <w:sz w:val="16"/>
          <w:szCs w:val="16"/>
          <w:lang w:val="ru-RU"/>
        </w:rPr>
        <w:softHyphen/>
        <w:t>ром будет предусмотрено, как проведение дополнительных мероп</w:t>
      </w:r>
      <w:r w:rsidRPr="00DB5D0D">
        <w:rPr>
          <w:rFonts w:ascii="Times New Roman" w:hAnsi="Times New Roman" w:cs="Times New Roman"/>
          <w:i w:val="0"/>
          <w:iCs w:val="0"/>
          <w:color w:val="000000" w:themeColor="text1"/>
          <w:sz w:val="16"/>
          <w:szCs w:val="16"/>
          <w:lang w:val="ru-RU"/>
        </w:rPr>
        <w:softHyphen/>
        <w:t>риятий в обеспечение Сентября-Октября, так и форсирование ме</w:t>
      </w:r>
      <w:r w:rsidRPr="00DB5D0D">
        <w:rPr>
          <w:rFonts w:ascii="Times New Roman" w:hAnsi="Times New Roman" w:cs="Times New Roman"/>
          <w:i w:val="0"/>
          <w:iCs w:val="0"/>
          <w:color w:val="000000" w:themeColor="text1"/>
          <w:sz w:val="16"/>
          <w:szCs w:val="16"/>
          <w:lang w:val="ru-RU"/>
        </w:rPr>
        <w:softHyphen/>
        <w:t>роприятий по первому плану.</w:t>
      </w:r>
    </w:p>
    <w:p w14:paraId="358617B2"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Style w:val="1140"/>
          <w:rFonts w:ascii="Times New Roman" w:hAnsi="Times New Roman" w:cs="Times New Roman"/>
          <w:iCs/>
          <w:color w:val="000000" w:themeColor="text1"/>
          <w:sz w:val="16"/>
          <w:szCs w:val="16"/>
          <w:lang w:val="ru-RU"/>
        </w:rPr>
        <w:t>Кооперация.</w:t>
      </w:r>
      <w:r w:rsidRPr="00DB5D0D">
        <w:rPr>
          <w:rFonts w:ascii="Times New Roman" w:hAnsi="Times New Roman" w:cs="Times New Roman"/>
          <w:i w:val="0"/>
          <w:iCs w:val="0"/>
          <w:color w:val="000000" w:themeColor="text1"/>
          <w:sz w:val="16"/>
          <w:szCs w:val="16"/>
          <w:lang w:val="ru-RU"/>
        </w:rPr>
        <w:t xml:space="preserve"> Внутризаводская кооперация охватывает теперь дополнительные цеха: Цех 1, Цех 8, ФЗУ, Цех «М» - ново-механи- ческий, Цех «Т» - ново-термический. Однако до сих пор еще не организована четкая кооперация и координация работ. Заготови</w:t>
      </w:r>
      <w:r w:rsidRPr="00DB5D0D">
        <w:rPr>
          <w:rFonts w:ascii="Times New Roman" w:hAnsi="Times New Roman" w:cs="Times New Roman"/>
          <w:i w:val="0"/>
          <w:iCs w:val="0"/>
          <w:color w:val="000000" w:themeColor="text1"/>
          <w:sz w:val="16"/>
          <w:szCs w:val="16"/>
          <w:lang w:val="ru-RU"/>
        </w:rPr>
        <w:softHyphen/>
        <w:t>тельные участки основного Цеха № 5 не обеспечили коопериро</w:t>
      </w:r>
      <w:r w:rsidRPr="00DB5D0D">
        <w:rPr>
          <w:rFonts w:ascii="Times New Roman" w:hAnsi="Times New Roman" w:cs="Times New Roman"/>
          <w:i w:val="0"/>
          <w:iCs w:val="0"/>
          <w:color w:val="000000" w:themeColor="text1"/>
          <w:sz w:val="16"/>
          <w:szCs w:val="16"/>
          <w:lang w:val="ru-RU"/>
        </w:rPr>
        <w:softHyphen/>
        <w:t>ванные цехи необходимыми заготовками. Таким образом, можно констатировать, что для выполнения Июльской - Августовской программы завод имеет достаточно мощностей. Необходимо сроч</w:t>
      </w:r>
      <w:r w:rsidRPr="00DB5D0D">
        <w:rPr>
          <w:rFonts w:ascii="Times New Roman" w:hAnsi="Times New Roman" w:cs="Times New Roman"/>
          <w:i w:val="0"/>
          <w:iCs w:val="0"/>
          <w:color w:val="000000" w:themeColor="text1"/>
          <w:sz w:val="16"/>
          <w:szCs w:val="16"/>
          <w:lang w:val="ru-RU"/>
        </w:rPr>
        <w:softHyphen/>
        <w:t>но расширить заготовительные участки, и главное, организаци</w:t>
      </w:r>
      <w:r w:rsidRPr="00DB5D0D">
        <w:rPr>
          <w:rFonts w:ascii="Times New Roman" w:hAnsi="Times New Roman" w:cs="Times New Roman"/>
          <w:i w:val="0"/>
          <w:iCs w:val="0"/>
          <w:color w:val="000000" w:themeColor="text1"/>
          <w:sz w:val="16"/>
          <w:szCs w:val="16"/>
          <w:lang w:val="ru-RU"/>
        </w:rPr>
        <w:softHyphen/>
        <w:t>онно более четко оформить кооперацию между цехами - форма пока еще не установлена, будет ли это отдел, или Помощник Гпав- ного инженера или иная форма.</w:t>
      </w:r>
    </w:p>
    <w:p w14:paraId="7447D5D0"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Помимо внутризаводской кооперации нами приняты меры по изысканию возможностей на стороне. Составлен договор с Судо</w:t>
      </w:r>
      <w:r w:rsidRPr="00DB5D0D">
        <w:rPr>
          <w:rFonts w:ascii="Times New Roman" w:hAnsi="Times New Roman" w:cs="Times New Roman"/>
          <w:i w:val="0"/>
          <w:iCs w:val="0"/>
          <w:color w:val="000000" w:themeColor="text1"/>
          <w:sz w:val="16"/>
          <w:szCs w:val="16"/>
          <w:lang w:val="ru-RU"/>
        </w:rPr>
        <w:softHyphen/>
        <w:t>ремонтным заводом Мариупольского порта на механическую об</w:t>
      </w:r>
      <w:r w:rsidRPr="00DB5D0D">
        <w:rPr>
          <w:rFonts w:ascii="Times New Roman" w:hAnsi="Times New Roman" w:cs="Times New Roman"/>
          <w:i w:val="0"/>
          <w:iCs w:val="0"/>
          <w:color w:val="000000" w:themeColor="text1"/>
          <w:sz w:val="16"/>
          <w:szCs w:val="16"/>
          <w:lang w:val="ru-RU"/>
        </w:rPr>
        <w:softHyphen/>
        <w:t>работку деталей. Есть предварительная договоренность с заво</w:t>
      </w:r>
      <w:r w:rsidRPr="00DB5D0D">
        <w:rPr>
          <w:rFonts w:ascii="Times New Roman" w:hAnsi="Times New Roman" w:cs="Times New Roman"/>
          <w:i w:val="0"/>
          <w:iCs w:val="0"/>
          <w:color w:val="000000" w:themeColor="text1"/>
          <w:sz w:val="16"/>
          <w:szCs w:val="16"/>
          <w:lang w:val="ru-RU"/>
        </w:rPr>
        <w:softHyphen/>
        <w:t>дом «Азовсталь».</w:t>
      </w:r>
    </w:p>
    <w:p w14:paraId="02E277B7"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Style w:val="1140"/>
          <w:rFonts w:ascii="Times New Roman" w:hAnsi="Times New Roman" w:cs="Times New Roman"/>
          <w:iCs/>
          <w:color w:val="000000" w:themeColor="text1"/>
          <w:sz w:val="16"/>
          <w:szCs w:val="16"/>
          <w:lang w:val="ru-RU"/>
        </w:rPr>
        <w:t>Подготовка производства.</w:t>
      </w:r>
      <w:r w:rsidRPr="00DB5D0D">
        <w:rPr>
          <w:rFonts w:ascii="Times New Roman" w:hAnsi="Times New Roman" w:cs="Times New Roman"/>
          <w:i w:val="0"/>
          <w:iCs w:val="0"/>
          <w:color w:val="000000" w:themeColor="text1"/>
          <w:sz w:val="16"/>
          <w:szCs w:val="16"/>
          <w:lang w:val="ru-RU"/>
        </w:rPr>
        <w:t xml:space="preserve"> Сдвигов нет. В прошлом докладе я писал об организации специальной «группы технологов и конструк</w:t>
      </w:r>
      <w:r w:rsidRPr="00DB5D0D">
        <w:rPr>
          <w:rFonts w:ascii="Times New Roman" w:hAnsi="Times New Roman" w:cs="Times New Roman"/>
          <w:i w:val="0"/>
          <w:iCs w:val="0"/>
          <w:color w:val="000000" w:themeColor="text1"/>
          <w:sz w:val="16"/>
          <w:szCs w:val="16"/>
          <w:lang w:val="ru-RU"/>
        </w:rPr>
        <w:softHyphen/>
        <w:t>торов» по разработке приспособлений. Пока запроектированы толь</w:t>
      </w:r>
      <w:r w:rsidRPr="00DB5D0D">
        <w:rPr>
          <w:rFonts w:ascii="Times New Roman" w:hAnsi="Times New Roman" w:cs="Times New Roman"/>
          <w:i w:val="0"/>
          <w:iCs w:val="0"/>
          <w:color w:val="000000" w:themeColor="text1"/>
          <w:sz w:val="16"/>
          <w:szCs w:val="16"/>
          <w:lang w:val="ru-RU"/>
        </w:rPr>
        <w:softHyphen/>
        <w:t>ко 3 приспособления, группа еще не освоилась с работой и не на</w:t>
      </w:r>
      <w:r w:rsidRPr="00DB5D0D">
        <w:rPr>
          <w:rFonts w:ascii="Times New Roman" w:hAnsi="Times New Roman" w:cs="Times New Roman"/>
          <w:i w:val="0"/>
          <w:iCs w:val="0"/>
          <w:color w:val="000000" w:themeColor="text1"/>
          <w:sz w:val="16"/>
          <w:szCs w:val="16"/>
          <w:lang w:val="ru-RU"/>
        </w:rPr>
        <w:softHyphen/>
        <w:t>брала необходимых темпов.</w:t>
      </w:r>
    </w:p>
    <w:p w14:paraId="4517515E"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Style w:val="1140"/>
          <w:rFonts w:ascii="Times New Roman" w:hAnsi="Times New Roman" w:cs="Times New Roman"/>
          <w:iCs/>
          <w:color w:val="000000" w:themeColor="text1"/>
          <w:sz w:val="16"/>
          <w:szCs w:val="16"/>
          <w:lang w:val="ru-RU"/>
        </w:rPr>
        <w:t>О программе по А-7.</w:t>
      </w:r>
      <w:r w:rsidRPr="00DB5D0D">
        <w:rPr>
          <w:rFonts w:ascii="Times New Roman" w:hAnsi="Times New Roman" w:cs="Times New Roman"/>
          <w:i w:val="0"/>
          <w:iCs w:val="0"/>
          <w:color w:val="000000" w:themeColor="text1"/>
          <w:sz w:val="16"/>
          <w:szCs w:val="16"/>
          <w:lang w:val="ru-RU"/>
        </w:rPr>
        <w:t xml:space="preserve"> В связи с работами по А-34 выполнение программы по А-7 фактически свернуто. В июне доукомплектовано 25 комплекте, а всего с начала года 710 комплектов. Недовыполне</w:t>
      </w:r>
      <w:r w:rsidRPr="00DB5D0D">
        <w:rPr>
          <w:rFonts w:ascii="Times New Roman" w:hAnsi="Times New Roman" w:cs="Times New Roman"/>
          <w:i w:val="0"/>
          <w:iCs w:val="0"/>
          <w:color w:val="000000" w:themeColor="text1"/>
          <w:sz w:val="16"/>
          <w:szCs w:val="16"/>
          <w:lang w:val="ru-RU"/>
        </w:rPr>
        <w:softHyphen/>
        <w:t>ние годового заказа - 140шт. Завод 183дал письмо о прекращении изготовления А-7. От АБТУ я никаких указаний не имею. Прошу сан</w:t>
      </w:r>
      <w:r w:rsidRPr="00DB5D0D">
        <w:rPr>
          <w:rFonts w:ascii="Times New Roman" w:hAnsi="Times New Roman" w:cs="Times New Roman"/>
          <w:i w:val="0"/>
          <w:iCs w:val="0"/>
          <w:color w:val="000000" w:themeColor="text1"/>
          <w:sz w:val="16"/>
          <w:szCs w:val="16"/>
          <w:lang w:val="ru-RU"/>
        </w:rPr>
        <w:softHyphen/>
        <w:t>кционировать прекращение производства по А-7. Также и по выпол</w:t>
      </w:r>
      <w:r w:rsidRPr="00DB5D0D">
        <w:rPr>
          <w:rFonts w:ascii="Times New Roman" w:hAnsi="Times New Roman" w:cs="Times New Roman"/>
          <w:i w:val="0"/>
          <w:iCs w:val="0"/>
          <w:color w:val="000000" w:themeColor="text1"/>
          <w:sz w:val="16"/>
          <w:szCs w:val="16"/>
          <w:lang w:val="ru-RU"/>
        </w:rPr>
        <w:softHyphen/>
        <w:t>нению заказов на ремонтные детали, в Июле - Августе в связи с работами по А-34 темпы будут сильно снижены, и выполнение зака</w:t>
      </w:r>
      <w:r w:rsidRPr="00DB5D0D">
        <w:rPr>
          <w:rFonts w:ascii="Times New Roman" w:hAnsi="Times New Roman" w:cs="Times New Roman"/>
          <w:i w:val="0"/>
          <w:iCs w:val="0"/>
          <w:color w:val="000000" w:themeColor="text1"/>
          <w:sz w:val="16"/>
          <w:szCs w:val="16"/>
          <w:lang w:val="ru-RU"/>
        </w:rPr>
        <w:softHyphen/>
        <w:t>зов на ремдетали отнесется на последние месяцы.</w:t>
      </w:r>
    </w:p>
    <w:p w14:paraId="2A994B3C" w14:textId="77777777" w:rsidR="003C7E8B" w:rsidRPr="00DB5D0D" w:rsidRDefault="003C7E8B" w:rsidP="00DB5D0D">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Ст. Военпред АБТУ военинженер 2-го ранга Зухер.</w:t>
      </w:r>
      <w:r w:rsidRPr="00DB5D0D">
        <w:rPr>
          <w:rStyle w:val="1170"/>
          <w:rFonts w:ascii="Times New Roman" w:hAnsi="Times New Roman" w:cs="Times New Roman"/>
          <w:iCs/>
          <w:color w:val="000000" w:themeColor="text1"/>
          <w:spacing w:val="0"/>
          <w:sz w:val="16"/>
          <w:szCs w:val="16"/>
          <w:lang w:val="ru-RU"/>
        </w:rPr>
        <w:t xml:space="preserve"> [</w:t>
      </w:r>
      <w:r w:rsidRPr="00DB5D0D">
        <w:rPr>
          <w:rFonts w:ascii="Times New Roman" w:hAnsi="Times New Roman" w:cs="Times New Roman"/>
          <w:i w:val="0"/>
          <w:iCs w:val="0"/>
          <w:color w:val="000000" w:themeColor="text1"/>
          <w:sz w:val="16"/>
          <w:szCs w:val="16"/>
          <w:lang w:val="ru-RU"/>
        </w:rPr>
        <w:t>РГВА. Ф.31811. Оп.2. Д. 1176. Л.206-207</w:t>
      </w:r>
      <w:r w:rsidRPr="00DB5D0D">
        <w:rPr>
          <w:rFonts w:ascii="Times New Roman" w:hAnsi="Times New Roman" w:cs="Times New Roman"/>
          <w:bCs/>
          <w:i w:val="0"/>
          <w:color w:val="000000" w:themeColor="text1"/>
          <w:sz w:val="16"/>
          <w:szCs w:val="16"/>
          <w:lang w:val="ru-RU"/>
        </w:rPr>
        <w:t>.</w:t>
      </w:r>
      <w:r w:rsidRPr="00DB5D0D">
        <w:rPr>
          <w:rStyle w:val="1170"/>
          <w:rFonts w:ascii="Times New Roman" w:hAnsi="Times New Roman" w:cs="Times New Roman"/>
          <w:iCs/>
          <w:color w:val="000000" w:themeColor="text1"/>
          <w:spacing w:val="0"/>
          <w:sz w:val="16"/>
          <w:szCs w:val="16"/>
          <w:lang w:val="ru-RU"/>
        </w:rPr>
        <w:t>]</w:t>
      </w:r>
    </w:p>
    <w:p w14:paraId="55E7FD3C" w14:textId="77777777" w:rsidR="003C7E8B" w:rsidRPr="00DB5D0D" w:rsidRDefault="003C7E8B" w:rsidP="00DB5D0D">
      <w:pPr>
        <w:pStyle w:val="a3"/>
        <w:rPr>
          <w:color w:val="000000" w:themeColor="text1"/>
          <w:lang w:val="ru-RU"/>
        </w:rPr>
      </w:pPr>
      <w:r w:rsidRPr="00DB5D0D">
        <w:rPr>
          <w:color w:val="000000" w:themeColor="text1"/>
          <w:lang w:val="ru-RU"/>
        </w:rPr>
        <w:t>Вскоре разрешение на прекращение выпуска бронедеталей для танка БГ-7М со стороны АБТУ было получено, и начиная со второго полугодия 1940 г. Мариупольский завод им. Ильича сосредоточил все основные силы танкового производства на изготовление броне</w:t>
      </w:r>
      <w:r w:rsidRPr="00DB5D0D">
        <w:rPr>
          <w:color w:val="000000" w:themeColor="text1"/>
          <w:lang w:val="ru-RU"/>
        </w:rPr>
        <w:softHyphen/>
        <w:t>деталей для Т-34 (11906).</w:t>
      </w:r>
    </w:p>
    <w:p w14:paraId="3FEAC8BA" w14:textId="77777777" w:rsidR="003C7E8B" w:rsidRPr="00DB5D0D" w:rsidRDefault="003C7E8B" w:rsidP="00DB5D0D">
      <w:pPr>
        <w:pStyle w:val="a3"/>
        <w:rPr>
          <w:color w:val="000000" w:themeColor="text1"/>
          <w:lang w:val="ru-RU"/>
        </w:rPr>
      </w:pPr>
    </w:p>
    <w:p w14:paraId="2D2370EC"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w:t>
      </w:r>
    </w:p>
    <w:p w14:paraId="43AFD00C"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 </w:t>
      </w:r>
    </w:p>
    <w:p w14:paraId="4ACD2CAF"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 № 2</w:t>
      </w:r>
    </w:p>
    <w:p w14:paraId="3C3804A0"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 </w:t>
      </w:r>
    </w:p>
    <w:p w14:paraId="4C1639CD"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337с</w:t>
      </w:r>
    </w:p>
    <w:p w14:paraId="0BB458D9"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4 ОТДЕЛА АБТУ КА</w:t>
      </w:r>
    </w:p>
    <w:p w14:paraId="20C13B79"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ВОЕНИНЖЕНЕРУ I РАНГА тов. АЛЫМОВУ</w:t>
      </w:r>
    </w:p>
    <w:p w14:paraId="3013651A"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Копия: НАЧАЛЬНИКУ 8 ОТДЕЛА АБТУ КА</w:t>
      </w:r>
    </w:p>
    <w:p w14:paraId="731A6F9B"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ВОЕНИНЖЕНЕРУ 1 РАНГА т. АФОНИНУ</w:t>
      </w:r>
    </w:p>
    <w:p w14:paraId="5838935B"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СВОДКА</w:t>
      </w:r>
    </w:p>
    <w:p w14:paraId="0D79E241"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ХОДЕ ПОДГОТОВКИ К СЕРИЙНОМУ ВЫПУСКУ МАШИНЫ "А-34" НА 5/VII</w:t>
      </w:r>
    </w:p>
    <w:p w14:paraId="17E98313"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Проектирование приспособлений и штампов первой очереди к 1/VII закончено, спроектировано 1600 наименований, для изготовления спущено 1400 наименований. </w:t>
      </w:r>
    </w:p>
    <w:p w14:paraId="745630DD"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 183 изготовлено 330 наименований, из коих по отделу 100 испытано и принято на производство 42 наименования, по отделу 700 – 11 наименований. </w:t>
      </w:r>
    </w:p>
    <w:p w14:paraId="299D7AA2"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других заводах заказано 540 наименований, выполненных нет за исключением на СТЗ изготовлено 13 наименований. </w:t>
      </w:r>
    </w:p>
    <w:p w14:paraId="19766582"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Техпроцессы разработкой закончены, пронормировано 80% и спущены в цеха. </w:t>
      </w:r>
    </w:p>
    <w:p w14:paraId="6E20D8BB"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 и мерительный инструменты: вновь спроектировано 520 наименований, из коих заказано 500 наименований. Старой номенклатуры 900 наименований, изготовлено 250 наименований. Изготовление инструмента на других заводах идет крайне неудовлетворительно, из-за недостатка инструментальных сталей. </w:t>
      </w:r>
    </w:p>
    <w:p w14:paraId="7D277A16"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капитальному строительству: запуск первого тяжелого пролета для сварки корпусов в отделе 700, как намечалось по плану, к 20/VI не закончен. Кран установлен, идет установка сварочных плит и другие внутренние работы, в первой половине Июля должны быть сданы в эксплоатацию. </w:t>
      </w:r>
    </w:p>
    <w:p w14:paraId="6E839D71"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июня развернулись работы по строительству второго пролета в отделе 700. Строительство должно быть закончено по плану к 15/VII. Остальные работы по капстроительству и реконструкции не начаты из-за недостатка материалов и рабсилы. </w:t>
      </w:r>
    </w:p>
    <w:p w14:paraId="4A3BF734"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Июнь мес. завод запланировал кроме 20 шт. программных машин собрать еще дополнительно в отделе 100 – 5 машин. </w:t>
      </w:r>
    </w:p>
    <w:p w14:paraId="7987692B"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имеется 23 комплекта брони, считая с первых 10 машин. В сборке 2 корпуса и 6 башен, собрано всего корпусов 9 шт., башен 6 шт. </w:t>
      </w:r>
    </w:p>
    <w:p w14:paraId="5ADA8A4F"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машины А-34 без башен отправлены 3/VII заводу № 8. </w:t>
      </w:r>
    </w:p>
    <w:p w14:paraId="0CF8E3ED"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основным вопросам особых изменений по отношению к сводкам от 25/VI и 2/VII нет. </w:t>
      </w:r>
    </w:p>
    <w:p w14:paraId="434CABCD"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срочно выслать табель личного имущества экипажа и опись ЗИПа вооружения.</w:t>
      </w:r>
    </w:p>
    <w:p w14:paraId="6F67B3DB"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ВОЕНПРЕД АБТУ КА ВОЕНИНЖЕНЕР 2 РАНГА подпись (КОЗЫРЕВ)</w:t>
      </w:r>
    </w:p>
    <w:p w14:paraId="786BD756"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 3 экз. </w:t>
      </w:r>
    </w:p>
    <w:p w14:paraId="5C30E4F8"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Фонд 31811 Опись 2 Дело 1181 лист 143 (18149)</w:t>
      </w:r>
    </w:p>
    <w:p w14:paraId="5ACCD921" w14:textId="77777777" w:rsidR="00775FDB" w:rsidRPr="00DB5D0D" w:rsidRDefault="00775FDB" w:rsidP="00DB5D0D">
      <w:pPr>
        <w:spacing w:after="0" w:line="240" w:lineRule="auto"/>
        <w:jc w:val="both"/>
        <w:rPr>
          <w:rFonts w:ascii="Times New Roman" w:hAnsi="Times New Roman"/>
          <w:color w:val="000000" w:themeColor="text1"/>
          <w:sz w:val="16"/>
          <w:szCs w:val="16"/>
        </w:rPr>
      </w:pPr>
    </w:p>
    <w:p w14:paraId="7FB2BB6C"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5 июля 1940 г., как следует из </w:t>
      </w:r>
      <w:hyperlink r:id="rId170" w:tgtFrame="_blank" w:history="1">
        <w:r w:rsidRPr="00DB5D0D">
          <w:rPr>
            <w:rStyle w:val="a5"/>
            <w:rFonts w:ascii="Times New Roman" w:hAnsi="Times New Roman"/>
            <w:color w:val="000000" w:themeColor="text1"/>
            <w:sz w:val="16"/>
            <w:szCs w:val="16"/>
          </w:rPr>
          <w:t>оперативной сводки № 337с</w:t>
        </w:r>
      </w:hyperlink>
      <w:r w:rsidRPr="00DB5D0D">
        <w:rPr>
          <w:rFonts w:ascii="Times New Roman" w:hAnsi="Times New Roman"/>
          <w:color w:val="000000" w:themeColor="text1"/>
          <w:sz w:val="16"/>
          <w:szCs w:val="16"/>
        </w:rPr>
        <w:t>, составленной старшим военным представителем ГАБТУ КА на заводе № 183 военинженером 2 ранга Д.М. Козыревым, состояние дел с подготовкой производства было следующим: </w:t>
      </w:r>
    </w:p>
    <w:p w14:paraId="06CD28C8"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«Проектирование приспособлений и штампов первой очереди к 1/VII закончено, спроектировано 1600 наименований, для изготовления спущено 1400 наименований. На заводе № 183 изготовлено 330 наименований, из коих по отделу 100 испытано и принято на производство 42 наименования, по отделу 700 – 11 наименований. На других заводах заказано 540 наименований, выполненных нет за исключением на СТЗ изготовлено 13 наименований. </w:t>
      </w:r>
    </w:p>
    <w:p w14:paraId="07A22E97"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Техпроцессы разработкой закончены, пронормировано 80% и спущены в цеха. </w:t>
      </w:r>
    </w:p>
    <w:p w14:paraId="73E21797"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 и мерительный инструменты: вновь спроектировано 520 наименований, из коих заказано 500 наименований. Старой номенклатуры 900 наименований, изготовлено 250 наименований. Изготовление инструмента на других заводах идет крайне неудовлетворительно, из-за недостатка инструментальных сталей. </w:t>
      </w:r>
    </w:p>
    <w:p w14:paraId="43AFF9A9"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капитальному строительству: запуск первого тяжелого пролета для сварки корпусов в отделе 700, как намечалось по плану, к 20/VI не закончен. Кран установлен, идет установка сварочных плит и другие внутренние работы, в первой половине Июля должны быть сданы в эксплоатацию. </w:t>
      </w:r>
    </w:p>
    <w:p w14:paraId="5109A155"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июня развернулись работы по строительству второго пролета в отделе 700. Строительство должно быть закончено по плану к 15/VII. Остальные работы по капстроительству и реконструкции не начаты из-за недостатка материалов и рабсилы. </w:t>
      </w:r>
    </w:p>
    <w:p w14:paraId="797F2B04"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Июнь мес. завод запланировал кроме 20 шт. программных машин собрать еще дополнительно в отделе 100 – 5 машин. </w:t>
      </w:r>
    </w:p>
    <w:p w14:paraId="1EA2434C"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имеется 23 комплекта брони, считая с первых 10 машин. В сборке 2 корпуса и 6 башен, собрано всего корпусов 9 шт., башен 6 шт. </w:t>
      </w:r>
    </w:p>
    <w:p w14:paraId="51FC846A"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машины А-34 без башен отправлены 3/VII заводу № 8. </w:t>
      </w:r>
    </w:p>
    <w:p w14:paraId="5F70AD20"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основным вопросам особых изменений по отношению к сводкам от 25/VI и 2/VII нет. Прошу срочно выслать табель личного имущества экипажа и опись ЗИПа вооружения».</w:t>
      </w:r>
    </w:p>
    <w:p w14:paraId="00AE7D92" w14:textId="77777777" w:rsidR="00775FDB" w:rsidRPr="00DB5D0D" w:rsidRDefault="00775FD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[РГВА. Ф. 31811. Оп. 2. Д. 1181. Л. 143] (18148).</w:t>
      </w:r>
    </w:p>
    <w:p w14:paraId="4113EE74" w14:textId="77777777" w:rsidR="00775FDB" w:rsidRPr="00DB5D0D" w:rsidRDefault="00775FDB" w:rsidP="00DB5D0D">
      <w:pPr>
        <w:spacing w:after="0" w:line="240" w:lineRule="auto"/>
        <w:jc w:val="both"/>
        <w:rPr>
          <w:rFonts w:ascii="Times New Roman" w:hAnsi="Times New Roman"/>
          <w:color w:val="000000" w:themeColor="text1"/>
          <w:sz w:val="16"/>
          <w:szCs w:val="16"/>
        </w:rPr>
      </w:pPr>
    </w:p>
    <w:p w14:paraId="34AFBC9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54E3F4F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83922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года зимний шлем был отменен приказом Наркома обороны СССР № 187 (10673).</w:t>
      </w:r>
    </w:p>
    <w:p w14:paraId="52F2939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357D6F" w14:textId="77777777" w:rsidR="00C80DC5" w:rsidRPr="00DB5D0D" w:rsidRDefault="00C80DC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июля 1940 года Согласно приказу Наркомата обороны СССР №187 от в Красной армии и милиции были введены шапки-ушанки. До этого красноармейцы щеголяли в легендарных шлемах-буденовках. Советско-финская война показала его абсолютную непригодность утепленных буденовок при зимних морозах. Узнав, что красноармейцы замерзают в Карельских лесах предприятия Ленинграда экстренно начали обеспечивать бойцов ушанками - в части они попадали с формулировкой "для опытных испытаний". Шапка-ушанка имела колпак, стеганую тулью и околыш. Первоначально околыш, состоявший из козырька и назатыльника с наушниками, завязывавшимися на тесьму, обшивался мехом цигейковой овчины. Стриженый мех длиной 12 - 14 миллиметров окрашивался в серый цвет "под крота" или "под платину". Полковники и генералы могли шить папахи за свой счет из натурального барашка или серого каракуля. С началом Великой Отечественной войны потребовалось удешевить производство ушанок. В сентябре 1941 года ввиду острого дефицита искусственного меха ряду фабрик был разрешен пошив ушанок рядового состава из ворсованной полушерстяной ткани - так называемого бобрика. Действовали правила ношения ушанки: прямо, без наклона, так, чтобы нижний край находился на ширине двух пальцев над бровями, а центр звездочки или кокарды - над переносицей. Опускать наушники разрешалось вне строя при температуре ниже - 10 градусов, а в строю - по приказанию командира, причем наушники обязательно завязывались под подбородком. В годы войны Красная армия получила свыше 24 миллионов головных уборов (21190).</w:t>
      </w:r>
    </w:p>
    <w:p w14:paraId="6719EF20" w14:textId="77777777" w:rsidR="00C80DC5" w:rsidRPr="00DB5D0D" w:rsidRDefault="00C80DC5" w:rsidP="00DB5D0D">
      <w:pPr>
        <w:spacing w:after="0" w:line="240" w:lineRule="auto"/>
        <w:jc w:val="both"/>
        <w:rPr>
          <w:rFonts w:ascii="Times New Roman" w:hAnsi="Times New Roman"/>
          <w:color w:val="0070C0"/>
          <w:sz w:val="16"/>
          <w:szCs w:val="16"/>
        </w:rPr>
      </w:pPr>
    </w:p>
    <w:p w14:paraId="3F13FF09" w14:textId="77777777" w:rsidR="00220CD9"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7D2BE28B" w14:textId="77777777" w:rsidR="00220CD9" w:rsidRPr="00DB5D0D" w:rsidRDefault="00220CD9" w:rsidP="00DB5D0D">
      <w:pPr>
        <w:spacing w:after="0" w:line="240" w:lineRule="auto"/>
        <w:jc w:val="both"/>
        <w:rPr>
          <w:rFonts w:ascii="Times New Roman" w:hAnsi="Times New Roman"/>
          <w:iCs/>
          <w:color w:val="000000" w:themeColor="text1"/>
          <w:sz w:val="16"/>
          <w:szCs w:val="16"/>
        </w:rPr>
      </w:pPr>
    </w:p>
    <w:p w14:paraId="179EEC61" w14:textId="77777777" w:rsidR="00220CD9" w:rsidRPr="00DB5D0D" w:rsidRDefault="00220CD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5 июля</w:t>
      </w:r>
      <w:r w:rsidRPr="00DB5D0D">
        <w:rPr>
          <w:rFonts w:ascii="Times New Roman" w:hAnsi="Times New Roman"/>
          <w:color w:val="000000" w:themeColor="text1"/>
          <w:sz w:val="16"/>
          <w:szCs w:val="16"/>
        </w:rPr>
        <w:t xml:space="preserve"> в 1940 году Йозеф Геббельс записал в дневнике по поводу отхода Бессарабии и Северной Буковины к СССР: “Славянство распространяется по Балканам. Россия использует удобный момент. Наверное, позднее нам придется вновь выступить против Советов” (14943).</w:t>
      </w:r>
    </w:p>
    <w:p w14:paraId="46DEFEB5" w14:textId="77777777" w:rsidR="00220CD9" w:rsidRPr="00DB5D0D" w:rsidRDefault="00220CD9" w:rsidP="00DB5D0D">
      <w:pPr>
        <w:spacing w:after="0" w:line="240" w:lineRule="auto"/>
        <w:jc w:val="both"/>
        <w:rPr>
          <w:rFonts w:ascii="Times New Roman" w:hAnsi="Times New Roman"/>
          <w:color w:val="000000" w:themeColor="text1"/>
          <w:sz w:val="16"/>
          <w:szCs w:val="16"/>
        </w:rPr>
      </w:pPr>
    </w:p>
    <w:p w14:paraId="73DE4BCE" w14:textId="77777777" w:rsidR="00220CD9" w:rsidRPr="00DB5D0D" w:rsidRDefault="00220CD9"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bCs/>
          <w:color w:val="000000" w:themeColor="text1"/>
          <w:sz w:val="16"/>
          <w:szCs w:val="16"/>
        </w:rPr>
        <w:t>5 июля</w:t>
      </w:r>
      <w:r w:rsidRPr="00DB5D0D">
        <w:rPr>
          <w:rFonts w:ascii="Times New Roman" w:hAnsi="Times New Roman"/>
          <w:color w:val="000000" w:themeColor="text1"/>
          <w:sz w:val="16"/>
          <w:szCs w:val="16"/>
        </w:rPr>
        <w:t xml:space="preserve"> в 1940 году в Эстонии распущено “реакционное” Государственное собрание и назначены выборы в новую Государственнуюдуму</w:t>
      </w:r>
      <w:r w:rsidRPr="00DB5D0D">
        <w:rPr>
          <w:rFonts w:ascii="Times New Roman" w:hAnsi="Times New Roman"/>
          <w:color w:val="000000" w:themeColor="text1"/>
          <w:sz w:val="16"/>
          <w:szCs w:val="16"/>
          <w:lang w:val="en-US"/>
        </w:rPr>
        <w:t xml:space="preserve"> (14943).</w:t>
      </w:r>
    </w:p>
    <w:p w14:paraId="320F06D0" w14:textId="77777777" w:rsidR="00220CD9" w:rsidRPr="00DB5D0D" w:rsidRDefault="00220CD9" w:rsidP="00DB5D0D">
      <w:pPr>
        <w:spacing w:after="0" w:line="240" w:lineRule="auto"/>
        <w:jc w:val="both"/>
        <w:rPr>
          <w:rFonts w:ascii="Times New Roman" w:hAnsi="Times New Roman"/>
          <w:color w:val="000000" w:themeColor="text1"/>
          <w:sz w:val="16"/>
          <w:szCs w:val="16"/>
          <w:lang w:val="en-US"/>
        </w:rPr>
      </w:pPr>
    </w:p>
    <w:p w14:paraId="05851F79" w14:textId="77777777" w:rsidR="003C7E8B"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За</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рубежом</w:t>
      </w:r>
      <w:r w:rsidRPr="00DB5D0D">
        <w:rPr>
          <w:rFonts w:ascii="Times New Roman" w:hAnsi="Times New Roman"/>
          <w:i/>
          <w:iCs/>
          <w:color w:val="000000" w:themeColor="text1"/>
          <w:sz w:val="16"/>
          <w:szCs w:val="16"/>
          <w:lang w:val="en-US"/>
        </w:rPr>
        <w:t>:</w:t>
      </w:r>
    </w:p>
    <w:p w14:paraId="5F152A7D" w14:textId="77777777" w:rsidR="003C7E8B" w:rsidRPr="00DB5D0D" w:rsidRDefault="003C7E8B" w:rsidP="00DB5D0D">
      <w:pPr>
        <w:spacing w:after="0" w:line="240" w:lineRule="auto"/>
        <w:jc w:val="both"/>
        <w:rPr>
          <w:rFonts w:ascii="Times New Roman" w:hAnsi="Times New Roman"/>
          <w:iCs/>
          <w:color w:val="000000" w:themeColor="text1"/>
          <w:sz w:val="16"/>
          <w:szCs w:val="16"/>
          <w:lang w:val="en-US"/>
        </w:rPr>
      </w:pPr>
    </w:p>
    <w:p w14:paraId="38E7E240"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июля 1940 Swordfish флота Air Arm ' s No. 813 Squadron берегового базирования пытаются нанести торпедный удар по итальянским судам в Тобруке , потопив транспорт и эсминцы и повреждая океанский лайнер  (20795).</w:t>
      </w:r>
    </w:p>
    <w:p w14:paraId="32DF90DC" w14:textId="77777777" w:rsidR="00CF24A3" w:rsidRPr="00DB5D0D" w:rsidRDefault="00CF24A3" w:rsidP="00DB5D0D">
      <w:pPr>
        <w:spacing w:after="0" w:line="240" w:lineRule="auto"/>
        <w:jc w:val="both"/>
        <w:rPr>
          <w:rFonts w:ascii="Times New Roman" w:hAnsi="Times New Roman"/>
          <w:color w:val="0070C0"/>
          <w:sz w:val="16"/>
          <w:szCs w:val="16"/>
        </w:rPr>
      </w:pPr>
    </w:p>
    <w:p w14:paraId="45C51912"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июля 1940 - В Форт-Беннинге, штат Джорджия, США, формируется первое американское парашютно-десантное подразделение (22439).</w:t>
      </w:r>
    </w:p>
    <w:p w14:paraId="355F9684" w14:textId="77777777" w:rsidR="00CF24A3" w:rsidRPr="00DB5D0D" w:rsidRDefault="00CF24A3" w:rsidP="00DB5D0D">
      <w:pPr>
        <w:spacing w:after="0" w:line="240" w:lineRule="auto"/>
        <w:jc w:val="both"/>
        <w:rPr>
          <w:rFonts w:ascii="Times New Roman" w:hAnsi="Times New Roman"/>
          <w:color w:val="0070C0"/>
          <w:sz w:val="16"/>
          <w:szCs w:val="16"/>
        </w:rPr>
      </w:pPr>
    </w:p>
    <w:p w14:paraId="4A0BECD4"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5th, 1940: In retaliation for the British action at Mers-el-Kebir, Vichy French warships based at Dakar capture 3 British merchant ships, while French aircraft stationed in Morocco attack British shipping off Gibraltar. The British destroyer Whirlwind is sunk by U-34 (Kptlt. Rollmann) SW of Ireland. The RAF carries out night raids on Kiel and Wilhelmshaven (3819).</w:t>
      </w:r>
    </w:p>
    <w:p w14:paraId="46895EAD"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1F01EE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в ответ на британскую атаку на французский флот французский флот в Дакаре захватил три британских торговых судна, а французская авиация, размещавшаяся в Марокко, атаковала британские суда в Гибралтаре. Британский эсминец Уирвинд был потоплен п/л У-34 (Роллман) у побережья Ирландии. Королевские ВВС совершили ночной налет на Киль и Вильгельмсхаффен (3819).</w:t>
      </w:r>
    </w:p>
    <w:p w14:paraId="282CAA4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48C1438" w14:textId="77777777" w:rsidR="000F7B83" w:rsidRPr="00DB5D0D" w:rsidRDefault="000F7B83"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5 июля</w:t>
      </w:r>
      <w:r w:rsidRPr="00DB5D0D">
        <w:rPr>
          <w:rFonts w:ascii="Times New Roman" w:hAnsi="Times New Roman"/>
          <w:color w:val="000000" w:themeColor="text1"/>
          <w:sz w:val="16"/>
          <w:szCs w:val="16"/>
        </w:rPr>
        <w:t xml:space="preserve"> в 1940 году в ответ на британскую атаку, французский флот в Дакаре захватил три британских торговых судна, а французская авиация, размещавшаяся в Марокко, атаковала британские суда в Гибралтаре (14943).</w:t>
      </w:r>
    </w:p>
    <w:p w14:paraId="1CF08050" w14:textId="77777777" w:rsidR="000F7B83" w:rsidRPr="00DB5D0D" w:rsidRDefault="000F7B83" w:rsidP="00DB5D0D">
      <w:pPr>
        <w:spacing w:after="0" w:line="240" w:lineRule="auto"/>
        <w:jc w:val="both"/>
        <w:rPr>
          <w:rFonts w:ascii="Times New Roman" w:hAnsi="Times New Roman"/>
          <w:color w:val="000000" w:themeColor="text1"/>
          <w:sz w:val="16"/>
          <w:szCs w:val="16"/>
        </w:rPr>
      </w:pPr>
    </w:p>
    <w:p w14:paraId="517739FA"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5 1940 French Vichy government breaks off relations with Britain (1050).</w:t>
      </w:r>
    </w:p>
    <w:p w14:paraId="65F81F82"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7ADDA972"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5 1940 French Government of Marshal Petain broke off diplomatic relations with Great Britain as result of British attack on French warships at Oran (1223).</w:t>
      </w:r>
    </w:p>
    <w:p w14:paraId="24BA77D9"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209476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французское правительство маршала Петена разорвало дип. отношения с Великобританией после английской атаки на французские военные корабли в Оране (1223;1050).</w:t>
      </w:r>
    </w:p>
    <w:p w14:paraId="7A7FEAB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85C4CF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вишистское правительство Франции разорвало отношения с Британией (4962).</w:t>
      </w:r>
    </w:p>
    <w:p w14:paraId="28017B8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BEC645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Швеция разрешила Германии использовать шведские железные дороги для перевозки солдат в Норвегию (4962).</w:t>
      </w:r>
    </w:p>
    <w:p w14:paraId="16D28BA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644D0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July 1940 Romania establishes closer contact with the Axis powers (270).</w:t>
      </w:r>
    </w:p>
    <w:p w14:paraId="39082C7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9F84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Румыния установила более тесные отношения со странами оси (270).</w:t>
      </w:r>
    </w:p>
    <w:p w14:paraId="47B40B8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12AC462" w14:textId="77777777" w:rsidR="00220CD9" w:rsidRPr="00DB5D0D" w:rsidRDefault="00220CD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5 июля</w:t>
      </w:r>
      <w:r w:rsidRPr="00DB5D0D">
        <w:rPr>
          <w:rFonts w:ascii="Times New Roman" w:hAnsi="Times New Roman"/>
          <w:color w:val="000000" w:themeColor="text1"/>
          <w:sz w:val="16"/>
          <w:szCs w:val="16"/>
        </w:rPr>
        <w:t xml:space="preserve"> в 1940 году Швеция разрешила Германии использовать шведские железные дороги для перевозки солдат в Норвегию (14943).</w:t>
      </w:r>
    </w:p>
    <w:p w14:paraId="40BCBFFD" w14:textId="77777777" w:rsidR="00220CD9" w:rsidRPr="00DB5D0D" w:rsidRDefault="00220CD9" w:rsidP="00DB5D0D">
      <w:pPr>
        <w:spacing w:after="0" w:line="240" w:lineRule="auto"/>
        <w:jc w:val="both"/>
        <w:rPr>
          <w:rFonts w:ascii="Times New Roman" w:hAnsi="Times New Roman"/>
          <w:color w:val="000000" w:themeColor="text1"/>
          <w:sz w:val="16"/>
          <w:szCs w:val="16"/>
        </w:rPr>
      </w:pPr>
    </w:p>
    <w:p w14:paraId="241E2554" w14:textId="77777777" w:rsidR="00220CD9" w:rsidRPr="00DB5D0D" w:rsidRDefault="00220CD9"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президент США Ф. Рузвельт наложил эмбарго на поставку в Америку японских товаров (4962).</w:t>
      </w:r>
    </w:p>
    <w:p w14:paraId="338AC7E1" w14:textId="77777777" w:rsidR="00220CD9" w:rsidRPr="00DB5D0D" w:rsidRDefault="00220CD9" w:rsidP="00DB5D0D">
      <w:pPr>
        <w:tabs>
          <w:tab w:val="left" w:pos="11199"/>
        </w:tabs>
        <w:spacing w:after="0" w:line="240" w:lineRule="auto"/>
        <w:jc w:val="both"/>
        <w:rPr>
          <w:rFonts w:ascii="Times New Roman" w:hAnsi="Times New Roman"/>
          <w:color w:val="000000" w:themeColor="text1"/>
          <w:sz w:val="16"/>
          <w:szCs w:val="16"/>
        </w:rPr>
      </w:pPr>
    </w:p>
    <w:p w14:paraId="6E22DDB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AA0097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89935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Нач. НИИ ВВС А.И.Филин в письме Нач. ВВС Я.В.Смушкевичу писал об окончании заводских испытаний ДБ-240 с положительным, по мнению НКАП итогом. Сообщил, что А.И.Ш. дал Ермолаеву 2 месяца на доводки, хотя формально машина была признана комиссией НКАП годной к гос. испытаниям 10 июля 1940 (3322,8).</w:t>
      </w:r>
    </w:p>
    <w:p w14:paraId="28A6BD6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19B004" w14:textId="77777777" w:rsidR="009B14C9" w:rsidRPr="00DB5D0D" w:rsidRDefault="009B14C9"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6 июля 1940 года Начальник НИИ ВВС А.И. Филин информировал Начальника ГУ ВВС Я.В. Смушкевича об окончании завод</w:t>
      </w:r>
      <w:r w:rsidRPr="00DB5D0D">
        <w:rPr>
          <w:rFonts w:ascii="Times New Roman" w:hAnsi="Times New Roman"/>
          <w:color w:val="0070C0"/>
          <w:sz w:val="16"/>
          <w:szCs w:val="16"/>
          <w:lang w:eastAsia="ru-RU" w:bidi="ru-RU"/>
        </w:rPr>
        <w:softHyphen/>
        <w:t>ских испытаний ДБ-240 с положительным, по мнению НКАП, итогом. Дополнительно он со</w:t>
      </w:r>
      <w:r w:rsidRPr="00DB5D0D">
        <w:rPr>
          <w:rFonts w:ascii="Times New Roman" w:hAnsi="Times New Roman"/>
          <w:color w:val="0070C0"/>
          <w:sz w:val="16"/>
          <w:szCs w:val="16"/>
          <w:lang w:eastAsia="ru-RU" w:bidi="ru-RU"/>
        </w:rPr>
        <w:softHyphen/>
        <w:t>общил, что А.И. Шахурин дал В.Г. Ермолаеву два месяца на доводки, хотя формально ма</w:t>
      </w:r>
      <w:r w:rsidRPr="00DB5D0D">
        <w:rPr>
          <w:rFonts w:ascii="Times New Roman" w:hAnsi="Times New Roman"/>
          <w:color w:val="0070C0"/>
          <w:sz w:val="16"/>
          <w:szCs w:val="16"/>
          <w:lang w:eastAsia="ru-RU" w:bidi="ru-RU"/>
        </w:rPr>
        <w:softHyphen/>
        <w:t>шина была признана комиссией НКАП годной к госиспытаниям 10 июля 1940 года (21406).</w:t>
      </w:r>
    </w:p>
    <w:p w14:paraId="2F827EA4" w14:textId="77777777" w:rsidR="009B14C9" w:rsidRPr="00DB5D0D" w:rsidRDefault="009B14C9" w:rsidP="00DB5D0D">
      <w:pPr>
        <w:spacing w:after="0" w:line="240" w:lineRule="auto"/>
        <w:jc w:val="both"/>
        <w:rPr>
          <w:rFonts w:ascii="Times New Roman" w:hAnsi="Times New Roman"/>
          <w:color w:val="0070C0"/>
          <w:sz w:val="16"/>
          <w:szCs w:val="16"/>
        </w:rPr>
      </w:pPr>
    </w:p>
    <w:p w14:paraId="1FBCF7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вышел приказ НКАП N 330сс "О ходе выполнения постановления Правительства от 26.01.1940 о развитии опытного строительства и внедрении новых машин с серийное производство по 4 ГУ НКАП" (1002,2).</w:t>
      </w:r>
    </w:p>
    <w:p w14:paraId="2F8115D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62EEC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в ходе заводских испытаний И-200 А.И.М, которые проходили с 31 марта по 17 августа 1940, на И-200-1 был полет на пилотаж (2988).</w:t>
      </w:r>
    </w:p>
    <w:p w14:paraId="512F564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00E94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вышел приказ НКАП N 332с "О внедрении в серийное производство самолета И-180 на заводе 21". Постановление Коллегии НКАП по докладу директора завода 21 В.П.Воронина. Отметили недопустимо медленные темпы и готовность инструмента и спецприспособлений на 20: по состоянию на 15 июня (408,34).</w:t>
      </w:r>
    </w:p>
    <w:p w14:paraId="6A6890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внедрении в серийное производство самолета И-180 на заводе № 21</w:t>
      </w:r>
    </w:p>
    <w:p w14:paraId="488F5C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докладу директора завода № 21 тов. Воронина В.П. о по</w:t>
      </w:r>
      <w:r w:rsidRPr="00DB5D0D">
        <w:rPr>
          <w:rFonts w:ascii="Times New Roman" w:hAnsi="Times New Roman"/>
          <w:color w:val="000000" w:themeColor="text1"/>
          <w:sz w:val="16"/>
          <w:szCs w:val="16"/>
        </w:rPr>
        <w:softHyphen/>
        <w:t>становке производства самолетов И-180 на заводе № 21, Коллегия НКАП отметила, что подготовка производства самолета И-180 на заводе № 21 идет недопустимо медленными темпами. Готовность инструмента и спецприспособлений на 15.У1.с.г. составляет 20% от потребного.</w:t>
      </w:r>
    </w:p>
    <w:p w14:paraId="3ED9C0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Задание о выпуске 10 самолетов И-180 войсковой серии в первом полугодии с.г. (приказ НКАП за. № 60сс от 20.П.1940 г.). до сего времени остается невыполненным заводом.</w:t>
      </w:r>
    </w:p>
    <w:p w14:paraId="42CD08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Конструктивные чертежи самолета И-180 поданы на завод № 21 главным конструктором тов. Поликарповым с большим опозда</w:t>
      </w:r>
      <w:r w:rsidRPr="00DB5D0D">
        <w:rPr>
          <w:rFonts w:ascii="Times New Roman" w:hAnsi="Times New Roman"/>
          <w:color w:val="000000" w:themeColor="text1"/>
          <w:sz w:val="16"/>
          <w:szCs w:val="16"/>
        </w:rPr>
        <w:softHyphen/>
        <w:t>нием и недоработанные. В чертежи внесено 7510 изменений, вследствие чего многие узлы и детали-переделывались по несколь</w:t>
      </w:r>
      <w:r w:rsidRPr="00DB5D0D">
        <w:rPr>
          <w:rFonts w:ascii="Times New Roman" w:hAnsi="Times New Roman"/>
          <w:color w:val="000000" w:themeColor="text1"/>
          <w:sz w:val="16"/>
          <w:szCs w:val="16"/>
        </w:rPr>
        <w:softHyphen/>
        <w:t>ко раз.</w:t>
      </w:r>
    </w:p>
    <w:p w14:paraId="4ECE83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Передача самолета И-180 на государственные испытания за</w:t>
      </w:r>
      <w:r w:rsidRPr="00DB5D0D">
        <w:rPr>
          <w:rFonts w:ascii="Times New Roman" w:hAnsi="Times New Roman"/>
          <w:color w:val="000000" w:themeColor="text1"/>
          <w:sz w:val="16"/>
          <w:szCs w:val="16"/>
        </w:rPr>
        <w:softHyphen/>
        <w:t>тянулась до конца июня месяца,.что может отразиться на далънейшей отработке машины.</w:t>
      </w:r>
    </w:p>
    <w:p w14:paraId="6385BA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обеспечения выполнения постановления правительства о внедрении в серийное производство самолета И-180 и исходя из того, что эта машина будет являться основной продукцией завода № 21 - ПРИКАЗЫВАЮ:</w:t>
      </w:r>
    </w:p>
    <w:p w14:paraId="1C4BC1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Директору завода № 21 тов.Воронину В.П.:</w:t>
      </w:r>
    </w:p>
    <w:p w14:paraId="21380B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обеспечить в июле месяце с.г. сдачу остальных машин И-180 войсковой серии из числа десяти, намеченных к выпуску.в первом полугодии 1940 года, и приступить с. августа месяца к еже</w:t>
      </w:r>
      <w:r w:rsidRPr="00DB5D0D">
        <w:rPr>
          <w:rFonts w:ascii="Times New Roman" w:hAnsi="Times New Roman"/>
          <w:color w:val="000000" w:themeColor="text1"/>
          <w:sz w:val="16"/>
          <w:szCs w:val="16"/>
        </w:rPr>
        <w:softHyphen/>
        <w:t>месячному выпуску самолетов И-180;</w:t>
      </w:r>
    </w:p>
    <w:p w14:paraId="7E2A43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выпуск самолетов И-180 по программе второго полугодия 1940 года производить по конструктивным чертежам;</w:t>
      </w:r>
    </w:p>
    <w:p w14:paraId="366EE8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обеспечить выполнение серийных чертежей и оснастки в следующие сроки:</w:t>
      </w:r>
    </w:p>
    <w:p w14:paraId="57C9BE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чертежам:</w:t>
      </w:r>
    </w:p>
    <w:p w14:paraId="71A3C4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спустить в производство полный комплект отработанных и увязан</w:t>
      </w:r>
      <w:r w:rsidRPr="00DB5D0D">
        <w:rPr>
          <w:rFonts w:ascii="Times New Roman" w:hAnsi="Times New Roman"/>
          <w:color w:val="000000" w:themeColor="text1"/>
          <w:sz w:val="16"/>
          <w:szCs w:val="16"/>
        </w:rPr>
        <w:softHyphen/>
        <w:t>ных в конструкции серийных чертежей и плазов:</w:t>
      </w:r>
    </w:p>
    <w:p w14:paraId="32B2F5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группе шюзеляжа</w:t>
      </w:r>
      <w:r w:rsidRPr="00DB5D0D">
        <w:rPr>
          <w:rFonts w:ascii="Times New Roman" w:hAnsi="Times New Roman"/>
          <w:color w:val="000000" w:themeColor="text1"/>
          <w:sz w:val="16"/>
          <w:szCs w:val="16"/>
        </w:rPr>
        <w:tab/>
        <w:t>к 1.XI.1940 г.</w:t>
      </w:r>
    </w:p>
    <w:p w14:paraId="168A4E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центроплана</w:t>
      </w:r>
      <w:r w:rsidRPr="00DB5D0D">
        <w:rPr>
          <w:rFonts w:ascii="Times New Roman" w:hAnsi="Times New Roman"/>
          <w:color w:val="000000" w:themeColor="text1"/>
          <w:sz w:val="16"/>
          <w:szCs w:val="16"/>
        </w:rPr>
        <w:tab/>
        <w:t>к 1/ХП</w:t>
      </w:r>
    </w:p>
    <w:p w14:paraId="52FC9FC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крыла и оперения</w:t>
      </w:r>
      <w:r w:rsidRPr="00DB5D0D">
        <w:rPr>
          <w:rFonts w:ascii="Times New Roman" w:hAnsi="Times New Roman"/>
          <w:color w:val="000000" w:themeColor="text1"/>
          <w:sz w:val="16"/>
          <w:szCs w:val="16"/>
        </w:rPr>
        <w:tab/>
        <w:t>к 15/Х1</w:t>
      </w:r>
    </w:p>
    <w:p w14:paraId="40896D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и управления</w:t>
      </w:r>
      <w:r w:rsidRPr="00DB5D0D">
        <w:rPr>
          <w:rFonts w:ascii="Times New Roman" w:hAnsi="Times New Roman"/>
          <w:color w:val="000000" w:themeColor="text1"/>
          <w:sz w:val="16"/>
          <w:szCs w:val="16"/>
        </w:rPr>
        <w:tab/>
        <w:t>15/Х1</w:t>
      </w:r>
    </w:p>
    <w:p w14:paraId="734739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мотора</w:t>
      </w:r>
      <w:r w:rsidRPr="00DB5D0D">
        <w:rPr>
          <w:rFonts w:ascii="Times New Roman" w:hAnsi="Times New Roman"/>
          <w:color w:val="000000" w:themeColor="text1"/>
          <w:sz w:val="16"/>
          <w:szCs w:val="16"/>
        </w:rPr>
        <w:tab/>
        <w:t>к 1/ХП</w:t>
      </w:r>
    </w:p>
    <w:p w14:paraId="0E677C0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вооружения</w:t>
      </w:r>
      <w:r w:rsidRPr="00DB5D0D">
        <w:rPr>
          <w:rFonts w:ascii="Times New Roman" w:hAnsi="Times New Roman"/>
          <w:color w:val="000000" w:themeColor="text1"/>
          <w:sz w:val="16"/>
          <w:szCs w:val="16"/>
        </w:rPr>
        <w:tab/>
        <w:t>к 1/ХП</w:t>
      </w:r>
    </w:p>
    <w:p w14:paraId="330E1F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оборудования</w:t>
      </w:r>
      <w:r w:rsidRPr="00DB5D0D">
        <w:rPr>
          <w:rFonts w:ascii="Times New Roman" w:hAnsi="Times New Roman"/>
          <w:color w:val="000000" w:themeColor="text1"/>
          <w:sz w:val="16"/>
          <w:szCs w:val="16"/>
        </w:rPr>
        <w:tab/>
        <w:t>к 1/ХП</w:t>
      </w:r>
    </w:p>
    <w:p w14:paraId="3FC99E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плазовых работ</w:t>
      </w:r>
      <w:r w:rsidRPr="00DB5D0D">
        <w:rPr>
          <w:rFonts w:ascii="Times New Roman" w:hAnsi="Times New Roman"/>
          <w:color w:val="000000" w:themeColor="text1"/>
          <w:sz w:val="16"/>
          <w:szCs w:val="16"/>
        </w:rPr>
        <w:tab/>
        <w:t>к 15/Х1</w:t>
      </w:r>
    </w:p>
    <w:p w14:paraId="34C6BC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оснастке:</w:t>
      </w:r>
    </w:p>
    <w:p w14:paraId="474040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1-ой очереди</w:t>
      </w:r>
      <w:r w:rsidRPr="00DB5D0D">
        <w:rPr>
          <w:rFonts w:ascii="Times New Roman" w:hAnsi="Times New Roman"/>
          <w:color w:val="000000" w:themeColor="text1"/>
          <w:sz w:val="16"/>
          <w:szCs w:val="16"/>
        </w:rPr>
        <w:tab/>
        <w:t>к 15-.УШ.1940 г.</w:t>
      </w:r>
    </w:p>
    <w:p w14:paraId="06F206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2-ой -"- </w:t>
      </w:r>
      <w:r w:rsidRPr="00DB5D0D">
        <w:rPr>
          <w:rFonts w:ascii="Times New Roman" w:hAnsi="Times New Roman"/>
          <w:color w:val="000000" w:themeColor="text1"/>
          <w:sz w:val="16"/>
          <w:szCs w:val="16"/>
        </w:rPr>
        <w:tab/>
        <w:t>к 1.Х1.-"-</w:t>
      </w:r>
    </w:p>
    <w:p w14:paraId="0DF515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3-е й -“-</w:t>
      </w:r>
      <w:r w:rsidRPr="00DB5D0D">
        <w:rPr>
          <w:rFonts w:ascii="Times New Roman" w:hAnsi="Times New Roman"/>
          <w:color w:val="000000" w:themeColor="text1"/>
          <w:sz w:val="16"/>
          <w:szCs w:val="16"/>
        </w:rPr>
        <w:tab/>
        <w:t>к 1.1.1941 г.</w:t>
      </w:r>
    </w:p>
    <w:p w14:paraId="0E58AF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совместно с главным конструктором самолета И-180 тов. Поликарповым утвердить к 1.УШ.с.г. технические условия на эта</w:t>
      </w:r>
      <w:r w:rsidRPr="00DB5D0D">
        <w:rPr>
          <w:rFonts w:ascii="Times New Roman" w:hAnsi="Times New Roman"/>
          <w:color w:val="000000" w:themeColor="text1"/>
          <w:sz w:val="16"/>
          <w:szCs w:val="16"/>
        </w:rPr>
        <w:softHyphen/>
        <w:t>лон И-180 1941 г.</w:t>
      </w:r>
    </w:p>
    <w:p w14:paraId="7B5FE3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совместно с ГУАС КА пересмотреть списки конструктивных переделок на самолетах И-180 войсковой серии и серийной прог</w:t>
      </w:r>
      <w:r w:rsidRPr="00DB5D0D">
        <w:rPr>
          <w:rFonts w:ascii="Times New Roman" w:hAnsi="Times New Roman"/>
          <w:color w:val="000000" w:themeColor="text1"/>
          <w:sz w:val="16"/>
          <w:szCs w:val="16"/>
        </w:rPr>
        <w:softHyphen/>
        <w:t>раммы 1940 г., оставив изменения только аварийного порядка. Ос</w:t>
      </w:r>
      <w:r w:rsidRPr="00DB5D0D">
        <w:rPr>
          <w:rFonts w:ascii="Times New Roman" w:hAnsi="Times New Roman"/>
          <w:color w:val="000000" w:themeColor="text1"/>
          <w:sz w:val="16"/>
          <w:szCs w:val="16"/>
        </w:rPr>
        <w:softHyphen/>
        <w:t>тальные изменения внести на эталоне 1941 года;</w:t>
      </w:r>
    </w:p>
    <w:p w14:paraId="28ABE3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закончить изготовление конструктивных чертежей эталона 1941 г. к 1.Х.1940 г. ;</w:t>
      </w:r>
    </w:p>
    <w:p w14:paraId="6545E9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закончить изготовление эталона 1941 г. с подачей его на испытание к 15.XII.1940 г.;</w:t>
      </w:r>
    </w:p>
    <w:p w14:paraId="462CD2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закончить техническое описание конструкции самолета И-180 к 15.IX.1940 г.;</w:t>
      </w:r>
    </w:p>
    <w:p w14:paraId="4096BC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организовать параллельно с изготовлением мёшинывзвеши</w:t>
      </w:r>
      <w:r w:rsidRPr="00DB5D0D">
        <w:rPr>
          <w:rFonts w:ascii="Times New Roman" w:hAnsi="Times New Roman"/>
          <w:color w:val="000000" w:themeColor="text1"/>
          <w:sz w:val="16"/>
          <w:szCs w:val="16"/>
        </w:rPr>
        <w:softHyphen/>
        <w:t>вание всех деталей и агрегатов;</w:t>
      </w:r>
    </w:p>
    <w:p w14:paraId="71CA3A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обратить особое внимание на развертывание холодной и горячей штамповки деталей.</w:t>
      </w:r>
    </w:p>
    <w:p w14:paraId="762CEC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Начальнику Первого Главного Управления:</w:t>
      </w:r>
    </w:p>
    <w:p w14:paraId="346C78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выделить Заводу № 21 в течение Ш квартала с.г. из имею</w:t>
      </w:r>
      <w:r w:rsidRPr="00DB5D0D">
        <w:rPr>
          <w:rFonts w:ascii="Times New Roman" w:hAnsi="Times New Roman"/>
          <w:color w:val="000000" w:themeColor="text1"/>
          <w:sz w:val="16"/>
          <w:szCs w:val="16"/>
        </w:rPr>
        <w:softHyphen/>
        <w:t>щихся фондов 50 металлорежущих станков, согласно спецификации завода, а также 2 падающих молота в 3 тонны;</w:t>
      </w:r>
    </w:p>
    <w:p w14:paraId="404C02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отпустить из имеющихся фондов электро-материалы, соглас</w:t>
      </w:r>
      <w:r w:rsidRPr="00DB5D0D">
        <w:rPr>
          <w:rFonts w:ascii="Times New Roman" w:hAnsi="Times New Roman"/>
          <w:color w:val="000000" w:themeColor="text1"/>
          <w:sz w:val="16"/>
          <w:szCs w:val="16"/>
        </w:rPr>
        <w:softHyphen/>
        <w:t>но спецификации завода № 21для монтажа вновь получаемого и перестанавливаемого оборудования;</w:t>
      </w:r>
    </w:p>
    <w:p w14:paraId="3F1787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обеспечить завод резиновыми изделиями для .моторов и протектирования баков;</w:t>
      </w:r>
    </w:p>
    <w:p w14:paraId="04B3F7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отпустить заводу № 21 дополнительные фонды на нормаль</w:t>
      </w:r>
      <w:r w:rsidRPr="00DB5D0D">
        <w:rPr>
          <w:rFonts w:ascii="Times New Roman" w:hAnsi="Times New Roman"/>
          <w:color w:val="000000" w:themeColor="text1"/>
          <w:sz w:val="16"/>
          <w:szCs w:val="16"/>
        </w:rPr>
        <w:softHyphen/>
        <w:t>ный режущий инструмент на сумму 200.000 рублей и нормальные станочные приспособления в количестве 25 наименований, согласно спецификации завода.</w:t>
      </w:r>
    </w:p>
    <w:p w14:paraId="071BA6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И.о. Начальника Треста “Оргавиапром" тов. Егорову:</w:t>
      </w:r>
    </w:p>
    <w:p w14:paraId="4AD7A7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изготовить для завода № 21 пятнадцать прессформ для резины и литья под давлением, согласно спецификации завода;</w:t>
      </w:r>
    </w:p>
    <w:p w14:paraId="4E41BE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изготовить поковочные штампы для 50 наименований дета</w:t>
      </w:r>
      <w:r w:rsidRPr="00DB5D0D">
        <w:rPr>
          <w:rFonts w:ascii="Times New Roman" w:hAnsi="Times New Roman"/>
          <w:color w:val="000000" w:themeColor="text1"/>
          <w:sz w:val="16"/>
          <w:szCs w:val="16"/>
        </w:rPr>
        <w:softHyphen/>
        <w:t>лей самолета, согласно спецификации завода.</w:t>
      </w:r>
    </w:p>
    <w:p w14:paraId="4B306F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изготовления согласовать с заводом № 21.</w:t>
      </w:r>
    </w:p>
    <w:p w14:paraId="1C2965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Начальнику ВИАМ'а тов. Туманову изготовить для завода № 21 стальное литье для машины И-180 в количестве 7 наименова</w:t>
      </w:r>
      <w:r w:rsidRPr="00DB5D0D">
        <w:rPr>
          <w:rFonts w:ascii="Times New Roman" w:hAnsi="Times New Roman"/>
          <w:color w:val="000000" w:themeColor="text1"/>
          <w:sz w:val="16"/>
          <w:szCs w:val="16"/>
        </w:rPr>
        <w:softHyphen/>
        <w:t>ний, согласно спецификации завода, согласовав сроки изготовления с заводом.</w:t>
      </w:r>
    </w:p>
    <w:p w14:paraId="7B18C2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Директору завода № 305 тов. Марочкину обеспечить завод № 21 стандартной арматурой, нормалями и замками ДЗУС, согласно . спецификации завода № 21, в сроки, согласованные с последним.</w:t>
      </w:r>
    </w:p>
    <w:p w14:paraId="7FDB64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Директору завода № 219 тов. Першину изготовить для завода № 21 двадцать наименований деталей из литья алюминиевого сплава, согласно спецификации завода № 21,в сроки, согласованные с последним.</w:t>
      </w:r>
    </w:p>
    <w:p w14:paraId="1EBD4B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Директору завода №154 тов. Волошенко отгрузить заводу № 21 нормальные резцы для обработки стали с-К-120-150 в пределах количеств, установленных договором.</w:t>
      </w:r>
    </w:p>
    <w:p w14:paraId="5F1752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Утвердить тов.Шабанова И.А. заместителем главного конструктора тов. Поликарпова на заводе № 21 по самолету И-180.</w:t>
      </w:r>
    </w:p>
    <w:p w14:paraId="1CBBBB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В целях укрепления конструкторского отдела завода № 21, главному конструктору завода № 1 тов. Поликарпову передать в течение июля месяца 20 конструкторов для постоянной работы на заводе № 21.</w:t>
      </w:r>
    </w:p>
    <w:p w14:paraId="6923F4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Начальнику ГУКС</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а НКАП тов.Кац добиться от треста "Союзэкскавация" Паркомстроя обеспечения 100% выполнения до</w:t>
      </w:r>
      <w:r w:rsidRPr="00DB5D0D">
        <w:rPr>
          <w:rFonts w:ascii="Times New Roman" w:hAnsi="Times New Roman"/>
          <w:color w:val="000000" w:themeColor="text1"/>
          <w:sz w:val="16"/>
          <w:szCs w:val="16"/>
        </w:rPr>
        <w:softHyphen/>
        <w:t>говора по планировке аэродрома завода № 21, обеспечив полную планировку этого аэродрома в текущем году (408,34).</w:t>
      </w:r>
    </w:p>
    <w:p w14:paraId="236FF6F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962E7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А.Г.Прошаков во время выполнения бочки на И-180-3 в ходе гос. испытаний допустил ошибку и сорвался в перевернутый штопор. Выбросился с парашютом (2495,15).</w:t>
      </w:r>
    </w:p>
    <w:p w14:paraId="025BF8C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63D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года начальник НИИ ВВС в/инженер 1 ранга Лосюков и военком НИИ ВВС писали письмо № 00783 начальнику ГУ ВВС генерал-лейтенанту авиации Смушкевичу</w:t>
      </w:r>
    </w:p>
    <w:p w14:paraId="1967C7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Доношу, что 5 июля 1940 года в 20 часов 15 минут летчик-испытатель капитан Прошаков на самолете И-180 с М-88 экземпляр № 3 (первые два экземпляра были разбиты при заводских испытаниях), произведя госиспытания самолета на пилотаж, после выполнения двух виражей приступил к выполнению правой бочки. После дачи рулей на бочку самолет перешел в положение на спину и стал неуправляем, после чего перешел в перевернутый штопор. Не имея возможности вывести самолет в нормальное положение летчик капитан Прошаков принял решение покинуть самолет; на высоте 1200-1500 м летчик покинул самолет и приземлился. Самолет упал в перевернутом положении около деревни Жеребцы ( в 1 км от границы аэродрома).</w:t>
      </w:r>
    </w:p>
    <w:p w14:paraId="3D4A5D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разбит (7647, 69).</w:t>
      </w:r>
    </w:p>
    <w:p w14:paraId="68E2DCA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237D8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г. к вечеру Проша</w:t>
      </w:r>
      <w:r w:rsidRPr="00DB5D0D">
        <w:rPr>
          <w:rFonts w:ascii="Times New Roman" w:hAnsi="Times New Roman"/>
          <w:color w:val="000000" w:themeColor="text1"/>
          <w:sz w:val="16"/>
          <w:szCs w:val="16"/>
        </w:rPr>
        <w:softHyphen/>
        <w:t>ков вылетел на И-180 для отработки фигур высшего пилотажа. При выполнении правой бочки, которая по</w:t>
      </w:r>
      <w:r w:rsidRPr="00DB5D0D">
        <w:rPr>
          <w:rFonts w:ascii="Times New Roman" w:hAnsi="Times New Roman"/>
          <w:color w:val="000000" w:themeColor="text1"/>
          <w:sz w:val="16"/>
          <w:szCs w:val="16"/>
        </w:rPr>
        <w:softHyphen/>
        <w:t>степенно перешла в обратную спираль, Прошаков на высоте 1000 м покинул машину и благополучно при</w:t>
      </w:r>
      <w:r w:rsidRPr="00DB5D0D">
        <w:rPr>
          <w:rFonts w:ascii="Times New Roman" w:hAnsi="Times New Roman"/>
          <w:color w:val="000000" w:themeColor="text1"/>
          <w:sz w:val="16"/>
          <w:szCs w:val="16"/>
        </w:rPr>
        <w:softHyphen/>
        <w:t>землился на парашюте. Самолет без летчика опустил нос, затем сорвался в штопор и разбился. Прошаков в докладной записке утверждал, что тянул ручку управления на себя, но не смог вывести машину в нормальный горизонтальный полет. Исходя из его до</w:t>
      </w:r>
      <w:r w:rsidRPr="00DB5D0D">
        <w:rPr>
          <w:rFonts w:ascii="Times New Roman" w:hAnsi="Times New Roman"/>
          <w:color w:val="000000" w:themeColor="text1"/>
          <w:sz w:val="16"/>
          <w:szCs w:val="16"/>
        </w:rPr>
        <w:softHyphen/>
        <w:t>вольно путанных объяснений, аварийная комиссия, в состав которой вопреки сложившейся традиции не включили представителей КБ, сделала предположение, что возможными причинами аварии могли стать: 1) разрушение носков стабилизатора самолета в полете, после чего управление рулем высоты стало невозмож</w:t>
      </w:r>
      <w:r w:rsidRPr="00DB5D0D">
        <w:rPr>
          <w:rFonts w:ascii="Times New Roman" w:hAnsi="Times New Roman"/>
          <w:color w:val="000000" w:themeColor="text1"/>
          <w:sz w:val="16"/>
          <w:szCs w:val="16"/>
        </w:rPr>
        <w:softHyphen/>
        <w:t>ным; 2) заклинивание руля высоты упором оторвавше</w:t>
      </w:r>
      <w:r w:rsidRPr="00DB5D0D">
        <w:rPr>
          <w:rFonts w:ascii="Times New Roman" w:hAnsi="Times New Roman"/>
          <w:color w:val="000000" w:themeColor="text1"/>
          <w:sz w:val="16"/>
          <w:szCs w:val="16"/>
        </w:rPr>
        <w:softHyphen/>
        <w:t>гося балансира весовой компенсации; 3) недостаточная устойчивость самолета И-180-3. Николай Николаевич не мог согласиться с довольно поверхностными выводами аварийной комиссии; он от</w:t>
      </w:r>
      <w:r w:rsidRPr="00DB5D0D">
        <w:rPr>
          <w:rFonts w:ascii="Times New Roman" w:hAnsi="Times New Roman"/>
          <w:color w:val="000000" w:themeColor="text1"/>
          <w:sz w:val="16"/>
          <w:szCs w:val="16"/>
        </w:rPr>
        <w:softHyphen/>
        <w:t>мечал, что точная причина аварии самолета не установ</w:t>
      </w:r>
      <w:r w:rsidRPr="00DB5D0D">
        <w:rPr>
          <w:rFonts w:ascii="Times New Roman" w:hAnsi="Times New Roman"/>
          <w:color w:val="000000" w:themeColor="text1"/>
          <w:sz w:val="16"/>
          <w:szCs w:val="16"/>
        </w:rPr>
        <w:softHyphen/>
        <w:t>лена. Основываясь на анализе расчетов и фактического материала, Поликарпов убедительно доказал невозмож</w:t>
      </w:r>
      <w:r w:rsidRPr="00DB5D0D">
        <w:rPr>
          <w:rFonts w:ascii="Times New Roman" w:hAnsi="Times New Roman"/>
          <w:color w:val="000000" w:themeColor="text1"/>
          <w:sz w:val="16"/>
          <w:szCs w:val="16"/>
        </w:rPr>
        <w:softHyphen/>
        <w:t>ность разрушения носков стабилизатора в полете. Ото</w:t>
      </w:r>
      <w:r w:rsidRPr="00DB5D0D">
        <w:rPr>
          <w:rFonts w:ascii="Times New Roman" w:hAnsi="Times New Roman"/>
          <w:color w:val="000000" w:themeColor="text1"/>
          <w:sz w:val="16"/>
          <w:szCs w:val="16"/>
        </w:rPr>
        <w:softHyphen/>
        <w:t>рвавшийся балансир весовой компенсации заклинить руль высоты также не мог, что наглядно показали спе</w:t>
      </w:r>
      <w:r w:rsidRPr="00DB5D0D">
        <w:rPr>
          <w:rFonts w:ascii="Times New Roman" w:hAnsi="Times New Roman"/>
          <w:color w:val="000000" w:themeColor="text1"/>
          <w:sz w:val="16"/>
          <w:szCs w:val="16"/>
        </w:rPr>
        <w:softHyphen/>
        <w:t>циальные испытания управления, проведенные 11 июля в присутствии аварийной комиссии. Качалка с противо</w:t>
      </w:r>
      <w:r w:rsidRPr="00DB5D0D">
        <w:rPr>
          <w:rFonts w:ascii="Times New Roman" w:hAnsi="Times New Roman"/>
          <w:color w:val="000000" w:themeColor="text1"/>
          <w:sz w:val="16"/>
          <w:szCs w:val="16"/>
        </w:rPr>
        <w:softHyphen/>
        <w:t>весом выдержала 13-кратную перегрузку, а когда ее во</w:t>
      </w:r>
      <w:r w:rsidRPr="00DB5D0D">
        <w:rPr>
          <w:rFonts w:ascii="Times New Roman" w:hAnsi="Times New Roman"/>
          <w:color w:val="000000" w:themeColor="text1"/>
          <w:sz w:val="16"/>
          <w:szCs w:val="16"/>
        </w:rPr>
        <w:softHyphen/>
        <w:t>обще освободили от точек крепления, то она и в этом случае не заклинивала руль высоты и не мешала брать на себя ручку управления до отказа. «...Это предположение НИИ ВВС опровергается и показаниями летчика-испытателя НИИ ВВС тов. Про-шакова, который заявляет, что ручка на себя подавалась туго, - отмечал Н.Н.Поликарпов. - Находясь в перевер</w:t>
      </w:r>
      <w:r w:rsidRPr="00DB5D0D">
        <w:rPr>
          <w:rFonts w:ascii="Times New Roman" w:hAnsi="Times New Roman"/>
          <w:color w:val="000000" w:themeColor="text1"/>
          <w:sz w:val="16"/>
          <w:szCs w:val="16"/>
        </w:rPr>
        <w:softHyphen/>
        <w:t>нутом положении и энергично управляя рулем поворо</w:t>
      </w:r>
      <w:r w:rsidRPr="00DB5D0D">
        <w:rPr>
          <w:rFonts w:ascii="Times New Roman" w:hAnsi="Times New Roman"/>
          <w:color w:val="000000" w:themeColor="text1"/>
          <w:sz w:val="16"/>
          <w:szCs w:val="16"/>
        </w:rPr>
        <w:softHyphen/>
        <w:t>та, летчик был в положении, при котором даже малые усилия на ручке управления были для него трудно пре</w:t>
      </w:r>
      <w:r w:rsidRPr="00DB5D0D">
        <w:rPr>
          <w:rFonts w:ascii="Times New Roman" w:hAnsi="Times New Roman"/>
          <w:color w:val="000000" w:themeColor="text1"/>
          <w:sz w:val="16"/>
          <w:szCs w:val="16"/>
        </w:rPr>
        <w:softHyphen/>
        <w:t>одолимыми. Для уменьшения же давления на ручку уп</w:t>
      </w:r>
      <w:r w:rsidRPr="00DB5D0D">
        <w:rPr>
          <w:rFonts w:ascii="Times New Roman" w:hAnsi="Times New Roman"/>
          <w:color w:val="000000" w:themeColor="text1"/>
          <w:sz w:val="16"/>
          <w:szCs w:val="16"/>
        </w:rPr>
        <w:softHyphen/>
        <w:t>равления летчику нужно было поставить триммер руля высоты в такое положение, при котором усилие на руч</w:t>
      </w:r>
      <w:r w:rsidRPr="00DB5D0D">
        <w:rPr>
          <w:rFonts w:ascii="Times New Roman" w:hAnsi="Times New Roman"/>
          <w:color w:val="000000" w:themeColor="text1"/>
          <w:sz w:val="16"/>
          <w:szCs w:val="16"/>
        </w:rPr>
        <w:softHyphen/>
        <w:t>ке снизилось бы. Но триммер, а также дача газа мотора не были использованы летчиком, что дает нам основа</w:t>
      </w:r>
      <w:r w:rsidRPr="00DB5D0D">
        <w:rPr>
          <w:rFonts w:ascii="Times New Roman" w:hAnsi="Times New Roman"/>
          <w:color w:val="000000" w:themeColor="text1"/>
          <w:sz w:val="16"/>
          <w:szCs w:val="16"/>
        </w:rPr>
        <w:softHyphen/>
        <w:t>ние думать о неиспользовании материальной части са</w:t>
      </w:r>
      <w:r w:rsidRPr="00DB5D0D">
        <w:rPr>
          <w:rFonts w:ascii="Times New Roman" w:hAnsi="Times New Roman"/>
          <w:color w:val="000000" w:themeColor="text1"/>
          <w:sz w:val="16"/>
          <w:szCs w:val="16"/>
        </w:rPr>
        <w:softHyphen/>
        <w:t xml:space="preserve">молета для выхода из неправильно сделанной Прошаковым фигуры». Третья ссылка НИИ ВВС на якобы недостаточную устойчивость самолета И-180-3 также неубедительна. При </w:t>
      </w:r>
      <w:r w:rsidRPr="00DB5D0D">
        <w:rPr>
          <w:rFonts w:ascii="Times New Roman" w:hAnsi="Times New Roman"/>
          <w:color w:val="000000" w:themeColor="text1"/>
          <w:sz w:val="16"/>
          <w:szCs w:val="16"/>
        </w:rPr>
        <w:lastRenderedPageBreak/>
        <w:t>центровке И-180-3, равной 26%, истребитель обла</w:t>
      </w:r>
      <w:r w:rsidRPr="00DB5D0D">
        <w:rPr>
          <w:rFonts w:ascii="Times New Roman" w:hAnsi="Times New Roman"/>
          <w:color w:val="000000" w:themeColor="text1"/>
          <w:sz w:val="16"/>
          <w:szCs w:val="16"/>
        </w:rPr>
        <w:softHyphen/>
        <w:t>дал устойчивостью, как это показали уже проведенные летные испытания, выполненные продувки на устойчи</w:t>
      </w:r>
      <w:r w:rsidRPr="00DB5D0D">
        <w:rPr>
          <w:rFonts w:ascii="Times New Roman" w:hAnsi="Times New Roman"/>
          <w:color w:val="000000" w:themeColor="text1"/>
          <w:sz w:val="16"/>
          <w:szCs w:val="16"/>
        </w:rPr>
        <w:softHyphen/>
        <w:t>вость и расчеты. Резюмируя и обобщая приведенные выше доводы, Николай Николаевич официально заявил, что «предпо</w:t>
      </w:r>
      <w:r w:rsidRPr="00DB5D0D">
        <w:rPr>
          <w:rFonts w:ascii="Times New Roman" w:hAnsi="Times New Roman"/>
          <w:color w:val="000000" w:themeColor="text1"/>
          <w:sz w:val="16"/>
          <w:szCs w:val="16"/>
        </w:rPr>
        <w:softHyphen/>
        <w:t>ложение о причинах аварии самолета И-180-3, высказанное в акте аварийной комиссии НИИ ВВС, является необоснованным и не соответствующим действитель</w:t>
      </w:r>
      <w:r w:rsidRPr="00DB5D0D">
        <w:rPr>
          <w:rFonts w:ascii="Times New Roman" w:hAnsi="Times New Roman"/>
          <w:color w:val="000000" w:themeColor="text1"/>
          <w:sz w:val="16"/>
          <w:szCs w:val="16"/>
        </w:rPr>
        <w:softHyphen/>
        <w:t>ности. Единственной вероятной причиной аварии само</w:t>
      </w:r>
      <w:r w:rsidRPr="00DB5D0D">
        <w:rPr>
          <w:rFonts w:ascii="Times New Roman" w:hAnsi="Times New Roman"/>
          <w:color w:val="000000" w:themeColor="text1"/>
          <w:sz w:val="16"/>
          <w:szCs w:val="16"/>
        </w:rPr>
        <w:softHyphen/>
        <w:t>лета И-180-3 является неточность пилотирования самолета И-180-3 летчиком Прошаковым на бочке и плохая ориентация его при происшедшем зависании на спине». Несколько ранее к подобному заключению пришел и ведущий летчик-испытатель по самолету И-180 Уляхин. При встрече с Прошаковым он обратил внимание на большие кровоподтеки глаз (белки были черно-крас</w:t>
      </w:r>
      <w:r w:rsidRPr="00DB5D0D">
        <w:rPr>
          <w:rFonts w:ascii="Times New Roman" w:hAnsi="Times New Roman"/>
          <w:color w:val="000000" w:themeColor="text1"/>
          <w:sz w:val="16"/>
          <w:szCs w:val="16"/>
        </w:rPr>
        <w:softHyphen/>
        <w:t>ные), что являлось неопровержимым свидетельством воздействием на летчика отрицательной перегрузки. В своих выводах, направленных в аварийную комиссию, Уляхин писал, что, допустив неточность в пилотирова</w:t>
      </w:r>
      <w:r w:rsidRPr="00DB5D0D">
        <w:rPr>
          <w:rFonts w:ascii="Times New Roman" w:hAnsi="Times New Roman"/>
          <w:color w:val="000000" w:themeColor="text1"/>
          <w:sz w:val="16"/>
          <w:szCs w:val="16"/>
        </w:rPr>
        <w:softHyphen/>
        <w:t>нии при выполнении бочки, Прошаков поставил рули в такое положение, при котором самолет перешел в спи</w:t>
      </w:r>
      <w:r w:rsidRPr="00DB5D0D">
        <w:rPr>
          <w:rFonts w:ascii="Times New Roman" w:hAnsi="Times New Roman"/>
          <w:color w:val="000000" w:themeColor="text1"/>
          <w:sz w:val="16"/>
          <w:szCs w:val="16"/>
        </w:rPr>
        <w:softHyphen/>
        <w:t>раль с отрицательной перегрузкой. Из-за сильного кро</w:t>
      </w:r>
      <w:r w:rsidRPr="00DB5D0D">
        <w:rPr>
          <w:rFonts w:ascii="Times New Roman" w:hAnsi="Times New Roman"/>
          <w:color w:val="000000" w:themeColor="text1"/>
          <w:sz w:val="16"/>
          <w:szCs w:val="16"/>
        </w:rPr>
        <w:softHyphen/>
        <w:t>воизлияния на голову летчик не смог нормально управлять самолетом и был вынужден покинуть его. По мнению Уляхина, в этой ситуации Прошаков принял правильное решение покинуть машину, так как, во-пер</w:t>
      </w:r>
      <w:r w:rsidRPr="00DB5D0D">
        <w:rPr>
          <w:rFonts w:ascii="Times New Roman" w:hAnsi="Times New Roman"/>
          <w:color w:val="000000" w:themeColor="text1"/>
          <w:sz w:val="16"/>
          <w:szCs w:val="16"/>
        </w:rPr>
        <w:softHyphen/>
        <w:t>вых, потерял ориентацию, а, во-вторых, даже если бы он вывел машину в горизонтальный полет, с сильными кровоподтеками глаз он не смог бы посадить самолет. Для подтверждения своих слов Уляхин предложил воспроизвести полет с любым желающим на двухмест</w:t>
      </w:r>
      <w:r w:rsidRPr="00DB5D0D">
        <w:rPr>
          <w:rFonts w:ascii="Times New Roman" w:hAnsi="Times New Roman"/>
          <w:color w:val="000000" w:themeColor="text1"/>
          <w:sz w:val="16"/>
          <w:szCs w:val="16"/>
        </w:rPr>
        <w:softHyphen/>
        <w:t>ном истребителе УТИ-4 (10667).</w:t>
      </w:r>
    </w:p>
    <w:p w14:paraId="137C341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E6B1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в полете на И-180-3 летчик-испытатель НИИ ВВС А.Г. Прошаков допустил ошибку при выполнении фигуры высшего пи</w:t>
      </w:r>
      <w:r w:rsidRPr="00DB5D0D">
        <w:rPr>
          <w:rFonts w:ascii="Times New Roman" w:hAnsi="Times New Roman"/>
          <w:color w:val="000000" w:themeColor="text1"/>
          <w:sz w:val="16"/>
          <w:szCs w:val="16"/>
        </w:rPr>
        <w:softHyphen/>
        <w:t>лотажа «бочки». Не справившись с управлением, пилот выб</w:t>
      </w:r>
      <w:r w:rsidRPr="00DB5D0D">
        <w:rPr>
          <w:rFonts w:ascii="Times New Roman" w:hAnsi="Times New Roman"/>
          <w:color w:val="000000" w:themeColor="text1"/>
          <w:sz w:val="16"/>
          <w:szCs w:val="16"/>
        </w:rPr>
        <w:softHyphen/>
        <w:t>росился с парашютом. Эта авария фактически поставила точ</w:t>
      </w:r>
      <w:r w:rsidRPr="00DB5D0D">
        <w:rPr>
          <w:rFonts w:ascii="Times New Roman" w:hAnsi="Times New Roman"/>
          <w:color w:val="000000" w:themeColor="text1"/>
          <w:sz w:val="16"/>
          <w:szCs w:val="16"/>
        </w:rPr>
        <w:softHyphen/>
        <w:t>ку в биографии И-180. Вдобавок летом 1940 года мотор М-88 из-за дефектов, выявленных в ходе опытной эксплуатации, сняли с производства. Пока испытывали И-180, завод в Горьком в апреле 1940 года сдал заказчику три серийных истребителя, про</w:t>
      </w:r>
      <w:r w:rsidRPr="00DB5D0D">
        <w:rPr>
          <w:rFonts w:ascii="Times New Roman" w:hAnsi="Times New Roman"/>
          <w:color w:val="000000" w:themeColor="text1"/>
          <w:sz w:val="16"/>
          <w:szCs w:val="16"/>
        </w:rPr>
        <w:softHyphen/>
        <w:t>демонстрированных на первомайском параде в Москве (10745,72).</w:t>
      </w:r>
    </w:p>
    <w:p w14:paraId="132E3A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F9205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закончились заводские испытания И-190 (6592).</w:t>
      </w:r>
    </w:p>
    <w:p w14:paraId="4FDFD54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0679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года Начальник ЦАГИ генерал-майор авиации И.Ф. Петров писал начальнику штаба ВВС РККА генерал-лейтенанту авиации Арженухину по вопросу «Об аварийных бюллетенях ВВС КА»: «Последние «Аварийные бюллетени ВВС КА» ЦАГИ не были получены.</w:t>
      </w:r>
    </w:p>
    <w:p w14:paraId="687EB2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ЦАГИ в настоящее время проводится работа по изучению аварий, а также разрабатывается новая форма учета и анализа летных происшествий, поэтому получение «Аварийных бюллетеней ВВС КА», также как и других материалов по летным происшествиям, является совершенно необходимым.</w:t>
      </w:r>
    </w:p>
    <w:p w14:paraId="5F9501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Прошу Вашего распоряжения: </w:t>
      </w:r>
    </w:p>
    <w:p w14:paraId="726848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 высылке в ЦАГИ вышедших после октября 1939 г. «Аварийных бюллетеней ВВС КА».</w:t>
      </w:r>
    </w:p>
    <w:p w14:paraId="25C163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 включении ЦАГИ в список адресатов, получающих «Аварийные бюллетени» в двух экземплярах» (Самарский филиал РГАНТД. Ф. Р-217. Оп. 1-6. Д. 19. Л. 9.).</w:t>
      </w:r>
    </w:p>
    <w:p w14:paraId="07138F3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6985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6 по 12 июля 1940 проводились летные испытания турбокомпрессора ТК-1 на И-153 с М-63 (517).</w:t>
      </w:r>
    </w:p>
    <w:p w14:paraId="2F45714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16B5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года закончились войсковые испытания в полку боевого применения НИИ ВВС 4 самолетов И-153 с М62, оборудованные ТК-1, которые проходили с 2 октября 1939 года.</w:t>
      </w:r>
    </w:p>
    <w:p w14:paraId="00420A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испытаний установлено:</w:t>
      </w:r>
    </w:p>
    <w:p w14:paraId="008E08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самолеты И-153 М-62 с ТК имеют ухудшенную аэродинамику винтомоторной группы за счет выступающих ТК и плохо изготовленных капотов; это обстоятельство приводит к ухудшению, особенно на малых и средних высотах, летных качеств самолета:</w:t>
      </w:r>
    </w:p>
    <w:p w14:paraId="63F8D0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высотах до 5000 м самолет И-153 без ТК имеет большее преимущество над самолетом И-153 М62 с ТК; скорость самолета И-153 без ТК на земле и высотах 2400 и 4500 м на 25-30 км/час больше, чем у самолета И-153 с ТК;</w:t>
      </w:r>
    </w:p>
    <w:p w14:paraId="5B5BF3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высотах 5-6000 м самолеты И-153 М62 с ТК и без ТК имеют равные боевые качества;</w:t>
      </w:r>
    </w:p>
    <w:p w14:paraId="7190A6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высотах свыше 6000 м самолеты И-153 М62 с ТК имеют боевые преимущества над самолетами И-153 М62 без ТК, обладая большими горизонтальными скоростями, скороподъемностью и маневренностью; так скорость самолета И-153 ТК на высоте 8000 и 9000 м больше, чем у самолета И-153 без ТК.</w:t>
      </w:r>
    </w:p>
    <w:p w14:paraId="555680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 10500 м меньше на 6 минут.</w:t>
      </w:r>
    </w:p>
    <w:p w14:paraId="728315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увеличением полетного веса самолета благодаря установке ТК и подвесных бензобаков на самолете И-153 введены следующие ограничения:</w:t>
      </w:r>
    </w:p>
    <w:p w14:paraId="29EE116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Боевые развороты и горка производятся при скоростях не свыше 300 км/час.</w:t>
      </w:r>
    </w:p>
    <w:p w14:paraId="2D1E554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производить многократные и восходящие бочки.</w:t>
      </w:r>
    </w:p>
    <w:p w14:paraId="7FBACC8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пикирования не должна превышать 500 км/час по прибору.</w:t>
      </w:r>
    </w:p>
    <w:p w14:paraId="3C4620C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 с подвесными бензобаками разрешается только с хорошего аэродрома.</w:t>
      </w:r>
    </w:p>
    <w:p w14:paraId="696541B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Посадка с заполненными подвесными бензобаками запрещается.</w:t>
      </w:r>
    </w:p>
    <w:p w14:paraId="6C981E1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наличии подвесных бензобаков запрещается производство фигур, вызывающих значительные перегрузки (иммельман, бочка, горка на повышенных скоростях и резкий выход из пикирования).</w:t>
      </w:r>
    </w:p>
    <w:p w14:paraId="22C753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установки ТК на самолете И-153 не доведена.…………..(7712, 428-433).</w:t>
      </w:r>
    </w:p>
    <w:p w14:paraId="53CE410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AA0BF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г. По приказу № 330сс и по пр. № 565с от 18.10.1940 г. на базе филиала завода № 28 (бывший манеж военного ведомства) в  г. Ленинграде образован завод № 133 НКАП по производству авиационных свечей (11982).</w:t>
      </w:r>
    </w:p>
    <w:p w14:paraId="73EE89A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124E2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года был подготовлен расчет потребности самолетов для ВВС КА по военному времени на 1941-й и 1942 годы. Документ завизировали начальник ГУАС генерал-лейтенант Алексеев, военком ГУАС Князев, начальник I отдела ГУАС Захаров, военком I отдела Барышев. Со</w:t>
      </w:r>
      <w:r w:rsidRPr="00DB5D0D">
        <w:rPr>
          <w:rFonts w:ascii="Times New Roman" w:hAnsi="Times New Roman"/>
          <w:color w:val="000000" w:themeColor="text1"/>
          <w:sz w:val="16"/>
          <w:szCs w:val="16"/>
        </w:rPr>
        <w:softHyphen/>
        <w:t>гласно этому расчету, потребность ВВС КА в 1941 году определялась в 34031 са</w:t>
      </w:r>
      <w:r w:rsidRPr="00DB5D0D">
        <w:rPr>
          <w:rFonts w:ascii="Times New Roman" w:hAnsi="Times New Roman"/>
          <w:color w:val="000000" w:themeColor="text1"/>
          <w:sz w:val="16"/>
          <w:szCs w:val="16"/>
        </w:rPr>
        <w:softHyphen/>
        <w:t>молет, а в 1942 году - в 38637 самолетов (РГВА. Ф. 29. Оп. 46. Д. 340. Л. 167.).</w:t>
      </w:r>
    </w:p>
    <w:p w14:paraId="1F01FB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Судя по всему, именно эти расчеты и легли в основу представленной наркому обороны 9 июля 1940 года мобилизационной заявки ВВС, соглас</w:t>
      </w:r>
      <w:r w:rsidRPr="00DB5D0D">
        <w:rPr>
          <w:rFonts w:ascii="Times New Roman" w:hAnsi="Times New Roman"/>
          <w:color w:val="000000" w:themeColor="text1"/>
          <w:sz w:val="16"/>
          <w:szCs w:val="16"/>
        </w:rPr>
        <w:softHyphen/>
        <w:t>но которой промышленность должна была выпустить в следующем году 35705 истребителей, бомбардировщиков и учебных машин. В Политбюро ЦК ВКП(б) 13 июля 1940 года было направлено письмо наркома обороны С.К. Тимошенко и начальника Генштаба Б.М. Шапошникова. В нем высказы</w:t>
      </w:r>
      <w:r w:rsidRPr="00DB5D0D">
        <w:rPr>
          <w:rFonts w:ascii="Times New Roman" w:hAnsi="Times New Roman"/>
          <w:color w:val="000000" w:themeColor="text1"/>
          <w:sz w:val="16"/>
          <w:szCs w:val="16"/>
        </w:rPr>
        <w:softHyphen/>
        <w:t>валось соображение о необходимости перевести отечественный авиапром на положение военного времени, приняв меры к выпуску возможно боль</w:t>
      </w:r>
      <w:r w:rsidRPr="00DB5D0D">
        <w:rPr>
          <w:rFonts w:ascii="Times New Roman" w:hAnsi="Times New Roman"/>
          <w:color w:val="000000" w:themeColor="text1"/>
          <w:sz w:val="16"/>
          <w:szCs w:val="16"/>
        </w:rPr>
        <w:softHyphen/>
        <w:t>шего количества боевых самолетов. На совещании 16 июля 1940 года по вопросам мобразвертывания авиапрома у зампредседателя СНК НА Воз</w:t>
      </w:r>
      <w:r w:rsidRPr="00DB5D0D">
        <w:rPr>
          <w:rFonts w:ascii="Times New Roman" w:hAnsi="Times New Roman"/>
          <w:color w:val="000000" w:themeColor="text1"/>
          <w:sz w:val="16"/>
          <w:szCs w:val="16"/>
        </w:rPr>
        <w:softHyphen/>
        <w:t>несенского военные предложили довести мощности авиапрома по выпус</w:t>
      </w:r>
      <w:r w:rsidRPr="00DB5D0D">
        <w:rPr>
          <w:rFonts w:ascii="Times New Roman" w:hAnsi="Times New Roman"/>
          <w:color w:val="000000" w:themeColor="text1"/>
          <w:sz w:val="16"/>
          <w:szCs w:val="16"/>
        </w:rPr>
        <w:softHyphen/>
        <w:t>ку только боевых машин до ЗбООО в год. А 19 июля нарком обороны пред</w:t>
      </w:r>
      <w:r w:rsidRPr="00DB5D0D">
        <w:rPr>
          <w:rFonts w:ascii="Times New Roman" w:hAnsi="Times New Roman"/>
          <w:color w:val="000000" w:themeColor="text1"/>
          <w:sz w:val="16"/>
          <w:szCs w:val="16"/>
        </w:rPr>
        <w:softHyphen/>
        <w:t>ставил председателю Комитета Обороны, зампредседателя СНК и наркому авиапромышленности мобзаявку уже на 35000 боевых и 4850 учебных и транспортных машин (Мельтюхов М.И. Упущенный шанс Сталина. С. 290; Шумихин В.С. Советская военная авиация 1917- 1941 годов. С. 221.).</w:t>
      </w:r>
    </w:p>
    <w:p w14:paraId="2A1A15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Справедливости ради необходимо отметить, что завышенные оценки в определении возможностей германского авиапрома имели место и позд</w:t>
      </w:r>
      <w:r w:rsidRPr="00DB5D0D">
        <w:rPr>
          <w:rFonts w:ascii="Times New Roman" w:hAnsi="Times New Roman"/>
          <w:color w:val="000000" w:themeColor="text1"/>
          <w:sz w:val="16"/>
          <w:szCs w:val="16"/>
        </w:rPr>
        <w:softHyphen/>
        <w:t>нее, причем проходили они по разным каналам. Так, по данным разведуп-равления Генштаба РККА от 11 марта 1941 года, ВВС Германии насчитыва</w:t>
      </w:r>
      <w:r w:rsidRPr="00DB5D0D">
        <w:rPr>
          <w:rFonts w:ascii="Times New Roman" w:hAnsi="Times New Roman"/>
          <w:color w:val="000000" w:themeColor="text1"/>
          <w:sz w:val="16"/>
          <w:szCs w:val="16"/>
        </w:rPr>
        <w:softHyphen/>
        <w:t>ли на 1 марта 20070 самолетов, в том числе 10980 боевых. По материалам плана Генштаба о стратегическом развертывании, датированного тем же числом, предполагалось использование Германией против СССР 10000 са</w:t>
      </w:r>
      <w:r w:rsidRPr="00DB5D0D">
        <w:rPr>
          <w:rFonts w:ascii="Times New Roman" w:hAnsi="Times New Roman"/>
          <w:color w:val="000000" w:themeColor="text1"/>
          <w:sz w:val="16"/>
          <w:szCs w:val="16"/>
        </w:rPr>
        <w:softHyphen/>
        <w:t>молетов (1941 год. Документы. Кн. 1 С. 741-742.). Производительность же авиапромышленности оценивалась в 25-30 тысяч самолетов в год, практически совпадая с данными И.Ф. Петро</w:t>
      </w:r>
      <w:r w:rsidRPr="00DB5D0D">
        <w:rPr>
          <w:rFonts w:ascii="Times New Roman" w:hAnsi="Times New Roman"/>
          <w:color w:val="000000" w:themeColor="text1"/>
          <w:sz w:val="16"/>
          <w:szCs w:val="16"/>
        </w:rPr>
        <w:softHyphen/>
        <w:t>ва середины 1940 года (1941 год. Документы. Кн. 1 С. 746-751.).</w:t>
      </w:r>
    </w:p>
    <w:p w14:paraId="45CAAF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реальности же в 1939-1944 годах численность боевых самолетов люф</w:t>
      </w:r>
      <w:r w:rsidRPr="00DB5D0D">
        <w:rPr>
          <w:rFonts w:ascii="Times New Roman" w:hAnsi="Times New Roman"/>
          <w:color w:val="000000" w:themeColor="text1"/>
          <w:sz w:val="16"/>
          <w:szCs w:val="16"/>
        </w:rPr>
        <w:softHyphen/>
        <w:t>тваффе не превышала 5600 машин. Что касается рубежа 1940 - 1941 годов, то ситуация была даже хуже, чем годом ранее, когда боевые действия только что начались. Так, к концу декабря 1940 года имелось 3050 самолетов, а в де</w:t>
      </w:r>
      <w:r w:rsidRPr="00DB5D0D">
        <w:rPr>
          <w:rFonts w:ascii="Times New Roman" w:hAnsi="Times New Roman"/>
          <w:color w:val="000000" w:themeColor="text1"/>
          <w:sz w:val="16"/>
          <w:szCs w:val="16"/>
        </w:rPr>
        <w:softHyphen/>
        <w:t>кабре 1939 года их было 3258; в марте же 1941 года насчитывалось 3583 ма</w:t>
      </w:r>
      <w:r w:rsidRPr="00DB5D0D">
        <w:rPr>
          <w:rFonts w:ascii="Times New Roman" w:hAnsi="Times New Roman"/>
          <w:color w:val="000000" w:themeColor="text1"/>
          <w:sz w:val="16"/>
          <w:szCs w:val="16"/>
        </w:rPr>
        <w:softHyphen/>
        <w:t>шины, в том числе: истребителей одномоторных - 1158, истребителей двухмоторных - 322, ночных истребителей - 199, пикирующих бомбарди</w:t>
      </w:r>
      <w:r w:rsidRPr="00DB5D0D">
        <w:rPr>
          <w:rFonts w:ascii="Times New Roman" w:hAnsi="Times New Roman"/>
          <w:color w:val="000000" w:themeColor="text1"/>
          <w:sz w:val="16"/>
          <w:szCs w:val="16"/>
        </w:rPr>
        <w:softHyphen/>
        <w:t>ровщиков и самолетов-штурмовиков - 444, бомбардировщиков - 1460, хотя ровно год назад, в том же месяце 1940 года, их было 3692 (11710,272).</w:t>
      </w:r>
    </w:p>
    <w:p w14:paraId="0BC829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8F9DE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г. по приказу № 330сс НКАП на завод № 33 из ЦИАМ была переведена группа по агрегатам непосредственного впрыска (НВ) Б-13 для моторов М-105 и М-120 и образован единый ОКО по разработке моторных агрегатов (ОКО, ОКБ завода № 33 НКАП, Филиал ОКБ-315-33 НКАП, МАП, Союзное ОКБ-33 МАП, Пермское агрегатное КБ (ПАКБ) МАП, «Системы тонливопитания и автоматического регулирования» ОАО «СТАР» / г. Москва;  г. Молотов/ /614990  г. Пермь ул. Куйбышева, 140А тел. 49-69-22/). В его составе организовано КБ по карбюраторам (КБ-1 при ОКО завода № 33) и КБ по агрегатам НВ (КБ-2 при ОКО завода № 33). Вскоре по приказу № 537с от 12.10.1940 г. при заводе организована опытно-экспериментальная база по агрегатам НВ с образованием КБ завода № 33. Руководитель- С.А. Косбер г. Работы по НВ для моторов М-88 и М-105.</w:t>
      </w:r>
    </w:p>
    <w:p w14:paraId="44C91E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10.1941 г. опытные организации завода были эвакуированы. КБ С.А. Косберга по агрегатам НВ эвакуировано на завод № 296 НКАП, где было образовано новое ОКО по агрегатам НВ. КБ по карбюраторам Ф.А. Короткова эвакуируется вместе с заводом в  г. Молотов на завод № 339 НКАП. Здесь оно действовало с 5.11.1941 г. до 07.1943 г.</w:t>
      </w:r>
    </w:p>
    <w:p w14:paraId="72A4C7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8 марта 1943 г. по приказу № 136с часть кадров и оборудования ОКБ завода № 33 переведено для укрепления в ОКБ завода № 315 НКАП. По приказу № 336с от 3.06.1943 г. на заводе № 315 образовано единое ОКБ-315-33 НКАП на базе ОКБ завода № 33 и ОКБ завода № 315. Гл. конструктором ОКБ и обоих заводов назначен Ф.А. Короткое. Для помощи серийному производству на заводе № 33 организован филиал ОКБ-315-33.</w:t>
      </w:r>
    </w:p>
    <w:p w14:paraId="367A1B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доводке и модернизации карбюраторов К-11А, ВК-4, КТА-21, К-25, К-42, К-38, К-105Ф, АК-62, АК-82. После войны- доводка агрегатов АТ-1, АРТ-8, ДК-6 для РД-45 и РД-500.</w:t>
      </w:r>
    </w:p>
    <w:p w14:paraId="056AF9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1957 г. филиал преобразован в самостоятельное Союзное ОКБ-33 МАП. В 08.1957 г.- в ведении ЗГУ МАП.</w:t>
      </w:r>
    </w:p>
    <w:p w14:paraId="73FC86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1960-х  г. действовало единое ОКБ-315-33 с Пермским филиалом на заводе № 33. В 1960-х  г. ОКБ вновь стало самостоятельным и получило название ПАКБ. С 1962 г. имеет собственный производственный корпус.</w:t>
      </w:r>
    </w:p>
    <w:p w14:paraId="39B192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C51DA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(2005 г.): разработка САУ для двигателей ПС-90А2, самолетов Ан-140 и Ан-38.</w:t>
      </w:r>
    </w:p>
    <w:p w14:paraId="1B461D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(2002 г.)- 1200 чел.</w:t>
      </w:r>
    </w:p>
    <w:p w14:paraId="6BEAD4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Гл. конструктор ОКО (1933 г.-)- </w:t>
      </w:r>
      <w:r w:rsidRPr="00DB5D0D">
        <w:rPr>
          <w:rFonts w:ascii="Times New Roman" w:hAnsi="Times New Roman"/>
          <w:color w:val="000000" w:themeColor="text1"/>
          <w:sz w:val="16"/>
          <w:szCs w:val="16"/>
          <w:lang w:val="en-US"/>
        </w:rPr>
        <w:t>A</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M</w:t>
      </w:r>
      <w:r w:rsidRPr="00DB5D0D">
        <w:rPr>
          <w:rFonts w:ascii="Times New Roman" w:hAnsi="Times New Roman"/>
          <w:color w:val="000000" w:themeColor="text1"/>
          <w:sz w:val="16"/>
          <w:szCs w:val="16"/>
        </w:rPr>
        <w:t>. Добротворский, К.А. Стариков, (06.1940-41 г.-&gt; Ф.А. Короткое. Гл. конструктор ОКБ (1957-73 Г.)- А.Ф. Полянский, (1974-89 г.)-  Г.И. Гордеев, (1989-2004 г.-&gt; Ю.П. Дудкин.</w:t>
      </w:r>
    </w:p>
    <w:p w14:paraId="2AF62C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филиала (1943 г.-)- В.Т. Панфилов, (1952 г.-)- А.Ф. Полянский. Гендиректор (-1997-2005 г.-)- Ю.П. Дудкин.</w:t>
      </w:r>
      <w:r w:rsidRPr="00DB5D0D">
        <w:rPr>
          <w:rFonts w:ascii="Times New Roman" w:hAnsi="Times New Roman"/>
          <w:color w:val="000000" w:themeColor="text1"/>
          <w:sz w:val="16"/>
          <w:szCs w:val="16"/>
          <w:vertAlign w:val="superscript"/>
        </w:rPr>
        <w:t>49</w:t>
      </w:r>
    </w:p>
    <w:p w14:paraId="410CBC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зам. гл. конструктора (2002 г.)- Б.М. Конторович. Зам. гл. конструктора: по карбюраторам (1940 г.-)- К.А. Стариков; по агрегатам НВ (1940 г.-)- С.А. Косберг; (1943 г.-)- В.Т. Панфилов, (1952 г.-)- А.Ф. Полянский, (2002 г.)- В.А. Юфарев, (2002 г.)- В.В. Бурдин.</w:t>
      </w:r>
    </w:p>
    <w:p w14:paraId="20A8D3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гендиректора по экономике (2002 г.)- В.В. Плешков.</w:t>
      </w:r>
    </w:p>
    <w:p w14:paraId="07D7A3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опытного завода (2002 г.)- Н.А. Панов.</w:t>
      </w:r>
    </w:p>
    <w:p w14:paraId="76966B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Создано: (1930-е) карбюраторы К-35 для АМ-35А, К-105П для М-105, К-37БП для М-37, К-38, К-87, АК-62, АК-63, АК-88, КМ-250 для М-250; агрегаты НВ НБ-ЗУ для АШ-82ФН (ВОВ); ЭК-506, РПД-1ФНР для АШ-82Т; регулятор РПД-82, карбюратор К-14В, КМП-100; гидромеханические и электронные САУ ГТД: для Ту-124, Ми-6, Ту-134, Ил-76, Ил-62М, Ту-154М; регулятор РПР-ЗА для Ми-14 (1974); первая в России САУ с цифровым регулятором РЭД-3048 для Д-30Ф6 (1975); САУ: с регулятором РЭД-90 для ПС-90; с ЭРД-ЗВМ для ТВЗ-117; САУ-65 с РЭД-65 для ТВ7-117; САУ-2000 с регулятором РЭД-2000 для ТВЗ-117ВМА-СБ2 (2002), САУ-87 для Ка-60 и Ка-62; САУ для Су-26М, Ка-50, Ан-38 (2002); САУ для танка Т-80; САУ для промыпшенных ГТУ (1993- 2002-) (11982).</w:t>
      </w:r>
    </w:p>
    <w:p w14:paraId="03B9629D" w14:textId="77777777" w:rsidR="000F7B83" w:rsidRPr="00DB5D0D" w:rsidRDefault="000F7B83" w:rsidP="00DB5D0D">
      <w:pPr>
        <w:spacing w:after="0" w:line="240" w:lineRule="auto"/>
        <w:jc w:val="both"/>
        <w:rPr>
          <w:rFonts w:ascii="Times New Roman" w:hAnsi="Times New Roman"/>
          <w:color w:val="000000" w:themeColor="text1"/>
          <w:sz w:val="16"/>
          <w:szCs w:val="16"/>
        </w:rPr>
      </w:pPr>
    </w:p>
    <w:p w14:paraId="7A08E0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г. приказом Наркомата авиационной промышленности СССР было создано конструкторское бюро завода N 33. В 1943 г. преобразовано в самостоятельное Опытно-конструкторское бюро 315. В 1957 г. переименовано в Государственное союзное опытно-конструкторское бюро 315 (ОКБ-315) (12102).</w:t>
      </w:r>
    </w:p>
    <w:p w14:paraId="418DE316" w14:textId="77777777" w:rsidR="000F7B83" w:rsidRPr="00DB5D0D" w:rsidRDefault="000F7B83" w:rsidP="00DB5D0D">
      <w:pPr>
        <w:spacing w:after="0" w:line="240" w:lineRule="auto"/>
        <w:jc w:val="both"/>
        <w:rPr>
          <w:rFonts w:ascii="Times New Roman" w:hAnsi="Times New Roman"/>
          <w:color w:val="000000" w:themeColor="text1"/>
          <w:sz w:val="16"/>
          <w:szCs w:val="16"/>
        </w:rPr>
      </w:pPr>
    </w:p>
    <w:p w14:paraId="7B4DA5D2" w14:textId="77777777" w:rsidR="000F7B83" w:rsidRPr="00DB5D0D" w:rsidRDefault="000F7B83"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6 июля</w:t>
      </w:r>
      <w:r w:rsidRPr="00DB5D0D">
        <w:rPr>
          <w:rFonts w:ascii="Times New Roman" w:hAnsi="Times New Roman"/>
          <w:color w:val="000000" w:themeColor="text1"/>
          <w:sz w:val="16"/>
          <w:szCs w:val="16"/>
        </w:rPr>
        <w:t xml:space="preserve"> в 1940 году было образовано опытно-конструкторское бюро для разработки и организации серийного производства агрегатов топливопитания авиационных двигателей (ныне ОАО «Научно-производственное предприятие «Электронно-гидравлическая автоматика»; ЭГА, город Москва – ведущий российский разработчик систем автоматического управления газотурбинных двигателей авиационного и наземного назначения) (14944).</w:t>
      </w:r>
    </w:p>
    <w:p w14:paraId="6CDF5987" w14:textId="77777777" w:rsidR="000F7B83" w:rsidRPr="00DB5D0D" w:rsidRDefault="000F7B83" w:rsidP="00DB5D0D">
      <w:pPr>
        <w:spacing w:after="0" w:line="240" w:lineRule="auto"/>
        <w:jc w:val="both"/>
        <w:rPr>
          <w:rFonts w:ascii="Times New Roman" w:hAnsi="Times New Roman"/>
          <w:color w:val="000000" w:themeColor="text1"/>
          <w:sz w:val="16"/>
          <w:szCs w:val="16"/>
        </w:rPr>
      </w:pPr>
    </w:p>
    <w:p w14:paraId="4F7A94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г. по приказу № 330сс и № 565с от 18.10.1940 г. на базе филиала завода № 28 (бывший манеж военного ведомства) в  г. Ленинграде образовался завод № 133 НКАП по производству авиационных свечей в системе 4ГУ НКАП.</w:t>
      </w:r>
    </w:p>
    <w:p w14:paraId="2C920B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начала войны (~08.1941 г.) завод эвакуирован на площадку завода № 306 НКАП. По приказу № 971сс от 12.09.1941 г. завод № 133 влит в единый завод № 306 НКАП и с 09.1941 г. выбыл из числа действующих.</w:t>
      </w:r>
    </w:p>
    <w:p w14:paraId="79DFB3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площадке эвакуированного завода в 1945 г. образован завод № 794 НКАП.</w:t>
      </w:r>
    </w:p>
    <w:p w14:paraId="15F6F9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(1940 г.)- Д.К. Посылкин (11982).</w:t>
      </w:r>
    </w:p>
    <w:p w14:paraId="3EC57A9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FD11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г. состо</w:t>
      </w:r>
      <w:r w:rsidRPr="00DB5D0D">
        <w:rPr>
          <w:rFonts w:ascii="Times New Roman" w:hAnsi="Times New Roman"/>
          <w:color w:val="000000" w:themeColor="text1"/>
          <w:sz w:val="16"/>
          <w:szCs w:val="16"/>
        </w:rPr>
        <w:softHyphen/>
        <w:t>юсь стрельба РОФС-140. Отстреляли семь снарядов, совместив с испытаниями кучность. Максимальное значение скорости не превысило 424 м/с, а среднее ее значение - 417 м/с. Средняя величина отклонений по дальности составила 1/152, а по боковому отклонению - 1/63 дистанции огня (11402).</w:t>
      </w:r>
    </w:p>
    <w:p w14:paraId="5F9D033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91A3E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F4AD5D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92943DD"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6/8 июля 1940 была Докладная записка наркома ВМФ СССР Н. Г. Кузнецова И. В. Сталину о катастрофической нехватке производственных мощностей для выпуска приборов управления стрельбой</w:t>
      </w:r>
    </w:p>
    <w:p w14:paraId="6F1D6766"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До 1940 г. сдачу новых кораблей тормозило главный образом несвоевременная поставка Приборов Управления Огнем, вследствие недостатка производ</w:t>
      </w:r>
      <w:r w:rsidRPr="00DB5D0D">
        <w:rPr>
          <w:rFonts w:ascii="Times New Roman" w:hAnsi="Times New Roman"/>
          <w:color w:val="0070C0"/>
          <w:sz w:val="16"/>
          <w:szCs w:val="16"/>
        </w:rPr>
        <w:softHyphen/>
        <w:t>ственных мощностей заводов, изготовляющих приборы.</w:t>
      </w:r>
    </w:p>
    <w:p w14:paraId="5614A665"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 новые эсминцы и лидера не имеют при</w:t>
      </w:r>
      <w:r w:rsidRPr="00DB5D0D">
        <w:rPr>
          <w:rFonts w:ascii="Times New Roman" w:hAnsi="Times New Roman"/>
          <w:color w:val="0070C0"/>
          <w:sz w:val="16"/>
          <w:szCs w:val="16"/>
        </w:rPr>
        <w:softHyphen/>
        <w:t>боров управления зенитным и торпедным огнем. Отсутствие приборов управления зенитным огнем делает корабли совершенно беззащитными от атак самолетов, а отсутствие приборов управления торпедной стрельбой заставляет выходить корабли в атаку по способам времен первой империалистической войны.</w:t>
      </w:r>
    </w:p>
    <w:p w14:paraId="714051B9"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Па 194 1г. затруднения с изготовлением прибо</w:t>
      </w:r>
      <w:r w:rsidRPr="00DB5D0D">
        <w:rPr>
          <w:rFonts w:ascii="Times New Roman" w:hAnsi="Times New Roman"/>
          <w:color w:val="0070C0"/>
          <w:sz w:val="16"/>
          <w:szCs w:val="16"/>
        </w:rPr>
        <w:softHyphen/>
        <w:t>ров управления утрень бой принимал катастрофический характер, так например:</w:t>
      </w:r>
    </w:p>
    <w:p w14:paraId="4B8C08AA"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Завод № 2I2, изготовляющий приборы управ</w:t>
      </w:r>
      <w:r w:rsidRPr="00DB5D0D">
        <w:rPr>
          <w:rFonts w:ascii="Times New Roman" w:hAnsi="Times New Roman"/>
          <w:color w:val="0070C0"/>
          <w:sz w:val="16"/>
          <w:szCs w:val="16"/>
        </w:rPr>
        <w:softHyphen/>
        <w:t>ления стрельбой для крейсеров и линкоров будет иметь в 1941г. мощность 1.707.200 станко-часов, для выпол</w:t>
      </w:r>
      <w:r w:rsidRPr="00DB5D0D">
        <w:rPr>
          <w:rFonts w:ascii="Times New Roman" w:hAnsi="Times New Roman"/>
          <w:color w:val="0070C0"/>
          <w:sz w:val="16"/>
          <w:szCs w:val="16"/>
        </w:rPr>
        <w:softHyphen/>
        <w:t>нения программы необходимо иметь 3.698.800 станко- часов. Нехватает мощности I.991.600 станко-часов.</w:t>
      </w:r>
    </w:p>
    <w:p w14:paraId="56352F4F"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Завод №-231, изготовляющий приборы управ</w:t>
      </w:r>
      <w:r w:rsidRPr="00DB5D0D">
        <w:rPr>
          <w:rFonts w:ascii="Times New Roman" w:hAnsi="Times New Roman"/>
          <w:color w:val="0070C0"/>
          <w:sz w:val="16"/>
          <w:szCs w:val="16"/>
        </w:rPr>
        <w:softHyphen/>
        <w:t>ления стрельбой для эсминцев, тральщиков и противо</w:t>
      </w:r>
      <w:r w:rsidRPr="00DB5D0D">
        <w:rPr>
          <w:rFonts w:ascii="Times New Roman" w:hAnsi="Times New Roman"/>
          <w:color w:val="0070C0"/>
          <w:sz w:val="16"/>
          <w:szCs w:val="16"/>
        </w:rPr>
        <w:softHyphen/>
        <w:t>минного калибра линкоров и крейсеров, в 1941 г. будет иметь мощность 1.767.700 станко-часов - требуется для выполнения программы 2.348.400 станко-часов. Нехватает мощности 784.200 станко-часов.</w:t>
      </w:r>
    </w:p>
    <w:p w14:paraId="5164C376"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Завод №-203, изготовляющий торпедные автоматы стрельбы и приборы управления стрельбой для 406 м/м. и 305 м/м. батарей в Латвии и Эстонии будет иметь в 1941г. для выполнения программы HK3LI5 416.000 станко-часов. Требуется 2.321.800 станко- часов. Нехватает 1.905.800 станко-часов.</w:t>
      </w:r>
    </w:p>
    <w:p w14:paraId="21AB76F0"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Завод №-252, изготовляющие схемы МПУА80 для эсминцев лидеров, мониторов и сторожевых кораб</w:t>
      </w:r>
      <w:r w:rsidRPr="00DB5D0D">
        <w:rPr>
          <w:rFonts w:ascii="Times New Roman" w:hAnsi="Times New Roman"/>
          <w:color w:val="0070C0"/>
          <w:sz w:val="16"/>
          <w:szCs w:val="16"/>
        </w:rPr>
        <w:softHyphen/>
        <w:t>лей, будет иметь мощность 931.300 станко-часов. Необходимо 3.329.700 станко-часов. Нехватает 2.398.400 станко-часов.</w:t>
      </w:r>
    </w:p>
    <w:p w14:paraId="49FE8C56"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 общей потребности станко-часов для выпол</w:t>
      </w:r>
      <w:r w:rsidRPr="00DB5D0D">
        <w:rPr>
          <w:rFonts w:ascii="Times New Roman" w:hAnsi="Times New Roman"/>
          <w:color w:val="0070C0"/>
          <w:sz w:val="16"/>
          <w:szCs w:val="16"/>
        </w:rPr>
        <w:softHyphen/>
        <w:t>нения программы 1941г. 11.899,2 тыс. существующей производственной мощностью обеспечивается только 4.822,1 тыс. станко-часов: Нехватает до покрытия всей мощности по всем заводам 7.077.000 станко-часов.</w:t>
      </w:r>
    </w:p>
    <w:p w14:paraId="455A8D18"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Учитывая, что корабли без приборов управ</w:t>
      </w:r>
      <w:r w:rsidRPr="00DB5D0D">
        <w:rPr>
          <w:rFonts w:ascii="Times New Roman" w:hAnsi="Times New Roman"/>
          <w:color w:val="0070C0"/>
          <w:sz w:val="16"/>
          <w:szCs w:val="16"/>
        </w:rPr>
        <w:softHyphen/>
        <w:t>ления стрельбой не могут вести современный бой, - прошу:</w:t>
      </w:r>
    </w:p>
    <w:p w14:paraId="3DE3A0FE"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I) Перевести завод №-205 8 Главного Управ</w:t>
      </w:r>
      <w:r w:rsidRPr="00DB5D0D">
        <w:rPr>
          <w:rFonts w:ascii="Times New Roman" w:hAnsi="Times New Roman"/>
          <w:color w:val="0070C0"/>
          <w:sz w:val="16"/>
          <w:szCs w:val="16"/>
        </w:rPr>
        <w:softHyphen/>
        <w:t>ления НКСП полностью на изготовление морских при</w:t>
      </w:r>
      <w:r w:rsidRPr="00DB5D0D">
        <w:rPr>
          <w:rFonts w:ascii="Times New Roman" w:hAnsi="Times New Roman"/>
          <w:color w:val="0070C0"/>
          <w:sz w:val="16"/>
          <w:szCs w:val="16"/>
        </w:rPr>
        <w:softHyphen/>
        <w:t>боров управления стрельбой.</w:t>
      </w:r>
    </w:p>
    <w:p w14:paraId="60A410DB"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Поручить Госплану СССР подыскать заводы, могущие быть использованы для изготовления морских приборов управления стрельбой и передать их</w:t>
      </w:r>
    </w:p>
    <w:p w14:paraId="11278092"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Главному Управления НКСП (21939).</w:t>
      </w:r>
    </w:p>
    <w:p w14:paraId="337C20CE" w14:textId="77777777" w:rsidR="009B14C9" w:rsidRPr="00DB5D0D" w:rsidRDefault="009B14C9" w:rsidP="00DB5D0D">
      <w:pPr>
        <w:spacing w:after="0" w:line="240" w:lineRule="auto"/>
        <w:jc w:val="both"/>
        <w:rPr>
          <w:rFonts w:ascii="Times New Roman" w:hAnsi="Times New Roman"/>
          <w:color w:val="0070C0"/>
          <w:sz w:val="16"/>
          <w:szCs w:val="16"/>
        </w:rPr>
      </w:pPr>
    </w:p>
    <w:p w14:paraId="54F9DC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6 июля по 2 октября 1940 г. из скрепленного ствола №1 пушки Б-37 406/50-мм, предназначавшейся для вооружения линкора типа "Советский Союз" (проект 23) и смонтированной на полигонной установке МП-10 было произведено 173 выстрела. Одновременно испытывались качающаяся часть Б-37, установка МП-10, новые бронебойные и фугасные снаряды, был проведен подбор зарядов. Согласно заключению комиссии по испытанию Б-37, скрепленный ствол испытания на прочность выдержал. С началом войны МП-10 была переоборудована для кругового обстрела и бронирована. Скрепленный ствол был заменен лейнированным (3861).</w:t>
      </w:r>
    </w:p>
    <w:p w14:paraId="109AE2A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0F4F3E3" w14:textId="77777777" w:rsidR="00AF445F" w:rsidRPr="00DB5D0D" w:rsidRDefault="00AF445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r w:rsidRPr="00DB5D0D">
        <w:rPr>
          <w:rFonts w:ascii="Times New Roman" w:hAnsi="Times New Roman"/>
          <w:color w:val="000000" w:themeColor="text1"/>
          <w:sz w:val="16"/>
          <w:szCs w:val="16"/>
        </w:rPr>
        <w:noBreakHyphen/>
        <w:t>8 июля 1940 г. была подготовлена докладная записка наркома ВМФ Н. Г. Кузнецова председателю СНК СССР В. М. Молотову и секретарю ЦК ВКП(б) И. В. Сталину В ней говорилось: «До  1940 г. сдачу новых кораблей тормозила главным образом несвоевременная поставка приборов управления огнем вследствие недостатка производственных мощностей заводов, изготовляющих приборы. Все новые эсминцы и лидеры не имеют приборов управления зенитным и торпедным огнем. Отсутствие приборов управления зенитным огнем делает корабли совершенно беззащитными от атак самолетов, а отсутствие приборов управления торпедной стрельбой заставляет выходить корабли в атаку по способам времен первой империалистической войны. На 1941 г. затруднения с изготовлением приборов управления стрельбой принимают катастрофический характер...» В записке приведены примеры этих затруднений по конкретным заводам и внесены предложения: «1. Перевести  завод № 205 8</w:t>
      </w:r>
      <w:r w:rsidRPr="00DB5D0D">
        <w:rPr>
          <w:rFonts w:ascii="Times New Roman" w:hAnsi="Times New Roman"/>
          <w:color w:val="000000" w:themeColor="text1"/>
          <w:sz w:val="16"/>
          <w:szCs w:val="16"/>
        </w:rPr>
        <w:noBreakHyphen/>
        <w:t>го Главного управления НКСП полностью на изготовление морских приборов управления стрельбой. 2. Поручить Госплану СССР подыскать заводы, могущие быть использованными для изготовления морских  приборов управления стрельбой и передать их 8</w:t>
      </w:r>
      <w:r w:rsidRPr="00DB5D0D">
        <w:rPr>
          <w:rFonts w:ascii="Times New Roman" w:hAnsi="Times New Roman"/>
          <w:color w:val="000000" w:themeColor="text1"/>
          <w:sz w:val="16"/>
          <w:szCs w:val="16"/>
        </w:rPr>
        <w:noBreakHyphen/>
        <w:t>му Главному управлению НКСП». Прилагалась также таблица необходимой и имеющейся производственных мощностей. (АП РФ. Ф. 3. Оп. 46. Д. 555. Л. 157</w:t>
      </w:r>
      <w:r w:rsidRPr="00DB5D0D">
        <w:rPr>
          <w:rFonts w:ascii="Times New Roman" w:hAnsi="Times New Roman"/>
          <w:color w:val="000000" w:themeColor="text1"/>
          <w:sz w:val="16"/>
          <w:szCs w:val="16"/>
        </w:rPr>
        <w:noBreakHyphen/>
        <w:t>159; РГАСПИ. Ф. 82. Оп. 2. Д. 823. Л. 47-49.) (17910).</w:t>
      </w:r>
    </w:p>
    <w:p w14:paraId="703D042F" w14:textId="77777777" w:rsidR="00AF445F" w:rsidRPr="00DB5D0D" w:rsidRDefault="00AF445F" w:rsidP="00DB5D0D">
      <w:pPr>
        <w:spacing w:after="0" w:line="240" w:lineRule="auto"/>
        <w:jc w:val="both"/>
        <w:rPr>
          <w:rFonts w:ascii="Times New Roman" w:hAnsi="Times New Roman"/>
          <w:color w:val="000000" w:themeColor="text1"/>
          <w:sz w:val="16"/>
          <w:szCs w:val="16"/>
        </w:rPr>
      </w:pPr>
    </w:p>
    <w:p w14:paraId="755E0965" w14:textId="095E8BAB" w:rsidR="00CF24A3" w:rsidRPr="00DB5D0D" w:rsidRDefault="00CF24A3" w:rsidP="00DB5D0D">
      <w:pPr>
        <w:spacing w:after="0" w:line="240" w:lineRule="auto"/>
        <w:jc w:val="both"/>
        <w:rPr>
          <w:rFonts w:ascii="Times New Roman" w:hAnsi="Times New Roman"/>
          <w:i/>
          <w:iCs/>
          <w:color w:val="000000" w:themeColor="text1"/>
          <w:sz w:val="16"/>
          <w:szCs w:val="16"/>
        </w:rPr>
      </w:pPr>
      <w:r w:rsidRPr="00DB5D0D">
        <w:rPr>
          <w:rFonts w:ascii="Times New Roman" w:hAnsi="Times New Roman"/>
          <w:i/>
          <w:iCs/>
          <w:color w:val="000000" w:themeColor="text1"/>
          <w:sz w:val="16"/>
          <w:szCs w:val="16"/>
        </w:rPr>
        <w:t>Армия:</w:t>
      </w:r>
    </w:p>
    <w:p w14:paraId="6A2A4251" w14:textId="77777777" w:rsidR="00CF24A3" w:rsidRPr="00DB5D0D" w:rsidRDefault="00CF24A3" w:rsidP="00DB5D0D">
      <w:pPr>
        <w:spacing w:after="0" w:line="240" w:lineRule="auto"/>
        <w:jc w:val="both"/>
        <w:rPr>
          <w:rFonts w:ascii="Times New Roman" w:hAnsi="Times New Roman"/>
          <w:i/>
          <w:iCs/>
          <w:color w:val="000000" w:themeColor="text1"/>
          <w:sz w:val="16"/>
          <w:szCs w:val="16"/>
        </w:rPr>
      </w:pPr>
    </w:p>
    <w:p w14:paraId="0B20E6AE"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6 июля 1940 вышло Постановление Политбюро ЦК ВКП(б) "О переформировании Главных управлений Военных воздушных сил и авиаснабжения в единое Главное управление Военных воздушных сил Красной армии" (пр. № 18/18-оп за 25 июня - 18 июля 1940 г., п. 96)</w:t>
      </w:r>
    </w:p>
    <w:p w14:paraId="083E6699"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96.- О переформировании Главных Управлений Военных Воздушных Сил и Авиаснабженйя в единоё~Главноё~~Упра?ление Военных Воздушных Сил Красной Армии'.</w:t>
      </w:r>
    </w:p>
    <w:p w14:paraId="5CF2B6B3"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Утвердить следующий проект постановления СНК СССР:</w:t>
      </w:r>
    </w:p>
    <w:p w14:paraId="6657D6EE"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"Совет Народных Комиссаров Союза ССР постановляет:</w:t>
      </w:r>
    </w:p>
    <w:p w14:paraId="52DD437F"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1.Главное Управление Военных Воздушных Сил и Главное Управление Авиационного снабжения переформировать в единое Управление и именовать Главное Управление Военных Воздушных Сил Красной Армии (ГУВВС КА).</w:t>
      </w:r>
    </w:p>
    <w:p w14:paraId="0D735394"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2.В составе Главного Управления Военных Воздушных Сил Красной Армии иметь:</w:t>
      </w:r>
    </w:p>
    <w:p w14:paraId="1C5A1295"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а)штаб военных воздушных сил Красной Армии;</w:t>
      </w:r>
    </w:p>
    <w:p w14:paraId="4687B259"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б)управление боевой подготовки ГУВВС;</w:t>
      </w:r>
    </w:p>
    <w:p w14:paraId="5ED1E077"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в)эксплоатационное управление ГУВВС;</w:t>
      </w:r>
    </w:p>
    <w:p w14:paraId="349D10CB"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г)управление кадров ГУВВС;</w:t>
      </w:r>
    </w:p>
    <w:p w14:paraId="089A143D"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д)управление военно-учебных заведений ГУВВС;</w:t>
      </w:r>
    </w:p>
    <w:p w14:paraId="1A072F7F"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е)управление аэродромной службы ГУВВС;</w:t>
      </w:r>
    </w:p>
    <w:p w14:paraId="20B5CB9E"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ж)управление вооружения и снабжения (об"единяющее управления заказов, снабжения и ремонта);</w:t>
      </w:r>
    </w:p>
    <w:p w14:paraId="795133E0"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з)Научно-технический комитет;</w:t>
      </w:r>
    </w:p>
    <w:p w14:paraId="3B402384"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и)отделы: финансовый, санитарной службы и группы контроля.</w:t>
      </w:r>
    </w:p>
    <w:p w14:paraId="269F64A2"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3.Утвердить назначения:</w:t>
      </w:r>
    </w:p>
    <w:p w14:paraId="4BE460FC"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Начальником Главного Управления Военных Воздушных Сил - генерал-лейтенанта авиации Смушкевич Я.В.</w:t>
      </w:r>
    </w:p>
    <w:p w14:paraId="13697DFD"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Первым заместителем Начальника Главного Управления ВВС- гонерал-лейтенанта авиации Рычагова;</w:t>
      </w:r>
    </w:p>
    <w:p w14:paraId="51130F9A"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Вторим заместителем Начальника Главного Управления BВC- генерал-лейтенанта авиации Гусева;</w:t>
      </w:r>
    </w:p>
    <w:p w14:paraId="634A65BA"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Третьим заместителем Начальника Главного Управления ВВС, он же Начальник Управления вооружения и снабжения - генерал-лейтенанта авиации Астахова;</w:t>
      </w:r>
    </w:p>
    <w:p w14:paraId="382D8828"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Начальником штаба - генерал-лейтенанта авиации Арженухина;</w:t>
      </w:r>
    </w:p>
    <w:p w14:paraId="45CD3C79"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Начальником Управления боевой подготовки - генерал- майора авиации Новикова;</w:t>
      </w:r>
    </w:p>
    <w:p w14:paraId="6D95D4E8"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Начальником эксплоатационного Управления бригинкенера Иоффе;</w:t>
      </w:r>
    </w:p>
    <w:p w14:paraId="2815B827"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Начальником Упраления кадров генерал-майора авиации Горюнова;</w:t>
      </w:r>
    </w:p>
    <w:p w14:paraId="64466AFC"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Начальником Управления военно-учебных заведений - гене</w:t>
      </w:r>
      <w:r w:rsidRPr="00DB5D0D">
        <w:rPr>
          <w:rFonts w:ascii="Times New Roman" w:hAnsi="Times New Roman"/>
          <w:color w:val="0070C0"/>
          <w:sz w:val="16"/>
          <w:szCs w:val="16"/>
        </w:rPr>
        <w:softHyphen/>
        <w:t>рал-майора Левина;</w:t>
      </w:r>
    </w:p>
    <w:p w14:paraId="7C8335F0"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Начальником аэродромной службы военинженера 1 ранга Филатова.</w:t>
      </w:r>
    </w:p>
    <w:p w14:paraId="50B923B5"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Выписки посланы:</w:t>
      </w:r>
    </w:p>
    <w:p w14:paraId="699BC9C4"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Т.т.Тимошенко, Хломову - все;</w:t>
      </w:r>
    </w:p>
    <w:p w14:paraId="18985D71" w14:textId="77777777" w:rsidR="00CF24A3" w:rsidRPr="00DB5D0D" w:rsidRDefault="00CF24A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Маленкову – 3 (21398).</w:t>
      </w:r>
    </w:p>
    <w:p w14:paraId="2845677B" w14:textId="77777777" w:rsidR="00CF24A3" w:rsidRPr="00DB5D0D" w:rsidRDefault="00CF24A3" w:rsidP="00DB5D0D">
      <w:pPr>
        <w:spacing w:after="0" w:line="240" w:lineRule="auto"/>
        <w:jc w:val="both"/>
        <w:rPr>
          <w:rFonts w:ascii="Times New Roman" w:hAnsi="Times New Roman"/>
          <w:color w:val="0070C0"/>
          <w:sz w:val="16"/>
          <w:szCs w:val="16"/>
        </w:rPr>
      </w:pPr>
    </w:p>
    <w:p w14:paraId="6FD66C2B" w14:textId="339B5C22"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1000997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20B6C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вышел указ Президиума ВС Об уголовной ответственности за самовольные отлучки и дезертирство (3398,233).</w:t>
      </w:r>
    </w:p>
    <w:p w14:paraId="0B512C2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417AB7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B19AFC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28B6240"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июля 1940 двенадцать самолетов Swordfish с Ark Royal наносят торпедный удар по Мерс-эль-Кебир, потопив французский патрульный катер и серьезно повредив выброшенный на берег линейный крейсер Dunkerque. Это самая успешная воздушная торпедная атака на крупный корабль в истории того времени (20795).</w:t>
      </w:r>
    </w:p>
    <w:p w14:paraId="3844E94C" w14:textId="77777777" w:rsidR="009B14C9" w:rsidRPr="00DB5D0D" w:rsidRDefault="009B14C9" w:rsidP="00DB5D0D">
      <w:pPr>
        <w:spacing w:after="0" w:line="240" w:lineRule="auto"/>
        <w:jc w:val="both"/>
        <w:rPr>
          <w:rFonts w:ascii="Times New Roman" w:hAnsi="Times New Roman"/>
          <w:color w:val="0070C0"/>
          <w:sz w:val="16"/>
          <w:szCs w:val="16"/>
        </w:rPr>
      </w:pPr>
    </w:p>
    <w:p w14:paraId="0379B27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французский военный суд в Тулузе заочно приговорил к четырем годам тюрьмы лидера Сопротивления генерала Шарля де Голля (4962).</w:t>
      </w:r>
    </w:p>
    <w:p w14:paraId="6EBFA5F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94FCE4D"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6th, 1940: Off the coast of Norway, light units of the Kriegsmarine sink 5 British submarines, Narwhal, Salmon, Spearfish, Shark and Thames. After spending 8 weeks in the West, a triumphant Hitler returns to Berlin where he is wildly cheered by the Berlin population (3819).</w:t>
      </w:r>
    </w:p>
    <w:p w14:paraId="15AA2F53"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3CE644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июля 1940 у побережья Норвегии германские катера потопили 5 британских п/л. А.Г. вернулся в Берлин и был восторженно встречен берлинским населением (3819).</w:t>
      </w:r>
    </w:p>
    <w:p w14:paraId="68D8987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85F004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F9A69D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1DBA3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июля 1940 все чертежи ПБ-100 были переданы заводам. Сталин оценил работоспособность заключенных конструкторов и В.М.Петлякову была присуждена (в начале 1941 г.) Государственная премия. Что гораздо важнее, его освободили вместе с рядом сотрудников, хотя само ОКБ с июля 1940 г. до начала войны находилось в системе Особого технического бюро НКВД и лишь с началом войны было передано в НКАП.</w:t>
      </w:r>
    </w:p>
    <w:p w14:paraId="122297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Первоначально конструкторам очень хотелось оставить в новой машине, получившей название ПБ-100, главные изюминки прототипа - герметичную кабину экипажа и турбонагнетатели на моторах. Был прорисован вариант с двумя гермокабинами - передней для пилота и задней для штурмана и стрелка- радиста. У штурмана предусматривались дублирующее управление и основные приборы на случай гибели или тяжелого ранения летчика.</w:t>
      </w:r>
    </w:p>
    <w:p w14:paraId="542B8A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Неподвижное направленное вперед вооружение должно было состоять либо из четырех пулеметов IIIKAC, либо из двух пушек LL1BAK и двух пулеметов IJIKAC (на опытной машине был реализован второй вариант). Подвижная установка у стрелка была задумана с дистанционным управлением и перископическим прицелом (на опытной машине ее не было). Планировалась нормальная бомбовая нагрузка массой 600 кг, размещавшаяся в бомбоотсеке центроплана, еще 400 кг бомб можно было подвесить снаружи при ближних полетах.</w:t>
      </w:r>
    </w:p>
    <w:p w14:paraId="2565D4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Поскольку основной зоной боевых действий для пикирующего бомбардировщика являлись малые и средние высоты, конструкторы довольно быстро отказались от всех атрибутов высотного самолета. Опытный самолет ПБ-100 имел традиционный вид. Гермокабины отсутствовали, а на моторах М-105Р вместо турбонагнетателей стояли обычные нагнетатели с приводом от самого двигателя.</w:t>
      </w:r>
    </w:p>
    <w:p w14:paraId="4E92A6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имел цельнометаллическую конструкцию и был выполнен по схеме свободно- несущего низкоплана. Конструкция фюзеляжа, разработанная А. И. Путиловым, по типу приближалась к монококу. Толстая, в среднем 1,5-2 мм, обшивка и редкие, через 0,5 м, шпангоуты. Стрингеров для подкрепления обшивки Г1е-2 не имел, стояли только лонжероны. Фюзеляж круглого сечения для технологичности выполнили составным из нескольких усеченных конусов - от середины до хвостовой законцовки. Конструкция фюзеляжа была предельно проста и рациональна.</w:t>
      </w:r>
    </w:p>
    <w:p w14:paraId="6B0D14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фюзеляжа составляла 12,6 м. В носовой его части находилась внизу остекленная плоская поверхность для обеспечения обзора вниз летчику и штурману, который сидел за летчиком со сдвигом вправо.</w:t>
      </w:r>
    </w:p>
    <w:p w14:paraId="6FD7FD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резко отличалось по конструкции от фюзеляжа. Оно состояло из центроплана и консолей. Каркас имел густой набор стрингеров, подкрепляющих сравнительно тонкую обшивку (ее толщина составляла в разных местах от 0,6 до 0,8 мм). Полки лонжеронов образовывали стальные тавры, стенки набирались из листового дюраля, нервюры штамповались из листа с облегчающими отверстиями и малкованными полками.</w:t>
      </w:r>
    </w:p>
    <w:p w14:paraId="4C1FBF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поперечного V центроплана был нулевым, консолей - 7 по задней кромке. Че- тырехсекционные закрылки типа "Шренк" опускались на 45° (при слегка опущенных закрылках разбег не превышал 590 м). Элероны имели внутреннюю компенсацию.</w:t>
      </w:r>
    </w:p>
    <w:p w14:paraId="79089F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нижней поверхности консолей устанавливались решетчатые воздушные тормоза, сваренные из стальных труб. Они выпускались по команде автомата и благодаря им допускалось пикирование под углом до 70° без боязни превысить допустимую по прочности планера скорость.</w:t>
      </w:r>
    </w:p>
    <w:p w14:paraId="5AD6C5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имел убирающееся трехопорное шасси с хвостовым колесом. В зимнее время могло устанавливаться лыжное шасси.</w:t>
      </w:r>
    </w:p>
    <w:p w14:paraId="7C5DA5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Силовая установка состояла из двух поршневых V-оразных 12-цилиндровых редук- торных двигателей жидкостного охлаждения М-105Р конструкции В.Я.Климова с трехлопастными металлическими винтами изменяемого шага ВИШ-61Б. Водорадиаторы размещались в крыле по обе стороны от каждого двигателя. Маслорадиаторы размещались непосредственно под двигателями. Топливо размещалось в протектированных баках.</w:t>
      </w:r>
    </w:p>
    <w:p w14:paraId="2FB235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обороны самолет имел два неподвижных пулемета ШКАС в носу, огонь из которых вел летчик, целясь по коллиматорному прицелу. Штурман мог использовать ограниченно подвижный пулемет IIIKAC в шкворневой турели, закрываемой в полете секцией фонаря. Арсенал дополняли два пулемета LLIKAC у стрел ка-радиста, один из которых находился в люковой установке, а второй мог перекидываться с борта на борт (12037).</w:t>
      </w:r>
    </w:p>
    <w:p w14:paraId="62C4245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9B41766" w14:textId="77777777" w:rsidR="003302F0" w:rsidRPr="00DB5D0D" w:rsidRDefault="003302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начале июля 1940 после изматывающего темпа работы, который был характерен для системы НКВД, все чертежи требуемого бомбардировщика ПБ-100, были переданы на заводы. Для ускорения работ серию запустили без изготовления опытного образца, полагаясь на отличные показатели самолета ВИ-100 при испытаниях (18293).</w:t>
      </w:r>
    </w:p>
    <w:p w14:paraId="2CF25117" w14:textId="77777777" w:rsidR="003302F0" w:rsidRPr="00DB5D0D" w:rsidRDefault="003302F0" w:rsidP="00DB5D0D">
      <w:pPr>
        <w:spacing w:after="0" w:line="240" w:lineRule="auto"/>
        <w:jc w:val="both"/>
        <w:rPr>
          <w:rFonts w:ascii="Times New Roman" w:hAnsi="Times New Roman"/>
          <w:color w:val="000000" w:themeColor="text1"/>
          <w:sz w:val="16"/>
          <w:szCs w:val="16"/>
        </w:rPr>
      </w:pPr>
    </w:p>
    <w:p w14:paraId="671D99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июля 1940 года летчик Л.М. Мак</w:t>
      </w:r>
      <w:r w:rsidRPr="00DB5D0D">
        <w:rPr>
          <w:rFonts w:ascii="Times New Roman" w:hAnsi="Times New Roman"/>
          <w:color w:val="000000" w:themeColor="text1"/>
          <w:sz w:val="16"/>
          <w:szCs w:val="16"/>
        </w:rPr>
        <w:softHyphen/>
        <w:t>симов успешно завершил заводские испытания машины И-207-3, но к тому времени ее скоростные характери</w:t>
      </w:r>
      <w:r w:rsidRPr="00DB5D0D">
        <w:rPr>
          <w:rFonts w:ascii="Times New Roman" w:hAnsi="Times New Roman"/>
          <w:color w:val="000000" w:themeColor="text1"/>
          <w:sz w:val="16"/>
          <w:szCs w:val="16"/>
        </w:rPr>
        <w:softHyphen/>
        <w:t>стики уже не удовлетворяли заказчика. В итоге комиссия А.С. Яковлева, занимавшаяся ревизией уже испытывавших</w:t>
      </w:r>
      <w:r w:rsidRPr="00DB5D0D">
        <w:rPr>
          <w:rFonts w:ascii="Times New Roman" w:hAnsi="Times New Roman"/>
          <w:color w:val="000000" w:themeColor="text1"/>
          <w:sz w:val="16"/>
          <w:szCs w:val="16"/>
        </w:rPr>
        <w:softHyphen/>
        <w:t>ся новых самолетов, рекомендовала переделать И-207 в пи</w:t>
      </w:r>
      <w:r w:rsidRPr="00DB5D0D">
        <w:rPr>
          <w:rFonts w:ascii="Times New Roman" w:hAnsi="Times New Roman"/>
          <w:color w:val="000000" w:themeColor="text1"/>
          <w:sz w:val="16"/>
          <w:szCs w:val="16"/>
        </w:rPr>
        <w:softHyphen/>
        <w:t>кирующий бомбардировщик, оснастив его узлами подвески двух 500-килограммовых авиабомб (10745,34).</w:t>
      </w:r>
    </w:p>
    <w:p w14:paraId="758B1C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4C03F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начало июля 1940 года «Программа сдачи самолетов на 1940 год по Наркомату авиационной промышленности», утвержденная заместителем Наркома П.А. Ворониным, в соответствии с Постановлением № 23сс предписывала заводу № 23 изготовить в 1940 году 650 самолетов У-2 всех типов и 440 самолетов УТ-2, а также дополнительно 90 УТ-2, переданных с завода № 47. На заводе же № 47 по Постановлению № 23сс первоначально предполагалось изготовить 200 УТ-2, но позже, в связи с переходом на выпуск машины УТ-3 (предписывалось изготовить 20), их фактическая сдача была снижена до 110 штук, а 90 передавались на завод № 23 (РГАЭ. Ф. 8044. Оп. 1. Д. 411. Л. 21-22.). Однако 11 сентября того же года по заводу № 47 в соответствии с приказом Наркома № 480 сс была установлена новая программа сдачи самолетов – количество УТ-2 увеличивалось со 110 до 140, а количество УТ-3 снижалось до 8 (Там же. Л. 182.) (11672).</w:t>
      </w:r>
    </w:p>
    <w:p w14:paraId="0E5D232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1A23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июля 1940 г. для начальника главного управления авиаснабжения (ГУАС) ВВС КА дивизионного инженера И.Ф.Сакриера была подготовлена справка следующего содержания: "Завод №21. Для установки PC заказано 150 истребителей И-16 на первое полугодие. Готовы 78 машин. Из них собраны и облетаны всего 14. Завод №1. На первое полугодие заказано 126 истребителей И-153, оборудованных для установки PC. Готовы 106 машин".</w:t>
      </w:r>
    </w:p>
    <w:p w14:paraId="53DB3A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в этот период заводами №70 и №12 наркомата боеприпасов по заказу наркомата обороны осуществлялось изготовление и снаряжение 11.230 РС-82 и 5240 PC-132.</w:t>
      </w:r>
    </w:p>
    <w:p w14:paraId="1C6F46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опенки масштабов постройки самолетов с оборудованием для PC на этой странице приводятся сводки выпуска И -16 за август и за 10 месяцев 1940 г. (12015).</w:t>
      </w:r>
    </w:p>
    <w:p w14:paraId="73EF5D4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0DA7E6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92F266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0E03A98"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 начале июля 1940 была подготовлена:</w:t>
      </w:r>
    </w:p>
    <w:p w14:paraId="7534AD83"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Сводка по Т-34 на заводе № 183</w:t>
      </w:r>
    </w:p>
    <w:p w14:paraId="00F161B2"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1. На машине № 311-04-3, переданной заводу для подготовки экипажей, после 38 часов работы разрушился вентилятор мотора серийной конструкции. На всех машинах с № 20 будут установлены усиленные вентиляторы. </w:t>
      </w:r>
    </w:p>
    <w:p w14:paraId="473D9ABE"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2. Основания смотровых приборов из стали 40СХ, по результатам испытаний на Мариупольском заводе, оказались хрупкими. Завод планирует форсировать их литье из стали МЗ-2. </w:t>
      </w:r>
    </w:p>
    <w:p w14:paraId="216643E4"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3. Завод № 183 в июле планирует собрать и сдать Т-34 в отделе «100» - 30 шт., в отделе «500» машин. </w:t>
      </w:r>
    </w:p>
    <w:p w14:paraId="6B47511A"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80-85% всего оборудования механических цехов занято под изготовление и освоение деталей машины Т-34. Корпусов всего 9, на 25.06 было только 22 комплекта брони, на 02.07 – 30 комплектов. Корпус в изготовлении довольно трудоемкий, и это еще усугубляется тем, что детали с Мариупольского завода поступают со значительными отступлениями – необходима подгонка вручную. </w:t>
      </w:r>
    </w:p>
    <w:p w14:paraId="29FF3308"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Отделы «700» и «100» парализованы, так как одновременно идет их реконструкция. </w:t>
      </w:r>
    </w:p>
    <w:p w14:paraId="3E5572A1"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За районного инженера ГАБТУ капитан Русаков (11450).</w:t>
      </w:r>
    </w:p>
    <w:p w14:paraId="6F1B5138"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0607BD2B" w14:textId="77777777" w:rsidR="003302F0" w:rsidRPr="00DB5D0D" w:rsidRDefault="003302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июля 1940 г. ведущим инженером ГАБТУ КА по танку Т-34 И.Г. Пановым впервые был поднят вопрос о необходимости проведения испытаний серийных танков Т-34. В </w:t>
      </w:r>
      <w:hyperlink r:id="rId171" w:tgtFrame="_blank" w:history="1">
        <w:r w:rsidRPr="00DB5D0D">
          <w:rPr>
            <w:rStyle w:val="a5"/>
            <w:rFonts w:ascii="Times New Roman" w:hAnsi="Times New Roman"/>
            <w:color w:val="000000" w:themeColor="text1"/>
            <w:sz w:val="16"/>
            <w:szCs w:val="16"/>
          </w:rPr>
          <w:t>служебной записке</w:t>
        </w:r>
      </w:hyperlink>
      <w:r w:rsidRPr="00DB5D0D">
        <w:rPr>
          <w:rFonts w:ascii="Times New Roman" w:hAnsi="Times New Roman"/>
          <w:color w:val="000000" w:themeColor="text1"/>
          <w:sz w:val="16"/>
          <w:szCs w:val="16"/>
        </w:rPr>
        <w:t> от 3 июля 1940 г., адресованной начальнику ГАБТУ КА Я.Н Федоренко, он сообщил, что заводом № 183 проведена работа по устранению в конструкции танка Т-34 ряда недостатков, выявленных весной 1940 г. во время войсковых испытаний опытных образцов этой боевой машины – танков А-34. Для проверки результатов проделанной заводом № 183 работы по улучшению конструкции танка, а также для определения тактико-технических характеристик «тридцатьчетверки» в летних условиях И.Г. Пановым было предложено: «один танк Т-34 июльской программы выпуска подвергнуть испытанию на гарантийный километраж при НИ Полигоне АБТУ КА в период июля – августа мес. с/г.». </w:t>
      </w:r>
    </w:p>
    <w:p w14:paraId="71F0DCC8" w14:textId="77777777" w:rsidR="003302F0" w:rsidRPr="00DB5D0D" w:rsidRDefault="003302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Данное предложение было поддержано руководством ГАБТУ КА, но испытывать на выносливость и надежность было решено не одну, а три новые боевые машины. Подготовка к проведению испытаний трех серийных танков Т-34 длительным пробегом началась в сентябре 1940 г., когда завод № 183 после выпуска установочной партии перешёл на серийный выпуск «тридцатьчетверок» (18173).</w:t>
      </w:r>
    </w:p>
    <w:p w14:paraId="4052CD68" w14:textId="77777777" w:rsidR="003302F0" w:rsidRPr="00DB5D0D" w:rsidRDefault="003302F0" w:rsidP="00DB5D0D">
      <w:pPr>
        <w:spacing w:after="0" w:line="240" w:lineRule="auto"/>
        <w:jc w:val="both"/>
        <w:rPr>
          <w:rFonts w:ascii="Times New Roman" w:hAnsi="Times New Roman"/>
          <w:color w:val="000000" w:themeColor="text1"/>
          <w:sz w:val="16"/>
          <w:szCs w:val="16"/>
        </w:rPr>
      </w:pPr>
    </w:p>
    <w:p w14:paraId="439EE639" w14:textId="77777777" w:rsidR="003302F0" w:rsidRPr="00DB5D0D" w:rsidRDefault="003302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июля 1940 г. руководитель военной приемки на заводе № 183 Д.М. Козырев получил от помощника начальника АБТУ РККА Б.М. Коробкова указание об отправке на АНИОП одного танка Т-34. И уже 13 июля 1940 г. один из первых пяти принятых заказчиком танков Т-34 установочной партии, имевший заводской номер 311-25-3, был отправлен железнодорожным транспортом с завода № 183 на станцию Ржевка в распоряжение начальника АНИОПа. На полигон танк прибыл 24 июля 1940 г. (19575).</w:t>
      </w:r>
    </w:p>
    <w:p w14:paraId="41F2F192" w14:textId="77777777" w:rsidR="003302F0" w:rsidRPr="00DB5D0D" w:rsidRDefault="003302F0" w:rsidP="00DB5D0D">
      <w:pPr>
        <w:spacing w:after="0" w:line="240" w:lineRule="auto"/>
        <w:jc w:val="both"/>
        <w:rPr>
          <w:rFonts w:ascii="Times New Roman" w:hAnsi="Times New Roman"/>
          <w:color w:val="000000" w:themeColor="text1"/>
          <w:sz w:val="16"/>
          <w:szCs w:val="16"/>
        </w:rPr>
      </w:pPr>
    </w:p>
    <w:p w14:paraId="202A58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самом начале июля 1940 на основании распоряжения АБТУ и 7-го ГУ НКСП, на Мариупольском заводе им. Ильича была создана специ</w:t>
      </w:r>
      <w:r w:rsidRPr="00DB5D0D">
        <w:rPr>
          <w:rFonts w:ascii="Times New Roman" w:hAnsi="Times New Roman"/>
          <w:color w:val="000000" w:themeColor="text1"/>
          <w:sz w:val="16"/>
          <w:szCs w:val="16"/>
        </w:rPr>
        <w:softHyphen/>
        <w:t>альная комиссия под председательством военинженера 2-го ранга Г. И. Зухера.</w:t>
      </w:r>
    </w:p>
    <w:p w14:paraId="1386F8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целью работы комиссии являлось изучение и оценка результатов исследовательских работ бригады по литой броне, про</w:t>
      </w:r>
      <w:r w:rsidRPr="00DB5D0D">
        <w:rPr>
          <w:rFonts w:ascii="Times New Roman" w:hAnsi="Times New Roman"/>
          <w:color w:val="000000" w:themeColor="text1"/>
          <w:sz w:val="16"/>
          <w:szCs w:val="16"/>
        </w:rPr>
        <w:softHyphen/>
        <w:t>ведение полигонных испытаний обстрелом одной из башен уста</w:t>
      </w:r>
      <w:r w:rsidRPr="00DB5D0D">
        <w:rPr>
          <w:rFonts w:ascii="Times New Roman" w:hAnsi="Times New Roman"/>
          <w:color w:val="000000" w:themeColor="text1"/>
          <w:sz w:val="16"/>
          <w:szCs w:val="16"/>
        </w:rPr>
        <w:softHyphen/>
        <w:t>новочной партии и составление заключения о пригодности литой башни Т-34 для серийного производства.</w:t>
      </w:r>
    </w:p>
    <w:p w14:paraId="3BED45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 комиссии вошли: главный инженер завода им. Ильича B.C. Ниценко, главный технолог завода им. Ильича И.Е. Демчук, начальник 8-го отдела НИИ-48 П.О. Пашков и на</w:t>
      </w:r>
      <w:r w:rsidRPr="00DB5D0D">
        <w:rPr>
          <w:rFonts w:ascii="Times New Roman" w:hAnsi="Times New Roman"/>
          <w:color w:val="000000" w:themeColor="text1"/>
          <w:sz w:val="16"/>
          <w:szCs w:val="16"/>
        </w:rPr>
        <w:softHyphen/>
        <w:t>чальник исследовательской лаборатории завода им. Ильича Н.В. Шмидт.</w:t>
      </w:r>
    </w:p>
    <w:p w14:paraId="1897B7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испытаний обстрелом комиссии была предъявлена башня №1-1. После окончательной термообработки башня имела твер</w:t>
      </w:r>
      <w:r w:rsidRPr="00DB5D0D">
        <w:rPr>
          <w:rFonts w:ascii="Times New Roman" w:hAnsi="Times New Roman"/>
          <w:color w:val="000000" w:themeColor="text1"/>
          <w:sz w:val="16"/>
          <w:szCs w:val="16"/>
        </w:rPr>
        <w:softHyphen/>
        <w:t>дость 2,8-3,0 по Бринеллю, толщина брони составляла: по право</w:t>
      </w:r>
      <w:r w:rsidRPr="00DB5D0D">
        <w:rPr>
          <w:rFonts w:ascii="Times New Roman" w:hAnsi="Times New Roman"/>
          <w:color w:val="000000" w:themeColor="text1"/>
          <w:sz w:val="16"/>
          <w:szCs w:val="16"/>
        </w:rPr>
        <w:softHyphen/>
        <w:t>му борту - 52-57 мм, по левому борту - 51 -53 мм. Химический анализ башни был следующим: С - 0,25; Si - 1,34; Мп - 1,34; Р - 0,026; S - 0,015; Сг - 0,82; Ni - 1,44; Mo - 0,16. Трещины, образовавшиеся в местах соединения прилива смотрового прибо</w:t>
      </w:r>
      <w:r w:rsidRPr="00DB5D0D">
        <w:rPr>
          <w:rFonts w:ascii="Times New Roman" w:hAnsi="Times New Roman"/>
          <w:color w:val="000000" w:themeColor="text1"/>
          <w:sz w:val="16"/>
          <w:szCs w:val="16"/>
        </w:rPr>
        <w:softHyphen/>
        <w:t>ра с бортом, были вырублены без последующей заварки (ввиду незначительной глубины последних).</w:t>
      </w:r>
    </w:p>
    <w:p w14:paraId="0F5BEA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обстрелом состоялись 4 июля 1940 г. на полигоне завода им. Ильича по следующей программе:</w:t>
      </w:r>
    </w:p>
    <w:p w14:paraId="544CB5E9" w14:textId="77777777" w:rsidR="003C7E8B" w:rsidRPr="00DB5D0D" w:rsidRDefault="003C7E8B" w:rsidP="00DB5D0D">
      <w:pPr>
        <w:tabs>
          <w:tab w:val="left" w:pos="76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Основные испытания снарядом калибра 45 мм (чертеж 2-03347):</w:t>
      </w:r>
    </w:p>
    <w:p w14:paraId="1DEB7EE4" w14:textId="77777777" w:rsidR="003C7E8B" w:rsidRPr="00DB5D0D" w:rsidRDefault="003C7E8B" w:rsidP="00DB5D0D">
      <w:pPr>
        <w:tabs>
          <w:tab w:val="left" w:pos="697"/>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 рабочем положении по наклонной боковине башни с целью определения Mill (предел тыльной прочности) и ПСП (предел сквоз</w:t>
      </w:r>
      <w:r w:rsidRPr="00DB5D0D">
        <w:rPr>
          <w:rFonts w:ascii="Times New Roman" w:hAnsi="Times New Roman"/>
          <w:color w:val="000000" w:themeColor="text1"/>
          <w:sz w:val="16"/>
          <w:szCs w:val="16"/>
        </w:rPr>
        <w:softHyphen/>
        <w:t>ного пробития);</w:t>
      </w:r>
    </w:p>
    <w:p w14:paraId="6E6FC319" w14:textId="77777777" w:rsidR="003C7E8B" w:rsidRPr="00DB5D0D" w:rsidRDefault="003C7E8B" w:rsidP="00DB5D0D">
      <w:pPr>
        <w:tabs>
          <w:tab w:val="left" w:pos="747"/>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в рабочем положении по всей поверхности башни с целью проверки однородности и равномерной стойкости при скоростях удара, соответствующих найденным согласно пункту «а» I </w:t>
      </w:r>
      <w:r w:rsidRPr="00DB5D0D">
        <w:rPr>
          <w:rStyle w:val="21pt"/>
          <w:rFonts w:ascii="Times New Roman" w:hAnsi="Times New Roman" w:cs="Times New Roman"/>
          <w:color w:val="000000" w:themeColor="text1"/>
          <w:spacing w:val="0"/>
          <w:sz w:val="16"/>
          <w:szCs w:val="16"/>
        </w:rPr>
        <w:t>ill</w:t>
      </w:r>
      <w:r w:rsidRPr="00DB5D0D">
        <w:rPr>
          <w:rFonts w:ascii="Times New Roman" w:hAnsi="Times New Roman"/>
          <w:color w:val="000000" w:themeColor="text1"/>
          <w:sz w:val="16"/>
          <w:szCs w:val="16"/>
        </w:rPr>
        <w:t xml:space="preserve"> I и ПСП;</w:t>
      </w:r>
    </w:p>
    <w:p w14:paraId="509C80DB" w14:textId="77777777" w:rsidR="003C7E8B" w:rsidRPr="00DB5D0D" w:rsidRDefault="003C7E8B" w:rsidP="00DB5D0D">
      <w:pPr>
        <w:tabs>
          <w:tab w:val="left" w:pos="68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 наклонном положении с расчетом получения попадания сна</w:t>
      </w:r>
      <w:r w:rsidRPr="00DB5D0D">
        <w:rPr>
          <w:rFonts w:ascii="Times New Roman" w:hAnsi="Times New Roman"/>
          <w:color w:val="000000" w:themeColor="text1"/>
          <w:sz w:val="16"/>
          <w:szCs w:val="16"/>
        </w:rPr>
        <w:softHyphen/>
        <w:t>рядом по нормали с целью определения ПТП и ПСП и сравнения их со стойкостью катаных деталей.</w:t>
      </w:r>
    </w:p>
    <w:p w14:paraId="1F082541" w14:textId="77777777" w:rsidR="003C7E8B" w:rsidRPr="00DB5D0D" w:rsidRDefault="003C7E8B" w:rsidP="00DB5D0D">
      <w:pPr>
        <w:tabs>
          <w:tab w:val="left" w:pos="747"/>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Испытания остроголовым бронебойным снарядом калибра 45 мм (чертеж 2-01991) с целью ориентировочной проверки со</w:t>
      </w:r>
      <w:r w:rsidRPr="00DB5D0D">
        <w:rPr>
          <w:rFonts w:ascii="Times New Roman" w:hAnsi="Times New Roman"/>
          <w:color w:val="000000" w:themeColor="text1"/>
          <w:sz w:val="16"/>
          <w:szCs w:val="16"/>
        </w:rPr>
        <w:softHyphen/>
        <w:t>противляемости литой башни остроголовому снаряду.</w:t>
      </w:r>
    </w:p>
    <w:p w14:paraId="168A0456" w14:textId="77777777" w:rsidR="003C7E8B" w:rsidRPr="00DB5D0D" w:rsidRDefault="003C7E8B" w:rsidP="00DB5D0D">
      <w:pPr>
        <w:tabs>
          <w:tab w:val="left" w:pos="697"/>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Испытания снарядом калибра 37 мм (чертеж 3882) в рабочем положении с целью проверки возможности пробития башни дан</w:t>
      </w:r>
      <w:r w:rsidRPr="00DB5D0D">
        <w:rPr>
          <w:rFonts w:ascii="Times New Roman" w:hAnsi="Times New Roman"/>
          <w:color w:val="000000" w:themeColor="text1"/>
          <w:sz w:val="16"/>
          <w:szCs w:val="16"/>
        </w:rPr>
        <w:softHyphen/>
        <w:t>ным снарядом.</w:t>
      </w:r>
    </w:p>
    <w:p w14:paraId="47D502ED" w14:textId="77777777" w:rsidR="003C7E8B" w:rsidRPr="00DB5D0D" w:rsidRDefault="003C7E8B" w:rsidP="00DB5D0D">
      <w:pPr>
        <w:tabs>
          <w:tab w:val="left" w:pos="733"/>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Факультативные испытания снарядом калибра 76 мм (чер</w:t>
      </w:r>
      <w:r w:rsidRPr="00DB5D0D">
        <w:rPr>
          <w:rFonts w:ascii="Times New Roman" w:hAnsi="Times New Roman"/>
          <w:color w:val="000000" w:themeColor="text1"/>
          <w:sz w:val="16"/>
          <w:szCs w:val="16"/>
        </w:rPr>
        <w:softHyphen/>
        <w:t>теж 2-03545) в рабочем положении башни для определения харак</w:t>
      </w:r>
      <w:r w:rsidRPr="00DB5D0D">
        <w:rPr>
          <w:rFonts w:ascii="Times New Roman" w:hAnsi="Times New Roman"/>
          <w:color w:val="000000" w:themeColor="text1"/>
          <w:sz w:val="16"/>
          <w:szCs w:val="16"/>
        </w:rPr>
        <w:softHyphen/>
        <w:t>тера поражений.</w:t>
      </w:r>
    </w:p>
    <w:p w14:paraId="51DE13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Приведем результаты этих испытаний.</w:t>
      </w:r>
    </w:p>
    <w:p w14:paraId="4FB0CAB7" w14:textId="77777777" w:rsidR="003C7E8B" w:rsidRPr="00DB5D0D" w:rsidRDefault="003C7E8B" w:rsidP="00DB5D0D">
      <w:pPr>
        <w:pStyle w:val="a3"/>
        <w:rPr>
          <w:color w:val="000000" w:themeColor="text1"/>
          <w:lang w:val="ru-RU"/>
        </w:rPr>
      </w:pPr>
      <w:r w:rsidRPr="00DB5D0D">
        <w:rPr>
          <w:color w:val="000000" w:themeColor="text1"/>
          <w:u w:val="single"/>
          <w:lang w:val="ru-RU"/>
        </w:rPr>
        <w:t>Против 45 мм. тупоголового снаряда (черт. 2-03347)</w:t>
      </w:r>
    </w:p>
    <w:p w14:paraId="4C5D9C1B" w14:textId="77777777" w:rsidR="003C7E8B" w:rsidRPr="00DB5D0D" w:rsidRDefault="003C7E8B" w:rsidP="00DB5D0D">
      <w:pPr>
        <w:pStyle w:val="a3"/>
        <w:tabs>
          <w:tab w:val="left" w:pos="760"/>
        </w:tabs>
        <w:rPr>
          <w:color w:val="000000" w:themeColor="text1"/>
          <w:lang w:val="ru-RU"/>
        </w:rPr>
      </w:pPr>
      <w:r w:rsidRPr="00DB5D0D">
        <w:rPr>
          <w:color w:val="000000" w:themeColor="text1"/>
          <w:lang w:val="ru-RU"/>
        </w:rPr>
        <w:t>а) При испытании в рабочем положении при конструктивном угле наклона стенок башни 30° при максимальных скоростях (свы</w:t>
      </w:r>
      <w:r w:rsidRPr="00DB5D0D">
        <w:rPr>
          <w:color w:val="000000" w:themeColor="text1"/>
          <w:lang w:val="ru-RU"/>
        </w:rPr>
        <w:softHyphen/>
        <w:t>ше 760 м/с) на участках даже с наименьшей толщиной стенок (51 мм) из числа 12 выстрелов не получено ни одной пробоины или выбитой пробки, а получены вмятины 5-8 мм (см. выстрелы №2,3,6,7,8,14,17,26,29).</w:t>
      </w:r>
    </w:p>
    <w:p w14:paraId="3E3A988B" w14:textId="77777777" w:rsidR="003C7E8B" w:rsidRPr="00DB5D0D" w:rsidRDefault="003C7E8B" w:rsidP="00DB5D0D">
      <w:pPr>
        <w:pStyle w:val="a3"/>
        <w:tabs>
          <w:tab w:val="left" w:pos="774"/>
        </w:tabs>
        <w:rPr>
          <w:color w:val="000000" w:themeColor="text1"/>
          <w:lang w:val="ru-RU"/>
        </w:rPr>
      </w:pPr>
      <w:r w:rsidRPr="00DB5D0D">
        <w:rPr>
          <w:color w:val="000000" w:themeColor="text1"/>
          <w:lang w:val="ru-RU"/>
        </w:rPr>
        <w:t>б) Таким порядком проверена кругом поверхность башни. В но</w:t>
      </w:r>
      <w:r w:rsidRPr="00DB5D0D">
        <w:rPr>
          <w:color w:val="000000" w:themeColor="text1"/>
          <w:lang w:val="ru-RU"/>
        </w:rPr>
        <w:softHyphen/>
        <w:t>совой части, где встреча снаряда со стенкой башни произошла под углом близким к нормали при скорости 761,6 м/с. получена сквозная пробоина (см. выстрел №30). Однако при проверке дополнительно двумя выстрелами №№31 и 32 пробоина не подтвердилась - полу</w:t>
      </w:r>
      <w:r w:rsidRPr="00DB5D0D">
        <w:rPr>
          <w:color w:val="000000" w:themeColor="text1"/>
          <w:lang w:val="ru-RU"/>
        </w:rPr>
        <w:softHyphen/>
        <w:t>чены вмятины. В кормовой части башни, при встрече снаряда под углом, близким к 30° получена пробоина меньше калибра (снаряд перед плитой в осколках при скорости 763,8м/с, см. выстрел №27). Такая же пробоина получена при выстреле №28, расположившем</w:t>
      </w:r>
      <w:r w:rsidRPr="00DB5D0D">
        <w:rPr>
          <w:color w:val="000000" w:themeColor="text1"/>
          <w:lang w:val="ru-RU"/>
        </w:rPr>
        <w:softHyphen/>
        <w:t>ся на расстоянии 11-19 мм от выстрела №27. Выстрелами №26 и 29 в эту же часть башни при скорости 752,9 и 765,2 м/с пробоины не подтвердились - получены вмятины по 6 мм.</w:t>
      </w:r>
    </w:p>
    <w:p w14:paraId="68FAD314" w14:textId="77777777" w:rsidR="003C7E8B" w:rsidRPr="00DB5D0D" w:rsidRDefault="003C7E8B" w:rsidP="00DB5D0D">
      <w:pPr>
        <w:pStyle w:val="a3"/>
        <w:tabs>
          <w:tab w:val="left" w:pos="724"/>
        </w:tabs>
        <w:rPr>
          <w:color w:val="000000" w:themeColor="text1"/>
          <w:lang w:val="ru-RU"/>
        </w:rPr>
      </w:pPr>
      <w:r w:rsidRPr="00DB5D0D">
        <w:rPr>
          <w:color w:val="000000" w:themeColor="text1"/>
          <w:lang w:val="ru-RU"/>
        </w:rPr>
        <w:t>в) При испытании по нормали предел тыльной прочности мож</w:t>
      </w:r>
      <w:r w:rsidRPr="00DB5D0D">
        <w:rPr>
          <w:color w:val="000000" w:themeColor="text1"/>
          <w:lang w:val="ru-RU"/>
        </w:rPr>
        <w:softHyphen/>
        <w:t>но считать 740 м/с (см. выстрел 19); предел сквозного пробития не получен. При скорости 760,8 м/с (см. выстрел № 18) получена про</w:t>
      </w:r>
      <w:r w:rsidRPr="00DB5D0D">
        <w:rPr>
          <w:color w:val="000000" w:themeColor="text1"/>
          <w:lang w:val="ru-RU"/>
        </w:rPr>
        <w:softHyphen/>
        <w:t>боина меньше калибра, в этом участке толщина стенки равнялась 51-52 мм.</w:t>
      </w:r>
    </w:p>
    <w:p w14:paraId="79808426" w14:textId="77777777" w:rsidR="003C7E8B" w:rsidRPr="00DB5D0D" w:rsidRDefault="003C7E8B" w:rsidP="00DB5D0D">
      <w:pPr>
        <w:pStyle w:val="a3"/>
        <w:rPr>
          <w:color w:val="000000" w:themeColor="text1"/>
          <w:u w:val="single"/>
          <w:lang w:val="ru-RU"/>
        </w:rPr>
      </w:pPr>
      <w:r w:rsidRPr="00DB5D0D">
        <w:rPr>
          <w:color w:val="000000" w:themeColor="text1"/>
          <w:u w:val="single"/>
          <w:lang w:val="ru-RU"/>
        </w:rPr>
        <w:t>Против 45 мм. остроголового снаряда (черт. 2-01991)</w:t>
      </w:r>
    </w:p>
    <w:p w14:paraId="525A967F" w14:textId="77777777" w:rsidR="003C7E8B" w:rsidRPr="00DB5D0D" w:rsidRDefault="003C7E8B" w:rsidP="00DB5D0D">
      <w:pPr>
        <w:pStyle w:val="a3"/>
        <w:rPr>
          <w:color w:val="000000" w:themeColor="text1"/>
          <w:lang w:val="ru-RU"/>
        </w:rPr>
      </w:pPr>
      <w:r w:rsidRPr="00DB5D0D">
        <w:rPr>
          <w:color w:val="000000" w:themeColor="text1"/>
          <w:lang w:val="ru-RU"/>
        </w:rPr>
        <w:lastRenderedPageBreak/>
        <w:t>Всего было произведено 5 выстрелов. При толщине стенки 56-57мм при скоростях 725, 743, 756м/с получены пробоины мень</w:t>
      </w:r>
      <w:r w:rsidRPr="00DB5D0D">
        <w:rPr>
          <w:color w:val="000000" w:themeColor="text1"/>
          <w:lang w:val="ru-RU"/>
        </w:rPr>
        <w:softHyphen/>
        <w:t>ше калибра (см. выстрелы 4,5 и 9). При толщине стенки 51 мм при скорости 708 м/с получено сквозное пробитие с уходом снаряда за плиту. Ввиду ограниченного числа попаданий не представилось воз</w:t>
      </w:r>
      <w:r w:rsidRPr="00DB5D0D">
        <w:rPr>
          <w:color w:val="000000" w:themeColor="text1"/>
          <w:lang w:val="ru-RU"/>
        </w:rPr>
        <w:softHyphen/>
        <w:t>можным вывести нормы стойкости по этому чертежу снаряда.</w:t>
      </w:r>
    </w:p>
    <w:p w14:paraId="784C672A" w14:textId="77777777" w:rsidR="003C7E8B" w:rsidRPr="00DB5D0D" w:rsidRDefault="003C7E8B" w:rsidP="00DB5D0D">
      <w:pPr>
        <w:pStyle w:val="a3"/>
        <w:rPr>
          <w:color w:val="000000" w:themeColor="text1"/>
          <w:u w:val="single"/>
          <w:lang w:val="ru-RU"/>
        </w:rPr>
      </w:pPr>
      <w:r w:rsidRPr="00DB5D0D">
        <w:rPr>
          <w:color w:val="000000" w:themeColor="text1"/>
          <w:u w:val="single"/>
          <w:lang w:val="ru-RU"/>
        </w:rPr>
        <w:t>Против 37 мм. снаряда (черт. 3882)</w:t>
      </w:r>
    </w:p>
    <w:p w14:paraId="261EBF14" w14:textId="77777777" w:rsidR="003C7E8B" w:rsidRPr="00DB5D0D" w:rsidRDefault="003C7E8B" w:rsidP="00DB5D0D">
      <w:pPr>
        <w:pStyle w:val="a3"/>
        <w:rPr>
          <w:color w:val="000000" w:themeColor="text1"/>
          <w:lang w:val="ru-RU"/>
        </w:rPr>
      </w:pPr>
      <w:r w:rsidRPr="00DB5D0D">
        <w:rPr>
          <w:color w:val="000000" w:themeColor="text1"/>
          <w:lang w:val="ru-RU"/>
        </w:rPr>
        <w:t>Дано было 2 выстрела в рабочем положении при скоростях 755-774 м/с (см. №24 и 25) при этом получены вмятины 9-12 мм.</w:t>
      </w:r>
    </w:p>
    <w:p w14:paraId="04952FD2" w14:textId="77777777" w:rsidR="003C7E8B" w:rsidRPr="00DB5D0D" w:rsidRDefault="003C7E8B" w:rsidP="00DB5D0D">
      <w:pPr>
        <w:pStyle w:val="a3"/>
        <w:rPr>
          <w:color w:val="000000" w:themeColor="text1"/>
          <w:u w:val="single"/>
          <w:lang w:val="ru-RU"/>
        </w:rPr>
      </w:pPr>
      <w:r w:rsidRPr="00DB5D0D">
        <w:rPr>
          <w:color w:val="000000" w:themeColor="text1"/>
          <w:u w:val="single"/>
          <w:lang w:val="ru-RU"/>
        </w:rPr>
        <w:t>Против 76 мм. снаряда (черт. 2-03545)</w:t>
      </w:r>
    </w:p>
    <w:p w14:paraId="6A583EB0" w14:textId="77777777" w:rsidR="003C7E8B" w:rsidRPr="00DB5D0D" w:rsidRDefault="003C7E8B" w:rsidP="00DB5D0D">
      <w:pPr>
        <w:pStyle w:val="a3"/>
        <w:rPr>
          <w:color w:val="000000" w:themeColor="text1"/>
          <w:lang w:val="ru-RU"/>
        </w:rPr>
      </w:pPr>
      <w:r w:rsidRPr="00DB5D0D">
        <w:rPr>
          <w:color w:val="000000" w:themeColor="text1"/>
          <w:lang w:val="ru-RU"/>
        </w:rPr>
        <w:t xml:space="preserve">Дано было 4 выстрела в рабочем положении (см. выстрелы №№10, 11, 12 и 13). При </w:t>
      </w:r>
      <w:r w:rsidRPr="00DB5D0D">
        <w:rPr>
          <w:color w:val="000000" w:themeColor="text1"/>
        </w:rPr>
        <w:t>V</w:t>
      </w:r>
      <w:r w:rsidRPr="00DB5D0D">
        <w:rPr>
          <w:color w:val="000000" w:themeColor="text1"/>
          <w:lang w:val="ru-RU"/>
        </w:rPr>
        <w:t xml:space="preserve">=521 (выстрел 10) - вмятина 10 мм и выпучина - 2 мм. При </w:t>
      </w:r>
      <w:r w:rsidRPr="00DB5D0D">
        <w:rPr>
          <w:color w:val="000000" w:themeColor="text1"/>
        </w:rPr>
        <w:t>V</w:t>
      </w:r>
      <w:r w:rsidRPr="00DB5D0D">
        <w:rPr>
          <w:color w:val="000000" w:themeColor="text1"/>
          <w:lang w:val="ru-RU"/>
        </w:rPr>
        <w:t xml:space="preserve">=571,5 (выстрел </w:t>
      </w:r>
      <w:r w:rsidRPr="00DB5D0D">
        <w:rPr>
          <w:rStyle w:val="2pt"/>
          <w:rFonts w:ascii="Times New Roman" w:hAnsi="Times New Roman" w:cs="Times New Roman"/>
          <w:i w:val="0"/>
          <w:iCs w:val="0"/>
          <w:color w:val="000000" w:themeColor="text1"/>
          <w:spacing w:val="0"/>
          <w:sz w:val="16"/>
          <w:szCs w:val="16"/>
          <w:lang w:val="ru-RU"/>
        </w:rPr>
        <w:t>11)</w:t>
      </w:r>
      <w:r w:rsidRPr="00DB5D0D">
        <w:rPr>
          <w:color w:val="000000" w:themeColor="text1"/>
          <w:lang w:val="ru-RU"/>
        </w:rPr>
        <w:t xml:space="preserve"> выбита пробка диа</w:t>
      </w:r>
      <w:r w:rsidRPr="00DB5D0D">
        <w:rPr>
          <w:color w:val="000000" w:themeColor="text1"/>
          <w:lang w:val="ru-RU"/>
        </w:rPr>
        <w:softHyphen/>
        <w:t xml:space="preserve">метром 50 мм. При </w:t>
      </w:r>
      <w:r w:rsidRPr="00DB5D0D">
        <w:rPr>
          <w:color w:val="000000" w:themeColor="text1"/>
        </w:rPr>
        <w:t>V</w:t>
      </w:r>
      <w:r w:rsidRPr="00DB5D0D">
        <w:rPr>
          <w:color w:val="000000" w:themeColor="text1"/>
          <w:lang w:val="ru-RU"/>
        </w:rPr>
        <w:t>=625(выстрел 12) - пробоина меньше калиб</w:t>
      </w:r>
      <w:r w:rsidRPr="00DB5D0D">
        <w:rPr>
          <w:color w:val="000000" w:themeColor="text1"/>
          <w:lang w:val="ru-RU"/>
        </w:rPr>
        <w:softHyphen/>
        <w:t xml:space="preserve">ра, снаряд перед плитой. При </w:t>
      </w:r>
      <w:r w:rsidRPr="00DB5D0D">
        <w:rPr>
          <w:color w:val="000000" w:themeColor="text1"/>
        </w:rPr>
        <w:t>V</w:t>
      </w:r>
      <w:r w:rsidRPr="00DB5D0D">
        <w:rPr>
          <w:color w:val="000000" w:themeColor="text1"/>
          <w:lang w:val="ru-RU"/>
        </w:rPr>
        <w:t>=638,6 (выстрел 13) - тоже. Таким образом ПТП можно считать равным 520-530 м/с, ПСП не найден и может быть принят выше 630-640 м/с.</w:t>
      </w:r>
    </w:p>
    <w:p w14:paraId="5669D701" w14:textId="77777777" w:rsidR="003C7E8B" w:rsidRPr="00DB5D0D" w:rsidRDefault="003C7E8B" w:rsidP="00DB5D0D">
      <w:pPr>
        <w:pStyle w:val="a3"/>
        <w:rPr>
          <w:color w:val="000000" w:themeColor="text1"/>
          <w:u w:val="single"/>
          <w:lang w:val="ru-RU"/>
        </w:rPr>
      </w:pPr>
      <w:r w:rsidRPr="00DB5D0D">
        <w:rPr>
          <w:color w:val="000000" w:themeColor="text1"/>
          <w:u w:val="single"/>
          <w:lang w:val="ru-RU"/>
        </w:rPr>
        <w:t>ВИДЫ ПОРАЖЕНИЙ</w:t>
      </w:r>
    </w:p>
    <w:p w14:paraId="356A1EE0" w14:textId="77777777" w:rsidR="003C7E8B" w:rsidRPr="00DB5D0D" w:rsidRDefault="003C7E8B" w:rsidP="00DB5D0D">
      <w:pPr>
        <w:pStyle w:val="a3"/>
        <w:rPr>
          <w:color w:val="000000" w:themeColor="text1"/>
          <w:lang w:val="ru-RU"/>
        </w:rPr>
      </w:pPr>
      <w:r w:rsidRPr="00DB5D0D">
        <w:rPr>
          <w:color w:val="000000" w:themeColor="text1"/>
          <w:lang w:val="ru-RU"/>
        </w:rPr>
        <w:t>При испытании башни выявлено, что характер поражений явля</w:t>
      </w:r>
      <w:r w:rsidRPr="00DB5D0D">
        <w:rPr>
          <w:color w:val="000000" w:themeColor="text1"/>
          <w:lang w:val="ru-RU"/>
        </w:rPr>
        <w:softHyphen/>
        <w:t>ется вполне удовлетворительным. Поражения с тыльной прочнос</w:t>
      </w:r>
      <w:r w:rsidRPr="00DB5D0D">
        <w:rPr>
          <w:color w:val="000000" w:themeColor="text1"/>
          <w:lang w:val="ru-RU"/>
        </w:rPr>
        <w:softHyphen/>
        <w:t>тью отличаются наличием незначительной вмятины с лицевой сто</w:t>
      </w:r>
      <w:r w:rsidRPr="00DB5D0D">
        <w:rPr>
          <w:color w:val="000000" w:themeColor="text1"/>
          <w:lang w:val="ru-RU"/>
        </w:rPr>
        <w:softHyphen/>
        <w:t>роны общей глубиной 5-8,5 мм при ударе 45 мм снаряда черт. 203347, с тыльной стороны выпучины обычно не образовывались или же ограничивались величиной 1-2 мм. Поражения при проби</w:t>
      </w:r>
      <w:r w:rsidRPr="00DB5D0D">
        <w:rPr>
          <w:color w:val="000000" w:themeColor="text1"/>
          <w:lang w:val="ru-RU"/>
        </w:rPr>
        <w:softHyphen/>
        <w:t>тии меньше калибра или при сквозном пробитии характерны нали</w:t>
      </w:r>
      <w:r w:rsidRPr="00DB5D0D">
        <w:rPr>
          <w:color w:val="000000" w:themeColor="text1"/>
          <w:lang w:val="ru-RU"/>
        </w:rPr>
        <w:softHyphen/>
        <w:t>чием правильной пробоины в калибр снаряда или меньше калибра при полном отсутствии проломов, отломов с тыльной стороны, раз</w:t>
      </w:r>
      <w:r w:rsidRPr="00DB5D0D">
        <w:rPr>
          <w:color w:val="000000" w:themeColor="text1"/>
          <w:lang w:val="ru-RU"/>
        </w:rPr>
        <w:softHyphen/>
        <w:t>рывов, трещин и т.п. дефектов. Особенно необходимо отметить благоприятный вид поражений при факультативном испытании сна</w:t>
      </w:r>
      <w:r w:rsidRPr="00DB5D0D">
        <w:rPr>
          <w:color w:val="000000" w:themeColor="text1"/>
          <w:lang w:val="ru-RU"/>
        </w:rPr>
        <w:softHyphen/>
        <w:t>рядами калибра 76 мм черт 2-03545. После значительного числа попаданий 45 мм снарядом башня выдержала 4 выстрела данными снарядами без образования трещин, отколов и т.п.</w:t>
      </w:r>
    </w:p>
    <w:p w14:paraId="432F453A" w14:textId="77777777" w:rsidR="003C7E8B" w:rsidRPr="00DB5D0D" w:rsidRDefault="003C7E8B" w:rsidP="00DB5D0D">
      <w:pPr>
        <w:pStyle w:val="a3"/>
        <w:rPr>
          <w:color w:val="000000" w:themeColor="text1"/>
          <w:lang w:val="ru-RU"/>
        </w:rPr>
      </w:pPr>
      <w:r w:rsidRPr="00DB5D0D">
        <w:rPr>
          <w:color w:val="000000" w:themeColor="text1"/>
          <w:lang w:val="ru-RU"/>
        </w:rPr>
        <w:t>Вязкие свойства литой башни могут быть также иллюстрирова</w:t>
      </w:r>
      <w:r w:rsidRPr="00DB5D0D">
        <w:rPr>
          <w:color w:val="000000" w:themeColor="text1"/>
          <w:lang w:val="ru-RU"/>
        </w:rPr>
        <w:softHyphen/>
        <w:t>ны выстрелами №27 и 28. Перемычка между пробоинами при этих выстрелах составила всего лишь 19 мм снаружи и 11 мм стыла, но никаких трещинок или хрупких разрывов все же не наблюдалось.</w:t>
      </w:r>
    </w:p>
    <w:p w14:paraId="077F9159" w14:textId="77777777" w:rsidR="003C7E8B" w:rsidRPr="00DB5D0D" w:rsidRDefault="003C7E8B" w:rsidP="00DB5D0D">
      <w:pPr>
        <w:pStyle w:val="a3"/>
        <w:rPr>
          <w:color w:val="000000" w:themeColor="text1"/>
          <w:u w:val="single"/>
          <w:lang w:val="ru-RU"/>
        </w:rPr>
      </w:pPr>
      <w:r w:rsidRPr="00DB5D0D">
        <w:rPr>
          <w:color w:val="000000" w:themeColor="text1"/>
          <w:u w:val="single"/>
          <w:lang w:val="ru-RU"/>
        </w:rPr>
        <w:t>СРАВАТЫВАЕМОСТЬ СНАРЯДОВ</w:t>
      </w:r>
    </w:p>
    <w:p w14:paraId="43F7BD8D" w14:textId="77777777" w:rsidR="003C7E8B" w:rsidRPr="00DB5D0D" w:rsidRDefault="003C7E8B" w:rsidP="00DB5D0D">
      <w:pPr>
        <w:pStyle w:val="a3"/>
        <w:rPr>
          <w:color w:val="000000" w:themeColor="text1"/>
          <w:lang w:val="ru-RU"/>
        </w:rPr>
      </w:pPr>
      <w:r w:rsidRPr="00DB5D0D">
        <w:rPr>
          <w:color w:val="000000" w:themeColor="text1"/>
          <w:lang w:val="ru-RU"/>
        </w:rPr>
        <w:t xml:space="preserve">Снаряды калибра </w:t>
      </w:r>
      <w:r w:rsidRPr="00DB5D0D">
        <w:rPr>
          <w:rStyle w:val="2pt1"/>
          <w:rFonts w:ascii="Times New Roman" w:hAnsi="Times New Roman" w:cs="Times New Roman"/>
          <w:i w:val="0"/>
          <w:iCs w:val="0"/>
          <w:color w:val="000000" w:themeColor="text1"/>
          <w:spacing w:val="0"/>
          <w:sz w:val="16"/>
          <w:szCs w:val="16"/>
          <w:lang w:val="ru-RU"/>
        </w:rPr>
        <w:t>37,45и</w:t>
      </w:r>
      <w:r w:rsidRPr="00DB5D0D">
        <w:rPr>
          <w:color w:val="000000" w:themeColor="text1"/>
          <w:lang w:val="ru-RU"/>
        </w:rPr>
        <w:t xml:space="preserve"> 76 мм имеющие внутреннюю полость для разрывного заряда, при ударе по броне литой башни в рабо</w:t>
      </w:r>
      <w:r w:rsidRPr="00DB5D0D">
        <w:rPr>
          <w:color w:val="000000" w:themeColor="text1"/>
          <w:lang w:val="ru-RU"/>
        </w:rPr>
        <w:softHyphen/>
        <w:t>чем положении (угол наклона 30°) - разбивались в осколки. При попадании по нормали (см. выстрелы 18, 19 и 20) снаряды калибра 45 мм (черт. 2-03347) срабатывались со вскрытием внутренней полости. Таким образом, срабатывание снарядов при ударах по литой башне следует признать вполне удовлетворительным и рав</w:t>
      </w:r>
      <w:r w:rsidRPr="00DB5D0D">
        <w:rPr>
          <w:color w:val="000000" w:themeColor="text1"/>
          <w:lang w:val="ru-RU"/>
        </w:rPr>
        <w:softHyphen/>
        <w:t>ноценным со срабатыванием, наблюдавшемся на катаной броне высокой твердости из стали марки «МЗ-2». [РГВА. Ф.31811. Оп.3. Д.2073. Л.4-5.]</w:t>
      </w:r>
    </w:p>
    <w:p w14:paraId="122FA93C" w14:textId="77777777" w:rsidR="003C7E8B" w:rsidRPr="00DB5D0D" w:rsidRDefault="003C7E8B" w:rsidP="00DB5D0D">
      <w:pPr>
        <w:pStyle w:val="a3"/>
        <w:rPr>
          <w:color w:val="000000" w:themeColor="text1"/>
          <w:lang w:val="ru-RU"/>
        </w:rPr>
      </w:pPr>
      <w:r w:rsidRPr="00DB5D0D">
        <w:rPr>
          <w:color w:val="000000" w:themeColor="text1"/>
          <w:lang w:val="ru-RU"/>
        </w:rPr>
        <w:t>С целью дополнительной проверки качества отливки и одно</w:t>
      </w:r>
      <w:r w:rsidRPr="00DB5D0D">
        <w:rPr>
          <w:color w:val="000000" w:themeColor="text1"/>
          <w:lang w:val="ru-RU"/>
        </w:rPr>
        <w:softHyphen/>
        <w:t>родности свойств брони по виду излома после окончания полигон</w:t>
      </w:r>
      <w:r w:rsidRPr="00DB5D0D">
        <w:rPr>
          <w:color w:val="000000" w:themeColor="text1"/>
          <w:lang w:val="ru-RU"/>
        </w:rPr>
        <w:softHyphen/>
        <w:t>ных испытаний литая башня №1-1 была разбита под копром. Изу</w:t>
      </w:r>
      <w:r w:rsidRPr="00DB5D0D">
        <w:rPr>
          <w:color w:val="000000" w:themeColor="text1"/>
          <w:lang w:val="ru-RU"/>
        </w:rPr>
        <w:softHyphen/>
        <w:t>чение осколков башни выявило однородность излома практически по всей поверхности башни и удовлетворительную плотность от</w:t>
      </w:r>
      <w:r w:rsidRPr="00DB5D0D">
        <w:rPr>
          <w:color w:val="000000" w:themeColor="text1"/>
          <w:lang w:val="ru-RU"/>
        </w:rPr>
        <w:softHyphen/>
        <w:t>ливки. Литейные дефекты в виде усадочной рыхлости были обна</w:t>
      </w:r>
      <w:r w:rsidRPr="00DB5D0D">
        <w:rPr>
          <w:color w:val="000000" w:themeColor="text1"/>
          <w:lang w:val="ru-RU"/>
        </w:rPr>
        <w:softHyphen/>
        <w:t>ружены лишь на боковинах башни в местах прилива для смотровых приборов, имевших утолщение до 150 мм.</w:t>
      </w:r>
    </w:p>
    <w:p w14:paraId="497C2290" w14:textId="77777777" w:rsidR="003C7E8B" w:rsidRPr="00DB5D0D" w:rsidRDefault="003C7E8B" w:rsidP="00DB5D0D">
      <w:pPr>
        <w:pStyle w:val="a3"/>
        <w:rPr>
          <w:color w:val="000000" w:themeColor="text1"/>
          <w:lang w:val="ru-RU"/>
        </w:rPr>
      </w:pPr>
      <w:r w:rsidRPr="00DB5D0D">
        <w:rPr>
          <w:color w:val="000000" w:themeColor="text1"/>
          <w:lang w:val="ru-RU"/>
        </w:rPr>
        <w:t>После проведения испытаний обстрелом комиссия сделала сравнительный анализ показателей стойкости литой брони высо</w:t>
      </w:r>
      <w:r w:rsidRPr="00DB5D0D">
        <w:rPr>
          <w:color w:val="000000" w:themeColor="text1"/>
          <w:lang w:val="ru-RU"/>
        </w:rPr>
        <w:softHyphen/>
        <w:t>кой твердости марки МЗ-2, из которой была изготовлена устано</w:t>
      </w:r>
      <w:r w:rsidRPr="00DB5D0D">
        <w:rPr>
          <w:color w:val="000000" w:themeColor="text1"/>
          <w:lang w:val="ru-RU"/>
        </w:rPr>
        <w:softHyphen/>
        <w:t>вочная партия, с аналогичными показателями для брони других типов и марок стали. В таблице №13 приведены сравнительные данные по стойкости брони различных типов против снарядов ка</w:t>
      </w:r>
      <w:r w:rsidRPr="00DB5D0D">
        <w:rPr>
          <w:color w:val="000000" w:themeColor="text1"/>
          <w:lang w:val="ru-RU"/>
        </w:rPr>
        <w:softHyphen/>
        <w:t>либра 45 мм (чертеж 2-03347), на основании которых был сделан ряд выводов:</w:t>
      </w:r>
    </w:p>
    <w:p w14:paraId="3A46B7E5" w14:textId="77777777" w:rsidR="003C7E8B" w:rsidRPr="00DB5D0D" w:rsidRDefault="003C7E8B" w:rsidP="00DB5D0D">
      <w:pPr>
        <w:pStyle w:val="a3"/>
        <w:tabs>
          <w:tab w:val="left" w:pos="589"/>
        </w:tabs>
        <w:rPr>
          <w:color w:val="000000" w:themeColor="text1"/>
          <w:lang w:val="ru-RU"/>
        </w:rPr>
      </w:pPr>
      <w:r w:rsidRPr="00DB5D0D">
        <w:rPr>
          <w:color w:val="000000" w:themeColor="text1"/>
          <w:lang w:val="ru-RU"/>
        </w:rPr>
        <w:t>- показатели стойкости литой брони высокой твердости несколь</w:t>
      </w:r>
      <w:r w:rsidRPr="00DB5D0D">
        <w:rPr>
          <w:color w:val="000000" w:themeColor="text1"/>
          <w:lang w:val="ru-RU"/>
        </w:rPr>
        <w:softHyphen/>
        <w:t>ко выше показателей катаной брони толщиной 45 мм и вплотную приближаются к показателям катаной брони толщиной 50 мм. Та</w:t>
      </w:r>
      <w:r w:rsidRPr="00DB5D0D">
        <w:rPr>
          <w:color w:val="000000" w:themeColor="text1"/>
          <w:lang w:val="ru-RU"/>
        </w:rPr>
        <w:softHyphen/>
        <w:t>ким образом, бронестойкость литой башни удовлетворяет постав</w:t>
      </w:r>
      <w:r w:rsidRPr="00DB5D0D">
        <w:rPr>
          <w:color w:val="000000" w:themeColor="text1"/>
          <w:lang w:val="ru-RU"/>
        </w:rPr>
        <w:softHyphen/>
        <w:t>ленному АБТУ и 7 ГУ НКСП требованию равностойкости с катаной броней толщиной 45 мм, идущей в производстве сварных башен;</w:t>
      </w:r>
    </w:p>
    <w:p w14:paraId="46098DE7" w14:textId="77777777" w:rsidR="003C7E8B" w:rsidRPr="00DB5D0D" w:rsidRDefault="003C7E8B" w:rsidP="00DB5D0D">
      <w:pPr>
        <w:pStyle w:val="a3"/>
        <w:tabs>
          <w:tab w:val="left" w:pos="589"/>
        </w:tabs>
        <w:rPr>
          <w:color w:val="000000" w:themeColor="text1"/>
          <w:lang w:val="ru-RU"/>
        </w:rPr>
      </w:pPr>
      <w:r w:rsidRPr="00DB5D0D">
        <w:rPr>
          <w:color w:val="000000" w:themeColor="text1"/>
          <w:lang w:val="ru-RU"/>
        </w:rPr>
        <w:t>- показатели стойкости литой брони высокой твердости значи</w:t>
      </w:r>
      <w:r w:rsidRPr="00DB5D0D">
        <w:rPr>
          <w:color w:val="000000" w:themeColor="text1"/>
          <w:lang w:val="ru-RU"/>
        </w:rPr>
        <w:softHyphen/>
        <w:t>тельно выше показателей брони той же толщины, но обработанной на низкую твердость (11939).</w:t>
      </w:r>
    </w:p>
    <w:p w14:paraId="7795BC38" w14:textId="77777777" w:rsidR="003C7E8B" w:rsidRPr="00DB5D0D" w:rsidRDefault="003C7E8B" w:rsidP="00DB5D0D">
      <w:pPr>
        <w:pStyle w:val="a3"/>
        <w:rPr>
          <w:color w:val="000000" w:themeColor="text1"/>
          <w:lang w:val="ru-RU"/>
        </w:rPr>
      </w:pPr>
    </w:p>
    <w:p w14:paraId="4662A05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0AED88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EB60E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июля 1940 года нач. Особого технического бюро, майор гос. безопасности Кравченко, зам. нач. Особого технического бюро, ст. лейтенант безопасности Кутепов писали письмо N 30/2925 Шахурину.</w:t>
      </w:r>
    </w:p>
    <w:p w14:paraId="094ECC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нам обратились директора заводов N 22 и 39 с просьбой о разъяснении им получаемых скоростей в варианте пикирующего бомбардировщика самолета "100".</w:t>
      </w:r>
    </w:p>
    <w:p w14:paraId="2F055D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данному вопросу нами послан ответ, о котором считаем необходимым сообщить вам.</w:t>
      </w:r>
    </w:p>
    <w:p w14:paraId="7BE09A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 Вашей просьбе сообщаем наши соображения по вопросу об ожидаемых максимальных скоростях самолета "100" в варианте пикирующего бомбардировщика:</w:t>
      </w:r>
    </w:p>
    <w:p w14:paraId="728827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Значение максимальной скорости самолета "100" в варианте высотного истребителя в 491 км/час на высоте 5000 м, фигурирующее в акте Гос. испытания самолета в НИИ ГУАС, было получено без использования ТК и соответствовало полету выше границы высотности мотора, каковая для имевшейся моторной установки с неиспользованным ТК равнялась примерно 4500 м.</w:t>
      </w:r>
    </w:p>
    <w:p w14:paraId="6C5EB5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Указанное значение скорости взято уже на перегибе кривой максимальных скоростей (см. график скоростей в отчете). Отнесенная к границе высотности максимальная скорость на высоте 4500 м выразится величиной 495 км/час.</w:t>
      </w:r>
    </w:p>
    <w:p w14:paraId="087174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граница высотности мотора М-105 самолета "100" в варианте пикирующего бомбардировщика будет порядка 4900 метров. Указанная выше максимальная скорость самолета при этом на границе высотности была бы порядка 500 км/час.</w:t>
      </w:r>
    </w:p>
    <w:p w14:paraId="039DBB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Указанное в параграфе 1 назначение максимальной скорости было получено на первом этапе летных испытаний самолета.</w:t>
      </w:r>
    </w:p>
    <w:p w14:paraId="553D35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Вслед за этим было произведено дополнительно некоторое облагораживание машины, в результате чего максимальная скорость поднялась на 14 км/час (см. отчет испытаний).</w:t>
      </w:r>
    </w:p>
    <w:p w14:paraId="283D20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 самым фактически максимальная скорость на высоте 5000 м должна была быть расценена в 514 км/час.</w:t>
      </w:r>
    </w:p>
    <w:p w14:paraId="4C23B8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самолете "100" в варианте пикирующего бомбардировщика по сравнению с вариантом высотного истребителя вносятся следующие изменения, долженствующие повлиять на увеличение максимальной скорости полета:</w:t>
      </w:r>
    </w:p>
    <w:p w14:paraId="116AC3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мидель моторных гондол уменьшается примерно на 20-25%;</w:t>
      </w:r>
    </w:p>
    <w:p w14:paraId="47DBB3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масляные радиаторы установлены таким образом, что не выходят за пределы миделя мотогондол и достаточно удачно компонуются с мото-установкой;</w:t>
      </w:r>
    </w:p>
    <w:p w14:paraId="527510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отсутствуют выступающие шайбы ТК и соответствующий газовый поток из них;</w:t>
      </w:r>
    </w:p>
    <w:p w14:paraId="700D7C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водяные и масляные радиаторы поставлены с увеличенной охлаждающей поверхностью, что должно повлечь за собой снижение внутренних потерь на охлаждение;</w:t>
      </w:r>
    </w:p>
    <w:p w14:paraId="505E3D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на выходе из туннеля водяных радиаторов вместо заслонок устанавливаются жалюзи, что более выгодно аэродинамически;</w:t>
      </w:r>
    </w:p>
    <w:p w14:paraId="4A6AF5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туннели масляных радиаторов также снабжены регулируемыми заслонками, чего не было в варианте истребителя;</w:t>
      </w:r>
    </w:p>
    <w:p w14:paraId="046A54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устанавливается реактивный выхлоп моторов.</w:t>
      </w:r>
    </w:p>
    <w:p w14:paraId="7E48E6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Совокупность всех указанных конструктивных изменений должна поднять значение максимальных скоростей. мы оцениваем возможное увеличение максимальной скорости на высоте 5000 м примерно на 5-6%.</w:t>
      </w:r>
    </w:p>
    <w:p w14:paraId="4DB73E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другой стороны, новый ребристый фонарь 1-ой кабины, несколько сплющенный снизу нос фюзеляжа и нарост внизу фюзеляжа должны несколько снизить скорость. Учесть это снижение, не имея продувок в аэродинамической трубе, не представляется возможным.</w:t>
      </w:r>
    </w:p>
    <w:p w14:paraId="09E01F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указанные соображения дали нам основание оценить значение максимальной скорости самолета "100" в варианте пикирующего бомбардировщика на высоте 5000 м величиной 525-550 км/час.</w:t>
      </w:r>
    </w:p>
    <w:p w14:paraId="763751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значение максимальной скорости дается для самолета без внешней бомбовой подвески и без установленных тормозных щитков.</w:t>
      </w:r>
    </w:p>
    <w:p w14:paraId="432D1F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полагаем, что тормозные щитки в прижатом состоянии не должны сколь либо заметно повлиять на значение максимальной скорости. Предварительные испытания в аэродинамической трубе подтверждают наше предположение.</w:t>
      </w:r>
    </w:p>
    <w:p w14:paraId="350C88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производится уточненный аэродинамический расчет самолета. После получения результатов испытаний модели в аэродинамической трубе ЦАГИ будет произведен окончательный аэродинамический расчет, который будет тотчас направлен Вам" (1293,101).</w:t>
      </w:r>
    </w:p>
    <w:p w14:paraId="3CEA818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B775D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июля 1940 военприемкой дирекции завода № 125 было предъявлено требование о срочном вызове представителя ЦАГИ для детального исследования причин дефектов. Вызывает удивление халатное отношение руководства военной приемки к состоянию самолета №57/11, допустившее разрушение его от коррозии и расхищение самолета, преступно брошенного на аэродроме завода командованием ЗабВО.</w:t>
      </w:r>
    </w:p>
    <w:p w14:paraId="7D4BBC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установить порядок, при котором контрольный полет, производимый летчиком военной приемки, длился бы не менее нормального сдаточного полета и по его программе. Не допускать более пяти полетов летчика ВП в день. В обязательном порядке ввести испытания на высоту и на дальность минимум одного самолета из серии".</w:t>
      </w:r>
    </w:p>
    <w:p w14:paraId="5D9851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Наверное, тревога представителя главко- мата ВВС была оправдана в части заводских недоработок и разгильдяйства самих военных авиаторов. Но случаи выхода из строя и даже разрушения самолетов в воздухе имели место не по причине заводских дефектов, а вследствие нарушения строевыми летчиками инструкций по пилотированию. Скорее всего, они просто выходили на запредельные скорости в пикировании. Во всяком случае дважды проводились контрольные испытания СБ иркутской сборки в НИИ ВВС, где машины тщательнейшим образом проверялись на земле и в воздухе (12037).</w:t>
      </w:r>
    </w:p>
    <w:p w14:paraId="3787339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8D3D7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7 июля 1940 вышел приказ НКАП N 332с "О внедрении в серийное производство самолета И-180 на заводе 21 (1002,3).</w:t>
      </w:r>
    </w:p>
    <w:p w14:paraId="51FDCA5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04965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июля 1940 Дир. завода 301 Эскин и Парторг ЦК Ростовцев писали докладную записку Секр. ЦК Г.М.М. и НКАП А.И.Ш. по вопросам реализации постановления Правительства N 206сс от 16 мая 1940 и приказам НКАП N 235сс и 305сс по заводу 301 и запуску И-26. Положение было неудовлетворительным как с самой машиной, так и с подготовкой производства (1295,43).</w:t>
      </w:r>
    </w:p>
    <w:p w14:paraId="6ACF269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077EC4" w14:textId="77777777" w:rsidR="003302F0" w:rsidRPr="00DB5D0D" w:rsidRDefault="003302F0" w:rsidP="00DB5D0D">
      <w:pPr>
        <w:pStyle w:val="ae"/>
        <w:shd w:val="clear" w:color="auto" w:fill="FFFFFF"/>
        <w:spacing w:before="0" w:after="0"/>
        <w:jc w:val="both"/>
        <w:rPr>
          <w:color w:val="000000" w:themeColor="text1"/>
          <w:sz w:val="16"/>
          <w:szCs w:val="16"/>
        </w:rPr>
      </w:pPr>
      <w:r w:rsidRPr="00DB5D0D">
        <w:rPr>
          <w:color w:val="000000" w:themeColor="text1"/>
          <w:sz w:val="16"/>
          <w:szCs w:val="16"/>
        </w:rPr>
        <w:t>7 июля 1940 года аэродромные земли, ангары, завод и даже дирижабли (все ранее относилось к Управлению воздухоплавания ГУГВФ) передали в НКАП как авиационный завод № 207 (19614).</w:t>
      </w:r>
    </w:p>
    <w:p w14:paraId="4296E2DF" w14:textId="77777777" w:rsidR="003302F0" w:rsidRPr="00DB5D0D" w:rsidRDefault="003302F0" w:rsidP="00DB5D0D">
      <w:pPr>
        <w:spacing w:after="0" w:line="240" w:lineRule="auto"/>
        <w:jc w:val="both"/>
        <w:rPr>
          <w:rFonts w:ascii="Times New Roman" w:hAnsi="Times New Roman"/>
          <w:color w:val="000000" w:themeColor="text1"/>
          <w:sz w:val="16"/>
          <w:szCs w:val="16"/>
        </w:rPr>
      </w:pPr>
    </w:p>
    <w:p w14:paraId="318A4B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июля 1940 И 7 ГУ Кантор писал письмо N 1320 А.И.Ш.:</w:t>
      </w:r>
    </w:p>
    <w:p w14:paraId="217764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Вашего указания препровождаю проект ответного письма тов. Г.М.М. и письмо коммунистов НИИ ВВС на имя Г.М.М. N 2251 и 1270." (1192,24).</w:t>
      </w:r>
    </w:p>
    <w:p w14:paraId="7C5C029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0DBA0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июля 1940 ЗАМ.ГЛАВНОГО КОНТРОЛЕРА КО при СНК СССР СЕМИН писал Справку тов. Ворошилову К.Е. об аварии стратостата СССР-2 (Красный Кремль)</w:t>
      </w:r>
    </w:p>
    <w:p w14:paraId="34B9E1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КО № 388с от 21.10.39г. было разрешено экипажу в составе майора Зыкова И.Д. и научного сотрудника т. Кузнецова А.П.совершить, с целью научных исследований по тематике, утвержденной Академией Наук СССР, полета на стратостате об'емом 60 тыс. метров до высоты не более 20 тыс. метров.</w:t>
      </w:r>
    </w:p>
    <w:p w14:paraId="5A0A86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и организация полета была возложена на Комиссию в составе Начальника УВВС РККА т. Локтионова А.Д. (Председатель), Начальника ГУГВФ т. Молокова В.С. и командира в/ч № 5222 УПВО т. Вакатова В.П.</w:t>
      </w:r>
    </w:p>
    <w:p w14:paraId="60CACC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стратостата СССР-2 был назначен на 29-е июня 1940 г. (причем взлет должен был состояться до 4-х часов утра, т.к. погода в эти часы была наиболее благоприятной).</w:t>
      </w:r>
    </w:p>
    <w:p w14:paraId="5F26A8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Благодаря плохой организации, стратостат смог быть готовым к вылету только в 5 час. 17 мин. 29.6.40 г. и в самый начальный момент под'ема, на высоте 10-12 метров от земли, гондола оторвалась от оболочки и упала на землю.</w:t>
      </w:r>
    </w:p>
    <w:p w14:paraId="691939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Майор Зыков получил тяжелое ранение - перелом позвоночника, Кузнецов - ушибы и сотрясение организма. Гондола деформировалась и выведена из строя, оболочка стратостата получила повреждения, установлено следствием и эспертно-технкческой комиссией, |что авария стратостата последовала в результате несовершенства конструкции расцепного механизма гондолы (изготовленной еще в 1934 г.) и безответственного отношения к своим обязанностям руководящего старта.</w:t>
      </w:r>
    </w:p>
    <w:p w14:paraId="07CDB7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ломпссии т. Локтионов А.Д. и член Комиссии т. Молоков В.С.ограничились формальным назначением 29-го апреля штаба старта для подготовки полета и приведения в порядок материальной части, не проявив при этом должного внимания, заботы и контроля за ходом подготовки стратостата к полету.</w:t>
      </w:r>
    </w:p>
    <w:p w14:paraId="79FE64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Работники штаба полета т.т. Вакатов II.П., Егоров А.В., Гостев Р.II., Дмитриев II.С. проявили преступную халатность в подготовке стратостата к полету, своевременно не проверили надежность крепления отцепного приспособления гондолы - при боковых усилиях. Окончательный монтаж и закрепление расцепного механизма с опломбированнем ручки в гондоле было проведено за 2 месяца до старта и после этого, несмотря на перевозку гондолы из Кунцево в Звенигород, полной поверки механизма никем произведено не было.</w:t>
      </w:r>
    </w:p>
    <w:p w14:paraId="2F6A5C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составлении даниой справки и проекта постановления СНК СССР - Главному Контролю не представилось возможным лично переговорить с т.т. Локтионовым А.Д. и Молоковым В.С. и выяснить их личное участие в работах комиссии, так как указанные товарищи находятся в командировках.</w:t>
      </w:r>
    </w:p>
    <w:p w14:paraId="1E5D38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решения СНК СССР по данному вопросу при сем при</w:t>
      </w:r>
      <w:r w:rsidRPr="00DB5D0D">
        <w:rPr>
          <w:rFonts w:ascii="Times New Roman" w:hAnsi="Times New Roman"/>
          <w:color w:val="000000" w:themeColor="text1"/>
          <w:sz w:val="16"/>
          <w:szCs w:val="16"/>
        </w:rPr>
        <w:softHyphen/>
        <w:t>лгаю (10514,50).</w:t>
      </w:r>
    </w:p>
    <w:p w14:paraId="795BCF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242B0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июля 1940 г. в 5-м пункте пояснительного письма по авиационному вооружению наркому обороны СССР Маршалу Советского Союза К.Е.Ворошилову от начальника Генерального штаба Красной Армии Маршала Советского Союза С.К.Тимошенко, говорилось: «Одновременно с пушками необходимо широко внедрить на вооружение РС-82 и РС-132... В проекте Постановления предусматривается довооружить к 1 января 1941 г. в частях ВВС 600 самолетов И-15бис под РС-82. ; Кроме того, в счет общего заказа на самолеты, к 1 января 1941 г. должно быть поставлено для ВВС 250 бомбардировщиков СБ с установками под РС-132, 600 самолетов И-16 и 800 И-153 с установками под РС-82. Это дает возможность вооружить 8 штурмовых полков самолетами с установ</w:t>
      </w:r>
      <w:r w:rsidRPr="00DB5D0D">
        <w:rPr>
          <w:rFonts w:ascii="Times New Roman" w:hAnsi="Times New Roman"/>
          <w:color w:val="000000" w:themeColor="text1"/>
          <w:sz w:val="16"/>
          <w:szCs w:val="16"/>
        </w:rPr>
        <w:softHyphen/>
        <w:t>ками для РС, три истребительных авиаполка ПВО Ленинграда, Москвы и Баку полностью и по одной эскадрильи во всех остальных истреби</w:t>
      </w:r>
      <w:r w:rsidRPr="00DB5D0D">
        <w:rPr>
          <w:rFonts w:ascii="Times New Roman" w:hAnsi="Times New Roman"/>
          <w:color w:val="000000" w:themeColor="text1"/>
          <w:sz w:val="16"/>
          <w:szCs w:val="16"/>
        </w:rPr>
        <w:softHyphen/>
        <w:t>тельных авиаполках... Опыт современных войн (в частности, войны на Западе) подчеркивает необходимость иметь такое вооружение авиации, которым можно было бы успешно вести борьбу с современными тяже</w:t>
      </w:r>
      <w:r w:rsidRPr="00DB5D0D">
        <w:rPr>
          <w:rFonts w:ascii="Times New Roman" w:hAnsi="Times New Roman"/>
          <w:color w:val="000000" w:themeColor="text1"/>
          <w:sz w:val="16"/>
          <w:szCs w:val="16"/>
        </w:rPr>
        <w:softHyphen/>
        <w:t>лыми танками, моторизованной и механизированной матчастью» (11402).</w:t>
      </w:r>
    </w:p>
    <w:p w14:paraId="638555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D33D5D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189E66D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FDC8E5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июля 1940 во Львове открыт литературный музей Ивана Франко (4962).</w:t>
      </w:r>
    </w:p>
    <w:p w14:paraId="1B4C7A1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FF494D4" w14:textId="77777777" w:rsidR="003C7E8B"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За</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рубежом</w:t>
      </w:r>
      <w:r w:rsidRPr="00DB5D0D">
        <w:rPr>
          <w:rFonts w:ascii="Times New Roman" w:hAnsi="Times New Roman"/>
          <w:i/>
          <w:iCs/>
          <w:color w:val="000000" w:themeColor="text1"/>
          <w:sz w:val="16"/>
          <w:szCs w:val="16"/>
          <w:lang w:val="en-US"/>
        </w:rPr>
        <w:t>:</w:t>
      </w:r>
    </w:p>
    <w:p w14:paraId="44FE6600" w14:textId="77777777" w:rsidR="003C7E8B" w:rsidRPr="00DB5D0D" w:rsidRDefault="003C7E8B" w:rsidP="00DB5D0D">
      <w:pPr>
        <w:spacing w:after="0" w:line="240" w:lineRule="auto"/>
        <w:jc w:val="both"/>
        <w:rPr>
          <w:rFonts w:ascii="Times New Roman" w:hAnsi="Times New Roman"/>
          <w:iCs/>
          <w:color w:val="000000" w:themeColor="text1"/>
          <w:sz w:val="16"/>
          <w:szCs w:val="16"/>
          <w:lang w:val="en-US"/>
        </w:rPr>
      </w:pPr>
    </w:p>
    <w:p w14:paraId="6E9BF7CC"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7th, 1940: A French naval squadron that has sought refuge at Alexandria is disarmed and interned by the British Navy, while the battleship Richelieu berthed at Dakar is attacked and disabled by British naval forces (3819).</w:t>
      </w:r>
    </w:p>
    <w:p w14:paraId="707E393A"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35666A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июля 1940 французская морская часть, захваченная в Александрии, была разоружена и интернирована британским флотом, а линкор Ришелье, ремонтирующийся в Дакаре был атакован и поврежден британским флотом (3819).</w:t>
      </w:r>
    </w:p>
    <w:p w14:paraId="350F55E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60919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BBDE03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E4F64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на ДБ-3 и на Нортроп ЛЛ закончились полеты для исследования крыльев в полете - чтобы проверить результаты, полученные в натурных трубах, которые проводились с 16 июня 1940 (273,331).</w:t>
      </w:r>
    </w:p>
    <w:p w14:paraId="26D785F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53A30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А.И.Ш. писал Я.В.Смушкевичу и директору завода 126 Тимофееву письмо N 2943 письмо:</w:t>
      </w:r>
    </w:p>
    <w:p w14:paraId="1468BF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сдачи самолетов ДБ-3 ВВС в количестве 125 шт. заводом не выполнена. Из изготовленных 48 самолетов только 11 самолетов передаются ВВС - остальные имеют ряд недоделок, как то: течи консольных клепанных баков,, отсутствие инструментальных сумок, неукомплектованности самолетов одиночными комплектами и неустановки на самолетах стрелковых точек МВ-2 и МВ-3 и РПК-2. Окраска самолетов производится не в соответствии с моим приказом N 228сс от 23 мая 1940.</w:t>
      </w:r>
    </w:p>
    <w:p w14:paraId="117418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Предлагаю:</w:t>
      </w:r>
    </w:p>
    <w:p w14:paraId="2DCB75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обеспечить полную сдачу самолетов ВВС, оборудованных стрелковыми установками МВ-2 и МВ-3 и РПК-2 и произвести их установку на все ранее выпущенные самолеты к 15 августа 1940 (1304,132).</w:t>
      </w:r>
    </w:p>
    <w:p w14:paraId="715EF4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сдать ВВС в 3 кв. весь недодел 1 полугодия в количестве 91 самолета (1304,132).</w:t>
      </w:r>
    </w:p>
    <w:p w14:paraId="62D1903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9769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директор завода 18 Шенкман писал А.И.Ш. письмо N 1847 по вопросу проекта завода (пришло 12 июля и получило N 3504c):</w:t>
      </w:r>
    </w:p>
    <w:p w14:paraId="77A8B8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заданию НКАП, данному мне в декабре м-це 1939, конструкторским коллективом завода 18 был составлен эскизный проект скоростного двухмоторного бомбардировщика и изготовлен его макет.</w:t>
      </w:r>
    </w:p>
    <w:p w14:paraId="1EC887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отличается от эскизного проекта, т.к. нами были учтены все замечания, данные в заключении НИИ ГУАС КА по эскизному проекту.</w:t>
      </w:r>
    </w:p>
    <w:p w14:paraId="0DFB2B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был предъявлен 1 июля макетной комиссии.</w:t>
      </w:r>
    </w:p>
    <w:p w14:paraId="77B068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появлением по решению Правительства требования пикирования ко всем вновь строящимся бомбардировщикам, макетная комиссия признала нецелесообразным продолжать работу по схеме, имеющейся на макете, о чем и ставлю Вас в известность."</w:t>
      </w:r>
    </w:p>
    <w:p w14:paraId="459831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Использовали установки вооружения от ДБ-3 (2054,1).</w:t>
      </w:r>
    </w:p>
    <w:p w14:paraId="7A9DAE6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E39D0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года работник завода № 18 тов. Корольков в своем письме на имя СЕКРЕТАРЯ ЦК ВКП (б) тов. А Н Д Р Е Е В А А.А.сообщил, что на заводе не используется раз</w:t>
      </w:r>
      <w:r w:rsidRPr="00DB5D0D">
        <w:rPr>
          <w:rFonts w:ascii="Times New Roman" w:hAnsi="Times New Roman"/>
          <w:color w:val="000000" w:themeColor="text1"/>
          <w:sz w:val="16"/>
          <w:szCs w:val="16"/>
        </w:rPr>
        <w:softHyphen/>
        <w:t>работанная технолгия по машине "А", отсутствует технологическая дисциплина, имеет место ненормальное отношение директора к отде</w:t>
      </w:r>
      <w:r w:rsidRPr="00DB5D0D">
        <w:rPr>
          <w:rFonts w:ascii="Times New Roman" w:hAnsi="Times New Roman"/>
          <w:color w:val="000000" w:themeColor="text1"/>
          <w:sz w:val="16"/>
          <w:szCs w:val="16"/>
        </w:rPr>
        <w:softHyphen/>
        <w:t>лам и зажим самокритики (1172,43).</w:t>
      </w:r>
    </w:p>
    <w:p w14:paraId="5B0C720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77F9F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А.И.Ш. писал Секретарю КО СНК Пугаеву письмо N 1706с/ог:</w:t>
      </w:r>
    </w:p>
    <w:p w14:paraId="4608A9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предложению инженеров завода 22 тт. Камкина и Рубцова о создании тяжелого ПБ сообщаю, что идея создания ТПБ с двумя спарками М-107 или АМ-37 - не новая.</w:t>
      </w:r>
    </w:p>
    <w:p w14:paraId="5555BE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Эта идея уже прорабатывается В.Ф.Б., а на заводе 22 - А.А.А. А.А.А. эту работу приостановил в виду трудности создания хороших эксплуатационных условий для обслуживания моторных групп.</w:t>
      </w:r>
    </w:p>
    <w:p w14:paraId="5589A2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приближенных расчетов ЛТД, заявленные Камкиным и Рубцовым, осуществимы с некоторыми изменениями. Максимальную скорость с АМ-37 следует ожидать 650-670 км/час вместо 700 +/- 20. Дальность в 5000 кг горючего и масла на 0.8 макс. будет 3000 км вместо 4350 км.</w:t>
      </w:r>
    </w:p>
    <w:p w14:paraId="1C308D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более целесообразным создавать не один ТПБ, а два средних ПБ с теми же ЛД, с меньшим полетным весом и с одной спаркой у каждого.</w:t>
      </w:r>
    </w:p>
    <w:p w14:paraId="0DB206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исключит трудности создания ПБ с большим весом и даст возможность:</w:t>
      </w:r>
    </w:p>
    <w:p w14:paraId="01AC64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увеличить бомбовую нагрузку до 2000 кг по 1000 кг вместо 1500 кг</w:t>
      </w:r>
    </w:p>
    <w:p w14:paraId="4D8AF1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достигнуть большей надежности в выполнении боевой задачи и меньшей вероятности быть сбитым</w:t>
      </w:r>
    </w:p>
    <w:p w14:paraId="66646F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осуществления своего предложения тт. Камкин и Рубцов просят создать для них на заводе 22 отдельную конструкторскую и производственную базу.</w:t>
      </w:r>
    </w:p>
    <w:p w14:paraId="361953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что на заводе 22 в настоящее время имеется уже 2 ОКБ (тт. А.А.А. и Жемчугина), создание третьего - считаю недопустимым." (1192,4).</w:t>
      </w:r>
    </w:p>
    <w:p w14:paraId="04992AC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30B2C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в ходе заводских испытаний И-200 А.И.М, которые проходили с 31 марта по 17 августа 1940, на И-200-1 был полет на снятие температурных режимов ВМГ. Не получился (2988).</w:t>
      </w:r>
    </w:p>
    <w:p w14:paraId="5EB3148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285A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года вышло Постановление КО № 253сс, которым НКАП был обязан в текущем году переоборудовать в частях ВВС 750 самолетов И-16 М25В с постановкой мотора М-62 (7711, 83-84).</w:t>
      </w:r>
    </w:p>
    <w:p w14:paraId="022CE1C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EDDFA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г. вышло Постановления КО при СНК СССР №225сс о переоборудовании И-16 под М-62. До 7 июля 1940 г. в разные военные округа для этой цели выслали 283 М-62. К этому сроку 62-е моторы поставили на 31 И-16 тип 10 (из них 28 экземпляров в Московском военном округе и 3 в Ленинградском военном округе). До 20 сентября 1940 г. подобным образом переоборудовали еше 42 И-16 (12015).</w:t>
      </w:r>
    </w:p>
    <w:p w14:paraId="74DB8E2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E9EF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ст. Следователь Мосгорпрокуратуры Куприн от имени Прокурора г. Москвы писал письмо № 371 и Машкевичу И.И. (пипия Зам. Нач. 7 ГУ НКАП т. Шишкину - для сведения):</w:t>
      </w:r>
    </w:p>
    <w:p w14:paraId="1A8946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Препровождая постановление от 5 июля 1940 о производстве технической экспертизы по делу о катастрофе самолета И-16, прошу Вас произвести, в соответствии с этим постановлением, экспертизу.</w:t>
      </w:r>
    </w:p>
    <w:p w14:paraId="1F5022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Экспертизу надлежит произвести по материалам дела, находящегося в Прокуратуре.</w:t>
      </w:r>
    </w:p>
    <w:p w14:paraId="603EFB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представить в Мосгорпрокуратуру к 1 июля 1940 г. (2080).</w:t>
      </w:r>
    </w:p>
    <w:p w14:paraId="6B4E6EF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B03D9DD" w14:textId="77777777" w:rsidR="000F7B83" w:rsidRPr="00DB5D0D" w:rsidRDefault="000F7B8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июня 1940 г. завершился пер</w:t>
      </w:r>
      <w:r w:rsidRPr="00DB5D0D">
        <w:rPr>
          <w:rFonts w:ascii="Times New Roman" w:hAnsi="Times New Roman"/>
          <w:color w:val="000000" w:themeColor="text1"/>
          <w:sz w:val="16"/>
          <w:szCs w:val="16"/>
        </w:rPr>
        <w:softHyphen/>
        <w:t>вый этап испытаний, и ОКО-6 передали на завод № 81 для доводок. Заводские испытания ОКО-6 проходил с безредукторными моторами М-88. Лётные данные оказались достаточно высокими. При взлётной массе в 5250 кг макси</w:t>
      </w:r>
      <w:r w:rsidRPr="00DB5D0D">
        <w:rPr>
          <w:rFonts w:ascii="Times New Roman" w:hAnsi="Times New Roman"/>
          <w:color w:val="000000" w:themeColor="text1"/>
          <w:sz w:val="16"/>
          <w:szCs w:val="16"/>
        </w:rPr>
        <w:softHyphen/>
        <w:t>мальная скорость у земли достигла 488 км/ч, а на высоте 7550 м — 567,5 км/ч. Следует отметить хорошую скороподъемность самолёта: высоту 5000 м он набирал за 5,5 мин. Потолок — 11100 м. Нормальная скоростная дальность полёта оставила 700 км. Разбег — 369 м, пробег — 466 м. Время выполнения виража на высоте 1000 м составляло все</w:t>
      </w:r>
      <w:r w:rsidRPr="00DB5D0D">
        <w:rPr>
          <w:rFonts w:ascii="Times New Roman" w:hAnsi="Times New Roman"/>
          <w:color w:val="000000" w:themeColor="text1"/>
          <w:sz w:val="16"/>
          <w:szCs w:val="16"/>
        </w:rPr>
        <w:softHyphen/>
        <w:t>го 20,7 сек. Несколько великоватой была посадочная скорость — 150 км/ч. Самолёт имел и ряд других типичных для опытных самолётов того времени недостатков — склонность самолёта к развороту на разбеге и пробеге вследствие отсутствия обдува вертикального оперения; недостаточную продольную и путевую устойчивость однокилевой короткохвостой машины в режиме набора высоты м виражах и др. (15828)</w:t>
      </w:r>
    </w:p>
    <w:p w14:paraId="1DC9CEED" w14:textId="77777777" w:rsidR="000F7B83" w:rsidRPr="00DB5D0D" w:rsidRDefault="000F7B83" w:rsidP="00DB5D0D">
      <w:pPr>
        <w:spacing w:after="0" w:line="240" w:lineRule="auto"/>
        <w:jc w:val="both"/>
        <w:rPr>
          <w:rFonts w:ascii="Times New Roman" w:hAnsi="Times New Roman"/>
          <w:color w:val="000000" w:themeColor="text1"/>
          <w:sz w:val="16"/>
          <w:szCs w:val="16"/>
        </w:rPr>
      </w:pPr>
    </w:p>
    <w:p w14:paraId="621413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в НКО за № 6186 был зарегистрирована Справка, подготовленная Зам. Нач. ГУАС КА би П.Федоровым:</w:t>
      </w:r>
    </w:p>
    <w:p w14:paraId="373128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ВЫПОЛНЕНИИ ЗАВОДАМИ НКАП СССР ПЛАНА ПОСТАВОК САМОЛЕТОВ, ЗАПЧАСТЕЙ и АГРЕГАТОВ за 1-е ПОЛУГОДИЕ 1940 ГОДА.</w:t>
      </w:r>
    </w:p>
    <w:p w14:paraId="73E6C2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 поставок самолетными заводами 1ШП за первое полугодие 1940.года характеризуется следующими Циф</w:t>
      </w:r>
      <w:r w:rsidRPr="00DB5D0D">
        <w:rPr>
          <w:rFonts w:ascii="Times New Roman" w:hAnsi="Times New Roman"/>
          <w:color w:val="000000" w:themeColor="text1"/>
          <w:sz w:val="16"/>
          <w:szCs w:val="16"/>
        </w:rPr>
        <w:softHyphen/>
        <w:t>рами: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4678"/>
        <w:gridCol w:w="1905"/>
        <w:gridCol w:w="1905"/>
        <w:gridCol w:w="1905"/>
      </w:tblGrid>
      <w:tr w:rsidR="007D5DF8" w:rsidRPr="00DB5D0D" w14:paraId="28A13A2D" w14:textId="77777777" w:rsidTr="00E543D0">
        <w:tc>
          <w:tcPr>
            <w:tcW w:w="817" w:type="dxa"/>
            <w:tcBorders>
              <w:top w:val="single" w:sz="12" w:space="0" w:color="auto"/>
            </w:tcBorders>
          </w:tcPr>
          <w:p w14:paraId="76B0D6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4678" w:type="dxa"/>
            <w:tcBorders>
              <w:top w:val="single" w:sz="12" w:space="0" w:color="auto"/>
            </w:tcBorders>
          </w:tcPr>
          <w:p w14:paraId="7928A1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1905" w:type="dxa"/>
            <w:tcBorders>
              <w:top w:val="single" w:sz="12" w:space="0" w:color="auto"/>
            </w:tcBorders>
          </w:tcPr>
          <w:p w14:paraId="26C6F4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Надлежало поставке</w:t>
            </w:r>
          </w:p>
        </w:tc>
        <w:tc>
          <w:tcPr>
            <w:tcW w:w="1905" w:type="dxa"/>
            <w:tcBorders>
              <w:top w:val="single" w:sz="12" w:space="0" w:color="auto"/>
            </w:tcBorders>
          </w:tcPr>
          <w:p w14:paraId="398C61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поставлено</w:t>
            </w:r>
          </w:p>
        </w:tc>
        <w:tc>
          <w:tcPr>
            <w:tcW w:w="1905" w:type="dxa"/>
            <w:tcBorders>
              <w:top w:val="single" w:sz="12" w:space="0" w:color="auto"/>
            </w:tcBorders>
          </w:tcPr>
          <w:p w14:paraId="5972EA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выполнения</w:t>
            </w:r>
          </w:p>
        </w:tc>
      </w:tr>
      <w:tr w:rsidR="007D5DF8" w:rsidRPr="00DB5D0D" w14:paraId="25F2FBA8" w14:textId="77777777" w:rsidTr="00E543D0">
        <w:tc>
          <w:tcPr>
            <w:tcW w:w="817" w:type="dxa"/>
          </w:tcPr>
          <w:p w14:paraId="4C418F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4678" w:type="dxa"/>
          </w:tcPr>
          <w:p w14:paraId="0A2E53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Бомбардировщики.</w:t>
            </w:r>
          </w:p>
        </w:tc>
        <w:tc>
          <w:tcPr>
            <w:tcW w:w="1905" w:type="dxa"/>
          </w:tcPr>
          <w:p w14:paraId="2E33C5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2.460</w:t>
            </w:r>
          </w:p>
        </w:tc>
        <w:tc>
          <w:tcPr>
            <w:tcW w:w="1905" w:type="dxa"/>
          </w:tcPr>
          <w:p w14:paraId="1327D6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1.720</w:t>
            </w:r>
          </w:p>
        </w:tc>
        <w:tc>
          <w:tcPr>
            <w:tcW w:w="1905" w:type="dxa"/>
          </w:tcPr>
          <w:p w14:paraId="7A5EE7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r>
      <w:tr w:rsidR="007D5DF8" w:rsidRPr="00DB5D0D" w14:paraId="471B1BB6" w14:textId="77777777" w:rsidTr="00E543D0">
        <w:tc>
          <w:tcPr>
            <w:tcW w:w="817" w:type="dxa"/>
          </w:tcPr>
          <w:p w14:paraId="75AD30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4678" w:type="dxa"/>
          </w:tcPr>
          <w:p w14:paraId="101E07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Истребители</w:t>
            </w:r>
          </w:p>
        </w:tc>
        <w:tc>
          <w:tcPr>
            <w:tcW w:w="1905" w:type="dxa"/>
          </w:tcPr>
          <w:p w14:paraId="6B130C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2.455</w:t>
            </w:r>
          </w:p>
        </w:tc>
        <w:tc>
          <w:tcPr>
            <w:tcW w:w="1905" w:type="dxa"/>
          </w:tcPr>
          <w:p w14:paraId="54D071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2.153</w:t>
            </w:r>
          </w:p>
        </w:tc>
        <w:tc>
          <w:tcPr>
            <w:tcW w:w="1905" w:type="dxa"/>
          </w:tcPr>
          <w:p w14:paraId="5B96E6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37,7</w:t>
            </w:r>
          </w:p>
        </w:tc>
      </w:tr>
      <w:tr w:rsidR="007D5DF8" w:rsidRPr="00DB5D0D" w14:paraId="24430845" w14:textId="77777777" w:rsidTr="00E543D0">
        <w:tc>
          <w:tcPr>
            <w:tcW w:w="817" w:type="dxa"/>
          </w:tcPr>
          <w:p w14:paraId="7602F1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4678" w:type="dxa"/>
          </w:tcPr>
          <w:p w14:paraId="6A0339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Пассаж.транспорты.</w:t>
            </w:r>
          </w:p>
        </w:tc>
        <w:tc>
          <w:tcPr>
            <w:tcW w:w="1905" w:type="dxa"/>
          </w:tcPr>
          <w:p w14:paraId="18CBC4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905" w:type="dxa"/>
          </w:tcPr>
          <w:p w14:paraId="5C2E36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905" w:type="dxa"/>
          </w:tcPr>
          <w:p w14:paraId="73DDEF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83,3</w:t>
            </w:r>
          </w:p>
        </w:tc>
      </w:tr>
      <w:tr w:rsidR="007D5DF8" w:rsidRPr="00DB5D0D" w14:paraId="23F1CDD2" w14:textId="77777777" w:rsidTr="00E543D0">
        <w:tc>
          <w:tcPr>
            <w:tcW w:w="817" w:type="dxa"/>
            <w:tcBorders>
              <w:bottom w:val="single" w:sz="12" w:space="0" w:color="auto"/>
            </w:tcBorders>
          </w:tcPr>
          <w:p w14:paraId="3AA0F4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4678" w:type="dxa"/>
            <w:tcBorders>
              <w:bottom w:val="single" w:sz="12" w:space="0" w:color="auto"/>
            </w:tcBorders>
          </w:tcPr>
          <w:p w14:paraId="4BBF0D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 бные</w:t>
            </w:r>
          </w:p>
        </w:tc>
        <w:tc>
          <w:tcPr>
            <w:tcW w:w="1905" w:type="dxa"/>
            <w:tcBorders>
              <w:bottom w:val="single" w:sz="12" w:space="0" w:color="auto"/>
            </w:tcBorders>
          </w:tcPr>
          <w:p w14:paraId="7B78E0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527</w:t>
            </w:r>
          </w:p>
        </w:tc>
        <w:tc>
          <w:tcPr>
            <w:tcW w:w="1905" w:type="dxa"/>
            <w:tcBorders>
              <w:bottom w:val="single" w:sz="12" w:space="0" w:color="auto"/>
            </w:tcBorders>
          </w:tcPr>
          <w:p w14:paraId="6755D4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441</w:t>
            </w:r>
          </w:p>
        </w:tc>
        <w:tc>
          <w:tcPr>
            <w:tcW w:w="1905" w:type="dxa"/>
            <w:tcBorders>
              <w:bottom w:val="single" w:sz="12" w:space="0" w:color="auto"/>
            </w:tcBorders>
          </w:tcPr>
          <w:p w14:paraId="62C112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83/7</w:t>
            </w:r>
          </w:p>
        </w:tc>
      </w:tr>
    </w:tbl>
    <w:p w14:paraId="0E71AA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из подлежащих поставке в первом полугодии 5.448 самолетов, фактически поставлено 4.319, что составляет 79,3% планового задания.</w:t>
      </w:r>
    </w:p>
    <w:p w14:paraId="39B67A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18 самолетостроительных заводов НКАП, основными поставщиками является только 4 завода: 1, 18, 21 и 22, которые при задании в 3.880 самолетов, поставили - 3.439 самотетов.</w:t>
      </w:r>
    </w:p>
    <w:p w14:paraId="287D89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Остальные 14 заводов при задании 1.568 самолетов, поставили 880 самолетов. Заводы №№ 207, 31, 292 и 81 поставили только 6 самолетов из 110.</w:t>
      </w:r>
    </w:p>
    <w:p w14:paraId="731C44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Причинами недопоставки самолетов являются:</w:t>
      </w:r>
    </w:p>
    <w:p w14:paraId="1E6BAA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неудовлетворительная работа главных конструкторов по доводке самолетов: ДБ-3Ф, ББ-22, И-16 с М-63; И-153 М-63.</w:t>
      </w:r>
    </w:p>
    <w:p w14:paraId="238ADC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Поставляемые серийные самолеты остаются недоведенными, так:</w:t>
      </w:r>
    </w:p>
    <w:p w14:paraId="2147CB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w:t>
      </w:r>
    </w:p>
    <w:p w14:paraId="5A66FB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открываются бомболюки при выпущенном шасси и во время работы МВ-3. Неотработано управление форсажем мотора, неравномерная выработка горючего из баков.</w:t>
      </w:r>
    </w:p>
    <w:p w14:paraId="3BBAAF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ДБ-3Ф</w:t>
      </w:r>
    </w:p>
    <w:p w14:paraId="03E47E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Разрушение колец НАКА и сопла всасывающего патрубка карбюра, обрыв болтов крепления кока винта.</w:t>
      </w:r>
    </w:p>
    <w:p w14:paraId="6FDEB0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И-16</w:t>
      </w:r>
    </w:p>
    <w:p w14:paraId="4D2B3B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Недоведенностъ винтомоторной группы по температурным режимам, тряска мотоустановок, потомка 5-й точки крепления моторамы, секторов с проводкой управления газом, разрушение колес.</w:t>
      </w:r>
    </w:p>
    <w:p w14:paraId="0EA3DD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И-153</w:t>
      </w:r>
    </w:p>
    <w:p w14:paraId="3F7775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доведенность винтомоторной группы по температурным режимам. Ограниченность самолета в пилотировании, случаи разрушения самолета в воздухе.</w:t>
      </w:r>
    </w:p>
    <w:p w14:paraId="64ECB5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самолеты поставляются с заниженными скоростями.</w:t>
      </w:r>
    </w:p>
    <w:p w14:paraId="68050A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производства, приема серйных самолетов и их эксплоатации, потребовалось проведения ряда дополнительных работ :</w:t>
      </w:r>
    </w:p>
    <w:p w14:paraId="2481C6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а)устанозка стрелковых установок (СБ и ДБ-3);</w:t>
      </w:r>
    </w:p>
    <w:p w14:paraId="21A315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отработка системы заполнения баков нейтральным гаэом (СБ и ДБ-3);</w:t>
      </w:r>
    </w:p>
    <w:p w14:paraId="0878FE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отработка и оборудование подогрева самолетов (СБ, ДБ-3, И-15бис, И-16 и И- 153);</w:t>
      </w:r>
    </w:p>
    <w:p w14:paraId="24D354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г)установка противопожарных перегородок в крыле самолета СБ и т.д.</w:t>
      </w:r>
    </w:p>
    <w:p w14:paraId="5A528A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то, что заводам хорошо была известна необходимость оборудования самолетов проводкой для заполнения бензобаков нейтральным газом и установки на самолет СБ противопожарных перегородок, эта работа заводами была сорвана и только требования войны в Финляндии принудили к частичному прсведению указанных работ.</w:t>
      </w:r>
    </w:p>
    <w:p w14:paraId="2BA136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Недоведенность моторов М-62, М-63, М-104, М-105, М-87, М-88, поставленных самолетным заводам, следствием чего имело место:</w:t>
      </w:r>
    </w:p>
    <w:p w14:paraId="62B29F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неоднократная замена моторов на самолетах в повторными их облётами;</w:t>
      </w:r>
    </w:p>
    <w:p w14:paraId="79A4E8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возврат моторов на моторные заводы для их доводки (моторы М-62, М-63 по втулке главного шатуна, мотор М- 105 по давлению масла и температурным режимам);</w:t>
      </w:r>
    </w:p>
    <w:p w14:paraId="467733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заменять цилиндры на моторах М-87 и М-88 на самолетных заводах по уступам в них.</w:t>
      </w:r>
    </w:p>
    <w:p w14:paraId="65ECD7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Неудовлетворительное снабжение заводов материалами, приборами, агрегатами. Такое положение при плохой увязке в работе между заводами потребителями и поставщиками, приводило к преждевременному поеданию заделов, а частично и к простоям отдельных цехов на самолетных заводах.</w:t>
      </w:r>
    </w:p>
    <w:p w14:paraId="4A209C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 НКАП срывают выполнение постановлений К.О. при СНК Союза ССР: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6986"/>
        <w:gridCol w:w="2696"/>
      </w:tblGrid>
      <w:tr w:rsidR="007D5DF8" w:rsidRPr="00DB5D0D" w14:paraId="53C88779" w14:textId="77777777" w:rsidTr="00E543D0">
        <w:tc>
          <w:tcPr>
            <w:tcW w:w="1526" w:type="dxa"/>
            <w:tcBorders>
              <w:top w:val="single" w:sz="12" w:space="0" w:color="auto"/>
            </w:tcBorders>
          </w:tcPr>
          <w:p w14:paraId="601D2B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постановлений при СНК Союза ССР</w:t>
            </w:r>
          </w:p>
        </w:tc>
        <w:tc>
          <w:tcPr>
            <w:tcW w:w="6986" w:type="dxa"/>
            <w:tcBorders>
              <w:top w:val="single" w:sz="12" w:space="0" w:color="auto"/>
            </w:tcBorders>
          </w:tcPr>
          <w:p w14:paraId="5A0999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Краткое содержание</w:t>
            </w:r>
          </w:p>
        </w:tc>
        <w:tc>
          <w:tcPr>
            <w:tcW w:w="2696" w:type="dxa"/>
            <w:tcBorders>
              <w:top w:val="single" w:sz="12" w:space="0" w:color="auto"/>
            </w:tcBorders>
          </w:tcPr>
          <w:p w14:paraId="3D5DD5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Состояник выполнения</w:t>
            </w:r>
          </w:p>
        </w:tc>
      </w:tr>
      <w:tr w:rsidR="007D5DF8" w:rsidRPr="00DB5D0D" w14:paraId="04852B52" w14:textId="77777777" w:rsidTr="00E543D0">
        <w:tc>
          <w:tcPr>
            <w:tcW w:w="1526" w:type="dxa"/>
          </w:tcPr>
          <w:p w14:paraId="4F0222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23сс от 11.1.40</w:t>
            </w:r>
          </w:p>
        </w:tc>
        <w:tc>
          <w:tcPr>
            <w:tcW w:w="6986" w:type="dxa"/>
          </w:tcPr>
          <w:p w14:paraId="1FF321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поставке самолетов с пулеме</w:t>
            </w:r>
            <w:r w:rsidRPr="00DB5D0D">
              <w:rPr>
                <w:rFonts w:ascii="Times New Roman" w:hAnsi="Times New Roman"/>
                <w:color w:val="000000" w:themeColor="text1"/>
                <w:sz w:val="16"/>
                <w:szCs w:val="16"/>
              </w:rPr>
              <w:softHyphen/>
              <w:t>тами БС (Берззина).</w:t>
            </w:r>
          </w:p>
          <w:p w14:paraId="4D698A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договору, завода № 1 дол</w:t>
            </w:r>
            <w:r w:rsidRPr="00DB5D0D">
              <w:rPr>
                <w:rFonts w:ascii="Times New Roman" w:hAnsi="Times New Roman"/>
                <w:color w:val="000000" w:themeColor="text1"/>
                <w:sz w:val="16"/>
                <w:szCs w:val="16"/>
              </w:rPr>
              <w:softHyphen/>
              <w:t>жен был поставить 66 самолетов, завод № 21 - 30 самолетов.</w:t>
            </w:r>
          </w:p>
        </w:tc>
        <w:tc>
          <w:tcPr>
            <w:tcW w:w="2696" w:type="dxa"/>
          </w:tcPr>
          <w:p w14:paraId="64F6A8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поставлено:</w:t>
            </w:r>
          </w:p>
          <w:p w14:paraId="65AF35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1 - 4 с-та,</w:t>
            </w:r>
          </w:p>
          <w:p w14:paraId="0DAEC3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21 - 0 с-тов</w:t>
            </w:r>
          </w:p>
        </w:tc>
      </w:tr>
      <w:tr w:rsidR="007D5DF8" w:rsidRPr="00DB5D0D" w14:paraId="36425CC8" w14:textId="77777777" w:rsidTr="00E543D0">
        <w:tc>
          <w:tcPr>
            <w:tcW w:w="1526" w:type="dxa"/>
          </w:tcPr>
          <w:p w14:paraId="03DB9D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23сс от 11.1.40</w:t>
            </w:r>
          </w:p>
        </w:tc>
        <w:tc>
          <w:tcPr>
            <w:tcW w:w="6986" w:type="dxa"/>
          </w:tcPr>
          <w:p w14:paraId="1B3D4B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поставке 10 самолетов И-180 (завод № 21)</w:t>
            </w:r>
          </w:p>
        </w:tc>
        <w:tc>
          <w:tcPr>
            <w:tcW w:w="2696" w:type="dxa"/>
          </w:tcPr>
          <w:p w14:paraId="19964E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выполнено.</w:t>
            </w:r>
          </w:p>
        </w:tc>
      </w:tr>
      <w:tr w:rsidR="007D5DF8" w:rsidRPr="00DB5D0D" w14:paraId="0856D087" w14:textId="77777777" w:rsidTr="00E543D0">
        <w:tc>
          <w:tcPr>
            <w:tcW w:w="1526" w:type="dxa"/>
          </w:tcPr>
          <w:p w14:paraId="2AEE3A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23сс от 11.1.40</w:t>
            </w:r>
          </w:p>
        </w:tc>
        <w:tc>
          <w:tcPr>
            <w:tcW w:w="6986" w:type="dxa"/>
          </w:tcPr>
          <w:p w14:paraId="103C87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обеспечении полной взаимозаменимости деталей и агрегатов самолетов, изготавливаемых на нескольких заводах к 1. 17.40 года.</w:t>
            </w:r>
          </w:p>
        </w:tc>
        <w:tc>
          <w:tcPr>
            <w:tcW w:w="2696" w:type="dxa"/>
          </w:tcPr>
          <w:p w14:paraId="7D1ACD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выполнено.</w:t>
            </w:r>
          </w:p>
        </w:tc>
      </w:tr>
      <w:tr w:rsidR="007D5DF8" w:rsidRPr="00DB5D0D" w14:paraId="3BB8FC7F" w14:textId="77777777" w:rsidTr="00E543D0">
        <w:tc>
          <w:tcPr>
            <w:tcW w:w="1526" w:type="dxa"/>
          </w:tcPr>
          <w:p w14:paraId="058A79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23сс от 11.1.40</w:t>
            </w:r>
          </w:p>
        </w:tc>
        <w:tc>
          <w:tcPr>
            <w:tcW w:w="6986" w:type="dxa"/>
          </w:tcPr>
          <w:p w14:paraId="2C610E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поставке с 1.1У. СБ с МВ-3 и ДБ-3 с МВ-3.</w:t>
            </w:r>
          </w:p>
        </w:tc>
        <w:tc>
          <w:tcPr>
            <w:tcW w:w="2696" w:type="dxa"/>
          </w:tcPr>
          <w:p w14:paraId="2280F3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126 не выполняет</w:t>
            </w:r>
          </w:p>
          <w:p w14:paraId="48134E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125 выполняет с опоздангием на 20 самолетов</w:t>
            </w:r>
          </w:p>
          <w:p w14:paraId="27B3E7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39 выполняет с опозданием на месячную программу</w:t>
            </w:r>
          </w:p>
        </w:tc>
      </w:tr>
      <w:tr w:rsidR="007D5DF8" w:rsidRPr="00DB5D0D" w14:paraId="07F1C34B" w14:textId="77777777" w:rsidTr="00E543D0">
        <w:tc>
          <w:tcPr>
            <w:tcW w:w="1526" w:type="dxa"/>
          </w:tcPr>
          <w:p w14:paraId="42BB68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23сс от 11.1.40</w:t>
            </w:r>
          </w:p>
        </w:tc>
        <w:tc>
          <w:tcPr>
            <w:tcW w:w="6986" w:type="dxa"/>
          </w:tcPr>
          <w:p w14:paraId="2AADAA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установлении программы заводу № 135 до 1.УП.40 по самолету ББ-1 в количестве 100 шт. с. тем, чтобы с этого времени перейти на выпуск моди</w:t>
            </w:r>
            <w:r w:rsidRPr="00DB5D0D">
              <w:rPr>
                <w:rFonts w:ascii="Times New Roman" w:hAnsi="Times New Roman"/>
                <w:color w:val="000000" w:themeColor="text1"/>
                <w:sz w:val="16"/>
                <w:szCs w:val="16"/>
              </w:rPr>
              <w:softHyphen/>
              <w:t>фицированного ББ-1 со скоростью не менее 500 км/час.</w:t>
            </w:r>
          </w:p>
        </w:tc>
        <w:tc>
          <w:tcPr>
            <w:tcW w:w="2696" w:type="dxa"/>
          </w:tcPr>
          <w:p w14:paraId="637483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выполнено.</w:t>
            </w:r>
          </w:p>
        </w:tc>
      </w:tr>
      <w:tr w:rsidR="007D5DF8" w:rsidRPr="00DB5D0D" w14:paraId="2AF7104C" w14:textId="77777777" w:rsidTr="00E543D0">
        <w:tc>
          <w:tcPr>
            <w:tcW w:w="1526" w:type="dxa"/>
          </w:tcPr>
          <w:p w14:paraId="60DDC9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41сс, 77, 280сс</w:t>
            </w:r>
          </w:p>
        </w:tc>
        <w:tc>
          <w:tcPr>
            <w:tcW w:w="6986" w:type="dxa"/>
          </w:tcPr>
          <w:p w14:paraId="379A12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перевоожении 750 самолетов И-16 с М-25 на тип 18 с М-62</w:t>
            </w:r>
          </w:p>
        </w:tc>
        <w:tc>
          <w:tcPr>
            <w:tcW w:w="2696" w:type="dxa"/>
          </w:tcPr>
          <w:p w14:paraId="2CB15A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Перевооружено 10 с-тов</w:t>
            </w:r>
          </w:p>
        </w:tc>
      </w:tr>
      <w:tr w:rsidR="007D5DF8" w:rsidRPr="00DB5D0D" w14:paraId="2B3D65DC" w14:textId="77777777" w:rsidTr="00E543D0">
        <w:tc>
          <w:tcPr>
            <w:tcW w:w="1526" w:type="dxa"/>
          </w:tcPr>
          <w:p w14:paraId="633908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77</w:t>
            </w:r>
          </w:p>
        </w:tc>
        <w:tc>
          <w:tcPr>
            <w:tcW w:w="6986" w:type="dxa"/>
          </w:tcPr>
          <w:p w14:paraId="1E138E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поставке самолетов в 1-м полугодии, оборудованных уста</w:t>
            </w:r>
            <w:r w:rsidRPr="00DB5D0D">
              <w:rPr>
                <w:rFonts w:ascii="Times New Roman" w:hAnsi="Times New Roman"/>
                <w:color w:val="000000" w:themeColor="text1"/>
                <w:sz w:val="16"/>
                <w:szCs w:val="16"/>
              </w:rPr>
              <w:softHyphen/>
              <w:t>новками по заполнению бензобаков нейтральным газом.</w:t>
            </w:r>
          </w:p>
        </w:tc>
        <w:tc>
          <w:tcPr>
            <w:tcW w:w="2696" w:type="dxa"/>
          </w:tcPr>
          <w:p w14:paraId="6F4D5D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 №№ 21, 153, 301, 292, 135, 207, 31, 81 не выполняют</w:t>
            </w:r>
          </w:p>
          <w:p w14:paraId="0619EA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22 выполняет не полностью по причине недоработанности системы</w:t>
            </w:r>
          </w:p>
        </w:tc>
      </w:tr>
      <w:tr w:rsidR="007D5DF8" w:rsidRPr="00DB5D0D" w14:paraId="390528E4" w14:textId="77777777" w:rsidTr="00E543D0">
        <w:tc>
          <w:tcPr>
            <w:tcW w:w="1526" w:type="dxa"/>
          </w:tcPr>
          <w:p w14:paraId="6D7968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183cc от 27/04/40</w:t>
            </w:r>
          </w:p>
        </w:tc>
        <w:tc>
          <w:tcPr>
            <w:tcW w:w="6986" w:type="dxa"/>
          </w:tcPr>
          <w:p w14:paraId="659812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установке на самолетах СБ а ДБ-3 РПК-2</w:t>
            </w:r>
          </w:p>
        </w:tc>
        <w:tc>
          <w:tcPr>
            <w:tcW w:w="2696" w:type="dxa"/>
          </w:tcPr>
          <w:p w14:paraId="161184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 №№ 125 и 126 не выполняют.</w:t>
            </w:r>
          </w:p>
        </w:tc>
      </w:tr>
      <w:tr w:rsidR="007D5DF8" w:rsidRPr="00DB5D0D" w14:paraId="0C4C31C4" w14:textId="77777777" w:rsidTr="00E543D0">
        <w:tc>
          <w:tcPr>
            <w:tcW w:w="1526" w:type="dxa"/>
          </w:tcPr>
          <w:p w14:paraId="15FE98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220 от 13.05.40</w:t>
            </w:r>
          </w:p>
        </w:tc>
        <w:tc>
          <w:tcPr>
            <w:tcW w:w="6986" w:type="dxa"/>
          </w:tcPr>
          <w:p w14:paraId="631C3A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введения новой окраски самолетов с 25.7.40 г.</w:t>
            </w:r>
          </w:p>
        </w:tc>
        <w:tc>
          <w:tcPr>
            <w:tcW w:w="2696" w:type="dxa"/>
          </w:tcPr>
          <w:p w14:paraId="4CEF1D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 №№ 18, 125, 126 и 21 не выполняют.</w:t>
            </w:r>
          </w:p>
        </w:tc>
      </w:tr>
      <w:tr w:rsidR="007D5DF8" w:rsidRPr="00DB5D0D" w14:paraId="7F0928BE" w14:textId="77777777" w:rsidTr="00E543D0">
        <w:tc>
          <w:tcPr>
            <w:tcW w:w="1526" w:type="dxa"/>
          </w:tcPr>
          <w:p w14:paraId="621DD3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77сс</w:t>
            </w:r>
          </w:p>
        </w:tc>
        <w:tc>
          <w:tcPr>
            <w:tcW w:w="6986" w:type="dxa"/>
          </w:tcPr>
          <w:p w14:paraId="2D437D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поставке 120 самолетов УТИ-4 (завод № 21).</w:t>
            </w:r>
          </w:p>
        </w:tc>
        <w:tc>
          <w:tcPr>
            <w:tcW w:w="2696" w:type="dxa"/>
          </w:tcPr>
          <w:p w14:paraId="1122CC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поставлено на 1.УП. 25 штук.</w:t>
            </w:r>
          </w:p>
        </w:tc>
      </w:tr>
      <w:tr w:rsidR="007D5DF8" w:rsidRPr="00DB5D0D" w14:paraId="2BA5DB55" w14:textId="77777777" w:rsidTr="00E543D0">
        <w:tc>
          <w:tcPr>
            <w:tcW w:w="1526" w:type="dxa"/>
          </w:tcPr>
          <w:p w14:paraId="1D6CF5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77сс</w:t>
            </w:r>
          </w:p>
        </w:tc>
        <w:tc>
          <w:tcPr>
            <w:tcW w:w="6986" w:type="dxa"/>
          </w:tcPr>
          <w:p w14:paraId="7808F4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поставке 290 самолетов И-16 тип 28 (пушечный вариант) завод № 21</w:t>
            </w:r>
          </w:p>
        </w:tc>
        <w:tc>
          <w:tcPr>
            <w:tcW w:w="2696" w:type="dxa"/>
          </w:tcPr>
          <w:p w14:paraId="0A9906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поставлено 183 самолета</w:t>
            </w:r>
          </w:p>
        </w:tc>
      </w:tr>
      <w:tr w:rsidR="007D5DF8" w:rsidRPr="00DB5D0D" w14:paraId="6CCC885B" w14:textId="77777777" w:rsidTr="00E543D0">
        <w:tc>
          <w:tcPr>
            <w:tcW w:w="1526" w:type="dxa"/>
          </w:tcPr>
          <w:p w14:paraId="14DC19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23сс</w:t>
            </w:r>
          </w:p>
        </w:tc>
        <w:tc>
          <w:tcPr>
            <w:tcW w:w="6986" w:type="dxa"/>
          </w:tcPr>
          <w:p w14:paraId="5ADC89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поставке в 1940 году 650 с-тов И-16 с РС с завода № 21</w:t>
            </w:r>
          </w:p>
        </w:tc>
        <w:tc>
          <w:tcPr>
            <w:tcW w:w="2696" w:type="dxa"/>
          </w:tcPr>
          <w:p w14:paraId="59A011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поставлено 78 самолетов, против договора 150 самолетов</w:t>
            </w:r>
          </w:p>
        </w:tc>
      </w:tr>
      <w:tr w:rsidR="007D5DF8" w:rsidRPr="00DB5D0D" w14:paraId="2795B43A" w14:textId="77777777" w:rsidTr="00E543D0">
        <w:tc>
          <w:tcPr>
            <w:tcW w:w="1526" w:type="dxa"/>
          </w:tcPr>
          <w:p w14:paraId="7D980C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986" w:type="dxa"/>
          </w:tcPr>
          <w:p w14:paraId="4D36F8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вновь внедренным объектам</w:t>
            </w:r>
          </w:p>
        </w:tc>
        <w:tc>
          <w:tcPr>
            <w:tcW w:w="2696" w:type="dxa"/>
          </w:tcPr>
          <w:p w14:paraId="50DC1EC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C5B1359" w14:textId="77777777" w:rsidTr="00E543D0">
        <w:tc>
          <w:tcPr>
            <w:tcW w:w="1526" w:type="dxa"/>
          </w:tcPr>
          <w:p w14:paraId="352FD9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77сс</w:t>
            </w:r>
          </w:p>
        </w:tc>
        <w:tc>
          <w:tcPr>
            <w:tcW w:w="6986" w:type="dxa"/>
          </w:tcPr>
          <w:p w14:paraId="07AB97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поставке 25 самолетов И-26 конструкции т. Яковлева (завод № 301)</w:t>
            </w:r>
          </w:p>
        </w:tc>
        <w:tc>
          <w:tcPr>
            <w:tcW w:w="2696" w:type="dxa"/>
          </w:tcPr>
          <w:p w14:paraId="5CEC32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выполнено.</w:t>
            </w:r>
          </w:p>
        </w:tc>
      </w:tr>
      <w:tr w:rsidR="007D5DF8" w:rsidRPr="00DB5D0D" w14:paraId="2DA01395" w14:textId="77777777" w:rsidTr="00E543D0">
        <w:tc>
          <w:tcPr>
            <w:tcW w:w="1526" w:type="dxa"/>
            <w:tcBorders>
              <w:bottom w:val="single" w:sz="12" w:space="0" w:color="auto"/>
            </w:tcBorders>
          </w:tcPr>
          <w:p w14:paraId="7D0220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224 от 25.05.40</w:t>
            </w:r>
          </w:p>
        </w:tc>
        <w:tc>
          <w:tcPr>
            <w:tcW w:w="6986" w:type="dxa"/>
            <w:tcBorders>
              <w:bottom w:val="single" w:sz="12" w:space="0" w:color="auto"/>
            </w:tcBorders>
          </w:tcPr>
          <w:p w14:paraId="55B573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передаче на госиспытания самолета И-200 к 10.04.40</w:t>
            </w:r>
          </w:p>
        </w:tc>
        <w:tc>
          <w:tcPr>
            <w:tcW w:w="2696" w:type="dxa"/>
            <w:tcBorders>
              <w:bottom w:val="single" w:sz="12" w:space="0" w:color="auto"/>
            </w:tcBorders>
          </w:tcPr>
          <w:p w14:paraId="2D2CE0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выполнено.</w:t>
            </w:r>
          </w:p>
        </w:tc>
      </w:tr>
    </w:tbl>
    <w:p w14:paraId="711C05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Заводами НКАП не выполняются также и обязательства по оборудованию и модификации самолетов:</w:t>
      </w:r>
    </w:p>
    <w:p w14:paraId="5B12DA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Сорвано внедрение в серийное производство пневмопусков на самолета И-153 и И-16</w:t>
      </w:r>
    </w:p>
    <w:p w14:paraId="7D47BA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 отработаны температурные режимы винтомоторной группы на самолетах И-153, И-16, ББ-1</w:t>
      </w:r>
    </w:p>
    <w:p w14:paraId="43B93A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Срывается поставка 20 само етов И-153 с ТК (завод № 1).</w:t>
      </w:r>
    </w:p>
    <w:p w14:paraId="341269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Сорвано изготовление 15 самолетов И- 153, 15 самолетов И-16 с козырьками из прозрачной брони.</w:t>
      </w:r>
    </w:p>
    <w:p w14:paraId="41728D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Не проводитсязамена винтов фиксированного шага на винты АВ-1 в частях ВВС Красной Армии (завод № 1).</w:t>
      </w:r>
    </w:p>
    <w:p w14:paraId="62B7F7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Серийные самолеты, несмотря на их значительный количественнный выпуск, являются недоведенными:</w:t>
      </w:r>
    </w:p>
    <w:p w14:paraId="469DC7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И-153, выпускаемый с мотором М-63, не доведен по температурным режимам, не изучен на штопор, не выявлены причины разрушения в полете коробки крыльев самолета.</w:t>
      </w:r>
    </w:p>
    <w:p w14:paraId="2E0144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И-16 выпускается с 1935 года. Имеет слабый узел 5-й точки крепления моторамы, винтомоторная группа не доведена по темтературным режимам.</w:t>
      </w:r>
    </w:p>
    <w:p w14:paraId="01B4C0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Самолет СБ выпускается с 1936 года. Имеет недоработку в открытия бомболюков при выпущенном шасси и при работе стрелковой установки МВ-2 и МВ-3.</w:t>
      </w:r>
    </w:p>
    <w:p w14:paraId="0E47AB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Большое количество работ, проводимых бригадами заводов на основании рекламаций по доводке, устранению дефектов и модернизации самолетов, говорит о низком качестве поставляемой продукции. Доводку самолетов в частях ВВС проводится неудовлетворительно при большом сопротивлении со стороны заводов и особенно, заводов №№ 126 (самолет ДБ-3), завод № 125 (самояет СБ), завод. № 21 (самолет И-16), завод № 22 (самолет СБ).</w:t>
      </w:r>
    </w:p>
    <w:p w14:paraId="6E7FE9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ЗАПЧАСТИ и АГРЕГАТЫ.</w:t>
      </w:r>
    </w:p>
    <w:p w14:paraId="3C24E4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15.71.40 г. заводами НКАП поставлено запасных частей на сумму 34.614.382 рубля, при задании на 1-е полугодие в 31.500.000 рубл. (109,7%); подвесных баков было поставлено 12.090 иг. при задании 17.860 шт., и агрегатов поставлено на сумму 36.000.000 рублей, вместо запланированных 30.000.000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3035"/>
        <w:gridCol w:w="2452"/>
        <w:gridCol w:w="2452"/>
        <w:gridCol w:w="2452"/>
      </w:tblGrid>
      <w:tr w:rsidR="007D5DF8" w:rsidRPr="00DB5D0D" w14:paraId="3F46F0DC" w14:textId="77777777" w:rsidTr="00E543D0">
        <w:tc>
          <w:tcPr>
            <w:tcW w:w="817" w:type="dxa"/>
            <w:tcBorders>
              <w:top w:val="single" w:sz="12" w:space="0" w:color="auto"/>
            </w:tcBorders>
          </w:tcPr>
          <w:p w14:paraId="6E6AFD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3035" w:type="dxa"/>
            <w:tcBorders>
              <w:top w:val="single" w:sz="12" w:space="0" w:color="auto"/>
            </w:tcBorders>
          </w:tcPr>
          <w:p w14:paraId="1986D8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Поставка запчастей по типам самолетов</w:t>
            </w:r>
          </w:p>
        </w:tc>
        <w:tc>
          <w:tcPr>
            <w:tcW w:w="2452" w:type="dxa"/>
            <w:tcBorders>
              <w:top w:val="single" w:sz="12" w:space="0" w:color="auto"/>
            </w:tcBorders>
          </w:tcPr>
          <w:p w14:paraId="6519D5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Подлежит поставке к 1.УП.</w:t>
            </w:r>
          </w:p>
        </w:tc>
        <w:tc>
          <w:tcPr>
            <w:tcW w:w="2452" w:type="dxa"/>
            <w:tcBorders>
              <w:top w:val="single" w:sz="12" w:space="0" w:color="auto"/>
            </w:tcBorders>
          </w:tcPr>
          <w:p w14:paraId="2B1D13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поставлено</w:t>
            </w:r>
          </w:p>
        </w:tc>
        <w:tc>
          <w:tcPr>
            <w:tcW w:w="2452" w:type="dxa"/>
            <w:tcBorders>
              <w:top w:val="single" w:sz="12" w:space="0" w:color="auto"/>
            </w:tcBorders>
          </w:tcPr>
          <w:p w14:paraId="1588E1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 вы</w:t>
            </w:r>
            <w:r w:rsidRPr="00DB5D0D">
              <w:rPr>
                <w:rFonts w:ascii="Times New Roman" w:hAnsi="Times New Roman"/>
                <w:color w:val="000000" w:themeColor="text1"/>
                <w:sz w:val="16"/>
                <w:szCs w:val="16"/>
              </w:rPr>
              <w:softHyphen/>
              <w:t>полнения</w:t>
            </w:r>
          </w:p>
        </w:tc>
      </w:tr>
      <w:tr w:rsidR="007D5DF8" w:rsidRPr="00DB5D0D" w14:paraId="503E857A" w14:textId="77777777" w:rsidTr="00E543D0">
        <w:tc>
          <w:tcPr>
            <w:tcW w:w="817" w:type="dxa"/>
          </w:tcPr>
          <w:p w14:paraId="1F92EC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3035" w:type="dxa"/>
          </w:tcPr>
          <w:p w14:paraId="627B8C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Бомбардировщики</w:t>
            </w:r>
          </w:p>
        </w:tc>
        <w:tc>
          <w:tcPr>
            <w:tcW w:w="2452" w:type="dxa"/>
          </w:tcPr>
          <w:p w14:paraId="38D3C5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11615800</w:t>
            </w:r>
          </w:p>
        </w:tc>
        <w:tc>
          <w:tcPr>
            <w:tcW w:w="2452" w:type="dxa"/>
          </w:tcPr>
          <w:p w14:paraId="2F4B62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11977567</w:t>
            </w:r>
          </w:p>
        </w:tc>
        <w:tc>
          <w:tcPr>
            <w:tcW w:w="2452" w:type="dxa"/>
          </w:tcPr>
          <w:p w14:paraId="79FBE9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103,1</w:t>
            </w:r>
          </w:p>
        </w:tc>
      </w:tr>
      <w:tr w:rsidR="007D5DF8" w:rsidRPr="00DB5D0D" w14:paraId="3A24DD54" w14:textId="77777777" w:rsidTr="00E543D0">
        <w:tc>
          <w:tcPr>
            <w:tcW w:w="817" w:type="dxa"/>
          </w:tcPr>
          <w:p w14:paraId="099377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3035" w:type="dxa"/>
          </w:tcPr>
          <w:p w14:paraId="796DB5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Истребители</w:t>
            </w:r>
          </w:p>
        </w:tc>
        <w:tc>
          <w:tcPr>
            <w:tcW w:w="2452" w:type="dxa"/>
          </w:tcPr>
          <w:p w14:paraId="00D0B6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13045941</w:t>
            </w:r>
          </w:p>
        </w:tc>
        <w:tc>
          <w:tcPr>
            <w:tcW w:w="2452" w:type="dxa"/>
          </w:tcPr>
          <w:p w14:paraId="61E59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17404215</w:t>
            </w:r>
          </w:p>
        </w:tc>
        <w:tc>
          <w:tcPr>
            <w:tcW w:w="2452" w:type="dxa"/>
          </w:tcPr>
          <w:p w14:paraId="3EE389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133,0</w:t>
            </w:r>
          </w:p>
        </w:tc>
      </w:tr>
      <w:tr w:rsidR="007D5DF8" w:rsidRPr="00DB5D0D" w14:paraId="52146EE7" w14:textId="77777777" w:rsidTr="00E543D0">
        <w:tc>
          <w:tcPr>
            <w:tcW w:w="817" w:type="dxa"/>
          </w:tcPr>
          <w:p w14:paraId="334BBD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3035" w:type="dxa"/>
          </w:tcPr>
          <w:p w14:paraId="7BB3A2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Учебные</w:t>
            </w:r>
          </w:p>
        </w:tc>
        <w:tc>
          <w:tcPr>
            <w:tcW w:w="2452" w:type="dxa"/>
          </w:tcPr>
          <w:p w14:paraId="356D6E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2443759</w:t>
            </w:r>
          </w:p>
        </w:tc>
        <w:tc>
          <w:tcPr>
            <w:tcW w:w="2452" w:type="dxa"/>
          </w:tcPr>
          <w:p w14:paraId="42297D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1303800</w:t>
            </w:r>
          </w:p>
        </w:tc>
        <w:tc>
          <w:tcPr>
            <w:tcW w:w="2452" w:type="dxa"/>
          </w:tcPr>
          <w:p w14:paraId="4CCC3B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53,5</w:t>
            </w:r>
          </w:p>
        </w:tc>
      </w:tr>
      <w:tr w:rsidR="007D5DF8" w:rsidRPr="00DB5D0D" w14:paraId="5BFFAE45" w14:textId="77777777" w:rsidTr="00E543D0">
        <w:tc>
          <w:tcPr>
            <w:tcW w:w="817" w:type="dxa"/>
            <w:tcBorders>
              <w:bottom w:val="single" w:sz="12" w:space="0" w:color="auto"/>
            </w:tcBorders>
          </w:tcPr>
          <w:p w14:paraId="74EF6A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3035" w:type="dxa"/>
            <w:tcBorders>
              <w:bottom w:val="single" w:sz="12" w:space="0" w:color="auto"/>
            </w:tcBorders>
          </w:tcPr>
          <w:p w14:paraId="1FE821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Разведчики</w:t>
            </w:r>
          </w:p>
        </w:tc>
        <w:tc>
          <w:tcPr>
            <w:tcW w:w="2452" w:type="dxa"/>
            <w:tcBorders>
              <w:bottom w:val="single" w:sz="12" w:space="0" w:color="auto"/>
            </w:tcBorders>
          </w:tcPr>
          <w:p w14:paraId="276AA6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4394500</w:t>
            </w:r>
          </w:p>
        </w:tc>
        <w:tc>
          <w:tcPr>
            <w:tcW w:w="2452" w:type="dxa"/>
            <w:tcBorders>
              <w:bottom w:val="single" w:sz="12" w:space="0" w:color="auto"/>
            </w:tcBorders>
          </w:tcPr>
          <w:p w14:paraId="417B38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3923800</w:t>
            </w:r>
          </w:p>
        </w:tc>
        <w:tc>
          <w:tcPr>
            <w:tcW w:w="2452" w:type="dxa"/>
            <w:tcBorders>
              <w:bottom w:val="single" w:sz="12" w:space="0" w:color="auto"/>
            </w:tcBorders>
          </w:tcPr>
          <w:p w14:paraId="2F3D41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bl>
    <w:p w14:paraId="7ACD71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Ведущими заводами по поставке запасных частей (а также как и самолетов) являются заводы №№ 1, 21, 22 и 18, которые поставили россыпи на суму 26.730.640 рублей, при задании на сумму 20.430.500 рублей, что составляет 130% выполнения плана заказа. Остальные 20 заводов поставили россыпи на 7.383.742 рубля при задании в 11.069.500 рублей, что состав</w:t>
      </w:r>
      <w:r w:rsidRPr="00DB5D0D">
        <w:rPr>
          <w:rFonts w:ascii="Times New Roman" w:hAnsi="Times New Roman"/>
          <w:color w:val="000000" w:themeColor="text1"/>
          <w:sz w:val="16"/>
          <w:szCs w:val="16"/>
        </w:rPr>
        <w:softHyphen/>
        <w:t>ляет 74,3% выполнения плана заказа, а заводы №№ 153, 23 (по УТ-2) при задании на сумму7.960.000 рубл. фактячески ничего зе поставили.</w:t>
      </w:r>
    </w:p>
    <w:p w14:paraId="369551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высокий процент поставки запчастей для бомбардировщиков 103,1 % и для истребителей 133 %, общее состояние поставки запасных частей находится в совершенно неудовлетворительном состоянии. Особо неудовлетворительно обстоит доставка запасных частей для самолетов, снятых с серийного производства: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7D5DF8" w:rsidRPr="00DB5D0D" w14:paraId="3BAF4AD0" w14:textId="77777777" w:rsidTr="00E543D0">
        <w:tc>
          <w:tcPr>
            <w:tcW w:w="1868" w:type="dxa"/>
            <w:tcBorders>
              <w:top w:val="single" w:sz="12" w:space="0" w:color="auto"/>
            </w:tcBorders>
          </w:tcPr>
          <w:p w14:paraId="195405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заводов</w:t>
            </w:r>
          </w:p>
        </w:tc>
        <w:tc>
          <w:tcPr>
            <w:tcW w:w="1868" w:type="dxa"/>
            <w:tcBorders>
              <w:top w:val="single" w:sz="12" w:space="0" w:color="auto"/>
            </w:tcBorders>
          </w:tcPr>
          <w:p w14:paraId="47533B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самолета</w:t>
            </w:r>
          </w:p>
        </w:tc>
        <w:tc>
          <w:tcPr>
            <w:tcW w:w="1868" w:type="dxa"/>
            <w:tcBorders>
              <w:top w:val="single" w:sz="12" w:space="0" w:color="auto"/>
            </w:tcBorders>
          </w:tcPr>
          <w:p w14:paraId="5F277D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Подлежит поставке</w:t>
            </w:r>
          </w:p>
        </w:tc>
        <w:tc>
          <w:tcPr>
            <w:tcW w:w="1868" w:type="dxa"/>
            <w:tcBorders>
              <w:top w:val="single" w:sz="12" w:space="0" w:color="auto"/>
            </w:tcBorders>
          </w:tcPr>
          <w:p w14:paraId="0918C2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поставлено</w:t>
            </w:r>
          </w:p>
        </w:tc>
        <w:tc>
          <w:tcPr>
            <w:tcW w:w="1868" w:type="dxa"/>
            <w:tcBorders>
              <w:top w:val="single" w:sz="12" w:space="0" w:color="auto"/>
            </w:tcBorders>
          </w:tcPr>
          <w:p w14:paraId="15DC2B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выполнения</w:t>
            </w:r>
          </w:p>
        </w:tc>
        <w:tc>
          <w:tcPr>
            <w:tcW w:w="1868" w:type="dxa"/>
            <w:tcBorders>
              <w:top w:val="single" w:sz="12" w:space="0" w:color="auto"/>
            </w:tcBorders>
          </w:tcPr>
          <w:p w14:paraId="3A7BD5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tc>
      </w:tr>
      <w:tr w:rsidR="007D5DF8" w:rsidRPr="00DB5D0D" w14:paraId="083C3422" w14:textId="77777777" w:rsidTr="00E543D0">
        <w:tc>
          <w:tcPr>
            <w:tcW w:w="1868" w:type="dxa"/>
          </w:tcPr>
          <w:p w14:paraId="4ED5F1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868" w:type="dxa"/>
          </w:tcPr>
          <w:p w14:paraId="00997A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ТБ-3</w:t>
            </w:r>
          </w:p>
        </w:tc>
        <w:tc>
          <w:tcPr>
            <w:tcW w:w="1868" w:type="dxa"/>
          </w:tcPr>
          <w:p w14:paraId="1B0C4B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2520000</w:t>
            </w:r>
          </w:p>
        </w:tc>
        <w:tc>
          <w:tcPr>
            <w:tcW w:w="1868" w:type="dxa"/>
          </w:tcPr>
          <w:p w14:paraId="41ADE3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536153</w:t>
            </w:r>
          </w:p>
        </w:tc>
        <w:tc>
          <w:tcPr>
            <w:tcW w:w="1868" w:type="dxa"/>
          </w:tcPr>
          <w:p w14:paraId="47009A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21,2</w:t>
            </w:r>
          </w:p>
        </w:tc>
        <w:tc>
          <w:tcPr>
            <w:tcW w:w="1868" w:type="dxa"/>
          </w:tcPr>
          <w:p w14:paraId="7D2ED20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0F2E9C2" w14:textId="77777777" w:rsidTr="00E543D0">
        <w:tc>
          <w:tcPr>
            <w:tcW w:w="1868" w:type="dxa"/>
          </w:tcPr>
          <w:p w14:paraId="08A8AA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868" w:type="dxa"/>
          </w:tcPr>
          <w:p w14:paraId="49B072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 бис</w:t>
            </w:r>
          </w:p>
        </w:tc>
        <w:tc>
          <w:tcPr>
            <w:tcW w:w="1868" w:type="dxa"/>
          </w:tcPr>
          <w:p w14:paraId="111AD1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2353400</w:t>
            </w:r>
          </w:p>
        </w:tc>
        <w:tc>
          <w:tcPr>
            <w:tcW w:w="1868" w:type="dxa"/>
          </w:tcPr>
          <w:p w14:paraId="4CE59D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1860268</w:t>
            </w:r>
          </w:p>
        </w:tc>
        <w:tc>
          <w:tcPr>
            <w:tcW w:w="1868" w:type="dxa"/>
          </w:tcPr>
          <w:p w14:paraId="1FD2A0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79,1</w:t>
            </w:r>
          </w:p>
        </w:tc>
        <w:tc>
          <w:tcPr>
            <w:tcW w:w="1868" w:type="dxa"/>
          </w:tcPr>
          <w:p w14:paraId="6E612C7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BD1C66F" w14:textId="77777777" w:rsidTr="00E543D0">
        <w:tc>
          <w:tcPr>
            <w:tcW w:w="1868" w:type="dxa"/>
          </w:tcPr>
          <w:p w14:paraId="21FE70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1868" w:type="dxa"/>
          </w:tcPr>
          <w:p w14:paraId="393FD9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 бис</w:t>
            </w:r>
          </w:p>
        </w:tc>
        <w:tc>
          <w:tcPr>
            <w:tcW w:w="1868" w:type="dxa"/>
          </w:tcPr>
          <w:p w14:paraId="6199C1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939850</w:t>
            </w:r>
          </w:p>
        </w:tc>
        <w:tc>
          <w:tcPr>
            <w:tcW w:w="1868" w:type="dxa"/>
          </w:tcPr>
          <w:p w14:paraId="62A902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289500</w:t>
            </w:r>
          </w:p>
        </w:tc>
        <w:tc>
          <w:tcPr>
            <w:tcW w:w="1868" w:type="dxa"/>
          </w:tcPr>
          <w:p w14:paraId="08D519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w:t>
            </w:r>
          </w:p>
        </w:tc>
        <w:tc>
          <w:tcPr>
            <w:tcW w:w="1868" w:type="dxa"/>
          </w:tcPr>
          <w:p w14:paraId="723D116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F39A290" w14:textId="77777777" w:rsidTr="00E543D0">
        <w:tc>
          <w:tcPr>
            <w:tcW w:w="1868" w:type="dxa"/>
          </w:tcPr>
          <w:p w14:paraId="29B649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w:t>
            </w:r>
          </w:p>
        </w:tc>
        <w:tc>
          <w:tcPr>
            <w:tcW w:w="1868" w:type="dxa"/>
          </w:tcPr>
          <w:p w14:paraId="512897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w:t>
            </w:r>
          </w:p>
        </w:tc>
        <w:tc>
          <w:tcPr>
            <w:tcW w:w="1868" w:type="dxa"/>
          </w:tcPr>
          <w:p w14:paraId="1D4BBD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237300</w:t>
            </w:r>
          </w:p>
        </w:tc>
        <w:tc>
          <w:tcPr>
            <w:tcW w:w="1868" w:type="dxa"/>
          </w:tcPr>
          <w:p w14:paraId="7DBAE5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25900</w:t>
            </w:r>
          </w:p>
        </w:tc>
        <w:tc>
          <w:tcPr>
            <w:tcW w:w="1868" w:type="dxa"/>
          </w:tcPr>
          <w:p w14:paraId="060765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w:t>
            </w:r>
          </w:p>
        </w:tc>
        <w:tc>
          <w:tcPr>
            <w:tcW w:w="1868" w:type="dxa"/>
          </w:tcPr>
          <w:p w14:paraId="64C89C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Серийные самолеты</w:t>
            </w:r>
          </w:p>
        </w:tc>
      </w:tr>
      <w:tr w:rsidR="007D5DF8" w:rsidRPr="00DB5D0D" w14:paraId="57D0455C" w14:textId="77777777" w:rsidTr="00E543D0">
        <w:tc>
          <w:tcPr>
            <w:tcW w:w="1868" w:type="dxa"/>
            <w:tcBorders>
              <w:bottom w:val="single" w:sz="12" w:space="0" w:color="auto"/>
            </w:tcBorders>
          </w:tcPr>
          <w:p w14:paraId="611E66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1868" w:type="dxa"/>
            <w:tcBorders>
              <w:bottom w:val="single" w:sz="12" w:space="0" w:color="auto"/>
            </w:tcBorders>
          </w:tcPr>
          <w:p w14:paraId="664C1D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w:t>
            </w:r>
          </w:p>
        </w:tc>
        <w:tc>
          <w:tcPr>
            <w:tcW w:w="1868" w:type="dxa"/>
            <w:tcBorders>
              <w:bottom w:val="single" w:sz="12" w:space="0" w:color="auto"/>
            </w:tcBorders>
          </w:tcPr>
          <w:p w14:paraId="111AFA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770000</w:t>
            </w:r>
          </w:p>
        </w:tc>
        <w:tc>
          <w:tcPr>
            <w:tcW w:w="1868" w:type="dxa"/>
            <w:tcBorders>
              <w:bottom w:val="single" w:sz="12" w:space="0" w:color="auto"/>
            </w:tcBorders>
          </w:tcPr>
          <w:p w14:paraId="52FD18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192810</w:t>
            </w:r>
          </w:p>
        </w:tc>
        <w:tc>
          <w:tcPr>
            <w:tcW w:w="1868" w:type="dxa"/>
            <w:tcBorders>
              <w:bottom w:val="single" w:sz="12" w:space="0" w:color="auto"/>
            </w:tcBorders>
          </w:tcPr>
          <w:p w14:paraId="529518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w:t>
            </w:r>
          </w:p>
        </w:tc>
        <w:tc>
          <w:tcPr>
            <w:tcW w:w="1868" w:type="dxa"/>
            <w:tcBorders>
              <w:bottom w:val="single" w:sz="12" w:space="0" w:color="auto"/>
            </w:tcBorders>
          </w:tcPr>
          <w:p w14:paraId="3CE5D2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Серийные самолеты</w:t>
            </w:r>
          </w:p>
        </w:tc>
      </w:tr>
    </w:tbl>
    <w:p w14:paraId="6C01C6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Существующее положение с поставкой запчастей поставило под угрозу срыва ремонта старой материальной части.</w:t>
      </w:r>
    </w:p>
    <w:p w14:paraId="1B3060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Положение с ремонтом самолетного парка усугубляется в связи с тем, что в ближайшее время значительные мощности самолегных заводов будут использованы на производство, внедряемых новых типов самолетов, как-то: И-26, И-200, И- 100, ДБ-240.</w:t>
      </w:r>
    </w:p>
    <w:p w14:paraId="29E74D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Г Р Е Г А Т Ы</w:t>
      </w:r>
    </w:p>
    <w:p w14:paraId="29982A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заказа 1-го полугодия 1940 года по агрегатам по состоя</w:t>
      </w:r>
      <w:r w:rsidRPr="00DB5D0D">
        <w:rPr>
          <w:rFonts w:ascii="Times New Roman" w:hAnsi="Times New Roman"/>
          <w:color w:val="000000" w:themeColor="text1"/>
          <w:sz w:val="16"/>
          <w:szCs w:val="16"/>
        </w:rPr>
        <w:softHyphen/>
        <w:t>ния на 23.У1.40 года выполнен заводами НКАП на 99%,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686"/>
        <w:gridCol w:w="2094"/>
        <w:gridCol w:w="2094"/>
        <w:gridCol w:w="2094"/>
      </w:tblGrid>
      <w:tr w:rsidR="007D5DF8" w:rsidRPr="00DB5D0D" w14:paraId="3F585E15" w14:textId="77777777" w:rsidTr="00E543D0">
        <w:tc>
          <w:tcPr>
            <w:tcW w:w="2242" w:type="dxa"/>
            <w:tcBorders>
              <w:top w:val="single" w:sz="12" w:space="0" w:color="auto"/>
            </w:tcBorders>
          </w:tcPr>
          <w:p w14:paraId="4DAE63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заводов</w:t>
            </w:r>
          </w:p>
        </w:tc>
        <w:tc>
          <w:tcPr>
            <w:tcW w:w="2686" w:type="dxa"/>
            <w:tcBorders>
              <w:top w:val="single" w:sz="12" w:space="0" w:color="auto"/>
            </w:tcBorders>
          </w:tcPr>
          <w:p w14:paraId="361F56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изделий.</w:t>
            </w:r>
          </w:p>
        </w:tc>
        <w:tc>
          <w:tcPr>
            <w:tcW w:w="2094" w:type="dxa"/>
            <w:tcBorders>
              <w:top w:val="single" w:sz="12" w:space="0" w:color="auto"/>
            </w:tcBorders>
          </w:tcPr>
          <w:p w14:paraId="6B33B8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поставки на 1.УП.</w:t>
            </w:r>
          </w:p>
        </w:tc>
        <w:tc>
          <w:tcPr>
            <w:tcW w:w="2094" w:type="dxa"/>
            <w:tcBorders>
              <w:top w:val="single" w:sz="12" w:space="0" w:color="auto"/>
            </w:tcBorders>
          </w:tcPr>
          <w:p w14:paraId="3A44CE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 Поставлено на 15.У1</w:t>
            </w:r>
          </w:p>
        </w:tc>
        <w:tc>
          <w:tcPr>
            <w:tcW w:w="2094" w:type="dxa"/>
            <w:tcBorders>
              <w:top w:val="single" w:sz="12" w:space="0" w:color="auto"/>
            </w:tcBorders>
          </w:tcPr>
          <w:p w14:paraId="7CC57C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выполнения</w:t>
            </w:r>
          </w:p>
        </w:tc>
      </w:tr>
      <w:tr w:rsidR="007D5DF8" w:rsidRPr="00DB5D0D" w14:paraId="455A0C9E" w14:textId="77777777" w:rsidTr="00E543D0">
        <w:tc>
          <w:tcPr>
            <w:tcW w:w="2242" w:type="dxa"/>
          </w:tcPr>
          <w:p w14:paraId="3C1E2E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2686" w:type="dxa"/>
          </w:tcPr>
          <w:p w14:paraId="6CF4AE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Колеса с-га</w:t>
            </w:r>
          </w:p>
        </w:tc>
        <w:tc>
          <w:tcPr>
            <w:tcW w:w="2094" w:type="dxa"/>
          </w:tcPr>
          <w:p w14:paraId="01CCDA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7243 кмп.</w:t>
            </w:r>
          </w:p>
          <w:p w14:paraId="2AE890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9.380.000 руб.</w:t>
            </w:r>
          </w:p>
        </w:tc>
        <w:tc>
          <w:tcPr>
            <w:tcW w:w="2094" w:type="dxa"/>
          </w:tcPr>
          <w:p w14:paraId="36EF5F4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094" w:type="dxa"/>
          </w:tcPr>
          <w:p w14:paraId="1827AE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w:t>
            </w:r>
          </w:p>
        </w:tc>
      </w:tr>
      <w:tr w:rsidR="007D5DF8" w:rsidRPr="00DB5D0D" w14:paraId="1454A960" w14:textId="77777777" w:rsidTr="00E543D0">
        <w:tc>
          <w:tcPr>
            <w:tcW w:w="2242" w:type="dxa"/>
          </w:tcPr>
          <w:p w14:paraId="2AA2DE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ЯРАК</w:t>
            </w:r>
          </w:p>
        </w:tc>
        <w:tc>
          <w:tcPr>
            <w:tcW w:w="2686" w:type="dxa"/>
          </w:tcPr>
          <w:p w14:paraId="453F54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Аэропокрышки и аэрокамеры</w:t>
            </w:r>
          </w:p>
        </w:tc>
        <w:tc>
          <w:tcPr>
            <w:tcW w:w="2094" w:type="dxa"/>
          </w:tcPr>
          <w:p w14:paraId="29ABF1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6.271.000</w:t>
            </w:r>
          </w:p>
        </w:tc>
        <w:tc>
          <w:tcPr>
            <w:tcW w:w="2094" w:type="dxa"/>
          </w:tcPr>
          <w:p w14:paraId="446297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6.396.420</w:t>
            </w:r>
          </w:p>
        </w:tc>
        <w:tc>
          <w:tcPr>
            <w:tcW w:w="2094" w:type="dxa"/>
          </w:tcPr>
          <w:p w14:paraId="15485E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w:t>
            </w:r>
          </w:p>
        </w:tc>
      </w:tr>
      <w:tr w:rsidR="007D5DF8" w:rsidRPr="00DB5D0D" w14:paraId="05929F2F" w14:textId="77777777" w:rsidTr="00E543D0">
        <w:tc>
          <w:tcPr>
            <w:tcW w:w="2242" w:type="dxa"/>
          </w:tcPr>
          <w:p w14:paraId="0EF27F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"Красн. Треугольник”</w:t>
            </w:r>
          </w:p>
        </w:tc>
        <w:tc>
          <w:tcPr>
            <w:tcW w:w="2686" w:type="dxa"/>
          </w:tcPr>
          <w:p w14:paraId="081116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Аэрокамеры</w:t>
            </w:r>
          </w:p>
        </w:tc>
        <w:tc>
          <w:tcPr>
            <w:tcW w:w="2094" w:type="dxa"/>
          </w:tcPr>
          <w:p w14:paraId="128F98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476.400</w:t>
            </w:r>
          </w:p>
        </w:tc>
        <w:tc>
          <w:tcPr>
            <w:tcW w:w="2094" w:type="dxa"/>
          </w:tcPr>
          <w:p w14:paraId="29DB2F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638.376</w:t>
            </w:r>
          </w:p>
        </w:tc>
        <w:tc>
          <w:tcPr>
            <w:tcW w:w="2094" w:type="dxa"/>
          </w:tcPr>
          <w:p w14:paraId="58BA7E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r>
      <w:tr w:rsidR="007D5DF8" w:rsidRPr="00DB5D0D" w14:paraId="1429CDAF" w14:textId="77777777" w:rsidTr="00E543D0">
        <w:tc>
          <w:tcPr>
            <w:tcW w:w="2242" w:type="dxa"/>
          </w:tcPr>
          <w:p w14:paraId="64F17C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 и 1-й ГМЗ</w:t>
            </w:r>
          </w:p>
        </w:tc>
        <w:tc>
          <w:tcPr>
            <w:tcW w:w="2686" w:type="dxa"/>
          </w:tcPr>
          <w:p w14:paraId="1F4338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радиаторы</w:t>
            </w:r>
          </w:p>
        </w:tc>
        <w:tc>
          <w:tcPr>
            <w:tcW w:w="2094" w:type="dxa"/>
          </w:tcPr>
          <w:p w14:paraId="70DDA6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5.870</w:t>
            </w:r>
          </w:p>
        </w:tc>
        <w:tc>
          <w:tcPr>
            <w:tcW w:w="2094" w:type="dxa"/>
          </w:tcPr>
          <w:p w14:paraId="0258ED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5.430</w:t>
            </w:r>
          </w:p>
        </w:tc>
        <w:tc>
          <w:tcPr>
            <w:tcW w:w="2094" w:type="dxa"/>
          </w:tcPr>
          <w:p w14:paraId="28A670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92,5</w:t>
            </w:r>
          </w:p>
        </w:tc>
      </w:tr>
      <w:tr w:rsidR="007D5DF8" w:rsidRPr="00DB5D0D" w14:paraId="7CA614AB" w14:textId="77777777" w:rsidTr="00E543D0">
        <w:tc>
          <w:tcPr>
            <w:tcW w:w="2242" w:type="dxa"/>
            <w:tcBorders>
              <w:bottom w:val="single" w:sz="12" w:space="0" w:color="auto"/>
            </w:tcBorders>
          </w:tcPr>
          <w:p w14:paraId="22C475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119</w:t>
            </w:r>
          </w:p>
        </w:tc>
        <w:tc>
          <w:tcPr>
            <w:tcW w:w="2686" w:type="dxa"/>
            <w:tcBorders>
              <w:bottom w:val="single" w:sz="12" w:space="0" w:color="auto"/>
            </w:tcBorders>
          </w:tcPr>
          <w:p w14:paraId="65DED7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w:t>
            </w:r>
          </w:p>
        </w:tc>
        <w:tc>
          <w:tcPr>
            <w:tcW w:w="2094" w:type="dxa"/>
            <w:tcBorders>
              <w:bottom w:val="single" w:sz="12" w:space="0" w:color="auto"/>
            </w:tcBorders>
          </w:tcPr>
          <w:p w14:paraId="3102E5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 кмп.</w:t>
            </w:r>
          </w:p>
        </w:tc>
        <w:tc>
          <w:tcPr>
            <w:tcW w:w="2094" w:type="dxa"/>
            <w:tcBorders>
              <w:bottom w:val="single" w:sz="12" w:space="0" w:color="auto"/>
            </w:tcBorders>
          </w:tcPr>
          <w:p w14:paraId="57293B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322 кмп</w:t>
            </w:r>
          </w:p>
        </w:tc>
        <w:tc>
          <w:tcPr>
            <w:tcW w:w="2094" w:type="dxa"/>
            <w:tcBorders>
              <w:bottom w:val="single" w:sz="12" w:space="0" w:color="auto"/>
            </w:tcBorders>
          </w:tcPr>
          <w:p w14:paraId="63E8FF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r>
    </w:tbl>
    <w:p w14:paraId="0A73EF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 числитель - комплекта; знаменатель - сумма</w:t>
      </w:r>
    </w:p>
    <w:p w14:paraId="1CB762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Низкому проценту выполнения плана поставки колес соот</w:t>
      </w:r>
      <w:r w:rsidRPr="00DB5D0D">
        <w:rPr>
          <w:rFonts w:ascii="Times New Roman" w:hAnsi="Times New Roman"/>
          <w:color w:val="000000" w:themeColor="text1"/>
          <w:sz w:val="16"/>
          <w:szCs w:val="16"/>
        </w:rPr>
        <w:softHyphen/>
        <w:t>ветствует ихнекондиционность.</w:t>
      </w:r>
    </w:p>
    <w:p w14:paraId="424CBAC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Положение с колесами стоит на столько остро, что требует принятия срочных решительных мер, так как нет ни одного серийного или опытного самолета, который был бы обеспечен кон</w:t>
      </w:r>
      <w:r w:rsidRPr="00DB5D0D">
        <w:rPr>
          <w:rFonts w:ascii="Times New Roman" w:hAnsi="Times New Roman"/>
          <w:color w:val="000000" w:themeColor="text1"/>
          <w:sz w:val="16"/>
          <w:szCs w:val="16"/>
        </w:rPr>
        <w:softHyphen/>
        <w:t>диционными колесами.</w:t>
      </w:r>
    </w:p>
    <w:p w14:paraId="14A537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 по моторным заводам по состоянию на 1 июля 1940 года, характеризуется:</w:t>
      </w:r>
    </w:p>
    <w:p w14:paraId="214C75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Всего подлежало поставке в первом полeгодии - 12070 шт., фактически поступило - 9015 шт. (74,5%). Самолетным заводам подлежало по плану 8370 шт., Фактически было дано 6734 шт. (76%) и из подлежащего поставке в резерв НКО 2995 моторов фактически поставлено 2039 шт. (68.0 %).</w:t>
      </w:r>
    </w:p>
    <w:p w14:paraId="0D423A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Невыполнение плана поставок моторными заводами, низкое качество продукции, в значите явной мере отражвлось на работе самолетных заводов.</w:t>
      </w:r>
    </w:p>
    <w:p w14:paraId="40DA9B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по дефекту конструктивной недоработки узла нагнета</w:t>
      </w:r>
      <w:r w:rsidRPr="00DB5D0D">
        <w:rPr>
          <w:rFonts w:ascii="Times New Roman" w:hAnsi="Times New Roman"/>
          <w:color w:val="000000" w:themeColor="text1"/>
          <w:sz w:val="16"/>
          <w:szCs w:val="16"/>
        </w:rPr>
        <w:softHyphen/>
        <w:t>теля мотора (М-87А, М-87Б) в 1939 году, вышло из строя 103 мотора, а в 1940 году - 80 моторов, что составляет 5-8% к выпущенным моторам.</w:t>
      </w:r>
    </w:p>
    <w:p w14:paraId="1D872A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Восстановление моторов, выбывших из строя по дефекту нагнетателя, проводилось неудовлетворительно, а указание заводу № 29 по отработке нагнетателя с одновременной разра</w:t>
      </w:r>
      <w:r w:rsidRPr="00DB5D0D">
        <w:rPr>
          <w:rFonts w:ascii="Times New Roman" w:hAnsi="Times New Roman"/>
          <w:color w:val="000000" w:themeColor="text1"/>
          <w:sz w:val="16"/>
          <w:szCs w:val="16"/>
        </w:rPr>
        <w:softHyphen/>
        <w:t>боткой новой, резервной конструкции, осталось невыполненным.</w:t>
      </w:r>
    </w:p>
    <w:p w14:paraId="658024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несмотря на то, что выпущено больше 4.000 моторов М-87А и М-87Б, еще не устранены дефекты нагнетателя.</w:t>
      </w:r>
    </w:p>
    <w:p w14:paraId="00051C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отдельных моторах имеет место уступчатая выработка на зеркале цилиндров. После 20 часов работы мотора на самолете, был обнаружен рост уступа (до 0,08 - 0,15 мм.), вызывающий по</w:t>
      </w:r>
      <w:r w:rsidRPr="00DB5D0D">
        <w:rPr>
          <w:rFonts w:ascii="Times New Roman" w:hAnsi="Times New Roman"/>
          <w:color w:val="000000" w:themeColor="text1"/>
          <w:sz w:val="16"/>
          <w:szCs w:val="16"/>
        </w:rPr>
        <w:softHyphen/>
        <w:t>ломку поршневых колец.</w:t>
      </w:r>
    </w:p>
    <w:p w14:paraId="5F1187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Заклинивание втулки главного шатуна (160 случаев с М-62 и 30 случаев с М-63); обрыв прицепных шатунов (15 случаев М-88 из 950 шт. моторов и 12 случаев с М-87); отказ включения первой скорости нагнетателя (25 случаев с М-88); прогар порш</w:t>
      </w:r>
      <w:r w:rsidRPr="00DB5D0D">
        <w:rPr>
          <w:rFonts w:ascii="Times New Roman" w:hAnsi="Times New Roman"/>
          <w:color w:val="000000" w:themeColor="text1"/>
          <w:sz w:val="16"/>
          <w:szCs w:val="16"/>
        </w:rPr>
        <w:softHyphen/>
        <w:t>ней (по данным финляндского фронта дефект составляет 19,5%) - это основные дефекты, по которым до настоящего времени не выявлены их причины, и несмотря на требования по их устранению, проводимые работы носят затяжной характер.</w:t>
      </w:r>
    </w:p>
    <w:p w14:paraId="3E9360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Остаются невыполненными постановления К.О. при СНК СССР за № 34с, в части проведения 100-часовых испытаний на станке М-88 и летных испытаний на топливе 4Б-74; отработка М-88 на минеральном масле зимой и летом; отработка на летных испы</w:t>
      </w:r>
      <w:r w:rsidRPr="00DB5D0D">
        <w:rPr>
          <w:rFonts w:ascii="Times New Roman" w:hAnsi="Times New Roman"/>
          <w:color w:val="000000" w:themeColor="text1"/>
          <w:sz w:val="16"/>
          <w:szCs w:val="16"/>
        </w:rPr>
        <w:softHyphen/>
        <w:t>таниях АК-88.</w:t>
      </w:r>
    </w:p>
    <w:p w14:paraId="36EE8E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 подготовил к выпуску 15 серию моторов, не</w:t>
      </w:r>
      <w:r w:rsidRPr="00DB5D0D">
        <w:rPr>
          <w:rFonts w:ascii="Times New Roman" w:hAnsi="Times New Roman"/>
          <w:color w:val="000000" w:themeColor="text1"/>
          <w:sz w:val="16"/>
          <w:szCs w:val="16"/>
        </w:rPr>
        <w:softHyphen/>
        <w:t>смотря на то, что обязан был по посгановлению КО при СНК Союза ССР за № 40сс выпускать моторы еще с 10 серии с 2-х скоростной передачей с заменой через 100 часов работы. Завод 26 продолжает выпуск моторов М-105 с неутраненными дефектами карбюратора.</w:t>
      </w:r>
    </w:p>
    <w:p w14:paraId="78D7DD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это в значительной мере связано с тем, что НКАП не выполнял постановление КО при СНК СССР за № 132-60сс о развертывании опытно-экспериментальных работ, тем более, что существующие-экспериментальные базы и особенно летные, не в состоянии быстро разрешить больные вопросы моторостроения.</w:t>
      </w:r>
    </w:p>
    <w:p w14:paraId="0C528F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Основными причинами невыполнения моторными'заводами плановых заданий являются:</w:t>
      </w:r>
    </w:p>
    <w:p w14:paraId="565F71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Слабая техническая дисциплина на заводах. Намеченные же исследования и экспериментальные .работы, как правило, не доводятся до конца.</w:t>
      </w:r>
    </w:p>
    <w:p w14:paraId="269A28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Слабое, не оперативное, техническое руководство заводами</w:t>
      </w:r>
    </w:p>
    <w:p w14:paraId="03232B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Недостаточно организован обмен техническим опытом и слабо используется взаимопомощь заводов.</w:t>
      </w:r>
    </w:p>
    <w:p w14:paraId="7749CE0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Неудовлетворительное снабжение заводовматериалами.</w:t>
      </w:r>
    </w:p>
    <w:p w14:paraId="6571E9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Слабое руководство со стороны Главных конструкторов (завод № 29 т.Туманский),завод № 26 (т.Климов), следствием чего является повторение дефектов при модификации моторов (втулка главного шатуна М-25, М-62 и М-63).</w:t>
      </w:r>
    </w:p>
    <w:p w14:paraId="5E1D16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Нестабильность технологии производства.</w:t>
      </w:r>
    </w:p>
    <w:p w14:paraId="1CE81E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Отсутствие расчетных данных на прочность моторов, в свое время купленных по лицензиям и форсированных у нас по мощности.</w:t>
      </w:r>
    </w:p>
    <w:p w14:paraId="0FD6B0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программы заводами по винтамхарактеризуется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D5DF8" w:rsidRPr="00DB5D0D" w14:paraId="0C917B58" w14:textId="77777777" w:rsidTr="00E543D0">
        <w:tc>
          <w:tcPr>
            <w:tcW w:w="2802" w:type="dxa"/>
            <w:tcBorders>
              <w:top w:val="single" w:sz="12" w:space="0" w:color="auto"/>
            </w:tcBorders>
          </w:tcPr>
          <w:p w14:paraId="3A3AD9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изделия</w:t>
            </w:r>
          </w:p>
        </w:tc>
        <w:tc>
          <w:tcPr>
            <w:tcW w:w="2802" w:type="dxa"/>
            <w:tcBorders>
              <w:top w:val="single" w:sz="12" w:space="0" w:color="auto"/>
            </w:tcBorders>
          </w:tcPr>
          <w:p w14:paraId="7EC375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НКАП</w:t>
            </w:r>
          </w:p>
        </w:tc>
        <w:tc>
          <w:tcPr>
            <w:tcW w:w="2802" w:type="dxa"/>
            <w:tcBorders>
              <w:top w:val="single" w:sz="12" w:space="0" w:color="auto"/>
            </w:tcBorders>
          </w:tcPr>
          <w:p w14:paraId="2B7FA7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НКО</w:t>
            </w:r>
          </w:p>
        </w:tc>
        <w:tc>
          <w:tcPr>
            <w:tcW w:w="2802" w:type="dxa"/>
            <w:tcBorders>
              <w:top w:val="single" w:sz="12" w:space="0" w:color="auto"/>
            </w:tcBorders>
          </w:tcPr>
          <w:p w14:paraId="5B454C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выполнения</w:t>
            </w:r>
          </w:p>
        </w:tc>
      </w:tr>
      <w:tr w:rsidR="007D5DF8" w:rsidRPr="00DB5D0D" w14:paraId="74D628B4" w14:textId="77777777" w:rsidTr="00E543D0">
        <w:tc>
          <w:tcPr>
            <w:tcW w:w="2802" w:type="dxa"/>
          </w:tcPr>
          <w:p w14:paraId="443583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Винты ВИШ-22</w:t>
            </w:r>
          </w:p>
        </w:tc>
        <w:tc>
          <w:tcPr>
            <w:tcW w:w="2802" w:type="dxa"/>
          </w:tcPr>
          <w:p w14:paraId="5406CA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3.840</w:t>
            </w:r>
          </w:p>
        </w:tc>
        <w:tc>
          <w:tcPr>
            <w:tcW w:w="2802" w:type="dxa"/>
          </w:tcPr>
          <w:p w14:paraId="239ACC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c>
          <w:tcPr>
            <w:tcW w:w="2802" w:type="dxa"/>
          </w:tcPr>
          <w:p w14:paraId="04921F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67,4</w:t>
            </w:r>
          </w:p>
        </w:tc>
      </w:tr>
      <w:tr w:rsidR="007D5DF8" w:rsidRPr="00DB5D0D" w14:paraId="11A06036" w14:textId="77777777" w:rsidTr="00E543D0">
        <w:tc>
          <w:tcPr>
            <w:tcW w:w="2802" w:type="dxa"/>
          </w:tcPr>
          <w:p w14:paraId="56E481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Винты ВВ-1</w:t>
            </w:r>
          </w:p>
        </w:tc>
        <w:tc>
          <w:tcPr>
            <w:tcW w:w="2802" w:type="dxa"/>
          </w:tcPr>
          <w:p w14:paraId="173856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2802" w:type="dxa"/>
          </w:tcPr>
          <w:p w14:paraId="67669F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2802" w:type="dxa"/>
          </w:tcPr>
          <w:p w14:paraId="671452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125,5</w:t>
            </w:r>
          </w:p>
        </w:tc>
      </w:tr>
      <w:tr w:rsidR="007D5DF8" w:rsidRPr="00DB5D0D" w14:paraId="69294491" w14:textId="77777777" w:rsidTr="00E543D0">
        <w:tc>
          <w:tcPr>
            <w:tcW w:w="2802" w:type="dxa"/>
          </w:tcPr>
          <w:p w14:paraId="5097BA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Винты АВ-1</w:t>
            </w:r>
          </w:p>
        </w:tc>
        <w:tc>
          <w:tcPr>
            <w:tcW w:w="2802" w:type="dxa"/>
          </w:tcPr>
          <w:p w14:paraId="67D5EF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2.960</w:t>
            </w:r>
          </w:p>
        </w:tc>
        <w:tc>
          <w:tcPr>
            <w:tcW w:w="2802" w:type="dxa"/>
          </w:tcPr>
          <w:p w14:paraId="153EFC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r w:rsidRPr="00DB5D0D">
              <w:rPr>
                <w:rFonts w:ascii="Times New Roman" w:hAnsi="Times New Roman"/>
                <w:color w:val="000000" w:themeColor="text1"/>
                <w:sz w:val="16"/>
                <w:szCs w:val="16"/>
                <w:vertAlign w:val="superscript"/>
              </w:rPr>
              <w:t>Х)</w:t>
            </w:r>
          </w:p>
        </w:tc>
        <w:tc>
          <w:tcPr>
            <w:tcW w:w="2802" w:type="dxa"/>
          </w:tcPr>
          <w:p w14:paraId="2C663C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73,0</w:t>
            </w:r>
          </w:p>
        </w:tc>
      </w:tr>
      <w:tr w:rsidR="007D5DF8" w:rsidRPr="00DB5D0D" w14:paraId="1B387A46" w14:textId="77777777" w:rsidTr="00E543D0">
        <w:tc>
          <w:tcPr>
            <w:tcW w:w="2802" w:type="dxa"/>
            <w:tcBorders>
              <w:bottom w:val="single" w:sz="12" w:space="0" w:color="auto"/>
            </w:tcBorders>
          </w:tcPr>
          <w:p w14:paraId="6F384B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Винты ВИШ-23</w:t>
            </w:r>
          </w:p>
        </w:tc>
        <w:tc>
          <w:tcPr>
            <w:tcW w:w="2802" w:type="dxa"/>
            <w:tcBorders>
              <w:bottom w:val="single" w:sz="12" w:space="0" w:color="auto"/>
            </w:tcBorders>
          </w:tcPr>
          <w:p w14:paraId="5DA75D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2.730</w:t>
            </w:r>
          </w:p>
        </w:tc>
        <w:tc>
          <w:tcPr>
            <w:tcW w:w="2802" w:type="dxa"/>
            <w:tcBorders>
              <w:bottom w:val="single" w:sz="12" w:space="0" w:color="auto"/>
            </w:tcBorders>
          </w:tcPr>
          <w:p w14:paraId="78AB6A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2802" w:type="dxa"/>
            <w:tcBorders>
              <w:bottom w:val="single" w:sz="12" w:space="0" w:color="auto"/>
            </w:tcBorders>
          </w:tcPr>
          <w:p w14:paraId="632B9D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54,0</w:t>
            </w:r>
          </w:p>
        </w:tc>
      </w:tr>
    </w:tbl>
    <w:p w14:paraId="60B77D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 в т.ч. 750 на перевооружении</w:t>
      </w:r>
    </w:p>
    <w:p w14:paraId="7A4879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Узким местом при неудовлетворительном качестве, является производство карбюраторов, свечей и магнето.</w:t>
      </w:r>
    </w:p>
    <w:p w14:paraId="4979C3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Карбюратор к мотору М-88 не доведен в</w:t>
      </w:r>
      <w:r w:rsidRPr="00DB5D0D">
        <w:rPr>
          <w:rFonts w:ascii="Times New Roman" w:hAnsi="Times New Roman"/>
          <w:smallCaps/>
          <w:color w:val="000000" w:themeColor="text1"/>
          <w:sz w:val="16"/>
          <w:szCs w:val="16"/>
        </w:rPr>
        <w:t xml:space="preserve"> л</w:t>
      </w:r>
      <w:r w:rsidRPr="00DB5D0D">
        <w:rPr>
          <w:rFonts w:ascii="Times New Roman" w:hAnsi="Times New Roman"/>
          <w:color w:val="000000" w:themeColor="text1"/>
          <w:sz w:val="16"/>
          <w:szCs w:val="16"/>
        </w:rPr>
        <w:t>етньх условиях по расходам горючего. Перерасход уменьшает радиус действия самолета ДБ-3 (до 20%).</w:t>
      </w:r>
    </w:p>
    <w:p w14:paraId="5F4BEA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карбюраторах к моторам М-62 и М-63 не доведен узел высотного корректора. Высотный корректор вследствие его разру</w:t>
      </w:r>
      <w:r w:rsidRPr="00DB5D0D">
        <w:rPr>
          <w:rFonts w:ascii="Times New Roman" w:hAnsi="Times New Roman"/>
          <w:color w:val="000000" w:themeColor="text1"/>
          <w:sz w:val="16"/>
          <w:szCs w:val="16"/>
        </w:rPr>
        <w:softHyphen/>
        <w:t>шения лимитирует увеличение ресурсов моторов М-62 и М-63 свы</w:t>
      </w:r>
      <w:r w:rsidRPr="00DB5D0D">
        <w:rPr>
          <w:rFonts w:ascii="Times New Roman" w:hAnsi="Times New Roman"/>
          <w:color w:val="000000" w:themeColor="text1"/>
          <w:sz w:val="16"/>
          <w:szCs w:val="16"/>
        </w:rPr>
        <w:softHyphen/>
        <w:t>ше 100 часов.</w:t>
      </w:r>
    </w:p>
    <w:p w14:paraId="7E70BE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настояцэго времени не закончены, начатые в ноябре ме</w:t>
      </w:r>
      <w:r w:rsidRPr="00DB5D0D">
        <w:rPr>
          <w:rFonts w:ascii="Times New Roman" w:hAnsi="Times New Roman"/>
          <w:color w:val="000000" w:themeColor="text1"/>
          <w:sz w:val="16"/>
          <w:szCs w:val="16"/>
        </w:rPr>
        <w:softHyphen/>
        <w:t>сяце 1939 года государственные летные испытания карбюратора АК-63.</w:t>
      </w:r>
    </w:p>
    <w:p w14:paraId="465065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Карбюратор к мотору М-105 пред'явлен без высотного кор</w:t>
      </w:r>
      <w:r w:rsidRPr="00DB5D0D">
        <w:rPr>
          <w:rFonts w:ascii="Times New Roman" w:hAnsi="Times New Roman"/>
          <w:color w:val="000000" w:themeColor="text1"/>
          <w:sz w:val="16"/>
          <w:szCs w:val="16"/>
        </w:rPr>
        <w:softHyphen/>
        <w:t>ректора. Государственные стендовые испытания прошел неудовлет</w:t>
      </w:r>
      <w:r w:rsidRPr="00DB5D0D">
        <w:rPr>
          <w:rFonts w:ascii="Times New Roman" w:hAnsi="Times New Roman"/>
          <w:color w:val="000000" w:themeColor="text1"/>
          <w:sz w:val="16"/>
          <w:szCs w:val="16"/>
        </w:rPr>
        <w:softHyphen/>
        <w:t>ворительно. При проверке в летных условиях обнаружено загора</w:t>
      </w:r>
      <w:r w:rsidRPr="00DB5D0D">
        <w:rPr>
          <w:rFonts w:ascii="Times New Roman" w:hAnsi="Times New Roman"/>
          <w:color w:val="000000" w:themeColor="text1"/>
          <w:sz w:val="16"/>
          <w:szCs w:val="16"/>
        </w:rPr>
        <w:softHyphen/>
        <w:t>ния карбюраторов. Причина загорания до настоящего времени не установлена. Государственных летных испытаний карбюратор не прошел.</w:t>
      </w:r>
    </w:p>
    <w:p w14:paraId="156585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АТЭ-1 в течение 5-ти месяцев программу выпуска по магнето и свечам выполняет на 40-45%.</w:t>
      </w:r>
    </w:p>
    <w:p w14:paraId="72AF5F3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Договор на поставку в резерв сорван. Нормальная работа моторных заводов из-за нехватки магнего и свечей все время нарушается.</w:t>
      </w:r>
    </w:p>
    <w:p w14:paraId="4CE523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Новые типы магнето БСМ-9-12 и 14 до сего времени не внедрены в нормальное серийное производство.</w:t>
      </w:r>
    </w:p>
    <w:p w14:paraId="0D9ACF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Качество магнето БСАЭ-12 (старый тип) вследствие разрушений прерывателя не обеспечивает нормальной работы моторов М-103 и М-105.</w:t>
      </w:r>
    </w:p>
    <w:p w14:paraId="071C25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Свечи 3-ЭМГ при работе на моторах М-63, М-83, М-105 вы</w:t>
      </w:r>
      <w:r w:rsidRPr="00DB5D0D">
        <w:rPr>
          <w:rFonts w:ascii="Times New Roman" w:hAnsi="Times New Roman"/>
          <w:color w:val="000000" w:themeColor="text1"/>
          <w:sz w:val="16"/>
          <w:szCs w:val="16"/>
        </w:rPr>
        <w:softHyphen/>
        <w:t>ходят из строя через 15-20 часов.</w:t>
      </w:r>
    </w:p>
    <w:p w14:paraId="5DE16E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Новые свеча типа ВГ-2 и ВГ-12 заводом АТЭ-1 выпускаются в недостаточном количестве.</w:t>
      </w:r>
    </w:p>
    <w:p w14:paraId="2C4F60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Агрегатные завода слабо ведут экспериментальное работы. Установки для испытаний не совершены и не позволяют приблизить испытание агрегатов к условиям их работы на моторе и самолете.</w:t>
      </w:r>
    </w:p>
    <w:p w14:paraId="7C4419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Плохая организация работы на заводе № 33, привела к сры</w:t>
      </w:r>
      <w:r w:rsidRPr="00DB5D0D">
        <w:rPr>
          <w:rFonts w:ascii="Times New Roman" w:hAnsi="Times New Roman"/>
          <w:color w:val="000000" w:themeColor="text1"/>
          <w:sz w:val="16"/>
          <w:szCs w:val="16"/>
        </w:rPr>
        <w:softHyphen/>
        <w:t>ву плана опытных работ по беспоплавковым карбюраторам. Нет от</w:t>
      </w:r>
      <w:r w:rsidRPr="00DB5D0D">
        <w:rPr>
          <w:rFonts w:ascii="Times New Roman" w:hAnsi="Times New Roman"/>
          <w:color w:val="000000" w:themeColor="text1"/>
          <w:sz w:val="16"/>
          <w:szCs w:val="16"/>
        </w:rPr>
        <w:softHyphen/>
        <w:t>работанных карбюраторов к моторач М-71, М-81, М-120, М-87.</w:t>
      </w:r>
    </w:p>
    <w:p w14:paraId="5B9D24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Рзшение Правительства по созданию мощной эксперимен</w:t>
      </w:r>
      <w:r w:rsidRPr="00DB5D0D">
        <w:rPr>
          <w:rFonts w:ascii="Times New Roman" w:hAnsi="Times New Roman"/>
          <w:color w:val="000000" w:themeColor="text1"/>
          <w:sz w:val="16"/>
          <w:szCs w:val="16"/>
        </w:rPr>
        <w:softHyphen/>
        <w:t>тально-опытной базы по приборам авиационного зажигания на заве де АТЭ-1, НКСМ не выполнено.</w:t>
      </w:r>
    </w:p>
    <w:p w14:paraId="367B36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20, имея катастрофическое положение с качеством поршневых колец, для для проведения исследовательских работ, не обеспечен до сего времени даже одноцилиндровой установкой.</w:t>
      </w:r>
    </w:p>
    <w:p w14:paraId="2FE1A5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Упоминания НКАП о недостаточном количестве имеющихся у нас агрегатных заводов, о необходимости форсирования ввода в число действующих предприятий карбюраторного завода № 339 в г. Молотово и ускорении строительства завода № 306 (АТЗ-2) по производству магнето и свечей в г. Саратове, остаются без результата.</w:t>
      </w:r>
    </w:p>
    <w:p w14:paraId="7E9A6B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 К Л Ю Ч Е Н И Е</w:t>
      </w:r>
    </w:p>
    <w:p w14:paraId="05281D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Авиационной промышленность за первое полугодие 1940 года, в сравнении с первым полугодием 1939 года:</w:t>
      </w:r>
    </w:p>
    <w:p w14:paraId="6EF059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поставлено 3873 боевых самолета, против 2965 боевых самолетов и</w:t>
      </w:r>
    </w:p>
    <w:p w14:paraId="15A306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поставлено для боевых самолетов 9016 моторов против 7030 моторов.</w:t>
      </w:r>
    </w:p>
    <w:p w14:paraId="2A3C87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положенного по плану промышленность за истекший период недодала НКО - 720 бомбардировщиков, 292 истребителя, недопоставила самолетным заводам 3054 мотора и в резерв НК - 956 моторов. Такое недовыполнение плана в значительной мере с казалось отрицательно не только на снабжении частей, но и на проводимых ВВС формированиях.</w:t>
      </w:r>
    </w:p>
    <w:p w14:paraId="6F36A6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Ненормальным остается положение, когда из 18 самолего-строительных заводов основными поставщиками боевых самолетов являются только четыре завода (1, 18, 21 и 22).</w:t>
      </w:r>
    </w:p>
    <w:p w14:paraId="1E9880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Выполнение плана по моторам, работа, связанная с улучшением качества выпускаемых моторов и превышением их мото-ресурса, настоятельно требуют перестройки руководства вопросами моторостроения.</w:t>
      </w:r>
    </w:p>
    <w:p w14:paraId="5B8EEB5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данное время исключительного внимания заслуживают колеса, карбюраторы, винты, свечи, магнето и другие агрегаты.</w:t>
      </w:r>
    </w:p>
    <w:p w14:paraId="14E7099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Их производство и особенно, качество, лимитирует выпуск не только серийного производства самолетов и моторов, но даже сдерживает движение опытного самолето и моторо-строения (10387,195).</w:t>
      </w:r>
    </w:p>
    <w:p w14:paraId="7E6723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5BFEF5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1938 г.</w:t>
      </w:r>
    </w:p>
    <w:p w14:paraId="3F4ECE14"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27. Постановление Комитета обороны при СНК СССР № 152сс “Об обеспечении потребностей ВВС РККА специальным самолетным и аэродромным оборудованием”</w:t>
      </w:r>
    </w:p>
    <w:p w14:paraId="4D44A271"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5D18A656"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166-174.</w:t>
      </w:r>
    </w:p>
    <w:p w14:paraId="15B2108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6B31CCDC"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28. Д. 34. Л. 365-376. Подлинник.</w:t>
      </w:r>
    </w:p>
    <w:p w14:paraId="708CF361"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6A61B9F6"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Комитет обороны при СНК Союза ССР постановляет:</w:t>
      </w:r>
    </w:p>
    <w:p w14:paraId="4227F798"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Общие мероприятия по промышленности</w:t>
      </w:r>
    </w:p>
    <w:p w14:paraId="12526B45"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А. Обязать НКО совместно с НКОП и НКМаш представить в КО к 1 августа 1938 г. проект мероприятий и сметно-финансовые соображения по расширению существующих и строительству новых заводов производства авиационных приборов, радиоаппаратуры, самолетного и аэродромного оборудования.</w:t>
      </w:r>
    </w:p>
    <w:p w14:paraId="7EEA02DD"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НКО по согласованию с НКОП, НКМаш и НКТП представить на утверждение к 1 августа 1938 г. обоснованные заявки на приобретение образцов заграничных приборов и импортное оборудование для приборостроительных заводов.</w:t>
      </w:r>
    </w:p>
    <w:p w14:paraId="727CDF74"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НКО представить в 10-дневный срок на утверждение план научно-исследовательских работ 1938 г., согласованный с НКОП, НКТП и НКМаш.</w:t>
      </w:r>
    </w:p>
    <w:p w14:paraId="3B95590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НКО СССР к 1 сентября 1938 г. предъявить в промышленность тактико-технические требования на опытное строительство самолетного и аэродромного оборудования 1939 г. и номенклатуру серийного заказа на 1939 г. Всем заводам-поставщикам специального оборудования к 1 октября 1938 г. предъявить НКО СССР на утверждение технические условия на серийную продукцию 1939 г.</w:t>
      </w:r>
    </w:p>
    <w:p w14:paraId="6B8647EC"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Запретить НКО и наркоматам-поставщикам специального оборудования самолетов вносить односторонние, не согласованные изменения в конструкции или технические условия на поставку этого оборудования после утверждения технической документации. Согласованные между НКО и наркоматами-поставщиками изменения вносить в производство не чаще двух раз в год — к началу и в середине года.</w:t>
      </w:r>
    </w:p>
    <w:p w14:paraId="198220C6"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НКВД к 1 июля 1938 г.[</w:t>
      </w:r>
      <w:hyperlink r:id="rId172"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пересмотреть и надежно организовать охрану заводов, производящих специальное оборудование для НКО и НКОП.</w:t>
      </w:r>
    </w:p>
    <w:p w14:paraId="302FFF1B"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Общие мероприятия по выполнению оборудования на самолетах</w:t>
      </w:r>
    </w:p>
    <w:p w14:paraId="3C5A8AF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НКОП:</w:t>
      </w:r>
    </w:p>
    <w:p w14:paraId="789235F7"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всех опытных самолетах плана 1938</w:t>
      </w:r>
      <w:r w:rsidRPr="00DB5D0D">
        <w:rPr>
          <w:rFonts w:ascii="Times New Roman" w:hAnsi="Times New Roman"/>
          <w:color w:val="000000" w:themeColor="text1"/>
          <w:sz w:val="16"/>
          <w:szCs w:val="16"/>
        </w:rPr>
        <w:noBreakHyphen/>
        <w:t>1939 гг.:</w:t>
      </w:r>
    </w:p>
    <w:p w14:paraId="1C2D37D3"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уменьшить влияние вибрации на приборы применением амортизаторов при установке авиамоторов и приборных досок;</w:t>
      </w:r>
    </w:p>
    <w:p w14:paraId="0DC34D22"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обеспечить быстрое и удобное обращение с приборами при их установке, проверке и замене. НКОП совместно с НКО до 15 июля 1938 г. установить соответствующие технические условия;</w:t>
      </w:r>
    </w:p>
    <w:p w14:paraId="1872BCAA"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обеспечить обогрев приборов в закрытых кабинах летчика, штурмана и радиста с тем, чтобы приборы в них работали при температуре не ниже </w:t>
      </w:r>
      <w:r w:rsidRPr="00DB5D0D">
        <w:rPr>
          <w:rFonts w:ascii="Times New Roman" w:hAnsi="Times New Roman"/>
          <w:color w:val="000000" w:themeColor="text1"/>
          <w:sz w:val="16"/>
          <w:szCs w:val="16"/>
        </w:rPr>
        <w:noBreakHyphen/>
        <w:t>10 °С;</w:t>
      </w:r>
    </w:p>
    <w:p w14:paraId="04BC78CA"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снизить шумы, мешающие радиоприему на самолете, для чего в 1938 г. поставить в ЦАГИ совместно с 5</w:t>
      </w:r>
      <w:r w:rsidRPr="00DB5D0D">
        <w:rPr>
          <w:rFonts w:ascii="Times New Roman" w:hAnsi="Times New Roman"/>
          <w:color w:val="000000" w:themeColor="text1"/>
          <w:sz w:val="16"/>
          <w:szCs w:val="16"/>
        </w:rPr>
        <w:noBreakHyphen/>
        <w:t>м Главным управлением НКОП необходимые исследования.</w:t>
      </w:r>
    </w:p>
    <w:p w14:paraId="4D72853F"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всех опытных самолетах плана 1938</w:t>
      </w:r>
      <w:r w:rsidRPr="00DB5D0D">
        <w:rPr>
          <w:rFonts w:ascii="Times New Roman" w:hAnsi="Times New Roman"/>
          <w:color w:val="000000" w:themeColor="text1"/>
          <w:sz w:val="16"/>
          <w:szCs w:val="16"/>
        </w:rPr>
        <w:noBreakHyphen/>
        <w:t>1939 гг. и всех самолетах, модернизуемых на 1939 г., конструктивно обеспечить возможность применения наземных агрегатов для проверки исправности всего электрорадиооборудования и зарядки кислородных баллонов.</w:t>
      </w:r>
    </w:p>
    <w:p w14:paraId="3D6E8DA4"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Провести в 1938 г. работу по стандартизации крепежных деталей и присоединений к приборам оборудования и с 1 января 1939 г. по всем самолетам перейти на применение основных стандартных деталей.</w:t>
      </w:r>
    </w:p>
    <w:p w14:paraId="553C988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До 15 июня 1938 г. согласовать с НКО сроки введения монтажа электрооборудования самолетов по единым техническим требованиям с экранировкой и металлизацией. Опытные самолеты плана 1938</w:t>
      </w:r>
      <w:r w:rsidRPr="00DB5D0D">
        <w:rPr>
          <w:rFonts w:ascii="Times New Roman" w:hAnsi="Times New Roman"/>
          <w:color w:val="000000" w:themeColor="text1"/>
          <w:sz w:val="16"/>
          <w:szCs w:val="16"/>
        </w:rPr>
        <w:noBreakHyphen/>
        <w:t>1939 гг. оборудовать полностью по этим требованиям.</w:t>
      </w:r>
    </w:p>
    <w:p w14:paraId="10B5607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Радиосвязь</w:t>
      </w:r>
    </w:p>
    <w:p w14:paraId="1942B01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Обязать НКОП:</w:t>
      </w:r>
    </w:p>
    <w:p w14:paraId="2E6B1E2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Провести следующие организационные мероприятия:</w:t>
      </w:r>
    </w:p>
    <w:p w14:paraId="5E7195CA"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 1 ноября 1938 г. организовать на базе НИИ № 11 НКОП специальный институт с летной базой для отработки научно-исследовательских вопросов в области авиационной радиотехники;</w:t>
      </w:r>
    </w:p>
    <w:p w14:paraId="468C405F"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производить сдачу самолетов СБ и ДБ</w:t>
      </w:r>
      <w:r w:rsidRPr="00DB5D0D">
        <w:rPr>
          <w:rFonts w:ascii="Times New Roman" w:hAnsi="Times New Roman"/>
          <w:color w:val="000000" w:themeColor="text1"/>
          <w:sz w:val="16"/>
          <w:szCs w:val="16"/>
        </w:rPr>
        <w:noBreakHyphen/>
        <w:t>3 с радиостанцией типа РСБ в сроки: по заводу № 22 — с 1 июля 1938 г., по заводу № 125 — с 1 октября 1938 г., по заводу № 126 — с 15 июля 1938 г.;</w:t>
      </w:r>
    </w:p>
    <w:p w14:paraId="0D8E5C20"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немедленно организовать в 1938 г. ремонтные базы специальной радиоаппаратуры для среднего и капитального ремонта. НКО совместно с НКОП не позже 15 августа 1938 г. установить объем ремонта радиоаппаратуры, количество ремонтных точек и место их расположения;</w:t>
      </w:r>
    </w:p>
    <w:p w14:paraId="2970E26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увеличить выпуск радиотехников в Горьковском и Воронежском радиотехникумах ежегодно до 250 чел. в каждом;</w:t>
      </w:r>
    </w:p>
    <w:p w14:paraId="6AAAA51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расширить акустическую лабораторию при заводе № 197. Тов. Берману М. Д. в 10</w:t>
      </w:r>
      <w:r w:rsidRPr="00DB5D0D">
        <w:rPr>
          <w:rFonts w:ascii="Times New Roman" w:hAnsi="Times New Roman"/>
          <w:color w:val="000000" w:themeColor="text1"/>
          <w:sz w:val="16"/>
          <w:szCs w:val="16"/>
        </w:rPr>
        <w:noBreakHyphen/>
        <w:t>дневный срок согласовать с т. Кагановичем М. М. вопрос о передаче в лабораторию 7 чел. квалифицированных ИТР с завода “Красная заря”.</w:t>
      </w:r>
    </w:p>
    <w:p w14:paraId="2F8D5AF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Предъявить на госиспытания:</w:t>
      </w:r>
    </w:p>
    <w:p w14:paraId="5CE7CB96"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модернизированный на диапазон 30</w:t>
      </w:r>
      <w:r w:rsidRPr="00DB5D0D">
        <w:rPr>
          <w:rFonts w:ascii="Times New Roman" w:hAnsi="Times New Roman"/>
          <w:color w:val="000000" w:themeColor="text1"/>
          <w:sz w:val="16"/>
          <w:szCs w:val="16"/>
        </w:rPr>
        <w:noBreakHyphen/>
        <w:t>120 м передатчик наземной радиостанции 11 АК в 3</w:t>
      </w:r>
      <w:r w:rsidRPr="00DB5D0D">
        <w:rPr>
          <w:rFonts w:ascii="Times New Roman" w:hAnsi="Times New Roman"/>
          <w:color w:val="000000" w:themeColor="text1"/>
          <w:sz w:val="16"/>
          <w:szCs w:val="16"/>
        </w:rPr>
        <w:noBreakHyphen/>
        <w:t>месячный срок. Во втором полугодии 1938 г. по утвержденному образцу выпустить 30 радиостанций 11 АК</w:t>
      </w:r>
      <w:r w:rsidRPr="00DB5D0D">
        <w:rPr>
          <w:rFonts w:ascii="Times New Roman" w:hAnsi="Times New Roman"/>
          <w:color w:val="000000" w:themeColor="text1"/>
          <w:sz w:val="16"/>
          <w:szCs w:val="16"/>
        </w:rPr>
        <w:noBreakHyphen/>
        <w:t>бис;</w:t>
      </w:r>
    </w:p>
    <w:p w14:paraId="437A1E1F"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образец аэродромной радиостанции на длинных и коротких волнах с приемным узлом для НКО — к 1 апреля 1939 г.;</w:t>
      </w:r>
    </w:p>
    <w:p w14:paraId="3EE262E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2 комплекта радиостанций РСИ-2 с автономным приемником для истребителей — к 1 сентября 1938 г. и 25 комплектов на войсковые испытания — через 6 месяцев после утверждения образца;</w:t>
      </w:r>
    </w:p>
    <w:p w14:paraId="0DFA0BDF"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2 унифицированных радиоприемника типа РСР</w:t>
      </w:r>
      <w:r w:rsidRPr="00DB5D0D">
        <w:rPr>
          <w:rFonts w:ascii="Times New Roman" w:hAnsi="Times New Roman"/>
          <w:color w:val="000000" w:themeColor="text1"/>
          <w:sz w:val="16"/>
          <w:szCs w:val="16"/>
        </w:rPr>
        <w:noBreakHyphen/>
        <w:t>1 к приемно-передающей радиостанции типа РСБ — к 1 октября 1938 г.;</w:t>
      </w:r>
    </w:p>
    <w:p w14:paraId="4CA62175"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2 комплекта приемно-передающей радиостанции типа РСР</w:t>
      </w:r>
      <w:r w:rsidRPr="00DB5D0D">
        <w:rPr>
          <w:rFonts w:ascii="Times New Roman" w:hAnsi="Times New Roman"/>
          <w:color w:val="000000" w:themeColor="text1"/>
          <w:sz w:val="16"/>
          <w:szCs w:val="16"/>
        </w:rPr>
        <w:noBreakHyphen/>
        <w:t>1 — к 1 декабря 1938 г.;</w:t>
      </w:r>
    </w:p>
    <w:p w14:paraId="1C5E6F3B"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2 комплекта приемно-передающей радиостанции тина РСБ</w:t>
      </w:r>
      <w:r w:rsidRPr="00DB5D0D">
        <w:rPr>
          <w:rFonts w:ascii="Times New Roman" w:hAnsi="Times New Roman"/>
          <w:color w:val="000000" w:themeColor="text1"/>
          <w:sz w:val="16"/>
          <w:szCs w:val="16"/>
        </w:rPr>
        <w:noBreakHyphen/>
        <w:t>1 с малыми габаритами и весами и большим радиусом действия для бомбардировочной авиации — к 1 октября 1938 г.;</w:t>
      </w:r>
    </w:p>
    <w:p w14:paraId="6DDDE93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2 комплекта радиостанций РСБМ</w:t>
      </w:r>
      <w:r w:rsidRPr="00DB5D0D">
        <w:rPr>
          <w:rFonts w:ascii="Times New Roman" w:hAnsi="Times New Roman"/>
          <w:color w:val="000000" w:themeColor="text1"/>
          <w:sz w:val="16"/>
          <w:szCs w:val="16"/>
        </w:rPr>
        <w:noBreakHyphen/>
        <w:t>1 для морских бомбардировщиков для работы с подводными лодками — к 1 декабря 1938 г.;</w:t>
      </w:r>
    </w:p>
    <w:p w14:paraId="754911C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2 комплекта радиостанций парашютного десанта типа РИД — к 1 сентября 1938 г.;</w:t>
      </w:r>
    </w:p>
    <w:p w14:paraId="0F3C4362"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2 комплекта легких авиационных антишумных шлемофонов, удобных в эксплуатации, для всех типов радиостанций — к 1 сентября 1938 г. (“Красная заря” и завод № 197);</w:t>
      </w:r>
    </w:p>
    <w:p w14:paraId="15F1C7B8"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2 комплекта самолетных переговорных устройств СПУ</w:t>
      </w:r>
      <w:r w:rsidRPr="00DB5D0D">
        <w:rPr>
          <w:rFonts w:ascii="Times New Roman" w:hAnsi="Times New Roman"/>
          <w:color w:val="000000" w:themeColor="text1"/>
          <w:sz w:val="16"/>
          <w:szCs w:val="16"/>
        </w:rPr>
        <w:noBreakHyphen/>
        <w:t>3 с гарнитуром высококачественных микрофонов, ларингофонов и телефонов для работы на больших высотах и при больших скоростях — к 1 августа 1938 г. (завод № 197);</w:t>
      </w:r>
    </w:p>
    <w:p w14:paraId="77878B66"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 опытную партию в 20 шт. генераторных ламп для работы в 24</w:t>
      </w:r>
      <w:r w:rsidRPr="00DB5D0D">
        <w:rPr>
          <w:rFonts w:ascii="Times New Roman" w:hAnsi="Times New Roman"/>
          <w:color w:val="000000" w:themeColor="text1"/>
          <w:sz w:val="16"/>
          <w:szCs w:val="16"/>
        </w:rPr>
        <w:noBreakHyphen/>
        <w:t>вольтовой системе оборудования самолетов и 20 бареттеров — к 1 августа 1938 г.</w:t>
      </w:r>
    </w:p>
    <w:p w14:paraId="25FBB2A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Обеспечить в 1938 г. серийным выпуском:</w:t>
      </w:r>
    </w:p>
    <w:p w14:paraId="440282F8"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для морских скоростных и тяжелых бомбардировщиков радиостанцию РСБМ — 150 шт. в 1938 г., начиная с 1 августа 1938 г.;</w:t>
      </w:r>
    </w:p>
    <w:p w14:paraId="2F67420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для самолетов с большим радиусом действия радиостанцию РСД — 5 шт. к 1 ноября 1938 г.;</w:t>
      </w:r>
    </w:p>
    <w:p w14:paraId="275DE463"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для скоростных тяжелых бомбардировщиков радиостанцию РСБ — 175 шт. в июне, 250 шт. в июле и в дальнейшем — согласно плану на 1938 г.;</w:t>
      </w:r>
    </w:p>
    <w:p w14:paraId="580F6083"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для морских разведчиков радиостанцию РСРМ — 100 шт. в июне, 150 шт. в июле и в дальнейшем — в количествах согласно плану на 1938 г. К 1 ноября 1938 г. ликвидировать задолженность по этим станциям для самолетов МБР</w:t>
      </w:r>
      <w:r w:rsidRPr="00DB5D0D">
        <w:rPr>
          <w:rFonts w:ascii="Times New Roman" w:hAnsi="Times New Roman"/>
          <w:color w:val="000000" w:themeColor="text1"/>
          <w:sz w:val="16"/>
          <w:szCs w:val="16"/>
        </w:rPr>
        <w:noBreakHyphen/>
        <w:t>2 в количестве 150 шт.;</w:t>
      </w:r>
    </w:p>
    <w:p w14:paraId="60F6646B"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для радиостанций 11 СК</w:t>
      </w:r>
      <w:r w:rsidRPr="00DB5D0D">
        <w:rPr>
          <w:rFonts w:ascii="Times New Roman" w:hAnsi="Times New Roman"/>
          <w:color w:val="000000" w:themeColor="text1"/>
          <w:sz w:val="16"/>
          <w:szCs w:val="16"/>
        </w:rPr>
        <w:noBreakHyphen/>
        <w:t>1 и 13 СК</w:t>
      </w:r>
      <w:r w:rsidRPr="00DB5D0D">
        <w:rPr>
          <w:rFonts w:ascii="Times New Roman" w:hAnsi="Times New Roman"/>
          <w:color w:val="000000" w:themeColor="text1"/>
          <w:sz w:val="16"/>
          <w:szCs w:val="16"/>
        </w:rPr>
        <w:noBreakHyphen/>
        <w:t>1 ветрянки типов В7/3 в количестве 1,5 тыс. шт. и В7/9 в количестве 1 тыс. шт. Выпуск начать с 1 сентября 1938 г. и равномерными партиями закончить к 1 января 1939 г. (завод № 132 НКОП);</w:t>
      </w:r>
    </w:p>
    <w:p w14:paraId="67774D1D"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обязать НКОП представить к 1 июля 1938 г. обоснованную заявку на импорт необходимого количества пьезокварца для обеспечения программы выпуска радиоаппаратуры.</w:t>
      </w:r>
    </w:p>
    <w:p w14:paraId="66D62F1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НКМаш:</w:t>
      </w:r>
    </w:p>
    <w:p w14:paraId="41DA8D15"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Предъявить на госиспытания облегченные умформеры:</w:t>
      </w:r>
    </w:p>
    <w:p w14:paraId="786329C7"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РУН</w:t>
      </w:r>
      <w:r w:rsidRPr="00DB5D0D">
        <w:rPr>
          <w:rFonts w:ascii="Times New Roman" w:hAnsi="Times New Roman"/>
          <w:color w:val="000000" w:themeColor="text1"/>
          <w:sz w:val="16"/>
          <w:szCs w:val="16"/>
        </w:rPr>
        <w:noBreakHyphen/>
        <w:t>300 — 4 образца двух типов к 1 сентября 1938 г.;</w:t>
      </w:r>
    </w:p>
    <w:p w14:paraId="0F46BE9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РУ</w:t>
      </w:r>
      <w:r w:rsidRPr="00DB5D0D">
        <w:rPr>
          <w:rFonts w:ascii="Times New Roman" w:hAnsi="Times New Roman"/>
          <w:color w:val="000000" w:themeColor="text1"/>
          <w:sz w:val="16"/>
          <w:szCs w:val="16"/>
        </w:rPr>
        <w:noBreakHyphen/>
        <w:t>120 — 2 образца к 1 августа 1938 г. и 8 шт. к 1 октября 1938 г.</w:t>
      </w:r>
    </w:p>
    <w:p w14:paraId="280B68AD"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 1 января 1939 г. закончить экспериментальные работы на макетах по облегченным образцам умформеров РУ</w:t>
      </w:r>
      <w:r w:rsidRPr="00DB5D0D">
        <w:rPr>
          <w:rFonts w:ascii="Times New Roman" w:hAnsi="Times New Roman"/>
          <w:color w:val="000000" w:themeColor="text1"/>
          <w:sz w:val="16"/>
          <w:szCs w:val="16"/>
        </w:rPr>
        <w:noBreakHyphen/>
        <w:t>75 и РУ</w:t>
      </w:r>
      <w:r w:rsidRPr="00DB5D0D">
        <w:rPr>
          <w:rFonts w:ascii="Times New Roman" w:hAnsi="Times New Roman"/>
          <w:color w:val="000000" w:themeColor="text1"/>
          <w:sz w:val="16"/>
          <w:szCs w:val="16"/>
        </w:rPr>
        <w:noBreakHyphen/>
        <w:t>10.</w:t>
      </w:r>
    </w:p>
    <w:p w14:paraId="58BB6DF1"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Поставить по дополнительной заявке НКО на 1938 г. через НКОП (заводы № 203 и 197) запчасти к умформерам радиостанций РСР и РСБ для обеспечения эксплуатации их в частях.</w:t>
      </w:r>
    </w:p>
    <w:p w14:paraId="2975A020"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Радиофакультет и вечернее отделение при Горьковском механико-машиностроительном институте НКМ сохранить и расширить с доведением выпуска инженеров до 60</w:t>
      </w:r>
      <w:r w:rsidRPr="00DB5D0D">
        <w:rPr>
          <w:rFonts w:ascii="Times New Roman" w:hAnsi="Times New Roman"/>
          <w:color w:val="000000" w:themeColor="text1"/>
          <w:sz w:val="16"/>
          <w:szCs w:val="16"/>
        </w:rPr>
        <w:noBreakHyphen/>
        <w:t>70 чел. в год. Оканчивающих в 1938 г. и в последующие годы передавать на радиозаводы НКОП[</w:t>
      </w:r>
      <w:hyperlink r:id="rId173" w:anchor="p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w:t>
      </w:r>
    </w:p>
    <w:p w14:paraId="208CC2D8"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 целях постепенного прекращения импорта организовать в III квартале 1938 г. производство оловянной фольги и довести ежемесячный выпуск высококачественной алюминиевой фольги до 15 т по техническим условиям НКОП. Тов. Брускину А. Д. совестно с т. Гилинским А. Л. представить к 1 июля 1938 г. согласованное предложение о передаче одного комплекта импортного оборудования для производства фольги.</w:t>
      </w:r>
    </w:p>
    <w:p w14:paraId="531B9C6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В III квартале 1938 г. в тех же целях освоить производство необходимой для НКОП номенклатуры проводников сопротивления по техническим условиям НКОП.</w:t>
      </w:r>
    </w:p>
    <w:p w14:paraId="654CF822"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Обязать НКТП обеспечить поставку НКТМаш высококачественного алюминия для обеспечения производства радиоаппаратуры по заказам НКОП. НКОП к 1 июля 1938 г. представить сведения в НКТП о потребном количестве алюминия и технические условия.</w:t>
      </w:r>
    </w:p>
    <w:p w14:paraId="54D817D4"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Радионавигация и слепая посадка</w:t>
      </w:r>
    </w:p>
    <w:p w14:paraId="0116F3F1"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Обязать НКОП:</w:t>
      </w:r>
    </w:p>
    <w:p w14:paraId="68990272"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Разрабатываемый по постановлению правительства на заводе № 203 радиополукомпас для самолетов ДБ</w:t>
      </w:r>
      <w:r w:rsidRPr="00DB5D0D">
        <w:rPr>
          <w:rFonts w:ascii="Times New Roman" w:hAnsi="Times New Roman"/>
          <w:color w:val="000000" w:themeColor="text1"/>
          <w:sz w:val="16"/>
          <w:szCs w:val="16"/>
        </w:rPr>
        <w:noBreakHyphen/>
        <w:t>3, ДБ</w:t>
      </w:r>
      <w:r w:rsidRPr="00DB5D0D">
        <w:rPr>
          <w:rFonts w:ascii="Times New Roman" w:hAnsi="Times New Roman"/>
          <w:color w:val="000000" w:themeColor="text1"/>
          <w:sz w:val="16"/>
          <w:szCs w:val="16"/>
        </w:rPr>
        <w:noBreakHyphen/>
        <w:t>А, СБ, Р</w:t>
      </w:r>
      <w:r w:rsidRPr="00DB5D0D">
        <w:rPr>
          <w:rFonts w:ascii="Times New Roman" w:hAnsi="Times New Roman"/>
          <w:color w:val="000000" w:themeColor="text1"/>
          <w:sz w:val="16"/>
          <w:szCs w:val="16"/>
        </w:rPr>
        <w:noBreakHyphen/>
        <w:t>10, “Вулти” сдать на госиспытания к 1 августа 1938 г. Освоить радиополукомпас в серийном производстве в течение 6 месяцев после госиспытания, выпустив головную партию 25 шт. к 15 марта 1939 г.</w:t>
      </w:r>
    </w:p>
    <w:p w14:paraId="50FFBB76"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Освоить производство электродинамических курсовых индикаторов по американскому образцу и индикаторов “МИГ” для радиополукомпасов и сдать к 1 ноября 1938 г. по 25 шт. каждого типа. Головную партию по 100 шт. каждого типа сдать к 1 февраля 1939 г.</w:t>
      </w:r>
    </w:p>
    <w:p w14:paraId="7DC78052"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Заводу № 208 сдать к 15 июля 1938 г. запчасти для ремонта радиомаяков типа 13А в количествах по договору с УВВС РККА.</w:t>
      </w:r>
    </w:p>
    <w:p w14:paraId="6992BD8D"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Разработать и сдать на госиспытания опытные образцы:</w:t>
      </w:r>
    </w:p>
    <w:p w14:paraId="3D7EBC7D"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2 комплекта радиополукомпаса завода № 203 с индикатором “МИГ” для вождения самолетов по маякам “Полюс” (по утвержденному образцу радиополукомпаса, селектора и индикатора “МИГ”) — к 1 января 1939 г.;</w:t>
      </w:r>
    </w:p>
    <w:p w14:paraId="4211E153"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2 комплекта радиополукомпаса НИИ № 11 для истребителей — к 1 января 1939 г.;</w:t>
      </w:r>
    </w:p>
    <w:p w14:paraId="42FE05CB"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2 комплекта радиоотметчиков НИИ № 11 — к 1 января 1939 г.;</w:t>
      </w:r>
    </w:p>
    <w:p w14:paraId="26311204"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15-киловаттные радиомаяки “Полюс” НИИ № 33 на объектах строительства № 1 — к 1 июля 1938 г., № 2 — к 1 октября 1938 г. и № 3 — к 1 сентября 1938 г.</w:t>
      </w:r>
    </w:p>
    <w:p w14:paraId="438CF20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НКО строительство двух 15</w:t>
      </w:r>
      <w:r w:rsidRPr="00DB5D0D">
        <w:rPr>
          <w:rFonts w:ascii="Times New Roman" w:hAnsi="Times New Roman"/>
          <w:color w:val="000000" w:themeColor="text1"/>
          <w:sz w:val="16"/>
          <w:szCs w:val="16"/>
        </w:rPr>
        <w:noBreakHyphen/>
        <w:t>киловаттных радиомаяков второй очереди не вести впредь, до ввода в эксплуатацию и испытания объектов первой очереди.</w:t>
      </w:r>
    </w:p>
    <w:p w14:paraId="112ECB52"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НКОП (завод № 213) и НКМаш (Владимирский завод) освоить производство гибких валов по американскому образцу для радиополукомпасов и сдать на госиспытания к 1 октября 1938 г. 50 м. По утвержденному образцу сдать головную партию 250 м к 1 декабря 1938 г.</w:t>
      </w:r>
    </w:p>
    <w:p w14:paraId="4B3AC02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Для обеспечения выпуска первых серийных партий радиополукомпасов разрешить НКОП закупить в Америке 3 тыс. м гибкого вала.</w:t>
      </w:r>
    </w:p>
    <w:p w14:paraId="27EAC7A7"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НКМаш:</w:t>
      </w:r>
    </w:p>
    <w:p w14:paraId="74FA1493"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Заводы им. Лепсе, “Электросвет” и Московский прожекторный завод им. Л. М. Кагановича с 1938 г. специализировать на заказах НКО и НКОП (электро- и светооборудование), завод АТЭ</w:t>
      </w:r>
      <w:r w:rsidRPr="00DB5D0D">
        <w:rPr>
          <w:rFonts w:ascii="Times New Roman" w:hAnsi="Times New Roman"/>
          <w:color w:val="000000" w:themeColor="text1"/>
          <w:sz w:val="16"/>
          <w:szCs w:val="16"/>
        </w:rPr>
        <w:noBreakHyphen/>
        <w:t>1 — на заказах НКО, НКОП и НКМаш (самолетное и автотракторное электрооборудование).</w:t>
      </w:r>
    </w:p>
    <w:p w14:paraId="38F4537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Начатую реконструкцию заводов им. Лепсе и “Электросвет” закончить в 1939 г., а реконструкцию завода АТЭ</w:t>
      </w:r>
      <w:r w:rsidRPr="00DB5D0D">
        <w:rPr>
          <w:rFonts w:ascii="Times New Roman" w:hAnsi="Times New Roman"/>
          <w:color w:val="000000" w:themeColor="text1"/>
          <w:sz w:val="16"/>
          <w:szCs w:val="16"/>
        </w:rPr>
        <w:noBreakHyphen/>
        <w:t>1 — в 1940 г.</w:t>
      </w:r>
    </w:p>
    <w:p w14:paraId="10331D68"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Приступить в 1938 г. к строительству второй очереди Прожекторного завода им. Л. М. Кагановича, окончив его в 1940 г.</w:t>
      </w:r>
    </w:p>
    <w:p w14:paraId="13FBC718"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капитальному строительству и снабжению перечисленные заводы приравнять к заводам НКОП.</w:t>
      </w:r>
    </w:p>
    <w:p w14:paraId="3D11B2EB"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Электрооборудование</w:t>
      </w:r>
    </w:p>
    <w:p w14:paraId="6B09BAFC"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Обязать НКОП:</w:t>
      </w:r>
    </w:p>
    <w:p w14:paraId="6F5738AD"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всех опытных самолетах плана 1938</w:t>
      </w:r>
      <w:r w:rsidRPr="00DB5D0D">
        <w:rPr>
          <w:rFonts w:ascii="Times New Roman" w:hAnsi="Times New Roman"/>
          <w:color w:val="000000" w:themeColor="text1"/>
          <w:sz w:val="16"/>
          <w:szCs w:val="16"/>
        </w:rPr>
        <w:noBreakHyphen/>
        <w:t>1939 гг. устанавливать фары. На серийных самолетах СБ фары устанавливать с 1 января 1939 г., на скоростных дальних бомбардировщиках — с 1 мая 1939 г.</w:t>
      </w:r>
    </w:p>
    <w:p w14:paraId="00262AA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Установку на новые самолеты генератора ДСФИ</w:t>
      </w:r>
      <w:r w:rsidRPr="00DB5D0D">
        <w:rPr>
          <w:rFonts w:ascii="Times New Roman" w:hAnsi="Times New Roman"/>
          <w:color w:val="000000" w:themeColor="text1"/>
          <w:sz w:val="16"/>
          <w:szCs w:val="16"/>
        </w:rPr>
        <w:noBreakHyphen/>
        <w:t>1000 прекратить с 1 июля 1938 г. с переходом на генератор ГС</w:t>
      </w:r>
      <w:r w:rsidRPr="00DB5D0D">
        <w:rPr>
          <w:rFonts w:ascii="Times New Roman" w:hAnsi="Times New Roman"/>
          <w:color w:val="000000" w:themeColor="text1"/>
          <w:sz w:val="16"/>
          <w:szCs w:val="16"/>
        </w:rPr>
        <w:noBreakHyphen/>
        <w:t>1000.</w:t>
      </w:r>
    </w:p>
    <w:p w14:paraId="534002F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 15 июня 1938 г. совместно с НКО установить и ввести в действие меры по поднятию качества аккумуляторов завода № 236. С 1 июля 1938 г. по батареям 6</w:t>
      </w:r>
      <w:r w:rsidRPr="00DB5D0D">
        <w:rPr>
          <w:rFonts w:ascii="Times New Roman" w:hAnsi="Times New Roman"/>
          <w:color w:val="000000" w:themeColor="text1"/>
          <w:sz w:val="16"/>
          <w:szCs w:val="16"/>
        </w:rPr>
        <w:noBreakHyphen/>
        <w:t>А</w:t>
      </w:r>
      <w:r w:rsidRPr="00DB5D0D">
        <w:rPr>
          <w:rFonts w:ascii="Times New Roman" w:hAnsi="Times New Roman"/>
          <w:color w:val="000000" w:themeColor="text1"/>
          <w:sz w:val="16"/>
          <w:szCs w:val="16"/>
        </w:rPr>
        <w:noBreakHyphen/>
        <w:t>55 и 12</w:t>
      </w:r>
      <w:r w:rsidRPr="00DB5D0D">
        <w:rPr>
          <w:rFonts w:ascii="Times New Roman" w:hAnsi="Times New Roman"/>
          <w:color w:val="000000" w:themeColor="text1"/>
          <w:sz w:val="16"/>
          <w:szCs w:val="16"/>
        </w:rPr>
        <w:noBreakHyphen/>
        <w:t>Л</w:t>
      </w:r>
      <w:r w:rsidRPr="00DB5D0D">
        <w:rPr>
          <w:rFonts w:ascii="Times New Roman" w:hAnsi="Times New Roman"/>
          <w:color w:val="000000" w:themeColor="text1"/>
          <w:sz w:val="16"/>
          <w:szCs w:val="16"/>
        </w:rPr>
        <w:noBreakHyphen/>
        <w:t>23,5 применять морозостойкую мастику, устранить течь электролита и снабжать аккумуляторы исчерпывающим наставлением по эксплуатации.</w:t>
      </w:r>
    </w:p>
    <w:p w14:paraId="59BFA370"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 1 января 1939 г. на заводе № 236 обеспечить серийный выпуск аккумуляторов типа 12</w:t>
      </w:r>
      <w:r w:rsidRPr="00DB5D0D">
        <w:rPr>
          <w:rFonts w:ascii="Times New Roman" w:hAnsi="Times New Roman"/>
          <w:color w:val="000000" w:themeColor="text1"/>
          <w:sz w:val="16"/>
          <w:szCs w:val="16"/>
        </w:rPr>
        <w:noBreakHyphen/>
        <w:t>А в моноблоках.</w:t>
      </w:r>
    </w:p>
    <w:p w14:paraId="27EDEDC2"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Организовать в Центральной аккумуляторной лаборатории НКОП постоянную работу по совершенствованию авиааккумуляторов. Ввести в план по фонду № 5 темы по уменьшению весов и габаритов, по изучению влияния низких температур, высотности, вибрации и по обеспечению эксплуатации.</w:t>
      </w:r>
    </w:p>
    <w:p w14:paraId="6DC6FECB"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Заводу № 212 во втором полугодии 1938 г. в сроки, согласованные с НКО и НКОП, выпустить 500 шт. вольтамперметров.</w:t>
      </w:r>
    </w:p>
    <w:p w14:paraId="0629B15A"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НКМаш:</w:t>
      </w:r>
    </w:p>
    <w:p w14:paraId="08858A10"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Гражданскую продукцию с завода им. Лепсе и “Электросвет” вывести до 1 января 1940 г. В связи с этим корпус текстильных моторов на заводе ЯГЭМЗ пустить в эксплуатацию 1 октября 1939 г. Производство электроосветительного ширпотреба передать в 1938 г. НКМестпрому.</w:t>
      </w:r>
    </w:p>
    <w:p w14:paraId="060E3C6B"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Генераторы ГС</w:t>
      </w:r>
      <w:r w:rsidRPr="00DB5D0D">
        <w:rPr>
          <w:rFonts w:ascii="Times New Roman" w:hAnsi="Times New Roman"/>
          <w:color w:val="000000" w:themeColor="text1"/>
          <w:sz w:val="16"/>
          <w:szCs w:val="16"/>
        </w:rPr>
        <w:noBreakHyphen/>
        <w:t>1000 выпускать с импортными щетками со сроком службы до шлифовки коллектора 250</w:t>
      </w:r>
      <w:r w:rsidRPr="00DB5D0D">
        <w:rPr>
          <w:rFonts w:ascii="Times New Roman" w:hAnsi="Times New Roman"/>
          <w:color w:val="000000" w:themeColor="text1"/>
          <w:sz w:val="16"/>
          <w:szCs w:val="16"/>
        </w:rPr>
        <w:noBreakHyphen/>
        <w:t>300 часов. До 1 ноября 1938 г. сдать на госиспытания генераторы на 350, 650, 1000 и 1500 Вт с одноступенными регуляторами, с выпуском серий с 1 января 1939 г.</w:t>
      </w:r>
    </w:p>
    <w:p w14:paraId="6B30759D"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1938 г. поставить НКО 60 электромоторов с реостатами для проверочных стендов генераторов ГС и предусмотреть серийный выпуск их с 1 января 1939 г.</w:t>
      </w:r>
    </w:p>
    <w:p w14:paraId="3D1CF056"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заводу “Электроугли” к 1 октября 1938 г. освоить производство высококачественных щеток к авиагенераторам.</w:t>
      </w:r>
    </w:p>
    <w:p w14:paraId="1A3CE717"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Предъявить на госиспытание к 15 июня 1938 г. три типа самолетных фар на 150 и 240 мм с лампами 300 и 500 Вт. Через 4 месяца после госиспытаний фары выпустить серией.</w:t>
      </w:r>
    </w:p>
    <w:p w14:paraId="2D7A1AA6"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 Расширить выпуск самолетных ламп по 1938</w:t>
      </w:r>
      <w:r w:rsidRPr="00DB5D0D">
        <w:rPr>
          <w:rFonts w:ascii="Times New Roman" w:hAnsi="Times New Roman"/>
          <w:color w:val="000000" w:themeColor="text1"/>
          <w:sz w:val="16"/>
          <w:szCs w:val="16"/>
        </w:rPr>
        <w:noBreakHyphen/>
        <w:t>1939 гг. С 1 сентября 1938 г. по этим лампам перейти на повышенные технические условия с увеличенным сроком службы и большей надежностью;</w:t>
      </w:r>
    </w:p>
    <w:p w14:paraId="405D1C1C"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заводу “Электросвет” (НКМаш) произвести расширение производственной площади за счет жилого дома, находящегося на территории завода. Тов. Сидорову И. Н. (Моссовет) обеспечить переселение жильцов до 1 октября 1938 г.</w:t>
      </w:r>
    </w:p>
    <w:p w14:paraId="4F0C34CA"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Текущий выпуск комплектов электрооборудования шасси СБ, “Вулти” и самопусков РИ для НКОП и НКО расширить до соответствия с выпуском самолетов и потребностью эксплуатации.</w:t>
      </w:r>
    </w:p>
    <w:p w14:paraId="22520253"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Улучшенные комплекты к шасси СБ поставлять с 1 июля 1938 г. К “Вулти” и самопуску РИ на 24 В — с 15 июня 1938 г.</w:t>
      </w:r>
    </w:p>
    <w:p w14:paraId="3F2FF4E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В счет принятой программы посадочных автомобильных станций поставить НКО в 1938 г. 20 посадочно-маячных станций ПС</w:t>
      </w:r>
      <w:r w:rsidRPr="00DB5D0D">
        <w:rPr>
          <w:rFonts w:ascii="Times New Roman" w:hAnsi="Times New Roman"/>
          <w:color w:val="000000" w:themeColor="text1"/>
          <w:sz w:val="16"/>
          <w:szCs w:val="16"/>
        </w:rPr>
        <w:noBreakHyphen/>
        <w:t>6 и 80 станций АП</w:t>
      </w:r>
      <w:r w:rsidRPr="00DB5D0D">
        <w:rPr>
          <w:rFonts w:ascii="Times New Roman" w:hAnsi="Times New Roman"/>
          <w:color w:val="000000" w:themeColor="text1"/>
          <w:sz w:val="16"/>
          <w:szCs w:val="16"/>
        </w:rPr>
        <w:noBreakHyphen/>
        <w:t>3 сдать на трехосном шасси. В 1938 г. построить опытный образец зарядной автомобильной станции на шасси ГАЗ</w:t>
      </w:r>
      <w:r w:rsidRPr="00DB5D0D">
        <w:rPr>
          <w:rFonts w:ascii="Times New Roman" w:hAnsi="Times New Roman"/>
          <w:color w:val="000000" w:themeColor="text1"/>
          <w:sz w:val="16"/>
          <w:szCs w:val="16"/>
        </w:rPr>
        <w:noBreakHyphen/>
        <w:t>АА. В I квартале 1939 г. поставить 5 автомобильных зарядных станций ЗОС с 1 апреля 1939 г. обеспечить серийное производство автомобильных зарядных станций и агрегатов электрообслуживания самолетов.</w:t>
      </w:r>
    </w:p>
    <w:p w14:paraId="2DD432F1"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Обеспечить готовностью к 1 января 1939 г. на одном из действующих заводов НКМ вторую базу производства эбонитовых моноблоков к авиааккумуляторам. Ввести строгий контроль качества и плановости выпуска на заводе “Красный треугольник” эбонитовых сосудов для аккумуляторов завода № 236. Ликвидировать до 1 июля 1938 г. задолженность первого полугодия.</w:t>
      </w:r>
    </w:p>
    <w:p w14:paraId="40B31148"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Обязать НКТП:</w:t>
      </w:r>
    </w:p>
    <w:p w14:paraId="30AAC6C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Поставленное на заводе “Ленинская искра” производство новейших авиационных аккумуляторов в моноблоках обеспечить развитием и расширением. По капитальному строительству и снабжению “Ленинскую искру” приравнять к заводам НКОП. Начатые строительные работы закончить в 1938 г.</w:t>
      </w:r>
    </w:p>
    <w:p w14:paraId="2299A9E6"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Обязать трест “Электрострой” (НКМаш) закончить реконструкцию завода им. Лепсе в сроки, установленные правительством. Разрешить заводу им. Лепсе построить в черте Окружной железной дороги 13 стандартных домов.</w:t>
      </w:r>
    </w:p>
    <w:p w14:paraId="7C17A6F5"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Обязать НКМаш предусмотреть выделение в 1938 г. для подстанции завода “Электросвет” необходимое оборудование и 5 км кабеля.</w:t>
      </w:r>
    </w:p>
    <w:p w14:paraId="326CED01"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Обязать Главэнерго к 1 июля 1938 г. установить на территории завода “Электросвет” 100 кВА трансформатор и присоединить его к действующей сети.</w:t>
      </w:r>
    </w:p>
    <w:p w14:paraId="17CD1DB3"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Кислородная аппаратура для высотных полетов[</w:t>
      </w:r>
      <w:hyperlink r:id="rId174" w:anchor="p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w:t>
      </w:r>
    </w:p>
    <w:p w14:paraId="32F929C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НКТП обеспечить удовлетворение полной потребности НКО в кислороде и кислородной аппаратуре. НКТП совместно с НКО в 15</w:t>
      </w:r>
      <w:r w:rsidRPr="00DB5D0D">
        <w:rPr>
          <w:rFonts w:ascii="Times New Roman" w:hAnsi="Times New Roman"/>
          <w:color w:val="000000" w:themeColor="text1"/>
          <w:sz w:val="16"/>
          <w:szCs w:val="16"/>
        </w:rPr>
        <w:noBreakHyphen/>
        <w:t>дневный срок представить в КО согласованное предложение о форме хозяйственного управления, о расширении производственной базы и создании конструкторского бюро по производству кислородно-дыхательной аппаратуры.</w:t>
      </w:r>
    </w:p>
    <w:p w14:paraId="1BC58C25"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НКТП построить к 1 июля 1939 г. сеть стационарных кислородных заводов в системе ВАТа из расчета полного обеспечения кислородом потребностей НКО. Пункты строительства и сроки ввода в эксплуатацию согласовать с НКО. НКО представить в НКТП к 15 июля 1938 г. расчеты потребностей в кислороде и желаемые пункты строительства новых кислородных заводов.</w:t>
      </w:r>
    </w:p>
    <w:p w14:paraId="049E25C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НКТП расширить производство жидкого и газообразного кислорода на существующих заводах ВАТ. Обеспечить НКО возможность наполнения на них баллонов газообразным и жидким кислородом. Создать на некоторых заводах ремонтные цехи для ремонта кислородной аппаратуры. НКО к 15 июля 1938 г. представить в НКТП список районов потребления жидкого и газообразного кислорода.</w:t>
      </w:r>
    </w:p>
    <w:p w14:paraId="421C484A"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Снять с консервации строительство Новомосковского автогенного завода как основной базы производства кислорода и кислородного оборудования. Закончить строительство Новомосковского завода в следующие сроки: а) газовой части — к 1 июля 1939 г.; б) механической части — к 1 мая 1940 г.</w:t>
      </w:r>
    </w:p>
    <w:p w14:paraId="520E2888"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Отпустить НКТП из резервного фонда СНК СССР для ведения строительства в 1938 г. 5 млн. руб. Разрешить НКТП до 1 января 1939 г. строительство Новомосковского автогенного завода производить по проектам и сметам на отдельные объекты. НКТП предусмотреть в III квартале 1938 г. выделение фондов на строительные материалы и оборудование для строительства Новомосковского автогенного завода.</w:t>
      </w:r>
    </w:p>
    <w:p w14:paraId="0435C798"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ВАТ разработать к 1 июля 1938 г. прибор для качественного анализа кислороду в строевых частях ВВС. 10</w:t>
      </w:r>
      <w:r w:rsidRPr="00DB5D0D">
        <w:rPr>
          <w:rFonts w:ascii="Times New Roman" w:hAnsi="Times New Roman"/>
          <w:color w:val="000000" w:themeColor="text1"/>
          <w:sz w:val="16"/>
          <w:szCs w:val="16"/>
        </w:rPr>
        <w:noBreakHyphen/>
        <w:t>му Главному управлению НКОП с 1 января 1939 г. обеспечить их серийный выпуск в потребных для НКО количествах.</w:t>
      </w:r>
    </w:p>
    <w:p w14:paraId="1E36D20F"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Закончить к 1 января 1940 г. строительство на Новоуральском заводе баллонного, термического и волочильного цехов.</w:t>
      </w:r>
    </w:p>
    <w:p w14:paraId="382559FF"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НКМаш:</w:t>
      </w:r>
    </w:p>
    <w:p w14:paraId="0BFA6F98"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Изготовить к 1 августа 1938 г. 300 шт. шлангов к кислородным приборам из морозоустойчивой резины (до -60 °С) и 20 шт. кислородных насосов с механическим приводом для перекачивания газообразного кислорода из больших баллонов в малые под давлением 150 атм. К серийному производству резиновых морозоустойчивых шлангов и механических насосов приступить с 1 августа 1938 г., обеспечив полную потребность в них НКО.</w:t>
      </w:r>
    </w:p>
    <w:p w14:paraId="2197D98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Поставить для обеспечения серийного производства баллонов из хромонсиля до 15 июля 1938 г. Главтрубостали НКТП волочильный 100</w:t>
      </w:r>
      <w:r w:rsidRPr="00DB5D0D">
        <w:rPr>
          <w:rFonts w:ascii="Times New Roman" w:hAnsi="Times New Roman"/>
          <w:color w:val="000000" w:themeColor="text1"/>
          <w:sz w:val="16"/>
          <w:szCs w:val="16"/>
        </w:rPr>
        <w:noBreakHyphen/>
        <w:t>тонный двухцепной стан для холодной протяжки труб, 2 труборезных стана с диаметром полого шпинделя 180 мм и 5 обдирочных упрощенных станков типа ДИП</w:t>
      </w:r>
      <w:r w:rsidRPr="00DB5D0D">
        <w:rPr>
          <w:rFonts w:ascii="Times New Roman" w:hAnsi="Times New Roman"/>
          <w:color w:val="000000" w:themeColor="text1"/>
          <w:sz w:val="16"/>
          <w:szCs w:val="16"/>
        </w:rPr>
        <w:noBreakHyphen/>
        <w:t>150.</w:t>
      </w:r>
    </w:p>
    <w:p w14:paraId="598122E7"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 Навигационно-пилотажные приборы</w:t>
      </w:r>
    </w:p>
    <w:p w14:paraId="4A24D25B"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Обязать НКОП:</w:t>
      </w:r>
    </w:p>
    <w:p w14:paraId="01A6D01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Оборудовать 5 дальних самолетов ДБ</w:t>
      </w:r>
      <w:r w:rsidRPr="00DB5D0D">
        <w:rPr>
          <w:rFonts w:ascii="Times New Roman" w:hAnsi="Times New Roman"/>
          <w:color w:val="000000" w:themeColor="text1"/>
          <w:sz w:val="16"/>
          <w:szCs w:val="16"/>
        </w:rPr>
        <w:noBreakHyphen/>
        <w:t>3 серийными автопилотами АВП</w:t>
      </w:r>
      <w:r w:rsidRPr="00DB5D0D">
        <w:rPr>
          <w:rFonts w:ascii="Times New Roman" w:hAnsi="Times New Roman"/>
          <w:color w:val="000000" w:themeColor="text1"/>
          <w:sz w:val="16"/>
          <w:szCs w:val="16"/>
        </w:rPr>
        <w:noBreakHyphen/>
        <w:t>12 и предъявить их НКО для войсковых испытаний (2 машины — к 1 июня 1938 г. и 3 — к 15 июля 1938 г.).</w:t>
      </w:r>
    </w:p>
    <w:p w14:paraId="778AC751"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Усовершенствовать автопилот АВП</w:t>
      </w:r>
      <w:r w:rsidRPr="00DB5D0D">
        <w:rPr>
          <w:rFonts w:ascii="Times New Roman" w:hAnsi="Times New Roman"/>
          <w:color w:val="000000" w:themeColor="text1"/>
          <w:sz w:val="16"/>
          <w:szCs w:val="16"/>
        </w:rPr>
        <w:noBreakHyphen/>
        <w:t xml:space="preserve">12 для работы его при температурах до </w:t>
      </w:r>
      <w:r w:rsidRPr="00DB5D0D">
        <w:rPr>
          <w:rFonts w:ascii="Times New Roman" w:hAnsi="Times New Roman"/>
          <w:color w:val="000000" w:themeColor="text1"/>
          <w:sz w:val="16"/>
          <w:szCs w:val="16"/>
        </w:rPr>
        <w:noBreakHyphen/>
        <w:t>20 °С, с выпуском серией с 1 августа 1938 г.</w:t>
      </w:r>
    </w:p>
    <w:p w14:paraId="220D6604"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Изготовить в IV квартале 1938 г. 5 шт. автопилотов АВП</w:t>
      </w:r>
      <w:r w:rsidRPr="00DB5D0D">
        <w:rPr>
          <w:rFonts w:ascii="Times New Roman" w:hAnsi="Times New Roman"/>
          <w:color w:val="000000" w:themeColor="text1"/>
          <w:sz w:val="16"/>
          <w:szCs w:val="16"/>
        </w:rPr>
        <w:noBreakHyphen/>
        <w:t>12 обр. 1936 г. и сдать их на госиспытания, смонтированными на самолетах ДБ</w:t>
      </w:r>
      <w:r w:rsidRPr="00DB5D0D">
        <w:rPr>
          <w:rFonts w:ascii="Times New Roman" w:hAnsi="Times New Roman"/>
          <w:color w:val="000000" w:themeColor="text1"/>
          <w:sz w:val="16"/>
          <w:szCs w:val="16"/>
        </w:rPr>
        <w:noBreakHyphen/>
        <w:t>3 в I квартале 1939 г.</w:t>
      </w:r>
    </w:p>
    <w:p w14:paraId="770F6292"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Начальнику 10</w:t>
      </w:r>
      <w:r w:rsidRPr="00DB5D0D">
        <w:rPr>
          <w:rFonts w:ascii="Times New Roman" w:hAnsi="Times New Roman"/>
          <w:color w:val="000000" w:themeColor="text1"/>
          <w:sz w:val="16"/>
          <w:szCs w:val="16"/>
        </w:rPr>
        <w:noBreakHyphen/>
        <w:t>го Главного управления НКОП к 1 июля 1938 г. организовать производственную базу для монтажа и летных испытаний опытных образцов автопилотов. НКО выделить для этого к 15 июня 1938 г. два самолета ДБ</w:t>
      </w:r>
      <w:r w:rsidRPr="00DB5D0D">
        <w:rPr>
          <w:rFonts w:ascii="Times New Roman" w:hAnsi="Times New Roman"/>
          <w:color w:val="000000" w:themeColor="text1"/>
          <w:sz w:val="16"/>
          <w:szCs w:val="16"/>
        </w:rPr>
        <w:noBreakHyphen/>
        <w:t>3. Автопилоты “Гироскоп” и Неопалимова после проведения заводских испытаний смонтировать на самолетах и сдать на госиспытания к 1 сентября 1938 г.</w:t>
      </w:r>
    </w:p>
    <w:p w14:paraId="244560F2"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Оборудовать вакуумными помпами все самолеты 1939 г. (кроме истребительных и учебных), имеющие моторы с приводами для вакуумных помп.</w:t>
      </w:r>
    </w:p>
    <w:p w14:paraId="14A4D897"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Выделить базу для серийного производства эхолотов высотомеров БК</w:t>
      </w:r>
      <w:r w:rsidRPr="00DB5D0D">
        <w:rPr>
          <w:rFonts w:ascii="Times New Roman" w:hAnsi="Times New Roman"/>
          <w:color w:val="000000" w:themeColor="text1"/>
          <w:sz w:val="16"/>
          <w:szCs w:val="16"/>
        </w:rPr>
        <w:noBreakHyphen/>
        <w:t>2. Первую партию их изготовить к 1 декабря 1938 г. Опытный образец усовершенствованного эхолота сдать на госиспытания к 1 декабря 1938 г.</w:t>
      </w:r>
    </w:p>
    <w:p w14:paraId="1315E6EF"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Разработать в течение 1938 г. стандартные приборные доски для истребителя, разведчика и бомбардировщика.</w:t>
      </w:r>
    </w:p>
    <w:p w14:paraId="4A491CA4"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Создать в 1938 г. по авиационному приборостроению две ремонтные базы на Дальнем Востоке и две в европейской части Союза ССР.</w:t>
      </w:r>
    </w:p>
    <w:p w14:paraId="71DC93CB"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Разработать и предъявить на госиспытания:</w:t>
      </w:r>
    </w:p>
    <w:p w14:paraId="361ED93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перископический панорамный авиасекстант для самолета ДБ</w:t>
      </w:r>
      <w:r w:rsidRPr="00DB5D0D">
        <w:rPr>
          <w:rFonts w:ascii="Times New Roman" w:hAnsi="Times New Roman"/>
          <w:color w:val="000000" w:themeColor="text1"/>
          <w:sz w:val="16"/>
          <w:szCs w:val="16"/>
        </w:rPr>
        <w:noBreakHyphen/>
        <w:t>3 — до 1 июля 1939 г.;</w:t>
      </w:r>
    </w:p>
    <w:p w14:paraId="5880FB2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авиационный астрономический счетчик — к 1 марта 1939 г.;</w:t>
      </w:r>
    </w:p>
    <w:p w14:paraId="6730335A"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компаса летчика и наблюдателя для высоты до 12 тыс. м — к 1 августа 1938 г.;</w:t>
      </w:r>
    </w:p>
    <w:p w14:paraId="3F2EED45"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автоштурман по заводу № 213 НКОП — к 1 октября 1938 г.;</w:t>
      </w:r>
    </w:p>
    <w:p w14:paraId="0651474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гидромагнитный компас ГМК</w:t>
      </w:r>
      <w:r w:rsidRPr="00DB5D0D">
        <w:rPr>
          <w:rFonts w:ascii="Times New Roman" w:hAnsi="Times New Roman"/>
          <w:color w:val="000000" w:themeColor="text1"/>
          <w:sz w:val="16"/>
          <w:szCs w:val="16"/>
        </w:rPr>
        <w:noBreakHyphen/>
        <w:t>2 с индивидуальной амортизацией — до 1 января 1939 г.;</w:t>
      </w:r>
    </w:p>
    <w:p w14:paraId="77287F7A"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тахометр переменного тока по типу “Коломан” — к 1 декабря 1938 г.</w:t>
      </w:r>
    </w:p>
    <w:p w14:paraId="67AF61DB"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Опытную серию двухстрелочных указателей скоростей — к 1 октября 1938 г.</w:t>
      </w:r>
    </w:p>
    <w:p w14:paraId="4E49F62F"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НКМаш:</w:t>
      </w:r>
    </w:p>
    <w:p w14:paraId="06764AEF"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Изготовить к 1 декабря 1938 г. опытный образец умформера трехфазного тока для питания электронавигационных приборов.</w:t>
      </w:r>
    </w:p>
    <w:p w14:paraId="03256ED9"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Обеспечить в 1938 г. на базе завода “Каучук” производство специальных приборных амортизаторов в необходимых для НКОП количествах.</w:t>
      </w:r>
    </w:p>
    <w:p w14:paraId="4E1A1AE7"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Изготовить на 1</w:t>
      </w:r>
      <w:r w:rsidRPr="00DB5D0D">
        <w:rPr>
          <w:rFonts w:ascii="Times New Roman" w:hAnsi="Times New Roman"/>
          <w:color w:val="000000" w:themeColor="text1"/>
          <w:sz w:val="16"/>
          <w:szCs w:val="16"/>
        </w:rPr>
        <w:noBreakHyphen/>
        <w:t>м часовом заводе к 1 октября 1938 г. опытную партию тахометров типа “Хаслер”. С 1 января 1939 г. организовать серийный выпуск их с годовым выпуском в 1 тыс. шт.</w:t>
      </w:r>
    </w:p>
    <w:p w14:paraId="5A86DFD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VIII. Фотооборудование</w:t>
      </w:r>
    </w:p>
    <w:p w14:paraId="0347313A"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Обязать НКОП построить и сдать на госиспытания:</w:t>
      </w:r>
    </w:p>
    <w:p w14:paraId="5D382EEC"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Для артиллерийских и войсковых разведчиков — два образца аэрофотоаппарата АФА</w:t>
      </w:r>
      <w:r w:rsidRPr="00DB5D0D">
        <w:rPr>
          <w:rFonts w:ascii="Times New Roman" w:hAnsi="Times New Roman"/>
          <w:color w:val="000000" w:themeColor="text1"/>
          <w:sz w:val="16"/>
          <w:szCs w:val="16"/>
        </w:rPr>
        <w:noBreakHyphen/>
        <w:t>1 с корпусами фокусных расстояний 180, 300 и 500 мм — к 1 сентября 1939 г. и пять образцов АФА</w:t>
      </w:r>
      <w:r w:rsidRPr="00DB5D0D">
        <w:rPr>
          <w:rFonts w:ascii="Times New Roman" w:hAnsi="Times New Roman"/>
          <w:color w:val="000000" w:themeColor="text1"/>
          <w:sz w:val="16"/>
          <w:szCs w:val="16"/>
        </w:rPr>
        <w:noBreakHyphen/>
        <w:t>1 с корпусами 300 и 500 мм — к 1 августа 1938 г. на войсковые испытания. Войсковые испытания закончить в месячный срок.</w:t>
      </w:r>
    </w:p>
    <w:p w14:paraId="4F6CFE0F"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Для разведывательной авиации — два образца автоматического аэрофотоаппарата для ночной разведки АФА</w:t>
      </w:r>
      <w:r w:rsidRPr="00DB5D0D">
        <w:rPr>
          <w:rFonts w:ascii="Times New Roman" w:hAnsi="Times New Roman"/>
          <w:color w:val="000000" w:themeColor="text1"/>
          <w:sz w:val="16"/>
          <w:szCs w:val="16"/>
        </w:rPr>
        <w:noBreakHyphen/>
        <w:t>22 — к 1 декабря 1938 г. и через 6 месяцев по утверждению образца — партию в 10 шт. для войсковых испытаний.</w:t>
      </w:r>
    </w:p>
    <w:p w14:paraId="235B6CA1"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Для всех родов авиации (кроме истребительной) — пять образцов перспективных аэрофотоаппаратов с телеобъективом АФА</w:t>
      </w:r>
      <w:r w:rsidRPr="00DB5D0D">
        <w:rPr>
          <w:rFonts w:ascii="Times New Roman" w:hAnsi="Times New Roman"/>
          <w:color w:val="000000" w:themeColor="text1"/>
          <w:sz w:val="16"/>
          <w:szCs w:val="16"/>
        </w:rPr>
        <w:noBreakHyphen/>
        <w:t>27</w:t>
      </w:r>
      <w:r w:rsidRPr="00DB5D0D">
        <w:rPr>
          <w:rFonts w:ascii="Times New Roman" w:hAnsi="Times New Roman"/>
          <w:color w:val="000000" w:themeColor="text1"/>
          <w:sz w:val="16"/>
          <w:szCs w:val="16"/>
        </w:rPr>
        <w:noBreakHyphen/>
        <w:t>бис — к 15 августа 1938 г. на войсковые испытания, которые закончить в месячный срок.</w:t>
      </w:r>
    </w:p>
    <w:p w14:paraId="0563148A"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Для истребителей и штурмовой авиации — два образца автоматического аэрофотоаппарата АФА</w:t>
      </w:r>
      <w:r w:rsidRPr="00DB5D0D">
        <w:rPr>
          <w:rFonts w:ascii="Times New Roman" w:hAnsi="Times New Roman"/>
          <w:color w:val="000000" w:themeColor="text1"/>
          <w:sz w:val="16"/>
          <w:szCs w:val="16"/>
        </w:rPr>
        <w:noBreakHyphen/>
        <w:t>30 малых габаритов и весов с приборами обработки — к 15 декабря 1938 г. и по утверждению образца, через 8 месяцев, — партию в 10 шт. для войсковых испытаний.</w:t>
      </w:r>
    </w:p>
    <w:p w14:paraId="4517A083"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Для дальнего разведчика — автоматический аэрофотоаппарат АФА</w:t>
      </w:r>
      <w:r w:rsidRPr="00DB5D0D">
        <w:rPr>
          <w:rFonts w:ascii="Times New Roman" w:hAnsi="Times New Roman"/>
          <w:color w:val="000000" w:themeColor="text1"/>
          <w:sz w:val="16"/>
          <w:szCs w:val="16"/>
        </w:rPr>
        <w:noBreakHyphen/>
        <w:t>23</w:t>
      </w:r>
      <w:r w:rsidRPr="00DB5D0D">
        <w:rPr>
          <w:rFonts w:ascii="Times New Roman" w:hAnsi="Times New Roman"/>
          <w:color w:val="000000" w:themeColor="text1"/>
          <w:sz w:val="16"/>
          <w:szCs w:val="16"/>
        </w:rPr>
        <w:noBreakHyphen/>
        <w:t>бис с корпусами 300, 500 и 700 мм — к 15 июля 1938 г. и по утверждению образца, через 10 месяцев, — опытную партию в 10 шт. для войсковых испытаний.</w:t>
      </w:r>
    </w:p>
    <w:p w14:paraId="3675AC24"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Для морской и сухопутной разведывательной авиации — два образца автоматической самолетной фотолаборатории — к 1 марта 1939 г.</w:t>
      </w:r>
    </w:p>
    <w:p w14:paraId="5B599FCB"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Для бомбардировочной и разведывательной авиации — два образца автоматического аэрофотоаппарата двух щелевого для непрерывной съемки АФА</w:t>
      </w:r>
      <w:r w:rsidRPr="00DB5D0D">
        <w:rPr>
          <w:rFonts w:ascii="Times New Roman" w:hAnsi="Times New Roman"/>
          <w:color w:val="000000" w:themeColor="text1"/>
          <w:sz w:val="16"/>
          <w:szCs w:val="16"/>
        </w:rPr>
        <w:noBreakHyphen/>
        <w:t>21Д — к 1 июля 1939 г.</w:t>
      </w:r>
    </w:p>
    <w:p w14:paraId="185409DD"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Фотобомбы для ночной съемки, обеспечивающие фоторазведку на высотах до 3 тыс. м, в количестве 100 шт. — к 1 декабря 1938 г. По утверждению образца, через 3 месяца, сдать на войсковые испытания партию в количестве 1 тыс. шт.</w:t>
      </w:r>
    </w:p>
    <w:p w14:paraId="6B0B11F7"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Комитета обороны при СНК СССР[</w:t>
      </w:r>
      <w:hyperlink r:id="rId175" w:anchor="p4" w:history="1">
        <w:r w:rsidRPr="00DB5D0D">
          <w:rPr>
            <w:rFonts w:ascii="Times New Roman" w:hAnsi="Times New Roman"/>
            <w:color w:val="000000" w:themeColor="text1"/>
            <w:sz w:val="16"/>
            <w:szCs w:val="16"/>
          </w:rPr>
          <w:t>4</w:t>
        </w:r>
      </w:hyperlink>
      <w:r w:rsidRPr="00DB5D0D">
        <w:rPr>
          <w:rFonts w:ascii="Times New Roman" w:hAnsi="Times New Roman"/>
          <w:color w:val="000000" w:themeColor="text1"/>
          <w:sz w:val="16"/>
          <w:szCs w:val="16"/>
        </w:rPr>
        <w:t>]</w:t>
      </w:r>
    </w:p>
    <w:p w14:paraId="22BD10CA"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Комитета обороны при СНК СССРБазилевич[</w:t>
      </w:r>
      <w:hyperlink r:id="rId176" w:anchor="p5" w:history="1">
        <w:r w:rsidRPr="00DB5D0D">
          <w:rPr>
            <w:rFonts w:ascii="Times New Roman" w:hAnsi="Times New Roman"/>
            <w:color w:val="000000" w:themeColor="text1"/>
            <w:sz w:val="16"/>
            <w:szCs w:val="16"/>
          </w:rPr>
          <w:t>5</w:t>
        </w:r>
      </w:hyperlink>
      <w:r w:rsidRPr="00DB5D0D">
        <w:rPr>
          <w:rFonts w:ascii="Times New Roman" w:hAnsi="Times New Roman"/>
          <w:color w:val="000000" w:themeColor="text1"/>
          <w:sz w:val="16"/>
          <w:szCs w:val="16"/>
        </w:rPr>
        <w:t>]</w:t>
      </w:r>
    </w:p>
    <w:p w14:paraId="4A39EA20"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p w14:paraId="2AD7B82D"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77"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Здесь и далее: так в тексте.</w:t>
      </w:r>
    </w:p>
    <w:p w14:paraId="30C15510"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78" w:anchor="s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Помета: «По п. 4 НКМаш возражает».</w:t>
      </w:r>
    </w:p>
    <w:p w14:paraId="03E921EE"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79" w:anchor="s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 Первоначальная редакция п. 1-5 зачеркнута и заменена редакцией секретариата Комитета обороны Рядом — помета: «т. Каганович Л. М. согласен».</w:t>
      </w:r>
    </w:p>
    <w:p w14:paraId="21C75625"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80" w:anchor="s4" w:history="1">
        <w:r w:rsidRPr="00DB5D0D">
          <w:rPr>
            <w:rFonts w:ascii="Times New Roman" w:hAnsi="Times New Roman"/>
            <w:color w:val="000000" w:themeColor="text1"/>
            <w:sz w:val="16"/>
            <w:szCs w:val="16"/>
          </w:rPr>
          <w:t>4</w:t>
        </w:r>
      </w:hyperlink>
      <w:r w:rsidRPr="00DB5D0D">
        <w:rPr>
          <w:rFonts w:ascii="Times New Roman" w:hAnsi="Times New Roman"/>
          <w:color w:val="000000" w:themeColor="text1"/>
          <w:sz w:val="16"/>
          <w:szCs w:val="16"/>
        </w:rPr>
        <w:t>] Фамилия и подпись В. М. Молотова отсутствуют. На первом листе — подписи: «Ворошилов, Каганович М. М., за — Смирнов, Каганович, В. Молотов».</w:t>
      </w:r>
    </w:p>
    <w:p w14:paraId="77408322"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81" w:anchor="s5" w:history="1">
        <w:r w:rsidRPr="00DB5D0D">
          <w:rPr>
            <w:rFonts w:ascii="Times New Roman" w:hAnsi="Times New Roman"/>
            <w:color w:val="000000" w:themeColor="text1"/>
            <w:sz w:val="16"/>
            <w:szCs w:val="16"/>
          </w:rPr>
          <w:t>5</w:t>
        </w:r>
      </w:hyperlink>
      <w:r w:rsidRPr="00DB5D0D">
        <w:rPr>
          <w:rFonts w:ascii="Times New Roman" w:hAnsi="Times New Roman"/>
          <w:color w:val="000000" w:themeColor="text1"/>
          <w:sz w:val="16"/>
          <w:szCs w:val="16"/>
        </w:rPr>
        <w:t>] Нарком оборонной промышленности СССР М. М. Каганович подписал 10 августа 1938 г. приказ по исполнению постановления Комитета обороны при СНК СССР № 152сс, в котором расписал мероприятия по каждому главку. 23 августа 1938 г. начальник ВВС РККА А. Д. Локтионов и член Военного совета И. И. Овчинкин направили наркому оборонной промышленности СССР М. М. Кагановичу письмо о результатах проверки хода работ по реализации постановления. В нем говорилось: «К 20 августа с. г. 1</w:t>
      </w:r>
      <w:r w:rsidRPr="00DB5D0D">
        <w:rPr>
          <w:rFonts w:ascii="Times New Roman" w:hAnsi="Times New Roman"/>
          <w:color w:val="000000" w:themeColor="text1"/>
          <w:sz w:val="16"/>
          <w:szCs w:val="16"/>
        </w:rPr>
        <w:noBreakHyphen/>
        <w:t>е Главное управление, 10</w:t>
      </w:r>
      <w:r w:rsidRPr="00DB5D0D">
        <w:rPr>
          <w:rFonts w:ascii="Times New Roman" w:hAnsi="Times New Roman"/>
          <w:color w:val="000000" w:themeColor="text1"/>
          <w:sz w:val="16"/>
          <w:szCs w:val="16"/>
        </w:rPr>
        <w:noBreakHyphen/>
        <w:t>е Главное управление НКОП и НИИ</w:t>
      </w:r>
      <w:r w:rsidRPr="00DB5D0D">
        <w:rPr>
          <w:rFonts w:ascii="Times New Roman" w:hAnsi="Times New Roman"/>
          <w:color w:val="000000" w:themeColor="text1"/>
          <w:sz w:val="16"/>
          <w:szCs w:val="16"/>
        </w:rPr>
        <w:noBreakHyphen/>
        <w:t>12 НКОП приказа Наркомата оборонной промышленности о работах по реализации этого постановления не получили и к указанным работам не приступали. Над объектами, перечисленными в указанном постановлении, ведется некоторая работа по инициативе предприятий. Эта работа часто не совпадает с требованиями, предъявляемыми постановлением. Так, на заводе № 39 НКОП к 15 августа 1938 г. должны быть оборудованы автопилотами АВП</w:t>
      </w:r>
      <w:r w:rsidRPr="00DB5D0D">
        <w:rPr>
          <w:rFonts w:ascii="Times New Roman" w:hAnsi="Times New Roman"/>
          <w:color w:val="000000" w:themeColor="text1"/>
          <w:sz w:val="16"/>
          <w:szCs w:val="16"/>
        </w:rPr>
        <w:noBreakHyphen/>
        <w:t>12 и предоставлены для войсковых испытаний 5 самолетов ДБ</w:t>
      </w:r>
      <w:r w:rsidRPr="00DB5D0D">
        <w:rPr>
          <w:rFonts w:ascii="Times New Roman" w:hAnsi="Times New Roman"/>
          <w:color w:val="000000" w:themeColor="text1"/>
          <w:sz w:val="16"/>
          <w:szCs w:val="16"/>
        </w:rPr>
        <w:noBreakHyphen/>
        <w:t>3. Фактически оборудован автопилотом АВП</w:t>
      </w:r>
      <w:r w:rsidRPr="00DB5D0D">
        <w:rPr>
          <w:rFonts w:ascii="Times New Roman" w:hAnsi="Times New Roman"/>
          <w:color w:val="000000" w:themeColor="text1"/>
          <w:sz w:val="16"/>
          <w:szCs w:val="16"/>
        </w:rPr>
        <w:noBreakHyphen/>
        <w:t>12 и подготовлен к испытанию один самолет ДБ</w:t>
      </w:r>
      <w:r w:rsidRPr="00DB5D0D">
        <w:rPr>
          <w:rFonts w:ascii="Times New Roman" w:hAnsi="Times New Roman"/>
          <w:color w:val="000000" w:themeColor="text1"/>
          <w:sz w:val="16"/>
          <w:szCs w:val="16"/>
        </w:rPr>
        <w:noBreakHyphen/>
        <w:t>3. НИИ</w:t>
      </w:r>
      <w:r w:rsidRPr="00DB5D0D">
        <w:rPr>
          <w:rFonts w:ascii="Times New Roman" w:hAnsi="Times New Roman"/>
          <w:color w:val="000000" w:themeColor="text1"/>
          <w:sz w:val="16"/>
          <w:szCs w:val="16"/>
        </w:rPr>
        <w:noBreakHyphen/>
        <w:t>12 НКОП должен смонтировать и представить на госиспытания к 1 сентября с. г. автопилот “Гироскоп” на самолете СБ обр. 1937 г. Не зная о постановлении правительства и не имея самолета СБ</w:t>
      </w:r>
      <w:r w:rsidRPr="00DB5D0D">
        <w:rPr>
          <w:rFonts w:ascii="Times New Roman" w:hAnsi="Times New Roman"/>
          <w:color w:val="000000" w:themeColor="text1"/>
          <w:sz w:val="16"/>
          <w:szCs w:val="16"/>
        </w:rPr>
        <w:noBreakHyphen/>
        <w:t>37, НИИ</w:t>
      </w:r>
      <w:r w:rsidRPr="00DB5D0D">
        <w:rPr>
          <w:rFonts w:ascii="Times New Roman" w:hAnsi="Times New Roman"/>
          <w:color w:val="000000" w:themeColor="text1"/>
          <w:sz w:val="16"/>
          <w:szCs w:val="16"/>
        </w:rPr>
        <w:noBreakHyphen/>
        <w:t>12 ведет работу по монтажу автопилота “Гироскоп” на самолете Р</w:t>
      </w:r>
      <w:r w:rsidRPr="00DB5D0D">
        <w:rPr>
          <w:rFonts w:ascii="Times New Roman" w:hAnsi="Times New Roman"/>
          <w:color w:val="000000" w:themeColor="text1"/>
          <w:sz w:val="16"/>
          <w:szCs w:val="16"/>
        </w:rPr>
        <w:noBreakHyphen/>
        <w:t>зет. Монтаж должен быть закончен к 1 сентября с. г.». (РГАЭ. Ф. 8044. Оп. 1. Д. 483а. Л. 89</w:t>
      </w:r>
      <w:r w:rsidRPr="00DB5D0D">
        <w:rPr>
          <w:rFonts w:ascii="Times New Roman" w:hAnsi="Times New Roman"/>
          <w:color w:val="000000" w:themeColor="text1"/>
          <w:sz w:val="16"/>
          <w:szCs w:val="16"/>
        </w:rPr>
        <w:noBreakHyphen/>
        <w:t>96, 121.)</w:t>
      </w:r>
    </w:p>
    <w:p w14:paraId="00F3AA50" w14:textId="77777777" w:rsidR="004A2AB8" w:rsidRPr="00DB5D0D" w:rsidRDefault="004A2A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28. Д. 34. Л. 365-376. Подлинник (17778).</w:t>
      </w:r>
    </w:p>
    <w:p w14:paraId="1ED97563" w14:textId="77777777" w:rsidR="004A2AB8" w:rsidRPr="00DB5D0D" w:rsidRDefault="004A2AB8" w:rsidP="00DB5D0D">
      <w:pPr>
        <w:spacing w:after="0" w:line="240" w:lineRule="auto"/>
        <w:jc w:val="both"/>
        <w:rPr>
          <w:rFonts w:ascii="Times New Roman" w:hAnsi="Times New Roman"/>
          <w:color w:val="000000" w:themeColor="text1"/>
          <w:sz w:val="16"/>
          <w:szCs w:val="16"/>
        </w:rPr>
      </w:pPr>
    </w:p>
    <w:p w14:paraId="177924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приказом N 272к НКАП Н.Н.П. назначили директором и ГК завода 51 (863,318).</w:t>
      </w:r>
    </w:p>
    <w:p w14:paraId="1D89209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0B36C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г. приказом НКАП от Николая Никола</w:t>
      </w:r>
      <w:r w:rsidRPr="00DB5D0D">
        <w:rPr>
          <w:rFonts w:ascii="Times New Roman" w:hAnsi="Times New Roman"/>
          <w:color w:val="000000" w:themeColor="text1"/>
          <w:sz w:val="16"/>
          <w:szCs w:val="16"/>
        </w:rPr>
        <w:softHyphen/>
        <w:t>евича назначили директором и главным конструктором завода № 51. По сути, ОКБ «выпихивали» на недостро</w:t>
      </w:r>
      <w:r w:rsidRPr="00DB5D0D">
        <w:rPr>
          <w:rFonts w:ascii="Times New Roman" w:hAnsi="Times New Roman"/>
          <w:color w:val="000000" w:themeColor="text1"/>
          <w:sz w:val="16"/>
          <w:szCs w:val="16"/>
        </w:rPr>
        <w:softHyphen/>
        <w:t>енное предприятие, на котором отсутствовали возмож</w:t>
      </w:r>
      <w:r w:rsidRPr="00DB5D0D">
        <w:rPr>
          <w:rFonts w:ascii="Times New Roman" w:hAnsi="Times New Roman"/>
          <w:color w:val="000000" w:themeColor="text1"/>
          <w:sz w:val="16"/>
          <w:szCs w:val="16"/>
        </w:rPr>
        <w:softHyphen/>
        <w:t>ности по реализации творческих замыслов. Николай Николаевич назначил М.К.Янгеля своим заместителем по заводу № 51. Наркомат от оказания помощи факти</w:t>
      </w:r>
      <w:r w:rsidRPr="00DB5D0D">
        <w:rPr>
          <w:rFonts w:ascii="Times New Roman" w:hAnsi="Times New Roman"/>
          <w:color w:val="000000" w:themeColor="text1"/>
          <w:sz w:val="16"/>
          <w:szCs w:val="16"/>
        </w:rPr>
        <w:softHyphen/>
        <w:t>чески устранился, переложив все вопросы строительст</w:t>
      </w:r>
      <w:r w:rsidRPr="00DB5D0D">
        <w:rPr>
          <w:rFonts w:ascii="Times New Roman" w:hAnsi="Times New Roman"/>
          <w:color w:val="000000" w:themeColor="text1"/>
          <w:sz w:val="16"/>
          <w:szCs w:val="16"/>
        </w:rPr>
        <w:softHyphen/>
        <w:t>ва, оборудования и оснащения опытного завода на завод № 1, не имеющий для этой цели соответствующих материальных и финансовых средств, и к тому же не за</w:t>
      </w:r>
      <w:r w:rsidRPr="00DB5D0D">
        <w:rPr>
          <w:rFonts w:ascii="Times New Roman" w:hAnsi="Times New Roman"/>
          <w:color w:val="000000" w:themeColor="text1"/>
          <w:sz w:val="16"/>
          <w:szCs w:val="16"/>
        </w:rPr>
        <w:softHyphen/>
        <w:t>интересованный в этом. В итоге все встало. Поликарпов пытался что-то делать, как-то воздействовать на руко</w:t>
      </w:r>
      <w:r w:rsidRPr="00DB5D0D">
        <w:rPr>
          <w:rFonts w:ascii="Times New Roman" w:hAnsi="Times New Roman"/>
          <w:color w:val="000000" w:themeColor="text1"/>
          <w:sz w:val="16"/>
          <w:szCs w:val="16"/>
        </w:rPr>
        <w:softHyphen/>
        <w:t>водство, но наталкивался на стену непонимания. Неудачи с испытаниями СПБ породили волну недо</w:t>
      </w:r>
      <w:r w:rsidRPr="00DB5D0D">
        <w:rPr>
          <w:rFonts w:ascii="Times New Roman" w:hAnsi="Times New Roman"/>
          <w:color w:val="000000" w:themeColor="text1"/>
          <w:sz w:val="16"/>
          <w:szCs w:val="16"/>
        </w:rPr>
        <w:softHyphen/>
        <w:t>верия к Н.Н.Поликарпову и его самолетам. Недавние массовые репрессии внесли свою лепту в формирование определенного психологического климата общества. От Поликарпова стали сторониться, от его просьб отмахи</w:t>
      </w:r>
      <w:r w:rsidRPr="00DB5D0D">
        <w:rPr>
          <w:rFonts w:ascii="Times New Roman" w:hAnsi="Times New Roman"/>
          <w:color w:val="000000" w:themeColor="text1"/>
          <w:sz w:val="16"/>
          <w:szCs w:val="16"/>
        </w:rPr>
        <w:softHyphen/>
        <w:t>вались. В наркомате на ОКБ Поликарпова фактически поста</w:t>
      </w:r>
      <w:r w:rsidRPr="00DB5D0D">
        <w:rPr>
          <w:rFonts w:ascii="Times New Roman" w:hAnsi="Times New Roman"/>
          <w:color w:val="000000" w:themeColor="text1"/>
          <w:sz w:val="16"/>
          <w:szCs w:val="16"/>
        </w:rPr>
        <w:softHyphen/>
        <w:t>вили крест, что нашло отражение в докладной записке начальника планово-экономического отдела НКАП Водяницкого заместителю наркома Яковлеву от 24 июля 1940 г., в которой к числу конструкторских бюро, не имеющих перспектив в IV квартале 1940 г., было отне</w:t>
      </w:r>
      <w:r w:rsidRPr="00DB5D0D">
        <w:rPr>
          <w:rFonts w:ascii="Times New Roman" w:hAnsi="Times New Roman"/>
          <w:color w:val="000000" w:themeColor="text1"/>
          <w:sz w:val="16"/>
          <w:szCs w:val="16"/>
        </w:rPr>
        <w:softHyphen/>
        <w:t>сено и ОКБ Поликарпова (10667).</w:t>
      </w:r>
    </w:p>
    <w:p w14:paraId="6E48CD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A045C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вышел приказ НКАП N 333сс в развитие приказа N 222сс от 21 мая 1940 по обеспечению выполнения программы Кировским заводом НКТМ в 1940 по объекту М-40" (1296,100).</w:t>
      </w:r>
    </w:p>
    <w:p w14:paraId="145700C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C561F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74BA60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C2E4DD0"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позднее 8 июля 1938 г.[</w:t>
      </w:r>
      <w:hyperlink r:id="rId182" w:anchor="p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w:t>
      </w:r>
    </w:p>
    <w:p w14:paraId="076BFF9B"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28. Заключение комиссии Г. И. Кулика по предложениям фирмы “Шкода” о сотрудничестве[</w:t>
      </w:r>
      <w:hyperlink r:id="rId183"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w:t>
      </w:r>
    </w:p>
    <w:p w14:paraId="55398505"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1AB0F500"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175-177.</w:t>
      </w:r>
    </w:p>
    <w:p w14:paraId="11B3AEDC"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3547E7B1"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22. Д. 382. Л. 197-200. Подлинник.</w:t>
      </w:r>
    </w:p>
    <w:p w14:paraId="22904CDE"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14E192C7"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Президент фирмы бывших заводов “Шкода” г</w:t>
      </w:r>
      <w:r w:rsidRPr="00DB5D0D">
        <w:rPr>
          <w:rFonts w:ascii="Times New Roman" w:hAnsi="Times New Roman"/>
          <w:color w:val="000000" w:themeColor="text1"/>
          <w:sz w:val="16"/>
          <w:szCs w:val="16"/>
        </w:rPr>
        <w:noBreakHyphen/>
        <w:t>н Громадко сделал следующие предложения.</w:t>
      </w:r>
    </w:p>
    <w:p w14:paraId="2CC8A3A0"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Представить для испытания в СССР взаимообразно следующие артиллерийские материалы: а) две тяжелых пушки 105 мм обр. 1935 г. с приспособлениями для механического подъема, с прицелом, зрительной трубой и запасными частями, уложенными на пушке и в ящиках и различного действия, — 1 тыс. снарядов; б) одну 150</w:t>
      </w:r>
      <w:r w:rsidRPr="00DB5D0D">
        <w:rPr>
          <w:rFonts w:ascii="Times New Roman" w:hAnsi="Times New Roman"/>
          <w:color w:val="000000" w:themeColor="text1"/>
          <w:sz w:val="16"/>
          <w:szCs w:val="16"/>
        </w:rPr>
        <w:noBreakHyphen/>
        <w:t>мм гаубицу и 250 шт. снарядов; в) два миномета 85,25 мм обр. 1936 г. и 990 шт. мин в полном боевом снаряжении; г) два трактора с бензиновым мотором и принадлежностями, уложенными на тракторе.</w:t>
      </w:r>
    </w:p>
    <w:p w14:paraId="283A07F8"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Две 105</w:t>
      </w:r>
      <w:r w:rsidRPr="00DB5D0D">
        <w:rPr>
          <w:rFonts w:ascii="Times New Roman" w:hAnsi="Times New Roman"/>
          <w:color w:val="000000" w:themeColor="text1"/>
          <w:sz w:val="16"/>
          <w:szCs w:val="16"/>
        </w:rPr>
        <w:noBreakHyphen/>
        <w:t>мм пушки со снарядами, два миномета 85,25  мм с минами и два трактора предложено отправить из Праги не позже 1 июля 1938 г. 150</w:t>
      </w:r>
      <w:r w:rsidRPr="00DB5D0D">
        <w:rPr>
          <w:rFonts w:ascii="Times New Roman" w:hAnsi="Times New Roman"/>
          <w:color w:val="000000" w:themeColor="text1"/>
          <w:sz w:val="16"/>
          <w:szCs w:val="16"/>
        </w:rPr>
        <w:noBreakHyphen/>
        <w:t>мм гаубица вместе с 250 снарядами отправляется не позже 15 июля 1938 г. и один трактор с дизель-мотором.</w:t>
      </w:r>
    </w:p>
    <w:p w14:paraId="55507C93"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передачу на испытание вышеуказанных артиллерийских материалов фирма “Шкода” испрашивает оплату расходов, связанных с проведением испытаний (включая стоимость снарядов) и транспортировкой, 131 620 американских долларов.</w:t>
      </w:r>
    </w:p>
    <w:p w14:paraId="0BC7F82F"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Фирма “Шкода” командирует в СССР делегацию в 10 чел. для обслуживания и надзора за всем  вышеуказанным артиллерийским имуществом на срок нахождения такового на территории СССР. На расходы по сопровождению и наблюдению за системами фирма “Шкода” испрашивает 4350 американских долларов, не считая оплаты за квартиру и питание. Со дня подписания соглашения фирма требует аванс в размере 100 тыс. американских долларов.</w:t>
      </w:r>
    </w:p>
    <w:p w14:paraId="1188E251"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Фирма предлагает в случае, если испытание покажет приемлемость указанного артиллерийского материала для приобретения, продать таковой при условии приобретения на него лицензии. За лицензию 105</w:t>
      </w:r>
      <w:r w:rsidRPr="00DB5D0D">
        <w:rPr>
          <w:rFonts w:ascii="Times New Roman" w:hAnsi="Times New Roman"/>
          <w:color w:val="000000" w:themeColor="text1"/>
          <w:sz w:val="16"/>
          <w:szCs w:val="16"/>
        </w:rPr>
        <w:noBreakHyphen/>
        <w:t>мм пушки — 245 тыс. американских долларов, за лицензию снарядов к 105</w:t>
      </w:r>
      <w:r w:rsidRPr="00DB5D0D">
        <w:rPr>
          <w:rFonts w:ascii="Times New Roman" w:hAnsi="Times New Roman"/>
          <w:color w:val="000000" w:themeColor="text1"/>
          <w:sz w:val="16"/>
          <w:szCs w:val="16"/>
        </w:rPr>
        <w:noBreakHyphen/>
        <w:t>мм пушке всех видов — 175 тыс. американских долларов, за лицензию на минометы 81,25 мм — 87,5 тыс. американских долларов, за лицензию на корпус мин — 52,5 тыс. американских долларов  и за лицензию для взрывателей для минометов — 140 тыс. американских долларов. За лицензию на производство тракторов — 210 тыс. американских долларов, за лицензию на производство 160</w:t>
      </w:r>
      <w:r w:rsidRPr="00DB5D0D">
        <w:rPr>
          <w:rFonts w:ascii="Times New Roman" w:hAnsi="Times New Roman"/>
          <w:color w:val="000000" w:themeColor="text1"/>
          <w:sz w:val="16"/>
          <w:szCs w:val="16"/>
        </w:rPr>
        <w:noBreakHyphen/>
        <w:t>мм гаубицы — 245 тыс. американских долларов, за лицензии всех видов снарядов [для] 150</w:t>
      </w:r>
      <w:r w:rsidRPr="00DB5D0D">
        <w:rPr>
          <w:rFonts w:ascii="Times New Roman" w:hAnsi="Times New Roman"/>
          <w:color w:val="000000" w:themeColor="text1"/>
          <w:sz w:val="16"/>
          <w:szCs w:val="16"/>
        </w:rPr>
        <w:noBreakHyphen/>
        <w:t>мм гаубицы — 175 тыс. американских долларов.</w:t>
      </w:r>
    </w:p>
    <w:p w14:paraId="4B5EFC97"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случае приобретения всех вышеуказанных лицензий общая стоимость будет составлять 1,33 млн. американских долларов. Лицензии могут приобретаться раздельно, в зависимости от того, какой вид артиллерийского имущества будет приемлем для приобретения с вышеуказанной соответствующей оплатой.</w:t>
      </w:r>
    </w:p>
    <w:p w14:paraId="160D0B6B"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Фирма сделала предложение на поставку поковок для следующих систем: а) три гарнитура поковок для 305</w:t>
      </w:r>
      <w:r w:rsidRPr="00DB5D0D">
        <w:rPr>
          <w:rFonts w:ascii="Times New Roman" w:hAnsi="Times New Roman"/>
          <w:color w:val="000000" w:themeColor="text1"/>
          <w:sz w:val="16"/>
          <w:szCs w:val="16"/>
        </w:rPr>
        <w:noBreakHyphen/>
        <w:t>мм гаубиц на общую сумму 82 530 американских долларов, с поставкой: начало — 31 января 1939 г., конец — 30 марта 1939 г.; б) шесть гарнитуров поковок для 210</w:t>
      </w:r>
      <w:r w:rsidRPr="00DB5D0D">
        <w:rPr>
          <w:rFonts w:ascii="Times New Roman" w:hAnsi="Times New Roman"/>
          <w:color w:val="000000" w:themeColor="text1"/>
          <w:sz w:val="16"/>
          <w:szCs w:val="16"/>
        </w:rPr>
        <w:noBreakHyphen/>
        <w:t>мм пушки на общую стоимость 146 880 американских долларов, со сроками поставки: начало — 15 января 1939 г., конец — 15 июня 1939 г.; в) двадцать гарнитуров поковок для 76,2</w:t>
      </w:r>
      <w:r w:rsidRPr="00DB5D0D">
        <w:rPr>
          <w:rFonts w:ascii="Times New Roman" w:hAnsi="Times New Roman"/>
          <w:color w:val="000000" w:themeColor="text1"/>
          <w:sz w:val="16"/>
          <w:szCs w:val="16"/>
        </w:rPr>
        <w:noBreakHyphen/>
        <w:t>мм зенитной пушки на общую сумму 81 140 американских долларов, со сроками поставки: начиная с 30 ноября 1938 г., кончая 28 февраля 1939 г.</w:t>
      </w:r>
    </w:p>
    <w:p w14:paraId="0D7BC431"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поковок — на 310 550 американских долларов.</w:t>
      </w:r>
    </w:p>
    <w:p w14:paraId="602247BE"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Фирма сделала предложение на заключение договора по оказанию технической помощи по металлургии. Техническая помощь будет заключаться в представлении для изучения всех материалов по металлургии (архивы зафиксированных технологических процессов, термических режимов, рецептур шихты, методов испытаний, процессов плавки и т. д.). Техническая помощь по металлургии будет распространяться на производство по следующим цехам: сталеплавильные цехи (мартены и электрические печи), прессовые, термические, сварочные и другие цехи.</w:t>
      </w:r>
    </w:p>
    <w:p w14:paraId="1E2729DA"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Фирма предоставляет возможность обучения неограниченного количества работников СССР путем изучения материалов на месте и практического участия во всех металлургических процессах на заводах фирмы. Кроме того, фирма предоставляет в распоряжение заводов СССР специалистов по организации и рационализации металлургических цехов и процессов на заводах СССР.</w:t>
      </w:r>
    </w:p>
    <w:p w14:paraId="5F7D6443"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вышеуказанную техническую помощь по металлургии фирма испрашивает 1,4 млн. американских долларов.  Таким образом, фирма заводов быв. “Шкода” (г</w:t>
      </w:r>
      <w:r w:rsidRPr="00DB5D0D">
        <w:rPr>
          <w:rFonts w:ascii="Times New Roman" w:hAnsi="Times New Roman"/>
          <w:color w:val="000000" w:themeColor="text1"/>
          <w:sz w:val="16"/>
          <w:szCs w:val="16"/>
        </w:rPr>
        <w:noBreakHyphen/>
        <w:t>н Громадко) сделала предложение в общей стоимости на сумму 3 776 620 американских долларов.</w:t>
      </w:r>
    </w:p>
    <w:p w14:paraId="687C56E6"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“Шкода” предлагает прислать 4 танка на испытание в СССР для сравнения с танками СССР. Сроки отсылки танков и объем расходов “Шкода” сообщит в десятидневный срок.</w:t>
      </w:r>
    </w:p>
    <w:p w14:paraId="051E995D"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 станкам и технологическим процессам г</w:t>
      </w:r>
      <w:r w:rsidRPr="00DB5D0D">
        <w:rPr>
          <w:rFonts w:ascii="Times New Roman" w:hAnsi="Times New Roman"/>
          <w:color w:val="000000" w:themeColor="text1"/>
          <w:sz w:val="16"/>
          <w:szCs w:val="16"/>
        </w:rPr>
        <w:noBreakHyphen/>
        <w:t>н Громадко сделает предложение по приезде в Прагу. В предложениях будут учтены наши требования по производительности по станкам.</w:t>
      </w:r>
    </w:p>
    <w:p w14:paraId="01EE362B"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Обсудив вышеуказанные предложения президента фирмы “Шкода” г</w:t>
      </w:r>
      <w:r w:rsidRPr="00DB5D0D">
        <w:rPr>
          <w:rFonts w:ascii="Times New Roman" w:hAnsi="Times New Roman"/>
          <w:color w:val="000000" w:themeColor="text1"/>
          <w:sz w:val="16"/>
          <w:szCs w:val="16"/>
        </w:rPr>
        <w:noBreakHyphen/>
        <w:t>на Громадко, комиссия, назначенная КО под председательством т. Кулика, пришла к следующему заключению:</w:t>
      </w:r>
    </w:p>
    <w:p w14:paraId="2AA0B7A2"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первому и второму предложению. Считать целесообразным принять предложение фирмы на поставку артиллерийских материалов для испытания на территории СССР, после чего решить вопросы о приобретении системы лицензий и договориться о цене в зависимости от ценности приобретаемого артиллерийского имущества. Произвести оплату расходов по поставке систем и использованию снарядов (по количеству отстрелянных) и выдать аванс 100 тыс. американских долларов. В случае использования всех снарядов общая стоимость расходов определяется [в] 131 620 американских долларов.</w:t>
      </w:r>
    </w:p>
    <w:p w14:paraId="72B19B8A"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третьему предложению. Считать возможным принять у фирмы предложения на поставку поковок, определив стоимость до 310 тыс. американских долларов. По поковкам сроки должны быть сокращены на 1 месяц.</w:t>
      </w:r>
    </w:p>
    <w:p w14:paraId="22A8FE3D"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четвертому предложению.  Ввиду того что металлургия “Шкоды” занимает одно из первых мест в европейской металлургии и что артиллерийской металлургии СССР необходимо широкое внедрение всех лучших технических достижений металлургии других стран, считать целесообразным принять предложение фирмы на заключение договора по металлургии. Стоимость технической помощи — до 1,4 млн. американских долларов, 50% — аванс при заключении договора.</w:t>
      </w:r>
    </w:p>
    <w:p w14:paraId="482E1C70"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пятому предложению. Считать целесообразным принять предложение “Шкода” на посылку танков в СССР для сравнительного испытания.</w:t>
      </w:r>
    </w:p>
    <w:p w14:paraId="2C05C9F5"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представляет свое заключение на Ваше рассмотрение и утверждение[</w:t>
      </w:r>
      <w:hyperlink r:id="rId184" w:anchor="p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w:t>
      </w:r>
    </w:p>
    <w:p w14:paraId="75218A9A"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комиссииКулик</w:t>
      </w:r>
    </w:p>
    <w:p w14:paraId="22CF248B"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Савченко</w:t>
      </w:r>
    </w:p>
    <w:p w14:paraId="7FB99FDD"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Рейхман[</w:t>
      </w:r>
      <w:hyperlink r:id="rId185" w:anchor="p4" w:history="1">
        <w:r w:rsidRPr="00DB5D0D">
          <w:rPr>
            <w:rFonts w:ascii="Times New Roman" w:hAnsi="Times New Roman"/>
            <w:color w:val="000000" w:themeColor="text1"/>
            <w:sz w:val="16"/>
            <w:szCs w:val="16"/>
          </w:rPr>
          <w:t>4</w:t>
        </w:r>
      </w:hyperlink>
      <w:r w:rsidRPr="00DB5D0D">
        <w:rPr>
          <w:rFonts w:ascii="Times New Roman" w:hAnsi="Times New Roman"/>
          <w:color w:val="000000" w:themeColor="text1"/>
          <w:sz w:val="16"/>
          <w:szCs w:val="16"/>
        </w:rPr>
        <w:t>]</w:t>
      </w:r>
    </w:p>
    <w:p w14:paraId="0F36EA68"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p w14:paraId="48CB5AD8"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86"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Направлено председателю Комитета обороны при СНК СССР В. М. Молотову.</w:t>
      </w:r>
    </w:p>
    <w:p w14:paraId="3C68D9C0"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87" w:anchor="s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Датировано по входящему штампу.</w:t>
      </w:r>
    </w:p>
    <w:p w14:paraId="1D7666F4"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88" w:anchor="s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 Постановление Комитета обороны при СНК СССР № 153сс «По докладу комиссии т. Кулика Г. И. о переговорах с фирмой “Шкода” (Чехословакия)» было принято 10 июля 1938 г. (ГА РФ. Ф. Р</w:t>
      </w:r>
      <w:r w:rsidRPr="00DB5D0D">
        <w:rPr>
          <w:rFonts w:ascii="Times New Roman" w:hAnsi="Times New Roman"/>
          <w:color w:val="000000" w:themeColor="text1"/>
          <w:sz w:val="16"/>
          <w:szCs w:val="16"/>
        </w:rPr>
        <w:noBreakHyphen/>
        <w:t>8418. Оп. 28. Д. 34. Л. 389</w:t>
      </w:r>
      <w:r w:rsidRPr="00DB5D0D">
        <w:rPr>
          <w:rFonts w:ascii="Times New Roman" w:hAnsi="Times New Roman"/>
          <w:color w:val="000000" w:themeColor="text1"/>
          <w:sz w:val="16"/>
          <w:szCs w:val="16"/>
        </w:rPr>
        <w:noBreakHyphen/>
        <w:t>390.)</w:t>
      </w:r>
    </w:p>
    <w:p w14:paraId="62586E10"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89" w:anchor="s4" w:history="1">
        <w:r w:rsidRPr="00DB5D0D">
          <w:rPr>
            <w:rFonts w:ascii="Times New Roman" w:hAnsi="Times New Roman"/>
            <w:color w:val="000000" w:themeColor="text1"/>
            <w:sz w:val="16"/>
            <w:szCs w:val="16"/>
          </w:rPr>
          <w:t>4</w:t>
        </w:r>
      </w:hyperlink>
      <w:r w:rsidRPr="00DB5D0D">
        <w:rPr>
          <w:rFonts w:ascii="Times New Roman" w:hAnsi="Times New Roman"/>
          <w:color w:val="000000" w:themeColor="text1"/>
          <w:sz w:val="16"/>
          <w:szCs w:val="16"/>
        </w:rPr>
        <w:t>] Две подписи неразборчивы.</w:t>
      </w:r>
    </w:p>
    <w:p w14:paraId="75834A54"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22. Д. 382. Л. 197-200. Подлинник (17779).</w:t>
      </w:r>
    </w:p>
    <w:p w14:paraId="48C775A5" w14:textId="77777777" w:rsidR="00BD5A1A" w:rsidRPr="00DB5D0D" w:rsidRDefault="00BD5A1A" w:rsidP="00DB5D0D">
      <w:pPr>
        <w:spacing w:after="0" w:line="240" w:lineRule="auto"/>
        <w:jc w:val="both"/>
        <w:rPr>
          <w:rFonts w:ascii="Times New Roman" w:hAnsi="Times New Roman"/>
          <w:color w:val="000000" w:themeColor="text1"/>
          <w:sz w:val="16"/>
          <w:szCs w:val="16"/>
        </w:rPr>
      </w:pPr>
    </w:p>
    <w:p w14:paraId="26F921F8"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 8 июля 1940 на СТЗ для изготовления штампов введена сверхурочная работа в станкобюро СТЗ. Программа при штамповке деталей перевыполняется в 5-6 раз. Технология разработана правильно и может обеспечить не только серийный, но и массовый выпуск машин. </w:t>
      </w:r>
    </w:p>
    <w:p w14:paraId="3E98F791"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Изготовленная первая машина в настоящее время приводится в полное соответствие с чертежами и техническими условиями, заменяются временные агрегаты (баки, сервоуправление и т.п.). Изготавливаются детали механического сервоуправления, полученного с завода № 183. </w:t>
      </w:r>
    </w:p>
    <w:p w14:paraId="0D5E52AA"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Срок сдачи для АБТУ СТЗ наметил на 25.07.1940 г. </w:t>
      </w:r>
    </w:p>
    <w:p w14:paraId="76960731"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Согласно графика НКСМ, СТЗ обязан выпустить : в октябре - 20 машин, в ноябре – 30, в декабре – 50 машин. </w:t>
      </w:r>
    </w:p>
    <w:p w14:paraId="749ECEEB"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Военный представитель АБТУ РККА на СТЗ</w:t>
      </w:r>
    </w:p>
    <w:p w14:paraId="0B7511C6"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военинженер 2-го ранга Левин (11450).</w:t>
      </w:r>
    </w:p>
    <w:p w14:paraId="25378AE9"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5ED8C60A"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1938 г.</w:t>
      </w:r>
    </w:p>
    <w:p w14:paraId="3D324CB8"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26. Постановление Комитета обороны при СНК СССР № 151с “По вопросу о реорганизации ОТК на предприятиях НКОП”</w:t>
      </w:r>
    </w:p>
    <w:p w14:paraId="4DB5F593"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589AF439"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166.</w:t>
      </w:r>
    </w:p>
    <w:p w14:paraId="4B981728"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24BD3B51"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28. Д. 34. Л. 364. Подлинник.</w:t>
      </w:r>
    </w:p>
    <w:p w14:paraId="0A99477B"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3557DDE0"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Комитет обороны при СНК Союза ССР постановляет:</w:t>
      </w:r>
    </w:p>
    <w:p w14:paraId="06E7A9F4"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усиления ответственности заводов НКОП за выпускаемую ими продукцию возложить дело повседневного технического контроля целиком на директоров предприятий, для чего усилить ОТК заводов оборонной промышленности и ликвидировать существующие на предприятиях НКОП отделы технического контроля главков. Создать при главных управлениях НКОП инспекции по качеству.</w:t>
      </w:r>
    </w:p>
    <w:p w14:paraId="006FA560"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Комитета обороны при СНК Союза ССРВ. Молотов</w:t>
      </w:r>
    </w:p>
    <w:p w14:paraId="5627FC09"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Комитета обороны при СНК Союза ССРБазилевич</w:t>
      </w:r>
    </w:p>
    <w:p w14:paraId="56FCCCE5" w14:textId="77777777" w:rsidR="00BD5A1A" w:rsidRPr="00DB5D0D" w:rsidRDefault="00BD5A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28. Д. 34. Л. 364. Подлинник (17777).</w:t>
      </w:r>
    </w:p>
    <w:p w14:paraId="3B4D5A83" w14:textId="77777777" w:rsidR="00BD5A1A" w:rsidRPr="00DB5D0D" w:rsidRDefault="00BD5A1A" w:rsidP="00DB5D0D">
      <w:pPr>
        <w:spacing w:after="0" w:line="240" w:lineRule="auto"/>
        <w:jc w:val="both"/>
        <w:rPr>
          <w:rFonts w:ascii="Times New Roman" w:hAnsi="Times New Roman"/>
          <w:color w:val="000000" w:themeColor="text1"/>
          <w:sz w:val="16"/>
          <w:szCs w:val="16"/>
        </w:rPr>
      </w:pPr>
    </w:p>
    <w:p w14:paraId="21962DF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96DC5B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347537A" w14:textId="77777777" w:rsidR="00716A3D" w:rsidRPr="00DB5D0D" w:rsidRDefault="00716A3D"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8 июля 1940 начальник ВВС РККА командарм 2-го ранга Я.В. Смушкевич представил наркому обороны доклад, в котором предлагал создать 34 авиационные дивизии в составе 144 авиаполков и сохранить 34 отдельных полка. На следующий день наркому обороны была представлена мобилизационная заявка, согласно которой в 1941 году авиационная промышленность должна была выпустить 15 813 истребителей, 17 522 бомбардировщика и 2370 учебных самолетов.</w:t>
      </w:r>
    </w:p>
    <w:p w14:paraId="025A402C" w14:textId="77777777" w:rsidR="00716A3D" w:rsidRPr="00DB5D0D" w:rsidRDefault="00716A3D"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25 июля было принято постановление Совнаркома «О реорганизации авиационных сил Красной Армии». Отныне в авиации следовало иметь авиационные дивизии (по 4–5 полков) и отдельные авиабригады (по 2–3 полка). Создавалось три типа авиадивизий:</w:t>
      </w:r>
    </w:p>
    <w:p w14:paraId="5B5C8B16" w14:textId="77777777" w:rsidR="00716A3D" w:rsidRPr="00DB5D0D" w:rsidRDefault="00716A3D"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 смешанные, «имеющие своим назначением непосредственное взаимодействие и поддержку механизированных, кавалерийских и общевойсковых соединений»;</w:t>
      </w:r>
    </w:p>
    <w:p w14:paraId="0850A031" w14:textId="77777777" w:rsidR="00716A3D" w:rsidRPr="00DB5D0D" w:rsidRDefault="00716A3D"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 дальнебомбардировочные, «имеющие своим назначением разрушение военных объектов и дезорганизацию тыла противника;</w:t>
      </w:r>
    </w:p>
    <w:p w14:paraId="181E3013" w14:textId="77777777" w:rsidR="00716A3D" w:rsidRPr="00DB5D0D" w:rsidRDefault="00716A3D"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 истребительные, «имеющие своим назначением борьбу за господство в воздухе и прикрытие политических и экономических центров».</w:t>
      </w:r>
    </w:p>
    <w:p w14:paraId="59270C30" w14:textId="77777777" w:rsidR="00716A3D" w:rsidRPr="00DB5D0D" w:rsidRDefault="00716A3D"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К 1 января 1941 года в составе ВВС следовало иметь 50 авиадивизий, 239 авиаполков, 62 корпусные эскадрильи — по штату 15 672 самолета. Кроме того, сохранялись управления четырех отдельных авиабригад (12623).</w:t>
      </w:r>
    </w:p>
    <w:p w14:paraId="4A0B6B9F" w14:textId="77777777" w:rsidR="000F7B83" w:rsidRPr="00DB5D0D" w:rsidRDefault="000F7B83" w:rsidP="00DB5D0D">
      <w:pPr>
        <w:spacing w:after="0" w:line="240" w:lineRule="auto"/>
        <w:jc w:val="both"/>
        <w:rPr>
          <w:rFonts w:ascii="Times New Roman" w:hAnsi="Times New Roman"/>
          <w:color w:val="000000" w:themeColor="text1"/>
          <w:sz w:val="16"/>
          <w:szCs w:val="16"/>
        </w:rPr>
      </w:pPr>
    </w:p>
    <w:p w14:paraId="332C98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1940 г. вышел Приказ НКО об уголовной ответственности за самовольные отлучки и дезертирство № 192.</w:t>
      </w:r>
    </w:p>
    <w:p w14:paraId="50F50C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Объявляю Указ Президиума Верховного Совета СССР «Об изменении пунктов «а» — «г» ст. 193 Уголовного кодекса РСФСР»:</w:t>
      </w:r>
    </w:p>
    <w:p w14:paraId="63E4E3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Изложить пункты «а» — «г» ст. 193 Уголовного кодекса РСФСР в следующей редакции:</w:t>
      </w:r>
    </w:p>
    <w:p w14:paraId="5F01FC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самовольная отлучка рядового и младшего начальствующего состава продолжительностью до 2-х чaсов, совершенная впервые, влечет за собой предание товарищескому суду или наказание в дисциплинарном порядке;</w:t>
      </w:r>
    </w:p>
    <w:p w14:paraId="6A2FDE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самовольная отлучка, совершенная теми же лицами свыше одного раза до 2-х часов или продолжительностью свыше 2-х часов хотя бы один раз, влечет за собой предание суду Военного трибунала с направлением в дисциплинарный батальон на срок от шести месяцев до двух лет;</w:t>
      </w:r>
    </w:p>
    <w:p w14:paraId="497057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деяния, предусмотренные пунктом «б» настоящей статьи, совершенные в военное время, влекут за собой лишение свободы на срок от 3-х до 7 лет;</w:t>
      </w:r>
    </w:p>
    <w:p w14:paraId="75CBBC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самовольная отлучка свыше суток является дезертирством и влечет за собой лишение свободы на срок от 5 до 10 лет, а в военное время высшую меру наказания — расстрел с конфискацией имущества».</w:t>
      </w:r>
    </w:p>
    <w:p w14:paraId="2415B0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соответствии с этим предложить Верховным Советам союзных республик внести соответствующие изменения в Уголовные кодексы союзных республик.</w:t>
      </w:r>
    </w:p>
    <w:p w14:paraId="6F1B3D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Президиума Верховного Совета СССР М. Калинин</w:t>
      </w:r>
    </w:p>
    <w:p w14:paraId="032616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Президиума Верховного Совета СССР А Горкин Москва, Кремль. 6 июля 1940 г.</w:t>
      </w:r>
    </w:p>
    <w:p w14:paraId="672DEB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Приказываю:</w:t>
      </w:r>
    </w:p>
    <w:p w14:paraId="67BFED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Командирам и начальникам всех степеней в своей практической деятельности по насаждению советской воинской дисциплины строго и неуклонно руководствоваться объявляемым Указом Президиума Верховного Совета Союза СССР.</w:t>
      </w:r>
    </w:p>
    <w:p w14:paraId="48FA32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Указ Президиума Верховного Совета Союза ССР дает начальникам острое и действенное оружие по искоренению самовольных отлучек и дезертирства. Указ сделать достоянием всего личного состава частей, военно-учебных заведений и учреждений Красной Армии. Строго следить, чтобы не было ни одного красноармейца и младшего командира срочной службы и призванных из запаса, не знающих об уголовной ответственности, которая грозит за самовольные отлучки и дезертирство из части как в мирное, так и в военное время.</w:t>
      </w:r>
    </w:p>
    <w:p w14:paraId="416F8A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Командирам соединений, частей и подразделений Указ Президиума Верховного Совета Союза ССР объявить перед строем во всех ротах, батареях, эскадронах, эскадрильях, учреждениях и заведениях Красной Армии.</w:t>
      </w:r>
    </w:p>
    <w:p w14:paraId="6F2CA6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 ввести в действие по телеграфу.</w:t>
      </w:r>
    </w:p>
    <w:p w14:paraId="1EFA6A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 (10619).</w:t>
      </w:r>
    </w:p>
    <w:p w14:paraId="07DAA9F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AB82B85" w14:textId="77777777" w:rsidR="000F7B83"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66A7AA3" w14:textId="77777777" w:rsidR="000F7B83" w:rsidRPr="00DB5D0D" w:rsidRDefault="000F7B83" w:rsidP="00DB5D0D">
      <w:pPr>
        <w:spacing w:after="0" w:line="240" w:lineRule="auto"/>
        <w:jc w:val="both"/>
        <w:rPr>
          <w:rFonts w:ascii="Times New Roman" w:hAnsi="Times New Roman"/>
          <w:iCs/>
          <w:color w:val="000000" w:themeColor="text1"/>
          <w:sz w:val="16"/>
          <w:szCs w:val="16"/>
        </w:rPr>
      </w:pPr>
    </w:p>
    <w:p w14:paraId="2DEF9994" w14:textId="77777777" w:rsidR="000F7B83" w:rsidRPr="00DB5D0D" w:rsidRDefault="000F7B83"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8 июля</w:t>
      </w:r>
      <w:r w:rsidRPr="00DB5D0D">
        <w:rPr>
          <w:rFonts w:ascii="Times New Roman" w:hAnsi="Times New Roman"/>
          <w:color w:val="000000" w:themeColor="text1"/>
          <w:sz w:val="16"/>
          <w:szCs w:val="16"/>
        </w:rPr>
        <w:t xml:space="preserve"> в 1940 году первый полёт итальянского бомбардировщика-разведчика </w:t>
      </w:r>
      <w:hyperlink r:id="rId190" w:tgtFrame="_blank" w:history="1">
        <w:r w:rsidRPr="00DB5D0D">
          <w:rPr>
            <w:rFonts w:ascii="Times New Roman" w:hAnsi="Times New Roman"/>
            <w:color w:val="000000" w:themeColor="text1"/>
            <w:sz w:val="16"/>
            <w:szCs w:val="16"/>
          </w:rPr>
          <w:t xml:space="preserve">«Z.515» («MM.466»). </w:t>
        </w:r>
      </w:hyperlink>
      <w:r w:rsidRPr="00DB5D0D">
        <w:rPr>
          <w:rFonts w:ascii="Times New Roman" w:hAnsi="Times New Roman"/>
          <w:color w:val="000000" w:themeColor="text1"/>
          <w:sz w:val="16"/>
          <w:szCs w:val="16"/>
        </w:rPr>
        <w:t>Самолёт летал без вооружения, поскольку его установку планировали лишь на серийных экземплярах. Испытания прошли вполне успешно, однако в 1941 году на вооружение поступил гидросамолёт «CMASA» «RS.14», обладавший несколько лучшими лётными характеристиками. Предполагаемый выпуск 100 серийных «Z.515» был отменен и вместо них выпустили всего 10 предсерийных самолётов. Об их использовании и дальнейшей судьбе информации нет (14946).</w:t>
      </w:r>
    </w:p>
    <w:p w14:paraId="5BE39EDA" w14:textId="77777777" w:rsidR="000F7B83" w:rsidRPr="00DB5D0D" w:rsidRDefault="000F7B83" w:rsidP="00DB5D0D">
      <w:pPr>
        <w:spacing w:after="0" w:line="240" w:lineRule="auto"/>
        <w:jc w:val="both"/>
        <w:rPr>
          <w:rFonts w:ascii="Times New Roman" w:hAnsi="Times New Roman"/>
          <w:color w:val="000000" w:themeColor="text1"/>
          <w:sz w:val="16"/>
          <w:szCs w:val="16"/>
        </w:rPr>
      </w:pPr>
    </w:p>
    <w:p w14:paraId="43F32263"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июля 1940 аэропорт Кемайоран открывается в Батавии в Нидерландской Ост-Индии (20795).</w:t>
      </w:r>
    </w:p>
    <w:p w14:paraId="617B12A5" w14:textId="77777777" w:rsidR="009B14C9" w:rsidRPr="00DB5D0D" w:rsidRDefault="009B14C9" w:rsidP="00DB5D0D">
      <w:pPr>
        <w:spacing w:after="0" w:line="240" w:lineRule="auto"/>
        <w:jc w:val="both"/>
        <w:rPr>
          <w:rFonts w:ascii="Times New Roman" w:hAnsi="Times New Roman"/>
          <w:color w:val="0070C0"/>
          <w:sz w:val="16"/>
          <w:szCs w:val="16"/>
        </w:rPr>
      </w:pPr>
    </w:p>
    <w:p w14:paraId="4987263F"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июля 1940 самолет с британского авианосца HMS Hermes торпедирует французский линкор Richelieu в Дакаре, Сенегал, повредив его. Ришелье уже год как не мореходный.</w:t>
      </w:r>
    </w:p>
    <w:p w14:paraId="60D324B6" w14:textId="77777777" w:rsidR="009B14C9" w:rsidRPr="00DB5D0D" w:rsidRDefault="009B14C9" w:rsidP="00DB5D0D">
      <w:pPr>
        <w:spacing w:after="0" w:line="240" w:lineRule="auto"/>
        <w:jc w:val="both"/>
        <w:rPr>
          <w:rFonts w:ascii="Times New Roman" w:hAnsi="Times New Roman"/>
          <w:color w:val="0070C0"/>
          <w:sz w:val="16"/>
          <w:szCs w:val="16"/>
        </w:rPr>
      </w:pPr>
    </w:p>
    <w:p w14:paraId="1F34548D"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июля 1940 Transcontinental и Western Air открывают рейсы от побережья до побережья в Соединенных Штатах с первым в мире герметичным всепогодным коммерческим авиалайнером Boeing 307 Stratoliner . Путешествие занимает 13 часов 40 минут (20795).</w:t>
      </w:r>
    </w:p>
    <w:p w14:paraId="359C776C" w14:textId="77777777" w:rsidR="009B14C9" w:rsidRPr="00DB5D0D" w:rsidRDefault="009B14C9" w:rsidP="00DB5D0D">
      <w:pPr>
        <w:spacing w:after="0" w:line="240" w:lineRule="auto"/>
        <w:jc w:val="both"/>
        <w:rPr>
          <w:rFonts w:ascii="Times New Roman" w:hAnsi="Times New Roman"/>
          <w:color w:val="0070C0"/>
          <w:sz w:val="16"/>
          <w:szCs w:val="16"/>
        </w:rPr>
      </w:pPr>
    </w:p>
    <w:p w14:paraId="4E9E27AD"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8–9 июля (ночь) 1940 64 британских бомбардировщика наносят удары по аэродромам в Нидерландах и портам на севере Германии и ставят морские мины. </w:t>
      </w:r>
    </w:p>
    <w:p w14:paraId="2464EF97" w14:textId="77777777" w:rsidR="009B14C9" w:rsidRPr="00DB5D0D" w:rsidRDefault="009B14C9" w:rsidP="00DB5D0D">
      <w:pPr>
        <w:spacing w:after="0" w:line="240" w:lineRule="auto"/>
        <w:jc w:val="both"/>
        <w:rPr>
          <w:rFonts w:ascii="Times New Roman" w:hAnsi="Times New Roman"/>
          <w:color w:val="0070C0"/>
          <w:sz w:val="16"/>
          <w:szCs w:val="16"/>
        </w:rPr>
      </w:pPr>
    </w:p>
    <w:p w14:paraId="4F48423B"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8–9 июля (ночь) 1940 первый специализированный блок ночных истребителец Nachtjagdgeschwader 1 одерживает первая победу. Обер - фельдфебель Hermann Forster сбивает Уитли в Гельголанде (20795).</w:t>
      </w:r>
    </w:p>
    <w:p w14:paraId="2221AB20" w14:textId="77777777" w:rsidR="009B14C9" w:rsidRPr="00DB5D0D" w:rsidRDefault="009B14C9" w:rsidP="00DB5D0D">
      <w:pPr>
        <w:spacing w:after="0" w:line="240" w:lineRule="auto"/>
        <w:jc w:val="both"/>
        <w:rPr>
          <w:rFonts w:ascii="Times New Roman" w:hAnsi="Times New Roman"/>
          <w:color w:val="0070C0"/>
          <w:sz w:val="16"/>
          <w:szCs w:val="16"/>
        </w:rPr>
      </w:pPr>
    </w:p>
    <w:p w14:paraId="00AEAE5D" w14:textId="77777777" w:rsidR="009B14C9" w:rsidRPr="00DB5D0D" w:rsidRDefault="009B14C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8–13 июля 1940 итальянские высотные бомбардировщики подвергают корабли британского Средиземноморского флота неоднократным сильным атакам, пока флот находится в море в Средиземном море. Они добиваются только одного попадания на легкий крейсер HMS Gloucester  (20795).</w:t>
      </w:r>
    </w:p>
    <w:p w14:paraId="4863E10E" w14:textId="77777777" w:rsidR="009B14C9" w:rsidRPr="00DB5D0D" w:rsidRDefault="009B14C9" w:rsidP="00DB5D0D">
      <w:pPr>
        <w:spacing w:after="0" w:line="240" w:lineRule="auto"/>
        <w:jc w:val="both"/>
        <w:rPr>
          <w:rFonts w:ascii="Times New Roman" w:hAnsi="Times New Roman"/>
          <w:color w:val="0070C0"/>
          <w:sz w:val="16"/>
          <w:szCs w:val="16"/>
        </w:rPr>
      </w:pPr>
    </w:p>
    <w:p w14:paraId="4651F41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10E5A4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EAAC8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Титаев подготовил для Зам. нач. 7 ГУ С.Н.Шишкину Докладную записку "О состоянии проектирования, изготовления рабочих чертежей и производства по самолету ОПБ конструкции Кочеригина на 03.07.1940. Были готовы чертежи на 55-100%, проведены расчеты на прочность и сделаны спец. приспособления (2062,67).</w:t>
      </w:r>
    </w:p>
    <w:p w14:paraId="68E2C34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E6B9B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Зам. ГК завода 39 Мальцев с письмом N 629с/окб направил директору завода 126 Извещение N 189 по спецгруппе ЦКБ-30Ф от 9 июля 1940. После сбрасывания 2-х нижних бомб с КД-2 ЦКБ-30 и ЦКБ-30Ф, если закрыть люки, то они автоматически не закрываются. Надо было об этом написать в ТО.. (2689,14).</w:t>
      </w:r>
    </w:p>
    <w:p w14:paraId="6140C80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D461E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Нач. 1 отдела завода 125 Ф.П.Воробицкий писал письмо N 01018с Ст. военпреду на заводе 125 Корневу в сопровождение аварийного акта комиссии от 4 июля с.г. по СБ 2М-103А N 44/3. Место происшествия - аэродром завода 125 - 30 июня 1940 в 18:30. Л С.П.Мазур. Мотор остановился на высоте 2-3 м на расстоянии 480-500 м от старта. Экипаж повреждений не получил. Ошибка экипажа - не открыл бензокран (2698).</w:t>
      </w:r>
    </w:p>
    <w:p w14:paraId="5618F7D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E8CAA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года За начальника ГУ ВВС генерал-лейтенант Гусев и Военком Гу ВВС дивизионный комиссар Агальцов утвердили Отчет по гос. испытаниям самолета И-301 М-105П конструкции Горбунова, Лавочкина и Гудкова (6895).</w:t>
      </w:r>
    </w:p>
    <w:p w14:paraId="7BB2159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9F34E4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 майор Супрун, майор Стефановский</w:t>
      </w:r>
    </w:p>
    <w:p w14:paraId="060E963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Таракановский</w:t>
      </w:r>
    </w:p>
    <w:p w14:paraId="78A4A9A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600D0298"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в пределах проведенных заводских испытаний.</w:t>
      </w:r>
    </w:p>
    <w:p w14:paraId="6E297189"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конструкции самолета и доведенности его винтомоторной группы и спецоборудования.</w:t>
      </w:r>
    </w:p>
    <w:p w14:paraId="46F57953"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523C360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постройки завода № 301 был изготовлен по тактико-техническим требованиям ВВС и должен был иметь следующие данные:</w:t>
      </w:r>
    </w:p>
    <w:p w14:paraId="6AF0777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1-й экземпляр с мотором М-105 и ТК-2</w:t>
      </w:r>
    </w:p>
    <w:p w14:paraId="2623E56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9000 м – 650-675 км/час</w:t>
      </w:r>
    </w:p>
    <w:p w14:paraId="4A254E4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12000 м</w:t>
      </w:r>
    </w:p>
    <w:p w14:paraId="1439D9A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2БС калибра 12,7 мм, 2 ШКАС 7,62 мм</w:t>
      </w:r>
    </w:p>
    <w:p w14:paraId="0A5FDB4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мотором М-106П</w:t>
      </w:r>
    </w:p>
    <w:p w14:paraId="1A6BCCB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6000-7000 м – 600-625 км/час</w:t>
      </w:r>
    </w:p>
    <w:p w14:paraId="349982D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11000 м</w:t>
      </w:r>
    </w:p>
    <w:p w14:paraId="003D3D5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пушка калибра 20-23 мм, 2 ШКАС 7,62 мм</w:t>
      </w:r>
    </w:p>
    <w:p w14:paraId="4866CDC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 счет перегрузки в обоих вариантах предусматривалась установка 8 шт. РС-82 мм и бомб общим весом до 100 кг.</w:t>
      </w:r>
    </w:p>
    <w:p w14:paraId="2AF22F3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Оба варианте самолета должны были иметь следующие данные:</w:t>
      </w:r>
    </w:p>
    <w:p w14:paraId="2809BE2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 скорости – 600 км</w:t>
      </w:r>
    </w:p>
    <w:p w14:paraId="18D1877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подвесными баками – 1000 км</w:t>
      </w:r>
    </w:p>
    <w:p w14:paraId="3947704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 – 16-18 сек.</w:t>
      </w:r>
    </w:p>
    <w:p w14:paraId="04ABDBB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 не более 200 м</w:t>
      </w:r>
    </w:p>
    <w:p w14:paraId="5017E51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пробега не более – 150 м</w:t>
      </w:r>
    </w:p>
    <w:p w14:paraId="3FBCDB1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предусматривалось применение уплотненной древесины и материала дюрамольд.</w:t>
      </w:r>
    </w:p>
    <w:p w14:paraId="4B2D76C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представления самолетов на гос. испытания был установлен:</w:t>
      </w:r>
    </w:p>
    <w:p w14:paraId="2A330C2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1-го экземпляра – февраль 1940 года</w:t>
      </w:r>
    </w:p>
    <w:p w14:paraId="03654BA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2-го экземпляра – май 1940 года</w:t>
      </w:r>
    </w:p>
    <w:p w14:paraId="6013C3D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14 июня 1940 года на гос. испытания самолет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w:t>
      </w:r>
    </w:p>
    <w:p w14:paraId="714E0E1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 патронов.</w:t>
      </w:r>
    </w:p>
    <w:p w14:paraId="5A7E63A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 счет перегрузки на самолете могут быть установлены пулеметы Шкас калибра 7,62 мм с боезапасом 1300-1500 шт. патронов.</w:t>
      </w:r>
    </w:p>
    <w:p w14:paraId="3DC2414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бомб, РС-82 и подвесных баков для горючего на данном экземпляре самолета не осуществлена.</w:t>
      </w:r>
    </w:p>
    <w:p w14:paraId="6050314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самолета И-301 в НИИ ВВС (15-27 июня 1940 года) на самолете было сделано 42 полета общей продолжительностью 16 час. 30 мин.</w:t>
      </w:r>
    </w:p>
    <w:p w14:paraId="7F7FC98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4645F7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был предъявлен на гос. испытания с недоведенным вооружением и не испытан на штопор, пикирование и высший пилотаж.</w:t>
      </w:r>
    </w:p>
    <w:p w14:paraId="79AE72D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гос. испытаний не прошел из-за отсутствия испытания вооружения и испытаний на штопор и пикирование.</w:t>
      </w:r>
    </w:p>
    <w:p w14:paraId="3478F84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7D5DF8" w:rsidRPr="00DB5D0D" w14:paraId="39EB4B80" w14:textId="77777777" w:rsidTr="00E543D0">
        <w:tc>
          <w:tcPr>
            <w:tcW w:w="1951" w:type="dxa"/>
            <w:tcBorders>
              <w:top w:val="single" w:sz="12" w:space="0" w:color="auto"/>
            </w:tcBorders>
          </w:tcPr>
          <w:p w14:paraId="1FD88E3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w:t>
            </w:r>
          </w:p>
        </w:tc>
        <w:tc>
          <w:tcPr>
            <w:tcW w:w="8647" w:type="dxa"/>
            <w:tcBorders>
              <w:top w:val="single" w:sz="12" w:space="0" w:color="auto"/>
            </w:tcBorders>
          </w:tcPr>
          <w:p w14:paraId="51D3803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гос. испытания в НИИ ВВС</w:t>
            </w:r>
          </w:p>
        </w:tc>
      </w:tr>
      <w:tr w:rsidR="007D5DF8" w:rsidRPr="00DB5D0D" w14:paraId="1D4B88F0" w14:textId="77777777" w:rsidTr="00E543D0">
        <w:tc>
          <w:tcPr>
            <w:tcW w:w="1951" w:type="dxa"/>
          </w:tcPr>
          <w:p w14:paraId="12BC2ED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8647" w:type="dxa"/>
          </w:tcPr>
          <w:p w14:paraId="585DB09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летчика Стефановского</w:t>
            </w:r>
          </w:p>
        </w:tc>
      </w:tr>
      <w:tr w:rsidR="007D5DF8" w:rsidRPr="00DB5D0D" w14:paraId="13906E25" w14:textId="77777777" w:rsidTr="00E543D0">
        <w:tc>
          <w:tcPr>
            <w:tcW w:w="1951" w:type="dxa"/>
          </w:tcPr>
          <w:p w14:paraId="75D125F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8647" w:type="dxa"/>
          </w:tcPr>
          <w:p w14:paraId="73AB741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сверхмаксимальную скорость</w:t>
            </w:r>
          </w:p>
        </w:tc>
      </w:tr>
      <w:tr w:rsidR="007D5DF8" w:rsidRPr="00DB5D0D" w14:paraId="3880EC24" w14:textId="77777777" w:rsidTr="00E543D0">
        <w:tc>
          <w:tcPr>
            <w:tcW w:w="1951" w:type="dxa"/>
          </w:tcPr>
          <w:p w14:paraId="26DE3D5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8647" w:type="dxa"/>
          </w:tcPr>
          <w:p w14:paraId="36E2DE8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второго ведущего летчика Супруна</w:t>
            </w:r>
          </w:p>
        </w:tc>
      </w:tr>
      <w:tr w:rsidR="007D5DF8" w:rsidRPr="00DB5D0D" w14:paraId="5766CC15" w14:textId="77777777" w:rsidTr="00E543D0">
        <w:tc>
          <w:tcPr>
            <w:tcW w:w="1951" w:type="dxa"/>
          </w:tcPr>
          <w:p w14:paraId="44EFF2E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8647" w:type="dxa"/>
          </w:tcPr>
          <w:p w14:paraId="444648E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 Полет на скороподъемность и скорости по высотам до 5000 м.</w:t>
            </w:r>
          </w:p>
        </w:tc>
      </w:tr>
      <w:tr w:rsidR="007D5DF8" w:rsidRPr="00DB5D0D" w14:paraId="5FC7DD93" w14:textId="77777777" w:rsidTr="00E543D0">
        <w:tc>
          <w:tcPr>
            <w:tcW w:w="1951" w:type="dxa"/>
          </w:tcPr>
          <w:p w14:paraId="1DB0347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w:t>
            </w:r>
          </w:p>
        </w:tc>
        <w:tc>
          <w:tcPr>
            <w:tcW w:w="8647" w:type="dxa"/>
          </w:tcPr>
          <w:p w14:paraId="0BDAB11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 Тренировочный полет на пилотаж. Полет на пилотаж с засечкой фигур с земли.</w:t>
            </w:r>
          </w:p>
        </w:tc>
      </w:tr>
      <w:tr w:rsidR="007D5DF8" w:rsidRPr="00DB5D0D" w14:paraId="468CCDD9" w14:textId="77777777" w:rsidTr="00E543D0">
        <w:tc>
          <w:tcPr>
            <w:tcW w:w="1951" w:type="dxa"/>
          </w:tcPr>
          <w:p w14:paraId="118C28A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w:t>
            </w:r>
          </w:p>
        </w:tc>
        <w:tc>
          <w:tcPr>
            <w:tcW w:w="8647" w:type="dxa"/>
          </w:tcPr>
          <w:p w14:paraId="490100E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 Полет на 8000 м. Полет на 8000 м и скорости по высотам.</w:t>
            </w:r>
          </w:p>
        </w:tc>
      </w:tr>
      <w:tr w:rsidR="007D5DF8" w:rsidRPr="00DB5D0D" w14:paraId="0EE51B5F" w14:textId="77777777" w:rsidTr="00E543D0">
        <w:tc>
          <w:tcPr>
            <w:tcW w:w="1951" w:type="dxa"/>
          </w:tcPr>
          <w:p w14:paraId="22C1EA8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w:t>
            </w:r>
          </w:p>
        </w:tc>
        <w:tc>
          <w:tcPr>
            <w:tcW w:w="8647" w:type="dxa"/>
          </w:tcPr>
          <w:p w14:paraId="0450129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Полет на расход горючего.</w:t>
            </w:r>
          </w:p>
        </w:tc>
      </w:tr>
      <w:tr w:rsidR="007D5DF8" w:rsidRPr="00DB5D0D" w14:paraId="6CC4CBA9" w14:textId="77777777" w:rsidTr="00E543D0">
        <w:tc>
          <w:tcPr>
            <w:tcW w:w="1951" w:type="dxa"/>
          </w:tcPr>
          <w:p w14:paraId="0657C50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w:t>
            </w:r>
          </w:p>
        </w:tc>
        <w:tc>
          <w:tcPr>
            <w:tcW w:w="8647" w:type="dxa"/>
          </w:tcPr>
          <w:p w14:paraId="702F971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первой скорости нагнетателя. Полет на высоту 8000 м. Полет на расход горючего на второй скорости нагнетателя. Полет для определения устойчивости при средней центровке. Полет на устойчивость при передней центровке.</w:t>
            </w:r>
          </w:p>
        </w:tc>
      </w:tr>
      <w:tr w:rsidR="007D5DF8" w:rsidRPr="00DB5D0D" w14:paraId="7EBA704C" w14:textId="77777777" w:rsidTr="00E543D0">
        <w:tc>
          <w:tcPr>
            <w:tcW w:w="1951" w:type="dxa"/>
          </w:tcPr>
          <w:p w14:paraId="54C5FF1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8647" w:type="dxa"/>
          </w:tcPr>
          <w:p w14:paraId="4AD8EAF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с задней центровкой. Полет на высоту 6000 м и снятие скоростей по высотам.</w:t>
            </w:r>
          </w:p>
        </w:tc>
      </w:tr>
      <w:tr w:rsidR="007D5DF8" w:rsidRPr="00DB5D0D" w14:paraId="4A294C37" w14:textId="77777777" w:rsidTr="00E543D0">
        <w:tc>
          <w:tcPr>
            <w:tcW w:w="1951" w:type="dxa"/>
          </w:tcPr>
          <w:p w14:paraId="517315C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w:t>
            </w:r>
          </w:p>
        </w:tc>
        <w:tc>
          <w:tcPr>
            <w:tcW w:w="8647" w:type="dxa"/>
          </w:tcPr>
          <w:p w14:paraId="4716A0F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w:t>
            </w:r>
          </w:p>
        </w:tc>
      </w:tr>
      <w:tr w:rsidR="007D5DF8" w:rsidRPr="00DB5D0D" w14:paraId="6FD5AF80" w14:textId="77777777" w:rsidTr="00E543D0">
        <w:tc>
          <w:tcPr>
            <w:tcW w:w="1951" w:type="dxa"/>
            <w:tcBorders>
              <w:bottom w:val="single" w:sz="12" w:space="0" w:color="auto"/>
            </w:tcBorders>
          </w:tcPr>
          <w:p w14:paraId="2D5DADD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8647" w:type="dxa"/>
            <w:tcBorders>
              <w:bottom w:val="single" w:sz="12" w:space="0" w:color="auto"/>
            </w:tcBorders>
          </w:tcPr>
          <w:p w14:paraId="7DE25B4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полет для снятия скоростей по высотам</w:t>
            </w:r>
          </w:p>
        </w:tc>
      </w:tr>
    </w:tbl>
    <w:p w14:paraId="73BABE8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гос. испытания 14 июня 1940 года. Начало испытаний – 15 июня 1940 года. Количество летных дней – 10. Конец испытания 27 июня 1940 года. За время испытаний проведено 42 полета общей продолжительностью 16 час. 30 мин. (6895).</w:t>
      </w:r>
    </w:p>
    <w:p w14:paraId="5E2D2D9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63A07B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года Начальник ГУ ВВС г-л авиации Гусев и Военком ГУ ВВС дивизионный комиссар Агальцов утвердили Отчет по гос. испытаниям самолета И-301 М-105П конструкции Горбунова, Лавочина и Гудкова (6599).</w:t>
      </w:r>
    </w:p>
    <w:p w14:paraId="7B47C55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B6B434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Супрун, майор Стефановский</w:t>
      </w:r>
    </w:p>
    <w:p w14:paraId="2CFFA63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Таракановский</w:t>
      </w:r>
    </w:p>
    <w:p w14:paraId="6698A67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0937AB5B"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в пределах, проведенных заводских испытаний.</w:t>
      </w:r>
    </w:p>
    <w:p w14:paraId="37B58066"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конструкции самолета и доведенности его винто-моторной группы и спецоборудования.</w:t>
      </w:r>
    </w:p>
    <w:p w14:paraId="490BA7B0"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5F2CF49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Горбунова, Лавочина и Гудкова, постройки завода № 301 был изготовлен по тактико-техническим требованиям ВВС и должен был иметь следующие данные:</w:t>
      </w:r>
    </w:p>
    <w:p w14:paraId="5AAFFCA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мотором М-105 и ТК-2</w:t>
      </w:r>
    </w:p>
    <w:p w14:paraId="2C7D5F0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60B4464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БС калибра 12,7 мм</w:t>
      </w:r>
    </w:p>
    <w:p w14:paraId="7EF8A90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калибра 7,62 мм</w:t>
      </w:r>
    </w:p>
    <w:p w14:paraId="24790A7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мотором М-106П</w:t>
      </w:r>
    </w:p>
    <w:p w14:paraId="5294705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калибра 20-23 мм</w:t>
      </w:r>
    </w:p>
    <w:p w14:paraId="23A6C16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калибра 7,62 мм</w:t>
      </w:r>
    </w:p>
    <w:p w14:paraId="4F555EC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предусматривалось использование уплотненной древесины и материала дюрамольд.</w:t>
      </w:r>
    </w:p>
    <w:p w14:paraId="19230A5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представления самолетов на гос. испытания был установлен:</w:t>
      </w:r>
    </w:p>
    <w:p w14:paraId="7051391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1-го экземпляра – февраль 1940 года</w:t>
      </w:r>
    </w:p>
    <w:p w14:paraId="770941F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2-го экземпляра – май 1940 года</w:t>
      </w:r>
    </w:p>
    <w:p w14:paraId="3934633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14-го июня 1940 года на гос. испытания самолет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w:t>
      </w:r>
    </w:p>
    <w:p w14:paraId="29CE2D2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штук патронов.</w:t>
      </w:r>
    </w:p>
    <w:p w14:paraId="65A6657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в счет перегрузки могут быть установлены пулеметы ШКАС калибра 7,62 мм с боезапасом 1300-1500 шт. патронов. Установка бомб, РС-82 и подвесных баков для горючего на данном экземпляре самолета не осуществлена.</w:t>
      </w:r>
    </w:p>
    <w:p w14:paraId="3B905B1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самолета И-301 в НИИ ВВС (15-27 июня 1940 года) на самолете было сделано 42 полета общей продолжительностью 16 час. 30 мин.</w:t>
      </w:r>
    </w:p>
    <w:p w14:paraId="2C02F2F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82FF2B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инженеров Горбунова, Лавочина и Гудкова производства завода № 301 был предъявлен на гос. испытания с недоведенным вооружением и не испытан на штопор, пикирование и высший пилотаж с выполнением фигур иммельман, бочки.</w:t>
      </w:r>
    </w:p>
    <w:p w14:paraId="327FB33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И-301 гос. испытаний не прошел из-за отсутствия испытания вооружения и испытаний на штопор и пикирование.</w:t>
      </w:r>
    </w:p>
    <w:p w14:paraId="680B498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целесообразным построить войсковую серию с-тов И-301 М-105П и вести подготовку к серийному производству.</w:t>
      </w:r>
    </w:p>
    <w:p w14:paraId="1410A64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конструкторами решена в основном задача создания целиком деревянного с-та с применением упроченной древесины.</w:t>
      </w:r>
    </w:p>
    <w:p w14:paraId="5DC68F6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Считать необходимым просить НКАП т. Шахурина о повышении внимания со стороны НКАП в дело доводки, испытания и эксплуатации с-тов</w:t>
      </w:r>
    </w:p>
    <w:p w14:paraId="2579794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На дублере с-та д.б. устранены ограничения в скорости пикирования и изжиты основные дефекты, выявленные госиспытаниями 1-го экз. (706,1)</w:t>
      </w:r>
    </w:p>
    <w:p w14:paraId="402E7E7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7D5DF8" w:rsidRPr="00DB5D0D" w14:paraId="7D4388CC" w14:textId="77777777" w:rsidTr="00E543D0">
        <w:tc>
          <w:tcPr>
            <w:tcW w:w="1951" w:type="dxa"/>
            <w:tcBorders>
              <w:top w:val="single" w:sz="12" w:space="0" w:color="auto"/>
            </w:tcBorders>
          </w:tcPr>
          <w:p w14:paraId="52B6AE1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8647" w:type="dxa"/>
            <w:tcBorders>
              <w:top w:val="single" w:sz="12" w:space="0" w:color="auto"/>
            </w:tcBorders>
          </w:tcPr>
          <w:p w14:paraId="454182C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4A7B5257" w14:textId="77777777" w:rsidTr="00E543D0">
        <w:tc>
          <w:tcPr>
            <w:tcW w:w="1951" w:type="dxa"/>
          </w:tcPr>
          <w:p w14:paraId="22E3FF4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8647" w:type="dxa"/>
          </w:tcPr>
          <w:p w14:paraId="1FC4584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летчика Стефановского.</w:t>
            </w:r>
          </w:p>
        </w:tc>
      </w:tr>
      <w:tr w:rsidR="007D5DF8" w:rsidRPr="00DB5D0D" w14:paraId="399B8869" w14:textId="77777777" w:rsidTr="00E543D0">
        <w:tc>
          <w:tcPr>
            <w:tcW w:w="1951" w:type="dxa"/>
          </w:tcPr>
          <w:p w14:paraId="7812B66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8647" w:type="dxa"/>
          </w:tcPr>
          <w:p w14:paraId="00EDB09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сверхмаксимальную скорость.</w:t>
            </w:r>
          </w:p>
        </w:tc>
      </w:tr>
      <w:tr w:rsidR="007D5DF8" w:rsidRPr="00DB5D0D" w14:paraId="0BC208F0" w14:textId="77777777" w:rsidTr="00E543D0">
        <w:tc>
          <w:tcPr>
            <w:tcW w:w="1951" w:type="dxa"/>
          </w:tcPr>
          <w:p w14:paraId="1ECD06E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8647" w:type="dxa"/>
          </w:tcPr>
          <w:p w14:paraId="3A8E9A4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второго вед. летчика Супруна.</w:t>
            </w:r>
          </w:p>
        </w:tc>
      </w:tr>
      <w:tr w:rsidR="007D5DF8" w:rsidRPr="00DB5D0D" w14:paraId="7BE3E4EB" w14:textId="77777777" w:rsidTr="00E543D0">
        <w:tc>
          <w:tcPr>
            <w:tcW w:w="1951" w:type="dxa"/>
          </w:tcPr>
          <w:p w14:paraId="2DDDA2E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8647" w:type="dxa"/>
          </w:tcPr>
          <w:p w14:paraId="2AC0195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2699F8A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tc>
      </w:tr>
      <w:tr w:rsidR="007D5DF8" w:rsidRPr="00DB5D0D" w14:paraId="6242A55B" w14:textId="77777777" w:rsidTr="00E543D0">
        <w:tc>
          <w:tcPr>
            <w:tcW w:w="1951" w:type="dxa"/>
          </w:tcPr>
          <w:p w14:paraId="70D2008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w:t>
            </w:r>
          </w:p>
        </w:tc>
        <w:tc>
          <w:tcPr>
            <w:tcW w:w="8647" w:type="dxa"/>
          </w:tcPr>
          <w:p w14:paraId="436C4B1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2C895C7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на пилотаж.</w:t>
            </w:r>
          </w:p>
          <w:p w14:paraId="2CAC1F8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пилотаж с засечкой фигур с земли.</w:t>
            </w:r>
          </w:p>
        </w:tc>
      </w:tr>
      <w:tr w:rsidR="007D5DF8" w:rsidRPr="00DB5D0D" w14:paraId="17F78692" w14:textId="77777777" w:rsidTr="00E543D0">
        <w:tc>
          <w:tcPr>
            <w:tcW w:w="1951" w:type="dxa"/>
          </w:tcPr>
          <w:p w14:paraId="31CE850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w:t>
            </w:r>
          </w:p>
        </w:tc>
        <w:tc>
          <w:tcPr>
            <w:tcW w:w="8647" w:type="dxa"/>
          </w:tcPr>
          <w:p w14:paraId="5AD31A4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6FA374A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w:t>
            </w:r>
          </w:p>
          <w:p w14:paraId="6CBFDFB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 и скорости по высотам.</w:t>
            </w:r>
          </w:p>
        </w:tc>
      </w:tr>
      <w:tr w:rsidR="007D5DF8" w:rsidRPr="00DB5D0D" w14:paraId="6E9C792C" w14:textId="77777777" w:rsidTr="00E543D0">
        <w:tc>
          <w:tcPr>
            <w:tcW w:w="1951" w:type="dxa"/>
          </w:tcPr>
          <w:p w14:paraId="0DF23CF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w:t>
            </w:r>
          </w:p>
        </w:tc>
        <w:tc>
          <w:tcPr>
            <w:tcW w:w="8647" w:type="dxa"/>
          </w:tcPr>
          <w:p w14:paraId="2119DD3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p w14:paraId="78479E9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w:t>
            </w:r>
          </w:p>
        </w:tc>
      </w:tr>
      <w:tr w:rsidR="007D5DF8" w:rsidRPr="00DB5D0D" w14:paraId="0E0444EA" w14:textId="77777777" w:rsidTr="00E543D0">
        <w:tc>
          <w:tcPr>
            <w:tcW w:w="1951" w:type="dxa"/>
          </w:tcPr>
          <w:p w14:paraId="03E1775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w:t>
            </w:r>
          </w:p>
        </w:tc>
        <w:tc>
          <w:tcPr>
            <w:tcW w:w="8647" w:type="dxa"/>
          </w:tcPr>
          <w:p w14:paraId="7BAAE1F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первой скорости нагнетателя.</w:t>
            </w:r>
          </w:p>
          <w:p w14:paraId="65AAEF5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8000 м.</w:t>
            </w:r>
          </w:p>
          <w:p w14:paraId="69AD6C5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второй скорости нагнетателя.</w:t>
            </w:r>
          </w:p>
          <w:p w14:paraId="3D234B1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при передней центровке.</w:t>
            </w:r>
          </w:p>
        </w:tc>
      </w:tr>
      <w:tr w:rsidR="007D5DF8" w:rsidRPr="00DB5D0D" w14:paraId="351A23CB" w14:textId="77777777" w:rsidTr="00E543D0">
        <w:tc>
          <w:tcPr>
            <w:tcW w:w="1951" w:type="dxa"/>
          </w:tcPr>
          <w:p w14:paraId="54D4882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8647" w:type="dxa"/>
          </w:tcPr>
          <w:p w14:paraId="7877C3B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с задней центровкой.</w:t>
            </w:r>
          </w:p>
          <w:p w14:paraId="259B256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6000 м и снятие скоростей по высотам.</w:t>
            </w:r>
          </w:p>
          <w:p w14:paraId="4BF5F08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tc>
      </w:tr>
      <w:tr w:rsidR="007D5DF8" w:rsidRPr="00DB5D0D" w14:paraId="4F9A2F3E" w14:textId="77777777" w:rsidTr="00E543D0">
        <w:tc>
          <w:tcPr>
            <w:tcW w:w="1951" w:type="dxa"/>
          </w:tcPr>
          <w:p w14:paraId="46DC030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w:t>
            </w:r>
          </w:p>
        </w:tc>
        <w:tc>
          <w:tcPr>
            <w:tcW w:w="8647" w:type="dxa"/>
          </w:tcPr>
          <w:p w14:paraId="016D0D0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 Летали в облете: генерал-майор авиации Филин, полковой комиссар Холопцев и полковник Кабанов.</w:t>
            </w:r>
          </w:p>
        </w:tc>
      </w:tr>
      <w:tr w:rsidR="007D5DF8" w:rsidRPr="00DB5D0D" w14:paraId="1C893A0B" w14:textId="77777777" w:rsidTr="00E543D0">
        <w:tc>
          <w:tcPr>
            <w:tcW w:w="1951" w:type="dxa"/>
            <w:tcBorders>
              <w:bottom w:val="single" w:sz="12" w:space="0" w:color="auto"/>
            </w:tcBorders>
          </w:tcPr>
          <w:p w14:paraId="69134BF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8647" w:type="dxa"/>
            <w:tcBorders>
              <w:bottom w:val="single" w:sz="12" w:space="0" w:color="auto"/>
            </w:tcBorders>
          </w:tcPr>
          <w:p w14:paraId="2456445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полет для снятия скоростей по высотам с новыми всасывающими патрубками (с направляющими пластинками), новыми выхлопными патрубками, при законтренных щитках-закрылках, чтобы оценить влияние их открывания на высоте на максимальную скорость.</w:t>
            </w:r>
          </w:p>
        </w:tc>
      </w:tr>
    </w:tbl>
    <w:p w14:paraId="5784697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испытания 14 июня 1940 года</w:t>
      </w:r>
    </w:p>
    <w:p w14:paraId="0DCE362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Начало испытаний – 15 июня 1940 года</w:t>
      </w:r>
    </w:p>
    <w:p w14:paraId="3AFF18D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летных дней – 10</w:t>
      </w:r>
    </w:p>
    <w:p w14:paraId="6768677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испытания – 27 июня 1940 года</w:t>
      </w:r>
    </w:p>
    <w:p w14:paraId="2B57048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проведено 42 полета общей продолжительностью 16 час. 30 мин (6599).</w:t>
      </w:r>
    </w:p>
    <w:p w14:paraId="4455418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5C092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года Начальник ГУ ВВС и Военком ГУ ВВС дивизионный комиссар Агальцов утвердили Отчет по гос. испытаниям самолета И-301 М-105П конструкции Горбунова, Лавочина и Гудкова</w:t>
      </w:r>
    </w:p>
    <w:p w14:paraId="17D018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254536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Супрун, майор Стефановский</w:t>
      </w:r>
    </w:p>
    <w:p w14:paraId="6B5B15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Таракановский</w:t>
      </w:r>
    </w:p>
    <w:p w14:paraId="2064D7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57A4736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в пределах, проведенных заводских испытаний.</w:t>
      </w:r>
    </w:p>
    <w:p w14:paraId="5AECD6E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конструкции самолета и доведенности его винтомоторной группы и спецоборудования.</w:t>
      </w:r>
    </w:p>
    <w:p w14:paraId="4AFCCEC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5F9696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Горбунова, Лавочина и Гудкова, постройки завода № 301 был изготовлен по тактико-техническим требованиям ВВС и должен был иметь следующие данные:</w:t>
      </w:r>
    </w:p>
    <w:p w14:paraId="2F25A6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мотором М-105 и ТК-2</w:t>
      </w:r>
    </w:p>
    <w:p w14:paraId="526E61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6FAA53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БС калибра 12,7 мм</w:t>
      </w:r>
    </w:p>
    <w:p w14:paraId="744218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калибра 7,62 мм</w:t>
      </w:r>
    </w:p>
    <w:p w14:paraId="26A593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мотором М-106П</w:t>
      </w:r>
    </w:p>
    <w:p w14:paraId="392A58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калибра 20-23 мм</w:t>
      </w:r>
    </w:p>
    <w:p w14:paraId="2880C5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ШКАС калибра 7,62 мм</w:t>
      </w:r>
    </w:p>
    <w:p w14:paraId="6F15B9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самолета предусматривалось использование уплотненной древесины и материала дюрамольд.</w:t>
      </w:r>
    </w:p>
    <w:p w14:paraId="2F6A17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представления самолетов на гос. испытания был установлен:</w:t>
      </w:r>
    </w:p>
    <w:p w14:paraId="1407C3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1-го экземпляра – февраль 1940 года</w:t>
      </w:r>
    </w:p>
    <w:p w14:paraId="08F09B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2-го экземпляра – май 1940 года</w:t>
      </w:r>
    </w:p>
    <w:p w14:paraId="119782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14-го июня 1940 года на гос. испытания самолет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w:t>
      </w:r>
    </w:p>
    <w:p w14:paraId="7C7C7B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штук патронов.</w:t>
      </w:r>
    </w:p>
    <w:p w14:paraId="4E9677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в счет перегрузки могут быть установлены пулеметы ШКАС калибра 7,62 мм с боезапасом 1300-1500 шт. патронов. Установка бомб, РС-82 и подвесных баков для горючего на данном экземпляре самолета не осуществлена.</w:t>
      </w:r>
    </w:p>
    <w:p w14:paraId="7D7A2B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самолета И-301 в НИИ ВВС (15-27 июня 1940 года) на самолете было сделано 42 полета общей продолжительностью 16 час. 30 мин.</w:t>
      </w:r>
    </w:p>
    <w:p w14:paraId="52E946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A3672F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И-301 гос. испытаний не прошел из-за отсутствия испытания вооружения и испытаний на штопор и пикирование.</w:t>
      </w:r>
    </w:p>
    <w:p w14:paraId="75E5F55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целесообразным построить войсковую серию с-тов И-301 М-105П и вести подготовку к серийному производству.</w:t>
      </w:r>
    </w:p>
    <w:p w14:paraId="120171C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конструкторами решена в основном задача создания целиком деревянного с-та с применением упроченной древесины.</w:t>
      </w:r>
    </w:p>
    <w:p w14:paraId="5C77C10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Считать необходимым просить НКАП т. Шахурина о повышении внимания со стороны НКАП в дело доводки, испытания и эксплуатации с-тов</w:t>
      </w:r>
    </w:p>
    <w:p w14:paraId="7935178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дублере с-та д.б. устранены ограничения в скорости пикирования и изжиты основные дефекты, выявленные госиспытаниями 1-го экз. (706,1)</w:t>
      </w:r>
    </w:p>
    <w:p w14:paraId="04D4D5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5760"/>
      </w:tblGrid>
      <w:tr w:rsidR="007D5DF8" w:rsidRPr="00DB5D0D" w14:paraId="1B813802" w14:textId="77777777" w:rsidTr="00E543D0">
        <w:tc>
          <w:tcPr>
            <w:tcW w:w="3024" w:type="dxa"/>
            <w:tcBorders>
              <w:top w:val="single" w:sz="12" w:space="0" w:color="auto"/>
            </w:tcBorders>
          </w:tcPr>
          <w:p w14:paraId="740ED3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5760" w:type="dxa"/>
            <w:tcBorders>
              <w:top w:val="single" w:sz="12" w:space="0" w:color="auto"/>
            </w:tcBorders>
          </w:tcPr>
          <w:p w14:paraId="77D402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2712B3F7" w14:textId="77777777" w:rsidTr="00E543D0">
        <w:tc>
          <w:tcPr>
            <w:tcW w:w="3024" w:type="dxa"/>
          </w:tcPr>
          <w:p w14:paraId="474E6C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5760" w:type="dxa"/>
          </w:tcPr>
          <w:p w14:paraId="26A871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летчика Стефановского.</w:t>
            </w:r>
          </w:p>
        </w:tc>
      </w:tr>
      <w:tr w:rsidR="007D5DF8" w:rsidRPr="00DB5D0D" w14:paraId="7DA8E3B2" w14:textId="77777777" w:rsidTr="00E543D0">
        <w:tc>
          <w:tcPr>
            <w:tcW w:w="3024" w:type="dxa"/>
          </w:tcPr>
          <w:p w14:paraId="138ECB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5760" w:type="dxa"/>
          </w:tcPr>
          <w:p w14:paraId="682C11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сверхмаксимальную скорость.</w:t>
            </w:r>
          </w:p>
        </w:tc>
      </w:tr>
      <w:tr w:rsidR="007D5DF8" w:rsidRPr="00DB5D0D" w14:paraId="39872602" w14:textId="77777777" w:rsidTr="00E543D0">
        <w:tc>
          <w:tcPr>
            <w:tcW w:w="3024" w:type="dxa"/>
          </w:tcPr>
          <w:p w14:paraId="53340F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5760" w:type="dxa"/>
          </w:tcPr>
          <w:p w14:paraId="0F3D30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Пробные полеты второго вед. летчика Супруна.</w:t>
            </w:r>
          </w:p>
        </w:tc>
      </w:tr>
      <w:tr w:rsidR="007D5DF8" w:rsidRPr="00DB5D0D" w14:paraId="3F958183" w14:textId="77777777" w:rsidTr="00E543D0">
        <w:tc>
          <w:tcPr>
            <w:tcW w:w="3024" w:type="dxa"/>
          </w:tcPr>
          <w:p w14:paraId="10C9F1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760" w:type="dxa"/>
          </w:tcPr>
          <w:p w14:paraId="2E39B6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77096C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tc>
      </w:tr>
      <w:tr w:rsidR="007D5DF8" w:rsidRPr="00DB5D0D" w14:paraId="48D96C83" w14:textId="77777777" w:rsidTr="00E543D0">
        <w:tc>
          <w:tcPr>
            <w:tcW w:w="3024" w:type="dxa"/>
          </w:tcPr>
          <w:p w14:paraId="65964B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w:t>
            </w:r>
          </w:p>
        </w:tc>
        <w:tc>
          <w:tcPr>
            <w:tcW w:w="5760" w:type="dxa"/>
          </w:tcPr>
          <w:p w14:paraId="51E85B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5A05B3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на пилотаж.</w:t>
            </w:r>
          </w:p>
          <w:p w14:paraId="27C843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пилотаж с засечкой фигур с земли.</w:t>
            </w:r>
          </w:p>
        </w:tc>
      </w:tr>
      <w:tr w:rsidR="007D5DF8" w:rsidRPr="00DB5D0D" w14:paraId="2204A285" w14:textId="77777777" w:rsidTr="00E543D0">
        <w:tc>
          <w:tcPr>
            <w:tcW w:w="3024" w:type="dxa"/>
          </w:tcPr>
          <w:p w14:paraId="5824B2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w:t>
            </w:r>
          </w:p>
        </w:tc>
        <w:tc>
          <w:tcPr>
            <w:tcW w:w="5760" w:type="dxa"/>
          </w:tcPr>
          <w:p w14:paraId="12E2F1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2745E5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w:t>
            </w:r>
          </w:p>
          <w:p w14:paraId="3F7C63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 и скорости по высотам.</w:t>
            </w:r>
          </w:p>
        </w:tc>
      </w:tr>
      <w:tr w:rsidR="007D5DF8" w:rsidRPr="00DB5D0D" w14:paraId="3F8E97BF" w14:textId="77777777" w:rsidTr="00E543D0">
        <w:tc>
          <w:tcPr>
            <w:tcW w:w="3024" w:type="dxa"/>
          </w:tcPr>
          <w:p w14:paraId="26DB90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w:t>
            </w:r>
          </w:p>
        </w:tc>
        <w:tc>
          <w:tcPr>
            <w:tcW w:w="5760" w:type="dxa"/>
          </w:tcPr>
          <w:p w14:paraId="505387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p w14:paraId="2F9343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w:t>
            </w:r>
          </w:p>
        </w:tc>
      </w:tr>
      <w:tr w:rsidR="007D5DF8" w:rsidRPr="00DB5D0D" w14:paraId="442BD6A0" w14:textId="77777777" w:rsidTr="00E543D0">
        <w:tc>
          <w:tcPr>
            <w:tcW w:w="3024" w:type="dxa"/>
          </w:tcPr>
          <w:p w14:paraId="5C604A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23 июня 1940 года</w:t>
            </w:r>
          </w:p>
        </w:tc>
        <w:tc>
          <w:tcPr>
            <w:tcW w:w="5760" w:type="dxa"/>
          </w:tcPr>
          <w:p w14:paraId="751657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первой скорости нагнетателя.</w:t>
            </w:r>
          </w:p>
          <w:p w14:paraId="7529BA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8000 м.</w:t>
            </w:r>
          </w:p>
          <w:p w14:paraId="5CE976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второй скорости нагнетателя.</w:t>
            </w:r>
          </w:p>
          <w:p w14:paraId="0371EA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при передней центровке.</w:t>
            </w:r>
          </w:p>
        </w:tc>
      </w:tr>
      <w:tr w:rsidR="007D5DF8" w:rsidRPr="00DB5D0D" w14:paraId="069CFEC7" w14:textId="77777777" w:rsidTr="00E543D0">
        <w:tc>
          <w:tcPr>
            <w:tcW w:w="3024" w:type="dxa"/>
          </w:tcPr>
          <w:p w14:paraId="60D587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5760" w:type="dxa"/>
          </w:tcPr>
          <w:p w14:paraId="7ACC53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с задней центровкой.</w:t>
            </w:r>
          </w:p>
          <w:p w14:paraId="0BB515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6000 м и снятие скоростей по высотам.</w:t>
            </w:r>
          </w:p>
          <w:p w14:paraId="3D0512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tc>
      </w:tr>
      <w:tr w:rsidR="007D5DF8" w:rsidRPr="00DB5D0D" w14:paraId="7A6CB356" w14:textId="77777777" w:rsidTr="00E543D0">
        <w:tc>
          <w:tcPr>
            <w:tcW w:w="3024" w:type="dxa"/>
          </w:tcPr>
          <w:p w14:paraId="4FE6DF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w:t>
            </w:r>
          </w:p>
        </w:tc>
        <w:tc>
          <w:tcPr>
            <w:tcW w:w="5760" w:type="dxa"/>
          </w:tcPr>
          <w:p w14:paraId="6709B4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 Летали в облете: генерал-майор авиации Филин, полковой комиссар Холопцев и полковник Кабанов.</w:t>
            </w:r>
          </w:p>
        </w:tc>
      </w:tr>
      <w:tr w:rsidR="007D5DF8" w:rsidRPr="00DB5D0D" w14:paraId="4FA673FC" w14:textId="77777777" w:rsidTr="00E543D0">
        <w:tc>
          <w:tcPr>
            <w:tcW w:w="3024" w:type="dxa"/>
            <w:tcBorders>
              <w:bottom w:val="single" w:sz="12" w:space="0" w:color="auto"/>
            </w:tcBorders>
          </w:tcPr>
          <w:p w14:paraId="3728F2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5760" w:type="dxa"/>
            <w:tcBorders>
              <w:bottom w:val="single" w:sz="12" w:space="0" w:color="auto"/>
            </w:tcBorders>
          </w:tcPr>
          <w:p w14:paraId="38F5FA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полет для снятия скоростей по высотам с новыми всасывающими патрубками (с направляющими пластинками), новыми выхлопными патрубками, при законтренных щитках-закрылках, чтобы оценить влияние их открывания на высоте на максимальную скорость.</w:t>
            </w:r>
          </w:p>
        </w:tc>
      </w:tr>
    </w:tbl>
    <w:p w14:paraId="3FBC7A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испытания 14 июня 1940 года</w:t>
      </w:r>
    </w:p>
    <w:p w14:paraId="3CA596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Начало испытаний – 15 июня 1940 года</w:t>
      </w:r>
    </w:p>
    <w:p w14:paraId="377D69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летных дней – 10</w:t>
      </w:r>
    </w:p>
    <w:p w14:paraId="615464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испытания – 27 июня 1940 года</w:t>
      </w:r>
    </w:p>
    <w:p w14:paraId="7D9A11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проведено 42 полета общей продолжительностью 16 час. 30 мин. (4559).</w:t>
      </w:r>
    </w:p>
    <w:p w14:paraId="1A9F638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FB9F2B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года Начальник ГУ ВВС г-л авиации Смушкевич (расписался Гусев) и Военком ГУ ВВС дивизионный комиссар Агальцов утвердили Отчет по гос. испытаниям самолета И-301 М-105П конструкции Горбунова, Лавочина и Гудкова.</w:t>
      </w:r>
    </w:p>
    <w:p w14:paraId="4BA0DA3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4E0C03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майор Супрун, майор Стефановский</w:t>
      </w:r>
    </w:p>
    <w:p w14:paraId="6D3A82A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Таракановский</w:t>
      </w:r>
    </w:p>
    <w:p w14:paraId="78B2182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отдела истребительных с-тов ви1р В...</w:t>
      </w:r>
    </w:p>
    <w:p w14:paraId="63557CE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 облета гма Филин</w:t>
      </w:r>
    </w:p>
    <w:p w14:paraId="61A4FFE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полк. Коммисар Хоменко</w:t>
      </w:r>
    </w:p>
    <w:p w14:paraId="11F95EC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Полк. Кабанов</w:t>
      </w:r>
    </w:p>
    <w:p w14:paraId="26B53AA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ви1р Никашин</w:t>
      </w:r>
    </w:p>
    <w:p w14:paraId="1196F98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67EF44A5"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летно-тактических данных самолета в пределах, проведенных заводских испытаний.</w:t>
      </w:r>
    </w:p>
    <w:p w14:paraId="61296C45"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конструкции самолета и доведенности его винто-моторной группы и спецоборудования.</w:t>
      </w:r>
    </w:p>
    <w:p w14:paraId="0D2B765A"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самолета тактико-техническим требованиям.</w:t>
      </w:r>
    </w:p>
    <w:p w14:paraId="576801A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испытания:</w:t>
      </w:r>
    </w:p>
    <w:p w14:paraId="4C14754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М-105П конструкции Горбунова, Лавочина и Гудкова, постройки завода № 301 был изготовлен по тактико-техническим требованиям ВВС и должен был иметь следующие данные:</w:t>
      </w:r>
    </w:p>
    <w:p w14:paraId="47E315A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счет перегрузки в обоих вариантах предусматривалась установка 8хРС-82 и бомб общим весом 100 кг</w:t>
      </w:r>
    </w:p>
    <w:p w14:paraId="6DC3909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д.б. установлена р/с и оборудование для ночных полетов</w:t>
      </w:r>
    </w:p>
    <w:p w14:paraId="028F160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14-го июня 1940 года на гос. испытания самолет И-301 М-105П по своему назначению является одноместным скоростным истребителем. Конструкция самолета цельнодеревянная с применением прессованной древесины на лонжеронах крыла.</w:t>
      </w:r>
    </w:p>
    <w:p w14:paraId="464BBE5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пушки Таубина калибра 23 мм, установленной для стрельбы сквозь вал редуктора мотора и 2-х пулеметов БС калибра 12,7 мм. Боезапас пушки 81 снаряд и пулеметов БС 440-460 штук патронов.</w:t>
      </w:r>
    </w:p>
    <w:p w14:paraId="62D2D0C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в счет перегрузки могут быть установлены пулеметы ШКАС калибра 7,62 мм с боезапасом 1300-1500 шт. патронов. Установка бомб, РС-82 и подвесных баков для горючего на данном экземпляре самолета не осуществлена.</w:t>
      </w:r>
    </w:p>
    <w:p w14:paraId="4C9F33D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установлено кислородное оборудование, АНО и освещение приборной доски.</w:t>
      </w:r>
    </w:p>
    <w:p w14:paraId="12955E2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Радиостанция и оборудование для ночных полетов на с-те не установлено.</w:t>
      </w:r>
    </w:p>
    <w:p w14:paraId="0749F93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принят на госиспытания в НИИ ВВС в объеме программы проведения завводских испытаний.</w:t>
      </w:r>
    </w:p>
    <w:p w14:paraId="3BE9FD1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заводских испытаниях с-та не было полетов на штопор, пикирование выше 510 км/час по прибору, полетов на высоте выше 5500 м и пилотажа с фигурами иммельмана и бочки.</w:t>
      </w:r>
    </w:p>
    <w:p w14:paraId="1A9FDE0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с-та и спецоборудование не проверялись ни на земле, ни в воздухе</w:t>
      </w:r>
    </w:p>
    <w:p w14:paraId="0214CD7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 отклонений от ТТТ</w:t>
      </w:r>
    </w:p>
    <w:p w14:paraId="731B26C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не установлены:</w:t>
      </w:r>
    </w:p>
    <w:p w14:paraId="73AC2E6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ТК ТК-2</w:t>
      </w:r>
    </w:p>
    <w:p w14:paraId="2F7D5BD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 бомбодержателя ДЭР-31 и два ДЕР-32</w:t>
      </w:r>
    </w:p>
    <w:p w14:paraId="773A38E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электросбрасыватель ЭСБР-3П</w:t>
      </w:r>
    </w:p>
    <w:p w14:paraId="0FA4D26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мехм аварийного сбрасывания</w:t>
      </w:r>
    </w:p>
    <w:p w14:paraId="41296C8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держатели и проводка РС-82</w:t>
      </w:r>
    </w:p>
    <w:p w14:paraId="6D36259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р/с и жесткая антенна</w:t>
      </w:r>
    </w:p>
    <w:p w14:paraId="514D709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бронированный козырек и броня сидения л. Броня спинки установлена толщиной 5мм вместо 8,65 мм по ТТТ</w:t>
      </w:r>
    </w:p>
    <w:p w14:paraId="22E637F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факелодержатели</w:t>
      </w:r>
    </w:p>
    <w:p w14:paraId="74FEAF8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агрегат заполнения баков нейтральным газом</w:t>
      </w:r>
    </w:p>
    <w:p w14:paraId="69A117A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подвесные сбрасываемы б/б для увеличения дальности полета</w:t>
      </w:r>
    </w:p>
    <w:p w14:paraId="641619E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 с-та:</w:t>
      </w:r>
    </w:p>
    <w:p w14:paraId="3EEC3C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 Крыла 17,62</w:t>
      </w:r>
    </w:p>
    <w:p w14:paraId="07C8EB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8,82</w:t>
      </w:r>
    </w:p>
    <w:p w14:paraId="41FCCE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9,807</w:t>
      </w:r>
    </w:p>
    <w:p w14:paraId="1A9C21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с вооружением 2478 кг</w:t>
      </w:r>
    </w:p>
    <w:p w14:paraId="72AB36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без вооружения 2380</w:t>
      </w:r>
    </w:p>
    <w:p w14:paraId="2D5D42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полезной нагрузки 588 кг</w:t>
      </w:r>
    </w:p>
    <w:p w14:paraId="6DC800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2968 кг</w:t>
      </w:r>
    </w:p>
    <w:p w14:paraId="2CD7F9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м2 169 кг</w:t>
      </w:r>
    </w:p>
    <w:p w14:paraId="7478A0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лс 2,83 кг</w:t>
      </w:r>
    </w:p>
    <w:p w14:paraId="52A153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самолета И-301 в НИИ ВВС (15-27 июня 1940 года) на самолете было сделано 42 полета общей продолжительностью 16 час. 30 мин. Работа мотора на земле 5:20.</w:t>
      </w:r>
    </w:p>
    <w:p w14:paraId="121090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с-та проводилось при следующей загрузке</w:t>
      </w:r>
    </w:p>
    <w:p w14:paraId="207D19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Таубина 50 кг</w:t>
      </w:r>
    </w:p>
    <w:p w14:paraId="7A41F4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 48 кг</w:t>
      </w:r>
    </w:p>
    <w:p w14:paraId="4F60C5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снаряды для пушки (81) 40 кг</w:t>
      </w:r>
    </w:p>
    <w:p w14:paraId="4E73C1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патроны для БС (460) 80,5 кг</w:t>
      </w:r>
    </w:p>
    <w:p w14:paraId="49CFBC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бронеспинка толщиной 5 мм 20,3 кг</w:t>
      </w:r>
    </w:p>
    <w:p w14:paraId="417F4E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кислородное оборудование 7,5 кг</w:t>
      </w:r>
    </w:p>
    <w:p w14:paraId="4BFEA8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Акумулятор 12А-5 7 кг</w:t>
      </w:r>
    </w:p>
    <w:p w14:paraId="03A064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Генератор РС-500 и РК-12-350</w:t>
      </w:r>
    </w:p>
    <w:p w14:paraId="3B33AA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 250 кг</w:t>
      </w:r>
    </w:p>
    <w:p w14:paraId="4818E9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Масло 30 кг</w:t>
      </w:r>
    </w:p>
    <w:p w14:paraId="7EBF96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 парашютом 90 кг</w:t>
      </w:r>
    </w:p>
    <w:p w14:paraId="16FC69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испытании были получены следующие результаты: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992"/>
        <w:gridCol w:w="1134"/>
      </w:tblGrid>
      <w:tr w:rsidR="007D5DF8" w:rsidRPr="00DB5D0D" w14:paraId="0A0DCD03" w14:textId="77777777" w:rsidTr="00E543D0">
        <w:tc>
          <w:tcPr>
            <w:tcW w:w="2518" w:type="dxa"/>
            <w:tcBorders>
              <w:top w:val="single" w:sz="12" w:space="0" w:color="auto"/>
            </w:tcBorders>
          </w:tcPr>
          <w:p w14:paraId="6C60F5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5EAFA9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ТТТ с М-105</w:t>
            </w:r>
          </w:p>
        </w:tc>
        <w:tc>
          <w:tcPr>
            <w:tcW w:w="1134" w:type="dxa"/>
            <w:tcBorders>
              <w:top w:val="single" w:sz="12" w:space="0" w:color="auto"/>
            </w:tcBorders>
          </w:tcPr>
          <w:p w14:paraId="14187A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испытаниям в НИИ ВВС</w:t>
            </w:r>
          </w:p>
        </w:tc>
      </w:tr>
      <w:tr w:rsidR="007D5DF8" w:rsidRPr="00DB5D0D" w14:paraId="618A3502" w14:textId="77777777" w:rsidTr="00E543D0">
        <w:tc>
          <w:tcPr>
            <w:tcW w:w="2518" w:type="dxa"/>
          </w:tcPr>
          <w:p w14:paraId="4E7EB2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6000-7000 м</w:t>
            </w:r>
          </w:p>
        </w:tc>
        <w:tc>
          <w:tcPr>
            <w:tcW w:w="992" w:type="dxa"/>
          </w:tcPr>
          <w:p w14:paraId="6D966E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600-625</w:t>
            </w:r>
          </w:p>
        </w:tc>
        <w:tc>
          <w:tcPr>
            <w:tcW w:w="1134" w:type="dxa"/>
          </w:tcPr>
          <w:p w14:paraId="3F19F2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605/4950</w:t>
            </w:r>
          </w:p>
        </w:tc>
      </w:tr>
      <w:tr w:rsidR="007D5DF8" w:rsidRPr="00DB5D0D" w14:paraId="5F3F6D23" w14:textId="77777777" w:rsidTr="00E543D0">
        <w:tc>
          <w:tcPr>
            <w:tcW w:w="2518" w:type="dxa"/>
          </w:tcPr>
          <w:p w14:paraId="0E207A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992" w:type="dxa"/>
          </w:tcPr>
          <w:p w14:paraId="0F0EF6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w:t>
            </w:r>
          </w:p>
        </w:tc>
        <w:tc>
          <w:tcPr>
            <w:tcW w:w="1134" w:type="dxa"/>
          </w:tcPr>
          <w:p w14:paraId="4C0E64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9600</w:t>
            </w:r>
          </w:p>
        </w:tc>
      </w:tr>
      <w:tr w:rsidR="007D5DF8" w:rsidRPr="00DB5D0D" w14:paraId="48ABAAB1" w14:textId="77777777" w:rsidTr="00E543D0">
        <w:tc>
          <w:tcPr>
            <w:tcW w:w="2518" w:type="dxa"/>
          </w:tcPr>
          <w:p w14:paraId="1F4ABA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w:t>
            </w:r>
          </w:p>
        </w:tc>
        <w:tc>
          <w:tcPr>
            <w:tcW w:w="992" w:type="dxa"/>
          </w:tcPr>
          <w:p w14:paraId="10D4F7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1134" w:type="dxa"/>
          </w:tcPr>
          <w:p w14:paraId="55235C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556</w:t>
            </w:r>
          </w:p>
        </w:tc>
      </w:tr>
      <w:tr w:rsidR="007D5DF8" w:rsidRPr="00DB5D0D" w14:paraId="34E91E28" w14:textId="77777777" w:rsidTr="00E543D0">
        <w:tc>
          <w:tcPr>
            <w:tcW w:w="2518" w:type="dxa"/>
          </w:tcPr>
          <w:p w14:paraId="7CC025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же с подвесными б/б</w:t>
            </w:r>
          </w:p>
        </w:tc>
        <w:tc>
          <w:tcPr>
            <w:tcW w:w="992" w:type="dxa"/>
          </w:tcPr>
          <w:p w14:paraId="725AAB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134" w:type="dxa"/>
          </w:tcPr>
          <w:p w14:paraId="1B7A10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4A96881" w14:textId="77777777" w:rsidTr="00E543D0">
        <w:tc>
          <w:tcPr>
            <w:tcW w:w="2518" w:type="dxa"/>
          </w:tcPr>
          <w:p w14:paraId="6E36C3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w:t>
            </w:r>
          </w:p>
        </w:tc>
        <w:tc>
          <w:tcPr>
            <w:tcW w:w="992" w:type="dxa"/>
          </w:tcPr>
          <w:p w14:paraId="45ECEB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16-18</w:t>
            </w:r>
          </w:p>
        </w:tc>
        <w:tc>
          <w:tcPr>
            <w:tcW w:w="1134" w:type="dxa"/>
          </w:tcPr>
          <w:p w14:paraId="2D1E0B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r>
      <w:tr w:rsidR="007D5DF8" w:rsidRPr="00DB5D0D" w14:paraId="7554B0FF" w14:textId="77777777" w:rsidTr="00E543D0">
        <w:tc>
          <w:tcPr>
            <w:tcW w:w="2518" w:type="dxa"/>
          </w:tcPr>
          <w:p w14:paraId="221B0C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(не более)</w:t>
            </w:r>
          </w:p>
        </w:tc>
        <w:tc>
          <w:tcPr>
            <w:tcW w:w="992" w:type="dxa"/>
          </w:tcPr>
          <w:p w14:paraId="02AD44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1134" w:type="dxa"/>
          </w:tcPr>
          <w:p w14:paraId="4C1C50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355</w:t>
            </w:r>
          </w:p>
        </w:tc>
      </w:tr>
      <w:tr w:rsidR="007D5DF8" w:rsidRPr="00DB5D0D" w14:paraId="5FAA7E79" w14:textId="77777777" w:rsidTr="00E543D0">
        <w:tc>
          <w:tcPr>
            <w:tcW w:w="2518" w:type="dxa"/>
          </w:tcPr>
          <w:p w14:paraId="4D1726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992" w:type="dxa"/>
          </w:tcPr>
          <w:p w14:paraId="0C2898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1134" w:type="dxa"/>
          </w:tcPr>
          <w:p w14:paraId="0C742B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650968A8" w14:textId="77777777" w:rsidTr="00E543D0">
        <w:tc>
          <w:tcPr>
            <w:tcW w:w="2518" w:type="dxa"/>
          </w:tcPr>
          <w:p w14:paraId="2AC2C9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Пасадочная скорость</w:t>
            </w:r>
          </w:p>
        </w:tc>
        <w:tc>
          <w:tcPr>
            <w:tcW w:w="992" w:type="dxa"/>
          </w:tcPr>
          <w:p w14:paraId="0DAE13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110-120</w:t>
            </w:r>
          </w:p>
        </w:tc>
        <w:tc>
          <w:tcPr>
            <w:tcW w:w="1134" w:type="dxa"/>
          </w:tcPr>
          <w:p w14:paraId="6A4145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r>
      <w:tr w:rsidR="007D5DF8" w:rsidRPr="00DB5D0D" w14:paraId="0EC7E688" w14:textId="77777777" w:rsidTr="00E543D0">
        <w:tc>
          <w:tcPr>
            <w:tcW w:w="2518" w:type="dxa"/>
            <w:tcBorders>
              <w:bottom w:val="single" w:sz="12" w:space="0" w:color="auto"/>
            </w:tcBorders>
          </w:tcPr>
          <w:p w14:paraId="3500E3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5000 м</w:t>
            </w:r>
          </w:p>
        </w:tc>
        <w:tc>
          <w:tcPr>
            <w:tcW w:w="992" w:type="dxa"/>
            <w:tcBorders>
              <w:bottom w:val="single" w:sz="12" w:space="0" w:color="auto"/>
            </w:tcBorders>
          </w:tcPr>
          <w:p w14:paraId="7E2F0E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Borders>
              <w:bottom w:val="single" w:sz="12" w:space="0" w:color="auto"/>
            </w:tcBorders>
          </w:tcPr>
          <w:p w14:paraId="6E5004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r>
    </w:tbl>
    <w:p w14:paraId="25E3A3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Примечение: Скорость 605 км/час получена с новым, установленным при госиспытаниях всасывающим патрубком. Макс. скорость со старым всасывающим патрубком - 585 км/час</w:t>
      </w:r>
    </w:p>
    <w:p w14:paraId="290F08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045"/>
        <w:gridCol w:w="1045"/>
        <w:gridCol w:w="1045"/>
        <w:gridCol w:w="1045"/>
        <w:gridCol w:w="1045"/>
        <w:gridCol w:w="1045"/>
        <w:gridCol w:w="1045"/>
        <w:gridCol w:w="1045"/>
        <w:gridCol w:w="1045"/>
      </w:tblGrid>
      <w:tr w:rsidR="007D5DF8" w:rsidRPr="00DB5D0D" w14:paraId="1B8489A0" w14:textId="77777777" w:rsidTr="00E543D0">
        <w:tc>
          <w:tcPr>
            <w:tcW w:w="1809" w:type="dxa"/>
            <w:tcBorders>
              <w:top w:val="single" w:sz="12" w:space="0" w:color="auto"/>
            </w:tcBorders>
          </w:tcPr>
          <w:p w14:paraId="40BB41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с-та</w:t>
            </w:r>
          </w:p>
        </w:tc>
        <w:tc>
          <w:tcPr>
            <w:tcW w:w="1045" w:type="dxa"/>
            <w:tcBorders>
              <w:top w:val="single" w:sz="12" w:space="0" w:color="auto"/>
            </w:tcBorders>
          </w:tcPr>
          <w:p w14:paraId="6AB9BC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w:t>
            </w:r>
          </w:p>
        </w:tc>
        <w:tc>
          <w:tcPr>
            <w:tcW w:w="1045" w:type="dxa"/>
            <w:tcBorders>
              <w:top w:val="single" w:sz="12" w:space="0" w:color="auto"/>
            </w:tcBorders>
          </w:tcPr>
          <w:p w14:paraId="727F4F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w:t>
            </w:r>
          </w:p>
        </w:tc>
        <w:tc>
          <w:tcPr>
            <w:tcW w:w="1045" w:type="dxa"/>
            <w:tcBorders>
              <w:top w:val="single" w:sz="12" w:space="0" w:color="auto"/>
            </w:tcBorders>
          </w:tcPr>
          <w:p w14:paraId="191EDB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w:t>
            </w:r>
          </w:p>
        </w:tc>
        <w:tc>
          <w:tcPr>
            <w:tcW w:w="1045" w:type="dxa"/>
            <w:tcBorders>
              <w:top w:val="single" w:sz="12" w:space="0" w:color="auto"/>
            </w:tcBorders>
          </w:tcPr>
          <w:p w14:paraId="4FC8925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Borders>
              <w:top w:val="single" w:sz="12" w:space="0" w:color="auto"/>
            </w:tcBorders>
          </w:tcPr>
          <w:p w14:paraId="5CA222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5000 м</w:t>
            </w:r>
          </w:p>
        </w:tc>
        <w:tc>
          <w:tcPr>
            <w:tcW w:w="1045" w:type="dxa"/>
            <w:tcBorders>
              <w:top w:val="single" w:sz="12" w:space="0" w:color="auto"/>
            </w:tcBorders>
          </w:tcPr>
          <w:p w14:paraId="531C7D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w:t>
            </w:r>
          </w:p>
        </w:tc>
        <w:tc>
          <w:tcPr>
            <w:tcW w:w="1045" w:type="dxa"/>
            <w:tcBorders>
              <w:top w:val="single" w:sz="12" w:space="0" w:color="auto"/>
            </w:tcBorders>
          </w:tcPr>
          <w:p w14:paraId="071743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вооружением и запасом горючего</w:t>
            </w:r>
          </w:p>
        </w:tc>
        <w:tc>
          <w:tcPr>
            <w:tcW w:w="1045" w:type="dxa"/>
            <w:tcBorders>
              <w:top w:val="single" w:sz="12" w:space="0" w:color="auto"/>
            </w:tcBorders>
          </w:tcPr>
          <w:p w14:paraId="22777A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1045" w:type="dxa"/>
            <w:tcBorders>
              <w:top w:val="single" w:sz="12" w:space="0" w:color="auto"/>
            </w:tcBorders>
          </w:tcPr>
          <w:p w14:paraId="5C9D59A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04BE753" w14:textId="77777777" w:rsidTr="00E543D0">
        <w:tc>
          <w:tcPr>
            <w:tcW w:w="1809" w:type="dxa"/>
          </w:tcPr>
          <w:p w14:paraId="46A076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14F1A8C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15E425F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6C9263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земли</w:t>
            </w:r>
          </w:p>
        </w:tc>
        <w:tc>
          <w:tcPr>
            <w:tcW w:w="1045" w:type="dxa"/>
          </w:tcPr>
          <w:p w14:paraId="46FA6A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гр. высотности</w:t>
            </w:r>
          </w:p>
        </w:tc>
        <w:tc>
          <w:tcPr>
            <w:tcW w:w="1045" w:type="dxa"/>
          </w:tcPr>
          <w:p w14:paraId="0FE6FF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2BE9217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29B5E6F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45" w:type="dxa"/>
          </w:tcPr>
          <w:p w14:paraId="426A5A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w:t>
            </w:r>
          </w:p>
        </w:tc>
        <w:tc>
          <w:tcPr>
            <w:tcW w:w="1045" w:type="dxa"/>
          </w:tcPr>
          <w:p w14:paraId="05210F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w:t>
            </w:r>
          </w:p>
        </w:tc>
      </w:tr>
      <w:tr w:rsidR="007D5DF8" w:rsidRPr="00DB5D0D" w14:paraId="76578F0F" w14:textId="77777777" w:rsidTr="00E543D0">
        <w:tc>
          <w:tcPr>
            <w:tcW w:w="1809" w:type="dxa"/>
          </w:tcPr>
          <w:p w14:paraId="5AF647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 ВИШ-61</w:t>
            </w:r>
          </w:p>
        </w:tc>
        <w:tc>
          <w:tcPr>
            <w:tcW w:w="1045" w:type="dxa"/>
          </w:tcPr>
          <w:p w14:paraId="351EE6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2968</w:t>
            </w:r>
          </w:p>
        </w:tc>
        <w:tc>
          <w:tcPr>
            <w:tcW w:w="1045" w:type="dxa"/>
          </w:tcPr>
          <w:p w14:paraId="7D6F6F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1045" w:type="dxa"/>
          </w:tcPr>
          <w:p w14:paraId="3711C6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w:t>
            </w:r>
          </w:p>
        </w:tc>
        <w:tc>
          <w:tcPr>
            <w:tcW w:w="1045" w:type="dxa"/>
          </w:tcPr>
          <w:p w14:paraId="3FF6B8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605/4950</w:t>
            </w:r>
          </w:p>
        </w:tc>
        <w:tc>
          <w:tcPr>
            <w:tcW w:w="1045" w:type="dxa"/>
          </w:tcPr>
          <w:p w14:paraId="772396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c>
          <w:tcPr>
            <w:tcW w:w="1045" w:type="dxa"/>
          </w:tcPr>
          <w:p w14:paraId="2B600E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9600</w:t>
            </w:r>
          </w:p>
        </w:tc>
        <w:tc>
          <w:tcPr>
            <w:tcW w:w="1045" w:type="dxa"/>
          </w:tcPr>
          <w:p w14:paraId="1F25B3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556/250</w:t>
            </w:r>
          </w:p>
        </w:tc>
        <w:tc>
          <w:tcPr>
            <w:tcW w:w="1045" w:type="dxa"/>
          </w:tcPr>
          <w:p w14:paraId="046FC9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8хРС-82</w:t>
            </w:r>
          </w:p>
        </w:tc>
        <w:tc>
          <w:tcPr>
            <w:tcW w:w="1045" w:type="dxa"/>
          </w:tcPr>
          <w:p w14:paraId="4F8071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 (460)</w:t>
            </w:r>
          </w:p>
          <w:p w14:paraId="0D8979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1х23мм (81)</w:t>
            </w:r>
          </w:p>
          <w:p w14:paraId="6DF54B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перегрузку 2хШКАС (1500)</w:t>
            </w:r>
          </w:p>
        </w:tc>
      </w:tr>
      <w:tr w:rsidR="007D5DF8" w:rsidRPr="00DB5D0D" w14:paraId="76356E2D" w14:textId="77777777" w:rsidTr="00E543D0">
        <w:tc>
          <w:tcPr>
            <w:tcW w:w="1809" w:type="dxa"/>
          </w:tcPr>
          <w:p w14:paraId="18181F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 ВИШ-21</w:t>
            </w:r>
          </w:p>
        </w:tc>
        <w:tc>
          <w:tcPr>
            <w:tcW w:w="1045" w:type="dxa"/>
          </w:tcPr>
          <w:p w14:paraId="707C23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1045" w:type="dxa"/>
          </w:tcPr>
          <w:p w14:paraId="656B98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1045" w:type="dxa"/>
          </w:tcPr>
          <w:p w14:paraId="6BD3E6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w:t>
            </w:r>
          </w:p>
        </w:tc>
        <w:tc>
          <w:tcPr>
            <w:tcW w:w="1045" w:type="dxa"/>
          </w:tcPr>
          <w:p w14:paraId="3B518B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585/4800</w:t>
            </w:r>
          </w:p>
        </w:tc>
        <w:tc>
          <w:tcPr>
            <w:tcW w:w="1045" w:type="dxa"/>
          </w:tcPr>
          <w:p w14:paraId="426240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1045" w:type="dxa"/>
          </w:tcPr>
          <w:p w14:paraId="4E5F26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10220</w:t>
            </w:r>
          </w:p>
        </w:tc>
        <w:tc>
          <w:tcPr>
            <w:tcW w:w="1045" w:type="dxa"/>
          </w:tcPr>
          <w:p w14:paraId="334434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700/305</w:t>
            </w:r>
          </w:p>
        </w:tc>
        <w:tc>
          <w:tcPr>
            <w:tcW w:w="1045" w:type="dxa"/>
          </w:tcPr>
          <w:p w14:paraId="5A9D8E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нет</w:t>
            </w:r>
          </w:p>
        </w:tc>
        <w:tc>
          <w:tcPr>
            <w:tcW w:w="1045" w:type="dxa"/>
          </w:tcPr>
          <w:p w14:paraId="696AD3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(380)</w:t>
            </w:r>
          </w:p>
          <w:p w14:paraId="423B40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1х20мм (120)</w:t>
            </w:r>
          </w:p>
        </w:tc>
      </w:tr>
      <w:tr w:rsidR="007D5DF8" w:rsidRPr="00DB5D0D" w14:paraId="30C214E9" w14:textId="77777777" w:rsidTr="00E543D0">
        <w:tc>
          <w:tcPr>
            <w:tcW w:w="1809" w:type="dxa"/>
          </w:tcPr>
          <w:p w14:paraId="7AD09E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М-88</w:t>
            </w:r>
          </w:p>
        </w:tc>
        <w:tc>
          <w:tcPr>
            <w:tcW w:w="1045" w:type="dxa"/>
          </w:tcPr>
          <w:p w14:paraId="304FDD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2434</w:t>
            </w:r>
          </w:p>
        </w:tc>
        <w:tc>
          <w:tcPr>
            <w:tcW w:w="1045" w:type="dxa"/>
          </w:tcPr>
          <w:p w14:paraId="02F3BB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045" w:type="dxa"/>
          </w:tcPr>
          <w:p w14:paraId="5B671D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w:t>
            </w:r>
          </w:p>
        </w:tc>
        <w:tc>
          <w:tcPr>
            <w:tcW w:w="1045" w:type="dxa"/>
          </w:tcPr>
          <w:p w14:paraId="1DE74F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575</w:t>
            </w:r>
          </w:p>
        </w:tc>
        <w:tc>
          <w:tcPr>
            <w:tcW w:w="1045" w:type="dxa"/>
          </w:tcPr>
          <w:p w14:paraId="4DDCE9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c>
          <w:tcPr>
            <w:tcW w:w="1045" w:type="dxa"/>
          </w:tcPr>
          <w:p w14:paraId="2EFF1B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045" w:type="dxa"/>
          </w:tcPr>
          <w:p w14:paraId="0BCEC7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w:t>
            </w:r>
          </w:p>
        </w:tc>
        <w:tc>
          <w:tcPr>
            <w:tcW w:w="1045" w:type="dxa"/>
          </w:tcPr>
          <w:p w14:paraId="16C0D1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1045" w:type="dxa"/>
          </w:tcPr>
          <w:p w14:paraId="7E4356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 (360)</w:t>
            </w:r>
          </w:p>
          <w:p w14:paraId="785D5C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(1000)</w:t>
            </w:r>
          </w:p>
        </w:tc>
      </w:tr>
      <w:tr w:rsidR="007D5DF8" w:rsidRPr="00DB5D0D" w14:paraId="1276F7FE" w14:textId="77777777" w:rsidTr="00E543D0">
        <w:tc>
          <w:tcPr>
            <w:tcW w:w="1809" w:type="dxa"/>
          </w:tcPr>
          <w:p w14:paraId="20A906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 М-88</w:t>
            </w:r>
          </w:p>
        </w:tc>
        <w:tc>
          <w:tcPr>
            <w:tcW w:w="1045" w:type="dxa"/>
          </w:tcPr>
          <w:p w14:paraId="0F66D2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2730</w:t>
            </w:r>
          </w:p>
        </w:tc>
        <w:tc>
          <w:tcPr>
            <w:tcW w:w="1045" w:type="dxa"/>
          </w:tcPr>
          <w:p w14:paraId="76A02D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045" w:type="dxa"/>
          </w:tcPr>
          <w:p w14:paraId="79F680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w:t>
            </w:r>
          </w:p>
        </w:tc>
        <w:tc>
          <w:tcPr>
            <w:tcW w:w="1045" w:type="dxa"/>
          </w:tcPr>
          <w:p w14:paraId="00A691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566</w:t>
            </w:r>
          </w:p>
        </w:tc>
        <w:tc>
          <w:tcPr>
            <w:tcW w:w="1045" w:type="dxa"/>
          </w:tcPr>
          <w:p w14:paraId="112C8E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1045" w:type="dxa"/>
          </w:tcPr>
          <w:p w14:paraId="756377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045" w:type="dxa"/>
          </w:tcPr>
          <w:p w14:paraId="03FBAF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450/200</w:t>
            </w:r>
          </w:p>
        </w:tc>
        <w:tc>
          <w:tcPr>
            <w:tcW w:w="1045" w:type="dxa"/>
          </w:tcPr>
          <w:p w14:paraId="697A24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045" w:type="dxa"/>
          </w:tcPr>
          <w:p w14:paraId="0DD861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 (300)</w:t>
            </w:r>
          </w:p>
          <w:p w14:paraId="4119B6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(1500)</w:t>
            </w:r>
          </w:p>
        </w:tc>
      </w:tr>
      <w:tr w:rsidR="007D5DF8" w:rsidRPr="00DB5D0D" w14:paraId="5386C7C1" w14:textId="77777777" w:rsidTr="00E543D0">
        <w:tc>
          <w:tcPr>
            <w:tcW w:w="1809" w:type="dxa"/>
          </w:tcPr>
          <w:p w14:paraId="791480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АМ35А</w:t>
            </w:r>
          </w:p>
        </w:tc>
        <w:tc>
          <w:tcPr>
            <w:tcW w:w="1045" w:type="dxa"/>
          </w:tcPr>
          <w:p w14:paraId="229A1A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2988</w:t>
            </w:r>
          </w:p>
        </w:tc>
        <w:tc>
          <w:tcPr>
            <w:tcW w:w="1045" w:type="dxa"/>
          </w:tcPr>
          <w:p w14:paraId="0CE692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1045" w:type="dxa"/>
          </w:tcPr>
          <w:p w14:paraId="0499DA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w:t>
            </w:r>
          </w:p>
        </w:tc>
        <w:tc>
          <w:tcPr>
            <w:tcW w:w="1045" w:type="dxa"/>
          </w:tcPr>
          <w:p w14:paraId="1D64E9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w:t>
            </w:r>
          </w:p>
        </w:tc>
        <w:tc>
          <w:tcPr>
            <w:tcW w:w="1045" w:type="dxa"/>
          </w:tcPr>
          <w:p w14:paraId="434D18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w:t>
            </w:r>
          </w:p>
        </w:tc>
        <w:tc>
          <w:tcPr>
            <w:tcW w:w="1045" w:type="dxa"/>
          </w:tcPr>
          <w:p w14:paraId="7FAAED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045" w:type="dxa"/>
          </w:tcPr>
          <w:p w14:paraId="5B5363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609/290</w:t>
            </w:r>
          </w:p>
        </w:tc>
        <w:tc>
          <w:tcPr>
            <w:tcW w:w="1045" w:type="dxa"/>
          </w:tcPr>
          <w:p w14:paraId="290FD2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1045" w:type="dxa"/>
          </w:tcPr>
          <w:p w14:paraId="5EFABC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1хБС (300)</w:t>
            </w:r>
          </w:p>
          <w:p w14:paraId="541F65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(1200)</w:t>
            </w:r>
          </w:p>
        </w:tc>
      </w:tr>
      <w:tr w:rsidR="007D5DF8" w:rsidRPr="00DB5D0D" w14:paraId="0BC80F8C" w14:textId="77777777" w:rsidTr="00E543D0">
        <w:tc>
          <w:tcPr>
            <w:tcW w:w="1809" w:type="dxa"/>
            <w:tcBorders>
              <w:bottom w:val="single" w:sz="12" w:space="0" w:color="auto"/>
            </w:tcBorders>
          </w:tcPr>
          <w:p w14:paraId="74AA1D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Хейнкель 100</w:t>
            </w:r>
          </w:p>
        </w:tc>
        <w:tc>
          <w:tcPr>
            <w:tcW w:w="1045" w:type="dxa"/>
            <w:tcBorders>
              <w:bottom w:val="single" w:sz="12" w:space="0" w:color="auto"/>
            </w:tcBorders>
          </w:tcPr>
          <w:p w14:paraId="3D3C1C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1045" w:type="dxa"/>
            <w:tcBorders>
              <w:bottom w:val="single" w:sz="12" w:space="0" w:color="auto"/>
            </w:tcBorders>
          </w:tcPr>
          <w:p w14:paraId="46217E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1045" w:type="dxa"/>
            <w:tcBorders>
              <w:bottom w:val="single" w:sz="12" w:space="0" w:color="auto"/>
            </w:tcBorders>
          </w:tcPr>
          <w:p w14:paraId="0DF492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571</w:t>
            </w:r>
          </w:p>
        </w:tc>
        <w:tc>
          <w:tcPr>
            <w:tcW w:w="1045" w:type="dxa"/>
            <w:tcBorders>
              <w:bottom w:val="single" w:sz="12" w:space="0" w:color="auto"/>
            </w:tcBorders>
          </w:tcPr>
          <w:p w14:paraId="7A987B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w:t>
            </w:r>
          </w:p>
        </w:tc>
        <w:tc>
          <w:tcPr>
            <w:tcW w:w="1045" w:type="dxa"/>
            <w:tcBorders>
              <w:bottom w:val="single" w:sz="12" w:space="0" w:color="auto"/>
            </w:tcBorders>
          </w:tcPr>
          <w:p w14:paraId="46CD5F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045" w:type="dxa"/>
            <w:tcBorders>
              <w:bottom w:val="single" w:sz="12" w:space="0" w:color="auto"/>
            </w:tcBorders>
          </w:tcPr>
          <w:p w14:paraId="4FD8B8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045" w:type="dxa"/>
            <w:tcBorders>
              <w:bottom w:val="single" w:sz="12" w:space="0" w:color="auto"/>
            </w:tcBorders>
          </w:tcPr>
          <w:p w14:paraId="4834DE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c>
          <w:tcPr>
            <w:tcW w:w="1045" w:type="dxa"/>
            <w:tcBorders>
              <w:bottom w:val="single" w:sz="12" w:space="0" w:color="auto"/>
            </w:tcBorders>
          </w:tcPr>
          <w:p w14:paraId="2F419C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2х7,8 (1000)</w:t>
            </w:r>
          </w:p>
        </w:tc>
        <w:tc>
          <w:tcPr>
            <w:tcW w:w="1045" w:type="dxa"/>
            <w:tcBorders>
              <w:bottom w:val="single" w:sz="12" w:space="0" w:color="auto"/>
            </w:tcBorders>
          </w:tcPr>
          <w:p w14:paraId="031305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150918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 данные по И-180 и И-200 - по заводским испытаниям</w:t>
      </w:r>
    </w:p>
    <w:p w14:paraId="190BF7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по Хейнкель -100 по рез-там испытаний в НИИ ВВС</w:t>
      </w:r>
    </w:p>
    <w:p w14:paraId="7B2396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Маневренность с-та в воздухе хорошая, но несколько велика нагрузка на элероны и РН. В технике пилотирования самолет прост.</w:t>
      </w:r>
    </w:p>
    <w:p w14:paraId="1F4136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Вибрации конструкции с-та при полете на скорости 510 км/час на 4000 м не обнаружены</w:t>
      </w:r>
    </w:p>
    <w:p w14:paraId="23D680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большей скорости не проводились из-за недостаточности вибропрочности оперения.</w:t>
      </w:r>
    </w:p>
    <w:p w14:paraId="771776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испытаниях было проведено 2 полета до высоты 8000 м, хотя при заводских испытаниях полеты выше 5500 м не проводились</w:t>
      </w:r>
    </w:p>
    <w:p w14:paraId="5A2585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М-105 с карбюраторами К-105 с регулировкой по методу ЦИАМ за время испытаний работал неудовлетворительно.</w:t>
      </w:r>
    </w:p>
    <w:p w14:paraId="6C8D37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работе нагнетателя на второй скорости при среднем положении дросселя мотор мотор имеет плохую приемистост, сильно трясется и работает с перебоями.</w:t>
      </w:r>
    </w:p>
    <w:p w14:paraId="008F01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полете на малом газу было 2 случая воспламенения смеси в карбюраторе</w:t>
      </w:r>
    </w:p>
    <w:p w14:paraId="092925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Маслосистема не обеспечивает нормальный температурный режим работы мотора в летнее время при температуре у земли 20 гр., как на режиме скороподъемности, так и в горизонтальном полете на полном газе.</w:t>
      </w:r>
    </w:p>
    <w:p w14:paraId="0A7E18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2290B3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ЛД с-та И-301 выше, чем у всех современных отечественных с-тов с М-105</w:t>
      </w:r>
    </w:p>
    <w:p w14:paraId="244330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мощности предусмотренного вооружения среди одноместных истребителей с-т стоит на первом плане</w:t>
      </w:r>
    </w:p>
    <w:p w14:paraId="409705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Недостатком пушечного вооружения является отсутствие приливов на картере мотора для крепления пушки</w:t>
      </w:r>
    </w:p>
    <w:p w14:paraId="7CC760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пр-ве с-т прост. Цельнодеревянная конструкция с использованием упрочненной древесины на лонжеронах крыла имеет широкуб базу для производства. Отделка поверхности с-та трудности не представляет</w:t>
      </w:r>
    </w:p>
    <w:p w14:paraId="07CC40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технике пилотирования с-т достаточно прост, статически устойчив при ЦТ 24,6% и соответствует ТТТ</w:t>
      </w:r>
    </w:p>
    <w:p w14:paraId="41DD9E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динамически с брошенными рулями с-т не устойчив</w:t>
      </w:r>
    </w:p>
    <w:p w14:paraId="6E16AC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серийных с-тах необходимо улучшить продольную динамическую устойчивость путем создания более передней центровки подбором веса балансира РВ и удучного соотношения площади стабилизатора и РВ, а также увеличения поперечного V крыла до 6-7 гр.</w:t>
      </w:r>
    </w:p>
    <w:p w14:paraId="76D186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Давление на ручку необходимо снизить путем увеличения компенсации РВ и элеронов</w:t>
      </w:r>
    </w:p>
    <w:p w14:paraId="5F2ED6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на пробеге необходимо улучшить установкой стопорящегося хвостового колеса и перехода на колесо баллонного типа.</w:t>
      </w:r>
    </w:p>
    <w:p w14:paraId="22DF12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самолета велик и должен быть снижен за счет лучшего исполнения нового материала, примененного в конструкции с-та. Уменьшение полетного веса улучшит ЛТД с-та</w:t>
      </w:r>
    </w:p>
    <w:p w14:paraId="62C70F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полетного веса с-та в 2968 кг нагрузка на колесо в 1340 кг является предельной, что исключает возможность его (колеса) нормальной работы в эксплуатации.</w:t>
      </w:r>
    </w:p>
    <w:p w14:paraId="099DD1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Сделать люки в левом борту фюзеляжа с-та для установки р/с и просмотра замка костыля, для освотра тяг управления, а люки для осмотра тяг управления в крыле - увеличить по размеру и т.д.</w:t>
      </w:r>
    </w:p>
    <w:p w14:paraId="068065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подписал Нач. 1 отд. НИИ ВВС ви1р Рудинцев и вком 1 отд. баткомиссар Харчев 5 июля 1940</w:t>
      </w:r>
    </w:p>
    <w:p w14:paraId="06C019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2A057D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И-301 М-105П конструкции и тт. ЛаГГ производства з-да № 301 был предъявлен но гос. испытания с недоведенном вооружением и не испытанным на штопор, пикирование и высший пилотаж с выполнением фигур иммельмана, бочки.</w:t>
      </w:r>
    </w:p>
    <w:p w14:paraId="2C55A58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 И-301 М-105П госиспытаний не прошел из-за отсутствия испытания вооружения и испытаний на штопор и пикирование.</w:t>
      </w:r>
    </w:p>
    <w:p w14:paraId="6CBAD84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целесообразным построить войсковую серию с-тов И-301 М-105П и вести подготовку к серийному производству.</w:t>
      </w:r>
    </w:p>
    <w:p w14:paraId="5708A94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конструкторами решена в основном задача создания целиком деревянного с-та с применением упроченной древесины.</w:t>
      </w:r>
    </w:p>
    <w:p w14:paraId="0254237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дублере с-та д.б. устранены ограничения в скорости пикирования и изжиты основные дефекты, выявленные госиспытаниями 1-го экз.</w:t>
      </w:r>
    </w:p>
    <w:p w14:paraId="70E1C8B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Считать целесообразным построить войсковую серию с-та И-301 М-105П, вести подшготовку к серийной постройке с-та.</w:t>
      </w:r>
    </w:p>
    <w:p w14:paraId="20DF47E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И-301 конструкторами решена в основном задача создания цельнодеревянного с-та с применением упроченной древесины.</w:t>
      </w:r>
    </w:p>
    <w:p w14:paraId="30D5D40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Считать необходимым просить НКАП т. Шахурина о повышении внимания со стороны НКАП в деле доводки, испытания и постройки с-та И-301 М-105П</w:t>
      </w:r>
    </w:p>
    <w:p w14:paraId="16335D4B" w14:textId="77777777" w:rsidR="003C7E8B" w:rsidRPr="00DB5D0D" w:rsidRDefault="003C7E8B" w:rsidP="00DB5D0D">
      <w:pPr>
        <w:numPr>
          <w:ilvl w:val="12"/>
          <w:numId w:val="0"/>
        </w:num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Подписали Нач. НИИ ВВС Филин, в/к НИИ ВВС Холопин (697,11).</w:t>
      </w:r>
    </w:p>
    <w:p w14:paraId="4B8ED6CB" w14:textId="77777777" w:rsidR="003C7E8B" w:rsidRPr="00DB5D0D" w:rsidRDefault="003C7E8B" w:rsidP="00DB5D0D">
      <w:pPr>
        <w:numPr>
          <w:ilvl w:val="12"/>
          <w:numId w:val="0"/>
        </w:num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Исполнители:</w:t>
      </w:r>
    </w:p>
    <w:p w14:paraId="41D30DB3" w14:textId="77777777" w:rsidR="003C7E8B" w:rsidRPr="00DB5D0D" w:rsidRDefault="003C7E8B" w:rsidP="00DB5D0D">
      <w:pPr>
        <w:numPr>
          <w:ilvl w:val="12"/>
          <w:numId w:val="0"/>
        </w:num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ви3р 3 ранга Таракановский</w:t>
      </w:r>
    </w:p>
    <w:p w14:paraId="58C171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 ви ви3р Цыпаев</w:t>
      </w:r>
    </w:p>
    <w:p w14:paraId="1033F2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 м Стефановский</w:t>
      </w:r>
    </w:p>
    <w:p w14:paraId="33F9C8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 м Супрун</w:t>
      </w:r>
    </w:p>
    <w:p w14:paraId="109D28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по ВМГ ви3р Пономарев</w:t>
      </w:r>
    </w:p>
    <w:p w14:paraId="7839B7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по спецоборудованию Салихов</w:t>
      </w:r>
    </w:p>
    <w:p w14:paraId="593796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по вооружению Березин</w:t>
      </w:r>
    </w:p>
    <w:p w14:paraId="449EF3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техник вт1р Жулев</w:t>
      </w:r>
    </w:p>
    <w:p w14:paraId="20E9C4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техник вт2р Стрельнов</w:t>
      </w:r>
    </w:p>
    <w:p w14:paraId="4322F9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электротехник мт А.И.Аерьянов</w:t>
      </w:r>
    </w:p>
    <w:p w14:paraId="2FBB15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расчетчик Власов</w:t>
      </w:r>
    </w:p>
    <w:p w14:paraId="3728BB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расчетчик Андреева</w:t>
      </w:r>
    </w:p>
    <w:p w14:paraId="30BBD6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по приборам Петров</w:t>
      </w:r>
    </w:p>
    <w:p w14:paraId="312344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по кислороду Кораблев</w:t>
      </w:r>
    </w:p>
    <w:p w14:paraId="31163B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Размеры, веса и центровка с-та</w:t>
      </w:r>
    </w:p>
    <w:p w14:paraId="3CE882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САХ 1962</w:t>
      </w:r>
    </w:p>
    <w:p w14:paraId="3EDFF3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стабилизатора 3400</w:t>
      </w:r>
    </w:p>
    <w:p w14:paraId="3084AB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щитки-закрылки 6050</w:t>
      </w:r>
    </w:p>
    <w:p w14:paraId="6CACB8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колея шасси 2823</w:t>
      </w:r>
    </w:p>
    <w:p w14:paraId="3924BB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крыла 9,807</w:t>
      </w:r>
    </w:p>
    <w:p w14:paraId="5127BE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удлинение крыла 5,46</w:t>
      </w:r>
    </w:p>
    <w:p w14:paraId="7CBC8A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с-та 8820</w:t>
      </w:r>
    </w:p>
    <w:p w14:paraId="680B0A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ГО 2,34 м2</w:t>
      </w:r>
    </w:p>
    <w:p w14:paraId="0A9E78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стабилизатора 1,62 м2</w:t>
      </w:r>
    </w:p>
    <w:p w14:paraId="7C73B3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РВ (90% стаб.) 1,46 м2</w:t>
      </w:r>
    </w:p>
    <w:p w14:paraId="7DCA63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триммера РВ (5%) 0,075 м2</w:t>
      </w:r>
    </w:p>
    <w:p w14:paraId="58559F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весовая компенсация РВ - 100%</w:t>
      </w:r>
    </w:p>
    <w:p w14:paraId="67D597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ГО 3,08 м2</w:t>
      </w:r>
    </w:p>
    <w:p w14:paraId="081FB9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киля 0,814 м2</w:t>
      </w:r>
    </w:p>
    <w:p w14:paraId="442F2D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РН (112% киля) 0,92 м2</w:t>
      </w:r>
    </w:p>
    <w:p w14:paraId="60EB94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аэродинамическая компенсация РН 100%</w:t>
      </w:r>
    </w:p>
    <w:p w14:paraId="48B1FA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ВО 1,734 м2</w:t>
      </w:r>
    </w:p>
    <w:p w14:paraId="6EF205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профиль крыла НАКА-230</w:t>
      </w:r>
    </w:p>
    <w:p w14:paraId="55D138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Регулировочные данные</w:t>
      </w:r>
    </w:p>
    <w:p w14:paraId="5670B7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установочный угол крыла +1 гр.</w:t>
      </w:r>
    </w:p>
    <w:p w14:paraId="3D2F1F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поваеречное V по нижнейц кромке заднего лонжерона 5 гр.</w:t>
      </w:r>
    </w:p>
    <w:p w14:paraId="53D06F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РВ верх 25, низ 20:15</w:t>
      </w:r>
    </w:p>
    <w:p w14:paraId="7E41AB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РН справо 16, влево 15:15</w:t>
      </w:r>
    </w:p>
    <w:p w14:paraId="385B57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элеронов левого вверх 21:30 вгниз 21:30</w:t>
      </w:r>
    </w:p>
    <w:p w14:paraId="2339E6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элеронов правого вверх 20:25, вниз 23:50</w:t>
      </w:r>
    </w:p>
    <w:p w14:paraId="7F5B23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щитка 60 гр.</w:t>
      </w:r>
    </w:p>
    <w:p w14:paraId="667B1B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триммера РВ правого вверх 13:30, вниз 13</w:t>
      </w:r>
    </w:p>
    <w:p w14:paraId="1BCA2F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триммера РВ левого вверх 15, вниз 12:15</w:t>
      </w:r>
    </w:p>
    <w:p w14:paraId="369D34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триммера РП вправо 16, влево 15:15</w:t>
      </w:r>
    </w:p>
    <w:p w14:paraId="48040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установчный угол стаб. 0, диапазон изменения 0</w:t>
      </w:r>
    </w:p>
    <w:p w14:paraId="5C9216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полетный вес 2968</w:t>
      </w:r>
    </w:p>
    <w:p w14:paraId="6B84FD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к весу пустого - 24,8%</w:t>
      </w:r>
    </w:p>
    <w:p w14:paraId="680C34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2478,5</w:t>
      </w:r>
    </w:p>
    <w:p w14:paraId="37366B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 парашютом 90 кг</w:t>
      </w:r>
    </w:p>
    <w:p w14:paraId="3DBE93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 250 кг</w:t>
      </w:r>
    </w:p>
    <w:p w14:paraId="533545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 30 кг</w:t>
      </w:r>
    </w:p>
    <w:p w14:paraId="3DB6E7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снаряды пушки 40</w:t>
      </w:r>
    </w:p>
    <w:p w14:paraId="2CE3DF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патроны БС 80,5</w:t>
      </w:r>
    </w:p>
    <w:p w14:paraId="3D0D75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490,5</w:t>
      </w:r>
    </w:p>
    <w:p w14:paraId="4854C7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вода в системе охл. 95</w:t>
      </w:r>
    </w:p>
    <w:p w14:paraId="776B65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50</w:t>
      </w:r>
    </w:p>
    <w:p w14:paraId="6E253F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пулеметы БС 48</w:t>
      </w:r>
    </w:p>
    <w:p w14:paraId="25F57B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бронеспинка 20,3</w:t>
      </w:r>
    </w:p>
    <w:p w14:paraId="559AB1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кислородное обор. 7,5</w:t>
      </w:r>
    </w:p>
    <w:p w14:paraId="2A8AE4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Акумулятор и генератор 15,8</w:t>
      </w:r>
    </w:p>
    <w:p w14:paraId="2D6F0F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Центровки:</w:t>
      </w:r>
    </w:p>
    <w:p w14:paraId="18A13C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вып. Шасси 24,59%</w:t>
      </w:r>
    </w:p>
    <w:p w14:paraId="7C892F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убр. Шасси 24,59</w:t>
      </w:r>
    </w:p>
    <w:p w14:paraId="35DF54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стояночный угол 13:30</w:t>
      </w:r>
    </w:p>
    <w:p w14:paraId="53A940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амортизатора 60-70, макс. 150</w:t>
      </w:r>
    </w:p>
    <w:p w14:paraId="1F0A58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костыля - норм 100-110, макс. 180</w:t>
      </w:r>
    </w:p>
    <w:p w14:paraId="6AF818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 с-та закрытого типа со сдвижным назад фонарем из плексигласа</w:t>
      </w:r>
    </w:p>
    <w:p w14:paraId="4AD096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Скорлупа фюзеляжа выполнена из березового шпона толщиной у ЦП 9 мм и в хвосте 3 мм</w:t>
      </w:r>
    </w:p>
    <w:p w14:paraId="3F28C3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Максю гор.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7D5DF8" w:rsidRPr="00DB5D0D" w14:paraId="7E5D6915" w14:textId="77777777" w:rsidTr="00E543D0">
        <w:tc>
          <w:tcPr>
            <w:tcW w:w="1401" w:type="dxa"/>
            <w:tcBorders>
              <w:top w:val="single" w:sz="12" w:space="0" w:color="auto"/>
            </w:tcBorders>
          </w:tcPr>
          <w:p w14:paraId="19E393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Стат. высота</w:t>
            </w:r>
          </w:p>
        </w:tc>
        <w:tc>
          <w:tcPr>
            <w:tcW w:w="1401" w:type="dxa"/>
            <w:tcBorders>
              <w:top w:val="single" w:sz="12" w:space="0" w:color="auto"/>
            </w:tcBorders>
          </w:tcPr>
          <w:p w14:paraId="4A96D3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2968 кг 1-й вариант всасывающего патрубка</w:t>
            </w:r>
          </w:p>
        </w:tc>
        <w:tc>
          <w:tcPr>
            <w:tcW w:w="1401" w:type="dxa"/>
            <w:tcBorders>
              <w:top w:val="single" w:sz="12" w:space="0" w:color="auto"/>
            </w:tcBorders>
          </w:tcPr>
          <w:p w14:paraId="174E0F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28B3D0D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155FEA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2968 кг 2-й вариант всасывающего патрубка</w:t>
            </w:r>
          </w:p>
        </w:tc>
        <w:tc>
          <w:tcPr>
            <w:tcW w:w="1401" w:type="dxa"/>
            <w:tcBorders>
              <w:top w:val="single" w:sz="12" w:space="0" w:color="auto"/>
            </w:tcBorders>
          </w:tcPr>
          <w:p w14:paraId="1BB0358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52025A2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F4969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1C5BEB06" w14:textId="77777777" w:rsidTr="00E543D0">
        <w:tc>
          <w:tcPr>
            <w:tcW w:w="1401" w:type="dxa"/>
          </w:tcPr>
          <w:p w14:paraId="609554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5BDA4E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1401" w:type="dxa"/>
          </w:tcPr>
          <w:p w14:paraId="60FB34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1401" w:type="dxa"/>
          </w:tcPr>
          <w:p w14:paraId="20243E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c>
          <w:tcPr>
            <w:tcW w:w="1401" w:type="dxa"/>
          </w:tcPr>
          <w:p w14:paraId="296BC7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1401" w:type="dxa"/>
          </w:tcPr>
          <w:p w14:paraId="26DB79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1401" w:type="dxa"/>
          </w:tcPr>
          <w:p w14:paraId="4CCD3E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c>
          <w:tcPr>
            <w:tcW w:w="1401" w:type="dxa"/>
          </w:tcPr>
          <w:p w14:paraId="78D19C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94AF370" w14:textId="77777777" w:rsidTr="00E543D0">
        <w:tc>
          <w:tcPr>
            <w:tcW w:w="1401" w:type="dxa"/>
          </w:tcPr>
          <w:p w14:paraId="0D5412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401" w:type="dxa"/>
          </w:tcPr>
          <w:p w14:paraId="6D53EA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w:t>
            </w:r>
          </w:p>
        </w:tc>
        <w:tc>
          <w:tcPr>
            <w:tcW w:w="1401" w:type="dxa"/>
          </w:tcPr>
          <w:p w14:paraId="474D1B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401" w:type="dxa"/>
          </w:tcPr>
          <w:p w14:paraId="74181C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5C122EA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4094DA3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298555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7B40A01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5293C21" w14:textId="77777777" w:rsidTr="00E543D0">
        <w:tc>
          <w:tcPr>
            <w:tcW w:w="1401" w:type="dxa"/>
          </w:tcPr>
          <w:p w14:paraId="4B6A02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401" w:type="dxa"/>
          </w:tcPr>
          <w:p w14:paraId="3CEB06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536</w:t>
            </w:r>
          </w:p>
        </w:tc>
        <w:tc>
          <w:tcPr>
            <w:tcW w:w="1401" w:type="dxa"/>
          </w:tcPr>
          <w:p w14:paraId="1F72C6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401" w:type="dxa"/>
          </w:tcPr>
          <w:p w14:paraId="1133B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0704E5A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61E9E74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655AFC9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6E9A011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2C3547" w14:textId="77777777" w:rsidTr="00E543D0">
        <w:tc>
          <w:tcPr>
            <w:tcW w:w="1401" w:type="dxa"/>
          </w:tcPr>
          <w:p w14:paraId="39F497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401" w:type="dxa"/>
          </w:tcPr>
          <w:p w14:paraId="775A72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558</w:t>
            </w:r>
          </w:p>
        </w:tc>
        <w:tc>
          <w:tcPr>
            <w:tcW w:w="1401" w:type="dxa"/>
          </w:tcPr>
          <w:p w14:paraId="63EFF7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401" w:type="dxa"/>
          </w:tcPr>
          <w:p w14:paraId="07EB51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6996B3B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557886E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0BDC6AE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21FE7DC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A7C7E3B" w14:textId="77777777" w:rsidTr="00E543D0">
        <w:tc>
          <w:tcPr>
            <w:tcW w:w="1401" w:type="dxa"/>
          </w:tcPr>
          <w:p w14:paraId="2A04B3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1401" w:type="dxa"/>
          </w:tcPr>
          <w:p w14:paraId="1168B1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567</w:t>
            </w:r>
          </w:p>
        </w:tc>
        <w:tc>
          <w:tcPr>
            <w:tcW w:w="1401" w:type="dxa"/>
          </w:tcPr>
          <w:p w14:paraId="78749C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2C9B26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572A9C5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18BCBA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1B582F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2117D6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граница высотности на 1 ск.</w:t>
            </w:r>
          </w:p>
        </w:tc>
      </w:tr>
      <w:tr w:rsidR="007D5DF8" w:rsidRPr="00DB5D0D" w14:paraId="3B07F706" w14:textId="77777777" w:rsidTr="00E543D0">
        <w:tc>
          <w:tcPr>
            <w:tcW w:w="1401" w:type="dxa"/>
          </w:tcPr>
          <w:p w14:paraId="050363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401" w:type="dxa"/>
          </w:tcPr>
          <w:p w14:paraId="6E09CC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562</w:t>
            </w:r>
          </w:p>
        </w:tc>
        <w:tc>
          <w:tcPr>
            <w:tcW w:w="1401" w:type="dxa"/>
          </w:tcPr>
          <w:p w14:paraId="08F243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51203A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880</w:t>
            </w:r>
          </w:p>
        </w:tc>
        <w:tc>
          <w:tcPr>
            <w:tcW w:w="1401" w:type="dxa"/>
          </w:tcPr>
          <w:p w14:paraId="5C66E81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72E1869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50F5A52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7ACD8F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CE5754E" w14:textId="77777777" w:rsidTr="00E543D0">
        <w:tc>
          <w:tcPr>
            <w:tcW w:w="1401" w:type="dxa"/>
          </w:tcPr>
          <w:p w14:paraId="3B9C78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3200</w:t>
            </w:r>
          </w:p>
        </w:tc>
        <w:tc>
          <w:tcPr>
            <w:tcW w:w="1401" w:type="dxa"/>
          </w:tcPr>
          <w:p w14:paraId="7CB545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558</w:t>
            </w:r>
          </w:p>
        </w:tc>
        <w:tc>
          <w:tcPr>
            <w:tcW w:w="1401" w:type="dxa"/>
          </w:tcPr>
          <w:p w14:paraId="513E49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5D8A02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1294F9E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78437A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4FB665C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1" w:type="dxa"/>
          </w:tcPr>
          <w:p w14:paraId="236AA2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переключение на 2-ю</w:t>
            </w:r>
          </w:p>
        </w:tc>
      </w:tr>
      <w:tr w:rsidR="007D5DF8" w:rsidRPr="00DB5D0D" w14:paraId="4F6D587A" w14:textId="77777777" w:rsidTr="00E543D0">
        <w:tc>
          <w:tcPr>
            <w:tcW w:w="1401" w:type="dxa"/>
          </w:tcPr>
          <w:p w14:paraId="19D1FF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1401" w:type="dxa"/>
          </w:tcPr>
          <w:p w14:paraId="2831E3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577</w:t>
            </w:r>
          </w:p>
        </w:tc>
        <w:tc>
          <w:tcPr>
            <w:tcW w:w="1401" w:type="dxa"/>
          </w:tcPr>
          <w:p w14:paraId="1D0389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2BCEDA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39A63F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590</w:t>
            </w:r>
          </w:p>
        </w:tc>
        <w:tc>
          <w:tcPr>
            <w:tcW w:w="1401" w:type="dxa"/>
          </w:tcPr>
          <w:p w14:paraId="39E502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21AA16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c>
          <w:tcPr>
            <w:tcW w:w="1401" w:type="dxa"/>
          </w:tcPr>
          <w:p w14:paraId="15328D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796D96E" w14:textId="77777777" w:rsidTr="00E543D0">
        <w:tc>
          <w:tcPr>
            <w:tcW w:w="1401" w:type="dxa"/>
          </w:tcPr>
          <w:p w14:paraId="30E81C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4700</w:t>
            </w:r>
          </w:p>
        </w:tc>
        <w:tc>
          <w:tcPr>
            <w:tcW w:w="1401" w:type="dxa"/>
          </w:tcPr>
          <w:p w14:paraId="539F44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c>
          <w:tcPr>
            <w:tcW w:w="1401" w:type="dxa"/>
          </w:tcPr>
          <w:p w14:paraId="200C02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07C71D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7CB3EC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605/4950</w:t>
            </w:r>
          </w:p>
        </w:tc>
        <w:tc>
          <w:tcPr>
            <w:tcW w:w="1401" w:type="dxa"/>
          </w:tcPr>
          <w:p w14:paraId="1D7EE8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28B8AB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c>
          <w:tcPr>
            <w:tcW w:w="1401" w:type="dxa"/>
          </w:tcPr>
          <w:p w14:paraId="4F9524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2-я гр. высотности</w:t>
            </w:r>
          </w:p>
        </w:tc>
      </w:tr>
      <w:tr w:rsidR="007D5DF8" w:rsidRPr="00DB5D0D" w14:paraId="5887160B" w14:textId="77777777" w:rsidTr="00E543D0">
        <w:tc>
          <w:tcPr>
            <w:tcW w:w="1401" w:type="dxa"/>
          </w:tcPr>
          <w:p w14:paraId="61201E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1401" w:type="dxa"/>
          </w:tcPr>
          <w:p w14:paraId="284241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580</w:t>
            </w:r>
          </w:p>
        </w:tc>
        <w:tc>
          <w:tcPr>
            <w:tcW w:w="1401" w:type="dxa"/>
          </w:tcPr>
          <w:p w14:paraId="10CD14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269E28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875</w:t>
            </w:r>
          </w:p>
        </w:tc>
        <w:tc>
          <w:tcPr>
            <w:tcW w:w="1401" w:type="dxa"/>
          </w:tcPr>
          <w:p w14:paraId="1C8699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604/5000</w:t>
            </w:r>
          </w:p>
        </w:tc>
        <w:tc>
          <w:tcPr>
            <w:tcW w:w="1401" w:type="dxa"/>
          </w:tcPr>
          <w:p w14:paraId="72CB87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Pr>
          <w:p w14:paraId="05086D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c>
          <w:tcPr>
            <w:tcW w:w="1401" w:type="dxa"/>
          </w:tcPr>
          <w:p w14:paraId="2F4DD8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E3C0D8A" w14:textId="77777777" w:rsidTr="00E543D0">
        <w:tc>
          <w:tcPr>
            <w:tcW w:w="1401" w:type="dxa"/>
            <w:tcBorders>
              <w:bottom w:val="single" w:sz="12" w:space="0" w:color="auto"/>
            </w:tcBorders>
          </w:tcPr>
          <w:p w14:paraId="516595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401" w:type="dxa"/>
            <w:tcBorders>
              <w:bottom w:val="single" w:sz="12" w:space="0" w:color="auto"/>
            </w:tcBorders>
          </w:tcPr>
          <w:p w14:paraId="411464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555</w:t>
            </w:r>
          </w:p>
        </w:tc>
        <w:tc>
          <w:tcPr>
            <w:tcW w:w="1401" w:type="dxa"/>
            <w:tcBorders>
              <w:bottom w:val="single" w:sz="12" w:space="0" w:color="auto"/>
            </w:tcBorders>
          </w:tcPr>
          <w:p w14:paraId="465992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Borders>
              <w:bottom w:val="single" w:sz="12" w:space="0" w:color="auto"/>
            </w:tcBorders>
          </w:tcPr>
          <w:p w14:paraId="7542FF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745</w:t>
            </w:r>
          </w:p>
        </w:tc>
        <w:tc>
          <w:tcPr>
            <w:tcW w:w="1401" w:type="dxa"/>
            <w:tcBorders>
              <w:bottom w:val="single" w:sz="12" w:space="0" w:color="auto"/>
            </w:tcBorders>
          </w:tcPr>
          <w:p w14:paraId="2655F0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579</w:t>
            </w:r>
          </w:p>
        </w:tc>
        <w:tc>
          <w:tcPr>
            <w:tcW w:w="1401" w:type="dxa"/>
            <w:tcBorders>
              <w:bottom w:val="single" w:sz="12" w:space="0" w:color="auto"/>
            </w:tcBorders>
          </w:tcPr>
          <w:p w14:paraId="4A03A1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2670</w:t>
            </w:r>
          </w:p>
        </w:tc>
        <w:tc>
          <w:tcPr>
            <w:tcW w:w="1401" w:type="dxa"/>
            <w:tcBorders>
              <w:bottom w:val="single" w:sz="12" w:space="0" w:color="auto"/>
            </w:tcBorders>
          </w:tcPr>
          <w:p w14:paraId="084BC1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c>
          <w:tcPr>
            <w:tcW w:w="1401" w:type="dxa"/>
            <w:tcBorders>
              <w:bottom w:val="single" w:sz="12" w:space="0" w:color="auto"/>
            </w:tcBorders>
          </w:tcPr>
          <w:p w14:paraId="5D5A5A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10E048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и потолок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7D5DF8" w:rsidRPr="00DB5D0D" w14:paraId="5D74B2D5" w14:textId="77777777" w:rsidTr="00E543D0">
        <w:tc>
          <w:tcPr>
            <w:tcW w:w="1868" w:type="dxa"/>
            <w:tcBorders>
              <w:top w:val="single" w:sz="12" w:space="0" w:color="auto"/>
            </w:tcBorders>
          </w:tcPr>
          <w:p w14:paraId="075A14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Стат. высота</w:t>
            </w:r>
          </w:p>
        </w:tc>
        <w:tc>
          <w:tcPr>
            <w:tcW w:w="1868" w:type="dxa"/>
            <w:tcBorders>
              <w:top w:val="single" w:sz="12" w:space="0" w:color="auto"/>
            </w:tcBorders>
          </w:tcPr>
          <w:p w14:paraId="25D11D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2968 кг 1-й вариант всасывающего патрубка</w:t>
            </w:r>
          </w:p>
        </w:tc>
        <w:tc>
          <w:tcPr>
            <w:tcW w:w="1868" w:type="dxa"/>
            <w:tcBorders>
              <w:top w:val="single" w:sz="12" w:space="0" w:color="auto"/>
            </w:tcBorders>
          </w:tcPr>
          <w:p w14:paraId="626BA7D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5713064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0FE582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2DE83D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21AF176" w14:textId="77777777" w:rsidTr="00E543D0">
        <w:tc>
          <w:tcPr>
            <w:tcW w:w="1868" w:type="dxa"/>
          </w:tcPr>
          <w:p w14:paraId="60FD8C9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868" w:type="dxa"/>
          </w:tcPr>
          <w:p w14:paraId="7A0756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Верт. скорость</w:t>
            </w:r>
          </w:p>
        </w:tc>
        <w:tc>
          <w:tcPr>
            <w:tcW w:w="1868" w:type="dxa"/>
          </w:tcPr>
          <w:p w14:paraId="06875C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1868" w:type="dxa"/>
          </w:tcPr>
          <w:p w14:paraId="1206F7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по прибору</w:t>
            </w:r>
          </w:p>
        </w:tc>
        <w:tc>
          <w:tcPr>
            <w:tcW w:w="1868" w:type="dxa"/>
          </w:tcPr>
          <w:p w14:paraId="30484B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обороты</w:t>
            </w:r>
          </w:p>
        </w:tc>
        <w:tc>
          <w:tcPr>
            <w:tcW w:w="1868" w:type="dxa"/>
          </w:tcPr>
          <w:p w14:paraId="6095E9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r>
      <w:tr w:rsidR="007D5DF8" w:rsidRPr="00DB5D0D" w14:paraId="01133CF1" w14:textId="77777777" w:rsidTr="00E543D0">
        <w:tc>
          <w:tcPr>
            <w:tcW w:w="1868" w:type="dxa"/>
          </w:tcPr>
          <w:p w14:paraId="0EAE36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868" w:type="dxa"/>
          </w:tcPr>
          <w:p w14:paraId="4C631A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1868" w:type="dxa"/>
          </w:tcPr>
          <w:p w14:paraId="10F79D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868" w:type="dxa"/>
          </w:tcPr>
          <w:p w14:paraId="065E72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68" w:type="dxa"/>
          </w:tcPr>
          <w:p w14:paraId="704948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467B3E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r>
      <w:tr w:rsidR="007D5DF8" w:rsidRPr="00DB5D0D" w14:paraId="34D37CE4" w14:textId="77777777" w:rsidTr="00E543D0">
        <w:tc>
          <w:tcPr>
            <w:tcW w:w="1868" w:type="dxa"/>
          </w:tcPr>
          <w:p w14:paraId="5A1598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868" w:type="dxa"/>
          </w:tcPr>
          <w:p w14:paraId="0997CE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868" w:type="dxa"/>
          </w:tcPr>
          <w:p w14:paraId="1FD34D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1868" w:type="dxa"/>
          </w:tcPr>
          <w:p w14:paraId="085E55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68" w:type="dxa"/>
          </w:tcPr>
          <w:p w14:paraId="260E56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0F1507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r>
      <w:tr w:rsidR="007D5DF8" w:rsidRPr="00DB5D0D" w14:paraId="06A9D33C" w14:textId="77777777" w:rsidTr="00E543D0">
        <w:tc>
          <w:tcPr>
            <w:tcW w:w="1868" w:type="dxa"/>
          </w:tcPr>
          <w:p w14:paraId="306B0D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1900</w:t>
            </w:r>
          </w:p>
        </w:tc>
        <w:tc>
          <w:tcPr>
            <w:tcW w:w="1868" w:type="dxa"/>
          </w:tcPr>
          <w:p w14:paraId="1600E6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w:t>
            </w:r>
          </w:p>
        </w:tc>
        <w:tc>
          <w:tcPr>
            <w:tcW w:w="1868" w:type="dxa"/>
          </w:tcPr>
          <w:p w14:paraId="3B9A94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868" w:type="dxa"/>
          </w:tcPr>
          <w:p w14:paraId="34338F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68" w:type="dxa"/>
          </w:tcPr>
          <w:p w14:paraId="391296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192A4B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r>
      <w:tr w:rsidR="007D5DF8" w:rsidRPr="00DB5D0D" w14:paraId="520F61E5" w14:textId="77777777" w:rsidTr="00E543D0">
        <w:tc>
          <w:tcPr>
            <w:tcW w:w="1868" w:type="dxa"/>
          </w:tcPr>
          <w:p w14:paraId="3C1952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868" w:type="dxa"/>
          </w:tcPr>
          <w:p w14:paraId="327651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w:t>
            </w:r>
          </w:p>
        </w:tc>
        <w:tc>
          <w:tcPr>
            <w:tcW w:w="1868" w:type="dxa"/>
          </w:tcPr>
          <w:p w14:paraId="001F72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1868" w:type="dxa"/>
          </w:tcPr>
          <w:p w14:paraId="517B94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868" w:type="dxa"/>
          </w:tcPr>
          <w:p w14:paraId="0D063C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43453B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915</w:t>
            </w:r>
          </w:p>
        </w:tc>
      </w:tr>
      <w:tr w:rsidR="007D5DF8" w:rsidRPr="00DB5D0D" w14:paraId="3B27D75E" w14:textId="77777777" w:rsidTr="00E543D0">
        <w:tc>
          <w:tcPr>
            <w:tcW w:w="1868" w:type="dxa"/>
          </w:tcPr>
          <w:p w14:paraId="332B66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1868" w:type="dxa"/>
          </w:tcPr>
          <w:p w14:paraId="2300AF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c>
          <w:tcPr>
            <w:tcW w:w="1868" w:type="dxa"/>
          </w:tcPr>
          <w:p w14:paraId="6C5B9F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w:t>
            </w:r>
          </w:p>
        </w:tc>
        <w:tc>
          <w:tcPr>
            <w:tcW w:w="1868" w:type="dxa"/>
          </w:tcPr>
          <w:p w14:paraId="12094F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247</w:t>
            </w:r>
          </w:p>
        </w:tc>
        <w:tc>
          <w:tcPr>
            <w:tcW w:w="1868" w:type="dxa"/>
          </w:tcPr>
          <w:p w14:paraId="0A2C1B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593401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r>
      <w:tr w:rsidR="007D5DF8" w:rsidRPr="00DB5D0D" w14:paraId="3A47CBD1" w14:textId="77777777" w:rsidTr="00E543D0">
        <w:tc>
          <w:tcPr>
            <w:tcW w:w="1868" w:type="dxa"/>
          </w:tcPr>
          <w:p w14:paraId="027DF5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868" w:type="dxa"/>
          </w:tcPr>
          <w:p w14:paraId="352E23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1868" w:type="dxa"/>
          </w:tcPr>
          <w:p w14:paraId="4613C4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1868" w:type="dxa"/>
          </w:tcPr>
          <w:p w14:paraId="7F6866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246</w:t>
            </w:r>
          </w:p>
        </w:tc>
        <w:tc>
          <w:tcPr>
            <w:tcW w:w="1868" w:type="dxa"/>
          </w:tcPr>
          <w:p w14:paraId="63230B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527A56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r>
      <w:tr w:rsidR="007D5DF8" w:rsidRPr="00DB5D0D" w14:paraId="1695E874" w14:textId="77777777" w:rsidTr="00E543D0">
        <w:tc>
          <w:tcPr>
            <w:tcW w:w="1868" w:type="dxa"/>
          </w:tcPr>
          <w:p w14:paraId="6F62EC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3700</w:t>
            </w:r>
          </w:p>
        </w:tc>
        <w:tc>
          <w:tcPr>
            <w:tcW w:w="1868" w:type="dxa"/>
          </w:tcPr>
          <w:p w14:paraId="4125AF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16,6</w:t>
            </w:r>
          </w:p>
        </w:tc>
        <w:tc>
          <w:tcPr>
            <w:tcW w:w="1868" w:type="dxa"/>
          </w:tcPr>
          <w:p w14:paraId="5DC129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868" w:type="dxa"/>
          </w:tcPr>
          <w:p w14:paraId="566F76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243</w:t>
            </w:r>
          </w:p>
        </w:tc>
        <w:tc>
          <w:tcPr>
            <w:tcW w:w="1868" w:type="dxa"/>
          </w:tcPr>
          <w:p w14:paraId="0D2F36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67572E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920</w:t>
            </w:r>
          </w:p>
        </w:tc>
      </w:tr>
      <w:tr w:rsidR="007D5DF8" w:rsidRPr="00DB5D0D" w14:paraId="25A68752" w14:textId="77777777" w:rsidTr="00E543D0">
        <w:tc>
          <w:tcPr>
            <w:tcW w:w="1868" w:type="dxa"/>
          </w:tcPr>
          <w:p w14:paraId="10035B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1868" w:type="dxa"/>
          </w:tcPr>
          <w:p w14:paraId="6BCC6C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1868" w:type="dxa"/>
          </w:tcPr>
          <w:p w14:paraId="1C650D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1868" w:type="dxa"/>
          </w:tcPr>
          <w:p w14:paraId="6BC528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241</w:t>
            </w:r>
          </w:p>
        </w:tc>
        <w:tc>
          <w:tcPr>
            <w:tcW w:w="1868" w:type="dxa"/>
          </w:tcPr>
          <w:p w14:paraId="05C28B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136F08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895</w:t>
            </w:r>
          </w:p>
        </w:tc>
      </w:tr>
      <w:tr w:rsidR="007D5DF8" w:rsidRPr="00DB5D0D" w14:paraId="0935C49F" w14:textId="77777777" w:rsidTr="00E543D0">
        <w:tc>
          <w:tcPr>
            <w:tcW w:w="1868" w:type="dxa"/>
          </w:tcPr>
          <w:p w14:paraId="00A226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1868" w:type="dxa"/>
          </w:tcPr>
          <w:p w14:paraId="67B2F5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w:t>
            </w:r>
          </w:p>
        </w:tc>
        <w:tc>
          <w:tcPr>
            <w:tcW w:w="1868" w:type="dxa"/>
          </w:tcPr>
          <w:p w14:paraId="578F2D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c>
          <w:tcPr>
            <w:tcW w:w="1868" w:type="dxa"/>
          </w:tcPr>
          <w:p w14:paraId="2ADFC2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235</w:t>
            </w:r>
          </w:p>
        </w:tc>
        <w:tc>
          <w:tcPr>
            <w:tcW w:w="1868" w:type="dxa"/>
          </w:tcPr>
          <w:p w14:paraId="653DC6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0DEAF1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r>
      <w:tr w:rsidR="007D5DF8" w:rsidRPr="00DB5D0D" w14:paraId="289494E2" w14:textId="77777777" w:rsidTr="00E543D0">
        <w:tc>
          <w:tcPr>
            <w:tcW w:w="1868" w:type="dxa"/>
          </w:tcPr>
          <w:p w14:paraId="6EC4CD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868" w:type="dxa"/>
          </w:tcPr>
          <w:p w14:paraId="0F01C5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w:t>
            </w:r>
          </w:p>
        </w:tc>
        <w:tc>
          <w:tcPr>
            <w:tcW w:w="1868" w:type="dxa"/>
          </w:tcPr>
          <w:p w14:paraId="520DDE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7,36</w:t>
            </w:r>
          </w:p>
        </w:tc>
        <w:tc>
          <w:tcPr>
            <w:tcW w:w="1868" w:type="dxa"/>
          </w:tcPr>
          <w:p w14:paraId="79247C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227</w:t>
            </w:r>
          </w:p>
        </w:tc>
        <w:tc>
          <w:tcPr>
            <w:tcW w:w="1868" w:type="dxa"/>
          </w:tcPr>
          <w:p w14:paraId="07BD72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09EB72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710</w:t>
            </w:r>
          </w:p>
        </w:tc>
      </w:tr>
      <w:tr w:rsidR="007D5DF8" w:rsidRPr="00DB5D0D" w14:paraId="4320CD18" w14:textId="77777777" w:rsidTr="00E543D0">
        <w:tc>
          <w:tcPr>
            <w:tcW w:w="1868" w:type="dxa"/>
          </w:tcPr>
          <w:p w14:paraId="672069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1868" w:type="dxa"/>
          </w:tcPr>
          <w:p w14:paraId="61823D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w:t>
            </w:r>
          </w:p>
        </w:tc>
        <w:tc>
          <w:tcPr>
            <w:tcW w:w="1868" w:type="dxa"/>
          </w:tcPr>
          <w:p w14:paraId="5C88DC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w:t>
            </w:r>
          </w:p>
        </w:tc>
        <w:tc>
          <w:tcPr>
            <w:tcW w:w="1868" w:type="dxa"/>
          </w:tcPr>
          <w:p w14:paraId="098A7D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219</w:t>
            </w:r>
          </w:p>
        </w:tc>
        <w:tc>
          <w:tcPr>
            <w:tcW w:w="1868" w:type="dxa"/>
          </w:tcPr>
          <w:p w14:paraId="210A2F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1EC9E9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w:t>
            </w:r>
          </w:p>
        </w:tc>
      </w:tr>
      <w:tr w:rsidR="007D5DF8" w:rsidRPr="00DB5D0D" w14:paraId="37ACEDB4" w14:textId="77777777" w:rsidTr="00E543D0">
        <w:tc>
          <w:tcPr>
            <w:tcW w:w="1868" w:type="dxa"/>
          </w:tcPr>
          <w:p w14:paraId="5C68E5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1868" w:type="dxa"/>
          </w:tcPr>
          <w:p w14:paraId="3F4A08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868" w:type="dxa"/>
          </w:tcPr>
          <w:p w14:paraId="162E0D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12,17</w:t>
            </w:r>
          </w:p>
        </w:tc>
        <w:tc>
          <w:tcPr>
            <w:tcW w:w="1868" w:type="dxa"/>
          </w:tcPr>
          <w:p w14:paraId="7FC30E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1868" w:type="dxa"/>
          </w:tcPr>
          <w:p w14:paraId="79040E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Pr>
          <w:p w14:paraId="2BB772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530</w:t>
            </w:r>
          </w:p>
        </w:tc>
      </w:tr>
      <w:tr w:rsidR="007D5DF8" w:rsidRPr="00DB5D0D" w14:paraId="112CAD24" w14:textId="77777777" w:rsidTr="00E543D0">
        <w:tc>
          <w:tcPr>
            <w:tcW w:w="1868" w:type="dxa"/>
            <w:tcBorders>
              <w:bottom w:val="single" w:sz="12" w:space="0" w:color="auto"/>
            </w:tcBorders>
          </w:tcPr>
          <w:p w14:paraId="0027D7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1868" w:type="dxa"/>
            <w:tcBorders>
              <w:bottom w:val="single" w:sz="12" w:space="0" w:color="auto"/>
            </w:tcBorders>
          </w:tcPr>
          <w:p w14:paraId="138DA8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1868" w:type="dxa"/>
            <w:tcBorders>
              <w:bottom w:val="single" w:sz="12" w:space="0" w:color="auto"/>
            </w:tcBorders>
          </w:tcPr>
          <w:p w14:paraId="3C82AA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17,34</w:t>
            </w:r>
          </w:p>
        </w:tc>
        <w:tc>
          <w:tcPr>
            <w:tcW w:w="1868" w:type="dxa"/>
            <w:tcBorders>
              <w:bottom w:val="single" w:sz="12" w:space="0" w:color="auto"/>
            </w:tcBorders>
          </w:tcPr>
          <w:p w14:paraId="7BC277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868" w:type="dxa"/>
            <w:tcBorders>
              <w:bottom w:val="single" w:sz="12" w:space="0" w:color="auto"/>
            </w:tcBorders>
          </w:tcPr>
          <w:p w14:paraId="6E796B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2570</w:t>
            </w:r>
          </w:p>
        </w:tc>
        <w:tc>
          <w:tcPr>
            <w:tcW w:w="1868" w:type="dxa"/>
            <w:tcBorders>
              <w:bottom w:val="single" w:sz="12" w:space="0" w:color="auto"/>
            </w:tcBorders>
          </w:tcPr>
          <w:p w14:paraId="43182A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79FB0A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Теоретический потолок 9800 м</w:t>
      </w:r>
    </w:p>
    <w:p w14:paraId="2EBD9B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9600 м</w:t>
      </w:r>
    </w:p>
    <w:p w14:paraId="3B154D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практического потолка 25</w:t>
      </w:r>
    </w:p>
    <w:p w14:paraId="3B5235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произведен до 5690 м (последняя точка)</w:t>
      </w:r>
    </w:p>
    <w:p w14:paraId="5BDD29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Маневренность с-та на 1000 м</w:t>
      </w:r>
    </w:p>
    <w:p w14:paraId="4E81A4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одинарный левый 20,6 сек. (280 км/час), правый 19,8 сек. (300 км/час), крен 70 гр</w:t>
      </w:r>
    </w:p>
    <w:p w14:paraId="5E8048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Восьмерка 40 сек.</w:t>
      </w:r>
    </w:p>
    <w:p w14:paraId="7A7CF4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Взлетно-посадочные данные</w:t>
      </w:r>
    </w:p>
    <w:p w14:paraId="26C8C6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сухом аэродроме со слабой травянистостью </w:t>
      </w:r>
    </w:p>
    <w:p w14:paraId="7F7E73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355</w:t>
      </w:r>
    </w:p>
    <w:p w14:paraId="31209E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400 при 140 км/час</w:t>
      </w:r>
    </w:p>
    <w:p w14:paraId="4B773C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закрылков с торможением 650 м</w:t>
      </w:r>
    </w:p>
    <w:p w14:paraId="384AE5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торможения с закрылками 650 м</w:t>
      </w:r>
    </w:p>
    <w:p w14:paraId="2C4E8B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Выписки из летной оценки:</w:t>
      </w:r>
    </w:p>
    <w:p w14:paraId="5C5763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 свободная, но размещение рычагов неудачное. Неудобно пользоваться штурвалом триммера РВ РП, т.к. они расположены на правом борту, как и ручками крана шасси и щитков, которые расположены слишком далеко.</w:t>
      </w:r>
    </w:p>
    <w:p w14:paraId="1F8414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Вместо штурвала управления заслонками водо и маслорадиатора необходимо установить автомат.</w:t>
      </w:r>
    </w:p>
    <w:p w14:paraId="291749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Стопор костыля неудобен, его надо сделать автоматическим.</w:t>
      </w:r>
    </w:p>
    <w:p w14:paraId="7D72B4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кабине жарко. Необходимо улучшить вентиляцию. Кабину сделать более культурно, заднюю ранель, борта.. Сектор газа пружинит и в незастопоренном положении отходит назад, что особенно опасно на взлете.</w:t>
      </w:r>
    </w:p>
    <w:p w14:paraId="3480FB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Качество остекления фонаря плохое, ухуцдшает обзор вперед и в стороны.</w:t>
      </w:r>
    </w:p>
    <w:p w14:paraId="53492D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резком подъеме хвоста самолет энергично заворачивает вправо.</w:t>
      </w:r>
    </w:p>
    <w:p w14:paraId="395831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наборе на номинальном режиме перегревается вода и масло.</w:t>
      </w:r>
    </w:p>
    <w:p w14:paraId="077007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Правый вираж самолет выполняет лучше.</w:t>
      </w:r>
    </w:p>
    <w:p w14:paraId="6FD2A6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Нагрузки на ручку при переходе с левого виража в правый большие.</w:t>
      </w:r>
    </w:p>
    <w:p w14:paraId="7F3CC4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боевом развороте, если самолет разогнан до 450 км/час, набор высоты 600 м за 3000 м.</w:t>
      </w:r>
    </w:p>
    <w:p w14:paraId="594605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облегчить нагрузки на элероны, а также на РВ</w:t>
      </w:r>
    </w:p>
    <w:p w14:paraId="6E4AA7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застопоренного костыля пробег после посадки опасен</w:t>
      </w:r>
    </w:p>
    <w:p w14:paraId="4105B4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Продельная устойчивость на нормальной центровки 24,6% недостаточна.</w:t>
      </w:r>
    </w:p>
    <w:p w14:paraId="12D72E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ВМГ</w:t>
      </w:r>
    </w:p>
    <w:p w14:paraId="642D4C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12 цилиндров, под углом 60 гр.</w:t>
      </w:r>
    </w:p>
    <w:p w14:paraId="38E21B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Вухой вес мотора - 600 кг</w:t>
      </w:r>
    </w:p>
    <w:p w14:paraId="5547C0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взлетная у земли 1100 лс, Рк 950+15/-25, 2650 оборотов</w:t>
      </w:r>
    </w:p>
    <w:p w14:paraId="3CA70A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номинальная у земли 1020, Рк 910 +40/-20 и 2650 оборотов</w:t>
      </w:r>
    </w:p>
    <w:p w14:paraId="6F47D3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номинальная на 1 ск. 1100 лс, на 2-й -1050 лс при Рк 910 и 2700 оборотов</w:t>
      </w:r>
    </w:p>
    <w:p w14:paraId="3193A3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1 ск - 2000 м, 2 ско. - 4000 м, Макс. обороты 2800, минимальные - 500</w:t>
      </w:r>
    </w:p>
    <w:p w14:paraId="07EE80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 3.5Б-80 окт. число 95</w:t>
      </w:r>
    </w:p>
    <w:p w14:paraId="63C468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 МДС и СС</w:t>
      </w:r>
    </w:p>
    <w:p w14:paraId="00FAD9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Расход горючего на 1 ск. 270 г/лс/час, на 2-й - 300</w:t>
      </w:r>
    </w:p>
    <w:p w14:paraId="327583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Охлаждение - водяное, закрытого типа.</w:t>
      </w:r>
    </w:p>
    <w:p w14:paraId="615598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расширительном бачке имеется клапан двустороннего действия</w:t>
      </w:r>
    </w:p>
    <w:p w14:paraId="2BC22A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водорадиатора</w:t>
      </w:r>
    </w:p>
    <w:p w14:paraId="52E9CB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входящей - воды 85, масла - 50</w:t>
      </w:r>
    </w:p>
    <w:p w14:paraId="6E3E96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водорадиатора (трубки 8 мм)</w:t>
      </w:r>
    </w:p>
    <w:p w14:paraId="721910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Фронтальная площадь 0,243 м2</w:t>
      </w:r>
    </w:p>
    <w:p w14:paraId="46ABC8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охлаждения 41,7 м2</w:t>
      </w:r>
    </w:p>
    <w:p w14:paraId="474696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Глубина по потоку - 440 мм</w:t>
      </w:r>
    </w:p>
    <w:p w14:paraId="7A0814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Емкость 35,7 л</w:t>
      </w:r>
    </w:p>
    <w:p w14:paraId="22F6EE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85 кг, мкость водяной системы 95 кг</w:t>
      </w:r>
    </w:p>
    <w:p w14:paraId="762876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маслорадиатора (трубки 8 мм)</w:t>
      </w:r>
    </w:p>
    <w:p w14:paraId="0969ED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Фронтальная площадь 0,052 м2</w:t>
      </w:r>
    </w:p>
    <w:p w14:paraId="3FDA70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охлаждения 2,4 м2</w:t>
      </w:r>
    </w:p>
    <w:p w14:paraId="3A29F7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Глубина по потоку 245 мм</w:t>
      </w:r>
    </w:p>
    <w:p w14:paraId="770602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14 кг</w:t>
      </w:r>
    </w:p>
    <w:p w14:paraId="3C9D32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Емкость маслобака 57 л</w:t>
      </w:r>
    </w:p>
    <w:p w14:paraId="75AF7F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заправка маслом 45 кг</w:t>
      </w:r>
    </w:p>
    <w:p w14:paraId="68BF31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Система охлаждения</w:t>
      </w:r>
    </w:p>
    <w:p w14:paraId="09CAA9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горизонтальном полете на 4800 м на полном газе при положении заслонки водлорадиатора на половину открыто температура воды достигает через 5 минут полоета 120 гр</w:t>
      </w:r>
    </w:p>
    <w:p w14:paraId="3EC626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определялась на расчетной высоте 4800 м на скорости 0,9 без учета пути, пройденного на наборе высоты и достигла 558 км</w:t>
      </w:r>
    </w:p>
    <w:p w14:paraId="52B872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Ведомость дефектов:</w:t>
      </w:r>
    </w:p>
    <w:p w14:paraId="09151A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самолету</w:t>
      </w:r>
    </w:p>
    <w:p w14:paraId="099C6E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кабине жарко. Улучшить вентиляцию кабины, добиться регулировки желаемой темпаратуры в кабине</w:t>
      </w:r>
    </w:p>
    <w:p w14:paraId="514804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Сидение л в кабине не регулируется, а на земле регулировать очень труднор</w:t>
      </w:r>
    </w:p>
    <w:p w14:paraId="52D837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по с-та 39, а по ВМГ - 38, по оснащению 24</w:t>
      </w:r>
    </w:p>
    <w:p w14:paraId="4BC527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испытаниях устранено 14</w:t>
      </w:r>
    </w:p>
    <w:p w14:paraId="658AEB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5760"/>
      </w:tblGrid>
      <w:tr w:rsidR="007D5DF8" w:rsidRPr="00DB5D0D" w14:paraId="0D1BDAF2" w14:textId="77777777" w:rsidTr="00E543D0">
        <w:tc>
          <w:tcPr>
            <w:tcW w:w="3024" w:type="dxa"/>
            <w:tcBorders>
              <w:top w:val="single" w:sz="12" w:space="0" w:color="auto"/>
            </w:tcBorders>
          </w:tcPr>
          <w:p w14:paraId="1D726A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5760" w:type="dxa"/>
            <w:tcBorders>
              <w:top w:val="single" w:sz="12" w:space="0" w:color="auto"/>
            </w:tcBorders>
          </w:tcPr>
          <w:p w14:paraId="497AF5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3C1A46B7" w14:textId="77777777" w:rsidTr="00E543D0">
        <w:tc>
          <w:tcPr>
            <w:tcW w:w="3024" w:type="dxa"/>
          </w:tcPr>
          <w:p w14:paraId="00AB40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июля 1940</w:t>
            </w:r>
          </w:p>
        </w:tc>
        <w:tc>
          <w:tcPr>
            <w:tcW w:w="5760" w:type="dxa"/>
          </w:tcPr>
          <w:p w14:paraId="44D50B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прибыл и в 19:00 принят на испытания</w:t>
            </w:r>
          </w:p>
        </w:tc>
      </w:tr>
      <w:tr w:rsidR="007D5DF8" w:rsidRPr="00DB5D0D" w14:paraId="374C7F0A" w14:textId="77777777" w:rsidTr="00E543D0">
        <w:tc>
          <w:tcPr>
            <w:tcW w:w="3024" w:type="dxa"/>
          </w:tcPr>
          <w:p w14:paraId="5717B4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5760" w:type="dxa"/>
          </w:tcPr>
          <w:p w14:paraId="43733F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Взвешивание, устранение девиации, оборудование испытательной аппаратурой. Пробный полет летчика Стефановского. Устранение трещин в обшивке фюзеляжа, обнаруженных после полета. </w:t>
            </w:r>
          </w:p>
        </w:tc>
      </w:tr>
      <w:tr w:rsidR="007D5DF8" w:rsidRPr="00DB5D0D" w14:paraId="5942A2BB" w14:textId="77777777" w:rsidTr="00E543D0">
        <w:tc>
          <w:tcPr>
            <w:tcW w:w="3024" w:type="dxa"/>
          </w:tcPr>
          <w:p w14:paraId="0CB271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5760" w:type="dxa"/>
          </w:tcPr>
          <w:p w14:paraId="34BD32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Осмотр вина со съемом. Установка колес с увеличенной колодкой тормозом. Регулировка сигназизации. Полет на определение границ высотности мотора. Полет на сверхмаксимальную скорость.</w:t>
            </w:r>
          </w:p>
        </w:tc>
      </w:tr>
      <w:tr w:rsidR="007D5DF8" w:rsidRPr="00DB5D0D" w14:paraId="035427BF" w14:textId="77777777" w:rsidTr="00E543D0">
        <w:tc>
          <w:tcPr>
            <w:tcW w:w="3024" w:type="dxa"/>
          </w:tcPr>
          <w:p w14:paraId="6C69C4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5760" w:type="dxa"/>
          </w:tcPr>
          <w:p w14:paraId="30A69F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Погода нелетная, облачность и сильный ветор. Пробные полеты второго вед. летчика Супруна.</w:t>
            </w:r>
          </w:p>
        </w:tc>
      </w:tr>
      <w:tr w:rsidR="007D5DF8" w:rsidRPr="00DB5D0D" w14:paraId="415549EF" w14:textId="77777777" w:rsidTr="00E543D0">
        <w:tc>
          <w:tcPr>
            <w:tcW w:w="3024" w:type="dxa"/>
          </w:tcPr>
          <w:p w14:paraId="4E8569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760" w:type="dxa"/>
          </w:tcPr>
          <w:p w14:paraId="6F299C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2A5CB3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tc>
      </w:tr>
      <w:tr w:rsidR="007D5DF8" w:rsidRPr="00DB5D0D" w14:paraId="6054AFE0" w14:textId="77777777" w:rsidTr="00E543D0">
        <w:tc>
          <w:tcPr>
            <w:tcW w:w="3024" w:type="dxa"/>
          </w:tcPr>
          <w:p w14:paraId="00022B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года</w:t>
            </w:r>
          </w:p>
        </w:tc>
        <w:tc>
          <w:tcPr>
            <w:tcW w:w="5760" w:type="dxa"/>
          </w:tcPr>
          <w:p w14:paraId="6E5305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 до 5000 м.</w:t>
            </w:r>
          </w:p>
          <w:p w14:paraId="01FE8F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на пилотаж.</w:t>
            </w:r>
          </w:p>
          <w:p w14:paraId="1DC66D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пилотаж с засечкой фигур с земли.</w:t>
            </w:r>
          </w:p>
        </w:tc>
      </w:tr>
      <w:tr w:rsidR="007D5DF8" w:rsidRPr="00DB5D0D" w14:paraId="14BF1880" w14:textId="77777777" w:rsidTr="00E543D0">
        <w:tc>
          <w:tcPr>
            <w:tcW w:w="3024" w:type="dxa"/>
          </w:tcPr>
          <w:p w14:paraId="2BEC1A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года</w:t>
            </w:r>
          </w:p>
        </w:tc>
        <w:tc>
          <w:tcPr>
            <w:tcW w:w="5760" w:type="dxa"/>
          </w:tcPr>
          <w:p w14:paraId="1BAEC5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p w14:paraId="1AE236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w:t>
            </w:r>
          </w:p>
          <w:p w14:paraId="735165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 и скорости по высотам.</w:t>
            </w:r>
          </w:p>
        </w:tc>
      </w:tr>
      <w:tr w:rsidR="007D5DF8" w:rsidRPr="00DB5D0D" w14:paraId="56836F2C" w14:textId="77777777" w:rsidTr="00E543D0">
        <w:tc>
          <w:tcPr>
            <w:tcW w:w="3024" w:type="dxa"/>
          </w:tcPr>
          <w:p w14:paraId="021BA8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w:t>
            </w:r>
          </w:p>
        </w:tc>
        <w:tc>
          <w:tcPr>
            <w:tcW w:w="5760" w:type="dxa"/>
          </w:tcPr>
          <w:p w14:paraId="7A16C4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Замена покрышек колес, т.к. покрышки деформировались и не убирается шасси. Устранение течи воды в пауке водосистемы</w:t>
            </w:r>
          </w:p>
        </w:tc>
      </w:tr>
      <w:tr w:rsidR="007D5DF8" w:rsidRPr="00DB5D0D" w14:paraId="505BEC6E" w14:textId="77777777" w:rsidTr="00E543D0">
        <w:tc>
          <w:tcPr>
            <w:tcW w:w="3024" w:type="dxa"/>
          </w:tcPr>
          <w:p w14:paraId="0B4CCB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года</w:t>
            </w:r>
          </w:p>
        </w:tc>
        <w:tc>
          <w:tcPr>
            <w:tcW w:w="5760" w:type="dxa"/>
          </w:tcPr>
          <w:p w14:paraId="1C2498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p w14:paraId="430C43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в полете непроизвольно встали на замки в выпущенном положении</w:t>
            </w:r>
          </w:p>
          <w:p w14:paraId="48967D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Вынужденная посадка из-за срыва нижнего щитка шасси. Шасси после взлета не убрались. Устранение дефектов, установка нового щитка, устранение течи водосистемы</w:t>
            </w:r>
          </w:p>
        </w:tc>
      </w:tr>
      <w:tr w:rsidR="007D5DF8" w:rsidRPr="00DB5D0D" w14:paraId="67628A22" w14:textId="77777777" w:rsidTr="00E543D0">
        <w:tc>
          <w:tcPr>
            <w:tcW w:w="3024" w:type="dxa"/>
          </w:tcPr>
          <w:p w14:paraId="718A20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года</w:t>
            </w:r>
          </w:p>
        </w:tc>
        <w:tc>
          <w:tcPr>
            <w:tcW w:w="5760" w:type="dxa"/>
          </w:tcPr>
          <w:p w14:paraId="5AFEBE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первой скорости нагнетателя.</w:t>
            </w:r>
          </w:p>
          <w:p w14:paraId="79DCE1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8000 м.</w:t>
            </w:r>
          </w:p>
          <w:p w14:paraId="29B173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 на второй скорости нагнетателя.</w:t>
            </w:r>
          </w:p>
          <w:p w14:paraId="179D6B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при передней центровке.</w:t>
            </w:r>
          </w:p>
          <w:p w14:paraId="0D2F37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новых выхлопных патрубков</w:t>
            </w:r>
          </w:p>
        </w:tc>
      </w:tr>
      <w:tr w:rsidR="007D5DF8" w:rsidRPr="00DB5D0D" w14:paraId="54388220" w14:textId="77777777" w:rsidTr="00E543D0">
        <w:tc>
          <w:tcPr>
            <w:tcW w:w="3024" w:type="dxa"/>
          </w:tcPr>
          <w:p w14:paraId="4A5A2D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5760" w:type="dxa"/>
          </w:tcPr>
          <w:p w14:paraId="008E21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с задней центровкой.</w:t>
            </w:r>
          </w:p>
          <w:p w14:paraId="67B6F9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высоту 6000 м и снятие скоростей по высотам с новым всасывающим патрубком.</w:t>
            </w:r>
          </w:p>
          <w:p w14:paraId="718E7C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дефектов</w:t>
            </w:r>
          </w:p>
          <w:p w14:paraId="025A10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tc>
      </w:tr>
      <w:tr w:rsidR="007D5DF8" w:rsidRPr="00DB5D0D" w14:paraId="66CFFD05" w14:textId="77777777" w:rsidTr="00E543D0">
        <w:tc>
          <w:tcPr>
            <w:tcW w:w="3024" w:type="dxa"/>
          </w:tcPr>
          <w:p w14:paraId="16E4EE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 1940 года</w:t>
            </w:r>
          </w:p>
        </w:tc>
        <w:tc>
          <w:tcPr>
            <w:tcW w:w="5760" w:type="dxa"/>
          </w:tcPr>
          <w:p w14:paraId="679407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Облет самолета. Летали в облете: генерал-майор авиации Филин, полковой комиссар Холопцев и полковник Кабанов.</w:t>
            </w:r>
          </w:p>
          <w:p w14:paraId="34EDD1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посадке обнаружили течь водорадиатора</w:t>
            </w:r>
          </w:p>
          <w:p w14:paraId="227A45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направляющих во всасывающем патрубке и новых выхлопных патрубков</w:t>
            </w:r>
          </w:p>
          <w:p w14:paraId="47C189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нового нижнего щитка шасси</w:t>
            </w:r>
          </w:p>
        </w:tc>
      </w:tr>
      <w:tr w:rsidR="007D5DF8" w:rsidRPr="00DB5D0D" w14:paraId="44728D3C" w14:textId="77777777" w:rsidTr="00E543D0">
        <w:tc>
          <w:tcPr>
            <w:tcW w:w="3024" w:type="dxa"/>
            <w:tcBorders>
              <w:bottom w:val="single" w:sz="12" w:space="0" w:color="auto"/>
            </w:tcBorders>
          </w:tcPr>
          <w:p w14:paraId="542AA5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5760" w:type="dxa"/>
            <w:tcBorders>
              <w:bottom w:val="single" w:sz="12" w:space="0" w:color="auto"/>
            </w:tcBorders>
          </w:tcPr>
          <w:p w14:paraId="031EBC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Экспериментальный полет для снятия скоростей по высотам с новыми всасывающими патрубками (с направляющими пластинками), новыми выхлопными патрубками, при законтренных щитках-закрылках, чтобы оценить влияние их открывания на высоте на максимальную скорость.</w:t>
            </w:r>
          </w:p>
          <w:p w14:paraId="4D2FEB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Госиспытания закончены.</w:t>
            </w:r>
          </w:p>
          <w:p w14:paraId="427707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Карбюраторы сняты, привезены новые карбюраторы, которые не обеспечивают пожарной безопасности.</w:t>
            </w:r>
          </w:p>
          <w:p w14:paraId="6B62B2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самолете запрещены</w:t>
            </w:r>
          </w:p>
        </w:tc>
      </w:tr>
    </w:tbl>
    <w:p w14:paraId="79A10F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прибыл на испытания 14 июня 1940 года</w:t>
      </w:r>
    </w:p>
    <w:p w14:paraId="32CE9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Начало испытаний – 15 июня 1940 года</w:t>
      </w:r>
    </w:p>
    <w:p w14:paraId="39AFAE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летных дней – 10</w:t>
      </w:r>
    </w:p>
    <w:p w14:paraId="23BA62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Нелетных дней - 1</w:t>
      </w:r>
    </w:p>
    <w:p w14:paraId="406079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Выходных дней - 1</w:t>
      </w:r>
    </w:p>
    <w:p w14:paraId="501576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Дней на доводку - 1</w:t>
      </w:r>
    </w:p>
    <w:p w14:paraId="6263C3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испытания – 27 июня 1940 года</w:t>
      </w:r>
    </w:p>
    <w:p w14:paraId="285BDB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испытания проведено 42 полета общей продолжительностью 16 час. 30 мин. (4559).</w:t>
      </w:r>
    </w:p>
    <w:p w14:paraId="66F24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Подписал ви Таракановский 3 июля 1940 (697,11).</w:t>
      </w:r>
    </w:p>
    <w:p w14:paraId="78D89C9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FCAE2B"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9 июля 1940 г. пришло распоряжение Наркомата установить М-81 на втором летном самолете «62», получившем шифр НКАП «РМ» и новое обозначение ВВС И-187. Этот мотор не подходил на И-185 из-за его размеров и веса, но М-71 все не было. Получив время на переделку строящейся машины, решили не откладывать внедрение и других назревших изменений. Оригинальный, но неудачный капот с центральным входом охлаждающего воздуха заменили стандартным типа NACA с выступающим коком винта, внутренними лобовыми жалюзи и выходной «юбкой» системы охлаждения. Выхлопной коллектор также заменили - новый имел два коротких боковых патрубка, выходящих наружу за «юбкой». Впервые в СССР была сделана герметизация капота прокладками вместо простой, но менее эффективной шнуровой. Также поставили увеличенный маслобак.</w:t>
      </w:r>
    </w:p>
    <w:p w14:paraId="00B26298"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Откидывающуюся вбок крышку фонаря кабины заменили сдвижной назад, но его продольные связи, дававшие жесткость, оказались расположены неудобно относительно глаз пилота, гнутый лобовой козырек также был не совсем удачен. Зато сделали люк в правом борту фюзеляжа, обеспечивший доступ к проводке управления, радио, кислородному оборудованию и хвостовой опоре шасси.</w:t>
      </w:r>
    </w:p>
    <w:p w14:paraId="567D12D2"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Над мотором остались два пулемета БС-12,7 с боезапасом по 250 патронов (с М-90 помещалось по 300) и два ШКАС - по 700 патронов калибра 7,62 мм. Бомбовое и химическое вооружение, а также радиооборудование поставить не успели.</w:t>
      </w:r>
    </w:p>
    <w:p w14:paraId="1747E593"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 новым мотором расчетная скорость падала у земли с 580 до 500, а на границе высотности с 680 до 611 км/ч. Правда, сама эта граница повышалась с 6000 до 6400 м, что тогда считалось хорошо, но практический потолок уменьшился с 10250 до 9900 м - это было еще хуже, чем с М-71.</w:t>
      </w:r>
    </w:p>
    <w:p w14:paraId="3C3EEAD4"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Однако и М-81 поступил только через пять месяцев - 7 декабря 1940 г., а 10-го на обкатке сломался вал редуктора. Эту процедуру завершили только 25-го, а на испытания машину передали 30 декабря. На их проведение был назначен летчик-испытатель завода №51 Е.Г. Ульяхин, который начал выполнять руления, а затем и скоростные пробежки 9 января 1941 г. Но разрешения на полет не было - мотор, его регулятор оборотов и воздушный винт без конца отлаживали, пытаясь добиться устойчивой работы (17736).</w:t>
      </w:r>
    </w:p>
    <w:p w14:paraId="54C3AA38" w14:textId="77777777" w:rsidR="003A2A19" w:rsidRPr="00DB5D0D" w:rsidRDefault="003A2A19" w:rsidP="00DB5D0D">
      <w:pPr>
        <w:spacing w:after="0" w:line="240" w:lineRule="auto"/>
        <w:jc w:val="both"/>
        <w:rPr>
          <w:rFonts w:ascii="Times New Roman" w:eastAsia="Times New Roman" w:hAnsi="Times New Roman"/>
          <w:color w:val="000000" w:themeColor="text1"/>
          <w:sz w:val="16"/>
          <w:szCs w:val="16"/>
          <w:lang w:eastAsia="ru-RU"/>
        </w:rPr>
      </w:pPr>
    </w:p>
    <w:p w14:paraId="716613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А.И.Шахурин распорядился оснастить И-185 М-81 (130,34), т.к. задерживался не только М-90, но и М-71, решение об установке которого было принято в конце мая 1940 (2495,22).</w:t>
      </w:r>
    </w:p>
    <w:p w14:paraId="73F63C2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86EA1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вышел приказ НКАП N 336сс о выполнении постановление КО N 296сс "О плане текущих военных заказов для НКО, НКВМФ и НКВД на 3 кв. 1940 от 4 июля 1940 (1292,181).</w:t>
      </w:r>
    </w:p>
    <w:p w14:paraId="5731A76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F112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года НКО представил мобилизационную заявку ВВС, соглас</w:t>
      </w:r>
      <w:r w:rsidRPr="00DB5D0D">
        <w:rPr>
          <w:rFonts w:ascii="Times New Roman" w:hAnsi="Times New Roman"/>
          <w:color w:val="000000" w:themeColor="text1"/>
          <w:sz w:val="16"/>
          <w:szCs w:val="16"/>
        </w:rPr>
        <w:softHyphen/>
        <w:t>но которой промышленность должна была выпустить в следующем году 35705 истребителей, бомбардировщиков и учебных машин. В Политбюро ЦК ВКП(б) 13 июля 1940 года было направлено письмо наркома обороны С.К. Тимошенко и начальника Генштаба Б.М. Шапошникова. В нем высказы</w:t>
      </w:r>
      <w:r w:rsidRPr="00DB5D0D">
        <w:rPr>
          <w:rFonts w:ascii="Times New Roman" w:hAnsi="Times New Roman"/>
          <w:color w:val="000000" w:themeColor="text1"/>
          <w:sz w:val="16"/>
          <w:szCs w:val="16"/>
        </w:rPr>
        <w:softHyphen/>
        <w:t>валось соображение о необходимости перевести отечественный авиапром на положение военного времени, приняв меры к выпуску возможно боль</w:t>
      </w:r>
      <w:r w:rsidRPr="00DB5D0D">
        <w:rPr>
          <w:rFonts w:ascii="Times New Roman" w:hAnsi="Times New Roman"/>
          <w:color w:val="000000" w:themeColor="text1"/>
          <w:sz w:val="16"/>
          <w:szCs w:val="16"/>
        </w:rPr>
        <w:softHyphen/>
        <w:t>шего количества боевых самолетов. На совещании 16 июля 1940 года по вопросам мобразвертывания авиапрома у зампредседателя СНК НА Воз</w:t>
      </w:r>
      <w:r w:rsidRPr="00DB5D0D">
        <w:rPr>
          <w:rFonts w:ascii="Times New Roman" w:hAnsi="Times New Roman"/>
          <w:color w:val="000000" w:themeColor="text1"/>
          <w:sz w:val="16"/>
          <w:szCs w:val="16"/>
        </w:rPr>
        <w:softHyphen/>
        <w:t>несенского военные предложили довести мощности авиапрома по выпус</w:t>
      </w:r>
      <w:r w:rsidRPr="00DB5D0D">
        <w:rPr>
          <w:rFonts w:ascii="Times New Roman" w:hAnsi="Times New Roman"/>
          <w:color w:val="000000" w:themeColor="text1"/>
          <w:sz w:val="16"/>
          <w:szCs w:val="16"/>
        </w:rPr>
        <w:softHyphen/>
        <w:t>ку только боевых машин до ЗбООО в год. А 19 июля нарком обороны пред</w:t>
      </w:r>
      <w:r w:rsidRPr="00DB5D0D">
        <w:rPr>
          <w:rFonts w:ascii="Times New Roman" w:hAnsi="Times New Roman"/>
          <w:color w:val="000000" w:themeColor="text1"/>
          <w:sz w:val="16"/>
          <w:szCs w:val="16"/>
        </w:rPr>
        <w:softHyphen/>
        <w:t>ставил председателю Комитета Обороны, зампредседателя СНК и наркому авиапромышленности мобзаявку уже на 35000 боевых и 4850 учебных и транспортных машин (Мельтюхов М.И. Упущенный шанс Сталина. С. 290; Шумихин В.С. Советская военная авиация 1917- 1941 годов. С. 221.).</w:t>
      </w:r>
    </w:p>
    <w:p w14:paraId="09678B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Справедливости ради необходимо отметить, что завышенные оценки в определении возможностей германского авиапрома имели место и позд</w:t>
      </w:r>
      <w:r w:rsidRPr="00DB5D0D">
        <w:rPr>
          <w:rFonts w:ascii="Times New Roman" w:hAnsi="Times New Roman"/>
          <w:color w:val="000000" w:themeColor="text1"/>
          <w:sz w:val="16"/>
          <w:szCs w:val="16"/>
        </w:rPr>
        <w:softHyphen/>
        <w:t>нее, причем проходили они по разным каналам. Так, по данным разведуп-равления Генштаба РККА от 11 марта 1941 года, ВВС Германии насчитыва</w:t>
      </w:r>
      <w:r w:rsidRPr="00DB5D0D">
        <w:rPr>
          <w:rFonts w:ascii="Times New Roman" w:hAnsi="Times New Roman"/>
          <w:color w:val="000000" w:themeColor="text1"/>
          <w:sz w:val="16"/>
          <w:szCs w:val="16"/>
        </w:rPr>
        <w:softHyphen/>
        <w:t>ли на 1 марта 20070 самолетов, в том числе 10980 боевых. По материалам плана Генштаба о стратегическом развертывании, датированного тем же числом, предполагалось использование Германией против СССР 10000 са</w:t>
      </w:r>
      <w:r w:rsidRPr="00DB5D0D">
        <w:rPr>
          <w:rFonts w:ascii="Times New Roman" w:hAnsi="Times New Roman"/>
          <w:color w:val="000000" w:themeColor="text1"/>
          <w:sz w:val="16"/>
          <w:szCs w:val="16"/>
        </w:rPr>
        <w:softHyphen/>
        <w:t>молетов (1941 год. Документы. Кн. 1 С. 741-742.). Производительность же авиапромышленности оценивалась в 25-30 тысяч самолетов в год, практически совпадая с данными И.Ф. Петро</w:t>
      </w:r>
      <w:r w:rsidRPr="00DB5D0D">
        <w:rPr>
          <w:rFonts w:ascii="Times New Roman" w:hAnsi="Times New Roman"/>
          <w:color w:val="000000" w:themeColor="text1"/>
          <w:sz w:val="16"/>
          <w:szCs w:val="16"/>
        </w:rPr>
        <w:softHyphen/>
        <w:t>ва середины 1940 года (1941 год. Документы. Кн. 1 С. 746-751.).</w:t>
      </w:r>
    </w:p>
    <w:p w14:paraId="645562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реальности же в 1939-1944 годах численность боевых самолетов люф</w:t>
      </w:r>
      <w:r w:rsidRPr="00DB5D0D">
        <w:rPr>
          <w:rFonts w:ascii="Times New Roman" w:hAnsi="Times New Roman"/>
          <w:color w:val="000000" w:themeColor="text1"/>
          <w:sz w:val="16"/>
          <w:szCs w:val="16"/>
        </w:rPr>
        <w:softHyphen/>
        <w:t>тваффе не превышала 5600 машин. Что касается рубежа 1940 - 1941 годов, то ситуация была даже хуже, чем годом ранее, когда боевые действия только что начались. Так, к концу декабря 1940 года имелось 3050 самолетов, а в де</w:t>
      </w:r>
      <w:r w:rsidRPr="00DB5D0D">
        <w:rPr>
          <w:rFonts w:ascii="Times New Roman" w:hAnsi="Times New Roman"/>
          <w:color w:val="000000" w:themeColor="text1"/>
          <w:sz w:val="16"/>
          <w:szCs w:val="16"/>
        </w:rPr>
        <w:softHyphen/>
        <w:t>кабре 1939 года их было 3258; в марте же 1941 года насчитывалось 3583 ма</w:t>
      </w:r>
      <w:r w:rsidRPr="00DB5D0D">
        <w:rPr>
          <w:rFonts w:ascii="Times New Roman" w:hAnsi="Times New Roman"/>
          <w:color w:val="000000" w:themeColor="text1"/>
          <w:sz w:val="16"/>
          <w:szCs w:val="16"/>
        </w:rPr>
        <w:softHyphen/>
        <w:t>шины, в том числе: истребителей одномоторных - 1158, истребителей двухмоторных - 322, ночных истребителей - 199, пикирующих бомбарди</w:t>
      </w:r>
      <w:r w:rsidRPr="00DB5D0D">
        <w:rPr>
          <w:rFonts w:ascii="Times New Roman" w:hAnsi="Times New Roman"/>
          <w:color w:val="000000" w:themeColor="text1"/>
          <w:sz w:val="16"/>
          <w:szCs w:val="16"/>
        </w:rPr>
        <w:softHyphen/>
        <w:t>ровщиков и самолетов-штурмовиков - 444, бомбардировщиков - 1460, хотя ровно год назад, в том же месяце 1940 года, их было 3692 (11710,272).</w:t>
      </w:r>
    </w:p>
    <w:p w14:paraId="3AB848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AB182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года начальник НИП АВ ГУАС полковник Шевченко и военком НИП АВ ГУАС в/инженер 2 ранга Щербинин утвердили:</w:t>
      </w:r>
    </w:p>
    <w:p w14:paraId="16DEB5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ампул диаметром 123 мм со взрывателями конструкции завода № 145 на самолете СБ</w:t>
      </w:r>
    </w:p>
    <w:p w14:paraId="78E311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Начато 22 мая 1940 года</w:t>
      </w:r>
    </w:p>
    <w:p w14:paraId="3A16F1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Окончено 10 июня 1940 года</w:t>
      </w:r>
    </w:p>
    <w:p w14:paraId="1D48C7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0C0B36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4 отделения опытного отдела НИП АВ ГУАС Комарницкий</w:t>
      </w:r>
    </w:p>
    <w:p w14:paraId="252DB8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6603530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характер и надежность действия конструкции ампул со взрывателями.</w:t>
      </w:r>
    </w:p>
    <w:p w14:paraId="28945E0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площадь заражения, получаемую При разрыве ампул.</w:t>
      </w:r>
    </w:p>
    <w:p w14:paraId="5EE8E8E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характер дробления жидкости от разрыва ампул.</w:t>
      </w:r>
    </w:p>
    <w:p w14:paraId="283B80A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эксплуатационные качества ампул.</w:t>
      </w:r>
    </w:p>
    <w:p w14:paraId="0DC3F4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1760E4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заводом № 145 ампулы диаметром 123 мм со взрывателями, как показавшие невысокую боевую эффективность и небезопасность в эксплуатации полигонные испытания не выдержали (7821).</w:t>
      </w:r>
    </w:p>
    <w:p w14:paraId="190DBFA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3F7E8D6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502E46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B006024"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На 9 июля 1940:</w:t>
      </w:r>
    </w:p>
    <w:p w14:paraId="28750525"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Из оперативной сводки по СТЗ от 09.07.1940 г. </w:t>
      </w:r>
    </w:p>
    <w:p w14:paraId="2C531B88"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 8 июля для изготовления штампов введена сверхурочная работа в станкобюро СТЗ. Программа при штамповке деталей перевыполняется в 5-6 раз. Технология разработана правильно и может обеспечить не только серийный, но и массовый выпуск машин. </w:t>
      </w:r>
    </w:p>
    <w:p w14:paraId="0B540800"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Изготовленная первая машина в настоящее время приводится в полное соответствие с чертежами и техническими условиями, заменяются временные агрегаты (баки, сервоуправление и т.п.). Изготавливаются детали механического сервоуправления, полученного с завода № 183. </w:t>
      </w:r>
    </w:p>
    <w:p w14:paraId="31C3A871"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Срок сдачи для АБТУ СТЗ наметил на 25.07.1940 г. </w:t>
      </w:r>
    </w:p>
    <w:p w14:paraId="3A21B29F"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Согласно графика НКСМ, СТЗ обязан выпустить : в октябре - 20 машин, в ноябре – 30, в декабре – 50 машин. </w:t>
      </w:r>
    </w:p>
    <w:p w14:paraId="39CE40C0"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Военный представитель АБТУ РККА на СТЗ</w:t>
      </w:r>
    </w:p>
    <w:p w14:paraId="3896C810"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военинженер 2-го ранга Левин. </w:t>
      </w:r>
    </w:p>
    <w:p w14:paraId="0B85DE24"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29A7B3C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г. было принято совмест</w:t>
      </w:r>
      <w:r w:rsidRPr="00DB5D0D">
        <w:rPr>
          <w:rFonts w:ascii="Times New Roman" w:hAnsi="Times New Roman"/>
          <w:color w:val="000000" w:themeColor="text1"/>
          <w:sz w:val="16"/>
          <w:szCs w:val="16"/>
        </w:rPr>
        <w:softHyphen/>
        <w:t>ное постановление ЦК ВКП(б) и СНК СССР «О государствен</w:t>
      </w:r>
      <w:r w:rsidRPr="00DB5D0D">
        <w:rPr>
          <w:rFonts w:ascii="Times New Roman" w:hAnsi="Times New Roman"/>
          <w:color w:val="000000" w:themeColor="text1"/>
          <w:sz w:val="16"/>
          <w:szCs w:val="16"/>
        </w:rPr>
        <w:softHyphen/>
        <w:t>ных общесоюзных стандартах и порядке их введения» (1566,122).</w:t>
      </w:r>
    </w:p>
    <w:p w14:paraId="21A831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C8E701C" w14:textId="77777777" w:rsidR="006B6857" w:rsidRPr="00DB5D0D" w:rsidRDefault="006B6857" w:rsidP="00DB5D0D">
      <w:pPr>
        <w:pStyle w:val="rtecenter"/>
        <w:spacing w:before="0" w:after="0"/>
        <w:jc w:val="both"/>
        <w:rPr>
          <w:rStyle w:val="a7"/>
          <w:rFonts w:eastAsia="Gungsuh"/>
          <w:b w:val="0"/>
          <w:color w:val="000000" w:themeColor="text1"/>
          <w:sz w:val="16"/>
          <w:szCs w:val="16"/>
        </w:rPr>
      </w:pPr>
      <w:r w:rsidRPr="00DB5D0D">
        <w:rPr>
          <w:color w:val="000000" w:themeColor="text1"/>
          <w:sz w:val="16"/>
          <w:szCs w:val="16"/>
        </w:rPr>
        <w:t>9 июля 1940 г. О государственных общесоюзных стандартах и порядке их введения</w:t>
      </w:r>
    </w:p>
    <w:p w14:paraId="0F6FC72E" w14:textId="77777777" w:rsidR="00716A3D" w:rsidRPr="00DB5D0D" w:rsidRDefault="00716A3D" w:rsidP="00DB5D0D">
      <w:pPr>
        <w:pStyle w:val="rtecenter"/>
        <w:spacing w:before="0" w:after="0"/>
        <w:jc w:val="both"/>
        <w:rPr>
          <w:color w:val="000000" w:themeColor="text1"/>
          <w:sz w:val="16"/>
          <w:szCs w:val="16"/>
        </w:rPr>
      </w:pPr>
      <w:r w:rsidRPr="00DB5D0D">
        <w:rPr>
          <w:rStyle w:val="a7"/>
          <w:rFonts w:eastAsia="Gungsuh"/>
          <w:b w:val="0"/>
          <w:color w:val="000000" w:themeColor="text1"/>
          <w:sz w:val="16"/>
          <w:szCs w:val="16"/>
        </w:rPr>
        <w:t>Постановление Центрального Комитета ВКП(б) и Совета Народных Комиссаров Союза ССР</w:t>
      </w:r>
    </w:p>
    <w:p w14:paraId="4E38DD7E" w14:textId="77777777" w:rsidR="00716A3D" w:rsidRPr="00DB5D0D" w:rsidRDefault="00716A3D" w:rsidP="00DB5D0D">
      <w:pPr>
        <w:pStyle w:val="rtecenter"/>
        <w:spacing w:before="0" w:after="0"/>
        <w:jc w:val="both"/>
        <w:rPr>
          <w:color w:val="000000" w:themeColor="text1"/>
          <w:sz w:val="16"/>
          <w:szCs w:val="16"/>
        </w:rPr>
      </w:pPr>
      <w:r w:rsidRPr="00DB5D0D">
        <w:rPr>
          <w:rStyle w:val="a7"/>
          <w:rFonts w:eastAsia="Gungsuh"/>
          <w:b w:val="0"/>
          <w:color w:val="000000" w:themeColor="text1"/>
          <w:sz w:val="16"/>
          <w:szCs w:val="16"/>
        </w:rPr>
        <w:t>О государственных общесоюзных стандартах и порядке их введения.</w:t>
      </w:r>
    </w:p>
    <w:p w14:paraId="769603EF" w14:textId="77777777" w:rsidR="00716A3D" w:rsidRPr="00DB5D0D" w:rsidRDefault="00716A3D" w:rsidP="00DB5D0D">
      <w:pPr>
        <w:pStyle w:val="rtejustify"/>
        <w:spacing w:before="0" w:after="0"/>
        <w:rPr>
          <w:color w:val="000000" w:themeColor="text1"/>
          <w:sz w:val="16"/>
          <w:szCs w:val="16"/>
        </w:rPr>
      </w:pPr>
      <w:r w:rsidRPr="00DB5D0D">
        <w:rPr>
          <w:color w:val="000000" w:themeColor="text1"/>
          <w:sz w:val="16"/>
          <w:szCs w:val="16"/>
        </w:rPr>
        <w:t>Совет Народных Комиссаров Союза ССР и Центральный Комитет ВКП(б) постановляют:</w:t>
      </w:r>
    </w:p>
    <w:p w14:paraId="7421EDDE" w14:textId="77777777" w:rsidR="00716A3D" w:rsidRPr="00DB5D0D" w:rsidRDefault="00716A3D" w:rsidP="00DB5D0D">
      <w:pPr>
        <w:pStyle w:val="rtejustify"/>
        <w:spacing w:before="0" w:after="0"/>
        <w:rPr>
          <w:color w:val="000000" w:themeColor="text1"/>
          <w:sz w:val="16"/>
          <w:szCs w:val="16"/>
        </w:rPr>
      </w:pPr>
      <w:r w:rsidRPr="00DB5D0D">
        <w:rPr>
          <w:color w:val="000000" w:themeColor="text1"/>
          <w:sz w:val="16"/>
          <w:szCs w:val="16"/>
        </w:rPr>
        <w:t>1. Считать неправильным и отменить существующий порядок, при котором государственные общесоюзные стандарты на продукцию утверждаются наркоматами, производящими эту продукцию.</w:t>
      </w:r>
    </w:p>
    <w:p w14:paraId="54AF5C34" w14:textId="77777777" w:rsidR="00716A3D" w:rsidRPr="00DB5D0D" w:rsidRDefault="00716A3D" w:rsidP="00DB5D0D">
      <w:pPr>
        <w:pStyle w:val="rtejustify"/>
        <w:spacing w:before="0" w:after="0"/>
        <w:rPr>
          <w:color w:val="000000" w:themeColor="text1"/>
          <w:sz w:val="16"/>
          <w:szCs w:val="16"/>
        </w:rPr>
      </w:pPr>
      <w:r w:rsidRPr="00DB5D0D">
        <w:rPr>
          <w:color w:val="000000" w:themeColor="text1"/>
          <w:sz w:val="16"/>
          <w:szCs w:val="16"/>
        </w:rPr>
        <w:t>2. Создать при Совнаркоме Союза ССР Всесоюзный Комитет по Стандартизации.</w:t>
      </w:r>
    </w:p>
    <w:p w14:paraId="667108C9" w14:textId="77777777" w:rsidR="00716A3D" w:rsidRPr="00DB5D0D" w:rsidRDefault="00716A3D" w:rsidP="00DB5D0D">
      <w:pPr>
        <w:pStyle w:val="rtejustify"/>
        <w:spacing w:before="0" w:after="0"/>
        <w:rPr>
          <w:color w:val="000000" w:themeColor="text1"/>
          <w:sz w:val="16"/>
          <w:szCs w:val="16"/>
        </w:rPr>
      </w:pPr>
      <w:r w:rsidRPr="00DB5D0D">
        <w:rPr>
          <w:color w:val="000000" w:themeColor="text1"/>
          <w:sz w:val="16"/>
          <w:szCs w:val="16"/>
        </w:rPr>
        <w:t>3. Возложить на Всесоюзный Комитет по Стандартизации при Совнаркоме Союза ССР разработку и утверждение государственных общесоюзных стандартов, обязательных к применению во всех отраслях народного хозяйства СССР.</w:t>
      </w:r>
    </w:p>
    <w:p w14:paraId="196AF551" w14:textId="77777777" w:rsidR="00716A3D" w:rsidRPr="00DB5D0D" w:rsidRDefault="00716A3D" w:rsidP="00DB5D0D">
      <w:pPr>
        <w:pStyle w:val="rtejustify"/>
        <w:spacing w:before="0" w:after="0"/>
        <w:rPr>
          <w:color w:val="000000" w:themeColor="text1"/>
          <w:sz w:val="16"/>
          <w:szCs w:val="16"/>
        </w:rPr>
      </w:pPr>
      <w:r w:rsidRPr="00DB5D0D">
        <w:rPr>
          <w:color w:val="000000" w:themeColor="text1"/>
          <w:sz w:val="16"/>
          <w:szCs w:val="16"/>
        </w:rPr>
        <w:t>4. Поручить Госплану СССР совместно с Всесоюзным Комитетом по Стандартизации при Совнаркоме Союза ССР представить в Совнарком Союза ССР на утверждение Положение о Всесоюзном Комитете по Стандартизации.</w:t>
      </w:r>
    </w:p>
    <w:p w14:paraId="3751E64A" w14:textId="77777777" w:rsidR="00716A3D" w:rsidRPr="00DB5D0D" w:rsidRDefault="00716A3D" w:rsidP="00DB5D0D">
      <w:pPr>
        <w:pStyle w:val="ae"/>
        <w:spacing w:before="0" w:after="0"/>
        <w:jc w:val="both"/>
        <w:rPr>
          <w:color w:val="000000" w:themeColor="text1"/>
          <w:sz w:val="16"/>
          <w:szCs w:val="16"/>
        </w:rPr>
      </w:pPr>
      <w:r w:rsidRPr="00DB5D0D">
        <w:rPr>
          <w:rStyle w:val="af0"/>
          <w:i w:val="0"/>
          <w:color w:val="000000" w:themeColor="text1"/>
          <w:sz w:val="16"/>
          <w:szCs w:val="16"/>
        </w:rPr>
        <w:t>Секретарь Центрального Комитета ВКП(б)</w:t>
      </w:r>
    </w:p>
    <w:p w14:paraId="5BFC71C2" w14:textId="77777777" w:rsidR="00716A3D" w:rsidRPr="00DB5D0D" w:rsidRDefault="00716A3D" w:rsidP="00DB5D0D">
      <w:pPr>
        <w:pStyle w:val="ae"/>
        <w:spacing w:before="0" w:after="0"/>
        <w:jc w:val="both"/>
        <w:rPr>
          <w:color w:val="000000" w:themeColor="text1"/>
          <w:sz w:val="16"/>
          <w:szCs w:val="16"/>
        </w:rPr>
      </w:pPr>
      <w:r w:rsidRPr="00DB5D0D">
        <w:rPr>
          <w:rStyle w:val="af0"/>
          <w:i w:val="0"/>
          <w:color w:val="000000" w:themeColor="text1"/>
          <w:sz w:val="16"/>
          <w:szCs w:val="16"/>
        </w:rPr>
        <w:t>И. Сталин.</w:t>
      </w:r>
    </w:p>
    <w:p w14:paraId="7EA50740" w14:textId="77777777" w:rsidR="00716A3D" w:rsidRPr="00DB5D0D" w:rsidRDefault="00716A3D" w:rsidP="00DB5D0D">
      <w:pPr>
        <w:pStyle w:val="ae"/>
        <w:spacing w:before="0" w:after="0"/>
        <w:jc w:val="both"/>
        <w:rPr>
          <w:color w:val="000000" w:themeColor="text1"/>
          <w:sz w:val="16"/>
          <w:szCs w:val="16"/>
        </w:rPr>
      </w:pPr>
      <w:r w:rsidRPr="00DB5D0D">
        <w:rPr>
          <w:rStyle w:val="af0"/>
          <w:i w:val="0"/>
          <w:color w:val="000000" w:themeColor="text1"/>
          <w:sz w:val="16"/>
          <w:szCs w:val="16"/>
        </w:rPr>
        <w:t>Председатель Совета Народных Комиссаров Союза ССР</w:t>
      </w:r>
    </w:p>
    <w:p w14:paraId="1C14120C" w14:textId="77777777" w:rsidR="00716A3D" w:rsidRPr="00DB5D0D" w:rsidRDefault="00716A3D" w:rsidP="00DB5D0D">
      <w:pPr>
        <w:pStyle w:val="ae"/>
        <w:spacing w:before="0" w:after="0"/>
        <w:jc w:val="both"/>
        <w:rPr>
          <w:color w:val="000000" w:themeColor="text1"/>
          <w:sz w:val="16"/>
          <w:szCs w:val="16"/>
        </w:rPr>
      </w:pPr>
      <w:r w:rsidRPr="00DB5D0D">
        <w:rPr>
          <w:rStyle w:val="af0"/>
          <w:i w:val="0"/>
          <w:color w:val="000000" w:themeColor="text1"/>
          <w:sz w:val="16"/>
          <w:szCs w:val="16"/>
        </w:rPr>
        <w:t>В. Молотов.</w:t>
      </w:r>
    </w:p>
    <w:p w14:paraId="49050A22" w14:textId="77777777" w:rsidR="00716A3D" w:rsidRPr="00DB5D0D" w:rsidRDefault="00716A3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Собрание постановлений и распоряжений правительства Союза Советских Социалистических республик, 1940, № 20, стр. 693-694</w:t>
      </w:r>
    </w:p>
    <w:p w14:paraId="6162A7E5" w14:textId="77777777" w:rsidR="00716A3D" w:rsidRPr="00DB5D0D" w:rsidRDefault="00716A3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Москва, Кремль 9 июля 1940 г. № 1211 (12242).</w:t>
      </w:r>
    </w:p>
    <w:p w14:paraId="20CFEB76" w14:textId="77777777" w:rsidR="00716A3D" w:rsidRPr="00DB5D0D" w:rsidRDefault="00716A3D" w:rsidP="00DB5D0D">
      <w:pPr>
        <w:spacing w:after="0" w:line="240" w:lineRule="auto"/>
        <w:jc w:val="both"/>
        <w:rPr>
          <w:rFonts w:ascii="Times New Roman" w:hAnsi="Times New Roman"/>
          <w:color w:val="000000" w:themeColor="text1"/>
          <w:sz w:val="16"/>
          <w:szCs w:val="16"/>
        </w:rPr>
      </w:pPr>
    </w:p>
    <w:p w14:paraId="6388DD9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4A9CDE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14C43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июля 1940 г. Протокол № 18. Решения ПБ за 25 июня - </w:t>
      </w:r>
      <w:r w:rsidRPr="00DB5D0D">
        <w:rPr>
          <w:rFonts w:ascii="Times New Roman" w:hAnsi="Times New Roman"/>
          <w:color w:val="000000" w:themeColor="text1"/>
          <w:sz w:val="16"/>
          <w:szCs w:val="16"/>
          <w:u w:val="single"/>
        </w:rPr>
        <w:t>04.7. 40 г.</w:t>
      </w:r>
    </w:p>
    <w:p w14:paraId="75CFDE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 73. О проведении переучета военнообязанных рядового и младшего начальствующего состава запаса. </w:t>
      </w:r>
      <w:r w:rsidRPr="00DB5D0D">
        <w:rPr>
          <w:rFonts w:ascii="Times New Roman" w:hAnsi="Times New Roman"/>
          <w:color w:val="000000" w:themeColor="text1"/>
          <w:sz w:val="16"/>
          <w:szCs w:val="16"/>
          <w:u w:val="single"/>
        </w:rPr>
        <w:t>06. 7. 40 г</w:t>
      </w:r>
      <w:r w:rsidRPr="00DB5D0D">
        <w:rPr>
          <w:rFonts w:ascii="Times New Roman" w:hAnsi="Times New Roman"/>
          <w:color w:val="000000" w:themeColor="text1"/>
          <w:sz w:val="16"/>
          <w:szCs w:val="16"/>
        </w:rPr>
        <w:t>.</w:t>
      </w:r>
    </w:p>
    <w:p w14:paraId="42A1B9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81. Вопрос Политуправления Красной Армии. Кадровые вопросы (ОБ от 04. VII. 40 г., пр. №.42, п. №177, 178, 181-гс).</w:t>
      </w:r>
    </w:p>
    <w:p w14:paraId="515C1B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90. О составлении проекта закона о воинских преступлениях.</w:t>
      </w:r>
    </w:p>
    <w:p w14:paraId="558C64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95. Вопрос Наркомата обороны. Утверждение проекта СНК СССР по вопросам формирования, передислокации и численности Красной Армии*.</w:t>
      </w:r>
    </w:p>
    <w:p w14:paraId="05E7D9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П. 96. О переформировании Главных управлений Военных Воздушных Сил и Авиаснабжения в единое Главное управление Военных Воздушных Сил Красной Армии*. П. 97. О переформировании Инженерного управления КАв Главное военно-инженерное управление Красной Армии*. </w:t>
      </w:r>
      <w:r w:rsidRPr="00DB5D0D">
        <w:rPr>
          <w:rFonts w:ascii="Times New Roman" w:hAnsi="Times New Roman"/>
          <w:color w:val="000000" w:themeColor="text1"/>
          <w:sz w:val="16"/>
          <w:szCs w:val="16"/>
          <w:u w:val="single"/>
        </w:rPr>
        <w:t>09. 7. 40 г.</w:t>
      </w:r>
    </w:p>
    <w:p w14:paraId="2A9506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 115. Вопросы НКО. Утверждение членов Военных советов армий. П. 121. О членах Военного совета Дальневосточного фронта. </w:t>
      </w:r>
      <w:r w:rsidRPr="00DB5D0D">
        <w:rPr>
          <w:rFonts w:ascii="Times New Roman" w:hAnsi="Times New Roman"/>
          <w:color w:val="000000" w:themeColor="text1"/>
          <w:sz w:val="16"/>
          <w:szCs w:val="16"/>
          <w:u w:val="single"/>
        </w:rPr>
        <w:t>10.7.40 г.</w:t>
      </w:r>
    </w:p>
    <w:p w14:paraId="32291B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 135. Вопрос НКО. 1) Назначения командующих войсками, штабами военных округов. 2) Освобождение от должностей с зачислением в распоряжение НКО. П. 136. О введении новой формы обмундирования для генералов КА. </w:t>
      </w:r>
      <w:r w:rsidRPr="00DB5D0D">
        <w:rPr>
          <w:rFonts w:ascii="Times New Roman" w:hAnsi="Times New Roman"/>
          <w:color w:val="000000" w:themeColor="text1"/>
          <w:sz w:val="16"/>
          <w:szCs w:val="16"/>
          <w:u w:val="single"/>
        </w:rPr>
        <w:t>16. 7. 40 г.</w:t>
      </w:r>
    </w:p>
    <w:p w14:paraId="6E1F33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188. О военном комиссаре УВВС Красной Армии.</w:t>
      </w:r>
    </w:p>
    <w:p w14:paraId="3DFDCD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 190. О реорганизации Управления начальника снабжения Красной Армии*. П. 191. О реорганизации Управления боевой подготовки Красной Армии*. П. 192. Вопрос НКО. Утверждение командующих ВВС по округам. П. 193. О командирах авиадивизий*. </w:t>
      </w:r>
      <w:r w:rsidRPr="00DB5D0D">
        <w:rPr>
          <w:rFonts w:ascii="Times New Roman" w:hAnsi="Times New Roman"/>
          <w:color w:val="000000" w:themeColor="text1"/>
          <w:sz w:val="16"/>
          <w:szCs w:val="16"/>
          <w:u w:val="single"/>
        </w:rPr>
        <w:t>19. 7. 40 г</w:t>
      </w:r>
      <w:r w:rsidRPr="00DB5D0D">
        <w:rPr>
          <w:rFonts w:ascii="Times New Roman" w:hAnsi="Times New Roman"/>
          <w:color w:val="000000" w:themeColor="text1"/>
          <w:sz w:val="16"/>
          <w:szCs w:val="16"/>
        </w:rPr>
        <w:t>. П. 238. Вопрос НКО. Кадровые вопросы (11773).</w:t>
      </w:r>
    </w:p>
    <w:p w14:paraId="4CC8654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EE313B0" w14:textId="77777777" w:rsidR="003A2A19" w:rsidRPr="00DB5D0D" w:rsidRDefault="003A2A19"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877232D" w14:textId="77777777" w:rsidR="003A2A19" w:rsidRPr="00DB5D0D" w:rsidRDefault="003A2A19" w:rsidP="00DB5D0D">
      <w:pPr>
        <w:spacing w:after="0" w:line="240" w:lineRule="auto"/>
        <w:jc w:val="both"/>
        <w:rPr>
          <w:rFonts w:ascii="Times New Roman" w:hAnsi="Times New Roman"/>
          <w:iCs/>
          <w:color w:val="000000" w:themeColor="text1"/>
          <w:sz w:val="16"/>
          <w:szCs w:val="16"/>
        </w:rPr>
      </w:pPr>
    </w:p>
    <w:p w14:paraId="7D8D3FD3"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9 июля 1940 полноразмерный макет танка Т-126 был рассмотрен комиссией. К тому моменту общий облик машины уже сформировался. Что же касается заимствований из конструкции Pz.Kpfw.III, то они перечислены в докладной записке от 10 апреля 1941 года, которую подготовил главный конструктор Т-50 С.А. Гинзбург:</w:t>
      </w:r>
    </w:p>
    <w:p w14:paraId="2ED6709F"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«В ответ на Ваше письмо за №144353 от 27.1–1941 года сообщаем, что при проектировании и изготовлении объекта Т-50 был использован опыт танка T-III в следующих элементах:</w:t>
      </w:r>
    </w:p>
    <w:p w14:paraId="73AB5E0C"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Схема расположения команды и вооружения в башне.</w:t>
      </w:r>
    </w:p>
    <w:p w14:paraId="1043EDD8"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По типу танка T-III, на машине Т-50 командир расположен в задней части машины, за гильзоулавливателем системы. Для обеспечения кругового обзора на башне установлена специальная командирская башенка, высотой 240 мм, снабженная семью (на установочной партии восемью) призменными смотровыми приборами, вместо триплекса на машине T-III, что значительно повышает безопасность командира.</w:t>
      </w:r>
    </w:p>
    <w:p w14:paraId="19083822"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По типу танка T-III на машине Т-50, 45-мм пушка спарена с двумя пулеметами. В целях уменьшения лобовой части башни и повышения снарядостойскости бронировки системы, на машине Т-50, в отличие от танка T-III, не предусмотрена возможность раздельной наводки пулемета и системы.</w:t>
      </w:r>
    </w:p>
    <w:p w14:paraId="6B5E40D2"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Кроме того, на машине Т-50 установлены следующие приборы по типу T-III.</w:t>
      </w:r>
    </w:p>
    <w:p w14:paraId="19E9BBA4"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1. Трехцветная световая сигнализация от командира к водителю.</w:t>
      </w:r>
    </w:p>
    <w:p w14:paraId="36D04617"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2. Указатель выхода системы из-за габаритов машины.</w:t>
      </w:r>
    </w:p>
    <w:p w14:paraId="6F1DAD14"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3. Переносная лампочка с электромагнитом.</w:t>
      </w:r>
    </w:p>
    <w:p w14:paraId="6085D877"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4. Отдельные элементы крепления применены в укладках снарядов и ЗИП-а.</w:t>
      </w:r>
    </w:p>
    <w:p w14:paraId="09CE4558" w14:textId="77777777" w:rsidR="003A2A19" w:rsidRPr="00DB5D0D" w:rsidRDefault="003A2A19"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Что касается трансмиссии, то, несмотря на то, что она представляет значительный интерес, но ни схему, и ни отдельные агрегаты применить на машину Т-50 не удалось. Схема машина Т-50, в отличие от T-III, как это предусмотрено в ТТТ (тактико-технических требованиях), с задним расположением ведущего колеса </w:t>
      </w:r>
      <w:r w:rsidRPr="00DB5D0D">
        <w:rPr>
          <w:rFonts w:ascii="Times New Roman" w:eastAsia="Times New Roman" w:hAnsi="Times New Roman"/>
          <w:color w:val="000000" w:themeColor="text1"/>
          <w:sz w:val="16"/>
          <w:szCs w:val="16"/>
          <w:lang w:eastAsia="ru-RU"/>
        </w:rPr>
        <w:t>(17700).</w:t>
      </w:r>
    </w:p>
    <w:p w14:paraId="4946FAF7" w14:textId="77777777" w:rsidR="003A2A19" w:rsidRPr="00DB5D0D" w:rsidRDefault="003A2A19" w:rsidP="00DB5D0D">
      <w:pPr>
        <w:spacing w:after="0" w:line="240" w:lineRule="auto"/>
        <w:jc w:val="both"/>
        <w:rPr>
          <w:rFonts w:ascii="Times New Roman" w:hAnsi="Times New Roman"/>
          <w:color w:val="000000" w:themeColor="text1"/>
          <w:sz w:val="16"/>
          <w:szCs w:val="16"/>
        </w:rPr>
      </w:pPr>
    </w:p>
    <w:p w14:paraId="43169FD6" w14:textId="77777777" w:rsidR="006B6857"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55FEA0DE" w14:textId="77777777" w:rsidR="006B6857" w:rsidRPr="00DB5D0D" w:rsidRDefault="006B6857" w:rsidP="00DB5D0D">
      <w:pPr>
        <w:spacing w:after="0" w:line="240" w:lineRule="auto"/>
        <w:jc w:val="both"/>
        <w:rPr>
          <w:rFonts w:ascii="Times New Roman" w:hAnsi="Times New Roman"/>
          <w:iCs/>
          <w:color w:val="000000" w:themeColor="text1"/>
          <w:sz w:val="16"/>
          <w:szCs w:val="16"/>
        </w:rPr>
      </w:pPr>
    </w:p>
    <w:p w14:paraId="246E5378"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германский рейдер Берген отбыл из Норвегии для проведения операций в тихом океане через СМП в сопровождении советских ледоколов (3819).</w:t>
      </w:r>
    </w:p>
    <w:p w14:paraId="3784EEDF"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01CCB76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5A4D4D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F852D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голосованием в Парламенте столица Франции была перенесена в Виши (2244,5).</w:t>
      </w:r>
    </w:p>
    <w:p w14:paraId="731EDF8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2725600"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9th, 1940: The German raider Komet leaves Bergen in Norway for operations in the Pacific via the Northwest Passage in the Arctic Ocean assisted by Soviet icebreakers (3819).</w:t>
      </w:r>
    </w:p>
    <w:p w14:paraId="7759FF8F"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52AE0E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состоялась первая битва между английскими и итальянскими флотами у Punto Stilo и тяжелые повреждения получил Conti di Cavour (2244,5).</w:t>
      </w:r>
    </w:p>
    <w:p w14:paraId="7A76122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A48146"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в 1940 году первая битва между английскими и итальянскими флотами (14947).</w:t>
      </w:r>
    </w:p>
    <w:p w14:paraId="280018FF"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4BBA13E5"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июля 1940 происходит т.н. нерешительная битва при Калабрии - первое крупное сражение флота во Второй мировой войне между британским и итальянским флотами. Swordfish с британского авианосца HMS Eagle нанесли два торпедных удара, но ни разу не попали. 40 итальянских бомбардировщиков Savoia-Marchetti SM.79 атакуют британский авианосец HMS Ark Royal и другие корабли Force H у берегов Сардинии. Они сбросили более 100 бомб, но ни разу не попали, Blackburn Skuas с Ark Royal сбили два SM.79 и повредили два других (20795).</w:t>
      </w:r>
    </w:p>
    <w:p w14:paraId="3C9A0525" w14:textId="77777777" w:rsidR="00FC354F" w:rsidRPr="00DB5D0D" w:rsidRDefault="00FC354F" w:rsidP="00DB5D0D">
      <w:pPr>
        <w:spacing w:after="0" w:line="240" w:lineRule="auto"/>
        <w:jc w:val="both"/>
        <w:rPr>
          <w:rFonts w:ascii="Times New Roman" w:hAnsi="Times New Roman"/>
          <w:color w:val="0070C0"/>
          <w:sz w:val="16"/>
          <w:szCs w:val="16"/>
        </w:rPr>
      </w:pPr>
    </w:p>
    <w:p w14:paraId="26CBBBD1"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 xml:space="preserve">9 июля 1940 RAF начала ночные налеты на Германию </w:t>
      </w:r>
      <w:r w:rsidRPr="00DB5D0D">
        <w:rPr>
          <w:rFonts w:ascii="Times New Roman" w:hAnsi="Times New Roman"/>
          <w:color w:val="000000" w:themeColor="text1"/>
          <w:sz w:val="16"/>
          <w:szCs w:val="16"/>
          <w:lang w:val="en-US"/>
        </w:rPr>
        <w:t>(2259).</w:t>
      </w:r>
    </w:p>
    <w:p w14:paraId="70F0F7D8"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67611F24"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9 July 1940 At home there is a call for aluminium for the aircraft industry (270).</w:t>
      </w:r>
    </w:p>
    <w:p w14:paraId="13F483B8"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266DE2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1940 в США начали сбор алюминия для авиапромышленности (270).</w:t>
      </w:r>
    </w:p>
    <w:p w14:paraId="60A7FAC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4BE20F" w14:textId="77777777" w:rsidR="000F7B83" w:rsidRPr="00DB5D0D" w:rsidRDefault="000F7B8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июля в 1940 году Румыния объявляется государством, находящимся под защитой Германии (14947).</w:t>
      </w:r>
    </w:p>
    <w:p w14:paraId="252C1D69" w14:textId="77777777" w:rsidR="000F7B83" w:rsidRPr="00DB5D0D" w:rsidRDefault="000F7B83" w:rsidP="00DB5D0D">
      <w:pPr>
        <w:spacing w:after="0" w:line="240" w:lineRule="auto"/>
        <w:jc w:val="both"/>
        <w:rPr>
          <w:rFonts w:ascii="Times New Roman" w:hAnsi="Times New Roman"/>
          <w:color w:val="000000" w:themeColor="text1"/>
          <w:sz w:val="16"/>
          <w:szCs w:val="16"/>
        </w:rPr>
      </w:pPr>
    </w:p>
    <w:p w14:paraId="2871155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54BABE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30E90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вышел Приказ по НКАП № 278сс, которым ДБ-240 запу</w:t>
      </w:r>
      <w:r w:rsidRPr="00DB5D0D">
        <w:rPr>
          <w:rFonts w:ascii="Times New Roman" w:hAnsi="Times New Roman"/>
          <w:color w:val="000000" w:themeColor="text1"/>
          <w:sz w:val="16"/>
          <w:szCs w:val="16"/>
        </w:rPr>
        <w:softHyphen/>
        <w:t>скался в крупносерийное производ</w:t>
      </w:r>
      <w:r w:rsidRPr="00DB5D0D">
        <w:rPr>
          <w:rFonts w:ascii="Times New Roman" w:hAnsi="Times New Roman"/>
          <w:color w:val="000000" w:themeColor="text1"/>
          <w:sz w:val="16"/>
          <w:szCs w:val="16"/>
        </w:rPr>
        <w:softHyphen/>
        <w:t>ство на воронежском авиазаводе № 18, где ранее строились ДБ-3ф. Ди</w:t>
      </w:r>
      <w:r w:rsidRPr="00DB5D0D">
        <w:rPr>
          <w:rFonts w:ascii="Times New Roman" w:hAnsi="Times New Roman"/>
          <w:color w:val="000000" w:themeColor="text1"/>
          <w:sz w:val="16"/>
          <w:szCs w:val="16"/>
        </w:rPr>
        <w:softHyphen/>
        <w:t>ректор завода М.Б. Шенкман обязы</w:t>
      </w:r>
      <w:r w:rsidRPr="00DB5D0D">
        <w:rPr>
          <w:rFonts w:ascii="Times New Roman" w:hAnsi="Times New Roman"/>
          <w:color w:val="000000" w:themeColor="text1"/>
          <w:sz w:val="16"/>
          <w:szCs w:val="16"/>
        </w:rPr>
        <w:softHyphen/>
        <w:t>вался выпустить в 1940 г. 700 ДБ-3ф и 70 ДБ-240, а в 1941 г. полностью пе</w:t>
      </w:r>
      <w:r w:rsidRPr="00DB5D0D">
        <w:rPr>
          <w:rFonts w:ascii="Times New Roman" w:hAnsi="Times New Roman"/>
          <w:color w:val="000000" w:themeColor="text1"/>
          <w:sz w:val="16"/>
          <w:szCs w:val="16"/>
        </w:rPr>
        <w:softHyphen/>
        <w:t>рейти на ДБ-240. То есть, самый со</w:t>
      </w:r>
      <w:r w:rsidRPr="00DB5D0D">
        <w:rPr>
          <w:rFonts w:ascii="Times New Roman" w:hAnsi="Times New Roman"/>
          <w:color w:val="000000" w:themeColor="text1"/>
          <w:sz w:val="16"/>
          <w:szCs w:val="16"/>
        </w:rPr>
        <w:softHyphen/>
        <w:t>временный авиазавод Советского Союза превращался из вотчины С. В. Ильюшина в вотчину главного конструктора ДБ-240 В. Г. Ермолаева (4140).</w:t>
      </w:r>
    </w:p>
    <w:p w14:paraId="30D74C5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9977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Приказом по НКАП № 278сс ДБ-240 запускался в крупносерийное производ</w:t>
      </w:r>
      <w:r w:rsidRPr="00DB5D0D">
        <w:rPr>
          <w:rFonts w:ascii="Times New Roman" w:hAnsi="Times New Roman"/>
          <w:color w:val="000000" w:themeColor="text1"/>
          <w:sz w:val="16"/>
          <w:szCs w:val="16"/>
        </w:rPr>
        <w:softHyphen/>
        <w:t>ство на авиазаводе №18. Директор за</w:t>
      </w:r>
      <w:r w:rsidRPr="00DB5D0D">
        <w:rPr>
          <w:rFonts w:ascii="Times New Roman" w:hAnsi="Times New Roman"/>
          <w:color w:val="000000" w:themeColor="text1"/>
          <w:sz w:val="16"/>
          <w:szCs w:val="16"/>
        </w:rPr>
        <w:softHyphen/>
        <w:t>вода М.Б.Шенкман обязывался выпус</w:t>
      </w:r>
      <w:r w:rsidRPr="00DB5D0D">
        <w:rPr>
          <w:rFonts w:ascii="Times New Roman" w:hAnsi="Times New Roman"/>
          <w:color w:val="000000" w:themeColor="text1"/>
          <w:sz w:val="16"/>
          <w:szCs w:val="16"/>
        </w:rPr>
        <w:softHyphen/>
        <w:t>тить в текущем году 700 ДБ-3ф и 70 ДБ-240, а в 1941 г. полностью перейти на новую машину. То есть, самый современ</w:t>
      </w:r>
      <w:r w:rsidRPr="00DB5D0D">
        <w:rPr>
          <w:rFonts w:ascii="Times New Roman" w:hAnsi="Times New Roman"/>
          <w:color w:val="000000" w:themeColor="text1"/>
          <w:sz w:val="16"/>
          <w:szCs w:val="16"/>
        </w:rPr>
        <w:softHyphen/>
        <w:t>ный авиазавод Советского Союза пре</w:t>
      </w:r>
      <w:r w:rsidRPr="00DB5D0D">
        <w:rPr>
          <w:rFonts w:ascii="Times New Roman" w:hAnsi="Times New Roman"/>
          <w:color w:val="000000" w:themeColor="text1"/>
          <w:sz w:val="16"/>
          <w:szCs w:val="16"/>
        </w:rPr>
        <w:softHyphen/>
        <w:t>вращался из вотчины С.В.Ильюшина в вотчину главного конструктора ДБ-240 В.Г.Ермолаева, а положительное реше</w:t>
      </w:r>
      <w:r w:rsidRPr="00DB5D0D">
        <w:rPr>
          <w:rFonts w:ascii="Times New Roman" w:hAnsi="Times New Roman"/>
          <w:color w:val="000000" w:themeColor="text1"/>
          <w:sz w:val="16"/>
          <w:szCs w:val="16"/>
        </w:rPr>
        <w:softHyphen/>
        <w:t>ние вопроса об окончательном снятии ДБ-3ф, как не имеющего боевой ценно</w:t>
      </w:r>
      <w:r w:rsidRPr="00DB5D0D">
        <w:rPr>
          <w:rFonts w:ascii="Times New Roman" w:hAnsi="Times New Roman"/>
          <w:color w:val="000000" w:themeColor="text1"/>
          <w:sz w:val="16"/>
          <w:szCs w:val="16"/>
        </w:rPr>
        <w:softHyphen/>
        <w:t>сти для ВВС КА, с серийного производ</w:t>
      </w:r>
      <w:r w:rsidRPr="00DB5D0D">
        <w:rPr>
          <w:rFonts w:ascii="Times New Roman" w:hAnsi="Times New Roman"/>
          <w:color w:val="000000" w:themeColor="text1"/>
          <w:sz w:val="16"/>
          <w:szCs w:val="16"/>
        </w:rPr>
        <w:softHyphen/>
        <w:t>ства и на авиазаводе № 39 становилось делом недалекого будущего. Серьезного же конкурента ермолаевской машине в лице бомбардировщика ДБ-4 С.В.Ильюшин противопоставить не успевал. Постройка ДБ-4-го, ввиду силь</w:t>
      </w:r>
      <w:r w:rsidRPr="00DB5D0D">
        <w:rPr>
          <w:rFonts w:ascii="Times New Roman" w:hAnsi="Times New Roman"/>
          <w:color w:val="000000" w:themeColor="text1"/>
          <w:sz w:val="16"/>
          <w:szCs w:val="16"/>
        </w:rPr>
        <w:softHyphen/>
        <w:t>ной загрузки ОКБ работами по БШ-2 и ДБ-3ф и отсутствия четкого понимания концепции современного дальнего бом</w:t>
      </w:r>
      <w:r w:rsidRPr="00DB5D0D">
        <w:rPr>
          <w:rFonts w:ascii="Times New Roman" w:hAnsi="Times New Roman"/>
          <w:color w:val="000000" w:themeColor="text1"/>
          <w:sz w:val="16"/>
          <w:szCs w:val="16"/>
        </w:rPr>
        <w:softHyphen/>
        <w:t>бардировщика, шла медленно, интерес к самолету со стороны ВВС неуклонно падал и к моменту первого испытатель</w:t>
      </w:r>
      <w:r w:rsidRPr="00DB5D0D">
        <w:rPr>
          <w:rFonts w:ascii="Times New Roman" w:hAnsi="Times New Roman"/>
          <w:color w:val="000000" w:themeColor="text1"/>
          <w:sz w:val="16"/>
          <w:szCs w:val="16"/>
        </w:rPr>
        <w:softHyphen/>
        <w:t>ного полета 15 октября 1940 г. практи</w:t>
      </w:r>
      <w:r w:rsidRPr="00DB5D0D">
        <w:rPr>
          <w:rFonts w:ascii="Times New Roman" w:hAnsi="Times New Roman"/>
          <w:color w:val="000000" w:themeColor="text1"/>
          <w:sz w:val="16"/>
          <w:szCs w:val="16"/>
        </w:rPr>
        <w:softHyphen/>
        <w:t>чески пропал. К тому же машина оказа</w:t>
      </w:r>
      <w:r w:rsidRPr="00DB5D0D">
        <w:rPr>
          <w:rFonts w:ascii="Times New Roman" w:hAnsi="Times New Roman"/>
          <w:color w:val="000000" w:themeColor="text1"/>
          <w:sz w:val="16"/>
          <w:szCs w:val="16"/>
        </w:rPr>
        <w:softHyphen/>
        <w:t>лась далекой от совершенства и требо</w:t>
      </w:r>
      <w:r w:rsidRPr="00DB5D0D">
        <w:rPr>
          <w:rFonts w:ascii="Times New Roman" w:hAnsi="Times New Roman"/>
          <w:color w:val="000000" w:themeColor="text1"/>
          <w:sz w:val="16"/>
          <w:szCs w:val="16"/>
        </w:rPr>
        <w:softHyphen/>
        <w:t>вала длительной доводки. Поэтому вско</w:t>
      </w:r>
      <w:r w:rsidRPr="00DB5D0D">
        <w:rPr>
          <w:rFonts w:ascii="Times New Roman" w:hAnsi="Times New Roman"/>
          <w:color w:val="000000" w:themeColor="text1"/>
          <w:sz w:val="16"/>
          <w:szCs w:val="16"/>
        </w:rPr>
        <w:softHyphen/>
        <w:t>ре все работы по ней были прекращены (6467).</w:t>
      </w:r>
    </w:p>
    <w:p w14:paraId="7096FD5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B82FA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Приказом по НКАП № 278сс ДБ-240 запускался в крупносерийное производство на воронежском авиазаводе № 18. Директор завода М.Б.Шенкман обязывался выпустить в текущем году 700 ДБ-3Ф и 70 ДБ-240, а в 1941 г. полностью перейти на «двести сороковую».</w:t>
      </w:r>
    </w:p>
    <w:p w14:paraId="1AE159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Другими словами, самый современный авиазавод Советского Союза превращался из вотчины С.В.Ильюшина в вотчину главного конструктора ДБ-240 В.Г.Ермолаева, а положительное решение вопроса об окончательном снятии ДБ-3Ф как не имеющего боевой ценности для ВВС КА с серийного производства и на авиазаводе №39 становилось делом недалекого будущего (9649).</w:t>
      </w:r>
    </w:p>
    <w:p w14:paraId="5220151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3D4EC4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года председатель КО К. Ворошилов писал письмо № 6350/ко в Наркомавиапром Шахурину А.И. (на № 1638с/ог), Наркомфин Звереву А.Г.</w:t>
      </w:r>
    </w:p>
    <w:p w14:paraId="0A78C44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того, что самолет "100" предъявлен на гос. испытания с опозданием на 6 месяцев против сроков, установленных постановлением КО от 29 июля 1939 года за № 265сс, КО не считает возможным удовлетворить Вашу просьбу о разрешении премировать работников завода № 156 НКАП за создание этого самолета (3420, 54).</w:t>
      </w:r>
    </w:p>
    <w:p w14:paraId="560F580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25B1A6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Секретарь КО при СНК Союза ССР М.Пугаев писал письмо № 6332сс Гл. Контролеру при КО тов. А.С.Новикову</w:t>
      </w:r>
    </w:p>
    <w:p w14:paraId="2B454E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 постановлению КО при СНК СССР № 235сс от 29 мая 1940 “О постановке производства самолетов И-26 конструкции Яковлева на заводе № 292 и о снятии с производства самолетов И-28” - прошу внести следующую поправку:</w:t>
      </w:r>
    </w:p>
    <w:p w14:paraId="1CD716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Напечатано:</w:t>
      </w:r>
    </w:p>
    <w:p w14:paraId="027800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7. НКСМ тов. Лихачеву организовать во втором полугодии 1940 г. на Саратовском заводе ВАТ производство жидкого кислорода и выделить заводу № 292 две ацетиленовые установки типа ВД-25, стационарный танк-газификатор и танк для производства жидкого кислорода.</w:t>
      </w:r>
    </w:p>
    <w:p w14:paraId="50B7D7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 читать:</w:t>
      </w:r>
    </w:p>
    <w:p w14:paraId="37C718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7. НКТяжмаш тов. Ефремову организовать во втором полугодии 1940 г. на Саратовском заводе ВАТ производство жидкого кислорода и выделить заводу № 292 две ацетиленовые установки типа ВД-25, стационарный танк-газификатор и танк для производства жидкого кислорода (10395,126).</w:t>
      </w:r>
    </w:p>
    <w:p w14:paraId="6BF512E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3E35095"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июля в 1940 году за три с половиной месяца спроектировали и построили (по 29 октября) истребитель-перехватчик </w:t>
      </w:r>
      <w:hyperlink r:id="rId191" w:tgtFrame="_blank" w:history="1">
        <w:r w:rsidRPr="00DB5D0D">
          <w:rPr>
            <w:rFonts w:ascii="Times New Roman" w:hAnsi="Times New Roman"/>
            <w:color w:val="000000" w:themeColor="text1"/>
            <w:sz w:val="16"/>
            <w:szCs w:val="16"/>
          </w:rPr>
          <w:t xml:space="preserve">«И-28». </w:t>
        </w:r>
      </w:hyperlink>
      <w:r w:rsidRPr="00DB5D0D">
        <w:rPr>
          <w:rFonts w:ascii="Times New Roman" w:hAnsi="Times New Roman"/>
          <w:color w:val="000000" w:themeColor="text1"/>
          <w:sz w:val="16"/>
          <w:szCs w:val="16"/>
        </w:rPr>
        <w:t>Hа нем был установлен опытный двигатель «М-105ПД» с нагнетателем «Э-100» конструкции В.А.Доллежаля. Опытный истребитель «И-28» с двигателем «М-105ПД», иначе называвшийся «Як-5» «образца 1940 года» (До присвоения «И-28» наименования «Як-5» в заводских и некоторых других документах он именовался также "самолет №28", «И-28-H», «И-28-В», «И-26В» (высотный)), являлся высотным истребителем-перехватчиком и предназначался для использования в системе ПВО (14948).</w:t>
      </w:r>
    </w:p>
    <w:p w14:paraId="3297392C"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6E792D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ведущий конструктор К. Вигант приступил к проектированию и изготовлению истребителя. способного перехватывать бомбардировщики на высотах 8-10 км. Предварительный расчет показал, что увеличения высотности ВМГ до проектных значений эффективнее и легче достичь установкой мотора М-105ПД. На этом моторе, вместо штатного, устанавливался приводной центробежный нагнетатель Э-100 (конструкции В.А. Доллежаля) с турбомуфтами, обеспечивающими плавное течение высотной характеристики мотора между границами высотности. Обозначение "И-26 с нагнетателем" подчеркивало именно эту специфическую особенность данной машины. При этом конструкция исходного варианта самолета практически не изменялась по сравнению с размещением мотора М-105П с турбокомпрессором, как по заданию. Забегая вперед, следует отметить, что нагнетатель Э- 100, равно как и турбокомпрессор ТК-2, не были доведены настолько, чтобы обеспечить надежную работу мотора М-105 на большой высоте. По этой причине И-28 (как потом обозначили И-26 с нагнетателем Э-100) равно как и его ближайший конкурент - истребитель И-330 П.О. Сухого не могли быть рекомендованы к серийному производству, несмотря на хорошие летные данные (максимальные скорости - 650 км/ч на высоте 8750 м и 641 км/ч на высоте 10000 м).</w:t>
      </w:r>
    </w:p>
    <w:p w14:paraId="39C1D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моменту начала реализации проекта в металле и дереве уже был создан и прошел испытания УТИ-26-1, изготовлен самолет № 30 и создавался УТИ-26-11. Последний в ходе улучшения по результатам испытаний первого прототипа получил новое шасси, а вместе с ним и почти неограниченные резервы для модифицирования конструкции (позже по количеству созданных на его основе вариантов Як-7, включая Як-9, превзошел все другие самолеты военного времени). Новое шасси, к которому добавили еще одну новинку - предкрылки, сразу же применили и на И-26-Н. Такое же крыло с предкрылками, только металлическое, получил потом И-30. Хвостовое оперение выполнили тоже по типу УТИ-26-П. Изменениям подверглись моторама, маслобак, капоты, фонарь кабины, бензо- и маслопроводка. По существу, от самого рождения И-26-Н создавался как самолет, имевший много общего с И-26, но в главном значительно от него отличающийся. В процессе изготовления он получил новое наименование (И-28), а после смены обозначений в декабре 1940 г. стал называться Як-5 (12048). </w:t>
      </w:r>
    </w:p>
    <w:p w14:paraId="5BDF248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A89B6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Зам. Нач. ГУАС КА г/л Гуске и Военком ГУ ВВС КА дк Ф.А.Агальцов утвердили Отчет по государственным испытаниям И-301 М-105П (два экземпляра М-105ТК и М-106П</w:t>
      </w:r>
    </w:p>
    <w:p w14:paraId="302823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Ответственные исполнители:</w:t>
      </w:r>
    </w:p>
    <w:p w14:paraId="0EE5DB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вл м Супрун</w:t>
      </w:r>
    </w:p>
    <w:p w14:paraId="232D67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ви3р Таракановский</w:t>
      </w:r>
    </w:p>
    <w:p w14:paraId="1FD6CD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испытаний:</w:t>
      </w:r>
    </w:p>
    <w:p w14:paraId="0E8C78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И-301 М-105П конструкции Горбунова, Лавочкина, Гудкова постройки завода № 301 был изготовлен по ТТТ ВВС и д.б. иметь следующие данные:</w:t>
      </w:r>
    </w:p>
    <w:p w14:paraId="3DF78A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с М-105 и ТК—2</w:t>
      </w:r>
    </w:p>
    <w:p w14:paraId="5C7941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Макс. на 9000 м 650-675 км/час</w:t>
      </w:r>
    </w:p>
    <w:p w14:paraId="32D9D2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- 12000 м</w:t>
      </w:r>
    </w:p>
    <w:p w14:paraId="697349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2хБС 12,7мм, 500 патронов</w:t>
      </w:r>
    </w:p>
    <w:p w14:paraId="06C75A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7,62мм, 2000 патронов</w:t>
      </w:r>
    </w:p>
    <w:p w14:paraId="28D9AA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w:t>
      </w:r>
    </w:p>
    <w:p w14:paraId="416872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Макс. на 6000-7000 м 600-625 км/час</w:t>
      </w:r>
    </w:p>
    <w:p w14:paraId="5F0B8F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- 11000 м</w:t>
      </w:r>
    </w:p>
    <w:p w14:paraId="598869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1х23мм пушка, 150 снарядов</w:t>
      </w:r>
    </w:p>
    <w:p w14:paraId="61380D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7,62мм</w:t>
      </w:r>
    </w:p>
    <w:p w14:paraId="3E7C60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обоих вариантах в счет перегрузки предполагается устновить 8хРС-82 и бомб 100 кг</w:t>
      </w:r>
    </w:p>
    <w:p w14:paraId="44966D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д.б. устновлено радиообрудование и оборудование для ночных полетов</w:t>
      </w:r>
    </w:p>
    <w:p w14:paraId="59FB28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Оба вирианта д.б. иметь следующие данные:</w:t>
      </w:r>
    </w:p>
    <w:p w14:paraId="133EFA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Дальность на 0,9 макс. скорости - 600 км</w:t>
      </w:r>
    </w:p>
    <w:p w14:paraId="722317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Дальность с подвесными б/б - 1000 км</w:t>
      </w:r>
    </w:p>
    <w:p w14:paraId="474CA8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Время виража - 16-18 сек.</w:t>
      </w:r>
    </w:p>
    <w:p w14:paraId="62E6AD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Длина разбега - не более 200 м</w:t>
      </w:r>
    </w:p>
    <w:p w14:paraId="469BC9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Длина пробега - не более 150 м</w:t>
      </w:r>
    </w:p>
    <w:p w14:paraId="618FA7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Дистанция до набора высоты в 25 м - 600 м</w:t>
      </w:r>
    </w:p>
    <w:p w14:paraId="5F1990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Дистанция до посалки с 25 м - 500 м</w:t>
      </w:r>
    </w:p>
    <w:p w14:paraId="72C37E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Посадочная скорость 110-120 км/час</w:t>
      </w:r>
    </w:p>
    <w:p w14:paraId="50DF6C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конструкции с-та предусматривается использование упроченной древечины и дюраля</w:t>
      </w:r>
    </w:p>
    <w:p w14:paraId="264865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предъявления на госиспытания:</w:t>
      </w:r>
    </w:p>
    <w:p w14:paraId="427498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 февраль 1940</w:t>
      </w:r>
    </w:p>
    <w:p w14:paraId="0DFDA7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май 1940</w:t>
      </w:r>
    </w:p>
    <w:p w14:paraId="56FD54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заводских испытаниях са-та не было полетов на штопор, пикирование, полетов не скорость выше 510 км/час по приборам и на высоты выше 550 м и пилотаж с фигурами: имеельман и бочки.</w:t>
      </w:r>
    </w:p>
    <w:p w14:paraId="4F8CF8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с-та и спецоборудование не проверялись ни на земле, ни в воздухе.</w:t>
      </w:r>
    </w:p>
    <w:p w14:paraId="6E1A48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проведения госиспытаний в НИИ ВВС с 15 по 27 июля было выполнено 43 полета</w:t>
      </w:r>
    </w:p>
    <w:p w14:paraId="01570C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03856A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Летные данные с-та И-301 выше, чем у всех современных отечественных с-тов с М-105</w:t>
      </w:r>
    </w:p>
    <w:p w14:paraId="305658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самолете установлено мощное крупнокалиберное оружие (пушка Таубина кал. 23 мм и 2хБС и имеются кронштейны и патронные ящики для двух ШКАС. Кроме того, на самолете могут быть установлены 8хРС-82.</w:t>
      </w:r>
    </w:p>
    <w:p w14:paraId="7B8391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мощности предусмотренного ворружения среди одноместных истребителей самолет на 1-м месте</w:t>
      </w:r>
    </w:p>
    <w:p w14:paraId="01797E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Недостатком пушечной установки является отсутствие приливов на картере мотора для крепления пушки</w:t>
      </w:r>
    </w:p>
    <w:p w14:paraId="2D011B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производстве самолет прост. Цельнодеревянная конструкция с применением уплотненной древесины на лондеронах. Имеет широкую базу для производства.</w:t>
      </w:r>
    </w:p>
    <w:p w14:paraId="1E8F29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Отделка поверхностей самолета трудности не представляет.</w:t>
      </w:r>
    </w:p>
    <w:p w14:paraId="752EF9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серийном самолете необходимо улучшить продольную динамическую устойчивость (создание более передней центровки)</w:t>
      </w:r>
    </w:p>
    <w:p w14:paraId="261CB8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на пробеге необходимо улучшить установкой стопорящегося хвостового колеса</w:t>
      </w:r>
    </w:p>
    <w:p w14:paraId="36DBD0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полетного веса с-та в 2968 кг нагрузка на колеса в 1340 кг является предельной, что исключает возможность его нормальной работы в эксплуатации</w:t>
      </w:r>
    </w:p>
    <w:p w14:paraId="29E983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Сделать люк в левом борту фюзеляжа для установки р/с и просмотра замка костыля, а люки для просмотра тяг в крыле увеличить по размерам </w:t>
      </w:r>
    </w:p>
    <w:p w14:paraId="7E66F3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E94CD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И-301 М-105П конструкции и тт Лавочкина, Гудкова, Горбунова производства завода № 301 был предъявлен на госиспытания с недоведенным вооружением и не испытанным на штопор, пикирование высотный полет с выполнение фигур: иммельман, бочки</w:t>
      </w:r>
    </w:p>
    <w:p w14:paraId="3D8FFC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С-т И-301 госипытаний не прошел из-за отсутствия...</w:t>
      </w:r>
    </w:p>
    <w:p w14:paraId="57D6D3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Конструкторам с-та гг Лавочкину, Горбунову, Гудкову и директору з-да № 301 надлежит после отстрела пушки в воздухе в кратчайший срок довести все стрелковое вооружение, заменить РВ, довести ВМГ, улучшить центровку на пробеге, устранить дефекты по щиткам и закрылкам и шасси и испытать с-т на штопор, пикирование, иммельман и отстрел вооружения в воздухе.</w:t>
      </w:r>
    </w:p>
    <w:p w14:paraId="678851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проведения этих испытаний с-ь передать в НИИ ВВС для контрольных испытаний.</w:t>
      </w:r>
    </w:p>
    <w:p w14:paraId="73B499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Считать необходимым потребовать от ГК подобрать для с-та колеса, соответствующие полетному весу с-та размера и произвести их эксплуатационные испытания...(859,7).</w:t>
      </w:r>
    </w:p>
    <w:p w14:paraId="7274750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7A311F"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июля 1940 года был составлен Отчет по государственным испытаниям самолета И-301 М-105П констукторов ЛАВОЧКИНА ГОРБУНОВА и ГУДКОВА.</w:t>
      </w:r>
    </w:p>
    <w:p w14:paraId="2FBB2118"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Ответственные исполнители: Ведущие летчики - майор Супрун и майор Стефановский. Ведущий инженер военинженер 3го ранга Таракановский. Начальник отделения истребительных самолетов военинженер 1го ранга Воеводин.</w:t>
      </w:r>
    </w:p>
    <w:p w14:paraId="38F15D5A"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Летчики облета: генерал-майор авиации Филин, полковой комиссар Холопцев, полковник Кабанов, военинженер 1го ранга Никашин.</w:t>
      </w:r>
    </w:p>
    <w:p w14:paraId="1E97120D"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ОБЪЕКТ ИСПЫТАНИЙ.</w:t>
      </w:r>
    </w:p>
    <w:p w14:paraId="249C33B9"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 И-301 М-105П конструкторов т.т Горбунова, Лавочкина и Гудкова постройки завода №301 был изготовлен по тактико-техническим требованиям ВВС и должен был иметь следующие данные:</w:t>
      </w:r>
    </w:p>
    <w:p w14:paraId="17790020"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1-й экземпляр с мотором М-105 и ТК-2.</w:t>
      </w:r>
    </w:p>
    <w:p w14:paraId="18067CC8"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Макс скорость на высоте 9000м 650-675км/ч, практический потолок 12000м, вооружение 2 БС калибра 12.7мм и 3 ШКАС калибра 7.62мм.</w:t>
      </w:r>
    </w:p>
    <w:p w14:paraId="4BEDBE20"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2-й экземпляр с мотором М-105П.</w:t>
      </w:r>
    </w:p>
    <w:p w14:paraId="7AA3B7AD"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Макс скорость на высоте 6-7тыс м 600-655км/ч, практический потолок 11000м, вооружение пушка калибра 20-23мм и 2 ШКАС калибра 7.62мм.</w:t>
      </w:r>
    </w:p>
    <w:p w14:paraId="75CA50D2"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Кроме того в счет перегрузки в обоих вариантах предусматривалась установка 8шт РС 82мм и бомб общим весом до 100кг.</w:t>
      </w:r>
    </w:p>
    <w:p w14:paraId="6D8B748F"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самолет должна быть установлена радиостанция и оборудование для ночных полетов.</w:t>
      </w:r>
    </w:p>
    <w:p w14:paraId="1A037DEC"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конструкции самолетов предусматривалось использование уплотненной древесины и материала дюрамольд.</w:t>
      </w:r>
    </w:p>
    <w:p w14:paraId="130296D6"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Срок представления самолетов на гос. испытания был установлен для 1го экземпляра февраль 1940, для 2го май 1940го.</w:t>
      </w:r>
    </w:p>
    <w:p w14:paraId="656149E2"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Принятый в НИИ ВВС КА 14 июня 1940г на государственные испытания самолет И-301 М-105П, по своему назначению является одноместным скоростным истребителем. Конструкция цельнодеревянная с применением прессованой древесины на лонжеронах крыла.</w:t>
      </w:r>
    </w:p>
    <w:p w14:paraId="605C6181"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Крыло двухлонжеронное с работающей деревянной обшивкой. Консоли крыла отъемные, щитки типа Шренк, элероны типа Фриз.</w:t>
      </w:r>
    </w:p>
    <w:p w14:paraId="53157C1C"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Фюзеляж типа монокок, кабина летчика закрытая.</w:t>
      </w:r>
    </w:p>
    <w:p w14:paraId="7A472DBD"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Шасси убирающееся в полете. Хвостовое колесо ориентирующееся и убирающееся в полете.</w:t>
      </w:r>
    </w:p>
    <w:p w14:paraId="17B29743"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Оперение свободнонесущее. На руле высоты и руле поворотов установлены триммера, управляемые из кабины летчика. На элероне установлена пластинка регулируемая на земле.</w:t>
      </w:r>
    </w:p>
    <w:p w14:paraId="39619286"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Винто-моторная группа состоит из мотора М-105П жидкостного охлаждения. Винт трехлопастной изменяемого в полете шага ВИШ-61 Д-3м. Бензобаки протектированные общей емкостью 380л. /285кг/ но полной заправки осуществить нельзя из-за неудачного расположения горловин. Емкость бензобаков практическая 340л /250кг/.</w:t>
      </w:r>
    </w:p>
    <w:p w14:paraId="6F3EE675"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Вооружение самолета состоит из пушки Таубина калибра 23мм установленной для стрельбы сквозь вал редуктора мотора и двух пулеметов БС калибра 12.7мм.</w:t>
      </w:r>
    </w:p>
    <w:p w14:paraId="5B1C1728"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Кроме того на самолете в счет перегрузки могут быть установлены пулеметы ШКАС калибра 7.62мм. Установка бомб, РС-82 и подвесных баков для горючего на этом экземпляре не осуществлена.</w:t>
      </w:r>
    </w:p>
    <w:p w14:paraId="5FB12EB9"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самолете установлено кислородное оборудование, АНО и освещение приборной доски.</w:t>
      </w:r>
    </w:p>
    <w:p w14:paraId="2B5A5D34"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Радиостанция и оборудование для ночных полетов на самолете не установлены.</w:t>
      </w:r>
    </w:p>
    <w:p w14:paraId="44B6603E"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 принят на госиспытания в НИИ ВВС КА в объеме программы проведенной при заводских испытаниях. На заводских испытаниях не было полетов на штопор, пикирование выше 510км/ч по прибору, полетов на высоты выше 5500м и пилотаж с фигурами иммельманы и бочки. Вооружение самолета и спецоборудование не проверялось ни на земле, ни в воздухе.</w:t>
      </w:r>
    </w:p>
    <w:p w14:paraId="239707E3"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ПЕРЕЧЕНЬ ОТСТУПЛЕНИЙ ОТ ТАКТИКО-ТЕХНИЧЕСКИХ ТРЕБОВАНИЙ.</w:t>
      </w:r>
    </w:p>
    <w:p w14:paraId="74164F60"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самолете не установлено:</w:t>
      </w:r>
    </w:p>
    <w:p w14:paraId="16F013C2"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Турбокомпрессоры ТК-2.</w:t>
      </w:r>
    </w:p>
    <w:p w14:paraId="1332B2F3"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2 бомбодержателя ДЕР-31 и два бомбодержателя ДЕР-33.</w:t>
      </w:r>
    </w:p>
    <w:p w14:paraId="1B07D3F8"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Электросбрасыватель ЭСБР-3П.</w:t>
      </w:r>
    </w:p>
    <w:p w14:paraId="165B93B5"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Механический аварийный сбрасыватель.</w:t>
      </w:r>
    </w:p>
    <w:p w14:paraId="523E4C96"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Держатели и проводка РС-82.</w:t>
      </w:r>
    </w:p>
    <w:p w14:paraId="3B0CFB6C"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Радиостанция с жесткой антенной.</w:t>
      </w:r>
    </w:p>
    <w:p w14:paraId="7C162B68"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Бронированный козырек и броня сиденья летчика, броня спинки установлена 5мм вместо 8.65мм по ттт.</w:t>
      </w:r>
    </w:p>
    <w:p w14:paraId="798C386D"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Факелодержатели НГ-12.</w:t>
      </w:r>
    </w:p>
    <w:p w14:paraId="135DB359"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Агрегаты заполнения бензобаков инертным газом.</w:t>
      </w:r>
    </w:p>
    <w:p w14:paraId="0CB619A7"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Заливной бензиновый бачок расположен не в основном бензобаке, а отдельно и не изолирован противопожарной перегородкой.</w:t>
      </w:r>
    </w:p>
    <w:p w14:paraId="4102D79C"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Подвесные сбрасывающиеся бензобаки для увеличения дальности полета самолета.</w:t>
      </w:r>
    </w:p>
    <w:p w14:paraId="25166180"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ВЫВОДЫ.</w:t>
      </w:r>
    </w:p>
    <w:p w14:paraId="66A73F91"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Летные данные самолета И-301 выше чем у всех современных отечественных самолетов с мотором М-105.</w:t>
      </w:r>
    </w:p>
    <w:p w14:paraId="393E963C"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На самолете установлено мощное крупнокалиберное оружие /пушка Таубина, калибра 23мм, 2БС калибра 12,7мм/ и имеются кронштейны и патронные ящики для 2 пулеметов ШКАС. Кроме того на самолете могут быть установлены 8 шт РС 82мм. По мощности предусмотренного вооружения среди одномоторных истребителей самолет стоит на 1-м месте. Недостатком пушечной установки является отсутствие приливов на картере мотора для крепления пушки.</w:t>
      </w:r>
    </w:p>
    <w:p w14:paraId="31165F9A"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В производстве самолет прост. Цельнодеревянная конструкция с применением уплотненной древесины на лонжеронах крыла имеет широкую базу для производства. Отделка поверхности самолета трудности не представляет.</w:t>
      </w:r>
    </w:p>
    <w:p w14:paraId="425E6EB0"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В технике пилотирования самолет достаточно прост. Статическая устойчивость при центровке 24,6% с зажатым управлением в пределах требуемых тактико-техническими требованиями, но динамически с брошенными рулями самолет не устойчив. Соотношение площади руля высоты и стабилизатора значительно меньше нежели у аналогичных немецких самолетов. Динамическая устойчивость у самолета с брошенным управлением наступает при центровке порядка 22% по САХ. На серийных самолетах необходимо улучшить продольную динамическую устойчивость, путем создания более передней центровки, подбором веса балансира руля высоты, удачным соотношением площадей стабилизатора и руля высоты, а также увеличением поперечного V крыла до 6-7град. Давление на ручку необходимо снизить путем увеличения компенсации руля высоты и элеронов. Устойчивость на пробеге необходимо улучшить установкой стопорящегося хвостового колеса и баллонного хвостового колеса.</w:t>
      </w:r>
    </w:p>
    <w:p w14:paraId="3BC92450"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Самолет не обладает достаточной вибрационной прочностью и не может пикировать на скоростях выше 520км/ч по прибору на высоте 4-5 тыс метров. Необходимо увеличить допустимую скорость пикирования до скорости установившегося пикирования самолета.</w:t>
      </w:r>
    </w:p>
    <w:p w14:paraId="2E82EAC1"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Полетный вес самолета велик и должен быть снижен за счет лучшего использования нового материала, примененного в конструкции самолета. Уменьшение полетного веса улучшит летно-тактические данные самолета.</w:t>
      </w:r>
    </w:p>
    <w:p w14:paraId="6F74B1D9"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По данным испытаний пневматиков колес размером 600х180 мм статическая нагрузка на колесо выражается цифрой 1340кг при давлении в 4 атм. Для полетного веса в 2968кг нагрузка на колесо в 1340 кг является предельной, что исключает возможность его нормальной работы и эксплоатации.</w:t>
      </w:r>
    </w:p>
    <w:p w14:paraId="6AD7B376"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Конструкция самолета в целом удовлетворительная, но ряд агрегатов еще не доведен и монтаж на самолете сделан недостаточно хорошо. В процессе доводки самолета необходимо устранить все дефекты и произвести следующие доделки:</w:t>
      </w:r>
    </w:p>
    <w:p w14:paraId="700CA9C7"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Перенести замок шасси с оси самолета на стойку и устранить возможность непроизвольного их выпуска при повреждении магистрали. Нижние щитки установить по типу Хе-100.</w:t>
      </w:r>
    </w:p>
    <w:p w14:paraId="30DA377F"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Устранить открывание правого щитка крыла в полетах при низких температурах наружного воздуха за счет установки одного цилиндра вместо двух. Открывание щитков сделать более плавными и улучшить конструкцию визуальных указателей.</w:t>
      </w:r>
    </w:p>
    <w:p w14:paraId="3E8FD4E2"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Сделать люки в левом борту фюзеляжа для установки радиостанции и просмотра замка костыля, а люки для осмотра тяг управления в крыле увеличить по размеру.</w:t>
      </w:r>
    </w:p>
    <w:p w14:paraId="2EE6C276"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Улучшить остекление фонаря для обеспечения хорошего обзора вперед, в стороны и особенно назад.</w:t>
      </w:r>
    </w:p>
    <w:p w14:paraId="65BEF2F8"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3АКЛЮЧЕНИЕ.</w:t>
      </w:r>
    </w:p>
    <w:p w14:paraId="697C0695"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 И-301 М-105П конструкции инженеров т.т ЛАВОЧКИНА, ГУДКОВА и ГОРБУНОВА производства завода №301 был предъявлен на государственные испытания с недоведенным вооружением и не испытан на штопор, пикирование и высший пилотаж с выполнением фигур: иммельман, бочки.</w:t>
      </w:r>
    </w:p>
    <w:p w14:paraId="561570F2"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Самолет И-301 М-105П государственных испытаний не прошел из-за отсутствия испытания вооружения и испытаний на штопор и пикирование.</w:t>
      </w:r>
    </w:p>
    <w:p w14:paraId="0F9AE68F"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2. Конструкторам самолета И-301 т.т ЛАВОЧКИНУ, ГУДКОВУ и ГОРБУНОВУ и директору завода № 301 надлежит на опытном самолете после отстрела пушки в воздухе в кратчайший срок довести все стрелковое вооружение, заменить руль высоты, довести винто-моторную группу, улучшить устойчивость на пробеге, устранить дефекты по щиткам, закрылкам и шасси и испытать самолет на штопор, пикирование, пилотаж и отстрел вооружения в воздухе.</w:t>
      </w:r>
    </w:p>
    <w:p w14:paraId="448BABFA"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После проведения этих испытаний самолет передать в НИИ ВВС КА на контрольные испытания.</w:t>
      </w:r>
    </w:p>
    <w:p w14:paraId="3D518038"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На дублере самолета должны быть устранены ограничения в скорости пикирования и устранены основные дефекты, выявленные при госиспытаниях 1-го экземпляра самолета.</w:t>
      </w:r>
    </w:p>
    <w:p w14:paraId="7AB0BB7B"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Считать целесообразным построить войсковую серию самолетов И-301 М-105П и вести подготовку к серийной постройке самолетов, поскольку самолет И-301 имеет:</w:t>
      </w:r>
    </w:p>
    <w:p w14:paraId="69156766"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Максимальную скорость 603 км/час, на высоте 4960 мт.</w:t>
      </w:r>
    </w:p>
    <w:p w14:paraId="752CAEDC"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Мощное вооружение одна пушка калибра 23мм, 2 пулемета Березина калибра 12.7 мм, 2 пулемета ШКАС калибра 7,62 мм. и 8 РС-82.</w:t>
      </w:r>
    </w:p>
    <w:p w14:paraId="4E3D22F6"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Удобство в эксплоатации за счет наличия отъемных консолей крыла, съемной моторамы и стойкого покрытия самолета.</w:t>
      </w:r>
    </w:p>
    <w:p w14:paraId="1A7306B8"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самолете И-301 М-105П конструктивно разрешена в основном задача создания целиком деревянного самолета с применением упрочненной древесины.</w:t>
      </w:r>
    </w:p>
    <w:p w14:paraId="49D58208"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самолете И-301 возможна установка ТК-2 на мотор М-105П и установка более мощного мотора АМ-37 / без пушки/.</w:t>
      </w:r>
    </w:p>
    <w:p w14:paraId="1EEA47CC"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самолетах войсковой серии должны быть устранены основные дефекты.</w:t>
      </w:r>
    </w:p>
    <w:p w14:paraId="1CD11D40"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Считать необходимым потребовать от главных конструкторов т.т ЛАВОЧКИНА, ГОРБУНОВА и ГУДКОВА подобрать для самолета колеса соответствующие весу самолета размера и провести их эксплоатационные испытания.</w:t>
      </w:r>
    </w:p>
    <w:p w14:paraId="1D5BE64F"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Считать необходимым просить Наркома Авиационной промышленности тов. Шахурина о повышении внимания со стороны НКАП в деле доводки, испытания и постройки самолета И-301 М-105П.</w:t>
      </w:r>
    </w:p>
    <w:p w14:paraId="699F382B"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 НИИ ВВС КРАСНОЙ АРМИИ ГЕНЕРАЛ-МАЙОР АВИАЦИИ /ФИЛИН/</w:t>
      </w:r>
    </w:p>
    <w:p w14:paraId="1C3AB0CD" w14:textId="77777777" w:rsidR="00FC354F" w:rsidRPr="00DB5D0D" w:rsidRDefault="00FC354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ВОЕНКОМ НИИ ВВС КРАСНОЙ АРМИИ ПОЛКОВОЙ КОМИССАР /ХОЛОПЦЕВ/ (20536).</w:t>
      </w:r>
    </w:p>
    <w:p w14:paraId="129D6086" w14:textId="77777777" w:rsidR="00FC354F" w:rsidRPr="00DB5D0D" w:rsidRDefault="00FC354F" w:rsidP="00DB5D0D">
      <w:pPr>
        <w:spacing w:after="0" w:line="240" w:lineRule="auto"/>
        <w:jc w:val="both"/>
        <w:rPr>
          <w:rFonts w:ascii="Times New Roman" w:hAnsi="Times New Roman"/>
          <w:color w:val="0070C0"/>
          <w:sz w:val="16"/>
          <w:szCs w:val="16"/>
        </w:rPr>
      </w:pPr>
    </w:p>
    <w:p w14:paraId="78BAFC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Нач. ГУ ВВС г-л Гусев и Военком ГУ ВВС Агальцов утвердили Отчет по гос. испытаниям И-301 М-105П конструкции Горбунова, С.А.Лавочкина, Гудкова (2922).</w:t>
      </w:r>
    </w:p>
    <w:p w14:paraId="386F6B4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7241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КБ А.С.Я. начало проектировать и изготавливать высотного истребителя И-28 (ведущий - К.Вигант) (198,38) с М-105ПД и Э-100 В.А.Доллежаля для ПВО и закончили работу 29 октября 1940 (65,32).</w:t>
      </w:r>
    </w:p>
    <w:p w14:paraId="2B43ED6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7F657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П.Е.Логинов подписал заключение об испытаниях И-152ДМ с ПВРД ДМ-2 конструкции И.А.Меркулова. Прирост скорости был небольшим, но ощутимым (366,45).</w:t>
      </w:r>
    </w:p>
    <w:p w14:paraId="70825C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Потом появился акт спец. комиссии, назначенной наркомом АП, откуда и появилась средняя прибавка в 15 км/ч. Отметили, что целесообразно испытывать на более скоростных машинах (366,46).</w:t>
      </w:r>
    </w:p>
    <w:p w14:paraId="541C0E2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357C4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летчик-испытатель Логинов подписал заключение:</w:t>
      </w:r>
    </w:p>
    <w:p w14:paraId="69224C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летчика Логинова о работе реактивных двигате</w:t>
      </w:r>
      <w:r w:rsidRPr="00DB5D0D">
        <w:rPr>
          <w:rFonts w:ascii="Times New Roman" w:hAnsi="Times New Roman"/>
          <w:color w:val="000000" w:themeColor="text1"/>
          <w:sz w:val="16"/>
          <w:szCs w:val="16"/>
        </w:rPr>
        <w:softHyphen/>
        <w:t>лей конструкции Меркулова И.А.</w:t>
      </w:r>
    </w:p>
    <w:p w14:paraId="63CDDD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Двигатели дают некоторый ощутимый прирост скоростей на самолете И-152.</w:t>
      </w:r>
    </w:p>
    <w:p w14:paraId="6BADEA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Управление работой двигателей просто и доступно /одна ручка с вклшателем/.</w:t>
      </w:r>
    </w:p>
    <w:p w14:paraId="0A12621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Работа двигателей на всех скоростях устойчива и при защитительной обшивке нижней поверхности плоскости самолета металлом в противопожарном .отношении безопасна.</w:t>
      </w:r>
    </w:p>
    <w:p w14:paraId="7E4A17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Несколько продолжительно включение в работу двигате</w:t>
      </w:r>
      <w:r w:rsidRPr="00DB5D0D">
        <w:rPr>
          <w:rFonts w:ascii="Times New Roman" w:hAnsi="Times New Roman"/>
          <w:color w:val="000000" w:themeColor="text1"/>
          <w:sz w:val="16"/>
          <w:szCs w:val="16"/>
        </w:rPr>
        <w:softHyphen/>
        <w:t>лей, время включения равно 40-50 сек.</w:t>
      </w:r>
    </w:p>
    <w:p w14:paraId="7B6309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Он сократить период вступления двигателей в работу до 5-10 сек.</w:t>
      </w:r>
    </w:p>
    <w:p w14:paraId="2170E4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Двигателя не проверялись на фигурах высшего пилотажа (11083).</w:t>
      </w:r>
    </w:p>
    <w:p w14:paraId="030DCE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3BB93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вышел приказ НКАП N 343с о том, что в результате проведенных летных испытаний, самолет И-220 конструкции А.Е.Сильванского оказался к полетам непригодным и опасным для жизни летчика... Самолет с баланса завода 153 списать и передать в МАИ в качестве экспоната. 3. Главного конструктора завода 153 Сильванского А.В. за систематическое очковтирательство и бесхозяйственность от работы главным конструктором отстранить. [сначала было очковтирательство, обман и бесхозяйственность от работы в АП уволить] (408,73).</w:t>
      </w:r>
    </w:p>
    <w:p w14:paraId="0E203A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результате проведенных летных испытаний, самолет И-220 конструкции Силъванского А. В. оказался к полетам непри</w:t>
      </w:r>
      <w:r w:rsidRPr="00DB5D0D">
        <w:rPr>
          <w:rFonts w:ascii="Times New Roman" w:hAnsi="Times New Roman"/>
          <w:color w:val="000000" w:themeColor="text1"/>
          <w:sz w:val="16"/>
          <w:szCs w:val="16"/>
        </w:rPr>
        <w:softHyphen/>
        <w:t>годным и опасным для жизни летчика. Выявленные летно-технические данные самолета оказались настолько низкими, что дальней</w:t>
      </w:r>
      <w:r w:rsidRPr="00DB5D0D">
        <w:rPr>
          <w:rFonts w:ascii="Times New Roman" w:hAnsi="Times New Roman"/>
          <w:color w:val="000000" w:themeColor="text1"/>
          <w:sz w:val="16"/>
          <w:szCs w:val="16"/>
        </w:rPr>
        <w:softHyphen/>
        <w:t>шие доводочные работы по самолету не имеют смысла.</w:t>
      </w:r>
    </w:p>
    <w:p w14:paraId="05749D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 изменение моего приказа № 258с от 3 июня - завод</w:t>
      </w:r>
      <w:r w:rsidRPr="00DB5D0D">
        <w:rPr>
          <w:rFonts w:ascii="Times New Roman" w:hAnsi="Times New Roman"/>
          <w:color w:val="000000" w:themeColor="text1"/>
          <w:sz w:val="16"/>
          <w:szCs w:val="16"/>
        </w:rPr>
        <w:softHyphen/>
        <w:t>ские и полетные испытания самолета -И-220 прекратить. Мотор и все ценное оборудование с самолета :снять и передать для исполь</w:t>
      </w:r>
      <w:r w:rsidRPr="00DB5D0D">
        <w:rPr>
          <w:rFonts w:ascii="Times New Roman" w:hAnsi="Times New Roman"/>
          <w:color w:val="000000" w:themeColor="text1"/>
          <w:sz w:val="16"/>
          <w:szCs w:val="16"/>
        </w:rPr>
        <w:softHyphen/>
        <w:t>зования 8 Отделу ЦАГИ.</w:t>
      </w:r>
    </w:p>
    <w:p w14:paraId="65D5BC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баланса завода № 153 списать и передать в МАИ в качестве экспоната.</w:t>
      </w:r>
    </w:p>
    <w:p w14:paraId="53BABD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Главного конструктора завода N9 153 Сильванского А. В. за систематическое очковтирательство, обман (зачеркнуто) м бесхоляйственность от работы (главного конструктора отстранить - вставлено) от работы в АП уволить (вычеркнуто) (408,73).</w:t>
      </w:r>
    </w:p>
    <w:p w14:paraId="3E0C794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969A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по приказу № 343с КБ Сильванского было ликвидировано, Сильванский снят с должности гл. конструктора. Часть коллектива перешла в ОКБ-301 НКАП. После 1953 г. Сильванский работал у Королева.</w:t>
      </w:r>
      <w:r w:rsidRPr="00DB5D0D">
        <w:rPr>
          <w:rFonts w:ascii="Times New Roman" w:hAnsi="Times New Roman"/>
          <w:color w:val="000000" w:themeColor="text1"/>
          <w:sz w:val="16"/>
          <w:szCs w:val="16"/>
          <w:vertAlign w:val="superscript"/>
        </w:rPr>
        <w:t>3</w:t>
      </w:r>
      <w:r w:rsidRPr="00DB5D0D">
        <w:rPr>
          <w:rFonts w:ascii="Times New Roman" w:hAnsi="Times New Roman"/>
          <w:color w:val="000000" w:themeColor="text1"/>
          <w:sz w:val="16"/>
          <w:szCs w:val="16"/>
        </w:rPr>
        <w:t xml:space="preserve"> В 1958 г. А.В. Сильванский предложил спроектировать межконтинентальную КР РКДД по типу «Навахо» со специальной БЧ (11982).</w:t>
      </w:r>
    </w:p>
    <w:p w14:paraId="4FA48476"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757A88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Нач. финотдела НКАП Хавин писал А.И.Ш. письмо N 4056 "...первый этап работ 1 экз. самолета КОР-2 с М-63 выполнен конструкторским бюро завода 31 Бериева к 25 июня 1940 при установленном плановом сроке - август 1940 (1270).</w:t>
      </w:r>
    </w:p>
    <w:p w14:paraId="78E6683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38EE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года Смушкевич и Агальцов писали письмо N 501176с секретарю КО Пугаеву.</w:t>
      </w:r>
    </w:p>
    <w:p w14:paraId="351734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563A9D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самому же проекту санитарного самолета ЭЛЬ-3 признано нецелесообразным выдача задания на его разработку и постройку, исходя из того, что такой самолет является промежуточным типом между строящимися в текущем году самолетами ДС-3 с М-62, С-2 с М-11, типа АИСТ с МВ-6 в санитарных вариантах.</w:t>
      </w:r>
    </w:p>
    <w:p w14:paraId="21BE3B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проект самолета инженера Элибекяна в предложенном нам варианте был рассчитан на мотор МГ-31, крупносерийное производство которого не вызывается никакой необходимостью для ВВС (3401,41).</w:t>
      </w:r>
    </w:p>
    <w:p w14:paraId="19FE5E3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7067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года начальник ВВС генерал-лейтенант авиации Смушкевич и начальник ГУГВФ генерал-майор авиации Молоков писали письмо N 02733с Ворошилову.</w:t>
      </w:r>
    </w:p>
    <w:p w14:paraId="494BE4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последнего времени в ВВС и в ГВФ нет на вооружении легкого самолета с грузоподъемностью 600-800 кг, взлетно-посадочные свойства которого позволяли бы производить взлет и посадку на неподготовленных и ограниченных по своим размерам площадках.</w:t>
      </w:r>
    </w:p>
    <w:p w14:paraId="7F82C9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Ленинградский институт инженеров ГВФ построил самолет СХ-1 конструкции инженера Бедунковича. СХ-1 - биплан с мотором МГ-1 в 300 л.с. максимальная скорость 210 км/час; посадочная - 65 км; разбег при взлете 150 м; пробег при посадке 135 м; самолет имеет легкосъемные сиденья, заменяющиеся санитарными носилками, кабину объемом 4 куб. м с широкой дверью и люками, что позволяет перевозить на самолете громоздкие по размерам грузы или установить баки для горючего вместимостью до 600 кг (в серийной постройке есть возможность еще значительнее увеличить загрузку).</w:t>
      </w:r>
    </w:p>
    <w:p w14:paraId="5766BD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самолет прошел заводские и гос. испытания, после чего эксплуатировался в условиях работы гражданской авиации (опыление с/х культур против вредителей, полеты на местных почтовых линиях и пр.), а также был использован как санитарная грузовая машина по обслуживанию частей КА во время боев с финской белогвардейщиной.</w:t>
      </w:r>
    </w:p>
    <w:p w14:paraId="1B848F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Эксплуатационные качества, выявленные при этих полетах с полной очевидностью показывают, что в военное время самолет СХ-1 может быть использован в самых широких размерах для обслуживания частей КА. На нем можно производить доставку боеприпасов, питания, медикаментов и прочих грузов передовым и десантным частям; горючее и запчасти на полевые аэродромы, а также танковым и механизированным колоннам - бензин.</w:t>
      </w:r>
    </w:p>
    <w:p w14:paraId="4779FB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Наконец, этот самолет может быть использован, как массовый санитарный самолет для эвакуации раненных с передовых линий (три лежачих места и два для сидячих больных).</w:t>
      </w:r>
    </w:p>
    <w:p w14:paraId="2DB6F8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условиях работы гражданской авиации самолет СХ-1 заменит все имеющиеся типы легких сухопутных самолетов. Он приспособлен для борьбы с вредителями с/х и лесных растений, может быть использован на местных линиях, как грузовой и пассажирский самолет, а также как санитарно-носилочный для оказания скорой </w:t>
      </w:r>
      <w:r w:rsidRPr="00DB5D0D">
        <w:rPr>
          <w:rFonts w:ascii="Times New Roman" w:hAnsi="Times New Roman"/>
          <w:color w:val="000000" w:themeColor="text1"/>
          <w:sz w:val="16"/>
          <w:szCs w:val="16"/>
        </w:rPr>
        <w:lastRenderedPageBreak/>
        <w:t>медицинской помощи населению. Потолок этого самолета позволяет использовать его в высокогорных районах Средней Азии и Кавказа, где самолеты типа АП, СП - летать не могут.</w:t>
      </w:r>
    </w:p>
    <w:p w14:paraId="5F6CE1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СХ-1 смешанной конструкции чрезвычайно легок и дешев в производстве и ремонте и прост в эксплуатации (фюзеляж сварной металлический с полотняной обтяжкой, крылья деревянные также с полотняной обтяжкой).</w:t>
      </w:r>
    </w:p>
    <w:p w14:paraId="6F0A26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МГ-31, установленный на этом самолете, освоен промышленность и испытан на эксплуатации.</w:t>
      </w:r>
    </w:p>
    <w:p w14:paraId="738306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наличие мотора с такой мощностью даст возможность создать серию учебных переходных машин на боевые самолеты. На сегодня, из-за отсутствия моторов средних мощностей мы не имеем надежного одномоторного учебного самолета типа истребитель, на который можно было бы поставить основное вооружение современного истребителя и двухмоторного учебного самолета для перехода на скоростные бомбардировщики. Изготовляющийся, в настоящее время промышленностью лицензионный мотор МВ-6 (Рено), обладая меньшей мощностью, не обеспечит этих задач к тому же он дороже и сложнее в производстве и труднее в эксплуатации его на стандартных бензинах, выпускаемых для легкого парка, возможна только с присадкой свинцовой жидкости, в то время как мотор МГ-31 работает на любом авиабензине.</w:t>
      </w:r>
    </w:p>
    <w:p w14:paraId="049B02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Самолетов СХ-1 с мотором МГ-31 потребуется в военное время, по ориентировочному подсчету, не менее 1000 штук, это же количество может быть вполне использовано ГВФ в мирной обстановке.</w:t>
      </w:r>
    </w:p>
    <w:p w14:paraId="49BEC6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Просим Ваших указаний НКАП о серийном производстве самолетов и моторов этого типа (3400,1-3).</w:t>
      </w:r>
    </w:p>
    <w:p w14:paraId="36CE20B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C977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вышел приказ НКАП и НКСМ N 324/152с о передаче завода АТЭ-1 НКСМ в НКАП (1647,29).</w:t>
      </w:r>
    </w:p>
    <w:p w14:paraId="77FD289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60B92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вышел приказ НКАП N 337с о включении завода 161 в состав 4 ГУ (1647,29).</w:t>
      </w:r>
    </w:p>
    <w:p w14:paraId="450DBF9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B7BCA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по приказу № 337с завод № 161, основанный в 1934 г. в системе НК леса, передан в состав 4ГУ НКАП, началась организация производства и опытно-экспериментальной базы по авиационным свечам и магнето.</w:t>
      </w:r>
    </w:p>
    <w:p w14:paraId="170689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началом войны по приказу № 660сс от 9.07.1941 г. планировалось эвакуировать завод в Саратов на площадку завода № 306. Но затем по приказу № 1050сс от 8.10.1941 г. завод эвакуирован в Уфу на площадку строительства завода № 282 НКАП. С 03.1943 г. – освоение производства свечей с керамическими изоляторами. В начале 1950-х г.- в ведении 4ГУ.</w:t>
      </w:r>
    </w:p>
    <w:p w14:paraId="70C612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площадке эвакуированного завода в Москве в 11.1941 г. образован новый завод № 480 НКАП. По приказу № 13с от 6.01.1942 г. завод № 480 переведен на площадку бывшего завода № 294 НКАП, а все сооружения бывшего завода № 161 переданы в систему НКМВ в распоряжение 1-го завода САМ для производства ППШ.</w:t>
      </w:r>
    </w:p>
    <w:p w14:paraId="79B3DB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Позднее завод объединен с ОКБ в Уфимское научно-производственное предприятие (УНПП) «Молния». В 1990 г.- УАПКО «Молния» МАП.</w:t>
      </w:r>
    </w:p>
    <w:p w14:paraId="03EB57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2000 г.: производство электронных систем управления двигателями ЛА, систем электрозажигания авиационных и ракетных двигателей.</w:t>
      </w:r>
    </w:p>
    <w:p w14:paraId="769394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(07.1940-41 г.)- И.С. Доценко, (1941-03.1942 г.-)- М.Г. Масальский. (-05.1944-05.1946 г.-)- Д.П. Чувилкин.</w:t>
      </w:r>
    </w:p>
    <w:p w14:paraId="16A7B0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авиасвечи (ВОВ) ВГ-2, ВГ-12, ВГ-27, СВ-19, СВ-20; магнето ВСМ; приспособления и инструменты для магнето.</w:t>
      </w:r>
    </w:p>
    <w:p w14:paraId="3A1AB8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Завод № 161 НКАП, Уфимское НПП «Молния», УАПКО «Молния» МАП </w:t>
      </w:r>
    </w:p>
    <w:p w14:paraId="2E1DFF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Москва; г. Уфа ул. Сталина, 53 (1942 г.); ул. Аксакова, 93 (1947 г.)</w:t>
      </w:r>
    </w:p>
    <w:p w14:paraId="4FDDBA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 завода № 161 НКАП, ОКБ-161 МАП, Уфимское агрегатное КБ (УАКБ) "Молния", ФГУП «Уфимское научно-производственное предприятие (УНПП) «Молния»</w:t>
      </w:r>
    </w:p>
    <w:p w14:paraId="084B13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Москва, г. Уфа</w:t>
      </w:r>
    </w:p>
    <w:p w14:paraId="433FE8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450052 Башкортостан г. Уфа ул. Зенцова, 70; ул. Промышленная, 4 тел. 22-71-24</w:t>
      </w:r>
    </w:p>
    <w:p w14:paraId="05B76B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ОКБ образовано в 1940 г. на базе ОКО завода № 161 НКАП как самостоятельная организация. Разработка свечей и магнето для авиамоторов. </w:t>
      </w:r>
    </w:p>
    <w:p w14:paraId="68B579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 г. планировалось эвакуировать ОКБ вместе с заводом в Саратов на завод № 306 НКАП, но затем ОКБ эвакуировано в Уфу на отдельную площадку. Единственное в начале ВОВ ОКБ по авиасвечам.</w:t>
      </w:r>
    </w:p>
    <w:p w14:paraId="14FAB2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приказу № 1144с от 10.12.1941г на заводе № 161 организован ОКО по свечам. Из-за неудовлетворительной работы ОКБ по приказу № 788с от 19.10.1942 г. Воронков снят, назначен Чекунов. </w:t>
      </w:r>
    </w:p>
    <w:p w14:paraId="70ABF3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ВОВ- в 8ГУ МАП.</w:t>
      </w:r>
    </w:p>
    <w:p w14:paraId="0FB0A4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Созданы агрегаты системы зажигания для РД-012. Разработка систем управления двигателями (1993-94). </w:t>
      </w:r>
    </w:p>
    <w:p w14:paraId="069E86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(2002 г.): разработка свечей и агрегатов зажигания для ракетных и авиационных поршневых и ГТД, двигателей внутреннего сгорания; электронной аппаратуры для САУ ГТД; оптические пирометрические преобразователи и ионизационные датчики пламени; диагностические установки для нефтеперерабатывающих установок; бытовые автномные системы грячего водоснабжения.</w:t>
      </w:r>
    </w:p>
    <w:p w14:paraId="0AA1CD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Указу Президента РФ № 1009 от 4.08.2004 г. вошло в число стратегических оборонных предприятий. </w:t>
      </w:r>
    </w:p>
    <w:p w14:paraId="7C65DB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(2002 г.)- 520 чел.</w:t>
      </w:r>
    </w:p>
    <w:p w14:paraId="6AA5BE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(-1940 г.-)- Чижиков, (12.1941-10.1942 г.)- П.Ф. Воронков, (10.1942-03.1946 г.-)- Н.К. Чекунов, (-1998-2002 г.-)- Е.В. Распопов.49</w:t>
      </w:r>
    </w:p>
    <w:p w14:paraId="739724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конструктора (09.1940 г.-)- А.А. Смирнов.</w:t>
      </w:r>
    </w:p>
    <w:p w14:paraId="08615A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Гендиректор (-1998-2002 г.-)- Е.В. Распопов.</w:t>
      </w:r>
    </w:p>
    <w:p w14:paraId="19E781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опытного завода (2002 г.)- В.М. Камалов (10776).</w:t>
      </w:r>
    </w:p>
    <w:p w14:paraId="6166252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AB63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по приказу № 337с московский завод (Завод № 161 НКАП, МАП, Уфимский агрегатный завод, ФГУП, ОАО «Уфимское агрегатное ПО (УАПО)». /г. Москва; г. Уфа ул. Сталина, 53 (1942 г.); ул. Аксакова, 93 (1947 г.)/) передан в состав 4ГУ НКАП, началась организация производства и опытно-экспериментальной базы по авиационным свечам и магнето.</w:t>
      </w:r>
    </w:p>
    <w:p w14:paraId="180360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начала войны по приказу № 660сс от 9.07.1941 г. планировалось эвакуировать завод в Саратов на площадку завода № 306. Но затем по приказу № 1050сс от 8.10.1941 г. завод эвакуирован в Уфу на площадку строительства завода № 282 НКАП. С 03.1943 г. - освоение производства свечей с керамическими изоляторами. 11.04.1943 г. вышло постановление ГКО № 3161 о передаче оборудования на строительство завода № 161 НКАП.</w:t>
      </w:r>
    </w:p>
    <w:p w14:paraId="54A2C7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площадке эвакуированного завода в Москве в 11.1941 г. образован новый завод № 480 НКАП. По приказу № 13с от 6.01.1942 г. завод № 480 переведен на площадку бывшего завода № 294 НКАП, а все сооружения бывшего завода № 161 переданы в систему НКМВ в распоряжение 1-го завода САМ для производства ППП1.</w:t>
      </w:r>
    </w:p>
    <w:p w14:paraId="03CED3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1950-х  г. завод № 161 - в ведении 4ГУ. В соответствии с пост. СМ СССР № 713-342 от 26.06.1957 г. передан в ведение СНХ РСФСР.</w:t>
      </w:r>
    </w:p>
    <w:p w14:paraId="308751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Далее переименован в Уфимский агрегатный завод. Вероятно, в 1975 г. завод объединен с ОКБ в Уфимское научно-производственное предприятие (УНПП) «Молния». Далее - ФГУП, затем ОАО УАПО.</w:t>
      </w:r>
    </w:p>
    <w:p w14:paraId="52603F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2000 г.: производство электронных систем управления двигателями </w:t>
      </w:r>
      <w:r w:rsidRPr="00DB5D0D">
        <w:rPr>
          <w:rFonts w:ascii="Times New Roman" w:hAnsi="Times New Roman"/>
          <w:color w:val="000000" w:themeColor="text1"/>
          <w:sz w:val="16"/>
          <w:szCs w:val="16"/>
          <w:lang w:val="en-US"/>
        </w:rPr>
        <w:t>JIA</w:t>
      </w:r>
      <w:r w:rsidRPr="00DB5D0D">
        <w:rPr>
          <w:rFonts w:ascii="Times New Roman" w:hAnsi="Times New Roman"/>
          <w:color w:val="000000" w:themeColor="text1"/>
          <w:sz w:val="16"/>
          <w:szCs w:val="16"/>
        </w:rPr>
        <w:t>, систем электрозажигания авиационных и ракетных двигателей.</w:t>
      </w:r>
    </w:p>
    <w:p w14:paraId="517307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(07.1940-41 г.)- И.С. Доценко, (1941-03.1942 г.-)- М. Г. Масальский. (-05.1944-05.1946 г.-)- Д.П. Чувилкин.</w:t>
      </w:r>
    </w:p>
    <w:p w14:paraId="44FC15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авиасвечи (ВОВ) ВГ-2, ВГ-12, ВГ-27, СВ-19, СВ-20; магнето ВСМ; приспособления и инструменты для магнето.</w:t>
      </w:r>
    </w:p>
    <w:p w14:paraId="15D4B2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Уфимское НПП (УНПП) «Молния», УАПКО «Молния» МАП</w:t>
      </w:r>
    </w:p>
    <w:p w14:paraId="1BD642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Вероятно, в 1975 г. Уфимский агрегатный завод объединен с ОКБ в Уфимское научно-производственное предприятие (УНПП) «Молния». В 1990 г. - УАПКО «Молния» МАП (11982).</w:t>
      </w:r>
    </w:p>
    <w:p w14:paraId="05C7CAE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CC099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при образовании по приказу № 346с Опытного завода № 293 на базе мастерских «Фотолет», сюда было переведено ОКБ-2 завода № 84 НКАП гл. конструктора В.Ф. Болховитинова и продолжило работу как ОКБ-293.</w:t>
      </w:r>
    </w:p>
    <w:p w14:paraId="63D90D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Разработаны самолеты ДБ-А, «С», «БИ». В соответствии с постановлением ГКО от 08.1941 г. ОКБ поручалось создать ракетный истребитель БИ в месячный срок. Работы по «БИ» вела конструкторская группа под руководством А.Я. Березняка (планер) и А.М. Исаева (двигатель). После расформирования в 07.1941 г. ОКБ-207 по приказу № 792сс от 3/4.08.1941 г. сюда перешла (в группу «БИ») группа конструкторов во главе с Боровковым и Флоровым. Боровков в 1943 г. перешел на завод № 21. 17.10.1941 г. ОКБ эвакуировано вместе с заводом № 293 в г. Билимбай. Во время ВОВ в ОКБ-293 В.Ф. Болховитинова перевели ЭКБ-3 М.М. Бондарюка из НИИ ГВФ, оно подключилось к созданию ПВРД для «БИ». В 08.1941-04.1942 г. проводились работы по оборудованию Ер-2 ракетными стартовыми ускорителями, работы по установке мотора М-30 на ББ-С. По приказу № 149сс от 28.02.1944 г. ОКБ-293 вместе с ЭКБ-3 вошло в состав вновь образованного НИИ-1 НКАП (но Болховитинов до 1946 г. оставался гл. конструктором ОКБ). Флоров по приказу № 370сс от 30.05.1944 г. с 07.1944 г. назначен начальником сектора НИИ-1. Гл. конструктор (1940-46 г.)- В.Ф. Болховитинов (до этого- гл. конструктор ОКБ-2 завода № 84). Начальники бригад: механизмов (-1941-44 г.)- А.Я. Березняк; двигателей (-1941-44 г.)- А.М. Исаев. Работали: (1942 г.)- Росляков (испытания БИ) (10776).</w:t>
      </w:r>
    </w:p>
    <w:p w14:paraId="18EEE5F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FF904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в 7ГУ НКАП образован Опытный самолетостроительный завод № 293 (сначала- это опытный завод «Фотолет») по приказу № 346с от на базе мастерских «Фотолет» и ОКБ-2 завода № 84 НКАП.</w:t>
      </w:r>
    </w:p>
    <w:p w14:paraId="2F1E5A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конце 1940 г. на завод № 293 с завода № 84 НКАП переведен В.Ф. Болховитинов, где возглавил собственное КБ. </w:t>
      </w:r>
    </w:p>
    <w:p w14:paraId="3A8EDE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 заводе велась постройка опытных самолетов ОКБ Болховитинова.</w:t>
      </w:r>
    </w:p>
    <w:p w14:paraId="1606B8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1072сс от 15.10.1941 г. завод № 293 эвакуирован в пос. Билимбай (60 км от Свердловска) на площадку филиала завода № 468 НКАП (литейный завод).</w:t>
      </w:r>
    </w:p>
    <w:p w14:paraId="1AD02A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площадке эвакуированного завода в Химках в 1942 г. началось восстановление производства. По приказу № 239с от 30.03.1942 г. здесь образован Ремонтный завод в системе Главремуправления НКАП для ремонта трофейных самолетов. И.О. Директора А.И. Мамучашвили. Планировалось с 01.1942 г. наладить производство фюзеляжей «БИ».</w:t>
      </w:r>
    </w:p>
    <w:p w14:paraId="3EF113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постановлению ГОКО от 9.06.1942 г. и приказу № 433сс/ов от 11.06.1942 г. с Кировского завода на завод № 293 переведена группа А.М. Люльки (23 чел.) для продолжения работ по ТРД (на заводе- с 1.07.1942 г.). В 1943 г. Люлька переведен в ЦИАМ.СМ-3-4/97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w:t>
      </w:r>
    </w:p>
    <w:p w14:paraId="417CFE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Действовал деревообделочный филиал завода в дер. Новая Лужа Химкинского р-на. По приказу № 58с от 30.01.1943 г. филиал со всеми сооружениями передан заводу № 301. </w:t>
      </w:r>
    </w:p>
    <w:p w14:paraId="734ADC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149сс от 28.02.1944 г. завод № 293 вошел в состав НИИ-1 НКАП, а по приказу № 370сс от 30.05.1944 г. стал его филиалом № 1 (начальник (01.1946 г.)- Нейман, начальник КБ- А.Я. Березняк). Продолжены работы по «БИ». Здесь же работала группа (ОКО) А.М. Исаева по ЖРД.</w:t>
      </w:r>
    </w:p>
    <w:p w14:paraId="19EC72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СМ № 1145-471сс от 31.05.1946 г. (о развитии работ по реактивной технике) и приказами № 361сс от 7.06.1946 г. и № 373с от 14.06.1946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1EF34F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1.05.1948 г. завод передан из 7ГУ в 14ГУ. </w:t>
      </w:r>
    </w:p>
    <w:p w14:paraId="773D0D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1.04.1953 г. завод № 293 передан в подчинение КБ-1 ТГУ СМ (по приказу МАП № 229сс от 21.02.1953 г.) как опытная база. </w:t>
      </w:r>
    </w:p>
    <w:p w14:paraId="7C4495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начала 1954 г. преобразован в опытную базу ОКБ-2 МАП П.Д. Грушина (с этого времени перестало существовать название "завод № 293").</w:t>
      </w:r>
    </w:p>
    <w:p w14:paraId="6E387A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Работали: (-10.1940 г.)- И.А. Иванов (нач. сборочного цеха; затем- директор завода № 450), (09.1942 г.)- В.П. Мишин (ст. инженер по вооружению).</w:t>
      </w:r>
    </w:p>
    <w:p w14:paraId="07C3D6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(1940-44 г.)- В.Ф. Болховитинов, (1946-53 г.)- М.Р. Бисноват, (03.1952 г.)- Ф.П. Герасимов.</w:t>
      </w:r>
    </w:p>
    <w:p w14:paraId="7F0649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(1940-44 г.)- В.Ф. Болховитинов, (1946-53 г.)- М.Р. Бисноват.</w:t>
      </w:r>
    </w:p>
    <w:p w14:paraId="2F4254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директора: по производству (09.1940 г.-)- А.И. Мамучашвили; по «БИ» (09.1942 г.)- И.Ф. Флоров; (06.1946 г.-)- В.Н. Елагин.</w:t>
      </w:r>
    </w:p>
    <w:p w14:paraId="1EA86F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конструктора по «БИ» (09.1942 г.)- И.Ф. Флоров.</w:t>
      </w:r>
    </w:p>
    <w:p w14:paraId="3EC3B8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(03.1941 г.-)- Л.А. Кац.</w:t>
      </w:r>
    </w:p>
    <w:p w14:paraId="757DFE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293 НКАП, МАП, опытный завод «Фотолет»</w:t>
      </w:r>
    </w:p>
    <w:p w14:paraId="7DAC7C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Химки Московской обл.; пос. Билимбай Свердловской обл.; г. Химки/</w:t>
      </w:r>
    </w:p>
    <w:p w14:paraId="5D3576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ОКБ-293 НКАП гл. конструктора В.Ф. Болховитинова</w:t>
      </w:r>
    </w:p>
    <w:p w14:paraId="67030F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Химки Московской обл.; г. Билимбай Свердловской обл.</w:t>
      </w:r>
    </w:p>
    <w:p w14:paraId="7B6693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образовании по приказу № 346с от 10.07.1940 г. Опытного завода № 293 на базе мастерских «Фотолет», сюда было переведено ОКБ-2 завода № 84 НКАП гл. конструктора В.Ф. Болховитинова и продолжило работу как ОКБ-293.</w:t>
      </w:r>
    </w:p>
    <w:p w14:paraId="29249F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Разработаны самолеты ДБ-А, «С», «БИ». </w:t>
      </w:r>
    </w:p>
    <w:p w14:paraId="7CF4F3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соответствии с постановлением ГКО от 08.1941 г. ОКБ поручалось создать ракетный истребитель БИ в месячный срок. Работы по «БИ» вела конструкторская группа под руководством А.Я. Березняка (планер) и А.М. Исаева (двигатель). После расформирования в 07.1941 г. ОКБ-207 по приказу № 792сс от 3/4.08.1941 г. сюда перешла (в группу «БИ») группа конструкторов во главе с Боровковым и Флоровым. Боровков в 1943 г. перешел на завод № 21. </w:t>
      </w:r>
    </w:p>
    <w:p w14:paraId="5C3260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17.10.1941 г. ОКБ эвакуировано вместе с заводом № 293 в г. Билимбай. </w:t>
      </w:r>
    </w:p>
    <w:p w14:paraId="139A6A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время ВОВ в ОКБ-293 В.Ф. Болховитинова перевели ЭКБ-3 М.М. Бондарюка из НИИ ГВФ, оно подключилось к созданию ПВРД для «БИ». </w:t>
      </w:r>
    </w:p>
    <w:p w14:paraId="25E40E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08.1941-04.1942 г. проводились работы по оборудованию Ер-2 ракетными стартовыми ускорителями, работы по установке мотора М-30 на ББ-С.</w:t>
      </w:r>
    </w:p>
    <w:p w14:paraId="391110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149сс от 28.02.1944 г. ОКБ-293 вместе с ЭКБ-3 вошло в состав вновь образованного НИИ-1 НКАП (но Болховитинов до 1946 г. оставался гл. конструктором ОКБ). Флоров по приказу № 370сс от 30.05.1944 г. с 07.1944 г. назначен начальником сектора НИИ-1.</w:t>
      </w:r>
    </w:p>
    <w:p w14:paraId="5EB3B1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(1940-46 г.)- В.Ф. Болховитинов (до этого- гл. конструктор ОКБ-2 завода № 84).</w:t>
      </w:r>
    </w:p>
    <w:p w14:paraId="2EB53C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Начальники бригад: механизмов (-1941-44 г.)- А.Я. Березняк; двигателей (-1941-44 г.)- А.М. Исаев.</w:t>
      </w:r>
    </w:p>
    <w:p w14:paraId="79CF98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Работали: (1942 г.)- Росляков (испытания БИ).</w:t>
      </w:r>
    </w:p>
    <w:p w14:paraId="2C2D49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 завода № 293 МАП, ОКБ-293 МАП гл. конструктора М.Р. Бисновата</w:t>
      </w:r>
    </w:p>
    <w:p w14:paraId="606A80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Химки Московской обл.</w:t>
      </w:r>
    </w:p>
    <w:p w14:paraId="70C731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Специальное ОКБ образовано в соответствии с постановлением СМ № 1145-471сс от 31.05.1946 г. и приказом № 361сс от 7.06.1946 г. в системе 7ГУ МАП вместе с образованием завода № 293. </w:t>
      </w:r>
    </w:p>
    <w:p w14:paraId="24AFC2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Работы по исследованию транс- и сверхзвуковых скоростей на летающих моделях ЛМ-6, ЛМ-9, ЛМ-15 (1946-48 г.). Спроектирован и построен экспериментальный самолет «5» (1947 г.). </w:t>
      </w:r>
    </w:p>
    <w:p w14:paraId="05CDA7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1948 г. ОКБ перепрофилировано на создание реактивного управляемого вооружения, в связи с чем передано из 7ГУ в 14ГУ МАП. Разработка УРВП, УРВВ (на вооружение ни один образец не принят). В 1948-53 г. работы по самолету-снаряду «Шторм». В 1950-51 г. проведены летные испытания пилотируемого аналога «Шторма» Р-1 с носителем Пе-8. В начале 1950-х г. создана и испытана беспилотная летающая модель ЛМ-15 с ПВРД РД-550.</w:t>
      </w:r>
    </w:p>
    <w:p w14:paraId="3DA905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СМ № 533-271сс от 19.02.1953 г. ОКБ ликвидировано, все работы в 03.1953 г. прекращены. По приказу № 229сс от 21.02.1953 г. ОКБ вместе с заводом со всеми площадями и заделом с 1.04.1953 г. переданы КБ-1 ТГУ СМ в качестве производственной базы, основная группа конструкторов во главе с зам. гл. конструктора И.И. Дракиным влилась в состав отдела № 32 КБ-1.</w:t>
      </w:r>
    </w:p>
    <w:p w14:paraId="18536B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Летом 1953 г. планировалось возобновить работы в прежнем составе на заводе № 293 под руководством Бисновата, но это не было осуществлено. Конструкторская группа М.Р. Бисновата в 1953-54 г. работала в Люберцах в ПКПК по изготовлению наземной аэродромной техники.</w:t>
      </w:r>
    </w:p>
    <w:p w14:paraId="53414A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(1946-53 г.)- М.Р. Бисноват.</w:t>
      </w:r>
    </w:p>
    <w:p w14:paraId="0ADB5E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конструктора (06.1946 г.-)- В.Н. Елагин, (1946-53 г.)- И.И. Дракин.</w:t>
      </w:r>
    </w:p>
    <w:p w14:paraId="1CC97F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Работали: И.И. Архангельский, Е.С. Иоффинов.</w:t>
      </w:r>
    </w:p>
    <w:p w14:paraId="79313D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Создано: УРВВ СНАРС-250 («250», тема И-64); ПКР «15ХН» «Шторм» (10776).</w:t>
      </w:r>
    </w:p>
    <w:p w14:paraId="7114B35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317A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по приказу № 346с в 7ГУ НКАП на базе мастерских «Фотолет» и ОКБ-2 завода № 84 НКАП был образован Опытный самолетостроительный завод № 293 (сначала- это опытный завод «Фотолет») (Завод № 293 НКАП, МАП, Опытный завод «Фотолет» /г. Химки Московской обл.; пос. Билимбай Свердловской обл.;  г. Химки/).</w:t>
      </w:r>
    </w:p>
    <w:p w14:paraId="7F2DF0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1940 г. на завод № 293 с завода № 84 НКАП переведен В.Ф. Болховитинов, где возглавил собственное КБ.</w:t>
      </w:r>
    </w:p>
    <w:p w14:paraId="207DD8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велась постройка опытных самолетов ОКБ Болховитинова.</w:t>
      </w:r>
    </w:p>
    <w:p w14:paraId="16E0CF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1072сс от 15.10.1941 г. завод № 293 эвакуирован в пос. Билимбай (60 км от Свердловска) на площадку филиала завода № 468 НКАП (литейный завод).</w:t>
      </w:r>
    </w:p>
    <w:p w14:paraId="4978E8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площадке эвакуированного завода в Химках в 1942 г. началось восстановление производства. По приказу № 239с от 30.03.1942 г. здесь образован Ремонтный завод в системе Главремуправления НКАП для ремонта трофейных самолетов. И.О. Директора А.И. Мамучашвили. Планировалось с 01.1942 г. наладить производство фюзеляжей «БИ».</w:t>
      </w:r>
    </w:p>
    <w:p w14:paraId="3E7030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постановлению ГКО от 9.06.1942 г. и приказу № 433сс/ов от 11.06.1942 г. с Кировского завода на завод № 293 переведена группа </w:t>
      </w:r>
      <w:r w:rsidRPr="00DB5D0D">
        <w:rPr>
          <w:rFonts w:ascii="Times New Roman" w:hAnsi="Times New Roman"/>
          <w:color w:val="000000" w:themeColor="text1"/>
          <w:sz w:val="16"/>
          <w:szCs w:val="16"/>
          <w:lang w:val="en-US"/>
        </w:rPr>
        <w:t>A</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M</w:t>
      </w:r>
      <w:r w:rsidRPr="00DB5D0D">
        <w:rPr>
          <w:rFonts w:ascii="Times New Roman" w:hAnsi="Times New Roman"/>
          <w:color w:val="000000" w:themeColor="text1"/>
          <w:sz w:val="16"/>
          <w:szCs w:val="16"/>
        </w:rPr>
        <w:t>. Люльки (23 чел.) для продолжения работ по ТРД (на заводе- с 1.07.1942 г.). В 1943 г. Люлька переведен в ЦИАМ.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w:t>
      </w:r>
    </w:p>
    <w:p w14:paraId="70F099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Действовал деревообделочный филиал завода в дер. Новая Лужа Химкинского р-на. По приказу № 58с от 30.01.1943 г. филиал со всеми сооружениями передан заводу № 301.</w:t>
      </w:r>
    </w:p>
    <w:p w14:paraId="5933F2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21.06.1943 г. на заводе образован опытный отдел (ОКО) </w:t>
      </w:r>
      <w:r w:rsidRPr="00DB5D0D">
        <w:rPr>
          <w:rFonts w:ascii="Times New Roman" w:hAnsi="Times New Roman"/>
          <w:color w:val="000000" w:themeColor="text1"/>
          <w:sz w:val="16"/>
          <w:szCs w:val="16"/>
          <w:lang w:val="en-US"/>
        </w:rPr>
        <w:t>A</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M</w:t>
      </w:r>
      <w:r w:rsidRPr="00DB5D0D">
        <w:rPr>
          <w:rFonts w:ascii="Times New Roman" w:hAnsi="Times New Roman"/>
          <w:color w:val="000000" w:themeColor="text1"/>
          <w:sz w:val="16"/>
          <w:szCs w:val="16"/>
        </w:rPr>
        <w:t>. Исаева по ЖРД.</w:t>
      </w:r>
    </w:p>
    <w:p w14:paraId="38D814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149сс от 28.02.1944 г. завод № 293 вошел в состав НИИ-1 НКАП, а по приказу № 370сс от 30.05.1944 г. стал его филиалом № 1 (начальник (01.1946 г.)- Нейман, начальник КБ- А.Я. Березняк). Продолжены работы по «БИ».</w:t>
      </w:r>
    </w:p>
    <w:p w14:paraId="54A155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соответствии с пост. СМ № 1145-471сс от 31.05.1946 г. (о развитии работ по реактивной технике) и приказами № 361сс от 7.06.1946 г. и № 373с от 14.06.1946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В 10.1946 г. отдел </w:t>
      </w:r>
      <w:r w:rsidRPr="00DB5D0D">
        <w:rPr>
          <w:rFonts w:ascii="Times New Roman" w:hAnsi="Times New Roman"/>
          <w:color w:val="000000" w:themeColor="text1"/>
          <w:sz w:val="16"/>
          <w:szCs w:val="16"/>
          <w:lang w:val="en-US"/>
        </w:rPr>
        <w:t>A</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M</w:t>
      </w:r>
      <w:r w:rsidRPr="00DB5D0D">
        <w:rPr>
          <w:rFonts w:ascii="Times New Roman" w:hAnsi="Times New Roman"/>
          <w:color w:val="000000" w:themeColor="text1"/>
          <w:sz w:val="16"/>
          <w:szCs w:val="16"/>
        </w:rPr>
        <w:t>. Исаева переведен на основную территорию НИИ-1. Березняк в 12.1946 г. назначен зам. гл. конструктора ОКБ-2 завода № 1 МАП.</w:t>
      </w:r>
    </w:p>
    <w:p w14:paraId="4C4AC5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1.05.1948 г. завод передан из 7ГУ в 14ГУ. 1.04.1953 г. завод № 293 передан в подчинение КБ-1 ТГУ СМ (по приказу МАП № 229сс от 21.02.1953 г.) как опытная база.</w:t>
      </w:r>
    </w:p>
    <w:p w14:paraId="6B8B61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 начала 1954 г. преобразован в опытную базу ОКБ-2 МАП П.Д. Грушина (с этого времени перестало существовать название «завод № 293»).</w:t>
      </w:r>
    </w:p>
    <w:p w14:paraId="5D3348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(1940-44 г.)- В.Ф. Болховитинов, (1946-53 г.)- М.Р. Бисноват, (03.1952 г.)- Ф.П. Герасимов.</w:t>
      </w:r>
    </w:p>
    <w:p w14:paraId="137A6A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(1940-44 г.)- В.Ф. Болховитинов, (1946-53 г.)- М.Р. Бисноват.</w:t>
      </w:r>
    </w:p>
    <w:p w14:paraId="5A445E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директора: по производству (09.1940 г.-)- А.И. Мамучашвили; по «БИ» (09.1942 г.)- И.Ф. Флоров; (06.1946 г.-)- В.Н. Елагин.</w:t>
      </w:r>
    </w:p>
    <w:p w14:paraId="0BFA85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конструктора по «БИ» (09.1942 г.)- И.Ф. Флоров.</w:t>
      </w:r>
    </w:p>
    <w:p w14:paraId="24EF1C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(03.1941 г.-&gt; Л.А. Кац.</w:t>
      </w:r>
    </w:p>
    <w:p w14:paraId="042515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Начальники цехов: сборочного (-10.1940 г.)- И.А. Иванов (11982).</w:t>
      </w:r>
    </w:p>
    <w:p w14:paraId="1DB57490"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554575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по приказу № 346с при образовании Опытного завода № 293 (Завод № 293 НКАП, МАП, Опытный завод «Фотолет» /г. Химки Московской обл.; пос. Билимбай Свердловской обл.;  г. Химки/) на базе мастерских «Фотолет», сюда было переведено ОКБ-2 завода № 84 НКАП гл. конструктора В.Ф. Болховитинова и продолжило работу как ОКБ-293.</w:t>
      </w:r>
    </w:p>
    <w:p w14:paraId="64AF25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Разработаны самолеты ДБ-А, «С», «БИ».</w:t>
      </w:r>
    </w:p>
    <w:p w14:paraId="2E486E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соответствии с пост. ГКО от 08.1941 г. ОКБ поручалось создать ракетный истребитель БИ в месячный срок, первый полет БИ-1 выполнил 15.05.1942 г. Работы по «БИ» вела конструкторская группа под руководством А.Я. Березняка (планер) и </w:t>
      </w:r>
      <w:r w:rsidRPr="00DB5D0D">
        <w:rPr>
          <w:rFonts w:ascii="Times New Roman" w:hAnsi="Times New Roman"/>
          <w:color w:val="000000" w:themeColor="text1"/>
          <w:sz w:val="16"/>
          <w:szCs w:val="16"/>
          <w:lang w:val="en-US"/>
        </w:rPr>
        <w:t>A</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M</w:t>
      </w:r>
      <w:r w:rsidRPr="00DB5D0D">
        <w:rPr>
          <w:rFonts w:ascii="Times New Roman" w:hAnsi="Times New Roman"/>
          <w:color w:val="000000" w:themeColor="text1"/>
          <w:sz w:val="16"/>
          <w:szCs w:val="16"/>
        </w:rPr>
        <w:t>. Исаева (двигатель). После расформирования в 07.1941 г. ОКБ-207 по приказу № 792сс от 3/4.08.1941 г. сюда перешла (в группу «БИ») группа конструкторов во главе с Боровковым и Флоровым. Боровков в 1943 г. перешел на завод № 21.</w:t>
      </w:r>
    </w:p>
    <w:p w14:paraId="2BCBA0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17.10.1941 г. ОКБ эвакуировано вместе с заводом № 293 в  г. Билимбай.</w:t>
      </w:r>
    </w:p>
    <w:p w14:paraId="3DC995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ВОВ в ОКБ-293 перевели ЭКБ-3 М.М. Бондарюка из НИИ ГВФ, оно подключилось к созданию ПВРДдля«БИ».</w:t>
      </w:r>
    </w:p>
    <w:p w14:paraId="796A05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08.1941-04.1942 г. проводились работы по оборудованию Ер-2 ракетными стартовыми ускорителями, работы по установке мотора М-30 на ББ-С.</w:t>
      </w:r>
    </w:p>
    <w:p w14:paraId="735742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9.06.1942 г. вышло постановление ГКО № 1903 о постройке войсковой серии и модификации перехватчика самолета «БИ».</w:t>
      </w:r>
    </w:p>
    <w:p w14:paraId="759C77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составе ОКБ (1943 г.)- КБ-Д. Во время эвакуации в состав ОКБ вошла группа конструктора </w:t>
      </w:r>
      <w:r w:rsidRPr="00DB5D0D">
        <w:rPr>
          <w:rFonts w:ascii="Times New Roman" w:hAnsi="Times New Roman"/>
          <w:color w:val="000000" w:themeColor="text1"/>
          <w:sz w:val="16"/>
          <w:szCs w:val="16"/>
          <w:lang w:val="en-US"/>
        </w:rPr>
        <w:t>A</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M</w:t>
      </w:r>
      <w:r w:rsidRPr="00DB5D0D">
        <w:rPr>
          <w:rFonts w:ascii="Times New Roman" w:hAnsi="Times New Roman"/>
          <w:color w:val="000000" w:themeColor="text1"/>
          <w:sz w:val="16"/>
          <w:szCs w:val="16"/>
        </w:rPr>
        <w:t>. Люльки, находившаяся в эвакуации в Свердловске. В 1943 г. ОКБ-293 перебазировано в Москву. Там вскоре Люлька переведен в ЦИАМ.</w:t>
      </w:r>
      <w:r w:rsidRPr="00DB5D0D">
        <w:rPr>
          <w:rFonts w:ascii="Times New Roman" w:hAnsi="Times New Roman"/>
          <w:color w:val="000000" w:themeColor="text1"/>
          <w:sz w:val="16"/>
          <w:szCs w:val="16"/>
          <w:vertAlign w:val="superscript"/>
        </w:rPr>
        <w:t>140</w:t>
      </w:r>
    </w:p>
    <w:p w14:paraId="0E9BF8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149сс от 28.02.1944 г. ОКБ-293 вместе с ЭКБ-3 вошло в состав вновь образованного НИИ-1 НКАП (но Болховитинов до 1946 г. оставался гл. конструктором ОКБ). Флоров по приказу № 370сс от 30.05.1944 г. с 07.1944 г. назначен начальником сектора НИИ-1.</w:t>
      </w:r>
    </w:p>
    <w:p w14:paraId="10A9D4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(1940-46 г.)- В.Ф. Болховитинов.</w:t>
      </w:r>
    </w:p>
    <w:p w14:paraId="5E38A7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Начальники бригад: механизмов (-1941-44 г.)- А.Я. Березняк; двигателей (-1941-44 г.)- </w:t>
      </w:r>
      <w:r w:rsidRPr="00DB5D0D">
        <w:rPr>
          <w:rFonts w:ascii="Times New Roman" w:hAnsi="Times New Roman"/>
          <w:color w:val="000000" w:themeColor="text1"/>
          <w:sz w:val="16"/>
          <w:szCs w:val="16"/>
          <w:lang w:val="en-US"/>
        </w:rPr>
        <w:t>A</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M</w:t>
      </w:r>
      <w:r w:rsidRPr="00DB5D0D">
        <w:rPr>
          <w:rFonts w:ascii="Times New Roman" w:hAnsi="Times New Roman"/>
          <w:color w:val="000000" w:themeColor="text1"/>
          <w:sz w:val="16"/>
          <w:szCs w:val="16"/>
        </w:rPr>
        <w:t>. Исаев.</w:t>
      </w:r>
    </w:p>
    <w:p w14:paraId="3E7BDC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Зам. технического руководителя КБ-Д (4.02.1943 г.-)- </w:t>
      </w:r>
      <w:r w:rsidRPr="00DB5D0D">
        <w:rPr>
          <w:rFonts w:ascii="Times New Roman" w:hAnsi="Times New Roman"/>
          <w:color w:val="000000" w:themeColor="text1"/>
          <w:sz w:val="16"/>
          <w:szCs w:val="16"/>
          <w:lang w:val="en-US"/>
        </w:rPr>
        <w:t>A</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M</w:t>
      </w:r>
      <w:r w:rsidRPr="00DB5D0D">
        <w:rPr>
          <w:rFonts w:ascii="Times New Roman" w:hAnsi="Times New Roman"/>
          <w:color w:val="000000" w:themeColor="text1"/>
          <w:sz w:val="16"/>
          <w:szCs w:val="16"/>
        </w:rPr>
        <w:t>. Исаев (11982).</w:t>
      </w:r>
    </w:p>
    <w:p w14:paraId="30D987F7"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46B1BCBC"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июля 1940 вышло Постановление Комитета обороны при СНК СССР "О финансировании опытного авиамоторостроения на 1940 г." (21941).</w:t>
      </w:r>
    </w:p>
    <w:p w14:paraId="2BA24C98" w14:textId="77777777" w:rsidR="00D154B3" w:rsidRPr="00DB5D0D" w:rsidRDefault="00D154B3" w:rsidP="00DB5D0D">
      <w:pPr>
        <w:spacing w:after="0" w:line="240" w:lineRule="auto"/>
        <w:jc w:val="both"/>
        <w:rPr>
          <w:rFonts w:ascii="Times New Roman" w:hAnsi="Times New Roman"/>
          <w:color w:val="0070C0"/>
          <w:sz w:val="16"/>
          <w:szCs w:val="16"/>
        </w:rPr>
      </w:pPr>
    </w:p>
    <w:p w14:paraId="0C6123F6"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июля 1940 была Докладная записка наркома обороны СССР С. К. Тимошенко И. В. Сталину, председателю СНК СССР В. М. Молотову, председателю Комитета обороны при СНК СССР К. Е. Ворошилову о проекте постановления Комитета обороны по усилению крупнокалиберного стрелкового, пушечного и реактивного вооружения ВВС Красной армии с приложением проекта постановления</w:t>
      </w:r>
    </w:p>
    <w:p w14:paraId="05AD4573"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Представляю проект постановления Комитета Оборо</w:t>
      </w:r>
      <w:r w:rsidRPr="00DB5D0D">
        <w:rPr>
          <w:rFonts w:ascii="Times New Roman" w:hAnsi="Times New Roman"/>
          <w:color w:val="0070C0"/>
          <w:sz w:val="16"/>
          <w:szCs w:val="16"/>
        </w:rPr>
        <w:softHyphen/>
        <w:t>ны по усилению крупно-калиберного, пушечного и реактив</w:t>
      </w:r>
      <w:r w:rsidRPr="00DB5D0D">
        <w:rPr>
          <w:rFonts w:ascii="Times New Roman" w:hAnsi="Times New Roman"/>
          <w:color w:val="0070C0"/>
          <w:sz w:val="16"/>
          <w:szCs w:val="16"/>
        </w:rPr>
        <w:softHyphen/>
        <w:t>ного вооружения Военных Воздушных Сил Красной Армии.</w:t>
      </w:r>
    </w:p>
    <w:p w14:paraId="634DFF47"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этом постановлении намечается внедрение оружия таких калибров, которые были бы действительны по тан</w:t>
      </w:r>
      <w:r w:rsidRPr="00DB5D0D">
        <w:rPr>
          <w:rFonts w:ascii="Times New Roman" w:hAnsi="Times New Roman"/>
          <w:color w:val="0070C0"/>
          <w:sz w:val="16"/>
          <w:szCs w:val="16"/>
        </w:rPr>
        <w:softHyphen/>
        <w:t>кам с броней 40-50 мы., по бронепоездам, моторизован</w:t>
      </w:r>
      <w:r w:rsidRPr="00DB5D0D">
        <w:rPr>
          <w:rFonts w:ascii="Times New Roman" w:hAnsi="Times New Roman"/>
          <w:color w:val="0070C0"/>
          <w:sz w:val="16"/>
          <w:szCs w:val="16"/>
        </w:rPr>
        <w:softHyphen/>
        <w:t>ной пехоте, артиллерии и современным бомбардировщикам противника:</w:t>
      </w:r>
    </w:p>
    <w:p w14:paraId="424730F7"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Крупно-калиберный пулемет 12,7 им. Системы БЕРЕЗИНА. Этот пулемет очень плохо идет в валовом производстве и по существу выполнение Постановлений</w:t>
      </w:r>
    </w:p>
    <w:p w14:paraId="402E5C55"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Комитета Обороны срывается. / Постановления № 87сс от 13.4.39 г., № 240сс от 29.7.39, № 238сс от 13.8.39 и № 23сс от II.1.40 г.</w:t>
      </w:r>
    </w:p>
    <w:p w14:paraId="4D98F23C"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Согласно этих постановлений, Военные Воздушные Силы должны были получить за~1Р39 и 1940 г.г. следую</w:t>
      </w:r>
      <w:r w:rsidRPr="00DB5D0D">
        <w:rPr>
          <w:rFonts w:ascii="Times New Roman" w:hAnsi="Times New Roman"/>
          <w:color w:val="0070C0"/>
          <w:sz w:val="16"/>
          <w:szCs w:val="16"/>
        </w:rPr>
        <w:softHyphen/>
        <w:t>щее количество самолетов, вооруженных пулеметами ка</w:t>
      </w:r>
      <w:r w:rsidRPr="00DB5D0D">
        <w:rPr>
          <w:rFonts w:ascii="Times New Roman" w:hAnsi="Times New Roman"/>
          <w:color w:val="0070C0"/>
          <w:sz w:val="16"/>
          <w:szCs w:val="16"/>
        </w:rPr>
        <w:softHyphen/>
        <w:t xml:space="preserve">либра 12,7 мм.: </w:t>
      </w:r>
      <w:r w:rsidRPr="00DB5D0D">
        <w:rPr>
          <w:rFonts w:ascii="Times New Roman" w:hAnsi="Times New Roman"/>
          <w:color w:val="0070C0"/>
          <w:sz w:val="16"/>
          <w:szCs w:val="16"/>
        </w:rPr>
        <w:tab/>
        <w:t>И-153</w:t>
      </w:r>
      <w:r w:rsidRPr="00DB5D0D">
        <w:rPr>
          <w:rFonts w:ascii="Times New Roman" w:hAnsi="Times New Roman"/>
          <w:color w:val="0070C0"/>
          <w:sz w:val="16"/>
          <w:szCs w:val="16"/>
        </w:rPr>
        <w:tab/>
        <w:t>- 600 самолетов</w:t>
      </w:r>
    </w:p>
    <w:p w14:paraId="7F91BAF7"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И—16</w:t>
      </w:r>
      <w:r w:rsidRPr="00DB5D0D">
        <w:rPr>
          <w:rFonts w:ascii="Times New Roman" w:hAnsi="Times New Roman"/>
          <w:color w:val="0070C0"/>
          <w:sz w:val="16"/>
          <w:szCs w:val="16"/>
        </w:rPr>
        <w:tab/>
        <w:t>- 500 самолетов.</w:t>
      </w:r>
    </w:p>
    <w:p w14:paraId="14BE8766"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Всего промышленностью за 1939 и 1940 г.г. выпуще</w:t>
      </w:r>
      <w:r w:rsidRPr="00DB5D0D">
        <w:rPr>
          <w:rFonts w:ascii="Times New Roman" w:hAnsi="Times New Roman"/>
          <w:color w:val="0070C0"/>
          <w:sz w:val="16"/>
          <w:szCs w:val="16"/>
        </w:rPr>
        <w:softHyphen/>
        <w:t>но только 368 пулеметов калибра 12,7 м.м. При этом на авиационные заводы передано 244 пулемета; однако, части ВВС получили только 2 самолета И-153 с крупнокали</w:t>
      </w:r>
      <w:r w:rsidRPr="00DB5D0D">
        <w:rPr>
          <w:rFonts w:ascii="Times New Roman" w:hAnsi="Times New Roman"/>
          <w:color w:val="0070C0"/>
          <w:sz w:val="16"/>
          <w:szCs w:val="16"/>
        </w:rPr>
        <w:softHyphen/>
        <w:t>берными пулеметами.</w:t>
      </w:r>
    </w:p>
    <w:p w14:paraId="6C5D1CA8"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Всего промышленностью за 1939 и 1940 г.г. выпуще</w:t>
      </w:r>
      <w:r w:rsidRPr="00DB5D0D">
        <w:rPr>
          <w:rFonts w:ascii="Times New Roman" w:hAnsi="Times New Roman"/>
          <w:color w:val="0070C0"/>
          <w:sz w:val="16"/>
          <w:szCs w:val="16"/>
        </w:rPr>
        <w:softHyphen/>
        <w:t>но только 368 пулеметов калибра 12,7 м.м. При этом на авиационные заводы передано 244 пулемета; однако, час</w:t>
      </w:r>
    </w:p>
    <w:p w14:paraId="4B21599C"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Хуже всего обстоит вопрос с производством разрыв</w:t>
      </w:r>
      <w:r w:rsidRPr="00DB5D0D">
        <w:rPr>
          <w:rFonts w:ascii="Times New Roman" w:hAnsi="Times New Roman"/>
          <w:color w:val="0070C0"/>
          <w:sz w:val="16"/>
          <w:szCs w:val="16"/>
        </w:rPr>
        <w:softHyphen/>
        <w:t>ной 12,7 мм. пули МД. Эта пуля повышает мощность 12,7 мм пулемета БЕРЕЗИНА и по разрушительности дает эффект близкий эффекту снаряда 20 м.м. пушки ШВАК. Так например, по дюралевой плоскости 12,7 мм. пуля МД дает пробоину 25 см. х 23 см., а 20 им. снаряд пупки ШВАК дает пробоину 30 см. х 25 см. Тем не менее про</w:t>
      </w:r>
      <w:r w:rsidRPr="00DB5D0D">
        <w:rPr>
          <w:rFonts w:ascii="Times New Roman" w:hAnsi="Times New Roman"/>
          <w:color w:val="0070C0"/>
          <w:sz w:val="16"/>
          <w:szCs w:val="16"/>
        </w:rPr>
        <w:softHyphen/>
        <w:t>изводство пуль МД в 1940 г. ничтожно мало - 100.000 шт. Мер к расширению ее производства не принимается.</w:t>
      </w:r>
    </w:p>
    <w:p w14:paraId="597783D2"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Виновниками невыполнения Постановлений Комитета Ооороны являются Народный Комиссариат Вооружения и Народный комиссариат авиапромышленности.</w:t>
      </w:r>
    </w:p>
    <w:p w14:paraId="5908FA6F"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Проект постановления обязызает НКАП и Н.К. Вооружения, начиная со второго полугодия 1940 г. все истребительные самолеты выпускать с крупнокалиберными пулеметами БЕРЕЗИНА.</w:t>
      </w:r>
    </w:p>
    <w:p w14:paraId="487C6AC9"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Сконструированная ТАУБИНЫМ и БАБУРИНЫМ 23 ми. авиационная пушка прошла заводские и полигонные испытания. Ее разрушительное действие значительно превосхо</w:t>
      </w:r>
      <w:r w:rsidRPr="00DB5D0D">
        <w:rPr>
          <w:rFonts w:ascii="Times New Roman" w:hAnsi="Times New Roman"/>
          <w:color w:val="0070C0"/>
          <w:sz w:val="16"/>
          <w:szCs w:val="16"/>
        </w:rPr>
        <w:softHyphen/>
        <w:t>дит действие наших и заграничных 20 м.м. пушек. Основ</w:t>
      </w:r>
      <w:r w:rsidRPr="00DB5D0D">
        <w:rPr>
          <w:rFonts w:ascii="Times New Roman" w:hAnsi="Times New Roman"/>
          <w:color w:val="0070C0"/>
          <w:sz w:val="16"/>
          <w:szCs w:val="16"/>
        </w:rPr>
        <w:softHyphen/>
        <w:t>ные показатели 23 мм. пушки ТАУБИНА и Б АБУРИНА, в сравне</w:t>
      </w:r>
      <w:r w:rsidRPr="00DB5D0D">
        <w:rPr>
          <w:rFonts w:ascii="Times New Roman" w:hAnsi="Times New Roman"/>
          <w:color w:val="0070C0"/>
          <w:sz w:val="16"/>
          <w:szCs w:val="16"/>
        </w:rPr>
        <w:softHyphen/>
        <w:t>нии с 20 мм. пушкой, следующие:</w:t>
      </w:r>
    </w:p>
    <w:tbl>
      <w:tblPr>
        <w:tblOverlap w:val="never"/>
        <w:tblW w:w="0" w:type="auto"/>
        <w:jc w:val="center"/>
        <w:tblLayout w:type="fixed"/>
        <w:tblCellMar>
          <w:left w:w="10" w:type="dxa"/>
          <w:right w:w="10" w:type="dxa"/>
        </w:tblCellMar>
        <w:tblLook w:val="04A0" w:firstRow="1" w:lastRow="0" w:firstColumn="1" w:lastColumn="0" w:noHBand="0" w:noVBand="1"/>
      </w:tblPr>
      <w:tblGrid>
        <w:gridCol w:w="1331"/>
        <w:gridCol w:w="703"/>
        <w:gridCol w:w="956"/>
        <w:gridCol w:w="887"/>
        <w:gridCol w:w="778"/>
        <w:gridCol w:w="1181"/>
      </w:tblGrid>
      <w:tr w:rsidR="00D154B3" w:rsidRPr="00DB5D0D" w14:paraId="78A59579" w14:textId="77777777" w:rsidTr="007609C9">
        <w:trPr>
          <w:trHeight w:hRule="exact" w:val="530"/>
          <w:jc w:val="center"/>
        </w:trPr>
        <w:tc>
          <w:tcPr>
            <w:tcW w:w="1331" w:type="dxa"/>
          </w:tcPr>
          <w:p w14:paraId="68198186" w14:textId="77777777" w:rsidR="00D154B3" w:rsidRPr="00DB5D0D" w:rsidRDefault="00D154B3" w:rsidP="00DB5D0D">
            <w:pPr>
              <w:spacing w:after="0" w:line="240" w:lineRule="auto"/>
              <w:jc w:val="both"/>
              <w:rPr>
                <w:rFonts w:ascii="Times New Roman" w:hAnsi="Times New Roman"/>
                <w:color w:val="0070C0"/>
                <w:sz w:val="16"/>
                <w:szCs w:val="16"/>
              </w:rPr>
            </w:pPr>
          </w:p>
        </w:tc>
        <w:tc>
          <w:tcPr>
            <w:tcW w:w="703" w:type="dxa"/>
            <w:hideMark/>
          </w:tcPr>
          <w:p w14:paraId="358AF016"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 пушки</w:t>
            </w:r>
          </w:p>
        </w:tc>
        <w:tc>
          <w:tcPr>
            <w:tcW w:w="956" w:type="dxa"/>
            <w:hideMark/>
          </w:tcPr>
          <w:p w14:paraId="2E293FE1"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 скорое.</w:t>
            </w:r>
          </w:p>
        </w:tc>
        <w:tc>
          <w:tcPr>
            <w:tcW w:w="887" w:type="dxa"/>
            <w:hideMark/>
          </w:tcPr>
          <w:p w14:paraId="7F8463F1"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 снаряда</w:t>
            </w:r>
          </w:p>
        </w:tc>
        <w:tc>
          <w:tcPr>
            <w:tcW w:w="778" w:type="dxa"/>
            <w:vAlign w:val="bottom"/>
            <w:hideMark/>
          </w:tcPr>
          <w:p w14:paraId="14FB0027"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 разрыв, заряда</w:t>
            </w:r>
          </w:p>
        </w:tc>
        <w:tc>
          <w:tcPr>
            <w:tcW w:w="1181" w:type="dxa"/>
            <w:hideMark/>
          </w:tcPr>
          <w:p w14:paraId="7C418559"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Скоро - стре льн.</w:t>
            </w:r>
          </w:p>
        </w:tc>
      </w:tr>
      <w:tr w:rsidR="00D154B3" w:rsidRPr="00DB5D0D" w14:paraId="4DA5958F" w14:textId="77777777" w:rsidTr="007609C9">
        <w:trPr>
          <w:trHeight w:hRule="exact" w:val="593"/>
          <w:jc w:val="center"/>
        </w:trPr>
        <w:tc>
          <w:tcPr>
            <w:tcW w:w="1331" w:type="dxa"/>
            <w:hideMark/>
          </w:tcPr>
          <w:p w14:paraId="036443C3"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мм. пушка</w:t>
            </w:r>
          </w:p>
        </w:tc>
        <w:tc>
          <w:tcPr>
            <w:tcW w:w="703" w:type="dxa"/>
            <w:hideMark/>
          </w:tcPr>
          <w:p w14:paraId="38884C9C"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кгр.</w:t>
            </w:r>
          </w:p>
          <w:p w14:paraId="5FEFBC0F"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39,8</w:t>
            </w:r>
          </w:p>
        </w:tc>
        <w:tc>
          <w:tcPr>
            <w:tcW w:w="956" w:type="dxa"/>
            <w:hideMark/>
          </w:tcPr>
          <w:p w14:paraId="0B0E7EEB"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м/с</w:t>
            </w:r>
          </w:p>
          <w:p w14:paraId="4627AD53"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900</w:t>
            </w:r>
          </w:p>
        </w:tc>
        <w:tc>
          <w:tcPr>
            <w:tcW w:w="887" w:type="dxa"/>
            <w:hideMark/>
          </w:tcPr>
          <w:p w14:paraId="7B312C94"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гр.</w:t>
            </w:r>
          </w:p>
          <w:p w14:paraId="28882B65"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195</w:t>
            </w:r>
          </w:p>
        </w:tc>
        <w:tc>
          <w:tcPr>
            <w:tcW w:w="778" w:type="dxa"/>
            <w:hideMark/>
          </w:tcPr>
          <w:p w14:paraId="0AF57E76"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гр.</w:t>
            </w:r>
          </w:p>
          <w:p w14:paraId="07013443"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12-16</w:t>
            </w:r>
          </w:p>
        </w:tc>
        <w:tc>
          <w:tcPr>
            <w:tcW w:w="1181" w:type="dxa"/>
            <w:tcBorders>
              <w:top w:val="single" w:sz="4" w:space="0" w:color="auto"/>
              <w:left w:val="nil"/>
              <w:bottom w:val="nil"/>
              <w:right w:val="nil"/>
            </w:tcBorders>
            <w:hideMark/>
          </w:tcPr>
          <w:p w14:paraId="543E9514"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выс/мин.</w:t>
            </w:r>
          </w:p>
          <w:p w14:paraId="7FE9F694"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412</w:t>
            </w:r>
          </w:p>
        </w:tc>
      </w:tr>
      <w:tr w:rsidR="00D154B3" w:rsidRPr="00DB5D0D" w14:paraId="08EDB745" w14:textId="77777777" w:rsidTr="007609C9">
        <w:trPr>
          <w:trHeight w:hRule="exact" w:val="657"/>
          <w:jc w:val="center"/>
        </w:trPr>
        <w:tc>
          <w:tcPr>
            <w:tcW w:w="1331" w:type="dxa"/>
            <w:hideMark/>
          </w:tcPr>
          <w:p w14:paraId="64676A49"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мм пушка ШВАК</w:t>
            </w:r>
          </w:p>
        </w:tc>
        <w:tc>
          <w:tcPr>
            <w:tcW w:w="703" w:type="dxa"/>
            <w:vAlign w:val="center"/>
            <w:hideMark/>
          </w:tcPr>
          <w:p w14:paraId="6E655C77"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40.0</w:t>
            </w:r>
          </w:p>
        </w:tc>
        <w:tc>
          <w:tcPr>
            <w:tcW w:w="956" w:type="dxa"/>
            <w:vAlign w:val="center"/>
            <w:hideMark/>
          </w:tcPr>
          <w:p w14:paraId="41993B4A"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815</w:t>
            </w:r>
          </w:p>
        </w:tc>
        <w:tc>
          <w:tcPr>
            <w:tcW w:w="887" w:type="dxa"/>
            <w:vAlign w:val="center"/>
            <w:hideMark/>
          </w:tcPr>
          <w:p w14:paraId="2E845BAD"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91</w:t>
            </w:r>
          </w:p>
        </w:tc>
        <w:tc>
          <w:tcPr>
            <w:tcW w:w="778" w:type="dxa"/>
            <w:vAlign w:val="center"/>
            <w:hideMark/>
          </w:tcPr>
          <w:p w14:paraId="26BDD4DD"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3,7</w:t>
            </w:r>
          </w:p>
        </w:tc>
        <w:tc>
          <w:tcPr>
            <w:tcW w:w="1181" w:type="dxa"/>
            <w:vAlign w:val="center"/>
            <w:hideMark/>
          </w:tcPr>
          <w:p w14:paraId="5B9BF408"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700-800</w:t>
            </w:r>
          </w:p>
        </w:tc>
      </w:tr>
    </w:tbl>
    <w:p w14:paraId="229C75CF" w14:textId="77777777" w:rsidR="00D154B3" w:rsidRPr="00DB5D0D" w:rsidRDefault="00D154B3" w:rsidP="00DB5D0D">
      <w:pPr>
        <w:spacing w:after="0" w:line="240" w:lineRule="auto"/>
        <w:jc w:val="both"/>
        <w:rPr>
          <w:rFonts w:ascii="Times New Roman" w:hAnsi="Times New Roman"/>
          <w:color w:val="0070C0"/>
          <w:sz w:val="16"/>
          <w:szCs w:val="16"/>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2091"/>
        <w:gridCol w:w="3439"/>
      </w:tblGrid>
      <w:tr w:rsidR="00D154B3" w:rsidRPr="00DB5D0D" w14:paraId="2C87A4BC" w14:textId="77777777" w:rsidTr="007609C9">
        <w:trPr>
          <w:trHeight w:hRule="exact" w:val="271"/>
          <w:jc w:val="center"/>
        </w:trPr>
        <w:tc>
          <w:tcPr>
            <w:tcW w:w="2091" w:type="dxa"/>
            <w:shd w:val="clear" w:color="auto" w:fill="auto"/>
            <w:hideMark/>
          </w:tcPr>
          <w:p w14:paraId="67605253" w14:textId="77777777" w:rsidR="00D154B3" w:rsidRPr="00DB5D0D" w:rsidRDefault="00D154B3" w:rsidP="00DB5D0D">
            <w:pPr>
              <w:spacing w:after="0" w:line="240" w:lineRule="auto"/>
              <w:jc w:val="both"/>
              <w:rPr>
                <w:rFonts w:ascii="Times New Roman" w:hAnsi="Times New Roman"/>
                <w:color w:val="0070C0"/>
                <w:sz w:val="16"/>
                <w:szCs w:val="16"/>
              </w:rPr>
            </w:pPr>
          </w:p>
        </w:tc>
        <w:tc>
          <w:tcPr>
            <w:tcW w:w="3439" w:type="dxa"/>
            <w:shd w:val="clear" w:color="auto" w:fill="auto"/>
            <w:hideMark/>
          </w:tcPr>
          <w:p w14:paraId="754328F8"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Сравнительное действие этих пушек по материальной</w:t>
            </w:r>
          </w:p>
        </w:tc>
      </w:tr>
      <w:tr w:rsidR="00D154B3" w:rsidRPr="00DB5D0D" w14:paraId="24700D8E" w14:textId="77777777" w:rsidTr="007609C9">
        <w:trPr>
          <w:trHeight w:hRule="exact" w:val="1066"/>
          <w:jc w:val="center"/>
        </w:trPr>
        <w:tc>
          <w:tcPr>
            <w:tcW w:w="2091" w:type="dxa"/>
            <w:shd w:val="clear" w:color="auto" w:fill="auto"/>
            <w:hideMark/>
          </w:tcPr>
          <w:p w14:paraId="6AC796D6" w14:textId="77777777" w:rsidR="00D154B3" w:rsidRPr="00DB5D0D" w:rsidRDefault="00D154B3" w:rsidP="00DB5D0D">
            <w:pPr>
              <w:spacing w:after="0" w:line="240" w:lineRule="auto"/>
              <w:jc w:val="both"/>
              <w:rPr>
                <w:rFonts w:ascii="Times New Roman" w:hAnsi="Times New Roman"/>
                <w:color w:val="0070C0"/>
                <w:sz w:val="16"/>
                <w:szCs w:val="16"/>
              </w:rPr>
            </w:pPr>
          </w:p>
        </w:tc>
        <w:tc>
          <w:tcPr>
            <w:tcW w:w="3439" w:type="dxa"/>
            <w:shd w:val="clear" w:color="auto" w:fill="auto"/>
            <w:hideMark/>
          </w:tcPr>
          <w:p w14:paraId="05F28815"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броне, следующее:</w:t>
            </w:r>
          </w:p>
          <w:p w14:paraId="445B3651"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Средний</w:t>
            </w:r>
            <w:r w:rsidRPr="00DB5D0D">
              <w:rPr>
                <w:rFonts w:ascii="Times New Roman" w:hAnsi="Times New Roman"/>
                <w:color w:val="0070C0"/>
                <w:sz w:val="16"/>
                <w:szCs w:val="16"/>
              </w:rPr>
              <w:tab/>
              <w:t>Толщина</w:t>
            </w:r>
          </w:p>
          <w:p w14:paraId="7A3F8D1A"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размер про-</w:t>
            </w:r>
            <w:r w:rsidRPr="00DB5D0D">
              <w:rPr>
                <w:rFonts w:ascii="Times New Roman" w:hAnsi="Times New Roman"/>
                <w:color w:val="0070C0"/>
                <w:sz w:val="16"/>
                <w:szCs w:val="16"/>
              </w:rPr>
              <w:tab/>
              <w:t>брони проби-</w:t>
            </w:r>
          </w:p>
          <w:p w14:paraId="731509D1"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боины в дю-</w:t>
            </w:r>
            <w:r w:rsidRPr="00DB5D0D">
              <w:rPr>
                <w:rFonts w:ascii="Times New Roman" w:hAnsi="Times New Roman"/>
                <w:color w:val="0070C0"/>
                <w:sz w:val="16"/>
                <w:szCs w:val="16"/>
              </w:rPr>
              <w:tab/>
              <w:t>ваемой на</w:t>
            </w:r>
          </w:p>
          <w:p w14:paraId="09267C02"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рале.</w:t>
            </w:r>
            <w:r w:rsidRPr="00DB5D0D">
              <w:rPr>
                <w:rFonts w:ascii="Times New Roman" w:hAnsi="Times New Roman"/>
                <w:color w:val="0070C0"/>
                <w:sz w:val="16"/>
                <w:szCs w:val="16"/>
              </w:rPr>
              <w:tab/>
              <w:t>диет. 400м т.</w:t>
            </w:r>
          </w:p>
        </w:tc>
      </w:tr>
      <w:tr w:rsidR="00D154B3" w:rsidRPr="00DB5D0D" w14:paraId="501FBC57" w14:textId="77777777" w:rsidTr="007609C9">
        <w:trPr>
          <w:trHeight w:hRule="exact" w:val="386"/>
          <w:jc w:val="center"/>
        </w:trPr>
        <w:tc>
          <w:tcPr>
            <w:tcW w:w="2091" w:type="dxa"/>
            <w:shd w:val="clear" w:color="auto" w:fill="auto"/>
            <w:hideMark/>
          </w:tcPr>
          <w:p w14:paraId="79C4B63B"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мм. пушка ТАУБИнА- БАБУНИНА</w:t>
            </w:r>
          </w:p>
        </w:tc>
        <w:tc>
          <w:tcPr>
            <w:tcW w:w="3439" w:type="dxa"/>
            <w:shd w:val="clear" w:color="auto" w:fill="auto"/>
            <w:vAlign w:val="bottom"/>
            <w:hideMark/>
          </w:tcPr>
          <w:p w14:paraId="0A8FF7BD"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50 х 40 см.</w:t>
            </w:r>
            <w:r w:rsidRPr="00DB5D0D">
              <w:rPr>
                <w:rFonts w:ascii="Times New Roman" w:hAnsi="Times New Roman"/>
                <w:color w:val="0070C0"/>
                <w:sz w:val="16"/>
                <w:szCs w:val="16"/>
              </w:rPr>
              <w:tab/>
              <w:t>24 м.м.</w:t>
            </w:r>
          </w:p>
        </w:tc>
      </w:tr>
      <w:tr w:rsidR="00D154B3" w:rsidRPr="00DB5D0D" w14:paraId="36744C62" w14:textId="77777777" w:rsidTr="007609C9">
        <w:trPr>
          <w:trHeight w:hRule="exact" w:val="265"/>
          <w:jc w:val="center"/>
        </w:trPr>
        <w:tc>
          <w:tcPr>
            <w:tcW w:w="2091" w:type="dxa"/>
            <w:shd w:val="clear" w:color="auto" w:fill="auto"/>
            <w:vAlign w:val="bottom"/>
            <w:hideMark/>
          </w:tcPr>
          <w:p w14:paraId="6C8935A9"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м.м. пушка ШЗАК</w:t>
            </w:r>
          </w:p>
        </w:tc>
        <w:tc>
          <w:tcPr>
            <w:tcW w:w="3439" w:type="dxa"/>
            <w:shd w:val="clear" w:color="auto" w:fill="auto"/>
            <w:vAlign w:val="bottom"/>
            <w:hideMark/>
          </w:tcPr>
          <w:p w14:paraId="66DC8F5A"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30 х 25 см.</w:t>
            </w:r>
            <w:r w:rsidRPr="00DB5D0D">
              <w:rPr>
                <w:rFonts w:ascii="Times New Roman" w:hAnsi="Times New Roman"/>
                <w:color w:val="0070C0"/>
                <w:sz w:val="16"/>
                <w:szCs w:val="16"/>
              </w:rPr>
              <w:tab/>
              <w:t>12 м.м.</w:t>
            </w:r>
          </w:p>
        </w:tc>
      </w:tr>
    </w:tbl>
    <w:p w14:paraId="26A31987"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настоящее время на вооружении ВВС имеется 342 са</w:t>
      </w:r>
      <w:r w:rsidRPr="00DB5D0D">
        <w:rPr>
          <w:rFonts w:ascii="Times New Roman" w:hAnsi="Times New Roman"/>
          <w:color w:val="0070C0"/>
          <w:sz w:val="16"/>
          <w:szCs w:val="16"/>
        </w:rPr>
        <w:softHyphen/>
        <w:t>молета И-16, вооруженных пушками ШВАК калибра 20 м.м. Однако, качество этой пушки, в особенности ее пробивное действие, ни в какой мере не удовлетворяет современным требованиям. Достаточно указать, что броню эта пушка пробивает хуже, чем 12,7 мм. пулемет БEРЕЗИНА. На 400 метров 20 м.м. пушка ШВAK в состоянии пробить только 12 мм. броню, в то время как 12,7 мм. пулемет БЕРЕЗИНА на эту же дистанцию прибивает 15 мм. броню.</w:t>
      </w:r>
    </w:p>
    <w:p w14:paraId="5A172649"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м.м. пушка может быть установлена на всех истре</w:t>
      </w:r>
      <w:r w:rsidRPr="00DB5D0D">
        <w:rPr>
          <w:rFonts w:ascii="Times New Roman" w:hAnsi="Times New Roman"/>
          <w:color w:val="0070C0"/>
          <w:sz w:val="16"/>
          <w:szCs w:val="16"/>
        </w:rPr>
        <w:softHyphen/>
        <w:t>бительных самолетах как для стрельбы через мотор, так и в крыльевом варианте.</w:t>
      </w:r>
    </w:p>
    <w:p w14:paraId="45249AFB"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Считаю необходимым принять на вооружение 23 м.м. пушку и запустить в производство, с общей подачей для ВВС в 1940 году - 200 пушек.</w:t>
      </w:r>
    </w:p>
    <w:p w14:paraId="285A6E92"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Обязать Н.К.А.П. - тоз. ШАХУРИНА в 1940 году воо</w:t>
      </w:r>
      <w:r w:rsidRPr="00DB5D0D">
        <w:rPr>
          <w:rFonts w:ascii="Times New Roman" w:hAnsi="Times New Roman"/>
          <w:color w:val="0070C0"/>
          <w:sz w:val="16"/>
          <w:szCs w:val="16"/>
        </w:rPr>
        <w:softHyphen/>
        <w:t>ружить 23 м.м. пушкой истребители И-26, И-200 и И-301.</w:t>
      </w:r>
    </w:p>
    <w:p w14:paraId="30509348"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Кроме 23 мм. пупки необходимо форсировать опыт</w:t>
      </w:r>
      <w:r w:rsidRPr="00DB5D0D">
        <w:rPr>
          <w:rFonts w:ascii="Times New Roman" w:hAnsi="Times New Roman"/>
          <w:color w:val="0070C0"/>
          <w:sz w:val="16"/>
          <w:szCs w:val="16"/>
        </w:rPr>
        <w:softHyphen/>
        <w:t>ные работы по доводке 37 м.м. пушки, построить самолет и приспособить мотор М-107 под 37 мм. пушку</w:t>
      </w:r>
    </w:p>
    <w:p w14:paraId="1E2F0C7F"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Сейчас изготовлена для заводских испытаний 37 м.м. пушка ТАУБИНА-БАБУРИНА с показателями:</w:t>
      </w:r>
    </w:p>
    <w:p w14:paraId="0DFF27BA"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 пушки</w:t>
      </w:r>
      <w:r w:rsidRPr="00DB5D0D">
        <w:rPr>
          <w:rFonts w:ascii="Times New Roman" w:hAnsi="Times New Roman"/>
          <w:color w:val="0070C0"/>
          <w:sz w:val="16"/>
          <w:szCs w:val="16"/>
        </w:rPr>
        <w:tab/>
        <w:t>-</w:t>
      </w:r>
      <w:r w:rsidRPr="00DB5D0D">
        <w:rPr>
          <w:rFonts w:ascii="Times New Roman" w:hAnsi="Times New Roman"/>
          <w:color w:val="0070C0"/>
          <w:sz w:val="16"/>
          <w:szCs w:val="16"/>
        </w:rPr>
        <w:tab/>
        <w:t>150</w:t>
      </w:r>
      <w:r w:rsidRPr="00DB5D0D">
        <w:rPr>
          <w:rFonts w:ascii="Times New Roman" w:hAnsi="Times New Roman"/>
          <w:color w:val="0070C0"/>
          <w:sz w:val="16"/>
          <w:szCs w:val="16"/>
        </w:rPr>
        <w:tab/>
        <w:t>кг.</w:t>
      </w:r>
    </w:p>
    <w:p w14:paraId="10A3B7E8"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Вес снаряда</w:t>
      </w:r>
      <w:r w:rsidRPr="00DB5D0D">
        <w:rPr>
          <w:rFonts w:ascii="Times New Roman" w:hAnsi="Times New Roman"/>
          <w:color w:val="0070C0"/>
          <w:sz w:val="16"/>
          <w:szCs w:val="16"/>
        </w:rPr>
        <w:tab/>
        <w:t>-</w:t>
      </w:r>
      <w:r w:rsidRPr="00DB5D0D">
        <w:rPr>
          <w:rFonts w:ascii="Times New Roman" w:hAnsi="Times New Roman"/>
          <w:color w:val="0070C0"/>
          <w:sz w:val="16"/>
          <w:szCs w:val="16"/>
        </w:rPr>
        <w:tab/>
        <w:t>700</w:t>
      </w:r>
      <w:r w:rsidRPr="00DB5D0D">
        <w:rPr>
          <w:rFonts w:ascii="Times New Roman" w:hAnsi="Times New Roman"/>
          <w:color w:val="0070C0"/>
          <w:sz w:val="16"/>
          <w:szCs w:val="16"/>
        </w:rPr>
        <w:tab/>
        <w:t>гр.</w:t>
      </w:r>
    </w:p>
    <w:p w14:paraId="73D2EEA2"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Скорострельность</w:t>
      </w:r>
      <w:r w:rsidRPr="00DB5D0D">
        <w:rPr>
          <w:rFonts w:ascii="Times New Roman" w:hAnsi="Times New Roman"/>
          <w:color w:val="0070C0"/>
          <w:sz w:val="16"/>
          <w:szCs w:val="16"/>
        </w:rPr>
        <w:tab/>
        <w:t>-</w:t>
      </w:r>
      <w:r w:rsidRPr="00DB5D0D">
        <w:rPr>
          <w:rFonts w:ascii="Times New Roman" w:hAnsi="Times New Roman"/>
          <w:color w:val="0070C0"/>
          <w:sz w:val="16"/>
          <w:szCs w:val="16"/>
        </w:rPr>
        <w:tab/>
        <w:t>180</w:t>
      </w:r>
      <w:r w:rsidRPr="00DB5D0D">
        <w:rPr>
          <w:rFonts w:ascii="Times New Roman" w:hAnsi="Times New Roman"/>
          <w:color w:val="0070C0"/>
          <w:sz w:val="16"/>
          <w:szCs w:val="16"/>
        </w:rPr>
        <w:tab/>
        <w:t>в/м</w:t>
      </w:r>
    </w:p>
    <w:p w14:paraId="7E19B542"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 скорость</w:t>
      </w:r>
      <w:r w:rsidRPr="00DB5D0D">
        <w:rPr>
          <w:rFonts w:ascii="Times New Roman" w:hAnsi="Times New Roman"/>
          <w:color w:val="0070C0"/>
          <w:sz w:val="16"/>
          <w:szCs w:val="16"/>
        </w:rPr>
        <w:tab/>
        <w:t>-</w:t>
      </w:r>
      <w:r w:rsidRPr="00DB5D0D">
        <w:rPr>
          <w:rFonts w:ascii="Times New Roman" w:hAnsi="Times New Roman"/>
          <w:color w:val="0070C0"/>
          <w:sz w:val="16"/>
          <w:szCs w:val="16"/>
        </w:rPr>
        <w:tab/>
        <w:t>900</w:t>
      </w:r>
      <w:r w:rsidRPr="00DB5D0D">
        <w:rPr>
          <w:rFonts w:ascii="Times New Roman" w:hAnsi="Times New Roman"/>
          <w:color w:val="0070C0"/>
          <w:sz w:val="16"/>
          <w:szCs w:val="16"/>
        </w:rPr>
        <w:tab/>
        <w:t>м/с</w:t>
      </w:r>
    </w:p>
    <w:p w14:paraId="3B4BA149"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 разрывного заряда - 42 гр.</w:t>
      </w:r>
    </w:p>
    <w:p w14:paraId="5F772E2E"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Этот калибр может обеспечить пробиваание брони, тол</w:t>
      </w:r>
      <w:r w:rsidRPr="00DB5D0D">
        <w:rPr>
          <w:rFonts w:ascii="Times New Roman" w:hAnsi="Times New Roman"/>
          <w:color w:val="0070C0"/>
          <w:sz w:val="16"/>
          <w:szCs w:val="16"/>
        </w:rPr>
        <w:softHyphen/>
        <w:t>щиной 30-35 м.м. на дистанцию 500 метров. _</w:t>
      </w:r>
      <w:r w:rsidRPr="00DB5D0D">
        <w:rPr>
          <w:rFonts w:ascii="Times New Roman" w:hAnsi="Times New Roman"/>
          <w:color w:val="0070C0"/>
          <w:sz w:val="16"/>
          <w:szCs w:val="16"/>
        </w:rPr>
        <w:tab/>
        <w:t>—в———</w:t>
      </w:r>
    </w:p>
    <w:p w14:paraId="7A33918B"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Для надежного пробития брони толщиной 50 м.м. под углами 35-45% необходимо развернуть работы по соз</w:t>
      </w:r>
      <w:r w:rsidRPr="00DB5D0D">
        <w:rPr>
          <w:rFonts w:ascii="Times New Roman" w:hAnsi="Times New Roman"/>
          <w:color w:val="0070C0"/>
          <w:sz w:val="16"/>
          <w:szCs w:val="16"/>
        </w:rPr>
        <w:softHyphen/>
        <w:t>данию пушки соответствующего калибра, порядка 45-75 мм.</w:t>
      </w:r>
    </w:p>
    <w:p w14:paraId="276384D9"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Одновременно с пушками необходимо широко внед</w:t>
      </w:r>
      <w:r w:rsidRPr="00DB5D0D">
        <w:rPr>
          <w:rFonts w:ascii="Times New Roman" w:hAnsi="Times New Roman"/>
          <w:color w:val="0070C0"/>
          <w:sz w:val="16"/>
          <w:szCs w:val="16"/>
        </w:rPr>
        <w:softHyphen/>
        <w:t>рить на вооружение реактивные снаряды калибра 82 и 132 м.м.</w:t>
      </w:r>
    </w:p>
    <w:p w14:paraId="2FEC3C58"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проекте Постановления предусматривается:</w:t>
      </w:r>
    </w:p>
    <w:p w14:paraId="14D3C8B3"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Вооружение к I.I.4I г. в частях ВВС - 600 самоле</w:t>
      </w:r>
      <w:r w:rsidRPr="00DB5D0D">
        <w:rPr>
          <w:rFonts w:ascii="Times New Roman" w:hAnsi="Times New Roman"/>
          <w:color w:val="0070C0"/>
          <w:sz w:val="16"/>
          <w:szCs w:val="16"/>
        </w:rPr>
        <w:softHyphen/>
        <w:t>тов И-I5 бис под реактивные установки РС-82.</w:t>
      </w:r>
    </w:p>
    <w:p w14:paraId="1BC72E81"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Кроме того, в счет общего заказа на самолеты к I.I.4I г. должно быть поставлено для ВВС - 250 самоле</w:t>
      </w:r>
      <w:r w:rsidRPr="00DB5D0D">
        <w:rPr>
          <w:rFonts w:ascii="Times New Roman" w:hAnsi="Times New Roman"/>
          <w:color w:val="0070C0"/>
          <w:sz w:val="16"/>
          <w:szCs w:val="16"/>
        </w:rPr>
        <w:softHyphen/>
        <w:t>тов СБ с установками под реактивные снаряды PC-132, 600 самолетов И-16 и 800 самолетов И-153 с установками под реактивные снаряды РС-82.</w:t>
      </w:r>
    </w:p>
    <w:p w14:paraId="434FDC89"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Это дает возможность вооружить восемь штурмовых полков самолетами с установками для реактивных снаря</w:t>
      </w:r>
      <w:r w:rsidRPr="00DB5D0D">
        <w:rPr>
          <w:rFonts w:ascii="Times New Roman" w:hAnsi="Times New Roman"/>
          <w:color w:val="0070C0"/>
          <w:sz w:val="16"/>
          <w:szCs w:val="16"/>
        </w:rPr>
        <w:softHyphen/>
        <w:t>дов, три истребительных полка ПВО Ленинграда, Москвы и Баку, полностью и по одной эскадрилье во всех осталь</w:t>
      </w:r>
      <w:r w:rsidRPr="00DB5D0D">
        <w:rPr>
          <w:rFonts w:ascii="Times New Roman" w:hAnsi="Times New Roman"/>
          <w:color w:val="0070C0"/>
          <w:sz w:val="16"/>
          <w:szCs w:val="16"/>
        </w:rPr>
        <w:softHyphen/>
        <w:t>ных истребительных полках.</w:t>
      </w:r>
    </w:p>
    <w:p w14:paraId="69CC4D28"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Для обеспечения боеприпасами крупнокалиберных пулеметов и пушек, в Постановлении пре усматривается необходимое увеличение производства патрон и снарядов.</w:t>
      </w:r>
    </w:p>
    <w:p w14:paraId="5DB8EC1E"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Начальником ВВС Красной Армии Генерал-Лейтенантом Авиации тов. СМУШКЕВИЧЕМ совместно с Наркомом Авиацион</w:t>
      </w:r>
      <w:r w:rsidRPr="00DB5D0D">
        <w:rPr>
          <w:rFonts w:ascii="Times New Roman" w:hAnsi="Times New Roman"/>
          <w:color w:val="0070C0"/>
          <w:sz w:val="16"/>
          <w:szCs w:val="16"/>
        </w:rPr>
        <w:softHyphen/>
        <w:t>ной Промышленности тов. ШАХУРИНЫМ, Наркомом Вооруже</w:t>
      </w:r>
      <w:r w:rsidRPr="00DB5D0D">
        <w:rPr>
          <w:rFonts w:ascii="Times New Roman" w:hAnsi="Times New Roman"/>
          <w:color w:val="0070C0"/>
          <w:sz w:val="16"/>
          <w:szCs w:val="16"/>
        </w:rPr>
        <w:softHyphen/>
        <w:t>ния тов. BAHHHKOBЫМ и Зам. Наркома Боеприпасов тов. ХРЕНКОВЫМ, - проект Постановления рассмотрен и разоб</w:t>
      </w:r>
      <w:r w:rsidRPr="00DB5D0D">
        <w:rPr>
          <w:rFonts w:ascii="Times New Roman" w:hAnsi="Times New Roman"/>
          <w:color w:val="0070C0"/>
          <w:sz w:val="16"/>
          <w:szCs w:val="16"/>
        </w:rPr>
        <w:softHyphen/>
        <w:t>ран, причем установлено, что промышленность имеет полную возможность его выполнить.</w:t>
      </w:r>
    </w:p>
    <w:p w14:paraId="1A472D04"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Возражения вызываются только недостатком нужных производственных возможностей. Однако, необходимо учесть всю серьезность положения с крупнокалиберным и пушечным вооружением Военных Воздушных Сил. Опыт современных войн, в частности войны на Западе, под</w:t>
      </w:r>
      <w:r w:rsidRPr="00DB5D0D">
        <w:rPr>
          <w:rFonts w:ascii="Times New Roman" w:hAnsi="Times New Roman"/>
          <w:color w:val="0070C0"/>
          <w:sz w:val="16"/>
          <w:szCs w:val="16"/>
        </w:rPr>
        <w:softHyphen/>
        <w:t>черкивает необходимость иметь такое вооружение авиации, с которым можно было бы успешно вести борьбу с совре</w:t>
      </w:r>
      <w:r w:rsidRPr="00DB5D0D">
        <w:rPr>
          <w:rFonts w:ascii="Times New Roman" w:hAnsi="Times New Roman"/>
          <w:color w:val="0070C0"/>
          <w:sz w:val="16"/>
          <w:szCs w:val="16"/>
        </w:rPr>
        <w:softHyphen/>
        <w:t>менными тяжелыми танками, моторизованной и механизи</w:t>
      </w:r>
      <w:r w:rsidRPr="00DB5D0D">
        <w:rPr>
          <w:rFonts w:ascii="Times New Roman" w:hAnsi="Times New Roman"/>
          <w:color w:val="0070C0"/>
          <w:sz w:val="16"/>
          <w:szCs w:val="16"/>
        </w:rPr>
        <w:softHyphen/>
        <w:t>рованной материальной частью.</w:t>
      </w:r>
    </w:p>
    <w:p w14:paraId="3796BE6E" w14:textId="77777777" w:rsidR="00D154B3" w:rsidRPr="00DB5D0D" w:rsidRDefault="00D154B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Прошу предлагаемый проект Постановления Комитета Обороны полностью утвердить (21942).</w:t>
      </w:r>
    </w:p>
    <w:p w14:paraId="2D1462D8" w14:textId="77777777" w:rsidR="00D154B3" w:rsidRPr="00DB5D0D" w:rsidRDefault="00D154B3" w:rsidP="00DB5D0D">
      <w:pPr>
        <w:spacing w:after="0" w:line="240" w:lineRule="auto"/>
        <w:jc w:val="both"/>
        <w:rPr>
          <w:rFonts w:ascii="Times New Roman" w:hAnsi="Times New Roman"/>
          <w:color w:val="0070C0"/>
          <w:sz w:val="16"/>
          <w:szCs w:val="16"/>
        </w:rPr>
      </w:pPr>
    </w:p>
    <w:p w14:paraId="2441CF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Секр. СОПр-ти при СНК И.Семичастнов писал письмо N 170/оп НКАП А.И.Ш. в сопровождение письма НКО Кулика и НКВМФ Кузнецова и проект постановления КО об изготовлении и комплектной поставки и ремонтного инструмента (1172,34).</w:t>
      </w:r>
    </w:p>
    <w:p w14:paraId="0BB2A6A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FB14EAE"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На 10 июля 1940 в контрольном листе № учета выполнения постановления правительства № 430сс от 21 ноября 1939 о производстве подвесных бензобаков для УВВС РККА НКАПом в 1939-40 гг. была сделана запись:</w:t>
      </w:r>
    </w:p>
    <w:p w14:paraId="3024518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Количество бензобаков, выпущенных заводом № 21 НКАП:</w:t>
      </w:r>
    </w:p>
    <w:p w14:paraId="7C57E26E"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декабрь - 1200</w:t>
      </w:r>
    </w:p>
    <w:p w14:paraId="52969FFA"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январь - с декабрем - 1200</w:t>
      </w:r>
    </w:p>
    <w:p w14:paraId="77842A22"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февраль - 800.</w:t>
      </w:r>
    </w:p>
    <w:p w14:paraId="24516545"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Справка дана работником ПГУ НКАП Зеленовым (10106).</w:t>
      </w:r>
    </w:p>
    <w:p w14:paraId="61A6D8EA"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p w14:paraId="58DC6279"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10 июля 1940 г. в контрольном листе № учета выполнения постановления правительства № 72сс от 11 февраля 1940 о производстве подвесных бензобаков для УВВС РККА НКАПом в 1939-40 гг. была сделана запись:</w:t>
      </w:r>
    </w:p>
    <w:p w14:paraId="19BA912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Но НКАП</w:t>
      </w:r>
    </w:p>
    <w:p w14:paraId="255F4CCD"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28 февраля 1940</w:t>
      </w:r>
    </w:p>
    <w:p w14:paraId="541220D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ВИАМ получено в феврале картона (на 11 февраля) 45,3 т.</w:t>
      </w:r>
    </w:p>
    <w:p w14:paraId="56821C0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Проверка в НКАП</w:t>
      </w:r>
    </w:p>
    <w:p w14:paraId="5879855E"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Болванки делает завод № 219 НКАП (6ГУ, нач. Домов). Болванки не готовы до сих пор. Завод первое указание Зам НКАП получил 4 февраля 1940 г. К 18 февраля 1940 сделал модель, к 20 февраля - отлил 4 комплекта и к 28 февраля - еще 20 комплектов.</w:t>
      </w:r>
    </w:p>
    <w:p w14:paraId="48FE3EAA"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Нов модельных и производственных отливках вследствие ошибок в чертеже  (вина ВИАМ) одни из частей болванки (а их в болванке 4) отлиты неверно и их нельзя применять. Сейчас на заводе ведется исправление чертежей.</w:t>
      </w:r>
    </w:p>
    <w:p w14:paraId="5CB6DF9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Матрица</w:t>
      </w:r>
    </w:p>
    <w:p w14:paraId="6EAC89E8"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Делает завод № 156 11 ГУ НКАП. Матрицы бцдут готовы через 4-5 дней. Задержка по вине НКАП: поздно получили латунь и латунную сетку из НУЦМ, до получпения которых мог бы дать свой материал и запустить матрицу в производство. Как временный выход из положения НКАП даны из имеющихся в ВИАМ:</w:t>
      </w:r>
    </w:p>
    <w:p w14:paraId="6C33724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4 шт. НКЛес в Ленинград</w:t>
      </w:r>
    </w:p>
    <w:p w14:paraId="0CB313E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 шт. НКАП в Москву</w:t>
      </w:r>
    </w:p>
    <w:p w14:paraId="4D0EB11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 шт. в НКАП в Ленинград</w:t>
      </w:r>
    </w:p>
    <w:p w14:paraId="47ABF5ED"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Количество поставленных бензобаков заводом № 21 по настоящему постановлению:</w:t>
      </w:r>
    </w:p>
    <w:p w14:paraId="2B065EA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март - 800</w:t>
      </w:r>
    </w:p>
    <w:p w14:paraId="2E696F6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апрель - 1544</w:t>
      </w:r>
    </w:p>
    <w:p w14:paraId="1DE29FC0"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май - 420 для НКВМФ (10106,16).</w:t>
      </w:r>
    </w:p>
    <w:p w14:paraId="1A17557B"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 НКпищепрому</w:t>
      </w:r>
    </w:p>
    <w:p w14:paraId="0C37032A"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 отчету НКПП, присланному в Главный контроль КО 26 мая 1940 за № 3632/1079 за апрелдь месяц выпущено баков:</w:t>
      </w:r>
    </w:p>
    <w:p w14:paraId="35810D9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фабрикой Комсомолец - 130 (с начала года по апрелдь включительно)</w:t>
      </w:r>
    </w:p>
    <w:p w14:paraId="32F24D1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Внилтара - 0</w:t>
      </w:r>
    </w:p>
    <w:p w14:paraId="1483536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 отчету НКПП, присланному в Главный контроль КО 10 июня 1940 за № 3632/1208 за май месяц выпущено баков:</w:t>
      </w:r>
    </w:p>
    <w:p w14:paraId="0D23622D"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фабрикой Комсомолец (Ленинград) - 0, с начала года 827 шт.</w:t>
      </w:r>
    </w:p>
    <w:p w14:paraId="2179FDF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ВНИЛтара (Москва) - 185 шт., с начала года 502 шт. (по май включительно)</w:t>
      </w:r>
    </w:p>
    <w:p w14:paraId="6010A73F"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Сдачи представителям НКО, НКВМФ иНКАП за апрель по отчету - нет.</w:t>
      </w:r>
    </w:p>
    <w:p w14:paraId="79ED16C4"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Сдача потребителям по отчету за май:</w:t>
      </w:r>
    </w:p>
    <w:p w14:paraId="178F593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Комсомолец - 4 шт.</w:t>
      </w:r>
    </w:p>
    <w:p w14:paraId="715E37C5"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ВНИЛтара - 313 шт. (10106).</w:t>
      </w:r>
    </w:p>
    <w:p w14:paraId="468E618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p w14:paraId="5F402D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10 по 23 июля 1940 года проходили заводские испытания пикирующего бомбодержателя ПБ-3А конструкции завода N 32 на самолете И-15 (3000).</w:t>
      </w:r>
    </w:p>
    <w:p w14:paraId="3C175B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в/инженер 2 ранга Ефимов.</w:t>
      </w:r>
    </w:p>
    <w:p w14:paraId="672CD6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E3482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определить:</w:t>
      </w:r>
    </w:p>
    <w:p w14:paraId="7F6E8A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Прочность конструкции пикирующего бомбодержателя ПБ-3А.</w:t>
      </w:r>
    </w:p>
    <w:p w14:paraId="4EB630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Безотказность работы ПБ-3А при сбрасывании бомб с пикирования под углами до 90 градусов.</w:t>
      </w:r>
    </w:p>
    <w:p w14:paraId="3E7E5C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Безотказность вывода бомб из плоскости, ометаемой винтом самолета при бомбометании с пикирования.</w:t>
      </w:r>
    </w:p>
    <w:p w14:paraId="109FC0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Время с момента отрыва штанги при срабатывании пиропистолета, до момента вывода бомбы из плоскости, ометаемой винтом самолета и отрыва ее от штанги.</w:t>
      </w:r>
    </w:p>
    <w:p w14:paraId="5B9DB9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Относительное сравнение характера рассеивания бомб, сброшенных залпом с ПБ-3А и Дер-31 с пикирования на самолете И-15 (3000).</w:t>
      </w:r>
    </w:p>
    <w:p w14:paraId="4CF5586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B4E6A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года начальник НИП АВ ВВС полковник Шевченко и военком НИП АВ ВВС в/инженер 2 ранга Щербинин</w:t>
      </w:r>
    </w:p>
    <w:p w14:paraId="0A4FD2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осколочных бомб АО-25 м1, снаряженных опытным суррогатным ВВ 1939 года завода № 55</w:t>
      </w:r>
    </w:p>
    <w:p w14:paraId="33382A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28 апреля 1940 года</w:t>
      </w:r>
    </w:p>
    <w:p w14:paraId="0CC0B5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29 июня 1940 года</w:t>
      </w:r>
    </w:p>
    <w:p w14:paraId="57FBD2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2B678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Дьячков</w:t>
      </w:r>
    </w:p>
    <w:p w14:paraId="5D3F1A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58F006E3" w14:textId="77777777" w:rsidR="003C7E8B" w:rsidRPr="00DB5D0D" w:rsidRDefault="003C7E8B" w:rsidP="00DB5D0D">
      <w:pPr>
        <w:pStyle w:val="24"/>
        <w:widowControl/>
        <w:rPr>
          <w:color w:val="000000" w:themeColor="text1"/>
        </w:rPr>
      </w:pPr>
      <w:r w:rsidRPr="00DB5D0D">
        <w:rPr>
          <w:color w:val="000000" w:themeColor="text1"/>
        </w:rPr>
        <w:t>Испытание имело цель определить:</w:t>
      </w:r>
    </w:p>
    <w:p w14:paraId="0B4525B5" w14:textId="77777777" w:rsidR="003C7E8B" w:rsidRPr="00DB5D0D" w:rsidRDefault="003C7E8B" w:rsidP="00DB5D0D">
      <w:pPr>
        <w:pStyle w:val="24"/>
        <w:widowControl/>
        <w:tabs>
          <w:tab w:val="left" w:pos="360"/>
        </w:tabs>
        <w:rPr>
          <w:color w:val="000000" w:themeColor="text1"/>
        </w:rPr>
      </w:pPr>
      <w:r w:rsidRPr="00DB5D0D">
        <w:rPr>
          <w:color w:val="000000" w:themeColor="text1"/>
        </w:rPr>
        <w:lastRenderedPageBreak/>
        <w:t>Осколочное действие бомб в секторных мишенях.</w:t>
      </w:r>
    </w:p>
    <w:p w14:paraId="76C4522A" w14:textId="77777777" w:rsidR="003C7E8B" w:rsidRPr="00DB5D0D" w:rsidRDefault="003C7E8B" w:rsidP="00DB5D0D">
      <w:pPr>
        <w:pStyle w:val="24"/>
        <w:widowControl/>
        <w:tabs>
          <w:tab w:val="left" w:pos="360"/>
        </w:tabs>
        <w:rPr>
          <w:color w:val="000000" w:themeColor="text1"/>
        </w:rPr>
      </w:pPr>
      <w:r w:rsidRPr="00DB5D0D">
        <w:rPr>
          <w:color w:val="000000" w:themeColor="text1"/>
        </w:rPr>
        <w:t>Осколочное действие бомбы по танкам.</w:t>
      </w:r>
    </w:p>
    <w:p w14:paraId="6491050D" w14:textId="77777777" w:rsidR="003C7E8B" w:rsidRPr="00DB5D0D" w:rsidRDefault="003C7E8B" w:rsidP="00DB5D0D">
      <w:pPr>
        <w:pStyle w:val="24"/>
        <w:widowControl/>
        <w:tabs>
          <w:tab w:val="left" w:pos="360"/>
        </w:tabs>
        <w:rPr>
          <w:color w:val="000000" w:themeColor="text1"/>
        </w:rPr>
      </w:pPr>
      <w:r w:rsidRPr="00DB5D0D">
        <w:rPr>
          <w:color w:val="000000" w:themeColor="text1"/>
        </w:rPr>
        <w:t>Безотказность действия.</w:t>
      </w:r>
    </w:p>
    <w:p w14:paraId="2A7B9DDD" w14:textId="77777777" w:rsidR="003C7E8B" w:rsidRPr="00DB5D0D" w:rsidRDefault="003C7E8B" w:rsidP="00DB5D0D">
      <w:pPr>
        <w:pStyle w:val="24"/>
        <w:widowControl/>
        <w:tabs>
          <w:tab w:val="left" w:pos="360"/>
        </w:tabs>
        <w:rPr>
          <w:color w:val="000000" w:themeColor="text1"/>
        </w:rPr>
      </w:pPr>
      <w:r w:rsidRPr="00DB5D0D">
        <w:rPr>
          <w:color w:val="000000" w:themeColor="text1"/>
        </w:rPr>
        <w:t>Устойчивость бомб в полете.</w:t>
      </w:r>
    </w:p>
    <w:p w14:paraId="6363EE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BC03A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АО-25 м1, снаряженные аматолом 80/20 и аммонитом 88/12 методом-набивкой в сравнении с бомбами АО-25м1, снаряженными тротилом методом заливкой дали неудовлетворительные результаты и полигонные испытания не выдержали (7588).</w:t>
      </w:r>
    </w:p>
    <w:p w14:paraId="6891103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0283E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года начальник НИП АВ полковник Шевченко и военком НИП АВ в/инженер 2 ранга Щербинин утвердил:</w:t>
      </w:r>
    </w:p>
    <w:p w14:paraId="42FB9E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осколочных бомб АО-15 опытного суррогатного снаряжения 1939 года, завода № 12</w:t>
      </w:r>
    </w:p>
    <w:p w14:paraId="4A0D6B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 23 апреля 1940 года</w:t>
      </w:r>
    </w:p>
    <w:p w14:paraId="7FF23D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- 22 июня 1940 года</w:t>
      </w:r>
    </w:p>
    <w:p w14:paraId="0B3DF3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62A6F5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A36DE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определить:</w:t>
      </w:r>
    </w:p>
    <w:p w14:paraId="660DF852" w14:textId="77777777" w:rsidR="003C7E8B" w:rsidRPr="00DB5D0D" w:rsidRDefault="003C7E8B" w:rsidP="00DB5D0D">
      <w:pPr>
        <w:pStyle w:val="24"/>
        <w:widowControl/>
        <w:tabs>
          <w:tab w:val="left" w:pos="360"/>
        </w:tabs>
        <w:rPr>
          <w:color w:val="000000" w:themeColor="text1"/>
        </w:rPr>
      </w:pPr>
      <w:r w:rsidRPr="00DB5D0D">
        <w:rPr>
          <w:color w:val="000000" w:themeColor="text1"/>
        </w:rPr>
        <w:t>Осколочное действие бомб.</w:t>
      </w:r>
    </w:p>
    <w:p w14:paraId="40FC552E" w14:textId="77777777" w:rsidR="003C7E8B" w:rsidRPr="00DB5D0D" w:rsidRDefault="003C7E8B" w:rsidP="00DB5D0D">
      <w:pPr>
        <w:pStyle w:val="24"/>
        <w:widowControl/>
        <w:tabs>
          <w:tab w:val="left" w:pos="360"/>
        </w:tabs>
        <w:rPr>
          <w:color w:val="000000" w:themeColor="text1"/>
        </w:rPr>
      </w:pPr>
      <w:r w:rsidRPr="00DB5D0D">
        <w:rPr>
          <w:color w:val="000000" w:themeColor="text1"/>
        </w:rPr>
        <w:t>Рациональное дробление корпуса бомбы взрывчатым веществом.</w:t>
      </w:r>
    </w:p>
    <w:p w14:paraId="2B5C9510" w14:textId="77777777" w:rsidR="003C7E8B" w:rsidRPr="00DB5D0D" w:rsidRDefault="003C7E8B" w:rsidP="00DB5D0D">
      <w:pPr>
        <w:pStyle w:val="24"/>
        <w:widowControl/>
        <w:tabs>
          <w:tab w:val="left" w:pos="360"/>
        </w:tabs>
        <w:rPr>
          <w:color w:val="000000" w:themeColor="text1"/>
        </w:rPr>
      </w:pPr>
      <w:r w:rsidRPr="00DB5D0D">
        <w:rPr>
          <w:color w:val="000000" w:themeColor="text1"/>
        </w:rPr>
        <w:t>Безотказность действия.</w:t>
      </w:r>
    </w:p>
    <w:p w14:paraId="19CF480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в полете.</w:t>
      </w:r>
    </w:p>
    <w:p w14:paraId="400A02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B1DA4F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АО-15 снаряженные АМТ 80/20 НБК, ШНК., АМН 88/12 НБК и русским сплавом – заливкой 1939 года, завода № 12, по осколочному действию и дроблению корпуса бомбы взрывчатым веществом в сравнении со штатной бомбой дали неудовлетворительные результаты и полигонные испытания не выдержали.</w:t>
      </w:r>
    </w:p>
    <w:p w14:paraId="1B4E842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бомбы АО-15 снаряженные русским сплавом – заливкой дали уменьшение осколочного действия в сравнении со штатной бомбой всего на 10-20%, то НИП АВ считает возможным допустить в военное время снаряжение бомб АО-15 русским сплавом (7554).</w:t>
      </w:r>
    </w:p>
    <w:p w14:paraId="2E309FA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1A6917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вышел указ "Об ответственности за выпуск недоброкачественной продукции и за несоблюдение обязательных стандартов промышленными предприятиями" (68,500).</w:t>
      </w:r>
    </w:p>
    <w:p w14:paraId="4CB335B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2216868"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в 1940 году Президиум Верховного Совета СССР издал указ «Об ответственности за выпуск недоброкачественной или некомплектной продукции и за несоблюдение обязательных стандартов промышленными предприятиями» (14948).</w:t>
      </w:r>
    </w:p>
    <w:p w14:paraId="26AF21F8"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27B6E5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пост. Особого Совещания при НКВД ст и гр. N 2 НИИ-3 НКОП С.П.К. был осужден на 10 лет (2528).</w:t>
      </w:r>
    </w:p>
    <w:p w14:paraId="2E9B115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DF3FF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С.П.К. Особым совещанием при НКВД под председательством Л.П. Берии СПК осужден на 8 лет исправительно-трудовых лагерей (Там же) (10676).</w:t>
      </w:r>
    </w:p>
    <w:p w14:paraId="648E8ED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0BAF3E"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74EBA2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24797AD"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1938 г. было принято Постановление Комитета обороны при СНК СССР № 153сс «По докладу комиссии т. Кулика Г. И. о переговорах с фирмой “Шкода” (Чехословакия)» (ГА РФ. Ф. Р</w:t>
      </w:r>
      <w:r w:rsidRPr="00DB5D0D">
        <w:rPr>
          <w:rFonts w:ascii="Times New Roman" w:hAnsi="Times New Roman"/>
          <w:color w:val="000000" w:themeColor="text1"/>
          <w:sz w:val="16"/>
          <w:szCs w:val="16"/>
        </w:rPr>
        <w:noBreakHyphen/>
        <w:t>8418. Оп. 28. Д. 34. Л. 389</w:t>
      </w:r>
      <w:r w:rsidRPr="00DB5D0D">
        <w:rPr>
          <w:rFonts w:ascii="Times New Roman" w:hAnsi="Times New Roman"/>
          <w:color w:val="000000" w:themeColor="text1"/>
          <w:sz w:val="16"/>
          <w:szCs w:val="16"/>
        </w:rPr>
        <w:noBreakHyphen/>
        <w:t>390.) (17779).</w:t>
      </w:r>
    </w:p>
    <w:p w14:paraId="2F927BED" w14:textId="77777777" w:rsidR="004175B6" w:rsidRPr="00DB5D0D" w:rsidRDefault="004175B6" w:rsidP="00DB5D0D">
      <w:pPr>
        <w:spacing w:after="0" w:line="240" w:lineRule="auto"/>
        <w:jc w:val="both"/>
        <w:rPr>
          <w:rFonts w:ascii="Times New Roman" w:hAnsi="Times New Roman"/>
          <w:color w:val="000000" w:themeColor="text1"/>
          <w:sz w:val="16"/>
          <w:szCs w:val="16"/>
        </w:rPr>
      </w:pPr>
    </w:p>
    <w:p w14:paraId="21A8EF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10 июля 1940 г. по вновь разработанной технологии была изготовлена установочная партия литых башен из ста- ли марки МЗ-2 в количестве 13 штук. Отличительной чертой литых башен, изготовленных по чертежу 34.30.182, являлись следующие характерные детали:</w:t>
      </w:r>
    </w:p>
    <w:p w14:paraId="6903F72A" w14:textId="77777777" w:rsidR="003C7E8B" w:rsidRPr="00DB5D0D" w:rsidRDefault="003C7E8B" w:rsidP="00DB5D0D">
      <w:pPr>
        <w:tabs>
          <w:tab w:val="left" w:pos="60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корпус башни спроектирован на подобии расширенной свар</w:t>
      </w:r>
      <w:r w:rsidRPr="00DB5D0D">
        <w:rPr>
          <w:rFonts w:ascii="Times New Roman" w:hAnsi="Times New Roman"/>
          <w:color w:val="000000" w:themeColor="text1"/>
          <w:sz w:val="16"/>
          <w:szCs w:val="16"/>
        </w:rPr>
        <w:softHyphen/>
        <w:t>ной башни, линия изгиба боковых стенок смещена относительно центра башни на 162 мм в сторону кормы;</w:t>
      </w:r>
    </w:p>
    <w:p w14:paraId="582DFDD8" w14:textId="77777777" w:rsidR="003C7E8B" w:rsidRPr="00DB5D0D" w:rsidRDefault="003C7E8B" w:rsidP="00DB5D0D">
      <w:pPr>
        <w:tabs>
          <w:tab w:val="left" w:pos="623"/>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отлитые зацело с телом башни приливы оснований боковых смотровых приборов;</w:t>
      </w:r>
    </w:p>
    <w:p w14:paraId="77701D69" w14:textId="77777777" w:rsidR="003C7E8B" w:rsidRPr="00DB5D0D" w:rsidRDefault="003C7E8B" w:rsidP="00DB5D0D">
      <w:pPr>
        <w:tabs>
          <w:tab w:val="left" w:pos="60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отлитый зацело с телом башни кронштейн для крепления ме</w:t>
      </w:r>
      <w:r w:rsidRPr="00DB5D0D">
        <w:rPr>
          <w:rFonts w:ascii="Times New Roman" w:hAnsi="Times New Roman"/>
          <w:color w:val="000000" w:themeColor="text1"/>
          <w:sz w:val="16"/>
          <w:szCs w:val="16"/>
        </w:rPr>
        <w:softHyphen/>
        <w:t>ханизма поворота башни;</w:t>
      </w:r>
    </w:p>
    <w:p w14:paraId="23252C19" w14:textId="77777777" w:rsidR="003C7E8B" w:rsidRPr="00DB5D0D" w:rsidRDefault="003C7E8B" w:rsidP="00DB5D0D">
      <w:pPr>
        <w:tabs>
          <w:tab w:val="left" w:pos="61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отлитое зацело с телом башни кольцо для крепления погона башни;</w:t>
      </w:r>
    </w:p>
    <w:p w14:paraId="641984BC" w14:textId="77777777" w:rsidR="003C7E8B" w:rsidRPr="00DB5D0D" w:rsidRDefault="003C7E8B" w:rsidP="00DB5D0D">
      <w:pPr>
        <w:tabs>
          <w:tab w:val="left" w:pos="6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отсутствие крыши и днища ниши башни.</w:t>
      </w:r>
    </w:p>
    <w:p w14:paraId="42060F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отливки все башни установочной партии подвергли тща</w:t>
      </w:r>
      <w:r w:rsidRPr="00DB5D0D">
        <w:rPr>
          <w:rFonts w:ascii="Times New Roman" w:hAnsi="Times New Roman"/>
          <w:color w:val="000000" w:themeColor="text1"/>
          <w:sz w:val="16"/>
          <w:szCs w:val="16"/>
        </w:rPr>
        <w:softHyphen/>
        <w:t>тельному осмотру и замеру, результаты которых были отражены в составленном сотрудниками бригады отчете «Обзор производства установочной партии литых башен из стали МЗ-2 для танка Т-34 на Мариупольском заводе им. Ильича».</w:t>
      </w:r>
    </w:p>
    <w:p w14:paraId="7D875DC9" w14:textId="77777777" w:rsidR="003C7E8B" w:rsidRPr="00DB5D0D" w:rsidRDefault="003C7E8B" w:rsidP="00DB5D0D">
      <w:pPr>
        <w:pStyle w:val="a3"/>
        <w:rPr>
          <w:color w:val="000000" w:themeColor="text1"/>
          <w:lang w:val="ru-RU"/>
        </w:rPr>
      </w:pPr>
      <w:r w:rsidRPr="00DB5D0D">
        <w:rPr>
          <w:color w:val="000000" w:themeColor="text1"/>
          <w:u w:val="single"/>
          <w:lang w:val="ru-RU"/>
        </w:rPr>
        <w:t>ОСМОТР ОТЛИТОЙ ПАРТИИ БАШЕН ОБНАРУЖИЛ СЛЕДУЮЩИЕ ВИДЫДЕФЕКТОВ:</w:t>
      </w:r>
    </w:p>
    <w:p w14:paraId="4D25D869" w14:textId="77777777" w:rsidR="003C7E8B" w:rsidRPr="00DB5D0D" w:rsidRDefault="003C7E8B" w:rsidP="00DB5D0D">
      <w:pPr>
        <w:pStyle w:val="a3"/>
        <w:tabs>
          <w:tab w:val="left" w:pos="760"/>
        </w:tabs>
        <w:rPr>
          <w:color w:val="000000" w:themeColor="text1"/>
          <w:lang w:val="ru-RU"/>
        </w:rPr>
      </w:pPr>
      <w:r w:rsidRPr="00DB5D0D">
        <w:rPr>
          <w:color w:val="000000" w:themeColor="text1"/>
          <w:lang w:val="ru-RU"/>
        </w:rPr>
        <w:t>1. Незначительные трещины глубиной до 20мм в месте пере</w:t>
      </w:r>
      <w:r w:rsidRPr="00DB5D0D">
        <w:rPr>
          <w:color w:val="000000" w:themeColor="text1"/>
          <w:lang w:val="ru-RU"/>
        </w:rPr>
        <w:softHyphen/>
        <w:t>хода прилива смотрового отверстия к бортовой стенке (одна де</w:t>
      </w:r>
      <w:r w:rsidRPr="00DB5D0D">
        <w:rPr>
          <w:color w:val="000000" w:themeColor="text1"/>
          <w:lang w:val="ru-RU"/>
        </w:rPr>
        <w:softHyphen/>
        <w:t>таль №1-1).</w:t>
      </w:r>
    </w:p>
    <w:p w14:paraId="3FEC1FAB" w14:textId="77777777" w:rsidR="003C7E8B" w:rsidRPr="00DB5D0D" w:rsidRDefault="003C7E8B" w:rsidP="00DB5D0D">
      <w:pPr>
        <w:pStyle w:val="a3"/>
        <w:tabs>
          <w:tab w:val="left" w:pos="710"/>
        </w:tabs>
        <w:rPr>
          <w:color w:val="000000" w:themeColor="text1"/>
          <w:lang w:val="ru-RU"/>
        </w:rPr>
      </w:pPr>
      <w:r w:rsidRPr="00DB5D0D">
        <w:rPr>
          <w:color w:val="000000" w:themeColor="text1"/>
          <w:lang w:val="ru-RU"/>
        </w:rPr>
        <w:t>2. Незначительные раковины под холодильниками прилива смот</w:t>
      </w:r>
      <w:r w:rsidRPr="00DB5D0D">
        <w:rPr>
          <w:color w:val="000000" w:themeColor="text1"/>
          <w:lang w:val="ru-RU"/>
        </w:rPr>
        <w:softHyphen/>
        <w:t>рового отверстия (одна деталь № 1 -2).</w:t>
      </w:r>
    </w:p>
    <w:p w14:paraId="6087AFB2" w14:textId="77777777" w:rsidR="003C7E8B" w:rsidRPr="00DB5D0D" w:rsidRDefault="003C7E8B" w:rsidP="00DB5D0D">
      <w:pPr>
        <w:pStyle w:val="a3"/>
        <w:tabs>
          <w:tab w:val="left" w:pos="734"/>
        </w:tabs>
        <w:rPr>
          <w:color w:val="000000" w:themeColor="text1"/>
          <w:lang w:val="ru-RU"/>
        </w:rPr>
      </w:pPr>
      <w:r w:rsidRPr="00DB5D0D">
        <w:rPr>
          <w:color w:val="000000" w:themeColor="text1"/>
          <w:lang w:val="ru-RU"/>
        </w:rPr>
        <w:t>3. Земляные засоры (две детали №1-5 и №1- 7).</w:t>
      </w:r>
    </w:p>
    <w:p w14:paraId="506C31EE" w14:textId="77777777" w:rsidR="003C7E8B" w:rsidRPr="00DB5D0D" w:rsidRDefault="003C7E8B" w:rsidP="00DB5D0D">
      <w:pPr>
        <w:pStyle w:val="a3"/>
        <w:tabs>
          <w:tab w:val="left" w:pos="734"/>
        </w:tabs>
        <w:rPr>
          <w:color w:val="000000" w:themeColor="text1"/>
          <w:lang w:val="ru-RU"/>
        </w:rPr>
      </w:pPr>
      <w:r w:rsidRPr="00DB5D0D">
        <w:rPr>
          <w:color w:val="000000" w:themeColor="text1"/>
          <w:lang w:val="ru-RU"/>
        </w:rPr>
        <w:t>4. Размыв формы (две детали №1-7и №1 -8).</w:t>
      </w:r>
    </w:p>
    <w:p w14:paraId="61C45160" w14:textId="77777777" w:rsidR="003C7E8B" w:rsidRPr="00DB5D0D" w:rsidRDefault="003C7E8B" w:rsidP="00DB5D0D">
      <w:pPr>
        <w:pStyle w:val="a3"/>
        <w:tabs>
          <w:tab w:val="left" w:pos="741"/>
        </w:tabs>
        <w:rPr>
          <w:color w:val="000000" w:themeColor="text1"/>
          <w:lang w:val="ru-RU"/>
        </w:rPr>
      </w:pPr>
      <w:r w:rsidRPr="00DB5D0D">
        <w:rPr>
          <w:color w:val="000000" w:themeColor="text1"/>
          <w:lang w:val="ru-RU"/>
        </w:rPr>
        <w:t>5. «Рвотины» на поверхности глубиной до 25мм (деталь №2-1)</w:t>
      </w:r>
    </w:p>
    <w:p w14:paraId="4372A884" w14:textId="77777777" w:rsidR="003C7E8B" w:rsidRPr="00DB5D0D" w:rsidRDefault="003C7E8B" w:rsidP="00DB5D0D">
      <w:pPr>
        <w:pStyle w:val="a3"/>
        <w:tabs>
          <w:tab w:val="left" w:pos="674"/>
        </w:tabs>
        <w:rPr>
          <w:color w:val="000000" w:themeColor="text1"/>
          <w:lang w:val="ru-RU"/>
        </w:rPr>
      </w:pPr>
      <w:r w:rsidRPr="00DB5D0D">
        <w:rPr>
          <w:color w:val="000000" w:themeColor="text1"/>
          <w:lang w:val="ru-RU"/>
        </w:rPr>
        <w:t>6. Уход металла из формы при заливке (деталь 2-2).</w:t>
      </w:r>
    </w:p>
    <w:p w14:paraId="20B7A539" w14:textId="77777777" w:rsidR="003C7E8B" w:rsidRPr="00DB5D0D" w:rsidRDefault="003C7E8B" w:rsidP="00DB5D0D">
      <w:pPr>
        <w:pStyle w:val="a3"/>
        <w:tabs>
          <w:tab w:val="left" w:pos="674"/>
        </w:tabs>
        <w:rPr>
          <w:color w:val="000000" w:themeColor="text1"/>
          <w:lang w:val="ru-RU"/>
        </w:rPr>
      </w:pPr>
      <w:r w:rsidRPr="00DB5D0D">
        <w:rPr>
          <w:color w:val="000000" w:themeColor="text1"/>
          <w:u w:val="single"/>
          <w:lang w:val="ru-RU"/>
        </w:rPr>
        <w:t>ПРИЧИНЫ ОБРАЗОВАНИЯ ДЕФЕКТОВ И МЕРЫ ИХ УСТРАНЕНИЯ.</w:t>
      </w:r>
    </w:p>
    <w:p w14:paraId="404A4A4F" w14:textId="77777777" w:rsidR="003C7E8B" w:rsidRPr="00DB5D0D" w:rsidRDefault="003C7E8B" w:rsidP="00DB5D0D">
      <w:pPr>
        <w:pStyle w:val="a3"/>
        <w:tabs>
          <w:tab w:val="left" w:pos="803"/>
        </w:tabs>
        <w:rPr>
          <w:color w:val="000000" w:themeColor="text1"/>
          <w:lang w:val="ru-RU"/>
        </w:rPr>
      </w:pPr>
      <w:r w:rsidRPr="00DB5D0D">
        <w:rPr>
          <w:color w:val="000000" w:themeColor="text1"/>
          <w:lang w:val="ru-RU"/>
        </w:rPr>
        <w:t>1. Трещины в месте сопряжения прилива смотрового отвер</w:t>
      </w:r>
      <w:r w:rsidRPr="00DB5D0D">
        <w:rPr>
          <w:color w:val="000000" w:themeColor="text1"/>
          <w:lang w:val="ru-RU"/>
        </w:rPr>
        <w:softHyphen/>
        <w:t>стия с бортом образовались вследствие недостаточно плавного пе</w:t>
      </w:r>
      <w:r w:rsidRPr="00DB5D0D">
        <w:rPr>
          <w:color w:val="000000" w:themeColor="text1"/>
          <w:lang w:val="ru-RU"/>
        </w:rPr>
        <w:softHyphen/>
        <w:t>рехода и были устранены, начиная с третьей детали, путем незна</w:t>
      </w:r>
      <w:r w:rsidRPr="00DB5D0D">
        <w:rPr>
          <w:color w:val="000000" w:themeColor="text1"/>
          <w:lang w:val="ru-RU"/>
        </w:rPr>
        <w:softHyphen/>
        <w:t>чительного изменения первоначальной конструкции.</w:t>
      </w:r>
    </w:p>
    <w:p w14:paraId="7D1180ED" w14:textId="77777777" w:rsidR="003C7E8B" w:rsidRPr="00DB5D0D" w:rsidRDefault="003C7E8B" w:rsidP="00DB5D0D">
      <w:pPr>
        <w:tabs>
          <w:tab w:val="left" w:pos="760"/>
        </w:tabs>
        <w:spacing w:after="0" w:line="240" w:lineRule="auto"/>
        <w:jc w:val="both"/>
        <w:rPr>
          <w:rFonts w:ascii="Times New Roman" w:hAnsi="Times New Roman"/>
          <w:color w:val="000000" w:themeColor="text1"/>
          <w:sz w:val="16"/>
          <w:szCs w:val="16"/>
        </w:rPr>
      </w:pPr>
      <w:r w:rsidRPr="00DB5D0D">
        <w:rPr>
          <w:rStyle w:val="2f"/>
          <w:rFonts w:ascii="Times New Roman" w:hAnsi="Times New Roman" w:cs="Times New Roman"/>
          <w:i w:val="0"/>
          <w:iCs w:val="0"/>
          <w:color w:val="000000" w:themeColor="text1"/>
          <w:spacing w:val="0"/>
          <w:sz w:val="16"/>
          <w:szCs w:val="16"/>
        </w:rPr>
        <w:t>2. Незначительные раковины под холодильниками произошли вследствие оплавления их во время заливки, что объясняется не</w:t>
      </w:r>
      <w:r w:rsidRPr="00DB5D0D">
        <w:rPr>
          <w:rStyle w:val="2f"/>
          <w:rFonts w:ascii="Times New Roman" w:hAnsi="Times New Roman" w:cs="Times New Roman"/>
          <w:i w:val="0"/>
          <w:iCs w:val="0"/>
          <w:color w:val="000000" w:themeColor="text1"/>
          <w:spacing w:val="0"/>
          <w:sz w:val="16"/>
          <w:szCs w:val="16"/>
        </w:rPr>
        <w:softHyphen/>
        <w:t>достаточной толщиной холодильников. Холодильники утолщены на 25мм и кроме того чугунные холодильники заменены стальными</w:t>
      </w:r>
      <w:r w:rsidRPr="00DB5D0D">
        <w:rPr>
          <w:rFonts w:ascii="Times New Roman" w:hAnsi="Times New Roman"/>
          <w:color w:val="000000" w:themeColor="text1"/>
          <w:sz w:val="16"/>
          <w:szCs w:val="16"/>
        </w:rPr>
        <w:t>(использование холодильников позволяет выравнять время затвер</w:t>
      </w:r>
      <w:r w:rsidRPr="00DB5D0D">
        <w:rPr>
          <w:rFonts w:ascii="Times New Roman" w:hAnsi="Times New Roman"/>
          <w:color w:val="000000" w:themeColor="text1"/>
          <w:sz w:val="16"/>
          <w:szCs w:val="16"/>
        </w:rPr>
        <w:softHyphen/>
        <w:t>девания расплава в толстых и тонких частях отливки, обеспечивая одновременное ее затвердевание. Обладая высокой теплопровод</w:t>
      </w:r>
      <w:r w:rsidRPr="00DB5D0D">
        <w:rPr>
          <w:rFonts w:ascii="Times New Roman" w:hAnsi="Times New Roman"/>
          <w:color w:val="000000" w:themeColor="text1"/>
          <w:sz w:val="16"/>
          <w:szCs w:val="16"/>
        </w:rPr>
        <w:softHyphen/>
        <w:t>ностью и способностью аккумулировать тепло, внешний холодиль</w:t>
      </w:r>
      <w:r w:rsidRPr="00DB5D0D">
        <w:rPr>
          <w:rFonts w:ascii="Times New Roman" w:hAnsi="Times New Roman"/>
          <w:color w:val="000000" w:themeColor="text1"/>
          <w:sz w:val="16"/>
          <w:szCs w:val="16"/>
        </w:rPr>
        <w:softHyphen/>
        <w:t>ник значительно ускоряет процесс затвердевания расплава в бо</w:t>
      </w:r>
      <w:r w:rsidRPr="00DB5D0D">
        <w:rPr>
          <w:rFonts w:ascii="Times New Roman" w:hAnsi="Times New Roman"/>
          <w:color w:val="000000" w:themeColor="text1"/>
          <w:sz w:val="16"/>
          <w:szCs w:val="16"/>
        </w:rPr>
        <w:softHyphen/>
        <w:t>лее массивном узле, тем самым уменьшая вероятность образова</w:t>
      </w:r>
      <w:r w:rsidRPr="00DB5D0D">
        <w:rPr>
          <w:rFonts w:ascii="Times New Roman" w:hAnsi="Times New Roman"/>
          <w:color w:val="000000" w:themeColor="text1"/>
          <w:sz w:val="16"/>
          <w:szCs w:val="16"/>
        </w:rPr>
        <w:softHyphen/>
        <w:t>ния усадочных дефектов</w:t>
      </w:r>
      <w:r w:rsidRPr="00DB5D0D">
        <w:rPr>
          <w:rStyle w:val="2f"/>
          <w:rFonts w:ascii="Times New Roman" w:hAnsi="Times New Roman" w:cs="Times New Roman"/>
          <w:i w:val="0"/>
          <w:color w:val="000000" w:themeColor="text1"/>
          <w:spacing w:val="0"/>
          <w:sz w:val="16"/>
          <w:szCs w:val="16"/>
        </w:rPr>
        <w:t>)</w:t>
      </w:r>
    </w:p>
    <w:p w14:paraId="238C0833" w14:textId="77777777" w:rsidR="003C7E8B" w:rsidRPr="00DB5D0D" w:rsidRDefault="003C7E8B" w:rsidP="00DB5D0D">
      <w:pPr>
        <w:pStyle w:val="a3"/>
        <w:tabs>
          <w:tab w:val="left" w:pos="724"/>
        </w:tabs>
        <w:rPr>
          <w:color w:val="000000" w:themeColor="text1"/>
          <w:lang w:val="ru-RU"/>
        </w:rPr>
      </w:pPr>
      <w:r w:rsidRPr="00DB5D0D">
        <w:rPr>
          <w:color w:val="000000" w:themeColor="text1"/>
          <w:lang w:val="ru-RU"/>
        </w:rPr>
        <w:t>3. Земляные засоры были обнаружены на 2-х деталях (№1-5 и № 1 - 7). Указанные дефекты объясняются невнимательной работой при сборке и сбалчивании опок. Во избежание земляных засоров, которые получаются главным образом, вследствие отдавливания стержней верхней опокой при сборке, необходимо по установке боковых стержней и главного стержня № 1 проверять рейкой по разъему формы правильность установки стержней, не допуская при этом выступов их над разъемом. Верхняя опока для проверки дол</w:t>
      </w:r>
      <w:r w:rsidRPr="00DB5D0D">
        <w:rPr>
          <w:color w:val="000000" w:themeColor="text1"/>
          <w:lang w:val="ru-RU"/>
        </w:rPr>
        <w:softHyphen/>
        <w:t>жна дважды перекрываться. Сбалчивание формы следует произ</w:t>
      </w:r>
      <w:r w:rsidRPr="00DB5D0D">
        <w:rPr>
          <w:color w:val="000000" w:themeColor="text1"/>
          <w:lang w:val="ru-RU"/>
        </w:rPr>
        <w:softHyphen/>
        <w:t>водить с подчековкой фланцев опок по разъему.</w:t>
      </w:r>
    </w:p>
    <w:p w14:paraId="4E2348FE" w14:textId="77777777" w:rsidR="003C7E8B" w:rsidRPr="00DB5D0D" w:rsidRDefault="003C7E8B" w:rsidP="00DB5D0D">
      <w:pPr>
        <w:pStyle w:val="a3"/>
        <w:tabs>
          <w:tab w:val="left" w:pos="682"/>
        </w:tabs>
        <w:rPr>
          <w:color w:val="000000" w:themeColor="text1"/>
          <w:lang w:val="ru-RU"/>
        </w:rPr>
      </w:pPr>
      <w:r w:rsidRPr="00DB5D0D">
        <w:rPr>
          <w:color w:val="000000" w:themeColor="text1"/>
          <w:lang w:val="ru-RU"/>
        </w:rPr>
        <w:t>4. Размыв формы происходит по причине недостаточно тщатель</w:t>
      </w:r>
      <w:r w:rsidRPr="00DB5D0D">
        <w:rPr>
          <w:color w:val="000000" w:themeColor="text1"/>
          <w:lang w:val="ru-RU"/>
        </w:rPr>
        <w:softHyphen/>
        <w:t>ной отделки слабых мест формы и недостаточной прошлифовки.</w:t>
      </w:r>
    </w:p>
    <w:p w14:paraId="3AB42884" w14:textId="77777777" w:rsidR="003C7E8B" w:rsidRPr="00DB5D0D" w:rsidRDefault="003C7E8B" w:rsidP="00DB5D0D">
      <w:pPr>
        <w:pStyle w:val="a3"/>
        <w:tabs>
          <w:tab w:val="left" w:pos="711"/>
        </w:tabs>
        <w:rPr>
          <w:color w:val="000000" w:themeColor="text1"/>
          <w:lang w:val="ru-RU"/>
        </w:rPr>
      </w:pPr>
      <w:r w:rsidRPr="00DB5D0D">
        <w:rPr>
          <w:color w:val="000000" w:themeColor="text1"/>
          <w:lang w:val="ru-RU"/>
        </w:rPr>
        <w:t>5. «Рвотины» на поверхности детали, обнаруженные на детали №2-1, объясняются грубым нарушение технологического процес</w:t>
      </w:r>
      <w:r w:rsidRPr="00DB5D0D">
        <w:rPr>
          <w:color w:val="000000" w:themeColor="text1"/>
          <w:lang w:val="ru-RU"/>
        </w:rPr>
        <w:softHyphen/>
        <w:t xml:space="preserve">са. Деталь </w:t>
      </w:r>
      <w:r w:rsidRPr="00DB5D0D">
        <w:rPr>
          <w:rStyle w:val="0pt"/>
          <w:rFonts w:ascii="Times New Roman" w:cs="Times New Roman"/>
          <w:iCs/>
          <w:color w:val="000000" w:themeColor="text1"/>
          <w:spacing w:val="0"/>
          <w:sz w:val="16"/>
          <w:szCs w:val="16"/>
          <w:lang w:val="ru-RU"/>
        </w:rPr>
        <w:t>2-1</w:t>
      </w:r>
      <w:r w:rsidRPr="00DB5D0D">
        <w:rPr>
          <w:color w:val="000000" w:themeColor="text1"/>
          <w:lang w:val="ru-RU"/>
        </w:rPr>
        <w:t xml:space="preserve"> заливалась через 48 часов по окончании сборки, вместо полагающихся 8-10 часов. Это обстоятельство повлекло к тому, что форма отсырела, вследствие чего образовались указан</w:t>
      </w:r>
      <w:r w:rsidRPr="00DB5D0D">
        <w:rPr>
          <w:color w:val="000000" w:themeColor="text1"/>
          <w:lang w:val="ru-RU"/>
        </w:rPr>
        <w:softHyphen/>
        <w:t>ные дефекты.</w:t>
      </w:r>
    </w:p>
    <w:p w14:paraId="2C832D8A" w14:textId="77777777" w:rsidR="003C7E8B" w:rsidRPr="00DB5D0D" w:rsidRDefault="003C7E8B" w:rsidP="00DB5D0D">
      <w:pPr>
        <w:pStyle w:val="a3"/>
        <w:tabs>
          <w:tab w:val="left" w:pos="718"/>
        </w:tabs>
        <w:rPr>
          <w:color w:val="000000" w:themeColor="text1"/>
          <w:lang w:val="ru-RU"/>
        </w:rPr>
      </w:pPr>
      <w:r w:rsidRPr="00DB5D0D">
        <w:rPr>
          <w:color w:val="000000" w:themeColor="text1"/>
          <w:lang w:val="ru-RU"/>
        </w:rPr>
        <w:t>6. Уход металла из формы при заливке детали №2-2 произо</w:t>
      </w:r>
      <w:r w:rsidRPr="00DB5D0D">
        <w:rPr>
          <w:color w:val="000000" w:themeColor="text1"/>
          <w:lang w:val="ru-RU"/>
        </w:rPr>
        <w:softHyphen/>
        <w:t>шел по причине недостаточно хорошей промазки стыков литнико</w:t>
      </w:r>
      <w:r w:rsidRPr="00DB5D0D">
        <w:rPr>
          <w:color w:val="000000" w:themeColor="text1"/>
          <w:lang w:val="ru-RU"/>
        </w:rPr>
        <w:softHyphen/>
        <w:t>вой системы и недостаточной толщины слоя земли между литни</w:t>
      </w:r>
      <w:r w:rsidRPr="00DB5D0D">
        <w:rPr>
          <w:color w:val="000000" w:themeColor="text1"/>
          <w:lang w:val="ru-RU"/>
        </w:rPr>
        <w:softHyphen/>
        <w:t>ковой системой и нижней плитой. Для устранения этого явления в настоящее время нижняя плита делается без отверстий.</w:t>
      </w:r>
    </w:p>
    <w:p w14:paraId="3F76DBF4" w14:textId="77777777" w:rsidR="003C7E8B" w:rsidRPr="00DB5D0D" w:rsidRDefault="003C7E8B" w:rsidP="00DB5D0D">
      <w:pPr>
        <w:pStyle w:val="a3"/>
        <w:rPr>
          <w:color w:val="000000" w:themeColor="text1"/>
          <w:lang w:val="ru-RU"/>
        </w:rPr>
      </w:pPr>
      <w:r w:rsidRPr="00DB5D0D">
        <w:rPr>
          <w:color w:val="000000" w:themeColor="text1"/>
          <w:lang w:val="ru-RU"/>
        </w:rPr>
        <w:t>Необходимо отметить, что ввиду сложности отливки башни, в процессе установочной партии и последующего производства не</w:t>
      </w:r>
      <w:r w:rsidRPr="00DB5D0D">
        <w:rPr>
          <w:color w:val="000000" w:themeColor="text1"/>
          <w:lang w:val="ru-RU"/>
        </w:rPr>
        <w:softHyphen/>
        <w:t>минуемы незначительные уточнения инструкции производства. Об</w:t>
      </w:r>
      <w:r w:rsidRPr="00DB5D0D">
        <w:rPr>
          <w:color w:val="000000" w:themeColor="text1"/>
          <w:lang w:val="ru-RU"/>
        </w:rPr>
        <w:softHyphen/>
        <w:t>щая схема процесса установлена бригадой правильно и остается неизменной.</w:t>
      </w:r>
    </w:p>
    <w:p w14:paraId="4DE0EACB" w14:textId="77777777" w:rsidR="003C7E8B" w:rsidRPr="00DB5D0D" w:rsidRDefault="003C7E8B" w:rsidP="00DB5D0D">
      <w:pPr>
        <w:pStyle w:val="a3"/>
        <w:rPr>
          <w:color w:val="000000" w:themeColor="text1"/>
          <w:lang w:val="ru-RU"/>
        </w:rPr>
      </w:pPr>
      <w:r w:rsidRPr="00DB5D0D">
        <w:rPr>
          <w:color w:val="000000" w:themeColor="text1"/>
          <w:u w:val="single"/>
          <w:lang w:val="ru-RU"/>
        </w:rPr>
        <w:t>ПРОВЕРКА ВНЕШНИХ РАЗМЕРОВ ДЕТАЛЕЙ</w:t>
      </w:r>
    </w:p>
    <w:p w14:paraId="489C4EB4" w14:textId="77777777" w:rsidR="003C7E8B" w:rsidRPr="00DB5D0D" w:rsidRDefault="003C7E8B" w:rsidP="00DB5D0D">
      <w:pPr>
        <w:pStyle w:val="a3"/>
        <w:rPr>
          <w:color w:val="000000" w:themeColor="text1"/>
          <w:lang w:val="ru-RU"/>
        </w:rPr>
      </w:pPr>
      <w:r w:rsidRPr="00DB5D0D">
        <w:rPr>
          <w:color w:val="000000" w:themeColor="text1"/>
          <w:lang w:val="ru-RU"/>
        </w:rPr>
        <w:t>При разметке трех башен №№1-2, 1-3, 1-4 установлены не</w:t>
      </w:r>
      <w:r w:rsidRPr="00DB5D0D">
        <w:rPr>
          <w:color w:val="000000" w:themeColor="text1"/>
          <w:lang w:val="ru-RU"/>
        </w:rPr>
        <w:softHyphen/>
        <w:t>значительные отклонения в размерах детали, которые, однако, не превышают 1% от чертежных размеров.</w:t>
      </w:r>
    </w:p>
    <w:p w14:paraId="2F842AE1" w14:textId="77777777" w:rsidR="003C7E8B" w:rsidRPr="00DB5D0D" w:rsidRDefault="003C7E8B" w:rsidP="00DB5D0D">
      <w:pPr>
        <w:pStyle w:val="a3"/>
        <w:rPr>
          <w:color w:val="000000" w:themeColor="text1"/>
          <w:lang w:val="ru-RU"/>
        </w:rPr>
      </w:pPr>
      <w:r w:rsidRPr="00DB5D0D">
        <w:rPr>
          <w:color w:val="000000" w:themeColor="text1"/>
          <w:lang w:val="ru-RU"/>
        </w:rPr>
        <w:t>Разметкой обнаружено коробление кольца для крепления пого</w:t>
      </w:r>
      <w:r w:rsidRPr="00DB5D0D">
        <w:rPr>
          <w:color w:val="000000" w:themeColor="text1"/>
          <w:lang w:val="ru-RU"/>
        </w:rPr>
        <w:softHyphen/>
        <w:t>на, поэтому для сохранения чертежных размеров был увеличен при</w:t>
      </w:r>
      <w:r w:rsidRPr="00DB5D0D">
        <w:rPr>
          <w:color w:val="000000" w:themeColor="text1"/>
          <w:lang w:val="ru-RU"/>
        </w:rPr>
        <w:softHyphen/>
        <w:t>пуск на механическую обработку кольца на 10 мм. Толщина борто</w:t>
      </w:r>
      <w:r w:rsidRPr="00DB5D0D">
        <w:rPr>
          <w:color w:val="000000" w:themeColor="text1"/>
          <w:lang w:val="ru-RU"/>
        </w:rPr>
        <w:softHyphen/>
        <w:t>вых частей колеблется в пределах 51-56 мм, толщина головной части - 52-53 мм.</w:t>
      </w:r>
    </w:p>
    <w:p w14:paraId="7C6DCB42" w14:textId="77777777" w:rsidR="003C7E8B" w:rsidRPr="00DB5D0D" w:rsidRDefault="003C7E8B" w:rsidP="00DB5D0D">
      <w:pPr>
        <w:pStyle w:val="a3"/>
        <w:rPr>
          <w:color w:val="000000" w:themeColor="text1"/>
          <w:lang w:val="ru-RU"/>
        </w:rPr>
      </w:pPr>
      <w:r w:rsidRPr="00DB5D0D">
        <w:rPr>
          <w:color w:val="000000" w:themeColor="text1"/>
          <w:lang w:val="ru-RU"/>
        </w:rPr>
        <w:t>Наблюдается незначительное (15 мм) коробление (расхожде</w:t>
      </w:r>
      <w:r w:rsidRPr="00DB5D0D">
        <w:rPr>
          <w:color w:val="000000" w:themeColor="text1"/>
          <w:lang w:val="ru-RU"/>
        </w:rPr>
        <w:softHyphen/>
        <w:t>ние) бортов после вырезки кормовой части. Причина может быть установлена лишь после разметки башни не прошедшей термооб</w:t>
      </w:r>
      <w:r w:rsidRPr="00DB5D0D">
        <w:rPr>
          <w:color w:val="000000" w:themeColor="text1"/>
          <w:lang w:val="ru-RU"/>
        </w:rPr>
        <w:softHyphen/>
        <w:t>работку, т.к. коробление бортов может иметь место в период ос</w:t>
      </w:r>
      <w:r w:rsidRPr="00DB5D0D">
        <w:rPr>
          <w:color w:val="000000" w:themeColor="text1"/>
          <w:lang w:val="ru-RU"/>
        </w:rPr>
        <w:softHyphen/>
        <w:t>тывания детали, а также при термообработке.</w:t>
      </w:r>
    </w:p>
    <w:p w14:paraId="1B1B94CC" w14:textId="77777777" w:rsidR="003C7E8B" w:rsidRPr="00DB5D0D" w:rsidRDefault="003C7E8B" w:rsidP="00DB5D0D">
      <w:pPr>
        <w:pStyle w:val="a3"/>
        <w:rPr>
          <w:color w:val="000000" w:themeColor="text1"/>
          <w:lang w:val="ru-RU"/>
        </w:rPr>
      </w:pPr>
      <w:r w:rsidRPr="00DB5D0D">
        <w:rPr>
          <w:color w:val="000000" w:themeColor="text1"/>
          <w:lang w:val="ru-RU"/>
        </w:rPr>
        <w:t>Приливы с наружной стороны для смотровых отверстий уста</w:t>
      </w:r>
      <w:r w:rsidRPr="00DB5D0D">
        <w:rPr>
          <w:color w:val="000000" w:themeColor="text1"/>
          <w:lang w:val="ru-RU"/>
        </w:rPr>
        <w:softHyphen/>
        <w:t>новлены по указанию конструктора КБ завода № 183, т.к. в чертеже недостаточно ясно были указаны места их расположения. Для про</w:t>
      </w:r>
      <w:r w:rsidRPr="00DB5D0D">
        <w:rPr>
          <w:color w:val="000000" w:themeColor="text1"/>
          <w:lang w:val="ru-RU"/>
        </w:rPr>
        <w:softHyphen/>
        <w:t>верки необходимо затребовать дополнительный чертеж этого узла.</w:t>
      </w:r>
    </w:p>
    <w:p w14:paraId="0C28064B" w14:textId="77777777" w:rsidR="003C7E8B" w:rsidRPr="00DB5D0D" w:rsidRDefault="003C7E8B" w:rsidP="00DB5D0D">
      <w:pPr>
        <w:pStyle w:val="a3"/>
        <w:rPr>
          <w:color w:val="000000" w:themeColor="text1"/>
          <w:lang w:val="ru-RU"/>
        </w:rPr>
      </w:pPr>
      <w:r w:rsidRPr="00DB5D0D">
        <w:rPr>
          <w:color w:val="000000" w:themeColor="text1"/>
          <w:lang w:val="ru-RU"/>
        </w:rPr>
        <w:lastRenderedPageBreak/>
        <w:t>Несмотря на указанные выше отклонения от чертежных разме</w:t>
      </w:r>
      <w:r w:rsidRPr="00DB5D0D">
        <w:rPr>
          <w:color w:val="000000" w:themeColor="text1"/>
          <w:lang w:val="ru-RU"/>
        </w:rPr>
        <w:softHyphen/>
        <w:t>ров, разметка показала пригодность деталей для производства ме</w:t>
      </w:r>
      <w:r w:rsidRPr="00DB5D0D">
        <w:rPr>
          <w:color w:val="000000" w:themeColor="text1"/>
          <w:lang w:val="ru-RU"/>
        </w:rPr>
        <w:softHyphen/>
        <w:t>ханической обработки. Она также подтвердила правильность выб</w:t>
      </w:r>
      <w:r w:rsidRPr="00DB5D0D">
        <w:rPr>
          <w:color w:val="000000" w:themeColor="text1"/>
          <w:lang w:val="ru-RU"/>
        </w:rPr>
        <w:softHyphen/>
        <w:t>ранного процента усадки (при изготовлении модели был принят 1% усадки).</w:t>
      </w:r>
    </w:p>
    <w:p w14:paraId="768616DA" w14:textId="77777777" w:rsidR="003C7E8B" w:rsidRPr="00DB5D0D" w:rsidRDefault="003C7E8B" w:rsidP="00DB5D0D">
      <w:pPr>
        <w:pStyle w:val="a3"/>
        <w:rPr>
          <w:color w:val="000000" w:themeColor="text1"/>
          <w:lang w:val="ru-RU"/>
        </w:rPr>
      </w:pPr>
      <w:r w:rsidRPr="00DB5D0D">
        <w:rPr>
          <w:color w:val="000000" w:themeColor="text1"/>
          <w:lang w:val="ru-RU"/>
        </w:rPr>
        <w:t>Ниже приводится список литых башен установочной партии:</w:t>
      </w:r>
    </w:p>
    <w:p w14:paraId="11279E76" w14:textId="77777777" w:rsidR="003C7E8B" w:rsidRPr="00DB5D0D" w:rsidRDefault="003C7E8B" w:rsidP="00DB5D0D">
      <w:pPr>
        <w:pStyle w:val="a3"/>
        <w:rPr>
          <w:color w:val="000000" w:themeColor="text1"/>
        </w:rPr>
      </w:pPr>
      <w:r w:rsidRPr="00DB5D0D">
        <w:rPr>
          <w:iCs/>
          <w:color w:val="000000" w:themeColor="text1"/>
        </w:rPr>
        <w:t>СПИСОК БАШЕН УСТАНОВОЧНОЙ ПАРТИИ</w:t>
      </w:r>
    </w:p>
    <w:tbl>
      <w:tblPr>
        <w:tblW w:w="0" w:type="auto"/>
        <w:tblInd w:w="8" w:type="dxa"/>
        <w:tblLayout w:type="fixed"/>
        <w:tblCellMar>
          <w:left w:w="0" w:type="dxa"/>
          <w:right w:w="0" w:type="dxa"/>
        </w:tblCellMar>
        <w:tblLook w:val="0000" w:firstRow="0" w:lastRow="0" w:firstColumn="0" w:lastColumn="0" w:noHBand="0" w:noVBand="0"/>
      </w:tblPr>
      <w:tblGrid>
        <w:gridCol w:w="835"/>
        <w:gridCol w:w="1296"/>
        <w:gridCol w:w="1296"/>
        <w:gridCol w:w="2599"/>
        <w:gridCol w:w="9137"/>
      </w:tblGrid>
      <w:tr w:rsidR="007D5DF8" w:rsidRPr="00DB5D0D" w14:paraId="72E41F8F" w14:textId="77777777" w:rsidTr="00E543D0">
        <w:trPr>
          <w:trHeight w:val="554"/>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37F6D2AF"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 п/п</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12FD57CC"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 отливки</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1C1DE6E2"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 плавки</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422F214D"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Состояние поверхности отливки</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251D5F77"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Наличие дефектов и их характеристика</w:t>
            </w:r>
          </w:p>
        </w:tc>
      </w:tr>
      <w:tr w:rsidR="007D5DF8" w:rsidRPr="00DB5D0D" w14:paraId="6DBFFD38" w14:textId="77777777" w:rsidTr="00E543D0">
        <w:trPr>
          <w:trHeight w:val="281"/>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349BAE28"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5374FC16"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1-1</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49F7C3BD"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513345</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411D0B24"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Удовлетворительное</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124149FC"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Незначительные трещины в местах соединения прилива смотрового отверстия с бортом</w:t>
            </w:r>
          </w:p>
        </w:tc>
      </w:tr>
      <w:tr w:rsidR="007D5DF8" w:rsidRPr="00DB5D0D" w14:paraId="5ADDDFD9" w14:textId="77777777" w:rsidTr="00E543D0">
        <w:trPr>
          <w:trHeight w:val="547"/>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796241C7"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2</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498279FC"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1-2</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2D8E9AC8"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515298</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52D4A327"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Удовлетворительное</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4283E75C" w14:textId="77777777" w:rsidR="003C7E8B" w:rsidRPr="00DB5D0D" w:rsidRDefault="003C7E8B" w:rsidP="00DB5D0D">
            <w:pPr>
              <w:pStyle w:val="34"/>
              <w:shd w:val="clear" w:color="auto" w:fill="auto"/>
              <w:tabs>
                <w:tab w:val="left" w:pos="234"/>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w:t>
            </w:r>
            <w:r w:rsidRPr="00DB5D0D">
              <w:rPr>
                <w:rFonts w:ascii="Times New Roman" w:cs="Times New Roman"/>
                <w:color w:val="000000" w:themeColor="text1"/>
                <w:spacing w:val="0"/>
                <w:sz w:val="16"/>
                <w:szCs w:val="16"/>
              </w:rPr>
              <w:tab/>
              <w:t>Неправильное направление литников.</w:t>
            </w:r>
          </w:p>
          <w:p w14:paraId="594F863E" w14:textId="77777777" w:rsidR="003C7E8B" w:rsidRPr="00DB5D0D" w:rsidRDefault="003C7E8B" w:rsidP="00DB5D0D">
            <w:pPr>
              <w:pStyle w:val="34"/>
              <w:shd w:val="clear" w:color="auto" w:fill="auto"/>
              <w:tabs>
                <w:tab w:val="left" w:pos="256"/>
              </w:tabs>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w:t>
            </w:r>
            <w:r w:rsidRPr="00DB5D0D">
              <w:rPr>
                <w:rFonts w:ascii="Times New Roman" w:cs="Times New Roman"/>
                <w:color w:val="000000" w:themeColor="text1"/>
                <w:spacing w:val="0"/>
                <w:sz w:val="16"/>
                <w:szCs w:val="16"/>
              </w:rPr>
              <w:tab/>
              <w:t>Незначительный вскип под холодильником прилива смотрового отверстия.</w:t>
            </w:r>
          </w:p>
        </w:tc>
      </w:tr>
      <w:tr w:rsidR="007D5DF8" w:rsidRPr="00DB5D0D" w14:paraId="37531F00" w14:textId="77777777" w:rsidTr="00E543D0">
        <w:trPr>
          <w:trHeight w:val="281"/>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0CE1742F"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3</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4032D537"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1-3</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792A63E9"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513325</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6A47E60A"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Удовлетворительное</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63510C56"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Дефектов не обнаружено.</w:t>
            </w:r>
          </w:p>
        </w:tc>
      </w:tr>
      <w:tr w:rsidR="007D5DF8" w:rsidRPr="00DB5D0D" w14:paraId="56A1EE80" w14:textId="77777777" w:rsidTr="00E543D0">
        <w:trPr>
          <w:trHeight w:val="274"/>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0AD92216"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4</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46FD6CB9"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1-4</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0340E108"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513356</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6B05B1FE"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Удовлетворительное</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548A3F0E"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Дефектов не обнаружено.</w:t>
            </w:r>
          </w:p>
        </w:tc>
      </w:tr>
      <w:tr w:rsidR="007D5DF8" w:rsidRPr="00DB5D0D" w14:paraId="5228AF0D" w14:textId="77777777" w:rsidTr="00E543D0">
        <w:trPr>
          <w:trHeight w:val="288"/>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1D478C5A"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5CE02918"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1-5</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1E9553BD"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513360</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61BA4137"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Брак</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4164C6BA"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Земляной засор.</w:t>
            </w:r>
          </w:p>
        </w:tc>
      </w:tr>
      <w:tr w:rsidR="007D5DF8" w:rsidRPr="00DB5D0D" w14:paraId="6CF45132" w14:textId="77777777" w:rsidTr="00E543D0">
        <w:trPr>
          <w:trHeight w:val="274"/>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7DD06B9F"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6</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3FBDB42A"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1-6</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6BB57D68"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513362</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2C98E9EE"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Удовлетворительное</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01531FB7"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Дефектов не обнаружено.</w:t>
            </w:r>
          </w:p>
        </w:tc>
      </w:tr>
      <w:tr w:rsidR="007D5DF8" w:rsidRPr="00DB5D0D" w14:paraId="19D993F7" w14:textId="77777777" w:rsidTr="00E543D0">
        <w:trPr>
          <w:trHeight w:val="281"/>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73DBE153"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7</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556023C3"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1-7</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6448DE5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5A874630"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Брак</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129C8651"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Земляной засор в передней части обичайки и размыв формы.</w:t>
            </w:r>
          </w:p>
        </w:tc>
      </w:tr>
      <w:tr w:rsidR="007D5DF8" w:rsidRPr="00DB5D0D" w14:paraId="1FA0FBBE" w14:textId="77777777" w:rsidTr="00E543D0">
        <w:trPr>
          <w:trHeight w:val="281"/>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4B0E2998"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8</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795E9544"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1-8</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3C9144DE"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515319</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2C0BD988"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Удовлетворительное</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5DA50AED"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Незначительная раковина на поверхности и местный размыв формы.</w:t>
            </w:r>
          </w:p>
        </w:tc>
      </w:tr>
      <w:tr w:rsidR="007D5DF8" w:rsidRPr="00DB5D0D" w14:paraId="60F14E3C" w14:textId="77777777" w:rsidTr="00E543D0">
        <w:trPr>
          <w:trHeight w:val="281"/>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7DE67319"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9</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0CDA8670"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1-9</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36643002"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515325</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3C9294D8"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Удовлетворительное</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5E64ED52"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Дефектов не обнаружено.</w:t>
            </w:r>
          </w:p>
        </w:tc>
      </w:tr>
      <w:tr w:rsidR="007D5DF8" w:rsidRPr="00DB5D0D" w14:paraId="6C562843" w14:textId="77777777" w:rsidTr="00E543D0">
        <w:trPr>
          <w:trHeight w:val="281"/>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24533FC5"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10</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28C23897"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2-1</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3E01D265"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515315</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66F148DA"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Брак</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5184BD11"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Поверхность покрыта "рвотинами".</w:t>
            </w:r>
          </w:p>
        </w:tc>
      </w:tr>
      <w:tr w:rsidR="007D5DF8" w:rsidRPr="00DB5D0D" w14:paraId="36738B0F" w14:textId="77777777" w:rsidTr="00E543D0">
        <w:trPr>
          <w:trHeight w:val="281"/>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4053928B"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11</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6129B03E"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2-2</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175B1AE2"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515321</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1D231A35"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Брак</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66B12F61"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Не долиты прибыля, форма бежала при заливке.</w:t>
            </w:r>
          </w:p>
        </w:tc>
      </w:tr>
      <w:tr w:rsidR="007D5DF8" w:rsidRPr="00DB5D0D" w14:paraId="3422DB65" w14:textId="77777777" w:rsidTr="00E543D0">
        <w:trPr>
          <w:trHeight w:val="274"/>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09AA8ABB"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12</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6E98D7F6"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2-3</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78A1E2C3"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515327</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75855057"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Удовлетворительное</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16682367"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Дефектов не обнаружено.</w:t>
            </w:r>
          </w:p>
        </w:tc>
      </w:tr>
      <w:tr w:rsidR="007D5DF8" w:rsidRPr="00DB5D0D" w14:paraId="61DC62B2" w14:textId="77777777" w:rsidTr="00E543D0">
        <w:trPr>
          <w:trHeight w:val="302"/>
        </w:trPr>
        <w:tc>
          <w:tcPr>
            <w:tcW w:w="835" w:type="dxa"/>
            <w:tcBorders>
              <w:top w:val="single" w:sz="6" w:space="0" w:color="auto"/>
              <w:left w:val="single" w:sz="6" w:space="0" w:color="auto"/>
              <w:bottom w:val="single" w:sz="6" w:space="0" w:color="auto"/>
              <w:right w:val="single" w:sz="6" w:space="0" w:color="auto"/>
            </w:tcBorders>
            <w:shd w:val="clear" w:color="auto" w:fill="FFFFFF"/>
          </w:tcPr>
          <w:p w14:paraId="38477547"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13</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286AF87D"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2-4</w:t>
            </w:r>
          </w:p>
        </w:tc>
        <w:tc>
          <w:tcPr>
            <w:tcW w:w="1296" w:type="dxa"/>
            <w:tcBorders>
              <w:top w:val="single" w:sz="6" w:space="0" w:color="auto"/>
              <w:left w:val="single" w:sz="6" w:space="0" w:color="auto"/>
              <w:bottom w:val="single" w:sz="6" w:space="0" w:color="auto"/>
              <w:right w:val="single" w:sz="6" w:space="0" w:color="auto"/>
            </w:tcBorders>
            <w:shd w:val="clear" w:color="auto" w:fill="FFFFFF"/>
          </w:tcPr>
          <w:p w14:paraId="2ACBA921"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515326</w:t>
            </w:r>
          </w:p>
        </w:tc>
        <w:tc>
          <w:tcPr>
            <w:tcW w:w="2599" w:type="dxa"/>
            <w:tcBorders>
              <w:top w:val="single" w:sz="6" w:space="0" w:color="auto"/>
              <w:left w:val="single" w:sz="6" w:space="0" w:color="auto"/>
              <w:bottom w:val="single" w:sz="6" w:space="0" w:color="auto"/>
              <w:right w:val="single" w:sz="6" w:space="0" w:color="auto"/>
            </w:tcBorders>
            <w:shd w:val="clear" w:color="auto" w:fill="FFFFFF"/>
          </w:tcPr>
          <w:p w14:paraId="62242908"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Удовлетворительное</w:t>
            </w:r>
          </w:p>
        </w:tc>
        <w:tc>
          <w:tcPr>
            <w:tcW w:w="9137" w:type="dxa"/>
            <w:tcBorders>
              <w:top w:val="single" w:sz="6" w:space="0" w:color="auto"/>
              <w:left w:val="single" w:sz="6" w:space="0" w:color="auto"/>
              <w:bottom w:val="single" w:sz="6" w:space="0" w:color="auto"/>
              <w:right w:val="single" w:sz="6" w:space="0" w:color="auto"/>
            </w:tcBorders>
            <w:shd w:val="clear" w:color="auto" w:fill="FFFFFF"/>
          </w:tcPr>
          <w:p w14:paraId="20471424"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Дефектов не обнаружено.</w:t>
            </w:r>
          </w:p>
        </w:tc>
      </w:tr>
    </w:tbl>
    <w:p w14:paraId="5EC33AA7" w14:textId="77777777" w:rsidR="003C7E8B" w:rsidRPr="00DB5D0D" w:rsidRDefault="003C7E8B" w:rsidP="00DB5D0D">
      <w:pPr>
        <w:pStyle w:val="1b"/>
        <w:spacing w:line="240" w:lineRule="auto"/>
        <w:jc w:val="both"/>
        <w:rPr>
          <w:rFonts w:ascii="Times New Roman" w:hAnsi="Times New Roman" w:cs="Times New Roman"/>
          <w:i w:val="0"/>
          <w:iCs w:val="0"/>
          <w:color w:val="000000" w:themeColor="text1"/>
          <w:spacing w:val="0"/>
          <w:sz w:val="16"/>
          <w:szCs w:val="16"/>
        </w:rPr>
      </w:pPr>
      <w:r w:rsidRPr="00DB5D0D">
        <w:rPr>
          <w:rFonts w:ascii="Times New Roman" w:hAnsi="Times New Roman" w:cs="Times New Roman"/>
          <w:i w:val="0"/>
          <w:iCs w:val="0"/>
          <w:color w:val="000000" w:themeColor="text1"/>
          <w:spacing w:val="0"/>
          <w:sz w:val="16"/>
          <w:szCs w:val="16"/>
        </w:rPr>
        <w:t>(11939).</w:t>
      </w:r>
    </w:p>
    <w:p w14:paraId="02ADF9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видно из приведенного документа, основной причиной брака являлась не неверно выбранная технология изготовления башен, а слабое соблюдение технологической дисциплины. На основании этого сотрудники бригады сделали выводы о необходимости про</w:t>
      </w:r>
      <w:r w:rsidRPr="00DB5D0D">
        <w:rPr>
          <w:rFonts w:ascii="Times New Roman" w:hAnsi="Times New Roman"/>
          <w:color w:val="000000" w:themeColor="text1"/>
          <w:sz w:val="16"/>
          <w:szCs w:val="16"/>
        </w:rPr>
        <w:softHyphen/>
        <w:t>ведения следующих мероприятий, призванных в будущем улучшить качество литых башен:</w:t>
      </w:r>
    </w:p>
    <w:p w14:paraId="6745AB00" w14:textId="77777777" w:rsidR="003C7E8B" w:rsidRPr="00DB5D0D" w:rsidRDefault="003C7E8B" w:rsidP="00DB5D0D">
      <w:pPr>
        <w:tabs>
          <w:tab w:val="left" w:pos="625"/>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повысить трудовую и технологическую дисциплины на всех операциях (формовка, заливка, термообработка);</w:t>
      </w:r>
    </w:p>
    <w:p w14:paraId="76BDFCE2" w14:textId="77777777" w:rsidR="003C7E8B" w:rsidRPr="00DB5D0D" w:rsidRDefault="003C7E8B" w:rsidP="00DB5D0D">
      <w:pPr>
        <w:tabs>
          <w:tab w:val="left" w:pos="625"/>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обеспечить надлежащий технологический контроль на всех операциях изготовления каждой детали;</w:t>
      </w:r>
    </w:p>
    <w:p w14:paraId="719B71CB" w14:textId="77777777" w:rsidR="003C7E8B" w:rsidRPr="00DB5D0D" w:rsidRDefault="003C7E8B" w:rsidP="00DB5D0D">
      <w:pPr>
        <w:tabs>
          <w:tab w:val="left" w:pos="58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уделить особое внимание качеству изготовления формовоч</w:t>
      </w:r>
      <w:r w:rsidRPr="00DB5D0D">
        <w:rPr>
          <w:rFonts w:ascii="Times New Roman" w:hAnsi="Times New Roman"/>
          <w:color w:val="000000" w:themeColor="text1"/>
          <w:sz w:val="16"/>
          <w:szCs w:val="16"/>
        </w:rPr>
        <w:softHyphen/>
        <w:t>ных смесей.</w:t>
      </w:r>
    </w:p>
    <w:p w14:paraId="736977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отливки установочной партии башен также показал, что при массовом производстве для более точного соблюдения тол</w:t>
      </w:r>
      <w:r w:rsidRPr="00DB5D0D">
        <w:rPr>
          <w:rFonts w:ascii="Times New Roman" w:hAnsi="Times New Roman"/>
          <w:color w:val="000000" w:themeColor="text1"/>
          <w:sz w:val="16"/>
          <w:szCs w:val="16"/>
        </w:rPr>
        <w:softHyphen/>
        <w:t>щины и основных размеров башни формовку желательно произво</w:t>
      </w:r>
      <w:r w:rsidRPr="00DB5D0D">
        <w:rPr>
          <w:rFonts w:ascii="Times New Roman" w:hAnsi="Times New Roman"/>
          <w:color w:val="000000" w:themeColor="text1"/>
          <w:sz w:val="16"/>
          <w:szCs w:val="16"/>
        </w:rPr>
        <w:softHyphen/>
        <w:t>дить по металлическим моделям. Забракованные башни из уста</w:t>
      </w:r>
      <w:r w:rsidRPr="00DB5D0D">
        <w:rPr>
          <w:rFonts w:ascii="Times New Roman" w:hAnsi="Times New Roman"/>
          <w:color w:val="000000" w:themeColor="text1"/>
          <w:sz w:val="16"/>
          <w:szCs w:val="16"/>
        </w:rPr>
        <w:softHyphen/>
        <w:t>новочной партии (№№1-5,1 -7,2-1 и 2-2) в дальнейшем использо</w:t>
      </w:r>
      <w:r w:rsidRPr="00DB5D0D">
        <w:rPr>
          <w:rFonts w:ascii="Times New Roman" w:hAnsi="Times New Roman"/>
          <w:color w:val="000000" w:themeColor="text1"/>
          <w:sz w:val="16"/>
          <w:szCs w:val="16"/>
        </w:rPr>
        <w:softHyphen/>
        <w:t>вались для проведения опытных работ по уточнению технологии термообработки (11939).</w:t>
      </w:r>
    </w:p>
    <w:p w14:paraId="300CD72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A5DD3C"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в Указе Президиума Верховного совета СССР “Об ответственности за выпуск недоброкачественной или некомплектной продукции и за несоблюдение обязательных стандартов предприятиями” говорилось: «1. Установить, что выпуск недоброкачественной или некомплектной промышленной продукции и выпуск продукции с нарушением обязательных стандартов является противогосударственным преступлением, равносильным вредительству. 2. За выпуск недоброкачественной или некомплектной продукции и за выпуск продукции с нарушением обязательных стандартов директоров, главных инженеров и начальников отделов технического контроля промышленных предприятий предавать суду и по приговору суда подвергать тюремному заключению сроком от 5 до 8 лет. 3. Поручить Прокурору СССР обеспечить неуклонное проведение в жизнь настоящего Указа». (ВВС СССР. 1940. № 23.) (18017).</w:t>
      </w:r>
    </w:p>
    <w:p w14:paraId="3125353E" w14:textId="77777777" w:rsidR="004175B6" w:rsidRPr="00DB5D0D" w:rsidRDefault="004175B6" w:rsidP="00DB5D0D">
      <w:pPr>
        <w:spacing w:after="0" w:line="240" w:lineRule="auto"/>
        <w:jc w:val="both"/>
        <w:rPr>
          <w:rFonts w:ascii="Times New Roman" w:hAnsi="Times New Roman"/>
          <w:color w:val="000000" w:themeColor="text1"/>
          <w:sz w:val="16"/>
          <w:szCs w:val="16"/>
        </w:rPr>
      </w:pPr>
    </w:p>
    <w:p w14:paraId="7B785B78" w14:textId="77777777" w:rsidR="003302F0" w:rsidRPr="00DB5D0D" w:rsidRDefault="003302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по новому указу Президиума Верховного Совета наказание, предусматривавшееся за выпуск недоброкачественной или некомплектной продукции составляло от пяти до восьми лет лишения свободы, тогда как по «старому» указу 1933 г. - только до пяти лет. После появления нового указа к кампании подключились все промышленные наркоматы. В частности. НКВ уже 15 июля 1940 г. издал приказ № 196 «О мероприятиях по улучшению качества продукции предприятий НКВ». В соответствии с этим новым приказом предприятиям предписывалось не оставлять без расследования ни одного факта выпуска бракованной продукции, производить с виновных удержания за брак, «установить строгий контроль и качеством поступающей на завод извне продукции», начальникам главков — при посещении предприятий уделять особое внимания вопросам качества. Одновременно было решено провести обследование работы ОТК заводов и по результатам обследования заслушать вопрос на коллегии еще раз (18627).</w:t>
      </w:r>
    </w:p>
    <w:p w14:paraId="535A0387" w14:textId="77777777" w:rsidR="003302F0" w:rsidRPr="00DB5D0D" w:rsidRDefault="003302F0" w:rsidP="00DB5D0D">
      <w:pPr>
        <w:spacing w:after="0" w:line="240" w:lineRule="auto"/>
        <w:jc w:val="both"/>
        <w:rPr>
          <w:rFonts w:ascii="Times New Roman" w:hAnsi="Times New Roman"/>
          <w:color w:val="000000" w:themeColor="text1"/>
          <w:sz w:val="16"/>
          <w:szCs w:val="16"/>
        </w:rPr>
      </w:pPr>
    </w:p>
    <w:p w14:paraId="3F46327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030B436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22541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ГКО принял постановление об образовании трех главнокомандований: СЗ (К.Е.В.), З (С.К.Тимошенко) и ЮЗ (С.М.Б.) Ставка ГК стала Ставкой ВГК под председательством И.В.С. (3481).</w:t>
      </w:r>
    </w:p>
    <w:p w14:paraId="4A5638D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D02F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вышел Приказ НКО о переучете военнообязанных рядового и младшего начальствующего состава запаса № 196.</w:t>
      </w:r>
    </w:p>
    <w:p w14:paraId="15C205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соответствии с Постановлением СНК СССР от 4 июля 1940 г. в период с 1 августа по 5 сентября 1940 г. провести на всей территории СССР переучет военнообязанных рядового и младшего начальствующего состава запаса.</w:t>
      </w:r>
    </w:p>
    <w:p w14:paraId="4F51FB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основании Закона о всеобщей воинской обязанности переучету подлежат:</w:t>
      </w:r>
    </w:p>
    <w:p w14:paraId="172424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военнообязанные рядового и младшего начальствующего состава запаса Красной Армии, Военно-Морского Флота, пограничных и внутренних войск НКВД, состоящие на общем и специальном учетах;</w:t>
      </w:r>
    </w:p>
    <w:p w14:paraId="609652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военнообязанные рядового и младшего начальствующего состава запаса Красной Армии, Военно-Морского Флота, пограничных и внутренних войск НКВД, состоящие на особом учете (железнодорожного транспорта, водного, транспорта и НКВД), кроме: 1) находящихся на штатной работе в кадровом составе центральных и местных органов Главного управления государственной безопасности НКВД СССР и 2) состоящих в запасе НКВД, которым присвоены звания органов государственной безопасности;</w:t>
      </w:r>
    </w:p>
    <w:p w14:paraId="01D678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военнообязанные в возрасте от 40 до 50 лет, ранее снятые с воинского учета по возрасту (кроме негодных к военной службе);</w:t>
      </w:r>
    </w:p>
    <w:p w14:paraId="1BCBD8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граждане СССР в возрасте от 19 до 50 лет национальностей, ранее не состоявших на воинском учете.</w:t>
      </w:r>
    </w:p>
    <w:p w14:paraId="763D24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Военнообязанных рядового и младшего начсостава запаса, призванных по мобилизации или на учебные сборы, привлечь к переучету после возвращения их из частей к месту постоянного жительства.</w:t>
      </w:r>
    </w:p>
    <w:p w14:paraId="22A791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увольнением этих военнообязанных в запас командованию частей выдать им старые военные билеты или временные удостоверения с отметками о прохождении службы, с уточненными военно-учетными специальностями и должностными квалификациями.</w:t>
      </w:r>
    </w:p>
    <w:p w14:paraId="117612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Переучету и последующему воинскому учету не подлежат:</w:t>
      </w:r>
    </w:p>
    <w:p w14:paraId="79BCD8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лишенные избирательных прав по суду, на время лишения;</w:t>
      </w:r>
    </w:p>
    <w:p w14:paraId="5CCE95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сосланные и высланные в административном порядке, на время ссылки и высылки;</w:t>
      </w:r>
    </w:p>
    <w:p w14:paraId="7C534E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спецпереселенцы по линии органов НКВД.</w:t>
      </w:r>
    </w:p>
    <w:p w14:paraId="230A76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Одновременно с переучетом провести медицинское переосвидетельствование военнообязанных рядового и младшего начсостава запаса, годных к нестроевой службе, всех военнообязанных в возрасте от 40 до 50 лет и граждан СССР в возрасте от 19 до 50 лет национальностей, впервые привлекающихся к воинскому учету.</w:t>
      </w:r>
    </w:p>
    <w:p w14:paraId="63742C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Граждане СССР в возрасте от 19 до 50 лет, имеющие на руках свидетельства или другие документы о негодности к военной службе, подлежат явке в сроки, по указанию областных военных комиссариатов, в местные военно-учетные столы для регистрации на предмет последующего их переосвидетельствования и замены </w:t>
      </w:r>
      <w:r w:rsidRPr="00DB5D0D">
        <w:rPr>
          <w:rFonts w:ascii="Times New Roman" w:hAnsi="Times New Roman"/>
          <w:color w:val="000000" w:themeColor="text1"/>
          <w:sz w:val="16"/>
          <w:szCs w:val="16"/>
        </w:rPr>
        <w:lastRenderedPageBreak/>
        <w:t>документов о негодности на единый документ — Свидетельство об освобождении от воинской обязанности. Медицинское переосвидетельствование этих граждан провести в течение 1940 — 1941 годов по указаниям Главного управления Красной Армии.</w:t>
      </w:r>
    </w:p>
    <w:p w14:paraId="7AD5C2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Всех военнообязанных запаса, состоящих на особом учете в системе НКПС, НКМФ, НКРФ, Главного управления Севморпути и НКВД, за изъятиями указанных в пункте «б», ст. 2, в ходе переучета перечислить на специальный учет военных комиссариатов и военно-учетных столов, ведя в дальнейшем их учет на общих основаниях со всеми другими военнобязанными запаса, пользующимися отсрочками от призыва по мобилизации.</w:t>
      </w:r>
    </w:p>
    <w:p w14:paraId="75A2BB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Для проведения работы по переучету военнообязанных запаса организовать при районных (городских) военных комиссариатах переучетные пункты, количество и состав которых установить военным советам округов применительно к требованиям инструкции по переучету.</w:t>
      </w:r>
    </w:p>
    <w:p w14:paraId="7EFA8F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При организации и проведении работы по переучету военнообязанных рядового и младшего начсостава запаса руководствоваться инструкцией Главного управления Красной Армии о переучете.</w:t>
      </w:r>
    </w:p>
    <w:p w14:paraId="6D512B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Военным советам округов в течение июля 1940 г. провести специальные совещания с работниками областных (краевых, республиканских) и районных военных комиссариатов по вопросам переучета военнообязанных запаса.</w:t>
      </w:r>
    </w:p>
    <w:p w14:paraId="5DFF5B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Начальнику Главного управления Красной Армии организовать руководство и контроль за развертыванием подготовки к переучету и за проведением переучета военнообязанных.</w:t>
      </w:r>
    </w:p>
    <w:p w14:paraId="285390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О результатах переучета штабам военных округов представить мне через Главное управление Красной Армии к 1 ноября с. г. доклад с приложением соответствующих учетных ведомостей.</w:t>
      </w:r>
    </w:p>
    <w:p w14:paraId="28D0F0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Для штабов военных округов и армий приказ ввести в действие по телеграфу.</w:t>
      </w:r>
    </w:p>
    <w:p w14:paraId="72B528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 (10618).</w:t>
      </w:r>
    </w:p>
    <w:p w14:paraId="2ADCA4C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DAA55B5" w14:textId="77777777" w:rsidR="006B6857"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AA704C7" w14:textId="77777777" w:rsidR="006B6857" w:rsidRPr="00DB5D0D" w:rsidRDefault="006B6857" w:rsidP="00DB5D0D">
      <w:pPr>
        <w:spacing w:after="0" w:line="240" w:lineRule="auto"/>
        <w:jc w:val="both"/>
        <w:rPr>
          <w:rFonts w:ascii="Times New Roman" w:hAnsi="Times New Roman"/>
          <w:iCs/>
          <w:color w:val="000000" w:themeColor="text1"/>
          <w:sz w:val="16"/>
          <w:szCs w:val="16"/>
        </w:rPr>
      </w:pPr>
    </w:p>
    <w:p w14:paraId="346F223B"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10-11 июля 1940 проходила испытания Артсистема М-10 на КВ №У-1 с «большой» башней проходила испытания в объеме 40 усиленных выстрелов (начальная скорость - 530 м/с) при различных вертикальных углах наводки. Стрельба произ</w:t>
      </w:r>
      <w:r w:rsidRPr="00DB5D0D">
        <w:rPr>
          <w:rFonts w:ascii="Times New Roman" w:hAnsi="Times New Roman"/>
          <w:color w:val="000000" w:themeColor="text1"/>
          <w:sz w:val="16"/>
          <w:szCs w:val="16"/>
        </w:rPr>
        <w:softHyphen/>
        <w:t>водилась при двух курсовых углах (на борт и на корму танка) по 20 выстрелов с каждого.</w:t>
      </w:r>
    </w:p>
    <w:p w14:paraId="26810667"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испытание системы повтори</w:t>
      </w:r>
      <w:r w:rsidRPr="00DB5D0D">
        <w:rPr>
          <w:rFonts w:ascii="Times New Roman" w:hAnsi="Times New Roman"/>
          <w:color w:val="000000" w:themeColor="text1"/>
          <w:sz w:val="16"/>
          <w:szCs w:val="16"/>
        </w:rPr>
        <w:softHyphen/>
        <w:t>ли, причем сделали 70 выстрелов, из них 30 нормальных (начальная скорость - 507 м/с, стрельба на кучность по щиту на дистанции 1000 м) и 40 усиленных. Кучность боя на ди</w:t>
      </w:r>
      <w:r w:rsidRPr="00DB5D0D">
        <w:rPr>
          <w:rFonts w:ascii="Times New Roman" w:hAnsi="Times New Roman"/>
          <w:color w:val="000000" w:themeColor="text1"/>
          <w:sz w:val="16"/>
          <w:szCs w:val="16"/>
        </w:rPr>
        <w:softHyphen/>
        <w:t>станции 1000 м при курсовых углах 0 и 90' при</w:t>
      </w:r>
      <w:r w:rsidRPr="00DB5D0D">
        <w:rPr>
          <w:rFonts w:ascii="Times New Roman" w:hAnsi="Times New Roman"/>
          <w:color w:val="000000" w:themeColor="text1"/>
          <w:sz w:val="16"/>
          <w:szCs w:val="16"/>
        </w:rPr>
        <w:softHyphen/>
        <w:t>знали удовлетворительной. При разборке си</w:t>
      </w:r>
      <w:r w:rsidRPr="00DB5D0D">
        <w:rPr>
          <w:rFonts w:ascii="Times New Roman" w:hAnsi="Times New Roman"/>
          <w:color w:val="000000" w:themeColor="text1"/>
          <w:sz w:val="16"/>
          <w:szCs w:val="16"/>
        </w:rPr>
        <w:softHyphen/>
        <w:t>стемы после испытаний дефектов не обнару</w:t>
      </w:r>
      <w:r w:rsidRPr="00DB5D0D">
        <w:rPr>
          <w:rFonts w:ascii="Times New Roman" w:hAnsi="Times New Roman"/>
          <w:color w:val="000000" w:themeColor="text1"/>
          <w:sz w:val="16"/>
          <w:szCs w:val="16"/>
        </w:rPr>
        <w:softHyphen/>
        <w:t>жили. Для обеспечения проверки работоспо</w:t>
      </w:r>
      <w:r w:rsidRPr="00DB5D0D">
        <w:rPr>
          <w:rFonts w:ascii="Times New Roman" w:hAnsi="Times New Roman"/>
          <w:color w:val="000000" w:themeColor="text1"/>
          <w:sz w:val="16"/>
          <w:szCs w:val="16"/>
        </w:rPr>
        <w:softHyphen/>
        <w:t>собности тормоза отката системы в' условиях танка рекомендовалось доработать инструк</w:t>
      </w:r>
      <w:r w:rsidRPr="00DB5D0D">
        <w:rPr>
          <w:rFonts w:ascii="Times New Roman" w:hAnsi="Times New Roman"/>
          <w:color w:val="000000" w:themeColor="text1"/>
          <w:sz w:val="16"/>
          <w:szCs w:val="16"/>
        </w:rPr>
        <w:softHyphen/>
        <w:t>цию по обслуживанию системы.</w:t>
      </w:r>
    </w:p>
    <w:p w14:paraId="3EDF7682"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итогам испытаний отмечалось</w:t>
      </w:r>
      <w:r w:rsidRPr="00DB5D0D">
        <w:rPr>
          <w:rStyle w:val="aff6"/>
          <w:rFonts w:ascii="Times New Roman" w:eastAsia="Arial Narrow" w:hAnsi="Times New Roman" w:cs="Times New Roman"/>
          <w:i w:val="0"/>
          <w:color w:val="000000" w:themeColor="text1"/>
        </w:rPr>
        <w:t xml:space="preserve"> «несе</w:t>
      </w:r>
      <w:r w:rsidRPr="00DB5D0D">
        <w:rPr>
          <w:rStyle w:val="aff6"/>
          <w:rFonts w:ascii="Times New Roman" w:eastAsia="Arial Narrow" w:hAnsi="Times New Roman" w:cs="Times New Roman"/>
          <w:i w:val="0"/>
          <w:color w:val="000000" w:themeColor="text1"/>
        </w:rPr>
        <w:softHyphen/>
        <w:t>рьезное отношение работников завода к под</w:t>
      </w:r>
      <w:r w:rsidRPr="00DB5D0D">
        <w:rPr>
          <w:rStyle w:val="aff6"/>
          <w:rFonts w:ascii="Times New Roman" w:eastAsia="Arial Narrow" w:hAnsi="Times New Roman" w:cs="Times New Roman"/>
          <w:i w:val="0"/>
          <w:color w:val="000000" w:themeColor="text1"/>
        </w:rPr>
        <w:softHyphen/>
        <w:t>готовке испытаний. Танк №У-1 участвовал на фронте в Финляндии, после чего был произ</w:t>
      </w:r>
      <w:r w:rsidRPr="00DB5D0D">
        <w:rPr>
          <w:rStyle w:val="aff6"/>
          <w:rFonts w:ascii="Times New Roman" w:eastAsia="Arial Narrow" w:hAnsi="Times New Roman" w:cs="Times New Roman"/>
          <w:i w:val="0"/>
          <w:color w:val="000000" w:themeColor="text1"/>
        </w:rPr>
        <w:softHyphen/>
        <w:t>веден капитальный ремонт его и предъявлен на испытания. Отсюда срок работы некоторых агрегатов (бортовые передачи, ходовая часть и др.) установить невозможно».</w:t>
      </w:r>
      <w:r w:rsidRPr="00DB5D0D">
        <w:rPr>
          <w:rFonts w:ascii="Times New Roman" w:hAnsi="Times New Roman"/>
          <w:color w:val="000000" w:themeColor="text1"/>
          <w:sz w:val="16"/>
          <w:szCs w:val="16"/>
        </w:rPr>
        <w:t xml:space="preserve"> Предлагалось усилить контроль за сборкой и монтажом уз</w:t>
      </w:r>
      <w:r w:rsidRPr="00DB5D0D">
        <w:rPr>
          <w:rFonts w:ascii="Times New Roman" w:hAnsi="Times New Roman"/>
          <w:color w:val="000000" w:themeColor="text1"/>
          <w:sz w:val="16"/>
          <w:szCs w:val="16"/>
        </w:rPr>
        <w:softHyphen/>
        <w:t>лов и агрегатов, обязав представителей воен</w:t>
      </w:r>
      <w:r w:rsidRPr="00DB5D0D">
        <w:rPr>
          <w:rFonts w:ascii="Times New Roman" w:hAnsi="Times New Roman"/>
          <w:color w:val="000000" w:themeColor="text1"/>
          <w:sz w:val="16"/>
          <w:szCs w:val="16"/>
        </w:rPr>
        <w:softHyphen/>
        <w:t>ной приемки принимать все узлы и агрегаты в целом и некоторые отдельные детали (напри</w:t>
      </w:r>
      <w:r w:rsidRPr="00DB5D0D">
        <w:rPr>
          <w:rFonts w:ascii="Times New Roman" w:hAnsi="Times New Roman"/>
          <w:color w:val="000000" w:themeColor="text1"/>
          <w:sz w:val="16"/>
          <w:szCs w:val="16"/>
        </w:rPr>
        <w:softHyphen/>
        <w:t>мер, торсионы). Следовало ускорить введе</w:t>
      </w:r>
      <w:r w:rsidRPr="00DB5D0D">
        <w:rPr>
          <w:rFonts w:ascii="Times New Roman" w:hAnsi="Times New Roman"/>
          <w:color w:val="000000" w:themeColor="text1"/>
          <w:sz w:val="16"/>
          <w:szCs w:val="16"/>
        </w:rPr>
        <w:softHyphen/>
        <w:t>ние стендов для испытаний узлов и агрегатов и приспособлений для их проверки на узловой сборке. В результате на заводе провели целый ряд мероприятий организационного характе</w:t>
      </w:r>
      <w:r w:rsidRPr="00DB5D0D">
        <w:rPr>
          <w:rFonts w:ascii="Times New Roman" w:hAnsi="Times New Roman"/>
          <w:color w:val="000000" w:themeColor="text1"/>
          <w:sz w:val="16"/>
          <w:szCs w:val="16"/>
        </w:rPr>
        <w:softHyphen/>
        <w:t>ра, опытный цех перевели в подчинение КБ и расширили его производственную базу.</w:t>
      </w:r>
    </w:p>
    <w:p w14:paraId="1DD231F2"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заключение указывалось, что танк с во</w:t>
      </w:r>
      <w:r w:rsidRPr="00DB5D0D">
        <w:rPr>
          <w:rFonts w:ascii="Times New Roman" w:hAnsi="Times New Roman"/>
          <w:color w:val="000000" w:themeColor="text1"/>
          <w:sz w:val="16"/>
          <w:szCs w:val="16"/>
        </w:rPr>
        <w:softHyphen/>
        <w:t>оружением соответствует предъявленным требованиям и после устранения выявлен</w:t>
      </w:r>
      <w:r w:rsidRPr="00DB5D0D">
        <w:rPr>
          <w:rFonts w:ascii="Times New Roman" w:hAnsi="Times New Roman"/>
          <w:color w:val="000000" w:themeColor="text1"/>
          <w:sz w:val="16"/>
          <w:szCs w:val="16"/>
        </w:rPr>
        <w:softHyphen/>
        <w:t>ных недостатков может быть предъявлен на войсковые испытания по особой программе ГАБТУ КА (15767).</w:t>
      </w:r>
    </w:p>
    <w:p w14:paraId="23D2C6CA"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6820FDD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54B7CFE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AAF38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появился и указ ПВС «Об ответственности за выпуск недоброкачественной или некомплектной продукции и за несоблюдение обязательных стандартов промышленными предприятиями», приравнивавший это к вредительству и грозивший директорам, главным инженерам и начальникам ОТК предприятий тюремным заключением от 5 до 8 лет. 10 августа председатель ПВС подписал указ «Об уголовной ответственности за мелкие кражи на производстве и за хулиганство» (до года тюрьмы) и еще один указ, которым предусматривалось единоличное, без участия заседателей, рассмотрение судьями дел о прогулах по неуважительным причинам и о самовольном уходе с предприятий и учреждений. В результате контингент заключенных и начал пополняться так называемыми «указниками» (7560).</w:t>
      </w:r>
    </w:p>
    <w:p w14:paraId="1F05CC2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C7592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года президиум Верховного совета СССР принял указ «Об ответственности за выпуск недоброкачественной или некомплектной продукции и за несоблюдение обязательных стандартов промышленными предприятиями»:</w:t>
      </w:r>
    </w:p>
    <w:p w14:paraId="05857A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Установить, что выпуск недоброкачественной или некомплектной промышленной продукции и выпуск продукции с нарушением обязательных стандартов является противогосударственным преступлением, равносильным вредительству.</w:t>
      </w:r>
    </w:p>
    <w:p w14:paraId="6CCAC3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 выпуск недоброкачественной или некомплектной продукции… главных инженеров и начальников отделов технического контроля промышленных предприятий предавать суду и по приговору суда подвергать тюремному заключению сроком от 5 до 8 лет».</w:t>
      </w:r>
    </w:p>
    <w:p w14:paraId="39AD60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выпуск некачественных батарей руководство завода аккумулировало в общей сложности 17 лет заключения</w:t>
      </w:r>
    </w:p>
    <w:p w14:paraId="4B6928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Опубликовали этот новый закон 13 июля, а буквально на следующий день началось его неуклонное претворение в жизнь. Газеты сообщали, что за дела бракоделов взялись опытнейшие следователи по важнейшим делам:</w:t>
      </w:r>
    </w:p>
    <w:p w14:paraId="1C4EC3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прокуратуре Азербайджанской ССР у следователя по важнейшим делам т. Двороковского сидит средних лет полный мужчина. Приторно улыбаясь, пожимая плечами, он мягко говорит:</w:t>
      </w:r>
    </w:p>
    <w:p w14:paraId="14BEF5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Видите ли, я с вами вполне согласен, что выпуск недоброкачественного хлеба есть преступление, и как руководитель предприятия признаю себя виновным, но… я виноват частично. Хлебопечение — производство, а на производстве недостатки бывают…</w:t>
      </w:r>
    </w:p>
    <w:p w14:paraId="7CEA59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Выпечку булок на 100 граммов легче установленного стандарта вы тоже считаете недостатками производства? — спрашивает следователь. Директор пекарни N 13 Октябрьского района Сапруков любезно соглашается со всеми доводами следователя. Он не отрицает, что плохо руководил пекарней, не принимал никаких мер против бракоделов, не задумывался над применением средств, повышающих качество хлеба. Сапрукова сменяет заведующий производством Баширов.</w:t>
      </w:r>
    </w:p>
    <w:p w14:paraId="458205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 выпуске недоброкачественного хлеба я не виноват,— заявляет он.— Я не могу следить за работой ночью. Возможно, ночью нарушается технологический процесс выпечки и из-за этого происходит брак. За всем ведь не усмотришь…</w:t>
      </w:r>
    </w:p>
    <w:p w14:paraId="2814F9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Вчера т. Двороковский закончил следствие по делу руководителей пекарни N 13. За систематический выпуск бракованной продукции привлечены к уголовной ответственности директор пекарни Сапруков, зав. производством Баширов и мастер Ахназаров. Все трое заключены под стражу».</w:t>
      </w:r>
    </w:p>
    <w:p w14:paraId="47B999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 кому угрожал арест, немедленно взялись за исправление недостатков. К примеру, директор Ново-Тульского металлургического завода В. Жуков докладывал:</w:t>
      </w:r>
    </w:p>
    <w:p w14:paraId="364E91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«Рабочие, инженеры, техники и служащие нашего завода встретили Указ Президиума Верховного Совета от 10 июля весьма одобрительно. Как только Указ был опубликован, мы в тот же день обсудили его в цехах, на собраниях бригад. Рабочие и специалисты завода на этих собраниях внесли немало ценных предложений, осуществление которых позволит значительно поднять качество металла… Пускаем в работу дополнительно еще один паровоз. Наводим образцовый порядок на шихтовом дворе, регламентируем по классам и сортам руду. Усилили технический контроль за качеством получаемого сырья… На заводе сейчас проводится полная инвентаризация чугуна. Склады очищаются от всего ненужного. Контроль за отгрузкой чугуна теперь значительно усилен. Отгрузка некондиционного металла нами совершенно прекращена, хотя на этот металл и имеются наряды».</w:t>
      </w:r>
    </w:p>
    <w:p w14:paraId="7F3E81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выхода указа от 10 июля контроль качества продукции превратился в профессию, чреватую восьмилетней отсидкой (11750).</w:t>
      </w:r>
    </w:p>
    <w:p w14:paraId="1C07AB3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D400092" w14:textId="77777777" w:rsidR="005F324E" w:rsidRPr="00DB5D0D" w:rsidRDefault="005F324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 Статья 128-а УК РСФСР “Выпуск недоброкачественной продукции” в редакции Указа Президиума Верховного Совета СССР предусматривала, что за выпуск недоброкачественной продукции или некомплектной промышленной продукции и за выпуск продукции с нарушением обязательных стандартов директора, главные инженеры и начальники отделов технического контроля предприятий должны были караться как за противогосударственное преступление, равносильное вредительству, тюремным заключением на срок от пяти до восьми лет. Массовый систематический выпуск из торговых предприятий недоброкачественной продукции карался лишением свободы на срок до пяти лет или исправительно-трудовыми работами до одного года.</w:t>
      </w:r>
    </w:p>
    <w:p w14:paraId="4B62C598" w14:textId="77777777" w:rsidR="005F324E" w:rsidRPr="00DB5D0D" w:rsidRDefault="005F324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судебной практике статья 128-а УК РСФСР применялась крайне редко. В некоторых областях страны за весь 1944 год не было ни одного осужденного за это преступление. Дело, вероятно, в том, виновные в выпуске недоброкачественной продукции (особенно должностные лица) привлекались по другим статьям уголовного кодекса (например, по статьям о должностных преступлениях), либо по другим действовавшим нормативно-правовым актам (11460).</w:t>
      </w:r>
    </w:p>
    <w:p w14:paraId="27432911" w14:textId="77777777" w:rsidR="005F324E" w:rsidRPr="00DB5D0D" w:rsidRDefault="005F324E" w:rsidP="00DB5D0D">
      <w:pPr>
        <w:spacing w:after="0" w:line="240" w:lineRule="auto"/>
        <w:jc w:val="both"/>
        <w:rPr>
          <w:rFonts w:ascii="Times New Roman" w:hAnsi="Times New Roman"/>
          <w:color w:val="000000" w:themeColor="text1"/>
          <w:sz w:val="16"/>
          <w:szCs w:val="16"/>
        </w:rPr>
      </w:pPr>
    </w:p>
    <w:p w14:paraId="568B4AA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8BB4AC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4305591" w14:textId="7D1384B1"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 xml:space="preserve">10 июля 1940 г. согласно книге У.Черчиля, увенчанной нобелевской медалью </w:t>
      </w:r>
      <w:r w:rsidRPr="00DB5D0D">
        <w:rPr>
          <w:rFonts w:ascii="Times New Roman" w:hAnsi="Times New Roman"/>
          <w:color w:val="000000" w:themeColor="text1"/>
          <w:sz w:val="16"/>
          <w:szCs w:val="16"/>
          <w:lang w:val="en-US"/>
        </w:rPr>
        <w:t>"</w:t>
      </w:r>
      <w:r w:rsidRPr="00DB5D0D">
        <w:rPr>
          <w:rFonts w:ascii="Times New Roman" w:hAnsi="Times New Roman"/>
          <w:color w:val="000000" w:themeColor="text1"/>
          <w:sz w:val="16"/>
          <w:szCs w:val="16"/>
        </w:rPr>
        <w:t>Второй</w:t>
      </w:r>
      <w:r w:rsidR="00911B4C" w:rsidRPr="00DB5D0D">
        <w:rPr>
          <w:rFonts w:ascii="Times New Roman" w:hAnsi="Times New Roman"/>
          <w:color w:val="000000" w:themeColor="text1"/>
          <w:sz w:val="16"/>
          <w:szCs w:val="16"/>
        </w:rPr>
        <w:t xml:space="preserve"> </w:t>
      </w:r>
      <w:r w:rsidRPr="00DB5D0D">
        <w:rPr>
          <w:rFonts w:ascii="Times New Roman" w:hAnsi="Times New Roman"/>
          <w:color w:val="000000" w:themeColor="text1"/>
          <w:sz w:val="16"/>
          <w:szCs w:val="16"/>
        </w:rPr>
        <w:t>мировой</w:t>
      </w:r>
      <w:r w:rsidR="00911B4C" w:rsidRPr="00DB5D0D">
        <w:rPr>
          <w:rFonts w:ascii="Times New Roman" w:hAnsi="Times New Roman"/>
          <w:color w:val="000000" w:themeColor="text1"/>
          <w:sz w:val="16"/>
          <w:szCs w:val="16"/>
        </w:rPr>
        <w:t xml:space="preserve"> </w:t>
      </w:r>
      <w:r w:rsidRPr="00DB5D0D">
        <w:rPr>
          <w:rFonts w:ascii="Times New Roman" w:hAnsi="Times New Roman"/>
          <w:color w:val="000000" w:themeColor="text1"/>
          <w:sz w:val="16"/>
          <w:szCs w:val="16"/>
        </w:rPr>
        <w:t>войне</w:t>
      </w:r>
      <w:r w:rsidRPr="00DB5D0D">
        <w:rPr>
          <w:rFonts w:ascii="Times New Roman" w:hAnsi="Times New Roman"/>
          <w:color w:val="000000" w:themeColor="text1"/>
          <w:sz w:val="16"/>
          <w:szCs w:val="16"/>
          <w:lang w:val="en-US"/>
        </w:rPr>
        <w:t xml:space="preserve">", </w:t>
      </w:r>
      <w:r w:rsidRPr="00DB5D0D">
        <w:rPr>
          <w:rFonts w:ascii="Times New Roman" w:hAnsi="Times New Roman"/>
          <w:color w:val="000000" w:themeColor="text1"/>
          <w:sz w:val="16"/>
          <w:szCs w:val="16"/>
        </w:rPr>
        <w:t>началасьБитвазаАнглию</w:t>
      </w:r>
      <w:r w:rsidRPr="00DB5D0D">
        <w:rPr>
          <w:rFonts w:ascii="Times New Roman" w:hAnsi="Times New Roman"/>
          <w:color w:val="000000" w:themeColor="text1"/>
          <w:sz w:val="16"/>
          <w:szCs w:val="16"/>
          <w:lang w:val="en-US"/>
        </w:rPr>
        <w:t xml:space="preserve"> (3573).</w:t>
      </w:r>
    </w:p>
    <w:p w14:paraId="4D4F41AA"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7496F41E"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10th, 1940: Beginning of the Battle of Britain. - The Luftwaffe carries out its first large scale attack (70 aircraft) against targets in Britain by bombing dock facilities at Swansea and the Royal Ordnance Factory at Pembrey in Wales (3819).</w:t>
      </w:r>
    </w:p>
    <w:p w14:paraId="5E20092D"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73A41BDB" w14:textId="77777777" w:rsidR="00911B4C" w:rsidRPr="00DB5D0D" w:rsidRDefault="00911B4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июля 1940 битва за Британию начинается с первых нападений Германии на британские конвои в Ла-Манше  (20795).</w:t>
      </w:r>
    </w:p>
    <w:p w14:paraId="79CD8D93" w14:textId="77777777" w:rsidR="00911B4C" w:rsidRPr="00DB5D0D" w:rsidRDefault="00911B4C" w:rsidP="00DB5D0D">
      <w:pPr>
        <w:spacing w:after="0" w:line="240" w:lineRule="auto"/>
        <w:jc w:val="both"/>
        <w:rPr>
          <w:rFonts w:ascii="Times New Roman" w:hAnsi="Times New Roman"/>
          <w:color w:val="0070C0"/>
          <w:sz w:val="16"/>
          <w:szCs w:val="16"/>
        </w:rPr>
      </w:pPr>
    </w:p>
    <w:p w14:paraId="5DBD4BB1" w14:textId="77777777" w:rsidR="00911B4C" w:rsidRPr="00DB5D0D" w:rsidRDefault="00911B4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июля 1940 - Начало Битвы за Британию. Она продолжалась по 30 октября 1940 года. Термин «Битва за Британию» впервые использовал премьер-министр Великобритании сэр Уинстон Черчилль, назвав так попытку Третьего рейха завоевать господство в воздухе над югом Англии и подорвать боевой дух британского народа. В ходе ожесточённых воздушных боёв Королевские ВВС Великобритании (РАФ) отразили попытки ВВС Третьего рейха завоевать господство в воздухе, уничтожить британские ВВС, разрушить промышленность и инфраструктуру страны, деморализовать население и тем самым принудить Великобританию к капитуляции или заключению мира.</w:t>
      </w:r>
    </w:p>
    <w:p w14:paraId="420DB8EA" w14:textId="77777777" w:rsidR="00911B4C" w:rsidRPr="00DB5D0D" w:rsidRDefault="00911B4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Битва за Британию явилась первой военной кампанией, в которой участвовали исключительно ВВС и силы противовоздушной обороны. С июля 1940 основными целями немецких бомбардировок являлись прибрежные конвои и морские базы, такие как Портсмут, но уже через месяц люфтваффе переключились на английские аэродромы. В ходе битвы люфтваффе также подвергали бомбардировке авиационные заводы и объекты наземной инфраструктуры. В конечном счёте, люфтваффе прибегли к тактике устрашающего бомбометания и атакам на объекты, имеющие большое политическое значение.</w:t>
      </w:r>
    </w:p>
    <w:p w14:paraId="237BCD44" w14:textId="77777777" w:rsidR="00911B4C" w:rsidRPr="00DB5D0D" w:rsidRDefault="00911B4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Неспособность Германии к выполнению поставленных перед началом кампании задач считается первым поражением Третьего рейха во Второй мировой войне и одной из её поворотных точек. В том случае, если бы Германии удалось добиться превосходства в воздухе, Адольф Гитлер планировал операцию «Морской лев» — вторжение в Великобританию с моря и воздуха.</w:t>
      </w:r>
    </w:p>
    <w:p w14:paraId="5F7E5E87" w14:textId="77777777" w:rsidR="00911B4C" w:rsidRPr="00DB5D0D" w:rsidRDefault="00911B4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Немецким истребителям Messerschmitt Bf.109E и Bf.110C противостояли «рабочая лошадка» британских ВВС — Hurricane Mk I и менее многочисленный Spitfire Mk I. В налётах на Великобританию участвовали бомбардировщики Люфтваффе Heinkel He 111, Dornier Do 17, Junkers Ju 88 и пикирующий бомбардировщик Junkers Ju 87 (22434).</w:t>
      </w:r>
    </w:p>
    <w:p w14:paraId="0DFD3D0F" w14:textId="77777777" w:rsidR="00911B4C" w:rsidRPr="00DB5D0D" w:rsidRDefault="00911B4C" w:rsidP="00DB5D0D">
      <w:pPr>
        <w:spacing w:after="0" w:line="240" w:lineRule="auto"/>
        <w:jc w:val="both"/>
        <w:rPr>
          <w:rFonts w:ascii="Times New Roman" w:hAnsi="Times New Roman"/>
          <w:color w:val="0070C0"/>
          <w:sz w:val="16"/>
          <w:szCs w:val="16"/>
        </w:rPr>
      </w:pPr>
    </w:p>
    <w:p w14:paraId="0E0CDAF1"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10 July 1940 Battle of Britain begins (270).</w:t>
      </w:r>
    </w:p>
    <w:p w14:paraId="1E380FFE"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67CA3E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началась битва за Британию (270), которая продлилась до 25 августа 1940 (2244,6). Немцы нанесли удар по докам (2255).</w:t>
      </w:r>
    </w:p>
    <w:p w14:paraId="54D9A77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CF9F5D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Около 70 немецких бомбардировщиков и истребителей атаковали судоверфи в Южном Уэльсе. Это был первый массированый налёт немецкой авиации на Британские острова. Началась "Битва за Англию" (4963 ).</w:t>
      </w:r>
    </w:p>
    <w:p w14:paraId="5C58233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C4D1D4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в Англии запрещена организация английских фашистов «Британский Союз» (4962).</w:t>
      </w:r>
    </w:p>
    <w:p w14:paraId="7569DEA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798F71AC"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в 1940 году в Великобритании запрещен Британский союз фашистов и национал-социалистов (14948).</w:t>
      </w:r>
    </w:p>
    <w:p w14:paraId="0F08DEEE"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625D054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в Виши Национальная Ассамблея Франции 569 голосами против 80 наделила маршала Петена чрезвычайными полномочиями (4962). Созванное в курортном городке Виши французское Национальное собрание (без участия депутатов-патриотов) по инициативе Пьера Лаваля приняло решение о ликвидации Французской республики и провозглашении 74-летнего маршала Филиппа Петэна единоличным главой французского государства. Бывший герой 1-й мировой войны сразу же выступил с заявлением: "Мы, Филипп Петэн, маршал Франции, во исполнение Конституционного закона от 10 июля 1940 г. объявляем, что мы приняли на себя функции главы французского государства. В соответствии с этим мы повелеваем отменить раздел второй Конституционного закона от 25 февраля 1875 г." Так была ликвидирована конституция Франции и Декларация прав человека (4963 ).</w:t>
      </w:r>
    </w:p>
    <w:p w14:paraId="25A09D8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DC84658"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в 1940 году созванное в курортном городке Виши французское Национальное собрание (без участия депутатов-патриотов) по инициативе Пьера Лаваля приняло решение о ликвидации Французской республики и провозглашении 74-летнего маршала Филиппа Петэна единоличным главой французского государства. Бывший герой 1-й мировой войны сразу же выступил с заявлением: «Мы, Филипп Петэн, маршал Франции, во исполнение Конституционного закона от 10 июля 1940 г. объявляем, что мы приняли на себя функции главы французского государства. В соответствии с этим мы повелеваем отменить раздел второй Конституционного закона от 25 февраля 1875 г.» Так была ликвидирована конституция Франции и Декларация прав человека (14948).</w:t>
      </w:r>
    </w:p>
    <w:p w14:paraId="273F72F0"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48293A4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в докладе по «еврейскому вопросу» глава департамента по делам евреев Германии Франц Радемахер выдвинул план переселения евреев на Мадагаскар (4962).</w:t>
      </w:r>
    </w:p>
    <w:p w14:paraId="70AD8E8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D40ED76" w14:textId="77777777" w:rsidR="00B63349" w:rsidRPr="00DB5D0D" w:rsidRDefault="00B63349"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провозгласив 16 мая курс на перевооружение, президент запросил у Конгресса выделения средств, необходимых для оснащения механизированной армии в 2 миллиона человек и покупки 15 тысяч самолетов для армии и 4 тысяч — в дополнение к 7 тысячам, разрешенным в июне для армии и флота в целом. 19 июля он объявил, что нужен Закон о воинской повинности, а еще через 10 дней попросил Конгресс ускорить работу по законодательству, касающемуся создания Национальной гвардии. Дело пошло быстро, и после продолжительных дебатов 27 августа был принят Закон о Национальной гвардии. 16 сентября был принят и Закон о воинской повинности (17417).</w:t>
      </w:r>
    </w:p>
    <w:p w14:paraId="4EE2B8C9" w14:textId="77777777" w:rsidR="00B63349" w:rsidRPr="00DB5D0D" w:rsidRDefault="00B63349" w:rsidP="00DB5D0D">
      <w:pPr>
        <w:tabs>
          <w:tab w:val="left" w:pos="11199"/>
        </w:tabs>
        <w:spacing w:after="0" w:line="240" w:lineRule="auto"/>
        <w:jc w:val="both"/>
        <w:rPr>
          <w:rFonts w:ascii="Times New Roman" w:hAnsi="Times New Roman"/>
          <w:color w:val="000000" w:themeColor="text1"/>
          <w:sz w:val="16"/>
          <w:szCs w:val="16"/>
        </w:rPr>
      </w:pPr>
    </w:p>
    <w:p w14:paraId="6AD7C69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72EA8B4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AEF4A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первой декаде июля 1940 г. посол Великобритании в Москве С.Криппс, известный деятель лейбористского движения и откровенный сторонник компромисса демократических стран с СССР против Германии, был принят по просьбе британского правительства Сталиным. Целью встречи было обсуждение международной ситуации и выяснение возможностей для улучшения советско-британских отношений. Советское руководство пошло на эту встречу, хотя и понимало ее экстраординарный в тот момент характер. Но одновременно оно подробно проинформировало Германию о содержании британских предложений.</w:t>
      </w:r>
    </w:p>
    <w:p w14:paraId="391024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мнения, что германская опасность угрожала не только Великобритании, но и СССР, британское правительство предлагало обсудить вопрос о согласовании действий в интересах сдерживания германской агрессии и "восстановления европейского баланса сил". Со своей стороны Лондон был готов к расширению торговли с СССР при условии, что британские товары не будут реэкспортироваться в Германию. Но самым главным было то, что британское правительство осторожно, но определенно указывало на свою готовность признать особую роль СССР на Балканах и обоснованность его стремления к обеспечению своих интересов в зоне Черноморских проливов. Таким образом, британская дипломатия возвращалась к уже апробированной в годы первой мировой войны идее заинтересовать Россию в сотрудничестве против Германии посредством уступок ей в вопросе о контроле над Проливами. Поскольку британский зондаж имел место незадолго до уже упоминавшегося турецкого предложения относительно регионального пакта безопасности между СССР и Турцией, можно предположить, что британское предложение было составной частью более общего плана налаживания антигерманского сотрудничества на юго-восточном фланге европейской зоны.</w:t>
      </w:r>
    </w:p>
    <w:p w14:paraId="3B445E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Насколько можно судить по опубликованной дипломатической переписке, советская реакция на британские предложения была в целом негативной. СССР не без оснований считал, что "европейский баланс сил" в том виде, как он складывался после версальского урегулирования, не учитывал советские интересы. Соответственно, Москва не стремилась к его "восстановлению". Изменить же его СССР все еще предполагал при опоре на союз с Германией (3871).</w:t>
      </w:r>
    </w:p>
    <w:p w14:paraId="48EACC9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2B7802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4BBC34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23EC7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г. «...последние рабочие чертежи на самолет ОПБ М-90 были переданы из КБ на производство досрочно” (на заводе 156) (9649).</w:t>
      </w:r>
    </w:p>
    <w:p w14:paraId="2D7CCFE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4123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штурман Управления Полярной авиации Л.М.Рубинштейн писал письмо Зам. НКАП т. Воронину (вх. 3494с)</w:t>
      </w:r>
    </w:p>
    <w:p w14:paraId="6608D5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Доношу, что 9 мая 1940 при полете Москва - Молотов на с-те ДБ-3 (командир к П.А.Попов) примерно через 2 часа полета на капоте левого мотора было мною замечено масло, на что я немедленно указал командиру с-та.</w:t>
      </w:r>
    </w:p>
    <w:p w14:paraId="7BE648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вследствии незначительного количества выбрасываемого масла и нормальных показаний контрольных приборов полет продолжался. В г. Молотове механиком с-та т. Ящиным был снят кок винта левого мотора и проверена масляная система винта.</w:t>
      </w:r>
    </w:p>
    <w:p w14:paraId="4C7869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2-го июня с.г. при обратном полете из г. Молотов в Москву в 8:45 московского времени я услышал резкий стук по фюзеляжу и заметил зазор на коке левого мотора, на что немедленно обратил внимание командира с-та. Левый мотор был немедленно выключен и по приказанию еомандира я повес с-т на Казанский аэродром ГУ ГВФ.</w:t>
      </w:r>
    </w:p>
    <w:p w14:paraId="426349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Через несколько минут (в 8:56) кок соскочил и повис на нескольких болтах, вследствие чего началась сильная вибрация с-та, продолжавшаяся до посадки на Казанском аэродроме ГУ ГВФ в 9:06.</w:t>
      </w:r>
    </w:p>
    <w:p w14:paraId="7602DB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посадки в Казани механиком с-та т. Ящиным быи осмотрены и проверены мотор и с-т, а также для симметрии был снят кок и с правого мотора.</w:t>
      </w:r>
    </w:p>
    <w:p w14:paraId="66A84E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проверки на земле моторов к Поповым в 15:37 мы стартовали с Казанского аэродрома. В момент отрыва, вследствие раскрутки левого мотора...(1172).</w:t>
      </w:r>
    </w:p>
    <w:p w14:paraId="61E3A12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4A9519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года КО –17, который приступил к разработке одноместного пикирующего бомбардировщика ("ОПБ") с мотором М-90 (и, как варианты, с мотором М-81 и М-71), досрочно сдал в производство рабочие чертежи для постройки трех экземпляров самолета "ОПБ".</w:t>
      </w:r>
    </w:p>
    <w:p w14:paraId="1EAC0F8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Макетная комиссия и командование ВВС в лице генерал-лейтенанта Смушкевича утвердил макет самолета и в заключении записали "что предъявленный самолет представляет значительный интерес для ВВС, а поэтому считает необходимым войти с ходатайством в КО о скорейшем разрешении вопроса о постройке самолета" (3420, 110-111).</w:t>
      </w:r>
    </w:p>
    <w:p w14:paraId="49DDA49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5700CF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вышел приказ НКАП N 344с "По вопросу развертывания серийного производства самолета ДБ-240. Потребовал личного пребывания ГК на заводе 18 не менее 15 дней в месяц в течение 1940 (408,74).</w:t>
      </w:r>
    </w:p>
    <w:p w14:paraId="551EE7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производства самолета ДБ-240 - ПРИКАЗЫВАЮ:</w:t>
      </w:r>
    </w:p>
    <w:p w14:paraId="1DB0F5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Конструктору т ов. ЕРМОЛАЕВУ:</w:t>
      </w:r>
    </w:p>
    <w:p w14:paraId="28C80E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Передать заводу № 18:</w:t>
      </w:r>
    </w:p>
    <w:p w14:paraId="1DDCDD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5 комплектов чертежей самолета к 15.7. 40 г.</w:t>
      </w:r>
    </w:p>
    <w:p w14:paraId="3D3238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5 комплексов чертежей самолета (за совместными под</w:t>
      </w:r>
      <w:r w:rsidRPr="00DB5D0D">
        <w:rPr>
          <w:rFonts w:ascii="Times New Roman" w:hAnsi="Times New Roman"/>
          <w:color w:val="000000" w:themeColor="text1"/>
          <w:sz w:val="16"/>
          <w:szCs w:val="16"/>
        </w:rPr>
        <w:softHyphen/>
        <w:t>писями ГУАС КА и конструктора) с исправлениями по данным госиспытаний к 15.8.40 г.</w:t>
      </w:r>
    </w:p>
    <w:p w14:paraId="4AA4E4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3 экземпляра техописаний и инструкций по эксплоатации самолета ДБ-240 к 5.8.40 г.</w:t>
      </w:r>
    </w:p>
    <w:p w14:paraId="32E7F9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Закончить к 10.7.40 г.</w:t>
      </w:r>
    </w:p>
    <w:p w14:paraId="08540C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Проведение заводских испытаний сбрасывателей МСШ-8-1 и МСП-8-1 на самолете ДБ-240.</w:t>
      </w:r>
    </w:p>
    <w:p w14:paraId="1B73BB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Доработку кассетного держателя КД-3-240 и передать доработанные чертежи заводу № 32.</w:t>
      </w:r>
    </w:p>
    <w:p w14:paraId="41FB2A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Обеспечить доводку самолета ДБ-240 в серии, непо</w:t>
      </w:r>
      <w:r w:rsidRPr="00DB5D0D">
        <w:rPr>
          <w:rFonts w:ascii="Times New Roman" w:hAnsi="Times New Roman"/>
          <w:color w:val="000000" w:themeColor="text1"/>
          <w:sz w:val="16"/>
          <w:szCs w:val="16"/>
        </w:rPr>
        <w:softHyphen/>
        <w:t>средственно на заводе № 18, путем:</w:t>
      </w:r>
    </w:p>
    <w:p w14:paraId="5B9F73C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Откомандиршания с завода № 240 на завод № 18 (на период освоения) ведущего инженера и соответствующих конструкторор, уполномочив их разрешать на месте полностью воз</w:t>
      </w:r>
      <w:r w:rsidRPr="00DB5D0D">
        <w:rPr>
          <w:rFonts w:ascii="Times New Roman" w:hAnsi="Times New Roman"/>
          <w:color w:val="000000" w:themeColor="text1"/>
          <w:sz w:val="16"/>
          <w:szCs w:val="16"/>
        </w:rPr>
        <w:softHyphen/>
        <w:t>никающие в процессе производства и летных испытаний все производственные, конструктивные и технологические вопросы.</w:t>
      </w:r>
    </w:p>
    <w:p w14:paraId="0F2954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Личного пребывания на заводе № 18, по мере необходи</w:t>
      </w:r>
      <w:r w:rsidRPr="00DB5D0D">
        <w:rPr>
          <w:rFonts w:ascii="Times New Roman" w:hAnsi="Times New Roman"/>
          <w:color w:val="000000" w:themeColor="text1"/>
          <w:sz w:val="16"/>
          <w:szCs w:val="16"/>
        </w:rPr>
        <w:softHyphen/>
        <w:t>мости, но не менее 15 дней в месяц в течение 1940 года.</w:t>
      </w:r>
    </w:p>
    <w:p w14:paraId="3F9B05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Немедленно, по окончании госиспытаний, перегнать на завод № 18 первый экземпляр самолета ДБ-240.</w:t>
      </w:r>
    </w:p>
    <w:p w14:paraId="393EDF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Директору завода № 18 т. Шенкману</w:t>
      </w:r>
    </w:p>
    <w:p w14:paraId="3C08E85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Разработать и представить к 15.7.40 г. Начальнику 1-го Главного Управления график подготовки и развертывания серий</w:t>
      </w:r>
      <w:r w:rsidRPr="00DB5D0D">
        <w:rPr>
          <w:rFonts w:ascii="Times New Roman" w:hAnsi="Times New Roman"/>
          <w:color w:val="000000" w:themeColor="text1"/>
          <w:sz w:val="16"/>
          <w:szCs w:val="16"/>
        </w:rPr>
        <w:softHyphen/>
        <w:t>ного производства самолета ДБ-240 из расчета выпуска в 1940 г. 70 машин и создания на 1.1.41 г. комплектного задела для обес</w:t>
      </w:r>
      <w:r w:rsidRPr="00DB5D0D">
        <w:rPr>
          <w:rFonts w:ascii="Times New Roman" w:hAnsi="Times New Roman"/>
          <w:color w:val="000000" w:themeColor="text1"/>
          <w:sz w:val="16"/>
          <w:szCs w:val="16"/>
        </w:rPr>
        <w:softHyphen/>
        <w:t>печения плана 1941 года.</w:t>
      </w:r>
    </w:p>
    <w:p w14:paraId="3CC5E5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Приступить, всоответствии с графиком, к проектирова</w:t>
      </w:r>
      <w:r w:rsidRPr="00DB5D0D">
        <w:rPr>
          <w:rFonts w:ascii="Times New Roman" w:hAnsi="Times New Roman"/>
          <w:color w:val="000000" w:themeColor="text1"/>
          <w:sz w:val="16"/>
          <w:szCs w:val="16"/>
        </w:rPr>
        <w:softHyphen/>
        <w:t>нию и изготовлению стапелей, .приспособлений и инструмента для серийного производства.</w:t>
      </w:r>
    </w:p>
    <w:p w14:paraId="0F039EC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 конструктивным чертежам и первому экземпляру само</w:t>
      </w:r>
      <w:r w:rsidRPr="00DB5D0D">
        <w:rPr>
          <w:rFonts w:ascii="Times New Roman" w:hAnsi="Times New Roman"/>
          <w:color w:val="000000" w:themeColor="text1"/>
          <w:sz w:val="16"/>
          <w:szCs w:val="16"/>
        </w:rPr>
        <w:softHyphen/>
        <w:t>лета (не ожидая результатов госиспытании) запустить-в произ</w:t>
      </w:r>
      <w:r w:rsidRPr="00DB5D0D">
        <w:rPr>
          <w:rFonts w:ascii="Times New Roman" w:hAnsi="Times New Roman"/>
          <w:color w:val="000000" w:themeColor="text1"/>
          <w:sz w:val="16"/>
          <w:szCs w:val="16"/>
        </w:rPr>
        <w:softHyphen/>
        <w:t>водство задел, изготовить и сдать в 1940 году 70 самолетов ДБ-240.</w:t>
      </w:r>
    </w:p>
    <w:p w14:paraId="18EDE7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Представить на утверждение Начальника 1-го Главного Управления НКАП к 15.7.40 г. систему премирования за серийное освоение ДБ-240.</w:t>
      </w:r>
    </w:p>
    <w:p w14:paraId="79D2D7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К 15 июля принять от ЦАГИ его филиал, расположенный на территории завода № 18.</w:t>
      </w:r>
    </w:p>
    <w:p w14:paraId="28A7B9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 Начашльникам 2, 3, 4 и 5 ГУ НКАП т.т. СОКОЛОВУ, ЛУКИНУ, МИХАЙЛОВУ и БАЛАКИРЕВУ:</w:t>
      </w:r>
    </w:p>
    <w:p w14:paraId="45840D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Организовать производство и поставить заводу новые и дефицитные изделия на выпуск 1940 года:</w:t>
      </w:r>
    </w:p>
    <w:p w14:paraId="761956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Главк</w:t>
      </w:r>
      <w:r w:rsidRPr="00DB5D0D">
        <w:rPr>
          <w:rFonts w:ascii="Times New Roman" w:hAnsi="Times New Roman"/>
          <w:color w:val="000000" w:themeColor="text1"/>
          <w:sz w:val="16"/>
          <w:szCs w:val="16"/>
        </w:rPr>
        <w:tab/>
        <w:t>18</w:t>
      </w:r>
    </w:p>
    <w:p w14:paraId="450586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3-й Главк</w:t>
      </w:r>
      <w:r w:rsidRPr="00DB5D0D">
        <w:rPr>
          <w:rFonts w:ascii="Times New Roman" w:hAnsi="Times New Roman"/>
          <w:color w:val="000000" w:themeColor="text1"/>
          <w:sz w:val="16"/>
          <w:szCs w:val="16"/>
        </w:rPr>
        <w:tab/>
        <w:t>2</w:t>
      </w:r>
    </w:p>
    <w:p w14:paraId="7FFD66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4-й Главк</w:t>
      </w:r>
      <w:r w:rsidRPr="00DB5D0D">
        <w:rPr>
          <w:rFonts w:ascii="Times New Roman" w:hAnsi="Times New Roman"/>
          <w:color w:val="000000" w:themeColor="text1"/>
          <w:sz w:val="16"/>
          <w:szCs w:val="16"/>
        </w:rPr>
        <w:tab/>
        <w:t>2</w:t>
      </w:r>
    </w:p>
    <w:p w14:paraId="374792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5-й Главк</w:t>
      </w:r>
      <w:r w:rsidRPr="00DB5D0D">
        <w:rPr>
          <w:rFonts w:ascii="Times New Roman" w:hAnsi="Times New Roman"/>
          <w:color w:val="000000" w:themeColor="text1"/>
          <w:sz w:val="16"/>
          <w:szCs w:val="16"/>
        </w:rPr>
        <w:tab/>
        <w:t>5</w:t>
      </w:r>
    </w:p>
    <w:p w14:paraId="4FC7DF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количествах и сроки по- приложению № 1.</w:t>
      </w:r>
    </w:p>
    <w:p w14:paraId="41D8A4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Поставки изделий 2, 3, 4 и 5 Главными Управлениями в 1940 году на задел программы 1941 года производить по заяв</w:t>
      </w:r>
      <w:r w:rsidRPr="00DB5D0D">
        <w:rPr>
          <w:rFonts w:ascii="Times New Roman" w:hAnsi="Times New Roman"/>
          <w:color w:val="000000" w:themeColor="text1"/>
          <w:sz w:val="16"/>
          <w:szCs w:val="16"/>
        </w:rPr>
        <w:softHyphen/>
        <w:t>кам 1-го Главного Управления.</w:t>
      </w:r>
    </w:p>
    <w:p w14:paraId="2F24FE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Остальные изделия для завода № 18 также поставлять в соответствии с заявками 1-го Главного Управления.</w:t>
      </w:r>
    </w:p>
    <w:p w14:paraId="3944B2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 Начальнику 2-го Главного Управления НКАП тов. СОКОЛОВУ И.А. и Директору завода № 32 тов. ЖЕЗЛОВУ:</w:t>
      </w:r>
    </w:p>
    <w:p w14:paraId="1B8CE3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Обеспечить проведение к 1 августа с.г. заводских и госу</w:t>
      </w:r>
      <w:r w:rsidRPr="00DB5D0D">
        <w:rPr>
          <w:rFonts w:ascii="Times New Roman" w:hAnsi="Times New Roman"/>
          <w:color w:val="000000" w:themeColor="text1"/>
          <w:sz w:val="16"/>
          <w:szCs w:val="16"/>
        </w:rPr>
        <w:softHyphen/>
        <w:t>дарственных испытаний:</w:t>
      </w:r>
    </w:p>
    <w:p w14:paraId="070DF9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носовой установки НУ ВМ-240 с экраном и ящиком под 1000 патронов с пулеметом Шкас (крыльевой) с ручкой переза</w:t>
      </w:r>
      <w:r w:rsidRPr="00DB5D0D">
        <w:rPr>
          <w:rFonts w:ascii="Times New Roman" w:hAnsi="Times New Roman"/>
          <w:color w:val="000000" w:themeColor="text1"/>
          <w:sz w:val="16"/>
          <w:szCs w:val="16"/>
        </w:rPr>
        <w:softHyphen/>
        <w:t>ряжения, оптическим прицелом ПАЛ-27 с механизмом стабилиза</w:t>
      </w:r>
      <w:r w:rsidRPr="00DB5D0D">
        <w:rPr>
          <w:rFonts w:ascii="Times New Roman" w:hAnsi="Times New Roman"/>
          <w:color w:val="000000" w:themeColor="text1"/>
          <w:sz w:val="16"/>
          <w:szCs w:val="16"/>
        </w:rPr>
        <w:softHyphen/>
        <w:t>ции завода ГОМЗ</w:t>
      </w:r>
    </w:p>
    <w:p w14:paraId="3E2BDB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тяжелой аэродинамической турели под пулемет Берези</w:t>
      </w:r>
      <w:r w:rsidRPr="00DB5D0D">
        <w:rPr>
          <w:rFonts w:ascii="Times New Roman" w:hAnsi="Times New Roman"/>
          <w:color w:val="000000" w:themeColor="text1"/>
          <w:sz w:val="16"/>
          <w:szCs w:val="16"/>
        </w:rPr>
        <w:softHyphen/>
        <w:t>на калибра 12,7 (ТАТ-БУ-12,7) убирающейся с ящиком под 300 штук с пулеметом Березина, с оптическим прицелом завода ГОМЗ</w:t>
      </w:r>
    </w:p>
    <w:p w14:paraId="33856E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приступить с 1.9.40 г. к серийному выпуску установ</w:t>
      </w:r>
      <w:r w:rsidRPr="00DB5D0D">
        <w:rPr>
          <w:rFonts w:ascii="Times New Roman" w:hAnsi="Times New Roman"/>
          <w:color w:val="000000" w:themeColor="text1"/>
          <w:sz w:val="16"/>
          <w:szCs w:val="16"/>
        </w:rPr>
        <w:softHyphen/>
        <w:t>ки НУ ВМ-240 и ТАТ-БУ, обеспечив в 1940 году поставку заво</w:t>
      </w:r>
      <w:r w:rsidRPr="00DB5D0D">
        <w:rPr>
          <w:rFonts w:ascii="Times New Roman" w:hAnsi="Times New Roman"/>
          <w:color w:val="000000" w:themeColor="text1"/>
          <w:sz w:val="16"/>
          <w:szCs w:val="16"/>
        </w:rPr>
        <w:softHyphen/>
        <w:t>ду № 18 70 комплектов.</w:t>
      </w:r>
    </w:p>
    <w:p w14:paraId="20EED9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Начальнику 1-го Главного Управления:</w:t>
      </w:r>
    </w:p>
    <w:p w14:paraId="060AED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Выделить заводу № 18 в пределах фондов Главка на Ш-й квартал материалы и инструмент для подготовки производ</w:t>
      </w:r>
      <w:r w:rsidRPr="00DB5D0D">
        <w:rPr>
          <w:rFonts w:ascii="Times New Roman" w:hAnsi="Times New Roman"/>
          <w:color w:val="000000" w:themeColor="text1"/>
          <w:sz w:val="16"/>
          <w:szCs w:val="16"/>
        </w:rPr>
        <w:softHyphen/>
        <w:t>ства, по спецификациям завода № 18.</w:t>
      </w:r>
    </w:p>
    <w:p w14:paraId="6C5445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Довести фонды Ш-го квартала на материалы для заво</w:t>
      </w:r>
      <w:r w:rsidRPr="00DB5D0D">
        <w:rPr>
          <w:rFonts w:ascii="Times New Roman" w:hAnsi="Times New Roman"/>
          <w:color w:val="000000" w:themeColor="text1"/>
          <w:sz w:val="16"/>
          <w:szCs w:val="16"/>
        </w:rPr>
        <w:softHyphen/>
        <w:t>да № 18 до полного обеспечения программы завода: по сдаче 1940 года и заделу на 1.1.1941 г.</w:t>
      </w:r>
    </w:p>
    <w:p w14:paraId="77F830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Рассмотреть заявки завода № 18 на электроматериалы, стройматериалы и оборудование , необходимые для пуска в эксплоатацию об"ектов по титулам 1940 года и принять меры к их полному удовлетворению.</w:t>
      </w:r>
    </w:p>
    <w:p w14:paraId="075756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Выделять заводу № 18 ежемесячно (сверх основных фондов) 20 тонн автобензина - по 10 тонн в Москве и Воронеже.</w:t>
      </w:r>
    </w:p>
    <w:p w14:paraId="3CA53E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У1. Начальнику Отдела Кооперации тов. ФАРМАНЯНЦ</w:t>
      </w:r>
    </w:p>
    <w:p w14:paraId="2A6841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разместить заказы на производство и поставку заводу № 18 13 наименований готовых изделий и полуфабрикатов по спецификации, в количествах и сроки по приложейию № 2.</w:t>
      </w:r>
    </w:p>
    <w:p w14:paraId="7C9C26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 Директору завода № 95 т. ВИШТИНЕНКОВУ</w:t>
      </w:r>
    </w:p>
    <w:p w14:paraId="0D72F0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организовать производство и своевременную поставку прес</w:t>
      </w:r>
      <w:r w:rsidRPr="00DB5D0D">
        <w:rPr>
          <w:rFonts w:ascii="Times New Roman" w:hAnsi="Times New Roman"/>
          <w:color w:val="000000" w:themeColor="text1"/>
          <w:sz w:val="16"/>
          <w:szCs w:val="16"/>
        </w:rPr>
        <w:softHyphen/>
        <w:t>сованных профилей заводу № 18 по его спецификации.</w:t>
      </w:r>
    </w:p>
    <w:p w14:paraId="0D7CC8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УШ Директору завода № 219 тов. ПЕРШИНУ</w:t>
      </w:r>
    </w:p>
    <w:p w14:paraId="072D5B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организовать производство и поставку заводу № 18 литых де</w:t>
      </w:r>
      <w:r w:rsidRPr="00DB5D0D">
        <w:rPr>
          <w:rFonts w:ascii="Times New Roman" w:hAnsi="Times New Roman"/>
          <w:color w:val="000000" w:themeColor="text1"/>
          <w:sz w:val="16"/>
          <w:szCs w:val="16"/>
        </w:rPr>
        <w:softHyphen/>
        <w:t>талей в количествах и сроки по спецификации завода № 18... (408,74).</w:t>
      </w:r>
    </w:p>
    <w:p w14:paraId="7215F54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D6B948" w14:textId="77777777" w:rsidR="00B04EB2" w:rsidRPr="00DB5D0D" w:rsidRDefault="00B04EB2" w:rsidP="00DB5D0D">
      <w:pPr>
        <w:autoSpaceDE w:val="0"/>
        <w:autoSpaceDN w:val="0"/>
        <w:adjustRightInd w:val="0"/>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11 июля 1940 года вышел приказ НКАП № 344с «По вопросу развертывания серийно</w:t>
      </w:r>
      <w:r w:rsidRPr="00DB5D0D">
        <w:rPr>
          <w:rFonts w:ascii="Times New Roman" w:hAnsi="Times New Roman"/>
          <w:color w:val="0070C0"/>
          <w:sz w:val="16"/>
          <w:szCs w:val="16"/>
          <w:lang w:eastAsia="ru-RU" w:bidi="ru-RU"/>
        </w:rPr>
        <w:softHyphen/>
        <w:t>го производства самолета ДБ-240». Для обеспечения организации производства новой машины этим документом устанавли</w:t>
      </w:r>
      <w:r w:rsidRPr="00DB5D0D">
        <w:rPr>
          <w:rFonts w:ascii="Times New Roman" w:hAnsi="Times New Roman"/>
          <w:color w:val="0070C0"/>
          <w:sz w:val="16"/>
          <w:szCs w:val="16"/>
          <w:lang w:eastAsia="ru-RU" w:bidi="ru-RU"/>
        </w:rPr>
        <w:softHyphen/>
        <w:t>вались порядок и сроки передачи на завод № 18 конструкторской и прочей технической документации, выполнения дополнительных испытаний и доработок, изготовления про</w:t>
      </w:r>
      <w:r w:rsidRPr="00DB5D0D">
        <w:rPr>
          <w:rFonts w:ascii="Times New Roman" w:hAnsi="Times New Roman"/>
          <w:color w:val="0070C0"/>
          <w:sz w:val="16"/>
          <w:szCs w:val="16"/>
          <w:lang w:eastAsia="ru-RU" w:bidi="ru-RU"/>
        </w:rPr>
        <w:softHyphen/>
        <w:t>изводственной оснастки, поставки изделий главками НКАП, откомандирования на завод № 18 (на период освоения) специалистов за</w:t>
      </w:r>
      <w:r w:rsidRPr="00DB5D0D">
        <w:rPr>
          <w:rFonts w:ascii="Times New Roman" w:hAnsi="Times New Roman"/>
          <w:color w:val="0070C0"/>
          <w:sz w:val="16"/>
          <w:szCs w:val="16"/>
          <w:lang w:eastAsia="ru-RU" w:bidi="ru-RU"/>
        </w:rPr>
        <w:softHyphen/>
        <w:t>вода № 240, уполномоченных решать на месте возникающие в процессе производства и летных испытаний все производственные, конструктивные и технологические вопросы. Помимо этого, предусматривался целый ком</w:t>
      </w:r>
      <w:r w:rsidRPr="00DB5D0D">
        <w:rPr>
          <w:rFonts w:ascii="Times New Roman" w:hAnsi="Times New Roman"/>
          <w:color w:val="0070C0"/>
          <w:sz w:val="16"/>
          <w:szCs w:val="16"/>
          <w:lang w:eastAsia="ru-RU" w:bidi="ru-RU"/>
        </w:rPr>
        <w:softHyphen/>
        <w:t>плекс организационных и финансовых мер, в частности, В.Г. Ермолаеву предписывалось лично присутствовать на заводе № 18 «по мере необходимости, но не менее 15 дней в месяц в течение 1940 года» (21406).</w:t>
      </w:r>
    </w:p>
    <w:p w14:paraId="4D8EDF24" w14:textId="77777777" w:rsidR="00B04EB2" w:rsidRPr="00DB5D0D" w:rsidRDefault="00B04EB2" w:rsidP="00DB5D0D">
      <w:pPr>
        <w:autoSpaceDE w:val="0"/>
        <w:autoSpaceDN w:val="0"/>
        <w:adjustRightInd w:val="0"/>
        <w:spacing w:after="0" w:line="240" w:lineRule="auto"/>
        <w:jc w:val="both"/>
        <w:rPr>
          <w:rFonts w:ascii="Times New Roman" w:hAnsi="Times New Roman"/>
          <w:color w:val="0070C0"/>
          <w:sz w:val="16"/>
          <w:szCs w:val="16"/>
        </w:rPr>
      </w:pPr>
    </w:p>
    <w:p w14:paraId="4F700C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июля 1940 Пред. ТС НИИ ВВС гма Филин и члены ТС би Федоров и гма Гусев рподписали Протокол № 7 заседания Техсовета при НИИ ВВС КА </w:t>
      </w:r>
    </w:p>
    <w:p w14:paraId="188FCA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Слушали: "О результатах гос. испытаний самолета И-301 с М-105П конструкторов ЛаГГ, постройки завода № 301 (706,7).</w:t>
      </w:r>
    </w:p>
    <w:p w14:paraId="5F4DEF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ТС при НИИ ВВС КА под председательством Нач. НИИ ВВС КА гма А.И.Филина в составе слена ТС Зам. нач. НИИ ВВС КА би т. Федорова, заслушала доклад ви НИИ ВВС КА ви3р т. Тараконавского содоклады ли м т. Стефанца и м т. Супруна о рез. Госиспытаний И-201 М-105П.</w:t>
      </w:r>
    </w:p>
    <w:p w14:paraId="4BEB13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Присутствовало 29 человек</w:t>
      </w:r>
    </w:p>
    <w:p w14:paraId="14630E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построен по Пост. КО при СНК СССР № 243 от 29 июля 1939. Была задана постройка 2-х экз. одноместного цельнодеревянного с-та истребителя с применением новых видов метериалов.</w:t>
      </w:r>
    </w:p>
    <w:p w14:paraId="3742DB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сдачи с-та на госиспытания: 1-й экз. с М-105 с ТК-2 - февраль 1940, 2-й экз. с М-106П - май 1940</w:t>
      </w:r>
    </w:p>
    <w:p w14:paraId="1AE1E9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построен в двух экз. с М-105П</w:t>
      </w:r>
    </w:p>
    <w:p w14:paraId="67D48A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предъявлен на госиспытания 14 июня 1940</w:t>
      </w:r>
    </w:p>
    <w:p w14:paraId="5FCFC0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С-т с моторм М-105 с ТК-2</w:t>
      </w:r>
    </w:p>
    <w:p w14:paraId="401527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- 2 синхронных ШКАС</w:t>
      </w:r>
    </w:p>
    <w:p w14:paraId="06A5C5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Березина</w:t>
      </w:r>
    </w:p>
    <w:p w14:paraId="20A54F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РС-82</w:t>
      </w:r>
    </w:p>
    <w:p w14:paraId="00D7CC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 мотором М-106П</w:t>
      </w:r>
    </w:p>
    <w:p w14:paraId="71D1AA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1х20-23мм пушка черенз редуктор</w:t>
      </w:r>
    </w:p>
    <w:p w14:paraId="1378A0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синхронных ШКАС</w:t>
      </w:r>
    </w:p>
    <w:p w14:paraId="15C2DA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РС-82</w:t>
      </w:r>
    </w:p>
    <w:p w14:paraId="6F3B92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госиспытаниях в НИИ ВВС КА 1-го экземпляра с М-105П получены следующие данные:</w:t>
      </w:r>
    </w:p>
    <w:p w14:paraId="5B7137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Макс. на 0 - 515 км/час</w:t>
      </w:r>
    </w:p>
    <w:p w14:paraId="216F2B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Макс. на 4950 - 605 км/час</w:t>
      </w:r>
    </w:p>
    <w:p w14:paraId="40D806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Макс. на 6000 м - 579 км/час</w:t>
      </w:r>
    </w:p>
    <w:p w14:paraId="3A6F32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Посадочная - 140 км/час</w:t>
      </w:r>
    </w:p>
    <w:p w14:paraId="56FD63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на 0,9 макс. - 556 км</w:t>
      </w:r>
    </w:p>
    <w:p w14:paraId="51D29A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в сподвесными данными - не определялась, т.к. баки не устанавлвались</w:t>
      </w:r>
    </w:p>
    <w:p w14:paraId="1786A2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на 5000 м - 5,85</w:t>
      </w:r>
    </w:p>
    <w:p w14:paraId="23091C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9600 м</w:t>
      </w:r>
    </w:p>
    <w:p w14:paraId="2F9FC6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1хТаубина калибра 23мм, 81 снаряд</w:t>
      </w:r>
    </w:p>
    <w:p w14:paraId="1F9913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2хБерезина, 480 снарядов</w:t>
      </w:r>
    </w:p>
    <w:p w14:paraId="4E9604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самоллете не предъявлены:</w:t>
      </w:r>
    </w:p>
    <w:p w14:paraId="6C259B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ТК-2</w:t>
      </w:r>
    </w:p>
    <w:p w14:paraId="79D3C2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фары,</w:t>
      </w:r>
    </w:p>
    <w:p w14:paraId="4BD98E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подвесные б/б</w:t>
      </w:r>
    </w:p>
    <w:p w14:paraId="744180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агрегаты заполнения б/б инерным газом</w:t>
      </w:r>
    </w:p>
    <w:p w14:paraId="0FDDD4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установки под РС-82</w:t>
      </w:r>
    </w:p>
    <w:p w14:paraId="4C1F8A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Никашин: “Единственно могу сказать, что самолет в своей основе имеет хорошие стороны и те дефекты, которые отмечены госиспытаниями необходимо устранить, а те хорошие стороны, которые имеет данный самолет, сводятся на нет тем монтажем и небрежностью, которые допущены.</w:t>
      </w:r>
    </w:p>
    <w:p w14:paraId="7114C1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Отсюда, не говоря о вооружении, конструкторам необходимо не распыляться на другие объекты и заняться доводкой машины и тгда будет прекрасный самолет.”</w:t>
      </w:r>
    </w:p>
    <w:p w14:paraId="44440B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Лавочкин: “Мы будем работать над тем, чтобы снизить вес машины на 100 кг, не более...”</w:t>
      </w:r>
    </w:p>
    <w:p w14:paraId="01746F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w:t>
      </w:r>
    </w:p>
    <w:p w14:paraId="6AE4CD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Предъявленный на госиспытания 1-й экз. с-та И-301 с мотором М-105П госиспытаний не выдержал из-за непрохождения госиспытаний на пикированеи, штопор, высший пилотаж, отстрел в воздухе.</w:t>
      </w:r>
    </w:p>
    <w:p w14:paraId="66B3F8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 отвечает заданныфм ЛД по постановлению КО № 243 за исключением большой посадочной скорости, которая получена в 140 км/час вместо требуемых 110-120 км/час.</w:t>
      </w:r>
    </w:p>
    <w:p w14:paraId="215561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Признать, что с-т И-301 представляет несомненный интерес для ВВС в части своего материала - упроченной древесины, мощного вооружения: одна пушка, 2хкрупнокалиберный пулемет и 2хпулемет 7,62, а также в части макс. скорости - 605 км/час</w:t>
      </w:r>
    </w:p>
    <w:p w14:paraId="6378E4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Необходимо в кратчайший срок построить 2 экз. этого с-та, устранить на нем основные дефекты, выявленные при госиспытаниях 1-го экз., довести стрелковое вооружение, провести заводские испытания с-та по полной программе и перадать его на госиспытания в НИИ ВВС КА</w:t>
      </w:r>
    </w:p>
    <w:p w14:paraId="2FD64B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Признать целесообрпазным немедленно начать подготовку серийного выпуска с-та И-301 с М-105П, обеспечив выпуск 25-30 с-тов для прохождения войсковых испытаний в 1940 г.</w:t>
      </w:r>
    </w:p>
    <w:p w14:paraId="4B1BF7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просить НКАП особо обратить внимание на этот самолет в части быстрейшей его доводки и постройки войсковой серии с устранением дефектов, выявленных в процессе госиспытаний.</w:t>
      </w:r>
    </w:p>
    <w:p w14:paraId="0AF296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Отметить , что НКАП не выполнил срок предъявления с-та на госиспытания, установленный Правительством (постановлени КО № 243 от 20 июля 1939 г.).</w:t>
      </w:r>
    </w:p>
    <w:p w14:paraId="177A40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Отметить , что с-т до сдачи на госиспытания не прошел полной программы заводских испытаний, что противоречит Постановлению ЦК ВКП (б) и СНК от 8 мая 1940 г. (706,10).</w:t>
      </w:r>
    </w:p>
    <w:p w14:paraId="47FB250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8C76A3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года Молотову В.М.</w:t>
      </w:r>
    </w:p>
    <w:p w14:paraId="6543559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Кузнецов Н.Г. проголосовал проект постановления КО о создании одноместного истребителя конструкции Бериева "против", мотивируя это тем, что задание на проектирование сухопутного истребителя может сорвать работу Бериева над заданием по корабельному разведчику КОР-2 и не дает ему возможности работать над усовершенствованием корабельных самолетов.</w:t>
      </w:r>
    </w:p>
    <w:p w14:paraId="63375AD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 считает возражения Кузнецова Н.Г. против создания скоростного истребителя со скоростью 780 км/час конструкции Бериева необоснованными.</w:t>
      </w:r>
    </w:p>
    <w:p w14:paraId="5DA5EEC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обязан спроектировать и построить для НКВМФ корабельный разведчик КОР-2 со скоростью 365 км/час и предъявить его на гос. испытания к 1 января 1941 года. Настоящим постановлением с Бериева не снимается задание по созданию самолета КОР-2. Работа конструкторского коллектива Бериева над новым истребителем не будет являться помехой для выполнения заданий по самолету КОР-2 и внедрению в серию давно созданной машины КОР-1.</w:t>
      </w:r>
    </w:p>
    <w:p w14:paraId="41C568D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возражения Кузнецова отклонить и проголосовать проект постановления КО о создании опытного истребителя со скоростью 780 км/час конструкции Бериева.</w:t>
      </w:r>
    </w:p>
    <w:p w14:paraId="4D53A3D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(Пометка: По сообщению Шахурина, конструктор Бериев берется за выполнение обоих экземпляров) (3420, 91).</w:t>
      </w:r>
    </w:p>
    <w:p w14:paraId="1CC187F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4789B0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(11 - 4,72) 1940 состоялся первый полет И-21 М.М.Пашинина и летал л П.Ю.Фокин. Заводские испытания шли до 1 октября 1940 (2090,232). В октябре - построили второй и в апреле 1941 - третий. Оказался хорошим, но неустойчивым (129,8). Проект разрабатывали с января 1940 и машину закончили весной 1940 (4,73). Гос. испытания второго шли до декабря 1940.</w:t>
      </w:r>
    </w:p>
    <w:p w14:paraId="08515A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это был И-21-1 и испытания шли до 30 октября 1940, а 1 октября закончились заводские испытания 2-й машины, которые начались 1 сентября 1940 (2090,234).</w:t>
      </w:r>
    </w:p>
    <w:p w14:paraId="341A32D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C1DBF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 13 июля 1940 года на самолете И-21 начались летные испытания. Произведено 2 полета. Первый продолжительностью 18 минут и второй 5 минут. Поведение машины в обоих полетах было хорошее (4644, 14).</w:t>
      </w:r>
    </w:p>
    <w:p w14:paraId="4C4C015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ADD09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г. летчик П.Ю.Фокин поднял в воздух первый экземпляр И-21. Форсированными темпами шла постройка еще трех машин (10667).</w:t>
      </w:r>
    </w:p>
    <w:p w14:paraId="2CCFCB7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BD2A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г. состоялся первый вылет с заводского аэродрома авиазавода №21 продолжительностью 18 минут ИП-21, который построили в июне. Пилотировал летчнк-испытатель П.В.Фокин. До августа, в процессе заводских испытаний удалось выполнить 33 полета с общим налетом 16 часов. Начиная с 3 августа, несколько полетов Фокин выполнил на выполнение фигур высшею пилотажа. По его отзыву И11-21 хорошо слушался рулей, на пикировании был устойчив, по сравнению с И-16 обладал более простыми взлетом и посадкой. ИГ1-21 значился как тип 30 завода №21. при подготовке к его производству предполагали использовать оснастку от И-16 (12015).</w:t>
      </w:r>
    </w:p>
    <w:p w14:paraId="0613AED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C2829A1"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г. состоялся первый вылет ИП-21 с заводского аэродрома авиазавода № 21 в Горьком продолжительностью 18 минут. Машиной управлял летчик-испытатель П.В. Фокин. До августа, в процессе заводских испытаний, удалось выполнить 33 полета с общим налетом 16 часов. Начиная с 3 августа несколько полетов Фокин выполнил на выполнение фигур высшего пилотажа. По его отзыву ИП-21 хорошо слушался рулей, на пикировании был устойчив, посадка и взлет оценивались более простыми, по сравнению с распространенным И-16. Путевая и поперечная устойчивость хорошая, продольная устойчивость требовала дальнейших исследований.</w:t>
      </w:r>
    </w:p>
    <w:p w14:paraId="6BD1DB0E"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второй половине месяца первый опытный ИП-21 направили в Москву, где 18 августа он совершил демонстрационный полет на празднике, посвященном Дню авиации. Затем самолет некоторое время находился на Центральном аэродроме в Москве. В этот период ИП-21 облетали летчики НИИ ВВС, которые отметили тенденцию машины к сваливанию на крыло при посадке на больших углах атаки. Для устранения этого недостатка Пашинину предложили второй опытный экземпляр оборудовать автоматическими предкрылками на отъемных частях крыла (15561).</w:t>
      </w:r>
    </w:p>
    <w:p w14:paraId="6CCD928E"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257C56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в ходе заводских испытаний И-200 А.И.М, которые проходили с 31 марта по 17 августа 1940, на И-200-1 был полет пилотаж (2988).</w:t>
      </w:r>
    </w:p>
    <w:p w14:paraId="2E013CA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7FC4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11 июля 1940 в присутствии аварийной комиссии по авиарии И-180-2 под уапавлением Прошакова были проведены спе</w:t>
      </w:r>
      <w:r w:rsidRPr="00DB5D0D">
        <w:rPr>
          <w:rFonts w:ascii="Times New Roman" w:hAnsi="Times New Roman"/>
          <w:color w:val="000000" w:themeColor="text1"/>
          <w:sz w:val="16"/>
          <w:szCs w:val="16"/>
        </w:rPr>
        <w:softHyphen/>
        <w:t>циальные испытания управления. Качалка с противо</w:t>
      </w:r>
      <w:r w:rsidRPr="00DB5D0D">
        <w:rPr>
          <w:rFonts w:ascii="Times New Roman" w:hAnsi="Times New Roman"/>
          <w:color w:val="000000" w:themeColor="text1"/>
          <w:sz w:val="16"/>
          <w:szCs w:val="16"/>
        </w:rPr>
        <w:softHyphen/>
        <w:t>весом выдержала 13-кратную перегрузку, а когда ее во</w:t>
      </w:r>
      <w:r w:rsidRPr="00DB5D0D">
        <w:rPr>
          <w:rFonts w:ascii="Times New Roman" w:hAnsi="Times New Roman"/>
          <w:color w:val="000000" w:themeColor="text1"/>
          <w:sz w:val="16"/>
          <w:szCs w:val="16"/>
        </w:rPr>
        <w:softHyphen/>
        <w:t>обще освободили от точек крепления, то она и в этом случае не заклинивала руль высоты и не мешала брать на себя ручку управления до отказа (10667).</w:t>
      </w:r>
    </w:p>
    <w:p w14:paraId="408F3A3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B87638"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11 июля 1940 в контрольном листе № учета выполнения постановления правительства № 72сс от 11 февраля 1940 о производстве подвесных бензобаков для УВВС РККА НКАПом в 1939-40 гг. была сделана запись:</w:t>
      </w:r>
    </w:p>
    <w:p w14:paraId="2C9C106C"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16 февраля 1940 в контрольном листе № учета выполнения постановления правительства № 72сс от 11 февраля 1940 о производстве подвесных бензобаков для УВВС РККА НКАПом в 1939-40 гг. была сделана запись:</w:t>
      </w:r>
    </w:p>
    <w:p w14:paraId="7A2EBD0C"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 НКПищевойПромышленности</w:t>
      </w:r>
    </w:p>
    <w:p w14:paraId="6E176FF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От нач. Военотдела потребовано выслать в КО приказ во исполнение решения КО № 72сс</w:t>
      </w:r>
    </w:p>
    <w:p w14:paraId="142E50B0"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 xml:space="preserve">19 февраля 1940 </w:t>
      </w:r>
    </w:p>
    <w:p w14:paraId="4FDA253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 НКПищевойПромышленности</w:t>
      </w:r>
    </w:p>
    <w:p w14:paraId="7ED2681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Выяснено по телефону от зам. нач. Военотдела, как обстоят дела, когторый сообщил: в Москве для производства бензобаков выделен тарный завод по Ленинградскому шоссе, Петровский проезд, д. 3. В нем сейчас освобождаются помещения. НКПП не получил до сих пор от Главхиммаша оборудования: вакуум-насос, компрессор и т.д., которое д.б. на основании распоряжения Экономсовета отгружено 10 февраля 1940. Нач. Главхиммаша сказано об этом 19 февраля по телефону. Нач. Дано указание немедленно связаться с заводом № 219 НКАП по вопросу изготовления матриц и болванок.</w:t>
      </w:r>
    </w:p>
    <w:p w14:paraId="68EF8A79"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26 февраля 1940</w:t>
      </w:r>
    </w:p>
    <w:p w14:paraId="48A0419D"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 наркомпищепрому</w:t>
      </w:r>
    </w:p>
    <w:p w14:paraId="4701EEF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Сделана поездка на тарный завод контролеров Кичигина и Алимова. Производство литых баков ведет главк Главпищетара (директор Орлов). Производство баков ставится на двух предприятиях этого главка, находящихся вместе на одеой территории: 1) ВНИИ лаборатория тары (директор Гизиев, тел. Д-1-91-55), имеющей у себя цеха: А (отливной) и Б (сушильный) и 2) Московский лесотарный завод (директор Объедков, тел. Д-1-33-23), имеющий у себя цеха сборный, отделочный и сдачи готовой продукции. Общее техническое руководство этими двумя предприятиями от главка осуществляет главный инженер Главка Хлудцев (В-1-91-55). За Ш декаду февраля не сдано и не будет сдано ни одного бака (а поручено сдать 50 шт.). Основная причина не выпуска баков - непоставка НКАП матриц и болванок. Директор Московского тарного завода Объедков количества подлежащих выпуску баков не знает. Заводом с большим опозданием только что получены чертежи на приспособления, инструкции, ченртежи на устройство вентиляции, отделочных камер и т.п.</w:t>
      </w:r>
    </w:p>
    <w:p w14:paraId="303945C9"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 цехе А заканчивается монтаж оборудования для литья (компрессор установлен 25 февраля 1940), получены от Главхиммаша 2 шт. вакуумнасосов (26 февраля 1940) по ж/д.</w:t>
      </w:r>
    </w:p>
    <w:p w14:paraId="2036F182"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17 февраля 1940</w:t>
      </w:r>
    </w:p>
    <w:p w14:paraId="76DBD89F"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 Наркомлесу</w:t>
      </w:r>
    </w:p>
    <w:p w14:paraId="6B124824"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 На Красногородской фабррике и Коммунаре установлено и опробывается оборудование. По Сегежскому ЦБВ и НИИбумаги пока ничего не делается. Макетов болванок от НКАП не получено.</w:t>
      </w:r>
    </w:p>
    <w:p w14:paraId="37667B00"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19 февраля 1942</w:t>
      </w:r>
    </w:p>
    <w:p w14:paraId="71897475"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 Выслана бригада ВИАМ и ВКПС по налаживанию оборудования и налаживанию производства литых баков на фабриках Красногородской и Коммунар.</w:t>
      </w:r>
    </w:p>
    <w:p w14:paraId="414594F4"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3. Справка о выпуске бензобаков предприятиями НКЛес (ныне НКбумпрома), данная по поручению Главзапбумпрома - получена экономичстом Спецконторы Главзапбумпрома Китакевым в Главном контроле КО 11 июля 1940.</w:t>
      </w:r>
    </w:p>
    <w:p w14:paraId="2570369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Выпущенные баки до сих пор не укомплектованы хомутами, упорами и резиновыми коллекторами.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7D5DF8" w:rsidRPr="00DB5D0D" w14:paraId="2598E631" w14:textId="77777777" w:rsidTr="00E543D0">
        <w:tc>
          <w:tcPr>
            <w:tcW w:w="1868" w:type="dxa"/>
            <w:tcBorders>
              <w:top w:val="single" w:sz="12" w:space="0" w:color="auto"/>
            </w:tcBorders>
          </w:tcPr>
          <w:p w14:paraId="5CEA686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Фабрика</w:t>
            </w:r>
          </w:p>
        </w:tc>
        <w:tc>
          <w:tcPr>
            <w:tcW w:w="1868" w:type="dxa"/>
            <w:tcBorders>
              <w:top w:val="single" w:sz="12" w:space="0" w:color="auto"/>
            </w:tcBorders>
          </w:tcPr>
          <w:p w14:paraId="27B386A4"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февраль</w:t>
            </w:r>
          </w:p>
        </w:tc>
        <w:tc>
          <w:tcPr>
            <w:tcW w:w="1868" w:type="dxa"/>
            <w:tcBorders>
              <w:top w:val="single" w:sz="12" w:space="0" w:color="auto"/>
            </w:tcBorders>
          </w:tcPr>
          <w:p w14:paraId="2D4111E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март</w:t>
            </w:r>
          </w:p>
        </w:tc>
        <w:tc>
          <w:tcPr>
            <w:tcW w:w="1868" w:type="dxa"/>
            <w:tcBorders>
              <w:top w:val="single" w:sz="12" w:space="0" w:color="auto"/>
            </w:tcBorders>
          </w:tcPr>
          <w:p w14:paraId="345899F8"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апрель</w:t>
            </w:r>
          </w:p>
        </w:tc>
        <w:tc>
          <w:tcPr>
            <w:tcW w:w="1868" w:type="dxa"/>
            <w:tcBorders>
              <w:top w:val="single" w:sz="12" w:space="0" w:color="auto"/>
            </w:tcBorders>
          </w:tcPr>
          <w:p w14:paraId="46178AC5"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май</w:t>
            </w:r>
          </w:p>
        </w:tc>
        <w:tc>
          <w:tcPr>
            <w:tcW w:w="1868" w:type="dxa"/>
            <w:tcBorders>
              <w:top w:val="single" w:sz="12" w:space="0" w:color="auto"/>
            </w:tcBorders>
          </w:tcPr>
          <w:p w14:paraId="103392F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июнь</w:t>
            </w:r>
          </w:p>
        </w:tc>
      </w:tr>
      <w:tr w:rsidR="007D5DF8" w:rsidRPr="00DB5D0D" w14:paraId="7E3EF276" w14:textId="77777777" w:rsidTr="00E543D0">
        <w:tc>
          <w:tcPr>
            <w:tcW w:w="1868" w:type="dxa"/>
          </w:tcPr>
          <w:p w14:paraId="75C3B9F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Красногородская</w:t>
            </w:r>
          </w:p>
        </w:tc>
        <w:tc>
          <w:tcPr>
            <w:tcW w:w="1868" w:type="dxa"/>
          </w:tcPr>
          <w:p w14:paraId="70C1521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0</w:t>
            </w:r>
          </w:p>
        </w:tc>
        <w:tc>
          <w:tcPr>
            <w:tcW w:w="1868" w:type="dxa"/>
          </w:tcPr>
          <w:p w14:paraId="4376A919"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109</w:t>
            </w:r>
          </w:p>
        </w:tc>
        <w:tc>
          <w:tcPr>
            <w:tcW w:w="1868" w:type="dxa"/>
          </w:tcPr>
          <w:p w14:paraId="3A420A3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375</w:t>
            </w:r>
          </w:p>
        </w:tc>
        <w:tc>
          <w:tcPr>
            <w:tcW w:w="1868" w:type="dxa"/>
          </w:tcPr>
          <w:p w14:paraId="128E833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387</w:t>
            </w:r>
          </w:p>
        </w:tc>
        <w:tc>
          <w:tcPr>
            <w:tcW w:w="1868" w:type="dxa"/>
          </w:tcPr>
          <w:p w14:paraId="004BFD3E"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365</w:t>
            </w:r>
          </w:p>
        </w:tc>
      </w:tr>
      <w:tr w:rsidR="007D5DF8" w:rsidRPr="00DB5D0D" w14:paraId="0FD8EA96" w14:textId="77777777" w:rsidTr="00E543D0">
        <w:tc>
          <w:tcPr>
            <w:tcW w:w="1868" w:type="dxa"/>
          </w:tcPr>
          <w:p w14:paraId="4FE888E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Коммунар</w:t>
            </w:r>
          </w:p>
        </w:tc>
        <w:tc>
          <w:tcPr>
            <w:tcW w:w="1868" w:type="dxa"/>
          </w:tcPr>
          <w:p w14:paraId="26D8439C"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0</w:t>
            </w:r>
          </w:p>
        </w:tc>
        <w:tc>
          <w:tcPr>
            <w:tcW w:w="1868" w:type="dxa"/>
          </w:tcPr>
          <w:p w14:paraId="51A674AA"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80</w:t>
            </w:r>
          </w:p>
        </w:tc>
        <w:tc>
          <w:tcPr>
            <w:tcW w:w="1868" w:type="dxa"/>
          </w:tcPr>
          <w:p w14:paraId="79D6720D"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162</w:t>
            </w:r>
          </w:p>
        </w:tc>
        <w:tc>
          <w:tcPr>
            <w:tcW w:w="1868" w:type="dxa"/>
          </w:tcPr>
          <w:p w14:paraId="32E243D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264</w:t>
            </w:r>
          </w:p>
        </w:tc>
        <w:tc>
          <w:tcPr>
            <w:tcW w:w="1868" w:type="dxa"/>
          </w:tcPr>
          <w:p w14:paraId="2D50CD18"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333</w:t>
            </w:r>
          </w:p>
        </w:tc>
      </w:tr>
      <w:tr w:rsidR="007D5DF8" w:rsidRPr="00DB5D0D" w14:paraId="7620D922" w14:textId="77777777" w:rsidTr="00E543D0">
        <w:tc>
          <w:tcPr>
            <w:tcW w:w="1868" w:type="dxa"/>
            <w:tcBorders>
              <w:bottom w:val="single" w:sz="12" w:space="0" w:color="auto"/>
            </w:tcBorders>
          </w:tcPr>
          <w:p w14:paraId="0FAC404E"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Сегежский ЦБК</w:t>
            </w:r>
          </w:p>
        </w:tc>
        <w:tc>
          <w:tcPr>
            <w:tcW w:w="1868" w:type="dxa"/>
            <w:tcBorders>
              <w:bottom w:val="single" w:sz="12" w:space="0" w:color="auto"/>
            </w:tcBorders>
          </w:tcPr>
          <w:p w14:paraId="5E2BB292"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0</w:t>
            </w:r>
          </w:p>
        </w:tc>
        <w:tc>
          <w:tcPr>
            <w:tcW w:w="1868" w:type="dxa"/>
            <w:tcBorders>
              <w:bottom w:val="single" w:sz="12" w:space="0" w:color="auto"/>
            </w:tcBorders>
          </w:tcPr>
          <w:p w14:paraId="4D6E7AC2"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0</w:t>
            </w:r>
          </w:p>
        </w:tc>
        <w:tc>
          <w:tcPr>
            <w:tcW w:w="1868" w:type="dxa"/>
            <w:tcBorders>
              <w:bottom w:val="single" w:sz="12" w:space="0" w:color="auto"/>
            </w:tcBorders>
          </w:tcPr>
          <w:p w14:paraId="226837A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0</w:t>
            </w:r>
          </w:p>
        </w:tc>
        <w:tc>
          <w:tcPr>
            <w:tcW w:w="1868" w:type="dxa"/>
            <w:tcBorders>
              <w:bottom w:val="single" w:sz="12" w:space="0" w:color="auto"/>
            </w:tcBorders>
          </w:tcPr>
          <w:p w14:paraId="132BA69C"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0</w:t>
            </w:r>
          </w:p>
        </w:tc>
        <w:tc>
          <w:tcPr>
            <w:tcW w:w="1868" w:type="dxa"/>
            <w:tcBorders>
              <w:bottom w:val="single" w:sz="12" w:space="0" w:color="auto"/>
            </w:tcBorders>
          </w:tcPr>
          <w:p w14:paraId="0CA37735"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25</w:t>
            </w:r>
          </w:p>
        </w:tc>
      </w:tr>
    </w:tbl>
    <w:p w14:paraId="6536E5FC"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Примечание: Поставку в мае и июне следует считать по Постановлению КО № 194сс</w:t>
      </w:r>
    </w:p>
    <w:p w14:paraId="0621DF79"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Таким образом, по Пост 72сс и 194сс в 1 и 2 вк. 1940 далжно быть сдано указанными предприятиями 7259 шт. Они же произвели (без хомутов, упоров, коллекторов) 2001 и по данным им пояснениям сдадут еще 1000 шт., что поправимо. Даны соответствующие указания т. Китоеву.</w:t>
      </w:r>
    </w:p>
    <w:p w14:paraId="5C86E02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26 июня 1940:</w:t>
      </w:r>
    </w:p>
    <w:p w14:paraId="3D51FEAD"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 ВКПС</w:t>
      </w:r>
    </w:p>
    <w:p w14:paraId="0DA409C5"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22 февраля 1940 г.</w:t>
      </w:r>
    </w:p>
    <w:p w14:paraId="691772A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 Артель Модуль за П декаду порученные ей 100 шт. не сдала ни одного. Артель не приступила к массовому производству баков из-за наличия технических неполадок (неполадки с пуансоном), оборудование помещения не закончено, особенно по вентиляции (нет электромоторов, потребных проводов), несмотря на то, что по этому вопросу есть решение ЭКОСО. По всем вопросам ВКПС (Рубинчик, Кухаркин) достаточных мер не приняли, о чем им указано по телефону и предложено принято соответствующие меры.</w:t>
      </w:r>
    </w:p>
    <w:p w14:paraId="4396515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 Подготовка производства картонной арматуры ВКПС развернуто неудовлетворительно. К производству арматуры не приступлено. Только что получена помощь от ВИАМ. По этому вопросу предупрежден тов. Кухаркин.</w:t>
      </w:r>
    </w:p>
    <w:p w14:paraId="78BAC320"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3. Картона дано ВКПС в январе 8,8 т.</w:t>
      </w:r>
    </w:p>
    <w:p w14:paraId="2FDCAAFF"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26 февраля 1940</w:t>
      </w:r>
    </w:p>
    <w:p w14:paraId="3F98C29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Поездка на предприятие ВКПС - артель Модуль.</w:t>
      </w:r>
    </w:p>
    <w:p w14:paraId="626DFF68"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Артель на день проверки не выпустила ни одного готового бака (а должна была выпустить к 1 марта 1940 300 шт.) и не выпустит требуемое количество к 1 марта 1940. Причины: задержка выполнения строительных работ по приспособлению помещений завода к выпуску баков (отопительная система, краско-лакировальное помещение, проводка и т.п.). Нет заклепок, которыми артель не обеспечена ВКПС до сих пор. Нет дюраля, которым артель также не обеспечена. Отсутствуют взрывобезопасные моторы для вентиляции, наряд на которые получили от ВКПС, но предлагаются не те моторы (220 на 380, а надо 120 на 220). Из артели уехали за ними. Артель предполагает временно поставить текстильные моторы (4 шт.) с завода Лепсе, но на них надо получить фонды, которые пота тоже не имеется.</w:t>
      </w:r>
    </w:p>
    <w:p w14:paraId="30EC2FD8"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Состояние производственных помещений на 26 февраля 1940: прессовое хозяйство - готово, освоено, пресс - мал, Сборка - цех готов со всеми приспособлениями. Для сборки получена арматура...</w:t>
      </w:r>
    </w:p>
    <w:p w14:paraId="6FF43CFE"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Артель Млодуль (Москва) выпусти баков к моменту выхода нового постановления КО № 194 - 2550. На 25 июня прошли военную приемку 2000 баков. Упаковано только 594 (справка дана нач. Военотдела ВКПС лично по телефону Кичигину 25 июня 1940 г. (10106,16).</w:t>
      </w:r>
    </w:p>
    <w:p w14:paraId="07D4E01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p w14:paraId="0CA4FF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г. директор НИИ-3 НКБ Б.М.Слонимер обратился за разъяснением к начальнику 1 отдела 3 управления ГУАС: «Сообщаю, что ракетно-химические снаряды РХС-132 в количестве 50 штук находятся в институте. Прошу сообщить, будут ли с Вашей стороны какие-нибудь изменения в снаряжении или настоящие изделия можно снаряжать согласно высланной в Ваш адрес инструкции на сна</w:t>
      </w:r>
      <w:r w:rsidRPr="00DB5D0D">
        <w:rPr>
          <w:rFonts w:ascii="Times New Roman" w:hAnsi="Times New Roman"/>
          <w:color w:val="000000" w:themeColor="text1"/>
          <w:sz w:val="16"/>
          <w:szCs w:val="16"/>
        </w:rPr>
        <w:softHyphen/>
        <w:t>ряжение №199с, и куда после снаряжения направить изделия» (11402).</w:t>
      </w:r>
    </w:p>
    <w:p w14:paraId="30F875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6B84D9B"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786163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E0F0CD4"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11, 13, 18 и 23 июля 1940 испытания вновь доработанной системы Л-11 были проведены заводом № 92 дали положительные результаты - течь жидкости из противооткатных устройств была лик</w:t>
      </w:r>
      <w:r w:rsidRPr="00DB5D0D">
        <w:rPr>
          <w:rFonts w:ascii="Times New Roman" w:hAnsi="Times New Roman" w:cs="Times New Roman"/>
          <w:i w:val="0"/>
          <w:iCs w:val="0"/>
          <w:color w:val="000000" w:themeColor="text1"/>
          <w:sz w:val="16"/>
          <w:szCs w:val="16"/>
        </w:rPr>
        <w:softHyphen/>
        <w:t>видирована, длины отката нормализованы в допустимых пределах, инерционный спусковой механизм, как не оправдавший себя, заме</w:t>
      </w:r>
      <w:r w:rsidRPr="00DB5D0D">
        <w:rPr>
          <w:rFonts w:ascii="Times New Roman" w:hAnsi="Times New Roman" w:cs="Times New Roman"/>
          <w:i w:val="0"/>
          <w:iCs w:val="0"/>
          <w:color w:val="000000" w:themeColor="text1"/>
          <w:sz w:val="16"/>
          <w:szCs w:val="16"/>
        </w:rPr>
        <w:softHyphen/>
        <w:t>нен на механический. Таким образом, в июле 1940 г. на Кировском заводе провели значительный объем работ по улучшению качества и надежности пушки. Перечень основных изменений, внесенных в конструкцию системы Л-11, приведен ниже.</w:t>
      </w:r>
    </w:p>
    <w:p w14:paraId="026BFA7C" w14:textId="77777777" w:rsidR="003C7E8B" w:rsidRPr="00DB5D0D" w:rsidRDefault="003C7E8B" w:rsidP="00DB5D0D">
      <w:pPr>
        <w:pStyle w:val="a3"/>
        <w:rPr>
          <w:color w:val="000000" w:themeColor="text1"/>
          <w:lang w:val="ru-RU"/>
        </w:rPr>
      </w:pPr>
      <w:r w:rsidRPr="00DB5D0D">
        <w:rPr>
          <w:color w:val="000000" w:themeColor="text1"/>
          <w:lang w:val="ru-RU"/>
        </w:rPr>
        <w:t>ОСНОВНЫЕ ИЗ</w:t>
      </w:r>
      <w:r w:rsidRPr="00DB5D0D">
        <w:rPr>
          <w:color w:val="000000" w:themeColor="text1"/>
          <w:u w:val="single"/>
          <w:lang w:val="ru-RU"/>
        </w:rPr>
        <w:t>МЕНЕНИЯ. ВНЕСЕННЫ</w:t>
      </w:r>
      <w:r w:rsidRPr="00DB5D0D">
        <w:rPr>
          <w:color w:val="000000" w:themeColor="text1"/>
          <w:lang w:val="ru-RU"/>
        </w:rPr>
        <w:t xml:space="preserve">Е В </w:t>
      </w:r>
      <w:r w:rsidRPr="00DB5D0D">
        <w:rPr>
          <w:color w:val="000000" w:themeColor="text1"/>
          <w:u w:val="single"/>
          <w:lang w:val="ru-RU"/>
        </w:rPr>
        <w:t>СИСТЕМУ ПО СРАВНЕНИЮ С ОПЫТНЫМ ОБРАЗЦОМ.</w:t>
      </w:r>
    </w:p>
    <w:p w14:paraId="037515E2" w14:textId="77777777" w:rsidR="003C7E8B" w:rsidRPr="00DB5D0D" w:rsidRDefault="003C7E8B" w:rsidP="00DB5D0D">
      <w:pPr>
        <w:pStyle w:val="a3"/>
        <w:rPr>
          <w:color w:val="000000" w:themeColor="text1"/>
          <w:lang w:val="ru-RU"/>
        </w:rPr>
      </w:pPr>
      <w:r w:rsidRPr="00DB5D0D">
        <w:rPr>
          <w:color w:val="000000" w:themeColor="text1"/>
          <w:u w:val="single"/>
          <w:lang w:val="ru-RU"/>
        </w:rPr>
        <w:t>А. По противооткатным устройствам.</w:t>
      </w:r>
    </w:p>
    <w:p w14:paraId="3DD5205F" w14:textId="77777777" w:rsidR="003C7E8B" w:rsidRPr="00DB5D0D" w:rsidRDefault="003C7E8B" w:rsidP="00DB5D0D">
      <w:pPr>
        <w:pStyle w:val="aff1"/>
        <w:spacing w:line="240" w:lineRule="auto"/>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 Резиновые подворотниковые кольца в уплотнениях поршня, сальника штока и сальника контрштока аннулированы, вследствие чего изменены</w:t>
      </w:r>
    </w:p>
    <w:p w14:paraId="3447BFDC" w14:textId="77777777" w:rsidR="003C7E8B" w:rsidRPr="00DB5D0D" w:rsidRDefault="003C7E8B" w:rsidP="00DB5D0D">
      <w:pPr>
        <w:pStyle w:val="a3"/>
        <w:tabs>
          <w:tab w:val="left" w:pos="774"/>
        </w:tabs>
        <w:rPr>
          <w:color w:val="000000" w:themeColor="text1"/>
          <w:lang w:val="ru-RU"/>
        </w:rPr>
      </w:pPr>
      <w:r w:rsidRPr="00DB5D0D">
        <w:rPr>
          <w:color w:val="000000" w:themeColor="text1"/>
          <w:lang w:val="ru-RU"/>
        </w:rPr>
        <w:t>2. В сальнике контрштока третий воротник заменен набивкой, для чего удлинена расточка в штоке.</w:t>
      </w:r>
    </w:p>
    <w:p w14:paraId="3F981FEE" w14:textId="77777777" w:rsidR="003C7E8B" w:rsidRPr="00DB5D0D" w:rsidRDefault="003C7E8B" w:rsidP="00DB5D0D">
      <w:pPr>
        <w:pStyle w:val="a3"/>
        <w:tabs>
          <w:tab w:val="left" w:pos="710"/>
        </w:tabs>
        <w:rPr>
          <w:color w:val="000000" w:themeColor="text1"/>
          <w:lang w:val="ru-RU"/>
        </w:rPr>
      </w:pPr>
      <w:r w:rsidRPr="00DB5D0D">
        <w:rPr>
          <w:color w:val="000000" w:themeColor="text1"/>
          <w:lang w:val="ru-RU"/>
        </w:rPr>
        <w:t>3. На воротники поршня и обоих сальников положены дополни</w:t>
      </w:r>
      <w:r w:rsidRPr="00DB5D0D">
        <w:rPr>
          <w:color w:val="000000" w:themeColor="text1"/>
          <w:lang w:val="ru-RU"/>
        </w:rPr>
        <w:softHyphen/>
        <w:t>тельные подворотниковые кольца.</w:t>
      </w:r>
    </w:p>
    <w:p w14:paraId="4A0DD277" w14:textId="77777777" w:rsidR="003C7E8B" w:rsidRPr="00DB5D0D" w:rsidRDefault="003C7E8B" w:rsidP="00DB5D0D">
      <w:pPr>
        <w:pStyle w:val="a3"/>
        <w:tabs>
          <w:tab w:val="left" w:pos="688"/>
        </w:tabs>
        <w:rPr>
          <w:color w:val="000000" w:themeColor="text1"/>
          <w:lang w:val="ru-RU"/>
        </w:rPr>
      </w:pPr>
      <w:r w:rsidRPr="00DB5D0D">
        <w:rPr>
          <w:color w:val="000000" w:themeColor="text1"/>
          <w:lang w:val="ru-RU"/>
        </w:rPr>
        <w:t>4. Дано бабитовое направление для штока в задней гайке саль</w:t>
      </w:r>
      <w:r w:rsidRPr="00DB5D0D">
        <w:rPr>
          <w:color w:val="000000" w:themeColor="text1"/>
          <w:lang w:val="ru-RU"/>
        </w:rPr>
        <w:softHyphen/>
        <w:t>ника штока.</w:t>
      </w:r>
    </w:p>
    <w:p w14:paraId="0F4FF361" w14:textId="77777777" w:rsidR="003C7E8B" w:rsidRPr="00DB5D0D" w:rsidRDefault="003C7E8B" w:rsidP="00DB5D0D">
      <w:pPr>
        <w:pStyle w:val="a3"/>
        <w:tabs>
          <w:tab w:val="left" w:pos="710"/>
        </w:tabs>
        <w:rPr>
          <w:color w:val="000000" w:themeColor="text1"/>
          <w:lang w:val="ru-RU"/>
        </w:rPr>
      </w:pPr>
      <w:r w:rsidRPr="00DB5D0D">
        <w:rPr>
          <w:color w:val="000000" w:themeColor="text1"/>
          <w:lang w:val="ru-RU"/>
        </w:rPr>
        <w:t>5. Сальниковая набивка клапана заменена медным уплотнитель- ным кольцом.</w:t>
      </w:r>
    </w:p>
    <w:p w14:paraId="0938830B" w14:textId="77777777" w:rsidR="003C7E8B" w:rsidRPr="00DB5D0D" w:rsidRDefault="003C7E8B" w:rsidP="00DB5D0D">
      <w:pPr>
        <w:pStyle w:val="a3"/>
        <w:tabs>
          <w:tab w:val="left" w:pos="702"/>
        </w:tabs>
        <w:rPr>
          <w:color w:val="000000" w:themeColor="text1"/>
          <w:lang w:val="ru-RU"/>
        </w:rPr>
      </w:pPr>
      <w:r w:rsidRPr="00DB5D0D">
        <w:rPr>
          <w:color w:val="000000" w:themeColor="text1"/>
          <w:lang w:val="ru-RU"/>
        </w:rPr>
        <w:t>6. Изменена конструкция воздушного клапана: направление кла</w:t>
      </w:r>
      <w:r w:rsidRPr="00DB5D0D">
        <w:rPr>
          <w:color w:val="000000" w:themeColor="text1"/>
          <w:lang w:val="ru-RU"/>
        </w:rPr>
        <w:softHyphen/>
        <w:t>пана дано непосредственно по отверстию в головке цилиндра.</w:t>
      </w:r>
    </w:p>
    <w:p w14:paraId="5807F651" w14:textId="77777777" w:rsidR="003C7E8B" w:rsidRPr="00DB5D0D" w:rsidRDefault="003C7E8B" w:rsidP="00DB5D0D">
      <w:pPr>
        <w:pStyle w:val="a3"/>
        <w:tabs>
          <w:tab w:val="left" w:pos="710"/>
        </w:tabs>
        <w:rPr>
          <w:color w:val="000000" w:themeColor="text1"/>
          <w:lang w:val="ru-RU"/>
        </w:rPr>
      </w:pPr>
      <w:r w:rsidRPr="00DB5D0D">
        <w:rPr>
          <w:color w:val="000000" w:themeColor="text1"/>
          <w:lang w:val="ru-RU"/>
        </w:rPr>
        <w:t>7. В питающем вентиле кожаная набивка заменена на хлопчато</w:t>
      </w:r>
      <w:r w:rsidRPr="00DB5D0D">
        <w:rPr>
          <w:color w:val="000000" w:themeColor="text1"/>
          <w:lang w:val="ru-RU"/>
        </w:rPr>
        <w:softHyphen/>
        <w:t>бумажную (прожированную).</w:t>
      </w:r>
    </w:p>
    <w:p w14:paraId="4481598B" w14:textId="77777777" w:rsidR="003C7E8B" w:rsidRPr="00DB5D0D" w:rsidRDefault="003C7E8B" w:rsidP="00DB5D0D">
      <w:pPr>
        <w:pStyle w:val="a3"/>
        <w:tabs>
          <w:tab w:val="left" w:pos="717"/>
        </w:tabs>
        <w:rPr>
          <w:color w:val="000000" w:themeColor="text1"/>
          <w:lang w:val="ru-RU"/>
        </w:rPr>
      </w:pPr>
      <w:r w:rsidRPr="00DB5D0D">
        <w:rPr>
          <w:color w:val="000000" w:themeColor="text1"/>
          <w:lang w:val="ru-RU"/>
        </w:rPr>
        <w:lastRenderedPageBreak/>
        <w:t>8. Корпус сальника штока и гнездо под него в головке цилиндра по направляющим и уплотняющим пояскам облужены с сохранени</w:t>
      </w:r>
      <w:r w:rsidRPr="00DB5D0D">
        <w:rPr>
          <w:color w:val="000000" w:themeColor="text1"/>
          <w:lang w:val="ru-RU"/>
        </w:rPr>
        <w:softHyphen/>
        <w:t>ем и опрессовкой медного кольца.</w:t>
      </w:r>
    </w:p>
    <w:p w14:paraId="3154F45A" w14:textId="77777777" w:rsidR="003C7E8B" w:rsidRPr="00DB5D0D" w:rsidRDefault="003C7E8B" w:rsidP="00DB5D0D">
      <w:pPr>
        <w:pStyle w:val="a3"/>
        <w:rPr>
          <w:color w:val="000000" w:themeColor="text1"/>
          <w:lang w:val="ru-RU"/>
        </w:rPr>
      </w:pPr>
      <w:r w:rsidRPr="00DB5D0D">
        <w:rPr>
          <w:color w:val="000000" w:themeColor="text1"/>
          <w:u w:val="single"/>
          <w:lang w:val="ru-RU"/>
        </w:rPr>
        <w:t>Б. Полуавтоматика.</w:t>
      </w:r>
    </w:p>
    <w:p w14:paraId="232EE5C8" w14:textId="77777777" w:rsidR="003C7E8B" w:rsidRPr="00DB5D0D" w:rsidRDefault="003C7E8B" w:rsidP="00DB5D0D">
      <w:pPr>
        <w:pStyle w:val="aff1"/>
        <w:spacing w:line="240" w:lineRule="auto"/>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1. Резиновые буфера и втулки скадки в казеннике заменены об</w:t>
      </w:r>
      <w:r w:rsidRPr="00DB5D0D">
        <w:rPr>
          <w:rFonts w:ascii="Times New Roman" w:hAnsi="Times New Roman" w:cs="Times New Roman"/>
          <w:i w:val="0"/>
          <w:iCs w:val="0"/>
          <w:color w:val="000000" w:themeColor="text1"/>
          <w:sz w:val="16"/>
          <w:szCs w:val="16"/>
          <w:lang w:val="ru-RU"/>
        </w:rPr>
        <w:softHyphen/>
        <w:t>щей стальной ввинтной втулкой.</w:t>
      </w:r>
    </w:p>
    <w:p w14:paraId="5931EF43" w14:textId="77777777" w:rsidR="003C7E8B" w:rsidRPr="00DB5D0D" w:rsidRDefault="003C7E8B" w:rsidP="00DB5D0D">
      <w:pPr>
        <w:pStyle w:val="a3"/>
        <w:tabs>
          <w:tab w:val="left" w:pos="747"/>
        </w:tabs>
        <w:rPr>
          <w:color w:val="000000" w:themeColor="text1"/>
          <w:lang w:val="ru-RU"/>
        </w:rPr>
      </w:pPr>
      <w:r w:rsidRPr="00DB5D0D">
        <w:rPr>
          <w:color w:val="000000" w:themeColor="text1"/>
          <w:lang w:val="ru-RU"/>
        </w:rPr>
        <w:t>1. Стопорение гаек крепления отсекателя полуавтоматики на маске вместо шайб гровера сделано перевязкой проволокой.</w:t>
      </w:r>
    </w:p>
    <w:p w14:paraId="6BB4D3B9" w14:textId="77777777" w:rsidR="003C7E8B" w:rsidRPr="00DB5D0D" w:rsidRDefault="003C7E8B" w:rsidP="00DB5D0D">
      <w:pPr>
        <w:pStyle w:val="a3"/>
        <w:tabs>
          <w:tab w:val="left" w:pos="721"/>
        </w:tabs>
        <w:rPr>
          <w:color w:val="000000" w:themeColor="text1"/>
          <w:lang w:val="ru-RU"/>
        </w:rPr>
      </w:pPr>
      <w:r w:rsidRPr="00DB5D0D">
        <w:rPr>
          <w:color w:val="000000" w:themeColor="text1"/>
          <w:lang w:val="ru-RU"/>
        </w:rPr>
        <w:t>2. Расширены зазоры в верхней и нижней рейках...</w:t>
      </w:r>
    </w:p>
    <w:p w14:paraId="132B601D" w14:textId="77777777" w:rsidR="003C7E8B" w:rsidRPr="00DB5D0D" w:rsidRDefault="003C7E8B" w:rsidP="00DB5D0D">
      <w:pPr>
        <w:pStyle w:val="a3"/>
        <w:rPr>
          <w:color w:val="000000" w:themeColor="text1"/>
          <w:lang w:val="ru-RU"/>
        </w:rPr>
      </w:pPr>
      <w:r w:rsidRPr="00DB5D0D">
        <w:rPr>
          <w:color w:val="000000" w:themeColor="text1"/>
          <w:u w:val="single"/>
          <w:lang w:val="ru-RU"/>
        </w:rPr>
        <w:t>В. Указатель отката.</w:t>
      </w:r>
    </w:p>
    <w:p w14:paraId="0212EE6A" w14:textId="77777777" w:rsidR="003C7E8B" w:rsidRPr="00DB5D0D" w:rsidRDefault="003C7E8B" w:rsidP="00DB5D0D">
      <w:pPr>
        <w:pStyle w:val="a3"/>
        <w:rPr>
          <w:color w:val="000000" w:themeColor="text1"/>
          <w:lang w:val="ru-RU"/>
        </w:rPr>
      </w:pPr>
      <w:r w:rsidRPr="00DB5D0D">
        <w:rPr>
          <w:color w:val="000000" w:themeColor="text1"/>
          <w:lang w:val="ru-RU"/>
        </w:rPr>
        <w:t>Показания указателя отката сделаны от 300 мм до 475 мм.</w:t>
      </w:r>
    </w:p>
    <w:p w14:paraId="2B50FCA0" w14:textId="77777777" w:rsidR="003C7E8B" w:rsidRPr="00DB5D0D" w:rsidRDefault="003C7E8B" w:rsidP="00DB5D0D">
      <w:pPr>
        <w:pStyle w:val="a3"/>
        <w:rPr>
          <w:color w:val="000000" w:themeColor="text1"/>
          <w:lang w:val="ru-RU"/>
        </w:rPr>
      </w:pPr>
      <w:r w:rsidRPr="00DB5D0D">
        <w:rPr>
          <w:color w:val="000000" w:themeColor="text1"/>
          <w:u w:val="single"/>
          <w:lang w:val="ru-RU"/>
        </w:rPr>
        <w:t>Г. Спусковой механизм.</w:t>
      </w:r>
    </w:p>
    <w:p w14:paraId="5CF84EBB" w14:textId="77777777" w:rsidR="003C7E8B" w:rsidRPr="00DB5D0D" w:rsidRDefault="003C7E8B" w:rsidP="00DB5D0D">
      <w:pPr>
        <w:pStyle w:val="a3"/>
        <w:rPr>
          <w:color w:val="000000" w:themeColor="text1"/>
          <w:lang w:val="ru-RU"/>
        </w:rPr>
      </w:pPr>
      <w:r w:rsidRPr="00DB5D0D">
        <w:rPr>
          <w:color w:val="000000" w:themeColor="text1"/>
          <w:lang w:val="ru-RU"/>
        </w:rPr>
        <w:t>Инерционный спусковой механизм заменен механическим (только в 3-х системах, установленных в танке Т-28).</w:t>
      </w:r>
    </w:p>
    <w:p w14:paraId="3CF14D27" w14:textId="77777777" w:rsidR="003C7E8B" w:rsidRPr="00DB5D0D" w:rsidRDefault="003C7E8B"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iCs w:val="0"/>
          <w:smallCaps/>
          <w:color w:val="000000" w:themeColor="text1"/>
          <w:sz w:val="16"/>
          <w:szCs w:val="16"/>
        </w:rPr>
        <w:t>Д. По стволу.</w:t>
      </w:r>
    </w:p>
    <w:p w14:paraId="10299641" w14:textId="77777777" w:rsidR="003C7E8B" w:rsidRPr="00DB5D0D" w:rsidRDefault="003C7E8B" w:rsidP="00DB5D0D">
      <w:pPr>
        <w:pStyle w:val="a3"/>
        <w:rPr>
          <w:rStyle w:val="115pt29115pt8109112SimHei2Arial12pt11ptMSMincho12pt"/>
          <w:rFonts w:ascii="Times New Roman" w:hAnsi="Times New Roman" w:cs="Times New Roman"/>
          <w:color w:val="000000" w:themeColor="text1"/>
          <w:spacing w:val="0"/>
          <w:sz w:val="16"/>
          <w:szCs w:val="16"/>
          <w:lang w:val="ru-RU"/>
        </w:rPr>
      </w:pPr>
      <w:r w:rsidRPr="00DB5D0D">
        <w:rPr>
          <w:color w:val="000000" w:themeColor="text1"/>
          <w:lang w:val="ru-RU"/>
        </w:rPr>
        <w:t>Увеличен зазор по направляющим ствола в маске.</w:t>
      </w:r>
      <w:r w:rsidRPr="00DB5D0D">
        <w:rPr>
          <w:rStyle w:val="115pt29115pt8109112SimHei2Arial12pt11ptMSMincho12pt"/>
          <w:rFonts w:ascii="Times New Roman" w:hAnsi="Times New Roman" w:cs="Times New Roman"/>
          <w:color w:val="000000" w:themeColor="text1"/>
          <w:spacing w:val="0"/>
          <w:sz w:val="16"/>
          <w:szCs w:val="16"/>
          <w:lang w:val="ru-RU"/>
        </w:rPr>
        <w:t>[</w:t>
      </w:r>
      <w:r w:rsidRPr="00DB5D0D">
        <w:rPr>
          <w:color w:val="000000" w:themeColor="text1"/>
          <w:lang w:val="ru-RU"/>
        </w:rPr>
        <w:t xml:space="preserve">РГВА. Ф.31811. </w:t>
      </w:r>
      <w:r w:rsidRPr="00DB5D0D">
        <w:rPr>
          <w:color w:val="000000" w:themeColor="text1"/>
        </w:rPr>
        <w:t>On</w:t>
      </w:r>
      <w:r w:rsidRPr="00DB5D0D">
        <w:rPr>
          <w:color w:val="000000" w:themeColor="text1"/>
          <w:lang w:val="ru-RU"/>
        </w:rPr>
        <w:t>.2. Д. 1053. Л.84-85.</w:t>
      </w:r>
      <w:r w:rsidRPr="00DB5D0D">
        <w:rPr>
          <w:rStyle w:val="115pt29115pt8109112SimHei2Arial12pt11ptMSMincho12pt"/>
          <w:rFonts w:ascii="Times New Roman" w:hAnsi="Times New Roman" w:cs="Times New Roman"/>
          <w:color w:val="000000" w:themeColor="text1"/>
          <w:spacing w:val="0"/>
          <w:sz w:val="16"/>
          <w:szCs w:val="16"/>
          <w:lang w:val="ru-RU"/>
        </w:rPr>
        <w:t>] (11940).</w:t>
      </w:r>
    </w:p>
    <w:p w14:paraId="26760139" w14:textId="77777777" w:rsidR="003C7E8B" w:rsidRPr="00DB5D0D" w:rsidRDefault="003C7E8B" w:rsidP="00DB5D0D">
      <w:pPr>
        <w:pStyle w:val="a3"/>
        <w:rPr>
          <w:color w:val="000000" w:themeColor="text1"/>
          <w:lang w:val="ru-RU"/>
        </w:rPr>
      </w:pPr>
    </w:p>
    <w:p w14:paraId="1819B7BC" w14:textId="77777777" w:rsidR="003302F0" w:rsidRPr="00DB5D0D" w:rsidRDefault="003302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г. коллектив КБ-520 приступил к разработке нового варианта установки радиостанции 71-ТК-3 в носовой части корпуса танка Т-34, при этом антенный ввод радиостанции в этом варианте планировалось разместить в передней части правого листа подкрылка корпуса танка (18160).</w:t>
      </w:r>
    </w:p>
    <w:p w14:paraId="2DAA5A79" w14:textId="77777777" w:rsidR="003302F0" w:rsidRPr="00DB5D0D" w:rsidRDefault="003302F0" w:rsidP="00DB5D0D">
      <w:pPr>
        <w:spacing w:after="0" w:line="240" w:lineRule="auto"/>
        <w:jc w:val="both"/>
        <w:rPr>
          <w:rFonts w:ascii="Times New Roman" w:hAnsi="Times New Roman"/>
          <w:color w:val="000000" w:themeColor="text1"/>
          <w:sz w:val="16"/>
          <w:szCs w:val="16"/>
        </w:rPr>
      </w:pPr>
    </w:p>
    <w:p w14:paraId="7B5DB01E"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543A58C5"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D6C70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г. соответствии с приказом наркома № 0142 в целях проверки боевой подготовки и боеготовности всех сил и средств проводились контрольно-проверочные учения ПВО Минска, Киева, Ленинграда и Баку. Для участия в них привлекались все силы и средства противовоздушной обороны этих пунктов (ВНОС, ЗА, ИА, МПВО), войсковых соединений и частей гарнизонов, расположенных в пунктах ПВО, а также объекты противовоздушной обороны всех ведомств.  Судя по последующим результатам, эти учения не оправдали надежд руководства и только подтвердили выводы, изложенные в вышеописанном акте. Таким образом, причины неблагоприятного состояния частей ПВО, способствовавшие беспрепятственному пролету Ju-52 почти через всю европейскую часть страны, были вскрыты еще в начале 1940 г. К сожалению, реализация намеченных мер, как обычно, запоздала, да и сомнительно, что она могла быть вообще осуществлена в рамках советской системы. Поэтому противовоздушная оборона страны к июню 1941 г., несмотря на все затраченные усилия, так и осталась слабо организованной. Успех наглого немецкого экипажа стал возможен из-за беспечности и полной несогласованности действий дежурных смен ВВС и ПВО, свойственного России во все времена отсутствия четкой системы ответственности, слабой обученности личного состава, а также несовершенства вооружения и техники. Не обошлось и без промахов руководства (11774).</w:t>
      </w:r>
    </w:p>
    <w:p w14:paraId="242D96B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3FCC49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30E152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E4EDD54"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июля в 1940 году правительство Голландии в изгнании заказало, с условием, что первые два самолета сойдут с конвейера в августе, 12- в сентябре, и оставшиеся 10 - в октябре, 24 американских истребителя </w:t>
      </w:r>
      <w:hyperlink r:id="rId192" w:tgtFrame="_blank" w:history="1">
        <w:r w:rsidRPr="00DB5D0D">
          <w:rPr>
            <w:rFonts w:ascii="Times New Roman" w:hAnsi="Times New Roman"/>
            <w:color w:val="000000" w:themeColor="text1"/>
            <w:sz w:val="16"/>
            <w:szCs w:val="16"/>
          </w:rPr>
          <w:t xml:space="preserve">«CW-21В», </w:t>
        </w:r>
      </w:hyperlink>
      <w:r w:rsidRPr="00DB5D0D">
        <w:rPr>
          <w:rFonts w:ascii="Times New Roman" w:hAnsi="Times New Roman"/>
          <w:color w:val="000000" w:themeColor="text1"/>
          <w:sz w:val="16"/>
          <w:szCs w:val="16"/>
        </w:rPr>
        <w:t>плюс необходимые запчасти. Помимо боевых истребителей, голландцы приобрели 36 учебных машин «CW-22» и 25 машин улучшенной версии «CW-22В», отличающейся конфигурацией остекления пилотской кабины. Некоторые из самолетов достигли места назначения, но практически не приняли участия в боях. Большую часть заказанных «CW-22» перекупили австралийцы. 12 самолетов из этой серии впоследствии служили в составе 49 истребительной авиагруппы США. Как и его предшественники, ''Фэлкон'' являлся чисто экспортным самолетом: 50 машин «CW-22B» приобрела Турция, 25 - Боливия, Чили, Перу и Колумбия (14949).</w:t>
      </w:r>
    </w:p>
    <w:p w14:paraId="528D96A9"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1CD9C59C"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11th, 1940: Marshal Petain replaces president Lebrun and proclaims himself head of state of the French Republic (3819).</w:t>
      </w:r>
    </w:p>
    <w:p w14:paraId="697EC0F2"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3EBCE47F"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11 1940 Petain ascends to head of French government in Vichy, France (1769).</w:t>
      </w:r>
    </w:p>
    <w:p w14:paraId="6F96BB25"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049660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Петен возглавил вишистское Правительство (1769). Ему было 84 года (2244,6).</w:t>
      </w:r>
    </w:p>
    <w:p w14:paraId="18038AB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EC9758" w14:textId="77777777" w:rsidR="006B6857" w:rsidRPr="00DB5D0D" w:rsidRDefault="006B685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в 1940 году маршал Петен становится президентом Французского государства (вишистская Франция) (14949).</w:t>
      </w:r>
    </w:p>
    <w:p w14:paraId="4176EC27" w14:textId="77777777" w:rsidR="006B6857" w:rsidRPr="00DB5D0D" w:rsidRDefault="006B6857" w:rsidP="00DB5D0D">
      <w:pPr>
        <w:spacing w:after="0" w:line="240" w:lineRule="auto"/>
        <w:jc w:val="both"/>
        <w:rPr>
          <w:rFonts w:ascii="Times New Roman" w:hAnsi="Times New Roman"/>
          <w:color w:val="000000" w:themeColor="text1"/>
          <w:sz w:val="16"/>
          <w:szCs w:val="16"/>
        </w:rPr>
      </w:pPr>
    </w:p>
    <w:p w14:paraId="0A4E5E3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в Париже вышел первый номер профашистской французской газеты «Ля Гербе» (4962).</w:t>
      </w:r>
    </w:p>
    <w:p w14:paraId="7B808FA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E151F8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в Средиземном море итальянской подлодкой затоплен английский эсминец «Эскорт» (4962).</w:t>
      </w:r>
    </w:p>
    <w:p w14:paraId="5B66D70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353293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Румыния исключена из Лиги Наций за сотрудничество с фашистами (4962).</w:t>
      </w:r>
    </w:p>
    <w:p w14:paraId="7860F36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A65A6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усилились атаки немецкой авиации на конвои (2244,6).</w:t>
      </w:r>
    </w:p>
    <w:p w14:paraId="68A7F98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F1CC22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D5133A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F374D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А.И.Шахурин ответил Секр. КО Пугачев, который писал А.И.Шахурину, (N 6044/КО 3 июля 1940) письмом № 752сс/от, что для доклада КО требуется заключение НКАП по след. пункту проекта постановления "Обязать НКАП переделать два самолета ДБ-3Ф и один СБ на питание твердым топливом и предъявить их на испытания НИИ ГУВВС к 1 декабря 1940." А.И.Ш. ответил, что предполагается оборудовать только один СБ к 1 января 1940. Оборудование нескольких нецелесообразно, так как требуется большая предварительная конструкторская и доводочная работа в т.ч. с аппаратурой в наземных условиях. Летные испытания намечены на 1 кв. (1172).</w:t>
      </w:r>
    </w:p>
    <w:p w14:paraId="5799C5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ответ на Ваш запрос от 3 июля 1940 по вопросу оборудования 2-х с-тов ДБ-3 и одного с-та СБ под питание авиамоторов твердым топливом сообщаю, что НКАПом намечается проведение оборудования только одного с-та СБ с 1 января 1941.</w:t>
      </w:r>
    </w:p>
    <w:p w14:paraId="41329C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Оборудование нескольких с-тов на данной стадии работ считаю нецелесообразным, так как требуется большая предварительная конструкторская и доводочная отработка в земных условиях и на с-те. Экспериментальные испытания этого с-та в воздухе намечены в 1 кв. 1941 (1172).</w:t>
      </w:r>
    </w:p>
    <w:p w14:paraId="4DA3D9F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1EDD3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состоялся первый полет ДБ-240 на максимальную дальность с массой 12000 кг (3300 горючего и 1000 кг бомб) и получили 2040 км. Потом было еще 2 полета с массой 13100-13400 и получили 3000 км (3322,8).</w:t>
      </w:r>
    </w:p>
    <w:p w14:paraId="3BD0843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6C4DBA" w14:textId="77777777" w:rsidR="00CE1655" w:rsidRPr="00DB5D0D" w:rsidRDefault="00CE165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июля в 1940 году полет </w:t>
      </w:r>
      <w:hyperlink r:id="rId193" w:tgtFrame="_blank" w:history="1">
        <w:r w:rsidRPr="00DB5D0D">
          <w:rPr>
            <w:rFonts w:ascii="Times New Roman" w:hAnsi="Times New Roman"/>
            <w:color w:val="000000" w:themeColor="text1"/>
            <w:sz w:val="16"/>
            <w:szCs w:val="16"/>
          </w:rPr>
          <w:t xml:space="preserve">«Ер-2» </w:t>
        </w:r>
      </w:hyperlink>
      <w:r w:rsidRPr="00DB5D0D">
        <w:rPr>
          <w:rFonts w:ascii="Times New Roman" w:hAnsi="Times New Roman"/>
          <w:color w:val="000000" w:themeColor="text1"/>
          <w:sz w:val="16"/>
          <w:szCs w:val="16"/>
        </w:rPr>
        <w:t>на максимальную дальность, при этом самолет с взлетной массой 12000 кг (масса горючего 3300 кг, масса бомб 1000 кг) пролетел 2040 км (14950).</w:t>
      </w:r>
    </w:p>
    <w:p w14:paraId="5AEEB10F" w14:textId="77777777" w:rsidR="00CE1655" w:rsidRPr="00DB5D0D" w:rsidRDefault="00CE1655" w:rsidP="00DB5D0D">
      <w:pPr>
        <w:spacing w:after="0" w:line="240" w:lineRule="auto"/>
        <w:jc w:val="both"/>
        <w:rPr>
          <w:rFonts w:ascii="Times New Roman" w:hAnsi="Times New Roman"/>
          <w:color w:val="000000" w:themeColor="text1"/>
          <w:sz w:val="16"/>
          <w:szCs w:val="16"/>
        </w:rPr>
      </w:pPr>
    </w:p>
    <w:p w14:paraId="120B7A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Протокол № 18. Решения ПБ за 25 нюня - 19 июля 1940 г.</w:t>
      </w:r>
    </w:p>
    <w:p w14:paraId="5D59B4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27.6.40 г.</w:t>
      </w:r>
    </w:p>
    <w:p w14:paraId="55661C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7. Вопрос КО. Об изготовлении автоматических приборов для вывода самолета из пикирования*.</w:t>
      </w:r>
    </w:p>
    <w:p w14:paraId="494D10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w:t>
      </w:r>
      <w:r w:rsidRPr="00DB5D0D">
        <w:rPr>
          <w:rFonts w:ascii="Times New Roman" w:hAnsi="Times New Roman"/>
          <w:color w:val="000000" w:themeColor="text1"/>
          <w:sz w:val="16"/>
          <w:szCs w:val="16"/>
          <w:u w:val="single"/>
        </w:rPr>
        <w:t>.6-40 г,</w:t>
      </w:r>
    </w:p>
    <w:p w14:paraId="2C8987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 Об организации производства легковых бронированных автомобилей на автозаводе им. Сталина*.</w:t>
      </w:r>
    </w:p>
    <w:p w14:paraId="332F41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29.6. 40 г.</w:t>
      </w:r>
    </w:p>
    <w:p w14:paraId="36F90E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20. Об автомашинах для НКО*.</w:t>
      </w:r>
    </w:p>
    <w:p w14:paraId="0BAA68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12.7.40 г.</w:t>
      </w:r>
    </w:p>
    <w:p w14:paraId="236869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152. Вопрос КО. Об организации серийного производства самолетов И-26*.</w:t>
      </w:r>
    </w:p>
    <w:p w14:paraId="779FE0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153. Вопрос КО. О плане опытных работ по самолетным и моторным агрегатам*.</w:t>
      </w:r>
    </w:p>
    <w:p w14:paraId="4B7F9F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17.7. 40 г.</w:t>
      </w:r>
    </w:p>
    <w:p w14:paraId="7A22E7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226. О вооружении танков (постановление СНК СССР и ЦК ВКП (б))* (11773).</w:t>
      </w:r>
    </w:p>
    <w:p w14:paraId="280F33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18.7.40 г.</w:t>
      </w:r>
    </w:p>
    <w:p w14:paraId="6A435B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229. Вопрос КО. О создании двухместного самолета первоначального обучения (11773).</w:t>
      </w:r>
    </w:p>
    <w:p w14:paraId="352770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522CB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года вышло постановление № 305сс КО О постановке серийного производства самолетов И-26 конструкции Яковлева на заводах №№ 126 и 130 НКАП</w:t>
      </w:r>
    </w:p>
    <w:p w14:paraId="62E96E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развитие постановления № 193сс от 4 мая 1940 года КО постановляет:</w:t>
      </w:r>
    </w:p>
    <w:p w14:paraId="303638A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на II полугодие 1940 года заводу № 126 НКАП программу выпуска самолетов И-26 в количестве 10-ти штук.</w:t>
      </w:r>
    </w:p>
    <w:p w14:paraId="2B2938F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на 1941 год заводу № 130 в кооперации с заводом № 126 НКАП программу выпуска самолетов И-26 в количестве 250 штук.</w:t>
      </w:r>
    </w:p>
    <w:p w14:paraId="677C0A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………………………………(7595, 168-169).</w:t>
      </w:r>
    </w:p>
    <w:p w14:paraId="1CA0C4B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DDEEF39"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июля 1940 вышло Постановление Комитета обороны при СНК СССР №305сс "О постановке серийного производства самолетов И-26 конструкции тов. Яковлева на заводах № 126 и 130 Наркомавиапрома"</w:t>
      </w:r>
    </w:p>
    <w:p w14:paraId="2C8C2989"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развитие постановления № 193сс от 4 мая 1940 года КОМИТЕТ ОБОРОНЫ ПРИ СНК СОЮЗА ССР ПОСТАНОВЛЯЕТ:</w:t>
      </w:r>
    </w:p>
    <w:p w14:paraId="18223FB8"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1.Установить на 2-е полугодие 1940 года заводу № 126 НКАП программу выпуска самолетов И-26 в количестве 10-ти штук.</w:t>
      </w:r>
    </w:p>
    <w:p w14:paraId="74F32C3D"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2.Обязать Наркомавиапром тов. Шахурина А.И.:</w:t>
      </w:r>
    </w:p>
    <w:p w14:paraId="2FF51B6B"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построить на заводе № 130 в первую очередь:</w:t>
      </w:r>
    </w:p>
    <w:p w14:paraId="6929AA11"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деревообделочный корпус первой очереди в 6000 кв.м, к 15 марта 1941г.</w:t>
      </w:r>
    </w:p>
    <w:p w14:paraId="7E6E31FA"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сушильные камеры -</w:t>
      </w:r>
      <w:r w:rsidRPr="00DB5D0D">
        <w:rPr>
          <w:rFonts w:ascii="Times New Roman" w:hAnsi="Times New Roman"/>
          <w:color w:val="0070C0"/>
          <w:sz w:val="16"/>
          <w:szCs w:val="16"/>
        </w:rPr>
        <w:tab/>
        <w:t>к 1 апреля 1941г.</w:t>
      </w:r>
    </w:p>
    <w:p w14:paraId="648041EC"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котельную завода й 130 -</w:t>
      </w:r>
      <w:r w:rsidRPr="00DB5D0D">
        <w:rPr>
          <w:rFonts w:ascii="Times New Roman" w:hAnsi="Times New Roman"/>
          <w:color w:val="0070C0"/>
          <w:sz w:val="16"/>
          <w:szCs w:val="16"/>
        </w:rPr>
        <w:tab/>
        <w:t>к 1 марта 1941 г.</w:t>
      </w:r>
    </w:p>
    <w:p w14:paraId="276DEF8D"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лесосклады площадью в 2000 кв.м. к 15 ноября 1940г.</w:t>
      </w:r>
    </w:p>
    <w:p w14:paraId="3F8BAE84"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литые дома общей площадью в 5000кв.м. - к 1 февраля 1941 г.</w:t>
      </w:r>
    </w:p>
    <w:p w14:paraId="6CB2E3EE"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временную канализацию, станцию перекачки и временный водопровод - к 1 марта 1941г.</w:t>
      </w:r>
    </w:p>
    <w:p w14:paraId="25DF0378"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злектропередачу от г.Комсомольска и подстанцию к</w:t>
      </w:r>
      <w:r w:rsidRPr="00DB5D0D">
        <w:rPr>
          <w:rFonts w:ascii="Times New Roman" w:hAnsi="Times New Roman"/>
          <w:color w:val="0070C0"/>
          <w:sz w:val="16"/>
          <w:szCs w:val="16"/>
        </w:rPr>
        <w:tab/>
        <w:t>-</w:t>
      </w:r>
      <w:r w:rsidRPr="00DB5D0D">
        <w:rPr>
          <w:rFonts w:ascii="Times New Roman" w:hAnsi="Times New Roman"/>
          <w:color w:val="0070C0"/>
          <w:sz w:val="16"/>
          <w:szCs w:val="16"/>
        </w:rPr>
        <w:tab/>
        <w:t>1 октября 1940г.</w:t>
      </w:r>
    </w:p>
    <w:p w14:paraId="7794DC8B"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Строительство всего завода № 130 закончить во 2-м квартале 1942 г.</w:t>
      </w:r>
    </w:p>
    <w:p w14:paraId="24DDCB6A"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Установить на 1941 г. заводу № 130, в кооперации с заводом № 126 НКАП, программу выпуска самолетов И-26 в ко</w:t>
      </w:r>
      <w:r w:rsidRPr="00DB5D0D">
        <w:rPr>
          <w:rFonts w:ascii="Times New Roman" w:hAnsi="Times New Roman"/>
          <w:color w:val="0070C0"/>
          <w:sz w:val="16"/>
          <w:szCs w:val="16"/>
        </w:rPr>
        <w:softHyphen/>
        <w:t>личестве 250 шт.</w:t>
      </w:r>
    </w:p>
    <w:p w14:paraId="6BD1725A"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До окончания строительства завода № 130, производство механических, сварочных и монтажных работ производить на з-де № 126, в соответствии с программой завода № 130,по выпуску самолeтов И-26.</w:t>
      </w:r>
    </w:p>
    <w:p w14:paraId="5D1CE686"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Обязать Наркомсудпром (директора завода № 199) обеспе</w:t>
      </w:r>
      <w:r w:rsidRPr="00DB5D0D">
        <w:rPr>
          <w:rFonts w:ascii="Times New Roman" w:hAnsi="Times New Roman"/>
          <w:color w:val="0070C0"/>
          <w:sz w:val="16"/>
          <w:szCs w:val="16"/>
        </w:rPr>
        <w:softHyphen/>
        <w:t>чить строительство и производство завода № 130 ИКАП электро</w:t>
      </w:r>
      <w:r w:rsidRPr="00DB5D0D">
        <w:rPr>
          <w:rFonts w:ascii="Times New Roman" w:hAnsi="Times New Roman"/>
          <w:color w:val="0070C0"/>
          <w:sz w:val="16"/>
          <w:szCs w:val="16"/>
        </w:rPr>
        <w:softHyphen/>
        <w:t>энергией мощностью в 2000 квт.</w:t>
      </w:r>
    </w:p>
    <w:p w14:paraId="38C47806"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Промбанку финансировать строительство завода № 130 до 1 мая 1941 без проекта и смет.</w:t>
      </w:r>
    </w:p>
    <w:p w14:paraId="643D53BF"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Выделить в распоряжение Наркомавиапрома за счет резервного фонда СНК Собза ССР 400 тыс. реблей для премирования ИТР, рабочих и служащих за окончание в срок строительства завода № 130 (.</w:t>
      </w:r>
    </w:p>
    <w:p w14:paraId="1FC2B0DD" w14:textId="77777777" w:rsidR="00363293" w:rsidRPr="00DB5D0D" w:rsidRDefault="00363293" w:rsidP="00DB5D0D">
      <w:pPr>
        <w:autoSpaceDE w:val="0"/>
        <w:autoSpaceDN w:val="0"/>
        <w:adjustRightInd w:val="0"/>
        <w:spacing w:after="0" w:line="240" w:lineRule="auto"/>
        <w:jc w:val="both"/>
        <w:rPr>
          <w:rFonts w:ascii="Times New Roman" w:hAnsi="Times New Roman"/>
          <w:color w:val="0070C0"/>
          <w:sz w:val="16"/>
          <w:szCs w:val="16"/>
        </w:rPr>
      </w:pPr>
    </w:p>
    <w:p w14:paraId="5EA64C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КО СНК постановлением N 296с "О постановке производства самолетов И-26 конструкции А.С.Я. на заводах 126 и 130", указал, что 126 завод должен выпускать И-26, а также готовить кадры для 130 завода (198,19).</w:t>
      </w:r>
    </w:p>
    <w:p w14:paraId="2CC676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12 июля 1940 вышло постановление КО N 305сс "Об остановке производства самолетов И-26 конструкции А.С.Я. на заводах 126 и 130" (1294,74).</w:t>
      </w:r>
    </w:p>
    <w:p w14:paraId="54CC5A1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A97D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г. постановлением КО при СНК СССР заводу № 126 и вновь строящемся заводу № 130 устанавливался план выпустить 250 Як-1 в 1941 г. Завод № 126 должен был не только выпускать Як-1, но и готовить кадры для завода № 130 до ввода его в эксплуатацию. Но строительство завода № 130 затянулось, началась война, и принятое ранее решение потеряло силу. Завод № 126 (Комсомольск на Амуре) к производству Як-1 так и не приступил из-за сложностей внедрения новой машины параллельно с производством бомбардировщиков (ДБ-3). Комплектующих изделий и агрегатов (моторов, винтов, радиаторов и других) хронически не хватало даже заводам № 292 и № 301 (12048).</w:t>
      </w:r>
    </w:p>
    <w:p w14:paraId="074619D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5AA4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закончились летные испытания турбокомпрессора ТК-1 на И-153 с М-63, которые проходили с 6 июля 1940 (517).</w:t>
      </w:r>
    </w:p>
    <w:p w14:paraId="5B582B7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088FA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июля 1940 года постановление № 308сс КО </w:t>
      </w:r>
    </w:p>
    <w:p w14:paraId="01F291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утверждении планов оборонных научно-исследовательских работ НКАП, НКБ, НКСП, НКЭлектропрома, НКОМаш, НКЦветмет, НКНефть, НКТекстиль СССР, НКЛП СССР, Комитета по делам кинематографии и НКСредмаша на 1940 год</w:t>
      </w:r>
    </w:p>
    <w:p w14:paraId="51B741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Составление отчетов по теме "Паротурбокомпрессор" (работа 1939 года) – отчет и заключение о работе паротурбокомпрессора – МАИ (7611, 167).</w:t>
      </w:r>
    </w:p>
    <w:p w14:paraId="7E6673B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2C43654"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июля 1940 вышло Постановление Комитета обороны при СНК СССР № 307сс "О планах опытных работ Наркомавиапрома на 1940 г. по самолетным и моторным агрегатам, винтам, приборам и вооружению" с приложениями</w:t>
      </w:r>
    </w:p>
    <w:p w14:paraId="6C652D86"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ОБОРОНЫ ПРИ CНK COЮ3A ССР ПОСТАНОВЛЯЕТ:</w:t>
      </w:r>
    </w:p>
    <w:p w14:paraId="00905503"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1.Утвердить планы опытных работ Наркомавиапрома по самолетным и моторным агрегатам, винтам, приборам и вооружению, согласно приложений №№ 1,2,3,4 и 5.</w:t>
      </w:r>
    </w:p>
    <w:p w14:paraId="3C19F3C9"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2.Отпустить из резервного фонда СНК СССР под отчет и в распоряжение Наркома Авиационной Промышленности для финансирования в 1940 году опытных работ по самолетным и моторным агрегатам,винтам,приборам и вооружению - 36 млн. рублей, в том числе:</w:t>
      </w:r>
    </w:p>
    <w:p w14:paraId="4AAA397E"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самолетным агрегатам</w:t>
      </w:r>
      <w:r w:rsidRPr="00DB5D0D">
        <w:rPr>
          <w:rFonts w:ascii="Times New Roman" w:hAnsi="Times New Roman"/>
          <w:color w:val="0070C0"/>
          <w:sz w:val="16"/>
          <w:szCs w:val="16"/>
        </w:rPr>
        <w:tab/>
        <w:t>2,5</w:t>
      </w:r>
    </w:p>
    <w:p w14:paraId="7F6C630C"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моторным агрегатам</w:t>
      </w:r>
      <w:r w:rsidRPr="00DB5D0D">
        <w:rPr>
          <w:rFonts w:ascii="Times New Roman" w:hAnsi="Times New Roman"/>
          <w:color w:val="0070C0"/>
          <w:sz w:val="16"/>
          <w:szCs w:val="16"/>
        </w:rPr>
        <w:tab/>
        <w:t>10</w:t>
      </w:r>
    </w:p>
    <w:p w14:paraId="7C20C01D"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винтам</w:t>
      </w:r>
      <w:r w:rsidRPr="00DB5D0D">
        <w:rPr>
          <w:rFonts w:ascii="Times New Roman" w:hAnsi="Times New Roman"/>
          <w:color w:val="0070C0"/>
          <w:sz w:val="16"/>
          <w:szCs w:val="16"/>
        </w:rPr>
        <w:tab/>
        <w:t>10</w:t>
      </w:r>
    </w:p>
    <w:p w14:paraId="0F770303"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приборам</w:t>
      </w:r>
      <w:r w:rsidRPr="00DB5D0D">
        <w:rPr>
          <w:rFonts w:ascii="Times New Roman" w:hAnsi="Times New Roman"/>
          <w:color w:val="0070C0"/>
          <w:sz w:val="16"/>
          <w:szCs w:val="16"/>
        </w:rPr>
        <w:tab/>
        <w:t>8</w:t>
      </w:r>
    </w:p>
    <w:p w14:paraId="63BB41E9"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вооружению</w:t>
      </w:r>
      <w:r w:rsidRPr="00DB5D0D">
        <w:rPr>
          <w:rFonts w:ascii="Times New Roman" w:hAnsi="Times New Roman"/>
          <w:color w:val="0070C0"/>
          <w:sz w:val="16"/>
          <w:szCs w:val="16"/>
        </w:rPr>
        <w:tab/>
        <w:t>2,5</w:t>
      </w:r>
    </w:p>
    <w:p w14:paraId="21DC6DD9"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 Обязать Наркома Авиационной Промышленности предста</w:t>
      </w:r>
      <w:r w:rsidRPr="00DB5D0D">
        <w:rPr>
          <w:rFonts w:ascii="Times New Roman" w:hAnsi="Times New Roman"/>
          <w:color w:val="0070C0"/>
          <w:sz w:val="16"/>
          <w:szCs w:val="16"/>
        </w:rPr>
        <w:softHyphen/>
        <w:t>вить в 1 февраля 1941 года в Комитет Обороны отчет о выпол</w:t>
      </w:r>
      <w:r w:rsidRPr="00DB5D0D">
        <w:rPr>
          <w:rFonts w:ascii="Times New Roman" w:hAnsi="Times New Roman"/>
          <w:color w:val="0070C0"/>
          <w:sz w:val="16"/>
          <w:szCs w:val="16"/>
        </w:rPr>
        <w:softHyphen/>
        <w:t>нении плана опытных работ 1940 года по самолетным и моторным агрегатам, винтам, приборам и вооружению (21945).</w:t>
      </w:r>
    </w:p>
    <w:p w14:paraId="206EEE62" w14:textId="77777777" w:rsidR="00363293" w:rsidRPr="00DB5D0D" w:rsidRDefault="00363293" w:rsidP="00DB5D0D">
      <w:pPr>
        <w:spacing w:after="0" w:line="240" w:lineRule="auto"/>
        <w:jc w:val="both"/>
        <w:rPr>
          <w:rFonts w:ascii="Times New Roman" w:hAnsi="Times New Roman"/>
          <w:color w:val="0070C0"/>
          <w:sz w:val="16"/>
          <w:szCs w:val="16"/>
        </w:rPr>
      </w:pPr>
    </w:p>
    <w:p w14:paraId="5ABBE331" w14:textId="77777777" w:rsidR="00363293" w:rsidRPr="00DB5D0D" w:rsidRDefault="0036329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12 июля 1940 года вышло </w:t>
      </w:r>
      <w:r w:rsidRPr="00DB5D0D">
        <w:rPr>
          <w:rFonts w:ascii="Times New Roman" w:hAnsi="Times New Roman"/>
          <w:color w:val="0070C0"/>
          <w:sz w:val="16"/>
          <w:szCs w:val="16"/>
          <w:shd w:val="clear" w:color="auto" w:fill="FFFFFF"/>
        </w:rPr>
        <w:t>Постановление Комитета обороны при СНК СССР № 308сс "Об утверждении планов оборонных научно-исследовательских работ НКАП, НКВ, НКБ, НКСП, НКЭлектропрома, НКОМаш, НКЦветмет, НКНефть, НКТекстиль, НКЛП СССР, Комитета по делам Кинематографии и НКСредмаша на 1940 г." (21946). – На общую сумму 300974 тыс. руб., в т.ч. 100350 тыс. руб. НКАП.</w:t>
      </w:r>
    </w:p>
    <w:p w14:paraId="7507B47A" w14:textId="77777777" w:rsidR="00363293" w:rsidRPr="00DB5D0D" w:rsidRDefault="00363293" w:rsidP="00DB5D0D">
      <w:pPr>
        <w:spacing w:after="0" w:line="240" w:lineRule="auto"/>
        <w:jc w:val="both"/>
        <w:rPr>
          <w:rFonts w:ascii="Times New Roman" w:hAnsi="Times New Roman"/>
          <w:color w:val="0070C0"/>
          <w:sz w:val="16"/>
          <w:szCs w:val="16"/>
        </w:rPr>
      </w:pPr>
    </w:p>
    <w:p w14:paraId="3B71CEFB" w14:textId="77777777" w:rsidR="00CE1655" w:rsidRPr="00DB5D0D" w:rsidRDefault="00CE165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в 1940 году Комитет Обороны при Совете Народных Комиссаров СССР принял постановление, определившее создание первых отечественных самолетов с реактивными двигателями. В постановлении, в частности, предусматривалось решение вопросов "о применении реактивных двигателей большой мощности для сверхскоростных стратосферных полетов..." (14950).</w:t>
      </w:r>
    </w:p>
    <w:p w14:paraId="181E4023" w14:textId="77777777" w:rsidR="00CE1655" w:rsidRPr="00DB5D0D" w:rsidRDefault="00CE1655" w:rsidP="00DB5D0D">
      <w:pPr>
        <w:spacing w:after="0" w:line="240" w:lineRule="auto"/>
        <w:jc w:val="both"/>
        <w:rPr>
          <w:rFonts w:ascii="Times New Roman" w:hAnsi="Times New Roman"/>
          <w:color w:val="000000" w:themeColor="text1"/>
          <w:sz w:val="16"/>
          <w:szCs w:val="16"/>
        </w:rPr>
      </w:pPr>
    </w:p>
    <w:p w14:paraId="5B8F471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года вышло постановление КО № 307сс</w:t>
      </w:r>
    </w:p>
    <w:p w14:paraId="22A74F6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28-КБ Заславского.</w:t>
      </w:r>
    </w:p>
    <w:p w14:paraId="079D89D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универсальный автоматический винт под моторы М-120, АМ-36, М-71 и М-90. Винт автоматический, реверсивный, с установкой лопастей по потоку, приспособленный для стрельбы через вал винта и проект регулятора числа оборотов к нему.</w:t>
      </w:r>
    </w:p>
    <w:p w14:paraId="41BDE72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 1 декабря 1940 года.</w:t>
      </w:r>
    </w:p>
    <w:p w14:paraId="2D58B7A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28-КБ Заславского.</w:t>
      </w:r>
    </w:p>
    <w:p w14:paraId="3F8A534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Спроектировать и изготовить опытную установку специальной реактивной системы, заменяющей существующую винтомоторную группу: К.П.Д. системы должен превышать макс. КПД существующих винтомоторных установок.</w:t>
      </w:r>
    </w:p>
    <w:p w14:paraId="38A92A2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изготовления 25 декабря 1940 года.</w:t>
      </w:r>
    </w:p>
    <w:p w14:paraId="4CC1DFF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28-КБ Заславского.</w:t>
      </w:r>
    </w:p>
    <w:p w14:paraId="44BA1ED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гидравлический винт, приспособленный для стрельбы через вал винта для моторов М-105П и М-107П.</w:t>
      </w:r>
    </w:p>
    <w:p w14:paraId="333DC73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изготовления 1 сентября 1940 года.</w:t>
      </w:r>
    </w:p>
    <w:p w14:paraId="641164A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28-КБ Никифорова.</w:t>
      </w:r>
    </w:p>
    <w:p w14:paraId="0A4F06F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электромеханический винт с флюгерными свойствами, приспособленный для стрельбы через вал винта мотора М-105 с ТК.</w:t>
      </w:r>
    </w:p>
    <w:p w14:paraId="14CA7F8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28-КБ Никифорова.</w:t>
      </w:r>
    </w:p>
    <w:p w14:paraId="378B436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винт к мотору М-64 с плавающими лопастями.</w:t>
      </w:r>
    </w:p>
    <w:p w14:paraId="74A656D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Стендовые испытания 30 декабря 1940 года.</w:t>
      </w:r>
    </w:p>
    <w:p w14:paraId="2C5EFA7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Заводу № 167 – КБ Рожкова.</w:t>
      </w:r>
    </w:p>
    <w:p w14:paraId="52BC225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винт изменяемого шага с лопастями из дельта-древисины к мотору М-63.</w:t>
      </w:r>
    </w:p>
    <w:p w14:paraId="167D4AE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изготовления 1 августа 1940 года.</w:t>
      </w:r>
    </w:p>
    <w:p w14:paraId="5FAF52B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167 – КБ Рожкова.</w:t>
      </w:r>
    </w:p>
    <w:p w14:paraId="6405054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винт изменяемого шага с лопастями из дельта-древисины к мотору М-105.</w:t>
      </w:r>
    </w:p>
    <w:p w14:paraId="2FA95E7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изготовления 1 августа 1940 года.</w:t>
      </w:r>
    </w:p>
    <w:p w14:paraId="0F9A195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167 – КБ Рожкова.</w:t>
      </w:r>
    </w:p>
    <w:p w14:paraId="25CA8F6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винт изменяемого шага с лопастями из дельта-древисины к мотору М-88.</w:t>
      </w:r>
    </w:p>
    <w:p w14:paraId="66EBF46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изготовления 1 сентября 1940 года.</w:t>
      </w:r>
    </w:p>
    <w:p w14:paraId="050BDDA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167 – КБ Рожкова.</w:t>
      </w:r>
    </w:p>
    <w:p w14:paraId="3343E98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винт изменяемого шага с лопастями из дельта-древисины к мотору МВ-6.</w:t>
      </w:r>
    </w:p>
    <w:p w14:paraId="4F63867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изготовления 1 сентября 1940 года (4048, 4).</w:t>
      </w:r>
    </w:p>
    <w:p w14:paraId="382943B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21792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вышло постановление КО N 307с "О планах опытных работ НКАП на 1940 по самолетным и моторным агрегатам, винтам, приборам и вооружению."</w:t>
      </w:r>
    </w:p>
    <w:p w14:paraId="7D68B69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530B3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вышло постановление КО N 308с "Об утверждении планов оборонных НИР НКАП, НКВ... на 1940."</w:t>
      </w:r>
    </w:p>
    <w:p w14:paraId="286581E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34D4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вышло постановление КО СНК о необходимости проведения работ по ТР конструкции А.М.Люльки. В декабре 1940 должны были быть испытания на стенде (173,426).</w:t>
      </w:r>
    </w:p>
    <w:p w14:paraId="5AD6A4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Вообще постановление было шире и ставило вопрос "о применении реактивных двигателей большой мощности для сверхскоростных стратосферных полетов" (173,404).</w:t>
      </w:r>
    </w:p>
    <w:p w14:paraId="77813FD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47AA9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приказом НКАП С.Ф.Сенкевич был назначен ли завода 19 (863,328).</w:t>
      </w:r>
    </w:p>
    <w:p w14:paraId="60BC7C4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9F8A3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Зам. НКАП М.Хруничев и Н.Воронин писали дир. завода 39 Журавлеву письмо N 1749с:</w:t>
      </w:r>
    </w:p>
    <w:p w14:paraId="129911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"Направляю Вам материал по катастрофе самолета завода 39 И-303, с резолюцией Наркома, пр. представить предложения." (1172,30).</w:t>
      </w:r>
    </w:p>
    <w:p w14:paraId="153E43C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0BB50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С.К.Тимошенко и нач. ГШ Б.М.Шапошников 13 июля 1940 написали письмо в ПБ ЦК о том, что все (некоторые европейские - 173,199) страны отмобилизовали АП (милитаризировали управление авиапромышленностью - 173,199) и предложили перевести нашу на положение военного времени. Это в основном было осуществлено начиная со второй половины 1940 (66,221).</w:t>
      </w:r>
    </w:p>
    <w:p w14:paraId="7D1BBAC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BD9771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0BA0DC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CB0AC59"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г. военпред ХИМУ на Выксунском ДРО военный инженер 3 ранга Галактионов в своем письме начальнику 6 отдела ХИМУ военному инженеру 2 ранга Сидорскому он отмечал, что</w:t>
      </w:r>
      <w:r w:rsidRPr="00DB5D0D">
        <w:rPr>
          <w:rStyle w:val="aff6"/>
          <w:rFonts w:ascii="Times New Roman" w:hAnsi="Times New Roman" w:cs="Times New Roman"/>
          <w:i w:val="0"/>
          <w:color w:val="000000" w:themeColor="text1"/>
        </w:rPr>
        <w:t xml:space="preserve"> «чертежи по всем сборкам отра</w:t>
      </w:r>
      <w:r w:rsidRPr="00DB5D0D">
        <w:rPr>
          <w:rStyle w:val="aff6"/>
          <w:rFonts w:ascii="Times New Roman" w:hAnsi="Times New Roman" w:cs="Times New Roman"/>
          <w:i w:val="0"/>
          <w:color w:val="000000" w:themeColor="text1"/>
        </w:rPr>
        <w:softHyphen/>
        <w:t>ботаны и спущены в цеха».</w:t>
      </w:r>
      <w:r w:rsidRPr="00DB5D0D">
        <w:rPr>
          <w:rFonts w:ascii="Times New Roman" w:hAnsi="Times New Roman"/>
          <w:color w:val="000000" w:themeColor="text1"/>
          <w:sz w:val="16"/>
          <w:szCs w:val="16"/>
        </w:rPr>
        <w:t xml:space="preserve"> На заводе изгото</w:t>
      </w:r>
      <w:r w:rsidRPr="00DB5D0D">
        <w:rPr>
          <w:rFonts w:ascii="Times New Roman" w:hAnsi="Times New Roman"/>
          <w:color w:val="000000" w:themeColor="text1"/>
          <w:sz w:val="16"/>
          <w:szCs w:val="16"/>
        </w:rPr>
        <w:softHyphen/>
        <w:t>вили стенд для испытания химаппаратуры и каркас для сварки корпуса, а также подгото</w:t>
      </w:r>
      <w:r w:rsidRPr="00DB5D0D">
        <w:rPr>
          <w:rFonts w:ascii="Times New Roman" w:hAnsi="Times New Roman"/>
          <w:color w:val="000000" w:themeColor="text1"/>
          <w:sz w:val="16"/>
          <w:szCs w:val="16"/>
        </w:rPr>
        <w:softHyphen/>
        <w:t>вили к серийному производству усовершенст</w:t>
      </w:r>
      <w:r w:rsidRPr="00DB5D0D">
        <w:rPr>
          <w:rFonts w:ascii="Times New Roman" w:hAnsi="Times New Roman"/>
          <w:color w:val="000000" w:themeColor="text1"/>
          <w:sz w:val="16"/>
          <w:szCs w:val="16"/>
        </w:rPr>
        <w:softHyphen/>
        <w:t>вованную ручку управления кранами: теперь она была отделена от ручки управления меха</w:t>
      </w:r>
      <w:r w:rsidRPr="00DB5D0D">
        <w:rPr>
          <w:rFonts w:ascii="Times New Roman" w:hAnsi="Times New Roman"/>
          <w:color w:val="000000" w:themeColor="text1"/>
          <w:sz w:val="16"/>
          <w:szCs w:val="16"/>
        </w:rPr>
        <w:softHyphen/>
        <w:t>низмом отцепки.</w:t>
      </w:r>
    </w:p>
    <w:p w14:paraId="70D08641"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подводили смежники. Из</w:t>
      </w:r>
      <w:r w:rsidRPr="00DB5D0D">
        <w:rPr>
          <w:rStyle w:val="aff6"/>
          <w:rFonts w:ascii="Times New Roman" w:hAnsi="Times New Roman" w:cs="Times New Roman"/>
          <w:i w:val="0"/>
          <w:color w:val="000000" w:themeColor="text1"/>
        </w:rPr>
        <w:t xml:space="preserve"> «покуп</w:t>
      </w:r>
      <w:r w:rsidRPr="00DB5D0D">
        <w:rPr>
          <w:rStyle w:val="aff6"/>
          <w:rFonts w:ascii="Times New Roman" w:hAnsi="Times New Roman" w:cs="Times New Roman"/>
          <w:i w:val="0"/>
          <w:color w:val="000000" w:themeColor="text1"/>
        </w:rPr>
        <w:softHyphen/>
        <w:t>ных изделий»</w:t>
      </w:r>
      <w:r w:rsidRPr="00DB5D0D">
        <w:rPr>
          <w:rFonts w:ascii="Times New Roman" w:hAnsi="Times New Roman"/>
          <w:color w:val="000000" w:themeColor="text1"/>
          <w:sz w:val="16"/>
          <w:szCs w:val="16"/>
        </w:rPr>
        <w:t xml:space="preserve"> на завод к тому моменту посту</w:t>
      </w:r>
      <w:r w:rsidRPr="00DB5D0D">
        <w:rPr>
          <w:rFonts w:ascii="Times New Roman" w:hAnsi="Times New Roman"/>
          <w:color w:val="000000" w:themeColor="text1"/>
          <w:sz w:val="16"/>
          <w:szCs w:val="16"/>
        </w:rPr>
        <w:softHyphen/>
        <w:t>пили только краны «Пито» в количестве 10 шт. Отсутствовали редукторы ВДС (не поступили из Ленинграда</w:t>
      </w:r>
      <w:r w:rsidRPr="00DB5D0D">
        <w:rPr>
          <w:rStyle w:val="aff6"/>
          <w:rFonts w:ascii="Times New Roman" w:hAnsi="Times New Roman" w:cs="Times New Roman"/>
          <w:i w:val="0"/>
          <w:color w:val="000000" w:themeColor="text1"/>
        </w:rPr>
        <w:t xml:space="preserve"> «из-за отсутствия маноме</w:t>
      </w:r>
      <w:r w:rsidRPr="00DB5D0D">
        <w:rPr>
          <w:rStyle w:val="aff6"/>
          <w:rFonts w:ascii="Times New Roman" w:hAnsi="Times New Roman" w:cs="Times New Roman"/>
          <w:i w:val="0"/>
          <w:color w:val="000000" w:themeColor="text1"/>
        </w:rPr>
        <w:softHyphen/>
        <w:t>тров высокого давления»),</w:t>
      </w:r>
      <w:r w:rsidRPr="00DB5D0D">
        <w:rPr>
          <w:rFonts w:ascii="Times New Roman" w:hAnsi="Times New Roman"/>
          <w:color w:val="000000" w:themeColor="text1"/>
          <w:sz w:val="16"/>
          <w:szCs w:val="16"/>
        </w:rPr>
        <w:t xml:space="preserve"> диски колес (диски </w:t>
      </w:r>
      <w:r w:rsidRPr="00DB5D0D">
        <w:rPr>
          <w:rStyle w:val="aff6"/>
          <w:rFonts w:ascii="Times New Roman" w:hAnsi="Times New Roman" w:cs="Times New Roman"/>
          <w:i w:val="0"/>
          <w:color w:val="000000" w:themeColor="text1"/>
        </w:rPr>
        <w:t>«Горьковская контора в наличии не имеет, так как для их изготовления нет металла»),</w:t>
      </w:r>
      <w:r w:rsidRPr="00DB5D0D">
        <w:rPr>
          <w:rFonts w:ascii="Times New Roman" w:hAnsi="Times New Roman"/>
          <w:color w:val="000000" w:themeColor="text1"/>
          <w:sz w:val="16"/>
          <w:szCs w:val="16"/>
        </w:rPr>
        <w:t xml:space="preserve"> воз</w:t>
      </w:r>
      <w:r w:rsidRPr="00DB5D0D">
        <w:rPr>
          <w:rFonts w:ascii="Times New Roman" w:hAnsi="Times New Roman"/>
          <w:color w:val="000000" w:themeColor="text1"/>
          <w:sz w:val="16"/>
          <w:szCs w:val="16"/>
        </w:rPr>
        <w:softHyphen/>
        <w:t>душные баллоны А-27 и А-10, листы рессор и т.д. Все это ставило под сомнение изготовле</w:t>
      </w:r>
      <w:r w:rsidRPr="00DB5D0D">
        <w:rPr>
          <w:rFonts w:ascii="Times New Roman" w:hAnsi="Times New Roman"/>
          <w:color w:val="000000" w:themeColor="text1"/>
          <w:sz w:val="16"/>
          <w:szCs w:val="16"/>
        </w:rPr>
        <w:softHyphen/>
        <w:t>ние установочной партии ХП-2 в июле.</w:t>
      </w:r>
    </w:p>
    <w:p w14:paraId="0ABB6719"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июля 1945 после получения «сверху» грозных теле</w:t>
      </w:r>
      <w:r w:rsidRPr="00DB5D0D">
        <w:rPr>
          <w:rFonts w:ascii="Times New Roman" w:hAnsi="Times New Roman"/>
          <w:color w:val="000000" w:themeColor="text1"/>
          <w:sz w:val="16"/>
          <w:szCs w:val="16"/>
        </w:rPr>
        <w:softHyphen/>
        <w:t>грамм директор Выксунского завода ДРО собрал сове</w:t>
      </w:r>
      <w:r w:rsidRPr="00DB5D0D">
        <w:rPr>
          <w:rFonts w:ascii="Times New Roman" w:hAnsi="Times New Roman"/>
          <w:color w:val="000000" w:themeColor="text1"/>
          <w:sz w:val="16"/>
          <w:szCs w:val="16"/>
        </w:rPr>
        <w:softHyphen/>
        <w:t>щание по вопросу преодоления сложившейся ситуации. На следующий день он издал приказ №175, обязывающий «навести порядок» в це</w:t>
      </w:r>
      <w:r w:rsidRPr="00DB5D0D">
        <w:rPr>
          <w:rFonts w:ascii="Times New Roman" w:hAnsi="Times New Roman"/>
          <w:color w:val="000000" w:themeColor="text1"/>
          <w:sz w:val="16"/>
          <w:szCs w:val="16"/>
        </w:rPr>
        <w:softHyphen/>
        <w:t>хах и изготовить установочную партию в срок. «Главной» машиной завода в июле определялась ХП-2.</w:t>
      </w:r>
    </w:p>
    <w:p w14:paraId="526EEABF"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Style w:val="4f0"/>
          <w:rFonts w:ascii="Times New Roman" w:hAnsi="Times New Roman" w:cs="Times New Roman"/>
          <w:i w:val="0"/>
          <w:color w:val="000000" w:themeColor="text1"/>
          <w:sz w:val="16"/>
          <w:szCs w:val="16"/>
        </w:rPr>
        <w:t xml:space="preserve">Тем не менее, Галактионов констатировал: </w:t>
      </w:r>
      <w:r w:rsidRPr="00DB5D0D">
        <w:rPr>
          <w:rFonts w:ascii="Times New Roman" w:cs="Times New Roman"/>
          <w:color w:val="000000" w:themeColor="text1"/>
          <w:sz w:val="16"/>
          <w:szCs w:val="16"/>
        </w:rPr>
        <w:t>«Несмотря на некоторое оживление на заводе по части изготовления установочной партии, считаю необходимым доложить, что срыв под</w:t>
      </w:r>
      <w:r w:rsidRPr="00DB5D0D">
        <w:rPr>
          <w:rFonts w:ascii="Times New Roman" w:cs="Times New Roman"/>
          <w:color w:val="000000" w:themeColor="text1"/>
          <w:sz w:val="16"/>
          <w:szCs w:val="16"/>
        </w:rPr>
        <w:softHyphen/>
        <w:t>готовительной работы в Июне месяце резко от</w:t>
      </w:r>
      <w:r w:rsidRPr="00DB5D0D">
        <w:rPr>
          <w:rFonts w:ascii="Times New Roman" w:cs="Times New Roman"/>
          <w:color w:val="000000" w:themeColor="text1"/>
          <w:sz w:val="16"/>
          <w:szCs w:val="16"/>
        </w:rPr>
        <w:softHyphen/>
        <w:t>ражается на изготовлении ХП-2 в Июле, так как в июле месяце приходится одновременно про</w:t>
      </w:r>
      <w:r w:rsidRPr="00DB5D0D">
        <w:rPr>
          <w:rFonts w:ascii="Times New Roman" w:cs="Times New Roman"/>
          <w:color w:val="000000" w:themeColor="text1"/>
          <w:sz w:val="16"/>
          <w:szCs w:val="16"/>
        </w:rPr>
        <w:softHyphen/>
        <w:t>изводить две работы: I) подготовку производст</w:t>
      </w:r>
      <w:r w:rsidRPr="00DB5D0D">
        <w:rPr>
          <w:rFonts w:ascii="Times New Roman" w:cs="Times New Roman"/>
          <w:color w:val="000000" w:themeColor="text1"/>
          <w:sz w:val="16"/>
          <w:szCs w:val="16"/>
        </w:rPr>
        <w:softHyphen/>
        <w:t>ва, 2) освоение и выпуск продукции (товарный).</w:t>
      </w:r>
    </w:p>
    <w:p w14:paraId="043071DD"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В связи с освоением машины получается большой брак в производстве».</w:t>
      </w:r>
    </w:p>
    <w:p w14:paraId="518CE1E8"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военпреда, завод в июне был заинтересован прежде всего в выполнении ут</w:t>
      </w:r>
      <w:r w:rsidRPr="00DB5D0D">
        <w:rPr>
          <w:rFonts w:ascii="Times New Roman" w:hAnsi="Times New Roman"/>
          <w:color w:val="000000" w:themeColor="text1"/>
          <w:sz w:val="16"/>
          <w:szCs w:val="16"/>
        </w:rPr>
        <w:softHyphen/>
        <w:t xml:space="preserve">вержденной полугодовой программы выпуска, а ХП-2 в его плане не значилась и потому была </w:t>
      </w:r>
      <w:r w:rsidRPr="00DB5D0D">
        <w:rPr>
          <w:rStyle w:val="aff6"/>
          <w:rFonts w:ascii="Times New Roman" w:hAnsi="Times New Roman" w:cs="Times New Roman"/>
          <w:i w:val="0"/>
          <w:color w:val="000000" w:themeColor="text1"/>
        </w:rPr>
        <w:t>«отодвинута на второй план».</w:t>
      </w:r>
      <w:r w:rsidRPr="00DB5D0D">
        <w:rPr>
          <w:rFonts w:ascii="Times New Roman" w:hAnsi="Times New Roman"/>
          <w:color w:val="000000" w:themeColor="text1"/>
          <w:sz w:val="16"/>
          <w:szCs w:val="16"/>
        </w:rPr>
        <w:t xml:space="preserve"> Так как выпол</w:t>
      </w:r>
      <w:r w:rsidRPr="00DB5D0D">
        <w:rPr>
          <w:rFonts w:ascii="Times New Roman" w:hAnsi="Times New Roman"/>
          <w:color w:val="000000" w:themeColor="text1"/>
          <w:sz w:val="16"/>
          <w:szCs w:val="16"/>
        </w:rPr>
        <w:softHyphen/>
        <w:t>нение текущей программы производства шло с большим трудом, то изготовление деталей прицепок практически прекратилось, а неод</w:t>
      </w:r>
      <w:r w:rsidRPr="00DB5D0D">
        <w:rPr>
          <w:rFonts w:ascii="Times New Roman" w:hAnsi="Times New Roman"/>
          <w:color w:val="000000" w:themeColor="text1"/>
          <w:sz w:val="16"/>
          <w:szCs w:val="16"/>
        </w:rPr>
        <w:softHyphen/>
        <w:t>нократно составленные и принятые графики и решения совещаний неизменно нарушались. В своих выводах Галактионов предлагал сле</w:t>
      </w:r>
      <w:r w:rsidRPr="00DB5D0D">
        <w:rPr>
          <w:rFonts w:ascii="Times New Roman" w:hAnsi="Times New Roman"/>
          <w:color w:val="000000" w:themeColor="text1"/>
          <w:sz w:val="16"/>
          <w:szCs w:val="16"/>
        </w:rPr>
        <w:softHyphen/>
        <w:t>дующие мероприятия, которые должны были обеспечить ритмичный выпуск химприцепок:</w:t>
      </w:r>
    </w:p>
    <w:p w14:paraId="24C36B15" w14:textId="77777777" w:rsidR="004A0330" w:rsidRPr="00DB5D0D" w:rsidRDefault="004A0330"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 Необходимо добиваться, чтобы Воен</w:t>
      </w:r>
      <w:r w:rsidRPr="00DB5D0D">
        <w:rPr>
          <w:rFonts w:ascii="Times New Roman" w:cs="Times New Roman"/>
          <w:color w:val="000000" w:themeColor="text1"/>
          <w:sz w:val="16"/>
          <w:szCs w:val="16"/>
        </w:rPr>
        <w:softHyphen/>
        <w:t>ный Отдел НКТМ помог заводу в скорейшем приобретении покупных деталей.</w:t>
      </w:r>
    </w:p>
    <w:p w14:paraId="77EFCA62" w14:textId="77777777" w:rsidR="004A0330" w:rsidRPr="00DB5D0D" w:rsidRDefault="004A0330" w:rsidP="00DB5D0D">
      <w:pPr>
        <w:pStyle w:val="45"/>
        <w:shd w:val="clear" w:color="auto" w:fill="auto"/>
        <w:tabs>
          <w:tab w:val="left" w:pos="471"/>
        </w:tabs>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 Необходимо добиться от Наркома НКТМ или Военного Отдела действенного воздейст</w:t>
      </w:r>
      <w:r w:rsidRPr="00DB5D0D">
        <w:rPr>
          <w:rFonts w:ascii="Times New Roman" w:cs="Times New Roman"/>
          <w:color w:val="000000" w:themeColor="text1"/>
          <w:sz w:val="16"/>
          <w:szCs w:val="16"/>
        </w:rPr>
        <w:softHyphen/>
        <w:t>вия на Дирекцию завода в части выполнения плана ХП-2 на 1940 год.</w:t>
      </w:r>
    </w:p>
    <w:p w14:paraId="453415ED" w14:textId="77777777" w:rsidR="004A0330" w:rsidRPr="00DB5D0D" w:rsidRDefault="004A0330" w:rsidP="00DB5D0D">
      <w:pPr>
        <w:pStyle w:val="45"/>
        <w:shd w:val="clear" w:color="auto" w:fill="auto"/>
        <w:tabs>
          <w:tab w:val="left" w:pos="486"/>
        </w:tabs>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3. Необходимо заключить договор и уста</w:t>
      </w:r>
      <w:r w:rsidRPr="00DB5D0D">
        <w:rPr>
          <w:rFonts w:ascii="Times New Roman" w:cs="Times New Roman"/>
          <w:color w:val="000000" w:themeColor="text1"/>
          <w:sz w:val="16"/>
          <w:szCs w:val="16"/>
        </w:rPr>
        <w:softHyphen/>
        <w:t>новить сроки по месяцам на изготовление ХП-2 плана 1940 года, что возложит на завод ответственность за изготовление ХП-2» (17480).</w:t>
      </w:r>
    </w:p>
    <w:p w14:paraId="7A39F68B" w14:textId="77777777" w:rsidR="004A0330" w:rsidRPr="00DB5D0D" w:rsidRDefault="004A0330" w:rsidP="00DB5D0D">
      <w:pPr>
        <w:spacing w:after="0" w:line="240" w:lineRule="auto"/>
        <w:jc w:val="both"/>
        <w:rPr>
          <w:rFonts w:ascii="Times New Roman" w:hAnsi="Times New Roman"/>
          <w:color w:val="000000" w:themeColor="text1"/>
          <w:sz w:val="16"/>
          <w:szCs w:val="16"/>
        </w:rPr>
      </w:pPr>
    </w:p>
    <w:p w14:paraId="07B41441" w14:textId="77777777" w:rsidR="00CF476F" w:rsidRPr="00DB5D0D" w:rsidRDefault="00CF476F"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12 июля 1940 года вышло </w:t>
      </w:r>
      <w:r w:rsidRPr="00DB5D0D">
        <w:rPr>
          <w:rFonts w:ascii="Times New Roman" w:hAnsi="Times New Roman"/>
          <w:color w:val="0070C0"/>
          <w:sz w:val="16"/>
          <w:szCs w:val="16"/>
          <w:shd w:val="clear" w:color="auto" w:fill="FFFFFF"/>
        </w:rPr>
        <w:t>Постановление Комитета обороны при СНК СССР № 306сс "О ремонте танков на Ленинградском заводе им. Кирова Наркомтяжмаша" (21944).</w:t>
      </w:r>
    </w:p>
    <w:p w14:paraId="2279A3DC" w14:textId="77777777" w:rsidR="00CF476F" w:rsidRPr="00DB5D0D" w:rsidRDefault="00CF476F" w:rsidP="00DB5D0D">
      <w:pPr>
        <w:autoSpaceDE w:val="0"/>
        <w:autoSpaceDN w:val="0"/>
        <w:adjustRightInd w:val="0"/>
        <w:spacing w:after="0" w:line="240" w:lineRule="auto"/>
        <w:jc w:val="both"/>
        <w:rPr>
          <w:rFonts w:ascii="Times New Roman" w:hAnsi="Times New Roman"/>
          <w:color w:val="0070C0"/>
          <w:sz w:val="16"/>
          <w:szCs w:val="16"/>
        </w:rPr>
      </w:pPr>
    </w:p>
    <w:p w14:paraId="1CB41D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г. вышло Постановление комитета обороны № 303сс по которому Горьковский автозавод должен был изготовить два опытных образца трактора ГАЗ-22, провести заводские испытания и представить на полигонные испытания в ноябре 1940 г.</w:t>
      </w:r>
    </w:p>
    <w:p w14:paraId="44D693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Трактора изготовлены. Заводские испытания не закончены по причине отсутствия гусеничных цепей на заводе, которые должен поставить СТЗ.</w:t>
      </w:r>
    </w:p>
    <w:p w14:paraId="76ED5F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Письмом № 80401с от 6.11.1940 г. АТУ Красной Армии просило зам. Наркома среднего машино</w:t>
      </w:r>
      <w:r w:rsidRPr="00DB5D0D">
        <w:rPr>
          <w:rFonts w:ascii="Times New Roman" w:hAnsi="Times New Roman"/>
          <w:color w:val="000000" w:themeColor="text1"/>
          <w:sz w:val="16"/>
          <w:szCs w:val="16"/>
        </w:rPr>
        <w:softHyphen/>
        <w:t>строения т. Горегляд ускорить и обеспечить окончание заводских испытаний и предъявление трак</w:t>
      </w:r>
      <w:r w:rsidRPr="00DB5D0D">
        <w:rPr>
          <w:rFonts w:ascii="Times New Roman" w:hAnsi="Times New Roman"/>
          <w:color w:val="000000" w:themeColor="text1"/>
          <w:sz w:val="16"/>
          <w:szCs w:val="16"/>
        </w:rPr>
        <w:softHyphen/>
        <w:t>торов на полигонные испытания.</w:t>
      </w:r>
    </w:p>
    <w:p w14:paraId="0B6E9B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Трактор «ГАЗ-22» - легкий трактор, спроектированный на базе танка Т-40, с унификацией ос</w:t>
      </w:r>
      <w:r w:rsidRPr="00DB5D0D">
        <w:rPr>
          <w:rFonts w:ascii="Times New Roman" w:hAnsi="Times New Roman"/>
          <w:color w:val="000000" w:themeColor="text1"/>
          <w:sz w:val="16"/>
          <w:szCs w:val="16"/>
        </w:rPr>
        <w:softHyphen/>
        <w:t>новных механизмов.</w:t>
      </w:r>
    </w:p>
    <w:p w14:paraId="2D4094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w:t>
      </w:r>
    </w:p>
    <w:p w14:paraId="21806A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Вес — 3,5 тонн.</w:t>
      </w:r>
    </w:p>
    <w:p w14:paraId="56956F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Максимальная мощность двигателя — 83 л.с.</w:t>
      </w:r>
    </w:p>
    <w:p w14:paraId="3DDFE0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Максимальная скорость — 45 км/час.</w:t>
      </w:r>
    </w:p>
    <w:p w14:paraId="50B50B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Максимальное тяговое усилие на крюке — 3 тонны.</w:t>
      </w:r>
    </w:p>
    <w:p w14:paraId="4C93C916"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Трактор предназначается для использования в Красной Армии в качестве тягача полковой и противотанко</w:t>
      </w:r>
      <w:r w:rsidRPr="00DB5D0D">
        <w:rPr>
          <w:i w:val="0"/>
          <w:iCs w:val="0"/>
          <w:color w:val="000000" w:themeColor="text1"/>
          <w:spacing w:val="0"/>
          <w:kern w:val="0"/>
          <w:position w:val="0"/>
          <w:sz w:val="16"/>
          <w:szCs w:val="16"/>
          <w:lang w:val="ru-RU"/>
        </w:rPr>
        <w:softHyphen/>
        <w:t>вой артиллерии и как транспортер для перевозки грузов общевойскового назначения взамен трактора «Комсо</w:t>
      </w:r>
      <w:r w:rsidRPr="00DB5D0D">
        <w:rPr>
          <w:i w:val="0"/>
          <w:iCs w:val="0"/>
          <w:color w:val="000000" w:themeColor="text1"/>
          <w:spacing w:val="0"/>
          <w:kern w:val="0"/>
          <w:position w:val="0"/>
          <w:sz w:val="16"/>
          <w:szCs w:val="16"/>
          <w:lang w:val="ru-RU"/>
        </w:rPr>
        <w:softHyphen/>
        <w:t>молец», т.к. он имеет более мощный двигатель и полную унификацию основных механизмов с танком Т-40 (11211).</w:t>
      </w:r>
    </w:p>
    <w:p w14:paraId="5C96419C"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64C049A3" w14:textId="77777777" w:rsidR="00CF476F" w:rsidRPr="00DB5D0D" w:rsidRDefault="00CF476F"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12 июля 1940 года было подписано Постановление Комитета Обороны при СНК Союза ССР №308сс, согласно которому ГАЗ им. Молотова изготовлял два образца артиллерийских тягачей на базе Т-40. Данная разработка являлась совместным проектом с заводом №37. Согласно требованиям, боевая масса не должна была превышать 5 тонн, грузоподъемность составляла 1,5 тонны, либо до 10 человек в грузовой платформе, усилия на крюке до 2,2 тонн. Максимальная скорость составляла 45-50 км/ч, а средняя скорость 30-35 км/ч. Два опытных образца ожидалось получить к осени 1940 года. Столь сжатые сроки означали, что работа над машиной, к моменту подписания постановления, уже началась. Со стороны ГАЗ им. Молотова работы над машиной вел коллектив под руководством М.И. Казакова. До того Михаил Иванович работал над внедрением на ГАЗ "Комсомольцев", так что определенный опыт имелся.</w:t>
      </w:r>
    </w:p>
    <w:p w14:paraId="3FD5E202" w14:textId="77777777" w:rsidR="00CF476F" w:rsidRPr="00DB5D0D" w:rsidRDefault="00CF476F"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 xml:space="preserve">В отличие от ГАЗ-20, новая машина, получившая обозначение ГАЗ-22, относилась к совершенно иному классу тягачей. Создавалась данная машина как альтернативное решение проблемы с тягачами дивизионной артиллерии. Работы по СТЗ-2ТД откровенной затягивались, при этом требования, возлагаемые на ГАЗ-22, здорово напоминали задание на модернизированный сталинградский тягач. Разница была только в меньшем усилии на крюке, поскольку автомобильный мотор - это слегка не тракторный дизель. Еще более актуальной работа над ГАЗ-22 стала в том, ключе, что работы по СТЗ-2ТД встали. Машины вышли на испытания, </w:t>
      </w:r>
      <w:r w:rsidRPr="00DB5D0D">
        <w:rPr>
          <w:color w:val="0070C0"/>
          <w:sz w:val="16"/>
          <w:szCs w:val="16"/>
        </w:rPr>
        <w:lastRenderedPageBreak/>
        <w:t>обнаружились дефекты, но завод их исправлять не торопился. Впрочем, и ГАЗ-22 по мановению волшебной палочки не появлялся. Работы по машине затянулись, поэтому сдали опытные образцы в ноябре 1940 года, а заводские испытания проводились в декабре.</w:t>
      </w:r>
    </w:p>
    <w:p w14:paraId="0B4C40DE" w14:textId="77777777" w:rsidR="00CF476F" w:rsidRPr="00DB5D0D" w:rsidRDefault="00CF476F"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Получившаяся машина концептуально здорово напоминала своего прямого предшественника - ГАЗ-20. Шасси Т-40 было существенно перекомпоновано. Мотор переместился вперед, аналогично ГАЗ-20, использовались капот и кабина "полуторки". Сзади появился кузов с откидными бортами, вполне типовой для артиллерийских тягачей. Одним словом, ровно то самое, что и требовал заказчик. "Носатое" расположение двигателя облегчало доступ к нему. Вместо танковых рычагов управления бортовыми фрикционами появился руль автомобильного типа. Элементы трансмиссии, вместе с ведущими колесами, были перенесены в заднюю часть машины. Мотор немного отличался от ГАЗ-11: изменялся выхлопной коллектор, с правой стороны появился водомасляной радиатор для охлаждения смазки двигателя. Сам мотор чуть форсировали - его мощность поднялась до 78 л.с. Сама машина стала на метр длиннее ГАЗ-20, да и СТЗ-5 оказался короче на 78 сантиметров. Боевая масса ГАЗ-22 оказалась чуть выше требований (3,3 тонны), но это более чем в полтора раза меньше СТЗ-5. Смотрелся новый тягач крайне перспективно, по крайней мере в теории. (20372).</w:t>
      </w:r>
    </w:p>
    <w:p w14:paraId="07614BD6" w14:textId="77777777" w:rsidR="00CF476F" w:rsidRPr="00DB5D0D" w:rsidRDefault="00CF476F" w:rsidP="00DB5D0D">
      <w:pPr>
        <w:pStyle w:val="article-renderblock"/>
        <w:shd w:val="clear" w:color="auto" w:fill="FFFFFF"/>
        <w:spacing w:before="0" w:beforeAutospacing="0" w:after="0" w:afterAutospacing="0"/>
        <w:jc w:val="both"/>
        <w:rPr>
          <w:color w:val="0070C0"/>
          <w:sz w:val="16"/>
          <w:szCs w:val="16"/>
        </w:rPr>
      </w:pPr>
    </w:p>
    <w:p w14:paraId="0B5FD7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г. вышло Постановление комитета обороны № 303сс, согласно которому НАТИ должен был спроектировать и изготовить компрессорные установки на трактора «Ворошиловец» и «С-2» к 1.09.1940 г.</w:t>
      </w:r>
    </w:p>
    <w:p w14:paraId="76E42D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трактора «Ворошиловец» заводом № 183 оборудованы и направлены на испытания в Лугу.</w:t>
      </w:r>
    </w:p>
    <w:p w14:paraId="2AC0B7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задерживалось неподготовленностью артсистем (не закончены стрельбы).</w:t>
      </w:r>
    </w:p>
    <w:p w14:paraId="3E48B9C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Трактора «С-2» компрессорными установками Челябинским тракторным заводом еще не обору</w:t>
      </w:r>
      <w:r w:rsidRPr="00DB5D0D">
        <w:rPr>
          <w:rFonts w:ascii="Times New Roman" w:hAnsi="Times New Roman"/>
          <w:color w:val="000000" w:themeColor="text1"/>
          <w:sz w:val="16"/>
          <w:szCs w:val="16"/>
        </w:rPr>
        <w:softHyphen/>
        <w:t>дованы, из-за несоответствия разработанных НАТИ чертежей к трактору «С-2», по причине внесе</w:t>
      </w:r>
      <w:r w:rsidRPr="00DB5D0D">
        <w:rPr>
          <w:rFonts w:ascii="Times New Roman" w:hAnsi="Times New Roman"/>
          <w:color w:val="000000" w:themeColor="text1"/>
          <w:sz w:val="16"/>
          <w:szCs w:val="16"/>
        </w:rPr>
        <w:softHyphen/>
        <w:t>ния изменений в результате полигонных и войсковых испытаний.</w:t>
      </w:r>
    </w:p>
    <w:p w14:paraId="070B7B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Письмом № 80315 от 19.10.1940 г. АТУ Красной Армии просило зам. Наркома среднего машино</w:t>
      </w:r>
      <w:r w:rsidRPr="00DB5D0D">
        <w:rPr>
          <w:rFonts w:ascii="Times New Roman" w:hAnsi="Times New Roman"/>
          <w:color w:val="000000" w:themeColor="text1"/>
          <w:sz w:val="16"/>
          <w:szCs w:val="16"/>
        </w:rPr>
        <w:softHyphen/>
        <w:t>строения т. Горегляд ускорить сдачу тракторов на полигонные испытания.</w:t>
      </w:r>
    </w:p>
    <w:p w14:paraId="5E9776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Письмом № 80378 от 1.11.1940 г. комитет обороны был поставлен в известность о невыполнении постановления в установленные сроки.</w:t>
      </w:r>
    </w:p>
    <w:p w14:paraId="7396C4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Необходимость оборудования тяжелого трактора «Ворошиловец» и среднего «С-2» компрессор</w:t>
      </w:r>
      <w:r w:rsidRPr="00DB5D0D">
        <w:rPr>
          <w:rFonts w:ascii="Times New Roman" w:hAnsi="Times New Roman"/>
          <w:color w:val="000000" w:themeColor="text1"/>
          <w:sz w:val="16"/>
          <w:szCs w:val="16"/>
        </w:rPr>
        <w:softHyphen/>
        <w:t>ными установками вызывается требованиями ГАУ КА, так как корпусная артиллерия и артиллерия большой мощности, для буксировки которой они предназначаются, имеют пневматическое обору</w:t>
      </w:r>
      <w:r w:rsidRPr="00DB5D0D">
        <w:rPr>
          <w:rFonts w:ascii="Times New Roman" w:hAnsi="Times New Roman"/>
          <w:color w:val="000000" w:themeColor="text1"/>
          <w:sz w:val="16"/>
          <w:szCs w:val="16"/>
        </w:rPr>
        <w:softHyphen/>
        <w:t>дование (11211).</w:t>
      </w:r>
    </w:p>
    <w:p w14:paraId="79FD4E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5C987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года - Предложение В.И. Вернадского, А.Е. Ферсмана и В.Г. Хлопина о мерах, необходимых для развития работ по практическому использованию атомной энергии (10549).</w:t>
      </w:r>
    </w:p>
    <w:p w14:paraId="1F579D0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2F5D58" w14:textId="77777777" w:rsidR="00CE1655" w:rsidRPr="00DB5D0D" w:rsidRDefault="00CE165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в 1940 году академик Владимир Вернадский направляет в правительство СССР письмо о важности урановой проблемы и с указанием на то, что в США и Германии "лихорадочно ведутся работы" по использованию "внутриатомной энергии урана", на которые "ассигнуются крупные суммы" (14950).</w:t>
      </w:r>
    </w:p>
    <w:p w14:paraId="571CF054" w14:textId="77777777" w:rsidR="00CE1655" w:rsidRPr="00DB5D0D" w:rsidRDefault="00CE1655" w:rsidP="00DB5D0D">
      <w:pPr>
        <w:spacing w:after="0" w:line="240" w:lineRule="auto"/>
        <w:jc w:val="both"/>
        <w:rPr>
          <w:rFonts w:ascii="Times New Roman" w:hAnsi="Times New Roman"/>
          <w:color w:val="000000" w:themeColor="text1"/>
          <w:sz w:val="16"/>
          <w:szCs w:val="16"/>
        </w:rPr>
      </w:pPr>
    </w:p>
    <w:p w14:paraId="0C3CADFF"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12 июля 1940 г.:</w:t>
      </w:r>
    </w:p>
    <w:p w14:paraId="0EEBBD32"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Записка В.И. Вернадского, А.Е. Ферсмана, В.Г. Хлопина </w:t>
      </w:r>
    </w:p>
    <w:p w14:paraId="04C5EB6D"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заместителю председателя СНК СССР, председателю Совета химической и металлургической промышленности Н.А. Булганину </w:t>
      </w:r>
    </w:p>
    <w:p w14:paraId="37E57A48"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«О техническом использовании внутриатомной энергии»</w:t>
      </w:r>
    </w:p>
    <w:p w14:paraId="7990F325"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Работы по физике атомного ядра привели в самое последнее время к открытию деления атомов элемента урана под действием нейтронов, при котором освобождается огромное количество внутриатомной энергии, превосходящее в десятки раз количество энергии, выделяющейся при радиоактивном распаде. Вместе с тем последними работами установлено, с одной стороны, что деление ядер претерпевают лишь атомы изотопов урана с массами 235 и 234, а с другой, что деление это протекает лишь под действием медленных, а не быстрых нейтронов, что дает, если это подтвердится, в руки исследователей возможность регулировать этот процесс. </w:t>
      </w:r>
    </w:p>
    <w:p w14:paraId="48CCCE39"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Эти работы ставят на очередь вопрос о возможности технического использования внутриатомной энергии. Конечно, на этом пути стоит еще ряд очень больших трудностей и потребуется проведение большой научно-исследовательской работы, однако, как нам кажется, трудности эти не носят принципиального характера. Нетрудно видеть, что если вопрос о техническом использовании внутриатомной энергии будет решен в положительном смысле, то это должно в корне изменить всю прикладную энергетику. </w:t>
      </w:r>
    </w:p>
    <w:p w14:paraId="74103D3E"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Важность этого вопроса вполне сознается за границей, и по поступающим оттуда сведениям в Соединенных Штатах Америки и Германии лихорадочно ведутся работы, стремящиеся разрешить этот вопрос, и на эти работы ассигнуются крупные средства. </w:t>
      </w:r>
    </w:p>
    <w:p w14:paraId="2E0A59E0"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В заседании от 25 июня с.г. Отделение геолого-географических наук Академии наук выделило специальную тройку под председательством академика В.И. Вернадского, в составе академиков А.Е. Ферсмана и В.Г. Хлопина, которой поручило наметить мероприятия, которые позволили бы форсировать работы по использованию внутриатомной энергии в Союзе. </w:t>
      </w:r>
    </w:p>
    <w:p w14:paraId="5E26C502"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Мы полагаем, что уже сейчас назрело время, чтобы правительство, учитывая важность решения вопроса о техническом использовании внутриатомной энергии, приняло ряд мер, которые обеспечили бы Советскому Союзу возможность не отстать в разрешении этого вопроса от зарубежных стран. </w:t>
      </w:r>
    </w:p>
    <w:p w14:paraId="1060C761"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Эти мероприятия нам представляются в следующем виде: </w:t>
      </w:r>
    </w:p>
    <w:p w14:paraId="6BCD8C0F"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1. Поручить Академии наук срочно приступить к выработке методов разделения изотопов урана и конструированию соответствующих установок и войти в правительство с ходатайством о специальных для этого ассигнованиях, а также о выделении соответствующего количества драгоценных и цветных металлов. </w:t>
      </w:r>
    </w:p>
    <w:p w14:paraId="478301A7"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2. Предложить Академии наук форсировать работы по проектированию сверхмощного циклотрона Физического института Академии наук. </w:t>
      </w:r>
    </w:p>
    <w:p w14:paraId="07E33438"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3. Создать государственный фонд урана2. </w:t>
      </w:r>
    </w:p>
    <w:p w14:paraId="325705F0"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4. Предложить: </w:t>
      </w:r>
    </w:p>
    <w:p w14:paraId="4F8B8780"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а) Главгеологии Наркомцветмета и Главредмету всемерно содействовать заводу «В» на Табошарском месторождении в выполнении намеченных планом 1940 г. сроков геолого-разведочных работ, в частности, закончить углубку шахты до 120 м проходкой штреков и пробурку 2-3 скважин до 200 м глубиной в целях вскрытия нижнего первичного горизонта месторождения; </w:t>
      </w:r>
    </w:p>
    <w:p w14:paraId="36DA25FF"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б) предложить Главгеологии Наркомцветмета форсировать разведку урановых месторождений Майли-Су и Кара-Агач в Фергане; </w:t>
      </w:r>
    </w:p>
    <w:p w14:paraId="69F08213"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в) предложить Комитету по делам геологии усилить разведку Уйгурсайского м[есторожде]ния близ Коканда и Куперлисайского м[есторожде]ния близ оз. Иссык-Куль; </w:t>
      </w:r>
    </w:p>
    <w:p w14:paraId="4ABAF5F5" w14:textId="77777777" w:rsidR="00CE1655" w:rsidRPr="00DB5D0D" w:rsidRDefault="00CE1655" w:rsidP="00DB5D0D">
      <w:pPr>
        <w:pStyle w:val="Default"/>
        <w:jc w:val="both"/>
        <w:rPr>
          <w:color w:val="000000" w:themeColor="text1"/>
          <w:sz w:val="16"/>
          <w:szCs w:val="16"/>
        </w:rPr>
      </w:pPr>
      <w:r w:rsidRPr="00DB5D0D">
        <w:rPr>
          <w:color w:val="000000" w:themeColor="text1"/>
          <w:sz w:val="16"/>
          <w:szCs w:val="16"/>
        </w:rPr>
        <w:t>г) предложить Наркомфину СССР в обеспечение этих работ финансировать их в 3 квартале 1940 г. за счет годового лимита.</w:t>
      </w:r>
    </w:p>
    <w:p w14:paraId="017A96CB"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5. Предложить Комитету по делам геологии и Академии наук поставить в 1941 г. поисковые работы с использованием новейших методов радиоактивной разведки на урановые руды во всем районе правобережья Сыр-Дарьи, между Джелал-Абадом и Ленинабадом, а также вдоль разлома в Карамазарских горах по направлению от Табашарского к Адрасманскому м[есторожде]нию. </w:t>
      </w:r>
    </w:p>
    <w:p w14:paraId="56F7949B"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6. Предложить Главредмету продолжить и ускорить переработку урановых концентратов завода «В» на соли урана с таким расчетом, чтобы выдать в течение 1940 г. и весны 1941 г. не менее 100 кг урана в солях. </w:t>
      </w:r>
    </w:p>
    <w:p w14:paraId="730CD440"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7. Предложить Наркомцветмету, учитывая бедность урановых руд Средней Азии ураном, усилить изучение разнообразных методов их механического обогащения. </w:t>
      </w:r>
    </w:p>
    <w:p w14:paraId="4E378DAA"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Академик В. Вернадский </w:t>
      </w:r>
    </w:p>
    <w:p w14:paraId="44429AAF"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Академик А. Ферсман </w:t>
      </w:r>
    </w:p>
    <w:p w14:paraId="4A3502F1"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Академик В. Хлопин </w:t>
      </w:r>
    </w:p>
    <w:p w14:paraId="6EBEA972"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[Помета на первом листе документа карандашом:] Проект. </w:t>
      </w:r>
    </w:p>
    <w:p w14:paraId="237768B6"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Архив РАН. Ф.2, оп.1а(40), д.216, л.9-10. Подлинник. </w:t>
      </w:r>
    </w:p>
    <w:p w14:paraId="36F8CFFB"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Опубликовано: Л.В. Комлев, Г.С. Синицына, М.Л. Ковальская. В.Г. Хлопин и урановая проблема //ВИЕТ. 1982. № 4. С. 65, 66. </w:t>
      </w:r>
    </w:p>
    <w:p w14:paraId="024F9D10"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vertAlign w:val="superscript"/>
        </w:rPr>
        <w:t xml:space="preserve">1 </w:t>
      </w:r>
      <w:r w:rsidRPr="00DB5D0D">
        <w:rPr>
          <w:color w:val="000000" w:themeColor="text1"/>
          <w:sz w:val="16"/>
          <w:szCs w:val="16"/>
        </w:rPr>
        <w:t xml:space="preserve">Документ напечатан на бланке АН СССР и направлен О.Ю. Шмидту со следующим сопроводительным письмом, подписанным В.И. Вернадским, А.Е. Ферсманом, В.Г. Хлопиным: «Глубокоуважаемый Отто Юльевич! Прилагая при сем докладную записку на имя т. Булганина Н.А., просим Вас доложить ее Правительству» (Архив РАН. Ф.2, оп.1а(40), д.216, л.5). На основе этого документа в Президиуме был подготовлен новый вариант – см. документ № 61. </w:t>
      </w:r>
    </w:p>
    <w:p w14:paraId="4349303A"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vertAlign w:val="superscript"/>
        </w:rPr>
        <w:t xml:space="preserve">2 </w:t>
      </w:r>
      <w:r w:rsidRPr="00DB5D0D">
        <w:rPr>
          <w:color w:val="000000" w:themeColor="text1"/>
          <w:sz w:val="16"/>
          <w:szCs w:val="16"/>
        </w:rPr>
        <w:t>Следующая далее часть текста не публиковалась (11323).</w:t>
      </w:r>
    </w:p>
    <w:p w14:paraId="69CBEA80" w14:textId="77777777" w:rsidR="003C7E8B" w:rsidRPr="00DB5D0D" w:rsidRDefault="003C7E8B" w:rsidP="00DB5D0D">
      <w:pPr>
        <w:pStyle w:val="Default"/>
        <w:jc w:val="both"/>
        <w:rPr>
          <w:color w:val="000000" w:themeColor="text1"/>
          <w:sz w:val="16"/>
          <w:szCs w:val="16"/>
        </w:rPr>
      </w:pPr>
    </w:p>
    <w:p w14:paraId="4EF021A4" w14:textId="77777777" w:rsidR="003C7E8B"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За</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рубежом</w:t>
      </w:r>
      <w:r w:rsidRPr="00DB5D0D">
        <w:rPr>
          <w:rFonts w:ascii="Times New Roman" w:hAnsi="Times New Roman"/>
          <w:i/>
          <w:iCs/>
          <w:color w:val="000000" w:themeColor="text1"/>
          <w:sz w:val="16"/>
          <w:szCs w:val="16"/>
          <w:lang w:val="en-US"/>
        </w:rPr>
        <w:t>:</w:t>
      </w:r>
    </w:p>
    <w:p w14:paraId="6D47750E" w14:textId="77777777" w:rsidR="003C7E8B" w:rsidRPr="00DB5D0D" w:rsidRDefault="003C7E8B" w:rsidP="00DB5D0D">
      <w:pPr>
        <w:spacing w:after="0" w:line="240" w:lineRule="auto"/>
        <w:jc w:val="both"/>
        <w:rPr>
          <w:rFonts w:ascii="Times New Roman" w:hAnsi="Times New Roman"/>
          <w:iCs/>
          <w:color w:val="000000" w:themeColor="text1"/>
          <w:sz w:val="16"/>
          <w:szCs w:val="16"/>
          <w:lang w:val="en-US"/>
        </w:rPr>
      </w:pPr>
    </w:p>
    <w:p w14:paraId="69628A2D"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12th, 1940: The Luftwaffe carries out raids on Aberdeen in Scotland and Cardiff in Wales (3819).</w:t>
      </w:r>
    </w:p>
    <w:p w14:paraId="045BD65D"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523B64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Люфтваффе нанесли удары по Абердину в Шотландии и Кардифу в Уэлсе (3819).</w:t>
      </w:r>
    </w:p>
    <w:p w14:paraId="4B8AB37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132AC8" w14:textId="77777777" w:rsidR="00CE1655" w:rsidRPr="00DB5D0D" w:rsidRDefault="00CE165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12 июля в 1940 году на совещании германского руководства Г.Гиммлер предложил план создания в Бургундии и Шампани образцового государства СС, как буфера между Германией и Францией (14950).</w:t>
      </w:r>
    </w:p>
    <w:p w14:paraId="315CF2A1" w14:textId="77777777" w:rsidR="00CE1655" w:rsidRPr="00DB5D0D" w:rsidRDefault="00CE1655" w:rsidP="00DB5D0D">
      <w:pPr>
        <w:spacing w:after="0" w:line="240" w:lineRule="auto"/>
        <w:jc w:val="both"/>
        <w:rPr>
          <w:rFonts w:ascii="Times New Roman" w:hAnsi="Times New Roman"/>
          <w:color w:val="000000" w:themeColor="text1"/>
          <w:sz w:val="16"/>
          <w:szCs w:val="16"/>
        </w:rPr>
      </w:pPr>
    </w:p>
    <w:p w14:paraId="55D4D843" w14:textId="77777777" w:rsidR="00CE1655" w:rsidRPr="00DB5D0D" w:rsidRDefault="00CE165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в 1940 году на секретном совещании представителей армии, флота и министерства иностранных дел Японии рассматривался предварительный план под названием "Усиление гармонии между Японией, Германией и Италией" и было принято следующее решение: "Япония не вступит в войну в данное время, если даже Германия и будет этого требовать". Бывший военный министр Японии Хата, выступая в парламенте, заявил: "...Понесенные потери являются действительно громадным уроком для нашей армии... Кровь, пролитая на полях Номонхана (Халхин-Гола), никоим образом не останется напрасно пролитой кровью" (14950).</w:t>
      </w:r>
    </w:p>
    <w:p w14:paraId="61797102" w14:textId="77777777" w:rsidR="00CE1655" w:rsidRPr="00DB5D0D" w:rsidRDefault="00CE1655" w:rsidP="00DB5D0D">
      <w:pPr>
        <w:spacing w:after="0" w:line="240" w:lineRule="auto"/>
        <w:jc w:val="both"/>
        <w:rPr>
          <w:rFonts w:ascii="Times New Roman" w:hAnsi="Times New Roman"/>
          <w:color w:val="000000" w:themeColor="text1"/>
          <w:sz w:val="16"/>
          <w:szCs w:val="16"/>
        </w:rPr>
      </w:pPr>
    </w:p>
    <w:p w14:paraId="0AF13E6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3F4E09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45910D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г. помимо военных с эскизным про</w:t>
      </w:r>
      <w:r w:rsidRPr="00DB5D0D">
        <w:rPr>
          <w:rFonts w:ascii="Times New Roman" w:hAnsi="Times New Roman"/>
          <w:color w:val="000000" w:themeColor="text1"/>
          <w:sz w:val="16"/>
          <w:szCs w:val="16"/>
        </w:rPr>
        <w:softHyphen/>
        <w:t>ектом ПБШ-1 ознако</w:t>
      </w:r>
      <w:r w:rsidRPr="00DB5D0D">
        <w:rPr>
          <w:rFonts w:ascii="Times New Roman" w:hAnsi="Times New Roman"/>
          <w:color w:val="000000" w:themeColor="text1"/>
          <w:sz w:val="16"/>
          <w:szCs w:val="16"/>
        </w:rPr>
        <w:softHyphen/>
        <w:t>мились в постоянной комиссии по рас</w:t>
      </w:r>
      <w:r w:rsidRPr="00DB5D0D">
        <w:rPr>
          <w:rFonts w:ascii="Times New Roman" w:hAnsi="Times New Roman"/>
          <w:color w:val="000000" w:themeColor="text1"/>
          <w:sz w:val="16"/>
          <w:szCs w:val="16"/>
        </w:rPr>
        <w:softHyphen/>
        <w:t>смотрению инициативных проектов, не вошедших в план 1940 г., которую воз</w:t>
      </w:r>
      <w:r w:rsidRPr="00DB5D0D">
        <w:rPr>
          <w:rFonts w:ascii="Times New Roman" w:hAnsi="Times New Roman"/>
          <w:color w:val="000000" w:themeColor="text1"/>
          <w:sz w:val="16"/>
          <w:szCs w:val="16"/>
        </w:rPr>
        <w:softHyphen/>
        <w:t>главлял академик Б.И.Юрьев. Предва</w:t>
      </w:r>
      <w:r w:rsidRPr="00DB5D0D">
        <w:rPr>
          <w:rFonts w:ascii="Times New Roman" w:hAnsi="Times New Roman"/>
          <w:color w:val="000000" w:themeColor="text1"/>
          <w:sz w:val="16"/>
          <w:szCs w:val="16"/>
        </w:rPr>
        <w:softHyphen/>
        <w:t>рительную экспертизу провел инженер 7-го ГУ НКАП И.И.Машкевич, кото</w:t>
      </w:r>
      <w:r w:rsidRPr="00DB5D0D">
        <w:rPr>
          <w:rFonts w:ascii="Times New Roman" w:hAnsi="Times New Roman"/>
          <w:color w:val="000000" w:themeColor="text1"/>
          <w:sz w:val="16"/>
          <w:szCs w:val="16"/>
        </w:rPr>
        <w:softHyphen/>
        <w:t>рый сделал вывод, что летно-тактические данные самолета вполне осуще</w:t>
      </w:r>
      <w:r w:rsidRPr="00DB5D0D">
        <w:rPr>
          <w:rFonts w:ascii="Times New Roman" w:hAnsi="Times New Roman"/>
          <w:color w:val="000000" w:themeColor="text1"/>
          <w:sz w:val="16"/>
          <w:szCs w:val="16"/>
        </w:rPr>
        <w:softHyphen/>
        <w:t>ствимы. Из условий обеспечения устой</w:t>
      </w:r>
      <w:r w:rsidRPr="00DB5D0D">
        <w:rPr>
          <w:rFonts w:ascii="Times New Roman" w:hAnsi="Times New Roman"/>
          <w:color w:val="000000" w:themeColor="text1"/>
          <w:sz w:val="16"/>
          <w:szCs w:val="16"/>
        </w:rPr>
        <w:softHyphen/>
        <w:t>чивости он рекомендовал увеличить площадь горизонтального оперения, доведя ее до 6,0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xml:space="preserve"> вместо 5,5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При разработке самолета ОКО также реко</w:t>
      </w:r>
      <w:r w:rsidRPr="00DB5D0D">
        <w:rPr>
          <w:rFonts w:ascii="Times New Roman" w:hAnsi="Times New Roman"/>
          <w:color w:val="000000" w:themeColor="text1"/>
          <w:sz w:val="16"/>
          <w:szCs w:val="16"/>
        </w:rPr>
        <w:softHyphen/>
        <w:t>мендовали обратить внимание на обес</w:t>
      </w:r>
      <w:r w:rsidRPr="00DB5D0D">
        <w:rPr>
          <w:rFonts w:ascii="Times New Roman" w:hAnsi="Times New Roman"/>
          <w:color w:val="000000" w:themeColor="text1"/>
          <w:sz w:val="16"/>
          <w:szCs w:val="16"/>
        </w:rPr>
        <w:softHyphen/>
        <w:t>печение надежной работы ВМГ. Воо</w:t>
      </w:r>
      <w:r w:rsidRPr="00DB5D0D">
        <w:rPr>
          <w:rFonts w:ascii="Times New Roman" w:hAnsi="Times New Roman"/>
          <w:color w:val="000000" w:themeColor="text1"/>
          <w:sz w:val="16"/>
          <w:szCs w:val="16"/>
        </w:rPr>
        <w:softHyphen/>
        <w:t>ружение оценили как достаточно мощ</w:t>
      </w:r>
      <w:r w:rsidRPr="00DB5D0D">
        <w:rPr>
          <w:rFonts w:ascii="Times New Roman" w:hAnsi="Times New Roman"/>
          <w:color w:val="000000" w:themeColor="text1"/>
          <w:sz w:val="16"/>
          <w:szCs w:val="16"/>
        </w:rPr>
        <w:softHyphen/>
        <w:t>ное и соответствующее поставленной цели. В целом комиссия пришла к следу</w:t>
      </w:r>
      <w:r w:rsidRPr="00DB5D0D">
        <w:rPr>
          <w:rFonts w:ascii="Times New Roman" w:hAnsi="Times New Roman"/>
          <w:color w:val="000000" w:themeColor="text1"/>
          <w:sz w:val="16"/>
          <w:szCs w:val="16"/>
        </w:rPr>
        <w:softHyphen/>
        <w:t>ющему выводу: "Максимальную ско</w:t>
      </w:r>
      <w:r w:rsidRPr="00DB5D0D">
        <w:rPr>
          <w:rFonts w:ascii="Times New Roman" w:hAnsi="Times New Roman"/>
          <w:color w:val="000000" w:themeColor="text1"/>
          <w:sz w:val="16"/>
          <w:szCs w:val="16"/>
        </w:rPr>
        <w:softHyphen/>
        <w:t>рость для данного типа машины с уче</w:t>
      </w:r>
      <w:r w:rsidRPr="00DB5D0D">
        <w:rPr>
          <w:rFonts w:ascii="Times New Roman" w:hAnsi="Times New Roman"/>
          <w:color w:val="000000" w:themeColor="text1"/>
          <w:sz w:val="16"/>
          <w:szCs w:val="16"/>
        </w:rPr>
        <w:softHyphen/>
        <w:t>том срока выпуска самолета следует считать недостаточной. Принимая во внимание, что по аналогичному типу самолета дано задание тов. Сухому, но с меньшей мощностью огня и большей скоростью полета у земли (500 км/час), комиссия считает, что самолет целесо</w:t>
      </w:r>
      <w:r w:rsidRPr="00DB5D0D">
        <w:rPr>
          <w:rFonts w:ascii="Times New Roman" w:hAnsi="Times New Roman"/>
          <w:color w:val="000000" w:themeColor="text1"/>
          <w:sz w:val="16"/>
          <w:szCs w:val="16"/>
        </w:rPr>
        <w:softHyphen/>
        <w:t>образно строить в том случае, если ав</w:t>
      </w:r>
      <w:r w:rsidRPr="00DB5D0D">
        <w:rPr>
          <w:rFonts w:ascii="Times New Roman" w:hAnsi="Times New Roman"/>
          <w:color w:val="000000" w:themeColor="text1"/>
          <w:sz w:val="16"/>
          <w:szCs w:val="16"/>
        </w:rPr>
        <w:softHyphen/>
        <w:t>торы смогут повысить скорость полета у земли до 550 км/час". Выводы под</w:t>
      </w:r>
      <w:r w:rsidRPr="00DB5D0D">
        <w:rPr>
          <w:rFonts w:ascii="Times New Roman" w:hAnsi="Times New Roman"/>
          <w:color w:val="000000" w:themeColor="text1"/>
          <w:sz w:val="16"/>
          <w:szCs w:val="16"/>
        </w:rPr>
        <w:softHyphen/>
        <w:t>писали председатель комиссии Б.И.Ю</w:t>
      </w:r>
      <w:r w:rsidRPr="00DB5D0D">
        <w:rPr>
          <w:rFonts w:ascii="Times New Roman" w:hAnsi="Times New Roman"/>
          <w:color w:val="000000" w:themeColor="text1"/>
          <w:sz w:val="16"/>
          <w:szCs w:val="16"/>
        </w:rPr>
        <w:softHyphen/>
        <w:t>рьев, а также ее члены В.И.Поликовский, И.И.Машкевич, В.Н.Беляев и П.Я.Залесский (5278).</w:t>
      </w:r>
    </w:p>
    <w:p w14:paraId="27E8F2D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EB8BB95" w14:textId="77777777" w:rsidR="003302F0" w:rsidRPr="00DB5D0D" w:rsidRDefault="003302F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13 июля 1940 г. помимо военных, с эскизным проектам ПБШ-1 ознакомились в постоянной комиссии по рассмотрению инициативных проектов, не вошедших в план 1940 г. которую возглавлял академик Б.И.Юрьев. Предварительную экспертизу провел инженер 7-го ГУ НКАП И.И.Машкевич, который сделал вывод, что летно-тактические данные самолета вполне осуществимы. Из условий обеспечения устойчивости он рекомендовал увеличить площадь горизонтального оперения, доведя ее до 6,0 м2 вместо 5,5 м2. При разработке самолета ОКО также рекомендовали обратить внимание на обеспечение надежной работы ВМГ. Вооружение оценили как достаточно мощное и соответствующее поставленной цели.</w:t>
      </w:r>
    </w:p>
    <w:p w14:paraId="000113AE" w14:textId="77777777" w:rsidR="003302F0" w:rsidRPr="00DB5D0D" w:rsidRDefault="003302F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целом комиссия пришла к следующему выводу: "Максимальную скорость для данного типа машины с учетом срока выпуска самолета следует считать недостаточной. Принимая во внимание, что по аналогичному типу самолета дано задание тов. Сухому, но с меньшей мощностью огня и большей скоростью полета у земли (500 км/час), комиссия считает, что самолет целесообразно строить в том случае, если авторы смогут повысить скорость полета у земли до 550 км/час". Выводы подписали председатель комиссии Б.И.Юрьев, а также ее члены В.И.Поликовский, И.И.Машкевич, В.Н.Беляев и П.Я.Залесский (19568).</w:t>
      </w:r>
    </w:p>
    <w:p w14:paraId="445CB7CD" w14:textId="77777777" w:rsidR="003302F0" w:rsidRPr="00DB5D0D" w:rsidRDefault="003302F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40419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Дир. завода 22 Окулов в письме N 7815с А.И.Ш. просил назначить ли на ПБ-100 Г.Ф.Байдукова и М.А.Липкина (1293,145).</w:t>
      </w:r>
    </w:p>
    <w:p w14:paraId="1C45C12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B1033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 13 июля 1940 года на самолете И-21 начались летные испытания. Произведено 2 полета. Первый продолжительностью 18 минут и второй 5 минут. Поведение машины в обоих полетах было хорошее (4644, 14).</w:t>
      </w:r>
    </w:p>
    <w:p w14:paraId="779403F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4693E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года была закончена постройка 1 экземпляра учебного И-26 под названием УТИ-26. До 28 августа 1940 года самолет проходил заводские испытания. Предъявлен на госиспытания в НИИ ВВС 28 августа 1940 года.</w:t>
      </w:r>
    </w:p>
    <w:p w14:paraId="549BF6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августа 1940 года по 21 сентября 1940 года самолет находился на госиспытаниях.</w:t>
      </w:r>
    </w:p>
    <w:p w14:paraId="7E5406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сентября 1940 года самолет перегнан на завода № 115 для осмотра и вывозки строевых летчиков выделенных для проведения войсковых испытаний самолета И-26 (7625, 383).</w:t>
      </w:r>
    </w:p>
    <w:p w14:paraId="78995F2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EE50F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13 июля до 28 августа 1940 года 1 экземпляр учебного И-26 под названием УТИ-26 проходил заводские испытания.</w:t>
      </w:r>
    </w:p>
    <w:p w14:paraId="247F27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 на госиспытания в НИИ ВВС 28 августа 1940 года.</w:t>
      </w:r>
    </w:p>
    <w:p w14:paraId="3D0D33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августа 1940 года по 21 сентября 1940 года самолет находился на госиспытаниях.</w:t>
      </w:r>
    </w:p>
    <w:p w14:paraId="3E6FEC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сентября 1940 года самолет перегнан на завода № 115 для осмотра и вывозки строевых летчиков выделенных для проведения войсковых испытаний самолета И-26 (7625, 383).</w:t>
      </w:r>
    </w:p>
    <w:p w14:paraId="66D3D74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7F7E0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в ходе заводских испытаний И-200 А.И.М, которые проходили с 31 марта по 17 августа 1940, на И-200-1 был полет на штопор (2988).</w:t>
      </w:r>
    </w:p>
    <w:p w14:paraId="2B7E59D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9488A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был подготовлен доклад об испытаниях немецких бомбардировщиков (Дорнье 215 и Юнкерс 88) и учебно-тренировочных самолетов (2-х местный Бюкер, 1-местный Бюкер, 2-х моторный Фокке-Вульф) (2535,12):</w:t>
      </w:r>
    </w:p>
    <w:p w14:paraId="5F079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сравнительных данных видно, что находящиеся на вооружении Германских ВВС бомбардировщики До-215 и Ю-88 несмотря на кажущуюся внешнюю уродливость являются вполне современными бомбардировщиками.</w:t>
      </w:r>
    </w:p>
    <w:p w14:paraId="42769B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Сравнивая ЛД этих самолетов с состоящими на вооружении у нас бомбардировщиками СБ и ДБ-3 имеем следующую картину:</w:t>
      </w:r>
    </w:p>
    <w:p w14:paraId="5B477B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До-215 - начиная от земли и до 6500 м превосходит по скорости как серийный СБ с турелями МВ-2 и МВ-3, так и ДБ-3Ф с М-88, примерно на 25-40 км/час и только СБ с М-105, но со старыми турелями, приближается по данным к До-215 и СБ с радиаторами в крыле и М-105 на 4000 м начинает превосходить по скоростям на 35-40 км/час, но не следует забывать, что скорость получена на самолете, который не может являться эталоном для серии, т.к. на нем температурные режимы моторов не нормативные, количество горючего уменьшено, вооружение не то, которое идет на серийных самолетах.</w:t>
      </w:r>
    </w:p>
    <w:p w14:paraId="6046B4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Ю-88 - немного отличается по ЛД от наших серийных самолетов ВБ и ДБ-3, однако имеются преимущества в боевой работе и эксплуатации...</w:t>
      </w:r>
    </w:p>
    <w:p w14:paraId="1396A5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бомбардировщиков имеем типичную картину топтания на месте при наличии роста мощности устанавливаемых моторов...</w:t>
      </w:r>
    </w:p>
    <w:p w14:paraId="1560F0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самолету ДБ-3 с М-85 при внедрении в серию потеряли на самолетах 39 завода до 15 км/час и 18 завода - 25 км/час</w:t>
      </w:r>
    </w:p>
    <w:p w14:paraId="42F317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переходе на ДБ-3Ф с М-87 на М-88 также потеряли скорость несмотря на прирост мощности в 150-180 нр.</w:t>
      </w:r>
    </w:p>
    <w:p w14:paraId="02C734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Примерно такую же картину имеем по СБ...</w:t>
      </w:r>
    </w:p>
    <w:p w14:paraId="2F2A35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Приведенные данные со всей убедительностью подтверждают полное отсутствие работы как со стороны С.В.И., так и А.А.А., над разрешением вопроса рационального использования мощности моторов, стоящих на самолете, и главное, над аэродинамикой ВМГ, которая в основном и пожирает весь прирост мощности...</w:t>
      </w:r>
    </w:p>
    <w:p w14:paraId="014170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ДБ-3Ф с М-88 за счет проведения работы по улучшению температурных режимов "на глаз" потерял скорость по сравнению с тем же самолетом, но с менее мощным М-87...(2535,12).</w:t>
      </w:r>
    </w:p>
    <w:p w14:paraId="467505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СБ в прошлом году за счет очень мелкой переделки входа воздуха в водяной радиатор получили около 20 км/час и за счет закрытия передних щелей 10 км/час. При это отвлекаясь несколько от основной темы следует здесь остановиться на истории закрытия щели у передних пулеметов. Закрыть переднюю щель мы требовали с самого зарождения самолета СБ, но ни завод N 22, ни КБ Архангельского по этому вопросу ничего не делали.</w:t>
      </w:r>
    </w:p>
    <w:p w14:paraId="126D85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когда по этому вопросу сильно стукнули на Правительстве, немедленно было все сделано. Подобных примеров много и по другим конструкторским бюро. Этот пример я привел для того, чтобы поняли товарищи, что если улучшение самолетов будет идти из-под палки, только когда стукнут, то хорошей авиации мы не сделаем.</w:t>
      </w:r>
    </w:p>
    <w:p w14:paraId="0E967D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 и, наконец, остается привести пример с ББ-22, когда отсутствие правильной работы по обеспечению охлаждения с минимальными потерями в лобовом сопротивлении привело к потере в скорости с 560 км/час до 536 км/час у опытного и до 515 км/час у серийного, причем дальнейшее расширение входных каналов снизило скорость почти до 500 км/час.</w:t>
      </w:r>
    </w:p>
    <w:p w14:paraId="3E49EA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Здесь у опытного самолета винтомоторная группа съела скорости 4 км/час и плохая отделка в серийном производстве съела еще 1 км/час.</w:t>
      </w:r>
    </w:p>
    <w:p w14:paraId="34A675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Сравнивая опытные самолеты, находящиеся на испытаниях, картина делается более благоприятной, но не следует забывать, что это опытные самолеты и необходим срок для их массового серийного выпуска и необходимо, чтобы конструктора не ухудшали аэродинамики винтомоторной группы, как это было в предыдущих самолетах, ибо на наших опытных самолетах винтомоторная группа, в части температурных режимов еще недоведена.</w:t>
      </w:r>
    </w:p>
    <w:p w14:paraId="70F7C1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скороподъемности и потолку большой разницы нет, за исключением сильного отставания у самолета Юнкерс-88 за счет большой нагрузки на квадратный метр. Поэтому потолок у него получился равным всего 8000 м, в то время как у остальных потолок колеблется в пределах от 9000 до 10500 метров.</w:t>
      </w:r>
    </w:p>
    <w:p w14:paraId="6BD804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посадочной скорости следует остановиться на сравнении наших самолетов с самолетом Юнкерс-88, у которого при нагрузке 170 кг/м получается посадочная скорость равной 125 км/час. Основная причина заключается в использовании всех возможностей у Юнкерса-88 для повышения Су-max для чего: отклоняется щелевой закрылок на _____ о, у которого в нормальном полете щель закрыта специальным щитком и вместе с закрылком опускаются и элероны.</w:t>
      </w:r>
    </w:p>
    <w:p w14:paraId="593A4D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у самолета ДБ-3 при нагрузке 115 кг/ м кв. имеем посадочную скорость равной 115 км/час, т.е. у самолета D-88 Су пос. на 20% выше, нежели у ДБ-3.</w:t>
      </w:r>
    </w:p>
    <w:p w14:paraId="2CAFB0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Комментировать нечего. Цифры говорят сами за себя.</w:t>
      </w:r>
    </w:p>
    <w:p w14:paraId="6B01FA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и пробег - ничего резко выступающего не дает, за исключением самолета Ю-88, у которого при большой нагрузке на кв. метр разбег такой же как и у ДБ-3Ф.</w:t>
      </w:r>
    </w:p>
    <w:p w14:paraId="460066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Теперь о простоте пилотирования и устойчивости немецких самолетов.</w:t>
      </w:r>
    </w:p>
    <w:p w14:paraId="1869A5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Прежде всего обращает внимание на себя внимание, как и у истребительных самолетов, наличие и у этих самолетов очень передних эксплуатационных центровок.</w:t>
      </w:r>
    </w:p>
    <w:p w14:paraId="27F1A2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таблицы ясно видно соотношение центровок наших и немецкий самолетов.</w:t>
      </w:r>
    </w:p>
    <w:p w14:paraId="7BFEB5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Итак, основные примеры, качественно характеризующие устойчивость самолетов6 как мы видим, на стороне немецких самолетов. Посмотрим какова картина устойчивости в действительности и как она выглядит количественно.</w:t>
      </w:r>
    </w:p>
    <w:p w14:paraId="7590C5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графиках приведены балансировочные кривые и кривые коэффициентов продольной статической устойчивости.</w:t>
      </w:r>
    </w:p>
    <w:p w14:paraId="4E000A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графиков совершенно отчетливо следует, что самолеты ДБ-3 и Дорнье-215 вообще не могут быть сравнимы.</w:t>
      </w:r>
    </w:p>
    <w:p w14:paraId="72936B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Мне кажется, что эти кривые разбивают на голову точку зрения Ильюшина создания "нейтральных" точнее "неустойчивых" самолетов.</w:t>
      </w:r>
    </w:p>
    <w:p w14:paraId="1C7E40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Создавая высокоустойчивые самолеты, немцы идут с двойной перестраховкой: передняя центровка и создание самоустойчивого крыла и высокая степень устойчивости.</w:t>
      </w:r>
    </w:p>
    <w:p w14:paraId="32885D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и у Юнкерса тоже довольно высокая и также превосходит устойчивость наших самолетов.</w:t>
      </w:r>
    </w:p>
    <w:p w14:paraId="3474E2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Наличие высокой степени устойчивости влечет за собой простоту и приятность в технике пилотирования, обеспечение безопасности полета в сложных метеорологических условиях, а также и вероятную возможность отказа от введения автопилота на все три вида рулей, а ограничиться только автопилотом на руль поворотов.</w:t>
      </w:r>
    </w:p>
    <w:p w14:paraId="032178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мы хотим, чтобы наша бомбардировочная авиация действовала в любых метеорологических условиях, мы должны делать наши бомбардировщики высоко устойчивыми, с обеспечением надежного прихода к цели и обратно и производства посадки вслепую, что особо подчеркнуто на немецких самолетах и что мало заметно на наших.</w:t>
      </w:r>
    </w:p>
    <w:p w14:paraId="360F1A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перейду к сравнительной оценке спецоборудования немецких и наших бомбардировщиков.</w:t>
      </w:r>
    </w:p>
    <w:p w14:paraId="7C85CA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Общие замечания по спецоборудованию немецких бомбардировщиков следует сделать следующее:</w:t>
      </w:r>
    </w:p>
    <w:p w14:paraId="33B1CA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Объем, размещение и монтаж спецоборудования на всех представленных самолетах наилучшим образом отвечает задаче - облегчить и упростить управление самолетом, обеспечить вождение его по заданному курсу при любых условиях, создать благоприятные условия для ведения боя и обеспечить возможность слепой посадки.</w:t>
      </w:r>
    </w:p>
    <w:p w14:paraId="46A019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Спецоборудование органически связано с конструкцией самолетов и рациональное размещение его решается конструкторами одновременно с проектированием самолета.</w:t>
      </w:r>
    </w:p>
    <w:p w14:paraId="06FE3A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Несмотря на то, что самолеты и оборудование выпускаются различными фирмами, достигнута максимальная стандартизация и унификация большого количества спецоборудования.</w:t>
      </w:r>
    </w:p>
    <w:p w14:paraId="620CCC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Все спецоборудование отличается высокой культурой производства, продуманностью конструкций и схем и надежностью работы.</w:t>
      </w:r>
    </w:p>
    <w:p w14:paraId="200516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 всех немецких самолетах с целью устранения помех радиоприему, применена тщательная экранировка, металлизация и система фильтров.</w:t>
      </w:r>
    </w:p>
    <w:p w14:paraId="7E402F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Особый интерес заслуживают: Радиополукомпас, автомат курса и электродистанционный магнитный компас. Автомат курса и дистанционный магнитный компас, будучи связаны между собой, позволяют осуществлять полет по установленному магнитному курсу. В свою очередь дистанционный магнитный компас связан с радиополукомпасом и служит для автоматизации отсчета по радиопеленгатору радиополукомпаса. Таким образом, вся указанная система автоматического курса, дистанцион. магнитного компаса, радиополукомпаса с одной стороны облегчают работу летчика в ведении самолета по курсу и с другой стороны решают вопрос упрощения и точности работы в радионавигации.</w:t>
      </w:r>
    </w:p>
    <w:p w14:paraId="7F7354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нормальной работы дистанционного магнитного компаса созданы все условия, в результате чего остаточная девиация находится в пределах от -1 градуса до +3 градусов. Летные испытания показали, что вся указанная система работала точно............</w:t>
      </w:r>
    </w:p>
    <w:p w14:paraId="0675D9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Автомат курса фирма Сименс подлежит дополнительным и тщательным лабораторным испытаниям.</w:t>
      </w:r>
    </w:p>
    <w:p w14:paraId="721781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полученным результатам испытаний необходимо указать, что автомат курса - Сименс имеет высокие стабилизирующие качества и более совершенную, по сравнению с советским ПК-1 и АК-1, систему управления автоматом. В отношении же надежности действия при отрицательных температурах автомат курс - Сименс уступает отечественным образцам.</w:t>
      </w:r>
    </w:p>
    <w:p w14:paraId="0AD5EC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совершенные конструктивные элементы АК-Сименс термоэлектрическую связь с рулевой машинкой, задатчик разворота и др. целесообразно приспособить к советским автоматам курса.</w:t>
      </w:r>
    </w:p>
    <w:p w14:paraId="4BDE44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Дистанционный компас фирмы Патин подлежит дополнительному изучению и сравнительной оценке с опытными образцами дистанционного магнитного компаса отечественного производства, после чего по нему может быть принято окончательное решение.</w:t>
      </w:r>
    </w:p>
    <w:p w14:paraId="29086B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применяемые на указанных самолетах бензобаки имеют овальную форму, без острых углов, переходов, выступов, ребер.</w:t>
      </w:r>
    </w:p>
    <w:p w14:paraId="4302C2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Арматура сосредоточена в верхней части бака в 1-2 точках, что повышает защиту бака.</w:t>
      </w:r>
    </w:p>
    <w:p w14:paraId="5BDB70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Размеры, форма бака, наряду с их протектированием, также увеличивают живучесть бензобаков.</w:t>
      </w:r>
    </w:p>
    <w:p w14:paraId="0C7B6B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Живучесть фибровых протектированных бензобаков проверена испытаниями на отстрел (бензобак с-та Хе-III).</w:t>
      </w:r>
    </w:p>
    <w:p w14:paraId="75D550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Обстрел был произведен при температуре -43 градуса С. Бак получил 26 попаданий пулями 7,62 мм и 8 попаданий калибра 12,7 мм.</w:t>
      </w:r>
    </w:p>
    <w:p w14:paraId="1381DE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общего количества попаданий имелось 6 выходов пуль калибр. 7,62 мм и 5 выходов калибра 12,7 мм.</w:t>
      </w:r>
    </w:p>
    <w:p w14:paraId="7834D0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Течь бензина появлялась только на стороне выхода от пуль калибра 12,7 мм, причем через 2-3 минуты течь прекращалась.</w:t>
      </w:r>
    </w:p>
    <w:p w14:paraId="1D2986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переводу наших бомбардировщиков на фибровые баки уделить особое внимание, ибо применение фибровых баков, есть увеличение живучести самолета.</w:t>
      </w:r>
    </w:p>
    <w:p w14:paraId="5D216C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немецких самолетах, за счет применения ими больших размеров пневматиков, проходимость при движении по земле большая.</w:t>
      </w:r>
    </w:p>
    <w:p w14:paraId="6659A9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у нас на СБ и ДБ-3 пневматики размером 900х300, то у немцев для аналогичных же самолетов - 1100х375.</w:t>
      </w:r>
    </w:p>
    <w:p w14:paraId="18C010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стрелково-бомбардировочному вооружению, особо обращает на себя внимание следующее:</w:t>
      </w:r>
    </w:p>
    <w:p w14:paraId="1B56A2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Хорошо продуманная схема расположения стрелково-пушечных и бомбардировочных установок.</w:t>
      </w:r>
    </w:p>
    <w:p w14:paraId="65A8B8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Нам необходимо обязать всех конструкторов при конструировании боевых самолетов одновременно производить компоновку и монтаж стрелково-пушечных и бомбардировочных установок, с учетом их боевого эффекта и удобства при эксплуатации, а не приспосабливать вооружение к уже сконструированному самолету, являющемуся лишь летающим аппаратом.</w:t>
      </w:r>
    </w:p>
    <w:p w14:paraId="14BAD6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Примеров недоработки вооружения на наших самолетах можно привести очень много.</w:t>
      </w:r>
    </w:p>
    <w:p w14:paraId="5EB36C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Сильно развитая стандартизация и хорошее качество изготовления оборудования, чего нет в системе нашей авиапромышленности.</w:t>
      </w:r>
    </w:p>
    <w:p w14:paraId="246941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например, для стрельбы с подвижных и ограниченно-подвижных установок немцы на самолетах Ме-110, Ю-88, ДС-215 и Не-III имеют один прицел.</w:t>
      </w:r>
    </w:p>
    <w:p w14:paraId="74F5A9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имеем ПМП-3, ПМП-6 (ПМП-7, ОПТ-1, КПТ-4, КПТ-5 и др.</w:t>
      </w:r>
    </w:p>
    <w:p w14:paraId="0F7535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опытных самолетах, как правило, каждый конструктор устанавливает свой прицел, изготовленный по его заказу или приспосабливает существующий под свою конструкцию. Например:</w:t>
      </w:r>
    </w:p>
    <w:p w14:paraId="1E85BB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самолете СПБ под люковую установку сделан сложный оптический прицел по заказу завода N 22. Кроме него завод N 32 сделал новую установку с новым прицелом.</w:t>
      </w:r>
    </w:p>
    <w:p w14:paraId="0B778B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Крепление прицела ОПТ-1 на самолете ДБ-3 (СУ) совершенно отличное от крепления на самолете N 360.</w:t>
      </w:r>
    </w:p>
    <w:p w14:paraId="0428B6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самолетах ДС-215, Ю-88 и Не-III установлен один и тот же электросбрасыватель, -14.</w:t>
      </w:r>
    </w:p>
    <w:p w14:paraId="28FBE9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имеем 6 образцов электросбрасывателей (ЭСБР-1, 2, 3, 5, 6, 7. Последние два только недавно прошли испытания.</w:t>
      </w:r>
    </w:p>
    <w:p w14:paraId="632FC8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Тоже самое в отношении механических сбрасывателей. Немцы имеют простейшие аварийные сбрасыватели для одновременного сбрасывания всех бомб.</w:t>
      </w:r>
    </w:p>
    <w:p w14:paraId="3B35C7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нас почти на каждой опытной машине устанавливается "универсальный" сбрасыватель своей конструкции или переделываются на свой лад существующие АСБР-ы.</w:t>
      </w:r>
    </w:p>
    <w:p w14:paraId="193300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w:t>
      </w:r>
    </w:p>
    <w:p w14:paraId="54B150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вооружение у нас принято около 58 образцов бомб разного калибра и разного назначения.</w:t>
      </w:r>
    </w:p>
    <w:p w14:paraId="317563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Одних только 60 - кг бомб мы имеем 8 образцов (ФАБ-50 сварная, ФАБ-50м5, ФАБ-50м6, ФАБ-50м7, ФАБ-50м8, ФАБ-50 с короб. стабилизатором, ФАБ-50 укороченная).</w:t>
      </w:r>
    </w:p>
    <w:p w14:paraId="7F7D94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Осколочных АО-8 - 5 образцов.</w:t>
      </w:r>
    </w:p>
    <w:p w14:paraId="0FC441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правило, каждый калибр имеет 2-4 образца. При чем каждый образец имеет равные габариты, для них нужно рассчитывать специальные установки.</w:t>
      </w:r>
    </w:p>
    <w:p w14:paraId="7701FD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приведенных данных совершенно очевидно, что надо пересмотреть перечень необходимых бомб, устранив многотипность однородных калибров и число самих калибров. Например мы имеем 8, 10, 15, 20 и 25 кг осколочные бомбы, надо продумать и нам, кажется, что вполне можно сократить 10 и 20 кг бомбы, либо 8-15 и 25 кг.</w:t>
      </w:r>
    </w:p>
    <w:p w14:paraId="226F91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всех немецких истребительных самолетах кронштейны крепления пулеметов и пушек однотипные - стандартные.</w:t>
      </w:r>
    </w:p>
    <w:p w14:paraId="2D29E5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Надо заняться стандартизацией бомбардировочного и стрелкового вооружения, т.к. на каждый опытный самолет устанавливаются свои новые агрегаты вооружения, что ведет к удлинению срока постройки самолетов и к лишнему расходу государственных средств.</w:t>
      </w:r>
    </w:p>
    <w:p w14:paraId="3B49B1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разработать стандарты стрелково-пушечных и бомбардировочных установок и обязать конструкторов придерживаться только данных стандартов, а не конструировать новые агрегаты вооружения применительно к своему самолету.</w:t>
      </w:r>
    </w:p>
    <w:p w14:paraId="151D51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Новые, более усовершенствованные агрегаты вводить в производство только после внесения их в списки стандартов. Снабдить списками стандартов всех заинтересованных лиц и учреждения.</w:t>
      </w:r>
    </w:p>
    <w:p w14:paraId="20D12C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Хорошее качество электрооборудования стрелково-пушечных и бомбардировочных установок и безотказность работы контактных соединений.</w:t>
      </w:r>
    </w:p>
    <w:p w14:paraId="13AB18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Нам необходимо поставить вопрос перед электропромышленностью о повышении качества агрегатов электрооборудования и, в частности, производить розетки для стрелково-пушечных и бомбардировочных установок по типу немецких и отказаться от вилочных соединений в виде разрезных стержней, так как последние при тряске разгибаются, что приводит к правильному размыканию электроцепи и отказам в работе.</w:t>
      </w:r>
    </w:p>
    <w:p w14:paraId="25D5D1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учебно-тренировочным самолетам говорить много не приходится, так как все основные моменты целиком и полностью отражены в докладе по другим самолетам.</w:t>
      </w:r>
    </w:p>
    <w:p w14:paraId="16D091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Здесь надо подчеркнуть только основную особенность, которая заключается в том, что созданные ими учебные самолеты дают возможность полной отработки боевого применения на учебном самолете, чего у нас нет. У нас в школах приходится обучать на боевых самолетах.</w:t>
      </w:r>
    </w:p>
    <w:p w14:paraId="5A69BC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всех самолетах широко применяется электрон, что позволяет сделать более или менее легкий самолет. Освоение АИСТ"а показывает, что отсутствие электрона у нас и за счет более тяжелого мотора МВ-1 уже по предварительным данным утяжелит самолет не менее как на 100 кг и, в результате можем нужного нам связного самолета не получить.</w:t>
      </w:r>
    </w:p>
    <w:p w14:paraId="256BAA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Вот это в основном все, что я имел доложить (2535,12).</w:t>
      </w:r>
    </w:p>
    <w:p w14:paraId="2E66A68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D2D3D9"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июля 1940 г. была Докладная записка наркома обороны СССР С. К. Тимошенко и начальника Генерального штаба Красной армии Б. М. Шапошникова И. В. Сталину, председателю СНК СССР В. М. Молотову, председателю Комитета обороны при СНК СССР К. Е. Ворошилову о потребностях ВВС Красной армии в боевых самолетах, с просьбой перевести авиационную промышленность на положение военного времени</w:t>
      </w:r>
    </w:p>
    <w:p w14:paraId="3815F8B6"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настоящее время в Комитете Обороны приступили к разра</w:t>
      </w:r>
      <w:r w:rsidRPr="00DB5D0D">
        <w:rPr>
          <w:rFonts w:ascii="Times New Roman" w:hAnsi="Times New Roman"/>
          <w:color w:val="0070C0"/>
          <w:sz w:val="16"/>
          <w:szCs w:val="16"/>
        </w:rPr>
        <w:softHyphen/>
        <w:t>ботке мобилизационного плана авиационной промышленности по заявке НКО на 1940/41 военныи год.</w:t>
      </w:r>
    </w:p>
    <w:p w14:paraId="3DF31F88"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1940 год фактически разработанного мобплана авиации в промышленности нет.</w:t>
      </w:r>
    </w:p>
    <w:p w14:paraId="330D6DD6"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связи с этим пока остается действующим мобплан (МП-1), утвержденный Правительством в июне 1939 года на 2-ю половину 1239 года.</w:t>
      </w:r>
    </w:p>
    <w:p w14:paraId="253B84E2"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Согласно этого мобплана НКО при объявлении войны может по</w:t>
      </w:r>
      <w:r w:rsidRPr="00DB5D0D">
        <w:rPr>
          <w:rFonts w:ascii="Times New Roman" w:hAnsi="Times New Roman"/>
          <w:color w:val="0070C0"/>
          <w:sz w:val="16"/>
          <w:szCs w:val="16"/>
        </w:rPr>
        <w:softHyphen/>
        <w:t>лучить от промышленности следующее количество самолетов:</w:t>
      </w:r>
    </w:p>
    <w:p w14:paraId="77659948"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Бомбардировщиков - 2440</w:t>
      </w:r>
    </w:p>
    <w:p w14:paraId="0FB64E6E"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Истребителей - 2965</w:t>
      </w:r>
    </w:p>
    <w:p w14:paraId="5FEB7B65"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Разведчиков - 185</w:t>
      </w:r>
    </w:p>
    <w:p w14:paraId="67E9BCB0"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ИТОГО боевых - 5590</w:t>
      </w:r>
    </w:p>
    <w:p w14:paraId="0CF89477"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Транспортных - 40</w:t>
      </w:r>
    </w:p>
    <w:p w14:paraId="37645B9E"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Учебно-тренировоч</w:t>
      </w:r>
      <w:r w:rsidRPr="00DB5D0D">
        <w:rPr>
          <w:rFonts w:ascii="Times New Roman" w:hAnsi="Times New Roman"/>
          <w:color w:val="0070C0"/>
          <w:sz w:val="16"/>
          <w:szCs w:val="16"/>
        </w:rPr>
        <w:softHyphen/>
        <w:t>ных - 1625</w:t>
      </w:r>
    </w:p>
    <w:p w14:paraId="201B93B1"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ВСЕГО самолетов: - 7255</w:t>
      </w:r>
    </w:p>
    <w:p w14:paraId="5CFDB83A"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Как установлено опитом, такая подача на военный период совершенно не обеспечит не только покрытие боевой убыли боевого состава, но и не даст возможности доукомплектовать имеющийся в настоящее время некомплект и новые ормероприятия, намечаемые на 1940-1941 г.р.</w:t>
      </w:r>
    </w:p>
    <w:p w14:paraId="0C917B7D"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подсчету Генштаба и ГУВВС КА по схеме мобилизационного развертывания 1938 г. требовалось только на восстановление убыли на год воГ(Ны 23.350 самолетов, из них:</w:t>
      </w:r>
    </w:p>
    <w:p w14:paraId="443B2BE6"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fldChar w:fldCharType="begin"/>
      </w:r>
      <w:r w:rsidRPr="00DB5D0D">
        <w:rPr>
          <w:rFonts w:ascii="Times New Roman" w:hAnsi="Times New Roman"/>
          <w:color w:val="0070C0"/>
          <w:sz w:val="16"/>
          <w:szCs w:val="16"/>
        </w:rPr>
        <w:instrText xml:space="preserve"> TOC \o "1-5" \h \z </w:instrText>
      </w:r>
      <w:r w:rsidRPr="00DB5D0D">
        <w:rPr>
          <w:rFonts w:ascii="Times New Roman" w:hAnsi="Times New Roman"/>
          <w:color w:val="0070C0"/>
          <w:sz w:val="16"/>
          <w:szCs w:val="16"/>
        </w:rPr>
        <w:fldChar w:fldCharType="separate"/>
      </w:r>
      <w:r w:rsidRPr="00DB5D0D">
        <w:rPr>
          <w:rFonts w:ascii="Times New Roman" w:hAnsi="Times New Roman"/>
          <w:color w:val="0070C0"/>
          <w:sz w:val="16"/>
          <w:szCs w:val="16"/>
        </w:rPr>
        <w:t>дальних бомбардировщиков - 3.500</w:t>
      </w:r>
    </w:p>
    <w:p w14:paraId="2D0FE6F4"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ближних бомбардировщиков - 6.270</w:t>
      </w:r>
    </w:p>
    <w:p w14:paraId="561BF4A8"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штурмовиков </w:t>
      </w:r>
      <w:r w:rsidRPr="00DB5D0D">
        <w:rPr>
          <w:rFonts w:ascii="Times New Roman" w:hAnsi="Times New Roman"/>
          <w:color w:val="0070C0"/>
          <w:sz w:val="16"/>
          <w:szCs w:val="16"/>
        </w:rPr>
        <w:tab/>
        <w:t xml:space="preserve"> -</w:t>
      </w:r>
      <w:r w:rsidRPr="00DB5D0D">
        <w:rPr>
          <w:rFonts w:ascii="Times New Roman" w:hAnsi="Times New Roman"/>
          <w:color w:val="0070C0"/>
          <w:sz w:val="16"/>
          <w:szCs w:val="16"/>
        </w:rPr>
        <w:tab/>
        <w:t>2.530</w:t>
      </w:r>
    </w:p>
    <w:p w14:paraId="0985BEF4"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истребителей </w:t>
      </w:r>
      <w:r w:rsidRPr="00DB5D0D">
        <w:rPr>
          <w:rFonts w:ascii="Times New Roman" w:hAnsi="Times New Roman"/>
          <w:color w:val="0070C0"/>
          <w:sz w:val="16"/>
          <w:szCs w:val="16"/>
        </w:rPr>
        <w:tab/>
        <w:t xml:space="preserve"> -</w:t>
      </w:r>
      <w:r w:rsidRPr="00DB5D0D">
        <w:rPr>
          <w:rFonts w:ascii="Times New Roman" w:hAnsi="Times New Roman"/>
          <w:color w:val="0070C0"/>
          <w:sz w:val="16"/>
          <w:szCs w:val="16"/>
        </w:rPr>
        <w:tab/>
        <w:t>9.200</w:t>
      </w:r>
    </w:p>
    <w:p w14:paraId="6AFB5C06"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разведчиков </w:t>
      </w:r>
      <w:r w:rsidRPr="00DB5D0D">
        <w:rPr>
          <w:rFonts w:ascii="Times New Roman" w:hAnsi="Times New Roman"/>
          <w:color w:val="0070C0"/>
          <w:sz w:val="16"/>
          <w:szCs w:val="16"/>
        </w:rPr>
        <w:tab/>
        <w:t xml:space="preserve"> -</w:t>
      </w:r>
      <w:r w:rsidRPr="00DB5D0D">
        <w:rPr>
          <w:rFonts w:ascii="Times New Roman" w:hAnsi="Times New Roman"/>
          <w:color w:val="0070C0"/>
          <w:sz w:val="16"/>
          <w:szCs w:val="16"/>
        </w:rPr>
        <w:tab/>
        <w:t>1.850</w:t>
      </w:r>
      <w:r w:rsidRPr="00DB5D0D">
        <w:rPr>
          <w:rFonts w:ascii="Times New Roman" w:hAnsi="Times New Roman"/>
          <w:color w:val="0070C0"/>
          <w:sz w:val="16"/>
          <w:szCs w:val="16"/>
        </w:rPr>
        <w:fldChar w:fldCharType="end"/>
      </w:r>
    </w:p>
    <w:p w14:paraId="480633A9"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ВСЕГО боевых:</w:t>
      </w:r>
      <w:r w:rsidRPr="00DB5D0D">
        <w:rPr>
          <w:rFonts w:ascii="Times New Roman" w:hAnsi="Times New Roman"/>
          <w:color w:val="0070C0"/>
          <w:sz w:val="16"/>
          <w:szCs w:val="16"/>
        </w:rPr>
        <w:tab/>
        <w:t>-</w:t>
      </w:r>
      <w:r w:rsidRPr="00DB5D0D">
        <w:rPr>
          <w:rFonts w:ascii="Times New Roman" w:hAnsi="Times New Roman"/>
          <w:color w:val="0070C0"/>
          <w:sz w:val="16"/>
          <w:szCs w:val="16"/>
        </w:rPr>
        <w:tab/>
        <w:t>23.350</w:t>
      </w:r>
    </w:p>
    <w:p w14:paraId="30F8C060"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Это количество для подачи и было утверждено К.О. 28.1У- 1938г. № 73сс, но впоследствии, после проработки Военно-Промншленной Комиссией К.О, вместе с промышленностью, означенная по</w:t>
      </w:r>
      <w:r w:rsidRPr="00DB5D0D">
        <w:rPr>
          <w:rFonts w:ascii="Times New Roman" w:hAnsi="Times New Roman"/>
          <w:color w:val="0070C0"/>
          <w:sz w:val="16"/>
          <w:szCs w:val="16"/>
        </w:rPr>
        <w:softHyphen/>
        <w:t>дача была определена только на полгода и в количестве 7.255 са</w:t>
      </w:r>
      <w:r w:rsidRPr="00DB5D0D">
        <w:rPr>
          <w:rFonts w:ascii="Times New Roman" w:hAnsi="Times New Roman"/>
          <w:color w:val="0070C0"/>
          <w:sz w:val="16"/>
          <w:szCs w:val="16"/>
        </w:rPr>
        <w:softHyphen/>
        <w:t>молетов, из них боевых - 5.590 штук.</w:t>
      </w:r>
    </w:p>
    <w:p w14:paraId="51F8DE84"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настоящее время положение в смысле обеспечения ВВС КА самолетами представляется в следующем виде:</w:t>
      </w:r>
    </w:p>
    <w:p w14:paraId="537D5E45"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Положено боевых самолетов в строю </w:t>
      </w:r>
      <w:r w:rsidRPr="00DB5D0D">
        <w:rPr>
          <w:rFonts w:ascii="Times New Roman" w:hAnsi="Times New Roman"/>
          <w:color w:val="0070C0"/>
          <w:sz w:val="16"/>
          <w:szCs w:val="16"/>
        </w:rPr>
        <w:tab/>
        <w:t xml:space="preserve"> -</w:t>
      </w:r>
      <w:r w:rsidRPr="00DB5D0D">
        <w:rPr>
          <w:rFonts w:ascii="Times New Roman" w:hAnsi="Times New Roman"/>
          <w:color w:val="0070C0"/>
          <w:sz w:val="16"/>
          <w:szCs w:val="16"/>
        </w:rPr>
        <w:tab/>
        <w:t>12.525 шт.</w:t>
      </w:r>
    </w:p>
    <w:p w14:paraId="0B9661A0"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Положено в резерв </w:t>
      </w:r>
      <w:r w:rsidRPr="00DB5D0D">
        <w:rPr>
          <w:rFonts w:ascii="Times New Roman" w:hAnsi="Times New Roman"/>
          <w:color w:val="0070C0"/>
          <w:sz w:val="16"/>
          <w:szCs w:val="16"/>
        </w:rPr>
        <w:tab/>
        <w:t xml:space="preserve"> -</w:t>
      </w:r>
      <w:r w:rsidRPr="00DB5D0D">
        <w:rPr>
          <w:rFonts w:ascii="Times New Roman" w:hAnsi="Times New Roman"/>
          <w:color w:val="0070C0"/>
          <w:sz w:val="16"/>
          <w:szCs w:val="16"/>
        </w:rPr>
        <w:tab/>
        <w:t>3.404 шт.</w:t>
      </w:r>
    </w:p>
    <w:p w14:paraId="232BE176"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Всего положено по мобразвертыванию </w:t>
      </w:r>
      <w:r w:rsidRPr="00DB5D0D">
        <w:rPr>
          <w:rFonts w:ascii="Times New Roman" w:hAnsi="Times New Roman"/>
          <w:color w:val="0070C0"/>
          <w:sz w:val="16"/>
          <w:szCs w:val="16"/>
        </w:rPr>
        <w:tab/>
        <w:t xml:space="preserve"> -</w:t>
      </w:r>
      <w:r w:rsidRPr="00DB5D0D">
        <w:rPr>
          <w:rFonts w:ascii="Times New Roman" w:hAnsi="Times New Roman"/>
          <w:color w:val="0070C0"/>
          <w:sz w:val="16"/>
          <w:szCs w:val="16"/>
        </w:rPr>
        <w:tab/>
        <w:t>15.929 шт.</w:t>
      </w:r>
    </w:p>
    <w:p w14:paraId="65753765"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fldChar w:fldCharType="begin"/>
      </w:r>
      <w:r w:rsidRPr="00DB5D0D">
        <w:rPr>
          <w:rFonts w:ascii="Times New Roman" w:hAnsi="Times New Roman"/>
          <w:color w:val="0070C0"/>
          <w:sz w:val="16"/>
          <w:szCs w:val="16"/>
        </w:rPr>
        <w:instrText xml:space="preserve"> TOC \o "1-5" \h \z </w:instrText>
      </w:r>
      <w:r w:rsidRPr="00DB5D0D">
        <w:rPr>
          <w:rFonts w:ascii="Times New Roman" w:hAnsi="Times New Roman"/>
          <w:color w:val="0070C0"/>
          <w:sz w:val="16"/>
          <w:szCs w:val="16"/>
        </w:rPr>
        <w:fldChar w:fldCharType="separate"/>
      </w:r>
      <w:r w:rsidRPr="00DB5D0D">
        <w:rPr>
          <w:rFonts w:ascii="Times New Roman" w:hAnsi="Times New Roman"/>
          <w:color w:val="0070C0"/>
          <w:sz w:val="16"/>
          <w:szCs w:val="16"/>
        </w:rPr>
        <w:t xml:space="preserve">из них; бомбардировщиков </w:t>
      </w:r>
      <w:r w:rsidRPr="00DB5D0D">
        <w:rPr>
          <w:rFonts w:ascii="Times New Roman" w:hAnsi="Times New Roman"/>
          <w:color w:val="0070C0"/>
          <w:sz w:val="16"/>
          <w:szCs w:val="16"/>
        </w:rPr>
        <w:tab/>
        <w:t>-</w:t>
      </w:r>
      <w:r w:rsidRPr="00DB5D0D">
        <w:rPr>
          <w:rFonts w:ascii="Times New Roman" w:hAnsi="Times New Roman"/>
          <w:color w:val="0070C0"/>
          <w:sz w:val="16"/>
          <w:szCs w:val="16"/>
        </w:rPr>
        <w:tab/>
        <w:t>7.815</w:t>
      </w:r>
    </w:p>
    <w:p w14:paraId="5CDAFB20"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и разведчиков </w:t>
      </w:r>
      <w:r w:rsidRPr="00DB5D0D">
        <w:rPr>
          <w:rFonts w:ascii="Times New Roman" w:hAnsi="Times New Roman"/>
          <w:color w:val="0070C0"/>
          <w:sz w:val="16"/>
          <w:szCs w:val="16"/>
        </w:rPr>
        <w:tab/>
      </w:r>
    </w:p>
    <w:p w14:paraId="57E0E7DF"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истребителей и итурмовиков </w:t>
      </w:r>
      <w:r w:rsidRPr="00DB5D0D">
        <w:rPr>
          <w:rFonts w:ascii="Times New Roman" w:hAnsi="Times New Roman"/>
          <w:color w:val="0070C0"/>
          <w:sz w:val="16"/>
          <w:szCs w:val="16"/>
        </w:rPr>
        <w:tab/>
        <w:t>-</w:t>
      </w:r>
      <w:r w:rsidRPr="00DB5D0D">
        <w:rPr>
          <w:rFonts w:ascii="Times New Roman" w:hAnsi="Times New Roman"/>
          <w:color w:val="0070C0"/>
          <w:sz w:val="16"/>
          <w:szCs w:val="16"/>
        </w:rPr>
        <w:tab/>
        <w:t>8.114</w:t>
      </w:r>
      <w:r w:rsidRPr="00DB5D0D">
        <w:rPr>
          <w:rFonts w:ascii="Times New Roman" w:hAnsi="Times New Roman"/>
          <w:color w:val="0070C0"/>
          <w:sz w:val="16"/>
          <w:szCs w:val="16"/>
        </w:rPr>
        <w:fldChar w:fldCharType="end"/>
      </w:r>
    </w:p>
    <w:p w14:paraId="6A2C2968"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Фактическое наличие боевых самолетов в строю на 1 июля 1940 года </w:t>
      </w:r>
      <w:r w:rsidRPr="00DB5D0D">
        <w:rPr>
          <w:rFonts w:ascii="Times New Roman" w:hAnsi="Times New Roman"/>
          <w:color w:val="0070C0"/>
          <w:sz w:val="16"/>
          <w:szCs w:val="16"/>
        </w:rPr>
        <w:tab/>
        <w:t xml:space="preserve"> - 11.460 штук,</w:t>
      </w:r>
    </w:p>
    <w:p w14:paraId="3B3D5AFD"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 них:</w:t>
      </w:r>
    </w:p>
    <w:p w14:paraId="3BD87E71"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бомбардировщиков и разведчиков (ДБЗ, СБ, ББ-1, ББ-22)</w:t>
      </w:r>
      <w:r w:rsidRPr="00DB5D0D">
        <w:rPr>
          <w:rFonts w:ascii="Times New Roman" w:hAnsi="Times New Roman"/>
          <w:color w:val="0070C0"/>
          <w:sz w:val="16"/>
          <w:szCs w:val="16"/>
        </w:rPr>
        <w:tab/>
        <w:t>- 5.011</w:t>
      </w:r>
    </w:p>
    <w:p w14:paraId="7B77896B"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Истребителей штурмовиков (И-16, И-153 и И-15)</w:t>
      </w:r>
      <w:r w:rsidRPr="00DB5D0D">
        <w:rPr>
          <w:rFonts w:ascii="Times New Roman" w:hAnsi="Times New Roman"/>
          <w:color w:val="0070C0"/>
          <w:sz w:val="16"/>
          <w:szCs w:val="16"/>
        </w:rPr>
        <w:tab/>
        <w:t>- 6.449</w:t>
      </w:r>
    </w:p>
    <w:p w14:paraId="33DFBBF1"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Кроме того, для начала развертывания намеченных к фор</w:t>
      </w:r>
      <w:r w:rsidRPr="00DB5D0D">
        <w:rPr>
          <w:rFonts w:ascii="Times New Roman" w:hAnsi="Times New Roman"/>
          <w:color w:val="0070C0"/>
          <w:sz w:val="16"/>
          <w:szCs w:val="16"/>
        </w:rPr>
        <w:softHyphen/>
        <w:t>мированию в 1940 г. 30-ти бомбардировочных полков и 18-ти истребительных, требуется получить в этом году 2.994 само</w:t>
      </w:r>
      <w:r w:rsidRPr="00DB5D0D">
        <w:rPr>
          <w:rFonts w:ascii="Times New Roman" w:hAnsi="Times New Roman"/>
          <w:color w:val="0070C0"/>
          <w:sz w:val="16"/>
          <w:szCs w:val="16"/>
        </w:rPr>
        <w:softHyphen/>
        <w:t>лета. Из них:</w:t>
      </w:r>
    </w:p>
    <w:p w14:paraId="2939DFF3"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fldChar w:fldCharType="begin"/>
      </w:r>
      <w:r w:rsidRPr="00DB5D0D">
        <w:rPr>
          <w:rFonts w:ascii="Times New Roman" w:hAnsi="Times New Roman"/>
          <w:color w:val="0070C0"/>
          <w:sz w:val="16"/>
          <w:szCs w:val="16"/>
        </w:rPr>
        <w:instrText xml:space="preserve"> TOC \o "1-5" \h \z </w:instrText>
      </w:r>
      <w:r w:rsidRPr="00DB5D0D">
        <w:rPr>
          <w:rFonts w:ascii="Times New Roman" w:hAnsi="Times New Roman"/>
          <w:color w:val="0070C0"/>
          <w:sz w:val="16"/>
          <w:szCs w:val="16"/>
        </w:rPr>
        <w:fldChar w:fldCharType="separate"/>
      </w:r>
      <w:r w:rsidRPr="00DB5D0D">
        <w:rPr>
          <w:rFonts w:ascii="Times New Roman" w:hAnsi="Times New Roman"/>
          <w:color w:val="0070C0"/>
          <w:sz w:val="16"/>
          <w:szCs w:val="16"/>
        </w:rPr>
        <w:t>Бомбардировщиков</w:t>
      </w:r>
      <w:r w:rsidRPr="00DB5D0D">
        <w:rPr>
          <w:rFonts w:ascii="Times New Roman" w:hAnsi="Times New Roman"/>
          <w:color w:val="0070C0"/>
          <w:sz w:val="16"/>
          <w:szCs w:val="16"/>
        </w:rPr>
        <w:tab/>
        <w:t>-</w:t>
      </w:r>
      <w:r w:rsidRPr="00DB5D0D">
        <w:rPr>
          <w:rFonts w:ascii="Times New Roman" w:hAnsi="Times New Roman"/>
          <w:color w:val="0070C0"/>
          <w:sz w:val="16"/>
          <w:szCs w:val="16"/>
        </w:rPr>
        <w:tab/>
        <w:t>1.880</w:t>
      </w:r>
    </w:p>
    <w:p w14:paraId="2C512720"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Истребителей</w:t>
      </w:r>
      <w:r w:rsidRPr="00DB5D0D">
        <w:rPr>
          <w:rFonts w:ascii="Times New Roman" w:hAnsi="Times New Roman"/>
          <w:color w:val="0070C0"/>
          <w:sz w:val="16"/>
          <w:szCs w:val="16"/>
        </w:rPr>
        <w:tab/>
        <w:t>-</w:t>
      </w:r>
      <w:r w:rsidRPr="00DB5D0D">
        <w:rPr>
          <w:rFonts w:ascii="Times New Roman" w:hAnsi="Times New Roman"/>
          <w:color w:val="0070C0"/>
          <w:sz w:val="16"/>
          <w:szCs w:val="16"/>
        </w:rPr>
        <w:tab/>
        <w:t>1.134</w:t>
      </w:r>
    </w:p>
    <w:p w14:paraId="4056B2CB"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перевооружения старой материальной части - 1.859 самолетов:</w:t>
      </w:r>
    </w:p>
    <w:p w14:paraId="5915EA1D"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 них:</w:t>
      </w:r>
    </w:p>
    <w:p w14:paraId="38C3489B"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Бомбардировщиков</w:t>
      </w:r>
      <w:r w:rsidRPr="00DB5D0D">
        <w:rPr>
          <w:rFonts w:ascii="Times New Roman" w:hAnsi="Times New Roman"/>
          <w:color w:val="0070C0"/>
          <w:sz w:val="16"/>
          <w:szCs w:val="16"/>
        </w:rPr>
        <w:tab/>
        <w:t>-</w:t>
      </w:r>
      <w:r w:rsidRPr="00DB5D0D">
        <w:rPr>
          <w:rFonts w:ascii="Times New Roman" w:hAnsi="Times New Roman"/>
          <w:color w:val="0070C0"/>
          <w:sz w:val="16"/>
          <w:szCs w:val="16"/>
        </w:rPr>
        <w:tab/>
        <w:t>1.045</w:t>
      </w:r>
    </w:p>
    <w:p w14:paraId="36C535A1"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Истребителей</w:t>
      </w:r>
      <w:r w:rsidRPr="00DB5D0D">
        <w:rPr>
          <w:rFonts w:ascii="Times New Roman" w:hAnsi="Times New Roman"/>
          <w:color w:val="0070C0"/>
          <w:sz w:val="16"/>
          <w:szCs w:val="16"/>
        </w:rPr>
        <w:tab/>
        <w:t>-</w:t>
      </w:r>
      <w:r w:rsidRPr="00DB5D0D">
        <w:rPr>
          <w:rFonts w:ascii="Times New Roman" w:hAnsi="Times New Roman"/>
          <w:color w:val="0070C0"/>
          <w:sz w:val="16"/>
          <w:szCs w:val="16"/>
        </w:rPr>
        <w:tab/>
        <w:t>814</w:t>
      </w:r>
    </w:p>
    <w:p w14:paraId="46A73ABA"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Всего положено на 1940 год по штату с учетом 48 полков нового формирования 17.378 самолетов.</w:t>
      </w:r>
    </w:p>
    <w:p w14:paraId="1884D83A"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Кроме того в резерв</w:t>
      </w:r>
      <w:r w:rsidRPr="00DB5D0D">
        <w:rPr>
          <w:rFonts w:ascii="Times New Roman" w:hAnsi="Times New Roman"/>
          <w:color w:val="0070C0"/>
          <w:sz w:val="16"/>
          <w:szCs w:val="16"/>
        </w:rPr>
        <w:tab/>
        <w:t>-</w:t>
      </w:r>
      <w:r w:rsidRPr="00DB5D0D">
        <w:rPr>
          <w:rFonts w:ascii="Times New Roman" w:hAnsi="Times New Roman"/>
          <w:color w:val="0070C0"/>
          <w:sz w:val="16"/>
          <w:szCs w:val="16"/>
        </w:rPr>
        <w:tab/>
        <w:t>3.404</w:t>
      </w:r>
      <w:r w:rsidRPr="00DB5D0D">
        <w:rPr>
          <w:rFonts w:ascii="Times New Roman" w:hAnsi="Times New Roman"/>
          <w:color w:val="0070C0"/>
          <w:sz w:val="16"/>
          <w:szCs w:val="16"/>
        </w:rPr>
        <w:fldChar w:fldCharType="end"/>
      </w:r>
    </w:p>
    <w:p w14:paraId="3B67D6B4"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Всего</w:t>
      </w:r>
      <w:r w:rsidRPr="00DB5D0D">
        <w:rPr>
          <w:rFonts w:ascii="Times New Roman" w:hAnsi="Times New Roman"/>
          <w:color w:val="0070C0"/>
          <w:sz w:val="16"/>
          <w:szCs w:val="16"/>
        </w:rPr>
        <w:tab/>
        <w:t>-</w:t>
      </w:r>
      <w:r w:rsidRPr="00DB5D0D">
        <w:rPr>
          <w:rFonts w:ascii="Times New Roman" w:hAnsi="Times New Roman"/>
          <w:color w:val="0070C0"/>
          <w:sz w:val="16"/>
          <w:szCs w:val="16"/>
        </w:rPr>
        <w:tab/>
        <w:t>20.782</w:t>
      </w:r>
    </w:p>
    <w:p w14:paraId="19A4829F"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 них:</w:t>
      </w:r>
    </w:p>
    <w:p w14:paraId="5733CF53"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Бомбардировщиков</w:t>
      </w:r>
      <w:r w:rsidRPr="00DB5D0D">
        <w:rPr>
          <w:rFonts w:ascii="Times New Roman" w:hAnsi="Times New Roman"/>
          <w:color w:val="0070C0"/>
          <w:sz w:val="16"/>
          <w:szCs w:val="16"/>
        </w:rPr>
        <w:tab/>
        <w:t>-</w:t>
      </w:r>
      <w:r w:rsidRPr="00DB5D0D">
        <w:rPr>
          <w:rFonts w:ascii="Times New Roman" w:hAnsi="Times New Roman"/>
          <w:color w:val="0070C0"/>
          <w:sz w:val="16"/>
          <w:szCs w:val="16"/>
        </w:rPr>
        <w:tab/>
        <w:t>10.720</w:t>
      </w:r>
    </w:p>
    <w:p w14:paraId="79A57A84"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Истребителей</w:t>
      </w:r>
      <w:r w:rsidRPr="00DB5D0D">
        <w:rPr>
          <w:rFonts w:ascii="Times New Roman" w:hAnsi="Times New Roman"/>
          <w:color w:val="0070C0"/>
          <w:sz w:val="16"/>
          <w:szCs w:val="16"/>
        </w:rPr>
        <w:tab/>
        <w:t>-</w:t>
      </w:r>
      <w:r w:rsidRPr="00DB5D0D">
        <w:rPr>
          <w:rFonts w:ascii="Times New Roman" w:hAnsi="Times New Roman"/>
          <w:color w:val="0070C0"/>
          <w:sz w:val="16"/>
          <w:szCs w:val="16"/>
        </w:rPr>
        <w:tab/>
        <w:t>10.062</w:t>
      </w:r>
    </w:p>
    <w:p w14:paraId="5C5A1236"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Имеется в строю на 1 июля 1940 г.</w:t>
      </w:r>
      <w:r w:rsidRPr="00DB5D0D">
        <w:rPr>
          <w:rFonts w:ascii="Times New Roman" w:hAnsi="Times New Roman"/>
          <w:color w:val="0070C0"/>
          <w:sz w:val="16"/>
          <w:szCs w:val="16"/>
        </w:rPr>
        <w:tab/>
        <w:t>-</w:t>
      </w:r>
      <w:r w:rsidRPr="00DB5D0D">
        <w:rPr>
          <w:rFonts w:ascii="Times New Roman" w:hAnsi="Times New Roman"/>
          <w:color w:val="0070C0"/>
          <w:sz w:val="16"/>
          <w:szCs w:val="16"/>
        </w:rPr>
        <w:tab/>
        <w:t>11.460</w:t>
      </w:r>
      <w:r w:rsidRPr="00DB5D0D">
        <w:rPr>
          <w:rFonts w:ascii="Times New Roman" w:hAnsi="Times New Roman"/>
          <w:color w:val="0070C0"/>
          <w:sz w:val="16"/>
          <w:szCs w:val="16"/>
        </w:rPr>
        <w:tab/>
        <w:t>самолетов.</w:t>
      </w:r>
    </w:p>
    <w:p w14:paraId="06798FFE"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Ожидается поступление за июль 679 самолетов. Из них:</w:t>
      </w:r>
    </w:p>
    <w:p w14:paraId="0095A5BF"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fldChar w:fldCharType="begin"/>
      </w:r>
      <w:r w:rsidRPr="00DB5D0D">
        <w:rPr>
          <w:rFonts w:ascii="Times New Roman" w:hAnsi="Times New Roman"/>
          <w:color w:val="0070C0"/>
          <w:sz w:val="16"/>
          <w:szCs w:val="16"/>
        </w:rPr>
        <w:instrText xml:space="preserve"> TOC \o "1-5" \h \z </w:instrText>
      </w:r>
      <w:r w:rsidRPr="00DB5D0D">
        <w:rPr>
          <w:rFonts w:ascii="Times New Roman" w:hAnsi="Times New Roman"/>
          <w:color w:val="0070C0"/>
          <w:sz w:val="16"/>
          <w:szCs w:val="16"/>
        </w:rPr>
        <w:fldChar w:fldCharType="separate"/>
      </w:r>
      <w:r w:rsidRPr="00DB5D0D">
        <w:rPr>
          <w:rFonts w:ascii="Times New Roman" w:hAnsi="Times New Roman"/>
          <w:color w:val="0070C0"/>
          <w:sz w:val="16"/>
          <w:szCs w:val="16"/>
        </w:rPr>
        <w:t>Истребителей</w:t>
      </w:r>
      <w:r w:rsidRPr="00DB5D0D">
        <w:rPr>
          <w:rFonts w:ascii="Times New Roman" w:hAnsi="Times New Roman"/>
          <w:color w:val="0070C0"/>
          <w:sz w:val="16"/>
          <w:szCs w:val="16"/>
        </w:rPr>
        <w:tab/>
        <w:t>-</w:t>
      </w:r>
      <w:r w:rsidRPr="00DB5D0D">
        <w:rPr>
          <w:rFonts w:ascii="Times New Roman" w:hAnsi="Times New Roman"/>
          <w:color w:val="0070C0"/>
          <w:sz w:val="16"/>
          <w:szCs w:val="16"/>
        </w:rPr>
        <w:tab/>
        <w:t>295</w:t>
      </w:r>
    </w:p>
    <w:p w14:paraId="080432C8"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Бомбардировщиков</w:t>
      </w:r>
      <w:r w:rsidRPr="00DB5D0D">
        <w:rPr>
          <w:rFonts w:ascii="Times New Roman" w:hAnsi="Times New Roman"/>
          <w:color w:val="0070C0"/>
          <w:sz w:val="16"/>
          <w:szCs w:val="16"/>
        </w:rPr>
        <w:tab/>
        <w:t>-</w:t>
      </w:r>
      <w:r w:rsidRPr="00DB5D0D">
        <w:rPr>
          <w:rFonts w:ascii="Times New Roman" w:hAnsi="Times New Roman"/>
          <w:color w:val="0070C0"/>
          <w:sz w:val="16"/>
          <w:szCs w:val="16"/>
        </w:rPr>
        <w:tab/>
        <w:t>384</w:t>
      </w:r>
    </w:p>
    <w:p w14:paraId="241CE472"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Недостает 8.643 самолета.</w:t>
      </w:r>
    </w:p>
    <w:p w14:paraId="0374BAD4"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 них;</w:t>
      </w:r>
    </w:p>
    <w:p w14:paraId="303004D6"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Бомбардировщиков</w:t>
      </w:r>
      <w:r w:rsidRPr="00DB5D0D">
        <w:rPr>
          <w:rFonts w:ascii="Times New Roman" w:hAnsi="Times New Roman"/>
          <w:color w:val="0070C0"/>
          <w:sz w:val="16"/>
          <w:szCs w:val="16"/>
        </w:rPr>
        <w:tab/>
        <w:t>-</w:t>
      </w:r>
      <w:r w:rsidRPr="00DB5D0D">
        <w:rPr>
          <w:rFonts w:ascii="Times New Roman" w:hAnsi="Times New Roman"/>
          <w:color w:val="0070C0"/>
          <w:sz w:val="16"/>
          <w:szCs w:val="16"/>
        </w:rPr>
        <w:tab/>
        <w:t>5.325</w:t>
      </w:r>
    </w:p>
    <w:p w14:paraId="3D364F36"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Истребителей</w:t>
      </w:r>
      <w:r w:rsidRPr="00DB5D0D">
        <w:rPr>
          <w:rFonts w:ascii="Times New Roman" w:hAnsi="Times New Roman"/>
          <w:color w:val="0070C0"/>
          <w:sz w:val="16"/>
          <w:szCs w:val="16"/>
        </w:rPr>
        <w:tab/>
        <w:t>-</w:t>
      </w:r>
      <w:r w:rsidRPr="00DB5D0D">
        <w:rPr>
          <w:rFonts w:ascii="Times New Roman" w:hAnsi="Times New Roman"/>
          <w:color w:val="0070C0"/>
          <w:sz w:val="16"/>
          <w:szCs w:val="16"/>
        </w:rPr>
        <w:tab/>
        <w:t>3.318</w:t>
      </w:r>
      <w:r w:rsidRPr="00DB5D0D">
        <w:rPr>
          <w:rFonts w:ascii="Times New Roman" w:hAnsi="Times New Roman"/>
          <w:color w:val="0070C0"/>
          <w:sz w:val="16"/>
          <w:szCs w:val="16"/>
        </w:rPr>
        <w:fldChar w:fldCharType="end"/>
      </w:r>
    </w:p>
    <w:p w14:paraId="6789950E"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Как видно из приведенных цифровых данных, не представ</w:t>
      </w:r>
      <w:r w:rsidRPr="00DB5D0D">
        <w:rPr>
          <w:rFonts w:ascii="Times New Roman" w:hAnsi="Times New Roman"/>
          <w:color w:val="0070C0"/>
          <w:sz w:val="16"/>
          <w:szCs w:val="16"/>
        </w:rPr>
        <w:softHyphen/>
        <w:t>ляется в настоящее время не только создать установленный на мир</w:t>
      </w:r>
      <w:r w:rsidRPr="00DB5D0D">
        <w:rPr>
          <w:rFonts w:ascii="Times New Roman" w:hAnsi="Times New Roman"/>
          <w:color w:val="0070C0"/>
          <w:sz w:val="16"/>
          <w:szCs w:val="16"/>
        </w:rPr>
        <w:softHyphen/>
        <w:t>ное время резерв самолетов, но и укомплектовать существующий штатный состав и новые мероприятия.</w:t>
      </w:r>
    </w:p>
    <w:p w14:paraId="242838B7"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Таким образом в случае войны наша авиация выступит со значительным некомплектом и учитывая низкую мобилизационную мощность промышленности будет не в состоянии восстанавливать боевые потери.</w:t>
      </w:r>
    </w:p>
    <w:p w14:paraId="36149D45"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Учитывая, что европейские капиталистические государства свою авиапромышленность в основном отмобилизовали и производят перевооружение своих воздушных сил на новую материальную часть и накопляют ее резервы, поэтому мы можем отстать.</w:t>
      </w:r>
    </w:p>
    <w:p w14:paraId="4FE24345"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Исходя из этого считаю необходимым просить Правительство с 1-го августа с.г. авиационную прокнгленяость перевести ня поло</w:t>
      </w:r>
      <w:r w:rsidRPr="00DB5D0D">
        <w:rPr>
          <w:rFonts w:ascii="Times New Roman" w:hAnsi="Times New Roman"/>
          <w:color w:val="0070C0"/>
          <w:sz w:val="16"/>
          <w:szCs w:val="16"/>
        </w:rPr>
        <w:softHyphen/>
        <w:t>жение военного времени, с производством самолетов и моторов по мобграфику, с учетом поставки для НКО до конца 1940 года 8.643 боевых самолета, из которых:</w:t>
      </w:r>
    </w:p>
    <w:p w14:paraId="363B9ACA"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Бомбардировщиков</w:t>
      </w:r>
      <w:r w:rsidRPr="00DB5D0D">
        <w:rPr>
          <w:rFonts w:ascii="Times New Roman" w:hAnsi="Times New Roman"/>
          <w:color w:val="0070C0"/>
          <w:sz w:val="16"/>
          <w:szCs w:val="16"/>
        </w:rPr>
        <w:tab/>
        <w:t>- 5.325</w:t>
      </w:r>
    </w:p>
    <w:p w14:paraId="27AE005D"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Истребителей</w:t>
      </w:r>
      <w:r w:rsidRPr="00DB5D0D">
        <w:rPr>
          <w:rFonts w:ascii="Times New Roman" w:hAnsi="Times New Roman"/>
          <w:color w:val="0070C0"/>
          <w:sz w:val="16"/>
          <w:szCs w:val="16"/>
        </w:rPr>
        <w:tab/>
        <w:t>- 3.318</w:t>
      </w:r>
    </w:p>
    <w:p w14:paraId="5950C67A"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 чем необходимо принять все меры, чтобы возможно боль</w:t>
      </w:r>
      <w:r w:rsidRPr="00DB5D0D">
        <w:rPr>
          <w:rFonts w:ascii="Times New Roman" w:hAnsi="Times New Roman"/>
          <w:color w:val="0070C0"/>
          <w:sz w:val="16"/>
          <w:szCs w:val="16"/>
        </w:rPr>
        <w:softHyphen/>
        <w:t>ше было изготовлено самолетов новых типов.</w:t>
      </w:r>
    </w:p>
    <w:p w14:paraId="0ADB163B"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Предлагаемые мероприятия дадут возможность:</w:t>
      </w:r>
    </w:p>
    <w:p w14:paraId="11F09C18"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обеспечить существующий штатный некомплект; создать некоторый запас самолетов;</w:t>
      </w:r>
    </w:p>
    <w:p w14:paraId="56A10335"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обеспечить начало новых формирований;</w:t>
      </w:r>
    </w:p>
    <w:p w14:paraId="7A04F4D2"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ускорить внедрение в серийное производство новых типов самолетов, а главное - позволит быстро развить мощности про</w:t>
      </w:r>
      <w:r w:rsidRPr="00DB5D0D">
        <w:rPr>
          <w:rFonts w:ascii="Times New Roman" w:hAnsi="Times New Roman"/>
          <w:color w:val="0070C0"/>
          <w:sz w:val="16"/>
          <w:szCs w:val="16"/>
        </w:rPr>
        <w:softHyphen/>
        <w:t>мышленности и тем самым увеличить коэфициент мобилизационных мощностей.</w:t>
      </w:r>
    </w:p>
    <w:p w14:paraId="2B312410" w14:textId="77777777" w:rsidR="00447FFC" w:rsidRPr="00DB5D0D" w:rsidRDefault="00447FF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Прошу Вашего решения (21947).</w:t>
      </w:r>
    </w:p>
    <w:p w14:paraId="17413263" w14:textId="77777777" w:rsidR="00447FFC" w:rsidRPr="00DB5D0D" w:rsidRDefault="00447FFC" w:rsidP="00DB5D0D">
      <w:pPr>
        <w:spacing w:after="0" w:line="240" w:lineRule="auto"/>
        <w:jc w:val="both"/>
        <w:rPr>
          <w:rFonts w:ascii="Times New Roman" w:hAnsi="Times New Roman"/>
          <w:color w:val="0070C0"/>
          <w:sz w:val="16"/>
          <w:szCs w:val="16"/>
        </w:rPr>
      </w:pPr>
    </w:p>
    <w:p w14:paraId="330EAC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Зам. нач. 7 ГУ НКАП С.Шишкин подготовил Ведомость моторов, необходимых для обеспечения выпуска и испытаний опытных самолетов по состоянию на 10 июля 1940 (исх. N 1429 от 27 июля 1940) (2090,124):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61"/>
        <w:gridCol w:w="961"/>
        <w:gridCol w:w="961"/>
        <w:gridCol w:w="961"/>
        <w:gridCol w:w="961"/>
        <w:gridCol w:w="1432"/>
        <w:gridCol w:w="2549"/>
      </w:tblGrid>
      <w:tr w:rsidR="007D5DF8" w:rsidRPr="00DB5D0D" w14:paraId="653A3F07" w14:textId="77777777" w:rsidTr="00E543D0">
        <w:tc>
          <w:tcPr>
            <w:tcW w:w="1809" w:type="dxa"/>
            <w:tcBorders>
              <w:top w:val="single" w:sz="12" w:space="0" w:color="auto"/>
            </w:tcBorders>
          </w:tcPr>
          <w:p w14:paraId="54FCC4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NN, завод,</w:t>
            </w:r>
          </w:p>
        </w:tc>
        <w:tc>
          <w:tcPr>
            <w:tcW w:w="961" w:type="dxa"/>
            <w:tcBorders>
              <w:top w:val="single" w:sz="12" w:space="0" w:color="auto"/>
            </w:tcBorders>
          </w:tcPr>
          <w:p w14:paraId="000D4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w:t>
            </w:r>
          </w:p>
        </w:tc>
        <w:tc>
          <w:tcPr>
            <w:tcW w:w="961" w:type="dxa"/>
            <w:tcBorders>
              <w:top w:val="single" w:sz="12" w:space="0" w:color="auto"/>
            </w:tcBorders>
          </w:tcPr>
          <w:p w14:paraId="176E2C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 и</w:t>
            </w:r>
          </w:p>
        </w:tc>
        <w:tc>
          <w:tcPr>
            <w:tcW w:w="961" w:type="dxa"/>
            <w:tcBorders>
              <w:top w:val="single" w:sz="12" w:space="0" w:color="auto"/>
            </w:tcBorders>
          </w:tcPr>
          <w:p w14:paraId="78AD47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w:t>
            </w:r>
          </w:p>
        </w:tc>
        <w:tc>
          <w:tcPr>
            <w:tcW w:w="961" w:type="dxa"/>
            <w:tcBorders>
              <w:top w:val="single" w:sz="12" w:space="0" w:color="auto"/>
            </w:tcBorders>
          </w:tcPr>
          <w:p w14:paraId="2A8C63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Потребность</w:t>
            </w:r>
          </w:p>
        </w:tc>
        <w:tc>
          <w:tcPr>
            <w:tcW w:w="961" w:type="dxa"/>
            <w:tcBorders>
              <w:top w:val="single" w:sz="12" w:space="0" w:color="auto"/>
            </w:tcBorders>
          </w:tcPr>
          <w:p w14:paraId="66D638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32" w:type="dxa"/>
            <w:tcBorders>
              <w:top w:val="single" w:sz="12" w:space="0" w:color="auto"/>
            </w:tcBorders>
          </w:tcPr>
          <w:p w14:paraId="434FF39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Borders>
              <w:top w:val="single" w:sz="12" w:space="0" w:color="auto"/>
            </w:tcBorders>
          </w:tcPr>
          <w:p w14:paraId="6D40AD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1982CBA7" w14:textId="77777777" w:rsidTr="00E543D0">
        <w:tc>
          <w:tcPr>
            <w:tcW w:w="1809" w:type="dxa"/>
          </w:tcPr>
          <w:p w14:paraId="0690E1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w:t>
            </w:r>
          </w:p>
        </w:tc>
        <w:tc>
          <w:tcPr>
            <w:tcW w:w="961" w:type="dxa"/>
          </w:tcPr>
          <w:p w14:paraId="7F395B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685B0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w:t>
            </w:r>
          </w:p>
        </w:tc>
        <w:tc>
          <w:tcPr>
            <w:tcW w:w="961" w:type="dxa"/>
          </w:tcPr>
          <w:p w14:paraId="61E27D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машины</w:t>
            </w:r>
          </w:p>
        </w:tc>
        <w:tc>
          <w:tcPr>
            <w:tcW w:w="961" w:type="dxa"/>
          </w:tcPr>
          <w:p w14:paraId="48E5F6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w:t>
            </w:r>
          </w:p>
        </w:tc>
        <w:tc>
          <w:tcPr>
            <w:tcW w:w="961" w:type="dxa"/>
          </w:tcPr>
          <w:p w14:paraId="39327F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Летный</w:t>
            </w:r>
          </w:p>
        </w:tc>
        <w:tc>
          <w:tcPr>
            <w:tcW w:w="1432" w:type="dxa"/>
          </w:tcPr>
          <w:p w14:paraId="6162D5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Резерв</w:t>
            </w:r>
          </w:p>
        </w:tc>
        <w:tc>
          <w:tcPr>
            <w:tcW w:w="2549" w:type="dxa"/>
          </w:tcPr>
          <w:p w14:paraId="27AC569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7FB47DE" w14:textId="77777777" w:rsidTr="00E543D0">
        <w:tc>
          <w:tcPr>
            <w:tcW w:w="1809" w:type="dxa"/>
          </w:tcPr>
          <w:p w14:paraId="49CB959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2237A0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B272A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мотора</w:t>
            </w:r>
          </w:p>
        </w:tc>
        <w:tc>
          <w:tcPr>
            <w:tcW w:w="961" w:type="dxa"/>
          </w:tcPr>
          <w:p w14:paraId="38918E6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30FC9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w:t>
            </w:r>
          </w:p>
        </w:tc>
        <w:tc>
          <w:tcPr>
            <w:tcW w:w="961" w:type="dxa"/>
          </w:tcPr>
          <w:p w14:paraId="4FA398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w:t>
            </w:r>
          </w:p>
        </w:tc>
        <w:tc>
          <w:tcPr>
            <w:tcW w:w="1432" w:type="dxa"/>
          </w:tcPr>
          <w:p w14:paraId="522627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w:t>
            </w:r>
          </w:p>
        </w:tc>
        <w:tc>
          <w:tcPr>
            <w:tcW w:w="2549" w:type="dxa"/>
          </w:tcPr>
          <w:p w14:paraId="1CC8373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14AB5CE" w14:textId="77777777" w:rsidTr="00E543D0">
        <w:tc>
          <w:tcPr>
            <w:tcW w:w="1809" w:type="dxa"/>
          </w:tcPr>
          <w:p w14:paraId="0E00F86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646385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EEC794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0F4CB6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A2BA3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w:t>
            </w:r>
          </w:p>
        </w:tc>
        <w:tc>
          <w:tcPr>
            <w:tcW w:w="961" w:type="dxa"/>
          </w:tcPr>
          <w:p w14:paraId="371FEC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w:t>
            </w:r>
          </w:p>
        </w:tc>
        <w:tc>
          <w:tcPr>
            <w:tcW w:w="1432" w:type="dxa"/>
          </w:tcPr>
          <w:p w14:paraId="5EB1C4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w:t>
            </w:r>
          </w:p>
        </w:tc>
        <w:tc>
          <w:tcPr>
            <w:tcW w:w="2549" w:type="dxa"/>
          </w:tcPr>
          <w:p w14:paraId="64C0535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0DD1482" w14:textId="77777777" w:rsidTr="00E543D0">
        <w:tc>
          <w:tcPr>
            <w:tcW w:w="1809" w:type="dxa"/>
          </w:tcPr>
          <w:p w14:paraId="6A2D81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1, Н.Н.П</w:t>
            </w:r>
          </w:p>
        </w:tc>
        <w:tc>
          <w:tcPr>
            <w:tcW w:w="961" w:type="dxa"/>
          </w:tcPr>
          <w:p w14:paraId="6EC6E6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w:t>
            </w:r>
          </w:p>
        </w:tc>
        <w:tc>
          <w:tcPr>
            <w:tcW w:w="961" w:type="dxa"/>
          </w:tcPr>
          <w:p w14:paraId="5F7EFF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1/М-88Р</w:t>
            </w:r>
          </w:p>
        </w:tc>
        <w:tc>
          <w:tcPr>
            <w:tcW w:w="961" w:type="dxa"/>
          </w:tcPr>
          <w:p w14:paraId="261EB8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w:t>
            </w:r>
          </w:p>
        </w:tc>
        <w:tc>
          <w:tcPr>
            <w:tcW w:w="961" w:type="dxa"/>
          </w:tcPr>
          <w:p w14:paraId="03A1EF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66BB8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1D925A1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129749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r>
      <w:tr w:rsidR="007D5DF8" w:rsidRPr="00DB5D0D" w14:paraId="14BAA083" w14:textId="77777777" w:rsidTr="00E543D0">
        <w:tc>
          <w:tcPr>
            <w:tcW w:w="1809" w:type="dxa"/>
          </w:tcPr>
          <w:p w14:paraId="4C68AE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7068D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w:t>
            </w:r>
          </w:p>
        </w:tc>
        <w:tc>
          <w:tcPr>
            <w:tcW w:w="961" w:type="dxa"/>
          </w:tcPr>
          <w:p w14:paraId="01693C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1/М-88Р</w:t>
            </w:r>
          </w:p>
        </w:tc>
        <w:tc>
          <w:tcPr>
            <w:tcW w:w="961" w:type="dxa"/>
          </w:tcPr>
          <w:p w14:paraId="3D435B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5C2315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48FFFC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1F7643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1/01.08.40</w:t>
            </w:r>
          </w:p>
        </w:tc>
        <w:tc>
          <w:tcPr>
            <w:tcW w:w="2549" w:type="dxa"/>
          </w:tcPr>
          <w:p w14:paraId="171827C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B503CC" w14:textId="77777777" w:rsidTr="00E543D0">
        <w:tc>
          <w:tcPr>
            <w:tcW w:w="1809" w:type="dxa"/>
          </w:tcPr>
          <w:p w14:paraId="56AC834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33606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И-185</w:t>
            </w:r>
          </w:p>
        </w:tc>
        <w:tc>
          <w:tcPr>
            <w:tcW w:w="961" w:type="dxa"/>
          </w:tcPr>
          <w:p w14:paraId="3A9B9B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1/М-90</w:t>
            </w:r>
          </w:p>
        </w:tc>
        <w:tc>
          <w:tcPr>
            <w:tcW w:w="961" w:type="dxa"/>
          </w:tcPr>
          <w:p w14:paraId="7EA753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743990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961" w:type="dxa"/>
          </w:tcPr>
          <w:p w14:paraId="5F707A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1/сейчас</w:t>
            </w:r>
          </w:p>
        </w:tc>
        <w:tc>
          <w:tcPr>
            <w:tcW w:w="1432" w:type="dxa"/>
          </w:tcPr>
          <w:p w14:paraId="7906C4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1/01.08.40</w:t>
            </w:r>
          </w:p>
        </w:tc>
        <w:tc>
          <w:tcPr>
            <w:tcW w:w="2549" w:type="dxa"/>
          </w:tcPr>
          <w:p w14:paraId="13A1A7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Нужен 1 для испытаний в трубе</w:t>
            </w:r>
          </w:p>
        </w:tc>
      </w:tr>
      <w:tr w:rsidR="007D5DF8" w:rsidRPr="00DB5D0D" w14:paraId="3733598A" w14:textId="77777777" w:rsidTr="00E543D0">
        <w:tc>
          <w:tcPr>
            <w:tcW w:w="1809" w:type="dxa"/>
          </w:tcPr>
          <w:p w14:paraId="2A5F7FE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2CB99B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И-185</w:t>
            </w:r>
          </w:p>
        </w:tc>
        <w:tc>
          <w:tcPr>
            <w:tcW w:w="961" w:type="dxa"/>
          </w:tcPr>
          <w:p w14:paraId="6785CF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1/М-90</w:t>
            </w:r>
          </w:p>
        </w:tc>
        <w:tc>
          <w:tcPr>
            <w:tcW w:w="961" w:type="dxa"/>
          </w:tcPr>
          <w:p w14:paraId="1368CA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361B7D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57BBEC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1/сейчас</w:t>
            </w:r>
          </w:p>
        </w:tc>
        <w:tc>
          <w:tcPr>
            <w:tcW w:w="1432" w:type="dxa"/>
          </w:tcPr>
          <w:p w14:paraId="5F787B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1/20.08.40</w:t>
            </w:r>
          </w:p>
        </w:tc>
        <w:tc>
          <w:tcPr>
            <w:tcW w:w="2549" w:type="dxa"/>
          </w:tcPr>
          <w:p w14:paraId="2C2C367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00C61BC" w14:textId="77777777" w:rsidTr="00E543D0">
        <w:tc>
          <w:tcPr>
            <w:tcW w:w="1809" w:type="dxa"/>
          </w:tcPr>
          <w:p w14:paraId="47FECDD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52B68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И-185</w:t>
            </w:r>
          </w:p>
        </w:tc>
        <w:tc>
          <w:tcPr>
            <w:tcW w:w="961" w:type="dxa"/>
          </w:tcPr>
          <w:p w14:paraId="3D4B53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1/М-90</w:t>
            </w:r>
          </w:p>
        </w:tc>
        <w:tc>
          <w:tcPr>
            <w:tcW w:w="961" w:type="dxa"/>
          </w:tcPr>
          <w:p w14:paraId="0DCDCB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61" w:type="dxa"/>
          </w:tcPr>
          <w:p w14:paraId="2B04F4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82298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1/сейчас</w:t>
            </w:r>
          </w:p>
        </w:tc>
        <w:tc>
          <w:tcPr>
            <w:tcW w:w="1432" w:type="dxa"/>
          </w:tcPr>
          <w:p w14:paraId="623E4D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0B2AB27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B15C03C" w14:textId="77777777" w:rsidTr="00E543D0">
        <w:tc>
          <w:tcPr>
            <w:tcW w:w="1809" w:type="dxa"/>
          </w:tcPr>
          <w:p w14:paraId="760E24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78C5C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И-185</w:t>
            </w:r>
          </w:p>
        </w:tc>
        <w:tc>
          <w:tcPr>
            <w:tcW w:w="961" w:type="dxa"/>
          </w:tcPr>
          <w:p w14:paraId="7ED5E9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1/М-71</w:t>
            </w:r>
          </w:p>
        </w:tc>
        <w:tc>
          <w:tcPr>
            <w:tcW w:w="961" w:type="dxa"/>
          </w:tcPr>
          <w:p w14:paraId="6F6817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61" w:type="dxa"/>
          </w:tcPr>
          <w:p w14:paraId="075C04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02702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1/15.07.40</w:t>
            </w:r>
          </w:p>
        </w:tc>
        <w:tc>
          <w:tcPr>
            <w:tcW w:w="1432" w:type="dxa"/>
          </w:tcPr>
          <w:p w14:paraId="238EC6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1/15.08.40</w:t>
            </w:r>
          </w:p>
        </w:tc>
        <w:tc>
          <w:tcPr>
            <w:tcW w:w="2549" w:type="dxa"/>
          </w:tcPr>
          <w:p w14:paraId="3758F75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B6F49AC" w14:textId="77777777" w:rsidTr="00E543D0">
        <w:tc>
          <w:tcPr>
            <w:tcW w:w="1809" w:type="dxa"/>
          </w:tcPr>
          <w:p w14:paraId="3C7CB2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6E2AB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И-185</w:t>
            </w:r>
          </w:p>
        </w:tc>
        <w:tc>
          <w:tcPr>
            <w:tcW w:w="961" w:type="dxa"/>
          </w:tcPr>
          <w:p w14:paraId="10CC8F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1/М-71</w:t>
            </w:r>
          </w:p>
        </w:tc>
        <w:tc>
          <w:tcPr>
            <w:tcW w:w="961" w:type="dxa"/>
          </w:tcPr>
          <w:p w14:paraId="129C5D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61" w:type="dxa"/>
          </w:tcPr>
          <w:p w14:paraId="13AB8B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37157E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1/01.08.40</w:t>
            </w:r>
          </w:p>
        </w:tc>
        <w:tc>
          <w:tcPr>
            <w:tcW w:w="1432" w:type="dxa"/>
          </w:tcPr>
          <w:p w14:paraId="4E9F41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2549" w:type="dxa"/>
          </w:tcPr>
          <w:p w14:paraId="4EB3311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77B19AE" w14:textId="77777777" w:rsidTr="00E543D0">
        <w:tc>
          <w:tcPr>
            <w:tcW w:w="1809" w:type="dxa"/>
          </w:tcPr>
          <w:p w14:paraId="076A31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FECDE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B-153/гк</w:t>
            </w:r>
          </w:p>
        </w:tc>
        <w:tc>
          <w:tcPr>
            <w:tcW w:w="961" w:type="dxa"/>
          </w:tcPr>
          <w:p w14:paraId="0D1C7C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1/М-63</w:t>
            </w:r>
          </w:p>
        </w:tc>
        <w:tc>
          <w:tcPr>
            <w:tcW w:w="961" w:type="dxa"/>
          </w:tcPr>
          <w:p w14:paraId="18EB4E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162618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4E90C2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2271B5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7F56941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DDD4EFE" w14:textId="77777777" w:rsidTr="00E543D0">
        <w:tc>
          <w:tcPr>
            <w:tcW w:w="1809" w:type="dxa"/>
          </w:tcPr>
          <w:p w14:paraId="0895096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89631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B-153/д.</w:t>
            </w:r>
          </w:p>
        </w:tc>
        <w:tc>
          <w:tcPr>
            <w:tcW w:w="961" w:type="dxa"/>
          </w:tcPr>
          <w:p w14:paraId="14FE4B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1/М-62</w:t>
            </w:r>
          </w:p>
        </w:tc>
        <w:tc>
          <w:tcPr>
            <w:tcW w:w="961" w:type="dxa"/>
          </w:tcPr>
          <w:p w14:paraId="7A9E21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1F80A8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25CC03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1EC03A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4F91F7D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4BA4B8C" w14:textId="77777777" w:rsidTr="00E543D0">
        <w:tc>
          <w:tcPr>
            <w:tcW w:w="1809" w:type="dxa"/>
          </w:tcPr>
          <w:p w14:paraId="1E2C2A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22, Н.Н.П.</w:t>
            </w:r>
          </w:p>
        </w:tc>
        <w:tc>
          <w:tcPr>
            <w:tcW w:w="961" w:type="dxa"/>
          </w:tcPr>
          <w:p w14:paraId="1F79CE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СПБ</w:t>
            </w:r>
          </w:p>
        </w:tc>
        <w:tc>
          <w:tcPr>
            <w:tcW w:w="961" w:type="dxa"/>
          </w:tcPr>
          <w:p w14:paraId="1EFAA7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2/М-105</w:t>
            </w:r>
          </w:p>
        </w:tc>
        <w:tc>
          <w:tcPr>
            <w:tcW w:w="961" w:type="dxa"/>
          </w:tcPr>
          <w:p w14:paraId="10F7CA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w:t>
            </w:r>
          </w:p>
        </w:tc>
        <w:tc>
          <w:tcPr>
            <w:tcW w:w="961" w:type="dxa"/>
          </w:tcPr>
          <w:p w14:paraId="0D3313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B78E8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68722F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7F95E68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F17CAC6" w14:textId="77777777" w:rsidTr="00E543D0">
        <w:tc>
          <w:tcPr>
            <w:tcW w:w="1809" w:type="dxa"/>
          </w:tcPr>
          <w:p w14:paraId="69F106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1, МиГ</w:t>
            </w:r>
          </w:p>
        </w:tc>
        <w:tc>
          <w:tcPr>
            <w:tcW w:w="961" w:type="dxa"/>
          </w:tcPr>
          <w:p w14:paraId="5E9F21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w:t>
            </w:r>
          </w:p>
        </w:tc>
        <w:tc>
          <w:tcPr>
            <w:tcW w:w="961" w:type="dxa"/>
          </w:tcPr>
          <w:p w14:paraId="19E606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1/М35А</w:t>
            </w:r>
          </w:p>
        </w:tc>
        <w:tc>
          <w:tcPr>
            <w:tcW w:w="961" w:type="dxa"/>
          </w:tcPr>
          <w:p w14:paraId="288993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40E1B5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2DF7B1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126D4A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2549" w:type="dxa"/>
          </w:tcPr>
          <w:p w14:paraId="05C2D95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169ED71" w14:textId="77777777" w:rsidTr="00E543D0">
        <w:tc>
          <w:tcPr>
            <w:tcW w:w="1809" w:type="dxa"/>
          </w:tcPr>
          <w:p w14:paraId="6ECAD9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6FF7B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w:t>
            </w:r>
          </w:p>
        </w:tc>
        <w:tc>
          <w:tcPr>
            <w:tcW w:w="961" w:type="dxa"/>
          </w:tcPr>
          <w:p w14:paraId="422622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1/М35А</w:t>
            </w:r>
          </w:p>
        </w:tc>
        <w:tc>
          <w:tcPr>
            <w:tcW w:w="961" w:type="dxa"/>
          </w:tcPr>
          <w:p w14:paraId="4C0F13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7962B5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5AC97B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7E9504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2549" w:type="dxa"/>
          </w:tcPr>
          <w:p w14:paraId="35D397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A2E5B08" w14:textId="77777777" w:rsidTr="00E543D0">
        <w:tc>
          <w:tcPr>
            <w:tcW w:w="1809" w:type="dxa"/>
          </w:tcPr>
          <w:p w14:paraId="27C6CD2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0B87D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w:t>
            </w:r>
          </w:p>
        </w:tc>
        <w:tc>
          <w:tcPr>
            <w:tcW w:w="961" w:type="dxa"/>
          </w:tcPr>
          <w:p w14:paraId="10ACA9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1/М35А</w:t>
            </w:r>
          </w:p>
        </w:tc>
        <w:tc>
          <w:tcPr>
            <w:tcW w:w="961" w:type="dxa"/>
          </w:tcPr>
          <w:p w14:paraId="4AE2FC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61" w:type="dxa"/>
          </w:tcPr>
          <w:p w14:paraId="010C6C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54B01F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 с 14.07.40</w:t>
            </w:r>
          </w:p>
        </w:tc>
        <w:tc>
          <w:tcPr>
            <w:tcW w:w="1432" w:type="dxa"/>
          </w:tcPr>
          <w:p w14:paraId="03C86C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2549" w:type="dxa"/>
          </w:tcPr>
          <w:p w14:paraId="3B0000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F3AA736" w14:textId="77777777" w:rsidTr="00E543D0">
        <w:tc>
          <w:tcPr>
            <w:tcW w:w="1809" w:type="dxa"/>
          </w:tcPr>
          <w:p w14:paraId="2F670A9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F0DFD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w:t>
            </w:r>
          </w:p>
        </w:tc>
        <w:tc>
          <w:tcPr>
            <w:tcW w:w="961" w:type="dxa"/>
          </w:tcPr>
          <w:p w14:paraId="76C99F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1/М37</w:t>
            </w:r>
          </w:p>
        </w:tc>
        <w:tc>
          <w:tcPr>
            <w:tcW w:w="961" w:type="dxa"/>
          </w:tcPr>
          <w:p w14:paraId="30073F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61" w:type="dxa"/>
          </w:tcPr>
          <w:p w14:paraId="212B27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0F8BEF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1432" w:type="dxa"/>
          </w:tcPr>
          <w:p w14:paraId="066174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1/15.08.40</w:t>
            </w:r>
          </w:p>
        </w:tc>
        <w:tc>
          <w:tcPr>
            <w:tcW w:w="2549" w:type="dxa"/>
          </w:tcPr>
          <w:p w14:paraId="63BC05E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C949AD3" w14:textId="77777777" w:rsidTr="00E543D0">
        <w:tc>
          <w:tcPr>
            <w:tcW w:w="1809" w:type="dxa"/>
          </w:tcPr>
          <w:p w14:paraId="482DA2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1, Стронгин</w:t>
            </w:r>
          </w:p>
        </w:tc>
        <w:tc>
          <w:tcPr>
            <w:tcW w:w="961" w:type="dxa"/>
          </w:tcPr>
          <w:p w14:paraId="19D21A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w:t>
            </w:r>
          </w:p>
        </w:tc>
        <w:tc>
          <w:tcPr>
            <w:tcW w:w="961" w:type="dxa"/>
          </w:tcPr>
          <w:p w14:paraId="2C5FC2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2/М-105</w:t>
            </w:r>
          </w:p>
        </w:tc>
        <w:tc>
          <w:tcPr>
            <w:tcW w:w="961" w:type="dxa"/>
          </w:tcPr>
          <w:p w14:paraId="70AAF3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694D4E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55C276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1432" w:type="dxa"/>
          </w:tcPr>
          <w:p w14:paraId="20426C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2/15.07.40</w:t>
            </w:r>
          </w:p>
        </w:tc>
        <w:tc>
          <w:tcPr>
            <w:tcW w:w="2549" w:type="dxa"/>
          </w:tcPr>
          <w:p w14:paraId="2F56B61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1833FA1" w14:textId="77777777" w:rsidTr="00E543D0">
        <w:tc>
          <w:tcPr>
            <w:tcW w:w="1809" w:type="dxa"/>
          </w:tcPr>
          <w:p w14:paraId="5C045D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22, А.А.А.</w:t>
            </w:r>
          </w:p>
        </w:tc>
        <w:tc>
          <w:tcPr>
            <w:tcW w:w="961" w:type="dxa"/>
          </w:tcPr>
          <w:p w14:paraId="2E934B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СБ-2</w:t>
            </w:r>
          </w:p>
        </w:tc>
        <w:tc>
          <w:tcPr>
            <w:tcW w:w="961" w:type="dxa"/>
          </w:tcPr>
          <w:p w14:paraId="63B7B2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2/105ТК</w:t>
            </w:r>
          </w:p>
        </w:tc>
        <w:tc>
          <w:tcPr>
            <w:tcW w:w="961" w:type="dxa"/>
          </w:tcPr>
          <w:p w14:paraId="193B1E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0BFA9B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961" w:type="dxa"/>
          </w:tcPr>
          <w:p w14:paraId="282F2B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3/01.08.40</w:t>
            </w:r>
          </w:p>
        </w:tc>
        <w:tc>
          <w:tcPr>
            <w:tcW w:w="1432" w:type="dxa"/>
          </w:tcPr>
          <w:p w14:paraId="349FB4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2/01.10.40</w:t>
            </w:r>
          </w:p>
        </w:tc>
        <w:tc>
          <w:tcPr>
            <w:tcW w:w="2549" w:type="dxa"/>
          </w:tcPr>
          <w:p w14:paraId="6DE050A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5F94FFB" w14:textId="77777777" w:rsidTr="00E543D0">
        <w:tc>
          <w:tcPr>
            <w:tcW w:w="1809" w:type="dxa"/>
          </w:tcPr>
          <w:p w14:paraId="332CF46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EA909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w:t>
            </w:r>
          </w:p>
        </w:tc>
        <w:tc>
          <w:tcPr>
            <w:tcW w:w="961" w:type="dxa"/>
          </w:tcPr>
          <w:p w14:paraId="15D8BE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2/105ТК</w:t>
            </w:r>
          </w:p>
        </w:tc>
        <w:tc>
          <w:tcPr>
            <w:tcW w:w="961" w:type="dxa"/>
          </w:tcPr>
          <w:p w14:paraId="3703AC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2304E9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0E8F0A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2/01.09.40</w:t>
            </w:r>
          </w:p>
        </w:tc>
        <w:tc>
          <w:tcPr>
            <w:tcW w:w="1432" w:type="dxa"/>
          </w:tcPr>
          <w:p w14:paraId="20A415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51C74D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Заказаны с редукцией 0.59</w:t>
            </w:r>
          </w:p>
        </w:tc>
      </w:tr>
      <w:tr w:rsidR="007D5DF8" w:rsidRPr="00DB5D0D" w14:paraId="255746C0" w14:textId="77777777" w:rsidTr="00E543D0">
        <w:tc>
          <w:tcPr>
            <w:tcW w:w="1809" w:type="dxa"/>
          </w:tcPr>
          <w:p w14:paraId="287E49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21, Пашинин</w:t>
            </w:r>
          </w:p>
        </w:tc>
        <w:tc>
          <w:tcPr>
            <w:tcW w:w="961" w:type="dxa"/>
          </w:tcPr>
          <w:p w14:paraId="0FC7E4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И-21</w:t>
            </w:r>
          </w:p>
        </w:tc>
        <w:tc>
          <w:tcPr>
            <w:tcW w:w="961" w:type="dxa"/>
          </w:tcPr>
          <w:p w14:paraId="0289A2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1/105П</w:t>
            </w:r>
          </w:p>
        </w:tc>
        <w:tc>
          <w:tcPr>
            <w:tcW w:w="961" w:type="dxa"/>
          </w:tcPr>
          <w:p w14:paraId="7520C1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04BA29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4DFD1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4980DB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2549" w:type="dxa"/>
          </w:tcPr>
          <w:p w14:paraId="6F62334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721532A" w14:textId="77777777" w:rsidTr="00E543D0">
        <w:tc>
          <w:tcPr>
            <w:tcW w:w="1809" w:type="dxa"/>
          </w:tcPr>
          <w:p w14:paraId="204200B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F21C1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И-21</w:t>
            </w:r>
          </w:p>
        </w:tc>
        <w:tc>
          <w:tcPr>
            <w:tcW w:w="961" w:type="dxa"/>
          </w:tcPr>
          <w:p w14:paraId="6D138E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1/107П</w:t>
            </w:r>
          </w:p>
        </w:tc>
        <w:tc>
          <w:tcPr>
            <w:tcW w:w="961" w:type="dxa"/>
          </w:tcPr>
          <w:p w14:paraId="224494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3C0874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2B6A79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1/15.08.40</w:t>
            </w:r>
          </w:p>
        </w:tc>
        <w:tc>
          <w:tcPr>
            <w:tcW w:w="1432" w:type="dxa"/>
          </w:tcPr>
          <w:p w14:paraId="2ED2F1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2549" w:type="dxa"/>
          </w:tcPr>
          <w:p w14:paraId="6D84B5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 по спец. условиям</w:t>
            </w:r>
          </w:p>
        </w:tc>
      </w:tr>
      <w:tr w:rsidR="007D5DF8" w:rsidRPr="00DB5D0D" w14:paraId="6784222E" w14:textId="77777777" w:rsidTr="00E543D0">
        <w:tc>
          <w:tcPr>
            <w:tcW w:w="1809" w:type="dxa"/>
          </w:tcPr>
          <w:p w14:paraId="74803D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115, А.С.Я.</w:t>
            </w:r>
          </w:p>
        </w:tc>
        <w:tc>
          <w:tcPr>
            <w:tcW w:w="961" w:type="dxa"/>
          </w:tcPr>
          <w:p w14:paraId="76CC45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w:t>
            </w:r>
          </w:p>
        </w:tc>
        <w:tc>
          <w:tcPr>
            <w:tcW w:w="961" w:type="dxa"/>
          </w:tcPr>
          <w:p w14:paraId="159656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1/105П</w:t>
            </w:r>
          </w:p>
        </w:tc>
        <w:tc>
          <w:tcPr>
            <w:tcW w:w="961" w:type="dxa"/>
          </w:tcPr>
          <w:p w14:paraId="4386D8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273EAA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2A2FA0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1/15.08.40</w:t>
            </w:r>
          </w:p>
        </w:tc>
        <w:tc>
          <w:tcPr>
            <w:tcW w:w="1432" w:type="dxa"/>
          </w:tcPr>
          <w:p w14:paraId="0029A7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591DCE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нагнетателем Доллежаля</w:t>
            </w:r>
          </w:p>
        </w:tc>
      </w:tr>
      <w:tr w:rsidR="007D5DF8" w:rsidRPr="00DB5D0D" w14:paraId="4BC4A7E7" w14:textId="77777777" w:rsidTr="00E543D0">
        <w:tc>
          <w:tcPr>
            <w:tcW w:w="1809" w:type="dxa"/>
          </w:tcPr>
          <w:p w14:paraId="532021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2C4DA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w:t>
            </w:r>
          </w:p>
        </w:tc>
        <w:tc>
          <w:tcPr>
            <w:tcW w:w="961" w:type="dxa"/>
          </w:tcPr>
          <w:p w14:paraId="25030A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1/105П</w:t>
            </w:r>
          </w:p>
        </w:tc>
        <w:tc>
          <w:tcPr>
            <w:tcW w:w="961" w:type="dxa"/>
          </w:tcPr>
          <w:p w14:paraId="00C257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61" w:type="dxa"/>
          </w:tcPr>
          <w:p w14:paraId="3AB315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034529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0F5F9C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1/15.07.40</w:t>
            </w:r>
          </w:p>
        </w:tc>
        <w:tc>
          <w:tcPr>
            <w:tcW w:w="2549" w:type="dxa"/>
          </w:tcPr>
          <w:p w14:paraId="62149C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7B4743E" w14:textId="77777777" w:rsidTr="00E543D0">
        <w:tc>
          <w:tcPr>
            <w:tcW w:w="1809" w:type="dxa"/>
          </w:tcPr>
          <w:p w14:paraId="526A14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AAAB6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w:t>
            </w:r>
          </w:p>
        </w:tc>
        <w:tc>
          <w:tcPr>
            <w:tcW w:w="961" w:type="dxa"/>
          </w:tcPr>
          <w:p w14:paraId="1221B7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1/107П</w:t>
            </w:r>
          </w:p>
        </w:tc>
        <w:tc>
          <w:tcPr>
            <w:tcW w:w="961" w:type="dxa"/>
          </w:tcPr>
          <w:p w14:paraId="328EE3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2EB96B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1A4DBB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1432" w:type="dxa"/>
          </w:tcPr>
          <w:p w14:paraId="330FB0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1/15.09.40</w:t>
            </w:r>
          </w:p>
        </w:tc>
        <w:tc>
          <w:tcPr>
            <w:tcW w:w="2549" w:type="dxa"/>
          </w:tcPr>
          <w:p w14:paraId="7BEB94B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5EAE4ED" w14:textId="77777777" w:rsidTr="00E543D0">
        <w:tc>
          <w:tcPr>
            <w:tcW w:w="1809" w:type="dxa"/>
          </w:tcPr>
          <w:p w14:paraId="00DC208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7D7AE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ДИ-26</w:t>
            </w:r>
          </w:p>
        </w:tc>
        <w:tc>
          <w:tcPr>
            <w:tcW w:w="961" w:type="dxa"/>
          </w:tcPr>
          <w:p w14:paraId="4844F9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1/105П</w:t>
            </w:r>
          </w:p>
        </w:tc>
        <w:tc>
          <w:tcPr>
            <w:tcW w:w="961" w:type="dxa"/>
          </w:tcPr>
          <w:p w14:paraId="1913AD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22E279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961" w:type="dxa"/>
          </w:tcPr>
          <w:p w14:paraId="655943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2C7239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1/15.08.40</w:t>
            </w:r>
          </w:p>
        </w:tc>
        <w:tc>
          <w:tcPr>
            <w:tcW w:w="2549" w:type="dxa"/>
          </w:tcPr>
          <w:p w14:paraId="350E6FF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BB44847" w14:textId="77777777" w:rsidTr="00E543D0">
        <w:tc>
          <w:tcPr>
            <w:tcW w:w="1809" w:type="dxa"/>
          </w:tcPr>
          <w:p w14:paraId="1F5D0B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F8C18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ДИ-26</w:t>
            </w:r>
          </w:p>
        </w:tc>
        <w:tc>
          <w:tcPr>
            <w:tcW w:w="961" w:type="dxa"/>
          </w:tcPr>
          <w:p w14:paraId="4C8E56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1/105П</w:t>
            </w:r>
          </w:p>
        </w:tc>
        <w:tc>
          <w:tcPr>
            <w:tcW w:w="961" w:type="dxa"/>
          </w:tcPr>
          <w:p w14:paraId="0B99AD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219137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5B1D1A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1/01.10.40</w:t>
            </w:r>
          </w:p>
        </w:tc>
        <w:tc>
          <w:tcPr>
            <w:tcW w:w="1432" w:type="dxa"/>
          </w:tcPr>
          <w:p w14:paraId="068619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1/15.09.40</w:t>
            </w:r>
          </w:p>
        </w:tc>
        <w:tc>
          <w:tcPr>
            <w:tcW w:w="2549" w:type="dxa"/>
          </w:tcPr>
          <w:p w14:paraId="6185239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038C461" w14:textId="77777777" w:rsidTr="00E543D0">
        <w:tc>
          <w:tcPr>
            <w:tcW w:w="1809" w:type="dxa"/>
          </w:tcPr>
          <w:p w14:paraId="5E45AA8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1AAE1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УТ-23</w:t>
            </w:r>
          </w:p>
        </w:tc>
        <w:tc>
          <w:tcPr>
            <w:tcW w:w="961" w:type="dxa"/>
          </w:tcPr>
          <w:p w14:paraId="038B15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1/МВ-6</w:t>
            </w:r>
          </w:p>
        </w:tc>
        <w:tc>
          <w:tcPr>
            <w:tcW w:w="961" w:type="dxa"/>
          </w:tcPr>
          <w:p w14:paraId="09D664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00EB64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961" w:type="dxa"/>
          </w:tcPr>
          <w:p w14:paraId="618C40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1/01.10.40</w:t>
            </w:r>
          </w:p>
        </w:tc>
        <w:tc>
          <w:tcPr>
            <w:tcW w:w="1432" w:type="dxa"/>
          </w:tcPr>
          <w:p w14:paraId="5CA29F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65BEB52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C12B90C" w14:textId="77777777" w:rsidTr="00E543D0">
        <w:tc>
          <w:tcPr>
            <w:tcW w:w="1809" w:type="dxa"/>
          </w:tcPr>
          <w:p w14:paraId="7CD298F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64288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УТ-23</w:t>
            </w:r>
          </w:p>
        </w:tc>
        <w:tc>
          <w:tcPr>
            <w:tcW w:w="961" w:type="dxa"/>
          </w:tcPr>
          <w:p w14:paraId="318346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1/МВ-6</w:t>
            </w:r>
          </w:p>
        </w:tc>
        <w:tc>
          <w:tcPr>
            <w:tcW w:w="961" w:type="dxa"/>
          </w:tcPr>
          <w:p w14:paraId="144483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238624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C255B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702FA4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6EC3E41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2ADB9A7" w14:textId="77777777" w:rsidTr="00E543D0">
        <w:tc>
          <w:tcPr>
            <w:tcW w:w="1809" w:type="dxa"/>
          </w:tcPr>
          <w:p w14:paraId="2551E8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39, С.В.И.</w:t>
            </w:r>
          </w:p>
        </w:tc>
        <w:tc>
          <w:tcPr>
            <w:tcW w:w="961" w:type="dxa"/>
          </w:tcPr>
          <w:p w14:paraId="52416F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ДБ-4</w:t>
            </w:r>
          </w:p>
        </w:tc>
        <w:tc>
          <w:tcPr>
            <w:tcW w:w="961" w:type="dxa"/>
          </w:tcPr>
          <w:p w14:paraId="334D53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2/120ТК</w:t>
            </w:r>
          </w:p>
        </w:tc>
        <w:tc>
          <w:tcPr>
            <w:tcW w:w="961" w:type="dxa"/>
          </w:tcPr>
          <w:p w14:paraId="389BA8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4696CC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961" w:type="dxa"/>
          </w:tcPr>
          <w:p w14:paraId="221D22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2/нужен сейчас</w:t>
            </w:r>
          </w:p>
        </w:tc>
        <w:tc>
          <w:tcPr>
            <w:tcW w:w="1432" w:type="dxa"/>
          </w:tcPr>
          <w:p w14:paraId="52C13D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2/01.08.40</w:t>
            </w:r>
          </w:p>
        </w:tc>
        <w:tc>
          <w:tcPr>
            <w:tcW w:w="2549" w:type="dxa"/>
          </w:tcPr>
          <w:p w14:paraId="5A68D48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ABAEA32" w14:textId="77777777" w:rsidTr="00E543D0">
        <w:tc>
          <w:tcPr>
            <w:tcW w:w="1809" w:type="dxa"/>
          </w:tcPr>
          <w:p w14:paraId="5DB7EC2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3EB35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ДБ-4</w:t>
            </w:r>
          </w:p>
        </w:tc>
        <w:tc>
          <w:tcPr>
            <w:tcW w:w="961" w:type="dxa"/>
          </w:tcPr>
          <w:p w14:paraId="21682D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2/АМ-71</w:t>
            </w:r>
          </w:p>
        </w:tc>
        <w:tc>
          <w:tcPr>
            <w:tcW w:w="961" w:type="dxa"/>
          </w:tcPr>
          <w:p w14:paraId="349EBF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4925C4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961" w:type="dxa"/>
          </w:tcPr>
          <w:p w14:paraId="48F340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3/нужен сейчас</w:t>
            </w:r>
          </w:p>
        </w:tc>
        <w:tc>
          <w:tcPr>
            <w:tcW w:w="1432" w:type="dxa"/>
          </w:tcPr>
          <w:p w14:paraId="36F4B2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2/01.08.40</w:t>
            </w:r>
          </w:p>
        </w:tc>
        <w:tc>
          <w:tcPr>
            <w:tcW w:w="2549" w:type="dxa"/>
          </w:tcPr>
          <w:p w14:paraId="64826D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М-71 для испытаний в трубе</w:t>
            </w:r>
          </w:p>
        </w:tc>
      </w:tr>
      <w:tr w:rsidR="007D5DF8" w:rsidRPr="00DB5D0D" w14:paraId="3B179197" w14:textId="77777777" w:rsidTr="00E543D0">
        <w:tc>
          <w:tcPr>
            <w:tcW w:w="1809" w:type="dxa"/>
          </w:tcPr>
          <w:p w14:paraId="6FB77E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D6E2B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ДБ-4</w:t>
            </w:r>
          </w:p>
        </w:tc>
        <w:tc>
          <w:tcPr>
            <w:tcW w:w="961" w:type="dxa"/>
          </w:tcPr>
          <w:p w14:paraId="369233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2/АМ-37</w:t>
            </w:r>
          </w:p>
        </w:tc>
        <w:tc>
          <w:tcPr>
            <w:tcW w:w="961" w:type="dxa"/>
          </w:tcPr>
          <w:p w14:paraId="21DE11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5F464A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961" w:type="dxa"/>
          </w:tcPr>
          <w:p w14:paraId="269E8E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2/нужен сейчас</w:t>
            </w:r>
          </w:p>
        </w:tc>
        <w:tc>
          <w:tcPr>
            <w:tcW w:w="1432" w:type="dxa"/>
          </w:tcPr>
          <w:p w14:paraId="2BC5D7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2/01.08.40</w:t>
            </w:r>
          </w:p>
        </w:tc>
        <w:tc>
          <w:tcPr>
            <w:tcW w:w="2549" w:type="dxa"/>
          </w:tcPr>
          <w:p w14:paraId="5FE04D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Т.к. нет М-120</w:t>
            </w:r>
          </w:p>
        </w:tc>
      </w:tr>
      <w:tr w:rsidR="007D5DF8" w:rsidRPr="00DB5D0D" w14:paraId="712ADD79" w14:textId="77777777" w:rsidTr="00E543D0">
        <w:tc>
          <w:tcPr>
            <w:tcW w:w="1809" w:type="dxa"/>
          </w:tcPr>
          <w:p w14:paraId="12392F3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6D41C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БШ</w:t>
            </w:r>
          </w:p>
        </w:tc>
        <w:tc>
          <w:tcPr>
            <w:tcW w:w="961" w:type="dxa"/>
          </w:tcPr>
          <w:p w14:paraId="02527E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1/АМ-38</w:t>
            </w:r>
          </w:p>
        </w:tc>
        <w:tc>
          <w:tcPr>
            <w:tcW w:w="961" w:type="dxa"/>
          </w:tcPr>
          <w:p w14:paraId="31D366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160A75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2A5AA6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1/10.08.40</w:t>
            </w:r>
          </w:p>
        </w:tc>
        <w:tc>
          <w:tcPr>
            <w:tcW w:w="1432" w:type="dxa"/>
          </w:tcPr>
          <w:p w14:paraId="72B010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2549" w:type="dxa"/>
          </w:tcPr>
          <w:p w14:paraId="6770E5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Вместо АМ-35</w:t>
            </w:r>
          </w:p>
        </w:tc>
      </w:tr>
      <w:tr w:rsidR="007D5DF8" w:rsidRPr="00DB5D0D" w14:paraId="213617D7" w14:textId="77777777" w:rsidTr="00E543D0">
        <w:tc>
          <w:tcPr>
            <w:tcW w:w="1809" w:type="dxa"/>
          </w:tcPr>
          <w:p w14:paraId="147F6C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292, Яценко</w:t>
            </w:r>
          </w:p>
        </w:tc>
        <w:tc>
          <w:tcPr>
            <w:tcW w:w="961" w:type="dxa"/>
          </w:tcPr>
          <w:p w14:paraId="7769F3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И-282</w:t>
            </w:r>
          </w:p>
        </w:tc>
        <w:tc>
          <w:tcPr>
            <w:tcW w:w="961" w:type="dxa"/>
          </w:tcPr>
          <w:p w14:paraId="36B9E9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1/М-90</w:t>
            </w:r>
          </w:p>
        </w:tc>
        <w:tc>
          <w:tcPr>
            <w:tcW w:w="961" w:type="dxa"/>
          </w:tcPr>
          <w:p w14:paraId="1532E2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5C2348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1/07.40</w:t>
            </w:r>
          </w:p>
        </w:tc>
        <w:tc>
          <w:tcPr>
            <w:tcW w:w="961" w:type="dxa"/>
          </w:tcPr>
          <w:p w14:paraId="50AEB4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1/08.40</w:t>
            </w:r>
          </w:p>
        </w:tc>
        <w:tc>
          <w:tcPr>
            <w:tcW w:w="1432" w:type="dxa"/>
          </w:tcPr>
          <w:p w14:paraId="593F37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1/15.10.40</w:t>
            </w:r>
          </w:p>
        </w:tc>
        <w:tc>
          <w:tcPr>
            <w:tcW w:w="2549" w:type="dxa"/>
          </w:tcPr>
          <w:p w14:paraId="694BEFA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0A8ABBB" w14:textId="77777777" w:rsidTr="00E543D0">
        <w:tc>
          <w:tcPr>
            <w:tcW w:w="1809" w:type="dxa"/>
          </w:tcPr>
          <w:p w14:paraId="333D46B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0CF53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И-282</w:t>
            </w:r>
          </w:p>
        </w:tc>
        <w:tc>
          <w:tcPr>
            <w:tcW w:w="961" w:type="dxa"/>
          </w:tcPr>
          <w:p w14:paraId="3CC4CC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1/М-90</w:t>
            </w:r>
          </w:p>
        </w:tc>
        <w:tc>
          <w:tcPr>
            <w:tcW w:w="961" w:type="dxa"/>
          </w:tcPr>
          <w:p w14:paraId="64EBA4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3F2290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2BFE3E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1/09.40</w:t>
            </w:r>
          </w:p>
        </w:tc>
        <w:tc>
          <w:tcPr>
            <w:tcW w:w="1432" w:type="dxa"/>
          </w:tcPr>
          <w:p w14:paraId="53BA7D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345E4C7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8CB4274" w14:textId="77777777" w:rsidTr="00E543D0">
        <w:tc>
          <w:tcPr>
            <w:tcW w:w="1809" w:type="dxa"/>
          </w:tcPr>
          <w:p w14:paraId="01D0DC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289 П.О.С.</w:t>
            </w:r>
          </w:p>
        </w:tc>
        <w:tc>
          <w:tcPr>
            <w:tcW w:w="961" w:type="dxa"/>
          </w:tcPr>
          <w:p w14:paraId="44A35E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w:t>
            </w:r>
          </w:p>
        </w:tc>
        <w:tc>
          <w:tcPr>
            <w:tcW w:w="961" w:type="dxa"/>
          </w:tcPr>
          <w:p w14:paraId="4A7EE8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1/М-88</w:t>
            </w:r>
          </w:p>
        </w:tc>
        <w:tc>
          <w:tcPr>
            <w:tcW w:w="961" w:type="dxa"/>
          </w:tcPr>
          <w:p w14:paraId="01AB2F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1F464A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69C40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136A87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1/10.08.40</w:t>
            </w:r>
          </w:p>
        </w:tc>
        <w:tc>
          <w:tcPr>
            <w:tcW w:w="2549" w:type="dxa"/>
          </w:tcPr>
          <w:p w14:paraId="78EDE0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дефлекторами в картере</w:t>
            </w:r>
          </w:p>
        </w:tc>
      </w:tr>
      <w:tr w:rsidR="007D5DF8" w:rsidRPr="00DB5D0D" w14:paraId="0C5E1995" w14:textId="77777777" w:rsidTr="00E543D0">
        <w:tc>
          <w:tcPr>
            <w:tcW w:w="1809" w:type="dxa"/>
          </w:tcPr>
          <w:p w14:paraId="08C14AF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A658B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w:t>
            </w:r>
          </w:p>
        </w:tc>
        <w:tc>
          <w:tcPr>
            <w:tcW w:w="961" w:type="dxa"/>
          </w:tcPr>
          <w:p w14:paraId="24AB0F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1/63ТК</w:t>
            </w:r>
          </w:p>
        </w:tc>
        <w:tc>
          <w:tcPr>
            <w:tcW w:w="961" w:type="dxa"/>
          </w:tcPr>
          <w:p w14:paraId="51781A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0797CC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598DA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33F2B9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1/10.08.40</w:t>
            </w:r>
          </w:p>
        </w:tc>
        <w:tc>
          <w:tcPr>
            <w:tcW w:w="2549" w:type="dxa"/>
          </w:tcPr>
          <w:p w14:paraId="01B809D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DEBB5A3" w14:textId="77777777" w:rsidTr="00E543D0">
        <w:tc>
          <w:tcPr>
            <w:tcW w:w="1809" w:type="dxa"/>
          </w:tcPr>
          <w:p w14:paraId="11081D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F60CD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w:t>
            </w:r>
          </w:p>
        </w:tc>
        <w:tc>
          <w:tcPr>
            <w:tcW w:w="961" w:type="dxa"/>
          </w:tcPr>
          <w:p w14:paraId="3FB584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1/М-88</w:t>
            </w:r>
          </w:p>
        </w:tc>
        <w:tc>
          <w:tcPr>
            <w:tcW w:w="961" w:type="dxa"/>
          </w:tcPr>
          <w:p w14:paraId="31AC30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35C7DF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4FE6BB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61B7CC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1/10.08.40</w:t>
            </w:r>
          </w:p>
        </w:tc>
        <w:tc>
          <w:tcPr>
            <w:tcW w:w="2549" w:type="dxa"/>
          </w:tcPr>
          <w:p w14:paraId="632859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EDAC6EB" w14:textId="77777777" w:rsidTr="00E543D0">
        <w:tc>
          <w:tcPr>
            <w:tcW w:w="1809" w:type="dxa"/>
          </w:tcPr>
          <w:p w14:paraId="76A3F7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B4C2F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ББ-3</w:t>
            </w:r>
          </w:p>
        </w:tc>
        <w:tc>
          <w:tcPr>
            <w:tcW w:w="961" w:type="dxa"/>
          </w:tcPr>
          <w:p w14:paraId="04D9BA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1/М-90</w:t>
            </w:r>
          </w:p>
        </w:tc>
        <w:tc>
          <w:tcPr>
            <w:tcW w:w="961" w:type="dxa"/>
          </w:tcPr>
          <w:p w14:paraId="2FD786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7A3E62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w:t>
            </w:r>
          </w:p>
        </w:tc>
        <w:tc>
          <w:tcPr>
            <w:tcW w:w="961" w:type="dxa"/>
          </w:tcPr>
          <w:p w14:paraId="465EA1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1432" w:type="dxa"/>
          </w:tcPr>
          <w:p w14:paraId="37578E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1/10.09.40</w:t>
            </w:r>
          </w:p>
        </w:tc>
        <w:tc>
          <w:tcPr>
            <w:tcW w:w="2549" w:type="dxa"/>
          </w:tcPr>
          <w:p w14:paraId="350A7FE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D99CDE6" w14:textId="77777777" w:rsidTr="00E543D0">
        <w:tc>
          <w:tcPr>
            <w:tcW w:w="1809" w:type="dxa"/>
          </w:tcPr>
          <w:p w14:paraId="5A0E101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88B4F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ББ-3</w:t>
            </w:r>
          </w:p>
        </w:tc>
        <w:tc>
          <w:tcPr>
            <w:tcW w:w="961" w:type="dxa"/>
          </w:tcPr>
          <w:p w14:paraId="4369DD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1/М-90</w:t>
            </w:r>
          </w:p>
        </w:tc>
        <w:tc>
          <w:tcPr>
            <w:tcW w:w="961" w:type="dxa"/>
          </w:tcPr>
          <w:p w14:paraId="4F69E5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2C8DAD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5251AF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1/15.07.40</w:t>
            </w:r>
          </w:p>
        </w:tc>
        <w:tc>
          <w:tcPr>
            <w:tcW w:w="1432" w:type="dxa"/>
          </w:tcPr>
          <w:p w14:paraId="22D7B7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489EC2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B3AE4B7" w14:textId="77777777" w:rsidTr="00E543D0">
        <w:tc>
          <w:tcPr>
            <w:tcW w:w="1809" w:type="dxa"/>
          </w:tcPr>
          <w:p w14:paraId="607CB90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2BD274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ОБШ</w:t>
            </w:r>
          </w:p>
        </w:tc>
        <w:tc>
          <w:tcPr>
            <w:tcW w:w="961" w:type="dxa"/>
          </w:tcPr>
          <w:p w14:paraId="43C710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1/М-71</w:t>
            </w:r>
          </w:p>
        </w:tc>
        <w:tc>
          <w:tcPr>
            <w:tcW w:w="961" w:type="dxa"/>
          </w:tcPr>
          <w:p w14:paraId="46D268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110100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w:t>
            </w:r>
          </w:p>
        </w:tc>
        <w:tc>
          <w:tcPr>
            <w:tcW w:w="961" w:type="dxa"/>
          </w:tcPr>
          <w:p w14:paraId="6E7EDE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1432" w:type="dxa"/>
          </w:tcPr>
          <w:p w14:paraId="141FB8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1/15.09.40</w:t>
            </w:r>
          </w:p>
        </w:tc>
        <w:tc>
          <w:tcPr>
            <w:tcW w:w="2549" w:type="dxa"/>
          </w:tcPr>
          <w:p w14:paraId="1FED3C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М-71 нужен для испытаний в трубе</w:t>
            </w:r>
          </w:p>
        </w:tc>
      </w:tr>
      <w:tr w:rsidR="007D5DF8" w:rsidRPr="00DB5D0D" w14:paraId="0985BD28" w14:textId="77777777" w:rsidTr="00E543D0">
        <w:tc>
          <w:tcPr>
            <w:tcW w:w="1809" w:type="dxa"/>
          </w:tcPr>
          <w:p w14:paraId="4D653B9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FABD4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ОБШ</w:t>
            </w:r>
          </w:p>
        </w:tc>
        <w:tc>
          <w:tcPr>
            <w:tcW w:w="961" w:type="dxa"/>
          </w:tcPr>
          <w:p w14:paraId="3DF548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1/М-90</w:t>
            </w:r>
          </w:p>
        </w:tc>
        <w:tc>
          <w:tcPr>
            <w:tcW w:w="961" w:type="dxa"/>
          </w:tcPr>
          <w:p w14:paraId="05EE53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22F7A1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11026C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1/15.07.40</w:t>
            </w:r>
          </w:p>
        </w:tc>
        <w:tc>
          <w:tcPr>
            <w:tcW w:w="1432" w:type="dxa"/>
          </w:tcPr>
          <w:p w14:paraId="2512C1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5B9F4E2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E92C1A1" w14:textId="77777777" w:rsidTr="00E543D0">
        <w:tc>
          <w:tcPr>
            <w:tcW w:w="1809" w:type="dxa"/>
          </w:tcPr>
          <w:p w14:paraId="6AB667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156, О-29</w:t>
            </w:r>
          </w:p>
        </w:tc>
        <w:tc>
          <w:tcPr>
            <w:tcW w:w="961" w:type="dxa"/>
          </w:tcPr>
          <w:p w14:paraId="72B117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w:t>
            </w:r>
          </w:p>
        </w:tc>
        <w:tc>
          <w:tcPr>
            <w:tcW w:w="961" w:type="dxa"/>
          </w:tcPr>
          <w:p w14:paraId="0EE5F9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2/120ТК</w:t>
            </w:r>
          </w:p>
        </w:tc>
        <w:tc>
          <w:tcPr>
            <w:tcW w:w="961" w:type="dxa"/>
          </w:tcPr>
          <w:p w14:paraId="279134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08A29F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1C200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1/01.10.40</w:t>
            </w:r>
          </w:p>
        </w:tc>
        <w:tc>
          <w:tcPr>
            <w:tcW w:w="1432" w:type="dxa"/>
          </w:tcPr>
          <w:p w14:paraId="6A87F59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7CE595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работающего стенда</w:t>
            </w:r>
          </w:p>
        </w:tc>
      </w:tr>
      <w:tr w:rsidR="007D5DF8" w:rsidRPr="00DB5D0D" w14:paraId="393554B4" w14:textId="77777777" w:rsidTr="00E543D0">
        <w:tc>
          <w:tcPr>
            <w:tcW w:w="1809" w:type="dxa"/>
          </w:tcPr>
          <w:p w14:paraId="2F1AE4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5C39A9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2C0F43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0A6872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F9C70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FA191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2/15.11.40</w:t>
            </w:r>
          </w:p>
        </w:tc>
        <w:tc>
          <w:tcPr>
            <w:tcW w:w="1432" w:type="dxa"/>
          </w:tcPr>
          <w:p w14:paraId="544527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1/15.11.40</w:t>
            </w:r>
          </w:p>
        </w:tc>
        <w:tc>
          <w:tcPr>
            <w:tcW w:w="2549" w:type="dxa"/>
          </w:tcPr>
          <w:p w14:paraId="7BFD230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AFC7E2D" w14:textId="77777777" w:rsidTr="00E543D0">
        <w:tc>
          <w:tcPr>
            <w:tcW w:w="1809" w:type="dxa"/>
          </w:tcPr>
          <w:p w14:paraId="4DFF47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5721E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w:t>
            </w:r>
          </w:p>
        </w:tc>
        <w:tc>
          <w:tcPr>
            <w:tcW w:w="961" w:type="dxa"/>
          </w:tcPr>
          <w:p w14:paraId="161263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1/120ТК</w:t>
            </w:r>
          </w:p>
        </w:tc>
        <w:tc>
          <w:tcPr>
            <w:tcW w:w="961" w:type="dxa"/>
          </w:tcPr>
          <w:p w14:paraId="5A887D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4155F4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199F33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2/31.12.40</w:t>
            </w:r>
          </w:p>
        </w:tc>
        <w:tc>
          <w:tcPr>
            <w:tcW w:w="1432" w:type="dxa"/>
          </w:tcPr>
          <w:p w14:paraId="0B96DD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1/01.11.40</w:t>
            </w:r>
          </w:p>
        </w:tc>
        <w:tc>
          <w:tcPr>
            <w:tcW w:w="2549" w:type="dxa"/>
          </w:tcPr>
          <w:p w14:paraId="35B064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AB6074B" w14:textId="77777777" w:rsidTr="00E543D0">
        <w:tc>
          <w:tcPr>
            <w:tcW w:w="1809" w:type="dxa"/>
          </w:tcPr>
          <w:p w14:paraId="53816A8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26E173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w:t>
            </w:r>
          </w:p>
        </w:tc>
        <w:tc>
          <w:tcPr>
            <w:tcW w:w="961" w:type="dxa"/>
          </w:tcPr>
          <w:p w14:paraId="322330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2/М35А</w:t>
            </w:r>
          </w:p>
        </w:tc>
        <w:tc>
          <w:tcPr>
            <w:tcW w:w="961" w:type="dxa"/>
          </w:tcPr>
          <w:p w14:paraId="0B0943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7D8253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w:t>
            </w:r>
          </w:p>
        </w:tc>
        <w:tc>
          <w:tcPr>
            <w:tcW w:w="961" w:type="dxa"/>
          </w:tcPr>
          <w:p w14:paraId="0BD487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2/15.07.40</w:t>
            </w:r>
          </w:p>
        </w:tc>
        <w:tc>
          <w:tcPr>
            <w:tcW w:w="1432" w:type="dxa"/>
          </w:tcPr>
          <w:p w14:paraId="734C14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2549" w:type="dxa"/>
          </w:tcPr>
          <w:p w14:paraId="48BB0B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2CC0A28" w14:textId="77777777" w:rsidTr="00E543D0">
        <w:tc>
          <w:tcPr>
            <w:tcW w:w="1809" w:type="dxa"/>
          </w:tcPr>
          <w:p w14:paraId="4442AC8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CE085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w:t>
            </w:r>
          </w:p>
        </w:tc>
        <w:tc>
          <w:tcPr>
            <w:tcW w:w="961" w:type="dxa"/>
          </w:tcPr>
          <w:p w14:paraId="5C758C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2/М37</w:t>
            </w:r>
          </w:p>
        </w:tc>
        <w:tc>
          <w:tcPr>
            <w:tcW w:w="961" w:type="dxa"/>
          </w:tcPr>
          <w:p w14:paraId="24AD22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21066C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0E8E7F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1/15.07.40</w:t>
            </w:r>
          </w:p>
        </w:tc>
        <w:tc>
          <w:tcPr>
            <w:tcW w:w="1432" w:type="dxa"/>
          </w:tcPr>
          <w:p w14:paraId="0BB911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55EF27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работающего стенда</w:t>
            </w:r>
          </w:p>
        </w:tc>
      </w:tr>
      <w:tr w:rsidR="007D5DF8" w:rsidRPr="00DB5D0D" w14:paraId="70AE555C" w14:textId="77777777" w:rsidTr="00E543D0">
        <w:tc>
          <w:tcPr>
            <w:tcW w:w="1809" w:type="dxa"/>
          </w:tcPr>
          <w:p w14:paraId="78AE8F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BC3FBB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89C69A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38D30A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A8FAD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44F8B6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2/15.08.40</w:t>
            </w:r>
          </w:p>
        </w:tc>
        <w:tc>
          <w:tcPr>
            <w:tcW w:w="1432" w:type="dxa"/>
          </w:tcPr>
          <w:p w14:paraId="1483B6F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1C0E6E6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F67BB83" w14:textId="77777777" w:rsidTr="00E543D0">
        <w:tc>
          <w:tcPr>
            <w:tcW w:w="1809" w:type="dxa"/>
          </w:tcPr>
          <w:p w14:paraId="6B0D92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2B9F7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w:t>
            </w:r>
          </w:p>
        </w:tc>
        <w:tc>
          <w:tcPr>
            <w:tcW w:w="961" w:type="dxa"/>
          </w:tcPr>
          <w:p w14:paraId="335953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2/120ТК</w:t>
            </w:r>
          </w:p>
        </w:tc>
        <w:tc>
          <w:tcPr>
            <w:tcW w:w="961" w:type="dxa"/>
          </w:tcPr>
          <w:p w14:paraId="04EAF9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4566E7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w:t>
            </w:r>
          </w:p>
        </w:tc>
        <w:tc>
          <w:tcPr>
            <w:tcW w:w="961" w:type="dxa"/>
          </w:tcPr>
          <w:p w14:paraId="17CFE3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2/15.07.40</w:t>
            </w:r>
          </w:p>
        </w:tc>
        <w:tc>
          <w:tcPr>
            <w:tcW w:w="1432" w:type="dxa"/>
          </w:tcPr>
          <w:p w14:paraId="1D4916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2/15.09.40</w:t>
            </w:r>
          </w:p>
        </w:tc>
        <w:tc>
          <w:tcPr>
            <w:tcW w:w="2549" w:type="dxa"/>
          </w:tcPr>
          <w:p w14:paraId="17FE3C9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534A624" w14:textId="77777777" w:rsidTr="00E543D0">
        <w:tc>
          <w:tcPr>
            <w:tcW w:w="1809" w:type="dxa"/>
          </w:tcPr>
          <w:p w14:paraId="199142B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4B954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w:t>
            </w:r>
          </w:p>
        </w:tc>
        <w:tc>
          <w:tcPr>
            <w:tcW w:w="961" w:type="dxa"/>
          </w:tcPr>
          <w:p w14:paraId="04DF19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2/120ТК</w:t>
            </w:r>
          </w:p>
        </w:tc>
        <w:tc>
          <w:tcPr>
            <w:tcW w:w="961" w:type="dxa"/>
          </w:tcPr>
          <w:p w14:paraId="7DD634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61" w:type="dxa"/>
          </w:tcPr>
          <w:p w14:paraId="1DA372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22782A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2/15.08.40</w:t>
            </w:r>
          </w:p>
        </w:tc>
        <w:tc>
          <w:tcPr>
            <w:tcW w:w="1432" w:type="dxa"/>
          </w:tcPr>
          <w:p w14:paraId="77020B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2/15.10.40</w:t>
            </w:r>
          </w:p>
        </w:tc>
        <w:tc>
          <w:tcPr>
            <w:tcW w:w="2549" w:type="dxa"/>
          </w:tcPr>
          <w:p w14:paraId="246F84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749A687" w14:textId="77777777" w:rsidTr="00E543D0">
        <w:tc>
          <w:tcPr>
            <w:tcW w:w="1809" w:type="dxa"/>
          </w:tcPr>
          <w:p w14:paraId="2FD697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43, Таиров</w:t>
            </w:r>
          </w:p>
        </w:tc>
        <w:tc>
          <w:tcPr>
            <w:tcW w:w="961" w:type="dxa"/>
          </w:tcPr>
          <w:p w14:paraId="5672B3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w:t>
            </w:r>
          </w:p>
        </w:tc>
        <w:tc>
          <w:tcPr>
            <w:tcW w:w="961" w:type="dxa"/>
          </w:tcPr>
          <w:p w14:paraId="09565B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2/М88бр</w:t>
            </w:r>
          </w:p>
        </w:tc>
        <w:tc>
          <w:tcPr>
            <w:tcW w:w="961" w:type="dxa"/>
          </w:tcPr>
          <w:p w14:paraId="50FD7F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282329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7ECCC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1/10.07.40 прав.</w:t>
            </w:r>
          </w:p>
        </w:tc>
        <w:tc>
          <w:tcPr>
            <w:tcW w:w="1432" w:type="dxa"/>
          </w:tcPr>
          <w:p w14:paraId="027790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1/01.08.40 лев.</w:t>
            </w:r>
          </w:p>
        </w:tc>
        <w:tc>
          <w:tcPr>
            <w:tcW w:w="2549" w:type="dxa"/>
          </w:tcPr>
          <w:p w14:paraId="3FE9CC2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9A07849" w14:textId="77777777" w:rsidTr="00E543D0">
        <w:tc>
          <w:tcPr>
            <w:tcW w:w="1809" w:type="dxa"/>
          </w:tcPr>
          <w:p w14:paraId="2F862F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9DB42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w:t>
            </w:r>
          </w:p>
        </w:tc>
        <w:tc>
          <w:tcPr>
            <w:tcW w:w="961" w:type="dxa"/>
          </w:tcPr>
          <w:p w14:paraId="7B8DB3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2/М89Р</w:t>
            </w:r>
          </w:p>
        </w:tc>
        <w:tc>
          <w:tcPr>
            <w:tcW w:w="961" w:type="dxa"/>
          </w:tcPr>
          <w:p w14:paraId="06211F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3FB3AF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B6151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2/нужен сейчас</w:t>
            </w:r>
          </w:p>
        </w:tc>
        <w:tc>
          <w:tcPr>
            <w:tcW w:w="1432" w:type="dxa"/>
          </w:tcPr>
          <w:p w14:paraId="0F7490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1/01.08.40</w:t>
            </w:r>
          </w:p>
        </w:tc>
        <w:tc>
          <w:tcPr>
            <w:tcW w:w="2549" w:type="dxa"/>
          </w:tcPr>
          <w:p w14:paraId="05D4A3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улучшения летных</w:t>
            </w:r>
          </w:p>
        </w:tc>
      </w:tr>
      <w:tr w:rsidR="007D5DF8" w:rsidRPr="00DB5D0D" w14:paraId="6B8DE5DF" w14:textId="77777777" w:rsidTr="00E543D0">
        <w:tc>
          <w:tcPr>
            <w:tcW w:w="1809" w:type="dxa"/>
          </w:tcPr>
          <w:p w14:paraId="2C33582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8CA46A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30671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94F6BD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6E835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55E08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32" w:type="dxa"/>
          </w:tcPr>
          <w:p w14:paraId="438B2E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2549" w:type="dxa"/>
          </w:tcPr>
          <w:p w14:paraId="4D770F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качеств</w:t>
            </w:r>
          </w:p>
        </w:tc>
      </w:tr>
      <w:tr w:rsidR="007D5DF8" w:rsidRPr="00DB5D0D" w14:paraId="5D3B5DBA" w14:textId="77777777" w:rsidTr="00E543D0">
        <w:tc>
          <w:tcPr>
            <w:tcW w:w="1809" w:type="dxa"/>
          </w:tcPr>
          <w:p w14:paraId="3DB8828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A73C8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ОКО-8</w:t>
            </w:r>
          </w:p>
        </w:tc>
        <w:tc>
          <w:tcPr>
            <w:tcW w:w="961" w:type="dxa"/>
          </w:tcPr>
          <w:p w14:paraId="76CCEE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2EE8CB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33C5691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75E32E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32" w:type="dxa"/>
          </w:tcPr>
          <w:p w14:paraId="33D2EE8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3E1596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Будет определено</w:t>
            </w:r>
          </w:p>
        </w:tc>
      </w:tr>
      <w:tr w:rsidR="007D5DF8" w:rsidRPr="00DB5D0D" w14:paraId="217424FC" w14:textId="77777777" w:rsidTr="00E543D0">
        <w:tc>
          <w:tcPr>
            <w:tcW w:w="1809" w:type="dxa"/>
          </w:tcPr>
          <w:p w14:paraId="49878F5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09411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ОКО-8</w:t>
            </w:r>
          </w:p>
        </w:tc>
        <w:tc>
          <w:tcPr>
            <w:tcW w:w="961" w:type="dxa"/>
          </w:tcPr>
          <w:p w14:paraId="7B6E05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46D202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01C5501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99DB6A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32" w:type="dxa"/>
          </w:tcPr>
          <w:p w14:paraId="0275F9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02F238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Будет определено</w:t>
            </w:r>
          </w:p>
        </w:tc>
      </w:tr>
      <w:tr w:rsidR="007D5DF8" w:rsidRPr="00DB5D0D" w14:paraId="76ABFBBE" w14:textId="77777777" w:rsidTr="00E543D0">
        <w:tc>
          <w:tcPr>
            <w:tcW w:w="1809" w:type="dxa"/>
          </w:tcPr>
          <w:p w14:paraId="7FBB91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156, Беляев</w:t>
            </w:r>
          </w:p>
        </w:tc>
        <w:tc>
          <w:tcPr>
            <w:tcW w:w="961" w:type="dxa"/>
          </w:tcPr>
          <w:p w14:paraId="59CDA1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ЭОИ</w:t>
            </w:r>
          </w:p>
        </w:tc>
        <w:tc>
          <w:tcPr>
            <w:tcW w:w="961" w:type="dxa"/>
          </w:tcPr>
          <w:p w14:paraId="40B927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1/М-105</w:t>
            </w:r>
          </w:p>
        </w:tc>
        <w:tc>
          <w:tcPr>
            <w:tcW w:w="961" w:type="dxa"/>
          </w:tcPr>
          <w:p w14:paraId="1A22CE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4460F2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56444F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1/15.07.40</w:t>
            </w:r>
          </w:p>
        </w:tc>
        <w:tc>
          <w:tcPr>
            <w:tcW w:w="1432" w:type="dxa"/>
          </w:tcPr>
          <w:p w14:paraId="15AF84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1/15.07.40</w:t>
            </w:r>
          </w:p>
        </w:tc>
        <w:tc>
          <w:tcPr>
            <w:tcW w:w="2549" w:type="dxa"/>
          </w:tcPr>
          <w:p w14:paraId="0972081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303CAB4" w14:textId="77777777" w:rsidTr="00E543D0">
        <w:tc>
          <w:tcPr>
            <w:tcW w:w="1809" w:type="dxa"/>
          </w:tcPr>
          <w:p w14:paraId="3EE58F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7B0961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C79E3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ПТК-2</w:t>
            </w:r>
          </w:p>
        </w:tc>
        <w:tc>
          <w:tcPr>
            <w:tcW w:w="961" w:type="dxa"/>
          </w:tcPr>
          <w:p w14:paraId="0B07E0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848277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31DBD0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32" w:type="dxa"/>
          </w:tcPr>
          <w:p w14:paraId="76EA22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0F2D96E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16D8384" w14:textId="77777777" w:rsidTr="00E543D0">
        <w:tc>
          <w:tcPr>
            <w:tcW w:w="1809" w:type="dxa"/>
          </w:tcPr>
          <w:p w14:paraId="2384359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220949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ЭОИ</w:t>
            </w:r>
          </w:p>
        </w:tc>
        <w:tc>
          <w:tcPr>
            <w:tcW w:w="961" w:type="dxa"/>
          </w:tcPr>
          <w:p w14:paraId="5953F8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1/М-105</w:t>
            </w:r>
          </w:p>
        </w:tc>
        <w:tc>
          <w:tcPr>
            <w:tcW w:w="961" w:type="dxa"/>
          </w:tcPr>
          <w:p w14:paraId="0576EE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3EB2B5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8F1DF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1/15.09.40</w:t>
            </w:r>
          </w:p>
        </w:tc>
        <w:tc>
          <w:tcPr>
            <w:tcW w:w="1432" w:type="dxa"/>
          </w:tcPr>
          <w:p w14:paraId="220AEB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1/15.09.40</w:t>
            </w:r>
          </w:p>
        </w:tc>
        <w:tc>
          <w:tcPr>
            <w:tcW w:w="2549" w:type="dxa"/>
          </w:tcPr>
          <w:p w14:paraId="180420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14284D" w14:textId="77777777" w:rsidTr="00E543D0">
        <w:tc>
          <w:tcPr>
            <w:tcW w:w="1809" w:type="dxa"/>
          </w:tcPr>
          <w:p w14:paraId="115B58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86CDE2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392EC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ПТК-2</w:t>
            </w:r>
          </w:p>
        </w:tc>
        <w:tc>
          <w:tcPr>
            <w:tcW w:w="961" w:type="dxa"/>
          </w:tcPr>
          <w:p w14:paraId="3681706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EC17B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FA4240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32" w:type="dxa"/>
          </w:tcPr>
          <w:p w14:paraId="5707A97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5BFE050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F3BBFF9" w14:textId="77777777" w:rsidTr="00E543D0">
        <w:tc>
          <w:tcPr>
            <w:tcW w:w="1809" w:type="dxa"/>
          </w:tcPr>
          <w:p w14:paraId="0F5AD9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84, Болховит.</w:t>
            </w:r>
          </w:p>
        </w:tc>
        <w:tc>
          <w:tcPr>
            <w:tcW w:w="961" w:type="dxa"/>
          </w:tcPr>
          <w:p w14:paraId="2B523C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 С</w:t>
            </w:r>
          </w:p>
        </w:tc>
        <w:tc>
          <w:tcPr>
            <w:tcW w:w="961" w:type="dxa"/>
          </w:tcPr>
          <w:p w14:paraId="0CD682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2/М-103</w:t>
            </w:r>
          </w:p>
        </w:tc>
        <w:tc>
          <w:tcPr>
            <w:tcW w:w="961" w:type="dxa"/>
          </w:tcPr>
          <w:p w14:paraId="1C4944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41E08E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ED0B9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2/есть</w:t>
            </w:r>
          </w:p>
        </w:tc>
        <w:tc>
          <w:tcPr>
            <w:tcW w:w="1432" w:type="dxa"/>
          </w:tcPr>
          <w:p w14:paraId="086C69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2/нужен сейчас</w:t>
            </w:r>
          </w:p>
        </w:tc>
        <w:tc>
          <w:tcPr>
            <w:tcW w:w="2549" w:type="dxa"/>
          </w:tcPr>
          <w:p w14:paraId="421A8A6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762F499" w14:textId="77777777" w:rsidTr="00E543D0">
        <w:tc>
          <w:tcPr>
            <w:tcW w:w="1809" w:type="dxa"/>
          </w:tcPr>
          <w:p w14:paraId="02407C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30, Голубков</w:t>
            </w:r>
          </w:p>
        </w:tc>
        <w:tc>
          <w:tcPr>
            <w:tcW w:w="961" w:type="dxa"/>
          </w:tcPr>
          <w:p w14:paraId="7EECEB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СБ-30</w:t>
            </w:r>
          </w:p>
        </w:tc>
        <w:tc>
          <w:tcPr>
            <w:tcW w:w="961" w:type="dxa"/>
          </w:tcPr>
          <w:p w14:paraId="6218B4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2/М-120</w:t>
            </w:r>
          </w:p>
        </w:tc>
        <w:tc>
          <w:tcPr>
            <w:tcW w:w="961" w:type="dxa"/>
          </w:tcPr>
          <w:p w14:paraId="68CC57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02379D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1/надо</w:t>
            </w:r>
          </w:p>
        </w:tc>
        <w:tc>
          <w:tcPr>
            <w:tcW w:w="961" w:type="dxa"/>
          </w:tcPr>
          <w:p w14:paraId="2A94A6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2/01.12.40</w:t>
            </w:r>
          </w:p>
        </w:tc>
        <w:tc>
          <w:tcPr>
            <w:tcW w:w="1432" w:type="dxa"/>
          </w:tcPr>
          <w:p w14:paraId="23D4B0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2/15.03.41</w:t>
            </w:r>
          </w:p>
        </w:tc>
        <w:tc>
          <w:tcPr>
            <w:tcW w:w="2549" w:type="dxa"/>
          </w:tcPr>
          <w:p w14:paraId="317317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Нужен 1 М-120 для стенда</w:t>
            </w:r>
          </w:p>
        </w:tc>
      </w:tr>
      <w:tr w:rsidR="007D5DF8" w:rsidRPr="00DB5D0D" w14:paraId="4E49725F" w14:textId="77777777" w:rsidTr="00E543D0">
        <w:tc>
          <w:tcPr>
            <w:tcW w:w="1809" w:type="dxa"/>
          </w:tcPr>
          <w:p w14:paraId="1A4E4E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934B1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СБ-30</w:t>
            </w:r>
          </w:p>
        </w:tc>
        <w:tc>
          <w:tcPr>
            <w:tcW w:w="961" w:type="dxa"/>
          </w:tcPr>
          <w:p w14:paraId="057E08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2/М-120</w:t>
            </w:r>
          </w:p>
        </w:tc>
        <w:tc>
          <w:tcPr>
            <w:tcW w:w="961" w:type="dxa"/>
          </w:tcPr>
          <w:p w14:paraId="4F1257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0DB1EE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E0F24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2/01.01.41</w:t>
            </w:r>
          </w:p>
        </w:tc>
        <w:tc>
          <w:tcPr>
            <w:tcW w:w="1432" w:type="dxa"/>
          </w:tcPr>
          <w:p w14:paraId="25FD4AF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0130F59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247146C" w14:textId="77777777" w:rsidTr="00E543D0">
        <w:tc>
          <w:tcPr>
            <w:tcW w:w="1809" w:type="dxa"/>
          </w:tcPr>
          <w:p w14:paraId="72B597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301 ЛаГГ</w:t>
            </w:r>
          </w:p>
        </w:tc>
        <w:tc>
          <w:tcPr>
            <w:tcW w:w="961" w:type="dxa"/>
          </w:tcPr>
          <w:p w14:paraId="3B7972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w:t>
            </w:r>
          </w:p>
        </w:tc>
        <w:tc>
          <w:tcPr>
            <w:tcW w:w="961" w:type="dxa"/>
          </w:tcPr>
          <w:p w14:paraId="3D2124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1/105П</w:t>
            </w:r>
          </w:p>
        </w:tc>
        <w:tc>
          <w:tcPr>
            <w:tcW w:w="961" w:type="dxa"/>
          </w:tcPr>
          <w:p w14:paraId="3B7D14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488A16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47AE1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292434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1/15.08.40</w:t>
            </w:r>
          </w:p>
        </w:tc>
        <w:tc>
          <w:tcPr>
            <w:tcW w:w="2549" w:type="dxa"/>
          </w:tcPr>
          <w:p w14:paraId="6CF947D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9A1BB6F" w14:textId="77777777" w:rsidTr="00E543D0">
        <w:tc>
          <w:tcPr>
            <w:tcW w:w="1809" w:type="dxa"/>
          </w:tcPr>
          <w:p w14:paraId="6BE747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22C12C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w:t>
            </w:r>
          </w:p>
        </w:tc>
        <w:tc>
          <w:tcPr>
            <w:tcW w:w="961" w:type="dxa"/>
          </w:tcPr>
          <w:p w14:paraId="67CFF7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1/М-105</w:t>
            </w:r>
          </w:p>
        </w:tc>
        <w:tc>
          <w:tcPr>
            <w:tcW w:w="961" w:type="dxa"/>
          </w:tcPr>
          <w:p w14:paraId="305206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55E07E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20711E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1/20.07.40</w:t>
            </w:r>
          </w:p>
        </w:tc>
        <w:tc>
          <w:tcPr>
            <w:tcW w:w="1432" w:type="dxa"/>
          </w:tcPr>
          <w:p w14:paraId="2EA6A3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2549" w:type="dxa"/>
          </w:tcPr>
          <w:p w14:paraId="49D4F40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F366755" w14:textId="77777777" w:rsidTr="00E543D0">
        <w:tc>
          <w:tcPr>
            <w:tcW w:w="1809" w:type="dxa"/>
          </w:tcPr>
          <w:p w14:paraId="1CA0487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C0917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3E32F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ПТК</w:t>
            </w:r>
          </w:p>
        </w:tc>
        <w:tc>
          <w:tcPr>
            <w:tcW w:w="961" w:type="dxa"/>
          </w:tcPr>
          <w:p w14:paraId="0DA1158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7C42E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C2B01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32" w:type="dxa"/>
          </w:tcPr>
          <w:p w14:paraId="58DA17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41D40E5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B384A5C" w14:textId="77777777" w:rsidTr="00E543D0">
        <w:tc>
          <w:tcPr>
            <w:tcW w:w="1809" w:type="dxa"/>
          </w:tcPr>
          <w:p w14:paraId="652718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124 Незваль</w:t>
            </w:r>
          </w:p>
        </w:tc>
        <w:tc>
          <w:tcPr>
            <w:tcW w:w="961" w:type="dxa"/>
          </w:tcPr>
          <w:p w14:paraId="27DAFA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w:t>
            </w:r>
          </w:p>
        </w:tc>
        <w:tc>
          <w:tcPr>
            <w:tcW w:w="961" w:type="dxa"/>
          </w:tcPr>
          <w:p w14:paraId="16CC3F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4/М-40</w:t>
            </w:r>
          </w:p>
        </w:tc>
        <w:tc>
          <w:tcPr>
            <w:tcW w:w="961" w:type="dxa"/>
          </w:tcPr>
          <w:p w14:paraId="34AA51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04FAF7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1/надо</w:t>
            </w:r>
          </w:p>
        </w:tc>
        <w:tc>
          <w:tcPr>
            <w:tcW w:w="961" w:type="dxa"/>
          </w:tcPr>
          <w:p w14:paraId="2B0857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4/нужен сейчас</w:t>
            </w:r>
          </w:p>
        </w:tc>
        <w:tc>
          <w:tcPr>
            <w:tcW w:w="1432" w:type="dxa"/>
          </w:tcPr>
          <w:p w14:paraId="7A05A1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2/нужен сейчас</w:t>
            </w:r>
          </w:p>
        </w:tc>
        <w:tc>
          <w:tcPr>
            <w:tcW w:w="2549" w:type="dxa"/>
          </w:tcPr>
          <w:p w14:paraId="45196B5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1EBDAD8" w14:textId="77777777" w:rsidTr="00E543D0">
        <w:tc>
          <w:tcPr>
            <w:tcW w:w="1809" w:type="dxa"/>
          </w:tcPr>
          <w:p w14:paraId="3989B67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32AB8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w:t>
            </w:r>
          </w:p>
        </w:tc>
        <w:tc>
          <w:tcPr>
            <w:tcW w:w="961" w:type="dxa"/>
          </w:tcPr>
          <w:p w14:paraId="48E367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4/М-30</w:t>
            </w:r>
          </w:p>
        </w:tc>
        <w:tc>
          <w:tcPr>
            <w:tcW w:w="961" w:type="dxa"/>
          </w:tcPr>
          <w:p w14:paraId="570C03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02E688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11211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4/нужен сейчас</w:t>
            </w:r>
          </w:p>
        </w:tc>
        <w:tc>
          <w:tcPr>
            <w:tcW w:w="1432" w:type="dxa"/>
          </w:tcPr>
          <w:p w14:paraId="0D3041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2/нужен сейчас</w:t>
            </w:r>
          </w:p>
        </w:tc>
        <w:tc>
          <w:tcPr>
            <w:tcW w:w="2549" w:type="dxa"/>
          </w:tcPr>
          <w:p w14:paraId="0F5459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85EA20D" w14:textId="77777777" w:rsidTr="00E543D0">
        <w:tc>
          <w:tcPr>
            <w:tcW w:w="1809" w:type="dxa"/>
          </w:tcPr>
          <w:p w14:paraId="40376F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ЦАГИ Бисн.</w:t>
            </w:r>
          </w:p>
        </w:tc>
        <w:tc>
          <w:tcPr>
            <w:tcW w:w="961" w:type="dxa"/>
          </w:tcPr>
          <w:p w14:paraId="29BC81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w:t>
            </w:r>
          </w:p>
        </w:tc>
        <w:tc>
          <w:tcPr>
            <w:tcW w:w="961" w:type="dxa"/>
          </w:tcPr>
          <w:p w14:paraId="3FBEE2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1/М-105</w:t>
            </w:r>
          </w:p>
        </w:tc>
        <w:tc>
          <w:tcPr>
            <w:tcW w:w="961" w:type="dxa"/>
          </w:tcPr>
          <w:p w14:paraId="18FEA5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7C11EE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56FD6C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533F64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4206C27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B0614CF" w14:textId="77777777" w:rsidTr="00E543D0">
        <w:tc>
          <w:tcPr>
            <w:tcW w:w="1809" w:type="dxa"/>
          </w:tcPr>
          <w:p w14:paraId="017B92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CA6B7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w:t>
            </w:r>
          </w:p>
        </w:tc>
        <w:tc>
          <w:tcPr>
            <w:tcW w:w="961" w:type="dxa"/>
          </w:tcPr>
          <w:p w14:paraId="22C88B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1/М-105</w:t>
            </w:r>
          </w:p>
        </w:tc>
        <w:tc>
          <w:tcPr>
            <w:tcW w:w="961" w:type="dxa"/>
          </w:tcPr>
          <w:p w14:paraId="029F21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2DC1E9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0321C7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41FC38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041740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7FE90B8" w14:textId="77777777" w:rsidTr="00E543D0">
        <w:tc>
          <w:tcPr>
            <w:tcW w:w="1809" w:type="dxa"/>
          </w:tcPr>
          <w:p w14:paraId="0358F2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156, Шевчен.</w:t>
            </w:r>
          </w:p>
        </w:tc>
        <w:tc>
          <w:tcPr>
            <w:tcW w:w="961" w:type="dxa"/>
          </w:tcPr>
          <w:p w14:paraId="065B5C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w:t>
            </w:r>
          </w:p>
        </w:tc>
        <w:tc>
          <w:tcPr>
            <w:tcW w:w="961" w:type="dxa"/>
          </w:tcPr>
          <w:p w14:paraId="79E968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1/М-63</w:t>
            </w:r>
          </w:p>
        </w:tc>
        <w:tc>
          <w:tcPr>
            <w:tcW w:w="961" w:type="dxa"/>
          </w:tcPr>
          <w:p w14:paraId="0A5DB7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4851C8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048F61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0BAB30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2549" w:type="dxa"/>
          </w:tcPr>
          <w:p w14:paraId="41626D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A9397D4" w14:textId="77777777" w:rsidTr="00E543D0">
        <w:tc>
          <w:tcPr>
            <w:tcW w:w="1809" w:type="dxa"/>
          </w:tcPr>
          <w:p w14:paraId="7C02CC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Никитин</w:t>
            </w:r>
          </w:p>
        </w:tc>
        <w:tc>
          <w:tcPr>
            <w:tcW w:w="961" w:type="dxa"/>
          </w:tcPr>
          <w:p w14:paraId="126BDC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w:t>
            </w:r>
          </w:p>
        </w:tc>
        <w:tc>
          <w:tcPr>
            <w:tcW w:w="961" w:type="dxa"/>
          </w:tcPr>
          <w:p w14:paraId="4EE7EC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1/М-88</w:t>
            </w:r>
          </w:p>
        </w:tc>
        <w:tc>
          <w:tcPr>
            <w:tcW w:w="961" w:type="dxa"/>
          </w:tcPr>
          <w:p w14:paraId="325671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394B4F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193E4B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05D863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1/01.08.40</w:t>
            </w:r>
          </w:p>
        </w:tc>
        <w:tc>
          <w:tcPr>
            <w:tcW w:w="2549" w:type="dxa"/>
          </w:tcPr>
          <w:p w14:paraId="595EF2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синхронизатором</w:t>
            </w:r>
          </w:p>
        </w:tc>
      </w:tr>
      <w:tr w:rsidR="007D5DF8" w:rsidRPr="00DB5D0D" w14:paraId="63CDADE3" w14:textId="77777777" w:rsidTr="00E543D0">
        <w:tc>
          <w:tcPr>
            <w:tcW w:w="1809" w:type="dxa"/>
          </w:tcPr>
          <w:p w14:paraId="7B345E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МАИ, Грушин</w:t>
            </w:r>
          </w:p>
        </w:tc>
        <w:tc>
          <w:tcPr>
            <w:tcW w:w="961" w:type="dxa"/>
          </w:tcPr>
          <w:p w14:paraId="232BA6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ББ-4</w:t>
            </w:r>
          </w:p>
        </w:tc>
        <w:tc>
          <w:tcPr>
            <w:tcW w:w="961" w:type="dxa"/>
          </w:tcPr>
          <w:p w14:paraId="5CA56A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1/105ТК</w:t>
            </w:r>
          </w:p>
        </w:tc>
        <w:tc>
          <w:tcPr>
            <w:tcW w:w="961" w:type="dxa"/>
          </w:tcPr>
          <w:p w14:paraId="50E61B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26CB4B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w:t>
            </w:r>
          </w:p>
        </w:tc>
        <w:tc>
          <w:tcPr>
            <w:tcW w:w="961" w:type="dxa"/>
          </w:tcPr>
          <w:p w14:paraId="602C15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1432" w:type="dxa"/>
          </w:tcPr>
          <w:p w14:paraId="16433E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1/20.07.40</w:t>
            </w:r>
          </w:p>
        </w:tc>
        <w:tc>
          <w:tcPr>
            <w:tcW w:w="2549" w:type="dxa"/>
          </w:tcPr>
          <w:p w14:paraId="2CC384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Взамен некондиционного</w:t>
            </w:r>
          </w:p>
        </w:tc>
      </w:tr>
      <w:tr w:rsidR="007D5DF8" w:rsidRPr="00DB5D0D" w14:paraId="2D1025B7" w14:textId="77777777" w:rsidTr="00E543D0">
        <w:tc>
          <w:tcPr>
            <w:tcW w:w="1809" w:type="dxa"/>
          </w:tcPr>
          <w:p w14:paraId="6494CAD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B373B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ББ-4</w:t>
            </w:r>
          </w:p>
        </w:tc>
        <w:tc>
          <w:tcPr>
            <w:tcW w:w="961" w:type="dxa"/>
          </w:tcPr>
          <w:p w14:paraId="50E904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1/105ТК</w:t>
            </w:r>
          </w:p>
        </w:tc>
        <w:tc>
          <w:tcPr>
            <w:tcW w:w="961" w:type="dxa"/>
          </w:tcPr>
          <w:p w14:paraId="166185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3639EA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6ED26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1432" w:type="dxa"/>
          </w:tcPr>
          <w:p w14:paraId="32F637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1/31.12.40</w:t>
            </w:r>
          </w:p>
        </w:tc>
        <w:tc>
          <w:tcPr>
            <w:tcW w:w="2549" w:type="dxa"/>
          </w:tcPr>
          <w:p w14:paraId="2AAF95B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0AF0BBB" w14:textId="77777777" w:rsidTr="00E543D0">
        <w:tc>
          <w:tcPr>
            <w:tcW w:w="1809" w:type="dxa"/>
          </w:tcPr>
          <w:p w14:paraId="5F839D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81, Курбала</w:t>
            </w:r>
          </w:p>
        </w:tc>
        <w:tc>
          <w:tcPr>
            <w:tcW w:w="961" w:type="dxa"/>
          </w:tcPr>
          <w:p w14:paraId="574B42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w:t>
            </w:r>
          </w:p>
        </w:tc>
        <w:tc>
          <w:tcPr>
            <w:tcW w:w="961" w:type="dxa"/>
          </w:tcPr>
          <w:p w14:paraId="7D4063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2/М-105</w:t>
            </w:r>
          </w:p>
        </w:tc>
        <w:tc>
          <w:tcPr>
            <w:tcW w:w="961" w:type="dxa"/>
          </w:tcPr>
          <w:p w14:paraId="2A335B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0F40ED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48D80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2/нужен сейчас</w:t>
            </w:r>
          </w:p>
        </w:tc>
        <w:tc>
          <w:tcPr>
            <w:tcW w:w="1432" w:type="dxa"/>
          </w:tcPr>
          <w:p w14:paraId="22AD5A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2/01.08.40</w:t>
            </w:r>
          </w:p>
        </w:tc>
        <w:tc>
          <w:tcPr>
            <w:tcW w:w="2549" w:type="dxa"/>
          </w:tcPr>
          <w:p w14:paraId="6F7EDB4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F79329A" w14:textId="77777777" w:rsidTr="00E543D0">
        <w:tc>
          <w:tcPr>
            <w:tcW w:w="1809" w:type="dxa"/>
          </w:tcPr>
          <w:p w14:paraId="0661F6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207, Боровков</w:t>
            </w:r>
          </w:p>
        </w:tc>
        <w:tc>
          <w:tcPr>
            <w:tcW w:w="961" w:type="dxa"/>
          </w:tcPr>
          <w:p w14:paraId="772CFB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w:t>
            </w:r>
          </w:p>
        </w:tc>
        <w:tc>
          <w:tcPr>
            <w:tcW w:w="961" w:type="dxa"/>
          </w:tcPr>
          <w:p w14:paraId="13B292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1/М-63</w:t>
            </w:r>
          </w:p>
        </w:tc>
        <w:tc>
          <w:tcPr>
            <w:tcW w:w="961" w:type="dxa"/>
          </w:tcPr>
          <w:p w14:paraId="449B6E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61" w:type="dxa"/>
          </w:tcPr>
          <w:p w14:paraId="19F563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5F3D0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2589BD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3027BC8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5E2269F" w14:textId="77777777" w:rsidTr="00E543D0">
        <w:tc>
          <w:tcPr>
            <w:tcW w:w="1809" w:type="dxa"/>
          </w:tcPr>
          <w:p w14:paraId="679745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Флоров</w:t>
            </w:r>
          </w:p>
        </w:tc>
        <w:tc>
          <w:tcPr>
            <w:tcW w:w="961" w:type="dxa"/>
          </w:tcPr>
          <w:p w14:paraId="315D3C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w:t>
            </w:r>
          </w:p>
        </w:tc>
        <w:tc>
          <w:tcPr>
            <w:tcW w:w="961" w:type="dxa"/>
          </w:tcPr>
          <w:p w14:paraId="60E177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1/М-64Р</w:t>
            </w:r>
          </w:p>
        </w:tc>
        <w:tc>
          <w:tcPr>
            <w:tcW w:w="961" w:type="dxa"/>
          </w:tcPr>
          <w:p w14:paraId="44AF80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61" w:type="dxa"/>
          </w:tcPr>
          <w:p w14:paraId="1BF175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1937E6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1432" w:type="dxa"/>
          </w:tcPr>
          <w:p w14:paraId="107FCC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1/01.08.40</w:t>
            </w:r>
          </w:p>
        </w:tc>
        <w:tc>
          <w:tcPr>
            <w:tcW w:w="2549" w:type="dxa"/>
          </w:tcPr>
          <w:p w14:paraId="11D9A6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удлиненным валом</w:t>
            </w:r>
          </w:p>
        </w:tc>
      </w:tr>
      <w:tr w:rsidR="007D5DF8" w:rsidRPr="00DB5D0D" w14:paraId="25B5B619" w14:textId="77777777" w:rsidTr="00E543D0">
        <w:tc>
          <w:tcPr>
            <w:tcW w:w="1809" w:type="dxa"/>
          </w:tcPr>
          <w:p w14:paraId="2FF09B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МАИ, Юрьев</w:t>
            </w:r>
          </w:p>
        </w:tc>
        <w:tc>
          <w:tcPr>
            <w:tcW w:w="961" w:type="dxa"/>
          </w:tcPr>
          <w:p w14:paraId="3C8B1D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Г11ЭА</w:t>
            </w:r>
          </w:p>
        </w:tc>
        <w:tc>
          <w:tcPr>
            <w:tcW w:w="961" w:type="dxa"/>
          </w:tcPr>
          <w:p w14:paraId="3FF880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1/Кер.К</w:t>
            </w:r>
          </w:p>
        </w:tc>
        <w:tc>
          <w:tcPr>
            <w:tcW w:w="961" w:type="dxa"/>
          </w:tcPr>
          <w:p w14:paraId="3B5B6B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3D4A90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09AD0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Pr>
          <w:p w14:paraId="7E45FC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5DE4985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15F00A9" w14:textId="77777777" w:rsidTr="00E543D0">
        <w:tc>
          <w:tcPr>
            <w:tcW w:w="1809" w:type="dxa"/>
          </w:tcPr>
          <w:p w14:paraId="4717AB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Братухин</w:t>
            </w:r>
          </w:p>
        </w:tc>
        <w:tc>
          <w:tcPr>
            <w:tcW w:w="961" w:type="dxa"/>
          </w:tcPr>
          <w:p w14:paraId="720E01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Г-2</w:t>
            </w:r>
          </w:p>
        </w:tc>
        <w:tc>
          <w:tcPr>
            <w:tcW w:w="961" w:type="dxa"/>
          </w:tcPr>
          <w:p w14:paraId="1E6477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2/МВ-6</w:t>
            </w:r>
          </w:p>
        </w:tc>
        <w:tc>
          <w:tcPr>
            <w:tcW w:w="961" w:type="dxa"/>
          </w:tcPr>
          <w:p w14:paraId="0F42FE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182584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дор.</w:t>
            </w:r>
          </w:p>
        </w:tc>
        <w:tc>
          <w:tcPr>
            <w:tcW w:w="961" w:type="dxa"/>
          </w:tcPr>
          <w:p w14:paraId="725695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2/01.10.40</w:t>
            </w:r>
          </w:p>
        </w:tc>
        <w:tc>
          <w:tcPr>
            <w:tcW w:w="1432" w:type="dxa"/>
          </w:tcPr>
          <w:p w14:paraId="7EA5CD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2/01.11.40</w:t>
            </w:r>
          </w:p>
        </w:tc>
        <w:tc>
          <w:tcPr>
            <w:tcW w:w="2549" w:type="dxa"/>
          </w:tcPr>
          <w:p w14:paraId="39B7F5D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73160D6" w14:textId="77777777" w:rsidTr="00E543D0">
        <w:tc>
          <w:tcPr>
            <w:tcW w:w="1809" w:type="dxa"/>
          </w:tcPr>
          <w:p w14:paraId="14A93F2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BE829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Г-2</w:t>
            </w:r>
          </w:p>
        </w:tc>
        <w:tc>
          <w:tcPr>
            <w:tcW w:w="961" w:type="dxa"/>
          </w:tcPr>
          <w:p w14:paraId="548F38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2/МВ-6</w:t>
            </w:r>
          </w:p>
        </w:tc>
        <w:tc>
          <w:tcPr>
            <w:tcW w:w="961" w:type="dxa"/>
          </w:tcPr>
          <w:p w14:paraId="1584DE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254E71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4D735C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2/01.01.41</w:t>
            </w:r>
          </w:p>
        </w:tc>
        <w:tc>
          <w:tcPr>
            <w:tcW w:w="1432" w:type="dxa"/>
          </w:tcPr>
          <w:p w14:paraId="5DA498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0E68D7F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53CF542" w14:textId="77777777" w:rsidTr="00E543D0">
        <w:tc>
          <w:tcPr>
            <w:tcW w:w="1809" w:type="dxa"/>
          </w:tcPr>
          <w:p w14:paraId="6C5CF0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ОКБ-31 САМ</w:t>
            </w:r>
          </w:p>
        </w:tc>
        <w:tc>
          <w:tcPr>
            <w:tcW w:w="961" w:type="dxa"/>
          </w:tcPr>
          <w:p w14:paraId="4486E4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САМ-13</w:t>
            </w:r>
          </w:p>
        </w:tc>
        <w:tc>
          <w:tcPr>
            <w:tcW w:w="961" w:type="dxa"/>
          </w:tcPr>
          <w:p w14:paraId="0608BB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2/МВ-6</w:t>
            </w:r>
          </w:p>
        </w:tc>
        <w:tc>
          <w:tcPr>
            <w:tcW w:w="961" w:type="dxa"/>
          </w:tcPr>
          <w:p w14:paraId="181B61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6D7F0E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3E60F5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28BFC6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2549" w:type="dxa"/>
          </w:tcPr>
          <w:p w14:paraId="601F8B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67A307C" w14:textId="77777777" w:rsidTr="00E543D0">
        <w:tc>
          <w:tcPr>
            <w:tcW w:w="1809" w:type="dxa"/>
          </w:tcPr>
          <w:p w14:paraId="7E99C74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C7EFA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САМ-11</w:t>
            </w:r>
          </w:p>
        </w:tc>
        <w:tc>
          <w:tcPr>
            <w:tcW w:w="961" w:type="dxa"/>
          </w:tcPr>
          <w:p w14:paraId="5E6F69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1/МВ-6</w:t>
            </w:r>
          </w:p>
        </w:tc>
        <w:tc>
          <w:tcPr>
            <w:tcW w:w="961" w:type="dxa"/>
          </w:tcPr>
          <w:p w14:paraId="733684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0D8788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23975B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1/20.07.40</w:t>
            </w:r>
          </w:p>
        </w:tc>
        <w:tc>
          <w:tcPr>
            <w:tcW w:w="1432" w:type="dxa"/>
          </w:tcPr>
          <w:p w14:paraId="009133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2549" w:type="dxa"/>
          </w:tcPr>
          <w:p w14:paraId="5D6E95E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330E12D" w14:textId="77777777" w:rsidTr="00E543D0">
        <w:tc>
          <w:tcPr>
            <w:tcW w:w="1809" w:type="dxa"/>
          </w:tcPr>
          <w:p w14:paraId="48A301B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08620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САМ-11</w:t>
            </w:r>
          </w:p>
        </w:tc>
        <w:tc>
          <w:tcPr>
            <w:tcW w:w="961" w:type="dxa"/>
          </w:tcPr>
          <w:p w14:paraId="24867B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1/МВ-6</w:t>
            </w:r>
          </w:p>
        </w:tc>
        <w:tc>
          <w:tcPr>
            <w:tcW w:w="961" w:type="dxa"/>
          </w:tcPr>
          <w:p w14:paraId="56339C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1500CD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5ADC88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1/15.08.40</w:t>
            </w:r>
          </w:p>
        </w:tc>
        <w:tc>
          <w:tcPr>
            <w:tcW w:w="1432" w:type="dxa"/>
          </w:tcPr>
          <w:p w14:paraId="597344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360D9C4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490A74E" w14:textId="77777777" w:rsidTr="00E543D0">
        <w:tc>
          <w:tcPr>
            <w:tcW w:w="1809" w:type="dxa"/>
          </w:tcPr>
          <w:p w14:paraId="453B5A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84, Сеньков</w:t>
            </w:r>
          </w:p>
        </w:tc>
        <w:tc>
          <w:tcPr>
            <w:tcW w:w="961" w:type="dxa"/>
          </w:tcPr>
          <w:p w14:paraId="110EDA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ПС-84</w:t>
            </w:r>
          </w:p>
        </w:tc>
        <w:tc>
          <w:tcPr>
            <w:tcW w:w="961" w:type="dxa"/>
          </w:tcPr>
          <w:p w14:paraId="01ECA7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2/М-63</w:t>
            </w:r>
          </w:p>
        </w:tc>
        <w:tc>
          <w:tcPr>
            <w:tcW w:w="961" w:type="dxa"/>
          </w:tcPr>
          <w:p w14:paraId="6EE9F4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2047BD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B3BFA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470DDD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79F1993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D8EDC6B" w14:textId="77777777" w:rsidTr="00E543D0">
        <w:tc>
          <w:tcPr>
            <w:tcW w:w="1809" w:type="dxa"/>
          </w:tcPr>
          <w:p w14:paraId="7C6F35C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16ECF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ПС-84</w:t>
            </w:r>
          </w:p>
        </w:tc>
        <w:tc>
          <w:tcPr>
            <w:tcW w:w="961" w:type="dxa"/>
          </w:tcPr>
          <w:p w14:paraId="232DD5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2/М-63</w:t>
            </w:r>
          </w:p>
        </w:tc>
        <w:tc>
          <w:tcPr>
            <w:tcW w:w="961" w:type="dxa"/>
          </w:tcPr>
          <w:p w14:paraId="3063AE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7B3762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16BDF3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102C79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15425A4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231A713" w14:textId="77777777" w:rsidTr="00E543D0">
        <w:tc>
          <w:tcPr>
            <w:tcW w:w="1809" w:type="dxa"/>
          </w:tcPr>
          <w:p w14:paraId="5CAAC14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DC664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Эталон</w:t>
            </w:r>
          </w:p>
        </w:tc>
        <w:tc>
          <w:tcPr>
            <w:tcW w:w="961" w:type="dxa"/>
          </w:tcPr>
          <w:p w14:paraId="5F1B2D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2/М-71</w:t>
            </w:r>
          </w:p>
        </w:tc>
        <w:tc>
          <w:tcPr>
            <w:tcW w:w="961" w:type="dxa"/>
          </w:tcPr>
          <w:p w14:paraId="30A760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203BB4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1/25.07</w:t>
            </w:r>
          </w:p>
        </w:tc>
        <w:tc>
          <w:tcPr>
            <w:tcW w:w="961" w:type="dxa"/>
          </w:tcPr>
          <w:p w14:paraId="2D7E33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1/15.08.40</w:t>
            </w:r>
          </w:p>
        </w:tc>
        <w:tc>
          <w:tcPr>
            <w:tcW w:w="1432" w:type="dxa"/>
          </w:tcPr>
          <w:p w14:paraId="5D80BC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2EC763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стендовых испытаний</w:t>
            </w:r>
          </w:p>
        </w:tc>
      </w:tr>
      <w:tr w:rsidR="007D5DF8" w:rsidRPr="00DB5D0D" w14:paraId="5A9DCCB8" w14:textId="77777777" w:rsidTr="00E543D0">
        <w:tc>
          <w:tcPr>
            <w:tcW w:w="1809" w:type="dxa"/>
          </w:tcPr>
          <w:p w14:paraId="35E35A7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E1199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w:t>
            </w:r>
          </w:p>
        </w:tc>
        <w:tc>
          <w:tcPr>
            <w:tcW w:w="961" w:type="dxa"/>
          </w:tcPr>
          <w:p w14:paraId="343639D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F56B77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CC924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2B882F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2/01.09.40</w:t>
            </w:r>
          </w:p>
        </w:tc>
        <w:tc>
          <w:tcPr>
            <w:tcW w:w="1432" w:type="dxa"/>
          </w:tcPr>
          <w:p w14:paraId="22A2D9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2/01.10.40</w:t>
            </w:r>
          </w:p>
        </w:tc>
        <w:tc>
          <w:tcPr>
            <w:tcW w:w="2549" w:type="dxa"/>
          </w:tcPr>
          <w:p w14:paraId="5C739EB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115A99F" w14:textId="77777777" w:rsidTr="00E543D0">
        <w:tc>
          <w:tcPr>
            <w:tcW w:w="1809" w:type="dxa"/>
          </w:tcPr>
          <w:p w14:paraId="72C385A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1EC78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Эталон</w:t>
            </w:r>
          </w:p>
        </w:tc>
        <w:tc>
          <w:tcPr>
            <w:tcW w:w="961" w:type="dxa"/>
          </w:tcPr>
          <w:p w14:paraId="77D485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2/М-71</w:t>
            </w:r>
          </w:p>
        </w:tc>
        <w:tc>
          <w:tcPr>
            <w:tcW w:w="961" w:type="dxa"/>
          </w:tcPr>
          <w:p w14:paraId="2F1DD6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26C07B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4157EE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1/15.09.40</w:t>
            </w:r>
          </w:p>
        </w:tc>
        <w:tc>
          <w:tcPr>
            <w:tcW w:w="1432" w:type="dxa"/>
          </w:tcPr>
          <w:p w14:paraId="65750D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569A86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D291F2E" w14:textId="77777777" w:rsidTr="00E543D0">
        <w:tc>
          <w:tcPr>
            <w:tcW w:w="1809" w:type="dxa"/>
          </w:tcPr>
          <w:p w14:paraId="3718E6C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5159DB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w:t>
            </w:r>
          </w:p>
        </w:tc>
        <w:tc>
          <w:tcPr>
            <w:tcW w:w="961" w:type="dxa"/>
          </w:tcPr>
          <w:p w14:paraId="7F3DEB3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5756E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51196D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ED4505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32" w:type="dxa"/>
          </w:tcPr>
          <w:p w14:paraId="021A966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51080EB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07716F6" w14:textId="77777777" w:rsidTr="00E543D0">
        <w:tc>
          <w:tcPr>
            <w:tcW w:w="1809" w:type="dxa"/>
          </w:tcPr>
          <w:p w14:paraId="6D9E07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23, О.К.А.</w:t>
            </w:r>
          </w:p>
        </w:tc>
        <w:tc>
          <w:tcPr>
            <w:tcW w:w="961" w:type="dxa"/>
          </w:tcPr>
          <w:p w14:paraId="62A584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СС</w:t>
            </w:r>
          </w:p>
        </w:tc>
        <w:tc>
          <w:tcPr>
            <w:tcW w:w="961" w:type="dxa"/>
          </w:tcPr>
          <w:p w14:paraId="02E370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1/МВ-6</w:t>
            </w:r>
          </w:p>
        </w:tc>
        <w:tc>
          <w:tcPr>
            <w:tcW w:w="961" w:type="dxa"/>
          </w:tcPr>
          <w:p w14:paraId="6A535C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1B1BA7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0EF781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1/01.08.40</w:t>
            </w:r>
          </w:p>
        </w:tc>
        <w:tc>
          <w:tcPr>
            <w:tcW w:w="1432" w:type="dxa"/>
          </w:tcPr>
          <w:p w14:paraId="482FC4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1/10.12.40</w:t>
            </w:r>
          </w:p>
        </w:tc>
        <w:tc>
          <w:tcPr>
            <w:tcW w:w="2549" w:type="dxa"/>
          </w:tcPr>
          <w:p w14:paraId="6B95E4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99FF16D" w14:textId="77777777" w:rsidTr="00E543D0">
        <w:tc>
          <w:tcPr>
            <w:tcW w:w="1809" w:type="dxa"/>
          </w:tcPr>
          <w:p w14:paraId="23B8C5B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284E7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СС</w:t>
            </w:r>
          </w:p>
        </w:tc>
        <w:tc>
          <w:tcPr>
            <w:tcW w:w="961" w:type="dxa"/>
          </w:tcPr>
          <w:p w14:paraId="3FB3D4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1/МВ-6</w:t>
            </w:r>
          </w:p>
        </w:tc>
        <w:tc>
          <w:tcPr>
            <w:tcW w:w="961" w:type="dxa"/>
          </w:tcPr>
          <w:p w14:paraId="70E484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09AE0E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56972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1432" w:type="dxa"/>
          </w:tcPr>
          <w:p w14:paraId="69500B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1/10.12.40</w:t>
            </w:r>
          </w:p>
        </w:tc>
        <w:tc>
          <w:tcPr>
            <w:tcW w:w="2549" w:type="dxa"/>
          </w:tcPr>
          <w:p w14:paraId="3EDA59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DD153EA" w14:textId="77777777" w:rsidTr="00E543D0">
        <w:tc>
          <w:tcPr>
            <w:tcW w:w="1809" w:type="dxa"/>
          </w:tcPr>
          <w:p w14:paraId="67FDCD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КБ-28 Гриб.</w:t>
            </w:r>
          </w:p>
        </w:tc>
        <w:tc>
          <w:tcPr>
            <w:tcW w:w="961" w:type="dxa"/>
          </w:tcPr>
          <w:p w14:paraId="0EBC89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УТ-6</w:t>
            </w:r>
          </w:p>
        </w:tc>
        <w:tc>
          <w:tcPr>
            <w:tcW w:w="961" w:type="dxa"/>
          </w:tcPr>
          <w:p w14:paraId="71E5AC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1/МВ-6</w:t>
            </w:r>
          </w:p>
        </w:tc>
        <w:tc>
          <w:tcPr>
            <w:tcW w:w="961" w:type="dxa"/>
          </w:tcPr>
          <w:p w14:paraId="130837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3D4A57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w:t>
            </w:r>
          </w:p>
        </w:tc>
        <w:tc>
          <w:tcPr>
            <w:tcW w:w="961" w:type="dxa"/>
          </w:tcPr>
          <w:p w14:paraId="681279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1/15.10.40</w:t>
            </w:r>
          </w:p>
        </w:tc>
        <w:tc>
          <w:tcPr>
            <w:tcW w:w="1432" w:type="dxa"/>
          </w:tcPr>
          <w:p w14:paraId="27C3E5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1/01.02.40</w:t>
            </w:r>
          </w:p>
        </w:tc>
        <w:tc>
          <w:tcPr>
            <w:tcW w:w="2549" w:type="dxa"/>
          </w:tcPr>
          <w:p w14:paraId="21567B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71F521" w14:textId="77777777" w:rsidTr="00E543D0">
        <w:tc>
          <w:tcPr>
            <w:tcW w:w="1809" w:type="dxa"/>
          </w:tcPr>
          <w:p w14:paraId="328CE0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191F8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УТ-6</w:t>
            </w:r>
          </w:p>
        </w:tc>
        <w:tc>
          <w:tcPr>
            <w:tcW w:w="961" w:type="dxa"/>
          </w:tcPr>
          <w:p w14:paraId="37F603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1/МВ-6</w:t>
            </w:r>
          </w:p>
        </w:tc>
        <w:tc>
          <w:tcPr>
            <w:tcW w:w="961" w:type="dxa"/>
          </w:tcPr>
          <w:p w14:paraId="73E147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248576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2F1D21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1/31.12.40</w:t>
            </w:r>
          </w:p>
        </w:tc>
        <w:tc>
          <w:tcPr>
            <w:tcW w:w="1432" w:type="dxa"/>
          </w:tcPr>
          <w:p w14:paraId="0B9BB0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6ED6A4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12222B9" w14:textId="77777777" w:rsidTr="00E543D0">
        <w:tc>
          <w:tcPr>
            <w:tcW w:w="1809" w:type="dxa"/>
          </w:tcPr>
          <w:p w14:paraId="1DD5CE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47, Адлер</w:t>
            </w:r>
          </w:p>
        </w:tc>
        <w:tc>
          <w:tcPr>
            <w:tcW w:w="961" w:type="dxa"/>
          </w:tcPr>
          <w:p w14:paraId="2E4DB0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УТ-Мод.</w:t>
            </w:r>
          </w:p>
        </w:tc>
        <w:tc>
          <w:tcPr>
            <w:tcW w:w="961" w:type="dxa"/>
          </w:tcPr>
          <w:p w14:paraId="757D81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1/М-11</w:t>
            </w:r>
          </w:p>
        </w:tc>
        <w:tc>
          <w:tcPr>
            <w:tcW w:w="961" w:type="dxa"/>
          </w:tcPr>
          <w:p w14:paraId="6AE0DE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4FD749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113273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57932B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43F09F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170098A" w14:textId="77777777" w:rsidTr="00E543D0">
        <w:tc>
          <w:tcPr>
            <w:tcW w:w="1809" w:type="dxa"/>
          </w:tcPr>
          <w:p w14:paraId="159AD72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03D5C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УТ-Мод.</w:t>
            </w:r>
          </w:p>
        </w:tc>
        <w:tc>
          <w:tcPr>
            <w:tcW w:w="961" w:type="dxa"/>
          </w:tcPr>
          <w:p w14:paraId="7D1DCA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1/М-11</w:t>
            </w:r>
          </w:p>
        </w:tc>
        <w:tc>
          <w:tcPr>
            <w:tcW w:w="961" w:type="dxa"/>
          </w:tcPr>
          <w:p w14:paraId="7AF6FD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7076CF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19107E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28CBA6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27C3110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419EF21" w14:textId="77777777" w:rsidTr="00E543D0">
        <w:tc>
          <w:tcPr>
            <w:tcW w:w="1809" w:type="dxa"/>
          </w:tcPr>
          <w:p w14:paraId="422AB3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21 Смолин</w:t>
            </w:r>
          </w:p>
        </w:tc>
        <w:tc>
          <w:tcPr>
            <w:tcW w:w="961" w:type="dxa"/>
          </w:tcPr>
          <w:p w14:paraId="7B268A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УТ-8</w:t>
            </w:r>
          </w:p>
        </w:tc>
        <w:tc>
          <w:tcPr>
            <w:tcW w:w="961" w:type="dxa"/>
          </w:tcPr>
          <w:p w14:paraId="10A5A8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1/Авто</w:t>
            </w:r>
          </w:p>
        </w:tc>
        <w:tc>
          <w:tcPr>
            <w:tcW w:w="961" w:type="dxa"/>
          </w:tcPr>
          <w:p w14:paraId="3E407A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4AB3BF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CD2C1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6C5E6E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7DD29E9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41384AA" w14:textId="77777777" w:rsidTr="00E543D0">
        <w:tc>
          <w:tcPr>
            <w:tcW w:w="1809" w:type="dxa"/>
          </w:tcPr>
          <w:p w14:paraId="41F77F5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EDDB3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М-85</w:t>
            </w:r>
          </w:p>
        </w:tc>
        <w:tc>
          <w:tcPr>
            <w:tcW w:w="961" w:type="dxa"/>
          </w:tcPr>
          <w:p w14:paraId="2A290B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3A1609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102EEC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88FEA9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32" w:type="dxa"/>
          </w:tcPr>
          <w:p w14:paraId="54268A1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49" w:type="dxa"/>
          </w:tcPr>
          <w:p w14:paraId="658BED1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8532BE7" w14:textId="77777777" w:rsidTr="00E543D0">
        <w:tc>
          <w:tcPr>
            <w:tcW w:w="1809" w:type="dxa"/>
          </w:tcPr>
          <w:p w14:paraId="3BD54A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290, Камов</w:t>
            </w:r>
          </w:p>
        </w:tc>
        <w:tc>
          <w:tcPr>
            <w:tcW w:w="961" w:type="dxa"/>
          </w:tcPr>
          <w:p w14:paraId="0098A5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w:t>
            </w:r>
          </w:p>
        </w:tc>
        <w:tc>
          <w:tcPr>
            <w:tcW w:w="961" w:type="dxa"/>
          </w:tcPr>
          <w:p w14:paraId="7B06DA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1/МВ-6</w:t>
            </w:r>
          </w:p>
        </w:tc>
        <w:tc>
          <w:tcPr>
            <w:tcW w:w="961" w:type="dxa"/>
          </w:tcPr>
          <w:p w14:paraId="510261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63632C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w:t>
            </w:r>
          </w:p>
        </w:tc>
        <w:tc>
          <w:tcPr>
            <w:tcW w:w="961" w:type="dxa"/>
          </w:tcPr>
          <w:p w14:paraId="6EB356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1/01.01.41</w:t>
            </w:r>
          </w:p>
        </w:tc>
        <w:tc>
          <w:tcPr>
            <w:tcW w:w="1432" w:type="dxa"/>
          </w:tcPr>
          <w:p w14:paraId="711BB9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1/01.04.41</w:t>
            </w:r>
          </w:p>
        </w:tc>
        <w:tc>
          <w:tcPr>
            <w:tcW w:w="2549" w:type="dxa"/>
          </w:tcPr>
          <w:p w14:paraId="4F9F2B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FE7EAAD" w14:textId="77777777" w:rsidTr="00E543D0">
        <w:tc>
          <w:tcPr>
            <w:tcW w:w="1809" w:type="dxa"/>
          </w:tcPr>
          <w:p w14:paraId="19C815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2BE184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w:t>
            </w:r>
          </w:p>
        </w:tc>
        <w:tc>
          <w:tcPr>
            <w:tcW w:w="961" w:type="dxa"/>
          </w:tcPr>
          <w:p w14:paraId="05B2F5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1/МВ-6</w:t>
            </w:r>
          </w:p>
        </w:tc>
        <w:tc>
          <w:tcPr>
            <w:tcW w:w="961" w:type="dxa"/>
          </w:tcPr>
          <w:p w14:paraId="3D80A9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0BE546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5C801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1/01.02.41</w:t>
            </w:r>
          </w:p>
        </w:tc>
        <w:tc>
          <w:tcPr>
            <w:tcW w:w="1432" w:type="dxa"/>
          </w:tcPr>
          <w:p w14:paraId="14F11D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0116B9F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8863DCD" w14:textId="77777777" w:rsidTr="00E543D0">
        <w:tc>
          <w:tcPr>
            <w:tcW w:w="1809" w:type="dxa"/>
          </w:tcPr>
          <w:p w14:paraId="5F22DB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289, Щербак.</w:t>
            </w:r>
          </w:p>
        </w:tc>
        <w:tc>
          <w:tcPr>
            <w:tcW w:w="961" w:type="dxa"/>
          </w:tcPr>
          <w:p w14:paraId="574884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И-153ГК</w:t>
            </w:r>
          </w:p>
        </w:tc>
        <w:tc>
          <w:tcPr>
            <w:tcW w:w="961" w:type="dxa"/>
          </w:tcPr>
          <w:p w14:paraId="141943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1/М-62</w:t>
            </w:r>
          </w:p>
        </w:tc>
        <w:tc>
          <w:tcPr>
            <w:tcW w:w="961" w:type="dxa"/>
          </w:tcPr>
          <w:p w14:paraId="285043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2A2737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3D8F0E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341944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486EAA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D43B580" w14:textId="77777777" w:rsidTr="00E543D0">
        <w:tc>
          <w:tcPr>
            <w:tcW w:w="1809" w:type="dxa"/>
          </w:tcPr>
          <w:p w14:paraId="30FDD8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 240, Ермол.</w:t>
            </w:r>
          </w:p>
        </w:tc>
        <w:tc>
          <w:tcPr>
            <w:tcW w:w="961" w:type="dxa"/>
          </w:tcPr>
          <w:p w14:paraId="1568CB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w:t>
            </w:r>
          </w:p>
        </w:tc>
        <w:tc>
          <w:tcPr>
            <w:tcW w:w="961" w:type="dxa"/>
          </w:tcPr>
          <w:p w14:paraId="704C00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2/М-105</w:t>
            </w:r>
          </w:p>
        </w:tc>
        <w:tc>
          <w:tcPr>
            <w:tcW w:w="961" w:type="dxa"/>
          </w:tcPr>
          <w:p w14:paraId="2EAA93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60DF85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A00CB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0B84E3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04084B7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A004879" w14:textId="77777777" w:rsidTr="00E543D0">
        <w:tc>
          <w:tcPr>
            <w:tcW w:w="1809" w:type="dxa"/>
          </w:tcPr>
          <w:p w14:paraId="3996BB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6B177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w:t>
            </w:r>
          </w:p>
        </w:tc>
        <w:tc>
          <w:tcPr>
            <w:tcW w:w="961" w:type="dxa"/>
          </w:tcPr>
          <w:p w14:paraId="414468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2/АМ-37</w:t>
            </w:r>
          </w:p>
        </w:tc>
        <w:tc>
          <w:tcPr>
            <w:tcW w:w="961" w:type="dxa"/>
          </w:tcPr>
          <w:p w14:paraId="7877BD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24B941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2/есть</w:t>
            </w:r>
          </w:p>
        </w:tc>
        <w:tc>
          <w:tcPr>
            <w:tcW w:w="961" w:type="dxa"/>
          </w:tcPr>
          <w:p w14:paraId="720B33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2/есть</w:t>
            </w:r>
          </w:p>
        </w:tc>
        <w:tc>
          <w:tcPr>
            <w:tcW w:w="1432" w:type="dxa"/>
          </w:tcPr>
          <w:p w14:paraId="32C225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1/15.08.40</w:t>
            </w:r>
          </w:p>
        </w:tc>
        <w:tc>
          <w:tcPr>
            <w:tcW w:w="2549" w:type="dxa"/>
          </w:tcPr>
          <w:p w14:paraId="5D315E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48B0CDC" w14:textId="77777777" w:rsidTr="00E543D0">
        <w:tc>
          <w:tcPr>
            <w:tcW w:w="1809" w:type="dxa"/>
          </w:tcPr>
          <w:p w14:paraId="07E931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825C2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w:t>
            </w:r>
          </w:p>
        </w:tc>
        <w:tc>
          <w:tcPr>
            <w:tcW w:w="961" w:type="dxa"/>
          </w:tcPr>
          <w:p w14:paraId="7BAC33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2/М-30</w:t>
            </w:r>
          </w:p>
        </w:tc>
        <w:tc>
          <w:tcPr>
            <w:tcW w:w="961" w:type="dxa"/>
          </w:tcPr>
          <w:p w14:paraId="184894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336E17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w:t>
            </w:r>
          </w:p>
        </w:tc>
        <w:tc>
          <w:tcPr>
            <w:tcW w:w="961" w:type="dxa"/>
          </w:tcPr>
          <w:p w14:paraId="217645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2/15.08.40</w:t>
            </w:r>
          </w:p>
        </w:tc>
        <w:tc>
          <w:tcPr>
            <w:tcW w:w="1432" w:type="dxa"/>
          </w:tcPr>
          <w:p w14:paraId="5149B7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1/01.10.40</w:t>
            </w:r>
          </w:p>
        </w:tc>
        <w:tc>
          <w:tcPr>
            <w:tcW w:w="2549" w:type="dxa"/>
          </w:tcPr>
          <w:p w14:paraId="1418553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F62AB08" w14:textId="77777777" w:rsidTr="00E543D0">
        <w:tc>
          <w:tcPr>
            <w:tcW w:w="1809" w:type="dxa"/>
          </w:tcPr>
          <w:p w14:paraId="657905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ED5C8F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A8B52B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DF03B8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4285A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B2E2DE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32" w:type="dxa"/>
          </w:tcPr>
          <w:p w14:paraId="05A49D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1/15.10.40</w:t>
            </w:r>
          </w:p>
        </w:tc>
        <w:tc>
          <w:tcPr>
            <w:tcW w:w="2549" w:type="dxa"/>
          </w:tcPr>
          <w:p w14:paraId="172B337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5C4EA81" w14:textId="77777777" w:rsidTr="00E543D0">
        <w:tc>
          <w:tcPr>
            <w:tcW w:w="1809" w:type="dxa"/>
          </w:tcPr>
          <w:p w14:paraId="374838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 288, Самсонов</w:t>
            </w:r>
          </w:p>
        </w:tc>
        <w:tc>
          <w:tcPr>
            <w:tcW w:w="961" w:type="dxa"/>
          </w:tcPr>
          <w:p w14:paraId="68A5FA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МДР-7</w:t>
            </w:r>
          </w:p>
        </w:tc>
        <w:tc>
          <w:tcPr>
            <w:tcW w:w="961" w:type="dxa"/>
          </w:tcPr>
          <w:p w14:paraId="428446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2/М-88</w:t>
            </w:r>
          </w:p>
        </w:tc>
        <w:tc>
          <w:tcPr>
            <w:tcW w:w="961" w:type="dxa"/>
          </w:tcPr>
          <w:p w14:paraId="678B5A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681384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4FDB78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31A9DA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2549" w:type="dxa"/>
          </w:tcPr>
          <w:p w14:paraId="5C39F04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EC6BD41" w14:textId="77777777" w:rsidTr="00E543D0">
        <w:tc>
          <w:tcPr>
            <w:tcW w:w="1809" w:type="dxa"/>
          </w:tcPr>
          <w:p w14:paraId="5E652E9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AB9BE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МДР-7</w:t>
            </w:r>
          </w:p>
        </w:tc>
        <w:tc>
          <w:tcPr>
            <w:tcW w:w="961" w:type="dxa"/>
          </w:tcPr>
          <w:p w14:paraId="72D519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2/М-88</w:t>
            </w:r>
          </w:p>
        </w:tc>
        <w:tc>
          <w:tcPr>
            <w:tcW w:w="961" w:type="dxa"/>
          </w:tcPr>
          <w:p w14:paraId="743709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7E71EF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3F6EA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 сейчас</w:t>
            </w:r>
          </w:p>
        </w:tc>
        <w:tc>
          <w:tcPr>
            <w:tcW w:w="1432" w:type="dxa"/>
          </w:tcPr>
          <w:p w14:paraId="6288E5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15.11.40</w:t>
            </w:r>
          </w:p>
        </w:tc>
        <w:tc>
          <w:tcPr>
            <w:tcW w:w="2549" w:type="dxa"/>
          </w:tcPr>
          <w:p w14:paraId="38D7182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46BABFB" w14:textId="77777777" w:rsidTr="00E543D0">
        <w:tc>
          <w:tcPr>
            <w:tcW w:w="1809" w:type="dxa"/>
          </w:tcPr>
          <w:p w14:paraId="195730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 31, Четвериков</w:t>
            </w:r>
          </w:p>
        </w:tc>
        <w:tc>
          <w:tcPr>
            <w:tcW w:w="961" w:type="dxa"/>
          </w:tcPr>
          <w:p w14:paraId="40F4CE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w:t>
            </w:r>
          </w:p>
        </w:tc>
        <w:tc>
          <w:tcPr>
            <w:tcW w:w="961" w:type="dxa"/>
          </w:tcPr>
          <w:p w14:paraId="0AB4EE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2/М-63</w:t>
            </w:r>
          </w:p>
        </w:tc>
        <w:tc>
          <w:tcPr>
            <w:tcW w:w="961" w:type="dxa"/>
          </w:tcPr>
          <w:p w14:paraId="5A3E53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240DED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456CEE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7EF4F3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1620691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0A386E0" w14:textId="77777777" w:rsidTr="00E543D0">
        <w:tc>
          <w:tcPr>
            <w:tcW w:w="1809" w:type="dxa"/>
          </w:tcPr>
          <w:p w14:paraId="61B1B13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78E8A7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w:t>
            </w:r>
          </w:p>
        </w:tc>
        <w:tc>
          <w:tcPr>
            <w:tcW w:w="961" w:type="dxa"/>
          </w:tcPr>
          <w:p w14:paraId="105DAB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2/М-62</w:t>
            </w:r>
          </w:p>
        </w:tc>
        <w:tc>
          <w:tcPr>
            <w:tcW w:w="961" w:type="dxa"/>
          </w:tcPr>
          <w:p w14:paraId="748E67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161BF6B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9D3A24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32" w:type="dxa"/>
          </w:tcPr>
          <w:p w14:paraId="5704EC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1/01.08.40</w:t>
            </w:r>
          </w:p>
        </w:tc>
        <w:tc>
          <w:tcPr>
            <w:tcW w:w="2549" w:type="dxa"/>
          </w:tcPr>
          <w:p w14:paraId="72FF8B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F067B17" w14:textId="77777777" w:rsidTr="00E543D0">
        <w:tc>
          <w:tcPr>
            <w:tcW w:w="1809" w:type="dxa"/>
          </w:tcPr>
          <w:p w14:paraId="2C7A10D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1E433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МДР-6Б</w:t>
            </w:r>
          </w:p>
        </w:tc>
        <w:tc>
          <w:tcPr>
            <w:tcW w:w="961" w:type="dxa"/>
          </w:tcPr>
          <w:p w14:paraId="0A8AA0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2/М-105</w:t>
            </w:r>
          </w:p>
        </w:tc>
        <w:tc>
          <w:tcPr>
            <w:tcW w:w="961" w:type="dxa"/>
          </w:tcPr>
          <w:p w14:paraId="03349A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1429CC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1/нужен</w:t>
            </w:r>
          </w:p>
        </w:tc>
        <w:tc>
          <w:tcPr>
            <w:tcW w:w="961" w:type="dxa"/>
          </w:tcPr>
          <w:p w14:paraId="228E6B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2/15.10.40</w:t>
            </w:r>
          </w:p>
        </w:tc>
        <w:tc>
          <w:tcPr>
            <w:tcW w:w="1432" w:type="dxa"/>
          </w:tcPr>
          <w:p w14:paraId="4CBB34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2/15.02.41</w:t>
            </w:r>
          </w:p>
        </w:tc>
        <w:tc>
          <w:tcPr>
            <w:tcW w:w="2549" w:type="dxa"/>
          </w:tcPr>
          <w:p w14:paraId="44D308D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AF03322" w14:textId="77777777" w:rsidTr="00E543D0">
        <w:tc>
          <w:tcPr>
            <w:tcW w:w="1809" w:type="dxa"/>
          </w:tcPr>
          <w:p w14:paraId="66AD058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16BA2D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МДР-6Б</w:t>
            </w:r>
          </w:p>
        </w:tc>
        <w:tc>
          <w:tcPr>
            <w:tcW w:w="961" w:type="dxa"/>
          </w:tcPr>
          <w:p w14:paraId="7F5FA5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2/М-105</w:t>
            </w:r>
          </w:p>
        </w:tc>
        <w:tc>
          <w:tcPr>
            <w:tcW w:w="961" w:type="dxa"/>
          </w:tcPr>
          <w:p w14:paraId="136CD9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51DEE9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FB902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2/15.11.40</w:t>
            </w:r>
          </w:p>
        </w:tc>
        <w:tc>
          <w:tcPr>
            <w:tcW w:w="1432" w:type="dxa"/>
          </w:tcPr>
          <w:p w14:paraId="27A672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37797E5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057BDB7" w14:textId="77777777" w:rsidTr="00E543D0">
        <w:tc>
          <w:tcPr>
            <w:tcW w:w="1809" w:type="dxa"/>
          </w:tcPr>
          <w:p w14:paraId="7BE678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 31, Бериев</w:t>
            </w:r>
          </w:p>
        </w:tc>
        <w:tc>
          <w:tcPr>
            <w:tcW w:w="961" w:type="dxa"/>
          </w:tcPr>
          <w:p w14:paraId="53A1A0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КОР-2</w:t>
            </w:r>
          </w:p>
        </w:tc>
        <w:tc>
          <w:tcPr>
            <w:tcW w:w="961" w:type="dxa"/>
          </w:tcPr>
          <w:p w14:paraId="7A84EA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1/М-63</w:t>
            </w:r>
          </w:p>
        </w:tc>
        <w:tc>
          <w:tcPr>
            <w:tcW w:w="961" w:type="dxa"/>
          </w:tcPr>
          <w:p w14:paraId="5830DE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65E2B2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44DB60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1/отправлен</w:t>
            </w:r>
          </w:p>
        </w:tc>
        <w:tc>
          <w:tcPr>
            <w:tcW w:w="1432" w:type="dxa"/>
          </w:tcPr>
          <w:p w14:paraId="2F172E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1/01.01.41</w:t>
            </w:r>
          </w:p>
        </w:tc>
        <w:tc>
          <w:tcPr>
            <w:tcW w:w="2549" w:type="dxa"/>
          </w:tcPr>
          <w:p w14:paraId="276748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46D654B" w14:textId="77777777" w:rsidTr="00E543D0">
        <w:tc>
          <w:tcPr>
            <w:tcW w:w="1809" w:type="dxa"/>
          </w:tcPr>
          <w:p w14:paraId="0115E3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3FC7A2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КОР-2</w:t>
            </w:r>
          </w:p>
        </w:tc>
        <w:tc>
          <w:tcPr>
            <w:tcW w:w="961" w:type="dxa"/>
          </w:tcPr>
          <w:p w14:paraId="68BC0D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1/М-63</w:t>
            </w:r>
          </w:p>
        </w:tc>
        <w:tc>
          <w:tcPr>
            <w:tcW w:w="961" w:type="dxa"/>
          </w:tcPr>
          <w:p w14:paraId="115BD3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0ADA65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784FC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1432" w:type="dxa"/>
          </w:tcPr>
          <w:p w14:paraId="43E61E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6E1AC7B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F6296A6" w14:textId="77777777" w:rsidTr="00E543D0">
        <w:tc>
          <w:tcPr>
            <w:tcW w:w="1809" w:type="dxa"/>
          </w:tcPr>
          <w:p w14:paraId="43D3BA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2CAA5C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МБР-7</w:t>
            </w:r>
          </w:p>
        </w:tc>
        <w:tc>
          <w:tcPr>
            <w:tcW w:w="961" w:type="dxa"/>
          </w:tcPr>
          <w:p w14:paraId="1EBC6F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1/М-103</w:t>
            </w:r>
          </w:p>
        </w:tc>
        <w:tc>
          <w:tcPr>
            <w:tcW w:w="961" w:type="dxa"/>
          </w:tcPr>
          <w:p w14:paraId="3E1AEF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2A6414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5C694E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32" w:type="dxa"/>
          </w:tcPr>
          <w:p w14:paraId="4EEA56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0F08CB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A5C305A" w14:textId="77777777" w:rsidTr="00E543D0">
        <w:tc>
          <w:tcPr>
            <w:tcW w:w="1809" w:type="dxa"/>
          </w:tcPr>
          <w:p w14:paraId="643A51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 156, Кочеригин</w:t>
            </w:r>
          </w:p>
        </w:tc>
        <w:tc>
          <w:tcPr>
            <w:tcW w:w="961" w:type="dxa"/>
          </w:tcPr>
          <w:p w14:paraId="2C62A8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ОПБ</w:t>
            </w:r>
          </w:p>
        </w:tc>
        <w:tc>
          <w:tcPr>
            <w:tcW w:w="961" w:type="dxa"/>
          </w:tcPr>
          <w:p w14:paraId="5FF0D3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1/М-90</w:t>
            </w:r>
          </w:p>
        </w:tc>
        <w:tc>
          <w:tcPr>
            <w:tcW w:w="961" w:type="dxa"/>
          </w:tcPr>
          <w:p w14:paraId="34EBB1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61" w:type="dxa"/>
          </w:tcPr>
          <w:p w14:paraId="511397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w:t>
            </w:r>
          </w:p>
        </w:tc>
        <w:tc>
          <w:tcPr>
            <w:tcW w:w="961" w:type="dxa"/>
          </w:tcPr>
          <w:p w14:paraId="77A6C0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1/01.08.40</w:t>
            </w:r>
          </w:p>
        </w:tc>
        <w:tc>
          <w:tcPr>
            <w:tcW w:w="1432" w:type="dxa"/>
          </w:tcPr>
          <w:p w14:paraId="532708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1B8AE41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302FF73" w14:textId="77777777" w:rsidTr="00E543D0">
        <w:tc>
          <w:tcPr>
            <w:tcW w:w="1809" w:type="dxa"/>
          </w:tcPr>
          <w:p w14:paraId="7DB7AD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A93B2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ОПБ</w:t>
            </w:r>
          </w:p>
        </w:tc>
        <w:tc>
          <w:tcPr>
            <w:tcW w:w="961" w:type="dxa"/>
          </w:tcPr>
          <w:p w14:paraId="5F2513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1/М-90</w:t>
            </w:r>
          </w:p>
        </w:tc>
        <w:tc>
          <w:tcPr>
            <w:tcW w:w="961" w:type="dxa"/>
          </w:tcPr>
          <w:p w14:paraId="2C6AC1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61" w:type="dxa"/>
          </w:tcPr>
          <w:p w14:paraId="1688E3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1C971E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1/01.08.40</w:t>
            </w:r>
          </w:p>
        </w:tc>
        <w:tc>
          <w:tcPr>
            <w:tcW w:w="1432" w:type="dxa"/>
          </w:tcPr>
          <w:p w14:paraId="6C8208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5392D50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073DD6B" w14:textId="77777777" w:rsidTr="00E543D0">
        <w:tc>
          <w:tcPr>
            <w:tcW w:w="1809" w:type="dxa"/>
          </w:tcPr>
          <w:p w14:paraId="650EC8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032BDBC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49B6D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1/М-71</w:t>
            </w:r>
          </w:p>
        </w:tc>
        <w:tc>
          <w:tcPr>
            <w:tcW w:w="961" w:type="dxa"/>
          </w:tcPr>
          <w:p w14:paraId="19D261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36F233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1/25.07</w:t>
            </w:r>
          </w:p>
        </w:tc>
        <w:tc>
          <w:tcPr>
            <w:tcW w:w="961" w:type="dxa"/>
          </w:tcPr>
          <w:p w14:paraId="04B084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1432" w:type="dxa"/>
          </w:tcPr>
          <w:p w14:paraId="02E4CC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1E8DC96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6A41E86" w14:textId="77777777" w:rsidTr="00E543D0">
        <w:tc>
          <w:tcPr>
            <w:tcW w:w="1809" w:type="dxa"/>
          </w:tcPr>
          <w:p w14:paraId="380225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456241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Pr>
          <w:p w14:paraId="657D7D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1/М-81</w:t>
            </w:r>
          </w:p>
        </w:tc>
        <w:tc>
          <w:tcPr>
            <w:tcW w:w="961" w:type="dxa"/>
          </w:tcPr>
          <w:p w14:paraId="1A55F5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6EA98D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Pr>
          <w:p w14:paraId="799E20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1/01.09.40</w:t>
            </w:r>
          </w:p>
        </w:tc>
        <w:tc>
          <w:tcPr>
            <w:tcW w:w="1432" w:type="dxa"/>
          </w:tcPr>
          <w:p w14:paraId="424C20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549" w:type="dxa"/>
          </w:tcPr>
          <w:p w14:paraId="7D7BEF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удлиненным носком</w:t>
            </w:r>
          </w:p>
        </w:tc>
      </w:tr>
      <w:tr w:rsidR="007D5DF8" w:rsidRPr="00DB5D0D" w14:paraId="658A694B" w14:textId="77777777" w:rsidTr="00E543D0">
        <w:tc>
          <w:tcPr>
            <w:tcW w:w="1809" w:type="dxa"/>
            <w:tcBorders>
              <w:bottom w:val="single" w:sz="12" w:space="0" w:color="auto"/>
            </w:tcBorders>
          </w:tcPr>
          <w:p w14:paraId="3133AF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61" w:type="dxa"/>
            <w:tcBorders>
              <w:bottom w:val="single" w:sz="12" w:space="0" w:color="auto"/>
            </w:tcBorders>
          </w:tcPr>
          <w:p w14:paraId="26CF84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w:t>
            </w:r>
          </w:p>
        </w:tc>
        <w:tc>
          <w:tcPr>
            <w:tcW w:w="961" w:type="dxa"/>
            <w:tcBorders>
              <w:bottom w:val="single" w:sz="12" w:space="0" w:color="auto"/>
            </w:tcBorders>
          </w:tcPr>
          <w:p w14:paraId="0220C8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1/М-81</w:t>
            </w:r>
          </w:p>
        </w:tc>
        <w:tc>
          <w:tcPr>
            <w:tcW w:w="961" w:type="dxa"/>
            <w:tcBorders>
              <w:bottom w:val="single" w:sz="12" w:space="0" w:color="auto"/>
            </w:tcBorders>
          </w:tcPr>
          <w:p w14:paraId="3ECAA4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Borders>
              <w:bottom w:val="single" w:sz="12" w:space="0" w:color="auto"/>
            </w:tcBorders>
          </w:tcPr>
          <w:p w14:paraId="7F21AD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61" w:type="dxa"/>
            <w:tcBorders>
              <w:bottom w:val="single" w:sz="12" w:space="0" w:color="auto"/>
            </w:tcBorders>
          </w:tcPr>
          <w:p w14:paraId="4A14C9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1/есть</w:t>
            </w:r>
          </w:p>
        </w:tc>
        <w:tc>
          <w:tcPr>
            <w:tcW w:w="1432" w:type="dxa"/>
            <w:tcBorders>
              <w:bottom w:val="single" w:sz="12" w:space="0" w:color="auto"/>
            </w:tcBorders>
          </w:tcPr>
          <w:p w14:paraId="1A9304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(2090,124)</w:t>
            </w:r>
          </w:p>
        </w:tc>
        <w:tc>
          <w:tcPr>
            <w:tcW w:w="2549" w:type="dxa"/>
            <w:tcBorders>
              <w:bottom w:val="single" w:sz="12" w:space="0" w:color="auto"/>
            </w:tcBorders>
          </w:tcPr>
          <w:p w14:paraId="151BC61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09F64A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 Количество моторов определено из условия, что моторы имеют 200 час. ресурсы работы</w:t>
      </w:r>
    </w:p>
    <w:p w14:paraId="4890F0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случае поставки моторов с меньшими ресурсами, количество моторов д.б. соответственно увеличено (2090,124).</w:t>
      </w:r>
    </w:p>
    <w:p w14:paraId="7B78F94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AFF6E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состоялось совещание постоянной комиссии по рассмотрению инициативных эскизных проектов, не вошедших в план самолетостроения на 1940 (протокол 7):</w:t>
      </w:r>
    </w:p>
    <w:p w14:paraId="6448E6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Рассмотрели предложения:</w:t>
      </w:r>
    </w:p>
    <w:p w14:paraId="5BB488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техника И.М.Солдатова, работающего в 1-м стройполку в Комсомольске по самолету по схеме трубоплана. Отказали, так как испытания аналогичного самолета Стиппа за границей показали отрицательный результат (1448,42).</w:t>
      </w:r>
    </w:p>
    <w:p w14:paraId="37E36D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Рутера - с завода 156 по одноместному истребителю с толкающим 4-х лопастным винтом, трехколесным шасси и раздвижным крылом - схема не новая, не дала ожидаемых результатов, дальнейшие работы нецелесообразны (1448,44).</w:t>
      </w:r>
    </w:p>
    <w:p w14:paraId="2AF2A3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Щербакова, завод 289, по одноместному высотному скоростному истребителю с дополнительным ВРД. Низкоплан с обратной чайкой и ГК. Вывод: Предложение по созданию одноместного истребителя с дополнительным ВРД представляет интерес. Осуществление проекта целесообразно вести в организованном и зарекомендовавшим себя КБ с привлечением к этой работе в качестве вк т. Щербакова, например в КБ МиГ (1448,143).</w:t>
      </w:r>
    </w:p>
    <w:p w14:paraId="397BB9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тематику к Б.С.Вахмистрова:</w:t>
      </w:r>
    </w:p>
    <w:p w14:paraId="5A7D64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закончить производство, испытать и довести СПБ БРАБ-500 (ТБ-3 + 2И-16 с БРАБ-500).</w:t>
      </w:r>
    </w:p>
    <w:p w14:paraId="17853D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 Авиаматка ПБО (ТБ-3 + 4И-16).</w:t>
      </w:r>
    </w:p>
    <w:p w14:paraId="6D859D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 Подцепка И-16 к ТБ-3 в воздухе</w:t>
      </w:r>
    </w:p>
    <w:p w14:paraId="39ECCB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 Подвеска И-16 под ТБ-7 в вариантах, указанных в п. 1-3</w:t>
      </w:r>
    </w:p>
    <w:p w14:paraId="4C525C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 Включиться в проектирование нового десантно-транспортного самолета (при принятии решения о его разработке).</w:t>
      </w:r>
    </w:p>
    <w:p w14:paraId="0EBCE1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 Первую тему следует принять в целях отработки возможности использования одноместного истребителя в качестве ПБ. Необходимость тем 2, 3 и 4 в силу своей сугубой специфичности, в отношении тактического применения, определить всецело заказами из ВВС м МА РККА. 5 предложение возражений не включает (1448,146).</w:t>
      </w:r>
    </w:p>
    <w:p w14:paraId="7F3159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Голубкова 30 по СБ (по плану на 1940-41) - двухмоторному свободнонесущему моноплану с высокорасположенным крылом металлической конструкции с 2хМ-120 - рекомендовали для улучшения устойчивости увеличить ГО до 20% площади крыла (9 вместо 8 кв. м) и дали рекомендации для учета при постройке макета. Машина не приспособлена для бомбометания с пикирования, экипаж разбросан по фюзеляжу, обзор пилота - плохой.</w:t>
      </w:r>
    </w:p>
    <w:p w14:paraId="2345BC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МиГ по одноместному пикирующему бронированному штурмовику:</w:t>
      </w:r>
    </w:p>
    <w:p w14:paraId="4556EC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"Одномоторный моноплан с низкорасположенным крылом. Броней защищены мотор и пилот спереди, с боков, сверху, снизу и сзади. Броневые щиты соединены между собой на болтах с внутренней стороны.</w:t>
      </w:r>
    </w:p>
    <w:p w14:paraId="32BFED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двухлонжеронное с нормальным набором нервюр и стрингеров. Лонжероны стальные, нервюры и обшивка дюралевые.</w:t>
      </w:r>
    </w:p>
    <w:p w14:paraId="080500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Оперение дюралевое, рули обшиты полотном.</w:t>
      </w:r>
    </w:p>
    <w:p w14:paraId="4300C3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состоит из бронеотсека и хвостовой части - сварной из хромансилевых труб. Обтекатель из дюралевого каркаса, обшитого полотном.</w:t>
      </w:r>
    </w:p>
    <w:p w14:paraId="0F6A7B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убирающееся, одностоечное.</w:t>
      </w:r>
    </w:p>
    <w:p w14:paraId="031579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Водорадиатор в бронеотсеке за сидением пилота. Маслорадиатор под броней на редукторе мотора.</w:t>
      </w:r>
    </w:p>
    <w:p w14:paraId="69CFC0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Баки протектированы.</w:t>
      </w:r>
    </w:p>
    <w:p w14:paraId="621CB8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бензобак - 620 л в бронеотсеке под сидением пилота.</w:t>
      </w:r>
    </w:p>
    <w:p w14:paraId="02D92E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АМ-38, Скорость у земли - 429 км/час.</w:t>
      </w:r>
    </w:p>
    <w:p w14:paraId="60D82F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экспертизы: ЛТД осуществимы. Из условий устойчивости площадь ГО следует увеличить до 20% (6 м вместо 5.5). При разработке следует обратить внимание на обеспечение надежной работы ВМГ.</w:t>
      </w:r>
    </w:p>
    <w:p w14:paraId="60A5D1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достаточно мощное и соответствует поставленной цели - 2х20, 6хШКАС, бомб 600 внутри и до 200 снаружи.</w:t>
      </w:r>
    </w:p>
    <w:p w14:paraId="5464F3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комиссии: Максимальную скорость для данного типа машины с учетом срока выпуска самолета, следует считать не достаточной. (Принимая во внимание, что по аналогичному типу самолета дано задание тов. Сухому, но с меньшей мощностью огня и большей скоростью у земли - 500 км/час), Комиссия считает, что самолет целесообразно строить в том случае, если авторы смогут повысить максимальную скорость у земли до 550 км/час.</w:t>
      </w:r>
    </w:p>
    <w:p w14:paraId="3FCE0C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специфичности самолета в отношении тактического применения, окончательное решение принять после получения отзыва НИИ ВВС." (1448,58).</w:t>
      </w:r>
    </w:p>
    <w:p w14:paraId="5EC15F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Резолюция И.И.Машкевича от 29 июля 1940 - "По заключению ВВС "от реализации проекта следует воздержаться" по мотивам, указанным в выводах комиссии" (1448,60).</w:t>
      </w:r>
    </w:p>
    <w:p w14:paraId="3B7451B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86FDF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А.И.Ш. письмом N 1766c/ог Пред. КПК при ЦК ВКП(б) А.А.Андрееву на БКПК-24/30-гс сообщил о мерах, принятых НКАП по докладной записке уполномоченного КПК при ЦК ВКП(б) по Хабаровскому краю Орлова о работе завода 126 за период январь-апрель 1940 - новый директор Д.А.Тимофеев, и. Нач. 5 ГУ... (1172,29).</w:t>
      </w:r>
    </w:p>
    <w:p w14:paraId="76CAF7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Сообщаю Вам о мерах, принятых Паркоматом Авиационной Про</w:t>
      </w:r>
      <w:r w:rsidRPr="00DB5D0D">
        <w:rPr>
          <w:rFonts w:ascii="Times New Roman" w:hAnsi="Times New Roman"/>
          <w:color w:val="000000" w:themeColor="text1"/>
          <w:sz w:val="16"/>
          <w:szCs w:val="16"/>
        </w:rPr>
        <w:softHyphen/>
        <w:t>мышленности по докладной записке уполномоченного КПК при ЦК ВКП(б) по Хабаровскому Краю тов. Орлова о работе завода № 126 за период январь-апрель 1940 года:</w:t>
      </w:r>
    </w:p>
    <w:p w14:paraId="637508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Директором зтого завода утвержден Оргбюро ЦК ВКП(б) тов. Тимофеев Д.А., бывший Начальник 5-го Главного Управления.</w:t>
      </w:r>
    </w:p>
    <w:p w14:paraId="1BD752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завод № 126 выезжала комиссия Наркомата, которая тщательно проверила работу завода и разработала план органи</w:t>
      </w:r>
      <w:r w:rsidRPr="00DB5D0D">
        <w:rPr>
          <w:rFonts w:ascii="Times New Roman" w:hAnsi="Times New Roman"/>
          <w:color w:val="000000" w:themeColor="text1"/>
          <w:sz w:val="16"/>
          <w:szCs w:val="16"/>
        </w:rPr>
        <w:softHyphen/>
        <w:t>зационно-технических мероприятий, направленных на изжитие отмеченных недостатков я коренное улучшение всех звеньев работы завода.</w:t>
      </w:r>
    </w:p>
    <w:p w14:paraId="2E7F74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Сняты с работы Помощник Начальника Управления Хабаров</w:t>
      </w:r>
      <w:r w:rsidRPr="00DB5D0D">
        <w:rPr>
          <w:rFonts w:ascii="Times New Roman" w:hAnsi="Times New Roman"/>
          <w:color w:val="000000" w:themeColor="text1"/>
          <w:sz w:val="16"/>
          <w:szCs w:val="16"/>
        </w:rPr>
        <w:softHyphen/>
        <w:t>ской конторы Дальснаба тов. Козлов и заместитель директора занода тов. Мавшин, как не обеспечившие надлежащего руковод</w:t>
      </w:r>
      <w:r w:rsidRPr="00DB5D0D">
        <w:rPr>
          <w:rFonts w:ascii="Times New Roman" w:hAnsi="Times New Roman"/>
          <w:color w:val="000000" w:themeColor="text1"/>
          <w:sz w:val="16"/>
          <w:szCs w:val="16"/>
        </w:rPr>
        <w:softHyphen/>
        <w:t>ства, контроля и организации правильной постановки снабжения на заводе № 126.</w:t>
      </w:r>
    </w:p>
    <w:p w14:paraId="6AA648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Для усиления и организации вопросов снабжения и про</w:t>
      </w:r>
      <w:r w:rsidRPr="00DB5D0D">
        <w:rPr>
          <w:rFonts w:ascii="Times New Roman" w:hAnsi="Times New Roman"/>
          <w:color w:val="000000" w:themeColor="text1"/>
          <w:sz w:val="16"/>
          <w:szCs w:val="16"/>
        </w:rPr>
        <w:softHyphen/>
        <w:t>изводства, на завода № 126 и Хабаровскую контору Дальснаба, Наркоматом командируется работники Главснаба и 1-го Главного Управления (1172,29).</w:t>
      </w:r>
    </w:p>
    <w:p w14:paraId="0836ECE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2A19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С.П.К. написал письмо И.В. Сталину с просьбой о пересмотре дела. В нем есть ссылка на предыдущее письмо от 13 августа 1939 г. ("Военно-исторический журнал". 1989. № 10. С. 86) (10676):</w:t>
      </w:r>
    </w:p>
    <w:p w14:paraId="702412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Москва. ЦК ВКП(б) </w:t>
      </w:r>
    </w:p>
    <w:p w14:paraId="32DAA9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Иосифу Виссарионовичу Сталину.</w:t>
      </w:r>
    </w:p>
    <w:p w14:paraId="09B6F2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Королева Сергея Павловича </w:t>
      </w:r>
    </w:p>
    <w:p w14:paraId="4A8F36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ЗАЯВЛЕНИЕ </w:t>
      </w:r>
    </w:p>
    <w:p w14:paraId="73237F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Советские самолеты должны иметь решающее превосходство над любым возможным противником по своим летно-тактическим качествам. Главнейшие из них - скорость, скороподъемность и высота полета. Сейчас в авиации повсеместно создалось положение, при котором самолеты нападения почти не уступают по качеству самолетам-истребителям, а также и другим средствам обороны. Это дает возможность нападения воздушному противнику на большинство объектов внутри страны. Это подтверждает и опыт последних войн. Только решающее превосходство в воздухе по скорости, скороподъемности и высоте полета м.б. надежным средством защиты. Это условие необходимо и для успеха наступательных действий авиации и в настоящее время зачастую предопределяет успешный исход всей кампании в целом. Обычная винтомоторная авиация в силу самого принципа своего действия (двигатель внутреннего сгорания, гребной винт - пропеллер) уже не может дать нужного превосходства самолетам обороны над им же подобными самолетами нападения. В этом отношении обычная авиация стоит почти у своего предела, а все ее средства, как-то: наддув, винт переменного шага, парогазодвигатели или турбины и пр. — все это полумеры, а не выход из создавшегося кризиса.</w:t>
      </w:r>
    </w:p>
    <w:p w14:paraId="33EC40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только один - ракетные самолеты, идея которых была предложена Циолковским. Только ракетные самолеты могут дать преимущество над лучшими винтомоторными самолетами, а именно: по скорости в 1,5—2 раза и более; по скороподъемности в 8-10 раз и более; по высоте полета в 1,5 раза и более, а также по своей неуязвимости, мощности поднимаемого вооружения и т.д. Для ракетных самолетов область огромных скоростей и высот есть не препятствие в работе, а фактор благоприятный в силу самого принципа действия ракет, в отличие от винтомоторных самолетов, областью которых являются относительно малые скорости и высоты полета. Значение ракетных самолетов, особенно сейчас, исключительно и огромно. За рубежом уже 15—20 лет во всех крупных странах интенсивно ведутся работы над ракетами вооружения, а в основном — над созданием ракетного самолета, чего, однако, до 1938 года достигнуто с успехом нигде не было (в Германии — Оберт, Зенгер, Тиллинг, Опель и др., во Франции - Руа, Бреге, Девильер и др., в Италии - Крокко и др., в США - Годдард и др., и т.д.). В Советском Союзе работы над ракетными самолетами производились мною фактически с 1935 года в НИИ № 3-НКОП. Аналогичных работ никем и нигде в СССР не велось. До моего ареста (28 июня 1938 года) за 3,5 года работы были осуществлены несколько типов небольших ракет (до 150 кг весом), разных моделей и агрегатов и произведены сотни их испытаний на стендах и в полете. Был разработан ряд вопросов методики и теории ракетного полета и издан в печати и пр. Впервые в технике в 1938 году с успехом были произведены основные испытания небольшого ракетного самолета (весом 700 кг). Испытания его в полете были с успехом закончены в апреле 1940 года, что я узнал из акта технической экспертизы. Из сказанного видно, что, несмотря на очень малый срок моей работы над проблемой ракетного полета и ее общеизвестные огромные технические трудности, сложность, новизну, особую секретность и отсюда - полное отсутствие литературы, зарубежного опыта, консультаций и пр., несмотря на все это, кое-что было сделано, правильное начало было положено.</w:t>
      </w:r>
    </w:p>
    <w:p w14:paraId="097B45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Целью и мечтой моей жизни было создание впервые для СССР столь мощного оружия, как ракетные самолеты. Повторяю: значение этих работ исключительно и огромно. Однако все эти годы я лично и мои работы подвергались систематической и жестокой травле, всячески задерживались и т.п. ныне арестованным руководством НИИ-3 - Клейменовым, Лангемаком и группой лиц: Костиков (сейчас зам. дир. НИИ-3), Душкин и др. Они по году задерживали мои производственные заказы (212), увольняли моих сотрудников, или их принуждали к уходу (Волков, Власов, Дрязгов и др.), распускали обо мне слухи и клевету на партсобраниях (Костиков), исключали меня без причин и вины из сочувствующих ВКП(б), публично вывели из совета ОСО и многое другое. Обстановка была просто невыносимая, о чем я писал, например, 19 апреля 1938 г. в Октябрьский райком ВКП(б). Они же ввели в заблуждение органы НКВД, и 27 июня 1938 года я был арестован. Клейменов, Лангемак и Глушко дали клеветнические показания о моей якобы принадлежности к антисоветской организации. Это гнусная ложь, и это видно хотя бы из следующего: конкретных фактов нет, да и не может быть; Клейменов и Лангемак взаимно ссылаются о том, якобы один слышал от другого, при этом в разное время </w:t>
      </w:r>
      <w:r w:rsidRPr="00DB5D0D">
        <w:rPr>
          <w:rFonts w:ascii="Times New Roman" w:hAnsi="Times New Roman"/>
          <w:color w:val="000000" w:themeColor="text1"/>
          <w:sz w:val="16"/>
          <w:szCs w:val="16"/>
        </w:rPr>
        <w:lastRenderedPageBreak/>
        <w:t>и т.п. Выдаваемые ими за акты вредительства с моей стороны: сдача заказа на ракеты в авиатехникум в 34 г., задержки в ракете 217 и высотной ракете, даже сами по себе, если разобраться, никак не могут быть истолкованы, как вредительство. Кроме того, сдачу заказа в авиатехникум, как легко и проверить, я не производил, ее дали Щетинков и Стеняев. Над высотной ракетой я вообще не работал, а объект 217 по своему объекту ничтожно мал, да и был выполнен досрочно. Костиков, Душкин и др. никогда не видали в действии объектов моих работ и не знали даже, как следует, их устройства, но они представили в 38 г. в НКВД лживый "акт", порочащий мою работу и безграмотно искажающий действительность. В 1938 году следователи Шестаков и Быков подвергли меня физическим репрессиям и издевательствам, добиваясь от меня "признаний". Военная коллегия, не разбирая сколь-либо серьезно моего дела, осудила меня на 10 лет тюрьмы, и я был отправлен на Колыму. В частности, на суде меня обвиняли в разрушении ракетного самолета, чего никогда не было и который эксплуатируется и сейчас, в 1940 году. Но все мои заявления о невиновности и по существу обвинений оказались безрезультатны. Сейчас я понимаю, что клеветавшие на меня лица старались с вредительской целью сорвать мои работы над ракетными самолетами. Уже более года как отменен приговор и 28/V с.г. окончено повторное следствие, причем: моими показаниями и повторной экспертизой от 25/V 40 г. опровергнуты обвинения и клеветнические показания на меня, но повторное следствие не встало на путь объективного разбора моего дела, а, наоборот, всячески его замазывает и прикрывает юридическими крючками, а именно: эксперты Душкин, Дедов, Калянова используются вновь, как свидетели (что незаконно), мне не предоставлено дачи объяснений по их показаниям, или очных ставок и пр. Свидетели с моей стороны не допрошены, я не допрошен подробно по показаниям арестованных и пр. и, наконец, мне снова предъявлено обвинение по ст. 58, п.п. 7 и 11, что явно неправильно и нелепо. Третий год скитаюсь я по тюрьмам от Москвы до бухты Нагаева и обратно, но все еще не вижу конца. Все еще меня топят буквально в ложке воды, зачем-то стараются представить вредителем и пр.</w:t>
      </w:r>
    </w:p>
    <w:p w14:paraId="591DB9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все еще оторван от моих работ, которые, как я теперь увидел при повторном следствии, отстают до уровня 1938 года. Это недопустимо, а мое личное положение так отвратительно и ужасно, что я вынужден просить у Вас заступничества и помощи. Я прошу назначить новое объективное следствие по моему делу. Я могу доказать мою невиновность и хочу продолжать работу над ракетными самолетами для обороны СССР.</w:t>
      </w:r>
    </w:p>
    <w:p w14:paraId="646A84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г. С. Королев» (10676).</w:t>
      </w:r>
    </w:p>
    <w:p w14:paraId="655CFB3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B1DB95B" w14:textId="77777777" w:rsidR="003302F0" w:rsidRPr="00DB5D0D" w:rsidRDefault="003302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13 июля 1940 г. — донос на имя Сталина, в котором Королёв обвиняет во вредительстве и клевете Клеймёнова, Душкина, Костикова и Лангемака (19116).</w:t>
      </w:r>
    </w:p>
    <w:p w14:paraId="7E5CAC20" w14:textId="77777777" w:rsidR="003302F0" w:rsidRPr="00DB5D0D" w:rsidRDefault="003302F0" w:rsidP="00DB5D0D">
      <w:pPr>
        <w:spacing w:after="0" w:line="240" w:lineRule="auto"/>
        <w:jc w:val="both"/>
        <w:rPr>
          <w:rFonts w:ascii="Times New Roman" w:hAnsi="Times New Roman"/>
          <w:color w:val="000000" w:themeColor="text1"/>
          <w:sz w:val="16"/>
          <w:szCs w:val="16"/>
        </w:rPr>
      </w:pPr>
    </w:p>
    <w:p w14:paraId="4444402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95F2EF5"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399255A"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г.</w:t>
      </w:r>
    </w:p>
    <w:p w14:paraId="453AB7F3"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153. Справка мобилизационного отдела Госплана СССР “О ходе выполнения плана третьей пятилетки наркоматами оборонной промышленности”</w:t>
      </w:r>
    </w:p>
    <w:p w14:paraId="78AFBF57"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094C5330"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622-624.</w:t>
      </w:r>
    </w:p>
    <w:p w14:paraId="501FFF2D"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768D37A9"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 4372. Оп. 92. Д. 265. Л. 2-4. Подлинник.</w:t>
      </w:r>
    </w:p>
    <w:p w14:paraId="229D5831"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094D04C7"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Рост объема производства валовой продукции промышленности  по наркоматам оборонной промышленности третьим пятилетним планом установлен в 3,3 раза. Фактическое увеличение объема производства валовой продукции наркоматов оборонной промышленности за первые 2 года пятилетки (1938</w:t>
      </w:r>
      <w:r w:rsidRPr="00DB5D0D">
        <w:rPr>
          <w:rFonts w:ascii="Times New Roman" w:hAnsi="Times New Roman"/>
          <w:color w:val="000000" w:themeColor="text1"/>
          <w:sz w:val="16"/>
          <w:szCs w:val="16"/>
        </w:rPr>
        <w:noBreakHyphen/>
        <w:t>1939 гг.) составило 2 с лишним раза, а за 3 года пятилетки (1938</w:t>
      </w:r>
      <w:r w:rsidRPr="00DB5D0D">
        <w:rPr>
          <w:rFonts w:ascii="Times New Roman" w:hAnsi="Times New Roman"/>
          <w:color w:val="000000" w:themeColor="text1"/>
          <w:sz w:val="16"/>
          <w:szCs w:val="16"/>
        </w:rPr>
        <w:noBreakHyphen/>
        <w:t>1940 гг.) составит не менее чем в 2,8 раза.</w:t>
      </w:r>
    </w:p>
    <w:p w14:paraId="6ABD09E0"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Фактические среднегодовые темпы роста объема производства оборонной продукции за первые 2 года пятилетки (1938</w:t>
      </w:r>
      <w:r w:rsidRPr="00DB5D0D">
        <w:rPr>
          <w:rFonts w:ascii="Times New Roman" w:hAnsi="Times New Roman"/>
          <w:color w:val="000000" w:themeColor="text1"/>
          <w:sz w:val="16"/>
          <w:szCs w:val="16"/>
        </w:rPr>
        <w:noBreakHyphen/>
        <w:t>1939 гг.) составили 143,1% и за 3 года пятилетки (1938</w:t>
      </w:r>
      <w:r w:rsidRPr="00DB5D0D">
        <w:rPr>
          <w:rFonts w:ascii="Times New Roman" w:hAnsi="Times New Roman"/>
          <w:color w:val="000000" w:themeColor="text1"/>
          <w:sz w:val="16"/>
          <w:szCs w:val="16"/>
        </w:rPr>
        <w:noBreakHyphen/>
        <w:t>1940 гг.) составят не менее 141,5% против 127,3% среднегодовых темпов, установленных планом третьей пятилетки.</w:t>
      </w:r>
    </w:p>
    <w:p w14:paraId="7130D06E"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данные показывают, что оборонная промышленность растет в третьей пятилетке значительно большими темпами в сравнении с темпами, предусмотренными планом третьей пятилетки. Отсюда следует вывод, что третий пятилетний план по объему производства валовой продукции наркоматами оборонной промышленности будет выполнен раньше срока.</w:t>
      </w:r>
    </w:p>
    <w:p w14:paraId="78B9080A"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 третьей пятилетки по наркоматам оборонной промышленности следующее.</w:t>
      </w:r>
    </w:p>
    <w:p w14:paraId="6D76600A"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НКАвиапромышленности</w:t>
      </w:r>
    </w:p>
    <w:p w14:paraId="714F5BF0"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Среднегодовые темпы валовой продукции промышленности планом третьей пятилетки установлены 126,4%. Объем валовой продукции промышленности в 1942 г. по отношению к 1937 г. должен составить 323%, или увеличиться в 3,2 раза.</w:t>
      </w:r>
    </w:p>
    <w:p w14:paraId="0C86ED38"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первые годы пятилетки выполнение плана производства валовой продукции промышленности идет следующим образом: объем валовой продукции составил за 1938 г. 3237,7 млн. руб., или 138% к отчету за 1937 г.; за 1939 г. — 4882,7 млн. руб., что дает 150,8% к отчету за 1938 г. и 208,2% к 1937 г., или рост в 2 раза. Ожидаемое выполнение плана в 1940 г. — 6310 млн. руб., что составит 129,2% к отчету за 1939 г. и 269% к 1937 г. Таким образом, фактические среднегодовые темпы роста промышленной продукции НКАвиапрома за первые годы пятилетки (1938</w:t>
      </w:r>
      <w:r w:rsidRPr="00DB5D0D">
        <w:rPr>
          <w:rFonts w:ascii="Times New Roman" w:hAnsi="Times New Roman"/>
          <w:color w:val="000000" w:themeColor="text1"/>
          <w:sz w:val="16"/>
          <w:szCs w:val="16"/>
        </w:rPr>
        <w:noBreakHyphen/>
        <w:t>1939 гг.) составили 144,3%, а за 3 года пятилетки (1938</w:t>
      </w:r>
      <w:r w:rsidRPr="00DB5D0D">
        <w:rPr>
          <w:rFonts w:ascii="Times New Roman" w:hAnsi="Times New Roman"/>
          <w:color w:val="000000" w:themeColor="text1"/>
          <w:sz w:val="16"/>
          <w:szCs w:val="16"/>
        </w:rPr>
        <w:noBreakHyphen/>
        <w:t>1940 гг.) составят 139% против 126,4% среднегодовых темпов, установленных планом третьей пятилетки. Следовательно, фактические темпы роста продукции промышленности НКАП значительно выше плановых. Исходя из этого следует вывод, что третий пятилетний план по валовой продукции будет перевыполнен.</w:t>
      </w:r>
    </w:p>
    <w:p w14:paraId="2F472788"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НКВооружения</w:t>
      </w:r>
    </w:p>
    <w:p w14:paraId="57C449FF"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Объем валовой продукции промышленности по плану третьей пятилетки в 1942 г. должен составить 324% по отношению к 1937 г., или увеличиться за 5 лет в 3,2 раза. Среднегодовые темпы роста промышленного производства планом третьей пятилетки установлены 126,5%.</w:t>
      </w:r>
    </w:p>
    <w:p w14:paraId="2057A151"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первые годы пятилетки план выполняется следующим образом: объем валовой продукции в 1938 г. составил 3001,4 млн. руб., или 141,4% к отчету за 1937 г.; в 1939 г. — 4432,3 млн. руб., или 147,6% к 1938 г. и 208,4% к 1937 г., т. е. увеличился в 2 раза. Ожидаемое выполнение плана в 1940 г. — 5710 млн. руб., что составит 128,8% к отчету за 1939 г. и 268,5% к 1937 г. Следовательно, за 3 года третьей пятилетки объем промышленной продукции увеличился в 2,6 раза.</w:t>
      </w:r>
    </w:p>
    <w:p w14:paraId="5CD4668F"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Фактические среднегодовые темпы роста валовой продукции НКВооружения за 2 года (1938</w:t>
      </w:r>
      <w:r w:rsidRPr="00DB5D0D">
        <w:rPr>
          <w:rFonts w:ascii="Times New Roman" w:hAnsi="Times New Roman"/>
          <w:color w:val="000000" w:themeColor="text1"/>
          <w:sz w:val="16"/>
          <w:szCs w:val="16"/>
        </w:rPr>
        <w:noBreakHyphen/>
        <w:t>1939 гг.) составили 144,4% и за 3 года пятилетки (1938</w:t>
      </w:r>
      <w:r w:rsidRPr="00DB5D0D">
        <w:rPr>
          <w:rFonts w:ascii="Times New Roman" w:hAnsi="Times New Roman"/>
          <w:color w:val="000000" w:themeColor="text1"/>
          <w:sz w:val="16"/>
          <w:szCs w:val="16"/>
        </w:rPr>
        <w:noBreakHyphen/>
        <w:t>1940 гг.) составят 139% против 126,5%, установленных планом третьей пятилетки. Фактические годовые темпы роста промышленной продукции значительно выше плановых.</w:t>
      </w:r>
    </w:p>
    <w:p w14:paraId="5B6F5663"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указанных выше данных, можно ожидать выполнение плана третьей пятилетки в 1941 г.</w:t>
      </w:r>
    </w:p>
    <w:p w14:paraId="5951F705"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НКБоеприпасов</w:t>
      </w:r>
    </w:p>
    <w:p w14:paraId="387E599A"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Установленный третьим пятилетним планом объем валовой продукции промышленности в 1942 г. должен составить 376% по отношению к отчету за 1937 г., или вырасти в 3,7 раза.</w:t>
      </w:r>
    </w:p>
    <w:p w14:paraId="62403A2A"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Среднегодовые темпы роста валовой продукции установлены 130,3%. За первые годы пятилетки выполнение плана следующее: объем валовой продукции составил в 1938 г. 2423,5 млн. руб., или 155,2% к 1937 г.; в 1939 г. — 3719,3 млн. руб., или 153,4% к отчету за 1938 г. и 238,2% к 1937 г., т. е. увеличился в 2,3 раза, ожидаемый объем валовой продукции в 1940 г. — 5500 млн. руб., что составит 147,8% к отчету за 1939 г. и 352,3% к 1937 г. или увеличится в 3,5 раза.</w:t>
      </w:r>
    </w:p>
    <w:p w14:paraId="55045990"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Фактические среднегодовые темпы роста объема производства валовой продукции составили за первые 2 года (1938</w:t>
      </w:r>
      <w:r w:rsidRPr="00DB5D0D">
        <w:rPr>
          <w:rFonts w:ascii="Times New Roman" w:hAnsi="Times New Roman"/>
          <w:color w:val="000000" w:themeColor="text1"/>
          <w:sz w:val="16"/>
          <w:szCs w:val="16"/>
        </w:rPr>
        <w:noBreakHyphen/>
        <w:t>1939 гг.) 154,3% и за 3 года (1938</w:t>
      </w:r>
      <w:r w:rsidRPr="00DB5D0D">
        <w:rPr>
          <w:rFonts w:ascii="Times New Roman" w:hAnsi="Times New Roman"/>
          <w:color w:val="000000" w:themeColor="text1"/>
          <w:sz w:val="16"/>
          <w:szCs w:val="16"/>
        </w:rPr>
        <w:noBreakHyphen/>
        <w:t>1940 гг.) составит не менее 152%. Следовательно, среднегодовые темпы роста объема промышленной продукции много выше темпов, предусмотренных планом третьей пятилетки.</w:t>
      </w:r>
    </w:p>
    <w:p w14:paraId="22ECD044"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указанных выше данных можно ожидать выполнение плана третьей пятилетки по объему промышленной продукции в 1941 г.</w:t>
      </w:r>
    </w:p>
    <w:p w14:paraId="71FE8A34"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НКСудпром</w:t>
      </w:r>
    </w:p>
    <w:p w14:paraId="4D08F45C"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Рост объема производства валовой продукции третьим пятилетним планом намечен в 3,2 раза. Среднегодовые темпы роста объема производства установлены 126,6%.</w:t>
      </w:r>
    </w:p>
    <w:p w14:paraId="6B9356D8"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 за первые годы пятилетки по объему валовой продукции составляет: в 1938 г. — 2010,7 млн. руб., или 116,5% к 1937 г.; в 1939 г. — 2866 млн. руб., или 142,5% к 1938 г. и 166% к 1937 г.</w:t>
      </w:r>
    </w:p>
    <w:p w14:paraId="0E778C1E"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Ожидаемое выполнение плана 1940 г. составит 4448 млн. руб., что составит 155,2% к 1939 г. и 257,7% к 1937 г.</w:t>
      </w:r>
    </w:p>
    <w:p w14:paraId="1B4700E4"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фактическое увеличение объема производства валовой продукции за 3 года пятилетки составит не менее чем в 2,5 раза. Фактические среднегодовые темпы роста объема производства валовой продукции за первые 2 года пятилетки (1938</w:t>
      </w:r>
      <w:r w:rsidRPr="00DB5D0D">
        <w:rPr>
          <w:rFonts w:ascii="Times New Roman" w:hAnsi="Times New Roman"/>
          <w:color w:val="000000" w:themeColor="text1"/>
          <w:sz w:val="16"/>
          <w:szCs w:val="16"/>
        </w:rPr>
        <w:noBreakHyphen/>
        <w:t>1939 гг.) составили 123,9% и за 3 года пятилетки (1938</w:t>
      </w:r>
      <w:r w:rsidRPr="00DB5D0D">
        <w:rPr>
          <w:rFonts w:ascii="Times New Roman" w:hAnsi="Times New Roman"/>
          <w:color w:val="000000" w:themeColor="text1"/>
          <w:sz w:val="16"/>
          <w:szCs w:val="16"/>
        </w:rPr>
        <w:noBreakHyphen/>
        <w:t>1940 гг.) составят не менее 137,1% против 126,6%, предусмотренных по плану.</w:t>
      </w:r>
    </w:p>
    <w:p w14:paraId="0DF9E1D4"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данные показывают, что третий пятилетний план по НКСудпрому будет выполнен в основном в 4 года[</w:t>
      </w:r>
      <w:hyperlink r:id="rId194"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w:t>
      </w:r>
    </w:p>
    <w:p w14:paraId="465941EE"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моботдела Госплана при СНК СССРВ. Цуканов.</w:t>
      </w:r>
    </w:p>
    <w:p w14:paraId="69431EFA"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p w14:paraId="4F083CA7"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195"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Фактический рост объема производства и среднегодовые темпы за 3 года пятилетки показаны с учетом всех организационных изменений в наркоматах, произведенных на основании постановлений правитёльства. Установленный планом третьей пятилетки рост объема производства и среднегодовые темпы оставлены без изменений. (Примечание документа).</w:t>
      </w:r>
    </w:p>
    <w:p w14:paraId="0A0BB8B9"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 4372. Оп. 92. Д. 265. Л. 2-4. Подлинник (17995).</w:t>
      </w:r>
    </w:p>
    <w:p w14:paraId="7EBA53D1" w14:textId="77777777" w:rsidR="004175B6" w:rsidRPr="00DB5D0D" w:rsidRDefault="004175B6" w:rsidP="00DB5D0D">
      <w:pPr>
        <w:spacing w:after="0" w:line="240" w:lineRule="auto"/>
        <w:jc w:val="both"/>
        <w:rPr>
          <w:rFonts w:ascii="Times New Roman" w:hAnsi="Times New Roman"/>
          <w:color w:val="000000" w:themeColor="text1"/>
          <w:sz w:val="16"/>
          <w:szCs w:val="16"/>
        </w:rPr>
      </w:pPr>
    </w:p>
    <w:p w14:paraId="4D2E651F" w14:textId="77777777" w:rsidR="003302F0" w:rsidRPr="00DB5D0D" w:rsidRDefault="003302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июля 1940 г. вышло постановление КО № 277сс. В нем говорилось: «В целях обеспечения качественного и количественного выпуска корпусов снарядов из сталистого чугуна, Комитет Обороны при СНК Союза ССР постановляет: </w:t>
      </w:r>
    </w:p>
    <w:p w14:paraId="07EA3B32" w14:textId="77777777" w:rsidR="003302F0" w:rsidRPr="00DB5D0D" w:rsidRDefault="003302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Утвердить предложение Наркомбоеприпасов и Наркомобороны об установлении для снарядов сталистого чугуна тактического назначения как снарядов осколочных, изменив в соответствие с этим порядок полигонных испытаний и требования, предъявленные при испытании к этим снарядам.</w:t>
      </w:r>
    </w:p>
    <w:p w14:paraId="3FED93FA" w14:textId="77777777" w:rsidR="003302F0" w:rsidRPr="00DB5D0D" w:rsidRDefault="003302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Наркомобороны т. С.К. Тимошенко и Наркомбоеприпасов т. И.П. Сергеева совместно с Наркомсредмашем, Наркомобщмашем, НКПС и Наркомтяжмашем к 25 июля 1940 г. разработать тактико-технические требования применительно к снарядам сталистого чугуна и откорректировать в связи с этим существующие технические условия на изготовление 76-, 122- и 152-милиметровых осколочных снарядов сталистого чугуна по действующим чертежам с учетом дифференциации химического анализа по калибрам» (18645).</w:t>
      </w:r>
    </w:p>
    <w:p w14:paraId="1852BB1C" w14:textId="77777777" w:rsidR="003302F0" w:rsidRPr="00DB5D0D" w:rsidRDefault="003302F0" w:rsidP="00DB5D0D">
      <w:pPr>
        <w:spacing w:after="0" w:line="240" w:lineRule="auto"/>
        <w:jc w:val="both"/>
        <w:rPr>
          <w:rFonts w:ascii="Times New Roman" w:hAnsi="Times New Roman"/>
          <w:color w:val="000000" w:themeColor="text1"/>
          <w:sz w:val="16"/>
          <w:szCs w:val="16"/>
        </w:rPr>
      </w:pPr>
    </w:p>
    <w:p w14:paraId="38E0DA1E" w14:textId="77777777" w:rsidR="004175B6" w:rsidRPr="00DB5D0D" w:rsidRDefault="004175B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г. Приказом НКО № 149 на базе Артиллерийского управления, управлений начальника артиллерии, стрелкового вооружения и минометно-минного вооружения вновь сформировано Главное артиллерийское управление Красной армии. (РГВА. Ф. 4. Оп. 15. Д. 2. Л. 325</w:t>
      </w:r>
      <w:r w:rsidRPr="00DB5D0D">
        <w:rPr>
          <w:rFonts w:ascii="Times New Roman" w:hAnsi="Times New Roman"/>
          <w:color w:val="000000" w:themeColor="text1"/>
          <w:sz w:val="16"/>
          <w:szCs w:val="16"/>
        </w:rPr>
        <w:noBreakHyphen/>
        <w:t>343.) (17752).</w:t>
      </w:r>
    </w:p>
    <w:p w14:paraId="251C8C8A" w14:textId="77777777" w:rsidR="004175B6" w:rsidRPr="00DB5D0D" w:rsidRDefault="004175B6" w:rsidP="00DB5D0D">
      <w:pPr>
        <w:spacing w:after="0" w:line="240" w:lineRule="auto"/>
        <w:jc w:val="both"/>
        <w:rPr>
          <w:rFonts w:ascii="Times New Roman" w:hAnsi="Times New Roman"/>
          <w:color w:val="000000" w:themeColor="text1"/>
          <w:sz w:val="16"/>
          <w:szCs w:val="16"/>
        </w:rPr>
      </w:pPr>
    </w:p>
    <w:p w14:paraId="5B0F9196" w14:textId="77777777" w:rsidR="00812B24" w:rsidRPr="00DB5D0D" w:rsidRDefault="00812B24"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13 июля 1940 г. была </w:t>
      </w:r>
      <w:r w:rsidRPr="00DB5D0D">
        <w:rPr>
          <w:rFonts w:ascii="Times New Roman" w:hAnsi="Times New Roman"/>
          <w:color w:val="0070C0"/>
          <w:sz w:val="16"/>
          <w:szCs w:val="16"/>
          <w:shd w:val="clear" w:color="auto" w:fill="FFFFFF"/>
        </w:rPr>
        <w:t>Докладная записка секретаря Комитета обороны при СНК СССР М. П. Пугаева председателю Комитета обороны при СНК СССР К. Е. Ворошилову о необходимости утвердить акт правительственной комиссии о повторных испытаниях ружей конструкции Рукавишникова и Владимирова (21948).</w:t>
      </w:r>
    </w:p>
    <w:p w14:paraId="7F5112F0" w14:textId="77777777" w:rsidR="00812B24" w:rsidRPr="00DB5D0D" w:rsidRDefault="00812B24" w:rsidP="00DB5D0D">
      <w:pPr>
        <w:autoSpaceDE w:val="0"/>
        <w:autoSpaceDN w:val="0"/>
        <w:adjustRightInd w:val="0"/>
        <w:spacing w:after="0" w:line="240" w:lineRule="auto"/>
        <w:jc w:val="both"/>
        <w:rPr>
          <w:rFonts w:ascii="Times New Roman" w:hAnsi="Times New Roman"/>
          <w:color w:val="0070C0"/>
          <w:sz w:val="16"/>
          <w:szCs w:val="16"/>
        </w:rPr>
      </w:pPr>
    </w:p>
    <w:p w14:paraId="5348433A" w14:textId="77777777" w:rsidR="003302F0" w:rsidRPr="00DB5D0D" w:rsidRDefault="003302F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г. один из первых пяти принятых заказчиком танков Т-34 установочной партии, имевший заводской номер 311-25-3, был отправлен железнодорожным транспортом с завода № 183 на станцию Ржевка в распоряжение начальника АНИОПа. На полигон танк прибыл 24 июля 1940 г. (19575).</w:t>
      </w:r>
    </w:p>
    <w:p w14:paraId="1647F1A6" w14:textId="77777777" w:rsidR="003302F0" w:rsidRPr="00DB5D0D" w:rsidRDefault="003302F0" w:rsidP="00DB5D0D">
      <w:pPr>
        <w:spacing w:after="0" w:line="240" w:lineRule="auto"/>
        <w:jc w:val="both"/>
        <w:rPr>
          <w:rFonts w:ascii="Times New Roman" w:hAnsi="Times New Roman"/>
          <w:color w:val="000000" w:themeColor="text1"/>
          <w:sz w:val="16"/>
          <w:szCs w:val="16"/>
        </w:rPr>
      </w:pPr>
    </w:p>
    <w:p w14:paraId="610E1E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один из четырех Т-34 июньского выпуска № 311-25-3 был отправлен на Ленинградский артиллерийский научно-испытательный полигон и в середине июля совместно с танками БТ-7, БТ-7М, Т-26, Т-35 и КВ принял участие в преодолении укреплений Линии Маннергейма. Водитель Н.Ф.Носик единственный преодолел 8 м ров глубиной 2 м с ж/б сваями на дне. Ф потом еще одно специально сделанное препятствие - деревья, спиленные на высоте 1 м и 6 м ров. В конце лета машина вернулась на завод (4829, 22).</w:t>
      </w:r>
    </w:p>
    <w:p w14:paraId="75A7CED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1B777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г. один из четырех танков Т-34 опытно-войско</w:t>
      </w:r>
      <w:r w:rsidRPr="00DB5D0D">
        <w:rPr>
          <w:rFonts w:ascii="Times New Roman" w:hAnsi="Times New Roman"/>
          <w:color w:val="000000" w:themeColor="text1"/>
          <w:sz w:val="16"/>
          <w:szCs w:val="16"/>
        </w:rPr>
        <w:softHyphen/>
        <w:t>вой серии был отправлен в распоряжение особой группы НКСМ в Ленинградский артиллерийский научно-испыта</w:t>
      </w:r>
      <w:r w:rsidRPr="00DB5D0D">
        <w:rPr>
          <w:rFonts w:ascii="Times New Roman" w:hAnsi="Times New Roman"/>
          <w:color w:val="000000" w:themeColor="text1"/>
          <w:sz w:val="16"/>
          <w:szCs w:val="16"/>
        </w:rPr>
        <w:softHyphen/>
        <w:t>тельный (ЛАНИ) полигон для проведения испытаний на препятствиях «Линии Маннергейма» где показал себя в вы</w:t>
      </w:r>
      <w:r w:rsidRPr="00DB5D0D">
        <w:rPr>
          <w:rFonts w:ascii="Times New Roman" w:hAnsi="Times New Roman"/>
          <w:color w:val="000000" w:themeColor="text1"/>
          <w:sz w:val="16"/>
          <w:szCs w:val="16"/>
        </w:rPr>
        <w:softHyphen/>
        <w:t>годном свете. По некоторым отзывам, это был суший триумф машины, которая под управлением испытателя Н. Носика преодолела все мыслимые и немыслимые препятствия, предложенные представители АБТУ. Танк вернулся на завод, со</w:t>
      </w:r>
      <w:r w:rsidRPr="00DB5D0D">
        <w:rPr>
          <w:rFonts w:ascii="Times New Roman" w:hAnsi="Times New Roman"/>
          <w:color w:val="000000" w:themeColor="text1"/>
          <w:sz w:val="16"/>
          <w:szCs w:val="16"/>
        </w:rPr>
        <w:softHyphen/>
        <w:t>провождаемый слухами о том, что в его лице РККА получи</w:t>
      </w:r>
      <w:r w:rsidRPr="00DB5D0D">
        <w:rPr>
          <w:rFonts w:ascii="Times New Roman" w:hAnsi="Times New Roman"/>
          <w:color w:val="000000" w:themeColor="text1"/>
          <w:sz w:val="16"/>
          <w:szCs w:val="16"/>
        </w:rPr>
        <w:softHyphen/>
        <w:t>ла самую подвижную и проходимую боевую машину. Однако июльская программа выпуска была сорвана, так как вместо запланированных 20 танков завод смог предъявить заказчику только одну. В августе положение улучшилось и уже 24 танка были испытаны пробегом. Они выдержали испытания, но приняты не были, так как Кировский завод не смог поставить ни пушек Ф-32, ни Л-11. Там шла подлинная война завода за свою конструкцию — орудие Л-11. Несмотря на решение АБТУ в пользу Ф-32, за</w:t>
      </w:r>
      <w:r w:rsidRPr="00DB5D0D">
        <w:rPr>
          <w:rFonts w:ascii="Times New Roman" w:hAnsi="Times New Roman"/>
          <w:color w:val="000000" w:themeColor="text1"/>
          <w:sz w:val="16"/>
          <w:szCs w:val="16"/>
        </w:rPr>
        <w:softHyphen/>
        <w:t>вод продолжал улучшать конструкцию Л-11. В последних числах мая 1940 г. состоялись совместные испытания Л-11 и Ф-32 в банках БТ-7А, показавшие небольшие преимущества Ф-32. Поэтому в июне 1940 г. принимается решение о разво-рачивании серийного выпуска Ф-32 не только на Л КЗ, но также на заводах № 92 и № 13с программой выпуска в 1941 г. соответственно 2500, 2000 и 700 штук. Но к этому времени ОКБ-92 под управлением В. Грабина предложило ГАУ проект новой, 76,2-мм танковой пушки Ф-34, которая при большей, чем у Ф-32, мощности (длина ствола составляла 41 калибр против 30 калибров у Ф-32), была более простой и потому должна была иметь меньшую стоимость и сложность в изготовлении. Артуправление принято проект, выпустив приказ о проведении полигонных испытаний пушки в сентябре 1940 г. Однако Наркомат обо</w:t>
      </w:r>
      <w:r w:rsidRPr="00DB5D0D">
        <w:rPr>
          <w:rFonts w:ascii="Times New Roman" w:hAnsi="Times New Roman"/>
          <w:color w:val="000000" w:themeColor="text1"/>
          <w:sz w:val="16"/>
          <w:szCs w:val="16"/>
        </w:rPr>
        <w:softHyphen/>
        <w:t>роны в письме от 13 июня уже рекомендовал вооружать «улучшенный танк Т-34» именно этим образцом танкового орудия, которое было в то время самым мощным в мире, но которое еще предстояло создать и испытать (10782).</w:t>
      </w:r>
    </w:p>
    <w:p w14:paraId="367928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115D7CE"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E04DC3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B8116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г. Совнарком СССР утвердил Положение о дисциплинарном батальоне в Красной Армии (объявлено приказом НКО № 214 от 15 июля 1940 г.), в котором закреплялось предназначение дисциплинарного батальона для отбытия наказания осужденными военным трибуналом военнослужащими рядового и младшего начальствующего состава срочной службы и призванными из запаса на срок от 6 месяцев до 2 лет. В соответствии с Положением время пребывания осужденного в дисциплинарном батальоне в срок службы в армии не засчитывалось; осужденные, отправленные для отбытия наказания в дисциплинарный батальон, из списков части не исключались. Рабочий день в дисциплинарном батальоне устанавливался продолжительностью в 12 часов, из них 9 часов на хозяйственные и строительные работы и 3 часа на боевую и политическую подготовку. Отбывающие наказание в дисциплинарном батальоне и их семьи лишались права на льготы, установленные для военнослужащих и их семей, с момента вынесения приговора военным трибуналом до освобождения осужденного из дисциплинарного батальона. Дисциплинарный батальон содержался по особому штату и подчинялся непосредственно командующему войсками округа (армии). В соответствии с приказом НКО № 265 большинство дисциплинарных батальонов было расформировано (за исключением дислоцированных в восточных районах СССР), а военнослужащие, отбывавшие в них наказание, направлены на фронт и зачислены в обычные воинские формирования или штрафные части (9844).</w:t>
      </w:r>
    </w:p>
    <w:p w14:paraId="6253A03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D373D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г. Приказом No.0149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B2FA20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BFAE418" w14:textId="77777777" w:rsidR="00812B24" w:rsidRPr="00DB5D0D" w:rsidRDefault="00812B24"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июля 1940 г. в соответствии с приказом № 0149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вновь сформировано Главное артиллерийское управление Красной Армии (ГАУ КА) (20074).</w:t>
      </w:r>
    </w:p>
    <w:p w14:paraId="130D650F" w14:textId="77777777" w:rsidR="00812B24" w:rsidRPr="00DB5D0D" w:rsidRDefault="00812B24" w:rsidP="00DB5D0D">
      <w:pPr>
        <w:autoSpaceDE w:val="0"/>
        <w:autoSpaceDN w:val="0"/>
        <w:adjustRightInd w:val="0"/>
        <w:spacing w:after="0" w:line="240" w:lineRule="auto"/>
        <w:jc w:val="both"/>
        <w:rPr>
          <w:rFonts w:ascii="Times New Roman" w:hAnsi="Times New Roman"/>
          <w:color w:val="0070C0"/>
          <w:sz w:val="16"/>
          <w:szCs w:val="16"/>
        </w:rPr>
      </w:pPr>
    </w:p>
    <w:p w14:paraId="3D66C380"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2A66D5C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622EE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был опубликовали закон «Об ответственности за выпуск недоброкачественной или некомплектной продукции и за несоблюдение обязательных стандартов промышленными предприятиями»:</w:t>
      </w:r>
    </w:p>
    <w:p w14:paraId="453131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 буквально на следующий день началось его неуклонное претворение в жизнь. Газеты сообщали, что за дела бракоделов взялись опытнейшие следователи по важнейшим делам:</w:t>
      </w:r>
    </w:p>
    <w:p w14:paraId="0B3876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прокуратуре Азербайджанской ССР у следователя по важнейшим делам т. Двороковского сидит средних лет полный мужчина. Приторно улыбаясь, пожимая плечами, он мягко говорит:</w:t>
      </w:r>
    </w:p>
    <w:p w14:paraId="1020F6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Видите ли, я с вами вполне согласен, что выпуск недоброкачественного хлеба есть преступление, и как руководитель предприятия признаю себя виновным, но… я виноват частично. Хлебопечение — производство, а на производстве недостатки бывают…</w:t>
      </w:r>
    </w:p>
    <w:p w14:paraId="5B9D28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Выпечку булок на 100 граммов легче установленного стандарта вы тоже считаете недостатками производства? — спрашивает следователь. Директор пекарни N 13 Октябрьского района Сапруков любезно соглашается со всеми доводами следователя. Он не отрицает, что плохо руководил пекарней, не принимал никаких мер против бракоделов, не задумывался над применением средств, повышающих качество хлеба. Сапрукова сменяет заведующий производством Баширов.</w:t>
      </w:r>
    </w:p>
    <w:p w14:paraId="372873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 выпуске недоброкачественного хлеба я не виноват,— заявляет он.— Я не могу следить за работой ночью. Возможно, ночью нарушается технологический процесс выпечки и из-за этого происходит брак. За всем ведь не усмотришь…</w:t>
      </w:r>
    </w:p>
    <w:p w14:paraId="25F5E2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Вчера т. Двороковский закончил следствие по делу руководителей пекарни N 13. За систематический выпуск бракованной продукции привлечены к уголовной ответственности директор пекарни Сапруков, зав. производством Баширов и мастер Ахназаров. Все трое заключены под стражу».</w:t>
      </w:r>
    </w:p>
    <w:p w14:paraId="64FABC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 кому угрожал арест, немедленно взялись за исправление недостатков. К примеру, директор Ново-Тульского металлургического завода В. Жуков докладывал:</w:t>
      </w:r>
    </w:p>
    <w:p w14:paraId="020BCD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«Рабочие, инженеры, техники и служащие нашего завода встретили Указ Президиума Верховного Совета от 10 июля весьма одобрительно. Как только Указ был опубликован, мы в тот же день обсудили его в цехах, на собраниях бригад. Рабочие и специалисты завода на этих собраниях внесли немало ценных предложений, осуществление которых позволит значительно поднять качество металла… Пускаем в работу дополнительно еще один паровоз. Наводим образцовый порядок на шихтовом дворе, регламентируем по классам и сортам руду. Усилили технический контроль за качеством получаемого сырья… На заводе сейчас проводится полная инвентаризация чугуна. Склады очищаются от всего ненужного. Контроль за отгрузкой чугуна теперь значительно усилен. Отгрузка некондиционного металла нами совершенно прекращена, хотя на этот металл и имеются наряды».</w:t>
      </w:r>
    </w:p>
    <w:p w14:paraId="19CFF9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выхода указа от 10 июля контроль качества продукции превратился в профессию, чреватую восьмилетней отсидкой (11750).</w:t>
      </w:r>
    </w:p>
    <w:p w14:paraId="5AAC775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6A3CF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7B2723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3D4FD6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в Англии сформировано первое польское подразделение «Свободная Польша» (4962).</w:t>
      </w:r>
    </w:p>
    <w:p w14:paraId="6D0931B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4C49A7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13 июля 1940 в Германии отменен план «Вилли» по похищению английского принца Виндзора и возведения его на британский престол после победы немцев (4962).</w:t>
      </w:r>
    </w:p>
    <w:p w14:paraId="5566733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65ED05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 xml:space="preserve">13 июля 1940 Гитлер издал приказ № 15, по которому Люфтваффе обязывались уничтожать английскую авиацию </w:t>
      </w:r>
      <w:r w:rsidRPr="00DB5D0D">
        <w:rPr>
          <w:rFonts w:ascii="Times New Roman" w:hAnsi="Times New Roman"/>
          <w:color w:val="000000" w:themeColor="text1"/>
          <w:sz w:val="16"/>
          <w:szCs w:val="16"/>
          <w:lang w:val="en-US"/>
        </w:rPr>
        <w:t>(4962).</w:t>
      </w:r>
    </w:p>
    <w:p w14:paraId="0E6C28E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lang w:val="en-US"/>
        </w:rPr>
      </w:pPr>
    </w:p>
    <w:p w14:paraId="666AB4DB"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13th, 1940: Hitler issues Directive No. 15 outlining the details of Unternehmen Seel=F6we (Operation Sea Lion), the German invasion of the British Isles. In advance of the landings, the Luftwaffe is to begin operations against British defensive positions, airfields and radar installations along the southern coast of England on August 15; 2.600 aircraft have been earmarked for this purpose (3819).</w:t>
      </w:r>
    </w:p>
    <w:p w14:paraId="26A92E92"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436C57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А.Г. выпустил директиву N 15, определяющую основные черты операции Морской Лев - немецкого вторжения на британские острова. Перед операций Люфтваффе должны были нанести удары по британским оборонительным позициям, аэродромам и радарным станциям, расположенным вдоль южного побережья Англии до 15 августа 1940.Для участия в операции было выделено 2600 самолетов (3819).</w:t>
      </w:r>
    </w:p>
    <w:p w14:paraId="2E7604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968C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июля 1940 были установлены контрольные цифры по производству самолетов в Германии - 345 J-88 и 60 Ju-87 в месяц (1048,40).</w:t>
      </w:r>
    </w:p>
    <w:p w14:paraId="2AA9E4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2AED78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88EB4F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5C126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июля 1940 года самолеты СБ-2М-105 поступили в 95 СБП и войсковые испытания их начались 15 июля 1940 года ……………………..(7712, 376).</w:t>
      </w:r>
    </w:p>
    <w:p w14:paraId="4E00DD9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242FB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июля 1940 начались гос. испытания И-301 (4,227).</w:t>
      </w:r>
    </w:p>
    <w:p w14:paraId="2EB05B7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B1EC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14 июля по 1 августа 1940 в 57 АБ в Люберцах в соответствии с Приказом НКО № 0139 проходили войсковые испытания 20 мм синхронные пушки Швак (7313, 12).</w:t>
      </w:r>
    </w:p>
    <w:p w14:paraId="4ADA196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C0C98AC" w14:textId="77777777" w:rsidR="003C7E8B"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Жизнь</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и</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внутренняя</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политика</w:t>
      </w:r>
      <w:r w:rsidRPr="00DB5D0D">
        <w:rPr>
          <w:rFonts w:ascii="Times New Roman" w:hAnsi="Times New Roman"/>
          <w:i/>
          <w:iCs/>
          <w:color w:val="000000" w:themeColor="text1"/>
          <w:sz w:val="16"/>
          <w:szCs w:val="16"/>
          <w:lang w:val="en-US"/>
        </w:rPr>
        <w:t>:</w:t>
      </w:r>
    </w:p>
    <w:p w14:paraId="7A49D0AD" w14:textId="77777777" w:rsidR="003C7E8B" w:rsidRPr="00DB5D0D" w:rsidRDefault="003C7E8B" w:rsidP="00DB5D0D">
      <w:pPr>
        <w:spacing w:after="0" w:line="240" w:lineRule="auto"/>
        <w:jc w:val="both"/>
        <w:rPr>
          <w:rFonts w:ascii="Times New Roman" w:hAnsi="Times New Roman"/>
          <w:iCs/>
          <w:color w:val="000000" w:themeColor="text1"/>
          <w:sz w:val="16"/>
          <w:szCs w:val="16"/>
          <w:lang w:val="en-US"/>
        </w:rPr>
      </w:pPr>
    </w:p>
    <w:p w14:paraId="7CD78703"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14 July 1940 The Soviet Union absorbs the Baltic States of Lithuania, Latvia and Estonia (270).</w:t>
      </w:r>
    </w:p>
    <w:p w14:paraId="73637C31"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4AA0589D"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14 and 15 July 1940 Orchestrated "elections" of new parliaments in Estonia, Latvia and Lithuania (1224).</w:t>
      </w:r>
    </w:p>
    <w:p w14:paraId="04745FC6"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7F8ACF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 15 июля 1940 СССР поглотил Балтийские государства, организовав выборы новых Парламетов в Эстонии, Латвии и Литве (270;1224).</w:t>
      </w:r>
    </w:p>
    <w:p w14:paraId="0B39C2B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1EECAB4" w14:textId="77777777" w:rsidR="00C125D7" w:rsidRPr="00DB5D0D" w:rsidRDefault="00C125D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июля в 1940 году в Латвии и Эстонии проводятся выборы в Верховные Советы. В Латвии из 17 пpедставленных списков кандидатов к голосованию допускается только "Блок трудового народа" (14952).</w:t>
      </w:r>
    </w:p>
    <w:p w14:paraId="00E34365" w14:textId="77777777" w:rsidR="00C125D7" w:rsidRPr="00DB5D0D" w:rsidRDefault="00C125D7" w:rsidP="00DB5D0D">
      <w:pPr>
        <w:spacing w:after="0" w:line="240" w:lineRule="auto"/>
        <w:jc w:val="both"/>
        <w:rPr>
          <w:rFonts w:ascii="Times New Roman" w:hAnsi="Times New Roman"/>
          <w:color w:val="000000" w:themeColor="text1"/>
          <w:sz w:val="16"/>
          <w:szCs w:val="16"/>
        </w:rPr>
      </w:pPr>
    </w:p>
    <w:p w14:paraId="299D31A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E87148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94A743B"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июля 1940 в ответ на британские атаки на Мерс-эль-Кебир и Дакар французские бомбардировщики снова атакуют Гибралтар, но большинство их бомб падает в море (20795).</w:t>
      </w:r>
    </w:p>
    <w:p w14:paraId="2859CEAE" w14:textId="77777777" w:rsidR="00812B24" w:rsidRPr="00DB5D0D" w:rsidRDefault="00812B24" w:rsidP="00DB5D0D">
      <w:pPr>
        <w:spacing w:after="0" w:line="240" w:lineRule="auto"/>
        <w:jc w:val="both"/>
        <w:rPr>
          <w:rFonts w:ascii="Times New Roman" w:hAnsi="Times New Roman"/>
          <w:color w:val="0070C0"/>
          <w:sz w:val="16"/>
          <w:szCs w:val="16"/>
        </w:rPr>
      </w:pPr>
    </w:p>
    <w:p w14:paraId="6F2B9F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июля 1940 Ю-88 бомбардировали Суэц с баз на Крите (2100).</w:t>
      </w:r>
    </w:p>
    <w:p w14:paraId="7795BDC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69D743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17F8F5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5AAA2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года Начальник НИП АВ ВВС полковник Шевченко и Военком НИП АВ ВВС в/инженер 2-го ранга Щербинин 18 июля 1940 года утвердили Отчет по полигонным наземным испытаниям носовой стрелковой установки "НУМВ" с прицелом ПАЛ-27 на самолет ДБ-3ф</w:t>
      </w:r>
    </w:p>
    <w:p w14:paraId="6E2F5E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испытания ст. инженер 5-го отделения Опытного отдела в/инженер 2 ранга Мохов.</w:t>
      </w:r>
    </w:p>
    <w:p w14:paraId="2A4743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Цель испытаний</w:t>
      </w:r>
    </w:p>
    <w:p w14:paraId="0B05FF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w:t>
      </w:r>
    </w:p>
    <w:p w14:paraId="0035AB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Качество конструкции установки "НУМВ" и прицела ПАЛ-27.</w:t>
      </w:r>
    </w:p>
    <w:p w14:paraId="26026F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Целесообразность монтажа установки на самолет ДБ-3Ф, для проведения воздушных испытаний.</w:t>
      </w:r>
    </w:p>
    <w:p w14:paraId="468E8F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612EE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Предъявленная на полигонные испытания носовая установка "НУМВ" завода N 32 с прицелом ПАЛ 27 завода ГОМЗ - полигонные испытания не выдержала.</w:t>
      </w:r>
    </w:p>
    <w:p w14:paraId="7F41F8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настоящем конструктивном оформлении на самолет ставить нецелесообразно.</w:t>
      </w:r>
    </w:p>
    <w:p w14:paraId="20F2B9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Необходимо доработать установку согласно выводов настоящего отчета (2976).</w:t>
      </w:r>
    </w:p>
    <w:p w14:paraId="1AB5B73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8421B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года начальник 6 управления ГУ ВВС бригинженер Лапин подготовил:</w:t>
      </w:r>
    </w:p>
    <w:p w14:paraId="2B3581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Справку о самолетах ББ-22 и ББ-1 по состоянию на 15 июля 1940 года</w:t>
      </w:r>
    </w:p>
    <w:p w14:paraId="3EAA6D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ББ-22 строится двумя заводами №№ 1 и 81.</w:t>
      </w:r>
    </w:p>
    <w:p w14:paraId="2B2EF7E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 Самолет ББ-22 осваивается производством с июня 1939 года.</w:t>
      </w:r>
    </w:p>
    <w:p w14:paraId="43E98B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постановления КО за № 116 от 4 марта 1940 года самолет ББ-22 с производства снят с условием:</w:t>
      </w:r>
    </w:p>
    <w:p w14:paraId="719B54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имеющийся задел 100 самолетов закончить производством на заводе № 1 и передать в части ВВС в 1940 году;</w:t>
      </w:r>
    </w:p>
    <w:p w14:paraId="6F14C9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стапеля, приспособления и задел сверх 100 самолетов передать на завод № 81;</w:t>
      </w:r>
    </w:p>
    <w:p w14:paraId="0B8809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эталоном самолета является самолет ББ-22 № 1012;</w:t>
      </w:r>
    </w:p>
    <w:p w14:paraId="7CED79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на 100 самолетах должны быть устранены следующие дефекты: поставить новые шасси под спаренные колеса, поставить новое управление триммерами (тросовое), усилить цилиндр гидросистемы механизма управления закрылками; довести винтомоторную группу до нормальных тепловых режимов масла и воды.</w:t>
      </w:r>
    </w:p>
    <w:p w14:paraId="3D4DD2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Принятых и подготовленных к отправке в части ВВС КОВО – ст. Лебедин – 15 самолетов</w:t>
      </w:r>
    </w:p>
    <w:p w14:paraId="6D8D1E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сборке и на устранении дефектов 35 самолетов.</w:t>
      </w:r>
    </w:p>
    <w:p w14:paraId="59DE65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течение 1939-40 г.г. самолеты ББ-22 налетали:</w:t>
      </w:r>
    </w:p>
    <w:p w14:paraId="43F747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 1 (на 8 самолетах) – 57 час. 07 мин.</w:t>
      </w:r>
    </w:p>
    <w:p w14:paraId="0090F0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войсковых испытаниях экипажами в/частей по материалам в/испытаний 10 самолетов 149 час. 26 мин.</w:t>
      </w:r>
    </w:p>
    <w:p w14:paraId="5358DF3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81. Самолет ББ-22 осваивается производством с июля 1939 года</w:t>
      </w:r>
    </w:p>
    <w:p w14:paraId="1377B7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Принятых и подготовленных к отправке в части ВВС КОВО – ст. Лебедин – 10 самолетов</w:t>
      </w:r>
    </w:p>
    <w:p w14:paraId="72B7D3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Налет на один самолет – 45 минут.</w:t>
      </w:r>
    </w:p>
    <w:p w14:paraId="113BE5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ББ-1</w:t>
      </w:r>
    </w:p>
    <w:p w14:paraId="41E01D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ББ-1 строится тремя заводами НКАП за №№ 135 (Харьков), 31 (Таганрог), 207 (Москва)</w:t>
      </w:r>
    </w:p>
    <w:p w14:paraId="4DCBC0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Основными дефектами самолета ББ-1 являются:</w:t>
      </w:r>
    </w:p>
    <w:p w14:paraId="1CB4464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Недоведенность винтомоторной группы по температурным режимам масла (дефект устранен).</w:t>
      </w:r>
    </w:p>
    <w:p w14:paraId="4AF9860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Отсутствие замка на шасси фиксирующего положение последних в выпущенном состоянии (дефект устранен).</w:t>
      </w:r>
    </w:p>
    <w:p w14:paraId="6198CCF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Отсутствует на самолете оборудование по заполнению бензобаков нейтральным газом (предъявлено 2 самолета на испытания – от баллона и с использованием отработанных газов).</w:t>
      </w:r>
    </w:p>
    <w:p w14:paraId="3DFCA9B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Сидение штурмана высоко и неудобно в походном положении.</w:t>
      </w:r>
    </w:p>
    <w:p w14:paraId="210817A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Повышенные расходы горючего – причина – недоведенность карбюратора.</w:t>
      </w:r>
    </w:p>
    <w:p w14:paraId="4E80BF7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Несоответствие самолета тактико-техническим требованиям по дальности полета (вместо 1000 км имеем 650 км) и скоростям (468 км/час вместо 500 км/час).</w:t>
      </w:r>
    </w:p>
    <w:p w14:paraId="3C3DB8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Ряд более мелких дефектов, выявленных в результате войсковых испытаний будет устранен заводом в течении июля-августа 1940 года (7658, 262-264).</w:t>
      </w:r>
    </w:p>
    <w:p w14:paraId="26CEA96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145AA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15 июля 1940 Контролер КО СНК СССР Вахрушев подготовил Справку Зам. Главного Контролера КО при СНК тов. Семину:</w:t>
      </w:r>
    </w:p>
    <w:p w14:paraId="489FB2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ходе испытания опытных самолетов по решению ЦК ВКП(б) и СНК СССР от 10 апреля 1940 г.</w:t>
      </w:r>
    </w:p>
    <w:p w14:paraId="3194C2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ББ-22 с М-103 (т. Яковлева).</w:t>
      </w:r>
    </w:p>
    <w:p w14:paraId="32FA47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обязало закончить государственные испытания войскойо серии самолетов ББ-22 с М-103 к 1 мая 1940 г. Испытания закончены в срок. Предъявленные самолеты оказались с большимколичеством конструктивных (вооружение, винтмоторная группа, колеса) и производственных дефектов. Выявленные недостатки предложено устранить на серийных самолетах.</w:t>
      </w:r>
    </w:p>
    <w:p w14:paraId="46A6B2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 САМОЛЕТА ББ-22 с М-105 (т. Яковлев), )</w:t>
      </w:r>
    </w:p>
    <w:p w14:paraId="0420A3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должен закончить заводские испытания к 25.5-40 г. Испытания не закончены. При рулетке 23.5-40 г. произошла авария, сейчас самолет восстанавливается.</w:t>
      </w:r>
    </w:p>
    <w:p w14:paraId="732024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ББ-1 с М-88 (т. Сухой).</w:t>
      </w:r>
    </w:p>
    <w:p w14:paraId="331F5C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Госиспытания должны быть закончены 28.4-40 г. Фактически за-рнчены 30.4-40 г. Во время испытаний выявилась неудовлетворителъная работа винто-моторноп группы (мотор М-88). Выявлен ряд дефектов, которые предложено устранить на серийных самолетах. Несмотря на это, выпускаемые серийные самолеты ББ-1 с М-87 заводом № 135 до сих пор не доведены по винтомоторной группе.</w:t>
      </w:r>
    </w:p>
    <w:p w14:paraId="553E93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СПБ с 2 М-105 (т.Поликарпов).</w:t>
      </w:r>
    </w:p>
    <w:p w14:paraId="5C9A38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обязало НКАП закончить заводские испытания самолета СПБ к 5 мая 1940 г. Заводские испытанил до сих пор закончены. Имело место одна катастрофа и две аварии. Самолет еще не доведен по устойчивости и винтомоторном группе.</w:t>
      </w:r>
    </w:p>
    <w:p w14:paraId="238877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"100" (ОТБ НКВД),</w:t>
      </w:r>
    </w:p>
    <w:p w14:paraId="4557C2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Госиспытания закончены в срок. Самолет запущен в серийное производство в варианте пикирующего бомбардировщика.</w:t>
      </w:r>
    </w:p>
    <w:p w14:paraId="52C092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И-28 (т. Яценко),</w:t>
      </w:r>
    </w:p>
    <w:p w14:paraId="40C1697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госиспытания закончил в срок, но показал неудовлетворительные результаты по устойчивости. С производства на заводе № 292 снят.</w:t>
      </w:r>
    </w:p>
    <w:p w14:paraId="56F86E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И-26 (т. Яковлев),</w:t>
      </w:r>
    </w:p>
    <w:p w14:paraId="13C23D0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закончены в срок. Госиспытания также закончены, но самолет прошел их не в полном объеме. Недоведенность прочности не позволила произвести испытания на штопор и пикирование.</w:t>
      </w:r>
    </w:p>
    <w:p w14:paraId="1DABEB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Выявленные дефекты т. Яковлев устраняет очень медленно, чем задерживает серийный выпуск этих самолетов на заводе № 301.</w:t>
      </w:r>
    </w:p>
    <w:p w14:paraId="6767B2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И-180 (т. Поликарпов).</w:t>
      </w:r>
    </w:p>
    <w:p w14:paraId="1045C7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должны быть закончены к 5.5-40 г. Фактически закончены 11.6-40 г. Госиспытания началась с 26.6-40 г. Во время испытательного полета на маневренность при совершени бочки самолет перешел в перевернутый штопор, из которого выйти было невозможно. Летчик т. Прошаков выбросился на парашюте. Испытания прекращены до установления причин.</w:t>
      </w:r>
    </w:p>
    <w:p w14:paraId="600C76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войсковой серии (10 самолетов) сорван по вине НКАП завода № 21.</w:t>
      </w:r>
    </w:p>
    <w:p w14:paraId="59261D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ДБ-240 (т. Ермолаев).</w:t>
      </w:r>
    </w:p>
    <w:p w14:paraId="2637AC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должен закончить заводские испытания к 1 июля 1940 г. Испвтания не закончены, так как т. Шахурин дал задание испытать максимальную дальность. Самолет в летном состояния.</w:t>
      </w:r>
    </w:p>
    <w:p w14:paraId="40CEDE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ЗАМЕЧАНИЕ:</w:t>
      </w:r>
    </w:p>
    <w:p w14:paraId="5B29BF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испытаний сильно тормозится тем, что НКАП предста</w:t>
      </w:r>
      <w:r w:rsidRPr="00DB5D0D">
        <w:rPr>
          <w:rFonts w:ascii="Times New Roman" w:hAnsi="Times New Roman"/>
          <w:color w:val="000000" w:themeColor="text1"/>
          <w:sz w:val="16"/>
          <w:szCs w:val="16"/>
        </w:rPr>
        <w:softHyphen/>
        <w:t>вляет на госиспытания недоведенные самолеты. Доводка самолетов во время испытаний идет медленным темпом. Замеченные при испытаниях дефекты при внедрении в серийное производст</w:t>
      </w:r>
      <w:r w:rsidRPr="00DB5D0D">
        <w:rPr>
          <w:rFonts w:ascii="Times New Roman" w:hAnsi="Times New Roman"/>
          <w:color w:val="000000" w:themeColor="text1"/>
          <w:sz w:val="16"/>
          <w:szCs w:val="16"/>
        </w:rPr>
        <w:softHyphen/>
        <w:t>во устраняются так же медленно (10514,51).</w:t>
      </w:r>
    </w:p>
    <w:p w14:paraId="6BAAAA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Контролер КО СНК Вахрушев подготовил:</w:t>
      </w:r>
    </w:p>
    <w:p w14:paraId="0D6B71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е з и с ы</w:t>
      </w:r>
    </w:p>
    <w:p w14:paraId="6DEB59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Неудовлетворительная работа за 1-е полугодие 1940 г. характеризуется следующими фактами:</w:t>
      </w:r>
    </w:p>
    <w:p w14:paraId="78CA34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 18-ти самолетостроительных заводов основными поставщиками являются 4 завода (1, 18, 21, 22).</w:t>
      </w:r>
    </w:p>
    <w:p w14:paraId="005486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Исключительно плохо обстоит с организацией труда - колоссальные простои, так за 5-ть месяцев 1940 г. 6,6 тыс. чел.час, что равноценно выпуску 1500 самолетов истребительного типа.</w:t>
      </w:r>
    </w:p>
    <w:p w14:paraId="45CAF7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Недовыполнение программы: 720 бомбор., 292 истребит., 956 моторов (только НКО).</w:t>
      </w:r>
    </w:p>
    <w:p w14:paraId="168477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Низкое качество выпускаемой продукции.</w:t>
      </w:r>
    </w:p>
    <w:p w14:paraId="72E89D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самолетам</w:t>
      </w:r>
    </w:p>
    <w:p w14:paraId="60ED10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бомбо-люки, форсаж, выработка горючего.</w:t>
      </w:r>
    </w:p>
    <w:p w14:paraId="01A2DD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 обрыв болтов коков винта, разрушение сопла вес. патрубки.</w:t>
      </w:r>
    </w:p>
    <w:p w14:paraId="600EE3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 недоведенность ВМГ (масло и головки цилиндров), тряска мото-установки, поломка 5-й точки крепления мотора, разрушение колес.</w:t>
      </w:r>
    </w:p>
    <w:p w14:paraId="3635AE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И-153 -Не доведена ВМГ (температурный режим), ограни</w:t>
      </w:r>
      <w:r w:rsidRPr="00DB5D0D">
        <w:rPr>
          <w:rFonts w:ascii="Times New Roman" w:hAnsi="Times New Roman"/>
          <w:color w:val="000000" w:themeColor="text1"/>
          <w:sz w:val="16"/>
          <w:szCs w:val="16"/>
        </w:rPr>
        <w:softHyphen/>
        <w:t>чение в пилотировании, разрушение в воздухе (Баку, завод № 39).</w:t>
      </w:r>
    </w:p>
    <w:p w14:paraId="447E99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моторам.</w:t>
      </w:r>
    </w:p>
    <w:p w14:paraId="47C641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М-87А и М-87Б (завод № 29) конструктивная недоработка узла нагнетателя. Вышло из строя 103 мотора в 1939 г., 80 мо</w:t>
      </w:r>
      <w:r w:rsidRPr="00DB5D0D">
        <w:rPr>
          <w:rFonts w:ascii="Times New Roman" w:hAnsi="Times New Roman"/>
          <w:color w:val="000000" w:themeColor="text1"/>
          <w:sz w:val="16"/>
          <w:szCs w:val="16"/>
        </w:rPr>
        <w:softHyphen/>
        <w:t>торов в 1940 г., что к выпущенной продукции составляет 5-8%.</w:t>
      </w:r>
    </w:p>
    <w:p w14:paraId="1BDE52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выбывшие из строя восстанавливаются неудовлет</w:t>
      </w:r>
      <w:r w:rsidRPr="00DB5D0D">
        <w:rPr>
          <w:rFonts w:ascii="Times New Roman" w:hAnsi="Times New Roman"/>
          <w:color w:val="000000" w:themeColor="text1"/>
          <w:sz w:val="16"/>
          <w:szCs w:val="16"/>
        </w:rPr>
        <w:softHyphen/>
        <w:t>ворительно. Обрыв прицепных шатунов 12 случаев.</w:t>
      </w:r>
    </w:p>
    <w:p w14:paraId="3AFF10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М-62 и М-63 заклинение втулки главного шатуна 180 сл. 30 сл. Прогар поршней около 20% по данным Ф.Фронта.</w:t>
      </w:r>
    </w:p>
    <w:p w14:paraId="663331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агрегатам.</w:t>
      </w:r>
    </w:p>
    <w:p w14:paraId="54EDB7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Узким местом являются карбюраторы</w:t>
      </w:r>
    </w:p>
    <w:p w14:paraId="3EA9A7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М-88 (самолет ДБ-3 снизил дальность 20%); к М-62, к М-63, к М-105 - нельзя делать высший пилотаж.</w:t>
      </w:r>
    </w:p>
    <w:p w14:paraId="0D7D4D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Соверешенно нетерпимое положение с авиаколесами. План 80% выполнен. Качество низкое. Опытные самолеты колес не имеют, ТБ-7 также колес не имеет.</w:t>
      </w:r>
    </w:p>
    <w:p w14:paraId="1B035C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 имело место 1360 случаев самозаклинения колес. Инициатива завода № 120 и военпреда Малютина в деле облегчения диска колеса 900x300, что вывело несколько сот самолетов из строя на месяц.</w:t>
      </w:r>
    </w:p>
    <w:p w14:paraId="6B08F83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опытным самолетам.</w:t>
      </w:r>
    </w:p>
    <w:p w14:paraId="5227AC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на госиспытания представляются конструктивно недоработанными (ББ-1, ББ-2, ДБЛК, И-26, И-301) и т.д.</w:t>
      </w:r>
    </w:p>
    <w:p w14:paraId="571D05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опытным работам еще хуже</w:t>
      </w:r>
    </w:p>
    <w:p w14:paraId="0F61F4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Недисциплинированность.</w:t>
      </w:r>
    </w:p>
    <w:p w14:paraId="3BE436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 пост; КО, в частности тур. МВ-3 и МВ-2 к СБ и ДБ-3 ( завод № 126 и 89, 22)</w:t>
      </w:r>
    </w:p>
    <w:p w14:paraId="3D176A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горели баки из-за незаполнения их нейтральными газами (пост. в 1939 г.)</w:t>
      </w:r>
    </w:p>
    <w:p w14:paraId="466A39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И-180 сорвал в 1939 г. и 40 г. выпуск.</w:t>
      </w:r>
    </w:p>
    <w:p w14:paraId="743598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сорвано перевооружение И-16 с М-25 на М-62.</w:t>
      </w:r>
    </w:p>
    <w:p w14:paraId="47205B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экономия металлов ( коллегия не решает). Сидение дюраллевое, ведра Анисько, отходы труб дюраллевые и листов выбрасываются, засоряются, в шихту не идут. Магний жгут.</w:t>
      </w:r>
    </w:p>
    <w:p w14:paraId="3F63FB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Научно-Исследовательние ин-ты и конструктора не работают над исысканием недефицитных металлов</w:t>
      </w:r>
    </w:p>
    <w:p w14:paraId="79AB6C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w:t>
      </w:r>
    </w:p>
    <w:p w14:paraId="407C629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Обратить внимание НКАП:</w:t>
      </w:r>
    </w:p>
    <w:p w14:paraId="7EDEB1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организацию производства (простои и сверхурочные)</w:t>
      </w:r>
    </w:p>
    <w:p w14:paraId="40406E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Брак</w:t>
      </w:r>
    </w:p>
    <w:p w14:paraId="02CBE7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ресурсы авиамоторов</w:t>
      </w:r>
    </w:p>
    <w:p w14:paraId="638F65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экономия металлов.</w:t>
      </w:r>
    </w:p>
    <w:p w14:paraId="0F376B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Дисциплина в НКАП</w:t>
      </w:r>
    </w:p>
    <w:p w14:paraId="5C2E79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Улучшить руксводство заводами ДВ.</w:t>
      </w:r>
    </w:p>
    <w:p w14:paraId="7DF607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w:t>
      </w:r>
    </w:p>
    <w:p w14:paraId="628C46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Приемистость. Приемистостью в моторах называется способ</w:t>
      </w:r>
      <w:r w:rsidRPr="00DB5D0D">
        <w:rPr>
          <w:rFonts w:ascii="Times New Roman" w:hAnsi="Times New Roman"/>
          <w:color w:val="000000" w:themeColor="text1"/>
          <w:sz w:val="16"/>
          <w:szCs w:val="16"/>
        </w:rPr>
        <w:softHyphen/>
        <w:t>ность мотора плавно (без срывов) переходить с одного режима рабо</w:t>
      </w:r>
      <w:r w:rsidRPr="00DB5D0D">
        <w:rPr>
          <w:rFonts w:ascii="Times New Roman" w:hAnsi="Times New Roman"/>
          <w:color w:val="000000" w:themeColor="text1"/>
          <w:sz w:val="16"/>
          <w:szCs w:val="16"/>
        </w:rPr>
        <w:softHyphen/>
        <w:t>ты на другой (с больших оборотов на малые и,наоборот, с малых обо</w:t>
      </w:r>
      <w:r w:rsidRPr="00DB5D0D">
        <w:rPr>
          <w:rFonts w:ascii="Times New Roman" w:hAnsi="Times New Roman"/>
          <w:color w:val="000000" w:themeColor="text1"/>
          <w:sz w:val="16"/>
          <w:szCs w:val="16"/>
        </w:rPr>
        <w:softHyphen/>
        <w:t>ротов на большие) за определенное время.</w:t>
      </w:r>
    </w:p>
    <w:p w14:paraId="3A7493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технических условий приемистость авиационных моторов должна быть такой, чтобы обеспечивался безотказный (плавный) пере</w:t>
      </w:r>
      <w:r w:rsidRPr="00DB5D0D">
        <w:rPr>
          <w:rFonts w:ascii="Times New Roman" w:hAnsi="Times New Roman"/>
          <w:color w:val="000000" w:themeColor="text1"/>
          <w:sz w:val="16"/>
          <w:szCs w:val="16"/>
        </w:rPr>
        <w:softHyphen/>
        <w:t>ход с резоша малого газа на режим максимального газа за время двух секунд.</w:t>
      </w:r>
    </w:p>
    <w:p w14:paraId="254AE8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Высотность карбюратора.. Высотностью карбюратора называется высота, до которой карбюратор способен подавать в мотор рабочую смесь необходимого качества. Так как с поднятием на высоту рабочая смесь обогащается, то, во избежание обогащения смеси на карбюрато</w:t>
      </w:r>
      <w:r w:rsidRPr="00DB5D0D">
        <w:rPr>
          <w:rFonts w:ascii="Times New Roman" w:hAnsi="Times New Roman"/>
          <w:color w:val="000000" w:themeColor="text1"/>
          <w:sz w:val="16"/>
          <w:szCs w:val="16"/>
        </w:rPr>
        <w:softHyphen/>
        <w:t xml:space="preserve">рах, имеются особые устройства, называемые высотными </w:t>
      </w:r>
      <w:r w:rsidRPr="00DB5D0D">
        <w:rPr>
          <w:rFonts w:ascii="Times New Roman" w:hAnsi="Times New Roman"/>
          <w:color w:val="000000" w:themeColor="text1"/>
          <w:sz w:val="16"/>
          <w:szCs w:val="16"/>
        </w:rPr>
        <w:lastRenderedPageBreak/>
        <w:t>корректорами. Недостаток существующих карбюраторов в том,что они поддерживают необходимое качество смеси до высоты 8000-10000 м., а выше начинают обогащать смесь.</w:t>
      </w:r>
    </w:p>
    <w:p w14:paraId="45BC777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Надежность карбюратора во всех условияхполета. На некото</w:t>
      </w:r>
      <w:r w:rsidRPr="00DB5D0D">
        <w:rPr>
          <w:rFonts w:ascii="Times New Roman" w:hAnsi="Times New Roman"/>
          <w:color w:val="000000" w:themeColor="text1"/>
          <w:sz w:val="16"/>
          <w:szCs w:val="16"/>
        </w:rPr>
        <w:softHyphen/>
        <w:t>рых фигурах высшего пилотажа, в особенности при полете вверх коле</w:t>
      </w:r>
      <w:r w:rsidRPr="00DB5D0D">
        <w:rPr>
          <w:rFonts w:ascii="Times New Roman" w:hAnsi="Times New Roman"/>
          <w:color w:val="000000" w:themeColor="text1"/>
          <w:sz w:val="16"/>
          <w:szCs w:val="16"/>
        </w:rPr>
        <w:softHyphen/>
        <w:t>сами, существующие карбюраторы не обеспечивают нормальной подачи рабочей смеси в мотор, вследствие изменения уровня топлива в поплав</w:t>
      </w:r>
      <w:r w:rsidRPr="00DB5D0D">
        <w:rPr>
          <w:rFonts w:ascii="Times New Roman" w:hAnsi="Times New Roman"/>
          <w:color w:val="000000" w:themeColor="text1"/>
          <w:sz w:val="16"/>
          <w:szCs w:val="16"/>
        </w:rPr>
        <w:softHyphen/>
        <w:t>ковой камере по отношению к жиклерам. Для безотказности карбюрато</w:t>
      </w:r>
      <w:r w:rsidRPr="00DB5D0D">
        <w:rPr>
          <w:rFonts w:ascii="Times New Roman" w:hAnsi="Times New Roman"/>
          <w:color w:val="000000" w:themeColor="text1"/>
          <w:sz w:val="16"/>
          <w:szCs w:val="16"/>
        </w:rPr>
        <w:softHyphen/>
        <w:t>ров при любых фигурах полета необходимо создание специальных карбю</w:t>
      </w:r>
      <w:r w:rsidRPr="00DB5D0D">
        <w:rPr>
          <w:rFonts w:ascii="Times New Roman" w:hAnsi="Times New Roman"/>
          <w:color w:val="000000" w:themeColor="text1"/>
          <w:sz w:val="16"/>
          <w:szCs w:val="16"/>
        </w:rPr>
        <w:softHyphen/>
        <w:t>раторов.</w:t>
      </w:r>
    </w:p>
    <w:p w14:paraId="6A3F6A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Раскрутка винтов при пикировании.</w:t>
      </w:r>
    </w:p>
    <w:p w14:paraId="1DDE82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пикировании мотор переводят на малпй газ,так что мощность мотора становится незначительной и мопет не приниматься во внима</w:t>
      </w:r>
      <w:r w:rsidRPr="00DB5D0D">
        <w:rPr>
          <w:rFonts w:ascii="Times New Roman" w:hAnsi="Times New Roman"/>
          <w:color w:val="000000" w:themeColor="text1"/>
          <w:sz w:val="16"/>
          <w:szCs w:val="16"/>
        </w:rPr>
        <w:softHyphen/>
        <w:t>ние. Скорость самолета при пикировании значительно увеличивается, а так как лопасти вннта стоят под углом к полету, то от набегающего воздушного потока винт раскручиваемся и обороты его резко увеличиваются, что создает опасность для прочности мотора (10514,54).</w:t>
      </w:r>
    </w:p>
    <w:p w14:paraId="7C495F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5DEB43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года вышел приказ НИИ ВВС № 0133</w:t>
      </w:r>
    </w:p>
    <w:p w14:paraId="6BB5415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мотора М-105 на самолете СБ (6891, 255).</w:t>
      </w:r>
    </w:p>
    <w:p w14:paraId="2398240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EAC26B2" w14:textId="77777777" w:rsidR="00C125D7" w:rsidRPr="00DB5D0D" w:rsidRDefault="00C125D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июля в 1940 году начались войсковые испытания пяти серийных бомбардировщиков «СБ» с «2М-105» с винтами «ВИШ-22Е» в пикирующем варианте. На </w:t>
      </w:r>
      <w:hyperlink r:id="rId196" w:tgtFrame="_blank" w:history="1">
        <w:r w:rsidRPr="00DB5D0D">
          <w:rPr>
            <w:rFonts w:ascii="Times New Roman" w:hAnsi="Times New Roman"/>
            <w:color w:val="000000" w:themeColor="text1"/>
            <w:sz w:val="16"/>
            <w:szCs w:val="16"/>
          </w:rPr>
          <w:t xml:space="preserve">«СБ» «2М-105» </w:t>
        </w:r>
      </w:hyperlink>
      <w:r w:rsidRPr="00DB5D0D">
        <w:rPr>
          <w:rFonts w:ascii="Times New Roman" w:hAnsi="Times New Roman"/>
          <w:color w:val="000000" w:themeColor="text1"/>
          <w:sz w:val="16"/>
          <w:szCs w:val="16"/>
        </w:rPr>
        <w:t>устанавливались бомбодержатели «ПБ-3» (14953).</w:t>
      </w:r>
    </w:p>
    <w:p w14:paraId="4D554CEF" w14:textId="77777777" w:rsidR="00C125D7" w:rsidRPr="00DB5D0D" w:rsidRDefault="00C125D7" w:rsidP="00DB5D0D">
      <w:pPr>
        <w:spacing w:after="0" w:line="240" w:lineRule="auto"/>
        <w:jc w:val="both"/>
        <w:rPr>
          <w:rFonts w:ascii="Times New Roman" w:hAnsi="Times New Roman"/>
          <w:color w:val="000000" w:themeColor="text1"/>
          <w:sz w:val="16"/>
          <w:szCs w:val="16"/>
        </w:rPr>
      </w:pPr>
    </w:p>
    <w:p w14:paraId="5C7557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 в НИП АВ ВВС закончились полигонные испытания (спарки) турели МВ-3С под два пулемета ШКАС кал. 7,62 мм конструкции "Веневидова-Можаровского" разработанной на заводе N 32 на с-те СБ, которые проходили с 17 апреля 1940 г. с перерывом с 13.5.40 г. по 31.5.40 г. (2987).</w:t>
      </w:r>
    </w:p>
    <w:p w14:paraId="1CAE5C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в/инж. 2 ранга Филиппов.</w:t>
      </w:r>
    </w:p>
    <w:p w14:paraId="681405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Цель испытаний.</w:t>
      </w:r>
    </w:p>
    <w:p w14:paraId="63293A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соответствие турели МВ-3С тактико-техническим требованиям к ней предъявленным и рациональность использования в частях ВВС.</w:t>
      </w:r>
    </w:p>
    <w:p w14:paraId="3FBF86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1A649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Предъявленная заводом N 32 турель (спарка) МВ-3С под два пулемета "ШКАС" полигонные испытания выдержала и может быть допущена на войсковые испытания (2987).</w:t>
      </w:r>
    </w:p>
    <w:p w14:paraId="5354B1C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3417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июля 1940 года в 95 СБП проходили войсковые испытания самолетов СБ-2М-105.(7712, 376).</w:t>
      </w:r>
    </w:p>
    <w:p w14:paraId="308883A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2F49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 начались войсковые испытания пяти серийных бомбардировщиков СБ с 2М-105с винтами ВИШ-22Е в пикирующем варианте. На СБ 2М-105 устанавливались бомбодержатели ПБ-3.</w:t>
      </w:r>
    </w:p>
    <w:p w14:paraId="311817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СБ проходили войсковые испытания и бомбардировщики ДБ-3 с винтами ВИШ-23, также в пикирующем варианте.</w:t>
      </w:r>
    </w:p>
    <w:p w14:paraId="0456BB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втором экземпляре СБ-РК № I/ 281 впервые были установлены подвижные тормозные решетки и автомат вывода самолета из пикирования по типу Ju88. Эти устройства запускались в производство на московском заводе № 213 (9655).</w:t>
      </w:r>
    </w:p>
    <w:p w14:paraId="0E6492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ЦАГИ был разработан специальный бомбодержатель ПБ-3, который обеспечивал безопасный вывод авиабомб из бомболюка при бомбометании с пикирования. В процессе испытаний ПБ-3 "работал безотказно ".</w:t>
      </w:r>
    </w:p>
    <w:p w14:paraId="434A2A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испытаниях были задействованы экипажи майора Жданова, капитана Ковальчука и старших лейтенантов Субботина и Пискунова. В процессе отработки методики бомбометания с пикирования на СБ при угле пикирования 80" экипажи уверенно укладывали бомбы в круг радиусом 57 м при высоте сброса бомб 2000 м и в круг радиусом 126 м при высоте сброса бомб 4000 м. Итогом их работы стала разработка рекомендаций для летного состава строевых частей, обеспечивающих обучение и затем боевое применение СБ с пикирования, а также предложений по совершенствованию СБ и его бомбового вооружения.</w:t>
      </w:r>
    </w:p>
    <w:p w14:paraId="0F5EF7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испытаниях на "пикирование" участвовали самолеты С Б с моторами М-103 и М-104. При этом СБ с 2М-104 показал неудовлетворительные результаты ввиду недоработанности мотоустановки. По этим же причинам эксплуатация в частях этих вариантов С Б также была признана неудачной.</w:t>
      </w:r>
    </w:p>
    <w:p w14:paraId="493D9B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целью обеспечения необходимых УСЛОВИЙ для безопасного бомбометания с пикирования был разработан и испытан ограничитель перегрузок при выводе самолета из пикирования. Ограничитель перегрузок был смонтирован на серийном самолете СБ № 11/248 с моторами 2М-103. Для определения величины и постоянства перегрузок при выводе самолета из пикирования всего сделано 50 пикирований (6 полетов) на углах от 20" до 65" при скоростях начала вывода из пикирования от 350 до 450 км/ч по прибору.</w:t>
      </w:r>
    </w:p>
    <w:p w14:paraId="5B802D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проведенных испытании было установлено, что оптимальное значение перегрузки на выводе из пикирования составляет 2.9 единицы. В этом случае при соответствующей регулировке ограничителя перегрузок:</w:t>
      </w:r>
    </w:p>
    <w:p w14:paraId="5F5C0C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"Пилотирование самолета с включенным прибором производится бел каких-либо ограничений на всех режимах скоростей: можно производить виражи до 61)", набор высоты, планирование, спираль, боевые развороты с перегрузкой, допускаемой ограничителем. При выходе из пикирования независимо от угла пикирования, скорости, положения триммера руля глубины и резкости взятия рулей на себя прибор обеспечивает заданную перегрузку" (9655).</w:t>
      </w:r>
    </w:p>
    <w:p w14:paraId="694B5F0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B8888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 начались войсковые испытания пяти серийных бомбардировщиков СБ с 2M-I05 с винтами ВИШ-22Е в пикирующем варианте. На втором экземпляре СБ- РК № 1/282 впервые были установлены подвижные тормозные решетки и автомат вывода самолета из пикирования по типу Ju 88 (12042).</w:t>
      </w:r>
    </w:p>
    <w:p w14:paraId="0FED2A4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87ABC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Дир. завода 1 Дементьев подготовил справку для зам. НКАП П.А.Воронина по ББ-22 и в т.ч. важнейшие переделки, выполненные в соответствии с решением Правительства от 10 апреля 1940 и приказа НКАП от 111 апреля N 167сс - спаренные колеса и т.п., а также других важнейших изменениях - новой задней стрелковой установки. бомболюках, фонарях, срезке гаргрота и т.п. (1295,230).</w:t>
      </w:r>
    </w:p>
    <w:p w14:paraId="37AAFA3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54DEA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июля 1940 завод 301 стал выдавать И-26 на аэродром (198,16).</w:t>
      </w:r>
    </w:p>
    <w:p w14:paraId="09326D6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E9C23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июля 1940 завод № 301 снова начал выдавать самолеты на аэродром. Облет первых машин выявил необходимость замены маслорадиатора, который не обеспечивал необходимой теплоотдачи. Также отмечался нагрев колес шасси, который уменьшал эффективность торможения. Опробование моторов и отстрел оружия сильно задерживало отсутствие достаточного количества винтов ВИШ-61П (на 27 июля их было всего пять), что привело к установке на некоторых самолетах первой серии винтов ВИШ-22П.</w:t>
      </w:r>
    </w:p>
    <w:p w14:paraId="77089F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9 августа на завод не было поставлено ни одной мотор-пушки. Для обеспечения нормального питания патронами к пушке был предусмотрен специальный подтяг. Завод № 2 в Коврове, которому были переданы Крыльевой цех 1944 г. чертежи для серии, делать подтяг отказывался. НКАП категорически не принимал пушки без этого узла и не соглашался изготовлять его своими силами. Завод № 2 должен был выпустить в первом квартале 1940 г. 25 мотор-пушек. К августу их было собрано 20 штук, но военная приемка, как и НКАП, отказывалась все принимать без механизма подтяга и механизма пневмоперезарядки. Имея готовые машины первой серии на аэродроме и задел в цехах, завод № 301 был совершенно дезориентирован в вопросе снабжения пушками.</w:t>
      </w:r>
    </w:p>
    <w:p w14:paraId="20CDC9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дальнейшем изменения и переделки продолжались. На I августа I940 г. маслосистема изменялась семь раз, воздушная система - четыре раза, вооружение и капоты мотора - по два раза. В августе стали устанавливать воздушный компрессор АК-50, так как АК-30 не обеспечивал необходимого для уборки шасси на взлете давления воздуха. Начиная с первой машины, ввели весовую компенсацию в крыле и руле высоты. В сентябре доработали стойки шасси, добавили новый люк в фюзеляже для подхода к во- дорадиатору, вновь изменили маслосистему и т.д. и т.п. Всего с I февраля по I октября 1940 г. в чертежи И-26 было внесено 3950 изменений, из них:</w:t>
      </w:r>
    </w:p>
    <w:p w14:paraId="11BAC7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конструктивных ...300 штук;</w:t>
      </w:r>
    </w:p>
    <w:p w14:paraId="457F5F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производственно-технологических изменений ...700 штук;</w:t>
      </w:r>
    </w:p>
    <w:p w14:paraId="427EAE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исправлений в чертежах по причинам выявленных неувязок размеров ...2950 штук.</w:t>
      </w:r>
    </w:p>
    <w:p w14:paraId="10FD17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Только с 11 по 27 сентября I940 г. десять истребителей И-26 первой серии завода № 301 были облетаны и приняты военными представителями. Самолеты незамедлительно направили на войсковые испытания, которые проводились в Кубинке в 11-м истребительном авиаполку (иап) с октября по ноябрь 1940 г. включительно.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58729D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w:t>
      </w:r>
      <w:r w:rsidRPr="00DB5D0D">
        <w:rPr>
          <w:rFonts w:ascii="Times New Roman" w:hAnsi="Times New Roman"/>
          <w:color w:val="000000" w:themeColor="text1"/>
          <w:sz w:val="16"/>
          <w:szCs w:val="16"/>
        </w:rPr>
        <w:lastRenderedPageBreak/>
        <w:t>дефектов, выявленных на госиспытаниях, и обнажили немалое количество новых, связанных с качеством изготовления. По изданному директором завода № 30I 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4008F6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32F6A4A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B17E6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15 июля 1940 состоялось четыре полета летчика А.П.Чернавского на истребителе П.О.С. И-135. Заводские испытания и доводку самолета уже полностью обеспечивали специалисты вновь созданного ОКБ П.О.Сухого (6406).</w:t>
      </w:r>
    </w:p>
    <w:p w14:paraId="1EE60CB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A827D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года ст. военпред ГУАС на заводе № 21 в/инженер 1 ранга Белоусов писал письмо № 673с начальнику 1 отдела НИИ ГУ ВВС в/инженеру 1 ранга Рудинцеву.</w:t>
      </w:r>
    </w:p>
    <w:p w14:paraId="7B0555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И-21 начались летные испытания. Произведено 2 полета. Первый продолжительностью 18 минут 11 июля 1940 года и второй 5 минут 13 июля 1940 года.</w:t>
      </w:r>
    </w:p>
    <w:p w14:paraId="16B6F5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Поведение машины в обоих полетах было хорошее (4644, 14).</w:t>
      </w:r>
    </w:p>
    <w:p w14:paraId="03FBA26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790FD03" w14:textId="77777777" w:rsidR="003C7E8B" w:rsidRPr="00DB5D0D" w:rsidRDefault="003C7E8B" w:rsidP="00DB5D0D">
      <w:pPr>
        <w:pStyle w:val="24"/>
        <w:widowControl/>
        <w:rPr>
          <w:color w:val="000000" w:themeColor="text1"/>
        </w:rPr>
      </w:pPr>
      <w:r w:rsidRPr="00DB5D0D">
        <w:rPr>
          <w:color w:val="000000" w:themeColor="text1"/>
        </w:rPr>
        <w:t>С 15 по 24 июля 1940 года проходили повторные специальные летные испытания моторов М-88 за №№ 881033 и 881034. Были прекращены из-за отказа в работе первой скорости нагнетателя на моторе № 881033 после 26 часов 26 минут работы.</w:t>
      </w:r>
    </w:p>
    <w:p w14:paraId="40474883" w14:textId="77777777" w:rsidR="003C7E8B" w:rsidRPr="00DB5D0D" w:rsidRDefault="003C7E8B" w:rsidP="00DB5D0D">
      <w:pPr>
        <w:pStyle w:val="24"/>
        <w:widowControl/>
        <w:rPr>
          <w:color w:val="000000" w:themeColor="text1"/>
        </w:rPr>
      </w:pPr>
      <w:r w:rsidRPr="00DB5D0D">
        <w:rPr>
          <w:color w:val="000000" w:themeColor="text1"/>
        </w:rPr>
        <w:t>…………………….(7647, 108).</w:t>
      </w:r>
    </w:p>
    <w:p w14:paraId="09B59D10" w14:textId="77777777" w:rsidR="003C7E8B" w:rsidRPr="00DB5D0D" w:rsidRDefault="003C7E8B" w:rsidP="00DB5D0D">
      <w:pPr>
        <w:pStyle w:val="24"/>
        <w:widowControl/>
        <w:rPr>
          <w:color w:val="000000" w:themeColor="text1"/>
        </w:rPr>
      </w:pPr>
    </w:p>
    <w:p w14:paraId="17572F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ЦАГИ было предложено изготовить макет кабины Ю-88, чтобы была чем-то вроде эталона для наших конструкторов (229,22).</w:t>
      </w:r>
    </w:p>
    <w:p w14:paraId="06CAEB8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1BABB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состоялось заседание N 17 Коллегии НКАП по вопросу о строительстве опытных заводов и конструкторских бюро (1156).</w:t>
      </w:r>
    </w:p>
    <w:p w14:paraId="63B87B2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58D2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ГАУ потребовало от Наркомата вооружений передать Я.Г.Таубину для создания 23 мм установки ПВО четырехколесный лафет от 25 мм пушки 72-К, а в другом документе хотели использовать лафет от 37 мм пушки 61-К. Завод Калинина тянул и не хотел помогать конкурентам (1116,50).</w:t>
      </w:r>
    </w:p>
    <w:p w14:paraId="659B90D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111C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июля по 20 августа 1940 на НИП АВ проходили полигонные испытания синхронизатора ЦАГИ (7313, 12).</w:t>
      </w:r>
    </w:p>
    <w:p w14:paraId="57910FC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178CF9" w14:textId="77777777" w:rsidR="00223180" w:rsidRPr="00DB5D0D" w:rsidRDefault="0022318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 закончились полигонные испытания кормовой турели МВ-3с, оборудованной спаркой пулеметов ШKAC, кторые шли с 17 апреля. Эта установка конструкции Можаровского и Веневидова строилась на заводе № 32 и предполагалась для повышения обороноспособности самолета СБ. Хотя МВ-Зс испытания выдержала, признавалось, что наличие двух пулеметов стесняет стрелка и затрудняет выбрасывание с парашютом в аварийной ситуации (12747)</w:t>
      </w:r>
    </w:p>
    <w:p w14:paraId="69882F6E" w14:textId="77777777" w:rsidR="00223180" w:rsidRPr="00DB5D0D" w:rsidRDefault="00223180" w:rsidP="00DB5D0D">
      <w:pPr>
        <w:pStyle w:val="ae"/>
        <w:spacing w:before="0" w:after="0"/>
        <w:jc w:val="both"/>
        <w:rPr>
          <w:color w:val="000000" w:themeColor="text1"/>
          <w:sz w:val="16"/>
          <w:szCs w:val="16"/>
        </w:rPr>
      </w:pPr>
    </w:p>
    <w:p w14:paraId="28907C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Нач. ГУ КС ЕКАП Кац писал Справку (вход. № 6507 от 16 июля) в ГЛАВНЫЙ КОНТРОЛЬ КОМИТЕТА ОБОРОНЫ при СНК СССР- тов. Новикову А.С.</w:t>
      </w:r>
    </w:p>
    <w:p w14:paraId="49FCB0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состоянии рабочего проектирования и строительства объекта 600 в гор. Урумчи</w:t>
      </w:r>
    </w:p>
    <w:p w14:paraId="7E0CBA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решением Комитета Обороны при СНК СССР от 23 февраля 1940 года № 82сс, установившего срок ввода в эксплоатацию завода в гор. Урумчи 1 сентября 1940 г. тября 1940 г. НКАП до 1 июля 1940 проделано следующее:</w:t>
      </w:r>
    </w:p>
    <w:p w14:paraId="4957E4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проект, генеральная смета завода закон</w:t>
      </w:r>
      <w:r w:rsidRPr="00DB5D0D">
        <w:rPr>
          <w:rFonts w:ascii="Times New Roman" w:hAnsi="Times New Roman"/>
          <w:color w:val="000000" w:themeColor="text1"/>
          <w:sz w:val="16"/>
          <w:szCs w:val="16"/>
        </w:rPr>
        <w:softHyphen/>
        <w:t>чены и утверждены Наркомом 3 мая 1940 года.</w:t>
      </w:r>
    </w:p>
    <w:p w14:paraId="4BDF15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Строительные и монтажные рабочие чертежи завода и жилпоселка полностью закончены и находится на площад</w:t>
      </w:r>
      <w:r w:rsidRPr="00DB5D0D">
        <w:rPr>
          <w:rFonts w:ascii="Times New Roman" w:hAnsi="Times New Roman"/>
          <w:color w:val="000000" w:themeColor="text1"/>
          <w:sz w:val="16"/>
          <w:szCs w:val="16"/>
        </w:rPr>
        <w:softHyphen/>
        <w:t>ке строительства.</w:t>
      </w:r>
    </w:p>
    <w:p w14:paraId="48357A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промплощадке закончен главный корпус, идут внутриотделочные работы и подготовка к монтажу оборудова</w:t>
      </w:r>
      <w:r w:rsidRPr="00DB5D0D">
        <w:rPr>
          <w:rFonts w:ascii="Times New Roman" w:hAnsi="Times New Roman"/>
          <w:color w:val="000000" w:themeColor="text1"/>
          <w:sz w:val="16"/>
          <w:szCs w:val="16"/>
        </w:rPr>
        <w:softHyphen/>
        <w:t>ния.</w:t>
      </w:r>
    </w:p>
    <w:p w14:paraId="46A7FC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энергетическом корпусе и теплом складе закончены сборка и установка металлоконструкций крыши. Крыши покрыты волнистым железом, идет кладка кирпичных стен, сделаны бетонные полы в энергетическом корпусе, закончены фундаменты под котлы.</w:t>
      </w:r>
    </w:p>
    <w:p w14:paraId="358BA9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Фундаменты под все остальные сооружения промплощадки закопчен и идет ускоренными темпами кладка стен.</w:t>
      </w:r>
    </w:p>
    <w:p w14:paraId="49E808C9"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r w:rsidRPr="00DB5D0D">
        <w:rPr>
          <w:rFonts w:ascii="Times New Roman" w:hAnsi="Times New Roman"/>
          <w:color w:val="000000" w:themeColor="text1"/>
          <w:sz w:val="16"/>
          <w:szCs w:val="16"/>
        </w:rPr>
        <w:t>Строительная часть бензохранилища закончена на 50%</w:t>
      </w:r>
    </w:p>
    <w:p w14:paraId="65A5E4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жилпоселку закончена кладка стен двух коттэджей, крыша одного коттеджа покрыта железом. На 12 са</w:t>
      </w:r>
      <w:r w:rsidRPr="00DB5D0D">
        <w:rPr>
          <w:rFonts w:ascii="Times New Roman" w:hAnsi="Times New Roman"/>
          <w:color w:val="000000" w:themeColor="text1"/>
          <w:sz w:val="16"/>
          <w:szCs w:val="16"/>
        </w:rPr>
        <w:softHyphen/>
        <w:t>манных домах кладка стен закончена, установлены стро</w:t>
      </w:r>
      <w:r w:rsidRPr="00DB5D0D">
        <w:rPr>
          <w:rFonts w:ascii="Times New Roman" w:hAnsi="Times New Roman"/>
          <w:color w:val="000000" w:themeColor="text1"/>
          <w:sz w:val="16"/>
          <w:szCs w:val="16"/>
        </w:rPr>
        <w:softHyphen/>
        <w:t>пила с обрешеткой, четыре саманных дома покрыты желе</w:t>
      </w:r>
      <w:r w:rsidRPr="00DB5D0D">
        <w:rPr>
          <w:rFonts w:ascii="Times New Roman" w:hAnsi="Times New Roman"/>
          <w:color w:val="000000" w:themeColor="text1"/>
          <w:sz w:val="16"/>
          <w:szCs w:val="16"/>
        </w:rPr>
        <w:softHyphen/>
        <w:t>зом, на одном 8-ми квартирном доме закончена кладка и установлены стропила, остальные три 8-ми квартирных дома и общежитие на 100 человек - ведетсл кладка вторых этажей.</w:t>
      </w:r>
    </w:p>
    <w:p w14:paraId="283743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магазину и бане стены закончены, идут кровель</w:t>
      </w:r>
      <w:r w:rsidRPr="00DB5D0D">
        <w:rPr>
          <w:rFonts w:ascii="Times New Roman" w:hAnsi="Times New Roman"/>
          <w:color w:val="000000" w:themeColor="text1"/>
          <w:sz w:val="16"/>
          <w:szCs w:val="16"/>
        </w:rPr>
        <w:softHyphen/>
        <w:t>ные работы, строительство гаража выполнено на 40%.</w:t>
      </w:r>
    </w:p>
    <w:p w14:paraId="6B25F6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летном поле производитсл планировка и засып</w:t>
      </w:r>
      <w:r w:rsidRPr="00DB5D0D">
        <w:rPr>
          <w:rFonts w:ascii="Times New Roman" w:hAnsi="Times New Roman"/>
          <w:color w:val="000000" w:themeColor="text1"/>
          <w:sz w:val="16"/>
          <w:szCs w:val="16"/>
        </w:rPr>
        <w:softHyphen/>
        <w:t>ка промоин.</w:t>
      </w:r>
    </w:p>
    <w:p w14:paraId="2A6D39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Нагорные канавы сделаны па 40%.</w:t>
      </w:r>
    </w:p>
    <w:p w14:paraId="3B40F0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Дорога от тракта до завода протяжением в 15 километров закончена, построена новая дорога длл подвозки местных материалов длиной 35 километров, с 1 июля приступили к строительству дорог на промплощадке.</w:t>
      </w:r>
    </w:p>
    <w:p w14:paraId="455FD9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водоснабжению земляные работы выполнены на 70%, ведется укладка техпического водопровода от насосной к энергетическому корпусу.</w:t>
      </w:r>
    </w:p>
    <w:p w14:paraId="091A6E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на строительстве работает 125 человек высококвалифицированных рабочих, инженерно-технических работников и служащих, командирование из СССР, кроме того на 1 июля 1940 года местных рабочих работает около 1800 человек.</w:t>
      </w:r>
    </w:p>
    <w:p w14:paraId="561C93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Местными строительными материалами (лес, кирпич, бут, гравий, песок и др.) строительство полностью обес</w:t>
      </w:r>
      <w:r w:rsidRPr="00DB5D0D">
        <w:rPr>
          <w:rFonts w:ascii="Times New Roman" w:hAnsi="Times New Roman"/>
          <w:color w:val="000000" w:themeColor="text1"/>
          <w:sz w:val="16"/>
          <w:szCs w:val="16"/>
        </w:rPr>
        <w:softHyphen/>
        <w:t>печено; по основным материалам - цемент, рубероид, сорто</w:t>
      </w:r>
      <w:r w:rsidRPr="00DB5D0D">
        <w:rPr>
          <w:rFonts w:ascii="Times New Roman" w:hAnsi="Times New Roman"/>
          <w:color w:val="000000" w:themeColor="text1"/>
          <w:sz w:val="16"/>
          <w:szCs w:val="16"/>
        </w:rPr>
        <w:softHyphen/>
        <w:t>вое железо и станки находятся на площадке и частично в пути.</w:t>
      </w:r>
    </w:p>
    <w:p w14:paraId="2141D6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кабельную продукцию получены фонды для реали</w:t>
      </w:r>
      <w:r w:rsidRPr="00DB5D0D">
        <w:rPr>
          <w:rFonts w:ascii="Times New Roman" w:hAnsi="Times New Roman"/>
          <w:color w:val="000000" w:themeColor="text1"/>
          <w:sz w:val="16"/>
          <w:szCs w:val="16"/>
        </w:rPr>
        <w:softHyphen/>
        <w:t>зации виюле и августе месмце.</w:t>
      </w:r>
    </w:p>
    <w:p w14:paraId="75D48D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два локомобиля для электростанции получено разрешение Правительства об отгруяке из Людиноввского завода одного локомотива в 225 л.с. 25 июля и второго - 25 августа 1940 г.</w:t>
      </w:r>
    </w:p>
    <w:p w14:paraId="763F70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настоящего времени не получены 4 насоса для водопроводной сети и два бензонасоса.</w:t>
      </w:r>
    </w:p>
    <w:p w14:paraId="7ACC42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последним данным видно, что состояние строи</w:t>
      </w:r>
      <w:r w:rsidRPr="00DB5D0D">
        <w:rPr>
          <w:rFonts w:ascii="Times New Roman" w:hAnsi="Times New Roman"/>
          <w:color w:val="000000" w:themeColor="text1"/>
          <w:sz w:val="16"/>
          <w:szCs w:val="16"/>
        </w:rPr>
        <w:softHyphen/>
        <w:t>тельства позволит закончить его к 1 септября 1940 г.</w:t>
      </w:r>
    </w:p>
    <w:p w14:paraId="090F05A8"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r w:rsidRPr="00DB5D0D">
        <w:rPr>
          <w:rFonts w:ascii="Times New Roman" w:hAnsi="Times New Roman"/>
          <w:color w:val="000000" w:themeColor="text1"/>
          <w:sz w:val="16"/>
          <w:szCs w:val="16"/>
        </w:rPr>
        <w:t xml:space="preserve">До сих пор договор с правительством Китая не заключен </w:t>
      </w:r>
      <w:r w:rsidRPr="00DB5D0D">
        <w:rPr>
          <w:rFonts w:ascii="Times New Roman" w:hAnsi="Times New Roman"/>
          <w:smallCaps/>
          <w:color w:val="000000" w:themeColor="text1"/>
          <w:sz w:val="16"/>
          <w:szCs w:val="16"/>
        </w:rPr>
        <w:t>(10313,14).</w:t>
      </w:r>
    </w:p>
    <w:p w14:paraId="2058A72B"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p>
    <w:p w14:paraId="0411EB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 Гл. инженер завода N 2 НКЛП им. М.М. Громова и Ст. военпред 3-го и 4-го Упр. ГУАС в/инженер 2 ранга Лысиков 15.07.1940 г. утвердил Отчет о заводских испытаниях опытной партии картонных бензобаков, изготовленных экспериментальным заводом ВИАМ по чертежам завода N 2 НКЛП</w:t>
      </w:r>
    </w:p>
    <w:p w14:paraId="3E8DD1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начато 9.06.40 г.</w:t>
      </w:r>
    </w:p>
    <w:p w14:paraId="619907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закончено 26.06.40 г.</w:t>
      </w:r>
    </w:p>
    <w:p w14:paraId="46B46E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30FB1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испытаний опытных баков, изготовленных заводом ВИАМ являлось установление пригодности их для многократного сбрасывания с самолета с жидким горючим в условиях боевых операций. Одновременно с получением положительных результатов испытаний решалась проблема применения дешевого, прочного, но равноценного металлу заменителя, что как известно имеет чрезвычайно важное общегосударственное значение.</w:t>
      </w:r>
    </w:p>
    <w:p w14:paraId="5C1068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проводились 9, 13, 19 и 26 июня 1940 г.</w:t>
      </w:r>
    </w:p>
    <w:p w14:paraId="7C8AA3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испытание было представлено 9 штук бензиновых баков с картонными резервуарами, имеющими различные варианты крепления лямочных ушек.</w:t>
      </w:r>
    </w:p>
    <w:p w14:paraId="6DB637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26BF7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настоятельной потребности самого широкого внедрения дешевых и недефицитных заменителей, а также удешевления стоимости продукции, идущей на вооружение КА нужно признать, что применение картона вместо металла для изготовления десантных баков вполне допустимо и является весьма ценным начинанием, которое открывает широкие возможности использования металла для других, более важных потребностей.</w:t>
      </w:r>
    </w:p>
    <w:p w14:paraId="030764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вышеизложенного следует рекомендовать командованию ВВС заказать ВИАМу изготовление установочной партии баков в количестве 50-100 штук для окончательного определения их эксплуатационной пригодности в войсковых частях ВВС (3189).</w:t>
      </w:r>
    </w:p>
    <w:p w14:paraId="4D9DF51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D179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 была объяснительная записка представителя НИИ-24 А.А.Щлеймера: «По чертежам НИИ-3, разработанным в 1939 г. и с БЧ, разработанными в ГСКБ-47, изготавливаются на Ново</w:t>
      </w:r>
      <w:r w:rsidRPr="00DB5D0D">
        <w:rPr>
          <w:rFonts w:ascii="Times New Roman" w:hAnsi="Times New Roman"/>
          <w:color w:val="000000" w:themeColor="text1"/>
          <w:sz w:val="16"/>
          <w:szCs w:val="16"/>
        </w:rPr>
        <w:softHyphen/>
        <w:t>краматорском заводе имени Сталина 66 штук БЕТАБ-305 мм, на Уралмаше - 100 штук БРАБ-254 мм и на Челябинском заводе №78 - большая пар</w:t>
      </w:r>
      <w:r w:rsidRPr="00DB5D0D">
        <w:rPr>
          <w:rFonts w:ascii="Times New Roman" w:hAnsi="Times New Roman"/>
          <w:color w:val="000000" w:themeColor="text1"/>
          <w:sz w:val="16"/>
          <w:szCs w:val="16"/>
        </w:rPr>
        <w:softHyphen/>
        <w:t>тия БРАБ-203 мм. Заводские испытания прошли с положительным ре</w:t>
      </w:r>
      <w:r w:rsidRPr="00DB5D0D">
        <w:rPr>
          <w:rFonts w:ascii="Times New Roman" w:hAnsi="Times New Roman"/>
          <w:color w:val="000000" w:themeColor="text1"/>
          <w:sz w:val="16"/>
          <w:szCs w:val="16"/>
        </w:rPr>
        <w:softHyphen/>
        <w:t xml:space="preserve">зультатом. Войсковые испытания запланированы в 3-м квартале, однако плановые </w:t>
      </w:r>
      <w:r w:rsidRPr="00DB5D0D">
        <w:rPr>
          <w:rFonts w:ascii="Times New Roman" w:hAnsi="Times New Roman"/>
          <w:color w:val="000000" w:themeColor="text1"/>
          <w:sz w:val="16"/>
          <w:szCs w:val="16"/>
        </w:rPr>
        <w:lastRenderedPageBreak/>
        <w:t>темпы изготовления срываются. По состоянию на 20 июня 1940 г. УЗТМ им. С.Орджоникидзе готов к выпуску партии БРАБ-450ДС в 25 штук. Завод №78 к 15 августа 1940 г. выпустит установочную партию в 36 штук БРАБ-200ДС, а НКМЗ к этому времени не даст ни одной БЕ-ТАБ-750ДС».</w:t>
      </w:r>
    </w:p>
    <w:p w14:paraId="6220B52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заводы посетил представитель НИИ-3 Фокин, который заявил, что при существующем положении дел бомбы в срок изготовлены не бу</w:t>
      </w:r>
      <w:r w:rsidRPr="00DB5D0D">
        <w:rPr>
          <w:rFonts w:ascii="Times New Roman" w:hAnsi="Times New Roman"/>
          <w:color w:val="000000" w:themeColor="text1"/>
          <w:sz w:val="16"/>
          <w:szCs w:val="16"/>
        </w:rPr>
        <w:softHyphen/>
        <w:t>дут. Таким образом, войсковые испытания - пол угрозой срыва. В случае сдачи заводами большого количества изделий на заливку, ее необходимо провести не на одном заводе №80, но и на заводе №12.</w:t>
      </w:r>
    </w:p>
    <w:p w14:paraId="1BD1EA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БЧ по договору разрабатывают в ГСКБ-47. Срок окончания работ -коней, года. Испытания БРАБ и БЕТАБ-254 и -305 прошли с положи</w:t>
      </w:r>
      <w:r w:rsidRPr="00DB5D0D">
        <w:rPr>
          <w:rFonts w:ascii="Times New Roman" w:hAnsi="Times New Roman"/>
          <w:color w:val="000000" w:themeColor="text1"/>
          <w:sz w:val="16"/>
          <w:szCs w:val="16"/>
        </w:rPr>
        <w:softHyphen/>
        <w:t>тельными результатами. БРАБ-203 к испытаниям готовы на 22-25 июня» (11402).</w:t>
      </w:r>
    </w:p>
    <w:p w14:paraId="5F2BF0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3B1C01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523CA3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91163DF"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w:t>
      </w:r>
    </w:p>
    <w:p w14:paraId="7B3104DA"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 НКВ № 196 «О мероприятиях по улучшению качества продукции предприятий НКВ» от 15.07.1940 (18627).</w:t>
      </w:r>
    </w:p>
    <w:p w14:paraId="22940ACB" w14:textId="77777777" w:rsidR="00123DE0" w:rsidRPr="00DB5D0D" w:rsidRDefault="00123DE0" w:rsidP="00DB5D0D">
      <w:pPr>
        <w:spacing w:after="0" w:line="240" w:lineRule="auto"/>
        <w:jc w:val="both"/>
        <w:rPr>
          <w:rFonts w:ascii="Times New Roman" w:hAnsi="Times New Roman"/>
          <w:color w:val="000000" w:themeColor="text1"/>
          <w:sz w:val="16"/>
          <w:szCs w:val="16"/>
        </w:rPr>
      </w:pPr>
    </w:p>
    <w:p w14:paraId="246EE1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года ГАУ потребовало от Наркомата вооружений передать Таубину для создания 23-мм установки ПВО полка четырехколесный лафет от 25-мм пушки 72-К. В другом документе предполагалось использовать лафет от 37-мм пушки 61-К. Однако завод Калинина тянул с предоставлением лафетов от своих пушек конкуренту. Да и сам Таубин слишком увлекся работами над авиационным вооружением - 23-мм пушкой и 12,7-мм пулеметом, и меньше уделял времени зенитной установке. Так или иначе, 23-мм зенитная пушка Таубина на вооружение не поступила, а сам Таубин 16 мая 1941 года был неожиданно арестован. Любопытно, что часть изготовленных 23-мм авиационных пушек МП-6 осенью 1941 года была помещена на упрощенные зенитные установки системы Н.Ф.Токарева и участвовала в обороне Тулы (3861).</w:t>
      </w:r>
    </w:p>
    <w:p w14:paraId="4CC5C20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B160D5" w14:textId="77777777" w:rsidR="00C125D7" w:rsidRPr="00DB5D0D" w:rsidRDefault="00C125D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испытание Артсистемы М-10 на КВ №У-1 с «большой» башней повтори</w:t>
      </w:r>
      <w:r w:rsidRPr="00DB5D0D">
        <w:rPr>
          <w:rFonts w:ascii="Times New Roman" w:hAnsi="Times New Roman"/>
          <w:color w:val="000000" w:themeColor="text1"/>
          <w:sz w:val="16"/>
          <w:szCs w:val="16"/>
        </w:rPr>
        <w:softHyphen/>
        <w:t>ли, причем сделали 70 выстрелов, из них 30 нормальных (начальная скорость - 507 м/с, стрельба на кучность по щиту на дистанции 1000 м) и 40 усиленных. Кучность боя на ди</w:t>
      </w:r>
      <w:r w:rsidRPr="00DB5D0D">
        <w:rPr>
          <w:rFonts w:ascii="Times New Roman" w:hAnsi="Times New Roman"/>
          <w:color w:val="000000" w:themeColor="text1"/>
          <w:sz w:val="16"/>
          <w:szCs w:val="16"/>
        </w:rPr>
        <w:softHyphen/>
        <w:t>станции 1000 м при курсовых углах 0 и 90' при</w:t>
      </w:r>
      <w:r w:rsidRPr="00DB5D0D">
        <w:rPr>
          <w:rFonts w:ascii="Times New Roman" w:hAnsi="Times New Roman"/>
          <w:color w:val="000000" w:themeColor="text1"/>
          <w:sz w:val="16"/>
          <w:szCs w:val="16"/>
        </w:rPr>
        <w:softHyphen/>
        <w:t>знали удовлетворительной. При разборке си</w:t>
      </w:r>
      <w:r w:rsidRPr="00DB5D0D">
        <w:rPr>
          <w:rFonts w:ascii="Times New Roman" w:hAnsi="Times New Roman"/>
          <w:color w:val="000000" w:themeColor="text1"/>
          <w:sz w:val="16"/>
          <w:szCs w:val="16"/>
        </w:rPr>
        <w:softHyphen/>
        <w:t>стемы после испытаний дефектов не обнару</w:t>
      </w:r>
      <w:r w:rsidRPr="00DB5D0D">
        <w:rPr>
          <w:rFonts w:ascii="Times New Roman" w:hAnsi="Times New Roman"/>
          <w:color w:val="000000" w:themeColor="text1"/>
          <w:sz w:val="16"/>
          <w:szCs w:val="16"/>
        </w:rPr>
        <w:softHyphen/>
        <w:t>жили. Для обеспечения проверки работоспо</w:t>
      </w:r>
      <w:r w:rsidRPr="00DB5D0D">
        <w:rPr>
          <w:rFonts w:ascii="Times New Roman" w:hAnsi="Times New Roman"/>
          <w:color w:val="000000" w:themeColor="text1"/>
          <w:sz w:val="16"/>
          <w:szCs w:val="16"/>
        </w:rPr>
        <w:softHyphen/>
        <w:t>собности тормоза отката системы в условиях танка рекомендовалось доработать инструк</w:t>
      </w:r>
      <w:r w:rsidRPr="00DB5D0D">
        <w:rPr>
          <w:rFonts w:ascii="Times New Roman" w:hAnsi="Times New Roman"/>
          <w:color w:val="000000" w:themeColor="text1"/>
          <w:sz w:val="16"/>
          <w:szCs w:val="16"/>
        </w:rPr>
        <w:softHyphen/>
        <w:t>цию по обслуживанию системы.</w:t>
      </w:r>
    </w:p>
    <w:p w14:paraId="04DCA080" w14:textId="77777777" w:rsidR="00C125D7" w:rsidRPr="00DB5D0D" w:rsidRDefault="00C125D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итогам испытаний отмечалось</w:t>
      </w:r>
      <w:r w:rsidRPr="00DB5D0D">
        <w:rPr>
          <w:rStyle w:val="aff6"/>
          <w:rFonts w:ascii="Times New Roman" w:eastAsia="Arial Narrow" w:hAnsi="Times New Roman" w:cs="Times New Roman"/>
          <w:i w:val="0"/>
          <w:color w:val="000000" w:themeColor="text1"/>
        </w:rPr>
        <w:t xml:space="preserve"> «несе</w:t>
      </w:r>
      <w:r w:rsidRPr="00DB5D0D">
        <w:rPr>
          <w:rStyle w:val="aff6"/>
          <w:rFonts w:ascii="Times New Roman" w:eastAsia="Arial Narrow" w:hAnsi="Times New Roman" w:cs="Times New Roman"/>
          <w:i w:val="0"/>
          <w:color w:val="000000" w:themeColor="text1"/>
        </w:rPr>
        <w:softHyphen/>
        <w:t>рьезное отношение работников завода к под</w:t>
      </w:r>
      <w:r w:rsidRPr="00DB5D0D">
        <w:rPr>
          <w:rStyle w:val="aff6"/>
          <w:rFonts w:ascii="Times New Roman" w:eastAsia="Arial Narrow" w:hAnsi="Times New Roman" w:cs="Times New Roman"/>
          <w:i w:val="0"/>
          <w:color w:val="000000" w:themeColor="text1"/>
        </w:rPr>
        <w:softHyphen/>
        <w:t>готовке испытаний. Танк №У-1 участвовал на фронте в Финляндии, после чего был произ</w:t>
      </w:r>
      <w:r w:rsidRPr="00DB5D0D">
        <w:rPr>
          <w:rStyle w:val="aff6"/>
          <w:rFonts w:ascii="Times New Roman" w:eastAsia="Arial Narrow" w:hAnsi="Times New Roman" w:cs="Times New Roman"/>
          <w:i w:val="0"/>
          <w:color w:val="000000" w:themeColor="text1"/>
        </w:rPr>
        <w:softHyphen/>
        <w:t>веден капитальный ремонт его и предъявлен на испытания. Отсюда срок работы некоторых агрегатов (бортовые передачи, ходовая часть и др.) установить невозможно».</w:t>
      </w:r>
      <w:r w:rsidRPr="00DB5D0D">
        <w:rPr>
          <w:rFonts w:ascii="Times New Roman" w:hAnsi="Times New Roman"/>
          <w:color w:val="000000" w:themeColor="text1"/>
          <w:sz w:val="16"/>
          <w:szCs w:val="16"/>
        </w:rPr>
        <w:t xml:space="preserve"> Предлагалось усилить контроль за сборкой и монтажом уз</w:t>
      </w:r>
      <w:r w:rsidRPr="00DB5D0D">
        <w:rPr>
          <w:rFonts w:ascii="Times New Roman" w:hAnsi="Times New Roman"/>
          <w:color w:val="000000" w:themeColor="text1"/>
          <w:sz w:val="16"/>
          <w:szCs w:val="16"/>
        </w:rPr>
        <w:softHyphen/>
        <w:t>лов и агрегатов, обязав представителей воен</w:t>
      </w:r>
      <w:r w:rsidRPr="00DB5D0D">
        <w:rPr>
          <w:rFonts w:ascii="Times New Roman" w:hAnsi="Times New Roman"/>
          <w:color w:val="000000" w:themeColor="text1"/>
          <w:sz w:val="16"/>
          <w:szCs w:val="16"/>
        </w:rPr>
        <w:softHyphen/>
        <w:t>ной приемки принимать все узлы и агрегаты в целом и некоторые отдельные детали (напри</w:t>
      </w:r>
      <w:r w:rsidRPr="00DB5D0D">
        <w:rPr>
          <w:rFonts w:ascii="Times New Roman" w:hAnsi="Times New Roman"/>
          <w:color w:val="000000" w:themeColor="text1"/>
          <w:sz w:val="16"/>
          <w:szCs w:val="16"/>
        </w:rPr>
        <w:softHyphen/>
        <w:t>мер, торсионы). Следовало ускорить введе</w:t>
      </w:r>
      <w:r w:rsidRPr="00DB5D0D">
        <w:rPr>
          <w:rFonts w:ascii="Times New Roman" w:hAnsi="Times New Roman"/>
          <w:color w:val="000000" w:themeColor="text1"/>
          <w:sz w:val="16"/>
          <w:szCs w:val="16"/>
        </w:rPr>
        <w:softHyphen/>
        <w:t>ние стендов для испытаний узлов и агрегатов и приспособлений для их проверки на узловой сборке. В результате на заводе провели целый ряд мероприятий организационного характе</w:t>
      </w:r>
      <w:r w:rsidRPr="00DB5D0D">
        <w:rPr>
          <w:rFonts w:ascii="Times New Roman" w:hAnsi="Times New Roman"/>
          <w:color w:val="000000" w:themeColor="text1"/>
          <w:sz w:val="16"/>
          <w:szCs w:val="16"/>
        </w:rPr>
        <w:softHyphen/>
        <w:t>ра, опытный цех перевели в подчинение КБ и расширили его производственную базу.</w:t>
      </w:r>
    </w:p>
    <w:p w14:paraId="1F060F2A" w14:textId="77777777" w:rsidR="00C125D7" w:rsidRPr="00DB5D0D" w:rsidRDefault="00C125D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заключение указывалось, что танк с во</w:t>
      </w:r>
      <w:r w:rsidRPr="00DB5D0D">
        <w:rPr>
          <w:rFonts w:ascii="Times New Roman" w:hAnsi="Times New Roman"/>
          <w:color w:val="000000" w:themeColor="text1"/>
          <w:sz w:val="16"/>
          <w:szCs w:val="16"/>
        </w:rPr>
        <w:softHyphen/>
        <w:t>оружением соответствует предъявленным требованиям и после устранения выявлен</w:t>
      </w:r>
      <w:r w:rsidRPr="00DB5D0D">
        <w:rPr>
          <w:rFonts w:ascii="Times New Roman" w:hAnsi="Times New Roman"/>
          <w:color w:val="000000" w:themeColor="text1"/>
          <w:sz w:val="16"/>
          <w:szCs w:val="16"/>
        </w:rPr>
        <w:softHyphen/>
        <w:t>ных недостатков может быть предъявлен на войсковые испытания по особой программе ГАБТУ КА (15767).</w:t>
      </w:r>
    </w:p>
    <w:p w14:paraId="46808EBB" w14:textId="77777777" w:rsidR="00C125D7" w:rsidRPr="00DB5D0D" w:rsidRDefault="00C125D7" w:rsidP="00DB5D0D">
      <w:pPr>
        <w:spacing w:after="0" w:line="240" w:lineRule="auto"/>
        <w:jc w:val="both"/>
        <w:rPr>
          <w:rFonts w:ascii="Times New Roman" w:hAnsi="Times New Roman"/>
          <w:color w:val="000000" w:themeColor="text1"/>
          <w:sz w:val="16"/>
          <w:szCs w:val="16"/>
        </w:rPr>
      </w:pPr>
    </w:p>
    <w:p w14:paraId="4CF078EB"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По состоянию на 15 июля 1940 г. была подготовлена Сводка по заводу ХПЗ:</w:t>
      </w:r>
    </w:p>
    <w:p w14:paraId="405BB92C"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Спроектировано 1399 наименований приспособлений и штампов, 806 наименований находится в изготовлении на заводе № 183, изготовлено 328 шт. Остальную оснастку делают ГАЗ, СТЗ и 1-й ГПЗ. </w:t>
      </w:r>
    </w:p>
    <w:p w14:paraId="19DB92BF"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По плану на июль завод должен собрать 25 машин. Из них в отделе «500» - 20 и отделе «100» - 5 машин. Из-за отсутствия корпусов завод к их сборке еще не приступал. Всего собрано 10 корпусов для программы прошлого месяца и 5 корпусов собирается в отделе «700» для июльской программы. Обеспеченность по броне составляет 22 комплекта. Из 10 машин июньской программы отгружено 3. </w:t>
      </w:r>
    </w:p>
    <w:p w14:paraId="179960FC"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Принято большим пробегом 3 машины, находятся в процессе сборки 4 машины (из них одна в отделе «100»). </w:t>
      </w:r>
    </w:p>
    <w:p w14:paraId="722A74D7"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Старший военпред военинженер 2-го ранга Козырев (11450). </w:t>
      </w:r>
    </w:p>
    <w:p w14:paraId="61D15F61"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3844EF12"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w:t>
      </w:r>
    </w:p>
    <w:p w14:paraId="47944F6B"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1FB79975"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Экз. № 2 </w:t>
      </w:r>
    </w:p>
    <w:p w14:paraId="6186F252"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Июля 1940 г. </w:t>
      </w:r>
    </w:p>
    <w:p w14:paraId="110B254F"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360с </w:t>
      </w:r>
    </w:p>
    <w:p w14:paraId="73A3024A"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4 ОТДЕЛА АБТУ КА</w:t>
      </w:r>
    </w:p>
    <w:p w14:paraId="4F9BD2BC"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ВОЕНИНЖЕНЕРУ I РАНГА т. АЛЫМОВУ</w:t>
      </w:r>
    </w:p>
    <w:p w14:paraId="27F047E5"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Копия: НАЧАЛЬНИКУ 8 ОТДЕЛА АБТУ КА</w:t>
      </w:r>
    </w:p>
    <w:p w14:paraId="4802EE9D"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ВОЕНИНЖЕНЕРУ 1 РАНГА т. АФОНИНУ</w:t>
      </w:r>
    </w:p>
    <w:p w14:paraId="3388CF62"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СВОДКА</w:t>
      </w:r>
    </w:p>
    <w:p w14:paraId="2288ADFB"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ХОДЕ ПОДГОТОВКИ К СЕРИЙНОМУ ВЫПУСКУ МАШИНЫ "Т-34" НА ЗАВОДЕ 183</w:t>
      </w:r>
    </w:p>
    <w:p w14:paraId="708745AE"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15 ИЮЛЯ 1940 г.</w:t>
      </w:r>
    </w:p>
    <w:p w14:paraId="108919B4"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Все необходимые чертежи разработаны и спущены в цеха. </w:t>
      </w:r>
    </w:p>
    <w:p w14:paraId="76ABBAAC"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Техпроцессы для серийного выпуска машин: </w:t>
      </w:r>
    </w:p>
    <w:p w14:paraId="35253FBD"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ПРИСПОСОБЛЕНИ И ШТАМПЫ: </w:t>
      </w:r>
    </w:p>
    <w:p w14:paraId="710AF4D2"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Спроектировано 1399 наименования. Передано из технологического бюро в отдел инструментального хоз. 1347 наименований. Находится в изготовлении на заводе 183 806 наименований (1222 шт.). Изготовлено 328 наименований (474 шт.). </w:t>
      </w:r>
    </w:p>
    <w:p w14:paraId="4C5F2136"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Испытанием проверено 99 шт. (из них для отдела 100 – 72 шт., для отдела 500 – 1 шт. и для отдела 700 – 26 шт.). </w:t>
      </w:r>
    </w:p>
    <w:p w14:paraId="7889F772"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изготовления приспособлений на ГАЗ, СТЗ и 1 ГПЗ проводится отправка чертежей. Готовых приспособлений на завод 183 не поступало. </w:t>
      </w:r>
    </w:p>
    <w:p w14:paraId="5FE6C0A8"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СПЕЦ., МЕРИТЕЛЬНЫЙ И РЕЖУЩИЙ ИНСТРУМЕНТ. </w:t>
      </w:r>
    </w:p>
    <w:p w14:paraId="3279CAC5"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Изготовление на заводах СТЗ, 1 ГПЗ, ЗИС, ХТЗ и 75 заводе задерживается из-за отсутствия инструментальной стали, которой должен по договору снабжать завод 183. </w:t>
      </w:r>
    </w:p>
    <w:p w14:paraId="0564A3F6"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ВЫПУСК МАШИН Т-34. </w:t>
      </w:r>
    </w:p>
    <w:p w14:paraId="00F2D748"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плану завода намечено за Июль мес. 25 машин. Из них собрать в отделе 500 – 20 машин и в отделе 100 – 5 машин. В счет этого количества завод к сборке не приступал из-за отсутствия корпусов. Всего собрано 10 корпусов для программы прошлого месяца и 5 корпусов собираются в 700 для программы текущего месяца. Обеспеченность по броне по 22 номер машины. </w:t>
      </w:r>
    </w:p>
    <w:p w14:paraId="7F39A07F"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 10 машин программы прошлого месяца отгружено 3 шт., из низ последняя отправлена 12/VII-40 г. в адрес Ленинградского Артиллерийского Научно-испытательного полигона. Принято большим пробегом 3 шт. Находится в процессе сборки 4 шт. (из них одна шт. в отделе 100). </w:t>
      </w:r>
    </w:p>
    <w:p w14:paraId="60CF22F2"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ИЗГОТОВЛЕНИЕ ДЕТАЛЕЙ. </w:t>
      </w:r>
    </w:p>
    <w:p w14:paraId="057C7835"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отделе 100 по мех. цехам для машины Т-34 задано по дет. описи 711 наименований (без нормалей), спущено в обработку 229 наименований. Закончено обработкой и принято КН 109 наименований и частично 42 наименования. </w:t>
      </w:r>
    </w:p>
    <w:p w14:paraId="131C3803"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КАПИТАЛЬНОЕ СТРОИТЕЛЬСТВО. </w:t>
      </w:r>
    </w:p>
    <w:p w14:paraId="3C9D8BC1"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отделу 700 первый тяжелый сварочный пролет вступил в строй 1 стенд и 5 стендов монтируются. </w:t>
      </w:r>
    </w:p>
    <w:p w14:paraId="03073B97"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отделу 100 освобождена от сборки БТ-7М половина сборочного цеха для реконструкции сборочного цеха под сборку Т-34. </w:t>
      </w:r>
    </w:p>
    <w:p w14:paraId="4785C67A"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РАЙОННЫЙ ИНЖЕНЕР АБТУ КА ВОЕНИНЖЕНЕР 2 РАНГА подпись (КОЗЫРЕВ)</w:t>
      </w:r>
    </w:p>
    <w:p w14:paraId="721C201E"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 3 экз. </w:t>
      </w:r>
    </w:p>
    <w:p w14:paraId="3C092206"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 Киселев</w:t>
      </w:r>
    </w:p>
    <w:p w14:paraId="456B1539"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Фонд 31811 Опись 2 Дело 1181 листы 155 – 156 (18150).</w:t>
      </w:r>
    </w:p>
    <w:p w14:paraId="381A0BC4" w14:textId="77777777" w:rsidR="00123DE0" w:rsidRPr="00DB5D0D" w:rsidRDefault="00123DE0" w:rsidP="00DB5D0D">
      <w:pPr>
        <w:spacing w:after="0" w:line="240" w:lineRule="auto"/>
        <w:jc w:val="both"/>
        <w:rPr>
          <w:rFonts w:ascii="Times New Roman" w:hAnsi="Times New Roman"/>
          <w:color w:val="000000" w:themeColor="text1"/>
          <w:sz w:val="16"/>
          <w:szCs w:val="16"/>
        </w:rPr>
      </w:pPr>
    </w:p>
    <w:p w14:paraId="5A4232CC"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15 июля 1940 г. был выполнен большой объем строительно-монтажных работ в корпусном отделе «700», что позволило ввести в эксплуатацию первый стенд для сварки корпусов танка Т-34 и приступить к монтажу еще пяти стендов. В танковом отделе «100» была освобождена от сборки лёгких колёсно-гусеничных танков БТ-7М половина сборочного цеха «130» для реконструкции его под конвейерную сборку танков Т-34. К 20 июля 1940 г. в отделе «700» был введен в эксплуатацию второй </w:t>
      </w:r>
      <w:r w:rsidRPr="00DB5D0D">
        <w:rPr>
          <w:rFonts w:ascii="Times New Roman" w:hAnsi="Times New Roman"/>
          <w:color w:val="000000" w:themeColor="text1"/>
          <w:sz w:val="16"/>
          <w:szCs w:val="16"/>
        </w:rPr>
        <w:lastRenderedPageBreak/>
        <w:t>стенд для сварки корпусов танка Т-34, а в отделе «100» начаты работы по реконструкции сборочного цеха «130» – усиление подкрановых путей и постройка второй линии конвейера для сборки танков Т-34 (18148). </w:t>
      </w:r>
    </w:p>
    <w:p w14:paraId="38A398B9" w14:textId="77777777" w:rsidR="00123DE0" w:rsidRPr="00DB5D0D" w:rsidRDefault="00123DE0" w:rsidP="00DB5D0D">
      <w:pPr>
        <w:spacing w:after="0" w:line="240" w:lineRule="auto"/>
        <w:jc w:val="both"/>
        <w:rPr>
          <w:rFonts w:ascii="Times New Roman" w:hAnsi="Times New Roman"/>
          <w:color w:val="000000" w:themeColor="text1"/>
          <w:sz w:val="16"/>
          <w:szCs w:val="16"/>
        </w:rPr>
      </w:pPr>
    </w:p>
    <w:p w14:paraId="7726B829"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 в </w:t>
      </w:r>
      <w:hyperlink r:id="rId197" w:tgtFrame="_blank" w:history="1">
        <w:r w:rsidRPr="00DB5D0D">
          <w:rPr>
            <w:rStyle w:val="a5"/>
            <w:rFonts w:ascii="Times New Roman" w:hAnsi="Times New Roman"/>
            <w:color w:val="000000" w:themeColor="text1"/>
            <w:sz w:val="16"/>
            <w:szCs w:val="16"/>
          </w:rPr>
          <w:t>оперативной сводке № 360с</w:t>
        </w:r>
      </w:hyperlink>
      <w:r w:rsidRPr="00DB5D0D">
        <w:rPr>
          <w:rFonts w:ascii="Times New Roman" w:hAnsi="Times New Roman"/>
          <w:color w:val="000000" w:themeColor="text1"/>
          <w:sz w:val="16"/>
          <w:szCs w:val="16"/>
        </w:rPr>
        <w:t> от военинженер 2 ранга Д.М. Козырев руководству АБТУ КА сообщил следующее: </w:t>
      </w:r>
    </w:p>
    <w:p w14:paraId="2373FDA0"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 завода намечено на Июль мес. [сдать] 25 машин. Из них собрать в отделе 500 – 20 машин и в отделе 100 – 5 машин. В счет этого количества завод к сборке не приступал из-за отсутствия корпусов. Всего собрано 10 корпусов для программы прошлого месяца и 5 корпусов собираются в [отделе] 700 для программы текущего месяца. Обеспеченность по броне по 22 номер машины. </w:t>
      </w:r>
    </w:p>
    <w:p w14:paraId="33D59900"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10 машин программы прошлого месяца отгружено 3 шт., из них последняя отправлена 12/VII-40 г. в адрес Ленинградского Артиллерийского Научно-испытательного полигона. Принято большим пробегом 3 шт. Находится в процессе сборки 4 шт. (из них одна шт. в отделе 100)».</w:t>
      </w:r>
    </w:p>
    <w:p w14:paraId="245B5F7B"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[ЦАМО. Ф. 38. Оп. 11355. Д. 32. Л. 24] (18148).</w:t>
      </w:r>
    </w:p>
    <w:p w14:paraId="606ABA4A" w14:textId="77777777" w:rsidR="00123DE0" w:rsidRPr="00DB5D0D" w:rsidRDefault="00123DE0" w:rsidP="00DB5D0D">
      <w:pPr>
        <w:spacing w:after="0" w:line="240" w:lineRule="auto"/>
        <w:jc w:val="both"/>
        <w:rPr>
          <w:rFonts w:ascii="Times New Roman" w:hAnsi="Times New Roman"/>
          <w:color w:val="000000" w:themeColor="text1"/>
          <w:sz w:val="16"/>
          <w:szCs w:val="16"/>
        </w:rPr>
      </w:pPr>
    </w:p>
    <w:p w14:paraId="27EAF394"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июля 1940 была Докладная записка заместителя секретаря Комитета обороны при СНК СССР И. Н. Белоусова председателю Комитета обороны при СНК СССР К. Е. Ворошилову о дальнейшей работе по изготовлению опытных образцов литой брони</w:t>
      </w:r>
    </w:p>
    <w:p w14:paraId="7B8F4B4E"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Согласно распоряжению КО комиссия из специалистов промышленности провела полигоннык испытания отстрелом опытных образцов брони, цементованной в процессе отливки, изготовленное на Кировском и Ижорском заводах по методу Спецтехбюро НКТМ (н-ник Рудаков)</w:t>
      </w:r>
    </w:p>
    <w:p w14:paraId="4348E7AC"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Комиссия испытала  обстрелом 1 башню танка "КВ" и 1 капонир.</w:t>
      </w:r>
    </w:p>
    <w:p w14:paraId="5EEC8088"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Морской литой брони представлено не было и но ней дано заключение по ранее проведенным испытаниям.</w:t>
      </w:r>
    </w:p>
    <w:p w14:paraId="320BD373"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Комиссля установила:</w:t>
      </w:r>
    </w:p>
    <w:p w14:paraId="0ABBA7CA"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fldChar w:fldCharType="begin"/>
      </w:r>
      <w:r w:rsidRPr="00DB5D0D">
        <w:rPr>
          <w:rFonts w:ascii="Times New Roman" w:hAnsi="Times New Roman"/>
          <w:color w:val="0070C0"/>
          <w:sz w:val="16"/>
          <w:szCs w:val="16"/>
        </w:rPr>
        <w:instrText xml:space="preserve"> TOC \o "1-5" \h \z </w:instrText>
      </w:r>
      <w:r w:rsidRPr="00DB5D0D">
        <w:rPr>
          <w:rFonts w:ascii="Times New Roman" w:hAnsi="Times New Roman"/>
          <w:color w:val="0070C0"/>
          <w:sz w:val="16"/>
          <w:szCs w:val="16"/>
        </w:rPr>
        <w:fldChar w:fldCharType="separate"/>
      </w:r>
      <w:r w:rsidRPr="00DB5D0D">
        <w:rPr>
          <w:rFonts w:ascii="Times New Roman" w:hAnsi="Times New Roman"/>
          <w:color w:val="0070C0"/>
          <w:sz w:val="16"/>
          <w:szCs w:val="16"/>
        </w:rPr>
        <w:t>По башне танка КВ</w:t>
      </w:r>
    </w:p>
    <w:p w14:paraId="5C20AF05"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тупоголовнм 76 мм. снарядом литая броня не пробивается с дистации в 250 м, а катанная с дистанция в 50 метров;</w:t>
      </w:r>
    </w:p>
    <w:p w14:paraId="6CE74D52"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остроголовым 76 мм снарядом литая броня не пробивается с с дистанции 500 метров и пробивается с дистанция в 340 метров. Катанная броня ( гомогенная ) пробивается с дистанция 620 метро (толщина литой брони 83 мм, катанной - 76 мм</w:t>
      </w:r>
    </w:p>
    <w:p w14:paraId="008E4252"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капониру</w:t>
      </w:r>
      <w:r w:rsidRPr="00DB5D0D">
        <w:rPr>
          <w:rFonts w:ascii="Times New Roman" w:hAnsi="Times New Roman"/>
          <w:color w:val="0070C0"/>
          <w:sz w:val="16"/>
          <w:szCs w:val="16"/>
        </w:rPr>
        <w:fldChar w:fldCharType="end"/>
      </w:r>
    </w:p>
    <w:p w14:paraId="6C92FD42"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Результаты бронестойкости несколько ниже технических условий.</w:t>
      </w:r>
    </w:p>
    <w:p w14:paraId="5E0AB307"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морской литой броне.</w:t>
      </w:r>
    </w:p>
    <w:p w14:paraId="5B83080E"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 12 плит только две дали удовлетворительную бронестойкость.</w:t>
      </w:r>
    </w:p>
    <w:p w14:paraId="4CD8EC3C"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Прошу проголосовать проект постановления с уче</w:t>
      </w:r>
      <w:r w:rsidRPr="00DB5D0D">
        <w:rPr>
          <w:rFonts w:ascii="Times New Roman" w:hAnsi="Times New Roman"/>
          <w:color w:val="0070C0"/>
          <w:sz w:val="16"/>
          <w:szCs w:val="16"/>
        </w:rPr>
        <w:softHyphen/>
        <w:t>том выводов комиссии, предложений НКТМ, НКСП, АБТУ КА и тов. Рудакова, в которой предусматривается:</w:t>
      </w:r>
    </w:p>
    <w:p w14:paraId="38EB89E5"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дальнейшая работа по изготовлению НКТМ образцов литой брони ( установочная партия башен, нос, корма, корпус танка KВ, капо</w:t>
      </w:r>
      <w:r w:rsidRPr="00DB5D0D">
        <w:rPr>
          <w:rFonts w:ascii="Times New Roman" w:hAnsi="Times New Roman"/>
          <w:color w:val="0070C0"/>
          <w:sz w:val="16"/>
          <w:szCs w:val="16"/>
        </w:rPr>
        <w:softHyphen/>
        <w:t>ниры и плиты для морских башен.</w:t>
      </w:r>
    </w:p>
    <w:p w14:paraId="3F15F6B3"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дальнейшая разработка технологического процесса, технологических процессов и методики технического контроля</w:t>
      </w:r>
    </w:p>
    <w:p w14:paraId="48A60911"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Функции стецтехбюро будут считаться исперпанными только после сдачи в серийное производство литий брони, цементированной в процессе отливки (21049).</w:t>
      </w:r>
    </w:p>
    <w:p w14:paraId="24B6BB6D" w14:textId="77777777" w:rsidR="00812B24" w:rsidRPr="00DB5D0D" w:rsidRDefault="00812B24" w:rsidP="00DB5D0D">
      <w:pPr>
        <w:spacing w:after="0" w:line="240" w:lineRule="auto"/>
        <w:jc w:val="both"/>
        <w:rPr>
          <w:rFonts w:ascii="Times New Roman" w:hAnsi="Times New Roman"/>
          <w:color w:val="0070C0"/>
          <w:sz w:val="16"/>
          <w:szCs w:val="16"/>
        </w:rPr>
      </w:pPr>
    </w:p>
    <w:p w14:paraId="7979831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5A7243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825D6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г. вышел приказ НКО С объявлением Положения о дисциплинарном батальоне в Красной Армии № 214.</w:t>
      </w:r>
    </w:p>
    <w:p w14:paraId="1EA8C2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Объявляю для сведения и руководства Положение о дисциплинарном батальоне в Красной Армии, утвержденное Советом Народных Комиссаров Союза ССР 13 июля 1940 г.</w:t>
      </w:r>
    </w:p>
    <w:p w14:paraId="4B2B15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w:t>
      </w:r>
    </w:p>
    <w:p w14:paraId="4EE375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Утверждено</w:t>
      </w:r>
    </w:p>
    <w:p w14:paraId="070CB4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Советом Народных Комиссаров Союза ССР 13 июля 1940 г.</w:t>
      </w:r>
    </w:p>
    <w:p w14:paraId="0D73A1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Положение о дисциплинарном батальоне в Красной Армии</w:t>
      </w:r>
    </w:p>
    <w:p w14:paraId="27F84F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Общие положения</w:t>
      </w:r>
    </w:p>
    <w:p w14:paraId="7C1EAC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Дисциплинарный батальон в Красной Армии предназначен для отбытия наказания осужденными Военным трибуналом военнослужащими рядового и младшего начальствующего состава срочной службы и призванными из запаса.</w:t>
      </w:r>
    </w:p>
    <w:p w14:paraId="3FC526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дисциплинарный батальон направляются указанные военнослужащие по приговорам Военного трибунала на срок от 6 месяцев до 2 лет.</w:t>
      </w:r>
    </w:p>
    <w:p w14:paraId="096486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Время пребывания осужденного в дисциплинарном батальоне в срок службы в армии не засчитывается.</w:t>
      </w:r>
    </w:p>
    <w:p w14:paraId="707E2F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Осужденные, отправленные для отбытия наказания в дисциплинарный батальон, из списков части не исключаются.</w:t>
      </w:r>
    </w:p>
    <w:p w14:paraId="33FE43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Рабочий день в дисциплинарном батальоне устанавливается продолжительностью в 12 часов, из них 9 часов на хозяйственные и строительные работы и 3 часа на боевую и политическую подготовку.</w:t>
      </w:r>
    </w:p>
    <w:p w14:paraId="3C8234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Отбывающие наказание в дисциплинарном батальоне и их семьи лишаются права на льготы, установленные для военнослужащих и их семей, с момента вынесения приговора Военным трибуналом до освобождения осужденного из дисциплинарного батальона.</w:t>
      </w:r>
    </w:p>
    <w:p w14:paraId="6A1657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части по получении приговора Военного трибунала сообщает соответствующим местным органам власти о лишении членов семьи осужденного льгот, которыми они пользовались как члены семьи военнослужащего.</w:t>
      </w:r>
    </w:p>
    <w:p w14:paraId="762722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Увольнение осужденного из дисциплинарного батальона в отпуск запрещается.</w:t>
      </w:r>
    </w:p>
    <w:p w14:paraId="565671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Самовольная отлучка из расположения дисциплинарного батальона, независимо от продолжительности отлучки, влечет за собой предание суду Военного трибунала как за дезертирство из части.</w:t>
      </w:r>
    </w:p>
    <w:p w14:paraId="4D42EB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Осужденные, совершившие преступление во время пребывания в дисциплинарном батальоне, предаются суду Военного трибунала и отбывают наказание по новому приговору суда в общих местах лишения свободы, тюрьмах и лагерях, причем суд должен в своем приговоре присоединить к сроку наказания, назначенному за данное преступление, неотбытый срок наказания в дисциплинарном батальоне.</w:t>
      </w:r>
    </w:p>
    <w:p w14:paraId="1B5E06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Дисциплинарный батальон содержится по особому штату и подчиняется непосредственно командующему войсками округа (армии).</w:t>
      </w:r>
    </w:p>
    <w:p w14:paraId="012B1D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Командир дисциплинарного батальона и его заместитель по политической части назначаются Народным комиссаром обороны, а остальные лица кадрового состава дисциплинарного батальона назначаются командующим войсками округа (армии).</w:t>
      </w:r>
    </w:p>
    <w:p w14:paraId="6E121E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Начальствующий состав дисциплинарного батальона пользуется следующими правами:</w:t>
      </w:r>
    </w:p>
    <w:p w14:paraId="481F50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командир батальона — правами командира полка;</w:t>
      </w:r>
    </w:p>
    <w:p w14:paraId="745476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командир роты — правами командира батальона;</w:t>
      </w:r>
    </w:p>
    <w:p w14:paraId="675466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командир взвода — правами командира роты.</w:t>
      </w:r>
    </w:p>
    <w:p w14:paraId="2BFE31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Командир дисциплинарного батальона обязан:</w:t>
      </w:r>
    </w:p>
    <w:p w14:paraId="51BBD2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содержать вверенный ему батальон в образцовом порядке;</w:t>
      </w:r>
    </w:p>
    <w:p w14:paraId="2D98D4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обеспечить строгую воинскую дисциплину среди осужденных, не допуская в этом отношении ни малейшего отступления или послабления...(10617).</w:t>
      </w:r>
    </w:p>
    <w:p w14:paraId="5B0DADC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6D09E4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C560F9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372B570"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июля 1940 выполнил первый полет Stinson L-1 Vigilant (20795).</w:t>
      </w:r>
    </w:p>
    <w:p w14:paraId="62A73B10" w14:textId="77777777" w:rsidR="00812B24" w:rsidRPr="00DB5D0D" w:rsidRDefault="00812B24" w:rsidP="00DB5D0D">
      <w:pPr>
        <w:spacing w:after="0" w:line="240" w:lineRule="auto"/>
        <w:jc w:val="both"/>
        <w:rPr>
          <w:rFonts w:ascii="Times New Roman" w:hAnsi="Times New Roman"/>
          <w:color w:val="0070C0"/>
          <w:sz w:val="16"/>
          <w:szCs w:val="16"/>
        </w:rPr>
      </w:pPr>
    </w:p>
    <w:p w14:paraId="4491C98D"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июля 1940 благодаря протестам президент Pan American Airways Хуанп Триппа, президент Франклин Д. Рузвельт утверждает временный сертификат на семь лет, разрешающий трансатлантический сервис, обеспечивая рейсы между Нью - Йорком и Лиссабоном, Португалией, используя летающие лодки Sikorsky VS- 44  (20795).</w:t>
      </w:r>
    </w:p>
    <w:p w14:paraId="27EDFFEA" w14:textId="77777777" w:rsidR="00812B24" w:rsidRPr="00DB5D0D" w:rsidRDefault="00812B24" w:rsidP="00DB5D0D">
      <w:pPr>
        <w:spacing w:after="0" w:line="240" w:lineRule="auto"/>
        <w:jc w:val="both"/>
        <w:rPr>
          <w:rFonts w:ascii="Times New Roman" w:hAnsi="Times New Roman"/>
          <w:color w:val="0070C0"/>
          <w:sz w:val="16"/>
          <w:szCs w:val="16"/>
        </w:rPr>
      </w:pPr>
    </w:p>
    <w:p w14:paraId="0CA029D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1940 настоятель английской церкви в Линкольшире Р. Грехем приговорен к 4 неделям тюрьмы за нарушение правительственного запрета на церковный звон колоколов (4962).</w:t>
      </w:r>
    </w:p>
    <w:p w14:paraId="7771A97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E7F394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1C667E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38E2C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июля 1940 в НИИ ВВС подготавливался сводный доклад по испытанию самолетов, закупленных в Германии (1204,42).</w:t>
      </w:r>
    </w:p>
    <w:p w14:paraId="405464B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A90DC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082A62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F2DAAC5" w14:textId="77777777" w:rsidR="003C7E8B" w:rsidRPr="00DB5D0D" w:rsidRDefault="003C7E8B" w:rsidP="00DB5D0D">
      <w:pPr>
        <w:pStyle w:val="a3"/>
        <w:rPr>
          <w:color w:val="000000" w:themeColor="text1"/>
          <w:lang w:val="ru-RU"/>
        </w:rPr>
      </w:pPr>
      <w:r w:rsidRPr="00DB5D0D">
        <w:rPr>
          <w:color w:val="000000" w:themeColor="text1"/>
          <w:lang w:val="ru-RU"/>
        </w:rPr>
        <w:t>В середине июля 1940 г. после всесторонне</w:t>
      </w:r>
      <w:r w:rsidRPr="00DB5D0D">
        <w:rPr>
          <w:color w:val="000000" w:themeColor="text1"/>
          <w:lang w:val="ru-RU"/>
        </w:rPr>
        <w:softHyphen/>
        <w:t xml:space="preserve">го изучения результатов полигонных испытаний литой башни </w:t>
      </w:r>
      <w:r w:rsidRPr="00DB5D0D">
        <w:rPr>
          <w:color w:val="000000" w:themeColor="text1"/>
        </w:rPr>
        <w:t>N</w:t>
      </w:r>
      <w:r w:rsidRPr="00DB5D0D">
        <w:rPr>
          <w:color w:val="000000" w:themeColor="text1"/>
          <w:lang w:val="ru-RU"/>
        </w:rPr>
        <w:t>91-1 комиссия дала высокую оценку деятельности совместной бри</w:t>
      </w:r>
      <w:r w:rsidRPr="00DB5D0D">
        <w:rPr>
          <w:color w:val="000000" w:themeColor="text1"/>
          <w:lang w:val="ru-RU"/>
        </w:rPr>
        <w:softHyphen/>
        <w:t>гады НИИ-48 и Мариупольского завода им. Ильича по литым узлам танка Т-34 и внесла на рассмотрение АБТУ и НКСП соответствую</w:t>
      </w:r>
      <w:r w:rsidRPr="00DB5D0D">
        <w:rPr>
          <w:color w:val="000000" w:themeColor="text1"/>
          <w:lang w:val="ru-RU"/>
        </w:rPr>
        <w:softHyphen/>
        <w:t>щие предложения.</w:t>
      </w:r>
    </w:p>
    <w:p w14:paraId="75FD2333" w14:textId="77777777" w:rsidR="003C7E8B" w:rsidRPr="00DB5D0D" w:rsidRDefault="003C7E8B"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Комиссия констатирует:</w:t>
      </w:r>
    </w:p>
    <w:p w14:paraId="0B3C615A" w14:textId="77777777" w:rsidR="003C7E8B" w:rsidRPr="00DB5D0D" w:rsidRDefault="003C7E8B" w:rsidP="00DB5D0D">
      <w:pPr>
        <w:pStyle w:val="45"/>
        <w:shd w:val="clear" w:color="auto" w:fill="auto"/>
        <w:tabs>
          <w:tab w:val="left" w:pos="762"/>
        </w:tabs>
        <w:spacing w:before="0" w:line="240" w:lineRule="auto"/>
        <w:jc w:val="both"/>
        <w:rPr>
          <w:rFonts w:ascii="Times New Roman" w:cs="Times New Roman"/>
          <w:color w:val="000000" w:themeColor="text1"/>
          <w:sz w:val="16"/>
          <w:szCs w:val="16"/>
        </w:rPr>
      </w:pPr>
      <w:r w:rsidRPr="00DB5D0D">
        <w:rPr>
          <w:rFonts w:ascii="Times New Roman" w:cs="Times New Roman"/>
          <w:iCs/>
          <w:color w:val="000000" w:themeColor="text1"/>
          <w:sz w:val="16"/>
          <w:szCs w:val="16"/>
        </w:rPr>
        <w:t xml:space="preserve">1) </w:t>
      </w:r>
      <w:r w:rsidRPr="00DB5D0D">
        <w:rPr>
          <w:rFonts w:ascii="Times New Roman" w:cs="Times New Roman"/>
          <w:color w:val="000000" w:themeColor="text1"/>
          <w:sz w:val="16"/>
          <w:szCs w:val="16"/>
        </w:rPr>
        <w:t>В результате опытных работ завода им. Ильича и Бригады изыскана и отработана на установочной партии деталей броня для литых танковых конструкций, противостоящая малокалиберной про</w:t>
      </w:r>
      <w:r w:rsidRPr="00DB5D0D">
        <w:rPr>
          <w:rFonts w:ascii="Times New Roman" w:cs="Times New Roman"/>
          <w:color w:val="000000" w:themeColor="text1"/>
          <w:sz w:val="16"/>
          <w:szCs w:val="16"/>
        </w:rPr>
        <w:softHyphen/>
        <w:t>тивотанковой артиллерии (37-45 мм). Такой броней является го</w:t>
      </w:r>
      <w:r w:rsidRPr="00DB5D0D">
        <w:rPr>
          <w:rFonts w:ascii="Times New Roman" w:cs="Times New Roman"/>
          <w:color w:val="000000" w:themeColor="text1"/>
          <w:sz w:val="16"/>
          <w:szCs w:val="16"/>
        </w:rPr>
        <w:softHyphen/>
        <w:t>могенная броня высокой твердости (2,8-3,1 по Бринеллю) из ста</w:t>
      </w:r>
      <w:r w:rsidRPr="00DB5D0D">
        <w:rPr>
          <w:rFonts w:ascii="Times New Roman" w:cs="Times New Roman"/>
          <w:color w:val="000000" w:themeColor="text1"/>
          <w:sz w:val="16"/>
          <w:szCs w:val="16"/>
        </w:rPr>
        <w:softHyphen/>
        <w:t>ли «МЗ-2».</w:t>
      </w:r>
    </w:p>
    <w:p w14:paraId="266F7D0F" w14:textId="77777777" w:rsidR="003C7E8B" w:rsidRPr="00DB5D0D" w:rsidRDefault="003C7E8B" w:rsidP="00DB5D0D">
      <w:pPr>
        <w:pStyle w:val="45"/>
        <w:shd w:val="clear" w:color="auto" w:fill="auto"/>
        <w:tabs>
          <w:tab w:val="left" w:pos="747"/>
        </w:tabs>
        <w:spacing w:before="0" w:line="240" w:lineRule="auto"/>
        <w:jc w:val="both"/>
        <w:rPr>
          <w:rFonts w:ascii="Times New Roman" w:cs="Times New Roman"/>
          <w:color w:val="000000" w:themeColor="text1"/>
          <w:sz w:val="16"/>
          <w:szCs w:val="16"/>
        </w:rPr>
      </w:pPr>
      <w:r w:rsidRPr="00DB5D0D">
        <w:rPr>
          <w:rFonts w:ascii="Times New Roman" w:cs="Times New Roman"/>
          <w:iCs/>
          <w:color w:val="000000" w:themeColor="text1"/>
          <w:sz w:val="16"/>
          <w:szCs w:val="16"/>
        </w:rPr>
        <w:t xml:space="preserve">2) </w:t>
      </w:r>
      <w:r w:rsidRPr="00DB5D0D">
        <w:rPr>
          <w:rFonts w:ascii="Times New Roman" w:cs="Times New Roman"/>
          <w:color w:val="000000" w:themeColor="text1"/>
          <w:sz w:val="16"/>
          <w:szCs w:val="16"/>
        </w:rPr>
        <w:t>Сталь марки «МЗ-2», принятая в валовом производстве для изготовления бронедеталей из прокатанных листов, вполне оправ</w:t>
      </w:r>
      <w:r w:rsidRPr="00DB5D0D">
        <w:rPr>
          <w:rFonts w:ascii="Times New Roman" w:cs="Times New Roman"/>
          <w:color w:val="000000" w:themeColor="text1"/>
          <w:sz w:val="16"/>
          <w:szCs w:val="16"/>
        </w:rPr>
        <w:softHyphen/>
        <w:t>дала себя также и на литых конструкциях, что представляет значи</w:t>
      </w:r>
      <w:r w:rsidRPr="00DB5D0D">
        <w:rPr>
          <w:rFonts w:ascii="Times New Roman" w:cs="Times New Roman"/>
          <w:color w:val="000000" w:themeColor="text1"/>
          <w:sz w:val="16"/>
          <w:szCs w:val="16"/>
        </w:rPr>
        <w:softHyphen/>
        <w:t>тельные удобства в производстве.</w:t>
      </w:r>
    </w:p>
    <w:p w14:paraId="1E1D673E" w14:textId="77777777" w:rsidR="003C7E8B" w:rsidRPr="00DB5D0D" w:rsidRDefault="003C7E8B" w:rsidP="00DB5D0D">
      <w:pPr>
        <w:pStyle w:val="45"/>
        <w:shd w:val="clear" w:color="auto" w:fill="auto"/>
        <w:tabs>
          <w:tab w:val="left" w:pos="798"/>
        </w:tabs>
        <w:spacing w:before="0" w:line="240" w:lineRule="auto"/>
        <w:jc w:val="both"/>
        <w:rPr>
          <w:rFonts w:ascii="Times New Roman" w:cs="Times New Roman"/>
          <w:color w:val="000000" w:themeColor="text1"/>
          <w:sz w:val="16"/>
          <w:szCs w:val="16"/>
        </w:rPr>
      </w:pPr>
      <w:r w:rsidRPr="00DB5D0D">
        <w:rPr>
          <w:rFonts w:ascii="Times New Roman" w:cs="Times New Roman"/>
          <w:iCs/>
          <w:color w:val="000000" w:themeColor="text1"/>
          <w:sz w:val="16"/>
          <w:szCs w:val="16"/>
        </w:rPr>
        <w:t xml:space="preserve">3) </w:t>
      </w:r>
      <w:r w:rsidRPr="00DB5D0D">
        <w:rPr>
          <w:rFonts w:ascii="Times New Roman" w:cs="Times New Roman"/>
          <w:color w:val="000000" w:themeColor="text1"/>
          <w:sz w:val="16"/>
          <w:szCs w:val="16"/>
        </w:rPr>
        <w:t>Стойкость брони литой башни при толщине стенок 51-56 мм вполне эквивалентна стойкости 45 мм катанных плит и составляет:</w:t>
      </w:r>
    </w:p>
    <w:p w14:paraId="690E71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№13</w:t>
      </w:r>
    </w:p>
    <w:tbl>
      <w:tblPr>
        <w:tblW w:w="0" w:type="auto"/>
        <w:tblInd w:w="8" w:type="dxa"/>
        <w:tblLayout w:type="fixed"/>
        <w:tblCellMar>
          <w:left w:w="0" w:type="dxa"/>
          <w:right w:w="0" w:type="dxa"/>
        </w:tblCellMar>
        <w:tblLook w:val="0000" w:firstRow="0" w:lastRow="0" w:firstColumn="0" w:lastColumn="0" w:noHBand="0" w:noVBand="0"/>
      </w:tblPr>
      <w:tblGrid>
        <w:gridCol w:w="1822"/>
        <w:gridCol w:w="936"/>
        <w:gridCol w:w="1058"/>
        <w:gridCol w:w="1116"/>
        <w:gridCol w:w="1202"/>
        <w:gridCol w:w="1246"/>
      </w:tblGrid>
      <w:tr w:rsidR="007D5DF8" w:rsidRPr="00DB5D0D" w14:paraId="2EBFE9B7" w14:textId="77777777" w:rsidTr="00E543D0">
        <w:trPr>
          <w:trHeight w:val="288"/>
        </w:trPr>
        <w:tc>
          <w:tcPr>
            <w:tcW w:w="1822" w:type="dxa"/>
            <w:tcBorders>
              <w:top w:val="single" w:sz="6" w:space="0" w:color="auto"/>
              <w:left w:val="single" w:sz="6" w:space="0" w:color="auto"/>
              <w:bottom w:val="nil"/>
              <w:right w:val="single" w:sz="6" w:space="0" w:color="auto"/>
            </w:tcBorders>
            <w:shd w:val="clear" w:color="auto" w:fill="FFFFFF"/>
          </w:tcPr>
          <w:p w14:paraId="6A1B28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Марка стали и тип брони</w:t>
            </w:r>
          </w:p>
        </w:tc>
        <w:tc>
          <w:tcPr>
            <w:tcW w:w="936" w:type="dxa"/>
            <w:tcBorders>
              <w:top w:val="single" w:sz="6" w:space="0" w:color="auto"/>
              <w:left w:val="single" w:sz="6" w:space="0" w:color="auto"/>
              <w:bottom w:val="nil"/>
              <w:right w:val="single" w:sz="6" w:space="0" w:color="auto"/>
            </w:tcBorders>
            <w:shd w:val="clear" w:color="auto" w:fill="FFFFFF"/>
          </w:tcPr>
          <w:p w14:paraId="2EEB7D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Толщина</w:t>
            </w:r>
          </w:p>
        </w:tc>
        <w:tc>
          <w:tcPr>
            <w:tcW w:w="2174" w:type="dxa"/>
            <w:gridSpan w:val="2"/>
            <w:tcBorders>
              <w:top w:val="single" w:sz="6" w:space="0" w:color="auto"/>
              <w:left w:val="single" w:sz="6" w:space="0" w:color="auto"/>
              <w:bottom w:val="single" w:sz="6" w:space="0" w:color="auto"/>
              <w:right w:val="single" w:sz="6" w:space="0" w:color="auto"/>
            </w:tcBorders>
            <w:shd w:val="clear" w:color="auto" w:fill="FFFFFF"/>
          </w:tcPr>
          <w:p w14:paraId="1B47BE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УголО</w:t>
            </w:r>
            <w:r w:rsidRPr="00DB5D0D">
              <w:rPr>
                <w:rFonts w:ascii="Times New Roman" w:hAnsi="Times New Roman"/>
                <w:color w:val="000000" w:themeColor="text1"/>
                <w:sz w:val="16"/>
                <w:szCs w:val="16"/>
                <w:vertAlign w:val="superscript"/>
              </w:rPr>
              <w:t>0</w:t>
            </w:r>
          </w:p>
        </w:tc>
        <w:tc>
          <w:tcPr>
            <w:tcW w:w="2448" w:type="dxa"/>
            <w:gridSpan w:val="2"/>
            <w:tcBorders>
              <w:top w:val="single" w:sz="6" w:space="0" w:color="auto"/>
              <w:left w:val="single" w:sz="6" w:space="0" w:color="auto"/>
              <w:bottom w:val="single" w:sz="6" w:space="0" w:color="auto"/>
              <w:right w:val="single" w:sz="6" w:space="0" w:color="auto"/>
            </w:tcBorders>
            <w:shd w:val="clear" w:color="auto" w:fill="FFFFFF"/>
          </w:tcPr>
          <w:p w14:paraId="2A7392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30°</w:t>
            </w:r>
          </w:p>
        </w:tc>
      </w:tr>
      <w:tr w:rsidR="007D5DF8" w:rsidRPr="00DB5D0D" w14:paraId="5CA88009" w14:textId="77777777" w:rsidTr="00E543D0">
        <w:trPr>
          <w:trHeight w:val="281"/>
        </w:trPr>
        <w:tc>
          <w:tcPr>
            <w:tcW w:w="1822" w:type="dxa"/>
            <w:tcBorders>
              <w:top w:val="nil"/>
              <w:left w:val="single" w:sz="6" w:space="0" w:color="auto"/>
              <w:bottom w:val="single" w:sz="6" w:space="0" w:color="auto"/>
              <w:right w:val="single" w:sz="6" w:space="0" w:color="auto"/>
            </w:tcBorders>
            <w:shd w:val="clear" w:color="auto" w:fill="FFFFFF"/>
          </w:tcPr>
          <w:p w14:paraId="1375DA3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36" w:type="dxa"/>
            <w:tcBorders>
              <w:top w:val="nil"/>
              <w:left w:val="single" w:sz="6" w:space="0" w:color="auto"/>
              <w:bottom w:val="single" w:sz="6" w:space="0" w:color="auto"/>
              <w:right w:val="single" w:sz="6" w:space="0" w:color="auto"/>
            </w:tcBorders>
            <w:shd w:val="clear" w:color="auto" w:fill="FFFFFF"/>
          </w:tcPr>
          <w:p w14:paraId="2B4217F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shd w:val="clear" w:color="auto" w:fill="FFFFFF"/>
          </w:tcPr>
          <w:p w14:paraId="219D8B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ПТП</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33F175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ПСП</w:t>
            </w:r>
          </w:p>
        </w:tc>
        <w:tc>
          <w:tcPr>
            <w:tcW w:w="1202" w:type="dxa"/>
            <w:tcBorders>
              <w:top w:val="single" w:sz="6" w:space="0" w:color="auto"/>
              <w:left w:val="single" w:sz="6" w:space="0" w:color="auto"/>
              <w:bottom w:val="single" w:sz="6" w:space="0" w:color="auto"/>
              <w:right w:val="single" w:sz="6" w:space="0" w:color="auto"/>
            </w:tcBorders>
            <w:shd w:val="clear" w:color="auto" w:fill="FFFFFF"/>
          </w:tcPr>
          <w:p w14:paraId="51479A83"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птп</w:t>
            </w:r>
          </w:p>
        </w:tc>
        <w:tc>
          <w:tcPr>
            <w:tcW w:w="1246" w:type="dxa"/>
            <w:tcBorders>
              <w:top w:val="single" w:sz="6" w:space="0" w:color="auto"/>
              <w:left w:val="single" w:sz="6" w:space="0" w:color="auto"/>
              <w:bottom w:val="single" w:sz="6" w:space="0" w:color="auto"/>
              <w:right w:val="single" w:sz="6" w:space="0" w:color="auto"/>
            </w:tcBorders>
            <w:shd w:val="clear" w:color="auto" w:fill="FFFFFF"/>
          </w:tcPr>
          <w:p w14:paraId="42FF71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ПСП</w:t>
            </w:r>
          </w:p>
        </w:tc>
      </w:tr>
      <w:tr w:rsidR="007D5DF8" w:rsidRPr="00DB5D0D" w14:paraId="4CC32E4B" w14:textId="77777777" w:rsidTr="00E543D0">
        <w:trPr>
          <w:trHeight w:val="806"/>
        </w:trPr>
        <w:tc>
          <w:tcPr>
            <w:tcW w:w="1822" w:type="dxa"/>
            <w:tcBorders>
              <w:top w:val="single" w:sz="6" w:space="0" w:color="auto"/>
              <w:left w:val="single" w:sz="6" w:space="0" w:color="auto"/>
              <w:bottom w:val="single" w:sz="6" w:space="0" w:color="auto"/>
              <w:right w:val="single" w:sz="6" w:space="0" w:color="auto"/>
            </w:tcBorders>
            <w:shd w:val="clear" w:color="auto" w:fill="FFFFFF"/>
          </w:tcPr>
          <w:p w14:paraId="4744C6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МЗ-2 литая, высокой твердости (2,8—3,0)</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348649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51-55</w:t>
            </w:r>
          </w:p>
        </w:tc>
        <w:tc>
          <w:tcPr>
            <w:tcW w:w="1058" w:type="dxa"/>
            <w:tcBorders>
              <w:top w:val="single" w:sz="6" w:space="0" w:color="auto"/>
              <w:left w:val="single" w:sz="6" w:space="0" w:color="auto"/>
              <w:bottom w:val="single" w:sz="6" w:space="0" w:color="auto"/>
              <w:right w:val="single" w:sz="6" w:space="0" w:color="auto"/>
            </w:tcBorders>
            <w:shd w:val="clear" w:color="auto" w:fill="FFFFFF"/>
          </w:tcPr>
          <w:p w14:paraId="1EAECF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740</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335460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Выше максимума</w:t>
            </w:r>
          </w:p>
        </w:tc>
        <w:tc>
          <w:tcPr>
            <w:tcW w:w="1202" w:type="dxa"/>
            <w:tcBorders>
              <w:top w:val="single" w:sz="6" w:space="0" w:color="auto"/>
              <w:left w:val="single" w:sz="6" w:space="0" w:color="auto"/>
              <w:bottom w:val="single" w:sz="6" w:space="0" w:color="auto"/>
              <w:right w:val="single" w:sz="6" w:space="0" w:color="auto"/>
            </w:tcBorders>
            <w:shd w:val="clear" w:color="auto" w:fill="FFFFFF"/>
          </w:tcPr>
          <w:p w14:paraId="46F65F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Выше максимума</w:t>
            </w:r>
          </w:p>
        </w:tc>
        <w:tc>
          <w:tcPr>
            <w:tcW w:w="1246" w:type="dxa"/>
            <w:tcBorders>
              <w:top w:val="single" w:sz="6" w:space="0" w:color="auto"/>
              <w:left w:val="single" w:sz="6" w:space="0" w:color="auto"/>
              <w:bottom w:val="single" w:sz="6" w:space="0" w:color="auto"/>
              <w:right w:val="single" w:sz="6" w:space="0" w:color="auto"/>
            </w:tcBorders>
            <w:shd w:val="clear" w:color="auto" w:fill="FFFFFF"/>
          </w:tcPr>
          <w:p w14:paraId="74C88C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Выше максимума</w:t>
            </w:r>
          </w:p>
        </w:tc>
      </w:tr>
      <w:tr w:rsidR="007D5DF8" w:rsidRPr="00DB5D0D" w14:paraId="2A4B777A" w14:textId="77777777" w:rsidTr="00E543D0">
        <w:trPr>
          <w:trHeight w:val="281"/>
        </w:trPr>
        <w:tc>
          <w:tcPr>
            <w:tcW w:w="1822" w:type="dxa"/>
            <w:tcBorders>
              <w:top w:val="single" w:sz="6" w:space="0" w:color="auto"/>
              <w:left w:val="single" w:sz="6" w:space="0" w:color="auto"/>
              <w:bottom w:val="single" w:sz="6" w:space="0" w:color="auto"/>
              <w:right w:val="single" w:sz="6" w:space="0" w:color="auto"/>
            </w:tcBorders>
            <w:shd w:val="clear" w:color="auto" w:fill="FFFFFF"/>
          </w:tcPr>
          <w:p w14:paraId="76D3CF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МЗ-2 катаная*</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36D712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058" w:type="dxa"/>
            <w:tcBorders>
              <w:top w:val="single" w:sz="6" w:space="0" w:color="auto"/>
              <w:left w:val="single" w:sz="6" w:space="0" w:color="auto"/>
              <w:bottom w:val="single" w:sz="6" w:space="0" w:color="auto"/>
              <w:right w:val="single" w:sz="6" w:space="0" w:color="auto"/>
            </w:tcBorders>
            <w:shd w:val="clear" w:color="auto" w:fill="FFFFFF"/>
          </w:tcPr>
          <w:p w14:paraId="73DAB5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725-760</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286C74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Тоже</w:t>
            </w:r>
          </w:p>
        </w:tc>
        <w:tc>
          <w:tcPr>
            <w:tcW w:w="1202" w:type="dxa"/>
            <w:tcBorders>
              <w:top w:val="single" w:sz="6" w:space="0" w:color="auto"/>
              <w:left w:val="single" w:sz="6" w:space="0" w:color="auto"/>
              <w:bottom w:val="single" w:sz="6" w:space="0" w:color="auto"/>
              <w:right w:val="single" w:sz="6" w:space="0" w:color="auto"/>
            </w:tcBorders>
            <w:shd w:val="clear" w:color="auto" w:fill="FFFFFF"/>
          </w:tcPr>
          <w:p w14:paraId="63ADB4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Тоже</w:t>
            </w:r>
          </w:p>
        </w:tc>
        <w:tc>
          <w:tcPr>
            <w:tcW w:w="1246" w:type="dxa"/>
            <w:tcBorders>
              <w:top w:val="single" w:sz="6" w:space="0" w:color="auto"/>
              <w:left w:val="single" w:sz="6" w:space="0" w:color="auto"/>
              <w:bottom w:val="single" w:sz="6" w:space="0" w:color="auto"/>
              <w:right w:val="single" w:sz="6" w:space="0" w:color="auto"/>
            </w:tcBorders>
            <w:shd w:val="clear" w:color="auto" w:fill="FFFFFF"/>
          </w:tcPr>
          <w:p w14:paraId="1A00C3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Тоже</w:t>
            </w:r>
          </w:p>
        </w:tc>
      </w:tr>
      <w:tr w:rsidR="007D5DF8" w:rsidRPr="00DB5D0D" w14:paraId="5815F8A3" w14:textId="77777777" w:rsidTr="00E543D0">
        <w:trPr>
          <w:trHeight w:val="281"/>
        </w:trPr>
        <w:tc>
          <w:tcPr>
            <w:tcW w:w="1822" w:type="dxa"/>
            <w:tcBorders>
              <w:top w:val="single" w:sz="6" w:space="0" w:color="auto"/>
              <w:left w:val="single" w:sz="6" w:space="0" w:color="auto"/>
              <w:bottom w:val="single" w:sz="6" w:space="0" w:color="auto"/>
              <w:right w:val="single" w:sz="6" w:space="0" w:color="auto"/>
            </w:tcBorders>
            <w:shd w:val="clear" w:color="auto" w:fill="FFFFFF"/>
          </w:tcPr>
          <w:p w14:paraId="2C3341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МЗ-2 катаная*</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456ACF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1058" w:type="dxa"/>
            <w:tcBorders>
              <w:top w:val="single" w:sz="6" w:space="0" w:color="auto"/>
              <w:left w:val="single" w:sz="6" w:space="0" w:color="auto"/>
              <w:bottom w:val="single" w:sz="6" w:space="0" w:color="auto"/>
              <w:right w:val="single" w:sz="6" w:space="0" w:color="auto"/>
            </w:tcBorders>
            <w:shd w:val="clear" w:color="auto" w:fill="FFFFFF"/>
          </w:tcPr>
          <w:p w14:paraId="2D9529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725-735</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4E5A1A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755-765</w:t>
            </w:r>
          </w:p>
        </w:tc>
        <w:tc>
          <w:tcPr>
            <w:tcW w:w="1202" w:type="dxa"/>
            <w:tcBorders>
              <w:top w:val="single" w:sz="6" w:space="0" w:color="auto"/>
              <w:left w:val="single" w:sz="6" w:space="0" w:color="auto"/>
              <w:bottom w:val="single" w:sz="6" w:space="0" w:color="auto"/>
              <w:right w:val="single" w:sz="6" w:space="0" w:color="auto"/>
            </w:tcBorders>
            <w:shd w:val="clear" w:color="auto" w:fill="FFFFFF"/>
          </w:tcPr>
          <w:p w14:paraId="71CA1B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Тоже</w:t>
            </w:r>
          </w:p>
        </w:tc>
        <w:tc>
          <w:tcPr>
            <w:tcW w:w="1246" w:type="dxa"/>
            <w:tcBorders>
              <w:top w:val="single" w:sz="6" w:space="0" w:color="auto"/>
              <w:left w:val="single" w:sz="6" w:space="0" w:color="auto"/>
              <w:bottom w:val="single" w:sz="6" w:space="0" w:color="auto"/>
              <w:right w:val="single" w:sz="6" w:space="0" w:color="auto"/>
            </w:tcBorders>
            <w:shd w:val="clear" w:color="auto" w:fill="FFFFFF"/>
          </w:tcPr>
          <w:p w14:paraId="719765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Тоже</w:t>
            </w:r>
          </w:p>
        </w:tc>
      </w:tr>
      <w:tr w:rsidR="007D5DF8" w:rsidRPr="00DB5D0D" w14:paraId="5420D430" w14:textId="77777777" w:rsidTr="00E543D0">
        <w:trPr>
          <w:trHeight w:val="806"/>
        </w:trPr>
        <w:tc>
          <w:tcPr>
            <w:tcW w:w="1822" w:type="dxa"/>
            <w:tcBorders>
              <w:top w:val="single" w:sz="6" w:space="0" w:color="auto"/>
              <w:left w:val="single" w:sz="6" w:space="0" w:color="auto"/>
              <w:bottom w:val="single" w:sz="6" w:space="0" w:color="auto"/>
              <w:right w:val="single" w:sz="6" w:space="0" w:color="auto"/>
            </w:tcBorders>
            <w:shd w:val="clear" w:color="auto" w:fill="FFFFFF"/>
          </w:tcPr>
          <w:p w14:paraId="5DF071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МЗ-2 литая, низкой</w:t>
            </w:r>
          </w:p>
          <w:p w14:paraId="6C4FCD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твердости**</w:t>
            </w:r>
          </w:p>
          <w:p w14:paraId="4C7EC1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(3,7-4.0)</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35CAFA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1058" w:type="dxa"/>
            <w:tcBorders>
              <w:top w:val="single" w:sz="6" w:space="0" w:color="auto"/>
              <w:left w:val="single" w:sz="6" w:space="0" w:color="auto"/>
              <w:bottom w:val="single" w:sz="6" w:space="0" w:color="auto"/>
              <w:right w:val="single" w:sz="6" w:space="0" w:color="auto"/>
            </w:tcBorders>
            <w:shd w:val="clear" w:color="auto" w:fill="FFFFFF"/>
          </w:tcPr>
          <w:p w14:paraId="46E76B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540-660</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372683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560-634</w:t>
            </w:r>
          </w:p>
        </w:tc>
        <w:tc>
          <w:tcPr>
            <w:tcW w:w="1202" w:type="dxa"/>
            <w:tcBorders>
              <w:top w:val="single" w:sz="6" w:space="0" w:color="auto"/>
              <w:left w:val="single" w:sz="6" w:space="0" w:color="auto"/>
              <w:bottom w:val="single" w:sz="6" w:space="0" w:color="auto"/>
              <w:right w:val="single" w:sz="6" w:space="0" w:color="auto"/>
            </w:tcBorders>
            <w:shd w:val="clear" w:color="auto" w:fill="FFFFFF"/>
          </w:tcPr>
          <w:p w14:paraId="5B8727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725</w:t>
            </w:r>
          </w:p>
        </w:tc>
        <w:tc>
          <w:tcPr>
            <w:tcW w:w="1246" w:type="dxa"/>
            <w:tcBorders>
              <w:top w:val="single" w:sz="6" w:space="0" w:color="auto"/>
              <w:left w:val="single" w:sz="6" w:space="0" w:color="auto"/>
              <w:bottom w:val="single" w:sz="6" w:space="0" w:color="auto"/>
              <w:right w:val="single" w:sz="6" w:space="0" w:color="auto"/>
            </w:tcBorders>
            <w:shd w:val="clear" w:color="auto" w:fill="FFFFFF"/>
          </w:tcPr>
          <w:p w14:paraId="6B0C5B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745</w:t>
            </w:r>
          </w:p>
        </w:tc>
      </w:tr>
      <w:tr w:rsidR="007D5DF8" w:rsidRPr="00DB5D0D" w14:paraId="39BA4502" w14:textId="77777777" w:rsidTr="00E543D0">
        <w:trPr>
          <w:trHeight w:val="828"/>
        </w:trPr>
        <w:tc>
          <w:tcPr>
            <w:tcW w:w="1822" w:type="dxa"/>
            <w:tcBorders>
              <w:top w:val="single" w:sz="6" w:space="0" w:color="auto"/>
              <w:left w:val="single" w:sz="6" w:space="0" w:color="auto"/>
              <w:bottom w:val="single" w:sz="6" w:space="0" w:color="auto"/>
              <w:right w:val="single" w:sz="6" w:space="0" w:color="auto"/>
            </w:tcBorders>
            <w:shd w:val="clear" w:color="auto" w:fill="FFFFFF"/>
          </w:tcPr>
          <w:p w14:paraId="0A7916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ФД-6654 литая, низкой твердости** (3,7—4.0)</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625FDC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45-52</w:t>
            </w:r>
          </w:p>
        </w:tc>
        <w:tc>
          <w:tcPr>
            <w:tcW w:w="1058" w:type="dxa"/>
            <w:tcBorders>
              <w:top w:val="single" w:sz="6" w:space="0" w:color="auto"/>
              <w:left w:val="single" w:sz="6" w:space="0" w:color="auto"/>
              <w:bottom w:val="single" w:sz="6" w:space="0" w:color="auto"/>
              <w:right w:val="single" w:sz="6" w:space="0" w:color="auto"/>
            </w:tcBorders>
            <w:shd w:val="clear" w:color="auto" w:fill="FFFFFF"/>
          </w:tcPr>
          <w:p w14:paraId="1289AC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550-650</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469D13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565-680</w:t>
            </w:r>
          </w:p>
        </w:tc>
        <w:tc>
          <w:tcPr>
            <w:tcW w:w="1202" w:type="dxa"/>
            <w:tcBorders>
              <w:top w:val="single" w:sz="6" w:space="0" w:color="auto"/>
              <w:left w:val="single" w:sz="6" w:space="0" w:color="auto"/>
              <w:bottom w:val="single" w:sz="6" w:space="0" w:color="auto"/>
              <w:right w:val="single" w:sz="6" w:space="0" w:color="auto"/>
            </w:tcBorders>
            <w:shd w:val="clear" w:color="auto" w:fill="FFFFFF"/>
          </w:tcPr>
          <w:p w14:paraId="13001C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600-670</w:t>
            </w:r>
          </w:p>
        </w:tc>
        <w:tc>
          <w:tcPr>
            <w:tcW w:w="1246" w:type="dxa"/>
            <w:tcBorders>
              <w:top w:val="single" w:sz="6" w:space="0" w:color="auto"/>
              <w:left w:val="single" w:sz="6" w:space="0" w:color="auto"/>
              <w:bottom w:val="single" w:sz="6" w:space="0" w:color="auto"/>
              <w:right w:val="single" w:sz="6" w:space="0" w:color="auto"/>
            </w:tcBorders>
            <w:shd w:val="clear" w:color="auto" w:fill="FFFFFF"/>
          </w:tcPr>
          <w:p w14:paraId="064254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660-760</w:t>
            </w:r>
          </w:p>
        </w:tc>
      </w:tr>
    </w:tbl>
    <w:p w14:paraId="39F62FD9" w14:textId="77777777" w:rsidR="003C7E8B" w:rsidRPr="00DB5D0D" w:rsidRDefault="003C7E8B" w:rsidP="00DB5D0D">
      <w:pPr>
        <w:pStyle w:val="aff1"/>
        <w:shd w:val="clear" w:color="auto" w:fill="auto"/>
        <w:spacing w:line="240" w:lineRule="auto"/>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Данные по результатам работы комиссии по приему на производство стали МЗ-2. "Данные испытаний опытных литых плит бригады НИИ-48 и Марзавода.</w:t>
      </w:r>
    </w:p>
    <w:p w14:paraId="349674AB" w14:textId="77777777" w:rsidR="003C7E8B" w:rsidRPr="00DB5D0D" w:rsidRDefault="003C7E8B" w:rsidP="00DB5D0D">
      <w:pPr>
        <w:pStyle w:val="45"/>
        <w:shd w:val="clear" w:color="auto" w:fill="auto"/>
        <w:tabs>
          <w:tab w:val="left" w:pos="668"/>
        </w:tabs>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а) против 45 мм снаряда (черт. 2-03347) по нормали ПТП=740м/с, ПСП=760 м/с, а под углом 30° - ПТП и ПСП выше 760 м/с.</w:t>
      </w:r>
    </w:p>
    <w:p w14:paraId="0B069FFD" w14:textId="77777777" w:rsidR="003C7E8B" w:rsidRPr="00DB5D0D" w:rsidRDefault="003C7E8B" w:rsidP="00DB5D0D">
      <w:pPr>
        <w:pStyle w:val="45"/>
        <w:shd w:val="clear" w:color="auto" w:fill="auto"/>
        <w:tabs>
          <w:tab w:val="left" w:pos="783"/>
        </w:tabs>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б) против 76 мм снаряда (черт. 2-03545) под углом 30° ПТП=520-530 м/с, а ПСП около 640 м/с.</w:t>
      </w:r>
    </w:p>
    <w:p w14:paraId="1834548D" w14:textId="77777777" w:rsidR="003C7E8B" w:rsidRPr="00DB5D0D" w:rsidRDefault="003C7E8B" w:rsidP="00DB5D0D">
      <w:pPr>
        <w:pStyle w:val="a3"/>
        <w:tabs>
          <w:tab w:val="left" w:pos="754"/>
        </w:tabs>
        <w:rPr>
          <w:color w:val="000000" w:themeColor="text1"/>
          <w:lang w:val="ru-RU"/>
        </w:rPr>
      </w:pPr>
      <w:r w:rsidRPr="00DB5D0D">
        <w:rPr>
          <w:color w:val="000000" w:themeColor="text1"/>
          <w:lang w:val="ru-RU"/>
        </w:rPr>
        <w:t>4) По видам поражений при испытании снарядами 37, 45 и 76 мм литая броня вполне удовлетворяет требования АБТУКА - при сквозном пробитии совершенно не дает отколов, при испытаниях не было также случаев получения трещин, расколов или проломов.</w:t>
      </w:r>
    </w:p>
    <w:p w14:paraId="2A9C5C12" w14:textId="77777777" w:rsidR="003C7E8B" w:rsidRPr="00DB5D0D" w:rsidRDefault="003C7E8B" w:rsidP="00DB5D0D">
      <w:pPr>
        <w:pStyle w:val="a3"/>
        <w:tabs>
          <w:tab w:val="left" w:pos="697"/>
        </w:tabs>
        <w:rPr>
          <w:color w:val="000000" w:themeColor="text1"/>
          <w:lang w:val="ru-RU"/>
        </w:rPr>
      </w:pPr>
      <w:r w:rsidRPr="00DB5D0D">
        <w:rPr>
          <w:color w:val="000000" w:themeColor="text1"/>
          <w:lang w:val="ru-RU"/>
        </w:rPr>
        <w:t>5) Срабатываемость снарядов политой броне высокой твердо</w:t>
      </w:r>
      <w:r w:rsidRPr="00DB5D0D">
        <w:rPr>
          <w:color w:val="000000" w:themeColor="text1"/>
          <w:lang w:val="ru-RU"/>
        </w:rPr>
        <w:softHyphen/>
        <w:t>сти — вполне удовлетворительная. Снаряды всех применявшихся калибров и чертежей (с внутренней полостью) при обстреле башни в рабочем положении (угол 30°) - разбивались в осколки.</w:t>
      </w:r>
    </w:p>
    <w:p w14:paraId="4B84F6E1" w14:textId="77777777" w:rsidR="003C7E8B" w:rsidRPr="00DB5D0D" w:rsidRDefault="003C7E8B" w:rsidP="00DB5D0D">
      <w:pPr>
        <w:pStyle w:val="a3"/>
        <w:tabs>
          <w:tab w:val="left" w:pos="711"/>
        </w:tabs>
        <w:rPr>
          <w:color w:val="000000" w:themeColor="text1"/>
          <w:lang w:val="ru-RU"/>
        </w:rPr>
      </w:pPr>
      <w:r w:rsidRPr="00DB5D0D">
        <w:rPr>
          <w:color w:val="000000" w:themeColor="text1"/>
          <w:lang w:val="ru-RU"/>
        </w:rPr>
        <w:t>6) Особых конструктивных недостатков в башне при испытани</w:t>
      </w:r>
      <w:r w:rsidRPr="00DB5D0D">
        <w:rPr>
          <w:color w:val="000000" w:themeColor="text1"/>
          <w:lang w:val="ru-RU"/>
        </w:rPr>
        <w:softHyphen/>
        <w:t>ях не отмечено.</w:t>
      </w:r>
    </w:p>
    <w:p w14:paraId="46FFF57F" w14:textId="77777777" w:rsidR="003C7E8B" w:rsidRPr="00DB5D0D" w:rsidRDefault="003C7E8B" w:rsidP="00DB5D0D">
      <w:pPr>
        <w:pStyle w:val="a3"/>
        <w:tabs>
          <w:tab w:val="left" w:pos="726"/>
        </w:tabs>
        <w:rPr>
          <w:color w:val="000000" w:themeColor="text1"/>
          <w:lang w:val="ru-RU"/>
        </w:rPr>
      </w:pPr>
      <w:r w:rsidRPr="00DB5D0D">
        <w:rPr>
          <w:color w:val="000000" w:themeColor="text1"/>
          <w:lang w:val="ru-RU"/>
        </w:rPr>
        <w:t>7) Тип брони и марка стали проверены, как в процессе опытных работ, так и при изготовлении установочной партии башен. Работ</w:t>
      </w:r>
      <w:r w:rsidRPr="00DB5D0D">
        <w:rPr>
          <w:color w:val="000000" w:themeColor="text1"/>
          <w:lang w:val="ru-RU"/>
        </w:rPr>
        <w:softHyphen/>
        <w:t>никами цехов завода и бригады устранены технологические дефек</w:t>
      </w:r>
      <w:r w:rsidRPr="00DB5D0D">
        <w:rPr>
          <w:color w:val="000000" w:themeColor="text1"/>
          <w:lang w:val="ru-RU"/>
        </w:rPr>
        <w:softHyphen/>
        <w:t>ты, выявленные предварительным испытанием опытной башни в апреле 1940 года. Разработанная технология производства литых башен, в основном оправданна на установочной партии, но требу</w:t>
      </w:r>
      <w:r w:rsidRPr="00DB5D0D">
        <w:rPr>
          <w:color w:val="000000" w:themeColor="text1"/>
          <w:lang w:val="ru-RU"/>
        </w:rPr>
        <w:softHyphen/>
        <w:t>ются отдельные уточнения технологии уже в процессе валового про</w:t>
      </w:r>
      <w:r w:rsidRPr="00DB5D0D">
        <w:rPr>
          <w:color w:val="000000" w:themeColor="text1"/>
          <w:lang w:val="ru-RU"/>
        </w:rPr>
        <w:softHyphen/>
        <w:t>изводства и обучение кадров в цехах для устойчивого ведения про</w:t>
      </w:r>
      <w:r w:rsidRPr="00DB5D0D">
        <w:rPr>
          <w:color w:val="000000" w:themeColor="text1"/>
          <w:lang w:val="ru-RU"/>
        </w:rPr>
        <w:softHyphen/>
        <w:t>изводства с минимальным браком. Исправления технологии для устранения ряда дефектов, выявленных в процессе производства установочной партии башен изложены в приложении № 1 и внесе</w:t>
      </w:r>
      <w:r w:rsidRPr="00DB5D0D">
        <w:rPr>
          <w:color w:val="000000" w:themeColor="text1"/>
          <w:lang w:val="ru-RU"/>
        </w:rPr>
        <w:softHyphen/>
        <w:t>ны в технологические инструкции (см. приложение №4).</w:t>
      </w:r>
    </w:p>
    <w:p w14:paraId="6479E838" w14:textId="77777777" w:rsidR="003C7E8B" w:rsidRPr="00DB5D0D" w:rsidRDefault="003C7E8B" w:rsidP="00DB5D0D">
      <w:pPr>
        <w:pStyle w:val="a3"/>
        <w:rPr>
          <w:color w:val="000000" w:themeColor="text1"/>
          <w:lang w:val="ru-RU"/>
        </w:rPr>
      </w:pPr>
      <w:r w:rsidRPr="00DB5D0D">
        <w:rPr>
          <w:color w:val="000000" w:themeColor="text1"/>
          <w:u w:val="single"/>
          <w:lang w:val="ru-RU"/>
        </w:rPr>
        <w:t>ЗАКЛЮЧЕНИЕ:</w:t>
      </w:r>
    </w:p>
    <w:p w14:paraId="33CE9971" w14:textId="77777777" w:rsidR="003C7E8B" w:rsidRPr="00DB5D0D" w:rsidRDefault="003C7E8B" w:rsidP="00DB5D0D">
      <w:pPr>
        <w:pStyle w:val="a3"/>
        <w:rPr>
          <w:color w:val="000000" w:themeColor="text1"/>
          <w:lang w:val="ru-RU"/>
        </w:rPr>
      </w:pPr>
      <w:r w:rsidRPr="00DB5D0D">
        <w:rPr>
          <w:color w:val="000000" w:themeColor="text1"/>
          <w:lang w:val="ru-RU"/>
        </w:rPr>
        <w:t>На основании результатов проведенных испытаний и анализа производства установочной партии башен комиссия вносит в АБТУ и 7-е ГУ НКСП следующие решения:</w:t>
      </w:r>
    </w:p>
    <w:p w14:paraId="17E14983" w14:textId="77777777" w:rsidR="003C7E8B" w:rsidRPr="00DB5D0D" w:rsidRDefault="003C7E8B" w:rsidP="00DB5D0D">
      <w:pPr>
        <w:pStyle w:val="17"/>
        <w:shd w:val="clear" w:color="auto" w:fill="auto"/>
        <w:spacing w:line="240" w:lineRule="auto"/>
        <w:jc w:val="both"/>
        <w:rPr>
          <w:rFonts w:ascii="Times New Roman" w:hAnsi="Times New Roman" w:cs="Times New Roman"/>
          <w:bCs/>
          <w:color w:val="000000" w:themeColor="text1"/>
          <w:sz w:val="16"/>
          <w:szCs w:val="16"/>
        </w:rPr>
      </w:pPr>
      <w:r w:rsidRPr="00DB5D0D">
        <w:rPr>
          <w:rFonts w:ascii="Times New Roman" w:hAnsi="Times New Roman" w:cs="Times New Roman"/>
          <w:bCs/>
          <w:color w:val="000000" w:themeColor="text1"/>
          <w:sz w:val="16"/>
          <w:szCs w:val="16"/>
        </w:rPr>
        <w:t>1. Утвердить основным типом брони для литых танковых конст</w:t>
      </w:r>
      <w:r w:rsidRPr="00DB5D0D">
        <w:rPr>
          <w:rFonts w:ascii="Times New Roman" w:hAnsi="Times New Roman" w:cs="Times New Roman"/>
          <w:bCs/>
          <w:color w:val="000000" w:themeColor="text1"/>
          <w:sz w:val="16"/>
          <w:szCs w:val="16"/>
        </w:rPr>
        <w:softHyphen/>
        <w:t>рукций, противостоящих мелкокалиберной противотанковой артил</w:t>
      </w:r>
      <w:r w:rsidRPr="00DB5D0D">
        <w:rPr>
          <w:rFonts w:ascii="Times New Roman" w:hAnsi="Times New Roman" w:cs="Times New Roman"/>
          <w:bCs/>
          <w:color w:val="000000" w:themeColor="text1"/>
          <w:sz w:val="16"/>
          <w:szCs w:val="16"/>
        </w:rPr>
        <w:softHyphen/>
        <w:t>лерии (37 и 45 мм) - гомогенную броню высокой твердости (диа</w:t>
      </w:r>
      <w:r w:rsidRPr="00DB5D0D">
        <w:rPr>
          <w:rFonts w:ascii="Times New Roman" w:hAnsi="Times New Roman" w:cs="Times New Roman"/>
          <w:bCs/>
          <w:color w:val="000000" w:themeColor="text1"/>
          <w:sz w:val="16"/>
          <w:szCs w:val="16"/>
        </w:rPr>
        <w:softHyphen/>
        <w:t>метр отпечатка Бринелля 2,8-3,1). Для отдельных узлов, расположенных под большими углами и требующих по условиям произ</w:t>
      </w:r>
      <w:r w:rsidRPr="00DB5D0D">
        <w:rPr>
          <w:rFonts w:ascii="Times New Roman" w:hAnsi="Times New Roman" w:cs="Times New Roman"/>
          <w:bCs/>
          <w:color w:val="000000" w:themeColor="text1"/>
          <w:sz w:val="16"/>
          <w:szCs w:val="16"/>
        </w:rPr>
        <w:softHyphen/>
        <w:t>водства сложной механической обработки после полной термичес</w:t>
      </w:r>
      <w:r w:rsidRPr="00DB5D0D">
        <w:rPr>
          <w:rFonts w:ascii="Times New Roman" w:hAnsi="Times New Roman" w:cs="Times New Roman"/>
          <w:bCs/>
          <w:color w:val="000000" w:themeColor="text1"/>
          <w:sz w:val="16"/>
          <w:szCs w:val="16"/>
        </w:rPr>
        <w:softHyphen/>
        <w:t>кой обработки допустить гомогенную броню пониженной твердо</w:t>
      </w:r>
      <w:r w:rsidRPr="00DB5D0D">
        <w:rPr>
          <w:rFonts w:ascii="Times New Roman" w:hAnsi="Times New Roman" w:cs="Times New Roman"/>
          <w:bCs/>
          <w:color w:val="000000" w:themeColor="text1"/>
          <w:sz w:val="16"/>
          <w:szCs w:val="16"/>
        </w:rPr>
        <w:softHyphen/>
        <w:t>сти за счет увеличения толщины.</w:t>
      </w:r>
    </w:p>
    <w:p w14:paraId="38CDE8AD" w14:textId="77777777" w:rsidR="003C7E8B" w:rsidRPr="00DB5D0D" w:rsidRDefault="003C7E8B" w:rsidP="00DB5D0D">
      <w:pPr>
        <w:pStyle w:val="a3"/>
        <w:tabs>
          <w:tab w:val="left" w:pos="746"/>
        </w:tabs>
        <w:rPr>
          <w:color w:val="000000" w:themeColor="text1"/>
          <w:lang w:val="ru-RU"/>
        </w:rPr>
      </w:pPr>
      <w:r w:rsidRPr="00DB5D0D">
        <w:rPr>
          <w:color w:val="000000" w:themeColor="text1"/>
          <w:lang w:val="ru-RU"/>
        </w:rPr>
        <w:t>2. Утвердить для изготовления литых башен танка Т-34 сталь марки «МЗ-2».</w:t>
      </w:r>
    </w:p>
    <w:p w14:paraId="4E6416A1" w14:textId="77777777" w:rsidR="003C7E8B" w:rsidRPr="00DB5D0D" w:rsidRDefault="003C7E8B" w:rsidP="00DB5D0D">
      <w:pPr>
        <w:pStyle w:val="a3"/>
        <w:tabs>
          <w:tab w:val="left" w:pos="760"/>
        </w:tabs>
        <w:rPr>
          <w:color w:val="000000" w:themeColor="text1"/>
          <w:lang w:val="ru-RU"/>
        </w:rPr>
      </w:pPr>
      <w:r w:rsidRPr="00DB5D0D">
        <w:rPr>
          <w:color w:val="000000" w:themeColor="text1"/>
          <w:lang w:val="ru-RU"/>
        </w:rPr>
        <w:t>3. Утвердить на серийное производство 1940 г. конструкцию литой башни, разработанную заводом №183, при номинальной толщине брони 52 мм.</w:t>
      </w:r>
    </w:p>
    <w:p w14:paraId="70C4F9E6" w14:textId="77777777" w:rsidR="003C7E8B" w:rsidRPr="00DB5D0D" w:rsidRDefault="003C7E8B" w:rsidP="00DB5D0D">
      <w:pPr>
        <w:pStyle w:val="a3"/>
        <w:tabs>
          <w:tab w:val="left" w:pos="738"/>
        </w:tabs>
        <w:rPr>
          <w:color w:val="000000" w:themeColor="text1"/>
          <w:lang w:val="ru-RU"/>
        </w:rPr>
      </w:pPr>
      <w:r w:rsidRPr="00DB5D0D">
        <w:rPr>
          <w:color w:val="000000" w:themeColor="text1"/>
          <w:lang w:val="ru-RU"/>
        </w:rPr>
        <w:t>4. Утвердить прилагаемые технологические инструкции на от</w:t>
      </w:r>
      <w:r w:rsidRPr="00DB5D0D">
        <w:rPr>
          <w:color w:val="000000" w:themeColor="text1"/>
          <w:lang w:val="ru-RU"/>
        </w:rPr>
        <w:softHyphen/>
        <w:t>ливку и обработку деталей (см. приложение №4). Предложить ди</w:t>
      </w:r>
      <w:r w:rsidRPr="00DB5D0D">
        <w:rPr>
          <w:color w:val="000000" w:themeColor="text1"/>
          <w:lang w:val="ru-RU"/>
        </w:rPr>
        <w:softHyphen/>
        <w:t>ректору завода им. Ильича в кратчайший срок усилить техническое руководство литейного цеха, подготовить квалифицированные кад</w:t>
      </w:r>
      <w:r w:rsidRPr="00DB5D0D">
        <w:rPr>
          <w:color w:val="000000" w:themeColor="text1"/>
          <w:lang w:val="ru-RU"/>
        </w:rPr>
        <w:softHyphen/>
        <w:t>ры литейщиков и с самого начала производства установить жест</w:t>
      </w:r>
      <w:r w:rsidRPr="00DB5D0D">
        <w:rPr>
          <w:color w:val="000000" w:themeColor="text1"/>
          <w:lang w:val="ru-RU"/>
        </w:rPr>
        <w:softHyphen/>
        <w:t>кие требования по точному соблюдению технологических инструк</w:t>
      </w:r>
      <w:r w:rsidRPr="00DB5D0D">
        <w:rPr>
          <w:color w:val="000000" w:themeColor="text1"/>
          <w:lang w:val="ru-RU"/>
        </w:rPr>
        <w:softHyphen/>
        <w:t>ций и особой тщательности в работе. В соответствии с этим пост</w:t>
      </w:r>
      <w:r w:rsidRPr="00DB5D0D">
        <w:rPr>
          <w:color w:val="000000" w:themeColor="text1"/>
          <w:lang w:val="ru-RU"/>
        </w:rPr>
        <w:softHyphen/>
        <w:t>роить систему заработной платы и материальных поощрений.</w:t>
      </w:r>
    </w:p>
    <w:p w14:paraId="4FB3DD79" w14:textId="77777777" w:rsidR="003C7E8B" w:rsidRPr="00DB5D0D" w:rsidRDefault="003C7E8B" w:rsidP="00DB5D0D">
      <w:pPr>
        <w:pStyle w:val="a3"/>
        <w:tabs>
          <w:tab w:val="left" w:pos="695"/>
        </w:tabs>
        <w:rPr>
          <w:color w:val="000000" w:themeColor="text1"/>
          <w:lang w:val="ru-RU"/>
        </w:rPr>
      </w:pPr>
      <w:r w:rsidRPr="00DB5D0D">
        <w:rPr>
          <w:color w:val="000000" w:themeColor="text1"/>
          <w:lang w:val="ru-RU"/>
        </w:rPr>
        <w:t>5. Утвердить прилагаемые технические условия на серийное про</w:t>
      </w:r>
      <w:r w:rsidRPr="00DB5D0D">
        <w:rPr>
          <w:color w:val="000000" w:themeColor="text1"/>
          <w:lang w:val="ru-RU"/>
        </w:rPr>
        <w:softHyphen/>
        <w:t>изводство 1940 года (см. приложения №№5, 6 и 7).</w:t>
      </w:r>
    </w:p>
    <w:p w14:paraId="42443A9B" w14:textId="77777777" w:rsidR="003C7E8B" w:rsidRPr="00DB5D0D" w:rsidRDefault="003C7E8B" w:rsidP="00DB5D0D">
      <w:pPr>
        <w:pStyle w:val="a3"/>
        <w:tabs>
          <w:tab w:val="left" w:pos="731"/>
        </w:tabs>
        <w:rPr>
          <w:color w:val="000000" w:themeColor="text1"/>
          <w:lang w:val="ru-RU"/>
        </w:rPr>
      </w:pPr>
      <w:r w:rsidRPr="00DB5D0D">
        <w:rPr>
          <w:color w:val="000000" w:themeColor="text1"/>
          <w:lang w:val="ru-RU"/>
        </w:rPr>
        <w:t>6. Рекомендовать для литых танковых конструкций при анало</w:t>
      </w:r>
      <w:r w:rsidRPr="00DB5D0D">
        <w:rPr>
          <w:color w:val="000000" w:themeColor="text1"/>
          <w:lang w:val="ru-RU"/>
        </w:rPr>
        <w:softHyphen/>
        <w:t>гичной толщине брони, применение брони высокой твердости из стали марки «МЗ-2».</w:t>
      </w:r>
    </w:p>
    <w:p w14:paraId="4E89295E" w14:textId="77777777" w:rsidR="003C7E8B" w:rsidRPr="00DB5D0D" w:rsidRDefault="003C7E8B" w:rsidP="00DB5D0D">
      <w:pPr>
        <w:pStyle w:val="a3"/>
        <w:tabs>
          <w:tab w:val="left" w:pos="717"/>
        </w:tabs>
        <w:rPr>
          <w:color w:val="000000" w:themeColor="text1"/>
          <w:lang w:val="ru-RU"/>
        </w:rPr>
      </w:pPr>
      <w:r w:rsidRPr="00DB5D0D">
        <w:rPr>
          <w:color w:val="000000" w:themeColor="text1"/>
          <w:lang w:val="ru-RU"/>
        </w:rPr>
        <w:t>7. Поручить НИИ-48 совместно с Ижорским заводом в кратчай</w:t>
      </w:r>
      <w:r w:rsidRPr="00DB5D0D">
        <w:rPr>
          <w:color w:val="000000" w:themeColor="text1"/>
          <w:lang w:val="ru-RU"/>
        </w:rPr>
        <w:softHyphen/>
        <w:t>ший срок изготовить опытные литые конструкции для танков «КВ», установив необходимую толщину и уточнив для этих толщин хим</w:t>
      </w:r>
      <w:r w:rsidRPr="00DB5D0D">
        <w:rPr>
          <w:color w:val="000000" w:themeColor="text1"/>
          <w:lang w:val="ru-RU"/>
        </w:rPr>
        <w:softHyphen/>
        <w:t>состав стали и технологию производства.</w:t>
      </w:r>
    </w:p>
    <w:p w14:paraId="7F04EBE9" w14:textId="77777777" w:rsidR="003C7E8B" w:rsidRPr="00DB5D0D" w:rsidRDefault="003C7E8B" w:rsidP="00DB5D0D">
      <w:pPr>
        <w:pStyle w:val="a3"/>
        <w:tabs>
          <w:tab w:val="left" w:pos="717"/>
        </w:tabs>
        <w:rPr>
          <w:color w:val="000000" w:themeColor="text1"/>
          <w:lang w:val="ru-RU"/>
        </w:rPr>
      </w:pPr>
      <w:r w:rsidRPr="00DB5D0D">
        <w:rPr>
          <w:color w:val="000000" w:themeColor="text1"/>
          <w:lang w:val="ru-RU"/>
        </w:rPr>
        <w:t>8. Предложить директору Завода им. Ильича совместно с бри</w:t>
      </w:r>
      <w:r w:rsidRPr="00DB5D0D">
        <w:rPr>
          <w:color w:val="000000" w:themeColor="text1"/>
          <w:lang w:val="ru-RU"/>
        </w:rPr>
        <w:softHyphen/>
        <w:t>гадой НИИ-48 к 15-му августа 1940 г. закончить опытные работы по укрупнению детали носа и по узлу заднего моста. Вопрос о по</w:t>
      </w:r>
      <w:r w:rsidRPr="00DB5D0D">
        <w:rPr>
          <w:color w:val="000000" w:themeColor="text1"/>
          <w:lang w:val="ru-RU"/>
        </w:rPr>
        <w:softHyphen/>
        <w:t>иске базы для серийного производства этих деталей поручить 7-му Гп. Управлению НКСП.</w:t>
      </w:r>
    </w:p>
    <w:p w14:paraId="7ADB5801" w14:textId="77777777" w:rsidR="003C7E8B" w:rsidRPr="00DB5D0D" w:rsidRDefault="003C7E8B" w:rsidP="00DB5D0D">
      <w:pPr>
        <w:pStyle w:val="a3"/>
        <w:tabs>
          <w:tab w:val="left" w:pos="760"/>
        </w:tabs>
        <w:rPr>
          <w:color w:val="000000" w:themeColor="text1"/>
          <w:lang w:val="ru-RU"/>
        </w:rPr>
      </w:pPr>
      <w:r w:rsidRPr="00DB5D0D">
        <w:rPr>
          <w:color w:val="000000" w:themeColor="text1"/>
          <w:lang w:val="ru-RU"/>
        </w:rPr>
        <w:t>9. Внести в правительственные инстанции прилагаемый про</w:t>
      </w:r>
      <w:r w:rsidRPr="00DB5D0D">
        <w:rPr>
          <w:color w:val="000000" w:themeColor="text1"/>
          <w:lang w:val="ru-RU"/>
        </w:rPr>
        <w:softHyphen/>
        <w:t>ект решения о внедрении в производство литых танковых конст</w:t>
      </w:r>
      <w:r w:rsidRPr="00DB5D0D">
        <w:rPr>
          <w:color w:val="000000" w:themeColor="text1"/>
          <w:lang w:val="ru-RU"/>
        </w:rPr>
        <w:softHyphen/>
        <w:t>рукций (см. приложение №8).</w:t>
      </w:r>
      <w:r w:rsidRPr="00DB5D0D">
        <w:rPr>
          <w:rStyle w:val="115pt29115pt8109112SimHei2Arial12pt11ptMSMincho12pt"/>
          <w:rFonts w:ascii="Times New Roman" w:hAnsi="Times New Roman" w:cs="Times New Roman"/>
          <w:color w:val="000000" w:themeColor="text1"/>
          <w:spacing w:val="0"/>
          <w:sz w:val="16"/>
          <w:szCs w:val="16"/>
          <w:lang w:val="ru-RU"/>
        </w:rPr>
        <w:t xml:space="preserve"> [</w:t>
      </w:r>
      <w:r w:rsidRPr="00DB5D0D">
        <w:rPr>
          <w:color w:val="000000" w:themeColor="text1"/>
          <w:lang w:val="ru-RU"/>
        </w:rPr>
        <w:t>РГВА. Ф.31811. Оп.3. Д.2073. Л.6-8.</w:t>
      </w:r>
      <w:r w:rsidRPr="00DB5D0D">
        <w:rPr>
          <w:rStyle w:val="115pt29115pt8109112SimHei2Arial12pt11ptMSMincho12pt"/>
          <w:rFonts w:ascii="Times New Roman" w:hAnsi="Times New Roman" w:cs="Times New Roman"/>
          <w:color w:val="000000" w:themeColor="text1"/>
          <w:spacing w:val="0"/>
          <w:sz w:val="16"/>
          <w:szCs w:val="16"/>
          <w:lang w:val="ru-RU"/>
        </w:rPr>
        <w:t>]</w:t>
      </w:r>
    </w:p>
    <w:p w14:paraId="4BCC23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качестве приложения к данному акту в ГАБТУ был направлен проект решения о внедрении в производство литых конструкций, в котором комиссия обозначила мероприятия, необходимые для раз</w:t>
      </w:r>
      <w:r w:rsidRPr="00DB5D0D">
        <w:rPr>
          <w:rFonts w:ascii="Times New Roman" w:hAnsi="Times New Roman"/>
          <w:color w:val="000000" w:themeColor="text1"/>
          <w:sz w:val="16"/>
          <w:szCs w:val="16"/>
        </w:rPr>
        <w:softHyphen/>
        <w:t>вития литейного производства на Мариупольском заводе. Ниже при</w:t>
      </w:r>
      <w:r w:rsidRPr="00DB5D0D">
        <w:rPr>
          <w:rFonts w:ascii="Times New Roman" w:hAnsi="Times New Roman"/>
          <w:color w:val="000000" w:themeColor="text1"/>
          <w:sz w:val="16"/>
          <w:szCs w:val="16"/>
        </w:rPr>
        <w:softHyphen/>
        <w:t>ведем текст этого документа.</w:t>
      </w:r>
    </w:p>
    <w:p w14:paraId="7169EAA9" w14:textId="77777777" w:rsidR="003C7E8B" w:rsidRPr="00DB5D0D" w:rsidRDefault="003C7E8B" w:rsidP="00DB5D0D">
      <w:pPr>
        <w:pStyle w:val="a3"/>
        <w:rPr>
          <w:color w:val="000000" w:themeColor="text1"/>
          <w:lang w:val="ru-RU"/>
        </w:rPr>
      </w:pPr>
      <w:r w:rsidRPr="00DB5D0D">
        <w:rPr>
          <w:color w:val="000000" w:themeColor="text1"/>
          <w:lang w:val="ru-RU"/>
        </w:rPr>
        <w:t>ПРОЕКТ РЕШЕНИЯ О ВНЕДРЕНИИ В ПРОИЗВОДСТВО ЛИТЫХ БАШЕН И ДРУГИХ ТАНКОВЫХ КОНСТРУКЦИЙ.</w:t>
      </w:r>
    </w:p>
    <w:p w14:paraId="075C4B09" w14:textId="77777777" w:rsidR="003C7E8B" w:rsidRPr="00DB5D0D" w:rsidRDefault="003C7E8B" w:rsidP="00DB5D0D">
      <w:pPr>
        <w:pStyle w:val="a3"/>
        <w:tabs>
          <w:tab w:val="left" w:pos="753"/>
        </w:tabs>
        <w:rPr>
          <w:color w:val="000000" w:themeColor="text1"/>
          <w:lang w:val="ru-RU"/>
        </w:rPr>
      </w:pPr>
      <w:r w:rsidRPr="00DB5D0D">
        <w:rPr>
          <w:color w:val="000000" w:themeColor="text1"/>
          <w:lang w:val="ru-RU"/>
        </w:rPr>
        <w:t>1) В связи с успешным окончанием на Мариупольском заводе им. Ильича экспериментальных работ по литым броневым башням и другим узлам - принять для постановки на танк Т-34 литую баш</w:t>
      </w:r>
      <w:r w:rsidRPr="00DB5D0D">
        <w:rPr>
          <w:color w:val="000000" w:themeColor="text1"/>
          <w:lang w:val="ru-RU"/>
        </w:rPr>
        <w:softHyphen/>
        <w:t>ню и составной носовой узел из броневой стали «МЗ-2» («И-8С»).</w:t>
      </w:r>
    </w:p>
    <w:p w14:paraId="7AB752A3" w14:textId="77777777" w:rsidR="003C7E8B" w:rsidRPr="00DB5D0D" w:rsidRDefault="003C7E8B" w:rsidP="00DB5D0D">
      <w:pPr>
        <w:pStyle w:val="a3"/>
        <w:tabs>
          <w:tab w:val="left" w:pos="738"/>
        </w:tabs>
        <w:rPr>
          <w:color w:val="000000" w:themeColor="text1"/>
          <w:lang w:val="ru-RU"/>
        </w:rPr>
      </w:pPr>
      <w:r w:rsidRPr="00DB5D0D">
        <w:rPr>
          <w:color w:val="000000" w:themeColor="text1"/>
          <w:lang w:val="ru-RU"/>
        </w:rPr>
        <w:t>2) Наркомсудпрому немедленно развернуть производство ли</w:t>
      </w:r>
      <w:r w:rsidRPr="00DB5D0D">
        <w:rPr>
          <w:color w:val="000000" w:themeColor="text1"/>
          <w:lang w:val="ru-RU"/>
        </w:rPr>
        <w:softHyphen/>
        <w:t>тых башен и других узлов. С 1-го сентября 1940 г. обеспечить вы</w:t>
      </w:r>
      <w:r w:rsidRPr="00DB5D0D">
        <w:rPr>
          <w:color w:val="000000" w:themeColor="text1"/>
          <w:lang w:val="ru-RU"/>
        </w:rPr>
        <w:softHyphen/>
        <w:t>пуск литых башен на Мариупольском заводе им. Ильича в количе</w:t>
      </w:r>
      <w:r w:rsidRPr="00DB5D0D">
        <w:rPr>
          <w:color w:val="000000" w:themeColor="text1"/>
          <w:lang w:val="ru-RU"/>
        </w:rPr>
        <w:softHyphen/>
        <w:t>стве необходимом для выполнения программы 1940 г.</w:t>
      </w:r>
    </w:p>
    <w:p w14:paraId="65EA2429" w14:textId="77777777" w:rsidR="003C7E8B" w:rsidRPr="00DB5D0D" w:rsidRDefault="003C7E8B" w:rsidP="00DB5D0D">
      <w:pPr>
        <w:pStyle w:val="a3"/>
        <w:tabs>
          <w:tab w:val="left" w:pos="760"/>
        </w:tabs>
        <w:rPr>
          <w:color w:val="000000" w:themeColor="text1"/>
          <w:lang w:val="ru-RU"/>
        </w:rPr>
      </w:pPr>
      <w:r w:rsidRPr="00DB5D0D">
        <w:rPr>
          <w:color w:val="000000" w:themeColor="text1"/>
          <w:lang w:val="ru-RU"/>
        </w:rPr>
        <w:t xml:space="preserve">3) Наркомсудпрому в течение </w:t>
      </w:r>
      <w:r w:rsidRPr="00DB5D0D">
        <w:rPr>
          <w:color w:val="000000" w:themeColor="text1"/>
        </w:rPr>
        <w:t>Ill</w:t>
      </w:r>
      <w:r w:rsidRPr="00DB5D0D">
        <w:rPr>
          <w:color w:val="000000" w:themeColor="text1"/>
          <w:lang w:val="ru-RU"/>
        </w:rPr>
        <w:t>-го квартала 1940 г. провести реконструкцию литейного цеха Мариупольского завода им. Ильича и оснастить его необходимым оборудованием для обеспечения программы производства литых башен, а к концу 1-го полугодия 1941 г. построить новый литейный цех для обеспечения програм</w:t>
      </w:r>
      <w:r w:rsidRPr="00DB5D0D">
        <w:rPr>
          <w:color w:val="000000" w:themeColor="text1"/>
          <w:lang w:val="ru-RU"/>
        </w:rPr>
        <w:softHyphen/>
        <w:t>мы броневого литья последующих годов.</w:t>
      </w:r>
    </w:p>
    <w:p w14:paraId="627A16EE" w14:textId="77777777" w:rsidR="003C7E8B" w:rsidRPr="00DB5D0D" w:rsidRDefault="003C7E8B" w:rsidP="00DB5D0D">
      <w:pPr>
        <w:pStyle w:val="a3"/>
        <w:rPr>
          <w:color w:val="000000" w:themeColor="text1"/>
          <w:lang w:val="ru-RU"/>
        </w:rPr>
      </w:pPr>
      <w:r w:rsidRPr="00DB5D0D">
        <w:rPr>
          <w:color w:val="000000" w:themeColor="text1"/>
          <w:lang w:val="ru-RU"/>
        </w:rPr>
        <w:t>Гэсплану СССР выделить заводу им. Ильича необходимые фон</w:t>
      </w:r>
      <w:r w:rsidRPr="00DB5D0D">
        <w:rPr>
          <w:color w:val="000000" w:themeColor="text1"/>
          <w:lang w:val="ru-RU"/>
        </w:rPr>
        <w:softHyphen/>
        <w:t>ды оборудования для литейных и механических цехов. Ассигновать для указанных в п. 3 целей 15 миллионов рублей.</w:t>
      </w:r>
    </w:p>
    <w:p w14:paraId="00CE80BB" w14:textId="77777777" w:rsidR="003C7E8B" w:rsidRPr="00DB5D0D" w:rsidRDefault="003C7E8B" w:rsidP="00DB5D0D">
      <w:pPr>
        <w:pStyle w:val="a3"/>
        <w:tabs>
          <w:tab w:val="left" w:pos="738"/>
        </w:tabs>
        <w:rPr>
          <w:color w:val="000000" w:themeColor="text1"/>
          <w:lang w:val="ru-RU"/>
        </w:rPr>
      </w:pPr>
      <w:r w:rsidRPr="00DB5D0D">
        <w:rPr>
          <w:color w:val="000000" w:themeColor="text1"/>
          <w:lang w:val="ru-RU"/>
        </w:rPr>
        <w:t>4) Наркомсудпрому направить на завод им. Ильича 15 специа</w:t>
      </w:r>
      <w:r w:rsidRPr="00DB5D0D">
        <w:rPr>
          <w:color w:val="000000" w:themeColor="text1"/>
          <w:lang w:val="ru-RU"/>
        </w:rPr>
        <w:softHyphen/>
        <w:t>листов по стальному литью и электрометаллургии из числа окон</w:t>
      </w:r>
      <w:r w:rsidRPr="00DB5D0D">
        <w:rPr>
          <w:color w:val="000000" w:themeColor="text1"/>
          <w:lang w:val="ru-RU"/>
        </w:rPr>
        <w:softHyphen/>
        <w:t>чивших институты и техникумы.</w:t>
      </w:r>
    </w:p>
    <w:p w14:paraId="0D2D385D" w14:textId="77777777" w:rsidR="003C7E8B" w:rsidRPr="00DB5D0D" w:rsidRDefault="003C7E8B" w:rsidP="00DB5D0D">
      <w:pPr>
        <w:pStyle w:val="a3"/>
        <w:tabs>
          <w:tab w:val="left" w:pos="738"/>
        </w:tabs>
        <w:rPr>
          <w:color w:val="000000" w:themeColor="text1"/>
          <w:lang w:val="ru-RU"/>
        </w:rPr>
      </w:pPr>
      <w:r w:rsidRPr="00DB5D0D">
        <w:rPr>
          <w:color w:val="000000" w:themeColor="text1"/>
          <w:lang w:val="ru-RU"/>
        </w:rPr>
        <w:t>5) Наркомсудпрому и Наркомчермету до 15-го августа 1940 г. наметить заводы для создания на них кооперированного произ</w:t>
      </w:r>
      <w:r w:rsidRPr="00DB5D0D">
        <w:rPr>
          <w:color w:val="000000" w:themeColor="text1"/>
          <w:lang w:val="ru-RU"/>
        </w:rPr>
        <w:softHyphen/>
        <w:t>водства броневого литья.</w:t>
      </w:r>
    </w:p>
    <w:p w14:paraId="1AD804A1" w14:textId="77777777" w:rsidR="003C7E8B" w:rsidRPr="00DB5D0D" w:rsidRDefault="003C7E8B" w:rsidP="00DB5D0D">
      <w:pPr>
        <w:pStyle w:val="a3"/>
        <w:tabs>
          <w:tab w:val="left" w:pos="726"/>
        </w:tabs>
        <w:rPr>
          <w:color w:val="000000" w:themeColor="text1"/>
          <w:lang w:val="ru-RU"/>
        </w:rPr>
      </w:pPr>
      <w:r w:rsidRPr="00DB5D0D">
        <w:rPr>
          <w:color w:val="000000" w:themeColor="text1"/>
          <w:lang w:val="ru-RU"/>
        </w:rPr>
        <w:t>6) Наркомсудпрому в кратчайший срок обеспечить проведение дальнейших экспериментальных работ по применению броневого литья на других узлах танков. Форсировать окончание работ по ли</w:t>
      </w:r>
      <w:r w:rsidRPr="00DB5D0D">
        <w:rPr>
          <w:color w:val="000000" w:themeColor="text1"/>
          <w:lang w:val="ru-RU"/>
        </w:rPr>
        <w:softHyphen/>
        <w:t>тым башням для танка «КВ».</w:t>
      </w:r>
    </w:p>
    <w:p w14:paraId="6C366658" w14:textId="77777777" w:rsidR="003C7E8B" w:rsidRPr="00DB5D0D" w:rsidRDefault="003C7E8B" w:rsidP="00DB5D0D">
      <w:pPr>
        <w:pStyle w:val="a3"/>
        <w:tabs>
          <w:tab w:val="left" w:pos="718"/>
        </w:tabs>
        <w:rPr>
          <w:color w:val="000000" w:themeColor="text1"/>
          <w:lang w:val="ru-RU"/>
        </w:rPr>
      </w:pPr>
      <w:r w:rsidRPr="00DB5D0D">
        <w:rPr>
          <w:color w:val="000000" w:themeColor="text1"/>
          <w:lang w:val="ru-RU"/>
        </w:rPr>
        <w:t>7) Академии Наук разработать методику и приборы для де- фектировки броневого литья в цеховых условиях валового про</w:t>
      </w:r>
      <w:r w:rsidRPr="00DB5D0D">
        <w:rPr>
          <w:color w:val="000000" w:themeColor="text1"/>
          <w:lang w:val="ru-RU"/>
        </w:rPr>
        <w:softHyphen/>
        <w:t>изводства.</w:t>
      </w:r>
      <w:r w:rsidRPr="00DB5D0D">
        <w:rPr>
          <w:rStyle w:val="115pt29115pt8109112SimHei2Arial12pt11ptMSMincho12pt"/>
          <w:rFonts w:ascii="Times New Roman" w:hAnsi="Times New Roman" w:cs="Times New Roman"/>
          <w:color w:val="000000" w:themeColor="text1"/>
          <w:spacing w:val="0"/>
          <w:sz w:val="16"/>
          <w:szCs w:val="16"/>
          <w:lang w:val="ru-RU"/>
        </w:rPr>
        <w:t>[</w:t>
      </w:r>
      <w:r w:rsidRPr="00DB5D0D">
        <w:rPr>
          <w:color w:val="000000" w:themeColor="text1"/>
          <w:lang w:val="ru-RU"/>
        </w:rPr>
        <w:t>РГВА. Ф.31811. Оп.3. Д.2073. Л.40.</w:t>
      </w:r>
      <w:r w:rsidRPr="00DB5D0D">
        <w:rPr>
          <w:rStyle w:val="115pt29115pt8109112SimHei2Arial12pt11ptMSMincho12pt"/>
          <w:rFonts w:ascii="Times New Roman" w:hAnsi="Times New Roman" w:cs="Times New Roman"/>
          <w:color w:val="000000" w:themeColor="text1"/>
          <w:spacing w:val="0"/>
          <w:sz w:val="16"/>
          <w:szCs w:val="16"/>
          <w:lang w:val="ru-RU"/>
        </w:rPr>
        <w:t>] ((11939).</w:t>
      </w:r>
    </w:p>
    <w:p w14:paraId="7E013BF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0662383" w14:textId="77777777" w:rsidR="00837089" w:rsidRPr="00DB5D0D" w:rsidRDefault="0083708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середине июля 1940 г. специалистами Мариупольского завода, 3-го ГУ НКСП и 8-го отдела БТУ ГАБТУ КА (26 июня 1940 г. АБТУ РККА приказом НКО № 0128 было реорганизовано в ГАБТУ КА) был составлен и отправлен на утверждение начальнику ГАБТУ КА проект </w:t>
      </w:r>
      <w:hyperlink r:id="rId198" w:tgtFrame="_blank" w:history="1">
        <w:r w:rsidRPr="00DB5D0D">
          <w:rPr>
            <w:rFonts w:ascii="Times New Roman" w:eastAsia="Times New Roman" w:hAnsi="Times New Roman"/>
            <w:color w:val="000000" w:themeColor="text1"/>
            <w:sz w:val="16"/>
            <w:szCs w:val="16"/>
            <w:lang w:eastAsia="ru-RU"/>
          </w:rPr>
          <w:t xml:space="preserve">«технических условий на приемку танковой брони </w:t>
        </w:r>
        <w:r w:rsidRPr="00DB5D0D">
          <w:rPr>
            <w:rFonts w:ascii="Times New Roman" w:eastAsia="Times New Roman" w:hAnsi="Times New Roman"/>
            <w:color w:val="000000" w:themeColor="text1"/>
            <w:sz w:val="16"/>
            <w:szCs w:val="16"/>
            <w:lang w:eastAsia="ru-RU"/>
          </w:rPr>
          <w:lastRenderedPageBreak/>
          <w:t>толщиной от 25 до 50 мм из стали марки И-8С (МЗ-2) для машины Т-34 на 1940 год»</w:t>
        </w:r>
      </w:hyperlink>
      <w:r w:rsidRPr="00DB5D0D">
        <w:rPr>
          <w:rFonts w:ascii="Times New Roman" w:eastAsia="Times New Roman" w:hAnsi="Times New Roman"/>
          <w:color w:val="000000" w:themeColor="text1"/>
          <w:sz w:val="16"/>
          <w:szCs w:val="16"/>
          <w:lang w:eastAsia="ru-RU"/>
        </w:rPr>
        <w:t xml:space="preserve">. Этим документом регламентировались свойства и качества брони, из которой изготавливались броневые детали танка Т-34, а также процесс их испытаний и приемки. Представленные технические условия после согласования, 30 июля 1940 г. были утверждены начальником БТУ ГАБТУ КА военинженером 1 ранга Б.М. Коробковым и в тот же день отправлены военным представителям ГАБТУ КА на броневых заводах, задействованных в производстве брони из стали марки «И-8С». Фактически с этого момента и вплоть до начала Великой Отечественной войны изготовление и приемка броневых деталей танка Т-34 производилась в соответствии с этим документом. </w:t>
      </w:r>
    </w:p>
    <w:p w14:paraId="396D15A8" w14:textId="77777777" w:rsidR="00837089" w:rsidRPr="00DB5D0D" w:rsidRDefault="0083708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Всего в 1940 г. на Мариупольском заводе для обеспечения изготовления броневых деталей толщиной 25, 40 и 45 мм провели 529 плавок, в ходе которых было получено 40711 тонн броневой стали марки «8С». Необходимо отметить, что во второй половине 1940 г. наименование марки стали «И-8С» в связи с принятием ее на валовое производство было изменено, сталь была выведена из разряда экспериментальных и индекс «И» из ее наименования убран. </w:t>
      </w:r>
    </w:p>
    <w:p w14:paraId="28E4A94C" w14:textId="77777777" w:rsidR="00837089" w:rsidRPr="00DB5D0D" w:rsidRDefault="0083708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Однако полностью освоить технологию валового выпуска стали марки «8С», постоянно обеспечивавшую получение брони высокого качества, в 1940 г. металлургам не удалось, показатели брака на протяжении года были не стабильными. Из отчета о работе Мариупольского завода за 1940 г., составленного военинженером 2 ранга Г.Э. Зухером: </w:t>
      </w:r>
    </w:p>
    <w:p w14:paraId="673F8539" w14:textId="77777777" w:rsidR="00837089" w:rsidRPr="00DB5D0D" w:rsidRDefault="00837089"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«Сталь 8с начата освоением в валовом производстве с апреля 1940 г., за это время имели место несколько периодов, давшие значительные срывы по качеству, и показавшие совершенно недостаточное еще освоение этой марки стали. </w:t>
      </w:r>
    </w:p>
    <w:p w14:paraId="0AE6D9E4" w14:textId="77777777" w:rsidR="00837089" w:rsidRPr="00DB5D0D" w:rsidRDefault="00837089"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1. В начале производства (I и II квартал) весьма велик был брак по броне толщиной 40 мм. (1 кв. – 26 %, II кв. – 13,9 %). В этот период времени на плитах 40 мм получались в больших количествах отколы диаметром свыше 4-х калибров. В последующем это было изжито, и брак по толщине 40 мм держался все время ниже, чем по 45 мм. </w:t>
      </w:r>
    </w:p>
    <w:p w14:paraId="5541AECF" w14:textId="77777777" w:rsidR="00837089" w:rsidRPr="00DB5D0D" w:rsidRDefault="00837089"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2. В сентябре – октябре мы имели весьма большой брак по отколам (сентябрь – 19,5 %) при значительном ухудшении вида излома. Нами было отмечено, что основной причиной такого высокого % брака является наличие флокенов </w:t>
      </w:r>
      <w:r w:rsidRPr="00DB5D0D">
        <w:rPr>
          <w:rFonts w:ascii="Times New Roman" w:eastAsia="Times New Roman" w:hAnsi="Times New Roman"/>
          <w:bCs/>
          <w:iCs/>
          <w:color w:val="000000" w:themeColor="text1"/>
          <w:sz w:val="16"/>
          <w:szCs w:val="16"/>
          <w:vertAlign w:val="superscript"/>
          <w:lang w:eastAsia="ru-RU"/>
        </w:rPr>
        <w:t>5)</w:t>
      </w:r>
      <w:r w:rsidRPr="00DB5D0D">
        <w:rPr>
          <w:rFonts w:ascii="Times New Roman" w:eastAsia="Times New Roman" w:hAnsi="Times New Roman"/>
          <w:iCs/>
          <w:color w:val="000000" w:themeColor="text1"/>
          <w:sz w:val="16"/>
          <w:szCs w:val="16"/>
          <w:lang w:eastAsia="ru-RU"/>
        </w:rPr>
        <w:t xml:space="preserve"> в стали. После этого был введен строгий режим замедленного охлаждения слитков и листов и флокены были изжиты, а брак резко снизился (Ноябрь 7,7 %). Таким образом, были уточнены некоторые моменты по выплавке, прокатке и охлаждению стали 8с. </w:t>
      </w:r>
    </w:p>
    <w:p w14:paraId="53DC10C4" w14:textId="77777777" w:rsidR="00837089" w:rsidRPr="00DB5D0D" w:rsidRDefault="00837089"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3. Во II декаде декабря, с целью повышения выпуска, после соответствующих опытных работ, была введена одинарная обработка на детали 8с. Это первоначально дало значительное повышение брака по поломке деталей при правке, т.к. детали после отжига, без предварительного улучшения имели кристаллический излом. Выход был найден за счет подогрева деталей до температуры 150 – 200° и правки в подогретом состоянии. Но одновременно с этим, вследствие недостаточно правильно откорректированной температуры для одинарной закалки деталей (температура была недостаточно повышена) получился снова повышенный брак по отколам при испытаниях, но на этот раз уже не за счет флокенов (это было совершенно изжито), а за счет недостаточной термической обработки. В III декаде декабря скачек по браку при снарядных испытаниях довел брак до 11 %. В отдельные дни брак доходил до 50 – 70 %. Сильно сказалось на повышении брака также переход с закалки в воду на закалку в масло. Этот переход был вызван тем, что при закладке деталей больших габаритов, изменялись геометрические размеры, не укладываясь в чертежные допуска. Пришлось отказаться временно от закалки в воду и заняться исследованиями, чтобы установить пределы, в которых происходят эти изменения размеров. </w:t>
      </w:r>
    </w:p>
    <w:p w14:paraId="3C7C19AD" w14:textId="77777777" w:rsidR="00837089" w:rsidRPr="00DB5D0D" w:rsidRDefault="00837089"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В качестве меры борьбы с отколами в III-й декаде декабря было применено повышение температуры нагрева под закалку в целях устранения неравномерности структуры. Вместо ранее применявшихся температур 840° – 860° были применены температуры 880° – 920 °С, что дало некоторое улучшение. С начала Января брак снизился и держался на уровне 5 – 6 %. Таким образом, был уточнен режим термической обработки стали 8с. </w:t>
      </w:r>
    </w:p>
    <w:p w14:paraId="7FF1DFF4" w14:textId="77777777" w:rsidR="00837089" w:rsidRPr="00DB5D0D" w:rsidRDefault="00837089"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4. Однако следует отметить все же, что за последнее время, вследствие не исследованных еще причин, имеется безусловное ухудшение видов излома, что и послужило, по-видимому, также причиной к ухудшению видов поражения. </w:t>
      </w:r>
    </w:p>
    <w:p w14:paraId="7D29993C" w14:textId="77777777" w:rsidR="00837089" w:rsidRPr="00DB5D0D" w:rsidRDefault="00837089"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&lt;…&gt;</w:t>
      </w:r>
    </w:p>
    <w:p w14:paraId="3FE88DE8" w14:textId="77777777" w:rsidR="00837089" w:rsidRPr="00DB5D0D" w:rsidRDefault="0083708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Все эти обстоятельства, рассмотренные в настоящем разделе, говорят о том, что первый год освоения в валовом производстве новой марки танковой брони – привел к уточнению ряда технологических вопросов, но еще нельзя считать марку полностью освоенной»</w:t>
      </w:r>
      <w:r w:rsidRPr="00DB5D0D">
        <w:rPr>
          <w:rFonts w:ascii="Times New Roman" w:eastAsia="Times New Roman" w:hAnsi="Times New Roman"/>
          <w:color w:val="000000" w:themeColor="text1"/>
          <w:sz w:val="16"/>
          <w:szCs w:val="16"/>
          <w:lang w:eastAsia="ru-RU"/>
        </w:rPr>
        <w:t xml:space="preserve">. </w:t>
      </w:r>
    </w:p>
    <w:p w14:paraId="5798C18A" w14:textId="77777777" w:rsidR="00837089" w:rsidRPr="00DB5D0D" w:rsidRDefault="0083708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[РГВА. Ф. 31811. Оп. 2. Д. 1196. Л. 9 – 10]</w:t>
      </w:r>
    </w:p>
    <w:p w14:paraId="1A45B72F" w14:textId="77777777" w:rsidR="00837089" w:rsidRPr="00DB5D0D" w:rsidRDefault="00837089"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«Сталь 8с начата освоением в валовом производстве с апреля 1940 г., за это время имели место несколько периодов, давшие значительные срывы по качеству, и показавшие совершенно недостаточное еще освоение этой марки стали. </w:t>
      </w:r>
    </w:p>
    <w:p w14:paraId="7F9136B3" w14:textId="77777777" w:rsidR="00837089" w:rsidRPr="00DB5D0D" w:rsidRDefault="00837089" w:rsidP="00DB5D0D">
      <w:pPr>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iCs/>
          <w:color w:val="000000" w:themeColor="text1"/>
          <w:sz w:val="16"/>
          <w:szCs w:val="16"/>
          <w:lang w:eastAsia="ru-RU"/>
        </w:rPr>
        <w:t xml:space="preserve">1. В начале производства (I и II квартал) весьма велик был брак по броне толщиной 40 мм. (1 кв. – 26 %, II кв. – 13,9 %). В этот период времени на плитах 40 мм получались в больших количествах отколы диаметром свыше 4-х калибров. В последующем это было изжито, и брак по толщине 40 мм держался все время ниже, чем по 45 мм. </w:t>
      </w:r>
    </w:p>
    <w:p w14:paraId="00EC6CD0" w14:textId="77777777" w:rsidR="00837089" w:rsidRPr="00DB5D0D" w:rsidRDefault="0083708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Но несмотря на значительный процент брака в 1940 г., противоснарядная стойкость у подавляющего большинства контрольных плит из катанной брони валового производства оказалась выше требований, указанных в технических условиях (минимальные требования противоснарядной стойкости для 40-мм броневых плит из стали марки «8С» составляли по ПТП – 645 м/с и ПСП – 665 м/с, а для 45-мм броневых плит ПТП – 700 м/с и ПСП – 720 м/с). У 71,5 % испытанных плит толщиной 40 мм при обстреле по нормали тупоголовыми бронебойными снарядами калибра 45 мм противоснарядная стойкость оказалась выше требуемой. Схожие результаты были получены и при испытании контрольных плит толщиной 45 мм.</w:t>
      </w:r>
    </w:p>
    <w:p w14:paraId="09171DBD" w14:textId="77777777" w:rsidR="00837089" w:rsidRPr="00DB5D0D" w:rsidRDefault="00837089"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Кроме этого в 1940 г. специалистами Мариупольского завода и НИИ-48 была разработана принципиально новая для отечественного танкостроения технология изготовления броневых деталей сложной формы путём их отливки из стали марки «8С». Таким образом, проведенная в 1940 г. научно-исследовательская работа по разработке нового типа брони (гомогенной высокой твердости) на основе новой стали марки «8С», разрешила целый комплекс вопросов в танкостроении, обеспечив значительное увеличение выплавки высококачественной броневой стали для средних танков Т-34 (17629). </w:t>
      </w:r>
    </w:p>
    <w:p w14:paraId="56DC9BA6" w14:textId="77777777" w:rsidR="00837089" w:rsidRPr="00DB5D0D" w:rsidRDefault="00837089" w:rsidP="00DB5D0D">
      <w:pPr>
        <w:spacing w:after="0" w:line="240" w:lineRule="auto"/>
        <w:jc w:val="both"/>
        <w:rPr>
          <w:rFonts w:ascii="Times New Roman" w:eastAsia="Times New Roman" w:hAnsi="Times New Roman"/>
          <w:color w:val="000000" w:themeColor="text1"/>
          <w:sz w:val="16"/>
          <w:szCs w:val="16"/>
          <w:lang w:eastAsia="ru-RU"/>
        </w:rPr>
      </w:pPr>
    </w:p>
    <w:p w14:paraId="684C194A"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июля 1940 г. особого прогресса в деле подготовки производства к серийному выпуску танка Т-34 коллективом завода № 183 достигнуто не было. Однако некоторых успехов за это время добились строители. Благодаря усилиям треста № 26 Главцентростроя, осуществлявшего работы по строительству и реконструкции цехов завода № 183, был выполнен большой объем строительно-монтажных работ в корпусном отделе «700», что позволило к 15 июля 1940 г. ввести в эксплуатацию первый стенд для сварки корпусов танка Т-34 и приступить к монтажу еще пяти стендов. В танковом отделе «100» была освобождена от сборки лёгких колёсно-гусеничных танков БТ-7М половина сборочного цеха «130» для реконструкции его под конвейерную сборку танков Т-34. К 20 июля 1940 г. в отделе «700» был введен в эксплуатацию второй стенд для сварки корпусов танка Т-34, а в отделе «100» начаты работы по реконструкции сборочного цеха «130» – усиление подкрановых путей и постройка второй линии конвейера для сборки танков Т-34 (18148). </w:t>
      </w:r>
    </w:p>
    <w:p w14:paraId="4A731648" w14:textId="77777777" w:rsidR="00123DE0" w:rsidRPr="00DB5D0D" w:rsidRDefault="00123DE0" w:rsidP="00DB5D0D">
      <w:pPr>
        <w:spacing w:after="0" w:line="240" w:lineRule="auto"/>
        <w:jc w:val="both"/>
        <w:rPr>
          <w:rFonts w:ascii="Times New Roman" w:hAnsi="Times New Roman"/>
          <w:color w:val="000000" w:themeColor="text1"/>
          <w:sz w:val="16"/>
          <w:szCs w:val="16"/>
        </w:rPr>
      </w:pPr>
    </w:p>
    <w:p w14:paraId="3C2A9F4C"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июля 1940 г. специалистами ГАБТУ КА и ГАУ КА была совместно разработана расширенная программа полигонных испытаний танка Т-34 с пушкой Л-11, ставившая перед испытателями следующие цели:</w:t>
      </w:r>
    </w:p>
    <w:p w14:paraId="4A2E09F7"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Проверить прочность крепления артиллерийской системы в башне танка.</w:t>
      </w:r>
    </w:p>
    <w:p w14:paraId="63411D06"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Отстрел углов вылета.</w:t>
      </w:r>
    </w:p>
    <w:p w14:paraId="54035648"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Установить надежность защиты артсистемы и смотровых приборов путем обстрела башни танка бронебойными пулями, бронебойными и осколочно-фугасными снарядами калибра 37, 45 и 76 мм.</w:t>
      </w:r>
    </w:p>
    <w:p w14:paraId="1F11DF9A"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Проверить вентиляцию танка при стрельбе.</w:t>
      </w:r>
    </w:p>
    <w:p w14:paraId="0BBBC973"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Установить удобство обслуживания и эксплоатации артсистемы в боевых условиях, а также монтажа и демонтажа в войсках.</w:t>
      </w:r>
    </w:p>
    <w:p w14:paraId="3E2C0496"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Определение мертвых пространств.</w:t>
      </w:r>
    </w:p>
    <w:p w14:paraId="39B8D718"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Определение меткости стрельбы».</w:t>
      </w:r>
    </w:p>
    <w:p w14:paraId="03207D14"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31811. Оп. 2. Д. 1053. Л. 136 – 137] (19575).</w:t>
      </w:r>
    </w:p>
    <w:p w14:paraId="106B1513" w14:textId="77777777" w:rsidR="00123DE0" w:rsidRPr="00DB5D0D" w:rsidRDefault="00123DE0" w:rsidP="00DB5D0D">
      <w:pPr>
        <w:spacing w:after="0" w:line="240" w:lineRule="auto"/>
        <w:jc w:val="both"/>
        <w:rPr>
          <w:rFonts w:ascii="Times New Roman" w:hAnsi="Times New Roman"/>
          <w:color w:val="000000" w:themeColor="text1"/>
          <w:sz w:val="16"/>
          <w:szCs w:val="16"/>
        </w:rPr>
      </w:pPr>
    </w:p>
    <w:p w14:paraId="7714453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FAFE1C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975CC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Директор завода 156 Ленкин и ГК Кочеригин писали письмо N 1698с А.И.Ш. (копия А.С.Я.).</w:t>
      </w:r>
    </w:p>
    <w:p w14:paraId="373863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"Приступив по Вашему заданию 15 марта с.г. к эскизному проектированию самолета ОПБ (одноместного пикирующего бомбардировщика) с М-90 конструкции и С.А.К., КО N 17 завода 156 11 июля с.г. на 5 дней раньше установленного срока закончил сдачу в производство рабочих чертежей для постройки 3-х экз. самолета ОПБ (из них один для стат. испытаний). Таким образом первый этап работы закончен.</w:t>
      </w:r>
    </w:p>
    <w:p w14:paraId="094581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Докладывая об этом, а также и об утверждении Нач. ВВС гла т. Смушкевичем макета и его пожелании об ускорении постройки этого самолета, просим Вашего содействия в ускорении утверждения и включения в план опытного строительства на 1940 постройки 3-х экз. ОПБ.</w:t>
      </w:r>
    </w:p>
    <w:p w14:paraId="4A86A6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Конструкторский коллектив КО 17, готовый к выполнению заданию по проектированию новых типов самолетов для укрепления обороноспособности нашей родины, считает своей первоочередной задачей на 2 полугодие 1940 выполнение Вашего указания о выпуске рабочих чертежей ОПБ под мотор М-81 и М-71, о чем просим дать указание 7 ГУ.</w:t>
      </w:r>
    </w:p>
    <w:p w14:paraId="2AA5DF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Акт о готовности чертежей. (2062,72).</w:t>
      </w:r>
    </w:p>
    <w:p w14:paraId="3872F5A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D4668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16 июля 1940 с л В.Т.Сахрановым произошла еще одна авария, серьезно задержала испытания ШБ. Поломки продолжали преследовать машину, и в конце осени 1940 г. Сухой получил указание Шахурина использовать ШБ для отработки температурных режимов М-88. После появления «настоящих» штурмовиков Ил-2 и Су-6 машину посчитали неперспективной. Все работы по ШБ прекратили в конце апреля 1941 г. (5360).</w:t>
      </w:r>
    </w:p>
    <w:p w14:paraId="0120DAE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7A26A1" w14:textId="77777777" w:rsidR="00CF1998" w:rsidRPr="00DB5D0D" w:rsidRDefault="00CF1998" w:rsidP="00DB5D0D">
      <w:pPr>
        <w:pStyle w:val="a3"/>
        <w:rPr>
          <w:color w:val="000000" w:themeColor="text1"/>
          <w:lang w:val="ru-RU"/>
        </w:rPr>
      </w:pPr>
      <w:r w:rsidRPr="00DB5D0D">
        <w:rPr>
          <w:color w:val="000000" w:themeColor="text1"/>
          <w:lang w:val="ru-RU"/>
        </w:rPr>
        <w:t>16 июля 1940 г. на рулении ББ-2 М-88 после посадки капитан Сахранов по невнимательности вме</w:t>
      </w:r>
      <w:r w:rsidRPr="00DB5D0D">
        <w:rPr>
          <w:color w:val="000000" w:themeColor="text1"/>
          <w:lang w:val="ru-RU"/>
        </w:rPr>
        <w:softHyphen/>
        <w:t>сто закрылков убрал шасси. Приказом Наркома А.И. Шахурина лётчика отстранили от даль</w:t>
      </w:r>
      <w:r w:rsidRPr="00DB5D0D">
        <w:rPr>
          <w:color w:val="000000" w:themeColor="text1"/>
          <w:lang w:val="ru-RU"/>
        </w:rPr>
        <w:softHyphen/>
        <w:t>нейшего проведения заводских лётных испытаний, а вместо него подключили лётчика-испы- тателя 8 отдела ЦАГИ А.И. Емельянова. После очередного ремонта заводские испытания возобновили (15975).</w:t>
      </w:r>
    </w:p>
    <w:p w14:paraId="3D28EB78" w14:textId="77777777" w:rsidR="00CF1998" w:rsidRPr="00DB5D0D" w:rsidRDefault="00CF1998" w:rsidP="00DB5D0D">
      <w:pPr>
        <w:pStyle w:val="a3"/>
        <w:rPr>
          <w:color w:val="000000" w:themeColor="text1"/>
          <w:lang w:val="ru-RU"/>
        </w:rPr>
      </w:pPr>
    </w:p>
    <w:p w14:paraId="65DE3E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года на рулении после посадки капитан В.Т.Сахранов, по невнимательности, вместо закрыл</w:t>
      </w:r>
      <w:r w:rsidRPr="00DB5D0D">
        <w:rPr>
          <w:rFonts w:ascii="Times New Roman" w:hAnsi="Times New Roman"/>
          <w:color w:val="000000" w:themeColor="text1"/>
          <w:sz w:val="16"/>
          <w:szCs w:val="16"/>
        </w:rPr>
        <w:softHyphen/>
        <w:t>ков убрал шасси. Приказом Нарко</w:t>
      </w:r>
      <w:r w:rsidRPr="00DB5D0D">
        <w:rPr>
          <w:rFonts w:ascii="Times New Roman" w:hAnsi="Times New Roman"/>
          <w:color w:val="000000" w:themeColor="text1"/>
          <w:sz w:val="16"/>
          <w:szCs w:val="16"/>
        </w:rPr>
        <w:softHyphen/>
        <w:t>ма А.И.Шахурина летчика-испытате</w:t>
      </w:r>
      <w:r w:rsidRPr="00DB5D0D">
        <w:rPr>
          <w:rFonts w:ascii="Times New Roman" w:hAnsi="Times New Roman"/>
          <w:color w:val="000000" w:themeColor="text1"/>
          <w:sz w:val="16"/>
          <w:szCs w:val="16"/>
        </w:rPr>
        <w:softHyphen/>
        <w:t>ля В.Т.Сахранова отстранили от даль</w:t>
      </w:r>
      <w:r w:rsidRPr="00DB5D0D">
        <w:rPr>
          <w:rFonts w:ascii="Times New Roman" w:hAnsi="Times New Roman"/>
          <w:color w:val="000000" w:themeColor="text1"/>
          <w:sz w:val="16"/>
          <w:szCs w:val="16"/>
        </w:rPr>
        <w:softHyphen/>
        <w:t>нейшего проведения заводских лет</w:t>
      </w:r>
      <w:r w:rsidRPr="00DB5D0D">
        <w:rPr>
          <w:rFonts w:ascii="Times New Roman" w:hAnsi="Times New Roman"/>
          <w:color w:val="000000" w:themeColor="text1"/>
          <w:sz w:val="16"/>
          <w:szCs w:val="16"/>
        </w:rPr>
        <w:softHyphen/>
        <w:t>ных испытаний, а к испытаниям под</w:t>
      </w:r>
      <w:r w:rsidRPr="00DB5D0D">
        <w:rPr>
          <w:rFonts w:ascii="Times New Roman" w:hAnsi="Times New Roman"/>
          <w:color w:val="000000" w:themeColor="text1"/>
          <w:sz w:val="16"/>
          <w:szCs w:val="16"/>
        </w:rPr>
        <w:softHyphen/>
        <w:t>ключили летчика-испытателя 8 отде</w:t>
      </w:r>
      <w:r w:rsidRPr="00DB5D0D">
        <w:rPr>
          <w:rFonts w:ascii="Times New Roman" w:hAnsi="Times New Roman"/>
          <w:color w:val="000000" w:themeColor="text1"/>
          <w:sz w:val="16"/>
          <w:szCs w:val="16"/>
        </w:rPr>
        <w:softHyphen/>
        <w:t>ла ЦАГИ А.И.Емельянова. После оче</w:t>
      </w:r>
      <w:r w:rsidRPr="00DB5D0D">
        <w:rPr>
          <w:rFonts w:ascii="Times New Roman" w:hAnsi="Times New Roman"/>
          <w:color w:val="000000" w:themeColor="text1"/>
          <w:sz w:val="16"/>
          <w:szCs w:val="16"/>
        </w:rPr>
        <w:softHyphen/>
        <w:t>редного ремонта заводские испыта</w:t>
      </w:r>
      <w:r w:rsidRPr="00DB5D0D">
        <w:rPr>
          <w:rFonts w:ascii="Times New Roman" w:hAnsi="Times New Roman"/>
          <w:color w:val="000000" w:themeColor="text1"/>
          <w:sz w:val="16"/>
          <w:szCs w:val="16"/>
        </w:rPr>
        <w:softHyphen/>
        <w:t>ния были продолжены (11849).</w:t>
      </w:r>
    </w:p>
    <w:p w14:paraId="1A23A5C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49AFD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была еще одна авария ШБ, которая серьезно задержала его испытания. Поломки преследовали машину и в дальнейшем, и после появления штурмовика Ил-2 ее посчитали попросту ненужной. Все работы по ШБ прекратили в конце апреля 1941 г. (12028).</w:t>
      </w:r>
    </w:p>
    <w:p w14:paraId="2900265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5CC65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16 по 27 июля 1940 года завод N 24 для устранения детонации мотора проводил заводские работы по подбору степени сжатия, диаметра крыльчатки нагнетателя и расходов топлива (3448).</w:t>
      </w:r>
    </w:p>
    <w:p w14:paraId="0D58DD9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392C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г. мотор Ам-35А был предъявлен на гос. испытания (3448).</w:t>
      </w:r>
    </w:p>
    <w:p w14:paraId="1D7AF9A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1C8F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16 июля по 13 сентября 1940 состоялись государственные 100 часовые испытания на станке АМ-35А N 170 (840).</w:t>
      </w:r>
    </w:p>
    <w:p w14:paraId="65D475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самом деле испытания АМ-35А были закончены 28 августа 1940, а потом писали отчет, а 24 завод доказывал несущественность выявленных дефектов (1295,86).</w:t>
      </w:r>
    </w:p>
    <w:p w14:paraId="22BC2F3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0B753E5" w14:textId="77777777" w:rsidR="00812B24" w:rsidRPr="00DB5D0D" w:rsidRDefault="00812B2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16 июля 1940 Микулин поставил свой мотор АМ- 35А на стендовые 100-часовые Госиспытания, которые завершились 28 ав</w:t>
      </w:r>
      <w:r w:rsidRPr="00DB5D0D">
        <w:rPr>
          <w:rFonts w:ascii="Times New Roman" w:hAnsi="Times New Roman"/>
          <w:color w:val="0070C0"/>
          <w:sz w:val="16"/>
          <w:szCs w:val="16"/>
          <w:lang w:eastAsia="ru-RU" w:bidi="ru-RU"/>
        </w:rPr>
        <w:softHyphen/>
        <w:t>густа. Он счел выявленные дефекты мел</w:t>
      </w:r>
      <w:r w:rsidRPr="00DB5D0D">
        <w:rPr>
          <w:rFonts w:ascii="Times New Roman" w:hAnsi="Times New Roman"/>
          <w:color w:val="0070C0"/>
          <w:sz w:val="16"/>
          <w:szCs w:val="16"/>
          <w:lang w:eastAsia="ru-RU" w:bidi="ru-RU"/>
        </w:rPr>
        <w:softHyphen/>
        <w:t>кими, но Заказчик акт не подписал, и удовлетворение его претензий заняло еще 16 дней. Заказчик не просто при</w:t>
      </w:r>
      <w:r w:rsidRPr="00DB5D0D">
        <w:rPr>
          <w:rFonts w:ascii="Times New Roman" w:hAnsi="Times New Roman"/>
          <w:color w:val="0070C0"/>
          <w:sz w:val="16"/>
          <w:szCs w:val="16"/>
          <w:lang w:eastAsia="ru-RU" w:bidi="ru-RU"/>
        </w:rPr>
        <w:softHyphen/>
        <w:t>дирался: в трудный период мая - авгу</w:t>
      </w:r>
      <w:r w:rsidRPr="00DB5D0D">
        <w:rPr>
          <w:rFonts w:ascii="Times New Roman" w:hAnsi="Times New Roman"/>
          <w:color w:val="0070C0"/>
          <w:sz w:val="16"/>
          <w:szCs w:val="16"/>
          <w:lang w:eastAsia="ru-RU" w:bidi="ru-RU"/>
        </w:rPr>
        <w:softHyphen/>
        <w:t>ста 1940 г. почти каждый полет с длитель</w:t>
      </w:r>
      <w:r w:rsidRPr="00DB5D0D">
        <w:rPr>
          <w:rFonts w:ascii="Times New Roman" w:hAnsi="Times New Roman"/>
          <w:color w:val="0070C0"/>
          <w:sz w:val="16"/>
          <w:szCs w:val="16"/>
          <w:lang w:eastAsia="ru-RU" w:bidi="ru-RU"/>
        </w:rPr>
        <w:softHyphen/>
        <w:t>ным использованием номинального ре</w:t>
      </w:r>
      <w:r w:rsidRPr="00DB5D0D">
        <w:rPr>
          <w:rFonts w:ascii="Times New Roman" w:hAnsi="Times New Roman"/>
          <w:color w:val="0070C0"/>
          <w:sz w:val="16"/>
          <w:szCs w:val="16"/>
          <w:lang w:eastAsia="ru-RU" w:bidi="ru-RU"/>
        </w:rPr>
        <w:softHyphen/>
        <w:t>жима мотора кончался ремонтом. Напри</w:t>
      </w:r>
      <w:r w:rsidRPr="00DB5D0D">
        <w:rPr>
          <w:rFonts w:ascii="Times New Roman" w:hAnsi="Times New Roman"/>
          <w:color w:val="0070C0"/>
          <w:sz w:val="16"/>
          <w:szCs w:val="16"/>
          <w:lang w:eastAsia="ru-RU" w:bidi="ru-RU"/>
        </w:rPr>
        <w:softHyphen/>
        <w:t>мер, 8 июня на И-200-2 поставили новый АМ-35А, и в тот же день в полете на за</w:t>
      </w:r>
      <w:r w:rsidRPr="00DB5D0D">
        <w:rPr>
          <w:rFonts w:ascii="Times New Roman" w:hAnsi="Times New Roman"/>
          <w:color w:val="0070C0"/>
          <w:sz w:val="16"/>
          <w:szCs w:val="16"/>
          <w:lang w:eastAsia="ru-RU" w:bidi="ru-RU"/>
        </w:rPr>
        <w:softHyphen/>
        <w:t>мере температур он отказал - авария, два дня ремонта (21696).</w:t>
      </w:r>
    </w:p>
    <w:p w14:paraId="241A53AE" w14:textId="77777777" w:rsidR="00812B24" w:rsidRPr="00DB5D0D" w:rsidRDefault="00812B24" w:rsidP="00DB5D0D">
      <w:pPr>
        <w:spacing w:after="0" w:line="240" w:lineRule="auto"/>
        <w:jc w:val="both"/>
        <w:rPr>
          <w:rFonts w:ascii="Times New Roman" w:hAnsi="Times New Roman"/>
          <w:color w:val="0070C0"/>
          <w:sz w:val="16"/>
          <w:szCs w:val="16"/>
        </w:rPr>
      </w:pPr>
    </w:p>
    <w:p w14:paraId="286CBE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АМ-35А N 170, собранный в ОКО завода 24 был предъявлен на 100 часовые гос. испытания на станке и одновременно на испытания поставили и второй мотор. Мотор 170 испытания прошел удовлетворительно. АМ-35А на 1200 нр был первым, имеющим охлаждение водой под давлением и требовавшим радиатор меньшего размера. + имел поворотные лопатки нагнетателя и мог выдерживать мощность в диапазоне высот 2800-6000 м. Моторы малой серии имели ресурс 50 час. (1295,131).</w:t>
      </w:r>
    </w:p>
    <w:p w14:paraId="6EC6CDB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BCE6A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16 июля по 13 сентября 1940 проходили 100-часовые госиспытания на станке мотора АМ-35А</w:t>
      </w:r>
    </w:p>
    <w:p w14:paraId="18E410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Госкомиссия:</w:t>
      </w:r>
    </w:p>
    <w:p w14:paraId="005699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 нач. ОМТ НИИ ВВС КА би М.АА.Левин</w:t>
      </w:r>
    </w:p>
    <w:p w14:paraId="154A0D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 - вед. и НИИ ви2р М.Т.Лушин</w:t>
      </w:r>
    </w:p>
    <w:p w14:paraId="54EFD6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военпред на заводе № 24 ви2р М.Я.Калинников</w:t>
      </w:r>
    </w:p>
    <w:p w14:paraId="100963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нач. 8 ГУ НКАП Д.В.Королев</w:t>
      </w:r>
    </w:p>
    <w:p w14:paraId="532F1B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СКО зав. № 24 Е.М.Юдин</w:t>
      </w:r>
    </w:p>
    <w:p w14:paraId="513184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8 ГУ НКАП М.П.Глаголева</w:t>
      </w:r>
    </w:p>
    <w:p w14:paraId="73B615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по госиспытаниям:</w:t>
      </w:r>
    </w:p>
    <w:p w14:paraId="2B5CC2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АМ-25 № 170 пръявленный на ГИ удовлетворительно прошел 100-часовые ГИ на стенде, но испытания его агрегатов, а также приемочные испытания моторов малой серии и работа мотора на с-те И-200 выявили ряд дефектов. Наиболее серьезными из них являются: недостаточная высотность масляной помпы и разрушение задней опоры валика крыльчатки нагнетателя, до полного устранения которых надежность работы мотора на самолете не будет обеспечена.</w:t>
      </w:r>
    </w:p>
    <w:p w14:paraId="20970A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Поэтому госиспытания мотора АМ-35А будут признаны удовлетворительными после:</w:t>
      </w:r>
    </w:p>
    <w:p w14:paraId="5D6DF9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полного устранения заводом № 24 разрушения задней втулки валика нагнетателя,</w:t>
      </w:r>
    </w:p>
    <w:p w14:paraId="5F1024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окончательного сточасового испытания модифицированной масляной помпы с улучшеной высотностью на моторе АМ-35</w:t>
      </w:r>
    </w:p>
    <w:p w14:paraId="095388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повышения давления масла на с-те И-200 на высотах 8000-9000 м с 5.5 атм., имеющих место на этих высотах в настоящее время, до 6 атм. Или проверки надежности работы мотора на давлении 5,5 атм. 50-часовым испытанием 2-х моторов.</w:t>
      </w:r>
    </w:p>
    <w:p w14:paraId="64B01F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этого, Правительственной комиссией будет составлен акт об удовлетворительном окончании госиспытаний мотора АМ-35А</w:t>
      </w:r>
    </w:p>
    <w:p w14:paraId="53C6C7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необходимость скорейшего получения серийных моторов АМ-35А для с-та И-200,Правительственная комиссия считает целесообразным запустить мотор АМ-35А в серийное производство на заводе № 24 и обязать НКАП (завод № 24 и соответствующие агреганые заводы) полностью устранить до начала серийного выпуска мотора АМ-35А разрушение задней опоры валика крыльчатки нагнетателя и недостаточную высотность масляной помпы на с-те И-200, а также другие дефекты, перечисленные в п. 8 и 10 б, г, д, ж выводов по испытанию.</w:t>
      </w:r>
    </w:p>
    <w:p w14:paraId="0BD40D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Правительственная комиссия считает, что мотор АМ-35А не обеспечен винтом, соответствующим высотности мотора, т.к. надежность мотора АМ-35А еще не проверена в условиях эксплуатации частей ВВС КА. Правительственная комиссия считает необходимым ограничить серийный выпуск мотора АМ-35А до удовлетворительных результатов войсковых испытаний 200 моторами.</w:t>
      </w:r>
    </w:p>
    <w:p w14:paraId="610371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Правительственная комиссия считает необходимым обязать НКАП (заводы № 1 и № 24) предъявитиь НКО (ГУ ВВС КА) 10 с-тов И-200 с моторами АМ-35А на войсковые испытания не позднее 15 октября 1940 и один И-200 с АМ-35А не спец. Летные испытания не позднее 25 сентября 1940 г. НКЩ (ГУ ВВС КА) провести эти испытания в полуторомесячный срок, считая со дня предъявления.</w:t>
      </w:r>
    </w:p>
    <w:p w14:paraId="5C372C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ПК Левин</w:t>
      </w:r>
    </w:p>
    <w:p w14:paraId="4BB4FC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Особое мнение тт. Королева, Глаголевой, Юдина:</w:t>
      </w:r>
    </w:p>
    <w:p w14:paraId="794E88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основании приведенных длтительных 100-часовых испытаний мотор АМ-35А считать удовлетворительным</w:t>
      </w:r>
    </w:p>
    <w:p w14:paraId="54E25E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целях скорейшего развертывания производства считать необходимым запуск в серийное производство мотора АМ-35А на заводе № 24</w:t>
      </w:r>
    </w:p>
    <w:p w14:paraId="0B460E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Дефекты недостаточно надежной работы опоры валика нагнетателя и недостаточной высотности маслосистемы должны быть устранены до начала выпуска из серийного производства мотора АМ-35А после нулевой серии.</w:t>
      </w:r>
    </w:p>
    <w:p w14:paraId="19988B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Устранение указанных дефектов проверить длительным 100-часовым комиссионным испытанием под наблюдением военного представителя ВВС на заводе № 24 не позже 15 октября 1940 г., после чего рвзрешить выпуск моторов на заводе.</w:t>
      </w:r>
    </w:p>
    <w:p w14:paraId="0C2A08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Акт об удовлетворительном окончании госиспытаний на станке мотора АМ-35А от 23 ноября 1940 г.</w:t>
      </w:r>
    </w:p>
    <w:p w14:paraId="43A074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Правительственная комиссия, назначенная КО при СНК СССР для проведения госиспытаний мотора АМ-35А, рассмотрела материалы дополнительных работ, проведенных заводом № 24 в период с 20 сентября по 22 ноября 1944 для устранения основных дефектов мотора АМ-35А, указанных в заключении Правительственной комиссии по госиспытаниям мотора АМ-35А от 20 сентября 1940 г.:</w:t>
      </w:r>
    </w:p>
    <w:p w14:paraId="7D9E0A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разрушение задней опоры вала нагнетателя</w:t>
      </w:r>
    </w:p>
    <w:p w14:paraId="3316F8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недостаточной высотности маслопомпы.</w:t>
      </w:r>
    </w:p>
    <w:p w14:paraId="13415F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Правительственная комиссия установила, что в результате этих работ заводом № 24 проведены:</w:t>
      </w:r>
    </w:p>
    <w:p w14:paraId="4DF1A3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приемояные (сдаточные и контрольные) испытания партии в 30 шт. моторов без разрушения задней опоря вала нагнетателя</w:t>
      </w:r>
    </w:p>
    <w:p w14:paraId="4A1E1F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совместные 80-часовые испытания мотора АМ-35А № 169 с измененной конструкцией нагнетателя (новый материал опоры, измененная конструкция валика, введена наружная смазка) и модифицированной маслопомпой с улучшенной высотностью.</w:t>
      </w:r>
    </w:p>
    <w:p w14:paraId="00A14E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проходили при повышенной неуравновешенности угла крыльчатки (9,5 гр. вместо 2,5 гр., допускаемом в производстве мотора АМ-35А) и пониженном давлении масла (от 4,5 до 5,5 вместо допустимого давления 6 атм.).</w:t>
      </w:r>
    </w:p>
    <w:p w14:paraId="474437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осмотре после этого испытания задняя опора валика крыльчатки нагнетателя была в удовлетворительном состоянии.</w:t>
      </w:r>
    </w:p>
    <w:p w14:paraId="1F1CCC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положительных результатов испытаний:</w:t>
      </w:r>
    </w:p>
    <w:p w14:paraId="2EDEFF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Правительственная комиссия признает госиспытания мотора АМ-35А на станке удовлетворительными</w:t>
      </w:r>
    </w:p>
    <w:p w14:paraId="3C0E14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Срок службы мотора АМ-35А до первой перебоки установить 100 часов</w:t>
      </w:r>
    </w:p>
    <w:p w14:paraId="032AAD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Ограничить выпуск мотора АМ-35А с прежней конструкцией нагнетателя - 250 моторов</w:t>
      </w:r>
    </w:p>
    <w:p w14:paraId="17572B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Правительственная комиссия считает необходимым НКАП представить НКО на войсковые испытания 10 с-тов И-200 с мотором АМ-35А с нагнетателем прежней конструкции не позднее 1 декабря 1940 г. и на детные (войсковые и специальные) испытания 10 с-тов И-200 с мотором АМ-35А с нагнетателем измененной конструкции не позднее 1 января 1941 г.</w:t>
      </w:r>
    </w:p>
    <w:p w14:paraId="0630C9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 (ГУ ВВС КА) закончить эти испытания в полуторомесячный срок, считая со дня предъявления.</w:t>
      </w:r>
    </w:p>
    <w:p w14:paraId="18A59B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Дефект задира поршней и гильз цилендров, растрескивания свинцовой бронзы коренных вкладышей коленвала и насечек на барабане вала и шестернях редуктора, выявленные при выпуске моторов нулевой и первой серии - устранить не позднее 1 февраля 1941 г.</w:t>
      </w:r>
    </w:p>
    <w:p w14:paraId="2444C1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Остальные дефекты мотора АМ-35А, указанные в выводах по результатам госиспытаний, а также при выпуске моторов нулевой и первой серий, устранить не позднее 1 мая 1941 г. и т.д...</w:t>
      </w:r>
    </w:p>
    <w:p w14:paraId="7CC9D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Отработать ремонтную документацию по АМ-35А к 1 сентября 1941 г.</w:t>
      </w:r>
    </w:p>
    <w:p w14:paraId="65C736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комиссии Левин 23 ноября 1940</w:t>
      </w:r>
    </w:p>
    <w:p w14:paraId="268F16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по мотору</w:t>
      </w:r>
    </w:p>
    <w:p w14:paraId="5A6FF0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1350 л.с. +/- 2%</w:t>
      </w:r>
    </w:p>
    <w:p w14:paraId="1370B7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Давление взлетное (за карбюратором) 1250 мм +/- 10мм</w:t>
      </w:r>
    </w:p>
    <w:p w14:paraId="662EFD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Давление взлетное на выходе нагнетателя 1350мм +/- 10%</w:t>
      </w:r>
    </w:p>
    <w:p w14:paraId="33B769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оборотов на взлете 2050 +/- 2%</w:t>
      </w:r>
    </w:p>
    <w:p w14:paraId="1E61E1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топлива 330-360 г/лс/час</w:t>
      </w:r>
    </w:p>
    <w:p w14:paraId="2C051B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воды на выходе не выше 120 гр</w:t>
      </w:r>
    </w:p>
    <w:p w14:paraId="5AFBF5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Минимальная температура 60 гр.</w:t>
      </w:r>
    </w:p>
    <w:p w14:paraId="0EFD9C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масла на выходе 85 гр. и не ниже 40 гр</w:t>
      </w:r>
    </w:p>
    <w:p w14:paraId="3267EB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1200</w:t>
      </w:r>
    </w:p>
    <w:p w14:paraId="57B134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 1040+/- 2%</w:t>
      </w:r>
    </w:p>
    <w:p w14:paraId="4439F5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 1125 мм+/- 10%</w:t>
      </w:r>
    </w:p>
    <w:p w14:paraId="7E8AB3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Высотность - 2800-6000 м</w:t>
      </w:r>
    </w:p>
    <w:p w14:paraId="2A212D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у земли 1120+/- 2%</w:t>
      </w:r>
    </w:p>
    <w:p w14:paraId="55E4C3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расход 300-315 г/лс/ч</w:t>
      </w:r>
    </w:p>
    <w:p w14:paraId="442E66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обороты 2250, мин. 450</w:t>
      </w:r>
    </w:p>
    <w:p w14:paraId="430F5B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 вес мотора (не входит Р-2, генератор, синхронизатор, выхлопные патрубки, а также помпы (Ак-4, МКЛ) - 830 кг +/- 2%</w:t>
      </w:r>
    </w:p>
    <w:p w14:paraId="3F433E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воды в системе 22 л</w:t>
      </w:r>
    </w:p>
    <w:p w14:paraId="11D461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Габариты</w:t>
      </w:r>
    </w:p>
    <w:p w14:paraId="1BB5F3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2402 м</w:t>
      </w:r>
    </w:p>
    <w:p w14:paraId="2E3991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866 мм</w:t>
      </w:r>
    </w:p>
    <w:p w14:paraId="7194ED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1088,8 мм (783)</w:t>
      </w:r>
    </w:p>
    <w:p w14:paraId="795DFA8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60DD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Микулин поставил АМ-35А на 100-часовые Госиспытания, они завершились 28 августа. Он счел выявленные дефекты мелкими, но заказчик акт не подписал, и удовлетворение его претензий заняло еще 16 дней. В трудный период мая - августа 1940 г. почти каждый полет И-200 с длительным использованием номинального режима мотора оканчивался ремонтом. Например, 8 июня на И-200-2 поставили новый двигатель, в тот же день в полете на замере температур он отказал - очередная авария, и опять два дня ремонта. Когда подпись на акте появилась, все стороны думали, что мытарства с АМ-35А закончились (11938).</w:t>
      </w:r>
    </w:p>
    <w:p w14:paraId="102D4D5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4FDEB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16 июля по 24 августа 1940 года в НИИ ВВС проходили гос. испытания самолета ДБ3Ф-2М88 с ВИШ-23 за № 39801 эталона второй половины 1940 года</w:t>
      </w:r>
    </w:p>
    <w:p w14:paraId="0C391F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67D17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2 отделения 1 отдела НИИ ВВС в/инженер 1 ранга Марков И.В.</w:t>
      </w:r>
    </w:p>
    <w:p w14:paraId="07ED26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НИИ ВВС в/инженер 2 ранга Кокорин Н.М.</w:t>
      </w:r>
    </w:p>
    <w:p w14:paraId="2FF764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Летчик-испытатель капитан Сыроегин А.Л.</w:t>
      </w:r>
    </w:p>
    <w:p w14:paraId="40DE8D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4E09DB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Снять летные характеристики самолета ДБ3Ф-2М88 с ВИШ-23 за № 39801 со стрелковыми установками МВ-2 и МВ-3 и с СУ-ДБ3.</w:t>
      </w:r>
    </w:p>
    <w:p w14:paraId="28104DC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винтомоторной группы самолета ДБ3Ф с 2М88 и ВИШ-23 с улучшенной ВМГ.</w:t>
      </w:r>
    </w:p>
    <w:p w14:paraId="1484974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стрелкового и бомбардировочного вооружения.</w:t>
      </w:r>
    </w:p>
    <w:p w14:paraId="3DAC12F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спецоборудования в дневных условиях.</w:t>
      </w:r>
    </w:p>
    <w:p w14:paraId="0D5FC8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Заводом № 39 предъявлен на испытание в качестве образца для строительства самолетов 2-й половины 1940 года самолет ДБ3Ф-2М88 с ВИШ-23 за № 390801. Самолет № 390801 отличается от ранее испытанных самолетов ДБ3Ф-2М88 рядом улучшений:</w:t>
      </w:r>
    </w:p>
    <w:p w14:paraId="2EA70FC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планеру самолета. Клепка крыла и фюзеляжа произведена впотай. Улучшена укладка плексигласа – в носовой части фюзеляжа – кабина штурмана. Передняя часть колпака летчика остеклена гнутым плексигласом взамен плоского. Установлен убирающийся в полете костыль. Масляные радиаторы убраны вовнутрь передней кромки крыла. Самолет окрашен по шпаклевке эмалевой краской: сверху темно зеленой, снизу – светло голубой.</w:t>
      </w:r>
    </w:p>
    <w:p w14:paraId="5A142A3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капотированию моторов. Вместо капотов типа "Ф" с уменьшенным входным сечением, установлены капоты типа "Б" с входным сечением большим, чем у капота "Ф". Всасывающий патрубок капота "Б" удлинен до переднего обреза кольца "NACA". Управление юбками капота установлено механическое, вместо гидравлического.</w:t>
      </w:r>
    </w:p>
    <w:p w14:paraId="52A373C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системе воздушно-масляного охлаждения. На самолете поставлены 2 восьмидюймовых радиатора на мотор. Горячее масло, поступившее для охлаждения в радиаторы из мотора движется навстречу потока воздуха.</w:t>
      </w:r>
    </w:p>
    <w:p w14:paraId="639DEBFD" w14:textId="77777777" w:rsidR="003C7E8B" w:rsidRPr="00DB5D0D" w:rsidRDefault="003C7E8B" w:rsidP="00DB5D0D">
      <w:pPr>
        <w:pStyle w:val="24"/>
        <w:widowControl/>
        <w:rPr>
          <w:color w:val="000000" w:themeColor="text1"/>
        </w:rPr>
      </w:pPr>
      <w:r w:rsidRPr="00DB5D0D">
        <w:rPr>
          <w:color w:val="000000" w:themeColor="text1"/>
        </w:rPr>
        <w:t>Масло сперва поступает в радиатор, расположенный ближе к мотору, из этого радиатора в другой, расположенный дальше от мотора. Воздух, поступивший для охлаждения масла, в первую очередь проходит через соты радиатора, удаленного от мотора и потом только попадает в радиатор, расположенный ближе к мотору.</w:t>
      </w:r>
    </w:p>
    <w:p w14:paraId="3C73406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спецоборудованию. В основном электрооборудование изменено в части устранения дефектов, указанных ранее в отчетах по испытаниям самолета ДБ3Ф. Кроме того, установлен фотоаппарат "АФА-Б" и кассеты под парашютные ракеты "КАС-8".</w:t>
      </w:r>
    </w:p>
    <w:p w14:paraId="2C7B3E3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вооружению. Установлены стрелковые установки МВ-2 и МВ-3 вместо СУ и ДУ.</w:t>
      </w:r>
    </w:p>
    <w:p w14:paraId="0F0E62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38 дней, из них летных испытаний 13 дней</w:t>
      </w:r>
    </w:p>
    <w:p w14:paraId="35DEF9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полетов – 29 общей продолжительностью 28 час. 37 мин, из них 8 полетов свыше 8000 м</w:t>
      </w:r>
    </w:p>
    <w:p w14:paraId="461C13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полетов вне плана по программе испытаний взлетов на 2-й скорости нагнетателя – 26 полетов продолжительностью 4 часа 33 мин.</w:t>
      </w:r>
    </w:p>
    <w:p w14:paraId="3E279F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произведено полетов за 38 дней – 55, продолжительностью 33 час. 10 мин.</w:t>
      </w:r>
    </w:p>
    <w:p w14:paraId="1126AA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135AC4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летно-тактическим данным</w:t>
      </w:r>
    </w:p>
    <w:p w14:paraId="1C39171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максимальные горизонтальные скорости полета самолета ДБ3Ф-2М88 с ВИШ-23 со стрелковыми установками СУ-ДБ3 и ЛУ-ДБ3 получены:</w:t>
      </w:r>
    </w:p>
    <w:p w14:paraId="553898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испытываемом самолете-эталоне второй половины 1940 года 448 км/час на Н=6700 м;</w:t>
      </w:r>
    </w:p>
    <w:p w14:paraId="77467A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серийном самолете первой половины 1940 года 425 км/час на Н=6200 м, т.е. получаем на эталоне прирост скорости на 23 км/час и высотности мотора на самолете на 500 м.</w:t>
      </w:r>
    </w:p>
    <w:p w14:paraId="65C3E2B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Увеличение скорости полета самолета на 23 км/час произошло за счет:</w:t>
      </w:r>
    </w:p>
    <w:p w14:paraId="26DE4D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улучшения всасывающей системы капота "Б";</w:t>
      </w:r>
    </w:p>
    <w:p w14:paraId="394062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нового расположения воздушно-масляных радиаторов, вписывающихся в габариты крыла и лучшей отделки фюзеляжа и крыла.</w:t>
      </w:r>
    </w:p>
    <w:p w14:paraId="761ACDC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Максимальные горизонтальные скорости полета самолета ДБ3Ф-2М88 с ВИШ-23 эталона второй половины 1940 года на высоте 6700 м, получены:</w:t>
      </w:r>
    </w:p>
    <w:p w14:paraId="7D542D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 СУ-ДБ3 и ЛУ-ДБ3 в боевом положении – 448 км/час</w:t>
      </w:r>
    </w:p>
    <w:p w14:paraId="217365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 МВ-2 и МВ-3 в боевом положении – 429 км/час</w:t>
      </w:r>
    </w:p>
    <w:p w14:paraId="631039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 уменьшение скорости для боевого положения за счет замены СУ-ДБ3 и ЛУ-ДБ3 на МВ-2 и МВ-3 соответствует 19 км/час, из которых за счет:</w:t>
      </w:r>
    </w:p>
    <w:p w14:paraId="0074D8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МВ-2 – на 6 км/час</w:t>
      </w:r>
    </w:p>
    <w:p w14:paraId="1D9751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Мв-3 – на 13 км/час</w:t>
      </w:r>
    </w:p>
    <w:p w14:paraId="510C695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самолета эталона второй половины 1940 года с моторами М-88 с стрелковыми установками СУ и ЛУ, получено:</w:t>
      </w:r>
    </w:p>
    <w:p w14:paraId="6431ED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5000 м – 10, 54 мин.</w:t>
      </w:r>
    </w:p>
    <w:p w14:paraId="6A7FCC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время набора практического потолка – 40 мин.</w:t>
      </w:r>
    </w:p>
    <w:p w14:paraId="43E726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практического потолка – 10000 м</w:t>
      </w:r>
    </w:p>
    <w:p w14:paraId="15AC9AE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этого же самолета, но со стрелковыми установками МВ02 и МВ-3:</w:t>
      </w:r>
    </w:p>
    <w:p w14:paraId="19BEFD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5000 м</w:t>
      </w:r>
    </w:p>
    <w:p w14:paraId="4F1243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практического потолка</w:t>
      </w:r>
    </w:p>
    <w:p w14:paraId="0AC386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практического потолка – 9700 м</w:t>
      </w:r>
    </w:p>
    <w:p w14:paraId="09FB779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походном положении МВ-2 убирается полностью вовнутрь фюзеляжа и тогда самолет увеличивает максимальную скорость полета на 6 км/час.</w:t>
      </w:r>
    </w:p>
    <w:p w14:paraId="0F27E34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Влияние на изменение максимальных скоростей полета от положения турели СУ в походном и боевом положении – не обнаружено в практических полетах на самолете ДБ3Ф на всем диапазоне высот.</w:t>
      </w:r>
    </w:p>
    <w:p w14:paraId="0845F0B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самолета увеличился на 51 кг за счет установки:</w:t>
      </w:r>
    </w:p>
    <w:p w14:paraId="7E301D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убирающегося костыля с механическим управлением</w:t>
      </w:r>
    </w:p>
    <w:p w14:paraId="16DB53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оборудования под фотоаппарат АФА-Б</w:t>
      </w:r>
    </w:p>
    <w:p w14:paraId="7719C3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кассет "КАС-8"</w:t>
      </w:r>
    </w:p>
    <w:p w14:paraId="3268C9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окраски и шпаклевки самолета</w:t>
      </w:r>
    </w:p>
    <w:p w14:paraId="7916C4A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Пилотирование самолета осталось одинаковым с ранее испытанными самолетами ДБ3Ф, за исключением того, что при повороте пулемета на стрелковой установке МВ-2 в ту или иную сторону, самолет ходит по горизонту, создавая крен до 3 градусов. Этот крен легко парируется рулем поворота.</w:t>
      </w:r>
    </w:p>
    <w:p w14:paraId="798473F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отклонении юбок капотов выше линии капотов более чем на 5-10 градусов в горизонтальном полете и особенно на разворотах и виражах, вибрирует хвостовое оперение.</w:t>
      </w:r>
    </w:p>
    <w:p w14:paraId="6962D26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Благодаря убиранию хвостового колеса увеличились углы обстрела из МВ-2 вверх по оси самолета на 5 градусов.</w:t>
      </w:r>
    </w:p>
    <w:p w14:paraId="0F2DBDD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Механическое управление убирающимся хвостовым колесом не отработано, так как запереть колесо в верхнем положении с мечта стрелка-радиста не всегда удается. Для запирания колеса лебедкой, расположенной на 34 раме, стрелку необходимо подлезать под лонжероны стабилизатора, для чего требуется снять парашют и вращать лебедку в положении лежа.</w:t>
      </w:r>
    </w:p>
    <w:p w14:paraId="68D98C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винтомоторной группе</w:t>
      </w:r>
    </w:p>
    <w:p w14:paraId="7D01DD1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Схема последовательного включения воздушно-масляных радиаторов и расположение их внутри крыла увеличило их эффективность по сравнению с установкой на серийных самолетах ДБ3Ф.</w:t>
      </w:r>
    </w:p>
    <w:p w14:paraId="4B8B6A6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Система охлаждения масла обеспечивает нормальную эксплуатацию моторов М-88 на всех режимах и видах полетов.</w:t>
      </w:r>
    </w:p>
    <w:p w14:paraId="3E7E1AA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Капоты типа "Б" по температурным режимам практически одинаковы как и капоты типа "Ф" при всех видах и режимах полетов.</w:t>
      </w:r>
    </w:p>
    <w:p w14:paraId="06D26B9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Высотность мотора М-88 на самолете ДБ3Ф с капотами типа "Б" равна 6700 м, т.е. на 500 м выше, чем с капотами "Ф".</w:t>
      </w:r>
    </w:p>
    <w:p w14:paraId="517551C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Обтекание крыла за ВМГ при наличии капотов "Б" происходит более плавно, без срывов, что улучшает поведение самолета на всех режимах полета.</w:t>
      </w:r>
    </w:p>
    <w:p w14:paraId="1CCFDAD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удлинением всасывающего патрубка капота "Б", устраняется возможность засорения сетки карбюратора снегом и травой на взлете.</w:t>
      </w:r>
    </w:p>
    <w:p w14:paraId="6D0A90B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Механическое управление юбками капотов лучше, чем гидравлическое, но требует много движений – 26-30 перехватов рукой, для открытия юбок из закрытого положения.</w:t>
      </w:r>
    </w:p>
    <w:p w14:paraId="495EA1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довести до 8-10 перехватов, без снижения легкости управления.</w:t>
      </w:r>
    </w:p>
    <w:p w14:paraId="4E77259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Газоанализаторы типа ГА-50 работали неудовлетворительно.</w:t>
      </w:r>
    </w:p>
    <w:p w14:paraId="4BE8FA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 стрелковому вооружению.</w:t>
      </w:r>
    </w:p>
    <w:p w14:paraId="43CD9E6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стрелковая установка НУ-ДБ3Ф работает безотказно на всех скоростях и высотах. Установка обладает хорошей маневренностью и удобством эксплуатации.</w:t>
      </w:r>
    </w:p>
    <w:p w14:paraId="42430C3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Недостатком прицела НУ-ДБ3Ф является невозможность учета собственной скорости самолета менее 400 км/час.</w:t>
      </w:r>
    </w:p>
    <w:p w14:paraId="2139882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Установленная экранированная турель МВ-3имеет ряд преимуществ в сравнении с турелью СУ-ДБ3 завода № 39:</w:t>
      </w:r>
    </w:p>
    <w:p w14:paraId="372934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турель легко вращается на 360 градусов при всех скоростях самолета и на всех высотах;</w:t>
      </w:r>
    </w:p>
    <w:p w14:paraId="42BD03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обеспечивает лучший маневр оружием в горизонтальной и вертикальной плоскостях;</w:t>
      </w:r>
    </w:p>
    <w:p w14:paraId="683CFA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стрелок полностью защищен от воздушного потока;</w:t>
      </w:r>
    </w:p>
    <w:p w14:paraId="066304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ведение стрельбы вниз облегчено за счет полного экранирования стрелка при всех возможных вертикальных углах стрельбы;</w:t>
      </w:r>
    </w:p>
    <w:p w14:paraId="1F9D45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улучшает обзор и подход к МВ-2;</w:t>
      </w:r>
    </w:p>
    <w:p w14:paraId="6F7B31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при любом положении турели МВ-3, рации РСБ, пульт с ключом и приборы: часы, высотомер, указатель скорости, КПА-3 бис – не загораживаются патронным ящиком.</w:t>
      </w:r>
    </w:p>
    <w:p w14:paraId="6422A80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Стрелковая установка МВ-2 с оптическим прицелом ОП-2 имеет большое преимущество перед ранее установленной ЛУ-ДБ3, так как:</w:t>
      </w:r>
    </w:p>
    <w:p w14:paraId="209551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усиливает оборону самолета от атак противника под хвост;</w:t>
      </w:r>
    </w:p>
    <w:p w14:paraId="1B734B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установка позволяет вести огонь:</w:t>
      </w:r>
    </w:p>
    <w:p w14:paraId="312560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выше горизонта на +9 градусов, по вертикали строго по оси самолета от +4 градусов до – 62 градусов по горизонтали влево от оси самолета 25 градусов и вправо 30 градусов.</w:t>
      </w:r>
    </w:p>
    <w:p w14:paraId="01F880C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сравнению с ЛУ-ДБ3 увеличивается обстрел в задней полусфере на 5,7%.</w:t>
      </w:r>
    </w:p>
    <w:p w14:paraId="357194B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требования в отчете по испытанию самолета ДБ3Ф № 204, пол в кабине стрелка-радиста не обеспечивает удобств для стрельбы лежа, вследствие чего для ведения огня с МВ-2 стрелку приходится очень сильно изгибать шею, что усугубляется отсутствием упоров для тела, как при стрельбе лежа, так и с колен.</w:t>
      </w:r>
    </w:p>
    <w:p w14:paraId="6163B17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Установленная на 34-й раме шкворневая стрелковая установка под пулемет ШКАС калибра 7,62 мм имеет преимущество перед люковой установкой МВ-2 в том отношении, что она допускает непосредственный обзор задней полусферы. Окончательный вывод об установке дать нельзя, так как она не была полностью смонтирована.</w:t>
      </w:r>
    </w:p>
    <w:p w14:paraId="489CD3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 бомбардировочному вооружению.</w:t>
      </w:r>
    </w:p>
    <w:p w14:paraId="437B7BA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работает удовлетворительно.</w:t>
      </w:r>
    </w:p>
    <w:p w14:paraId="7342700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увеличения вариантов загрузок бомбами ФАБ-100 и ФАБ-50 на замках Дер-19, установить переходники под бомбы ФАБ-100 и ФАБ-50 конструкции завода № 32.</w:t>
      </w:r>
    </w:p>
    <w:p w14:paraId="56CFD0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D70158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ДБ-3ф 2М-88 № 390801 с винтом ВИШ-23, с пулеметными установками МВ2 и МВ3 в боевом положении – эталон второй половины 1940 года дал прирост максимальной скорости по сравнению с аналогичным серийным самолетом, но с расположением воздушно-масляных радиаторов в носке крыла – снаружи – 19 км/час.</w:t>
      </w:r>
    </w:p>
    <w:p w14:paraId="4FF75EF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Недоведенность мотора М-88, выявленная в процессе эксплуатации в строевых частях ВВС, в НИИ ВВС и на заводах НКАП самолетов с этими моторами, ставит вопрос о невозможности принятия самолета ДБ3Ф-2М-88 в качестве эталона на вторую половину 1940 года.</w:t>
      </w:r>
    </w:p>
    <w:p w14:paraId="60042CE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доводки мотора М-88 на выпускаемые самолеты ДБ3ф устанавливать моторы М-87Б.</w:t>
      </w:r>
    </w:p>
    <w:p w14:paraId="1B3AC8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Дефекты отмеченные настоящим отчетом по планеру самолета, вооружению и оборудованию подлежат устранению в очередных сериях.</w:t>
      </w:r>
    </w:p>
    <w:p w14:paraId="392C72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Прирост максимальной скорости полета самолета в 23 км/час, на самолете ДБ3ф с установками СУ и ЛУ и 19 км/час на самолете ДБ3ф с установками МВ2 и МВ3 в боевом положении, полученный в основном за счет нового расположения воздушно-масляных радиаторов делает целесообразным установку их на всех ранее выпущенных самолетах ДБ-3ф по образцу самолета ДБ-3ф 2М-88 № 390801, о чем необходимо возбудить ходатайство перед КО при СНК.</w:t>
      </w:r>
    </w:p>
    <w:p w14:paraId="793782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7005"/>
        <w:gridCol w:w="1358"/>
      </w:tblGrid>
      <w:tr w:rsidR="007D5DF8" w:rsidRPr="00DB5D0D" w14:paraId="34883F26" w14:textId="77777777" w:rsidTr="00E543D0">
        <w:tc>
          <w:tcPr>
            <w:tcW w:w="1951" w:type="dxa"/>
          </w:tcPr>
          <w:p w14:paraId="61842F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7005" w:type="dxa"/>
          </w:tcPr>
          <w:p w14:paraId="270E88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Краткое содержание работ </w:t>
            </w:r>
          </w:p>
        </w:tc>
        <w:tc>
          <w:tcPr>
            <w:tcW w:w="1358" w:type="dxa"/>
          </w:tcPr>
          <w:p w14:paraId="738446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Продолжительность полета</w:t>
            </w:r>
          </w:p>
        </w:tc>
      </w:tr>
      <w:tr w:rsidR="007D5DF8" w:rsidRPr="00DB5D0D" w14:paraId="31052ABD" w14:textId="77777777" w:rsidTr="00E543D0">
        <w:tc>
          <w:tcPr>
            <w:tcW w:w="1951" w:type="dxa"/>
          </w:tcPr>
          <w:p w14:paraId="69EB61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года</w:t>
            </w:r>
          </w:p>
        </w:tc>
        <w:tc>
          <w:tcPr>
            <w:tcW w:w="7005" w:type="dxa"/>
          </w:tcPr>
          <w:p w14:paraId="0600D8A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r w:rsidRPr="00DB5D0D">
              <w:rPr>
                <w:rFonts w:ascii="Times New Roman" w:hAnsi="Times New Roman"/>
                <w:color w:val="000000" w:themeColor="text1"/>
                <w:sz w:val="16"/>
                <w:szCs w:val="16"/>
              </w:rPr>
              <w:tab/>
              <w:t>Проверка работы шасси.</w:t>
            </w:r>
          </w:p>
          <w:p w14:paraId="69839CE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r w:rsidRPr="00DB5D0D">
              <w:rPr>
                <w:rFonts w:ascii="Times New Roman" w:hAnsi="Times New Roman"/>
                <w:color w:val="000000" w:themeColor="text1"/>
                <w:sz w:val="16"/>
                <w:szCs w:val="16"/>
              </w:rPr>
              <w:tab/>
              <w:t>Проверка работы костыля.</w:t>
            </w:r>
          </w:p>
          <w:p w14:paraId="792688B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r w:rsidRPr="00DB5D0D">
              <w:rPr>
                <w:rFonts w:ascii="Times New Roman" w:hAnsi="Times New Roman"/>
                <w:color w:val="000000" w:themeColor="text1"/>
                <w:sz w:val="16"/>
                <w:szCs w:val="16"/>
              </w:rPr>
              <w:tab/>
              <w:t>Полеты на опробование аппаратуры, моторов и тренировка.</w:t>
            </w:r>
          </w:p>
        </w:tc>
        <w:tc>
          <w:tcPr>
            <w:tcW w:w="1358" w:type="dxa"/>
          </w:tcPr>
          <w:p w14:paraId="565846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полетов</w:t>
            </w:r>
          </w:p>
          <w:p w14:paraId="139E0A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35 мин.</w:t>
            </w:r>
          </w:p>
        </w:tc>
      </w:tr>
      <w:tr w:rsidR="007D5DF8" w:rsidRPr="00DB5D0D" w14:paraId="6433875E" w14:textId="77777777" w:rsidTr="00E543D0">
        <w:tc>
          <w:tcPr>
            <w:tcW w:w="1951" w:type="dxa"/>
          </w:tcPr>
          <w:p w14:paraId="2E4559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w:t>
            </w:r>
          </w:p>
        </w:tc>
        <w:tc>
          <w:tcPr>
            <w:tcW w:w="7005" w:type="dxa"/>
          </w:tcPr>
          <w:p w14:paraId="35881A62" w14:textId="77777777" w:rsidR="003C7E8B" w:rsidRPr="00DB5D0D" w:rsidRDefault="003C7E8B" w:rsidP="00DB5D0D">
            <w:pPr>
              <w:pStyle w:val="24"/>
              <w:widowControl/>
              <w:tabs>
                <w:tab w:val="left" w:pos="360"/>
              </w:tabs>
              <w:rPr>
                <w:color w:val="000000" w:themeColor="text1"/>
              </w:rPr>
            </w:pPr>
            <w:r w:rsidRPr="00DB5D0D">
              <w:rPr>
                <w:color w:val="000000" w:themeColor="text1"/>
              </w:rPr>
              <w:t>1.</w:t>
            </w:r>
            <w:r w:rsidRPr="00DB5D0D">
              <w:rPr>
                <w:color w:val="000000" w:themeColor="text1"/>
              </w:rPr>
              <w:tab/>
              <w:t>Полет на скороподъемность и скорости по высотам с капотом "Б" и стрелковыми установками СУ и ЛУ.</w:t>
            </w:r>
          </w:p>
          <w:p w14:paraId="4168FDF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r w:rsidRPr="00DB5D0D">
              <w:rPr>
                <w:rFonts w:ascii="Times New Roman" w:hAnsi="Times New Roman"/>
                <w:color w:val="000000" w:themeColor="text1"/>
                <w:sz w:val="16"/>
                <w:szCs w:val="16"/>
              </w:rPr>
              <w:tab/>
              <w:t>Полет на километраж.</w:t>
            </w:r>
          </w:p>
        </w:tc>
        <w:tc>
          <w:tcPr>
            <w:tcW w:w="1358" w:type="dxa"/>
          </w:tcPr>
          <w:p w14:paraId="73E4AB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55 мин.</w:t>
            </w:r>
          </w:p>
          <w:p w14:paraId="268D75E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BF013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15 мин.</w:t>
            </w:r>
          </w:p>
        </w:tc>
      </w:tr>
      <w:tr w:rsidR="007D5DF8" w:rsidRPr="00DB5D0D" w14:paraId="695DEE0E" w14:textId="77777777" w:rsidTr="00E543D0">
        <w:tc>
          <w:tcPr>
            <w:tcW w:w="1951" w:type="dxa"/>
          </w:tcPr>
          <w:p w14:paraId="27DD05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7005" w:type="dxa"/>
          </w:tcPr>
          <w:p w14:paraId="65223BBC" w14:textId="77777777" w:rsidR="003C7E8B" w:rsidRPr="00DB5D0D" w:rsidRDefault="003C7E8B" w:rsidP="00DB5D0D">
            <w:pPr>
              <w:pStyle w:val="24"/>
              <w:widowControl/>
              <w:tabs>
                <w:tab w:val="left" w:pos="360"/>
              </w:tabs>
              <w:rPr>
                <w:color w:val="000000" w:themeColor="text1"/>
              </w:rPr>
            </w:pPr>
            <w:r w:rsidRPr="00DB5D0D">
              <w:rPr>
                <w:color w:val="000000" w:themeColor="text1"/>
              </w:rPr>
              <w:t>1.</w:t>
            </w:r>
            <w:r w:rsidRPr="00DB5D0D">
              <w:rPr>
                <w:color w:val="000000" w:themeColor="text1"/>
              </w:rPr>
              <w:tab/>
              <w:t>Полет на скороподъемность и скорости по высотам.</w:t>
            </w:r>
          </w:p>
          <w:p w14:paraId="6D5A7B6D" w14:textId="77777777" w:rsidR="003C7E8B" w:rsidRPr="00DB5D0D" w:rsidRDefault="003C7E8B" w:rsidP="00DB5D0D">
            <w:pPr>
              <w:pStyle w:val="24"/>
              <w:widowControl/>
              <w:tabs>
                <w:tab w:val="left" w:pos="360"/>
              </w:tabs>
              <w:rPr>
                <w:color w:val="000000" w:themeColor="text1"/>
              </w:rPr>
            </w:pPr>
            <w:r w:rsidRPr="00DB5D0D">
              <w:rPr>
                <w:color w:val="000000" w:themeColor="text1"/>
              </w:rPr>
              <w:t>2.</w:t>
            </w:r>
            <w:r w:rsidRPr="00DB5D0D">
              <w:rPr>
                <w:color w:val="000000" w:themeColor="text1"/>
              </w:rPr>
              <w:tab/>
              <w:t>Полет на стабилизацию температур.</w:t>
            </w:r>
          </w:p>
        </w:tc>
        <w:tc>
          <w:tcPr>
            <w:tcW w:w="1358" w:type="dxa"/>
          </w:tcPr>
          <w:p w14:paraId="433E06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час. 00 мин.</w:t>
            </w:r>
          </w:p>
          <w:p w14:paraId="3D8D1B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45 мин.</w:t>
            </w:r>
          </w:p>
        </w:tc>
      </w:tr>
      <w:tr w:rsidR="007D5DF8" w:rsidRPr="00DB5D0D" w14:paraId="50D5C08C" w14:textId="77777777" w:rsidTr="00E543D0">
        <w:tc>
          <w:tcPr>
            <w:tcW w:w="1951" w:type="dxa"/>
          </w:tcPr>
          <w:p w14:paraId="538284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7005" w:type="dxa"/>
          </w:tcPr>
          <w:p w14:paraId="5110AEF4" w14:textId="77777777" w:rsidR="003C7E8B" w:rsidRPr="00DB5D0D" w:rsidRDefault="003C7E8B" w:rsidP="00DB5D0D">
            <w:pPr>
              <w:pStyle w:val="24"/>
              <w:widowControl/>
              <w:tabs>
                <w:tab w:val="left" w:pos="360"/>
              </w:tabs>
              <w:rPr>
                <w:color w:val="000000" w:themeColor="text1"/>
              </w:rPr>
            </w:pPr>
            <w:r w:rsidRPr="00DB5D0D">
              <w:rPr>
                <w:color w:val="000000" w:themeColor="text1"/>
              </w:rPr>
              <w:t>1.</w:t>
            </w:r>
            <w:r w:rsidRPr="00DB5D0D">
              <w:rPr>
                <w:color w:val="000000" w:themeColor="text1"/>
              </w:rPr>
              <w:tab/>
              <w:t>Полет на километраж.</w:t>
            </w:r>
          </w:p>
          <w:p w14:paraId="0814A461" w14:textId="77777777" w:rsidR="003C7E8B" w:rsidRPr="00DB5D0D" w:rsidRDefault="003C7E8B" w:rsidP="00DB5D0D">
            <w:pPr>
              <w:pStyle w:val="24"/>
              <w:widowControl/>
              <w:tabs>
                <w:tab w:val="left" w:pos="360"/>
              </w:tabs>
              <w:rPr>
                <w:color w:val="000000" w:themeColor="text1"/>
              </w:rPr>
            </w:pPr>
            <w:r w:rsidRPr="00DB5D0D">
              <w:rPr>
                <w:color w:val="000000" w:themeColor="text1"/>
              </w:rPr>
              <w:t>2.</w:t>
            </w:r>
            <w:r w:rsidRPr="00DB5D0D">
              <w:rPr>
                <w:color w:val="000000" w:themeColor="text1"/>
              </w:rPr>
              <w:tab/>
              <w:t>Полет-перегонка на ЦА.</w:t>
            </w:r>
          </w:p>
        </w:tc>
        <w:tc>
          <w:tcPr>
            <w:tcW w:w="1358" w:type="dxa"/>
          </w:tcPr>
          <w:p w14:paraId="1AF2D9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07 мин.</w:t>
            </w:r>
          </w:p>
          <w:p w14:paraId="7193DE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мин.</w:t>
            </w:r>
          </w:p>
        </w:tc>
      </w:tr>
      <w:tr w:rsidR="007D5DF8" w:rsidRPr="00DB5D0D" w14:paraId="10D66C81" w14:textId="77777777" w:rsidTr="00E543D0">
        <w:tc>
          <w:tcPr>
            <w:tcW w:w="1951" w:type="dxa"/>
          </w:tcPr>
          <w:p w14:paraId="33488F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7005" w:type="dxa"/>
          </w:tcPr>
          <w:p w14:paraId="01AE7204" w14:textId="77777777" w:rsidR="003C7E8B" w:rsidRPr="00DB5D0D" w:rsidRDefault="003C7E8B" w:rsidP="00DB5D0D">
            <w:pPr>
              <w:pStyle w:val="24"/>
              <w:widowControl/>
              <w:rPr>
                <w:color w:val="000000" w:themeColor="text1"/>
              </w:rPr>
            </w:pPr>
            <w:r w:rsidRPr="00DB5D0D">
              <w:rPr>
                <w:color w:val="000000" w:themeColor="text1"/>
              </w:rPr>
              <w:t>Полет-перегонка с ЦА в Чкаловскую.</w:t>
            </w:r>
          </w:p>
        </w:tc>
        <w:tc>
          <w:tcPr>
            <w:tcW w:w="1358" w:type="dxa"/>
          </w:tcPr>
          <w:p w14:paraId="1C58AC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мин.</w:t>
            </w:r>
          </w:p>
        </w:tc>
      </w:tr>
      <w:tr w:rsidR="007D5DF8" w:rsidRPr="00DB5D0D" w14:paraId="516328E0" w14:textId="77777777" w:rsidTr="00E543D0">
        <w:tc>
          <w:tcPr>
            <w:tcW w:w="1951" w:type="dxa"/>
          </w:tcPr>
          <w:p w14:paraId="0D0D3E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29 июля 1940 года</w:t>
            </w:r>
          </w:p>
        </w:tc>
        <w:tc>
          <w:tcPr>
            <w:tcW w:w="7005" w:type="dxa"/>
          </w:tcPr>
          <w:p w14:paraId="501AB9C1" w14:textId="77777777" w:rsidR="003C7E8B" w:rsidRPr="00DB5D0D" w:rsidRDefault="003C7E8B" w:rsidP="00DB5D0D">
            <w:pPr>
              <w:pStyle w:val="24"/>
              <w:widowControl/>
              <w:tabs>
                <w:tab w:val="left" w:pos="360"/>
              </w:tabs>
              <w:rPr>
                <w:color w:val="000000" w:themeColor="text1"/>
              </w:rPr>
            </w:pPr>
            <w:r w:rsidRPr="00DB5D0D">
              <w:rPr>
                <w:color w:val="000000" w:themeColor="text1"/>
              </w:rPr>
              <w:t>1.</w:t>
            </w:r>
            <w:r w:rsidRPr="00DB5D0D">
              <w:rPr>
                <w:color w:val="000000" w:themeColor="text1"/>
              </w:rPr>
              <w:tab/>
              <w:t>Полет на стабилизацию температур с капотом "Ф".</w:t>
            </w:r>
          </w:p>
        </w:tc>
        <w:tc>
          <w:tcPr>
            <w:tcW w:w="1358" w:type="dxa"/>
          </w:tcPr>
          <w:p w14:paraId="2C54EF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50 мин.</w:t>
            </w:r>
          </w:p>
        </w:tc>
      </w:tr>
      <w:tr w:rsidR="007D5DF8" w:rsidRPr="00DB5D0D" w14:paraId="259DA8A6" w14:textId="77777777" w:rsidTr="00E543D0">
        <w:tc>
          <w:tcPr>
            <w:tcW w:w="1951" w:type="dxa"/>
          </w:tcPr>
          <w:p w14:paraId="6423F5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w:t>
            </w:r>
          </w:p>
        </w:tc>
        <w:tc>
          <w:tcPr>
            <w:tcW w:w="7005" w:type="dxa"/>
          </w:tcPr>
          <w:p w14:paraId="529AF220" w14:textId="77777777" w:rsidR="003C7E8B" w:rsidRPr="00DB5D0D" w:rsidRDefault="003C7E8B" w:rsidP="00DB5D0D">
            <w:pPr>
              <w:pStyle w:val="24"/>
              <w:widowControl/>
              <w:rPr>
                <w:color w:val="000000" w:themeColor="text1"/>
              </w:rPr>
            </w:pPr>
            <w:r w:rsidRPr="00DB5D0D">
              <w:rPr>
                <w:color w:val="000000" w:themeColor="text1"/>
              </w:rPr>
              <w:t>Полет на скороподъемность с капотом "Ф".</w:t>
            </w:r>
          </w:p>
        </w:tc>
        <w:tc>
          <w:tcPr>
            <w:tcW w:w="1358" w:type="dxa"/>
          </w:tcPr>
          <w:p w14:paraId="1D4798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полета</w:t>
            </w:r>
          </w:p>
          <w:p w14:paraId="5EA7EA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час. 00 мин.</w:t>
            </w:r>
          </w:p>
          <w:p w14:paraId="6AE671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40 мин.</w:t>
            </w:r>
          </w:p>
        </w:tc>
      </w:tr>
      <w:tr w:rsidR="007D5DF8" w:rsidRPr="00DB5D0D" w14:paraId="720B035F" w14:textId="77777777" w:rsidTr="00E543D0">
        <w:tc>
          <w:tcPr>
            <w:tcW w:w="1951" w:type="dxa"/>
          </w:tcPr>
          <w:p w14:paraId="2C5BBE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года</w:t>
            </w:r>
          </w:p>
        </w:tc>
        <w:tc>
          <w:tcPr>
            <w:tcW w:w="7005" w:type="dxa"/>
          </w:tcPr>
          <w:p w14:paraId="56989E19" w14:textId="77777777" w:rsidR="003C7E8B" w:rsidRPr="00DB5D0D" w:rsidRDefault="003C7E8B" w:rsidP="00DB5D0D">
            <w:pPr>
              <w:pStyle w:val="24"/>
              <w:widowControl/>
              <w:rPr>
                <w:color w:val="000000" w:themeColor="text1"/>
              </w:rPr>
            </w:pPr>
            <w:r w:rsidRPr="00DB5D0D">
              <w:rPr>
                <w:color w:val="000000" w:themeColor="text1"/>
              </w:rPr>
              <w:t>Полет на скороподъемность с капотом "Ф".</w:t>
            </w:r>
          </w:p>
        </w:tc>
        <w:tc>
          <w:tcPr>
            <w:tcW w:w="1358" w:type="dxa"/>
          </w:tcPr>
          <w:p w14:paraId="37F5F6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23 мин.</w:t>
            </w:r>
          </w:p>
        </w:tc>
      </w:tr>
      <w:tr w:rsidR="007D5DF8" w:rsidRPr="00DB5D0D" w14:paraId="66D8757B" w14:textId="77777777" w:rsidTr="00E543D0">
        <w:tc>
          <w:tcPr>
            <w:tcW w:w="1951" w:type="dxa"/>
          </w:tcPr>
          <w:p w14:paraId="2B8D43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года</w:t>
            </w:r>
          </w:p>
        </w:tc>
        <w:tc>
          <w:tcPr>
            <w:tcW w:w="7005" w:type="dxa"/>
          </w:tcPr>
          <w:p w14:paraId="6575C062" w14:textId="77777777" w:rsidR="003C7E8B" w:rsidRPr="00DB5D0D" w:rsidRDefault="003C7E8B" w:rsidP="00DB5D0D">
            <w:pPr>
              <w:pStyle w:val="24"/>
              <w:widowControl/>
              <w:rPr>
                <w:color w:val="000000" w:themeColor="text1"/>
              </w:rPr>
            </w:pPr>
            <w:r w:rsidRPr="00DB5D0D">
              <w:rPr>
                <w:color w:val="000000" w:themeColor="text1"/>
              </w:rPr>
              <w:t>Полет-перегонка на ЦА.</w:t>
            </w:r>
          </w:p>
        </w:tc>
        <w:tc>
          <w:tcPr>
            <w:tcW w:w="1358" w:type="dxa"/>
          </w:tcPr>
          <w:p w14:paraId="716265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мин.</w:t>
            </w:r>
          </w:p>
        </w:tc>
      </w:tr>
      <w:tr w:rsidR="007D5DF8" w:rsidRPr="00DB5D0D" w14:paraId="1F62BB00" w14:textId="77777777" w:rsidTr="00E543D0">
        <w:tc>
          <w:tcPr>
            <w:tcW w:w="1951" w:type="dxa"/>
          </w:tcPr>
          <w:p w14:paraId="191FEC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w:t>
            </w:r>
          </w:p>
        </w:tc>
        <w:tc>
          <w:tcPr>
            <w:tcW w:w="7005" w:type="dxa"/>
          </w:tcPr>
          <w:p w14:paraId="78CFAE4E" w14:textId="77777777" w:rsidR="003C7E8B" w:rsidRPr="00DB5D0D" w:rsidRDefault="003C7E8B" w:rsidP="00DB5D0D">
            <w:pPr>
              <w:pStyle w:val="24"/>
              <w:widowControl/>
              <w:rPr>
                <w:color w:val="000000" w:themeColor="text1"/>
              </w:rPr>
            </w:pPr>
            <w:r w:rsidRPr="00DB5D0D">
              <w:rPr>
                <w:color w:val="000000" w:themeColor="text1"/>
              </w:rPr>
              <w:t>Полет-перегонка с ЦА в Чкаловскую.</w:t>
            </w:r>
          </w:p>
        </w:tc>
        <w:tc>
          <w:tcPr>
            <w:tcW w:w="1358" w:type="dxa"/>
          </w:tcPr>
          <w:p w14:paraId="525EF1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мин.</w:t>
            </w:r>
          </w:p>
        </w:tc>
      </w:tr>
      <w:tr w:rsidR="007D5DF8" w:rsidRPr="00DB5D0D" w14:paraId="5D43BA78" w14:textId="77777777" w:rsidTr="00E543D0">
        <w:tc>
          <w:tcPr>
            <w:tcW w:w="1951" w:type="dxa"/>
          </w:tcPr>
          <w:p w14:paraId="29ACB5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w:t>
            </w:r>
          </w:p>
        </w:tc>
        <w:tc>
          <w:tcPr>
            <w:tcW w:w="7005" w:type="dxa"/>
          </w:tcPr>
          <w:p w14:paraId="61ADB3CA" w14:textId="77777777" w:rsidR="003C7E8B" w:rsidRPr="00DB5D0D" w:rsidRDefault="003C7E8B" w:rsidP="00DB5D0D">
            <w:pPr>
              <w:pStyle w:val="24"/>
              <w:widowControl/>
              <w:rPr>
                <w:color w:val="000000" w:themeColor="text1"/>
              </w:rPr>
            </w:pPr>
            <w:r w:rsidRPr="00DB5D0D">
              <w:rPr>
                <w:color w:val="000000" w:themeColor="text1"/>
              </w:rPr>
              <w:t>Полет на скороподъемность и скорости по высотам.</w:t>
            </w:r>
          </w:p>
        </w:tc>
        <w:tc>
          <w:tcPr>
            <w:tcW w:w="1358" w:type="dxa"/>
          </w:tcPr>
          <w:p w14:paraId="5FD72F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час. 00 мин.</w:t>
            </w:r>
          </w:p>
        </w:tc>
      </w:tr>
      <w:tr w:rsidR="007D5DF8" w:rsidRPr="00DB5D0D" w14:paraId="547C5944" w14:textId="77777777" w:rsidTr="00E543D0">
        <w:tc>
          <w:tcPr>
            <w:tcW w:w="1951" w:type="dxa"/>
          </w:tcPr>
          <w:p w14:paraId="0A5585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года</w:t>
            </w:r>
          </w:p>
        </w:tc>
        <w:tc>
          <w:tcPr>
            <w:tcW w:w="7005" w:type="dxa"/>
          </w:tcPr>
          <w:p w14:paraId="0DE30BA8" w14:textId="77777777" w:rsidR="003C7E8B" w:rsidRPr="00DB5D0D" w:rsidRDefault="003C7E8B" w:rsidP="00DB5D0D">
            <w:pPr>
              <w:pStyle w:val="24"/>
              <w:widowControl/>
              <w:rPr>
                <w:color w:val="000000" w:themeColor="text1"/>
              </w:rPr>
            </w:pPr>
            <w:r w:rsidRPr="00DB5D0D">
              <w:rPr>
                <w:color w:val="000000" w:themeColor="text1"/>
              </w:rPr>
              <w:t>Полет на фотографирование маршрута и опробование работ КАС-8.</w:t>
            </w:r>
          </w:p>
        </w:tc>
        <w:tc>
          <w:tcPr>
            <w:tcW w:w="1358" w:type="dxa"/>
          </w:tcPr>
          <w:p w14:paraId="5A42EC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20 мин.</w:t>
            </w:r>
          </w:p>
        </w:tc>
      </w:tr>
      <w:tr w:rsidR="007D5DF8" w:rsidRPr="00DB5D0D" w14:paraId="73AC14FB" w14:textId="77777777" w:rsidTr="00E543D0">
        <w:tc>
          <w:tcPr>
            <w:tcW w:w="1951" w:type="dxa"/>
          </w:tcPr>
          <w:p w14:paraId="417966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года</w:t>
            </w:r>
          </w:p>
        </w:tc>
        <w:tc>
          <w:tcPr>
            <w:tcW w:w="7005" w:type="dxa"/>
          </w:tcPr>
          <w:p w14:paraId="6969FC9F" w14:textId="77777777" w:rsidR="003C7E8B" w:rsidRPr="00DB5D0D" w:rsidRDefault="003C7E8B" w:rsidP="00DB5D0D">
            <w:pPr>
              <w:pStyle w:val="24"/>
              <w:widowControl/>
              <w:rPr>
                <w:color w:val="000000" w:themeColor="text1"/>
              </w:rPr>
            </w:pPr>
            <w:r w:rsidRPr="00DB5D0D">
              <w:rPr>
                <w:color w:val="000000" w:themeColor="text1"/>
              </w:rPr>
              <w:t>Полет на километраж.</w:t>
            </w:r>
          </w:p>
        </w:tc>
        <w:tc>
          <w:tcPr>
            <w:tcW w:w="1358" w:type="dxa"/>
          </w:tcPr>
          <w:p w14:paraId="220D4F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00 мин.</w:t>
            </w:r>
          </w:p>
        </w:tc>
      </w:tr>
      <w:tr w:rsidR="007D5DF8" w:rsidRPr="00DB5D0D" w14:paraId="26D16E5A" w14:textId="77777777" w:rsidTr="00E543D0">
        <w:tc>
          <w:tcPr>
            <w:tcW w:w="1951" w:type="dxa"/>
          </w:tcPr>
          <w:p w14:paraId="2BADD6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года</w:t>
            </w:r>
          </w:p>
        </w:tc>
        <w:tc>
          <w:tcPr>
            <w:tcW w:w="7005" w:type="dxa"/>
          </w:tcPr>
          <w:p w14:paraId="471CD69D" w14:textId="77777777" w:rsidR="003C7E8B" w:rsidRPr="00DB5D0D" w:rsidRDefault="003C7E8B" w:rsidP="00DB5D0D">
            <w:pPr>
              <w:pStyle w:val="24"/>
              <w:widowControl/>
              <w:rPr>
                <w:color w:val="000000" w:themeColor="text1"/>
              </w:rPr>
            </w:pPr>
            <w:r w:rsidRPr="00DB5D0D">
              <w:rPr>
                <w:color w:val="000000" w:themeColor="text1"/>
              </w:rPr>
              <w:t>Полет на скороподъемность и скорости по высотам.</w:t>
            </w:r>
          </w:p>
        </w:tc>
        <w:tc>
          <w:tcPr>
            <w:tcW w:w="1358" w:type="dxa"/>
          </w:tcPr>
          <w:p w14:paraId="38621B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час. 07 мин.</w:t>
            </w:r>
          </w:p>
        </w:tc>
      </w:tr>
      <w:tr w:rsidR="007D5DF8" w:rsidRPr="00DB5D0D" w14:paraId="62BE5337" w14:textId="77777777" w:rsidTr="00E543D0">
        <w:tc>
          <w:tcPr>
            <w:tcW w:w="1951" w:type="dxa"/>
          </w:tcPr>
          <w:p w14:paraId="4B8335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года</w:t>
            </w:r>
          </w:p>
        </w:tc>
        <w:tc>
          <w:tcPr>
            <w:tcW w:w="7005" w:type="dxa"/>
          </w:tcPr>
          <w:p w14:paraId="039DFDAA" w14:textId="77777777" w:rsidR="003C7E8B" w:rsidRPr="00DB5D0D" w:rsidRDefault="003C7E8B" w:rsidP="00DB5D0D">
            <w:pPr>
              <w:pStyle w:val="24"/>
              <w:widowControl/>
              <w:rPr>
                <w:color w:val="000000" w:themeColor="text1"/>
              </w:rPr>
            </w:pPr>
            <w:r w:rsidRPr="00DB5D0D">
              <w:rPr>
                <w:color w:val="000000" w:themeColor="text1"/>
              </w:rPr>
              <w:t>Полет на стрельбу по земным мишеням.</w:t>
            </w:r>
          </w:p>
        </w:tc>
        <w:tc>
          <w:tcPr>
            <w:tcW w:w="1358" w:type="dxa"/>
          </w:tcPr>
          <w:p w14:paraId="5F1925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10 мин.</w:t>
            </w:r>
          </w:p>
        </w:tc>
      </w:tr>
      <w:tr w:rsidR="007D5DF8" w:rsidRPr="00DB5D0D" w14:paraId="4DF75376" w14:textId="77777777" w:rsidTr="00E543D0">
        <w:tc>
          <w:tcPr>
            <w:tcW w:w="1951" w:type="dxa"/>
          </w:tcPr>
          <w:p w14:paraId="3A8B45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w:t>
            </w:r>
          </w:p>
        </w:tc>
        <w:tc>
          <w:tcPr>
            <w:tcW w:w="7005" w:type="dxa"/>
          </w:tcPr>
          <w:p w14:paraId="0C0123F0" w14:textId="77777777" w:rsidR="003C7E8B" w:rsidRPr="00DB5D0D" w:rsidRDefault="003C7E8B" w:rsidP="00DB5D0D">
            <w:pPr>
              <w:pStyle w:val="24"/>
              <w:widowControl/>
              <w:rPr>
                <w:color w:val="000000" w:themeColor="text1"/>
              </w:rPr>
            </w:pPr>
            <w:r w:rsidRPr="00DB5D0D">
              <w:rPr>
                <w:color w:val="000000" w:themeColor="text1"/>
              </w:rPr>
              <w:t>Полеты в Ногинск для бомбометания с фотографированием и отстрелом пулеметов.</w:t>
            </w:r>
          </w:p>
        </w:tc>
        <w:tc>
          <w:tcPr>
            <w:tcW w:w="1358" w:type="dxa"/>
          </w:tcPr>
          <w:p w14:paraId="22CC61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полета</w:t>
            </w:r>
          </w:p>
          <w:p w14:paraId="15C8A8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45 мин.</w:t>
            </w:r>
          </w:p>
        </w:tc>
      </w:tr>
      <w:tr w:rsidR="007D5DF8" w:rsidRPr="00DB5D0D" w14:paraId="5B5FF1B1" w14:textId="77777777" w:rsidTr="00E543D0">
        <w:tc>
          <w:tcPr>
            <w:tcW w:w="1951" w:type="dxa"/>
          </w:tcPr>
          <w:p w14:paraId="2449A3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года</w:t>
            </w:r>
          </w:p>
        </w:tc>
        <w:tc>
          <w:tcPr>
            <w:tcW w:w="7005" w:type="dxa"/>
          </w:tcPr>
          <w:p w14:paraId="381A991E" w14:textId="77777777" w:rsidR="003C7E8B" w:rsidRPr="00DB5D0D" w:rsidRDefault="003C7E8B" w:rsidP="00DB5D0D">
            <w:pPr>
              <w:pStyle w:val="24"/>
              <w:widowControl/>
              <w:rPr>
                <w:color w:val="000000" w:themeColor="text1"/>
              </w:rPr>
            </w:pPr>
            <w:r w:rsidRPr="00DB5D0D">
              <w:rPr>
                <w:color w:val="000000" w:themeColor="text1"/>
              </w:rPr>
              <w:t>Полет-перегонка на ЦА для установки удлиненного подголовника летчика.</w:t>
            </w:r>
          </w:p>
        </w:tc>
        <w:tc>
          <w:tcPr>
            <w:tcW w:w="1358" w:type="dxa"/>
          </w:tcPr>
          <w:p w14:paraId="6F70F4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мин.</w:t>
            </w:r>
          </w:p>
        </w:tc>
      </w:tr>
    </w:tbl>
    <w:p w14:paraId="0AC7F9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(7764).</w:t>
      </w:r>
    </w:p>
    <w:p w14:paraId="34B8BA8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DD928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г. во исполнение решения Комитета Обороны в НИИ ВВС на контрольные государственные испытания поступил самолет ДБ-3Ф с двигателями М-88 и воздушными винтами ВИШ-23Т диаметром 3,4 м с регулятором постоянных оборотов Р-2 - эталон для серийного производства во второй половине 1940 г. Как и на ранее выпущенных ДБ-3, экипаж самолета-эталона состоял из трех человек, но в конструкцию машины был внесен ряд улучшений. На ней клепка крыла и фюзеляжа выполнялась заклепками с потайными головками, была улучшена укладка остекления в кабине штурмана, установлена убирающаяся в полете хвостовая опора, маслорадиаторы убраны внутрь передней кромки крыла, самолет окрашен по шпаклевке эмалевой краской: сверху - темно-зеленой, снизу - светло-голубой. Усилили оборонительное вооружение: верхняя стрелковая установка типа СУ и нижняя люковая установка типа ЛУ были заменены более современными установками МВ-3 и МВ-2 с пулеметами ШКАС, уже прошедшими испытания на ДБ-3. В заключении по результатам государственных испытаний, закончившихся 23 августа 1940 г., отмечалась недоведенность двигателей М-88, выявленная в процессе эксплуатации в строевых частях самолетов с этими двигателями. К этому добавились несколько аварий опытных самолетов других ОКБ, на которых были установлены те же М-88 (9528).</w:t>
      </w:r>
    </w:p>
    <w:p w14:paraId="7EE85E8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3805D9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года вышел приказ НИИ ВВС № 0140</w:t>
      </w:r>
    </w:p>
    <w:p w14:paraId="5E93CC1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Специальные летные испытания моторов М-88 на самолете ДБ-3Ф (6891, 262).</w:t>
      </w:r>
    </w:p>
    <w:p w14:paraId="670869F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8D5EE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16 июля по 23 августа 1940 проходили гос. испытания серийного ДБ-3Ф N 390801 производства 39 завода (796,29).</w:t>
      </w:r>
    </w:p>
    <w:p w14:paraId="5230CF1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58654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16 июля по 13 августа 1940 проходили испытания самолета СБ 2М105 с винтами ВИШ-22Е № 1/227</w:t>
      </w:r>
    </w:p>
    <w:p w14:paraId="7D6802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1A355D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3 ранга Мальцев</w:t>
      </w:r>
    </w:p>
    <w:p w14:paraId="0C5A09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капитан майор Автономов</w:t>
      </w:r>
    </w:p>
    <w:p w14:paraId="751D1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9462DB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летные характеристики самолета СБ с моторами М-105 и винтами ВИШ-22Е.</w:t>
      </w:r>
    </w:p>
    <w:p w14:paraId="14551C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Испытанию подвергался самолет СБ 2М-105 с винтами ВИШ-22Е № 1/227 ранее проходивший испытание по снятию летных характеристик на лыжах в 1 отделе НИИ ВВС в марте 1940 года.</w:t>
      </w:r>
    </w:p>
    <w:p w14:paraId="202B86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момента выхода с завода № 22 с 11 декабря 1939 года по 10 августа 1940 года работал в воздухе 156 час. 25 мин. и имел 159 посадок. Сменено 11 моторов – из них правых – 4, левых – 7.</w:t>
      </w:r>
    </w:p>
    <w:p w14:paraId="40DFFF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начато 16 июля 1940 года</w:t>
      </w:r>
    </w:p>
    <w:p w14:paraId="6C6364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закончено 13 августа 1940 года</w:t>
      </w:r>
    </w:p>
    <w:p w14:paraId="3C0BF2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самолет произвел 18 полетов с количеством налета в воздухе – 9 час. 21 мин.</w:t>
      </w:r>
    </w:p>
    <w:p w14:paraId="315C73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2BD7BC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Полученные летные данные самолета СБ 2М105 № 1/227 с ВИШ-22Е не являются максимальными для самолетов СБ 2М-105 и требуют проверки их на другом самолете СБ с мотором М-105 (4481).</w:t>
      </w:r>
    </w:p>
    <w:p w14:paraId="7A43010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778B1A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в ходе заводских испытаний И-200 А.И.М, которые проходили с 31 марта по 17 августа 1940, на И-200-2 был выполнен полет на проверку температурных режимов ВМГ (2988).</w:t>
      </w:r>
    </w:p>
    <w:p w14:paraId="2E8BFE8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AF34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вышел приказ НКАП N 288 о проведении заводских испытаний самолета И-153 с ГК к 5 августа 1940. Объект был сдан на гос. испытания в НИИ ВВС 20 июля 1940. Испытания прошли успешно в соответствии с ТТТ НИИ ВВС (1301,61).</w:t>
      </w:r>
    </w:p>
    <w:p w14:paraId="1B74DE4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D8058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г., понимая, что две последние аварии с И-180 могут бросить тень недоверия на самолет, Е.Г.Уляхин направил письмо начальнику 1-го отдела 1-го управления ГУАС КА бригинженеру Пискунову, в котором предельно откровенно отметил все недостатки и все сильные стороны истребителя, призвав руководст</w:t>
      </w:r>
      <w:r w:rsidRPr="00DB5D0D">
        <w:rPr>
          <w:rFonts w:ascii="Times New Roman" w:hAnsi="Times New Roman"/>
          <w:color w:val="000000" w:themeColor="text1"/>
          <w:sz w:val="16"/>
          <w:szCs w:val="16"/>
        </w:rPr>
        <w:softHyphen/>
        <w:t>во ВВС дать объективную оценку машине:</w:t>
      </w:r>
    </w:p>
    <w:p w14:paraId="6FC5B4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 самолета И-180 недостаточная устойчивость благодаря задней центровке - 28% (если сравнивать с са</w:t>
      </w:r>
      <w:r w:rsidRPr="00DB5D0D">
        <w:rPr>
          <w:rFonts w:ascii="Times New Roman" w:hAnsi="Times New Roman"/>
          <w:color w:val="000000" w:themeColor="text1"/>
          <w:sz w:val="16"/>
          <w:szCs w:val="16"/>
        </w:rPr>
        <w:softHyphen/>
        <w:t>молетом Местер-Шмитт 109 (так в документе)).</w:t>
      </w:r>
    </w:p>
    <w:p w14:paraId="0EB380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Неспокойный пробег после посадки...</w:t>
      </w:r>
    </w:p>
    <w:p w14:paraId="174E6C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два недостатка ставят самолет в оценке опреде</w:t>
      </w:r>
      <w:r w:rsidRPr="00DB5D0D">
        <w:rPr>
          <w:rFonts w:ascii="Times New Roman" w:hAnsi="Times New Roman"/>
          <w:color w:val="000000" w:themeColor="text1"/>
          <w:sz w:val="16"/>
          <w:szCs w:val="16"/>
        </w:rPr>
        <w:softHyphen/>
        <w:t>ления на уровень И-16, т.е. самолет, не устранив эти не</w:t>
      </w:r>
      <w:r w:rsidRPr="00DB5D0D">
        <w:rPr>
          <w:rFonts w:ascii="Times New Roman" w:hAnsi="Times New Roman"/>
          <w:color w:val="000000" w:themeColor="text1"/>
          <w:sz w:val="16"/>
          <w:szCs w:val="16"/>
        </w:rPr>
        <w:softHyphen/>
        <w:t>достатки, будет рассчитан на летчика выше средней квалификации или, точнее, на летчика, облетанного на И-16. Если же устранить вышеуказанные недостатки, то самолет становится гораздо проще самолета Местер-Шмитта 109 и будет рассчитан на летчика ниже средней подготовки.</w:t>
      </w:r>
    </w:p>
    <w:p w14:paraId="369908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с самого начала я настаивал на изменении центровки, в этом направлении имеются небольшие до</w:t>
      </w:r>
      <w:r w:rsidRPr="00DB5D0D">
        <w:rPr>
          <w:rFonts w:ascii="Times New Roman" w:hAnsi="Times New Roman"/>
          <w:color w:val="000000" w:themeColor="text1"/>
          <w:sz w:val="16"/>
          <w:szCs w:val="16"/>
        </w:rPr>
        <w:softHyphen/>
        <w:t>стижения на полученных серийных самолетах И-180 за</w:t>
      </w:r>
      <w:r w:rsidRPr="00DB5D0D">
        <w:rPr>
          <w:rFonts w:ascii="Times New Roman" w:hAnsi="Times New Roman"/>
          <w:color w:val="000000" w:themeColor="text1"/>
          <w:sz w:val="16"/>
          <w:szCs w:val="16"/>
        </w:rPr>
        <w:softHyphen/>
        <w:t>вода № 21, где центровка 24%, и это уже очень сильно улучшило устойчивость, хотя это еще не все, есть воз</w:t>
      </w:r>
      <w:r w:rsidRPr="00DB5D0D">
        <w:rPr>
          <w:rFonts w:ascii="Times New Roman" w:hAnsi="Times New Roman"/>
          <w:color w:val="000000" w:themeColor="text1"/>
          <w:sz w:val="16"/>
          <w:szCs w:val="16"/>
        </w:rPr>
        <w:softHyphen/>
        <w:t>можность гораздо больше получить результаты за счет стреловидности крыла, благодаря которому достигается центровка 19-21%. Эта центровка совершенно разреша</w:t>
      </w:r>
      <w:r w:rsidRPr="00DB5D0D">
        <w:rPr>
          <w:rFonts w:ascii="Times New Roman" w:hAnsi="Times New Roman"/>
          <w:color w:val="000000" w:themeColor="text1"/>
          <w:sz w:val="16"/>
          <w:szCs w:val="16"/>
        </w:rPr>
        <w:softHyphen/>
        <w:t>ет вопрос устойчивости.</w:t>
      </w:r>
    </w:p>
    <w:p w14:paraId="27F5CC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надо сделать, чтобы устранить неспокойность пробега? Недостаток устраняется постановкой другого костыля с дутиком. Опыт НИИ ВВС показал, что это со</w:t>
      </w:r>
      <w:r w:rsidRPr="00DB5D0D">
        <w:rPr>
          <w:rFonts w:ascii="Times New Roman" w:hAnsi="Times New Roman"/>
          <w:color w:val="000000" w:themeColor="text1"/>
          <w:sz w:val="16"/>
          <w:szCs w:val="16"/>
        </w:rPr>
        <w:softHyphen/>
        <w:t>вершенно устраняет неспокойность пробега самолета.</w:t>
      </w:r>
    </w:p>
    <w:p w14:paraId="1BA75F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Могут ли эти два вопроса быть трудными для разре</w:t>
      </w:r>
      <w:r w:rsidRPr="00DB5D0D">
        <w:rPr>
          <w:rFonts w:ascii="Times New Roman" w:hAnsi="Times New Roman"/>
          <w:color w:val="000000" w:themeColor="text1"/>
          <w:sz w:val="16"/>
          <w:szCs w:val="16"/>
        </w:rPr>
        <w:softHyphen/>
        <w:t>шения производством завода №21 на серии? Конечно нет. Это очень легко разрешимые вопросы.</w:t>
      </w:r>
    </w:p>
    <w:p w14:paraId="7F0F1F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же остается в пользу этого самолета?</w:t>
      </w:r>
    </w:p>
    <w:p w14:paraId="022846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Малая уязвимость благодаря мотору воздушного охлаждения.</w:t>
      </w:r>
    </w:p>
    <w:p w14:paraId="5E1D60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Преимущество в скорости.</w:t>
      </w:r>
    </w:p>
    <w:p w14:paraId="28182D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Высотность.</w:t>
      </w:r>
    </w:p>
    <w:p w14:paraId="428D2D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Маневренность (лучше, чем на самолете с мотором водяного охлаждения).</w:t>
      </w:r>
    </w:p>
    <w:p w14:paraId="3D06DB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Сильная огневая мощь, сконцентрированная в один пучок.</w:t>
      </w:r>
    </w:p>
    <w:p w14:paraId="4B139D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Вышеуказанное отвечает всем требованиям ВВС КА.</w:t>
      </w:r>
    </w:p>
    <w:p w14:paraId="4A8E01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Необходимость в вооружении такого самолета Вам очевидна» (10667).</w:t>
      </w:r>
    </w:p>
    <w:p w14:paraId="44EBE2E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6D2FB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FCC008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03D29B6"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г.</w:t>
      </w:r>
    </w:p>
    <w:p w14:paraId="55760FE5"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154. Справка мобилизационного отдела Госплана СССР “О ходе выполнения плана третьей пятилетки по капитальному строительству наркоматами оборонной промышленности и обороны”</w:t>
      </w:r>
    </w:p>
    <w:p w14:paraId="2D4CA9CC"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711AB645"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Оборонно-промышленный комплекс СССР накануне Великой Отечественной Войны (1938 — июнь 1941). М.: Книжный Клуб Книговек, Москва, 2015. Стр. 624-627.</w:t>
      </w:r>
    </w:p>
    <w:p w14:paraId="28CF79FE"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3A87C1BE"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 4372. Оп. 92. Д. 354. Л. 96-100. Копия.</w:t>
      </w:r>
    </w:p>
    <w:p w14:paraId="05205FE8"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460BFE81"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По Наркомату авиации</w:t>
      </w:r>
    </w:p>
    <w:p w14:paraId="552F6FAE"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Объем капитальных работ на третье пятилетие по плану установлен в размере 6290 млн. руб. Из них освоено: в 1938 г. — 1021,9 млн. руб., в 1939 г. — 1314,4 млн. руб. и запланировано на 1940 г. 1571,03 млн. руб. Выполнение за три года пятилетки должно составить 3907,3 млн. руб., или 62% к плану пятилетки. При таком темпе строительства на 1941 г. потребуется лимит не менее 1800 млн. руб. и тогда на 1942 г. останется освоению всего 582 млн. руб.</w:t>
      </w:r>
    </w:p>
    <w:p w14:paraId="17DC57BB"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то, что в 1939</w:t>
      </w:r>
      <w:r w:rsidRPr="00DB5D0D">
        <w:rPr>
          <w:rFonts w:ascii="Times New Roman" w:hAnsi="Times New Roman"/>
          <w:color w:val="000000" w:themeColor="text1"/>
          <w:sz w:val="16"/>
          <w:szCs w:val="16"/>
        </w:rPr>
        <w:noBreakHyphen/>
        <w:t>1940 гг. начато строительство новых заводов с общей их стоимостью в 6000 млн. руб. и срок ввода в действие большинства этих заводов установлен в 1943</w:t>
      </w:r>
      <w:r w:rsidRPr="00DB5D0D">
        <w:rPr>
          <w:rFonts w:ascii="Times New Roman" w:hAnsi="Times New Roman"/>
          <w:color w:val="000000" w:themeColor="text1"/>
          <w:sz w:val="16"/>
          <w:szCs w:val="16"/>
        </w:rPr>
        <w:noBreakHyphen/>
        <w:t>1944 гг., для обеспечения пусковых сроков в последние годы III пятилетки потребуются значительные средства по капвложениям, и в особенности в  1942 г.</w:t>
      </w:r>
    </w:p>
    <w:p w14:paraId="7B1E5B86"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потребуются капвложения на строительство ряда новых подсобных заводов и заводов по производству алюминиевого и дюралюминиевого проката для того, чтобы ликвидировать диспропорцию, вызванную строительством новых авиазаводов.</w:t>
      </w:r>
    </w:p>
    <w:p w14:paraId="56AA2588"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По Наркомату боеприпасов</w:t>
      </w:r>
    </w:p>
    <w:p w14:paraId="586EA401"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Объем капитальных работ на 1938</w:t>
      </w:r>
      <w:r w:rsidRPr="00DB5D0D">
        <w:rPr>
          <w:rFonts w:ascii="Times New Roman" w:hAnsi="Times New Roman"/>
          <w:color w:val="000000" w:themeColor="text1"/>
          <w:sz w:val="16"/>
          <w:szCs w:val="16"/>
        </w:rPr>
        <w:noBreakHyphen/>
        <w:t>1942 гг. третьим пятилетним планом установлен в размере 5305 млн. руб. Из них освоено: в 1938 г. — 764 млн. руб., в 1339 г. — 1060,5 млн. руб. и запланировано на 1940 г. 1471,7 млн. руб.</w:t>
      </w:r>
    </w:p>
    <w:p w14:paraId="27968CC9"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 по капработам, как в 1938</w:t>
      </w:r>
      <w:r w:rsidRPr="00DB5D0D">
        <w:rPr>
          <w:rFonts w:ascii="Times New Roman" w:hAnsi="Times New Roman"/>
          <w:color w:val="000000" w:themeColor="text1"/>
          <w:sz w:val="16"/>
          <w:szCs w:val="16"/>
        </w:rPr>
        <w:noBreakHyphen/>
        <w:t>1939 гг., так и в 1940 г., неудовлетворительное (план 1938</w:t>
      </w:r>
      <w:r w:rsidRPr="00DB5D0D">
        <w:rPr>
          <w:rFonts w:ascii="Times New Roman" w:hAnsi="Times New Roman"/>
          <w:color w:val="000000" w:themeColor="text1"/>
          <w:sz w:val="16"/>
          <w:szCs w:val="16"/>
        </w:rPr>
        <w:noBreakHyphen/>
        <w:t>1939 гг. выполнен на 60</w:t>
      </w:r>
      <w:r w:rsidRPr="00DB5D0D">
        <w:rPr>
          <w:rFonts w:ascii="Times New Roman" w:hAnsi="Times New Roman"/>
          <w:color w:val="000000" w:themeColor="text1"/>
          <w:sz w:val="16"/>
          <w:szCs w:val="16"/>
        </w:rPr>
        <w:noBreakHyphen/>
        <w:t>70% и предварительные итоги первого полугодия 1940 г. составят 28% от годового плана).</w:t>
      </w:r>
    </w:p>
    <w:p w14:paraId="55A3CD5D"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ввода в действие на третье пятилетие установлен в размере 5450 млн. руб. Введено за 1938 г. на 658,7 млн. руб., в 1939 г. — на 943,9 млн. руб. и запланировано к вводу в 1940 г. на 1478 млн. руб., а всего за три года — 56,5% к пятилетке.</w:t>
      </w:r>
    </w:p>
    <w:p w14:paraId="080A5A88"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 вводу в действие выполняется неудовлетворительно, в особенности по важнейшим объектам и осуществляемым Наркомстроем (заводы № 78, 187, 176). Из 57 объектов по наркомату, подлежащих вводу в первом полугодии 1940 г. введено за полугодие 17. Для выполнения третьего пятилетнего плана в оставшиеся два года необходимо сосредоточить внимание на пусковых стройках, как то: заводы № 56, 64, 113, 114, 144, 253, 320, 255, 100, 101, 392, 316, 98, 61, 187, 257, 179.</w:t>
      </w:r>
    </w:p>
    <w:p w14:paraId="103FBC8C"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По Наркомату судостроения</w:t>
      </w:r>
    </w:p>
    <w:p w14:paraId="7830EF9E"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Объем капитальных работ на третье пятилетие по плану установлен в размере 4302 млн. руб. Из них освоено: в 1938 г. — 714 млн. руб., в 1939 г. — 937,75 млн. руб. и запланировано на 1940 г. — 999,97 млн. руб.</w:t>
      </w:r>
    </w:p>
    <w:p w14:paraId="08657969"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условии выполнения плана в 1940 г. за три года пятилетки будет освоено 2 651 720 млн. руб., или 61,6% плана. Темп выполнения плана удовлетворительный. Однако вследствие значительного роста объема производства как по валовой продукции, так и по закладке и сдаче кораблей, образовались диспропорции, для устранения которых необходима постройка заводов и цехов, не предусмотренных планом третьей пятилетки.</w:t>
      </w:r>
    </w:p>
    <w:p w14:paraId="37EF721C"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частности, необходимо строить: 1) завод или цех крупных изложниц для броневых слитков; 2) цех сварных котельных коллекторов; 3) завод вспомогательных механизмов (насосы, шпили, лебедки и т. п.); 4) завод инструмента, приспособлений штампов и пресс-форм; 5) завод судовой арматуры; 6) достроечные базы на местах сдачи судов (Балтика, Север, Черное море, Тихоокеанский флот).</w:t>
      </w:r>
    </w:p>
    <w:p w14:paraId="77F96227"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необходимо предусмотреть строительство заводов, обеспечивающих Военно-морской флот теми типами судов, потребность в которых резко не удовлетворяется, а именно: 1) заводы вспомогательного флота (буксиры, баржи, транспорты, десантные суда и т. д.); 2) заводы технического флота (плавмастерские, плавкраны, коллекторы, спасательные и гидрографические суда).</w:t>
      </w:r>
    </w:p>
    <w:p w14:paraId="35376509"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указанных выше объектов НКСП не предусмотрено, Госплан же внес предложение в Экономсовет при СНК СССР о включении их в план проектно-изыскательных работ на 1940 г.</w:t>
      </w:r>
    </w:p>
    <w:p w14:paraId="292BCF48"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По Наркомату вооружения</w:t>
      </w:r>
    </w:p>
    <w:p w14:paraId="10BBBBCD"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Объем капитальных работ на третье пятилетие по плану установлен в размере 3679 млн. руб. Из них выполнено работ: в 1938 г. — 490 млн. руб., в 1939 г. — на 803,8 млн. руб. и план на 1940 г. установлен в 894 млн. руб. Ожидаемое выполнение за три года составит 2187,8 млн. руб., или 59,5% к пятилетнему плану. Ожидаемое выполнение плана ввода в действие за 3 года составит 47% к пятилетке. План по снижению себестоимости строительств не выполняется, и вместо снижения за 1938</w:t>
      </w:r>
      <w:r w:rsidRPr="00DB5D0D">
        <w:rPr>
          <w:rFonts w:ascii="Times New Roman" w:hAnsi="Times New Roman"/>
          <w:color w:val="000000" w:themeColor="text1"/>
          <w:sz w:val="16"/>
          <w:szCs w:val="16"/>
        </w:rPr>
        <w:noBreakHyphen/>
        <w:t>1939 гг. произошло удорожание на 13,5%. Для окончания строительства объектов, намеченных к вводу в действие в 1941</w:t>
      </w:r>
      <w:r w:rsidRPr="00DB5D0D">
        <w:rPr>
          <w:rFonts w:ascii="Times New Roman" w:hAnsi="Times New Roman"/>
          <w:color w:val="000000" w:themeColor="text1"/>
          <w:sz w:val="16"/>
          <w:szCs w:val="16"/>
        </w:rPr>
        <w:noBreakHyphen/>
        <w:t>1942 гг., необходимы капиталовложения в размере 235 млн. руб. Но, учитывая реальные возможности освоения средств по каждой стройке в отдельности и материальное их обеспечение, потребность в капвложениях на 1941</w:t>
      </w:r>
      <w:r w:rsidRPr="00DB5D0D">
        <w:rPr>
          <w:rFonts w:ascii="Times New Roman" w:hAnsi="Times New Roman"/>
          <w:color w:val="000000" w:themeColor="text1"/>
          <w:sz w:val="16"/>
          <w:szCs w:val="16"/>
        </w:rPr>
        <w:noBreakHyphen/>
        <w:t>1942 гг. выразится не более 2150</w:t>
      </w:r>
      <w:r w:rsidRPr="00DB5D0D">
        <w:rPr>
          <w:rFonts w:ascii="Times New Roman" w:hAnsi="Times New Roman"/>
          <w:color w:val="000000" w:themeColor="text1"/>
          <w:sz w:val="16"/>
          <w:szCs w:val="16"/>
        </w:rPr>
        <w:noBreakHyphen/>
        <w:t>2200 млн. руб.</w:t>
      </w:r>
    </w:p>
    <w:p w14:paraId="0D205542"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Остаток лимитов по третьей пятилетке на 1941</w:t>
      </w:r>
      <w:r w:rsidRPr="00DB5D0D">
        <w:rPr>
          <w:rFonts w:ascii="Times New Roman" w:hAnsi="Times New Roman"/>
          <w:color w:val="000000" w:themeColor="text1"/>
          <w:sz w:val="16"/>
          <w:szCs w:val="16"/>
        </w:rPr>
        <w:noBreakHyphen/>
        <w:t>1942 гг. составит всего 1490 млн. руб. Таким  образом, для окончания строительства объектов, подлежащих  вводу в действие в третьей пятилетке, потребуются дополнительные ассигнования в размере 650</w:t>
      </w:r>
      <w:r w:rsidRPr="00DB5D0D">
        <w:rPr>
          <w:rFonts w:ascii="Times New Roman" w:hAnsi="Times New Roman"/>
          <w:color w:val="000000" w:themeColor="text1"/>
          <w:sz w:val="16"/>
          <w:szCs w:val="16"/>
        </w:rPr>
        <w:noBreakHyphen/>
        <w:t>700 млн. руб. Перевыполнение лимитов в третьей пятилетке по капстроительству вызвано выполнением ряда работ, не предусмотренных лимитами пятилетки, как то:</w:t>
      </w:r>
    </w:p>
    <w:p w14:paraId="2C7377C8"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Строительством восьми ТЭЦ, газогенераторной станции при заводе № 92, широкой реконструкцией заводов № 69 и № 367, постройкой новых заводов (54 бис, 303 бис, завод звеньев), отдельных объектов на заводах № 232, 8, 2, 371, 314, 66, 74, 38, 60 и удорожанием строительства в 1938</w:t>
      </w:r>
      <w:r w:rsidRPr="00DB5D0D">
        <w:rPr>
          <w:rFonts w:ascii="Times New Roman" w:hAnsi="Times New Roman"/>
          <w:color w:val="000000" w:themeColor="text1"/>
          <w:sz w:val="16"/>
          <w:szCs w:val="16"/>
        </w:rPr>
        <w:noBreakHyphen/>
        <w:t>1939 гг. На все эти работы израсходовано около 900 млн. руб.</w:t>
      </w:r>
    </w:p>
    <w:p w14:paraId="64C6ECF9"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Неудовлетворительное выполнение плана по вводу в действие проходит из-за недостаточного снабжения строек материалами (в 1939 г. наркомат получил к годовой потребности: цемента — 58%, катанки — 70%, листового железа — 50% и т. д.) и также оборудованием.</w:t>
      </w:r>
    </w:p>
    <w:p w14:paraId="3E7E0AF0"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Отсутствие пусковых графиков для строек и контроля за ними со стороны наркомата и главков также отразились на своевременном вводе в действие. Плохое руководство и наблюдение наркомата за строительством приводит также к срыву работ, так, например: 1) на постройке завода № 54 как в 1939 г., так и в 1940 г. имелось в достаточном количестве и комплектно все необходимые материалы и строительные механизмы, и все же план 1939 г. был выполнен на 38%, а за 6 месяцев 1940 г. — всего 13,4% к году.</w:t>
      </w:r>
    </w:p>
    <w:p w14:paraId="0476640B"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результате неправильного распределения фондов по заводам в 1939 г. на складах заводов скопилось ненужного оборудования на 16,8 млн. руб. Простое перераспределение этого оборудования по заводам дало возможность частично укомплектовать оборудованием парки пусковых цехов и уменьшить запасы по наркомату до 4 млн. руб.</w:t>
      </w:r>
    </w:p>
    <w:p w14:paraId="4CE8BF14"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выполнения третьего пятилетнего плана по капстроительству необходимо:</w:t>
      </w:r>
    </w:p>
    <w:p w14:paraId="17F74E3D"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Увеличить лимиты на пятилетие до 4400 млн. руб.</w:t>
      </w:r>
    </w:p>
    <w:p w14:paraId="05814A30"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План на 1941 и 1942 гг. составить с учетом концентрации всех средств на пусковые и особо важные объекты, обратив особое внимание на обеспечение пусковых строек оборудованием и кабельной продукцией, и к 1 сентября с. г. установить потребность в оборудовании для пусковых строек на 1941 г.</w:t>
      </w:r>
    </w:p>
    <w:p w14:paraId="4C07C69D"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Запретить наркомату самовольную переброску средств по сверхлимитным стройкам.</w:t>
      </w:r>
    </w:p>
    <w:p w14:paraId="615B5132"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Провести проверку и анализ причин удорожания стоимости строительства и разработать предложение по снижению ее.</w:t>
      </w:r>
    </w:p>
    <w:p w14:paraId="0746D50B"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По НКО</w:t>
      </w:r>
    </w:p>
    <w:p w14:paraId="4367AD5C"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установленного планом на третье пятилетие объема капработ в размере 8200 млн. руб. освоено: в 1938 г. — 1329 млн. руб., в 1939 г. — 1894 млн. руб. и запланировано на 1940 г. 2510,3 млн. руб. Ожидаемое выполнение за три года пятилетки составит 5733,3 млн. руб., или 70% к плану. Третий пятилетний план по НКО будет выполнен в 1941 г.</w:t>
      </w:r>
    </w:p>
    <w:p w14:paraId="7B727C42"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По НКВМФ</w:t>
      </w:r>
    </w:p>
    <w:p w14:paraId="7215E802"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Объем капработ по третьему пятилетнему плану установлен в размере 3700 млн. руб. Из них освоено: в 1938 г. — 433,2 млн. руб., в 1939 г. — 579,43 млн. руб. и запланировано на 1940 г. 850,94 млн. руб. Выполнение за три года пятилетки составит 1863,6 млн. руб., или 50% к плану.</w:t>
      </w:r>
    </w:p>
    <w:p w14:paraId="4D7294A1"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третьей пятилетки выполняется крайне неудовлетворительно, в особённости нужно учесть то, что НКВМФ в 1941</w:t>
      </w:r>
      <w:r w:rsidRPr="00DB5D0D">
        <w:rPr>
          <w:rFonts w:ascii="Times New Roman" w:hAnsi="Times New Roman"/>
          <w:color w:val="000000" w:themeColor="text1"/>
          <w:sz w:val="16"/>
          <w:szCs w:val="16"/>
        </w:rPr>
        <w:noBreakHyphen/>
        <w:t>1942 гг. получает большое количество кораблей, которым потребуется соответствующая база, поэтому необходимо в 1941</w:t>
      </w:r>
      <w:r w:rsidRPr="00DB5D0D">
        <w:rPr>
          <w:rFonts w:ascii="Times New Roman" w:hAnsi="Times New Roman"/>
          <w:color w:val="000000" w:themeColor="text1"/>
          <w:sz w:val="16"/>
          <w:szCs w:val="16"/>
        </w:rPr>
        <w:noBreakHyphen/>
        <w:t>1942 гг. резко увеличить капиталовложения. НКВМФ ведет работы несколькими подрядными организациями (Наркомстрой, Главвоенстрой, Стройуправление и др.) и не имеет единой мощной стройорганизации, что приводит к распылению основных средств, кадров и механизмов, вследствие чего и, в особенности, с увеличением лимитов на 1941</w:t>
      </w:r>
      <w:r w:rsidRPr="00DB5D0D">
        <w:rPr>
          <w:rFonts w:ascii="Times New Roman" w:hAnsi="Times New Roman"/>
          <w:color w:val="000000" w:themeColor="text1"/>
          <w:sz w:val="16"/>
          <w:szCs w:val="16"/>
        </w:rPr>
        <w:noBreakHyphen/>
        <w:t>1942 гг. необходимо создать единую мощную стройорганизацию при НКВМФ.</w:t>
      </w:r>
    </w:p>
    <w:p w14:paraId="3FBCC0BA"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 По НКВД</w:t>
      </w:r>
    </w:p>
    <w:p w14:paraId="473A6A0D"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капитальных работ на третье пятилетие установлен в размере 17 680 млн. руб. Из них будет освоено за первые три года пятилетки 11 349,4 млн. руб., или 64,1% к плану. Выполнение плана проходит удовлетворительно.</w:t>
      </w:r>
    </w:p>
    <w:p w14:paraId="27033D54"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VIII. По УГР СНК СССР</w:t>
      </w:r>
    </w:p>
    <w:p w14:paraId="425499BB"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третьей пятилетки по капработам установлен в размере 800 млн. руб. Из них ожидается к выполнению за три года (1938</w:t>
      </w:r>
      <w:r w:rsidRPr="00DB5D0D">
        <w:rPr>
          <w:rFonts w:ascii="Times New Roman" w:hAnsi="Times New Roman"/>
          <w:color w:val="000000" w:themeColor="text1"/>
          <w:sz w:val="16"/>
          <w:szCs w:val="16"/>
        </w:rPr>
        <w:noBreakHyphen/>
        <w:t>1940) 322 272 млн. руб., или 40,2% к пятилетке.</w:t>
      </w:r>
    </w:p>
    <w:p w14:paraId="429A6915"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 проходит неудовлетворительно. Учитывая возросшие потребности в накоплении мобрезервов, необходимо увеличить капвложения на 1941 г. до 150 млн. руб. и на 1942 г. до 230 млн. руб.</w:t>
      </w:r>
    </w:p>
    <w:p w14:paraId="38BE35C7"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Для устранения диспропорций по НКАП, НКВ и НКВМФ моботдел Госплана намечает в титулах на 1941 г. ввод в действие заводов и объектов, которые в значительной степени увеличат мощности.</w:t>
      </w:r>
    </w:p>
    <w:p w14:paraId="7421E363"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моботдела Госплана при СНК СССРВ. Цуканов</w:t>
      </w:r>
    </w:p>
    <w:p w14:paraId="531D53D6" w14:textId="77777777" w:rsidR="0053611D" w:rsidRPr="00DB5D0D" w:rsidRDefault="00536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 4372. Оп. 92. Д. 354. Л. 96-100. Копия (17996).</w:t>
      </w:r>
    </w:p>
    <w:p w14:paraId="272610C9" w14:textId="77777777" w:rsidR="0053611D" w:rsidRPr="00DB5D0D" w:rsidRDefault="0053611D" w:rsidP="00DB5D0D">
      <w:pPr>
        <w:spacing w:after="0" w:line="240" w:lineRule="auto"/>
        <w:jc w:val="both"/>
        <w:rPr>
          <w:rFonts w:ascii="Times New Roman" w:hAnsi="Times New Roman"/>
          <w:color w:val="000000" w:themeColor="text1"/>
          <w:sz w:val="16"/>
          <w:szCs w:val="16"/>
        </w:rPr>
      </w:pPr>
    </w:p>
    <w:p w14:paraId="5176BF04" w14:textId="77777777" w:rsidR="008139EE" w:rsidRPr="00DB5D0D" w:rsidRDefault="008139EE" w:rsidP="00DB5D0D">
      <w:pPr>
        <w:autoSpaceDE w:val="0"/>
        <w:autoSpaceDN w:val="0"/>
        <w:adjustRightInd w:val="0"/>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июля 1940 г. представителями УММВ КА было направлено письмо начальнику I ГУ НКВ Н. Э. Носовскому с информацией «о сомнительной кондиционности выпускаемых заводом №7 120-мм минометов», которая выражалась в отсутствии должного контроля качества и небрежной сборке, последствия которой фиксировались военпредами. В рамках последующего разбирательства завод №7 представил развернутое объяснение по каждому из 10 пунктов претензий, указанных в письме УММВ КА, при этом выразив недоумение в том, почему эти претензии были высказаны после того, как военными представителями Управления были приняты 1433 шт. 120-мм полковых минометов (20074).</w:t>
      </w:r>
    </w:p>
    <w:p w14:paraId="538ADBC3" w14:textId="77777777" w:rsidR="008139EE" w:rsidRPr="00DB5D0D" w:rsidRDefault="008139EE" w:rsidP="00DB5D0D">
      <w:pPr>
        <w:autoSpaceDE w:val="0"/>
        <w:autoSpaceDN w:val="0"/>
        <w:adjustRightInd w:val="0"/>
        <w:spacing w:after="0" w:line="240" w:lineRule="auto"/>
        <w:jc w:val="both"/>
        <w:rPr>
          <w:rFonts w:ascii="Times New Roman" w:hAnsi="Times New Roman"/>
          <w:color w:val="0070C0"/>
          <w:sz w:val="16"/>
          <w:szCs w:val="16"/>
        </w:rPr>
      </w:pPr>
    </w:p>
    <w:p w14:paraId="7A5EB2E7"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16 июля 1940 года комиссия под руководством А. В. Трусевича работала на военно-морском артиллерийском полигоне фирмы «Райн-Металл» в Унтер-Люссе с целью ознакомления:</w:t>
      </w:r>
    </w:p>
    <w:p w14:paraId="1E02377D"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с его расположением и оборудованием;</w:t>
      </w:r>
    </w:p>
    <w:p w14:paraId="56177BB8"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организацией и ходом стрельб;</w:t>
      </w:r>
    </w:p>
    <w:p w14:paraId="5DF21C5B"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проведением опытов (порядком производства усиленных выстрелов, принципами действия оборудования для измерения начальных скоростей снарядов) [Там же, л. 139-149].</w:t>
      </w:r>
    </w:p>
    <w:p w14:paraId="2C36B915"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По результатам посещения артиллерийской школы ВМФ и военно-морского полигона обе комиссии представили подробные отчеты (12700).</w:t>
      </w:r>
    </w:p>
    <w:p w14:paraId="4A67354B"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p>
    <w:p w14:paraId="74744F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16 июля 1940 г. пять монито</w:t>
      </w:r>
      <w:r w:rsidRPr="00DB5D0D">
        <w:rPr>
          <w:rFonts w:ascii="Times New Roman" w:hAnsi="Times New Roman"/>
          <w:color w:val="000000" w:themeColor="text1"/>
          <w:sz w:val="16"/>
          <w:szCs w:val="16"/>
        </w:rPr>
        <w:softHyphen/>
        <w:t>ров — четыре типа "Варшава" водоизмещением по 130 т и "Краков" водоизмещением 150 т — которые были подня</w:t>
      </w:r>
      <w:r w:rsidRPr="00DB5D0D">
        <w:rPr>
          <w:rFonts w:ascii="Times New Roman" w:hAnsi="Times New Roman"/>
          <w:color w:val="000000" w:themeColor="text1"/>
          <w:sz w:val="16"/>
          <w:szCs w:val="16"/>
        </w:rPr>
        <w:softHyphen/>
        <w:t>ты специальной группой ЭПРОНа и вскоре восстановлены на судо-ремонтно-судостроительном заводе им. И. В. Сталина в Киевепод наблюдением Артиллерийского управления перевооружены орудиями и пулеметами отечественных систем. В частности, на мониторе "Смоленск" (бывш. "Краков") в носо</w:t>
      </w:r>
      <w:r w:rsidRPr="00DB5D0D">
        <w:rPr>
          <w:rFonts w:ascii="Times New Roman" w:hAnsi="Times New Roman"/>
          <w:color w:val="000000" w:themeColor="text1"/>
          <w:sz w:val="16"/>
          <w:szCs w:val="16"/>
        </w:rPr>
        <w:softHyphen/>
        <w:t>вой башне были установлены две 122-мм гаубицы сухопутного об</w:t>
      </w:r>
      <w:r w:rsidRPr="00DB5D0D">
        <w:rPr>
          <w:rFonts w:ascii="Times New Roman" w:hAnsi="Times New Roman"/>
          <w:color w:val="000000" w:themeColor="text1"/>
          <w:sz w:val="16"/>
          <w:szCs w:val="16"/>
        </w:rPr>
        <w:softHyphen/>
        <w:t>разца, в кормовой — два 45-мм полуавтомата и в малых башен</w:t>
      </w:r>
      <w:r w:rsidRPr="00DB5D0D">
        <w:rPr>
          <w:rFonts w:ascii="Times New Roman" w:hAnsi="Times New Roman"/>
          <w:color w:val="000000" w:themeColor="text1"/>
          <w:sz w:val="16"/>
          <w:szCs w:val="16"/>
        </w:rPr>
        <w:softHyphen/>
        <w:t>ках — три 7,62-мм пулемета. На других мониторах поставили по три 76-мм армейские пушки — две в носовой и одну в кормовой башнях. При этом в малых башенках на "Житомире" (бывш. "Пинск") были установлены два 7,62-мм, а на "Витебске" ("Варшава")/Бобруйске" ("Городище") и "Виннице" ("Торунь") — по четыре таких же пулемета. Бывшие польские мониторы вначале зачислили в состав Днеп</w:t>
      </w:r>
      <w:r w:rsidRPr="00DB5D0D">
        <w:rPr>
          <w:rFonts w:ascii="Times New Roman" w:hAnsi="Times New Roman"/>
          <w:color w:val="000000" w:themeColor="text1"/>
          <w:sz w:val="16"/>
          <w:szCs w:val="16"/>
        </w:rPr>
        <w:softHyphen/>
        <w:t>ровской флотилии, а с июля 1940 г. они составили боевое ядро но</w:t>
      </w:r>
      <w:r w:rsidRPr="00DB5D0D">
        <w:rPr>
          <w:rFonts w:ascii="Times New Roman" w:hAnsi="Times New Roman"/>
          <w:color w:val="000000" w:themeColor="text1"/>
          <w:sz w:val="16"/>
          <w:szCs w:val="16"/>
        </w:rPr>
        <w:softHyphen/>
        <w:t>вой Пинской флотилии, где представляли особую ценность благо</w:t>
      </w:r>
      <w:r w:rsidRPr="00DB5D0D">
        <w:rPr>
          <w:rFonts w:ascii="Times New Roman" w:hAnsi="Times New Roman"/>
          <w:color w:val="000000" w:themeColor="text1"/>
          <w:sz w:val="16"/>
          <w:szCs w:val="16"/>
        </w:rPr>
        <w:softHyphen/>
        <w:t>даря своей малой осадке (0,656—0,7 м) (3898).</w:t>
      </w:r>
    </w:p>
    <w:p w14:paraId="2D27E3E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E5E742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89BADB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764883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вишистское правительство Франции объявило о лишении евреев французского гражданства (4962).</w:t>
      </w:r>
    </w:p>
    <w:p w14:paraId="76CAA96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7D1C52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Гитлер отдал приказ о подготовке плана по захвату Британии (4962).</w:t>
      </w:r>
    </w:p>
    <w:p w14:paraId="2586842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4888B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А.Гитлер приказал начать подготовку вторжения в Англию - операция Морской лев (2100).</w:t>
      </w:r>
    </w:p>
    <w:p w14:paraId="754D7AD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6DDFB2" w14:textId="77777777" w:rsidR="00CF1998" w:rsidRPr="00DB5D0D" w:rsidRDefault="00CF199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в 1940 году Адольф Гитлер издает директиву № 16 о подготовке операции "Морской лев" (высадка в Англии), в которой говорится: "Так как Англия, несмотря на свое безнадежное военное положение, не проявила до сих пор никаких признаков готовности к ведению переговоров, я решил подготовить и, если понадобится, осуществить десантную операцию против Англии. Целью этой операции является устранить британскую метрополию как базу для продолжения войны против Германии и, если, потребуется, оккупировать ее полностью". Дата начала операции установлена на 15 августа. Однако уже 21 июля на совещании высшего военного командования будет высказано общее мнение, что вторжение на Британские острова является делом весьма рискованным, поскольку для этого нужно преодолеть морскую преграду, которую охраняет английский флот, имеющий богатый опыт в сражениях. Поэтому решают сначала разгромить английские авиацию и флот и главное - непрерывными воздушными налетами уничтожить как можно больше военных баз, учреждений, городов и этим деморализовать население (14954).</w:t>
      </w:r>
    </w:p>
    <w:p w14:paraId="6A2B90FE" w14:textId="77777777" w:rsidR="00CF1998" w:rsidRPr="00DB5D0D" w:rsidRDefault="00CF1998" w:rsidP="00DB5D0D">
      <w:pPr>
        <w:spacing w:after="0" w:line="240" w:lineRule="auto"/>
        <w:jc w:val="both"/>
        <w:rPr>
          <w:rFonts w:ascii="Times New Roman" w:hAnsi="Times New Roman"/>
          <w:color w:val="000000" w:themeColor="text1"/>
          <w:sz w:val="16"/>
          <w:szCs w:val="16"/>
        </w:rPr>
      </w:pPr>
    </w:p>
    <w:p w14:paraId="24665E9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июля 1940 немецкие власти объявили о депортации из Эльзаса и Лотарингии 22 тысяч французов (4962).</w:t>
      </w:r>
    </w:p>
    <w:p w14:paraId="06481D3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796076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1A698E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F4520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ли Липкин со всем экипажем погиб на первой серийной машине СПБ Н.Н.П. из-за флаттера во время испытательного полета (3542,8).</w:t>
      </w:r>
    </w:p>
    <w:p w14:paraId="39EC557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9690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Липкин со всем экипажем погиб на первой серийной машине СПБ во время испытательного полета.</w:t>
      </w:r>
    </w:p>
    <w:p w14:paraId="3D20AE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работы комиссии по расследованию катастрофы СПБ № 1/1 20 июля 1940 г. выявились факты вопиющей расхлябанности и безответственности, главным образом со стороны руководящих работников завода № 22. Не на высоте оказался и начальник ОКО по самолету СПБ Н.А. Жемчужин. Кроме того, в ходе испытаний опытных и серийных самолетов СПБ новые и потому недоведенные моторы М-105 чуть ли не в каждом полете отказывали или работали крайне ненадежно. Все эти причины в комплексе привели в конечном итоге к дискредитации самолета. По мнению рассерженного Я.В. Смушкевича, СПБ следовало "снять с производства и прекратить всякие работы" (12042).</w:t>
      </w:r>
    </w:p>
    <w:p w14:paraId="29C4909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4EC97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Секр. СОП Семичастнов писал в НКАП А.И.Ш. и ли завода 39 Степанченку письмо N 210/оп:</w:t>
      </w:r>
    </w:p>
    <w:p w14:paraId="336D7F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Сообщаю решение Пред. СОП Н.А.Вознесенского по письму Степанченка на имя И.В.С. об имевшем место случае перед испытанием самолета конструкции ЛаГГ на ЦА:</w:t>
      </w:r>
    </w:p>
    <w:p w14:paraId="0AC282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"Ограничится мерами, принятыми тт. Алексеевым и Князевым." (1172,42).</w:t>
      </w:r>
    </w:p>
    <w:p w14:paraId="6315A9F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2642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17 по 18 июля 1940 проходили войсковые испытания ПС-84-К в 201 ВД бригаде на аэродроме ЛВО Рельбицы, но в строевые части не попала (1168,18).</w:t>
      </w:r>
    </w:p>
    <w:p w14:paraId="43CEECF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465C7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Нач. особой группы НКАП И.Фирсаев писал Секретарю Совета Обороной Промышленности при СНК Семичастному письмо N 853сс:</w:t>
      </w:r>
    </w:p>
    <w:p w14:paraId="7FABF8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поручению Наркома А.И.Ш. направляю Вам завизированный им проект постановления СНК по вопросу "Об опытно-производственной базе десантно-транспортных объектов." - ответ на письмо (1192,29).</w:t>
      </w:r>
    </w:p>
    <w:p w14:paraId="0357B74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72008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закончилось дирижаблестроение и завод Циолковского передали в НКАП (438,786).</w:t>
      </w:r>
    </w:p>
    <w:p w14:paraId="02E65BD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5E61D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1DC059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0CF61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вышло постановление СНК № 1288-495 о вооружении танков, но по поводу Ф-34 для Т-34 решения так и не приняли (4829, 23).</w:t>
      </w:r>
    </w:p>
    <w:p w14:paraId="4ED0B85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3DDBFE"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года СНК СССР своим постановлением № 1288-495сс, касающимся вооружения танков, по пушке Ф-34 никакого решения не принял (12217).</w:t>
      </w:r>
    </w:p>
    <w:p w14:paraId="382D840E" w14:textId="77777777" w:rsidR="00A556B7" w:rsidRPr="00DB5D0D" w:rsidRDefault="00A556B7" w:rsidP="00DB5D0D">
      <w:pPr>
        <w:spacing w:after="0" w:line="240" w:lineRule="auto"/>
        <w:jc w:val="both"/>
        <w:rPr>
          <w:rFonts w:ascii="Times New Roman" w:hAnsi="Times New Roman"/>
          <w:color w:val="000000" w:themeColor="text1"/>
          <w:sz w:val="16"/>
          <w:szCs w:val="16"/>
        </w:rPr>
      </w:pPr>
    </w:p>
    <w:p w14:paraId="452FCC53"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г. на совещании, состоявшемся в ГАБТУ КА, требования к оборудованию танка Т-34 средствами связи были откорректированы – от установки телекода ТК-12 было решено отказаться. Кроме этого, на совещании было решено до получения от завода № 197 новых танковых переговорных устройств на три абонента (ТПУ-3М), устанавливать в танках Т-34 танковое переговорное устройство ТПУ-2, изменив размещение его аппаратов – аппарат № 1 устанавливать на рабочем месте стрелка-радиста, а аппарат № 2 – командира танка. С принятием этих решений отпала необходимость в разработке нового вращающегося контактного устройства с увеличенным числом слаботочных токосъемных колец (18160).</w:t>
      </w:r>
    </w:p>
    <w:p w14:paraId="55BE71AE" w14:textId="77777777" w:rsidR="00123DE0" w:rsidRPr="00DB5D0D" w:rsidRDefault="00123DE0" w:rsidP="00DB5D0D">
      <w:pPr>
        <w:spacing w:after="0" w:line="240" w:lineRule="auto"/>
        <w:jc w:val="both"/>
        <w:rPr>
          <w:rFonts w:ascii="Times New Roman" w:hAnsi="Times New Roman"/>
          <w:color w:val="000000" w:themeColor="text1"/>
          <w:sz w:val="16"/>
          <w:szCs w:val="16"/>
        </w:rPr>
      </w:pPr>
    </w:p>
    <w:p w14:paraId="061BFEC6"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года было подписано решение Комитета обороны при СНК СССР № 198сс о постройке новых образцов бронетанковой техники на базе КВ. Согласно данному решению, Кировский завод обязывали изготовить следующие машины:</w:t>
      </w:r>
    </w:p>
    <w:p w14:paraId="7B09AE3E" w14:textId="77777777" w:rsidR="00A556B7" w:rsidRPr="00DB5D0D" w:rsidRDefault="00A556B7" w:rsidP="00DB5D0D">
      <w:pPr>
        <w:numPr>
          <w:ilvl w:val="0"/>
          <w:numId w:val="1"/>
        </w:numPr>
        <w:spacing w:after="0" w:line="240" w:lineRule="auto"/>
        <w:ind w:left="0" w:firstLine="0"/>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опытных танка КВ (Т-220) со 100-мм бронёй: один должен быть вооружён 85-мм пушкой Ф-30, а другой — 76-мм пушкой Ф-32.</w:t>
      </w:r>
    </w:p>
    <w:p w14:paraId="3D6E8931" w14:textId="77777777" w:rsidR="00A556B7" w:rsidRPr="00DB5D0D" w:rsidRDefault="00A556B7" w:rsidP="00DB5D0D">
      <w:pPr>
        <w:numPr>
          <w:ilvl w:val="0"/>
          <w:numId w:val="1"/>
        </w:numPr>
        <w:spacing w:after="0" w:line="240" w:lineRule="auto"/>
        <w:ind w:left="0" w:firstLine="0"/>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Два опытных танка КВ с 90-мм бронёй: один должен быть вооружён 76-мм пушкой Ф-32, а второй — 85-мм пушкой Ф-30.</w:t>
      </w:r>
    </w:p>
    <w:p w14:paraId="549202A1" w14:textId="77777777" w:rsidR="00A556B7" w:rsidRPr="00DB5D0D" w:rsidRDefault="00A556B7" w:rsidP="00DB5D0D">
      <w:pPr>
        <w:numPr>
          <w:ilvl w:val="0"/>
          <w:numId w:val="1"/>
        </w:numPr>
        <w:spacing w:after="0" w:line="240" w:lineRule="auto"/>
        <w:ind w:left="0" w:firstLine="0"/>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опытный образец самоходной установки с 152-мм пушкой БР-2.</w:t>
      </w:r>
    </w:p>
    <w:p w14:paraId="007BAE90"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КВ с толщиной лобовой брони 90 мм получил заводской индекс 150 (в переписке ГАБТУ использовалось обозначение Т-150). От базового танка машина, построенная в ноябре 1940 года, внешне отличалась установкой 76-мм пушки Ф-32, а также наличием командирской башенки. Планировалось, что этот танк под индексом КВ-3 сменит в производстве КВ-1.</w:t>
      </w:r>
    </w:p>
    <w:p w14:paraId="23E47626"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Куда более серьёзные отличия от КВ имел танк, построенный по теме 220 (Т-220). Танк получил удлинённый корпус, число опорных катков на каждом борту увеличилось до семи. Для Т-220 разработали новую башню, в которой установили 85-мм пушку Ф-30. В качестве силовой установки использовался двигатель В-2Ф (В-10) мощностью 850 л. с. Танк был закончен 5 декабря 1940 года (12264).</w:t>
      </w:r>
    </w:p>
    <w:p w14:paraId="0E954D40" w14:textId="77777777" w:rsidR="00A556B7" w:rsidRPr="00DB5D0D" w:rsidRDefault="00A556B7" w:rsidP="00DB5D0D">
      <w:pPr>
        <w:spacing w:after="0" w:line="240" w:lineRule="auto"/>
        <w:jc w:val="both"/>
        <w:rPr>
          <w:rFonts w:ascii="Times New Roman" w:hAnsi="Times New Roman"/>
          <w:color w:val="000000" w:themeColor="text1"/>
          <w:sz w:val="16"/>
          <w:szCs w:val="16"/>
        </w:rPr>
      </w:pPr>
    </w:p>
    <w:p w14:paraId="10C14D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было принято поста</w:t>
      </w:r>
      <w:r w:rsidRPr="00DB5D0D">
        <w:rPr>
          <w:rFonts w:ascii="Times New Roman" w:hAnsi="Times New Roman"/>
          <w:color w:val="000000" w:themeColor="text1"/>
          <w:sz w:val="16"/>
          <w:szCs w:val="16"/>
        </w:rPr>
        <w:softHyphen/>
        <w:t>новление СНК СССР и ЦК ВКП (б), в котором Кировско</w:t>
      </w:r>
      <w:r w:rsidRPr="00DB5D0D">
        <w:rPr>
          <w:rFonts w:ascii="Times New Roman" w:hAnsi="Times New Roman"/>
          <w:color w:val="000000" w:themeColor="text1"/>
          <w:sz w:val="16"/>
          <w:szCs w:val="16"/>
        </w:rPr>
        <w:softHyphen/>
        <w:t>му заводу предписывалось к 1 ноября выпустить два танка с броней 90 мм, из которых один должен быть вооружен 85-мм пушкой Ф-30, а к 1 декабря два аналогичных танка, но уже с броней 100 мм. Но к 5 ноября завод сдал всего лишь один танк Т-150 с броней 90 мм и с пушкой Ф-32, а к 5 де</w:t>
      </w:r>
      <w:r w:rsidRPr="00DB5D0D">
        <w:rPr>
          <w:rFonts w:ascii="Times New Roman" w:hAnsi="Times New Roman"/>
          <w:color w:val="000000" w:themeColor="text1"/>
          <w:sz w:val="16"/>
          <w:szCs w:val="16"/>
        </w:rPr>
        <w:softHyphen/>
        <w:t>кабря один Т-220 с броней 100 мм и пушкой Ф-30. При этом масса Т-150 превысила 50 т, и потому на него планировалось установить 650 л.с. дизель В-5, но был уста</w:t>
      </w:r>
      <w:r w:rsidRPr="00DB5D0D">
        <w:rPr>
          <w:rFonts w:ascii="Times New Roman" w:hAnsi="Times New Roman"/>
          <w:color w:val="000000" w:themeColor="text1"/>
          <w:sz w:val="16"/>
          <w:szCs w:val="16"/>
        </w:rPr>
        <w:softHyphen/>
        <w:t>новлен лишь форсированный до 600 л.с. В-2. Внешне же танк почти ничем не отличался от ставших уже привычны</w:t>
      </w:r>
      <w:r w:rsidRPr="00DB5D0D">
        <w:rPr>
          <w:rFonts w:ascii="Times New Roman" w:hAnsi="Times New Roman"/>
          <w:color w:val="000000" w:themeColor="text1"/>
          <w:sz w:val="16"/>
          <w:szCs w:val="16"/>
        </w:rPr>
        <w:softHyphen/>
        <w:t>ми КВ-1. Танк же Т-220 (в документах называется также КВ-220, «Объект 220») имел удлиненный корпус, растяну</w:t>
      </w:r>
      <w:r w:rsidRPr="00DB5D0D">
        <w:rPr>
          <w:rFonts w:ascii="Times New Roman" w:hAnsi="Times New Roman"/>
          <w:color w:val="000000" w:themeColor="text1"/>
          <w:sz w:val="16"/>
          <w:szCs w:val="16"/>
        </w:rPr>
        <w:softHyphen/>
        <w:t>тое на один каток шасси и увеличенную башню с 85-мм орудием Ф-30. Поскольку масса танка превысила 65 т, на него был установлен дизель В-5 мощностью 700 л.с. Однако оба танка, будучи переданными на испытания, недолго уте</w:t>
      </w:r>
      <w:r w:rsidRPr="00DB5D0D">
        <w:rPr>
          <w:rFonts w:ascii="Times New Roman" w:hAnsi="Times New Roman"/>
          <w:color w:val="000000" w:themeColor="text1"/>
          <w:sz w:val="16"/>
          <w:szCs w:val="16"/>
        </w:rPr>
        <w:softHyphen/>
        <w:t>шали своих создателей. Т-150 был снят с испытаний через месяц, когда его пробег лишь приблизился к 200 км. У него сильно перегревалось масло в двигателе, «вылетали» под</w:t>
      </w:r>
      <w:r w:rsidRPr="00DB5D0D">
        <w:rPr>
          <w:rFonts w:ascii="Times New Roman" w:hAnsi="Times New Roman"/>
          <w:color w:val="000000" w:themeColor="text1"/>
          <w:sz w:val="16"/>
          <w:szCs w:val="16"/>
        </w:rPr>
        <w:softHyphen/>
        <w:t>шипники в КПП, причем все неприятности почему-то про</w:t>
      </w:r>
      <w:r w:rsidRPr="00DB5D0D">
        <w:rPr>
          <w:rFonts w:ascii="Times New Roman" w:hAnsi="Times New Roman"/>
          <w:color w:val="000000" w:themeColor="text1"/>
          <w:sz w:val="16"/>
          <w:szCs w:val="16"/>
        </w:rPr>
        <w:softHyphen/>
        <w:t>являлись именно при движении по шоссе на 3-й и 4-й пере</w:t>
      </w:r>
      <w:r w:rsidRPr="00DB5D0D">
        <w:rPr>
          <w:rFonts w:ascii="Times New Roman" w:hAnsi="Times New Roman"/>
          <w:color w:val="000000" w:themeColor="text1"/>
          <w:sz w:val="16"/>
          <w:szCs w:val="16"/>
        </w:rPr>
        <w:softHyphen/>
        <w:t>дачах. Танк же Т-220 просуществовал на полигоне рекордно короткий отрезок времени. Дизель В-5 сломался уже на вто</w:t>
      </w:r>
      <w:r w:rsidRPr="00DB5D0D">
        <w:rPr>
          <w:rFonts w:ascii="Times New Roman" w:hAnsi="Times New Roman"/>
          <w:color w:val="000000" w:themeColor="text1"/>
          <w:sz w:val="16"/>
          <w:szCs w:val="16"/>
        </w:rPr>
        <w:softHyphen/>
        <w:t>рой день. Танки были отправлены на доработку...(10782).</w:t>
      </w:r>
    </w:p>
    <w:p w14:paraId="62B8C8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5DDF530"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17 июля 1940 года (по другим документам — 17 июня) вышло постановление СНК Союза ССР и ЦК ВКП(б) №1288–495сс, оговаривающее изготовление модернизированных образцов танков КВ, а также самоходных установок на его базе. Согласно постановлению, планировалось изготовить 4 образца КВ-1. Первоначально предполагалось, что отличаться они будут бронированием и вооружением. Два образца должны были получить броню толщиной 90 мм, ещё два – 100 мм. Два танка (один с 90-мм бронёй, а второй со 100-мм бронёй) должны были получить 76-мм пушки с баллистикой зенитной пушки 3-К. Ещё два получали 85-мм пушку с баллистикой 85-мм зенитной пушки 52-К, разработку которой также поручили заводу №92.</w:t>
      </w:r>
    </w:p>
    <w:p w14:paraId="0F142FB9"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 xml:space="preserve">Закипела работа, в ходе которой начали всплывать детали, заставившие Кировский завод переделывать часть проектов. 85-мм пушка Ф-30 получилась слишком большой для штатной башни КВ-1. В результате три из четырёх танков претерпели радикальные изменения. Два из них более известны </w:t>
      </w:r>
      <w:hyperlink r:id="rId199" w:history="1">
        <w:r w:rsidRPr="00DB5D0D">
          <w:rPr>
            <w:rStyle w:val="a5"/>
            <w:rFonts w:eastAsia="Times New Roman"/>
            <w:color w:val="000000" w:themeColor="text1"/>
            <w:sz w:val="16"/>
            <w:szCs w:val="16"/>
          </w:rPr>
          <w:t>как Т-220</w:t>
        </w:r>
      </w:hyperlink>
      <w:r w:rsidRPr="00DB5D0D">
        <w:rPr>
          <w:color w:val="000000" w:themeColor="text1"/>
          <w:sz w:val="16"/>
          <w:szCs w:val="16"/>
        </w:rPr>
        <w:t>. По проекту они должны были иметь боевую массу 56 тонн, но реальная масса оказалась гораздо больше – 62,7 тонны.</w:t>
      </w:r>
    </w:p>
    <w:p w14:paraId="1477744C"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Больше всех «пострадал» второй образец танка. Машина получила заводской индекс Т-221, в переписке также использовался индекс «Объект 221». Представлял он собой удлинённый, подобно Т-220, КВ-1 с бронёй толщиной 90 мм. Судя по всему, танк должен был получить башню по образцу Т-220, поскольку в неё планировалось установить 85-мм пушку. В феврале 1941 года части корпуса Т-221 прибыли с Ижорского завода. В письме от 19 февраля маршал Кулик предлагал установить на Т-221 76-мм пушку с баллистикой 3-К, но этого так и не произошло. В итоге корпус Т-221 послужил базой для нового тяжёлого танка КВ-3 (заводской шифр 223), который, впрочем, так до конца и не построили.</w:t>
      </w:r>
    </w:p>
    <w:p w14:paraId="45B541E7"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На заводе №92 системе с баллистикой 3-К присвоили индекс Ф-27. В качестве базы для пушки использовали другую артиллерийскую танковую систему – Ф-34. Благодаря унификации никаких особых проблем с проектированием Ф-27 не было. Уже ко 2 сентября 1940 года система, установленная в танке Т-28, произвела первые 122 выстрела. К 24 сентября Ф-27 произвела 600 выстрелов, при этом были обнаружены недоделки в противооткатной системе. Вместе с тем, пушка, согласно отчётам, показала удовлетворительную кучность. В октябре в связи с доводками узлов заводские испытания приостановились. Началась сборка второго образца с использованием узлов системы Ф-34. Готовилась отправка танка Т-28 с опытным образцом Ф-27 на АНИОП (артиллерийский научно-испытательный опытный полигон в районе поселка Мулино), но она так и не состоялась (15616).</w:t>
      </w:r>
    </w:p>
    <w:p w14:paraId="55AE20E5" w14:textId="77777777" w:rsidR="00BE21D9" w:rsidRPr="00DB5D0D" w:rsidRDefault="00BE21D9" w:rsidP="00DB5D0D">
      <w:pPr>
        <w:pStyle w:val="ae"/>
        <w:shd w:val="clear" w:color="auto" w:fill="FFFFFF"/>
        <w:spacing w:before="0" w:after="0"/>
        <w:jc w:val="both"/>
        <w:rPr>
          <w:color w:val="000000" w:themeColor="text1"/>
          <w:sz w:val="16"/>
          <w:szCs w:val="16"/>
        </w:rPr>
      </w:pPr>
    </w:p>
    <w:p w14:paraId="1430D333" w14:textId="77777777" w:rsidR="004A0330" w:rsidRPr="00DB5D0D" w:rsidRDefault="004A0330" w:rsidP="00DB5D0D">
      <w:pPr>
        <w:pStyle w:val="a3"/>
        <w:tabs>
          <w:tab w:val="left" w:pos="2010"/>
        </w:tabs>
        <w:rPr>
          <w:color w:val="000000" w:themeColor="text1"/>
          <w:lang w:val="ru-RU"/>
        </w:rPr>
      </w:pPr>
      <w:r w:rsidRPr="00DB5D0D">
        <w:rPr>
          <w:color w:val="000000" w:themeColor="text1"/>
          <w:lang w:val="ru-RU"/>
        </w:rPr>
        <w:t>17 июля 1940 года было подписано решение Комитета обороны при СНК Союза ССР №198сс о постройке новых образцов бронетанковой техники на базе КВ. Согласно данному решению, Кировский завод должен был изго</w:t>
      </w:r>
      <w:r w:rsidRPr="00DB5D0D">
        <w:rPr>
          <w:color w:val="000000" w:themeColor="text1"/>
          <w:lang w:val="ru-RU"/>
        </w:rPr>
        <w:softHyphen/>
        <w:t>товить следующие машины:</w:t>
      </w:r>
    </w:p>
    <w:p w14:paraId="3023157C" w14:textId="77777777" w:rsidR="004A0330" w:rsidRPr="00DB5D0D" w:rsidRDefault="004A0330"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 xml:space="preserve">«а) Два опытных танка </w:t>
      </w:r>
      <w:r w:rsidRPr="00DB5D0D">
        <w:rPr>
          <w:i w:val="0"/>
          <w:color w:val="000000" w:themeColor="text1"/>
          <w:sz w:val="16"/>
          <w:szCs w:val="16"/>
          <w:lang w:val="en-US"/>
        </w:rPr>
        <w:t>KB</w:t>
      </w:r>
      <w:r w:rsidRPr="00DB5D0D">
        <w:rPr>
          <w:i w:val="0"/>
          <w:color w:val="000000" w:themeColor="text1"/>
          <w:sz w:val="16"/>
          <w:szCs w:val="16"/>
        </w:rPr>
        <w:t xml:space="preserve"> (Т-220) со 100-мм броней: один должен быть вооружен 85 мм пушкой Ф-30, а другой — 76-мм пушкой Ф-32;</w:t>
      </w:r>
    </w:p>
    <w:p w14:paraId="4CFBF43D" w14:textId="77777777" w:rsidR="004A0330" w:rsidRPr="00DB5D0D" w:rsidRDefault="004A0330" w:rsidP="00DB5D0D">
      <w:pPr>
        <w:pStyle w:val="Bodytext141"/>
        <w:shd w:val="clear" w:color="auto" w:fill="auto"/>
        <w:tabs>
          <w:tab w:val="left" w:pos="777"/>
        </w:tabs>
        <w:spacing w:line="240" w:lineRule="auto"/>
        <w:ind w:firstLine="0"/>
        <w:jc w:val="both"/>
        <w:rPr>
          <w:i w:val="0"/>
          <w:color w:val="000000" w:themeColor="text1"/>
          <w:sz w:val="16"/>
          <w:szCs w:val="16"/>
        </w:rPr>
      </w:pPr>
      <w:r w:rsidRPr="00DB5D0D">
        <w:rPr>
          <w:i w:val="0"/>
          <w:color w:val="000000" w:themeColor="text1"/>
          <w:sz w:val="16"/>
          <w:szCs w:val="16"/>
        </w:rPr>
        <w:t xml:space="preserve">б) Два опытных танка </w:t>
      </w:r>
      <w:r w:rsidRPr="00DB5D0D">
        <w:rPr>
          <w:i w:val="0"/>
          <w:color w:val="000000" w:themeColor="text1"/>
          <w:sz w:val="16"/>
          <w:szCs w:val="16"/>
          <w:lang w:val="en-US"/>
        </w:rPr>
        <w:t>KB</w:t>
      </w:r>
      <w:r w:rsidRPr="00DB5D0D">
        <w:rPr>
          <w:i w:val="0"/>
          <w:color w:val="000000" w:themeColor="text1"/>
          <w:sz w:val="16"/>
          <w:szCs w:val="16"/>
        </w:rPr>
        <w:t xml:space="preserve"> с 90мм броней: один должен быть вооружен 76 мм пушкой Ф-32, а второй 85 мм пушкой Ф-30;</w:t>
      </w:r>
    </w:p>
    <w:p w14:paraId="78D598DB" w14:textId="77777777" w:rsidR="004A0330" w:rsidRPr="00DB5D0D" w:rsidRDefault="004A0330" w:rsidP="00DB5D0D">
      <w:pPr>
        <w:pStyle w:val="Bodytext141"/>
        <w:shd w:val="clear" w:color="auto" w:fill="auto"/>
        <w:tabs>
          <w:tab w:val="left" w:pos="815"/>
        </w:tabs>
        <w:spacing w:line="240" w:lineRule="auto"/>
        <w:ind w:firstLine="0"/>
        <w:jc w:val="both"/>
        <w:rPr>
          <w:i w:val="0"/>
          <w:color w:val="000000" w:themeColor="text1"/>
          <w:sz w:val="16"/>
          <w:szCs w:val="16"/>
        </w:rPr>
      </w:pPr>
      <w:r w:rsidRPr="00DB5D0D">
        <w:rPr>
          <w:i w:val="0"/>
          <w:color w:val="000000" w:themeColor="text1"/>
          <w:sz w:val="16"/>
          <w:szCs w:val="16"/>
        </w:rPr>
        <w:t>в) Один опытный образец самоходной установки с вооружением 152мм пушкой БР-2»'.</w:t>
      </w:r>
    </w:p>
    <w:p w14:paraId="3555FB73" w14:textId="77777777" w:rsidR="004A0330" w:rsidRPr="00DB5D0D" w:rsidRDefault="004A033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KB</w:t>
      </w:r>
      <w:r w:rsidRPr="00DB5D0D">
        <w:rPr>
          <w:rFonts w:ascii="Times New Roman" w:hAnsi="Times New Roman"/>
          <w:color w:val="000000" w:themeColor="text1"/>
          <w:sz w:val="16"/>
          <w:szCs w:val="16"/>
        </w:rPr>
        <w:t xml:space="preserve"> с толщиной лобовой брони 90 мм получил заводской индекс «150» (в переписке ГАБТУ использовалось обозначение Т-150). От ба</w:t>
      </w:r>
      <w:r w:rsidRPr="00DB5D0D">
        <w:rPr>
          <w:rFonts w:ascii="Times New Roman" w:hAnsi="Times New Roman"/>
          <w:color w:val="000000" w:themeColor="text1"/>
          <w:sz w:val="16"/>
          <w:szCs w:val="16"/>
        </w:rPr>
        <w:softHyphen/>
        <w:t>зового танка построенная в ноябре 1940 года машина внешне отлича</w:t>
      </w:r>
      <w:r w:rsidRPr="00DB5D0D">
        <w:rPr>
          <w:rFonts w:ascii="Times New Roman" w:hAnsi="Times New Roman"/>
          <w:color w:val="000000" w:themeColor="text1"/>
          <w:sz w:val="16"/>
          <w:szCs w:val="16"/>
        </w:rPr>
        <w:softHyphen/>
        <w:t>лась установкой 76-мм пушки Ф-32, а также наличием командирской башенки. Планировалось, что этот танк под индексом КВ-3 сменит в производстве КВ-1.</w:t>
      </w:r>
    </w:p>
    <w:p w14:paraId="3E9C4837" w14:textId="77777777" w:rsidR="004A0330" w:rsidRPr="00DB5D0D" w:rsidRDefault="004A0330" w:rsidP="00DB5D0D">
      <w:pPr>
        <w:pStyle w:val="a3"/>
        <w:rPr>
          <w:color w:val="000000" w:themeColor="text1"/>
          <w:lang w:val="ru-RU"/>
        </w:rPr>
      </w:pPr>
      <w:r w:rsidRPr="00DB5D0D">
        <w:rPr>
          <w:color w:val="000000" w:themeColor="text1"/>
          <w:lang w:val="ru-RU"/>
        </w:rPr>
        <w:t xml:space="preserve">Куда более серьезные отличия от </w:t>
      </w:r>
      <w:r w:rsidRPr="00DB5D0D">
        <w:rPr>
          <w:color w:val="000000" w:themeColor="text1"/>
        </w:rPr>
        <w:t>KB</w:t>
      </w:r>
      <w:r w:rsidRPr="00DB5D0D">
        <w:rPr>
          <w:color w:val="000000" w:themeColor="text1"/>
          <w:lang w:val="ru-RU"/>
        </w:rPr>
        <w:t xml:space="preserve"> имел танк, построенный по теме «220». Танк получил удлиненный корпус, число опорных катков на каждый борт увеличилось до семи. Для Т-220 разработали новую башню, в которой установили 85-мм пушку Ф-30. В качестве силовой установки использовался двигатель В-2Ф (В-10) мощностью 850 л.с. Танк был закончен 5 декабря 1940 года (17484).</w:t>
      </w:r>
    </w:p>
    <w:p w14:paraId="0C8B2CDE" w14:textId="77777777" w:rsidR="004A0330" w:rsidRPr="00DB5D0D" w:rsidRDefault="004A0330" w:rsidP="00DB5D0D">
      <w:pPr>
        <w:spacing w:after="0" w:line="240" w:lineRule="auto"/>
        <w:jc w:val="both"/>
        <w:rPr>
          <w:rFonts w:ascii="Times New Roman" w:hAnsi="Times New Roman"/>
          <w:color w:val="000000" w:themeColor="text1"/>
          <w:sz w:val="16"/>
          <w:szCs w:val="16"/>
        </w:rPr>
      </w:pPr>
    </w:p>
    <w:p w14:paraId="5244EDAE" w14:textId="77777777" w:rsidR="00BE21D9" w:rsidRPr="00DB5D0D" w:rsidRDefault="00BE21D9" w:rsidP="00DB5D0D">
      <w:pPr>
        <w:pStyle w:val="a3"/>
        <w:rPr>
          <w:color w:val="000000" w:themeColor="text1"/>
          <w:lang w:val="ru-RU"/>
        </w:rPr>
      </w:pPr>
      <w:r w:rsidRPr="00DB5D0D">
        <w:rPr>
          <w:color w:val="000000" w:themeColor="text1"/>
          <w:lang w:val="ru-RU"/>
        </w:rPr>
        <w:t>17 июля 1940 г. Постановле</w:t>
      </w:r>
      <w:r w:rsidRPr="00DB5D0D">
        <w:rPr>
          <w:color w:val="000000" w:themeColor="text1"/>
          <w:lang w:val="ru-RU"/>
        </w:rPr>
        <w:softHyphen/>
        <w:t>нием СНК и ЦК ВКП(б) №1288-495 Кировскому заводу предписывалось изготовить к 11 ноября 1940 г. два опытных образца КВ с 90-мм броней, вооруженных 76-мм пушкой Ф-32 и 85-мм пушкой. ТТТ на новые танки заводу не выдавались. Первый вариант танка с 76-мм пушкой был готов к испытаниям 5 ноября 1940 г. Он получил обо</w:t>
      </w:r>
      <w:r w:rsidRPr="00DB5D0D">
        <w:rPr>
          <w:color w:val="000000" w:themeColor="text1"/>
          <w:lang w:val="ru-RU"/>
        </w:rPr>
        <w:softHyphen/>
        <w:t>значение Т-150.</w:t>
      </w:r>
    </w:p>
    <w:p w14:paraId="395F0C6B" w14:textId="77777777" w:rsidR="00BE21D9" w:rsidRPr="00DB5D0D" w:rsidRDefault="00BE21D9" w:rsidP="00DB5D0D">
      <w:pPr>
        <w:pStyle w:val="1010"/>
        <w:shd w:val="clear" w:color="auto" w:fill="auto"/>
        <w:spacing w:after="0" w:line="240" w:lineRule="auto"/>
        <w:jc w:val="both"/>
        <w:rPr>
          <w:rFonts w:ascii="Times New Roman" w:hAnsi="Times New Roman" w:cs="Times New Roman"/>
          <w:b w:val="0"/>
          <w:color w:val="000000" w:themeColor="text1"/>
          <w:sz w:val="16"/>
          <w:szCs w:val="16"/>
        </w:rPr>
      </w:pPr>
      <w:r w:rsidRPr="00DB5D0D">
        <w:rPr>
          <w:rFonts w:ascii="Times New Roman" w:hAnsi="Times New Roman" w:cs="Times New Roman"/>
          <w:b w:val="0"/>
          <w:color w:val="000000" w:themeColor="text1"/>
          <w:sz w:val="16"/>
          <w:szCs w:val="16"/>
        </w:rPr>
        <w:t>Танк Т-150 полностью базировался на агрегатах КВ, отличаясь от последнего только увеличенной толщиной брони корпуса - с 75 до 90 мм. С целью сохранения внутренних объемов танка увеличение толщины броневых листов провели за счет изменения внешних га- толщина брони - 90 мм. С целью сохранения внутренних объемов танка увеличение толщины броневых листов провели за счет увеличения внешних габаритов корпуса и башни. Линейные размеры кронштейнов подвески, являющихся частью корпуса, изменились незначительно. Это по</w:t>
      </w:r>
      <w:r w:rsidRPr="00DB5D0D">
        <w:rPr>
          <w:rFonts w:ascii="Times New Roman" w:hAnsi="Times New Roman" w:cs="Times New Roman"/>
          <w:b w:val="0"/>
          <w:color w:val="000000" w:themeColor="text1"/>
          <w:sz w:val="16"/>
          <w:szCs w:val="16"/>
        </w:rPr>
        <w:softHyphen/>
        <w:t>зволило обеспечить взаимозаменяемость де</w:t>
      </w:r>
      <w:r w:rsidRPr="00DB5D0D">
        <w:rPr>
          <w:rFonts w:ascii="Times New Roman" w:hAnsi="Times New Roman" w:cs="Times New Roman"/>
          <w:b w:val="0"/>
          <w:color w:val="000000" w:themeColor="text1"/>
          <w:sz w:val="16"/>
          <w:szCs w:val="16"/>
        </w:rPr>
        <w:softHyphen/>
        <w:t>талей новой ходовой части с базовым КВ. Бо</w:t>
      </w:r>
      <w:r w:rsidRPr="00DB5D0D">
        <w:rPr>
          <w:rFonts w:ascii="Times New Roman" w:hAnsi="Times New Roman" w:cs="Times New Roman"/>
          <w:b w:val="0"/>
          <w:color w:val="000000" w:themeColor="text1"/>
          <w:sz w:val="16"/>
          <w:szCs w:val="16"/>
        </w:rPr>
        <w:softHyphen/>
        <w:t>евая масса танка Т-150 увеличилась до 50,2 т.</w:t>
      </w:r>
    </w:p>
    <w:p w14:paraId="0E6C4768" w14:textId="77777777" w:rsidR="00BE21D9" w:rsidRPr="00DB5D0D" w:rsidRDefault="00BE21D9" w:rsidP="00DB5D0D">
      <w:pPr>
        <w:pStyle w:val="1010"/>
        <w:shd w:val="clear" w:color="auto" w:fill="auto"/>
        <w:spacing w:after="0" w:line="240" w:lineRule="auto"/>
        <w:jc w:val="both"/>
        <w:rPr>
          <w:rFonts w:ascii="Times New Roman" w:hAnsi="Times New Roman" w:cs="Times New Roman"/>
          <w:b w:val="0"/>
          <w:color w:val="000000" w:themeColor="text1"/>
          <w:sz w:val="16"/>
          <w:szCs w:val="16"/>
        </w:rPr>
      </w:pPr>
      <w:r w:rsidRPr="00DB5D0D">
        <w:rPr>
          <w:rStyle w:val="107"/>
          <w:rFonts w:ascii="Times New Roman" w:eastAsia="Arial Unicode MS" w:hAnsi="Times New Roman" w:cs="Times New Roman"/>
          <w:b w:val="0"/>
          <w:iCs/>
          <w:color w:val="000000" w:themeColor="text1"/>
          <w:sz w:val="16"/>
          <w:szCs w:val="16"/>
          <w:lang w:val="ru-RU"/>
        </w:rPr>
        <w:t>Учитывая жесткие сроки выполнения по</w:t>
      </w:r>
      <w:r w:rsidRPr="00DB5D0D">
        <w:rPr>
          <w:rStyle w:val="107"/>
          <w:rFonts w:ascii="Times New Roman" w:eastAsia="Arial Unicode MS" w:hAnsi="Times New Roman" w:cs="Times New Roman"/>
          <w:b w:val="0"/>
          <w:iCs/>
          <w:color w:val="000000" w:themeColor="text1"/>
          <w:sz w:val="16"/>
          <w:szCs w:val="16"/>
          <w:lang w:val="ru-RU"/>
        </w:rPr>
        <w:softHyphen/>
        <w:t>становления, на ЛКЗ отошли от традиционной схемы организации работ, применив метод «скоростного проектирования»:</w:t>
      </w:r>
      <w:r w:rsidRPr="00DB5D0D">
        <w:rPr>
          <w:rFonts w:ascii="Times New Roman" w:hAnsi="Times New Roman" w:cs="Times New Roman"/>
          <w:b w:val="0"/>
          <w:color w:val="000000" w:themeColor="text1"/>
          <w:sz w:val="16"/>
          <w:szCs w:val="16"/>
        </w:rPr>
        <w:t xml:space="preserve"> «...Если рань</w:t>
      </w:r>
      <w:r w:rsidRPr="00DB5D0D">
        <w:rPr>
          <w:rFonts w:ascii="Times New Roman" w:hAnsi="Times New Roman" w:cs="Times New Roman"/>
          <w:b w:val="0"/>
          <w:color w:val="000000" w:themeColor="text1"/>
          <w:sz w:val="16"/>
          <w:szCs w:val="16"/>
        </w:rPr>
        <w:softHyphen/>
        <w:t>ше мы составляли последовательно эскизный проект, технический проект, рабочий проект и только после этого изготовляли опытный образец, то сейчас, базируясь на опыте изго</w:t>
      </w:r>
      <w:r w:rsidRPr="00DB5D0D">
        <w:rPr>
          <w:rFonts w:ascii="Times New Roman" w:hAnsi="Times New Roman" w:cs="Times New Roman"/>
          <w:b w:val="0"/>
          <w:color w:val="000000" w:themeColor="text1"/>
          <w:sz w:val="16"/>
          <w:szCs w:val="16"/>
        </w:rPr>
        <w:softHyphen/>
        <w:t>товленных конструкций и опыте работы самих конструкторов, мы составляем эскизный про</w:t>
      </w:r>
      <w:r w:rsidRPr="00DB5D0D">
        <w:rPr>
          <w:rFonts w:ascii="Times New Roman" w:hAnsi="Times New Roman" w:cs="Times New Roman"/>
          <w:b w:val="0"/>
          <w:color w:val="000000" w:themeColor="text1"/>
          <w:sz w:val="16"/>
          <w:szCs w:val="16"/>
        </w:rPr>
        <w:softHyphen/>
        <w:t>ект и после этого сразу же большинство узлов идет в рабочее проектирование (некоторые узлы идут в производство даже без эскизного проекта), и только незначительное число узлов проходят стадию технического проекта. За короткий срок (два года) молодые конструк</w:t>
      </w:r>
      <w:r w:rsidRPr="00DB5D0D">
        <w:rPr>
          <w:rFonts w:ascii="Times New Roman" w:hAnsi="Times New Roman" w:cs="Times New Roman"/>
          <w:b w:val="0"/>
          <w:color w:val="000000" w:themeColor="text1"/>
          <w:sz w:val="16"/>
          <w:szCs w:val="16"/>
        </w:rPr>
        <w:softHyphen/>
        <w:t>торы освоили новое замечательное дело скоростного проектирования, сократив сроки выпуска чертежей всей машины в 15-20 раз и дали новые машины, собранные в невиданно короткие сроки».</w:t>
      </w:r>
    </w:p>
    <w:p w14:paraId="6AFC0EC9" w14:textId="77777777" w:rsidR="00BE21D9" w:rsidRPr="00DB5D0D" w:rsidRDefault="00BE21D9" w:rsidP="00DB5D0D">
      <w:pPr>
        <w:pStyle w:val="72"/>
        <w:shd w:val="clear" w:color="auto" w:fill="auto"/>
        <w:spacing w:line="240" w:lineRule="auto"/>
        <w:jc w:val="both"/>
        <w:rPr>
          <w:rFonts w:ascii="Times New Roman" w:hAnsi="Times New Roman" w:cs="Times New Roman"/>
          <w:i w:val="0"/>
          <w:color w:val="000000" w:themeColor="text1"/>
          <w:sz w:val="16"/>
          <w:szCs w:val="16"/>
        </w:rPr>
      </w:pPr>
    </w:p>
    <w:p w14:paraId="62D02316"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17 июля 1940 года вышло постановление СНК Союза ССР и ЦК ВКП(б) №1288–495сс, согласно которому Кировскому заводу к 1 декабря 1940 года поручалось изготовление двух образцов модернизированных танков КВ. Оба образца должны были иметь лобовую броню толщиной 100 мм, а друг от друга они отличались вооружением. Первый образец получал 76-мм пушку Ф-27, второй – 85-мм пушку Ф-30. Впрочем, вскоре после выхода постановления в проекты были внесены изменения. Вместо Ф-27 решили ставить 76-мм танковую пушку Ф-32, а толщину лобового бронелиста сократить до 90 мм. Кроме того, при проектировании Ф-30 выяснилось, что габариты системы не позволяют установить её в существующую башню КВ-1. Потребовалось проектировать новую башню.</w:t>
      </w:r>
    </w:p>
    <w:p w14:paraId="65DEFCC0"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Одной лишь переделкой башни дело не обошлось. Количесто изменений по второй опытной машине росло как снежный ком. В итоге танк, носивший в переписке индексы КВ-220, Объект 220 и Т-220, стал сильно отличаться от исходного КВ-1, почти догнав по длине СМК, а по массе и вовсе превзойдя. К слову, в переписке Т-220 как минимум единожды называется «КВ-4».</w:t>
      </w:r>
    </w:p>
    <w:p w14:paraId="369331F5"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Конструктивно новый танк неразрывно связан с САУ «212А», разработка которой была санкционирована тем же самым постановлением СНК Союза ССР и ЦК ВКП(б) №1288–495сс. Поскольку боевая масса «истребителя ДОТ-ов» превышала 60 тонн, для него потребовалась новая силовая установка. Мотор, получивший индекс В-2СН, разработал завод №75 в Харькове. От штатного В-2 он отличался тем, что на него установили механический нагнетатель от авиационного двигателя АМ-38. Благодаря нагнетателю мощность В-2СН выросла до 850 лошадиных сил. Этот мотор решили поставить и в Т-220. Были установлены новые коробка передач, главная передача и бортовые фрикционы.</w:t>
      </w:r>
    </w:p>
    <w:p w14:paraId="47F06689"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связи со всеми изменениями длина корпуса выросла до 7820 мм, что на метр длиннее, чем у КВ-1. Удлинение корпуса потребовало переделать и ходовую часть: число опорных катков выросло до 7 на борт, а поддерживающих – до 4. Толщина лобовой части корпуса составила 100 мм. Такую же толщину брони имели и борта. Первоначально предполагалось, что Т-220 будет весить 56 тонн, но в итоге общая масса танка выросла до 62,7 тонн.</w:t>
      </w:r>
    </w:p>
    <w:p w14:paraId="6C9A6A23"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 xml:space="preserve">Башня, которая стала исходной причиной роста размеров и массы Т-220, представляла собой развитие идеи «пониженной» башни для КВ-2. В передней части появились массивная установка системы Ф-30 и спаренный с нею пулемёт ДТ. Для извлечения орудия в кормовой плите предусмотрели большой люк, похожий на </w:t>
      </w:r>
      <w:r w:rsidRPr="00DB5D0D">
        <w:rPr>
          <w:color w:val="000000" w:themeColor="text1"/>
          <w:sz w:val="16"/>
          <w:szCs w:val="16"/>
        </w:rPr>
        <w:lastRenderedPageBreak/>
        <w:t>кормовой люк башни КВ-2. Ещё один пулемёт ДТ установили в командирской башенке кругового вращения. Экипаж башни вырос до 4 человек за счёт появления второго заряжающего. Боекомплект орудия, составлявший 91 выстрел, также частично разместили в башне.</w:t>
      </w:r>
    </w:p>
    <w:p w14:paraId="7AE6AEC8"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Разработка Т-220 оказалась совсем не дешёвым удовольствием. Согласно калькуляции Кировского завода, общий бюджет по этой теме составил 4 миллиона рублей. Из них 100 тысяч пришлось на составление технического проекта, 25 тысяч на изготовление макета. 250 тысяч стоила разработка конструкторской документации, а 75 тысяч – её доработка по итогам испытаний. Два опытных образца должны были стоить по 1 миллиону 200 тысяч рублей каждый. На испытания требовался бюджет в полмиллиона рублей, ещё 900 тысяч было нужно на доработку опытных образцов по итогам испытаний. И всё это без учёта стоимости вооружения (15224).</w:t>
      </w:r>
    </w:p>
    <w:p w14:paraId="7ECC2869" w14:textId="77777777" w:rsidR="00BE21D9" w:rsidRPr="00DB5D0D" w:rsidRDefault="00BE21D9" w:rsidP="00DB5D0D">
      <w:pPr>
        <w:pStyle w:val="ae"/>
        <w:shd w:val="clear" w:color="auto" w:fill="FFFFFF"/>
        <w:spacing w:before="0" w:after="0"/>
        <w:jc w:val="both"/>
        <w:rPr>
          <w:color w:val="000000" w:themeColor="text1"/>
          <w:sz w:val="16"/>
          <w:szCs w:val="16"/>
        </w:rPr>
      </w:pPr>
    </w:p>
    <w:p w14:paraId="79374ACA"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17 июля 1940 года вышло постановление СНК Союза ССР и ЦК ВКП(б) №1288–495сс, согласно которому Кировский завод к 1 декабря 1940 года должен был изготовить 4 образца модернизированных танков КВ. Две машины оснащались бронёй толщиной 100 мм, две имели толщину брони 90 мм. Также различалось и их вооружение. Кроме того, упоминалась в документе и пятая машина, которой должен был стать «</w:t>
      </w:r>
      <w:r w:rsidRPr="00DB5D0D">
        <w:rPr>
          <w:iCs/>
          <w:color w:val="000000" w:themeColor="text1"/>
          <w:sz w:val="16"/>
          <w:szCs w:val="16"/>
        </w:rPr>
        <w:t xml:space="preserve">опытный образец самоходной установки с вооружением 152 мм пушкой БР-2». </w:t>
      </w:r>
      <w:r w:rsidRPr="00DB5D0D">
        <w:rPr>
          <w:color w:val="000000" w:themeColor="text1"/>
          <w:sz w:val="16"/>
          <w:szCs w:val="16"/>
        </w:rPr>
        <w:t>На Кировском заводе теме «истребителя ДОТов» присвоили индекс «212». В переписке САУ несколько раз именуют и как «объект 212», что, впрочем, не означает, что такое обозначение было официальным. Это была уже вторая машина с таким индексом: по теме «212» разрабатывалась БРЭМ (бронированная ремонтно-эвакуационная машина) на шасси КВ, работы над которой так и не вышли из стадии полноразмерного макета. В литературе для САУ упоминается обозначение «212А», но при изучении архивных материалов и заводской документации подобного индекса найти не удалось. Общее руководство работами по теме «212» возглавил Ж. Я. Котин, в качестве старшего инженера машины выступал Ц. Н. Гольбурт.</w:t>
      </w:r>
    </w:p>
    <w:p w14:paraId="593D10F5"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На работы по теме «212» выделялось 2 миллиона рублей. Согласно разработанному Кировским заводом бюджету, 100 тысяч шло на разработку технического проекта, 25 тысяч на изготовление макета, 300 тысяч на чертежи, 75 тысяч на доработку чертежей, 1 миллион 100 тысяч на изготовление опытного образца, 100 тысяч на испытания и 300 тысяч на ремонт. В эту сумму не включалась стоимость вооружения.</w:t>
      </w:r>
    </w:p>
    <w:p w14:paraId="16C05E4C" w14:textId="77777777" w:rsidR="00BE21D9" w:rsidRPr="00DB5D0D" w:rsidRDefault="00BE21D9" w:rsidP="00DB5D0D">
      <w:pPr>
        <w:pStyle w:val="ae"/>
        <w:shd w:val="clear" w:color="auto" w:fill="FFFFFF"/>
        <w:spacing w:before="0" w:after="0"/>
        <w:jc w:val="both"/>
        <w:rPr>
          <w:color w:val="000000" w:themeColor="text1"/>
          <w:sz w:val="16"/>
          <w:szCs w:val="16"/>
        </w:rPr>
      </w:pPr>
      <w:r w:rsidRPr="00DB5D0D">
        <w:rPr>
          <w:color w:val="000000" w:themeColor="text1"/>
          <w:sz w:val="16"/>
          <w:szCs w:val="16"/>
        </w:rPr>
        <w:t xml:space="preserve">Разработка самоходной установки не была для СКБ-4 приоритетной. Работы шли в кильватере более важной задачи — создания тяжёлых танков с более мощным вооружением и бронёй. Фактически работы по теме «212» начались лишь в августе 1940 года, после получения тактико-технических требований, а изготовление рабочих чертежей и того позже – в октябре. Это было напрямую связано с работами над танком </w:t>
      </w:r>
      <w:hyperlink r:id="rId200" w:history="1">
        <w:r w:rsidRPr="00DB5D0D">
          <w:rPr>
            <w:rStyle w:val="a5"/>
            <w:color w:val="000000" w:themeColor="text1"/>
            <w:sz w:val="16"/>
            <w:szCs w:val="16"/>
          </w:rPr>
          <w:t>Т-220</w:t>
        </w:r>
      </w:hyperlink>
      <w:r w:rsidRPr="00DB5D0D">
        <w:rPr>
          <w:color w:val="000000" w:themeColor="text1"/>
          <w:sz w:val="16"/>
          <w:szCs w:val="16"/>
        </w:rPr>
        <w:t>, выступавшим базой для самоходной установки. Как раз к октябрю облик базовой боевой машины стал принимать окончательные очертания</w:t>
      </w:r>
      <w:r w:rsidRPr="00DB5D0D">
        <w:rPr>
          <w:iCs/>
          <w:color w:val="000000" w:themeColor="text1"/>
          <w:sz w:val="16"/>
          <w:szCs w:val="16"/>
        </w:rPr>
        <w:t xml:space="preserve"> (15739)</w:t>
      </w:r>
      <w:r w:rsidRPr="00DB5D0D">
        <w:rPr>
          <w:color w:val="000000" w:themeColor="text1"/>
          <w:sz w:val="16"/>
          <w:szCs w:val="16"/>
        </w:rPr>
        <w:t>.</w:t>
      </w:r>
    </w:p>
    <w:p w14:paraId="6CEE5489" w14:textId="77777777" w:rsidR="00BE21D9" w:rsidRPr="00DB5D0D" w:rsidRDefault="00BE21D9" w:rsidP="00DB5D0D">
      <w:pPr>
        <w:pStyle w:val="ae"/>
        <w:shd w:val="clear" w:color="auto" w:fill="FFFFFF"/>
        <w:spacing w:before="0" w:after="0"/>
        <w:jc w:val="both"/>
        <w:rPr>
          <w:color w:val="000000" w:themeColor="text1"/>
          <w:sz w:val="16"/>
          <w:szCs w:val="16"/>
        </w:rPr>
      </w:pPr>
    </w:p>
    <w:p w14:paraId="0E2DFE30" w14:textId="77777777" w:rsidR="00E04227" w:rsidRPr="00DB5D0D" w:rsidRDefault="00E04227" w:rsidP="00DB5D0D">
      <w:pPr>
        <w:shd w:val="clear" w:color="auto" w:fill="FFFFFF"/>
        <w:spacing w:after="0" w:line="240" w:lineRule="auto"/>
        <w:jc w:val="both"/>
        <w:rPr>
          <w:rFonts w:ascii="Times New Roman" w:eastAsia="Times New Roman" w:hAnsi="Times New Roman"/>
          <w:iCs/>
          <w:color w:val="000000" w:themeColor="text1"/>
          <w:sz w:val="16"/>
          <w:szCs w:val="16"/>
          <w:lang w:eastAsia="ru-RU"/>
        </w:rPr>
      </w:pPr>
      <w:r w:rsidRPr="00DB5D0D">
        <w:rPr>
          <w:rFonts w:ascii="Times New Roman" w:eastAsia="Times New Roman" w:hAnsi="Times New Roman"/>
          <w:color w:val="000000" w:themeColor="text1"/>
          <w:sz w:val="16"/>
          <w:szCs w:val="16"/>
          <w:lang w:eastAsia="ru-RU"/>
        </w:rPr>
        <w:t>17 июля 1940 года вышло постановление СНК Союза ССР и ЦК ВКП(б) №1288–495сс, согласно которому Кировский завод к 1 декабря 1940 года должен был изготовить 4 образца модернизированных танков КВ. Две машины оснащались бронёй толщиной 100 мм, две имели толщину брони 90 мм. Также различалось и их вооружение. Кроме того, упоминалась в документе и пятая машина, которой должен был стать «</w:t>
      </w:r>
      <w:r w:rsidRPr="00DB5D0D">
        <w:rPr>
          <w:rFonts w:ascii="Times New Roman" w:eastAsia="Times New Roman" w:hAnsi="Times New Roman"/>
          <w:iCs/>
          <w:color w:val="000000" w:themeColor="text1"/>
          <w:sz w:val="16"/>
          <w:szCs w:val="16"/>
          <w:lang w:eastAsia="ru-RU"/>
        </w:rPr>
        <w:t>опытный образец самоходной установки с вооружением 152 мм пушкой БР-2».</w:t>
      </w:r>
    </w:p>
    <w:p w14:paraId="157D3901" w14:textId="77777777" w:rsidR="00E04227" w:rsidRPr="00DB5D0D" w:rsidRDefault="00E0422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 Кировском заводе теме «истребителя ДОТов» присвоили индекс «212». В переписке САУ несколько раз именуют и как «объект 212», что, впрочем, не означает, что такое обозначение было официальным. Это была уже вторая машина с таким индексом: по теме «212» разрабатывалась БРЭМ (бронированная ремонтно-эвакуационная машина) на шасси КВ, работы над которой так и не вышли из стадии полноразмерного макета. В литературе для САУ упоминается обозначение «212А», но при изучении архивных материалов и заводской документации подобного индекса найти не удалось. Общее руководство работами по теме «212» возглавил Ж. Я. Котин, в качестве старшего инженера машины выступал Ц. Н. Гольбурт.</w:t>
      </w:r>
    </w:p>
    <w:p w14:paraId="00008C5F" w14:textId="77777777" w:rsidR="00E04227" w:rsidRPr="00DB5D0D" w:rsidRDefault="00E0422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 работы по теме «212» выделялось 2 миллиона рублей. Согласно разработанному Кировским заводом бюджету, 100 тысяч шло на разработку технического проекта, 25 тысяч на изготовление макета, 300 тысяч на чертежи, 75 тысяч на доработку чертежей, 1 миллион 100 тысяч на изготовление опытного образца, 100 тысяч на испытания и 300 тысяч на ремонт. В эту сумму не включалась стоимость вооружения.</w:t>
      </w:r>
    </w:p>
    <w:p w14:paraId="3015C40C" w14:textId="77777777" w:rsidR="00E04227" w:rsidRPr="00DB5D0D" w:rsidRDefault="00E0422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Разработка самоходной установки не была для СКБ-4 приоритетной. Работы шли в кильватере более важной задачи — создания тяжёлых танков с более мощным вооружением и бронёй.</w:t>
      </w:r>
    </w:p>
    <w:p w14:paraId="4E0EC84B" w14:textId="77777777" w:rsidR="00E04227" w:rsidRPr="00DB5D0D" w:rsidRDefault="00E0422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Фактически работы по теме «212» начались лишь в августе 1940 года, после получения тактико-технических требований, а изготовление рабочих чертежей и того позже – в октябре. Это было напрямую связано с работами над танком Т-220, выступавшим базой для самоходной установки. Как раз к октябрю облик базовой боевой машины стал принимать окончательные очертания</w:t>
      </w:r>
      <w:r w:rsidRPr="00DB5D0D">
        <w:rPr>
          <w:rFonts w:ascii="Times New Roman" w:eastAsia="Times New Roman" w:hAnsi="Times New Roman"/>
          <w:iCs/>
          <w:color w:val="000000" w:themeColor="text1"/>
          <w:sz w:val="16"/>
          <w:szCs w:val="16"/>
          <w:lang w:eastAsia="ru-RU"/>
        </w:rPr>
        <w:t xml:space="preserve"> (17646)</w:t>
      </w:r>
      <w:r w:rsidRPr="00DB5D0D">
        <w:rPr>
          <w:rFonts w:ascii="Times New Roman" w:eastAsia="Times New Roman" w:hAnsi="Times New Roman"/>
          <w:color w:val="000000" w:themeColor="text1"/>
          <w:sz w:val="16"/>
          <w:szCs w:val="16"/>
          <w:lang w:eastAsia="ru-RU"/>
        </w:rPr>
        <w:t>.</w:t>
      </w:r>
    </w:p>
    <w:p w14:paraId="2826B4E6" w14:textId="77777777" w:rsidR="00E04227" w:rsidRPr="00DB5D0D" w:rsidRDefault="00E04227"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eastAsia="Times New Roman" w:hAnsi="Times New Roman"/>
          <w:color w:val="000000" w:themeColor="text1"/>
          <w:sz w:val="16"/>
          <w:szCs w:val="16"/>
          <w:lang w:eastAsia="ru-RU"/>
        </w:rPr>
        <w:t xml:space="preserve">Работы, инициированные постановлением Совета народных комиссаров Союза ССР и ЦК ВКП(б) №1288–495сс от 17 июля 1940 года, пошли по двум направлением. В первом случае речь шла о пушке с баллистикой 76-мм зенитного орудия 3-К. Эта работа в дальнейшем привела к появлению тяжелого танка </w:t>
      </w:r>
      <w:hyperlink r:id="rId201" w:history="1">
        <w:r w:rsidRPr="00DB5D0D">
          <w:rPr>
            <w:rFonts w:ascii="Times New Roman" w:eastAsia="Times New Roman" w:hAnsi="Times New Roman"/>
            <w:color w:val="000000" w:themeColor="text1"/>
            <w:sz w:val="16"/>
            <w:szCs w:val="16"/>
            <w:lang w:eastAsia="ru-RU"/>
          </w:rPr>
          <w:t>Т-150</w:t>
        </w:r>
      </w:hyperlink>
      <w:r w:rsidRPr="00DB5D0D">
        <w:rPr>
          <w:rFonts w:ascii="Times New Roman" w:eastAsia="Times New Roman" w:hAnsi="Times New Roman"/>
          <w:color w:val="000000" w:themeColor="text1"/>
          <w:sz w:val="16"/>
          <w:szCs w:val="16"/>
          <w:lang w:eastAsia="ru-RU"/>
        </w:rPr>
        <w:t xml:space="preserve">. Второй вариант предполагал разработку 85-мм танковой пушки с баллистикой 85-мм зенитного орудия 52-К. Довольно быстро выяснилось, что пушка такого калибра в башню КВ-1 не помещается, что привело к трансформации проекта, превратившегося в тяжелый танк </w:t>
      </w:r>
      <w:hyperlink r:id="rId202" w:history="1">
        <w:r w:rsidRPr="00DB5D0D">
          <w:rPr>
            <w:rFonts w:ascii="Times New Roman" w:eastAsia="Times New Roman" w:hAnsi="Times New Roman"/>
            <w:color w:val="000000" w:themeColor="text1"/>
            <w:sz w:val="16"/>
            <w:szCs w:val="16"/>
            <w:lang w:eastAsia="ru-RU"/>
          </w:rPr>
          <w:t>Т-220</w:t>
        </w:r>
      </w:hyperlink>
      <w:r w:rsidRPr="00DB5D0D">
        <w:rPr>
          <w:rFonts w:ascii="Times New Roman" w:hAnsi="Times New Roman"/>
          <w:color w:val="000000" w:themeColor="text1"/>
          <w:sz w:val="16"/>
          <w:szCs w:val="16"/>
        </w:rPr>
        <w:t>/</w:t>
      </w:r>
    </w:p>
    <w:p w14:paraId="6FF69240" w14:textId="77777777" w:rsidR="00E04227" w:rsidRPr="00DB5D0D" w:rsidRDefault="00E0422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Обе танковые пушки разрабатывал коллектив завода №92 во главе с В.Г. Грабиным. В качестве базы для новой пушки с баллистикой 3-К была выбрана система Ф-34. Такой выбор оказался не случаен. Изначально КВ-1 приняли на вооружение с орудием Ф-32, но в целом это орудие имел примерно ту же пробиваемость, что и Л-11, которую ставили на танки выпуска 1940 года. По этой причине на базе Ф-32 было разработано более мощное орудие Ф-34, имевшее баллистику 76-мм дивизионной пушки УСВ (также разработки КБ завода №92). Задание по нему было получено еще в феврале 1938 года, одновременно с запуском программы Ф-32. Это орудие больше подходило в качестве базы для разработки новой системы, правда, для установки Ф-34 требовалось переработать бронировку орудийной маски.</w:t>
      </w:r>
    </w:p>
    <w:p w14:paraId="61559204" w14:textId="77777777" w:rsidR="00E04227" w:rsidRPr="00DB5D0D" w:rsidRDefault="00E0422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Теме танкового орудия на базе Ф-34 на заводе дали обозначение Ф-27. Не стоит удивляться подобным «гуляниям» индексов с точки зрения нумерации, такая практика на заводе №92 была нормальной. Например, одновременно запущенная программа по разработке 85-мм танковой пушки получила индекс Ф-30, 107-мм танковая пушка, позже предполагавшаяся в качестве вооружения </w:t>
      </w:r>
      <w:hyperlink r:id="rId203" w:history="1">
        <w:r w:rsidRPr="00DB5D0D">
          <w:rPr>
            <w:rFonts w:ascii="Times New Roman" w:eastAsia="Times New Roman" w:hAnsi="Times New Roman"/>
            <w:color w:val="000000" w:themeColor="text1"/>
            <w:sz w:val="16"/>
            <w:szCs w:val="16"/>
            <w:lang w:eastAsia="ru-RU"/>
          </w:rPr>
          <w:t>КВ-3</w:t>
        </w:r>
      </w:hyperlink>
      <w:r w:rsidRPr="00DB5D0D">
        <w:rPr>
          <w:rFonts w:ascii="Times New Roman" w:eastAsia="Times New Roman" w:hAnsi="Times New Roman"/>
          <w:color w:val="000000" w:themeColor="text1"/>
          <w:sz w:val="16"/>
          <w:szCs w:val="16"/>
          <w:lang w:eastAsia="ru-RU"/>
        </w:rPr>
        <w:t xml:space="preserve">, </w:t>
      </w:r>
      <w:hyperlink r:id="rId204" w:history="1">
        <w:r w:rsidRPr="00DB5D0D">
          <w:rPr>
            <w:rFonts w:ascii="Times New Roman" w:eastAsia="Times New Roman" w:hAnsi="Times New Roman"/>
            <w:color w:val="000000" w:themeColor="text1"/>
            <w:sz w:val="16"/>
            <w:szCs w:val="16"/>
            <w:lang w:eastAsia="ru-RU"/>
          </w:rPr>
          <w:t>КВ-4 и КВ-5</w:t>
        </w:r>
      </w:hyperlink>
      <w:r w:rsidRPr="00DB5D0D">
        <w:rPr>
          <w:rFonts w:ascii="Times New Roman" w:eastAsia="Times New Roman" w:hAnsi="Times New Roman"/>
          <w:color w:val="000000" w:themeColor="text1"/>
          <w:sz w:val="16"/>
          <w:szCs w:val="16"/>
          <w:lang w:eastAsia="ru-RU"/>
        </w:rPr>
        <w:t>, называлась Ф-42. При этом 57-мм противотанковая пушка, известная как ЗИС-2, изначально называлась Ф-31, а она появилась чуть позже Ф-42</w:t>
      </w:r>
      <w:r w:rsidRPr="00DB5D0D">
        <w:rPr>
          <w:rFonts w:ascii="Times New Roman" w:hAnsi="Times New Roman"/>
          <w:color w:val="000000" w:themeColor="text1"/>
          <w:sz w:val="16"/>
          <w:szCs w:val="16"/>
        </w:rPr>
        <w:t xml:space="preserve"> (17675)</w:t>
      </w:r>
      <w:r w:rsidRPr="00DB5D0D">
        <w:rPr>
          <w:rFonts w:ascii="Times New Roman" w:eastAsia="Times New Roman" w:hAnsi="Times New Roman"/>
          <w:color w:val="000000" w:themeColor="text1"/>
          <w:sz w:val="16"/>
          <w:szCs w:val="16"/>
          <w:lang w:eastAsia="ru-RU"/>
        </w:rPr>
        <w:t>.</w:t>
      </w:r>
    </w:p>
    <w:p w14:paraId="2ACF8B88" w14:textId="77777777" w:rsidR="00E04227" w:rsidRPr="00DB5D0D" w:rsidRDefault="00E04227" w:rsidP="00DB5D0D">
      <w:pPr>
        <w:spacing w:after="0" w:line="240" w:lineRule="auto"/>
        <w:jc w:val="both"/>
        <w:rPr>
          <w:rFonts w:ascii="Times New Roman" w:eastAsia="Times New Roman" w:hAnsi="Times New Roman"/>
          <w:color w:val="000000" w:themeColor="text1"/>
          <w:sz w:val="16"/>
          <w:szCs w:val="16"/>
          <w:lang w:eastAsia="ru-RU"/>
        </w:rPr>
      </w:pPr>
    </w:p>
    <w:p w14:paraId="77289F58" w14:textId="77777777" w:rsidR="00E04227" w:rsidRPr="00DB5D0D" w:rsidRDefault="00E042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г. Постановлением СНК СССР и ЦК ВКП(б) № 1288</w:t>
      </w:r>
      <w:r w:rsidRPr="00DB5D0D">
        <w:rPr>
          <w:rFonts w:ascii="Times New Roman" w:hAnsi="Times New Roman"/>
          <w:color w:val="000000" w:themeColor="text1"/>
          <w:sz w:val="16"/>
          <w:szCs w:val="16"/>
        </w:rPr>
        <w:noBreakHyphen/>
        <w:t>495сс Кировский завод обязан был спроектировать и изготовить: 2 опытных танка КВ с толщиной брони в 90 мм, 2 опытных танка с толщиной брони в 100 мм и самоходную артиллерийскую установку на базе КВ с толщиной брони в 60 мм и с 152</w:t>
      </w:r>
      <w:r w:rsidRPr="00DB5D0D">
        <w:rPr>
          <w:rFonts w:ascii="Times New Roman" w:hAnsi="Times New Roman"/>
          <w:color w:val="000000" w:themeColor="text1"/>
          <w:sz w:val="16"/>
          <w:szCs w:val="16"/>
        </w:rPr>
        <w:noBreakHyphen/>
        <w:t>мм пушкой БР</w:t>
      </w:r>
      <w:r w:rsidRPr="00DB5D0D">
        <w:rPr>
          <w:rFonts w:ascii="Times New Roman" w:hAnsi="Times New Roman"/>
          <w:color w:val="000000" w:themeColor="text1"/>
          <w:sz w:val="16"/>
          <w:szCs w:val="16"/>
        </w:rPr>
        <w:noBreakHyphen/>
        <w:t>2. Танки КВ с броней в 90 мм и 100 мм заводом изготовлены только по одному экземпляру, и с 15 января 1941 г. эти танки находятся на испытаниях. Вторые образцы танков с утолщенной броней, а также самоходная артиллерийская установка, не изготовлены вследствие неполучения в срок бронекорпусов с Ижорского завода (18033).</w:t>
      </w:r>
    </w:p>
    <w:p w14:paraId="6C75E2FC" w14:textId="77777777" w:rsidR="00E04227" w:rsidRPr="00DB5D0D" w:rsidRDefault="00E04227" w:rsidP="00DB5D0D">
      <w:pPr>
        <w:spacing w:after="0" w:line="240" w:lineRule="auto"/>
        <w:jc w:val="both"/>
        <w:rPr>
          <w:rFonts w:ascii="Times New Roman" w:hAnsi="Times New Roman"/>
          <w:color w:val="000000" w:themeColor="text1"/>
          <w:sz w:val="16"/>
          <w:szCs w:val="16"/>
        </w:rPr>
      </w:pPr>
    </w:p>
    <w:p w14:paraId="4E25C0C2" w14:textId="77777777" w:rsidR="008139EE" w:rsidRPr="00DB5D0D" w:rsidRDefault="008139EE"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shd w:val="clear" w:color="auto" w:fill="FFFFFF"/>
        </w:rPr>
        <w:t>17 июля 1940 года вышло постановление СНК СССР и ЦК ВКП(б) №1288-495сс, которое стало отправной точкой для создания «истребителя дотов», более известного как </w:t>
      </w:r>
      <w:hyperlink r:id="rId205" w:history="1">
        <w:r w:rsidRPr="00DB5D0D">
          <w:rPr>
            <w:rStyle w:val="a5"/>
            <w:rFonts w:ascii="Times New Roman" w:hAnsi="Times New Roman"/>
            <w:color w:val="0070C0"/>
            <w:sz w:val="16"/>
            <w:szCs w:val="16"/>
            <w:bdr w:val="none" w:sz="0" w:space="0" w:color="auto" w:frame="1"/>
          </w:rPr>
          <w:t>212</w:t>
        </w:r>
      </w:hyperlink>
      <w:r w:rsidRPr="00DB5D0D">
        <w:rPr>
          <w:rFonts w:ascii="Times New Roman" w:hAnsi="Times New Roman"/>
          <w:color w:val="0070C0"/>
          <w:sz w:val="16"/>
          <w:szCs w:val="16"/>
          <w:shd w:val="clear" w:color="auto" w:fill="FFFFFF"/>
        </w:rPr>
        <w:t>. Фактически данная машина представляла идейное продолжение СУ-14, но уже на базе агрегатов КВ. Ну, а базы Т-100 и СМК канули в лету. Оставшиеся на НИБТ Полигоне самоходки за год стояния сильно поизносились, а завод №174 выкатил на их ремонт ценник в 125 000 рублей. Сам же полигон от свалившегося «счастья» хотел избавиться. В апреле 1941 года предлагалось провести ремонт и отправить машины «артиллеристам», но этого не произошло — все три САУ так и остались на полигоне. В таком виде машины встретили начало Великой Отечественной войны (19857).</w:t>
      </w:r>
    </w:p>
    <w:p w14:paraId="1960A487" w14:textId="77777777" w:rsidR="008139EE" w:rsidRPr="00DB5D0D" w:rsidRDefault="008139EE"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2B947E8D" w14:textId="77777777" w:rsidR="008139EE" w:rsidRPr="00DB5D0D" w:rsidRDefault="008139EE"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17 июля 1940 года постановлением Совета народных комиссаров Союза ССР и ЦК ВКП(б) №1288–495сс были инициированы работы по созданию танкового орудия с баллистикой 3-К – Ф-27. Предполагалось построить 2 опытных образца орудия, которые ставились в штатную башню КВ-1. Базой для данной системы, получившей обозначение Ф-27, послужило орудие Ф-34. Таким образом, потенциально имелась возможность поставить орудие и в Т-34 (20272).</w:t>
      </w:r>
    </w:p>
    <w:p w14:paraId="7AC7A0D7" w14:textId="77777777" w:rsidR="008139EE" w:rsidRPr="00DB5D0D" w:rsidRDefault="008139EE"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57724C18" w14:textId="77777777" w:rsidR="008139EE" w:rsidRPr="00DB5D0D" w:rsidRDefault="008139EE"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17 июля 1940 года вышло постановление СНК Союза ССР и ЦК ВКП(б) №1288–495сс, согласно которому Кировскому заводу к 1 декабря 1940 года поручалось изготовление двух образцов модернизированных танков КВ. Оба танка получали усиленную броневую защиту, ее толщина доводилась до 100 мм. В теории это должно было защитить от немецкой 88-зенитной пушки Flak 18. Первый танк получал 76-мм орудие с баллистикой зенитной системы 3-К, а второй - 85-мм орудие с баллистикой другой зенитной системы - 52-К. Также изготовлялось 2 образца с броневой защитой толщиной 90 мм и таким же вооружением. Чуть позже ситуация несколько изменилась. Дело в том, 85-мм орудие оказалось слишком большим для штатной башни КВ-1. Далее начались дополнительные изменения, включая удлинение корпуса и изменения состава вооружения. В результате вместо КВ-1 с более толстой броней и более мощным вооружением стал вырисовываться танк, по габаритам и массе очень близкий к окончательно отмененному летом 1940 года СМК-1. Данный танк в литературе более известен как КВ-220, но обычно он фигурировал в переписке как Т-220, а на Кировском Заводе его также обозначали как Объект 220. Также пару раз машину именовали как КВ-4 (21243).</w:t>
      </w:r>
    </w:p>
    <w:p w14:paraId="56DE1573" w14:textId="77777777" w:rsidR="008139EE" w:rsidRPr="00DB5D0D" w:rsidRDefault="008139EE"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0191CCAB" w14:textId="77777777" w:rsidR="00E04227" w:rsidRPr="00DB5D0D" w:rsidRDefault="00E042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г. Постановлением ЦК ВКП(б) и СНК СССР № 1288</w:t>
      </w:r>
      <w:r w:rsidRPr="00DB5D0D">
        <w:rPr>
          <w:rFonts w:ascii="Times New Roman" w:hAnsi="Times New Roman"/>
          <w:color w:val="000000" w:themeColor="text1"/>
          <w:sz w:val="16"/>
          <w:szCs w:val="16"/>
        </w:rPr>
        <w:noBreakHyphen/>
        <w:t>495сс Ижорский завод обязан был поставить Кировскому заводу НКТМ к 1 октября 1940 г. четыре бронекорпуса КВ толщиной брони 90 и 100 мм и к 15 октября 1940 г. один бронекорпус для самоходной артиллерийской установки с толщиной брони 60 мм. Это задание завод выполнил с опозданием по трем корпусам на 4 месяца (18033).</w:t>
      </w:r>
    </w:p>
    <w:p w14:paraId="51657DFB" w14:textId="77777777" w:rsidR="00E04227" w:rsidRPr="00DB5D0D" w:rsidRDefault="00E04227" w:rsidP="00DB5D0D">
      <w:pPr>
        <w:spacing w:after="0" w:line="240" w:lineRule="auto"/>
        <w:jc w:val="both"/>
        <w:rPr>
          <w:rFonts w:ascii="Times New Roman" w:hAnsi="Times New Roman"/>
          <w:color w:val="000000" w:themeColor="text1"/>
          <w:sz w:val="16"/>
          <w:szCs w:val="16"/>
        </w:rPr>
      </w:pPr>
    </w:p>
    <w:p w14:paraId="3D9EF96D" w14:textId="77777777" w:rsidR="003C7E8B" w:rsidRPr="00DB5D0D" w:rsidRDefault="003C7E8B" w:rsidP="00DB5D0D">
      <w:pPr>
        <w:tabs>
          <w:tab w:val="left" w:pos="14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 июля 1940 г. Пост. СНК заводу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w:t>
      </w:r>
      <w:r w:rsidRPr="00DB5D0D">
        <w:rPr>
          <w:rFonts w:ascii="Times New Roman" w:hAnsi="Times New Roman"/>
          <w:color w:val="000000" w:themeColor="text1"/>
          <w:sz w:val="16"/>
          <w:szCs w:val="16"/>
        </w:rPr>
        <w:lastRenderedPageBreak/>
        <w:t>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было поручено к 1.11.1940 г. выпустить два тяжелых танка с броней 90 мм (11982).</w:t>
      </w:r>
    </w:p>
    <w:p w14:paraId="16D397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66E4BB"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17 июля 1940 в среду состоялась следующая встреча наркома нефтяной промышленности с И.В.С. Она началась в 23.05 и закончилась уже 18 июля в 0.50. На ней речь шла о топливном обеспечении дополнительного числа самолетов, выпуск которых планировался постановлением ЦК и СНК «Об увеличении выпуска самолетов и авиамоторов на период август декабрь 1940 г.» (принято 27 июля 1940 г.) (11523).</w:t>
      </w:r>
    </w:p>
    <w:p w14:paraId="5C61C9BA"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2E84BEB6" w14:textId="77777777" w:rsidR="00426365"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3595134D" w14:textId="77777777" w:rsidR="00426365" w:rsidRPr="00DB5D0D" w:rsidRDefault="00426365" w:rsidP="00DB5D0D">
      <w:pPr>
        <w:spacing w:after="0" w:line="240" w:lineRule="auto"/>
        <w:jc w:val="both"/>
        <w:rPr>
          <w:rFonts w:ascii="Times New Roman" w:hAnsi="Times New Roman"/>
          <w:iCs/>
          <w:color w:val="000000" w:themeColor="text1"/>
          <w:sz w:val="16"/>
          <w:szCs w:val="16"/>
        </w:rPr>
      </w:pPr>
    </w:p>
    <w:p w14:paraId="331239E1" w14:textId="77777777" w:rsidR="00426365" w:rsidRPr="00DB5D0D" w:rsidRDefault="00426365" w:rsidP="00DB5D0D">
      <w:pPr>
        <w:pStyle w:val="af2"/>
        <w:jc w:val="both"/>
        <w:rPr>
          <w:i w:val="0"/>
          <w:iCs w:val="0"/>
          <w:color w:val="000000" w:themeColor="text1"/>
          <w:spacing w:val="0"/>
          <w:kern w:val="0"/>
          <w:position w:val="0"/>
          <w:sz w:val="16"/>
          <w:szCs w:val="16"/>
          <w:lang w:val="ru-RU"/>
        </w:rPr>
      </w:pPr>
      <w:r w:rsidRPr="00DB5D0D">
        <w:rPr>
          <w:i w:val="0"/>
          <w:color w:val="000000" w:themeColor="text1"/>
          <w:spacing w:val="0"/>
          <w:kern w:val="0"/>
          <w:position w:val="0"/>
          <w:sz w:val="16"/>
          <w:szCs w:val="16"/>
          <w:lang w:val="ru-RU"/>
        </w:rPr>
        <w:t>17 июля 1940 года</w:t>
      </w:r>
      <w:r w:rsidRPr="00DB5D0D">
        <w:rPr>
          <w:bCs/>
          <w:i w:val="0"/>
          <w:color w:val="000000" w:themeColor="text1"/>
          <w:spacing w:val="0"/>
          <w:kern w:val="0"/>
          <w:position w:val="0"/>
          <w:sz w:val="16"/>
          <w:szCs w:val="16"/>
          <w:lang w:val="ru-RU"/>
        </w:rPr>
        <w:t xml:space="preserve"> по требованию эмиссаров Советского Союза в столицах Прибалтийских республик впервые появились лозунги о вступлении в состав СССР. Рабочий завода «Ф.Крулль» Э.Леэт вспоминает: Я принимал участие и в митинге на площади Вабадузе</w:t>
      </w:r>
      <w:r w:rsidRPr="00DB5D0D">
        <w:rPr>
          <w:i w:val="0"/>
          <w:color w:val="000000" w:themeColor="text1"/>
          <w:spacing w:val="0"/>
          <w:kern w:val="0"/>
          <w:position w:val="0"/>
          <w:sz w:val="16"/>
          <w:szCs w:val="16"/>
          <w:lang w:val="ru-RU"/>
        </w:rPr>
        <w:t xml:space="preserve"> 17 июля</w:t>
      </w:r>
      <w:r w:rsidRPr="00DB5D0D">
        <w:rPr>
          <w:bCs/>
          <w:i w:val="0"/>
          <w:color w:val="000000" w:themeColor="text1"/>
          <w:spacing w:val="0"/>
          <w:kern w:val="0"/>
          <w:position w:val="0"/>
          <w:sz w:val="16"/>
          <w:szCs w:val="16"/>
          <w:lang w:val="ru-RU"/>
        </w:rPr>
        <w:t>. Когда мы колонной шли с рабочими на митинг на площадь Вабадузе, нам дали с собой свернутый в трубку лозунг, который не было разрешено разворачивать. Когда мы пришли на площадь, нам приказали развернуть лозунг, и его текст нас очень удивил. А именно, в нем требовалось «Вступить в состав Советского Союза» (17398).</w:t>
      </w:r>
    </w:p>
    <w:p w14:paraId="5D433C76" w14:textId="77777777" w:rsidR="00426365" w:rsidRPr="00DB5D0D" w:rsidRDefault="00426365" w:rsidP="00DB5D0D">
      <w:pPr>
        <w:pStyle w:val="af2"/>
        <w:jc w:val="both"/>
        <w:rPr>
          <w:i w:val="0"/>
          <w:iCs w:val="0"/>
          <w:color w:val="000000" w:themeColor="text1"/>
          <w:spacing w:val="0"/>
          <w:kern w:val="0"/>
          <w:position w:val="0"/>
          <w:sz w:val="16"/>
          <w:szCs w:val="16"/>
          <w:lang w:val="ru-RU"/>
        </w:rPr>
      </w:pPr>
    </w:p>
    <w:p w14:paraId="77735EE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00C63D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00383D6" w14:textId="77777777" w:rsidR="00F42D89" w:rsidRPr="00DB5D0D" w:rsidRDefault="00F42D89"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shd w:val="clear" w:color="auto" w:fill="FFFFFF"/>
        </w:rPr>
        <w:t>17 июля 1940 года утверждается проектная документация на возведение нового предприятия, а в апреле 1941-го был выпущен первый «Грант». В июле 1941 года Детройтский завод вышел на уровень производства 100 бронированных машин в месяц, а в 1942-м ежемесячно поставлял армии уже 700, то есть вдвое больше, чем все танковые заводы Германии вместе взятые. Всего в годы Второй мировой войны изготовлением танков занимались 17 американских сборочных заводов, в достатке обеспеченных узлами и компонентами за счет конверсированных предприятий автомобильной и тракторной промышленности (21541).</w:t>
      </w:r>
    </w:p>
    <w:p w14:paraId="71E562E2" w14:textId="77777777" w:rsidR="00F42D89" w:rsidRPr="00DB5D0D" w:rsidRDefault="00F42D89"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165EF1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июля 1940 Weizsaker в своем отчете предположил, что реактор может быть использован для производства нептуния и плутония (2221).</w:t>
      </w:r>
    </w:p>
    <w:p w14:paraId="535AA67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7B0876E" w14:textId="77777777" w:rsidR="00426365" w:rsidRPr="00DB5D0D" w:rsidRDefault="00426365"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17 июля 1940 г. Вайцзеккер пишет отчет, где описывает «элемент — 94» — плутоний. Официально считается, что первым получил в 1940 г. плутоний американец Гленн Сиборг, но его ровесник немец Карл Вайцзеккер как минимум от него не отставал. </w:t>
      </w:r>
      <w:r w:rsidRPr="00DB5D0D">
        <w:rPr>
          <w:rFonts w:ascii="Times New Roman" w:eastAsia="Times New Roman" w:hAnsi="Times New Roman"/>
          <w:bCs/>
          <w:iCs/>
          <w:color w:val="000000" w:themeColor="text1"/>
          <w:sz w:val="16"/>
          <w:szCs w:val="16"/>
          <w:lang w:eastAsia="ru-RU"/>
        </w:rPr>
        <w:t xml:space="preserve">А.Иойрыш и др. «А-бомба», 1980: </w:t>
      </w:r>
      <w:r w:rsidRPr="00DB5D0D">
        <w:rPr>
          <w:rFonts w:ascii="Times New Roman" w:eastAsia="Times New Roman" w:hAnsi="Times New Roman"/>
          <w:bCs/>
          <w:color w:val="000000" w:themeColor="text1"/>
          <w:sz w:val="16"/>
          <w:szCs w:val="16"/>
          <w:lang w:eastAsia="ru-RU"/>
        </w:rPr>
        <w:t xml:space="preserve">в середине 1940 г. теоретическое рассмотрение процессов, происходящих в ядрах атомов урана при обстреле их нейтронами, привело Вайцзеккера к важному выводу: в атомном реакторе ядро атома урана-235, захватив нейтрон, изменяется, превращаясь в уран-239, который должен распасться за 23 мин., после чего возникает новый элемент. Этот последний, имея свойства урана-235, сможет быть применен для создания взрывчатого вещества и сооружения очень малого реактора. Новый элемент Вайцзеккер назвал «элемент 94». Теперь его называют плутонием. Вайцзеккер обобщил свои первые выводы </w:t>
      </w:r>
      <w:r w:rsidRPr="00DB5D0D">
        <w:rPr>
          <w:rFonts w:ascii="Times New Roman" w:eastAsia="Times New Roman" w:hAnsi="Times New Roman"/>
          <w:color w:val="000000" w:themeColor="text1"/>
          <w:sz w:val="16"/>
          <w:szCs w:val="16"/>
          <w:lang w:eastAsia="ru-RU"/>
        </w:rPr>
        <w:t>17 июля 1940 г.</w:t>
      </w:r>
      <w:r w:rsidRPr="00DB5D0D">
        <w:rPr>
          <w:rFonts w:ascii="Times New Roman" w:eastAsia="Times New Roman" w:hAnsi="Times New Roman"/>
          <w:bCs/>
          <w:color w:val="000000" w:themeColor="text1"/>
          <w:sz w:val="16"/>
          <w:szCs w:val="16"/>
          <w:lang w:eastAsia="ru-RU"/>
        </w:rPr>
        <w:t xml:space="preserve"> в отчете «Возможность получения энергии из урана-238», а позднее, в 1941 г., оформил патентную заявку (17398).</w:t>
      </w:r>
    </w:p>
    <w:p w14:paraId="2A487841" w14:textId="77777777" w:rsidR="00426365" w:rsidRPr="00DB5D0D" w:rsidRDefault="00426365" w:rsidP="00DB5D0D">
      <w:pPr>
        <w:spacing w:after="0" w:line="240" w:lineRule="auto"/>
        <w:jc w:val="both"/>
        <w:rPr>
          <w:rFonts w:ascii="Times New Roman" w:hAnsi="Times New Roman"/>
          <w:color w:val="000000" w:themeColor="text1"/>
          <w:sz w:val="16"/>
          <w:szCs w:val="16"/>
        </w:rPr>
      </w:pPr>
    </w:p>
    <w:p w14:paraId="393A21AB"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62A5E9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27C57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несмотря на благоприятные результаты испытаний ББ-1 М-88, в докладе на имя Сталина и Ворошилова Рычагов высказал мнение, что в 1941 г. надо потребовать от П.О.Сухого не только устранить указанные в акте войсковых испытаний дефекты, но и внести существенные изменения в конструкцию: установить предкрылки и увеличить поперечное V крыла. После прошедшего в Москве совместного совещания летчиков, штурманов и конструкторов, где с докладом по ББ-1 выступил майор Л.М.Максимов, а в обсуждении участвовали опытные инспекторы ВВС полковники И.И.Душкин, И.П.Селиванов и ИАТитов, комдив ПААлексеев выступил с предложением приостановить производство самолета Сухого до полного устранения основных недостатков.</w:t>
      </w:r>
    </w:p>
    <w:p w14:paraId="172523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этим не согласился нарком авиапромышленности А.И.Шахурин. По его мнению, такое решение могло вызвать простои производства. Полеты авиаторов 135-го бап показали, что в эксплуатации самолет оказался прост и безопасен. Кроме того, значительно надежнее стали работать моторы, позволив машине непрерывно набирать высоту 7000 м. (Ранее летчикам приходилось при наборе высоты на режиме наивысшей скороподъемности два - три раза охлаждать мотор на горизонтальных площадках из-за перегрева масла.) Положение дел с ББ-1 выглядело заметно лучшим по сравнению с другими новыми типами машин, например с ББ-22 А.С.Яков-лева. Поэтому Шахурин считал целесообразным принять бомбардировщик Сухого на вооружение, полностью оснастить машинами 135-й бап и окончательно довести машину непосредственно в этой части во втором полугодии 1940 г.</w:t>
      </w:r>
    </w:p>
    <w:p w14:paraId="06D1EC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Никаких принципиальных изменений в серийную конструкцию ББ-1 в тот период Сухой вносить не стал. Заводы строили самолеты, стремясь отработать технологию и устранить недостатки производства. Наибольших успехов в освоении ББ-1 добились в Харькове. Там к лету 1940 г. внедрили плазово-шаблонный метод, освоили скоростной способ изготовления штампов, стали использовать новейшие фрезерные станки типа «Норд-Америкен» и гидропрессы на 500 т. За пять первых месяцев 1940 г. были построены еще три новых цеха, на 20 % возросло число рабочих и на 40 % снизилась трудоемкость одной машины. Директор Ю.Н.Карпов и главный инженер И.М.Кузин объясняли руководству авиапромышленности невыполнение плана перебоями с поставкой комплектующих и, прежде всего, двигателей. Так, моторный завод № 29 прислал за этот период 132 мотора М-87 и М-88 вместо 185 запланированных; из них всего 116 оказались исправными (5360).</w:t>
      </w:r>
    </w:p>
    <w:p w14:paraId="3E6AFC9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969CE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 в записке на имя Сталина и Ворошилова генерал Рычагов высказал мнение, что в 1941 г. надо потребовать от П.О. Сухого не только повысить максимальную скорость и устранить указанные в акте войсковых испытаний дефекты, но и внести существенные изменения в конструкцию: установить хвостовое колесо типа "мессершмитт", смонтировать предкрылки и увеличить поперечное V крыла. Подобное предложение могло надолго задержать освоение машины. Во время прошедшего в Москве совместного совещания летчиков, штурманов и конструкторов, где с докладом по ББ-1 выступил майор Л.М.Максимов, а в обсуждении участвовали, в том числе, опытные инспекторы ВВС КА полковники И.И. Душкин, И.П. Селиванов, Н.А. Титов и другие, один из присутствовавших - комдив П.А. Алексеев даже предложил приостановить производство самолета Сухого до полного устранения основных недостатков.</w:t>
      </w:r>
    </w:p>
    <w:p w14:paraId="5B1694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этим не согласился нарком авиапромышленности А.И. Шахурин. По его мнению, такое решение вызовет простой производства. Тем более что полеты авиаторов 135-го бап показали возможность эксплуатировать самолет без риска для жизней экипажей. В частности, удалось добиться набора высоты 7000 м без выполнения промежуточных площадок и таким образом определить реальную скороподъемность. Положение дел с ББ-1 выглядело заметно лучше, чем с другими новыми типами машин, например с ББ-22. Поэтому, по мнению Шахурина, целесообразно принять бомбардировщик Сухого на вооружение и окончательно довести машину непосредственно в 135-м полку за второе полугодие 1940 г. (12028).</w:t>
      </w:r>
    </w:p>
    <w:p w14:paraId="0C3B519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B568D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года начальник 6 управления ГУ ВВС и военный комиссар 6 управления ГУ ВВС в/инженер 2 ранга Минин писали письмо № 507568 начальнику НИИ ВВС генерал-майору авиации Филину.</w:t>
      </w:r>
    </w:p>
    <w:p w14:paraId="7C83E44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контроля за опытными работами на заводе № 39.</w:t>
      </w:r>
    </w:p>
    <w:p w14:paraId="6AD998B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того, что КБ завода № 39 работает самостоятельно независимо от завода и имеет в настоящее время 3 опытных самолета ……………. военное представительство завода № 39 не в состоянии обеспечить контроль за опытными работами КБ С.В.И.</w:t>
      </w:r>
    </w:p>
    <w:p w14:paraId="38C56AC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целесообразным КБ С.В.И. с его опытными самолетами (ДБ3-ф 2М-88, БШ и ДБ-4) передать под контроль НИИ ВВС, которому создать на заводе № 39 спецгруппу по образцу завода № 156.</w:t>
      </w:r>
    </w:p>
    <w:p w14:paraId="089EC96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мнения по данному вопросу (6893, 43).</w:t>
      </w:r>
    </w:p>
    <w:p w14:paraId="4EA0940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15CED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был датирован чертеж с окончательным видом ДБ-240 (3322,5).</w:t>
      </w:r>
    </w:p>
    <w:p w14:paraId="64FDD66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916CB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контролер Вахрушев - представитель КО СНК СССР - в журнале Учета выполнения постановлени правительства в отношении постановления КО N 240сс 1940 “О переводе самолетов СБ на пикирующие бомбардировщики и внедрении пикирующего вооружения на эти бомбардировщики” отметил:</w:t>
      </w:r>
    </w:p>
    <w:p w14:paraId="7A7734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 6 НКЭП тов. Богатыревым отдано распоряжение № 1510 от 2 июля 1940 Нач. Главтурбопрому (10395).</w:t>
      </w:r>
    </w:p>
    <w:p w14:paraId="4A1635E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1E36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18 июля 1940 года с 26 мая в рамках создания И-26-3 под руководством ведущнго конструктора С.Д. Трефилова проводилось проектирование и изготовление металлического крыла. В связи доводкой и постановкой в серию истребителя Як-1 и его учебного варианта Як-7 работы по машине Як-3, как стал называться И-30 после смены обозначений, несколько застопорились (к концу года техническая готовность машины составляла всего 10 %). В связи с этим планы по переходу серийных заводов на изготовление новой машины были пересмотрены. В 1941 году выпуск Як-3 должен был начаться со второго квартала и уже на заводах №№ 83, 99, 292, 301.</w:t>
      </w:r>
    </w:p>
    <w:p w14:paraId="0F0D9D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И-30 вобрал в себя весь накопленный в ОКБ опыт по созданию истребителей. В его конструкции были максимально учтены требования ВВС по исправлению недостатков И-26, выявленных в процессе испытаний. Главный конструктор и специалисты ОКБ считали и обещали Правительству и ВВС, что эта машина заменит собой в серийном производстве самолет Як-1. Винтомоторная группа, шасси и металлическое хвостовое оперение были целиком взяты с машины И-28. Мотор М-105ПД, большей мощности, чем М-105П, позволил не только вернуться к исходному варианту вооружения (мотор- пушка ШВАК и четыре ШКАСа), но и добавить еще две пушки ШВАК в крыло. В свою очередь металлическое разъемное крыло, состоявшее из центроплана и двух консолей, дало возможность не только увеличить запас горючего (с 305 до 383 кг), но и разместить в центроплане маслорадиаторы. Беспереплетный козырек фонаря кабины, установка радиостанции с мачтой антенны, отъемная моторама, ручка управления с кнопочными гашетками оружия, как на "Мессершмитте", тяги управления рулем высоты, проходящие над водорадиатором (а не сквозь как на Як-1), тяги управления элеронами, вынесенные за задний лонжерон, управление триммерами руля поворота и элеронов, предкрылки, посадочная фара - вот далеко не полный перечень произведенных улучшений.</w:t>
      </w:r>
    </w:p>
    <w:p w14:paraId="186775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смене типа самолета ОКБ Яковлева для серийного производства возник в связи с требованием увеличения дальности полета серийных истребителей до 1000 км на скорости 0,9 максимальной. КБ Яковлева попыталось добавить горючего на самолет Як-1. Машина № 0412 получила на заводе дополнительный бензобак, расположенный под поляком и сиденьем пилота. Материалы испытаний этого самолета пока не найдены, но то, что распространения этот вариант не получил, позволяет предположить, что и здесь выигрыш в дальности полета вступил в противоречие с ограничением полетного веса Як-1 по прочности шасси (12048).</w:t>
      </w:r>
    </w:p>
    <w:p w14:paraId="542205C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43FF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закончились заводские испытания И-153 М-62 с ГК, которые шли с 20 июня 1940 (2090,232).</w:t>
      </w:r>
    </w:p>
    <w:p w14:paraId="23AFABC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5DA5D2" w14:textId="77777777" w:rsidR="00123DE0" w:rsidRPr="00DB5D0D" w:rsidRDefault="00123DE0" w:rsidP="00DB5D0D">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18 июля 1940 г. постановлением Комитета Обороны №316сс ОКБ завода №207 (Боровкову) «за счет средств, ранее отпущенных НКАПу», дополнительно выделили 500 тыс. рублей для проведения работ по отработке подвески крупнокалиберных бомб (19086).</w:t>
      </w:r>
    </w:p>
    <w:p w14:paraId="14AF296E" w14:textId="77777777" w:rsidR="00123DE0" w:rsidRPr="00DB5D0D" w:rsidRDefault="00123DE0" w:rsidP="00DB5D0D">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p>
    <w:p w14:paraId="1ED5270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года вышло постановление КО № 317сс</w:t>
      </w:r>
    </w:p>
    <w:p w14:paraId="7246BE4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Постройка двух экземпляров одноместного одномоторного тренировочного истребителя с мотором МВ-6, конструктор Грибовский, КБ № 23.</w:t>
      </w:r>
    </w:p>
    <w:p w14:paraId="1EFEDDB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 к 1 марта 1941 года</w:t>
      </w:r>
    </w:p>
    <w:p w14:paraId="328BD42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 к 1 апреля 1941 года (4048, 4).</w:t>
      </w:r>
    </w:p>
    <w:p w14:paraId="3956918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9195B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года постановление № 317сс КО</w:t>
      </w:r>
    </w:p>
    <w:p w14:paraId="6CD37D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одноместного учебно-тренировочного истребителя с мотором МВ-6</w:t>
      </w:r>
    </w:p>
    <w:p w14:paraId="0889C6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289FFFB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 директора и гл. конструктора КБ-23 Грибовского спроектировать и построить одноместный тренировочный истребитель с мотором МВ-6, обладающий хорошими пилотажными свойствами, простотой в управлении, максимальной скоростью 300 км/час и оборудованием для ночного полета.</w:t>
      </w:r>
    </w:p>
    <w:p w14:paraId="1D2185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пулемет Шкас с запасом патрон 400 штук, фотокинопулемет.</w:t>
      </w:r>
    </w:p>
    <w:p w14:paraId="2A034D1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построить в двух экземплярах и предъявить на госиспытания в следующие сроки:</w:t>
      </w:r>
    </w:p>
    <w:p w14:paraId="5BB214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 1 марта 1941 года</w:t>
      </w:r>
    </w:p>
    <w:p w14:paraId="59BE9B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 – 1 апреля 1941 года</w:t>
      </w:r>
    </w:p>
    <w:p w14:paraId="0060AB0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Отменить постановление КО за № 118сс от 4 марта 1940 года о создании двухмоторного учебно-тренировочного самолета с двумя моторами МВ-4. Работы по этому самолету прекратить (7611, 210).</w:t>
      </w:r>
    </w:p>
    <w:p w14:paraId="178E45D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НКАП финансирование работ по созданию одноместного УТ истребителя с мотором МВ-6 произвести за счет средств, выделенных постановлением КО от 4 февраля 1940 за № 128сс на создание УТ самолета с двумя моторами МВ-4 (10395).</w:t>
      </w:r>
    </w:p>
    <w:p w14:paraId="4819630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10F9E9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вышло постановление КО N 317cc "О создании одноместного учебно-тренировочного истребителя с МВ-6", в исполнение которого 24 июля 1940 вышел приказ НКАП N 372сс по тренировочному истребителю В.К.Грибовского (410,33).</w:t>
      </w:r>
    </w:p>
    <w:p w14:paraId="5E72841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A432B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вышло постановление КО N 318cc "О создании двухместного самолета первоначального обучения с мотором М-11".</w:t>
      </w:r>
    </w:p>
    <w:p w14:paraId="2DEA59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18 июля по 27 августа 1940 проходили заводские испытания УТИ-26 М-105П (2090,232).</w:t>
      </w:r>
    </w:p>
    <w:p w14:paraId="127D18B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F27CF8C" w14:textId="77777777" w:rsidR="003B6C79" w:rsidRPr="00DB5D0D" w:rsidRDefault="003B6C7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июля</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1940 года вышло постановление Комитета</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Обороны № 317сс «О создании одноместного</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учебно-тренировочного истребителя с мото</w:t>
      </w:r>
      <w:r w:rsidRPr="00DB5D0D">
        <w:rPr>
          <w:rFonts w:ascii="Times New Roman" w:hAnsi="Times New Roman"/>
          <w:color w:val="0070C0"/>
          <w:sz w:val="16"/>
          <w:szCs w:val="16"/>
        </w:rPr>
        <w:softHyphen/>
        <w:t>ром МВ-6». Грибовскому поручалось спроек</w:t>
      </w:r>
      <w:r w:rsidRPr="00DB5D0D">
        <w:rPr>
          <w:rFonts w:ascii="Times New Roman" w:hAnsi="Times New Roman"/>
          <w:color w:val="0070C0"/>
          <w:sz w:val="16"/>
          <w:szCs w:val="16"/>
        </w:rPr>
        <w:softHyphen/>
        <w:t>тировать и построить одноместный трениро</w:t>
      </w:r>
      <w:r w:rsidRPr="00DB5D0D">
        <w:rPr>
          <w:rFonts w:ascii="Times New Roman" w:hAnsi="Times New Roman"/>
          <w:color w:val="0070C0"/>
          <w:sz w:val="16"/>
          <w:szCs w:val="16"/>
        </w:rPr>
        <w:softHyphen/>
        <w:t>вочный истребитель с мотором МВ-6, обла</w:t>
      </w:r>
      <w:r w:rsidRPr="00DB5D0D">
        <w:rPr>
          <w:rFonts w:ascii="Times New Roman" w:hAnsi="Times New Roman"/>
          <w:color w:val="0070C0"/>
          <w:sz w:val="16"/>
          <w:szCs w:val="16"/>
        </w:rPr>
        <w:softHyphen/>
        <w:t>дающий хорошими пилотажными свойствами</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и простотой в управлении с максимальной</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скоростью 300 км/час и оборудованием для</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ночного полета, вооруженный пулеметом</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ШКАС с боезапасом 400 патронов и кинофо-</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топулеметом. Первый экземпляр следовало</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предъявить на испытания 1 марта 1941 года,</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второй - 1 апреля 1941 года. Постановление</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 118сс от 4 марта 1940 года о создании</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двухмоторного учебно-тренировочного</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самолета отменялось, работы по этому само</w:t>
      </w:r>
      <w:r w:rsidRPr="00DB5D0D">
        <w:rPr>
          <w:rFonts w:ascii="Times New Roman" w:hAnsi="Times New Roman"/>
          <w:color w:val="0070C0"/>
          <w:sz w:val="16"/>
          <w:szCs w:val="16"/>
        </w:rPr>
        <w:softHyphen/>
        <w:t>лету прекращались. Было решено финанси</w:t>
      </w:r>
      <w:r w:rsidRPr="00DB5D0D">
        <w:rPr>
          <w:rFonts w:ascii="Times New Roman" w:hAnsi="Times New Roman"/>
          <w:color w:val="0070C0"/>
          <w:sz w:val="16"/>
          <w:szCs w:val="16"/>
        </w:rPr>
        <w:softHyphen/>
        <w:t>ровать разработку одноместного учебно-тре</w:t>
      </w:r>
      <w:r w:rsidRPr="00DB5D0D">
        <w:rPr>
          <w:rFonts w:ascii="Times New Roman" w:hAnsi="Times New Roman"/>
          <w:color w:val="0070C0"/>
          <w:sz w:val="16"/>
          <w:szCs w:val="16"/>
        </w:rPr>
        <w:softHyphen/>
        <w:t>нировочного истребителя с мотором МВ-6 из</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остатка средств на разработку УТБ. Офици</w:t>
      </w:r>
      <w:r w:rsidRPr="00DB5D0D">
        <w:rPr>
          <w:rFonts w:ascii="Times New Roman" w:hAnsi="Times New Roman"/>
          <w:color w:val="0070C0"/>
          <w:sz w:val="16"/>
          <w:szCs w:val="16"/>
        </w:rPr>
        <w:softHyphen/>
        <w:t>ально тему закрыли приказом НКАП № 372сс</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от 24 июля 1940 г. (19942).</w:t>
      </w:r>
    </w:p>
    <w:p w14:paraId="2551FE69" w14:textId="77777777" w:rsidR="003B6C79" w:rsidRPr="00DB5D0D" w:rsidRDefault="003B6C79" w:rsidP="00DB5D0D">
      <w:pPr>
        <w:spacing w:after="0" w:line="240" w:lineRule="auto"/>
        <w:jc w:val="both"/>
        <w:rPr>
          <w:rFonts w:ascii="Times New Roman" w:hAnsi="Times New Roman"/>
          <w:color w:val="0070C0"/>
          <w:sz w:val="16"/>
          <w:szCs w:val="16"/>
        </w:rPr>
      </w:pPr>
    </w:p>
    <w:p w14:paraId="642999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Протокол № 18. Решения ПБ за 25 нюня - 19 июля 1940 г.</w:t>
      </w:r>
    </w:p>
    <w:p w14:paraId="2AF14F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27.6.40 г.</w:t>
      </w:r>
    </w:p>
    <w:p w14:paraId="068504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7. Вопрос КО. Об изготовлении автоматических приборов для вывода самолета из пикирования*.</w:t>
      </w:r>
    </w:p>
    <w:p w14:paraId="380792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w:t>
      </w:r>
      <w:r w:rsidRPr="00DB5D0D">
        <w:rPr>
          <w:rFonts w:ascii="Times New Roman" w:hAnsi="Times New Roman"/>
          <w:color w:val="000000" w:themeColor="text1"/>
          <w:sz w:val="16"/>
          <w:szCs w:val="16"/>
          <w:u w:val="single"/>
        </w:rPr>
        <w:t>.6-40 г,</w:t>
      </w:r>
    </w:p>
    <w:p w14:paraId="15838E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 Об организации производства легковых бронированных автомобилей на автозаводе им. Сталина*.</w:t>
      </w:r>
    </w:p>
    <w:p w14:paraId="7310D6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29.6. 40 г.</w:t>
      </w:r>
    </w:p>
    <w:p w14:paraId="680F2E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20. Об автомашинах для НКО*.</w:t>
      </w:r>
    </w:p>
    <w:p w14:paraId="297225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12.7.40 г.</w:t>
      </w:r>
    </w:p>
    <w:p w14:paraId="1B1D89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152. Вопрос КО. Об организации серийного производства самолетов И-26*.</w:t>
      </w:r>
    </w:p>
    <w:p w14:paraId="574384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153. Вопрос КО. О плане опытных работ по самолетным и моторным агрегатам*.</w:t>
      </w:r>
    </w:p>
    <w:p w14:paraId="5446C6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17.7. 40 г.</w:t>
      </w:r>
    </w:p>
    <w:p w14:paraId="3A3655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226. О вооружении танков (постановление СНК СССР и ЦК ВКП (б))* (11773).</w:t>
      </w:r>
    </w:p>
    <w:p w14:paraId="517BFC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18.7.40 г.</w:t>
      </w:r>
    </w:p>
    <w:p w14:paraId="1C8EC5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229. Вопрос КО. О создании двухместного самолета первоначального обучения (11773).</w:t>
      </w:r>
    </w:p>
    <w:p w14:paraId="2C3C71CF" w14:textId="77777777" w:rsidR="003C7E8B" w:rsidRPr="00DB5D0D" w:rsidRDefault="003C7E8B" w:rsidP="00DB5D0D">
      <w:pPr>
        <w:shd w:val="clear" w:color="auto" w:fill="FFFFFF"/>
        <w:spacing w:after="0" w:line="240" w:lineRule="auto"/>
        <w:jc w:val="both"/>
        <w:rPr>
          <w:rFonts w:ascii="Times New Roman" w:hAnsi="Times New Roman"/>
          <w:bCs/>
          <w:color w:val="000000" w:themeColor="text1"/>
          <w:sz w:val="16"/>
          <w:szCs w:val="16"/>
        </w:rPr>
      </w:pPr>
    </w:p>
    <w:p w14:paraId="25E6DA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года постановление № 318сс КО</w:t>
      </w:r>
    </w:p>
    <w:p w14:paraId="245F2B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двухместного самолета первоначального обучения с мотором М-11</w:t>
      </w:r>
    </w:p>
    <w:p w14:paraId="720D4C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032CF8C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 директора завода № 23 Баринова и гл. конструктора Антонова спроектировать и построить двухместный самолет первоначального обучения с мотором М-11 монопланной схемы с летно-пилотажными свойствами самолета У-2 с макисмальной скоростью 150 км/час.</w:t>
      </w:r>
    </w:p>
    <w:p w14:paraId="6F4FDB41" w14:textId="77777777" w:rsidR="003C7E8B" w:rsidRPr="00DB5D0D" w:rsidRDefault="003C7E8B" w:rsidP="00DB5D0D">
      <w:pPr>
        <w:pStyle w:val="24"/>
        <w:widowControl/>
        <w:tabs>
          <w:tab w:val="left" w:pos="360"/>
        </w:tabs>
        <w:rPr>
          <w:color w:val="000000" w:themeColor="text1"/>
        </w:rPr>
      </w:pPr>
      <w:r w:rsidRPr="00DB5D0D">
        <w:rPr>
          <w:color w:val="000000" w:themeColor="text1"/>
        </w:rPr>
        <w:t>Самолет предъявить на госиспытания в следующие сроки:</w:t>
      </w:r>
    </w:p>
    <w:p w14:paraId="659B2F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 1 мая 1941 года</w:t>
      </w:r>
    </w:p>
    <w:p w14:paraId="0D8C28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 – 1 июня 1941 года (7611, 212).</w:t>
      </w:r>
    </w:p>
    <w:p w14:paraId="54F942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Определить стоимость работ по самолету (2 экз.) в 1 млн. руб.</w:t>
      </w:r>
    </w:p>
    <w:p w14:paraId="796ECB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Выделить из резервного фонда СНК Союза СССР:</w:t>
      </w:r>
    </w:p>
    <w:p w14:paraId="2A92B5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финансирование этих работ в 1940 500 тыс. руб.</w:t>
      </w:r>
    </w:p>
    <w:p w14:paraId="59520D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премирование конструкторов, ИТР, рабочих и служащих завода № 23 за выполнение в срок двухместного самолета первоначального обучения, в соответствии с Положением о премировании, под отчет в распоряжение НКАП тов. А.И.Ш.:</w:t>
      </w:r>
    </w:p>
    <w:p w14:paraId="3BD59C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 1-й экз. - 100 тыс. руб.</w:t>
      </w:r>
    </w:p>
    <w:p w14:paraId="0CD2ED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 2-й экз. - 50 тысю руб. (10395).</w:t>
      </w:r>
    </w:p>
    <w:p w14:paraId="12EE806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2C1942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года вышло постановление КО № 318сс</w:t>
      </w:r>
    </w:p>
    <w:p w14:paraId="375DDC6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Постройка двух экземпляров двухместного самолета первоначального обучения монопланной схемы, с летно-пилотажными свойствами У-2 с М-11, конструктор Антонов, завод № 23.</w:t>
      </w:r>
    </w:p>
    <w:p w14:paraId="26DE6B9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 – к 1 мая 1941 года</w:t>
      </w:r>
    </w:p>
    <w:p w14:paraId="3DD31EF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 – к 1 июня 1941 года (4048, 4).</w:t>
      </w:r>
    </w:p>
    <w:p w14:paraId="67585ED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43A7D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был подготовлен:</w:t>
      </w:r>
    </w:p>
    <w:p w14:paraId="12F6F1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 самолетов по типам для подготовки мощностей авиапромышленности на 1941 год</w:t>
      </w:r>
    </w:p>
    <w:p w14:paraId="26AD41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Боевая авиация</w:t>
      </w:r>
    </w:p>
    <w:p w14:paraId="5FB9DB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7D5DF8" w:rsidRPr="00DB5D0D" w14:paraId="1B5CDF21" w14:textId="77777777" w:rsidTr="00E543D0">
        <w:tc>
          <w:tcPr>
            <w:tcW w:w="5605" w:type="dxa"/>
            <w:tcBorders>
              <w:top w:val="single" w:sz="12" w:space="0" w:color="auto"/>
            </w:tcBorders>
            <w:shd w:val="clear" w:color="auto" w:fill="FFFFFF"/>
          </w:tcPr>
          <w:p w14:paraId="7824C1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2М-37 или 2М-30</w:t>
            </w:r>
          </w:p>
        </w:tc>
        <w:tc>
          <w:tcPr>
            <w:tcW w:w="882" w:type="dxa"/>
            <w:tcBorders>
              <w:top w:val="single" w:sz="12" w:space="0" w:color="auto"/>
            </w:tcBorders>
            <w:shd w:val="clear" w:color="auto" w:fill="FFFFFF"/>
          </w:tcPr>
          <w:p w14:paraId="351901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4900</w:t>
            </w:r>
          </w:p>
        </w:tc>
      </w:tr>
      <w:tr w:rsidR="007D5DF8" w:rsidRPr="00DB5D0D" w14:paraId="55DACCA6" w14:textId="77777777" w:rsidTr="00E543D0">
        <w:tc>
          <w:tcPr>
            <w:tcW w:w="5605" w:type="dxa"/>
            <w:shd w:val="clear" w:color="auto" w:fill="FFFFFF"/>
          </w:tcPr>
          <w:p w14:paraId="54E8C0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р.к. и ПБ-100 2М-105</w:t>
            </w:r>
          </w:p>
        </w:tc>
        <w:tc>
          <w:tcPr>
            <w:tcW w:w="882" w:type="dxa"/>
            <w:shd w:val="clear" w:color="auto" w:fill="FFFFFF"/>
          </w:tcPr>
          <w:p w14:paraId="0022E5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7280</w:t>
            </w:r>
          </w:p>
        </w:tc>
      </w:tr>
      <w:tr w:rsidR="007D5DF8" w:rsidRPr="00DB5D0D" w14:paraId="35220FAF" w14:textId="77777777" w:rsidTr="00E543D0">
        <w:tc>
          <w:tcPr>
            <w:tcW w:w="5605" w:type="dxa"/>
            <w:shd w:val="clear" w:color="auto" w:fill="FFFFFF"/>
          </w:tcPr>
          <w:p w14:paraId="45E9CE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 4М-37 или 4М-30 или 4М-40</w:t>
            </w:r>
          </w:p>
        </w:tc>
        <w:tc>
          <w:tcPr>
            <w:tcW w:w="882" w:type="dxa"/>
            <w:shd w:val="clear" w:color="auto" w:fill="FFFFFF"/>
          </w:tcPr>
          <w:p w14:paraId="359877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r>
      <w:tr w:rsidR="007D5DF8" w:rsidRPr="00DB5D0D" w14:paraId="408A3419" w14:textId="77777777" w:rsidTr="00E543D0">
        <w:tc>
          <w:tcPr>
            <w:tcW w:w="5605" w:type="dxa"/>
            <w:shd w:val="clear" w:color="auto" w:fill="FFFFFF"/>
          </w:tcPr>
          <w:p w14:paraId="76C087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w:t>
            </w:r>
          </w:p>
        </w:tc>
        <w:tc>
          <w:tcPr>
            <w:tcW w:w="882" w:type="dxa"/>
            <w:shd w:val="clear" w:color="auto" w:fill="FFFFFF"/>
          </w:tcPr>
          <w:p w14:paraId="5327FF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r>
      <w:tr w:rsidR="007D5DF8" w:rsidRPr="00DB5D0D" w14:paraId="593D8490" w14:textId="77777777" w:rsidTr="00E543D0">
        <w:tc>
          <w:tcPr>
            <w:tcW w:w="5605" w:type="dxa"/>
            <w:tcBorders>
              <w:bottom w:val="single" w:sz="12" w:space="0" w:color="auto"/>
            </w:tcBorders>
            <w:shd w:val="clear" w:color="auto" w:fill="FFFFFF"/>
          </w:tcPr>
          <w:p w14:paraId="10FD7F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882" w:type="dxa"/>
            <w:tcBorders>
              <w:bottom w:val="single" w:sz="12" w:space="0" w:color="auto"/>
            </w:tcBorders>
            <w:shd w:val="clear" w:color="auto" w:fill="FFFFFF"/>
          </w:tcPr>
          <w:p w14:paraId="680D17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r>
    </w:tbl>
    <w:p w14:paraId="281362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7D5DF8" w:rsidRPr="00DB5D0D" w14:paraId="1E5CC064" w14:textId="77777777" w:rsidTr="00E543D0">
        <w:tc>
          <w:tcPr>
            <w:tcW w:w="5605" w:type="dxa"/>
            <w:tcBorders>
              <w:top w:val="single" w:sz="12" w:space="0" w:color="auto"/>
            </w:tcBorders>
            <w:shd w:val="clear" w:color="auto" w:fill="FFFFFF"/>
          </w:tcPr>
          <w:p w14:paraId="0AC602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w:t>
            </w:r>
          </w:p>
        </w:tc>
        <w:tc>
          <w:tcPr>
            <w:tcW w:w="882" w:type="dxa"/>
            <w:tcBorders>
              <w:top w:val="single" w:sz="12" w:space="0" w:color="auto"/>
            </w:tcBorders>
            <w:shd w:val="clear" w:color="auto" w:fill="FFFFFF"/>
          </w:tcPr>
          <w:p w14:paraId="695C8B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3920</w:t>
            </w:r>
          </w:p>
        </w:tc>
      </w:tr>
      <w:tr w:rsidR="007D5DF8" w:rsidRPr="00DB5D0D" w14:paraId="3689CF9A" w14:textId="77777777" w:rsidTr="00E543D0">
        <w:tc>
          <w:tcPr>
            <w:tcW w:w="5605" w:type="dxa"/>
            <w:shd w:val="clear" w:color="auto" w:fill="FFFFFF"/>
          </w:tcPr>
          <w:p w14:paraId="674D8B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 М-88</w:t>
            </w:r>
          </w:p>
        </w:tc>
        <w:tc>
          <w:tcPr>
            <w:tcW w:w="882" w:type="dxa"/>
            <w:shd w:val="clear" w:color="auto" w:fill="FFFFFF"/>
          </w:tcPr>
          <w:p w14:paraId="24E314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r>
      <w:tr w:rsidR="007D5DF8" w:rsidRPr="00DB5D0D" w14:paraId="2C5F6679" w14:textId="77777777" w:rsidTr="00E543D0">
        <w:tc>
          <w:tcPr>
            <w:tcW w:w="5605" w:type="dxa"/>
            <w:shd w:val="clear" w:color="auto" w:fill="FFFFFF"/>
          </w:tcPr>
          <w:p w14:paraId="5FEE04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w:t>
            </w:r>
          </w:p>
        </w:tc>
        <w:tc>
          <w:tcPr>
            <w:tcW w:w="882" w:type="dxa"/>
            <w:shd w:val="clear" w:color="auto" w:fill="FFFFFF"/>
          </w:tcPr>
          <w:p w14:paraId="493C60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6580</w:t>
            </w:r>
          </w:p>
        </w:tc>
      </w:tr>
      <w:tr w:rsidR="007D5DF8" w:rsidRPr="00DB5D0D" w14:paraId="61826EFC" w14:textId="77777777" w:rsidTr="00E543D0">
        <w:tc>
          <w:tcPr>
            <w:tcW w:w="5605" w:type="dxa"/>
            <w:tcBorders>
              <w:bottom w:val="single" w:sz="12" w:space="0" w:color="auto"/>
            </w:tcBorders>
            <w:shd w:val="clear" w:color="auto" w:fill="FFFFFF"/>
          </w:tcPr>
          <w:p w14:paraId="62EB0B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882" w:type="dxa"/>
            <w:tcBorders>
              <w:bottom w:val="single" w:sz="12" w:space="0" w:color="auto"/>
            </w:tcBorders>
            <w:shd w:val="clear" w:color="auto" w:fill="FFFFFF"/>
          </w:tcPr>
          <w:p w14:paraId="6E3425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13300</w:t>
            </w:r>
          </w:p>
        </w:tc>
      </w:tr>
    </w:tbl>
    <w:p w14:paraId="63E892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ab/>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7D5DF8" w:rsidRPr="00DB5D0D" w14:paraId="6D4A11C4" w14:textId="77777777" w:rsidTr="00E543D0">
        <w:tc>
          <w:tcPr>
            <w:tcW w:w="5605" w:type="dxa"/>
            <w:tcBorders>
              <w:top w:val="single" w:sz="12" w:space="0" w:color="auto"/>
            </w:tcBorders>
            <w:shd w:val="clear" w:color="auto" w:fill="FFFFFF"/>
          </w:tcPr>
          <w:p w14:paraId="6C42D0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Штурмовики БШ М-38</w:t>
            </w:r>
          </w:p>
        </w:tc>
        <w:tc>
          <w:tcPr>
            <w:tcW w:w="882" w:type="dxa"/>
            <w:tcBorders>
              <w:top w:val="single" w:sz="12" w:space="0" w:color="auto"/>
            </w:tcBorders>
            <w:shd w:val="clear" w:color="auto" w:fill="FFFFFF"/>
          </w:tcPr>
          <w:p w14:paraId="5A4392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r>
      <w:tr w:rsidR="007D5DF8" w:rsidRPr="00DB5D0D" w14:paraId="23E86AB3" w14:textId="77777777" w:rsidTr="00E543D0">
        <w:tc>
          <w:tcPr>
            <w:tcW w:w="5605" w:type="dxa"/>
            <w:shd w:val="clear" w:color="auto" w:fill="FFFFFF"/>
          </w:tcPr>
          <w:p w14:paraId="4D9890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Корректировщики СБ РК 2М-105</w:t>
            </w:r>
          </w:p>
        </w:tc>
        <w:tc>
          <w:tcPr>
            <w:tcW w:w="882" w:type="dxa"/>
            <w:shd w:val="clear" w:color="auto" w:fill="FFFFFF"/>
          </w:tcPr>
          <w:p w14:paraId="70E1DD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1680</w:t>
            </w:r>
          </w:p>
        </w:tc>
      </w:tr>
      <w:tr w:rsidR="007D5DF8" w:rsidRPr="00DB5D0D" w14:paraId="67902808" w14:textId="77777777" w:rsidTr="00E543D0">
        <w:tc>
          <w:tcPr>
            <w:tcW w:w="5605" w:type="dxa"/>
            <w:shd w:val="clear" w:color="auto" w:fill="FFFFFF"/>
          </w:tcPr>
          <w:p w14:paraId="265207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Разведчики ББ-22 2М-105</w:t>
            </w:r>
          </w:p>
        </w:tc>
        <w:tc>
          <w:tcPr>
            <w:tcW w:w="882" w:type="dxa"/>
            <w:shd w:val="clear" w:color="auto" w:fill="FFFFFF"/>
          </w:tcPr>
          <w:p w14:paraId="34060F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r>
      <w:tr w:rsidR="007D5DF8" w:rsidRPr="00DB5D0D" w14:paraId="5B08792D" w14:textId="77777777" w:rsidTr="00E543D0">
        <w:tc>
          <w:tcPr>
            <w:tcW w:w="5605" w:type="dxa"/>
            <w:tcBorders>
              <w:bottom w:val="single" w:sz="12" w:space="0" w:color="auto"/>
            </w:tcBorders>
            <w:shd w:val="clear" w:color="auto" w:fill="FFFFFF"/>
          </w:tcPr>
          <w:p w14:paraId="205CAC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882" w:type="dxa"/>
            <w:tcBorders>
              <w:bottom w:val="single" w:sz="12" w:space="0" w:color="auto"/>
            </w:tcBorders>
            <w:shd w:val="clear" w:color="auto" w:fill="FFFFFF"/>
          </w:tcPr>
          <w:p w14:paraId="1E526C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35000</w:t>
            </w:r>
          </w:p>
        </w:tc>
      </w:tr>
    </w:tbl>
    <w:p w14:paraId="6F1DAB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7D5DF8" w:rsidRPr="00DB5D0D" w14:paraId="71A5AFDC" w14:textId="77777777" w:rsidTr="00E543D0">
        <w:tc>
          <w:tcPr>
            <w:tcW w:w="5605" w:type="dxa"/>
            <w:tcBorders>
              <w:top w:val="single" w:sz="12" w:space="0" w:color="auto"/>
            </w:tcBorders>
            <w:shd w:val="clear" w:color="auto" w:fill="FFFFFF"/>
          </w:tcPr>
          <w:p w14:paraId="604D47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Морских самолетов для НКВМФ</w:t>
            </w:r>
          </w:p>
        </w:tc>
        <w:tc>
          <w:tcPr>
            <w:tcW w:w="882" w:type="dxa"/>
            <w:tcBorders>
              <w:top w:val="single" w:sz="12" w:space="0" w:color="auto"/>
            </w:tcBorders>
            <w:shd w:val="clear" w:color="auto" w:fill="FFFFFF"/>
          </w:tcPr>
          <w:p w14:paraId="0FC0C7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55487096" w14:textId="77777777" w:rsidTr="00E543D0">
        <w:tc>
          <w:tcPr>
            <w:tcW w:w="5605" w:type="dxa"/>
            <w:tcBorders>
              <w:bottom w:val="single" w:sz="12" w:space="0" w:color="auto"/>
            </w:tcBorders>
            <w:shd w:val="clear" w:color="auto" w:fill="FFFFFF"/>
          </w:tcPr>
          <w:p w14:paraId="7C5872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боевых:</w:t>
            </w:r>
          </w:p>
        </w:tc>
        <w:tc>
          <w:tcPr>
            <w:tcW w:w="882" w:type="dxa"/>
            <w:tcBorders>
              <w:bottom w:val="single" w:sz="12" w:space="0" w:color="auto"/>
            </w:tcBorders>
            <w:shd w:val="clear" w:color="auto" w:fill="FFFFFF"/>
          </w:tcPr>
          <w:p w14:paraId="683506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36000</w:t>
            </w:r>
          </w:p>
        </w:tc>
      </w:tr>
    </w:tbl>
    <w:p w14:paraId="57141A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Транспортные и учебные</w:t>
      </w:r>
    </w:p>
    <w:tbl>
      <w:tblPr>
        <w:tblW w:w="0" w:type="auto"/>
        <w:tblInd w:w="-102" w:type="dxa"/>
        <w:tblLayout w:type="fixed"/>
        <w:tblCellMar>
          <w:left w:w="40" w:type="dxa"/>
          <w:right w:w="40" w:type="dxa"/>
        </w:tblCellMar>
        <w:tblLook w:val="0000" w:firstRow="0" w:lastRow="0" w:firstColumn="0" w:lastColumn="0" w:noHBand="0" w:noVBand="0"/>
      </w:tblPr>
      <w:tblGrid>
        <w:gridCol w:w="5672"/>
        <w:gridCol w:w="849"/>
      </w:tblGrid>
      <w:tr w:rsidR="007D5DF8" w:rsidRPr="00DB5D0D" w14:paraId="1BBD064C" w14:textId="77777777" w:rsidTr="00E543D0">
        <w:trPr>
          <w:trHeight w:val="20"/>
        </w:trPr>
        <w:tc>
          <w:tcPr>
            <w:tcW w:w="5672" w:type="dxa"/>
            <w:tcBorders>
              <w:top w:val="single" w:sz="12" w:space="0" w:color="auto"/>
              <w:left w:val="single" w:sz="12" w:space="0" w:color="auto"/>
              <w:bottom w:val="single" w:sz="6" w:space="0" w:color="auto"/>
              <w:right w:val="single" w:sz="6" w:space="0" w:color="auto"/>
            </w:tcBorders>
          </w:tcPr>
          <w:p w14:paraId="39583BA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ДС-3</w:t>
            </w:r>
          </w:p>
        </w:tc>
        <w:tc>
          <w:tcPr>
            <w:tcW w:w="849" w:type="dxa"/>
            <w:tcBorders>
              <w:top w:val="single" w:sz="12" w:space="0" w:color="auto"/>
              <w:left w:val="single" w:sz="6" w:space="0" w:color="auto"/>
              <w:bottom w:val="single" w:sz="6" w:space="0" w:color="auto"/>
              <w:right w:val="single" w:sz="12" w:space="0" w:color="auto"/>
            </w:tcBorders>
          </w:tcPr>
          <w:p w14:paraId="08F435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950 </w:t>
            </w:r>
          </w:p>
        </w:tc>
      </w:tr>
      <w:tr w:rsidR="007D5DF8" w:rsidRPr="00DB5D0D" w14:paraId="23DB730A"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3DA745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УТ</w:t>
            </w:r>
          </w:p>
        </w:tc>
        <w:tc>
          <w:tcPr>
            <w:tcW w:w="849" w:type="dxa"/>
            <w:tcBorders>
              <w:top w:val="single" w:sz="6" w:space="0" w:color="auto"/>
              <w:left w:val="single" w:sz="6" w:space="0" w:color="auto"/>
              <w:bottom w:val="single" w:sz="6" w:space="0" w:color="auto"/>
              <w:right w:val="single" w:sz="12" w:space="0" w:color="auto"/>
            </w:tcBorders>
          </w:tcPr>
          <w:p w14:paraId="55150E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700 </w:t>
            </w:r>
          </w:p>
        </w:tc>
      </w:tr>
      <w:tr w:rsidR="007D5DF8" w:rsidRPr="00DB5D0D" w14:paraId="1B4D5548"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34D915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УТИ-4</w:t>
            </w:r>
          </w:p>
        </w:tc>
        <w:tc>
          <w:tcPr>
            <w:tcW w:w="849" w:type="dxa"/>
            <w:tcBorders>
              <w:top w:val="single" w:sz="6" w:space="0" w:color="auto"/>
              <w:left w:val="single" w:sz="6" w:space="0" w:color="auto"/>
              <w:bottom w:val="single" w:sz="6" w:space="0" w:color="auto"/>
              <w:right w:val="single" w:sz="12" w:space="0" w:color="auto"/>
            </w:tcBorders>
          </w:tcPr>
          <w:p w14:paraId="071067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2оо </w:t>
            </w:r>
          </w:p>
        </w:tc>
      </w:tr>
      <w:tr w:rsidR="007D5DF8" w:rsidRPr="00DB5D0D" w14:paraId="1D8AAD10"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00CD67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УТ-2 </w:t>
            </w:r>
          </w:p>
        </w:tc>
        <w:tc>
          <w:tcPr>
            <w:tcW w:w="849" w:type="dxa"/>
            <w:tcBorders>
              <w:top w:val="single" w:sz="6" w:space="0" w:color="auto"/>
              <w:left w:val="single" w:sz="6" w:space="0" w:color="auto"/>
              <w:bottom w:val="single" w:sz="6" w:space="0" w:color="auto"/>
              <w:right w:val="single" w:sz="12" w:space="0" w:color="auto"/>
            </w:tcBorders>
          </w:tcPr>
          <w:p w14:paraId="630A4F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1000 </w:t>
            </w:r>
          </w:p>
        </w:tc>
      </w:tr>
      <w:tr w:rsidR="007D5DF8" w:rsidRPr="00DB5D0D" w14:paraId="70B5EC31"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6C1DF8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УТ-3 </w:t>
            </w:r>
          </w:p>
        </w:tc>
        <w:tc>
          <w:tcPr>
            <w:tcW w:w="849" w:type="dxa"/>
            <w:tcBorders>
              <w:top w:val="single" w:sz="6" w:space="0" w:color="auto"/>
              <w:left w:val="single" w:sz="6" w:space="0" w:color="auto"/>
              <w:bottom w:val="single" w:sz="6" w:space="0" w:color="auto"/>
              <w:right w:val="single" w:sz="12" w:space="0" w:color="auto"/>
            </w:tcBorders>
          </w:tcPr>
          <w:p w14:paraId="54CDA8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800 </w:t>
            </w:r>
          </w:p>
        </w:tc>
      </w:tr>
      <w:tr w:rsidR="007D5DF8" w:rsidRPr="00DB5D0D" w14:paraId="56FCD6E1"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0E3307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У-2 </w:t>
            </w:r>
          </w:p>
        </w:tc>
        <w:tc>
          <w:tcPr>
            <w:tcW w:w="849" w:type="dxa"/>
            <w:tcBorders>
              <w:top w:val="single" w:sz="6" w:space="0" w:color="auto"/>
              <w:left w:val="single" w:sz="6" w:space="0" w:color="auto"/>
              <w:bottom w:val="single" w:sz="6" w:space="0" w:color="auto"/>
              <w:right w:val="single" w:sz="12" w:space="0" w:color="auto"/>
            </w:tcBorders>
          </w:tcPr>
          <w:p w14:paraId="56AD72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1000 </w:t>
            </w:r>
          </w:p>
        </w:tc>
      </w:tr>
      <w:tr w:rsidR="007D5DF8" w:rsidRPr="00DB5D0D" w14:paraId="20C3B97B"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3CCC49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С-2 </w:t>
            </w:r>
          </w:p>
        </w:tc>
        <w:tc>
          <w:tcPr>
            <w:tcW w:w="849" w:type="dxa"/>
            <w:tcBorders>
              <w:top w:val="single" w:sz="6" w:space="0" w:color="auto"/>
              <w:left w:val="single" w:sz="6" w:space="0" w:color="auto"/>
              <w:bottom w:val="single" w:sz="6" w:space="0" w:color="auto"/>
              <w:right w:val="single" w:sz="12" w:space="0" w:color="auto"/>
            </w:tcBorders>
          </w:tcPr>
          <w:p w14:paraId="041E7D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200 </w:t>
            </w:r>
          </w:p>
        </w:tc>
      </w:tr>
      <w:tr w:rsidR="007D5DF8" w:rsidRPr="00DB5D0D" w14:paraId="092FD712" w14:textId="77777777" w:rsidTr="00E543D0">
        <w:trPr>
          <w:trHeight w:val="20"/>
        </w:trPr>
        <w:tc>
          <w:tcPr>
            <w:tcW w:w="5672" w:type="dxa"/>
            <w:tcBorders>
              <w:top w:val="single" w:sz="6" w:space="0" w:color="auto"/>
              <w:left w:val="single" w:sz="12" w:space="0" w:color="auto"/>
              <w:bottom w:val="single" w:sz="12" w:space="0" w:color="auto"/>
              <w:right w:val="single" w:sz="6" w:space="0" w:color="auto"/>
            </w:tcBorders>
          </w:tcPr>
          <w:p w14:paraId="0FAF78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849" w:type="dxa"/>
            <w:tcBorders>
              <w:top w:val="single" w:sz="6" w:space="0" w:color="auto"/>
              <w:left w:val="single" w:sz="6" w:space="0" w:color="auto"/>
              <w:bottom w:val="single" w:sz="12" w:space="0" w:color="auto"/>
              <w:right w:val="single" w:sz="12" w:space="0" w:color="auto"/>
            </w:tcBorders>
          </w:tcPr>
          <w:p w14:paraId="599D78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4850 </w:t>
            </w:r>
          </w:p>
        </w:tc>
      </w:tr>
      <w:tr w:rsidR="007D5DF8" w:rsidRPr="00DB5D0D" w14:paraId="74EC7DE3" w14:textId="77777777" w:rsidTr="00E543D0">
        <w:trPr>
          <w:trHeight w:val="20"/>
        </w:trPr>
        <w:tc>
          <w:tcPr>
            <w:tcW w:w="5672" w:type="dxa"/>
            <w:tcBorders>
              <w:top w:val="single" w:sz="6" w:space="0" w:color="auto"/>
              <w:left w:val="single" w:sz="12" w:space="0" w:color="auto"/>
              <w:bottom w:val="single" w:sz="12" w:space="0" w:color="auto"/>
              <w:right w:val="single" w:sz="6" w:space="0" w:color="auto"/>
            </w:tcBorders>
          </w:tcPr>
          <w:p w14:paraId="0B5A80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самолетов</w:t>
            </w:r>
          </w:p>
        </w:tc>
        <w:tc>
          <w:tcPr>
            <w:tcW w:w="849" w:type="dxa"/>
            <w:tcBorders>
              <w:top w:val="single" w:sz="6" w:space="0" w:color="auto"/>
              <w:left w:val="single" w:sz="6" w:space="0" w:color="auto"/>
              <w:bottom w:val="single" w:sz="12" w:space="0" w:color="auto"/>
              <w:right w:val="single" w:sz="12" w:space="0" w:color="auto"/>
            </w:tcBorders>
          </w:tcPr>
          <w:p w14:paraId="29FD49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40650</w:t>
            </w:r>
          </w:p>
        </w:tc>
      </w:tr>
    </w:tbl>
    <w:p w14:paraId="2FA65F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(9820,244)</w:t>
      </w:r>
    </w:p>
    <w:p w14:paraId="1C99840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86A3E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 приказом №117 по УПА ГУСМП Дорнье "Валь" СССР-Н8 Московской авиагруппы особого назначения на летнюю навигацию определили на изыскания в районе Якутск - Верхоянск. Командиром самолета был назначен пилот Л.Г.Крузе, 1-м бортмехаником Н.М.Степнов, 2-м бортмехаником Н.М.Поляков и бортрадистом А.Д.Камбулов.</w:t>
      </w:r>
    </w:p>
    <w:p w14:paraId="2EEAE0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 154 от 22.10.40 г. СССР-Н8 передали в Ленскую Авиагруппу, взамен однотипного самолета СССР-Н234, который поступил в Московскую Авиагруппу.</w:t>
      </w:r>
    </w:p>
    <w:p w14:paraId="03AF97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летнюю навигацию 1941 г. самолет, теперь уже Игарского авиаотряда УПА, шел на линейную работу, как дежурная машина. Командир самолета - Михельсон, бортмеханик - Левин, радист - Пименов (11970).</w:t>
      </w:r>
    </w:p>
    <w:p w14:paraId="024E199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374F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 приказом №117 по УПА ГУСМП лодка ДВ СССР-Н303 шла на ледовую разведку с базой в Певеке. Самолет Московской авиа</w:t>
      </w:r>
      <w:r w:rsidRPr="00DB5D0D">
        <w:rPr>
          <w:rFonts w:ascii="Times New Roman" w:hAnsi="Times New Roman"/>
          <w:color w:val="000000" w:themeColor="text1"/>
          <w:sz w:val="16"/>
          <w:szCs w:val="16"/>
        </w:rPr>
        <w:softHyphen/>
        <w:t>группы оставался в Чукотском авиаотряде. Экипаж: командир - пилот 2 кл. Котов И.С., штурман 2 кл. Чувырин И.С., 1-й бортмеханик 1 кл. Громов В.А., 2-й бортмеханик 1 кл. Троицкий В.В., бортрадист 1 кл. Патрушин Г.М. [РГАЭ, 9570-2-2970]</w:t>
      </w:r>
    </w:p>
    <w:p w14:paraId="29FE39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17.09.40 г. приказом №131 произвели пе</w:t>
      </w:r>
      <w:r w:rsidRPr="00DB5D0D">
        <w:rPr>
          <w:rFonts w:ascii="Times New Roman" w:hAnsi="Times New Roman"/>
          <w:color w:val="000000" w:themeColor="text1"/>
          <w:sz w:val="16"/>
          <w:szCs w:val="16"/>
        </w:rPr>
        <w:softHyphen/>
        <w:t>резакрепление самолетов за авиагруппами и авиаотрядами УПА. СССР-Н303 стали числить за Чукотским авиаотрядом УПА. [РГАЭ, 9570-2- 2971]</w:t>
      </w:r>
    </w:p>
    <w:p w14:paraId="18EE11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1944 г. СССР-НЗОЗ эксплуатировался = Игарской авиагруппе в течение августа и сен</w:t>
      </w:r>
      <w:r w:rsidRPr="00DB5D0D">
        <w:rPr>
          <w:rFonts w:ascii="Times New Roman" w:hAnsi="Times New Roman"/>
          <w:color w:val="000000" w:themeColor="text1"/>
          <w:sz w:val="16"/>
          <w:szCs w:val="16"/>
        </w:rPr>
        <w:softHyphen/>
        <w:t>тября. Налетал 165 часов. [РГАЭ, 9570-2-1242] (11977).</w:t>
      </w:r>
    </w:p>
    <w:p w14:paraId="001DC4C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2B92801"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июля 1940 г. вышло Постановление Комитета обороны при СНК СССР № 316сс "О дополнительном финансировании опытных работ по самолетостроению на 1940 г." с приложениями</w:t>
      </w:r>
    </w:p>
    <w:p w14:paraId="14405BD9"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ОБОРОНЫ при СНК Союза ССР ПОСТАНОВЛЯЕТ:</w:t>
      </w:r>
    </w:p>
    <w:p w14:paraId="04105121"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Отпустить Наркомавиапрому на 1940 г. из резервного фонда</w:t>
      </w:r>
    </w:p>
    <w:p w14:paraId="01051970"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4,5 млн. рублей на финансирование опытных самолетов, перечисленных в приложении № 1;</w:t>
      </w:r>
    </w:p>
    <w:p w14:paraId="3BAD84E0"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б) 12 млн. рублей на финансирование работ по постройке: </w:t>
      </w:r>
    </w:p>
    <w:p w14:paraId="0ACF5F25"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второго экземпляра модифицированного самолета И-28 конструкция т. Яценко;</w:t>
      </w:r>
    </w:p>
    <w:p w14:paraId="5081BE3F"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второго экземпляра ближнего бомбардировщика конструк</w:t>
      </w:r>
      <w:r w:rsidRPr="00DB5D0D">
        <w:rPr>
          <w:rFonts w:ascii="Times New Roman" w:hAnsi="Times New Roman"/>
          <w:color w:val="0070C0"/>
          <w:sz w:val="16"/>
          <w:szCs w:val="16"/>
        </w:rPr>
        <w:softHyphen/>
        <w:t>ции т. Архангельского;</w:t>
      </w:r>
    </w:p>
    <w:p w14:paraId="1C6C4C62"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четвертого экземпляра самолета И-200 конструкции т. Микояна;</w:t>
      </w:r>
    </w:p>
    <w:p w14:paraId="01BB08BF"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четвертого и пятого экземпляров самолета И-185 конструкции т. Поликарпова.</w:t>
      </w:r>
    </w:p>
    <w:p w14:paraId="7F4B4340"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Разрешить Наркомавиадрому финансировать работы по опытным самолетам, перечисленным в приложении М2, за счет средств, от- пуценлых ранее на создание пикирующего бомбардировщика конструк</w:t>
      </w:r>
      <w:r w:rsidRPr="00DB5D0D">
        <w:rPr>
          <w:rFonts w:ascii="Times New Roman" w:hAnsi="Times New Roman"/>
          <w:color w:val="0070C0"/>
          <w:sz w:val="16"/>
          <w:szCs w:val="16"/>
        </w:rPr>
        <w:softHyphen/>
        <w:t>ции т. Незвалъ, снятого с плана опытных работ постановлением Ко</w:t>
      </w:r>
      <w:r w:rsidRPr="00DB5D0D">
        <w:rPr>
          <w:rFonts w:ascii="Times New Roman" w:hAnsi="Times New Roman"/>
          <w:color w:val="0070C0"/>
          <w:sz w:val="16"/>
          <w:szCs w:val="16"/>
        </w:rPr>
        <w:softHyphen/>
        <w:t>митета Обороны при СНК Союза ССР от 25 мая 1940 г.</w:t>
      </w:r>
    </w:p>
    <w:p w14:paraId="055FF37B"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Разрешить Наркомавиадрому списать расходы по прекращен</w:t>
      </w:r>
      <w:r w:rsidRPr="00DB5D0D">
        <w:rPr>
          <w:rFonts w:ascii="Times New Roman" w:hAnsi="Times New Roman"/>
          <w:color w:val="0070C0"/>
          <w:sz w:val="16"/>
          <w:szCs w:val="16"/>
        </w:rPr>
        <w:softHyphen/>
        <w:t>ным, согласно постановлению Комитета Обороны от 4 марта 1940 г. за № 127сс, объектам (приложение № 2 и 3) в сумме - 10 млн. 865 тыс. рублей</w:t>
      </w:r>
    </w:p>
    <w:p w14:paraId="4D0C583A"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1</w:t>
      </w:r>
    </w:p>
    <w:p w14:paraId="6DA178CB"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ПЕРЕЧЕНЬ</w:t>
      </w:r>
    </w:p>
    <w:p w14:paraId="66A3E7C6"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опытных объекктов самолетостроения, переходящих с 1939 г. подлежащих финансированию за счет дополнительных ассигнований.</w:t>
      </w:r>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484"/>
        <w:gridCol w:w="570"/>
        <w:gridCol w:w="1071"/>
        <w:gridCol w:w="563"/>
        <w:gridCol w:w="927"/>
        <w:gridCol w:w="2041"/>
      </w:tblGrid>
      <w:tr w:rsidR="00F42D89" w:rsidRPr="00DB5D0D" w14:paraId="032E2248" w14:textId="77777777" w:rsidTr="007609C9">
        <w:trPr>
          <w:trHeight w:hRule="exact" w:val="720"/>
          <w:jc w:val="center"/>
        </w:trPr>
        <w:tc>
          <w:tcPr>
            <w:tcW w:w="1484" w:type="dxa"/>
            <w:shd w:val="clear" w:color="auto" w:fill="auto"/>
            <w:vAlign w:val="center"/>
            <w:hideMark/>
          </w:tcPr>
          <w:p w14:paraId="38FF83A7"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Конструктор</w:t>
            </w:r>
          </w:p>
        </w:tc>
        <w:tc>
          <w:tcPr>
            <w:tcW w:w="570" w:type="dxa"/>
            <w:shd w:val="clear" w:color="auto" w:fill="auto"/>
            <w:vAlign w:val="center"/>
            <w:hideMark/>
          </w:tcPr>
          <w:p w14:paraId="3D6A66A6"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Завод</w:t>
            </w:r>
          </w:p>
        </w:tc>
        <w:tc>
          <w:tcPr>
            <w:tcW w:w="1071" w:type="dxa"/>
            <w:shd w:val="clear" w:color="auto" w:fill="auto"/>
            <w:vAlign w:val="center"/>
            <w:hideMark/>
          </w:tcPr>
          <w:p w14:paraId="35F0C4FF"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Наимено</w:t>
            </w:r>
            <w:r w:rsidRPr="00DB5D0D">
              <w:rPr>
                <w:rFonts w:ascii="Times New Roman" w:hAnsi="Times New Roman"/>
                <w:color w:val="0070C0"/>
                <w:sz w:val="16"/>
                <w:szCs w:val="16"/>
              </w:rPr>
              <w:softHyphen/>
              <w:t>вание са</w:t>
            </w:r>
            <w:r w:rsidRPr="00DB5D0D">
              <w:rPr>
                <w:rFonts w:ascii="Times New Roman" w:hAnsi="Times New Roman"/>
                <w:color w:val="0070C0"/>
                <w:sz w:val="16"/>
                <w:szCs w:val="16"/>
              </w:rPr>
              <w:softHyphen/>
              <w:t>молета.</w:t>
            </w:r>
          </w:p>
        </w:tc>
        <w:tc>
          <w:tcPr>
            <w:tcW w:w="563" w:type="dxa"/>
            <w:shd w:val="clear" w:color="auto" w:fill="auto"/>
            <w:vAlign w:val="center"/>
            <w:hideMark/>
          </w:tcPr>
          <w:p w14:paraId="70C24A8B"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Коли</w:t>
            </w:r>
            <w:r w:rsidRPr="00DB5D0D">
              <w:rPr>
                <w:rFonts w:ascii="Times New Roman" w:hAnsi="Times New Roman"/>
                <w:color w:val="0070C0"/>
                <w:sz w:val="16"/>
                <w:szCs w:val="16"/>
              </w:rPr>
              <w:softHyphen/>
              <w:t>чест</w:t>
            </w:r>
            <w:r w:rsidRPr="00DB5D0D">
              <w:rPr>
                <w:rFonts w:ascii="Times New Roman" w:hAnsi="Times New Roman"/>
                <w:color w:val="0070C0"/>
                <w:sz w:val="16"/>
                <w:szCs w:val="16"/>
              </w:rPr>
              <w:softHyphen/>
              <w:t>во</w:t>
            </w:r>
          </w:p>
        </w:tc>
        <w:tc>
          <w:tcPr>
            <w:tcW w:w="927" w:type="dxa"/>
            <w:shd w:val="clear" w:color="auto" w:fill="auto"/>
            <w:vAlign w:val="center"/>
            <w:hideMark/>
          </w:tcPr>
          <w:p w14:paraId="68B2A384"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Выделено средств на 1940г</w:t>
            </w:r>
          </w:p>
        </w:tc>
        <w:tc>
          <w:tcPr>
            <w:tcW w:w="2041" w:type="dxa"/>
            <w:shd w:val="clear" w:color="auto" w:fill="auto"/>
            <w:vAlign w:val="center"/>
            <w:hideMark/>
          </w:tcPr>
          <w:p w14:paraId="2837E3E2"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ПРИМЕЧАНИЕ.</w:t>
            </w:r>
          </w:p>
        </w:tc>
      </w:tr>
      <w:tr w:rsidR="00F42D89" w:rsidRPr="00DB5D0D" w14:paraId="543F8474" w14:textId="77777777" w:rsidTr="007609C9">
        <w:trPr>
          <w:trHeight w:hRule="exact" w:val="495"/>
          <w:jc w:val="center"/>
        </w:trPr>
        <w:tc>
          <w:tcPr>
            <w:tcW w:w="1484" w:type="dxa"/>
            <w:shd w:val="clear" w:color="auto" w:fill="auto"/>
            <w:vAlign w:val="center"/>
            <w:hideMark/>
          </w:tcPr>
          <w:p w14:paraId="1BE5DB15"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СУХОЙ</w:t>
            </w:r>
          </w:p>
        </w:tc>
        <w:tc>
          <w:tcPr>
            <w:tcW w:w="570" w:type="dxa"/>
            <w:shd w:val="clear" w:color="auto" w:fill="auto"/>
            <w:vAlign w:val="center"/>
            <w:hideMark/>
          </w:tcPr>
          <w:p w14:paraId="5C126D93"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135</w:t>
            </w:r>
          </w:p>
        </w:tc>
        <w:tc>
          <w:tcPr>
            <w:tcW w:w="1071" w:type="dxa"/>
            <w:shd w:val="clear" w:color="auto" w:fill="auto"/>
            <w:vAlign w:val="bottom"/>
            <w:hideMark/>
          </w:tcPr>
          <w:p w14:paraId="4A02930B"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ББ-1М-88ТК</w:t>
            </w:r>
          </w:p>
        </w:tc>
        <w:tc>
          <w:tcPr>
            <w:tcW w:w="563" w:type="dxa"/>
            <w:shd w:val="clear" w:color="auto" w:fill="auto"/>
            <w:vAlign w:val="center"/>
            <w:hideMark/>
          </w:tcPr>
          <w:p w14:paraId="5FCFE363"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w:t>
            </w:r>
          </w:p>
        </w:tc>
        <w:tc>
          <w:tcPr>
            <w:tcW w:w="927" w:type="dxa"/>
            <w:shd w:val="clear" w:color="auto" w:fill="auto"/>
            <w:vAlign w:val="center"/>
            <w:hideMark/>
          </w:tcPr>
          <w:p w14:paraId="4553375D"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500</w:t>
            </w:r>
          </w:p>
        </w:tc>
        <w:tc>
          <w:tcPr>
            <w:tcW w:w="2041" w:type="dxa"/>
            <w:shd w:val="clear" w:color="auto" w:fill="auto"/>
            <w:vAlign w:val="bottom"/>
            <w:hideMark/>
          </w:tcPr>
          <w:p w14:paraId="247FC1EE"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Установка ТК на М-63 и М-88.</w:t>
            </w:r>
          </w:p>
        </w:tc>
      </w:tr>
      <w:tr w:rsidR="00F42D89" w:rsidRPr="00DB5D0D" w14:paraId="02286C89" w14:textId="77777777" w:rsidTr="007609C9">
        <w:trPr>
          <w:trHeight w:hRule="exact" w:val="538"/>
          <w:jc w:val="center"/>
        </w:trPr>
        <w:tc>
          <w:tcPr>
            <w:tcW w:w="1484" w:type="dxa"/>
            <w:shd w:val="clear" w:color="auto" w:fill="auto"/>
          </w:tcPr>
          <w:p w14:paraId="23C92A70"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АРХАНГЕЛЬСКИЙ</w:t>
            </w:r>
          </w:p>
        </w:tc>
        <w:tc>
          <w:tcPr>
            <w:tcW w:w="570" w:type="dxa"/>
            <w:shd w:val="clear" w:color="auto" w:fill="auto"/>
            <w:hideMark/>
          </w:tcPr>
          <w:p w14:paraId="776DCB6C"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w:t>
            </w:r>
          </w:p>
        </w:tc>
        <w:tc>
          <w:tcPr>
            <w:tcW w:w="1071" w:type="dxa"/>
            <w:shd w:val="clear" w:color="auto" w:fill="auto"/>
            <w:hideMark/>
          </w:tcPr>
          <w:p w14:paraId="4A21EC0A"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СБ-2М-105ТК</w:t>
            </w:r>
          </w:p>
        </w:tc>
        <w:tc>
          <w:tcPr>
            <w:tcW w:w="563" w:type="dxa"/>
            <w:shd w:val="clear" w:color="auto" w:fill="auto"/>
            <w:hideMark/>
          </w:tcPr>
          <w:p w14:paraId="12691493"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w:t>
            </w:r>
          </w:p>
        </w:tc>
        <w:tc>
          <w:tcPr>
            <w:tcW w:w="927" w:type="dxa"/>
            <w:shd w:val="clear" w:color="auto" w:fill="auto"/>
            <w:hideMark/>
          </w:tcPr>
          <w:p w14:paraId="6447162E"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500</w:t>
            </w:r>
          </w:p>
        </w:tc>
        <w:tc>
          <w:tcPr>
            <w:tcW w:w="2041" w:type="dxa"/>
            <w:shd w:val="clear" w:color="auto" w:fill="auto"/>
            <w:vAlign w:val="bottom"/>
            <w:hideMark/>
          </w:tcPr>
          <w:p w14:paraId="162AC731"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Установка моторов М-105 с ТК на серийный самолет СБ.</w:t>
            </w:r>
          </w:p>
        </w:tc>
      </w:tr>
      <w:tr w:rsidR="00F42D89" w:rsidRPr="00DB5D0D" w14:paraId="23A81CF5" w14:textId="77777777" w:rsidTr="007609C9">
        <w:trPr>
          <w:trHeight w:hRule="exact" w:val="995"/>
          <w:jc w:val="center"/>
        </w:trPr>
        <w:tc>
          <w:tcPr>
            <w:tcW w:w="1484" w:type="dxa"/>
            <w:shd w:val="clear" w:color="auto" w:fill="auto"/>
            <w:hideMark/>
          </w:tcPr>
          <w:p w14:paraId="63D86D0E"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СТБ НКВД</w:t>
            </w:r>
          </w:p>
        </w:tc>
        <w:tc>
          <w:tcPr>
            <w:tcW w:w="570" w:type="dxa"/>
            <w:shd w:val="clear" w:color="auto" w:fill="auto"/>
            <w:hideMark/>
          </w:tcPr>
          <w:p w14:paraId="00DC8F27"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156</w:t>
            </w:r>
          </w:p>
        </w:tc>
        <w:tc>
          <w:tcPr>
            <w:tcW w:w="1071" w:type="dxa"/>
            <w:shd w:val="clear" w:color="auto" w:fill="auto"/>
            <w:hideMark/>
          </w:tcPr>
          <w:p w14:paraId="286C8637"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 ”100"</w:t>
            </w:r>
          </w:p>
        </w:tc>
        <w:tc>
          <w:tcPr>
            <w:tcW w:w="563" w:type="dxa"/>
            <w:shd w:val="clear" w:color="auto" w:fill="auto"/>
            <w:hideMark/>
          </w:tcPr>
          <w:p w14:paraId="6665A48D"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w:t>
            </w:r>
          </w:p>
        </w:tc>
        <w:tc>
          <w:tcPr>
            <w:tcW w:w="927" w:type="dxa"/>
            <w:shd w:val="clear" w:color="auto" w:fill="auto"/>
            <w:hideMark/>
          </w:tcPr>
          <w:p w14:paraId="64669FE2"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1000</w:t>
            </w:r>
          </w:p>
        </w:tc>
        <w:tc>
          <w:tcPr>
            <w:tcW w:w="2041" w:type="dxa"/>
            <w:shd w:val="clear" w:color="auto" w:fill="auto"/>
            <w:vAlign w:val="bottom"/>
            <w:hideMark/>
          </w:tcPr>
          <w:p w14:paraId="50107D6A"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Изготовление этало</w:t>
            </w:r>
            <w:r w:rsidRPr="00DB5D0D">
              <w:rPr>
                <w:rFonts w:ascii="Times New Roman" w:hAnsi="Times New Roman"/>
                <w:color w:val="0070C0"/>
                <w:sz w:val="16"/>
                <w:szCs w:val="16"/>
              </w:rPr>
              <w:softHyphen/>
              <w:t>на самолета ”100" в варианте пикирующеrо бомбардировщика без ТК и без гермети</w:t>
            </w:r>
            <w:r w:rsidRPr="00DB5D0D">
              <w:rPr>
                <w:rFonts w:ascii="Times New Roman" w:hAnsi="Times New Roman"/>
                <w:color w:val="0070C0"/>
                <w:sz w:val="16"/>
                <w:szCs w:val="16"/>
              </w:rPr>
              <w:softHyphen/>
              <w:t>ческой кабины.</w:t>
            </w:r>
          </w:p>
        </w:tc>
      </w:tr>
      <w:tr w:rsidR="00F42D89" w:rsidRPr="00DB5D0D" w14:paraId="40E60D52" w14:textId="77777777" w:rsidTr="007609C9">
        <w:trPr>
          <w:trHeight w:hRule="exact" w:val="1897"/>
          <w:jc w:val="center"/>
        </w:trPr>
        <w:tc>
          <w:tcPr>
            <w:tcW w:w="1484" w:type="dxa"/>
            <w:shd w:val="clear" w:color="auto" w:fill="auto"/>
            <w:hideMark/>
          </w:tcPr>
          <w:p w14:paraId="036BA77E"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БОЛХОВИТИНОВ</w:t>
            </w:r>
          </w:p>
        </w:tc>
        <w:tc>
          <w:tcPr>
            <w:tcW w:w="570" w:type="dxa"/>
            <w:shd w:val="clear" w:color="auto" w:fill="auto"/>
            <w:hideMark/>
          </w:tcPr>
          <w:p w14:paraId="540540FF"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64</w:t>
            </w:r>
          </w:p>
        </w:tc>
        <w:tc>
          <w:tcPr>
            <w:tcW w:w="1071" w:type="dxa"/>
            <w:shd w:val="clear" w:color="auto" w:fill="auto"/>
            <w:hideMark/>
          </w:tcPr>
          <w:p w14:paraId="689B67A0"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ББ-С</w:t>
            </w:r>
          </w:p>
        </w:tc>
        <w:tc>
          <w:tcPr>
            <w:tcW w:w="563" w:type="dxa"/>
            <w:shd w:val="clear" w:color="auto" w:fill="auto"/>
            <w:hideMark/>
          </w:tcPr>
          <w:p w14:paraId="2CE36208"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w:t>
            </w:r>
          </w:p>
        </w:tc>
        <w:tc>
          <w:tcPr>
            <w:tcW w:w="927" w:type="dxa"/>
            <w:shd w:val="clear" w:color="auto" w:fill="auto"/>
            <w:hideMark/>
          </w:tcPr>
          <w:p w14:paraId="2A349EE1"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1500</w:t>
            </w:r>
          </w:p>
        </w:tc>
        <w:tc>
          <w:tcPr>
            <w:tcW w:w="2041" w:type="dxa"/>
            <w:shd w:val="clear" w:color="auto" w:fill="auto"/>
            <w:vAlign w:val="bottom"/>
            <w:hideMark/>
          </w:tcPr>
          <w:p w14:paraId="3FBFECA3"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Отработка экспери</w:t>
            </w:r>
            <w:r w:rsidRPr="00DB5D0D">
              <w:rPr>
                <w:rFonts w:ascii="Times New Roman" w:hAnsi="Times New Roman"/>
                <w:color w:val="0070C0"/>
                <w:sz w:val="16"/>
                <w:szCs w:val="16"/>
              </w:rPr>
              <w:softHyphen/>
              <w:t>ментальной схемы использования реактивного эффекта отходящих газов с постройкой макета с работающими моторами для продувки в трубах .с последующей установкой на летный экземпляр самолета.</w:t>
            </w:r>
          </w:p>
        </w:tc>
      </w:tr>
      <w:tr w:rsidR="00F42D89" w:rsidRPr="00DB5D0D" w14:paraId="182629E5" w14:textId="77777777" w:rsidTr="007609C9">
        <w:trPr>
          <w:trHeight w:hRule="exact" w:val="714"/>
          <w:jc w:val="center"/>
        </w:trPr>
        <w:tc>
          <w:tcPr>
            <w:tcW w:w="1484" w:type="dxa"/>
            <w:shd w:val="clear" w:color="auto" w:fill="auto"/>
            <w:hideMark/>
          </w:tcPr>
          <w:p w14:paraId="5499D00A"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ПРИВАЛОВ</w:t>
            </w:r>
          </w:p>
        </w:tc>
        <w:tc>
          <w:tcPr>
            <w:tcW w:w="570" w:type="dxa"/>
            <w:shd w:val="clear" w:color="auto" w:fill="auto"/>
            <w:hideMark/>
          </w:tcPr>
          <w:p w14:paraId="2BCEF3E3"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269</w:t>
            </w:r>
          </w:p>
        </w:tc>
        <w:tc>
          <w:tcPr>
            <w:tcW w:w="1071" w:type="dxa"/>
            <w:shd w:val="clear" w:color="auto" w:fill="auto"/>
            <w:hideMark/>
          </w:tcPr>
          <w:p w14:paraId="3D6F26A7"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десантно-транспорт приспособлений</w:t>
            </w:r>
          </w:p>
        </w:tc>
        <w:tc>
          <w:tcPr>
            <w:tcW w:w="563" w:type="dxa"/>
            <w:shd w:val="clear" w:color="auto" w:fill="auto"/>
          </w:tcPr>
          <w:p w14:paraId="6C2AB0AD"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p>
        </w:tc>
        <w:tc>
          <w:tcPr>
            <w:tcW w:w="927" w:type="dxa"/>
            <w:shd w:val="clear" w:color="auto" w:fill="auto"/>
            <w:hideMark/>
          </w:tcPr>
          <w:p w14:paraId="3CC8DF26"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500</w:t>
            </w:r>
          </w:p>
        </w:tc>
        <w:tc>
          <w:tcPr>
            <w:tcW w:w="2041" w:type="dxa"/>
            <w:shd w:val="clear" w:color="auto" w:fill="auto"/>
            <w:hideMark/>
          </w:tcPr>
          <w:p w14:paraId="012589DA"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Подвеска мотоцикла, пушки, велосипедов, автоотцеп и др.</w:t>
            </w:r>
          </w:p>
        </w:tc>
      </w:tr>
      <w:tr w:rsidR="00F42D89" w:rsidRPr="00DB5D0D" w14:paraId="3B7ACD35" w14:textId="77777777" w:rsidTr="007609C9">
        <w:trPr>
          <w:trHeight w:hRule="exact" w:val="369"/>
          <w:jc w:val="center"/>
        </w:trPr>
        <w:tc>
          <w:tcPr>
            <w:tcW w:w="1484" w:type="dxa"/>
            <w:shd w:val="clear" w:color="auto" w:fill="auto"/>
            <w:hideMark/>
          </w:tcPr>
          <w:p w14:paraId="0B21E46D"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ОТБ</w:t>
            </w:r>
          </w:p>
        </w:tc>
        <w:tc>
          <w:tcPr>
            <w:tcW w:w="570" w:type="dxa"/>
            <w:shd w:val="clear" w:color="auto" w:fill="auto"/>
            <w:hideMark/>
          </w:tcPr>
          <w:p w14:paraId="2E44EB59"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156</w:t>
            </w:r>
          </w:p>
        </w:tc>
        <w:tc>
          <w:tcPr>
            <w:tcW w:w="1071" w:type="dxa"/>
            <w:shd w:val="clear" w:color="auto" w:fill="auto"/>
            <w:hideMark/>
          </w:tcPr>
          <w:p w14:paraId="25058AF1"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Кесон. крыло</w:t>
            </w:r>
          </w:p>
        </w:tc>
        <w:tc>
          <w:tcPr>
            <w:tcW w:w="563" w:type="dxa"/>
            <w:shd w:val="clear" w:color="auto" w:fill="auto"/>
            <w:hideMark/>
          </w:tcPr>
          <w:p w14:paraId="60AFF3F6"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p>
        </w:tc>
        <w:tc>
          <w:tcPr>
            <w:tcW w:w="927" w:type="dxa"/>
            <w:shd w:val="clear" w:color="auto" w:fill="auto"/>
            <w:hideMark/>
          </w:tcPr>
          <w:p w14:paraId="592F1399"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500</w:t>
            </w:r>
          </w:p>
        </w:tc>
        <w:tc>
          <w:tcPr>
            <w:tcW w:w="2041" w:type="dxa"/>
            <w:shd w:val="clear" w:color="auto" w:fill="auto"/>
          </w:tcPr>
          <w:p w14:paraId="7E0FB40A" w14:textId="77777777" w:rsidR="00F42D89" w:rsidRPr="00DB5D0D" w:rsidRDefault="00F42D89" w:rsidP="00DB5D0D">
            <w:pPr>
              <w:spacing w:after="0" w:line="240" w:lineRule="auto"/>
              <w:jc w:val="both"/>
              <w:rPr>
                <w:rFonts w:ascii="Times New Roman" w:hAnsi="Times New Roman"/>
                <w:color w:val="0070C0"/>
                <w:sz w:val="16"/>
                <w:szCs w:val="16"/>
              </w:rPr>
            </w:pPr>
          </w:p>
        </w:tc>
      </w:tr>
      <w:tr w:rsidR="00F42D89" w:rsidRPr="00DB5D0D" w14:paraId="46EAA956" w14:textId="77777777" w:rsidTr="007609C9">
        <w:trPr>
          <w:trHeight w:hRule="exact" w:val="495"/>
          <w:jc w:val="center"/>
        </w:trPr>
        <w:tc>
          <w:tcPr>
            <w:tcW w:w="1484" w:type="dxa"/>
            <w:shd w:val="clear" w:color="auto" w:fill="auto"/>
            <w:hideMark/>
          </w:tcPr>
          <w:p w14:paraId="711F418B"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Итого</w:t>
            </w:r>
          </w:p>
        </w:tc>
        <w:tc>
          <w:tcPr>
            <w:tcW w:w="570" w:type="dxa"/>
            <w:shd w:val="clear" w:color="auto" w:fill="auto"/>
          </w:tcPr>
          <w:p w14:paraId="572262C9" w14:textId="77777777" w:rsidR="00F42D89" w:rsidRPr="00DB5D0D" w:rsidRDefault="00F42D89" w:rsidP="00DB5D0D">
            <w:pPr>
              <w:spacing w:after="0" w:line="240" w:lineRule="auto"/>
              <w:jc w:val="both"/>
              <w:rPr>
                <w:rFonts w:ascii="Times New Roman" w:hAnsi="Times New Roman"/>
                <w:color w:val="0070C0"/>
                <w:sz w:val="16"/>
                <w:szCs w:val="16"/>
              </w:rPr>
            </w:pPr>
          </w:p>
        </w:tc>
        <w:tc>
          <w:tcPr>
            <w:tcW w:w="1071" w:type="dxa"/>
            <w:shd w:val="clear" w:color="auto" w:fill="auto"/>
          </w:tcPr>
          <w:p w14:paraId="5D34AB6F" w14:textId="77777777" w:rsidR="00F42D89" w:rsidRPr="00DB5D0D" w:rsidRDefault="00F42D89" w:rsidP="00DB5D0D">
            <w:pPr>
              <w:spacing w:after="0" w:line="240" w:lineRule="auto"/>
              <w:jc w:val="both"/>
              <w:rPr>
                <w:rFonts w:ascii="Times New Roman" w:hAnsi="Times New Roman"/>
                <w:color w:val="0070C0"/>
                <w:sz w:val="16"/>
                <w:szCs w:val="16"/>
              </w:rPr>
            </w:pPr>
          </w:p>
        </w:tc>
        <w:tc>
          <w:tcPr>
            <w:tcW w:w="563" w:type="dxa"/>
            <w:shd w:val="clear" w:color="auto" w:fill="auto"/>
          </w:tcPr>
          <w:p w14:paraId="48A1A92D" w14:textId="77777777" w:rsidR="00F42D89" w:rsidRPr="00DB5D0D" w:rsidRDefault="00F42D89" w:rsidP="00DB5D0D">
            <w:pPr>
              <w:spacing w:after="0" w:line="240" w:lineRule="auto"/>
              <w:jc w:val="both"/>
              <w:rPr>
                <w:rFonts w:ascii="Times New Roman" w:hAnsi="Times New Roman"/>
                <w:color w:val="0070C0"/>
                <w:sz w:val="16"/>
                <w:szCs w:val="16"/>
              </w:rPr>
            </w:pPr>
          </w:p>
        </w:tc>
        <w:tc>
          <w:tcPr>
            <w:tcW w:w="927" w:type="dxa"/>
            <w:shd w:val="clear" w:color="auto" w:fill="auto"/>
            <w:hideMark/>
          </w:tcPr>
          <w:p w14:paraId="7CE3F3BE"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4500</w:t>
            </w:r>
          </w:p>
        </w:tc>
        <w:tc>
          <w:tcPr>
            <w:tcW w:w="2041" w:type="dxa"/>
            <w:shd w:val="clear" w:color="auto" w:fill="auto"/>
          </w:tcPr>
          <w:p w14:paraId="500ABC67" w14:textId="77777777" w:rsidR="00F42D89" w:rsidRPr="00DB5D0D" w:rsidRDefault="00F42D89" w:rsidP="00DB5D0D">
            <w:pPr>
              <w:spacing w:after="0" w:line="240" w:lineRule="auto"/>
              <w:jc w:val="both"/>
              <w:rPr>
                <w:rFonts w:ascii="Times New Roman" w:hAnsi="Times New Roman"/>
                <w:color w:val="0070C0"/>
                <w:sz w:val="16"/>
                <w:szCs w:val="16"/>
              </w:rPr>
            </w:pPr>
          </w:p>
        </w:tc>
      </w:tr>
    </w:tbl>
    <w:p w14:paraId="336F33FD"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2</w:t>
      </w:r>
    </w:p>
    <w:p w14:paraId="4C2A5264"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ПЕРЕЧЕНЬ</w:t>
      </w:r>
    </w:p>
    <w:p w14:paraId="0EA7AC3C"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Объектов опытного самолетостроения, переходящих с 1939 г., подлежащих финансированию за счет средств, ранее отпущенных НКАП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221"/>
        <w:gridCol w:w="795"/>
        <w:gridCol w:w="1340"/>
        <w:gridCol w:w="689"/>
        <w:gridCol w:w="995"/>
        <w:gridCol w:w="1528"/>
      </w:tblGrid>
      <w:tr w:rsidR="00F42D89" w:rsidRPr="00DB5D0D" w14:paraId="7579568D" w14:textId="77777777" w:rsidTr="007609C9">
        <w:trPr>
          <w:trHeight w:hRule="exact" w:val="626"/>
        </w:trPr>
        <w:tc>
          <w:tcPr>
            <w:tcW w:w="1221" w:type="dxa"/>
            <w:shd w:val="clear" w:color="auto" w:fill="auto"/>
          </w:tcPr>
          <w:p w14:paraId="51872E79"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Конструктор</w:t>
            </w:r>
          </w:p>
        </w:tc>
        <w:tc>
          <w:tcPr>
            <w:tcW w:w="795" w:type="dxa"/>
            <w:shd w:val="clear" w:color="auto" w:fill="auto"/>
          </w:tcPr>
          <w:p w14:paraId="4A0EA608" w14:textId="77777777" w:rsidR="00F42D89" w:rsidRPr="00DB5D0D" w:rsidRDefault="00F42D89" w:rsidP="00DB5D0D">
            <w:pPr>
              <w:pStyle w:val="afffc"/>
              <w:ind w:firstLine="0"/>
              <w:jc w:val="both"/>
              <w:rPr>
                <w:rFonts w:ascii="Times New Roman" w:hAnsi="Times New Roman" w:cs="Times New Roman"/>
                <w:color w:val="0070C0"/>
                <w:sz w:val="16"/>
                <w:szCs w:val="16"/>
                <w:lang w:val="en-US"/>
              </w:rPr>
            </w:pPr>
            <w:r w:rsidRPr="00DB5D0D">
              <w:rPr>
                <w:rFonts w:ascii="Times New Roman" w:hAnsi="Times New Roman" w:cs="Times New Roman"/>
                <w:color w:val="0070C0"/>
                <w:sz w:val="16"/>
                <w:szCs w:val="16"/>
                <w:lang w:val="en-US"/>
              </w:rPr>
              <w:t>Завод</w:t>
            </w:r>
          </w:p>
        </w:tc>
        <w:tc>
          <w:tcPr>
            <w:tcW w:w="1340" w:type="dxa"/>
            <w:shd w:val="clear" w:color="auto" w:fill="auto"/>
          </w:tcPr>
          <w:p w14:paraId="2F046516"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Наименование самолета.</w:t>
            </w:r>
          </w:p>
        </w:tc>
        <w:tc>
          <w:tcPr>
            <w:tcW w:w="689" w:type="dxa"/>
            <w:shd w:val="clear" w:color="auto" w:fill="auto"/>
          </w:tcPr>
          <w:p w14:paraId="56A6D136"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Еодич. акаем.</w:t>
            </w:r>
          </w:p>
        </w:tc>
        <w:tc>
          <w:tcPr>
            <w:tcW w:w="995" w:type="dxa"/>
            <w:shd w:val="clear" w:color="auto" w:fill="auto"/>
          </w:tcPr>
          <w:p w14:paraId="58B4E4C0" w14:textId="77777777" w:rsidR="00F42D89" w:rsidRPr="00DB5D0D" w:rsidRDefault="00F42D89" w:rsidP="00DB5D0D">
            <w:pPr>
              <w:pStyle w:val="afffc"/>
              <w:ind w:right="280"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Стоимость в тыс.рб.</w:t>
            </w:r>
          </w:p>
        </w:tc>
        <w:tc>
          <w:tcPr>
            <w:tcW w:w="1528" w:type="dxa"/>
            <w:shd w:val="clear" w:color="auto" w:fill="auto"/>
            <w:vAlign w:val="bottom"/>
          </w:tcPr>
          <w:p w14:paraId="2EB87550"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Примечание</w:t>
            </w:r>
          </w:p>
        </w:tc>
      </w:tr>
      <w:tr w:rsidR="00F42D89" w:rsidRPr="00DB5D0D" w14:paraId="0F4C6DE9" w14:textId="77777777" w:rsidTr="007609C9">
        <w:trPr>
          <w:trHeight w:hRule="exact" w:val="626"/>
        </w:trPr>
        <w:tc>
          <w:tcPr>
            <w:tcW w:w="1221" w:type="dxa"/>
            <w:shd w:val="clear" w:color="auto" w:fill="auto"/>
          </w:tcPr>
          <w:p w14:paraId="4AFA4CEB"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КОЧЕРИГИН</w:t>
            </w:r>
          </w:p>
        </w:tc>
        <w:tc>
          <w:tcPr>
            <w:tcW w:w="795" w:type="dxa"/>
            <w:shd w:val="clear" w:color="auto" w:fill="auto"/>
          </w:tcPr>
          <w:p w14:paraId="7F65AA36" w14:textId="77777777" w:rsidR="00F42D89" w:rsidRPr="00DB5D0D" w:rsidRDefault="00F42D89" w:rsidP="00DB5D0D">
            <w:pPr>
              <w:pStyle w:val="afffc"/>
              <w:ind w:firstLine="0"/>
              <w:jc w:val="both"/>
              <w:rPr>
                <w:rFonts w:ascii="Times New Roman" w:hAnsi="Times New Roman" w:cs="Times New Roman"/>
                <w:color w:val="0070C0"/>
                <w:sz w:val="16"/>
                <w:szCs w:val="16"/>
                <w:lang w:val="en-US"/>
              </w:rPr>
            </w:pPr>
            <w:r w:rsidRPr="00DB5D0D">
              <w:rPr>
                <w:rFonts w:ascii="Times New Roman" w:hAnsi="Times New Roman" w:cs="Times New Roman"/>
                <w:color w:val="0070C0"/>
                <w:sz w:val="16"/>
                <w:szCs w:val="16"/>
                <w:lang w:val="en-US"/>
              </w:rPr>
              <w:t>156</w:t>
            </w:r>
          </w:p>
        </w:tc>
        <w:tc>
          <w:tcPr>
            <w:tcW w:w="1340" w:type="dxa"/>
            <w:shd w:val="clear" w:color="auto" w:fill="auto"/>
          </w:tcPr>
          <w:p w14:paraId="7A3FC775"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Ш-81</w:t>
            </w:r>
          </w:p>
        </w:tc>
        <w:tc>
          <w:tcPr>
            <w:tcW w:w="689" w:type="dxa"/>
            <w:shd w:val="clear" w:color="auto" w:fill="auto"/>
          </w:tcPr>
          <w:p w14:paraId="7BD3DECB"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1</w:t>
            </w:r>
          </w:p>
        </w:tc>
        <w:tc>
          <w:tcPr>
            <w:tcW w:w="995" w:type="dxa"/>
            <w:shd w:val="clear" w:color="auto" w:fill="auto"/>
          </w:tcPr>
          <w:p w14:paraId="0A17055D" w14:textId="77777777" w:rsidR="00F42D89" w:rsidRPr="00DB5D0D" w:rsidRDefault="00F42D89" w:rsidP="00DB5D0D">
            <w:pPr>
              <w:pStyle w:val="afffc"/>
              <w:ind w:right="280"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1.400</w:t>
            </w:r>
          </w:p>
        </w:tc>
        <w:tc>
          <w:tcPr>
            <w:tcW w:w="1528" w:type="dxa"/>
            <w:shd w:val="clear" w:color="auto" w:fill="auto"/>
            <w:vAlign w:val="bottom"/>
          </w:tcPr>
          <w:p w14:paraId="30357EC1"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Модернизация построенного с-та ИГ.</w:t>
            </w:r>
          </w:p>
        </w:tc>
      </w:tr>
      <w:tr w:rsidR="00F42D89" w:rsidRPr="00DB5D0D" w14:paraId="295E4495" w14:textId="77777777" w:rsidTr="007609C9">
        <w:trPr>
          <w:trHeight w:hRule="exact" w:val="626"/>
        </w:trPr>
        <w:tc>
          <w:tcPr>
            <w:tcW w:w="1221" w:type="dxa"/>
            <w:shd w:val="clear" w:color="auto" w:fill="auto"/>
          </w:tcPr>
          <w:p w14:paraId="0221352D"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ТАИРОВ</w:t>
            </w:r>
          </w:p>
        </w:tc>
        <w:tc>
          <w:tcPr>
            <w:tcW w:w="795" w:type="dxa"/>
            <w:shd w:val="clear" w:color="auto" w:fill="auto"/>
          </w:tcPr>
          <w:p w14:paraId="4F01B54C" w14:textId="77777777" w:rsidR="00F42D89" w:rsidRPr="00DB5D0D" w:rsidRDefault="00F42D89" w:rsidP="00DB5D0D">
            <w:pPr>
              <w:pStyle w:val="afffc"/>
              <w:ind w:firstLine="0"/>
              <w:jc w:val="both"/>
              <w:rPr>
                <w:rFonts w:ascii="Times New Roman" w:hAnsi="Times New Roman" w:cs="Times New Roman"/>
                <w:color w:val="0070C0"/>
                <w:sz w:val="16"/>
                <w:szCs w:val="16"/>
                <w:lang w:val="en-US"/>
              </w:rPr>
            </w:pPr>
            <w:r w:rsidRPr="00DB5D0D">
              <w:rPr>
                <w:rFonts w:ascii="Times New Roman" w:hAnsi="Times New Roman" w:cs="Times New Roman"/>
                <w:color w:val="0070C0"/>
                <w:sz w:val="16"/>
                <w:szCs w:val="16"/>
                <w:lang w:val="en-US"/>
              </w:rPr>
              <w:t>43</w:t>
            </w:r>
          </w:p>
        </w:tc>
        <w:tc>
          <w:tcPr>
            <w:tcW w:w="1340" w:type="dxa"/>
            <w:shd w:val="clear" w:color="auto" w:fill="auto"/>
          </w:tcPr>
          <w:p w14:paraId="0F94F610"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ОКО-6 дублер</w:t>
            </w:r>
          </w:p>
        </w:tc>
        <w:tc>
          <w:tcPr>
            <w:tcW w:w="689" w:type="dxa"/>
            <w:shd w:val="clear" w:color="auto" w:fill="auto"/>
          </w:tcPr>
          <w:p w14:paraId="60B078EF"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1</w:t>
            </w:r>
          </w:p>
        </w:tc>
        <w:tc>
          <w:tcPr>
            <w:tcW w:w="995" w:type="dxa"/>
            <w:shd w:val="clear" w:color="auto" w:fill="auto"/>
          </w:tcPr>
          <w:p w14:paraId="6D1C60B5" w14:textId="77777777" w:rsidR="00F42D89" w:rsidRPr="00DB5D0D" w:rsidRDefault="00F42D89" w:rsidP="00DB5D0D">
            <w:pPr>
              <w:pStyle w:val="afffc"/>
              <w:ind w:right="280"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1.000</w:t>
            </w:r>
          </w:p>
        </w:tc>
        <w:tc>
          <w:tcPr>
            <w:tcW w:w="1528" w:type="dxa"/>
            <w:shd w:val="clear" w:color="auto" w:fill="auto"/>
            <w:vAlign w:val="bottom"/>
          </w:tcPr>
          <w:p w14:paraId="74B6F191"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Модернизация самолета с учетом резуль</w:t>
            </w:r>
            <w:r w:rsidRPr="00DB5D0D">
              <w:rPr>
                <w:rFonts w:ascii="Times New Roman" w:hAnsi="Times New Roman" w:cs="Times New Roman"/>
                <w:color w:val="0070C0"/>
                <w:sz w:val="16"/>
                <w:szCs w:val="16"/>
              </w:rPr>
              <w:softHyphen/>
              <w:t>татов завод</w:t>
            </w:r>
            <w:r w:rsidRPr="00DB5D0D">
              <w:rPr>
                <w:rFonts w:ascii="Times New Roman" w:hAnsi="Times New Roman" w:cs="Times New Roman"/>
                <w:color w:val="0070C0"/>
                <w:sz w:val="16"/>
                <w:szCs w:val="16"/>
              </w:rPr>
              <w:softHyphen/>
              <w:t>ских испытаний</w:t>
            </w:r>
          </w:p>
        </w:tc>
      </w:tr>
      <w:tr w:rsidR="00F42D89" w:rsidRPr="00DB5D0D" w14:paraId="5650437E" w14:textId="77777777" w:rsidTr="007609C9">
        <w:trPr>
          <w:trHeight w:hRule="exact" w:val="626"/>
        </w:trPr>
        <w:tc>
          <w:tcPr>
            <w:tcW w:w="1221" w:type="dxa"/>
            <w:shd w:val="clear" w:color="auto" w:fill="auto"/>
          </w:tcPr>
          <w:p w14:paraId="2079DA2D"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ЯКОВЛЕВ</w:t>
            </w:r>
          </w:p>
        </w:tc>
        <w:tc>
          <w:tcPr>
            <w:tcW w:w="795" w:type="dxa"/>
            <w:shd w:val="clear" w:color="auto" w:fill="auto"/>
          </w:tcPr>
          <w:p w14:paraId="7DB3C636" w14:textId="77777777" w:rsidR="00F42D89" w:rsidRPr="00DB5D0D" w:rsidRDefault="00F42D89" w:rsidP="00DB5D0D">
            <w:pPr>
              <w:pStyle w:val="afffc"/>
              <w:ind w:firstLine="0"/>
              <w:jc w:val="both"/>
              <w:rPr>
                <w:rFonts w:ascii="Times New Roman" w:hAnsi="Times New Roman" w:cs="Times New Roman"/>
                <w:color w:val="0070C0"/>
                <w:sz w:val="16"/>
                <w:szCs w:val="16"/>
                <w:lang w:val="en-US"/>
              </w:rPr>
            </w:pPr>
            <w:r w:rsidRPr="00DB5D0D">
              <w:rPr>
                <w:rFonts w:ascii="Times New Roman" w:hAnsi="Times New Roman" w:cs="Times New Roman"/>
                <w:color w:val="0070C0"/>
                <w:sz w:val="16"/>
                <w:szCs w:val="16"/>
                <w:lang w:val="en-US"/>
              </w:rPr>
              <w:t>115</w:t>
            </w:r>
          </w:p>
        </w:tc>
        <w:tc>
          <w:tcPr>
            <w:tcW w:w="1340" w:type="dxa"/>
            <w:shd w:val="clear" w:color="auto" w:fill="auto"/>
          </w:tcPr>
          <w:p w14:paraId="74C80BF6"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УТ-23-113-6</w:t>
            </w:r>
          </w:p>
        </w:tc>
        <w:tc>
          <w:tcPr>
            <w:tcW w:w="689" w:type="dxa"/>
            <w:shd w:val="clear" w:color="auto" w:fill="auto"/>
          </w:tcPr>
          <w:p w14:paraId="397FD06F"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2</w:t>
            </w:r>
          </w:p>
        </w:tc>
        <w:tc>
          <w:tcPr>
            <w:tcW w:w="995" w:type="dxa"/>
            <w:shd w:val="clear" w:color="auto" w:fill="auto"/>
          </w:tcPr>
          <w:p w14:paraId="776BF3BC" w14:textId="77777777" w:rsidR="00F42D89" w:rsidRPr="00DB5D0D" w:rsidRDefault="00F42D89" w:rsidP="00DB5D0D">
            <w:pPr>
              <w:pStyle w:val="afffc"/>
              <w:ind w:right="280"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2.500</w:t>
            </w:r>
          </w:p>
        </w:tc>
        <w:tc>
          <w:tcPr>
            <w:tcW w:w="1528" w:type="dxa"/>
            <w:shd w:val="clear" w:color="auto" w:fill="auto"/>
            <w:vAlign w:val="bottom"/>
          </w:tcPr>
          <w:p w14:paraId="03726318" w14:textId="77777777" w:rsidR="00F42D89" w:rsidRPr="00DB5D0D" w:rsidRDefault="00F42D89" w:rsidP="00DB5D0D">
            <w:pPr>
              <w:pStyle w:val="afffc"/>
              <w:ind w:firstLine="0"/>
              <w:jc w:val="both"/>
              <w:rPr>
                <w:rFonts w:ascii="Times New Roman" w:hAnsi="Times New Roman" w:cs="Times New Roman"/>
                <w:color w:val="0070C0"/>
                <w:sz w:val="16"/>
                <w:szCs w:val="16"/>
              </w:rPr>
            </w:pPr>
          </w:p>
        </w:tc>
      </w:tr>
      <w:tr w:rsidR="00F42D89" w:rsidRPr="00DB5D0D" w14:paraId="7C3A0E62" w14:textId="77777777" w:rsidTr="007609C9">
        <w:trPr>
          <w:trHeight w:hRule="exact" w:val="626"/>
        </w:trPr>
        <w:tc>
          <w:tcPr>
            <w:tcW w:w="1221" w:type="dxa"/>
            <w:shd w:val="clear" w:color="auto" w:fill="auto"/>
          </w:tcPr>
          <w:p w14:paraId="603A2651"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БОРОВКОВ</w:t>
            </w:r>
          </w:p>
        </w:tc>
        <w:tc>
          <w:tcPr>
            <w:tcW w:w="795" w:type="dxa"/>
            <w:shd w:val="clear" w:color="auto" w:fill="auto"/>
          </w:tcPr>
          <w:p w14:paraId="31DCE0B2"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lang w:val="en-US"/>
              </w:rPr>
              <w:t>207</w:t>
            </w:r>
          </w:p>
        </w:tc>
        <w:tc>
          <w:tcPr>
            <w:tcW w:w="1340" w:type="dxa"/>
            <w:shd w:val="clear" w:color="auto" w:fill="auto"/>
          </w:tcPr>
          <w:p w14:paraId="01A4DC64"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И-207-М63</w:t>
            </w:r>
          </w:p>
        </w:tc>
        <w:tc>
          <w:tcPr>
            <w:tcW w:w="689" w:type="dxa"/>
            <w:shd w:val="clear" w:color="auto" w:fill="auto"/>
          </w:tcPr>
          <w:p w14:paraId="2CA7A5FF"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1</w:t>
            </w:r>
          </w:p>
        </w:tc>
        <w:tc>
          <w:tcPr>
            <w:tcW w:w="995" w:type="dxa"/>
            <w:shd w:val="clear" w:color="auto" w:fill="auto"/>
          </w:tcPr>
          <w:p w14:paraId="3697EDEC" w14:textId="77777777" w:rsidR="00F42D89" w:rsidRPr="00DB5D0D" w:rsidRDefault="00F42D89" w:rsidP="00DB5D0D">
            <w:pPr>
              <w:pStyle w:val="afffc"/>
              <w:ind w:right="280"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500</w:t>
            </w:r>
          </w:p>
        </w:tc>
        <w:tc>
          <w:tcPr>
            <w:tcW w:w="1528" w:type="dxa"/>
            <w:shd w:val="clear" w:color="auto" w:fill="auto"/>
            <w:vAlign w:val="bottom"/>
          </w:tcPr>
          <w:p w14:paraId="7D8F443F"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Установка под</w:t>
            </w:r>
            <w:r w:rsidRPr="00DB5D0D">
              <w:rPr>
                <w:rFonts w:ascii="Times New Roman" w:hAnsi="Times New Roman" w:cs="Times New Roman"/>
                <w:color w:val="0070C0"/>
                <w:sz w:val="16"/>
                <w:szCs w:val="16"/>
              </w:rPr>
              <w:softHyphen/>
              <w:t>вески крупно— кадиберн.бомб.</w:t>
            </w:r>
          </w:p>
        </w:tc>
      </w:tr>
      <w:tr w:rsidR="00F42D89" w:rsidRPr="00DB5D0D" w14:paraId="15C65264" w14:textId="77777777" w:rsidTr="007609C9">
        <w:trPr>
          <w:trHeight w:hRule="exact" w:val="814"/>
        </w:trPr>
        <w:tc>
          <w:tcPr>
            <w:tcW w:w="1221" w:type="dxa"/>
            <w:shd w:val="clear" w:color="auto" w:fill="auto"/>
          </w:tcPr>
          <w:p w14:paraId="5A46BC36"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БИСНОВАТ</w:t>
            </w:r>
          </w:p>
        </w:tc>
        <w:tc>
          <w:tcPr>
            <w:tcW w:w="795" w:type="dxa"/>
            <w:shd w:val="clear" w:color="auto" w:fill="auto"/>
          </w:tcPr>
          <w:p w14:paraId="66AF5222"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ЦАГИ</w:t>
            </w:r>
          </w:p>
        </w:tc>
        <w:tc>
          <w:tcPr>
            <w:tcW w:w="1340" w:type="dxa"/>
            <w:shd w:val="clear" w:color="auto" w:fill="auto"/>
          </w:tcPr>
          <w:p w14:paraId="6EEEDF7B" w14:textId="77777777" w:rsidR="00F42D89" w:rsidRPr="00DB5D0D" w:rsidRDefault="00F42D89" w:rsidP="00DB5D0D">
            <w:pPr>
              <w:pStyle w:val="afffc"/>
              <w:ind w:left="160"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СК-М105 дублер</w:t>
            </w:r>
          </w:p>
        </w:tc>
        <w:tc>
          <w:tcPr>
            <w:tcW w:w="689" w:type="dxa"/>
            <w:shd w:val="clear" w:color="auto" w:fill="auto"/>
          </w:tcPr>
          <w:p w14:paraId="5D00588F"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1</w:t>
            </w:r>
          </w:p>
        </w:tc>
        <w:tc>
          <w:tcPr>
            <w:tcW w:w="995" w:type="dxa"/>
            <w:shd w:val="clear" w:color="auto" w:fill="auto"/>
          </w:tcPr>
          <w:p w14:paraId="71524EEC"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1.000</w:t>
            </w:r>
          </w:p>
        </w:tc>
        <w:tc>
          <w:tcPr>
            <w:tcW w:w="1528" w:type="dxa"/>
            <w:shd w:val="clear" w:color="auto" w:fill="auto"/>
          </w:tcPr>
          <w:p w14:paraId="7DAA9FED"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Установка 2-х крупн.халибер- пых пулеметов Березина.</w:t>
            </w:r>
          </w:p>
        </w:tc>
      </w:tr>
      <w:tr w:rsidR="00F42D89" w:rsidRPr="00DB5D0D" w14:paraId="3C1B313C" w14:textId="77777777" w:rsidTr="007609C9">
        <w:trPr>
          <w:trHeight w:hRule="exact" w:val="607"/>
        </w:trPr>
        <w:tc>
          <w:tcPr>
            <w:tcW w:w="1221" w:type="dxa"/>
            <w:shd w:val="clear" w:color="auto" w:fill="auto"/>
            <w:vAlign w:val="center"/>
          </w:tcPr>
          <w:p w14:paraId="74539394" w14:textId="77777777" w:rsidR="00F42D89" w:rsidRPr="00DB5D0D" w:rsidRDefault="00F42D89" w:rsidP="00DB5D0D">
            <w:pPr>
              <w:pStyle w:val="afffc"/>
              <w:tabs>
                <w:tab w:val="left" w:leader="underscore" w:pos="1208"/>
              </w:tabs>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 xml:space="preserve">Итого: </w:t>
            </w:r>
          </w:p>
        </w:tc>
        <w:tc>
          <w:tcPr>
            <w:tcW w:w="795" w:type="dxa"/>
            <w:shd w:val="clear" w:color="auto" w:fill="auto"/>
          </w:tcPr>
          <w:p w14:paraId="45517905" w14:textId="77777777" w:rsidR="00F42D89" w:rsidRPr="00DB5D0D" w:rsidRDefault="00F42D89" w:rsidP="00DB5D0D">
            <w:pPr>
              <w:spacing w:after="0" w:line="240" w:lineRule="auto"/>
              <w:jc w:val="both"/>
              <w:rPr>
                <w:rFonts w:ascii="Times New Roman" w:hAnsi="Times New Roman"/>
                <w:color w:val="0070C0"/>
                <w:sz w:val="16"/>
                <w:szCs w:val="16"/>
              </w:rPr>
            </w:pPr>
          </w:p>
        </w:tc>
        <w:tc>
          <w:tcPr>
            <w:tcW w:w="1340" w:type="dxa"/>
            <w:shd w:val="clear" w:color="auto" w:fill="auto"/>
          </w:tcPr>
          <w:p w14:paraId="619C9027" w14:textId="77777777" w:rsidR="00F42D89" w:rsidRPr="00DB5D0D" w:rsidRDefault="00F42D89" w:rsidP="00DB5D0D">
            <w:pPr>
              <w:spacing w:after="0" w:line="240" w:lineRule="auto"/>
              <w:jc w:val="both"/>
              <w:rPr>
                <w:rFonts w:ascii="Times New Roman" w:hAnsi="Times New Roman"/>
                <w:color w:val="0070C0"/>
                <w:sz w:val="16"/>
                <w:szCs w:val="16"/>
              </w:rPr>
            </w:pPr>
          </w:p>
        </w:tc>
        <w:tc>
          <w:tcPr>
            <w:tcW w:w="689" w:type="dxa"/>
            <w:shd w:val="clear" w:color="auto" w:fill="auto"/>
          </w:tcPr>
          <w:p w14:paraId="4E53121E" w14:textId="77777777" w:rsidR="00F42D89" w:rsidRPr="00DB5D0D" w:rsidRDefault="00F42D89" w:rsidP="00DB5D0D">
            <w:pPr>
              <w:spacing w:after="0" w:line="240" w:lineRule="auto"/>
              <w:jc w:val="both"/>
              <w:rPr>
                <w:rFonts w:ascii="Times New Roman" w:hAnsi="Times New Roman"/>
                <w:color w:val="0070C0"/>
                <w:sz w:val="16"/>
                <w:szCs w:val="16"/>
              </w:rPr>
            </w:pPr>
          </w:p>
        </w:tc>
        <w:tc>
          <w:tcPr>
            <w:tcW w:w="995" w:type="dxa"/>
            <w:shd w:val="clear" w:color="auto" w:fill="auto"/>
          </w:tcPr>
          <w:p w14:paraId="63EADC97" w14:textId="77777777" w:rsidR="00F42D89" w:rsidRPr="00DB5D0D" w:rsidRDefault="00F42D89" w:rsidP="00DB5D0D">
            <w:pPr>
              <w:pStyle w:val="afffc"/>
              <w:ind w:firstLine="0"/>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rPr>
              <w:t>6.400</w:t>
            </w:r>
          </w:p>
        </w:tc>
        <w:tc>
          <w:tcPr>
            <w:tcW w:w="1528" w:type="dxa"/>
            <w:shd w:val="clear" w:color="auto" w:fill="auto"/>
          </w:tcPr>
          <w:p w14:paraId="441D88F0" w14:textId="77777777" w:rsidR="00F42D89" w:rsidRPr="00DB5D0D" w:rsidRDefault="00F42D89" w:rsidP="00DB5D0D">
            <w:pPr>
              <w:spacing w:after="0" w:line="240" w:lineRule="auto"/>
              <w:jc w:val="both"/>
              <w:rPr>
                <w:rFonts w:ascii="Times New Roman" w:hAnsi="Times New Roman"/>
                <w:color w:val="0070C0"/>
                <w:sz w:val="16"/>
                <w:szCs w:val="16"/>
              </w:rPr>
            </w:pPr>
          </w:p>
        </w:tc>
      </w:tr>
    </w:tbl>
    <w:p w14:paraId="7A3CA0A9"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3</w:t>
      </w:r>
    </w:p>
    <w:p w14:paraId="02EC79BF" w14:textId="77777777" w:rsidR="00F42D89" w:rsidRPr="00DB5D0D" w:rsidRDefault="00F42D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Перечень опытных работ, прекращенных согласно постановлению КО от 4 марта 1940 г. за № 127сс (21950).</w:t>
      </w:r>
    </w:p>
    <w:p w14:paraId="45073BB9" w14:textId="77777777" w:rsidR="00F42D89" w:rsidRPr="00DB5D0D" w:rsidRDefault="00F42D89" w:rsidP="00DB5D0D">
      <w:pPr>
        <w:spacing w:after="0" w:line="240" w:lineRule="auto"/>
        <w:jc w:val="both"/>
        <w:rPr>
          <w:rFonts w:ascii="Times New Roman" w:hAnsi="Times New Roman"/>
          <w:color w:val="0070C0"/>
          <w:sz w:val="16"/>
          <w:szCs w:val="16"/>
        </w:rPr>
      </w:pPr>
    </w:p>
    <w:p w14:paraId="111355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была подготовлен:</w:t>
      </w:r>
    </w:p>
    <w:p w14:paraId="2DD56E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Справочная таблица о вооружении самолетов на 1941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1241"/>
        <w:gridCol w:w="1241"/>
        <w:gridCol w:w="1241"/>
        <w:gridCol w:w="1241"/>
        <w:gridCol w:w="1241"/>
        <w:gridCol w:w="1241"/>
        <w:gridCol w:w="1241"/>
      </w:tblGrid>
      <w:tr w:rsidR="007D5DF8" w:rsidRPr="00DB5D0D" w14:paraId="006BFDCE" w14:textId="77777777" w:rsidTr="00E543D0">
        <w:tc>
          <w:tcPr>
            <w:tcW w:w="2518" w:type="dxa"/>
            <w:tcBorders>
              <w:top w:val="single" w:sz="12" w:space="0" w:color="auto"/>
            </w:tcBorders>
          </w:tcPr>
          <w:p w14:paraId="700321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Типы самолетов</w:t>
            </w:r>
          </w:p>
        </w:tc>
        <w:tc>
          <w:tcPr>
            <w:tcW w:w="1241" w:type="dxa"/>
            <w:tcBorders>
              <w:top w:val="single" w:sz="12" w:space="0" w:color="auto"/>
            </w:tcBorders>
          </w:tcPr>
          <w:p w14:paraId="431602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Годовой заказ</w:t>
            </w:r>
          </w:p>
        </w:tc>
        <w:tc>
          <w:tcPr>
            <w:tcW w:w="1241" w:type="dxa"/>
            <w:tcBorders>
              <w:top w:val="single" w:sz="12" w:space="0" w:color="auto"/>
            </w:tcBorders>
          </w:tcPr>
          <w:p w14:paraId="3E62FC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Установки под РС</w:t>
            </w:r>
          </w:p>
        </w:tc>
        <w:tc>
          <w:tcPr>
            <w:tcW w:w="1241" w:type="dxa"/>
            <w:tcBorders>
              <w:top w:val="single" w:sz="12" w:space="0" w:color="auto"/>
            </w:tcBorders>
          </w:tcPr>
          <w:p w14:paraId="768ABF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 12,76 для задней установки</w:t>
            </w:r>
          </w:p>
        </w:tc>
        <w:tc>
          <w:tcPr>
            <w:tcW w:w="1241" w:type="dxa"/>
            <w:tcBorders>
              <w:top w:val="single" w:sz="12" w:space="0" w:color="auto"/>
            </w:tcBorders>
          </w:tcPr>
          <w:p w14:paraId="43D385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 ШКАС и 1 пул. калибра 12,7</w:t>
            </w:r>
          </w:p>
        </w:tc>
        <w:tc>
          <w:tcPr>
            <w:tcW w:w="1241" w:type="dxa"/>
            <w:tcBorders>
              <w:top w:val="single" w:sz="12" w:space="0" w:color="auto"/>
            </w:tcBorders>
          </w:tcPr>
          <w:p w14:paraId="24AD77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 ШКАС и 1 пушка 20 мм или 23 мм</w:t>
            </w:r>
          </w:p>
        </w:tc>
        <w:tc>
          <w:tcPr>
            <w:tcW w:w="1241" w:type="dxa"/>
            <w:tcBorders>
              <w:top w:val="single" w:sz="12" w:space="0" w:color="auto"/>
            </w:tcBorders>
          </w:tcPr>
          <w:p w14:paraId="2DCF0B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 ШКАС и 2 пул. 12,7</w:t>
            </w:r>
          </w:p>
        </w:tc>
        <w:tc>
          <w:tcPr>
            <w:tcW w:w="1241" w:type="dxa"/>
            <w:tcBorders>
              <w:top w:val="single" w:sz="12" w:space="0" w:color="auto"/>
            </w:tcBorders>
          </w:tcPr>
          <w:p w14:paraId="7AE6B9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 23 мм и 2 пул. ШКАС</w:t>
            </w:r>
          </w:p>
        </w:tc>
      </w:tr>
      <w:tr w:rsidR="007D5DF8" w:rsidRPr="00DB5D0D" w14:paraId="0440FDAE" w14:textId="77777777" w:rsidTr="00E543D0">
        <w:tc>
          <w:tcPr>
            <w:tcW w:w="2518" w:type="dxa"/>
          </w:tcPr>
          <w:p w14:paraId="49F470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w:t>
            </w:r>
          </w:p>
        </w:tc>
        <w:tc>
          <w:tcPr>
            <w:tcW w:w="1241" w:type="dxa"/>
          </w:tcPr>
          <w:p w14:paraId="41990F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4900</w:t>
            </w:r>
          </w:p>
        </w:tc>
        <w:tc>
          <w:tcPr>
            <w:tcW w:w="1241" w:type="dxa"/>
          </w:tcPr>
          <w:p w14:paraId="280191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1" w:type="dxa"/>
          </w:tcPr>
          <w:p w14:paraId="5F3613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4900</w:t>
            </w:r>
          </w:p>
        </w:tc>
        <w:tc>
          <w:tcPr>
            <w:tcW w:w="1241" w:type="dxa"/>
          </w:tcPr>
          <w:p w14:paraId="38A9ACA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605036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003BB4E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0D9766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0F56B91" w14:textId="77777777" w:rsidTr="00E543D0">
        <w:tc>
          <w:tcPr>
            <w:tcW w:w="2518" w:type="dxa"/>
          </w:tcPr>
          <w:p w14:paraId="4C509F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РК и ПБ-100</w:t>
            </w:r>
          </w:p>
        </w:tc>
        <w:tc>
          <w:tcPr>
            <w:tcW w:w="1241" w:type="dxa"/>
          </w:tcPr>
          <w:p w14:paraId="4C0EA8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7280</w:t>
            </w:r>
          </w:p>
        </w:tc>
        <w:tc>
          <w:tcPr>
            <w:tcW w:w="1241" w:type="dxa"/>
          </w:tcPr>
          <w:p w14:paraId="695222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1450</w:t>
            </w:r>
          </w:p>
        </w:tc>
        <w:tc>
          <w:tcPr>
            <w:tcW w:w="1241" w:type="dxa"/>
          </w:tcPr>
          <w:p w14:paraId="0F0D62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7280</w:t>
            </w:r>
          </w:p>
        </w:tc>
        <w:tc>
          <w:tcPr>
            <w:tcW w:w="1241" w:type="dxa"/>
          </w:tcPr>
          <w:p w14:paraId="0F9A97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38BDF61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6A97157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412058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568E0E7" w14:textId="77777777" w:rsidTr="00E543D0">
        <w:tc>
          <w:tcPr>
            <w:tcW w:w="2518" w:type="dxa"/>
          </w:tcPr>
          <w:p w14:paraId="322C40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w:t>
            </w:r>
          </w:p>
        </w:tc>
        <w:tc>
          <w:tcPr>
            <w:tcW w:w="1241" w:type="dxa"/>
          </w:tcPr>
          <w:p w14:paraId="66C417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1241" w:type="dxa"/>
          </w:tcPr>
          <w:p w14:paraId="0BD67F5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3EDF24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1241" w:type="dxa"/>
          </w:tcPr>
          <w:p w14:paraId="1180DB6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176D6C5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5BE2E7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2AE670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28DFC4C" w14:textId="77777777" w:rsidTr="00E543D0">
        <w:tc>
          <w:tcPr>
            <w:tcW w:w="2518" w:type="dxa"/>
          </w:tcPr>
          <w:p w14:paraId="0388F7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w:t>
            </w:r>
          </w:p>
        </w:tc>
        <w:tc>
          <w:tcPr>
            <w:tcW w:w="1241" w:type="dxa"/>
          </w:tcPr>
          <w:p w14:paraId="388148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1241" w:type="dxa"/>
          </w:tcPr>
          <w:p w14:paraId="52D3E84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268297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7AFCD9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511FF05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5152FB3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777C31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C958CF7" w14:textId="77777777" w:rsidTr="00E543D0">
        <w:tc>
          <w:tcPr>
            <w:tcW w:w="2518" w:type="dxa"/>
          </w:tcPr>
          <w:p w14:paraId="4C14F6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w:t>
            </w:r>
          </w:p>
        </w:tc>
        <w:tc>
          <w:tcPr>
            <w:tcW w:w="1241" w:type="dxa"/>
          </w:tcPr>
          <w:p w14:paraId="5B4384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3920</w:t>
            </w:r>
          </w:p>
        </w:tc>
        <w:tc>
          <w:tcPr>
            <w:tcW w:w="1241" w:type="dxa"/>
          </w:tcPr>
          <w:p w14:paraId="484581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1241" w:type="dxa"/>
          </w:tcPr>
          <w:p w14:paraId="2D7B06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63C0CE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76CF15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3920</w:t>
            </w:r>
          </w:p>
        </w:tc>
        <w:tc>
          <w:tcPr>
            <w:tcW w:w="1241" w:type="dxa"/>
          </w:tcPr>
          <w:p w14:paraId="0179445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244094B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CBEAAC3" w14:textId="77777777" w:rsidTr="00E543D0">
        <w:tc>
          <w:tcPr>
            <w:tcW w:w="2518" w:type="dxa"/>
          </w:tcPr>
          <w:p w14:paraId="704DC1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w:t>
            </w:r>
          </w:p>
        </w:tc>
        <w:tc>
          <w:tcPr>
            <w:tcW w:w="1241" w:type="dxa"/>
          </w:tcPr>
          <w:p w14:paraId="71FE6A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2300</w:t>
            </w:r>
          </w:p>
        </w:tc>
        <w:tc>
          <w:tcPr>
            <w:tcW w:w="1241" w:type="dxa"/>
          </w:tcPr>
          <w:p w14:paraId="48434A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1241" w:type="dxa"/>
          </w:tcPr>
          <w:p w14:paraId="587F8D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3062A7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53C2DB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756DE9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1241" w:type="dxa"/>
          </w:tcPr>
          <w:p w14:paraId="1496155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A3B1BC1" w14:textId="77777777" w:rsidTr="00E543D0">
        <w:tc>
          <w:tcPr>
            <w:tcW w:w="2518" w:type="dxa"/>
          </w:tcPr>
          <w:p w14:paraId="19A9DF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 БШ</w:t>
            </w:r>
          </w:p>
        </w:tc>
        <w:tc>
          <w:tcPr>
            <w:tcW w:w="1241" w:type="dxa"/>
          </w:tcPr>
          <w:p w14:paraId="24E076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1241" w:type="dxa"/>
          </w:tcPr>
          <w:p w14:paraId="523E7E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1241" w:type="dxa"/>
          </w:tcPr>
          <w:p w14:paraId="427FDF2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3EA1E30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638FF6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24E082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1241" w:type="dxa"/>
          </w:tcPr>
          <w:p w14:paraId="540335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r>
      <w:tr w:rsidR="007D5DF8" w:rsidRPr="00DB5D0D" w14:paraId="0C97DC61" w14:textId="77777777" w:rsidTr="00E543D0">
        <w:tc>
          <w:tcPr>
            <w:tcW w:w="2518" w:type="dxa"/>
          </w:tcPr>
          <w:p w14:paraId="68A483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(корректировщик)</w:t>
            </w:r>
          </w:p>
        </w:tc>
        <w:tc>
          <w:tcPr>
            <w:tcW w:w="1241" w:type="dxa"/>
          </w:tcPr>
          <w:p w14:paraId="0A5E04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1630</w:t>
            </w:r>
          </w:p>
        </w:tc>
        <w:tc>
          <w:tcPr>
            <w:tcW w:w="1241" w:type="dxa"/>
          </w:tcPr>
          <w:p w14:paraId="53CE81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344EB5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1630</w:t>
            </w:r>
          </w:p>
        </w:tc>
        <w:tc>
          <w:tcPr>
            <w:tcW w:w="1241" w:type="dxa"/>
          </w:tcPr>
          <w:p w14:paraId="4A9E970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4114EE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5B0B308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5752551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CCC859A" w14:textId="77777777" w:rsidTr="00E543D0">
        <w:tc>
          <w:tcPr>
            <w:tcW w:w="2518" w:type="dxa"/>
            <w:tcBorders>
              <w:bottom w:val="single" w:sz="12" w:space="0" w:color="auto"/>
            </w:tcBorders>
          </w:tcPr>
          <w:p w14:paraId="38EE3A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w:t>
            </w:r>
          </w:p>
        </w:tc>
        <w:tc>
          <w:tcPr>
            <w:tcW w:w="1241" w:type="dxa"/>
            <w:tcBorders>
              <w:bottom w:val="single" w:sz="12" w:space="0" w:color="auto"/>
            </w:tcBorders>
          </w:tcPr>
          <w:p w14:paraId="264607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1241" w:type="dxa"/>
            <w:tcBorders>
              <w:bottom w:val="single" w:sz="12" w:space="0" w:color="auto"/>
            </w:tcBorders>
          </w:tcPr>
          <w:p w14:paraId="679AA7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Borders>
              <w:bottom w:val="single" w:sz="12" w:space="0" w:color="auto"/>
            </w:tcBorders>
          </w:tcPr>
          <w:p w14:paraId="331E3F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Borders>
              <w:bottom w:val="single" w:sz="12" w:space="0" w:color="auto"/>
            </w:tcBorders>
          </w:tcPr>
          <w:p w14:paraId="2A6C8F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Borders>
              <w:bottom w:val="single" w:sz="12" w:space="0" w:color="auto"/>
            </w:tcBorders>
          </w:tcPr>
          <w:p w14:paraId="21CBFB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Borders>
              <w:bottom w:val="single" w:sz="12" w:space="0" w:color="auto"/>
            </w:tcBorders>
          </w:tcPr>
          <w:p w14:paraId="297296B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Borders>
              <w:bottom w:val="single" w:sz="12" w:space="0" w:color="auto"/>
            </w:tcBorders>
          </w:tcPr>
          <w:p w14:paraId="2C0D143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1D2E2A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p w14:paraId="0F2919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остальные пулнметы на самолетах: ДБ-240, СБ, ПБ-100, ТБ-7, ББ-1, Бь-22 устанавливаются согласно утвержденным ТТТ</w:t>
      </w:r>
    </w:p>
    <w:p w14:paraId="36BE62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бомбардировочное вооружение на всех типах самолетов остается без изменения по утвержденным ТТТ.</w:t>
      </w:r>
    </w:p>
    <w:p w14:paraId="40E887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устанавливаемый на бомбардировщиках в 1940 один пулемет ШКАС в качестве задней</w:t>
      </w:r>
      <w:r w:rsidRPr="00DB5D0D">
        <w:rPr>
          <w:rFonts w:ascii="Times New Roman" w:hAnsi="Times New Roman"/>
          <w:color w:val="000000" w:themeColor="text1"/>
          <w:sz w:val="16"/>
          <w:szCs w:val="16"/>
        </w:rPr>
        <w:tab/>
        <w:t xml:space="preserve"> огоневой точки в 1941 подлежит замене, как указано в данной таблице, на крупнокалиберный 12,7 мм.</w:t>
      </w:r>
    </w:p>
    <w:p w14:paraId="3396F8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целях усиления огневой мощи на дальнем бомбардировщике необходимо теперь же дать задание соответствующим КБ на переработку установки под 23 мм или 20 мм пушку в качестве задней огневой точки</w:t>
      </w:r>
    </w:p>
    <w:p w14:paraId="41D7A6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вопроо о калибре 20 или 23 мм пушки окончательно будет решен к 1 сентября с.г. в зависимости от результатов доводки по увеличению скорострельности 23 мм пушки и от увеличения веса заряда 20 мм пушки (98,20,243).</w:t>
      </w:r>
    </w:p>
    <w:p w14:paraId="090E507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53253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был подготовлен:</w:t>
      </w:r>
    </w:p>
    <w:p w14:paraId="76BA47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 моторов по типам для установки на самолеты и в резерв НКО на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35"/>
        <w:gridCol w:w="2139"/>
        <w:gridCol w:w="970"/>
        <w:gridCol w:w="1603"/>
      </w:tblGrid>
      <w:tr w:rsidR="007D5DF8" w:rsidRPr="00DB5D0D" w14:paraId="2B72E364" w14:textId="77777777" w:rsidTr="00E543D0">
        <w:trPr>
          <w:trHeight w:val="20"/>
        </w:trPr>
        <w:tc>
          <w:tcPr>
            <w:tcW w:w="2835" w:type="dxa"/>
            <w:tcBorders>
              <w:top w:val="single" w:sz="12" w:space="0" w:color="auto"/>
            </w:tcBorders>
          </w:tcPr>
          <w:p w14:paraId="634345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ТИПЫ МОТОРОВ</w:t>
            </w:r>
          </w:p>
        </w:tc>
        <w:tc>
          <w:tcPr>
            <w:tcW w:w="2139" w:type="dxa"/>
            <w:tcBorders>
              <w:top w:val="single" w:sz="12" w:space="0" w:color="auto"/>
            </w:tcBorders>
          </w:tcPr>
          <w:p w14:paraId="26CAA8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Требуется моторов для установки на самолеты </w:t>
            </w:r>
          </w:p>
        </w:tc>
        <w:tc>
          <w:tcPr>
            <w:tcW w:w="970" w:type="dxa"/>
            <w:tcBorders>
              <w:top w:val="single" w:sz="12" w:space="0" w:color="auto"/>
            </w:tcBorders>
          </w:tcPr>
          <w:p w14:paraId="47B9E0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Требуется моторов в </w:t>
            </w:r>
            <w:r w:rsidRPr="00DB5D0D">
              <w:rPr>
                <w:rFonts w:ascii="Times New Roman" w:hAnsi="Times New Roman"/>
                <w:color w:val="000000" w:themeColor="text1"/>
                <w:sz w:val="16"/>
                <w:szCs w:val="16"/>
              </w:rPr>
              <w:lastRenderedPageBreak/>
              <w:t>резерв НКО (50%)</w:t>
            </w:r>
          </w:p>
        </w:tc>
        <w:tc>
          <w:tcPr>
            <w:tcW w:w="1603" w:type="dxa"/>
            <w:tcBorders>
              <w:top w:val="single" w:sz="12" w:space="0" w:color="auto"/>
            </w:tcBorders>
          </w:tcPr>
          <w:p w14:paraId="40D7A2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Всего требуется моторов в 1941 г. </w:t>
            </w:r>
          </w:p>
        </w:tc>
      </w:tr>
      <w:tr w:rsidR="007D5DF8" w:rsidRPr="00DB5D0D" w14:paraId="0740C7D7" w14:textId="77777777" w:rsidTr="00E543D0">
        <w:trPr>
          <w:trHeight w:val="20"/>
        </w:trPr>
        <w:tc>
          <w:tcPr>
            <w:tcW w:w="2835" w:type="dxa"/>
          </w:tcPr>
          <w:p w14:paraId="718A37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М37 или М-30 или М-40 /для ТБ-7/</w:t>
            </w:r>
          </w:p>
        </w:tc>
        <w:tc>
          <w:tcPr>
            <w:tcW w:w="2139" w:type="dxa"/>
          </w:tcPr>
          <w:p w14:paraId="5E77E2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3360 </w:t>
            </w:r>
          </w:p>
        </w:tc>
        <w:tc>
          <w:tcPr>
            <w:tcW w:w="970" w:type="dxa"/>
          </w:tcPr>
          <w:p w14:paraId="38281A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1680</w:t>
            </w:r>
          </w:p>
        </w:tc>
        <w:tc>
          <w:tcPr>
            <w:tcW w:w="1603" w:type="dxa"/>
          </w:tcPr>
          <w:p w14:paraId="759599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5040</w:t>
            </w:r>
          </w:p>
        </w:tc>
      </w:tr>
      <w:tr w:rsidR="007D5DF8" w:rsidRPr="00DB5D0D" w14:paraId="369B8111" w14:textId="77777777" w:rsidTr="00E543D0">
        <w:trPr>
          <w:trHeight w:val="20"/>
        </w:trPr>
        <w:tc>
          <w:tcPr>
            <w:tcW w:w="2835" w:type="dxa"/>
          </w:tcPr>
          <w:p w14:paraId="5B3F49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М37 или М-30 /для ДБ-240/</w:t>
            </w:r>
          </w:p>
        </w:tc>
        <w:tc>
          <w:tcPr>
            <w:tcW w:w="2139" w:type="dxa"/>
          </w:tcPr>
          <w:p w14:paraId="25F7E2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9800 </w:t>
            </w:r>
          </w:p>
        </w:tc>
        <w:tc>
          <w:tcPr>
            <w:tcW w:w="970" w:type="dxa"/>
          </w:tcPr>
          <w:p w14:paraId="31CA79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4900 </w:t>
            </w:r>
          </w:p>
        </w:tc>
        <w:tc>
          <w:tcPr>
            <w:tcW w:w="1603" w:type="dxa"/>
          </w:tcPr>
          <w:p w14:paraId="3F9448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14700 </w:t>
            </w:r>
          </w:p>
        </w:tc>
      </w:tr>
      <w:tr w:rsidR="007D5DF8" w:rsidRPr="00DB5D0D" w14:paraId="4DA05442" w14:textId="77777777" w:rsidTr="00E543D0">
        <w:trPr>
          <w:trHeight w:val="20"/>
        </w:trPr>
        <w:tc>
          <w:tcPr>
            <w:tcW w:w="2835" w:type="dxa"/>
          </w:tcPr>
          <w:p w14:paraId="06B34B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М-38 </w:t>
            </w:r>
          </w:p>
        </w:tc>
        <w:tc>
          <w:tcPr>
            <w:tcW w:w="2139" w:type="dxa"/>
          </w:tcPr>
          <w:p w14:paraId="275814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970" w:type="dxa"/>
          </w:tcPr>
          <w:p w14:paraId="790535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1400 </w:t>
            </w:r>
          </w:p>
        </w:tc>
        <w:tc>
          <w:tcPr>
            <w:tcW w:w="1603" w:type="dxa"/>
          </w:tcPr>
          <w:p w14:paraId="57D2D0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4200 </w:t>
            </w:r>
          </w:p>
        </w:tc>
      </w:tr>
      <w:tr w:rsidR="007D5DF8" w:rsidRPr="00DB5D0D" w14:paraId="7898C05A" w14:textId="77777777" w:rsidTr="00E543D0">
        <w:trPr>
          <w:trHeight w:val="20"/>
        </w:trPr>
        <w:tc>
          <w:tcPr>
            <w:tcW w:w="2835" w:type="dxa"/>
          </w:tcPr>
          <w:p w14:paraId="1ACD4C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2139" w:type="dxa"/>
          </w:tcPr>
          <w:p w14:paraId="50F80E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21420 </w:t>
            </w:r>
          </w:p>
        </w:tc>
        <w:tc>
          <w:tcPr>
            <w:tcW w:w="970" w:type="dxa"/>
          </w:tcPr>
          <w:p w14:paraId="574BD9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10710 </w:t>
            </w:r>
          </w:p>
        </w:tc>
        <w:tc>
          <w:tcPr>
            <w:tcW w:w="1603" w:type="dxa"/>
          </w:tcPr>
          <w:p w14:paraId="13E5F9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32130 </w:t>
            </w:r>
          </w:p>
        </w:tc>
      </w:tr>
      <w:tr w:rsidR="007D5DF8" w:rsidRPr="00DB5D0D" w14:paraId="20827EF7" w14:textId="77777777" w:rsidTr="00E543D0">
        <w:trPr>
          <w:trHeight w:val="20"/>
        </w:trPr>
        <w:tc>
          <w:tcPr>
            <w:tcW w:w="2835" w:type="dxa"/>
          </w:tcPr>
          <w:p w14:paraId="171839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М-105п </w:t>
            </w:r>
          </w:p>
        </w:tc>
        <w:tc>
          <w:tcPr>
            <w:tcW w:w="2139" w:type="dxa"/>
          </w:tcPr>
          <w:p w14:paraId="175B1B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3920 </w:t>
            </w:r>
          </w:p>
        </w:tc>
        <w:tc>
          <w:tcPr>
            <w:tcW w:w="970" w:type="dxa"/>
          </w:tcPr>
          <w:p w14:paraId="1D3B30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1960 </w:t>
            </w:r>
          </w:p>
        </w:tc>
        <w:tc>
          <w:tcPr>
            <w:tcW w:w="1603" w:type="dxa"/>
          </w:tcPr>
          <w:p w14:paraId="02C37C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5880 </w:t>
            </w:r>
          </w:p>
        </w:tc>
      </w:tr>
      <w:tr w:rsidR="007D5DF8" w:rsidRPr="00DB5D0D" w14:paraId="2D295E49" w14:textId="77777777" w:rsidTr="00E543D0">
        <w:trPr>
          <w:trHeight w:val="20"/>
        </w:trPr>
        <w:tc>
          <w:tcPr>
            <w:tcW w:w="2835" w:type="dxa"/>
          </w:tcPr>
          <w:p w14:paraId="494D89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М-88 </w:t>
            </w:r>
          </w:p>
        </w:tc>
        <w:tc>
          <w:tcPr>
            <w:tcW w:w="2139" w:type="dxa"/>
          </w:tcPr>
          <w:p w14:paraId="3EAC2D3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5600 </w:t>
            </w:r>
          </w:p>
        </w:tc>
        <w:tc>
          <w:tcPr>
            <w:tcW w:w="970" w:type="dxa"/>
          </w:tcPr>
          <w:p w14:paraId="6E4EF2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2800 </w:t>
            </w:r>
          </w:p>
        </w:tc>
        <w:tc>
          <w:tcPr>
            <w:tcW w:w="1603" w:type="dxa"/>
          </w:tcPr>
          <w:p w14:paraId="65B6B4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8400 </w:t>
            </w:r>
          </w:p>
        </w:tc>
      </w:tr>
      <w:tr w:rsidR="007D5DF8" w:rsidRPr="00DB5D0D" w14:paraId="195EF644" w14:textId="77777777" w:rsidTr="00E543D0">
        <w:trPr>
          <w:trHeight w:val="20"/>
        </w:trPr>
        <w:tc>
          <w:tcPr>
            <w:tcW w:w="2835" w:type="dxa"/>
          </w:tcPr>
          <w:p w14:paraId="2712D9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АМ-35А </w:t>
            </w:r>
          </w:p>
        </w:tc>
        <w:tc>
          <w:tcPr>
            <w:tcW w:w="2139" w:type="dxa"/>
          </w:tcPr>
          <w:p w14:paraId="192F12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6580</w:t>
            </w:r>
          </w:p>
        </w:tc>
        <w:tc>
          <w:tcPr>
            <w:tcW w:w="970" w:type="dxa"/>
          </w:tcPr>
          <w:p w14:paraId="3DE708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3290</w:t>
            </w:r>
          </w:p>
        </w:tc>
        <w:tc>
          <w:tcPr>
            <w:tcW w:w="1603" w:type="dxa"/>
          </w:tcPr>
          <w:p w14:paraId="633C3F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9370 </w:t>
            </w:r>
          </w:p>
        </w:tc>
      </w:tr>
      <w:tr w:rsidR="007D5DF8" w:rsidRPr="00DB5D0D" w14:paraId="5D2C9477" w14:textId="77777777" w:rsidTr="00E543D0">
        <w:trPr>
          <w:trHeight w:val="20"/>
        </w:trPr>
        <w:tc>
          <w:tcPr>
            <w:tcW w:w="2835" w:type="dxa"/>
          </w:tcPr>
          <w:p w14:paraId="6B1A53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М-62 ИР </w:t>
            </w:r>
          </w:p>
        </w:tc>
        <w:tc>
          <w:tcPr>
            <w:tcW w:w="2139" w:type="dxa"/>
          </w:tcPr>
          <w:p w14:paraId="6C0A52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1900 </w:t>
            </w:r>
          </w:p>
        </w:tc>
        <w:tc>
          <w:tcPr>
            <w:tcW w:w="970" w:type="dxa"/>
          </w:tcPr>
          <w:p w14:paraId="62FD43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950 </w:t>
            </w:r>
          </w:p>
        </w:tc>
        <w:tc>
          <w:tcPr>
            <w:tcW w:w="1603" w:type="dxa"/>
          </w:tcPr>
          <w:p w14:paraId="290FC6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2850</w:t>
            </w:r>
          </w:p>
        </w:tc>
      </w:tr>
      <w:tr w:rsidR="007D5DF8" w:rsidRPr="00DB5D0D" w14:paraId="0BB39C8A" w14:textId="77777777" w:rsidTr="00E543D0">
        <w:trPr>
          <w:trHeight w:val="20"/>
        </w:trPr>
        <w:tc>
          <w:tcPr>
            <w:tcW w:w="2835" w:type="dxa"/>
          </w:tcPr>
          <w:p w14:paraId="124893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М-25 В</w:t>
            </w:r>
          </w:p>
        </w:tc>
        <w:tc>
          <w:tcPr>
            <w:tcW w:w="2139" w:type="dxa"/>
          </w:tcPr>
          <w:p w14:paraId="0552D3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970" w:type="dxa"/>
          </w:tcPr>
          <w:p w14:paraId="5578B4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603" w:type="dxa"/>
          </w:tcPr>
          <w:p w14:paraId="12B382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r>
      <w:tr w:rsidR="007D5DF8" w:rsidRPr="00DB5D0D" w14:paraId="2BB7DACB" w14:textId="77777777" w:rsidTr="00E543D0">
        <w:trPr>
          <w:trHeight w:val="20"/>
        </w:trPr>
        <w:tc>
          <w:tcPr>
            <w:tcW w:w="2835" w:type="dxa"/>
          </w:tcPr>
          <w:p w14:paraId="048922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МВ-6 </w:t>
            </w:r>
          </w:p>
        </w:tc>
        <w:tc>
          <w:tcPr>
            <w:tcW w:w="2139" w:type="dxa"/>
          </w:tcPr>
          <w:p w14:paraId="1BECA8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c>
          <w:tcPr>
            <w:tcW w:w="970" w:type="dxa"/>
          </w:tcPr>
          <w:p w14:paraId="60F754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800 </w:t>
            </w:r>
          </w:p>
        </w:tc>
        <w:tc>
          <w:tcPr>
            <w:tcW w:w="1603" w:type="dxa"/>
          </w:tcPr>
          <w:p w14:paraId="0B71E7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2400 </w:t>
            </w:r>
          </w:p>
        </w:tc>
      </w:tr>
      <w:tr w:rsidR="007D5DF8" w:rsidRPr="00DB5D0D" w14:paraId="0937A7A3" w14:textId="77777777" w:rsidTr="00E543D0">
        <w:trPr>
          <w:trHeight w:val="20"/>
        </w:trPr>
        <w:tc>
          <w:tcPr>
            <w:tcW w:w="2835" w:type="dxa"/>
          </w:tcPr>
          <w:p w14:paraId="475177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М-11 </w:t>
            </w:r>
          </w:p>
        </w:tc>
        <w:tc>
          <w:tcPr>
            <w:tcW w:w="2139" w:type="dxa"/>
          </w:tcPr>
          <w:p w14:paraId="1B7106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2000 </w:t>
            </w:r>
          </w:p>
        </w:tc>
        <w:tc>
          <w:tcPr>
            <w:tcW w:w="970" w:type="dxa"/>
          </w:tcPr>
          <w:p w14:paraId="5A18D7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1000 </w:t>
            </w:r>
          </w:p>
        </w:tc>
        <w:tc>
          <w:tcPr>
            <w:tcW w:w="1603" w:type="dxa"/>
          </w:tcPr>
          <w:p w14:paraId="060502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3000 </w:t>
            </w:r>
          </w:p>
        </w:tc>
      </w:tr>
      <w:tr w:rsidR="007D5DF8" w:rsidRPr="00DB5D0D" w14:paraId="2947FAD2" w14:textId="77777777" w:rsidTr="00E543D0">
        <w:trPr>
          <w:trHeight w:val="20"/>
        </w:trPr>
        <w:tc>
          <w:tcPr>
            <w:tcW w:w="2835" w:type="dxa"/>
            <w:tcBorders>
              <w:bottom w:val="single" w:sz="12" w:space="0" w:color="auto"/>
            </w:tcBorders>
          </w:tcPr>
          <w:p w14:paraId="3726DE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М-11 г </w:t>
            </w:r>
          </w:p>
        </w:tc>
        <w:tc>
          <w:tcPr>
            <w:tcW w:w="2139" w:type="dxa"/>
            <w:tcBorders>
              <w:bottom w:val="single" w:sz="12" w:space="0" w:color="auto"/>
            </w:tcBorders>
          </w:tcPr>
          <w:p w14:paraId="693296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200 </w:t>
            </w:r>
          </w:p>
        </w:tc>
        <w:tc>
          <w:tcPr>
            <w:tcW w:w="970" w:type="dxa"/>
            <w:tcBorders>
              <w:bottom w:val="single" w:sz="12" w:space="0" w:color="auto"/>
            </w:tcBorders>
          </w:tcPr>
          <w:p w14:paraId="54C4FA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 </w:t>
            </w:r>
          </w:p>
        </w:tc>
        <w:tc>
          <w:tcPr>
            <w:tcW w:w="1603" w:type="dxa"/>
            <w:tcBorders>
              <w:bottom w:val="single" w:sz="12" w:space="0" w:color="auto"/>
            </w:tcBorders>
          </w:tcPr>
          <w:p w14:paraId="23C720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300 </w:t>
            </w:r>
          </w:p>
        </w:tc>
      </w:tr>
    </w:tbl>
    <w:p w14:paraId="496E1D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расчет потребности не вошли моторы для установка на 1000 шт. морских самолетов НКВМФ (9820,242).</w:t>
      </w:r>
    </w:p>
    <w:p w14:paraId="206A234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2D90D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вышло постановление КО N 316сс-40 о получении дополнительных средств в объеме 4.5 млн. из резервного фонда СНК СССР на финансирование работ по опытным самолетам (410,1):</w:t>
      </w:r>
    </w:p>
    <w:p w14:paraId="7BEC85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 объектов опытного самолетостроения, переходящих с 1939, подлежащих финансированию за счет средств, ранее отпущенных НКАПу (1269):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744"/>
        <w:gridCol w:w="1660"/>
        <w:gridCol w:w="1015"/>
        <w:gridCol w:w="4245"/>
      </w:tblGrid>
      <w:tr w:rsidR="007D5DF8" w:rsidRPr="00DB5D0D" w14:paraId="58DF855F" w14:textId="77777777" w:rsidTr="00E543D0">
        <w:tc>
          <w:tcPr>
            <w:tcW w:w="1916" w:type="dxa"/>
            <w:tcBorders>
              <w:top w:val="single" w:sz="12" w:space="0" w:color="auto"/>
            </w:tcBorders>
          </w:tcPr>
          <w:p w14:paraId="3BDD5D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w:t>
            </w:r>
          </w:p>
        </w:tc>
        <w:tc>
          <w:tcPr>
            <w:tcW w:w="744" w:type="dxa"/>
            <w:tcBorders>
              <w:top w:val="single" w:sz="12" w:space="0" w:color="auto"/>
            </w:tcBorders>
          </w:tcPr>
          <w:p w14:paraId="36561E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1660" w:type="dxa"/>
            <w:tcBorders>
              <w:top w:val="single" w:sz="12" w:space="0" w:color="auto"/>
            </w:tcBorders>
          </w:tcPr>
          <w:p w14:paraId="20CBB1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w:t>
            </w:r>
          </w:p>
        </w:tc>
        <w:tc>
          <w:tcPr>
            <w:tcW w:w="1015" w:type="dxa"/>
            <w:tcBorders>
              <w:top w:val="single" w:sz="12" w:space="0" w:color="auto"/>
            </w:tcBorders>
          </w:tcPr>
          <w:p w14:paraId="4162F1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w:t>
            </w:r>
          </w:p>
        </w:tc>
        <w:tc>
          <w:tcPr>
            <w:tcW w:w="4245" w:type="dxa"/>
            <w:tcBorders>
              <w:top w:val="single" w:sz="12" w:space="0" w:color="auto"/>
            </w:tcBorders>
          </w:tcPr>
          <w:p w14:paraId="0BE7DB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tc>
      </w:tr>
      <w:tr w:rsidR="007D5DF8" w:rsidRPr="00DB5D0D" w14:paraId="33A245F8" w14:textId="77777777" w:rsidTr="00E543D0">
        <w:tc>
          <w:tcPr>
            <w:tcW w:w="1916" w:type="dxa"/>
          </w:tcPr>
          <w:p w14:paraId="120C67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Кочеригин</w:t>
            </w:r>
          </w:p>
        </w:tc>
        <w:tc>
          <w:tcPr>
            <w:tcW w:w="744" w:type="dxa"/>
          </w:tcPr>
          <w:p w14:paraId="00F418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660" w:type="dxa"/>
          </w:tcPr>
          <w:p w14:paraId="2F6535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Ш-81</w:t>
            </w:r>
          </w:p>
        </w:tc>
        <w:tc>
          <w:tcPr>
            <w:tcW w:w="1015" w:type="dxa"/>
          </w:tcPr>
          <w:p w14:paraId="58D521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4245" w:type="dxa"/>
          </w:tcPr>
          <w:p w14:paraId="036E25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Модернизация постр. Ш</w:t>
            </w:r>
          </w:p>
        </w:tc>
      </w:tr>
      <w:tr w:rsidR="007D5DF8" w:rsidRPr="00DB5D0D" w14:paraId="4DBF77A3" w14:textId="77777777" w:rsidTr="00E543D0">
        <w:tc>
          <w:tcPr>
            <w:tcW w:w="1916" w:type="dxa"/>
          </w:tcPr>
          <w:p w14:paraId="73630F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Таиров</w:t>
            </w:r>
          </w:p>
        </w:tc>
        <w:tc>
          <w:tcPr>
            <w:tcW w:w="744" w:type="dxa"/>
          </w:tcPr>
          <w:p w14:paraId="3A46B0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660" w:type="dxa"/>
          </w:tcPr>
          <w:p w14:paraId="44F12C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 дублер</w:t>
            </w:r>
          </w:p>
        </w:tc>
        <w:tc>
          <w:tcPr>
            <w:tcW w:w="1015" w:type="dxa"/>
          </w:tcPr>
          <w:p w14:paraId="7333EC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4245" w:type="dxa"/>
          </w:tcPr>
          <w:p w14:paraId="2A02F0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Модернизация с учетом заводских испытаний</w:t>
            </w:r>
          </w:p>
        </w:tc>
      </w:tr>
      <w:tr w:rsidR="007D5DF8" w:rsidRPr="00DB5D0D" w14:paraId="4DCC204D" w14:textId="77777777" w:rsidTr="00E543D0">
        <w:tc>
          <w:tcPr>
            <w:tcW w:w="1916" w:type="dxa"/>
          </w:tcPr>
          <w:p w14:paraId="455D97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Яковлев</w:t>
            </w:r>
          </w:p>
        </w:tc>
        <w:tc>
          <w:tcPr>
            <w:tcW w:w="744" w:type="dxa"/>
          </w:tcPr>
          <w:p w14:paraId="32865F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1660" w:type="dxa"/>
          </w:tcPr>
          <w:p w14:paraId="6819E2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УТИ-23 МВ-6</w:t>
            </w:r>
          </w:p>
        </w:tc>
        <w:tc>
          <w:tcPr>
            <w:tcW w:w="1015" w:type="dxa"/>
          </w:tcPr>
          <w:p w14:paraId="441AFF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4245" w:type="dxa"/>
          </w:tcPr>
          <w:p w14:paraId="5ACEE24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2EE70AC" w14:textId="77777777" w:rsidTr="00E543D0">
        <w:tc>
          <w:tcPr>
            <w:tcW w:w="1916" w:type="dxa"/>
          </w:tcPr>
          <w:p w14:paraId="2B0007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Боровков</w:t>
            </w:r>
          </w:p>
        </w:tc>
        <w:tc>
          <w:tcPr>
            <w:tcW w:w="744" w:type="dxa"/>
          </w:tcPr>
          <w:p w14:paraId="3B31AD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1660" w:type="dxa"/>
          </w:tcPr>
          <w:p w14:paraId="7BDF33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 М-63</w:t>
            </w:r>
          </w:p>
        </w:tc>
        <w:tc>
          <w:tcPr>
            <w:tcW w:w="1015" w:type="dxa"/>
          </w:tcPr>
          <w:p w14:paraId="3CCBC9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4245" w:type="dxa"/>
          </w:tcPr>
          <w:p w14:paraId="70EB03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 подвески крупнокалиб. бомб</w:t>
            </w:r>
          </w:p>
        </w:tc>
      </w:tr>
      <w:tr w:rsidR="007D5DF8" w:rsidRPr="00DB5D0D" w14:paraId="0DAB24BB" w14:textId="77777777" w:rsidTr="00E543D0">
        <w:tc>
          <w:tcPr>
            <w:tcW w:w="1916" w:type="dxa"/>
          </w:tcPr>
          <w:p w14:paraId="106519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Бисноват</w:t>
            </w:r>
          </w:p>
        </w:tc>
        <w:tc>
          <w:tcPr>
            <w:tcW w:w="744" w:type="dxa"/>
          </w:tcPr>
          <w:p w14:paraId="118F30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w:t>
            </w:r>
          </w:p>
        </w:tc>
        <w:tc>
          <w:tcPr>
            <w:tcW w:w="1660" w:type="dxa"/>
          </w:tcPr>
          <w:p w14:paraId="3D4434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СК-М105</w:t>
            </w:r>
          </w:p>
        </w:tc>
        <w:tc>
          <w:tcPr>
            <w:tcW w:w="1015" w:type="dxa"/>
          </w:tcPr>
          <w:p w14:paraId="7C8EC9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4245" w:type="dxa"/>
          </w:tcPr>
          <w:p w14:paraId="0CC571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 двух крупнокалиб. пулеметов М.Е.Березина</w:t>
            </w:r>
          </w:p>
        </w:tc>
      </w:tr>
      <w:tr w:rsidR="007D5DF8" w:rsidRPr="00DB5D0D" w14:paraId="588D5475" w14:textId="77777777" w:rsidTr="00E543D0">
        <w:tc>
          <w:tcPr>
            <w:tcW w:w="1916" w:type="dxa"/>
            <w:tcBorders>
              <w:bottom w:val="single" w:sz="12" w:space="0" w:color="auto"/>
            </w:tcBorders>
          </w:tcPr>
          <w:p w14:paraId="79ACE5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(1269)</w:t>
            </w:r>
          </w:p>
        </w:tc>
        <w:tc>
          <w:tcPr>
            <w:tcW w:w="744" w:type="dxa"/>
            <w:tcBorders>
              <w:bottom w:val="single" w:sz="12" w:space="0" w:color="auto"/>
            </w:tcBorders>
          </w:tcPr>
          <w:p w14:paraId="78E5FD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60" w:type="dxa"/>
            <w:tcBorders>
              <w:bottom w:val="single" w:sz="12" w:space="0" w:color="auto"/>
            </w:tcBorders>
          </w:tcPr>
          <w:p w14:paraId="2A3D4C8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15" w:type="dxa"/>
            <w:tcBorders>
              <w:bottom w:val="single" w:sz="12" w:space="0" w:color="auto"/>
            </w:tcBorders>
          </w:tcPr>
          <w:p w14:paraId="0CAD17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245" w:type="dxa"/>
            <w:tcBorders>
              <w:bottom w:val="single" w:sz="12" w:space="0" w:color="auto"/>
            </w:tcBorders>
          </w:tcPr>
          <w:p w14:paraId="6762E8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40EE00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 работ, прекращенных согласно постановлению КО от 4 марта 1940 N 127сс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tblGrid>
      <w:tr w:rsidR="007D5DF8" w:rsidRPr="00DB5D0D" w14:paraId="0D3EB196" w14:textId="77777777" w:rsidTr="00E543D0">
        <w:tc>
          <w:tcPr>
            <w:tcW w:w="2299" w:type="dxa"/>
            <w:tcBorders>
              <w:top w:val="single" w:sz="12" w:space="0" w:color="auto"/>
            </w:tcBorders>
          </w:tcPr>
          <w:p w14:paraId="059002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w:t>
            </w:r>
          </w:p>
        </w:tc>
        <w:tc>
          <w:tcPr>
            <w:tcW w:w="2299" w:type="dxa"/>
            <w:tcBorders>
              <w:top w:val="single" w:sz="12" w:space="0" w:color="auto"/>
            </w:tcBorders>
          </w:tcPr>
          <w:p w14:paraId="00C6E8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2299" w:type="dxa"/>
            <w:tcBorders>
              <w:top w:val="single" w:sz="12" w:space="0" w:color="auto"/>
            </w:tcBorders>
          </w:tcPr>
          <w:p w14:paraId="69C031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w:t>
            </w:r>
          </w:p>
        </w:tc>
      </w:tr>
      <w:tr w:rsidR="007D5DF8" w:rsidRPr="00DB5D0D" w14:paraId="39224CA3" w14:textId="77777777" w:rsidTr="00E543D0">
        <w:tc>
          <w:tcPr>
            <w:tcW w:w="2299" w:type="dxa"/>
          </w:tcPr>
          <w:p w14:paraId="392F90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Поликарпов</w:t>
            </w:r>
          </w:p>
        </w:tc>
        <w:tc>
          <w:tcPr>
            <w:tcW w:w="2299" w:type="dxa"/>
          </w:tcPr>
          <w:p w14:paraId="70C648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299" w:type="dxa"/>
          </w:tcPr>
          <w:p w14:paraId="01DDE8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с М-88ТК (4-й)</w:t>
            </w:r>
          </w:p>
        </w:tc>
      </w:tr>
      <w:tr w:rsidR="007D5DF8" w:rsidRPr="00DB5D0D" w14:paraId="4ACBA51D" w14:textId="77777777" w:rsidTr="00E543D0">
        <w:tc>
          <w:tcPr>
            <w:tcW w:w="2299" w:type="dxa"/>
          </w:tcPr>
          <w:p w14:paraId="73E2EE1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63D405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57ED6F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 с М-88ТК (2-й)</w:t>
            </w:r>
          </w:p>
        </w:tc>
      </w:tr>
      <w:tr w:rsidR="007D5DF8" w:rsidRPr="00DB5D0D" w14:paraId="5880E62B" w14:textId="77777777" w:rsidTr="00E543D0">
        <w:tc>
          <w:tcPr>
            <w:tcW w:w="2299" w:type="dxa"/>
          </w:tcPr>
          <w:p w14:paraId="018A28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Бакшаев Г.И.</w:t>
            </w:r>
          </w:p>
        </w:tc>
        <w:tc>
          <w:tcPr>
            <w:tcW w:w="2299" w:type="dxa"/>
          </w:tcPr>
          <w:p w14:paraId="2C4522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2299" w:type="dxa"/>
          </w:tcPr>
          <w:p w14:paraId="734927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с раздв. крылом</w:t>
            </w:r>
          </w:p>
        </w:tc>
      </w:tr>
      <w:tr w:rsidR="007D5DF8" w:rsidRPr="00DB5D0D" w14:paraId="6C904823" w14:textId="77777777" w:rsidTr="00E543D0">
        <w:tc>
          <w:tcPr>
            <w:tcW w:w="2299" w:type="dxa"/>
          </w:tcPr>
          <w:p w14:paraId="640AF0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Беляев В.Н.</w:t>
            </w:r>
          </w:p>
        </w:tc>
        <w:tc>
          <w:tcPr>
            <w:tcW w:w="2299" w:type="dxa"/>
          </w:tcPr>
          <w:p w14:paraId="12A96E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2299" w:type="dxa"/>
          </w:tcPr>
          <w:p w14:paraId="090053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ДБ-ЛК с М-88 (2-й)</w:t>
            </w:r>
          </w:p>
        </w:tc>
      </w:tr>
      <w:tr w:rsidR="007D5DF8" w:rsidRPr="00DB5D0D" w14:paraId="03B6B6A1" w14:textId="77777777" w:rsidTr="00E543D0">
        <w:tc>
          <w:tcPr>
            <w:tcW w:w="2299" w:type="dxa"/>
          </w:tcPr>
          <w:p w14:paraId="762C63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1FF0DD1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765DB3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ДБ-ЛК с М-35 (3-й)</w:t>
            </w:r>
          </w:p>
        </w:tc>
      </w:tr>
      <w:tr w:rsidR="007D5DF8" w:rsidRPr="00DB5D0D" w14:paraId="1E811449" w14:textId="77777777" w:rsidTr="00E543D0">
        <w:tc>
          <w:tcPr>
            <w:tcW w:w="2299" w:type="dxa"/>
          </w:tcPr>
          <w:p w14:paraId="1388E8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Сильванский А.В.</w:t>
            </w:r>
          </w:p>
        </w:tc>
        <w:tc>
          <w:tcPr>
            <w:tcW w:w="2299" w:type="dxa"/>
          </w:tcPr>
          <w:p w14:paraId="0652F2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2299" w:type="dxa"/>
          </w:tcPr>
          <w:p w14:paraId="372B98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И-220 с М-88 (2-й)</w:t>
            </w:r>
          </w:p>
        </w:tc>
      </w:tr>
      <w:tr w:rsidR="007D5DF8" w:rsidRPr="00DB5D0D" w14:paraId="65BF7D33" w14:textId="77777777" w:rsidTr="00E543D0">
        <w:tc>
          <w:tcPr>
            <w:tcW w:w="2299" w:type="dxa"/>
          </w:tcPr>
          <w:p w14:paraId="58F3E8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Москалев А.С.</w:t>
            </w:r>
          </w:p>
        </w:tc>
        <w:tc>
          <w:tcPr>
            <w:tcW w:w="2299" w:type="dxa"/>
          </w:tcPr>
          <w:p w14:paraId="202EF2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ОКБ-31</w:t>
            </w:r>
          </w:p>
        </w:tc>
        <w:tc>
          <w:tcPr>
            <w:tcW w:w="2299" w:type="dxa"/>
          </w:tcPr>
          <w:p w14:paraId="441146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САМ-13 с 2МВ-6</w:t>
            </w:r>
          </w:p>
        </w:tc>
      </w:tr>
      <w:tr w:rsidR="007D5DF8" w:rsidRPr="00DB5D0D" w14:paraId="198D0D74" w14:textId="77777777" w:rsidTr="00E543D0">
        <w:tc>
          <w:tcPr>
            <w:tcW w:w="2299" w:type="dxa"/>
          </w:tcPr>
          <w:p w14:paraId="7E3309D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070D17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1C44E1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САМ-12 с МВ-12</w:t>
            </w:r>
          </w:p>
        </w:tc>
      </w:tr>
      <w:tr w:rsidR="007D5DF8" w:rsidRPr="00DB5D0D" w14:paraId="177A688F" w14:textId="77777777" w:rsidTr="00E543D0">
        <w:tc>
          <w:tcPr>
            <w:tcW w:w="2299" w:type="dxa"/>
          </w:tcPr>
          <w:p w14:paraId="5349D5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Бисноват М.Р.</w:t>
            </w:r>
          </w:p>
        </w:tc>
        <w:tc>
          <w:tcPr>
            <w:tcW w:w="2299" w:type="dxa"/>
          </w:tcPr>
          <w:p w14:paraId="52A208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w:t>
            </w:r>
          </w:p>
        </w:tc>
        <w:tc>
          <w:tcPr>
            <w:tcW w:w="2299" w:type="dxa"/>
          </w:tcPr>
          <w:p w14:paraId="2D28F6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 с М-105</w:t>
            </w:r>
          </w:p>
        </w:tc>
      </w:tr>
      <w:tr w:rsidR="007D5DF8" w:rsidRPr="00DB5D0D" w14:paraId="4EC114E8" w14:textId="77777777" w:rsidTr="00E543D0">
        <w:tc>
          <w:tcPr>
            <w:tcW w:w="2299" w:type="dxa"/>
          </w:tcPr>
          <w:p w14:paraId="4E0A01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Каштанов Н.Н.</w:t>
            </w:r>
          </w:p>
        </w:tc>
        <w:tc>
          <w:tcPr>
            <w:tcW w:w="2299" w:type="dxa"/>
          </w:tcPr>
          <w:p w14:paraId="70F5E2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2299" w:type="dxa"/>
          </w:tcPr>
          <w:p w14:paraId="23F024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 с жесткой и мягкой</w:t>
            </w:r>
          </w:p>
        </w:tc>
      </w:tr>
      <w:tr w:rsidR="007D5DF8" w:rsidRPr="00DB5D0D" w14:paraId="17E002A7" w14:textId="77777777" w:rsidTr="00E543D0">
        <w:tc>
          <w:tcPr>
            <w:tcW w:w="2299" w:type="dxa"/>
          </w:tcPr>
          <w:p w14:paraId="604BDD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Щербаков А.Я.</w:t>
            </w:r>
          </w:p>
        </w:tc>
        <w:tc>
          <w:tcPr>
            <w:tcW w:w="2299" w:type="dxa"/>
          </w:tcPr>
          <w:p w14:paraId="598AB8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39CD66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гермокабиной</w:t>
            </w:r>
          </w:p>
        </w:tc>
      </w:tr>
      <w:tr w:rsidR="007D5DF8" w:rsidRPr="00DB5D0D" w14:paraId="7AF3CA54" w14:textId="77777777" w:rsidTr="00E543D0">
        <w:tc>
          <w:tcPr>
            <w:tcW w:w="2299" w:type="dxa"/>
          </w:tcPr>
          <w:p w14:paraId="07D26E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Незваль И.Ф.</w:t>
            </w:r>
          </w:p>
        </w:tc>
        <w:tc>
          <w:tcPr>
            <w:tcW w:w="2299" w:type="dxa"/>
          </w:tcPr>
          <w:p w14:paraId="2EF82A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2299" w:type="dxa"/>
          </w:tcPr>
          <w:p w14:paraId="017184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 с новым вооружением</w:t>
            </w:r>
          </w:p>
        </w:tc>
      </w:tr>
      <w:tr w:rsidR="007D5DF8" w:rsidRPr="00DB5D0D" w14:paraId="0AB016DC" w14:textId="77777777" w:rsidTr="00E543D0">
        <w:tc>
          <w:tcPr>
            <w:tcW w:w="2299" w:type="dxa"/>
            <w:tcBorders>
              <w:bottom w:val="single" w:sz="12" w:space="0" w:color="auto"/>
            </w:tcBorders>
          </w:tcPr>
          <w:p w14:paraId="75A5F7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(1269)</w:t>
            </w:r>
          </w:p>
        </w:tc>
        <w:tc>
          <w:tcPr>
            <w:tcW w:w="2299" w:type="dxa"/>
            <w:tcBorders>
              <w:bottom w:val="single" w:sz="12" w:space="0" w:color="auto"/>
            </w:tcBorders>
          </w:tcPr>
          <w:p w14:paraId="7B12AA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Borders>
              <w:bottom w:val="single" w:sz="12" w:space="0" w:color="auto"/>
            </w:tcBorders>
          </w:tcPr>
          <w:p w14:paraId="161A515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2069A0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 опытных объектов самолетостроения, переходящих с 1939 г., подлежащих финансированию за счет дополнительных ассигнований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160"/>
        <w:gridCol w:w="1417"/>
        <w:gridCol w:w="1035"/>
        <w:gridCol w:w="5344"/>
      </w:tblGrid>
      <w:tr w:rsidR="007D5DF8" w:rsidRPr="00DB5D0D" w14:paraId="3949A123" w14:textId="77777777" w:rsidTr="00E543D0">
        <w:tc>
          <w:tcPr>
            <w:tcW w:w="1642" w:type="dxa"/>
            <w:tcBorders>
              <w:top w:val="single" w:sz="12" w:space="0" w:color="auto"/>
            </w:tcBorders>
          </w:tcPr>
          <w:p w14:paraId="0F442E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w:t>
            </w:r>
          </w:p>
        </w:tc>
        <w:tc>
          <w:tcPr>
            <w:tcW w:w="1160" w:type="dxa"/>
            <w:tcBorders>
              <w:top w:val="single" w:sz="12" w:space="0" w:color="auto"/>
            </w:tcBorders>
          </w:tcPr>
          <w:p w14:paraId="45C676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1417" w:type="dxa"/>
            <w:tcBorders>
              <w:top w:val="single" w:sz="12" w:space="0" w:color="auto"/>
            </w:tcBorders>
          </w:tcPr>
          <w:p w14:paraId="69C692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w:t>
            </w:r>
          </w:p>
        </w:tc>
        <w:tc>
          <w:tcPr>
            <w:tcW w:w="1035" w:type="dxa"/>
            <w:tcBorders>
              <w:top w:val="single" w:sz="12" w:space="0" w:color="auto"/>
            </w:tcBorders>
          </w:tcPr>
          <w:p w14:paraId="01FD36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w:t>
            </w:r>
          </w:p>
        </w:tc>
        <w:tc>
          <w:tcPr>
            <w:tcW w:w="5344" w:type="dxa"/>
            <w:tcBorders>
              <w:top w:val="single" w:sz="12" w:space="0" w:color="auto"/>
            </w:tcBorders>
          </w:tcPr>
          <w:p w14:paraId="6A2C1C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tc>
      </w:tr>
      <w:tr w:rsidR="007D5DF8" w:rsidRPr="00DB5D0D" w14:paraId="7ED162D9" w14:textId="77777777" w:rsidTr="00E543D0">
        <w:tc>
          <w:tcPr>
            <w:tcW w:w="1642" w:type="dxa"/>
          </w:tcPr>
          <w:p w14:paraId="58B79B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w:t>
            </w:r>
          </w:p>
        </w:tc>
        <w:tc>
          <w:tcPr>
            <w:tcW w:w="1160" w:type="dxa"/>
          </w:tcPr>
          <w:p w14:paraId="16DFCF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1417" w:type="dxa"/>
          </w:tcPr>
          <w:p w14:paraId="232924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М-88ТК</w:t>
            </w:r>
          </w:p>
        </w:tc>
        <w:tc>
          <w:tcPr>
            <w:tcW w:w="1035" w:type="dxa"/>
          </w:tcPr>
          <w:p w14:paraId="7C6218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5344" w:type="dxa"/>
          </w:tcPr>
          <w:p w14:paraId="5A475D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ТК на М-63 и М-88</w:t>
            </w:r>
          </w:p>
        </w:tc>
      </w:tr>
      <w:tr w:rsidR="007D5DF8" w:rsidRPr="00DB5D0D" w14:paraId="054E3B0A" w14:textId="77777777" w:rsidTr="00E543D0">
        <w:tc>
          <w:tcPr>
            <w:tcW w:w="1642" w:type="dxa"/>
          </w:tcPr>
          <w:p w14:paraId="41CA0F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0" w:type="dxa"/>
          </w:tcPr>
          <w:p w14:paraId="7FC828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М-63ТК</w:t>
            </w:r>
          </w:p>
        </w:tc>
        <w:tc>
          <w:tcPr>
            <w:tcW w:w="1417" w:type="dxa"/>
          </w:tcPr>
          <w:p w14:paraId="3CCA841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35" w:type="dxa"/>
          </w:tcPr>
          <w:p w14:paraId="403A79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344" w:type="dxa"/>
          </w:tcPr>
          <w:p w14:paraId="1E462D8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8905E01" w14:textId="77777777" w:rsidTr="00E543D0">
        <w:tc>
          <w:tcPr>
            <w:tcW w:w="1642" w:type="dxa"/>
          </w:tcPr>
          <w:p w14:paraId="253BA6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Архангельский</w:t>
            </w:r>
          </w:p>
        </w:tc>
        <w:tc>
          <w:tcPr>
            <w:tcW w:w="1160" w:type="dxa"/>
          </w:tcPr>
          <w:p w14:paraId="7C7635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17" w:type="dxa"/>
          </w:tcPr>
          <w:p w14:paraId="5E00BC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ОБ-2М-205ТК</w:t>
            </w:r>
          </w:p>
        </w:tc>
        <w:tc>
          <w:tcPr>
            <w:tcW w:w="1035" w:type="dxa"/>
          </w:tcPr>
          <w:p w14:paraId="5D4062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5344" w:type="dxa"/>
          </w:tcPr>
          <w:p w14:paraId="0A15FC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М-105 с ТК на серийный СБ</w:t>
            </w:r>
          </w:p>
        </w:tc>
      </w:tr>
      <w:tr w:rsidR="007D5DF8" w:rsidRPr="00DB5D0D" w14:paraId="44FD0159" w14:textId="77777777" w:rsidTr="00E543D0">
        <w:tc>
          <w:tcPr>
            <w:tcW w:w="1642" w:type="dxa"/>
          </w:tcPr>
          <w:p w14:paraId="257306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ОТБ НКВД</w:t>
            </w:r>
          </w:p>
        </w:tc>
        <w:tc>
          <w:tcPr>
            <w:tcW w:w="1160" w:type="dxa"/>
          </w:tcPr>
          <w:p w14:paraId="48D900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417" w:type="dxa"/>
          </w:tcPr>
          <w:p w14:paraId="47FE9F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035" w:type="dxa"/>
          </w:tcPr>
          <w:p w14:paraId="0E3A55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5344" w:type="dxa"/>
          </w:tcPr>
          <w:p w14:paraId="6EF4EB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эталона в варианте ПБ</w:t>
            </w:r>
          </w:p>
        </w:tc>
      </w:tr>
      <w:tr w:rsidR="007D5DF8" w:rsidRPr="00DB5D0D" w14:paraId="547B5FD6" w14:textId="77777777" w:rsidTr="00E543D0">
        <w:tc>
          <w:tcPr>
            <w:tcW w:w="1642" w:type="dxa"/>
          </w:tcPr>
          <w:p w14:paraId="392982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Болховитинов</w:t>
            </w:r>
          </w:p>
        </w:tc>
        <w:tc>
          <w:tcPr>
            <w:tcW w:w="1160" w:type="dxa"/>
          </w:tcPr>
          <w:p w14:paraId="088734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1417" w:type="dxa"/>
          </w:tcPr>
          <w:p w14:paraId="45FFF7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ББ-С</w:t>
            </w:r>
          </w:p>
        </w:tc>
        <w:tc>
          <w:tcPr>
            <w:tcW w:w="1035" w:type="dxa"/>
          </w:tcPr>
          <w:p w14:paraId="07CF81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5344" w:type="dxa"/>
          </w:tcPr>
          <w:p w14:paraId="3E977B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Отработка эксп. схемы использования</w:t>
            </w:r>
          </w:p>
        </w:tc>
      </w:tr>
      <w:tr w:rsidR="007D5DF8" w:rsidRPr="00DB5D0D" w14:paraId="14D6B030" w14:textId="77777777" w:rsidTr="00E543D0">
        <w:tc>
          <w:tcPr>
            <w:tcW w:w="1642" w:type="dxa"/>
          </w:tcPr>
          <w:p w14:paraId="1C187B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0" w:type="dxa"/>
          </w:tcPr>
          <w:p w14:paraId="7256C4C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7" w:type="dxa"/>
          </w:tcPr>
          <w:p w14:paraId="05C8016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35" w:type="dxa"/>
          </w:tcPr>
          <w:p w14:paraId="64EA90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344" w:type="dxa"/>
          </w:tcPr>
          <w:p w14:paraId="15BD28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реактивного эффекта патрубков с постройкой</w:t>
            </w:r>
          </w:p>
        </w:tc>
      </w:tr>
      <w:tr w:rsidR="007D5DF8" w:rsidRPr="00DB5D0D" w14:paraId="44575E07" w14:textId="77777777" w:rsidTr="00E543D0">
        <w:tc>
          <w:tcPr>
            <w:tcW w:w="1642" w:type="dxa"/>
          </w:tcPr>
          <w:p w14:paraId="0B31D0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0" w:type="dxa"/>
          </w:tcPr>
          <w:p w14:paraId="11184E5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7" w:type="dxa"/>
          </w:tcPr>
          <w:p w14:paraId="6C81130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35" w:type="dxa"/>
          </w:tcPr>
          <w:p w14:paraId="2EC4B8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344" w:type="dxa"/>
          </w:tcPr>
          <w:p w14:paraId="4BDBA5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макета с работающими моторами для продувки</w:t>
            </w:r>
          </w:p>
        </w:tc>
      </w:tr>
      <w:tr w:rsidR="007D5DF8" w:rsidRPr="00DB5D0D" w14:paraId="5DE08660" w14:textId="77777777" w:rsidTr="00E543D0">
        <w:tc>
          <w:tcPr>
            <w:tcW w:w="1642" w:type="dxa"/>
          </w:tcPr>
          <w:p w14:paraId="66BF13D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0" w:type="dxa"/>
          </w:tcPr>
          <w:p w14:paraId="4B6A505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7" w:type="dxa"/>
          </w:tcPr>
          <w:p w14:paraId="4898FCE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35" w:type="dxa"/>
          </w:tcPr>
          <w:p w14:paraId="302A5D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344" w:type="dxa"/>
          </w:tcPr>
          <w:p w14:paraId="645CF9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трубах с последующей установкой</w:t>
            </w:r>
          </w:p>
        </w:tc>
      </w:tr>
      <w:tr w:rsidR="007D5DF8" w:rsidRPr="00DB5D0D" w14:paraId="7336D113" w14:textId="77777777" w:rsidTr="00E543D0">
        <w:tc>
          <w:tcPr>
            <w:tcW w:w="1642" w:type="dxa"/>
          </w:tcPr>
          <w:p w14:paraId="098FED4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0" w:type="dxa"/>
          </w:tcPr>
          <w:p w14:paraId="718DFBC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7" w:type="dxa"/>
          </w:tcPr>
          <w:p w14:paraId="6F0001D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35" w:type="dxa"/>
          </w:tcPr>
          <w:p w14:paraId="6E5370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344" w:type="dxa"/>
          </w:tcPr>
          <w:p w14:paraId="120209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летный экз.</w:t>
            </w:r>
          </w:p>
        </w:tc>
      </w:tr>
      <w:tr w:rsidR="007D5DF8" w:rsidRPr="00DB5D0D" w14:paraId="6F763333" w14:textId="77777777" w:rsidTr="00E543D0">
        <w:tc>
          <w:tcPr>
            <w:tcW w:w="1642" w:type="dxa"/>
          </w:tcPr>
          <w:p w14:paraId="18FFC3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Привалов</w:t>
            </w:r>
          </w:p>
        </w:tc>
        <w:tc>
          <w:tcPr>
            <w:tcW w:w="1160" w:type="dxa"/>
          </w:tcPr>
          <w:p w14:paraId="26F570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1417" w:type="dxa"/>
          </w:tcPr>
          <w:p w14:paraId="30E678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Десантно-транс.</w:t>
            </w:r>
          </w:p>
        </w:tc>
        <w:tc>
          <w:tcPr>
            <w:tcW w:w="1035" w:type="dxa"/>
          </w:tcPr>
          <w:p w14:paraId="14B76E6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344" w:type="dxa"/>
          </w:tcPr>
          <w:p w14:paraId="5C1367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Подвески мотоцикла, пушки, велосипедов,</w:t>
            </w:r>
          </w:p>
        </w:tc>
      </w:tr>
      <w:tr w:rsidR="007D5DF8" w:rsidRPr="00DB5D0D" w14:paraId="0C2D2645" w14:textId="77777777" w:rsidTr="00E543D0">
        <w:tc>
          <w:tcPr>
            <w:tcW w:w="1642" w:type="dxa"/>
          </w:tcPr>
          <w:p w14:paraId="249710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0" w:type="dxa"/>
          </w:tcPr>
          <w:p w14:paraId="527344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7" w:type="dxa"/>
          </w:tcPr>
          <w:p w14:paraId="2B2806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приспособления</w:t>
            </w:r>
          </w:p>
        </w:tc>
        <w:tc>
          <w:tcPr>
            <w:tcW w:w="1035" w:type="dxa"/>
          </w:tcPr>
          <w:p w14:paraId="398D29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344" w:type="dxa"/>
          </w:tcPr>
          <w:p w14:paraId="778389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автоотцеп и др.</w:t>
            </w:r>
          </w:p>
        </w:tc>
      </w:tr>
      <w:tr w:rsidR="007D5DF8" w:rsidRPr="00DB5D0D" w14:paraId="0EAEA509" w14:textId="77777777" w:rsidTr="00E543D0">
        <w:tc>
          <w:tcPr>
            <w:tcW w:w="1642" w:type="dxa"/>
          </w:tcPr>
          <w:p w14:paraId="3B21CC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ОТБ</w:t>
            </w:r>
          </w:p>
        </w:tc>
        <w:tc>
          <w:tcPr>
            <w:tcW w:w="1160" w:type="dxa"/>
          </w:tcPr>
          <w:p w14:paraId="1AA5B3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417" w:type="dxa"/>
          </w:tcPr>
          <w:p w14:paraId="61DF5A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Кессонное крыло</w:t>
            </w:r>
          </w:p>
        </w:tc>
        <w:tc>
          <w:tcPr>
            <w:tcW w:w="1035" w:type="dxa"/>
          </w:tcPr>
          <w:p w14:paraId="50B0AD1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344" w:type="dxa"/>
          </w:tcPr>
          <w:p w14:paraId="24EC0CA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59DA868" w14:textId="77777777" w:rsidTr="00E543D0">
        <w:tc>
          <w:tcPr>
            <w:tcW w:w="1642" w:type="dxa"/>
            <w:tcBorders>
              <w:bottom w:val="single" w:sz="12" w:space="0" w:color="auto"/>
            </w:tcBorders>
          </w:tcPr>
          <w:p w14:paraId="5CFE04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(1269)</w:t>
            </w:r>
          </w:p>
        </w:tc>
        <w:tc>
          <w:tcPr>
            <w:tcW w:w="1160" w:type="dxa"/>
            <w:tcBorders>
              <w:bottom w:val="single" w:sz="12" w:space="0" w:color="auto"/>
            </w:tcBorders>
          </w:tcPr>
          <w:p w14:paraId="17FF0E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2ED9050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35" w:type="dxa"/>
            <w:tcBorders>
              <w:bottom w:val="single" w:sz="12" w:space="0" w:color="auto"/>
            </w:tcBorders>
          </w:tcPr>
          <w:p w14:paraId="56A19A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344" w:type="dxa"/>
            <w:tcBorders>
              <w:bottom w:val="single" w:sz="12" w:space="0" w:color="auto"/>
            </w:tcBorders>
          </w:tcPr>
          <w:p w14:paraId="10B407D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6C528DC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616BA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 вышел приказ №117 по УПА ГУСМП: на летнюю навигацию 1940 г. самолет ДВ СССР-Н233 МАГОН назначается на ледовую разведку, на м. Шмидта. Командир - пилот 2-го класса Николаев Е.И., штурман Петров Л. В., 1-й борт</w:t>
      </w:r>
      <w:r w:rsidRPr="00DB5D0D">
        <w:rPr>
          <w:rFonts w:ascii="Times New Roman" w:hAnsi="Times New Roman"/>
          <w:color w:val="000000" w:themeColor="text1"/>
          <w:sz w:val="16"/>
          <w:szCs w:val="16"/>
        </w:rPr>
        <w:softHyphen/>
        <w:t>механик Островенко Д.Ф., 2-й бортмеханик Барабанов И.А., бортрадист Николаев Г.М.</w:t>
      </w:r>
    </w:p>
    <w:p w14:paraId="20F04B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летнюю навигацию 1941 г. самолет нахо</w:t>
      </w:r>
      <w:r w:rsidRPr="00DB5D0D">
        <w:rPr>
          <w:rFonts w:ascii="Times New Roman" w:hAnsi="Times New Roman"/>
          <w:color w:val="000000" w:themeColor="text1"/>
          <w:sz w:val="16"/>
          <w:szCs w:val="16"/>
        </w:rPr>
        <w:softHyphen/>
        <w:t>дился на линейной работе Архангельск - Дудинка. Экипаж: командир пилот Власов, 1-й бортмеханик - Каратаев, 2-й бортмеханик Исаев, бортрадист Крутицкий.</w:t>
      </w:r>
    </w:p>
    <w:p w14:paraId="3D8D45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войны самолет оставался в соста ве УПА.</w:t>
      </w:r>
    </w:p>
    <w:p w14:paraId="6FAEC9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10-е января 1942 г. само</w:t>
      </w:r>
      <w:r w:rsidRPr="00DB5D0D">
        <w:rPr>
          <w:rFonts w:ascii="Times New Roman" w:hAnsi="Times New Roman"/>
          <w:color w:val="000000" w:themeColor="text1"/>
          <w:sz w:val="16"/>
          <w:szCs w:val="16"/>
        </w:rPr>
        <w:softHyphen/>
        <w:t>лет Н233 Московской группы ОН УПА ГУСМП находился в среднем ремонте. Впрочем, 10.02.42 г. он значился уже в заводском ре</w:t>
      </w:r>
      <w:r w:rsidRPr="00DB5D0D">
        <w:rPr>
          <w:rFonts w:ascii="Times New Roman" w:hAnsi="Times New Roman"/>
          <w:color w:val="000000" w:themeColor="text1"/>
          <w:sz w:val="16"/>
          <w:szCs w:val="16"/>
        </w:rPr>
        <w:softHyphen/>
        <w:t>монте.</w:t>
      </w:r>
    </w:p>
    <w:p w14:paraId="1F7573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 1943 г. машина должна была выйти из ремонта 20.04.43 г., затем приступить к ледовой разведке в летнюю навигацию с 20.05.43 г. Подробностей действительной экс</w:t>
      </w:r>
      <w:r w:rsidRPr="00DB5D0D">
        <w:rPr>
          <w:rFonts w:ascii="Times New Roman" w:hAnsi="Times New Roman"/>
          <w:color w:val="000000" w:themeColor="text1"/>
          <w:sz w:val="16"/>
          <w:szCs w:val="16"/>
        </w:rPr>
        <w:softHyphen/>
        <w:t>плуатации пока не обнаружено. В конце 1943 г. на СССР-Н233 установили двигатели М-17Ф.</w:t>
      </w:r>
    </w:p>
    <w:p w14:paraId="77ECC3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приказу ГУСМП № Р-240 от 30.10.43 г., Дорнье «Валь» СССР-Н233 переда</w:t>
      </w:r>
      <w:r w:rsidRPr="00DB5D0D">
        <w:rPr>
          <w:rFonts w:ascii="Times New Roman" w:hAnsi="Times New Roman"/>
          <w:color w:val="000000" w:themeColor="text1"/>
          <w:sz w:val="16"/>
          <w:szCs w:val="16"/>
        </w:rPr>
        <w:softHyphen/>
        <w:t>ли Якутскому Аэрогеодезическому предприя</w:t>
      </w:r>
      <w:r w:rsidRPr="00DB5D0D">
        <w:rPr>
          <w:rFonts w:ascii="Times New Roman" w:hAnsi="Times New Roman"/>
          <w:color w:val="000000" w:themeColor="text1"/>
          <w:sz w:val="16"/>
          <w:szCs w:val="16"/>
        </w:rPr>
        <w:softHyphen/>
        <w:t>тию. Основание: телеграфный запрос нач. Якутского аэрогеодезического предприятия Чернышева (11977).</w:t>
      </w:r>
    </w:p>
    <w:p w14:paraId="510A858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BB05C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вышел приказ НКАП N 353с в дополнение и изменение приказа НКАП N 188 от 4 мая 1940 и предусмотрел "Организовать в системе ЦАГИ на базе НИО завода 207 научно-исследовательскую лабораторию воздухоплавания с самостоятельным балансом". Основная задача - привязное воздухоплавание в соответствии с ТТТ КА. Дирижабли В-1, В-12, В-8 и ДП-8 (ДП-16) приказывалось разобрать, а имущество - продать (409,53).</w:t>
      </w:r>
    </w:p>
    <w:p w14:paraId="57C7AB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ясно, может быть это опять пакет постановлений по опытным машинам как 29 июля 1939. Очень похоже.</w:t>
      </w:r>
    </w:p>
    <w:p w14:paraId="220FD1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дополнение и изменение приказа НКАП за № 188с от 4 мая 1940 года, ПРИКАЗЫВАЮ:</w:t>
      </w:r>
    </w:p>
    <w:p w14:paraId="53DB39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w:t>
      </w:r>
    </w:p>
    <w:p w14:paraId="1C3D89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приказа № 188с изложить в следующей редакции: "Организовать в системе ЦАГИ на базе НИО завода № 207 научно-исследовательскую лабораторию воздухоплавания с само</w:t>
      </w:r>
      <w:r w:rsidRPr="00DB5D0D">
        <w:rPr>
          <w:rFonts w:ascii="Times New Roman" w:hAnsi="Times New Roman"/>
          <w:color w:val="000000" w:themeColor="text1"/>
          <w:sz w:val="16"/>
          <w:szCs w:val="16"/>
        </w:rPr>
        <w:softHyphen/>
        <w:t>стоятельным балансом".</w:t>
      </w:r>
    </w:p>
    <w:p w14:paraId="7FBDF7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w:t>
      </w:r>
    </w:p>
    <w:p w14:paraId="35C077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Основной задачей воздухоплавательной лаборатории считать научно-исследовательскую работу в области привязного воздухоплавания, отвечающего тактике-техническим требованиям Красной Армии.</w:t>
      </w:r>
    </w:p>
    <w:p w14:paraId="33ADAB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3.</w:t>
      </w:r>
    </w:p>
    <w:p w14:paraId="28A68C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 приказа № 188с изложить в следующей редакции: "Перевести в НИЛВ с завода № 207 аэростатное ОКБ и группу по дирижаблестроению из числа работников завода № 207 не свыше пяти человек".</w:t>
      </w:r>
    </w:p>
    <w:p w14:paraId="1871C7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Задачей дирижабельной группы считать: проведение испытаний прочности дирижабельной материальной части, полу</w:t>
      </w:r>
      <w:r w:rsidRPr="00DB5D0D">
        <w:rPr>
          <w:rFonts w:ascii="Times New Roman" w:hAnsi="Times New Roman"/>
          <w:color w:val="000000" w:themeColor="text1"/>
          <w:sz w:val="16"/>
          <w:szCs w:val="16"/>
        </w:rPr>
        <w:softHyphen/>
        <w:t>чаемой с завода N9 207 и обобщение опыта дирижаблестроения в СССР и заграницей.</w:t>
      </w:r>
    </w:p>
    <w:p w14:paraId="5FF258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 Директору завода № 207:</w:t>
      </w:r>
    </w:p>
    <w:p w14:paraId="6F4B08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Разобрать дирижабли В-1, В-12, В-8 и ДП-8 (ДП-16)</w:t>
      </w:r>
    </w:p>
    <w:p w14:paraId="2C9A35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Для установления стоимости материалов, полученных от разборки дирижаблей, назначаю комиссию в составе:</w:t>
      </w:r>
    </w:p>
    <w:p w14:paraId="32FB25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председателя - представитель Первого Главного Управления тов. Шибаев, членов - представителя Главснаба тов. Локшина В.П. и НИО завода № 207 тов. Поляничко.</w:t>
      </w:r>
    </w:p>
    <w:p w14:paraId="67D7ED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Акт оценки с предложениями по реализации имущества представить тов. Яковлеву А.С. к 15августа с.г.</w:t>
      </w:r>
    </w:p>
    <w:p w14:paraId="61AF56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Затраты по разборке дирижаблей отнести за счет выручки Главснаба от реализации имущества.</w:t>
      </w:r>
    </w:p>
    <w:p w14:paraId="1E855A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Передать НИЛВ эллинг № 3 со всем- оборудованием с баланса на баланс.</w:t>
      </w:r>
    </w:p>
    <w:p w14:paraId="7CFF5D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Обеспечить охраной эллинг № 3 с отнесением расхо</w:t>
      </w:r>
      <w:r w:rsidRPr="00DB5D0D">
        <w:rPr>
          <w:rFonts w:ascii="Times New Roman" w:hAnsi="Times New Roman"/>
          <w:color w:val="000000" w:themeColor="text1"/>
          <w:sz w:val="16"/>
          <w:szCs w:val="16"/>
        </w:rPr>
        <w:softHyphen/>
        <w:t>дов по охране на счет НИЛВ ЦАГИ.</w:t>
      </w:r>
    </w:p>
    <w:p w14:paraId="6BA7FC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w:t>
      </w:r>
    </w:p>
    <w:p w14:paraId="26931A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Отменить § § 6, 7, 8, 12 и 13 приказа № 188с</w:t>
      </w:r>
    </w:p>
    <w:p w14:paraId="745E51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6.</w:t>
      </w:r>
    </w:p>
    <w:p w14:paraId="61569E9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Передачу помещений, оборудования и имущества НИО завода № 207 с баланса на баланс производить в соответствии с постановлением СНК СССР от 15 февраля 1936 года по состоянию на 1 июля 1940 года.</w:t>
      </w:r>
    </w:p>
    <w:p w14:paraId="530E80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7.</w:t>
      </w:r>
    </w:p>
    <w:p w14:paraId="6E6404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Ответственность за передачу помещений, оборудования и имущества возложить: от завода N9 207 на директора завода тов. Горина, от ЦАГМ - на тов. Поляничко.</w:t>
      </w:r>
    </w:p>
    <w:p w14:paraId="0E0947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АВИАЦИОННОЙ ПРОМЫШЛЕННОСТИ (409,53).</w:t>
      </w:r>
    </w:p>
    <w:p w14:paraId="14F66AC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6C08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 в соответ</w:t>
      </w:r>
      <w:r w:rsidRPr="00DB5D0D">
        <w:rPr>
          <w:rFonts w:ascii="Times New Roman" w:hAnsi="Times New Roman"/>
          <w:color w:val="000000" w:themeColor="text1"/>
          <w:sz w:val="16"/>
          <w:szCs w:val="16"/>
        </w:rPr>
        <w:softHyphen/>
        <w:t>ствии с приказом УПА №117 от был утвержден экипаж самолета ДВ СССР-Н238: командир - пилот 1-го кл. С.И.Антюшев, 2-й пилот Г.И.Самохин, штурман Л.И.Рогожкин, бортмеханик Ф.Ф.Перов, борт</w:t>
      </w:r>
      <w:r w:rsidRPr="00DB5D0D">
        <w:rPr>
          <w:rFonts w:ascii="Times New Roman" w:hAnsi="Times New Roman"/>
          <w:color w:val="000000" w:themeColor="text1"/>
          <w:sz w:val="16"/>
          <w:szCs w:val="16"/>
        </w:rPr>
        <w:softHyphen/>
        <w:t>радист А.И.Челышев. В качестве задания ука</w:t>
      </w:r>
      <w:r w:rsidRPr="00DB5D0D">
        <w:rPr>
          <w:rFonts w:ascii="Times New Roman" w:hAnsi="Times New Roman"/>
          <w:color w:val="000000" w:themeColor="text1"/>
          <w:sz w:val="16"/>
          <w:szCs w:val="16"/>
        </w:rPr>
        <w:softHyphen/>
        <w:t>зывались изыскания на участке Игарка - Усть Кара.</w:t>
      </w:r>
    </w:p>
    <w:p w14:paraId="677F87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31.08.40 г. и 08.09.40 г. самолет Моско</w:t>
      </w:r>
      <w:r w:rsidRPr="00DB5D0D">
        <w:rPr>
          <w:rFonts w:ascii="Times New Roman" w:hAnsi="Times New Roman"/>
          <w:color w:val="000000" w:themeColor="text1"/>
          <w:sz w:val="16"/>
          <w:szCs w:val="16"/>
        </w:rPr>
        <w:softHyphen/>
        <w:t>вской авиагруппы СССР-Н238, пилотируемый Антюшевым, совершает вынужденные посад</w:t>
      </w:r>
      <w:r w:rsidRPr="00DB5D0D">
        <w:rPr>
          <w:rFonts w:ascii="Times New Roman" w:hAnsi="Times New Roman"/>
          <w:color w:val="000000" w:themeColor="text1"/>
          <w:sz w:val="16"/>
          <w:szCs w:val="16"/>
        </w:rPr>
        <w:softHyphen/>
        <w:t>ки, но остается цел. 11.09.40 г. у самолета Антюшева произошла авария мотора.</w:t>
      </w:r>
    </w:p>
    <w:p w14:paraId="228A23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летнюю навигацию 1941 г. Н238 - само</w:t>
      </w:r>
      <w:r w:rsidRPr="00DB5D0D">
        <w:rPr>
          <w:rFonts w:ascii="Times New Roman" w:hAnsi="Times New Roman"/>
          <w:color w:val="000000" w:themeColor="text1"/>
          <w:sz w:val="16"/>
          <w:szCs w:val="16"/>
        </w:rPr>
        <w:softHyphen/>
        <w:t>лет линейной работы, Колыма. Командир - пилот Сургучев, 1-й бортмеханик Перов, 2-й бортмеханик Лошкарев, бортрадист Королев. Затем бортрадистами последовательно на</w:t>
      </w:r>
      <w:r w:rsidRPr="00DB5D0D">
        <w:rPr>
          <w:rFonts w:ascii="Times New Roman" w:hAnsi="Times New Roman"/>
          <w:color w:val="000000" w:themeColor="text1"/>
          <w:sz w:val="16"/>
          <w:szCs w:val="16"/>
        </w:rPr>
        <w:softHyphen/>
        <w:t>значались С.А.Наместников и В.В.Кузьмичев, штурманом то назначали, то отменяли на</w:t>
      </w:r>
      <w:r w:rsidRPr="00DB5D0D">
        <w:rPr>
          <w:rFonts w:ascii="Times New Roman" w:hAnsi="Times New Roman"/>
          <w:color w:val="000000" w:themeColor="text1"/>
          <w:sz w:val="16"/>
          <w:szCs w:val="16"/>
        </w:rPr>
        <w:softHyphen/>
        <w:t>значение-Л.М.Рубинштейна.</w:t>
      </w:r>
    </w:p>
    <w:p w14:paraId="288110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10 февраля 1942 г. Дорнье «Валь» СССР-Н238 Московской авиа</w:t>
      </w:r>
      <w:r w:rsidRPr="00DB5D0D">
        <w:rPr>
          <w:rFonts w:ascii="Times New Roman" w:hAnsi="Times New Roman"/>
          <w:color w:val="000000" w:themeColor="text1"/>
          <w:sz w:val="16"/>
          <w:szCs w:val="16"/>
        </w:rPr>
        <w:softHyphen/>
        <w:t>группы ОН УПА ГУСМП подлежал списанию как аварийный. [РГАЭ,9570-2-1223] (11977).</w:t>
      </w:r>
    </w:p>
    <w:p w14:paraId="7A53F2D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198E9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 приказом НКАП №353 на базе НИО, аэростатного КБ и части дирижабельно-конструкторского отдела (ДКО) завода № 207 была образована НИЛ воздухоплавания (НИЛВ) при ЦАГИ. На завод возложена программа производства самолета ББ-1 (Су-2) и основная часть ДКО передана СКБ завода №207 для участия в работах по освоению серии этого самолета. Вновь проведена полная реконструкция цехов (10777).</w:t>
      </w:r>
    </w:p>
    <w:p w14:paraId="623BAAF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1A4D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 по приказу № 353с на базе НИО, аэростатного КБ и части дирижабельно- конструкторского отдела (ДКО) завода (Завод № 207 НКОП, НКАП, База опытного строительства и эксплуатации дирижаблей (БОСЭД), Комбинат «Дирижаблестрой» ГВФ, НКТП /пос. Дирижаблестрой, ст. Долгопрудная Северных ж/д,  г. Долгопрудный Московской обл. ст. Водники/)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 (11982).</w:t>
      </w:r>
    </w:p>
    <w:p w14:paraId="5A172F0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96191D5" w14:textId="77777777" w:rsidR="008D7C40" w:rsidRPr="00DB5D0D" w:rsidRDefault="008D7C4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июля 1940 г., когда в 17.02 в воздух поднялся аэростат «СССР ВР-75» объёмом 900 м3, пило</w:t>
      </w:r>
      <w:r w:rsidRPr="00DB5D0D">
        <w:rPr>
          <w:rFonts w:ascii="Times New Roman" w:hAnsi="Times New Roman"/>
          <w:color w:val="0070C0"/>
          <w:sz w:val="16"/>
          <w:szCs w:val="16"/>
        </w:rPr>
        <w:softHyphen/>
        <w:t>тируемый воздухоплавателем С.А. Зиновеевым (наблюдатель — С.С. Гайгеров) было положено начало большой серии полётов сферических аэростатов с площадки ЦАО. В полёте испытывались аэрологические приборы, в том числе безынерционный термометр системы М.И. Гольцмана. Аэростат шёл на высотах как 300-400, так и 3000-4000 м. Через 14 часов он опустился вбли</w:t>
      </w:r>
      <w:r w:rsidRPr="00DB5D0D">
        <w:rPr>
          <w:rFonts w:ascii="Times New Roman" w:hAnsi="Times New Roman"/>
          <w:color w:val="0070C0"/>
          <w:sz w:val="16"/>
          <w:szCs w:val="16"/>
        </w:rPr>
        <w:softHyphen/>
        <w:t>зи с. Архангельского Тульской области, пройдя по прямой 301 км.</w:t>
      </w:r>
    </w:p>
    <w:p w14:paraId="1F246076" w14:textId="77777777" w:rsidR="008D7C40" w:rsidRPr="00DB5D0D" w:rsidRDefault="008D7C4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 12 месяцев (июль 1940 г. — июнь 1941 г.) состоялось 136 полётов. В июле-октябре 1940 г. полёты совершались почти через день. С ноября интенсивность полётов уменьшилась. Высота полётов определялась поставленными перед ис</w:t>
      </w:r>
      <w:r w:rsidRPr="00DB5D0D">
        <w:rPr>
          <w:rFonts w:ascii="Times New Roman" w:hAnsi="Times New Roman"/>
          <w:color w:val="0070C0"/>
          <w:sz w:val="16"/>
          <w:szCs w:val="16"/>
        </w:rPr>
        <w:softHyphen/>
        <w:t>следователями задачами, чаще всего она состав</w:t>
      </w:r>
      <w:r w:rsidRPr="00DB5D0D">
        <w:rPr>
          <w:rFonts w:ascii="Times New Roman" w:hAnsi="Times New Roman"/>
          <w:color w:val="0070C0"/>
          <w:sz w:val="16"/>
          <w:szCs w:val="16"/>
        </w:rPr>
        <w:softHyphen/>
        <w:t>ляла 3 км. Высоты до 12 км достигались в еди</w:t>
      </w:r>
      <w:r w:rsidRPr="00DB5D0D">
        <w:rPr>
          <w:rFonts w:ascii="Times New Roman" w:hAnsi="Times New Roman"/>
          <w:color w:val="0070C0"/>
          <w:sz w:val="16"/>
          <w:szCs w:val="16"/>
        </w:rPr>
        <w:softHyphen/>
        <w:t>ничных случаях, так как полёты на высоты более 4 км требовали особого оборудования гондолы, кислородного питания и специальной трениров</w:t>
      </w:r>
      <w:r w:rsidRPr="00DB5D0D">
        <w:rPr>
          <w:rFonts w:ascii="Times New Roman" w:hAnsi="Times New Roman"/>
          <w:color w:val="0070C0"/>
          <w:sz w:val="16"/>
          <w:szCs w:val="16"/>
        </w:rPr>
        <w:softHyphen/>
        <w:t>ки научных наблюдателей. Дальность полётов, как правило, была небольшой: 35% из общего числа полётов завершались в районе радиусом до 300 км от Москвы. Количество полётов с даль</w:t>
      </w:r>
      <w:r w:rsidRPr="00DB5D0D">
        <w:rPr>
          <w:rFonts w:ascii="Times New Roman" w:hAnsi="Times New Roman"/>
          <w:color w:val="0070C0"/>
          <w:sz w:val="16"/>
          <w:szCs w:val="16"/>
        </w:rPr>
        <w:softHyphen/>
        <w:t>ностью 600-1000 км составляло 14%, но границу зоны в 1000 км шары пересекли только трижды (20120).</w:t>
      </w:r>
    </w:p>
    <w:p w14:paraId="51955EAA" w14:textId="77777777" w:rsidR="008D7C40" w:rsidRPr="00DB5D0D" w:rsidRDefault="008D7C40" w:rsidP="00DB5D0D">
      <w:pPr>
        <w:spacing w:after="0" w:line="240" w:lineRule="auto"/>
        <w:jc w:val="both"/>
        <w:rPr>
          <w:rFonts w:ascii="Times New Roman" w:hAnsi="Times New Roman"/>
          <w:color w:val="0070C0"/>
          <w:sz w:val="16"/>
          <w:szCs w:val="16"/>
        </w:rPr>
      </w:pPr>
    </w:p>
    <w:p w14:paraId="6A5D8AC1" w14:textId="77777777" w:rsidR="008D7C40" w:rsidRPr="00DB5D0D" w:rsidRDefault="008D7C4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 18 июля 1940 г. по 11 июня 1941 г. продолжалась Серия полётов для изучения трансформации воздушных масс. Всего запустили 29 аэростатов, причём в трёх случаях - группы из трёх и в трёх других случаях - группы из двух аэростатов (20120).</w:t>
      </w:r>
    </w:p>
    <w:p w14:paraId="21A0F6A4" w14:textId="77777777" w:rsidR="008D7C40" w:rsidRPr="00DB5D0D" w:rsidRDefault="008D7C4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17-18 сентября 1940 г. состоялся первый опыт исследований для изучения трансформации воздушных масс, в значи</w:t>
      </w:r>
      <w:r w:rsidRPr="00DB5D0D">
        <w:rPr>
          <w:rFonts w:ascii="Times New Roman" w:hAnsi="Times New Roman"/>
          <w:color w:val="0070C0"/>
          <w:sz w:val="16"/>
          <w:szCs w:val="16"/>
        </w:rPr>
        <w:softHyphen/>
        <w:t>тельной степени преследовавший методические цели. В этот полёт отправились аэростаты «СССР ВР-77» (пилоты Г.И. Голышев и Б.А. Невернов, аэролог Р.О. Тыдельская), «СССР ВР-62» (пилоты С.А. Зиновеев и Н.И. Большакова, аэрологи В.С. Иванов и О.Р. Кричак) и «СССР ВР-75» (пилот К.П. Свер- щек и научный сотрудник В.Д. Решетов). Эки</w:t>
      </w:r>
      <w:r w:rsidRPr="00DB5D0D">
        <w:rPr>
          <w:rFonts w:ascii="Times New Roman" w:hAnsi="Times New Roman"/>
          <w:color w:val="0070C0"/>
          <w:sz w:val="16"/>
          <w:szCs w:val="16"/>
        </w:rPr>
        <w:softHyphen/>
        <w:t>пажи всех аэростатов располагали большой мо</w:t>
      </w:r>
      <w:r w:rsidRPr="00DB5D0D">
        <w:rPr>
          <w:rFonts w:ascii="Times New Roman" w:hAnsi="Times New Roman"/>
          <w:color w:val="0070C0"/>
          <w:sz w:val="16"/>
          <w:szCs w:val="16"/>
        </w:rPr>
        <w:softHyphen/>
        <w:t>делью психрометра Ассмана и метеорографом. На нижнем аэростате («СССР ВР-75») находил</w:t>
      </w:r>
      <w:r w:rsidRPr="00DB5D0D">
        <w:rPr>
          <w:rFonts w:ascii="Times New Roman" w:hAnsi="Times New Roman"/>
          <w:color w:val="0070C0"/>
          <w:sz w:val="16"/>
          <w:szCs w:val="16"/>
        </w:rPr>
        <w:softHyphen/>
        <w:t>ся баротермограф без приёмника влажности, на среднем («СсСр ВР-62») и верхнем («СССР ВР-77») подвесили опытные образцы метеоро</w:t>
      </w:r>
      <w:r w:rsidRPr="00DB5D0D">
        <w:rPr>
          <w:rFonts w:ascii="Times New Roman" w:hAnsi="Times New Roman"/>
          <w:color w:val="0070C0"/>
          <w:sz w:val="16"/>
          <w:szCs w:val="16"/>
        </w:rPr>
        <w:softHyphen/>
        <w:t>графов с приёмниками влажности. Шахты при</w:t>
      </w:r>
      <w:r w:rsidRPr="00DB5D0D">
        <w:rPr>
          <w:rFonts w:ascii="Times New Roman" w:hAnsi="Times New Roman"/>
          <w:color w:val="0070C0"/>
          <w:sz w:val="16"/>
          <w:szCs w:val="16"/>
        </w:rPr>
        <w:softHyphen/>
        <w:t>боров вентилировали электромоторы. Из корзи</w:t>
      </w:r>
      <w:r w:rsidRPr="00DB5D0D">
        <w:rPr>
          <w:rFonts w:ascii="Times New Roman" w:hAnsi="Times New Roman"/>
          <w:color w:val="0070C0"/>
          <w:sz w:val="16"/>
          <w:szCs w:val="16"/>
        </w:rPr>
        <w:softHyphen/>
        <w:t>ны верхнего аэростата, шедшего на высоте 4 км, каждые 3-5 часов сбрасывали на парашютах ра</w:t>
      </w:r>
      <w:r w:rsidRPr="00DB5D0D">
        <w:rPr>
          <w:rFonts w:ascii="Times New Roman" w:hAnsi="Times New Roman"/>
          <w:color w:val="0070C0"/>
          <w:sz w:val="16"/>
          <w:szCs w:val="16"/>
        </w:rPr>
        <w:softHyphen/>
        <w:t>диозонды, сигналы которых принимались в кор</w:t>
      </w:r>
      <w:r w:rsidRPr="00DB5D0D">
        <w:rPr>
          <w:rFonts w:ascii="Times New Roman" w:hAnsi="Times New Roman"/>
          <w:color w:val="0070C0"/>
          <w:sz w:val="16"/>
          <w:szCs w:val="16"/>
        </w:rPr>
        <w:softHyphen/>
        <w:t>зине аэростата на приёмник КУБ-4.</w:t>
      </w:r>
    </w:p>
    <w:p w14:paraId="3722B3F7" w14:textId="77777777" w:rsidR="008D7C40" w:rsidRPr="00DB5D0D" w:rsidRDefault="008D7C4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 аэростаты шли почти в одном направ</w:t>
      </w:r>
      <w:r w:rsidRPr="00DB5D0D">
        <w:rPr>
          <w:rFonts w:ascii="Times New Roman" w:hAnsi="Times New Roman"/>
          <w:color w:val="0070C0"/>
          <w:sz w:val="16"/>
          <w:szCs w:val="16"/>
        </w:rPr>
        <w:softHyphen/>
        <w:t>лении к северу и опустились 18 сентября около полудня: верхний — у ст. Нядома Северной же</w:t>
      </w:r>
      <w:r w:rsidRPr="00DB5D0D">
        <w:rPr>
          <w:rFonts w:ascii="Times New Roman" w:hAnsi="Times New Roman"/>
          <w:color w:val="0070C0"/>
          <w:sz w:val="16"/>
          <w:szCs w:val="16"/>
        </w:rPr>
        <w:softHyphen/>
        <w:t>лезной дороги, пройдя по прямой 650 км, сред</w:t>
      </w:r>
      <w:r w:rsidRPr="00DB5D0D">
        <w:rPr>
          <w:rFonts w:ascii="Times New Roman" w:hAnsi="Times New Roman"/>
          <w:color w:val="0070C0"/>
          <w:sz w:val="16"/>
          <w:szCs w:val="16"/>
        </w:rPr>
        <w:softHyphen/>
        <w:t>ний — на разъезде Летнеозерском Архангельской области (850 км от Москвы), а нижний прошёл 921 км и приземлился вблизи ст. Бакариха Ар</w:t>
      </w:r>
      <w:r w:rsidRPr="00DB5D0D">
        <w:rPr>
          <w:rFonts w:ascii="Times New Roman" w:hAnsi="Times New Roman"/>
          <w:color w:val="0070C0"/>
          <w:sz w:val="16"/>
          <w:szCs w:val="16"/>
        </w:rPr>
        <w:softHyphen/>
        <w:t>хангельской области.</w:t>
      </w:r>
    </w:p>
    <w:p w14:paraId="495EE206" w14:textId="77777777" w:rsidR="008D7C40" w:rsidRPr="00DB5D0D" w:rsidRDefault="008D7C4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Полёт, продолжавшийся более 16 часов в од</w:t>
      </w:r>
      <w:r w:rsidRPr="00DB5D0D">
        <w:rPr>
          <w:rFonts w:ascii="Times New Roman" w:hAnsi="Times New Roman"/>
          <w:color w:val="0070C0"/>
          <w:sz w:val="16"/>
          <w:szCs w:val="16"/>
        </w:rPr>
        <w:softHyphen/>
        <w:t>ной и той же тропической воздушной массе, по</w:t>
      </w:r>
      <w:r w:rsidRPr="00DB5D0D">
        <w:rPr>
          <w:rFonts w:ascii="Times New Roman" w:hAnsi="Times New Roman"/>
          <w:color w:val="0070C0"/>
          <w:sz w:val="16"/>
          <w:szCs w:val="16"/>
        </w:rPr>
        <w:softHyphen/>
        <w:t>зволил вычислить изменение её характеристик за время равное 2/3 суток. Оказалось, что по наблю</w:t>
      </w:r>
      <w:r w:rsidRPr="00DB5D0D">
        <w:rPr>
          <w:rFonts w:ascii="Times New Roman" w:hAnsi="Times New Roman"/>
          <w:color w:val="0070C0"/>
          <w:sz w:val="16"/>
          <w:szCs w:val="16"/>
        </w:rPr>
        <w:softHyphen/>
        <w:t>дениям на всех трёх аэростатах влияние суточно</w:t>
      </w:r>
      <w:r w:rsidRPr="00DB5D0D">
        <w:rPr>
          <w:rFonts w:ascii="Times New Roman" w:hAnsi="Times New Roman"/>
          <w:color w:val="0070C0"/>
          <w:sz w:val="16"/>
          <w:szCs w:val="16"/>
        </w:rPr>
        <w:softHyphen/>
        <w:t>го хода распространялось до высоты 2 км, выше этого уровня никаких температурных измерений не произошло, или они были очень невелики (20120).</w:t>
      </w:r>
    </w:p>
    <w:p w14:paraId="5811CB1B" w14:textId="77777777" w:rsidR="008D7C40" w:rsidRPr="00DB5D0D" w:rsidRDefault="008D7C40" w:rsidP="00DB5D0D">
      <w:pPr>
        <w:spacing w:after="0" w:line="240" w:lineRule="auto"/>
        <w:jc w:val="both"/>
        <w:rPr>
          <w:rFonts w:ascii="Times New Roman" w:hAnsi="Times New Roman"/>
          <w:color w:val="0070C0"/>
          <w:sz w:val="16"/>
          <w:szCs w:val="16"/>
        </w:rPr>
      </w:pPr>
    </w:p>
    <w:p w14:paraId="4674AA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года начальник НИП АВ ВВС полковник Шевченко и военком НИП АВ ВВС в/инженер 2 ранга Щербинин утвердили:</w:t>
      </w:r>
    </w:p>
    <w:p w14:paraId="04C404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о полигонных испытаниях, на станке универсального авиационного пулемета "ДП" калибра 7,62 мм разработанного ЦКБ-14</w:t>
      </w:r>
    </w:p>
    <w:p w14:paraId="6EE55E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9 июня 1940 года</w:t>
      </w:r>
    </w:p>
    <w:p w14:paraId="7058EA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19 июня 1940 года</w:t>
      </w:r>
    </w:p>
    <w:p w14:paraId="1E1FD0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459DE9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Филиппов</w:t>
      </w:r>
    </w:p>
    <w:p w14:paraId="5607A3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E281A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соответствие пулемета предъявленным к нему ТТТ и рациональность использования в частях ВВС.</w:t>
      </w:r>
    </w:p>
    <w:p w14:paraId="63991F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460738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Предъявленный ЦКБ-14 пулемет "ДП" калибра 7,62 мм № 7 конструкции Демина и Пономарева полигонные испытания на станке не выдержал вследствие низкой живучести основных деталей (7434).</w:t>
      </w:r>
    </w:p>
    <w:p w14:paraId="033CF9C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55472B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вышло постановление КО N 315сс "О синхронных оптических прицелах для бомбометания".</w:t>
      </w:r>
    </w:p>
    <w:p w14:paraId="265015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Союза СССР ПОСТАНОВЛЯЕТ:</w:t>
      </w:r>
    </w:p>
    <w:p w14:paraId="695D2E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Принять на вооружение бомбардировочной авиации синхронный оптический прицел с маятниковой вертикалью для бомбометания с горизонтального полета. Прицелу присвоить шифр ПС-1</w:t>
      </w:r>
    </w:p>
    <w:p w14:paraId="36DDE4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Обязать НКВ - тов. Ванникова В.Л.:</w:t>
      </w:r>
    </w:p>
    <w:p w14:paraId="799CC15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Поставить на заводах № 217 и № 349 производство синхронных оптических прицелов ПС-1 типа Лефте-7Б с выпуском в 1941 г. 120 шт., из них в 1 кв. 1941 г. по 20 шт. и довести мощность каждого из этих заводов к 1942 г. до 1000 шт.</w:t>
      </w:r>
    </w:p>
    <w:p w14:paraId="0DB1CD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заводе № 217 разработать и представить на госиспытания опытные образцы следующих прицелов:</w:t>
      </w:r>
    </w:p>
    <w:p w14:paraId="7919BF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прицел-автомат на синхронном принципе с для бомбометания с горизонтального полета в количестве 2-х обр. К 1 мая 1941 г.</w:t>
      </w:r>
    </w:p>
    <w:p w14:paraId="6BD9030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прицел-автомат на временном принципе для бомбометания с горизонтального полета в количестве 2-х образцов к 1 мая 1941 г.</w:t>
      </w:r>
    </w:p>
    <w:p w14:paraId="7F566D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прицел-полуавтомат для бомбометания с пикирования по неподвижными подвижным целям в количестве 2-х образцов к 1 января 1941 г.</w:t>
      </w:r>
    </w:p>
    <w:p w14:paraId="31A729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заводе № 349 разработать и представить на госиспытания опытные образцы следующих прицелов:</w:t>
      </w:r>
    </w:p>
    <w:p w14:paraId="74EBDD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прицел-автомат на временном принципе для бомбометания с горизонтального полета в количестве 2-х образцов к 1 мая 1941 г.</w:t>
      </w:r>
    </w:p>
    <w:p w14:paraId="17A276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прицел-полуавтомат для бомбометания с пикирования по неподвижными подвижным целям в количестве 2-х образцов к 1 мая 1941 г.</w:t>
      </w:r>
    </w:p>
    <w:p w14:paraId="4EB486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Форсировать окончание до 1 января 1941 строительство завода № 217, согласно утвержденному ТП и генсмете.</w:t>
      </w:r>
    </w:p>
    <w:p w14:paraId="7E9858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 Обязать НКВнешторг - тов. Микояна А.И.</w:t>
      </w:r>
    </w:p>
    <w:p w14:paraId="35863B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Закупизъ в Геврмании у фирмы Цейс лицензию на производство прицелов бомбометания Лефте-7Б</w:t>
      </w:r>
    </w:p>
    <w:p w14:paraId="799EA9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Закупить техпомощь по прицелам Лефте-7Б</w:t>
      </w:r>
    </w:p>
    <w:p w14:paraId="56D015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чертежи, технические условия и технологический процесс;</w:t>
      </w:r>
    </w:p>
    <w:p w14:paraId="07C675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контрольно-юстировочную аппаратуру и чертежи на нее</w:t>
      </w:r>
    </w:p>
    <w:p w14:paraId="638D7D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Закупить 10 шт. прицелов Лефте-7Б с поставкой 5 шт. в 3 кв. И 5 шт. в 4 кв. 1940 г.</w:t>
      </w:r>
    </w:p>
    <w:p w14:paraId="4626DC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Закупить в Германии контрольно-тренировочную аппаратуру для обучения бомбометанию с горизонтального и пикирующего полета.</w:t>
      </w:r>
    </w:p>
    <w:p w14:paraId="5BE8DD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1У Обязать НКАП - тов. Шахурина И.И.</w:t>
      </w:r>
    </w:p>
    <w:p w14:paraId="0F91D8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НИИ-22 разработать и представить на госиспытания опытные образцы следующих приборов:</w:t>
      </w:r>
    </w:p>
    <w:p w14:paraId="692FE2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Прицел для бомбометания с горизонтального полета на синхронном принципе, один образец к 1 января 1941 и один - к 1 мая 1941</w:t>
      </w:r>
    </w:p>
    <w:p w14:paraId="6D0CEA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Прицел-автомат для бомбометания с пикирования в количестве 2-х образцов к 1 мая 1941</w:t>
      </w:r>
    </w:p>
    <w:p w14:paraId="2391BC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Прибор для обучения точному бомбометанию в классных условиях в количестве 1 образца к 1 ноября 1941</w:t>
      </w:r>
    </w:p>
    <w:p w14:paraId="290741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Прибор для бомбометания по невидимым целям в количестве 2-х образцов к 1 ноября 1941</w:t>
      </w:r>
    </w:p>
    <w:p w14:paraId="167155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Обеспечить производственной базой, во 2 кв. 1941 на заводе № 224 производство опытных и войсковых серий, разрабатываемых НИИ-22 приборов бомбометания.</w:t>
      </w:r>
    </w:p>
    <w:p w14:paraId="14E76D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Освоить производство электромоторчика О-36 на заводе 266 с выпуском в 1941 г. 400 шт, из них в 1 кв. - 100 шт. и с доведением мощностей по из выпуску к 1942 г. до 3000 шт.</w:t>
      </w:r>
    </w:p>
    <w:p w14:paraId="0D6089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 всех проектируемых бомбардировочных с-тах предусмотреть установку прицела ПС-1 для бомбометания с горизонтального полета. Одновременно обеспечить вывод на боевой курс с-та летчиком )по типу Ю-88 и До-215).</w:t>
      </w:r>
    </w:p>
    <w:p w14:paraId="4B90E1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Обязать Наркомсредмаш - тов. Лихачева И.А.</w:t>
      </w:r>
    </w:p>
    <w:p w14:paraId="101529A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Обеспечить поставку заводу № 217 и 349 НКВ с з-да ГПЗ им. Кагановича, начиная с 3 кв. 1940:</w:t>
      </w:r>
    </w:p>
    <w:p w14:paraId="16EAAA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шарикоподшипников тип 6005</w:t>
      </w:r>
      <w:r w:rsidRPr="00DB5D0D">
        <w:rPr>
          <w:rFonts w:ascii="Times New Roman" w:hAnsi="Times New Roman"/>
          <w:color w:val="000000" w:themeColor="text1"/>
          <w:sz w:val="16"/>
          <w:szCs w:val="16"/>
        </w:rPr>
        <w:tab/>
        <w:t>15.000 шт. в год</w:t>
      </w:r>
    </w:p>
    <w:p w14:paraId="439906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-»- 809а</w:t>
      </w:r>
      <w:r w:rsidRPr="00DB5D0D">
        <w:rPr>
          <w:rFonts w:ascii="Times New Roman" w:hAnsi="Times New Roman"/>
          <w:color w:val="000000" w:themeColor="text1"/>
          <w:sz w:val="16"/>
          <w:szCs w:val="16"/>
        </w:rPr>
        <w:tab/>
        <w:t>30.000</w:t>
      </w:r>
    </w:p>
    <w:p w14:paraId="609AE3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подшипников класса “а” диам. 4 мм</w:t>
      </w:r>
      <w:r w:rsidRPr="00DB5D0D">
        <w:rPr>
          <w:rFonts w:ascii="Times New Roman" w:hAnsi="Times New Roman"/>
          <w:color w:val="000000" w:themeColor="text1"/>
          <w:sz w:val="16"/>
          <w:szCs w:val="16"/>
        </w:rPr>
        <w:tab/>
        <w:t>1.000 гросс в год</w:t>
      </w:r>
    </w:p>
    <w:p w14:paraId="310409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w:t>
      </w:r>
      <w:r w:rsidRPr="00DB5D0D">
        <w:rPr>
          <w:rFonts w:ascii="Times New Roman" w:hAnsi="Times New Roman"/>
          <w:color w:val="000000" w:themeColor="text1"/>
          <w:sz w:val="16"/>
          <w:szCs w:val="16"/>
          <w:vertAlign w:val="superscript"/>
        </w:rPr>
        <w:t>п</w:t>
      </w:r>
      <w:r w:rsidRPr="00DB5D0D">
        <w:rPr>
          <w:rFonts w:ascii="Times New Roman" w:hAnsi="Times New Roman"/>
          <w:color w:val="000000" w:themeColor="text1"/>
          <w:sz w:val="16"/>
          <w:szCs w:val="16"/>
        </w:rPr>
        <w:t>- -</w:t>
      </w:r>
      <w:r w:rsidRPr="00DB5D0D">
        <w:rPr>
          <w:rFonts w:ascii="Times New Roman" w:hAnsi="Times New Roman"/>
          <w:color w:val="000000" w:themeColor="text1"/>
          <w:sz w:val="16"/>
          <w:szCs w:val="16"/>
          <w:vertAlign w:val="superscript"/>
        </w:rPr>
        <w:t>я</w:t>
      </w:r>
      <w:r w:rsidRPr="00DB5D0D">
        <w:rPr>
          <w:rFonts w:ascii="Times New Roman" w:hAnsi="Times New Roman"/>
          <w:color w:val="000000" w:themeColor="text1"/>
          <w:sz w:val="16"/>
          <w:szCs w:val="16"/>
        </w:rPr>
        <w:t>- "а" 0 3,17 мм</w:t>
      </w:r>
      <w:r w:rsidRPr="00DB5D0D">
        <w:rPr>
          <w:rFonts w:ascii="Times New Roman" w:hAnsi="Times New Roman"/>
          <w:color w:val="000000" w:themeColor="text1"/>
          <w:sz w:val="16"/>
          <w:szCs w:val="16"/>
        </w:rPr>
        <w:tab/>
        <w:t>800</w:t>
      </w:r>
    </w:p>
    <w:p w14:paraId="02DD7B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освоить производство шарикоподшипников типа “Норма” №№ 462, 4666 и С-З по техническим условиям завода № 217 НКВ.</w:t>
      </w:r>
    </w:p>
    <w:p w14:paraId="05E1E1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У1. Обязать НКПСМ - тов.Соснина Л.Д.:</w:t>
      </w:r>
    </w:p>
    <w:p w14:paraId="45A12A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Изготовить в 1940 г. на Крыковском машиностроительном заводе приборы БАП-5 в количестве 33 шт.</w:t>
      </w:r>
    </w:p>
    <w:p w14:paraId="52E49E9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 Экономсовету при СНК СССР выделить в июле 1940 НКВ для завода 217 специальным назначением 15 металлорежущих станков, согласно приоложению 1</w:t>
      </w:r>
    </w:p>
    <w:p w14:paraId="27A477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УШ. Госплану СССР предусмотреть в плане 4 кз.1940 г. НКВ для завода 217 специальным назначением 40 металлорежущих станков и в 1941 - 100 шт.</w:t>
      </w:r>
    </w:p>
    <w:p w14:paraId="6B8074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 Выделить НКВ для завода 217 импортный контингент:</w:t>
      </w:r>
    </w:p>
    <w:p w14:paraId="39FA66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металлорежущие станки в сумме 1.564.500 руб. Согласно приложению 2</w:t>
      </w:r>
    </w:p>
    <w:p w14:paraId="5639E1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лабораторное оборудование в сумме 261.343 руб. Согласно приложению 3</w:t>
      </w:r>
    </w:p>
    <w:p w14:paraId="059D6D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шарикоподшипники типа “Норма” № 462, С-3 и № 4666 (до освоения их на ГПЗ им. Кагановича) в сумме 50 тыс.руб.</w:t>
      </w:r>
    </w:p>
    <w:p w14:paraId="0381CC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 Выделить из резервного фонда СНК СССР средства:</w:t>
      </w:r>
    </w:p>
    <w:p w14:paraId="258420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НКВ для завода № 217 на 1040 г. дополнительно:</w:t>
      </w:r>
    </w:p>
    <w:p w14:paraId="58E7D1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промышленное строительство - 6 млн. руб.</w:t>
      </w:r>
    </w:p>
    <w:p w14:paraId="506DCC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жилищное строительство - 1 млн.руб.</w:t>
      </w:r>
    </w:p>
    <w:p w14:paraId="1F506B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проектирование и изготовление опытных образцов приборов бомбометания:</w:t>
      </w:r>
    </w:p>
    <w:p w14:paraId="6B2594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НКВ</w:t>
      </w:r>
      <w:r w:rsidRPr="00DB5D0D">
        <w:rPr>
          <w:rFonts w:ascii="Times New Roman" w:hAnsi="Times New Roman"/>
          <w:color w:val="000000" w:themeColor="text1"/>
          <w:sz w:val="16"/>
          <w:szCs w:val="16"/>
        </w:rPr>
        <w:tab/>
        <w:t>3,5 млн.руб.</w:t>
      </w:r>
    </w:p>
    <w:p w14:paraId="1BAD81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НИИ-22 НКАП</w:t>
      </w:r>
      <w:r w:rsidRPr="00DB5D0D">
        <w:rPr>
          <w:rFonts w:ascii="Times New Roman" w:hAnsi="Times New Roman"/>
          <w:color w:val="000000" w:themeColor="text1"/>
          <w:sz w:val="16"/>
          <w:szCs w:val="16"/>
        </w:rPr>
        <w:tab/>
        <w:t>4 млн.руб.</w:t>
      </w:r>
    </w:p>
    <w:p w14:paraId="6A4550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Для премирования работников промышленности:</w:t>
      </w:r>
    </w:p>
    <w:p w14:paraId="002BDC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 постановку в срок серийного производства "ПС-1" и выполнения установленной программы: заводу № 217 - 500 тпс.руб.</w:t>
      </w:r>
    </w:p>
    <w:p w14:paraId="2DA80E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349 НКВ - 500 тыс.руб.</w:t>
      </w:r>
    </w:p>
    <w:p w14:paraId="2351F5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 досрочную подачу первых 2-х прицелов в размере 10 тыс. руб.на каждый месяц ранее установленного срока 1 марта 1941 г. по заводам №№ 217 и 349 НКВ.</w:t>
      </w:r>
    </w:p>
    <w:p w14:paraId="1A381F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 своевременное и высококачественное выполнение новых образцов прицелов бомбометания</w:t>
      </w:r>
    </w:p>
    <w:p w14:paraId="761030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217</w:t>
      </w:r>
      <w:r w:rsidRPr="00DB5D0D">
        <w:rPr>
          <w:rFonts w:ascii="Times New Roman" w:hAnsi="Times New Roman"/>
          <w:color w:val="000000" w:themeColor="text1"/>
          <w:sz w:val="16"/>
          <w:szCs w:val="16"/>
        </w:rPr>
        <w:tab/>
        <w:t>350.000</w:t>
      </w:r>
    </w:p>
    <w:p w14:paraId="662FD8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349</w:t>
      </w:r>
      <w:r w:rsidRPr="00DB5D0D">
        <w:rPr>
          <w:rFonts w:ascii="Times New Roman" w:hAnsi="Times New Roman"/>
          <w:color w:val="000000" w:themeColor="text1"/>
          <w:sz w:val="16"/>
          <w:szCs w:val="16"/>
        </w:rPr>
        <w:tab/>
        <w:t>200.000</w:t>
      </w:r>
    </w:p>
    <w:p w14:paraId="5480E4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НИИ-22 НКАП</w:t>
      </w:r>
      <w:r w:rsidRPr="00DB5D0D">
        <w:rPr>
          <w:rFonts w:ascii="Times New Roman" w:hAnsi="Times New Roman"/>
          <w:color w:val="000000" w:themeColor="text1"/>
          <w:sz w:val="16"/>
          <w:szCs w:val="16"/>
        </w:rPr>
        <w:tab/>
        <w:t>300.000 (10483,13).</w:t>
      </w:r>
    </w:p>
    <w:p w14:paraId="6FBDC6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E75BD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вышло постановление Правительства о принятии на вооружение бомбардировочной авиации синхронного оптического прицела с маятниковой вертикалью для бомбометания с горизонтального полета приказываю (1269).</w:t>
      </w:r>
    </w:p>
    <w:p w14:paraId="65E2626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E508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года Начальник НИП АВ ВВС полковник Шевченко и Военком НИП АВ ВВС в/инженер 2 ранга Щербинин утвердили Отчет по полигонным испытаниям модернизированных ампульных кассет АК-2ум и контрольным испытаниям ампульных кассет изготовленных по ТУ военного впемени (конструкции завода № 145) на самолете ДБ-3</w:t>
      </w:r>
    </w:p>
    <w:p w14:paraId="457446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7 июня 1940 года</w:t>
      </w:r>
    </w:p>
    <w:p w14:paraId="18D1D3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11 июня 1940 года</w:t>
      </w:r>
    </w:p>
    <w:p w14:paraId="44ABDA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FF5A3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5D855B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601E55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полигонных испытаний модернизированных ампульных кассет АК-2ум и контрольных испытаний АК-2, изготовленных по ТУ военного времени являлось определение следующих элементов:</w:t>
      </w:r>
    </w:p>
    <w:p w14:paraId="06D267B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Прочности и надежности конструкции.</w:t>
      </w:r>
    </w:p>
    <w:p w14:paraId="50E2C24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Надежности и безотказности работы всех механизмов.</w:t>
      </w:r>
    </w:p>
    <w:p w14:paraId="2644315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Вявление вариантов ампульной и бомбовой загрузок.</w:t>
      </w:r>
    </w:p>
    <w:p w14:paraId="21252FF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Характера рассеивания ампул и бомб при сбрасывании с самолета.</w:t>
      </w:r>
    </w:p>
    <w:p w14:paraId="2AAD14E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Удобства и безопасности в эксплуатации.</w:t>
      </w:r>
    </w:p>
    <w:p w14:paraId="4D06DD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B7B721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заводом № 145 на полигонные испытания кассеты АК-2 ум полигонных испытаний не выдержали.</w:t>
      </w:r>
    </w:p>
    <w:p w14:paraId="69D46BF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предъявленные на контрольные испытания кассеты АК-2у, изготовленные по ТУ военного времени контрольных испытаний не выдержали (7408).</w:t>
      </w:r>
    </w:p>
    <w:p w14:paraId="153DCE0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7F149A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года начальник НИП АВ ВВС полковник Шевченко и военком НИП АВ ВВС в/инженер 2 ранга Щербинин утвердили:</w:t>
      </w:r>
    </w:p>
    <w:p w14:paraId="547761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заводским испытаниям авиационно-дымовых шашек (АДШ) конструкции завода № 145 на самолете СБ</w:t>
      </w:r>
    </w:p>
    <w:p w14:paraId="02E974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начато 7 июня 1940 года</w:t>
      </w:r>
    </w:p>
    <w:p w14:paraId="513738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закончено 28 июня 1940 года</w:t>
      </w:r>
    </w:p>
    <w:p w14:paraId="4E8E03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Отв. исполнитель:</w:t>
      </w:r>
    </w:p>
    <w:p w14:paraId="393A8D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4 отделения Опытного отдела НИП АВ ВВС Комарницкий</w:t>
      </w:r>
    </w:p>
    <w:p w14:paraId="166347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79C9AF4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боевые и конструктивно-эксплуатационные качества авиационно-дымовых шашек (АДШ) конструкции завода № 145 на самолете СБ.</w:t>
      </w:r>
    </w:p>
    <w:p w14:paraId="4956DC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АДШ предназначены для применения с самолета в целях создания наземных завес нейтрального или ядовитого дыма.</w:t>
      </w:r>
    </w:p>
    <w:p w14:paraId="245C28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E8B4A1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Авиационно-дымовые шашки конструкции завода № 145 заводские испытания не выдержали (7596).</w:t>
      </w:r>
    </w:p>
    <w:p w14:paraId="40A60AA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3CF483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года начальник НИП АВ ВВС полковник Шевченко и военком НИП АВ ВВС в/инженер 2 ранга Щербинин утвердили:</w:t>
      </w:r>
    </w:p>
    <w:p w14:paraId="0B5A8B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модернизированного ВАП-5 ум, контрольным испытаниям ВАП-500 у головной партии и ВАП-500 у, изготовленных по ТУ военного времени (конструкции завода № 145) на самолетах СБ и ДБ-3</w:t>
      </w:r>
    </w:p>
    <w:p w14:paraId="2BB31C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29 мая 1940 года</w:t>
      </w:r>
    </w:p>
    <w:p w14:paraId="1153AE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19 июня 1940 года</w:t>
      </w:r>
    </w:p>
    <w:p w14:paraId="526667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3D8AA4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0AE1F8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9F832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полигонных испытаний ВАП-500 ум и контрольных испытаний ВАП-500 у и ВАП-500 у, изготовленных по ТУ военного времени являлось определение следующих элементов:</w:t>
      </w:r>
    </w:p>
    <w:p w14:paraId="61BADF8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Прочности и надежности конструкции.</w:t>
      </w:r>
    </w:p>
    <w:p w14:paraId="591EB2E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Возможности забрызгивания самолета.</w:t>
      </w:r>
    </w:p>
    <w:p w14:paraId="09C25F3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Безотказность действия механизмов.</w:t>
      </w:r>
    </w:p>
    <w:p w14:paraId="00CAF71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Поведения приборов в воздухе на самолете ДБ-3 при исключении резинового амортизатора.</w:t>
      </w:r>
    </w:p>
    <w:p w14:paraId="0576768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Характера дробления жидкости на площади при выливании (прибора ВАП-500 ум).</w:t>
      </w:r>
    </w:p>
    <w:p w14:paraId="2CAE5A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7D8D22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заводом № 145 приборы ВАП-500у и ВАП-500 у, изготовленных по ТУ военного времени контрольные испытания не выдержали.</w:t>
      </w:r>
    </w:p>
    <w:p w14:paraId="14030B0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представленный на полигонные испытания модернизированный серийным цехом завода № 145 ВАП-500у полигонные испытания не выдержал (7604).</w:t>
      </w:r>
    </w:p>
    <w:p w14:paraId="53CB006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2DDC6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года начальник НИП АВ ВВС полковник Шевченко и военком НИП АВ ВВС в/инженер 2 ранга Щербинин утвердили:</w:t>
      </w:r>
    </w:p>
    <w:p w14:paraId="7AE553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ХАРП-500 конструкции завода № 145 (в применении штурмовой авиацией)</w:t>
      </w:r>
    </w:p>
    <w:p w14:paraId="4ABB5F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20 июня 1940 года</w:t>
      </w:r>
    </w:p>
    <w:p w14:paraId="1153B5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25 июня 1940 года</w:t>
      </w:r>
    </w:p>
    <w:p w14:paraId="537981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777670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инженер 4 отделения Опытного отдела НИП АВ ГУАС в/инженер 2 ранга Рублев</w:t>
      </w:r>
    </w:p>
    <w:p w14:paraId="15C565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50E29B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возможность применения ХАРП-500 штурмовой авиацией на малых высотах.</w:t>
      </w:r>
    </w:p>
    <w:p w14:paraId="2077DF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Химический авиационный разовый прибор (ХАРП-500) разработан заводом № 145 в 1938 году. Прибор изготовлен в габаритах ФАБ-500 и по внешнему виду немногим отличается от ХАБ-500. Прибор предназначается для поражения живой силы и заражения местности стойкими БХВ.</w:t>
      </w:r>
    </w:p>
    <w:p w14:paraId="31D17D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CBC596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применении ХАРП-500 штурмовой авиацией решить после проведения окончательных полигонных испытаний в летних и зимних условиях сравнительно с ХАБ-500 и ВАП-500 (7599).</w:t>
      </w:r>
    </w:p>
    <w:p w14:paraId="70BDA7E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36DEC4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года на НИП АВ закончились полигонные испытания осколочных авиабомб АО-15 ОП. П., снаряженных французской смесью методом раздельного снаряжения, 1940 года завода № 12, которые проходили с 5 июля 1940.</w:t>
      </w:r>
    </w:p>
    <w:p w14:paraId="1B3380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21CF87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19EBF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определить:</w:t>
      </w:r>
    </w:p>
    <w:p w14:paraId="32163C23" w14:textId="77777777" w:rsidR="003C7E8B" w:rsidRPr="00DB5D0D" w:rsidRDefault="003C7E8B" w:rsidP="00DB5D0D">
      <w:pPr>
        <w:pStyle w:val="24"/>
        <w:widowControl/>
        <w:tabs>
          <w:tab w:val="left" w:pos="360"/>
        </w:tabs>
        <w:rPr>
          <w:color w:val="000000" w:themeColor="text1"/>
        </w:rPr>
      </w:pPr>
      <w:r w:rsidRPr="00DB5D0D">
        <w:rPr>
          <w:color w:val="000000" w:themeColor="text1"/>
        </w:rPr>
        <w:t>Осколочное действие бомб.</w:t>
      </w:r>
    </w:p>
    <w:p w14:paraId="1A0DCF9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Дробление корпуса бомбы В.В.</w:t>
      </w:r>
    </w:p>
    <w:p w14:paraId="1EE1117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Безотказность действия.</w:t>
      </w:r>
    </w:p>
    <w:p w14:paraId="3B6804F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в полете.</w:t>
      </w:r>
    </w:p>
    <w:p w14:paraId="2093E9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575794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Вследствие того, что штатные бомбы АО-15, снаряженные французской смесью по осколочному действию уступают даже бомбам АО-8м6 снаряженным тем же ВВ из-за дробления корпуса бомбы взрывчатым веществом на крупные осколки, то дальнейшее понижение эффективности осколочного действия бомбы АО-15 НИП АВ ВВС считает нецелесообразным.</w:t>
      </w:r>
    </w:p>
    <w:p w14:paraId="66BBA6A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БО-15, снаряженные французской смесью раздельным методом завода № 12, по осколочному действию и дроблению корпуса бомбы взрывчатым веществом в сравнении со штатными бомбами АО-15 дали пониженные результаты на 10,5-4,9% и 44-30,5% и полигонные испытания не выдержали (7548).</w:t>
      </w:r>
    </w:p>
    <w:p w14:paraId="47F58ED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0D0C132E" w14:textId="77777777" w:rsidR="003B6C79" w:rsidRPr="00DB5D0D" w:rsidRDefault="003B6C7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июля 1940 года вышло Постановление Комитета обороны при СНК СССР № 319сс "О принятии на вооружение ВВС Военно-Морского Флота противолодочных авиационных бомб „ПЛАБ-100“"</w:t>
      </w:r>
    </w:p>
    <w:p w14:paraId="234895BE" w14:textId="77777777" w:rsidR="003B6C79" w:rsidRPr="00DB5D0D" w:rsidRDefault="003B6C7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KCMИТЕТ ОБОРОНЫ при СНК Союза ССР ПОСТАНОВЛЯЕ:</w:t>
      </w:r>
    </w:p>
    <w:p w14:paraId="32A55F2F" w14:textId="77777777" w:rsidR="003B6C79" w:rsidRPr="00DB5D0D" w:rsidRDefault="003B6C7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Утвердить предложение НКВМФ о принятия на вооружение противолодочных, авиабомб конструкции ГСКБ № 47 Народного Комис</w:t>
      </w:r>
      <w:r w:rsidRPr="00DB5D0D">
        <w:rPr>
          <w:rFonts w:ascii="Times New Roman" w:hAnsi="Times New Roman"/>
          <w:color w:val="0070C0"/>
          <w:sz w:val="16"/>
          <w:szCs w:val="16"/>
        </w:rPr>
        <w:softHyphen/>
        <w:t>сариата Боеприпасов со следующий- тактико-техническими данными:</w:t>
      </w:r>
    </w:p>
    <w:p w14:paraId="0D415AA8" w14:textId="77777777" w:rsidR="003B6C79" w:rsidRPr="00DB5D0D" w:rsidRDefault="003B6C7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Противолодочная авиабомба предназначается для борь</w:t>
      </w:r>
      <w:r w:rsidRPr="00DB5D0D">
        <w:rPr>
          <w:rFonts w:ascii="Times New Roman" w:hAnsi="Times New Roman"/>
          <w:color w:val="0070C0"/>
          <w:sz w:val="16"/>
          <w:szCs w:val="16"/>
        </w:rPr>
        <w:softHyphen/>
        <w:t>бы с подводными лодками в подводном и надводном положении до глу</w:t>
      </w:r>
      <w:r w:rsidRPr="00DB5D0D">
        <w:rPr>
          <w:rFonts w:ascii="Times New Roman" w:hAnsi="Times New Roman"/>
          <w:color w:val="0070C0"/>
          <w:sz w:val="16"/>
          <w:szCs w:val="16"/>
        </w:rPr>
        <w:softHyphen/>
        <w:t>бины 80 мт., при скоростях самолета от 180-220 ки/ч. Высота бомбо</w:t>
      </w:r>
      <w:r w:rsidRPr="00DB5D0D">
        <w:rPr>
          <w:rFonts w:ascii="Times New Roman" w:hAnsi="Times New Roman"/>
          <w:color w:val="0070C0"/>
          <w:sz w:val="16"/>
          <w:szCs w:val="16"/>
        </w:rPr>
        <w:softHyphen/>
        <w:t>метания в пределах 300-800 мт., углы прицеливания с высоты 300 мт. против ветра 27°,по ветру 34°, с высоты 600 мт. против ветра 13,3 по ветру 25°. Бомба подвешивается под все существующие самолеты.</w:t>
      </w:r>
    </w:p>
    <w:p w14:paraId="1F3F8493" w14:textId="77777777" w:rsidR="003B6C79" w:rsidRPr="00DB5D0D" w:rsidRDefault="003B6C7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Вес бомбы 100 кг. длина 825 мм., диаметр 290 мм.</w:t>
      </w:r>
    </w:p>
    <w:p w14:paraId="62CDAEF4" w14:textId="77777777" w:rsidR="003B6C79" w:rsidRPr="00DB5D0D" w:rsidRDefault="003B6C7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Вес заряда 70 кг. (Тротил),</w:t>
      </w:r>
    </w:p>
    <w:p w14:paraId="07BD9F49" w14:textId="77777777" w:rsidR="003B6C79" w:rsidRPr="00DB5D0D" w:rsidRDefault="003B6C7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Тормозное приспособление (для погашения поступатель</w:t>
      </w:r>
      <w:r w:rsidRPr="00DB5D0D">
        <w:rPr>
          <w:rFonts w:ascii="Times New Roman" w:hAnsi="Times New Roman"/>
          <w:color w:val="0070C0"/>
          <w:sz w:val="16"/>
          <w:szCs w:val="16"/>
        </w:rPr>
        <w:softHyphen/>
        <w:t>ной скорости) парашют, действующий на принципе пиротехнического расцепляющего механизма.</w:t>
      </w:r>
    </w:p>
    <w:p w14:paraId="1094626E" w14:textId="77777777" w:rsidR="003B6C79" w:rsidRPr="00DB5D0D" w:rsidRDefault="003B6C7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Обязать НКБоеприпасов подать HKВМФ в 1940 году первую серийную партию авиабомб ПЛАБ-100 с взрывателем ТМ-7 в количестве 1.000 штук.</w:t>
      </w:r>
    </w:p>
    <w:p w14:paraId="2790BE33" w14:textId="77777777" w:rsidR="003B6C79" w:rsidRPr="00DB5D0D" w:rsidRDefault="003B6C7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Обязать Наркомлегпром СССР изготовить на заводе -1000 шт. парашютов для комплектации авиабомб "ПЛАБ-100” за счет фондов НКФМФ (21951).</w:t>
      </w:r>
    </w:p>
    <w:p w14:paraId="76DD72C1" w14:textId="77777777" w:rsidR="003B6C79" w:rsidRPr="00DB5D0D" w:rsidRDefault="003B6C79" w:rsidP="00DB5D0D">
      <w:pPr>
        <w:spacing w:after="0" w:line="240" w:lineRule="auto"/>
        <w:jc w:val="both"/>
        <w:rPr>
          <w:rFonts w:ascii="Times New Roman" w:hAnsi="Times New Roman"/>
          <w:color w:val="0070C0"/>
          <w:sz w:val="16"/>
          <w:szCs w:val="16"/>
        </w:rPr>
      </w:pPr>
    </w:p>
    <w:p w14:paraId="32769C96" w14:textId="77777777" w:rsidR="00123DE0" w:rsidRPr="00DB5D0D" w:rsidRDefault="00123DE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июля 1940 г. приказом НКАП в ЦАГИ организовали Научно-исследовательскую лабораторию воздухоплавания. В 1941 г. с началом Великой Отечественной войны на институт возложили задачи доработки существующих аэростатов воздушного заграждения и разработки новых, так как возможности существовавшего тогда небольшого конструкторского бюро в Наркомате химической промышленности на заводе «Каучук», занимавшегося этими вопросами, оказались недостаточными. Основные работы в области военного воздухоплавания были возложены на 13-ю лабораторию ЦАГИ под руководством В. Н. Архан - гельского, которая выполняла основной объем опытно-конструкторских работ. Первоначально ЦАГИ занимался доведениям уже существующих систем воздушного заграждения. Проведенные в 1941 г. испытания аэростата заграж - дения № 195 системы «Триплет», разработанной до войны, показали, что он не имеет достаточной устойчивости. В 1942 г. его доработали и вновь передали на испытания в Воздухоплавательный полигон. С 1941 г. в институте развернули опытное производство оболочек аэростатов заграждения, образцы которых могли быть переданы для серийного производства. Трудностями в работе было тесные помещения, в которых зачастую невозможно было полностью развернуть оболочку аэростата. Параллельно приходилось решать вопросы выбора клея, методов склейки оболочки. В среднем на одну оболочку аэростата заграждения объемом 500—700 м уходило порядка 30—40 рабочих дней в зависимости от сложности оболочки. Начальник Главного управления противовоздушной обороны (ПВО) Красной Армии в своем письме А. С. Яковлеву от 19 августа отметил, что эта лаборатория работает по заданию Главного управления ПВО Красной Армии и ее работа направлена «на повышение боевых качеств аэростатов заграждения». В письме был приведен пример успешного действия опытных образцов аэростатов заграждения при защите г. Москвы: «в ночь с 11 на 12 августа самолет противника «Хейнкель-111» налетел на трос, оснащенный, инерционным звеном, и крыло было полностью отпилено». Одновременно в письме выражалась просьба о том, что воздухоплавательная лаборатория </w:t>
      </w:r>
      <w:r w:rsidRPr="00DB5D0D">
        <w:rPr>
          <w:rFonts w:ascii="Times New Roman" w:hAnsi="Times New Roman"/>
          <w:color w:val="000000" w:themeColor="text1"/>
          <w:sz w:val="16"/>
          <w:szCs w:val="16"/>
        </w:rPr>
        <w:lastRenderedPageBreak/>
        <w:t>ЦАГИ должна продолжать опытные работы по дальнейшему совершенствованию инерционных звеньев, улучшению корпусов азростатных мин, созданию новых типов аэростатов заграждения». В 1942 г. в ЦАГИ разработал ряд опытных образцов аэростатов заграждения и наблюдения, включая одиночный баллонетный аэростат заграждения БАЗ-136 системы «Тандем» с потолком 6000 м (в системе «Тандем» — на 2000 м выше существующих образцов) и возможностью эксплуатации при скоростях ветра до 20 м/с. Высокие качества аэростата удалось получить за счет улучшения аэродинамики (снижения коэффициента лобового сопротивлении), удачно выбранных форм корпуса, конструкции оперения, системы подвески, хорошей балансировки и устойчивости аэростата. Существовало две модификации аэростата — «136-6» с оболочной с 5-ю шелковыми полотнищами, и «136-3» — целиком из шелковой ткани. Аэростат БАЗ-136 прошел полигонные испытания в конце сентября 1942 г. и был принят на вооружение. С 1942 г. аэростатные заводы (№№ 151, 688, 704 и «Каучук») выпускали только аэростаты БАЗ-136, а его серийное производство продолжалось вплоть до 1950-х годов. В начале 1945 г. по заданию ГАУ была проведена модернизация БАЗ-136 (увеличение ветровой нагрузки до 22 м/с, регулирование угла атаки аэростата за счет силы ветра, повышение потолка за счет облегченных материалов). В варианте аэростата наблюдения БАЗ-136М мог поднимать одного наблюдателя на высоту до 1000 м. Испытания БАЗ-136М закончились в мае 1945 г., но на вооружение аэростат не принимался. В ЦАГИ был так же разработан аэростат заграждения «206» — вариант БАЗ-136 с жестким оперением (потолок 4500 м, Р. В. Пятышев) с улучшенной аэродинамикой. За основу оперения был принято оперение британского военно-морского аэростата КВ-6, но за счет использования более прогрессивной конструкции оперения, вес 1 м2 конструкции у аэростата «206» оказался в 1.5 раза меньше, чем у британского аналога. Расчеты показали, что натяжение троса аэростата «206» значительно меньше, чем у исходного БАЗ-136. Разработанный в 1943 г. аэростат заграждения КАЗ-43 объемом 675 м3 на вооружение не принимал80 Модель аэростата заграждения для исследований в аэродинамической трубе Аэростат наблюдения БАЗ-136М ся из-за разногласий между ГАУ и ПВО. В 1944 г. был также разработан аэростат НАЗ-Ф объемом 330 м3 и высотой подъема до 2500 м, принятый на вооружение уже после войны. Для обеспечения большей «убойности» тросов заграждения в 1941 г. ЦАГИ разработал инерционное звено ИЗ-04, предохраняющее обрыв тросов в точке соприкосновения с самолетом в момент его налета на трос. В 1942 г. было разработано инерционное звено ИЗ-06. Представители полков ПВО проходили в ЦАГИ обучение по пользованию инерционными звеньями совместно с минами МВЗ-1. Для преодоления различных препятствий при маневре аэростатами (линий электропередачи, телеграфных) лаборатория №13 по предложению подполковника Зыкова создала систему из трех маневровых тросов с разъемными звеньями, позволяющую проводить аэростат через препятствия без отцепки от лебедки. Для провода через препятствие теперь требовалось только 3—4 человека вместо полной команды аэростата. Система подполковника Зыкова успешно прошла войсковые испытания и была принята на вооружение. К марту 1942 г. в ЦАГИ завершился выпуск чертежей для серийного изготовления аэростата наблюдения АН-540Б (ст. инженер Н. П. Благона - деждин), принятого на вооружение в феврале 1942 г. Аэростат позволял выполнять основные задачи ближней артиллерийской воздушной разведки с корректировкой артогня, обладая при этом повышенной по сравнению со старыми типами аэростатов наблюдения подвижностью. Артиллерийский аэростат наблюдения АН-400 (объем 400 м3 ) был разработан к сентябрю 1942 г. под руководством начальника группы П. С. Щеглова. За счет меньшего объема по сравнению с имеющимся тогда на вооружении АН-540, новый АН-400 был более подвижный, с командой обслуживания в 12—14 человек. Для подобных малообъемных аэростатов наблюдения лаборатория №13 разработала облегченную гондолу, которая была легче стандартной на 10—12 кг. К декабрю 1942 г. был создан сигнальный аэростат для воздушно-десантных войск для обозначения пункта сбора сброшенных десантников. В лабора - тории № 4 под руководством ст. инженера М. Р. Ас - таш кевича разработали сам аэростат, лебедку, сигнальную систему (флаги, электролампы с дальностью наблюдения сигналов до 2.5 км днем и 4.5 км ночью) и аппарат для газодобывания. Последний испытать в полигонных условиях не удалось ввиду отсутствия гидрида кальция, но аэростат был рекомендован к принятию на вооружение ВДВ КА. С 1942 г. в ЦАГИ начались опыты по использованию в качестве материалов для фалов и тросов аэростатов стекловолокна. Для облегчения оболочки аэростатов ставились опыты по использованию различных образцов бумаги, пропитанной лаком или резиной, разрабатывались покрытия, позволяющие восстановить газонепроницаемость оболочки. До декабря 1942 г. под руководством кандидата физико-математических наук Г. С. Мороз велась теоретическая и практическая работа по созданию парашютно-минной завесы (ПМЗ). Она предназначалась для тех же целей, что и аэростатные заграждения, но имела лучшую маневренность и обеспечивала достижение больших потолков. По результатам полигонных испытаний завеса получила положительную оценку. Успешные работы ЦАГИ в области аэростатов заграждения привели к решению Государственного Комитета Обороны от 23 сентября 1943 г. закрепить за 13-й лабораторией все работы по проектированию и изготовлению опытных образцов аэростатов заграждения, аэростатов наблюдения, приборов и средств эффективности для аэростатов заграждения. В 1944 г. на вооружение был принят разработанный ЦАГИ морской аэростат заграждения — МАЗ-1 с высотой подъема 1200 м и эксплуатационной скоростью ветра до 30 м/с. Аэростат предназначался для защиты кораблей и гаваней от атаки низколетящих торпедоносцев и штурмовиков. Для чего в ЦАГИ была разработана опытная лебедка ЛАМ-2 с мотоциклетным мотором М-72 для подъема аэростата с морских судов. По требованию НИИ ВВС (январь 1945 г.) ЦАГИ разработал серию опытных сигнальных аэростатов СА-25 и специальное оборудование к ним. Работы закончили уже после окончания войны. Главное артиллерийское управление (ГАУ) МО добивалось максимальной загрузки коллектива опытными работами, что не соответствовало основному характеру деятельности научно-исследовательского подразделения. Но специализированной опытно-конструкторской организации, способной отрабатывать опытные образцы аэростатов и аэростатного вооружения, в стране практически не существовало. По заданию Главного артиллерийского управления (ГАУ) (март 1945 г.) начались работы по малообъемным аэростатам с жестким оперением ЭМА-1 и ЭМА-2. После войны на их базе были созданы аэростаты высотного зондирования в системе Гидрометео - службы. По требованию ГАУ в 1945 г. начались работы по опытному образцу моторизированного аэростата МАН-1400, который мог применяться как аэростат наблюдения и совершать управляемые полеты как дирижабль. Работы завершились уже после войны (19727).</w:t>
      </w:r>
    </w:p>
    <w:p w14:paraId="0B61FA57" w14:textId="77777777" w:rsidR="00123DE0" w:rsidRPr="00DB5D0D" w:rsidRDefault="00123DE0" w:rsidP="00DB5D0D">
      <w:pPr>
        <w:spacing w:after="0" w:line="240" w:lineRule="auto"/>
        <w:jc w:val="both"/>
        <w:rPr>
          <w:rFonts w:ascii="Times New Roman" w:hAnsi="Times New Roman"/>
          <w:color w:val="000000" w:themeColor="text1"/>
          <w:sz w:val="16"/>
          <w:szCs w:val="16"/>
        </w:rPr>
      </w:pPr>
    </w:p>
    <w:p w14:paraId="48CD98E6" w14:textId="77777777" w:rsidR="003C7E8B" w:rsidRPr="00DB5D0D" w:rsidRDefault="00B30AFA" w:rsidP="00DB5D0D">
      <w:pPr>
        <w:tabs>
          <w:tab w:val="left" w:pos="360"/>
        </w:tabs>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26F795D" w14:textId="77777777" w:rsidR="003C7E8B" w:rsidRPr="00DB5D0D" w:rsidRDefault="003C7E8B" w:rsidP="00DB5D0D">
      <w:pPr>
        <w:tabs>
          <w:tab w:val="left" w:pos="360"/>
        </w:tabs>
        <w:spacing w:after="0" w:line="240" w:lineRule="auto"/>
        <w:jc w:val="both"/>
        <w:rPr>
          <w:rFonts w:ascii="Times New Roman" w:hAnsi="Times New Roman"/>
          <w:iCs/>
          <w:color w:val="000000" w:themeColor="text1"/>
          <w:sz w:val="16"/>
          <w:szCs w:val="16"/>
        </w:rPr>
      </w:pPr>
    </w:p>
    <w:p w14:paraId="598F95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 предложения предложение о развертывании выпуска Ф-32 до конца 1940 г. еще на двух заводах - №92 и №13 были оформлены в виде проекта постановления Комитета обороны и отправллены с письмом №74465сс в адрес заместителя Народного Ко</w:t>
      </w:r>
      <w:r w:rsidRPr="00DB5D0D">
        <w:rPr>
          <w:rFonts w:ascii="Times New Roman" w:hAnsi="Times New Roman"/>
          <w:color w:val="000000" w:themeColor="text1"/>
          <w:sz w:val="16"/>
          <w:szCs w:val="16"/>
        </w:rPr>
        <w:softHyphen/>
        <w:t>миссара обороны СССР Г.К. Кулика.</w:t>
      </w:r>
    </w:p>
    <w:p w14:paraId="74557992" w14:textId="77777777" w:rsidR="003C7E8B" w:rsidRPr="00DB5D0D" w:rsidRDefault="003C7E8B" w:rsidP="00DB5D0D">
      <w:pPr>
        <w:pStyle w:val="a3"/>
        <w:rPr>
          <w:color w:val="000000" w:themeColor="text1"/>
          <w:lang w:val="ru-RU"/>
        </w:rPr>
      </w:pPr>
      <w:r w:rsidRPr="00DB5D0D">
        <w:rPr>
          <w:color w:val="000000" w:themeColor="text1"/>
          <w:lang w:val="ru-RU"/>
        </w:rPr>
        <w:t>Сов. Секретно</w:t>
      </w:r>
    </w:p>
    <w:p w14:paraId="0E25C72F" w14:textId="77777777" w:rsidR="003C7E8B" w:rsidRPr="00DB5D0D" w:rsidRDefault="003C7E8B" w:rsidP="00DB5D0D">
      <w:pPr>
        <w:pStyle w:val="a3"/>
        <w:tabs>
          <w:tab w:val="left" w:leader="underscore" w:pos="4098"/>
        </w:tabs>
        <w:rPr>
          <w:color w:val="000000" w:themeColor="text1"/>
          <w:lang w:val="ru-RU"/>
        </w:rPr>
      </w:pPr>
      <w:r w:rsidRPr="00DB5D0D">
        <w:rPr>
          <w:color w:val="000000" w:themeColor="text1"/>
          <w:u w:val="single"/>
          <w:lang w:val="ru-RU"/>
        </w:rPr>
        <w:t xml:space="preserve">Проект </w:t>
      </w:r>
      <w:r w:rsidRPr="00DB5D0D">
        <w:rPr>
          <w:color w:val="000000" w:themeColor="text1"/>
          <w:lang w:val="ru-RU"/>
        </w:rPr>
        <w:t>Постановление Комитета обороны при С.Н.К. Союза С. С. Р. №</w:t>
      </w:r>
      <w:r w:rsidRPr="00DB5D0D">
        <w:rPr>
          <w:rStyle w:val="Batang16pt-1ptGulim125pt1111101Tahoma10pt"/>
          <w:rFonts w:ascii="Times New Roman" w:cs="Times New Roman"/>
          <w:iCs/>
          <w:color w:val="000000" w:themeColor="text1"/>
          <w:spacing w:val="0"/>
          <w:sz w:val="16"/>
          <w:szCs w:val="16"/>
          <w:lang w:val="ru-RU"/>
        </w:rPr>
        <w:tab/>
      </w:r>
    </w:p>
    <w:p w14:paraId="5A571457" w14:textId="77777777" w:rsidR="003C7E8B" w:rsidRPr="00DB5D0D" w:rsidRDefault="003C7E8B" w:rsidP="00DB5D0D">
      <w:pPr>
        <w:pStyle w:val="a3"/>
        <w:tabs>
          <w:tab w:val="left" w:leader="underscore" w:pos="502"/>
        </w:tabs>
        <w:rPr>
          <w:color w:val="000000" w:themeColor="text1"/>
          <w:lang w:val="ru-RU"/>
        </w:rPr>
      </w:pPr>
      <w:r w:rsidRPr="00DB5D0D">
        <w:rPr>
          <w:color w:val="000000" w:themeColor="text1"/>
          <w:lang w:val="ru-RU"/>
        </w:rPr>
        <w:t>«</w:t>
      </w:r>
      <w:r w:rsidRPr="00DB5D0D">
        <w:rPr>
          <w:color w:val="000000" w:themeColor="text1"/>
          <w:lang w:val="ru-RU"/>
        </w:rPr>
        <w:tab/>
        <w:t>»июля 1940 года</w:t>
      </w:r>
    </w:p>
    <w:p w14:paraId="59B42545" w14:textId="77777777" w:rsidR="003C7E8B" w:rsidRPr="00DB5D0D" w:rsidRDefault="003C7E8B" w:rsidP="00DB5D0D">
      <w:pPr>
        <w:pStyle w:val="a3"/>
        <w:rPr>
          <w:color w:val="000000" w:themeColor="text1"/>
          <w:lang w:val="ru-RU"/>
        </w:rPr>
      </w:pPr>
      <w:r w:rsidRPr="00DB5D0D">
        <w:rPr>
          <w:color w:val="000000" w:themeColor="text1"/>
          <w:lang w:val="ru-RU"/>
        </w:rPr>
        <w:t>Москва-Кремль</w:t>
      </w:r>
    </w:p>
    <w:p w14:paraId="6F06B5D5" w14:textId="77777777" w:rsidR="003C7E8B" w:rsidRPr="00DB5D0D" w:rsidRDefault="003C7E8B" w:rsidP="00DB5D0D">
      <w:pPr>
        <w:pStyle w:val="a3"/>
        <w:tabs>
          <w:tab w:val="left" w:pos="733"/>
        </w:tabs>
        <w:rPr>
          <w:color w:val="000000" w:themeColor="text1"/>
          <w:lang w:val="ru-RU"/>
        </w:rPr>
      </w:pPr>
      <w:r w:rsidRPr="00DB5D0D">
        <w:rPr>
          <w:color w:val="000000" w:themeColor="text1"/>
          <w:lang w:val="ru-RU"/>
        </w:rPr>
        <w:t>1. В целях обеспечения вооружения танков Т-34, выпуска 1940 года в количестве 600 шт., немедленно приступить к организации производства пушек Ф-32 и изготовить к 1.1.1941:</w:t>
      </w:r>
    </w:p>
    <w:p w14:paraId="6F7AB08D" w14:textId="77777777" w:rsidR="003C7E8B" w:rsidRPr="00DB5D0D" w:rsidRDefault="003C7E8B" w:rsidP="00DB5D0D">
      <w:pPr>
        <w:pStyle w:val="a3"/>
        <w:rPr>
          <w:color w:val="000000" w:themeColor="text1"/>
          <w:lang w:val="ru-RU"/>
        </w:rPr>
      </w:pPr>
      <w:r w:rsidRPr="00DB5D0D">
        <w:rPr>
          <w:color w:val="000000" w:themeColor="text1"/>
          <w:lang w:val="ru-RU"/>
        </w:rPr>
        <w:t>На заводе № 92 НКВ - 150 штук</w:t>
      </w:r>
    </w:p>
    <w:p w14:paraId="50D3FAF2" w14:textId="77777777" w:rsidR="003C7E8B" w:rsidRPr="00DB5D0D" w:rsidRDefault="003C7E8B" w:rsidP="00DB5D0D">
      <w:pPr>
        <w:pStyle w:val="a3"/>
        <w:rPr>
          <w:color w:val="000000" w:themeColor="text1"/>
          <w:lang w:val="ru-RU"/>
        </w:rPr>
      </w:pPr>
      <w:r w:rsidRPr="00DB5D0D">
        <w:rPr>
          <w:color w:val="000000" w:themeColor="text1"/>
          <w:lang w:val="ru-RU"/>
        </w:rPr>
        <w:t>На заводе № 13 НКВ - 50 штук</w:t>
      </w:r>
    </w:p>
    <w:p w14:paraId="6F4EFB24" w14:textId="77777777" w:rsidR="003C7E8B" w:rsidRPr="00DB5D0D" w:rsidRDefault="003C7E8B" w:rsidP="00DB5D0D">
      <w:pPr>
        <w:pStyle w:val="a3"/>
        <w:rPr>
          <w:color w:val="000000" w:themeColor="text1"/>
          <w:lang w:val="ru-RU"/>
        </w:rPr>
      </w:pPr>
      <w:r w:rsidRPr="00DB5D0D">
        <w:rPr>
          <w:color w:val="000000" w:themeColor="text1"/>
          <w:lang w:val="ru-RU"/>
        </w:rPr>
        <w:t>На Кировском заводе НКТМ - 150 штук</w:t>
      </w:r>
    </w:p>
    <w:p w14:paraId="44057D21" w14:textId="77777777" w:rsidR="003C7E8B" w:rsidRPr="00DB5D0D" w:rsidRDefault="003C7E8B" w:rsidP="00DB5D0D">
      <w:pPr>
        <w:pStyle w:val="a3"/>
        <w:tabs>
          <w:tab w:val="left" w:pos="754"/>
        </w:tabs>
        <w:rPr>
          <w:color w:val="000000" w:themeColor="text1"/>
          <w:lang w:val="ru-RU"/>
        </w:rPr>
      </w:pPr>
      <w:r w:rsidRPr="00DB5D0D">
        <w:rPr>
          <w:color w:val="000000" w:themeColor="text1"/>
          <w:lang w:val="ru-RU"/>
        </w:rPr>
        <w:t>2. Танки Т-34 в количестве 300 штук выпуска 1940 года воору</w:t>
      </w:r>
      <w:r w:rsidRPr="00DB5D0D">
        <w:rPr>
          <w:color w:val="000000" w:themeColor="text1"/>
          <w:lang w:val="ru-RU"/>
        </w:rPr>
        <w:softHyphen/>
        <w:t>жить пушками калибра 45 мм с последующей заменой их 76 мм пуш</w:t>
      </w:r>
      <w:r w:rsidRPr="00DB5D0D">
        <w:rPr>
          <w:color w:val="000000" w:themeColor="text1"/>
          <w:lang w:val="ru-RU"/>
        </w:rPr>
        <w:softHyphen/>
        <w:t xml:space="preserve">ками Ф-32. [РГВА. Ф.31811. </w:t>
      </w:r>
      <w:r w:rsidRPr="00DB5D0D">
        <w:rPr>
          <w:color w:val="000000" w:themeColor="text1"/>
        </w:rPr>
        <w:t>On</w:t>
      </w:r>
      <w:r w:rsidRPr="00DB5D0D">
        <w:rPr>
          <w:color w:val="000000" w:themeColor="text1"/>
          <w:lang w:val="ru-RU"/>
        </w:rPr>
        <w:t>.2. Д.978. Л.258.] (11940).</w:t>
      </w:r>
    </w:p>
    <w:p w14:paraId="219E27F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6F10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г. Комитет Обороны СССР издал постановление №311сс «О принятии на вооружение оптического прицела укороченного типа конструкции и изготовления Харьковского комбината НКВД им. Дзержинского для самозарядной винтовки Токарева (обр. 1940 г.)». До конца 1940 г. завод №3 выпустил уже 9350 прицелов ПЕ и 5675 ПУ (ленинградский завод №357 — бывший «Прогресс» — 23764 ПЕ и 15011 ПУ). В феврале 1941 г. последовала новая реорганизация: Харьковский комбинат НКВД был полностью передан в наркомат авиационной промышленности и стал заводом №296, в состав которого включили и бывший завод №3 НКВД СССР. В выпуске 1941 г. каждый третий советский снайперский прицел был харьковского производства [42]. Одновременно здесь начали осваивать выпуск авиационных прицелов. Проблем с набором рабочей силы в Харькове не возникало (11438).</w:t>
      </w:r>
    </w:p>
    <w:p w14:paraId="7EE9662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B0000D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A2E084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301995D" w14:textId="77777777" w:rsidR="004E2226" w:rsidRPr="00DB5D0D" w:rsidRDefault="004E22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июля в 1940 году фирма "Де Хевилленд" получила указание изготовить один из пятидесяти заказанных ей самолетов </w:t>
      </w:r>
      <w:hyperlink r:id="rId206" w:tgtFrame="_blank" w:history="1">
        <w:r w:rsidRPr="00DB5D0D">
          <w:rPr>
            <w:rFonts w:ascii="Times New Roman" w:hAnsi="Times New Roman"/>
            <w:color w:val="000000" w:themeColor="text1"/>
            <w:sz w:val="16"/>
            <w:szCs w:val="16"/>
          </w:rPr>
          <w:t xml:space="preserve">«D.H.98» </w:t>
        </w:r>
      </w:hyperlink>
      <w:r w:rsidRPr="00DB5D0D">
        <w:rPr>
          <w:rFonts w:ascii="Times New Roman" w:hAnsi="Times New Roman"/>
          <w:color w:val="000000" w:themeColor="text1"/>
          <w:sz w:val="16"/>
          <w:szCs w:val="16"/>
        </w:rPr>
        <w:t>в варианте "истребителя". Для соответствующей переделки был выделен планер машины «W4052». С самого начала "Москито" - истребитель проектировался с мощнейшим по тому времени составом вооружения, включавшим четыре 20-мм пушки "Испано-Сюиза" «HS404» и четыре пулемета "Браунинг" винтовочного калибра (14956).</w:t>
      </w:r>
    </w:p>
    <w:p w14:paraId="2F655662" w14:textId="77777777" w:rsidR="004E2226" w:rsidRPr="00DB5D0D" w:rsidRDefault="004E2226" w:rsidP="00DB5D0D">
      <w:pPr>
        <w:spacing w:after="0" w:line="240" w:lineRule="auto"/>
        <w:jc w:val="both"/>
        <w:rPr>
          <w:rFonts w:ascii="Times New Roman" w:hAnsi="Times New Roman"/>
          <w:color w:val="000000" w:themeColor="text1"/>
          <w:sz w:val="16"/>
          <w:szCs w:val="16"/>
        </w:rPr>
      </w:pPr>
    </w:p>
    <w:p w14:paraId="5DAFC005" w14:textId="77777777" w:rsidR="00A27B4E" w:rsidRPr="00DB5D0D" w:rsidRDefault="00A27B4E"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color w:val="000000" w:themeColor="text1"/>
          <w:sz w:val="16"/>
          <w:szCs w:val="16"/>
        </w:rPr>
        <w:t>18 июля</w:t>
      </w:r>
      <w:r w:rsidRPr="00DB5D0D">
        <w:rPr>
          <w:rFonts w:ascii="Times New Roman" w:hAnsi="Times New Roman"/>
          <w:bCs/>
          <w:color w:val="000000" w:themeColor="text1"/>
          <w:sz w:val="16"/>
          <w:szCs w:val="16"/>
        </w:rPr>
        <w:t xml:space="preserve"> 1940 Гитлер устроил парад победы в Берлине: «Сегодня, впервые после 1871 года, германские войска устроили парад победы через Бранденбургские ворота. Они были представлены дивизией, сформированной в Берлине. Магазины и заводы закрыть, таков приказ, и весь город вышел веселиться.» «На площади было довольно душно, и десятка два женщин на площади упали в обморок. Опытные санитары из Красного Креста поднимали их с тротуаров на носилки и уносили в ближайшие пункты скорой помощи. Все солдаты были крепкими и загорелыми, и они маршировали гусиным шагом, как автоматы. Лошадь под одним офицером, видимо не привыкшая к парадам победы, устроила небольшой цирк. Дико взбрыкнув, она ударилась задом о зрительскую трибуну, чуть не угодив в доктора Геббельса» (17398).</w:t>
      </w:r>
    </w:p>
    <w:p w14:paraId="3A667887" w14:textId="77777777" w:rsidR="00A27B4E" w:rsidRPr="00DB5D0D" w:rsidRDefault="00A27B4E" w:rsidP="00DB5D0D">
      <w:pPr>
        <w:spacing w:after="0" w:line="240" w:lineRule="auto"/>
        <w:jc w:val="both"/>
        <w:rPr>
          <w:rFonts w:ascii="Times New Roman" w:hAnsi="Times New Roman"/>
          <w:iCs/>
          <w:color w:val="000000" w:themeColor="text1"/>
          <w:sz w:val="16"/>
          <w:szCs w:val="16"/>
        </w:rPr>
      </w:pPr>
    </w:p>
    <w:p w14:paraId="082A9E6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 xml:space="preserve">18 июля 1940 из Германии началось вещание на Британию радио "Каледония", призывающего Шотландию к отделению </w:t>
      </w:r>
      <w:r w:rsidRPr="00DB5D0D">
        <w:rPr>
          <w:rFonts w:ascii="Times New Roman" w:hAnsi="Times New Roman"/>
          <w:color w:val="000000" w:themeColor="text1"/>
          <w:sz w:val="16"/>
          <w:szCs w:val="16"/>
          <w:lang w:val="en-US"/>
        </w:rPr>
        <w:t>(4962).</w:t>
      </w:r>
    </w:p>
    <w:p w14:paraId="660C64B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lang w:val="en-US"/>
        </w:rPr>
      </w:pPr>
    </w:p>
    <w:p w14:paraId="04814F6D"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18 1940 British Prime Minister announced terms of a temporary agreement for stoppage of war supplies to China through Burma and Hong Kong (1223).</w:t>
      </w:r>
    </w:p>
    <w:p w14:paraId="6FD0B4E1"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34B802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Премьер Министров Англии объявил условия временного соглашения о приостановке военных поставок в Китай через Бирму и Гонконг (1223).</w:t>
      </w:r>
    </w:p>
    <w:p w14:paraId="1257897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406C3F" w14:textId="77777777" w:rsidR="004E2226" w:rsidRPr="00DB5D0D" w:rsidRDefault="004E22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в 1940 году Черчилль выступил в палате общин по вопросу Бирманской дороги, основной маршрут снабжения Китая, идущий от Лашо в Бирме (современная Мьянма) до Куньмина в Китае: "время, полученное таким образом, может привести Японию и Китай к справедливому беспристрастному решению, свободно принятому обеими странами". Эттли заявил, что сомневается, будто "японской угрозы Малайе теперь не существует. Есть все основания полагать, что Германия в последние дни достигла важного соглашения с Японией, и нелишне было бы принять меры для укрепления обороны Сингапура с суши" (14956).</w:t>
      </w:r>
    </w:p>
    <w:p w14:paraId="19858F92" w14:textId="77777777" w:rsidR="004E2226" w:rsidRPr="00DB5D0D" w:rsidRDefault="004E2226" w:rsidP="00DB5D0D">
      <w:pPr>
        <w:spacing w:after="0" w:line="240" w:lineRule="auto"/>
        <w:jc w:val="both"/>
        <w:rPr>
          <w:rFonts w:ascii="Times New Roman" w:hAnsi="Times New Roman"/>
          <w:color w:val="000000" w:themeColor="text1"/>
          <w:sz w:val="16"/>
          <w:szCs w:val="16"/>
        </w:rPr>
      </w:pPr>
    </w:p>
    <w:p w14:paraId="33E18FF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F5D760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F8525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НКАП А.И.Ш. писал СЕКРЕТАРЮ ЦК ВКП (б) тов. А Н Д Р Е Е В У А.А.</w:t>
      </w:r>
    </w:p>
    <w:p w14:paraId="61EF68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Работник завода № 18 тов. Корольков в своем письме на Ваше имя от 8.7.1940 года сообщил, что на заводе не используется раз</w:t>
      </w:r>
      <w:r w:rsidRPr="00DB5D0D">
        <w:rPr>
          <w:rFonts w:ascii="Times New Roman" w:hAnsi="Times New Roman"/>
          <w:color w:val="000000" w:themeColor="text1"/>
          <w:sz w:val="16"/>
          <w:szCs w:val="16"/>
        </w:rPr>
        <w:softHyphen/>
        <w:t>работанная технолгия по машине "А", отсутствует технологическая дисциплина, имеет место ненормальное отношение директора к отде</w:t>
      </w:r>
      <w:r w:rsidRPr="00DB5D0D">
        <w:rPr>
          <w:rFonts w:ascii="Times New Roman" w:hAnsi="Times New Roman"/>
          <w:color w:val="000000" w:themeColor="text1"/>
          <w:sz w:val="16"/>
          <w:szCs w:val="16"/>
        </w:rPr>
        <w:softHyphen/>
        <w:t>лам и зажим самокритики.</w:t>
      </w:r>
    </w:p>
    <w:p w14:paraId="387EDD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указанным недостаткам в работе завода К 18 докладываю следующее:</w:t>
      </w:r>
    </w:p>
    <w:p w14:paraId="761696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Проектная технология, разработанная в1936-38 г.г. бри</w:t>
      </w:r>
      <w:r w:rsidRPr="00DB5D0D">
        <w:rPr>
          <w:rFonts w:ascii="Times New Roman" w:hAnsi="Times New Roman"/>
          <w:color w:val="000000" w:themeColor="text1"/>
          <w:sz w:val="16"/>
          <w:szCs w:val="16"/>
        </w:rPr>
        <w:softHyphen/>
        <w:t>гадами Гипроавиа и Оргметалл по машине "А" (снятой с производ</w:t>
      </w:r>
      <w:r w:rsidRPr="00DB5D0D">
        <w:rPr>
          <w:rFonts w:ascii="Times New Roman" w:hAnsi="Times New Roman"/>
          <w:color w:val="000000" w:themeColor="text1"/>
          <w:sz w:val="16"/>
          <w:szCs w:val="16"/>
        </w:rPr>
        <w:softHyphen/>
        <w:t>ства в 1938 г.) предусматривала крупно-серийное производство с применением конвейерной сборки самолетов.</w:t>
      </w:r>
    </w:p>
    <w:p w14:paraId="5B905F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за конструктивного изменения самолета, а также отсутствие конвейера, разработанная технология заводом была использована частично.</w:t>
      </w:r>
    </w:p>
    <w:p w14:paraId="4CBB5A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Утверждение тов. Королькова, что все затраты, произведен</w:t>
      </w:r>
      <w:r w:rsidRPr="00DB5D0D">
        <w:rPr>
          <w:rFonts w:ascii="Times New Roman" w:hAnsi="Times New Roman"/>
          <w:color w:val="000000" w:themeColor="text1"/>
          <w:sz w:val="16"/>
          <w:szCs w:val="16"/>
        </w:rPr>
        <w:softHyphen/>
        <w:t>ные по технологии Гипроазиа оказались прямым убытком для заво</w:t>
      </w:r>
      <w:r w:rsidRPr="00DB5D0D">
        <w:rPr>
          <w:rFonts w:ascii="Times New Roman" w:hAnsi="Times New Roman"/>
          <w:color w:val="000000" w:themeColor="text1"/>
          <w:sz w:val="16"/>
          <w:szCs w:val="16"/>
        </w:rPr>
        <w:softHyphen/>
        <w:t>да - не соответствует действительности.</w:t>
      </w:r>
    </w:p>
    <w:p w14:paraId="4A8E0A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Случай нарушения технологической дисциплины на заводе имел место: директор завода тов. Шенкман приказом за № 184 от 31.1. 1940 года наложил на виновных взыскание и предупредил всех начальников цехов не допускать самовольного изменения тех</w:t>
      </w:r>
      <w:r w:rsidRPr="00DB5D0D">
        <w:rPr>
          <w:rFonts w:ascii="Times New Roman" w:hAnsi="Times New Roman"/>
          <w:color w:val="000000" w:themeColor="text1"/>
          <w:sz w:val="16"/>
          <w:szCs w:val="16"/>
        </w:rPr>
        <w:softHyphen/>
        <w:t>нологических процессов.</w:t>
      </w:r>
    </w:p>
    <w:p w14:paraId="463B4E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Ненормальное отношение директора завода тов. Шенкман к инструментальному отделу в вопросе организации централизо</w:t>
      </w:r>
      <w:r w:rsidRPr="00DB5D0D">
        <w:rPr>
          <w:rFonts w:ascii="Times New Roman" w:hAnsi="Times New Roman"/>
          <w:color w:val="000000" w:themeColor="text1"/>
          <w:sz w:val="16"/>
          <w:szCs w:val="16"/>
        </w:rPr>
        <w:softHyphen/>
        <w:t>ванной заточки инструмента, а также эаттге самокритики - соот</w:t>
      </w:r>
      <w:r w:rsidRPr="00DB5D0D">
        <w:rPr>
          <w:rFonts w:ascii="Times New Roman" w:hAnsi="Times New Roman"/>
          <w:color w:val="000000" w:themeColor="text1"/>
          <w:sz w:val="16"/>
          <w:szCs w:val="16"/>
        </w:rPr>
        <w:softHyphen/>
        <w:t>ветствует действительности.</w:t>
      </w:r>
    </w:p>
    <w:p w14:paraId="6C50DF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Мною указано директору завода тоз. Зенкман на необходи</w:t>
      </w:r>
      <w:r w:rsidRPr="00DB5D0D">
        <w:rPr>
          <w:rFonts w:ascii="Times New Roman" w:hAnsi="Times New Roman"/>
          <w:color w:val="000000" w:themeColor="text1"/>
          <w:sz w:val="16"/>
          <w:szCs w:val="16"/>
        </w:rPr>
        <w:softHyphen/>
        <w:t>мость быстрейшей ликвидации имевшихся на зазоде недостатков (1172,43).</w:t>
      </w:r>
    </w:p>
    <w:p w14:paraId="75A96A2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5ACC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(10223).</w:t>
      </w:r>
    </w:p>
    <w:p w14:paraId="596C3AE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1CB9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закончились заводские испытания ББ-2 М-88 П.О.С., которые шли с 25 мая 1940 (2090,232).</w:t>
      </w:r>
    </w:p>
    <w:p w14:paraId="710796A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2AD6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контролер Вахрушев - представитель КО СНК СССР - в журнале Учета выполнения постановлени правительства в отношении постановления КО N 240сс 1940 “О переводе самолетов СБ на пикирующие бомбардировщики и внедрении пикирующего вооружения на эти бомбардировщики” отметил:</w:t>
      </w:r>
    </w:p>
    <w:p w14:paraId="45715D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 г) обязательства не выполнены. 19 июля - позвонить в НКЭС</w:t>
      </w:r>
    </w:p>
    <w:p w14:paraId="292971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 7 б) выполнение всего 50%. Т. Дубровскому дано указание чтобы ускорил отгрузку ПАК-24 з-ду № 22. Обещал сделать к 21 июля дать 70 шт. (10395).</w:t>
      </w:r>
    </w:p>
    <w:p w14:paraId="35EF1DC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1574E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в ходе заводских испытаний И-200 А.И.М, которые проходили с 31 марта по 17 августа 1940, на И-200-2 был выполнен полет на километраж. Неудачно (2988).</w:t>
      </w:r>
    </w:p>
    <w:p w14:paraId="7D7C24A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960D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Секр. Совета по Оборонной промышленности при СНК Семичастнов писал письмо N 210/оп НКАП А.И.Ш. и ли завода 39 Степанчонку:</w:t>
      </w:r>
    </w:p>
    <w:p w14:paraId="7D8B20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"Сообщаю решение Пред. СОП СНК т. Н.А.Вознесенского по письму Степанчонка на имя И.В.С. об имевшем место случае перед испытанием самолета конструкции ЛаГГ на ЦА:</w:t>
      </w:r>
    </w:p>
    <w:p w14:paraId="5D582F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"Ограничится мерами, принятыми тт. Алексеевым и Князевым." (1172,42).</w:t>
      </w:r>
    </w:p>
    <w:p w14:paraId="1B35E48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8D3D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вышел приказ НКАП N 359сс (1294,76).</w:t>
      </w:r>
    </w:p>
    <w:p w14:paraId="2E8205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дополнение к моему приказу N 200cc об организации производства самолетов истребителей на ДВ и исходя из решений Правительства приказываю:</w:t>
      </w:r>
    </w:p>
    <w:p w14:paraId="4D1A12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Воронину и директору завода 126 Тимофеева обеспечить выпуск 10 И-26 во 2 полугодии 1940</w:t>
      </w:r>
    </w:p>
    <w:p w14:paraId="7C4D8D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Строительство 130 завода закончить во 2 полугодии 1940</w:t>
      </w:r>
    </w:p>
    <w:p w14:paraId="462F45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Воронину и директору завода 130 Бойцову обеспечить выпуск 250 И-26 в кооперации с заводом 126 (1294,76).</w:t>
      </w:r>
    </w:p>
    <w:p w14:paraId="1E876DB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880C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контролер Вахрушев - представитель КО СНК СССР - в журнале Учета выполнения постановлени правительства в отношении постановления КО N118сс 1940 “О создании двухмоторного учебно-тренировочного самолета” отметил:</w:t>
      </w:r>
    </w:p>
    <w:p w14:paraId="1A4AAA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 118 от 4.3.40 полностью отменяется (см. Постановление КО № 317 от 18 июля 1940) (10395).</w:t>
      </w:r>
    </w:p>
    <w:p w14:paraId="3D86384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1291D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состоялось заседание Техсовета при НИИ ВВС по И-26. А.С.Я. сказал, что у него нет уверенности в пикировании и нужно пропикировать 5-6 раз (2673,40).</w:t>
      </w:r>
    </w:p>
    <w:p w14:paraId="014AB83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A88B0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НКО С.Тимошенко писал письмо № 16957</w:t>
      </w:r>
    </w:p>
    <w:p w14:paraId="58E704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ПРЕДСЕДАТЕЛЮ КО - тов К.Е.В.</w:t>
      </w:r>
    </w:p>
    <w:p w14:paraId="319704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ПРЕДСЕДАТЕЛЯ СНК - тов. ВОЗНЕСЕНСКОМУ</w:t>
      </w:r>
    </w:p>
    <w:p w14:paraId="098AF6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 тов А.И.Ш.</w:t>
      </w:r>
    </w:p>
    <w:p w14:paraId="3326F6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решением Политбюро ЦК ВКП/б/ о развертывании мощностей авиапромышленности дня выпуска в 1940 году 36.000 боевых самолетов, представляю расчет самолетов по типам, справочную таблицу их вооружения и расчет на моторы.</w:t>
      </w:r>
    </w:p>
    <w:p w14:paraId="78D09B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указаний НКАП руководствоваться представленными материалами при расчетах развертывания мощностей на 1941 год.</w:t>
      </w:r>
    </w:p>
    <w:p w14:paraId="75E04C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Приложения:</w:t>
      </w:r>
    </w:p>
    <w:p w14:paraId="38EB4B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Расчет самолетов по типам на 2-х листах.</w:t>
      </w:r>
    </w:p>
    <w:p w14:paraId="35B33A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Справочная таблица о вооружения са</w:t>
      </w:r>
      <w:r w:rsidRPr="00DB5D0D">
        <w:rPr>
          <w:rFonts w:ascii="Times New Roman" w:hAnsi="Times New Roman"/>
          <w:color w:val="000000" w:themeColor="text1"/>
          <w:sz w:val="16"/>
          <w:szCs w:val="16"/>
        </w:rPr>
        <w:softHyphen/>
        <w:t>молетов на 1 листе.</w:t>
      </w:r>
    </w:p>
    <w:p w14:paraId="37CEC5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Расчет моторов по типам на 1 листе</w:t>
      </w:r>
    </w:p>
    <w:p w14:paraId="127D88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Ведомость обоснования расчета бое</w:t>
      </w:r>
      <w:r w:rsidRPr="00DB5D0D">
        <w:rPr>
          <w:rFonts w:ascii="Times New Roman" w:hAnsi="Times New Roman"/>
          <w:color w:val="000000" w:themeColor="text1"/>
          <w:sz w:val="16"/>
          <w:szCs w:val="16"/>
        </w:rPr>
        <w:softHyphen/>
        <w:t>вых самолетов на 1 листе.</w:t>
      </w:r>
    </w:p>
    <w:p w14:paraId="74E359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 делительная записка на 1 листе /два последних приложения только для тов. К.Е.В./ (9820,245).</w:t>
      </w:r>
    </w:p>
    <w:p w14:paraId="50FEA6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был подготовлен:</w:t>
      </w:r>
    </w:p>
    <w:p w14:paraId="5455CD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 самолетов по типам для подготовки мощностей авиапромышленности на 1941 год</w:t>
      </w:r>
    </w:p>
    <w:p w14:paraId="7AC6E7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Боевая авиация</w:t>
      </w:r>
    </w:p>
    <w:p w14:paraId="3B9FB8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7D5DF8" w:rsidRPr="00DB5D0D" w14:paraId="13452565" w14:textId="77777777" w:rsidTr="00E543D0">
        <w:tc>
          <w:tcPr>
            <w:tcW w:w="5605" w:type="dxa"/>
            <w:tcBorders>
              <w:top w:val="single" w:sz="12" w:space="0" w:color="auto"/>
            </w:tcBorders>
            <w:shd w:val="clear" w:color="auto" w:fill="FFFFFF"/>
          </w:tcPr>
          <w:p w14:paraId="79717E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2М-37 или 2М-30</w:t>
            </w:r>
          </w:p>
        </w:tc>
        <w:tc>
          <w:tcPr>
            <w:tcW w:w="882" w:type="dxa"/>
            <w:tcBorders>
              <w:top w:val="single" w:sz="12" w:space="0" w:color="auto"/>
            </w:tcBorders>
            <w:shd w:val="clear" w:color="auto" w:fill="FFFFFF"/>
          </w:tcPr>
          <w:p w14:paraId="12098B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4900</w:t>
            </w:r>
          </w:p>
        </w:tc>
      </w:tr>
      <w:tr w:rsidR="007D5DF8" w:rsidRPr="00DB5D0D" w14:paraId="24E10882" w14:textId="77777777" w:rsidTr="00E543D0">
        <w:tc>
          <w:tcPr>
            <w:tcW w:w="5605" w:type="dxa"/>
            <w:shd w:val="clear" w:color="auto" w:fill="FFFFFF"/>
          </w:tcPr>
          <w:p w14:paraId="5EB859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р.к. и ПБ-100 2М-105</w:t>
            </w:r>
          </w:p>
        </w:tc>
        <w:tc>
          <w:tcPr>
            <w:tcW w:w="882" w:type="dxa"/>
            <w:shd w:val="clear" w:color="auto" w:fill="FFFFFF"/>
          </w:tcPr>
          <w:p w14:paraId="613E0F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7280</w:t>
            </w:r>
          </w:p>
        </w:tc>
      </w:tr>
      <w:tr w:rsidR="007D5DF8" w:rsidRPr="00DB5D0D" w14:paraId="43EBE274" w14:textId="77777777" w:rsidTr="00E543D0">
        <w:tc>
          <w:tcPr>
            <w:tcW w:w="5605" w:type="dxa"/>
            <w:shd w:val="clear" w:color="auto" w:fill="FFFFFF"/>
          </w:tcPr>
          <w:p w14:paraId="681017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 4М-37 или 4М-30 или 4М-40</w:t>
            </w:r>
          </w:p>
        </w:tc>
        <w:tc>
          <w:tcPr>
            <w:tcW w:w="882" w:type="dxa"/>
            <w:shd w:val="clear" w:color="auto" w:fill="FFFFFF"/>
          </w:tcPr>
          <w:p w14:paraId="4C71C6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r>
      <w:tr w:rsidR="007D5DF8" w:rsidRPr="00DB5D0D" w14:paraId="2DA95826" w14:textId="77777777" w:rsidTr="00E543D0">
        <w:tc>
          <w:tcPr>
            <w:tcW w:w="5605" w:type="dxa"/>
            <w:shd w:val="clear" w:color="auto" w:fill="FFFFFF"/>
          </w:tcPr>
          <w:p w14:paraId="4B5B50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w:t>
            </w:r>
          </w:p>
        </w:tc>
        <w:tc>
          <w:tcPr>
            <w:tcW w:w="882" w:type="dxa"/>
            <w:shd w:val="clear" w:color="auto" w:fill="FFFFFF"/>
          </w:tcPr>
          <w:p w14:paraId="0926B9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r>
      <w:tr w:rsidR="007D5DF8" w:rsidRPr="00DB5D0D" w14:paraId="29B34865" w14:textId="77777777" w:rsidTr="00E543D0">
        <w:tc>
          <w:tcPr>
            <w:tcW w:w="5605" w:type="dxa"/>
            <w:tcBorders>
              <w:bottom w:val="single" w:sz="12" w:space="0" w:color="auto"/>
            </w:tcBorders>
            <w:shd w:val="clear" w:color="auto" w:fill="FFFFFF"/>
          </w:tcPr>
          <w:p w14:paraId="54A782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882" w:type="dxa"/>
            <w:tcBorders>
              <w:bottom w:val="single" w:sz="12" w:space="0" w:color="auto"/>
            </w:tcBorders>
            <w:shd w:val="clear" w:color="auto" w:fill="FFFFFF"/>
          </w:tcPr>
          <w:p w14:paraId="393E64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r>
    </w:tbl>
    <w:p w14:paraId="5DED12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7D5DF8" w:rsidRPr="00DB5D0D" w14:paraId="44687094" w14:textId="77777777" w:rsidTr="00E543D0">
        <w:tc>
          <w:tcPr>
            <w:tcW w:w="5605" w:type="dxa"/>
            <w:tcBorders>
              <w:top w:val="single" w:sz="12" w:space="0" w:color="auto"/>
            </w:tcBorders>
            <w:shd w:val="clear" w:color="auto" w:fill="FFFFFF"/>
          </w:tcPr>
          <w:p w14:paraId="6ADF06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w:t>
            </w:r>
          </w:p>
        </w:tc>
        <w:tc>
          <w:tcPr>
            <w:tcW w:w="882" w:type="dxa"/>
            <w:tcBorders>
              <w:top w:val="single" w:sz="12" w:space="0" w:color="auto"/>
            </w:tcBorders>
            <w:shd w:val="clear" w:color="auto" w:fill="FFFFFF"/>
          </w:tcPr>
          <w:p w14:paraId="09134C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3920</w:t>
            </w:r>
          </w:p>
        </w:tc>
      </w:tr>
      <w:tr w:rsidR="007D5DF8" w:rsidRPr="00DB5D0D" w14:paraId="157633C3" w14:textId="77777777" w:rsidTr="00E543D0">
        <w:tc>
          <w:tcPr>
            <w:tcW w:w="5605" w:type="dxa"/>
            <w:shd w:val="clear" w:color="auto" w:fill="FFFFFF"/>
          </w:tcPr>
          <w:p w14:paraId="75B3BC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И-190 М-88</w:t>
            </w:r>
          </w:p>
        </w:tc>
        <w:tc>
          <w:tcPr>
            <w:tcW w:w="882" w:type="dxa"/>
            <w:shd w:val="clear" w:color="auto" w:fill="FFFFFF"/>
          </w:tcPr>
          <w:p w14:paraId="0B4C9E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r>
      <w:tr w:rsidR="007D5DF8" w:rsidRPr="00DB5D0D" w14:paraId="4A638AE2" w14:textId="77777777" w:rsidTr="00E543D0">
        <w:tc>
          <w:tcPr>
            <w:tcW w:w="5605" w:type="dxa"/>
            <w:shd w:val="clear" w:color="auto" w:fill="FFFFFF"/>
          </w:tcPr>
          <w:p w14:paraId="72AC86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w:t>
            </w:r>
          </w:p>
        </w:tc>
        <w:tc>
          <w:tcPr>
            <w:tcW w:w="882" w:type="dxa"/>
            <w:shd w:val="clear" w:color="auto" w:fill="FFFFFF"/>
          </w:tcPr>
          <w:p w14:paraId="5FA7FB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6580</w:t>
            </w:r>
          </w:p>
        </w:tc>
      </w:tr>
      <w:tr w:rsidR="007D5DF8" w:rsidRPr="00DB5D0D" w14:paraId="2E1CA287" w14:textId="77777777" w:rsidTr="00E543D0">
        <w:tc>
          <w:tcPr>
            <w:tcW w:w="5605" w:type="dxa"/>
            <w:tcBorders>
              <w:bottom w:val="single" w:sz="12" w:space="0" w:color="auto"/>
            </w:tcBorders>
            <w:shd w:val="clear" w:color="auto" w:fill="FFFFFF"/>
          </w:tcPr>
          <w:p w14:paraId="67D3E7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882" w:type="dxa"/>
            <w:tcBorders>
              <w:bottom w:val="single" w:sz="12" w:space="0" w:color="auto"/>
            </w:tcBorders>
            <w:shd w:val="clear" w:color="auto" w:fill="FFFFFF"/>
          </w:tcPr>
          <w:p w14:paraId="475F4D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13300</w:t>
            </w:r>
          </w:p>
        </w:tc>
      </w:tr>
    </w:tbl>
    <w:p w14:paraId="1B93D9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ab/>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7D5DF8" w:rsidRPr="00DB5D0D" w14:paraId="464E7C6E" w14:textId="77777777" w:rsidTr="00E543D0">
        <w:tc>
          <w:tcPr>
            <w:tcW w:w="5605" w:type="dxa"/>
            <w:tcBorders>
              <w:top w:val="single" w:sz="12" w:space="0" w:color="auto"/>
            </w:tcBorders>
            <w:shd w:val="clear" w:color="auto" w:fill="FFFFFF"/>
          </w:tcPr>
          <w:p w14:paraId="120FCA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Штурмовики БШ М-38</w:t>
            </w:r>
          </w:p>
        </w:tc>
        <w:tc>
          <w:tcPr>
            <w:tcW w:w="882" w:type="dxa"/>
            <w:tcBorders>
              <w:top w:val="single" w:sz="12" w:space="0" w:color="auto"/>
            </w:tcBorders>
            <w:shd w:val="clear" w:color="auto" w:fill="FFFFFF"/>
          </w:tcPr>
          <w:p w14:paraId="02D87D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r>
      <w:tr w:rsidR="007D5DF8" w:rsidRPr="00DB5D0D" w14:paraId="3B3448BF" w14:textId="77777777" w:rsidTr="00E543D0">
        <w:tc>
          <w:tcPr>
            <w:tcW w:w="5605" w:type="dxa"/>
            <w:shd w:val="clear" w:color="auto" w:fill="FFFFFF"/>
          </w:tcPr>
          <w:p w14:paraId="4C0856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Корректировщики СБ РК 2М-105</w:t>
            </w:r>
          </w:p>
        </w:tc>
        <w:tc>
          <w:tcPr>
            <w:tcW w:w="882" w:type="dxa"/>
            <w:shd w:val="clear" w:color="auto" w:fill="FFFFFF"/>
          </w:tcPr>
          <w:p w14:paraId="76E7F1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1680</w:t>
            </w:r>
          </w:p>
        </w:tc>
      </w:tr>
      <w:tr w:rsidR="007D5DF8" w:rsidRPr="00DB5D0D" w14:paraId="6571984A" w14:textId="77777777" w:rsidTr="00E543D0">
        <w:tc>
          <w:tcPr>
            <w:tcW w:w="5605" w:type="dxa"/>
            <w:shd w:val="clear" w:color="auto" w:fill="FFFFFF"/>
          </w:tcPr>
          <w:p w14:paraId="5FD7AA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Разведчики ББ-22 2М-105</w:t>
            </w:r>
          </w:p>
        </w:tc>
        <w:tc>
          <w:tcPr>
            <w:tcW w:w="882" w:type="dxa"/>
            <w:shd w:val="clear" w:color="auto" w:fill="FFFFFF"/>
          </w:tcPr>
          <w:p w14:paraId="6FA9F0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r>
      <w:tr w:rsidR="007D5DF8" w:rsidRPr="00DB5D0D" w14:paraId="2004965E" w14:textId="77777777" w:rsidTr="00E543D0">
        <w:tc>
          <w:tcPr>
            <w:tcW w:w="5605" w:type="dxa"/>
            <w:tcBorders>
              <w:bottom w:val="single" w:sz="12" w:space="0" w:color="auto"/>
            </w:tcBorders>
            <w:shd w:val="clear" w:color="auto" w:fill="FFFFFF"/>
          </w:tcPr>
          <w:p w14:paraId="51EC4A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882" w:type="dxa"/>
            <w:tcBorders>
              <w:bottom w:val="single" w:sz="12" w:space="0" w:color="auto"/>
            </w:tcBorders>
            <w:shd w:val="clear" w:color="auto" w:fill="FFFFFF"/>
          </w:tcPr>
          <w:p w14:paraId="70E519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35000</w:t>
            </w:r>
          </w:p>
        </w:tc>
      </w:tr>
    </w:tbl>
    <w:p w14:paraId="6B0949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7D5DF8" w:rsidRPr="00DB5D0D" w14:paraId="128F2726" w14:textId="77777777" w:rsidTr="00E543D0">
        <w:tc>
          <w:tcPr>
            <w:tcW w:w="5605" w:type="dxa"/>
            <w:tcBorders>
              <w:top w:val="single" w:sz="12" w:space="0" w:color="auto"/>
            </w:tcBorders>
            <w:shd w:val="clear" w:color="auto" w:fill="FFFFFF"/>
          </w:tcPr>
          <w:p w14:paraId="5E5E13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Морских самолетов для НКВМФ</w:t>
            </w:r>
          </w:p>
        </w:tc>
        <w:tc>
          <w:tcPr>
            <w:tcW w:w="882" w:type="dxa"/>
            <w:tcBorders>
              <w:top w:val="single" w:sz="12" w:space="0" w:color="auto"/>
            </w:tcBorders>
            <w:shd w:val="clear" w:color="auto" w:fill="FFFFFF"/>
          </w:tcPr>
          <w:p w14:paraId="5A127E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6393B9EE" w14:textId="77777777" w:rsidTr="00E543D0">
        <w:tc>
          <w:tcPr>
            <w:tcW w:w="5605" w:type="dxa"/>
            <w:tcBorders>
              <w:bottom w:val="single" w:sz="12" w:space="0" w:color="auto"/>
            </w:tcBorders>
            <w:shd w:val="clear" w:color="auto" w:fill="FFFFFF"/>
          </w:tcPr>
          <w:p w14:paraId="18DD8A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боевых:</w:t>
            </w:r>
          </w:p>
        </w:tc>
        <w:tc>
          <w:tcPr>
            <w:tcW w:w="882" w:type="dxa"/>
            <w:tcBorders>
              <w:bottom w:val="single" w:sz="12" w:space="0" w:color="auto"/>
            </w:tcBorders>
            <w:shd w:val="clear" w:color="auto" w:fill="FFFFFF"/>
          </w:tcPr>
          <w:p w14:paraId="0614B5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36000</w:t>
            </w:r>
          </w:p>
        </w:tc>
      </w:tr>
    </w:tbl>
    <w:p w14:paraId="3550DD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Транспортные и учебные</w:t>
      </w:r>
    </w:p>
    <w:tbl>
      <w:tblPr>
        <w:tblW w:w="0" w:type="auto"/>
        <w:tblInd w:w="-102" w:type="dxa"/>
        <w:tblLayout w:type="fixed"/>
        <w:tblCellMar>
          <w:left w:w="40" w:type="dxa"/>
          <w:right w:w="40" w:type="dxa"/>
        </w:tblCellMar>
        <w:tblLook w:val="0000" w:firstRow="0" w:lastRow="0" w:firstColumn="0" w:lastColumn="0" w:noHBand="0" w:noVBand="0"/>
      </w:tblPr>
      <w:tblGrid>
        <w:gridCol w:w="5672"/>
        <w:gridCol w:w="849"/>
      </w:tblGrid>
      <w:tr w:rsidR="007D5DF8" w:rsidRPr="00DB5D0D" w14:paraId="73C6133A" w14:textId="77777777" w:rsidTr="00E543D0">
        <w:trPr>
          <w:trHeight w:val="20"/>
        </w:trPr>
        <w:tc>
          <w:tcPr>
            <w:tcW w:w="5672" w:type="dxa"/>
            <w:tcBorders>
              <w:top w:val="single" w:sz="12" w:space="0" w:color="auto"/>
              <w:left w:val="single" w:sz="12" w:space="0" w:color="auto"/>
              <w:bottom w:val="single" w:sz="6" w:space="0" w:color="auto"/>
              <w:right w:val="single" w:sz="6" w:space="0" w:color="auto"/>
            </w:tcBorders>
          </w:tcPr>
          <w:p w14:paraId="7A4272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ДС-3</w:t>
            </w:r>
          </w:p>
        </w:tc>
        <w:tc>
          <w:tcPr>
            <w:tcW w:w="849" w:type="dxa"/>
            <w:tcBorders>
              <w:top w:val="single" w:sz="12" w:space="0" w:color="auto"/>
              <w:left w:val="single" w:sz="6" w:space="0" w:color="auto"/>
              <w:bottom w:val="single" w:sz="6" w:space="0" w:color="auto"/>
              <w:right w:val="single" w:sz="12" w:space="0" w:color="auto"/>
            </w:tcBorders>
          </w:tcPr>
          <w:p w14:paraId="623704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950 </w:t>
            </w:r>
          </w:p>
        </w:tc>
      </w:tr>
      <w:tr w:rsidR="007D5DF8" w:rsidRPr="00DB5D0D" w14:paraId="641DFA7D"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10DC8B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УТ</w:t>
            </w:r>
          </w:p>
        </w:tc>
        <w:tc>
          <w:tcPr>
            <w:tcW w:w="849" w:type="dxa"/>
            <w:tcBorders>
              <w:top w:val="single" w:sz="6" w:space="0" w:color="auto"/>
              <w:left w:val="single" w:sz="6" w:space="0" w:color="auto"/>
              <w:bottom w:val="single" w:sz="6" w:space="0" w:color="auto"/>
              <w:right w:val="single" w:sz="12" w:space="0" w:color="auto"/>
            </w:tcBorders>
          </w:tcPr>
          <w:p w14:paraId="77D93D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700 </w:t>
            </w:r>
          </w:p>
        </w:tc>
      </w:tr>
      <w:tr w:rsidR="007D5DF8" w:rsidRPr="00DB5D0D" w14:paraId="3BAFA1AA"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6D1F85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УТИ-4</w:t>
            </w:r>
          </w:p>
        </w:tc>
        <w:tc>
          <w:tcPr>
            <w:tcW w:w="849" w:type="dxa"/>
            <w:tcBorders>
              <w:top w:val="single" w:sz="6" w:space="0" w:color="auto"/>
              <w:left w:val="single" w:sz="6" w:space="0" w:color="auto"/>
              <w:bottom w:val="single" w:sz="6" w:space="0" w:color="auto"/>
              <w:right w:val="single" w:sz="12" w:space="0" w:color="auto"/>
            </w:tcBorders>
          </w:tcPr>
          <w:p w14:paraId="6D5D9F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2оо </w:t>
            </w:r>
          </w:p>
        </w:tc>
      </w:tr>
      <w:tr w:rsidR="007D5DF8" w:rsidRPr="00DB5D0D" w14:paraId="389B3761"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5BD9D2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УТ-2 </w:t>
            </w:r>
          </w:p>
        </w:tc>
        <w:tc>
          <w:tcPr>
            <w:tcW w:w="849" w:type="dxa"/>
            <w:tcBorders>
              <w:top w:val="single" w:sz="6" w:space="0" w:color="auto"/>
              <w:left w:val="single" w:sz="6" w:space="0" w:color="auto"/>
              <w:bottom w:val="single" w:sz="6" w:space="0" w:color="auto"/>
              <w:right w:val="single" w:sz="12" w:space="0" w:color="auto"/>
            </w:tcBorders>
          </w:tcPr>
          <w:p w14:paraId="4E694C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1000 </w:t>
            </w:r>
          </w:p>
        </w:tc>
      </w:tr>
      <w:tr w:rsidR="007D5DF8" w:rsidRPr="00DB5D0D" w14:paraId="45C6B467"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35A85B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УТ-3 </w:t>
            </w:r>
          </w:p>
        </w:tc>
        <w:tc>
          <w:tcPr>
            <w:tcW w:w="849" w:type="dxa"/>
            <w:tcBorders>
              <w:top w:val="single" w:sz="6" w:space="0" w:color="auto"/>
              <w:left w:val="single" w:sz="6" w:space="0" w:color="auto"/>
              <w:bottom w:val="single" w:sz="6" w:space="0" w:color="auto"/>
              <w:right w:val="single" w:sz="12" w:space="0" w:color="auto"/>
            </w:tcBorders>
          </w:tcPr>
          <w:p w14:paraId="16C95B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800 </w:t>
            </w:r>
          </w:p>
        </w:tc>
      </w:tr>
      <w:tr w:rsidR="007D5DF8" w:rsidRPr="00DB5D0D" w14:paraId="4EEE97CB"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7303BA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У-2 </w:t>
            </w:r>
          </w:p>
        </w:tc>
        <w:tc>
          <w:tcPr>
            <w:tcW w:w="849" w:type="dxa"/>
            <w:tcBorders>
              <w:top w:val="single" w:sz="6" w:space="0" w:color="auto"/>
              <w:left w:val="single" w:sz="6" w:space="0" w:color="auto"/>
              <w:bottom w:val="single" w:sz="6" w:space="0" w:color="auto"/>
              <w:right w:val="single" w:sz="12" w:space="0" w:color="auto"/>
            </w:tcBorders>
          </w:tcPr>
          <w:p w14:paraId="7125B7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1000 </w:t>
            </w:r>
          </w:p>
        </w:tc>
      </w:tr>
      <w:tr w:rsidR="007D5DF8" w:rsidRPr="00DB5D0D" w14:paraId="76D5CDF7" w14:textId="77777777" w:rsidTr="00E543D0">
        <w:trPr>
          <w:trHeight w:val="20"/>
        </w:trPr>
        <w:tc>
          <w:tcPr>
            <w:tcW w:w="5672" w:type="dxa"/>
            <w:tcBorders>
              <w:top w:val="single" w:sz="6" w:space="0" w:color="auto"/>
              <w:left w:val="single" w:sz="12" w:space="0" w:color="auto"/>
              <w:bottom w:val="single" w:sz="6" w:space="0" w:color="auto"/>
              <w:right w:val="single" w:sz="6" w:space="0" w:color="auto"/>
            </w:tcBorders>
          </w:tcPr>
          <w:p w14:paraId="324232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С-2 </w:t>
            </w:r>
          </w:p>
        </w:tc>
        <w:tc>
          <w:tcPr>
            <w:tcW w:w="849" w:type="dxa"/>
            <w:tcBorders>
              <w:top w:val="single" w:sz="6" w:space="0" w:color="auto"/>
              <w:left w:val="single" w:sz="6" w:space="0" w:color="auto"/>
              <w:bottom w:val="single" w:sz="6" w:space="0" w:color="auto"/>
              <w:right w:val="single" w:sz="12" w:space="0" w:color="auto"/>
            </w:tcBorders>
          </w:tcPr>
          <w:p w14:paraId="30A64C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200 </w:t>
            </w:r>
          </w:p>
        </w:tc>
      </w:tr>
      <w:tr w:rsidR="007D5DF8" w:rsidRPr="00DB5D0D" w14:paraId="31EE0D0C" w14:textId="77777777" w:rsidTr="00E543D0">
        <w:trPr>
          <w:trHeight w:val="20"/>
        </w:trPr>
        <w:tc>
          <w:tcPr>
            <w:tcW w:w="5672" w:type="dxa"/>
            <w:tcBorders>
              <w:top w:val="single" w:sz="6" w:space="0" w:color="auto"/>
              <w:left w:val="single" w:sz="12" w:space="0" w:color="auto"/>
              <w:bottom w:val="single" w:sz="12" w:space="0" w:color="auto"/>
              <w:right w:val="single" w:sz="6" w:space="0" w:color="auto"/>
            </w:tcBorders>
          </w:tcPr>
          <w:p w14:paraId="034B80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849" w:type="dxa"/>
            <w:tcBorders>
              <w:top w:val="single" w:sz="6" w:space="0" w:color="auto"/>
              <w:left w:val="single" w:sz="6" w:space="0" w:color="auto"/>
              <w:bottom w:val="single" w:sz="12" w:space="0" w:color="auto"/>
              <w:right w:val="single" w:sz="12" w:space="0" w:color="auto"/>
            </w:tcBorders>
          </w:tcPr>
          <w:p w14:paraId="027A89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4850 </w:t>
            </w:r>
          </w:p>
        </w:tc>
      </w:tr>
      <w:tr w:rsidR="007D5DF8" w:rsidRPr="00DB5D0D" w14:paraId="435CE545" w14:textId="77777777" w:rsidTr="00E543D0">
        <w:trPr>
          <w:trHeight w:val="20"/>
        </w:trPr>
        <w:tc>
          <w:tcPr>
            <w:tcW w:w="5672" w:type="dxa"/>
            <w:tcBorders>
              <w:top w:val="single" w:sz="6" w:space="0" w:color="auto"/>
              <w:left w:val="single" w:sz="12" w:space="0" w:color="auto"/>
              <w:bottom w:val="single" w:sz="12" w:space="0" w:color="auto"/>
              <w:right w:val="single" w:sz="6" w:space="0" w:color="auto"/>
            </w:tcBorders>
          </w:tcPr>
          <w:p w14:paraId="147753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самолетов</w:t>
            </w:r>
          </w:p>
        </w:tc>
        <w:tc>
          <w:tcPr>
            <w:tcW w:w="849" w:type="dxa"/>
            <w:tcBorders>
              <w:top w:val="single" w:sz="6" w:space="0" w:color="auto"/>
              <w:left w:val="single" w:sz="6" w:space="0" w:color="auto"/>
              <w:bottom w:val="single" w:sz="12" w:space="0" w:color="auto"/>
              <w:right w:val="single" w:sz="12" w:space="0" w:color="auto"/>
            </w:tcBorders>
          </w:tcPr>
          <w:p w14:paraId="40CE3F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40650</w:t>
            </w:r>
          </w:p>
        </w:tc>
      </w:tr>
    </w:tbl>
    <w:p w14:paraId="5DD467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(9820,244)</w:t>
      </w:r>
    </w:p>
    <w:p w14:paraId="388BC9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была подготовлен:</w:t>
      </w:r>
    </w:p>
    <w:p w14:paraId="65C37C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Справочная таблица о вооружении самолетов на 1941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1241"/>
        <w:gridCol w:w="1241"/>
        <w:gridCol w:w="1241"/>
        <w:gridCol w:w="1241"/>
        <w:gridCol w:w="1241"/>
        <w:gridCol w:w="1241"/>
        <w:gridCol w:w="1241"/>
      </w:tblGrid>
      <w:tr w:rsidR="007D5DF8" w:rsidRPr="00DB5D0D" w14:paraId="334724A9" w14:textId="77777777" w:rsidTr="00E543D0">
        <w:tc>
          <w:tcPr>
            <w:tcW w:w="2518" w:type="dxa"/>
            <w:tcBorders>
              <w:top w:val="single" w:sz="12" w:space="0" w:color="auto"/>
            </w:tcBorders>
          </w:tcPr>
          <w:p w14:paraId="177EF3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Типы самолетов</w:t>
            </w:r>
          </w:p>
        </w:tc>
        <w:tc>
          <w:tcPr>
            <w:tcW w:w="1241" w:type="dxa"/>
            <w:tcBorders>
              <w:top w:val="single" w:sz="12" w:space="0" w:color="auto"/>
            </w:tcBorders>
          </w:tcPr>
          <w:p w14:paraId="7C5927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Годовой заказ</w:t>
            </w:r>
          </w:p>
        </w:tc>
        <w:tc>
          <w:tcPr>
            <w:tcW w:w="1241" w:type="dxa"/>
            <w:tcBorders>
              <w:top w:val="single" w:sz="12" w:space="0" w:color="auto"/>
            </w:tcBorders>
          </w:tcPr>
          <w:p w14:paraId="0353CA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Установки под РС</w:t>
            </w:r>
          </w:p>
        </w:tc>
        <w:tc>
          <w:tcPr>
            <w:tcW w:w="1241" w:type="dxa"/>
            <w:tcBorders>
              <w:top w:val="single" w:sz="12" w:space="0" w:color="auto"/>
            </w:tcBorders>
          </w:tcPr>
          <w:p w14:paraId="407B23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пул. 12,76 для задней установки</w:t>
            </w:r>
          </w:p>
        </w:tc>
        <w:tc>
          <w:tcPr>
            <w:tcW w:w="1241" w:type="dxa"/>
            <w:tcBorders>
              <w:top w:val="single" w:sz="12" w:space="0" w:color="auto"/>
            </w:tcBorders>
          </w:tcPr>
          <w:p w14:paraId="4F012F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 ШКАС и 1 пул. калибра 12,7</w:t>
            </w:r>
          </w:p>
        </w:tc>
        <w:tc>
          <w:tcPr>
            <w:tcW w:w="1241" w:type="dxa"/>
            <w:tcBorders>
              <w:top w:val="single" w:sz="12" w:space="0" w:color="auto"/>
            </w:tcBorders>
          </w:tcPr>
          <w:p w14:paraId="7B8DA3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 ШКАС и 1 пушка 20 мм или 23 мм</w:t>
            </w:r>
          </w:p>
        </w:tc>
        <w:tc>
          <w:tcPr>
            <w:tcW w:w="1241" w:type="dxa"/>
            <w:tcBorders>
              <w:top w:val="single" w:sz="12" w:space="0" w:color="auto"/>
            </w:tcBorders>
          </w:tcPr>
          <w:p w14:paraId="03C87D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 ШКАС и 2 пул. 12,7</w:t>
            </w:r>
          </w:p>
        </w:tc>
        <w:tc>
          <w:tcPr>
            <w:tcW w:w="1241" w:type="dxa"/>
            <w:tcBorders>
              <w:top w:val="single" w:sz="12" w:space="0" w:color="auto"/>
            </w:tcBorders>
          </w:tcPr>
          <w:p w14:paraId="3D925E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пушки 23 мм и 2 пул. ШКАС</w:t>
            </w:r>
          </w:p>
        </w:tc>
      </w:tr>
      <w:tr w:rsidR="007D5DF8" w:rsidRPr="00DB5D0D" w14:paraId="56360DBF" w14:textId="77777777" w:rsidTr="00E543D0">
        <w:tc>
          <w:tcPr>
            <w:tcW w:w="2518" w:type="dxa"/>
          </w:tcPr>
          <w:p w14:paraId="4B562D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w:t>
            </w:r>
          </w:p>
        </w:tc>
        <w:tc>
          <w:tcPr>
            <w:tcW w:w="1241" w:type="dxa"/>
          </w:tcPr>
          <w:p w14:paraId="44094F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4900</w:t>
            </w:r>
          </w:p>
        </w:tc>
        <w:tc>
          <w:tcPr>
            <w:tcW w:w="1241" w:type="dxa"/>
          </w:tcPr>
          <w:p w14:paraId="343762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41" w:type="dxa"/>
          </w:tcPr>
          <w:p w14:paraId="4BCACB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4900</w:t>
            </w:r>
          </w:p>
        </w:tc>
        <w:tc>
          <w:tcPr>
            <w:tcW w:w="1241" w:type="dxa"/>
          </w:tcPr>
          <w:p w14:paraId="3DDB8F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2B0BD8D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00897D6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359CAA1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1A22C1A" w14:textId="77777777" w:rsidTr="00E543D0">
        <w:tc>
          <w:tcPr>
            <w:tcW w:w="2518" w:type="dxa"/>
          </w:tcPr>
          <w:p w14:paraId="72BA32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РК и ПБ-100</w:t>
            </w:r>
          </w:p>
        </w:tc>
        <w:tc>
          <w:tcPr>
            <w:tcW w:w="1241" w:type="dxa"/>
          </w:tcPr>
          <w:p w14:paraId="6C1FED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7280</w:t>
            </w:r>
          </w:p>
        </w:tc>
        <w:tc>
          <w:tcPr>
            <w:tcW w:w="1241" w:type="dxa"/>
          </w:tcPr>
          <w:p w14:paraId="1FD3FA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1450</w:t>
            </w:r>
          </w:p>
        </w:tc>
        <w:tc>
          <w:tcPr>
            <w:tcW w:w="1241" w:type="dxa"/>
          </w:tcPr>
          <w:p w14:paraId="2242E6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7280</w:t>
            </w:r>
          </w:p>
        </w:tc>
        <w:tc>
          <w:tcPr>
            <w:tcW w:w="1241" w:type="dxa"/>
          </w:tcPr>
          <w:p w14:paraId="7B8DD72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0B84F0C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0615DFE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103A8F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7C3437F" w14:textId="77777777" w:rsidTr="00E543D0">
        <w:tc>
          <w:tcPr>
            <w:tcW w:w="2518" w:type="dxa"/>
          </w:tcPr>
          <w:p w14:paraId="3582C2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ТБ-7</w:t>
            </w:r>
          </w:p>
        </w:tc>
        <w:tc>
          <w:tcPr>
            <w:tcW w:w="1241" w:type="dxa"/>
          </w:tcPr>
          <w:p w14:paraId="7468C4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1241" w:type="dxa"/>
          </w:tcPr>
          <w:p w14:paraId="7256C9C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0688AF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840</w:t>
            </w:r>
          </w:p>
        </w:tc>
        <w:tc>
          <w:tcPr>
            <w:tcW w:w="1241" w:type="dxa"/>
          </w:tcPr>
          <w:p w14:paraId="44B980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1B80A7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31A95AF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49128D4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F3D4FA0" w14:textId="77777777" w:rsidTr="00E543D0">
        <w:tc>
          <w:tcPr>
            <w:tcW w:w="2518" w:type="dxa"/>
          </w:tcPr>
          <w:p w14:paraId="490143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w:t>
            </w:r>
          </w:p>
        </w:tc>
        <w:tc>
          <w:tcPr>
            <w:tcW w:w="1241" w:type="dxa"/>
          </w:tcPr>
          <w:p w14:paraId="50832E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1241" w:type="dxa"/>
          </w:tcPr>
          <w:p w14:paraId="539C59F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303434A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5DD5591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5CC7A07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71630E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0021E4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266652E" w14:textId="77777777" w:rsidTr="00E543D0">
        <w:tc>
          <w:tcPr>
            <w:tcW w:w="2518" w:type="dxa"/>
          </w:tcPr>
          <w:p w14:paraId="5E247C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w:t>
            </w:r>
          </w:p>
        </w:tc>
        <w:tc>
          <w:tcPr>
            <w:tcW w:w="1241" w:type="dxa"/>
          </w:tcPr>
          <w:p w14:paraId="38D0C3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3920</w:t>
            </w:r>
          </w:p>
        </w:tc>
        <w:tc>
          <w:tcPr>
            <w:tcW w:w="1241" w:type="dxa"/>
          </w:tcPr>
          <w:p w14:paraId="3BE91B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1241" w:type="dxa"/>
          </w:tcPr>
          <w:p w14:paraId="78E255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1DFCC4B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051404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3920</w:t>
            </w:r>
          </w:p>
        </w:tc>
        <w:tc>
          <w:tcPr>
            <w:tcW w:w="1241" w:type="dxa"/>
          </w:tcPr>
          <w:p w14:paraId="6BFCFE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63CEDF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A486080" w14:textId="77777777" w:rsidTr="00E543D0">
        <w:tc>
          <w:tcPr>
            <w:tcW w:w="2518" w:type="dxa"/>
          </w:tcPr>
          <w:p w14:paraId="7D445D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w:t>
            </w:r>
          </w:p>
        </w:tc>
        <w:tc>
          <w:tcPr>
            <w:tcW w:w="1241" w:type="dxa"/>
          </w:tcPr>
          <w:p w14:paraId="42D4C4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2300</w:t>
            </w:r>
          </w:p>
        </w:tc>
        <w:tc>
          <w:tcPr>
            <w:tcW w:w="1241" w:type="dxa"/>
          </w:tcPr>
          <w:p w14:paraId="777B07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1241" w:type="dxa"/>
          </w:tcPr>
          <w:p w14:paraId="45D5D19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36D5D22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43EB6B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3986C3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1241" w:type="dxa"/>
          </w:tcPr>
          <w:p w14:paraId="0214FD5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E1E3E3A" w14:textId="77777777" w:rsidTr="00E543D0">
        <w:tc>
          <w:tcPr>
            <w:tcW w:w="2518" w:type="dxa"/>
          </w:tcPr>
          <w:p w14:paraId="45AB03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 БШ</w:t>
            </w:r>
          </w:p>
        </w:tc>
        <w:tc>
          <w:tcPr>
            <w:tcW w:w="1241" w:type="dxa"/>
          </w:tcPr>
          <w:p w14:paraId="4CB3AB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1241" w:type="dxa"/>
          </w:tcPr>
          <w:p w14:paraId="23C3B2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1241" w:type="dxa"/>
          </w:tcPr>
          <w:p w14:paraId="25A9DD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0098E0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03DAEE3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00F260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1241" w:type="dxa"/>
          </w:tcPr>
          <w:p w14:paraId="6D5983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r>
      <w:tr w:rsidR="007D5DF8" w:rsidRPr="00DB5D0D" w14:paraId="4766A18C" w14:textId="77777777" w:rsidTr="00E543D0">
        <w:tc>
          <w:tcPr>
            <w:tcW w:w="2518" w:type="dxa"/>
          </w:tcPr>
          <w:p w14:paraId="0945FC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(корректировщик)</w:t>
            </w:r>
          </w:p>
        </w:tc>
        <w:tc>
          <w:tcPr>
            <w:tcW w:w="1241" w:type="dxa"/>
          </w:tcPr>
          <w:p w14:paraId="5CFB6F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1630</w:t>
            </w:r>
          </w:p>
        </w:tc>
        <w:tc>
          <w:tcPr>
            <w:tcW w:w="1241" w:type="dxa"/>
          </w:tcPr>
          <w:p w14:paraId="34E72A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235001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1630</w:t>
            </w:r>
          </w:p>
        </w:tc>
        <w:tc>
          <w:tcPr>
            <w:tcW w:w="1241" w:type="dxa"/>
          </w:tcPr>
          <w:p w14:paraId="4F52B64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332827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2692554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Pr>
          <w:p w14:paraId="56DF16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F8BFB09" w14:textId="77777777" w:rsidTr="00E543D0">
        <w:tc>
          <w:tcPr>
            <w:tcW w:w="2518" w:type="dxa"/>
            <w:tcBorders>
              <w:bottom w:val="single" w:sz="12" w:space="0" w:color="auto"/>
            </w:tcBorders>
          </w:tcPr>
          <w:p w14:paraId="475046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w:t>
            </w:r>
          </w:p>
        </w:tc>
        <w:tc>
          <w:tcPr>
            <w:tcW w:w="1241" w:type="dxa"/>
            <w:tcBorders>
              <w:bottom w:val="single" w:sz="12" w:space="0" w:color="auto"/>
            </w:tcBorders>
          </w:tcPr>
          <w:p w14:paraId="6D9D85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1241" w:type="dxa"/>
            <w:tcBorders>
              <w:bottom w:val="single" w:sz="12" w:space="0" w:color="auto"/>
            </w:tcBorders>
          </w:tcPr>
          <w:p w14:paraId="4F20BC5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Borders>
              <w:bottom w:val="single" w:sz="12" w:space="0" w:color="auto"/>
            </w:tcBorders>
          </w:tcPr>
          <w:p w14:paraId="35E71CD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Borders>
              <w:bottom w:val="single" w:sz="12" w:space="0" w:color="auto"/>
            </w:tcBorders>
          </w:tcPr>
          <w:p w14:paraId="7E4960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Borders>
              <w:bottom w:val="single" w:sz="12" w:space="0" w:color="auto"/>
            </w:tcBorders>
          </w:tcPr>
          <w:p w14:paraId="60035D0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Borders>
              <w:bottom w:val="single" w:sz="12" w:space="0" w:color="auto"/>
            </w:tcBorders>
          </w:tcPr>
          <w:p w14:paraId="7C13BB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41" w:type="dxa"/>
            <w:tcBorders>
              <w:bottom w:val="single" w:sz="12" w:space="0" w:color="auto"/>
            </w:tcBorders>
          </w:tcPr>
          <w:p w14:paraId="1C03F9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182A83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p w14:paraId="321303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остальные пулеметы на самолетах: ДБ-240, СБ, ПБ-100, ТБ-7, ББ-1, Бь-22 устанавливаются согласно утвержденным ТТТ</w:t>
      </w:r>
    </w:p>
    <w:p w14:paraId="1E7ACD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бомбардировочное вооружение на всех типах самолетов остается без изменения по утвержденным ТТТ.</w:t>
      </w:r>
    </w:p>
    <w:p w14:paraId="682C51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устанавливаемый на бомбардировщиках в 1940 один пулемет ШКАС в качестве задней</w:t>
      </w:r>
      <w:r w:rsidRPr="00DB5D0D">
        <w:rPr>
          <w:rFonts w:ascii="Times New Roman" w:hAnsi="Times New Roman"/>
          <w:color w:val="000000" w:themeColor="text1"/>
          <w:sz w:val="16"/>
          <w:szCs w:val="16"/>
        </w:rPr>
        <w:tab/>
        <w:t xml:space="preserve"> огоневой точки в 1941 подлежит замене, как указано в данной таблице, на крупнокалиберный 12,7 мм.</w:t>
      </w:r>
    </w:p>
    <w:p w14:paraId="074316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целях усиления огневой мощи на дальнем бомбардировщике необходимо теперь же дать задание соответствующим КБ на переработку установки под 23 мм или 20 мм пушку в качестве задней огневой точки</w:t>
      </w:r>
    </w:p>
    <w:p w14:paraId="33D53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вопроо о калибре 20 или 23 мм пушки окончательно будет решен к 1 сентября с.г. в зависимости от результатов доводки по увеличению скорострельности 23 мм пушки и от увеличения веса заряда 20 мм пушки (98,20,243).</w:t>
      </w:r>
    </w:p>
    <w:p w14:paraId="15C7E2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июля 1940 была подготовлен:</w:t>
      </w:r>
    </w:p>
    <w:p w14:paraId="304E82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 моторов по типам для установки на самолеты и в резерв НКО на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35"/>
        <w:gridCol w:w="2139"/>
        <w:gridCol w:w="970"/>
        <w:gridCol w:w="1603"/>
      </w:tblGrid>
      <w:tr w:rsidR="007D5DF8" w:rsidRPr="00DB5D0D" w14:paraId="1A7915CD" w14:textId="77777777" w:rsidTr="00E543D0">
        <w:trPr>
          <w:trHeight w:val="20"/>
        </w:trPr>
        <w:tc>
          <w:tcPr>
            <w:tcW w:w="2835" w:type="dxa"/>
            <w:tcBorders>
              <w:top w:val="single" w:sz="12" w:space="0" w:color="auto"/>
            </w:tcBorders>
          </w:tcPr>
          <w:p w14:paraId="4EDEEE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ТИПЫ МОТОРОВ</w:t>
            </w:r>
          </w:p>
        </w:tc>
        <w:tc>
          <w:tcPr>
            <w:tcW w:w="2139" w:type="dxa"/>
            <w:tcBorders>
              <w:top w:val="single" w:sz="12" w:space="0" w:color="auto"/>
            </w:tcBorders>
          </w:tcPr>
          <w:p w14:paraId="597E16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Требуется моторов для установки на самолеты </w:t>
            </w:r>
          </w:p>
        </w:tc>
        <w:tc>
          <w:tcPr>
            <w:tcW w:w="970" w:type="dxa"/>
            <w:tcBorders>
              <w:top w:val="single" w:sz="12" w:space="0" w:color="auto"/>
            </w:tcBorders>
          </w:tcPr>
          <w:p w14:paraId="553BEA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Требуется моторов в резерв НКО (50%)</w:t>
            </w:r>
          </w:p>
        </w:tc>
        <w:tc>
          <w:tcPr>
            <w:tcW w:w="1603" w:type="dxa"/>
            <w:tcBorders>
              <w:top w:val="single" w:sz="12" w:space="0" w:color="auto"/>
            </w:tcBorders>
          </w:tcPr>
          <w:p w14:paraId="769057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Всего требуется моторов в 1941 г. </w:t>
            </w:r>
          </w:p>
        </w:tc>
      </w:tr>
      <w:tr w:rsidR="007D5DF8" w:rsidRPr="00DB5D0D" w14:paraId="22BC0D05" w14:textId="77777777" w:rsidTr="00E543D0">
        <w:trPr>
          <w:trHeight w:val="20"/>
        </w:trPr>
        <w:tc>
          <w:tcPr>
            <w:tcW w:w="2835" w:type="dxa"/>
          </w:tcPr>
          <w:p w14:paraId="324626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М37 или М-30 или М-40 /для ТБ-7/</w:t>
            </w:r>
          </w:p>
        </w:tc>
        <w:tc>
          <w:tcPr>
            <w:tcW w:w="2139" w:type="dxa"/>
          </w:tcPr>
          <w:p w14:paraId="48486B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3360 </w:t>
            </w:r>
          </w:p>
        </w:tc>
        <w:tc>
          <w:tcPr>
            <w:tcW w:w="970" w:type="dxa"/>
          </w:tcPr>
          <w:p w14:paraId="1D4F69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1680</w:t>
            </w:r>
          </w:p>
        </w:tc>
        <w:tc>
          <w:tcPr>
            <w:tcW w:w="1603" w:type="dxa"/>
          </w:tcPr>
          <w:p w14:paraId="0A7E1A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5040</w:t>
            </w:r>
          </w:p>
        </w:tc>
      </w:tr>
      <w:tr w:rsidR="007D5DF8" w:rsidRPr="00DB5D0D" w14:paraId="610EB2DE" w14:textId="77777777" w:rsidTr="00E543D0">
        <w:trPr>
          <w:trHeight w:val="20"/>
        </w:trPr>
        <w:tc>
          <w:tcPr>
            <w:tcW w:w="2835" w:type="dxa"/>
          </w:tcPr>
          <w:p w14:paraId="234C4D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М37 или М-30 /для ДБ-240/</w:t>
            </w:r>
          </w:p>
        </w:tc>
        <w:tc>
          <w:tcPr>
            <w:tcW w:w="2139" w:type="dxa"/>
          </w:tcPr>
          <w:p w14:paraId="4150F1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9800 </w:t>
            </w:r>
          </w:p>
        </w:tc>
        <w:tc>
          <w:tcPr>
            <w:tcW w:w="970" w:type="dxa"/>
          </w:tcPr>
          <w:p w14:paraId="593E97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4900 </w:t>
            </w:r>
          </w:p>
        </w:tc>
        <w:tc>
          <w:tcPr>
            <w:tcW w:w="1603" w:type="dxa"/>
          </w:tcPr>
          <w:p w14:paraId="5155BB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14700 </w:t>
            </w:r>
          </w:p>
        </w:tc>
      </w:tr>
      <w:tr w:rsidR="007D5DF8" w:rsidRPr="00DB5D0D" w14:paraId="13DF85F5" w14:textId="77777777" w:rsidTr="00E543D0">
        <w:trPr>
          <w:trHeight w:val="20"/>
        </w:trPr>
        <w:tc>
          <w:tcPr>
            <w:tcW w:w="2835" w:type="dxa"/>
          </w:tcPr>
          <w:p w14:paraId="0BF0DD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М-38 </w:t>
            </w:r>
          </w:p>
        </w:tc>
        <w:tc>
          <w:tcPr>
            <w:tcW w:w="2139" w:type="dxa"/>
          </w:tcPr>
          <w:p w14:paraId="3272D0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2800</w:t>
            </w:r>
          </w:p>
        </w:tc>
        <w:tc>
          <w:tcPr>
            <w:tcW w:w="970" w:type="dxa"/>
          </w:tcPr>
          <w:p w14:paraId="79B9E5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1400 </w:t>
            </w:r>
          </w:p>
        </w:tc>
        <w:tc>
          <w:tcPr>
            <w:tcW w:w="1603" w:type="dxa"/>
          </w:tcPr>
          <w:p w14:paraId="6B9A27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4200 </w:t>
            </w:r>
          </w:p>
        </w:tc>
      </w:tr>
      <w:tr w:rsidR="007D5DF8" w:rsidRPr="00DB5D0D" w14:paraId="631F491B" w14:textId="77777777" w:rsidTr="00E543D0">
        <w:trPr>
          <w:trHeight w:val="20"/>
        </w:trPr>
        <w:tc>
          <w:tcPr>
            <w:tcW w:w="2835" w:type="dxa"/>
          </w:tcPr>
          <w:p w14:paraId="0122D0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2139" w:type="dxa"/>
          </w:tcPr>
          <w:p w14:paraId="2F988B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21420 </w:t>
            </w:r>
          </w:p>
        </w:tc>
        <w:tc>
          <w:tcPr>
            <w:tcW w:w="970" w:type="dxa"/>
          </w:tcPr>
          <w:p w14:paraId="0A32B9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10710 </w:t>
            </w:r>
          </w:p>
        </w:tc>
        <w:tc>
          <w:tcPr>
            <w:tcW w:w="1603" w:type="dxa"/>
          </w:tcPr>
          <w:p w14:paraId="56FA80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32130 </w:t>
            </w:r>
          </w:p>
        </w:tc>
      </w:tr>
      <w:tr w:rsidR="007D5DF8" w:rsidRPr="00DB5D0D" w14:paraId="6227FE57" w14:textId="77777777" w:rsidTr="00E543D0">
        <w:trPr>
          <w:trHeight w:val="20"/>
        </w:trPr>
        <w:tc>
          <w:tcPr>
            <w:tcW w:w="2835" w:type="dxa"/>
          </w:tcPr>
          <w:p w14:paraId="42447A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М-105п </w:t>
            </w:r>
          </w:p>
        </w:tc>
        <w:tc>
          <w:tcPr>
            <w:tcW w:w="2139" w:type="dxa"/>
          </w:tcPr>
          <w:p w14:paraId="5814F8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3920 </w:t>
            </w:r>
          </w:p>
        </w:tc>
        <w:tc>
          <w:tcPr>
            <w:tcW w:w="970" w:type="dxa"/>
          </w:tcPr>
          <w:p w14:paraId="379F4A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1960 </w:t>
            </w:r>
          </w:p>
        </w:tc>
        <w:tc>
          <w:tcPr>
            <w:tcW w:w="1603" w:type="dxa"/>
          </w:tcPr>
          <w:p w14:paraId="74F47B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5880 </w:t>
            </w:r>
          </w:p>
        </w:tc>
      </w:tr>
      <w:tr w:rsidR="007D5DF8" w:rsidRPr="00DB5D0D" w14:paraId="76ECE717" w14:textId="77777777" w:rsidTr="00E543D0">
        <w:trPr>
          <w:trHeight w:val="20"/>
        </w:trPr>
        <w:tc>
          <w:tcPr>
            <w:tcW w:w="2835" w:type="dxa"/>
          </w:tcPr>
          <w:p w14:paraId="335538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М-88 </w:t>
            </w:r>
          </w:p>
        </w:tc>
        <w:tc>
          <w:tcPr>
            <w:tcW w:w="2139" w:type="dxa"/>
          </w:tcPr>
          <w:p w14:paraId="675732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5600 </w:t>
            </w:r>
          </w:p>
        </w:tc>
        <w:tc>
          <w:tcPr>
            <w:tcW w:w="970" w:type="dxa"/>
          </w:tcPr>
          <w:p w14:paraId="174253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2800 </w:t>
            </w:r>
          </w:p>
        </w:tc>
        <w:tc>
          <w:tcPr>
            <w:tcW w:w="1603" w:type="dxa"/>
          </w:tcPr>
          <w:p w14:paraId="669B82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8400 </w:t>
            </w:r>
          </w:p>
        </w:tc>
      </w:tr>
      <w:tr w:rsidR="007D5DF8" w:rsidRPr="00DB5D0D" w14:paraId="77DFB8AF" w14:textId="77777777" w:rsidTr="00E543D0">
        <w:trPr>
          <w:trHeight w:val="20"/>
        </w:trPr>
        <w:tc>
          <w:tcPr>
            <w:tcW w:w="2835" w:type="dxa"/>
          </w:tcPr>
          <w:p w14:paraId="796A453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АМ-35А </w:t>
            </w:r>
          </w:p>
        </w:tc>
        <w:tc>
          <w:tcPr>
            <w:tcW w:w="2139" w:type="dxa"/>
          </w:tcPr>
          <w:p w14:paraId="7CEDD2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6580</w:t>
            </w:r>
          </w:p>
        </w:tc>
        <w:tc>
          <w:tcPr>
            <w:tcW w:w="970" w:type="dxa"/>
          </w:tcPr>
          <w:p w14:paraId="4ABCE6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3290</w:t>
            </w:r>
          </w:p>
        </w:tc>
        <w:tc>
          <w:tcPr>
            <w:tcW w:w="1603" w:type="dxa"/>
          </w:tcPr>
          <w:p w14:paraId="4BE3A9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9370 </w:t>
            </w:r>
          </w:p>
        </w:tc>
      </w:tr>
      <w:tr w:rsidR="007D5DF8" w:rsidRPr="00DB5D0D" w14:paraId="1A1FDDDF" w14:textId="77777777" w:rsidTr="00E543D0">
        <w:trPr>
          <w:trHeight w:val="20"/>
        </w:trPr>
        <w:tc>
          <w:tcPr>
            <w:tcW w:w="2835" w:type="dxa"/>
          </w:tcPr>
          <w:p w14:paraId="5CBD0E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М-62 ИР </w:t>
            </w:r>
          </w:p>
        </w:tc>
        <w:tc>
          <w:tcPr>
            <w:tcW w:w="2139" w:type="dxa"/>
          </w:tcPr>
          <w:p w14:paraId="5BE716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1900 </w:t>
            </w:r>
          </w:p>
        </w:tc>
        <w:tc>
          <w:tcPr>
            <w:tcW w:w="970" w:type="dxa"/>
          </w:tcPr>
          <w:p w14:paraId="4B55ED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950 </w:t>
            </w:r>
          </w:p>
        </w:tc>
        <w:tc>
          <w:tcPr>
            <w:tcW w:w="1603" w:type="dxa"/>
          </w:tcPr>
          <w:p w14:paraId="3A884D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2850</w:t>
            </w:r>
          </w:p>
        </w:tc>
      </w:tr>
      <w:tr w:rsidR="007D5DF8" w:rsidRPr="00DB5D0D" w14:paraId="571884AC" w14:textId="77777777" w:rsidTr="00E543D0">
        <w:trPr>
          <w:trHeight w:val="20"/>
        </w:trPr>
        <w:tc>
          <w:tcPr>
            <w:tcW w:w="2835" w:type="dxa"/>
          </w:tcPr>
          <w:p w14:paraId="538F6B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М-25 В</w:t>
            </w:r>
          </w:p>
        </w:tc>
        <w:tc>
          <w:tcPr>
            <w:tcW w:w="2139" w:type="dxa"/>
          </w:tcPr>
          <w:p w14:paraId="401D311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970" w:type="dxa"/>
          </w:tcPr>
          <w:p w14:paraId="3AF16D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603" w:type="dxa"/>
          </w:tcPr>
          <w:p w14:paraId="5AF3D3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r>
      <w:tr w:rsidR="007D5DF8" w:rsidRPr="00DB5D0D" w14:paraId="16123663" w14:textId="77777777" w:rsidTr="00E543D0">
        <w:trPr>
          <w:trHeight w:val="20"/>
        </w:trPr>
        <w:tc>
          <w:tcPr>
            <w:tcW w:w="2835" w:type="dxa"/>
          </w:tcPr>
          <w:p w14:paraId="62A6AC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МВ-6 </w:t>
            </w:r>
          </w:p>
        </w:tc>
        <w:tc>
          <w:tcPr>
            <w:tcW w:w="2139" w:type="dxa"/>
          </w:tcPr>
          <w:p w14:paraId="2F3B3B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c>
          <w:tcPr>
            <w:tcW w:w="970" w:type="dxa"/>
          </w:tcPr>
          <w:p w14:paraId="0E71B7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800 </w:t>
            </w:r>
          </w:p>
        </w:tc>
        <w:tc>
          <w:tcPr>
            <w:tcW w:w="1603" w:type="dxa"/>
          </w:tcPr>
          <w:p w14:paraId="3B99CB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2400 </w:t>
            </w:r>
          </w:p>
        </w:tc>
      </w:tr>
      <w:tr w:rsidR="007D5DF8" w:rsidRPr="00DB5D0D" w14:paraId="60619FB6" w14:textId="77777777" w:rsidTr="00E543D0">
        <w:trPr>
          <w:trHeight w:val="20"/>
        </w:trPr>
        <w:tc>
          <w:tcPr>
            <w:tcW w:w="2835" w:type="dxa"/>
          </w:tcPr>
          <w:p w14:paraId="53BD2A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М-11 </w:t>
            </w:r>
          </w:p>
        </w:tc>
        <w:tc>
          <w:tcPr>
            <w:tcW w:w="2139" w:type="dxa"/>
          </w:tcPr>
          <w:p w14:paraId="1B11E6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2000 </w:t>
            </w:r>
          </w:p>
        </w:tc>
        <w:tc>
          <w:tcPr>
            <w:tcW w:w="970" w:type="dxa"/>
          </w:tcPr>
          <w:p w14:paraId="18C67D3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1000 </w:t>
            </w:r>
          </w:p>
        </w:tc>
        <w:tc>
          <w:tcPr>
            <w:tcW w:w="1603" w:type="dxa"/>
          </w:tcPr>
          <w:p w14:paraId="11BED0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3000 </w:t>
            </w:r>
          </w:p>
        </w:tc>
      </w:tr>
      <w:tr w:rsidR="007D5DF8" w:rsidRPr="00DB5D0D" w14:paraId="6AD8A1DE" w14:textId="77777777" w:rsidTr="00E543D0">
        <w:trPr>
          <w:trHeight w:val="20"/>
        </w:trPr>
        <w:tc>
          <w:tcPr>
            <w:tcW w:w="2835" w:type="dxa"/>
            <w:tcBorders>
              <w:bottom w:val="single" w:sz="12" w:space="0" w:color="auto"/>
            </w:tcBorders>
          </w:tcPr>
          <w:p w14:paraId="1C38E8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М-11 г </w:t>
            </w:r>
          </w:p>
        </w:tc>
        <w:tc>
          <w:tcPr>
            <w:tcW w:w="2139" w:type="dxa"/>
            <w:tcBorders>
              <w:bottom w:val="single" w:sz="12" w:space="0" w:color="auto"/>
            </w:tcBorders>
          </w:tcPr>
          <w:p w14:paraId="4E4AB8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200 </w:t>
            </w:r>
          </w:p>
        </w:tc>
        <w:tc>
          <w:tcPr>
            <w:tcW w:w="970" w:type="dxa"/>
            <w:tcBorders>
              <w:bottom w:val="single" w:sz="12" w:space="0" w:color="auto"/>
            </w:tcBorders>
          </w:tcPr>
          <w:p w14:paraId="23934D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100 </w:t>
            </w:r>
          </w:p>
        </w:tc>
        <w:tc>
          <w:tcPr>
            <w:tcW w:w="1603" w:type="dxa"/>
            <w:tcBorders>
              <w:bottom w:val="single" w:sz="12" w:space="0" w:color="auto"/>
            </w:tcBorders>
          </w:tcPr>
          <w:p w14:paraId="6514D2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300 </w:t>
            </w:r>
          </w:p>
        </w:tc>
      </w:tr>
    </w:tbl>
    <w:p w14:paraId="13C6A3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расчет потребности не вошли моторы для установк</w:t>
      </w:r>
      <w:r w:rsidR="00BB45F7" w:rsidRPr="00DB5D0D">
        <w:rPr>
          <w:rFonts w:ascii="Times New Roman" w:hAnsi="Times New Roman"/>
          <w:color w:val="000000" w:themeColor="text1"/>
          <w:sz w:val="16"/>
          <w:szCs w:val="16"/>
        </w:rPr>
        <w:t>и</w:t>
      </w:r>
      <w:r w:rsidRPr="00DB5D0D">
        <w:rPr>
          <w:rFonts w:ascii="Times New Roman" w:hAnsi="Times New Roman"/>
          <w:color w:val="000000" w:themeColor="text1"/>
          <w:sz w:val="16"/>
          <w:szCs w:val="16"/>
        </w:rPr>
        <w:t xml:space="preserve"> на 1000 шт. морских самолетов НКВМФ (9820,242).</w:t>
      </w:r>
    </w:p>
    <w:p w14:paraId="46788E7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9FDA3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были установлены международные рекорды по классу амфибий. И.М.Сухомлин с и2р И.Козыркиным на АНТ-44 4М-85 установил три рекорда высоты полета: 6284 м с контрольным грузом 2 т; 5219 с 5 т, грузоподъемности на 2000 м - 5 т (438,783).</w:t>
      </w:r>
    </w:p>
    <w:p w14:paraId="326E8C6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60E0810" w14:textId="77777777" w:rsidR="00A27B4E" w:rsidRPr="00DB5D0D" w:rsidRDefault="00A27B4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 советский парашютист Василий Харахонов установил мировой рекорд по затяжному прыжку из стратосферы, спрыгнув с высоты 13.025 метров, свободное падение составило 12.145 метров</w:t>
      </w:r>
      <w:r w:rsidR="00BB45F7" w:rsidRPr="00DB5D0D">
        <w:rPr>
          <w:rFonts w:ascii="Times New Roman" w:hAnsi="Times New Roman"/>
          <w:color w:val="000000" w:themeColor="text1"/>
          <w:sz w:val="16"/>
          <w:szCs w:val="16"/>
        </w:rPr>
        <w:t xml:space="preserve"> (17398)</w:t>
      </w:r>
      <w:r w:rsidRPr="00DB5D0D">
        <w:rPr>
          <w:rFonts w:ascii="Times New Roman" w:hAnsi="Times New Roman"/>
          <w:color w:val="000000" w:themeColor="text1"/>
          <w:sz w:val="16"/>
          <w:szCs w:val="16"/>
        </w:rPr>
        <w:t>.</w:t>
      </w:r>
    </w:p>
    <w:p w14:paraId="73583F2D" w14:textId="77777777" w:rsidR="00A27B4E" w:rsidRPr="00DB5D0D" w:rsidRDefault="00A27B4E" w:rsidP="00DB5D0D">
      <w:pPr>
        <w:spacing w:after="0" w:line="240" w:lineRule="auto"/>
        <w:jc w:val="both"/>
        <w:rPr>
          <w:rFonts w:ascii="Times New Roman" w:hAnsi="Times New Roman"/>
          <w:color w:val="000000" w:themeColor="text1"/>
          <w:sz w:val="16"/>
          <w:szCs w:val="16"/>
        </w:rPr>
      </w:pPr>
    </w:p>
    <w:p w14:paraId="1B7C9A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вышел приказ НКАП N 356с о подготовке аэродромов НКАП к производству полетов на колесах в зимнее время в исполнение постановления экономсовета при СНК от 4 июля 1940 (1163).</w:t>
      </w:r>
    </w:p>
    <w:p w14:paraId="1648DBA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41FD9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 по приказу № 364с из состава ОКБ завода № 120 выделилась конструкторская группа для разработки амортстоек шасси и костылей. И.О. Начальника КБ по агрегатам шасси назначен Н.В. Куликов. По приказу НКАП № 473с от 23.05.1941 г. конструкторская группа по шасси завода № 120 в полном составе переведена в новое ОКБ завода № 119 НКАП.</w:t>
      </w:r>
    </w:p>
    <w:p w14:paraId="54E908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филиале завода № 120 в Нижнем Тагиле действовал филиал ОКБ. По приказу № 1045с от 6.10.1941 г. оборудование и личный состав филиала ОКБ переданы серийному производству для увеличения выпуска колес.</w:t>
      </w:r>
    </w:p>
    <w:p w14:paraId="0B075F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(06-07.1940 г.)- Н.В. Куликов, (-11.1940 г.)-  Г.Е. Чупилко, (2.11.1940-41 г.-)- П.В. Флеров.</w:t>
      </w:r>
    </w:p>
    <w:p w14:paraId="34DD48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Зам. гл. конструктора (-06.1940 г.)- Н.В. Куликов, (06.1940 г.-)- Н.И. Жохов (11982).</w:t>
      </w:r>
    </w:p>
    <w:p w14:paraId="282210F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DF178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года Ворошилов писал письмо N 6648/КО Шахурину.</w:t>
      </w:r>
    </w:p>
    <w:p w14:paraId="73BAA6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N 1665сс/ог</w:t>
      </w:r>
    </w:p>
    <w:p w14:paraId="5A923F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 ВМФ Кузнецов прекратил работы по планирующим торпедам по указанию КО, вследствие их дороговизны, сложности в производстве и неэффективности в боевом применении.</w:t>
      </w:r>
    </w:p>
    <w:p w14:paraId="3791C1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Каждый выстрел планирующей торпедой ведет к потере планера и автопилота, а точность попадания, даже при условии усовершенствовании методов прицеливания, будет низкая, вследствие воздействия на планер воздушных течений, учесть которые в момент отрыва планера - торпеды от самолета, не представляется возможным.</w:t>
      </w:r>
    </w:p>
    <w:p w14:paraId="6DAD0B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этого самолет с подвешенной планирующей торпедой значительно ухудшает свои летные качества и сравнительно легко может быть уничтожен средствами ПВО противника.</w:t>
      </w:r>
    </w:p>
    <w:p w14:paraId="22A7CE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всего вышесказанного, КО считает нецелесообразным пересматривать решение о прекращении работ над планирующими торпедами (3395,153).</w:t>
      </w:r>
    </w:p>
    <w:p w14:paraId="1AB2FF5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FFAFF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года приказом наркома ВМФ Кузнецова все работы по планирующим торпедам прекратили и на заводе N0379 и на специальной испытательной станции в Кречевицах. Конструктор Валк решением наркома ВМФ был откомандирован слушателем в Военно-Морскую Академию им. Ворошилова. Готовые образцы ПТ сданы на склад (3861).</w:t>
      </w:r>
    </w:p>
    <w:p w14:paraId="3B2CA3F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9B1F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6C1783B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D244B6F" w14:textId="77777777" w:rsidR="004E2226" w:rsidRPr="00DB5D0D" w:rsidRDefault="004E22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в 1940 году все работы по план-торпедам прекратили, и госиспытаний «ПСН-2» не проводили. В 1933 году в Научно исследовательском морском институте связи (НИМИС), в специально созданной для этой цели лаборатории № 22, под руководством Соломона Федоровича Валка начались разработки дистанционно управляемых планеров, несущих заряд взрывчатого вещества или торпеды. В 1933–1934 годы были проведены пуски моделей в 1/4 натуральной величины с высоты 1100 м, в ходе которых они пролетали 10–11 км. Затем был заключен договор с Осконбюро П.И.Гроховского на разработку специальных образцов, предназначенных против кораблей и береговых баз:</w:t>
      </w:r>
    </w:p>
    <w:p w14:paraId="546EC042" w14:textId="77777777" w:rsidR="004E2226" w:rsidRPr="00DB5D0D" w:rsidRDefault="004E22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ДПТ (дальнобойная планирующая торпеда), кодовое обозначение «Волк», – планирующая торпеда (ПТ, план торпеда) без двигателя с дальностью полета 30–50 км;</w:t>
      </w:r>
    </w:p>
    <w:p w14:paraId="37D28323" w14:textId="77777777" w:rsidR="004E2226" w:rsidRPr="00DB5D0D" w:rsidRDefault="004E22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ЛТДД (летающая торпеда дальнего действия) – ПТ, оборудованная двигателем (поршневым или ракетным) с дальностью полета 100–200 км;</w:t>
      </w:r>
    </w:p>
    <w:p w14:paraId="21FDA36B" w14:textId="77777777" w:rsidR="004E2226" w:rsidRPr="00DB5D0D" w:rsidRDefault="004E22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БМП (буксируемый минный планер), кодовое обозначение «Вепрь» – бездвигательная ПТ на жестком буксире за носителем.</w:t>
      </w:r>
    </w:p>
    <w:p w14:paraId="1A730136" w14:textId="77777777" w:rsidR="004E2226" w:rsidRPr="00DB5D0D" w:rsidRDefault="004E22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опытной партии ПТ поручили ОКБ завода № 23 в Ленинграде, а создание системы наведения (кодовое обозначение «Квант») – НИИ № 10 Наркомата оборонной промышленности (НКОП).</w:t>
      </w:r>
    </w:p>
    <w:p w14:paraId="49023714" w14:textId="77777777" w:rsidR="004E2226" w:rsidRPr="00DB5D0D" w:rsidRDefault="004E22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1935 году завод № 23 изготовил первые 4 гидропланера, получившие название «ПСН 1» (планер специального назначения). В августе в Ленинграде проводилась контрольная буксировка «ПСН 1» без отцепления за самолетом «Р 5». Полномасштабные летные испытания «ПСН 1» проводились с самолетами носителями «ТБ 3» и самолетами буксировщика ми Р 6 на озере в районе Кречевиц (Новгородская область). Первый взлет самолета «ТБ 3» с подвешенной под правой консолью крыла «ПСН 1» с учебными бомбами состоялся 30 августа 1935 года. Следует отметить, что на этапе опытных образцов планеры имели кабину для пилота, который вел наблюдения за автоматикой в ходе испытаний. Он не вмешивался в действия автопилота и других механизмов, если в том не было необходимости. В дальнейшем, после отработки телемеханической системы наведения намечалось делать беспилотные «ПСН 1». Однако пилотируемый вариант «ПСН 1» также предполагалось применять, но совсем не для самоубийственных атак, как фантазируют некоторые авторы. Пилотируемый вариант на самом деле предназначался для визуального наведения планера на крупную цель (линейный корабль или береговую базу). После сброса боевого заряда или торпеды пилот должен был увести планер в сторону на расстояние 4–6 миль и посадить его на воду, затем консоли крыла отстегивались, а планер превращался в своеобразный катер. Используя имевшийся на борту подвесной мотор, пилот уходил от пораженной цели. Именно поэтому «ПСН 1» выполнялся в виде гидропланера. К 10 августа 1936 г. были закончены испытания и приемка первых четырех «ПСН 1». Дальность их планирования с различными грузами составила в среднем 27 км. Необходимо отметить, что предполагался и вариант возвращения планера на самолет носитель по методике «Звена» B.C.Вахмистрова. Еще один конструктивный вариант планера предполагал установку на него двигателя, что, по сути, превращало планер в подвесной самолет торпедоносец. В 1937–1938 годы планировалось изготовление небольшой серии «ПСН 1» для окончательной отработки баллистики полета путем опытных пусков с самолета носителя. Однако в это время начались репрессии, были арестованы многие работники ОКБ № 21 и завода. В результате правительственное задание по изготовлению серии планеров было сорвано. Приказом НКОП ОКБ № 21 ликвидировали, а часть его сотрудников передали в Остехбюро, испытательные базы в Кречевицах и на озере Ильмень также ликвидировали. К осени 1937 года осталось только три опытных планера, с которыми и продолжили испытания. В августе 1938 года были проведены испытательные полеты с автоматической посадкой планера на воду. Всего по программе выполнено 38 таких полетов.</w:t>
      </w:r>
    </w:p>
    <w:p w14:paraId="7507D886" w14:textId="77777777" w:rsidR="004E2226" w:rsidRPr="00DB5D0D" w:rsidRDefault="004E22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июне 1939 года было принято решение о проектировании нового планера, получившего обозначение </w:t>
      </w:r>
      <w:hyperlink r:id="rId207" w:tgtFrame="_blank" w:history="1">
        <w:r w:rsidRPr="00DB5D0D">
          <w:rPr>
            <w:rFonts w:ascii="Times New Roman" w:hAnsi="Times New Roman"/>
            <w:color w:val="000000" w:themeColor="text1"/>
            <w:sz w:val="16"/>
            <w:szCs w:val="16"/>
          </w:rPr>
          <w:t xml:space="preserve">«ПСН 2», </w:t>
        </w:r>
      </w:hyperlink>
    </w:p>
    <w:p w14:paraId="490A79DA" w14:textId="77777777" w:rsidR="004E2226" w:rsidRPr="00DB5D0D" w:rsidRDefault="004E222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двух вариантах – фюзеляжном и двухбалочном. «ПСН 2» мог нести бомбу «ФАБ 1000» весом 1000 кг или торпеду аналогичного веса. В качестве самолета носителя для «ПСН 2» первоначально планировалось использовать самолеты «ТБ 3», а в дальнейшем «ДБ 3», но серийное производство последней машины несколько раз откладывалось. Первый образец «ПСН 2» был построен в конце 1939 году. Конструктивно планер «ПСН 2» разработки В.В.Никитина представлял собой двухпоплавковый гидропланер моноплан с низкорасположенным крылом и подвешиваемой торпедой. В схему управления планером включен автопилот, который летчик при испытаниях мог использовать по своему желанию. Приборы автоматического управления планером размещались внутри фюзеляжа и частично в центроплане. Подход к ним обеспечивался через специальные люки. Кабина пилота, как и у «ПСН 1», предусматривалась только на опытных образцах и находилась в носовой части фюзеляжа. Подготовка к испытаниям ПСН 2 началась в июне 1940 г. Планом работ до конца 1940 года предусматривались испытания как первых боевых «ПСН 2», так и опытных «ПСН 1» на точность попадания в цель. В этом же году планировалось запустить в серию боевые образцы ПСН 2, а также было принято решение об организации учебного центра для подготовки специалистов по обслуживанию и применению их в войсках. Одновременно с этим велось конструктивное совершенствование план торпед, например, разрабатывалась «бесхвостка» – гидроплан ДПТ с подвесной торпедой. Прорабатывались проекты торпед типа «летающее крыло» в двух вариантах: пилотируемой ППТ (тренировочно пристрелочной с полной автоматикой) и беспилотной БПТ (с полной автоматикой). К началу 1940 года был представлен проект беспилотной летающей торпеды с дальностью полета свыше 100 км и скоростью полета до 700 км/ ч, предназначенной для подвески под самолет «ДБ 3». В июле 1940 года провели буксировочные испытания на воде и в воздухе первого образца «ПСН 2». На испытаниях 11–23 июля 1940 года выполнили 3 буксировки по воде и 10 буксировок за «МБР 2» с отрывом от воды и полет на буксире на высоте 275 м. В перспективе С.Ф.Валк предполагал установить на «ПСН 2» ракетный двигатель. Однако 19 июля 1940 года приказом наркома ВМФ Н.Г.Кузнецова все работы по план торпедам были прекращены, С.Ф.Валка откомандировывали с 1 октября 1940 года слушателем в Военно морскую академию имени Ворошилова, а готовые образцы ПТ сдали на склад. В 1944 году B.C.Вахмистров предложил проект телемеханического планера, основой которого являлся планер с установленным на его спине самолетом управления. Планер был выполнен по двухбалочной схеме, причем в каждой балке располагалась 1000 кг бомба. Взлет сцепки осуществлялся при помощи сбрасываемой стартовой тележки. Доставив планер в заданный район, самолет осуществлял прицеливание, отцеплял планер, а сам возвращался на базу. После отцепки от самолета планер снаряд должен был лететь по направлению к цели, используя гироскопический автопилот. Однако проект не был реализован. Характеристики «ПСН 1»: размах крыла – 8,0 м, длина – 8,9 м, высота – 2,02 м, взлетный вес – 1970 кг, максимальная скорость – 350 км/ч, скорость при пикировании – 500 км/ч, дальность – 30–35 км. Характеристики «ПСН 2»: размах крыла – 7,0 м и его площадь – 9,47 м2, длина – 7,98 м, высота на поплавках – 2,8 м, взлетный вес – 1800 кг, максимальная скорость – 600 км/ч, практический потолок – 4000 м, дальность – 40–50 км (14957).</w:t>
      </w:r>
    </w:p>
    <w:p w14:paraId="31F16CB3" w14:textId="77777777" w:rsidR="004E2226" w:rsidRPr="00DB5D0D" w:rsidRDefault="004E2226" w:rsidP="00DB5D0D">
      <w:pPr>
        <w:spacing w:after="0" w:line="240" w:lineRule="auto"/>
        <w:jc w:val="both"/>
        <w:rPr>
          <w:rFonts w:ascii="Times New Roman" w:hAnsi="Times New Roman"/>
          <w:color w:val="000000" w:themeColor="text1"/>
          <w:sz w:val="16"/>
          <w:szCs w:val="16"/>
        </w:rPr>
      </w:pPr>
    </w:p>
    <w:p w14:paraId="15E3D3F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6047626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D96E1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 Протокол № 18. Решения ПБ за 25 июня - 04.7. 40 г.</w:t>
      </w:r>
    </w:p>
    <w:p w14:paraId="105CCF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73. О проведении переучета военнообязанных рядового и младшего начальствующего состава запаса. 06. 7. 40 г.</w:t>
      </w:r>
    </w:p>
    <w:p w14:paraId="538C05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81. Вопрос Политуправления Красной Армии. Кадровые вопросы (ОБ от 04. VII. 40 г., пр. №.42, п. №177, 178, 181-гс).</w:t>
      </w:r>
    </w:p>
    <w:p w14:paraId="3DCEA7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90. О составлении проекта закона о воинских преступлениях.</w:t>
      </w:r>
    </w:p>
    <w:p w14:paraId="3C01BA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95. Вопрос Наркомата обороны. Утверждение проекта СНК СССР по вопросам формирования, передислокации и численности Красной Армии*.</w:t>
      </w:r>
    </w:p>
    <w:p w14:paraId="296954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96. О переформировании Главных управлений Военных Воздушных Сил и Авиаснабжения в единое Главное управление Военных Воздушных Сил Красной Армии*. П. 97. О переформировании Инженерного управления КАв Главное военно-инженерное управление Красной Армии*. 09. 7. 40 г.</w:t>
      </w:r>
    </w:p>
    <w:p w14:paraId="48CB16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 115. Вопросы НКО. Утверждение членов Военных советов армий. П. 121. О членах Военного совета Дальневосточного фронта. 10.7.40 г.</w:t>
      </w:r>
    </w:p>
    <w:p w14:paraId="322900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135. Вопрос НКО. 1) Назначения командующих войсками, штабами военных округов. 2) Освобождение от должностей с зачислением в распоряжение НКО. П. 136. О введении новой формы обмундирования для генералов КА. 16. 7. 40 г.</w:t>
      </w:r>
    </w:p>
    <w:p w14:paraId="6A0287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188. О военном комиссаре УВВС Красной Армии.</w:t>
      </w:r>
    </w:p>
    <w:p w14:paraId="7E08B5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190. О реорганизации Управления начальника снабжения Красной Армии*. П. 191. О реорганизации Управления боевой подготовки Красной Армии*. П. 192. Вопрос НКО. Утверждение командующих ВВС по округам. П. 193. О командирах авиадивизий*. 19. 7. 40 г. П. 238. Вопрос НКО. Кадровые вопросы (11773).</w:t>
      </w:r>
    </w:p>
    <w:p w14:paraId="2F37D9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CAA863B"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4EC3E3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61C2B22"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19 июля в 1940 году подписан контракт «АС 15375», на строительство первого вертолета, под новым обозначением </w:t>
      </w:r>
      <w:hyperlink r:id="rId208" w:tgtFrame="_blank" w:history="1">
        <w:r w:rsidRPr="00DB5D0D">
          <w:rPr>
            <w:rFonts w:ascii="Times New Roman" w:hAnsi="Times New Roman"/>
            <w:color w:val="000000" w:themeColor="text1"/>
            <w:sz w:val="16"/>
            <w:szCs w:val="16"/>
          </w:rPr>
          <w:t xml:space="preserve">«XR-1». </w:t>
        </w:r>
      </w:hyperlink>
      <w:r w:rsidRPr="00DB5D0D">
        <w:rPr>
          <w:rFonts w:ascii="Times New Roman" w:hAnsi="Times New Roman"/>
          <w:color w:val="000000" w:themeColor="text1"/>
          <w:sz w:val="16"/>
          <w:szCs w:val="16"/>
        </w:rPr>
        <w:t>Договоренность между фирмой «Ли Пейдж» («LePage») и армией предусматривала постройку не только готового к полетам прототипа, но и второго корпуса для проведения различного рода испытаний (14957).</w:t>
      </w:r>
    </w:p>
    <w:p w14:paraId="31AF9F0E"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39759E8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году у берегов Крита англичанами потоплен итальянский крейсер «Бартоломео Коллеони» (4963 ).</w:t>
      </w:r>
    </w:p>
    <w:p w14:paraId="70503F1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1924F11" w14:textId="77777777" w:rsidR="00447B0B" w:rsidRPr="00DB5D0D" w:rsidRDefault="00447B0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w:t>
      </w:r>
      <w:r w:rsidRPr="00DB5D0D">
        <w:rPr>
          <w:rFonts w:ascii="Times New Roman" w:hAnsi="Times New Roman"/>
          <w:bCs/>
          <w:color w:val="000000" w:themeColor="text1"/>
          <w:sz w:val="16"/>
          <w:szCs w:val="16"/>
        </w:rPr>
        <w:t xml:space="preserve"> в 6 час. 27 мин. английские эсминцы «Хайперион», «Хируорд» и «Айленс», проводившие поиск подводных лодок противника к северу от м. Спада (о. Крит), обнаружили легкие крейсера «Коллеони» и «Банде Нере», которые шли к о. Лерос (Додеканезские острова) через Антикитирский пролив. Последние начали преследование английских эсминцев и с дистанции 100 каб. открыли по ним огонь. Эсминцы, прикрываясь дымзавесами, стали отходить на северо-восток, к дозорным крейсеру «Сидней» и эсминцу «Хэвок». Около 8 час. итальянские корабли обнаружили шедший навстречу им английский крейсер и, не приняв боя, легли на обратный курс. Через 24 минуты в машинное отделение «Коллеони» попал снаряд, и крейсер потерял ход. Вслед за тем в результате многочисленных попаданий артиллерийских снарядов и двух торпед «Коллеони» затонул. Получил повреждение и «Банде Нере», но ему удалось уйти от преследовавшего «Сиднея» в Тобрук» (17398).</w:t>
      </w:r>
    </w:p>
    <w:p w14:paraId="74F0320A" w14:textId="77777777" w:rsidR="00447B0B" w:rsidRPr="00DB5D0D" w:rsidRDefault="00447B0B" w:rsidP="00DB5D0D">
      <w:pPr>
        <w:tabs>
          <w:tab w:val="left" w:pos="11199"/>
        </w:tabs>
        <w:spacing w:after="0" w:line="240" w:lineRule="auto"/>
        <w:jc w:val="both"/>
        <w:rPr>
          <w:rFonts w:ascii="Times New Roman" w:hAnsi="Times New Roman"/>
          <w:color w:val="000000" w:themeColor="text1"/>
          <w:sz w:val="16"/>
          <w:szCs w:val="16"/>
        </w:rPr>
      </w:pPr>
    </w:p>
    <w:p w14:paraId="3DBC94EE" w14:textId="77777777" w:rsidR="00447B0B" w:rsidRPr="00DB5D0D" w:rsidRDefault="00447B0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в бою у мыса Спада</w:t>
      </w:r>
      <w:r w:rsidRPr="00DB5D0D">
        <w:rPr>
          <w:rFonts w:ascii="Times New Roman" w:hAnsi="Times New Roman"/>
          <w:bCs/>
          <w:color w:val="000000" w:themeColor="text1"/>
          <w:sz w:val="16"/>
          <w:szCs w:val="16"/>
        </w:rPr>
        <w:t>, когда три английских эсминца, производившие поиск подводных лодок в районе к северо-западу от острова Крит, встретились с двумя итальянскими легкими крейсерами. Эсминцы отошли, надеясь на поддержку австралийского легкого крейсера «Сидней» и еще одного эсминца, находившихся севернее района встречи. Когда итальянские крейсера увидели «Сидней», они сразу же отошли на юго-запад, несмотря на то, что имели превосходство в 152-мм артиллерии и лишь незначительно уступали в артиллерии меньшего калибра. Преследуя противника, «Сидней» потопил крейсер «Бартоломео Коллеони» и повредил крейсер «Банде Нери», который, однако, смог дойти до Тобрука (17398).</w:t>
      </w:r>
    </w:p>
    <w:p w14:paraId="06AA4C80" w14:textId="77777777" w:rsidR="00447B0B" w:rsidRPr="00DB5D0D" w:rsidRDefault="00447B0B" w:rsidP="00DB5D0D">
      <w:pPr>
        <w:tabs>
          <w:tab w:val="left" w:pos="11199"/>
        </w:tabs>
        <w:spacing w:after="0" w:line="240" w:lineRule="auto"/>
        <w:jc w:val="both"/>
        <w:rPr>
          <w:rFonts w:ascii="Times New Roman" w:hAnsi="Times New Roman"/>
          <w:color w:val="000000" w:themeColor="text1"/>
          <w:sz w:val="16"/>
          <w:szCs w:val="16"/>
        </w:rPr>
      </w:pPr>
    </w:p>
    <w:p w14:paraId="4E457C67"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в 1940 году у берегов Крита англичанами потопляется итальянский крейсер "Бартоломео Коллеони". 17 июля 1940 «Бартоломео Коллеони» при сопровождении «Джованни делле Банде Нере» отправился к острову Лерос, где находилась крупная группировка британских кораблей. Ночью 19 июля итальянская эскадра вступила в бой австралийским лёгким крейсером «Сидней» и пятью эсминцами, которые уже знали об эскадре благодаря сообщениям от пилотов. Попадание снаряда со стороны «Сиднея» в машинное отделение «Бартоломео Коллеони» привело к мощному взрыву и обездвиживанию итальянского крейсера. Британские эсминцы «Айлекс» и «Хайперион» добили итальянское судно, торпедировав его. В том бою погиб 121 член экипажа «Бартоломео Коллеони» (14957).</w:t>
      </w:r>
    </w:p>
    <w:p w14:paraId="5AC25435"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6C2558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 Гитлер предложил Британии заключить мир. Возможно это предложение и было бы принято, если бы в Лондоне оставалось у власти правительство "мюнхенца" Чемберлена. Но события апреля-мая 1940 г. в Европе переломили настроения общественного мнения Британии. В условиях демократической политической системы этот фактор играл решающую роль в формировании британской политики. Не умиротворение Германии, а война до победного конца, провозглашенная Черчиллем, занимала умы британцев в решающие дни весны-осени 1940 г. Психологически в тот момент Британия была не готова к принятию идеи соглашения с нацистами (3871).</w:t>
      </w:r>
    </w:p>
    <w:p w14:paraId="6FBF6D3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CE1321" w14:textId="77777777" w:rsidR="00447B0B" w:rsidRPr="00DB5D0D" w:rsidRDefault="00447B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года</w:t>
      </w:r>
      <w:r w:rsidRPr="00DB5D0D">
        <w:rPr>
          <w:rFonts w:ascii="Times New Roman" w:hAnsi="Times New Roman"/>
          <w:bCs/>
          <w:color w:val="000000" w:themeColor="text1"/>
          <w:sz w:val="16"/>
          <w:szCs w:val="16"/>
        </w:rPr>
        <w:t xml:space="preserve"> речь Гитлера в рейхстаге была исключительно миролюбивой. Он говорил тихо — в этот день он мог рассчитывать, что Европа будет вслушиваться даже в его шепот. Он говорил не спеша — просто потому, что спешить было больше некуда. Он говорил уверенно — это позволяли ему германские танковые дивизии, стоящие на берегу Атлантического океана. И он говорил О МИРЕ — потому что война для Германии была закончена. «Из Британии я слышу сегодня только один крик — не народа, а политиканов — о том, что война должна продолжаться. Я не знаю, правильно ли представляют себе эти политиканы, во что выльется продолжение борьбы (17398).</w:t>
      </w:r>
    </w:p>
    <w:p w14:paraId="05C0905D" w14:textId="77777777" w:rsidR="00447B0B" w:rsidRPr="00DB5D0D" w:rsidRDefault="00447B0B" w:rsidP="00DB5D0D">
      <w:pPr>
        <w:spacing w:after="0" w:line="240" w:lineRule="auto"/>
        <w:jc w:val="both"/>
        <w:rPr>
          <w:rFonts w:ascii="Times New Roman" w:hAnsi="Times New Roman"/>
          <w:color w:val="000000" w:themeColor="text1"/>
          <w:sz w:val="16"/>
          <w:szCs w:val="16"/>
        </w:rPr>
      </w:pPr>
    </w:p>
    <w:p w14:paraId="476EFC2D"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в 1940 году после относительно легкой победы над Францией Адольф Гитлер выступает в Рейхстаге с речью, в которой заявляет: пока, я тоже кормить красавицу "В этот час я чувствую себя обязанным перед своей совестью обратиться с призывом к благоразумию Англии. Я не вижу причины, которая заставляла бы продолжать эту войну”. Однако предложение высказывается в столь издевательском тоне и усыпается такими оскорблениями в адрес Уинстона Черчилля, что английские политики его всерьез не воспринимают. 22 июля британский министр иностранных дел лорд Галифакс, выступая по радио, официально отклонит "мирные предложения" Гитлера. Впрочем, и сама Германия не пошла бы на настоящий мир: Гитлер всегда повторял, что нужно как можно больше говорить о мире перед предстоящей войной, соблюдая "международные приличия"; если другая сторона откажется от переговоров, тем лучше, - ее можно обвинить в "агрессивных устремлениях против Рейха", уже не говоря о том, что гитлеровская Германия нападала и при наличии договоров о мире и дружбе (14957).</w:t>
      </w:r>
    </w:p>
    <w:p w14:paraId="07CD33A0"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66423C77"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в 1940 году после победоносной войны в Европе Гитлер в порыве эйфории присваивает высшее воинское звание германских вооруженных сил - генерал-фельдмаршала - сразу 12 высшим командирам. Геринг получает самое высокое и единственное звание - рейхсмаршала. Кроме престижа, звание генерал-фельдмаршала дает ежегодно 36 тысяч рейхсмарок, освобождаемых от налогов, плюс довольствие. К концу войны генералов-фельдмаршалов в третьем рейхе будет 20; 10 из них будут отправлены в отставку, а 3 за участие в июльском заговоре 1944 года - казнены (14957).</w:t>
      </w:r>
    </w:p>
    <w:p w14:paraId="16169C0A"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7C6CFA4E" w14:textId="77777777" w:rsidR="00447B0B" w:rsidRPr="00DB5D0D" w:rsidRDefault="00447B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 после захвата Франции, Бельгии и Нидерландов Гитлер произвел 12 генералов в фельдмаршалы. В рейхстаге он в своей речи утверждал, что хотел помочь Сталину в Финляндии – но не успел – Сталин сам справился. Кроме того, Гитлер заявил, что не видит повода для продолжения войны с Англией (17398).</w:t>
      </w:r>
    </w:p>
    <w:p w14:paraId="7BCB77E5" w14:textId="77777777" w:rsidR="00447B0B" w:rsidRPr="00DB5D0D" w:rsidRDefault="00447B0B" w:rsidP="00DB5D0D">
      <w:pPr>
        <w:spacing w:after="0" w:line="240" w:lineRule="auto"/>
        <w:jc w:val="both"/>
        <w:rPr>
          <w:rFonts w:ascii="Times New Roman" w:hAnsi="Times New Roman"/>
          <w:color w:val="000000" w:themeColor="text1"/>
          <w:sz w:val="16"/>
          <w:szCs w:val="16"/>
        </w:rPr>
      </w:pPr>
    </w:p>
    <w:p w14:paraId="47C38C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А.Гитлер по радио предложил Англии перемирие, но предложение было немедленно отвергнуто (2244,6). Просил контроля над Европой в обмен на невторжение в Англию (2240).</w:t>
      </w:r>
    </w:p>
    <w:p w14:paraId="33E810B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D565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в битве над Каналом было потеряно 6 Defiants из 9 и их перестали использовать днем (2240).</w:t>
      </w:r>
    </w:p>
    <w:p w14:paraId="5D9AAB0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1A131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19 июля 1940 м Анри Петен возглавил французское правительство (3186).</w:t>
      </w:r>
    </w:p>
    <w:p w14:paraId="6FF96C1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B390B5"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в 1940 году английское правительство закрыло Бирманскую дорогу, а также Гонконгский порт для поставок для Китая. Черчилль предложил в знак доброй воли вывести две индийские бригады из Сингапура. Этот шаг вызвал резкую антианглийскую реакцию в Чунцине, где его рассматривали как прямое предательство, и встретил раздражение в Вашингтоне (14957).</w:t>
      </w:r>
    </w:p>
    <w:p w14:paraId="59C342FF"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32EE2946"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в 1940 году Рузвельт провел встречу со своими главными советниками. Указав на карту, висевшую во всю ширину комнаты, президент пояснил, что день за днем изучал ее и наконец пришел к "выводу, что единственный путь преодолеть мировые трудности" состоит в прекращении поставок топлива странам-агрессорам, "в особенности запасов топлива, необходимых для ведения войны". В ходе последовавшего за тем обсуждения о необходимости подобного шага применительно к агрессорам в Европе разногласий не возникло. Однако вопрос о Японии вызвал резкий обмен мнениями о том, улучшит ли этот шаг обстановку или только ухудшит ее. Согласия достичь не удалось (14957).</w:t>
      </w:r>
    </w:p>
    <w:p w14:paraId="75B226D6"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4E88D9BA"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в 1940 году в Англии на время войны запрещается торговля новыми автомобилями (14957).</w:t>
      </w:r>
    </w:p>
    <w:p w14:paraId="73158351"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1B5BB6F6"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в 1940 году в американском журнале "Биллборд" публикуется первый в мире хит-парад грампластинок (14957).</w:t>
      </w:r>
    </w:p>
    <w:p w14:paraId="2886AAA6"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514D6D6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26A229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CBDDA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20 июля 1940 контролер Вахрушев - представитель КО СНК СССР - в журнале Учета выполнения постановлени правительства в отношении постановления КО N 235сс 1940 “О постановке серийного производства самолетов ББ-1 на заводах №№ 31 и 207 в 1940 году” отметил:</w:t>
      </w:r>
    </w:p>
    <w:p w14:paraId="7A72D8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З-ды № 31 и 207 сорвали заданую программу 1-го полугодия из-за плохой подготовки производства (10395).</w:t>
      </w:r>
    </w:p>
    <w:p w14:paraId="22E3D03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8B792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 Начальник ВВС генерал-лейтенант авиации Смушкевич и Военком ВВС дивизионный комиссар Агальцов 24 июля 1940 года утвердили Отчет о гос. испытаниях самолета ДБ-3Ф 2М-88 с модернизированными стрелковыми установками МВ-2 и МВ-3 (Самолет № 390204).</w:t>
      </w:r>
    </w:p>
    <w:p w14:paraId="558919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79789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Кокорин Н.М.</w:t>
      </w:r>
    </w:p>
    <w:p w14:paraId="5B7DD9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летчик-испытатель капитан Дудкин Л.П.</w:t>
      </w:r>
    </w:p>
    <w:p w14:paraId="061E3F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51835C9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Снять летные характеристики самолета.</w:t>
      </w:r>
    </w:p>
    <w:p w14:paraId="3784E08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модернизированных стрелковых установок.</w:t>
      </w:r>
    </w:p>
    <w:p w14:paraId="7FA59D2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бомбардировочного вооружения и спецоборудования.</w:t>
      </w:r>
    </w:p>
    <w:p w14:paraId="0F8B281B" w14:textId="77777777" w:rsidR="003C7E8B" w:rsidRPr="00DB5D0D" w:rsidRDefault="003C7E8B" w:rsidP="00DB5D0D">
      <w:pPr>
        <w:pStyle w:val="a3"/>
        <w:widowControl/>
        <w:rPr>
          <w:color w:val="000000" w:themeColor="text1"/>
          <w:lang w:val="ru-RU"/>
        </w:rPr>
      </w:pPr>
      <w:r w:rsidRPr="00DB5D0D">
        <w:rPr>
          <w:color w:val="000000" w:themeColor="text1"/>
          <w:lang w:val="ru-RU"/>
        </w:rPr>
        <w:t>Испытания проводились на ранее проходившем испытания самолете ДБ-3Ф 2М-88 с ВИШ-23 за № 390204, на котором заводом № 39 были установлены стрелковые установки МВ-3 и МВ-2 вместо СУ-ДБ3 и ЛУ-ДБ3.</w:t>
      </w:r>
    </w:p>
    <w:p w14:paraId="688E51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оборудованием самолета новыми стрелковыми установками, крышка люка кабины стрелка, открывавшаяся внутрь фюзеляжа, заменена двумя створками, открывающимися наружу.</w:t>
      </w:r>
    </w:p>
    <w:p w14:paraId="36CCFC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произведено 18 полетов общей продолжительностью 14 час. 45 мин., из них: высотных полетов – 1 продолжительностью 2 час. 50 мин.</w:t>
      </w:r>
    </w:p>
    <w:p w14:paraId="70F103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проведено за 15 дней, из них летных дней – 9.</w:t>
      </w:r>
    </w:p>
    <w:p w14:paraId="692A02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BB9ED0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всех самолетах ДБ-3Ф заменить СУ-ДБ3 и ЛУ-ДБ3 на МВ-3 и МВ-2 (Постановление КО от 11 января 1940 года № 23 сс), так как уменьшение скорости и дальности компенсируется улучшением условий работы для стрелка-радиста и значительным усилением обороны задней сферы.</w:t>
      </w:r>
    </w:p>
    <w:p w14:paraId="76C60F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6804"/>
        <w:gridCol w:w="1701"/>
      </w:tblGrid>
      <w:tr w:rsidR="007D5DF8" w:rsidRPr="00DB5D0D" w14:paraId="696953F7" w14:textId="77777777" w:rsidTr="00E543D0">
        <w:tc>
          <w:tcPr>
            <w:tcW w:w="2093" w:type="dxa"/>
          </w:tcPr>
          <w:p w14:paraId="274362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6804" w:type="dxa"/>
          </w:tcPr>
          <w:p w14:paraId="5F30B7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работ</w:t>
            </w:r>
          </w:p>
        </w:tc>
        <w:tc>
          <w:tcPr>
            <w:tcW w:w="1701" w:type="dxa"/>
          </w:tcPr>
          <w:p w14:paraId="6AF58E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полетов</w:t>
            </w:r>
          </w:p>
        </w:tc>
      </w:tr>
      <w:tr w:rsidR="007D5DF8" w:rsidRPr="00DB5D0D" w14:paraId="2B162B60" w14:textId="77777777" w:rsidTr="00E543D0">
        <w:tc>
          <w:tcPr>
            <w:tcW w:w="2093" w:type="dxa"/>
          </w:tcPr>
          <w:p w14:paraId="08C707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года</w:t>
            </w:r>
          </w:p>
        </w:tc>
        <w:tc>
          <w:tcPr>
            <w:tcW w:w="6804" w:type="dxa"/>
          </w:tcPr>
          <w:p w14:paraId="5685A1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растряску ВАП 500 и выливание нейтральной жидкости</w:t>
            </w:r>
          </w:p>
        </w:tc>
        <w:tc>
          <w:tcPr>
            <w:tcW w:w="1701" w:type="dxa"/>
          </w:tcPr>
          <w:p w14:paraId="5F7F20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0E5E5401" w14:textId="77777777" w:rsidTr="00E543D0">
        <w:tc>
          <w:tcPr>
            <w:tcW w:w="2093" w:type="dxa"/>
          </w:tcPr>
          <w:p w14:paraId="0C8ACC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6804" w:type="dxa"/>
          </w:tcPr>
          <w:p w14:paraId="43C5E8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 из МВ-3. Отстрел спецпатронами</w:t>
            </w:r>
          </w:p>
        </w:tc>
        <w:tc>
          <w:tcPr>
            <w:tcW w:w="1701" w:type="dxa"/>
          </w:tcPr>
          <w:p w14:paraId="1A6421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68E52C7C" w14:textId="77777777" w:rsidTr="00E543D0">
        <w:tc>
          <w:tcPr>
            <w:tcW w:w="2093" w:type="dxa"/>
          </w:tcPr>
          <w:p w14:paraId="53C953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6804" w:type="dxa"/>
          </w:tcPr>
          <w:p w14:paraId="6D8F64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земным мишеням и сбрасывание ампул</w:t>
            </w:r>
          </w:p>
        </w:tc>
        <w:tc>
          <w:tcPr>
            <w:tcW w:w="1701" w:type="dxa"/>
          </w:tcPr>
          <w:p w14:paraId="311E0C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31F87F2E" w14:textId="77777777" w:rsidTr="00E543D0">
        <w:tc>
          <w:tcPr>
            <w:tcW w:w="2093" w:type="dxa"/>
          </w:tcPr>
          <w:p w14:paraId="3AE884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года</w:t>
            </w:r>
          </w:p>
        </w:tc>
        <w:tc>
          <w:tcPr>
            <w:tcW w:w="6804" w:type="dxa"/>
          </w:tcPr>
          <w:p w14:paraId="052D8C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w:t>
            </w:r>
          </w:p>
        </w:tc>
        <w:tc>
          <w:tcPr>
            <w:tcW w:w="1701" w:type="dxa"/>
          </w:tcPr>
          <w:p w14:paraId="3F621C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305E55CE" w14:textId="77777777" w:rsidTr="00E543D0">
        <w:tc>
          <w:tcPr>
            <w:tcW w:w="2093" w:type="dxa"/>
          </w:tcPr>
          <w:p w14:paraId="2533C7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года</w:t>
            </w:r>
          </w:p>
        </w:tc>
        <w:tc>
          <w:tcPr>
            <w:tcW w:w="6804" w:type="dxa"/>
          </w:tcPr>
          <w:p w14:paraId="4E86BC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 боевыми бомбами ФАБ-100 и ФАБ-250</w:t>
            </w:r>
          </w:p>
        </w:tc>
        <w:tc>
          <w:tcPr>
            <w:tcW w:w="1701" w:type="dxa"/>
          </w:tcPr>
          <w:p w14:paraId="21F0DD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334B805A" w14:textId="77777777" w:rsidTr="00E543D0">
        <w:tc>
          <w:tcPr>
            <w:tcW w:w="2093" w:type="dxa"/>
          </w:tcPr>
          <w:p w14:paraId="2E0E9E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6804" w:type="dxa"/>
          </w:tcPr>
          <w:p w14:paraId="01D9AB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расхода горючего с полетным весом 8000 кг на Н=4000 м</w:t>
            </w:r>
          </w:p>
        </w:tc>
        <w:tc>
          <w:tcPr>
            <w:tcW w:w="1701" w:type="dxa"/>
          </w:tcPr>
          <w:p w14:paraId="169A2A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05554DE7" w14:textId="77777777" w:rsidTr="00E543D0">
        <w:tc>
          <w:tcPr>
            <w:tcW w:w="2093" w:type="dxa"/>
          </w:tcPr>
          <w:p w14:paraId="7287C8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6804" w:type="dxa"/>
          </w:tcPr>
          <w:p w14:paraId="5E21AF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w:t>
            </w:r>
          </w:p>
        </w:tc>
        <w:tc>
          <w:tcPr>
            <w:tcW w:w="1701" w:type="dxa"/>
          </w:tcPr>
          <w:p w14:paraId="4D6060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511295EA" w14:textId="77777777" w:rsidTr="00E543D0">
        <w:tc>
          <w:tcPr>
            <w:tcW w:w="2093" w:type="dxa"/>
          </w:tcPr>
          <w:p w14:paraId="349A3D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w:t>
            </w:r>
          </w:p>
        </w:tc>
        <w:tc>
          <w:tcPr>
            <w:tcW w:w="6804" w:type="dxa"/>
          </w:tcPr>
          <w:p w14:paraId="1C47AB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девиации РПК-2 и точности пеленгации</w:t>
            </w:r>
          </w:p>
        </w:tc>
        <w:tc>
          <w:tcPr>
            <w:tcW w:w="1701" w:type="dxa"/>
          </w:tcPr>
          <w:p w14:paraId="0497DD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7AE35174" w14:textId="77777777" w:rsidTr="00E543D0">
        <w:tc>
          <w:tcPr>
            <w:tcW w:w="2093" w:type="dxa"/>
          </w:tcPr>
          <w:p w14:paraId="510E06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года</w:t>
            </w:r>
          </w:p>
        </w:tc>
        <w:tc>
          <w:tcPr>
            <w:tcW w:w="6804" w:type="dxa"/>
          </w:tcPr>
          <w:p w14:paraId="222B9E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скоростей у земли</w:t>
            </w:r>
          </w:p>
        </w:tc>
        <w:tc>
          <w:tcPr>
            <w:tcW w:w="1701" w:type="dxa"/>
          </w:tcPr>
          <w:p w14:paraId="7E5AC2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1E167273" w14:textId="77777777" w:rsidTr="00E543D0">
        <w:tc>
          <w:tcPr>
            <w:tcW w:w="2093" w:type="dxa"/>
          </w:tcPr>
          <w:p w14:paraId="7DB8C3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года</w:t>
            </w:r>
          </w:p>
        </w:tc>
        <w:tc>
          <w:tcPr>
            <w:tcW w:w="6804" w:type="dxa"/>
          </w:tcPr>
          <w:p w14:paraId="3436C8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расхода горючего с полетным весом 8000 кг на Н=4000 м и ЗФАБ-250</w:t>
            </w:r>
          </w:p>
        </w:tc>
        <w:tc>
          <w:tcPr>
            <w:tcW w:w="1701" w:type="dxa"/>
          </w:tcPr>
          <w:p w14:paraId="34C5A9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7C02FAAE" w14:textId="77777777" w:rsidTr="00E543D0">
        <w:tc>
          <w:tcPr>
            <w:tcW w:w="2093" w:type="dxa"/>
          </w:tcPr>
          <w:p w14:paraId="5E317A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года</w:t>
            </w:r>
          </w:p>
        </w:tc>
        <w:tc>
          <w:tcPr>
            <w:tcW w:w="6804" w:type="dxa"/>
          </w:tcPr>
          <w:p w14:paraId="2B24EB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закончены</w:t>
            </w:r>
          </w:p>
        </w:tc>
        <w:tc>
          <w:tcPr>
            <w:tcW w:w="1701" w:type="dxa"/>
          </w:tcPr>
          <w:p w14:paraId="4270CA0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1957CF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(4555).</w:t>
      </w:r>
    </w:p>
    <w:p w14:paraId="58BBCB4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7233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Я.В.Смушкевич и воен. комиссар ВВС КА Ф.А.Агальцов писали А.И.Ш. письмо N 396 (1272):</w:t>
      </w:r>
    </w:p>
    <w:p w14:paraId="331FD4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39 НКАП за период внедрения и доводки самолета ДБ-3Ф в течение года систематически не выполняют требования ВВС по устранению дефектов, выявленных на самолете по результатам гос. испытаний в НИИ ВВС ГУ ВВС КА. Так например:</w:t>
      </w:r>
    </w:p>
    <w:p w14:paraId="673939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Дефекты, выявленные на испытаниях еще в декабре 1939 устранялись в течение 4-5 месяцев, но и на сегодня полностью не устранены (замки шасси, сидение стрелка);</w:t>
      </w:r>
    </w:p>
    <w:p w14:paraId="197131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Несмотря на Указ Президиума ВС от 10 июня об ответственности за сдачу некондиционной продукции, дефекты выявленные в марте-апреле 1940 завод устранять отказывается, хотя по ряду вопросов, как видно из прилагаемой ведомости, есть решение конструкторского бюро С.В.И. о необходимости доводки самолета.</w:t>
      </w:r>
    </w:p>
    <w:p w14:paraId="267225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нежелания доработать самолет, завод не выполнил постановление Правительства и не сдал к 1 июля самолет, отвечающий данным, указанным в постановлении КО N 226сс от 29 июля 1939.</w:t>
      </w:r>
    </w:p>
    <w:p w14:paraId="0405DD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w:t>
      </w:r>
    </w:p>
    <w:p w14:paraId="701D40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заводы 18, 39 и 126 в срочном порядке провести устранение всех дефектов, выявленных при испытании ДБ-3Ф 2М-87 и ДБ-3Ф 2М-88, как на выпускаемых заводами самолетах, так и на отправленных в строевые части ВВС.</w:t>
      </w:r>
    </w:p>
    <w:p w14:paraId="2D3E5B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ГК Ильюшина и директора завода N 39 Журавлева довести самолет ДБ-3 до летных данных, установленных решением КО СНК, т.е. до макс. скорости полета 485 км/час вместо имеющейся 425 км/час.</w:t>
      </w:r>
    </w:p>
    <w:p w14:paraId="4C4796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принятых Вами мерах прошу поставить меня в известность (1272).</w:t>
      </w:r>
    </w:p>
    <w:p w14:paraId="71548F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Ведомость разногласий по дефектам, выявленным на гос. испытаниях самолета ДБ-3Ф N 390204 в НИИ ВВС КА (1272):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2410"/>
        <w:gridCol w:w="3118"/>
        <w:gridCol w:w="2409"/>
      </w:tblGrid>
      <w:tr w:rsidR="007D5DF8" w:rsidRPr="00DB5D0D" w14:paraId="46A6758B" w14:textId="77777777" w:rsidTr="00E543D0">
        <w:tc>
          <w:tcPr>
            <w:tcW w:w="2660" w:type="dxa"/>
            <w:tcBorders>
              <w:top w:val="single" w:sz="12" w:space="0" w:color="auto"/>
            </w:tcBorders>
          </w:tcPr>
          <w:p w14:paraId="540931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Сущность дефекта</w:t>
            </w:r>
          </w:p>
        </w:tc>
        <w:tc>
          <w:tcPr>
            <w:tcW w:w="2410" w:type="dxa"/>
            <w:tcBorders>
              <w:top w:val="single" w:sz="12" w:space="0" w:color="auto"/>
            </w:tcBorders>
          </w:tcPr>
          <w:p w14:paraId="7FB8B5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Предложения НИИ ВВС</w:t>
            </w:r>
          </w:p>
        </w:tc>
        <w:tc>
          <w:tcPr>
            <w:tcW w:w="3118" w:type="dxa"/>
            <w:tcBorders>
              <w:top w:val="single" w:sz="12" w:space="0" w:color="auto"/>
            </w:tcBorders>
          </w:tcPr>
          <w:p w14:paraId="6C215A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ОКБ</w:t>
            </w:r>
          </w:p>
        </w:tc>
        <w:tc>
          <w:tcPr>
            <w:tcW w:w="2409" w:type="dxa"/>
            <w:tcBorders>
              <w:top w:val="single" w:sz="12" w:space="0" w:color="auto"/>
            </w:tcBorders>
          </w:tcPr>
          <w:p w14:paraId="568EFD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завода</w:t>
            </w:r>
          </w:p>
        </w:tc>
      </w:tr>
      <w:tr w:rsidR="007D5DF8" w:rsidRPr="00DB5D0D" w14:paraId="409D756F" w14:textId="77777777" w:rsidTr="00E543D0">
        <w:tc>
          <w:tcPr>
            <w:tcW w:w="2660" w:type="dxa"/>
          </w:tcPr>
          <w:p w14:paraId="7AF828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самолету</w:t>
            </w:r>
          </w:p>
        </w:tc>
        <w:tc>
          <w:tcPr>
            <w:tcW w:w="2410" w:type="dxa"/>
          </w:tcPr>
          <w:p w14:paraId="1D4872E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7F6D0C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158F96E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5F5B413" w14:textId="77777777" w:rsidTr="00E543D0">
        <w:tc>
          <w:tcPr>
            <w:tcW w:w="2660" w:type="dxa"/>
          </w:tcPr>
          <w:p w14:paraId="73AF08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имеет заднюю</w:t>
            </w:r>
          </w:p>
        </w:tc>
        <w:tc>
          <w:tcPr>
            <w:tcW w:w="2410" w:type="dxa"/>
          </w:tcPr>
          <w:p w14:paraId="1CF091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Довести до 29% САХ</w:t>
            </w:r>
          </w:p>
        </w:tc>
        <w:tc>
          <w:tcPr>
            <w:tcW w:w="3118" w:type="dxa"/>
          </w:tcPr>
          <w:p w14:paraId="541971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Извещение о с чертежами</w:t>
            </w:r>
          </w:p>
        </w:tc>
        <w:tc>
          <w:tcPr>
            <w:tcW w:w="2409" w:type="dxa"/>
          </w:tcPr>
          <w:p w14:paraId="6F366C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отказывается</w:t>
            </w:r>
          </w:p>
        </w:tc>
      </w:tr>
      <w:tr w:rsidR="007D5DF8" w:rsidRPr="00DB5D0D" w14:paraId="32F4342A" w14:textId="77777777" w:rsidTr="00E543D0">
        <w:tc>
          <w:tcPr>
            <w:tcW w:w="2660" w:type="dxa"/>
          </w:tcPr>
          <w:p w14:paraId="0E09FF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центровку</w:t>
            </w:r>
          </w:p>
        </w:tc>
        <w:tc>
          <w:tcPr>
            <w:tcW w:w="2410" w:type="dxa"/>
          </w:tcPr>
          <w:p w14:paraId="30A1F0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4F954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повернутую консоль</w:t>
            </w:r>
          </w:p>
        </w:tc>
        <w:tc>
          <w:tcPr>
            <w:tcW w:w="2409" w:type="dxa"/>
          </w:tcPr>
          <w:p w14:paraId="2CED9ED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8C43D06" w14:textId="77777777" w:rsidTr="00E543D0">
        <w:tc>
          <w:tcPr>
            <w:tcW w:w="2660" w:type="dxa"/>
          </w:tcPr>
          <w:p w14:paraId="5D820BB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10" w:type="dxa"/>
          </w:tcPr>
          <w:p w14:paraId="6108713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1BECA0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спущено 16.02.1940 N 170</w:t>
            </w:r>
          </w:p>
        </w:tc>
        <w:tc>
          <w:tcPr>
            <w:tcW w:w="2409" w:type="dxa"/>
          </w:tcPr>
          <w:p w14:paraId="5FDCE82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AE67278" w14:textId="77777777" w:rsidTr="00E543D0">
        <w:tc>
          <w:tcPr>
            <w:tcW w:w="2660" w:type="dxa"/>
          </w:tcPr>
          <w:p w14:paraId="5B65E2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Отработанные газы</w:t>
            </w:r>
          </w:p>
        </w:tc>
        <w:tc>
          <w:tcPr>
            <w:tcW w:w="2410" w:type="dxa"/>
          </w:tcPr>
          <w:p w14:paraId="6EBD81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Зашить первые нервюры</w:t>
            </w:r>
          </w:p>
        </w:tc>
        <w:tc>
          <w:tcPr>
            <w:tcW w:w="3118" w:type="dxa"/>
          </w:tcPr>
          <w:p w14:paraId="770E47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Дюраль нецелесообразен.</w:t>
            </w:r>
          </w:p>
        </w:tc>
        <w:tc>
          <w:tcPr>
            <w:tcW w:w="2409" w:type="dxa"/>
          </w:tcPr>
          <w:p w14:paraId="79E400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отказывается</w:t>
            </w:r>
          </w:p>
        </w:tc>
      </w:tr>
      <w:tr w:rsidR="007D5DF8" w:rsidRPr="00DB5D0D" w14:paraId="02EA4F70" w14:textId="77777777" w:rsidTr="00E543D0">
        <w:tc>
          <w:tcPr>
            <w:tcW w:w="2660" w:type="dxa"/>
          </w:tcPr>
          <w:p w14:paraId="35C236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проникают в кабину</w:t>
            </w:r>
          </w:p>
        </w:tc>
        <w:tc>
          <w:tcPr>
            <w:tcW w:w="2410" w:type="dxa"/>
          </w:tcPr>
          <w:p w14:paraId="76A3E70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08E303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центроплана дюралем</w:t>
            </w:r>
          </w:p>
        </w:tc>
        <w:tc>
          <w:tcPr>
            <w:tcW w:w="2409" w:type="dxa"/>
          </w:tcPr>
          <w:p w14:paraId="080D57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Заклеить полотном</w:t>
            </w:r>
          </w:p>
        </w:tc>
      </w:tr>
      <w:tr w:rsidR="007D5DF8" w:rsidRPr="00DB5D0D" w14:paraId="10FB5168" w14:textId="77777777" w:rsidTr="00E543D0">
        <w:tc>
          <w:tcPr>
            <w:tcW w:w="2660" w:type="dxa"/>
          </w:tcPr>
          <w:p w14:paraId="71F634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стрелка-радиста</w:t>
            </w:r>
          </w:p>
        </w:tc>
        <w:tc>
          <w:tcPr>
            <w:tcW w:w="2410" w:type="dxa"/>
          </w:tcPr>
          <w:p w14:paraId="0D3FA7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5DFBCE7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202D9D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4E0A8D5" w14:textId="77777777" w:rsidTr="00E543D0">
        <w:tc>
          <w:tcPr>
            <w:tcW w:w="2660" w:type="dxa"/>
          </w:tcPr>
          <w:p w14:paraId="146EBA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10" w:type="dxa"/>
          </w:tcPr>
          <w:p w14:paraId="7707EB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05E26F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5AE817A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FD1D4DA" w14:textId="77777777" w:rsidTr="00E543D0">
        <w:tc>
          <w:tcPr>
            <w:tcW w:w="2660" w:type="dxa"/>
          </w:tcPr>
          <w:p w14:paraId="09B99F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Шасси не имеет замка</w:t>
            </w:r>
          </w:p>
        </w:tc>
        <w:tc>
          <w:tcPr>
            <w:tcW w:w="2410" w:type="dxa"/>
          </w:tcPr>
          <w:p w14:paraId="311DBE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Доработать замок в</w:t>
            </w:r>
          </w:p>
        </w:tc>
        <w:tc>
          <w:tcPr>
            <w:tcW w:w="3118" w:type="dxa"/>
          </w:tcPr>
          <w:p w14:paraId="5D1F0C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Извещение на замок</w:t>
            </w:r>
          </w:p>
        </w:tc>
        <w:tc>
          <w:tcPr>
            <w:tcW w:w="2409" w:type="dxa"/>
          </w:tcPr>
          <w:p w14:paraId="0B41A1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отказывается</w:t>
            </w:r>
          </w:p>
        </w:tc>
      </w:tr>
      <w:tr w:rsidR="007D5DF8" w:rsidRPr="00DB5D0D" w14:paraId="71EC5D1D" w14:textId="77777777" w:rsidTr="00E543D0">
        <w:tc>
          <w:tcPr>
            <w:tcW w:w="2660" w:type="dxa"/>
          </w:tcPr>
          <w:p w14:paraId="5FDF99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фиксации выпуска</w:t>
            </w:r>
          </w:p>
        </w:tc>
        <w:tc>
          <w:tcPr>
            <w:tcW w:w="2410" w:type="dxa"/>
          </w:tcPr>
          <w:p w14:paraId="2008B3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частях</w:t>
            </w:r>
          </w:p>
        </w:tc>
        <w:tc>
          <w:tcPr>
            <w:tcW w:w="3118" w:type="dxa"/>
          </w:tcPr>
          <w:p w14:paraId="08E98C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спущено 03.04.40</w:t>
            </w:r>
          </w:p>
        </w:tc>
        <w:tc>
          <w:tcPr>
            <w:tcW w:w="2409" w:type="dxa"/>
          </w:tcPr>
          <w:p w14:paraId="02B4EC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частях</w:t>
            </w:r>
          </w:p>
        </w:tc>
      </w:tr>
      <w:tr w:rsidR="007D5DF8" w:rsidRPr="00DB5D0D" w14:paraId="3C99177C" w14:textId="77777777" w:rsidTr="00E543D0">
        <w:tc>
          <w:tcPr>
            <w:tcW w:w="2660" w:type="dxa"/>
          </w:tcPr>
          <w:p w14:paraId="13BD25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ВМГ</w:t>
            </w:r>
          </w:p>
        </w:tc>
        <w:tc>
          <w:tcPr>
            <w:tcW w:w="2410" w:type="dxa"/>
          </w:tcPr>
          <w:p w14:paraId="5A42B2A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4BCC3EC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759051A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1CF6D8C" w14:textId="77777777" w:rsidTr="00E543D0">
        <w:tc>
          <w:tcPr>
            <w:tcW w:w="2660" w:type="dxa"/>
          </w:tcPr>
          <w:p w14:paraId="5826C3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10" w:type="dxa"/>
          </w:tcPr>
          <w:p w14:paraId="621EE68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567E40B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4485F33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DA6D091" w14:textId="77777777" w:rsidTr="00E543D0">
        <w:tc>
          <w:tcPr>
            <w:tcW w:w="2660" w:type="dxa"/>
          </w:tcPr>
          <w:p w14:paraId="6DAA90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Бомбардировочное вооружение</w:t>
            </w:r>
          </w:p>
        </w:tc>
        <w:tc>
          <w:tcPr>
            <w:tcW w:w="2410" w:type="dxa"/>
          </w:tcPr>
          <w:p w14:paraId="437221D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0C8858D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65C625D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F984A98" w14:textId="77777777" w:rsidTr="00E543D0">
        <w:tc>
          <w:tcPr>
            <w:tcW w:w="2660" w:type="dxa"/>
          </w:tcPr>
          <w:p w14:paraId="039C49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Створка люка на</w:t>
            </w:r>
          </w:p>
        </w:tc>
        <w:tc>
          <w:tcPr>
            <w:tcW w:w="2410" w:type="dxa"/>
          </w:tcPr>
          <w:p w14:paraId="1DC08D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Ставить усиленные</w:t>
            </w:r>
          </w:p>
        </w:tc>
        <w:tc>
          <w:tcPr>
            <w:tcW w:w="3118" w:type="dxa"/>
          </w:tcPr>
          <w:p w14:paraId="7F0B2C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будет к 01.08</w:t>
            </w:r>
          </w:p>
        </w:tc>
        <w:tc>
          <w:tcPr>
            <w:tcW w:w="2409" w:type="dxa"/>
          </w:tcPr>
          <w:p w14:paraId="6AA8FA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отказывается</w:t>
            </w:r>
          </w:p>
        </w:tc>
      </w:tr>
      <w:tr w:rsidR="007D5DF8" w:rsidRPr="00DB5D0D" w14:paraId="4ED6F6F5" w14:textId="77777777" w:rsidTr="00E543D0">
        <w:tc>
          <w:tcPr>
            <w:tcW w:w="2660" w:type="dxa"/>
          </w:tcPr>
          <w:p w14:paraId="4072A0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половину открывается</w:t>
            </w:r>
          </w:p>
        </w:tc>
        <w:tc>
          <w:tcPr>
            <w:tcW w:w="2410" w:type="dxa"/>
          </w:tcPr>
          <w:p w14:paraId="088455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пружины</w:t>
            </w:r>
          </w:p>
        </w:tc>
        <w:tc>
          <w:tcPr>
            <w:tcW w:w="3118" w:type="dxa"/>
          </w:tcPr>
          <w:p w14:paraId="57C915A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5851A2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42E01B4" w14:textId="77777777" w:rsidTr="00E543D0">
        <w:tc>
          <w:tcPr>
            <w:tcW w:w="2660" w:type="dxa"/>
          </w:tcPr>
          <w:p w14:paraId="27CD04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пологих разворотах</w:t>
            </w:r>
          </w:p>
        </w:tc>
        <w:tc>
          <w:tcPr>
            <w:tcW w:w="2410" w:type="dxa"/>
          </w:tcPr>
          <w:p w14:paraId="7F24016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235705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5C779F7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E7F1B86" w14:textId="77777777" w:rsidTr="00E543D0">
        <w:tc>
          <w:tcPr>
            <w:tcW w:w="2660" w:type="dxa"/>
          </w:tcPr>
          <w:p w14:paraId="240456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электрооборудованию</w:t>
            </w:r>
          </w:p>
        </w:tc>
        <w:tc>
          <w:tcPr>
            <w:tcW w:w="2410" w:type="dxa"/>
          </w:tcPr>
          <w:p w14:paraId="556F577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2B7BFA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4E46D5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31C90CA" w14:textId="77777777" w:rsidTr="00E543D0">
        <w:tc>
          <w:tcPr>
            <w:tcW w:w="2660" w:type="dxa"/>
          </w:tcPr>
          <w:p w14:paraId="3D4F8B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10" w:type="dxa"/>
          </w:tcPr>
          <w:p w14:paraId="2FA63F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17DA3C5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2A498F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A82490B" w14:textId="77777777" w:rsidTr="00E543D0">
        <w:tc>
          <w:tcPr>
            <w:tcW w:w="2660" w:type="dxa"/>
          </w:tcPr>
          <w:p w14:paraId="59EB7F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 средствам связи</w:t>
            </w:r>
          </w:p>
        </w:tc>
        <w:tc>
          <w:tcPr>
            <w:tcW w:w="2410" w:type="dxa"/>
          </w:tcPr>
          <w:p w14:paraId="3A8C330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2F8F8BA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30EE8C1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3CADFEB" w14:textId="77777777" w:rsidTr="00E543D0">
        <w:tc>
          <w:tcPr>
            <w:tcW w:w="2660" w:type="dxa"/>
          </w:tcPr>
          <w:p w14:paraId="033905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10" w:type="dxa"/>
          </w:tcPr>
          <w:p w14:paraId="3D8C96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557BD23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0A3D7C0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BDC4BA5" w14:textId="77777777" w:rsidTr="00E543D0">
        <w:tc>
          <w:tcPr>
            <w:tcW w:w="2660" w:type="dxa"/>
          </w:tcPr>
          <w:p w14:paraId="48FD24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Сидение стрелка</w:t>
            </w:r>
          </w:p>
        </w:tc>
        <w:tc>
          <w:tcPr>
            <w:tcW w:w="2410" w:type="dxa"/>
          </w:tcPr>
          <w:p w14:paraId="328110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Сделать сидение</w:t>
            </w:r>
          </w:p>
        </w:tc>
        <w:tc>
          <w:tcPr>
            <w:tcW w:w="3118" w:type="dxa"/>
          </w:tcPr>
          <w:p w14:paraId="1C5ED0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Извещение спущено</w:t>
            </w:r>
          </w:p>
        </w:tc>
        <w:tc>
          <w:tcPr>
            <w:tcW w:w="2409" w:type="dxa"/>
          </w:tcPr>
          <w:p w14:paraId="7C7767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отказывается</w:t>
            </w:r>
          </w:p>
        </w:tc>
      </w:tr>
      <w:tr w:rsidR="007D5DF8" w:rsidRPr="00DB5D0D" w14:paraId="1B35F335" w14:textId="77777777" w:rsidTr="00E543D0">
        <w:tc>
          <w:tcPr>
            <w:tcW w:w="2660" w:type="dxa"/>
          </w:tcPr>
          <w:p w14:paraId="1D4EB5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неудобно, с прицепным</w:t>
            </w:r>
          </w:p>
        </w:tc>
        <w:tc>
          <w:tcPr>
            <w:tcW w:w="2410" w:type="dxa"/>
          </w:tcPr>
          <w:p w14:paraId="6F9247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жестким под</w:t>
            </w:r>
          </w:p>
        </w:tc>
        <w:tc>
          <w:tcPr>
            <w:tcW w:w="3118" w:type="dxa"/>
          </w:tcPr>
          <w:p w14:paraId="59BB8E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04.04.40 за N 192</w:t>
            </w:r>
          </w:p>
        </w:tc>
        <w:tc>
          <w:tcPr>
            <w:tcW w:w="2409" w:type="dxa"/>
          </w:tcPr>
          <w:p w14:paraId="0B60CA1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66A8568" w14:textId="77777777" w:rsidTr="00E543D0">
        <w:tc>
          <w:tcPr>
            <w:tcW w:w="2660" w:type="dxa"/>
          </w:tcPr>
          <w:p w14:paraId="7FBFEE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парашютом нельзя</w:t>
            </w:r>
          </w:p>
        </w:tc>
        <w:tc>
          <w:tcPr>
            <w:tcW w:w="2410" w:type="dxa"/>
          </w:tcPr>
          <w:p w14:paraId="013631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пилотский парашют,</w:t>
            </w:r>
          </w:p>
        </w:tc>
        <w:tc>
          <w:tcPr>
            <w:tcW w:w="3118" w:type="dxa"/>
          </w:tcPr>
          <w:p w14:paraId="17133D7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582A361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0330D6A" w14:textId="77777777" w:rsidTr="00E543D0">
        <w:tc>
          <w:tcPr>
            <w:tcW w:w="2660" w:type="dxa"/>
          </w:tcPr>
          <w:p w14:paraId="1F8CD5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работать на рации</w:t>
            </w:r>
          </w:p>
        </w:tc>
        <w:tc>
          <w:tcPr>
            <w:tcW w:w="2410" w:type="dxa"/>
          </w:tcPr>
          <w:p w14:paraId="78F9A0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откидным и перемещ.</w:t>
            </w:r>
          </w:p>
        </w:tc>
        <w:tc>
          <w:tcPr>
            <w:tcW w:w="3118" w:type="dxa"/>
          </w:tcPr>
          <w:p w14:paraId="1B920F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4D6B80A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F2ACDFC" w14:textId="77777777" w:rsidTr="00E543D0">
        <w:tc>
          <w:tcPr>
            <w:tcW w:w="2660" w:type="dxa"/>
          </w:tcPr>
          <w:p w14:paraId="31965C5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10" w:type="dxa"/>
          </w:tcPr>
          <w:p w14:paraId="706094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вертикали</w:t>
            </w:r>
          </w:p>
        </w:tc>
        <w:tc>
          <w:tcPr>
            <w:tcW w:w="3118" w:type="dxa"/>
          </w:tcPr>
          <w:p w14:paraId="44223D4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70956AB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867213D" w14:textId="77777777" w:rsidTr="00E543D0">
        <w:tc>
          <w:tcPr>
            <w:tcW w:w="2660" w:type="dxa"/>
          </w:tcPr>
          <w:p w14:paraId="182D13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10" w:type="dxa"/>
          </w:tcPr>
          <w:p w14:paraId="14592A4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Pr>
          <w:p w14:paraId="3BB8538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Pr>
          <w:p w14:paraId="2969BC3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20549E8" w14:textId="77777777" w:rsidTr="00E543D0">
        <w:tc>
          <w:tcPr>
            <w:tcW w:w="2660" w:type="dxa"/>
            <w:tcBorders>
              <w:bottom w:val="single" w:sz="12" w:space="0" w:color="auto"/>
            </w:tcBorders>
          </w:tcPr>
          <w:p w14:paraId="0772FA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Штурманская служба</w:t>
            </w:r>
          </w:p>
        </w:tc>
        <w:tc>
          <w:tcPr>
            <w:tcW w:w="2410" w:type="dxa"/>
            <w:tcBorders>
              <w:bottom w:val="single" w:sz="12" w:space="0" w:color="auto"/>
            </w:tcBorders>
          </w:tcPr>
          <w:p w14:paraId="60EEA2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118" w:type="dxa"/>
            <w:tcBorders>
              <w:bottom w:val="single" w:sz="12" w:space="0" w:color="auto"/>
            </w:tcBorders>
          </w:tcPr>
          <w:p w14:paraId="3DD73F4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09" w:type="dxa"/>
            <w:tcBorders>
              <w:bottom w:val="single" w:sz="12" w:space="0" w:color="auto"/>
            </w:tcBorders>
          </w:tcPr>
          <w:p w14:paraId="05A40FF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1FF0EE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Подписал Савин, ст. военпред на 39 заводе (1272).</w:t>
      </w:r>
    </w:p>
    <w:p w14:paraId="78EFC93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20813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Врид. Нач. ВВС г-л Рычагов, а 24 июля военком ВВС дк Иванов утвердили Отчет о гос. испытаниях самолета ДБ-3Ф 2М-88 с модернизированными стрелковыми установками МВ-2 и МВ-3 (самолет N 390204) (2686).</w:t>
      </w:r>
    </w:p>
    <w:p w14:paraId="2ADD6C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B983D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2 ранга Кокорин Н.М.</w:t>
      </w:r>
    </w:p>
    <w:p w14:paraId="6A82BA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летчик-испытатель - капитан Дудкин Л.П.</w:t>
      </w:r>
    </w:p>
    <w:p w14:paraId="34449F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7B7A7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Снять летные характеристики самолета.</w:t>
      </w:r>
    </w:p>
    <w:p w14:paraId="6B983A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Проверить работу модернизированных стрелковых установок.</w:t>
      </w:r>
    </w:p>
    <w:p w14:paraId="4A17DA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Проверить работу бомбардировочного вооружения и спецоборудования.</w:t>
      </w:r>
    </w:p>
    <w:p w14:paraId="103497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испытаний</w:t>
      </w:r>
    </w:p>
    <w:p w14:paraId="4C9463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производились на ранее проходившем испытания самолете ДБ-3Ф 2М-88 с ВИШ-23 за N 390204, на котором заводом N 39 были установлены стреловые установки МВ-3 и МВ2 вместо СУ-ДБ3 и ЛУ-ДБ3.</w:t>
      </w:r>
    </w:p>
    <w:p w14:paraId="73B0AD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оборудованием самолета новыми стрелковыми установками, крышка люка кабины стрелка, открывавшаяся внутрь фюзеляжа, заменена двумя створками, открывающимися наружу.</w:t>
      </w:r>
    </w:p>
    <w:p w14:paraId="5BEA95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произведено 8 полетов, общей продолжительностью 14 час. 45 мин. из них:</w:t>
      </w:r>
    </w:p>
    <w:p w14:paraId="5164CD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высотных полетов 1 продолжительностью 2 час. 50 мин.</w:t>
      </w:r>
    </w:p>
    <w:p w14:paraId="232C36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проведены за 15 дней из которых летные испытания - 9 дней.</w:t>
      </w:r>
    </w:p>
    <w:p w14:paraId="722D59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0D848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всех самолетах ДБ-3Ф заменить СУ-ДБ-3 и ЛУ-ДБ3 на МВ-3 и МВ-2 (постановление КО при СНК от 11 января 1940 г. N 23с), т.к. уменьшение скорости и дальности компенсируется улучшением условий работы для стрелка-радиста и значительным усилением обороны задней сферы.</w:t>
      </w:r>
    </w:p>
    <w:p w14:paraId="14671F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Краткое описание стрелкового вооружения</w:t>
      </w:r>
    </w:p>
    <w:p w14:paraId="5329C7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ДБ-3Ф 2М-88 N 390204 были установлены две новые стрелковые точки: турель МВ-3 под пулемет ШКАС взамен турели СУ Дб-3 и люковая пулеметная установка МВ-2 под пулемет ШКАС взамен люковой установки УЛУ.</w:t>
      </w:r>
    </w:p>
    <w:p w14:paraId="04D1F9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w:t>
      </w:r>
    </w:p>
    <w:p w14:paraId="0651FF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испытаний самолета ДБ-3Ф 2М-88 с ВИШ-23 за N 390204</w:t>
      </w:r>
    </w:p>
    <w:p w14:paraId="12B57A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МВ-3 и МВ-2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7087"/>
        <w:gridCol w:w="1843"/>
      </w:tblGrid>
      <w:tr w:rsidR="007D5DF8" w:rsidRPr="00DB5D0D" w14:paraId="148E5358" w14:textId="77777777" w:rsidTr="00E543D0">
        <w:tc>
          <w:tcPr>
            <w:tcW w:w="1668" w:type="dxa"/>
            <w:tcBorders>
              <w:top w:val="single" w:sz="12" w:space="0" w:color="auto"/>
            </w:tcBorders>
          </w:tcPr>
          <w:p w14:paraId="5729F8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 г.</w:t>
            </w:r>
          </w:p>
        </w:tc>
        <w:tc>
          <w:tcPr>
            <w:tcW w:w="7087" w:type="dxa"/>
            <w:tcBorders>
              <w:top w:val="single" w:sz="12" w:space="0" w:color="auto"/>
            </w:tcBorders>
          </w:tcPr>
          <w:p w14:paraId="002F9C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растряску ВАП-500 и выливание нейтральной жидкости</w:t>
            </w:r>
          </w:p>
        </w:tc>
        <w:tc>
          <w:tcPr>
            <w:tcW w:w="1843" w:type="dxa"/>
            <w:tcBorders>
              <w:top w:val="single" w:sz="12" w:space="0" w:color="auto"/>
            </w:tcBorders>
          </w:tcPr>
          <w:p w14:paraId="3D8AE5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w:t>
            </w:r>
          </w:p>
        </w:tc>
      </w:tr>
      <w:tr w:rsidR="007D5DF8" w:rsidRPr="00DB5D0D" w14:paraId="4D348725" w14:textId="77777777" w:rsidTr="00E543D0">
        <w:tc>
          <w:tcPr>
            <w:tcW w:w="1668" w:type="dxa"/>
          </w:tcPr>
          <w:p w14:paraId="332013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w:t>
            </w:r>
          </w:p>
        </w:tc>
        <w:tc>
          <w:tcPr>
            <w:tcW w:w="7087" w:type="dxa"/>
          </w:tcPr>
          <w:p w14:paraId="70881A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 из МВ-3. Отстрел спецпатронами.</w:t>
            </w:r>
          </w:p>
        </w:tc>
        <w:tc>
          <w:tcPr>
            <w:tcW w:w="1843" w:type="dxa"/>
          </w:tcPr>
          <w:p w14:paraId="30627B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w:t>
            </w:r>
          </w:p>
        </w:tc>
      </w:tr>
      <w:tr w:rsidR="007D5DF8" w:rsidRPr="00DB5D0D" w14:paraId="21D7C4CA" w14:textId="77777777" w:rsidTr="00E543D0">
        <w:tc>
          <w:tcPr>
            <w:tcW w:w="1668" w:type="dxa"/>
          </w:tcPr>
          <w:p w14:paraId="733173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w:t>
            </w:r>
          </w:p>
        </w:tc>
        <w:tc>
          <w:tcPr>
            <w:tcW w:w="7087" w:type="dxa"/>
          </w:tcPr>
          <w:p w14:paraId="4B1D66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земным мишеням и сбрасывание ампул.</w:t>
            </w:r>
          </w:p>
        </w:tc>
        <w:tc>
          <w:tcPr>
            <w:tcW w:w="1843" w:type="dxa"/>
          </w:tcPr>
          <w:p w14:paraId="41FCFF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полета</w:t>
            </w:r>
          </w:p>
        </w:tc>
      </w:tr>
      <w:tr w:rsidR="007D5DF8" w:rsidRPr="00DB5D0D" w14:paraId="7273F608" w14:textId="77777777" w:rsidTr="00E543D0">
        <w:tc>
          <w:tcPr>
            <w:tcW w:w="1668" w:type="dxa"/>
          </w:tcPr>
          <w:p w14:paraId="6DA52A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июня 1940 г.</w:t>
            </w:r>
          </w:p>
        </w:tc>
        <w:tc>
          <w:tcPr>
            <w:tcW w:w="7087" w:type="dxa"/>
          </w:tcPr>
          <w:p w14:paraId="746649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w:t>
            </w:r>
          </w:p>
        </w:tc>
        <w:tc>
          <w:tcPr>
            <w:tcW w:w="1843" w:type="dxa"/>
          </w:tcPr>
          <w:p w14:paraId="13139C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w:t>
            </w:r>
          </w:p>
        </w:tc>
      </w:tr>
      <w:tr w:rsidR="007D5DF8" w:rsidRPr="00DB5D0D" w14:paraId="39980692" w14:textId="77777777" w:rsidTr="00E543D0">
        <w:tc>
          <w:tcPr>
            <w:tcW w:w="1668" w:type="dxa"/>
          </w:tcPr>
          <w:p w14:paraId="65B297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 1940 г.</w:t>
            </w:r>
          </w:p>
        </w:tc>
        <w:tc>
          <w:tcPr>
            <w:tcW w:w="7087" w:type="dxa"/>
          </w:tcPr>
          <w:p w14:paraId="0F6FC5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 боевыми бомбами ФАБ-100 и ФАБ-250.</w:t>
            </w:r>
          </w:p>
        </w:tc>
        <w:tc>
          <w:tcPr>
            <w:tcW w:w="1843" w:type="dxa"/>
          </w:tcPr>
          <w:p w14:paraId="4E01E4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w:t>
            </w:r>
          </w:p>
        </w:tc>
      </w:tr>
      <w:tr w:rsidR="007D5DF8" w:rsidRPr="00DB5D0D" w14:paraId="4EDAFD52" w14:textId="77777777" w:rsidTr="00E543D0">
        <w:tc>
          <w:tcPr>
            <w:tcW w:w="1668" w:type="dxa"/>
          </w:tcPr>
          <w:p w14:paraId="1840DC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1904 г.</w:t>
            </w:r>
          </w:p>
        </w:tc>
        <w:tc>
          <w:tcPr>
            <w:tcW w:w="7087" w:type="dxa"/>
          </w:tcPr>
          <w:p w14:paraId="0B4747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расхода горючего с пол. весом 8000 кг</w:t>
            </w:r>
          </w:p>
        </w:tc>
        <w:tc>
          <w:tcPr>
            <w:tcW w:w="1843" w:type="dxa"/>
          </w:tcPr>
          <w:p w14:paraId="488FC7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5283503" w14:textId="77777777" w:rsidTr="00E543D0">
        <w:tc>
          <w:tcPr>
            <w:tcW w:w="1668" w:type="dxa"/>
          </w:tcPr>
          <w:p w14:paraId="4235194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087" w:type="dxa"/>
          </w:tcPr>
          <w:p w14:paraId="0A1818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Н=4000 м</w:t>
            </w:r>
          </w:p>
        </w:tc>
        <w:tc>
          <w:tcPr>
            <w:tcW w:w="1843" w:type="dxa"/>
          </w:tcPr>
          <w:p w14:paraId="59693B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w:t>
            </w:r>
          </w:p>
        </w:tc>
      </w:tr>
      <w:tr w:rsidR="007D5DF8" w:rsidRPr="00DB5D0D" w14:paraId="4E090D9E" w14:textId="77777777" w:rsidTr="00E543D0">
        <w:tc>
          <w:tcPr>
            <w:tcW w:w="1668" w:type="dxa"/>
          </w:tcPr>
          <w:p w14:paraId="628692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w:t>
            </w:r>
          </w:p>
        </w:tc>
        <w:tc>
          <w:tcPr>
            <w:tcW w:w="7087" w:type="dxa"/>
          </w:tcPr>
          <w:p w14:paraId="5FAF0D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w:t>
            </w:r>
          </w:p>
        </w:tc>
        <w:tc>
          <w:tcPr>
            <w:tcW w:w="1843" w:type="dxa"/>
          </w:tcPr>
          <w:p w14:paraId="599BEE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w:t>
            </w:r>
          </w:p>
        </w:tc>
      </w:tr>
      <w:tr w:rsidR="007D5DF8" w:rsidRPr="00DB5D0D" w14:paraId="6C82783C" w14:textId="77777777" w:rsidTr="00E543D0">
        <w:tc>
          <w:tcPr>
            <w:tcW w:w="1668" w:type="dxa"/>
          </w:tcPr>
          <w:p w14:paraId="4C5C41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w:t>
            </w:r>
          </w:p>
        </w:tc>
        <w:tc>
          <w:tcPr>
            <w:tcW w:w="7087" w:type="dxa"/>
          </w:tcPr>
          <w:p w14:paraId="0A4A13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девиации РПК-2 и точности пеленгации.</w:t>
            </w:r>
          </w:p>
        </w:tc>
        <w:tc>
          <w:tcPr>
            <w:tcW w:w="1843" w:type="dxa"/>
          </w:tcPr>
          <w:p w14:paraId="56E00D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w:t>
            </w:r>
          </w:p>
        </w:tc>
      </w:tr>
      <w:tr w:rsidR="007D5DF8" w:rsidRPr="00DB5D0D" w14:paraId="74DEC119" w14:textId="77777777" w:rsidTr="00E543D0">
        <w:tc>
          <w:tcPr>
            <w:tcW w:w="1668" w:type="dxa"/>
          </w:tcPr>
          <w:p w14:paraId="644B98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w:t>
            </w:r>
          </w:p>
        </w:tc>
        <w:tc>
          <w:tcPr>
            <w:tcW w:w="7087" w:type="dxa"/>
          </w:tcPr>
          <w:p w14:paraId="4330AA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скоростей у земли.</w:t>
            </w:r>
          </w:p>
        </w:tc>
        <w:tc>
          <w:tcPr>
            <w:tcW w:w="1843" w:type="dxa"/>
          </w:tcPr>
          <w:p w14:paraId="3D18A0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w:t>
            </w:r>
          </w:p>
        </w:tc>
      </w:tr>
      <w:tr w:rsidR="007D5DF8" w:rsidRPr="00DB5D0D" w14:paraId="40B17990" w14:textId="77777777" w:rsidTr="00E543D0">
        <w:tc>
          <w:tcPr>
            <w:tcW w:w="1668" w:type="dxa"/>
          </w:tcPr>
          <w:p w14:paraId="20A2E5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 г.</w:t>
            </w:r>
          </w:p>
        </w:tc>
        <w:tc>
          <w:tcPr>
            <w:tcW w:w="7087" w:type="dxa"/>
          </w:tcPr>
          <w:p w14:paraId="24457E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расхода горючего с пол. весом 800 кг,</w:t>
            </w:r>
          </w:p>
        </w:tc>
        <w:tc>
          <w:tcPr>
            <w:tcW w:w="1843" w:type="dxa"/>
          </w:tcPr>
          <w:p w14:paraId="191473F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93261F7" w14:textId="77777777" w:rsidTr="00E543D0">
        <w:tc>
          <w:tcPr>
            <w:tcW w:w="1668" w:type="dxa"/>
          </w:tcPr>
          <w:p w14:paraId="739150F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087" w:type="dxa"/>
          </w:tcPr>
          <w:p w14:paraId="28DB20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Н=4000 м и ЗФАБ-250.</w:t>
            </w:r>
          </w:p>
        </w:tc>
        <w:tc>
          <w:tcPr>
            <w:tcW w:w="1843" w:type="dxa"/>
          </w:tcPr>
          <w:p w14:paraId="7971AE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w:t>
            </w:r>
          </w:p>
        </w:tc>
      </w:tr>
      <w:tr w:rsidR="007D5DF8" w:rsidRPr="00DB5D0D" w14:paraId="1414179B" w14:textId="77777777" w:rsidTr="00E543D0">
        <w:tc>
          <w:tcPr>
            <w:tcW w:w="1668" w:type="dxa"/>
          </w:tcPr>
          <w:p w14:paraId="3CE4EDE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087" w:type="dxa"/>
          </w:tcPr>
          <w:p w14:paraId="3587F1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земным мишеням.</w:t>
            </w:r>
          </w:p>
        </w:tc>
        <w:tc>
          <w:tcPr>
            <w:tcW w:w="1843" w:type="dxa"/>
          </w:tcPr>
          <w:p w14:paraId="3B53AC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полета</w:t>
            </w:r>
          </w:p>
        </w:tc>
      </w:tr>
      <w:tr w:rsidR="007D5DF8" w:rsidRPr="00DB5D0D" w14:paraId="766FD336" w14:textId="77777777" w:rsidTr="00E543D0">
        <w:tc>
          <w:tcPr>
            <w:tcW w:w="1668" w:type="dxa"/>
            <w:tcBorders>
              <w:bottom w:val="single" w:sz="12" w:space="0" w:color="auto"/>
            </w:tcBorders>
          </w:tcPr>
          <w:p w14:paraId="61DA55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 1940 г.</w:t>
            </w:r>
          </w:p>
        </w:tc>
        <w:tc>
          <w:tcPr>
            <w:tcW w:w="7087" w:type="dxa"/>
            <w:tcBorders>
              <w:bottom w:val="single" w:sz="12" w:space="0" w:color="auto"/>
            </w:tcBorders>
          </w:tcPr>
          <w:p w14:paraId="102101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закончены (3331).</w:t>
            </w:r>
          </w:p>
        </w:tc>
        <w:tc>
          <w:tcPr>
            <w:tcW w:w="1843" w:type="dxa"/>
            <w:tcBorders>
              <w:bottom w:val="single" w:sz="12" w:space="0" w:color="auto"/>
            </w:tcBorders>
          </w:tcPr>
          <w:p w14:paraId="5D53E47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3B06AAB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D0F2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 Начальник ВВС генерал-лейтенант авиации Смушкевич и Военком ВВС дивизионный комиссар Агальцов 24 июля 1940 года утвердили Отчет о испытании на пикирование самолета ДБ3-Ф 2М-87 с ВИШ-23 за № 390612, проведенных на заводе № 39</w:t>
      </w:r>
    </w:p>
    <w:p w14:paraId="2FFB6E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5BDB79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НИИ ГУАС в/инженер 2 ранга Кокорин Н.М.</w:t>
      </w:r>
    </w:p>
    <w:p w14:paraId="0DC76F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Летчик-испытатель военного представительства ГУАС на зав. № 39 полковник Степанченок</w:t>
      </w:r>
    </w:p>
    <w:p w14:paraId="370BA1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завода № 39 Морозов П.М.</w:t>
      </w:r>
    </w:p>
    <w:p w14:paraId="544D64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380C5B6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возможность использования самолета ДБ3-Ф 2М87 с ВИШ-23 для отработки бомбометания с пикирования.</w:t>
      </w:r>
    </w:p>
    <w:p w14:paraId="4D1B119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удобство работы экипажа при пикировании.</w:t>
      </w:r>
    </w:p>
    <w:p w14:paraId="227F07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 пикирование производились на серийном самолете ДБ3-Ф 2М-87 с ВИШ-23 за № 390612.</w:t>
      </w:r>
    </w:p>
    <w:p w14:paraId="7E5383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4F415A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ДБ-3Ф 2М-88 с ВИШ-23 может быть использован для отработки бомбометания с пикирования по устранению дефектов, указанных в ведомости только для углов пикирования близких к 90 градусам, так как кабина штурмана не обеспечивает необходимых углов прицеливания для бомбометания с углов меньших 85-90 градусов (4528).</w:t>
      </w:r>
    </w:p>
    <w:p w14:paraId="02F095B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62AB8D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на первом серийном СПБ Н.Н.П. разбился экипаж ли М.А.Липкина. Есть мнение, что причина - флаттер хвостового оперения, но аварийная комиссия однозначно причину определить не смогла (1249,98).</w:t>
      </w:r>
    </w:p>
    <w:p w14:paraId="6A54DE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2000-2500 м СПБ N 1/1 стал рассыпаться. Оторвалось левое крыло, двигатель и погибли М.А.Липкин и и Г.А.Булычев. Возможно это был флаттер крыла, о котором предупреждал ЦАГИ. Н.А.Жемчужина - зам. Н.Н.П. арестовали (1365,6).</w:t>
      </w:r>
    </w:p>
    <w:p w14:paraId="54F935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шли с 18 февраля 1940 (2090,232).</w:t>
      </w:r>
    </w:p>
    <w:p w14:paraId="7787CA3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F66A7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закончились и заводские испытания СПБ-2 и СПБ-3 2М-105 Н.Н.П., которые шли с 30 марта 1940, а испытания СПБ-4 закончились только 27 июля (2090,234).</w:t>
      </w:r>
    </w:p>
    <w:p w14:paraId="1045359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A25E3C8"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в 1940 году катастрофа самолёта «СПБ» №1, летчик-испытатель майор Липкин М.А. Летчик погиб при выполнении испытательного полета (14958).</w:t>
      </w:r>
    </w:p>
    <w:p w14:paraId="2AA04826"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61FCA1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 произошла катастрофа самолета СПБ опытной серии № 1/1 пилотируемого летчиком - испытателем М.А.Липкиным. На борту самолета находился и инженер Г.А.Булычев. Оба члена экипажа погибли.</w:t>
      </w:r>
    </w:p>
    <w:p w14:paraId="33BE92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задания техбюро завода №22 летчик должен был провести проверку продольной устойчивости, управляемости и на флаттер при скорости 600 км/ч по прибору, а затем провести две посадки с центровками 26,3 и 25,2% САХ. Предельная высота полета - 3000 м.</w:t>
      </w:r>
    </w:p>
    <w:p w14:paraId="31093F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 и набор высоты был сделан нормально, после чего самолет ушел в зону. Самолет (по показаниям опрошенных свидетелей), находясь в 40 км от Москвы (Раменский район) и идя по горизонтали на повышенной скорости (о чем свидетельствовал слишком резкий звук работы моторов), на высоте 2000-2500 м начал рассыпаться: сначала от самолета отделилась левая часть крыла, затем в воздухе показались еще 2-3 части, которые имели замедленное падение. Самолет начал резко снижаться и упал на лес.</w:t>
      </w:r>
    </w:p>
    <w:p w14:paraId="4AD343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на месте происшествия обнаружила следующее. Фюзеляж с правой консолью, правым мотором и оперением при ударе о землю были полностью уничтожены.</w:t>
      </w:r>
    </w:p>
    <w:p w14:paraId="25DA8F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Центроплан и правые крыльевые баки, а также части обшивки центроплана и консоли были разбросаны в радиусе примерно 100 м.</w:t>
      </w:r>
    </w:p>
    <w:p w14:paraId="4CB6E2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Левый мотор, оторвавшийся в воздухе, упал в 125 м от упавшего самолета по направлению его полета. Не доходя 500 м до места падения самолета лежала часть левой консоли крыла.</w:t>
      </w:r>
    </w:p>
    <w:p w14:paraId="1F2A3D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 150-300 м были разбросаны левый бензобак, помещенный в носке крыла, еще одна часть левой консоли, крыльевой левый бензобак, левое колесо со стойкой, люки шасси, щитки и другие части; куски обшивки крыла были найдены за 500-650 м.</w:t>
      </w:r>
    </w:p>
    <w:p w14:paraId="327AFC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В.П.Баландина была создана комиссия по расследованию происшедшего, которую возглавил Д.В.Королев.</w:t>
      </w:r>
    </w:p>
    <w:p w14:paraId="33463F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 комиссии в основном были включены административные лица, такие, как Начальник 7-го Главного управления Б.С.Моторин, Начальник 1-го Главного управления В.А.Окороков. Исключение составил лишь профессор ЦАГИ В.И.Поликовский. Но будучи крупнейшим специалистом в области моторостроения, участия в оценке уцелевшего, в какой-то мере, мотора М-105 он не принял.</w:t>
      </w:r>
    </w:p>
    <w:p w14:paraId="28F0BA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 отметить, что расследование катастрофы самолета СПБ №1/1 велось несколько своеобразно на основе, главным образом, опросов и изучения документов.</w:t>
      </w:r>
    </w:p>
    <w:p w14:paraId="363BB7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все расследование, подготовку акта, принятие окончательного заключения было затрачено всего два дня (надо полагать, что комиссию кто-то очень торопил).</w:t>
      </w:r>
    </w:p>
    <w:p w14:paraId="2C0E83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Анализу состояния остатков самолета было уделено очень мало внимания. Те поверхностные осмотры техники, которые проводились комиссией, поручались второстепенным лицам, без непосредственного участия членов комиссии.</w:t>
      </w:r>
    </w:p>
    <w:p w14:paraId="43E466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Вероятные версии причин катастрофы комиссия не определила и не зафиксировала это соответствующим документом, подписанным всеми членами комиссии.</w:t>
      </w:r>
    </w:p>
    <w:p w14:paraId="2C30F0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совершенно не проводились трассологические исследования полета частей самолета, что дало бы ответ на характер процесса разрушения самолета в воздухе и позволило бы получить ответ на вопрос летел ли самолет в момент разрушения горизонтально или пикировал.</w:t>
      </w:r>
    </w:p>
    <w:p w14:paraId="6C9350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Показания очевидцев в этом отношении противоречивы.</w:t>
      </w:r>
    </w:p>
    <w:p w14:paraId="6A7C73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делались попытки тщательного анализа места разрушения крыла. Исключение составила тяга элерона. Но как следует из материалов акта никаких попыток определения характера разрушающих нагрузок всерьез не проводилось.</w:t>
      </w:r>
    </w:p>
    <w:p w14:paraId="436E04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опираясь на формально установленные факты, разрабатывала только одну версию: катастрофа явилась следствием элеронно-изгибного флаттера.</w:t>
      </w:r>
    </w:p>
    <w:p w14:paraId="6EB217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расчетам ЦАГИ при отсутствии частичной весовой компенсации элеронов критическая скорость флаттера могла наступить при достижении самолетом приборной скорости 500 км/ч.</w:t>
      </w:r>
    </w:p>
    <w:p w14:paraId="4133C8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Никакими данными о том, что эта скорость была достигнута самолетом СПБ № 3/1 в испытательном полете комиссия не располагала.</w:t>
      </w:r>
    </w:p>
    <w:p w14:paraId="7A922D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отношении качества проведенных ЦАГИ расчетов также были весьма серьезные сомнения, но никаких попыток проверить расчеты с участием заинтересованных сторон и дополнительно привлеченных специалистов не делалось.</w:t>
      </w:r>
    </w:p>
    <w:p w14:paraId="54D71D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комиссией совершенно не была рассмотрена версия, связанная с возможной раскруткой винта, которая, как известно, очень часто возникала при пикировании и даже просто при быстром увеличении скорости полета за счет «дачи газа».</w:t>
      </w:r>
    </w:p>
    <w:p w14:paraId="5BA684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этой причине имело место немало катастроф и, в частности, с опытным самолетом 103У 2АМ-37, с самолетами Пе-2 2М-105, самолетами Як-1, Як-3,Як-7 и Як-9.</w:t>
      </w:r>
    </w:p>
    <w:p w14:paraId="1E2A53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расследовании катастрофы остался неясным факт почему в воздухе оторвалась левая мотогондола. Поликарпов в своих показаниях говорил: «Неясным является вопрос об отрыве мотора».</w:t>
      </w:r>
    </w:p>
    <w:p w14:paraId="58DAA6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возникновении раскрутки винта, как показал опыт, очень часто возникают сильные вибрации винтомоторной группы, что приводит к ее отрыву от крыла или отрыва части крыла с мотогондолой.</w:t>
      </w:r>
    </w:p>
    <w:p w14:paraId="573A91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Очевидцы катастрофы отмечали сильный гул (рев) моторов и наличие следов светлого дыма, что могло быть следствием раскрутки винта и разрушения винтомоторной группы.</w:t>
      </w:r>
    </w:p>
    <w:p w14:paraId="7CE8C4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Вероятность версии раскрутки винта, в известной мере, подтверждается и этими фактами.</w:t>
      </w:r>
    </w:p>
    <w:p w14:paraId="08C769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Поскольку версия, выдвинутая аварийной комиссией фактами не подтверждается, а версия о возможной раскрутке винта вполне вероятна, то это говорит о том, что, как и в предыдущем случае, самолет СПБ 2М-105 был необоснованно скомпроментиро-ван комиссией.</w:t>
      </w:r>
    </w:p>
    <w:p w14:paraId="6527F9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работы комиссии выявилось большое количество фактов вопиющей расхлябанности и безответственности, главным образом, со стороны руководящих работников завода № 22. Не на высоте оказался и Жемчужин. Особенно в плане организации доработки элеронов самолетов СПБ весовой компенсацией.</w:t>
      </w:r>
    </w:p>
    <w:p w14:paraId="499953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Расследование показало, в каких сложных условиях приходилось взаимодействовать ОКО «Д» с заводом. Много нареканий было в адрес ЦАГИ по вопросам разработки методик оценки критических скоростей полета, по оценке прочностных характеристик.</w:t>
      </w:r>
    </w:p>
    <w:p w14:paraId="1A381F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день полета на флаттер Липкин в первой половине дня летал на высоту 8000 м. И затем был послан испытывать СПБ на флаттер, хотя известно, что после высотных полетов категорически запрещается проведение любых полетов в тот же день.</w:t>
      </w:r>
    </w:p>
    <w:p w14:paraId="76177E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испытаний была разработана Техническим Бюро завода совершенно непродуманно.</w:t>
      </w:r>
    </w:p>
    <w:p w14:paraId="7E61FC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Достаточно сказать, что максимальная высота полета в полетном листе определялась 3000 м, хотя для безопасного пикирования она должна была быть не менее 4000 м.</w:t>
      </w:r>
    </w:p>
    <w:p w14:paraId="102EBF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Задание на полет было составлено формально и не отражало специфические особенности проводимых испытаний.</w:t>
      </w:r>
    </w:p>
    <w:p w14:paraId="6C7FAA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испытуемый самолет не была установлена радиостанция. Не был выделен сопровождающий самолет с опытными наблюдателями и т. д.</w:t>
      </w:r>
    </w:p>
    <w:p w14:paraId="78BA0A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Заключении комиссии по результатам расследования утверждалось, что:</w:t>
      </w:r>
    </w:p>
    <w:p w14:paraId="143E9B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«...Непосредственно ответственным за катастрофу следует считать Зам. Главного конструктора и Начальника ОКО «Д» Н. А. Жемчужина, не выполнившего указания ЦАГИ, по установке весовой компенсации элеронов и не проявившего достаточного внимания к проведению испытания самолета».</w:t>
      </w:r>
    </w:p>
    <w:p w14:paraId="40E6C6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Рекомендовалось немедленно установить компенсацию элеронов на всех машинах СПБ, прекратить полетные испытания на скоростях сверх 500 км/ч до определения критических скоростей для крыльев и хвоста срочно провести статические испытания носка крыла в районе установки бензобака (9649).</w:t>
      </w:r>
    </w:p>
    <w:p w14:paraId="705C5B2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222B7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 в ходе работы комиссии по расследованию катастрофы СПБ №1/1 выявилось большое количество фактов вопиющей расхлябанности и безответственности, главным образом, со стороны руководящих работников завода № 22. Не на высоте оказался и начальник Объединенного конструкторского отдела по самолету СПБ Н. А. Жемчужин. Особенно в плане организации доработки элеронов самолета весовой компенсацией. На "заводское безобразие" накладывались серьезные недостатки моторов М-105, которые к этому времени еще были "сырыми". Поликарповцы осваивали мотор М-105 первыми и сполна испытали на себе последствия "детских болезней" этого мотора. В ходе испытаний опытных и серийных самолетов СПБ моторы М-105 непрерывно отказывали: выбрасывало масло из суфлера мотора, резко падало давление масла, были также случаи отказов и заклинения моторов. Недостатки в организации серийного производства и проведения заводских испытаний СПБ 2М-105 закономерно привели к ряду аварий и катастроф и в конечном итоге к дискредитации самолета (9655).</w:t>
      </w:r>
    </w:p>
    <w:p w14:paraId="28E751F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414D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 в ходе работы комиссии по расследованию катастрофы СПБ № 1/1 выявились факты вопиющей расхлябанности и безответственности, главным образом со стороны руководящих работников завода № 22. Не на высоте оказался и начальник ОКО по самолету СПБ Н.А. Жемчужин. Кроме того, в ходе испытаний опытных и серийных самолетов СПБ новые и потому недоведенные моторы М-105 чуть ли не в каждом полете отказывали или работали крайне ненадежно. Все эти причины в комплексе привели в конечном итоге к дискредитации самолета. По мнению рассерженного Я.В. Смушкевича, СПБ следовало "снять с производства и прекратить всякие работы" (12042).</w:t>
      </w:r>
    </w:p>
    <w:p w14:paraId="5D4AB5A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26D3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 самолет СПБ № 1-1 поднялся в небо. ЦАГИ на основании полученных материалов уста</w:t>
      </w:r>
      <w:r w:rsidRPr="00DB5D0D">
        <w:rPr>
          <w:rFonts w:ascii="Times New Roman" w:hAnsi="Times New Roman"/>
          <w:color w:val="000000" w:themeColor="text1"/>
          <w:sz w:val="16"/>
          <w:szCs w:val="16"/>
        </w:rPr>
        <w:softHyphen/>
        <w:t>новил критическую скорость флаттера крыла при усло</w:t>
      </w:r>
      <w:r w:rsidRPr="00DB5D0D">
        <w:rPr>
          <w:rFonts w:ascii="Times New Roman" w:hAnsi="Times New Roman"/>
          <w:color w:val="000000" w:themeColor="text1"/>
          <w:sz w:val="16"/>
          <w:szCs w:val="16"/>
        </w:rPr>
        <w:softHyphen/>
        <w:t>вии частичной статической балансировки элеронов - 858 км/ч, при несбалансированных элеронах - 500 км/ч. Изменить эту скорость можно было установкой в носке элеронов дополнительных грузов, что и сделали на на</w:t>
      </w:r>
      <w:r w:rsidRPr="00DB5D0D">
        <w:rPr>
          <w:rFonts w:ascii="Times New Roman" w:hAnsi="Times New Roman"/>
          <w:color w:val="000000" w:themeColor="text1"/>
          <w:sz w:val="16"/>
          <w:szCs w:val="16"/>
        </w:rPr>
        <w:softHyphen/>
        <w:t>ходившихся на заводе СПБ. Экземпляр № 1-1 был уже на аэродроме и на нем грузы не устанавливались. Н.А.Жемчужин на основании поведения самолета на максимальной скорости считал методики ЦАГИ недостаточно точными и значения критической скорости флаттера более высокими. Его волновал возможный флаттер оперения. Поэтому в очередной полет для ис</w:t>
      </w:r>
      <w:r w:rsidRPr="00DB5D0D">
        <w:rPr>
          <w:rFonts w:ascii="Times New Roman" w:hAnsi="Times New Roman"/>
          <w:color w:val="000000" w:themeColor="text1"/>
          <w:sz w:val="16"/>
          <w:szCs w:val="16"/>
        </w:rPr>
        <w:softHyphen/>
        <w:t>пытания на флаттер в экипаж, возглавляемый Липкиным, включили инженера Г.А.Булычева По свиде</w:t>
      </w:r>
      <w:r w:rsidRPr="00DB5D0D">
        <w:rPr>
          <w:rFonts w:ascii="Times New Roman" w:hAnsi="Times New Roman"/>
          <w:color w:val="000000" w:themeColor="text1"/>
          <w:sz w:val="16"/>
          <w:szCs w:val="16"/>
        </w:rPr>
        <w:softHyphen/>
        <w:t>тельству очевидцев машина, летя с высокой скоростью на высоте 2000-2500 м, стала рассыпаться. Экипаж погиб. Аварийная комиссия, проработав всего два дня, на</w:t>
      </w:r>
      <w:r w:rsidRPr="00DB5D0D">
        <w:rPr>
          <w:rFonts w:ascii="Times New Roman" w:hAnsi="Times New Roman"/>
          <w:color w:val="000000" w:themeColor="text1"/>
          <w:sz w:val="16"/>
          <w:szCs w:val="16"/>
        </w:rPr>
        <w:softHyphen/>
        <w:t>звала наиболее вероятной причиной катастрофы изгиб-но-элеронный флаттер крыла. К этому объяснению пришли ввиду отсутствия на элеронах противофлаттер-ных грузов. Однако при осмотре обломков самолета, в частности более сохранившейся левой консоли, не обна</w:t>
      </w:r>
      <w:r w:rsidRPr="00DB5D0D">
        <w:rPr>
          <w:rFonts w:ascii="Times New Roman" w:hAnsi="Times New Roman"/>
          <w:color w:val="000000" w:themeColor="text1"/>
          <w:sz w:val="16"/>
          <w:szCs w:val="16"/>
        </w:rPr>
        <w:softHyphen/>
        <w:t>ружилось повреждений, присущих данному виду флат</w:t>
      </w:r>
      <w:r w:rsidRPr="00DB5D0D">
        <w:rPr>
          <w:rFonts w:ascii="Times New Roman" w:hAnsi="Times New Roman"/>
          <w:color w:val="000000" w:themeColor="text1"/>
          <w:sz w:val="16"/>
          <w:szCs w:val="16"/>
        </w:rPr>
        <w:softHyphen/>
        <w:t>тера: смятых листов обшивки, складок, волн, следов ударов элеронов. Николай Николаевич не согласился с мнением комиссии. Он считал более вероятными дру</w:t>
      </w:r>
      <w:r w:rsidRPr="00DB5D0D">
        <w:rPr>
          <w:rFonts w:ascii="Times New Roman" w:hAnsi="Times New Roman"/>
          <w:color w:val="000000" w:themeColor="text1"/>
          <w:sz w:val="16"/>
          <w:szCs w:val="16"/>
        </w:rPr>
        <w:softHyphen/>
        <w:t>гие причины: отрыв носка крыла, отрыв двигателя от моторамы или всей мотогондолы, обрыв тяги управле</w:t>
      </w:r>
      <w:r w:rsidRPr="00DB5D0D">
        <w:rPr>
          <w:rFonts w:ascii="Times New Roman" w:hAnsi="Times New Roman"/>
          <w:color w:val="000000" w:themeColor="text1"/>
          <w:sz w:val="16"/>
          <w:szCs w:val="16"/>
        </w:rPr>
        <w:softHyphen/>
        <w:t>ния элероном. Очевидцы катастрофы отмечали сильный рев мото</w:t>
      </w:r>
      <w:r w:rsidRPr="00DB5D0D">
        <w:rPr>
          <w:rFonts w:ascii="Times New Roman" w:hAnsi="Times New Roman"/>
          <w:color w:val="000000" w:themeColor="text1"/>
          <w:sz w:val="16"/>
          <w:szCs w:val="16"/>
        </w:rPr>
        <w:softHyphen/>
        <w:t>ров и следы светлого дыма. Это наводит на мысль, что причиной катастрофы могла стать раскрутка винта и последовавшее за этим разрушение мотогондолы. По практике тех лет на горизонтальную площадку обычно выходили «с прижимом», после небольшого участка пи</w:t>
      </w:r>
      <w:r w:rsidRPr="00DB5D0D">
        <w:rPr>
          <w:rFonts w:ascii="Times New Roman" w:hAnsi="Times New Roman"/>
          <w:color w:val="000000" w:themeColor="text1"/>
          <w:sz w:val="16"/>
          <w:szCs w:val="16"/>
        </w:rPr>
        <w:softHyphen/>
        <w:t>кирования. Тем самым при наличии предпосылок (не</w:t>
      </w:r>
      <w:r w:rsidRPr="00DB5D0D">
        <w:rPr>
          <w:rFonts w:ascii="Times New Roman" w:hAnsi="Times New Roman"/>
          <w:color w:val="000000" w:themeColor="text1"/>
          <w:sz w:val="16"/>
          <w:szCs w:val="16"/>
        </w:rPr>
        <w:softHyphen/>
        <w:t>дочеты в конструкции двигателя и винта) создавались условия к раскрутке винтов. Известны многие случаи подобных катастроф, в том числе и на серийных пики</w:t>
      </w:r>
      <w:r w:rsidRPr="00DB5D0D">
        <w:rPr>
          <w:rFonts w:ascii="Times New Roman" w:hAnsi="Times New Roman"/>
          <w:color w:val="000000" w:themeColor="text1"/>
          <w:sz w:val="16"/>
          <w:szCs w:val="16"/>
        </w:rPr>
        <w:softHyphen/>
        <w:t>рующих бомбардировщиках Пе-2. Однако поиском истинных причин никто не зани</w:t>
      </w:r>
      <w:r w:rsidRPr="00DB5D0D">
        <w:rPr>
          <w:rFonts w:ascii="Times New Roman" w:hAnsi="Times New Roman"/>
          <w:color w:val="000000" w:themeColor="text1"/>
          <w:sz w:val="16"/>
          <w:szCs w:val="16"/>
        </w:rPr>
        <w:softHyphen/>
        <w:t>мался и, по-видимому, не хотел заниматься. Главным виновником произошедшего назвали заместителя Н.Н.Поликарпова и ведущего по самолету СПБ Н.А.Жемчужина, который вовремя не распорядился по</w:t>
      </w:r>
      <w:r w:rsidRPr="00DB5D0D">
        <w:rPr>
          <w:rFonts w:ascii="Times New Roman" w:hAnsi="Times New Roman"/>
          <w:color w:val="000000" w:themeColor="text1"/>
          <w:sz w:val="16"/>
          <w:szCs w:val="16"/>
        </w:rPr>
        <w:softHyphen/>
        <w:t>ставить на элероны испытываемого экземпляра грузы. Его немедленно арестовали. За Жемчужина вступились летчики и специалисты НИИ ВВС: там уже были получе</w:t>
      </w:r>
      <w:r w:rsidRPr="00DB5D0D">
        <w:rPr>
          <w:rFonts w:ascii="Times New Roman" w:hAnsi="Times New Roman"/>
          <w:color w:val="000000" w:themeColor="text1"/>
          <w:sz w:val="16"/>
          <w:szCs w:val="16"/>
        </w:rPr>
        <w:softHyphen/>
        <w:t>ны экземпляры отчета ЦАГИ по флаттерным свойствам СПБ. Жемчужина выпустили, списав все на Липкина, «излишне энергично наращивающего скорость» (10667).</w:t>
      </w:r>
    </w:p>
    <w:p w14:paraId="6A8DCD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D0E40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20 июля 1940 Нач. ВВС Рычагов, а 24 июля 1940 Военком ВВС Иванов утвердили Заключение по эскизному проекту 2-х моторного высотного дальнего бомбардировщика 102 с АМ-120ТК-120 конструкции ОТБ НКВД (2057).</w:t>
      </w:r>
    </w:p>
    <w:p w14:paraId="06CDB5B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C1C677" w14:textId="77777777" w:rsidR="00F24D8E" w:rsidRPr="00DB5D0D" w:rsidRDefault="00F24D8E" w:rsidP="00DB5D0D">
      <w:pPr>
        <w:pStyle w:val="a3"/>
        <w:rPr>
          <w:color w:val="000000" w:themeColor="text1"/>
          <w:lang w:val="ru-RU"/>
        </w:rPr>
      </w:pPr>
      <w:r w:rsidRPr="00DB5D0D">
        <w:rPr>
          <w:color w:val="000000" w:themeColor="text1"/>
          <w:lang w:val="ru-RU"/>
        </w:rPr>
        <w:t>20 июля 1940 г. Управление ВВС Красной Ар</w:t>
      </w:r>
      <w:r w:rsidRPr="00DB5D0D">
        <w:rPr>
          <w:color w:val="000000" w:themeColor="text1"/>
          <w:lang w:val="ru-RU"/>
        </w:rPr>
        <w:softHyphen/>
        <w:t>мии утвердило заключение по эскизному проекту ДВБ-102 (пусть и с замеча</w:t>
      </w:r>
      <w:r w:rsidRPr="00DB5D0D">
        <w:rPr>
          <w:color w:val="000000" w:themeColor="text1"/>
          <w:lang w:val="ru-RU"/>
        </w:rPr>
        <w:softHyphen/>
        <w:t>ниями) (подписали На</w:t>
      </w:r>
      <w:r w:rsidRPr="00DB5D0D">
        <w:rPr>
          <w:color w:val="000000" w:themeColor="text1"/>
          <w:lang w:val="ru-RU"/>
        </w:rPr>
        <w:softHyphen/>
        <w:t>чальник ВВС генерал-лейтенант авиации Смушкевич и Военком ВВС дивизионный комиссар Агальцов). А 4 октября 1940 г. внезапно появился совместный приказ наркома авиапромышленности и началь</w:t>
      </w:r>
      <w:r w:rsidRPr="00DB5D0D">
        <w:rPr>
          <w:color w:val="000000" w:themeColor="text1"/>
          <w:lang w:val="ru-RU"/>
        </w:rPr>
        <w:softHyphen/>
        <w:t>ника Главного Управления ВВС о том, что конструкторы НКАП позволяют себе применение вооружения, не прошедшего предварительных испытаний в НИИ ВВС, что категорически запрещалось издан</w:t>
      </w:r>
      <w:r w:rsidRPr="00DB5D0D">
        <w:rPr>
          <w:color w:val="000000" w:themeColor="text1"/>
          <w:lang w:val="ru-RU"/>
        </w:rPr>
        <w:softHyphen/>
        <w:t>ным 28 августа 1938 г. приказом по ВВС №341сс. И в качестве примера они при</w:t>
      </w:r>
      <w:r w:rsidRPr="00DB5D0D">
        <w:rPr>
          <w:color w:val="000000" w:themeColor="text1"/>
          <w:lang w:val="ru-RU"/>
        </w:rPr>
        <w:softHyphen/>
        <w:t>вели именно ДВБ-102, а конкретно - его носовую стрелковую точку (как будто остальные испытывались!) и внешний держатель для торпеды, который разра</w:t>
      </w:r>
      <w:r w:rsidRPr="00DB5D0D">
        <w:rPr>
          <w:color w:val="000000" w:themeColor="text1"/>
          <w:lang w:val="ru-RU"/>
        </w:rPr>
        <w:softHyphen/>
        <w:t>батывался по просьбе Наркомата ВМФ, но пока существовал только на бумаге и на первый самолет его ставить вообще не собирались (17739).</w:t>
      </w:r>
    </w:p>
    <w:p w14:paraId="50E77C8D" w14:textId="77777777" w:rsidR="00F24D8E" w:rsidRPr="00DB5D0D" w:rsidRDefault="00F24D8E" w:rsidP="00DB5D0D">
      <w:pPr>
        <w:spacing w:after="0" w:line="240" w:lineRule="auto"/>
        <w:jc w:val="both"/>
        <w:rPr>
          <w:rFonts w:ascii="Times New Roman" w:eastAsia="Times New Roman" w:hAnsi="Times New Roman"/>
          <w:color w:val="000000" w:themeColor="text1"/>
          <w:sz w:val="16"/>
          <w:szCs w:val="16"/>
          <w:lang w:eastAsia="ru-RU"/>
        </w:rPr>
      </w:pPr>
    </w:p>
    <w:p w14:paraId="5BA2055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 Начальник ВВС генерал-лейтенант авиации Смушкевич и Военком ВВС дивизионный комиссар Агальцов утвердили Заключение по эскизному проекту двухмоторного высотного дальнего бомбардировщика «102» с 2 М-120 ТК-120 конструкции ОТБ НКВД (6617).</w:t>
      </w:r>
    </w:p>
    <w:p w14:paraId="71B3A57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самолета</w:t>
      </w:r>
    </w:p>
    <w:p w14:paraId="13DF64F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«102» представляет собой высотный дальний бомбардировщик, выполняющий, гл. образом, бомбардировочные задачи по объектам глубокого тыла противника (техническая дальность запроектирована от 2500 км до 3850 км при бомбовой нагрузке соотв. от 2000 кг до 1000 кг).</w:t>
      </w:r>
    </w:p>
    <w:p w14:paraId="7C30AA6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«102» – моноплан, цельнометаллической конструкции с высоким расположением крыла, снабженный двумя моторами М-120, из которых каждый имеет по турбокомпрессору типа М-120.</w:t>
      </w:r>
    </w:p>
    <w:p w14:paraId="7205E90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состоит из четырех человек: летчика, штурмана, двух стрелков, из которых один радист.</w:t>
      </w:r>
    </w:p>
    <w:p w14:paraId="67C90FE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размещается в двух герметических кабинах.</w:t>
      </w:r>
    </w:p>
    <w:p w14:paraId="2773D57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w:t>
      </w:r>
    </w:p>
    <w:p w14:paraId="21D18AE1"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огневая точка состоит из одного пулемета ШКАС, установленного на кардане в носу самолета. Запас патрон 750 шт.</w:t>
      </w:r>
    </w:p>
    <w:p w14:paraId="7EC9A03E"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Верхняя спаренная стрелковая установка состоит из пулемета Березина калибра 12,7 мм с запасом патрон 700 шт. и пулемета ШКАС калибра 7,62 мм с запасом патрон 1500 шт., установленных вне герметич. кабины.</w:t>
      </w:r>
    </w:p>
    <w:p w14:paraId="181567CE"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Нижняя огневая точка состоит из одного пулемета ШКАС, помещенного в обтекателе под второй герметической кабиной. Запас патрон 1000 шт.</w:t>
      </w:r>
    </w:p>
    <w:p w14:paraId="083C184A"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Бомбардировочное вооружение самолета состоит из внутренней и наружной подвесок бомб и химических приборов.</w:t>
      </w:r>
    </w:p>
    <w:p w14:paraId="047C892E" w14:textId="77777777" w:rsidR="003C7E8B" w:rsidRPr="00DB5D0D" w:rsidRDefault="003C7E8B" w:rsidP="00DB5D0D">
      <w:pPr>
        <w:pStyle w:val="a3"/>
        <w:widowControl/>
        <w:tabs>
          <w:tab w:val="left" w:pos="11199"/>
        </w:tabs>
        <w:rPr>
          <w:color w:val="000000" w:themeColor="text1"/>
          <w:lang w:val="ru-RU"/>
        </w:rPr>
      </w:pPr>
      <w:r w:rsidRPr="00DB5D0D">
        <w:rPr>
          <w:color w:val="000000" w:themeColor="text1"/>
          <w:lang w:val="ru-RU"/>
        </w:rPr>
        <w:t>Нормальный вариант бомбовой нагрузки равен 1000 кг. Перегрузочный вариант в пределах емкости бомбардировочных установок для подвески бомб – 3000 кг.</w:t>
      </w:r>
    </w:p>
    <w:p w14:paraId="38A7695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нормального варианта размещается внутри бомбового отсека.</w:t>
      </w:r>
    </w:p>
    <w:p w14:paraId="0980772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Перегрузочный вариант складывается из нагрузки размещаемой внутри бомбового отсека и наружной бортовой подвески на двух замках.</w:t>
      </w:r>
    </w:p>
    <w:p w14:paraId="206829D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 малого калибра (от 25 кг до 1 кг) размещаются в специальных кассетах, устанавливаемых в бомбовом отсеке.</w:t>
      </w:r>
    </w:p>
    <w:p w14:paraId="571A4E6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летно-тактические данные самолета «102»</w:t>
      </w:r>
    </w:p>
    <w:p w14:paraId="273DFCA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эскизному проекту</w:t>
      </w:r>
    </w:p>
    <w:p w14:paraId="1012D14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w:t>
      </w:r>
    </w:p>
    <w:p w14:paraId="3CF3BAF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Н=0 м – 486/488 км/час</w:t>
      </w:r>
    </w:p>
    <w:p w14:paraId="6D580FE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Н=4000 м – 560/555 км/час</w:t>
      </w:r>
    </w:p>
    <w:p w14:paraId="66664AD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Н=6000 м – 585/580 км/час</w:t>
      </w:r>
    </w:p>
    <w:p w14:paraId="7D52BA3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Н=8000 м – 603/594 км/час</w:t>
      </w:r>
    </w:p>
    <w:p w14:paraId="69BE466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Н=10000 м – 620/609 км/час</w:t>
      </w:r>
    </w:p>
    <w:p w14:paraId="439F3A9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w:t>
      </w:r>
    </w:p>
    <w:p w14:paraId="4E9707D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Н=6000 м – 13,8 мин.</w:t>
      </w:r>
    </w:p>
    <w:p w14:paraId="1314DFA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Н=10000 м – 32,9 мин.</w:t>
      </w:r>
    </w:p>
    <w:p w14:paraId="22D40E7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Н=10000 м при весе бомб 1000 кг на 0,9 Vmax –3470 км</w:t>
      </w:r>
    </w:p>
    <w:p w14:paraId="3C3C939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 11000 м</w:t>
      </w:r>
    </w:p>
    <w:p w14:paraId="7AF630C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1BA8CA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дальнего высотного бомбардировщика «102», разработанный ОТБ НКВД утвердить, внеся в него изменения (6617).</w:t>
      </w:r>
    </w:p>
    <w:p w14:paraId="7CB393D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03BE5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1-й экз. УТИ-26 находился на заводских испытаниях 1940 (10395).</w:t>
      </w:r>
    </w:p>
    <w:p w14:paraId="64D552B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6D2E0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в ходе заводских испытаний И-200 А.И.М, которые проходили с 31 марта по 17 августа 1940, на И-200-1 был выполнен второй полет на штопор (2988).</w:t>
      </w:r>
    </w:p>
    <w:p w14:paraId="430A5D5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AB12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в ходе заводских испытаний И-200 А.И.М, которые проходили с 31 марта по 17 августа 1940, на И-200-2 был выполнен полет на определение температурных режимов ВМГ. Неудачно. Ремонтировали до 1 августа (2988).</w:t>
      </w:r>
    </w:p>
    <w:p w14:paraId="60F04CD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C117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техсовет НИИ ВВС рассмотрел результаты гос. испытаний самолета В.И.Беляева, ГК КБ-4 156 завода. Решили мотор М-87 заменить на М-81 и перевести машину на трехколесное шасси (354).</w:t>
      </w:r>
    </w:p>
    <w:p w14:paraId="73A1B90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4388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закончились заводские испытания самолета И-153 с ГК Щербакова и объект был сдан на гос. испытания в НИИ ВВС 20 июля 1940. Испытания прошли успешно в соответствии с ТТТ НИИ ВВС (1301,61) и продолжались до 30 июля 1940 (2090,232).</w:t>
      </w:r>
    </w:p>
    <w:p w14:paraId="1FD94D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заводские испытания И-153 с ГК закончились 18 июля 1940 (2090,232).</w:t>
      </w:r>
    </w:p>
    <w:p w14:paraId="6E8B8CF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AACB0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Нач. ВВС г-л Рычагов и 24 июля военком ВВС Иванов утвердили Отчет о гос. испытаниях ПС-84 в транспортном, десантном и санитарном вариантах. Отв. исполнители: ви ви1р Паузер, вл к Предейн (2923).</w:t>
      </w:r>
    </w:p>
    <w:p w14:paraId="4E0E7CC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D4BD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 Начальник ВВС генерал-лейтенант авиации Смушкевич и Военком ВВС дивизионный комиссар Агальцов 24 июля 1940 года утвердили Отчет о гос. испытаниях самолета ПС-84 в транспортном, десантном и санитарном вариантах</w:t>
      </w:r>
    </w:p>
    <w:p w14:paraId="2873B2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99D33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1 ранга Паузер</w:t>
      </w:r>
    </w:p>
    <w:p w14:paraId="1ECA1D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капитан Предейн</w:t>
      </w:r>
    </w:p>
    <w:p w14:paraId="4AE65F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02FBA74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летно-тактические данные самолета в варианте:</w:t>
      </w:r>
    </w:p>
    <w:p w14:paraId="0B4CF2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транспортном с внутренней и внешней загрузками;</w:t>
      </w:r>
    </w:p>
    <w:p w14:paraId="22013D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санитарном;</w:t>
      </w:r>
    </w:p>
    <w:p w14:paraId="24B080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десантном.</w:t>
      </w:r>
    </w:p>
    <w:p w14:paraId="222B80B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соответствие всех вариантов тактико-техническим требованиям и установить возможность принятия самолета на вооружение ВВС.</w:t>
      </w:r>
    </w:p>
    <w:p w14:paraId="79F4CB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Пассажирский самолет ПС-84 проходил земные и летные испытания в НИИ ГВФ с 3 сентября по 17 декабря 1939 года с производством 166 полетов продолжительностью 73 час. 45 мин.</w:t>
      </w:r>
    </w:p>
    <w:p w14:paraId="3F3849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цельнометаллический моноплан с низкорасположенным крылом, оборудован двумя моторами М-62-ИР. Предъявленный самолет разнится от пассажирского только внутренним оборудованием пассажирской кабины и вырезом грузовой двери в левом борту.</w:t>
      </w:r>
    </w:p>
    <w:p w14:paraId="6D7B65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на самолете не предусмотрено.</w:t>
      </w:r>
    </w:p>
    <w:p w14:paraId="3203CC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самолета производились в НИИ ВВС с 11 мая по 29 июня 1940 года. Во время испытаний проведено 56 полетов продолжительностью 34 часа 42 минуты.</w:t>
      </w:r>
    </w:p>
    <w:p w14:paraId="56DBBC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6EDD66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ПС-84-К и И, т.е. в военных вариантах:</w:t>
      </w:r>
    </w:p>
    <w:p w14:paraId="2D480D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транспортном;</w:t>
      </w:r>
    </w:p>
    <w:p w14:paraId="40353C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санитарном;</w:t>
      </w:r>
    </w:p>
    <w:p w14:paraId="5555DF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десантном,</w:t>
      </w:r>
    </w:p>
    <w:p w14:paraId="5A61D5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прошел гос. испытания удовлетворительно и рекомендуется к принятию на вооружение ВВС.</w:t>
      </w:r>
    </w:p>
    <w:p w14:paraId="763B9A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407"/>
        <w:gridCol w:w="896"/>
        <w:gridCol w:w="2081"/>
      </w:tblGrid>
      <w:tr w:rsidR="007D5DF8" w:rsidRPr="00DB5D0D" w14:paraId="62CFC6A1" w14:textId="77777777" w:rsidTr="00E543D0">
        <w:tc>
          <w:tcPr>
            <w:tcW w:w="2214" w:type="dxa"/>
          </w:tcPr>
          <w:p w14:paraId="679C5B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5407" w:type="dxa"/>
          </w:tcPr>
          <w:p w14:paraId="747BF9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работ</w:t>
            </w:r>
          </w:p>
        </w:tc>
        <w:tc>
          <w:tcPr>
            <w:tcW w:w="896" w:type="dxa"/>
          </w:tcPr>
          <w:p w14:paraId="5331F8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 полетов</w:t>
            </w:r>
          </w:p>
        </w:tc>
        <w:tc>
          <w:tcPr>
            <w:tcW w:w="2081" w:type="dxa"/>
          </w:tcPr>
          <w:p w14:paraId="3F23FD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r>
      <w:tr w:rsidR="007D5DF8" w:rsidRPr="00DB5D0D" w14:paraId="2780660F" w14:textId="77777777" w:rsidTr="00E543D0">
        <w:tc>
          <w:tcPr>
            <w:tcW w:w="2214" w:type="dxa"/>
          </w:tcPr>
          <w:p w14:paraId="5803EE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года</w:t>
            </w:r>
          </w:p>
        </w:tc>
        <w:tc>
          <w:tcPr>
            <w:tcW w:w="5407" w:type="dxa"/>
          </w:tcPr>
          <w:p w14:paraId="29D4E6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Перегонка самолета с завода на аэродром НИИ ВВС</w:t>
            </w:r>
          </w:p>
        </w:tc>
        <w:tc>
          <w:tcPr>
            <w:tcW w:w="896" w:type="dxa"/>
          </w:tcPr>
          <w:p w14:paraId="678C3E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0A3ED5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558CF2C6" w14:textId="77777777" w:rsidTr="00E543D0">
        <w:tc>
          <w:tcPr>
            <w:tcW w:w="2214" w:type="dxa"/>
          </w:tcPr>
          <w:p w14:paraId="03D81D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года</w:t>
            </w:r>
          </w:p>
        </w:tc>
        <w:tc>
          <w:tcPr>
            <w:tcW w:w="5407" w:type="dxa"/>
          </w:tcPr>
          <w:p w14:paraId="14EF84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Тренировка летчика</w:t>
            </w:r>
          </w:p>
        </w:tc>
        <w:tc>
          <w:tcPr>
            <w:tcW w:w="896" w:type="dxa"/>
          </w:tcPr>
          <w:p w14:paraId="43BAD8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081" w:type="dxa"/>
          </w:tcPr>
          <w:p w14:paraId="7208C5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0-35</w:t>
            </w:r>
          </w:p>
        </w:tc>
      </w:tr>
      <w:tr w:rsidR="007D5DF8" w:rsidRPr="00DB5D0D" w14:paraId="2E31D188" w14:textId="77777777" w:rsidTr="00E543D0">
        <w:tc>
          <w:tcPr>
            <w:tcW w:w="2214" w:type="dxa"/>
          </w:tcPr>
          <w:p w14:paraId="1B4A6F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года</w:t>
            </w:r>
          </w:p>
        </w:tc>
        <w:tc>
          <w:tcPr>
            <w:tcW w:w="5407" w:type="dxa"/>
          </w:tcPr>
          <w:p w14:paraId="11AEAA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с грузом</w:t>
            </w:r>
          </w:p>
        </w:tc>
        <w:tc>
          <w:tcPr>
            <w:tcW w:w="896" w:type="dxa"/>
          </w:tcPr>
          <w:p w14:paraId="74C5BF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615252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0-37</w:t>
            </w:r>
          </w:p>
        </w:tc>
      </w:tr>
      <w:tr w:rsidR="007D5DF8" w:rsidRPr="00DB5D0D" w14:paraId="320ADFF1" w14:textId="77777777" w:rsidTr="00E543D0">
        <w:tc>
          <w:tcPr>
            <w:tcW w:w="2214" w:type="dxa"/>
          </w:tcPr>
          <w:p w14:paraId="48401A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года</w:t>
            </w:r>
          </w:p>
        </w:tc>
        <w:tc>
          <w:tcPr>
            <w:tcW w:w="5407" w:type="dxa"/>
          </w:tcPr>
          <w:p w14:paraId="5E4102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г. Рязань и обратно</w:t>
            </w:r>
          </w:p>
        </w:tc>
        <w:tc>
          <w:tcPr>
            <w:tcW w:w="896" w:type="dxa"/>
          </w:tcPr>
          <w:p w14:paraId="7F0923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081" w:type="dxa"/>
          </w:tcPr>
          <w:p w14:paraId="1CA647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tc>
      </w:tr>
      <w:tr w:rsidR="007D5DF8" w:rsidRPr="00DB5D0D" w14:paraId="5CDBE264" w14:textId="77777777" w:rsidTr="00E543D0">
        <w:tc>
          <w:tcPr>
            <w:tcW w:w="2214" w:type="dxa"/>
          </w:tcPr>
          <w:p w14:paraId="663E01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года</w:t>
            </w:r>
          </w:p>
        </w:tc>
        <w:tc>
          <w:tcPr>
            <w:tcW w:w="5407" w:type="dxa"/>
          </w:tcPr>
          <w:p w14:paraId="73CCB3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границы высотности мотора</w:t>
            </w:r>
          </w:p>
        </w:tc>
        <w:tc>
          <w:tcPr>
            <w:tcW w:w="896" w:type="dxa"/>
          </w:tcPr>
          <w:p w14:paraId="0F1745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0ABF02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r>
      <w:tr w:rsidR="007D5DF8" w:rsidRPr="00DB5D0D" w14:paraId="06ECB89E" w14:textId="77777777" w:rsidTr="00E543D0">
        <w:tc>
          <w:tcPr>
            <w:tcW w:w="2214" w:type="dxa"/>
          </w:tcPr>
          <w:p w14:paraId="7A8907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мая 1940 года</w:t>
            </w:r>
          </w:p>
        </w:tc>
        <w:tc>
          <w:tcPr>
            <w:tcW w:w="5407" w:type="dxa"/>
          </w:tcPr>
          <w:p w14:paraId="75F90A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tc>
        <w:tc>
          <w:tcPr>
            <w:tcW w:w="896" w:type="dxa"/>
          </w:tcPr>
          <w:p w14:paraId="6E1BBF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3986E4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r>
      <w:tr w:rsidR="007D5DF8" w:rsidRPr="00DB5D0D" w14:paraId="15C1F204" w14:textId="77777777" w:rsidTr="00E543D0">
        <w:tc>
          <w:tcPr>
            <w:tcW w:w="2214" w:type="dxa"/>
          </w:tcPr>
          <w:p w14:paraId="42733B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года</w:t>
            </w:r>
          </w:p>
        </w:tc>
        <w:tc>
          <w:tcPr>
            <w:tcW w:w="5407" w:type="dxa"/>
          </w:tcPr>
          <w:p w14:paraId="59B2D7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моторов</w:t>
            </w:r>
          </w:p>
        </w:tc>
        <w:tc>
          <w:tcPr>
            <w:tcW w:w="896" w:type="dxa"/>
          </w:tcPr>
          <w:p w14:paraId="3CF067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6DBA0E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r>
      <w:tr w:rsidR="007D5DF8" w:rsidRPr="00DB5D0D" w14:paraId="68A58B86" w14:textId="77777777" w:rsidTr="00E543D0">
        <w:tc>
          <w:tcPr>
            <w:tcW w:w="2214" w:type="dxa"/>
          </w:tcPr>
          <w:p w14:paraId="4C6E36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года</w:t>
            </w:r>
          </w:p>
        </w:tc>
        <w:tc>
          <w:tcPr>
            <w:tcW w:w="5407" w:type="dxa"/>
          </w:tcPr>
          <w:p w14:paraId="3B329A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на Центральный аэродром и обратно</w:t>
            </w:r>
          </w:p>
        </w:tc>
        <w:tc>
          <w:tcPr>
            <w:tcW w:w="896" w:type="dxa"/>
          </w:tcPr>
          <w:p w14:paraId="1F63BC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081" w:type="dxa"/>
          </w:tcPr>
          <w:p w14:paraId="5036FD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6DD744FC" w14:textId="77777777" w:rsidTr="00E543D0">
        <w:tc>
          <w:tcPr>
            <w:tcW w:w="2214" w:type="dxa"/>
          </w:tcPr>
          <w:p w14:paraId="31E68B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июня 1940 года</w:t>
            </w:r>
          </w:p>
        </w:tc>
        <w:tc>
          <w:tcPr>
            <w:tcW w:w="5407" w:type="dxa"/>
          </w:tcPr>
          <w:p w14:paraId="748AC4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Пробный полет на уборку и выпуск шасси</w:t>
            </w:r>
          </w:p>
        </w:tc>
        <w:tc>
          <w:tcPr>
            <w:tcW w:w="896" w:type="dxa"/>
          </w:tcPr>
          <w:p w14:paraId="0AAF6D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06FE88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r>
      <w:tr w:rsidR="007D5DF8" w:rsidRPr="00DB5D0D" w14:paraId="36B5644D" w14:textId="77777777" w:rsidTr="00E543D0">
        <w:tc>
          <w:tcPr>
            <w:tcW w:w="2214" w:type="dxa"/>
          </w:tcPr>
          <w:p w14:paraId="767E58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года</w:t>
            </w:r>
          </w:p>
        </w:tc>
        <w:tc>
          <w:tcPr>
            <w:tcW w:w="5407" w:type="dxa"/>
          </w:tcPr>
          <w:p w14:paraId="681348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Растряска ПДББ-100</w:t>
            </w:r>
          </w:p>
        </w:tc>
        <w:tc>
          <w:tcPr>
            <w:tcW w:w="896" w:type="dxa"/>
          </w:tcPr>
          <w:p w14:paraId="46D34C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081" w:type="dxa"/>
          </w:tcPr>
          <w:p w14:paraId="3321E7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r>
      <w:tr w:rsidR="007D5DF8" w:rsidRPr="00DB5D0D" w14:paraId="2CC18180" w14:textId="77777777" w:rsidTr="00E543D0">
        <w:tc>
          <w:tcPr>
            <w:tcW w:w="2214" w:type="dxa"/>
          </w:tcPr>
          <w:p w14:paraId="67D5BA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 1940 года</w:t>
            </w:r>
          </w:p>
        </w:tc>
        <w:tc>
          <w:tcPr>
            <w:tcW w:w="5407" w:type="dxa"/>
          </w:tcPr>
          <w:p w14:paraId="0D5E13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и сбрасывание ПДББ-100</w:t>
            </w:r>
          </w:p>
        </w:tc>
        <w:tc>
          <w:tcPr>
            <w:tcW w:w="896" w:type="dxa"/>
          </w:tcPr>
          <w:p w14:paraId="6D26E9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081" w:type="dxa"/>
          </w:tcPr>
          <w:p w14:paraId="08D349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w:t>
            </w:r>
          </w:p>
        </w:tc>
      </w:tr>
      <w:tr w:rsidR="007D5DF8" w:rsidRPr="00DB5D0D" w14:paraId="07FFCCCA" w14:textId="77777777" w:rsidTr="00E543D0">
        <w:tc>
          <w:tcPr>
            <w:tcW w:w="2214" w:type="dxa"/>
          </w:tcPr>
          <w:p w14:paraId="1691E6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w:t>
            </w:r>
          </w:p>
        </w:tc>
        <w:tc>
          <w:tcPr>
            <w:tcW w:w="5407" w:type="dxa"/>
          </w:tcPr>
          <w:p w14:paraId="7637AA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Растряска ПДББ-250</w:t>
            </w:r>
          </w:p>
        </w:tc>
        <w:tc>
          <w:tcPr>
            <w:tcW w:w="896" w:type="dxa"/>
          </w:tcPr>
          <w:p w14:paraId="50A265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081" w:type="dxa"/>
          </w:tcPr>
          <w:p w14:paraId="012F20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0A5B0D76" w14:textId="77777777" w:rsidTr="00E543D0">
        <w:tc>
          <w:tcPr>
            <w:tcW w:w="2214" w:type="dxa"/>
          </w:tcPr>
          <w:p w14:paraId="7B600A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1940 года</w:t>
            </w:r>
          </w:p>
        </w:tc>
        <w:tc>
          <w:tcPr>
            <w:tcW w:w="5407" w:type="dxa"/>
          </w:tcPr>
          <w:p w14:paraId="2E806A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ПДББ-250</w:t>
            </w:r>
          </w:p>
        </w:tc>
        <w:tc>
          <w:tcPr>
            <w:tcW w:w="896" w:type="dxa"/>
          </w:tcPr>
          <w:p w14:paraId="0F9380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28C436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r>
      <w:tr w:rsidR="007D5DF8" w:rsidRPr="00DB5D0D" w14:paraId="2B9EA1ED" w14:textId="77777777" w:rsidTr="00E543D0">
        <w:tc>
          <w:tcPr>
            <w:tcW w:w="2214" w:type="dxa"/>
          </w:tcPr>
          <w:p w14:paraId="62200E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407" w:type="dxa"/>
          </w:tcPr>
          <w:p w14:paraId="02E5C6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 с подвеской ПДББ-400</w:t>
            </w:r>
          </w:p>
        </w:tc>
        <w:tc>
          <w:tcPr>
            <w:tcW w:w="896" w:type="dxa"/>
          </w:tcPr>
          <w:p w14:paraId="43F2E9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081" w:type="dxa"/>
          </w:tcPr>
          <w:p w14:paraId="58EA32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r>
      <w:tr w:rsidR="007D5DF8" w:rsidRPr="00DB5D0D" w14:paraId="4B56316B" w14:textId="77777777" w:rsidTr="00E543D0">
        <w:tc>
          <w:tcPr>
            <w:tcW w:w="2214" w:type="dxa"/>
          </w:tcPr>
          <w:p w14:paraId="7FB6B8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407" w:type="dxa"/>
          </w:tcPr>
          <w:p w14:paraId="1FCCD6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ПДББ-400</w:t>
            </w:r>
          </w:p>
        </w:tc>
        <w:tc>
          <w:tcPr>
            <w:tcW w:w="896" w:type="dxa"/>
          </w:tcPr>
          <w:p w14:paraId="104CF3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733174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r>
      <w:tr w:rsidR="007D5DF8" w:rsidRPr="00DB5D0D" w14:paraId="679708FD" w14:textId="77777777" w:rsidTr="00E543D0">
        <w:tc>
          <w:tcPr>
            <w:tcW w:w="2214" w:type="dxa"/>
          </w:tcPr>
          <w:p w14:paraId="44B2B9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407" w:type="dxa"/>
          </w:tcPr>
          <w:p w14:paraId="178719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Растряска П-45</w:t>
            </w:r>
          </w:p>
        </w:tc>
        <w:tc>
          <w:tcPr>
            <w:tcW w:w="896" w:type="dxa"/>
          </w:tcPr>
          <w:p w14:paraId="34F27A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081" w:type="dxa"/>
          </w:tcPr>
          <w:p w14:paraId="554C34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r>
      <w:tr w:rsidR="007D5DF8" w:rsidRPr="00DB5D0D" w14:paraId="2A599F4C" w14:textId="77777777" w:rsidTr="00E543D0">
        <w:tc>
          <w:tcPr>
            <w:tcW w:w="2214" w:type="dxa"/>
          </w:tcPr>
          <w:p w14:paraId="2840C8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года</w:t>
            </w:r>
          </w:p>
        </w:tc>
        <w:tc>
          <w:tcPr>
            <w:tcW w:w="5407" w:type="dxa"/>
          </w:tcPr>
          <w:p w14:paraId="584B25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Загрузка П-76 и растряска</w:t>
            </w:r>
          </w:p>
        </w:tc>
        <w:tc>
          <w:tcPr>
            <w:tcW w:w="896" w:type="dxa"/>
          </w:tcPr>
          <w:p w14:paraId="55E6EB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081" w:type="dxa"/>
          </w:tcPr>
          <w:p w14:paraId="16D953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0-25</w:t>
            </w:r>
          </w:p>
        </w:tc>
      </w:tr>
      <w:tr w:rsidR="007D5DF8" w:rsidRPr="00DB5D0D" w14:paraId="4353E99B" w14:textId="77777777" w:rsidTr="00E543D0">
        <w:tc>
          <w:tcPr>
            <w:tcW w:w="2214" w:type="dxa"/>
          </w:tcPr>
          <w:p w14:paraId="4B4103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5407" w:type="dxa"/>
          </w:tcPr>
          <w:p w14:paraId="182848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Километраж</w:t>
            </w:r>
          </w:p>
        </w:tc>
        <w:tc>
          <w:tcPr>
            <w:tcW w:w="896" w:type="dxa"/>
          </w:tcPr>
          <w:p w14:paraId="5C7386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56E8FD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r>
      <w:tr w:rsidR="007D5DF8" w:rsidRPr="00DB5D0D" w14:paraId="4DF6EEA2" w14:textId="77777777" w:rsidTr="00E543D0">
        <w:tc>
          <w:tcPr>
            <w:tcW w:w="2214" w:type="dxa"/>
          </w:tcPr>
          <w:p w14:paraId="0535C1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года</w:t>
            </w:r>
          </w:p>
        </w:tc>
        <w:tc>
          <w:tcPr>
            <w:tcW w:w="5407" w:type="dxa"/>
          </w:tcPr>
          <w:p w14:paraId="7A5D09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tc>
        <w:tc>
          <w:tcPr>
            <w:tcW w:w="896" w:type="dxa"/>
          </w:tcPr>
          <w:p w14:paraId="5E3C5E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081" w:type="dxa"/>
          </w:tcPr>
          <w:p w14:paraId="4D1231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0-55</w:t>
            </w:r>
          </w:p>
        </w:tc>
      </w:tr>
      <w:tr w:rsidR="007D5DF8" w:rsidRPr="00DB5D0D" w14:paraId="4008402A" w14:textId="77777777" w:rsidTr="00E543D0">
        <w:tc>
          <w:tcPr>
            <w:tcW w:w="2214" w:type="dxa"/>
          </w:tcPr>
          <w:p w14:paraId="152DAD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года</w:t>
            </w:r>
          </w:p>
        </w:tc>
        <w:tc>
          <w:tcPr>
            <w:tcW w:w="5407" w:type="dxa"/>
          </w:tcPr>
          <w:p w14:paraId="14536F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Выпрыгивание инструкторов</w:t>
            </w:r>
          </w:p>
        </w:tc>
        <w:tc>
          <w:tcPr>
            <w:tcW w:w="896" w:type="dxa"/>
          </w:tcPr>
          <w:p w14:paraId="5FE6CE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081" w:type="dxa"/>
          </w:tcPr>
          <w:p w14:paraId="3483D1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r>
      <w:tr w:rsidR="007D5DF8" w:rsidRPr="00DB5D0D" w14:paraId="3C1106C6" w14:textId="77777777" w:rsidTr="00E543D0">
        <w:tc>
          <w:tcPr>
            <w:tcW w:w="2214" w:type="dxa"/>
          </w:tcPr>
          <w:p w14:paraId="179254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5407" w:type="dxa"/>
          </w:tcPr>
          <w:p w14:paraId="63D33D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в д. Реблицы (ЛВО)</w:t>
            </w:r>
          </w:p>
        </w:tc>
        <w:tc>
          <w:tcPr>
            <w:tcW w:w="896" w:type="dxa"/>
          </w:tcPr>
          <w:p w14:paraId="39ED74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658861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r>
      <w:tr w:rsidR="007D5DF8" w:rsidRPr="00DB5D0D" w14:paraId="176A8366" w14:textId="77777777" w:rsidTr="00E543D0">
        <w:tc>
          <w:tcPr>
            <w:tcW w:w="2214" w:type="dxa"/>
          </w:tcPr>
          <w:p w14:paraId="743DB8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июня 1940 года</w:t>
            </w:r>
          </w:p>
        </w:tc>
        <w:tc>
          <w:tcPr>
            <w:tcW w:w="5407" w:type="dxa"/>
          </w:tcPr>
          <w:p w14:paraId="7ED2D6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десанта</w:t>
            </w:r>
          </w:p>
        </w:tc>
        <w:tc>
          <w:tcPr>
            <w:tcW w:w="896" w:type="dxa"/>
          </w:tcPr>
          <w:p w14:paraId="797AF5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081" w:type="dxa"/>
          </w:tcPr>
          <w:p w14:paraId="7D1B32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0-50</w:t>
            </w:r>
          </w:p>
        </w:tc>
      </w:tr>
      <w:tr w:rsidR="007D5DF8" w:rsidRPr="00DB5D0D" w14:paraId="217F089A" w14:textId="77777777" w:rsidTr="00E543D0">
        <w:tc>
          <w:tcPr>
            <w:tcW w:w="2214" w:type="dxa"/>
          </w:tcPr>
          <w:p w14:paraId="6C3FA7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407" w:type="dxa"/>
          </w:tcPr>
          <w:p w14:paraId="60F6F8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Сбрасывание десанта</w:t>
            </w:r>
          </w:p>
        </w:tc>
        <w:tc>
          <w:tcPr>
            <w:tcW w:w="896" w:type="dxa"/>
          </w:tcPr>
          <w:p w14:paraId="7DA656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081" w:type="dxa"/>
          </w:tcPr>
          <w:p w14:paraId="714C91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r>
      <w:tr w:rsidR="007D5DF8" w:rsidRPr="00DB5D0D" w14:paraId="266280B8" w14:textId="77777777" w:rsidTr="00E543D0">
        <w:tc>
          <w:tcPr>
            <w:tcW w:w="2214" w:type="dxa"/>
          </w:tcPr>
          <w:p w14:paraId="2179BD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407" w:type="dxa"/>
          </w:tcPr>
          <w:p w14:paraId="56737B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Реблицы-Сольцы для зарядки горючим</w:t>
            </w:r>
          </w:p>
        </w:tc>
        <w:tc>
          <w:tcPr>
            <w:tcW w:w="896" w:type="dxa"/>
          </w:tcPr>
          <w:p w14:paraId="27456F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2DDA2F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w:t>
            </w:r>
          </w:p>
        </w:tc>
      </w:tr>
      <w:tr w:rsidR="007D5DF8" w:rsidRPr="00DB5D0D" w14:paraId="522E77C3" w14:textId="77777777" w:rsidTr="00E543D0">
        <w:tc>
          <w:tcPr>
            <w:tcW w:w="2214" w:type="dxa"/>
          </w:tcPr>
          <w:p w14:paraId="2BF0DA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июня 1940 года</w:t>
            </w:r>
          </w:p>
        </w:tc>
        <w:tc>
          <w:tcPr>
            <w:tcW w:w="5407" w:type="dxa"/>
          </w:tcPr>
          <w:p w14:paraId="51E907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Перелет Сольцы-Чкаловская </w:t>
            </w:r>
          </w:p>
        </w:tc>
        <w:tc>
          <w:tcPr>
            <w:tcW w:w="896" w:type="dxa"/>
          </w:tcPr>
          <w:p w14:paraId="73CF96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7DCD90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r>
      <w:tr w:rsidR="007D5DF8" w:rsidRPr="00DB5D0D" w14:paraId="434C0606" w14:textId="77777777" w:rsidTr="00E543D0">
        <w:tc>
          <w:tcPr>
            <w:tcW w:w="2214" w:type="dxa"/>
          </w:tcPr>
          <w:p w14:paraId="5BB563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года</w:t>
            </w:r>
          </w:p>
        </w:tc>
        <w:tc>
          <w:tcPr>
            <w:tcW w:w="5407" w:type="dxa"/>
          </w:tcPr>
          <w:p w14:paraId="58ADB8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санитарном варианте</w:t>
            </w:r>
          </w:p>
        </w:tc>
        <w:tc>
          <w:tcPr>
            <w:tcW w:w="896" w:type="dxa"/>
          </w:tcPr>
          <w:p w14:paraId="1B9121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29ABEA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0-45</w:t>
            </w:r>
          </w:p>
        </w:tc>
      </w:tr>
      <w:tr w:rsidR="007D5DF8" w:rsidRPr="00DB5D0D" w14:paraId="4A049BA1" w14:textId="77777777" w:rsidTr="00E543D0">
        <w:tc>
          <w:tcPr>
            <w:tcW w:w="2214" w:type="dxa"/>
          </w:tcPr>
          <w:p w14:paraId="568FEC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июня 1940 года</w:t>
            </w:r>
          </w:p>
        </w:tc>
        <w:tc>
          <w:tcPr>
            <w:tcW w:w="5407" w:type="dxa"/>
          </w:tcPr>
          <w:p w14:paraId="6A632A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Контрольный полет на скороподъемность с внутренней загрузкой</w:t>
            </w:r>
          </w:p>
        </w:tc>
        <w:tc>
          <w:tcPr>
            <w:tcW w:w="896" w:type="dxa"/>
          </w:tcPr>
          <w:p w14:paraId="796AC8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109BF4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r>
      <w:tr w:rsidR="007D5DF8" w:rsidRPr="00DB5D0D" w14:paraId="0A9ED024" w14:textId="77777777" w:rsidTr="00E543D0">
        <w:tc>
          <w:tcPr>
            <w:tcW w:w="2214" w:type="dxa"/>
          </w:tcPr>
          <w:p w14:paraId="2DD352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 1940 года</w:t>
            </w:r>
          </w:p>
        </w:tc>
        <w:tc>
          <w:tcPr>
            <w:tcW w:w="5407" w:type="dxa"/>
          </w:tcPr>
          <w:p w14:paraId="1F1DFC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Контрольный полет с наружной загрузкой</w:t>
            </w:r>
          </w:p>
        </w:tc>
        <w:tc>
          <w:tcPr>
            <w:tcW w:w="896" w:type="dxa"/>
          </w:tcPr>
          <w:p w14:paraId="5C76AB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4FAF13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r>
      <w:tr w:rsidR="007D5DF8" w:rsidRPr="00DB5D0D" w14:paraId="25797312" w14:textId="77777777" w:rsidTr="00E543D0">
        <w:tc>
          <w:tcPr>
            <w:tcW w:w="2214" w:type="dxa"/>
          </w:tcPr>
          <w:p w14:paraId="09A3B8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июня 1940 года</w:t>
            </w:r>
          </w:p>
        </w:tc>
        <w:tc>
          <w:tcPr>
            <w:tcW w:w="5407" w:type="dxa"/>
          </w:tcPr>
          <w:p w14:paraId="68F8C5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Рыбинск и обратно</w:t>
            </w:r>
          </w:p>
        </w:tc>
        <w:tc>
          <w:tcPr>
            <w:tcW w:w="896" w:type="dxa"/>
          </w:tcPr>
          <w:p w14:paraId="2AACE6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081" w:type="dxa"/>
          </w:tcPr>
          <w:p w14:paraId="4614C2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r>
      <w:tr w:rsidR="007D5DF8" w:rsidRPr="00DB5D0D" w14:paraId="5EE211A6" w14:textId="77777777" w:rsidTr="00E543D0">
        <w:tc>
          <w:tcPr>
            <w:tcW w:w="2214" w:type="dxa"/>
          </w:tcPr>
          <w:p w14:paraId="3F4042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июня 1940 года</w:t>
            </w:r>
          </w:p>
        </w:tc>
        <w:tc>
          <w:tcPr>
            <w:tcW w:w="5407" w:type="dxa"/>
          </w:tcPr>
          <w:p w14:paraId="1F337F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(летчик Нюхтиков)</w:t>
            </w:r>
          </w:p>
        </w:tc>
        <w:tc>
          <w:tcPr>
            <w:tcW w:w="896" w:type="dxa"/>
          </w:tcPr>
          <w:p w14:paraId="15BA14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81" w:type="dxa"/>
          </w:tcPr>
          <w:p w14:paraId="1EA945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r>
      <w:tr w:rsidR="007D5DF8" w:rsidRPr="00DB5D0D" w14:paraId="1D9E2139" w14:textId="77777777" w:rsidTr="00E543D0">
        <w:tc>
          <w:tcPr>
            <w:tcW w:w="2214" w:type="dxa"/>
          </w:tcPr>
          <w:p w14:paraId="21CC02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5407" w:type="dxa"/>
          </w:tcPr>
          <w:p w14:paraId="2A85990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96" w:type="dxa"/>
          </w:tcPr>
          <w:p w14:paraId="624CEA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w:t>
            </w:r>
          </w:p>
        </w:tc>
        <w:tc>
          <w:tcPr>
            <w:tcW w:w="2081" w:type="dxa"/>
          </w:tcPr>
          <w:p w14:paraId="3BBEB1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34-42 (4605)</w:t>
            </w:r>
          </w:p>
        </w:tc>
      </w:tr>
    </w:tbl>
    <w:p w14:paraId="566D403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44E315" w14:textId="77777777" w:rsidR="003C7E8B" w:rsidRPr="00DB5D0D" w:rsidRDefault="003C7E8B" w:rsidP="00DB5D0D">
      <w:pPr>
        <w:pStyle w:val="24"/>
        <w:widowControl/>
        <w:rPr>
          <w:color w:val="000000" w:themeColor="text1"/>
        </w:rPr>
      </w:pPr>
      <w:r w:rsidRPr="00DB5D0D">
        <w:rPr>
          <w:color w:val="000000" w:themeColor="text1"/>
        </w:rPr>
        <w:t>20 июля 1940 года начальник ГУ ВВС генерал-лейтенант авиации Рычагов и военком ВВС дивизионный комиссар Агальцов утвердили:</w:t>
      </w:r>
    </w:p>
    <w:p w14:paraId="45C86E73" w14:textId="77777777" w:rsidR="003C7E8B" w:rsidRPr="00DB5D0D" w:rsidRDefault="003C7E8B" w:rsidP="00DB5D0D">
      <w:pPr>
        <w:pStyle w:val="24"/>
        <w:widowControl/>
        <w:rPr>
          <w:color w:val="000000" w:themeColor="text1"/>
        </w:rPr>
      </w:pPr>
      <w:r w:rsidRPr="00DB5D0D">
        <w:rPr>
          <w:color w:val="000000" w:themeColor="text1"/>
        </w:rPr>
        <w:t>Отчет о госиспытаниях самолета ПС-84 в транспортном, десантном и санитарном вариантах</w:t>
      </w:r>
    </w:p>
    <w:p w14:paraId="3542191B" w14:textId="77777777" w:rsidR="003C7E8B" w:rsidRPr="00DB5D0D" w:rsidRDefault="003C7E8B" w:rsidP="00DB5D0D">
      <w:pPr>
        <w:pStyle w:val="24"/>
        <w:widowControl/>
        <w:rPr>
          <w:color w:val="000000" w:themeColor="text1"/>
        </w:rPr>
      </w:pPr>
      <w:r w:rsidRPr="00DB5D0D">
        <w:rPr>
          <w:color w:val="000000" w:themeColor="text1"/>
        </w:rPr>
        <w:t>Отв. исполнители:</w:t>
      </w:r>
    </w:p>
    <w:p w14:paraId="43C9E6CB" w14:textId="77777777" w:rsidR="003C7E8B" w:rsidRPr="00DB5D0D" w:rsidRDefault="003C7E8B" w:rsidP="00DB5D0D">
      <w:pPr>
        <w:pStyle w:val="24"/>
        <w:widowControl/>
        <w:rPr>
          <w:color w:val="000000" w:themeColor="text1"/>
        </w:rPr>
      </w:pPr>
      <w:r w:rsidRPr="00DB5D0D">
        <w:rPr>
          <w:color w:val="000000" w:themeColor="text1"/>
        </w:rPr>
        <w:t>Вед. инженер в/инженер 1 ранга Паузер</w:t>
      </w:r>
    </w:p>
    <w:p w14:paraId="33A7C640" w14:textId="77777777" w:rsidR="003C7E8B" w:rsidRPr="00DB5D0D" w:rsidRDefault="003C7E8B" w:rsidP="00DB5D0D">
      <w:pPr>
        <w:pStyle w:val="24"/>
        <w:widowControl/>
        <w:rPr>
          <w:color w:val="000000" w:themeColor="text1"/>
        </w:rPr>
      </w:pPr>
      <w:r w:rsidRPr="00DB5D0D">
        <w:rPr>
          <w:color w:val="000000" w:themeColor="text1"/>
        </w:rPr>
        <w:t>Вед. летчик капитан Предейн</w:t>
      </w:r>
    </w:p>
    <w:p w14:paraId="466D4A2F" w14:textId="77777777" w:rsidR="003C7E8B" w:rsidRPr="00DB5D0D" w:rsidRDefault="003C7E8B" w:rsidP="00DB5D0D">
      <w:pPr>
        <w:pStyle w:val="24"/>
        <w:widowControl/>
        <w:rPr>
          <w:color w:val="000000" w:themeColor="text1"/>
        </w:rPr>
      </w:pPr>
      <w:r w:rsidRPr="00DB5D0D">
        <w:rPr>
          <w:color w:val="000000" w:themeColor="text1"/>
        </w:rPr>
        <w:t>Цель испытаний</w:t>
      </w:r>
    </w:p>
    <w:p w14:paraId="69C3CB1B" w14:textId="77777777" w:rsidR="003C7E8B" w:rsidRPr="00DB5D0D" w:rsidRDefault="003C7E8B" w:rsidP="00DB5D0D">
      <w:pPr>
        <w:pStyle w:val="24"/>
        <w:widowControl/>
        <w:tabs>
          <w:tab w:val="left" w:pos="360"/>
        </w:tabs>
        <w:rPr>
          <w:color w:val="000000" w:themeColor="text1"/>
        </w:rPr>
      </w:pPr>
      <w:r w:rsidRPr="00DB5D0D">
        <w:rPr>
          <w:color w:val="000000" w:themeColor="text1"/>
        </w:rPr>
        <w:t>Определить летно-тактические данные самолета в варианте:</w:t>
      </w:r>
    </w:p>
    <w:p w14:paraId="1753C971" w14:textId="77777777" w:rsidR="003C7E8B" w:rsidRPr="00DB5D0D" w:rsidRDefault="003C7E8B" w:rsidP="00DB5D0D">
      <w:pPr>
        <w:pStyle w:val="24"/>
        <w:widowControl/>
        <w:rPr>
          <w:color w:val="000000" w:themeColor="text1"/>
        </w:rPr>
      </w:pPr>
      <w:r w:rsidRPr="00DB5D0D">
        <w:rPr>
          <w:color w:val="000000" w:themeColor="text1"/>
        </w:rPr>
        <w:t>а) транспортном с внутренней и внешней загрузками;</w:t>
      </w:r>
    </w:p>
    <w:p w14:paraId="0463A67B" w14:textId="77777777" w:rsidR="003C7E8B" w:rsidRPr="00DB5D0D" w:rsidRDefault="003C7E8B" w:rsidP="00DB5D0D">
      <w:pPr>
        <w:pStyle w:val="24"/>
        <w:widowControl/>
        <w:rPr>
          <w:color w:val="000000" w:themeColor="text1"/>
        </w:rPr>
      </w:pPr>
      <w:r w:rsidRPr="00DB5D0D">
        <w:rPr>
          <w:color w:val="000000" w:themeColor="text1"/>
        </w:rPr>
        <w:t>б) санитарном;</w:t>
      </w:r>
    </w:p>
    <w:p w14:paraId="7DF67986" w14:textId="77777777" w:rsidR="003C7E8B" w:rsidRPr="00DB5D0D" w:rsidRDefault="003C7E8B" w:rsidP="00DB5D0D">
      <w:pPr>
        <w:pStyle w:val="24"/>
        <w:widowControl/>
        <w:rPr>
          <w:color w:val="000000" w:themeColor="text1"/>
        </w:rPr>
      </w:pPr>
      <w:r w:rsidRPr="00DB5D0D">
        <w:rPr>
          <w:color w:val="000000" w:themeColor="text1"/>
        </w:rPr>
        <w:t>в) десантном</w:t>
      </w:r>
    </w:p>
    <w:p w14:paraId="73A0F666" w14:textId="77777777" w:rsidR="003C7E8B" w:rsidRPr="00DB5D0D" w:rsidRDefault="003C7E8B" w:rsidP="00DB5D0D">
      <w:pPr>
        <w:pStyle w:val="24"/>
        <w:widowControl/>
        <w:tabs>
          <w:tab w:val="left" w:pos="360"/>
        </w:tabs>
        <w:rPr>
          <w:color w:val="000000" w:themeColor="text1"/>
        </w:rPr>
      </w:pPr>
      <w:r w:rsidRPr="00DB5D0D">
        <w:rPr>
          <w:color w:val="000000" w:themeColor="text1"/>
        </w:rPr>
        <w:t>Проверить соответствие всех вариантов тактико-техническим требованиям и установить возможность принятия самолета на вооружение ВВС.</w:t>
      </w:r>
    </w:p>
    <w:p w14:paraId="0119967A" w14:textId="77777777" w:rsidR="003C7E8B" w:rsidRPr="00DB5D0D" w:rsidRDefault="003C7E8B" w:rsidP="00DB5D0D">
      <w:pPr>
        <w:pStyle w:val="24"/>
        <w:widowControl/>
        <w:rPr>
          <w:color w:val="000000" w:themeColor="text1"/>
        </w:rPr>
      </w:pPr>
      <w:r w:rsidRPr="00DB5D0D">
        <w:rPr>
          <w:color w:val="000000" w:themeColor="text1"/>
        </w:rPr>
        <w:t>Пассажирский самолет ПС-84 проходил земные и летные испытания в НИИ ГВФ с 3 сентября по 17 декабря 1939 года с производством 166 полетов продолжительностью 73 часа 45 минут.</w:t>
      </w:r>
    </w:p>
    <w:p w14:paraId="4DAE7DB1" w14:textId="77777777" w:rsidR="003C7E8B" w:rsidRPr="00DB5D0D" w:rsidRDefault="003C7E8B" w:rsidP="00DB5D0D">
      <w:pPr>
        <w:pStyle w:val="24"/>
        <w:widowControl/>
        <w:rPr>
          <w:color w:val="000000" w:themeColor="text1"/>
        </w:rPr>
      </w:pPr>
      <w:r w:rsidRPr="00DB5D0D">
        <w:rPr>
          <w:color w:val="000000" w:themeColor="text1"/>
        </w:rPr>
        <w:t>Самолет цельнометаллический моноплан с низкорасположенным крылом, оборудован двумя моторами М-62-ИР мощностью 820 л.с. Представленный самолет разнится от пассажирского только внутренним оборудованием пассажирской кабины и вырезом грузовой двери в левом борту.</w:t>
      </w:r>
    </w:p>
    <w:p w14:paraId="3A18D20F" w14:textId="77777777" w:rsidR="003C7E8B" w:rsidRPr="00DB5D0D" w:rsidRDefault="003C7E8B" w:rsidP="00DB5D0D">
      <w:pPr>
        <w:pStyle w:val="24"/>
        <w:widowControl/>
        <w:rPr>
          <w:color w:val="000000" w:themeColor="text1"/>
        </w:rPr>
      </w:pPr>
      <w:r w:rsidRPr="00DB5D0D">
        <w:rPr>
          <w:color w:val="000000" w:themeColor="text1"/>
        </w:rPr>
        <w:t>Вооружение на самолете не предусмотрено.</w:t>
      </w:r>
    </w:p>
    <w:p w14:paraId="653F57D3" w14:textId="77777777" w:rsidR="003C7E8B" w:rsidRPr="00DB5D0D" w:rsidRDefault="003C7E8B" w:rsidP="00DB5D0D">
      <w:pPr>
        <w:pStyle w:val="24"/>
        <w:widowControl/>
        <w:rPr>
          <w:color w:val="000000" w:themeColor="text1"/>
        </w:rPr>
      </w:pPr>
      <w:r w:rsidRPr="00DB5D0D">
        <w:rPr>
          <w:color w:val="000000" w:themeColor="text1"/>
        </w:rPr>
        <w:t>Госиспытания самолета ПС-84 в транспортном, десантном и санитарном вариантах производились в НИИ ВВС с 11 мая по 29 июня 1940 года. Во время испытаний произведено 56 полетов продолжительностью 34 часа 42 минуты.</w:t>
      </w:r>
    </w:p>
    <w:p w14:paraId="4A191357" w14:textId="77777777" w:rsidR="003C7E8B" w:rsidRPr="00DB5D0D" w:rsidRDefault="003C7E8B" w:rsidP="00DB5D0D">
      <w:pPr>
        <w:pStyle w:val="24"/>
        <w:widowControl/>
        <w:rPr>
          <w:color w:val="000000" w:themeColor="text1"/>
        </w:rPr>
      </w:pPr>
      <w:r w:rsidRPr="00DB5D0D">
        <w:rPr>
          <w:color w:val="000000" w:themeColor="text1"/>
        </w:rPr>
        <w:t>Заключение</w:t>
      </w:r>
    </w:p>
    <w:p w14:paraId="3F07DAB4" w14:textId="77777777" w:rsidR="003C7E8B" w:rsidRPr="00DB5D0D" w:rsidRDefault="003C7E8B" w:rsidP="00DB5D0D">
      <w:pPr>
        <w:pStyle w:val="24"/>
        <w:widowControl/>
        <w:rPr>
          <w:color w:val="000000" w:themeColor="text1"/>
        </w:rPr>
      </w:pPr>
      <w:r w:rsidRPr="00DB5D0D">
        <w:rPr>
          <w:color w:val="000000" w:themeColor="text1"/>
        </w:rPr>
        <w:t>Самолет ПС-84 в военных вариантах:</w:t>
      </w:r>
    </w:p>
    <w:p w14:paraId="2B5E0D06" w14:textId="77777777" w:rsidR="003C7E8B" w:rsidRPr="00DB5D0D" w:rsidRDefault="003C7E8B" w:rsidP="00DB5D0D">
      <w:pPr>
        <w:pStyle w:val="24"/>
        <w:widowControl/>
        <w:rPr>
          <w:color w:val="000000" w:themeColor="text1"/>
        </w:rPr>
      </w:pPr>
      <w:r w:rsidRPr="00DB5D0D">
        <w:rPr>
          <w:color w:val="000000" w:themeColor="text1"/>
        </w:rPr>
        <w:t>а) транспортном;</w:t>
      </w:r>
    </w:p>
    <w:p w14:paraId="52266CA8" w14:textId="77777777" w:rsidR="003C7E8B" w:rsidRPr="00DB5D0D" w:rsidRDefault="003C7E8B" w:rsidP="00DB5D0D">
      <w:pPr>
        <w:pStyle w:val="24"/>
        <w:widowControl/>
        <w:rPr>
          <w:color w:val="000000" w:themeColor="text1"/>
        </w:rPr>
      </w:pPr>
      <w:r w:rsidRPr="00DB5D0D">
        <w:rPr>
          <w:color w:val="000000" w:themeColor="text1"/>
        </w:rPr>
        <w:t>б) санитарном;</w:t>
      </w:r>
    </w:p>
    <w:p w14:paraId="27233BD4" w14:textId="77777777" w:rsidR="003C7E8B" w:rsidRPr="00DB5D0D" w:rsidRDefault="003C7E8B" w:rsidP="00DB5D0D">
      <w:pPr>
        <w:pStyle w:val="24"/>
        <w:widowControl/>
        <w:rPr>
          <w:color w:val="000000" w:themeColor="text1"/>
        </w:rPr>
      </w:pPr>
      <w:r w:rsidRPr="00DB5D0D">
        <w:rPr>
          <w:color w:val="000000" w:themeColor="text1"/>
        </w:rPr>
        <w:t>в) десантном</w:t>
      </w:r>
    </w:p>
    <w:p w14:paraId="0DBB02D8" w14:textId="77777777" w:rsidR="003C7E8B" w:rsidRPr="00DB5D0D" w:rsidRDefault="003C7E8B" w:rsidP="00DB5D0D">
      <w:pPr>
        <w:pStyle w:val="24"/>
        <w:widowControl/>
        <w:rPr>
          <w:color w:val="000000" w:themeColor="text1"/>
        </w:rPr>
      </w:pPr>
      <w:r w:rsidRPr="00DB5D0D">
        <w:rPr>
          <w:color w:val="000000" w:themeColor="text1"/>
        </w:rPr>
        <w:t>прошел госиспытания удовлетворительно и рекомендуется к принятию на вооружение ВВС.</w:t>
      </w:r>
    </w:p>
    <w:p w14:paraId="5A68CF3D" w14:textId="77777777" w:rsidR="003C7E8B" w:rsidRPr="00DB5D0D" w:rsidRDefault="003C7E8B" w:rsidP="00DB5D0D">
      <w:pPr>
        <w:pStyle w:val="24"/>
        <w:widowControl/>
        <w:rPr>
          <w:color w:val="000000" w:themeColor="text1"/>
        </w:rPr>
      </w:pPr>
      <w:r w:rsidRPr="00DB5D0D">
        <w:rPr>
          <w:color w:val="000000" w:themeColor="text1"/>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7229"/>
        <w:gridCol w:w="1418"/>
      </w:tblGrid>
      <w:tr w:rsidR="007D5DF8" w:rsidRPr="00DB5D0D" w14:paraId="64D6487F" w14:textId="77777777" w:rsidTr="00E543D0">
        <w:tc>
          <w:tcPr>
            <w:tcW w:w="1951" w:type="dxa"/>
          </w:tcPr>
          <w:p w14:paraId="01E34EE6" w14:textId="77777777" w:rsidR="003C7E8B" w:rsidRPr="00DB5D0D" w:rsidRDefault="003C7E8B" w:rsidP="00DB5D0D">
            <w:pPr>
              <w:pStyle w:val="24"/>
              <w:widowControl/>
              <w:rPr>
                <w:color w:val="000000" w:themeColor="text1"/>
              </w:rPr>
            </w:pPr>
            <w:r w:rsidRPr="00DB5D0D">
              <w:rPr>
                <w:color w:val="000000" w:themeColor="text1"/>
              </w:rPr>
              <w:t>Дата</w:t>
            </w:r>
          </w:p>
        </w:tc>
        <w:tc>
          <w:tcPr>
            <w:tcW w:w="7229" w:type="dxa"/>
          </w:tcPr>
          <w:p w14:paraId="08568B13" w14:textId="77777777" w:rsidR="003C7E8B" w:rsidRPr="00DB5D0D" w:rsidRDefault="003C7E8B" w:rsidP="00DB5D0D">
            <w:pPr>
              <w:pStyle w:val="24"/>
              <w:widowControl/>
              <w:rPr>
                <w:color w:val="000000" w:themeColor="text1"/>
              </w:rPr>
            </w:pPr>
            <w:r w:rsidRPr="00DB5D0D">
              <w:rPr>
                <w:color w:val="000000" w:themeColor="text1"/>
              </w:rPr>
              <w:t>Выполняемая работа</w:t>
            </w:r>
          </w:p>
        </w:tc>
        <w:tc>
          <w:tcPr>
            <w:tcW w:w="1418" w:type="dxa"/>
          </w:tcPr>
          <w:p w14:paraId="7B22103F" w14:textId="77777777" w:rsidR="003C7E8B" w:rsidRPr="00DB5D0D" w:rsidRDefault="003C7E8B" w:rsidP="00DB5D0D">
            <w:pPr>
              <w:pStyle w:val="24"/>
              <w:widowControl/>
              <w:rPr>
                <w:color w:val="000000" w:themeColor="text1"/>
              </w:rPr>
            </w:pPr>
            <w:r w:rsidRPr="00DB5D0D">
              <w:rPr>
                <w:color w:val="000000" w:themeColor="text1"/>
              </w:rPr>
              <w:t>Продолжительность</w:t>
            </w:r>
          </w:p>
        </w:tc>
      </w:tr>
      <w:tr w:rsidR="007D5DF8" w:rsidRPr="00DB5D0D" w14:paraId="428AE46A" w14:textId="77777777" w:rsidTr="00E543D0">
        <w:tc>
          <w:tcPr>
            <w:tcW w:w="1951" w:type="dxa"/>
          </w:tcPr>
          <w:p w14:paraId="0BA8185E" w14:textId="77777777" w:rsidR="003C7E8B" w:rsidRPr="00DB5D0D" w:rsidRDefault="003C7E8B" w:rsidP="00DB5D0D">
            <w:pPr>
              <w:pStyle w:val="24"/>
              <w:widowControl/>
              <w:rPr>
                <w:color w:val="000000" w:themeColor="text1"/>
              </w:rPr>
            </w:pPr>
            <w:r w:rsidRPr="00DB5D0D">
              <w:rPr>
                <w:color w:val="000000" w:themeColor="text1"/>
              </w:rPr>
              <w:t>10 мая 1940 года</w:t>
            </w:r>
          </w:p>
        </w:tc>
        <w:tc>
          <w:tcPr>
            <w:tcW w:w="7229" w:type="dxa"/>
          </w:tcPr>
          <w:p w14:paraId="4ABB74A9" w14:textId="77777777" w:rsidR="003C7E8B" w:rsidRPr="00DB5D0D" w:rsidRDefault="003C7E8B" w:rsidP="00DB5D0D">
            <w:pPr>
              <w:pStyle w:val="24"/>
              <w:widowControl/>
              <w:rPr>
                <w:color w:val="000000" w:themeColor="text1"/>
              </w:rPr>
            </w:pPr>
            <w:r w:rsidRPr="00DB5D0D">
              <w:rPr>
                <w:color w:val="000000" w:themeColor="text1"/>
              </w:rPr>
              <w:t>Перегонка самолета с завода на аэродром</w:t>
            </w:r>
          </w:p>
        </w:tc>
        <w:tc>
          <w:tcPr>
            <w:tcW w:w="1418" w:type="dxa"/>
          </w:tcPr>
          <w:p w14:paraId="14775F2C" w14:textId="77777777" w:rsidR="003C7E8B" w:rsidRPr="00DB5D0D" w:rsidRDefault="003C7E8B" w:rsidP="00DB5D0D">
            <w:pPr>
              <w:pStyle w:val="24"/>
              <w:widowControl/>
              <w:rPr>
                <w:color w:val="000000" w:themeColor="text1"/>
              </w:rPr>
            </w:pPr>
            <w:r w:rsidRPr="00DB5D0D">
              <w:rPr>
                <w:color w:val="000000" w:themeColor="text1"/>
              </w:rPr>
              <w:t>40 мин.</w:t>
            </w:r>
          </w:p>
        </w:tc>
      </w:tr>
      <w:tr w:rsidR="007D5DF8" w:rsidRPr="00DB5D0D" w14:paraId="0EBA53D6" w14:textId="77777777" w:rsidTr="00E543D0">
        <w:tc>
          <w:tcPr>
            <w:tcW w:w="1951" w:type="dxa"/>
          </w:tcPr>
          <w:p w14:paraId="656990A5" w14:textId="77777777" w:rsidR="003C7E8B" w:rsidRPr="00DB5D0D" w:rsidRDefault="003C7E8B" w:rsidP="00DB5D0D">
            <w:pPr>
              <w:pStyle w:val="24"/>
              <w:widowControl/>
              <w:rPr>
                <w:color w:val="000000" w:themeColor="text1"/>
              </w:rPr>
            </w:pPr>
            <w:r w:rsidRPr="00DB5D0D">
              <w:rPr>
                <w:color w:val="000000" w:themeColor="text1"/>
              </w:rPr>
              <w:t>13 мая 1940 года</w:t>
            </w:r>
          </w:p>
        </w:tc>
        <w:tc>
          <w:tcPr>
            <w:tcW w:w="7229" w:type="dxa"/>
          </w:tcPr>
          <w:p w14:paraId="1DDEF77D" w14:textId="77777777" w:rsidR="003C7E8B" w:rsidRPr="00DB5D0D" w:rsidRDefault="003C7E8B" w:rsidP="00DB5D0D">
            <w:pPr>
              <w:pStyle w:val="24"/>
              <w:widowControl/>
              <w:rPr>
                <w:color w:val="000000" w:themeColor="text1"/>
              </w:rPr>
            </w:pPr>
            <w:r w:rsidRPr="00DB5D0D">
              <w:rPr>
                <w:color w:val="000000" w:themeColor="text1"/>
              </w:rPr>
              <w:t>Тренировка летчика</w:t>
            </w:r>
          </w:p>
        </w:tc>
        <w:tc>
          <w:tcPr>
            <w:tcW w:w="1418" w:type="dxa"/>
          </w:tcPr>
          <w:p w14:paraId="0DC93F52" w14:textId="77777777" w:rsidR="003C7E8B" w:rsidRPr="00DB5D0D" w:rsidRDefault="003C7E8B" w:rsidP="00DB5D0D">
            <w:pPr>
              <w:pStyle w:val="24"/>
              <w:widowControl/>
              <w:rPr>
                <w:color w:val="000000" w:themeColor="text1"/>
              </w:rPr>
            </w:pPr>
            <w:r w:rsidRPr="00DB5D0D">
              <w:rPr>
                <w:color w:val="000000" w:themeColor="text1"/>
              </w:rPr>
              <w:t>4 полета</w:t>
            </w:r>
          </w:p>
          <w:p w14:paraId="7C8ED625" w14:textId="77777777" w:rsidR="003C7E8B" w:rsidRPr="00DB5D0D" w:rsidRDefault="003C7E8B" w:rsidP="00DB5D0D">
            <w:pPr>
              <w:pStyle w:val="24"/>
              <w:widowControl/>
              <w:rPr>
                <w:color w:val="000000" w:themeColor="text1"/>
              </w:rPr>
            </w:pPr>
            <w:r w:rsidRPr="00DB5D0D">
              <w:rPr>
                <w:color w:val="000000" w:themeColor="text1"/>
              </w:rPr>
              <w:t>35 мин.</w:t>
            </w:r>
          </w:p>
        </w:tc>
      </w:tr>
      <w:tr w:rsidR="007D5DF8" w:rsidRPr="00DB5D0D" w14:paraId="21EA8BCB" w14:textId="77777777" w:rsidTr="00E543D0">
        <w:tc>
          <w:tcPr>
            <w:tcW w:w="1951" w:type="dxa"/>
          </w:tcPr>
          <w:p w14:paraId="1D2EFF1A" w14:textId="77777777" w:rsidR="003C7E8B" w:rsidRPr="00DB5D0D" w:rsidRDefault="003C7E8B" w:rsidP="00DB5D0D">
            <w:pPr>
              <w:pStyle w:val="24"/>
              <w:widowControl/>
              <w:rPr>
                <w:color w:val="000000" w:themeColor="text1"/>
              </w:rPr>
            </w:pPr>
            <w:r w:rsidRPr="00DB5D0D">
              <w:rPr>
                <w:color w:val="000000" w:themeColor="text1"/>
              </w:rPr>
              <w:t>16 мая 1940 года</w:t>
            </w:r>
          </w:p>
        </w:tc>
        <w:tc>
          <w:tcPr>
            <w:tcW w:w="7229" w:type="dxa"/>
          </w:tcPr>
          <w:p w14:paraId="2EFD516D" w14:textId="77777777" w:rsidR="003C7E8B" w:rsidRPr="00DB5D0D" w:rsidRDefault="003C7E8B" w:rsidP="00DB5D0D">
            <w:pPr>
              <w:pStyle w:val="24"/>
              <w:widowControl/>
              <w:rPr>
                <w:color w:val="000000" w:themeColor="text1"/>
              </w:rPr>
            </w:pPr>
            <w:r w:rsidRPr="00DB5D0D">
              <w:rPr>
                <w:color w:val="000000" w:themeColor="text1"/>
              </w:rPr>
              <w:t>Тренировочный полет с грузом</w:t>
            </w:r>
          </w:p>
        </w:tc>
        <w:tc>
          <w:tcPr>
            <w:tcW w:w="1418" w:type="dxa"/>
          </w:tcPr>
          <w:p w14:paraId="4729994A" w14:textId="77777777" w:rsidR="003C7E8B" w:rsidRPr="00DB5D0D" w:rsidRDefault="003C7E8B" w:rsidP="00DB5D0D">
            <w:pPr>
              <w:pStyle w:val="24"/>
              <w:widowControl/>
              <w:rPr>
                <w:color w:val="000000" w:themeColor="text1"/>
              </w:rPr>
            </w:pPr>
            <w:r w:rsidRPr="00DB5D0D">
              <w:rPr>
                <w:color w:val="000000" w:themeColor="text1"/>
              </w:rPr>
              <w:t>37 мин.</w:t>
            </w:r>
          </w:p>
        </w:tc>
      </w:tr>
      <w:tr w:rsidR="007D5DF8" w:rsidRPr="00DB5D0D" w14:paraId="42C6C8B2" w14:textId="77777777" w:rsidTr="00E543D0">
        <w:tc>
          <w:tcPr>
            <w:tcW w:w="1951" w:type="dxa"/>
          </w:tcPr>
          <w:p w14:paraId="3E01B167" w14:textId="77777777" w:rsidR="003C7E8B" w:rsidRPr="00DB5D0D" w:rsidRDefault="003C7E8B" w:rsidP="00DB5D0D">
            <w:pPr>
              <w:pStyle w:val="24"/>
              <w:widowControl/>
              <w:rPr>
                <w:color w:val="000000" w:themeColor="text1"/>
              </w:rPr>
            </w:pPr>
            <w:r w:rsidRPr="00DB5D0D">
              <w:rPr>
                <w:color w:val="000000" w:themeColor="text1"/>
              </w:rPr>
              <w:t>19 мая 1940 года</w:t>
            </w:r>
          </w:p>
        </w:tc>
        <w:tc>
          <w:tcPr>
            <w:tcW w:w="7229" w:type="dxa"/>
          </w:tcPr>
          <w:p w14:paraId="61FFA145" w14:textId="77777777" w:rsidR="003C7E8B" w:rsidRPr="00DB5D0D" w:rsidRDefault="003C7E8B" w:rsidP="00DB5D0D">
            <w:pPr>
              <w:pStyle w:val="24"/>
              <w:widowControl/>
              <w:rPr>
                <w:color w:val="000000" w:themeColor="text1"/>
              </w:rPr>
            </w:pPr>
            <w:r w:rsidRPr="00DB5D0D">
              <w:rPr>
                <w:color w:val="000000" w:themeColor="text1"/>
              </w:rPr>
              <w:t>Полет в Рязань и обратно</w:t>
            </w:r>
          </w:p>
        </w:tc>
        <w:tc>
          <w:tcPr>
            <w:tcW w:w="1418" w:type="dxa"/>
          </w:tcPr>
          <w:p w14:paraId="26DAC0A4" w14:textId="77777777" w:rsidR="003C7E8B" w:rsidRPr="00DB5D0D" w:rsidRDefault="003C7E8B" w:rsidP="00DB5D0D">
            <w:pPr>
              <w:pStyle w:val="24"/>
              <w:widowControl/>
              <w:rPr>
                <w:color w:val="000000" w:themeColor="text1"/>
              </w:rPr>
            </w:pPr>
            <w:r w:rsidRPr="00DB5D0D">
              <w:rPr>
                <w:color w:val="000000" w:themeColor="text1"/>
              </w:rPr>
              <w:t>2 полета</w:t>
            </w:r>
          </w:p>
          <w:p w14:paraId="311D0E9F" w14:textId="77777777" w:rsidR="003C7E8B" w:rsidRPr="00DB5D0D" w:rsidRDefault="003C7E8B" w:rsidP="00DB5D0D">
            <w:pPr>
              <w:pStyle w:val="24"/>
              <w:widowControl/>
              <w:rPr>
                <w:color w:val="000000" w:themeColor="text1"/>
              </w:rPr>
            </w:pPr>
            <w:r w:rsidRPr="00DB5D0D">
              <w:rPr>
                <w:color w:val="000000" w:themeColor="text1"/>
              </w:rPr>
              <w:t>2 часа 10 мин.</w:t>
            </w:r>
          </w:p>
        </w:tc>
      </w:tr>
      <w:tr w:rsidR="007D5DF8" w:rsidRPr="00DB5D0D" w14:paraId="10462A85" w14:textId="77777777" w:rsidTr="00E543D0">
        <w:tc>
          <w:tcPr>
            <w:tcW w:w="1951" w:type="dxa"/>
          </w:tcPr>
          <w:p w14:paraId="5F0E33D2" w14:textId="77777777" w:rsidR="003C7E8B" w:rsidRPr="00DB5D0D" w:rsidRDefault="003C7E8B" w:rsidP="00DB5D0D">
            <w:pPr>
              <w:pStyle w:val="24"/>
              <w:widowControl/>
              <w:rPr>
                <w:color w:val="000000" w:themeColor="text1"/>
              </w:rPr>
            </w:pPr>
            <w:r w:rsidRPr="00DB5D0D">
              <w:rPr>
                <w:color w:val="000000" w:themeColor="text1"/>
              </w:rPr>
              <w:t>20 мая 1940 года</w:t>
            </w:r>
          </w:p>
        </w:tc>
        <w:tc>
          <w:tcPr>
            <w:tcW w:w="7229" w:type="dxa"/>
          </w:tcPr>
          <w:p w14:paraId="3EE6F35A" w14:textId="77777777" w:rsidR="003C7E8B" w:rsidRPr="00DB5D0D" w:rsidRDefault="003C7E8B" w:rsidP="00DB5D0D">
            <w:pPr>
              <w:pStyle w:val="24"/>
              <w:widowControl/>
              <w:rPr>
                <w:color w:val="000000" w:themeColor="text1"/>
              </w:rPr>
            </w:pPr>
            <w:r w:rsidRPr="00DB5D0D">
              <w:rPr>
                <w:color w:val="000000" w:themeColor="text1"/>
              </w:rPr>
              <w:t>Полет на определение границы высотности мотора</w:t>
            </w:r>
          </w:p>
        </w:tc>
        <w:tc>
          <w:tcPr>
            <w:tcW w:w="1418" w:type="dxa"/>
          </w:tcPr>
          <w:p w14:paraId="3D12AB66" w14:textId="77777777" w:rsidR="003C7E8B" w:rsidRPr="00DB5D0D" w:rsidRDefault="003C7E8B" w:rsidP="00DB5D0D">
            <w:pPr>
              <w:pStyle w:val="24"/>
              <w:widowControl/>
              <w:rPr>
                <w:color w:val="000000" w:themeColor="text1"/>
              </w:rPr>
            </w:pPr>
            <w:r w:rsidRPr="00DB5D0D">
              <w:rPr>
                <w:color w:val="000000" w:themeColor="text1"/>
              </w:rPr>
              <w:t>1 час. 10 мин.</w:t>
            </w:r>
          </w:p>
        </w:tc>
      </w:tr>
      <w:tr w:rsidR="007D5DF8" w:rsidRPr="00DB5D0D" w14:paraId="414FA266" w14:textId="77777777" w:rsidTr="00E543D0">
        <w:tc>
          <w:tcPr>
            <w:tcW w:w="1951" w:type="dxa"/>
          </w:tcPr>
          <w:p w14:paraId="6ED9E836" w14:textId="77777777" w:rsidR="003C7E8B" w:rsidRPr="00DB5D0D" w:rsidRDefault="003C7E8B" w:rsidP="00DB5D0D">
            <w:pPr>
              <w:pStyle w:val="24"/>
              <w:widowControl/>
              <w:rPr>
                <w:color w:val="000000" w:themeColor="text1"/>
              </w:rPr>
            </w:pPr>
            <w:r w:rsidRPr="00DB5D0D">
              <w:rPr>
                <w:color w:val="000000" w:themeColor="text1"/>
              </w:rPr>
              <w:t>21 мая 1940 года</w:t>
            </w:r>
          </w:p>
        </w:tc>
        <w:tc>
          <w:tcPr>
            <w:tcW w:w="7229" w:type="dxa"/>
          </w:tcPr>
          <w:p w14:paraId="38AE4CCA" w14:textId="77777777" w:rsidR="003C7E8B" w:rsidRPr="00DB5D0D" w:rsidRDefault="003C7E8B" w:rsidP="00DB5D0D">
            <w:pPr>
              <w:pStyle w:val="24"/>
              <w:widowControl/>
              <w:rPr>
                <w:color w:val="000000" w:themeColor="text1"/>
              </w:rPr>
            </w:pPr>
            <w:r w:rsidRPr="00DB5D0D">
              <w:rPr>
                <w:color w:val="000000" w:themeColor="text1"/>
              </w:rPr>
              <w:t>Полет на скороподъемность</w:t>
            </w:r>
          </w:p>
        </w:tc>
        <w:tc>
          <w:tcPr>
            <w:tcW w:w="1418" w:type="dxa"/>
          </w:tcPr>
          <w:p w14:paraId="11C4ADE3" w14:textId="77777777" w:rsidR="003C7E8B" w:rsidRPr="00DB5D0D" w:rsidRDefault="003C7E8B" w:rsidP="00DB5D0D">
            <w:pPr>
              <w:pStyle w:val="24"/>
              <w:widowControl/>
              <w:rPr>
                <w:color w:val="000000" w:themeColor="text1"/>
              </w:rPr>
            </w:pPr>
            <w:r w:rsidRPr="00DB5D0D">
              <w:rPr>
                <w:color w:val="000000" w:themeColor="text1"/>
              </w:rPr>
              <w:t>1 час 40 мин.</w:t>
            </w:r>
          </w:p>
        </w:tc>
      </w:tr>
      <w:tr w:rsidR="007D5DF8" w:rsidRPr="00DB5D0D" w14:paraId="2C9E9F6E" w14:textId="77777777" w:rsidTr="00E543D0">
        <w:tc>
          <w:tcPr>
            <w:tcW w:w="1951" w:type="dxa"/>
          </w:tcPr>
          <w:p w14:paraId="27160117" w14:textId="77777777" w:rsidR="003C7E8B" w:rsidRPr="00DB5D0D" w:rsidRDefault="003C7E8B" w:rsidP="00DB5D0D">
            <w:pPr>
              <w:pStyle w:val="24"/>
              <w:widowControl/>
              <w:rPr>
                <w:color w:val="000000" w:themeColor="text1"/>
              </w:rPr>
            </w:pPr>
            <w:r w:rsidRPr="00DB5D0D">
              <w:rPr>
                <w:color w:val="000000" w:themeColor="text1"/>
              </w:rPr>
              <w:t>29 мая 1940 года</w:t>
            </w:r>
          </w:p>
        </w:tc>
        <w:tc>
          <w:tcPr>
            <w:tcW w:w="7229" w:type="dxa"/>
          </w:tcPr>
          <w:p w14:paraId="1234A7A0" w14:textId="77777777" w:rsidR="003C7E8B" w:rsidRPr="00DB5D0D" w:rsidRDefault="003C7E8B" w:rsidP="00DB5D0D">
            <w:pPr>
              <w:pStyle w:val="24"/>
              <w:widowControl/>
              <w:rPr>
                <w:color w:val="000000" w:themeColor="text1"/>
              </w:rPr>
            </w:pPr>
            <w:r w:rsidRPr="00DB5D0D">
              <w:rPr>
                <w:color w:val="000000" w:themeColor="text1"/>
              </w:rPr>
              <w:t>Пробный полет после аварии</w:t>
            </w:r>
          </w:p>
        </w:tc>
        <w:tc>
          <w:tcPr>
            <w:tcW w:w="1418" w:type="dxa"/>
          </w:tcPr>
          <w:p w14:paraId="090F578E" w14:textId="77777777" w:rsidR="003C7E8B" w:rsidRPr="00DB5D0D" w:rsidRDefault="003C7E8B" w:rsidP="00DB5D0D">
            <w:pPr>
              <w:pStyle w:val="24"/>
              <w:widowControl/>
              <w:rPr>
                <w:color w:val="000000" w:themeColor="text1"/>
              </w:rPr>
            </w:pPr>
            <w:r w:rsidRPr="00DB5D0D">
              <w:rPr>
                <w:color w:val="000000" w:themeColor="text1"/>
              </w:rPr>
              <w:t>30 мин.</w:t>
            </w:r>
          </w:p>
        </w:tc>
      </w:tr>
      <w:tr w:rsidR="007D5DF8" w:rsidRPr="00DB5D0D" w14:paraId="0B2F4D20" w14:textId="77777777" w:rsidTr="00E543D0">
        <w:tc>
          <w:tcPr>
            <w:tcW w:w="1951" w:type="dxa"/>
          </w:tcPr>
          <w:p w14:paraId="5C570551" w14:textId="77777777" w:rsidR="003C7E8B" w:rsidRPr="00DB5D0D" w:rsidRDefault="003C7E8B" w:rsidP="00DB5D0D">
            <w:pPr>
              <w:pStyle w:val="24"/>
              <w:widowControl/>
              <w:rPr>
                <w:color w:val="000000" w:themeColor="text1"/>
              </w:rPr>
            </w:pPr>
            <w:r w:rsidRPr="00DB5D0D">
              <w:rPr>
                <w:color w:val="000000" w:themeColor="text1"/>
              </w:rPr>
              <w:t>31 мая 1940 года</w:t>
            </w:r>
          </w:p>
        </w:tc>
        <w:tc>
          <w:tcPr>
            <w:tcW w:w="7229" w:type="dxa"/>
          </w:tcPr>
          <w:p w14:paraId="1173E3C6" w14:textId="77777777" w:rsidR="003C7E8B" w:rsidRPr="00DB5D0D" w:rsidRDefault="003C7E8B" w:rsidP="00DB5D0D">
            <w:pPr>
              <w:pStyle w:val="24"/>
              <w:widowControl/>
              <w:rPr>
                <w:color w:val="000000" w:themeColor="text1"/>
              </w:rPr>
            </w:pPr>
            <w:r w:rsidRPr="00DB5D0D">
              <w:rPr>
                <w:color w:val="000000" w:themeColor="text1"/>
              </w:rPr>
              <w:t>Полет на Центральный аэродром и обратно</w:t>
            </w:r>
          </w:p>
        </w:tc>
        <w:tc>
          <w:tcPr>
            <w:tcW w:w="1418" w:type="dxa"/>
          </w:tcPr>
          <w:p w14:paraId="25F5D343" w14:textId="77777777" w:rsidR="003C7E8B" w:rsidRPr="00DB5D0D" w:rsidRDefault="003C7E8B" w:rsidP="00DB5D0D">
            <w:pPr>
              <w:pStyle w:val="24"/>
              <w:widowControl/>
              <w:rPr>
                <w:color w:val="000000" w:themeColor="text1"/>
              </w:rPr>
            </w:pPr>
            <w:r w:rsidRPr="00DB5D0D">
              <w:rPr>
                <w:color w:val="000000" w:themeColor="text1"/>
              </w:rPr>
              <w:t>2 полета</w:t>
            </w:r>
          </w:p>
          <w:p w14:paraId="62B66AE2" w14:textId="77777777" w:rsidR="003C7E8B" w:rsidRPr="00DB5D0D" w:rsidRDefault="003C7E8B" w:rsidP="00DB5D0D">
            <w:pPr>
              <w:pStyle w:val="24"/>
              <w:widowControl/>
              <w:rPr>
                <w:color w:val="000000" w:themeColor="text1"/>
              </w:rPr>
            </w:pPr>
            <w:r w:rsidRPr="00DB5D0D">
              <w:rPr>
                <w:color w:val="000000" w:themeColor="text1"/>
              </w:rPr>
              <w:t>40 мин.</w:t>
            </w:r>
          </w:p>
        </w:tc>
      </w:tr>
      <w:tr w:rsidR="007D5DF8" w:rsidRPr="00DB5D0D" w14:paraId="31A9F1EA" w14:textId="77777777" w:rsidTr="00E543D0">
        <w:tc>
          <w:tcPr>
            <w:tcW w:w="1951" w:type="dxa"/>
          </w:tcPr>
          <w:p w14:paraId="30AE831E" w14:textId="77777777" w:rsidR="003C7E8B" w:rsidRPr="00DB5D0D" w:rsidRDefault="003C7E8B" w:rsidP="00DB5D0D">
            <w:pPr>
              <w:pStyle w:val="24"/>
              <w:widowControl/>
              <w:rPr>
                <w:color w:val="000000" w:themeColor="text1"/>
              </w:rPr>
            </w:pPr>
            <w:r w:rsidRPr="00DB5D0D">
              <w:rPr>
                <w:color w:val="000000" w:themeColor="text1"/>
              </w:rPr>
              <w:t>3 июня 1940 года</w:t>
            </w:r>
          </w:p>
        </w:tc>
        <w:tc>
          <w:tcPr>
            <w:tcW w:w="7229" w:type="dxa"/>
          </w:tcPr>
          <w:p w14:paraId="31E8DC1C" w14:textId="77777777" w:rsidR="003C7E8B" w:rsidRPr="00DB5D0D" w:rsidRDefault="003C7E8B" w:rsidP="00DB5D0D">
            <w:pPr>
              <w:pStyle w:val="24"/>
              <w:widowControl/>
              <w:rPr>
                <w:color w:val="000000" w:themeColor="text1"/>
              </w:rPr>
            </w:pPr>
            <w:r w:rsidRPr="00DB5D0D">
              <w:rPr>
                <w:color w:val="000000" w:themeColor="text1"/>
              </w:rPr>
              <w:t>Пробный полет на уборку и выпуск шасси</w:t>
            </w:r>
          </w:p>
        </w:tc>
        <w:tc>
          <w:tcPr>
            <w:tcW w:w="1418" w:type="dxa"/>
          </w:tcPr>
          <w:p w14:paraId="4D50D937" w14:textId="77777777" w:rsidR="003C7E8B" w:rsidRPr="00DB5D0D" w:rsidRDefault="003C7E8B" w:rsidP="00DB5D0D">
            <w:pPr>
              <w:pStyle w:val="24"/>
              <w:widowControl/>
              <w:rPr>
                <w:color w:val="000000" w:themeColor="text1"/>
              </w:rPr>
            </w:pPr>
            <w:r w:rsidRPr="00DB5D0D">
              <w:rPr>
                <w:color w:val="000000" w:themeColor="text1"/>
              </w:rPr>
              <w:t>20 мин.</w:t>
            </w:r>
          </w:p>
        </w:tc>
      </w:tr>
      <w:tr w:rsidR="007D5DF8" w:rsidRPr="00DB5D0D" w14:paraId="257C3122" w14:textId="77777777" w:rsidTr="00E543D0">
        <w:tc>
          <w:tcPr>
            <w:tcW w:w="1951" w:type="dxa"/>
          </w:tcPr>
          <w:p w14:paraId="5FB27D2A" w14:textId="77777777" w:rsidR="003C7E8B" w:rsidRPr="00DB5D0D" w:rsidRDefault="003C7E8B" w:rsidP="00DB5D0D">
            <w:pPr>
              <w:pStyle w:val="24"/>
              <w:widowControl/>
              <w:rPr>
                <w:color w:val="000000" w:themeColor="text1"/>
              </w:rPr>
            </w:pPr>
            <w:r w:rsidRPr="00DB5D0D">
              <w:rPr>
                <w:color w:val="000000" w:themeColor="text1"/>
              </w:rPr>
              <w:t>6 июня 1940 года</w:t>
            </w:r>
          </w:p>
        </w:tc>
        <w:tc>
          <w:tcPr>
            <w:tcW w:w="7229" w:type="dxa"/>
          </w:tcPr>
          <w:p w14:paraId="5D78A852" w14:textId="77777777" w:rsidR="003C7E8B" w:rsidRPr="00DB5D0D" w:rsidRDefault="003C7E8B" w:rsidP="00DB5D0D">
            <w:pPr>
              <w:pStyle w:val="24"/>
              <w:widowControl/>
              <w:rPr>
                <w:color w:val="000000" w:themeColor="text1"/>
              </w:rPr>
            </w:pPr>
            <w:r w:rsidRPr="00DB5D0D">
              <w:rPr>
                <w:color w:val="000000" w:themeColor="text1"/>
              </w:rPr>
              <w:t>Растряска ПДББ-100</w:t>
            </w:r>
          </w:p>
        </w:tc>
        <w:tc>
          <w:tcPr>
            <w:tcW w:w="1418" w:type="dxa"/>
          </w:tcPr>
          <w:p w14:paraId="78DE397D" w14:textId="77777777" w:rsidR="003C7E8B" w:rsidRPr="00DB5D0D" w:rsidRDefault="003C7E8B" w:rsidP="00DB5D0D">
            <w:pPr>
              <w:pStyle w:val="24"/>
              <w:widowControl/>
              <w:rPr>
                <w:color w:val="000000" w:themeColor="text1"/>
              </w:rPr>
            </w:pPr>
            <w:r w:rsidRPr="00DB5D0D">
              <w:rPr>
                <w:color w:val="000000" w:themeColor="text1"/>
              </w:rPr>
              <w:t>3 полета</w:t>
            </w:r>
          </w:p>
          <w:p w14:paraId="0050593D" w14:textId="77777777" w:rsidR="003C7E8B" w:rsidRPr="00DB5D0D" w:rsidRDefault="003C7E8B" w:rsidP="00DB5D0D">
            <w:pPr>
              <w:pStyle w:val="24"/>
              <w:widowControl/>
              <w:rPr>
                <w:color w:val="000000" w:themeColor="text1"/>
              </w:rPr>
            </w:pPr>
            <w:r w:rsidRPr="00DB5D0D">
              <w:rPr>
                <w:color w:val="000000" w:themeColor="text1"/>
              </w:rPr>
              <w:t>1 час. 00 мин.</w:t>
            </w:r>
          </w:p>
        </w:tc>
      </w:tr>
      <w:tr w:rsidR="007D5DF8" w:rsidRPr="00DB5D0D" w14:paraId="210C39EC" w14:textId="77777777" w:rsidTr="00E543D0">
        <w:tc>
          <w:tcPr>
            <w:tcW w:w="1951" w:type="dxa"/>
          </w:tcPr>
          <w:p w14:paraId="2875B321" w14:textId="77777777" w:rsidR="003C7E8B" w:rsidRPr="00DB5D0D" w:rsidRDefault="003C7E8B" w:rsidP="00DB5D0D">
            <w:pPr>
              <w:pStyle w:val="24"/>
              <w:widowControl/>
              <w:rPr>
                <w:color w:val="000000" w:themeColor="text1"/>
              </w:rPr>
            </w:pPr>
            <w:r w:rsidRPr="00DB5D0D">
              <w:rPr>
                <w:color w:val="000000" w:themeColor="text1"/>
              </w:rPr>
              <w:t>6 июня 1940 года</w:t>
            </w:r>
          </w:p>
        </w:tc>
        <w:tc>
          <w:tcPr>
            <w:tcW w:w="7229" w:type="dxa"/>
          </w:tcPr>
          <w:p w14:paraId="4665CFAE" w14:textId="77777777" w:rsidR="003C7E8B" w:rsidRPr="00DB5D0D" w:rsidRDefault="003C7E8B" w:rsidP="00DB5D0D">
            <w:pPr>
              <w:pStyle w:val="24"/>
              <w:widowControl/>
              <w:rPr>
                <w:color w:val="000000" w:themeColor="text1"/>
              </w:rPr>
            </w:pPr>
            <w:r w:rsidRPr="00DB5D0D">
              <w:rPr>
                <w:color w:val="000000" w:themeColor="text1"/>
              </w:rPr>
              <w:t>Скороподъемность и сбрасывание ПДББ-100</w:t>
            </w:r>
          </w:p>
        </w:tc>
        <w:tc>
          <w:tcPr>
            <w:tcW w:w="1418" w:type="dxa"/>
          </w:tcPr>
          <w:p w14:paraId="4ADD261E" w14:textId="77777777" w:rsidR="003C7E8B" w:rsidRPr="00DB5D0D" w:rsidRDefault="003C7E8B" w:rsidP="00DB5D0D">
            <w:pPr>
              <w:pStyle w:val="24"/>
              <w:widowControl/>
              <w:rPr>
                <w:color w:val="000000" w:themeColor="text1"/>
              </w:rPr>
            </w:pPr>
            <w:r w:rsidRPr="00DB5D0D">
              <w:rPr>
                <w:color w:val="000000" w:themeColor="text1"/>
              </w:rPr>
              <w:t>2 полета 2 час. 05 мин.</w:t>
            </w:r>
          </w:p>
        </w:tc>
      </w:tr>
      <w:tr w:rsidR="007D5DF8" w:rsidRPr="00DB5D0D" w14:paraId="080DEFEC" w14:textId="77777777" w:rsidTr="00E543D0">
        <w:tc>
          <w:tcPr>
            <w:tcW w:w="1951" w:type="dxa"/>
          </w:tcPr>
          <w:p w14:paraId="6D16D139" w14:textId="77777777" w:rsidR="003C7E8B" w:rsidRPr="00DB5D0D" w:rsidRDefault="003C7E8B" w:rsidP="00DB5D0D">
            <w:pPr>
              <w:pStyle w:val="24"/>
              <w:widowControl/>
              <w:rPr>
                <w:color w:val="000000" w:themeColor="text1"/>
              </w:rPr>
            </w:pPr>
            <w:r w:rsidRPr="00DB5D0D">
              <w:rPr>
                <w:color w:val="000000" w:themeColor="text1"/>
              </w:rPr>
              <w:t>9 июня 1940 года</w:t>
            </w:r>
          </w:p>
        </w:tc>
        <w:tc>
          <w:tcPr>
            <w:tcW w:w="7229" w:type="dxa"/>
          </w:tcPr>
          <w:p w14:paraId="1F656448" w14:textId="77777777" w:rsidR="003C7E8B" w:rsidRPr="00DB5D0D" w:rsidRDefault="003C7E8B" w:rsidP="00DB5D0D">
            <w:pPr>
              <w:pStyle w:val="24"/>
              <w:widowControl/>
              <w:rPr>
                <w:color w:val="000000" w:themeColor="text1"/>
              </w:rPr>
            </w:pPr>
            <w:r w:rsidRPr="00DB5D0D">
              <w:rPr>
                <w:color w:val="000000" w:themeColor="text1"/>
              </w:rPr>
              <w:t>Растряска ПДББ-250</w:t>
            </w:r>
          </w:p>
        </w:tc>
        <w:tc>
          <w:tcPr>
            <w:tcW w:w="1418" w:type="dxa"/>
          </w:tcPr>
          <w:p w14:paraId="0FC4D947" w14:textId="77777777" w:rsidR="003C7E8B" w:rsidRPr="00DB5D0D" w:rsidRDefault="003C7E8B" w:rsidP="00DB5D0D">
            <w:pPr>
              <w:pStyle w:val="24"/>
              <w:widowControl/>
              <w:rPr>
                <w:color w:val="000000" w:themeColor="text1"/>
              </w:rPr>
            </w:pPr>
            <w:r w:rsidRPr="00DB5D0D">
              <w:rPr>
                <w:color w:val="000000" w:themeColor="text1"/>
              </w:rPr>
              <w:t>3 полета</w:t>
            </w:r>
          </w:p>
          <w:p w14:paraId="0DD03856" w14:textId="77777777" w:rsidR="003C7E8B" w:rsidRPr="00DB5D0D" w:rsidRDefault="003C7E8B" w:rsidP="00DB5D0D">
            <w:pPr>
              <w:pStyle w:val="24"/>
              <w:widowControl/>
              <w:rPr>
                <w:color w:val="000000" w:themeColor="text1"/>
              </w:rPr>
            </w:pPr>
            <w:r w:rsidRPr="00DB5D0D">
              <w:rPr>
                <w:color w:val="000000" w:themeColor="text1"/>
              </w:rPr>
              <w:t>40 мин.</w:t>
            </w:r>
          </w:p>
        </w:tc>
      </w:tr>
      <w:tr w:rsidR="007D5DF8" w:rsidRPr="00DB5D0D" w14:paraId="2BCDB0D2" w14:textId="77777777" w:rsidTr="00E543D0">
        <w:tc>
          <w:tcPr>
            <w:tcW w:w="1951" w:type="dxa"/>
          </w:tcPr>
          <w:p w14:paraId="19B9D873" w14:textId="77777777" w:rsidR="003C7E8B" w:rsidRPr="00DB5D0D" w:rsidRDefault="003C7E8B" w:rsidP="00DB5D0D">
            <w:pPr>
              <w:pStyle w:val="24"/>
              <w:widowControl/>
              <w:rPr>
                <w:color w:val="000000" w:themeColor="text1"/>
              </w:rPr>
            </w:pPr>
            <w:r w:rsidRPr="00DB5D0D">
              <w:rPr>
                <w:color w:val="000000" w:themeColor="text1"/>
              </w:rPr>
              <w:lastRenderedPageBreak/>
              <w:t>9 июня 1940 года</w:t>
            </w:r>
          </w:p>
        </w:tc>
        <w:tc>
          <w:tcPr>
            <w:tcW w:w="7229" w:type="dxa"/>
          </w:tcPr>
          <w:p w14:paraId="09B17199" w14:textId="77777777" w:rsidR="003C7E8B" w:rsidRPr="00DB5D0D" w:rsidRDefault="003C7E8B" w:rsidP="00DB5D0D">
            <w:pPr>
              <w:pStyle w:val="24"/>
              <w:widowControl/>
              <w:rPr>
                <w:color w:val="000000" w:themeColor="text1"/>
              </w:rPr>
            </w:pPr>
            <w:r w:rsidRPr="00DB5D0D">
              <w:rPr>
                <w:color w:val="000000" w:themeColor="text1"/>
              </w:rPr>
              <w:t>Сбрасывание ПДББ-250</w:t>
            </w:r>
          </w:p>
        </w:tc>
        <w:tc>
          <w:tcPr>
            <w:tcW w:w="1418" w:type="dxa"/>
          </w:tcPr>
          <w:p w14:paraId="775FA86F" w14:textId="77777777" w:rsidR="003C7E8B" w:rsidRPr="00DB5D0D" w:rsidRDefault="003C7E8B" w:rsidP="00DB5D0D">
            <w:pPr>
              <w:pStyle w:val="24"/>
              <w:widowControl/>
              <w:rPr>
                <w:color w:val="000000" w:themeColor="text1"/>
              </w:rPr>
            </w:pPr>
            <w:r w:rsidRPr="00DB5D0D">
              <w:rPr>
                <w:color w:val="000000" w:themeColor="text1"/>
              </w:rPr>
              <w:t>20 мин.</w:t>
            </w:r>
          </w:p>
        </w:tc>
      </w:tr>
      <w:tr w:rsidR="007D5DF8" w:rsidRPr="00DB5D0D" w14:paraId="6AEEC37E" w14:textId="77777777" w:rsidTr="00E543D0">
        <w:tc>
          <w:tcPr>
            <w:tcW w:w="1951" w:type="dxa"/>
          </w:tcPr>
          <w:p w14:paraId="0D0543EE" w14:textId="77777777" w:rsidR="003C7E8B" w:rsidRPr="00DB5D0D" w:rsidRDefault="003C7E8B" w:rsidP="00DB5D0D">
            <w:pPr>
              <w:pStyle w:val="24"/>
              <w:widowControl/>
              <w:rPr>
                <w:color w:val="000000" w:themeColor="text1"/>
              </w:rPr>
            </w:pPr>
            <w:r w:rsidRPr="00DB5D0D">
              <w:rPr>
                <w:color w:val="000000" w:themeColor="text1"/>
              </w:rPr>
              <w:t>10 июня 1940 года</w:t>
            </w:r>
          </w:p>
        </w:tc>
        <w:tc>
          <w:tcPr>
            <w:tcW w:w="7229" w:type="dxa"/>
          </w:tcPr>
          <w:p w14:paraId="1E0BBA8F" w14:textId="77777777" w:rsidR="003C7E8B" w:rsidRPr="00DB5D0D" w:rsidRDefault="003C7E8B" w:rsidP="00DB5D0D">
            <w:pPr>
              <w:pStyle w:val="24"/>
              <w:widowControl/>
              <w:rPr>
                <w:color w:val="000000" w:themeColor="text1"/>
              </w:rPr>
            </w:pPr>
            <w:r w:rsidRPr="00DB5D0D">
              <w:rPr>
                <w:color w:val="000000" w:themeColor="text1"/>
              </w:rPr>
              <w:t>Определение взлетно-посадочных свойств с подвеской ПДББ-400</w:t>
            </w:r>
          </w:p>
        </w:tc>
        <w:tc>
          <w:tcPr>
            <w:tcW w:w="1418" w:type="dxa"/>
          </w:tcPr>
          <w:p w14:paraId="4300C329" w14:textId="77777777" w:rsidR="003C7E8B" w:rsidRPr="00DB5D0D" w:rsidRDefault="003C7E8B" w:rsidP="00DB5D0D">
            <w:pPr>
              <w:pStyle w:val="24"/>
              <w:widowControl/>
              <w:rPr>
                <w:color w:val="000000" w:themeColor="text1"/>
              </w:rPr>
            </w:pPr>
            <w:r w:rsidRPr="00DB5D0D">
              <w:rPr>
                <w:color w:val="000000" w:themeColor="text1"/>
              </w:rPr>
              <w:t>4 полета</w:t>
            </w:r>
          </w:p>
          <w:p w14:paraId="0F4BD31D" w14:textId="77777777" w:rsidR="003C7E8B" w:rsidRPr="00DB5D0D" w:rsidRDefault="003C7E8B" w:rsidP="00DB5D0D">
            <w:pPr>
              <w:pStyle w:val="24"/>
              <w:widowControl/>
              <w:rPr>
                <w:color w:val="000000" w:themeColor="text1"/>
              </w:rPr>
            </w:pPr>
            <w:r w:rsidRPr="00DB5D0D">
              <w:rPr>
                <w:color w:val="000000" w:themeColor="text1"/>
              </w:rPr>
              <w:t>40 мин.</w:t>
            </w:r>
          </w:p>
        </w:tc>
      </w:tr>
      <w:tr w:rsidR="007D5DF8" w:rsidRPr="00DB5D0D" w14:paraId="2FE0921C" w14:textId="77777777" w:rsidTr="00E543D0">
        <w:tc>
          <w:tcPr>
            <w:tcW w:w="1951" w:type="dxa"/>
          </w:tcPr>
          <w:p w14:paraId="64CEAF4F" w14:textId="77777777" w:rsidR="003C7E8B" w:rsidRPr="00DB5D0D" w:rsidRDefault="003C7E8B" w:rsidP="00DB5D0D">
            <w:pPr>
              <w:pStyle w:val="24"/>
              <w:widowControl/>
              <w:rPr>
                <w:color w:val="000000" w:themeColor="text1"/>
              </w:rPr>
            </w:pPr>
            <w:r w:rsidRPr="00DB5D0D">
              <w:rPr>
                <w:color w:val="000000" w:themeColor="text1"/>
              </w:rPr>
              <w:t>10 июня 1940 года</w:t>
            </w:r>
          </w:p>
        </w:tc>
        <w:tc>
          <w:tcPr>
            <w:tcW w:w="7229" w:type="dxa"/>
          </w:tcPr>
          <w:p w14:paraId="68285153" w14:textId="77777777" w:rsidR="003C7E8B" w:rsidRPr="00DB5D0D" w:rsidRDefault="003C7E8B" w:rsidP="00DB5D0D">
            <w:pPr>
              <w:pStyle w:val="24"/>
              <w:widowControl/>
              <w:rPr>
                <w:color w:val="000000" w:themeColor="text1"/>
              </w:rPr>
            </w:pPr>
            <w:r w:rsidRPr="00DB5D0D">
              <w:rPr>
                <w:color w:val="000000" w:themeColor="text1"/>
              </w:rPr>
              <w:t>Сбрасывание ПДББ-400</w:t>
            </w:r>
          </w:p>
        </w:tc>
        <w:tc>
          <w:tcPr>
            <w:tcW w:w="1418" w:type="dxa"/>
          </w:tcPr>
          <w:p w14:paraId="6DC4BF02" w14:textId="77777777" w:rsidR="003C7E8B" w:rsidRPr="00DB5D0D" w:rsidRDefault="003C7E8B" w:rsidP="00DB5D0D">
            <w:pPr>
              <w:pStyle w:val="24"/>
              <w:widowControl/>
              <w:rPr>
                <w:color w:val="000000" w:themeColor="text1"/>
              </w:rPr>
            </w:pPr>
            <w:r w:rsidRPr="00DB5D0D">
              <w:rPr>
                <w:color w:val="000000" w:themeColor="text1"/>
              </w:rPr>
              <w:t>20 мин.</w:t>
            </w:r>
          </w:p>
        </w:tc>
      </w:tr>
      <w:tr w:rsidR="007D5DF8" w:rsidRPr="00DB5D0D" w14:paraId="2AFA6EF3" w14:textId="77777777" w:rsidTr="00E543D0">
        <w:tc>
          <w:tcPr>
            <w:tcW w:w="1951" w:type="dxa"/>
          </w:tcPr>
          <w:p w14:paraId="555202AE" w14:textId="77777777" w:rsidR="003C7E8B" w:rsidRPr="00DB5D0D" w:rsidRDefault="003C7E8B" w:rsidP="00DB5D0D">
            <w:pPr>
              <w:pStyle w:val="24"/>
              <w:widowControl/>
              <w:rPr>
                <w:color w:val="000000" w:themeColor="text1"/>
              </w:rPr>
            </w:pPr>
            <w:r w:rsidRPr="00DB5D0D">
              <w:rPr>
                <w:color w:val="000000" w:themeColor="text1"/>
              </w:rPr>
              <w:t>10 июня 1940 года</w:t>
            </w:r>
          </w:p>
        </w:tc>
        <w:tc>
          <w:tcPr>
            <w:tcW w:w="7229" w:type="dxa"/>
          </w:tcPr>
          <w:p w14:paraId="463DA421" w14:textId="77777777" w:rsidR="003C7E8B" w:rsidRPr="00DB5D0D" w:rsidRDefault="003C7E8B" w:rsidP="00DB5D0D">
            <w:pPr>
              <w:pStyle w:val="24"/>
              <w:widowControl/>
              <w:rPr>
                <w:color w:val="000000" w:themeColor="text1"/>
              </w:rPr>
            </w:pPr>
            <w:r w:rsidRPr="00DB5D0D">
              <w:rPr>
                <w:color w:val="000000" w:themeColor="text1"/>
              </w:rPr>
              <w:t>Растряска П-45</w:t>
            </w:r>
          </w:p>
        </w:tc>
        <w:tc>
          <w:tcPr>
            <w:tcW w:w="1418" w:type="dxa"/>
          </w:tcPr>
          <w:p w14:paraId="45CE5470" w14:textId="77777777" w:rsidR="003C7E8B" w:rsidRPr="00DB5D0D" w:rsidRDefault="003C7E8B" w:rsidP="00DB5D0D">
            <w:pPr>
              <w:pStyle w:val="24"/>
              <w:widowControl/>
              <w:rPr>
                <w:color w:val="000000" w:themeColor="text1"/>
              </w:rPr>
            </w:pPr>
            <w:r w:rsidRPr="00DB5D0D">
              <w:rPr>
                <w:color w:val="000000" w:themeColor="text1"/>
              </w:rPr>
              <w:t>2 полета</w:t>
            </w:r>
          </w:p>
          <w:p w14:paraId="178A2D59" w14:textId="77777777" w:rsidR="003C7E8B" w:rsidRPr="00DB5D0D" w:rsidRDefault="003C7E8B" w:rsidP="00DB5D0D">
            <w:pPr>
              <w:pStyle w:val="24"/>
              <w:widowControl/>
              <w:rPr>
                <w:color w:val="000000" w:themeColor="text1"/>
              </w:rPr>
            </w:pPr>
            <w:r w:rsidRPr="00DB5D0D">
              <w:rPr>
                <w:color w:val="000000" w:themeColor="text1"/>
              </w:rPr>
              <w:t>20 мин.</w:t>
            </w:r>
          </w:p>
        </w:tc>
      </w:tr>
      <w:tr w:rsidR="007D5DF8" w:rsidRPr="00DB5D0D" w14:paraId="1027893B" w14:textId="77777777" w:rsidTr="00E543D0">
        <w:tc>
          <w:tcPr>
            <w:tcW w:w="1951" w:type="dxa"/>
          </w:tcPr>
          <w:p w14:paraId="647F1BEB" w14:textId="77777777" w:rsidR="003C7E8B" w:rsidRPr="00DB5D0D" w:rsidRDefault="003C7E8B" w:rsidP="00DB5D0D">
            <w:pPr>
              <w:pStyle w:val="24"/>
              <w:widowControl/>
              <w:rPr>
                <w:color w:val="000000" w:themeColor="text1"/>
              </w:rPr>
            </w:pPr>
            <w:r w:rsidRPr="00DB5D0D">
              <w:rPr>
                <w:color w:val="000000" w:themeColor="text1"/>
              </w:rPr>
              <w:t>10 июня 1940 года</w:t>
            </w:r>
          </w:p>
        </w:tc>
        <w:tc>
          <w:tcPr>
            <w:tcW w:w="7229" w:type="dxa"/>
          </w:tcPr>
          <w:p w14:paraId="7B5EF6AF" w14:textId="77777777" w:rsidR="003C7E8B" w:rsidRPr="00DB5D0D" w:rsidRDefault="003C7E8B" w:rsidP="00DB5D0D">
            <w:pPr>
              <w:pStyle w:val="24"/>
              <w:widowControl/>
              <w:rPr>
                <w:color w:val="000000" w:themeColor="text1"/>
              </w:rPr>
            </w:pPr>
            <w:r w:rsidRPr="00DB5D0D">
              <w:rPr>
                <w:color w:val="000000" w:themeColor="text1"/>
              </w:rPr>
              <w:t>Загрузка П-76 и растряска</w:t>
            </w:r>
          </w:p>
        </w:tc>
        <w:tc>
          <w:tcPr>
            <w:tcW w:w="1418" w:type="dxa"/>
          </w:tcPr>
          <w:p w14:paraId="052AA27F" w14:textId="77777777" w:rsidR="003C7E8B" w:rsidRPr="00DB5D0D" w:rsidRDefault="003C7E8B" w:rsidP="00DB5D0D">
            <w:pPr>
              <w:pStyle w:val="24"/>
              <w:widowControl/>
              <w:rPr>
                <w:color w:val="000000" w:themeColor="text1"/>
              </w:rPr>
            </w:pPr>
            <w:r w:rsidRPr="00DB5D0D">
              <w:rPr>
                <w:color w:val="000000" w:themeColor="text1"/>
              </w:rPr>
              <w:t>2 полета</w:t>
            </w:r>
          </w:p>
          <w:p w14:paraId="4FA88C9F" w14:textId="77777777" w:rsidR="003C7E8B" w:rsidRPr="00DB5D0D" w:rsidRDefault="003C7E8B" w:rsidP="00DB5D0D">
            <w:pPr>
              <w:pStyle w:val="24"/>
              <w:widowControl/>
              <w:rPr>
                <w:color w:val="000000" w:themeColor="text1"/>
              </w:rPr>
            </w:pPr>
            <w:r w:rsidRPr="00DB5D0D">
              <w:rPr>
                <w:color w:val="000000" w:themeColor="text1"/>
              </w:rPr>
              <w:t>25 мин.</w:t>
            </w:r>
          </w:p>
        </w:tc>
      </w:tr>
      <w:tr w:rsidR="007D5DF8" w:rsidRPr="00DB5D0D" w14:paraId="08146695" w14:textId="77777777" w:rsidTr="00E543D0">
        <w:tc>
          <w:tcPr>
            <w:tcW w:w="1951" w:type="dxa"/>
          </w:tcPr>
          <w:p w14:paraId="57C84B43" w14:textId="77777777" w:rsidR="003C7E8B" w:rsidRPr="00DB5D0D" w:rsidRDefault="003C7E8B" w:rsidP="00DB5D0D">
            <w:pPr>
              <w:pStyle w:val="24"/>
              <w:widowControl/>
              <w:rPr>
                <w:color w:val="000000" w:themeColor="text1"/>
              </w:rPr>
            </w:pPr>
            <w:r w:rsidRPr="00DB5D0D">
              <w:rPr>
                <w:color w:val="000000" w:themeColor="text1"/>
              </w:rPr>
              <w:t>11 июня 1940 года</w:t>
            </w:r>
          </w:p>
        </w:tc>
        <w:tc>
          <w:tcPr>
            <w:tcW w:w="7229" w:type="dxa"/>
          </w:tcPr>
          <w:p w14:paraId="39FC3756" w14:textId="77777777" w:rsidR="003C7E8B" w:rsidRPr="00DB5D0D" w:rsidRDefault="003C7E8B" w:rsidP="00DB5D0D">
            <w:pPr>
              <w:pStyle w:val="24"/>
              <w:widowControl/>
              <w:rPr>
                <w:color w:val="000000" w:themeColor="text1"/>
              </w:rPr>
            </w:pPr>
            <w:r w:rsidRPr="00DB5D0D">
              <w:rPr>
                <w:color w:val="000000" w:themeColor="text1"/>
              </w:rPr>
              <w:t>Километраж</w:t>
            </w:r>
          </w:p>
        </w:tc>
        <w:tc>
          <w:tcPr>
            <w:tcW w:w="1418" w:type="dxa"/>
          </w:tcPr>
          <w:p w14:paraId="1BE3AA99" w14:textId="77777777" w:rsidR="003C7E8B" w:rsidRPr="00DB5D0D" w:rsidRDefault="003C7E8B" w:rsidP="00DB5D0D">
            <w:pPr>
              <w:pStyle w:val="24"/>
              <w:widowControl/>
              <w:rPr>
                <w:color w:val="000000" w:themeColor="text1"/>
              </w:rPr>
            </w:pPr>
            <w:r w:rsidRPr="00DB5D0D">
              <w:rPr>
                <w:color w:val="000000" w:themeColor="text1"/>
              </w:rPr>
              <w:t>1 час. 10 мин.</w:t>
            </w:r>
          </w:p>
        </w:tc>
      </w:tr>
      <w:tr w:rsidR="007D5DF8" w:rsidRPr="00DB5D0D" w14:paraId="3EF2F67F" w14:textId="77777777" w:rsidTr="00E543D0">
        <w:tc>
          <w:tcPr>
            <w:tcW w:w="1951" w:type="dxa"/>
          </w:tcPr>
          <w:p w14:paraId="11B0220C" w14:textId="77777777" w:rsidR="003C7E8B" w:rsidRPr="00DB5D0D" w:rsidRDefault="003C7E8B" w:rsidP="00DB5D0D">
            <w:pPr>
              <w:pStyle w:val="24"/>
              <w:widowControl/>
              <w:rPr>
                <w:color w:val="000000" w:themeColor="text1"/>
              </w:rPr>
            </w:pPr>
            <w:r w:rsidRPr="00DB5D0D">
              <w:rPr>
                <w:color w:val="000000" w:themeColor="text1"/>
              </w:rPr>
              <w:t>11 июня 1940 года</w:t>
            </w:r>
          </w:p>
        </w:tc>
        <w:tc>
          <w:tcPr>
            <w:tcW w:w="7229" w:type="dxa"/>
          </w:tcPr>
          <w:p w14:paraId="2D16D784" w14:textId="77777777" w:rsidR="003C7E8B" w:rsidRPr="00DB5D0D" w:rsidRDefault="003C7E8B" w:rsidP="00DB5D0D">
            <w:pPr>
              <w:pStyle w:val="24"/>
              <w:widowControl/>
              <w:rPr>
                <w:color w:val="000000" w:themeColor="text1"/>
              </w:rPr>
            </w:pPr>
            <w:r w:rsidRPr="00DB5D0D">
              <w:rPr>
                <w:color w:val="000000" w:themeColor="text1"/>
              </w:rPr>
              <w:t>Определение взлетно-посадочных свойств</w:t>
            </w:r>
          </w:p>
        </w:tc>
        <w:tc>
          <w:tcPr>
            <w:tcW w:w="1418" w:type="dxa"/>
          </w:tcPr>
          <w:p w14:paraId="60569C6C" w14:textId="77777777" w:rsidR="003C7E8B" w:rsidRPr="00DB5D0D" w:rsidRDefault="003C7E8B" w:rsidP="00DB5D0D">
            <w:pPr>
              <w:pStyle w:val="24"/>
              <w:widowControl/>
              <w:rPr>
                <w:color w:val="000000" w:themeColor="text1"/>
              </w:rPr>
            </w:pPr>
            <w:r w:rsidRPr="00DB5D0D">
              <w:rPr>
                <w:color w:val="000000" w:themeColor="text1"/>
              </w:rPr>
              <w:t>5 полетов</w:t>
            </w:r>
          </w:p>
          <w:p w14:paraId="75BBC149" w14:textId="77777777" w:rsidR="003C7E8B" w:rsidRPr="00DB5D0D" w:rsidRDefault="003C7E8B" w:rsidP="00DB5D0D">
            <w:pPr>
              <w:pStyle w:val="24"/>
              <w:widowControl/>
              <w:rPr>
                <w:color w:val="000000" w:themeColor="text1"/>
              </w:rPr>
            </w:pPr>
            <w:r w:rsidRPr="00DB5D0D">
              <w:rPr>
                <w:color w:val="000000" w:themeColor="text1"/>
              </w:rPr>
              <w:t>55 мин.</w:t>
            </w:r>
          </w:p>
        </w:tc>
      </w:tr>
      <w:tr w:rsidR="007D5DF8" w:rsidRPr="00DB5D0D" w14:paraId="49FD57A5" w14:textId="77777777" w:rsidTr="00E543D0">
        <w:tc>
          <w:tcPr>
            <w:tcW w:w="1951" w:type="dxa"/>
          </w:tcPr>
          <w:p w14:paraId="09E72C0C" w14:textId="77777777" w:rsidR="003C7E8B" w:rsidRPr="00DB5D0D" w:rsidRDefault="003C7E8B" w:rsidP="00DB5D0D">
            <w:pPr>
              <w:pStyle w:val="24"/>
              <w:widowControl/>
              <w:rPr>
                <w:color w:val="000000" w:themeColor="text1"/>
              </w:rPr>
            </w:pPr>
            <w:r w:rsidRPr="00DB5D0D">
              <w:rPr>
                <w:color w:val="000000" w:themeColor="text1"/>
              </w:rPr>
              <w:t>13 июня 1940 года</w:t>
            </w:r>
          </w:p>
        </w:tc>
        <w:tc>
          <w:tcPr>
            <w:tcW w:w="7229" w:type="dxa"/>
          </w:tcPr>
          <w:p w14:paraId="04918DE6" w14:textId="77777777" w:rsidR="003C7E8B" w:rsidRPr="00DB5D0D" w:rsidRDefault="003C7E8B" w:rsidP="00DB5D0D">
            <w:pPr>
              <w:pStyle w:val="24"/>
              <w:widowControl/>
              <w:rPr>
                <w:color w:val="000000" w:themeColor="text1"/>
              </w:rPr>
            </w:pPr>
            <w:r w:rsidRPr="00DB5D0D">
              <w:rPr>
                <w:color w:val="000000" w:themeColor="text1"/>
              </w:rPr>
              <w:t>Выпрыгивание инструкторов</w:t>
            </w:r>
          </w:p>
        </w:tc>
        <w:tc>
          <w:tcPr>
            <w:tcW w:w="1418" w:type="dxa"/>
          </w:tcPr>
          <w:p w14:paraId="5EFD533F" w14:textId="77777777" w:rsidR="003C7E8B" w:rsidRPr="00DB5D0D" w:rsidRDefault="003C7E8B" w:rsidP="00DB5D0D">
            <w:pPr>
              <w:pStyle w:val="24"/>
              <w:widowControl/>
              <w:rPr>
                <w:color w:val="000000" w:themeColor="text1"/>
              </w:rPr>
            </w:pPr>
            <w:r w:rsidRPr="00DB5D0D">
              <w:rPr>
                <w:color w:val="000000" w:themeColor="text1"/>
              </w:rPr>
              <w:t>2 полета</w:t>
            </w:r>
          </w:p>
          <w:p w14:paraId="376F758C" w14:textId="77777777" w:rsidR="003C7E8B" w:rsidRPr="00DB5D0D" w:rsidRDefault="003C7E8B" w:rsidP="00DB5D0D">
            <w:pPr>
              <w:pStyle w:val="24"/>
              <w:widowControl/>
              <w:rPr>
                <w:color w:val="000000" w:themeColor="text1"/>
              </w:rPr>
            </w:pPr>
            <w:r w:rsidRPr="00DB5D0D">
              <w:rPr>
                <w:color w:val="000000" w:themeColor="text1"/>
              </w:rPr>
              <w:t>1 час. 20 мин.</w:t>
            </w:r>
          </w:p>
        </w:tc>
      </w:tr>
      <w:tr w:rsidR="007D5DF8" w:rsidRPr="00DB5D0D" w14:paraId="79D82A6D" w14:textId="77777777" w:rsidTr="00E543D0">
        <w:tc>
          <w:tcPr>
            <w:tcW w:w="1951" w:type="dxa"/>
          </w:tcPr>
          <w:p w14:paraId="17184257" w14:textId="77777777" w:rsidR="003C7E8B" w:rsidRPr="00DB5D0D" w:rsidRDefault="003C7E8B" w:rsidP="00DB5D0D">
            <w:pPr>
              <w:pStyle w:val="24"/>
              <w:widowControl/>
              <w:rPr>
                <w:color w:val="000000" w:themeColor="text1"/>
              </w:rPr>
            </w:pPr>
            <w:r w:rsidRPr="00DB5D0D">
              <w:rPr>
                <w:color w:val="000000" w:themeColor="text1"/>
              </w:rPr>
              <w:t>17 июня 1940 года</w:t>
            </w:r>
          </w:p>
        </w:tc>
        <w:tc>
          <w:tcPr>
            <w:tcW w:w="7229" w:type="dxa"/>
          </w:tcPr>
          <w:p w14:paraId="18B5BE94" w14:textId="77777777" w:rsidR="003C7E8B" w:rsidRPr="00DB5D0D" w:rsidRDefault="003C7E8B" w:rsidP="00DB5D0D">
            <w:pPr>
              <w:pStyle w:val="24"/>
              <w:widowControl/>
              <w:rPr>
                <w:color w:val="000000" w:themeColor="text1"/>
              </w:rPr>
            </w:pPr>
            <w:r w:rsidRPr="00DB5D0D">
              <w:rPr>
                <w:color w:val="000000" w:themeColor="text1"/>
              </w:rPr>
              <w:t>Перелет в д. Реблицы ЛВО</w:t>
            </w:r>
          </w:p>
        </w:tc>
        <w:tc>
          <w:tcPr>
            <w:tcW w:w="1418" w:type="dxa"/>
          </w:tcPr>
          <w:p w14:paraId="0F5CE55F" w14:textId="77777777" w:rsidR="003C7E8B" w:rsidRPr="00DB5D0D" w:rsidRDefault="003C7E8B" w:rsidP="00DB5D0D">
            <w:pPr>
              <w:pStyle w:val="24"/>
              <w:widowControl/>
              <w:rPr>
                <w:color w:val="000000" w:themeColor="text1"/>
              </w:rPr>
            </w:pPr>
            <w:r w:rsidRPr="00DB5D0D">
              <w:rPr>
                <w:color w:val="000000" w:themeColor="text1"/>
              </w:rPr>
              <w:t>2 час. 30 мин.</w:t>
            </w:r>
          </w:p>
        </w:tc>
      </w:tr>
      <w:tr w:rsidR="007D5DF8" w:rsidRPr="00DB5D0D" w14:paraId="1C3DA355" w14:textId="77777777" w:rsidTr="00E543D0">
        <w:tc>
          <w:tcPr>
            <w:tcW w:w="1951" w:type="dxa"/>
          </w:tcPr>
          <w:p w14:paraId="74E08B49" w14:textId="77777777" w:rsidR="003C7E8B" w:rsidRPr="00DB5D0D" w:rsidRDefault="003C7E8B" w:rsidP="00DB5D0D">
            <w:pPr>
              <w:pStyle w:val="24"/>
              <w:widowControl/>
              <w:rPr>
                <w:color w:val="000000" w:themeColor="text1"/>
              </w:rPr>
            </w:pPr>
            <w:r w:rsidRPr="00DB5D0D">
              <w:rPr>
                <w:color w:val="000000" w:themeColor="text1"/>
              </w:rPr>
              <w:t>17 июня 1940 года</w:t>
            </w:r>
          </w:p>
        </w:tc>
        <w:tc>
          <w:tcPr>
            <w:tcW w:w="7229" w:type="dxa"/>
          </w:tcPr>
          <w:p w14:paraId="654C5ABD" w14:textId="77777777" w:rsidR="003C7E8B" w:rsidRPr="00DB5D0D" w:rsidRDefault="003C7E8B" w:rsidP="00DB5D0D">
            <w:pPr>
              <w:pStyle w:val="24"/>
              <w:widowControl/>
              <w:rPr>
                <w:color w:val="000000" w:themeColor="text1"/>
              </w:rPr>
            </w:pPr>
            <w:r w:rsidRPr="00DB5D0D">
              <w:rPr>
                <w:color w:val="000000" w:themeColor="text1"/>
              </w:rPr>
              <w:t>Сбрасывание десанта</w:t>
            </w:r>
          </w:p>
        </w:tc>
        <w:tc>
          <w:tcPr>
            <w:tcW w:w="1418" w:type="dxa"/>
          </w:tcPr>
          <w:p w14:paraId="3D42022A" w14:textId="77777777" w:rsidR="003C7E8B" w:rsidRPr="00DB5D0D" w:rsidRDefault="003C7E8B" w:rsidP="00DB5D0D">
            <w:pPr>
              <w:pStyle w:val="24"/>
              <w:widowControl/>
              <w:rPr>
                <w:color w:val="000000" w:themeColor="text1"/>
              </w:rPr>
            </w:pPr>
            <w:r w:rsidRPr="00DB5D0D">
              <w:rPr>
                <w:color w:val="000000" w:themeColor="text1"/>
              </w:rPr>
              <w:t>2 полета</w:t>
            </w:r>
          </w:p>
          <w:p w14:paraId="2859E89D" w14:textId="77777777" w:rsidR="003C7E8B" w:rsidRPr="00DB5D0D" w:rsidRDefault="003C7E8B" w:rsidP="00DB5D0D">
            <w:pPr>
              <w:pStyle w:val="24"/>
              <w:widowControl/>
              <w:rPr>
                <w:color w:val="000000" w:themeColor="text1"/>
              </w:rPr>
            </w:pPr>
            <w:r w:rsidRPr="00DB5D0D">
              <w:rPr>
                <w:color w:val="000000" w:themeColor="text1"/>
              </w:rPr>
              <w:t>50 мин.</w:t>
            </w:r>
          </w:p>
        </w:tc>
      </w:tr>
      <w:tr w:rsidR="007D5DF8" w:rsidRPr="00DB5D0D" w14:paraId="0526754F" w14:textId="77777777" w:rsidTr="00E543D0">
        <w:tc>
          <w:tcPr>
            <w:tcW w:w="1951" w:type="dxa"/>
          </w:tcPr>
          <w:p w14:paraId="03AFB49F" w14:textId="77777777" w:rsidR="003C7E8B" w:rsidRPr="00DB5D0D" w:rsidRDefault="003C7E8B" w:rsidP="00DB5D0D">
            <w:pPr>
              <w:pStyle w:val="24"/>
              <w:widowControl/>
              <w:rPr>
                <w:color w:val="000000" w:themeColor="text1"/>
              </w:rPr>
            </w:pPr>
            <w:r w:rsidRPr="00DB5D0D">
              <w:rPr>
                <w:color w:val="000000" w:themeColor="text1"/>
              </w:rPr>
              <w:t>18 июня 1940 года</w:t>
            </w:r>
          </w:p>
        </w:tc>
        <w:tc>
          <w:tcPr>
            <w:tcW w:w="7229" w:type="dxa"/>
          </w:tcPr>
          <w:p w14:paraId="06B0E8D8" w14:textId="77777777" w:rsidR="003C7E8B" w:rsidRPr="00DB5D0D" w:rsidRDefault="003C7E8B" w:rsidP="00DB5D0D">
            <w:pPr>
              <w:pStyle w:val="24"/>
              <w:widowControl/>
              <w:rPr>
                <w:color w:val="000000" w:themeColor="text1"/>
              </w:rPr>
            </w:pPr>
            <w:r w:rsidRPr="00DB5D0D">
              <w:rPr>
                <w:color w:val="000000" w:themeColor="text1"/>
              </w:rPr>
              <w:t>Сбрасывание десанта</w:t>
            </w:r>
          </w:p>
        </w:tc>
        <w:tc>
          <w:tcPr>
            <w:tcW w:w="1418" w:type="dxa"/>
          </w:tcPr>
          <w:p w14:paraId="4BE158F8" w14:textId="77777777" w:rsidR="003C7E8B" w:rsidRPr="00DB5D0D" w:rsidRDefault="003C7E8B" w:rsidP="00DB5D0D">
            <w:pPr>
              <w:pStyle w:val="24"/>
              <w:widowControl/>
              <w:rPr>
                <w:color w:val="000000" w:themeColor="text1"/>
              </w:rPr>
            </w:pPr>
            <w:r w:rsidRPr="00DB5D0D">
              <w:rPr>
                <w:color w:val="000000" w:themeColor="text1"/>
              </w:rPr>
              <w:t>5 полетов</w:t>
            </w:r>
          </w:p>
          <w:p w14:paraId="1F1F0C45" w14:textId="77777777" w:rsidR="003C7E8B" w:rsidRPr="00DB5D0D" w:rsidRDefault="003C7E8B" w:rsidP="00DB5D0D">
            <w:pPr>
              <w:pStyle w:val="24"/>
              <w:widowControl/>
              <w:rPr>
                <w:color w:val="000000" w:themeColor="text1"/>
              </w:rPr>
            </w:pPr>
            <w:r w:rsidRPr="00DB5D0D">
              <w:rPr>
                <w:color w:val="000000" w:themeColor="text1"/>
              </w:rPr>
              <w:t>1 час. 20 мин.</w:t>
            </w:r>
          </w:p>
        </w:tc>
      </w:tr>
      <w:tr w:rsidR="007D5DF8" w:rsidRPr="00DB5D0D" w14:paraId="0095AEE0" w14:textId="77777777" w:rsidTr="00E543D0">
        <w:tc>
          <w:tcPr>
            <w:tcW w:w="1951" w:type="dxa"/>
          </w:tcPr>
          <w:p w14:paraId="2F6EFAB1" w14:textId="77777777" w:rsidR="003C7E8B" w:rsidRPr="00DB5D0D" w:rsidRDefault="003C7E8B" w:rsidP="00DB5D0D">
            <w:pPr>
              <w:pStyle w:val="24"/>
              <w:widowControl/>
              <w:rPr>
                <w:color w:val="000000" w:themeColor="text1"/>
              </w:rPr>
            </w:pPr>
            <w:r w:rsidRPr="00DB5D0D">
              <w:rPr>
                <w:color w:val="000000" w:themeColor="text1"/>
              </w:rPr>
              <w:t>18 июня 1940 года</w:t>
            </w:r>
          </w:p>
        </w:tc>
        <w:tc>
          <w:tcPr>
            <w:tcW w:w="7229" w:type="dxa"/>
          </w:tcPr>
          <w:p w14:paraId="4F942B78" w14:textId="77777777" w:rsidR="003C7E8B" w:rsidRPr="00DB5D0D" w:rsidRDefault="003C7E8B" w:rsidP="00DB5D0D">
            <w:pPr>
              <w:pStyle w:val="24"/>
              <w:widowControl/>
              <w:rPr>
                <w:color w:val="000000" w:themeColor="text1"/>
              </w:rPr>
            </w:pPr>
            <w:r w:rsidRPr="00DB5D0D">
              <w:rPr>
                <w:color w:val="000000" w:themeColor="text1"/>
              </w:rPr>
              <w:t>Перелет Реблицы-Сольцы для зарядки горючим</w:t>
            </w:r>
          </w:p>
        </w:tc>
        <w:tc>
          <w:tcPr>
            <w:tcW w:w="1418" w:type="dxa"/>
          </w:tcPr>
          <w:p w14:paraId="02548C44" w14:textId="77777777" w:rsidR="003C7E8B" w:rsidRPr="00DB5D0D" w:rsidRDefault="003C7E8B" w:rsidP="00DB5D0D">
            <w:pPr>
              <w:pStyle w:val="24"/>
              <w:widowControl/>
              <w:rPr>
                <w:color w:val="000000" w:themeColor="text1"/>
              </w:rPr>
            </w:pPr>
            <w:r w:rsidRPr="00DB5D0D">
              <w:rPr>
                <w:color w:val="000000" w:themeColor="text1"/>
              </w:rPr>
              <w:t>10 мин.</w:t>
            </w:r>
          </w:p>
        </w:tc>
      </w:tr>
      <w:tr w:rsidR="007D5DF8" w:rsidRPr="00DB5D0D" w14:paraId="0259E7B2" w14:textId="77777777" w:rsidTr="00E543D0">
        <w:tc>
          <w:tcPr>
            <w:tcW w:w="1951" w:type="dxa"/>
          </w:tcPr>
          <w:p w14:paraId="09627443" w14:textId="77777777" w:rsidR="003C7E8B" w:rsidRPr="00DB5D0D" w:rsidRDefault="003C7E8B" w:rsidP="00DB5D0D">
            <w:pPr>
              <w:pStyle w:val="24"/>
              <w:widowControl/>
              <w:rPr>
                <w:color w:val="000000" w:themeColor="text1"/>
              </w:rPr>
            </w:pPr>
            <w:r w:rsidRPr="00DB5D0D">
              <w:rPr>
                <w:color w:val="000000" w:themeColor="text1"/>
              </w:rPr>
              <w:t>18 июня 1940 года</w:t>
            </w:r>
          </w:p>
        </w:tc>
        <w:tc>
          <w:tcPr>
            <w:tcW w:w="7229" w:type="dxa"/>
          </w:tcPr>
          <w:p w14:paraId="2112F13F" w14:textId="77777777" w:rsidR="003C7E8B" w:rsidRPr="00DB5D0D" w:rsidRDefault="003C7E8B" w:rsidP="00DB5D0D">
            <w:pPr>
              <w:pStyle w:val="24"/>
              <w:widowControl/>
              <w:rPr>
                <w:color w:val="000000" w:themeColor="text1"/>
              </w:rPr>
            </w:pPr>
            <w:r w:rsidRPr="00DB5D0D">
              <w:rPr>
                <w:color w:val="000000" w:themeColor="text1"/>
              </w:rPr>
              <w:t>Перелет Сольцы-Чкаловская</w:t>
            </w:r>
          </w:p>
        </w:tc>
        <w:tc>
          <w:tcPr>
            <w:tcW w:w="1418" w:type="dxa"/>
          </w:tcPr>
          <w:p w14:paraId="6EBDCC77" w14:textId="77777777" w:rsidR="003C7E8B" w:rsidRPr="00DB5D0D" w:rsidRDefault="003C7E8B" w:rsidP="00DB5D0D">
            <w:pPr>
              <w:pStyle w:val="24"/>
              <w:widowControl/>
              <w:rPr>
                <w:color w:val="000000" w:themeColor="text1"/>
              </w:rPr>
            </w:pPr>
            <w:r w:rsidRPr="00DB5D0D">
              <w:rPr>
                <w:color w:val="000000" w:themeColor="text1"/>
              </w:rPr>
              <w:t>2 часа</w:t>
            </w:r>
          </w:p>
        </w:tc>
      </w:tr>
      <w:tr w:rsidR="007D5DF8" w:rsidRPr="00DB5D0D" w14:paraId="32577DDA" w14:textId="77777777" w:rsidTr="00E543D0">
        <w:tc>
          <w:tcPr>
            <w:tcW w:w="1951" w:type="dxa"/>
          </w:tcPr>
          <w:p w14:paraId="4E1A51E2" w14:textId="77777777" w:rsidR="003C7E8B" w:rsidRPr="00DB5D0D" w:rsidRDefault="003C7E8B" w:rsidP="00DB5D0D">
            <w:pPr>
              <w:pStyle w:val="24"/>
              <w:widowControl/>
              <w:rPr>
                <w:color w:val="000000" w:themeColor="text1"/>
              </w:rPr>
            </w:pPr>
            <w:r w:rsidRPr="00DB5D0D">
              <w:rPr>
                <w:color w:val="000000" w:themeColor="text1"/>
              </w:rPr>
              <w:t>21 июня 1940 года</w:t>
            </w:r>
          </w:p>
        </w:tc>
        <w:tc>
          <w:tcPr>
            <w:tcW w:w="7229" w:type="dxa"/>
          </w:tcPr>
          <w:p w14:paraId="62C42A1C" w14:textId="77777777" w:rsidR="003C7E8B" w:rsidRPr="00DB5D0D" w:rsidRDefault="003C7E8B" w:rsidP="00DB5D0D">
            <w:pPr>
              <w:pStyle w:val="24"/>
              <w:widowControl/>
              <w:rPr>
                <w:color w:val="000000" w:themeColor="text1"/>
              </w:rPr>
            </w:pPr>
            <w:r w:rsidRPr="00DB5D0D">
              <w:rPr>
                <w:color w:val="000000" w:themeColor="text1"/>
              </w:rPr>
              <w:t>Полет в санитарном варианте</w:t>
            </w:r>
          </w:p>
        </w:tc>
        <w:tc>
          <w:tcPr>
            <w:tcW w:w="1418" w:type="dxa"/>
          </w:tcPr>
          <w:p w14:paraId="1A90714E" w14:textId="77777777" w:rsidR="003C7E8B" w:rsidRPr="00DB5D0D" w:rsidRDefault="003C7E8B" w:rsidP="00DB5D0D">
            <w:pPr>
              <w:pStyle w:val="24"/>
              <w:widowControl/>
              <w:rPr>
                <w:color w:val="000000" w:themeColor="text1"/>
              </w:rPr>
            </w:pPr>
            <w:r w:rsidRPr="00DB5D0D">
              <w:rPr>
                <w:color w:val="000000" w:themeColor="text1"/>
              </w:rPr>
              <w:t>45 мин.</w:t>
            </w:r>
          </w:p>
        </w:tc>
      </w:tr>
      <w:tr w:rsidR="007D5DF8" w:rsidRPr="00DB5D0D" w14:paraId="6B6D7AB7" w14:textId="77777777" w:rsidTr="00E543D0">
        <w:tc>
          <w:tcPr>
            <w:tcW w:w="1951" w:type="dxa"/>
          </w:tcPr>
          <w:p w14:paraId="6183D6BB" w14:textId="77777777" w:rsidR="003C7E8B" w:rsidRPr="00DB5D0D" w:rsidRDefault="003C7E8B" w:rsidP="00DB5D0D">
            <w:pPr>
              <w:pStyle w:val="24"/>
              <w:widowControl/>
              <w:rPr>
                <w:color w:val="000000" w:themeColor="text1"/>
              </w:rPr>
            </w:pPr>
            <w:r w:rsidRPr="00DB5D0D">
              <w:rPr>
                <w:color w:val="000000" w:themeColor="text1"/>
              </w:rPr>
              <w:t>25 июня 1940 года</w:t>
            </w:r>
          </w:p>
        </w:tc>
        <w:tc>
          <w:tcPr>
            <w:tcW w:w="7229" w:type="dxa"/>
          </w:tcPr>
          <w:p w14:paraId="19D1A92A" w14:textId="77777777" w:rsidR="003C7E8B" w:rsidRPr="00DB5D0D" w:rsidRDefault="003C7E8B" w:rsidP="00DB5D0D">
            <w:pPr>
              <w:pStyle w:val="24"/>
              <w:widowControl/>
              <w:rPr>
                <w:color w:val="000000" w:themeColor="text1"/>
              </w:rPr>
            </w:pPr>
            <w:r w:rsidRPr="00DB5D0D">
              <w:rPr>
                <w:color w:val="000000" w:themeColor="text1"/>
              </w:rPr>
              <w:t>Контрольный полет на скороподъемность с внутренней загрузкой</w:t>
            </w:r>
          </w:p>
        </w:tc>
        <w:tc>
          <w:tcPr>
            <w:tcW w:w="1418" w:type="dxa"/>
          </w:tcPr>
          <w:p w14:paraId="1B5372F2" w14:textId="77777777" w:rsidR="003C7E8B" w:rsidRPr="00DB5D0D" w:rsidRDefault="003C7E8B" w:rsidP="00DB5D0D">
            <w:pPr>
              <w:pStyle w:val="24"/>
              <w:widowControl/>
              <w:rPr>
                <w:color w:val="000000" w:themeColor="text1"/>
              </w:rPr>
            </w:pPr>
            <w:r w:rsidRPr="00DB5D0D">
              <w:rPr>
                <w:color w:val="000000" w:themeColor="text1"/>
              </w:rPr>
              <w:t>2 часа</w:t>
            </w:r>
          </w:p>
        </w:tc>
      </w:tr>
      <w:tr w:rsidR="007D5DF8" w:rsidRPr="00DB5D0D" w14:paraId="55AC680F" w14:textId="77777777" w:rsidTr="00E543D0">
        <w:tc>
          <w:tcPr>
            <w:tcW w:w="1951" w:type="dxa"/>
          </w:tcPr>
          <w:p w14:paraId="62099F49" w14:textId="77777777" w:rsidR="003C7E8B" w:rsidRPr="00DB5D0D" w:rsidRDefault="003C7E8B" w:rsidP="00DB5D0D">
            <w:pPr>
              <w:pStyle w:val="24"/>
              <w:widowControl/>
              <w:rPr>
                <w:color w:val="000000" w:themeColor="text1"/>
              </w:rPr>
            </w:pPr>
            <w:r w:rsidRPr="00DB5D0D">
              <w:rPr>
                <w:color w:val="000000" w:themeColor="text1"/>
              </w:rPr>
              <w:t>27 июня 1940 года</w:t>
            </w:r>
          </w:p>
        </w:tc>
        <w:tc>
          <w:tcPr>
            <w:tcW w:w="7229" w:type="dxa"/>
          </w:tcPr>
          <w:p w14:paraId="2630A76F" w14:textId="77777777" w:rsidR="003C7E8B" w:rsidRPr="00DB5D0D" w:rsidRDefault="003C7E8B" w:rsidP="00DB5D0D">
            <w:pPr>
              <w:pStyle w:val="24"/>
              <w:widowControl/>
              <w:rPr>
                <w:color w:val="000000" w:themeColor="text1"/>
              </w:rPr>
            </w:pPr>
            <w:r w:rsidRPr="00DB5D0D">
              <w:rPr>
                <w:color w:val="000000" w:themeColor="text1"/>
              </w:rPr>
              <w:t>Контрольный полет с наружной загрузкой</w:t>
            </w:r>
          </w:p>
        </w:tc>
        <w:tc>
          <w:tcPr>
            <w:tcW w:w="1418" w:type="dxa"/>
          </w:tcPr>
          <w:p w14:paraId="33942717" w14:textId="77777777" w:rsidR="003C7E8B" w:rsidRPr="00DB5D0D" w:rsidRDefault="003C7E8B" w:rsidP="00DB5D0D">
            <w:pPr>
              <w:pStyle w:val="24"/>
              <w:widowControl/>
              <w:rPr>
                <w:color w:val="000000" w:themeColor="text1"/>
              </w:rPr>
            </w:pPr>
            <w:r w:rsidRPr="00DB5D0D">
              <w:rPr>
                <w:color w:val="000000" w:themeColor="text1"/>
              </w:rPr>
              <w:t>1 час. 40 мин.</w:t>
            </w:r>
          </w:p>
        </w:tc>
      </w:tr>
      <w:tr w:rsidR="007D5DF8" w:rsidRPr="00DB5D0D" w14:paraId="6ADA3B31" w14:textId="77777777" w:rsidTr="00E543D0">
        <w:tc>
          <w:tcPr>
            <w:tcW w:w="1951" w:type="dxa"/>
          </w:tcPr>
          <w:p w14:paraId="5220E4F5" w14:textId="77777777" w:rsidR="003C7E8B" w:rsidRPr="00DB5D0D" w:rsidRDefault="003C7E8B" w:rsidP="00DB5D0D">
            <w:pPr>
              <w:pStyle w:val="24"/>
              <w:widowControl/>
              <w:rPr>
                <w:color w:val="000000" w:themeColor="text1"/>
              </w:rPr>
            </w:pPr>
            <w:r w:rsidRPr="00DB5D0D">
              <w:rPr>
                <w:color w:val="000000" w:themeColor="text1"/>
              </w:rPr>
              <w:t>28 июня 1940 года</w:t>
            </w:r>
          </w:p>
        </w:tc>
        <w:tc>
          <w:tcPr>
            <w:tcW w:w="7229" w:type="dxa"/>
          </w:tcPr>
          <w:p w14:paraId="52FC7F38" w14:textId="77777777" w:rsidR="003C7E8B" w:rsidRPr="00DB5D0D" w:rsidRDefault="003C7E8B" w:rsidP="00DB5D0D">
            <w:pPr>
              <w:pStyle w:val="24"/>
              <w:widowControl/>
              <w:rPr>
                <w:color w:val="000000" w:themeColor="text1"/>
              </w:rPr>
            </w:pPr>
            <w:r w:rsidRPr="00DB5D0D">
              <w:rPr>
                <w:color w:val="000000" w:themeColor="text1"/>
              </w:rPr>
              <w:t>Полет в Рыбинск и обратно</w:t>
            </w:r>
          </w:p>
        </w:tc>
        <w:tc>
          <w:tcPr>
            <w:tcW w:w="1418" w:type="dxa"/>
          </w:tcPr>
          <w:p w14:paraId="3BA9569E" w14:textId="77777777" w:rsidR="003C7E8B" w:rsidRPr="00DB5D0D" w:rsidRDefault="003C7E8B" w:rsidP="00DB5D0D">
            <w:pPr>
              <w:pStyle w:val="24"/>
              <w:widowControl/>
              <w:rPr>
                <w:color w:val="000000" w:themeColor="text1"/>
              </w:rPr>
            </w:pPr>
            <w:r w:rsidRPr="00DB5D0D">
              <w:rPr>
                <w:color w:val="000000" w:themeColor="text1"/>
              </w:rPr>
              <w:t>2 полета</w:t>
            </w:r>
          </w:p>
          <w:p w14:paraId="6A6CCBFB" w14:textId="77777777" w:rsidR="003C7E8B" w:rsidRPr="00DB5D0D" w:rsidRDefault="003C7E8B" w:rsidP="00DB5D0D">
            <w:pPr>
              <w:pStyle w:val="24"/>
              <w:widowControl/>
              <w:rPr>
                <w:color w:val="000000" w:themeColor="text1"/>
              </w:rPr>
            </w:pPr>
            <w:r w:rsidRPr="00DB5D0D">
              <w:rPr>
                <w:color w:val="000000" w:themeColor="text1"/>
              </w:rPr>
              <w:t>2 часа 20 мин.</w:t>
            </w:r>
          </w:p>
        </w:tc>
      </w:tr>
      <w:tr w:rsidR="007D5DF8" w:rsidRPr="00DB5D0D" w14:paraId="33974A19" w14:textId="77777777" w:rsidTr="00E543D0">
        <w:tc>
          <w:tcPr>
            <w:tcW w:w="1951" w:type="dxa"/>
          </w:tcPr>
          <w:p w14:paraId="511DACED" w14:textId="77777777" w:rsidR="003C7E8B" w:rsidRPr="00DB5D0D" w:rsidRDefault="003C7E8B" w:rsidP="00DB5D0D">
            <w:pPr>
              <w:pStyle w:val="24"/>
              <w:widowControl/>
              <w:rPr>
                <w:color w:val="000000" w:themeColor="text1"/>
              </w:rPr>
            </w:pPr>
            <w:r w:rsidRPr="00DB5D0D">
              <w:rPr>
                <w:color w:val="000000" w:themeColor="text1"/>
              </w:rPr>
              <w:t>29 июня 1940 года</w:t>
            </w:r>
          </w:p>
        </w:tc>
        <w:tc>
          <w:tcPr>
            <w:tcW w:w="7229" w:type="dxa"/>
          </w:tcPr>
          <w:p w14:paraId="7A7FF01D" w14:textId="77777777" w:rsidR="003C7E8B" w:rsidRPr="00DB5D0D" w:rsidRDefault="003C7E8B" w:rsidP="00DB5D0D">
            <w:pPr>
              <w:pStyle w:val="24"/>
              <w:widowControl/>
              <w:rPr>
                <w:color w:val="000000" w:themeColor="text1"/>
              </w:rPr>
            </w:pPr>
            <w:r w:rsidRPr="00DB5D0D">
              <w:rPr>
                <w:color w:val="000000" w:themeColor="text1"/>
              </w:rPr>
              <w:t>Полет на скороподъемность (летчик Нюхтиков)</w:t>
            </w:r>
          </w:p>
        </w:tc>
        <w:tc>
          <w:tcPr>
            <w:tcW w:w="1418" w:type="dxa"/>
          </w:tcPr>
          <w:p w14:paraId="192B7795" w14:textId="77777777" w:rsidR="003C7E8B" w:rsidRPr="00DB5D0D" w:rsidRDefault="003C7E8B" w:rsidP="00DB5D0D">
            <w:pPr>
              <w:pStyle w:val="24"/>
              <w:widowControl/>
              <w:rPr>
                <w:color w:val="000000" w:themeColor="text1"/>
              </w:rPr>
            </w:pPr>
            <w:r w:rsidRPr="00DB5D0D">
              <w:rPr>
                <w:color w:val="000000" w:themeColor="text1"/>
              </w:rPr>
              <w:t>2 часа 30 мин.</w:t>
            </w:r>
          </w:p>
        </w:tc>
      </w:tr>
      <w:tr w:rsidR="007D5DF8" w:rsidRPr="00DB5D0D" w14:paraId="1D9A9539" w14:textId="77777777" w:rsidTr="00E543D0">
        <w:tc>
          <w:tcPr>
            <w:tcW w:w="1951" w:type="dxa"/>
          </w:tcPr>
          <w:p w14:paraId="4E02790C" w14:textId="77777777" w:rsidR="003C7E8B" w:rsidRPr="00DB5D0D" w:rsidRDefault="003C7E8B" w:rsidP="00DB5D0D">
            <w:pPr>
              <w:pStyle w:val="24"/>
              <w:widowControl/>
              <w:rPr>
                <w:color w:val="000000" w:themeColor="text1"/>
              </w:rPr>
            </w:pPr>
          </w:p>
        </w:tc>
        <w:tc>
          <w:tcPr>
            <w:tcW w:w="7229" w:type="dxa"/>
          </w:tcPr>
          <w:p w14:paraId="4FEAA4A4" w14:textId="77777777" w:rsidR="003C7E8B" w:rsidRPr="00DB5D0D" w:rsidRDefault="003C7E8B" w:rsidP="00DB5D0D">
            <w:pPr>
              <w:pStyle w:val="24"/>
              <w:widowControl/>
              <w:rPr>
                <w:color w:val="000000" w:themeColor="text1"/>
              </w:rPr>
            </w:pPr>
            <w:r w:rsidRPr="00DB5D0D">
              <w:rPr>
                <w:color w:val="000000" w:themeColor="text1"/>
              </w:rPr>
              <w:t>ВСЕГО</w:t>
            </w:r>
          </w:p>
        </w:tc>
        <w:tc>
          <w:tcPr>
            <w:tcW w:w="1418" w:type="dxa"/>
          </w:tcPr>
          <w:p w14:paraId="77BAF4E7" w14:textId="77777777" w:rsidR="003C7E8B" w:rsidRPr="00DB5D0D" w:rsidRDefault="003C7E8B" w:rsidP="00DB5D0D">
            <w:pPr>
              <w:pStyle w:val="24"/>
              <w:widowControl/>
              <w:rPr>
                <w:color w:val="000000" w:themeColor="text1"/>
              </w:rPr>
            </w:pPr>
            <w:r w:rsidRPr="00DB5D0D">
              <w:rPr>
                <w:color w:val="000000" w:themeColor="text1"/>
              </w:rPr>
              <w:t>56 полетов</w:t>
            </w:r>
          </w:p>
          <w:p w14:paraId="5A522D24" w14:textId="77777777" w:rsidR="003C7E8B" w:rsidRPr="00DB5D0D" w:rsidRDefault="003C7E8B" w:rsidP="00DB5D0D">
            <w:pPr>
              <w:pStyle w:val="24"/>
              <w:widowControl/>
              <w:rPr>
                <w:color w:val="000000" w:themeColor="text1"/>
              </w:rPr>
            </w:pPr>
            <w:r w:rsidRPr="00DB5D0D">
              <w:rPr>
                <w:color w:val="000000" w:themeColor="text1"/>
              </w:rPr>
              <w:t>34 часа 42 мин.</w:t>
            </w:r>
          </w:p>
        </w:tc>
      </w:tr>
    </w:tbl>
    <w:p w14:paraId="4E5B68B3" w14:textId="77777777" w:rsidR="003C7E8B" w:rsidRPr="00DB5D0D" w:rsidRDefault="003C7E8B" w:rsidP="00DB5D0D">
      <w:pPr>
        <w:pStyle w:val="24"/>
        <w:widowControl/>
        <w:rPr>
          <w:color w:val="000000" w:themeColor="text1"/>
        </w:rPr>
      </w:pPr>
      <w:r w:rsidRPr="00DB5D0D">
        <w:rPr>
          <w:color w:val="000000" w:themeColor="text1"/>
        </w:rPr>
        <w:t>(7758)</w:t>
      </w:r>
    </w:p>
    <w:p w14:paraId="23CC6F5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4D783E3" w14:textId="77777777" w:rsidR="00F24D8E" w:rsidRPr="00DB5D0D" w:rsidRDefault="00F24D8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20 июля 1940 г. Комитет Обороны постановил построить также радиоуправляемый гидросамолёт МБР-2 и командный ДБ-ЗФ для военно-морского флота. На все эти работы выделялось около 10 млн рублей </w:t>
      </w:r>
      <w:hyperlink r:id="rId209" w:history="1">
        <w:r w:rsidRPr="00DB5D0D">
          <w:rPr>
            <w:rFonts w:ascii="Times New Roman" w:eastAsia="Times New Roman" w:hAnsi="Times New Roman"/>
            <w:color w:val="000000" w:themeColor="text1"/>
            <w:sz w:val="16"/>
            <w:szCs w:val="16"/>
            <w:lang w:eastAsia="ru-RU"/>
          </w:rPr>
          <w:t>[227]</w:t>
        </w:r>
      </w:hyperlink>
      <w:r w:rsidRPr="00DB5D0D">
        <w:rPr>
          <w:rFonts w:ascii="Times New Roman" w:eastAsia="Times New Roman" w:hAnsi="Times New Roman"/>
          <w:color w:val="000000" w:themeColor="text1"/>
          <w:sz w:val="16"/>
          <w:szCs w:val="16"/>
          <w:lang w:eastAsia="ru-RU"/>
        </w:rPr>
        <w:t xml:space="preserve"> (17489).</w:t>
      </w:r>
    </w:p>
    <w:p w14:paraId="0AEB9946" w14:textId="77777777" w:rsidR="00F24D8E" w:rsidRPr="00DB5D0D" w:rsidRDefault="00F24D8E" w:rsidP="00DB5D0D">
      <w:pPr>
        <w:spacing w:after="0" w:line="240" w:lineRule="auto"/>
        <w:jc w:val="both"/>
        <w:rPr>
          <w:rFonts w:ascii="Times New Roman" w:eastAsia="Times New Roman" w:hAnsi="Times New Roman"/>
          <w:color w:val="000000" w:themeColor="text1"/>
          <w:sz w:val="16"/>
          <w:szCs w:val="16"/>
          <w:lang w:eastAsia="ru-RU"/>
        </w:rPr>
      </w:pPr>
    </w:p>
    <w:p w14:paraId="0B63C5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в поле</w:t>
      </w:r>
      <w:r w:rsidRPr="00DB5D0D">
        <w:rPr>
          <w:rFonts w:ascii="Times New Roman" w:hAnsi="Times New Roman"/>
          <w:color w:val="000000" w:themeColor="text1"/>
          <w:sz w:val="16"/>
          <w:szCs w:val="16"/>
        </w:rPr>
        <w:softHyphen/>
        <w:t>те из Анадыря в б. Провидения на ДВ СССР-Н235, пилотируемым Каминским, лопнула паро</w:t>
      </w:r>
      <w:r w:rsidRPr="00DB5D0D">
        <w:rPr>
          <w:rFonts w:ascii="Times New Roman" w:hAnsi="Times New Roman"/>
          <w:color w:val="000000" w:themeColor="text1"/>
          <w:sz w:val="16"/>
          <w:szCs w:val="16"/>
        </w:rPr>
        <w:softHyphen/>
        <w:t>отводная трубка кормового мотора. Выключив кормовой мотор, Каминский на одном дотянул до мыса Низкого и произвел посадку на море вблизи берега. При осмотре двигателя на земле выяснились дополнительные проблемы, причиной которых был назван некачествен</w:t>
      </w:r>
      <w:r w:rsidRPr="00DB5D0D">
        <w:rPr>
          <w:rFonts w:ascii="Times New Roman" w:hAnsi="Times New Roman"/>
          <w:color w:val="000000" w:themeColor="text1"/>
          <w:sz w:val="16"/>
          <w:szCs w:val="16"/>
        </w:rPr>
        <w:softHyphen/>
        <w:t>ный ремонт двигателей на КАРЗе.</w:t>
      </w:r>
    </w:p>
    <w:p w14:paraId="0D89A8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сентября самолет, под управлением Каминского, вылетел с мыса Шмидта в направ</w:t>
      </w:r>
      <w:r w:rsidRPr="00DB5D0D">
        <w:rPr>
          <w:rFonts w:ascii="Times New Roman" w:hAnsi="Times New Roman"/>
          <w:color w:val="000000" w:themeColor="text1"/>
          <w:sz w:val="16"/>
          <w:szCs w:val="16"/>
        </w:rPr>
        <w:softHyphen/>
        <w:t>лении на мыс Билингса. В пути метеорологи</w:t>
      </w:r>
      <w:r w:rsidRPr="00DB5D0D">
        <w:rPr>
          <w:rFonts w:ascii="Times New Roman" w:hAnsi="Times New Roman"/>
          <w:color w:val="000000" w:themeColor="text1"/>
          <w:sz w:val="16"/>
          <w:szCs w:val="16"/>
        </w:rPr>
        <w:softHyphen/>
        <w:t>ческая обстановка часто менялась, и местами полет продолжался на высоте 50 метров.</w:t>
      </w:r>
    </w:p>
    <w:p w14:paraId="751241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подходе к мысу Биллингса, пересекая на высоте 40 метров перешеек, отделяющий две лагуны, оба мотора внезапно останови</w:t>
      </w:r>
      <w:r w:rsidRPr="00DB5D0D">
        <w:rPr>
          <w:rFonts w:ascii="Times New Roman" w:hAnsi="Times New Roman"/>
          <w:color w:val="000000" w:themeColor="text1"/>
          <w:sz w:val="16"/>
          <w:szCs w:val="16"/>
        </w:rPr>
        <w:softHyphen/>
        <w:t>лись, и Каминский произвел посадку на тундру в двух километрах от лагуны. Посадка была произведена благополучно, и у самолета ока</w:t>
      </w:r>
      <w:r w:rsidRPr="00DB5D0D">
        <w:rPr>
          <w:rFonts w:ascii="Times New Roman" w:hAnsi="Times New Roman"/>
          <w:color w:val="000000" w:themeColor="text1"/>
          <w:sz w:val="16"/>
          <w:szCs w:val="16"/>
        </w:rPr>
        <w:softHyphen/>
        <w:t>залась помята только реданная часть лодки.</w:t>
      </w:r>
    </w:p>
    <w:p w14:paraId="586196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посадки было установлено, что оста</w:t>
      </w:r>
      <w:r w:rsidRPr="00DB5D0D">
        <w:rPr>
          <w:rFonts w:ascii="Times New Roman" w:hAnsi="Times New Roman"/>
          <w:color w:val="000000" w:themeColor="text1"/>
          <w:sz w:val="16"/>
          <w:szCs w:val="16"/>
        </w:rPr>
        <w:softHyphen/>
        <w:t>новка моторов произошла по причине выра</w:t>
      </w:r>
      <w:r w:rsidRPr="00DB5D0D">
        <w:rPr>
          <w:rFonts w:ascii="Times New Roman" w:hAnsi="Times New Roman"/>
          <w:color w:val="000000" w:themeColor="text1"/>
          <w:sz w:val="16"/>
          <w:szCs w:val="16"/>
        </w:rPr>
        <w:softHyphen/>
        <w:t>ботки горючего из двух включенных баков, а бортмеханик В.М.Коротаев своевременно не переключился на другие баки, что и повлекло за собой выключение двигателей.</w:t>
      </w:r>
    </w:p>
    <w:p w14:paraId="32DF20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разгрузки самолета, используя про</w:t>
      </w:r>
      <w:r w:rsidRPr="00DB5D0D">
        <w:rPr>
          <w:rFonts w:ascii="Times New Roman" w:hAnsi="Times New Roman"/>
          <w:color w:val="000000" w:themeColor="text1"/>
          <w:sz w:val="16"/>
          <w:szCs w:val="16"/>
        </w:rPr>
        <w:softHyphen/>
        <w:t>шлогодний опыт организации взлета с тундры, Каминский 16 сентября перелетел на ближай</w:t>
      </w:r>
      <w:r w:rsidRPr="00DB5D0D">
        <w:rPr>
          <w:rFonts w:ascii="Times New Roman" w:hAnsi="Times New Roman"/>
          <w:color w:val="000000" w:themeColor="text1"/>
          <w:sz w:val="16"/>
          <w:szCs w:val="16"/>
        </w:rPr>
        <w:softHyphen/>
        <w:t>шую лагуну и уже оттуда продолжил полет до Красноярска.</w:t>
      </w:r>
    </w:p>
    <w:p w14:paraId="34F569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самолета М.Н. Каминский за полет на недопустимо низкой высоте, что в мо</w:t>
      </w:r>
      <w:r w:rsidRPr="00DB5D0D">
        <w:rPr>
          <w:rFonts w:ascii="Times New Roman" w:hAnsi="Times New Roman"/>
          <w:color w:val="000000" w:themeColor="text1"/>
          <w:sz w:val="16"/>
          <w:szCs w:val="16"/>
        </w:rPr>
        <w:softHyphen/>
        <w:t>мент остановки моторов не позволило ему спланировать на лагуну, должен был понести строгое наказание, но, учитывая наступавшие морозы и необходимость доставки самолета в Красноярск, отделался выговором. Борт</w:t>
      </w:r>
      <w:r w:rsidRPr="00DB5D0D">
        <w:rPr>
          <w:rFonts w:ascii="Times New Roman" w:hAnsi="Times New Roman"/>
          <w:color w:val="000000" w:themeColor="text1"/>
          <w:sz w:val="16"/>
          <w:szCs w:val="16"/>
        </w:rPr>
        <w:softHyphen/>
        <w:t>механик 1-го класса Московской авиагруппы В.М.Коротаев «за проявленную в полете бес</w:t>
      </w:r>
      <w:r w:rsidRPr="00DB5D0D">
        <w:rPr>
          <w:rFonts w:ascii="Times New Roman" w:hAnsi="Times New Roman"/>
          <w:color w:val="000000" w:themeColor="text1"/>
          <w:sz w:val="16"/>
          <w:szCs w:val="16"/>
        </w:rPr>
        <w:softHyphen/>
        <w:t>печность и халатность, следствием чего яви</w:t>
      </w:r>
      <w:r w:rsidRPr="00DB5D0D">
        <w:rPr>
          <w:rFonts w:ascii="Times New Roman" w:hAnsi="Times New Roman"/>
          <w:color w:val="000000" w:themeColor="text1"/>
          <w:sz w:val="16"/>
          <w:szCs w:val="16"/>
        </w:rPr>
        <w:softHyphen/>
        <w:t>лось опоздание с переключением бензиновых баков, приведшие к остановке моторов и вы</w:t>
      </w:r>
      <w:r w:rsidRPr="00DB5D0D">
        <w:rPr>
          <w:rFonts w:ascii="Times New Roman" w:hAnsi="Times New Roman"/>
          <w:color w:val="000000" w:themeColor="text1"/>
          <w:sz w:val="16"/>
          <w:szCs w:val="16"/>
        </w:rPr>
        <w:softHyphen/>
        <w:t>нужденной посадке на тундру» - получил вы</w:t>
      </w:r>
      <w:r w:rsidRPr="00DB5D0D">
        <w:rPr>
          <w:rFonts w:ascii="Times New Roman" w:hAnsi="Times New Roman"/>
          <w:color w:val="000000" w:themeColor="text1"/>
          <w:sz w:val="16"/>
          <w:szCs w:val="16"/>
        </w:rPr>
        <w:softHyphen/>
        <w:t>говор и понижение квалификации до 2-го класса.</w:t>
      </w:r>
    </w:p>
    <w:p w14:paraId="45ECDA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Директора Красноярского авиаремонтного завода С.А.Захарова и гл. инженера В.И.Мель</w:t>
      </w:r>
      <w:r w:rsidRPr="00DB5D0D">
        <w:rPr>
          <w:rFonts w:ascii="Times New Roman" w:hAnsi="Times New Roman"/>
          <w:color w:val="000000" w:themeColor="text1"/>
          <w:sz w:val="16"/>
          <w:szCs w:val="16"/>
        </w:rPr>
        <w:softHyphen/>
        <w:t>никова из-за продолжающихся случаев не</w:t>
      </w:r>
      <w:r w:rsidRPr="00DB5D0D">
        <w:rPr>
          <w:rFonts w:ascii="Times New Roman" w:hAnsi="Times New Roman"/>
          <w:color w:val="000000" w:themeColor="text1"/>
          <w:sz w:val="16"/>
          <w:szCs w:val="16"/>
        </w:rPr>
        <w:softHyphen/>
        <w:t>доброкачественного ремонта предупредили, что в дальнейшем будут привлекать к строгой ответственности. Начальнику технической приемки УПА на КАРЗе Д.Я.Андрианову за сла</w:t>
      </w:r>
      <w:r w:rsidRPr="00DB5D0D">
        <w:rPr>
          <w:rFonts w:ascii="Times New Roman" w:hAnsi="Times New Roman"/>
          <w:color w:val="000000" w:themeColor="text1"/>
          <w:sz w:val="16"/>
          <w:szCs w:val="16"/>
        </w:rPr>
        <w:softHyphen/>
        <w:t>бый контроль качества ремонта материальной части объявили выговор и предупредили, что при повторении подобных фактов всех винов</w:t>
      </w:r>
      <w:r w:rsidRPr="00DB5D0D">
        <w:rPr>
          <w:rFonts w:ascii="Times New Roman" w:hAnsi="Times New Roman"/>
          <w:color w:val="000000" w:themeColor="text1"/>
          <w:sz w:val="16"/>
          <w:szCs w:val="16"/>
        </w:rPr>
        <w:softHyphen/>
        <w:t>ных будут привлекать к судебной ответствен</w:t>
      </w:r>
      <w:r w:rsidRPr="00DB5D0D">
        <w:rPr>
          <w:rFonts w:ascii="Times New Roman" w:hAnsi="Times New Roman"/>
          <w:color w:val="000000" w:themeColor="text1"/>
          <w:sz w:val="16"/>
          <w:szCs w:val="16"/>
        </w:rPr>
        <w:softHyphen/>
        <w:t>ности.</w:t>
      </w:r>
    </w:p>
    <w:p w14:paraId="2A75E6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1941 г. на летнюю навигацию само</w:t>
      </w:r>
      <w:r w:rsidRPr="00DB5D0D">
        <w:rPr>
          <w:rFonts w:ascii="Times New Roman" w:hAnsi="Times New Roman"/>
          <w:color w:val="000000" w:themeColor="text1"/>
          <w:sz w:val="16"/>
          <w:szCs w:val="16"/>
        </w:rPr>
        <w:softHyphen/>
        <w:t>лет СССР-Н235 назначался на линейную рабо</w:t>
      </w:r>
      <w:r w:rsidRPr="00DB5D0D">
        <w:rPr>
          <w:rFonts w:ascii="Times New Roman" w:hAnsi="Times New Roman"/>
          <w:color w:val="000000" w:themeColor="text1"/>
          <w:sz w:val="16"/>
          <w:szCs w:val="16"/>
        </w:rPr>
        <w:softHyphen/>
        <w:t>ту в Тикси. Командиром экипажа назначили пилота Сурнина, 1-м бортмехаником Жукова, 2-м бортмехаником Кириллина, бортрадистом Николаева. [Приказ № 71 от 8.5.41, РГАЭ, 9570-2-2973]</w:t>
      </w:r>
    </w:p>
    <w:p w14:paraId="081335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Дальнейшая судьба Дорнье «Валь» Н235 по имеющимся документам не прослеживается (11977).</w:t>
      </w:r>
    </w:p>
    <w:p w14:paraId="6402214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5F1FF1"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июля 1940 был Докладная записка наркома внутренних дел СССР Л. П. Берии И. В. Сталину о проекте постановления СНК СССР и ЦК ВКП(б) о строительстве четырех самолетостроительных и моторостроительных заводов в районе Куйбышева и Рыбинска с приложением проекта постановления</w:t>
      </w:r>
    </w:p>
    <w:p w14:paraId="015955D1"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Вашему указанию НКВД СССР представляет проект Постановления СНК СССР и ЦК ВКП(б) о строи</w:t>
      </w:r>
      <w:r w:rsidRPr="00DB5D0D">
        <w:rPr>
          <w:rFonts w:ascii="Times New Roman" w:hAnsi="Times New Roman"/>
          <w:color w:val="0070C0"/>
          <w:sz w:val="16"/>
          <w:szCs w:val="16"/>
        </w:rPr>
        <w:softHyphen/>
        <w:t>тельстве четырех авиационных заводов в районе Куйбышева и Рыбинска: двух самолетостроительных</w:t>
      </w:r>
    </w:p>
    <w:p w14:paraId="5B3DF0AA"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 двух моторостроительных.</w:t>
      </w:r>
    </w:p>
    <w:p w14:paraId="72469D5F"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Самолетостроительные заводы расчитаны на выпуск 2700 самолетов в год при двухсменной работе:</w:t>
      </w:r>
    </w:p>
    <w:p w14:paraId="1A10353C"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1500 двухмоторных цельнометаллических сред</w:t>
      </w:r>
      <w:r w:rsidRPr="00DB5D0D">
        <w:rPr>
          <w:rFonts w:ascii="Times New Roman" w:hAnsi="Times New Roman"/>
          <w:color w:val="0070C0"/>
          <w:sz w:val="16"/>
          <w:szCs w:val="16"/>
        </w:rPr>
        <w:softHyphen/>
        <w:t>них бомбардировщиков и</w:t>
      </w:r>
    </w:p>
    <w:p w14:paraId="7AD6EBAD"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1200 двухмоторных цельнометаллических даль</w:t>
      </w:r>
      <w:r w:rsidRPr="00DB5D0D">
        <w:rPr>
          <w:rFonts w:ascii="Times New Roman" w:hAnsi="Times New Roman"/>
          <w:color w:val="0070C0"/>
          <w:sz w:val="16"/>
          <w:szCs w:val="16"/>
        </w:rPr>
        <w:softHyphen/>
        <w:t>них бомбардировщиков.</w:t>
      </w:r>
    </w:p>
    <w:p w14:paraId="221C447C"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Моторостроительные заводы расчитаны на вы</w:t>
      </w:r>
      <w:r w:rsidRPr="00DB5D0D">
        <w:rPr>
          <w:rFonts w:ascii="Times New Roman" w:hAnsi="Times New Roman"/>
          <w:color w:val="0070C0"/>
          <w:sz w:val="16"/>
          <w:szCs w:val="16"/>
        </w:rPr>
        <w:softHyphen/>
        <w:t>пуск 11000 моторов в год с водяным охлаждением, из них 5000 типа AМ-35a-AМ-37 и 6000 типа М-120.</w:t>
      </w:r>
    </w:p>
    <w:p w14:paraId="317C0D9C"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Местонахождение двух заводов - одного самоле</w:t>
      </w:r>
      <w:r w:rsidRPr="00DB5D0D">
        <w:rPr>
          <w:rFonts w:ascii="Times New Roman" w:hAnsi="Times New Roman"/>
          <w:color w:val="0070C0"/>
          <w:sz w:val="16"/>
          <w:szCs w:val="16"/>
        </w:rPr>
        <w:softHyphen/>
        <w:t>тостроительного и одного моторостроительного, намечено в районе гор. Куйбышева и двух других заводов - в районе Рыбинска.</w:t>
      </w:r>
    </w:p>
    <w:p w14:paraId="7F22D4DD"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Строительная кубатура производственных цехов всех четырех заводов составляет 7,5 мил</w:t>
      </w:r>
      <w:r w:rsidRPr="00DB5D0D">
        <w:rPr>
          <w:rFonts w:ascii="Times New Roman" w:hAnsi="Times New Roman"/>
          <w:color w:val="0070C0"/>
          <w:sz w:val="16"/>
          <w:szCs w:val="16"/>
        </w:rPr>
        <w:softHyphen/>
        <w:t>лиона кубометров.</w:t>
      </w:r>
    </w:p>
    <w:p w14:paraId="764D0F27"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эксплоатации заводов потребуется около 75000 рабочих всех категорий.</w:t>
      </w:r>
    </w:p>
    <w:p w14:paraId="054B4887"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Ориентировочная стоимость строительства заводов, вместе с электростанциями и постоянным жилым фондом составит около 1.300 миллионов рублей.</w:t>
      </w:r>
    </w:p>
    <w:p w14:paraId="342A122D"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строительства этих заводов потребуется в 1940 году до 40.000 человек и в 1941 г. до 120.000 человек.</w:t>
      </w:r>
    </w:p>
    <w:p w14:paraId="4D08057D"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Окончание первых двух заводов в районе Куйбышева намечается на апрель-июнь 1942 года, а двух заводов в районе Рыбинска - в октябре-ноябре 1942 года.</w:t>
      </w:r>
    </w:p>
    <w:p w14:paraId="47C76EA4"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ускорения пуска авиационных заводов намечается на первый период построить жилые и бытовые помещения в ограниченных размерах и преимущественно облегчен</w:t>
      </w:r>
      <w:r w:rsidRPr="00DB5D0D">
        <w:rPr>
          <w:rFonts w:ascii="Times New Roman" w:hAnsi="Times New Roman"/>
          <w:color w:val="0070C0"/>
          <w:sz w:val="16"/>
          <w:szCs w:val="16"/>
        </w:rPr>
        <w:softHyphen/>
        <w:t>ного типа.</w:t>
      </w:r>
    </w:p>
    <w:p w14:paraId="48EC6870"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 этих условиях на 1941 год потребуется затра</w:t>
      </w:r>
      <w:r w:rsidRPr="00DB5D0D">
        <w:rPr>
          <w:rFonts w:ascii="Times New Roman" w:hAnsi="Times New Roman"/>
          <w:color w:val="0070C0"/>
          <w:sz w:val="16"/>
          <w:szCs w:val="16"/>
        </w:rPr>
        <w:softHyphen/>
        <w:t>тить 600-700 миллионов рублей.</w:t>
      </w:r>
    </w:p>
    <w:p w14:paraId="306F68E1"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проработке проектных соображений и расчетов по строительству этих заводов принимали участие специа</w:t>
      </w:r>
      <w:r w:rsidRPr="00DB5D0D">
        <w:rPr>
          <w:rFonts w:ascii="Times New Roman" w:hAnsi="Times New Roman"/>
          <w:color w:val="0070C0"/>
          <w:sz w:val="16"/>
          <w:szCs w:val="16"/>
        </w:rPr>
        <w:softHyphen/>
        <w:t>листы особого технического бюро: Благовещенский Б.Д.- инженер, принимавший участие в строительстве завода № 20; Алле В.В. - инженер, принимавший участие в проектировании и строительстве Воронежского и Казан</w:t>
      </w:r>
      <w:r w:rsidRPr="00DB5D0D">
        <w:rPr>
          <w:rFonts w:ascii="Times New Roman" w:hAnsi="Times New Roman"/>
          <w:color w:val="0070C0"/>
          <w:sz w:val="16"/>
          <w:szCs w:val="16"/>
        </w:rPr>
        <w:softHyphen/>
        <w:t>ского самолетных заводов; конструкторы - Петляков В.М. и Мясищев В.М., а также работники НКАП: председатель технического совета НКАП т. Голяев, главный инженер Госпроектного института НКАП т. Аврутин и главный ин</w:t>
      </w:r>
      <w:r w:rsidRPr="00DB5D0D">
        <w:rPr>
          <w:rFonts w:ascii="Times New Roman" w:hAnsi="Times New Roman"/>
          <w:color w:val="0070C0"/>
          <w:sz w:val="16"/>
          <w:szCs w:val="16"/>
        </w:rPr>
        <w:softHyphen/>
        <w:t>женер завода № 22 т. Тарасевич</w:t>
      </w:r>
    </w:p>
    <w:p w14:paraId="3D17518F"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Строительство авиационных ваводов будет произво</w:t>
      </w:r>
      <w:r w:rsidRPr="00DB5D0D">
        <w:rPr>
          <w:rFonts w:ascii="Times New Roman" w:hAnsi="Times New Roman"/>
          <w:color w:val="0070C0"/>
          <w:sz w:val="16"/>
          <w:szCs w:val="16"/>
        </w:rPr>
        <w:softHyphen/>
        <w:t>диться Наркомануделом, а проектирование Наркоматом Авиационной Промышленности.</w:t>
      </w:r>
    </w:p>
    <w:p w14:paraId="42A0C247"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Проект Постановления СНК СССР и ЦК ВКП(б) со</w:t>
      </w:r>
      <w:r w:rsidRPr="00DB5D0D">
        <w:rPr>
          <w:rFonts w:ascii="Times New Roman" w:hAnsi="Times New Roman"/>
          <w:color w:val="0070C0"/>
          <w:sz w:val="16"/>
          <w:szCs w:val="16"/>
        </w:rPr>
        <w:softHyphen/>
        <w:t>гласован с Народным Комиссаром Авиационной Промышлен</w:t>
      </w:r>
      <w:r w:rsidRPr="00DB5D0D">
        <w:rPr>
          <w:rFonts w:ascii="Times New Roman" w:hAnsi="Times New Roman"/>
          <w:color w:val="0070C0"/>
          <w:sz w:val="16"/>
          <w:szCs w:val="16"/>
        </w:rPr>
        <w:softHyphen/>
        <w:t>ности т. Шахуриным.</w:t>
      </w:r>
    </w:p>
    <w:p w14:paraId="2C49E3C7"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Прошу Ваших указаний.</w:t>
      </w:r>
    </w:p>
    <w:p w14:paraId="29B415CC"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Проект</w:t>
      </w:r>
    </w:p>
    <w:p w14:paraId="7CB4F80A"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ПОСТАНОВЛЕНИЕ</w:t>
      </w:r>
    </w:p>
    <w:p w14:paraId="459C9C08"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noProof/>
          <w:color w:val="0070C0"/>
          <w:sz w:val="16"/>
          <w:szCs w:val="16"/>
        </w:rPr>
        <mc:AlternateContent>
          <mc:Choice Requires="wps">
            <w:drawing>
              <wp:anchor distT="0" distB="0" distL="88900" distR="88900" simplePos="0" relativeHeight="251661312" behindDoc="0" locked="0" layoutInCell="1" allowOverlap="1" wp14:anchorId="4B0D889C" wp14:editId="613EB71D">
                <wp:simplePos x="0" y="0"/>
                <wp:positionH relativeFrom="page">
                  <wp:posOffset>7466965</wp:posOffset>
                </wp:positionH>
                <wp:positionV relativeFrom="paragraph">
                  <wp:posOffset>444500</wp:posOffset>
                </wp:positionV>
                <wp:extent cx="679450" cy="137160"/>
                <wp:effectExtent l="0" t="0" r="0" b="0"/>
                <wp:wrapSquare wrapText="left"/>
                <wp:docPr id="13" name="Надпись 13"/>
                <wp:cNvGraphicFramePr/>
                <a:graphic xmlns:a="http://schemas.openxmlformats.org/drawingml/2006/main">
                  <a:graphicData uri="http://schemas.microsoft.com/office/word/2010/wordprocessingShape">
                    <wps:wsp>
                      <wps:cNvSpPr txBox="1"/>
                      <wps:spPr>
                        <a:xfrm>
                          <a:off x="0" y="0"/>
                          <a:ext cx="679450" cy="137160"/>
                        </a:xfrm>
                        <a:prstGeom prst="rect">
                          <a:avLst/>
                        </a:prstGeom>
                        <a:noFill/>
                      </wps:spPr>
                      <wps:txbx>
                        <w:txbxContent>
                          <w:p w14:paraId="456814AA" w14:textId="77777777" w:rsidR="00C20471" w:rsidRDefault="00C20471" w:rsidP="00C20471">
                            <w:pPr>
                              <w:spacing w:line="240" w:lineRule="auto"/>
                            </w:pPr>
                            <w:r>
                              <w:rPr>
                                <w:color w:val="000000"/>
                              </w:rPr>
                              <w:t>Москва,Кремль</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 w14:anchorId="4B0D889C" id="Надпись 13" o:spid="_x0000_s1027" type="#_x0000_t202" style="position:absolute;left:0;text-align:left;margin-left:587.95pt;margin-top:35pt;width:53.5pt;height:10.8pt;z-index:251661312;visibility:visible;mso-wrap-style:none;mso-width-percent:0;mso-height-percent:0;mso-wrap-distance-left:7pt;mso-wrap-distance-top:0;mso-wrap-distance-right:7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" filled="f" stroked="f">
                <v:textbox inset="0,0,0,0">
                  <w:txbxContent>
                    <w:p w14:paraId="456814AA" w14:textId="77777777" w:rsidR="00C20471" w:rsidRDefault="00C20471" w:rsidP="00C20471">
                      <w:pPr>
                        <w:spacing w:line="240" w:lineRule="auto"/>
                      </w:pPr>
                      <w:proofErr w:type="spellStart"/>
                      <w:proofErr w:type="gramStart"/>
                      <w:r>
                        <w:rPr>
                          <w:color w:val="000000"/>
                        </w:rPr>
                        <w:t>Москва,Кремль</w:t>
                      </w:r>
                      <w:proofErr w:type="spellEnd"/>
                      <w:proofErr w:type="gramEnd"/>
                    </w:p>
                  </w:txbxContent>
                </v:textbox>
                <w10:wrap type="square" side="left" anchorx="page"/>
              </v:shape>
            </w:pict>
          </mc:Fallback>
        </mc:AlternateContent>
      </w:r>
      <w:r w:rsidRPr="00DB5D0D">
        <w:rPr>
          <w:rFonts w:ascii="Times New Roman" w:hAnsi="Times New Roman"/>
          <w:color w:val="0070C0"/>
          <w:sz w:val="16"/>
          <w:szCs w:val="16"/>
        </w:rPr>
        <w:t>СОВЕТА НАРОДНЫХ КОМИССАРОВ СОЮЗА ССР и ЦЕНТРАЛЬНОГО КОМИТЕТА ВКЩб)</w:t>
      </w:r>
    </w:p>
    <w:p w14:paraId="241AB740"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 июля 1940 г.</w:t>
      </w:r>
    </w:p>
    <w:p w14:paraId="2FF4CBA5"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 строительстве авиационных заводов самолето и моторостроения</w:t>
      </w:r>
    </w:p>
    <w:p w14:paraId="5D355806"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СНК СССР и ЦК ВКП(б) - ПОСТАНОВЛЯЮТ:</w:t>
      </w:r>
    </w:p>
    <w:p w14:paraId="627ECB46"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Приступить в 1940 году к строительству 4 новых авиационных заводов.</w:t>
      </w:r>
    </w:p>
    <w:p w14:paraId="35492841"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 них:</w:t>
      </w:r>
    </w:p>
    <w:p w14:paraId="529A07B3"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районе Куйбышева на Безымянской и Паданской площадке:</w:t>
      </w:r>
    </w:p>
    <w:p w14:paraId="7A263FCE"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самолетостроительный завод № 122 с годовым выпуском 1200 двухмоторных, цельнометаллических дальних бомбар</w:t>
      </w:r>
      <w:r w:rsidRPr="00DB5D0D">
        <w:rPr>
          <w:rFonts w:ascii="Times New Roman" w:hAnsi="Times New Roman"/>
          <w:color w:val="0070C0"/>
          <w:sz w:val="16"/>
          <w:szCs w:val="16"/>
        </w:rPr>
        <w:softHyphen/>
        <w:t>дировщиков -при работе в две смены;</w:t>
      </w:r>
    </w:p>
    <w:p w14:paraId="286AC39D"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моторостроительный завод № 337 с годовым выпуском 6000 моторов типа М-120 - при работе в две смены;</w:t>
      </w:r>
    </w:p>
    <w:p w14:paraId="22DF2897"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 в районе Рыбинска:</w:t>
      </w:r>
    </w:p>
    <w:p w14:paraId="6624F86D"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самолетостроительный завод № 295 с годовым выпуском 1500 двухмоторных, цельнометаллических средних бомбар</w:t>
      </w:r>
      <w:r w:rsidRPr="00DB5D0D">
        <w:rPr>
          <w:rFonts w:ascii="Times New Roman" w:hAnsi="Times New Roman"/>
          <w:color w:val="0070C0"/>
          <w:sz w:val="16"/>
          <w:szCs w:val="16"/>
        </w:rPr>
        <w:softHyphen/>
        <w:t>дировщиков - при работе в две смены и моторостроительный завод № 296 с годовым выпуском 5000 моторов типа АМ-35а и АМ37 - при работе в две смены Строительство заводов возложить на НКВД СССР.</w:t>
      </w:r>
    </w:p>
    <w:p w14:paraId="335B6A0E"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Установить следующие сроки полного окончания строительства и пуска заводов:</w:t>
      </w:r>
    </w:p>
    <w:p w14:paraId="5500699C"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моторостроительный завод № 337 - 1 апреля 1942 г. самолетостроительный завод № 122 - 1 июня 1942 г. моторостроительный завод № 295 - 1 октября 1942г. самолетостроительный завод №296 - 1 декабря 1942г.</w:t>
      </w:r>
    </w:p>
    <w:p w14:paraId="0BE06D4D"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Проектирование заводов возложить на НКАП (1-й Государственный проектный институт).</w:t>
      </w:r>
    </w:p>
    <w:p w14:paraId="3BCDDE77"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Обязать НКСП (46 проектный трест), Наркомэлектростанций (Теплоэлектропроект), Наркомстрой (Промстрой- и Горстройпроект), НККХ (Госводоканалпроект) выполнять проектные работы для 1 ГПИ в сроки, обеспечивающие своевременное окончание проекта, для чего выделить специальные бригады проектировщиков, освободив их от всякой другой работы.</w:t>
      </w:r>
    </w:p>
    <w:p w14:paraId="63DC5D9C"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Обязать Народного Комиссара Авиационной Про</w:t>
      </w:r>
      <w:r w:rsidRPr="00DB5D0D">
        <w:rPr>
          <w:rFonts w:ascii="Times New Roman" w:hAnsi="Times New Roman"/>
          <w:color w:val="0070C0"/>
          <w:sz w:val="16"/>
          <w:szCs w:val="16"/>
        </w:rPr>
        <w:softHyphen/>
        <w:t>мышленности к 1 августа утвердить плановое задание на проектирование указанных выше заводов.</w:t>
      </w:r>
    </w:p>
    <w:p w14:paraId="18001678"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Обязать НКАП и НКВД:</w:t>
      </w:r>
    </w:p>
    <w:p w14:paraId="566AC98B"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утвердить проектное задание заводов № 127 и № 337 к 1 октября 1940 года, а заводов № 296 и № 296- к 1 ноября 1940 года;</w:t>
      </w:r>
    </w:p>
    <w:p w14:paraId="59C2AC11"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утвердить технические проекты и сметы заводов № 122 и № 337 к I мая 1941 года и заводов № 295 и № 296 - к 1 июля 1941 года.</w:t>
      </w:r>
    </w:p>
    <w:p w14:paraId="1C4FE876" w14:textId="77777777" w:rsidR="00C20471" w:rsidRPr="00DB5D0D" w:rsidRDefault="00C2047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Обязать НКАП выдать строительству генеральные планы заводов к I сентября 1940 года и с этого же срока начать выдачу рабочих строительных чертежей (21952).</w:t>
      </w:r>
    </w:p>
    <w:p w14:paraId="4095BA01" w14:textId="77777777" w:rsidR="00C20471" w:rsidRPr="00DB5D0D" w:rsidRDefault="00C20471" w:rsidP="00DB5D0D">
      <w:pPr>
        <w:spacing w:after="0" w:line="240" w:lineRule="auto"/>
        <w:jc w:val="both"/>
        <w:rPr>
          <w:rFonts w:ascii="Times New Roman" w:hAnsi="Times New Roman"/>
          <w:color w:val="0070C0"/>
          <w:sz w:val="16"/>
          <w:szCs w:val="16"/>
        </w:rPr>
      </w:pPr>
    </w:p>
    <w:p w14:paraId="40C282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 по приказу НКАП № 383с от 30.07.1940 г. образован филиал завода- Завод им. КПГ. Начальник филиала (07.1940 г.-)- Самсонов, (-10.1940 г.)- М.Я. Горелик. По приказу № 269с от 25.03.1941 г. филиал завода № 32 был с 1.04.1941 г. преобразован в самостоятельный ГС завод № 487 им. КПГ (10776).</w:t>
      </w:r>
    </w:p>
    <w:p w14:paraId="0125561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063F5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 по приказу № 383с от 30.07.1940 г. образован филиал завода № 32 (Завод № 32 НКТП, НКОП, НКАП, МАП, Кировского СНХ, Кировский машиностроительный завод (КМСЗ) «Маяк» им. XX партсъезда, Кировское машиностроительное ПО (КМПО) им. XX партсъезда, ФГУП «Вятское машиностроительное предприятие (ВМП) «Авитек», ОАО «ВМП «Авитек» РАКА /г. Москва ул. Правды, 8;  г. Киров, Филейское ш./ /610047  г. Киров Октябрьский пр., 1А тел. 23-25-22/) - Завод им. КП Г. Начальник филиала (07.1940 г.-)- Самсонов, (-10.1940 г.)- М.Я. Горелик. По приказу № 269с от 25.03.1941 г. филиал завода № 32 был с 1.04.1941 г. преобразован в самостоятельный ГС завод № 487 им. КПГ (11982).</w:t>
      </w:r>
    </w:p>
    <w:p w14:paraId="65CF726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2655C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20 по 31 июля 1940 года на НИП АВ ВВС проходили наземные полигонные испытания двух турелей конструкции завода N 39 под два пулемета Шкас (2977).</w:t>
      </w:r>
    </w:p>
    <w:p w14:paraId="659CA8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45F811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2-го ранга Успенский.</w:t>
      </w:r>
    </w:p>
    <w:p w14:paraId="58C762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742D3F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турелей на земле на стапеле, в части обеспечения работы автоматики пулемета.</w:t>
      </w:r>
    </w:p>
    <w:p w14:paraId="06FA53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C7148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Предъявленные заводом N 39 два варианта турелей под два пулемета Шкас обеспечивают безотказную работу пулеметов на земле со специального стапеля.</w:t>
      </w:r>
    </w:p>
    <w:p w14:paraId="30E95F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Испытания показали, что турель с "дуговым" принципом преимуществами перед турелью с "Клычным" принципом не обладает, а по некоторым результатам имеет даже несколько худшие результаты. (процент задержек, результаты рассеивания).</w:t>
      </w:r>
    </w:p>
    <w:p w14:paraId="04074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Испытаниями установлено, что оба варианта турелей не дают возможности осуществить пристрелку пулеметов (2977).</w:t>
      </w:r>
    </w:p>
    <w:p w14:paraId="25B8BAF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EA728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 Начальник ВВС генерал-лейтенант авиации Смушкевич и Военком ВВС дивизионный комиссар Агальцов 24 июля 1940 года утвердили Тактико-технические требования На лакокрасочные покрытия для самолетов по темам 1940 года (6767).</w:t>
      </w:r>
    </w:p>
    <w:p w14:paraId="4F3846C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w:t>
      </w:r>
    </w:p>
    <w:p w14:paraId="3CFF76A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Лакокрасочные покрытия предназначаются для защиты внутренней и внешней поверхности самолетов от разрушения под влиянием атмосферных условий, действия СОВ и ДВ, огня и грибка. В случаях матерчатой обтяжки самолетов лакокрасочные покрытия выполняют еще функцию натяжения ткани.</w:t>
      </w:r>
    </w:p>
    <w:p w14:paraId="2F77363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………………(6767).</w:t>
      </w:r>
    </w:p>
    <w:p w14:paraId="0B679E2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12AB3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 с учетом всех дополнений совместным Научно-техническим журналом 3-го управления ГУАС КА и Управления авиации ВМФ №098 авиабомбы БРАБ-500ДС утвердили для пои</w:t>
      </w:r>
      <w:r w:rsidRPr="00DB5D0D">
        <w:rPr>
          <w:rFonts w:ascii="Times New Roman" w:hAnsi="Times New Roman"/>
          <w:color w:val="000000" w:themeColor="text1"/>
          <w:sz w:val="16"/>
          <w:szCs w:val="16"/>
        </w:rPr>
        <w:softHyphen/>
        <w:t>сковых испытаний, присвоив им номер модели 3-0688 и ин</w:t>
      </w:r>
      <w:r w:rsidRPr="00DB5D0D">
        <w:rPr>
          <w:rFonts w:ascii="Times New Roman" w:hAnsi="Times New Roman"/>
          <w:color w:val="000000" w:themeColor="text1"/>
          <w:sz w:val="16"/>
          <w:szCs w:val="16"/>
        </w:rPr>
        <w:softHyphen/>
        <w:t>декс ВВС - 7-Б-362.</w:t>
      </w:r>
    </w:p>
    <w:p w14:paraId="7E41A3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 отметить, что параллельно с основным образцом авиабомбы обычно разрабатывали и его модификацию - так назывваемую«БРАБ-500ДС с наседающей частью». Это были БЧ ракетных авиабомб предназначенные для отстрела из орудий на морском артполигоне с целью исследования проникающей способности и прочности корпуса БЧ. У них вместо ракетного двигателя на БЧ устанавливали донную пробку медным ведущим пояском. Причем, масса этого узла должна была строго соответствовать половине пустого корпуса двигателя (11402).</w:t>
      </w:r>
    </w:p>
    <w:p w14:paraId="3722D8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EDD64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 совместным Научно-техническим журналом 3-го управления ГУАС КА и Управления авиации ВМФ СССР №0111 БРАБ-700ДС присвоили номер модели 3-0755 и индекс ВВС - 7-Б-361. Предыдущий образец БРАБ-800ДС модели 3-0526 с производства сняли. Кроме того, в 1938 г. по теме 316 в ССБ НКТП продолжалась ОКР по оптимизации конструкции БЧ к 305-мм БРАБ. Работу с самого начала вел А.Груздев. К концу года чертежи поступили на завод №172 для изготовления опытной партии для испытаний (11402).</w:t>
      </w:r>
    </w:p>
    <w:p w14:paraId="1E66E9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D2B38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20 июня 1940 г. УЗТМ им. С.Орджоникидзе готов к выпуску партии БРАБ-450ДС в 25 штук. Завод №78 к 15 августа 1940 г. выпустит установочную партию в 36 штук БРАБ-200ДС, а НКМЗ к этому времени не даст ни одной БЕ-ТАБ-750ДС».</w:t>
      </w:r>
    </w:p>
    <w:p w14:paraId="2E3471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заводы посетил представитель НИИ-3 Фокин, который заявил, что при существующем положении дел бомбы в срок изготовлены не бу</w:t>
      </w:r>
      <w:r w:rsidRPr="00DB5D0D">
        <w:rPr>
          <w:rFonts w:ascii="Times New Roman" w:hAnsi="Times New Roman"/>
          <w:color w:val="000000" w:themeColor="text1"/>
          <w:sz w:val="16"/>
          <w:szCs w:val="16"/>
        </w:rPr>
        <w:softHyphen/>
        <w:t>дут. Таким образом, войсковые испытания - пол угрозой срыва. В случае сдачи заводами большого количества изделий на заливку, ее необходимо провести не на одном заводе №80, но и на заводе №12.</w:t>
      </w:r>
    </w:p>
    <w:p w14:paraId="2D03A5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БЧ по договору разрабатывают в ГСКБ-47. Срок окончания работ -коней, года. Испытания БРАБ и БЕТАБ-254 и -305 прошли с положи</w:t>
      </w:r>
      <w:r w:rsidRPr="00DB5D0D">
        <w:rPr>
          <w:rFonts w:ascii="Times New Roman" w:hAnsi="Times New Roman"/>
          <w:color w:val="000000" w:themeColor="text1"/>
          <w:sz w:val="16"/>
          <w:szCs w:val="16"/>
        </w:rPr>
        <w:softHyphen/>
        <w:t>тельными результатами. БРАБ-203 к испытаниям готовы на 22-25 июня» (11402).</w:t>
      </w:r>
    </w:p>
    <w:p w14:paraId="7FEC65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B115608" w14:textId="77777777" w:rsidR="003C7E8B" w:rsidRPr="00DB5D0D" w:rsidRDefault="00B30AFA"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31E3085" w14:textId="77777777" w:rsidR="003C7E8B" w:rsidRPr="00DB5D0D" w:rsidRDefault="003C7E8B" w:rsidP="00DB5D0D">
      <w:pPr>
        <w:shd w:val="clear" w:color="auto" w:fill="FFFFFF"/>
        <w:spacing w:after="0" w:line="240" w:lineRule="auto"/>
        <w:jc w:val="both"/>
        <w:rPr>
          <w:rFonts w:ascii="Times New Roman" w:hAnsi="Times New Roman"/>
          <w:iCs/>
          <w:color w:val="000000" w:themeColor="text1"/>
          <w:sz w:val="16"/>
          <w:szCs w:val="16"/>
        </w:rPr>
      </w:pPr>
    </w:p>
    <w:p w14:paraId="483840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Нач. Производственно-распорядительного отдела НКБ Суханицкий писал письмо № 326 ГЛАВНОМУ КОНТРОЛЕРУ КОМИТЕТА ОБОРОНЫ при СНК Союза ССР тов. ИВАНОВУ</w:t>
      </w:r>
    </w:p>
    <w:p w14:paraId="31087A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Ваш запрос - кто является автором изделий "ШД" и "КД”?</w:t>
      </w:r>
    </w:p>
    <w:p w14:paraId="2D4142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делах Производственно-Распорядительного Оттдела и бывшего 5-го Гл.Управл. НКБ предложения со стороны автора "КД” и “ШД” не поступило в течение 1940 года. В БРИЗ"е НКБ на “ШД” и "КД" предложений тоже нет. Вследствие этого не рассмотрев дело законным порядком, сказать чье это предложение невозможно.</w:t>
      </w:r>
    </w:p>
    <w:p w14:paraId="3B9BBA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словам гл.инженера завода.где разрабатывались из</w:t>
      </w:r>
      <w:r w:rsidRPr="00DB5D0D">
        <w:rPr>
          <w:rFonts w:ascii="Times New Roman" w:hAnsi="Times New Roman"/>
          <w:color w:val="000000" w:themeColor="text1"/>
          <w:sz w:val="16"/>
          <w:szCs w:val="16"/>
        </w:rPr>
        <w:softHyphen/>
        <w:t>делия "КД" и "ШД", тов. Нестерова - "ШД" прикадлежит инициати</w:t>
      </w:r>
      <w:r w:rsidRPr="00DB5D0D">
        <w:rPr>
          <w:rFonts w:ascii="Times New Roman" w:hAnsi="Times New Roman"/>
          <w:color w:val="000000" w:themeColor="text1"/>
          <w:sz w:val="16"/>
          <w:szCs w:val="16"/>
        </w:rPr>
        <w:softHyphen/>
        <w:t>ве тов. Коротяева, а "КД" тов. СЕРОВУ конструктору завода.</w:t>
      </w:r>
    </w:p>
    <w:p w14:paraId="604DF2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"КД" в настоящее время отработана и изготовляются серийные партии, а "ЩД" при испытании не дало положительных результатов и работы в настоящее время приостаноалены. После окончательной отработки "КД", заводом будет возобнновлена ра</w:t>
      </w:r>
      <w:r w:rsidRPr="00DB5D0D">
        <w:rPr>
          <w:rFonts w:ascii="Times New Roman" w:hAnsi="Times New Roman"/>
          <w:color w:val="000000" w:themeColor="text1"/>
          <w:sz w:val="16"/>
          <w:szCs w:val="16"/>
        </w:rPr>
        <w:softHyphen/>
        <w:t>бота по "ШД" для того чтобы окончательно убедиться в целесобразности изготовления "ШД" (10206,161).</w:t>
      </w:r>
    </w:p>
    <w:p w14:paraId="295FCED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B8ED4FC" w14:textId="77777777" w:rsidR="00F23BA4" w:rsidRPr="00DB5D0D" w:rsidRDefault="00F23BA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20 июля 1940 г. в отделе «700» был введен в эксплуатацию второй стенд для сварки корпусов танка Т-34, а в отделе «100» начаты работы по реконструкции сборочного цеха «130» – усиление подкрановых путей и постройка второй линии конвейера для сборки танков Т-34 (18148). </w:t>
      </w:r>
    </w:p>
    <w:p w14:paraId="118DC14F" w14:textId="77777777" w:rsidR="00F23BA4" w:rsidRPr="00DB5D0D" w:rsidRDefault="00F23BA4" w:rsidP="00DB5D0D">
      <w:pPr>
        <w:spacing w:after="0" w:line="240" w:lineRule="auto"/>
        <w:jc w:val="both"/>
        <w:rPr>
          <w:rFonts w:ascii="Times New Roman" w:hAnsi="Times New Roman"/>
          <w:color w:val="000000" w:themeColor="text1"/>
          <w:sz w:val="16"/>
          <w:szCs w:val="16"/>
        </w:rPr>
      </w:pPr>
    </w:p>
    <w:p w14:paraId="063DAD8C" w14:textId="77777777" w:rsidR="00BB4DC3"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07379008" w14:textId="77777777" w:rsidR="00BB4DC3" w:rsidRPr="00DB5D0D" w:rsidRDefault="00BB4DC3" w:rsidP="00DB5D0D">
      <w:pPr>
        <w:spacing w:after="0" w:line="240" w:lineRule="auto"/>
        <w:jc w:val="both"/>
        <w:rPr>
          <w:rFonts w:ascii="Times New Roman" w:hAnsi="Times New Roman"/>
          <w:iCs/>
          <w:color w:val="000000" w:themeColor="text1"/>
          <w:sz w:val="16"/>
          <w:szCs w:val="16"/>
        </w:rPr>
      </w:pPr>
    </w:p>
    <w:p w14:paraId="799D30E9" w14:textId="77777777" w:rsidR="00BB4DC3" w:rsidRPr="00DB5D0D" w:rsidRDefault="00BB4DC3"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bCs/>
          <w:iCs/>
          <w:color w:val="000000" w:themeColor="text1"/>
          <w:sz w:val="16"/>
          <w:szCs w:val="16"/>
        </w:rPr>
        <w:t>20 июля 1940 г.</w:t>
      </w:r>
      <w:r w:rsidRPr="00DB5D0D">
        <w:rPr>
          <w:rFonts w:ascii="Times New Roman" w:hAnsi="Times New Roman"/>
          <w:color w:val="000000" w:themeColor="text1"/>
          <w:sz w:val="16"/>
          <w:szCs w:val="16"/>
        </w:rPr>
        <w:t xml:space="preserve"> Утверждение заместителем наркома обороны СССР маршалом Г.И.Куликом секретной </w:t>
      </w:r>
      <w:r w:rsidRPr="00DB5D0D">
        <w:rPr>
          <w:rFonts w:ascii="Times New Roman" w:hAnsi="Times New Roman"/>
          <w:iCs/>
          <w:color w:val="000000" w:themeColor="text1"/>
          <w:sz w:val="16"/>
          <w:szCs w:val="16"/>
        </w:rPr>
        <w:t>«Инструкции по стрельбе артиллерийскими химическими снарядами»</w:t>
      </w:r>
      <w:r w:rsidRPr="00DB5D0D">
        <w:rPr>
          <w:rFonts w:ascii="Times New Roman" w:hAnsi="Times New Roman"/>
          <w:color w:val="000000" w:themeColor="text1"/>
          <w:sz w:val="16"/>
          <w:szCs w:val="16"/>
        </w:rPr>
        <w:t>. В соответствии с представлениями 1940 года, армия предполагала решать средствами артиллерии две группы боевых задач. С использованием СОВ планировалось заражать местность или подавлять огневые средства и живую силу противника с одновременным заражением местности. С применением НОВ предполагалось поражать живую силу противника (17133).</w:t>
      </w:r>
    </w:p>
    <w:p w14:paraId="1E6A48B7" w14:textId="77777777" w:rsidR="00BB4DC3" w:rsidRPr="00DB5D0D" w:rsidRDefault="00BB4DC3" w:rsidP="00DB5D0D">
      <w:pPr>
        <w:shd w:val="clear" w:color="auto" w:fill="FFFFFF"/>
        <w:spacing w:after="0" w:line="240" w:lineRule="auto"/>
        <w:jc w:val="both"/>
        <w:rPr>
          <w:rFonts w:ascii="Times New Roman" w:hAnsi="Times New Roman"/>
          <w:color w:val="000000" w:themeColor="text1"/>
          <w:sz w:val="16"/>
          <w:szCs w:val="16"/>
        </w:rPr>
      </w:pPr>
    </w:p>
    <w:p w14:paraId="6E7467E0"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2C1DC9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726CE7B" w14:textId="77777777" w:rsidR="00395AD3" w:rsidRPr="00DB5D0D" w:rsidRDefault="00395AD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июля 1940 Swordfish из 813-й эскадрильи Air Arm флота наносят еще один торпедный удар по Тобруку, потопив два итальянских эсминца (20795).</w:t>
      </w:r>
    </w:p>
    <w:p w14:paraId="76CBF0E3" w14:textId="77777777" w:rsidR="00395AD3" w:rsidRPr="00DB5D0D" w:rsidRDefault="00395AD3" w:rsidP="00DB5D0D">
      <w:pPr>
        <w:spacing w:after="0" w:line="240" w:lineRule="auto"/>
        <w:jc w:val="both"/>
        <w:rPr>
          <w:rFonts w:ascii="Times New Roman" w:hAnsi="Times New Roman"/>
          <w:color w:val="0070C0"/>
          <w:sz w:val="16"/>
          <w:szCs w:val="16"/>
        </w:rPr>
      </w:pPr>
    </w:p>
    <w:p w14:paraId="623822A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в Англии на время войны запрещена торговля новыми автомобилями (4962).</w:t>
      </w:r>
    </w:p>
    <w:p w14:paraId="1E9681C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EFD1AEA"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в 1940 году отменен ранее объявленный парад вермахта в Париже. Это решение было принято из-за угрозы английских бомбардировок (14958).</w:t>
      </w:r>
    </w:p>
    <w:p w14:paraId="1EFE4D44"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1CE6DD68"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в 1940 году Ф.Д.Рузвельт подписал закон о создании флота на двух океанах. Министр финансов Генри Моргентау и министр обороны Стимсон выступали за принятие декларации, которая означала бы полное эмбарго на экспорт нефти в Японию. Государственный департамент настоял на принятии документа в такой редакции, согласно которой система лицензирования ограничивала экспорт авиационного бензина с октановым числом 87 и выше, а также некоторых видов железной руды и стального лома (14958).</w:t>
      </w:r>
    </w:p>
    <w:p w14:paraId="5FC89EFE"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2E8869AA"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в 1940 году американский музыкальный журнал «Billboard» публикует первый список самых популярных песен. Ранее в журнале уже публиковались подобные списки, но представленные в них данные давались компаниями-производителями и отражали популярность пластинок, производимых только ими. На этот раз все данные сведены воедино и дают объективную картину продаж грампластинок того или иного исполнителя. Первой возглавляет чарт песня "Я больше никогда не улыбнусь" (I'll Never Smile Again), записанная оркестром Томми Дорси с Фрэнком Синатрой и вокальной группой «The Pied Pipers» (14958).</w:t>
      </w:r>
    </w:p>
    <w:p w14:paraId="424A6E1B"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3C6EE95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в американском журнале «Биллборд» опубликован первый в мире хит-парад грампластинок (4962).</w:t>
      </w:r>
    </w:p>
    <w:p w14:paraId="05FB495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438423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D508AF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5EF5F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1940 И.Н.Костев совершил ночной прыжок с высоты 7650 м (271,191).</w:t>
      </w:r>
    </w:p>
    <w:p w14:paraId="6B39099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630B7BA"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в 1940 году мировой рекорд ночного высотного парашютного прыжка с высоты 13025 м, парашютист Василий Харахонов (14959).</w:t>
      </w:r>
    </w:p>
    <w:p w14:paraId="160508F4"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5A353CD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76B4FB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ADE94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1940 года головной сторожевик — "Ястреб" —на заводе 190 в Ленинграде был спущен на воду. Всего в третьей пятилетке предполагалось строить для ВМФ на трех заводах серию из 30 кораблей, из которьгх 9 должны были вступить в строй к 1 января 1943 г. Вслед за "Ястребом" на заводе 190 в 1939—1941 гг. заложили "Орел", "Коршун", "Беркут", "Сокол" и "Гриф", а также два сторожевика для Морпогранохраны НКВД. На заводе 199 в Комсомольске в декабре 1939 г. были зало</w:t>
      </w:r>
      <w:r w:rsidRPr="00DB5D0D">
        <w:rPr>
          <w:rFonts w:ascii="Times New Roman" w:hAnsi="Times New Roman"/>
          <w:color w:val="000000" w:themeColor="text1"/>
          <w:sz w:val="16"/>
          <w:szCs w:val="16"/>
        </w:rPr>
        <w:softHyphen/>
        <w:t>жены "Буревестник" и "Альбатрос". Четыре однотипных сторожеви</w:t>
      </w:r>
      <w:r w:rsidRPr="00DB5D0D">
        <w:rPr>
          <w:rFonts w:ascii="Times New Roman" w:hAnsi="Times New Roman"/>
          <w:color w:val="000000" w:themeColor="text1"/>
          <w:sz w:val="16"/>
          <w:szCs w:val="16"/>
        </w:rPr>
        <w:softHyphen/>
        <w:t>ка для Черноморского флота — "Тигр", "Леопард", "Рысь" и "Ягу</w:t>
      </w:r>
      <w:r w:rsidRPr="00DB5D0D">
        <w:rPr>
          <w:rFonts w:ascii="Times New Roman" w:hAnsi="Times New Roman"/>
          <w:color w:val="000000" w:themeColor="text1"/>
          <w:sz w:val="16"/>
          <w:szCs w:val="16"/>
        </w:rPr>
        <w:softHyphen/>
        <w:t>ар" — незадолго до начала войны заложили на заводе 198 в Никола</w:t>
      </w:r>
      <w:r w:rsidRPr="00DB5D0D">
        <w:rPr>
          <w:rFonts w:ascii="Times New Roman" w:hAnsi="Times New Roman"/>
          <w:color w:val="000000" w:themeColor="text1"/>
          <w:sz w:val="16"/>
          <w:szCs w:val="16"/>
        </w:rPr>
        <w:softHyphen/>
        <w:t>еве. К 22 июня 1941 г. готовились корпусные конструкции еще для пяти кораблей, намеченных к закладке в Ленинграде ("Кречет"), Николаеве ("Кугуар", "Пантера") и Комсомольске ("Фрегат", "Орлан" и др.) (3898).</w:t>
      </w:r>
    </w:p>
    <w:p w14:paraId="47E2656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359008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1876FCC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7CC83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1940 были образованы Латвийская, Литовская и Эстонская ССР (1348,245).</w:t>
      </w:r>
    </w:p>
    <w:p w14:paraId="6BDDFFE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AFD794"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в 1940 году народные сеймы Латвии и Литвы и Государственная дума Эстонии объявляют об установлении Советской власти в своих странах, провозглашении советских социалистических республик и обращаются в Верховный Совет СССР с просьбой о принятии в состав Советского Союза (14959).</w:t>
      </w:r>
    </w:p>
    <w:p w14:paraId="7AEE1052"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19F5058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7E23A6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CE74EE4"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 июля в 1940 году закончен в постройке первый </w:t>
      </w:r>
      <w:hyperlink r:id="rId210" w:tgtFrame="_blank" w:history="1">
        <w:r w:rsidRPr="00DB5D0D">
          <w:rPr>
            <w:rFonts w:ascii="Times New Roman" w:hAnsi="Times New Roman"/>
            <w:color w:val="000000" w:themeColor="text1"/>
            <w:sz w:val="16"/>
            <w:szCs w:val="16"/>
          </w:rPr>
          <w:t xml:space="preserve">«B-17C». </w:t>
        </w:r>
      </w:hyperlink>
      <w:r w:rsidRPr="00DB5D0D">
        <w:rPr>
          <w:rFonts w:ascii="Times New Roman" w:hAnsi="Times New Roman"/>
          <w:color w:val="000000" w:themeColor="text1"/>
          <w:sz w:val="16"/>
          <w:szCs w:val="16"/>
        </w:rPr>
        <w:t>Этот самолет остался у компании Boeing и использовался для испытательных полетов. Поставка первой партии «B-17C» USAAC была закончена к 29 ноября 1940 года. Улучшенная версия «Model 299H» получила в армии обозначение «B-17C». Самолеты получили серийные номера от 40-2042 до 40-2079. Внешне «B-17C» отличался от предыдущих версий «B-17» убранными каплевидными блистерами по бокам фюзеляжа в хвостовой части. Каплевидные блистеры сильно ограничивали секторы обстрела пулеметов в вертикальной плоскости и, помимо дополнительного аэродинамического сопротивления, направляли завихренный воздушный поток на горизонтальные плоскости хвостового оперения. На «В-17С» блистеры заменили на окна. Чтобы избежать перепроектировки хвостовой части, новые окна получили каплевидную форму. В каждом окне имелся один установленный в углу 12,7 мм пулемет «Colt-Browning ««М-2». Подфюзеляжный блистер для пулемета был заменен большим металлическим кожухом по форме напоминавшим ванну в котором располагался еще один 12,7 мм пулемет «М-2». Конструкция этой установки была аналогична примененной на немецком среднем бомбардировщике «Heinkel» «He.111». Для ведения огня из пулемета вниз в сторону хвостовой части стрелок был вынужден становиться на колени. Надфюзеляжный блистер в отделении радиста заменили гладкой плексигласовой панелью, в которой имелось гнездо для одного 12,7 мм пулемета «М-2». Вместо одного гнезда в центре носовой части появилось шесть гнезд по сторонам для установки переносного 7,62 мм пулемета «М-2». Огонь из пулемета можно было вести из любого из этих гнезд. На самолете смонтировали протектированные топливные баки и дополнительную бронезащиту экипажа. Кроме того на самолетах применили разделенную кислородную систему в кабине экипажа и улучшенную схему распределения топлива. Силовая установка состояла из четырех звездообразных двигателей с турбонаддувом «Wright» «GR-1820-65» («G-205A») «Cyclonе» взлетной мощностью 1200 л.с. Максимально допустимый взлетный вес самолета вырос до 49650 фунтов (14959).</w:t>
      </w:r>
    </w:p>
    <w:p w14:paraId="00CA79FE"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72B6ADCF"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в 1940 году в Англии у Гудвуда совершил вынужденную посадку первый двухдвигательный истребитель "Мессершмитт" «Bf 110C-5» (№ 2177) из 4.(F)/14. «Bf 110C-5» представлял собой вариант самолета-разведчика. Легкие повреждения были устранены с использованием узлов от другого Bf 110, совершившего вынужденную посадку 10 днями ранее у Варехама. Восстановленный самолет (позже получивший номер «AX772») впервые был облетан англичанами 25 октября 1940 г. «Bf 110C-5» сохранил двигатели «DB 601A-1», а модификация «Bf 110C-5/N» получила «DB 601N». На снимках проверка вооружения немецкого ночного истребителя «Bf-110C» из I.NJG3 на сицилийском аэродроме. Рисунок на борту в виде совы, сидящей на месяце -эмблема 3-й ночной истребительной эскадры I.NJG3</w:t>
      </w:r>
    </w:p>
    <w:p w14:paraId="6536C24D"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00C90321"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 июля в 1940 году перелет (по 1 августа) по маршруту Эссендон-Сидней-Брисбен-Дарвин-Перт-Эссендон на самолете </w:t>
      </w:r>
      <w:hyperlink r:id="rId211" w:tgtFrame="_blank" w:history="1">
        <w:r w:rsidRPr="00DB5D0D">
          <w:rPr>
            <w:rFonts w:ascii="Times New Roman" w:hAnsi="Times New Roman"/>
            <w:color w:val="000000" w:themeColor="text1"/>
            <w:sz w:val="16"/>
            <w:szCs w:val="16"/>
          </w:rPr>
          <w:t xml:space="preserve">«Q.6» «Персиваль», </w:t>
        </w:r>
      </w:hyperlink>
      <w:r w:rsidRPr="00DB5D0D">
        <w:rPr>
          <w:rFonts w:ascii="Times New Roman" w:hAnsi="Times New Roman"/>
          <w:color w:val="000000" w:themeColor="text1"/>
          <w:sz w:val="16"/>
          <w:szCs w:val="16"/>
        </w:rPr>
        <w:t>во время которого не случилось ни одной серьёзной поломки, а самолёт показал среднюю скорость 241 км/ч. Позднее он использовался на авиалинии Эссендон-Гамильтон, пока его не продали частному лицу. Карьера самолёта трагически оборвалась 26 августа 1947 года, когда «Q.6» с двумя пассажирами на борту разбился при перелете из Сиднея в Джилонг (14959).</w:t>
      </w:r>
    </w:p>
    <w:p w14:paraId="3A89C5D5"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1209E27D" w14:textId="77777777" w:rsidR="00395AD3" w:rsidRPr="00DB5D0D" w:rsidRDefault="00395AD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21 июля 1940 (по 1 августа) - Перелет по маршруту Эссендон-Сидней-Брисбен-Дарвин-Перт-Эссендон на самолете Q.6 «Персиваль», во время которого не случилось ни одной серьёзной поломки, а самолёт показал среднюю скорость 241 км/ч. Позднее он использовался на авиалинии Эссендон-Гамильтон, пока его не продали частному лицу. Карьера самолёта трагически оборвалась 26 августа 1947 года, когда Q.6 с двумя пассажирами на борту разбился при перелете из Сиднея в Джилонг (22423). </w:t>
      </w:r>
    </w:p>
    <w:p w14:paraId="2042A2AA" w14:textId="77777777" w:rsidR="00395AD3" w:rsidRPr="00DB5D0D" w:rsidRDefault="00395AD3" w:rsidP="00DB5D0D">
      <w:pPr>
        <w:spacing w:after="0" w:line="240" w:lineRule="auto"/>
        <w:jc w:val="both"/>
        <w:rPr>
          <w:rFonts w:ascii="Times New Roman" w:hAnsi="Times New Roman"/>
          <w:color w:val="0070C0"/>
          <w:sz w:val="16"/>
          <w:szCs w:val="16"/>
        </w:rPr>
      </w:pPr>
    </w:p>
    <w:p w14:paraId="527742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21-22 июля 1940 в Германии Главнокомандованием сухопутных войск началась разработка детального плана войны против СССР (3186).</w:t>
      </w:r>
    </w:p>
    <w:p w14:paraId="4448211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2AD7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1940 А.Гитлер принял оперативный план наступления на восток (1103,226).</w:t>
      </w:r>
    </w:p>
    <w:p w14:paraId="6C997F3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7B36D80"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в 1940 году (21-22 июля) в Германии Главнокомандованием сухопутных войск началась разработка детального плана войны против СССР - "Плана Барбаросса" (14959).</w:t>
      </w:r>
    </w:p>
    <w:p w14:paraId="197CAAA2"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3CD65777" w14:textId="77777777" w:rsidR="00395AD3" w:rsidRPr="00DB5D0D" w:rsidRDefault="00395AD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21 июля 1940 года Главнокомандующий сухопутными войсками генерал фельдмаршал В. Браухич получил приказ Адольфа Гитлера начать разработку детального плана войны на востоке. Эта стадия разработки замысла вторжения в Советский Союз завершилась 31 июля 1940 г. В этот день в Бергхофе состоялось совещание руководящего состава вооруженных сил фашистской Германии, на котором были уточнены цели и замысел войны, намечены ее сроки. Выступая на совещании, Гитлер обосновывал необходимость разгрома Советского Союза стремлением завоевать господство в Европе. "В соответствии с этим... - заявил он, - Россия должна быть ликвидирована. Срок- весна 1941 года" (21190).</w:t>
      </w:r>
    </w:p>
    <w:p w14:paraId="05E631CC" w14:textId="77777777" w:rsidR="00395AD3" w:rsidRPr="00DB5D0D" w:rsidRDefault="00395AD3" w:rsidP="00DB5D0D">
      <w:pPr>
        <w:spacing w:after="0" w:line="240" w:lineRule="auto"/>
        <w:jc w:val="both"/>
        <w:rPr>
          <w:rFonts w:ascii="Times New Roman" w:hAnsi="Times New Roman"/>
          <w:color w:val="0070C0"/>
          <w:sz w:val="16"/>
          <w:szCs w:val="16"/>
        </w:rPr>
      </w:pPr>
    </w:p>
    <w:p w14:paraId="5EAAC83D"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в 1940 году адмирал Канарис вылетает в Испанию для форсирования подготовки к оккупации Гибралтара (14959).</w:t>
      </w:r>
    </w:p>
    <w:p w14:paraId="58D0BFA0"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5B5433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в Лондоне было создано Чехословацкое правительство в изгнании (2259).</w:t>
      </w:r>
    </w:p>
    <w:p w14:paraId="4846597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E39EF2" w14:textId="77777777" w:rsidR="00BB4DC3" w:rsidRPr="00DB5D0D" w:rsidRDefault="00BB4DC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июля в 1940 году британское правительство признает Чехословацкий национальный комитет во главе с Эдвардом Бенешем в качестве временного правительства в изгнании (14959).</w:t>
      </w:r>
    </w:p>
    <w:p w14:paraId="30558CE5" w14:textId="77777777" w:rsidR="00BB4DC3" w:rsidRPr="00DB5D0D" w:rsidRDefault="00BB4DC3" w:rsidP="00DB5D0D">
      <w:pPr>
        <w:spacing w:after="0" w:line="240" w:lineRule="auto"/>
        <w:jc w:val="both"/>
        <w:rPr>
          <w:rFonts w:ascii="Times New Roman" w:hAnsi="Times New Roman"/>
          <w:color w:val="000000" w:themeColor="text1"/>
          <w:sz w:val="16"/>
          <w:szCs w:val="16"/>
        </w:rPr>
      </w:pPr>
    </w:p>
    <w:p w14:paraId="5D0B050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ACBF31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D38CF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на встрече с начальником ВВС командармом 2 ранга Смушкевичем и Рычаговым И.В.С. высказался относительно постановки на самолете БШ-2 брони до 15 мм (7625, 270).</w:t>
      </w:r>
    </w:p>
    <w:p w14:paraId="176E294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8328D43"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22 июля 1940 по инициативе военных состоялось со</w:t>
      </w:r>
      <w:r w:rsidRPr="00DB5D0D">
        <w:rPr>
          <w:rFonts w:ascii="Times New Roman" w:hAnsi="Times New Roman"/>
          <w:color w:val="000000" w:themeColor="text1"/>
          <w:spacing w:val="0"/>
          <w:sz w:val="16"/>
          <w:szCs w:val="16"/>
        </w:rPr>
        <w:softHyphen/>
        <w:t>вещание у Сталина. На нем присутствовали: началь</w:t>
      </w:r>
      <w:r w:rsidRPr="00DB5D0D">
        <w:rPr>
          <w:rFonts w:ascii="Times New Roman" w:hAnsi="Times New Roman"/>
          <w:color w:val="000000" w:themeColor="text1"/>
          <w:spacing w:val="0"/>
          <w:sz w:val="16"/>
          <w:szCs w:val="16"/>
        </w:rPr>
        <w:softHyphen/>
        <w:t>ник ГУ ВВС генерал-лейтенант Я. В. Смушкевич, его первый заместитель генерал-лейтенант П. В. Рыча</w:t>
      </w:r>
      <w:r w:rsidRPr="00DB5D0D">
        <w:rPr>
          <w:rFonts w:ascii="Times New Roman" w:hAnsi="Times New Roman"/>
          <w:color w:val="000000" w:themeColor="text1"/>
          <w:spacing w:val="0"/>
          <w:sz w:val="16"/>
          <w:szCs w:val="16"/>
        </w:rPr>
        <w:softHyphen/>
        <w:t>гов, начальник НИИ ВВС генерал-майор А. И. Филин, начальник ОКБ-16 Я. Г. Таубин и ведущий конструк</w:t>
      </w:r>
      <w:r w:rsidRPr="00DB5D0D">
        <w:rPr>
          <w:rFonts w:ascii="Times New Roman" w:hAnsi="Times New Roman"/>
          <w:color w:val="000000" w:themeColor="text1"/>
          <w:spacing w:val="0"/>
          <w:sz w:val="16"/>
          <w:szCs w:val="16"/>
        </w:rPr>
        <w:softHyphen/>
        <w:t>тор ОКБ-16 М. Н. Бабурин.</w:t>
      </w:r>
    </w:p>
    <w:p w14:paraId="466248F0"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Совещание длилось целых 4 ч 30 мин (с 20.45 по 1.10 уже 23 июля), сначала только с руководителя</w:t>
      </w:r>
      <w:r w:rsidRPr="00DB5D0D">
        <w:rPr>
          <w:rFonts w:ascii="Times New Roman" w:hAnsi="Times New Roman"/>
          <w:color w:val="000000" w:themeColor="text1"/>
          <w:spacing w:val="0"/>
          <w:sz w:val="16"/>
          <w:szCs w:val="16"/>
        </w:rPr>
        <w:softHyphen/>
        <w:t>ми ВВС, затем через 1,5 часа к ним присоединился генерал Филин, а еще через час были приглашены Таубин и Бабурин.</w:t>
      </w:r>
    </w:p>
    <w:p w14:paraId="4394F3EE"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Надо полагать, обсуждалась перспективная си</w:t>
      </w:r>
      <w:r w:rsidRPr="00DB5D0D">
        <w:rPr>
          <w:rFonts w:ascii="Times New Roman" w:hAnsi="Times New Roman"/>
          <w:color w:val="000000" w:themeColor="text1"/>
          <w:spacing w:val="0"/>
          <w:sz w:val="16"/>
          <w:szCs w:val="16"/>
        </w:rPr>
        <w:softHyphen/>
        <w:t>стема стрелково-пушечного вооружения ВВС КА и возможности ОКБ-16 по созданию современных авиационных автоматов калибра 23 и 37 мм. Тау- бин доложил о полученных результатах по авиа</w:t>
      </w:r>
      <w:r w:rsidRPr="00DB5D0D">
        <w:rPr>
          <w:rFonts w:ascii="Times New Roman" w:hAnsi="Times New Roman"/>
          <w:color w:val="000000" w:themeColor="text1"/>
          <w:spacing w:val="0"/>
          <w:sz w:val="16"/>
          <w:szCs w:val="16"/>
        </w:rPr>
        <w:softHyphen/>
        <w:t>ционным пушкам ПТБ-23 и БМА-37, их преимуще</w:t>
      </w:r>
      <w:r w:rsidRPr="00DB5D0D">
        <w:rPr>
          <w:rFonts w:ascii="Times New Roman" w:hAnsi="Times New Roman"/>
          <w:color w:val="000000" w:themeColor="text1"/>
          <w:spacing w:val="0"/>
          <w:sz w:val="16"/>
          <w:szCs w:val="16"/>
        </w:rPr>
        <w:softHyphen/>
        <w:t>ствах перед существующими образцами автоматов и сроках предъявления на полигонные испытания. В ходе беседы Сталин высказал пожелание в самые кратчайшие сроки довести темп стрельбы пушки ПТБ-23 до 600 выстр./мин при сохранении балли</w:t>
      </w:r>
      <w:r w:rsidRPr="00DB5D0D">
        <w:rPr>
          <w:rFonts w:ascii="Times New Roman" w:hAnsi="Times New Roman"/>
          <w:color w:val="000000" w:themeColor="text1"/>
          <w:spacing w:val="0"/>
          <w:sz w:val="16"/>
          <w:szCs w:val="16"/>
        </w:rPr>
        <w:softHyphen/>
        <w:t>стики на прежнем уровне. Такое обещание Таубин дал. Очевидно, затрагивались и вопросы, связан</w:t>
      </w:r>
      <w:r w:rsidRPr="00DB5D0D">
        <w:rPr>
          <w:rFonts w:ascii="Times New Roman" w:hAnsi="Times New Roman"/>
          <w:color w:val="000000" w:themeColor="text1"/>
          <w:spacing w:val="0"/>
          <w:sz w:val="16"/>
          <w:szCs w:val="16"/>
        </w:rPr>
        <w:softHyphen/>
        <w:t>ные с работами Б. Г. Шпитального в области круп</w:t>
      </w:r>
      <w:r w:rsidRPr="00DB5D0D">
        <w:rPr>
          <w:rFonts w:ascii="Times New Roman" w:hAnsi="Times New Roman"/>
          <w:color w:val="000000" w:themeColor="text1"/>
          <w:spacing w:val="0"/>
          <w:sz w:val="16"/>
          <w:szCs w:val="16"/>
        </w:rPr>
        <w:softHyphen/>
        <w:t>нокалиберного авиационного оружия.</w:t>
      </w:r>
    </w:p>
    <w:p w14:paraId="445EDC02"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По воспоминаниям Б. Л. Ванникова, на совеща</w:t>
      </w:r>
      <w:r w:rsidRPr="00DB5D0D">
        <w:rPr>
          <w:rFonts w:ascii="Times New Roman" w:hAnsi="Times New Roman"/>
          <w:color w:val="000000" w:themeColor="text1"/>
          <w:spacing w:val="0"/>
          <w:sz w:val="16"/>
          <w:szCs w:val="16"/>
        </w:rPr>
        <w:softHyphen/>
        <w:t>нии у И. В. Сталина после доклада предварительных результатов заводского отстрела 20-мм боеприпа</w:t>
      </w:r>
      <w:r w:rsidRPr="00DB5D0D">
        <w:rPr>
          <w:rFonts w:ascii="Times New Roman" w:hAnsi="Times New Roman"/>
          <w:color w:val="000000" w:themeColor="text1"/>
          <w:spacing w:val="0"/>
          <w:sz w:val="16"/>
          <w:szCs w:val="16"/>
        </w:rPr>
        <w:softHyphen/>
        <w:t>сов повышенного могущества Б. Г. Шпитальный за</w:t>
      </w:r>
      <w:r w:rsidRPr="00DB5D0D">
        <w:rPr>
          <w:rFonts w:ascii="Times New Roman" w:hAnsi="Times New Roman"/>
          <w:color w:val="000000" w:themeColor="text1"/>
          <w:spacing w:val="0"/>
          <w:sz w:val="16"/>
          <w:szCs w:val="16"/>
        </w:rPr>
        <w:softHyphen/>
        <w:t>явил, что пушка ШВАК с новыми снарядами вполне может удовлетворить требованиям, предъявляе</w:t>
      </w:r>
      <w:r w:rsidRPr="00DB5D0D">
        <w:rPr>
          <w:rFonts w:ascii="Times New Roman" w:hAnsi="Times New Roman"/>
          <w:color w:val="000000" w:themeColor="text1"/>
          <w:spacing w:val="0"/>
          <w:sz w:val="16"/>
          <w:szCs w:val="16"/>
        </w:rPr>
        <w:softHyphen/>
        <w:t>мым авиацией к пушечному вооружению. Сталин положительно оценил эти снаряды и дал указание организовать их массовое производство.</w:t>
      </w:r>
    </w:p>
    <w:p w14:paraId="062B1DCF"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К тому же в ОКБ-15 в это время в инициативном порядке активно велись работы по улучшению бо</w:t>
      </w:r>
      <w:r w:rsidRPr="00DB5D0D">
        <w:rPr>
          <w:rFonts w:ascii="Times New Roman" w:hAnsi="Times New Roman"/>
          <w:color w:val="000000" w:themeColor="text1"/>
          <w:spacing w:val="0"/>
          <w:sz w:val="16"/>
          <w:szCs w:val="16"/>
        </w:rPr>
        <w:softHyphen/>
        <w:t>евых и эксплуатационных качеств серийной пушки ШВАК за счет повышения среднего темпа стрельбы до 1200 выстр./мин при обеспечении живучести от</w:t>
      </w:r>
      <w:r w:rsidRPr="00DB5D0D">
        <w:rPr>
          <w:rFonts w:ascii="Times New Roman" w:hAnsi="Times New Roman"/>
          <w:color w:val="000000" w:themeColor="text1"/>
          <w:spacing w:val="0"/>
          <w:sz w:val="16"/>
          <w:szCs w:val="16"/>
        </w:rPr>
        <w:softHyphen/>
        <w:t>дельных деталей и узлов на прежнем уровне. Шпитальный гарантировал незначительное увеличение силы отдачи при стрельбе, сохранение габаритов пушки и уже отработанных в производстве пушеч</w:t>
      </w:r>
      <w:r w:rsidRPr="00DB5D0D">
        <w:rPr>
          <w:rFonts w:ascii="Times New Roman" w:hAnsi="Times New Roman"/>
          <w:color w:val="000000" w:themeColor="text1"/>
          <w:spacing w:val="0"/>
          <w:sz w:val="16"/>
          <w:szCs w:val="16"/>
        </w:rPr>
        <w:softHyphen/>
        <w:t>ных установок. Все это, вместе взятое, уменьшало технические риски при доводке опытных самоле</w:t>
      </w:r>
      <w:r w:rsidRPr="00DB5D0D">
        <w:rPr>
          <w:rFonts w:ascii="Times New Roman" w:hAnsi="Times New Roman"/>
          <w:color w:val="000000" w:themeColor="text1"/>
          <w:spacing w:val="0"/>
          <w:sz w:val="16"/>
          <w:szCs w:val="16"/>
        </w:rPr>
        <w:softHyphen/>
        <w:t>тов нового типа. В то же время заявленный темп стрельбы заметно (примерно в 1,35 раза) повышал вероятность поражения самолета противника в од</w:t>
      </w:r>
      <w:r w:rsidRPr="00DB5D0D">
        <w:rPr>
          <w:rFonts w:ascii="Times New Roman" w:hAnsi="Times New Roman"/>
          <w:color w:val="000000" w:themeColor="text1"/>
          <w:spacing w:val="0"/>
          <w:sz w:val="16"/>
          <w:szCs w:val="16"/>
        </w:rPr>
        <w:softHyphen/>
        <w:t>ной атаке при прочих равных условиях. Более того, по оценкам ОКБ-15, в перспективе имелась реаль</w:t>
      </w:r>
      <w:r w:rsidRPr="00DB5D0D">
        <w:rPr>
          <w:rFonts w:ascii="Times New Roman" w:hAnsi="Times New Roman"/>
          <w:color w:val="000000" w:themeColor="text1"/>
          <w:spacing w:val="0"/>
          <w:sz w:val="16"/>
          <w:szCs w:val="16"/>
        </w:rPr>
        <w:softHyphen/>
        <w:t>ная возможность поднять темп стрельбы пушки ШВАК до 1500 выстр./мин.</w:t>
      </w:r>
    </w:p>
    <w:p w14:paraId="3F2342F3"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Судя по переписке, военные, отчетливо пони</w:t>
      </w:r>
      <w:r w:rsidRPr="00DB5D0D">
        <w:rPr>
          <w:rFonts w:ascii="Times New Roman" w:hAnsi="Times New Roman"/>
          <w:color w:val="000000" w:themeColor="text1"/>
          <w:spacing w:val="0"/>
          <w:sz w:val="16"/>
          <w:szCs w:val="16"/>
        </w:rPr>
        <w:softHyphen/>
        <w:t>мая все принципиальные недостатки пушки ШВАК и ее неполноценного снаряда, отнеслись к сообще</w:t>
      </w:r>
      <w:r w:rsidRPr="00DB5D0D">
        <w:rPr>
          <w:rFonts w:ascii="Times New Roman" w:hAnsi="Times New Roman"/>
          <w:color w:val="000000" w:themeColor="text1"/>
          <w:spacing w:val="0"/>
          <w:sz w:val="16"/>
          <w:szCs w:val="16"/>
        </w:rPr>
        <w:softHyphen/>
        <w:t>нию Шпитального весьма сдержанно.</w:t>
      </w:r>
    </w:p>
    <w:p w14:paraId="46CC3952"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Дело в том, что к этому времени был отработан и прошел предварительные испытания новый оско</w:t>
      </w:r>
      <w:r w:rsidRPr="00DB5D0D">
        <w:rPr>
          <w:rFonts w:ascii="Times New Roman" w:hAnsi="Times New Roman"/>
          <w:color w:val="000000" w:themeColor="text1"/>
          <w:spacing w:val="0"/>
          <w:sz w:val="16"/>
          <w:szCs w:val="16"/>
        </w:rPr>
        <w:softHyphen/>
        <w:t>лочный 23-мм снаряд, в котором вес взрывчатого вещества (ГТТ) был доведен до 15,6 г, что сохра</w:t>
      </w:r>
      <w:r w:rsidRPr="00DB5D0D">
        <w:rPr>
          <w:rFonts w:ascii="Times New Roman" w:hAnsi="Times New Roman"/>
          <w:color w:val="000000" w:themeColor="text1"/>
          <w:spacing w:val="0"/>
          <w:sz w:val="16"/>
          <w:szCs w:val="16"/>
        </w:rPr>
        <w:softHyphen/>
        <w:t>няло на прежнем уровне превосходство калибра 23 мм над калибром 20 мм.</w:t>
      </w:r>
    </w:p>
    <w:p w14:paraId="23BFDED9"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С учетом этого обстоятельства наиболее раци</w:t>
      </w:r>
      <w:r w:rsidRPr="00DB5D0D">
        <w:rPr>
          <w:rFonts w:ascii="Times New Roman" w:hAnsi="Times New Roman"/>
          <w:color w:val="000000" w:themeColor="text1"/>
          <w:spacing w:val="0"/>
          <w:sz w:val="16"/>
          <w:szCs w:val="16"/>
        </w:rPr>
        <w:softHyphen/>
        <w:t>ональной виделась система стрелково-пушечного вооружения ВВС в составе пулемета нормального калибра ШКАС, пулемета крупного калибра 12,7 мм (БС Березина), пушки калибра 23 мм (ПТБ-23 или ТКБ-198 или ТКБ-201) и пушки калибра 37 мм (Шпи</w:t>
      </w:r>
      <w:r w:rsidRPr="00DB5D0D">
        <w:rPr>
          <w:rFonts w:ascii="Times New Roman" w:hAnsi="Times New Roman"/>
          <w:color w:val="000000" w:themeColor="text1"/>
          <w:spacing w:val="0"/>
          <w:sz w:val="16"/>
          <w:szCs w:val="16"/>
        </w:rPr>
        <w:softHyphen/>
        <w:t>тального или Таубина—Бабурина). При этом круп</w:t>
      </w:r>
      <w:r w:rsidRPr="00DB5D0D">
        <w:rPr>
          <w:rFonts w:ascii="Times New Roman" w:hAnsi="Times New Roman"/>
          <w:color w:val="000000" w:themeColor="text1"/>
          <w:spacing w:val="0"/>
          <w:sz w:val="16"/>
          <w:szCs w:val="16"/>
        </w:rPr>
        <w:softHyphen/>
        <w:t>нокалиберный пулемет и 23-мм пушка считались основным и перспективным оружием истребителей и штурмовиков. В свою очередь, пулеметы калибра 7,62 мм, как показавшие в ходе локальных военных конфликтов недостаточную эффективность при действии по цельнометаллическим самолетам, со временем должны были заменяться крупнокали</w:t>
      </w:r>
      <w:r w:rsidRPr="00DB5D0D">
        <w:rPr>
          <w:rFonts w:ascii="Times New Roman" w:hAnsi="Times New Roman"/>
          <w:color w:val="000000" w:themeColor="text1"/>
          <w:spacing w:val="0"/>
          <w:sz w:val="16"/>
          <w:szCs w:val="16"/>
        </w:rPr>
        <w:softHyphen/>
        <w:t>берными пулеметами в синхронном, крыльевом и турельном вариантах. По этим причинам отра</w:t>
      </w:r>
      <w:r w:rsidRPr="00DB5D0D">
        <w:rPr>
          <w:rFonts w:ascii="Times New Roman" w:hAnsi="Times New Roman"/>
          <w:color w:val="000000" w:themeColor="text1"/>
          <w:spacing w:val="0"/>
          <w:sz w:val="16"/>
          <w:szCs w:val="16"/>
        </w:rPr>
        <w:softHyphen/>
        <w:t>ботка пулемета калибра 12,7 мм и пушки калибра 23 мм, а также боеприпасов повышенного могуще</w:t>
      </w:r>
      <w:r w:rsidRPr="00DB5D0D">
        <w:rPr>
          <w:rFonts w:ascii="Times New Roman" w:hAnsi="Times New Roman"/>
          <w:color w:val="000000" w:themeColor="text1"/>
          <w:spacing w:val="0"/>
          <w:sz w:val="16"/>
          <w:szCs w:val="16"/>
        </w:rPr>
        <w:softHyphen/>
        <w:t>ства для них являлась приоритетной задачей про</w:t>
      </w:r>
      <w:r w:rsidRPr="00DB5D0D">
        <w:rPr>
          <w:rFonts w:ascii="Times New Roman" w:hAnsi="Times New Roman"/>
          <w:color w:val="000000" w:themeColor="text1"/>
          <w:spacing w:val="0"/>
          <w:sz w:val="16"/>
          <w:szCs w:val="16"/>
        </w:rPr>
        <w:softHyphen/>
        <w:t>мышленности и ВВС, а тонкостенный снаряд к пуш</w:t>
      </w:r>
      <w:r w:rsidRPr="00DB5D0D">
        <w:rPr>
          <w:rFonts w:ascii="Times New Roman" w:hAnsi="Times New Roman"/>
          <w:color w:val="000000" w:themeColor="text1"/>
          <w:spacing w:val="0"/>
          <w:sz w:val="16"/>
          <w:szCs w:val="16"/>
        </w:rPr>
        <w:softHyphen/>
        <w:t>ке ШВАК рассматривался лишь в качестве времен</w:t>
      </w:r>
      <w:r w:rsidRPr="00DB5D0D">
        <w:rPr>
          <w:rFonts w:ascii="Times New Roman" w:hAnsi="Times New Roman"/>
          <w:color w:val="000000" w:themeColor="text1"/>
          <w:spacing w:val="0"/>
          <w:sz w:val="16"/>
          <w:szCs w:val="16"/>
        </w:rPr>
        <w:softHyphen/>
        <w:t>ного решения.</w:t>
      </w:r>
    </w:p>
    <w:p w14:paraId="12D4FF6E"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Шпитальный возражал. Он считал, что постанов</w:t>
      </w:r>
      <w:r w:rsidRPr="00DB5D0D">
        <w:rPr>
          <w:rFonts w:ascii="Times New Roman" w:hAnsi="Times New Roman"/>
          <w:color w:val="000000" w:themeColor="text1"/>
          <w:spacing w:val="0"/>
          <w:sz w:val="16"/>
          <w:szCs w:val="16"/>
        </w:rPr>
        <w:softHyphen/>
        <w:t>ка на снабжение ВВС модернизированной пушки ШВАК и улучшенных боеприпасов к ней позволяет иметь на вооружении вполне эффективную систе</w:t>
      </w:r>
      <w:r w:rsidRPr="00DB5D0D">
        <w:rPr>
          <w:rFonts w:ascii="Times New Roman" w:hAnsi="Times New Roman"/>
          <w:color w:val="000000" w:themeColor="text1"/>
          <w:spacing w:val="0"/>
          <w:sz w:val="16"/>
          <w:szCs w:val="16"/>
        </w:rPr>
        <w:softHyphen/>
        <w:t>му автоматов: в калибре 7,62 мм — пулемет ШКАС, 12,7 мм — пулемет БС, 20 мм — облегченная до 35 кг пушка ШВАК с повышенным темпом стрельбы и 37 мм — пушка Ш-37.</w:t>
      </w:r>
    </w:p>
    <w:p w14:paraId="1057D536"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После подробного обсуждения всего комплекса проблем, связанных с этим вопросом, к точке зре</w:t>
      </w:r>
      <w:r w:rsidRPr="00DB5D0D">
        <w:rPr>
          <w:rFonts w:ascii="Times New Roman" w:hAnsi="Times New Roman"/>
          <w:color w:val="000000" w:themeColor="text1"/>
          <w:spacing w:val="0"/>
          <w:sz w:val="16"/>
          <w:szCs w:val="16"/>
        </w:rPr>
        <w:softHyphen/>
        <w:t>ния военных присоединился и Сталин.</w:t>
      </w:r>
    </w:p>
    <w:p w14:paraId="149B3F94"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Учитывая реальное положение дел с доводкой пушек калибра 23 мм и пулемета Березина, пред</w:t>
      </w:r>
      <w:r w:rsidRPr="00DB5D0D">
        <w:rPr>
          <w:rFonts w:ascii="Times New Roman" w:hAnsi="Times New Roman"/>
          <w:color w:val="000000" w:themeColor="text1"/>
          <w:spacing w:val="0"/>
          <w:sz w:val="16"/>
          <w:szCs w:val="16"/>
        </w:rPr>
        <w:softHyphen/>
        <w:t>лагалось форсировать работы по отработке пушки ПТБ-23, как наиболее прогрессивной и доведенной на тот момент, и разработать крупнокалиберный пулемет, более легкий и с повышенной живуче</w:t>
      </w:r>
      <w:r w:rsidRPr="00DB5D0D">
        <w:rPr>
          <w:rFonts w:ascii="Times New Roman" w:hAnsi="Times New Roman"/>
          <w:color w:val="000000" w:themeColor="text1"/>
          <w:spacing w:val="0"/>
          <w:sz w:val="16"/>
          <w:szCs w:val="16"/>
        </w:rPr>
        <w:softHyphen/>
        <w:t>стью, чем пулемет БС, при сравнимой с ним огне</w:t>
      </w:r>
      <w:r w:rsidRPr="00DB5D0D">
        <w:rPr>
          <w:rFonts w:ascii="Times New Roman" w:hAnsi="Times New Roman"/>
          <w:color w:val="000000" w:themeColor="text1"/>
          <w:spacing w:val="0"/>
          <w:sz w:val="16"/>
          <w:szCs w:val="16"/>
        </w:rPr>
        <w:softHyphen/>
        <w:t>вой мощи. За создание в самые короткие сроки нового пулемета калибра 12,7 мм брался все тот же Я. Г. Таубин.</w:t>
      </w:r>
    </w:p>
    <w:p w14:paraId="22E2C4C5"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Отметим, что к этому времени на кафедре стрел- ково-пушечного вооружения Военно-воздушной академии им. Н. Е. Жуковского под руководством доктора технических наук военинженера 1-го ран</w:t>
      </w:r>
      <w:r w:rsidRPr="00DB5D0D">
        <w:rPr>
          <w:rFonts w:ascii="Times New Roman" w:hAnsi="Times New Roman"/>
          <w:color w:val="000000" w:themeColor="text1"/>
          <w:spacing w:val="0"/>
          <w:sz w:val="16"/>
          <w:szCs w:val="16"/>
        </w:rPr>
        <w:softHyphen/>
        <w:t>га Лунца была выполнена большая исследователь</w:t>
      </w:r>
      <w:r w:rsidRPr="00DB5D0D">
        <w:rPr>
          <w:rFonts w:ascii="Times New Roman" w:hAnsi="Times New Roman"/>
          <w:color w:val="000000" w:themeColor="text1"/>
          <w:spacing w:val="0"/>
          <w:sz w:val="16"/>
          <w:szCs w:val="16"/>
        </w:rPr>
        <w:softHyphen/>
        <w:t>ская работа по обоснованию системы вооружения современных истребителей. В ряду исполнителей значились военинженер 2-го ранга Пименов и во- енинженеры 3-го ранга Чижов и Бундин.</w:t>
      </w:r>
    </w:p>
    <w:p w14:paraId="70A36F4A"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 качестве критериев выбора рациональной схемы и состава вооружения перспективного ис</w:t>
      </w:r>
      <w:r w:rsidRPr="00DB5D0D">
        <w:rPr>
          <w:rFonts w:ascii="Times New Roman" w:hAnsi="Times New Roman"/>
          <w:color w:val="000000" w:themeColor="text1"/>
          <w:spacing w:val="0"/>
          <w:sz w:val="16"/>
          <w:szCs w:val="16"/>
        </w:rPr>
        <w:softHyphen/>
        <w:t>требителя принимались показатели «огневой мо</w:t>
      </w:r>
      <w:r w:rsidRPr="00DB5D0D">
        <w:rPr>
          <w:rFonts w:ascii="Times New Roman" w:hAnsi="Times New Roman"/>
          <w:color w:val="000000" w:themeColor="text1"/>
          <w:spacing w:val="0"/>
          <w:sz w:val="16"/>
          <w:szCs w:val="16"/>
        </w:rPr>
        <w:softHyphen/>
        <w:t>щи» и «весовой выгодности» оружия. Первый пока</w:t>
      </w:r>
      <w:r w:rsidRPr="00DB5D0D">
        <w:rPr>
          <w:rFonts w:ascii="Times New Roman" w:hAnsi="Times New Roman"/>
          <w:color w:val="000000" w:themeColor="text1"/>
          <w:spacing w:val="0"/>
          <w:sz w:val="16"/>
          <w:szCs w:val="16"/>
        </w:rPr>
        <w:softHyphen/>
        <w:t>затель «характеризует все свойства оружия в воз</w:t>
      </w:r>
      <w:r w:rsidRPr="00DB5D0D">
        <w:rPr>
          <w:rFonts w:ascii="Times New Roman" w:hAnsi="Times New Roman"/>
          <w:color w:val="000000" w:themeColor="text1"/>
          <w:spacing w:val="0"/>
          <w:sz w:val="16"/>
          <w:szCs w:val="16"/>
        </w:rPr>
        <w:softHyphen/>
        <w:t>душном бою — результат действия боеприпаса по цели и вероятность попадания в цель», а второй — определяет затраты полетного веса самолета для достижения заданной «огневой мощи» и продолжи</w:t>
      </w:r>
      <w:r w:rsidRPr="00DB5D0D">
        <w:rPr>
          <w:rFonts w:ascii="Times New Roman" w:hAnsi="Times New Roman"/>
          <w:color w:val="000000" w:themeColor="text1"/>
          <w:spacing w:val="0"/>
          <w:sz w:val="16"/>
          <w:szCs w:val="16"/>
        </w:rPr>
        <w:softHyphen/>
        <w:t>тельности воздушного боя (времени непрерывной стрельбы).</w:t>
      </w:r>
    </w:p>
    <w:p w14:paraId="48F14CCA"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Расчеты показывали, что при действии по воз</w:t>
      </w:r>
      <w:r w:rsidRPr="00DB5D0D">
        <w:rPr>
          <w:rFonts w:ascii="Times New Roman" w:hAnsi="Times New Roman"/>
          <w:color w:val="000000" w:themeColor="text1"/>
          <w:spacing w:val="0"/>
          <w:sz w:val="16"/>
          <w:szCs w:val="16"/>
        </w:rPr>
        <w:softHyphen/>
        <w:t>душным целям наилучшие результаты по выбран</w:t>
      </w:r>
      <w:r w:rsidRPr="00DB5D0D">
        <w:rPr>
          <w:rFonts w:ascii="Times New Roman" w:hAnsi="Times New Roman"/>
          <w:color w:val="000000" w:themeColor="text1"/>
          <w:spacing w:val="0"/>
          <w:sz w:val="16"/>
          <w:szCs w:val="16"/>
        </w:rPr>
        <w:softHyphen/>
        <w:t>ным критериям имеют автоматы калибра 12,7 и 23 мм. Одновременно 23-мм пушки были доста</w:t>
      </w:r>
      <w:r w:rsidRPr="00DB5D0D">
        <w:rPr>
          <w:rFonts w:ascii="Times New Roman" w:hAnsi="Times New Roman"/>
          <w:color w:val="000000" w:themeColor="text1"/>
          <w:spacing w:val="0"/>
          <w:sz w:val="16"/>
          <w:szCs w:val="16"/>
        </w:rPr>
        <w:softHyphen/>
        <w:t>точно эффективными и при действии по большин</w:t>
      </w:r>
      <w:r w:rsidRPr="00DB5D0D">
        <w:rPr>
          <w:rFonts w:ascii="Times New Roman" w:hAnsi="Times New Roman"/>
          <w:color w:val="000000" w:themeColor="text1"/>
          <w:spacing w:val="0"/>
          <w:sz w:val="16"/>
          <w:szCs w:val="16"/>
        </w:rPr>
        <w:softHyphen/>
        <w:t>ству наземных целей (легкая бронетехника, огне</w:t>
      </w:r>
      <w:r w:rsidRPr="00DB5D0D">
        <w:rPr>
          <w:rFonts w:ascii="Times New Roman" w:hAnsi="Times New Roman"/>
          <w:color w:val="000000" w:themeColor="text1"/>
          <w:spacing w:val="0"/>
          <w:sz w:val="16"/>
          <w:szCs w:val="16"/>
        </w:rPr>
        <w:softHyphen/>
        <w:t>вые точки, автомашины, артиллерия и т.д.). Пулеме</w:t>
      </w:r>
      <w:r w:rsidRPr="00DB5D0D">
        <w:rPr>
          <w:rFonts w:ascii="Times New Roman" w:hAnsi="Times New Roman"/>
          <w:color w:val="000000" w:themeColor="text1"/>
          <w:spacing w:val="0"/>
          <w:sz w:val="16"/>
          <w:szCs w:val="16"/>
        </w:rPr>
        <w:softHyphen/>
        <w:t>ты нормального калибра в ближайшей перспективе предполагалось заменить крупнокалиберными пу</w:t>
      </w:r>
      <w:r w:rsidRPr="00DB5D0D">
        <w:rPr>
          <w:rFonts w:ascii="Times New Roman" w:hAnsi="Times New Roman"/>
          <w:color w:val="000000" w:themeColor="text1"/>
          <w:spacing w:val="0"/>
          <w:sz w:val="16"/>
          <w:szCs w:val="16"/>
        </w:rPr>
        <w:softHyphen/>
        <w:t>леметами. Их применение допускалось лишь для поражения не укрытой живой силы. Калибр 37 мм оказался совершенно непригодным для воздуш</w:t>
      </w:r>
      <w:r w:rsidRPr="00DB5D0D">
        <w:rPr>
          <w:rFonts w:ascii="Times New Roman" w:hAnsi="Times New Roman"/>
          <w:color w:val="000000" w:themeColor="text1"/>
          <w:spacing w:val="0"/>
          <w:sz w:val="16"/>
          <w:szCs w:val="16"/>
        </w:rPr>
        <w:softHyphen/>
        <w:t>ного боя. Использование этого калибра считалось целесообразным только в штурмовой авиации при действии по средним и тяжелым танкам, парово</w:t>
      </w:r>
      <w:r w:rsidRPr="00DB5D0D">
        <w:rPr>
          <w:rFonts w:ascii="Times New Roman" w:hAnsi="Times New Roman"/>
          <w:color w:val="000000" w:themeColor="text1"/>
          <w:spacing w:val="0"/>
          <w:sz w:val="16"/>
          <w:szCs w:val="16"/>
        </w:rPr>
        <w:softHyphen/>
        <w:t>зам, боевым катерам и другим трудноуязвимым наземным целям. При этом темп стрельбы должен быть не менее 250—300 выстр./мин, начальная скорость снаряда — около 800 м/с, вес автомата с установкой — не более 100 кг.</w:t>
      </w:r>
    </w:p>
    <w:p w14:paraId="6C1BB23A"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Таким образом, современные истребители ре</w:t>
      </w:r>
      <w:r w:rsidRPr="00DB5D0D">
        <w:rPr>
          <w:rFonts w:ascii="Times New Roman" w:hAnsi="Times New Roman"/>
          <w:color w:val="000000" w:themeColor="text1"/>
          <w:spacing w:val="0"/>
          <w:sz w:val="16"/>
          <w:szCs w:val="16"/>
        </w:rPr>
        <w:softHyphen/>
        <w:t>комендовалось вооружать пулеметами калибра 12,7 мм и пушками калибра 23 мм, а самолеты-штур</w:t>
      </w:r>
      <w:r w:rsidRPr="00DB5D0D">
        <w:rPr>
          <w:rFonts w:ascii="Times New Roman" w:hAnsi="Times New Roman"/>
          <w:color w:val="000000" w:themeColor="text1"/>
          <w:spacing w:val="0"/>
          <w:sz w:val="16"/>
          <w:szCs w:val="16"/>
        </w:rPr>
        <w:softHyphen/>
        <w:t>мовики — пулеметами калибра 7,62 мм и пушками калибра 23 и 37 мм. Боекомплект к оружию необхо</w:t>
      </w:r>
      <w:r w:rsidRPr="00DB5D0D">
        <w:rPr>
          <w:rFonts w:ascii="Times New Roman" w:hAnsi="Times New Roman"/>
          <w:color w:val="000000" w:themeColor="text1"/>
          <w:spacing w:val="0"/>
          <w:sz w:val="16"/>
          <w:szCs w:val="16"/>
        </w:rPr>
        <w:softHyphen/>
        <w:t>димо было выбирать из расчета на 20—25 с непре</w:t>
      </w:r>
      <w:r w:rsidRPr="00DB5D0D">
        <w:rPr>
          <w:rFonts w:ascii="Times New Roman" w:hAnsi="Times New Roman"/>
          <w:color w:val="000000" w:themeColor="text1"/>
          <w:spacing w:val="0"/>
          <w:sz w:val="16"/>
          <w:szCs w:val="16"/>
        </w:rPr>
        <w:softHyphen/>
        <w:t>рывной стрельбы. При этом наиболее выгодным во всех отношениях являлись моторные и синхрон</w:t>
      </w:r>
      <w:r w:rsidRPr="00DB5D0D">
        <w:rPr>
          <w:rFonts w:ascii="Times New Roman" w:hAnsi="Times New Roman"/>
          <w:color w:val="000000" w:themeColor="text1"/>
          <w:spacing w:val="0"/>
          <w:sz w:val="16"/>
          <w:szCs w:val="16"/>
        </w:rPr>
        <w:softHyphen/>
        <w:t>ные установки оружия. Некоторое снижение темпа стрельбы за счет синхронизации с лихвой окупа</w:t>
      </w:r>
      <w:r w:rsidRPr="00DB5D0D">
        <w:rPr>
          <w:rFonts w:ascii="Times New Roman" w:hAnsi="Times New Roman"/>
          <w:color w:val="000000" w:themeColor="text1"/>
          <w:spacing w:val="0"/>
          <w:sz w:val="16"/>
          <w:szCs w:val="16"/>
        </w:rPr>
        <w:softHyphen/>
        <w:t>лось уменьшением рассеивания боеприпасов, что приводило к увеличению вероятности попадания.</w:t>
      </w:r>
    </w:p>
    <w:p w14:paraId="7D915AE5" w14:textId="77777777" w:rsidR="00F24D8E" w:rsidRPr="00DB5D0D" w:rsidRDefault="00F24D8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lastRenderedPageBreak/>
        <w:t>Из всех имеющихся в то время образцов ави</w:t>
      </w:r>
      <w:r w:rsidRPr="00DB5D0D">
        <w:rPr>
          <w:rFonts w:ascii="Times New Roman" w:hAnsi="Times New Roman"/>
          <w:color w:val="000000" w:themeColor="text1"/>
          <w:spacing w:val="0"/>
          <w:sz w:val="16"/>
          <w:szCs w:val="16"/>
        </w:rPr>
        <w:softHyphen/>
        <w:t>ационных автоматов наивысшие показатели «ог</w:t>
      </w:r>
      <w:r w:rsidRPr="00DB5D0D">
        <w:rPr>
          <w:rFonts w:ascii="Times New Roman" w:hAnsi="Times New Roman"/>
          <w:color w:val="000000" w:themeColor="text1"/>
          <w:spacing w:val="0"/>
          <w:sz w:val="16"/>
          <w:szCs w:val="16"/>
        </w:rPr>
        <w:softHyphen/>
        <w:t>невой мощи» и «весовой выгодности» на всех рабочих дистанциях боя имела пушка ПТБ-23 Тау- бина—Бабурина. Пушка ШВАК проигрывала ей по этим показателям в 2,3 раза, а 23-мм пушка Мад- сен — в 2 раза. Пулемет БС уступал пушке ШВАК по показателю «огневой мощи» почти в 1,4 раза, но превосходил ее по «весовой выгодности» в те же 1,4 раза. В свою очередь, крупнокалиберный Кольт-Браунинг был хуже БС по этим показателям примерно в 2 раза (17500).</w:t>
      </w:r>
    </w:p>
    <w:p w14:paraId="4C58FEE6" w14:textId="77777777" w:rsidR="00F24D8E" w:rsidRPr="00DB5D0D" w:rsidRDefault="00F24D8E" w:rsidP="00DB5D0D">
      <w:pPr>
        <w:spacing w:after="0" w:line="240" w:lineRule="auto"/>
        <w:jc w:val="both"/>
        <w:rPr>
          <w:rFonts w:ascii="Times New Roman" w:eastAsia="Times New Roman" w:hAnsi="Times New Roman"/>
          <w:color w:val="000000" w:themeColor="text1"/>
          <w:sz w:val="16"/>
          <w:szCs w:val="16"/>
          <w:lang w:eastAsia="ru-RU"/>
        </w:rPr>
      </w:pPr>
    </w:p>
    <w:p w14:paraId="0D3793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 вышло постановление № 1313-507 СНК</w:t>
      </w:r>
    </w:p>
    <w:p w14:paraId="2816D6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передаче из системы Всекомпросвета Московского завода № 1 НКАП.</w:t>
      </w:r>
    </w:p>
    <w:p w14:paraId="0F33D2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СНК постановляет:</w:t>
      </w:r>
    </w:p>
    <w:p w14:paraId="52178D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Предложить Всекомпросвету в месячный срок передать Московский завод № 1 НКАПу для использования по изготовлению специального авиационного бортового инструмента (7628, 11)</w:t>
      </w:r>
    </w:p>
    <w:p w14:paraId="6C916E7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22 по30 июля 1940 года проходили гос. испытания самолета И-153 с герметической кабиной конструкции инженера Щербакова (6606).</w:t>
      </w:r>
    </w:p>
    <w:p w14:paraId="2248A6C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5831D89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эксплуатационные свойства герметической кабины, особенно в части жизненных условий в ней, герметичность кабины, запотеваемость окон и возможности выполнения боевой работы летчиком на всех высотах.</w:t>
      </w:r>
    </w:p>
    <w:p w14:paraId="0B4FAFB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 предъявлен заводом № 289 НКАП самолет И-153 с мотором М-62 № 6028, снабженный герметической кабиной конструкции инженера Щербакова.</w:t>
      </w:r>
    </w:p>
    <w:p w14:paraId="0B15C20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CC21EC6"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оборудования герметической кабиной самолета И-153 и результаты испытания его признать удовлетворительными.</w:t>
      </w:r>
    </w:p>
    <w:p w14:paraId="1E2378A9"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Герметическая кабина позволяет полностью использовать потолок самолета для боевой работы.</w:t>
      </w:r>
    </w:p>
    <w:p w14:paraId="51D89FF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7D5DF8" w:rsidRPr="00DB5D0D" w14:paraId="42CC40FF" w14:textId="77777777" w:rsidTr="00E543D0">
        <w:tc>
          <w:tcPr>
            <w:tcW w:w="1951" w:type="dxa"/>
            <w:tcBorders>
              <w:top w:val="single" w:sz="12" w:space="0" w:color="auto"/>
            </w:tcBorders>
          </w:tcPr>
          <w:p w14:paraId="7E7EC0B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8647" w:type="dxa"/>
            <w:tcBorders>
              <w:top w:val="single" w:sz="12" w:space="0" w:color="auto"/>
            </w:tcBorders>
          </w:tcPr>
          <w:p w14:paraId="5FB5215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1F21FE58" w14:textId="77777777" w:rsidTr="00E543D0">
        <w:tc>
          <w:tcPr>
            <w:tcW w:w="1951" w:type="dxa"/>
          </w:tcPr>
          <w:p w14:paraId="30E65A4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w:t>
            </w:r>
          </w:p>
        </w:tc>
        <w:tc>
          <w:tcPr>
            <w:tcW w:w="8647" w:type="dxa"/>
          </w:tcPr>
          <w:p w14:paraId="1022B90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принят на испытания.</w:t>
            </w:r>
          </w:p>
        </w:tc>
      </w:tr>
      <w:tr w:rsidR="007D5DF8" w:rsidRPr="00DB5D0D" w14:paraId="7EEE4AD7" w14:textId="77777777" w:rsidTr="00E543D0">
        <w:tc>
          <w:tcPr>
            <w:tcW w:w="1951" w:type="dxa"/>
          </w:tcPr>
          <w:p w14:paraId="7627288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8647" w:type="dxa"/>
          </w:tcPr>
          <w:p w14:paraId="574B4DA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Ознакомительный полет с открытым фонарем. Высота 3000 м.</w:t>
            </w:r>
          </w:p>
        </w:tc>
      </w:tr>
      <w:tr w:rsidR="007D5DF8" w:rsidRPr="00DB5D0D" w14:paraId="415C48D0" w14:textId="77777777" w:rsidTr="00E543D0">
        <w:tc>
          <w:tcPr>
            <w:tcW w:w="1951" w:type="dxa"/>
          </w:tcPr>
          <w:p w14:paraId="16BA182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8647" w:type="dxa"/>
          </w:tcPr>
          <w:p w14:paraId="7C3CBE4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открытия и закрытия фонаря кабины на различных скоростях. Высота 4000 м.</w:t>
            </w:r>
          </w:p>
        </w:tc>
      </w:tr>
      <w:tr w:rsidR="007D5DF8" w:rsidRPr="00DB5D0D" w14:paraId="39E34260" w14:textId="77777777" w:rsidTr="00E543D0">
        <w:tc>
          <w:tcPr>
            <w:tcW w:w="1951" w:type="dxa"/>
          </w:tcPr>
          <w:p w14:paraId="0C62353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8647" w:type="dxa"/>
          </w:tcPr>
          <w:p w14:paraId="2E9F8CA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условий полета на больших высотах. Высота 8000 м.</w:t>
            </w:r>
          </w:p>
        </w:tc>
      </w:tr>
      <w:tr w:rsidR="007D5DF8" w:rsidRPr="00DB5D0D" w14:paraId="5A24CFA1" w14:textId="77777777" w:rsidTr="00E543D0">
        <w:tc>
          <w:tcPr>
            <w:tcW w:w="1951" w:type="dxa"/>
          </w:tcPr>
          <w:p w14:paraId="5E762BB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8647" w:type="dxa"/>
          </w:tcPr>
          <w:p w14:paraId="76774F2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загерметизированной кабине на потолок самолета. Высота 10700 м.</w:t>
            </w:r>
          </w:p>
        </w:tc>
      </w:tr>
      <w:tr w:rsidR="007D5DF8" w:rsidRPr="00DB5D0D" w14:paraId="123168F6" w14:textId="77777777" w:rsidTr="00E543D0">
        <w:tc>
          <w:tcPr>
            <w:tcW w:w="1951" w:type="dxa"/>
          </w:tcPr>
          <w:p w14:paraId="513E378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w:t>
            </w:r>
          </w:p>
        </w:tc>
        <w:tc>
          <w:tcPr>
            <w:tcW w:w="8647" w:type="dxa"/>
          </w:tcPr>
          <w:p w14:paraId="5AE4AF9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пилотажных качеств самолета с закрытым и открытым фонарем. Высота 7000 м.</w:t>
            </w:r>
          </w:p>
        </w:tc>
      </w:tr>
      <w:tr w:rsidR="007D5DF8" w:rsidRPr="00DB5D0D" w14:paraId="56A1270C" w14:textId="77777777" w:rsidTr="00E543D0">
        <w:tc>
          <w:tcPr>
            <w:tcW w:w="1951" w:type="dxa"/>
          </w:tcPr>
          <w:p w14:paraId="0C9459D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8647" w:type="dxa"/>
          </w:tcPr>
          <w:p w14:paraId="3246867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 Высота 7000 м.</w:t>
            </w:r>
          </w:p>
        </w:tc>
      </w:tr>
      <w:tr w:rsidR="007D5DF8" w:rsidRPr="00DB5D0D" w14:paraId="5BF23AC1" w14:textId="77777777" w:rsidTr="00E543D0">
        <w:tc>
          <w:tcPr>
            <w:tcW w:w="1951" w:type="dxa"/>
          </w:tcPr>
          <w:p w14:paraId="7F63CA7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8647" w:type="dxa"/>
          </w:tcPr>
          <w:p w14:paraId="325AAED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Учебно-боевой полет в загерметизированной кабине. Высота полета 8000 м.</w:t>
            </w:r>
          </w:p>
        </w:tc>
      </w:tr>
      <w:tr w:rsidR="007D5DF8" w:rsidRPr="00DB5D0D" w14:paraId="4A1C8FB7" w14:textId="77777777" w:rsidTr="00E543D0">
        <w:tc>
          <w:tcPr>
            <w:tcW w:w="1951" w:type="dxa"/>
          </w:tcPr>
          <w:p w14:paraId="76C4F75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8647" w:type="dxa"/>
          </w:tcPr>
          <w:p w14:paraId="7D51E71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полет по программе облета. Летчик ст. лейтенант Сушков. Высота 10000 м.</w:t>
            </w:r>
          </w:p>
        </w:tc>
      </w:tr>
      <w:tr w:rsidR="007D5DF8" w:rsidRPr="00DB5D0D" w14:paraId="0CF94DCA" w14:textId="77777777" w:rsidTr="00E543D0">
        <w:tc>
          <w:tcPr>
            <w:tcW w:w="1951" w:type="dxa"/>
          </w:tcPr>
          <w:p w14:paraId="44C2384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8647" w:type="dxa"/>
          </w:tcPr>
          <w:p w14:paraId="69F5924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полет по программе облета. Летчик капитан Дубовой. Высота 9300 м.</w:t>
            </w:r>
          </w:p>
        </w:tc>
      </w:tr>
      <w:tr w:rsidR="007D5DF8" w:rsidRPr="00DB5D0D" w14:paraId="7967953A" w14:textId="77777777" w:rsidTr="00E543D0">
        <w:tc>
          <w:tcPr>
            <w:tcW w:w="1951" w:type="dxa"/>
            <w:tcBorders>
              <w:bottom w:val="single" w:sz="12" w:space="0" w:color="auto"/>
            </w:tcBorders>
          </w:tcPr>
          <w:p w14:paraId="532A075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w:t>
            </w:r>
          </w:p>
        </w:tc>
        <w:tc>
          <w:tcPr>
            <w:tcW w:w="8647" w:type="dxa"/>
            <w:tcBorders>
              <w:bottom w:val="single" w:sz="12" w:space="0" w:color="auto"/>
            </w:tcBorders>
          </w:tcPr>
          <w:p w14:paraId="0E69517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полет по программе облета. Летчик майор Супрун. Высота 10100 м.</w:t>
            </w:r>
          </w:p>
        </w:tc>
      </w:tr>
    </w:tbl>
    <w:p w14:paraId="15D4BF1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от начала до конца испытаний – 9 дней, из них летных – 6 (6606).</w:t>
      </w:r>
    </w:p>
    <w:p w14:paraId="1DB3BA4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2FE4F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22 по 30 июля 1940 проходили гос. испытания самолета И-153 с герметической кабиной конструкции инженера Щербакова</w:t>
      </w:r>
    </w:p>
    <w:p w14:paraId="41443C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1E315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эксплуатационные свойства герметической кабины, особенно в части жизненных условий в ней, герметичность кабины, запотеваемость окон и возможности выполнения боевой работы летчиком на всех высотах.</w:t>
      </w:r>
    </w:p>
    <w:p w14:paraId="2FBFF7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 предъявлен заводом N 289 НКАП самолет И-153 с мотором М-62 N 6028, снабженный герметической кабиной конструкции инженера Щербакова.</w:t>
      </w:r>
    </w:p>
    <w:p w14:paraId="72788C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гос. испытаний на самолете И-153 с герметической кабиной произведено 11 полетов, из них 9 полетов высотных. Максимальная высота полета 10700 м (3190).</w:t>
      </w:r>
    </w:p>
    <w:p w14:paraId="15B3BAD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B145D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в ходе гос. испытаний самолета И-153 с герметической кабиной конструкции инженера Щербакова, которые проходили с 22 по 30 июля 1940 состоялся ознакомительный полет с открытым фонарем на высоте 3000 м продолжительность 20 мин. (3190).</w:t>
      </w:r>
    </w:p>
    <w:p w14:paraId="47470CE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BC671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на специальном совещании в Управлении ВВС было решено один из двух оставшихся серийных И-180 - № 25211 - передать для проведения испытаний на устойчивость в ЦАГИ. Другой самолет - №25213 - чуть ранее был сдан в полк боевого применения для испытания вооружения (3203,10).</w:t>
      </w:r>
    </w:p>
    <w:p w14:paraId="5700F49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B32D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 на специальном совещании в Управлении ВВС было решено один из двух оставшихся серийных И-180 - №25211 - пере</w:t>
      </w:r>
      <w:r w:rsidRPr="00DB5D0D">
        <w:rPr>
          <w:rFonts w:ascii="Times New Roman" w:hAnsi="Times New Roman"/>
          <w:color w:val="000000" w:themeColor="text1"/>
          <w:sz w:val="16"/>
          <w:szCs w:val="16"/>
        </w:rPr>
        <w:softHyphen/>
        <w:t>дать для проведения испытаний на определе</w:t>
      </w:r>
      <w:r w:rsidRPr="00DB5D0D">
        <w:rPr>
          <w:rFonts w:ascii="Times New Roman" w:hAnsi="Times New Roman"/>
          <w:color w:val="000000" w:themeColor="text1"/>
          <w:sz w:val="16"/>
          <w:szCs w:val="16"/>
        </w:rPr>
        <w:softHyphen/>
        <w:t>ние устойчивости в ЦАГИ. Другой самолет -№25213 - чуть ранее был сдан в полк боевого применения для испытания вооружения (9979).</w:t>
      </w:r>
    </w:p>
    <w:p w14:paraId="26E284C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B0C28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 НИИ ВВС созвал совещание по са</w:t>
      </w:r>
      <w:r w:rsidRPr="00DB5D0D">
        <w:rPr>
          <w:rFonts w:ascii="Times New Roman" w:hAnsi="Times New Roman"/>
          <w:color w:val="000000" w:themeColor="text1"/>
          <w:sz w:val="16"/>
          <w:szCs w:val="16"/>
        </w:rPr>
        <w:softHyphen/>
        <w:t>молету И-180, на котором анализировались летные характеристики машины, оценивалась ее необходимость для ВВС, рассматривался вопрос с серийным производ</w:t>
      </w:r>
      <w:r w:rsidRPr="00DB5D0D">
        <w:rPr>
          <w:rFonts w:ascii="Times New Roman" w:hAnsi="Times New Roman"/>
          <w:color w:val="000000" w:themeColor="text1"/>
          <w:sz w:val="16"/>
          <w:szCs w:val="16"/>
        </w:rPr>
        <w:softHyphen/>
        <w:t>ством, с проведением госиспытаний серийного самолета. В протоколах совещания отмечалась недостаточная прочность центроплана, выявленная на статиспытаниях - 92% от требуемой. Далее в документах совещания го</w:t>
      </w:r>
      <w:r w:rsidRPr="00DB5D0D">
        <w:rPr>
          <w:rFonts w:ascii="Times New Roman" w:hAnsi="Times New Roman"/>
          <w:color w:val="000000" w:themeColor="text1"/>
          <w:sz w:val="16"/>
          <w:szCs w:val="16"/>
        </w:rPr>
        <w:softHyphen/>
        <w:t>ворилось:</w:t>
      </w:r>
    </w:p>
    <w:p w14:paraId="7C8218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решение макетной комиссии ВВС Крас</w:t>
      </w:r>
      <w:r w:rsidRPr="00DB5D0D">
        <w:rPr>
          <w:rFonts w:ascii="Times New Roman" w:hAnsi="Times New Roman"/>
          <w:color w:val="000000" w:themeColor="text1"/>
          <w:sz w:val="16"/>
          <w:szCs w:val="16"/>
        </w:rPr>
        <w:softHyphen/>
        <w:t>ной Армии от 26.1.40 года и на решение комиссии НКАП и ВВС от 30.1.40 года об установке одностоечного шасси на самолете И-180, начиная с 31 самолета, и о проведе</w:t>
      </w:r>
      <w:r w:rsidRPr="00DB5D0D">
        <w:rPr>
          <w:rFonts w:ascii="Times New Roman" w:hAnsi="Times New Roman"/>
          <w:color w:val="000000" w:themeColor="text1"/>
          <w:sz w:val="16"/>
          <w:szCs w:val="16"/>
        </w:rPr>
        <w:softHyphen/>
        <w:t>нии к 15.3. статических испытаний одностоечного шасси на заводе № 21, там до сих пор не отработано и не испы</w:t>
      </w:r>
      <w:r w:rsidRPr="00DB5D0D">
        <w:rPr>
          <w:rFonts w:ascii="Times New Roman" w:hAnsi="Times New Roman"/>
          <w:color w:val="000000" w:themeColor="text1"/>
          <w:sz w:val="16"/>
          <w:szCs w:val="16"/>
        </w:rPr>
        <w:softHyphen/>
        <w:t>тано одностоечное шасси на самолете И-180.</w:t>
      </w:r>
    </w:p>
    <w:p w14:paraId="25E60B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вышеуказанного, совещание считает наи</w:t>
      </w:r>
      <w:r w:rsidRPr="00DB5D0D">
        <w:rPr>
          <w:rFonts w:ascii="Times New Roman" w:hAnsi="Times New Roman"/>
          <w:color w:val="000000" w:themeColor="text1"/>
          <w:sz w:val="16"/>
          <w:szCs w:val="16"/>
        </w:rPr>
        <w:softHyphen/>
        <w:t>более целесообразным:</w:t>
      </w:r>
    </w:p>
    <w:p w14:paraId="056189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И-180 М-88 № 25211, находящийся на за</w:t>
      </w:r>
      <w:r w:rsidRPr="00DB5D0D">
        <w:rPr>
          <w:rFonts w:ascii="Times New Roman" w:hAnsi="Times New Roman"/>
          <w:color w:val="000000" w:themeColor="text1"/>
          <w:sz w:val="16"/>
          <w:szCs w:val="16"/>
        </w:rPr>
        <w:softHyphen/>
        <w:t>воде №1, на госиспытания принят быть не может....</w:t>
      </w:r>
    </w:p>
    <w:p w14:paraId="09D696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завод № 21 провести на одном из самоле</w:t>
      </w:r>
      <w:r w:rsidRPr="00DB5D0D">
        <w:rPr>
          <w:rFonts w:ascii="Times New Roman" w:hAnsi="Times New Roman"/>
          <w:color w:val="000000" w:themeColor="text1"/>
          <w:sz w:val="16"/>
          <w:szCs w:val="16"/>
        </w:rPr>
        <w:softHyphen/>
        <w:t>тов И-180 первой серии необходимые усиления и устра</w:t>
      </w:r>
      <w:r w:rsidRPr="00DB5D0D">
        <w:rPr>
          <w:rFonts w:ascii="Times New Roman" w:hAnsi="Times New Roman"/>
          <w:color w:val="000000" w:themeColor="text1"/>
          <w:sz w:val="16"/>
          <w:szCs w:val="16"/>
        </w:rPr>
        <w:softHyphen/>
        <w:t>нение дефектов и предъявить самолет в первой половине августа с.г. на госиспытания» (10667).</w:t>
      </w:r>
    </w:p>
    <w:p w14:paraId="084AFD8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EC25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22 июля 1940 состоялась проверка военпредами выполнения постановления от 23 мая об окраске самолетов, которая показала, что по оно уже выполнялась на выпускающих истребители заводах N 1 (И-153), N 21 (И-16), N 153 (И-16), N 292, N 301. На фотографиях, датированных летом 1940 г., начинают попадаться "Чайки" с защитной зеленой окраской. По другому обстояло дело на предприятиях, производящих бомбардировщики. Завод N 126 (Комсомольск-на-Амуре), по крайней мере, и в июне 1940 г. красил ДБ-3 по старой технологии. Завод N 125 (Иркутск) даже в начале августа поставлял ВВС некрашеные бомбардировщики СБ (2771,19).</w:t>
      </w:r>
    </w:p>
    <w:p w14:paraId="6169EE2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E192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состоялось заседание N 18 Коллегии НКАП. Обсуждали вопросы о методах контроля качества продукции без разрушения деталей и полуфабрикатов и применении их в авиационной промышленности. Рассмотрели также Основные положения (1155):</w:t>
      </w:r>
    </w:p>
    <w:p w14:paraId="63D047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 образцах и ТУ на самолеты на различных этапах внедрения в производство (ПГУ);</w:t>
      </w:r>
    </w:p>
    <w:p w14:paraId="4858B7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 образцах (эталонах) и ТУ на агрегаты, вооружение, шасси, авиаколеса и радиаторы на разных этапах внедрения;</w:t>
      </w:r>
    </w:p>
    <w:p w14:paraId="0E9470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об эталоне авиамоторов на различных этапах производства (1155).</w:t>
      </w:r>
    </w:p>
    <w:p w14:paraId="6FA6756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2BAA0B"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 июля 1940 вышло Постановление СНК СССР № 1310-504сс "О заключении с германскими фирмами договоров на техническую помощь по производству впрыскивающей аппаратуры и деталей для авиамоторов"</w:t>
      </w:r>
    </w:p>
    <w:p w14:paraId="6A271134"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Совет Народных Комиссаров Союза ССР ПОСТАНОВЛЯЕТ:</w:t>
      </w:r>
    </w:p>
    <w:p w14:paraId="77CBF458"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Разредить Наркомвнешторгу заключить с германскими фирмами договора на получение технической помощи по произ</w:t>
      </w:r>
      <w:r w:rsidRPr="00DB5D0D">
        <w:rPr>
          <w:rFonts w:ascii="Times New Roman" w:hAnsi="Times New Roman"/>
          <w:color w:val="0070C0"/>
          <w:sz w:val="16"/>
          <w:szCs w:val="16"/>
        </w:rPr>
        <w:softHyphen/>
        <w:t>водству на заводах Наркомавиапрома впрыскивающей аппаратуры, новых типов авиамагнето, поршневых колец для авиамоторов и авиасвечей - общей стоимостью до 6 миллионов германских марок (21953).</w:t>
      </w:r>
    </w:p>
    <w:p w14:paraId="6669C8DB" w14:textId="77777777" w:rsidR="00F93C9A" w:rsidRPr="00DB5D0D" w:rsidRDefault="00F93C9A" w:rsidP="00DB5D0D">
      <w:pPr>
        <w:spacing w:after="0" w:line="240" w:lineRule="auto"/>
        <w:jc w:val="both"/>
        <w:rPr>
          <w:rFonts w:ascii="Times New Roman" w:hAnsi="Times New Roman"/>
          <w:color w:val="0070C0"/>
          <w:sz w:val="16"/>
          <w:szCs w:val="16"/>
        </w:rPr>
      </w:pPr>
    </w:p>
    <w:p w14:paraId="5FF2A1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 Решением Правительства № 367сс Уфимский моторный завод передан в систему НКАП (9340).</w:t>
      </w:r>
    </w:p>
    <w:p w14:paraId="7A3B9D4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C0E6B63" w14:textId="77777777" w:rsidR="00F23BA4" w:rsidRPr="00DB5D0D" w:rsidRDefault="00F23BA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22 июля 1940 г. Уфимский моторный комбайновый завод из Наркомата среднего машиностроения был передан в ведение НКАП, он стал Государственным союзным заводом № 384. Коллективу завода предстояло освоить производство авиадвигателей М-105 конструкции В. Я. Климова. План выпуска предусматривал изготовление </w:t>
      </w:r>
      <w:r w:rsidRPr="00DB5D0D">
        <w:rPr>
          <w:rFonts w:ascii="Times New Roman" w:hAnsi="Times New Roman"/>
          <w:color w:val="000000" w:themeColor="text1"/>
          <w:sz w:val="16"/>
          <w:szCs w:val="16"/>
        </w:rPr>
        <w:lastRenderedPageBreak/>
        <w:t>в 1940 г. 20 моторов М-105, в 1941 г. – не менее одной тысячи, а с 1942 г. завод должен был производить по 2500 двигателей в год. Помимо Уфимского завода № 384 производство двигателей М-105 предполагалось развернуть на ленинградских заводах № 234 и № 451, переведенных в систему авиационной промышленности из других отраслей (19705).</w:t>
      </w:r>
    </w:p>
    <w:p w14:paraId="303A9BB1" w14:textId="77777777" w:rsidR="00F23BA4" w:rsidRPr="00DB5D0D" w:rsidRDefault="00F23BA4" w:rsidP="00DB5D0D">
      <w:pPr>
        <w:spacing w:after="0" w:line="240" w:lineRule="auto"/>
        <w:jc w:val="both"/>
        <w:rPr>
          <w:rFonts w:ascii="Times New Roman" w:hAnsi="Times New Roman"/>
          <w:color w:val="000000" w:themeColor="text1"/>
          <w:sz w:val="16"/>
          <w:szCs w:val="16"/>
        </w:rPr>
      </w:pPr>
    </w:p>
    <w:p w14:paraId="5373B0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 был создан Ленинградский филиал ГПИ-1. 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1947г. преобразовано в Куйбышевский филиал; СПБ-2; Сибирский филиал, созданный в 1951 г.; СПБ-6 в Казани, созданное 8.12.1941 г., 18.10.1952г. преобразовано в Казанский филиал; Омский филиал, организованный 17.10.1959г.; Уфимский филиал, организованый 18.02.1975г.; СПБ-11 в Ульяновске, созданное в 1976г. (11982).</w:t>
      </w:r>
    </w:p>
    <w:p w14:paraId="183DE7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Ленинградский филиал ГПИ-1, ОАО «Петербургский Гипроавиапром» /194044 г. Ленинград, г. Санкт-Петербург ул. Смолячкова, 19 тел. 542-90-01/</w:t>
      </w:r>
    </w:p>
    <w:p w14:paraId="19F2D8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1993г. филиал преобразован в самостоятельный «Петербургский Гипроавиапром».</w:t>
      </w:r>
    </w:p>
    <w:p w14:paraId="14687A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(2002г.): комплексное проектирование объектов промышленности и жилья. Является ген. проектировщиком предприятий авиационной промышленности Санкт-Петербурга.</w:t>
      </w:r>
    </w:p>
    <w:p w14:paraId="072A65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(2002г.)- 75 чел.</w:t>
      </w:r>
    </w:p>
    <w:p w14:paraId="008974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Гендиректор (1996-2002г.-)- А.Г. Румановский.</w:t>
      </w:r>
    </w:p>
    <w:p w14:paraId="3457A5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Зам. гендиректора по экономике (2002г.)- </w:t>
      </w:r>
      <w:r w:rsidRPr="00DB5D0D">
        <w:rPr>
          <w:rFonts w:ascii="Times New Roman" w:hAnsi="Times New Roman"/>
          <w:color w:val="000000" w:themeColor="text1"/>
          <w:sz w:val="16"/>
          <w:szCs w:val="16"/>
          <w:lang w:val="en-US"/>
        </w:rPr>
        <w:t>A</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M</w:t>
      </w:r>
      <w:r w:rsidRPr="00DB5D0D">
        <w:rPr>
          <w:rFonts w:ascii="Times New Roman" w:hAnsi="Times New Roman"/>
          <w:color w:val="000000" w:themeColor="text1"/>
          <w:sz w:val="16"/>
          <w:szCs w:val="16"/>
        </w:rPr>
        <w:t>. Островский.</w:t>
      </w:r>
    </w:p>
    <w:p w14:paraId="2164C9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(2002г.)- С.М. Павлович.</w:t>
      </w:r>
    </w:p>
    <w:p w14:paraId="3287CC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Создано: проекты предприятий: «Рыбинские моторы», «Красный Октябрь», СмАЗ, Рижский завод промышленных роботов, Завод им. В.Я. Климова.</w:t>
      </w:r>
      <w:r w:rsidRPr="00DB5D0D">
        <w:rPr>
          <w:rFonts w:ascii="Times New Roman" w:hAnsi="Times New Roman"/>
          <w:color w:val="000000" w:themeColor="text1"/>
          <w:sz w:val="16"/>
          <w:szCs w:val="16"/>
          <w:vertAlign w:val="superscript"/>
        </w:rPr>
        <w:t>69</w:t>
      </w:r>
      <w:r w:rsidRPr="00DB5D0D">
        <w:rPr>
          <w:rFonts w:ascii="Times New Roman" w:hAnsi="Times New Roman"/>
          <w:color w:val="000000" w:themeColor="text1"/>
          <w:sz w:val="16"/>
          <w:szCs w:val="16"/>
        </w:rPr>
        <w:t xml:space="preserve"> (11982).</w:t>
      </w:r>
    </w:p>
    <w:p w14:paraId="1EBE7089" w14:textId="77777777" w:rsidR="00B0130D" w:rsidRPr="00DB5D0D" w:rsidRDefault="00B0130D" w:rsidP="00DB5D0D">
      <w:pPr>
        <w:spacing w:after="0" w:line="240" w:lineRule="auto"/>
        <w:jc w:val="both"/>
        <w:rPr>
          <w:rFonts w:ascii="Times New Roman" w:hAnsi="Times New Roman"/>
          <w:i/>
          <w:iCs/>
          <w:color w:val="000000" w:themeColor="text1"/>
          <w:sz w:val="16"/>
          <w:szCs w:val="16"/>
        </w:rPr>
      </w:pPr>
    </w:p>
    <w:p w14:paraId="0AF001E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4862A7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A16E4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 в дополнение к Указу от 26 июня 1940 нарком юстиции и прокурор СССР издали совместный приказ, согласно которому рабочие, ушедшие на обед более чем на 20 минут раньше положенного времени и вернувшиеся с трапезы более чем через 20 минут после официально установленного времени, должны были привлекаться к судебной ответственности, как за прогул. [118 — ГУ ЦАНО, Ф. 2439, Оп. 2, с. 48.] Первый приказ директора завода № 92 А. Е. Еляна по преданию суду 38 прогульщиков был подписан 20 июля. В дальнейшем, в течение месяца, в суд передали дела еще на 201 прогульщика. [119 — Д. 442, Л. 73, 78, 86, 103, 120, 128, 155, 170, 183.] В результате этих мер в сентябре количество прогульщиков сократилось в среднем с 25 до 8 человек в день. Но в то же время резко возросло сокрытие прогулов и предоставление задним числом административных отпусков, и реальное состояние дисциплины улучшилось незначительно. За первые десять лет существования завода № 92 проблемы трудовой дисциплины оказывали сильное влияние на его работу. Прогулы и опоздания, многочисленные поломки и аварии оборудования, несмотря на постоянную борьбу с ними, дезорганизовывали работу цехов, порождали высокую текучесть кадров. Подобная ситуация складывалась на всех предприятиях страны, из-за чего и появился пресловутый Указ от 26 июня, фактически вернувший в промышленность крепостное право, забытое в России 80 лет назад. Однако массовые прогулы и текучесть кадров вовсе не оправдывают драконовских мер, принятых сталинским руководством. Вместо того чтобы создать эффективную систему стимулирования труда, предпочли просто прибегнуть к банальной принудиловке. Кроме того, Указ от 26 июня фактически означал поражение советской власти в идеологическом воспитании трудящихся. Тем самым власть признала, что одними только лозунгами типа «трудись ради Родины» и призывами к энтузиазму заставить людей хорошо работать не удалось. Поэтому власти дальше решили действовать по принципу «Не хочешь — заставим!» (11741).</w:t>
      </w:r>
    </w:p>
    <w:p w14:paraId="7B3FD1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A4833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1949 Зам. НКБ Толстов подготовил Справку в Главный Контроль К.О при СНК С.С.С.Р. Ст. Контролеру тов. ИВАНОВУ П.И.</w:t>
      </w:r>
    </w:p>
    <w:p w14:paraId="1EE311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1938 году тов. Коротяезым была предложена конструкция сборной гильзы с штампованным из листового железа дном и бу</w:t>
      </w:r>
      <w:r w:rsidRPr="00DB5D0D">
        <w:rPr>
          <w:rFonts w:ascii="Times New Roman" w:hAnsi="Times New Roman"/>
          <w:color w:val="000000" w:themeColor="text1"/>
          <w:sz w:val="16"/>
          <w:szCs w:val="16"/>
        </w:rPr>
        <w:softHyphen/>
        <w:t>мажным корпусом /гильза ШД/.</w:t>
      </w:r>
    </w:p>
    <w:p w14:paraId="0825B0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реализации этого предложения тов. Коротяев был за</w:t>
      </w:r>
      <w:r w:rsidRPr="00DB5D0D">
        <w:rPr>
          <w:rFonts w:ascii="Times New Roman" w:hAnsi="Times New Roman"/>
          <w:color w:val="000000" w:themeColor="text1"/>
          <w:sz w:val="16"/>
          <w:szCs w:val="16"/>
        </w:rPr>
        <w:softHyphen/>
        <w:t>числен в шват опытного бюро завода № 187, где и проводил рабо</w:t>
      </w:r>
      <w:r w:rsidRPr="00DB5D0D">
        <w:rPr>
          <w:rFonts w:ascii="Times New Roman" w:hAnsi="Times New Roman"/>
          <w:color w:val="000000" w:themeColor="text1"/>
          <w:sz w:val="16"/>
          <w:szCs w:val="16"/>
        </w:rPr>
        <w:softHyphen/>
        <w:t>ту. В 1939 году мною, в порядке использования опыта ознаком</w:t>
      </w:r>
      <w:r w:rsidRPr="00DB5D0D">
        <w:rPr>
          <w:rFonts w:ascii="Times New Roman" w:hAnsi="Times New Roman"/>
          <w:color w:val="000000" w:themeColor="text1"/>
          <w:sz w:val="16"/>
          <w:szCs w:val="16"/>
        </w:rPr>
        <w:softHyphen/>
        <w:t>ления с производством боеприпасов за границей, было предложено директору завода № 176, тов. МАРТЫНОВУ приступить к отработке чертежа железной сборной гильзы с штампованным корпусом из листового железа.</w:t>
      </w:r>
    </w:p>
    <w:p w14:paraId="28DFF4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порядке-ли собственной инциативы, или в порядке использования данных мною заводу № 176 указаний, в этот же пе</w:t>
      </w:r>
      <w:r w:rsidRPr="00DB5D0D">
        <w:rPr>
          <w:rFonts w:ascii="Times New Roman" w:hAnsi="Times New Roman"/>
          <w:color w:val="000000" w:themeColor="text1"/>
          <w:sz w:val="16"/>
          <w:szCs w:val="16"/>
        </w:rPr>
        <w:softHyphen/>
        <w:t>риод времени /в связи с совершенно неудовлетворительным ис</w:t>
      </w:r>
      <w:r w:rsidRPr="00DB5D0D">
        <w:rPr>
          <w:rFonts w:ascii="Times New Roman" w:hAnsi="Times New Roman"/>
          <w:color w:val="000000" w:themeColor="text1"/>
          <w:sz w:val="16"/>
          <w:szCs w:val="16"/>
        </w:rPr>
        <w:softHyphen/>
        <w:t>пытанием гильз с бумажным корпусом/ тов. Коротяев с коллекти</w:t>
      </w:r>
      <w:r w:rsidRPr="00DB5D0D">
        <w:rPr>
          <w:rFonts w:ascii="Times New Roman" w:hAnsi="Times New Roman"/>
          <w:color w:val="000000" w:themeColor="text1"/>
          <w:sz w:val="16"/>
          <w:szCs w:val="16"/>
        </w:rPr>
        <w:softHyphen/>
        <w:t>вом работников, применил для гильзы “ШД" штампованный из листа корпус.</w:t>
      </w:r>
    </w:p>
    <w:p w14:paraId="32BD90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1939 году рядом работников завода № 187 была предложен новая конструкция гильзы, предусматривающая изготовление гильзы с цельнотянутым корпусом с кованным дном /гильза “КД"/</w:t>
      </w:r>
    </w:p>
    <w:p w14:paraId="2D7023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по этой конструкции изготовлены опытные и установочные партии, чертежи утверждены. Развертывает</w:t>
      </w:r>
      <w:r w:rsidRPr="00DB5D0D">
        <w:rPr>
          <w:rFonts w:ascii="Times New Roman" w:hAnsi="Times New Roman"/>
          <w:color w:val="000000" w:themeColor="text1"/>
          <w:sz w:val="16"/>
          <w:szCs w:val="16"/>
        </w:rPr>
        <w:softHyphen/>
        <w:t>ся валовое производство их.</w:t>
      </w:r>
    </w:p>
    <w:p w14:paraId="421F62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гильз “ШД”</w:t>
      </w:r>
    </w:p>
    <w:p w14:paraId="491227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1939 года и в начале 1940 г на заводах №№ 176 и 187 были изготовлены устанновочные партии гильз “ШД”, которые до настоящего времени не приняты АУ РККА , т.к. эти гильзы не обеспечивают требованиям чертежа.</w:t>
      </w:r>
    </w:p>
    <w:p w14:paraId="586F4A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w:t>
      </w:r>
    </w:p>
    <w:p w14:paraId="407C66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тов.Коротяев не является автором гильз “КД” и “ШД”, эти гильзы являются достижением всего коллектива конструкто</w:t>
      </w:r>
      <w:r w:rsidRPr="00DB5D0D">
        <w:rPr>
          <w:rFonts w:ascii="Times New Roman" w:hAnsi="Times New Roman"/>
          <w:color w:val="000000" w:themeColor="text1"/>
          <w:sz w:val="16"/>
          <w:szCs w:val="16"/>
        </w:rPr>
        <w:softHyphen/>
        <w:t>ров заводов №№ 176 и 187 и Главка.</w:t>
      </w:r>
    </w:p>
    <w:p w14:paraId="7F67B1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отметить отношение тов. Коротяева к изготовлению гильз "ШД", что тов. Коротяев располагая всеми возможностями для дальнейшей отработки гильзы конструкции "ШД” /Н-к констр. бюро/, по существу ничего не делал, в связи с этим завод и Главк не возражали:: против его освобождения от согласно поданного им заявления (10206,160).</w:t>
      </w:r>
    </w:p>
    <w:p w14:paraId="481317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F73F3A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22 июля 1938 г. </w:t>
      </w:r>
    </w:p>
    <w:p w14:paraId="3E55F46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29. Докладная записка наркома оборонной промышленности СССР М. М. Кагановича председателю Комитета обороны при СНК СССР В. М. Молотову о состоянии производства минно</w:t>
      </w:r>
      <w:r w:rsidRPr="00DB5D0D">
        <w:rPr>
          <w:rFonts w:ascii="Times New Roman" w:hAnsi="Times New Roman"/>
          <w:color w:val="000000" w:themeColor="text1"/>
          <w:sz w:val="16"/>
          <w:szCs w:val="16"/>
        </w:rPr>
        <w:softHyphen/>
        <w:t>трального вооружения на заводах наркомата[</w:t>
      </w:r>
      <w:hyperlink r:id="rId212"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w:t>
      </w:r>
    </w:p>
    <w:p w14:paraId="028CEA0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72FA0E1D"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177-179.</w:t>
      </w:r>
    </w:p>
    <w:p w14:paraId="7DFC620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5648875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8418. Оп. 22. Д. 357. Л. 148-150. Подлинник.</w:t>
      </w:r>
    </w:p>
    <w:p w14:paraId="377C2F3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322CA72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о состоянии производства минно-трального вооружения на заводах НКОП № 239, 194, 198 и 4.</w:t>
      </w:r>
    </w:p>
    <w:p w14:paraId="76145568"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 № 239 (“Парострой”) 17</w:t>
      </w:r>
      <w:r w:rsidRPr="00DB5D0D">
        <w:rPr>
          <w:rFonts w:ascii="Times New Roman" w:hAnsi="Times New Roman"/>
          <w:color w:val="000000" w:themeColor="text1"/>
          <w:sz w:val="16"/>
          <w:szCs w:val="16"/>
        </w:rPr>
        <w:noBreakHyphen/>
        <w:t>го Главного управления</w:t>
      </w:r>
    </w:p>
    <w:p w14:paraId="051D6E5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 мины обр. 1926 г. и глубинные бомбы большого веса (вес заряда 120 кг). Выполнение заводом программы за первое полугодие 1938 г. по сдаче заказчику приводится в нижеследующей таблице.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9"/>
        <w:gridCol w:w="1674"/>
        <w:gridCol w:w="1550"/>
        <w:gridCol w:w="1654"/>
        <w:gridCol w:w="1329"/>
        <w:gridCol w:w="1392"/>
        <w:gridCol w:w="1484"/>
      </w:tblGrid>
      <w:tr w:rsidR="007D5DF8" w:rsidRPr="00DB5D0D" w14:paraId="125C1E10" w14:textId="77777777" w:rsidTr="007A114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1FE217"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Номенклатура</w:t>
            </w:r>
          </w:p>
          <w:p w14:paraId="4331734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B216734"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1938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B81170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 г</w:t>
            </w:r>
          </w:p>
        </w:tc>
      </w:tr>
      <w:tr w:rsidR="007D5DF8" w:rsidRPr="00DB5D0D" w14:paraId="125EEFA8" w14:textId="77777777" w:rsidTr="007A114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2FA1517"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0805EB"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годовая</w:t>
            </w:r>
          </w:p>
          <w:p w14:paraId="71D7FE3B"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641130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сдано за первое полугодие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829A54"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годовая</w:t>
            </w:r>
          </w:p>
          <w:p w14:paraId="72674C4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E514E1"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сдано за год</w:t>
            </w:r>
          </w:p>
        </w:tc>
      </w:tr>
      <w:tr w:rsidR="007D5DF8" w:rsidRPr="00DB5D0D" w14:paraId="56BDDFAD" w14:textId="77777777" w:rsidTr="007A114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1CB381"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1F53E5"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E277F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04D37"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процентах</w:t>
            </w:r>
          </w:p>
          <w:p w14:paraId="343F09B4"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годовому</w:t>
            </w:r>
          </w:p>
          <w:p w14:paraId="7164063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плану</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5508025"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0DC97"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B5BD4"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процентах</w:t>
            </w:r>
          </w:p>
          <w:p w14:paraId="4B6EBF1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годовому</w:t>
            </w:r>
          </w:p>
          <w:p w14:paraId="72A59E7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плану</w:t>
            </w:r>
          </w:p>
        </w:tc>
      </w:tr>
      <w:tr w:rsidR="007D5DF8" w:rsidRPr="00DB5D0D" w14:paraId="26491F00"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3AC797"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Мины обр.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7BA3B"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0432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BE65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1390E"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1830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69B8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AB61D"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65,5</w:t>
            </w:r>
          </w:p>
        </w:tc>
      </w:tr>
      <w:tr w:rsidR="007D5DF8" w:rsidRPr="00DB5D0D" w14:paraId="3ED49B66"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36F9C5"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Глубинные 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8F24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457DB"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1677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B24F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68268"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5A5B9"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39128"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670162A7"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5A793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Мины АГ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9E331"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D93F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210F1"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0DFD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72ED8"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CC6B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6A57EA5"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3295A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Мины Гейро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3301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8735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E998B"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52C8E"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B333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92AA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BDAB791"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F821BD"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Котлы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3001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100 000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64CB1"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61 036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8E4E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2AAD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0DF09"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9298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r>
    </w:tbl>
    <w:p w14:paraId="40C1373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Завод № 194 (Ленинград, им. Марти) 2-го Главного управления</w:t>
      </w:r>
    </w:p>
    <w:p w14:paraId="4F7093B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 мины ПЛТ (для подводных лодок), мины обр. 1908 г., параваны типа “К</w:t>
      </w:r>
      <w:r w:rsidRPr="00DB5D0D">
        <w:rPr>
          <w:rFonts w:ascii="Times New Roman" w:hAnsi="Times New Roman"/>
          <w:color w:val="000000" w:themeColor="text1"/>
          <w:sz w:val="16"/>
          <w:szCs w:val="16"/>
        </w:rPr>
        <w:noBreakHyphen/>
        <w:t>1” и патроны особого назначения (ПОНы). Выполнение заводом программы за первое полугодие приводится в нижеследующей таблице.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90"/>
        <w:gridCol w:w="1812"/>
        <w:gridCol w:w="1573"/>
        <w:gridCol w:w="1679"/>
        <w:gridCol w:w="1349"/>
        <w:gridCol w:w="1413"/>
        <w:gridCol w:w="1506"/>
      </w:tblGrid>
      <w:tr w:rsidR="007D5DF8" w:rsidRPr="00DB5D0D" w14:paraId="41BD2C1C" w14:textId="77777777" w:rsidTr="007A114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CDEF58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Номенклатура</w:t>
            </w:r>
          </w:p>
          <w:p w14:paraId="007DD1B4"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5E28675"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1938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E4D2CD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 г</w:t>
            </w:r>
          </w:p>
        </w:tc>
      </w:tr>
      <w:tr w:rsidR="007D5DF8" w:rsidRPr="00DB5D0D" w14:paraId="73BE36F7" w14:textId="77777777" w:rsidTr="007A114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521461"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E4776D"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годовая</w:t>
            </w:r>
          </w:p>
          <w:p w14:paraId="1BC64E31"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B26D1E"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сдано за первое полугодие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10DE08"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годовая</w:t>
            </w:r>
          </w:p>
          <w:p w14:paraId="0322B359"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5471A0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сдано за год</w:t>
            </w:r>
          </w:p>
        </w:tc>
      </w:tr>
      <w:tr w:rsidR="007D5DF8" w:rsidRPr="00DB5D0D" w14:paraId="6173B604" w14:textId="77777777" w:rsidTr="007A114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34F89F4"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D6C48F4"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7A76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D466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процентах</w:t>
            </w:r>
          </w:p>
          <w:p w14:paraId="162385B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годовому</w:t>
            </w:r>
          </w:p>
          <w:p w14:paraId="6BCC6C81"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плану</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C6B7A37"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3C5271"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3975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процентах</w:t>
            </w:r>
          </w:p>
          <w:p w14:paraId="39409ED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годовому</w:t>
            </w:r>
          </w:p>
          <w:p w14:paraId="7F1B9D6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плану</w:t>
            </w:r>
          </w:p>
        </w:tc>
      </w:tr>
      <w:tr w:rsidR="007D5DF8" w:rsidRPr="00DB5D0D" w14:paraId="694FFBF2"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A99A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Мины ПЛТ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6AD6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85385"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8C0C7"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8534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ED0F5"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339DE"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62,9</w:t>
            </w:r>
          </w:p>
        </w:tc>
      </w:tr>
      <w:tr w:rsidR="007D5DF8" w:rsidRPr="00DB5D0D" w14:paraId="5C29A5C9"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816E5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Мины 1908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21FD9"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C9C6D"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9DE3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E849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0D5C4"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59C4B"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67B1CA0D"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CA073B"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Параваны “К</w:t>
            </w:r>
            <w:r w:rsidRPr="00DB5D0D">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43BE7"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BBC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17C6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D87F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57901"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FDB6E"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r>
      <w:tr w:rsidR="007D5DF8" w:rsidRPr="00DB5D0D" w14:paraId="6E72DCC2"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A13AB4"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5C70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16E3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E654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F8C0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C2729"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72D55"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66,1</w:t>
            </w:r>
          </w:p>
        </w:tc>
      </w:tr>
    </w:tbl>
    <w:p w14:paraId="478BF83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Завод № 198 (Николаев, им. Марти) 2</w:t>
      </w:r>
      <w:r w:rsidRPr="00DB5D0D">
        <w:rPr>
          <w:rFonts w:ascii="Times New Roman" w:hAnsi="Times New Roman"/>
          <w:color w:val="000000" w:themeColor="text1"/>
          <w:sz w:val="16"/>
          <w:szCs w:val="16"/>
        </w:rPr>
        <w:noBreakHyphen/>
        <w:t>е Главное управление</w:t>
      </w:r>
    </w:p>
    <w:p w14:paraId="5FBEF614"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 тралы всех типов, параван-охранители, параван-тралы и тральные вехи. Выполнение программы за первое полугодие следующее.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69"/>
        <w:gridCol w:w="1475"/>
        <w:gridCol w:w="1368"/>
        <w:gridCol w:w="1137"/>
        <w:gridCol w:w="1368"/>
        <w:gridCol w:w="1368"/>
        <w:gridCol w:w="1137"/>
      </w:tblGrid>
      <w:tr w:rsidR="007D5DF8" w:rsidRPr="00DB5D0D" w14:paraId="4F45BC9A" w14:textId="77777777" w:rsidTr="007A1142">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F346C4"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Номенклатура</w:t>
            </w:r>
          </w:p>
          <w:p w14:paraId="7EEE9D7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31B3339"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1938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588E1A7"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 г</w:t>
            </w:r>
          </w:p>
        </w:tc>
      </w:tr>
      <w:tr w:rsidR="007D5DF8" w:rsidRPr="00DB5D0D" w14:paraId="0483095C" w14:textId="77777777" w:rsidTr="007A114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161403A"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E9DA9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годовая</w:t>
            </w:r>
          </w:p>
          <w:p w14:paraId="0872E34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8655F7"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сдано за первое полугодие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E9CB487"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годовая</w:t>
            </w:r>
          </w:p>
          <w:p w14:paraId="6CC68A0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AA8A29"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сдано за год</w:t>
            </w:r>
          </w:p>
        </w:tc>
      </w:tr>
      <w:tr w:rsidR="007D5DF8" w:rsidRPr="00DB5D0D" w14:paraId="384B0950" w14:textId="77777777" w:rsidTr="007A1142">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20AC652"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266FE98"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000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7310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процентах</w:t>
            </w:r>
          </w:p>
          <w:p w14:paraId="15F1C83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годовому</w:t>
            </w:r>
          </w:p>
          <w:p w14:paraId="779BCA69"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плану</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EB120D2" w14:textId="77777777" w:rsidR="00B0130D" w:rsidRPr="00DB5D0D" w:rsidRDefault="00B0130D" w:rsidP="00DB5D0D">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44E9B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7BC25"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процентах</w:t>
            </w:r>
          </w:p>
          <w:p w14:paraId="3B89B208"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годовому</w:t>
            </w:r>
          </w:p>
          <w:p w14:paraId="2C7FA789"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плану</w:t>
            </w:r>
          </w:p>
        </w:tc>
      </w:tr>
      <w:tr w:rsidR="007D5DF8" w:rsidRPr="00DB5D0D" w14:paraId="3E25D36E"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B11409"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Параван</w:t>
            </w:r>
            <w:r w:rsidRPr="00DB5D0D">
              <w:rPr>
                <w:rFonts w:ascii="Times New Roman" w:hAnsi="Times New Roman"/>
                <w:color w:val="000000" w:themeColor="text1"/>
                <w:sz w:val="16"/>
                <w:szCs w:val="16"/>
              </w:rPr>
              <w:noBreakHyphen/>
              <w:t>охранители и параван-тралы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A6C2B"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136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491B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759D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DB18B"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0FCA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AA197"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r>
      <w:tr w:rsidR="007D5DF8" w:rsidRPr="00DB5D0D" w14:paraId="2B7B553E"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2CF7EE"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Тралы разных типов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03E8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C7FE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4F66D"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E7E2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 комплекта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A6DBD"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0E845"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w:t>
            </w:r>
          </w:p>
        </w:tc>
      </w:tr>
      <w:tr w:rsidR="007D5DF8" w:rsidRPr="00DB5D0D" w14:paraId="48A24690"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81EB8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Тральные вехи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4DF13"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EB79E"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6E87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0DC5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10D6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379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B290B"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w:t>
            </w:r>
          </w:p>
        </w:tc>
      </w:tr>
      <w:tr w:rsidR="007D5DF8" w:rsidRPr="00DB5D0D" w14:paraId="270EF88F" w14:textId="77777777" w:rsidTr="007A114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79EBA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Тралящие части к параванам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29B12"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3D1DE"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6DA55"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2E0EB"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B82BE"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комплектов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3981A"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r>
    </w:tbl>
    <w:p w14:paraId="04625AF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Завод № 4 (Ленинград) 14</w:t>
      </w:r>
      <w:r w:rsidRPr="00DB5D0D">
        <w:rPr>
          <w:rFonts w:ascii="Times New Roman" w:hAnsi="Times New Roman"/>
          <w:color w:val="000000" w:themeColor="text1"/>
          <w:sz w:val="16"/>
          <w:szCs w:val="16"/>
        </w:rPr>
        <w:noBreakHyphen/>
        <w:t>е Главное управление</w:t>
      </w:r>
    </w:p>
    <w:p w14:paraId="4C49A255"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 ударные приборы, минные механизмы и клапаны потопления для мин обр. 1926 г. и ПЛТ.</w:t>
      </w:r>
    </w:p>
    <w:p w14:paraId="3FE56B79"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первое полугодие 1938 г. из 2,5 тыс. комплектов сдал всего 102 комплекта, т. е. 4,1%.</w:t>
      </w:r>
    </w:p>
    <w:p w14:paraId="5F58DD91"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Причины невыполнения программы</w:t>
      </w:r>
    </w:p>
    <w:p w14:paraId="6F38F0FE"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Основными причинами неудовлетворительного выполнения программы 1938 г. заводами № 194 и 198 являются:</w:t>
      </w:r>
    </w:p>
    <w:p w14:paraId="768240FF"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Невнимательное отношение директоров заводов к минной продукции на этих заводах.</w:t>
      </w:r>
    </w:p>
    <w:p w14:paraId="7E04793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Срыв подачи заводом  “Красный  гвоздильщик” (НКМаш) минного стального троса.</w:t>
      </w:r>
    </w:p>
    <w:p w14:paraId="0CABE3B8"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Срыв подачи ударных приборов и минных механизмов заводом № 4.</w:t>
      </w:r>
    </w:p>
    <w:p w14:paraId="394BB321"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Недостаточное техническое руководство этими заводами со стороны минно-трального ЦКБ</w:t>
      </w:r>
      <w:r w:rsidRPr="00DB5D0D">
        <w:rPr>
          <w:rFonts w:ascii="Times New Roman" w:hAnsi="Times New Roman"/>
          <w:color w:val="000000" w:themeColor="text1"/>
          <w:sz w:val="16"/>
          <w:szCs w:val="16"/>
        </w:rPr>
        <w:noBreakHyphen/>
        <w:t>36 17</w:t>
      </w:r>
      <w:r w:rsidRPr="00DB5D0D">
        <w:rPr>
          <w:rFonts w:ascii="Times New Roman" w:hAnsi="Times New Roman"/>
          <w:color w:val="000000" w:themeColor="text1"/>
          <w:sz w:val="16"/>
          <w:szCs w:val="16"/>
        </w:rPr>
        <w:noBreakHyphen/>
        <w:t>го Главного управления и оторванность ЦКБ от производства.</w:t>
      </w:r>
    </w:p>
    <w:p w14:paraId="2823D60D"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также отметить, что изготавливаемые образцы минно-трального оружия не удовлетворяют полностью современным тактико-техническим требованиям флота и обладают рядом дефектов, выявленных при испытаниях в 1938 г. При взрыве соседней мины, установленной на расстоянии 40</w:t>
      </w:r>
      <w:r w:rsidRPr="00DB5D0D">
        <w:rPr>
          <w:rFonts w:ascii="Times New Roman" w:hAnsi="Times New Roman"/>
          <w:color w:val="000000" w:themeColor="text1"/>
          <w:sz w:val="16"/>
          <w:szCs w:val="16"/>
        </w:rPr>
        <w:noBreakHyphen/>
        <w:t>45 м (нормальный интервал), разбиваются склянки у гальваноударных мин и деформируются ударные приборы мин обр. 1926 г. и ПЛТ — это вызывает самовзрыв соседних мин или делает их небоеспособными. Кроме того, у части мин обр. 1926 г. и КБ</w:t>
      </w:r>
      <w:r w:rsidRPr="00DB5D0D">
        <w:rPr>
          <w:rFonts w:ascii="Times New Roman" w:hAnsi="Times New Roman"/>
          <w:color w:val="000000" w:themeColor="text1"/>
          <w:sz w:val="16"/>
          <w:szCs w:val="16"/>
        </w:rPr>
        <w:noBreakHyphen/>
        <w:t>3 при этих интервалах получаются трещины по сварочному шву.</w:t>
      </w:r>
    </w:p>
    <w:p w14:paraId="01D77B21"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устранения обнаруженных дефектов мобилизован весь коллектив ЦКБ</w:t>
      </w:r>
      <w:r w:rsidRPr="00DB5D0D">
        <w:rPr>
          <w:rFonts w:ascii="Times New Roman" w:hAnsi="Times New Roman"/>
          <w:color w:val="000000" w:themeColor="text1"/>
          <w:sz w:val="16"/>
          <w:szCs w:val="16"/>
        </w:rPr>
        <w:noBreakHyphen/>
        <w:t>36 на конструктивную доработку и модернизацию мин (КБ</w:t>
      </w:r>
      <w:r w:rsidRPr="00DB5D0D">
        <w:rPr>
          <w:rFonts w:ascii="Times New Roman" w:hAnsi="Times New Roman"/>
          <w:color w:val="000000" w:themeColor="text1"/>
          <w:sz w:val="16"/>
          <w:szCs w:val="16"/>
        </w:rPr>
        <w:noBreakHyphen/>
        <w:t>3 обр. 1926 г., ПЛТ), находящихся в серийном производстве.</w:t>
      </w:r>
    </w:p>
    <w:p w14:paraId="429B62A0"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оздоровления минно-трального производства, создания минно-тральной промышленности и форсирования разработки и изготовления новых, более современных образцов минно-трального вооружения при сем прилагаю: 1. Проект постановления КО. 2. Проект постановления Совета исполнения заказов военного судостроения[</w:t>
      </w:r>
      <w:hyperlink r:id="rId213" w:anchor="p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w:t>
      </w:r>
    </w:p>
    <w:p w14:paraId="5E23727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оборонной промышленностиКаганович</w:t>
      </w:r>
    </w:p>
    <w:p w14:paraId="10EAFDA6"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p w14:paraId="2211888C"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14"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См. документ № 18.</w:t>
      </w:r>
    </w:p>
    <w:p w14:paraId="15B02207"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15" w:anchor="s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Приложения не публикуются (см. там же, Л. 151</w:t>
      </w:r>
      <w:r w:rsidRPr="00DB5D0D">
        <w:rPr>
          <w:rFonts w:ascii="Times New Roman" w:hAnsi="Times New Roman"/>
          <w:color w:val="000000" w:themeColor="text1"/>
          <w:sz w:val="16"/>
          <w:szCs w:val="16"/>
        </w:rPr>
        <w:noBreakHyphen/>
        <w:t>154).</w:t>
      </w:r>
    </w:p>
    <w:p w14:paraId="21161EBE" w14:textId="77777777" w:rsidR="00B0130D" w:rsidRPr="00DB5D0D" w:rsidRDefault="00B0130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8418. Оп. 22. Д. 357. Л. 148-150. Подлинник (17780).</w:t>
      </w:r>
    </w:p>
    <w:p w14:paraId="68A61B57" w14:textId="77777777" w:rsidR="00B0130D" w:rsidRPr="00DB5D0D" w:rsidRDefault="00B0130D" w:rsidP="00DB5D0D">
      <w:pPr>
        <w:spacing w:after="0" w:line="240" w:lineRule="auto"/>
        <w:jc w:val="both"/>
        <w:rPr>
          <w:rFonts w:ascii="Times New Roman" w:hAnsi="Times New Roman"/>
          <w:color w:val="000000" w:themeColor="text1"/>
          <w:sz w:val="16"/>
          <w:szCs w:val="16"/>
        </w:rPr>
      </w:pPr>
    </w:p>
    <w:p w14:paraId="4773BA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 в южном доке цеха № 50 завода в Молотовске заложили лин</w:t>
      </w:r>
      <w:r w:rsidRPr="00DB5D0D">
        <w:rPr>
          <w:rFonts w:ascii="Times New Roman" w:hAnsi="Times New Roman"/>
          <w:color w:val="000000" w:themeColor="text1"/>
          <w:sz w:val="16"/>
          <w:szCs w:val="16"/>
        </w:rPr>
        <w:softHyphen/>
        <w:t>кор "Советская Россия" (3848).</w:t>
      </w:r>
    </w:p>
    <w:p w14:paraId="3DD6627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8C900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7F7E2EB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6D3EC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опубликовано постановление СНК об организации специальных военно-морских средних школ (3960,284).</w:t>
      </w:r>
    </w:p>
    <w:p w14:paraId="2B2368F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7EE6D6" w14:textId="77777777" w:rsidR="003312FF"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076A5312" w14:textId="77777777" w:rsidR="003312FF" w:rsidRPr="00DB5D0D" w:rsidRDefault="003312FF" w:rsidP="00DB5D0D">
      <w:pPr>
        <w:spacing w:after="0" w:line="240" w:lineRule="auto"/>
        <w:jc w:val="both"/>
        <w:rPr>
          <w:rFonts w:ascii="Times New Roman" w:hAnsi="Times New Roman"/>
          <w:iCs/>
          <w:color w:val="000000" w:themeColor="text1"/>
          <w:sz w:val="16"/>
          <w:szCs w:val="16"/>
        </w:rPr>
      </w:pPr>
    </w:p>
    <w:p w14:paraId="15019D47" w14:textId="77777777" w:rsidR="003312FF" w:rsidRPr="00DB5D0D" w:rsidRDefault="003312F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в 1940 году сеймы уже советских Литвы, Латвии и Эстонии одновременно принимают решения о национализации земли, крупной промышленности, банков и торговых предприятий (14960).</w:t>
      </w:r>
    </w:p>
    <w:p w14:paraId="79FB680F" w14:textId="77777777" w:rsidR="003312FF" w:rsidRPr="00DB5D0D" w:rsidRDefault="003312FF" w:rsidP="00DB5D0D">
      <w:pPr>
        <w:spacing w:after="0" w:line="240" w:lineRule="auto"/>
        <w:jc w:val="both"/>
        <w:rPr>
          <w:rFonts w:ascii="Times New Roman" w:hAnsi="Times New Roman"/>
          <w:color w:val="000000" w:themeColor="text1"/>
          <w:sz w:val="16"/>
          <w:szCs w:val="16"/>
        </w:rPr>
      </w:pPr>
    </w:p>
    <w:p w14:paraId="3CD3FB4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B5C18D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73159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в Англии было создано управление специальных операций для связи с движением сопротивления в Европе (2443,417).</w:t>
      </w:r>
    </w:p>
    <w:p w14:paraId="0B4DFC3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D08F8F" w14:textId="77777777" w:rsidR="003312FF" w:rsidRPr="00DB5D0D" w:rsidRDefault="003312F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в 1940 году в Великобритании для связи с европейским движением Сопротивления учреждается Управление специальных операций (14960).</w:t>
      </w:r>
    </w:p>
    <w:p w14:paraId="61203DC9" w14:textId="77777777" w:rsidR="003312FF" w:rsidRPr="00DB5D0D" w:rsidRDefault="003312FF" w:rsidP="00DB5D0D">
      <w:pPr>
        <w:spacing w:after="0" w:line="240" w:lineRule="auto"/>
        <w:jc w:val="both"/>
        <w:rPr>
          <w:rFonts w:ascii="Times New Roman" w:hAnsi="Times New Roman"/>
          <w:color w:val="000000" w:themeColor="text1"/>
          <w:sz w:val="16"/>
          <w:szCs w:val="16"/>
        </w:rPr>
      </w:pPr>
    </w:p>
    <w:p w14:paraId="2CEF23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французская администрация на новых Гебридах (Вануату) присоединилось к свободной Франции и 24 сентября 1940 так же поступили другие заморские территории кроме североафриканских (3907,223).</w:t>
      </w:r>
    </w:p>
    <w:p w14:paraId="6D40631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26B9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в Японии было сформировано правительство Ф.Каноэ (2443,417).</w:t>
      </w:r>
    </w:p>
    <w:p w14:paraId="1AAD3A6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2A52E4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5ECEC2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D2C5A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года начальник ВВС командарм 2 ранга Смушкевич и Рычагов писали письмо № 466089сс в ЦК ВКП(б) Сталину И.В.</w:t>
      </w:r>
    </w:p>
    <w:p w14:paraId="69A82C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Посылаем Вам справку по вооружению бронированного штурмовика конструкции С.В.И.</w:t>
      </w:r>
    </w:p>
    <w:p w14:paraId="73BB64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С.В.И. проработал вариант усиления брони этого штурмовика до 15 мм и некоторого улучшения бомбового вооружения. Причем на этом самолете С.В.И. гарантирует устранить недочеты, выявленные на госиспытаниях его самолета бронированного штурмовика.</w:t>
      </w:r>
    </w:p>
    <w:p w14:paraId="77100A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Нам кажется, что С.В.И. может выполнить Ваши пожелания, которые Вы вчера высказали относительно постановки на самолете брони до 15 мм.</w:t>
      </w:r>
    </w:p>
    <w:p w14:paraId="3D6A93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Докладывая Вам об этом, считаем целесообразным вызвать Вам к себе С.В.И. и с ним поговорить по вопросу о бронированном штурмовике (7625, 269).</w:t>
      </w:r>
    </w:p>
    <w:p w14:paraId="3CA8E6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по вооружению самолета БШ-2 конструктора С.В.И.</w:t>
      </w:r>
    </w:p>
    <w:p w14:paraId="368F1B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 № 1 – осколочных 2,5 кг бомб 144 шт. или 322 кг</w:t>
      </w:r>
    </w:p>
    <w:p w14:paraId="2B136B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 № 2 – зажигательных 1 кг бомб 190 шт.</w:t>
      </w:r>
    </w:p>
    <w:p w14:paraId="230F6C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 № 3 - осколочных 25 кг бомб 24 шт. или 600 кг</w:t>
      </w:r>
    </w:p>
    <w:p w14:paraId="21CEF9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 № 4 - осколочных 20 кг бомб 24 шт. или 480 кг</w:t>
      </w:r>
    </w:p>
    <w:p w14:paraId="1C4F1F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 № 5 - осколочных 10 кг бомб 24 шт. или 240 кг</w:t>
      </w:r>
    </w:p>
    <w:p w14:paraId="22897C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 № 6 - осколочных 8 кг бомб 24 шт. или 192 кг</w:t>
      </w:r>
    </w:p>
    <w:p w14:paraId="0F84AD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эти бомбы размещаются внутри крыльев самолета.</w:t>
      </w:r>
    </w:p>
    <w:p w14:paraId="6FFDB4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Взамен мелких бомб самолет может брать 6 бомб по 100 кг, из них 4 бомбы размещаются внутри крыльев и 2 бомбы на наружных замках; или 2 бомбы по 250 кг всего 500 кг на наружных замках.</w:t>
      </w:r>
    </w:p>
    <w:p w14:paraId="730313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бомб, самолет имеет приспособление для подвески двух химических приборов по 200 или 250 кг.</w:t>
      </w:r>
    </w:p>
    <w:p w14:paraId="580497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бомбового вооружения, в настоящее время самолет имеет впереди на малоподвижных установках 4 пулемета ШКАС и у летчика-наблюдателя на турели с подвижной установкой 1 пулемет ШКАС.</w:t>
      </w:r>
    </w:p>
    <w:p w14:paraId="4331C2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настоящее время С.В.И. предусматривает вместо четырех пулеметов ШКАС установку 2 пушек 23 мм и 2 пулеметов ШКАС впереди и одного пулемета ШКАС на турели у летчика-наблюдателя (7625, 270).</w:t>
      </w:r>
    </w:p>
    <w:p w14:paraId="66FFB88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B5657C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Style w:val="174"/>
          <w:rFonts w:ascii="Times New Roman" w:hAnsi="Times New Roman" w:cs="Times New Roman"/>
          <w:i w:val="0"/>
          <w:color w:val="000000" w:themeColor="text1"/>
          <w:sz w:val="16"/>
          <w:szCs w:val="16"/>
        </w:rPr>
        <w:t>23 июля 1940 генералы Смушкевич и Рычагов в докладной записке Сталину указывали: «Б</w:t>
      </w:r>
      <w:r w:rsidRPr="00DB5D0D">
        <w:rPr>
          <w:rFonts w:ascii="Times New Roman" w:hAnsi="Times New Roman"/>
          <w:color w:val="000000" w:themeColor="text1"/>
          <w:sz w:val="16"/>
          <w:szCs w:val="16"/>
        </w:rPr>
        <w:t xml:space="preserve"> настоящее время тов. Илюшин</w:t>
      </w:r>
      <w:r w:rsidRPr="00DB5D0D">
        <w:rPr>
          <w:rStyle w:val="174"/>
          <w:rFonts w:ascii="Times New Roman" w:hAnsi="Times New Roman" w:cs="Times New Roman"/>
          <w:i w:val="0"/>
          <w:color w:val="000000" w:themeColor="text1"/>
          <w:sz w:val="16"/>
          <w:szCs w:val="16"/>
        </w:rPr>
        <w:t xml:space="preserve"> (Ильюшин - прим. авт.)</w:t>
      </w:r>
      <w:r w:rsidRPr="00DB5D0D">
        <w:rPr>
          <w:rFonts w:ascii="Times New Roman" w:hAnsi="Times New Roman"/>
          <w:color w:val="000000" w:themeColor="text1"/>
          <w:sz w:val="16"/>
          <w:szCs w:val="16"/>
        </w:rPr>
        <w:t xml:space="preserve"> проработал вариант усиления брони этого штурмовика до 15 мм и некоторого улучшения бомбардировочного вооружения. Причем на этом самолете тов. Илюшин гарантирует устранить не</w:t>
      </w:r>
      <w:r w:rsidRPr="00DB5D0D">
        <w:rPr>
          <w:rFonts w:ascii="Times New Roman" w:hAnsi="Times New Roman"/>
          <w:color w:val="000000" w:themeColor="text1"/>
          <w:sz w:val="16"/>
          <w:szCs w:val="16"/>
        </w:rPr>
        <w:softHyphen/>
        <w:t>дочеты, выявленные на государственных испытаниях его самолета бронированного штурмовика. Нам кажется, что тов. Илюшин может выполнить Ваши пожелания, которые Вы вчера высказали относительно постановки на самолет брони 15 мм. Докладывая Вам об этом, считаем целесообразным - вызвать Вам к себе тов. Илюшина и с ним поговорить по вопросу о бронированном штурмовике».</w:t>
      </w:r>
    </w:p>
    <w:p w14:paraId="3A722D22" w14:textId="77777777" w:rsidR="009328AA" w:rsidRPr="00DB5D0D" w:rsidRDefault="009328AA"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Судя по переписке, Ильюшин к этому дню уже дал согласие командованию ВВС КА установить на БШ-2 две пушки калибра 23 мм Таубина-Бабурина и два пулемета ШКАС в крыле (19087).</w:t>
      </w:r>
    </w:p>
    <w:p w14:paraId="493A41E6" w14:textId="77777777" w:rsidR="009328AA" w:rsidRPr="00DB5D0D" w:rsidRDefault="009328AA"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5AFEF8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Фирсаев писал в КО Алфимову письмо N 3224 об условиях сдачи самолетов различными заводами (моторы, вооружение, оборудование и т.п.). По ДБ-3Ф (1292):</w:t>
      </w:r>
    </w:p>
    <w:p w14:paraId="029078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39 заводе:</w:t>
      </w:r>
    </w:p>
    <w:p w14:paraId="7B7B22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М-87 или М-88</w:t>
      </w:r>
    </w:p>
    <w:p w14:paraId="3DE416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РПК Чайка - на одном из 3-х</w:t>
      </w:r>
    </w:p>
    <w:p w14:paraId="72513B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Без автопилота</w:t>
      </w:r>
    </w:p>
    <w:p w14:paraId="317695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образцу 9-й серии, а маслорадиаторы и капоты по образцу машины N 801 (1292).</w:t>
      </w:r>
    </w:p>
    <w:p w14:paraId="2D45B1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18 заводе</w:t>
      </w:r>
    </w:p>
    <w:p w14:paraId="65B345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образцу 25-й серии, а маслорадиаторы и капоты по образцу машины N 801</w:t>
      </w:r>
    </w:p>
    <w:p w14:paraId="29805E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РПК Чайка на одном из 5 (1292).</w:t>
      </w:r>
    </w:p>
    <w:p w14:paraId="3CC6C47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06B50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Гросман подписал заключение ЦАГИ по результатам продувок СПБ (1759,9).</w:t>
      </w:r>
    </w:p>
    <w:p w14:paraId="1FFC782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39B0D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вышло постановление КО N 335сс "Об увеличении выпуска самолетов и авиамоторов на период август-декабрь 1940 г."</w:t>
      </w:r>
    </w:p>
    <w:p w14:paraId="5E6FEE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23 июля по 30 августа 1940 года проходили испытания по проведению бомбометания с пикирования с самолета СБ с углами от 30 до 50 градусов, которые проходили (3006).</w:t>
      </w:r>
    </w:p>
    <w:p w14:paraId="071760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26E32F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1 ранга Бензов.</w:t>
      </w:r>
    </w:p>
    <w:p w14:paraId="74A8A6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05171E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возможность бомбометания с малыми углами пикирования (30-50 градусов), при прицеливании и сбрасывания бомбы штурманом (3006).</w:t>
      </w:r>
    </w:p>
    <w:p w14:paraId="62F1F63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7E928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года вышло постановление КО № 235сс</w:t>
      </w:r>
    </w:p>
    <w:p w14:paraId="4DC9733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 двух самолетов И-26 в двух местный переходно-тренировочный. Конструктор Яковлев, завод № 115.</w:t>
      </w:r>
    </w:p>
    <w:p w14:paraId="44558A7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 к 1 августа 1940 года</w:t>
      </w:r>
    </w:p>
    <w:p w14:paraId="20AD419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 к 15 сентября 1940 года (4048, 4).</w:t>
      </w:r>
    </w:p>
    <w:p w14:paraId="31B9C8D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F5BE16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 состоялся первый полет самолета УТИ-26, прототипа серийного истребителя Як-7УТИ (6395).</w:t>
      </w:r>
    </w:p>
    <w:p w14:paraId="42E26CA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36F2CC5" w14:textId="77777777" w:rsidR="003312FF" w:rsidRPr="00DB5D0D" w:rsidRDefault="003312F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июля в 1940 году первый полет самолета «УТИ-26», прототипа серийного истребителя </w:t>
      </w:r>
      <w:hyperlink r:id="rId216" w:tgtFrame="_blank" w:history="1">
        <w:r w:rsidRPr="00DB5D0D">
          <w:rPr>
            <w:rFonts w:ascii="Times New Roman" w:hAnsi="Times New Roman"/>
            <w:color w:val="000000" w:themeColor="text1"/>
            <w:sz w:val="16"/>
            <w:szCs w:val="16"/>
          </w:rPr>
          <w:t xml:space="preserve">«Як-7УТИ», </w:t>
        </w:r>
      </w:hyperlink>
      <w:r w:rsidRPr="00DB5D0D">
        <w:rPr>
          <w:rFonts w:ascii="Times New Roman" w:hAnsi="Times New Roman"/>
          <w:color w:val="000000" w:themeColor="text1"/>
          <w:sz w:val="16"/>
          <w:szCs w:val="16"/>
        </w:rPr>
        <w:t>П.Я. Федрови. Опытный самолет «УТИ-26», позже названный «Як-7УТИ», был построен в двух экземплярах, получивших обозначения «УТИ-26-1» и «УТИ-26-2» (14961).</w:t>
      </w:r>
    </w:p>
    <w:p w14:paraId="5B153CD5" w14:textId="77777777" w:rsidR="003312FF" w:rsidRPr="00DB5D0D" w:rsidRDefault="003312FF" w:rsidP="00DB5D0D">
      <w:pPr>
        <w:spacing w:after="0" w:line="240" w:lineRule="auto"/>
        <w:jc w:val="both"/>
        <w:rPr>
          <w:rFonts w:ascii="Times New Roman" w:hAnsi="Times New Roman"/>
          <w:color w:val="000000" w:themeColor="text1"/>
          <w:sz w:val="16"/>
          <w:szCs w:val="16"/>
        </w:rPr>
      </w:pPr>
    </w:p>
    <w:p w14:paraId="58CBAB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вышло постановление КО N 235 (822) (правильнее 325 "О создании двухместного переходного тренировочного истребителя с мотором М-105") о постройке двухместного переходного тренировочного истребителя к 15 сентября (198,36), это по отношению ко 2-му, а первый - на месяц раньше (822).</w:t>
      </w:r>
    </w:p>
    <w:p w14:paraId="1874562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1971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года постановление № 325сс КО</w:t>
      </w:r>
    </w:p>
    <w:p w14:paraId="653388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двухместного переходно-тренировочного истребителя с мотором М-105</w:t>
      </w:r>
    </w:p>
    <w:p w14:paraId="04F752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1F23366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 директора и гл. конструктора завода № 115 Яковлева спроектировать и построить модификацию самолета И-26 в двухместный переходно-тренировочный самолет с двойным управлением, вооруженный двумя пулеметами Шкас через винт, с запасом патрон 700 штук и предъявить на госиспытания в следующие сроки:</w:t>
      </w:r>
    </w:p>
    <w:p w14:paraId="24EA2C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 1 августа 1940 года</w:t>
      </w:r>
    </w:p>
    <w:p w14:paraId="46B2C3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 – 15 сентября 1940 года</w:t>
      </w:r>
    </w:p>
    <w:p w14:paraId="52FBD47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Отменить постановление КО от 4 марта 1940 года за № 112сс. Работы по модификации самолета И-26 в двухместный, с двойным управлением истребитель, прекратить (7611, 215).</w:t>
      </w:r>
    </w:p>
    <w:p w14:paraId="2213A5F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НКАП финансирование работ по созданию двухместного переходно-тренировочного истребителя произвести за счет средств, выделенных постановлением КО от 4 марта 1940 за № 128сс на модификацию самолета И-26 в двухместный истребитель с двойным управлением (10395).</w:t>
      </w:r>
    </w:p>
    <w:p w14:paraId="66D3A7E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60DE71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вышло постановление КО при СНК ССР № 325сс О создании двухместного переходного-тренировочного истребителя с мотором М-105</w:t>
      </w:r>
    </w:p>
    <w:p w14:paraId="50B67C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СССР постановляет:</w:t>
      </w:r>
    </w:p>
    <w:p w14:paraId="03CC30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Обызать НКАП - директора и ГК завода № 115 А.С.Я. спроектировать и построить модификацию самолета И-26 в двухместный переходно-тренировочный самолет с двойным управлением, вооруженный 2-мя пулеметами ШКАС через винт с запасом патронов 750 шт. и предъявить его на государственные испытания в следующие сроки:</w:t>
      </w:r>
    </w:p>
    <w:p w14:paraId="4B7443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- 1 августа 1940</w:t>
      </w:r>
    </w:p>
    <w:p w14:paraId="464899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- 15 сентября 1940.</w:t>
      </w:r>
    </w:p>
    <w:p w14:paraId="6A3F54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Отменить постановление КО от 4 марта 1940 за № 112сс. Работы по модификации самолета И-26 в двухместный с двойным управлением истребитель - прекратить...(10395).</w:t>
      </w:r>
    </w:p>
    <w:p w14:paraId="1A9CBF4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A63F1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23 июля по 25 августа 1940 состоялись заводские испытания УТИ-26-1 (198,36). Летали л-и П.Я.Федрови и механик М.М.Щипанов и выполнили 20 полетов продолжительностью 4:45, в т.ч. 4 полета для испытания винтов диаметром 2.8 и 3.0 и (65,27).</w:t>
      </w:r>
    </w:p>
    <w:p w14:paraId="373E012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0BE39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был первый полет УТИ-26, прототипа Як-7УТИ (2668).</w:t>
      </w:r>
    </w:p>
    <w:p w14:paraId="7CB221D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8C95CF2" w14:textId="77777777" w:rsidR="006C4666" w:rsidRPr="00DB5D0D" w:rsidRDefault="006C466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в 1940 году первый полет самолета «УТИ-26», прототипа серийного истребителя «Як-7УТИ», П.Я.Федрови (14961).</w:t>
      </w:r>
    </w:p>
    <w:p w14:paraId="3FFF84F5" w14:textId="77777777" w:rsidR="006C4666" w:rsidRPr="00DB5D0D" w:rsidRDefault="006C4666" w:rsidP="00DB5D0D">
      <w:pPr>
        <w:spacing w:after="0" w:line="240" w:lineRule="auto"/>
        <w:jc w:val="both"/>
        <w:rPr>
          <w:rFonts w:ascii="Times New Roman" w:hAnsi="Times New Roman"/>
          <w:color w:val="000000" w:themeColor="text1"/>
          <w:sz w:val="16"/>
          <w:szCs w:val="16"/>
        </w:rPr>
      </w:pPr>
    </w:p>
    <w:p w14:paraId="489C8B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вышло Постановление Комитета Обороны о постройке двухместного переходного тренировочного истребителя с мотором М-105П и вооружением из двух синхронных пулеметов ШКАС с боекомплектом по 700 патронов № 325сс - день вдень с началом заводских испытаний, закончившихся 25 августа. Поскольку речь в постановлении шла об уже построенном самолете, то оно лишь оправдывало нецелевое расходование ранее отпущенных средств. Тем же документом срок предъявления второго прототипа УТИ-26 на государственные испытания переносился на 15 сентября.</w:t>
      </w:r>
    </w:p>
    <w:p w14:paraId="388FB9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изменения, внесенные в конструкцию И-26, были связаны с устройством второй кабины и ее оборудованием. Для обеспечения достаточного запаса центровки крыло сместили назад на 100 мм, а водора- диатор - вперед. Из спецоборудования добавился фотокинопулемет в передней кабине (обучаемого). Связь между кабинами осуществлялась, как и на других самолетах, через резиновый шланг. Чтобы сохранить полетный вес сняли пушку с боекомплектом, а боекомплект к пулеметам уменьшили до 500 патронов на каждый. На заводские испытания самолет поступил с весом 2710 кг, который увеличился перед госиспытаниями до 2750,5 кг за счет установки шторки слепого полета, стремянки, тормозов в задней кабине. рамки прицела и других деталей. Максимальная скорость осталась на уровне данных боевого самолета - 590 км/ч на заводских и 586 км/ч на государственных испытаниях.</w:t>
      </w:r>
    </w:p>
    <w:p w14:paraId="7CC8A7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Как к учебному самолету к УТИ-26-1 во время госиспытаний (28-30 августа и 11-19 сентября 1940 г.) были предъявлены более высокие требования, вследствие чего второй прототип (УТИ-26-Н, № 26-5, УТИ-27-2) претерпел серьезные конструктивные изменения (которые коснулись шасси, горизонтального оперения). Поэтому в серию он пошел уже под другим обозначением - Як-7.</w:t>
      </w:r>
    </w:p>
    <w:p w14:paraId="38CA94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испытаний УТИ-26-1 возвратили на завод № 115, где с 26 сентября по К) декабря 1940 г. на него поставили новые мотор, винт, всасывающий патрубок нагнетателя, маслорадиатор, а также устранили другие замеченные неполадки и дефекты. Затем самолет был передан в ЛИИ НКАП и долгое время использовался там для различных целей (12048).+</w:t>
      </w:r>
    </w:p>
    <w:p w14:paraId="4EB57EB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CC22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 ходе заводских испытаний И-200 А.И.М, которые проходили с 31 марта по 17 августа 1940, на И-200-1 был выполнен полет на сверхмаксимальную скорость и на проверку температурных режимов (2988).</w:t>
      </w:r>
    </w:p>
    <w:p w14:paraId="6944380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9271B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 ходе гос. испытаний самолета И-153 с герметической кабиной конструкции инженера Щербакова, которые проходили с 22 по 30 июля 1940 состоялся полет на испытания открытия и закрытия фонаря кабины на различных скоростях. Высота 4000 м, продолжительность 40 мин. (3190).</w:t>
      </w:r>
    </w:p>
    <w:p w14:paraId="6C67E8D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5D00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ГК объекта на заводе 289 Щербаков писал А.И.Ш. докладную записку N 18/1325с "Ваш приказ от 16 июля 1940 N 288 о проведении заводских испытаний самолета И-153 с ГК выполнен досрочно - вместо установленного срока окончания испытаний 5 августа 1940 объект был сдан на гос. испытания в НИИ ВВС 20 июля 1940. Испытания прошли успешно в соответствии с ТТТ НИИ ВВС (1301,61).</w:t>
      </w:r>
    </w:p>
    <w:p w14:paraId="2FEC4B0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07A2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года закончились заводские испытания пикирующего бомбодержателя ПБ-3А конструкции завода N 32 на самолете И-15, которые проходили с 10 июля 1940 (3000).</w:t>
      </w:r>
    </w:p>
    <w:p w14:paraId="1AF53A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в/инженер 2 ранга Ефимов.</w:t>
      </w:r>
    </w:p>
    <w:p w14:paraId="4CC570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D6B09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Пикирующий бомбодержатель ПБ-3А конструкции завода N 32 по безотказности сбрасывания и вывода бомбы из плоскости ометаемой винтом самолета при бомбометании с пикирования при углах до 80 градусов заводское испытание выдержал.</w:t>
      </w:r>
    </w:p>
    <w:p w14:paraId="1E520B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произведено 9 полетов на самолете И-15 общей продолжительностью 2 часа (3000).</w:t>
      </w:r>
    </w:p>
    <w:p w14:paraId="4C88416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24190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 ходе заводских испытаний в первом же полете потерпел катастрофу МДР-7 2М-88 Самсонова (2090,117). По другим данным это был МДР-7 2М-88Р (2090,232).</w:t>
      </w:r>
    </w:p>
    <w:p w14:paraId="486136F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485EF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при проведении первого полета МДР-7 Самсонова самолет потерпел аварию и л Рябенко и б-м Орлов погибли (1174).</w:t>
      </w:r>
    </w:p>
    <w:p w14:paraId="313773F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679F4C" w14:textId="77777777" w:rsidR="003312FF" w:rsidRPr="00DB5D0D" w:rsidRDefault="003312F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в 1940 году катастрофа самолёта «МДР-7».Экипаж погиб (14961).</w:t>
      </w:r>
    </w:p>
    <w:p w14:paraId="1D56E9AC" w14:textId="77777777" w:rsidR="003312FF" w:rsidRPr="00DB5D0D" w:rsidRDefault="003312FF" w:rsidP="00DB5D0D">
      <w:pPr>
        <w:spacing w:after="0" w:line="240" w:lineRule="auto"/>
        <w:jc w:val="both"/>
        <w:rPr>
          <w:rFonts w:ascii="Times New Roman" w:hAnsi="Times New Roman"/>
          <w:color w:val="000000" w:themeColor="text1"/>
          <w:sz w:val="16"/>
          <w:szCs w:val="16"/>
        </w:rPr>
      </w:pPr>
    </w:p>
    <w:p w14:paraId="2A4F34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вышло постановление КО N 331сс, согласно которому в январе 1941 появился проект постановления КО по обеспечению сдачи ВМФ телемеханических самолетов ДБ-3 и МБР-2 (1977,205).</w:t>
      </w:r>
    </w:p>
    <w:p w14:paraId="3BA80F6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963D835"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1938 г.</w:t>
      </w:r>
    </w:p>
    <w:p w14:paraId="466A3169"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30. Докладная записка первого секретаря ЦК КП(б) Украины Н. С. Хрущева секретарю ЦК ВКП(б) И. В. Сталину по итогам ознакомительной поездки на завод № 29</w:t>
      </w:r>
    </w:p>
    <w:p w14:paraId="72F65FE9"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70CA5485"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179.</w:t>
      </w:r>
    </w:p>
    <w:p w14:paraId="1D195B4B"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70D01227"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 3. Оп. 46. Д. 14. Л. 21-22. Подлинник.</w:t>
      </w:r>
    </w:p>
    <w:p w14:paraId="79554E10"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я был в Днепропетровске и знакомился с работой 29</w:t>
      </w:r>
      <w:r w:rsidRPr="00DB5D0D">
        <w:rPr>
          <w:rFonts w:ascii="Times New Roman" w:hAnsi="Times New Roman"/>
          <w:color w:val="000000" w:themeColor="text1"/>
          <w:sz w:val="16"/>
          <w:szCs w:val="16"/>
        </w:rPr>
        <w:noBreakHyphen/>
        <w:t>го завода, который изготовляет авиационные моторы М</w:t>
      </w:r>
      <w:r w:rsidRPr="00DB5D0D">
        <w:rPr>
          <w:rFonts w:ascii="Times New Roman" w:hAnsi="Times New Roman"/>
          <w:color w:val="000000" w:themeColor="text1"/>
          <w:sz w:val="16"/>
          <w:szCs w:val="16"/>
        </w:rPr>
        <w:noBreakHyphen/>
        <w:t>87. Последнее время завод работает очень плохо ввиду того, что шестерня, одна из основных деталей мотора, ломается, не выдерживает испытаний, моторы не принимаются военной приемкой. На заводе получилось большое скопление готовых моторов.</w:t>
      </w:r>
    </w:p>
    <w:p w14:paraId="58A0AB3B"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ознакомления я выяснил следующее: на заводе было крупное вредительство (недавно арестован технический директор завода). Мотор, который изготовляет завод, является французским мотором с некоторыми изменениями. Вредители произвольно изменили шаблон одной шестерни. Это привело к тому, что шестерни при испытании стали ломаться и выводить моторы из строя. Это стало возможным в результате расхлябанности и отсутствия технической дисциплины на заводе. Таким образом, шестерня изготавливается в последнее время с большими отступлениями от технологического процесса, который был установлен при выпуске французского мотора.</w:t>
      </w:r>
    </w:p>
    <w:p w14:paraId="26D5D42C"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Чтобы подобные явления не могли повторяться, надо установить жесткую техническую дисциплину при изготовлении стандартных моторов и других машин. Я предлагаю установить для заводов такой порядок: на особо ответственные детали, например на части авиационного мотора, мы должны иметь эталоны у директора завода, по которым время от времени сверять, насколько точно изготавливаются детали. Для всех деталей, а в особенности для ответственных, как шестерня, цилиндры и т. п., надо строго разработать технологический процесс и вооружить калибрами, шаблонами рабочих: слесарей, токарей, фрезеровщиков. Это бы нам позволило установить контроль рабочих: токарей, слесарей, лекальщиков за изготовлением деталей.</w:t>
      </w:r>
    </w:p>
    <w:p w14:paraId="74395860"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ЦК КП(б) УкраиныХрущев</w:t>
      </w:r>
    </w:p>
    <w:p w14:paraId="57004426"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 3. Оп. 46. Д. 14. Л. 21-22. Подлинник (17781).</w:t>
      </w:r>
    </w:p>
    <w:p w14:paraId="40434796" w14:textId="77777777" w:rsidR="00F01895" w:rsidRPr="00DB5D0D" w:rsidRDefault="00F01895" w:rsidP="00DB5D0D">
      <w:pPr>
        <w:spacing w:after="0" w:line="240" w:lineRule="auto"/>
        <w:jc w:val="both"/>
        <w:rPr>
          <w:rFonts w:ascii="Times New Roman" w:hAnsi="Times New Roman"/>
          <w:color w:val="000000" w:themeColor="text1"/>
          <w:sz w:val="16"/>
          <w:szCs w:val="16"/>
        </w:rPr>
      </w:pPr>
    </w:p>
    <w:p w14:paraId="701E20E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года в НИИ ВВС был выдан наряд-приказ № 0146</w:t>
      </w:r>
    </w:p>
    <w:p w14:paraId="4EE12ED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Государственное 100-часовое испытание мотора М-40 (6890, 10).</w:t>
      </w:r>
    </w:p>
    <w:p w14:paraId="2FCE976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392B46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года вышел приказ НИИ ВВС № 0141</w:t>
      </w:r>
    </w:p>
    <w:p w14:paraId="4E1F2AB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испытаниях двух самолетов Хейнкель 100 с мотором ДВ-601 Ма (6891, 263).</w:t>
      </w:r>
    </w:p>
    <w:p w14:paraId="1CB72FF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AB6C229"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23 июля 1940 Нач. 3 Отдела 6 Управления ГУ ВВС КА ви2р Баякин подписал</w:t>
      </w:r>
    </w:p>
    <w:p w14:paraId="10436C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w:t>
      </w:r>
    </w:p>
    <w:p w14:paraId="05ACCA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количестве принятых от заводов подвесных бензобаков в 1939-40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D5DF8" w:rsidRPr="00DB5D0D" w14:paraId="3621B9D0" w14:textId="77777777" w:rsidTr="00E543D0">
        <w:tc>
          <w:tcPr>
            <w:tcW w:w="2802" w:type="dxa"/>
            <w:tcBorders>
              <w:top w:val="single" w:sz="12" w:space="0" w:color="auto"/>
            </w:tcBorders>
          </w:tcPr>
          <w:p w14:paraId="50EC8C16"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поставщика</w:t>
            </w:r>
          </w:p>
        </w:tc>
        <w:tc>
          <w:tcPr>
            <w:tcW w:w="2802" w:type="dxa"/>
            <w:tcBorders>
              <w:top w:val="single" w:sz="12" w:space="0" w:color="auto"/>
            </w:tcBorders>
          </w:tcPr>
          <w:p w14:paraId="1DC706A1"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Принято в 1939</w:t>
            </w:r>
          </w:p>
        </w:tc>
        <w:tc>
          <w:tcPr>
            <w:tcW w:w="2802" w:type="dxa"/>
            <w:tcBorders>
              <w:top w:val="single" w:sz="12" w:space="0" w:color="auto"/>
            </w:tcBorders>
          </w:tcPr>
          <w:p w14:paraId="775611C5"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Принято в 1940</w:t>
            </w:r>
          </w:p>
        </w:tc>
        <w:tc>
          <w:tcPr>
            <w:tcW w:w="2802" w:type="dxa"/>
            <w:tcBorders>
              <w:top w:val="single" w:sz="12" w:space="0" w:color="auto"/>
            </w:tcBorders>
          </w:tcPr>
          <w:p w14:paraId="3BF4B71D"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r>
      <w:tr w:rsidR="007D5DF8" w:rsidRPr="00DB5D0D" w14:paraId="5F711917" w14:textId="77777777" w:rsidTr="00E543D0">
        <w:tc>
          <w:tcPr>
            <w:tcW w:w="2802" w:type="dxa"/>
          </w:tcPr>
          <w:p w14:paraId="46E23814"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ВИАМ</w:t>
            </w:r>
          </w:p>
        </w:tc>
        <w:tc>
          <w:tcPr>
            <w:tcW w:w="2802" w:type="dxa"/>
          </w:tcPr>
          <w:p w14:paraId="6F8E3719"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tc>
        <w:tc>
          <w:tcPr>
            <w:tcW w:w="2802" w:type="dxa"/>
          </w:tcPr>
          <w:p w14:paraId="3DE4A023"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5890 (с 1/1 по 27/4)</w:t>
            </w:r>
          </w:p>
        </w:tc>
        <w:tc>
          <w:tcPr>
            <w:tcW w:w="2802" w:type="dxa"/>
          </w:tcPr>
          <w:p w14:paraId="06E0217B"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7283</w:t>
            </w:r>
          </w:p>
        </w:tc>
      </w:tr>
      <w:tr w:rsidR="007D5DF8" w:rsidRPr="00DB5D0D" w14:paraId="7A7D9E68" w14:textId="77777777" w:rsidTr="00E543D0">
        <w:tc>
          <w:tcPr>
            <w:tcW w:w="2802" w:type="dxa"/>
          </w:tcPr>
          <w:p w14:paraId="10DC640C"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ВИАМ</w:t>
            </w:r>
          </w:p>
        </w:tc>
        <w:tc>
          <w:tcPr>
            <w:tcW w:w="2802" w:type="dxa"/>
          </w:tcPr>
          <w:p w14:paraId="71F6C7EB"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Pr>
          <w:p w14:paraId="23607EFB"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1153 (с 27/4 по 1/УП</w:t>
            </w:r>
          </w:p>
        </w:tc>
        <w:tc>
          <w:tcPr>
            <w:tcW w:w="2802" w:type="dxa"/>
          </w:tcPr>
          <w:p w14:paraId="47F4195B"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p>
        </w:tc>
      </w:tr>
      <w:tr w:rsidR="007D5DF8" w:rsidRPr="00DB5D0D" w14:paraId="4916E483" w14:textId="77777777" w:rsidTr="00E543D0">
        <w:tc>
          <w:tcPr>
            <w:tcW w:w="2802" w:type="dxa"/>
          </w:tcPr>
          <w:p w14:paraId="403300A1"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Модуль</w:t>
            </w:r>
          </w:p>
        </w:tc>
        <w:tc>
          <w:tcPr>
            <w:tcW w:w="2802" w:type="dxa"/>
          </w:tcPr>
          <w:p w14:paraId="7FABFC46"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Pr>
          <w:p w14:paraId="03F9F6D4"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590</w:t>
            </w:r>
          </w:p>
        </w:tc>
        <w:tc>
          <w:tcPr>
            <w:tcW w:w="2802" w:type="dxa"/>
          </w:tcPr>
          <w:p w14:paraId="277EDDFC"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590</w:t>
            </w:r>
          </w:p>
        </w:tc>
      </w:tr>
      <w:tr w:rsidR="007D5DF8" w:rsidRPr="00DB5D0D" w14:paraId="010D6A00" w14:textId="77777777" w:rsidTr="00E543D0">
        <w:tc>
          <w:tcPr>
            <w:tcW w:w="2802" w:type="dxa"/>
          </w:tcPr>
          <w:p w14:paraId="0E4958E0"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ВНИЛтара</w:t>
            </w:r>
          </w:p>
        </w:tc>
        <w:tc>
          <w:tcPr>
            <w:tcW w:w="2802" w:type="dxa"/>
          </w:tcPr>
          <w:p w14:paraId="2EE33057"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Pr>
          <w:p w14:paraId="5CC23E77"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w:t>
            </w:r>
          </w:p>
        </w:tc>
        <w:tc>
          <w:tcPr>
            <w:tcW w:w="2802" w:type="dxa"/>
          </w:tcPr>
          <w:p w14:paraId="22E3324D"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610</w:t>
            </w:r>
          </w:p>
        </w:tc>
      </w:tr>
      <w:tr w:rsidR="007D5DF8" w:rsidRPr="00DB5D0D" w14:paraId="141E2E58" w14:textId="77777777" w:rsidTr="00E543D0">
        <w:tc>
          <w:tcPr>
            <w:tcW w:w="2802" w:type="dxa"/>
            <w:tcBorders>
              <w:bottom w:val="single" w:sz="12" w:space="0" w:color="auto"/>
            </w:tcBorders>
          </w:tcPr>
          <w:p w14:paraId="7AA8340D"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21</w:t>
            </w:r>
          </w:p>
        </w:tc>
        <w:tc>
          <w:tcPr>
            <w:tcW w:w="2802" w:type="dxa"/>
            <w:tcBorders>
              <w:bottom w:val="single" w:sz="12" w:space="0" w:color="auto"/>
            </w:tcBorders>
          </w:tcPr>
          <w:p w14:paraId="21E1BD74"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Borders>
              <w:bottom w:val="single" w:sz="12" w:space="0" w:color="auto"/>
            </w:tcBorders>
          </w:tcPr>
          <w:p w14:paraId="6C2DCB5A"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2802" w:type="dxa"/>
            <w:tcBorders>
              <w:bottom w:val="single" w:sz="12" w:space="0" w:color="auto"/>
            </w:tcBorders>
          </w:tcPr>
          <w:p w14:paraId="33DF2F16"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r>
    </w:tbl>
    <w:p w14:paraId="64E4A728"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(10106,40).</w:t>
      </w:r>
    </w:p>
    <w:p w14:paraId="32ED846C"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p>
    <w:p w14:paraId="5CFDE35F" w14:textId="77777777" w:rsidR="003312FF" w:rsidRPr="00DB5D0D" w:rsidRDefault="003312FF" w:rsidP="00DB5D0D">
      <w:pPr>
        <w:tabs>
          <w:tab w:val="left" w:pos="551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года назначили ликвидационную комиссию, и все работы на заводе № 379 и СИП были прекращены (15845).</w:t>
      </w:r>
    </w:p>
    <w:p w14:paraId="13089FF0" w14:textId="77777777" w:rsidR="003312FF" w:rsidRPr="00DB5D0D" w:rsidRDefault="003312FF" w:rsidP="00DB5D0D">
      <w:pPr>
        <w:tabs>
          <w:tab w:val="left" w:leader="dot" w:pos="7274"/>
        </w:tabs>
        <w:spacing w:after="0" w:line="240" w:lineRule="auto"/>
        <w:jc w:val="both"/>
        <w:rPr>
          <w:rFonts w:ascii="Times New Roman" w:hAnsi="Times New Roman"/>
          <w:color w:val="000000" w:themeColor="text1"/>
          <w:sz w:val="16"/>
          <w:szCs w:val="16"/>
        </w:rPr>
      </w:pPr>
    </w:p>
    <w:p w14:paraId="4CEC67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w:t>
      </w:r>
    </w:p>
    <w:p w14:paraId="24438F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 Прокурору СССР гражданину]</w:t>
      </w:r>
    </w:p>
    <w:p w14:paraId="4EE200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Панкратову.</w:t>
      </w:r>
    </w:p>
    <w:p w14:paraId="4F3F8E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Королева Сергея Павловича, 1906 г [ода] рожд|ения], осужденного</w:t>
      </w:r>
    </w:p>
    <w:p w14:paraId="5451BA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Особым Совещанием на 8 лет лаг[ерей].</w:t>
      </w:r>
    </w:p>
    <w:p w14:paraId="5E5E1C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Особого Совещания НКВД от 10 июля с[его| г[ода| я приговорен к 8 годам заключения в лагеря за «вредительскую троцкистскую деятельность».</w:t>
      </w:r>
    </w:p>
    <w:p w14:paraId="5B7210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vertAlign w:val="superscript"/>
        </w:rPr>
        <w:lastRenderedPageBreak/>
        <w:t>3</w:t>
      </w:r>
      <w:r w:rsidRPr="00DB5D0D">
        <w:rPr>
          <w:rFonts w:ascii="Times New Roman" w:hAnsi="Times New Roman"/>
          <w:color w:val="000000" w:themeColor="text1"/>
          <w:sz w:val="16"/>
          <w:szCs w:val="16"/>
        </w:rPr>
        <w:t xml:space="preserve"> Не знала простодушная и доверчивая Марта Сергеевна, что Берия и его приспешники жестоко преследуют всех, кто был близок к Серго Орджоникидзе, не ведала что своим признанием подставляет сына под еще больший удар.</w:t>
      </w:r>
    </w:p>
    <w:p w14:paraId="41F837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vertAlign w:val="superscript"/>
        </w:rPr>
        <w:t>4</w:t>
      </w:r>
      <w:r w:rsidRPr="00DB5D0D">
        <w:rPr>
          <w:rFonts w:ascii="Times New Roman" w:hAnsi="Times New Roman"/>
          <w:color w:val="000000" w:themeColor="text1"/>
          <w:sz w:val="16"/>
          <w:szCs w:val="16"/>
        </w:rPr>
        <w:t xml:space="preserve"> Так в документе.</w:t>
      </w:r>
    </w:p>
    <w:p w14:paraId="6A84DF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письмом не сохранились ни подпись ни дата (оторваны). Но содержание письма и почерк дают основание утверждать что его автор — М. С. Глушко. Проставленные на нем штампы свидетельствуют что в приемную И. В. Сталина оно поступило 3 апреля в Прокуратуру СССР — 27 апреля 1939 г всекретариат ЦК ВКП(б) - 3 ноября 1941 г.</w:t>
      </w:r>
    </w:p>
    <w:p w14:paraId="067FEC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задержать исполнение решения Особого Совещания, само решение отменить, а дело мое снова передать на объективное расследование, т[ак] к[ак] я никогда и нигде не занимался вредительством, равно как и какой-либо антисоветской троцкистской деятельностью, в силу чего подобный приговор совершенно неправилен и глубоко несправедлив.</w:t>
      </w:r>
    </w:p>
    <w:p w14:paraId="749816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Более того, в настоящее время я вынужден очень и очень просить Вас уже лично и непосредственно вмешаться в мое дело, не ограничиваясь ни обычным запросом, ни докладом из вторых рук, т[ак] | к[ак] я ясно вижу (и этому есть документальные и технические данные и живые свидетели), что имеет место следующее:</w:t>
      </w:r>
    </w:p>
    <w:p w14:paraId="09926A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Исключительно важное и существенно необходимое для СССР оборонное дело — создание ракетных самолетов, резко превосходящих по своим летно-техническим данным лучшие винтомоторные современные образцы, — это дело замалчивается, презрительно игнорируется, ведется недопустимо медленно и плохо. Несмотря на всю вопиющую недопустимость такого положения, вот уже третий год как все мои заявления не только безрезультатны, но я не знаю даже их судьбы. Работы над ракетными самолетами в СССР были впервые организованы и велись мною. Аналогичных работ более не велось нигде. Но арестованные враги народа подлой клеветой ввели в заблуждение НКВД, в результате чего я был в 1938 г[оду]арестован и тогда же осужден Военн[ой] коллегией] на 10 лет тюрьмы: гнусное поведение, ложь со стороны нескольких карьеристов, использовавших свое служебное и партийное положение, это все усугубляет.</w:t>
      </w:r>
    </w:p>
    <w:p w14:paraId="511DED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Работа была для меня целью всей моей жизни, и я еще и еще раз заявляю, что она была полезной для СССР. Я мог создать впервые для СССР мощные ракетные самолеты, но вот уже 3-й год, как меня... пытаются изобразить вредителем, троцкистом, всячески уменьшают значение моих работ...</w:t>
      </w:r>
    </w:p>
    <w:p w14:paraId="041CFB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следствии [19]38 г [ода] меня подвергли репрессиям, добиваясь «признания» моей вины, хотя я ни в чем не виноват и хотя было ясно, что мой арест принесет лишь вред большому и нужному делу и есть результат лжи, клеветы, обмана. Но суд, не разбираясь в деле, осудил меня...</w:t>
      </w:r>
    </w:p>
    <w:p w14:paraId="66E257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 повторном следствии устанавливается несостоятельность и просто ложность моих обвинений...</w:t>
      </w:r>
    </w:p>
    <w:p w14:paraId="144673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горячо еще и еще раз прошу Вас лично вмешаться в мое дело, уделить его рассмотрению хоть несколько минут, а по всем вопросам, которые требуют выяснения, прошу предоставить возможность дать показания, допросить свидетелей с моей стороны — профессора] Пышнова, профессора] Юрьева, инж[енера] Дрязгова, а также экспертов Щетинкова и Кисенко, дать мне очные ставки и пр.</w:t>
      </w:r>
    </w:p>
    <w:p w14:paraId="6DCE97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могу доказать мою полную невиновность и прошу дать мне эту возможность. Я глубоко подавлен неправильным и несправедливым решением Особого Совещания, зачеркивающим всю мою жизнь и работу. Я уже писал Вам заявления 10 июня с[его] г[ода] из внутр(енней] тюрьмы и 5 июля из Бутырской тюрьмы, а также прокурору гражданину] Осипенко 2 июня сего года из внутр(енней] тюрьмы и просил Вашего вмешательства, чтобы объективно выяснить истину.</w:t>
      </w:r>
    </w:p>
    <w:p w14:paraId="29864E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Ниже кратко повторяю существо дела: Я авиаинженер и летчик. Ряд лет работал в авиапромышленности. Осуществил ряд своих оригинальных конструкций планеров и самолетов. С 1931 года заинтересовался ракетной проблемой и был организатором этого дела в Москве, где в 1933 году при моем участии пускается первая жидкая ракета. Тогда же впервые в СССР я сдал работу над крылатыми ракетами и самолетом для полета человека. Одна из новых книг о полете на ракетах написана мною в [19]34 году, а также ряд статей, сделан ряд докладов и пр. С 1935 г[ода] я без посторонней помощи практически веду работы, испытываю ряд ракет, делаю сотни опытов и пусков. Летом 1938 г[ода] я испытываю первый ракетный самолет, осуществленный по моему проекту мною же, и закончивший испытания с успехом уже без меня в [19]40 г., как указывает экспертиза...</w:t>
      </w:r>
    </w:p>
    <w:p w14:paraId="207011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молодой беспартийный специалист и я честно работал над своим делом, не жалея своей жизни, был дважды ранен на работе и я не заслуживаю столь тяжких обвинений.</w:t>
      </w:r>
    </w:p>
    <w:p w14:paraId="0661AF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отменить решение Особ[ого] Совещ[ания] и мое дело заново пересмотреть.</w:t>
      </w:r>
    </w:p>
    <w:p w14:paraId="6C9B47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июля [19] 40 г [ода] С. Королев» (11912). </w:t>
      </w:r>
    </w:p>
    <w:p w14:paraId="1C23D8F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46811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23 июля 1940 г. — донос Королева Прокурору СССР о том, что "</w:t>
      </w:r>
      <w:r w:rsidRPr="00DB5D0D">
        <w:rPr>
          <w:rFonts w:ascii="Times New Roman" w:hAnsi="Times New Roman"/>
          <w:iCs/>
          <w:color w:val="000000" w:themeColor="text1"/>
          <w:sz w:val="16"/>
          <w:szCs w:val="16"/>
          <w:shd w:val="clear" w:color="auto" w:fill="FFFFFF"/>
        </w:rPr>
        <w:t>враги народа Клеймёнов и Лангемак, а также вредители Костиков, Душкин и др., подлой клеветой ввели в заблуждение НКВД</w:t>
      </w:r>
      <w:r w:rsidRPr="00DB5D0D">
        <w:rPr>
          <w:rFonts w:ascii="Times New Roman" w:hAnsi="Times New Roman"/>
          <w:color w:val="000000" w:themeColor="text1"/>
          <w:sz w:val="16"/>
          <w:szCs w:val="16"/>
          <w:shd w:val="clear" w:color="auto" w:fill="FFFFFF"/>
        </w:rPr>
        <w:t>".</w:t>
      </w:r>
    </w:p>
    <w:p w14:paraId="79D2827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То есть в истории осталось как минимум 10 письменных сообщений за авторством Сергей Королева, которые точно также можно квалифицировать понятием "донос". Причем, донос на своих же коллег. И обратите внимание на фамилии. Это те же самые фамилии, которые проходят по делу Королеву свидетелями. Выходит некрасивая картина, что выгораживая себя, Сергей Королев, пытался утопить своих же товарищей и коллег по Реактивному институту (19116).</w:t>
      </w:r>
    </w:p>
    <w:p w14:paraId="1BE47497" w14:textId="77777777" w:rsidR="009328AA" w:rsidRPr="00DB5D0D" w:rsidRDefault="009328AA" w:rsidP="00DB5D0D">
      <w:pPr>
        <w:spacing w:after="0" w:line="240" w:lineRule="auto"/>
        <w:jc w:val="both"/>
        <w:rPr>
          <w:rFonts w:ascii="Times New Roman" w:hAnsi="Times New Roman"/>
          <w:color w:val="000000" w:themeColor="text1"/>
          <w:sz w:val="16"/>
          <w:szCs w:val="16"/>
        </w:rPr>
      </w:pPr>
    </w:p>
    <w:p w14:paraId="2659787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16FE64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60902A5"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июля 1940 вышло Постановление Комитета обороны при СНК СССР № 328сс "Об обеспечении бронебойными и фугасными снарядами орудий дивизионной, корпусной и тяжелой артиллерии" с приложением (21958).</w:t>
      </w:r>
    </w:p>
    <w:p w14:paraId="62B740AB" w14:textId="77777777" w:rsidR="00F93C9A" w:rsidRPr="00DB5D0D" w:rsidRDefault="00F93C9A" w:rsidP="00DB5D0D">
      <w:pPr>
        <w:spacing w:after="0" w:line="240" w:lineRule="auto"/>
        <w:jc w:val="both"/>
        <w:rPr>
          <w:rFonts w:ascii="Times New Roman" w:hAnsi="Times New Roman"/>
          <w:color w:val="0070C0"/>
          <w:sz w:val="16"/>
          <w:szCs w:val="16"/>
        </w:rPr>
      </w:pPr>
    </w:p>
    <w:p w14:paraId="2B38B9F6"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июля 1940 вышло Постановление Комитета обороны при СНК СССР № 329сс "Об увеличении плана текущего заказа на 1940 г. по 120-мм минометам и 50-мм, 82-мм, 107-мм и 120-мм минам" с приложением (21959).</w:t>
      </w:r>
    </w:p>
    <w:p w14:paraId="3A42E40A" w14:textId="77777777" w:rsidR="00F93C9A" w:rsidRPr="00DB5D0D" w:rsidRDefault="00F93C9A" w:rsidP="00DB5D0D">
      <w:pPr>
        <w:spacing w:after="0" w:line="240" w:lineRule="auto"/>
        <w:jc w:val="both"/>
        <w:rPr>
          <w:rFonts w:ascii="Times New Roman" w:hAnsi="Times New Roman"/>
          <w:color w:val="0070C0"/>
          <w:sz w:val="16"/>
          <w:szCs w:val="16"/>
        </w:rPr>
      </w:pPr>
    </w:p>
    <w:p w14:paraId="4CE29C65" w14:textId="77777777" w:rsidR="00F01895" w:rsidRPr="00DB5D0D" w:rsidRDefault="00F01895"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23 июля 1940 рабочие чертежи системы Ф-27 были направлены в производство. В случае же с Ф-30 возник ряд проблем, главной из которых стало то, что в «малую башню», то есть обычную башню КВ-1, орудие не помещалось (17675).</w:t>
      </w:r>
    </w:p>
    <w:p w14:paraId="2C969DAB" w14:textId="77777777" w:rsidR="00F01895" w:rsidRPr="00DB5D0D" w:rsidRDefault="00F01895" w:rsidP="00DB5D0D">
      <w:pPr>
        <w:spacing w:after="0" w:line="240" w:lineRule="auto"/>
        <w:jc w:val="both"/>
        <w:rPr>
          <w:rFonts w:ascii="Times New Roman" w:eastAsia="Times New Roman" w:hAnsi="Times New Roman"/>
          <w:color w:val="000000" w:themeColor="text1"/>
          <w:sz w:val="16"/>
          <w:szCs w:val="16"/>
          <w:lang w:eastAsia="ru-RU"/>
        </w:rPr>
      </w:pPr>
    </w:p>
    <w:p w14:paraId="2589C0B6" w14:textId="77777777" w:rsidR="00F93C9A" w:rsidRPr="00DB5D0D" w:rsidRDefault="00F93C9A"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К 23 июля 1940 рабочие чертежи системы Ф-27 были направлены в производство. При этом, в отличие от 85-мм орудия Ф-30, которое начали разрабатывать одновременно с Ф-27, система калибром 76 мм в башню вписалась. К 21 сентября был изготовлен опытный образец орудия, его поставили в башню танка Т-28 и начали огневые испытания. На первом этапе было произведено 122 выстрела, каких-то серьёзных нареканий не обнаружилось. Но уже к 26 сентября, после 600 выстрелов, выявились проблемы в работе противооткатной системы. Это привело к тому, что первоначальные планы по установке Ф-27 в тяжелый танк Т-150 пришлось менять. На танк поставили систему Ф-32. А у Ф-27 начались проблемы, которые начали валиться, как снежный ком. Нет, поначалу всё было не так плохо. В начале декабря орудие подготовили к отправке на Гороховецкий АНИОП, построили второй образец. Но дальше началось торможение, хотя второе орудие всё же поставили в КВ-1, после чего выяснилось, что не работает ножной спуск, а сама система неуравновешенная. Несмотря на такие проблемы, работы продолжались, а в феврале 1941 года систему переименовали в ЗИС-5. Так теперь назывались новые разработки КБ завода №92. 57-мм противотанковая пушка Ф-31 стала называться ЗИС-2, а ее танковая версия стала называться ЗИС-4. А вот Ф-30 совсем не повезло. Работы по ней прекратились, зато начались работы по 107-мм танковой пушке Ф-42, которая стала именоваться ЗИС-6 (20272).</w:t>
      </w:r>
    </w:p>
    <w:p w14:paraId="30B2DC49" w14:textId="77777777" w:rsidR="00F93C9A" w:rsidRPr="00DB5D0D" w:rsidRDefault="00F93C9A"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292B6DD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 24 июля 1940 г.для поиска путей выхода из сложившейся ситуации заместителем народного комиссара среднего машиностроения А.А. Гореглядом в Москву были вызваны руководители заводов и организаций, непосредственно отвечавших за подготовку производства танка Т-34 в Москве в течение двух дней, под председательством А.А. Горегляда было проведено совещание, участники которого докладывали состояние дел и причины, по которым не выдерживались заданные сроки. Все выступления были зафиксированы в </w:t>
      </w:r>
      <w:hyperlink r:id="rId217" w:tgtFrame="_blank" w:history="1">
        <w:r w:rsidRPr="00DB5D0D">
          <w:rPr>
            <w:rStyle w:val="a5"/>
            <w:rFonts w:ascii="Times New Roman" w:hAnsi="Times New Roman"/>
            <w:color w:val="000000" w:themeColor="text1"/>
            <w:sz w:val="16"/>
            <w:szCs w:val="16"/>
          </w:rPr>
          <w:t>стенограмме</w:t>
        </w:r>
      </w:hyperlink>
      <w:r w:rsidRPr="00DB5D0D">
        <w:rPr>
          <w:rFonts w:ascii="Times New Roman" w:hAnsi="Times New Roman"/>
          <w:color w:val="000000" w:themeColor="text1"/>
          <w:sz w:val="16"/>
          <w:szCs w:val="16"/>
        </w:rPr>
        <w:t>. </w:t>
      </w:r>
    </w:p>
    <w:p w14:paraId="02214D8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первый день совещания первым выступил главный инженер завода № 183 С.Н. Махонин. В своем выступлении С.Н. Махонин перечислил трудности, мешавшие заводу № 183 подготовить производство к серийному выпуску танков Т-34 в установленные сроки. Основными из них были: </w:t>
      </w:r>
    </w:p>
    <w:p w14:paraId="52A758D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плохое обеспечение завода материалами; </w:t>
      </w:r>
    </w:p>
    <w:p w14:paraId="7908A13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недостаточные темпы работ по строительству и реконструкции цехов завода (из-за нехватки рабочей силы); </w:t>
      </w:r>
    </w:p>
    <w:p w14:paraId="5B1E0C7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несоблюдение заводами-поставщиками (главным образом СТЗ) сроков поставки деталей и заготовок, а также заказанных приспособлений, штампов и инструмента; </w:t>
      </w:r>
    </w:p>
    <w:p w14:paraId="2AD19F6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отказ Мариупольского завода им. Ильича от производства для завода № 183 ряда литых броневых деталей за исключением литого корпуса башни и носовой балки корпуса. В связи с этим завод № 183 был вынужден самостоятельно изготавливать «мелкое броневое литье» для танка Т-34, как то: защиту лобового пулемета ДТ, основания смотровых приборов механика-водителя, основания башенных смотровых приборов и крышки бортовых редукторов. </w:t>
      </w:r>
    </w:p>
    <w:p w14:paraId="46DE032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выступления С.Н. Махонина слово взял главный инженер Сталинградского тракторного завода А.Н. Демьянович. В ответ на претензии С.Н. Махонина он сообщил, что невыполнения СТЗ в срок своих обязательств перед заводом № 183 по изготовлению деталей, заготовок, штампов, приспособлений и инструмента произошло из-за проволочек в оформлении договора на поставку, несвоевременного получения чертежей от завода № 183, а также из-за отсутствия на СТЗ необходимых материалов. </w:t>
      </w:r>
    </w:p>
    <w:p w14:paraId="4E2B878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какой-то мере выступления главных инженеров заводов № 183 и СТЗ подытожил начальник Главспецмаша НКСМ Г.С. Суренян:</w:t>
      </w:r>
    </w:p>
    <w:p w14:paraId="76FAD46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 существу работы 183-го завода. Я хочу его работу разбить на 2 части. По существу выполнения решения ЦК по июньской – июльской программам тут завод № 183 не имеет права ссылаться на другие заводы, которые должны были поставлять детали, здесь вина главным образом самого завода № 183. </w:t>
      </w:r>
    </w:p>
    <w:p w14:paraId="0FB4550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Нельзя ссылаться на то, что решение ЦК было 5 – 8 июня, по существу завод знал раньше и 10 машин были записаны с ведома завода и принимая во внимание, что завод это количество запустил с марта, тем более непростительно, что завод не выполнил своевременно подготовки по этим 10 машинам. Если бы работа была развернута более широким фронтом, то на сейчас имели бы эти 10 машин выполненными. Вот если бы завод мог сказать, что он собрал машины, а СТЗ не дал гусеницы, тут было бы видно, что завод № 183 не виноват. Положение с июльской программы обстоит не лучше, даже пожалуй тяжелей. Это объясняется тем, что для подготовки той партии завод имел значительно больший промежуток времени, чем сейчас. </w:t>
      </w:r>
    </w:p>
    <w:p w14:paraId="142DE78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тов. Фрадкин [служащий военного отдела НКСМ] сказал, что положение улучшается, я сегодня говорил с директором завода [№ 183], он считает что программа будет обеспечена. Я же считаю, что это заводу вряд ли удастся. Завод не подготовил стендового хозяйства для производства корпусов. В отделе тяжелых пролетов имеется 3 стенда и 4-й будет запущен днями. </w:t>
      </w:r>
    </w:p>
    <w:p w14:paraId="4016CEB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Внутри самого завода есть неполадки. График местами не увязан с заготовительными цехами. Когда, я спрашивал, почему не выполнили, то многие отвечали, что это не увязано внутри завода. В основном держали заготовки, идущие по линии самого завода. Завод задержался в подготовке средств производства. Тут вина главка и наркомата, несвоевременно помогли конструкторами. Большая вина завода, что не сумел обеспечить заводы поставщики чертежным хозяйством. Сейчас нужно создать перелом на заводах поставщиках – ни один завод поставщик не должен ссылаться на то, что завод № 183 не выслал чертежей. </w:t>
      </w:r>
    </w:p>
    <w:p w14:paraId="4604818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просил бы обязать другие заводы, которые связаны с заводом № 183, выполнять оснастку с значительным опережением, чем это записано в графике. Мы сейчас стоим перед фактом прекращения производства машины БТ-8 [БТ-7М]. Машина Т-34 идет обходным процессом и в течение этих 3 месяцев нужно полностью обеспечить завод оснасткой, нужно создать перелом в поставках штампов, приспособлений с заводов смежников, что бы все штампы и поковки поступили на завода к 1/VIII, чтобы отдел 100 имел возможность запустить машину, если этого не будет, то кустарной работы не устранить. Главк поставил своей задачей обеспечить заводу все необходимое для выполнения программы. Главку и военному отделу нужно сейчас центр тяжести своей работы перенести на два момента. Обеспечить снабжение завода, чтобы завод имел возможность маневрировать, иметь достаточное количество материалов, с другой стороны главку нужно направить свое внимание на то, чтобы все заводы смежники обеспечили подготовку и своевременную отправку штампов и приспособлений на завод № 183. </w:t>
      </w:r>
    </w:p>
    <w:p w14:paraId="35E992A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Внутри завода надо учесть следующее обстоятельство. Из 4000 наименований инструментария 2370 наименований изготовляет сам завод, чтобы выпуск этого инструментария проходил своевременно на самом заводе. Сейчас работают по обходной технологии, как только получили инструментарий должны его немедленно осваивать внедрять, опробовать. Отдел главного технолога, который сейчас руководит этим внедрением, обеспечен кадрами. Сейчас технологический процесс спущен в цех. Теперь цех должен ознакомиться с процессом, надо подготовится к приемке штампов и приспособлений и главное внедрять их».</w:t>
      </w:r>
    </w:p>
    <w:p w14:paraId="5CABC12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в первый день совещания выступили 11 человек, представлявших заводы НКСМ, Главспецмаш и Военный отдел НКСМ. В основном в выступлениях затрагивались вопросы, относившиеся к положению дел на заводе № 183 и частично – на Сталинградском тракторном заводе. </w:t>
      </w:r>
    </w:p>
    <w:p w14:paraId="441D964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день совещания главным образом был посвящен обсуждению вопросов, связанных с состоянием дел на заводах-смежниках, привлечённых к выпуску приспособлений, штампов и инструмента, а также комплектующих для производства танка Т-34 на заводе № 183. Следует отметить, что, несмотря на наличие взаимных претензий, все участники совещания вне зависимости от занимаемых должностей старались объективно оценить создавшееся положение и найти пути выхода из него. Совещание завершилось вечером 24 июля 1940 г. Подводя его итоги, заместитель народного комиссара среднего машиностроения А.А. Горегляд призвал все заинтересованные стороны своевременно и полностью выполнять свои обязательства в соответствии с графиком, утверждённым НКСМ.</w:t>
      </w:r>
    </w:p>
    <w:p w14:paraId="3E1B534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 8115. Оп. 8. Д. 15. Л. 155 – 157]</w:t>
      </w:r>
    </w:p>
    <w:p w14:paraId="3957703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(18148).</w:t>
      </w:r>
    </w:p>
    <w:p w14:paraId="6A78AD25" w14:textId="77777777" w:rsidR="009328AA" w:rsidRPr="00DB5D0D" w:rsidRDefault="009328AA" w:rsidP="00DB5D0D">
      <w:pPr>
        <w:spacing w:after="0" w:line="240" w:lineRule="auto"/>
        <w:jc w:val="both"/>
        <w:rPr>
          <w:rFonts w:ascii="Times New Roman" w:hAnsi="Times New Roman"/>
          <w:color w:val="000000" w:themeColor="text1"/>
          <w:sz w:val="16"/>
          <w:szCs w:val="16"/>
        </w:rPr>
      </w:pPr>
    </w:p>
    <w:p w14:paraId="3297430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w:t>
      </w:r>
    </w:p>
    <w:p w14:paraId="6FF239A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3A9BAA8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СТЕНОГРАММА</w:t>
      </w:r>
    </w:p>
    <w:p w14:paraId="00E96FC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совещания у Зам. Наркома среднего машиностроения</w:t>
      </w:r>
    </w:p>
    <w:p w14:paraId="16721FB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Горегляд А.А. по вопросу о ходе подготовки к производству машины Т-34.</w:t>
      </w:r>
    </w:p>
    <w:p w14:paraId="3337F4C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года.</w:t>
      </w:r>
    </w:p>
    <w:p w14:paraId="04B5F28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(начало не записано) </w:t>
      </w:r>
    </w:p>
    <w:p w14:paraId="53254B9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дальнейшем стоит вопрос о даче нам бронелитья с Мариупольского завода. Мы ни одной детали от Гармашева не получили. На июль мы с этим делом справимся, но на все количество нам нужно получать с Мариупольского завода. </w:t>
      </w:r>
    </w:p>
    <w:p w14:paraId="58D2BB2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Постановление правительства обязывало Кольчугинский завод, и по приказу ЗИС должен был делать радиаторы. Мы имеем большое увеличение программы, а по приказу ЗИС должен давать только с сентября месяца. Я прошу нам разрешить получать с ЗИСа в августе, хотя бы комплектов 20, иначе мы можем провалиться. Сами мы делаем кустарно. </w:t>
      </w:r>
    </w:p>
    <w:p w14:paraId="2763E6D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Сейчас весь коллектив мобилизован на выполнение программы, что же касается июльской программы, то здесь все дело только в нас. </w:t>
      </w:r>
    </w:p>
    <w:p w14:paraId="3E9CC8F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Плохо обстоит со штамповками. Завод № 75 дал 189, СТЗ – 0, по стальному литью СТЗ – 0, ХТЗ из 2 наименований дал 0, ЗИС тоже из 2-х наименований дал 0. Прекращены на СТЗ траки, кроме того, есть непроверенные данные, что СТЗ будет делать траки для завода № 37. </w:t>
      </w:r>
    </w:p>
    <w:p w14:paraId="1FD657F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подшипниками дело исправилось, но график, подписанный тов. Елисеевым не выполняется, кроме того, т. Юсим издал приказ по заводу, чтобы комплектовать подшипники в первую очередь для Кировского завода. </w:t>
      </w:r>
    </w:p>
    <w:p w14:paraId="7CF8727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Плохо положение с броней, по качеству геометрических размеров, нам иногда приходится затрачивать 2 человека на доделки одной детали башни в течение 6 – 8 смен. Мариупольский завод поставлял броню высокого качества. </w:t>
      </w:r>
    </w:p>
    <w:p w14:paraId="624C4F1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Неудовлетворительны поставки с завода «Электросталь» Днепроспецсталь (кремнистая сталь, пруток). Раньше для Днепроспецстали болванку подавал Серп и Молот, а сейчас переключили на завод им. Карла Либкнехта и за полтора месяца на этот завод не подал ни одной болванки. </w:t>
      </w:r>
    </w:p>
    <w:p w14:paraId="24831BF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Металл не получен. По-моему, и Наркомату не выделены фонды на цветной прокат. </w:t>
      </w:r>
    </w:p>
    <w:p w14:paraId="54D4C12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ЗИС и ГАЗ отказались выполнить постановление об изготовлении пресс-форм. Людиновский завод не делает пресс-форм потому, что не получает металла. </w:t>
      </w:r>
    </w:p>
    <w:p w14:paraId="0103AB2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Таково положение с обеспеченностью завода и с работами на заводе в июле. </w:t>
      </w:r>
    </w:p>
    <w:p w14:paraId="04C9957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Качество машин. Мы имели 106 замечаний, из них выполнено 92, осталось невыполненными 14 замечаний. 15 августа мы с этими замечаниями покончим, за исключением 2 – 3, которых исправлять не нужно. </w:t>
      </w:r>
    </w:p>
    <w:p w14:paraId="4476D23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Остаются не разрешенными 2 основных вопроса: вопрос доводки ___ и вопрос установки рации. Вопрос с рацией остается открытым, никакой ясности нет. Принципиально вопрос решен правильно, но в то же время между АБТУ КА и Управлением связи нет договоренности. У нас имеется письменное извещение о том, что машины с установкой рации в башне больше принимать не будут. </w:t>
      </w:r>
    </w:p>
    <w:p w14:paraId="1D6B55D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Выпущенные нами первые машины прошли по 250 км и никаких особых замечаний не имели. </w:t>
      </w:r>
    </w:p>
    <w:p w14:paraId="39C9DD9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 закончен вопрос со стартерами. У нас имеются данные, что завод наделал стартеров с валиками из стали 40КМ – это недопустимо. </w:t>
      </w:r>
    </w:p>
    <w:p w14:paraId="1047EA8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Подготовка производства. Разработка технологического процесса нами закончена. </w:t>
      </w:r>
    </w:p>
    <w:p w14:paraId="31FD787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Нам требуется специальных приспособлений 2500 шт., 1300 стандартных, СТЗ делает соответственно 167 и 150. Запроектировано из специальных из 2500 – 1580 шт. или 79 %, выдано в заказ 2350 шт., изготовлено 600 шт., к концу месяца будем иметь 800 шт. От остальных заводов мы ничего не получили. По-моему, товарищи не занимаются выполнением приказа № 120. </w:t>
      </w:r>
    </w:p>
    <w:p w14:paraId="6402456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был на СТЗ, чертежи они получили в то же время, когда и мы, может быть на две недели позже, но все время разговаривают о чертежах и ничего не делают. ГАЗ получил 6/VI чертежи и ничего не дал, ЗИС получил I/VI и только выдал расписку в принятии чертежей на хранение. Всего по всем заводам размещено 1770 шт., пока ничего не получили. 22 шт. имеется на СТЗ и 8 шт. на ХТЗ и как будто 6 – на ЗИС. </w:t>
      </w:r>
    </w:p>
    <w:p w14:paraId="462CEBF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Наш завод должен закончить приспособления к 1 августа, мы закончим к 10/VIII. </w:t>
      </w:r>
    </w:p>
    <w:p w14:paraId="4465260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Нами запроектировано 4152 позиции инструмента, еще в проектировании будут 450 шт., будут закончены к 1 августа. Выдано в заказ 3000 наименований. На инструмент не хватает металла. Запорожсталь от выданных нарядов старается отделаться. Мы быстрорезом обеспечиваемся в недостаточном количестве. </w:t>
      </w:r>
    </w:p>
    <w:p w14:paraId="777045A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некоторым объектам строители не собираются выполнять постановления (инструментальный отдел, кислородная установка, отдел 200), кроме того, они не собираются выполнять работы по аварийным объектам, предусмотренным титулом и постановлением правительства, были такие разговоры, что для Т-34 это не нужно. Для выполнения этой работы им нужно было иметь 3000 человек рабочих, а у них всего 800 человек. </w:t>
      </w:r>
    </w:p>
    <w:p w14:paraId="292C646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Завод строителями поставлен в очень тяжелое положение. Все графики реконструкции предусматривали, что реконструкция завода будет происходить без остановки завода, а теперь мы вынуждены были остановить несколько цехов. Мы совершенно остановили производство машин БТ. </w:t>
      </w:r>
    </w:p>
    <w:p w14:paraId="27152D6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Завод «Электросталь» не дает быстрореза. Начальник снабжения этого завода говорит, что у него 100 постановлений, а ферро-сплавов нет. </w:t>
      </w:r>
    </w:p>
    <w:p w14:paraId="727C45D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ЗИС все уточняет и уточняет, а штампов не делает. </w:t>
      </w:r>
    </w:p>
    <w:p w14:paraId="248F955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Главснаб фондов на инструмент до сих пор не выделил. То, что было по постановлению Экономсовета, то получено, а сверх ничего. Победита тоже не дает. </w:t>
      </w:r>
    </w:p>
    <w:p w14:paraId="3360A41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Красная Этна отказалась давать метизы. </w:t>
      </w:r>
    </w:p>
    <w:p w14:paraId="1D83C16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Мое предложение – нужно организовать специальный контроль за выполнением этого решения и привлекать к ответственности, так дальше продолжаться не может. Нужно также найти способ воздействия на строительную организацию. </w:t>
      </w:r>
    </w:p>
    <w:p w14:paraId="629F44F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Нужно обязать СТЗ подать всю штамповку и литье к 10/VIII, а завод № 75, ЗИС и ХТЗ подать всё к 1/VIII, получить от 7-го главного управления распоряжение Мариупольскому заводу по крыше, литой башне, обязать ГАЗ, СТЗ, ХТЗ, ГПЗ закончить штамповки к 1/IX, а Главснаб должен выдать фонды на быстрорез. </w:t>
      </w:r>
    </w:p>
    <w:p w14:paraId="13267D1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Эталонные шестерни мы передали СТЗ, а их хорошо умеет делать ГАЗ, который имеет специальное оборудование. Я прошу, чтобы это сделал ГАЗ. </w:t>
      </w:r>
    </w:p>
    <w:p w14:paraId="4698E93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 ГПЗ есть вспомогательный завод, который загружается на 5 – 10 %, я просил бы отдать этот завод нам. Этот завод находится в Москве, ГПЗ он не нужен. </w:t>
      </w:r>
    </w:p>
    <w:p w14:paraId="7338B0D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ДЕМЬЯНОВИЧ: Мы на сегодня программы не имеем. Наша задача на сегодняшний день закончить подготовку к выпуску партии с 1940 г. в количестве 100 штук и глубокая подготовка для набирания темпов выпуска машин с 1941 – 42 года. Тем не менее, для того, чтобы нам почувствовать машину, мы просили нам оказать помощь завод № 183, чтобы собрать машину на заводе № 183. Мы это получили, и тем самым наш коллектив почувствовал машину, представил себе, что это за машина. Это сослужило большую пользу и проектантам, и строителям и конструкторам. 16/VII силами наших сборщиков была собрана машина, была сдана ОТК завода, в присутствии тов. Вовк был сделан пробег, который показал неплохие результаты. В остальном мы сейчас ведем подготовку на выпуск этих машин в 4 квартале. Мы могли бы прийти к Вам с лучшими результатами, если бы не было срыва в получении чертежей. </w:t>
      </w:r>
    </w:p>
    <w:p w14:paraId="60E5D0B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Чертежи мы получили в конце мая. Все протоколы, приказы, письма, в которых были даны сроки, все было сорвано. Чертежи по 20-й группе мы получили в июне и изменения получаем по 100 деталям и сейчас. Мы могли для 183 завода все сделать, и поковки и литье. Мы отштамповали, и все лежит на складе, не реализуется заводом № 183 потому, что не был заключен договор. Договор 25 дней находился на заводе № 183 и не высылался нам. Мы все время работали по опытным чертежам машины, которые мы получили согласно указания Наркома в конце января и приступили к развороту проектирования, не считаясь с тем, что целый ряд приспособлений и штампов может пойти в брак. Эта установка оказалась правильной, мы выбросили всего 15 – 20%. Я хотел бы остановиться на том, что в самый кратчайший срок необходимо ввести последовательность в машину: те 106 изменений внести по результатам испытаний необходимо и разобрать и закончить к 1/VIII, чтобы мы не сорвали подготовку производства и программу этого года. Изменения даются все время, а нам трудно установить какие изменения даются как результат испытаний комиссии, а где изменения по изобретательству конструкторов завода № 183. Я прошу, чтобы было указано, что с такого-то времени все изменения, которые предлагаются заводом № 183, должны считаться ни как изменения обязательные, а как изменения для согласования. Я прошу установить срок 1/VIII, чтобы все изменения согласовывались с нашим заводом и вводились с нашего разрешения. </w:t>
      </w:r>
    </w:p>
    <w:p w14:paraId="6B860DB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Мы имели установочную партию 20 машин, сейчас мы имеем 100 машин. Мы не знаем, по каким чертежам мы будем сдавать остальные 80 машин. Военпред заявляет, что он примет 20 машин, а остальные машины примет по указанию Народного комиссара т. Тимошенко с измененной башней, с новой установкой рации. Я прошу по этому поводу дать четкий ответ. </w:t>
      </w:r>
    </w:p>
    <w:p w14:paraId="10C93FF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Также совершенно не ясно, что мы будем иметь на начало 1941 года. Нас это интересует, потому что мы готовимся к 1941 году, у нас все идет с учетом крупносерийного производства. Если мы получим чертежи на 1941 г. в конце декабря, то тем самым мы не сумеем сдавать машины в течение 4 – 5 месяцев, т.е. до мая – июня. Мы должны делать по установочной партии, так как нам требуется длительная подготовка для внесения изменений. </w:t>
      </w:r>
    </w:p>
    <w:p w14:paraId="13A86F0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Военпред требует, чтобы мы согласно решению правительства заключили договор на 100 машин на этот год. Мы этого не можем, так как ни мы, ни военпред не знаем, по каким техническим условиям мы будем сдавать машины. Потому, что имеются Т.У. только на 20 машин, а на 80 машин нет. </w:t>
      </w:r>
    </w:p>
    <w:p w14:paraId="3FB745A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Перехожу к организации подготовки производства на СТЗ. Как только было принято решение о том, что наш завод приступает к производству танка Т-34, мы сейчас же собрали из цехов конструкторов, технологов по приспособлениям и инструменту, создали мощное проектное бюро из 450 человек, которое приступило к разработке технологического процесса и проектированию приспособлений и инструментов. Технологический процесс на сегодня по всем видам производства (по механической обработке, по литейным цехам, по кузнечному цеху, холодно-прессовому цеху и сборочному цеху) закончен. Весь коллектив был мобилизован на эту работу. Была введена премиальная система и сдельная оплата в конструкторском бюро, которые также явились стимулом выполнения и перевыполнения составленного графика работ по подготовке производства. Наши графики были составлены на изготовление первоочередных работ по инструменту. Организация подготовки производства шла неизменно по графику. Этот график предусматривал окончание технического проекта и проектирования средств производства первой очереди к 1/VIII. Изготовление в металле основных средств производства намечалось к 1/XI-40 г. </w:t>
      </w:r>
    </w:p>
    <w:p w14:paraId="74F77AF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После того, как мы получили увеличение программы в 5 раз на этот год, завод по своей инициативе изготовил новый график производства средств производства. Этот график мы не выслали в наркомат потому, что он был составлен 15/VI и предусматривал ужесточение всех сроков по проектированию на 1 – 2 месяца, по изготовлению на 1 – 2 месяца. Учитывая небольшой остаток времени до окончания графика, ужесточение было до 30 – 60% по отдельным звеньям. </w:t>
      </w:r>
    </w:p>
    <w:p w14:paraId="5535667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Каково состояние подготовки производства по основным звеньям? Если по проектированию приспособлений по механической обработке по графику на 1/VII мы должны были сделать 665, причем приспособлениями мы считаем такие средства производства, которые стоят не ниже 200 руб. Мы возьмем только крупные, по нашему графику мы уже запроектировали 874. По графику изготовления в металле, что особенно ценно, на 1/VII 264 приспособления уже мы в металле сделали. Мы вообще имеем перевыполнение больше чем 100% по большому количеству приспособлений. </w:t>
      </w:r>
    </w:p>
    <w:p w14:paraId="7CA9C6E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Дальше идет проектирование приспособлений контроля, приспособлений сборки, изготовление их, изготовление режущего и вспомогательного инструмента, проектирование мерительного инструмента. Все это более мелкое и идет в графике точно и перевыполняется. </w:t>
      </w:r>
    </w:p>
    <w:p w14:paraId="1840E25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Теперь я укажу, где у нас туго – проектирование штампов по холодной обработке. Если мы должны были иметь 355, то мы имеем всего 320, по изготовлению в металле по графику нужно 200, мы имеем только 155. По проектированию штампов горячей обработки на 1/VII 320 штампов, мы сделали 254, также идет напряженно, потому что получили чертежи 20-й группы в конце июня. По графику требовалось изготовить 245 шт., мы сделали 214. Здесь по изготовлению на 1/VII был срыв из-за недостатка кубиков. </w:t>
      </w:r>
    </w:p>
    <w:p w14:paraId="0C38DE3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Что касается изготовления моделей стального и чугунного литья, то здесь технология была закончена в мае. Все металлические модели изготовлены по графику наркома, 6 деталей претерпели изменения, были аннулированы. Мы имеем отставание. </w:t>
      </w:r>
    </w:p>
    <w:p w14:paraId="7CB24C1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 нас имеются все основания предполагать, что первая очередь проектирования средств производства будет закончена в июле, а вторая к 1/IX. </w:t>
      </w:r>
    </w:p>
    <w:p w14:paraId="5F1E9D5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 приспособления мы разбили на 2 очереди. Первая очередь это те приспособления, без которых невозможно сделать деталь, и вторая очередь это те приспособления, которые дублируют их на программы 1941 – 42 г.г. </w:t>
      </w:r>
    </w:p>
    <w:p w14:paraId="34881F3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Поскольку у нас была программа 20 машин на 1940 г. то мы считали, что 20 машин можно сделать на первоочередных инструментах производства 1941 г. Эта установка оказалась правильной, когда правительство увеличило нам программу, то и подготовка производства оказалась мала. Когда мы по телефону получили извещение об увеличении программы, пришлось издать приказ по заводу, которым предусматривалось, что все 100 танков россыпью мы должны сделать к 1/Х. Мы подсчитали, что мы можем сделать. Мы учли, что без подготовки мы сможем сделать 30% деталей, а остальные уже с подготовкой минимальной. Мы разработали такой график, который предусматривает кооперацию с заводом № 183. Мы спустили всем цехам программу, чтобы иметь к 1/Х все детали россыпью и сказали, на что есть подготовка, а где нет – делать без подготовки, универсальным способом. Эта установка оказалась правильной. </w:t>
      </w:r>
    </w:p>
    <w:p w14:paraId="6521D1A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Если посмотреть по цехам, то мы увидим, что сталелитейный цех имеет программу 28 деталей, изготовил металлических моделей 11, деревянными моделями обеспечены все детали. </w:t>
      </w:r>
    </w:p>
    <w:p w14:paraId="5D73C8C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цехе автоматно-серийном мы разместили 223 детали и 160 наименований. В цехе текущего производства 383 детали, из них 120 наименований изготовляется без подготовки производства. Уже изготовлено на 100 машин 45 наименований, 120 выпущено в изготовление. По автоматно-серийному все будет закончено полностью. </w:t>
      </w:r>
    </w:p>
    <w:p w14:paraId="3DE987F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механо-сборочному цеху мы имеем 479 деталей, 203 детали могут изготовляться без подготовки средств производства. Полностью укомплектованы приспособлениями 45 наименований деталей и кроме этого 23 укомплектованы приспособлениями. </w:t>
      </w:r>
    </w:p>
    <w:p w14:paraId="43116E7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прессовому цеху закреплено 1084 детали и 181 узел, 80 наименований изготовляется без подготовки средств производства, 200 штампов готовы, изготовлено до 480 деталей на программу 1940 г., 64 наименования. В метизном заводе закреплено 170 деталей, 160 нормалей изготовлено на 40 год, 59 наименований и частично 17. </w:t>
      </w:r>
    </w:p>
    <w:p w14:paraId="0EC68D8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Опыт изготовления первой машины показал, что для того, чтобы иметь в октябре 20 танков, мы должны учить людей сейчас и в сентябре иметь 20 танков собранными. </w:t>
      </w:r>
    </w:p>
    <w:p w14:paraId="722FB7B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СТЗ изготовление корпусов и башен идет очень трудно. Я предложил делить беду пополам, чтобы они отдавали каждую пятую башню нам. </w:t>
      </w:r>
    </w:p>
    <w:p w14:paraId="2BA82BF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Чертежи от завода мы все получили, по чертежам претензий нет, если не будет изменений. </w:t>
      </w:r>
    </w:p>
    <w:p w14:paraId="6DAAA09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Относительно договора. 1/VI был Бродский с завода № 183 и до 10/VII мы ничего не имели и лишь 10/VII я получил договор с протоколом разногласий и спецификацию с указанием поставляемых деталей в июне месяце. Мы изготовили несколько деталей, которые завод № 183 от нас не берет и требует некоторые новые детали, по которым мы не готовились. Когда мы подписывали договор, приказа еще не было. </w:t>
      </w:r>
    </w:p>
    <w:p w14:paraId="45DF3A6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зачитывает письмо т. Бродского) </w:t>
      </w:r>
    </w:p>
    <w:p w14:paraId="1FD0B6A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отметить, что на 1/VII были багажированы траки на 10 танков. </w:t>
      </w:r>
    </w:p>
    <w:p w14:paraId="24FCA6D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Чем необходимо помочь СТЗ. Так как эта машина для нас новая и имеются детали, которые мы делаем впервые, а оборудование заказано или на импорт или на наших заводах, у нас имеется спецификация оборудования, которую я просил бы на данном совещании утвердить. </w:t>
      </w:r>
    </w:p>
    <w:p w14:paraId="0B9A904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Технический проект завода пересчитан на 2 смены, это дает резерв на случай необходимости потребности в танках дополнительно еще на 1000 в год, и тем самым мощность возрастает на 50%, требуется незначительное увеличение площади и увеличение количества станков на 30 – 40 шт. </w:t>
      </w:r>
    </w:p>
    <w:p w14:paraId="439ECB4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 строительством никаких срывов нет. Имеется график работ, в котором записаны даже самые мелкие работы, и на день моего отъезда он соблюдался точно. Есть все основания полагать, что к 1/Х работы будут закончены. Строительство цветной литейной должно быть закончено к 15/XII. Есть еще крупная работа – установка 20 тн. молота, которая требует большой осторожности, так как работы ведутся в действующем цехе. Работы к 15/IX будут закончены, и молот будет смонтирован. </w:t>
      </w:r>
    </w:p>
    <w:p w14:paraId="3DE8BBC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У нас была задержка с финансированием. Нам требовалось 17 м.р., т. Федотов спустил меньше, Промбанк задерживает финансирование. Я прошу, чтобы на 4-й квартал таких задержек не было. </w:t>
      </w:r>
    </w:p>
    <w:p w14:paraId="2477C2F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Самое трудное для нас то, что наш завод не приспособлен к такой обработке. Все детали требуют станков с большой высотой центров, этих станков из существующего оборудования мы выделить не можем. Мы имеем 80 станков, занаряженных на импорт, на 26 уже заказ принят, остальные 54 находятся на разрешении в Наркомвнешторге. Я просил бы, чтобы была проведена переадресовка. Если эта переадресовка будет произведена, то по импорту никаких опасений нет. </w:t>
      </w:r>
    </w:p>
    <w:p w14:paraId="217F4E2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просил бы, чтобы завод был обеспечен калькой и синькой, мы имеем сильную нужду при проектировании. Также прошу отпустить для монтажа 500 тн. различных уголков швеллеров и т.д. </w:t>
      </w:r>
    </w:p>
    <w:p w14:paraId="2BE51E0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Задержка в поставке деталей 183 заводу произошла исключительно потому, что мы поздно получили чертежи. Чертежи по 20-й группе мы получили 20/VI, в 22/VI Суренян и секретарь Вовка пишут "категорически прошу привлечь к ответственности тех, кто срывает поставку 20-й группы». </w:t>
      </w:r>
    </w:p>
    <w:p w14:paraId="0FBCFA4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Мы только в конце мая получили заключение по тракам, как же мы могли делать в июне. В настоящее время мы будем делать столько, сколько потребуется. </w:t>
      </w:r>
    </w:p>
    <w:p w14:paraId="5FDA87E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Отсутствие кубиков, на которые требуется хромоникель и ванадиевая сталь, также послужили причиной того, что мы не могли выполнить в срок задание. Наряды были спущены только на 3 квартал. Сталь 40СХ, которую мы не могли получить без фондов, а фонды были спущены только на июль. 80% деталей мы поставим к концу июля, а остальные 15% в первой половине августа и закроем всю программу. </w:t>
      </w:r>
    </w:p>
    <w:p w14:paraId="5D9C8A6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РУЗИН: п. 19 сказано, что руководители несут персональную ответственность за изготовление этих деталей. Фонды на материалы и оборудование Вам были выделены вне фондов Наркомата, поэтому на них ссылаться не стоит. </w:t>
      </w:r>
    </w:p>
    <w:p w14:paraId="597650F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Обследование завода было произведено в мае и в июле. Директор завода против выводов не возражал. На это имеется его подпись. Там это дело поставлено хорошо. Люди с 183 завода были на заводе СТЗ и с СТЗ на 183 заводе. Но почему-то не желают отвечать на телеграммы СТЗ по самым важнейшим вопросам. Я просмотрел десятка три таких телеграмм. Когда я был на заводе СТЗ, приехали два конструктора, и я сказал им, что такие-то детали нельзя штамповать до тех пор, пока не будет установлен 9 тн. молот, они заявили, что они этого решать не могут. Зачем посылать таких людей. </w:t>
      </w:r>
    </w:p>
    <w:p w14:paraId="2B0CA20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24 мая послали измененные чертежи по 39 группе, 20/V по 26 группе и т.д. Сам т. Махонин имеет большой опыт. Когда давались чертежи на специальный инструмент, нужно было следить, чтобы не было изменений в процессе его изготовления. Обычно в этом случае держат на заводе изготовителе своего конструктора. </w:t>
      </w:r>
    </w:p>
    <w:p w14:paraId="1EB14E1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ГАЗу дали чертежи 26/VI, этот документ подтвержден, получен с ГАЗа, нет никаких оснований в нем сомневаться. </w:t>
      </w:r>
    </w:p>
    <w:p w14:paraId="130CECB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приказу № 120 надо было договорную спецификацию и графики на инструмент дать на утверждение. Это было поручено проверить т. Цукинину, который утверждает, что заявка липовая (зачитывает письмо ХТЗ). Мы запросили Махонина, какие детали держат программу июля. Никакого ответа. Только после телефонных разговоров с заводом Наркома, получили соответствующий документ. 21/VI мы узнали, что из-за отсутствия аккумуляторов не выпускаются машины. Заводы АТЭ, ЗЭМ и подшипниковые заводы не держат 183 завода. </w:t>
      </w:r>
    </w:p>
    <w:p w14:paraId="71E2230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Вот другой документ. ГАЗ должен был поставить 191 штамп и 300 приспособлений, дал только 120 штампов и 180 приспособлений, остальные будут даны только к 1/VIII. СТЗ дал только 168. Тут доля вины самого 183-го завода. </w:t>
      </w:r>
    </w:p>
    <w:p w14:paraId="0B67FCF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ХТЗ готов к поставке 4 наименований. Нужно помочь кубиками. В постановлении этого не было предусмотрено, поэтому не получили фондов. </w:t>
      </w:r>
    </w:p>
    <w:p w14:paraId="2F5FAB8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ФРАДКИН (Военный отдел): Я был на заводе 2 недели. Что держит завод. Настроение на заводе таково, что считают, что выполнение программы июля задерживается по следующим причинам. Сдаточный цех отдела 700 не может пропустить столько корпусов, сколько нужно, так как имеется только два стенда. Сейчас вступают еще два стенда. При всех обстоятельствах два стена не могут пропустить нужного количества даже при напряженной работе в 3 смены. Если бы ХТЗ и СТЗ дали штампы, то дело пошло бы лучше, это дало бы возможность загрузить оборудование. Этого не было сделано ни в июне, ни в начале июля. </w:t>
      </w:r>
    </w:p>
    <w:p w14:paraId="04451FA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Сейчас идет разворот работ. Если бы это было в начале месяца, то программа этого месяца была бы обеспечена. На 20/VII было 20 комплектов при минимально поданных 22 – 20 комплектов покупных. </w:t>
      </w:r>
    </w:p>
    <w:p w14:paraId="6ADD3FC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считаю, что в отделе 700 нужно четко поставить работу, чтобы сборка шла нормально нужно установить 4 стенда, если это будет сделано, то корпуса будут обеспечены. Нужно заставить ХТЗ и СТЗ давать штампы. </w:t>
      </w:r>
    </w:p>
    <w:p w14:paraId="44E4D93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считаю, что основным недочетом работы в июне и июле – не было должного разворота работы, надо было выполнять программу обходным путем. </w:t>
      </w:r>
    </w:p>
    <w:p w14:paraId="1A6EBD1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_____ (Военный отдел НКСМ): Первое принципиальное замечание, которое мне, как новому человеку, бросилось в глаза – ненормальные взаимоотношения между 2 заводами, которые должны решать выполнение большого государственного задания. Это может быть, прежде всего, подтверждено тем, что между заводами не существует зафиксированных отношений. Между СТЗ и заводом № 183 не существует такой договоренности, какие детали и когда должен подавать каждый завод. </w:t>
      </w:r>
    </w:p>
    <w:p w14:paraId="255A1E7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Как обстоит с подготовкой средств производства. По плану приказа 122сс нужно было получить быстрореза 17, 23 и 25. 16 тн. отгружено. Сейчас инструментальный цех ее обрабатывает, если быстрорез будет подан даже 25, то они программу июля выполнить могут, никаких задержек в части средств производства не будет. </w:t>
      </w:r>
    </w:p>
    <w:p w14:paraId="0D4E6FC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хочу отметить еще одно обстоятельство. Работа литейного цеха идет весьма плохо, из 11 печей работают только 2 – 3. Когда я поставил вопрос, а почему не работают остальные, то мне ответили, что нет магнезитового кирпича, а почему не делается футеровка, есть порошок. Потом оказалось, что нет каменноугольной смолы. Такая неповоротливость тормозит нормальный ход производства средств производства. </w:t>
      </w:r>
    </w:p>
    <w:p w14:paraId="1523DF6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Когда я обратился к главному снабженцу с вопросом как идет дело с заключением договоров, как с инструментом, он мне ответил, что они только 5/VII разобрались какие покупные детали и где заказать. Это дает право сделать вывод, что с вопросом заключения договоров дело обстоит не совсем важно. Все делается среди массы переписки, телеграмм, протоколов к договорам, а ясности нет. </w:t>
      </w:r>
    </w:p>
    <w:p w14:paraId="1C3DE9F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механическом № 2 19 числа начали перестановку оборудования, которое поступает нормально, перестановка идет по графику, монтаж молота отстал немного: котлован выполнен на 50%, пристройка механосборочного отстает на 1 – 2 недели. </w:t>
      </w:r>
    </w:p>
    <w:p w14:paraId="0E44FB5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Главное, что сейчас есть на заводе и с чем согласился директор завода, это неуверенность среди руководящего состава завода. Второе, что вызывает сомнение, это вопрос подачи корпусов, которые нужно подать раньше октября, чтобы программа октября была выполнена. </w:t>
      </w:r>
    </w:p>
    <w:p w14:paraId="076A762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Еще один вопрос, который завод сейчас еще не ставит, но он будет его держать – вопрос с крановым хозяйством. В сборочных цехах крановое хозяйство отсутствует. Пока вышли из положения, перемонтировали кран. Но там нужно 3 крана. Этот вопрос нужно поставить сейчас же. </w:t>
      </w:r>
    </w:p>
    <w:p w14:paraId="1A433ED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просьбе директора докладываю, что завод забит готовой продукцией, необходимо забрать эту продукцию. Также необходимо наладить вопрос с снабжением завода магнезитовым кирпичом, если это не будет сделано, то план по сталелитейному цеху может быть сорван. </w:t>
      </w:r>
    </w:p>
    <w:p w14:paraId="20CF5A7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считаю, что вина обоюдная. С одной стороны 183 завод опоздал с высылкой чертежей, с другой – известная самоуспокоенность СТЗ. </w:t>
      </w:r>
    </w:p>
    <w:p w14:paraId="4DCE20D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СУРЕНЯН: С самого начала было установлено, что завод № 183 является головным, и все конструктивные изменения может вводить завод № 183, и всякие изменения запрещены. Завод этого не провел. Был такой приказ, где было указано, что завод должен немедленно приступить к оснастке производства. Эти чертежи были вам даны, и они являются основным документом. Ни в какой мере конструктивные изменения вам не мешали, такой ссылки делать нельзя. </w:t>
      </w:r>
    </w:p>
    <w:p w14:paraId="77CF500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имел указание разрешить все конструктивные споры по машине Т-34. Когда же я дал телеграмму, то получил ответ, что все вопросы разрешаются с т. Колесниковым успешно. Какие же это изменения. 1) в броне корпуса, 2) сервоуправление. Завод СТЗ провел не малую работу, но теперь в силу того, что сервоуправление облегчается и работа облегчается. </w:t>
      </w:r>
    </w:p>
    <w:p w14:paraId="673E91B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Вы говорите, что вам поздно дали заключение по тракам, но и вы должны были соблюдать первый опытный образец. Мы знали, что завод запустил 10 опытных образцов, значит, и вы должны были поставить 10 по деревянным моделям. В этом вопросе вы виноваты сами. </w:t>
      </w:r>
    </w:p>
    <w:p w14:paraId="6668B32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существу работы 183-го завода. Я хочу его работу разбить на 2 части. По существу выполнения решения ЦК по июньской – июльской программам тут завод № 183 не имеет права ссылаться на другие заводы, которые должны были поставлять детали, здесь вина главным образом самого завода № 183. </w:t>
      </w:r>
    </w:p>
    <w:p w14:paraId="59AED12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Нельзя ссылаться на то, что решение ЦК было 5 – 8 июня, по существу завод знал раньше и 10 машин были записаны с ведома завода, и принимая во внимание, что завод это количество запустил с марта, тем более непростительно, что завод не выполнил своевременно подготовки по этим 10 машинам. Если бы работа была развернута более широким фронтом, то на сейчас имели бы эти 10 машин выполненными. Вот если бы завод мог сказать, что он собрал машины, а СТЗ не дал гусеницы, тут было бы видно, что завод № 183 не виноват. Положение с июльской программы обстоит не лучше, даже, пожалуй, тяжелей. Это объясняется тем, что для подготовки той партии завод имел значительно больший промежуток времени, чем сейчас. </w:t>
      </w:r>
    </w:p>
    <w:p w14:paraId="229B0FD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Сейчас тов. Фрадкин сказал, что положение улучшается, я сегодня говорил с директором завода, он считает что программа будет обеспечена. Я же считаю, что это заводу вряд ли удастся. Завод не подготовил стендового хозяйства для производства корпусов. В отделе тяжелых пролетов имеется 3 стенда и 4-й будет запущен днями. </w:t>
      </w:r>
    </w:p>
    <w:p w14:paraId="31BBDEA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Внутри самого завода есть неполадки. График местами не увязан с заготовительными цехами. Когда, я спрашивал, почему не выполнили, то многие отвечали, что это не увязано внутри завода. В основном держали заготовки, идущие по линии самого завода. Завод задержался в подготовке средств производства. И тут вина главка и наркомата, несвоевременно помогли конструкторами. Большая вина завода, что не сумел обеспечить заводы поставщики чертежным хозяйством. Сейчас нужно создать перелом на заводах поставщиках – ни один завод поставщик не должен ссылаться на то, что завод № 183 не выслал чертежей. </w:t>
      </w:r>
    </w:p>
    <w:p w14:paraId="0F58CEC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просил бы обязать другие заводы, которые связаны с заводом № 183, выполнять оснастку с значительным опережением, чем это записано в графике. Мы сейчас стоим перед фактом прекращения производства машины БТ-8. Машина Т-34 идет обходным процессом и в течение этих 3 месяцев нужно полностью обеспечить завод оснасткой, нужно создать перелом в поставках штампов, приспособлений с заводов смежников, что бы все штампы и поковки поступили на завода к 1/VIII, чтобы отдел 100 имел возможность запустить машину, если этого не будет, то кустарной работы не устранить. Главк поставил своей задачей обеспечить заводу все необходимое для выполнения программы. </w:t>
      </w:r>
    </w:p>
    <w:p w14:paraId="5D01B80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Главку и военному отделу нужно сейчас центр тяжести своей работы перенести на два момента. Обеспечить снабжение завода, чтобы завод имел возможность маневрировать, иметь достаточное количество материалов, с другой стороны главку нужно направить свое внимание на то, чтобы все заводы смежники обеспечили подготовку и своевременную отправку штампов и приспособлений на завод № 183. </w:t>
      </w:r>
    </w:p>
    <w:p w14:paraId="25FCE70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Внутри завода надо учесть следующее обстоятельство. Из 4000 наименований инструментария 2370 наименований изготовляет сам завод, чтобы выпуск этого инструментария проходил своевременно на самом заводе. Сейчас работают по обходной технологии, как только получили инструментарий должны его немедленно осваивать внедрять, опробовать. Отдел главного технолога, который сейчас руководит этим внедрением, обеспечен кадрами. Сейчас технологический процесс спущен в цех. Теперь цех должен ознакомиться с процессом, надо подготовиться к приемке штампов и приспособлений и главное внедрять их. </w:t>
      </w:r>
    </w:p>
    <w:p w14:paraId="72383AF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ЛИВШИЦ: Мне завод № 183 ничего не говорил, никаких заявлений не было. Меня беспокоило, что ни со стороны завода № 75 и 183 не было никаких заявлений. По СТЗ есть некоторые затруднения с материалами, не предусмотренными решением ЦК. Победит выделен заводу № 183 в большем количестве, чем другим нашим заводам. </w:t>
      </w:r>
    </w:p>
    <w:p w14:paraId="723A980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РАБКИН: Победит выделен постановлением ЦК. Чтобы дать это количество мы должны иметь фонды. Наркомат получил только 5 тн. и всего выделил 739 кгр., но и остальные заводы не обеспечены фондами. Я говорил с тов. Розиным, что фонды недостаточны. Он сказал, что ставит этот вопрос перед Экономсоветом о выделении дополнительно по договоренности с комбинатом твердых сплавов. </w:t>
      </w:r>
    </w:p>
    <w:p w14:paraId="4CE81CD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____ (Технический отдел Главспецмаша): Оценка проведенной подготовки технологического процесса на заводе № 183 получила положительную оценку со стороны главного технолога Наркомата тов. Трахтенберга. Тут беда в том, что имелась переоценка заводом своих сил, отсюда ориентировка на целый ряд сроков, которые не были выдержаны. О недостатке конструкторов вопрос ставился своевременно, только после вторичного указания было послано несколько конструкторов. Это создало известные трудности в работе завода, и завод не сумел вовремя обеспечить чертежами заводы поставщики штампов и приспособлений. И последний недостаток – это планирование работы по подготовке производства. Тов. Терехин специально ставил этот вопрос. </w:t>
      </w:r>
    </w:p>
    <w:p w14:paraId="7FA7302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Мы имеем не маленькую программу по машине 34. В серийном выпуске машины 34 все зависит от оснащения технологического процесса. Нельзя сравнивать подготовку производства на СТЗ и на заводе № 183. Там коллектив массового производства. </w:t>
      </w:r>
    </w:p>
    <w:p w14:paraId="4BEF566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Меня крайне удивляет постановка вопроса тов. Демьяновичем. Мы согласны, что нет должной постановки вопроса, нет социалистического соревнования, которое должно помочь отстающим. </w:t>
      </w:r>
    </w:p>
    <w:p w14:paraId="37D1BE2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был на ЗИС и проверял ход выполнения обязательств. Они жалуются, что нет проверки выполнения приказов со стороны Наркомата. На ЗИС положение надо считать удовлетворительным. Единственное опасение внушает изготовление червячных фрез. Необходимо решить вопрос о премиальном фонде. Директор держит премиальный фонд у себя в кармане и обещает выдать только после окончания всех работ. Цеховые работники говорят, что после выполнения работ они вообще ничего не получат. Этот вопрос нужно разрешить со стороны Наркомата. </w:t>
      </w:r>
    </w:p>
    <w:p w14:paraId="04789BC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настоящее время у завода № 183 нет никаких объективных причин для невыполнения этой программы. </w:t>
      </w:r>
    </w:p>
    <w:p w14:paraId="21FC472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КРАВЦОВ: Постановление о машине 34 исключительно хорошо проработано. Когда я здесь слушал выступления завода и главка, то видел, что каждый старается спихнуть вину на другого. Вообще подготовка производства стоит не на высоте. </w:t>
      </w:r>
    </w:p>
    <w:p w14:paraId="66428FA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заявляет, что не имел чертежей на машину, но мог вести это дело с 1939 года. Ведь машина 32 имела те же элементы, что и машина 34. Тов. Махонин не знает мощностей своего завода, когда сказал, что может выпускать и БТ и машину 34. Главк тоже плохо знает свой завод. Со стороны т. Суреняна нет должного нажима на завод. До настоящего времени завод № 183 еще не заключил договоров с целым рядом заводов. По мотору М-20 с АБТУ тоже нет договора. Этим вопросом должен заняться Главк. </w:t>
      </w:r>
    </w:p>
    <w:p w14:paraId="228E473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непоставке чертежей заводы спекулируют, а на заводе № 183 есть такое спокойное настроение, сначала обеспечить себя, а потом другим дать чертежи, поэтому и получается, что на СТЗ по обеспечению себя идут впереди графика, а заводу № 183 потом будут давать. </w:t>
      </w:r>
    </w:p>
    <w:p w14:paraId="474E2C3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считаю, что создавшееся положение на 183 заводе и СТЗ нетерпимо, надо положить конец. Считаю необходимым решение вопроса об обеспечении корпусами СТЗ. Нужно также пересмотреть сроки поставки инструмента и приспособлений, иначе можно сорвать выполнение программы. На долю Военного отдела также ложится большая вина, что на заводе идут такие непорядки. Сейчас у нас новый народ и он будет устанавливать контроль. Мы считаем, что наши люди должны большую часть времени проводить на заводах, а сюда приезжать только для доклада. </w:t>
      </w:r>
    </w:p>
    <w:p w14:paraId="1D033F2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Заседание переносится на 24 июля 1940 года. </w:t>
      </w:r>
    </w:p>
    <w:p w14:paraId="2099A63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 2 экз. </w:t>
      </w:r>
    </w:p>
    <w:p w14:paraId="418A3B8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6/VIII-40 г. № 8796 </w:t>
      </w:r>
    </w:p>
    <w:p w14:paraId="6F1BC3E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Ю.Ш. </w:t>
      </w:r>
    </w:p>
    <w:p w14:paraId="17373E6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3D62966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СТЕНОГРАММА</w:t>
      </w:r>
    </w:p>
    <w:p w14:paraId="0A3150E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Совещания у Зам. Народного Комиссара тов. Горегляда А.А.</w:t>
      </w:r>
    </w:p>
    <w:p w14:paraId="20F9731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хода подготовки к производства машины Т-34.</w:t>
      </w:r>
    </w:p>
    <w:p w14:paraId="1CC092D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24.VII-40 г.</w:t>
      </w:r>
    </w:p>
    <w:p w14:paraId="22CE346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Каковы претензии завода № 183 к ЗИС? ЗИС должен был сдать 161 приспособление. Передано чертежей ЗИСу 136. Подача первой партии была раньше срока, утвержденного по графику, приложенному к приказу 190. 63 – дали 1/VI и вторую партию – 9/VII, вместо 4-го. Запоздание на 5 дней. Всего дали 136 чертежей, вместо 161. Мы недодали 25 наименований приспособлений. Последние чертежи дадим 26/VII. По графику последние чертежи мы должны были сдать – 4.VII. </w:t>
      </w:r>
    </w:p>
    <w:p w14:paraId="5BBBFA6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136 чертежам, которые мы сдали в срок, претензии такие. Мы должны были получить 10 шт. приспособлений 15/VII, 15 шт. 20/VII. На сегодня мы ни одного приспособления от ЗИС не получили. </w:t>
      </w:r>
    </w:p>
    <w:p w14:paraId="5583003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1 ГПЗ следующие претензии. Мы выдали 54 штампа, чертежи сдали 4/VI, должны были сдать по графику 6/VI, т.е. на 2 дня раньше срока. Несмотря на это ни одного штампа от 1 ГПЗ мы не получили. На 15/VII должны были поставить 14, на 25/VII поставили 20 шт. Состояние дел на заводе таково, что не будем иметь в сроки, если не будут приняты чрезвычайные меры. </w:t>
      </w:r>
    </w:p>
    <w:p w14:paraId="1DACF96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Арановский. Я остановлюсь на 2-х вопросах: приспособлениях и инструменте. До составления графика по приказу 55с были переданы чертежи на 1 ГПЗ и ЗИС, которые по этому приказу обязаны были приступить к изготовлению приспособлений и штампов. </w:t>
      </w:r>
    </w:p>
    <w:p w14:paraId="0FE9BF9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ГПЗ написал, что штампы будут готовы к 1.IX и чертежи пролежали на 1 ГПЗ 1 месяц и 2 дня. </w:t>
      </w:r>
    </w:p>
    <w:p w14:paraId="1566BF8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ЗИС были переданы 63 чертежа 1/VI. По заявлению ЗИС их надо было переделать на нормали ЗИС. После того, как чертежи нами были переделаны на нормали по ЗИСу, ЗИС их не запускал в производство до заключения договора. Стоило многих трудов нач. инструментального отдела добиться заключения договора без исполнительной калькуляции. В договоре была указана ориентировочная стоимость этого договора, и что оплата приспособлений будет производиться по исполнительной калькуляции. Это затрудняло изготовление приспособлений. Договор был заключен в течение 6 – 7 дней. Сейчас ЗИС полностью включил в работу все наши приспособления. Сейчас больше чем на 1 ГПЗ налажена работа по нашему заказу. Но надо отметить, что больших трудов стоило работникам завода № 183 добиться запуска приспособлений в производство. Чертежи на заводе лежали больше месяца, и была выдана расписка, что они приняты на хранение. Их вообще не хотели принимать на производство. </w:t>
      </w:r>
    </w:p>
    <w:p w14:paraId="21CF153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Относительно инструмента. За 4 месяца по приказу 55с мы не получили с 1 ГПЗ ни одного ударного и вспомогательного инструмента. После того как был поднят вопрос в Наркомате, работники 1 ГПЗ получили соответствующую установку, заказ был спущен на ЭИЗ и новый режущий инструмент был запущен в производство. По вспомогательному и ударному ничего в производство не запущено. </w:t>
      </w:r>
    </w:p>
    <w:p w14:paraId="206E5B3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Хочу обратить внимание на одно обстоятельство. В графике потребности инструмента для нашего завода работники Наркомата вычеркнули 6-гранные цанги. Завод будет иметь простои из-за неё. Кроме того нам было предложено подетально рассчитать весь инструмент и представить с №№ деталей и количеством инструмента. Нач. инструментального отдела сказал, что это сделать невозможно. В качестве обоснования Производственный отдел потребовал документ. Я хочу зачитать его "Расчет на … (читает)". Эта бумажка является документом того, что вычеркнули из графика цанги и 20 тыс. метчиков ЗИС. Метчиками мы обеспечены не будем. Когда работники завода № 183 договорились с работниками ЗИС о том, что некоторое количество метчиков с переделкой чертежей по нормалям ЗИС можно будет сделать, то работник Наркомата позвонил на ЗИС и запретил это (т. Цветков). </w:t>
      </w:r>
    </w:p>
    <w:p w14:paraId="44AD29B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Когда мы вписали в график потребный нам инструмент по метчикам ГАЗу, то несмотря на производственные подсчеты производительности, мощности по ГАЗу, работники Производственного отдела вычеркнули эти количества и со смехом вписали всего 3 тыс. метчиков и плашек. Наш товарищ поехал туда и прислал телеграмму, что запущено в производство 11 тыс. шт. Работники завода добились 11 тыс. шт. вместо 3 тыс. шт., которые утвердил Производственный отдел. </w:t>
      </w:r>
    </w:p>
    <w:p w14:paraId="42260CD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Горин. 18 числа я был на 1 ГПЗ. Они мне сказали, что неправильные чертежи. Зазоры между матрицами пуансона они употребляют в 4 раза большие. Мы берем зазоры согласно методическому справочнику. Они заставляют нас менять зазоры. Я ответил, что мы их менять не будем. Но они все время предлагают их менять. Они говорят, почему мы сделали такую конструкцию, и не иную. Просят согласия на изменение штампов. Просят также изменить допуска. Допуска можно менять по ОСТу, а они выбирают допуска по своему ОСТу. При конструировании штампам обеспечена скользящая посадка. Они без моего разрешения меняют допуска, при которых не получится скользящая посадка. Изготовят штампы, а потом придется их забраковывать. </w:t>
      </w:r>
    </w:p>
    <w:p w14:paraId="48C6CF1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на заводе уже 7 дней, но сдвига в производстве не чувствуется. Они выполняют наш заказ как сверхурочный. </w:t>
      </w:r>
    </w:p>
    <w:p w14:paraId="0E03C0C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Елисеев. По скольким изделиям изменены допуска? </w:t>
      </w:r>
    </w:p>
    <w:p w14:paraId="4106A1A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Тов. Горин. По 14-ти изделиям. </w:t>
      </w:r>
    </w:p>
    <w:p w14:paraId="3675437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Кацман. По приказу 55с для 183 завода никакие приспособления ЗИСу не заданы. Нами с 183 заводом заключен договор и номенклатура инструмента, предусмотренная этим договором, не включала никаких приспособлений. Чертежи на приспособления прибыли в начале июня, но Производственно-распорядительным отделом не было дано подтверждение, что мы должны делать приспособления. Когда меня попросил нач. ПРО т. Цупкин приехать в Наркомат и разобраться с этим вопросом на месте, я приехал. В это время (в конце июня) было решено для 183 завода изготовить 161 приспособление. </w:t>
      </w:r>
    </w:p>
    <w:p w14:paraId="4BA9E8F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ЗИС должен сделать инструмента на 500 т.р. по приказу 55с. Приказ 120с охватывает 55с. Отдельно о приспособлениях ничего не было сказано ни в том, ни в другом приказе. </w:t>
      </w:r>
    </w:p>
    <w:p w14:paraId="505C646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Немедленно по получении указания об изготовлении 161 приспособления, мы связались с 183 заводом, просили их перевести приспособления на наши нормали, т.к. по их нормалям пришлось бы изготовлять большое количество инструмента второго порядка и это оттянуло бы срок изготовления приспособлений. Завод 183 при помощи наших работников быстро и оперативно выполнил это и мы 6 числа уже получили переведенные на наши нормали приспособления в количестве 63 и все 63 находятся в производстве. Из них 31 приспособление поступило на сборку. </w:t>
      </w:r>
    </w:p>
    <w:p w14:paraId="03841D6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Срок изготовления приспособлений, записанный в графике, подписанном представителем 183 завода т. Ушкас, – первой партии 6/VII. Чертежи заводом 183 сданы своевременно. Приспособления будут сданы в срок. </w:t>
      </w:r>
    </w:p>
    <w:p w14:paraId="7E69DB4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Надо руководствоваться тем графиком, который утвержден Народным Комиссаром. Вам график известен? </w:t>
      </w:r>
    </w:p>
    <w:p w14:paraId="3E0E163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Кацман. Нет, неизвестен. </w:t>
      </w:r>
    </w:p>
    <w:p w14:paraId="3D77640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График поставки приспособлений заводу № 183 вы имеете? </w:t>
      </w:r>
    </w:p>
    <w:p w14:paraId="2845E3F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Кацман. У меня нет. Когда составлялся договор 6 – 7 – 9 июля присутствовал т. Арановский, Ушкас, Витоль. Ушкас подписал все сроки. Я спросил его, устраивают его эти сроки? Он сказал – да. Если вы, говорит, выполните в эти сроки, нас это полностью обеспечит по приспособлениям, сказал Витоль. На основании этого т. Ушкас подписал. </w:t>
      </w:r>
    </w:p>
    <w:p w14:paraId="1C468E9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разрезе этого графика развернуты сейчас полностью все работы. В развитие приказа Народного Комиссара издан приказ по заводу, которым выделяются средства, включено в программу июля и августа, выполнение в сроки, предписанные графиком. Будет выполнено своевременно, если 183 завод выполнит свое обязательство по металлу в отношении режущего инструмента. </w:t>
      </w:r>
    </w:p>
    <w:p w14:paraId="59D9CC6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60 шт. протяжек мы должны были дать до 1 сентября. Выпустили 10, в производстве 50. Остальное количество наименований, которые идут до 1-го июня, мы уже начали поставку, не дожидаясь срока. По червячным фрезам 145 шт. должны были сдать. 52 шт. сдали, 53 – в работе на различных операциях. На 40 шт. металл завод не поставил. Чертежи все получены. Завод должен был дать шаблоны для того, чтобы делать эти фрезы и инструмент второго порядка. Шаблонов нет. Мы пошли на то, чтобы изготовить шаблоны своими силами. У нас тяжелое положение с мерительным инструментом. Шаблоны просили делать 2 месяца тому назад. Они их сделали негодными. Но мы трудности преодолели. </w:t>
      </w:r>
    </w:p>
    <w:p w14:paraId="1382EA6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График, подписанный заводами, нами будет выполнен. </w:t>
      </w:r>
    </w:p>
    <w:p w14:paraId="20663AB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С графиком Наркомата вы знакомы? </w:t>
      </w:r>
    </w:p>
    <w:p w14:paraId="0CE86B0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Кацман. В отношении инструмента график Наркомата не разнится от графика, утвержденного т. Вовк. </w:t>
      </w:r>
    </w:p>
    <w:p w14:paraId="4B5DF95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Ефремов. Габариты прессформ для 183 завода выходят за габариты оборудования нашего инструментального цеха, Для токарной работы требуется ДИП-500, который загружен сейчас ремонтными работами для кузницы и прессового цехов. Лобового станка нет. На другом оборудовании произвести токарную работу нельзя. Кузница ушла сейчас в единовременный отпуск, и мы обязаны работы в ней закончить. Работы по кузнице будут закончены к 25 – 1 августа и только тогда можно будет загружать это оборудование. </w:t>
      </w:r>
    </w:p>
    <w:p w14:paraId="6F33D26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Шевелев. В механомонтажном цехе есть станок, на котором можно делать эти прессформы. </w:t>
      </w:r>
    </w:p>
    <w:p w14:paraId="321C8C8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Сколько прессформ заказано ЗИСу? </w:t>
      </w:r>
    </w:p>
    <w:p w14:paraId="0C488E8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места: 5 штук. </w:t>
      </w:r>
    </w:p>
    <w:p w14:paraId="5690CFA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В прессформах ничего сложного нет, они только большие, а работы в них мало. Если бы взялись за них, то в 5 дней были бы готовы. </w:t>
      </w:r>
    </w:p>
    <w:p w14:paraId="0C7BD24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Ефремов. По штамповке нам поручено 2 детали. Они должны штамповаться из стали на прессах мощностью от 1,5 до 2 тыс. тонн. Такое оборудование в нашей кузнице отсутствует. На молотах они не могут также штамповаться из-за малых габаритов штампового пространства. Это подтверждено Васильевым и Васильчиковым – представителями Наркомата. В связи с этим нами было послано письмо тов. Цупкину, но ответа не получили. </w:t>
      </w:r>
    </w:p>
    <w:p w14:paraId="053EAAA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Положение с радиаторами следующее. Технология разработана. Штампы и приспособления, необходимые для изготовления запущены в производство. В силу больших размеров радиаторов, требуется новая печь для спекания, которая сейчас проектируется. График выпуска следующий: в сентябре – 60, октябре – 400, ноябре – 500, декабре – 500. Мы хотели их сделать обходным процессом, но из этого ничего не получилось. Работа по изготовлению этих штампов чрезвычайно трудоемка. Мы просили значительно больший срок, чем установлены Наркоматом – 120 дней. На самом деле будет меньше. Мы работу гоним на полный ход и постараемся график выполнить. </w:t>
      </w:r>
    </w:p>
    <w:p w14:paraId="5024F59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Некрасов (1 ГПЗ). Надо сказать, что 183 завод недобросовестно информирует Наркомат и в данном случае Коллегию. </w:t>
      </w:r>
    </w:p>
    <w:p w14:paraId="34EDD16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1940 г. в соответствии с приказом 55с был заключен договор на сумму 906 тыс. р. на инструмент из металла 183 завода, потому что металл такой 1 ГПЗ не употребляет. В счет договора 183 завод должен был поставить 77 тн. металла, а дал всего 1,7 тн. Я заказ могу спустить на производство только тогда, когда он обеспечен металлом. Неоднократно обращались в Военный отдел, писали письма на имя тов. Горегляд. Последнее письмо было адресовано на имя т. Горегляд 14-го мая. </w:t>
      </w:r>
    </w:p>
    <w:p w14:paraId="2286734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 имея углеродистой стали, мы в счет договора дали на 215 тыс. р. инструмента. Отдел снабжения нам заявил, что нас должен обеспечивать 183 завод, который на эту машину металл получил полностью. В III квартале я имел возможность закрыть этот заказ, но мы пошли на ряд заменителей. Я вынужден был отдать металл, который нам нужен для 183 завода. Помимо писем мы дали телеграмму директору завода "Коминтерн" в Харькове о том, что непоставка металла срывает выполнение заказа. Я вынужден последний металл бросить на заказ 183 завода. </w:t>
      </w:r>
    </w:p>
    <w:p w14:paraId="1B01E42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Приказом 55с 1 ГПЗ не обязывался делать штампы. Пока не будет указаний со стороны Наркомата, я не могу принимать ни одного штампа. Со стороны Наркомата конкретных указаний не было. </w:t>
      </w:r>
    </w:p>
    <w:p w14:paraId="329A993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Был получен график, утвержденный Наркомом, по которому срок по инструменту был отнесен на 1 ноября. Мы с представителем завода 183 разбили сроки так, как требуется это 183 заводу. К договору приложена спецификация, в которой указаны сроки, утвержденные Народным Комиссаром, с тем, чтобы их выполнить. К 1 августа я должен подать 24 штампа. 9-го числа вечером я получил распоряжение. Я запросил "Коминтерн" чтобы немедленно прислали представителя на завод. После приезда Арановского мы никаких сроков не имели права отодвигать. 11 июня я написал письмо за подписью директора Зам. Наркома тов. Вовк с просьбой передвинуть срок на один месяц с тем, чтобы эти штампы мы могли выполнить. Параллельно ведем переговоры с 183 заводом о перенесении срока на 1 месяц. 1-го сентября эти штампы даем. Санкция такая мне дана, тов. Арановский согласился. </w:t>
      </w:r>
    </w:p>
    <w:p w14:paraId="6FF3AB4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Главный инженер завода заявил, что конструктор совершенно не нужен. Я считаю, что совместная работа технолога с конструктором при изготовлении сложных штампов необходима. Я считаю неправильной точку зрения 183 завода. Нужно прикрепить лучшего конструктора к ЗИС и 1 ГПЗ, чтобы решать эти вопросы. Надо будет в Москве иметь конструкторов до окончательного решения вопроса, пока не оснастим, чтобы не ездить в Харьков по тому или иному вопросу. </w:t>
      </w:r>
    </w:p>
    <w:p w14:paraId="71FF227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Когда должна была быть по договору первая поставка? </w:t>
      </w:r>
    </w:p>
    <w:p w14:paraId="63D99D9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Некрасов. 10-го августа 10 пар. </w:t>
      </w:r>
    </w:p>
    <w:p w14:paraId="2E80C2B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Вы должны по договору с 183 заводом до 10 августа выполнить первую партию – 14 комплектов штамп, 20 августа 20 штампов и к концу месяца остальные. </w:t>
      </w:r>
    </w:p>
    <w:p w14:paraId="1CBBAEA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Некрасов. Я прошу решения Коллегии о том, чтобы до конца изготовления штамп в Москве был конструктор. Кроме того, обязать завод выполнить свои обязательства по поставке необходимого для выполнения заказа металла. </w:t>
      </w:r>
    </w:p>
    <w:p w14:paraId="6728A01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Договор был заключен в апреле, почему 183 завод с апреля не давал металл? </w:t>
      </w:r>
    </w:p>
    <w:p w14:paraId="1C91DD7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места. Главметаллосбыт писал письмо о том, что металл будет давать непосредственно 1 ГПЗ. </w:t>
      </w:r>
    </w:p>
    <w:p w14:paraId="22E9A23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Некрасов. Штампы мы договорились поставлять в сроки и количества по договору. Эти обязательства мы выполним. Инструмент при подаче металла выполним в срок. </w:t>
      </w:r>
    </w:p>
    <w:p w14:paraId="7800706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Вы, тов. Юсим, подтверждаете это? </w:t>
      </w:r>
    </w:p>
    <w:p w14:paraId="43E5964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Юсим. Подтверждаю. </w:t>
      </w:r>
    </w:p>
    <w:p w14:paraId="59C41BA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Тов. Арановский, дайте точные цифры, сколько полагалось на 20 июля поставить инструмента, и сколько поставили, а также сроки. </w:t>
      </w:r>
    </w:p>
    <w:p w14:paraId="5365D66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Арановский. Завод должен был поставлять на 125 тыс. ударно-вспомогательного инструмента в месяц. На 20 июля должен был поставить на 250 тыс., поставил нуль. 1 ГПЗ мог делать ударно-вспомогательный инструмент у себя на заводе из отходов стали. Все чертежи были переделаны на эту сталь. </w:t>
      </w:r>
    </w:p>
    <w:p w14:paraId="04DEBCC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Почему из отходов не делали инструмент? </w:t>
      </w:r>
    </w:p>
    <w:p w14:paraId="6FFD013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Некрасов. Надо было бы несколько молотов кузнецы загрузить ковкой отходов. Это было бы вредительством. В последнее время мы пошли на это, чтобы делать волочильные кольца из отходов. В соглашениях этого нет. </w:t>
      </w:r>
    </w:p>
    <w:p w14:paraId="5823D26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Кислин. А можно ли делать инструмент из отходов? </w:t>
      </w:r>
    </w:p>
    <w:p w14:paraId="714A866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Тов. Некрасов. Можно делать из любого металла, перековывая. Я не имел права делать из другой марки стали, т.к. соглашение подписано. </w:t>
      </w:r>
    </w:p>
    <w:p w14:paraId="53136CA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Кислин. Вы могли выдвинуть предложение перед заводом, чтобы делать из другого материала. </w:t>
      </w:r>
    </w:p>
    <w:p w14:paraId="2B3CC62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Некрасов. Когда нам разрешили одну марку стали заменять другой, мы это делали. </w:t>
      </w:r>
    </w:p>
    <w:p w14:paraId="558A541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Рузин. По приказу 55с объем программы для 183 завода 1550 тыс. руб., включая штампы, приспособления и инструмент. Спецификация 183 завода вылилась в сумму 906 тыс. руб., т.е. лимиты не были использованы. Спецификация подписана заводом 183 и 1 ГПЗ 18 марта, т.е. через 20 дней после подписания приказа Народного Комиссара. Чертежи все вместе со спецификацией были получены 18 марта. С этой стороны у 1 ГПЗ задержек не было. Металл по приказу 55с и по договору одного завода с другим, обязан был поставлять 183 завод. Общая потребность выражается в 73,4 тонн. Из этого количества на сегодня поставлено 1,7 тн. Документация, направленная 183 заводу и в Наркомат осталась без ответа, а также и в Главспецмаш. Последнее письмо, о котором говорил тов. Некрасов, было направлено тов. Мительману, последний направил его т. Трахтенбергу. Тов. Трахтенберг дал указание 1 ГПЗ делать пока из своей стали. Тов. Шульман – зам. директора 183 завода дал указание о том, что он обеспечит 1 ГПЗ металлом. Телеграммы остались без ответа со стороны 183 завода. Письма и телеграммы требовали, чтобы 183 завод предоставил металл, но ни металла, ни ответов не было. </w:t>
      </w:r>
    </w:p>
    <w:p w14:paraId="36C9616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Ошибка 18 завода та, что он самовольно изменил сроки, предусмотренные графиком, утвержденным Народным Комиссаром. Указано, что вся работа должна быть закончена к 1 сентября. Несмотря на то, что 29 июня были уже согласованы все графики между заводами, документ об этом за подписью тов. Цупкина попал на завод только 8-го июля, т.е. через 10 дней. До сего дня ни по ударному, ни по вспомогательному инструменту ничего не дали. Режущий инструмент завод отправлял по мере изготовления. </w:t>
      </w:r>
    </w:p>
    <w:p w14:paraId="66AAA53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Второй ошибкой 183 завода было то, что срок поставок режущего инструмента был 31 августа, причем 1 ГПЗ мог бы весь инструмент сделать 31 и сказать, что он свои обязательства к 1/IX выполнил. </w:t>
      </w:r>
    </w:p>
    <w:p w14:paraId="3B908E3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Считаю необходимым в решениях установить промежуточные сроки поставки инструмента. По графику, утвержденному тов. Вовк, 14 штамп должны быть готовы к (читает перечень). Т.е. последняя выдача отнесена на месяц и 10 дней, против утвержденного по приказу срока. Считаю, что и т. Цветков и т. Цупкин должны иметь соответствующие взыскания, т.к. они виноваты в том, что 10 дней шел документ из Наркомата. </w:t>
      </w:r>
    </w:p>
    <w:p w14:paraId="33AD858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А Военный отдел должен был об этом заявить, и не на сегодняшнем заседании, а пораньше. (читает выдержку приказа) "Контроль зав выполнением настоящего приказа возлагаю лично на т. Рузина". </w:t>
      </w:r>
    </w:p>
    <w:p w14:paraId="22E8CEA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Рузин. В вопросе чертежей, вы, т. Махонин, не правы, что не нужен конструктор, и вы, тов. конструктор, не правы если утверждаете, что технически грамотно составили чертежи, пользуясь справочником металлиста проф. ___, который никакой критики не выдерживает. Ни одна страна не дает 5% зазора. </w:t>
      </w:r>
    </w:p>
    <w:p w14:paraId="584BEBF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 знаками на 1 ГПЗ может получиться авария, т.к. граверов у них не хватает. Тов. Махонину либо из Наркомата, либо из средств, отпущенных на подготовку производства на 183 заводе перебросить энную сумму денег для премирования на узких местах, которые могут сорвать сроки, обусловленные договорами между заводами. </w:t>
      </w:r>
    </w:p>
    <w:p w14:paraId="73A8A87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Кислин. Кто контролирует выполнение заказа по 1 ГПЗ? </w:t>
      </w:r>
    </w:p>
    <w:p w14:paraId="2853C47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Рузин. Персонально никто не контролировал. Сегодня впервые я занимался сам. Считаю, что этот участок работы должен контролировать сам т. Цупкин. Сейчас придется по этому всю работу взять на себя. Весь приказ контролирует т. Фрадкин. </w:t>
      </w:r>
    </w:p>
    <w:p w14:paraId="30A5883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Юсим. В первом полугодии мы должны были дать 1226__ подшипников, дали 124184. Из этого количества 7 тыс. подшипников недогружены по отдельным типам и 9 тыс. подшипников перегружены. </w:t>
      </w:r>
    </w:p>
    <w:p w14:paraId="59675E2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течение последних месяцев надо было переключиться на подшипники типа 226, которых я дал им 1632 при плане 500 шт., в июле даем 1500 шт. за один месяц. В июле должны дать 46 типов подшипников, из них 39 типов будут даны полностью, а по 7 типам имеется опасение в том смысле, что по каждому типу недодадим несколько подшипников. Мы дали в июне 1689 шт. вместо 1 тыс. шт. В связи с резким увеличением номенклатуры по 3 типам недодадим процентов 15 подшипников. </w:t>
      </w:r>
    </w:p>
    <w:p w14:paraId="6D94C70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1 ГПЗ на 400 тыс. сократил изготовление 6-гранных цанг. Мы настаиваем, что бы эти 400 тыс. были размещены. Работа 1 ГПЗ по поставке подшипников 183 заводу резко улучшилась. </w:t>
      </w:r>
    </w:p>
    <w:p w14:paraId="7FA439D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Считаете ли нужным, чтобы конструктор работал с технологом? </w:t>
      </w:r>
    </w:p>
    <w:p w14:paraId="5A4C1FA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Считаю это необходимым. Если нужно 2 конструктора, технолог, я согласен. Штампы можно сдать к 15/VIII. </w:t>
      </w:r>
    </w:p>
    <w:p w14:paraId="35676A8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Рапкин. Тов. Юсим сказал, что по полугодию дали сверх договора, но по договору можно принимать досрочно подшипники, которые находятся у него в серийном производстве. По приказу 55с всего 44 позиции, из них по 16-ти подшипники поставляются очень плохо и они, как раз, касаются новой машины. Ввиду того, что нам нужно иметь подшипники комплектно, иначе мы не можем выпустить ни одной машины, считаю, что график должен быть выполнен не по отдельным позициям, а полностью по всем позициям. </w:t>
      </w:r>
    </w:p>
    <w:p w14:paraId="5B6F094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Когда войдете в график полностью? </w:t>
      </w:r>
    </w:p>
    <w:p w14:paraId="4DC4884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Юсим. В июле мы дадим полностью график, кроме 3-х подшипников, которых недодадим 15 – 20%. </w:t>
      </w:r>
    </w:p>
    <w:p w14:paraId="07AD7D5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Когда войдете полностью в график, утвержденный Наркомом? </w:t>
      </w:r>
    </w:p>
    <w:p w14:paraId="25AF23A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Юсим. Подшипники находятся на последних операциях, мы их выпустим. </w:t>
      </w:r>
    </w:p>
    <w:p w14:paraId="4AF70FA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Когда войдете в график Наркома? </w:t>
      </w:r>
    </w:p>
    <w:p w14:paraId="0320B25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Юсим. По 3-м типам речь идет о 5 – 6 днях. </w:t>
      </w:r>
    </w:p>
    <w:p w14:paraId="1867902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Надо полагать, что к 1 августа вы войдете в график. </w:t>
      </w:r>
    </w:p>
    <w:p w14:paraId="5812C18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Юсим. К 7-му августу. Я просил бы записать о том, что у нас вышли из строя магнитные столы, требующиеся для производства этих подшипников. Было распоряжение Наркомата 183 заводу о том, чтобы изготовить 12 поковок для этих магнитных столов. Срок 15 апреля 1940 г. Дело очень серьезное. </w:t>
      </w:r>
    </w:p>
    <w:p w14:paraId="629724D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Мне не известна эта претензия. Может быть, заказ прошел через производственный отдел. Во всяком случае, если 1 ГПЗ так нуждается, то мы прими меры чтобы сделать. </w:t>
      </w:r>
    </w:p>
    <w:p w14:paraId="5B6D534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Бандажи изготовляют 3 завода, но бандажей мы не имеем, т.к. этим заводам не поставляют металл Магнитогорский и Чусовской заводы. Нам надо не сегодня иметь на 40 – 45 машин. </w:t>
      </w:r>
    </w:p>
    <w:p w14:paraId="0C20985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Богданов. Людиновский завод Наркомата электропромышленности, ___ Наркомата электростанций, Московский кордо-регенераторный завод Наркомхимпрома требуют грузоленты размером 830×150 и 504×112. Предыдущие два завода делают только 830×150. О последнем размере бандажа разговора нет. Их сделали 2,5 тыс. шт., а по размеру 830×150 может быть катастрофа. Не дают грузолент потому, что нет металла. Поставщик – Магнитогорский завод. </w:t>
      </w:r>
    </w:p>
    <w:p w14:paraId="598141B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Коньков. По плану июля мы должны были дать 504×112 – 1 тыс. шт., сдали 1.609. Эта позиция нами выполнена полностью. Размер 830×150 должны были дать 2 тыс. шт., дали 300 шт. Для выполнения производственной программы для завода 183, с которым мы имеем договор, нужно получить 1651,5 тн. металла. На III квартал мы имеем наряды на 940 тн. Этот вопрос не терпит никаких промедлений. Особенно прошу обратить внимание на Магнитогорский завод. </w:t>
      </w:r>
    </w:p>
    <w:p w14:paraId="4EC3940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Чусовской завод должен прокатать 500 тн. Я ставил вопрос у себя в Наркомате. Обещают помочь, но металла все-таки нет. Я не могу ничего сделать. Если завод, который обязан поставить металл, даст его, то программу мы выполним, и постановление правительства будет выполнено нами в срок. Сейчас задержка исключительно из-за непоставки металла. </w:t>
      </w:r>
    </w:p>
    <w:p w14:paraId="4011A18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лг/31.VII-40 г. </w:t>
      </w:r>
    </w:p>
    <w:p w14:paraId="7F6DEC7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экз. 10 стр. </w:t>
      </w:r>
    </w:p>
    <w:p w14:paraId="37147A5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По строительству дело обстоит так: техническая документация на отделы 700.100 и 200 выдана. </w:t>
      </w:r>
    </w:p>
    <w:p w14:paraId="27A5A2E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21/VII производственных рабочих было 800 человек, вместо 3,5 тысяч, которые нужны для того, чтобы окончить в срок установленный правительством. В эти 800 человек входят 70 человек работников "Сталь конструкции" которая производит работы как контрагент 1 стройуправления. Само 1 стройуправление не выполняет своих обязательств по отношению к контрагентам, не обеспечивает их сварочными аппаратами которых требуется всего 10 шт. 1-е Стройуправление задерживает разворот работ Сталь конструкции несвоевременной подачей металла. </w:t>
      </w:r>
    </w:p>
    <w:p w14:paraId="1866A50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Несмотря на разрешение завода получить со оклада завода без денег в счет взаимных расчетов материалы, Стройуправление все же задержало работы 70 человек в 2 смены. </w:t>
      </w:r>
    </w:p>
    <w:p w14:paraId="34D69B3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Нам заявили, что перекрытия будут меняться без остановки производства, а на самом деле оказалось так что пролеты 6, 11, 5 в таком состоянии, что нам пришлось прекратить производство танков БТ. Я хотел бы по этому вопросу слышать объяснение. </w:t>
      </w:r>
    </w:p>
    <w:p w14:paraId="280E8A3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Строительная организация не подготовилась к выполнению работ по реконструкции отделов 100 и 700, от некоторых работ они совершенно отказываются (теплопровод от ТЕЦ к заводу, западная стена мартеновского цеха, которая была начата как реконструкция литейного цеха и не закончена). Несмотря на то, что в постановлении сказано, что все начатые до постановления работы остаются в силе и стройуправление обязано обеспечить их выполнение в срок. Стройорганизация отказывается. </w:t>
      </w:r>
    </w:p>
    <w:p w14:paraId="50D9410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ВАСИЛЕНКО: Решение правительства обязывало Нарком строй в лице 26-го треста выполнить работы по договору в объеме 13 360 т.р. </w:t>
      </w:r>
    </w:p>
    <w:p w14:paraId="399FF28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Заводом с 26 трестом оформлено дополнительное соглашение по первоочередным объектам на 9788 т.р., причем объем был установлен протоколом двух заместителей наркомов (т. Соколов, т. Горегляд). Этого протокола я не получил. По приезде сюда, я установил, что Вами этот протокол не был подписан, а 26-й трест на него ссылается. По этому протоколу имеется ряд разногласий которые выражаются по отделу 200 – 300 р. мартеновс. – 900 р. инструментальн. – 1872 р., реконструкция </w:t>
      </w:r>
      <w:r w:rsidRPr="00DB5D0D">
        <w:rPr>
          <w:rFonts w:ascii="Times New Roman" w:hAnsi="Times New Roman"/>
          <w:color w:val="000000" w:themeColor="text1"/>
          <w:sz w:val="16"/>
          <w:szCs w:val="16"/>
        </w:rPr>
        <w:lastRenderedPageBreak/>
        <w:t xml:space="preserve">подъем крыши – 500 тр. Сравнив эти цифры с капиталовложениями, утвержденными по титульному списку в соответствии с решением по этому объему не может быть выполнено. </w:t>
      </w:r>
    </w:p>
    <w:p w14:paraId="4828B24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Кроме того, нужно отметить, что сейчас на 183 заводе по всем объектам, которые были предусмотрены в титульном списке до выхода этого решения, работы почти приостановлены. </w:t>
      </w:r>
    </w:p>
    <w:p w14:paraId="5C4B802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Недовыполнение работ по первому полугодию составляет 4 мил. рублей и дополнительный объем 14 м.р. таким образом общий объем составляет 18 м.р., на каждый месяц приходится 3 м.р. Следовательно должно быть 3000 рабочих, а в наличии всего 850 человек. Эти люди в основном сконцентрированы на отделе 700 и на отделе 100. </w:t>
      </w:r>
    </w:p>
    <w:p w14:paraId="5780C49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Решением правительства предусмотрена вербовка рабсилы для строительства завода № 183 в Курской и других областях. Когда тов. Гинзбург был на заводе, он отдал распоряжение, чтобы вербовали исключительно для этого строительства и для ХТЗ. К сожалению, подход рабочей силы весьма незначителен, в день по 35 – 40 человек. На площадке двух заводов следовало иметь 4500 человек, а по сведениям тов. Иванова имеется всего 1200 человек. Нужно констатировать, что должного разворота работ, соответствующего выполнению решения ЦК, нет. </w:t>
      </w:r>
    </w:p>
    <w:p w14:paraId="0201CB7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15/VII 26-й трест не имел фондов на материалы. Это тормозит разворот работ. </w:t>
      </w:r>
    </w:p>
    <w:p w14:paraId="19E65C9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Есть несколько пунктов, которые не выполнены со стороны завода № 183 – не были сданы рабочие чертежи №№ 150, 750 и т.д. На 15/VII техническая документация была сдана, и задержки не было для разворота работ. Что касается освоения площадки, то на 15/VII не были сданы по кислородной станции № 150, № 750 и не было выполнено указание Наркомата о выделении площадки для склада и подсобных помещений. Меры к выполнению были приняты. Директор подписал приказ со сроком 20/VII. </w:t>
      </w:r>
    </w:p>
    <w:p w14:paraId="357A924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Траковая мастерская выносится из отдела 700 и пристраивается к термической. Мы решили делать ее хозспособом. Я принял заявку от завода на материалы. Установлено, что на 15/VII еще не было чертежей. Я считаю, что по траковой мастерской заводу нужно сконцентрировать все свои силы, чтобы закончить ее в срок, установленный правительством. </w:t>
      </w:r>
    </w:p>
    <w:p w14:paraId="3A49951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ИВАНОВ: Тов. Махонин не совсем правильно осветил ход работ по заводу № 183. С момента выхода постановления Наркомстрой значительно двинул работы. </w:t>
      </w:r>
    </w:p>
    <w:p w14:paraId="33E9662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Наркомстрой только 1/VII получил фонды на материалы, но Наркомстрой из своих внутренних резервов выделил 1700 тонн металла и еще 200 тн. для цеха 100. </w:t>
      </w:r>
    </w:p>
    <w:p w14:paraId="1C00B4F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Наркомстрой принимает все меры к тому, чтобы выполнять в срок те объекты, которые необходимы заводу для освоения этой марки машины. </w:t>
      </w:r>
    </w:p>
    <w:p w14:paraId="622C516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тяжелым пролетам было записано к 15/VI, но завод внес ремонтные работы и из-за дождей они опоздали на пару дней. Я уверен, что с Вашей помощью из цеха 100 в первых числах августа строители уже уйдут. В цехе 100 работают 2 организации – Первое стройуправление и Стальконструкция. </w:t>
      </w:r>
    </w:p>
    <w:p w14:paraId="593BFA8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цеху 100 мы переработали чертежи, что дало экономию на 146 т.р. и мы ставим 90 тн. металла. </w:t>
      </w:r>
    </w:p>
    <w:p w14:paraId="6D067DD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Цех 700 самый острый, который лимитирует освоение этой марки машины. У нас нет никаких оснований рассчитывать, что цех 700 к 1/IX не будет сдан при помощи завода. График, который был подписан самим заводом – директором – им же нарушается, пролеты не освобождаются. У меня просьба не срывать этого графика и выполнять свои обязательства. Монтаж будет вести вторая организация. </w:t>
      </w:r>
    </w:p>
    <w:p w14:paraId="2D16331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решению нам разрешено вербовать в Воронежской и Курской областях. Мы получили оттуда только 30 человек. Нужно отметить, что вам большую помощь оказывает Харьковский Обком партии, который вынес специальное решение о мобилизации и мы уже получили 1100 человек, а в Курской и Воронежской областях там очень трудно идет вербовка, но плохо с квалифицированными рабочими. </w:t>
      </w:r>
    </w:p>
    <w:p w14:paraId="47B2C39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полного разворота нам требуется 3500 человек, имеется всего 1200 человек, поэтому мы будем концентрировать все внимание на тех объектах, которые могут лимитировать выпуск машины, на другие объекты мы не будем разбрасывать силы. </w:t>
      </w:r>
    </w:p>
    <w:p w14:paraId="300711B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цеху 200 мы договорились с т. Максаревым. Эти работы не очень лимитируют выпуск этих машин. По всем остальным основным объектам стройуправление может развернуть работу с первых чисел августа. Металлоконструкции уже все размещены. Как только будет получен металл, металлоконструкции начнут изготовляться. </w:t>
      </w:r>
    </w:p>
    <w:p w14:paraId="1A403FE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считаю, что тяжелое положение с рабочей силой и, особенно по Воронежской области, которая не выполняет решения, но все положение по этому заводу нельзя рисовать в таких темных красках, как об этом говорил тов. Махонин. </w:t>
      </w:r>
    </w:p>
    <w:p w14:paraId="2DDF416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Относительно работ, от которых мы отказываемся. Это в основном мелкие работы. Как только дадут площади для инструментального, будем делать. Теплопровод – это мелкая работа, а в основном у нас с директором завода расхождений нет. Завод должен понимать в каком трудном положении находится стройуправление, о мелочах не стоит говорить. На заводе есть свой стройсектор, который может выполнить эти работы. Тов. Гинзбург дал указание не загромождать нас мелочами. Если вы хотите, чтобы Стройуправление справилось с программой, не нужно требовать от нас мелочей, которые завод сможет сделать сам. </w:t>
      </w:r>
    </w:p>
    <w:p w14:paraId="68DCDBC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Относительно ценников на материалы. Я подписал протокол, его утвердили. Нужно напомнить, что финансирования не было. Не могут люди работать без финансирования. Если правительство записало "по ценам и единичным расценкам" то нужно их утвердить и тов. Соколов просил меня передать, что с этим нужно покончить. </w:t>
      </w:r>
    </w:p>
    <w:p w14:paraId="7BE7D5C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КОРНЕВ: К тому, что говорил тов. Василенко много добавить не могу. </w:t>
      </w:r>
    </w:p>
    <w:p w14:paraId="0800280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основным проектом, которые выполнял 8 ГПИ, была некоторая задержка, но она не могла влиять на разворот работ Стройуправления. 26-й Трест не разворачивает работ только потому, что не имеет достаточного количества рабсилы. Что касается основных объектов, то они документацией обеспечены. </w:t>
      </w:r>
    </w:p>
    <w:p w14:paraId="090B6E9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Что касается ценников. То они согласованы заводом № 75, а не № 183, где имеются существенные возражения. В решении правительства сказано производить финансирование без проектов и смет до 1/1-41 г. по утвержденным единичным расценкам НКАП, которые имеются на заводе и финансирование идет бесперебойно. Что касается самих единичных расценок, то и сам 26-й трест вынужден был согласиться, что там имеется много ошибок и расхождений в частности по ценам на лесоматериалы, которые подсчитаны по ценам самозаготовок, в то время, как ни один из наших заводов не имеет таких цен. Можно ли их так просто утвердить – конечно нет. Я пригласил представителя Наркомстроя для пересмотра этого ценника. Наркомстрой отказался пересматривать ценник. Я предложил тов. Соколову пересмотреть ценник и направил ему наши возражения. </w:t>
      </w:r>
    </w:p>
    <w:p w14:paraId="169DF0C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заводе № 183 все упирается в недостаток рабочей силы. Речь идет о том, чтобы справиться с подготовкой цеха 700, имеющего большое значение. </w:t>
      </w:r>
    </w:p>
    <w:p w14:paraId="442B6B1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площадке изготовлять металлоконструкции невозможно. Нужно размещать изготовление металлоконструкций вне площадок заводов № 183 и 75 и это будет правильно. Днепровский завод поставляет, он имеет большие мощности, кроме того это облегчит положение с рабсилой для 26-го треста. </w:t>
      </w:r>
    </w:p>
    <w:p w14:paraId="50B85F4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графику предусмотрено освобождение площадей цеха 700, если сейчас они не освобождаются, это дает основание строителям ссылаться и не выдерживать сроков графика. Все площади нужно освобождать вовремя, чтобы дать возможность строителям приступить к работам. Всякая задержка повлечет за собой оттяжку сроков. </w:t>
      </w:r>
    </w:p>
    <w:p w14:paraId="4C2BB4F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 претензии, которые были к Наркомату из Харькова, все были разрешены. </w:t>
      </w:r>
    </w:p>
    <w:p w14:paraId="43C9DB25"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Нужно отметить, что очень длительно проходило рассмотрения проектного задания на заводе № 183. Мы его по существу до сих пор не утвердили. Сейчас наступает август, нужно заканчивать проект и генсмету, так как иначе мы будем иметь затруднения с финансированием. Это необходимо иметь ввиду. </w:t>
      </w:r>
    </w:p>
    <w:p w14:paraId="31E8E08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Окончание совещания переносится на вечер. </w:t>
      </w:r>
    </w:p>
    <w:p w14:paraId="4DF961F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По ЗЭМ. Реле РРТ-4576 – должны были дать 400, дали 129. РСП-306а – должны были дать 620, дали 181. Стартеры СТ-64 – должны были дать 500 шт., дали 196. Стартеры СТ-700 – должны были дать 50 шт., дали 8. Аптечки СТ-64 – должны были дать 500 шт., дали 315. Аптечки СТ-700 – должны были дать 50 шт., дали нуль. </w:t>
      </w:r>
    </w:p>
    <w:p w14:paraId="73304E4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МОРОЗ. По стартерам 64. Должны были дать 500, дали 196. Надо сказать, что военпред АБТУ запретил принимать стартеры СТ-64 с валиком из стали 1040, а с валиком из стали 40ХА мы начнем делать с 1 сентября, так как у нас нет металла. Кроме того, требуется высокочастотная закалка. Завод им, Орджоникидзе не берет на себя этот заказ. </w:t>
      </w:r>
    </w:p>
    <w:p w14:paraId="1F378B7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Мы предлагаем принять, стартеры с валиком из стали 1040 в количестве 200 шт., а с 1 сентября начнем поставку с валиком в сыром виде. Это даст возможность справиться с заданием по стартеру СТ-64. Имеется всего два случая скручивания валика 1040. Поэтому надо выпустить имеющиеся в заделе валики или ставить вопрос так, что с 1 августа мы начнем давать 40ХА в сыром виде. Без помощи наркомата мы не справимся. Я прошу решить этот вопрос. </w:t>
      </w:r>
    </w:p>
    <w:p w14:paraId="30EE9C1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Есть определенные технические условия на качественную продукцию. </w:t>
      </w:r>
    </w:p>
    <w:p w14:paraId="4CE5FC5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МОРОЗ. По техническим условиям и чертежам идет сталь марки 1040. Мы и ставили ее, а сейчас военный инженер т. Белогуров запретил принимать эти стартеры. </w:t>
      </w:r>
    </w:p>
    <w:p w14:paraId="2E0F3A8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стартеру 700. По приказу наркома мы должны были сдать 50 шт., в июне месяце сдали ___ шт. Больше стартеров мы не можем сдавать. Народный комиссар утвердил один график поставки продукции, а работники Главспецмаша представили тов. Елисееву график совершенно не соответствующий приказу нарком. Я не могу делать того, чего нет в программе. </w:t>
      </w:r>
    </w:p>
    <w:p w14:paraId="19441B9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протоколу, утвержденному т. Елисеевым, 30 шт. мы должны сдать из марки 1040, остальные – из марки 40ХА. Представитель 183 завода не хочет принимать стартеры с валиком из стали 1040. Я прощу подтвердить, что 30 шт. сдаются с валиком 1040, остальные – с 40ХА, с высокочастотной закалкой. Мы сейчас ведем подготовку с тем, чтобы закончить программу по стартеру 700 на август месяц. </w:t>
      </w:r>
    </w:p>
    <w:p w14:paraId="64E42B1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ЕЛИСЕЕВ. При составлении протокола от 183 завода кто-нибудь присутствовал? </w:t>
      </w:r>
    </w:p>
    <w:p w14:paraId="20557E5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МОРОЗ зачитывает протокол) </w:t>
      </w:r>
    </w:p>
    <w:p w14:paraId="0ADC0AC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МОРОЗ. Я хочу обратить внимание на следующее: по приказу наркома Мытищинский завод должен поставлять корпуса для стартеров СТ-700. Несмотря на указание Елисеева о сдаче корпусов с 5 числа, до сего дня ни одного корпуса завод не сдал. Надо сказать, что помог т. Рузин, он послал туда человека. Сегодня они </w:t>
      </w:r>
      <w:r w:rsidRPr="00DB5D0D">
        <w:rPr>
          <w:rFonts w:ascii="Times New Roman" w:hAnsi="Times New Roman"/>
          <w:color w:val="000000" w:themeColor="text1"/>
          <w:sz w:val="16"/>
          <w:szCs w:val="16"/>
        </w:rPr>
        <w:lastRenderedPageBreak/>
        <w:t xml:space="preserve">заявили, что с первых чисел августа начнут давать корпуса. Ногатинский завод, требует оборудование, иначе не даст корпусов, а Мытищинский завод, несмотря на мои переговоры, ни одного корпуса до сего дня не дает. </w:t>
      </w:r>
    </w:p>
    <w:p w14:paraId="36951E0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Вопрос хвостовиков. Сейчас у нас выявились затруднения с обработкой хвостовиков для стартеров СТ-700. Вопрос со станком типа Лоренс до сих пор совершенно не разрешен. Мы пустили на обработку хвостовика свой станок, но мы его выводим из строя, так как он не может работать на этот зуб. Поэтому мы просим обязать ЗИС, чтобы впредь до получения фонда на этот станок он организовал обработку хвостовика, иначе мы зарежем всю программу завода. </w:t>
      </w:r>
    </w:p>
    <w:p w14:paraId="11ACACF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РАБКИН (Главспецмаш). Тов. Мороз новый человек, поэтому все обвинения нужно отнести к гл. инженеру Тимофееву. Завод занимается обманом. Он думает, что его не будут за это бить. </w:t>
      </w:r>
    </w:p>
    <w:p w14:paraId="28740D5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стартеру СТ-700. По приказу наркома они должны дать 50 шт. в июне, дано 8 шт. 18 числа Тимофеев заявил, что на испытание сдано 10 шт. Я, как начальник снабжения главка, доложил нач. главка, что 10 штук будут приняты на испытание. На следующий день проверяю – никаких 10 стартеров в приемке нет. Оказалось, что намечаемся всего 4. Прошел день – и четырех нет. Оказалось, что вместо 10, которые намечалось сдать, имеемся всего 6 шт. Такое отношение никуда не годится. Надо изменить отношение к поставке стартеров. </w:t>
      </w:r>
    </w:p>
    <w:p w14:paraId="0731AB3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отношении валика. Протокол был утвержден т. Елисеевым 15 июня. Тов. Мороз приходил к тов. Розину и заявил, что ему нужна марка 40ХА. Тов. Розин дал распоряжение за счет заказов наркомата прокатать на заводе "Серп и Молот". Валик из стали 1040 не годится. Раз вопрос решен о том, чтобы ставить валик из стали 40ХА, то завод АТЭ должен это делать. </w:t>
      </w:r>
    </w:p>
    <w:p w14:paraId="1782FFB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Елисееву мы дали на подпись график на основании приказа 120. В график мы включили недогрузы по первому полугодию. Была получена виза производственного отдела, виза Главсмежпрома, который согласовал этот вопрос с заводом, а после того, как тов. Елисеев подписал график, завод заявил, что Главспецмаш обманул зам. наркома. Никакого обмана не было, все было завизировано. </w:t>
      </w:r>
    </w:p>
    <w:p w14:paraId="17986D3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дальнейшем надо прекратить такое отношение, недогруз должен быть пополнен. Программа должна быть выполнена, поэтому ЗЭМ недогруз должен выполнить. </w:t>
      </w:r>
    </w:p>
    <w:p w14:paraId="4DA396A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РУЗИН. Работу ЗЭМ надо разделить на две части – полтора-два месяца назад и сейчас. </w:t>
      </w:r>
    </w:p>
    <w:p w14:paraId="17D64D5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Раньше ЗЭМ срывал работу не только 183 завода, но и всех заводов. По танку и авиации ЗЭМ систематически не выполнял программу. Объяснялось это тем, что руководство завода не обеспечивало работу. Сейчас руководство завода сменено. Завод и сейчас не выполняет программу, но положение улучшилось. В отношении всех остальных заводов он также плохо выполняет, но в отношении 183 завода работает лучше. Тов. Мороз надо нажать на снабжение, потому что он идет вне фондов наркомата. </w:t>
      </w:r>
    </w:p>
    <w:p w14:paraId="13610A6C"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места: в прошлом месяце из 20 сделали 10, а в этом месяце из 50 сделали 8, где же лучше положение?! ). </w:t>
      </w:r>
    </w:p>
    <w:p w14:paraId="0CD99D97"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Стартеры лежат готовыми. У Вас на заводах бывают отдельные казусы такого же порядка. Делали из одной марки стали, оказалось, что не годится, нужно было заменить сталь. Завод идет на это дело. Нечего на этих вещах спекулировать. </w:t>
      </w:r>
    </w:p>
    <w:p w14:paraId="137F60D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места: Как же можно расценивать, что ЗЭМ стал лучше работать: вместо 500 дал 196 стартеров. В эхом месяце свои обязательства ЗЭМ выполняет из рук вон плохо!). </w:t>
      </w:r>
    </w:p>
    <w:p w14:paraId="18B3717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МОРОЗ. С начала месяца я был новым человеком на заводе. Тов. Махонин прислал телеграмму: высылаю 150 втулок, соберите 150 стартеров. Мы начали собирать стартеры, но оказалось, что их втулки хуже, чем наши. Мы изготовили: (перечисляет). </w:t>
      </w:r>
    </w:p>
    <w:p w14:paraId="37150679"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Рабкин не знает, что делается на заводе. Я не меньше его занимался вопросами снабжения. Пусть скажет т. Рапкин, много ему дают по звонку? Сталь 40ХА я и по сей день не получил. Я смог сделать некоторое количество валиков из стали 40ХА, но надо решать вопрос о высокочастотной закалке. Одни разговоры не помогут. Если вопрос будет решен, свои обязательства по 183 заводу как по СТ-700, так и по СТ-64 я выполню и по части поставки прекращу всякие разговоры. </w:t>
      </w:r>
    </w:p>
    <w:p w14:paraId="3CA62FCA"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прошу проверить наши цифры и установить кто прав – работники ЗЭМа или т. Рабкин. Я считаю, что т. Рабкин своим выступлением вводит в заблуждение. Я прошу поручить проверить наши цифры. </w:t>
      </w:r>
    </w:p>
    <w:p w14:paraId="4E843E6F"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В тот момент присутствовал начальник главка т. Суренян. Поступило указание немедленно отправить в неопределенном направлении 50 машин, и в то же время было обнаружено, что стоит негодная втулка, сделанная из завернутых листов. </w:t>
      </w:r>
    </w:p>
    <w:p w14:paraId="425C114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дал указание проверить втулки на стартере. Разобрав стартеры было принято решение забраковать все стартеры. Но машины надо было отправлять. Я посоветовался с т. Суреняном: как поступить, мы срываем приказ. Было принято решение с ведома начальника Главка поставить на стартеры свои втулки. На следующее утро звонит Тимофеев и просит помочь по втулкам. Я сказал, что могу дать. Слушая сегодня разговор директора завода, должен сказать, что мне не понятно, как можно говорить, что завод сделал худшую втулку, чем ЗЭМ. Та втулка, которую мы поставили на стартер, гарантированная. Мы испытывали ее и знаем, что это безусловно качественная втулка; если втулка не имеет наволакиваний – это качественная втулка. Работник ЗЭМ, приехав на завод, начал заниматься тем, что стал дискредитировать нашу втулку. Мы дали гарантию в том, что втулка доработана, качественная и лучше, чем втулка Кампа, так как та очень быстро срабатывается. Неправильно, что работники ЗЭМ дискредитировали нашу втулку. </w:t>
      </w:r>
    </w:p>
    <w:p w14:paraId="61107CC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Относительно стартеров СТ-700 с валиком из стали 1040. </w:t>
      </w:r>
    </w:p>
    <w:p w14:paraId="5090CFC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сегодня мы укомплектовали. 18 номеров стартеров. Если говорить прямо, это определяет выпуск завода № 183. Надо окраску сделать, все оформление провести и после этого сдать машины. Я докладывал вчера, что положение со стартерами срывает работу. Я считаю, что эти стартеры нельзя ставить на машину. Надо сделать стартеры. из высококачественной стали, а подпихивать из стали 1040 неправильно. </w:t>
      </w:r>
    </w:p>
    <w:p w14:paraId="5E7F5F6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ЕЛИСЕЕВ. Подписали протокол, а теперь говорите, что не годятся. </w:t>
      </w:r>
    </w:p>
    <w:p w14:paraId="577AE98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На тех стартерах, на которых валики скручивались, гарантийной шайбы не было. На 18 стартерах с валиком из стали 1040, которые у нас имеются, гарантийная шайба поставлена. </w:t>
      </w:r>
    </w:p>
    <w:p w14:paraId="215D98F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Вы подписали протокол, что согласны получить 30 шт. Ваше заявление о том, что валики не годятся является результатом того, что 18 имеющихся у Вас плохие, а 10 надо исправлять? </w:t>
      </w:r>
    </w:p>
    <w:p w14:paraId="1EC2FD8D"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Мое мнение такое, что надо ставить валики из стали 40ХА. </w:t>
      </w:r>
    </w:p>
    <w:p w14:paraId="3985C35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Те 18, которые поставлены на машины плохие, не качественные? Тогда на каком основании Вы выпускаете машины? Если Вы приняли 18, то почему не принимаете дополнительно 10 таких же стартеров? Можно понимать так, что Вы умышленно не принимаете 10 стартеров, для того, чтобы заявить впоследствии о том, что Вы не могли выпускать машины из-за отсутствия стартеров. </w:t>
      </w:r>
    </w:p>
    <w:p w14:paraId="5BA2E40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Я ни одного валика из стали 1040 не поставил бы! </w:t>
      </w:r>
    </w:p>
    <w:p w14:paraId="1311AB38"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ГОРЕГДЯД. Почему 18 шт. поставили? </w:t>
      </w:r>
    </w:p>
    <w:p w14:paraId="27E2474E"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На этот вопрос затрудняюсь ответить. Знаю твердо, что гарантийную шайбу завод ЗЭМ снял неправильно. Для того, чтобы не задерживать испытание и подготовку машин можно принять такое решение – взять эти 10 стартеров и на них проводить испытание, а на машины поставить стартеры с валиками из соответствующей стали. </w:t>
      </w:r>
    </w:p>
    <w:p w14:paraId="2ED64B8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ЕЛИСЕЕВ. Ваши представители ответственные люди или нет? Согласовывают они свои решения с Вами? Представители подписывают протокол, а гл. инженер завода говорит, что это не так! Если директор завода или гл. инженер посылают людей решать вопросы и дают полномочия, значит решение этих люде является окончательным! </w:t>
      </w:r>
    </w:p>
    <w:p w14:paraId="6E1BA1B3"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Каждый по-своему думает. </w:t>
      </w:r>
    </w:p>
    <w:p w14:paraId="35174A50"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ГОРЕГЛЯД. Из 18 стартеров, которые получены на заводе ни одного случая скручивания не было? Что послужило основанием утверждать, что валик 1040 не годится? </w:t>
      </w:r>
    </w:p>
    <w:p w14:paraId="598AA35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МАХОНИН. Из 23 стартеров валики скрутились на 4-х. Скрутились там, где не было гарантийной шайбы. </w:t>
      </w:r>
    </w:p>
    <w:p w14:paraId="36A86CD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МОРОЗ. Мы сделали около 2.000 стартеров 64 и имели только два случая скручивания, а т. Махонин говорит, что надо ставить сталь 40ХА. Мы могли бы покрыть все, что должны, 100 стартеров собрано, 200 заходится в заделе. Можно было бы сделать вовремя, если бы не затянули волынку. </w:t>
      </w:r>
    </w:p>
    <w:p w14:paraId="766424BB"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Отп.2 эва. </w:t>
      </w:r>
    </w:p>
    <w:p w14:paraId="7AE215B6"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6/VIII-40 г. № 8867 </w:t>
      </w:r>
    </w:p>
    <w:p w14:paraId="4E67EA04"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Л.Г.; Ю.Ш.; М.Е.</w:t>
      </w:r>
    </w:p>
    <w:p w14:paraId="038981E2"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Фонд 8115 Опись 8 Дело 15 лист 154 – 166</w:t>
      </w:r>
    </w:p>
    <w:p w14:paraId="4D487A31" w14:textId="77777777" w:rsidR="009328AA" w:rsidRPr="00DB5D0D" w:rsidRDefault="009328A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Фонд 8115 Опись 8 Дело 15 лист 167 – 186 (18152).</w:t>
      </w:r>
    </w:p>
    <w:p w14:paraId="70848164" w14:textId="77777777" w:rsidR="009328AA" w:rsidRPr="00DB5D0D" w:rsidRDefault="009328AA" w:rsidP="00DB5D0D">
      <w:pPr>
        <w:spacing w:after="0" w:line="240" w:lineRule="auto"/>
        <w:jc w:val="both"/>
        <w:rPr>
          <w:rFonts w:ascii="Times New Roman" w:hAnsi="Times New Roman"/>
          <w:color w:val="000000" w:themeColor="text1"/>
          <w:sz w:val="16"/>
          <w:szCs w:val="16"/>
        </w:rPr>
      </w:pPr>
    </w:p>
    <w:p w14:paraId="2664C0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23/25 июля 1940 г. руководство ГАБТУ и НКСП дало офици</w:t>
      </w:r>
      <w:r w:rsidRPr="00DB5D0D">
        <w:rPr>
          <w:rFonts w:ascii="Times New Roman" w:hAnsi="Times New Roman"/>
          <w:color w:val="000000" w:themeColor="text1"/>
          <w:sz w:val="16"/>
          <w:szCs w:val="16"/>
        </w:rPr>
        <w:softHyphen/>
        <w:t>альное разрешение на начало серийного производства литых ба</w:t>
      </w:r>
      <w:r w:rsidRPr="00DB5D0D">
        <w:rPr>
          <w:rFonts w:ascii="Times New Roman" w:hAnsi="Times New Roman"/>
          <w:color w:val="000000" w:themeColor="text1"/>
          <w:sz w:val="16"/>
          <w:szCs w:val="16"/>
        </w:rPr>
        <w:softHyphen/>
        <w:t xml:space="preserve">шен для танка Т-34 на Мариупольском заводе им. Ильича, о чем уведомило завод совместным письмом № 74608сс: </w:t>
      </w:r>
      <w:r w:rsidRPr="00DB5D0D">
        <w:rPr>
          <w:rStyle w:val="211pt"/>
          <w:rFonts w:ascii="Times New Roman" w:hAnsi="Times New Roman" w:cs="Times New Roman"/>
          <w:i w:val="0"/>
          <w:color w:val="000000" w:themeColor="text1"/>
          <w:spacing w:val="0"/>
          <w:sz w:val="16"/>
          <w:szCs w:val="16"/>
        </w:rPr>
        <w:t>23/25 èþëÿ 1940 ã.</w:t>
      </w:r>
    </w:p>
    <w:p w14:paraId="022B93EC" w14:textId="77777777" w:rsidR="003C7E8B" w:rsidRPr="00DB5D0D" w:rsidRDefault="003C7E8B" w:rsidP="00DB5D0D">
      <w:pPr>
        <w:pStyle w:val="a3"/>
        <w:rPr>
          <w:color w:val="000000" w:themeColor="text1"/>
          <w:lang w:val="ru-RU"/>
        </w:rPr>
      </w:pPr>
      <w:r w:rsidRPr="00DB5D0D">
        <w:rPr>
          <w:color w:val="000000" w:themeColor="text1"/>
          <w:lang w:val="ru-RU"/>
        </w:rPr>
        <w:t>Директору Мариупольского завода им. Ильича</w:t>
      </w:r>
    </w:p>
    <w:p w14:paraId="5CD687B8" w14:textId="77777777" w:rsidR="003C7E8B" w:rsidRPr="00DB5D0D" w:rsidRDefault="003C7E8B" w:rsidP="00DB5D0D">
      <w:pPr>
        <w:pStyle w:val="a3"/>
        <w:rPr>
          <w:color w:val="000000" w:themeColor="text1"/>
          <w:lang w:val="ru-RU"/>
        </w:rPr>
      </w:pPr>
      <w:r w:rsidRPr="00DB5D0D">
        <w:rPr>
          <w:color w:val="000000" w:themeColor="text1"/>
          <w:lang w:val="ru-RU"/>
        </w:rPr>
        <w:t>тов. Гэрмашеву</w:t>
      </w:r>
    </w:p>
    <w:p w14:paraId="2D218686" w14:textId="77777777" w:rsidR="003C7E8B" w:rsidRPr="00DB5D0D" w:rsidRDefault="003C7E8B" w:rsidP="00DB5D0D">
      <w:pPr>
        <w:pStyle w:val="a3"/>
        <w:rPr>
          <w:color w:val="000000" w:themeColor="text1"/>
          <w:lang w:val="ru-RU"/>
        </w:rPr>
      </w:pPr>
      <w:r w:rsidRPr="00DB5D0D">
        <w:rPr>
          <w:color w:val="000000" w:themeColor="text1"/>
          <w:lang w:val="ru-RU"/>
        </w:rPr>
        <w:t xml:space="preserve">Ст. военпреду АБТУ КА на Мариупольском заводе военинженеру 2-ран га т. Зухеру </w:t>
      </w:r>
      <w:r w:rsidRPr="00DB5D0D">
        <w:rPr>
          <w:color w:val="000000" w:themeColor="text1"/>
          <w:u w:val="single"/>
          <w:lang w:val="ru-RU"/>
        </w:rPr>
        <w:t>Копия:</w:t>
      </w:r>
      <w:r w:rsidRPr="00DB5D0D">
        <w:rPr>
          <w:color w:val="000000" w:themeColor="text1"/>
          <w:lang w:val="ru-RU"/>
        </w:rPr>
        <w:t xml:space="preserve"> И.О. Директора НИИ-48 т. Каневскому</w:t>
      </w:r>
    </w:p>
    <w:p w14:paraId="7A3283A4" w14:textId="77777777" w:rsidR="003C7E8B" w:rsidRPr="00DB5D0D" w:rsidRDefault="003C7E8B" w:rsidP="00DB5D0D">
      <w:pPr>
        <w:pStyle w:val="a3"/>
        <w:rPr>
          <w:color w:val="000000" w:themeColor="text1"/>
          <w:lang w:val="ru-RU"/>
        </w:rPr>
      </w:pPr>
      <w:r w:rsidRPr="00DB5D0D">
        <w:rPr>
          <w:color w:val="000000" w:themeColor="text1"/>
          <w:u w:val="single"/>
          <w:lang w:val="ru-RU"/>
        </w:rPr>
        <w:t>По вопросу:</w:t>
      </w:r>
      <w:r w:rsidRPr="00DB5D0D">
        <w:rPr>
          <w:color w:val="000000" w:themeColor="text1"/>
          <w:lang w:val="ru-RU"/>
        </w:rPr>
        <w:t xml:space="preserve"> запуска в серийное производство литой башни Т-34.</w:t>
      </w:r>
    </w:p>
    <w:p w14:paraId="7EF116EC" w14:textId="77777777" w:rsidR="003C7E8B" w:rsidRPr="00DB5D0D" w:rsidRDefault="003C7E8B" w:rsidP="00DB5D0D">
      <w:pPr>
        <w:pStyle w:val="a3"/>
        <w:rPr>
          <w:color w:val="000000" w:themeColor="text1"/>
          <w:lang w:val="ru-RU"/>
        </w:rPr>
      </w:pPr>
      <w:r w:rsidRPr="00DB5D0D">
        <w:rPr>
          <w:color w:val="000000" w:themeColor="text1"/>
          <w:lang w:val="ru-RU"/>
        </w:rPr>
        <w:t>Представленный акт комиссии по испытанию литой башни ма</w:t>
      </w:r>
      <w:r w:rsidRPr="00DB5D0D">
        <w:rPr>
          <w:color w:val="000000" w:themeColor="text1"/>
          <w:lang w:val="ru-RU"/>
        </w:rPr>
        <w:softHyphen/>
        <w:t>шины Т-34 и приложенный к акту проект Т. У. на испытание и при</w:t>
      </w:r>
      <w:r w:rsidRPr="00DB5D0D">
        <w:rPr>
          <w:color w:val="000000" w:themeColor="text1"/>
          <w:lang w:val="ru-RU"/>
        </w:rPr>
        <w:softHyphen/>
        <w:t>емку литой башни утвердить.</w:t>
      </w:r>
    </w:p>
    <w:p w14:paraId="02094EC1" w14:textId="77777777" w:rsidR="003C7E8B" w:rsidRPr="00DB5D0D" w:rsidRDefault="003C7E8B" w:rsidP="00DB5D0D">
      <w:pPr>
        <w:pStyle w:val="a3"/>
        <w:rPr>
          <w:color w:val="000000" w:themeColor="text1"/>
          <w:lang w:val="ru-RU"/>
        </w:rPr>
      </w:pPr>
      <w:r w:rsidRPr="00DB5D0D">
        <w:rPr>
          <w:color w:val="000000" w:themeColor="text1"/>
          <w:lang w:val="ru-RU"/>
        </w:rPr>
        <w:t>Литую башню машины Т-34 запустить в серийное производ</w:t>
      </w:r>
      <w:r w:rsidRPr="00DB5D0D">
        <w:rPr>
          <w:color w:val="000000" w:themeColor="text1"/>
          <w:lang w:val="ru-RU"/>
        </w:rPr>
        <w:softHyphen/>
        <w:t>ство. При производстве литой башни машины Т-34 руководство</w:t>
      </w:r>
      <w:r w:rsidRPr="00DB5D0D">
        <w:rPr>
          <w:color w:val="000000" w:themeColor="text1"/>
          <w:lang w:val="ru-RU"/>
        </w:rPr>
        <w:softHyphen/>
        <w:t xml:space="preserve">ваться технологической инструкцией </w:t>
      </w:r>
      <w:r w:rsidRPr="00DB5D0D">
        <w:rPr>
          <w:color w:val="000000" w:themeColor="text1"/>
          <w:lang w:val="ru-RU"/>
        </w:rPr>
        <w:lastRenderedPageBreak/>
        <w:t>приложенной к акту.</w:t>
      </w:r>
    </w:p>
    <w:p w14:paraId="3A1EEEB2" w14:textId="77777777" w:rsidR="003C7E8B" w:rsidRPr="00DB5D0D" w:rsidRDefault="003C7E8B" w:rsidP="00DB5D0D">
      <w:pPr>
        <w:pStyle w:val="a3"/>
        <w:rPr>
          <w:color w:val="000000" w:themeColor="text1"/>
          <w:lang w:val="ru-RU"/>
        </w:rPr>
      </w:pPr>
      <w:r w:rsidRPr="00DB5D0D">
        <w:rPr>
          <w:color w:val="000000" w:themeColor="text1"/>
          <w:lang w:val="ru-RU"/>
        </w:rPr>
        <w:t>Одновременно с запуском в серийное производство литых ба</w:t>
      </w:r>
      <w:r w:rsidRPr="00DB5D0D">
        <w:rPr>
          <w:color w:val="000000" w:themeColor="text1"/>
          <w:lang w:val="ru-RU"/>
        </w:rPr>
        <w:softHyphen/>
        <w:t>шен продолжать производство башен из катанной брони.</w:t>
      </w:r>
    </w:p>
    <w:p w14:paraId="4FB7FF6D" w14:textId="77777777" w:rsidR="003C7E8B" w:rsidRPr="00DB5D0D" w:rsidRDefault="003C7E8B" w:rsidP="00DB5D0D">
      <w:pPr>
        <w:pStyle w:val="a3"/>
        <w:rPr>
          <w:color w:val="000000" w:themeColor="text1"/>
          <w:lang w:val="ru-RU"/>
        </w:rPr>
      </w:pPr>
      <w:r w:rsidRPr="00DB5D0D">
        <w:rPr>
          <w:color w:val="000000" w:themeColor="text1"/>
          <w:lang w:val="ru-RU"/>
        </w:rPr>
        <w:t>ЗАМ. НАЧАЛЬНИКА ГАБТУ КА ГЕНЕРАЛ-МАЙОР ТЕХНИЧЕСКИХ ВОЙСК Лебедев</w:t>
      </w:r>
    </w:p>
    <w:p w14:paraId="60CEE47E" w14:textId="77777777" w:rsidR="003C7E8B" w:rsidRPr="00DB5D0D" w:rsidRDefault="003C7E8B" w:rsidP="00DB5D0D">
      <w:pPr>
        <w:pStyle w:val="a3"/>
        <w:rPr>
          <w:color w:val="000000" w:themeColor="text1"/>
          <w:lang w:val="ru-RU"/>
        </w:rPr>
      </w:pPr>
      <w:r w:rsidRPr="00DB5D0D">
        <w:rPr>
          <w:color w:val="000000" w:themeColor="text1"/>
          <w:lang w:val="ru-RU"/>
        </w:rPr>
        <w:t>ЗАМ. НАЧАЛЬНИКА 3 ГЛАВНОГО УПРАВЛЕНИЯ НКСП Хабахпашев.</w:t>
      </w:r>
      <w:r w:rsidRPr="00DB5D0D">
        <w:rPr>
          <w:rStyle w:val="Batang16pt-1ptGulim125pt1111101Tahoma10pt"/>
          <w:rFonts w:ascii="Times New Roman" w:cs="Times New Roman"/>
          <w:color w:val="000000" w:themeColor="text1"/>
          <w:spacing w:val="0"/>
          <w:sz w:val="16"/>
          <w:szCs w:val="16"/>
          <w:lang w:val="ru-RU"/>
        </w:rPr>
        <w:t>[</w:t>
      </w:r>
      <w:r w:rsidRPr="00DB5D0D">
        <w:rPr>
          <w:color w:val="000000" w:themeColor="text1"/>
          <w:lang w:val="ru-RU"/>
        </w:rPr>
        <w:t>РГВА. Ф.31811. Оп.2. Д. 1176. Л.208.</w:t>
      </w:r>
      <w:r w:rsidRPr="00DB5D0D">
        <w:rPr>
          <w:rStyle w:val="Batang16pt-1ptGulim125pt1111101Tahoma10pt"/>
          <w:rFonts w:ascii="Times New Roman" w:cs="Times New Roman"/>
          <w:color w:val="000000" w:themeColor="text1"/>
          <w:spacing w:val="0"/>
          <w:sz w:val="16"/>
          <w:szCs w:val="16"/>
          <w:lang w:val="ru-RU"/>
        </w:rPr>
        <w:t>] (11939).</w:t>
      </w:r>
    </w:p>
    <w:p w14:paraId="7C20A53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B6E2677" w14:textId="77777777" w:rsidR="00F81172" w:rsidRPr="00DB5D0D" w:rsidRDefault="00F811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г. на маршруте Ленинград - Красное Село - Виллози протяженностью 29 км (включал асфальтовое и булыжное шос</w:t>
      </w:r>
      <w:r w:rsidRPr="00DB5D0D">
        <w:rPr>
          <w:rFonts w:ascii="Times New Roman" w:hAnsi="Times New Roman"/>
          <w:color w:val="000000" w:themeColor="text1"/>
          <w:sz w:val="16"/>
          <w:szCs w:val="16"/>
        </w:rPr>
        <w:softHyphen/>
        <w:t>се) получили оперативную среднюю скорость движения КВ №У-1 с «большой» башней - 21,5 км/ч.</w:t>
      </w:r>
    </w:p>
    <w:p w14:paraId="1BC658CF" w14:textId="77777777" w:rsidR="00F81172" w:rsidRPr="00DB5D0D" w:rsidRDefault="00F811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провели специальные испытания по преодолению препятствий. Вертикальная стенка (бетонированный фундамент старого дома) высотой 1,2 м была сдвинута и преодо</w:t>
      </w:r>
      <w:r w:rsidRPr="00DB5D0D">
        <w:rPr>
          <w:rFonts w:ascii="Times New Roman" w:hAnsi="Times New Roman"/>
          <w:color w:val="000000" w:themeColor="text1"/>
          <w:sz w:val="16"/>
          <w:szCs w:val="16"/>
        </w:rPr>
        <w:softHyphen/>
        <w:t>лена с третьей попытки. Танк без труда прео</w:t>
      </w:r>
      <w:r w:rsidRPr="00DB5D0D">
        <w:rPr>
          <w:rFonts w:ascii="Times New Roman" w:hAnsi="Times New Roman"/>
          <w:color w:val="000000" w:themeColor="text1"/>
          <w:sz w:val="16"/>
          <w:szCs w:val="16"/>
        </w:rPr>
        <w:softHyphen/>
        <w:t>долел ров шириной 2,72 м и водную преграду глубиной 2 м и шириной 19 м.</w:t>
      </w:r>
    </w:p>
    <w:p w14:paraId="2349ABCF" w14:textId="77777777" w:rsidR="00F81172" w:rsidRPr="00DB5D0D" w:rsidRDefault="00F811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Трансмиссия обеспечивала в целом гаран</w:t>
      </w:r>
      <w:r w:rsidRPr="00DB5D0D">
        <w:rPr>
          <w:rFonts w:ascii="Times New Roman" w:hAnsi="Times New Roman"/>
          <w:color w:val="000000" w:themeColor="text1"/>
          <w:sz w:val="16"/>
          <w:szCs w:val="16"/>
        </w:rPr>
        <w:softHyphen/>
        <w:t>тийный километраж танка в объеме 2000 км. Наряду с этим обращалось внимание на низкое качество монтажа и регулировки: после 1115 км вышли из строя оба бортовых фрикциона (труб</w:t>
      </w:r>
      <w:r w:rsidRPr="00DB5D0D">
        <w:rPr>
          <w:rFonts w:ascii="Times New Roman" w:hAnsi="Times New Roman"/>
          <w:color w:val="000000" w:themeColor="text1"/>
          <w:sz w:val="16"/>
          <w:szCs w:val="16"/>
        </w:rPr>
        <w:softHyphen/>
        <w:t>ки подвода смазки к подшипникам были смяты при монтаже) и шесть тормозных лент.</w:t>
      </w:r>
    </w:p>
    <w:p w14:paraId="5C50D6ED" w14:textId="77777777" w:rsidR="00F81172" w:rsidRPr="00DB5D0D" w:rsidRDefault="00F811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Имелись проблемы и в ходовой части тан</w:t>
      </w:r>
      <w:r w:rsidRPr="00DB5D0D">
        <w:rPr>
          <w:rFonts w:ascii="Times New Roman" w:hAnsi="Times New Roman"/>
          <w:color w:val="000000" w:themeColor="text1"/>
          <w:sz w:val="16"/>
          <w:szCs w:val="16"/>
        </w:rPr>
        <w:softHyphen/>
        <w:t>ка. Так, за время испытаний вышли из строя 17 опорных катков. Из-за недостаточной жесткости нажимных дисков без ребер и их отгибания ре</w:t>
      </w:r>
      <w:r w:rsidRPr="00DB5D0D">
        <w:rPr>
          <w:rFonts w:ascii="Times New Roman" w:hAnsi="Times New Roman"/>
          <w:color w:val="000000" w:themeColor="text1"/>
          <w:sz w:val="16"/>
          <w:szCs w:val="16"/>
        </w:rPr>
        <w:softHyphen/>
        <w:t>зина амортизаторов опорных катков выдавлива</w:t>
      </w:r>
      <w:r w:rsidRPr="00DB5D0D">
        <w:rPr>
          <w:rFonts w:ascii="Times New Roman" w:hAnsi="Times New Roman"/>
          <w:color w:val="000000" w:themeColor="text1"/>
          <w:sz w:val="16"/>
          <w:szCs w:val="16"/>
        </w:rPr>
        <w:softHyphen/>
        <w:t>лась и они разваливались. Некоторые катки на</w:t>
      </w:r>
      <w:r w:rsidRPr="00DB5D0D">
        <w:rPr>
          <w:rFonts w:ascii="Times New Roman" w:hAnsi="Times New Roman"/>
          <w:color w:val="000000" w:themeColor="text1"/>
          <w:sz w:val="16"/>
          <w:szCs w:val="16"/>
        </w:rPr>
        <w:softHyphen/>
        <w:t>чинали выходить из строя через 165-212 км про</w:t>
      </w:r>
      <w:r w:rsidRPr="00DB5D0D">
        <w:rPr>
          <w:rFonts w:ascii="Times New Roman" w:hAnsi="Times New Roman"/>
          <w:color w:val="000000" w:themeColor="text1"/>
          <w:sz w:val="16"/>
          <w:szCs w:val="16"/>
        </w:rPr>
        <w:softHyphen/>
        <w:t>бега, что объяснялось их слабой запрессовкой.</w:t>
      </w:r>
    </w:p>
    <w:p w14:paraId="24521AD1" w14:textId="77777777" w:rsidR="00F81172" w:rsidRPr="00DB5D0D" w:rsidRDefault="00F811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Артсистема М-10 проходила испытания 10-11 июля в объеме 40 усиленных выстрелов (начальная скорость - 530 м/с) при различных вертикальных углах наводки. Стрельба произ</w:t>
      </w:r>
      <w:r w:rsidRPr="00DB5D0D">
        <w:rPr>
          <w:rFonts w:ascii="Times New Roman" w:hAnsi="Times New Roman"/>
          <w:color w:val="000000" w:themeColor="text1"/>
          <w:sz w:val="16"/>
          <w:szCs w:val="16"/>
        </w:rPr>
        <w:softHyphen/>
        <w:t>водилась при двух курсовых углах (на борт и на корму танка) по 20 выстрелов с каждого.</w:t>
      </w:r>
    </w:p>
    <w:p w14:paraId="7CDB79CC" w14:textId="77777777" w:rsidR="00F81172" w:rsidRPr="00DB5D0D" w:rsidRDefault="00F811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испытание системы повтори</w:t>
      </w:r>
      <w:r w:rsidRPr="00DB5D0D">
        <w:rPr>
          <w:rFonts w:ascii="Times New Roman" w:hAnsi="Times New Roman"/>
          <w:color w:val="000000" w:themeColor="text1"/>
          <w:sz w:val="16"/>
          <w:szCs w:val="16"/>
        </w:rPr>
        <w:softHyphen/>
        <w:t>ли, причем сделали 70 выстрелов, из них 30 нормальных (начальная скорость - 507 м/с, стрельба на кучность по щиту на дистанции 1000 м) и 40 усиленных. Кучность боя на ди</w:t>
      </w:r>
      <w:r w:rsidRPr="00DB5D0D">
        <w:rPr>
          <w:rFonts w:ascii="Times New Roman" w:hAnsi="Times New Roman"/>
          <w:color w:val="000000" w:themeColor="text1"/>
          <w:sz w:val="16"/>
          <w:szCs w:val="16"/>
        </w:rPr>
        <w:softHyphen/>
        <w:t>станции 1000 м при курсовых углах 0 и 90' при</w:t>
      </w:r>
      <w:r w:rsidRPr="00DB5D0D">
        <w:rPr>
          <w:rFonts w:ascii="Times New Roman" w:hAnsi="Times New Roman"/>
          <w:color w:val="000000" w:themeColor="text1"/>
          <w:sz w:val="16"/>
          <w:szCs w:val="16"/>
        </w:rPr>
        <w:softHyphen/>
        <w:t>знали удовлетворительной. При разборке си</w:t>
      </w:r>
      <w:r w:rsidRPr="00DB5D0D">
        <w:rPr>
          <w:rFonts w:ascii="Times New Roman" w:hAnsi="Times New Roman"/>
          <w:color w:val="000000" w:themeColor="text1"/>
          <w:sz w:val="16"/>
          <w:szCs w:val="16"/>
        </w:rPr>
        <w:softHyphen/>
        <w:t>стемы после испытаний дефектов не обнару</w:t>
      </w:r>
      <w:r w:rsidRPr="00DB5D0D">
        <w:rPr>
          <w:rFonts w:ascii="Times New Roman" w:hAnsi="Times New Roman"/>
          <w:color w:val="000000" w:themeColor="text1"/>
          <w:sz w:val="16"/>
          <w:szCs w:val="16"/>
        </w:rPr>
        <w:softHyphen/>
        <w:t>жили. Для обеспечения проверки работоспо</w:t>
      </w:r>
      <w:r w:rsidRPr="00DB5D0D">
        <w:rPr>
          <w:rFonts w:ascii="Times New Roman" w:hAnsi="Times New Roman"/>
          <w:color w:val="000000" w:themeColor="text1"/>
          <w:sz w:val="16"/>
          <w:szCs w:val="16"/>
        </w:rPr>
        <w:softHyphen/>
        <w:t>собности тормоза отката системы в' условиях танка рекомендовалось доработать инструк</w:t>
      </w:r>
      <w:r w:rsidRPr="00DB5D0D">
        <w:rPr>
          <w:rFonts w:ascii="Times New Roman" w:hAnsi="Times New Roman"/>
          <w:color w:val="000000" w:themeColor="text1"/>
          <w:sz w:val="16"/>
          <w:szCs w:val="16"/>
        </w:rPr>
        <w:softHyphen/>
        <w:t>цию по обслуживанию системы.</w:t>
      </w:r>
    </w:p>
    <w:p w14:paraId="0ADC77F4" w14:textId="77777777" w:rsidR="00F81172" w:rsidRPr="00DB5D0D" w:rsidRDefault="00F811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итогам испытаний отмечалось</w:t>
      </w:r>
      <w:r w:rsidRPr="00DB5D0D">
        <w:rPr>
          <w:rStyle w:val="aff6"/>
          <w:rFonts w:ascii="Times New Roman" w:eastAsia="Arial Narrow" w:hAnsi="Times New Roman" w:cs="Times New Roman"/>
          <w:i w:val="0"/>
          <w:color w:val="000000" w:themeColor="text1"/>
        </w:rPr>
        <w:t xml:space="preserve"> «несе</w:t>
      </w:r>
      <w:r w:rsidRPr="00DB5D0D">
        <w:rPr>
          <w:rStyle w:val="aff6"/>
          <w:rFonts w:ascii="Times New Roman" w:eastAsia="Arial Narrow" w:hAnsi="Times New Roman" w:cs="Times New Roman"/>
          <w:i w:val="0"/>
          <w:color w:val="000000" w:themeColor="text1"/>
        </w:rPr>
        <w:softHyphen/>
        <w:t>рьезное отношение работников завода к под</w:t>
      </w:r>
      <w:r w:rsidRPr="00DB5D0D">
        <w:rPr>
          <w:rStyle w:val="aff6"/>
          <w:rFonts w:ascii="Times New Roman" w:eastAsia="Arial Narrow" w:hAnsi="Times New Roman" w:cs="Times New Roman"/>
          <w:i w:val="0"/>
          <w:color w:val="000000" w:themeColor="text1"/>
        </w:rPr>
        <w:softHyphen/>
        <w:t>готовке испытаний. Танк №У-1 участвовал на фронте в Финляндии, после чего был произ</w:t>
      </w:r>
      <w:r w:rsidRPr="00DB5D0D">
        <w:rPr>
          <w:rStyle w:val="aff6"/>
          <w:rFonts w:ascii="Times New Roman" w:eastAsia="Arial Narrow" w:hAnsi="Times New Roman" w:cs="Times New Roman"/>
          <w:i w:val="0"/>
          <w:color w:val="000000" w:themeColor="text1"/>
        </w:rPr>
        <w:softHyphen/>
        <w:t>веден капитальный ремонт его и предъявлен на испытания. Отсюда срок работы некоторых агрегатов (бортовые передачи, ходовая часть и др.) установить невозможно».</w:t>
      </w:r>
      <w:r w:rsidRPr="00DB5D0D">
        <w:rPr>
          <w:rFonts w:ascii="Times New Roman" w:hAnsi="Times New Roman"/>
          <w:color w:val="000000" w:themeColor="text1"/>
          <w:sz w:val="16"/>
          <w:szCs w:val="16"/>
        </w:rPr>
        <w:t xml:space="preserve"> Предлагалось усилить контроль за сборкой и монтажом уз</w:t>
      </w:r>
      <w:r w:rsidRPr="00DB5D0D">
        <w:rPr>
          <w:rFonts w:ascii="Times New Roman" w:hAnsi="Times New Roman"/>
          <w:color w:val="000000" w:themeColor="text1"/>
          <w:sz w:val="16"/>
          <w:szCs w:val="16"/>
        </w:rPr>
        <w:softHyphen/>
        <w:t>лов и агрегатов, обязав представителей воен</w:t>
      </w:r>
      <w:r w:rsidRPr="00DB5D0D">
        <w:rPr>
          <w:rFonts w:ascii="Times New Roman" w:hAnsi="Times New Roman"/>
          <w:color w:val="000000" w:themeColor="text1"/>
          <w:sz w:val="16"/>
          <w:szCs w:val="16"/>
        </w:rPr>
        <w:softHyphen/>
        <w:t>ной приемки принимать все узлы и агрегаты в целом и некоторые отдельные детали (напри</w:t>
      </w:r>
      <w:r w:rsidRPr="00DB5D0D">
        <w:rPr>
          <w:rFonts w:ascii="Times New Roman" w:hAnsi="Times New Roman"/>
          <w:color w:val="000000" w:themeColor="text1"/>
          <w:sz w:val="16"/>
          <w:szCs w:val="16"/>
        </w:rPr>
        <w:softHyphen/>
        <w:t>мер, торсионы). Следовало ускорить введе</w:t>
      </w:r>
      <w:r w:rsidRPr="00DB5D0D">
        <w:rPr>
          <w:rFonts w:ascii="Times New Roman" w:hAnsi="Times New Roman"/>
          <w:color w:val="000000" w:themeColor="text1"/>
          <w:sz w:val="16"/>
          <w:szCs w:val="16"/>
        </w:rPr>
        <w:softHyphen/>
        <w:t>ние стендов для испытаний узлов и агрегатов и приспособлений для их проверки на узловой сборке. В результате на заводе провели целый ряд мероприятий организационного характе</w:t>
      </w:r>
      <w:r w:rsidRPr="00DB5D0D">
        <w:rPr>
          <w:rFonts w:ascii="Times New Roman" w:hAnsi="Times New Roman"/>
          <w:color w:val="000000" w:themeColor="text1"/>
          <w:sz w:val="16"/>
          <w:szCs w:val="16"/>
        </w:rPr>
        <w:softHyphen/>
        <w:t>ра, опытный цех перевели в подчинение КБ и расширили его производственную базу.</w:t>
      </w:r>
    </w:p>
    <w:p w14:paraId="46F29465" w14:textId="77777777" w:rsidR="00F81172" w:rsidRPr="00DB5D0D" w:rsidRDefault="00F811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заключение указывалось, что танк с во</w:t>
      </w:r>
      <w:r w:rsidRPr="00DB5D0D">
        <w:rPr>
          <w:rFonts w:ascii="Times New Roman" w:hAnsi="Times New Roman"/>
          <w:color w:val="000000" w:themeColor="text1"/>
          <w:sz w:val="16"/>
          <w:szCs w:val="16"/>
        </w:rPr>
        <w:softHyphen/>
        <w:t>оружением соответствует предъявленным требованиям и после устранения выявлен</w:t>
      </w:r>
      <w:r w:rsidRPr="00DB5D0D">
        <w:rPr>
          <w:rFonts w:ascii="Times New Roman" w:hAnsi="Times New Roman"/>
          <w:color w:val="000000" w:themeColor="text1"/>
          <w:sz w:val="16"/>
          <w:szCs w:val="16"/>
        </w:rPr>
        <w:softHyphen/>
        <w:t>ных недостатков может быть предъявлен на войсковые испытания по особой программе ГАБТУ КА (15767).</w:t>
      </w:r>
    </w:p>
    <w:p w14:paraId="6333CED7" w14:textId="77777777" w:rsidR="00F81172" w:rsidRPr="00DB5D0D" w:rsidRDefault="00F81172" w:rsidP="00DB5D0D">
      <w:pPr>
        <w:spacing w:after="0" w:line="240" w:lineRule="auto"/>
        <w:jc w:val="both"/>
        <w:rPr>
          <w:rFonts w:ascii="Times New Roman" w:hAnsi="Times New Roman"/>
          <w:color w:val="000000" w:themeColor="text1"/>
          <w:sz w:val="16"/>
          <w:szCs w:val="16"/>
        </w:rPr>
      </w:pPr>
    </w:p>
    <w:p w14:paraId="5592FA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 ряды КБФ вошла принятая 30 июня 1940 п/л Н-7 типа Сталинец, спущенная на воду 5 апреля 1937 и заложенная 14 декабря 1936 на заводе Красное Сормово (4145,23).</w:t>
      </w:r>
    </w:p>
    <w:p w14:paraId="029C20C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180919"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июля 1940 была Докладная записка наркома судостроительной промышленности СССР И. И. Носенко И. В. Сталину о плане строительства боевых кораблей на 1943-1947 гг.</w:t>
      </w:r>
    </w:p>
    <w:p w14:paraId="2621D8AE"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товарищу СТАЛИНУ И. В.</w:t>
      </w:r>
    </w:p>
    <w:p w14:paraId="7B824175"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дополнение к представленному в Комитет Обороны плану на Ш-е пятилетие, НКСП представляет план строи</w:t>
      </w:r>
      <w:r w:rsidRPr="00DB5D0D">
        <w:rPr>
          <w:rFonts w:ascii="Times New Roman" w:hAnsi="Times New Roman"/>
          <w:color w:val="0070C0"/>
          <w:sz w:val="16"/>
          <w:szCs w:val="16"/>
        </w:rPr>
        <w:softHyphen/>
        <w:t>тельства боевых кораблей на 1У-е пятилетие (1943 - 1947 г.г.).</w:t>
      </w:r>
    </w:p>
    <w:p w14:paraId="4F1612D3"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План строительства боевых кораблей на 1У-е пя</w:t>
      </w:r>
      <w:r w:rsidRPr="00DB5D0D">
        <w:rPr>
          <w:rFonts w:ascii="Times New Roman" w:hAnsi="Times New Roman"/>
          <w:color w:val="0070C0"/>
          <w:sz w:val="16"/>
          <w:szCs w:val="16"/>
        </w:rPr>
        <w:softHyphen/>
        <w:t>тилетие составленный с учетом утвержденной Правитель</w:t>
      </w:r>
      <w:r w:rsidRPr="00DB5D0D">
        <w:rPr>
          <w:rFonts w:ascii="Times New Roman" w:hAnsi="Times New Roman"/>
          <w:color w:val="0070C0"/>
          <w:sz w:val="16"/>
          <w:szCs w:val="16"/>
        </w:rPr>
        <w:softHyphen/>
        <w:t>ством программы на 1940-й год (постановление Комитета Обороны № 21/сс от 9/1-1940 г.), представлен НКСП в Komитет Обороны 19-го апреля 1940 года (№ 778/сс).</w:t>
      </w:r>
    </w:p>
    <w:p w14:paraId="1CDD0318"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 составлении плана строительства боевых кораблей на 1У-е пяаялетие НКСП исходил в основном из специализации заводов, принятой в плане Ш-го пятилетия, а именно:</w:t>
      </w:r>
    </w:p>
    <w:tbl>
      <w:tblPr>
        <w:tblOverlap w:val="never"/>
        <w:tblW w:w="0" w:type="auto"/>
        <w:tblLayout w:type="fixed"/>
        <w:tblCellMar>
          <w:left w:w="10" w:type="dxa"/>
          <w:right w:w="10" w:type="dxa"/>
        </w:tblCellMar>
        <w:tblLook w:val="04A0" w:firstRow="1" w:lastRow="0" w:firstColumn="1" w:lastColumn="0" w:noHBand="0" w:noVBand="1"/>
      </w:tblPr>
      <w:tblGrid>
        <w:gridCol w:w="1019"/>
        <w:gridCol w:w="4193"/>
      </w:tblGrid>
      <w:tr w:rsidR="00F93C9A" w:rsidRPr="00DB5D0D" w14:paraId="20AD39AF" w14:textId="77777777" w:rsidTr="007609C9">
        <w:trPr>
          <w:trHeight w:val="841"/>
        </w:trPr>
        <w:tc>
          <w:tcPr>
            <w:tcW w:w="1019" w:type="dxa"/>
            <w:tcBorders>
              <w:top w:val="single" w:sz="4" w:space="0" w:color="auto"/>
              <w:left w:val="single" w:sz="4" w:space="0" w:color="auto"/>
              <w:bottom w:val="single" w:sz="4" w:space="0" w:color="auto"/>
              <w:right w:val="nil"/>
            </w:tcBorders>
            <w:hideMark/>
          </w:tcPr>
          <w:p w14:paraId="65CC6C69"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Завода строители</w:t>
            </w:r>
          </w:p>
        </w:tc>
        <w:tc>
          <w:tcPr>
            <w:tcW w:w="4193" w:type="dxa"/>
            <w:tcBorders>
              <w:top w:val="single" w:sz="4" w:space="0" w:color="auto"/>
              <w:left w:val="single" w:sz="4" w:space="0" w:color="auto"/>
              <w:bottom w:val="single" w:sz="4" w:space="0" w:color="auto"/>
              <w:right w:val="single" w:sz="4" w:space="0" w:color="auto"/>
            </w:tcBorders>
            <w:vAlign w:val="bottom"/>
            <w:hideMark/>
          </w:tcPr>
          <w:p w14:paraId="6E67D6ED"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Типы боевых кораблей</w:t>
            </w:r>
          </w:p>
        </w:tc>
      </w:tr>
      <w:tr w:rsidR="00F93C9A" w:rsidRPr="00DB5D0D" w14:paraId="1B8AA7CA" w14:textId="77777777" w:rsidTr="007609C9">
        <w:trPr>
          <w:trHeight w:val="841"/>
        </w:trPr>
        <w:tc>
          <w:tcPr>
            <w:tcW w:w="1019" w:type="dxa"/>
            <w:tcBorders>
              <w:top w:val="single" w:sz="4" w:space="0" w:color="auto"/>
              <w:left w:val="single" w:sz="4" w:space="0" w:color="auto"/>
              <w:bottom w:val="single" w:sz="4" w:space="0" w:color="auto"/>
              <w:right w:val="nil"/>
            </w:tcBorders>
            <w:vAlign w:val="bottom"/>
            <w:hideMark/>
          </w:tcPr>
          <w:p w14:paraId="308AC485"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189</w:t>
            </w:r>
          </w:p>
        </w:tc>
        <w:tc>
          <w:tcPr>
            <w:tcW w:w="4193" w:type="dxa"/>
            <w:tcBorders>
              <w:top w:val="single" w:sz="4" w:space="0" w:color="auto"/>
              <w:left w:val="single" w:sz="4" w:space="0" w:color="auto"/>
              <w:bottom w:val="single" w:sz="4" w:space="0" w:color="auto"/>
              <w:right w:val="single" w:sz="4" w:space="0" w:color="auto"/>
            </w:tcBorders>
            <w:vAlign w:val="bottom"/>
            <w:hideMark/>
          </w:tcPr>
          <w:p w14:paraId="56A1E2E7"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Линкоры пр.23 и легкие крейсера пр.68.</w:t>
            </w:r>
          </w:p>
        </w:tc>
      </w:tr>
      <w:tr w:rsidR="00F93C9A" w:rsidRPr="00DB5D0D" w14:paraId="264BC001"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hideMark/>
          </w:tcPr>
          <w:p w14:paraId="3153AB21"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190</w:t>
            </w:r>
          </w:p>
        </w:tc>
        <w:tc>
          <w:tcPr>
            <w:tcW w:w="4193" w:type="dxa"/>
            <w:tcBorders>
              <w:top w:val="single" w:sz="4" w:space="0" w:color="auto"/>
              <w:left w:val="single" w:sz="4" w:space="0" w:color="auto"/>
              <w:bottom w:val="single" w:sz="4" w:space="0" w:color="auto"/>
              <w:right w:val="single" w:sz="4" w:space="0" w:color="auto"/>
            </w:tcBorders>
            <w:hideMark/>
          </w:tcPr>
          <w:p w14:paraId="71D8D40C"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Лидера пр .47. эсминцы пр.35, сторожевые корабли пр.29.</w:t>
            </w:r>
          </w:p>
        </w:tc>
      </w:tr>
      <w:tr w:rsidR="00F93C9A" w:rsidRPr="00DB5D0D" w14:paraId="7AF46561"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hideMark/>
          </w:tcPr>
          <w:p w14:paraId="4311B2B7"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194</w:t>
            </w:r>
          </w:p>
        </w:tc>
        <w:tc>
          <w:tcPr>
            <w:tcW w:w="4193" w:type="dxa"/>
            <w:tcBorders>
              <w:top w:val="single" w:sz="4" w:space="0" w:color="auto"/>
              <w:left w:val="single" w:sz="4" w:space="0" w:color="auto"/>
              <w:bottom w:val="single" w:sz="4" w:space="0" w:color="auto"/>
              <w:right w:val="single" w:sz="4" w:space="0" w:color="auto"/>
            </w:tcBorders>
            <w:vAlign w:val="bottom"/>
            <w:hideMark/>
          </w:tcPr>
          <w:p w14:paraId="1901F3D8"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Тяжелые крейсера пр.69. легкие крейсера пр.68, подлодки шпа "Щ".</w:t>
            </w:r>
          </w:p>
        </w:tc>
      </w:tr>
      <w:tr w:rsidR="00F93C9A" w:rsidRPr="00DB5D0D" w14:paraId="6D6209FC"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hideMark/>
          </w:tcPr>
          <w:p w14:paraId="0CE2381F"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196</w:t>
            </w:r>
          </w:p>
        </w:tc>
        <w:tc>
          <w:tcPr>
            <w:tcW w:w="4193" w:type="dxa"/>
            <w:tcBorders>
              <w:top w:val="single" w:sz="4" w:space="0" w:color="auto"/>
              <w:left w:val="single" w:sz="4" w:space="0" w:color="auto"/>
              <w:bottom w:val="single" w:sz="4" w:space="0" w:color="auto"/>
              <w:right w:val="single" w:sz="4" w:space="0" w:color="auto"/>
            </w:tcBorders>
            <w:hideMark/>
          </w:tcPr>
          <w:p w14:paraId="5D8FB6BB"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Подлодки большие типа "КУ", подводные минзаги типа "М-2", тральщики базовые паровые</w:t>
            </w:r>
          </w:p>
        </w:tc>
      </w:tr>
      <w:tr w:rsidR="00F93C9A" w:rsidRPr="00DB5D0D" w14:paraId="1325D164"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hideMark/>
          </w:tcPr>
          <w:p w14:paraId="6525F185"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198</w:t>
            </w:r>
          </w:p>
        </w:tc>
        <w:tc>
          <w:tcPr>
            <w:tcW w:w="4193" w:type="dxa"/>
            <w:tcBorders>
              <w:top w:val="single" w:sz="4" w:space="0" w:color="auto"/>
              <w:left w:val="single" w:sz="4" w:space="0" w:color="auto"/>
              <w:bottom w:val="single" w:sz="4" w:space="0" w:color="auto"/>
              <w:right w:val="single" w:sz="4" w:space="0" w:color="auto"/>
            </w:tcBorders>
            <w:vAlign w:val="bottom"/>
            <w:hideMark/>
          </w:tcPr>
          <w:p w14:paraId="7BAF6796"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Линкоры по.23, легкие крейсера пр.68, лидера пр.47, эсминцы пр.35, п/л 1Х с.</w:t>
            </w:r>
          </w:p>
        </w:tc>
      </w:tr>
      <w:tr w:rsidR="00F93C9A" w:rsidRPr="00DB5D0D" w14:paraId="7D4AE120"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hideMark/>
          </w:tcPr>
          <w:p w14:paraId="2CDEB262"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199</w:t>
            </w:r>
          </w:p>
        </w:tc>
        <w:tc>
          <w:tcPr>
            <w:tcW w:w="4193" w:type="dxa"/>
            <w:tcBorders>
              <w:top w:val="single" w:sz="4" w:space="0" w:color="auto"/>
              <w:left w:val="single" w:sz="4" w:space="0" w:color="auto"/>
              <w:bottom w:val="single" w:sz="4" w:space="0" w:color="auto"/>
              <w:right w:val="single" w:sz="4" w:space="0" w:color="auto"/>
            </w:tcBorders>
            <w:hideMark/>
          </w:tcPr>
          <w:p w14:paraId="766E3742"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Легкие крейсера пр.68, лидера пр.47, эсминцы пр.35, сторожевые корабли пр.29.</w:t>
            </w:r>
          </w:p>
        </w:tc>
      </w:tr>
      <w:tr w:rsidR="00F93C9A" w:rsidRPr="00DB5D0D" w14:paraId="25F2F689"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hideMark/>
          </w:tcPr>
          <w:p w14:paraId="3CAB7619"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200</w:t>
            </w:r>
          </w:p>
        </w:tc>
        <w:tc>
          <w:tcPr>
            <w:tcW w:w="4193" w:type="dxa"/>
            <w:tcBorders>
              <w:top w:val="single" w:sz="4" w:space="0" w:color="auto"/>
              <w:left w:val="single" w:sz="4" w:space="0" w:color="auto"/>
              <w:bottom w:val="single" w:sz="4" w:space="0" w:color="auto"/>
              <w:right w:val="single" w:sz="4" w:space="0" w:color="auto"/>
            </w:tcBorders>
            <w:hideMark/>
          </w:tcPr>
          <w:p w14:paraId="18DE5F19"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Тяжелые крейсера пр.69, легкие крейсера пр.68, авианосцы, канлодки морские пр.61, эсминцы пр.35.</w:t>
            </w:r>
          </w:p>
        </w:tc>
      </w:tr>
      <w:tr w:rsidR="00F93C9A" w:rsidRPr="00DB5D0D" w14:paraId="2780D22E"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hideMark/>
          </w:tcPr>
          <w:p w14:paraId="74E89EF0"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202</w:t>
            </w:r>
          </w:p>
        </w:tc>
        <w:tc>
          <w:tcPr>
            <w:tcW w:w="4193" w:type="dxa"/>
            <w:tcBorders>
              <w:top w:val="single" w:sz="4" w:space="0" w:color="auto"/>
              <w:left w:val="single" w:sz="4" w:space="0" w:color="auto"/>
              <w:bottom w:val="single" w:sz="4" w:space="0" w:color="auto"/>
              <w:right w:val="single" w:sz="4" w:space="0" w:color="auto"/>
            </w:tcBorders>
            <w:hideMark/>
          </w:tcPr>
          <w:p w14:paraId="1B264DBB"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Капитальный и средний ремонт боевых кораблей ТОФ-а.</w:t>
            </w:r>
          </w:p>
        </w:tc>
      </w:tr>
      <w:tr w:rsidR="00F93C9A" w:rsidRPr="00DB5D0D" w14:paraId="160295A0"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tcPr>
          <w:p w14:paraId="140C00FC"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264</w:t>
            </w:r>
          </w:p>
        </w:tc>
        <w:tc>
          <w:tcPr>
            <w:tcW w:w="4193" w:type="dxa"/>
            <w:tcBorders>
              <w:top w:val="single" w:sz="4" w:space="0" w:color="auto"/>
              <w:left w:val="single" w:sz="4" w:space="0" w:color="auto"/>
              <w:bottom w:val="single" w:sz="4" w:space="0" w:color="auto"/>
              <w:right w:val="single" w:sz="4" w:space="0" w:color="auto"/>
            </w:tcBorders>
          </w:tcPr>
          <w:p w14:paraId="2B8E87F5"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Бронекатера большие т.1124, бронекатера Морские,. охотники за подлодкам! большие</w:t>
            </w:r>
          </w:p>
        </w:tc>
      </w:tr>
      <w:tr w:rsidR="00F93C9A" w:rsidRPr="00DB5D0D" w14:paraId="4F450623"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tcPr>
          <w:p w14:paraId="7C32E9DF"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300</w:t>
            </w:r>
          </w:p>
        </w:tc>
        <w:tc>
          <w:tcPr>
            <w:tcW w:w="4193" w:type="dxa"/>
            <w:tcBorders>
              <w:top w:val="single" w:sz="4" w:space="0" w:color="auto"/>
              <w:left w:val="single" w:sz="4" w:space="0" w:color="auto"/>
              <w:bottom w:val="single" w:sz="4" w:space="0" w:color="auto"/>
              <w:right w:val="single" w:sz="4" w:space="0" w:color="auto"/>
            </w:tcBorders>
          </w:tcPr>
          <w:p w14:paraId="48430C8B"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Охотники эа подлодками большие, мониторы легкие речные т. СБ-57, мониторы речные легкие нового типа.</w:t>
            </w:r>
          </w:p>
        </w:tc>
      </w:tr>
      <w:tr w:rsidR="00F93C9A" w:rsidRPr="00DB5D0D" w14:paraId="26CA13ED"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tcPr>
          <w:p w14:paraId="26095E28"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340</w:t>
            </w:r>
          </w:p>
        </w:tc>
        <w:tc>
          <w:tcPr>
            <w:tcW w:w="4193" w:type="dxa"/>
            <w:tcBorders>
              <w:top w:val="single" w:sz="4" w:space="0" w:color="auto"/>
              <w:left w:val="single" w:sz="4" w:space="0" w:color="auto"/>
              <w:bottom w:val="single" w:sz="4" w:space="0" w:color="auto"/>
              <w:right w:val="single" w:sz="4" w:space="0" w:color="auto"/>
            </w:tcBorders>
          </w:tcPr>
          <w:p w14:paraId="506DFE85"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Охотники эа n/л большие, бронекатера т.1125.</w:t>
            </w:r>
          </w:p>
        </w:tc>
      </w:tr>
      <w:tr w:rsidR="00F93C9A" w:rsidRPr="00DB5D0D" w14:paraId="7C1AE1FE"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tcPr>
          <w:p w14:paraId="316B3C3F"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341</w:t>
            </w:r>
          </w:p>
        </w:tc>
        <w:tc>
          <w:tcPr>
            <w:tcW w:w="4193" w:type="dxa"/>
            <w:tcBorders>
              <w:top w:val="single" w:sz="4" w:space="0" w:color="auto"/>
              <w:left w:val="single" w:sz="4" w:space="0" w:color="auto"/>
              <w:bottom w:val="single" w:sz="4" w:space="0" w:color="auto"/>
              <w:right w:val="single" w:sz="4" w:space="0" w:color="auto"/>
            </w:tcBorders>
          </w:tcPr>
          <w:p w14:paraId="79F30BDC"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Торпедные катера дюралевые</w:t>
            </w:r>
          </w:p>
        </w:tc>
      </w:tr>
      <w:tr w:rsidR="00F93C9A" w:rsidRPr="00DB5D0D" w14:paraId="4F5DFFCE"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tcPr>
          <w:p w14:paraId="2E5CBCD8"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201</w:t>
            </w:r>
          </w:p>
        </w:tc>
        <w:tc>
          <w:tcPr>
            <w:tcW w:w="4193" w:type="dxa"/>
            <w:tcBorders>
              <w:top w:val="single" w:sz="4" w:space="0" w:color="auto"/>
              <w:left w:val="single" w:sz="4" w:space="0" w:color="auto"/>
              <w:bottom w:val="single" w:sz="4" w:space="0" w:color="auto"/>
              <w:right w:val="single" w:sz="4" w:space="0" w:color="auto"/>
            </w:tcBorders>
          </w:tcPr>
          <w:p w14:paraId="36C56FC7"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Быстроходные тральщики пр.59, сторожевые корабли пр.29, ремонт кораблей.</w:t>
            </w:r>
          </w:p>
        </w:tc>
      </w:tr>
      <w:tr w:rsidR="00F93C9A" w:rsidRPr="00DB5D0D" w14:paraId="510A9917"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tcPr>
          <w:p w14:paraId="642B6BDC"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112</w:t>
            </w:r>
          </w:p>
        </w:tc>
        <w:tc>
          <w:tcPr>
            <w:tcW w:w="4193" w:type="dxa"/>
            <w:tcBorders>
              <w:top w:val="single" w:sz="4" w:space="0" w:color="auto"/>
              <w:left w:val="single" w:sz="4" w:space="0" w:color="auto"/>
              <w:bottom w:val="single" w:sz="4" w:space="0" w:color="auto"/>
              <w:right w:val="single" w:sz="4" w:space="0" w:color="auto"/>
            </w:tcBorders>
          </w:tcPr>
          <w:p w14:paraId="70D5B195"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Подлодки 1Х с., подлодки ХУ с, канлодки</w:t>
            </w:r>
          </w:p>
        </w:tc>
      </w:tr>
      <w:tr w:rsidR="00F93C9A" w:rsidRPr="00DB5D0D" w14:paraId="31F7BDD9"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tcPr>
          <w:p w14:paraId="1E9FD9DB"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370</w:t>
            </w:r>
          </w:p>
        </w:tc>
        <w:tc>
          <w:tcPr>
            <w:tcW w:w="4193" w:type="dxa"/>
            <w:tcBorders>
              <w:top w:val="single" w:sz="4" w:space="0" w:color="auto"/>
              <w:left w:val="single" w:sz="4" w:space="0" w:color="auto"/>
              <w:bottom w:val="single" w:sz="4" w:space="0" w:color="auto"/>
              <w:right w:val="single" w:sz="4" w:space="0" w:color="auto"/>
            </w:tcBorders>
          </w:tcPr>
          <w:p w14:paraId="75755982"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Быстроходные тральщики пр. 59, тральщики базовые пр. 60</w:t>
            </w:r>
          </w:p>
        </w:tc>
      </w:tr>
      <w:tr w:rsidR="00F93C9A" w:rsidRPr="00DB5D0D" w14:paraId="19DCF55B" w14:textId="77777777" w:rsidTr="007609C9">
        <w:trPr>
          <w:trHeight w:val="841"/>
        </w:trPr>
        <w:tc>
          <w:tcPr>
            <w:tcW w:w="1019" w:type="dxa"/>
            <w:tcBorders>
              <w:top w:val="single" w:sz="4" w:space="0" w:color="auto"/>
              <w:left w:val="single" w:sz="4" w:space="0" w:color="auto"/>
              <w:bottom w:val="single" w:sz="4" w:space="0" w:color="auto"/>
              <w:right w:val="single" w:sz="4" w:space="0" w:color="auto"/>
            </w:tcBorders>
          </w:tcPr>
          <w:p w14:paraId="083AFDC9"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363</w:t>
            </w:r>
          </w:p>
        </w:tc>
        <w:tc>
          <w:tcPr>
            <w:tcW w:w="4193" w:type="dxa"/>
            <w:tcBorders>
              <w:top w:val="single" w:sz="4" w:space="0" w:color="auto"/>
              <w:left w:val="single" w:sz="4" w:space="0" w:color="auto"/>
              <w:bottom w:val="single" w:sz="4" w:space="0" w:color="auto"/>
              <w:right w:val="single" w:sz="4" w:space="0" w:color="auto"/>
            </w:tcBorders>
          </w:tcPr>
          <w:p w14:paraId="5A26B43A"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Быстроходные тральщики пр. 59</w:t>
            </w:r>
          </w:p>
        </w:tc>
      </w:tr>
    </w:tbl>
    <w:p w14:paraId="4CBD6732"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План на 1У-е пятилетие НКСП составлен с учетом использования всех стапельных мест, за исключением:</w:t>
      </w:r>
    </w:p>
    <w:p w14:paraId="192CB96A"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Зав. № 189 - в связи с большой загрузкой за</w:t>
      </w:r>
      <w:r w:rsidRPr="00DB5D0D">
        <w:rPr>
          <w:rFonts w:ascii="Times New Roman" w:hAnsi="Times New Roman"/>
          <w:color w:val="0070C0"/>
          <w:sz w:val="16"/>
          <w:szCs w:val="16"/>
        </w:rPr>
        <w:softHyphen/>
        <w:t>вода строительством линкоров и легких крейсеров, а такие на случай судопод’ема слипы № 1 и № 2 совершен</w:t>
      </w:r>
      <w:r w:rsidRPr="00DB5D0D">
        <w:rPr>
          <w:rFonts w:ascii="Times New Roman" w:hAnsi="Times New Roman"/>
          <w:color w:val="0070C0"/>
          <w:sz w:val="16"/>
          <w:szCs w:val="16"/>
        </w:rPr>
        <w:softHyphen/>
        <w:t>но не загружаются закладкой новых кораблей, а за</w:t>
      </w:r>
      <w:r w:rsidRPr="00DB5D0D">
        <w:rPr>
          <w:rFonts w:ascii="Times New Roman" w:hAnsi="Times New Roman"/>
          <w:color w:val="0070C0"/>
          <w:sz w:val="16"/>
          <w:szCs w:val="16"/>
        </w:rPr>
        <w:softHyphen/>
        <w:t>грузка слипа № 3 предусматривается только с 1946 года.</w:t>
      </w:r>
    </w:p>
    <w:p w14:paraId="63D1DF96"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Зав. № 190 - НКСП оставляет незагруженными 2 слипа (№ 1 и № 2) для судопод’ема строящихся и капитально ремонтируемых кораблей.</w:t>
      </w:r>
    </w:p>
    <w:p w14:paraId="057B73A8"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Зав. № 199 - незанятыми остаются боковые ста</w:t>
      </w:r>
      <w:r w:rsidRPr="00DB5D0D">
        <w:rPr>
          <w:rFonts w:ascii="Times New Roman" w:hAnsi="Times New Roman"/>
          <w:color w:val="0070C0"/>
          <w:sz w:val="16"/>
          <w:szCs w:val="16"/>
        </w:rPr>
        <w:softHyphen/>
        <w:t>пеля завода, так как работа на открытых местах по климатическим условиям, при наличии доков ,нерациональ</w:t>
      </w:r>
      <w:r w:rsidRPr="00DB5D0D">
        <w:rPr>
          <w:rFonts w:ascii="Times New Roman" w:hAnsi="Times New Roman"/>
          <w:color w:val="0070C0"/>
          <w:sz w:val="16"/>
          <w:szCs w:val="16"/>
        </w:rPr>
        <w:softHyphen/>
        <w:t>на.</w:t>
      </w:r>
    </w:p>
    <w:p w14:paraId="6C10B8AA"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1943 году НКСП предусматривает ввод в эксплоатацию еще одного нового эллинга ."Г", что увеличивает количество строящихся ежегодно кораблей на 8 единиц (4 в доке и 4 в достройке)</w:t>
      </w:r>
    </w:p>
    <w:p w14:paraId="58893A48"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Зав. № 194 - площадки № 1 и № 2, на которых происходила постройка мелких судов, не загружаются в связи с переводом завода на строительство больших боевых кораблей (тяжелых и легких крейсеров).</w:t>
      </w:r>
    </w:p>
    <w:p w14:paraId="238DC4FC"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Зав. № 402 - НКСП оставляет три резервных места на слипах № 4, № 5 и № 6 для судопод’ема.</w:t>
      </w:r>
    </w:p>
    <w:p w14:paraId="10CAAF72"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Второй эллинг завода № 402 загружается с 1946 года постройкой одновременно 2-х тяжелых крейсеров пр.69.</w:t>
      </w:r>
    </w:p>
    <w:p w14:paraId="4AB96F39"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отношении сроков сдачи НКСП считает целесо</w:t>
      </w:r>
      <w:r w:rsidRPr="00DB5D0D">
        <w:rPr>
          <w:rFonts w:ascii="Times New Roman" w:hAnsi="Times New Roman"/>
          <w:color w:val="0070C0"/>
          <w:sz w:val="16"/>
          <w:szCs w:val="16"/>
        </w:rPr>
        <w:softHyphen/>
        <w:t>образным произвести изменения их по линкорам пр.23 на заводе № 402, а именно:</w:t>
      </w:r>
    </w:p>
    <w:p w14:paraId="46ECAA22"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Линкор № 102 закладываемый в июле 1940 г. обес</w:t>
      </w:r>
      <w:r w:rsidRPr="00DB5D0D">
        <w:rPr>
          <w:rFonts w:ascii="Times New Roman" w:hAnsi="Times New Roman"/>
          <w:color w:val="0070C0"/>
          <w:sz w:val="16"/>
          <w:szCs w:val="16"/>
        </w:rPr>
        <w:softHyphen/>
        <w:t>печен импортным турбинами и будет строиться с боль</w:t>
      </w:r>
      <w:r w:rsidRPr="00DB5D0D">
        <w:rPr>
          <w:rFonts w:ascii="Times New Roman" w:hAnsi="Times New Roman"/>
          <w:color w:val="0070C0"/>
          <w:sz w:val="16"/>
          <w:szCs w:val="16"/>
        </w:rPr>
        <w:softHyphen/>
        <w:t>шим опережением по сравнению с линкором № 101, зало</w:t>
      </w:r>
      <w:r w:rsidRPr="00DB5D0D">
        <w:rPr>
          <w:rFonts w:ascii="Times New Roman" w:hAnsi="Times New Roman"/>
          <w:color w:val="0070C0"/>
          <w:sz w:val="16"/>
          <w:szCs w:val="16"/>
        </w:rPr>
        <w:softHyphen/>
        <w:t>женным в 1У квартале 1939 года. В связи с этим линкор № 101 может быть сдан только в 1945 г., в то время как сдача линкора № 102 будет произведена в 1944 году. Кроме того сдача двух линкоров пр. 23 в один год, на одном заводе не является реальной.</w:t>
      </w:r>
    </w:p>
    <w:p w14:paraId="0047BEAF"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план строительства боевых кораблей на 1У-е пятилетие на 4-х листах (21955).</w:t>
      </w:r>
    </w:p>
    <w:p w14:paraId="5B6AFB5E" w14:textId="77777777" w:rsidR="00F93C9A" w:rsidRPr="00DB5D0D" w:rsidRDefault="00F93C9A"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5C56FFDB"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июля 1940 вышло Постановление Комитета обороны при СНК СССР №331сс "Об утверждении плана опытных заказов НКВМФ на 1940 г." с приложениями</w:t>
      </w:r>
    </w:p>
    <w:p w14:paraId="10A260FC"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ОБОРОНИ при СНК Союза ПОССТАНОВЛЯЕТ:</w:t>
      </w:r>
    </w:p>
    <w:p w14:paraId="406F50A7"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Утвердить план опытных заказов НКВМФ на 1940 г. на общую сумму 120.000,0 тыс. рубл., согласно приложений № 2 - 24, за счет госбюджетных ассигнований НКВМФ’у на опытные заказы в 1940 г.</w:t>
      </w:r>
    </w:p>
    <w:p w14:paraId="0975FDD9"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Предложить Наркомсудпрому и НКВКФ по проектам торпед "Вода","Турбинная торпеда", электроторпеды ЭТ-80 и ЭТ-200,- провести в 1940 г. испытания образцов в море в соответствии с указанным в приложении № 2 сроками и дать окончательное заключе</w:t>
      </w:r>
      <w:r w:rsidRPr="00DB5D0D">
        <w:rPr>
          <w:rFonts w:ascii="Times New Roman" w:hAnsi="Times New Roman"/>
          <w:color w:val="0070C0"/>
          <w:sz w:val="16"/>
          <w:szCs w:val="16"/>
        </w:rPr>
        <w:softHyphen/>
        <w:t>ние о целесообразности продолжения разработки перечисленных торпед.</w:t>
      </w:r>
    </w:p>
    <w:p w14:paraId="0E9825E2"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Отметить невыполнение Наркоматом Судостроительной Промышленности сроков проектирования и изготовления опытных образ</w:t>
      </w:r>
      <w:r w:rsidRPr="00DB5D0D">
        <w:rPr>
          <w:rFonts w:ascii="Times New Roman" w:hAnsi="Times New Roman"/>
          <w:color w:val="0070C0"/>
          <w:sz w:val="16"/>
          <w:szCs w:val="16"/>
        </w:rPr>
        <w:softHyphen/>
        <w:t>цов минно-торпедного вооружения, выполняемых ЦКБ-39, ЦКБ-36 и заво</w:t>
      </w:r>
      <w:r w:rsidRPr="00DB5D0D">
        <w:rPr>
          <w:rFonts w:ascii="Times New Roman" w:hAnsi="Times New Roman"/>
          <w:color w:val="0070C0"/>
          <w:sz w:val="16"/>
          <w:szCs w:val="16"/>
        </w:rPr>
        <w:softHyphen/>
        <w:t>дами № 231 и 239 НКСП по постановлениям КО № 202сс и № 227сс.</w:t>
      </w:r>
    </w:p>
    <w:p w14:paraId="7DF1FD7B"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Обязать Наркомсудпром:</w:t>
      </w:r>
    </w:p>
    <w:p w14:paraId="4796423B"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форсировать работы по внедрению заменителей цветных металлов в производстве минно-торпедного вооружения (замена цвет</w:t>
      </w:r>
      <w:r w:rsidRPr="00DB5D0D">
        <w:rPr>
          <w:rFonts w:ascii="Times New Roman" w:hAnsi="Times New Roman"/>
          <w:color w:val="0070C0"/>
          <w:sz w:val="16"/>
          <w:szCs w:val="16"/>
        </w:rPr>
        <w:softHyphen/>
        <w:t>ных металлов на черные металлы, безоловянистые бронзы, пластмассы)</w:t>
      </w:r>
    </w:p>
    <w:p w14:paraId="6A77B6A9"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прекратить дальнейшие работы по следующим опытным об"ектам, утвержденным ранее к исполнению Правительственными по</w:t>
      </w:r>
      <w:r w:rsidRPr="00DB5D0D">
        <w:rPr>
          <w:rFonts w:ascii="Times New Roman" w:hAnsi="Times New Roman"/>
          <w:color w:val="0070C0"/>
          <w:sz w:val="16"/>
          <w:szCs w:val="16"/>
        </w:rPr>
        <w:softHyphen/>
        <w:t>становлениями:</w:t>
      </w:r>
    </w:p>
    <w:p w14:paraId="0DA75A73"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осушительные эжекторы - пост.КО № 197 от 13.7.1939г.</w:t>
      </w:r>
    </w:p>
    <w:p w14:paraId="68459437"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"Гиропилот"( реализация предложения инженера Алексеева;</w:t>
      </w:r>
    </w:p>
    <w:p w14:paraId="5053E2CA"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типовая мина - пост. КО № 227сс от 19.9.1938 г.</w:t>
      </w:r>
    </w:p>
    <w:p w14:paraId="3D302CEF"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Предложить НКВМФ и Наркоматам - исполнителям опытных заказов НКРМФ’а:</w:t>
      </w:r>
    </w:p>
    <w:p w14:paraId="7C38A696"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в декадный срок заключить договора на выполнение опытных заказов НКВМФ;</w:t>
      </w:r>
    </w:p>
    <w:p w14:paraId="245BB990"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установить систематический контроль за выполнение плана опытных заказов НКВМФ"а, представляя в КО отчеты о ходе их выполне</w:t>
      </w:r>
      <w:r w:rsidRPr="00DB5D0D">
        <w:rPr>
          <w:rFonts w:ascii="Times New Roman" w:hAnsi="Times New Roman"/>
          <w:color w:val="0070C0"/>
          <w:sz w:val="16"/>
          <w:szCs w:val="16"/>
        </w:rPr>
        <w:softHyphen/>
        <w:t>ния в соответствии с постановлением КО № 282сс от 10.8.1929 г.</w:t>
      </w:r>
    </w:p>
    <w:p w14:paraId="6DEA8088"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Затраты на каждую тему (или об"ект) в пределах утвержденного настоящим постановлением плана устанавливает Нарком (21961).</w:t>
      </w:r>
    </w:p>
    <w:p w14:paraId="5851DC96" w14:textId="77777777" w:rsidR="00F93C9A" w:rsidRPr="00DB5D0D" w:rsidRDefault="00F93C9A" w:rsidP="00DB5D0D">
      <w:pPr>
        <w:spacing w:after="0" w:line="240" w:lineRule="auto"/>
        <w:jc w:val="both"/>
        <w:rPr>
          <w:rFonts w:ascii="Times New Roman" w:hAnsi="Times New Roman"/>
          <w:color w:val="0070C0"/>
          <w:sz w:val="16"/>
          <w:szCs w:val="16"/>
        </w:rPr>
      </w:pPr>
    </w:p>
    <w:p w14:paraId="57885802"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июля 1940 вышло Постановление Комитета обороны при СНК СССР № 330сс о частичном изменении постановления Комитета обороны о производстве минно-трального оружия (21960).</w:t>
      </w:r>
    </w:p>
    <w:p w14:paraId="24A525B0" w14:textId="77777777" w:rsidR="00F93C9A" w:rsidRPr="00DB5D0D" w:rsidRDefault="00F93C9A" w:rsidP="00DB5D0D">
      <w:pPr>
        <w:spacing w:after="0" w:line="240" w:lineRule="auto"/>
        <w:jc w:val="both"/>
        <w:rPr>
          <w:rFonts w:ascii="Times New Roman" w:hAnsi="Times New Roman"/>
          <w:color w:val="0070C0"/>
          <w:sz w:val="16"/>
          <w:szCs w:val="16"/>
        </w:rPr>
      </w:pPr>
    </w:p>
    <w:p w14:paraId="6EA3860F"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июля 1940 вышло Постановление Комитета обороны при СНК СССР № 326с "О передаче на слом линкора „Полтава“" (21956).</w:t>
      </w:r>
    </w:p>
    <w:p w14:paraId="125AE556" w14:textId="77777777" w:rsidR="00F93C9A" w:rsidRPr="00DB5D0D" w:rsidRDefault="00F93C9A" w:rsidP="00DB5D0D">
      <w:pPr>
        <w:spacing w:after="0" w:line="240" w:lineRule="auto"/>
        <w:jc w:val="both"/>
        <w:rPr>
          <w:rFonts w:ascii="Times New Roman" w:hAnsi="Times New Roman"/>
          <w:color w:val="0070C0"/>
          <w:sz w:val="16"/>
          <w:szCs w:val="16"/>
        </w:rPr>
      </w:pPr>
    </w:p>
    <w:p w14:paraId="441CDFB2" w14:textId="77777777" w:rsidR="00F93C9A" w:rsidRPr="00DB5D0D" w:rsidRDefault="00F93C9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июля 1940 вышло Постановление Комитета обороны при СНК СССР № 327сс "Об обеспечении строительства подводной лодки ПЛ-95" (21957).</w:t>
      </w:r>
    </w:p>
    <w:p w14:paraId="22BE8622" w14:textId="77777777" w:rsidR="00F93C9A" w:rsidRPr="00DB5D0D" w:rsidRDefault="00F93C9A" w:rsidP="00DB5D0D">
      <w:pPr>
        <w:spacing w:after="0" w:line="240" w:lineRule="auto"/>
        <w:jc w:val="both"/>
        <w:rPr>
          <w:rFonts w:ascii="Times New Roman" w:hAnsi="Times New Roman"/>
          <w:color w:val="0070C0"/>
          <w:sz w:val="16"/>
          <w:szCs w:val="16"/>
        </w:rPr>
      </w:pPr>
    </w:p>
    <w:p w14:paraId="3AA214FC" w14:textId="77777777" w:rsidR="003C7E8B"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Жизнь</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и</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внутренняя</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политика</w:t>
      </w:r>
      <w:r w:rsidRPr="00DB5D0D">
        <w:rPr>
          <w:rFonts w:ascii="Times New Roman" w:hAnsi="Times New Roman"/>
          <w:i/>
          <w:iCs/>
          <w:color w:val="000000" w:themeColor="text1"/>
          <w:sz w:val="16"/>
          <w:szCs w:val="16"/>
          <w:lang w:val="en-US"/>
        </w:rPr>
        <w:t>:</w:t>
      </w:r>
    </w:p>
    <w:p w14:paraId="770BE535" w14:textId="77777777" w:rsidR="003C7E8B" w:rsidRPr="00DB5D0D" w:rsidRDefault="003C7E8B" w:rsidP="00DB5D0D">
      <w:pPr>
        <w:spacing w:after="0" w:line="240" w:lineRule="auto"/>
        <w:jc w:val="both"/>
        <w:rPr>
          <w:rFonts w:ascii="Times New Roman" w:hAnsi="Times New Roman"/>
          <w:iCs/>
          <w:color w:val="000000" w:themeColor="text1"/>
          <w:sz w:val="16"/>
          <w:szCs w:val="16"/>
          <w:lang w:val="en-US"/>
        </w:rPr>
      </w:pPr>
    </w:p>
    <w:p w14:paraId="1E65150C"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lastRenderedPageBreak/>
        <w:t>July 23, 1940: The Soviets take Lithuania, Latvia and Estonia, as per the Soviet-German non-agression pact in which Poland was divided between the two, and the Baltic Nations were "given" to the Soviets. A provisional Czech Government is set up in London under Dr. Benes (3819).</w:t>
      </w:r>
    </w:p>
    <w:p w14:paraId="26E52B54"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40BBF14F"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23 1940 Soviets take Lithuania, Latvia and Estonia (1050).</w:t>
      </w:r>
    </w:p>
    <w:p w14:paraId="05253B98"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006BEC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СССР поглотил Литву, Латвию и Эстонию (1050).</w:t>
      </w:r>
    </w:p>
    <w:p w14:paraId="474FFF1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2F91A0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9683E3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F284668" w14:textId="77777777" w:rsidR="004F7F7E" w:rsidRPr="00DB5D0D" w:rsidRDefault="004F7F7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июля в 1940 году ночью с 22 июля оснащенный радаром </w:t>
      </w:r>
      <w:hyperlink r:id="rId218" w:tgtFrame="_blank" w:history="1">
        <w:r w:rsidRPr="00DB5D0D">
          <w:rPr>
            <w:rFonts w:ascii="Times New Roman" w:hAnsi="Times New Roman"/>
            <w:color w:val="000000" w:themeColor="text1"/>
            <w:sz w:val="16"/>
            <w:szCs w:val="16"/>
          </w:rPr>
          <w:t xml:space="preserve">"Бленхейм" «IF» </w:t>
        </w:r>
      </w:hyperlink>
      <w:r w:rsidRPr="00DB5D0D">
        <w:rPr>
          <w:rFonts w:ascii="Times New Roman" w:hAnsi="Times New Roman"/>
          <w:color w:val="000000" w:themeColor="text1"/>
          <w:sz w:val="16"/>
          <w:szCs w:val="16"/>
        </w:rPr>
        <w:t>с РЛС «AI Mk.III», высланный для испытательных целей из подразделения истребителей-перехватчиков в Тангмере, установил радиоконтакт с группой из шести бомбардировщиков люфтваффе. Он смог приблизиться к одному из «Дорнье» «Do 17» на дистанцию визуального обнаружения, атаковал и уничтожил его. Это была первая зафиксированная победа истребителя, несущего радиолокатор и, хотя многое здесь было случайным, она воодушевила на дальнейшие усилия в этой области. Переход эскадрилий "Бленхеймов" на роль ночных истребителей ускорили. Шесть таких эскадрилий обеспечивали ПВО Великобритании, когда немцы начали ночной "Блиц" против английских городов в 1940 году (14961).</w:t>
      </w:r>
    </w:p>
    <w:p w14:paraId="4721EFFA" w14:textId="77777777" w:rsidR="004F7F7E" w:rsidRPr="00DB5D0D" w:rsidRDefault="004F7F7E" w:rsidP="00DB5D0D">
      <w:pPr>
        <w:spacing w:after="0" w:line="240" w:lineRule="auto"/>
        <w:jc w:val="both"/>
        <w:rPr>
          <w:rFonts w:ascii="Times New Roman" w:hAnsi="Times New Roman"/>
          <w:color w:val="000000" w:themeColor="text1"/>
          <w:sz w:val="16"/>
          <w:szCs w:val="16"/>
        </w:rPr>
      </w:pPr>
    </w:p>
    <w:p w14:paraId="7C002EB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 Лондоне сформировано чешское правительство в изгнании во главе с Э. Бенешом (4962).</w:t>
      </w:r>
    </w:p>
    <w:p w14:paraId="2E0E48E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751089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 Лондоне было организовано временное правительство Чехословакии во главе с Бенешем (3819).</w:t>
      </w:r>
    </w:p>
    <w:p w14:paraId="167913A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DF3C1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июля 1940 в Великобритании ввели налог с продаж (3907,223).</w:t>
      </w:r>
    </w:p>
    <w:p w14:paraId="4B4822C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96A6D2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2E9601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E18D2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была отпечатана справка по основным данным опытного самолета БШ АМ-35:</w:t>
      </w:r>
    </w:p>
    <w:p w14:paraId="195D2C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Макс. скорость на высоте - 422 км/час на 5000</w:t>
      </w:r>
    </w:p>
    <w:p w14:paraId="2678F6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Скорость макс. у земли - 362 км/час</w:t>
      </w:r>
    </w:p>
    <w:p w14:paraId="09A535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Скорость посадочная - 140 км/час</w:t>
      </w:r>
    </w:p>
    <w:p w14:paraId="21FA40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Дальность - 618 км</w:t>
      </w:r>
    </w:p>
    <w:p w14:paraId="187FFE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Нагрузка нормальная - 1110 кг</w:t>
      </w:r>
    </w:p>
    <w:p w14:paraId="015E6A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Экипаж - 1</w:t>
      </w:r>
    </w:p>
    <w:p w14:paraId="1E3883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Вооружение - 4хШКАС, 1хШКАС турельный, 400 кг бомб</w:t>
      </w:r>
    </w:p>
    <w:p w14:paraId="791B8B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Характеристика конструкции - Крыло дюралевое, лонжероны со стальными профилями. Фюзеляж - передняя часть из броневой стали, хвостовая - из шпона. Оперение дюралевое (2090,129).</w:t>
      </w:r>
    </w:p>
    <w:p w14:paraId="30BC98A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380D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Нач. ВВС г-л Смушкевич и Чл. военсовета ВВС дк Агальцов утвердили Отчет по войсковым испытаниям ББ-1 М-88, которые проходили с 17 мая по 20 июня 1940 (2942).</w:t>
      </w:r>
    </w:p>
    <w:p w14:paraId="576951D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7492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А.И.М., М.И.Гуревич и директор завода 1 П.В.Дементьев утвердили эскизный проект ПБШ-1, подготовленный начальником бригады аэродинамики Н.З.Матюком (1084,28).</w:t>
      </w:r>
    </w:p>
    <w:p w14:paraId="5929B3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же был и проект биплана ПБШ-2 (МиГ-4) (1084,30).</w:t>
      </w:r>
    </w:p>
    <w:p w14:paraId="2FD74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есть конкурс штурмовиков мог быть весенним, а не осенним.</w:t>
      </w:r>
    </w:p>
    <w:p w14:paraId="70E7A6C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1F6E676" w14:textId="77777777" w:rsidR="003C7E8B" w:rsidRPr="00DB5D0D" w:rsidRDefault="003C7E8B" w:rsidP="00DB5D0D">
      <w:pPr>
        <w:pStyle w:val="a3"/>
        <w:widowControl/>
        <w:rPr>
          <w:color w:val="000000" w:themeColor="text1"/>
          <w:lang w:val="ru-RU"/>
        </w:rPr>
      </w:pPr>
      <w:r w:rsidRPr="00DB5D0D">
        <w:rPr>
          <w:color w:val="000000" w:themeColor="text1"/>
          <w:lang w:val="ru-RU"/>
        </w:rPr>
        <w:t>24 июля 1940 года нарком обороны маршал С. Тимошенко писал письмо № 17010с председателю КО Ворошилову К.Е.</w:t>
      </w:r>
    </w:p>
    <w:p w14:paraId="77F3E434" w14:textId="77777777" w:rsidR="003C7E8B" w:rsidRPr="00DB5D0D" w:rsidRDefault="003C7E8B" w:rsidP="00DB5D0D">
      <w:pPr>
        <w:pStyle w:val="a3"/>
        <w:widowControl/>
        <w:rPr>
          <w:color w:val="000000" w:themeColor="text1"/>
          <w:lang w:val="ru-RU"/>
        </w:rPr>
      </w:pPr>
      <w:r w:rsidRPr="00DB5D0D">
        <w:rPr>
          <w:color w:val="000000" w:themeColor="text1"/>
          <w:lang w:val="ru-RU"/>
        </w:rPr>
        <w:t>Докладываю о результатах обследования заместителем начальника ВВС генерал-лейтенантом авиации Рычаговым и начальником НИИ ВВС генерал-майором авиации Филиным состояния постройки на заводе № 135 и эксплуатации в строевых частях ВВС ХВО самолетов ББ-1 с мотором М-88.</w:t>
      </w:r>
    </w:p>
    <w:p w14:paraId="62868698" w14:textId="77777777" w:rsidR="003C7E8B" w:rsidRPr="00DB5D0D" w:rsidRDefault="003C7E8B" w:rsidP="00DB5D0D">
      <w:pPr>
        <w:pStyle w:val="a3"/>
        <w:widowControl/>
        <w:rPr>
          <w:color w:val="000000" w:themeColor="text1"/>
          <w:lang w:val="ru-RU"/>
        </w:rPr>
      </w:pPr>
      <w:r w:rsidRPr="00DB5D0D">
        <w:rPr>
          <w:color w:val="000000" w:themeColor="text1"/>
          <w:lang w:val="ru-RU"/>
        </w:rPr>
        <w:t>При обследовании были выполнены контрольные полеты генерал-лейтенантом авиации Рычаговым, генерал-майором авиации Филиным и летчиком-испытателем майором Стефановским; кроме этого летчиками 135 авиаполка были произведены полеты с бомбовой нагрузкой 400 и 700 кг. Взлет самолета ББ-1 с нагрузкой в 700 кг происходил нормально.</w:t>
      </w:r>
    </w:p>
    <w:p w14:paraId="5DE64EC2" w14:textId="77777777" w:rsidR="003C7E8B" w:rsidRPr="00DB5D0D" w:rsidRDefault="003C7E8B" w:rsidP="00DB5D0D">
      <w:pPr>
        <w:pStyle w:val="a3"/>
        <w:widowControl/>
        <w:rPr>
          <w:color w:val="000000" w:themeColor="text1"/>
          <w:lang w:val="ru-RU"/>
        </w:rPr>
      </w:pPr>
      <w:r w:rsidRPr="00DB5D0D">
        <w:rPr>
          <w:color w:val="000000" w:themeColor="text1"/>
          <w:lang w:val="ru-RU"/>
        </w:rPr>
        <w:t>Обследование подтвердило наличие у самолета ряда существенных положительных сторон, отмеченных ранее государственными и войсковыми испытаниями самолетов ББ-1:</w:t>
      </w:r>
    </w:p>
    <w:p w14:paraId="676844A3"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Сравнительно простые качества самолета в отношении техники пилотирования.</w:t>
      </w:r>
    </w:p>
    <w:p w14:paraId="261E0B17"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Мощное бомбовое вооружение – в нормальном варианте самолет берет до 500 кг бомб калибра от 1 кг до 250 кг и в перегрузочном варианте, проверенном на войсковых испытаниях до 700 кг.</w:t>
      </w:r>
    </w:p>
    <w:p w14:paraId="699C3E14"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Хорошую огневую мощь самолета в варианте штурмовика:</w:t>
      </w:r>
    </w:p>
    <w:p w14:paraId="2A068578" w14:textId="77777777" w:rsidR="003C7E8B" w:rsidRPr="00DB5D0D" w:rsidRDefault="003C7E8B" w:rsidP="00DB5D0D">
      <w:pPr>
        <w:pStyle w:val="a3"/>
        <w:widowControl/>
        <w:rPr>
          <w:color w:val="000000" w:themeColor="text1"/>
          <w:lang w:val="ru-RU"/>
        </w:rPr>
      </w:pPr>
      <w:r w:rsidRPr="00DB5D0D">
        <w:rPr>
          <w:color w:val="000000" w:themeColor="text1"/>
          <w:lang w:val="ru-RU"/>
        </w:rPr>
        <w:t>а) 4 крыльевых пулемета ШКАС 7,62 мм с запасом патрон 850 штук на пулемет;</w:t>
      </w:r>
    </w:p>
    <w:p w14:paraId="573B1E44" w14:textId="77777777" w:rsidR="003C7E8B" w:rsidRPr="00DB5D0D" w:rsidRDefault="003C7E8B" w:rsidP="00DB5D0D">
      <w:pPr>
        <w:pStyle w:val="a3"/>
        <w:widowControl/>
        <w:rPr>
          <w:color w:val="000000" w:themeColor="text1"/>
          <w:lang w:val="ru-RU"/>
        </w:rPr>
      </w:pPr>
      <w:r w:rsidRPr="00DB5D0D">
        <w:rPr>
          <w:color w:val="000000" w:themeColor="text1"/>
          <w:lang w:val="ru-RU"/>
        </w:rPr>
        <w:t>б) 1 турельный пулемет с запасом патрон 1000 штук;</w:t>
      </w:r>
    </w:p>
    <w:p w14:paraId="1204F019" w14:textId="77777777" w:rsidR="003C7E8B" w:rsidRPr="00DB5D0D" w:rsidRDefault="003C7E8B" w:rsidP="00DB5D0D">
      <w:pPr>
        <w:pStyle w:val="a3"/>
        <w:widowControl/>
        <w:rPr>
          <w:color w:val="000000" w:themeColor="text1"/>
          <w:lang w:val="ru-RU"/>
        </w:rPr>
      </w:pPr>
      <w:r w:rsidRPr="00DB5D0D">
        <w:rPr>
          <w:color w:val="000000" w:themeColor="text1"/>
          <w:lang w:val="ru-RU"/>
        </w:rPr>
        <w:t>в) 144 бомбы калибра от 1 до 2,5 кг или 30 бомб калибра до 8 до 20 кг.</w:t>
      </w:r>
    </w:p>
    <w:p w14:paraId="627B96F1" w14:textId="77777777" w:rsidR="003C7E8B" w:rsidRPr="00DB5D0D" w:rsidRDefault="003C7E8B" w:rsidP="00DB5D0D">
      <w:pPr>
        <w:pStyle w:val="a3"/>
        <w:widowControl/>
        <w:rPr>
          <w:color w:val="000000" w:themeColor="text1"/>
          <w:lang w:val="ru-RU"/>
        </w:rPr>
      </w:pPr>
      <w:r w:rsidRPr="00DB5D0D">
        <w:rPr>
          <w:color w:val="000000" w:themeColor="text1"/>
          <w:lang w:val="ru-RU"/>
        </w:rPr>
        <w:t>Вместо бомб возможна установка химвооружения двух ВАП-200.</w:t>
      </w:r>
    </w:p>
    <w:p w14:paraId="3A5A8DAB"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Максимальная горизонтальная скорость самолета у земли – 375 км/час</w:t>
      </w:r>
    </w:p>
    <w:p w14:paraId="3EF9A519" w14:textId="77777777" w:rsidR="003C7E8B" w:rsidRPr="00DB5D0D" w:rsidRDefault="003C7E8B" w:rsidP="00DB5D0D">
      <w:pPr>
        <w:pStyle w:val="a3"/>
        <w:widowControl/>
        <w:rPr>
          <w:color w:val="000000" w:themeColor="text1"/>
          <w:lang w:val="ru-RU"/>
        </w:rPr>
      </w:pPr>
      <w:r w:rsidRPr="00DB5D0D">
        <w:rPr>
          <w:color w:val="000000" w:themeColor="text1"/>
          <w:lang w:val="ru-RU"/>
        </w:rPr>
        <w:t>на высоте 6600 м – 467 км/час</w:t>
      </w:r>
    </w:p>
    <w:p w14:paraId="0A3F90F8" w14:textId="77777777" w:rsidR="003C7E8B" w:rsidRPr="00DB5D0D" w:rsidRDefault="003C7E8B" w:rsidP="00DB5D0D">
      <w:pPr>
        <w:pStyle w:val="a3"/>
        <w:widowControl/>
        <w:rPr>
          <w:color w:val="000000" w:themeColor="text1"/>
          <w:lang w:val="ru-RU"/>
        </w:rPr>
      </w:pPr>
      <w:r w:rsidRPr="00DB5D0D">
        <w:rPr>
          <w:color w:val="000000" w:themeColor="text1"/>
          <w:lang w:val="ru-RU"/>
        </w:rPr>
        <w:t>Самолет ББ-1 прошел государственные испытания в НИИ ВВС с удовлетворительной оценкой в апреле 1938 года с мотором М-62, затем в апреле 1939 года с мотором М-87А и был рекомендован к серийной постройке.</w:t>
      </w:r>
    </w:p>
    <w:p w14:paraId="43A92840" w14:textId="77777777" w:rsidR="003C7E8B" w:rsidRPr="00DB5D0D" w:rsidRDefault="003C7E8B" w:rsidP="00DB5D0D">
      <w:pPr>
        <w:pStyle w:val="a3"/>
        <w:widowControl/>
        <w:rPr>
          <w:color w:val="000000" w:themeColor="text1"/>
          <w:lang w:val="ru-RU"/>
        </w:rPr>
      </w:pPr>
      <w:r w:rsidRPr="00DB5D0D">
        <w:rPr>
          <w:color w:val="000000" w:themeColor="text1"/>
          <w:lang w:val="ru-RU"/>
        </w:rPr>
        <w:t>С января по апрель 1940 года самолет ББ-1 проходил совместные испытания с более мощным мотором М-88. За время этих испытаний, вследствие недоведенности винтомоторной группы, самолет имел 4 вынужденных посадки – было заменено 4 мотора.</w:t>
      </w:r>
    </w:p>
    <w:p w14:paraId="4B79F4E5" w14:textId="77777777" w:rsidR="003C7E8B" w:rsidRPr="00DB5D0D" w:rsidRDefault="003C7E8B" w:rsidP="00DB5D0D">
      <w:pPr>
        <w:pStyle w:val="a3"/>
        <w:widowControl/>
        <w:rPr>
          <w:color w:val="000000" w:themeColor="text1"/>
          <w:lang w:val="ru-RU"/>
        </w:rPr>
      </w:pPr>
      <w:r w:rsidRPr="00DB5D0D">
        <w:rPr>
          <w:color w:val="000000" w:themeColor="text1"/>
          <w:lang w:val="ru-RU"/>
        </w:rPr>
        <w:t>Благодаря внимательности экипажа все вынужденные посадки кончились благополучно.</w:t>
      </w:r>
    </w:p>
    <w:p w14:paraId="20B4C046" w14:textId="77777777" w:rsidR="003C7E8B" w:rsidRPr="00DB5D0D" w:rsidRDefault="003C7E8B" w:rsidP="00DB5D0D">
      <w:pPr>
        <w:pStyle w:val="a3"/>
        <w:widowControl/>
        <w:rPr>
          <w:color w:val="000000" w:themeColor="text1"/>
          <w:lang w:val="ru-RU"/>
        </w:rPr>
      </w:pPr>
      <w:r w:rsidRPr="00DB5D0D">
        <w:rPr>
          <w:color w:val="000000" w:themeColor="text1"/>
          <w:lang w:val="ru-RU"/>
        </w:rPr>
        <w:t>Недоведенность винтомоторной группы заключалась:</w:t>
      </w:r>
    </w:p>
    <w:p w14:paraId="5140F10E" w14:textId="77777777" w:rsidR="003C7E8B" w:rsidRPr="00DB5D0D" w:rsidRDefault="003C7E8B" w:rsidP="00DB5D0D">
      <w:pPr>
        <w:pStyle w:val="a3"/>
        <w:widowControl/>
        <w:rPr>
          <w:color w:val="000000" w:themeColor="text1"/>
          <w:lang w:val="ru-RU"/>
        </w:rPr>
      </w:pPr>
      <w:r w:rsidRPr="00DB5D0D">
        <w:rPr>
          <w:color w:val="000000" w:themeColor="text1"/>
          <w:lang w:val="ru-RU"/>
        </w:rPr>
        <w:t>а) в недопустимо высоких температурах масла и</w:t>
      </w:r>
    </w:p>
    <w:p w14:paraId="436C85B2" w14:textId="77777777" w:rsidR="003C7E8B" w:rsidRPr="00DB5D0D" w:rsidRDefault="003C7E8B" w:rsidP="00DB5D0D">
      <w:pPr>
        <w:pStyle w:val="a3"/>
        <w:widowControl/>
        <w:rPr>
          <w:color w:val="000000" w:themeColor="text1"/>
          <w:lang w:val="ru-RU"/>
        </w:rPr>
      </w:pPr>
      <w:r w:rsidRPr="00DB5D0D">
        <w:rPr>
          <w:color w:val="000000" w:themeColor="text1"/>
          <w:lang w:val="ru-RU"/>
        </w:rPr>
        <w:t>б) в ненадежности самого мотора из-за прогара поршней и заклинивания кривошипно-шатунного механизма.</w:t>
      </w:r>
    </w:p>
    <w:p w14:paraId="3551CED0" w14:textId="77777777" w:rsidR="003C7E8B" w:rsidRPr="00DB5D0D" w:rsidRDefault="003C7E8B" w:rsidP="00DB5D0D">
      <w:pPr>
        <w:pStyle w:val="a3"/>
        <w:widowControl/>
        <w:rPr>
          <w:color w:val="000000" w:themeColor="text1"/>
          <w:lang w:val="ru-RU"/>
        </w:rPr>
      </w:pPr>
      <w:r w:rsidRPr="00DB5D0D">
        <w:rPr>
          <w:color w:val="000000" w:themeColor="text1"/>
          <w:lang w:val="ru-RU"/>
        </w:rPr>
        <w:t>Кроме того, в мае-июне 1940 года самолеты ББ-1 проходили войсковые испытания в 135 авиационном полку ХВО.</w:t>
      </w:r>
    </w:p>
    <w:p w14:paraId="1E77D08A" w14:textId="77777777" w:rsidR="003C7E8B" w:rsidRPr="00DB5D0D" w:rsidRDefault="003C7E8B" w:rsidP="00DB5D0D">
      <w:pPr>
        <w:pStyle w:val="a3"/>
        <w:widowControl/>
        <w:rPr>
          <w:color w:val="000000" w:themeColor="text1"/>
          <w:lang w:val="ru-RU"/>
        </w:rPr>
      </w:pPr>
      <w:r w:rsidRPr="00DB5D0D">
        <w:rPr>
          <w:color w:val="000000" w:themeColor="text1"/>
          <w:lang w:val="ru-RU"/>
        </w:rPr>
        <w:t>На войсковых испытаниях подтвердилась недоведенность винтомоторной группы самолета ББ-1 с мотором М-88 и выявилась недостаточная прочность шасси, колес и пневматиков, что не дает возможности нормальной эксплуатации самолета в строевых частях.</w:t>
      </w:r>
    </w:p>
    <w:p w14:paraId="758802D7" w14:textId="77777777" w:rsidR="003C7E8B" w:rsidRPr="00DB5D0D" w:rsidRDefault="003C7E8B" w:rsidP="00DB5D0D">
      <w:pPr>
        <w:pStyle w:val="a3"/>
        <w:widowControl/>
        <w:rPr>
          <w:color w:val="000000" w:themeColor="text1"/>
          <w:lang w:val="ru-RU"/>
        </w:rPr>
      </w:pPr>
      <w:r w:rsidRPr="00DB5D0D">
        <w:rPr>
          <w:color w:val="000000" w:themeColor="text1"/>
          <w:lang w:val="ru-RU"/>
        </w:rPr>
        <w:t>В настоящее время полеты в частях на самолете ББ-1 с мотором М-88 прекращены из-за непрочности шасси, колес и пневматиков.</w:t>
      </w:r>
    </w:p>
    <w:p w14:paraId="7DE1E198" w14:textId="77777777" w:rsidR="003C7E8B" w:rsidRPr="00DB5D0D" w:rsidRDefault="003C7E8B" w:rsidP="00DB5D0D">
      <w:pPr>
        <w:pStyle w:val="a3"/>
        <w:widowControl/>
        <w:rPr>
          <w:color w:val="000000" w:themeColor="text1"/>
          <w:lang w:val="ru-RU"/>
        </w:rPr>
      </w:pPr>
      <w:r w:rsidRPr="00DB5D0D">
        <w:rPr>
          <w:color w:val="000000" w:themeColor="text1"/>
          <w:lang w:val="ru-RU"/>
        </w:rPr>
        <w:t>Заводом № 135 температурный режим масла доведен до удовлетворительного состояния, что будет окончательно проверено дополнительными испытаниями в НИИ ВВС.</w:t>
      </w:r>
    </w:p>
    <w:p w14:paraId="5D988F36" w14:textId="77777777" w:rsidR="003C7E8B" w:rsidRPr="00DB5D0D" w:rsidRDefault="003C7E8B" w:rsidP="00DB5D0D">
      <w:pPr>
        <w:pStyle w:val="a3"/>
        <w:widowControl/>
        <w:rPr>
          <w:color w:val="000000" w:themeColor="text1"/>
          <w:lang w:val="ru-RU"/>
        </w:rPr>
      </w:pPr>
      <w:r w:rsidRPr="00DB5D0D">
        <w:rPr>
          <w:color w:val="000000" w:themeColor="text1"/>
          <w:lang w:val="ru-RU"/>
        </w:rPr>
        <w:t>Для обеспечения нормальной эксплуатации самолета ББ-1 с мотором М-88 в строевых частях ВВС необходимо потребовать от НКАП выполнения следующих мероприятий:</w:t>
      </w:r>
    </w:p>
    <w:p w14:paraId="40BAE25C"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Усилить амортизационную стойку и верхний подкос шасси и установить их на всех ранее выпущенных самолетах.</w:t>
      </w:r>
    </w:p>
    <w:p w14:paraId="5C8AB1CC"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Усилить колеса и пневматики.</w:t>
      </w:r>
    </w:p>
    <w:p w14:paraId="4FD3B8CC"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Обеспечить вполне надежную работу мотора М-88.</w:t>
      </w:r>
    </w:p>
    <w:p w14:paraId="08655436"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Устранить замасливание прицела и нижнего люка штурмана.</w:t>
      </w:r>
    </w:p>
    <w:p w14:paraId="325C56E3"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Потребовать от завода № 135 обязательного устранения дефектов, выявленных на государственных и войсковых испытаниях самолетов ББ-1.</w:t>
      </w:r>
    </w:p>
    <w:p w14:paraId="1B7E0FF1"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Обязать главного конструктора Сухого лично руководить доводкой самолета ББ-1 и устранением дефектов на заводе № 135.</w:t>
      </w:r>
    </w:p>
    <w:p w14:paraId="4E366359" w14:textId="77777777" w:rsidR="003C7E8B" w:rsidRPr="00DB5D0D" w:rsidRDefault="003C7E8B" w:rsidP="00DB5D0D">
      <w:pPr>
        <w:pStyle w:val="a3"/>
        <w:widowControl/>
        <w:rPr>
          <w:color w:val="000000" w:themeColor="text1"/>
          <w:lang w:val="ru-RU"/>
        </w:rPr>
      </w:pPr>
      <w:r w:rsidRPr="00DB5D0D">
        <w:rPr>
          <w:color w:val="000000" w:themeColor="text1"/>
          <w:lang w:val="ru-RU"/>
        </w:rPr>
        <w:t>На 1941 год необходимо потребовать от главного конструктора самолета ББ-1 Сухого и завода № 135:</w:t>
      </w:r>
    </w:p>
    <w:p w14:paraId="178E1C29"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Установки на самолете ББ-1 предкрылков.</w:t>
      </w:r>
    </w:p>
    <w:p w14:paraId="41DB07AB"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Увеличения поперечного V.</w:t>
      </w:r>
    </w:p>
    <w:p w14:paraId="0AC1FC7F"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lastRenderedPageBreak/>
        <w:t>Установки хвостового колеса по типу самолета Мессершмидт 109 или установки стопора костыля.</w:t>
      </w:r>
    </w:p>
    <w:p w14:paraId="4F0051A7"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Увеличения времени выпуска щитков до 6-8 секунд.</w:t>
      </w:r>
    </w:p>
    <w:p w14:paraId="5A495260"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Отработки нормального наростания нагрузок на рули, устранив "аэродинамический" люфт в руле высоты и трение в элеронах</w:t>
      </w:r>
    </w:p>
    <w:p w14:paraId="49EA1D7E"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Отработать установку для подвески одной бомбы в 500 кг.</w:t>
      </w:r>
    </w:p>
    <w:p w14:paraId="357A44D7"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Довести скорости самолета ББ-1 до расчетных.</w:t>
      </w:r>
    </w:p>
    <w:p w14:paraId="2EAFAC52"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Проработать вопрос применения самолета ББ-1 для бомбометания с пикирования (3377, 74-77).</w:t>
      </w:r>
    </w:p>
    <w:p w14:paraId="247292D1" w14:textId="77777777" w:rsidR="003C7E8B" w:rsidRPr="00DB5D0D" w:rsidRDefault="003C7E8B" w:rsidP="00DB5D0D">
      <w:pPr>
        <w:pStyle w:val="a3"/>
        <w:widowControl/>
        <w:rPr>
          <w:color w:val="000000" w:themeColor="text1"/>
          <w:lang w:val="ru-RU"/>
        </w:rPr>
      </w:pPr>
      <w:r w:rsidRPr="00DB5D0D">
        <w:rPr>
          <w:color w:val="000000" w:themeColor="text1"/>
          <w:lang w:val="ru-RU"/>
        </w:rPr>
        <w:t>Варианты бомбовой нагрузки самолета ББ-1</w:t>
      </w:r>
    </w:p>
    <w:p w14:paraId="5A772B46" w14:textId="77777777" w:rsidR="003C7E8B" w:rsidRPr="00DB5D0D" w:rsidRDefault="003C7E8B" w:rsidP="00DB5D0D">
      <w:pPr>
        <w:pStyle w:val="a3"/>
        <w:widowControl/>
        <w:rPr>
          <w:color w:val="000000" w:themeColor="text1"/>
          <w:lang w:val="ru-RU"/>
        </w:rPr>
      </w:pPr>
      <w:r w:rsidRPr="00DB5D0D">
        <w:rPr>
          <w:color w:val="000000" w:themeColor="text1"/>
          <w:lang w:val="ru-RU"/>
        </w:rPr>
        <w:t>(Нормальная бомбовая загрузка 400 кг. Перегрузочный вариант испытан до 700 кг.).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49"/>
        <w:gridCol w:w="1449"/>
        <w:gridCol w:w="1449"/>
        <w:gridCol w:w="1449"/>
        <w:gridCol w:w="1449"/>
        <w:gridCol w:w="1449"/>
        <w:gridCol w:w="1449"/>
        <w:gridCol w:w="1449"/>
      </w:tblGrid>
      <w:tr w:rsidR="007D5DF8" w:rsidRPr="00DB5D0D" w14:paraId="4358BB8D" w14:textId="77777777" w:rsidTr="00E543D0">
        <w:tc>
          <w:tcPr>
            <w:tcW w:w="1449" w:type="dxa"/>
          </w:tcPr>
          <w:p w14:paraId="28C403FB" w14:textId="77777777" w:rsidR="003C7E8B" w:rsidRPr="00DB5D0D" w:rsidRDefault="003C7E8B" w:rsidP="00DB5D0D">
            <w:pPr>
              <w:pStyle w:val="a3"/>
              <w:widowControl/>
              <w:rPr>
                <w:color w:val="000000" w:themeColor="text1"/>
                <w:lang w:val="ru-RU"/>
              </w:rPr>
            </w:pPr>
            <w:r w:rsidRPr="00DB5D0D">
              <w:rPr>
                <w:color w:val="000000" w:themeColor="text1"/>
                <w:lang w:val="ru-RU"/>
              </w:rPr>
              <w:t>Тип кассет</w:t>
            </w:r>
          </w:p>
        </w:tc>
        <w:tc>
          <w:tcPr>
            <w:tcW w:w="1449" w:type="dxa"/>
          </w:tcPr>
          <w:p w14:paraId="02D98F13" w14:textId="77777777" w:rsidR="003C7E8B" w:rsidRPr="00DB5D0D" w:rsidRDefault="003C7E8B" w:rsidP="00DB5D0D">
            <w:pPr>
              <w:pStyle w:val="a3"/>
              <w:widowControl/>
              <w:rPr>
                <w:color w:val="000000" w:themeColor="text1"/>
                <w:lang w:val="ru-RU"/>
              </w:rPr>
            </w:pPr>
            <w:r w:rsidRPr="00DB5D0D">
              <w:rPr>
                <w:color w:val="000000" w:themeColor="text1"/>
                <w:lang w:val="ru-RU"/>
              </w:rPr>
              <w:t>Тип бомбы</w:t>
            </w:r>
          </w:p>
        </w:tc>
        <w:tc>
          <w:tcPr>
            <w:tcW w:w="1449" w:type="dxa"/>
          </w:tcPr>
          <w:p w14:paraId="6F528C0A" w14:textId="77777777" w:rsidR="003C7E8B" w:rsidRPr="00DB5D0D" w:rsidRDefault="003C7E8B" w:rsidP="00DB5D0D">
            <w:pPr>
              <w:pStyle w:val="a3"/>
              <w:widowControl/>
              <w:rPr>
                <w:color w:val="000000" w:themeColor="text1"/>
                <w:lang w:val="ru-RU"/>
              </w:rPr>
            </w:pPr>
            <w:r w:rsidRPr="00DB5D0D">
              <w:rPr>
                <w:color w:val="000000" w:themeColor="text1"/>
                <w:lang w:val="ru-RU"/>
              </w:rPr>
              <w:t xml:space="preserve">Кол-во бомб (внутр. подвеска) </w:t>
            </w:r>
          </w:p>
        </w:tc>
        <w:tc>
          <w:tcPr>
            <w:tcW w:w="1449" w:type="dxa"/>
          </w:tcPr>
          <w:p w14:paraId="4CD3480E" w14:textId="77777777" w:rsidR="003C7E8B" w:rsidRPr="00DB5D0D" w:rsidRDefault="003C7E8B" w:rsidP="00DB5D0D">
            <w:pPr>
              <w:pStyle w:val="a3"/>
              <w:widowControl/>
              <w:rPr>
                <w:color w:val="000000" w:themeColor="text1"/>
                <w:lang w:val="ru-RU"/>
              </w:rPr>
            </w:pPr>
            <w:r w:rsidRPr="00DB5D0D">
              <w:rPr>
                <w:color w:val="000000" w:themeColor="text1"/>
                <w:lang w:val="ru-RU"/>
              </w:rPr>
              <w:t xml:space="preserve">Кол-во бомб (наружн. подвеска) </w:t>
            </w:r>
          </w:p>
        </w:tc>
        <w:tc>
          <w:tcPr>
            <w:tcW w:w="1449" w:type="dxa"/>
          </w:tcPr>
          <w:p w14:paraId="60802B8F" w14:textId="77777777" w:rsidR="003C7E8B" w:rsidRPr="00DB5D0D" w:rsidRDefault="003C7E8B" w:rsidP="00DB5D0D">
            <w:pPr>
              <w:pStyle w:val="a3"/>
              <w:widowControl/>
              <w:rPr>
                <w:color w:val="000000" w:themeColor="text1"/>
                <w:lang w:val="ru-RU"/>
              </w:rPr>
            </w:pPr>
            <w:r w:rsidRPr="00DB5D0D">
              <w:rPr>
                <w:color w:val="000000" w:themeColor="text1"/>
                <w:lang w:val="ru-RU"/>
              </w:rPr>
              <w:t>Общий вес бомб</w:t>
            </w:r>
          </w:p>
          <w:p w14:paraId="3013EB0F" w14:textId="77777777" w:rsidR="003C7E8B" w:rsidRPr="00DB5D0D" w:rsidRDefault="003C7E8B" w:rsidP="00DB5D0D">
            <w:pPr>
              <w:pStyle w:val="a3"/>
              <w:widowControl/>
              <w:rPr>
                <w:color w:val="000000" w:themeColor="text1"/>
                <w:lang w:val="ru-RU"/>
              </w:rPr>
            </w:pPr>
            <w:r w:rsidRPr="00DB5D0D">
              <w:rPr>
                <w:color w:val="000000" w:themeColor="text1"/>
                <w:lang w:val="ru-RU"/>
              </w:rPr>
              <w:t>(внутр. подвеска)</w:t>
            </w:r>
          </w:p>
        </w:tc>
        <w:tc>
          <w:tcPr>
            <w:tcW w:w="1449" w:type="dxa"/>
          </w:tcPr>
          <w:p w14:paraId="072D7DB0" w14:textId="77777777" w:rsidR="003C7E8B" w:rsidRPr="00DB5D0D" w:rsidRDefault="003C7E8B" w:rsidP="00DB5D0D">
            <w:pPr>
              <w:pStyle w:val="a3"/>
              <w:widowControl/>
              <w:rPr>
                <w:color w:val="000000" w:themeColor="text1"/>
                <w:lang w:val="ru-RU"/>
              </w:rPr>
            </w:pPr>
            <w:r w:rsidRPr="00DB5D0D">
              <w:rPr>
                <w:color w:val="000000" w:themeColor="text1"/>
                <w:lang w:val="ru-RU"/>
              </w:rPr>
              <w:t>Общий вес бомб</w:t>
            </w:r>
          </w:p>
          <w:p w14:paraId="773B773D" w14:textId="77777777" w:rsidR="003C7E8B" w:rsidRPr="00DB5D0D" w:rsidRDefault="003C7E8B" w:rsidP="00DB5D0D">
            <w:pPr>
              <w:pStyle w:val="a3"/>
              <w:widowControl/>
              <w:rPr>
                <w:color w:val="000000" w:themeColor="text1"/>
                <w:lang w:val="ru-RU"/>
              </w:rPr>
            </w:pPr>
            <w:r w:rsidRPr="00DB5D0D">
              <w:rPr>
                <w:color w:val="000000" w:themeColor="text1"/>
                <w:lang w:val="ru-RU"/>
              </w:rPr>
              <w:t>(наружн. подвеска)</w:t>
            </w:r>
          </w:p>
        </w:tc>
        <w:tc>
          <w:tcPr>
            <w:tcW w:w="1449" w:type="dxa"/>
          </w:tcPr>
          <w:p w14:paraId="3F5A691A" w14:textId="77777777" w:rsidR="003C7E8B" w:rsidRPr="00DB5D0D" w:rsidRDefault="003C7E8B" w:rsidP="00DB5D0D">
            <w:pPr>
              <w:pStyle w:val="a3"/>
              <w:widowControl/>
              <w:rPr>
                <w:color w:val="000000" w:themeColor="text1"/>
                <w:lang w:val="ru-RU"/>
              </w:rPr>
            </w:pPr>
            <w:r w:rsidRPr="00DB5D0D">
              <w:rPr>
                <w:color w:val="000000" w:themeColor="text1"/>
                <w:lang w:val="ru-RU"/>
              </w:rPr>
              <w:t>Порядок сбрасывания (сбрасыват. ЭСБР-2)</w:t>
            </w:r>
          </w:p>
        </w:tc>
        <w:tc>
          <w:tcPr>
            <w:tcW w:w="1449" w:type="dxa"/>
          </w:tcPr>
          <w:p w14:paraId="0A7EF3B9" w14:textId="77777777" w:rsidR="003C7E8B" w:rsidRPr="00DB5D0D" w:rsidRDefault="003C7E8B" w:rsidP="00DB5D0D">
            <w:pPr>
              <w:pStyle w:val="a3"/>
              <w:widowControl/>
              <w:rPr>
                <w:color w:val="000000" w:themeColor="text1"/>
                <w:lang w:val="ru-RU"/>
              </w:rPr>
            </w:pPr>
            <w:r w:rsidRPr="00DB5D0D">
              <w:rPr>
                <w:color w:val="000000" w:themeColor="text1"/>
                <w:lang w:val="ru-RU"/>
              </w:rPr>
              <w:t>Порядок сбрасывания (сбрасыват. АСК)</w:t>
            </w:r>
          </w:p>
        </w:tc>
      </w:tr>
      <w:tr w:rsidR="007D5DF8" w:rsidRPr="00DB5D0D" w14:paraId="6309D70B" w14:textId="77777777" w:rsidTr="00E543D0">
        <w:tc>
          <w:tcPr>
            <w:tcW w:w="1449" w:type="dxa"/>
          </w:tcPr>
          <w:p w14:paraId="3E1FE4AB" w14:textId="77777777" w:rsidR="003C7E8B" w:rsidRPr="00DB5D0D" w:rsidRDefault="003C7E8B" w:rsidP="00DB5D0D">
            <w:pPr>
              <w:pStyle w:val="a3"/>
              <w:widowControl/>
              <w:rPr>
                <w:color w:val="000000" w:themeColor="text1"/>
                <w:lang w:val="ru-RU"/>
              </w:rPr>
            </w:pPr>
            <w:r w:rsidRPr="00DB5D0D">
              <w:rPr>
                <w:color w:val="000000" w:themeColor="text1"/>
                <w:lang w:val="ru-RU"/>
              </w:rPr>
              <w:t>КД-2</w:t>
            </w:r>
          </w:p>
        </w:tc>
        <w:tc>
          <w:tcPr>
            <w:tcW w:w="1449" w:type="dxa"/>
          </w:tcPr>
          <w:p w14:paraId="689442CB" w14:textId="77777777" w:rsidR="003C7E8B" w:rsidRPr="00DB5D0D" w:rsidRDefault="003C7E8B" w:rsidP="00DB5D0D">
            <w:pPr>
              <w:pStyle w:val="a3"/>
              <w:widowControl/>
              <w:rPr>
                <w:color w:val="000000" w:themeColor="text1"/>
                <w:lang w:val="ru-RU"/>
              </w:rPr>
            </w:pPr>
            <w:r w:rsidRPr="00DB5D0D">
              <w:rPr>
                <w:color w:val="000000" w:themeColor="text1"/>
                <w:lang w:val="ru-RU"/>
              </w:rPr>
              <w:t>ФАБ-100</w:t>
            </w:r>
          </w:p>
        </w:tc>
        <w:tc>
          <w:tcPr>
            <w:tcW w:w="1449" w:type="dxa"/>
          </w:tcPr>
          <w:p w14:paraId="1AD35B50" w14:textId="77777777" w:rsidR="003C7E8B" w:rsidRPr="00DB5D0D" w:rsidRDefault="003C7E8B" w:rsidP="00DB5D0D">
            <w:pPr>
              <w:pStyle w:val="a3"/>
              <w:widowControl/>
              <w:rPr>
                <w:color w:val="000000" w:themeColor="text1"/>
                <w:lang w:val="ru-RU"/>
              </w:rPr>
            </w:pPr>
            <w:r w:rsidRPr="00DB5D0D">
              <w:rPr>
                <w:color w:val="000000" w:themeColor="text1"/>
                <w:lang w:val="ru-RU"/>
              </w:rPr>
              <w:t>4</w:t>
            </w:r>
          </w:p>
        </w:tc>
        <w:tc>
          <w:tcPr>
            <w:tcW w:w="1449" w:type="dxa"/>
          </w:tcPr>
          <w:p w14:paraId="3962BF50" w14:textId="77777777" w:rsidR="003C7E8B" w:rsidRPr="00DB5D0D" w:rsidRDefault="003C7E8B" w:rsidP="00DB5D0D">
            <w:pPr>
              <w:pStyle w:val="a3"/>
              <w:widowControl/>
              <w:rPr>
                <w:color w:val="000000" w:themeColor="text1"/>
                <w:lang w:val="ru-RU"/>
              </w:rPr>
            </w:pPr>
            <w:r w:rsidRPr="00DB5D0D">
              <w:rPr>
                <w:color w:val="000000" w:themeColor="text1"/>
                <w:lang w:val="ru-RU"/>
              </w:rPr>
              <w:t>6</w:t>
            </w:r>
          </w:p>
        </w:tc>
        <w:tc>
          <w:tcPr>
            <w:tcW w:w="1449" w:type="dxa"/>
          </w:tcPr>
          <w:p w14:paraId="1C524332" w14:textId="77777777" w:rsidR="003C7E8B" w:rsidRPr="00DB5D0D" w:rsidRDefault="003C7E8B" w:rsidP="00DB5D0D">
            <w:pPr>
              <w:pStyle w:val="a3"/>
              <w:widowControl/>
              <w:rPr>
                <w:color w:val="000000" w:themeColor="text1"/>
                <w:lang w:val="ru-RU"/>
              </w:rPr>
            </w:pPr>
            <w:r w:rsidRPr="00DB5D0D">
              <w:rPr>
                <w:color w:val="000000" w:themeColor="text1"/>
                <w:lang w:val="ru-RU"/>
              </w:rPr>
              <w:t>400</w:t>
            </w:r>
          </w:p>
        </w:tc>
        <w:tc>
          <w:tcPr>
            <w:tcW w:w="1449" w:type="dxa"/>
          </w:tcPr>
          <w:p w14:paraId="1AE8948E" w14:textId="77777777" w:rsidR="003C7E8B" w:rsidRPr="00DB5D0D" w:rsidRDefault="003C7E8B" w:rsidP="00DB5D0D">
            <w:pPr>
              <w:pStyle w:val="a3"/>
              <w:widowControl/>
              <w:rPr>
                <w:color w:val="000000" w:themeColor="text1"/>
                <w:lang w:val="ru-RU"/>
              </w:rPr>
            </w:pPr>
            <w:r w:rsidRPr="00DB5D0D">
              <w:rPr>
                <w:color w:val="000000" w:themeColor="text1"/>
                <w:lang w:val="ru-RU"/>
              </w:rPr>
              <w:t>600</w:t>
            </w:r>
          </w:p>
        </w:tc>
        <w:tc>
          <w:tcPr>
            <w:tcW w:w="1449" w:type="dxa"/>
          </w:tcPr>
          <w:p w14:paraId="6797D8AF" w14:textId="77777777" w:rsidR="003C7E8B" w:rsidRPr="00DB5D0D" w:rsidRDefault="003C7E8B" w:rsidP="00DB5D0D">
            <w:pPr>
              <w:pStyle w:val="a3"/>
              <w:widowControl/>
              <w:rPr>
                <w:color w:val="000000" w:themeColor="text1"/>
                <w:lang w:val="ru-RU"/>
              </w:rPr>
            </w:pPr>
            <w:r w:rsidRPr="00DB5D0D">
              <w:rPr>
                <w:color w:val="000000" w:themeColor="text1"/>
                <w:lang w:val="ru-RU"/>
              </w:rPr>
              <w:t>по 1, 2, 3, 4 серии и залпам</w:t>
            </w:r>
          </w:p>
        </w:tc>
        <w:tc>
          <w:tcPr>
            <w:tcW w:w="1449" w:type="dxa"/>
          </w:tcPr>
          <w:p w14:paraId="4760AE41" w14:textId="77777777" w:rsidR="003C7E8B" w:rsidRPr="00DB5D0D" w:rsidRDefault="003C7E8B" w:rsidP="00DB5D0D">
            <w:pPr>
              <w:pStyle w:val="a3"/>
              <w:widowControl/>
              <w:rPr>
                <w:color w:val="000000" w:themeColor="text1"/>
                <w:lang w:val="ru-RU"/>
              </w:rPr>
            </w:pPr>
            <w:r w:rsidRPr="00DB5D0D">
              <w:rPr>
                <w:color w:val="000000" w:themeColor="text1"/>
                <w:lang w:val="ru-RU"/>
              </w:rPr>
              <w:t>по 4, 6 серии и залпам</w:t>
            </w:r>
          </w:p>
        </w:tc>
      </w:tr>
      <w:tr w:rsidR="007D5DF8" w:rsidRPr="00DB5D0D" w14:paraId="08C6C32C" w14:textId="77777777" w:rsidTr="00E543D0">
        <w:tc>
          <w:tcPr>
            <w:tcW w:w="1449" w:type="dxa"/>
          </w:tcPr>
          <w:p w14:paraId="0B8B9C43" w14:textId="77777777" w:rsidR="003C7E8B" w:rsidRPr="00DB5D0D" w:rsidRDefault="003C7E8B" w:rsidP="00DB5D0D">
            <w:pPr>
              <w:pStyle w:val="a3"/>
              <w:widowControl/>
              <w:rPr>
                <w:color w:val="000000" w:themeColor="text1"/>
                <w:lang w:val="ru-RU"/>
              </w:rPr>
            </w:pPr>
            <w:r w:rsidRPr="00DB5D0D">
              <w:rPr>
                <w:color w:val="000000" w:themeColor="text1"/>
                <w:lang w:val="ru-RU"/>
              </w:rPr>
              <w:t>КД-2</w:t>
            </w:r>
          </w:p>
        </w:tc>
        <w:tc>
          <w:tcPr>
            <w:tcW w:w="1449" w:type="dxa"/>
          </w:tcPr>
          <w:p w14:paraId="05F672F6" w14:textId="77777777" w:rsidR="003C7E8B" w:rsidRPr="00DB5D0D" w:rsidRDefault="003C7E8B" w:rsidP="00DB5D0D">
            <w:pPr>
              <w:pStyle w:val="a3"/>
              <w:widowControl/>
              <w:rPr>
                <w:color w:val="000000" w:themeColor="text1"/>
                <w:lang w:val="ru-RU"/>
              </w:rPr>
            </w:pPr>
            <w:r w:rsidRPr="00DB5D0D">
              <w:rPr>
                <w:color w:val="000000" w:themeColor="text1"/>
                <w:lang w:val="ru-RU"/>
              </w:rPr>
              <w:t>ФАБ-50</w:t>
            </w:r>
          </w:p>
        </w:tc>
        <w:tc>
          <w:tcPr>
            <w:tcW w:w="1449" w:type="dxa"/>
          </w:tcPr>
          <w:p w14:paraId="5AA4F8D2" w14:textId="77777777" w:rsidR="003C7E8B" w:rsidRPr="00DB5D0D" w:rsidRDefault="003C7E8B" w:rsidP="00DB5D0D">
            <w:pPr>
              <w:pStyle w:val="a3"/>
              <w:widowControl/>
              <w:rPr>
                <w:color w:val="000000" w:themeColor="text1"/>
                <w:lang w:val="ru-RU"/>
              </w:rPr>
            </w:pPr>
            <w:r w:rsidRPr="00DB5D0D">
              <w:rPr>
                <w:color w:val="000000" w:themeColor="text1"/>
                <w:lang w:val="ru-RU"/>
              </w:rPr>
              <w:t>4</w:t>
            </w:r>
          </w:p>
        </w:tc>
        <w:tc>
          <w:tcPr>
            <w:tcW w:w="1449" w:type="dxa"/>
          </w:tcPr>
          <w:p w14:paraId="05EA65A3" w14:textId="77777777" w:rsidR="003C7E8B" w:rsidRPr="00DB5D0D" w:rsidRDefault="003C7E8B" w:rsidP="00DB5D0D">
            <w:pPr>
              <w:pStyle w:val="a3"/>
              <w:widowControl/>
              <w:rPr>
                <w:color w:val="000000" w:themeColor="text1"/>
                <w:lang w:val="ru-RU"/>
              </w:rPr>
            </w:pPr>
            <w:r w:rsidRPr="00DB5D0D">
              <w:rPr>
                <w:color w:val="000000" w:themeColor="text1"/>
                <w:lang w:val="ru-RU"/>
              </w:rPr>
              <w:t>6</w:t>
            </w:r>
          </w:p>
        </w:tc>
        <w:tc>
          <w:tcPr>
            <w:tcW w:w="1449" w:type="dxa"/>
          </w:tcPr>
          <w:p w14:paraId="0C49CD6C" w14:textId="77777777" w:rsidR="003C7E8B" w:rsidRPr="00DB5D0D" w:rsidRDefault="003C7E8B" w:rsidP="00DB5D0D">
            <w:pPr>
              <w:pStyle w:val="a3"/>
              <w:widowControl/>
              <w:rPr>
                <w:color w:val="000000" w:themeColor="text1"/>
                <w:lang w:val="ru-RU"/>
              </w:rPr>
            </w:pPr>
            <w:r w:rsidRPr="00DB5D0D">
              <w:rPr>
                <w:color w:val="000000" w:themeColor="text1"/>
                <w:lang w:val="ru-RU"/>
              </w:rPr>
              <w:t>200</w:t>
            </w:r>
          </w:p>
        </w:tc>
        <w:tc>
          <w:tcPr>
            <w:tcW w:w="1449" w:type="dxa"/>
          </w:tcPr>
          <w:p w14:paraId="065A6C59" w14:textId="77777777" w:rsidR="003C7E8B" w:rsidRPr="00DB5D0D" w:rsidRDefault="003C7E8B" w:rsidP="00DB5D0D">
            <w:pPr>
              <w:pStyle w:val="a3"/>
              <w:widowControl/>
              <w:rPr>
                <w:color w:val="000000" w:themeColor="text1"/>
                <w:lang w:val="ru-RU"/>
              </w:rPr>
            </w:pPr>
            <w:r w:rsidRPr="00DB5D0D">
              <w:rPr>
                <w:color w:val="000000" w:themeColor="text1"/>
                <w:lang w:val="ru-RU"/>
              </w:rPr>
              <w:t>300</w:t>
            </w:r>
          </w:p>
        </w:tc>
        <w:tc>
          <w:tcPr>
            <w:tcW w:w="1449" w:type="dxa"/>
          </w:tcPr>
          <w:p w14:paraId="55FB4A14" w14:textId="77777777" w:rsidR="003C7E8B" w:rsidRPr="00DB5D0D" w:rsidRDefault="003C7E8B" w:rsidP="00DB5D0D">
            <w:pPr>
              <w:pStyle w:val="a3"/>
              <w:widowControl/>
              <w:rPr>
                <w:color w:val="000000" w:themeColor="text1"/>
                <w:lang w:val="ru-RU"/>
              </w:rPr>
            </w:pPr>
            <w:r w:rsidRPr="00DB5D0D">
              <w:rPr>
                <w:color w:val="000000" w:themeColor="text1"/>
                <w:lang w:val="ru-RU"/>
              </w:rPr>
              <w:t>по 1, 2, 3, 4 серии и залпам</w:t>
            </w:r>
          </w:p>
        </w:tc>
        <w:tc>
          <w:tcPr>
            <w:tcW w:w="1449" w:type="dxa"/>
          </w:tcPr>
          <w:p w14:paraId="2455C080" w14:textId="77777777" w:rsidR="003C7E8B" w:rsidRPr="00DB5D0D" w:rsidRDefault="003C7E8B" w:rsidP="00DB5D0D">
            <w:pPr>
              <w:pStyle w:val="a3"/>
              <w:widowControl/>
              <w:rPr>
                <w:color w:val="000000" w:themeColor="text1"/>
                <w:lang w:val="ru-RU"/>
              </w:rPr>
            </w:pPr>
            <w:r w:rsidRPr="00DB5D0D">
              <w:rPr>
                <w:color w:val="000000" w:themeColor="text1"/>
                <w:lang w:val="ru-RU"/>
              </w:rPr>
              <w:t>по 4, 6 серии и залпам</w:t>
            </w:r>
          </w:p>
        </w:tc>
      </w:tr>
      <w:tr w:rsidR="007D5DF8" w:rsidRPr="00DB5D0D" w14:paraId="5846F542" w14:textId="77777777" w:rsidTr="00E543D0">
        <w:tc>
          <w:tcPr>
            <w:tcW w:w="1449" w:type="dxa"/>
          </w:tcPr>
          <w:p w14:paraId="4C3A2C33" w14:textId="77777777" w:rsidR="003C7E8B" w:rsidRPr="00DB5D0D" w:rsidRDefault="003C7E8B" w:rsidP="00DB5D0D">
            <w:pPr>
              <w:pStyle w:val="a3"/>
              <w:widowControl/>
              <w:rPr>
                <w:color w:val="000000" w:themeColor="text1"/>
                <w:lang w:val="ru-RU"/>
              </w:rPr>
            </w:pPr>
            <w:r w:rsidRPr="00DB5D0D">
              <w:rPr>
                <w:color w:val="000000" w:themeColor="text1"/>
                <w:lang w:val="ru-RU"/>
              </w:rPr>
              <w:t>КД-2</w:t>
            </w:r>
          </w:p>
        </w:tc>
        <w:tc>
          <w:tcPr>
            <w:tcW w:w="1449" w:type="dxa"/>
          </w:tcPr>
          <w:p w14:paraId="6EBE89B9" w14:textId="77777777" w:rsidR="003C7E8B" w:rsidRPr="00DB5D0D" w:rsidRDefault="003C7E8B" w:rsidP="00DB5D0D">
            <w:pPr>
              <w:pStyle w:val="a3"/>
              <w:widowControl/>
              <w:rPr>
                <w:color w:val="000000" w:themeColor="text1"/>
                <w:lang w:val="ru-RU"/>
              </w:rPr>
            </w:pPr>
            <w:r w:rsidRPr="00DB5D0D">
              <w:rPr>
                <w:color w:val="000000" w:themeColor="text1"/>
                <w:lang w:val="ru-RU"/>
              </w:rPr>
              <w:t>ХАБ-25</w:t>
            </w:r>
          </w:p>
        </w:tc>
        <w:tc>
          <w:tcPr>
            <w:tcW w:w="1449" w:type="dxa"/>
          </w:tcPr>
          <w:p w14:paraId="1EB67F50" w14:textId="77777777" w:rsidR="003C7E8B" w:rsidRPr="00DB5D0D" w:rsidRDefault="003C7E8B" w:rsidP="00DB5D0D">
            <w:pPr>
              <w:pStyle w:val="a3"/>
              <w:widowControl/>
              <w:rPr>
                <w:color w:val="000000" w:themeColor="text1"/>
                <w:lang w:val="ru-RU"/>
              </w:rPr>
            </w:pPr>
            <w:r w:rsidRPr="00DB5D0D">
              <w:rPr>
                <w:color w:val="000000" w:themeColor="text1"/>
                <w:lang w:val="ru-RU"/>
              </w:rPr>
              <w:t>4</w:t>
            </w:r>
          </w:p>
        </w:tc>
        <w:tc>
          <w:tcPr>
            <w:tcW w:w="1449" w:type="dxa"/>
          </w:tcPr>
          <w:p w14:paraId="5A3ED257" w14:textId="77777777" w:rsidR="003C7E8B" w:rsidRPr="00DB5D0D" w:rsidRDefault="003C7E8B" w:rsidP="00DB5D0D">
            <w:pPr>
              <w:pStyle w:val="a3"/>
              <w:widowControl/>
              <w:rPr>
                <w:color w:val="000000" w:themeColor="text1"/>
                <w:lang w:val="ru-RU"/>
              </w:rPr>
            </w:pPr>
            <w:r w:rsidRPr="00DB5D0D">
              <w:rPr>
                <w:color w:val="000000" w:themeColor="text1"/>
                <w:lang w:val="ru-RU"/>
              </w:rPr>
              <w:t>6</w:t>
            </w:r>
          </w:p>
        </w:tc>
        <w:tc>
          <w:tcPr>
            <w:tcW w:w="1449" w:type="dxa"/>
          </w:tcPr>
          <w:p w14:paraId="371828E0" w14:textId="77777777" w:rsidR="003C7E8B" w:rsidRPr="00DB5D0D" w:rsidRDefault="003C7E8B" w:rsidP="00DB5D0D">
            <w:pPr>
              <w:pStyle w:val="a3"/>
              <w:widowControl/>
              <w:rPr>
                <w:color w:val="000000" w:themeColor="text1"/>
                <w:lang w:val="ru-RU"/>
              </w:rPr>
            </w:pPr>
            <w:r w:rsidRPr="00DB5D0D">
              <w:rPr>
                <w:color w:val="000000" w:themeColor="text1"/>
                <w:lang w:val="ru-RU"/>
              </w:rPr>
              <w:t>100</w:t>
            </w:r>
          </w:p>
        </w:tc>
        <w:tc>
          <w:tcPr>
            <w:tcW w:w="1449" w:type="dxa"/>
          </w:tcPr>
          <w:p w14:paraId="34E4E7FA" w14:textId="77777777" w:rsidR="003C7E8B" w:rsidRPr="00DB5D0D" w:rsidRDefault="003C7E8B" w:rsidP="00DB5D0D">
            <w:pPr>
              <w:pStyle w:val="a3"/>
              <w:widowControl/>
              <w:rPr>
                <w:color w:val="000000" w:themeColor="text1"/>
                <w:lang w:val="ru-RU"/>
              </w:rPr>
            </w:pPr>
            <w:r w:rsidRPr="00DB5D0D">
              <w:rPr>
                <w:color w:val="000000" w:themeColor="text1"/>
                <w:lang w:val="ru-RU"/>
              </w:rPr>
              <w:t>150</w:t>
            </w:r>
          </w:p>
        </w:tc>
        <w:tc>
          <w:tcPr>
            <w:tcW w:w="1449" w:type="dxa"/>
          </w:tcPr>
          <w:p w14:paraId="4CA42A0D" w14:textId="77777777" w:rsidR="003C7E8B" w:rsidRPr="00DB5D0D" w:rsidRDefault="003C7E8B" w:rsidP="00DB5D0D">
            <w:pPr>
              <w:pStyle w:val="a3"/>
              <w:widowControl/>
              <w:rPr>
                <w:color w:val="000000" w:themeColor="text1"/>
                <w:lang w:val="ru-RU"/>
              </w:rPr>
            </w:pPr>
            <w:r w:rsidRPr="00DB5D0D">
              <w:rPr>
                <w:color w:val="000000" w:themeColor="text1"/>
                <w:lang w:val="ru-RU"/>
              </w:rPr>
              <w:t>по 1, 2, 3, 4 серии и залпам</w:t>
            </w:r>
          </w:p>
        </w:tc>
        <w:tc>
          <w:tcPr>
            <w:tcW w:w="1449" w:type="dxa"/>
          </w:tcPr>
          <w:p w14:paraId="50EE1275" w14:textId="77777777" w:rsidR="003C7E8B" w:rsidRPr="00DB5D0D" w:rsidRDefault="003C7E8B" w:rsidP="00DB5D0D">
            <w:pPr>
              <w:pStyle w:val="a3"/>
              <w:widowControl/>
              <w:rPr>
                <w:color w:val="000000" w:themeColor="text1"/>
                <w:lang w:val="ru-RU"/>
              </w:rPr>
            </w:pPr>
            <w:r w:rsidRPr="00DB5D0D">
              <w:rPr>
                <w:color w:val="000000" w:themeColor="text1"/>
                <w:lang w:val="ru-RU"/>
              </w:rPr>
              <w:t>по 4, 6 серии и залпам</w:t>
            </w:r>
          </w:p>
        </w:tc>
      </w:tr>
      <w:tr w:rsidR="007D5DF8" w:rsidRPr="00DB5D0D" w14:paraId="1F49B6F5" w14:textId="77777777" w:rsidTr="00E543D0">
        <w:tc>
          <w:tcPr>
            <w:tcW w:w="1449" w:type="dxa"/>
          </w:tcPr>
          <w:p w14:paraId="353BCE40" w14:textId="77777777" w:rsidR="003C7E8B" w:rsidRPr="00DB5D0D" w:rsidRDefault="003C7E8B" w:rsidP="00DB5D0D">
            <w:pPr>
              <w:pStyle w:val="a3"/>
              <w:widowControl/>
              <w:rPr>
                <w:color w:val="000000" w:themeColor="text1"/>
                <w:lang w:val="ru-RU"/>
              </w:rPr>
            </w:pPr>
            <w:r w:rsidRPr="00DB5D0D">
              <w:rPr>
                <w:color w:val="000000" w:themeColor="text1"/>
                <w:lang w:val="ru-RU"/>
              </w:rPr>
              <w:t>КД-1</w:t>
            </w:r>
          </w:p>
        </w:tc>
        <w:tc>
          <w:tcPr>
            <w:tcW w:w="1449" w:type="dxa"/>
          </w:tcPr>
          <w:p w14:paraId="52644EF5" w14:textId="77777777" w:rsidR="003C7E8B" w:rsidRPr="00DB5D0D" w:rsidRDefault="003C7E8B" w:rsidP="00DB5D0D">
            <w:pPr>
              <w:pStyle w:val="a3"/>
              <w:widowControl/>
              <w:rPr>
                <w:color w:val="000000" w:themeColor="text1"/>
                <w:lang w:val="ru-RU"/>
              </w:rPr>
            </w:pPr>
            <w:r w:rsidRPr="00DB5D0D">
              <w:rPr>
                <w:color w:val="000000" w:themeColor="text1"/>
                <w:lang w:val="ru-RU"/>
              </w:rPr>
              <w:t>АО-25</w:t>
            </w:r>
          </w:p>
        </w:tc>
        <w:tc>
          <w:tcPr>
            <w:tcW w:w="1449" w:type="dxa"/>
          </w:tcPr>
          <w:p w14:paraId="6D35E172" w14:textId="77777777" w:rsidR="003C7E8B" w:rsidRPr="00DB5D0D" w:rsidRDefault="003C7E8B" w:rsidP="00DB5D0D">
            <w:pPr>
              <w:pStyle w:val="a3"/>
              <w:widowControl/>
              <w:rPr>
                <w:color w:val="000000" w:themeColor="text1"/>
                <w:lang w:val="ru-RU"/>
              </w:rPr>
            </w:pPr>
            <w:r w:rsidRPr="00DB5D0D">
              <w:rPr>
                <w:color w:val="000000" w:themeColor="text1"/>
                <w:lang w:val="ru-RU"/>
              </w:rPr>
              <w:t>12</w:t>
            </w:r>
          </w:p>
        </w:tc>
        <w:tc>
          <w:tcPr>
            <w:tcW w:w="1449" w:type="dxa"/>
          </w:tcPr>
          <w:p w14:paraId="4716C774" w14:textId="77777777" w:rsidR="003C7E8B" w:rsidRPr="00DB5D0D" w:rsidRDefault="003C7E8B" w:rsidP="00DB5D0D">
            <w:pPr>
              <w:pStyle w:val="a3"/>
              <w:widowControl/>
              <w:rPr>
                <w:color w:val="000000" w:themeColor="text1"/>
                <w:lang w:val="ru-RU"/>
              </w:rPr>
            </w:pPr>
            <w:r w:rsidRPr="00DB5D0D">
              <w:rPr>
                <w:color w:val="000000" w:themeColor="text1"/>
                <w:lang w:val="ru-RU"/>
              </w:rPr>
              <w:t>8</w:t>
            </w:r>
          </w:p>
        </w:tc>
        <w:tc>
          <w:tcPr>
            <w:tcW w:w="1449" w:type="dxa"/>
          </w:tcPr>
          <w:p w14:paraId="4FEE7C7D" w14:textId="77777777" w:rsidR="003C7E8B" w:rsidRPr="00DB5D0D" w:rsidRDefault="003C7E8B" w:rsidP="00DB5D0D">
            <w:pPr>
              <w:pStyle w:val="a3"/>
              <w:widowControl/>
              <w:rPr>
                <w:color w:val="000000" w:themeColor="text1"/>
                <w:lang w:val="ru-RU"/>
              </w:rPr>
            </w:pPr>
            <w:r w:rsidRPr="00DB5D0D">
              <w:rPr>
                <w:color w:val="000000" w:themeColor="text1"/>
                <w:lang w:val="ru-RU"/>
              </w:rPr>
              <w:t>300</w:t>
            </w:r>
          </w:p>
        </w:tc>
        <w:tc>
          <w:tcPr>
            <w:tcW w:w="1449" w:type="dxa"/>
          </w:tcPr>
          <w:p w14:paraId="0B2AAEF7" w14:textId="77777777" w:rsidR="003C7E8B" w:rsidRPr="00DB5D0D" w:rsidRDefault="003C7E8B" w:rsidP="00DB5D0D">
            <w:pPr>
              <w:pStyle w:val="a3"/>
              <w:widowControl/>
              <w:rPr>
                <w:color w:val="000000" w:themeColor="text1"/>
                <w:lang w:val="ru-RU"/>
              </w:rPr>
            </w:pPr>
            <w:r w:rsidRPr="00DB5D0D">
              <w:rPr>
                <w:color w:val="000000" w:themeColor="text1"/>
                <w:lang w:val="ru-RU"/>
              </w:rPr>
              <w:t>300</w:t>
            </w:r>
          </w:p>
        </w:tc>
        <w:tc>
          <w:tcPr>
            <w:tcW w:w="1449" w:type="dxa"/>
          </w:tcPr>
          <w:p w14:paraId="7F86EE40" w14:textId="77777777" w:rsidR="003C7E8B" w:rsidRPr="00DB5D0D" w:rsidRDefault="003C7E8B" w:rsidP="00DB5D0D">
            <w:pPr>
              <w:pStyle w:val="a3"/>
              <w:widowControl/>
              <w:rPr>
                <w:color w:val="000000" w:themeColor="text1"/>
                <w:lang w:val="ru-RU"/>
              </w:rPr>
            </w:pPr>
            <w:r w:rsidRPr="00DB5D0D">
              <w:rPr>
                <w:color w:val="000000" w:themeColor="text1"/>
                <w:lang w:val="ru-RU"/>
              </w:rPr>
              <w:t>по 1, 2, 3, 4 серии и залпам</w:t>
            </w:r>
          </w:p>
        </w:tc>
        <w:tc>
          <w:tcPr>
            <w:tcW w:w="1449" w:type="dxa"/>
          </w:tcPr>
          <w:p w14:paraId="766F1A1D" w14:textId="77777777" w:rsidR="003C7E8B" w:rsidRPr="00DB5D0D" w:rsidRDefault="003C7E8B" w:rsidP="00DB5D0D">
            <w:pPr>
              <w:pStyle w:val="a3"/>
              <w:widowControl/>
              <w:rPr>
                <w:color w:val="000000" w:themeColor="text1"/>
                <w:lang w:val="ru-RU"/>
              </w:rPr>
            </w:pPr>
            <w:r w:rsidRPr="00DB5D0D">
              <w:rPr>
                <w:color w:val="000000" w:themeColor="text1"/>
                <w:lang w:val="ru-RU"/>
              </w:rPr>
              <w:t>по 6 и 8</w:t>
            </w:r>
          </w:p>
        </w:tc>
      </w:tr>
      <w:tr w:rsidR="007D5DF8" w:rsidRPr="00DB5D0D" w14:paraId="3F69A332" w14:textId="77777777" w:rsidTr="00E543D0">
        <w:tc>
          <w:tcPr>
            <w:tcW w:w="1449" w:type="dxa"/>
          </w:tcPr>
          <w:p w14:paraId="69FCA88C" w14:textId="77777777" w:rsidR="003C7E8B" w:rsidRPr="00DB5D0D" w:rsidRDefault="003C7E8B" w:rsidP="00DB5D0D">
            <w:pPr>
              <w:pStyle w:val="a3"/>
              <w:widowControl/>
              <w:rPr>
                <w:color w:val="000000" w:themeColor="text1"/>
                <w:lang w:val="ru-RU"/>
              </w:rPr>
            </w:pPr>
            <w:r w:rsidRPr="00DB5D0D">
              <w:rPr>
                <w:color w:val="000000" w:themeColor="text1"/>
                <w:lang w:val="ru-RU"/>
              </w:rPr>
              <w:t>КД-1</w:t>
            </w:r>
          </w:p>
        </w:tc>
        <w:tc>
          <w:tcPr>
            <w:tcW w:w="1449" w:type="dxa"/>
          </w:tcPr>
          <w:p w14:paraId="1CDAF102" w14:textId="77777777" w:rsidR="003C7E8B" w:rsidRPr="00DB5D0D" w:rsidRDefault="003C7E8B" w:rsidP="00DB5D0D">
            <w:pPr>
              <w:pStyle w:val="a3"/>
              <w:widowControl/>
              <w:rPr>
                <w:color w:val="000000" w:themeColor="text1"/>
                <w:lang w:val="ru-RU"/>
              </w:rPr>
            </w:pPr>
            <w:r w:rsidRPr="00DB5D0D">
              <w:rPr>
                <w:color w:val="000000" w:themeColor="text1"/>
                <w:lang w:val="ru-RU"/>
              </w:rPr>
              <w:t>АО-20</w:t>
            </w:r>
          </w:p>
        </w:tc>
        <w:tc>
          <w:tcPr>
            <w:tcW w:w="1449" w:type="dxa"/>
          </w:tcPr>
          <w:p w14:paraId="165C8DA8" w14:textId="77777777" w:rsidR="003C7E8B" w:rsidRPr="00DB5D0D" w:rsidRDefault="003C7E8B" w:rsidP="00DB5D0D">
            <w:pPr>
              <w:pStyle w:val="a3"/>
              <w:widowControl/>
              <w:rPr>
                <w:color w:val="000000" w:themeColor="text1"/>
                <w:lang w:val="ru-RU"/>
              </w:rPr>
            </w:pPr>
            <w:r w:rsidRPr="00DB5D0D">
              <w:rPr>
                <w:color w:val="000000" w:themeColor="text1"/>
                <w:lang w:val="ru-RU"/>
              </w:rPr>
              <w:t>12</w:t>
            </w:r>
          </w:p>
        </w:tc>
        <w:tc>
          <w:tcPr>
            <w:tcW w:w="1449" w:type="dxa"/>
          </w:tcPr>
          <w:p w14:paraId="77B314C9" w14:textId="77777777" w:rsidR="003C7E8B" w:rsidRPr="00DB5D0D" w:rsidRDefault="003C7E8B" w:rsidP="00DB5D0D">
            <w:pPr>
              <w:pStyle w:val="a3"/>
              <w:widowControl/>
              <w:rPr>
                <w:color w:val="000000" w:themeColor="text1"/>
                <w:lang w:val="ru-RU"/>
              </w:rPr>
            </w:pPr>
            <w:r w:rsidRPr="00DB5D0D">
              <w:rPr>
                <w:color w:val="000000" w:themeColor="text1"/>
                <w:lang w:val="ru-RU"/>
              </w:rPr>
              <w:t>8</w:t>
            </w:r>
          </w:p>
        </w:tc>
        <w:tc>
          <w:tcPr>
            <w:tcW w:w="1449" w:type="dxa"/>
          </w:tcPr>
          <w:p w14:paraId="2C314A0C" w14:textId="77777777" w:rsidR="003C7E8B" w:rsidRPr="00DB5D0D" w:rsidRDefault="003C7E8B" w:rsidP="00DB5D0D">
            <w:pPr>
              <w:pStyle w:val="a3"/>
              <w:widowControl/>
              <w:rPr>
                <w:color w:val="000000" w:themeColor="text1"/>
                <w:lang w:val="ru-RU"/>
              </w:rPr>
            </w:pPr>
            <w:r w:rsidRPr="00DB5D0D">
              <w:rPr>
                <w:color w:val="000000" w:themeColor="text1"/>
                <w:lang w:val="ru-RU"/>
              </w:rPr>
              <w:t>240</w:t>
            </w:r>
          </w:p>
        </w:tc>
        <w:tc>
          <w:tcPr>
            <w:tcW w:w="1449" w:type="dxa"/>
          </w:tcPr>
          <w:p w14:paraId="79F27EE7" w14:textId="77777777" w:rsidR="003C7E8B" w:rsidRPr="00DB5D0D" w:rsidRDefault="003C7E8B" w:rsidP="00DB5D0D">
            <w:pPr>
              <w:pStyle w:val="a3"/>
              <w:widowControl/>
              <w:rPr>
                <w:color w:val="000000" w:themeColor="text1"/>
                <w:lang w:val="ru-RU"/>
              </w:rPr>
            </w:pPr>
            <w:r w:rsidRPr="00DB5D0D">
              <w:rPr>
                <w:color w:val="000000" w:themeColor="text1"/>
                <w:lang w:val="ru-RU"/>
              </w:rPr>
              <w:t>160</w:t>
            </w:r>
          </w:p>
        </w:tc>
        <w:tc>
          <w:tcPr>
            <w:tcW w:w="1449" w:type="dxa"/>
          </w:tcPr>
          <w:p w14:paraId="66FB6E3C" w14:textId="77777777" w:rsidR="003C7E8B" w:rsidRPr="00DB5D0D" w:rsidRDefault="003C7E8B" w:rsidP="00DB5D0D">
            <w:pPr>
              <w:pStyle w:val="a3"/>
              <w:widowControl/>
              <w:rPr>
                <w:color w:val="000000" w:themeColor="text1"/>
                <w:lang w:val="ru-RU"/>
              </w:rPr>
            </w:pPr>
            <w:r w:rsidRPr="00DB5D0D">
              <w:rPr>
                <w:color w:val="000000" w:themeColor="text1"/>
                <w:lang w:val="ru-RU"/>
              </w:rPr>
              <w:t>по 1, 2, 3, 4 серии и залпам</w:t>
            </w:r>
          </w:p>
        </w:tc>
        <w:tc>
          <w:tcPr>
            <w:tcW w:w="1449" w:type="dxa"/>
          </w:tcPr>
          <w:p w14:paraId="56C0D9A0" w14:textId="77777777" w:rsidR="003C7E8B" w:rsidRPr="00DB5D0D" w:rsidRDefault="003C7E8B" w:rsidP="00DB5D0D">
            <w:pPr>
              <w:pStyle w:val="a3"/>
              <w:widowControl/>
              <w:rPr>
                <w:color w:val="000000" w:themeColor="text1"/>
                <w:lang w:val="ru-RU"/>
              </w:rPr>
            </w:pPr>
            <w:r w:rsidRPr="00DB5D0D">
              <w:rPr>
                <w:color w:val="000000" w:themeColor="text1"/>
                <w:lang w:val="ru-RU"/>
              </w:rPr>
              <w:t>по 6 и 8</w:t>
            </w:r>
          </w:p>
        </w:tc>
      </w:tr>
      <w:tr w:rsidR="007D5DF8" w:rsidRPr="00DB5D0D" w14:paraId="7C977F57" w14:textId="77777777" w:rsidTr="00E543D0">
        <w:tc>
          <w:tcPr>
            <w:tcW w:w="1449" w:type="dxa"/>
          </w:tcPr>
          <w:p w14:paraId="52A6875C" w14:textId="77777777" w:rsidR="003C7E8B" w:rsidRPr="00DB5D0D" w:rsidRDefault="003C7E8B" w:rsidP="00DB5D0D">
            <w:pPr>
              <w:pStyle w:val="a3"/>
              <w:widowControl/>
              <w:rPr>
                <w:color w:val="000000" w:themeColor="text1"/>
                <w:lang w:val="ru-RU"/>
              </w:rPr>
            </w:pPr>
            <w:r w:rsidRPr="00DB5D0D">
              <w:rPr>
                <w:color w:val="000000" w:themeColor="text1"/>
                <w:lang w:val="ru-RU"/>
              </w:rPr>
              <w:t>КД-1</w:t>
            </w:r>
          </w:p>
        </w:tc>
        <w:tc>
          <w:tcPr>
            <w:tcW w:w="1449" w:type="dxa"/>
          </w:tcPr>
          <w:p w14:paraId="59A3B83A" w14:textId="77777777" w:rsidR="003C7E8B" w:rsidRPr="00DB5D0D" w:rsidRDefault="003C7E8B" w:rsidP="00DB5D0D">
            <w:pPr>
              <w:pStyle w:val="a3"/>
              <w:widowControl/>
              <w:rPr>
                <w:color w:val="000000" w:themeColor="text1"/>
                <w:lang w:val="ru-RU"/>
              </w:rPr>
            </w:pPr>
            <w:r w:rsidRPr="00DB5D0D">
              <w:rPr>
                <w:color w:val="000000" w:themeColor="text1"/>
                <w:lang w:val="ru-RU"/>
              </w:rPr>
              <w:t>АО-20М</w:t>
            </w:r>
          </w:p>
        </w:tc>
        <w:tc>
          <w:tcPr>
            <w:tcW w:w="1449" w:type="dxa"/>
          </w:tcPr>
          <w:p w14:paraId="78DF60CF" w14:textId="77777777" w:rsidR="003C7E8B" w:rsidRPr="00DB5D0D" w:rsidRDefault="003C7E8B" w:rsidP="00DB5D0D">
            <w:pPr>
              <w:pStyle w:val="a3"/>
              <w:widowControl/>
              <w:rPr>
                <w:color w:val="000000" w:themeColor="text1"/>
                <w:lang w:val="ru-RU"/>
              </w:rPr>
            </w:pPr>
            <w:r w:rsidRPr="00DB5D0D">
              <w:rPr>
                <w:color w:val="000000" w:themeColor="text1"/>
                <w:lang w:val="ru-RU"/>
              </w:rPr>
              <w:t>30</w:t>
            </w:r>
          </w:p>
        </w:tc>
        <w:tc>
          <w:tcPr>
            <w:tcW w:w="1449" w:type="dxa"/>
          </w:tcPr>
          <w:p w14:paraId="2C91D9F0" w14:textId="77777777" w:rsidR="003C7E8B" w:rsidRPr="00DB5D0D" w:rsidRDefault="003C7E8B" w:rsidP="00DB5D0D">
            <w:pPr>
              <w:pStyle w:val="a3"/>
              <w:widowControl/>
              <w:rPr>
                <w:color w:val="000000" w:themeColor="text1"/>
                <w:lang w:val="ru-RU"/>
              </w:rPr>
            </w:pPr>
            <w:r w:rsidRPr="00DB5D0D">
              <w:rPr>
                <w:color w:val="000000" w:themeColor="text1"/>
                <w:lang w:val="ru-RU"/>
              </w:rPr>
              <w:t>14</w:t>
            </w:r>
          </w:p>
        </w:tc>
        <w:tc>
          <w:tcPr>
            <w:tcW w:w="1449" w:type="dxa"/>
          </w:tcPr>
          <w:p w14:paraId="7262A606" w14:textId="77777777" w:rsidR="003C7E8B" w:rsidRPr="00DB5D0D" w:rsidRDefault="003C7E8B" w:rsidP="00DB5D0D">
            <w:pPr>
              <w:pStyle w:val="a3"/>
              <w:widowControl/>
              <w:rPr>
                <w:color w:val="000000" w:themeColor="text1"/>
                <w:lang w:val="ru-RU"/>
              </w:rPr>
            </w:pPr>
            <w:r w:rsidRPr="00DB5D0D">
              <w:rPr>
                <w:color w:val="000000" w:themeColor="text1"/>
                <w:lang w:val="ru-RU"/>
              </w:rPr>
              <w:t>600</w:t>
            </w:r>
          </w:p>
        </w:tc>
        <w:tc>
          <w:tcPr>
            <w:tcW w:w="1449" w:type="dxa"/>
          </w:tcPr>
          <w:p w14:paraId="4D882C37" w14:textId="77777777" w:rsidR="003C7E8B" w:rsidRPr="00DB5D0D" w:rsidRDefault="003C7E8B" w:rsidP="00DB5D0D">
            <w:pPr>
              <w:pStyle w:val="a3"/>
              <w:widowControl/>
              <w:rPr>
                <w:color w:val="000000" w:themeColor="text1"/>
                <w:lang w:val="ru-RU"/>
              </w:rPr>
            </w:pPr>
            <w:r w:rsidRPr="00DB5D0D">
              <w:rPr>
                <w:color w:val="000000" w:themeColor="text1"/>
                <w:lang w:val="ru-RU"/>
              </w:rPr>
              <w:t>280</w:t>
            </w:r>
          </w:p>
        </w:tc>
        <w:tc>
          <w:tcPr>
            <w:tcW w:w="1449" w:type="dxa"/>
          </w:tcPr>
          <w:p w14:paraId="7C151384" w14:textId="77777777" w:rsidR="003C7E8B" w:rsidRPr="00DB5D0D" w:rsidRDefault="003C7E8B" w:rsidP="00DB5D0D">
            <w:pPr>
              <w:pStyle w:val="a3"/>
              <w:widowControl/>
              <w:rPr>
                <w:color w:val="000000" w:themeColor="text1"/>
                <w:lang w:val="ru-RU"/>
              </w:rPr>
            </w:pPr>
            <w:r w:rsidRPr="00DB5D0D">
              <w:rPr>
                <w:color w:val="000000" w:themeColor="text1"/>
                <w:lang w:val="ru-RU"/>
              </w:rPr>
              <w:t>по 2, 4, 6, 8</w:t>
            </w:r>
          </w:p>
        </w:tc>
        <w:tc>
          <w:tcPr>
            <w:tcW w:w="1449" w:type="dxa"/>
          </w:tcPr>
          <w:p w14:paraId="4F9AB17A" w14:textId="77777777" w:rsidR="003C7E8B" w:rsidRPr="00DB5D0D" w:rsidRDefault="003C7E8B" w:rsidP="00DB5D0D">
            <w:pPr>
              <w:pStyle w:val="a3"/>
              <w:widowControl/>
              <w:rPr>
                <w:color w:val="000000" w:themeColor="text1"/>
                <w:lang w:val="ru-RU"/>
              </w:rPr>
            </w:pPr>
            <w:r w:rsidRPr="00DB5D0D">
              <w:rPr>
                <w:color w:val="000000" w:themeColor="text1"/>
                <w:lang w:val="ru-RU"/>
              </w:rPr>
              <w:t>по 20, 10 и 14</w:t>
            </w:r>
          </w:p>
        </w:tc>
      </w:tr>
      <w:tr w:rsidR="007D5DF8" w:rsidRPr="00DB5D0D" w14:paraId="7A6D3E1E" w14:textId="77777777" w:rsidTr="00E543D0">
        <w:tc>
          <w:tcPr>
            <w:tcW w:w="1449" w:type="dxa"/>
          </w:tcPr>
          <w:p w14:paraId="5AFD2DA1" w14:textId="77777777" w:rsidR="003C7E8B" w:rsidRPr="00DB5D0D" w:rsidRDefault="003C7E8B" w:rsidP="00DB5D0D">
            <w:pPr>
              <w:pStyle w:val="a3"/>
              <w:widowControl/>
              <w:rPr>
                <w:color w:val="000000" w:themeColor="text1"/>
                <w:lang w:val="ru-RU"/>
              </w:rPr>
            </w:pPr>
            <w:r w:rsidRPr="00DB5D0D">
              <w:rPr>
                <w:color w:val="000000" w:themeColor="text1"/>
                <w:lang w:val="ru-RU"/>
              </w:rPr>
              <w:t>КД-1</w:t>
            </w:r>
          </w:p>
        </w:tc>
        <w:tc>
          <w:tcPr>
            <w:tcW w:w="1449" w:type="dxa"/>
          </w:tcPr>
          <w:p w14:paraId="3DCC7199" w14:textId="77777777" w:rsidR="003C7E8B" w:rsidRPr="00DB5D0D" w:rsidRDefault="003C7E8B" w:rsidP="00DB5D0D">
            <w:pPr>
              <w:pStyle w:val="a3"/>
              <w:widowControl/>
              <w:rPr>
                <w:color w:val="000000" w:themeColor="text1"/>
                <w:lang w:val="ru-RU"/>
              </w:rPr>
            </w:pPr>
            <w:r w:rsidRPr="00DB5D0D">
              <w:rPr>
                <w:color w:val="000000" w:themeColor="text1"/>
                <w:lang w:val="ru-RU"/>
              </w:rPr>
              <w:t>АО-15</w:t>
            </w:r>
          </w:p>
        </w:tc>
        <w:tc>
          <w:tcPr>
            <w:tcW w:w="1449" w:type="dxa"/>
          </w:tcPr>
          <w:p w14:paraId="672EDAF0" w14:textId="77777777" w:rsidR="003C7E8B" w:rsidRPr="00DB5D0D" w:rsidRDefault="003C7E8B" w:rsidP="00DB5D0D">
            <w:pPr>
              <w:pStyle w:val="a3"/>
              <w:widowControl/>
              <w:rPr>
                <w:color w:val="000000" w:themeColor="text1"/>
                <w:lang w:val="ru-RU"/>
              </w:rPr>
            </w:pPr>
            <w:r w:rsidRPr="00DB5D0D">
              <w:rPr>
                <w:color w:val="000000" w:themeColor="text1"/>
                <w:lang w:val="ru-RU"/>
              </w:rPr>
              <w:t>30</w:t>
            </w:r>
          </w:p>
        </w:tc>
        <w:tc>
          <w:tcPr>
            <w:tcW w:w="1449" w:type="dxa"/>
          </w:tcPr>
          <w:p w14:paraId="0B9219A9" w14:textId="77777777" w:rsidR="003C7E8B" w:rsidRPr="00DB5D0D" w:rsidRDefault="003C7E8B" w:rsidP="00DB5D0D">
            <w:pPr>
              <w:pStyle w:val="a3"/>
              <w:widowControl/>
              <w:rPr>
                <w:color w:val="000000" w:themeColor="text1"/>
                <w:lang w:val="ru-RU"/>
              </w:rPr>
            </w:pPr>
            <w:r w:rsidRPr="00DB5D0D">
              <w:rPr>
                <w:color w:val="000000" w:themeColor="text1"/>
                <w:lang w:val="ru-RU"/>
              </w:rPr>
              <w:t>14</w:t>
            </w:r>
          </w:p>
        </w:tc>
        <w:tc>
          <w:tcPr>
            <w:tcW w:w="1449" w:type="dxa"/>
          </w:tcPr>
          <w:p w14:paraId="7EEF0E28" w14:textId="77777777" w:rsidR="003C7E8B" w:rsidRPr="00DB5D0D" w:rsidRDefault="003C7E8B" w:rsidP="00DB5D0D">
            <w:pPr>
              <w:pStyle w:val="a3"/>
              <w:widowControl/>
              <w:rPr>
                <w:color w:val="000000" w:themeColor="text1"/>
                <w:lang w:val="ru-RU"/>
              </w:rPr>
            </w:pPr>
            <w:r w:rsidRPr="00DB5D0D">
              <w:rPr>
                <w:color w:val="000000" w:themeColor="text1"/>
                <w:lang w:val="ru-RU"/>
              </w:rPr>
              <w:t>450</w:t>
            </w:r>
          </w:p>
        </w:tc>
        <w:tc>
          <w:tcPr>
            <w:tcW w:w="1449" w:type="dxa"/>
          </w:tcPr>
          <w:p w14:paraId="33FF035A" w14:textId="77777777" w:rsidR="003C7E8B" w:rsidRPr="00DB5D0D" w:rsidRDefault="003C7E8B" w:rsidP="00DB5D0D">
            <w:pPr>
              <w:pStyle w:val="a3"/>
              <w:widowControl/>
              <w:rPr>
                <w:color w:val="000000" w:themeColor="text1"/>
                <w:lang w:val="ru-RU"/>
              </w:rPr>
            </w:pPr>
            <w:r w:rsidRPr="00DB5D0D">
              <w:rPr>
                <w:color w:val="000000" w:themeColor="text1"/>
                <w:lang w:val="ru-RU"/>
              </w:rPr>
              <w:t>210</w:t>
            </w:r>
          </w:p>
        </w:tc>
        <w:tc>
          <w:tcPr>
            <w:tcW w:w="1449" w:type="dxa"/>
          </w:tcPr>
          <w:p w14:paraId="5930600C" w14:textId="77777777" w:rsidR="003C7E8B" w:rsidRPr="00DB5D0D" w:rsidRDefault="003C7E8B" w:rsidP="00DB5D0D">
            <w:pPr>
              <w:pStyle w:val="a3"/>
              <w:widowControl/>
              <w:rPr>
                <w:color w:val="000000" w:themeColor="text1"/>
                <w:lang w:val="ru-RU"/>
              </w:rPr>
            </w:pPr>
            <w:r w:rsidRPr="00DB5D0D">
              <w:rPr>
                <w:color w:val="000000" w:themeColor="text1"/>
                <w:lang w:val="ru-RU"/>
              </w:rPr>
              <w:t>по 2, 4, 6, 8</w:t>
            </w:r>
          </w:p>
        </w:tc>
        <w:tc>
          <w:tcPr>
            <w:tcW w:w="1449" w:type="dxa"/>
          </w:tcPr>
          <w:p w14:paraId="2FE189B9" w14:textId="77777777" w:rsidR="003C7E8B" w:rsidRPr="00DB5D0D" w:rsidRDefault="003C7E8B" w:rsidP="00DB5D0D">
            <w:pPr>
              <w:pStyle w:val="a3"/>
              <w:widowControl/>
              <w:rPr>
                <w:color w:val="000000" w:themeColor="text1"/>
                <w:lang w:val="ru-RU"/>
              </w:rPr>
            </w:pPr>
            <w:r w:rsidRPr="00DB5D0D">
              <w:rPr>
                <w:color w:val="000000" w:themeColor="text1"/>
                <w:lang w:val="ru-RU"/>
              </w:rPr>
              <w:t>по 20, 10 и 14</w:t>
            </w:r>
          </w:p>
        </w:tc>
      </w:tr>
      <w:tr w:rsidR="007D5DF8" w:rsidRPr="00DB5D0D" w14:paraId="6840D5C8" w14:textId="77777777" w:rsidTr="00E543D0">
        <w:tc>
          <w:tcPr>
            <w:tcW w:w="1449" w:type="dxa"/>
          </w:tcPr>
          <w:p w14:paraId="4BF502C7" w14:textId="77777777" w:rsidR="003C7E8B" w:rsidRPr="00DB5D0D" w:rsidRDefault="003C7E8B" w:rsidP="00DB5D0D">
            <w:pPr>
              <w:pStyle w:val="a3"/>
              <w:widowControl/>
              <w:rPr>
                <w:color w:val="000000" w:themeColor="text1"/>
                <w:lang w:val="ru-RU"/>
              </w:rPr>
            </w:pPr>
            <w:r w:rsidRPr="00DB5D0D">
              <w:rPr>
                <w:color w:val="000000" w:themeColor="text1"/>
                <w:lang w:val="ru-RU"/>
              </w:rPr>
              <w:t>КД-1</w:t>
            </w:r>
          </w:p>
        </w:tc>
        <w:tc>
          <w:tcPr>
            <w:tcW w:w="1449" w:type="dxa"/>
          </w:tcPr>
          <w:p w14:paraId="11786C21" w14:textId="77777777" w:rsidR="003C7E8B" w:rsidRPr="00DB5D0D" w:rsidRDefault="003C7E8B" w:rsidP="00DB5D0D">
            <w:pPr>
              <w:pStyle w:val="a3"/>
              <w:widowControl/>
              <w:rPr>
                <w:color w:val="000000" w:themeColor="text1"/>
                <w:lang w:val="ru-RU"/>
              </w:rPr>
            </w:pPr>
            <w:r w:rsidRPr="00DB5D0D">
              <w:rPr>
                <w:color w:val="000000" w:themeColor="text1"/>
                <w:lang w:val="ru-RU"/>
              </w:rPr>
              <w:t>АО-10</w:t>
            </w:r>
          </w:p>
        </w:tc>
        <w:tc>
          <w:tcPr>
            <w:tcW w:w="1449" w:type="dxa"/>
          </w:tcPr>
          <w:p w14:paraId="53D8EDAD" w14:textId="77777777" w:rsidR="003C7E8B" w:rsidRPr="00DB5D0D" w:rsidRDefault="003C7E8B" w:rsidP="00DB5D0D">
            <w:pPr>
              <w:pStyle w:val="a3"/>
              <w:widowControl/>
              <w:rPr>
                <w:color w:val="000000" w:themeColor="text1"/>
                <w:lang w:val="ru-RU"/>
              </w:rPr>
            </w:pPr>
            <w:r w:rsidRPr="00DB5D0D">
              <w:rPr>
                <w:color w:val="000000" w:themeColor="text1"/>
                <w:lang w:val="ru-RU"/>
              </w:rPr>
              <w:t>30</w:t>
            </w:r>
          </w:p>
        </w:tc>
        <w:tc>
          <w:tcPr>
            <w:tcW w:w="1449" w:type="dxa"/>
          </w:tcPr>
          <w:p w14:paraId="4422EED2" w14:textId="77777777" w:rsidR="003C7E8B" w:rsidRPr="00DB5D0D" w:rsidRDefault="003C7E8B" w:rsidP="00DB5D0D">
            <w:pPr>
              <w:pStyle w:val="a3"/>
              <w:widowControl/>
              <w:rPr>
                <w:color w:val="000000" w:themeColor="text1"/>
                <w:lang w:val="ru-RU"/>
              </w:rPr>
            </w:pPr>
            <w:r w:rsidRPr="00DB5D0D">
              <w:rPr>
                <w:color w:val="000000" w:themeColor="text1"/>
                <w:lang w:val="ru-RU"/>
              </w:rPr>
              <w:t>14</w:t>
            </w:r>
          </w:p>
        </w:tc>
        <w:tc>
          <w:tcPr>
            <w:tcW w:w="1449" w:type="dxa"/>
          </w:tcPr>
          <w:p w14:paraId="0B30DA7D" w14:textId="77777777" w:rsidR="003C7E8B" w:rsidRPr="00DB5D0D" w:rsidRDefault="003C7E8B" w:rsidP="00DB5D0D">
            <w:pPr>
              <w:pStyle w:val="a3"/>
              <w:widowControl/>
              <w:rPr>
                <w:color w:val="000000" w:themeColor="text1"/>
                <w:lang w:val="ru-RU"/>
              </w:rPr>
            </w:pPr>
            <w:r w:rsidRPr="00DB5D0D">
              <w:rPr>
                <w:color w:val="000000" w:themeColor="text1"/>
                <w:lang w:val="ru-RU"/>
              </w:rPr>
              <w:t>300</w:t>
            </w:r>
          </w:p>
        </w:tc>
        <w:tc>
          <w:tcPr>
            <w:tcW w:w="1449" w:type="dxa"/>
          </w:tcPr>
          <w:p w14:paraId="6C3AABF9" w14:textId="77777777" w:rsidR="003C7E8B" w:rsidRPr="00DB5D0D" w:rsidRDefault="003C7E8B" w:rsidP="00DB5D0D">
            <w:pPr>
              <w:pStyle w:val="a3"/>
              <w:widowControl/>
              <w:rPr>
                <w:color w:val="000000" w:themeColor="text1"/>
                <w:lang w:val="ru-RU"/>
              </w:rPr>
            </w:pPr>
            <w:r w:rsidRPr="00DB5D0D">
              <w:rPr>
                <w:color w:val="000000" w:themeColor="text1"/>
                <w:lang w:val="ru-RU"/>
              </w:rPr>
              <w:t>140</w:t>
            </w:r>
          </w:p>
        </w:tc>
        <w:tc>
          <w:tcPr>
            <w:tcW w:w="1449" w:type="dxa"/>
          </w:tcPr>
          <w:p w14:paraId="21E46300" w14:textId="77777777" w:rsidR="003C7E8B" w:rsidRPr="00DB5D0D" w:rsidRDefault="003C7E8B" w:rsidP="00DB5D0D">
            <w:pPr>
              <w:pStyle w:val="a3"/>
              <w:widowControl/>
              <w:rPr>
                <w:color w:val="000000" w:themeColor="text1"/>
                <w:lang w:val="ru-RU"/>
              </w:rPr>
            </w:pPr>
            <w:r w:rsidRPr="00DB5D0D">
              <w:rPr>
                <w:color w:val="000000" w:themeColor="text1"/>
                <w:lang w:val="ru-RU"/>
              </w:rPr>
              <w:t>по 2, 4, 6, 8</w:t>
            </w:r>
          </w:p>
        </w:tc>
        <w:tc>
          <w:tcPr>
            <w:tcW w:w="1449" w:type="dxa"/>
          </w:tcPr>
          <w:p w14:paraId="51B6AE12" w14:textId="77777777" w:rsidR="003C7E8B" w:rsidRPr="00DB5D0D" w:rsidRDefault="003C7E8B" w:rsidP="00DB5D0D">
            <w:pPr>
              <w:pStyle w:val="a3"/>
              <w:widowControl/>
              <w:rPr>
                <w:color w:val="000000" w:themeColor="text1"/>
                <w:lang w:val="ru-RU"/>
              </w:rPr>
            </w:pPr>
            <w:r w:rsidRPr="00DB5D0D">
              <w:rPr>
                <w:color w:val="000000" w:themeColor="text1"/>
                <w:lang w:val="ru-RU"/>
              </w:rPr>
              <w:t>по 20, 10 и 14</w:t>
            </w:r>
          </w:p>
        </w:tc>
      </w:tr>
      <w:tr w:rsidR="007D5DF8" w:rsidRPr="00DB5D0D" w14:paraId="431E61F8" w14:textId="77777777" w:rsidTr="00E543D0">
        <w:tc>
          <w:tcPr>
            <w:tcW w:w="1449" w:type="dxa"/>
          </w:tcPr>
          <w:p w14:paraId="1A56536B" w14:textId="77777777" w:rsidR="003C7E8B" w:rsidRPr="00DB5D0D" w:rsidRDefault="003C7E8B" w:rsidP="00DB5D0D">
            <w:pPr>
              <w:pStyle w:val="a3"/>
              <w:widowControl/>
              <w:rPr>
                <w:color w:val="000000" w:themeColor="text1"/>
                <w:lang w:val="ru-RU"/>
              </w:rPr>
            </w:pPr>
            <w:r w:rsidRPr="00DB5D0D">
              <w:rPr>
                <w:color w:val="000000" w:themeColor="text1"/>
                <w:lang w:val="ru-RU"/>
              </w:rPr>
              <w:t>КД-1</w:t>
            </w:r>
          </w:p>
        </w:tc>
        <w:tc>
          <w:tcPr>
            <w:tcW w:w="1449" w:type="dxa"/>
          </w:tcPr>
          <w:p w14:paraId="7CCAE9B6" w14:textId="77777777" w:rsidR="003C7E8B" w:rsidRPr="00DB5D0D" w:rsidRDefault="003C7E8B" w:rsidP="00DB5D0D">
            <w:pPr>
              <w:pStyle w:val="a3"/>
              <w:widowControl/>
              <w:rPr>
                <w:color w:val="000000" w:themeColor="text1"/>
                <w:lang w:val="ru-RU"/>
              </w:rPr>
            </w:pPr>
            <w:r w:rsidRPr="00DB5D0D">
              <w:rPr>
                <w:color w:val="000000" w:themeColor="text1"/>
                <w:lang w:val="ru-RU"/>
              </w:rPr>
              <w:t>АО-8</w:t>
            </w:r>
          </w:p>
        </w:tc>
        <w:tc>
          <w:tcPr>
            <w:tcW w:w="1449" w:type="dxa"/>
          </w:tcPr>
          <w:p w14:paraId="0F74F404" w14:textId="77777777" w:rsidR="003C7E8B" w:rsidRPr="00DB5D0D" w:rsidRDefault="003C7E8B" w:rsidP="00DB5D0D">
            <w:pPr>
              <w:pStyle w:val="a3"/>
              <w:widowControl/>
              <w:rPr>
                <w:color w:val="000000" w:themeColor="text1"/>
                <w:lang w:val="ru-RU"/>
              </w:rPr>
            </w:pPr>
            <w:r w:rsidRPr="00DB5D0D">
              <w:rPr>
                <w:color w:val="000000" w:themeColor="text1"/>
                <w:lang w:val="ru-RU"/>
              </w:rPr>
              <w:t>30</w:t>
            </w:r>
          </w:p>
        </w:tc>
        <w:tc>
          <w:tcPr>
            <w:tcW w:w="1449" w:type="dxa"/>
          </w:tcPr>
          <w:p w14:paraId="14C1EB89" w14:textId="77777777" w:rsidR="003C7E8B" w:rsidRPr="00DB5D0D" w:rsidRDefault="003C7E8B" w:rsidP="00DB5D0D">
            <w:pPr>
              <w:pStyle w:val="a3"/>
              <w:widowControl/>
              <w:rPr>
                <w:color w:val="000000" w:themeColor="text1"/>
                <w:lang w:val="ru-RU"/>
              </w:rPr>
            </w:pPr>
            <w:r w:rsidRPr="00DB5D0D">
              <w:rPr>
                <w:color w:val="000000" w:themeColor="text1"/>
                <w:lang w:val="ru-RU"/>
              </w:rPr>
              <w:t>14</w:t>
            </w:r>
          </w:p>
        </w:tc>
        <w:tc>
          <w:tcPr>
            <w:tcW w:w="1449" w:type="dxa"/>
          </w:tcPr>
          <w:p w14:paraId="6E75B571" w14:textId="77777777" w:rsidR="003C7E8B" w:rsidRPr="00DB5D0D" w:rsidRDefault="003C7E8B" w:rsidP="00DB5D0D">
            <w:pPr>
              <w:pStyle w:val="a3"/>
              <w:widowControl/>
              <w:rPr>
                <w:color w:val="000000" w:themeColor="text1"/>
                <w:lang w:val="ru-RU"/>
              </w:rPr>
            </w:pPr>
            <w:r w:rsidRPr="00DB5D0D">
              <w:rPr>
                <w:color w:val="000000" w:themeColor="text1"/>
                <w:lang w:val="ru-RU"/>
              </w:rPr>
              <w:t>240</w:t>
            </w:r>
          </w:p>
        </w:tc>
        <w:tc>
          <w:tcPr>
            <w:tcW w:w="1449" w:type="dxa"/>
          </w:tcPr>
          <w:p w14:paraId="34BEA59D" w14:textId="77777777" w:rsidR="003C7E8B" w:rsidRPr="00DB5D0D" w:rsidRDefault="003C7E8B" w:rsidP="00DB5D0D">
            <w:pPr>
              <w:pStyle w:val="a3"/>
              <w:widowControl/>
              <w:rPr>
                <w:color w:val="000000" w:themeColor="text1"/>
                <w:lang w:val="ru-RU"/>
              </w:rPr>
            </w:pPr>
            <w:r w:rsidRPr="00DB5D0D">
              <w:rPr>
                <w:color w:val="000000" w:themeColor="text1"/>
                <w:lang w:val="ru-RU"/>
              </w:rPr>
              <w:t>112</w:t>
            </w:r>
          </w:p>
        </w:tc>
        <w:tc>
          <w:tcPr>
            <w:tcW w:w="1449" w:type="dxa"/>
          </w:tcPr>
          <w:p w14:paraId="10E451BA" w14:textId="77777777" w:rsidR="003C7E8B" w:rsidRPr="00DB5D0D" w:rsidRDefault="003C7E8B" w:rsidP="00DB5D0D">
            <w:pPr>
              <w:pStyle w:val="a3"/>
              <w:widowControl/>
              <w:rPr>
                <w:color w:val="000000" w:themeColor="text1"/>
                <w:lang w:val="ru-RU"/>
              </w:rPr>
            </w:pPr>
            <w:r w:rsidRPr="00DB5D0D">
              <w:rPr>
                <w:color w:val="000000" w:themeColor="text1"/>
                <w:lang w:val="ru-RU"/>
              </w:rPr>
              <w:t>по 2, 4, 6, 8</w:t>
            </w:r>
          </w:p>
        </w:tc>
        <w:tc>
          <w:tcPr>
            <w:tcW w:w="1449" w:type="dxa"/>
          </w:tcPr>
          <w:p w14:paraId="2220104F" w14:textId="77777777" w:rsidR="003C7E8B" w:rsidRPr="00DB5D0D" w:rsidRDefault="003C7E8B" w:rsidP="00DB5D0D">
            <w:pPr>
              <w:pStyle w:val="a3"/>
              <w:widowControl/>
              <w:rPr>
                <w:color w:val="000000" w:themeColor="text1"/>
                <w:lang w:val="ru-RU"/>
              </w:rPr>
            </w:pPr>
            <w:r w:rsidRPr="00DB5D0D">
              <w:rPr>
                <w:color w:val="000000" w:themeColor="text1"/>
                <w:lang w:val="ru-RU"/>
              </w:rPr>
              <w:t>по 20, 10 и 14</w:t>
            </w:r>
          </w:p>
        </w:tc>
      </w:tr>
      <w:tr w:rsidR="007D5DF8" w:rsidRPr="00DB5D0D" w14:paraId="0C89E640" w14:textId="77777777" w:rsidTr="00E543D0">
        <w:tc>
          <w:tcPr>
            <w:tcW w:w="1449" w:type="dxa"/>
          </w:tcPr>
          <w:p w14:paraId="7FA13491" w14:textId="77777777" w:rsidR="003C7E8B" w:rsidRPr="00DB5D0D" w:rsidRDefault="003C7E8B" w:rsidP="00DB5D0D">
            <w:pPr>
              <w:pStyle w:val="a3"/>
              <w:widowControl/>
              <w:rPr>
                <w:color w:val="000000" w:themeColor="text1"/>
                <w:lang w:val="ru-RU"/>
              </w:rPr>
            </w:pPr>
            <w:r w:rsidRPr="00DB5D0D">
              <w:rPr>
                <w:color w:val="000000" w:themeColor="text1"/>
                <w:lang w:val="ru-RU"/>
              </w:rPr>
              <w:t xml:space="preserve">КД-1 </w:t>
            </w:r>
          </w:p>
        </w:tc>
        <w:tc>
          <w:tcPr>
            <w:tcW w:w="1449" w:type="dxa"/>
          </w:tcPr>
          <w:p w14:paraId="666A97D5" w14:textId="77777777" w:rsidR="003C7E8B" w:rsidRPr="00DB5D0D" w:rsidRDefault="003C7E8B" w:rsidP="00DB5D0D">
            <w:pPr>
              <w:pStyle w:val="a3"/>
              <w:widowControl/>
              <w:rPr>
                <w:color w:val="000000" w:themeColor="text1"/>
                <w:lang w:val="ru-RU"/>
              </w:rPr>
            </w:pPr>
            <w:r w:rsidRPr="00DB5D0D">
              <w:rPr>
                <w:color w:val="000000" w:themeColor="text1"/>
                <w:lang w:val="ru-RU"/>
              </w:rPr>
              <w:t>АО-2,5</w:t>
            </w:r>
          </w:p>
        </w:tc>
        <w:tc>
          <w:tcPr>
            <w:tcW w:w="1449" w:type="dxa"/>
          </w:tcPr>
          <w:p w14:paraId="224FBBA5" w14:textId="77777777" w:rsidR="003C7E8B" w:rsidRPr="00DB5D0D" w:rsidRDefault="003C7E8B" w:rsidP="00DB5D0D">
            <w:pPr>
              <w:pStyle w:val="a3"/>
              <w:widowControl/>
              <w:rPr>
                <w:color w:val="000000" w:themeColor="text1"/>
                <w:lang w:val="ru-RU"/>
              </w:rPr>
            </w:pPr>
            <w:r w:rsidRPr="00DB5D0D">
              <w:rPr>
                <w:color w:val="000000" w:themeColor="text1"/>
                <w:lang w:val="ru-RU"/>
              </w:rPr>
              <w:t>144</w:t>
            </w:r>
          </w:p>
        </w:tc>
        <w:tc>
          <w:tcPr>
            <w:tcW w:w="1449" w:type="dxa"/>
          </w:tcPr>
          <w:p w14:paraId="67DE66AE"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5A1614D3" w14:textId="77777777" w:rsidR="003C7E8B" w:rsidRPr="00DB5D0D" w:rsidRDefault="003C7E8B" w:rsidP="00DB5D0D">
            <w:pPr>
              <w:pStyle w:val="a3"/>
              <w:widowControl/>
              <w:rPr>
                <w:color w:val="000000" w:themeColor="text1"/>
                <w:lang w:val="ru-RU"/>
              </w:rPr>
            </w:pPr>
            <w:r w:rsidRPr="00DB5D0D">
              <w:rPr>
                <w:color w:val="000000" w:themeColor="text1"/>
                <w:lang w:val="ru-RU"/>
              </w:rPr>
              <w:t>360</w:t>
            </w:r>
          </w:p>
        </w:tc>
        <w:tc>
          <w:tcPr>
            <w:tcW w:w="1449" w:type="dxa"/>
          </w:tcPr>
          <w:p w14:paraId="1C29C6E9"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09C08D79" w14:textId="77777777" w:rsidR="003C7E8B" w:rsidRPr="00DB5D0D" w:rsidRDefault="003C7E8B" w:rsidP="00DB5D0D">
            <w:pPr>
              <w:pStyle w:val="a3"/>
              <w:widowControl/>
              <w:rPr>
                <w:color w:val="000000" w:themeColor="text1"/>
                <w:lang w:val="ru-RU"/>
              </w:rPr>
            </w:pPr>
            <w:r w:rsidRPr="00DB5D0D">
              <w:rPr>
                <w:color w:val="000000" w:themeColor="text1"/>
                <w:lang w:val="ru-RU"/>
              </w:rPr>
              <w:t>48, 96, 144</w:t>
            </w:r>
          </w:p>
        </w:tc>
        <w:tc>
          <w:tcPr>
            <w:tcW w:w="1449" w:type="dxa"/>
          </w:tcPr>
          <w:p w14:paraId="3B00109B" w14:textId="77777777" w:rsidR="003C7E8B" w:rsidRPr="00DB5D0D" w:rsidRDefault="003C7E8B" w:rsidP="00DB5D0D">
            <w:pPr>
              <w:pStyle w:val="a3"/>
              <w:widowControl/>
              <w:rPr>
                <w:color w:val="000000" w:themeColor="text1"/>
                <w:lang w:val="ru-RU"/>
              </w:rPr>
            </w:pPr>
            <w:r w:rsidRPr="00DB5D0D">
              <w:rPr>
                <w:color w:val="000000" w:themeColor="text1"/>
                <w:lang w:val="ru-RU"/>
              </w:rPr>
              <w:t>96, 48</w:t>
            </w:r>
          </w:p>
        </w:tc>
      </w:tr>
      <w:tr w:rsidR="007D5DF8" w:rsidRPr="00DB5D0D" w14:paraId="7C780EBC" w14:textId="77777777" w:rsidTr="00E543D0">
        <w:tc>
          <w:tcPr>
            <w:tcW w:w="1449" w:type="dxa"/>
          </w:tcPr>
          <w:p w14:paraId="2152D3DC" w14:textId="77777777" w:rsidR="003C7E8B" w:rsidRPr="00DB5D0D" w:rsidRDefault="003C7E8B" w:rsidP="00DB5D0D">
            <w:pPr>
              <w:pStyle w:val="a3"/>
              <w:widowControl/>
              <w:rPr>
                <w:color w:val="000000" w:themeColor="text1"/>
                <w:lang w:val="ru-RU"/>
              </w:rPr>
            </w:pPr>
            <w:r w:rsidRPr="00DB5D0D">
              <w:rPr>
                <w:color w:val="000000" w:themeColor="text1"/>
                <w:lang w:val="ru-RU"/>
              </w:rPr>
              <w:t>КД-1</w:t>
            </w:r>
          </w:p>
        </w:tc>
        <w:tc>
          <w:tcPr>
            <w:tcW w:w="1449" w:type="dxa"/>
          </w:tcPr>
          <w:p w14:paraId="019651A7" w14:textId="77777777" w:rsidR="003C7E8B" w:rsidRPr="00DB5D0D" w:rsidRDefault="003C7E8B" w:rsidP="00DB5D0D">
            <w:pPr>
              <w:pStyle w:val="a3"/>
              <w:widowControl/>
              <w:rPr>
                <w:color w:val="000000" w:themeColor="text1"/>
                <w:lang w:val="ru-RU"/>
              </w:rPr>
            </w:pPr>
            <w:r w:rsidRPr="00DB5D0D">
              <w:rPr>
                <w:color w:val="000000" w:themeColor="text1"/>
                <w:lang w:val="ru-RU"/>
              </w:rPr>
              <w:t>ЗАБ-1</w:t>
            </w:r>
          </w:p>
        </w:tc>
        <w:tc>
          <w:tcPr>
            <w:tcW w:w="1449" w:type="dxa"/>
          </w:tcPr>
          <w:p w14:paraId="7EC72604" w14:textId="77777777" w:rsidR="003C7E8B" w:rsidRPr="00DB5D0D" w:rsidRDefault="003C7E8B" w:rsidP="00DB5D0D">
            <w:pPr>
              <w:pStyle w:val="a3"/>
              <w:widowControl/>
              <w:rPr>
                <w:color w:val="000000" w:themeColor="text1"/>
                <w:lang w:val="ru-RU"/>
              </w:rPr>
            </w:pPr>
            <w:r w:rsidRPr="00DB5D0D">
              <w:rPr>
                <w:color w:val="000000" w:themeColor="text1"/>
                <w:lang w:val="ru-RU"/>
              </w:rPr>
              <w:t>144</w:t>
            </w:r>
          </w:p>
        </w:tc>
        <w:tc>
          <w:tcPr>
            <w:tcW w:w="1449" w:type="dxa"/>
          </w:tcPr>
          <w:p w14:paraId="390A6A0E"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5F93712D" w14:textId="77777777" w:rsidR="003C7E8B" w:rsidRPr="00DB5D0D" w:rsidRDefault="003C7E8B" w:rsidP="00DB5D0D">
            <w:pPr>
              <w:pStyle w:val="a3"/>
              <w:widowControl/>
              <w:rPr>
                <w:color w:val="000000" w:themeColor="text1"/>
                <w:lang w:val="ru-RU"/>
              </w:rPr>
            </w:pPr>
            <w:r w:rsidRPr="00DB5D0D">
              <w:rPr>
                <w:color w:val="000000" w:themeColor="text1"/>
                <w:lang w:val="ru-RU"/>
              </w:rPr>
              <w:t>144</w:t>
            </w:r>
          </w:p>
        </w:tc>
        <w:tc>
          <w:tcPr>
            <w:tcW w:w="1449" w:type="dxa"/>
          </w:tcPr>
          <w:p w14:paraId="3669C03D"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1200A56D" w14:textId="77777777" w:rsidR="003C7E8B" w:rsidRPr="00DB5D0D" w:rsidRDefault="003C7E8B" w:rsidP="00DB5D0D">
            <w:pPr>
              <w:pStyle w:val="a3"/>
              <w:widowControl/>
              <w:rPr>
                <w:color w:val="000000" w:themeColor="text1"/>
                <w:lang w:val="ru-RU"/>
              </w:rPr>
            </w:pPr>
            <w:r w:rsidRPr="00DB5D0D">
              <w:rPr>
                <w:color w:val="000000" w:themeColor="text1"/>
                <w:lang w:val="ru-RU"/>
              </w:rPr>
              <w:t>48, 96, 144</w:t>
            </w:r>
          </w:p>
        </w:tc>
        <w:tc>
          <w:tcPr>
            <w:tcW w:w="1449" w:type="dxa"/>
          </w:tcPr>
          <w:p w14:paraId="3DD70217" w14:textId="77777777" w:rsidR="003C7E8B" w:rsidRPr="00DB5D0D" w:rsidRDefault="003C7E8B" w:rsidP="00DB5D0D">
            <w:pPr>
              <w:pStyle w:val="a3"/>
              <w:widowControl/>
              <w:rPr>
                <w:color w:val="000000" w:themeColor="text1"/>
                <w:lang w:val="ru-RU"/>
              </w:rPr>
            </w:pPr>
            <w:r w:rsidRPr="00DB5D0D">
              <w:rPr>
                <w:color w:val="000000" w:themeColor="text1"/>
                <w:lang w:val="ru-RU"/>
              </w:rPr>
              <w:t>96, 48</w:t>
            </w:r>
          </w:p>
        </w:tc>
      </w:tr>
      <w:tr w:rsidR="007D5DF8" w:rsidRPr="00DB5D0D" w14:paraId="428EF0A8" w14:textId="77777777" w:rsidTr="00E543D0">
        <w:tc>
          <w:tcPr>
            <w:tcW w:w="1449" w:type="dxa"/>
          </w:tcPr>
          <w:p w14:paraId="24DA2F18" w14:textId="77777777" w:rsidR="003C7E8B" w:rsidRPr="00DB5D0D" w:rsidRDefault="003C7E8B" w:rsidP="00DB5D0D">
            <w:pPr>
              <w:pStyle w:val="a3"/>
              <w:widowControl/>
              <w:rPr>
                <w:color w:val="000000" w:themeColor="text1"/>
                <w:lang w:val="ru-RU"/>
              </w:rPr>
            </w:pPr>
            <w:r w:rsidRPr="00DB5D0D">
              <w:rPr>
                <w:color w:val="000000" w:themeColor="text1"/>
                <w:lang w:val="ru-RU"/>
              </w:rPr>
              <w:t>ДЕР-19</w:t>
            </w:r>
          </w:p>
        </w:tc>
        <w:tc>
          <w:tcPr>
            <w:tcW w:w="1449" w:type="dxa"/>
          </w:tcPr>
          <w:p w14:paraId="614D7BAA" w14:textId="77777777" w:rsidR="003C7E8B" w:rsidRPr="00DB5D0D" w:rsidRDefault="003C7E8B" w:rsidP="00DB5D0D">
            <w:pPr>
              <w:pStyle w:val="a3"/>
              <w:widowControl/>
              <w:rPr>
                <w:color w:val="000000" w:themeColor="text1"/>
                <w:lang w:val="ru-RU"/>
              </w:rPr>
            </w:pPr>
            <w:r w:rsidRPr="00DB5D0D">
              <w:rPr>
                <w:color w:val="000000" w:themeColor="text1"/>
                <w:lang w:val="ru-RU"/>
              </w:rPr>
              <w:t>ФАБ-250</w:t>
            </w:r>
          </w:p>
        </w:tc>
        <w:tc>
          <w:tcPr>
            <w:tcW w:w="1449" w:type="dxa"/>
          </w:tcPr>
          <w:p w14:paraId="748E21B0"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0BAF6396" w14:textId="77777777" w:rsidR="003C7E8B" w:rsidRPr="00DB5D0D" w:rsidRDefault="003C7E8B" w:rsidP="00DB5D0D">
            <w:pPr>
              <w:pStyle w:val="a3"/>
              <w:widowControl/>
              <w:rPr>
                <w:color w:val="000000" w:themeColor="text1"/>
                <w:lang w:val="ru-RU"/>
              </w:rPr>
            </w:pPr>
            <w:r w:rsidRPr="00DB5D0D">
              <w:rPr>
                <w:color w:val="000000" w:themeColor="text1"/>
                <w:lang w:val="ru-RU"/>
              </w:rPr>
              <w:t>2</w:t>
            </w:r>
          </w:p>
        </w:tc>
        <w:tc>
          <w:tcPr>
            <w:tcW w:w="1449" w:type="dxa"/>
          </w:tcPr>
          <w:p w14:paraId="628C34B3"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37CEB49C" w14:textId="77777777" w:rsidR="003C7E8B" w:rsidRPr="00DB5D0D" w:rsidRDefault="003C7E8B" w:rsidP="00DB5D0D">
            <w:pPr>
              <w:pStyle w:val="a3"/>
              <w:widowControl/>
              <w:rPr>
                <w:color w:val="000000" w:themeColor="text1"/>
                <w:lang w:val="ru-RU"/>
              </w:rPr>
            </w:pPr>
            <w:r w:rsidRPr="00DB5D0D">
              <w:rPr>
                <w:color w:val="000000" w:themeColor="text1"/>
                <w:lang w:val="ru-RU"/>
              </w:rPr>
              <w:t>500</w:t>
            </w:r>
          </w:p>
        </w:tc>
        <w:tc>
          <w:tcPr>
            <w:tcW w:w="1449" w:type="dxa"/>
          </w:tcPr>
          <w:p w14:paraId="0FF388A3" w14:textId="77777777" w:rsidR="003C7E8B" w:rsidRPr="00DB5D0D" w:rsidRDefault="003C7E8B" w:rsidP="00DB5D0D">
            <w:pPr>
              <w:pStyle w:val="a3"/>
              <w:widowControl/>
              <w:rPr>
                <w:color w:val="000000" w:themeColor="text1"/>
                <w:lang w:val="ru-RU"/>
              </w:rPr>
            </w:pPr>
            <w:r w:rsidRPr="00DB5D0D">
              <w:rPr>
                <w:color w:val="000000" w:themeColor="text1"/>
                <w:lang w:val="ru-RU"/>
              </w:rPr>
              <w:t>по 2</w:t>
            </w:r>
          </w:p>
        </w:tc>
        <w:tc>
          <w:tcPr>
            <w:tcW w:w="1449" w:type="dxa"/>
          </w:tcPr>
          <w:p w14:paraId="0CCD7F07" w14:textId="77777777" w:rsidR="003C7E8B" w:rsidRPr="00DB5D0D" w:rsidRDefault="003C7E8B" w:rsidP="00DB5D0D">
            <w:pPr>
              <w:pStyle w:val="a3"/>
              <w:widowControl/>
              <w:rPr>
                <w:color w:val="000000" w:themeColor="text1"/>
                <w:lang w:val="ru-RU"/>
              </w:rPr>
            </w:pPr>
            <w:r w:rsidRPr="00DB5D0D">
              <w:rPr>
                <w:color w:val="000000" w:themeColor="text1"/>
                <w:lang w:val="ru-RU"/>
              </w:rPr>
              <w:t xml:space="preserve">по 2 </w:t>
            </w:r>
          </w:p>
        </w:tc>
      </w:tr>
      <w:tr w:rsidR="007D5DF8" w:rsidRPr="00DB5D0D" w14:paraId="159A6F89" w14:textId="77777777" w:rsidTr="00E543D0">
        <w:tc>
          <w:tcPr>
            <w:tcW w:w="1449" w:type="dxa"/>
          </w:tcPr>
          <w:p w14:paraId="00B330F5" w14:textId="77777777" w:rsidR="003C7E8B" w:rsidRPr="00DB5D0D" w:rsidRDefault="003C7E8B" w:rsidP="00DB5D0D">
            <w:pPr>
              <w:pStyle w:val="a3"/>
              <w:widowControl/>
              <w:rPr>
                <w:color w:val="000000" w:themeColor="text1"/>
                <w:lang w:val="ru-RU"/>
              </w:rPr>
            </w:pPr>
            <w:r w:rsidRPr="00DB5D0D">
              <w:rPr>
                <w:color w:val="000000" w:themeColor="text1"/>
                <w:lang w:val="ru-RU"/>
              </w:rPr>
              <w:t>ДЕР-19</w:t>
            </w:r>
          </w:p>
        </w:tc>
        <w:tc>
          <w:tcPr>
            <w:tcW w:w="1449" w:type="dxa"/>
          </w:tcPr>
          <w:p w14:paraId="7569C4E6" w14:textId="77777777" w:rsidR="003C7E8B" w:rsidRPr="00DB5D0D" w:rsidRDefault="003C7E8B" w:rsidP="00DB5D0D">
            <w:pPr>
              <w:pStyle w:val="a3"/>
              <w:widowControl/>
              <w:rPr>
                <w:color w:val="000000" w:themeColor="text1"/>
                <w:lang w:val="ru-RU"/>
              </w:rPr>
            </w:pPr>
            <w:r w:rsidRPr="00DB5D0D">
              <w:rPr>
                <w:color w:val="000000" w:themeColor="text1"/>
                <w:lang w:val="ru-RU"/>
              </w:rPr>
              <w:t>РРАБ-3</w:t>
            </w:r>
          </w:p>
        </w:tc>
        <w:tc>
          <w:tcPr>
            <w:tcW w:w="1449" w:type="dxa"/>
          </w:tcPr>
          <w:p w14:paraId="75B39799"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05CBD17B" w14:textId="77777777" w:rsidR="003C7E8B" w:rsidRPr="00DB5D0D" w:rsidRDefault="003C7E8B" w:rsidP="00DB5D0D">
            <w:pPr>
              <w:pStyle w:val="a3"/>
              <w:widowControl/>
              <w:rPr>
                <w:color w:val="000000" w:themeColor="text1"/>
                <w:lang w:val="ru-RU"/>
              </w:rPr>
            </w:pPr>
            <w:r w:rsidRPr="00DB5D0D">
              <w:rPr>
                <w:color w:val="000000" w:themeColor="text1"/>
                <w:lang w:val="ru-RU"/>
              </w:rPr>
              <w:t>2</w:t>
            </w:r>
          </w:p>
        </w:tc>
        <w:tc>
          <w:tcPr>
            <w:tcW w:w="1449" w:type="dxa"/>
          </w:tcPr>
          <w:p w14:paraId="773009C3"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08F372E2" w14:textId="77777777" w:rsidR="003C7E8B" w:rsidRPr="00DB5D0D" w:rsidRDefault="003C7E8B" w:rsidP="00DB5D0D">
            <w:pPr>
              <w:pStyle w:val="a3"/>
              <w:widowControl/>
              <w:rPr>
                <w:color w:val="000000" w:themeColor="text1"/>
                <w:lang w:val="ru-RU"/>
              </w:rPr>
            </w:pPr>
            <w:r w:rsidRPr="00DB5D0D">
              <w:rPr>
                <w:color w:val="000000" w:themeColor="text1"/>
                <w:lang w:val="ru-RU"/>
              </w:rPr>
              <w:t>500</w:t>
            </w:r>
          </w:p>
        </w:tc>
        <w:tc>
          <w:tcPr>
            <w:tcW w:w="1449" w:type="dxa"/>
          </w:tcPr>
          <w:p w14:paraId="7E8AF115" w14:textId="77777777" w:rsidR="003C7E8B" w:rsidRPr="00DB5D0D" w:rsidRDefault="003C7E8B" w:rsidP="00DB5D0D">
            <w:pPr>
              <w:pStyle w:val="a3"/>
              <w:widowControl/>
              <w:rPr>
                <w:color w:val="000000" w:themeColor="text1"/>
                <w:lang w:val="ru-RU"/>
              </w:rPr>
            </w:pPr>
            <w:r w:rsidRPr="00DB5D0D">
              <w:rPr>
                <w:color w:val="000000" w:themeColor="text1"/>
                <w:lang w:val="ru-RU"/>
              </w:rPr>
              <w:t>по 2</w:t>
            </w:r>
          </w:p>
        </w:tc>
        <w:tc>
          <w:tcPr>
            <w:tcW w:w="1449" w:type="dxa"/>
          </w:tcPr>
          <w:p w14:paraId="334FC08B" w14:textId="77777777" w:rsidR="003C7E8B" w:rsidRPr="00DB5D0D" w:rsidRDefault="003C7E8B" w:rsidP="00DB5D0D">
            <w:pPr>
              <w:pStyle w:val="a3"/>
              <w:widowControl/>
              <w:rPr>
                <w:color w:val="000000" w:themeColor="text1"/>
                <w:lang w:val="ru-RU"/>
              </w:rPr>
            </w:pPr>
            <w:r w:rsidRPr="00DB5D0D">
              <w:rPr>
                <w:color w:val="000000" w:themeColor="text1"/>
                <w:lang w:val="ru-RU"/>
              </w:rPr>
              <w:t xml:space="preserve">по 2 </w:t>
            </w:r>
          </w:p>
        </w:tc>
      </w:tr>
      <w:tr w:rsidR="007D5DF8" w:rsidRPr="00DB5D0D" w14:paraId="4DF80C46" w14:textId="77777777" w:rsidTr="00E543D0">
        <w:tc>
          <w:tcPr>
            <w:tcW w:w="1449" w:type="dxa"/>
          </w:tcPr>
          <w:p w14:paraId="60B5A8D8" w14:textId="77777777" w:rsidR="003C7E8B" w:rsidRPr="00DB5D0D" w:rsidRDefault="003C7E8B" w:rsidP="00DB5D0D">
            <w:pPr>
              <w:pStyle w:val="a3"/>
              <w:widowControl/>
              <w:rPr>
                <w:color w:val="000000" w:themeColor="text1"/>
                <w:lang w:val="ru-RU"/>
              </w:rPr>
            </w:pPr>
            <w:r w:rsidRPr="00DB5D0D">
              <w:rPr>
                <w:color w:val="000000" w:themeColor="text1"/>
                <w:lang w:val="ru-RU"/>
              </w:rPr>
              <w:t>Д-2</w:t>
            </w:r>
          </w:p>
        </w:tc>
        <w:tc>
          <w:tcPr>
            <w:tcW w:w="1449" w:type="dxa"/>
          </w:tcPr>
          <w:p w14:paraId="341B4AA6" w14:textId="77777777" w:rsidR="003C7E8B" w:rsidRPr="00DB5D0D" w:rsidRDefault="003C7E8B" w:rsidP="00DB5D0D">
            <w:pPr>
              <w:pStyle w:val="a3"/>
              <w:widowControl/>
              <w:rPr>
                <w:color w:val="000000" w:themeColor="text1"/>
                <w:lang w:val="ru-RU"/>
              </w:rPr>
            </w:pPr>
            <w:r w:rsidRPr="00DB5D0D">
              <w:rPr>
                <w:color w:val="000000" w:themeColor="text1"/>
                <w:lang w:val="ru-RU"/>
              </w:rPr>
              <w:t>ФАБ-100</w:t>
            </w:r>
          </w:p>
        </w:tc>
        <w:tc>
          <w:tcPr>
            <w:tcW w:w="1449" w:type="dxa"/>
          </w:tcPr>
          <w:p w14:paraId="160B9687"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559A72D0" w14:textId="77777777" w:rsidR="003C7E8B" w:rsidRPr="00DB5D0D" w:rsidRDefault="003C7E8B" w:rsidP="00DB5D0D">
            <w:pPr>
              <w:pStyle w:val="a3"/>
              <w:widowControl/>
              <w:rPr>
                <w:color w:val="000000" w:themeColor="text1"/>
                <w:lang w:val="ru-RU"/>
              </w:rPr>
            </w:pPr>
            <w:r w:rsidRPr="00DB5D0D">
              <w:rPr>
                <w:color w:val="000000" w:themeColor="text1"/>
                <w:lang w:val="ru-RU"/>
              </w:rPr>
              <w:t>2</w:t>
            </w:r>
          </w:p>
        </w:tc>
        <w:tc>
          <w:tcPr>
            <w:tcW w:w="1449" w:type="dxa"/>
          </w:tcPr>
          <w:p w14:paraId="21337121"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4D87B11D" w14:textId="77777777" w:rsidR="003C7E8B" w:rsidRPr="00DB5D0D" w:rsidRDefault="003C7E8B" w:rsidP="00DB5D0D">
            <w:pPr>
              <w:pStyle w:val="a3"/>
              <w:widowControl/>
              <w:rPr>
                <w:color w:val="000000" w:themeColor="text1"/>
                <w:lang w:val="ru-RU"/>
              </w:rPr>
            </w:pPr>
            <w:r w:rsidRPr="00DB5D0D">
              <w:rPr>
                <w:color w:val="000000" w:themeColor="text1"/>
                <w:lang w:val="ru-RU"/>
              </w:rPr>
              <w:t>200</w:t>
            </w:r>
          </w:p>
        </w:tc>
        <w:tc>
          <w:tcPr>
            <w:tcW w:w="1449" w:type="dxa"/>
          </w:tcPr>
          <w:p w14:paraId="69A2933A" w14:textId="77777777" w:rsidR="003C7E8B" w:rsidRPr="00DB5D0D" w:rsidRDefault="003C7E8B" w:rsidP="00DB5D0D">
            <w:pPr>
              <w:pStyle w:val="a3"/>
              <w:widowControl/>
              <w:rPr>
                <w:color w:val="000000" w:themeColor="text1"/>
                <w:lang w:val="ru-RU"/>
              </w:rPr>
            </w:pPr>
            <w:r w:rsidRPr="00DB5D0D">
              <w:rPr>
                <w:color w:val="000000" w:themeColor="text1"/>
                <w:lang w:val="ru-RU"/>
              </w:rPr>
              <w:t>по 2</w:t>
            </w:r>
          </w:p>
        </w:tc>
        <w:tc>
          <w:tcPr>
            <w:tcW w:w="1449" w:type="dxa"/>
          </w:tcPr>
          <w:p w14:paraId="1CF71547" w14:textId="77777777" w:rsidR="003C7E8B" w:rsidRPr="00DB5D0D" w:rsidRDefault="003C7E8B" w:rsidP="00DB5D0D">
            <w:pPr>
              <w:pStyle w:val="a3"/>
              <w:widowControl/>
              <w:rPr>
                <w:color w:val="000000" w:themeColor="text1"/>
                <w:lang w:val="ru-RU"/>
              </w:rPr>
            </w:pPr>
            <w:r w:rsidRPr="00DB5D0D">
              <w:rPr>
                <w:color w:val="000000" w:themeColor="text1"/>
                <w:lang w:val="ru-RU"/>
              </w:rPr>
              <w:t xml:space="preserve">по 2 </w:t>
            </w:r>
          </w:p>
        </w:tc>
      </w:tr>
      <w:tr w:rsidR="007D5DF8" w:rsidRPr="00DB5D0D" w14:paraId="1D90C94E" w14:textId="77777777" w:rsidTr="00E543D0">
        <w:tc>
          <w:tcPr>
            <w:tcW w:w="1449" w:type="dxa"/>
          </w:tcPr>
          <w:p w14:paraId="3FFBBE35" w14:textId="77777777" w:rsidR="003C7E8B" w:rsidRPr="00DB5D0D" w:rsidRDefault="003C7E8B" w:rsidP="00DB5D0D">
            <w:pPr>
              <w:pStyle w:val="a3"/>
              <w:widowControl/>
              <w:rPr>
                <w:color w:val="000000" w:themeColor="text1"/>
                <w:lang w:val="ru-RU"/>
              </w:rPr>
            </w:pPr>
            <w:r w:rsidRPr="00DB5D0D">
              <w:rPr>
                <w:color w:val="000000" w:themeColor="text1"/>
                <w:lang w:val="ru-RU"/>
              </w:rPr>
              <w:t>Д-2</w:t>
            </w:r>
          </w:p>
        </w:tc>
        <w:tc>
          <w:tcPr>
            <w:tcW w:w="1449" w:type="dxa"/>
          </w:tcPr>
          <w:p w14:paraId="37BCDCDC" w14:textId="77777777" w:rsidR="003C7E8B" w:rsidRPr="00DB5D0D" w:rsidRDefault="003C7E8B" w:rsidP="00DB5D0D">
            <w:pPr>
              <w:pStyle w:val="a3"/>
              <w:widowControl/>
              <w:rPr>
                <w:color w:val="000000" w:themeColor="text1"/>
                <w:lang w:val="ru-RU"/>
              </w:rPr>
            </w:pPr>
            <w:r w:rsidRPr="00DB5D0D">
              <w:rPr>
                <w:color w:val="000000" w:themeColor="text1"/>
                <w:lang w:val="ru-RU"/>
              </w:rPr>
              <w:t>ФАБ-50</w:t>
            </w:r>
          </w:p>
        </w:tc>
        <w:tc>
          <w:tcPr>
            <w:tcW w:w="1449" w:type="dxa"/>
          </w:tcPr>
          <w:p w14:paraId="6371A316"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198A618E" w14:textId="77777777" w:rsidR="003C7E8B" w:rsidRPr="00DB5D0D" w:rsidRDefault="003C7E8B" w:rsidP="00DB5D0D">
            <w:pPr>
              <w:pStyle w:val="a3"/>
              <w:widowControl/>
              <w:rPr>
                <w:color w:val="000000" w:themeColor="text1"/>
                <w:lang w:val="ru-RU"/>
              </w:rPr>
            </w:pPr>
            <w:r w:rsidRPr="00DB5D0D">
              <w:rPr>
                <w:color w:val="000000" w:themeColor="text1"/>
                <w:lang w:val="ru-RU"/>
              </w:rPr>
              <w:t>2</w:t>
            </w:r>
          </w:p>
        </w:tc>
        <w:tc>
          <w:tcPr>
            <w:tcW w:w="1449" w:type="dxa"/>
          </w:tcPr>
          <w:p w14:paraId="6CCD40E7"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193FC03A" w14:textId="77777777" w:rsidR="003C7E8B" w:rsidRPr="00DB5D0D" w:rsidRDefault="003C7E8B" w:rsidP="00DB5D0D">
            <w:pPr>
              <w:pStyle w:val="a3"/>
              <w:widowControl/>
              <w:rPr>
                <w:color w:val="000000" w:themeColor="text1"/>
                <w:lang w:val="ru-RU"/>
              </w:rPr>
            </w:pPr>
            <w:r w:rsidRPr="00DB5D0D">
              <w:rPr>
                <w:color w:val="000000" w:themeColor="text1"/>
                <w:lang w:val="ru-RU"/>
              </w:rPr>
              <w:t>100</w:t>
            </w:r>
          </w:p>
        </w:tc>
        <w:tc>
          <w:tcPr>
            <w:tcW w:w="1449" w:type="dxa"/>
          </w:tcPr>
          <w:p w14:paraId="3DBE3089" w14:textId="77777777" w:rsidR="003C7E8B" w:rsidRPr="00DB5D0D" w:rsidRDefault="003C7E8B" w:rsidP="00DB5D0D">
            <w:pPr>
              <w:pStyle w:val="a3"/>
              <w:widowControl/>
              <w:rPr>
                <w:color w:val="000000" w:themeColor="text1"/>
                <w:lang w:val="ru-RU"/>
              </w:rPr>
            </w:pPr>
            <w:r w:rsidRPr="00DB5D0D">
              <w:rPr>
                <w:color w:val="000000" w:themeColor="text1"/>
                <w:lang w:val="ru-RU"/>
              </w:rPr>
              <w:t>по 2</w:t>
            </w:r>
          </w:p>
        </w:tc>
        <w:tc>
          <w:tcPr>
            <w:tcW w:w="1449" w:type="dxa"/>
          </w:tcPr>
          <w:p w14:paraId="4458CBD7" w14:textId="77777777" w:rsidR="003C7E8B" w:rsidRPr="00DB5D0D" w:rsidRDefault="003C7E8B" w:rsidP="00DB5D0D">
            <w:pPr>
              <w:pStyle w:val="a3"/>
              <w:widowControl/>
              <w:rPr>
                <w:color w:val="000000" w:themeColor="text1"/>
                <w:lang w:val="ru-RU"/>
              </w:rPr>
            </w:pPr>
            <w:r w:rsidRPr="00DB5D0D">
              <w:rPr>
                <w:color w:val="000000" w:themeColor="text1"/>
                <w:lang w:val="ru-RU"/>
              </w:rPr>
              <w:t xml:space="preserve">по 2 </w:t>
            </w:r>
          </w:p>
        </w:tc>
      </w:tr>
      <w:tr w:rsidR="007D5DF8" w:rsidRPr="00DB5D0D" w14:paraId="62369259" w14:textId="77777777" w:rsidTr="00E543D0">
        <w:tc>
          <w:tcPr>
            <w:tcW w:w="1449" w:type="dxa"/>
          </w:tcPr>
          <w:p w14:paraId="568772C7" w14:textId="77777777" w:rsidR="003C7E8B" w:rsidRPr="00DB5D0D" w:rsidRDefault="003C7E8B" w:rsidP="00DB5D0D">
            <w:pPr>
              <w:pStyle w:val="a3"/>
              <w:widowControl/>
              <w:rPr>
                <w:color w:val="000000" w:themeColor="text1"/>
                <w:lang w:val="ru-RU"/>
              </w:rPr>
            </w:pPr>
            <w:r w:rsidRPr="00DB5D0D">
              <w:rPr>
                <w:color w:val="000000" w:themeColor="text1"/>
                <w:lang w:val="ru-RU"/>
              </w:rPr>
              <w:t>Д-2</w:t>
            </w:r>
          </w:p>
        </w:tc>
        <w:tc>
          <w:tcPr>
            <w:tcW w:w="1449" w:type="dxa"/>
          </w:tcPr>
          <w:p w14:paraId="254B1409" w14:textId="77777777" w:rsidR="003C7E8B" w:rsidRPr="00DB5D0D" w:rsidRDefault="003C7E8B" w:rsidP="00DB5D0D">
            <w:pPr>
              <w:pStyle w:val="a3"/>
              <w:widowControl/>
              <w:rPr>
                <w:color w:val="000000" w:themeColor="text1"/>
                <w:lang w:val="ru-RU"/>
              </w:rPr>
            </w:pPr>
            <w:r w:rsidRPr="00DB5D0D">
              <w:rPr>
                <w:color w:val="000000" w:themeColor="text1"/>
                <w:lang w:val="ru-RU"/>
              </w:rPr>
              <w:t>ВАП-200</w:t>
            </w:r>
          </w:p>
        </w:tc>
        <w:tc>
          <w:tcPr>
            <w:tcW w:w="1449" w:type="dxa"/>
          </w:tcPr>
          <w:p w14:paraId="4C4C6BA5"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2ACA72A2" w14:textId="77777777" w:rsidR="003C7E8B" w:rsidRPr="00DB5D0D" w:rsidRDefault="003C7E8B" w:rsidP="00DB5D0D">
            <w:pPr>
              <w:pStyle w:val="a3"/>
              <w:widowControl/>
              <w:rPr>
                <w:color w:val="000000" w:themeColor="text1"/>
                <w:lang w:val="ru-RU"/>
              </w:rPr>
            </w:pPr>
            <w:r w:rsidRPr="00DB5D0D">
              <w:rPr>
                <w:color w:val="000000" w:themeColor="text1"/>
                <w:lang w:val="ru-RU"/>
              </w:rPr>
              <w:t>2</w:t>
            </w:r>
          </w:p>
        </w:tc>
        <w:tc>
          <w:tcPr>
            <w:tcW w:w="1449" w:type="dxa"/>
          </w:tcPr>
          <w:p w14:paraId="339C7496"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14318020" w14:textId="77777777" w:rsidR="003C7E8B" w:rsidRPr="00DB5D0D" w:rsidRDefault="003C7E8B" w:rsidP="00DB5D0D">
            <w:pPr>
              <w:pStyle w:val="a3"/>
              <w:widowControl/>
              <w:rPr>
                <w:color w:val="000000" w:themeColor="text1"/>
                <w:lang w:val="ru-RU"/>
              </w:rPr>
            </w:pPr>
            <w:r w:rsidRPr="00DB5D0D">
              <w:rPr>
                <w:color w:val="000000" w:themeColor="text1"/>
                <w:lang w:val="ru-RU"/>
              </w:rPr>
              <w:t>-</w:t>
            </w:r>
          </w:p>
        </w:tc>
        <w:tc>
          <w:tcPr>
            <w:tcW w:w="1449" w:type="dxa"/>
          </w:tcPr>
          <w:p w14:paraId="4A0D191A" w14:textId="77777777" w:rsidR="003C7E8B" w:rsidRPr="00DB5D0D" w:rsidRDefault="003C7E8B" w:rsidP="00DB5D0D">
            <w:pPr>
              <w:pStyle w:val="a3"/>
              <w:widowControl/>
              <w:rPr>
                <w:color w:val="000000" w:themeColor="text1"/>
                <w:lang w:val="ru-RU"/>
              </w:rPr>
            </w:pPr>
            <w:r w:rsidRPr="00DB5D0D">
              <w:rPr>
                <w:color w:val="000000" w:themeColor="text1"/>
                <w:lang w:val="ru-RU"/>
              </w:rPr>
              <w:t>по 2</w:t>
            </w:r>
          </w:p>
        </w:tc>
        <w:tc>
          <w:tcPr>
            <w:tcW w:w="1449" w:type="dxa"/>
          </w:tcPr>
          <w:p w14:paraId="7388CD3D" w14:textId="77777777" w:rsidR="003C7E8B" w:rsidRPr="00DB5D0D" w:rsidRDefault="003C7E8B" w:rsidP="00DB5D0D">
            <w:pPr>
              <w:pStyle w:val="a3"/>
              <w:widowControl/>
              <w:rPr>
                <w:color w:val="000000" w:themeColor="text1"/>
                <w:lang w:val="ru-RU"/>
              </w:rPr>
            </w:pPr>
            <w:r w:rsidRPr="00DB5D0D">
              <w:rPr>
                <w:color w:val="000000" w:themeColor="text1"/>
                <w:lang w:val="ru-RU"/>
              </w:rPr>
              <w:t xml:space="preserve">по 2 </w:t>
            </w:r>
          </w:p>
        </w:tc>
      </w:tr>
    </w:tbl>
    <w:p w14:paraId="62993D77" w14:textId="77777777" w:rsidR="003C7E8B" w:rsidRPr="00DB5D0D" w:rsidRDefault="003C7E8B" w:rsidP="00DB5D0D">
      <w:pPr>
        <w:pStyle w:val="a3"/>
        <w:widowControl/>
        <w:rPr>
          <w:color w:val="000000" w:themeColor="text1"/>
          <w:lang w:val="ru-RU"/>
        </w:rPr>
      </w:pPr>
      <w:r w:rsidRPr="00DB5D0D">
        <w:rPr>
          <w:color w:val="000000" w:themeColor="text1"/>
          <w:lang w:val="ru-RU"/>
        </w:rPr>
        <w:t>(78).</w:t>
      </w:r>
    </w:p>
    <w:p w14:paraId="2BD7F5F8" w14:textId="77777777" w:rsidR="003C7E8B" w:rsidRPr="00DB5D0D" w:rsidRDefault="003C7E8B" w:rsidP="00DB5D0D">
      <w:pPr>
        <w:pStyle w:val="a3"/>
        <w:widowControl/>
        <w:rPr>
          <w:color w:val="000000" w:themeColor="text1"/>
          <w:lang w:val="ru-RU"/>
        </w:rPr>
      </w:pPr>
    </w:p>
    <w:p w14:paraId="1703E89D" w14:textId="77777777" w:rsidR="00F01895" w:rsidRPr="00DB5D0D" w:rsidRDefault="00F01895"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24 июля 1941 Шпитальному удалось организовать совещание у Сталина по вопросу по</w:t>
      </w:r>
      <w:r w:rsidRPr="00DB5D0D">
        <w:rPr>
          <w:rFonts w:ascii="Times New Roman" w:hAnsi="Times New Roman"/>
          <w:color w:val="000000" w:themeColor="text1"/>
          <w:spacing w:val="0"/>
          <w:sz w:val="16"/>
          <w:szCs w:val="16"/>
        </w:rPr>
        <w:softHyphen/>
        <w:t>становки на вооружение ВВС КА пушки Ш-37 и ор</w:t>
      </w:r>
      <w:r w:rsidRPr="00DB5D0D">
        <w:rPr>
          <w:rFonts w:ascii="Times New Roman" w:hAnsi="Times New Roman"/>
          <w:color w:val="000000" w:themeColor="text1"/>
          <w:spacing w:val="0"/>
          <w:sz w:val="16"/>
          <w:szCs w:val="16"/>
        </w:rPr>
        <w:softHyphen/>
        <w:t>ганизации ее валового выпуска. В работе совеща</w:t>
      </w:r>
      <w:r w:rsidRPr="00DB5D0D">
        <w:rPr>
          <w:rFonts w:ascii="Times New Roman" w:hAnsi="Times New Roman"/>
          <w:color w:val="000000" w:themeColor="text1"/>
          <w:spacing w:val="0"/>
          <w:sz w:val="16"/>
          <w:szCs w:val="16"/>
        </w:rPr>
        <w:softHyphen/>
        <w:t>ния, помимо Сталина и Шпитального, участвовали заместитель командующего ВВС генерал-майор И. Ф. Петров, нарком боеприпасов Б. Л. Ванников и нарком вооружения Д. Ф. Устинов. Совещание продлилось 1 ч 15 мин (с 23.45 по 1.00 уже 25 ию</w:t>
      </w:r>
      <w:r w:rsidRPr="00DB5D0D">
        <w:rPr>
          <w:rFonts w:ascii="Times New Roman" w:hAnsi="Times New Roman"/>
          <w:color w:val="000000" w:themeColor="text1"/>
          <w:spacing w:val="0"/>
          <w:sz w:val="16"/>
          <w:szCs w:val="16"/>
        </w:rPr>
        <w:softHyphen/>
        <w:t>ля). Шпитальный считал необходимым срочно во</w:t>
      </w:r>
      <w:r w:rsidRPr="00DB5D0D">
        <w:rPr>
          <w:rFonts w:ascii="Times New Roman" w:hAnsi="Times New Roman"/>
          <w:color w:val="000000" w:themeColor="text1"/>
          <w:spacing w:val="0"/>
          <w:sz w:val="16"/>
          <w:szCs w:val="16"/>
        </w:rPr>
        <w:softHyphen/>
        <w:t>оружить пушкой Ш-37 достаточное количество ис</w:t>
      </w:r>
      <w:r w:rsidRPr="00DB5D0D">
        <w:rPr>
          <w:rFonts w:ascii="Times New Roman" w:hAnsi="Times New Roman"/>
          <w:color w:val="000000" w:themeColor="text1"/>
          <w:spacing w:val="0"/>
          <w:sz w:val="16"/>
          <w:szCs w:val="16"/>
        </w:rPr>
        <w:softHyphen/>
        <w:t>требителей ЛаГГ-3 и штурмовиков Ил-2, которые затем массированно применить на танкоопасном направлении для нанесения сокрушительного по</w:t>
      </w:r>
      <w:r w:rsidRPr="00DB5D0D">
        <w:rPr>
          <w:rFonts w:ascii="Times New Roman" w:hAnsi="Times New Roman"/>
          <w:color w:val="000000" w:themeColor="text1"/>
          <w:spacing w:val="0"/>
          <w:sz w:val="16"/>
          <w:szCs w:val="16"/>
        </w:rPr>
        <w:softHyphen/>
        <w:t>ражения немецким танковым колоннам. Однако эта инициатива встретила возражения Устинова, Ван</w:t>
      </w:r>
      <w:r w:rsidRPr="00DB5D0D">
        <w:rPr>
          <w:rFonts w:ascii="Times New Roman" w:hAnsi="Times New Roman"/>
          <w:color w:val="000000" w:themeColor="text1"/>
          <w:spacing w:val="0"/>
          <w:sz w:val="16"/>
          <w:szCs w:val="16"/>
        </w:rPr>
        <w:softHyphen/>
        <w:t>никова и Петрова. В условиях, когда заводы пере</w:t>
      </w:r>
      <w:r w:rsidRPr="00DB5D0D">
        <w:rPr>
          <w:rFonts w:ascii="Times New Roman" w:hAnsi="Times New Roman"/>
          <w:color w:val="000000" w:themeColor="text1"/>
          <w:spacing w:val="0"/>
          <w:sz w:val="16"/>
          <w:szCs w:val="16"/>
        </w:rPr>
        <w:softHyphen/>
        <w:t>страиваются на военный лад или встают на колеса, чтобы перебраться на восток, а на фронтах ощуща</w:t>
      </w:r>
      <w:r w:rsidRPr="00DB5D0D">
        <w:rPr>
          <w:rFonts w:ascii="Times New Roman" w:hAnsi="Times New Roman"/>
          <w:color w:val="000000" w:themeColor="text1"/>
          <w:spacing w:val="0"/>
          <w:sz w:val="16"/>
          <w:szCs w:val="16"/>
        </w:rPr>
        <w:softHyphen/>
        <w:t>ется острая нехватка боевых самолетов, и прежде всего истребителей, предложение Шпитального казалось преждевременным. К тому же еще требо</w:t>
      </w:r>
      <w:r w:rsidRPr="00DB5D0D">
        <w:rPr>
          <w:rFonts w:ascii="Times New Roman" w:hAnsi="Times New Roman"/>
          <w:color w:val="000000" w:themeColor="text1"/>
          <w:spacing w:val="0"/>
          <w:sz w:val="16"/>
          <w:szCs w:val="16"/>
        </w:rPr>
        <w:softHyphen/>
        <w:t>валось подготовить кадры летно-технического со става для грамотной эксплуатации материальной части 37-мм пушек.</w:t>
      </w:r>
    </w:p>
    <w:p w14:paraId="0BFF8762" w14:textId="77777777" w:rsidR="00F01895" w:rsidRPr="00DB5D0D" w:rsidRDefault="00F01895"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Обстоятельно обсудив весь комплекс проблем, связанных с этим вопросом, было решено изгото</w:t>
      </w:r>
      <w:r w:rsidRPr="00DB5D0D">
        <w:rPr>
          <w:rFonts w:ascii="Times New Roman" w:hAnsi="Times New Roman"/>
          <w:color w:val="000000" w:themeColor="text1"/>
          <w:spacing w:val="0"/>
          <w:sz w:val="16"/>
          <w:szCs w:val="16"/>
        </w:rPr>
        <w:softHyphen/>
        <w:t>вить на заводе № 74 НКВ без оснастки опытную партию пушек Ш-37 в количестве, достаточном для укомплектования одного истребительного полка противотанковых ЛаГГ-3, и провести войсковые испытания самолетов в условиях фронта. Одно</w:t>
      </w:r>
      <w:r w:rsidRPr="00DB5D0D">
        <w:rPr>
          <w:rFonts w:ascii="Times New Roman" w:hAnsi="Times New Roman"/>
          <w:color w:val="000000" w:themeColor="text1"/>
          <w:spacing w:val="0"/>
          <w:sz w:val="16"/>
          <w:szCs w:val="16"/>
        </w:rPr>
        <w:softHyphen/>
        <w:t>временно предполагалось провести полигонные испытания Ил-2 с пушками Ш-37. Только после это</w:t>
      </w:r>
      <w:r w:rsidRPr="00DB5D0D">
        <w:rPr>
          <w:rFonts w:ascii="Times New Roman" w:hAnsi="Times New Roman"/>
          <w:color w:val="000000" w:themeColor="text1"/>
          <w:spacing w:val="0"/>
          <w:sz w:val="16"/>
          <w:szCs w:val="16"/>
        </w:rPr>
        <w:softHyphen/>
        <w:t>го планировалось принять решение о постановке Ш-37 на снабжение ВВС КА (17500).</w:t>
      </w:r>
    </w:p>
    <w:p w14:paraId="64F984DB" w14:textId="77777777" w:rsidR="00F01895" w:rsidRPr="00DB5D0D" w:rsidRDefault="00F01895" w:rsidP="00DB5D0D">
      <w:pPr>
        <w:spacing w:after="0" w:line="240" w:lineRule="auto"/>
        <w:jc w:val="both"/>
        <w:rPr>
          <w:rFonts w:ascii="Times New Roman" w:eastAsia="Times New Roman" w:hAnsi="Times New Roman"/>
          <w:color w:val="000000" w:themeColor="text1"/>
          <w:sz w:val="16"/>
          <w:szCs w:val="16"/>
          <w:lang w:eastAsia="ru-RU"/>
        </w:rPr>
      </w:pPr>
    </w:p>
    <w:p w14:paraId="536A9F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24/25 июля 1940 Зам. Нач. ВВС КА г-л Астахов писал письмо N 507638с Зам. НКАП Воронину о том, что завод 125 до сего времени выпускает самолеты СБ без доработок, предусмотренных договором и в т.ч. не устанавливает МВ-2 и не окрашивает самолеты в соответствии с постановлением КО N 220сс от 23 мая 1940 (2707,13).</w:t>
      </w:r>
    </w:p>
    <w:p w14:paraId="3C7A7D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УПРАВЛЕНИЕ ВОЕННО-ВОЗДУШНЫХ СИЛ РККА</w:t>
      </w:r>
    </w:p>
    <w:p w14:paraId="42273F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 Экз.№ 1</w:t>
      </w:r>
    </w:p>
    <w:p w14:paraId="76C0F9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доработок с-тов СБ, выпускаемых з-дом 125.</w:t>
      </w:r>
    </w:p>
    <w:p w14:paraId="642501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smallCaps/>
          <w:color w:val="000000" w:themeColor="text1"/>
          <w:sz w:val="16"/>
          <w:szCs w:val="16"/>
        </w:rPr>
        <w:t>зам. народного комиссара авмационной промышленности союза сср</w:t>
      </w:r>
    </w:p>
    <w:p w14:paraId="7AA7374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ВОРОНИНУ.</w:t>
      </w:r>
    </w:p>
    <w:p w14:paraId="7C0179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125 до сего времени выпускает . самолеты без доработок, предусмотренных договором:</w:t>
      </w:r>
    </w:p>
    <w:p w14:paraId="5F9B95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 1/У завод обязан выпускать самолеты с подогревом ноторов от ламп АПЛ и к 1 июня 1940 г. обеспечить ими все самолеты выпускаемые в 1940 г., однако, подогрев не введен и до сих пор.</w:t>
      </w:r>
    </w:p>
    <w:p w14:paraId="6EC225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 1/1У-40 г. устанавливать боковые противопожарные перегородки и к 1/У-40 г. покрыть задолженность на все самолеты выпуска 1940 г.; фактически завод начал выпуск самолетов с перегородками только с 31/У. Необходимо оборудовать этими перегородкам ранее выпущенные самолеты.</w:t>
      </w:r>
    </w:p>
    <w:p w14:paraId="291981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 1-го квартала завод обязан был выпускать самолеты, оборудованные установкой наполнения бензобаков нейтральным газом, но это не выполняется и до сих пор.</w:t>
      </w:r>
    </w:p>
    <w:p w14:paraId="528218F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До сих пор не устанавливают МВ-2.</w:t>
      </w:r>
    </w:p>
    <w:p w14:paraId="6404020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Окраска самолетов, в соответствии с постановлением Комитете Обороны при СНК СССР № 220сс от 23.5.40 г., до сих пор не производится.</w:t>
      </w:r>
    </w:p>
    <w:p w14:paraId="08CEF2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Ваших указаний директору з-да №125 о срочном внедрении всех перечисленных изменений обусловленных договором, без которых продукция завода является некондиционной и принята быть не может.</w:t>
      </w:r>
    </w:p>
    <w:p w14:paraId="063453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Вашем решении прошу поставить меня в известность (2707,13).</w:t>
      </w:r>
    </w:p>
    <w:p w14:paraId="207F583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067AB57"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w:t>
      </w:r>
    </w:p>
    <w:p w14:paraId="34250A63"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155. Письмо наркома внутренних дел СССР Л. П. Берии секретарю ЦК ВКП(б) И. В. Сталину об амнистировании конструкторов и инженерно-технических работников в связи с выпуском самолета “100”</w:t>
      </w:r>
    </w:p>
    <w:p w14:paraId="0C0C5361"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4FE77ACB"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627-630.</w:t>
      </w:r>
    </w:p>
    <w:p w14:paraId="7E5E8D51"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0C6058E3"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 3. Оп. 46. Д. 20. Л. 156-161. Подлинники.</w:t>
      </w:r>
    </w:p>
    <w:p w14:paraId="673EA4B3"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6941559F"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постройкой и внедрением в серийное производство на заводах Наркомата авиационной промышленности самолета “100”, сконструированного силами заключенных — специалистов Особого технического бюро, НКВД СССР проводятся следующие мероприятия.</w:t>
      </w:r>
    </w:p>
    <w:p w14:paraId="0A7E9280"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Возбуждено ходатайство перед Президиумом Верховного совета СССР об амнистировании и снятии судимости с 25 чел. конструкторов и инженерно-технических работников Особого технического бюро НКВД СССР, осужденных Военной коллегией Верховного суда СССР на разные сроки, по прилагаемому списку.</w:t>
      </w:r>
    </w:p>
    <w:p w14:paraId="34C6F4E5"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После вынесения Президиумом Верховного совета соответствующего решения упомянутые выше специалисты будут зачислены на штатную работу в Особое техническое бюро.</w:t>
      </w:r>
    </w:p>
    <w:p w14:paraId="4FADB81A"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Всем освобождаемым будут возвращены ранее занимаемые ими квартиры и выдано единовременное пособие в размере от 3 до 5 тыс. руб. каждому.</w:t>
      </w:r>
    </w:p>
    <w:p w14:paraId="567C9F27"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Представляю список конструкторов и инженерно-технических работников Особого технического бюро НКВД СССР, в отношении которых возбуждено ходатайство о помиловании.</w:t>
      </w:r>
    </w:p>
    <w:p w14:paraId="05F26F9E"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внутренних дел Союза ССРЛ. Берия</w:t>
      </w:r>
    </w:p>
    <w:p w14:paraId="40B0A8B6"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w:t>
      </w:r>
    </w:p>
    <w:p w14:paraId="54451D51"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Список заключенных конструкторов и инженерно-технических работников Особого технического бюро НКВД СССР, представляемых в Президиум Верховного совета СССР для амнистирования и снятия судимости</w:t>
      </w:r>
    </w:p>
    <w:p w14:paraId="7A828609"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Петляков Владимир Михайлович, 1891 г. р. быв. главный конструктор завода № 156 НКАП. Осужден ВК Верховного суда СССР на 10 лет ИТЛ. Крупный специалист в области самолетостроения, имеет большой опыт практической работы. Сконструировал новый тип самолета для ВВС КА.</w:t>
      </w:r>
    </w:p>
    <w:p w14:paraId="7C5D10C2"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Изаксон Александр Михайлович, 1899 г. р., быв. начальник конструкторского бюро завода № 156 НКАП. Осужден ВК Верховного суда СССР на 10 лет ИТЛ. Высококвалифицированный специалист в области аэродинамики. Принимал деятельное участие в создании нового типа самолета.</w:t>
      </w:r>
    </w:p>
    <w:p w14:paraId="1958EEAC"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Путилов Александр Иванович,  1893 г. р., быв. главный инженер завода № 207. Осужден ВК Верховного суда СССР на 10 лет ИТЛ. Способный конструктор в области проектирования фюзеляжа самолетов. Самостоятельно сконструировал фюзеляж самолета нового типа.</w:t>
      </w:r>
    </w:p>
    <w:p w14:paraId="03C8EA45"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Мясищев Владимир Михайлович, 1902 г. р., быв. начальник конструкторского бюро № 6 ЦАГИ. Осужден ВК Верховного суда СССР на 10 лет ИТЛ. Крупный специалист, обладающий обширными знаниями в области самолетостроения в СССР и за границей. Провел большую работу по постройке нового самолета.</w:t>
      </w:r>
    </w:p>
    <w:p w14:paraId="4DD00BDE"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Базенков Николай Ильич, 1901 г. р., быв. начальник конструкторско-чертежного отдела завода № 22 НКАП. Осужден ВК Верховного суда СССР на 5 лет ИТЛ. Начальник бригады центроплана, руководил разработкой конструкции центроплана. Обладает большим опытом серийного производства.</w:t>
      </w:r>
    </w:p>
    <w:p w14:paraId="41642355"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Минкнер Курт Владимирович, 1903 г. р., быв. инженер 3</w:t>
      </w:r>
      <w:r w:rsidRPr="00DB5D0D">
        <w:rPr>
          <w:rFonts w:ascii="Times New Roman" w:hAnsi="Times New Roman"/>
          <w:color w:val="000000" w:themeColor="text1"/>
          <w:sz w:val="16"/>
          <w:szCs w:val="16"/>
        </w:rPr>
        <w:noBreakHyphen/>
        <w:t>й лаборатории ЦИАМ. Осужден ВК Верховного суда СССР на 10 лет ИТЛ. Замначальника бригады моторного оборудования. Высококвалифицированный специалист по турбокомпрессорам.</w:t>
      </w:r>
    </w:p>
    <w:p w14:paraId="39AC4BFF"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Погосский Евгений Иванович, 1893 г. р., быв. начальник отдела моторооборудования ЦАГИ. Осужден ВК Верховного суда СССР на 10 лет ИТЛ. Начальник бригады моторооборудования. Опытный, высококвалифицированный специалист по моторным установкам.</w:t>
      </w:r>
    </w:p>
    <w:p w14:paraId="21EC407E"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Башта Трифон Максимович, 1904 г. р., быв. начальник лаборатории ЭНИИМС. Осужден ВК Верховного суда СССР на 10 лет ИТЛ. Руководитель бригады гидроприводов. Спроектировал и построил гидроприводы для управления шасси и питания бензина самолетов[</w:t>
      </w:r>
      <w:hyperlink r:id="rId219"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w:t>
      </w:r>
    </w:p>
    <w:p w14:paraId="7F72E6DB"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Качкачян Михаил Минаевич, 1893 г. р., быв. начальник летной станции завода№ 213. Осужден  ВК Верховного суда СССР на 10 лет ИТЛ. Руководитель бригады приборов. Разработал конструкцию автомата к прицелу для авиационного оружия.</w:t>
      </w:r>
    </w:p>
    <w:p w14:paraId="760F4B87"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Енгибарян Амик Австович, 1899 г. р., быв. начальник отдела самолетного оборудования ЦАГИ. Осужден ВК Верховного суда СССР на 10 лет ИТЛ. Начальник бригады электрооборудования.  Разработал ряд электромеханизмов, внедряемых по рекомендации НИИ ВВС КА[</w:t>
      </w:r>
      <w:hyperlink r:id="rId220" w:anchor="p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в промышленность.</w:t>
      </w:r>
    </w:p>
    <w:p w14:paraId="43D17081"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Рогов Константин Васильевич,  1902 г. р., быв. инженер ЦАГИ. Осужден ВК Верховного суда СССР на 10 лет ИТЛ. Руководитель бригады электрорадиооборудования самолетов. Разработал ряд электромеханизмов.</w:t>
      </w:r>
    </w:p>
    <w:p w14:paraId="54D5E572"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Вахмистров Борис Сергеевич, 1890 г. р., быв. начальник бригады вооружения ЦАГИ. Осужден ВК Верховного суда СССР на 5 лет ИТЛ. Начальник бригады вооружения, высококвалифицированный специалист с большим стажем практической работы. Разработал новый вид бомбардировочного вооружения для истребителей.</w:t>
      </w:r>
    </w:p>
    <w:p w14:paraId="2CD0256D"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Матвеев Георгий Григорьевич, 1903 г. р., быв. инженер завода № 22 НКАП. Осужден ВК Верховного суда СССР на 10 лет ИТЛ. Зам. начальника бригады центроплана, способный инженер, обладающий большим опытом практической работы. Добросовестно выполнял работы по проектированию центроплана самолета.</w:t>
      </w:r>
    </w:p>
    <w:p w14:paraId="4838865D"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Бару Ефим Иосифович, 1904 г. р., быв. инженер завода № 135 НКАП. Осужден ВК Верховного суда СССР на 5 лет ИТЛ. Зам. руководителя бригады крыла. Способный, опытный инженер. Принимал деятельное участие в проектировании крыла самолета.</w:t>
      </w:r>
    </w:p>
    <w:p w14:paraId="3B87675E"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Бутан Ян Юрьевич, 1896 г. р., быв. старший инженер завода № 1 НКАП. Осужден ВК Верховного суда СССР на 10 лет ИТЛ. Высококвалифицированный конструктор по моторному оборудованию. Разработал конструкцию бензосистемы самолета.</w:t>
      </w:r>
    </w:p>
    <w:p w14:paraId="549542DC"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Некрасов Николай Северинович, 1891 г. р., быв. начальник конструкторского бюро завода № 156 НКАП. Осужден ВК Верховного суда СССР на 10 лет ИТЛ. Руководитель бригады оперения. Разработанная им конструкция хвостового оперения самолета отличается большой надежностью. Опытный, квалифицированный специалист.</w:t>
      </w:r>
    </w:p>
    <w:p w14:paraId="7D32D739"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Кондорский Борис Михайлович, 1888 г. р., быв. начальник бюро эскизного проектирования завода № 156 НКАП. Осужден ВК Верховного суда СССР на 10 лет ИТЛ. Руководитель группы общих видов. Провел ответственную работу по эскизному проектированию самолетов. Работает добросовестно.</w:t>
      </w:r>
    </w:p>
    <w:p w14:paraId="227795BA"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Петров Николай Иванович, 1894 г. р., быв. начальник отдела технического контроля завода № 156 НКАП. Осужден ВК Верховного суда СССР на 10 лет ИТЛ. Зам. руководителя бригады герметики. Опытный, высококвалифицированный инженер.</w:t>
      </w:r>
    </w:p>
    <w:p w14:paraId="60B7C953"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Сигорский Алексей Александрович, 1907 г. р., быв. конструктор завода№ 22 НКАП. Осужден ВК Верховного суда СССР на 10 лет ИТЛ. Инженер по стрелковому вооружению. Разработал конструкцию установки стрелкового вооружения, вполне оправдавшую себя в эксплуатации.</w:t>
      </w:r>
    </w:p>
    <w:p w14:paraId="05B35D4E"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Жолковский Соломон Яковлевич, 1902 г. р., быв. главный конструктор завода № 135. Осужден ВК Верховного суда СССР на 10 лет ИТЛ. Инженер-расчетчик. Провел большую работу на прочность самолетов. Дисциплинированный, исполнительный работник.</w:t>
      </w:r>
    </w:p>
    <w:p w14:paraId="4D0F3F3E"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Стоман Евгений Карлович, 1895 г. р., быв. зам. начальника летной станции ЦАГИ. Осужден ВК Верховного суда СССР на 10 лет ИТЛ. Руководитель бригады управления, разработавшей конструкцию управления самолетом.  Провел большую работу в качестве ведущего инженера по летным испытаниям самолетов.</w:t>
      </w:r>
    </w:p>
    <w:p w14:paraId="5CFA196B"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Лещенко Сергей Михайлович, 1904 г. р., быв. директор завода № 25. Осужден ВК Верховного суда СССР на 10 лет ИТЛ. Руководитель технологической бригады. Принимал непосредственное участие в постройке самолета на заводе. Опытный специалист по горячей штамповке и литью металлов.</w:t>
      </w:r>
    </w:p>
    <w:p w14:paraId="01AE0D4B"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Полонский Николай Иванович, 1893 г. р., быв. начальник отдела завода № 18 НКАП. Осужден ВК Верховного суда СССР на 5 лет ИТЛ. Опытный специалист-технолог. Принимал участие в постройке самолета на заводе.</w:t>
      </w:r>
    </w:p>
    <w:p w14:paraId="0D40AD8C"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Лопатин Иван Михайлович, 1902 г. р., быв. начальник цеха завода № 21 НКАП. Осужден ВК Верховного суда СССР на 10 лет ИТЛ. Инженер-технолог, Разработал технологию деталей для самолетов. Инициативный работник.</w:t>
      </w:r>
    </w:p>
    <w:p w14:paraId="054E894A"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Абрамов Виктор Иванович, 1897 г. р., быв. главный инженер-технолог завода № 21. Осужден ВК Верховного суда СССР на 10 лет ИТЛ. Опытный производственник с большим стажем практической работы. Разработал ряд конструкций механических деталей самолетов.</w:t>
      </w:r>
    </w:p>
    <w:p w14:paraId="30F5938C"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внутренних дел Союза ССРЛ. Берия.</w:t>
      </w:r>
    </w:p>
    <w:p w14:paraId="582A2ADE"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p w14:paraId="64BB64C2"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21"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Так в тексте.</w:t>
      </w:r>
    </w:p>
    <w:p w14:paraId="041545B7"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22" w:anchor="s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Научно-испытательный институт ВВС РККА (НИИ ВВС КА) был образован приказом  Реввоенсовета СССР № 621 от 12 октября 1926 г. путем реорганизации Научно-опытного аэродрома. На НИИ ВВС возлагалось проведение научно</w:t>
      </w:r>
      <w:r w:rsidRPr="00DB5D0D">
        <w:rPr>
          <w:rFonts w:ascii="Times New Roman" w:hAnsi="Times New Roman"/>
          <w:color w:val="000000" w:themeColor="text1"/>
          <w:sz w:val="16"/>
          <w:szCs w:val="16"/>
        </w:rPr>
        <w:softHyphen/>
        <w:t>испытательных работ по всем отраслям, применяемым ВВС, и по усовершенствованию их материальной части: 1) испытание самолетов, двигателей, приборов и вооружения; 2) разработка предложений по совершенствованию авиационной техники; 3) разработка и проверка способов тактического применения авиатехники; 4) инструктирование строевых частей ВВС по вопросу применения прошедших испытание самолетов и вооружения. Во второй половине 1933 г. новое положение о НИИ ВВС определило его как главный руководящий орган ВВС РККА по вопросам научно-исследовательской, опытной испытательной работы, по инструктированию строевых частей и школ ВВС при их переходе на новую технику. В 1938</w:t>
      </w:r>
      <w:r w:rsidRPr="00DB5D0D">
        <w:rPr>
          <w:rFonts w:ascii="Times New Roman" w:hAnsi="Times New Roman"/>
          <w:color w:val="000000" w:themeColor="text1"/>
          <w:sz w:val="16"/>
          <w:szCs w:val="16"/>
        </w:rPr>
        <w:noBreakHyphen/>
        <w:t>1941 гг. в НИИ ВВС проводилась большая научно-исследовательская работа по всем видам и направлениям развития авиационной техники, причем особое внимание уделялось реализации боевого опыта, приобретенного советской авиацией в Испании, Китае и на Халхин-Голе. В начале 1939 г. правительство созвало большое совещание по вопросу «о положении советской авиации» с участием всех авиационных конструкторов и военных специалистов в этой области, а также представителей НИИ ВВС, ЦАГИ и других научных и испытательных организаций. На нем было решено объявить конкурс на постройку военных самолетов, пригодных для ведения боевых действий в современных условиях. В результате появились разработки нескольких самолетов, которые превзошли лучшие иностранные образцы: МиГ</w:t>
      </w:r>
      <w:r w:rsidRPr="00DB5D0D">
        <w:rPr>
          <w:rFonts w:ascii="Times New Roman" w:hAnsi="Times New Roman"/>
          <w:color w:val="000000" w:themeColor="text1"/>
          <w:sz w:val="16"/>
          <w:szCs w:val="16"/>
        </w:rPr>
        <w:noBreakHyphen/>
        <w:t>1, ЛаГГ</w:t>
      </w:r>
      <w:r w:rsidRPr="00DB5D0D">
        <w:rPr>
          <w:rFonts w:ascii="Times New Roman" w:hAnsi="Times New Roman"/>
          <w:color w:val="000000" w:themeColor="text1"/>
          <w:sz w:val="16"/>
          <w:szCs w:val="16"/>
        </w:rPr>
        <w:noBreakHyphen/>
        <w:t>1, Як</w:t>
      </w:r>
      <w:r w:rsidRPr="00DB5D0D">
        <w:rPr>
          <w:rFonts w:ascii="Times New Roman" w:hAnsi="Times New Roman"/>
          <w:color w:val="000000" w:themeColor="text1"/>
          <w:sz w:val="16"/>
          <w:szCs w:val="16"/>
        </w:rPr>
        <w:noBreakHyphen/>
        <w:t>1 и др. В 1941 г. после проведения трех организационно-штатных изменений структура НИИ ВВС выглядела следующим образом: 1) командование, политотдел и штаб; 2) авиационная эскадрилья боевого применения и научных исследований; 3) 17 отделов; 4) опытный завод; 5) санитарная служба и финансово-плановое отделение; 6) 705</w:t>
      </w:r>
      <w:r w:rsidRPr="00DB5D0D">
        <w:rPr>
          <w:rFonts w:ascii="Times New Roman" w:hAnsi="Times New Roman"/>
          <w:color w:val="000000" w:themeColor="text1"/>
          <w:sz w:val="16"/>
          <w:szCs w:val="16"/>
        </w:rPr>
        <w:noBreakHyphen/>
        <w:t>я авиационная база.</w:t>
      </w:r>
    </w:p>
    <w:p w14:paraId="3F202BC9" w14:textId="77777777" w:rsidR="00F01895" w:rsidRPr="00DB5D0D" w:rsidRDefault="00F0189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 3. Оп. 46. Д. 20. Л. 156-161. Подлинники (17997).</w:t>
      </w:r>
    </w:p>
    <w:p w14:paraId="503CA199" w14:textId="77777777" w:rsidR="00F01895" w:rsidRPr="00DB5D0D" w:rsidRDefault="00F01895" w:rsidP="00DB5D0D">
      <w:pPr>
        <w:spacing w:after="0" w:line="240" w:lineRule="auto"/>
        <w:jc w:val="both"/>
        <w:rPr>
          <w:rFonts w:ascii="Times New Roman" w:hAnsi="Times New Roman"/>
          <w:color w:val="000000" w:themeColor="text1"/>
          <w:sz w:val="16"/>
          <w:szCs w:val="16"/>
        </w:rPr>
      </w:pPr>
    </w:p>
    <w:p w14:paraId="411053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была отпечатана справка по основным данным опытного самолета ББ-22 2М-105:</w:t>
      </w:r>
    </w:p>
    <w:p w14:paraId="2A6AFA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Макс. скорость на высоте - 560 км/час на 4800</w:t>
      </w:r>
    </w:p>
    <w:p w14:paraId="6514CD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Скорость макс. у земли - 460 км/час</w:t>
      </w:r>
    </w:p>
    <w:p w14:paraId="6A132B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Скорость посадочная - 160 км/час</w:t>
      </w:r>
    </w:p>
    <w:p w14:paraId="7C7015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Дальность - 960 км - техническая на 0.87 макс.</w:t>
      </w:r>
    </w:p>
    <w:p w14:paraId="72F630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Нагрузка нормальная - 960 кг</w:t>
      </w:r>
    </w:p>
    <w:p w14:paraId="69BB56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Экипаж - 2</w:t>
      </w:r>
    </w:p>
    <w:p w14:paraId="52F377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Вооружение - 2хШКАС + 400 кг</w:t>
      </w:r>
    </w:p>
    <w:p w14:paraId="613A3A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8. Характеристика конструкции - Крыло - деревянное. Фюзеляж - передняя часть из сварных труб, средняя - деревянная, хвостовая из стальных труб. Оперение - деревянное. Рули - дюралевые (2090,131).</w:t>
      </w:r>
    </w:p>
    <w:p w14:paraId="11E954F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6D4C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ВВС утвердили эскизный проект ДВБ-102 2М-120ТК В.М.М. Этим же летом началась постройка опытного образца (3337,12).</w:t>
      </w:r>
    </w:p>
    <w:p w14:paraId="5F2E734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09329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 за день до освобождения Мясищева из тюрьмы, заказчик утвердил эскизный проект бомбардировщика с двумя двигателями водяного ох</w:t>
      </w:r>
      <w:r w:rsidRPr="00DB5D0D">
        <w:rPr>
          <w:rFonts w:ascii="Times New Roman" w:hAnsi="Times New Roman"/>
          <w:color w:val="000000" w:themeColor="text1"/>
          <w:sz w:val="16"/>
          <w:szCs w:val="16"/>
        </w:rPr>
        <w:softHyphen/>
        <w:t>лаждения М-120ТК.</w:t>
      </w:r>
    </w:p>
    <w:p w14:paraId="3FE60B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Коллектив бригады 102, возглавляемой В.М. Мя-сищевым, был небольшой. Главным компоновщиком самолета стал Н.Г. Нуров. Проектирование центропла</w:t>
      </w:r>
      <w:r w:rsidRPr="00DB5D0D">
        <w:rPr>
          <w:rFonts w:ascii="Times New Roman" w:hAnsi="Times New Roman"/>
          <w:color w:val="000000" w:themeColor="text1"/>
          <w:sz w:val="16"/>
          <w:szCs w:val="16"/>
        </w:rPr>
        <w:softHyphen/>
        <w:t>на возглавил В.П. Невдачин, получивший известность в 1920-е годы, после создания авиетки «Буревестник», ныне хранящейся в Монинском музее ВВС. Под руко</w:t>
      </w:r>
      <w:r w:rsidRPr="00DB5D0D">
        <w:rPr>
          <w:rFonts w:ascii="Times New Roman" w:hAnsi="Times New Roman"/>
          <w:color w:val="000000" w:themeColor="text1"/>
          <w:sz w:val="16"/>
          <w:szCs w:val="16"/>
        </w:rPr>
        <w:softHyphen/>
        <w:t>водством Ю.Т. Шаталова, впоследствии начальника КБ, разрабатывалось крыло. П.Л. Оттен занимался сило</w:t>
      </w:r>
      <w:r w:rsidRPr="00DB5D0D">
        <w:rPr>
          <w:rFonts w:ascii="Times New Roman" w:hAnsi="Times New Roman"/>
          <w:color w:val="000000" w:themeColor="text1"/>
          <w:sz w:val="16"/>
          <w:szCs w:val="16"/>
        </w:rPr>
        <w:softHyphen/>
        <w:t>вой установкой. К.Е. Полищук и Н.С. Наумов компоно</w:t>
      </w:r>
      <w:r w:rsidRPr="00DB5D0D">
        <w:rPr>
          <w:rFonts w:ascii="Times New Roman" w:hAnsi="Times New Roman"/>
          <w:color w:val="000000" w:themeColor="text1"/>
          <w:sz w:val="16"/>
          <w:szCs w:val="16"/>
        </w:rPr>
        <w:softHyphen/>
        <w:t>вали оборудование, а С.М. Меерсон — вооружение.</w:t>
      </w:r>
    </w:p>
    <w:p w14:paraId="775B5A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Удивительное дело, коллектив инженеров, ранее никогда не встречавшихся, быстро заработал как хо</w:t>
      </w:r>
      <w:r w:rsidRPr="00DB5D0D">
        <w:rPr>
          <w:rFonts w:ascii="Times New Roman" w:hAnsi="Times New Roman"/>
          <w:color w:val="000000" w:themeColor="text1"/>
          <w:sz w:val="16"/>
          <w:szCs w:val="16"/>
        </w:rPr>
        <w:softHyphen/>
        <w:t>рошо отлаженный механизм. Работа по созданию бомбардировщика шла в «бешеном» темпе, поскольку от ее результатов зависела судьба упрятанных в тюрь</w:t>
      </w:r>
      <w:r w:rsidRPr="00DB5D0D">
        <w:rPr>
          <w:rFonts w:ascii="Times New Roman" w:hAnsi="Times New Roman"/>
          <w:color w:val="000000" w:themeColor="text1"/>
          <w:sz w:val="16"/>
          <w:szCs w:val="16"/>
        </w:rPr>
        <w:softHyphen/>
        <w:t>му конструкторов. Требовалось решить ряд сложных технических задач, важнейшими из которых были гер</w:t>
      </w:r>
      <w:r w:rsidRPr="00DB5D0D">
        <w:rPr>
          <w:rFonts w:ascii="Times New Roman" w:hAnsi="Times New Roman"/>
          <w:color w:val="000000" w:themeColor="text1"/>
          <w:sz w:val="16"/>
          <w:szCs w:val="16"/>
        </w:rPr>
        <w:softHyphen/>
        <w:t>метические кабины вентиляционного типа, шасси с носовым колесом, стрелковые установки с дистанци</w:t>
      </w:r>
      <w:r w:rsidRPr="00DB5D0D">
        <w:rPr>
          <w:rFonts w:ascii="Times New Roman" w:hAnsi="Times New Roman"/>
          <w:color w:val="000000" w:themeColor="text1"/>
          <w:sz w:val="16"/>
          <w:szCs w:val="16"/>
        </w:rPr>
        <w:softHyphen/>
        <w:t>онным управлением,силовая установка.</w:t>
      </w:r>
    </w:p>
    <w:p w14:paraId="06A8A1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войны в СССР был создан ряд конструкций гермокабин для самолетов. Все они были регенерацион-ного типа, как на подводной лодке. Избыток влаги, об</w:t>
      </w:r>
      <w:r w:rsidRPr="00DB5D0D">
        <w:rPr>
          <w:rFonts w:ascii="Times New Roman" w:hAnsi="Times New Roman"/>
          <w:color w:val="000000" w:themeColor="text1"/>
          <w:sz w:val="16"/>
          <w:szCs w:val="16"/>
        </w:rPr>
        <w:softHyphen/>
        <w:t>разующийся в процессе жизнедеятельности человека, поглощался силикагелевыми патронами, а необходи</w:t>
      </w:r>
      <w:r w:rsidRPr="00DB5D0D">
        <w:rPr>
          <w:rFonts w:ascii="Times New Roman" w:hAnsi="Times New Roman"/>
          <w:color w:val="000000" w:themeColor="text1"/>
          <w:sz w:val="16"/>
          <w:szCs w:val="16"/>
        </w:rPr>
        <w:softHyphen/>
        <w:t>мый для дыхания кислород подавался в кабину пор</w:t>
      </w:r>
      <w:r w:rsidRPr="00DB5D0D">
        <w:rPr>
          <w:rFonts w:ascii="Times New Roman" w:hAnsi="Times New Roman"/>
          <w:color w:val="000000" w:themeColor="text1"/>
          <w:sz w:val="16"/>
          <w:szCs w:val="16"/>
        </w:rPr>
        <w:softHyphen/>
        <w:t>циями, открытием вручную соответствующего венти</w:t>
      </w:r>
      <w:r w:rsidRPr="00DB5D0D">
        <w:rPr>
          <w:rFonts w:ascii="Times New Roman" w:hAnsi="Times New Roman"/>
          <w:color w:val="000000" w:themeColor="text1"/>
          <w:sz w:val="16"/>
          <w:szCs w:val="16"/>
        </w:rPr>
        <w:softHyphen/>
        <w:t>ля. Согласитесь, неудобно, особенно в боевой обста новке: чуть зазевался и можно потерять сознание. Обеспечить наилучшие условия для полета на боль</w:t>
      </w:r>
      <w:r w:rsidRPr="00DB5D0D">
        <w:rPr>
          <w:rFonts w:ascii="Times New Roman" w:hAnsi="Times New Roman"/>
          <w:color w:val="000000" w:themeColor="text1"/>
          <w:sz w:val="16"/>
          <w:szCs w:val="16"/>
        </w:rPr>
        <w:softHyphen/>
        <w:t>ших высотах могла лишь гермокабина вентиляционно</w:t>
      </w:r>
      <w:r w:rsidRPr="00DB5D0D">
        <w:rPr>
          <w:rFonts w:ascii="Times New Roman" w:hAnsi="Times New Roman"/>
          <w:color w:val="000000" w:themeColor="text1"/>
          <w:sz w:val="16"/>
          <w:szCs w:val="16"/>
        </w:rPr>
        <w:softHyphen/>
        <w:t>го типа. Отбираемый от компрессора нагнетателя воз</w:t>
      </w:r>
      <w:r w:rsidRPr="00DB5D0D">
        <w:rPr>
          <w:rFonts w:ascii="Times New Roman" w:hAnsi="Times New Roman"/>
          <w:color w:val="000000" w:themeColor="text1"/>
          <w:sz w:val="16"/>
          <w:szCs w:val="16"/>
        </w:rPr>
        <w:softHyphen/>
        <w:t>дух подавался в кабину, создавая требуемое давление. Экипаж мог дышать этим воздухом, но на случай раз</w:t>
      </w:r>
      <w:r w:rsidRPr="00DB5D0D">
        <w:rPr>
          <w:rFonts w:ascii="Times New Roman" w:hAnsi="Times New Roman"/>
          <w:color w:val="000000" w:themeColor="text1"/>
          <w:sz w:val="16"/>
          <w:szCs w:val="16"/>
        </w:rPr>
        <w:softHyphen/>
        <w:t>герметизации в состав экипировки членов экипажа входили индивидуальные кислородные маски.</w:t>
      </w:r>
    </w:p>
    <w:p w14:paraId="0E57C51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Впервые гермокабины такого типа, разработанные под руководством М.Н. Петрова, были применены на высотном истребителе «100» конструкции В.М. Петля-кова, а затем на «102-й» машине и, практически не претерпев принципиальных изменений, используются в современных боевых самолетах.</w:t>
      </w:r>
    </w:p>
    <w:p w14:paraId="58315A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Немало трудностей возникло и при создании шас</w:t>
      </w:r>
      <w:r w:rsidRPr="00DB5D0D">
        <w:rPr>
          <w:rFonts w:ascii="Times New Roman" w:hAnsi="Times New Roman"/>
          <w:color w:val="000000" w:themeColor="text1"/>
          <w:sz w:val="16"/>
          <w:szCs w:val="16"/>
        </w:rPr>
        <w:softHyphen/>
        <w:t>си с носовым колесом. К 1939 году в Советском Союзе был только один самолет — летающая лаборатория «трехколеска Толстых», предназначенная для иссле</w:t>
      </w:r>
      <w:r w:rsidRPr="00DB5D0D">
        <w:rPr>
          <w:rFonts w:ascii="Times New Roman" w:hAnsi="Times New Roman"/>
          <w:color w:val="000000" w:themeColor="text1"/>
          <w:sz w:val="16"/>
          <w:szCs w:val="16"/>
        </w:rPr>
        <w:softHyphen/>
        <w:t>дований новинки самолетостроения. Эта машина по</w:t>
      </w:r>
      <w:r w:rsidRPr="00DB5D0D">
        <w:rPr>
          <w:rFonts w:ascii="Times New Roman" w:hAnsi="Times New Roman"/>
          <w:color w:val="000000" w:themeColor="text1"/>
          <w:sz w:val="16"/>
          <w:szCs w:val="16"/>
        </w:rPr>
        <w:softHyphen/>
        <w:t>зволила лишь уточнить параметры шасси с носовым колесом и методику их расчета. Опыт полетов на «трех-колеске» имели только летчики-испытатели, непо</w:t>
      </w:r>
      <w:r w:rsidRPr="00DB5D0D">
        <w:rPr>
          <w:rFonts w:ascii="Times New Roman" w:hAnsi="Times New Roman"/>
          <w:color w:val="000000" w:themeColor="text1"/>
          <w:sz w:val="16"/>
          <w:szCs w:val="16"/>
        </w:rPr>
        <w:softHyphen/>
        <w:t>средственно связанные с этой машиной.</w:t>
      </w:r>
    </w:p>
    <w:p w14:paraId="7865E0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разработкой дистанционно-управляемых стрел</w:t>
      </w:r>
      <w:r w:rsidRPr="00DB5D0D">
        <w:rPr>
          <w:rFonts w:ascii="Times New Roman" w:hAnsi="Times New Roman"/>
          <w:color w:val="000000" w:themeColor="text1"/>
          <w:sz w:val="16"/>
          <w:szCs w:val="16"/>
        </w:rPr>
        <w:softHyphen/>
        <w:t>ковых установок дела обстояли несколько лучше, по</w:t>
      </w:r>
      <w:r w:rsidRPr="00DB5D0D">
        <w:rPr>
          <w:rFonts w:ascii="Times New Roman" w:hAnsi="Times New Roman"/>
          <w:color w:val="000000" w:themeColor="text1"/>
          <w:sz w:val="16"/>
          <w:szCs w:val="16"/>
        </w:rPr>
        <w:softHyphen/>
        <w:t>скольку в конце 1930-х годов подобное устройство бы</w:t>
      </w:r>
      <w:r w:rsidRPr="00DB5D0D">
        <w:rPr>
          <w:rFonts w:ascii="Times New Roman" w:hAnsi="Times New Roman"/>
          <w:color w:val="000000" w:themeColor="text1"/>
          <w:sz w:val="16"/>
          <w:szCs w:val="16"/>
        </w:rPr>
        <w:softHyphen/>
        <w:t>ло внедрено на самолете-разведчике БОК-11. Как и на этой машине, оборонительное вооружение ДВБ-102 состояло исключительно из пулеметов: по одному пу</w:t>
      </w:r>
      <w:r w:rsidRPr="00DB5D0D">
        <w:rPr>
          <w:rFonts w:ascii="Times New Roman" w:hAnsi="Times New Roman"/>
          <w:color w:val="000000" w:themeColor="text1"/>
          <w:sz w:val="16"/>
          <w:szCs w:val="16"/>
        </w:rPr>
        <w:softHyphen/>
        <w:t>лемету ШКАС с боезапасом соответственно 750 и 1000 патронов разместили в носу и под фюзеляжем, два пулемета ШКАС и УБ с боекомплектом 1500 и 700 патронов установили на верхней фюзеляжной установке. В бомбоотсеке подвешивались бомбы калиб</w:t>
      </w:r>
      <w:r w:rsidRPr="00DB5D0D">
        <w:rPr>
          <w:rFonts w:ascii="Times New Roman" w:hAnsi="Times New Roman"/>
          <w:color w:val="000000" w:themeColor="text1"/>
          <w:sz w:val="16"/>
          <w:szCs w:val="16"/>
        </w:rPr>
        <w:softHyphen/>
        <w:t>ра от 50 до 2000 кг. Бомб большего калибра в Совет</w:t>
      </w:r>
      <w:r w:rsidRPr="00DB5D0D">
        <w:rPr>
          <w:rFonts w:ascii="Times New Roman" w:hAnsi="Times New Roman"/>
          <w:color w:val="000000" w:themeColor="text1"/>
          <w:sz w:val="16"/>
          <w:szCs w:val="16"/>
        </w:rPr>
        <w:softHyphen/>
        <w:t>ском Союзе не было.</w:t>
      </w:r>
    </w:p>
    <w:p w14:paraId="776B52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самым «твердым орешком» для конструкторов оказались двигатели. Несмотря на существование в Советском Союзе Центрального института авиамото</w:t>
      </w:r>
      <w:r w:rsidRPr="00DB5D0D">
        <w:rPr>
          <w:rFonts w:ascii="Times New Roman" w:hAnsi="Times New Roman"/>
          <w:color w:val="000000" w:themeColor="text1"/>
          <w:sz w:val="16"/>
          <w:szCs w:val="16"/>
        </w:rPr>
        <w:softHyphen/>
        <w:t>ростроения, целого ряда заводов по производству двигателей и нескольких ОКБ, это было одно из самых слабых звеньев авиационной промышленности. Про</w:t>
      </w:r>
      <w:r w:rsidRPr="00DB5D0D">
        <w:rPr>
          <w:rFonts w:ascii="Times New Roman" w:hAnsi="Times New Roman"/>
          <w:color w:val="000000" w:themeColor="text1"/>
          <w:sz w:val="16"/>
          <w:szCs w:val="16"/>
        </w:rPr>
        <w:softHyphen/>
        <w:t>изводству новых типов двигателей в СССР обычно пред</w:t>
      </w:r>
      <w:r w:rsidRPr="00DB5D0D">
        <w:rPr>
          <w:rFonts w:ascii="Times New Roman" w:hAnsi="Times New Roman"/>
          <w:color w:val="000000" w:themeColor="text1"/>
          <w:sz w:val="16"/>
          <w:szCs w:val="16"/>
        </w:rPr>
        <w:softHyphen/>
        <w:t>шествовало приобретение за рубежом лицензий, и этот фактор являлся толчком для внедрения передовых технологий как в довоенные, так и в послевоенные годы.</w:t>
      </w:r>
    </w:p>
    <w:p w14:paraId="6B4620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началу проектирования ДВБ-102 его создатели могли рассчитывать лишь на новые двигатели М-120ТК, разработанные в КБ-26 под руководством В.Я. Климо</w:t>
      </w:r>
      <w:r w:rsidRPr="00DB5D0D">
        <w:rPr>
          <w:rFonts w:ascii="Times New Roman" w:hAnsi="Times New Roman"/>
          <w:color w:val="000000" w:themeColor="text1"/>
          <w:sz w:val="16"/>
          <w:szCs w:val="16"/>
        </w:rPr>
        <w:softHyphen/>
        <w:t>ва. Новыми их можно назвать за необычную компонов</w:t>
      </w:r>
      <w:r w:rsidRPr="00DB5D0D">
        <w:rPr>
          <w:rFonts w:ascii="Times New Roman" w:hAnsi="Times New Roman"/>
          <w:color w:val="000000" w:themeColor="text1"/>
          <w:sz w:val="16"/>
          <w:szCs w:val="16"/>
        </w:rPr>
        <w:softHyphen/>
        <w:t>ку. Три блока цилиндров двигателя М-105, начавшего свою родословную с французской «Испано-Сюизы», скомпоновали в виде латинской буквы «У». В резуль</w:t>
      </w:r>
      <w:r w:rsidRPr="00DB5D0D">
        <w:rPr>
          <w:rFonts w:ascii="Times New Roman" w:hAnsi="Times New Roman"/>
          <w:color w:val="000000" w:themeColor="text1"/>
          <w:sz w:val="16"/>
          <w:szCs w:val="16"/>
        </w:rPr>
        <w:softHyphen/>
        <w:t>тате двигатель развивал взлетную мощность, правда, пока на стенде, 1850 л.с., а установленные турбоком</w:t>
      </w:r>
      <w:r w:rsidRPr="00DB5D0D">
        <w:rPr>
          <w:rFonts w:ascii="Times New Roman" w:hAnsi="Times New Roman"/>
          <w:color w:val="000000" w:themeColor="text1"/>
          <w:sz w:val="16"/>
          <w:szCs w:val="16"/>
        </w:rPr>
        <w:softHyphen/>
        <w:t>прессоры должны были сохранять мощность 1430 л.с. до высот свыше 10 000 м.</w:t>
      </w:r>
    </w:p>
    <w:p w14:paraId="7C55CC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Впервые в отечественной практике турбокомпрес</w:t>
      </w:r>
      <w:r w:rsidRPr="00DB5D0D">
        <w:rPr>
          <w:rFonts w:ascii="Times New Roman" w:hAnsi="Times New Roman"/>
          <w:color w:val="000000" w:themeColor="text1"/>
          <w:sz w:val="16"/>
          <w:szCs w:val="16"/>
        </w:rPr>
        <w:softHyphen/>
        <w:t>соры (ТК) установили на экспериментальном страто</w:t>
      </w:r>
      <w:r w:rsidRPr="00DB5D0D">
        <w:rPr>
          <w:rFonts w:ascii="Times New Roman" w:hAnsi="Times New Roman"/>
          <w:color w:val="000000" w:themeColor="text1"/>
          <w:sz w:val="16"/>
          <w:szCs w:val="16"/>
        </w:rPr>
        <w:softHyphen/>
        <w:t>сферном самолете БОК-1 в 1937 году, но уже в деся</w:t>
      </w:r>
      <w:r w:rsidRPr="00DB5D0D">
        <w:rPr>
          <w:rFonts w:ascii="Times New Roman" w:hAnsi="Times New Roman"/>
          <w:color w:val="000000" w:themeColor="text1"/>
          <w:sz w:val="16"/>
          <w:szCs w:val="16"/>
        </w:rPr>
        <w:softHyphen/>
        <w:t>том полете выявились крупные дефекты конструкции, связанные с обрывом лопаток. В следующем году турбо</w:t>
      </w:r>
      <w:r w:rsidRPr="00DB5D0D">
        <w:rPr>
          <w:rFonts w:ascii="Times New Roman" w:hAnsi="Times New Roman"/>
          <w:color w:val="000000" w:themeColor="text1"/>
          <w:sz w:val="16"/>
          <w:szCs w:val="16"/>
        </w:rPr>
        <w:softHyphen/>
        <w:t>компрессорами укомплектовали двигатели бомбар</w:t>
      </w:r>
      <w:r w:rsidRPr="00DB5D0D">
        <w:rPr>
          <w:rFonts w:ascii="Times New Roman" w:hAnsi="Times New Roman"/>
          <w:color w:val="000000" w:themeColor="text1"/>
          <w:sz w:val="16"/>
          <w:szCs w:val="16"/>
        </w:rPr>
        <w:softHyphen/>
        <w:t>дировщика ДБ-А — и снова неудачи, не позволившие даже полностью снять летные характеристики. Турбо</w:t>
      </w:r>
      <w:r w:rsidRPr="00DB5D0D">
        <w:rPr>
          <w:rFonts w:ascii="Times New Roman" w:hAnsi="Times New Roman"/>
          <w:color w:val="000000" w:themeColor="text1"/>
          <w:sz w:val="16"/>
          <w:szCs w:val="16"/>
        </w:rPr>
        <w:softHyphen/>
        <w:t>компрессоры применялись на И-16, И-153, БОК-7, БОК-11, БОК-15, ТБ-3, высотном истребителе «100», но добиться надежной работы силовой установки не удавалось. Устанавливая на ДВБ-102 двигатели с ТК, конструкторы получали «кота в мешке», что, в общем-то, и проявилось впоследствии в ходе летных испытаний.</w:t>
      </w:r>
    </w:p>
    <w:p w14:paraId="02870C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самолете предусматривалось широкое примене</w:t>
      </w:r>
      <w:r w:rsidRPr="00DB5D0D">
        <w:rPr>
          <w:rFonts w:ascii="Times New Roman" w:hAnsi="Times New Roman"/>
          <w:color w:val="000000" w:themeColor="text1"/>
          <w:sz w:val="16"/>
          <w:szCs w:val="16"/>
        </w:rPr>
        <w:softHyphen/>
        <w:t>ние поковок, литья из алюминиевых и магниевых спла</w:t>
      </w:r>
      <w:r w:rsidRPr="00DB5D0D">
        <w:rPr>
          <w:rFonts w:ascii="Times New Roman" w:hAnsi="Times New Roman"/>
          <w:color w:val="000000" w:themeColor="text1"/>
          <w:sz w:val="16"/>
          <w:szCs w:val="16"/>
        </w:rPr>
        <w:softHyphen/>
        <w:t>вов. Количество сварных узлов и деталей в новой ма</w:t>
      </w:r>
      <w:r w:rsidRPr="00DB5D0D">
        <w:rPr>
          <w:rFonts w:ascii="Times New Roman" w:hAnsi="Times New Roman"/>
          <w:color w:val="000000" w:themeColor="text1"/>
          <w:sz w:val="16"/>
          <w:szCs w:val="16"/>
        </w:rPr>
        <w:softHyphen/>
        <w:t>шине по сравнению с находившимися в эксплуатации самолетами значительно уменьшилось, что положи</w:t>
      </w:r>
      <w:r w:rsidRPr="00DB5D0D">
        <w:rPr>
          <w:rFonts w:ascii="Times New Roman" w:hAnsi="Times New Roman"/>
          <w:color w:val="000000" w:themeColor="text1"/>
          <w:sz w:val="16"/>
          <w:szCs w:val="16"/>
        </w:rPr>
        <w:softHyphen/>
        <w:t>тельно сказалось на снижении трудоемкости изготов</w:t>
      </w:r>
      <w:r w:rsidRPr="00DB5D0D">
        <w:rPr>
          <w:rFonts w:ascii="Times New Roman" w:hAnsi="Times New Roman"/>
          <w:color w:val="000000" w:themeColor="text1"/>
          <w:sz w:val="16"/>
          <w:szCs w:val="16"/>
        </w:rPr>
        <w:softHyphen/>
        <w:t>ления.</w:t>
      </w:r>
    </w:p>
    <w:p w14:paraId="1206CE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Этим же летом началась построй</w:t>
      </w:r>
      <w:r w:rsidRPr="00DB5D0D">
        <w:rPr>
          <w:rFonts w:ascii="Times New Roman" w:hAnsi="Times New Roman"/>
          <w:color w:val="000000" w:themeColor="text1"/>
          <w:sz w:val="16"/>
          <w:szCs w:val="16"/>
        </w:rPr>
        <w:softHyphen/>
        <w:t>ка опытного образца, но Великая Отечественная вой</w:t>
      </w:r>
      <w:r w:rsidRPr="00DB5D0D">
        <w:rPr>
          <w:rFonts w:ascii="Times New Roman" w:hAnsi="Times New Roman"/>
          <w:color w:val="000000" w:themeColor="text1"/>
          <w:sz w:val="16"/>
          <w:szCs w:val="16"/>
        </w:rPr>
        <w:softHyphen/>
        <w:t>на и эвакуация ЦКБ-29 в июле 1941 года затянули ее до начала 1942 года. В эвакуации коллектив В.М. Мя-сищева продолжил свою работу на заводе № 288, соз</w:t>
      </w:r>
      <w:r w:rsidRPr="00DB5D0D">
        <w:rPr>
          <w:rFonts w:ascii="Times New Roman" w:hAnsi="Times New Roman"/>
          <w:color w:val="000000" w:themeColor="text1"/>
          <w:sz w:val="16"/>
          <w:szCs w:val="16"/>
        </w:rPr>
        <w:softHyphen/>
        <w:t>данном на базе авиаремонтных мастерских в Кулом-</w:t>
      </w:r>
    </w:p>
    <w:p w14:paraId="2A1C14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зино, пригороде Омска. Директором завода назначи</w:t>
      </w:r>
      <w:r w:rsidRPr="00DB5D0D">
        <w:rPr>
          <w:rFonts w:ascii="Times New Roman" w:hAnsi="Times New Roman"/>
          <w:color w:val="000000" w:themeColor="text1"/>
          <w:sz w:val="16"/>
          <w:szCs w:val="16"/>
        </w:rPr>
        <w:softHyphen/>
        <w:t>ли Г.Я. Кутепова (11446).</w:t>
      </w:r>
    </w:p>
    <w:p w14:paraId="125DB1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F6F97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была отпечатана справка по основным данным опытного самолета И-301 М-105П:</w:t>
      </w:r>
    </w:p>
    <w:p w14:paraId="670B4A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Макс. скорость на высоте - 605 км/час на 4800 по данным гос. испытаний</w:t>
      </w:r>
    </w:p>
    <w:p w14:paraId="3734C8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Скорость макс. у земли - 508 км/час по заводским испытаниям</w:t>
      </w:r>
    </w:p>
    <w:p w14:paraId="7F0E90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Скорость посадочная - 140 км/час</w:t>
      </w:r>
    </w:p>
    <w:p w14:paraId="6CD350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Дальность - 500 км - техническая на 0.9 макс.</w:t>
      </w:r>
    </w:p>
    <w:p w14:paraId="01C1D8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Нагрузка нормальная - 560 кг</w:t>
      </w:r>
    </w:p>
    <w:p w14:paraId="049375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Экипаж - 1</w:t>
      </w:r>
    </w:p>
    <w:p w14:paraId="2813BC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Вооружение - 1х23 и 2хШКАС или 2хШКАС и 2х12.7 мм синхронные</w:t>
      </w:r>
    </w:p>
    <w:p w14:paraId="183897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Характеристика конструкции - Крыло - деревянное с применением пересованной древесины. Фюзеляж - деревянный монокок из фанеры. Стабилизатор - деревянный. Рули - дюралевые (2090,130).</w:t>
      </w:r>
    </w:p>
    <w:p w14:paraId="4E11CE6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287B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в ходе гос. испытаний самолета И-153 с герметической кабиной конструкции инженера Щербакова, которые проходили с 22 по 30 июля 1940 состоялись двухчасовые испытания работы жизненной аппаратуры на земле. Испытание условий полета на больших высотах. Высота 8000 м, продолжительность 50 мин. Полет в загерметизированной кабине на потолок. Высота 10700 м, продолжительность 70 мин. (3190).</w:t>
      </w:r>
    </w:p>
    <w:p w14:paraId="581229A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D5D2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в ходе заводских испытаний И-200 А.И.М, которые проходили с 31 марта по 17 августа 1940, на И-200-3 состоялся контрольный полет на новом моторе и полет для проверки температурных режимов работы ВМГ (2988).</w:t>
      </w:r>
    </w:p>
    <w:p w14:paraId="64EDCE2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209E5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в ходе заводских испытаний И-200 А.И.М, которые проходили с 31 марта по 17 августа 1940, на И-200-1 был выполнен полет на снятие температурных характеристик и определение границ высотности (2988).</w:t>
      </w:r>
    </w:p>
    <w:p w14:paraId="20C41E4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C9B5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вышел приказ НКАП N 372сс согласно которому:</w:t>
      </w:r>
    </w:p>
    <w:p w14:paraId="3B337C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КО N 317сс от 18 июля 1940, ПРИКАЗЫВАЮ: (410,33).</w:t>
      </w:r>
    </w:p>
    <w:p w14:paraId="41499B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Моему заместителю А.С.Яковлеву и главному конструктору КБ-28 тов. Грибовскому было поручено спроектировать и построить одноместный тренировочный истребитель с мотором МВ-6, обладающий хорошими пилотажными свойствами, простой в управлении, максимально скоростью 300 км/час и оборудованием для ночного полета.</w:t>
      </w:r>
    </w:p>
    <w:p w14:paraId="3FEBC5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w:t>
      </w:r>
    </w:p>
    <w:p w14:paraId="52FDA2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пулемет ШКАС с запасом патронов 400 штук;</w:t>
      </w:r>
    </w:p>
    <w:p w14:paraId="674435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фото-кино-пулемет.</w:t>
      </w:r>
    </w:p>
    <w:p w14:paraId="3ED77B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построить в двух экземплярах и предъявить на гос. испытания в следующие сроки:</w:t>
      </w:r>
    </w:p>
    <w:p w14:paraId="6B9D78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- 1 марта 1941 года</w:t>
      </w:r>
    </w:p>
    <w:p w14:paraId="133298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 - 1 апреля 1941 года</w:t>
      </w:r>
    </w:p>
    <w:p w14:paraId="170C1F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Приказ N95сс от 5 марта 1940 о создании двухмоторного учебно-тренировочного самолета с двумя моторами МВ-4 отменить. Работы по этому самолету прекратить (410,33).</w:t>
      </w:r>
    </w:p>
    <w:p w14:paraId="4713B5D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6A5F17" w14:textId="77777777" w:rsidR="00594F1A" w:rsidRPr="00DB5D0D" w:rsidRDefault="00594F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 июля 1940 г. приказом НКАП № 372сс</w:t>
      </w:r>
      <w:r w:rsidRPr="00DB5D0D">
        <w:rPr>
          <w:rStyle w:val="714"/>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Офици</w:t>
      </w:r>
      <w:r w:rsidRPr="00DB5D0D">
        <w:rPr>
          <w:rFonts w:ascii="Times New Roman" w:hAnsi="Times New Roman"/>
          <w:color w:val="0070C0"/>
          <w:sz w:val="16"/>
          <w:szCs w:val="16"/>
        </w:rPr>
        <w:softHyphen/>
        <w:t>ально тему двухмоторного УТБ Грибовского закрыли (19942).</w:t>
      </w:r>
    </w:p>
    <w:p w14:paraId="4ACEC3E1" w14:textId="77777777" w:rsidR="00594F1A" w:rsidRPr="00DB5D0D" w:rsidRDefault="00594F1A" w:rsidP="00DB5D0D">
      <w:pPr>
        <w:spacing w:after="0" w:line="240" w:lineRule="auto"/>
        <w:jc w:val="both"/>
        <w:rPr>
          <w:rFonts w:ascii="Times New Roman" w:hAnsi="Times New Roman"/>
          <w:color w:val="0070C0"/>
          <w:sz w:val="16"/>
          <w:szCs w:val="16"/>
        </w:rPr>
      </w:pPr>
    </w:p>
    <w:p w14:paraId="5A33EC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А.С.Я. подписал приказ НКАП N 370с о создании комиссии для расследования причин катастрофы МДР-7 Самсонова под пред. Юрьева и акт представили 26 июля. Приказ N 207с от 14 мая 1940 из числа действующих - исключили (1174).</w:t>
      </w:r>
    </w:p>
    <w:p w14:paraId="1501B39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5479B4" w14:textId="77777777" w:rsidR="003C7E8B" w:rsidRPr="00DB5D0D" w:rsidRDefault="003C7E8B" w:rsidP="00DB5D0D">
      <w:pPr>
        <w:pStyle w:val="24"/>
        <w:widowControl/>
        <w:rPr>
          <w:color w:val="000000" w:themeColor="text1"/>
        </w:rPr>
      </w:pPr>
      <w:r w:rsidRPr="00DB5D0D">
        <w:rPr>
          <w:color w:val="000000" w:themeColor="text1"/>
        </w:rPr>
        <w:t>24 июля 1940 года закончились повторные специальные летные испытания моторов М-88 за №№ 881033 и 881034, которые проходили с 15 июля 1940. Были прекращены из-за отказа в работе первой скорости нагнетателя на моторе № 881033 после 26 часов 26 минут работы.</w:t>
      </w:r>
    </w:p>
    <w:p w14:paraId="2CCDEF45" w14:textId="77777777" w:rsidR="003C7E8B" w:rsidRPr="00DB5D0D" w:rsidRDefault="003C7E8B" w:rsidP="00DB5D0D">
      <w:pPr>
        <w:pStyle w:val="24"/>
        <w:widowControl/>
        <w:rPr>
          <w:color w:val="000000" w:themeColor="text1"/>
        </w:rPr>
      </w:pPr>
      <w:r w:rsidRPr="00DB5D0D">
        <w:rPr>
          <w:color w:val="000000" w:themeColor="text1"/>
        </w:rPr>
        <w:t>…………………….(7647, 108).</w:t>
      </w:r>
    </w:p>
    <w:p w14:paraId="7360EDB9" w14:textId="77777777" w:rsidR="003C7E8B" w:rsidRPr="00DB5D0D" w:rsidRDefault="003C7E8B" w:rsidP="00DB5D0D">
      <w:pPr>
        <w:pStyle w:val="24"/>
        <w:widowControl/>
        <w:rPr>
          <w:color w:val="000000" w:themeColor="text1"/>
        </w:rPr>
      </w:pPr>
    </w:p>
    <w:p w14:paraId="688CD3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Зам. нач. ПЭО НКАП писал А.С.Я. письмо N 8/1182с:</w:t>
      </w:r>
    </w:p>
    <w:p w14:paraId="7D9076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"Сообщаю Вам, что на основе проработанных КЦ для ОКБ на 3 кв. 1940 выявлено нижеследующее:</w:t>
      </w:r>
    </w:p>
    <w:p w14:paraId="2A2092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ОКБ, не имеющие перспектив на 3 и 4 кв. 1940:</w:t>
      </w:r>
    </w:p>
    <w:p w14:paraId="3EAEA5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 51, Н.Н.П. на 4 кв.</w:t>
      </w:r>
    </w:p>
    <w:p w14:paraId="4D1BF6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ОКБ завода 22 Н.Н.П. на 4 кв.</w:t>
      </w:r>
    </w:p>
    <w:p w14:paraId="44D13E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ОКБ завода 39 С.В.И. на 4 кв.</w:t>
      </w:r>
    </w:p>
    <w:p w14:paraId="2A5F4C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ОКБ завода 301 Горбунов на 3 и 4 кв.</w:t>
      </w:r>
    </w:p>
    <w:p w14:paraId="250374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ОКБ-30 Шевченко на 3 и 4 кв.</w:t>
      </w:r>
    </w:p>
    <w:p w14:paraId="108E6F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ОКБ завода 81 Курбала - нет плана на 1940</w:t>
      </w:r>
    </w:p>
    <w:p w14:paraId="43677F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ОКБ завода 207 Боровкова - на 4 кв.</w:t>
      </w:r>
    </w:p>
    <w:p w14:paraId="748308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ОКБ завода 47 Адлер на 3 и 4 кв.</w:t>
      </w:r>
    </w:p>
    <w:p w14:paraId="61F433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ОКБ завода 47 Бакшаев на 3 и 4 кв.</w:t>
      </w:r>
    </w:p>
    <w:p w14:paraId="706D54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ОКБ МАИ Грушин на 4 кв.</w:t>
      </w:r>
    </w:p>
    <w:p w14:paraId="2D5612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ОКБ завода 135 П.О.С. на 4 кв.</w:t>
      </w:r>
    </w:p>
    <w:p w14:paraId="5A0795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ОКБ, не имеющие средств на продолжение работ:</w:t>
      </w:r>
    </w:p>
    <w:p w14:paraId="6FF169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ОКБ завода 1 МиГ - ассигнованные средства израсходованы в 1-м полугодии</w:t>
      </w:r>
    </w:p>
    <w:p w14:paraId="1B5B1C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ОКБ-31 Москалева - ассигнованные средства израсходованы, работает по договорам с заказчиками</w:t>
      </w:r>
    </w:p>
    <w:p w14:paraId="11533C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ОКБ завода 84 Мосолова - средств на продолжение работ по согласованной тематике не имеет</w:t>
      </w:r>
    </w:p>
    <w:p w14:paraId="41321C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завод 289 Щербакова - на продолжение работ во 2-м полугодии средств нет</w:t>
      </w:r>
    </w:p>
    <w:p w14:paraId="3A690E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завод 156 Кочеригин израсходовал средств на утвержденную тематику и для продолжения работ средств нет</w:t>
      </w:r>
    </w:p>
    <w:p w14:paraId="6B6ACB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ОКБ завода 21 на изготовление И-21 средств не имеет</w:t>
      </w:r>
    </w:p>
    <w:p w14:paraId="7B048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ОКБ завода 43 Таирова вместо ОКО-8 включает ОКО-7 и средств не имеет</w:t>
      </w:r>
    </w:p>
    <w:p w14:paraId="76C4E9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ОКБ завода 240 средств не имеет</w:t>
      </w:r>
    </w:p>
    <w:p w14:paraId="7B3368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по заводу 51 Н.Н.П. необходимы доп. средства для замены М-90 на М-71 и средств нет, но Н.Н.П. проводит доп. работы по СПБ на поплавках</w:t>
      </w:r>
    </w:p>
    <w:p w14:paraId="7E3AE7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Ваших указаний, как в дальнейшем поступать в части планирования по вышеперечисленным ОКБ." (2090,196).</w:t>
      </w:r>
    </w:p>
    <w:p w14:paraId="34D5F6D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F6A813A" w14:textId="77777777" w:rsidR="006C4666" w:rsidRPr="00DB5D0D" w:rsidRDefault="006C466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 Начальник планово-экономического отдела НКАП Водяницкий, доклады</w:t>
      </w:r>
      <w:r w:rsidRPr="00DB5D0D">
        <w:rPr>
          <w:rFonts w:ascii="Times New Roman" w:hAnsi="Times New Roman"/>
          <w:color w:val="000000" w:themeColor="text1"/>
          <w:sz w:val="16"/>
          <w:szCs w:val="16"/>
        </w:rPr>
        <w:softHyphen/>
        <w:t xml:space="preserve">вая письменно зам. наркома Яковлеву об ОКБ, не имеющих перспектив на </w:t>
      </w:r>
      <w:r w:rsidRPr="00DB5D0D">
        <w:rPr>
          <w:rFonts w:ascii="Times New Roman" w:hAnsi="Times New Roman"/>
          <w:color w:val="000000" w:themeColor="text1"/>
          <w:sz w:val="16"/>
          <w:szCs w:val="16"/>
          <w:lang w:val="en-US"/>
        </w:rPr>
        <w:t>III</w:t>
      </w:r>
      <w:r w:rsidRPr="00DB5D0D">
        <w:rPr>
          <w:rFonts w:ascii="Times New Roman" w:hAnsi="Times New Roman"/>
          <w:color w:val="000000" w:themeColor="text1"/>
          <w:sz w:val="16"/>
          <w:szCs w:val="16"/>
        </w:rPr>
        <w:t xml:space="preserve"> и IV кв. 1940 г., первым в списке поместил ОКБ завода № 51 Поликарпова на IV кв. (15804).</w:t>
      </w:r>
    </w:p>
    <w:p w14:paraId="03EC449F" w14:textId="77777777" w:rsidR="006C4666" w:rsidRPr="00DB5D0D" w:rsidRDefault="006C4666" w:rsidP="00DB5D0D">
      <w:pPr>
        <w:spacing w:after="0" w:line="240" w:lineRule="auto"/>
        <w:jc w:val="both"/>
        <w:rPr>
          <w:rFonts w:ascii="Times New Roman" w:hAnsi="Times New Roman"/>
          <w:color w:val="000000" w:themeColor="text1"/>
          <w:sz w:val="16"/>
          <w:szCs w:val="16"/>
        </w:rPr>
      </w:pPr>
    </w:p>
    <w:p w14:paraId="1A1144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вышел приказ НКАП N 373сс в соответствии с постановлением КО N 316сс-40 от 18 июля 1940 начальнику ЦФО НКАП тов. Хавину в пятидневный срок оформить получение через НКФин СССР выделенные дополнительно из резервного фонда СНК:</w:t>
      </w:r>
    </w:p>
    <w:p w14:paraId="237355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финансирование работ по опытным самолетам в 1940 4.5 млн. руб. согласно приложению 1:(410,1)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51"/>
        <w:gridCol w:w="1905"/>
        <w:gridCol w:w="1071"/>
        <w:gridCol w:w="2322"/>
        <w:gridCol w:w="2322"/>
      </w:tblGrid>
      <w:tr w:rsidR="007D5DF8" w:rsidRPr="00DB5D0D" w14:paraId="439D3587" w14:textId="77777777" w:rsidTr="00E543D0">
        <w:tc>
          <w:tcPr>
            <w:tcW w:w="1384" w:type="dxa"/>
            <w:tcBorders>
              <w:top w:val="single" w:sz="12" w:space="0" w:color="auto"/>
            </w:tcBorders>
          </w:tcPr>
          <w:p w14:paraId="1A9CBB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w:t>
            </w:r>
          </w:p>
        </w:tc>
        <w:tc>
          <w:tcPr>
            <w:tcW w:w="851" w:type="dxa"/>
            <w:tcBorders>
              <w:top w:val="single" w:sz="12" w:space="0" w:color="auto"/>
            </w:tcBorders>
          </w:tcPr>
          <w:p w14:paraId="09D7A4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1905" w:type="dxa"/>
            <w:tcBorders>
              <w:top w:val="single" w:sz="12" w:space="0" w:color="auto"/>
            </w:tcBorders>
          </w:tcPr>
          <w:p w14:paraId="30C02A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1071" w:type="dxa"/>
            <w:tcBorders>
              <w:top w:val="single" w:sz="12" w:space="0" w:color="auto"/>
            </w:tcBorders>
          </w:tcPr>
          <w:p w14:paraId="5735F5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w:t>
            </w:r>
          </w:p>
        </w:tc>
        <w:tc>
          <w:tcPr>
            <w:tcW w:w="2322" w:type="dxa"/>
            <w:tcBorders>
              <w:top w:val="single" w:sz="12" w:space="0" w:color="auto"/>
            </w:tcBorders>
          </w:tcPr>
          <w:p w14:paraId="4C0E73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Средств</w:t>
            </w:r>
          </w:p>
        </w:tc>
        <w:tc>
          <w:tcPr>
            <w:tcW w:w="2322" w:type="dxa"/>
            <w:tcBorders>
              <w:top w:val="single" w:sz="12" w:space="0" w:color="auto"/>
            </w:tcBorders>
          </w:tcPr>
          <w:p w14:paraId="617AEB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70B5FA53" w14:textId="77777777" w:rsidTr="00E543D0">
        <w:tc>
          <w:tcPr>
            <w:tcW w:w="1384" w:type="dxa"/>
          </w:tcPr>
          <w:p w14:paraId="011B52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w:t>
            </w:r>
          </w:p>
        </w:tc>
        <w:tc>
          <w:tcPr>
            <w:tcW w:w="851" w:type="dxa"/>
          </w:tcPr>
          <w:p w14:paraId="103936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1905" w:type="dxa"/>
          </w:tcPr>
          <w:p w14:paraId="7DF038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ББ-1М88ТК</w:t>
            </w:r>
          </w:p>
        </w:tc>
        <w:tc>
          <w:tcPr>
            <w:tcW w:w="1071" w:type="dxa"/>
          </w:tcPr>
          <w:p w14:paraId="03AA6B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322" w:type="dxa"/>
          </w:tcPr>
          <w:p w14:paraId="3BE6BA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322" w:type="dxa"/>
          </w:tcPr>
          <w:p w14:paraId="1D9B7A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ТК</w:t>
            </w:r>
          </w:p>
        </w:tc>
      </w:tr>
      <w:tr w:rsidR="007D5DF8" w:rsidRPr="00DB5D0D" w14:paraId="4AB006CE" w14:textId="77777777" w:rsidTr="00E543D0">
        <w:tc>
          <w:tcPr>
            <w:tcW w:w="1384" w:type="dxa"/>
          </w:tcPr>
          <w:p w14:paraId="10512C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153273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05" w:type="dxa"/>
          </w:tcPr>
          <w:p w14:paraId="4B931E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ББ-1М63ТК</w:t>
            </w:r>
          </w:p>
        </w:tc>
        <w:tc>
          <w:tcPr>
            <w:tcW w:w="1071" w:type="dxa"/>
          </w:tcPr>
          <w:p w14:paraId="660DB52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322" w:type="dxa"/>
          </w:tcPr>
          <w:p w14:paraId="36ECA51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322" w:type="dxa"/>
          </w:tcPr>
          <w:p w14:paraId="2F86351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24A7EB5" w14:textId="77777777" w:rsidTr="00E543D0">
        <w:tc>
          <w:tcPr>
            <w:tcW w:w="1384" w:type="dxa"/>
          </w:tcPr>
          <w:p w14:paraId="5E01D6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Архангельский</w:t>
            </w:r>
          </w:p>
        </w:tc>
        <w:tc>
          <w:tcPr>
            <w:tcW w:w="851" w:type="dxa"/>
          </w:tcPr>
          <w:p w14:paraId="079FA7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905" w:type="dxa"/>
          </w:tcPr>
          <w:p w14:paraId="12F086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СБ-2М105ТК</w:t>
            </w:r>
          </w:p>
        </w:tc>
        <w:tc>
          <w:tcPr>
            <w:tcW w:w="1071" w:type="dxa"/>
          </w:tcPr>
          <w:p w14:paraId="306B1A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322" w:type="dxa"/>
          </w:tcPr>
          <w:p w14:paraId="17E091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322" w:type="dxa"/>
          </w:tcPr>
          <w:p w14:paraId="1D38AC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М-105ТК</w:t>
            </w:r>
          </w:p>
        </w:tc>
      </w:tr>
      <w:tr w:rsidR="007D5DF8" w:rsidRPr="00DB5D0D" w14:paraId="4C47429F" w14:textId="77777777" w:rsidTr="00E543D0">
        <w:tc>
          <w:tcPr>
            <w:tcW w:w="1384" w:type="dxa"/>
          </w:tcPr>
          <w:p w14:paraId="1EEBA2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ОТБ НКВД</w:t>
            </w:r>
          </w:p>
        </w:tc>
        <w:tc>
          <w:tcPr>
            <w:tcW w:w="851" w:type="dxa"/>
          </w:tcPr>
          <w:p w14:paraId="50CF4D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905" w:type="dxa"/>
          </w:tcPr>
          <w:p w14:paraId="3BE3F3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"100"</w:t>
            </w:r>
          </w:p>
        </w:tc>
        <w:tc>
          <w:tcPr>
            <w:tcW w:w="1071" w:type="dxa"/>
          </w:tcPr>
          <w:p w14:paraId="32FA1B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322" w:type="dxa"/>
          </w:tcPr>
          <w:p w14:paraId="3FFDFC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322" w:type="dxa"/>
          </w:tcPr>
          <w:p w14:paraId="0DD555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эталона</w:t>
            </w:r>
          </w:p>
        </w:tc>
      </w:tr>
      <w:tr w:rsidR="007D5DF8" w:rsidRPr="00DB5D0D" w14:paraId="2B58B363" w14:textId="77777777" w:rsidTr="00E543D0">
        <w:tc>
          <w:tcPr>
            <w:tcW w:w="1384" w:type="dxa"/>
          </w:tcPr>
          <w:p w14:paraId="64D3BD7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2A18EAD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05" w:type="dxa"/>
          </w:tcPr>
          <w:p w14:paraId="18F69E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71" w:type="dxa"/>
          </w:tcPr>
          <w:p w14:paraId="48394CD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322" w:type="dxa"/>
          </w:tcPr>
          <w:p w14:paraId="5944C12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322" w:type="dxa"/>
          </w:tcPr>
          <w:p w14:paraId="3DB387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варианте ПБ</w:t>
            </w:r>
          </w:p>
        </w:tc>
      </w:tr>
      <w:tr w:rsidR="007D5DF8" w:rsidRPr="00DB5D0D" w14:paraId="542DF58B" w14:textId="77777777" w:rsidTr="00E543D0">
        <w:tc>
          <w:tcPr>
            <w:tcW w:w="1384" w:type="dxa"/>
          </w:tcPr>
          <w:p w14:paraId="04E6B0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Болховитинов</w:t>
            </w:r>
          </w:p>
        </w:tc>
        <w:tc>
          <w:tcPr>
            <w:tcW w:w="851" w:type="dxa"/>
          </w:tcPr>
          <w:p w14:paraId="211139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1905" w:type="dxa"/>
          </w:tcPr>
          <w:p w14:paraId="2CCDD5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ББ-С</w:t>
            </w:r>
          </w:p>
        </w:tc>
        <w:tc>
          <w:tcPr>
            <w:tcW w:w="1071" w:type="dxa"/>
          </w:tcPr>
          <w:p w14:paraId="6F8BBC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322" w:type="dxa"/>
          </w:tcPr>
          <w:p w14:paraId="5ED69B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2322" w:type="dxa"/>
          </w:tcPr>
          <w:p w14:paraId="6A0EC8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Реактивные патрубки</w:t>
            </w:r>
          </w:p>
        </w:tc>
      </w:tr>
      <w:tr w:rsidR="007D5DF8" w:rsidRPr="00DB5D0D" w14:paraId="418CB292" w14:textId="77777777" w:rsidTr="00E543D0">
        <w:tc>
          <w:tcPr>
            <w:tcW w:w="1384" w:type="dxa"/>
          </w:tcPr>
          <w:p w14:paraId="0231AD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Привалов</w:t>
            </w:r>
          </w:p>
        </w:tc>
        <w:tc>
          <w:tcPr>
            <w:tcW w:w="851" w:type="dxa"/>
          </w:tcPr>
          <w:p w14:paraId="46E10A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1905" w:type="dxa"/>
          </w:tcPr>
          <w:p w14:paraId="42669B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Десантно-</w:t>
            </w:r>
          </w:p>
        </w:tc>
        <w:tc>
          <w:tcPr>
            <w:tcW w:w="1071" w:type="dxa"/>
          </w:tcPr>
          <w:p w14:paraId="75740A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322" w:type="dxa"/>
          </w:tcPr>
          <w:p w14:paraId="7FD004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322" w:type="dxa"/>
          </w:tcPr>
          <w:p w14:paraId="6A39AC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Подвеска мотоцикла,</w:t>
            </w:r>
          </w:p>
        </w:tc>
      </w:tr>
      <w:tr w:rsidR="007D5DF8" w:rsidRPr="00DB5D0D" w14:paraId="0DFE58DE" w14:textId="77777777" w:rsidTr="00E543D0">
        <w:tc>
          <w:tcPr>
            <w:tcW w:w="1384" w:type="dxa"/>
          </w:tcPr>
          <w:p w14:paraId="4DAB63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430D80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05" w:type="dxa"/>
          </w:tcPr>
          <w:p w14:paraId="77F92E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транспортные</w:t>
            </w:r>
          </w:p>
        </w:tc>
        <w:tc>
          <w:tcPr>
            <w:tcW w:w="1071" w:type="dxa"/>
          </w:tcPr>
          <w:p w14:paraId="2D8667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322" w:type="dxa"/>
          </w:tcPr>
          <w:p w14:paraId="184686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пушки, велосипедов,</w:t>
            </w:r>
          </w:p>
        </w:tc>
        <w:tc>
          <w:tcPr>
            <w:tcW w:w="2322" w:type="dxa"/>
          </w:tcPr>
          <w:p w14:paraId="64AAF8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583B0E" w14:textId="77777777" w:rsidTr="00E543D0">
        <w:tc>
          <w:tcPr>
            <w:tcW w:w="1384" w:type="dxa"/>
          </w:tcPr>
          <w:p w14:paraId="71A403A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3C2E0B8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05" w:type="dxa"/>
          </w:tcPr>
          <w:p w14:paraId="4D7DAB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приспособления</w:t>
            </w:r>
          </w:p>
        </w:tc>
        <w:tc>
          <w:tcPr>
            <w:tcW w:w="1071" w:type="dxa"/>
          </w:tcPr>
          <w:p w14:paraId="692A910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322" w:type="dxa"/>
          </w:tcPr>
          <w:p w14:paraId="210A36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автоотцеп</w:t>
            </w:r>
          </w:p>
        </w:tc>
        <w:tc>
          <w:tcPr>
            <w:tcW w:w="2322" w:type="dxa"/>
          </w:tcPr>
          <w:p w14:paraId="1FC749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0B3432B" w14:textId="77777777" w:rsidTr="00E543D0">
        <w:tc>
          <w:tcPr>
            <w:tcW w:w="1384" w:type="dxa"/>
            <w:tcBorders>
              <w:bottom w:val="single" w:sz="12" w:space="0" w:color="auto"/>
            </w:tcBorders>
          </w:tcPr>
          <w:p w14:paraId="42DE4F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ОТБ</w:t>
            </w:r>
          </w:p>
        </w:tc>
        <w:tc>
          <w:tcPr>
            <w:tcW w:w="851" w:type="dxa"/>
            <w:tcBorders>
              <w:bottom w:val="single" w:sz="12" w:space="0" w:color="auto"/>
            </w:tcBorders>
          </w:tcPr>
          <w:p w14:paraId="65AAD1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905" w:type="dxa"/>
            <w:tcBorders>
              <w:bottom w:val="single" w:sz="12" w:space="0" w:color="auto"/>
            </w:tcBorders>
          </w:tcPr>
          <w:p w14:paraId="6544B9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Кеcсонное крыло</w:t>
            </w:r>
          </w:p>
        </w:tc>
        <w:tc>
          <w:tcPr>
            <w:tcW w:w="1071" w:type="dxa"/>
            <w:tcBorders>
              <w:bottom w:val="single" w:sz="12" w:space="0" w:color="auto"/>
            </w:tcBorders>
          </w:tcPr>
          <w:p w14:paraId="1885CC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322" w:type="dxa"/>
            <w:tcBorders>
              <w:bottom w:val="single" w:sz="12" w:space="0" w:color="auto"/>
            </w:tcBorders>
          </w:tcPr>
          <w:p w14:paraId="5FFDDC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322" w:type="dxa"/>
            <w:tcBorders>
              <w:bottom w:val="single" w:sz="12" w:space="0" w:color="auto"/>
            </w:tcBorders>
          </w:tcPr>
          <w:p w14:paraId="28F7ACF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38248E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12 млн. руб. на финансирование работ по постройке:</w:t>
      </w:r>
    </w:p>
    <w:p w14:paraId="6D76FD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второго экз. модифицированного самолета И-28 конструкции В.П.Яценко;</w:t>
      </w:r>
    </w:p>
    <w:p w14:paraId="08DC5E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второго экземпляра ББ конструкции тов. Архангельского;</w:t>
      </w:r>
    </w:p>
    <w:p w14:paraId="092EA1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четвертого экз. И-200 конструкции тов. Микояна;</w:t>
      </w:r>
    </w:p>
    <w:p w14:paraId="5CFBD4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четвертого и пятого экз. самолета И-185 конструкции тов. Поликарпова</w:t>
      </w:r>
    </w:p>
    <w:p w14:paraId="440163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Финансирование работ по опытным самолетам, переходящих с 1939 года (приложение 2) разрешаю финансировать за счет средств, отпущенных ранее на создание пикирующего бомбардировщика конструкции тов. Незваль и снятого с плана опытных работ приказом N 337 от 28 мая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642"/>
        <w:gridCol w:w="1642"/>
        <w:gridCol w:w="1053"/>
        <w:gridCol w:w="2231"/>
      </w:tblGrid>
      <w:tr w:rsidR="007D5DF8" w:rsidRPr="00DB5D0D" w14:paraId="75F6142A" w14:textId="77777777" w:rsidTr="00E543D0">
        <w:tc>
          <w:tcPr>
            <w:tcW w:w="1642" w:type="dxa"/>
            <w:tcBorders>
              <w:top w:val="single" w:sz="12" w:space="0" w:color="auto"/>
            </w:tcBorders>
          </w:tcPr>
          <w:p w14:paraId="0447EC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w:t>
            </w:r>
          </w:p>
        </w:tc>
        <w:tc>
          <w:tcPr>
            <w:tcW w:w="1642" w:type="dxa"/>
            <w:tcBorders>
              <w:top w:val="single" w:sz="12" w:space="0" w:color="auto"/>
            </w:tcBorders>
          </w:tcPr>
          <w:p w14:paraId="564BBB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1642" w:type="dxa"/>
            <w:tcBorders>
              <w:top w:val="single" w:sz="12" w:space="0" w:color="auto"/>
            </w:tcBorders>
          </w:tcPr>
          <w:p w14:paraId="325431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1642" w:type="dxa"/>
            <w:tcBorders>
              <w:top w:val="single" w:sz="12" w:space="0" w:color="auto"/>
            </w:tcBorders>
          </w:tcPr>
          <w:p w14:paraId="630469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w:t>
            </w:r>
          </w:p>
        </w:tc>
        <w:tc>
          <w:tcPr>
            <w:tcW w:w="1053" w:type="dxa"/>
            <w:tcBorders>
              <w:top w:val="single" w:sz="12" w:space="0" w:color="auto"/>
            </w:tcBorders>
          </w:tcPr>
          <w:p w14:paraId="3B3E6E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Средств</w:t>
            </w:r>
          </w:p>
        </w:tc>
        <w:tc>
          <w:tcPr>
            <w:tcW w:w="2231" w:type="dxa"/>
            <w:tcBorders>
              <w:top w:val="single" w:sz="12" w:space="0" w:color="auto"/>
            </w:tcBorders>
          </w:tcPr>
          <w:p w14:paraId="652275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1B7A0205" w14:textId="77777777" w:rsidTr="00E543D0">
        <w:tc>
          <w:tcPr>
            <w:tcW w:w="1642" w:type="dxa"/>
          </w:tcPr>
          <w:p w14:paraId="7C7080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Кочеригин</w:t>
            </w:r>
          </w:p>
        </w:tc>
        <w:tc>
          <w:tcPr>
            <w:tcW w:w="1642" w:type="dxa"/>
          </w:tcPr>
          <w:p w14:paraId="03090C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642" w:type="dxa"/>
          </w:tcPr>
          <w:p w14:paraId="0D431B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Ш-81</w:t>
            </w:r>
          </w:p>
        </w:tc>
        <w:tc>
          <w:tcPr>
            <w:tcW w:w="1642" w:type="dxa"/>
          </w:tcPr>
          <w:p w14:paraId="62921A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53" w:type="dxa"/>
          </w:tcPr>
          <w:p w14:paraId="1A1FD4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2231" w:type="dxa"/>
          </w:tcPr>
          <w:p w14:paraId="523377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Модернизация Ш</w:t>
            </w:r>
          </w:p>
        </w:tc>
      </w:tr>
      <w:tr w:rsidR="007D5DF8" w:rsidRPr="00DB5D0D" w14:paraId="639DF808" w14:textId="77777777" w:rsidTr="00E543D0">
        <w:tc>
          <w:tcPr>
            <w:tcW w:w="1642" w:type="dxa"/>
          </w:tcPr>
          <w:p w14:paraId="32AC36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Таиров</w:t>
            </w:r>
          </w:p>
        </w:tc>
        <w:tc>
          <w:tcPr>
            <w:tcW w:w="1642" w:type="dxa"/>
          </w:tcPr>
          <w:p w14:paraId="13BC97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642" w:type="dxa"/>
          </w:tcPr>
          <w:p w14:paraId="451199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 дублер</w:t>
            </w:r>
          </w:p>
        </w:tc>
        <w:tc>
          <w:tcPr>
            <w:tcW w:w="1642" w:type="dxa"/>
          </w:tcPr>
          <w:p w14:paraId="4F4D2F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53" w:type="dxa"/>
          </w:tcPr>
          <w:p w14:paraId="5F2876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231" w:type="dxa"/>
          </w:tcPr>
          <w:p w14:paraId="2E53E5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Модернизация по заводским</w:t>
            </w:r>
          </w:p>
        </w:tc>
      </w:tr>
      <w:tr w:rsidR="007D5DF8" w:rsidRPr="00DB5D0D" w14:paraId="2F7D114B" w14:textId="77777777" w:rsidTr="00E543D0">
        <w:tc>
          <w:tcPr>
            <w:tcW w:w="1642" w:type="dxa"/>
          </w:tcPr>
          <w:p w14:paraId="3E4125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Яковлев</w:t>
            </w:r>
          </w:p>
        </w:tc>
        <w:tc>
          <w:tcPr>
            <w:tcW w:w="1642" w:type="dxa"/>
          </w:tcPr>
          <w:p w14:paraId="6456A3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1642" w:type="dxa"/>
          </w:tcPr>
          <w:p w14:paraId="6ABC9E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УТ-23-МВ6</w:t>
            </w:r>
          </w:p>
        </w:tc>
        <w:tc>
          <w:tcPr>
            <w:tcW w:w="1642" w:type="dxa"/>
          </w:tcPr>
          <w:p w14:paraId="610DDE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053" w:type="dxa"/>
          </w:tcPr>
          <w:p w14:paraId="6C18C6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2231" w:type="dxa"/>
          </w:tcPr>
          <w:p w14:paraId="0D7729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эталона</w:t>
            </w:r>
          </w:p>
        </w:tc>
      </w:tr>
      <w:tr w:rsidR="007D5DF8" w:rsidRPr="00DB5D0D" w14:paraId="368FE331" w14:textId="77777777" w:rsidTr="00E543D0">
        <w:tc>
          <w:tcPr>
            <w:tcW w:w="1642" w:type="dxa"/>
          </w:tcPr>
          <w:p w14:paraId="6C0D23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Боровков</w:t>
            </w:r>
          </w:p>
        </w:tc>
        <w:tc>
          <w:tcPr>
            <w:tcW w:w="1642" w:type="dxa"/>
          </w:tcPr>
          <w:p w14:paraId="4F22E9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1642" w:type="dxa"/>
          </w:tcPr>
          <w:p w14:paraId="0960F9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И207-М63</w:t>
            </w:r>
          </w:p>
        </w:tc>
        <w:tc>
          <w:tcPr>
            <w:tcW w:w="1642" w:type="dxa"/>
          </w:tcPr>
          <w:p w14:paraId="684A98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53" w:type="dxa"/>
          </w:tcPr>
          <w:p w14:paraId="10C990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231" w:type="dxa"/>
          </w:tcPr>
          <w:p w14:paraId="1FB9D0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Подвеска крупных бомб</w:t>
            </w:r>
          </w:p>
        </w:tc>
      </w:tr>
      <w:tr w:rsidR="007D5DF8" w:rsidRPr="00DB5D0D" w14:paraId="23440BD9" w14:textId="77777777" w:rsidTr="00E543D0">
        <w:tc>
          <w:tcPr>
            <w:tcW w:w="1642" w:type="dxa"/>
          </w:tcPr>
          <w:p w14:paraId="490BAE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Бисноват</w:t>
            </w:r>
          </w:p>
        </w:tc>
        <w:tc>
          <w:tcPr>
            <w:tcW w:w="1642" w:type="dxa"/>
          </w:tcPr>
          <w:p w14:paraId="602903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w:t>
            </w:r>
          </w:p>
        </w:tc>
        <w:tc>
          <w:tcPr>
            <w:tcW w:w="1642" w:type="dxa"/>
          </w:tcPr>
          <w:p w14:paraId="207A0F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СК-М105 дублер</w:t>
            </w:r>
          </w:p>
        </w:tc>
        <w:tc>
          <w:tcPr>
            <w:tcW w:w="1642" w:type="dxa"/>
          </w:tcPr>
          <w:p w14:paraId="05AF26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053" w:type="dxa"/>
          </w:tcPr>
          <w:p w14:paraId="2B5211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231" w:type="dxa"/>
          </w:tcPr>
          <w:p w14:paraId="066D1E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2-х УБ</w:t>
            </w:r>
          </w:p>
        </w:tc>
      </w:tr>
      <w:tr w:rsidR="007D5DF8" w:rsidRPr="00DB5D0D" w14:paraId="5C2AC18F" w14:textId="77777777" w:rsidTr="00E543D0">
        <w:tc>
          <w:tcPr>
            <w:tcW w:w="1642" w:type="dxa"/>
          </w:tcPr>
          <w:p w14:paraId="0487481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Pr>
          <w:p w14:paraId="54E5866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Pr>
          <w:p w14:paraId="0461F4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транспортные</w:t>
            </w:r>
          </w:p>
        </w:tc>
        <w:tc>
          <w:tcPr>
            <w:tcW w:w="1642" w:type="dxa"/>
          </w:tcPr>
          <w:p w14:paraId="3CEA359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53" w:type="dxa"/>
          </w:tcPr>
          <w:p w14:paraId="0015B1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31" w:type="dxa"/>
          </w:tcPr>
          <w:p w14:paraId="5B54B8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пушки, велосипедов,</w:t>
            </w:r>
          </w:p>
        </w:tc>
      </w:tr>
      <w:tr w:rsidR="007D5DF8" w:rsidRPr="00DB5D0D" w14:paraId="41378784" w14:textId="77777777" w:rsidTr="00E543D0">
        <w:tc>
          <w:tcPr>
            <w:tcW w:w="1642" w:type="dxa"/>
            <w:tcBorders>
              <w:bottom w:val="single" w:sz="12" w:space="0" w:color="auto"/>
            </w:tcBorders>
          </w:tcPr>
          <w:p w14:paraId="6F50744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Borders>
              <w:bottom w:val="single" w:sz="12" w:space="0" w:color="auto"/>
            </w:tcBorders>
          </w:tcPr>
          <w:p w14:paraId="7C8A70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42" w:type="dxa"/>
            <w:tcBorders>
              <w:bottom w:val="single" w:sz="12" w:space="0" w:color="auto"/>
            </w:tcBorders>
          </w:tcPr>
          <w:p w14:paraId="660270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приспособления</w:t>
            </w:r>
          </w:p>
        </w:tc>
        <w:tc>
          <w:tcPr>
            <w:tcW w:w="1642" w:type="dxa"/>
            <w:tcBorders>
              <w:bottom w:val="single" w:sz="12" w:space="0" w:color="auto"/>
            </w:tcBorders>
          </w:tcPr>
          <w:p w14:paraId="06B2BD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53" w:type="dxa"/>
            <w:tcBorders>
              <w:bottom w:val="single" w:sz="12" w:space="0" w:color="auto"/>
            </w:tcBorders>
          </w:tcPr>
          <w:p w14:paraId="121B4CC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31" w:type="dxa"/>
            <w:tcBorders>
              <w:bottom w:val="single" w:sz="12" w:space="0" w:color="auto"/>
            </w:tcBorders>
          </w:tcPr>
          <w:p w14:paraId="3C5C6F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автоотцеп</w:t>
            </w:r>
          </w:p>
        </w:tc>
      </w:tr>
    </w:tbl>
    <w:p w14:paraId="0A56B5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Начальникам Центральной бухгалтерии НКАП т. В.П.Соколову и ЦФО тов. Хавину списать расходы по прекращенным объектам опытных работ, согласно моего приказа N 124 сс от 14 марта 1940 (приложение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916"/>
        <w:gridCol w:w="1916"/>
        <w:gridCol w:w="1916"/>
        <w:gridCol w:w="1916"/>
      </w:tblGrid>
      <w:tr w:rsidR="007D5DF8" w:rsidRPr="00DB5D0D" w14:paraId="4FF03D9C" w14:textId="77777777" w:rsidTr="00E543D0">
        <w:tc>
          <w:tcPr>
            <w:tcW w:w="1916" w:type="dxa"/>
            <w:tcBorders>
              <w:top w:val="single" w:sz="12" w:space="0" w:color="auto"/>
            </w:tcBorders>
          </w:tcPr>
          <w:p w14:paraId="3B776A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w:t>
            </w:r>
          </w:p>
        </w:tc>
        <w:tc>
          <w:tcPr>
            <w:tcW w:w="1916" w:type="dxa"/>
            <w:tcBorders>
              <w:top w:val="single" w:sz="12" w:space="0" w:color="auto"/>
            </w:tcBorders>
          </w:tcPr>
          <w:p w14:paraId="6F443E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1916" w:type="dxa"/>
            <w:tcBorders>
              <w:top w:val="single" w:sz="12" w:space="0" w:color="auto"/>
            </w:tcBorders>
          </w:tcPr>
          <w:p w14:paraId="2829EA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1916" w:type="dxa"/>
            <w:tcBorders>
              <w:top w:val="single" w:sz="12" w:space="0" w:color="auto"/>
            </w:tcBorders>
          </w:tcPr>
          <w:p w14:paraId="6B1CF5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w:t>
            </w:r>
          </w:p>
        </w:tc>
        <w:tc>
          <w:tcPr>
            <w:tcW w:w="1916" w:type="dxa"/>
            <w:tcBorders>
              <w:top w:val="single" w:sz="12" w:space="0" w:color="auto"/>
            </w:tcBorders>
          </w:tcPr>
          <w:p w14:paraId="51088C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Средств</w:t>
            </w:r>
          </w:p>
        </w:tc>
      </w:tr>
      <w:tr w:rsidR="007D5DF8" w:rsidRPr="00DB5D0D" w14:paraId="399071FD" w14:textId="77777777" w:rsidTr="00E543D0">
        <w:tc>
          <w:tcPr>
            <w:tcW w:w="1916" w:type="dxa"/>
          </w:tcPr>
          <w:p w14:paraId="4E7860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Поликарпов</w:t>
            </w:r>
          </w:p>
        </w:tc>
        <w:tc>
          <w:tcPr>
            <w:tcW w:w="1916" w:type="dxa"/>
          </w:tcPr>
          <w:p w14:paraId="7B188F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916" w:type="dxa"/>
          </w:tcPr>
          <w:p w14:paraId="784870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М88ТК</w:t>
            </w:r>
          </w:p>
        </w:tc>
        <w:tc>
          <w:tcPr>
            <w:tcW w:w="1916" w:type="dxa"/>
          </w:tcPr>
          <w:p w14:paraId="0E05AC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916" w:type="dxa"/>
          </w:tcPr>
          <w:p w14:paraId="0AC4C3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537</w:t>
            </w:r>
          </w:p>
        </w:tc>
      </w:tr>
      <w:tr w:rsidR="007D5DF8" w:rsidRPr="00DB5D0D" w14:paraId="0EBAE4F2" w14:textId="77777777" w:rsidTr="00E543D0">
        <w:tc>
          <w:tcPr>
            <w:tcW w:w="1916" w:type="dxa"/>
          </w:tcPr>
          <w:p w14:paraId="7571D39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2ACF62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7102EB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(4-й экз.)</w:t>
            </w:r>
          </w:p>
        </w:tc>
        <w:tc>
          <w:tcPr>
            <w:tcW w:w="1916" w:type="dxa"/>
          </w:tcPr>
          <w:p w14:paraId="1810370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411CF3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2E32B01" w14:textId="77777777" w:rsidTr="00E543D0">
        <w:tc>
          <w:tcPr>
            <w:tcW w:w="1916" w:type="dxa"/>
          </w:tcPr>
          <w:p w14:paraId="32EDC4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669DD8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508CD8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 с М88ТК</w:t>
            </w:r>
          </w:p>
        </w:tc>
        <w:tc>
          <w:tcPr>
            <w:tcW w:w="1916" w:type="dxa"/>
          </w:tcPr>
          <w:p w14:paraId="465022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916" w:type="dxa"/>
          </w:tcPr>
          <w:p w14:paraId="0B40E0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1591</w:t>
            </w:r>
          </w:p>
        </w:tc>
      </w:tr>
      <w:tr w:rsidR="007D5DF8" w:rsidRPr="00DB5D0D" w14:paraId="4976EEA8" w14:textId="77777777" w:rsidTr="00E543D0">
        <w:tc>
          <w:tcPr>
            <w:tcW w:w="1916" w:type="dxa"/>
          </w:tcPr>
          <w:p w14:paraId="6FF597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Бакшаев Г.И.</w:t>
            </w:r>
          </w:p>
        </w:tc>
        <w:tc>
          <w:tcPr>
            <w:tcW w:w="1916" w:type="dxa"/>
          </w:tcPr>
          <w:p w14:paraId="3BB2ED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916" w:type="dxa"/>
          </w:tcPr>
          <w:p w14:paraId="5A4F44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с</w:t>
            </w:r>
          </w:p>
        </w:tc>
        <w:tc>
          <w:tcPr>
            <w:tcW w:w="1916" w:type="dxa"/>
          </w:tcPr>
          <w:p w14:paraId="2E09E1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916" w:type="dxa"/>
          </w:tcPr>
          <w:p w14:paraId="4C1B2C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358</w:t>
            </w:r>
          </w:p>
        </w:tc>
      </w:tr>
      <w:tr w:rsidR="007D5DF8" w:rsidRPr="00DB5D0D" w14:paraId="19D75D09" w14:textId="77777777" w:rsidTr="00E543D0">
        <w:tc>
          <w:tcPr>
            <w:tcW w:w="1916" w:type="dxa"/>
          </w:tcPr>
          <w:p w14:paraId="72AE72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2966DA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69E452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раздвижным крылом</w:t>
            </w:r>
          </w:p>
        </w:tc>
        <w:tc>
          <w:tcPr>
            <w:tcW w:w="1916" w:type="dxa"/>
          </w:tcPr>
          <w:p w14:paraId="773AC7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24FD05E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824AD8C" w14:textId="77777777" w:rsidTr="00E543D0">
        <w:tc>
          <w:tcPr>
            <w:tcW w:w="1916" w:type="dxa"/>
          </w:tcPr>
          <w:p w14:paraId="7618E3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Беляев В.Н.</w:t>
            </w:r>
          </w:p>
        </w:tc>
        <w:tc>
          <w:tcPr>
            <w:tcW w:w="1916" w:type="dxa"/>
          </w:tcPr>
          <w:p w14:paraId="33C99B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1916" w:type="dxa"/>
          </w:tcPr>
          <w:p w14:paraId="585299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ДБ-ЛК М-88 </w:t>
            </w:r>
          </w:p>
        </w:tc>
        <w:tc>
          <w:tcPr>
            <w:tcW w:w="1916" w:type="dxa"/>
          </w:tcPr>
          <w:p w14:paraId="73D9F4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916" w:type="dxa"/>
          </w:tcPr>
          <w:p w14:paraId="0B75FA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1450</w:t>
            </w:r>
          </w:p>
        </w:tc>
      </w:tr>
      <w:tr w:rsidR="007D5DF8" w:rsidRPr="00DB5D0D" w14:paraId="6885DA9C" w14:textId="77777777" w:rsidTr="00E543D0">
        <w:tc>
          <w:tcPr>
            <w:tcW w:w="1916" w:type="dxa"/>
          </w:tcPr>
          <w:p w14:paraId="4222AA7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46F2E3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6F054C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w:t>
            </w:r>
          </w:p>
        </w:tc>
        <w:tc>
          <w:tcPr>
            <w:tcW w:w="1916" w:type="dxa"/>
          </w:tcPr>
          <w:p w14:paraId="3945FF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4D62F60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76DEBE8" w14:textId="77777777" w:rsidTr="00E543D0">
        <w:tc>
          <w:tcPr>
            <w:tcW w:w="1916" w:type="dxa"/>
          </w:tcPr>
          <w:p w14:paraId="722091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668CEE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47AA48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ДБ-ЛК с М-35</w:t>
            </w:r>
          </w:p>
        </w:tc>
        <w:tc>
          <w:tcPr>
            <w:tcW w:w="1916" w:type="dxa"/>
          </w:tcPr>
          <w:p w14:paraId="6AA117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916" w:type="dxa"/>
          </w:tcPr>
          <w:p w14:paraId="410712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472</w:t>
            </w:r>
          </w:p>
        </w:tc>
      </w:tr>
      <w:tr w:rsidR="007D5DF8" w:rsidRPr="00DB5D0D" w14:paraId="2CFD76F2" w14:textId="77777777" w:rsidTr="00E543D0">
        <w:tc>
          <w:tcPr>
            <w:tcW w:w="1916" w:type="dxa"/>
          </w:tcPr>
          <w:p w14:paraId="5F000D0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1FFFC48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3222DE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(3-й экз.)</w:t>
            </w:r>
          </w:p>
        </w:tc>
        <w:tc>
          <w:tcPr>
            <w:tcW w:w="1916" w:type="dxa"/>
          </w:tcPr>
          <w:p w14:paraId="7EACD0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46BBC83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690DD3E" w14:textId="77777777" w:rsidTr="00E543D0">
        <w:tc>
          <w:tcPr>
            <w:tcW w:w="1916" w:type="dxa"/>
          </w:tcPr>
          <w:p w14:paraId="12C8F0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Сильванский А.В.</w:t>
            </w:r>
          </w:p>
        </w:tc>
        <w:tc>
          <w:tcPr>
            <w:tcW w:w="1916" w:type="dxa"/>
          </w:tcPr>
          <w:p w14:paraId="41CE1F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1916" w:type="dxa"/>
          </w:tcPr>
          <w:p w14:paraId="1B9CBA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И-220 с М-88</w:t>
            </w:r>
          </w:p>
        </w:tc>
        <w:tc>
          <w:tcPr>
            <w:tcW w:w="1916" w:type="dxa"/>
          </w:tcPr>
          <w:p w14:paraId="66A280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916" w:type="dxa"/>
          </w:tcPr>
          <w:p w14:paraId="033A81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2701</w:t>
            </w:r>
          </w:p>
        </w:tc>
      </w:tr>
      <w:tr w:rsidR="007D5DF8" w:rsidRPr="00DB5D0D" w14:paraId="63B327C3" w14:textId="77777777" w:rsidTr="00E543D0">
        <w:tc>
          <w:tcPr>
            <w:tcW w:w="1916" w:type="dxa"/>
          </w:tcPr>
          <w:p w14:paraId="2E8497B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2FBC88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6ECC20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w:t>
            </w:r>
          </w:p>
        </w:tc>
        <w:tc>
          <w:tcPr>
            <w:tcW w:w="1916" w:type="dxa"/>
          </w:tcPr>
          <w:p w14:paraId="27FF6F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0D5DD4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F01D445" w14:textId="77777777" w:rsidTr="00E543D0">
        <w:tc>
          <w:tcPr>
            <w:tcW w:w="1916" w:type="dxa"/>
          </w:tcPr>
          <w:p w14:paraId="6B0946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Москалев А.С.</w:t>
            </w:r>
          </w:p>
        </w:tc>
        <w:tc>
          <w:tcPr>
            <w:tcW w:w="1916" w:type="dxa"/>
          </w:tcPr>
          <w:p w14:paraId="5DE8FE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ОКБ-31</w:t>
            </w:r>
          </w:p>
        </w:tc>
        <w:tc>
          <w:tcPr>
            <w:tcW w:w="1916" w:type="dxa"/>
          </w:tcPr>
          <w:p w14:paraId="4E7313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САМ-13 с 2МВ6</w:t>
            </w:r>
          </w:p>
        </w:tc>
        <w:tc>
          <w:tcPr>
            <w:tcW w:w="1916" w:type="dxa"/>
          </w:tcPr>
          <w:p w14:paraId="2FC0B8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916" w:type="dxa"/>
          </w:tcPr>
          <w:p w14:paraId="0F6273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736</w:t>
            </w:r>
          </w:p>
        </w:tc>
      </w:tr>
      <w:tr w:rsidR="007D5DF8" w:rsidRPr="00DB5D0D" w14:paraId="0862C85D" w14:textId="77777777" w:rsidTr="00E543D0">
        <w:tc>
          <w:tcPr>
            <w:tcW w:w="1916" w:type="dxa"/>
          </w:tcPr>
          <w:p w14:paraId="14392F8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70E083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701896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САМ-12 с МВ12</w:t>
            </w:r>
          </w:p>
        </w:tc>
        <w:tc>
          <w:tcPr>
            <w:tcW w:w="1916" w:type="dxa"/>
          </w:tcPr>
          <w:p w14:paraId="7A61F5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916" w:type="dxa"/>
          </w:tcPr>
          <w:p w14:paraId="1B1825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w:t>
            </w:r>
          </w:p>
        </w:tc>
      </w:tr>
      <w:tr w:rsidR="007D5DF8" w:rsidRPr="00DB5D0D" w14:paraId="10DEA4EB" w14:textId="77777777" w:rsidTr="00E543D0">
        <w:tc>
          <w:tcPr>
            <w:tcW w:w="1916" w:type="dxa"/>
          </w:tcPr>
          <w:p w14:paraId="50AD41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Бисноват М.Р.</w:t>
            </w:r>
          </w:p>
        </w:tc>
        <w:tc>
          <w:tcPr>
            <w:tcW w:w="1916" w:type="dxa"/>
          </w:tcPr>
          <w:p w14:paraId="21C00B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w:t>
            </w:r>
          </w:p>
        </w:tc>
        <w:tc>
          <w:tcPr>
            <w:tcW w:w="1916" w:type="dxa"/>
          </w:tcPr>
          <w:p w14:paraId="5F8393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 с М-105</w:t>
            </w:r>
          </w:p>
        </w:tc>
        <w:tc>
          <w:tcPr>
            <w:tcW w:w="1916" w:type="dxa"/>
          </w:tcPr>
          <w:p w14:paraId="55B942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916" w:type="dxa"/>
          </w:tcPr>
          <w:p w14:paraId="3F2BDD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704</w:t>
            </w:r>
          </w:p>
        </w:tc>
      </w:tr>
      <w:tr w:rsidR="007D5DF8" w:rsidRPr="00DB5D0D" w14:paraId="251365BE" w14:textId="77777777" w:rsidTr="00E543D0">
        <w:tc>
          <w:tcPr>
            <w:tcW w:w="1916" w:type="dxa"/>
          </w:tcPr>
          <w:p w14:paraId="48697E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Каштанов Н.Н. и</w:t>
            </w:r>
          </w:p>
        </w:tc>
        <w:tc>
          <w:tcPr>
            <w:tcW w:w="1916" w:type="dxa"/>
          </w:tcPr>
          <w:p w14:paraId="121A3D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1916" w:type="dxa"/>
          </w:tcPr>
          <w:p w14:paraId="13BCA1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 с жесткой</w:t>
            </w:r>
          </w:p>
        </w:tc>
        <w:tc>
          <w:tcPr>
            <w:tcW w:w="1916" w:type="dxa"/>
          </w:tcPr>
          <w:p w14:paraId="46826C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916" w:type="dxa"/>
          </w:tcPr>
          <w:p w14:paraId="14769A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1302</w:t>
            </w:r>
          </w:p>
        </w:tc>
      </w:tr>
      <w:tr w:rsidR="007D5DF8" w:rsidRPr="00DB5D0D" w14:paraId="1B9AF387" w14:textId="77777777" w:rsidTr="00E543D0">
        <w:tc>
          <w:tcPr>
            <w:tcW w:w="1916" w:type="dxa"/>
          </w:tcPr>
          <w:p w14:paraId="7432FA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Щербаков А.Я.</w:t>
            </w:r>
          </w:p>
        </w:tc>
        <w:tc>
          <w:tcPr>
            <w:tcW w:w="1916" w:type="dxa"/>
          </w:tcPr>
          <w:p w14:paraId="62AF77E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00978E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мягкой герм.</w:t>
            </w:r>
          </w:p>
        </w:tc>
        <w:tc>
          <w:tcPr>
            <w:tcW w:w="1916" w:type="dxa"/>
          </w:tcPr>
          <w:p w14:paraId="514DCC3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30A095A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F7140D6" w14:textId="77777777" w:rsidTr="00E543D0">
        <w:tc>
          <w:tcPr>
            <w:tcW w:w="1916" w:type="dxa"/>
          </w:tcPr>
          <w:p w14:paraId="227D482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3B46C0C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245EC2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кабинами</w:t>
            </w:r>
          </w:p>
        </w:tc>
        <w:tc>
          <w:tcPr>
            <w:tcW w:w="1916" w:type="dxa"/>
          </w:tcPr>
          <w:p w14:paraId="624831A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06A6FE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B307692" w14:textId="77777777" w:rsidTr="00E543D0">
        <w:tc>
          <w:tcPr>
            <w:tcW w:w="1916" w:type="dxa"/>
          </w:tcPr>
          <w:p w14:paraId="46D138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Незваль И.Ф.</w:t>
            </w:r>
          </w:p>
        </w:tc>
        <w:tc>
          <w:tcPr>
            <w:tcW w:w="1916" w:type="dxa"/>
          </w:tcPr>
          <w:p w14:paraId="6378CE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1916" w:type="dxa"/>
          </w:tcPr>
          <w:p w14:paraId="2C8A28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ТБ-7 (АНТ-42), </w:t>
            </w:r>
          </w:p>
        </w:tc>
        <w:tc>
          <w:tcPr>
            <w:tcW w:w="1916" w:type="dxa"/>
          </w:tcPr>
          <w:p w14:paraId="4B4950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916" w:type="dxa"/>
          </w:tcPr>
          <w:p w14:paraId="56B50F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910</w:t>
            </w:r>
          </w:p>
        </w:tc>
      </w:tr>
      <w:tr w:rsidR="007D5DF8" w:rsidRPr="00DB5D0D" w14:paraId="56493568" w14:textId="77777777" w:rsidTr="00E543D0">
        <w:tc>
          <w:tcPr>
            <w:tcW w:w="1916" w:type="dxa"/>
          </w:tcPr>
          <w:p w14:paraId="0D41B4D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2CC2F12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4DAAFB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нового</w:t>
            </w:r>
          </w:p>
        </w:tc>
        <w:tc>
          <w:tcPr>
            <w:tcW w:w="1916" w:type="dxa"/>
          </w:tcPr>
          <w:p w14:paraId="3388DBA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Pr>
          <w:p w14:paraId="245E720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0076136" w14:textId="77777777" w:rsidTr="00E543D0">
        <w:tc>
          <w:tcPr>
            <w:tcW w:w="1916" w:type="dxa"/>
            <w:tcBorders>
              <w:bottom w:val="single" w:sz="12" w:space="0" w:color="auto"/>
            </w:tcBorders>
          </w:tcPr>
          <w:p w14:paraId="5192BFD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Borders>
              <w:bottom w:val="single" w:sz="12" w:space="0" w:color="auto"/>
            </w:tcBorders>
          </w:tcPr>
          <w:p w14:paraId="05D61B2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Borders>
              <w:bottom w:val="single" w:sz="12" w:space="0" w:color="auto"/>
            </w:tcBorders>
          </w:tcPr>
          <w:p w14:paraId="01DD94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вооружения</w:t>
            </w:r>
          </w:p>
        </w:tc>
        <w:tc>
          <w:tcPr>
            <w:tcW w:w="1916" w:type="dxa"/>
            <w:tcBorders>
              <w:bottom w:val="single" w:sz="12" w:space="0" w:color="auto"/>
            </w:tcBorders>
          </w:tcPr>
          <w:p w14:paraId="2C977FD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916" w:type="dxa"/>
            <w:tcBorders>
              <w:bottom w:val="single" w:sz="12" w:space="0" w:color="auto"/>
            </w:tcBorders>
          </w:tcPr>
          <w:p w14:paraId="4B1141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66294F6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D8D7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 в докладной записке начальника планово-экономического отдела НКАП Водяницкого заместителю наркома Яковлеву к числу конструкторских бюро, не имеющих перспектив в IV квартале 1940 г., было отне</w:t>
      </w:r>
      <w:r w:rsidRPr="00DB5D0D">
        <w:rPr>
          <w:rFonts w:ascii="Times New Roman" w:hAnsi="Times New Roman"/>
          <w:color w:val="000000" w:themeColor="text1"/>
          <w:sz w:val="16"/>
          <w:szCs w:val="16"/>
        </w:rPr>
        <w:softHyphen/>
        <w:t>сено и ОКБ Поликарпова (10667).</w:t>
      </w:r>
    </w:p>
    <w:p w14:paraId="6ECA47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125CE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 Нарком внутренних дел Л.П. Берия в письме на имя И.В. Сталина изложил проект строительства четырех авиазаводов в Куйбышевской области (железнодорожная станция Безымянка в районе г. Куйбышева), согласно которому со второго полугодия 1940 года по ноябрь 1943 года планировалось возвести два самолетостроительных и два авиамоторных завода. Но И.В. Сталин посчитал эти сроки слишком затянутыми, поэтому документ был отправлен на доработку и в готовом виде утвержден постановлением КО № 343-с от 6 августа 1940 года. Решено было сократить количество заводов до двух авиастроительных (№№ 122 и 295) и одного моторостроительного (№ 377). Сроки строительства сокращались вдвое: самолетостроительные заводы предполагалось пустить к началу 1942 года, а авиамоторный – к маю того же года. Проектирование новых объектов возлагалось на НКАП, а строительство – на НКВД, который должен был обеспечить стройку рабсилой (Захарченко А.В. Формирование авиапромышленного комплекса в Поволжье накануне и в годы Великой Отечественной войны. С. 5.). Никогда ранее заключенные не составляли основную массу рабочей силы на строительстве авиапредприятий (11672).</w:t>
      </w:r>
    </w:p>
    <w:p w14:paraId="0282C9D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E8699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директор завода 156 Ленкин писал письмо N 1749 Зам. наркома А.С.Я.:</w:t>
      </w:r>
    </w:p>
    <w:p w14:paraId="3CB792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Представляя план работу КО N 17 на 2 полугодие 1940 сообщаем, что загрузка отдела определяется в основном теми заданиями, которые были получены ГК С.А.Кочеригиным как от Наркома А.И.Ш., так и от его заместителей.</w:t>
      </w:r>
    </w:p>
    <w:p w14:paraId="697975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своему содержанию эти задания можно разделить на 3 группы: к первой группе относятся задания по тем или иным модификациям и улучшением законченного проектированием ОПБ, чертежи которого закончены сдачей на производство 11 июля, во вторую группу входят работы по улучшению законченного на производстве самолета ММШ с М-81, заданные Зам. наркома Ворониным и третью группу составляют инициативные работы КБ перспективного порядка, завершающегося изготовлением эскизного проекта и макета нового самолета, постройка которого должна быть закончена в середине 1941...</w:t>
      </w:r>
    </w:p>
    <w:p w14:paraId="739EA7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в плане завода 156 данной тематики нет, просьба таковую утвердить и выделить соответствующую сумму ассигнований (1900 тыс. руб.)" (2062,76).</w:t>
      </w:r>
    </w:p>
    <w:p w14:paraId="2892122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6CE1D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Протокол № 19. Решения за 20 июля — 24 августа 1940 г.</w:t>
      </w:r>
    </w:p>
    <w:p w14:paraId="2C4DD8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 7. 40 г.</w:t>
      </w:r>
    </w:p>
    <w:p w14:paraId="418866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39. Вопрос КО. О дополнительной поставке взрывателей*.</w:t>
      </w:r>
    </w:p>
    <w:p w14:paraId="28D2F0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24.7.40 г.</w:t>
      </w:r>
    </w:p>
    <w:p w14:paraId="3F5807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58. Об увеличении выпуска самолетов и авиамоторов на период август-декабрь 1940 года*.</w:t>
      </w:r>
    </w:p>
    <w:p w14:paraId="2F1C90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26.7.40 г.</w:t>
      </w:r>
    </w:p>
    <w:p w14:paraId="75E535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85. О накоплении мобзапасов горючего и смазочных материалов для НКО и НКВМВ (постановление СНК СССР и ЦК ВКП (б))*.</w:t>
      </w:r>
    </w:p>
    <w:p w14:paraId="754DAD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96. Об организации производства боевых самолетов и авиационных моторов в Ленинграде (постановление ЦК ВКП (б) и СНК СССР)*. П. 98. Вопрос КО. О производстве танков, арттягачей*.</w:t>
      </w:r>
    </w:p>
    <w:p w14:paraId="400A96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147. Вопрос НКАП. О приостановке выпуска мотора М-88 и увеличении - М-87Б*.</w:t>
      </w:r>
    </w:p>
    <w:p w14:paraId="714777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06.8.40 г.</w:t>
      </w:r>
    </w:p>
    <w:p w14:paraId="5DCA26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149. О создании одноместного пикирующего бомбардировщика с одним мотором*.</w:t>
      </w:r>
    </w:p>
    <w:p w14:paraId="2F2242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10.8.40 г</w:t>
      </w:r>
      <w:r w:rsidRPr="00DB5D0D">
        <w:rPr>
          <w:rFonts w:ascii="Times New Roman" w:hAnsi="Times New Roman"/>
          <w:color w:val="000000" w:themeColor="text1"/>
          <w:sz w:val="16"/>
          <w:szCs w:val="16"/>
        </w:rPr>
        <w:t>.</w:t>
      </w:r>
    </w:p>
    <w:p w14:paraId="505BF0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160. О снабжении Красной Армии мотоциклами и развитии мотоциклетной промышленности*.</w:t>
      </w:r>
    </w:p>
    <w:p w14:paraId="7215C8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14.8.40 г.</w:t>
      </w:r>
    </w:p>
    <w:p w14:paraId="48BA51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214. Вопрос НКАП. О разработке приспособления по механизации крыла, обеспечивающей безопасность полетов при потере скорости*.</w:t>
      </w:r>
    </w:p>
    <w:p w14:paraId="2EE714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16.8.40 г.</w:t>
      </w:r>
    </w:p>
    <w:p w14:paraId="720372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265. Вопрос КО. Об изготовлении опытного образца орудийной универсальной башенной установки*.</w:t>
      </w:r>
    </w:p>
    <w:p w14:paraId="09466A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21.8.40 г.</w:t>
      </w:r>
    </w:p>
    <w:p w14:paraId="6D76ED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292. Об организации производства бронекорпусов и бронебойных снарядов к танкам «KB» на заводе № 78 Наркомбоеприпасов. (постановление СНК СССР и ЦК ВКП (б))*.</w:t>
      </w:r>
    </w:p>
    <w:p w14:paraId="068AB6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22.8.40 г.</w:t>
      </w:r>
    </w:p>
    <w:p w14:paraId="128C67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302. Вопрос КО. О введение на вооружение КА, Флота и НКВД прибора управления артиллерийским зенитным огнем (11773).</w:t>
      </w:r>
    </w:p>
    <w:p w14:paraId="2F76D0E1" w14:textId="77777777" w:rsidR="003C7E8B" w:rsidRPr="00DB5D0D" w:rsidRDefault="003C7E8B" w:rsidP="00DB5D0D">
      <w:pPr>
        <w:shd w:val="clear" w:color="auto" w:fill="FFFFFF"/>
        <w:spacing w:after="0" w:line="240" w:lineRule="auto"/>
        <w:jc w:val="both"/>
        <w:rPr>
          <w:rFonts w:ascii="Times New Roman" w:hAnsi="Times New Roman"/>
          <w:bCs/>
          <w:color w:val="000000" w:themeColor="text1"/>
          <w:sz w:val="16"/>
          <w:szCs w:val="16"/>
        </w:rPr>
      </w:pPr>
    </w:p>
    <w:p w14:paraId="7C3824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 Постановление Политбюро ЦК ВКП(б) № П 19 / 58 - ОП утвердило совместное постановление СНК СССР и ЦК ВКП(б) «Об увеличении выпуска самолетов и авиамоторов на период август - декабрь 1940 года» (РГАСПИ. Ф. 17. Оп. 3. Д. 1026. Л. 13.). Но интенсификация производства не могла быть осуществле</w:t>
      </w:r>
      <w:r w:rsidRPr="00DB5D0D">
        <w:rPr>
          <w:rFonts w:ascii="Times New Roman" w:hAnsi="Times New Roman"/>
          <w:color w:val="000000" w:themeColor="text1"/>
          <w:sz w:val="16"/>
          <w:szCs w:val="16"/>
        </w:rPr>
        <w:softHyphen/>
        <w:t>на в полном объеме, так как столкнулась с уже существовавшей проблемой обеспечения авиазаводов комплектующими изделиями, приборами и авиамоторами, что оказывало комплексное влияние на работу всей отрасли в целом. Разумеется, подобные проблемы были и до этого, но сложившаяся ситуация еще больше обострила их.</w:t>
      </w:r>
    </w:p>
    <w:p w14:paraId="10DA37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Материалам по годовому отчету 6-го Управления ГУ ВВС КА за 1940 год, анализ причин невыполнения годового плана поставок самоле</w:t>
      </w:r>
      <w:r w:rsidRPr="00DB5D0D">
        <w:rPr>
          <w:rFonts w:ascii="Times New Roman" w:hAnsi="Times New Roman"/>
          <w:color w:val="000000" w:themeColor="text1"/>
          <w:sz w:val="16"/>
          <w:szCs w:val="16"/>
        </w:rPr>
        <w:softHyphen/>
        <w:t>тов за 1940 год обнаружил множество подобных примеров. По заводу № 22, производящему бомбардировщики, отмечалось: «Срывы в снабжении мо</w:t>
      </w:r>
      <w:r w:rsidRPr="00DB5D0D">
        <w:rPr>
          <w:rFonts w:ascii="Times New Roman" w:hAnsi="Times New Roman"/>
          <w:color w:val="000000" w:themeColor="text1"/>
          <w:sz w:val="16"/>
          <w:szCs w:val="16"/>
        </w:rPr>
        <w:softHyphen/>
        <w:t>торами несколько раз приводили к остановке конвейера. Длительное время завод не получал цветного металла. Почти на протяжении всего года заводу лимитировали авиаприборы и пикирующее оборудование» (РГВА. Ф. 29. Оп. 56. Д. 182. Л. 1.). Невыполне</w:t>
      </w:r>
      <w:r w:rsidRPr="00DB5D0D">
        <w:rPr>
          <w:rFonts w:ascii="Times New Roman" w:hAnsi="Times New Roman"/>
          <w:color w:val="000000" w:themeColor="text1"/>
          <w:sz w:val="16"/>
          <w:szCs w:val="16"/>
        </w:rPr>
        <w:softHyphen/>
        <w:t>ние поставок самолетов-истребителей И-16 М-63 заводом № 153 проис</w:t>
      </w:r>
      <w:r w:rsidRPr="00DB5D0D">
        <w:rPr>
          <w:rFonts w:ascii="Times New Roman" w:hAnsi="Times New Roman"/>
          <w:color w:val="000000" w:themeColor="text1"/>
          <w:sz w:val="16"/>
          <w:szCs w:val="16"/>
        </w:rPr>
        <w:softHyphen/>
        <w:t>ходило, в том числе, из-за того, что «подача моторов М-63 и винтов АВ-1 заводу № 153 на протяжении всего года была несвоевременной» (РГВА. Ф. 29. Оп. 56. Д. 182. Л. 7.). То же самое - проблемы с поставками моторов М-63 - приводило к тому, что на заводе № 21, который также выпускал И-16, «неоднократно останавлива</w:t>
      </w:r>
      <w:r w:rsidRPr="00DB5D0D">
        <w:rPr>
          <w:rFonts w:ascii="Times New Roman" w:hAnsi="Times New Roman"/>
          <w:color w:val="000000" w:themeColor="text1"/>
          <w:sz w:val="16"/>
          <w:szCs w:val="16"/>
        </w:rPr>
        <w:softHyphen/>
        <w:t>лась сборка» (РГВА. Ф. 29. Оп. 56. Д. 182. Л. 1.). Производство истребителя А.С. Яковлева И-26 М-105 на за</w:t>
      </w:r>
      <w:r w:rsidRPr="00DB5D0D">
        <w:rPr>
          <w:rFonts w:ascii="Times New Roman" w:hAnsi="Times New Roman"/>
          <w:color w:val="000000" w:themeColor="text1"/>
          <w:sz w:val="16"/>
          <w:szCs w:val="16"/>
        </w:rPr>
        <w:softHyphen/>
        <w:t>водах № 292 и № 301 также лимитировала несвоевременная подача винтов и моторов (РГВА. Ф. 29. Оп. 56. Д. 182. Л. 8.).</w:t>
      </w:r>
    </w:p>
    <w:p w14:paraId="1E90E5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этого, в условиях намечающегося перехода на новую авиацион</w:t>
      </w:r>
      <w:r w:rsidRPr="00DB5D0D">
        <w:rPr>
          <w:rFonts w:ascii="Times New Roman" w:hAnsi="Times New Roman"/>
          <w:color w:val="000000" w:themeColor="text1"/>
          <w:sz w:val="16"/>
          <w:szCs w:val="16"/>
        </w:rPr>
        <w:softHyphen/>
        <w:t>ную технику существовало еще одно обстоятельство. Неизбежно возникала дилемма - или происходило снижение плана выпуска по старой авиатех</w:t>
      </w:r>
      <w:r w:rsidRPr="00DB5D0D">
        <w:rPr>
          <w:rFonts w:ascii="Times New Roman" w:hAnsi="Times New Roman"/>
          <w:color w:val="000000" w:themeColor="text1"/>
          <w:sz w:val="16"/>
          <w:szCs w:val="16"/>
        </w:rPr>
        <w:softHyphen/>
        <w:t>нике, которая уже находилась в производстве, или же возникали затрудне</w:t>
      </w:r>
      <w:r w:rsidRPr="00DB5D0D">
        <w:rPr>
          <w:rFonts w:ascii="Times New Roman" w:hAnsi="Times New Roman"/>
          <w:color w:val="000000" w:themeColor="text1"/>
          <w:sz w:val="16"/>
          <w:szCs w:val="16"/>
        </w:rPr>
        <w:softHyphen/>
        <w:t>ния с постановкой в серийное производство новой. Параллельно решать эти совпавшие во времени диаметрально противоречивые задачи было фи</w:t>
      </w:r>
      <w:r w:rsidRPr="00DB5D0D">
        <w:rPr>
          <w:rFonts w:ascii="Times New Roman" w:hAnsi="Times New Roman"/>
          <w:color w:val="000000" w:themeColor="text1"/>
          <w:sz w:val="16"/>
          <w:szCs w:val="16"/>
        </w:rPr>
        <w:softHyphen/>
        <w:t>зически невозможно.</w:t>
      </w:r>
    </w:p>
    <w:p w14:paraId="37D16B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старых самолетов почти повсеместно прекратился. Причем не</w:t>
      </w:r>
      <w:r w:rsidRPr="00DB5D0D">
        <w:rPr>
          <w:rFonts w:ascii="Times New Roman" w:hAnsi="Times New Roman"/>
          <w:color w:val="000000" w:themeColor="text1"/>
          <w:sz w:val="16"/>
          <w:szCs w:val="16"/>
        </w:rPr>
        <w:softHyphen/>
        <w:t>редко это делали не постепенно, а сразу. В этом смысле очень решительно вел себя Сталин. Иногда нам хотелось немножко что-то оттянуть, выпустить еще какое-то количество машин старого типа. - Прекратить! Немедленно прекратить производство таких-то самолетов! - приказывал Сталин. И пре</w:t>
      </w:r>
      <w:r w:rsidRPr="00DB5D0D">
        <w:rPr>
          <w:rFonts w:ascii="Times New Roman" w:hAnsi="Times New Roman"/>
          <w:color w:val="000000" w:themeColor="text1"/>
          <w:sz w:val="16"/>
          <w:szCs w:val="16"/>
        </w:rPr>
        <w:softHyphen/>
        <w:t>кращали. А заделы передавали на какой-нибудь другой завод, или же вообще выбрасывали» (Шахурин А.И. Крылья Победы. М, 1985. С. 92). Это свидетельство А.И. Шахурина подтверждало, что в усло</w:t>
      </w:r>
      <w:r w:rsidRPr="00DB5D0D">
        <w:rPr>
          <w:rFonts w:ascii="Times New Roman" w:hAnsi="Times New Roman"/>
          <w:color w:val="000000" w:themeColor="text1"/>
          <w:sz w:val="16"/>
          <w:szCs w:val="16"/>
        </w:rPr>
        <w:softHyphen/>
        <w:t>виях происходившей на рубеже 1940 - 1941 годов перестройки авиапроиз</w:t>
      </w:r>
      <w:r w:rsidRPr="00DB5D0D">
        <w:rPr>
          <w:rFonts w:ascii="Times New Roman" w:hAnsi="Times New Roman"/>
          <w:color w:val="000000" w:themeColor="text1"/>
          <w:sz w:val="16"/>
          <w:szCs w:val="16"/>
        </w:rPr>
        <w:softHyphen/>
        <w:t>водства выпуск старых машин тормозил строительство новых из-за того, что старую технику старались выпускать до последнего возможного момента, вплоть до личного вмешательства высшего руководства страны.</w:t>
      </w:r>
    </w:p>
    <w:p w14:paraId="780A3C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строительства новых предприятий, НКАП расширялся и за счет поглощения предприятий других ведомств. За 1940 год только само</w:t>
      </w:r>
      <w:r w:rsidRPr="00DB5D0D">
        <w:rPr>
          <w:rFonts w:ascii="Times New Roman" w:hAnsi="Times New Roman"/>
          <w:color w:val="000000" w:themeColor="text1"/>
          <w:sz w:val="16"/>
          <w:szCs w:val="16"/>
        </w:rPr>
        <w:softHyphen/>
        <w:t>летостроительный и моторный главки приняли соответственно 11 и 7 производственных единиц из других ведомств (Самолетостроение в СССР. 1917 - 1945. Кн. II. М., 1994. С 200.), а всего во второй половине 1940 года подобной процедуре подверглось 60 заводов (Советский тыл в Великой Отечественной войне. М., 1974. С. 73). Форсированное увеличение числа авиапредприятий в последние предвоенные годы имело и еще одно важное следствие. Попытка авральными мерами ввести в строй сразу ряд новых заводов, строительство и оснащение которых не были пре</w:t>
      </w:r>
      <w:r w:rsidRPr="00DB5D0D">
        <w:rPr>
          <w:rFonts w:ascii="Times New Roman" w:hAnsi="Times New Roman"/>
          <w:color w:val="000000" w:themeColor="text1"/>
          <w:sz w:val="16"/>
          <w:szCs w:val="16"/>
        </w:rPr>
        <w:softHyphen/>
        <w:t>дусмотрены в планах пятилетки, в условиях плановой экономики привела к срыву сроков строительства и предприятий, оснащавшихся согласно го</w:t>
      </w:r>
      <w:r w:rsidRPr="00DB5D0D">
        <w:rPr>
          <w:rFonts w:ascii="Times New Roman" w:hAnsi="Times New Roman"/>
          <w:color w:val="000000" w:themeColor="text1"/>
          <w:sz w:val="16"/>
          <w:szCs w:val="16"/>
        </w:rPr>
        <w:softHyphen/>
        <w:t>довой программе. Эта картина еще более усугублялась решениями о строи</w:t>
      </w:r>
      <w:r w:rsidRPr="00DB5D0D">
        <w:rPr>
          <w:rFonts w:ascii="Times New Roman" w:hAnsi="Times New Roman"/>
          <w:color w:val="000000" w:themeColor="text1"/>
          <w:sz w:val="16"/>
          <w:szCs w:val="16"/>
        </w:rPr>
        <w:softHyphen/>
        <w:t>тельстве в западных районах СССР. Даже в случае успешной эвакуации всего оборудования в случае начала военных действий (что удавалось не всегда) необходимо учесть отвлечение огромных средств хотя бы на капитальное строительство этих объектов. Объекты же в глубине страны также не всег</w:t>
      </w:r>
      <w:r w:rsidRPr="00DB5D0D">
        <w:rPr>
          <w:rFonts w:ascii="Times New Roman" w:hAnsi="Times New Roman"/>
          <w:color w:val="000000" w:themeColor="text1"/>
          <w:sz w:val="16"/>
          <w:szCs w:val="16"/>
        </w:rPr>
        <w:softHyphen/>
        <w:t xml:space="preserve">да возможно было ввести в строй за столь короткие сроки. А.И. Шахурин </w:t>
      </w:r>
      <w:r w:rsidRPr="00DB5D0D">
        <w:rPr>
          <w:rFonts w:ascii="Times New Roman" w:hAnsi="Times New Roman"/>
          <w:color w:val="000000" w:themeColor="text1"/>
          <w:sz w:val="16"/>
          <w:szCs w:val="16"/>
        </w:rPr>
        <w:lastRenderedPageBreak/>
        <w:t>указывал на эти обстоятельства: «Не все мы успели. Не все заводы строили вдалеке от западных границ: были объекты и в Белоруссии, и на Украине, и в Прибалтике, других местах, в первые недели и месяцы войны оккупи</w:t>
      </w:r>
      <w:r w:rsidRPr="00DB5D0D">
        <w:rPr>
          <w:rFonts w:ascii="Times New Roman" w:hAnsi="Times New Roman"/>
          <w:color w:val="000000" w:themeColor="text1"/>
          <w:sz w:val="16"/>
          <w:szCs w:val="16"/>
        </w:rPr>
        <w:softHyphen/>
        <w:t>рованных врагом. Не все нам удалось потом перебросить на восток. Что-то осталось врагу» (Шахурин А.И. Указ. соч. С. 86.).</w:t>
      </w:r>
    </w:p>
    <w:p w14:paraId="3BC1A9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Последствия оценок И.Ф. Петрова касались не только авиапрома, ведь форсированное развитие авиапроизводства имело прямое отношение к обеспечению запросов ВВС, а следовательно, к их боеспособности. Соглас</w:t>
      </w:r>
      <w:r w:rsidRPr="00DB5D0D">
        <w:rPr>
          <w:rFonts w:ascii="Times New Roman" w:hAnsi="Times New Roman"/>
          <w:color w:val="000000" w:themeColor="text1"/>
          <w:sz w:val="16"/>
          <w:szCs w:val="16"/>
        </w:rPr>
        <w:softHyphen/>
        <w:t>но данным Н.В. Якубовича, за девять месяцев 1940 года боевой состав совет</w:t>
      </w:r>
      <w:r w:rsidRPr="00DB5D0D">
        <w:rPr>
          <w:rFonts w:ascii="Times New Roman" w:hAnsi="Times New Roman"/>
          <w:color w:val="000000" w:themeColor="text1"/>
          <w:sz w:val="16"/>
          <w:szCs w:val="16"/>
        </w:rPr>
        <w:softHyphen/>
        <w:t>ских ВВС вырос на 8245 машин и составил 19363 самолета (Якубович Н.В. Указ. соч. С. 297.). Это говорит о том, что в среднем за первые три квартала текущего 1940 года численность ВВС уже увеличивалась ежеквартально более чем на 14% по сравнению с уровнем начала года, а в ближайшее время должна была расти еще больше.</w:t>
      </w:r>
    </w:p>
    <w:p w14:paraId="0F8F15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Резко возросшие запросы ВВС на разные периоды 1940 года отражают следующие архивные данные. По плану, в первом полугодии всего для Нар</w:t>
      </w:r>
      <w:r w:rsidRPr="00DB5D0D">
        <w:rPr>
          <w:rFonts w:ascii="Times New Roman" w:hAnsi="Times New Roman"/>
          <w:color w:val="000000" w:themeColor="text1"/>
          <w:sz w:val="16"/>
          <w:szCs w:val="16"/>
        </w:rPr>
        <w:softHyphen/>
        <w:t>комата обороны должно было поступить от промышленности 5405 боевых самолетов (РГВА. Ф. 29. Оп. 46. Д. 340. Л. 69.). В течение первого квартала 1940 года авиапромышленнос</w:t>
      </w:r>
      <w:r w:rsidRPr="00DB5D0D">
        <w:rPr>
          <w:rFonts w:ascii="Times New Roman" w:hAnsi="Times New Roman"/>
          <w:color w:val="000000" w:themeColor="text1"/>
          <w:sz w:val="16"/>
          <w:szCs w:val="16"/>
        </w:rPr>
        <w:softHyphen/>
        <w:t>тью было выпущено 1578 боевых самолетов всех типов и ожидался выпуск 2664 машин во втором квартале (РГАЭ. Ф. 8044. Оп. 1. Д. 393. Л. 17.). Потребности в самолетах ВВС КА по мирному времени на второе полугодие 1940 года составляли уже 10188 ма</w:t>
      </w:r>
      <w:r w:rsidRPr="00DB5D0D">
        <w:rPr>
          <w:rFonts w:ascii="Times New Roman" w:hAnsi="Times New Roman"/>
          <w:color w:val="000000" w:themeColor="text1"/>
          <w:sz w:val="16"/>
          <w:szCs w:val="16"/>
        </w:rPr>
        <w:softHyphen/>
        <w:t>шин, в том числе: боевых - 7524, учебных, тренировочных и связи - 2439, транспортных - 225 (РГВА. Ф. 29. Оп. 46. Д. 340. Л. 166.). То есть для обеспечения потребностей только в бо</w:t>
      </w:r>
      <w:r w:rsidRPr="00DB5D0D">
        <w:rPr>
          <w:rFonts w:ascii="Times New Roman" w:hAnsi="Times New Roman"/>
          <w:color w:val="000000" w:themeColor="text1"/>
          <w:sz w:val="16"/>
          <w:szCs w:val="16"/>
        </w:rPr>
        <w:softHyphen/>
        <w:t>евых машинах для ВВС объем производства за полгода должен был вырасти на 139%. Естественно, что такие стремительные темпы роста численности нашей авиации не могли не привести к падению ее боеспособности вслед</w:t>
      </w:r>
      <w:r w:rsidRPr="00DB5D0D">
        <w:rPr>
          <w:rFonts w:ascii="Times New Roman" w:hAnsi="Times New Roman"/>
          <w:color w:val="000000" w:themeColor="text1"/>
          <w:sz w:val="16"/>
          <w:szCs w:val="16"/>
        </w:rPr>
        <w:softHyphen/>
        <w:t>ствие «размывания» существующих соединений новым пополнением. Кро</w:t>
      </w:r>
      <w:r w:rsidRPr="00DB5D0D">
        <w:rPr>
          <w:rFonts w:ascii="Times New Roman" w:hAnsi="Times New Roman"/>
          <w:color w:val="000000" w:themeColor="text1"/>
          <w:sz w:val="16"/>
          <w:szCs w:val="16"/>
        </w:rPr>
        <w:softHyphen/>
        <w:t>ме того, рост численности ВВС незадолго до начала массового перехода их на новую технику, привел к их насыщению большим количеством заведомо устаревших самолетов (11710,271).</w:t>
      </w:r>
    </w:p>
    <w:p w14:paraId="7F3B45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FEADE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 за N ОС/01188 был подготовлен Отчет по полигонным испытаниям грузового моста под самолет ТБ-3 конструкции бриг. "Д" завода N 289</w:t>
      </w:r>
    </w:p>
    <w:p w14:paraId="1072F4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Исполнители:</w:t>
      </w:r>
    </w:p>
    <w:p w14:paraId="250AA2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 3 ранга Грызлов</w:t>
      </w:r>
    </w:p>
    <w:p w14:paraId="240E65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Летчик-испытатель капитан Соколов</w:t>
      </w:r>
    </w:p>
    <w:p w14:paraId="575FF1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6B8BA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Проверить соответствие грузового моста под самолет ТБ-3 тактико-техническим требованиям НИИ ГУАС 1939 г.</w:t>
      </w:r>
    </w:p>
    <w:p w14:paraId="47DFCA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Утвердить возможность применения моста к самолету ТБ-3 для транспортировки парашютных грузов.</w:t>
      </w:r>
    </w:p>
    <w:p w14:paraId="6F6C8B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Мост разработан под подвеску грузов в следующих основных вариантах:</w:t>
      </w:r>
    </w:p>
    <w:p w14:paraId="32223D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ПДББ-400 - 8 шт. общ. вес - 4000 кг</w:t>
      </w:r>
    </w:p>
    <w:p w14:paraId="669530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ПДББ-250 - 14 шт. общ. вес - 4200 кг</w:t>
      </w:r>
    </w:p>
    <w:p w14:paraId="0468B2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ПДББ-100 - или ПДММ - 24 шт. общ. вес 3000 кг</w:t>
      </w:r>
    </w:p>
    <w:p w14:paraId="3FA270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Мотоциклы АМ-600 с вооруж. 12 шт. 3700 кг.</w:t>
      </w:r>
    </w:p>
    <w:p w14:paraId="55CF0C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процессе летных испытаний было произведено 12 полетов.</w:t>
      </w:r>
    </w:p>
    <w:p w14:paraId="031B4B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493D40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Мост под самолет ТБ-3 конструкции бриг. "Д" завода N 289 НКАП тактико-техническим требованиям НИИ ГУАС от 1939 г. соответствует, обеспечивая полную загрузку данного самолета указанными в требованиях десантными грузами (3165).</w:t>
      </w:r>
    </w:p>
    <w:p w14:paraId="4DEBFA0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0E3AB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 за N ОС/01190 вышел Отчет о полигонных испытаниях коробов КБС-100 для беспарашютного сбрасывания с самолетов на бреющем полете продовольствия, боеприпасов и предметов вещснабжения конструкции КБ-29 НКАП</w:t>
      </w:r>
    </w:p>
    <w:p w14:paraId="692B70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Исполнители:</w:t>
      </w:r>
    </w:p>
    <w:p w14:paraId="4275DF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В/техник 1 ранга Щелкалин</w:t>
      </w:r>
    </w:p>
    <w:p w14:paraId="3F0101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лейтенант Сушков</w:t>
      </w:r>
    </w:p>
    <w:p w14:paraId="24A607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07C40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Установить соответствие предъявленных образцов КБС-100 тактико-техническим требованиям на них.</w:t>
      </w:r>
    </w:p>
    <w:p w14:paraId="09C73D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возможность применения КБС-100 на снабжение ВВС.</w:t>
      </w:r>
    </w:p>
    <w:p w14:paraId="3B8A2E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КБС-100 состоит из деревянного разъемного по диаметру фанерного цилиндра и досчатыми днищами.</w:t>
      </w:r>
    </w:p>
    <w:p w14:paraId="3F31ED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Внутри имеются две поперечные перегородки для равномерного распределения нагрузки при ударе о землю.</w:t>
      </w:r>
    </w:p>
    <w:p w14:paraId="798252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Упаковка с применением древесных стружек, соломы и ветоши.</w:t>
      </w:r>
    </w:p>
    <w:p w14:paraId="17AB8B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поглощения удара при приземлении короб-цилиндр помещается в плетеную удобообтекаемую ивовую корзину, обклеенную снаружи перкалем. Корзина в передней своей части имеет амортизатор, заполненный древесной стружкой.</w:t>
      </w:r>
    </w:p>
    <w:p w14:paraId="2B1550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придания устойчивости после отделения от самолета корзина имеет фанерный стабилизатор.</w:t>
      </w:r>
    </w:p>
    <w:p w14:paraId="6BC5D0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произведено 15 сбрасывании КБС-100 с высоты от 15 до 30 метров с самолетов Р-5 и ТБ-3 на скорости 185-200 км/час из них 9 сбрасывании с продуктами и 6 сбрасывании с винтовочными патронами.</w:t>
      </w:r>
    </w:p>
    <w:p w14:paraId="1EEADF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33982E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КБС-100 конструкции КБ-29 НКАП тактико-техническим требованиям в основном соответствует (3166).</w:t>
      </w:r>
    </w:p>
    <w:p w14:paraId="702BE1F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E87DB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вышел приказ НКАП N 375сс. "В связи с принятием по постановлению Правительства от 18 июля 1940 на вооружение бомбардировочной авиации синхронного оптического прицела с маятниковой вертикалью для бомбометания с горизонтального полета приказываю (1269):</w:t>
      </w:r>
    </w:p>
    <w:p w14:paraId="1CF6EE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Нач. 5 ГУ Балакиреву и директору НИИ-22 Захарову разработать и представить на гос. испытания опытные образцы следующих приборов:</w:t>
      </w:r>
    </w:p>
    <w:p w14:paraId="4834FA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прицел для бомбометания с гор. полета на синхронном принципе;</w:t>
      </w:r>
    </w:p>
    <w:p w14:paraId="337734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прицел-автомат для бомбометания с пикирования;</w:t>
      </w:r>
    </w:p>
    <w:p w14:paraId="7F3498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прибор для обучения ночному бомбометанию в классных условиях;</w:t>
      </w:r>
    </w:p>
    <w:p w14:paraId="1FC824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прибор для бомбометания по невидимым целям</w:t>
      </w:r>
    </w:p>
    <w:p w14:paraId="5C2579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Оптическому прицелу с маятниковой вертикалью для бомбометания присвоить шифр ПС-1 (1269).</w:t>
      </w:r>
    </w:p>
    <w:p w14:paraId="24ABB5A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A6474FF" w14:textId="77777777" w:rsidR="003C7E8B" w:rsidRPr="00DB5D0D" w:rsidRDefault="003C7E8B" w:rsidP="00DB5D0D">
      <w:pPr>
        <w:pStyle w:val="24"/>
        <w:widowControl/>
        <w:rPr>
          <w:color w:val="000000" w:themeColor="text1"/>
        </w:rPr>
      </w:pPr>
      <w:r w:rsidRPr="00DB5D0D">
        <w:rPr>
          <w:color w:val="000000" w:themeColor="text1"/>
        </w:rPr>
        <w:t>24 июля 1940 года начальник НИП АВ ГУАС полковник Шевченко и военком НИП АВ ГУАС в/инженер 2 ранга Щербинин утвердили:</w:t>
      </w:r>
    </w:p>
    <w:p w14:paraId="2AE956B8" w14:textId="77777777" w:rsidR="003C7E8B" w:rsidRPr="00DB5D0D" w:rsidRDefault="003C7E8B" w:rsidP="00DB5D0D">
      <w:pPr>
        <w:pStyle w:val="24"/>
        <w:widowControl/>
        <w:rPr>
          <w:color w:val="000000" w:themeColor="text1"/>
        </w:rPr>
      </w:pPr>
      <w:r w:rsidRPr="00DB5D0D">
        <w:rPr>
          <w:color w:val="000000" w:themeColor="text1"/>
        </w:rPr>
        <w:t>Отчет по заводским испытаниям упрощенных выливных авиационных приборов ВАП-6 му (в двух вариантах) конструкции завода "ВУЛКАН" на самолете И-15 бис</w:t>
      </w:r>
    </w:p>
    <w:p w14:paraId="54B0A2E4" w14:textId="77777777" w:rsidR="003C7E8B" w:rsidRPr="00DB5D0D" w:rsidRDefault="003C7E8B" w:rsidP="00DB5D0D">
      <w:pPr>
        <w:pStyle w:val="24"/>
        <w:widowControl/>
        <w:rPr>
          <w:color w:val="000000" w:themeColor="text1"/>
        </w:rPr>
      </w:pPr>
      <w:r w:rsidRPr="00DB5D0D">
        <w:rPr>
          <w:color w:val="000000" w:themeColor="text1"/>
        </w:rPr>
        <w:t>Испытания начаты 25 июня 1940 года</w:t>
      </w:r>
    </w:p>
    <w:p w14:paraId="1765DAB3" w14:textId="77777777" w:rsidR="003C7E8B" w:rsidRPr="00DB5D0D" w:rsidRDefault="003C7E8B" w:rsidP="00DB5D0D">
      <w:pPr>
        <w:pStyle w:val="24"/>
        <w:widowControl/>
        <w:rPr>
          <w:color w:val="000000" w:themeColor="text1"/>
        </w:rPr>
      </w:pPr>
      <w:r w:rsidRPr="00DB5D0D">
        <w:rPr>
          <w:color w:val="000000" w:themeColor="text1"/>
        </w:rPr>
        <w:t>Испытания окончены 29 июня 1940 года</w:t>
      </w:r>
    </w:p>
    <w:p w14:paraId="3983BEA6" w14:textId="77777777" w:rsidR="003C7E8B" w:rsidRPr="00DB5D0D" w:rsidRDefault="003C7E8B" w:rsidP="00DB5D0D">
      <w:pPr>
        <w:pStyle w:val="24"/>
        <w:widowControl/>
        <w:rPr>
          <w:color w:val="000000" w:themeColor="text1"/>
        </w:rPr>
      </w:pPr>
      <w:r w:rsidRPr="00DB5D0D">
        <w:rPr>
          <w:color w:val="000000" w:themeColor="text1"/>
        </w:rPr>
        <w:t>Отв. исполнитель:</w:t>
      </w:r>
    </w:p>
    <w:p w14:paraId="0E35B3EF" w14:textId="77777777" w:rsidR="003C7E8B" w:rsidRPr="00DB5D0D" w:rsidRDefault="003C7E8B" w:rsidP="00DB5D0D">
      <w:pPr>
        <w:pStyle w:val="24"/>
        <w:widowControl/>
        <w:rPr>
          <w:color w:val="000000" w:themeColor="text1"/>
        </w:rPr>
      </w:pPr>
      <w:r w:rsidRPr="00DB5D0D">
        <w:rPr>
          <w:color w:val="000000" w:themeColor="text1"/>
        </w:rPr>
        <w:t>В/инженер 3 ранга Лукашев</w:t>
      </w:r>
    </w:p>
    <w:p w14:paraId="3D449232" w14:textId="77777777" w:rsidR="003C7E8B" w:rsidRPr="00DB5D0D" w:rsidRDefault="003C7E8B" w:rsidP="00DB5D0D">
      <w:pPr>
        <w:pStyle w:val="24"/>
        <w:widowControl/>
        <w:rPr>
          <w:color w:val="000000" w:themeColor="text1"/>
        </w:rPr>
      </w:pPr>
      <w:r w:rsidRPr="00DB5D0D">
        <w:rPr>
          <w:color w:val="000000" w:themeColor="text1"/>
        </w:rPr>
        <w:t>Цель испытания</w:t>
      </w:r>
    </w:p>
    <w:p w14:paraId="0AA94EC0" w14:textId="77777777" w:rsidR="003C7E8B" w:rsidRPr="00DB5D0D" w:rsidRDefault="003C7E8B" w:rsidP="00DB5D0D">
      <w:pPr>
        <w:pStyle w:val="24"/>
        <w:widowControl/>
        <w:rPr>
          <w:color w:val="000000" w:themeColor="text1"/>
        </w:rPr>
      </w:pPr>
      <w:r w:rsidRPr="00DB5D0D">
        <w:rPr>
          <w:color w:val="000000" w:themeColor="text1"/>
        </w:rPr>
        <w:t>В процессе заводских испытаний необходимо было выявить следующие элементы:</w:t>
      </w:r>
    </w:p>
    <w:p w14:paraId="1C3ED346" w14:textId="77777777" w:rsidR="003C7E8B" w:rsidRPr="00DB5D0D" w:rsidRDefault="003C7E8B" w:rsidP="00DB5D0D">
      <w:pPr>
        <w:pStyle w:val="24"/>
        <w:widowControl/>
        <w:tabs>
          <w:tab w:val="left" w:pos="360"/>
        </w:tabs>
        <w:rPr>
          <w:color w:val="000000" w:themeColor="text1"/>
        </w:rPr>
      </w:pPr>
      <w:r w:rsidRPr="00DB5D0D">
        <w:rPr>
          <w:color w:val="000000" w:themeColor="text1"/>
        </w:rPr>
        <w:t>Прочность и надежность конструкции.</w:t>
      </w:r>
    </w:p>
    <w:p w14:paraId="313BEEC3" w14:textId="77777777" w:rsidR="003C7E8B" w:rsidRPr="00DB5D0D" w:rsidRDefault="003C7E8B" w:rsidP="00DB5D0D">
      <w:pPr>
        <w:pStyle w:val="24"/>
        <w:widowControl/>
        <w:tabs>
          <w:tab w:val="left" w:pos="360"/>
        </w:tabs>
        <w:rPr>
          <w:color w:val="000000" w:themeColor="text1"/>
        </w:rPr>
      </w:pPr>
      <w:r w:rsidRPr="00DB5D0D">
        <w:rPr>
          <w:color w:val="000000" w:themeColor="text1"/>
        </w:rPr>
        <w:t>Возможность забрызгивания самолета.</w:t>
      </w:r>
    </w:p>
    <w:p w14:paraId="63436982" w14:textId="77777777" w:rsidR="003C7E8B" w:rsidRPr="00DB5D0D" w:rsidRDefault="003C7E8B" w:rsidP="00DB5D0D">
      <w:pPr>
        <w:pStyle w:val="24"/>
        <w:widowControl/>
        <w:tabs>
          <w:tab w:val="left" w:pos="360"/>
        </w:tabs>
        <w:rPr>
          <w:color w:val="000000" w:themeColor="text1"/>
        </w:rPr>
      </w:pPr>
      <w:r w:rsidRPr="00DB5D0D">
        <w:rPr>
          <w:color w:val="000000" w:themeColor="text1"/>
        </w:rPr>
        <w:t>Характер дробления жидкости на площади при выливании.</w:t>
      </w:r>
    </w:p>
    <w:p w14:paraId="2C3382AF" w14:textId="77777777" w:rsidR="003C7E8B" w:rsidRPr="00DB5D0D" w:rsidRDefault="003C7E8B" w:rsidP="00DB5D0D">
      <w:pPr>
        <w:pStyle w:val="24"/>
        <w:widowControl/>
        <w:tabs>
          <w:tab w:val="left" w:pos="360"/>
        </w:tabs>
        <w:rPr>
          <w:color w:val="000000" w:themeColor="text1"/>
        </w:rPr>
      </w:pPr>
      <w:r w:rsidRPr="00DB5D0D">
        <w:rPr>
          <w:color w:val="000000" w:themeColor="text1"/>
        </w:rPr>
        <w:t>Безотказность работы механизмов приборов.</w:t>
      </w:r>
    </w:p>
    <w:p w14:paraId="4F2940F9" w14:textId="77777777" w:rsidR="003C7E8B" w:rsidRPr="00DB5D0D" w:rsidRDefault="003C7E8B" w:rsidP="00DB5D0D">
      <w:pPr>
        <w:pStyle w:val="24"/>
        <w:widowControl/>
        <w:rPr>
          <w:color w:val="000000" w:themeColor="text1"/>
        </w:rPr>
      </w:pPr>
      <w:r w:rsidRPr="00DB5D0D">
        <w:rPr>
          <w:color w:val="000000" w:themeColor="text1"/>
        </w:rPr>
        <w:t>Заключение</w:t>
      </w:r>
    </w:p>
    <w:p w14:paraId="7CAE82A5" w14:textId="77777777" w:rsidR="003C7E8B" w:rsidRPr="00DB5D0D" w:rsidRDefault="003C7E8B" w:rsidP="00DB5D0D">
      <w:pPr>
        <w:pStyle w:val="24"/>
        <w:widowControl/>
        <w:tabs>
          <w:tab w:val="left" w:pos="360"/>
        </w:tabs>
        <w:rPr>
          <w:color w:val="000000" w:themeColor="text1"/>
        </w:rPr>
      </w:pPr>
      <w:r w:rsidRPr="00DB5D0D">
        <w:rPr>
          <w:color w:val="000000" w:themeColor="text1"/>
        </w:rPr>
        <w:t>Предъявленные на заводские испытания заводом "ВУЛКАН" выливные авиаприборы ВАП-6 упрощенной конструкции в двух вариантах заводские испытания не выдержали (7651).</w:t>
      </w:r>
    </w:p>
    <w:p w14:paraId="4DD6ED40" w14:textId="77777777" w:rsidR="003C7E8B" w:rsidRPr="00DB5D0D" w:rsidRDefault="003C7E8B" w:rsidP="00DB5D0D">
      <w:pPr>
        <w:pStyle w:val="24"/>
        <w:widowControl/>
        <w:tabs>
          <w:tab w:val="left" w:pos="360"/>
        </w:tabs>
        <w:rPr>
          <w:color w:val="000000" w:themeColor="text1"/>
        </w:rPr>
      </w:pPr>
    </w:p>
    <w:p w14:paraId="49588D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24 июля по 24 августа 1940 года на НИП АВ ВВС проходили контрольные испытания ВАП-500 у головной партии на самолетах СБ и ДБ-3</w:t>
      </w:r>
    </w:p>
    <w:p w14:paraId="652960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7F757F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59AB6E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20ADF33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влияние установки фиусатора крышки прибора, при этом поределить:</w:t>
      </w:r>
    </w:p>
    <w:p w14:paraId="4C5924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устойчивость крышки выливного люка в полете после открытия прибора;</w:t>
      </w:r>
    </w:p>
    <w:p w14:paraId="12DC3A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возможность забрызгивания самолета СБ при опорожнении приборов;</w:t>
      </w:r>
    </w:p>
    <w:p w14:paraId="25C39F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износ тросовой проводки на роликах суфлера и крышки выливного люка.</w:t>
      </w:r>
    </w:p>
    <w:p w14:paraId="5CBFECC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Установить влияние кожуха замка прибора ВАП-500у на характер истечения жидкости из прибора при выливании в воздухе.</w:t>
      </w:r>
    </w:p>
    <w:p w14:paraId="49EC5C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BB5AB8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на контрольные испытания приборы ВАП-500у головной серии заводом № 145 констрольные испытания выдержали (7603).</w:t>
      </w:r>
    </w:p>
    <w:p w14:paraId="5381C25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340A5AB4" w14:textId="77777777" w:rsidR="003C7E8B" w:rsidRPr="00DB5D0D" w:rsidRDefault="003C7E8B" w:rsidP="00DB5D0D">
      <w:pPr>
        <w:pStyle w:val="24"/>
        <w:widowControl/>
        <w:rPr>
          <w:color w:val="000000" w:themeColor="text1"/>
        </w:rPr>
      </w:pPr>
      <w:r w:rsidRPr="00DB5D0D">
        <w:rPr>
          <w:color w:val="000000" w:themeColor="text1"/>
        </w:rPr>
        <w:t>С 24 июля по 30 августа 1940 года на НИП АВ проходили заводские испытания ампул из двух полусфер трех вариантов и модернизированных ампул серийного образца конструкции завода № 67</w:t>
      </w:r>
    </w:p>
    <w:p w14:paraId="0C467AF8" w14:textId="77777777" w:rsidR="003C7E8B" w:rsidRPr="00DB5D0D" w:rsidRDefault="003C7E8B" w:rsidP="00DB5D0D">
      <w:pPr>
        <w:pStyle w:val="24"/>
        <w:widowControl/>
        <w:rPr>
          <w:color w:val="000000" w:themeColor="text1"/>
        </w:rPr>
      </w:pPr>
      <w:r w:rsidRPr="00DB5D0D">
        <w:rPr>
          <w:color w:val="000000" w:themeColor="text1"/>
        </w:rPr>
        <w:t>Отв. исполнитель:</w:t>
      </w:r>
    </w:p>
    <w:p w14:paraId="06E82BD4" w14:textId="77777777" w:rsidR="003C7E8B" w:rsidRPr="00DB5D0D" w:rsidRDefault="003C7E8B" w:rsidP="00DB5D0D">
      <w:pPr>
        <w:pStyle w:val="24"/>
        <w:widowControl/>
        <w:rPr>
          <w:color w:val="000000" w:themeColor="text1"/>
        </w:rPr>
      </w:pPr>
      <w:r w:rsidRPr="00DB5D0D">
        <w:rPr>
          <w:color w:val="000000" w:themeColor="text1"/>
        </w:rPr>
        <w:t>В/инженер 3 ранга Лукашев</w:t>
      </w:r>
    </w:p>
    <w:p w14:paraId="13E60C2E" w14:textId="77777777" w:rsidR="003C7E8B" w:rsidRPr="00DB5D0D" w:rsidRDefault="003C7E8B" w:rsidP="00DB5D0D">
      <w:pPr>
        <w:pStyle w:val="24"/>
        <w:widowControl/>
        <w:rPr>
          <w:color w:val="000000" w:themeColor="text1"/>
        </w:rPr>
      </w:pPr>
      <w:r w:rsidRPr="00DB5D0D">
        <w:rPr>
          <w:color w:val="000000" w:themeColor="text1"/>
        </w:rPr>
        <w:t>Цель испытания</w:t>
      </w:r>
    </w:p>
    <w:p w14:paraId="7B6E01F8" w14:textId="77777777" w:rsidR="003C7E8B" w:rsidRPr="00DB5D0D" w:rsidRDefault="003C7E8B" w:rsidP="00DB5D0D">
      <w:pPr>
        <w:pStyle w:val="24"/>
        <w:widowControl/>
        <w:rPr>
          <w:color w:val="000000" w:themeColor="text1"/>
        </w:rPr>
      </w:pPr>
      <w:r w:rsidRPr="00DB5D0D">
        <w:rPr>
          <w:color w:val="000000" w:themeColor="text1"/>
        </w:rPr>
        <w:t>Целью заводских испытаний являлось определение следующих элементов:</w:t>
      </w:r>
    </w:p>
    <w:p w14:paraId="464E8F50" w14:textId="77777777" w:rsidR="003C7E8B" w:rsidRPr="00DB5D0D" w:rsidRDefault="003C7E8B" w:rsidP="00DB5D0D">
      <w:pPr>
        <w:pStyle w:val="24"/>
        <w:widowControl/>
        <w:tabs>
          <w:tab w:val="left" w:pos="360"/>
        </w:tabs>
        <w:rPr>
          <w:color w:val="000000" w:themeColor="text1"/>
        </w:rPr>
      </w:pPr>
      <w:r w:rsidRPr="00DB5D0D">
        <w:rPr>
          <w:color w:val="000000" w:themeColor="text1"/>
        </w:rPr>
        <w:t>Прочности и надежности конструкции ампул.</w:t>
      </w:r>
    </w:p>
    <w:p w14:paraId="4EDCD298" w14:textId="77777777" w:rsidR="003C7E8B" w:rsidRPr="00DB5D0D" w:rsidRDefault="003C7E8B" w:rsidP="00DB5D0D">
      <w:pPr>
        <w:pStyle w:val="24"/>
        <w:widowControl/>
        <w:tabs>
          <w:tab w:val="left" w:pos="360"/>
        </w:tabs>
        <w:rPr>
          <w:color w:val="000000" w:themeColor="text1"/>
        </w:rPr>
      </w:pPr>
      <w:r w:rsidRPr="00DB5D0D">
        <w:rPr>
          <w:color w:val="000000" w:themeColor="text1"/>
        </w:rPr>
        <w:t>Характера разрушения оболочки ампулы при встрече с преградой.</w:t>
      </w:r>
    </w:p>
    <w:p w14:paraId="0887E597" w14:textId="77777777" w:rsidR="003C7E8B" w:rsidRPr="00DB5D0D" w:rsidRDefault="003C7E8B" w:rsidP="00DB5D0D">
      <w:pPr>
        <w:pStyle w:val="24"/>
        <w:widowControl/>
        <w:tabs>
          <w:tab w:val="left" w:pos="360"/>
        </w:tabs>
        <w:rPr>
          <w:color w:val="000000" w:themeColor="text1"/>
        </w:rPr>
      </w:pPr>
      <w:r w:rsidRPr="00DB5D0D">
        <w:rPr>
          <w:color w:val="000000" w:themeColor="text1"/>
        </w:rPr>
        <w:t>Характера разбрызгивания жидкости на площади (у ампул с полным и частичным разрушением оболочки).</w:t>
      </w:r>
    </w:p>
    <w:p w14:paraId="607F998F" w14:textId="77777777" w:rsidR="003C7E8B" w:rsidRPr="00DB5D0D" w:rsidRDefault="003C7E8B" w:rsidP="00DB5D0D">
      <w:pPr>
        <w:pStyle w:val="24"/>
        <w:widowControl/>
        <w:tabs>
          <w:tab w:val="left" w:pos="360"/>
        </w:tabs>
        <w:rPr>
          <w:color w:val="000000" w:themeColor="text1"/>
        </w:rPr>
      </w:pPr>
    </w:p>
    <w:p w14:paraId="1A32FCA3" w14:textId="77777777" w:rsidR="003C7E8B" w:rsidRPr="00DB5D0D" w:rsidRDefault="003C7E8B" w:rsidP="00DB5D0D">
      <w:pPr>
        <w:pStyle w:val="24"/>
        <w:widowControl/>
        <w:tabs>
          <w:tab w:val="left" w:pos="360"/>
        </w:tabs>
        <w:rPr>
          <w:color w:val="000000" w:themeColor="text1"/>
        </w:rPr>
      </w:pPr>
      <w:r w:rsidRPr="00DB5D0D">
        <w:rPr>
          <w:color w:val="000000" w:themeColor="text1"/>
        </w:rPr>
        <w:t>Возможности замены белой жести, идущей на изготовление оболочки ампул, на черную жесть.</w:t>
      </w:r>
    </w:p>
    <w:p w14:paraId="3112AC18" w14:textId="77777777" w:rsidR="003C7E8B" w:rsidRPr="00DB5D0D" w:rsidRDefault="003C7E8B" w:rsidP="00DB5D0D">
      <w:pPr>
        <w:pStyle w:val="24"/>
        <w:widowControl/>
        <w:rPr>
          <w:color w:val="000000" w:themeColor="text1"/>
        </w:rPr>
      </w:pPr>
      <w:r w:rsidRPr="00DB5D0D">
        <w:rPr>
          <w:color w:val="000000" w:themeColor="text1"/>
        </w:rPr>
        <w:t>Заключение</w:t>
      </w:r>
    </w:p>
    <w:p w14:paraId="3460D502" w14:textId="77777777" w:rsidR="003C7E8B" w:rsidRPr="00DB5D0D" w:rsidRDefault="003C7E8B" w:rsidP="00DB5D0D">
      <w:pPr>
        <w:pStyle w:val="24"/>
        <w:widowControl/>
        <w:tabs>
          <w:tab w:val="left" w:pos="360"/>
        </w:tabs>
        <w:rPr>
          <w:color w:val="000000" w:themeColor="text1"/>
        </w:rPr>
      </w:pPr>
      <w:r w:rsidRPr="00DB5D0D">
        <w:rPr>
          <w:color w:val="000000" w:themeColor="text1"/>
        </w:rPr>
        <w:t>Предъявленные на заводские испытания ампулы конструкции завода № 67 заводские испытания выдержали в следующих вариантах:</w:t>
      </w:r>
    </w:p>
    <w:p w14:paraId="01D881BA" w14:textId="77777777" w:rsidR="003C7E8B" w:rsidRPr="00DB5D0D" w:rsidRDefault="003C7E8B" w:rsidP="00DB5D0D">
      <w:pPr>
        <w:pStyle w:val="24"/>
        <w:widowControl/>
        <w:rPr>
          <w:color w:val="000000" w:themeColor="text1"/>
        </w:rPr>
      </w:pPr>
      <w:r w:rsidRPr="00DB5D0D">
        <w:rPr>
          <w:color w:val="000000" w:themeColor="text1"/>
        </w:rPr>
        <w:t>а) ампулы из двух полусфер с пайкой "половником" и малооловянистым сплавом;</w:t>
      </w:r>
    </w:p>
    <w:p w14:paraId="69F5616F" w14:textId="77777777" w:rsidR="003C7E8B" w:rsidRPr="00DB5D0D" w:rsidRDefault="003C7E8B" w:rsidP="00DB5D0D">
      <w:pPr>
        <w:pStyle w:val="24"/>
        <w:widowControl/>
        <w:rPr>
          <w:color w:val="000000" w:themeColor="text1"/>
        </w:rPr>
      </w:pPr>
      <w:r w:rsidRPr="00DB5D0D">
        <w:rPr>
          <w:color w:val="000000" w:themeColor="text1"/>
        </w:rPr>
        <w:t>б) ампулы с секторами с пайкой "половником" и "третником".</w:t>
      </w:r>
    </w:p>
    <w:p w14:paraId="05A7C742" w14:textId="77777777" w:rsidR="003C7E8B" w:rsidRPr="00DB5D0D" w:rsidRDefault="003C7E8B" w:rsidP="00DB5D0D">
      <w:pPr>
        <w:pStyle w:val="24"/>
        <w:widowControl/>
        <w:tabs>
          <w:tab w:val="left" w:pos="360"/>
        </w:tabs>
        <w:rPr>
          <w:color w:val="000000" w:themeColor="text1"/>
        </w:rPr>
      </w:pPr>
      <w:r w:rsidRPr="00DB5D0D">
        <w:rPr>
          <w:color w:val="000000" w:themeColor="text1"/>
        </w:rPr>
        <w:t>Ампулы из двух полусфер с пайкой "третником" и ампулы с заливочным отверстием по шву пайки заводские испытания не выдержали (7650).</w:t>
      </w:r>
    </w:p>
    <w:p w14:paraId="1093D09F" w14:textId="77777777" w:rsidR="003C7E8B" w:rsidRPr="00DB5D0D" w:rsidRDefault="003C7E8B" w:rsidP="00DB5D0D">
      <w:pPr>
        <w:pStyle w:val="24"/>
        <w:widowControl/>
        <w:tabs>
          <w:tab w:val="left" w:pos="360"/>
        </w:tabs>
        <w:rPr>
          <w:color w:val="000000" w:themeColor="text1"/>
        </w:rPr>
      </w:pPr>
    </w:p>
    <w:p w14:paraId="11B72C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вышел приказ НКАП N 376с о сокращении количества типов авиаколес, упорядочении и упрощении их подбора к новым опытным самолетам, а также установлении единого стандартного сортамента, охватывающего все классы изготовленных и вновь проектируемых самолетов. Новый сортамент вводился с 25 июля (410,14).</w:t>
      </w:r>
    </w:p>
    <w:p w14:paraId="3B368B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800х260 мм и 300х125 для Ил-2</w:t>
      </w:r>
    </w:p>
    <w:p w14:paraId="36A4B7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сокращения количества типов авиаколес, упоря</w:t>
      </w:r>
      <w:r w:rsidRPr="00DB5D0D">
        <w:rPr>
          <w:rFonts w:ascii="Times New Roman" w:hAnsi="Times New Roman"/>
          <w:color w:val="000000" w:themeColor="text1"/>
          <w:sz w:val="16"/>
          <w:szCs w:val="16"/>
        </w:rPr>
        <w:softHyphen/>
        <w:t>дочения и упрощения подбора их к новым опытным самолетам, а также установления единого стандартного сортамента авиаколес, охватывающего все классы изготовленных и вновь проектируемых самолетов, ПРИКАЗЫВАЮ:</w:t>
      </w:r>
    </w:p>
    <w:p w14:paraId="6824A19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w:t>
      </w:r>
    </w:p>
    <w:p w14:paraId="605796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Ввести с 25 июля 1940 года едишй сортамент тормозных колес для самолетов с двухколесным шасси обязательный для всех самолетостроительных заводов.</w:t>
      </w:r>
    </w:p>
    <w:p w14:paraId="1B3BC0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w:t>
      </w:r>
    </w:p>
    <w:p w14:paraId="5E60C9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условий обеспечения проходимости колеса, должного тормозящего момента и прочности обода и пневматика ^единый сортамент авиаколес устанавливается следующий:</w:t>
      </w:r>
    </w:p>
    <w:p w14:paraId="42146B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Сортамент авиаколеc.</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77"/>
        <w:gridCol w:w="2210"/>
        <w:gridCol w:w="1872"/>
        <w:gridCol w:w="1346"/>
        <w:gridCol w:w="1858"/>
        <w:gridCol w:w="1368"/>
      </w:tblGrid>
      <w:tr w:rsidR="007D5DF8" w:rsidRPr="00DB5D0D" w14:paraId="2B550700" w14:textId="77777777" w:rsidTr="00E543D0">
        <w:trPr>
          <w:trHeight w:val="20"/>
        </w:trPr>
        <w:tc>
          <w:tcPr>
            <w:tcW w:w="677" w:type="dxa"/>
            <w:tcBorders>
              <w:top w:val="single" w:sz="12" w:space="0" w:color="auto"/>
            </w:tcBorders>
          </w:tcPr>
          <w:p w14:paraId="246CAE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smallCaps/>
                <w:color w:val="000000" w:themeColor="text1"/>
                <w:sz w:val="16"/>
                <w:szCs w:val="16"/>
              </w:rPr>
              <w:t xml:space="preserve">№№ </w:t>
            </w:r>
            <w:r w:rsidRPr="00DB5D0D">
              <w:rPr>
                <w:rFonts w:ascii="Times New Roman" w:hAnsi="Times New Roman"/>
                <w:color w:val="000000" w:themeColor="text1"/>
                <w:sz w:val="16"/>
                <w:szCs w:val="16"/>
              </w:rPr>
              <w:t>п/п</w:t>
            </w:r>
          </w:p>
        </w:tc>
        <w:tc>
          <w:tcPr>
            <w:tcW w:w="2210" w:type="dxa"/>
            <w:tcBorders>
              <w:top w:val="single" w:sz="12" w:space="0" w:color="auto"/>
            </w:tcBorders>
          </w:tcPr>
          <w:p w14:paraId="786288F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самолета</w:t>
            </w:r>
          </w:p>
        </w:tc>
        <w:tc>
          <w:tcPr>
            <w:tcW w:w="3218" w:type="dxa"/>
            <w:gridSpan w:val="2"/>
            <w:tcBorders>
              <w:top w:val="single" w:sz="12" w:space="0" w:color="auto"/>
            </w:tcBorders>
          </w:tcPr>
          <w:p w14:paraId="772CD0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Колесо шасси</w:t>
            </w:r>
          </w:p>
        </w:tc>
        <w:tc>
          <w:tcPr>
            <w:tcW w:w="3226" w:type="dxa"/>
            <w:gridSpan w:val="2"/>
            <w:tcBorders>
              <w:top w:val="single" w:sz="12" w:space="0" w:color="auto"/>
            </w:tcBorders>
          </w:tcPr>
          <w:p w14:paraId="0D4BAD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Колесо костыля</w:t>
            </w:r>
          </w:p>
        </w:tc>
      </w:tr>
      <w:tr w:rsidR="007D5DF8" w:rsidRPr="00DB5D0D" w14:paraId="48767ABD" w14:textId="77777777" w:rsidTr="00E543D0">
        <w:trPr>
          <w:trHeight w:val="20"/>
        </w:trPr>
        <w:tc>
          <w:tcPr>
            <w:tcW w:w="677" w:type="dxa"/>
          </w:tcPr>
          <w:p w14:paraId="77FA4E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210" w:type="dxa"/>
          </w:tcPr>
          <w:p w14:paraId="58A5A4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872" w:type="dxa"/>
          </w:tcPr>
          <w:p w14:paraId="65989B3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Размер колеса</w:t>
            </w:r>
          </w:p>
        </w:tc>
        <w:tc>
          <w:tcPr>
            <w:tcW w:w="1346" w:type="dxa"/>
          </w:tcPr>
          <w:p w14:paraId="2A87FF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Давление в пневм.</w:t>
            </w:r>
          </w:p>
        </w:tc>
        <w:tc>
          <w:tcPr>
            <w:tcW w:w="1858" w:type="dxa"/>
          </w:tcPr>
          <w:p w14:paraId="3E5FB0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Размер колеса</w:t>
            </w:r>
          </w:p>
        </w:tc>
        <w:tc>
          <w:tcPr>
            <w:tcW w:w="1368" w:type="dxa"/>
          </w:tcPr>
          <w:p w14:paraId="7803E50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Давление в пневм.</w:t>
            </w:r>
          </w:p>
        </w:tc>
      </w:tr>
      <w:tr w:rsidR="007D5DF8" w:rsidRPr="00DB5D0D" w14:paraId="696FD6A7" w14:textId="77777777" w:rsidTr="00E543D0">
        <w:trPr>
          <w:trHeight w:val="20"/>
        </w:trPr>
        <w:tc>
          <w:tcPr>
            <w:tcW w:w="677" w:type="dxa"/>
          </w:tcPr>
          <w:p w14:paraId="044F70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w:t>
            </w:r>
          </w:p>
        </w:tc>
        <w:tc>
          <w:tcPr>
            <w:tcW w:w="2210" w:type="dxa"/>
          </w:tcPr>
          <w:p w14:paraId="76A99D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1000 - 1500</w:t>
            </w:r>
          </w:p>
        </w:tc>
        <w:tc>
          <w:tcPr>
            <w:tcW w:w="1872" w:type="dxa"/>
          </w:tcPr>
          <w:p w14:paraId="641417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х 150</w:t>
            </w:r>
          </w:p>
        </w:tc>
        <w:tc>
          <w:tcPr>
            <w:tcW w:w="1346" w:type="dxa"/>
          </w:tcPr>
          <w:p w14:paraId="71CDAF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858" w:type="dxa"/>
          </w:tcPr>
          <w:p w14:paraId="7AC9D7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 х 95</w:t>
            </w:r>
          </w:p>
        </w:tc>
        <w:tc>
          <w:tcPr>
            <w:tcW w:w="1368" w:type="dxa"/>
          </w:tcPr>
          <w:p w14:paraId="2C6CEA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 :</w:t>
            </w:r>
          </w:p>
        </w:tc>
      </w:tr>
      <w:tr w:rsidR="007D5DF8" w:rsidRPr="00DB5D0D" w14:paraId="4678A6A9" w14:textId="77777777" w:rsidTr="00E543D0">
        <w:trPr>
          <w:trHeight w:val="20"/>
        </w:trPr>
        <w:tc>
          <w:tcPr>
            <w:tcW w:w="677" w:type="dxa"/>
          </w:tcPr>
          <w:p w14:paraId="028AA8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210" w:type="dxa"/>
          </w:tcPr>
          <w:p w14:paraId="1C7F40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1500 - 2700</w:t>
            </w:r>
          </w:p>
        </w:tc>
        <w:tc>
          <w:tcPr>
            <w:tcW w:w="1872" w:type="dxa"/>
          </w:tcPr>
          <w:p w14:paraId="58EA79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 х 180</w:t>
            </w:r>
          </w:p>
        </w:tc>
        <w:tc>
          <w:tcPr>
            <w:tcW w:w="1346" w:type="dxa"/>
          </w:tcPr>
          <w:p w14:paraId="364D87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858" w:type="dxa"/>
          </w:tcPr>
          <w:p w14:paraId="574D6D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 х 95</w:t>
            </w:r>
          </w:p>
        </w:tc>
        <w:tc>
          <w:tcPr>
            <w:tcW w:w="1368" w:type="dxa"/>
          </w:tcPr>
          <w:p w14:paraId="506B7B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r>
      <w:tr w:rsidR="007D5DF8" w:rsidRPr="00DB5D0D" w14:paraId="44EE7193" w14:textId="77777777" w:rsidTr="00E543D0">
        <w:trPr>
          <w:trHeight w:val="20"/>
        </w:trPr>
        <w:tc>
          <w:tcPr>
            <w:tcW w:w="677" w:type="dxa"/>
          </w:tcPr>
          <w:p w14:paraId="1D9E76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210" w:type="dxa"/>
          </w:tcPr>
          <w:p w14:paraId="633B26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2700-3200</w:t>
            </w:r>
          </w:p>
        </w:tc>
        <w:tc>
          <w:tcPr>
            <w:tcW w:w="1872" w:type="dxa"/>
          </w:tcPr>
          <w:p w14:paraId="6F3B5F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 х 200</w:t>
            </w:r>
          </w:p>
        </w:tc>
        <w:tc>
          <w:tcPr>
            <w:tcW w:w="1346" w:type="dxa"/>
          </w:tcPr>
          <w:p w14:paraId="53D167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858" w:type="dxa"/>
          </w:tcPr>
          <w:p w14:paraId="2378BD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 х 125</w:t>
            </w:r>
          </w:p>
        </w:tc>
        <w:tc>
          <w:tcPr>
            <w:tcW w:w="1368" w:type="dxa"/>
          </w:tcPr>
          <w:p w14:paraId="6A010A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r>
      <w:tr w:rsidR="007D5DF8" w:rsidRPr="00DB5D0D" w14:paraId="1C7361F4" w14:textId="77777777" w:rsidTr="00E543D0">
        <w:trPr>
          <w:trHeight w:val="20"/>
        </w:trPr>
        <w:tc>
          <w:tcPr>
            <w:tcW w:w="677" w:type="dxa"/>
          </w:tcPr>
          <w:p w14:paraId="0A87E93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210" w:type="dxa"/>
          </w:tcPr>
          <w:p w14:paraId="1B0AFA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3200-3700</w:t>
            </w:r>
          </w:p>
        </w:tc>
        <w:tc>
          <w:tcPr>
            <w:tcW w:w="1872" w:type="dxa"/>
          </w:tcPr>
          <w:p w14:paraId="0F46AA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 х 220</w:t>
            </w:r>
          </w:p>
        </w:tc>
        <w:tc>
          <w:tcPr>
            <w:tcW w:w="1346" w:type="dxa"/>
          </w:tcPr>
          <w:p w14:paraId="2516553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858" w:type="dxa"/>
          </w:tcPr>
          <w:p w14:paraId="64D063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 х 125</w:t>
            </w:r>
          </w:p>
        </w:tc>
        <w:tc>
          <w:tcPr>
            <w:tcW w:w="1368" w:type="dxa"/>
          </w:tcPr>
          <w:p w14:paraId="298989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r>
      <w:tr w:rsidR="007D5DF8" w:rsidRPr="00DB5D0D" w14:paraId="0E6AB4AE" w14:textId="77777777" w:rsidTr="00E543D0">
        <w:trPr>
          <w:trHeight w:val="20"/>
        </w:trPr>
        <w:tc>
          <w:tcPr>
            <w:tcW w:w="677" w:type="dxa"/>
          </w:tcPr>
          <w:p w14:paraId="118198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210" w:type="dxa"/>
          </w:tcPr>
          <w:p w14:paraId="33C9C4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3700- 5000</w:t>
            </w:r>
          </w:p>
        </w:tc>
        <w:tc>
          <w:tcPr>
            <w:tcW w:w="1872" w:type="dxa"/>
          </w:tcPr>
          <w:p w14:paraId="5E95F5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х 260</w:t>
            </w:r>
          </w:p>
        </w:tc>
        <w:tc>
          <w:tcPr>
            <w:tcW w:w="1346" w:type="dxa"/>
          </w:tcPr>
          <w:p w14:paraId="39E890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858" w:type="dxa"/>
          </w:tcPr>
          <w:p w14:paraId="2A09F4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 х 150</w:t>
            </w:r>
          </w:p>
        </w:tc>
        <w:tc>
          <w:tcPr>
            <w:tcW w:w="1368" w:type="dxa"/>
          </w:tcPr>
          <w:p w14:paraId="5AE496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r>
      <w:tr w:rsidR="007D5DF8" w:rsidRPr="00DB5D0D" w14:paraId="78005EE3" w14:textId="77777777" w:rsidTr="00E543D0">
        <w:trPr>
          <w:trHeight w:val="20"/>
        </w:trPr>
        <w:tc>
          <w:tcPr>
            <w:tcW w:w="677" w:type="dxa"/>
          </w:tcPr>
          <w:p w14:paraId="2EA220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2210" w:type="dxa"/>
          </w:tcPr>
          <w:p w14:paraId="1CCE24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5000 - 7000</w:t>
            </w:r>
          </w:p>
        </w:tc>
        <w:tc>
          <w:tcPr>
            <w:tcW w:w="1872" w:type="dxa"/>
          </w:tcPr>
          <w:p w14:paraId="2B66FD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 х 300</w:t>
            </w:r>
          </w:p>
        </w:tc>
        <w:tc>
          <w:tcPr>
            <w:tcW w:w="1346" w:type="dxa"/>
          </w:tcPr>
          <w:p w14:paraId="291BE6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858" w:type="dxa"/>
          </w:tcPr>
          <w:p w14:paraId="2E5614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 х 200</w:t>
            </w:r>
          </w:p>
        </w:tc>
        <w:tc>
          <w:tcPr>
            <w:tcW w:w="1368" w:type="dxa"/>
          </w:tcPr>
          <w:p w14:paraId="3755F7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r>
      <w:tr w:rsidR="007D5DF8" w:rsidRPr="00DB5D0D" w14:paraId="61985E70" w14:textId="77777777" w:rsidTr="00E543D0">
        <w:trPr>
          <w:trHeight w:val="20"/>
        </w:trPr>
        <w:tc>
          <w:tcPr>
            <w:tcW w:w="677" w:type="dxa"/>
          </w:tcPr>
          <w:p w14:paraId="414527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2210" w:type="dxa"/>
          </w:tcPr>
          <w:p w14:paraId="14F8BA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7000 - 10000</w:t>
            </w:r>
          </w:p>
        </w:tc>
        <w:tc>
          <w:tcPr>
            <w:tcW w:w="1872" w:type="dxa"/>
          </w:tcPr>
          <w:p w14:paraId="250751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 х 400</w:t>
            </w:r>
          </w:p>
        </w:tc>
        <w:tc>
          <w:tcPr>
            <w:tcW w:w="1346" w:type="dxa"/>
          </w:tcPr>
          <w:p w14:paraId="24C509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1858" w:type="dxa"/>
          </w:tcPr>
          <w:p w14:paraId="35FADF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 х 21.0</w:t>
            </w:r>
          </w:p>
        </w:tc>
        <w:tc>
          <w:tcPr>
            <w:tcW w:w="1368" w:type="dxa"/>
          </w:tcPr>
          <w:p w14:paraId="746855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7A25491A" w14:textId="77777777" w:rsidTr="00E543D0">
        <w:trPr>
          <w:trHeight w:val="20"/>
        </w:trPr>
        <w:tc>
          <w:tcPr>
            <w:tcW w:w="677" w:type="dxa"/>
            <w:tcBorders>
              <w:bottom w:val="single" w:sz="12" w:space="0" w:color="auto"/>
            </w:tcBorders>
          </w:tcPr>
          <w:p w14:paraId="2D6BC6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2210" w:type="dxa"/>
            <w:tcBorders>
              <w:bottom w:val="single" w:sz="12" w:space="0" w:color="auto"/>
            </w:tcBorders>
          </w:tcPr>
          <w:p w14:paraId="1AA838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10000 - 13000</w:t>
            </w:r>
          </w:p>
        </w:tc>
        <w:tc>
          <w:tcPr>
            <w:tcW w:w="1872" w:type="dxa"/>
            <w:tcBorders>
              <w:bottom w:val="single" w:sz="12" w:space="0" w:color="auto"/>
            </w:tcBorders>
          </w:tcPr>
          <w:p w14:paraId="428614E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 х 450</w:t>
            </w:r>
          </w:p>
        </w:tc>
        <w:tc>
          <w:tcPr>
            <w:tcW w:w="1346" w:type="dxa"/>
            <w:tcBorders>
              <w:bottom w:val="single" w:sz="12" w:space="0" w:color="auto"/>
            </w:tcBorders>
          </w:tcPr>
          <w:p w14:paraId="2CDDD8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1858" w:type="dxa"/>
            <w:tcBorders>
              <w:bottom w:val="single" w:sz="12" w:space="0" w:color="auto"/>
            </w:tcBorders>
          </w:tcPr>
          <w:p w14:paraId="55C9C79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 х 250.</w:t>
            </w:r>
          </w:p>
        </w:tc>
        <w:tc>
          <w:tcPr>
            <w:tcW w:w="1368" w:type="dxa"/>
            <w:tcBorders>
              <w:bottom w:val="single" w:sz="12" w:space="0" w:color="auto"/>
            </w:tcBorders>
          </w:tcPr>
          <w:p w14:paraId="38FA6C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w:t>
            </w:r>
          </w:p>
        </w:tc>
      </w:tr>
    </w:tbl>
    <w:p w14:paraId="03725F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 При подборе колес вес самолета берется максимальный.</w:t>
      </w:r>
    </w:p>
    <w:p w14:paraId="55CBA6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w:t>
      </w:r>
    </w:p>
    <w:p w14:paraId="00D209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проектировании новых опытных самолетов подбор тормозных колес производить только в соответствии с единым сортаментом.</w:t>
      </w:r>
    </w:p>
    <w:p w14:paraId="14BAF3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w:t>
      </w:r>
    </w:p>
    <w:p w14:paraId="630A7EFA" w14:textId="77777777" w:rsidR="003C7E8B" w:rsidRPr="00DB5D0D" w:rsidRDefault="003C7E8B" w:rsidP="00DB5D0D">
      <w:pPr>
        <w:spacing w:after="0" w:line="240" w:lineRule="auto"/>
        <w:jc w:val="both"/>
        <w:rPr>
          <w:rFonts w:ascii="Times New Roman" w:hAnsi="Times New Roman"/>
          <w:color w:val="000000" w:themeColor="text1"/>
          <w:sz w:val="16"/>
          <w:szCs w:val="16"/>
          <w:vertAlign w:val="superscript"/>
        </w:rPr>
      </w:pPr>
      <w:r w:rsidRPr="00DB5D0D">
        <w:rPr>
          <w:rFonts w:ascii="Times New Roman" w:hAnsi="Times New Roman"/>
          <w:color w:val="000000" w:themeColor="text1"/>
          <w:sz w:val="16"/>
          <w:szCs w:val="16"/>
        </w:rPr>
        <w:t>На всех опытных самолетах плана 1940 года, находящихся в стадии проектирования, пересмотреть правильность подбора колес и подобрать их в соответствии с сортаментом, установ</w:t>
      </w:r>
      <w:r w:rsidRPr="00DB5D0D">
        <w:rPr>
          <w:rFonts w:ascii="Times New Roman" w:hAnsi="Times New Roman"/>
          <w:color w:val="000000" w:themeColor="text1"/>
          <w:sz w:val="16"/>
          <w:szCs w:val="16"/>
        </w:rPr>
        <w:softHyphen/>
        <w:t>ленным настоящим приказом....(410,14).</w:t>
      </w:r>
    </w:p>
    <w:p w14:paraId="24B638F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B337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вышел приказ НКАП N 371с согласно которому завод 30 включили в состав ПГУ (1647,27).</w:t>
      </w:r>
    </w:p>
    <w:p w14:paraId="5F75C9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4BF3E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первая лодка ГСТ, поступившая на СФ, участвовала там к параде по случаю Дня военно-морского флота (3457,48).</w:t>
      </w:r>
    </w:p>
    <w:p w14:paraId="77D4B8F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6C872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В.И.Харахонов установил мировой рекорд затяжного прыжка, оставив самолет на 13025 и пролетев 11755 в течение более 3-х минут (438,787).</w:t>
      </w:r>
    </w:p>
    <w:p w14:paraId="42E6672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0FCF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В.Харахоновым был установлен рекорд затяжного прыжка с парашютом с 13025 м в течение 11755 м (271,191).</w:t>
      </w:r>
    </w:p>
    <w:p w14:paraId="25A7CC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15C2BF4" w14:textId="77777777" w:rsidR="003C7E8B" w:rsidRPr="00DB5D0D" w:rsidRDefault="003C7E8B"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24 июля 1940 г. нарком внутренних дел СССР Л.П. Берия направляет И.В. Сталину письмо с изложением проекта строительства четырех авиационных заводов в Куйбышевской области (железнодорожная станция Безымянка в 18 км от областного центра), согласно которому в течение немногим более трех лет (со II полугодия 1940 г. до ноября 1943 г) планировалось возвести два самолетостроительных завода по производству двухмоторных цельнометаллических дальних бомбардировщиков (конструкции В.М. Петлякова), и два авиамоторных, по выпуску двигателей водяного охлаждения АМ-35 и М-120. Указанные в письме сроки пуска предприятий не устроили Сталина, посчитавшего их слишком затянутыми, поэтому документ был отправлен на доработку (9716).</w:t>
      </w:r>
    </w:p>
    <w:p w14:paraId="380EFBFE" w14:textId="77777777" w:rsidR="003C7E8B" w:rsidRPr="00DB5D0D" w:rsidRDefault="003C7E8B" w:rsidP="00DB5D0D">
      <w:pPr>
        <w:pStyle w:val="a8"/>
        <w:widowControl/>
        <w:jc w:val="both"/>
        <w:rPr>
          <w:rFonts w:ascii="Times New Roman" w:hAnsi="Times New Roman" w:cs="Times New Roman"/>
          <w:color w:val="000000" w:themeColor="text1"/>
        </w:rPr>
      </w:pPr>
    </w:p>
    <w:p w14:paraId="31E61CA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63E5592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0991E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Протокол № 19. Решения ПБ за 20 июля - 24 августа 1940 г.</w:t>
      </w:r>
    </w:p>
    <w:p w14:paraId="3D341A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63. О составе Главного Военного Совета (постановление ЦК ВКП (б) и СНК СССР). 25.7.40 г.</w:t>
      </w:r>
    </w:p>
    <w:p w14:paraId="12F104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65. Об организационной структуре ВВС Красной Армии*. П. 66. Вопросы НКО. Кадровые вопросы*.</w:t>
      </w:r>
    </w:p>
    <w:p w14:paraId="4351A9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67. Об установлении знаков различия для среднего и старшего командного и политического состава Красной Армии.</w:t>
      </w:r>
    </w:p>
    <w:p w14:paraId="2ED9BD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68. Об организационной структуре Народного комиссариата обороны*. П. 69. Об образовании инспекции при народном комиссаре обороны СССР*. 26. 7. 40 г.</w:t>
      </w:r>
    </w:p>
    <w:p w14:paraId="723D3F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90. Вопросы Политуправления Красной Армии (ОБ от 24. VII. 40 г. пр. 46, п. 85 — гс). 31.7.40 г.</w:t>
      </w:r>
    </w:p>
    <w:p w14:paraId="32B50F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138. О присвоении воинских званий Грабину В. Г., Иванову И. И. и Крупчатникову М. Я. 12.8.40 г.</w:t>
      </w:r>
    </w:p>
    <w:p w14:paraId="67219D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166. Вопросы Наркомата обороны (ОБ от 09. VIII. 40 г., пр. №. 48, п. 50 - гс). Утверждение командиров моторизованных дивизий.</w:t>
      </w:r>
    </w:p>
    <w:p w14:paraId="0F9716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177. Об укреплении единоначалия в Красной Армии и Военно-Морском флоте. 14. 8. 40 г.</w:t>
      </w:r>
    </w:p>
    <w:p w14:paraId="323590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222. О назначениях по НКО (постановление ЦК ВКП (б) и СНК СССР). 17.8.40 г. П. 272. Об отсрочках по призыву в КА в 1940 г. (11773)</w:t>
      </w:r>
    </w:p>
    <w:p w14:paraId="4BEC6C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80F1900"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063EF2A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7F019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24-31 июля 1940 года состоялся пленум ЦК, который рассмотрел вопрос о контроле за проведением в жизнь Указа от 26 июня - случай, беспрецедентный в истории партии. 23 июля на заседании Политбюро Сталин вновь резко критиковал Шверника за "реформистскую" политику профсоюзов. "Разве не развращают профсоюзы рабочих, когда профсоюзные работники приходят и тушат в цеху свет в то время, когда рабочие хотят работать сверхурочно?!" - заявил он. На том же заседании Сталин поддержал предложение об удлинении рабочего дня для подростков в возрасте от 16 до 18 лет до 8 часов вместо 6 часов (9492).</w:t>
      </w:r>
    </w:p>
    <w:p w14:paraId="1102E71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68D82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lastRenderedPageBreak/>
        <w:t>За рубежом:</w:t>
      </w:r>
    </w:p>
    <w:p w14:paraId="4C38B50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6864A4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Германия объявила об аннексии Эльзаса и Лотарингии (4962).</w:t>
      </w:r>
    </w:p>
    <w:p w14:paraId="58DC531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76D912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итальянские самолеты впервые бомбили Иерусалим (4962).</w:t>
      </w:r>
    </w:p>
    <w:p w14:paraId="6165295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0EF57E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у берегов Бретани немцами потоплен корабль «Мекнес», перевозивший возвращавшихся по домам французских моряков, 383 из которых погибли (4962).</w:t>
      </w:r>
    </w:p>
    <w:p w14:paraId="790C115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F01D09B" w14:textId="77777777" w:rsidR="006C4666" w:rsidRPr="00DB5D0D" w:rsidRDefault="006C466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24 июля в 1940 году линкор </w:t>
      </w:r>
      <w:hyperlink r:id="rId223" w:anchor="102531" w:tgtFrame="_blank" w:history="1">
        <w:r w:rsidRPr="00DB5D0D">
          <w:rPr>
            <w:rFonts w:ascii="Times New Roman" w:hAnsi="Times New Roman"/>
            <w:color w:val="000000" w:themeColor="text1"/>
            <w:sz w:val="16"/>
            <w:szCs w:val="16"/>
          </w:rPr>
          <w:t xml:space="preserve">«Резолюшн» </w:t>
        </w:r>
      </w:hyperlink>
      <w:r w:rsidRPr="00DB5D0D">
        <w:rPr>
          <w:rFonts w:ascii="Times New Roman" w:hAnsi="Times New Roman"/>
          <w:color w:val="000000" w:themeColor="text1"/>
          <w:sz w:val="16"/>
          <w:szCs w:val="16"/>
        </w:rPr>
        <w:t>получил торпедное попадание с французской подводной лодкой "Bevezie" и был тяжело поврежден (14962).</w:t>
      </w:r>
    </w:p>
    <w:p w14:paraId="63ACB0E2" w14:textId="77777777" w:rsidR="006C4666" w:rsidRPr="00DB5D0D" w:rsidRDefault="006C4666" w:rsidP="00DB5D0D">
      <w:pPr>
        <w:spacing w:after="0" w:line="240" w:lineRule="auto"/>
        <w:jc w:val="both"/>
        <w:rPr>
          <w:rFonts w:ascii="Times New Roman" w:hAnsi="Times New Roman"/>
          <w:color w:val="000000" w:themeColor="text1"/>
          <w:sz w:val="16"/>
          <w:szCs w:val="16"/>
        </w:rPr>
      </w:pPr>
    </w:p>
    <w:p w14:paraId="730AC17D"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Артур Пэрвис, министр финансов Моргентау и его помощник Янг, которые начали неформальные консультации по вопросу о соотношении между собственными программами самолетостроения США и возросшими потребностями англичан,  обсудили нужды Англии, а позднее, в тот же день, Пэрвис хотел помимо Моргентау увидеться с министрами Стимсоном, Ноксом, Кнадсеном и генералом Арнольдом. Когда Пэрвис запросил было 1500 самолетов в месяц вместо 1000 к концу 1941-го, Моргентау остановил его и назвал цифру 4000. Пэрвис был озадачен: в мыслях он стремился именно к этому, но никогда не решался сразу назвать такую цифру. Он считал, что к цели лучше двигаться постепенно.</w:t>
      </w:r>
    </w:p>
    <w:p w14:paraId="7EADCE1E"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США тогда производили до 550 самолетов в месяц, причем около половины из них были учебными. На 1 июля 1940 года англичане и французы успели заказать до 10 000 самолетов. Но во второй половине этого года для иностранных поставок производилось только около 250 единиц в месяц. Тогда стали разрабатывать планы довести производство примерно до 3 тысяч в месяц к концу 1941-го: тысячу — для Англии и 2 тысячи — для собственных вооруженных сил США. Но Пэрвис несколько раз говорил Моргентау, что к этому времени англичанам на самом деле потребуется 4000 американских самолетов, вместо 1000 по плану.</w:t>
      </w:r>
    </w:p>
    <w:p w14:paraId="6CC962E3"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Госсекретарь был другого мнения. Если англичанам нужно определенное количество самолетов, будет лучше, если они объявят об этом прямо и сразу, прежде чем программа начнет выполняться. В то время составляли план на ближайшие полтора года, и следовало сформулировать задачи. </w:t>
      </w:r>
    </w:p>
    <w:p w14:paraId="04E38066"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Теперь очередь за Кнадсеном, — заметил Моргентау. — Он опытный производственник и отнесется к такому вызову как должно. </w:t>
      </w:r>
    </w:p>
    <w:p w14:paraId="26C18C1E"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Так и сделаю, — ответил Пэрвис. — Правда, прежде я должен увидеться с Уилсоном, представителем лорда Бивербрука в вашей стране, и заручиться его поддержкой. Но я займусь этим. </w:t>
      </w:r>
    </w:p>
    <w:p w14:paraId="6A29242D"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Пэрвис «занялся этим» в тот же день, заявив Кнадсену, что англичанам нужны 4000 самолетов в месяц. Моргентау оказался опытным психологом. Попросить у Кнадсена 1500 самолетов значило бы лишь немного скорректировать программу. Совсем другое дело — 4000. Это означало удвоение всей программы. Ставки поднялись бы очень высоко, и теперь все — автомобилестроители, производители моечных машин, холодильников — должны были энергично взяться за дело и оказывать содействие. </w:t>
      </w:r>
    </w:p>
    <w:p w14:paraId="475DC4EA"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Кнадсен сказал, что к концу 1941 года это сделать невозможно, но в следующем году можно. Он не очень ошибся. К концу 42-го США выпускали до 5400 самолетов, а к августу 43-го — 7500 в месяц. Американская промышленность приняла вызов и прекрасно справилась с задачей.</w:t>
      </w:r>
    </w:p>
    <w:p w14:paraId="7358146E"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тот вечер из Лондона прибыл лорд Бивербрук и сообщил хорошие новости. Обещанная англичанам большая программа помощи придала им мужество для битвы за Англию, которая и началась 8 августа 1940 года, когда нацисты послали огромную армаду бомбить Британию — это был первый из их многочисленных дневных налетов. </w:t>
      </w:r>
    </w:p>
    <w:p w14:paraId="1514AE7C"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Англичане действительно получили от США много военных самолетов, хотя и не по 4000 в месяц. Задолго до того как США вышли на производство 6000 самолетов в месяц, подверглась нападению Россия, а потом и сами США. Но эти самолеты получили силы Объединенных Наций — США и наших союзников. </w:t>
      </w:r>
    </w:p>
    <w:p w14:paraId="55767B86"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того как план производства самолетов удвоился в один день, надо было подумать и о расширении производства комплектующих частей. Тут узким местом оставалось производство моторов. Тогда военно-воздушный корпус США пользовался моторами воздушного охлаждения, но был заинтересован в моторах жидкого охлаждения для истребителей, а в Америке, к сожалению, не было надежных машин этого типа. Поэтому руководство ВВС заинтересовалось проверенными в боях двигателями фирмы «Роллс-Ройс Мерлин». Эти английские двигатели успешно использовались на истребителях «Спитфайр» и «Харрикан» и бомбардировщиках «Веллингтон» и «Галифакс».</w:t>
      </w:r>
    </w:p>
    <w:p w14:paraId="3D6DB186"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Министр финансов Моргентау связался по трансатлантическому телефону с лордом Бивербруком, который только что стал министром авиации, и попросил лицензию на производство в США моторов «Мерлин». Тот сразу ответил: да, мы можем получить лицензию на производство «Мерлинов», а заодно также «Спитфайров», «Харриканов» и всего, что потребуется для наших авиапрограмм. </w:t>
      </w:r>
    </w:p>
    <w:p w14:paraId="34404676"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было смелое предложение. Частные права в лицензионных договорах не передавались так легко. Но Бивербрук знал, что все он сможет уладить, и хотел только, чтобы дело пошло без проволочек. Вот один из примеров решительных, смелых действий этого человека, так много давших Англии в дни испытаний (17417).</w:t>
      </w:r>
    </w:p>
    <w:p w14:paraId="20DBDC1C" w14:textId="77777777" w:rsidR="00BE1588" w:rsidRPr="00DB5D0D" w:rsidRDefault="00BE1588" w:rsidP="00DB5D0D">
      <w:pPr>
        <w:spacing w:after="0" w:line="240" w:lineRule="auto"/>
        <w:jc w:val="both"/>
        <w:rPr>
          <w:rFonts w:ascii="Times New Roman" w:hAnsi="Times New Roman"/>
          <w:color w:val="000000" w:themeColor="text1"/>
          <w:sz w:val="16"/>
          <w:szCs w:val="16"/>
        </w:rPr>
      </w:pPr>
    </w:p>
    <w:p w14:paraId="2D97DD5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6130AC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3923D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 ДБ-3Б, оборудованной в НИИ ВВС выпускным устройством для подвесной каббины Герасимова, совершил свой первый и единст</w:t>
      </w:r>
      <w:r w:rsidRPr="00DB5D0D">
        <w:rPr>
          <w:rFonts w:ascii="Times New Roman" w:hAnsi="Times New Roman"/>
          <w:color w:val="000000" w:themeColor="text1"/>
          <w:sz w:val="16"/>
          <w:szCs w:val="16"/>
        </w:rPr>
        <w:softHyphen/>
        <w:t>венный полет. Прежде чем подвешивать кабину к бомбар</w:t>
      </w:r>
      <w:r w:rsidRPr="00DB5D0D">
        <w:rPr>
          <w:rFonts w:ascii="Times New Roman" w:hAnsi="Times New Roman"/>
          <w:color w:val="000000" w:themeColor="text1"/>
          <w:sz w:val="16"/>
          <w:szCs w:val="16"/>
        </w:rPr>
        <w:softHyphen/>
        <w:t>дировщику, решили опробовать выпу</w:t>
      </w:r>
      <w:r w:rsidRPr="00DB5D0D">
        <w:rPr>
          <w:rFonts w:ascii="Times New Roman" w:hAnsi="Times New Roman"/>
          <w:color w:val="000000" w:themeColor="text1"/>
          <w:sz w:val="16"/>
          <w:szCs w:val="16"/>
        </w:rPr>
        <w:softHyphen/>
        <w:t>скное устройство и вместо кабины под ДБ-3Б прицепили весовой макет бомбы ФАБ-250. Бомбу в полете сначала попробовали подать под люк стрелка, а затем выпустить на пол</w:t>
      </w:r>
      <w:r w:rsidRPr="00DB5D0D">
        <w:rPr>
          <w:rFonts w:ascii="Times New Roman" w:hAnsi="Times New Roman"/>
          <w:color w:val="000000" w:themeColor="text1"/>
          <w:sz w:val="16"/>
          <w:szCs w:val="16"/>
        </w:rPr>
        <w:softHyphen/>
        <w:t>ную длину троса. У деревни Драчево бомба оторвалась. Даже столь недолгие испытания вы</w:t>
      </w:r>
      <w:r w:rsidRPr="00DB5D0D">
        <w:rPr>
          <w:rFonts w:ascii="Times New Roman" w:hAnsi="Times New Roman"/>
          <w:color w:val="000000" w:themeColor="text1"/>
          <w:sz w:val="16"/>
          <w:szCs w:val="16"/>
        </w:rPr>
        <w:softHyphen/>
        <w:t>явили множество недостатков кабины Герасимова. Возможность влезть в по</w:t>
      </w:r>
      <w:r w:rsidRPr="00DB5D0D">
        <w:rPr>
          <w:rFonts w:ascii="Times New Roman" w:hAnsi="Times New Roman"/>
          <w:color w:val="000000" w:themeColor="text1"/>
          <w:sz w:val="16"/>
          <w:szCs w:val="16"/>
        </w:rPr>
        <w:softHyphen/>
        <w:t>лете в раскачивающуюся кабину в теп</w:t>
      </w:r>
      <w:r w:rsidRPr="00DB5D0D">
        <w:rPr>
          <w:rFonts w:ascii="Times New Roman" w:hAnsi="Times New Roman"/>
          <w:color w:val="000000" w:themeColor="text1"/>
          <w:sz w:val="16"/>
          <w:szCs w:val="16"/>
        </w:rPr>
        <w:softHyphen/>
        <w:t>лом обмундировании и с парашютом представлялась весьма сомнительной. Обратно же при подтягивании кабины к носителю штурман мог попасть только в бомболюк. Там он и оставался сидеть до конца полета на узкой дощечке, оби</w:t>
      </w:r>
      <w:r w:rsidRPr="00DB5D0D">
        <w:rPr>
          <w:rFonts w:ascii="Times New Roman" w:hAnsi="Times New Roman"/>
          <w:color w:val="000000" w:themeColor="text1"/>
          <w:sz w:val="16"/>
          <w:szCs w:val="16"/>
        </w:rPr>
        <w:softHyphen/>
        <w:t>той дерматином. Использование каби</w:t>
      </w:r>
      <w:r w:rsidRPr="00DB5D0D">
        <w:rPr>
          <w:rFonts w:ascii="Times New Roman" w:hAnsi="Times New Roman"/>
          <w:color w:val="000000" w:themeColor="text1"/>
          <w:sz w:val="16"/>
          <w:szCs w:val="16"/>
        </w:rPr>
        <w:softHyphen/>
        <w:t>ны при прицеливании при бомбомета</w:t>
      </w:r>
      <w:r w:rsidRPr="00DB5D0D">
        <w:rPr>
          <w:rFonts w:ascii="Times New Roman" w:hAnsi="Times New Roman"/>
          <w:color w:val="000000" w:themeColor="text1"/>
          <w:sz w:val="16"/>
          <w:szCs w:val="16"/>
        </w:rPr>
        <w:softHyphen/>
        <w:t>нии тоже выглядело проблематичным. Во-первых, бомбовая нагрузка при под</w:t>
      </w:r>
      <w:r w:rsidRPr="00DB5D0D">
        <w:rPr>
          <w:rFonts w:ascii="Times New Roman" w:hAnsi="Times New Roman"/>
          <w:color w:val="000000" w:themeColor="text1"/>
          <w:sz w:val="16"/>
          <w:szCs w:val="16"/>
        </w:rPr>
        <w:softHyphen/>
        <w:t>веске кабины уменьшалась до 300-350 кг. Во-вторых, кабина имела другую вы</w:t>
      </w:r>
      <w:r w:rsidRPr="00DB5D0D">
        <w:rPr>
          <w:rFonts w:ascii="Times New Roman" w:hAnsi="Times New Roman"/>
          <w:color w:val="000000" w:themeColor="text1"/>
          <w:sz w:val="16"/>
          <w:szCs w:val="16"/>
        </w:rPr>
        <w:softHyphen/>
        <w:t>соту и расстояние до цели, чем несущий бомбы самолет, да еще возможен был боковой увод кабины ветром. Не ис</w:t>
      </w:r>
      <w:r w:rsidRPr="00DB5D0D">
        <w:rPr>
          <w:rFonts w:ascii="Times New Roman" w:hAnsi="Times New Roman"/>
          <w:color w:val="000000" w:themeColor="text1"/>
          <w:sz w:val="16"/>
          <w:szCs w:val="16"/>
        </w:rPr>
        <w:softHyphen/>
        <w:t>ключался обрыв троса при обледене</w:t>
      </w:r>
      <w:r w:rsidRPr="00DB5D0D">
        <w:rPr>
          <w:rFonts w:ascii="Times New Roman" w:hAnsi="Times New Roman"/>
          <w:color w:val="000000" w:themeColor="text1"/>
          <w:sz w:val="16"/>
          <w:szCs w:val="16"/>
        </w:rPr>
        <w:softHyphen/>
        <w:t>нии. Кроме этого, испытания выявили ненадежность тормоза и недостаточную мощность лебедки. Все это вместе поставило крест на кабине Герасимова. Начальник НИИ ВВС Филин издал приказ: «Производ</w:t>
      </w:r>
      <w:r w:rsidRPr="00DB5D0D">
        <w:rPr>
          <w:rFonts w:ascii="Times New Roman" w:hAnsi="Times New Roman"/>
          <w:color w:val="000000" w:themeColor="text1"/>
          <w:sz w:val="16"/>
          <w:szCs w:val="16"/>
        </w:rPr>
        <w:softHyphen/>
        <w:t>ство дальнейших работ по испытаниям и доводкам выпускной кабины конст</w:t>
      </w:r>
      <w:r w:rsidRPr="00DB5D0D">
        <w:rPr>
          <w:rFonts w:ascii="Times New Roman" w:hAnsi="Times New Roman"/>
          <w:color w:val="000000" w:themeColor="text1"/>
          <w:sz w:val="16"/>
          <w:szCs w:val="16"/>
        </w:rPr>
        <w:softHyphen/>
        <w:t>рукции капитана Герасимова — пре</w:t>
      </w:r>
      <w:r w:rsidRPr="00DB5D0D">
        <w:rPr>
          <w:rFonts w:ascii="Times New Roman" w:hAnsi="Times New Roman"/>
          <w:color w:val="000000" w:themeColor="text1"/>
          <w:sz w:val="16"/>
          <w:szCs w:val="16"/>
        </w:rPr>
        <w:softHyphen/>
        <w:t>кратить» (10734,20).</w:t>
      </w:r>
    </w:p>
    <w:p w14:paraId="6C40E3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0637E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 ДБ-3, оборудованный в НИИ ВВС как носитель подвесной кабины капитана Герасимова, совершил свой первый и единственный полет. Кабину почти до конца построили, но прежде чем подвешивать ее к бомбардировщику, решили опробовать выпускное устройство. Вместо кабины под ДБ-ЗБ прицепили весовой макет бомбы ФАБ-250. Бомбу в полете сначала попробовали подать под люк стрелка, а затем выпустить на полную длину троса. У деревни Драчево бомба оторвалась.</w:t>
      </w:r>
    </w:p>
    <w:p w14:paraId="5403B9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Возможности ДБ-3 как разведчика попытались расширить применением подвесной кабины капитана Герасимова. Идея была проста: бомбардировщик нес под фюзеляжем что-то вроде маленького планера, который при необходимости опускался на тросе вниз. В нем сидел штурман-наблюдатель. Первоначально такая конструкция предлагалась для четырехмоторного ТБ-3. Разведывательная кабина, по расчетам автора, позволяла самому бомбардировщику держаться повыше, подальше от зениток. Самолет мог идти в облаках, а кабина под кромкой облачности. Из нее можно было вести визуальную разведку, фотографирование и прицеливание при бомбометании. Кабина под ТБ-3 была реально построена и испытана. В 1938 г. выдали техническое задание на проектирование варианта под ДБ-3. Проектирование и постройку поручили заводу № 115, поставив срок к 1 февраля 1939 г. Этот срок выдержан не был, к середине 1940 г. опытный образец еше не достроили до конца.</w:t>
      </w:r>
    </w:p>
    <w:p w14:paraId="2DE359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 изготовлялась целиком из дерева и выглядела как самолет без крыльев. В хвостовой части размещалось горизонтальное оперение и руль направления. В отличие от первого варианта штурман сидел в полностью закрытой кабине. Он располагал основными приборами, прицелом ОПБ-2 и связывался со штурманом самолета-носителя с помощью УКВ-радиостанции. Предполагалось, что он будет садиться в полете через люк стрелка, для чего после выпуска троса на 10- 15 м кабину подтягивали под люк. Вниз кабина шла под собственным весом, удерживаемая тормозом. Вверх ее тянула лебедка, приводимая в действие мотоциклетным мотором ПМЗ мощностью 18 л.с. Лебедкой управлял дополнительный член экипажа. Кабина получилась довольно легкой - вместе со штурманом она весила всего 200 кг. По расчетам скорость самолета-носителя при выпущенной кабине должна была упасть на 54- 66 км/ч. При длине троса 600 м кабина должна была идти на 200-250 м ниже самолета.</w:t>
      </w:r>
    </w:p>
    <w:p w14:paraId="05EA63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Даже столь недолгие испытания выявили множество недостатков кабины Герасимова. Возможность влезть в полете в раскачивающуюся кабину в теплом обмундировании и с парашютом представлялась весьма сомнительной. Обратно же при подтягивании кабины к носителю штурман мог попасть только в бомболюк. Там он и оставался сидеть до конца полета на узкой дощечке, обитой дерматином. Использование кабины при прицеливании при бомбометании тоже выглядело проблематичным. Во-первых, бомбовая нагрузка при подвеске кабины уменьшалась до 300-350 кг. Во-вторых, кабина имела другую высоту и расстояние до цели, чем несущий бомбы самолет, да еще возможен был боковой увод кабины ветром. Не исключался обрыв троса при обледенении. Кроме этого испытания выявили ненадежность тормоза и недостаточную мощность лебедки.</w:t>
      </w:r>
    </w:p>
    <w:p w14:paraId="0C0806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это вместе поставило крест на кабине Герасимова. Начальник НИИ ВВС Филин издал приказ: "Производство дальнейших работ по испытаниям и доводкам выпускной кабины конструкции капитана Герасимова - прекратить" (12021).</w:t>
      </w:r>
    </w:p>
    <w:p w14:paraId="2AEDB44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C2959C9" w14:textId="77777777" w:rsidR="003C7E8B" w:rsidRPr="00DB5D0D" w:rsidRDefault="003C7E8B" w:rsidP="00DB5D0D">
      <w:pPr>
        <w:pStyle w:val="24"/>
        <w:widowControl/>
        <w:rPr>
          <w:color w:val="000000" w:themeColor="text1"/>
        </w:rPr>
      </w:pPr>
      <w:r w:rsidRPr="00DB5D0D">
        <w:rPr>
          <w:color w:val="000000" w:themeColor="text1"/>
        </w:rPr>
        <w:t>25 июля 1940 года начальник НИИ ВВС генерал-майор авиации Филин и военком НИИ ВВС полковой комиссар Холопцев писали письмо № МТ/0526 начальнику ВВС генерал-лейтенанту авиации Смушкевичу</w:t>
      </w:r>
    </w:p>
    <w:p w14:paraId="59665FFD" w14:textId="77777777" w:rsidR="003C7E8B" w:rsidRPr="00DB5D0D" w:rsidRDefault="003C7E8B" w:rsidP="00DB5D0D">
      <w:pPr>
        <w:pStyle w:val="24"/>
        <w:widowControl/>
        <w:rPr>
          <w:color w:val="000000" w:themeColor="text1"/>
        </w:rPr>
      </w:pPr>
      <w:r w:rsidRPr="00DB5D0D">
        <w:rPr>
          <w:color w:val="000000" w:themeColor="text1"/>
        </w:rPr>
        <w:t>Докладываю о повторных специальных летных испытаниях моторов М-88 (с модифицированной первой скоростью нагнетателя), производства завода № 29 на самолете ДБ-3Ф в 8 отделе НИИ ВВС.</w:t>
      </w:r>
    </w:p>
    <w:p w14:paraId="477D635F" w14:textId="77777777" w:rsidR="003C7E8B" w:rsidRPr="00DB5D0D" w:rsidRDefault="003C7E8B" w:rsidP="00DB5D0D">
      <w:pPr>
        <w:pStyle w:val="24"/>
        <w:widowControl/>
        <w:rPr>
          <w:color w:val="000000" w:themeColor="text1"/>
        </w:rPr>
      </w:pPr>
      <w:r w:rsidRPr="00DB5D0D">
        <w:rPr>
          <w:color w:val="000000" w:themeColor="text1"/>
        </w:rPr>
        <w:t>Повторные специальные летные испытания моторов М-88 за №№ 881033 и 881034 начались 15 июля 1940 года и были прекращены 24 июля 1940 года из-за отказа в работе первой скорости нагнетателя на моторе № 881033 после 26 часов 26 минут работы.</w:t>
      </w:r>
    </w:p>
    <w:p w14:paraId="305A1405" w14:textId="77777777" w:rsidR="003C7E8B" w:rsidRPr="00DB5D0D" w:rsidRDefault="003C7E8B" w:rsidP="00DB5D0D">
      <w:pPr>
        <w:pStyle w:val="24"/>
        <w:widowControl/>
        <w:rPr>
          <w:color w:val="000000" w:themeColor="text1"/>
        </w:rPr>
      </w:pPr>
      <w:r w:rsidRPr="00DB5D0D">
        <w:rPr>
          <w:color w:val="000000" w:themeColor="text1"/>
        </w:rPr>
        <w:t>…………………….(7647, 108).</w:t>
      </w:r>
    </w:p>
    <w:p w14:paraId="0ABEDBDC" w14:textId="77777777" w:rsidR="003C7E8B" w:rsidRPr="00DB5D0D" w:rsidRDefault="003C7E8B" w:rsidP="00DB5D0D">
      <w:pPr>
        <w:pStyle w:val="24"/>
        <w:widowControl/>
        <w:rPr>
          <w:color w:val="000000" w:themeColor="text1"/>
        </w:rPr>
      </w:pPr>
    </w:p>
    <w:p w14:paraId="57054AC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 в НИИ ВВС закончились гос. испытания экспериментального дальнего бомбардировщика (летающее крыло) с двумя моторами М-87 Беляева, которые проходили с 25 апреля 1940. Испытание не выдержал из-за:</w:t>
      </w:r>
    </w:p>
    <w:p w14:paraId="0113B069" w14:textId="77777777" w:rsidR="003C7E8B" w:rsidRPr="00DB5D0D" w:rsidRDefault="003C7E8B" w:rsidP="00DB5D0D">
      <w:pPr>
        <w:tabs>
          <w:tab w:val="left" w:pos="495"/>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r w:rsidRPr="00DB5D0D">
        <w:rPr>
          <w:rFonts w:ascii="Times New Roman" w:hAnsi="Times New Roman"/>
          <w:color w:val="000000" w:themeColor="text1"/>
          <w:sz w:val="16"/>
          <w:szCs w:val="16"/>
        </w:rPr>
        <w:tab/>
        <w:t>Неудовлетворительной центровки и невозможности полетов с полной нагрузкой.</w:t>
      </w:r>
    </w:p>
    <w:p w14:paraId="6B634B03" w14:textId="77777777" w:rsidR="003C7E8B" w:rsidRPr="00DB5D0D" w:rsidRDefault="003C7E8B" w:rsidP="00DB5D0D">
      <w:pPr>
        <w:tabs>
          <w:tab w:val="left" w:pos="495"/>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r w:rsidRPr="00DB5D0D">
        <w:rPr>
          <w:rFonts w:ascii="Times New Roman" w:hAnsi="Times New Roman"/>
          <w:color w:val="000000" w:themeColor="text1"/>
          <w:sz w:val="16"/>
          <w:szCs w:val="16"/>
        </w:rPr>
        <w:tab/>
        <w:t>Неудовлетворительных взлетно-посадочных свойств.</w:t>
      </w:r>
    </w:p>
    <w:p w14:paraId="5B41ABFF" w14:textId="77777777" w:rsidR="003C7E8B" w:rsidRPr="00DB5D0D" w:rsidRDefault="003C7E8B" w:rsidP="00DB5D0D">
      <w:pPr>
        <w:tabs>
          <w:tab w:val="left" w:pos="495"/>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r w:rsidRPr="00DB5D0D">
        <w:rPr>
          <w:rFonts w:ascii="Times New Roman" w:hAnsi="Times New Roman"/>
          <w:color w:val="000000" w:themeColor="text1"/>
          <w:sz w:val="16"/>
          <w:szCs w:val="16"/>
        </w:rPr>
        <w:tab/>
        <w:t>Недоработанности фюзеляжных стрелковых установок.</w:t>
      </w:r>
    </w:p>
    <w:p w14:paraId="01704F66" w14:textId="77777777" w:rsidR="003C7E8B" w:rsidRPr="00DB5D0D" w:rsidRDefault="003C7E8B" w:rsidP="00DB5D0D">
      <w:pPr>
        <w:tabs>
          <w:tab w:val="left" w:pos="495"/>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r w:rsidRPr="00DB5D0D">
        <w:rPr>
          <w:rFonts w:ascii="Times New Roman" w:hAnsi="Times New Roman"/>
          <w:color w:val="000000" w:themeColor="text1"/>
          <w:sz w:val="16"/>
          <w:szCs w:val="16"/>
        </w:rPr>
        <w:tab/>
        <w:t>Плохого обзора для штурмана и летчика.</w:t>
      </w:r>
    </w:p>
    <w:p w14:paraId="4CA2B5E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ГУ ВВС по доводке самолета НКАП не выполнил (4048, 4).</w:t>
      </w:r>
    </w:p>
    <w:p w14:paraId="19291B1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900FA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Нач. НИИ ВВС гм Филин и Военком Холопцев и 11 сентября 1940 дир. завода 22 Окулов (2951) утвердили Отчет по испытанию системы наполнения бензобаков СБ отработанными газами с дополнительными конденсационными бачками. Вед. и 5 отдела - ви2р Объеденников, ви завода 22 Петухов и Зайцев, л 22 завода п/п Байдуков и ви2р Шустваев (2701).</w:t>
      </w:r>
    </w:p>
    <w:p w14:paraId="15A356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64220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1....вполне м.б. допущена к эксплуатации</w:t>
      </w:r>
    </w:p>
    <w:p w14:paraId="21E07B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Включению системы в эксплуатацию д. предшествовать след. мероприятия со стороны завода 22:</w:t>
      </w:r>
    </w:p>
    <w:p w14:paraId="3C0131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дооборудование системы двумя легкосъемными конденсационными бачками</w:t>
      </w:r>
    </w:p>
    <w:p w14:paraId="14C5F2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улучшение крепления заборников в выхлопных трубах...(2701).</w:t>
      </w:r>
    </w:p>
    <w:p w14:paraId="08FD0D6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EF807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контролер Вахрушев - представитель КО СНК СССР - в журнале Учета выполнения постановлени правительства в отношении постановления КО N 240сс 1940 “О переводе самолетов СБ на пикирующие бомбардировщики и внедрении пикирующего вооружения на эти бомбардировщики” отметил:</w:t>
      </w:r>
    </w:p>
    <w:p w14:paraId="3C4D46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Экономсовет во исполнение постановления № 240сс по п.п. пар. 9 и пар. 14 своего решения еще не вынес.</w:t>
      </w:r>
    </w:p>
    <w:p w14:paraId="7B8B3E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7 п. б) На 25 июля ГОМЗ не сдано заводу № 22 191 шт. ПАК-23.</w:t>
      </w:r>
    </w:p>
    <w:p w14:paraId="27F495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Вызывались зам. Дир. Завода № 22 и диспетчер 2 ГУ НКАП т. Новиков. В августе месяце вся программа будет выполнена (10395).</w:t>
      </w:r>
    </w:p>
    <w:p w14:paraId="6D1A888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DF5A83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 ближний бомбардировщик «С» с двумя моторами М-103 с использованием тепла выхлопных газов закончил гос. испытания в двухмоторном варианте, которые проходили с 20 марта 1940 (4048, 4).</w:t>
      </w:r>
    </w:p>
    <w:p w14:paraId="4443574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не выдержал вследствие:</w:t>
      </w:r>
    </w:p>
    <w:p w14:paraId="6677AD42"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Недопустимо больших длин разбега и пробега, медленного набора скорости и высоты после отрыва и большой посадочной скорости.</w:t>
      </w:r>
    </w:p>
    <w:p w14:paraId="183EA9DA"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r w:rsidRPr="00DB5D0D">
        <w:rPr>
          <w:rFonts w:ascii="Times New Roman" w:hAnsi="Times New Roman"/>
          <w:color w:val="000000" w:themeColor="text1"/>
          <w:sz w:val="16"/>
          <w:szCs w:val="16"/>
        </w:rPr>
        <w:tab/>
        <w:t>Неустойчивости самолета с нормальным полетным весом.</w:t>
      </w:r>
    </w:p>
    <w:p w14:paraId="3706C0C0"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r w:rsidRPr="00DB5D0D">
        <w:rPr>
          <w:rFonts w:ascii="Times New Roman" w:hAnsi="Times New Roman"/>
          <w:color w:val="000000" w:themeColor="text1"/>
          <w:sz w:val="16"/>
          <w:szCs w:val="16"/>
        </w:rPr>
        <w:tab/>
        <w:t>Недостаточной прочности крыла и колес.</w:t>
      </w:r>
    </w:p>
    <w:p w14:paraId="191D5434"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r w:rsidRPr="00DB5D0D">
        <w:rPr>
          <w:rFonts w:ascii="Times New Roman" w:hAnsi="Times New Roman"/>
          <w:color w:val="000000" w:themeColor="text1"/>
          <w:sz w:val="16"/>
          <w:szCs w:val="16"/>
        </w:rPr>
        <w:tab/>
        <w:t>Малой дальности полета.</w:t>
      </w:r>
    </w:p>
    <w:p w14:paraId="1534093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передан конструктору для проведения экспериментальных работ (4048, 4).</w:t>
      </w:r>
    </w:p>
    <w:p w14:paraId="0851360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E9372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 закончились гос. испытания опытно-экспериментального самолета «С» конструкции Болховитинова с моторами 2М-103П (одна спарка) в варианте ближнего бомбардировщика, которые проходили с 20 марта 1940</w:t>
      </w:r>
    </w:p>
    <w:p w14:paraId="69A539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2AA9E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полковник Кабанов А.И.</w:t>
      </w:r>
    </w:p>
    <w:p w14:paraId="667CF6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2 ранга Шашков М.А.</w:t>
      </w:r>
    </w:p>
    <w:p w14:paraId="6309F1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0F81F0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соответствие фактических летных данных самолета и его вооружения тактико-техническим требованиям и дать оценку возможности принятия этого самолета на вооружение ВВС.</w:t>
      </w:r>
    </w:p>
    <w:p w14:paraId="06E5B9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с двумя спаренными моторами М-103П с винтами ВИШ – КБ ВВС построен на заводе № 84. Гл. конструктор – инженер Болховитинов.</w:t>
      </w:r>
    </w:p>
    <w:p w14:paraId="3607F8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 2 человека:</w:t>
      </w:r>
    </w:p>
    <w:p w14:paraId="6ACC4F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в кабине за моторами</w:t>
      </w:r>
    </w:p>
    <w:p w14:paraId="3B0733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Штурман во второй кабине за кабиной летчика</w:t>
      </w:r>
    </w:p>
    <w:p w14:paraId="1E3FD1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1167F8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вместимость:</w:t>
      </w:r>
    </w:p>
    <w:p w14:paraId="5CC4AA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Внутри фюзеляжа, в грузовом отсеке, между кабинами летчика и штурмана на 2-х спаренных держателях ДЕР-34 могут быть подвешены следующие варианты бомбовой загрузки:</w:t>
      </w:r>
    </w:p>
    <w:p w14:paraId="7FDC68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ФАБ-100 общим весом 400 кг</w:t>
      </w:r>
    </w:p>
    <w:p w14:paraId="459B62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ФАБ-50 общим весом 200 кг</w:t>
      </w:r>
    </w:p>
    <w:p w14:paraId="752303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ХАБ-25 общим весом 100 кг</w:t>
      </w:r>
    </w:p>
    <w:p w14:paraId="5B5825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П-40 общим весом 160 кг</w:t>
      </w:r>
    </w:p>
    <w:p w14:paraId="5FA489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кассеты АК-1М подвешиваемых на тех же держателях можно загружать мелкокалиберными бомбами калибра от 1 кг общим весом от 112 кг до 380 кг.</w:t>
      </w:r>
    </w:p>
    <w:p w14:paraId="46467A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состоит из одного пулемета Шкас калибра 7,62 мм с запасом патрон 500 шт.</w:t>
      </w:r>
    </w:p>
    <w:p w14:paraId="18C507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 установлен на шкворневой установке в кабине штурмана.</w:t>
      </w:r>
    </w:p>
    <w:p w14:paraId="59C2B3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дополнительно разработаны неподвижные крыльевые установки под 2 пулемета Шкас с запасом патрон по 400 шт. на каждый пулемет и крыльевые балки для наружной подвески бомб и реактивных снарядов.</w:t>
      </w:r>
    </w:p>
    <w:p w14:paraId="1D6F49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самолета цельнометаллическая преимущественно из дюраля.</w:t>
      </w:r>
    </w:p>
    <w:p w14:paraId="515F76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64CC35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самолет «С» с двумя моторами М-103 П (одна спарка) конструкции бригинженера Болховитинова, производства завода № 84 в предъявленном виде гос. испытаний не выдержала вследствие:</w:t>
      </w:r>
    </w:p>
    <w:p w14:paraId="59EF06F2" w14:textId="77777777" w:rsidR="003C7E8B" w:rsidRPr="00DB5D0D" w:rsidRDefault="003C7E8B" w:rsidP="00DB5D0D">
      <w:pPr>
        <w:pStyle w:val="a3"/>
        <w:widowControl/>
        <w:rPr>
          <w:color w:val="000000" w:themeColor="text1"/>
          <w:lang w:val="ru-RU"/>
        </w:rPr>
      </w:pPr>
      <w:r w:rsidRPr="00DB5D0D">
        <w:rPr>
          <w:color w:val="000000" w:themeColor="text1"/>
          <w:lang w:val="ru-RU"/>
        </w:rPr>
        <w:t>а) недопустимо длительного разбега, разгона и медленного набора высоты для преодоления препятствий на границе аэродрома;</w:t>
      </w:r>
    </w:p>
    <w:p w14:paraId="41EA55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недостаточной прочности крыла и посадочных приспособлений;</w:t>
      </w:r>
    </w:p>
    <w:p w14:paraId="55CD6C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неустойчивости самолета с нормальным полетным весом;</w:t>
      </w:r>
    </w:p>
    <w:p w14:paraId="44D1CE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малой дальности полета, равной 700 км на 0,8 мах скорости.</w:t>
      </w:r>
    </w:p>
    <w:p w14:paraId="3FF9578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Отметить, что самолет «С» являлся экспериментальным самолетом, на котором впервые в Союзе решалась основная задача увеличения мощности винтомоторной группы без увеличения лобового сопротивления и эта задача конструктором практически решена.</w:t>
      </w:r>
    </w:p>
    <w:p w14:paraId="5B9F20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испытание 20 марта 1940 года</w:t>
      </w:r>
    </w:p>
    <w:p w14:paraId="029C3B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закончил испытания 25 июля 1940 года</w:t>
      </w:r>
    </w:p>
    <w:p w14:paraId="3E9351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испытания 128 дней, из них летных – 17 дней.</w:t>
      </w:r>
    </w:p>
    <w:p w14:paraId="34A0B5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летных испытаний произведено 22 полета с налетом 10 час. 8 мин. (4399).</w:t>
      </w:r>
    </w:p>
    <w:p w14:paraId="1467A6B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7746D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двухмоторный вариант самолета С В.Ф.Болховитинова поступил на гос. испытания, но не выдержал (822).</w:t>
      </w:r>
    </w:p>
    <w:p w14:paraId="788CA93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7439A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в ходе заводских испытаний И-200 А.И.М, которые проходили с 31 марта по 17 августа 1940, на И-200-1 был выполнен полет на определение границ высотности и скорости по высотам (2988).</w:t>
      </w:r>
    </w:p>
    <w:p w14:paraId="0797DC1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7E2F1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закончились заводские испытания самолета И-200 первый опытный экземпляр, который был закончен в производстве и сдан на проведение заводских летных испытаний 30 марта 1940 (2988).</w:t>
      </w:r>
    </w:p>
    <w:p w14:paraId="0853420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19B3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в ходе гос. испытаний самолета И-153 с герметической кабиной конструкции инженера Щербакова, которые проходили с 22 по 30 июля 1940 состоялось испытание пилотажных качеств самолета с открытым и закрытым фонарем. Высота 7000 м, продолжительность 60 мин. (3190).</w:t>
      </w:r>
    </w:p>
    <w:p w14:paraId="5E0654F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3F649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были закончены заводские испытания САМ-11 МВ-6 Москалева (2090,117).</w:t>
      </w:r>
    </w:p>
    <w:p w14:paraId="0A7D989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F533D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был закончен производством САМ-11 МВ-6 Москалева (2090,117).</w:t>
      </w:r>
    </w:p>
    <w:p w14:paraId="075A336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A71DC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состоялся первый полет МДР-7 П.Д.Самсонова. Разбился после того, как И.М.Шевнин на высоте 100 м скользнул в сторону поворота (4,144), второй испытали весной 1941 (4,144).</w:t>
      </w:r>
    </w:p>
    <w:p w14:paraId="6D1CEAB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65FEB3" w14:textId="77777777" w:rsidR="006C4666" w:rsidRPr="00DB5D0D" w:rsidRDefault="006C466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в 1940 году первый полет морского дальнего разведчика «МДР-7» с водохранилища закончился катастрофой. Летчик Т.В.Рябенко произвел взлет с малой нагрузкой, но на высоте около 100 м при повороте с набором высоты самолет скользнул на крыло в сторону поворота и разбился (14963).</w:t>
      </w:r>
    </w:p>
    <w:p w14:paraId="28E8C8C2" w14:textId="77777777" w:rsidR="006C4666" w:rsidRPr="00DB5D0D" w:rsidRDefault="006C4666" w:rsidP="00DB5D0D">
      <w:pPr>
        <w:spacing w:after="0" w:line="240" w:lineRule="auto"/>
        <w:jc w:val="both"/>
        <w:rPr>
          <w:rFonts w:ascii="Times New Roman" w:hAnsi="Times New Roman"/>
          <w:color w:val="000000" w:themeColor="text1"/>
          <w:sz w:val="16"/>
          <w:szCs w:val="16"/>
        </w:rPr>
      </w:pPr>
    </w:p>
    <w:p w14:paraId="056A89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1940 года ГСТ, которыми с конца 1939 оснащали ЧМФ, стали поступать также на Северный флот. 24 июля 1940 первая лодка этого тина участвовала там к параде по случаю Дня военно-морского флота. В сентябре 1940 в составе 118-го разведывательного полка сформировали 4-ю эскадрилью па машинах этого типа. К началу воины на Черном море находились 11 ГСТ, а на Северном флоте - 7 (3457,48).</w:t>
      </w:r>
    </w:p>
    <w:p w14:paraId="6316ACA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E957FA" w14:textId="77777777" w:rsidR="003C7E8B" w:rsidRPr="00DB5D0D" w:rsidRDefault="003C7E8B" w:rsidP="00DB5D0D">
      <w:pPr>
        <w:tabs>
          <w:tab w:val="left" w:pos="95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 Михельсон на ДВ СССР-Н234 по</w:t>
      </w:r>
      <w:r w:rsidRPr="00DB5D0D">
        <w:rPr>
          <w:rFonts w:ascii="Times New Roman" w:hAnsi="Times New Roman"/>
          <w:color w:val="000000" w:themeColor="text1"/>
          <w:sz w:val="16"/>
          <w:szCs w:val="16"/>
        </w:rPr>
        <w:softHyphen/>
        <w:t>терпел аварию, после нее последовал целый ряд вынужденных посадок: 06.08.40 г., 08.09.40 г., 18.09.40 г., 27.09.40 г., самолет при этом оставался исправным (иначе это была бы авария).</w:t>
      </w:r>
    </w:p>
    <w:p w14:paraId="4DE11A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 154 от 22.10.40 г. машину пе</w:t>
      </w:r>
      <w:r w:rsidRPr="00DB5D0D">
        <w:rPr>
          <w:rFonts w:ascii="Times New Roman" w:hAnsi="Times New Roman"/>
          <w:color w:val="000000" w:themeColor="text1"/>
          <w:sz w:val="16"/>
          <w:szCs w:val="16"/>
        </w:rPr>
        <w:softHyphen/>
        <w:t>редали Московской авиагруппе УПА, а в Ленскую авиагруппу (где в этот момент чис</w:t>
      </w:r>
      <w:r w:rsidRPr="00DB5D0D">
        <w:rPr>
          <w:rFonts w:ascii="Times New Roman" w:hAnsi="Times New Roman"/>
          <w:color w:val="000000" w:themeColor="text1"/>
          <w:sz w:val="16"/>
          <w:szCs w:val="16"/>
        </w:rPr>
        <w:softHyphen/>
        <w:t>лился СССР-Н234) направили однотипный СССР-Н8.</w:t>
      </w:r>
    </w:p>
    <w:p w14:paraId="4FC4F3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1941 г. вышел приказ № 71 о распре</w:t>
      </w:r>
      <w:r w:rsidRPr="00DB5D0D">
        <w:rPr>
          <w:rFonts w:ascii="Times New Roman" w:hAnsi="Times New Roman"/>
          <w:color w:val="000000" w:themeColor="text1"/>
          <w:sz w:val="16"/>
          <w:szCs w:val="16"/>
        </w:rPr>
        <w:softHyphen/>
        <w:t>делении экипажей и самолетов на летнюю на</w:t>
      </w:r>
      <w:r w:rsidRPr="00DB5D0D">
        <w:rPr>
          <w:rFonts w:ascii="Times New Roman" w:hAnsi="Times New Roman"/>
          <w:color w:val="000000" w:themeColor="text1"/>
          <w:sz w:val="16"/>
          <w:szCs w:val="16"/>
        </w:rPr>
        <w:softHyphen/>
        <w:t>вигацию 1941 г. Согласно ему, СССР-Н234 определялся как самолет ледовой разведки на Чукотке. Командир - пилот Асямов, штурман Рубинштейн, 1-й бортмеханик Степанов (по другим данным - Степнов), 2-й бортмеханик Барабанов, бортрадист Наместников.</w:t>
      </w:r>
    </w:p>
    <w:p w14:paraId="51B228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1942 г. самолет числился в Московской группе ОН УПА ГУСМП. На 10-е января 1942 г. машина была в среднем ремонте, на 10-е фев</w:t>
      </w:r>
      <w:r w:rsidRPr="00DB5D0D">
        <w:rPr>
          <w:rFonts w:ascii="Times New Roman" w:hAnsi="Times New Roman"/>
          <w:color w:val="000000" w:themeColor="text1"/>
          <w:sz w:val="16"/>
          <w:szCs w:val="16"/>
        </w:rPr>
        <w:softHyphen/>
        <w:t>раля 1942 г. - в заводском ремонте.</w:t>
      </w:r>
    </w:p>
    <w:p w14:paraId="3ADB66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1942 г. СССР-Н234 использовался для выполнения заданий руководства УПА и ко</w:t>
      </w:r>
      <w:r w:rsidRPr="00DB5D0D">
        <w:rPr>
          <w:rFonts w:ascii="Times New Roman" w:hAnsi="Times New Roman"/>
          <w:color w:val="000000" w:themeColor="text1"/>
          <w:sz w:val="16"/>
          <w:szCs w:val="16"/>
        </w:rPr>
        <w:softHyphen/>
        <w:t>мандования Игарской АГ в составе этой авиа</w:t>
      </w:r>
      <w:r w:rsidRPr="00DB5D0D">
        <w:rPr>
          <w:rFonts w:ascii="Times New Roman" w:hAnsi="Times New Roman"/>
          <w:color w:val="000000" w:themeColor="text1"/>
          <w:sz w:val="16"/>
          <w:szCs w:val="16"/>
        </w:rPr>
        <w:softHyphen/>
        <w:t>группы.</w:t>
      </w:r>
    </w:p>
    <w:p w14:paraId="0E00A7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1942 г. самолет прибыл в Красноярск на КАРЗ. 7 декабря инженер-пилот И.Ф.Коваленко, ст. инженер МАГОН П.В.Бубнов и ст. технолог ЦАРБ Лахов соста</w:t>
      </w:r>
      <w:r w:rsidRPr="00DB5D0D">
        <w:rPr>
          <w:rFonts w:ascii="Times New Roman" w:hAnsi="Times New Roman"/>
          <w:color w:val="000000" w:themeColor="text1"/>
          <w:sz w:val="16"/>
          <w:szCs w:val="16"/>
        </w:rPr>
        <w:softHyphen/>
        <w:t>вили акт, согласно которому машина налетала за время эксплуатации 2020 ч., имела 2 сред</w:t>
      </w:r>
      <w:r w:rsidRPr="00DB5D0D">
        <w:rPr>
          <w:rFonts w:ascii="Times New Roman" w:hAnsi="Times New Roman"/>
          <w:color w:val="000000" w:themeColor="text1"/>
          <w:sz w:val="16"/>
          <w:szCs w:val="16"/>
        </w:rPr>
        <w:softHyphen/>
        <w:t>них и 4 капитальных ремонта. По техническо</w:t>
      </w:r>
      <w:r w:rsidRPr="00DB5D0D">
        <w:rPr>
          <w:rFonts w:ascii="Times New Roman" w:hAnsi="Times New Roman"/>
          <w:color w:val="000000" w:themeColor="text1"/>
          <w:sz w:val="16"/>
          <w:szCs w:val="16"/>
        </w:rPr>
        <w:softHyphen/>
        <w:t>му состоянию пришла в ветхость из-за боль</w:t>
      </w:r>
      <w:r w:rsidRPr="00DB5D0D">
        <w:rPr>
          <w:rFonts w:ascii="Times New Roman" w:hAnsi="Times New Roman"/>
          <w:color w:val="000000" w:themeColor="text1"/>
          <w:sz w:val="16"/>
          <w:szCs w:val="16"/>
        </w:rPr>
        <w:softHyphen/>
        <w:t>шого срока эксплуатации (14 лет). С 1938 г. по 1942 г. ежегодно проходила заводской капре</w:t>
      </w:r>
      <w:r w:rsidRPr="00DB5D0D">
        <w:rPr>
          <w:rFonts w:ascii="Times New Roman" w:hAnsi="Times New Roman"/>
          <w:color w:val="000000" w:themeColor="text1"/>
          <w:sz w:val="16"/>
          <w:szCs w:val="16"/>
        </w:rPr>
        <w:softHyphen/>
        <w:t>монт. «Из-за них вес увеличился до 4650 кг. Полная нагрузка снизилась до 2350 кг, ком</w:t>
      </w:r>
      <w:r w:rsidRPr="00DB5D0D">
        <w:rPr>
          <w:rFonts w:ascii="Times New Roman" w:hAnsi="Times New Roman"/>
          <w:color w:val="000000" w:themeColor="text1"/>
          <w:sz w:val="16"/>
          <w:szCs w:val="16"/>
        </w:rPr>
        <w:softHyphen/>
        <w:t>мерческая -до 960 кг. Потолокуменьшилсядо 2000 метров. Гидро и аэродинамические свой</w:t>
      </w:r>
      <w:r w:rsidRPr="00DB5D0D">
        <w:rPr>
          <w:rFonts w:ascii="Times New Roman" w:hAnsi="Times New Roman"/>
          <w:color w:val="000000" w:themeColor="text1"/>
          <w:sz w:val="16"/>
          <w:szCs w:val="16"/>
        </w:rPr>
        <w:softHyphen/>
        <w:t>ства упали. Набор высоты при V пред.=125 км/ч. Пилотирование затруднено». Ремонт са</w:t>
      </w:r>
      <w:r w:rsidRPr="00DB5D0D">
        <w:rPr>
          <w:rFonts w:ascii="Times New Roman" w:hAnsi="Times New Roman"/>
          <w:color w:val="000000" w:themeColor="text1"/>
          <w:sz w:val="16"/>
          <w:szCs w:val="16"/>
        </w:rPr>
        <w:softHyphen/>
        <w:t>молета признали нерентабельным. Приказом по ГУСМП № Р-181 от 26.12.42 г. СССР-Н234 списали и исключили из списков самолетно- моторного парка УПА. [РГАЭ, 9570-2-267] (11977).</w:t>
      </w:r>
    </w:p>
    <w:p w14:paraId="4A34AF4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2347F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Зам. НКАП В.П.Кузнецов подготовил Справку "О выполнении заводом N 82 НКАП постановления КО при СНК от 12 мая 1940 N 200сс и Приказа НКАП от 21 мая 1940 N 222сс по вопросу организации производства дизель-мотора М-30 и постановления КО при СНК от 7 мая 1940 N 198сс и приказа НКАП от 15 мая 1940 N 213сс во вопросу создания мощного авиадизеля М-20 конструкции ОТБ НКВД - очень подробная и в т.ч. по морскому дизелю М-50 (1296,236).</w:t>
      </w:r>
    </w:p>
    <w:p w14:paraId="130643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 СЕКРЕТНО</w:t>
      </w:r>
    </w:p>
    <w:p w14:paraId="72502C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КОМИССАРУ АВИАЦИОННОЙ ПРОМЫШЛЕННОСТИ СССР</w:t>
      </w:r>
    </w:p>
    <w:p w14:paraId="08B7A5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smallCaps/>
          <w:color w:val="000000" w:themeColor="text1"/>
          <w:sz w:val="16"/>
          <w:szCs w:val="16"/>
        </w:rPr>
        <w:t>тов. Ш</w:t>
      </w:r>
      <w:r w:rsidRPr="00DB5D0D">
        <w:rPr>
          <w:rFonts w:ascii="Times New Roman" w:hAnsi="Times New Roman"/>
          <w:color w:val="000000" w:themeColor="text1"/>
          <w:sz w:val="16"/>
          <w:szCs w:val="16"/>
        </w:rPr>
        <w:t>АХУРИНУ.А.И.</w:t>
      </w:r>
    </w:p>
    <w:p w14:paraId="0858D0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 Р А В К А</w:t>
      </w:r>
    </w:p>
    <w:p w14:paraId="52456F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выполнении заводом № 82 НКАП постановления КО при СНК СССР от 12 мая 1940 г. за .№ 200сс и приказа Наркома Авиапромышлен</w:t>
      </w:r>
      <w:r w:rsidRPr="00DB5D0D">
        <w:rPr>
          <w:rFonts w:ascii="Times New Roman" w:hAnsi="Times New Roman"/>
          <w:color w:val="000000" w:themeColor="text1"/>
          <w:sz w:val="16"/>
          <w:szCs w:val="16"/>
        </w:rPr>
        <w:softHyphen/>
        <w:t>ности от 21 мая 1940 г. за № 222сс - по вопросу организации производства дизельмотора М-30, и постановления КО при СНК СССР от 7 мая 1940 г. за № 198сс и приказа Наркома Авиапромышленнос</w:t>
      </w:r>
      <w:r w:rsidRPr="00DB5D0D">
        <w:rPr>
          <w:rFonts w:ascii="Times New Roman" w:hAnsi="Times New Roman"/>
          <w:color w:val="000000" w:themeColor="text1"/>
          <w:sz w:val="16"/>
          <w:szCs w:val="16"/>
        </w:rPr>
        <w:softHyphen/>
        <w:t>ти СССР от 15 мая 1940 г. за № 213сс - по вопросу создания мощ</w:t>
      </w:r>
      <w:r w:rsidRPr="00DB5D0D">
        <w:rPr>
          <w:rFonts w:ascii="Times New Roman" w:hAnsi="Times New Roman"/>
          <w:color w:val="000000" w:themeColor="text1"/>
          <w:sz w:val="16"/>
          <w:szCs w:val="16"/>
        </w:rPr>
        <w:softHyphen/>
        <w:t>ного авиадизеля М-20 конструкции ОТБ НКВД".</w:t>
      </w:r>
    </w:p>
    <w:p w14:paraId="4CCA46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КРАТКОЕ СОДЕРЖАНИЕ ПОСТАНОВЛЕНИЙ КО ПРИ СНК СССР П0</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 xml:space="preserve"> ВОПРОСУ ПРОИЗВОДСТВА ДИЗЕЛЬМОТОРОВ М-30 и М-20.</w:t>
      </w:r>
    </w:p>
    <w:p w14:paraId="06FE17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производству яизельмотора М-30.</w:t>
      </w:r>
    </w:p>
    <w:p w14:paraId="5CC537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Поставить на производство в 1940-41 гг. дизельмотор М-30 с установлением следующей программы:</w:t>
      </w:r>
    </w:p>
    <w:p w14:paraId="14F628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1940 г. - 50 шт.</w:t>
      </w:r>
    </w:p>
    <w:p w14:paraId="428A7C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1941 г. - 600 шт-.</w:t>
      </w:r>
    </w:p>
    <w:p w14:paraId="55D8238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1 апреля 1941 г. довести мощность завода до 1000 шт.</w:t>
      </w:r>
    </w:p>
    <w:p w14:paraId="5FD6EB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Дизельмотор М-30 изготовить со следующими тактико-техни</w:t>
      </w:r>
      <w:r w:rsidRPr="00DB5D0D">
        <w:rPr>
          <w:rFonts w:ascii="Times New Roman" w:hAnsi="Times New Roman"/>
          <w:color w:val="000000" w:themeColor="text1"/>
          <w:sz w:val="16"/>
          <w:szCs w:val="16"/>
        </w:rPr>
        <w:softHyphen/>
        <w:t>ческими данными:</w:t>
      </w:r>
    </w:p>
    <w:p w14:paraId="530BB2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- 1500 л.с.</w:t>
      </w:r>
    </w:p>
    <w:p w14:paraId="02CB67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w:t>
      </w:r>
    </w:p>
    <w:p w14:paraId="503F87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6000 метр. - 1250. л.с.</w:t>
      </w:r>
    </w:p>
    <w:p w14:paraId="302F83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испытание дизельмотора М-30 в следующие сроки:</w:t>
      </w:r>
    </w:p>
    <w:p w14:paraId="29E63A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два первых мотора М-30 поставить на заводские испытания в мае 1940 года;</w:t>
      </w:r>
    </w:p>
    <w:p w14:paraId="0067BA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довести ресурс работы мотора М-30 до 100 час. и провести его государственные испытания в августе 1940 г.</w:t>
      </w:r>
    </w:p>
    <w:p w14:paraId="266C89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Обеспечить установку дизельмоторов М-30 на самолеты ТБ-7 и ДБ-240 для заводских и государственных испытаний:</w:t>
      </w:r>
    </w:p>
    <w:p w14:paraId="2CF3B5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четыре дизельмотора М-30 для ТБ-7 - к 15 декабря 1940 г.;</w:t>
      </w:r>
    </w:p>
    <w:p w14:paraId="1C96CD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два дизельмотора М-30 для ДБ-240 - к 1 октября 1940 г.</w:t>
      </w:r>
    </w:p>
    <w:p w14:paraId="60533B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w:t>
      </w:r>
      <w:r w:rsidRPr="00DB5D0D">
        <w:rPr>
          <w:rFonts w:ascii="Times New Roman" w:hAnsi="Times New Roman"/>
          <w:smallCaps/>
          <w:color w:val="000000" w:themeColor="text1"/>
          <w:sz w:val="16"/>
          <w:szCs w:val="16"/>
        </w:rPr>
        <w:t xml:space="preserve">производству </w:t>
      </w:r>
      <w:r w:rsidRPr="00DB5D0D">
        <w:rPr>
          <w:rFonts w:ascii="Times New Roman" w:hAnsi="Times New Roman"/>
          <w:color w:val="000000" w:themeColor="text1"/>
          <w:sz w:val="16"/>
          <w:szCs w:val="16"/>
        </w:rPr>
        <w:t>дизельмотора М-20.</w:t>
      </w:r>
    </w:p>
    <w:p w14:paraId="7420FE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Директору завода № 82 в кооперации с заводами №№ 20, 24, 27, 34, 95, 219, ЦИАМ и Оргоборонпромом - построить мощный авиационный дизельный мотор М-20 конструкции ОТБ НКВД, со следующими тактико-техническими требованиями:</w:t>
      </w:r>
    </w:p>
    <w:p w14:paraId="30C779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- 2200 л.с.</w:t>
      </w:r>
    </w:p>
    <w:p w14:paraId="6F93CF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- 2000 л.с.</w:t>
      </w:r>
    </w:p>
    <w:p w14:paraId="147F7E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- 8000 метр,</w:t>
      </w:r>
    </w:p>
    <w:p w14:paraId="7A3765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удельный вес не более - 0,75 кг/л.с.ч.</w:t>
      </w:r>
    </w:p>
    <w:p w14:paraId="3A489A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удельный расход топ</w:t>
      </w:r>
      <w:r w:rsidRPr="00DB5D0D">
        <w:rPr>
          <w:rFonts w:ascii="Times New Roman" w:hAnsi="Times New Roman"/>
          <w:color w:val="000000" w:themeColor="text1"/>
          <w:sz w:val="16"/>
          <w:szCs w:val="16"/>
        </w:rPr>
        <w:softHyphen/>
        <w:t>лива не более - 185 кг/л.с.ч.</w:t>
      </w:r>
    </w:p>
    <w:p w14:paraId="0E5BE9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Для изготовления пеовых 10-ти экземпляров мотора М-20 устанавливаются следующие сроки:</w:t>
      </w:r>
    </w:p>
    <w:p w14:paraId="77104A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экземпляра - в декабре 1940 г.</w:t>
      </w:r>
    </w:p>
    <w:p w14:paraId="471107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экземпляра - в марте 1941 г.</w:t>
      </w:r>
    </w:p>
    <w:p w14:paraId="734AA92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экземпляра - в м а е 1941 г.</w:t>
      </w:r>
    </w:p>
    <w:p w14:paraId="1247C0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экземпляра - в июне 1941 г.</w:t>
      </w:r>
    </w:p>
    <w:p w14:paraId="65AF6E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Директору завода № 82 - провести совместно с НКО -50-часовое испытание мотора М-20 в июле 1941 г.: 100-часовые государственные испытания провести в декабре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7D5DF8" w:rsidRPr="00DB5D0D" w14:paraId="38053624" w14:textId="77777777" w:rsidTr="00E543D0">
        <w:tc>
          <w:tcPr>
            <w:tcW w:w="5605" w:type="dxa"/>
            <w:tcBorders>
              <w:top w:val="single" w:sz="12" w:space="0" w:color="auto"/>
            </w:tcBorders>
          </w:tcPr>
          <w:p w14:paraId="16395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 Д А Н-И Е</w:t>
            </w:r>
          </w:p>
        </w:tc>
        <w:tc>
          <w:tcPr>
            <w:tcW w:w="5605" w:type="dxa"/>
            <w:tcBorders>
              <w:top w:val="single" w:sz="12" w:space="0" w:color="auto"/>
            </w:tcBorders>
          </w:tcPr>
          <w:p w14:paraId="30E764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ЗАДАНИЯ</w:t>
            </w:r>
          </w:p>
        </w:tc>
      </w:tr>
      <w:tr w:rsidR="007D5DF8" w:rsidRPr="00DB5D0D" w14:paraId="443A8063" w14:textId="77777777" w:rsidTr="00E543D0">
        <w:tc>
          <w:tcPr>
            <w:tcW w:w="5605" w:type="dxa"/>
          </w:tcPr>
          <w:p w14:paraId="3AFADC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w:t>
            </w:r>
            <w:r w:rsidRPr="00DB5D0D">
              <w:rPr>
                <w:rFonts w:ascii="Times New Roman" w:hAnsi="Times New Roman"/>
                <w:smallCaps/>
                <w:color w:val="000000" w:themeColor="text1"/>
                <w:sz w:val="16"/>
                <w:szCs w:val="16"/>
              </w:rPr>
              <w:t xml:space="preserve">производству </w:t>
            </w:r>
            <w:r w:rsidRPr="00DB5D0D">
              <w:rPr>
                <w:rFonts w:ascii="Times New Roman" w:hAnsi="Times New Roman"/>
                <w:color w:val="000000" w:themeColor="text1"/>
                <w:sz w:val="16"/>
                <w:szCs w:val="16"/>
              </w:rPr>
              <w:t>дизельмотора М-30</w:t>
            </w:r>
          </w:p>
        </w:tc>
        <w:tc>
          <w:tcPr>
            <w:tcW w:w="5605" w:type="dxa"/>
          </w:tcPr>
          <w:p w14:paraId="44F9F50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004F5A0" w14:textId="77777777" w:rsidTr="00E543D0">
        <w:tc>
          <w:tcPr>
            <w:tcW w:w="5605" w:type="dxa"/>
          </w:tcPr>
          <w:p w14:paraId="135C24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Дизельмотор М-30 изготовить со следующими тактико-техническими данными:</w:t>
            </w:r>
          </w:p>
          <w:p w14:paraId="50E537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 мощи. - 1500 л.с.</w:t>
            </w:r>
          </w:p>
          <w:p w14:paraId="04910E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яомин.мощн.на высоте 6000 м. - 1250 л.с.</w:t>
            </w:r>
          </w:p>
          <w:p w14:paraId="4BE88B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испытания ди</w:t>
            </w:r>
            <w:r w:rsidRPr="00DB5D0D">
              <w:rPr>
                <w:rFonts w:ascii="Times New Roman" w:hAnsi="Times New Roman"/>
                <w:color w:val="000000" w:themeColor="text1"/>
                <w:sz w:val="16"/>
                <w:szCs w:val="16"/>
              </w:rPr>
              <w:softHyphen/>
              <w:t>зельмотора М-30 в следующие сроки:</w:t>
            </w:r>
          </w:p>
          <w:p w14:paraId="3330D1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два первых мотора М-30 поставить на заводские испытания в мае 1940 г.;</w:t>
            </w:r>
          </w:p>
          <w:p w14:paraId="72E8FC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довести рестсс работы мотора М-30 до 100-часов и провести его гос.испытания в августе 1940 г.</w:t>
            </w:r>
          </w:p>
        </w:tc>
        <w:tc>
          <w:tcPr>
            <w:tcW w:w="5605" w:type="dxa"/>
          </w:tcPr>
          <w:p w14:paraId="6F20BB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мае месяце были собраны и постав</w:t>
            </w:r>
            <w:r w:rsidRPr="00DB5D0D">
              <w:rPr>
                <w:rFonts w:ascii="Times New Roman" w:hAnsi="Times New Roman"/>
                <w:color w:val="000000" w:themeColor="text1"/>
                <w:sz w:val="16"/>
                <w:szCs w:val="16"/>
              </w:rPr>
              <w:softHyphen/>
              <w:t>лены на испытания два дизельмотора М-30</w:t>
            </w:r>
          </w:p>
          <w:p w14:paraId="55C2F8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Мотор № 1 наработал всего 102 ч.: из них - 65 час, режимных. Оставлен по при</w:t>
            </w:r>
            <w:r w:rsidRPr="00DB5D0D">
              <w:rPr>
                <w:rFonts w:ascii="Times New Roman" w:hAnsi="Times New Roman"/>
                <w:color w:val="000000" w:themeColor="text1"/>
                <w:sz w:val="16"/>
                <w:szCs w:val="16"/>
              </w:rPr>
              <w:softHyphen/>
              <w:t>чине поломки коленвала, изготовленного из заготовки свободной ковки, т.е. по</w:t>
            </w:r>
            <w:r w:rsidRPr="00DB5D0D">
              <w:rPr>
                <w:rFonts w:ascii="Times New Roman" w:hAnsi="Times New Roman"/>
                <w:color w:val="000000" w:themeColor="text1"/>
                <w:sz w:val="16"/>
                <w:szCs w:val="16"/>
              </w:rPr>
              <w:softHyphen/>
              <w:t>ниженного качества</w:t>
            </w:r>
          </w:p>
          <w:p w14:paraId="33BF42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 2 наработал всего 107 ч.: из них 72 часа режимных. Оставлен по при</w:t>
            </w:r>
            <w:r w:rsidRPr="00DB5D0D">
              <w:rPr>
                <w:rFonts w:ascii="Times New Roman" w:hAnsi="Times New Roman"/>
                <w:color w:val="000000" w:themeColor="text1"/>
                <w:sz w:val="16"/>
                <w:szCs w:val="16"/>
              </w:rPr>
              <w:softHyphen/>
              <w:t>чине поломки прицепного шатуна, из-за неудовлетворительной сборки мотора.</w:t>
            </w:r>
          </w:p>
          <w:p w14:paraId="4B58E23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Аналогичный случай повторился в июне месяце на моторе -</w:t>
            </w:r>
            <w:r w:rsidRPr="00DB5D0D">
              <w:rPr>
                <w:rFonts w:ascii="Times New Roman" w:hAnsi="Times New Roman"/>
                <w:color w:val="000000" w:themeColor="text1"/>
                <w:sz w:val="16"/>
                <w:szCs w:val="16"/>
                <w:vertAlign w:val="superscript"/>
              </w:rPr>
              <w:t>1</w:t>
            </w:r>
            <w:r w:rsidRPr="00DB5D0D">
              <w:rPr>
                <w:rFonts w:ascii="Times New Roman" w:hAnsi="Times New Roman"/>
                <w:color w:val="000000" w:themeColor="text1"/>
                <w:sz w:val="16"/>
                <w:szCs w:val="16"/>
              </w:rPr>
              <w:t>,? 3, у которого на^первой зсе обкатке' погшался прицеп</w:t>
            </w:r>
            <w:r w:rsidRPr="00DB5D0D">
              <w:rPr>
                <w:rFonts w:ascii="Times New Roman" w:hAnsi="Times New Roman"/>
                <w:color w:val="000000" w:themeColor="text1"/>
                <w:sz w:val="16"/>
                <w:szCs w:val="16"/>
              </w:rPr>
              <w:softHyphen/>
              <w:t>ной шатун.</w:t>
            </w:r>
          </w:p>
          <w:p w14:paraId="2BEB96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испытании дизелъмоторов М-30 были излучены заявленные данные, как по мощности, так и по расходу топлива, т.е. номинальная мощность -1250 л.с. и расход топлива - 160-155 гр/л.с.ч.</w:t>
            </w:r>
          </w:p>
          <w:p w14:paraId="080028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не снималась из-за отсутствия соответствующих турбокомпрессо</w:t>
            </w:r>
            <w:r w:rsidRPr="00DB5D0D">
              <w:rPr>
                <w:rFonts w:ascii="Times New Roman" w:hAnsi="Times New Roman"/>
                <w:color w:val="000000" w:themeColor="text1"/>
                <w:sz w:val="16"/>
                <w:szCs w:val="16"/>
              </w:rPr>
              <w:softHyphen/>
              <w:t>ров.</w:t>
            </w:r>
          </w:p>
          <w:p w14:paraId="092D75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дефектами, выявившимися при заводских испытаниях мотора М-30: поломка коленчатого вала, обрыв шатуна, выбрасыва ние масла из картера через суфлер, - возможные сроки пред"явлеяия мотора М-40 на государственные испетания задержатся от установленных на 1 - 2 месяца.</w:t>
            </w:r>
          </w:p>
        </w:tc>
      </w:tr>
      <w:tr w:rsidR="007D5DF8" w:rsidRPr="00DB5D0D" w14:paraId="22D5D929" w14:textId="77777777" w:rsidTr="00E543D0">
        <w:tc>
          <w:tcPr>
            <w:tcW w:w="5605" w:type="dxa"/>
          </w:tcPr>
          <w:p w14:paraId="494FD7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Поставить на производ</w:t>
            </w:r>
            <w:r w:rsidRPr="00DB5D0D">
              <w:rPr>
                <w:rFonts w:ascii="Times New Roman" w:hAnsi="Times New Roman"/>
                <w:color w:val="000000" w:themeColor="text1"/>
                <w:sz w:val="16"/>
                <w:szCs w:val="16"/>
              </w:rPr>
              <w:softHyphen/>
              <w:t>ство в 1940-41гг. дизельмо</w:t>
            </w:r>
            <w:r w:rsidRPr="00DB5D0D">
              <w:rPr>
                <w:rFonts w:ascii="Times New Roman" w:hAnsi="Times New Roman"/>
                <w:color w:val="000000" w:themeColor="text1"/>
                <w:sz w:val="16"/>
                <w:szCs w:val="16"/>
              </w:rPr>
              <w:softHyphen/>
              <w:t>тор- М-30 с установлением следующей программы:</w:t>
            </w:r>
          </w:p>
          <w:p w14:paraId="171714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1940 г. - 50 шт.</w:t>
            </w:r>
          </w:p>
          <w:p w14:paraId="6B79D5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1941 г. -600 шт.</w:t>
            </w:r>
          </w:p>
          <w:p w14:paraId="3C0644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1-е апреля 1941 г. двести мощность завода до - 1000 шт.</w:t>
            </w:r>
          </w:p>
        </w:tc>
        <w:tc>
          <w:tcPr>
            <w:tcW w:w="5605" w:type="dxa"/>
          </w:tcPr>
          <w:p w14:paraId="577085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второй половине 1939г. и первой по</w:t>
            </w:r>
            <w:r w:rsidRPr="00DB5D0D">
              <w:rPr>
                <w:rFonts w:ascii="Times New Roman" w:hAnsi="Times New Roman"/>
                <w:color w:val="000000" w:themeColor="text1"/>
                <w:sz w:val="16"/>
                <w:szCs w:val="16"/>
              </w:rPr>
              <w:softHyphen/>
              <w:t>ловине 1940 г. на старой производственной площадке завода № 82 проведена реконструк</w:t>
            </w:r>
            <w:r w:rsidRPr="00DB5D0D">
              <w:rPr>
                <w:rFonts w:ascii="Times New Roman" w:hAnsi="Times New Roman"/>
                <w:color w:val="000000" w:themeColor="text1"/>
                <w:sz w:val="16"/>
                <w:szCs w:val="16"/>
              </w:rPr>
              <w:softHyphen/>
              <w:t>ция завода, с целью подготовки производст</w:t>
            </w:r>
            <w:r w:rsidRPr="00DB5D0D">
              <w:rPr>
                <w:rFonts w:ascii="Times New Roman" w:hAnsi="Times New Roman"/>
                <w:color w:val="000000" w:themeColor="text1"/>
                <w:sz w:val="16"/>
                <w:szCs w:val="16"/>
              </w:rPr>
              <w:softHyphen/>
              <w:t>ва небольшого количества авиадизелей.</w:t>
            </w:r>
          </w:p>
          <w:p w14:paraId="12BF2F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Пропускные возможности действующих це</w:t>
            </w:r>
            <w:r w:rsidRPr="00DB5D0D">
              <w:rPr>
                <w:rFonts w:ascii="Times New Roman" w:hAnsi="Times New Roman"/>
                <w:color w:val="000000" w:themeColor="text1"/>
                <w:sz w:val="16"/>
                <w:szCs w:val="16"/>
              </w:rPr>
              <w:softHyphen/>
              <w:t>хов завода (старой площадки) не обеспечат выполнения заданной программы на 1940-41 г.</w:t>
            </w:r>
          </w:p>
          <w:p w14:paraId="4B9BDE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программы выпуска дизельмоторов М-30 зависит от сроков ввода в эксплпатацию 1-й очереди строительства (главный корпус, литейный корпус, кузнечный корпус и испытательная станция) завода.</w:t>
            </w:r>
          </w:p>
          <w:p w14:paraId="35A12A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затруднения по доведению мощ</w:t>
            </w:r>
            <w:r w:rsidRPr="00DB5D0D">
              <w:rPr>
                <w:rFonts w:ascii="Times New Roman" w:hAnsi="Times New Roman"/>
                <w:color w:val="000000" w:themeColor="text1"/>
                <w:sz w:val="16"/>
                <w:szCs w:val="16"/>
              </w:rPr>
              <w:softHyphen/>
              <w:t>ности завода до заданных количеств отно</w:t>
            </w:r>
            <w:r w:rsidRPr="00DB5D0D">
              <w:rPr>
                <w:rFonts w:ascii="Times New Roman" w:hAnsi="Times New Roman"/>
                <w:color w:val="000000" w:themeColor="text1"/>
                <w:sz w:val="16"/>
                <w:szCs w:val="16"/>
              </w:rPr>
              <w:softHyphen/>
              <w:t>сится к недостатку электрооборудования, станочного оборудования и строительных ма</w:t>
            </w:r>
            <w:r w:rsidRPr="00DB5D0D">
              <w:rPr>
                <w:rFonts w:ascii="Times New Roman" w:hAnsi="Times New Roman"/>
                <w:color w:val="000000" w:themeColor="text1"/>
                <w:sz w:val="16"/>
                <w:szCs w:val="16"/>
              </w:rPr>
              <w:softHyphen/>
              <w:t>териалов.</w:t>
            </w:r>
          </w:p>
          <w:p w14:paraId="02DAE6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Установленный КО при СНК СССР от 12/7-1940 г. за № 200сс срок ввода в эксплоатацию 1-й очереди строительства - 1 сентяб</w:t>
            </w:r>
            <w:r w:rsidRPr="00DB5D0D">
              <w:rPr>
                <w:rFonts w:ascii="Times New Roman" w:hAnsi="Times New Roman"/>
                <w:color w:val="000000" w:themeColor="text1"/>
                <w:sz w:val="16"/>
                <w:szCs w:val="16"/>
              </w:rPr>
              <w:softHyphen/>
              <w:t>ря 1940 г. по указанным выше причинам не будет выполнен.</w:t>
            </w:r>
          </w:p>
        </w:tc>
      </w:tr>
      <w:tr w:rsidR="007D5DF8" w:rsidRPr="00DB5D0D" w14:paraId="3A637CA8" w14:textId="77777777" w:rsidTr="00E543D0">
        <w:tc>
          <w:tcPr>
            <w:tcW w:w="5605" w:type="dxa"/>
          </w:tcPr>
          <w:p w14:paraId="00F8CF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Обеспечить установку дизелъмоторов М-30 на са</w:t>
            </w:r>
            <w:r w:rsidRPr="00DB5D0D">
              <w:rPr>
                <w:rFonts w:ascii="Times New Roman" w:hAnsi="Times New Roman"/>
                <w:color w:val="000000" w:themeColor="text1"/>
                <w:sz w:val="16"/>
                <w:szCs w:val="16"/>
              </w:rPr>
              <w:softHyphen/>
              <w:t>молеты ТБ-7 и ДБ-240 для заводских и государствен</w:t>
            </w:r>
            <w:r w:rsidRPr="00DB5D0D">
              <w:rPr>
                <w:rFonts w:ascii="Times New Roman" w:hAnsi="Times New Roman"/>
                <w:color w:val="000000" w:themeColor="text1"/>
                <w:sz w:val="16"/>
                <w:szCs w:val="16"/>
              </w:rPr>
              <w:softHyphen/>
              <w:t>ных испытаний:</w:t>
            </w:r>
          </w:p>
          <w:p w14:paraId="644482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4 дизельмотора М-30-для-ТБ-7 - к 15/ХП-40 г.;</w:t>
            </w:r>
          </w:p>
          <w:p w14:paraId="3360B9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2 дизельмотора М-30 для ДБ-240 - к 1/Х-40 г.</w:t>
            </w:r>
          </w:p>
        </w:tc>
        <w:tc>
          <w:tcPr>
            <w:tcW w:w="5605" w:type="dxa"/>
          </w:tcPr>
          <w:p w14:paraId="20C05B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82 пред"явит дизельмоторы М-30 для летных испытании в установленные Пра</w:t>
            </w:r>
            <w:r w:rsidRPr="00DB5D0D">
              <w:rPr>
                <w:rFonts w:ascii="Times New Roman" w:hAnsi="Times New Roman"/>
                <w:color w:val="000000" w:themeColor="text1"/>
                <w:sz w:val="16"/>
                <w:szCs w:val="16"/>
              </w:rPr>
              <w:softHyphen/>
              <w:t>вительством сроки.</w:t>
            </w:r>
          </w:p>
          <w:p w14:paraId="0E785B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подготовке самолета для испы</w:t>
            </w:r>
            <w:r w:rsidRPr="00DB5D0D">
              <w:rPr>
                <w:rFonts w:ascii="Times New Roman" w:hAnsi="Times New Roman"/>
                <w:color w:val="000000" w:themeColor="text1"/>
                <w:sz w:val="16"/>
                <w:szCs w:val="16"/>
              </w:rPr>
              <w:softHyphen/>
              <w:t>тания мотора М-30 на заводах №№ 124 и 240 идут недопустимо медленно, вследствие че</w:t>
            </w:r>
            <w:r w:rsidRPr="00DB5D0D">
              <w:rPr>
                <w:rFonts w:ascii="Times New Roman" w:hAnsi="Times New Roman"/>
                <w:color w:val="000000" w:themeColor="text1"/>
                <w:sz w:val="16"/>
                <w:szCs w:val="16"/>
              </w:rPr>
              <w:softHyphen/>
              <w:t>го проведение летных испытании находится под угрозой срыва.</w:t>
            </w:r>
          </w:p>
        </w:tc>
      </w:tr>
      <w:tr w:rsidR="007D5DF8" w:rsidRPr="00DB5D0D" w14:paraId="02DC70A8" w14:textId="77777777" w:rsidTr="00E543D0">
        <w:tc>
          <w:tcPr>
            <w:tcW w:w="5605" w:type="dxa"/>
          </w:tcPr>
          <w:p w14:paraId="15B218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w:t>
            </w:r>
            <w:r w:rsidRPr="00DB5D0D">
              <w:rPr>
                <w:rFonts w:ascii="Times New Roman" w:hAnsi="Times New Roman"/>
                <w:smallCaps/>
                <w:color w:val="000000" w:themeColor="text1"/>
                <w:sz w:val="16"/>
                <w:szCs w:val="16"/>
              </w:rPr>
              <w:t xml:space="preserve">производству </w:t>
            </w:r>
            <w:r w:rsidRPr="00DB5D0D">
              <w:rPr>
                <w:rFonts w:ascii="Times New Roman" w:hAnsi="Times New Roman"/>
                <w:color w:val="000000" w:themeColor="text1"/>
                <w:sz w:val="16"/>
                <w:szCs w:val="16"/>
              </w:rPr>
              <w:t>дизельмотора М-30</w:t>
            </w:r>
          </w:p>
        </w:tc>
        <w:tc>
          <w:tcPr>
            <w:tcW w:w="5605" w:type="dxa"/>
          </w:tcPr>
          <w:p w14:paraId="6C653C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C90F6FC" w14:textId="77777777" w:rsidTr="00E543D0">
        <w:tc>
          <w:tcPr>
            <w:tcW w:w="5605" w:type="dxa"/>
          </w:tcPr>
          <w:p w14:paraId="5DDAA1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Директору завода № 82</w:t>
            </w:r>
          </w:p>
          <w:p w14:paraId="27703F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кооперации с заводами №№ 20, 24, 27, 34, 95, 219, ЦИАМ и Оргоборояпром"ом - построить мощ</w:t>
            </w:r>
            <w:r w:rsidRPr="00DB5D0D">
              <w:rPr>
                <w:rFonts w:ascii="Times New Roman" w:hAnsi="Times New Roman"/>
                <w:color w:val="000000" w:themeColor="text1"/>
                <w:sz w:val="16"/>
                <w:szCs w:val="16"/>
              </w:rPr>
              <w:softHyphen/>
              <w:t>ный авиационный дизельмотор М-20-конструкции ОТБ НКВД, со следующими тактико-технически</w:t>
            </w:r>
            <w:r w:rsidRPr="00DB5D0D">
              <w:rPr>
                <w:rFonts w:ascii="Times New Roman" w:hAnsi="Times New Roman"/>
                <w:color w:val="000000" w:themeColor="text1"/>
                <w:sz w:val="16"/>
                <w:szCs w:val="16"/>
              </w:rPr>
              <w:softHyphen/>
              <w:t>ми данными:</w:t>
            </w:r>
          </w:p>
          <w:p w14:paraId="18478F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-2200 лс</w:t>
            </w:r>
          </w:p>
          <w:p w14:paraId="0C4EE4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номинальн.мощн. -2000</w:t>
            </w:r>
          </w:p>
          <w:p w14:paraId="4997B4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-8000 м</w:t>
            </w:r>
          </w:p>
          <w:p w14:paraId="5BFA74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удел.вес не более 0,75 кг/л.с.ч</w:t>
            </w:r>
          </w:p>
          <w:p w14:paraId="3252AE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удел.расход топли</w:t>
            </w:r>
            <w:r w:rsidRPr="00DB5D0D">
              <w:rPr>
                <w:rFonts w:ascii="Times New Roman" w:hAnsi="Times New Roman"/>
                <w:color w:val="000000" w:themeColor="text1"/>
                <w:sz w:val="16"/>
                <w:szCs w:val="16"/>
              </w:rPr>
              <w:softHyphen/>
              <w:t>ва не более - 185 кг/л.с.</w:t>
            </w:r>
          </w:p>
        </w:tc>
        <w:tc>
          <w:tcPr>
            <w:tcW w:w="5605" w:type="dxa"/>
          </w:tcPr>
          <w:p w14:paraId="28EF0A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заводской экспериментальной уста</w:t>
            </w:r>
            <w:r w:rsidRPr="00DB5D0D">
              <w:rPr>
                <w:rFonts w:ascii="Times New Roman" w:hAnsi="Times New Roman"/>
                <w:color w:val="000000" w:themeColor="text1"/>
                <w:sz w:val="16"/>
                <w:szCs w:val="16"/>
              </w:rPr>
              <w:softHyphen/>
              <w:t>новке, одной секции будущего дизельмотора М-20 получены результаты испытаний, подтверждающие расчетные данные мотооа М-20.</w:t>
            </w:r>
          </w:p>
          <w:p w14:paraId="7584A3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испытании выявлен ряд затруд</w:t>
            </w:r>
            <w:r w:rsidRPr="00DB5D0D">
              <w:rPr>
                <w:rFonts w:ascii="Times New Roman" w:hAnsi="Times New Roman"/>
                <w:color w:val="000000" w:themeColor="text1"/>
                <w:sz w:val="16"/>
                <w:szCs w:val="16"/>
              </w:rPr>
              <w:softHyphen/>
              <w:t>нении по отработке цилиндровой груп</w:t>
            </w:r>
            <w:r w:rsidRPr="00DB5D0D">
              <w:rPr>
                <w:rFonts w:ascii="Times New Roman" w:hAnsi="Times New Roman"/>
                <w:color w:val="000000" w:themeColor="text1"/>
                <w:sz w:val="16"/>
                <w:szCs w:val="16"/>
              </w:rPr>
              <w:softHyphen/>
              <w:t>пы повышенных расходов и подаче топ</w:t>
            </w:r>
            <w:r w:rsidRPr="00DB5D0D">
              <w:rPr>
                <w:rFonts w:ascii="Times New Roman" w:hAnsi="Times New Roman"/>
                <w:color w:val="000000" w:themeColor="text1"/>
                <w:sz w:val="16"/>
                <w:szCs w:val="16"/>
              </w:rPr>
              <w:softHyphen/>
              <w:t>лива.</w:t>
            </w:r>
          </w:p>
        </w:tc>
      </w:tr>
      <w:tr w:rsidR="007D5DF8" w:rsidRPr="00DB5D0D" w14:paraId="1977666C" w14:textId="77777777" w:rsidTr="00E543D0">
        <w:tc>
          <w:tcPr>
            <w:tcW w:w="5605" w:type="dxa"/>
          </w:tcPr>
          <w:p w14:paraId="60601D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Для изготовления первых десяти экземпляров мотора М-20, устанавливаются следующие сро</w:t>
            </w:r>
            <w:r w:rsidRPr="00DB5D0D">
              <w:rPr>
                <w:rFonts w:ascii="Times New Roman" w:hAnsi="Times New Roman"/>
                <w:color w:val="000000" w:themeColor="text1"/>
                <w:sz w:val="16"/>
                <w:szCs w:val="16"/>
              </w:rPr>
              <w:softHyphen/>
              <w:t>ки:</w:t>
            </w:r>
          </w:p>
          <w:p w14:paraId="625A9B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экз. в декабре 1940 г.</w:t>
            </w:r>
          </w:p>
          <w:p w14:paraId="491582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экз. в марте 1941 г.</w:t>
            </w:r>
          </w:p>
          <w:p w14:paraId="5940C2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экз. в м а е 1941 г.</w:t>
            </w:r>
          </w:p>
          <w:p w14:paraId="24814F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экз. в июне 1941 г.</w:t>
            </w:r>
          </w:p>
        </w:tc>
        <w:tc>
          <w:tcPr>
            <w:tcW w:w="5605" w:type="dxa"/>
          </w:tcPr>
          <w:p w14:paraId="0FE668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82, в соответствие с при</w:t>
            </w:r>
            <w:r w:rsidRPr="00DB5D0D">
              <w:rPr>
                <w:rFonts w:ascii="Times New Roman" w:hAnsi="Times New Roman"/>
                <w:color w:val="000000" w:themeColor="text1"/>
                <w:sz w:val="16"/>
                <w:szCs w:val="16"/>
              </w:rPr>
              <w:softHyphen/>
              <w:t>казом Наркома Авиапромышленности от 15/7-40 г. за № 213сс, обеспечил все заводы, изготавливающие, в порядке кооперации, отдельные узлы и детали дизельмотора М-20 - соответствующими чертежами и техусловиями и оказывает консультацию силами ОТБ НКВД.</w:t>
            </w:r>
          </w:p>
          <w:p w14:paraId="153E8E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усилении внимания выполнению данного задания заводами, сроки мо</w:t>
            </w:r>
            <w:r w:rsidRPr="00DB5D0D">
              <w:rPr>
                <w:rFonts w:ascii="Times New Roman" w:hAnsi="Times New Roman"/>
                <w:color w:val="000000" w:themeColor="text1"/>
                <w:sz w:val="16"/>
                <w:szCs w:val="16"/>
              </w:rPr>
              <w:softHyphen/>
              <w:t>гут быть выдержаны.</w:t>
            </w:r>
          </w:p>
          <w:p w14:paraId="1BE41E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проработке технологии и изго</w:t>
            </w:r>
            <w:r w:rsidRPr="00DB5D0D">
              <w:rPr>
                <w:rFonts w:ascii="Times New Roman" w:hAnsi="Times New Roman"/>
                <w:color w:val="000000" w:themeColor="text1"/>
                <w:sz w:val="16"/>
                <w:szCs w:val="16"/>
              </w:rPr>
              <w:softHyphen/>
              <w:t>товлении деталей мотора М-20 на за</w:t>
            </w:r>
            <w:r w:rsidRPr="00DB5D0D">
              <w:rPr>
                <w:rFonts w:ascii="Times New Roman" w:hAnsi="Times New Roman"/>
                <w:color w:val="000000" w:themeColor="text1"/>
                <w:sz w:val="16"/>
                <w:szCs w:val="16"/>
              </w:rPr>
              <w:softHyphen/>
              <w:t>воде Д 24, ввиду конструктивной и технологической сложности отдельных деталек, встретились большие производ</w:t>
            </w:r>
            <w:r w:rsidRPr="00DB5D0D">
              <w:rPr>
                <w:rFonts w:ascii="Times New Roman" w:hAnsi="Times New Roman"/>
                <w:color w:val="000000" w:themeColor="text1"/>
                <w:sz w:val="16"/>
                <w:szCs w:val="16"/>
              </w:rPr>
              <w:softHyphen/>
              <w:t>ственные затруднения.</w:t>
            </w:r>
          </w:p>
        </w:tc>
      </w:tr>
      <w:tr w:rsidR="007D5DF8" w:rsidRPr="00DB5D0D" w14:paraId="5C008357" w14:textId="77777777" w:rsidTr="00E543D0">
        <w:tc>
          <w:tcPr>
            <w:tcW w:w="5605" w:type="dxa"/>
          </w:tcPr>
          <w:p w14:paraId="14A0FA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Директору завода № 82 про</w:t>
            </w:r>
            <w:r w:rsidRPr="00DB5D0D">
              <w:rPr>
                <w:rFonts w:ascii="Times New Roman" w:hAnsi="Times New Roman"/>
                <w:color w:val="000000" w:themeColor="text1"/>
                <w:sz w:val="16"/>
                <w:szCs w:val="16"/>
              </w:rPr>
              <w:softHyphen/>
              <w:t>вести совместно с НКО - 50-ти часовые испытания мотора-М-20 в июле 1941 г.; 100-часовые го</w:t>
            </w:r>
            <w:r w:rsidRPr="00DB5D0D">
              <w:rPr>
                <w:rFonts w:ascii="Times New Roman" w:hAnsi="Times New Roman"/>
                <w:color w:val="000000" w:themeColor="text1"/>
                <w:sz w:val="16"/>
                <w:szCs w:val="16"/>
              </w:rPr>
              <w:softHyphen/>
              <w:t>сударственные испытания про</w:t>
            </w:r>
            <w:r w:rsidRPr="00DB5D0D">
              <w:rPr>
                <w:rFonts w:ascii="Times New Roman" w:hAnsi="Times New Roman"/>
                <w:color w:val="000000" w:themeColor="text1"/>
                <w:sz w:val="16"/>
                <w:szCs w:val="16"/>
              </w:rPr>
              <w:softHyphen/>
              <w:t>вести в декабре 1941 г.</w:t>
            </w:r>
          </w:p>
        </w:tc>
        <w:tc>
          <w:tcPr>
            <w:tcW w:w="5605" w:type="dxa"/>
          </w:tcPr>
          <w:p w14:paraId="7EBAB6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Подготовительная работа по изго</w:t>
            </w:r>
            <w:r w:rsidRPr="00DB5D0D">
              <w:rPr>
                <w:rFonts w:ascii="Times New Roman" w:hAnsi="Times New Roman"/>
                <w:color w:val="000000" w:themeColor="text1"/>
                <w:sz w:val="16"/>
                <w:szCs w:val="16"/>
              </w:rPr>
              <w:softHyphen/>
              <w:t>товлению испытательного стенда, под</w:t>
            </w:r>
            <w:r w:rsidRPr="00DB5D0D">
              <w:rPr>
                <w:rFonts w:ascii="Times New Roman" w:hAnsi="Times New Roman"/>
                <w:color w:val="000000" w:themeColor="text1"/>
                <w:sz w:val="16"/>
                <w:szCs w:val="16"/>
              </w:rPr>
              <w:softHyphen/>
              <w:t>готовка кадров и изготовление опыт</w:t>
            </w:r>
            <w:r w:rsidRPr="00DB5D0D">
              <w:rPr>
                <w:rFonts w:ascii="Times New Roman" w:hAnsi="Times New Roman"/>
                <w:color w:val="000000" w:themeColor="text1"/>
                <w:sz w:val="16"/>
                <w:szCs w:val="16"/>
              </w:rPr>
              <w:softHyphen/>
              <w:t>ных образцов дизельмотора М-20 на заводе № 82 - проводится.</w:t>
            </w:r>
          </w:p>
        </w:tc>
      </w:tr>
      <w:tr w:rsidR="007D5DF8" w:rsidRPr="00DB5D0D" w14:paraId="3BD55F0A" w14:textId="77777777" w:rsidTr="00E543D0">
        <w:tc>
          <w:tcPr>
            <w:tcW w:w="5605" w:type="dxa"/>
          </w:tcPr>
          <w:p w14:paraId="1ABB79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w:t>
            </w:r>
            <w:r w:rsidRPr="00DB5D0D">
              <w:rPr>
                <w:rFonts w:ascii="Times New Roman" w:hAnsi="Times New Roman"/>
                <w:smallCaps/>
                <w:color w:val="000000" w:themeColor="text1"/>
                <w:sz w:val="16"/>
                <w:szCs w:val="16"/>
              </w:rPr>
              <w:t>производству д</w:t>
            </w:r>
            <w:r w:rsidRPr="00DB5D0D">
              <w:rPr>
                <w:rFonts w:ascii="Times New Roman" w:hAnsi="Times New Roman"/>
                <w:color w:val="000000" w:themeColor="text1"/>
                <w:sz w:val="16"/>
                <w:szCs w:val="16"/>
              </w:rPr>
              <w:t>изельмотоса Д-11.</w:t>
            </w:r>
          </w:p>
        </w:tc>
        <w:tc>
          <w:tcPr>
            <w:tcW w:w="5605" w:type="dxa"/>
          </w:tcPr>
          <w:p w14:paraId="2543F9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AB79355" w14:textId="77777777" w:rsidTr="00E543D0">
        <w:tc>
          <w:tcPr>
            <w:tcW w:w="5605" w:type="dxa"/>
            <w:tcBorders>
              <w:bottom w:val="single" w:sz="12" w:space="0" w:color="auto"/>
            </w:tcBorders>
          </w:tcPr>
          <w:p w14:paraId="03ABCE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Подготовка дизельмотора Д-11 к государственным испытаниям.</w:t>
            </w:r>
          </w:p>
        </w:tc>
        <w:tc>
          <w:tcPr>
            <w:tcW w:w="5605" w:type="dxa"/>
            <w:tcBorders>
              <w:bottom w:val="single" w:sz="12" w:space="0" w:color="auto"/>
            </w:tcBorders>
          </w:tcPr>
          <w:p w14:paraId="712217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82 изготовил 6 машин, на которых проводились заводские испытания. Во время этих испытаний выявился ряд существленных дефектов (слаб картер, главный шатун, головка цилиндра и др.).</w:t>
            </w:r>
          </w:p>
          <w:p w14:paraId="43EE771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заводских и государственных испы</w:t>
            </w:r>
            <w:r w:rsidRPr="00DB5D0D">
              <w:rPr>
                <w:rFonts w:ascii="Times New Roman" w:hAnsi="Times New Roman"/>
                <w:color w:val="000000" w:themeColor="text1"/>
                <w:sz w:val="16"/>
                <w:szCs w:val="16"/>
              </w:rPr>
              <w:softHyphen/>
              <w:t>таний потребуется изготовление 5-6 мо</w:t>
            </w:r>
            <w:r w:rsidRPr="00DB5D0D">
              <w:rPr>
                <w:rFonts w:ascii="Times New Roman" w:hAnsi="Times New Roman"/>
                <w:color w:val="000000" w:themeColor="text1"/>
                <w:sz w:val="16"/>
                <w:szCs w:val="16"/>
              </w:rPr>
              <w:softHyphen/>
              <w:t>торов, с внесенными в них изменениями.</w:t>
            </w:r>
          </w:p>
          <w:p w14:paraId="2E5C1C7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82 может пред"явить дизельмо</w:t>
            </w:r>
            <w:r w:rsidRPr="00DB5D0D">
              <w:rPr>
                <w:rFonts w:ascii="Times New Roman" w:hAnsi="Times New Roman"/>
                <w:color w:val="000000" w:themeColor="text1"/>
                <w:sz w:val="16"/>
                <w:szCs w:val="16"/>
              </w:rPr>
              <w:softHyphen/>
              <w:t>тор Д-11 на государственные испытания в декабре с.г.</w:t>
            </w:r>
          </w:p>
          <w:p w14:paraId="1EBC59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трудоемкостью работ по обес печению сроков и количеств, установлении Правительством по мотору М-30 и ограниче ной производственной базы завода, вести работы по доводке мотора Д-11, в должно! мере, не представляется возможным.</w:t>
            </w:r>
          </w:p>
        </w:tc>
      </w:tr>
    </w:tbl>
    <w:p w14:paraId="2F9C03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КРАТКОЕ СОДЕРЖАНИЕ ПОСТАНОВЛЕНИЙ КО </w:t>
      </w:r>
      <w:r w:rsidRPr="00DB5D0D">
        <w:rPr>
          <w:rFonts w:ascii="Times New Roman" w:hAnsi="Times New Roman"/>
          <w:smallCaps/>
          <w:color w:val="000000" w:themeColor="text1"/>
          <w:sz w:val="16"/>
          <w:szCs w:val="16"/>
        </w:rPr>
        <w:t xml:space="preserve">при </w:t>
      </w:r>
      <w:r w:rsidRPr="00DB5D0D">
        <w:rPr>
          <w:rFonts w:ascii="Times New Roman" w:hAnsi="Times New Roman"/>
          <w:color w:val="000000" w:themeColor="text1"/>
          <w:sz w:val="16"/>
          <w:szCs w:val="16"/>
        </w:rPr>
        <w:t>СНК СССР ПО ВОПРОСУ ПРОИЗВОДСТВА ДИЗЕЛЬМОТОРА М-40.</w:t>
      </w:r>
    </w:p>
    <w:p w14:paraId="0F3EA3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майского решения Правительства мотор М-40 предназначался для перелета т.г. ГРОМОВА и БАЙДУКОВА и был доведен на станке и проверен на самолете со следующими данными: взлетная мощность</w:t>
      </w:r>
    </w:p>
    <w:p w14:paraId="711573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 - 1250 л.с.,</w:t>
      </w:r>
    </w:p>
    <w:p w14:paraId="5F0D0F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 ном. - 1000 л.с.,</w:t>
      </w:r>
    </w:p>
    <w:p w14:paraId="132441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высотность мотора - 5500 м.,</w:t>
      </w:r>
    </w:p>
    <w:p w14:paraId="70EDF8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надежность и продолжительность работы мотора по специальным требованиям (не соответствовали тре</w:t>
      </w:r>
      <w:r w:rsidRPr="00DB5D0D">
        <w:rPr>
          <w:rFonts w:ascii="Times New Roman" w:hAnsi="Times New Roman"/>
          <w:color w:val="000000" w:themeColor="text1"/>
          <w:sz w:val="16"/>
          <w:szCs w:val="16"/>
        </w:rPr>
        <w:softHyphen/>
        <w:t>бованиям ВВС РККА - 45 МТУ).</w:t>
      </w:r>
    </w:p>
    <w:p w14:paraId="745084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Решениями Правительства на НКАП было возложено следующее:</w:t>
      </w:r>
    </w:p>
    <w:p w14:paraId="500B18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Довести мотор М-40 до 100-часовой надежности со следую</w:t>
      </w:r>
      <w:r w:rsidRPr="00DB5D0D">
        <w:rPr>
          <w:rFonts w:ascii="Times New Roman" w:hAnsi="Times New Roman"/>
          <w:color w:val="000000" w:themeColor="text1"/>
          <w:sz w:val="16"/>
          <w:szCs w:val="16"/>
        </w:rPr>
        <w:softHyphen/>
        <w:t>щими данными: взлетная мощность - взл. - 1500 л.с., номинальная мощность - ном. - 1000 л.с., высотность - 5500 м. Государст</w:t>
      </w:r>
      <w:r w:rsidRPr="00DB5D0D">
        <w:rPr>
          <w:rFonts w:ascii="Times New Roman" w:hAnsi="Times New Roman"/>
          <w:color w:val="000000" w:themeColor="text1"/>
          <w:sz w:val="16"/>
          <w:szCs w:val="16"/>
        </w:rPr>
        <w:softHyphen/>
        <w:t>венное испытание мотора М-40 провести в мае месяце.</w:t>
      </w:r>
    </w:p>
    <w:p w14:paraId="54C56A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Форсировать по номинальной мощности мотор М-40 до ном. - 1250 л.с. с высотностью Н - 6000 м., при взлетной мощности - гвзл. - 1500 л.с. и провести государственное испыта</w:t>
      </w:r>
      <w:r w:rsidRPr="00DB5D0D">
        <w:rPr>
          <w:rFonts w:ascii="Times New Roman" w:hAnsi="Times New Roman"/>
          <w:color w:val="000000" w:themeColor="text1"/>
          <w:sz w:val="16"/>
          <w:szCs w:val="16"/>
        </w:rPr>
        <w:softHyphen/>
        <w:t>ние форсированного мотора М-40 в августе месяце.</w:t>
      </w:r>
    </w:p>
    <w:p w14:paraId="34A284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Обеспечить техпомощь со стороны НКАП организации се</w:t>
      </w:r>
      <w:r w:rsidRPr="00DB5D0D">
        <w:rPr>
          <w:rFonts w:ascii="Times New Roman" w:hAnsi="Times New Roman"/>
          <w:color w:val="000000" w:themeColor="text1"/>
          <w:sz w:val="16"/>
          <w:szCs w:val="16"/>
        </w:rPr>
        <w:softHyphen/>
        <w:t>рийного производства моторов М-40 на заводах имени т. Кирова и № 75.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7D5DF8" w:rsidRPr="00DB5D0D" w14:paraId="070C9FE0" w14:textId="77777777" w:rsidTr="00E543D0">
        <w:tc>
          <w:tcPr>
            <w:tcW w:w="5605" w:type="dxa"/>
            <w:tcBorders>
              <w:top w:val="single" w:sz="12" w:space="0" w:color="auto"/>
            </w:tcBorders>
          </w:tcPr>
          <w:p w14:paraId="59CD43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 Д А Н-И Е</w:t>
            </w:r>
          </w:p>
        </w:tc>
        <w:tc>
          <w:tcPr>
            <w:tcW w:w="5605" w:type="dxa"/>
            <w:tcBorders>
              <w:top w:val="single" w:sz="12" w:space="0" w:color="auto"/>
            </w:tcBorders>
          </w:tcPr>
          <w:p w14:paraId="329130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ЗАДАНИЯ</w:t>
            </w:r>
          </w:p>
        </w:tc>
      </w:tr>
      <w:tr w:rsidR="007D5DF8" w:rsidRPr="00DB5D0D" w14:paraId="12ED5B16" w14:textId="77777777" w:rsidTr="00E543D0">
        <w:tc>
          <w:tcPr>
            <w:tcW w:w="5605" w:type="dxa"/>
          </w:tcPr>
          <w:p w14:paraId="0A5E05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Состояние производства дизельмотора М-40</w:t>
            </w:r>
          </w:p>
        </w:tc>
        <w:tc>
          <w:tcPr>
            <w:tcW w:w="5605" w:type="dxa"/>
          </w:tcPr>
          <w:p w14:paraId="53F5AC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377B502" w14:textId="77777777" w:rsidTr="00E543D0">
        <w:tc>
          <w:tcPr>
            <w:tcW w:w="5605" w:type="dxa"/>
          </w:tcPr>
          <w:p w14:paraId="36CC1B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Довести ресурс работы мотора М-40 (взлетная мощность) 1500 л.с., номинальнаая мощность - 1000 л.с., расчетная высота - 5500 м. до 100 часов надежное рабо</w:t>
            </w:r>
            <w:r w:rsidRPr="00DB5D0D">
              <w:rPr>
                <w:rFonts w:ascii="Times New Roman" w:hAnsi="Times New Roman"/>
                <w:color w:val="000000" w:themeColor="text1"/>
                <w:sz w:val="16"/>
                <w:szCs w:val="16"/>
              </w:rPr>
              <w:softHyphen/>
              <w:t>ты и провести государственные 100 часовые испытания в мае месяце 1940 г.</w:t>
            </w:r>
          </w:p>
        </w:tc>
        <w:tc>
          <w:tcPr>
            <w:tcW w:w="5605" w:type="dxa"/>
          </w:tcPr>
          <w:p w14:paraId="4F424D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месяце ЦИАМ”ом были предъявлены и доставлены для прохождения государственных испытании два мотора М-40.</w:t>
            </w:r>
          </w:p>
          <w:p w14:paraId="3D91A6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прохождения госиспытания на взлетном режиме на 3-х моторах был обнаружен новый дефект в работе мотора М-40: задирание поршней 4-го и 6-го цилиндров правого блока.</w:t>
            </w:r>
          </w:p>
          <w:p w14:paraId="17A526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вышеуказанным дефектом государственное испытание мотора М-40 было прервано и Комиссией НО предложено НКАПу устранить обнаруженный дефект к 15 июля с. г.</w:t>
            </w:r>
          </w:p>
          <w:p w14:paraId="35CF1A2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устранения задира поршней в 4 и 6 цилиндрах правого блока были приняты сле</w:t>
            </w:r>
            <w:r w:rsidRPr="00DB5D0D">
              <w:rPr>
                <w:rFonts w:ascii="Times New Roman" w:hAnsi="Times New Roman"/>
                <w:color w:val="000000" w:themeColor="text1"/>
                <w:sz w:val="16"/>
                <w:szCs w:val="16"/>
              </w:rPr>
              <w:softHyphen/>
              <w:t>дующие меры: увеличен зазор между поршнем и цилиндром, уменьшена подача топли</w:t>
            </w:r>
            <w:r w:rsidRPr="00DB5D0D">
              <w:rPr>
                <w:rFonts w:ascii="Times New Roman" w:hAnsi="Times New Roman"/>
                <w:color w:val="000000" w:themeColor="text1"/>
                <w:sz w:val="16"/>
                <w:szCs w:val="16"/>
              </w:rPr>
              <w:softHyphen/>
              <w:t>ва на 4 и 6 цилиндры правого блока, изменена конструкция нижнего маслосбрасывающего кольца, установлена одинаковая пода</w:t>
            </w:r>
            <w:r w:rsidRPr="00DB5D0D">
              <w:rPr>
                <w:rFonts w:ascii="Times New Roman" w:hAnsi="Times New Roman"/>
                <w:color w:val="000000" w:themeColor="text1"/>
                <w:sz w:val="16"/>
                <w:szCs w:val="16"/>
              </w:rPr>
              <w:softHyphen/>
              <w:t>ча топлива на правый и левый блоки.</w:t>
            </w:r>
          </w:p>
          <w:p w14:paraId="652A6E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Осуществление и проверка эффективности принятых мер потребовали полуторамесячной напряженной работы коллектива конструкто</w:t>
            </w:r>
            <w:r w:rsidRPr="00DB5D0D">
              <w:rPr>
                <w:rFonts w:ascii="Times New Roman" w:hAnsi="Times New Roman"/>
                <w:color w:val="000000" w:themeColor="text1"/>
                <w:sz w:val="16"/>
                <w:szCs w:val="16"/>
              </w:rPr>
              <w:softHyphen/>
              <w:t>ров, экспериментаторов, технологов и мон</w:t>
            </w:r>
            <w:r w:rsidRPr="00DB5D0D">
              <w:rPr>
                <w:rFonts w:ascii="Times New Roman" w:hAnsi="Times New Roman"/>
                <w:color w:val="000000" w:themeColor="text1"/>
                <w:sz w:val="16"/>
                <w:szCs w:val="16"/>
              </w:rPr>
              <w:softHyphen/>
              <w:t>тажников.</w:t>
            </w:r>
          </w:p>
          <w:p w14:paraId="27CB0C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Вышеуказанные меры оказались эффективными и проверены следующими официальны-испытаниями</w:t>
            </w:r>
          </w:p>
          <w:p w14:paraId="33AC94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 № 16 прошел удовдетворительно 100-час. заводское официальное испыта</w:t>
            </w:r>
            <w:r w:rsidRPr="00DB5D0D">
              <w:rPr>
                <w:rFonts w:ascii="Times New Roman" w:hAnsi="Times New Roman"/>
                <w:color w:val="000000" w:themeColor="text1"/>
                <w:sz w:val="16"/>
                <w:szCs w:val="16"/>
              </w:rPr>
              <w:softHyphen/>
              <w:t>ние с пониженной взлетной мощностью (взлетная мощность - взл.- 1350 л.с., номинальная М ном. - 1000 л.с.).</w:t>
            </w:r>
          </w:p>
          <w:p w14:paraId="7EB783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 № 12 прошел но 100-час. заводскоеиспытание со взлетной мощностью - 1500 и номин. - 1000 л.с.</w:t>
            </w:r>
          </w:p>
          <w:p w14:paraId="612E07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удовлетворительных резуль</w:t>
            </w:r>
            <w:r w:rsidRPr="00DB5D0D">
              <w:rPr>
                <w:rFonts w:ascii="Times New Roman" w:hAnsi="Times New Roman"/>
                <w:color w:val="000000" w:themeColor="text1"/>
                <w:sz w:val="16"/>
                <w:szCs w:val="16"/>
              </w:rPr>
              <w:softHyphen/>
              <w:t>тов испытаний моторов №№ 16 и 12 Комиссии КО был пред"явлен 16 июля с. г. мотор № 13 для проведения госиспытаний.</w:t>
            </w:r>
          </w:p>
          <w:p w14:paraId="3DD0EF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в настоящее время собран и установлен на испытательный стенд для прохождения испытании.</w:t>
            </w:r>
          </w:p>
        </w:tc>
      </w:tr>
      <w:tr w:rsidR="007D5DF8" w:rsidRPr="00DB5D0D" w14:paraId="4745E1A4" w14:textId="77777777" w:rsidTr="00E543D0">
        <w:tc>
          <w:tcPr>
            <w:tcW w:w="5605" w:type="dxa"/>
          </w:tcPr>
          <w:p w14:paraId="7267D5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Форсировать номинальную мощность мотора М-40 до 1250 л.с. на высоте 6000 м. к 1 августа 1940 г., довес</w:t>
            </w:r>
            <w:r w:rsidRPr="00DB5D0D">
              <w:rPr>
                <w:rFonts w:ascii="Times New Roman" w:hAnsi="Times New Roman"/>
                <w:color w:val="000000" w:themeColor="text1"/>
                <w:sz w:val="16"/>
                <w:szCs w:val="16"/>
              </w:rPr>
              <w:softHyphen/>
              <w:t>ти ресурс его надежной работы до 100 часов и провес</w:t>
            </w:r>
            <w:r w:rsidRPr="00DB5D0D">
              <w:rPr>
                <w:rFonts w:ascii="Times New Roman" w:hAnsi="Times New Roman"/>
                <w:color w:val="000000" w:themeColor="text1"/>
                <w:sz w:val="16"/>
                <w:szCs w:val="16"/>
              </w:rPr>
              <w:softHyphen/>
              <w:t>ти 100-часовые государст</w:t>
            </w:r>
            <w:r w:rsidRPr="00DB5D0D">
              <w:rPr>
                <w:rFonts w:ascii="Times New Roman" w:hAnsi="Times New Roman"/>
                <w:color w:val="000000" w:themeColor="text1"/>
                <w:sz w:val="16"/>
                <w:szCs w:val="16"/>
              </w:rPr>
              <w:softHyphen/>
              <w:t>венные испытания форсирован</w:t>
            </w:r>
            <w:r w:rsidRPr="00DB5D0D">
              <w:rPr>
                <w:rFonts w:ascii="Times New Roman" w:hAnsi="Times New Roman"/>
                <w:color w:val="000000" w:themeColor="text1"/>
                <w:sz w:val="16"/>
                <w:szCs w:val="16"/>
              </w:rPr>
              <w:softHyphen/>
              <w:t>ного мотора М-40 в августе 1940года.</w:t>
            </w:r>
          </w:p>
        </w:tc>
        <w:tc>
          <w:tcPr>
            <w:tcW w:w="5605" w:type="dxa"/>
          </w:tcPr>
          <w:p w14:paraId="146857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обеспечение форсажа номинальной мощности мотора М-40 до 1250 л.с. произведены следующие конструктивные и производственные улучшения по мотору М-40:</w:t>
            </w:r>
          </w:p>
          <w:p w14:paraId="01E4A9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верхний картер конструктивно усилен и отлит из силумина;</w:t>
            </w:r>
          </w:p>
          <w:p w14:paraId="3C4BF7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нижний картер конструктивно уси</w:t>
            </w:r>
            <w:r w:rsidRPr="00DB5D0D">
              <w:rPr>
                <w:rFonts w:ascii="Times New Roman" w:hAnsi="Times New Roman"/>
                <w:color w:val="000000" w:themeColor="text1"/>
                <w:sz w:val="16"/>
                <w:szCs w:val="16"/>
              </w:rPr>
              <w:softHyphen/>
              <w:t>лен и отлит из силумина;</w:t>
            </w:r>
          </w:p>
          <w:p w14:paraId="4964BE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верхняя головка шатунов конструк</w:t>
            </w:r>
            <w:r w:rsidRPr="00DB5D0D">
              <w:rPr>
                <w:rFonts w:ascii="Times New Roman" w:hAnsi="Times New Roman"/>
                <w:color w:val="000000" w:themeColor="text1"/>
                <w:sz w:val="16"/>
                <w:szCs w:val="16"/>
              </w:rPr>
              <w:softHyphen/>
              <w:t>тивно усилена;</w:t>
            </w:r>
          </w:p>
          <w:p w14:paraId="38E59E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поршень сделан новой конструкции;</w:t>
            </w:r>
          </w:p>
          <w:p w14:paraId="5BF547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корпус узла агрегатов кояструктиг но усилен;</w:t>
            </w:r>
          </w:p>
          <w:p w14:paraId="6BCCBC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М-20 с вышеуказанными изменениями был изготовлен, собран и в настоящий момент проходит заводские испытания.</w:t>
            </w:r>
          </w:p>
          <w:p w14:paraId="286E1A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М-40 № 20 на форсированном но</w:t>
            </w:r>
            <w:r w:rsidRPr="00DB5D0D">
              <w:rPr>
                <w:rFonts w:ascii="Times New Roman" w:hAnsi="Times New Roman"/>
                <w:color w:val="000000" w:themeColor="text1"/>
                <w:sz w:val="16"/>
                <w:szCs w:val="16"/>
              </w:rPr>
              <w:softHyphen/>
              <w:t>минальной мощности прошел 90 часов режим</w:t>
            </w:r>
            <w:r w:rsidRPr="00DB5D0D">
              <w:rPr>
                <w:rFonts w:ascii="Times New Roman" w:hAnsi="Times New Roman"/>
                <w:color w:val="000000" w:themeColor="text1"/>
                <w:sz w:val="16"/>
                <w:szCs w:val="16"/>
              </w:rPr>
              <w:softHyphen/>
              <w:t>ной работы (из 100 час.), но снят со станка из-за дефекта в работе поршневых колец (закоксование колец в канавках поршня);</w:t>
            </w:r>
          </w:p>
          <w:p w14:paraId="22FF47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устранения дефекта в работе поршневых колец приняты следующие конструктив</w:t>
            </w:r>
            <w:r w:rsidRPr="00DB5D0D">
              <w:rPr>
                <w:rFonts w:ascii="Times New Roman" w:hAnsi="Times New Roman"/>
                <w:color w:val="000000" w:themeColor="text1"/>
                <w:sz w:val="16"/>
                <w:szCs w:val="16"/>
              </w:rPr>
              <w:softHyphen/>
              <w:t xml:space="preserve">ные меры: увеличен торцевой зазор между кольцом и канавками </w:t>
            </w:r>
            <w:r w:rsidRPr="00DB5D0D">
              <w:rPr>
                <w:rFonts w:ascii="Times New Roman" w:hAnsi="Times New Roman"/>
                <w:smallCaps/>
                <w:color w:val="000000" w:themeColor="text1"/>
                <w:sz w:val="16"/>
                <w:szCs w:val="16"/>
              </w:rPr>
              <w:t xml:space="preserve">поршня, </w:t>
            </w:r>
            <w:r w:rsidRPr="00DB5D0D">
              <w:rPr>
                <w:rFonts w:ascii="Times New Roman" w:hAnsi="Times New Roman"/>
                <w:color w:val="000000" w:themeColor="text1"/>
                <w:sz w:val="16"/>
                <w:szCs w:val="16"/>
              </w:rPr>
              <w:t>изменена конструкция</w:t>
            </w:r>
            <w:r w:rsidRPr="00DB5D0D">
              <w:rPr>
                <w:rFonts w:ascii="Times New Roman" w:hAnsi="Times New Roman"/>
                <w:smallCaps/>
                <w:color w:val="000000" w:themeColor="text1"/>
                <w:sz w:val="16"/>
                <w:szCs w:val="16"/>
              </w:rPr>
              <w:t xml:space="preserve"> 2</w:t>
            </w:r>
            <w:r w:rsidRPr="00DB5D0D">
              <w:rPr>
                <w:rFonts w:ascii="Times New Roman" w:hAnsi="Times New Roman"/>
                <w:color w:val="000000" w:themeColor="text1"/>
                <w:sz w:val="16"/>
                <w:szCs w:val="16"/>
              </w:rPr>
              <w:t>-го маслоуполотнительного кольца. С вышеуказанными изменениями мотор М-40 № 20 поставлен без полной разборки (были сняты только блоки) вновь для прохождения 100-часового заводского испытания.</w:t>
            </w:r>
          </w:p>
          <w:p w14:paraId="36729D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случае удовлетворительного прохождения мотором № 20 дополнительных 100-часовых заводских испытаний, будет пред"явлен на государственные испытания мотор № 22.</w:t>
            </w:r>
          </w:p>
          <w:p w14:paraId="6600C9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обеспечение форсажа номинальной мощности мотора М-40, ЦИАМ"ом проведена большая конструкторская и производственная работа. За период - июнь и июль из</w:t>
            </w:r>
            <w:r w:rsidRPr="00DB5D0D">
              <w:rPr>
                <w:rFonts w:ascii="Times New Roman" w:hAnsi="Times New Roman"/>
                <w:color w:val="000000" w:themeColor="text1"/>
                <w:sz w:val="16"/>
                <w:szCs w:val="16"/>
              </w:rPr>
              <w:softHyphen/>
              <w:t>готовлены четыре форсированных мотора (№№ 20, 22, 23 и 24).</w:t>
            </w:r>
          </w:p>
        </w:tc>
      </w:tr>
      <w:tr w:rsidR="007D5DF8" w:rsidRPr="00DB5D0D" w14:paraId="2A138173" w14:textId="77777777" w:rsidTr="00E543D0">
        <w:tc>
          <w:tcPr>
            <w:tcW w:w="5605" w:type="dxa"/>
          </w:tcPr>
          <w:p w14:paraId="5EEE2A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Техническая помощь заводам № 75 и </w:t>
            </w:r>
            <w:r w:rsidRPr="00DB5D0D">
              <w:rPr>
                <w:rFonts w:ascii="Times New Roman" w:hAnsi="Times New Roman"/>
                <w:smallCaps/>
                <w:color w:val="000000" w:themeColor="text1"/>
                <w:sz w:val="16"/>
                <w:szCs w:val="16"/>
              </w:rPr>
              <w:t xml:space="preserve">кировскому </w:t>
            </w:r>
            <w:r w:rsidRPr="00DB5D0D">
              <w:rPr>
                <w:rFonts w:ascii="Times New Roman" w:hAnsi="Times New Roman"/>
                <w:color w:val="000000" w:themeColor="text1"/>
                <w:sz w:val="16"/>
                <w:szCs w:val="16"/>
              </w:rPr>
              <w:t>по освоению производства, дизель мотора М-40.</w:t>
            </w:r>
          </w:p>
        </w:tc>
        <w:tc>
          <w:tcPr>
            <w:tcW w:w="5605" w:type="dxa"/>
          </w:tcPr>
          <w:p w14:paraId="71E99C0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6994395" w14:textId="77777777" w:rsidTr="00E543D0">
        <w:tc>
          <w:tcPr>
            <w:tcW w:w="5605" w:type="dxa"/>
          </w:tcPr>
          <w:p w14:paraId="4959E8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 ЦИАМ”у изготовить и немедленно передать заводам №. 75 и Кировскому по 3 комплекта чертежей и к 15 июня с.г. по 9 комплектов окончательно отработаяных серийных рабочих чертежей мотора М-40 и технические условия на поставку деталей.</w:t>
            </w:r>
          </w:p>
        </w:tc>
        <w:tc>
          <w:tcPr>
            <w:tcW w:w="5605" w:type="dxa"/>
          </w:tcPr>
          <w:p w14:paraId="193C3A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Заводом № 75 и им. т.Кирова отослано по девять комплектов окончательно отра</w:t>
            </w:r>
            <w:r w:rsidRPr="00DB5D0D">
              <w:rPr>
                <w:rFonts w:ascii="Times New Roman" w:hAnsi="Times New Roman"/>
                <w:color w:val="000000" w:themeColor="text1"/>
                <w:sz w:val="16"/>
                <w:szCs w:val="16"/>
              </w:rPr>
              <w:softHyphen/>
              <w:t>ботанных серийных рабочих чертежей -22 июня с.г., кроме 3-х комплектов не</w:t>
            </w:r>
            <w:r w:rsidRPr="00DB5D0D">
              <w:rPr>
                <w:rFonts w:ascii="Times New Roman" w:hAnsi="Times New Roman"/>
                <w:color w:val="000000" w:themeColor="text1"/>
                <w:sz w:val="16"/>
                <w:szCs w:val="16"/>
              </w:rPr>
              <w:softHyphen/>
              <w:t>рабочих чертежей, отосланных в мае ме</w:t>
            </w:r>
            <w:r w:rsidRPr="00DB5D0D">
              <w:rPr>
                <w:rFonts w:ascii="Times New Roman" w:hAnsi="Times New Roman"/>
                <w:color w:val="000000" w:themeColor="text1"/>
                <w:sz w:val="16"/>
                <w:szCs w:val="16"/>
              </w:rPr>
              <w:softHyphen/>
              <w:t>сяце с.г.</w:t>
            </w:r>
          </w:p>
        </w:tc>
      </w:tr>
      <w:tr w:rsidR="007D5DF8" w:rsidRPr="00DB5D0D" w14:paraId="72FB52BE" w14:textId="77777777" w:rsidTr="00E543D0">
        <w:tc>
          <w:tcPr>
            <w:tcW w:w="5605" w:type="dxa"/>
          </w:tcPr>
          <w:p w14:paraId="30C26D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ЦИАМ"у командировать не</w:t>
            </w:r>
            <w:r w:rsidRPr="00DB5D0D">
              <w:rPr>
                <w:rFonts w:ascii="Times New Roman" w:hAnsi="Times New Roman"/>
                <w:color w:val="000000" w:themeColor="text1"/>
                <w:sz w:val="16"/>
                <w:szCs w:val="16"/>
              </w:rPr>
              <w:softHyphen/>
              <w:t>медленно на завод № 75 им. т. Кирова - группы конструкторов и технологов по 5 человек для оказания техни</w:t>
            </w:r>
            <w:r w:rsidRPr="00DB5D0D">
              <w:rPr>
                <w:rFonts w:ascii="Times New Roman" w:hAnsi="Times New Roman"/>
                <w:color w:val="000000" w:themeColor="text1"/>
                <w:sz w:val="16"/>
                <w:szCs w:val="16"/>
              </w:rPr>
              <w:softHyphen/>
              <w:t>ческой помощи.</w:t>
            </w:r>
          </w:p>
        </w:tc>
        <w:tc>
          <w:tcPr>
            <w:tcW w:w="5605" w:type="dxa"/>
          </w:tcPr>
          <w:p w14:paraId="2DF038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мая месяца на заводе № 75 и им. Киро</w:t>
            </w:r>
            <w:r w:rsidRPr="00DB5D0D">
              <w:rPr>
                <w:rFonts w:ascii="Times New Roman" w:hAnsi="Times New Roman"/>
                <w:color w:val="000000" w:themeColor="text1"/>
                <w:sz w:val="16"/>
                <w:szCs w:val="16"/>
              </w:rPr>
              <w:softHyphen/>
              <w:t>ва находятся командированные ЦИАМ"ом конструктора и технологи в следующем ко</w:t>
            </w:r>
            <w:r w:rsidRPr="00DB5D0D">
              <w:rPr>
                <w:rFonts w:ascii="Times New Roman" w:hAnsi="Times New Roman"/>
                <w:color w:val="000000" w:themeColor="text1"/>
                <w:sz w:val="16"/>
                <w:szCs w:val="16"/>
              </w:rPr>
              <w:softHyphen/>
              <w:t>личестве:</w:t>
            </w:r>
          </w:p>
          <w:p w14:paraId="73AA93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заводе № 75 - конструкторов - 2 технологов - 3</w:t>
            </w:r>
          </w:p>
          <w:p w14:paraId="71F584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заводе им.т. Кирова -конструкторов - 3 технологов - 5</w:t>
            </w:r>
          </w:p>
        </w:tc>
      </w:tr>
      <w:tr w:rsidR="007D5DF8" w:rsidRPr="00DB5D0D" w14:paraId="4058CAC8" w14:textId="77777777" w:rsidTr="00E543D0">
        <w:tc>
          <w:tcPr>
            <w:tcW w:w="5605" w:type="dxa"/>
          </w:tcPr>
          <w:p w14:paraId="2EA240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ЦИАМ"у передать Кировско</w:t>
            </w:r>
            <w:r w:rsidRPr="00DB5D0D">
              <w:rPr>
                <w:rFonts w:ascii="Times New Roman" w:hAnsi="Times New Roman"/>
                <w:color w:val="000000" w:themeColor="text1"/>
                <w:sz w:val="16"/>
                <w:szCs w:val="16"/>
              </w:rPr>
              <w:softHyphen/>
              <w:t>му заводу на постоянную ра</w:t>
            </w:r>
            <w:r w:rsidRPr="00DB5D0D">
              <w:rPr>
                <w:rFonts w:ascii="Times New Roman" w:hAnsi="Times New Roman"/>
                <w:color w:val="000000" w:themeColor="text1"/>
                <w:sz w:val="16"/>
                <w:szCs w:val="16"/>
              </w:rPr>
              <w:softHyphen/>
              <w:t>боту к 15 июня с.г. - 10 че</w:t>
            </w:r>
            <w:r w:rsidRPr="00DB5D0D">
              <w:rPr>
                <w:rFonts w:ascii="Times New Roman" w:hAnsi="Times New Roman"/>
                <w:color w:val="000000" w:themeColor="text1"/>
                <w:sz w:val="16"/>
                <w:szCs w:val="16"/>
              </w:rPr>
              <w:softHyphen/>
              <w:t>ловек инженеров-конструкторов.</w:t>
            </w:r>
          </w:p>
        </w:tc>
        <w:tc>
          <w:tcPr>
            <w:tcW w:w="5605" w:type="dxa"/>
          </w:tcPr>
          <w:p w14:paraId="219DDD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выделена и подго</w:t>
            </w:r>
            <w:r w:rsidRPr="00DB5D0D">
              <w:rPr>
                <w:rFonts w:ascii="Times New Roman" w:hAnsi="Times New Roman"/>
                <w:color w:val="000000" w:themeColor="text1"/>
                <w:sz w:val="16"/>
                <w:szCs w:val="16"/>
              </w:rPr>
              <w:softHyphen/>
              <w:t>товлена группа конструкторов для откоман</w:t>
            </w:r>
            <w:r w:rsidRPr="00DB5D0D">
              <w:rPr>
                <w:rFonts w:ascii="Times New Roman" w:hAnsi="Times New Roman"/>
                <w:color w:val="000000" w:themeColor="text1"/>
                <w:sz w:val="16"/>
                <w:szCs w:val="16"/>
              </w:rPr>
              <w:softHyphen/>
              <w:t>дирования на постоянную работу на завод им. Кирова. По согласованию с заводом им. т. Кирова конструктора будут откомандиро</w:t>
            </w:r>
            <w:r w:rsidRPr="00DB5D0D">
              <w:rPr>
                <w:rFonts w:ascii="Times New Roman" w:hAnsi="Times New Roman"/>
                <w:color w:val="000000" w:themeColor="text1"/>
                <w:sz w:val="16"/>
                <w:szCs w:val="16"/>
              </w:rPr>
              <w:softHyphen/>
              <w:t>ваны до 25 июля с.г. (решался жилищяыв вопрос для командируемых).</w:t>
            </w:r>
          </w:p>
        </w:tc>
      </w:tr>
      <w:tr w:rsidR="007D5DF8" w:rsidRPr="00DB5D0D" w14:paraId="09BD3BEA" w14:textId="77777777" w:rsidTr="00E543D0">
        <w:tc>
          <w:tcPr>
            <w:tcW w:w="5605" w:type="dxa"/>
          </w:tcPr>
          <w:p w14:paraId="29683F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г).Техническая помощь заводу № 75 и Кировскому - по освоению производства дизельмоторов М-40.</w:t>
            </w:r>
          </w:p>
        </w:tc>
        <w:tc>
          <w:tcPr>
            <w:tcW w:w="5605" w:type="dxa"/>
          </w:tcPr>
          <w:p w14:paraId="1F4AEB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НКАП"ом оказана производственная помощь заводу им. Кирова, со стороны ЦИАМ"а следующим:</w:t>
            </w:r>
          </w:p>
          <w:p w14:paraId="183744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выданы имевшиеся поковки мотора М40.</w:t>
            </w:r>
          </w:p>
          <w:p w14:paraId="1B3AF6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виданы для ознакомления некондицион</w:t>
            </w:r>
            <w:r w:rsidRPr="00DB5D0D">
              <w:rPr>
                <w:rFonts w:ascii="Times New Roman" w:hAnsi="Times New Roman"/>
                <w:color w:val="000000" w:themeColor="text1"/>
                <w:sz w:val="16"/>
                <w:szCs w:val="16"/>
              </w:rPr>
              <w:softHyphen/>
              <w:t>ные детали мотора М-40;</w:t>
            </w:r>
          </w:p>
          <w:p w14:paraId="401DB9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10 комплектов литья мотора М-40 будет дано к 15 августа с.г.</w:t>
            </w:r>
          </w:p>
          <w:p w14:paraId="4F6CEF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Заводам № 75 и Кировскому выдана со стон рояы завода № 82 разработанная техническая документация на все детали М-40:</w:t>
            </w:r>
          </w:p>
          <w:p w14:paraId="2124EE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а).технологические разработки;</w:t>
            </w:r>
          </w:p>
          <w:p w14:paraId="20E197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чертежи специальных приспособлений;</w:t>
            </w:r>
          </w:p>
          <w:p w14:paraId="098D67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чертежи специального-инструмента;</w:t>
            </w:r>
          </w:p>
          <w:p w14:paraId="10CBCA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технические условия и пр.документы.</w:t>
            </w:r>
          </w:p>
          <w:p w14:paraId="7518BE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Отправлены, изготовленные в метал</w:t>
            </w:r>
            <w:r w:rsidRPr="00DB5D0D">
              <w:rPr>
                <w:rFonts w:ascii="Times New Roman" w:hAnsi="Times New Roman"/>
                <w:color w:val="000000" w:themeColor="text1"/>
                <w:sz w:val="16"/>
                <w:szCs w:val="16"/>
              </w:rPr>
              <w:softHyphen/>
              <w:t>ле специальные инструменты и приспособленния общей стоимостью в 1,5 мил.руб.</w:t>
            </w:r>
          </w:p>
          <w:p w14:paraId="515C81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Отправлены, изготовленные в металле собранные макетом 6 моторов М-40.</w:t>
            </w:r>
          </w:p>
          <w:p w14:paraId="64EACD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4. На Кировский завод отправлены 3 полных комплекта поковок, литья и специальяк заготовок. Точно также отправлены поковки и заготовки заводу № 75.</w:t>
            </w:r>
          </w:p>
          <w:p w14:paraId="1EE672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Принято на себя обязательство по обучению рабочих Кировского завода в ко</w:t>
            </w:r>
            <w:r w:rsidRPr="00DB5D0D">
              <w:rPr>
                <w:rFonts w:ascii="Times New Roman" w:hAnsi="Times New Roman"/>
                <w:color w:val="000000" w:themeColor="text1"/>
                <w:sz w:val="16"/>
                <w:szCs w:val="16"/>
              </w:rPr>
              <w:softHyphen/>
              <w:t>личестве не менее 180 человек.</w:t>
            </w:r>
          </w:p>
        </w:tc>
      </w:tr>
      <w:tr w:rsidR="007D5DF8" w:rsidRPr="00DB5D0D" w14:paraId="26B84957" w14:textId="77777777" w:rsidTr="00E543D0">
        <w:tc>
          <w:tcPr>
            <w:tcW w:w="5605" w:type="dxa"/>
            <w:tcBorders>
              <w:bottom w:val="single" w:sz="12" w:space="0" w:color="auto"/>
            </w:tcBorders>
          </w:tcPr>
          <w:p w14:paraId="3BB03E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Поставка ЦИАМ"ом за</w:t>
            </w:r>
            <w:r w:rsidRPr="00DB5D0D">
              <w:rPr>
                <w:rFonts w:ascii="Times New Roman" w:hAnsi="Times New Roman"/>
                <w:color w:val="000000" w:themeColor="text1"/>
                <w:sz w:val="16"/>
                <w:szCs w:val="16"/>
              </w:rPr>
              <w:softHyphen/>
              <w:t>воду № 124 четырех мото</w:t>
            </w:r>
            <w:r w:rsidRPr="00DB5D0D">
              <w:rPr>
                <w:rFonts w:ascii="Times New Roman" w:hAnsi="Times New Roman"/>
                <w:color w:val="000000" w:themeColor="text1"/>
                <w:sz w:val="16"/>
                <w:szCs w:val="16"/>
              </w:rPr>
              <w:softHyphen/>
              <w:t>ров М-40.</w:t>
            </w:r>
          </w:p>
          <w:p w14:paraId="7354BAF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05" w:type="dxa"/>
            <w:tcBorders>
              <w:bottom w:val="single" w:sz="12" w:space="0" w:color="auto"/>
            </w:tcBorders>
          </w:tcPr>
          <w:p w14:paraId="14957F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Вследствие обнаруженного нового дефекта по задиру поршней - сдача моторов №№ 17, 18, 19 и 21 не могла быть произведена до момента прохождения мотором № 12 удовлетвори</w:t>
            </w:r>
            <w:r w:rsidRPr="00DB5D0D">
              <w:rPr>
                <w:rFonts w:ascii="Times New Roman" w:hAnsi="Times New Roman"/>
                <w:color w:val="000000" w:themeColor="text1"/>
                <w:sz w:val="16"/>
                <w:szCs w:val="16"/>
              </w:rPr>
              <w:softHyphen/>
              <w:t>тельных заводских испытаний.</w:t>
            </w:r>
          </w:p>
          <w:p w14:paraId="46448A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удовлетворительным прохождением заводского испытания мотором № 12 начата сборка моторов №№ 17,18,19 и 21, предназначенных для сдачи на самолет завода № 124.</w:t>
            </w:r>
          </w:p>
          <w:p w14:paraId="4E84F7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 17, 18, 19 и 21 были ранее собраны, обкатаны и в данный момент в них вносятся все улучшения, приведшие к устране</w:t>
            </w:r>
            <w:r w:rsidRPr="00DB5D0D">
              <w:rPr>
                <w:rFonts w:ascii="Times New Roman" w:hAnsi="Times New Roman"/>
                <w:color w:val="000000" w:themeColor="text1"/>
                <w:sz w:val="16"/>
                <w:szCs w:val="16"/>
              </w:rPr>
              <w:softHyphen/>
              <w:t>нию задира поршней, в связи с чем сдача моторов- будет произведена в следующие сроки:</w:t>
            </w:r>
          </w:p>
          <w:p w14:paraId="5E0B68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мотор - 25 июля с.г.</w:t>
            </w:r>
          </w:p>
          <w:p w14:paraId="76A246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мотор — 27 "</w:t>
            </w:r>
          </w:p>
          <w:p w14:paraId="4A6A4B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3-й мотор - 29 "</w:t>
            </w:r>
          </w:p>
          <w:p w14:paraId="6AD273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4-й мотор - 30 "</w:t>
            </w:r>
          </w:p>
        </w:tc>
      </w:tr>
    </w:tbl>
    <w:p w14:paraId="06E24A7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 ПО МОРСКОМУ ДИЗЕЛЮ М-50.</w:t>
      </w:r>
    </w:p>
    <w:p w14:paraId="324FE2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 по созданию дизеля морского варианта в ЦИАМ”е ве</w:t>
      </w:r>
      <w:r w:rsidRPr="00DB5D0D">
        <w:rPr>
          <w:rFonts w:ascii="Times New Roman" w:hAnsi="Times New Roman"/>
          <w:color w:val="000000" w:themeColor="text1"/>
          <w:sz w:val="16"/>
          <w:szCs w:val="16"/>
        </w:rPr>
        <w:softHyphen/>
        <w:t>дется в двух направлениях:</w:t>
      </w:r>
    </w:p>
    <w:p w14:paraId="3DBD44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Постройка, доводка и проведение государственных испы</w:t>
      </w:r>
      <w:r w:rsidRPr="00DB5D0D">
        <w:rPr>
          <w:rFonts w:ascii="Times New Roman" w:hAnsi="Times New Roman"/>
          <w:color w:val="000000" w:themeColor="text1"/>
          <w:sz w:val="16"/>
          <w:szCs w:val="16"/>
        </w:rPr>
        <w:softHyphen/>
        <w:t>таний опытного дизеля М-50 и сдача 2-х дизелей на торпедный ка</w:t>
      </w:r>
      <w:r w:rsidRPr="00DB5D0D">
        <w:rPr>
          <w:rFonts w:ascii="Times New Roman" w:hAnsi="Times New Roman"/>
          <w:color w:val="000000" w:themeColor="text1"/>
          <w:sz w:val="16"/>
          <w:szCs w:val="16"/>
        </w:rPr>
        <w:softHyphen/>
        <w:t>тер по специальным техническим условиям Упр. Караблестроения НКВМФ.</w:t>
      </w:r>
    </w:p>
    <w:p w14:paraId="20EB04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Изготовление, согласно Постановления КО за № 145сс от 11/Ш-40 г. 4-х дизелей М-50 с редукторами конструкции ОТБ НКВД СССР для подлодки и 2-х дизелей М-50 для катера конструкции ОТБ НКВД</w:t>
      </w:r>
    </w:p>
    <w:p w14:paraId="7320EE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 на 15/УП-40 г. по выполнению вышеуказанных задание следующее:</w:t>
      </w:r>
    </w:p>
    <w:p w14:paraId="515DD3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 создании морского дизеля М-50, ЦИАМ встретился с рядом технических затруднений, в результате которых сдача го</w:t>
      </w:r>
      <w:r w:rsidRPr="00DB5D0D">
        <w:rPr>
          <w:rFonts w:ascii="Times New Roman" w:hAnsi="Times New Roman"/>
          <w:color w:val="000000" w:themeColor="text1"/>
          <w:sz w:val="16"/>
          <w:szCs w:val="16"/>
        </w:rPr>
        <w:softHyphen/>
        <w:t>сударственных испытаний сильно затянулась.</w:t>
      </w:r>
    </w:p>
    <w:p w14:paraId="17999DC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во второй половине 1939 г. была выявлена ненадежность коленчатого вала, а позднее еще ряд крупных дефектов (поломка гильз цилиндра, разрегулировка газораспределения и др.), не наблюдавшихся во время, первых доводочных испытаний.</w:t>
      </w:r>
    </w:p>
    <w:p w14:paraId="7B457B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изжития этих дефектов потребовалась значительная кон</w:t>
      </w:r>
      <w:r w:rsidRPr="00DB5D0D">
        <w:rPr>
          <w:rFonts w:ascii="Times New Roman" w:hAnsi="Times New Roman"/>
          <w:color w:val="000000" w:themeColor="text1"/>
          <w:sz w:val="16"/>
          <w:szCs w:val="16"/>
        </w:rPr>
        <w:softHyphen/>
        <w:t>структивная переработка узлов и добавочное изготовление несколь</w:t>
      </w:r>
      <w:r w:rsidRPr="00DB5D0D">
        <w:rPr>
          <w:rFonts w:ascii="Times New Roman" w:hAnsi="Times New Roman"/>
          <w:color w:val="000000" w:themeColor="text1"/>
          <w:sz w:val="16"/>
          <w:szCs w:val="16"/>
        </w:rPr>
        <w:softHyphen/>
        <w:t>ких экземпляров мотора.</w:t>
      </w:r>
    </w:p>
    <w:p w14:paraId="339668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эти дефекты устранены и дизель М-50 4/УП прошел государственные испытания на стенде.</w:t>
      </w:r>
    </w:p>
    <w:p w14:paraId="2C3E26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мотора 15/УШ будет сданы для проверки работы мотора в экслоатационных условиях на торпедном катере.</w:t>
      </w:r>
    </w:p>
    <w:p w14:paraId="675DD3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Срок изготовления деталей М-50 для подлодки и картера конструкции ОТБ НКВД, постановлением КО за № 206сс и 205сс от 16/УП-39г.</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был установлен к 1/П-40 г.</w:t>
      </w:r>
    </w:p>
    <w:p w14:paraId="159122A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КО за № 145сс от 11/Ш-40 г. этот срок был перене</w:t>
      </w:r>
      <w:r w:rsidRPr="00DB5D0D">
        <w:rPr>
          <w:rFonts w:ascii="Times New Roman" w:hAnsi="Times New Roman"/>
          <w:color w:val="000000" w:themeColor="text1"/>
          <w:sz w:val="16"/>
          <w:szCs w:val="16"/>
        </w:rPr>
        <w:softHyphen/>
        <w:t>сен и НКАП был обязан изготовить 4 дизеля М-50 с редуктором конструкции ОТБ НКВД в июне 1940 г.</w:t>
      </w:r>
    </w:p>
    <w:p w14:paraId="7BEA1E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Процент готовности этих дизелей на 15/УП-40 г. следующий:</w:t>
      </w:r>
    </w:p>
    <w:p w14:paraId="5FA4E8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 1</w:t>
      </w:r>
      <w:r w:rsidRPr="00DB5D0D">
        <w:rPr>
          <w:rFonts w:ascii="Times New Roman" w:hAnsi="Times New Roman"/>
          <w:color w:val="000000" w:themeColor="text1"/>
          <w:sz w:val="16"/>
          <w:szCs w:val="16"/>
        </w:rPr>
        <w:tab/>
        <w:t>90%</w:t>
      </w:r>
    </w:p>
    <w:p w14:paraId="548833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 2</w:t>
      </w:r>
      <w:r w:rsidRPr="00DB5D0D">
        <w:rPr>
          <w:rFonts w:ascii="Times New Roman" w:hAnsi="Times New Roman"/>
          <w:color w:val="000000" w:themeColor="text1"/>
          <w:sz w:val="16"/>
          <w:szCs w:val="16"/>
        </w:rPr>
        <w:tab/>
        <w:t>80%</w:t>
      </w:r>
    </w:p>
    <w:p w14:paraId="0824BF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w:t>
      </w:r>
      <w:r w:rsidRPr="00DB5D0D">
        <w:rPr>
          <w:rFonts w:ascii="Times New Roman" w:hAnsi="Times New Roman"/>
          <w:color w:val="000000" w:themeColor="text1"/>
          <w:sz w:val="16"/>
          <w:szCs w:val="16"/>
        </w:rPr>
        <w:tab/>
        <w:t>70%</w:t>
      </w:r>
    </w:p>
    <w:p w14:paraId="04DC29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w:t>
      </w:r>
      <w:r w:rsidRPr="00DB5D0D">
        <w:rPr>
          <w:rFonts w:ascii="Times New Roman" w:hAnsi="Times New Roman"/>
          <w:color w:val="000000" w:themeColor="text1"/>
          <w:sz w:val="16"/>
          <w:szCs w:val="16"/>
        </w:rPr>
        <w:tab/>
        <w:t>50%</w:t>
      </w:r>
    </w:p>
    <w:p w14:paraId="0D34A3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w:t>
      </w:r>
      <w:r w:rsidRPr="00DB5D0D">
        <w:rPr>
          <w:rFonts w:ascii="Times New Roman" w:hAnsi="Times New Roman"/>
          <w:color w:val="000000" w:themeColor="text1"/>
          <w:sz w:val="16"/>
          <w:szCs w:val="16"/>
        </w:rPr>
        <w:tab/>
        <w:t>40%</w:t>
      </w:r>
    </w:p>
    <w:p w14:paraId="37602D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6</w:t>
      </w:r>
      <w:r w:rsidRPr="00DB5D0D">
        <w:rPr>
          <w:rFonts w:ascii="Times New Roman" w:hAnsi="Times New Roman"/>
          <w:color w:val="000000" w:themeColor="text1"/>
          <w:sz w:val="16"/>
          <w:szCs w:val="16"/>
        </w:rPr>
        <w:tab/>
        <w:t>30%</w:t>
      </w:r>
    </w:p>
    <w:p w14:paraId="7FADF5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необходимостью введений ряда изменении в конструк</w:t>
      </w:r>
      <w:r w:rsidRPr="00DB5D0D">
        <w:rPr>
          <w:rFonts w:ascii="Times New Roman" w:hAnsi="Times New Roman"/>
          <w:color w:val="000000" w:themeColor="text1"/>
          <w:sz w:val="16"/>
          <w:szCs w:val="16"/>
        </w:rPr>
        <w:softHyphen/>
        <w:t>ции дизеля М-50 (необходимость которых определена доводкой и го</w:t>
      </w:r>
      <w:r w:rsidRPr="00DB5D0D">
        <w:rPr>
          <w:rFonts w:ascii="Times New Roman" w:hAnsi="Times New Roman"/>
          <w:color w:val="000000" w:themeColor="text1"/>
          <w:sz w:val="16"/>
          <w:szCs w:val="16"/>
        </w:rPr>
        <w:softHyphen/>
        <w:t>сударственными испытаниями) сдача моторов может быть произведена в следующие сроки:</w:t>
      </w:r>
    </w:p>
    <w:p w14:paraId="4FA9D0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мотора М-50 с редуктором</w:t>
      </w:r>
      <w:r w:rsidRPr="00DB5D0D">
        <w:rPr>
          <w:rFonts w:ascii="Times New Roman" w:hAnsi="Times New Roman"/>
          <w:color w:val="000000" w:themeColor="text1"/>
          <w:sz w:val="16"/>
          <w:szCs w:val="16"/>
        </w:rPr>
        <w:tab/>
        <w:t>15/Х-40</w:t>
      </w:r>
    </w:p>
    <w:p w14:paraId="40AB5D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мотора М-50 с редуктором</w:t>
      </w:r>
      <w:r w:rsidRPr="00DB5D0D">
        <w:rPr>
          <w:rFonts w:ascii="Times New Roman" w:hAnsi="Times New Roman"/>
          <w:color w:val="000000" w:themeColor="text1"/>
          <w:sz w:val="16"/>
          <w:szCs w:val="16"/>
        </w:rPr>
        <w:tab/>
        <w:t>15/Х1</w:t>
      </w:r>
    </w:p>
    <w:p w14:paraId="093B19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мотора М-50 без редуктора</w:t>
      </w:r>
      <w:r w:rsidRPr="00DB5D0D">
        <w:rPr>
          <w:rFonts w:ascii="Times New Roman" w:hAnsi="Times New Roman"/>
          <w:color w:val="000000" w:themeColor="text1"/>
          <w:sz w:val="16"/>
          <w:szCs w:val="16"/>
        </w:rPr>
        <w:tab/>
        <w:t>1/ХП</w:t>
      </w:r>
    </w:p>
    <w:p w14:paraId="3B5035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Сдача моторов раньше указанных сроков лимитируется в основном необходимостью проведения дополнительной доводки редуктора конструкции ОТБ НКВД и изготовления ряда деталей измененной конструкции (гильзы, силовые шпильки и друг.)</w:t>
      </w:r>
    </w:p>
    <w:p w14:paraId="0F1C87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ЗАМЕСТИТЕЛЬ НАРОДЕОГО КОМИССАРА НКАП КУЗНЕЦОВ В.П. (1296,236).</w:t>
      </w:r>
    </w:p>
    <w:p w14:paraId="5476F6F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2EE10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 был принят «План изучения и использования самолетов, моторов и оборудования», составленный НИИ ВВС, согласно которому в Германии для НКАП и НКО предполагалось закупить 44 единицы авиационных моторов шести типов (Самарский филиал РГАНТД. Ф. Р-177. Оп. 6-6. Д. 12. Л. 239, 249.) (11672).</w:t>
      </w:r>
    </w:p>
    <w:p w14:paraId="320AD18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14BB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 вышел «План изучения и использования самолетов, моторов и обо</w:t>
      </w:r>
      <w:r w:rsidRPr="00DB5D0D">
        <w:rPr>
          <w:rFonts w:ascii="Times New Roman" w:hAnsi="Times New Roman"/>
          <w:color w:val="000000" w:themeColor="text1"/>
          <w:sz w:val="16"/>
          <w:szCs w:val="16"/>
        </w:rPr>
        <w:softHyphen/>
        <w:t>рудования», составленный НИИ ВВС, согласно которому в Германии для НКАП и НКО предполагалось закупить 44 единицы авиацион</w:t>
      </w:r>
      <w:r w:rsidRPr="00DB5D0D">
        <w:rPr>
          <w:rFonts w:ascii="Times New Roman" w:hAnsi="Times New Roman"/>
          <w:color w:val="000000" w:themeColor="text1"/>
          <w:sz w:val="16"/>
          <w:szCs w:val="16"/>
        </w:rPr>
        <w:softHyphen/>
        <w:t>ных моторов шести типов (Самарский филиал РГАНТД. Ф. Р-124. Оп. 1 -6. Д. 66. Л. 20.). Свидетельством того, что отечественная авиация испытывала острую потребность в современных авиадвигателях, может слу</w:t>
      </w:r>
      <w:r w:rsidRPr="00DB5D0D">
        <w:rPr>
          <w:rFonts w:ascii="Times New Roman" w:hAnsi="Times New Roman"/>
          <w:color w:val="000000" w:themeColor="text1"/>
          <w:sz w:val="16"/>
          <w:szCs w:val="16"/>
        </w:rPr>
        <w:softHyphen/>
        <w:t>жить пример с рекомендацией НИИ ВВС о внедрении в серийное производ</w:t>
      </w:r>
      <w:r w:rsidRPr="00DB5D0D">
        <w:rPr>
          <w:rFonts w:ascii="Times New Roman" w:hAnsi="Times New Roman"/>
          <w:color w:val="000000" w:themeColor="text1"/>
          <w:sz w:val="16"/>
          <w:szCs w:val="16"/>
        </w:rPr>
        <w:softHyphen/>
        <w:t>ство авиамотора ОВ 601, установленного на испытывавшемся истребителе ВГ 109Е (Самарский филиал РГАНТД. Ф. Р-177. Оп. 6-6. Д. 12. Л. 239, 249.). Вряд ли стоит останавливаться на том, что немецкий мотор в серии на советских авиамоторных предприятиях так и не появился (11710,281).</w:t>
      </w:r>
    </w:p>
    <w:p w14:paraId="0A6246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73B3C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 в письме замнаркома авиапромышленности В.П. Кузнецова замнаркома внешней торговли В.И. Кушарову № Н-32 / 1166 от подтверждался заказ на два авиадвигателя Фафнир 323-М фирмы «Брамо» и содержалась просьба к инженерному отделу НКВТ о выдаче лицензии. Этот двигатель Брамо 323 Фафнир (Вгато 323 РаГшг) в период с 1937-го по сентябрь 1943 года был произведен в количестве 5500 экземпляров. Им ос</w:t>
      </w:r>
      <w:r w:rsidRPr="00DB5D0D">
        <w:rPr>
          <w:rFonts w:ascii="Times New Roman" w:hAnsi="Times New Roman"/>
          <w:color w:val="000000" w:themeColor="text1"/>
          <w:sz w:val="16"/>
          <w:szCs w:val="16"/>
        </w:rPr>
        <w:softHyphen/>
        <w:t>нащались двухмоторные бомбардировщики Дорнье Оо 17 2 и гидросамо</w:t>
      </w:r>
      <w:r w:rsidRPr="00DB5D0D">
        <w:rPr>
          <w:rFonts w:ascii="Times New Roman" w:hAnsi="Times New Roman"/>
          <w:color w:val="000000" w:themeColor="text1"/>
          <w:sz w:val="16"/>
          <w:szCs w:val="16"/>
        </w:rPr>
        <w:softHyphen/>
        <w:t xml:space="preserve">леты ^о 24, четырехмоторный транспортный самолет Фокке-Вульф </w:t>
      </w:r>
      <w:r w:rsidRPr="00DB5D0D">
        <w:rPr>
          <w:rFonts w:ascii="Times New Roman" w:hAnsi="Times New Roman"/>
          <w:smallCaps/>
          <w:color w:val="000000" w:themeColor="text1"/>
          <w:sz w:val="16"/>
          <w:szCs w:val="16"/>
        </w:rPr>
        <w:t xml:space="preserve">рлу </w:t>
      </w:r>
      <w:r w:rsidRPr="00DB5D0D">
        <w:rPr>
          <w:rFonts w:ascii="Times New Roman" w:hAnsi="Times New Roman"/>
          <w:color w:val="000000" w:themeColor="text1"/>
          <w:sz w:val="16"/>
          <w:szCs w:val="16"/>
        </w:rPr>
        <w:t>200 и другие машины люфтваффе (11710,281).</w:t>
      </w:r>
    </w:p>
    <w:p w14:paraId="3685B6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2A448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(23 июля - 80,423) (61,164) В.М.Петляков был амнистирован и в начале 1941 получил Сталинскую премию.</w:t>
      </w:r>
    </w:p>
    <w:p w14:paraId="3388391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C0399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освободили из заключения В.М.П. и В.М.М. и они занялись организацией своих ОКБ (2387,8).</w:t>
      </w:r>
    </w:p>
    <w:p w14:paraId="012865C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5D5BCBF" w14:textId="77777777" w:rsidR="003C7E8B" w:rsidRPr="00DB5D0D" w:rsidRDefault="003C7E8B" w:rsidP="00DB5D0D">
      <w:pPr>
        <w:pStyle w:val="a3"/>
        <w:rPr>
          <w:color w:val="000000" w:themeColor="text1"/>
          <w:lang w:val="ru-RU"/>
        </w:rPr>
      </w:pPr>
      <w:r w:rsidRPr="00DB5D0D">
        <w:rPr>
          <w:color w:val="000000" w:themeColor="text1"/>
          <w:lang w:val="ru-RU"/>
        </w:rPr>
        <w:t>25 июля 1940 г. Владимира Михайловича Мясищева освободили, однако ра</w:t>
      </w:r>
      <w:r w:rsidRPr="00DB5D0D">
        <w:rPr>
          <w:color w:val="000000" w:themeColor="text1"/>
          <w:lang w:val="ru-RU"/>
        </w:rPr>
        <w:softHyphen/>
        <w:t>ботать он продолжил в прежней организации, в отношении которой теперь использовалось определение ЦКБ-29 (11941).</w:t>
      </w:r>
    </w:p>
    <w:p w14:paraId="73B68E00" w14:textId="77777777" w:rsidR="003C7E8B" w:rsidRPr="00DB5D0D" w:rsidRDefault="003C7E8B" w:rsidP="00DB5D0D">
      <w:pPr>
        <w:pStyle w:val="a3"/>
        <w:rPr>
          <w:color w:val="000000" w:themeColor="text1"/>
          <w:lang w:val="ru-RU"/>
        </w:rPr>
      </w:pPr>
    </w:p>
    <w:p w14:paraId="3D729E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ВС СССР утвердил приговор В.М.П. (1103,226).</w:t>
      </w:r>
    </w:p>
    <w:p w14:paraId="71396E3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475D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 Начальник НИП АВ ВВС полковник Шевченко и Военком НИП АВ ВВС в/инженер 2-го ранга Щербинин 25 июля 1940 года утвердили Отчет о полигонных испытаниях (спарки) турели МВ-3С под два пулемета ШКАС кал. 7,62 мм конструкции "Веневидова-Можаровского" разработанной на заводе N 32 на с-те СБ. Испытания были начаты 17.4.1940 г., прекращены 13.5.40 г., возобновлены 31.5.40 г. и окончены 15.7.40 г. (2987).</w:t>
      </w:r>
    </w:p>
    <w:p w14:paraId="23E35F5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CD84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 начальник НИП АВ полковник Шевченко и военком НИП АВ в/инженер 2 ранга Щербинин утвердили:</w:t>
      </w:r>
    </w:p>
    <w:p w14:paraId="3B5AE1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осколочных авиабомб АО-15 ОП. П., снаряженных французской смесью методом раздельного снаряжения, 1940 года завода № 12</w:t>
      </w:r>
    </w:p>
    <w:p w14:paraId="288930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–5 июля 1940 года</w:t>
      </w:r>
    </w:p>
    <w:p w14:paraId="32204C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18 июля 1940 года</w:t>
      </w:r>
    </w:p>
    <w:p w14:paraId="1C2C7C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в/инженер 2 ранга Дьячков</w:t>
      </w:r>
    </w:p>
    <w:p w14:paraId="719DCC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DB027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Испытания имели целью определить:</w:t>
      </w:r>
    </w:p>
    <w:p w14:paraId="79D54713" w14:textId="77777777" w:rsidR="003C7E8B" w:rsidRPr="00DB5D0D" w:rsidRDefault="003C7E8B" w:rsidP="00DB5D0D">
      <w:pPr>
        <w:pStyle w:val="24"/>
        <w:widowControl/>
        <w:tabs>
          <w:tab w:val="left" w:pos="360"/>
        </w:tabs>
        <w:rPr>
          <w:color w:val="000000" w:themeColor="text1"/>
        </w:rPr>
      </w:pPr>
      <w:r w:rsidRPr="00DB5D0D">
        <w:rPr>
          <w:color w:val="000000" w:themeColor="text1"/>
        </w:rPr>
        <w:t>Осколочное действие бомб.</w:t>
      </w:r>
    </w:p>
    <w:p w14:paraId="06148B7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Дробление корпуса бомбы В.В.</w:t>
      </w:r>
    </w:p>
    <w:p w14:paraId="5D36BC2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Безотказность действия.</w:t>
      </w:r>
    </w:p>
    <w:p w14:paraId="17DDFEC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бомб в полете.</w:t>
      </w:r>
    </w:p>
    <w:p w14:paraId="3A8449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FF8FDB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Вследствие того, что штатные бомбы АО-15, снаряженные французской смесью по осколочному действию уступают даже бомбам АО-8м6 снаряженным тем же ВВ из-за дробления корпуса бомбы взрывчатым веществом на крупные осколки, то дальнейшее понижение эффективности осколочного действия бомбы АО-15 НИП АВ ВВС считает нецелесообразным.</w:t>
      </w:r>
    </w:p>
    <w:p w14:paraId="0E2B688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БО-15, снаряженные французской смесью раздельным методом завода № 12, по осколочному действию и дроблению корпуса бомбы взрывчатым веществом в сравнении со штатными бомбами АО-15 дали пониженные результаты на 10,5-4,9% и 44-30,5% и полигонные испытания не выдержали (7548).</w:t>
      </w:r>
    </w:p>
    <w:p w14:paraId="325591F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17CD1D1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2E231A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A97D140" w14:textId="77777777" w:rsidR="006C4666" w:rsidRPr="00DB5D0D" w:rsidRDefault="006C4666" w:rsidP="00DB5D0D">
      <w:pPr>
        <w:pStyle w:val="af2"/>
        <w:jc w:val="both"/>
        <w:rPr>
          <w:i w:val="0"/>
          <w:iCs w:val="0"/>
          <w:color w:val="000000" w:themeColor="text1"/>
          <w:spacing w:val="0"/>
          <w:kern w:val="0"/>
          <w:position w:val="0"/>
          <w:sz w:val="16"/>
          <w:szCs w:val="16"/>
          <w:lang w:val="ru-RU"/>
        </w:rPr>
      </w:pPr>
      <w:r w:rsidRPr="00DB5D0D">
        <w:rPr>
          <w:bCs/>
          <w:i w:val="0"/>
          <w:color w:val="000000" w:themeColor="text1"/>
          <w:spacing w:val="0"/>
          <w:kern w:val="0"/>
          <w:position w:val="0"/>
          <w:sz w:val="16"/>
          <w:szCs w:val="16"/>
          <w:lang w:val="ru-RU"/>
        </w:rPr>
        <w:t>25 июля 1940 г. вышлоПОСТАНОВЛЕНИЕ СНК СССР "О РАЗРАБОТКЕ МОБИЛИЗАЦИОННЫХ ПЛАНОВ НА 1940 И 1941 г." № 1343-523СС</w:t>
      </w:r>
    </w:p>
    <w:p w14:paraId="1D434836"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Москва, Кремль </w:t>
      </w:r>
    </w:p>
    <w:p w14:paraId="39360FCB"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Сов. секретно </w:t>
      </w:r>
    </w:p>
    <w:p w14:paraId="6A089FDB"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(Особая папка) </w:t>
      </w:r>
    </w:p>
    <w:p w14:paraId="67E98ED7"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целях обеспечения своевременной разработки мобилизационного плана промышленности на 1941 год Совет Народных Комиссаров Союза ССР </w:t>
      </w:r>
    </w:p>
    <w:p w14:paraId="0619B8BB"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ПОСТАНОВЛЯЕТ: </w:t>
      </w:r>
    </w:p>
    <w:p w14:paraId="23D0A39E"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1. Разработку мобилизационного плана промышленности на оставшийся период 1940 года - признать нецелесообразным. </w:t>
      </w:r>
    </w:p>
    <w:p w14:paraId="1621BB65"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2. Поручить Комитету Обороны при Совнаркоме Союза ССР, на основе плана текущих военных заказов и дополнительных заявок НКОбороны, НКВМорфлота и НКВД на случай ведения войны в 1940 г., утвердить и выдать в месячный срок наркоматам и ведомствам мобилизационные задания - по основным видам вооружения, на оставшийся период 1940 г. </w:t>
      </w:r>
    </w:p>
    <w:p w14:paraId="271EC0C0"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3. Поручить Комитету Обороны рассмотреть мобилизационные заявки НКОбороны, НКВМорфлота и НКВД и утвердить мобилизационный план по основным видам вооружения на 1941 г. с таким расчетом, чтобы предприятия могли закончить разработку мобпланов не позднее 1 декабря 1940 года. </w:t>
      </w:r>
    </w:p>
    <w:p w14:paraId="61D53BEC"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4. Поручить Комитету Обороны при Совнаркоме Союза ССР в месячный срок утвердить инструкцию "О порядке разработки, составления и проведения в жизнь мобилизационного плана промышленности на 1941 год". </w:t>
      </w:r>
    </w:p>
    <w:p w14:paraId="4C68B316"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5. Считать утратившим силу Постановления Комитета Обороны при Совнаркоме Союза ССР: </w:t>
      </w:r>
    </w:p>
    <w:p w14:paraId="67AB317A"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а) № 268сс от 29 июля 1939 г. "Об утверждении мобплана МП-1 по основным видам вооружения"; </w:t>
      </w:r>
    </w:p>
    <w:p w14:paraId="2D95F109"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б) № 279сс от 3 августа 1939 года "Об утверждении Комиссии по подго- товке к рассмотрению КО мобплана на 1940 год". </w:t>
      </w:r>
    </w:p>
    <w:p w14:paraId="6C4CA655"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Председатель Совета Народных Комиссаров Союза ССР В. Молотов </w:t>
      </w:r>
    </w:p>
    <w:p w14:paraId="5395F055"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Управляющий делами Совета Народных Комиссаров Союза ССР М.Хломов </w:t>
      </w:r>
    </w:p>
    <w:p w14:paraId="3A31C49F"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АП РФ. Ф.93. Коллекция документов. Машинопись на бланке: "Постановление Совета Народных Комиссаров Союза ССР". Заверенная копия (11447).</w:t>
      </w:r>
    </w:p>
    <w:p w14:paraId="2250D624"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4806FB10" w14:textId="77777777" w:rsidR="00594F1A" w:rsidRPr="00DB5D0D" w:rsidRDefault="00594F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25 июля 1940 был подготовлен Проект постановления СНК СССР "О разработке мобилизационных планов на 1940 и 1941 г.", утвержденный Политбюро ЦК ВКП(б) (21962).</w:t>
      </w:r>
    </w:p>
    <w:p w14:paraId="4EDA82A8" w14:textId="77777777" w:rsidR="00594F1A" w:rsidRPr="00DB5D0D" w:rsidRDefault="00594F1A" w:rsidP="00DB5D0D">
      <w:pPr>
        <w:spacing w:after="0" w:line="240" w:lineRule="auto"/>
        <w:jc w:val="both"/>
        <w:rPr>
          <w:rFonts w:ascii="Times New Roman" w:hAnsi="Times New Roman"/>
          <w:color w:val="0070C0"/>
          <w:sz w:val="16"/>
          <w:szCs w:val="16"/>
        </w:rPr>
      </w:pPr>
    </w:p>
    <w:p w14:paraId="2FD34BD0" w14:textId="77777777" w:rsidR="00594F1A" w:rsidRPr="00DB5D0D" w:rsidRDefault="00594F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 июля 1940 вышло Постановление СНК СССР № 1343-323сс "О разработке мобилизационных планов на 1940 и 1941 г."</w:t>
      </w:r>
    </w:p>
    <w:p w14:paraId="581029CD" w14:textId="77777777" w:rsidR="00594F1A" w:rsidRPr="00DB5D0D" w:rsidRDefault="00594F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целях обеспечения своевременной разработки мобилизацион</w:t>
      </w:r>
      <w:r w:rsidRPr="00DB5D0D">
        <w:rPr>
          <w:rFonts w:ascii="Times New Roman" w:hAnsi="Times New Roman"/>
          <w:color w:val="0070C0"/>
          <w:sz w:val="16"/>
          <w:szCs w:val="16"/>
        </w:rPr>
        <w:softHyphen/>
        <w:t>ного плана промышленности на 1941 год Совет Народных комиссаров Союза ССР ПОСТАПОВЛЯЕТ:</w:t>
      </w:r>
    </w:p>
    <w:p w14:paraId="7F2082FF" w14:textId="77777777" w:rsidR="00594F1A" w:rsidRPr="00DB5D0D" w:rsidRDefault="00594F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Разработку мобилизационного плана промышленности на остав</w:t>
      </w:r>
      <w:r w:rsidRPr="00DB5D0D">
        <w:rPr>
          <w:rFonts w:ascii="Times New Roman" w:hAnsi="Times New Roman"/>
          <w:color w:val="0070C0"/>
          <w:sz w:val="16"/>
          <w:szCs w:val="16"/>
        </w:rPr>
        <w:softHyphen/>
        <w:t>шийся период 1940 года - признать нецелесообразным.</w:t>
      </w:r>
    </w:p>
    <w:p w14:paraId="1D4E7590" w14:textId="77777777" w:rsidR="00594F1A" w:rsidRPr="00DB5D0D" w:rsidRDefault="00594F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Поручить Комитету Обороны при Совнаркоме Союза ССР, на основе плана текущих военных заказов и дополнительных заявок НКОбороны, НКВМорского флота и НКВД на елучай ведения войны в 1940 г., утвердить и выдать в месячный срок наркоматам и ведомствам моблилизационные задания по основным видам вооружения, на оставшийся период 1940 г.</w:t>
      </w:r>
    </w:p>
    <w:p w14:paraId="6600D1C7" w14:textId="77777777" w:rsidR="00594F1A" w:rsidRPr="00DB5D0D" w:rsidRDefault="00594F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Поручить Комитету Обороны рассмотреть мобилизационные заявки НКОбороны, НКВМорского флота и НКВД утвердить мобилизационный план со основным видам вооружения на 1941 г.с таким расчетом, чтобы предприятия могли закончить разработку мобпланов не позднее 1 декабря 1940 года.</w:t>
      </w:r>
    </w:p>
    <w:p w14:paraId="487CAF89" w14:textId="77777777" w:rsidR="00594F1A" w:rsidRPr="00DB5D0D" w:rsidRDefault="00594F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Поручить Комитету Обороны при Совнаркоме Союза ССР в месячный срок утвердить инструкцию "О порядке разработки, состав</w:t>
      </w:r>
      <w:r w:rsidRPr="00DB5D0D">
        <w:rPr>
          <w:rFonts w:ascii="Times New Roman" w:hAnsi="Times New Roman"/>
          <w:color w:val="0070C0"/>
          <w:sz w:val="16"/>
          <w:szCs w:val="16"/>
        </w:rPr>
        <w:softHyphen/>
        <w:t>ления и проведения в жизнь мобилизационного плана промышленности на 1941 год”.</w:t>
      </w:r>
    </w:p>
    <w:p w14:paraId="7266F85A" w14:textId="77777777" w:rsidR="00594F1A" w:rsidRPr="00DB5D0D" w:rsidRDefault="00594F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Считать утратившим: силу Постановления Комитета Оборона при Совнаркоме Союза ССР:</w:t>
      </w:r>
    </w:p>
    <w:p w14:paraId="73528FE0" w14:textId="77777777" w:rsidR="00594F1A" w:rsidRPr="00DB5D0D" w:rsidRDefault="00594F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 268cc от 29 июля 1939 г."Об утверждении мобплана МП-1 до основным видам вооружения";</w:t>
      </w:r>
    </w:p>
    <w:p w14:paraId="416675E4" w14:textId="77777777" w:rsidR="00594F1A" w:rsidRPr="00DB5D0D" w:rsidRDefault="00594F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 279сс от 3 августа 1939 года ”О6 утверждении Комиссии по подготовке к рассмотрению КО мобплана на 1940 год” (21963).</w:t>
      </w:r>
    </w:p>
    <w:p w14:paraId="12C58CDD" w14:textId="77777777" w:rsidR="00594F1A" w:rsidRPr="00DB5D0D" w:rsidRDefault="00594F1A" w:rsidP="00DB5D0D">
      <w:pPr>
        <w:spacing w:after="0" w:line="240" w:lineRule="auto"/>
        <w:jc w:val="both"/>
        <w:rPr>
          <w:rFonts w:ascii="Times New Roman" w:hAnsi="Times New Roman"/>
          <w:color w:val="0070C0"/>
          <w:sz w:val="16"/>
          <w:szCs w:val="16"/>
        </w:rPr>
      </w:pPr>
    </w:p>
    <w:p w14:paraId="1233D66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в </w:t>
      </w:r>
      <w:hyperlink r:id="rId224" w:tgtFrame="_blank" w:history="1">
        <w:r w:rsidRPr="00DB5D0D">
          <w:rPr>
            <w:rStyle w:val="a5"/>
            <w:rFonts w:ascii="Times New Roman" w:hAnsi="Times New Roman"/>
            <w:color w:val="000000" w:themeColor="text1"/>
            <w:sz w:val="16"/>
            <w:szCs w:val="16"/>
          </w:rPr>
          <w:t>оперативной сводке № 376с</w:t>
        </w:r>
      </w:hyperlink>
      <w:r w:rsidRPr="00DB5D0D">
        <w:rPr>
          <w:rFonts w:ascii="Times New Roman" w:hAnsi="Times New Roman"/>
          <w:color w:val="000000" w:themeColor="text1"/>
          <w:sz w:val="16"/>
          <w:szCs w:val="16"/>
        </w:rPr>
        <w:t>, подписанной старшим военным представителем АБТУ КА на заводе № 183 капитаном П.Ф. Русаковым, в частности, было сказано: </w:t>
      </w:r>
    </w:p>
    <w:p w14:paraId="69B5178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«Сначала выпуска машин Т-34 собрано корпусов и поступило на сборку 13 шт. и башен 10 шт. Собрано и прошло испытание большим пробегом 9 машин. Из них принято 5 шт. отгружено 3 шт. и одна машина оставлена на заводе для учебных целей. Находятся в процессе сборки 4 машины. Обеспеченность броней по башням и корпусам по 22 номер машины. Заложено корпусов 6 и башен 10».</w:t>
      </w:r>
    </w:p>
    <w:p w14:paraId="6354049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31811. Оп. 2. Д. 1181. Л. 176]</w:t>
      </w:r>
    </w:p>
    <w:p w14:paraId="2940BBF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выполнение заводом № 183 плана по выпуску танков Т-34 в июле 1940 г. находилось под угрозой срыва. Кроме этого заводом не выдерживался утвержденный НКСМ график подготовки производства к серийному выпуску танков Т-34. Прежде всего, это касалось оснащения производства всеми необходимыми приспособлениями, штампами и инструментом, как собственного изготовления, так и получаемых по кооперации от СТЗ, 1-го ГПЗ, ЗИС, ХТЗ и завода № 75 (18148).</w:t>
      </w:r>
    </w:p>
    <w:p w14:paraId="3377EBE4" w14:textId="77777777" w:rsidR="0026491A" w:rsidRPr="00DB5D0D" w:rsidRDefault="0026491A" w:rsidP="00DB5D0D">
      <w:pPr>
        <w:spacing w:after="0" w:line="240" w:lineRule="auto"/>
        <w:jc w:val="both"/>
        <w:rPr>
          <w:rFonts w:ascii="Times New Roman" w:hAnsi="Times New Roman"/>
          <w:color w:val="000000" w:themeColor="text1"/>
          <w:sz w:val="16"/>
          <w:szCs w:val="16"/>
        </w:rPr>
      </w:pPr>
    </w:p>
    <w:p w14:paraId="1AA158A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w:t>
      </w:r>
    </w:p>
    <w:p w14:paraId="3AD2DBC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46473F3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Экз. № 2 </w:t>
      </w:r>
    </w:p>
    <w:p w14:paraId="3650B82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25 Июля 1940 г. </w:t>
      </w:r>
    </w:p>
    <w:p w14:paraId="51B4CF0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376с </w:t>
      </w:r>
    </w:p>
    <w:p w14:paraId="2078631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4 ОТДЕЛА АБТУ КА</w:t>
      </w:r>
    </w:p>
    <w:p w14:paraId="457D5D3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ВОЕНИНЖЕНЕРУ I РАНГА т. АЛЫМОВУ</w:t>
      </w:r>
    </w:p>
    <w:p w14:paraId="756ED3B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8 ОТДЕЛА АБТУ КА</w:t>
      </w:r>
    </w:p>
    <w:p w14:paraId="37BDC6B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ВОЕНИНЖЕНЕРУ 1 РАНГА тов. АФОНИНУ</w:t>
      </w:r>
    </w:p>
    <w:p w14:paraId="067C1D4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СВОДКА</w:t>
      </w:r>
    </w:p>
    <w:p w14:paraId="627C611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ХОДЕ ПОДГОТОВКИ К СЕРИЙНОМУ ВЫПУСКУ МАШ. Т-34 НА ЗАВОДЕ № 183</w:t>
      </w:r>
    </w:p>
    <w:p w14:paraId="58A4CA6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20 ИЮЛЯ 1940 г.</w:t>
      </w:r>
    </w:p>
    <w:p w14:paraId="44F69E1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РАЗРАБОТКА И ВНЕДРЕНИЕ ТЕХПРОЦЕССОВ. </w:t>
      </w:r>
    </w:p>
    <w:p w14:paraId="441C118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ПОДГОТОВКА ИНСТРУМЕНТА НА 20/VII-40 г. </w:t>
      </w:r>
    </w:p>
    <w:p w14:paraId="03D8555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ПОДГОТОВКА ПРИСПОСОБЛЕНИЙ И ШТАМПОВ НА 23 ИЮЛЯ 1940 г. </w:t>
      </w:r>
    </w:p>
    <w:p w14:paraId="1D4E850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Всего наименований: Спроектировано и сдано в заказ: 1564 </w:t>
      </w:r>
    </w:p>
    <w:p w14:paraId="6853487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Заказано: 1553 </w:t>
      </w:r>
    </w:p>
    <w:p w14:paraId="5E1104E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Изготовлено: 512 </w:t>
      </w:r>
    </w:p>
    <w:p w14:paraId="4DF5164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Сдано по акту: 191 </w:t>
      </w:r>
    </w:p>
    <w:p w14:paraId="4E64D39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ЗАКАЗ И ИЗГОТОВЛЕНИЕ ПРИСПОСОБЛЕНИЙ И ШТАМПОВ ВНЕ ЗАВОДА (в штуках). </w:t>
      </w:r>
    </w:p>
    <w:p w14:paraId="0D166FB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В числителе показаны штампы, в знаменателе приспособления. </w:t>
      </w:r>
    </w:p>
    <w:p w14:paraId="30C7D4B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ИЗГОТОВЛЕНИЕ ДЕТАЛЕЙ В ОТДЕЛЕ 100 НА ПАРТИЮ 50 МАШИН. </w:t>
      </w:r>
    </w:p>
    <w:p w14:paraId="7D3803C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ВЫПУСК МАШИН Т-34.</w:t>
      </w:r>
    </w:p>
    <w:p w14:paraId="68F7172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Сначала выпуска машин Т-34 собрано корпусов и поступило на сборку 13 шт. и башен 10 шт. Собрано и прошло испытание большим пробегом 9 машин. Из них принято 5 шт. отгружено 3 шт. и одна машина оставлена на заводе для учебных целей. Находятся в процессе сборки 4 машины. Обеспеченность броней по башням и корпусам по 22 номер машины. Заложено корпусов 6 и башен 10. </w:t>
      </w:r>
    </w:p>
    <w:p w14:paraId="6A40363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КАПИТАЛЬНОЕ СТРОИТЕЛЬСТВО.</w:t>
      </w:r>
    </w:p>
    <w:p w14:paraId="3C6CD04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отделу 700 в первом тяжелом сварочном пролете вступил в строй 2-й стенд и 4 стенда монтируются. Строительство второго тяжелого пролета в основном закончено, но к монтажу оборудования еще не приступлено. Производится реконструкция 2-х старых пролетов. </w:t>
      </w:r>
    </w:p>
    <w:p w14:paraId="357EBD4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отделе 100 производится реконструкция сборочного цеха, усиление крановых путей и постройка второй параллельной линии конвейера. </w:t>
      </w:r>
    </w:p>
    <w:p w14:paraId="5A315C2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РАЙОННОГО ИНЖЕНЕРА АБТУ КА КАПИТАН подпись (РУСАКОВ)</w:t>
      </w:r>
    </w:p>
    <w:p w14:paraId="32A9704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 3 экз. </w:t>
      </w:r>
    </w:p>
    <w:p w14:paraId="2945366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 Киселев</w:t>
      </w:r>
    </w:p>
    <w:p w14:paraId="5F44C26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Фонд 31811 Опись 2 Дело 1181 листы 173 – 177 (18151).</w:t>
      </w:r>
    </w:p>
    <w:p w14:paraId="6BE26046" w14:textId="77777777" w:rsidR="0026491A" w:rsidRPr="00DB5D0D" w:rsidRDefault="0026491A" w:rsidP="00DB5D0D">
      <w:pPr>
        <w:spacing w:after="0" w:line="240" w:lineRule="auto"/>
        <w:jc w:val="both"/>
        <w:rPr>
          <w:rFonts w:ascii="Times New Roman" w:hAnsi="Times New Roman"/>
          <w:color w:val="000000" w:themeColor="text1"/>
          <w:sz w:val="16"/>
          <w:szCs w:val="16"/>
        </w:rPr>
      </w:pPr>
    </w:p>
    <w:p w14:paraId="6694577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25 июля 1940 г. </w:t>
      </w:r>
      <w:hyperlink r:id="rId225" w:tgtFrame="_blank" w:history="1">
        <w:r w:rsidRPr="00DB5D0D">
          <w:rPr>
            <w:rStyle w:val="a5"/>
            <w:rFonts w:ascii="Times New Roman" w:hAnsi="Times New Roman"/>
            <w:color w:val="000000" w:themeColor="text1"/>
            <w:sz w:val="16"/>
            <w:szCs w:val="16"/>
          </w:rPr>
          <w:t>«Технических условий на сборку и приемку механизмов и испытание машины "А-34" выпуска 1940 г.»</w:t>
        </w:r>
      </w:hyperlink>
      <w:r w:rsidRPr="00DB5D0D">
        <w:rPr>
          <w:rFonts w:ascii="Times New Roman" w:hAnsi="Times New Roman"/>
          <w:color w:val="000000" w:themeColor="text1"/>
          <w:sz w:val="16"/>
          <w:szCs w:val="16"/>
        </w:rPr>
        <w:t>, подготовленные на заводе № 183, были подписаны исполняющим обязанности главного конструктора завода А.А. Морозовым, исполняющим обязанности начальника КБ-520 Н.А. Кучеренко и старшим военным представителем ГАБТУ КА на заводе № 183 капитаном П.Ф. Русаковым, и в этот же день – согласованы с директором завода № 183 Ю.Е. Максарёвым. На 140 страницах этого документа были изложены технические условия на сборку (монтаж) и приемку всех составных частей машины, а также прописаны технические условия на проведение «стационарной прокрутки» (проверка работы силовой установки и трансмиссии танка при работающем двигателе), заводской обкатки, сдаточных и специальных испытаний танков Т-34. В августе 1940 г. технические условия были согласованы с начальниками 4-го и 8-го отделов АБТУ КА военинженерами 1 ранга Н.Н. Алымовым и С.А. Афониным, районным инженером ГАБТУ КА на заводе № 183 военинженером 2 ранга Д.М. Козыревым и утверждены начальником БТУ ГАБТУ КА военинженером 1 ранга Б.М. Коробковым, после чего изготовление и приемка танков Т-34 в 1940 г. производилась в соответствии с этим документом. </w:t>
      </w:r>
    </w:p>
    <w:p w14:paraId="63ED2C3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моменту завершения разработки технических условий коллективу КБ-520 удалось устранить значительную часть недостатков в конструкции «тридцатьчетверки», выявленных комиссией во время войсковых испытаний двух опытных образцов танка Т-34. О том, над чем ещё предстояло поработать коллективу конструкторов КБ-520, можно судить, ознакомившись с </w:t>
      </w:r>
      <w:hyperlink r:id="rId226" w:tgtFrame="_blank" w:history="1">
        <w:r w:rsidRPr="00DB5D0D">
          <w:rPr>
            <w:rStyle w:val="a5"/>
            <w:rFonts w:ascii="Times New Roman" w:hAnsi="Times New Roman"/>
            <w:color w:val="000000" w:themeColor="text1"/>
            <w:sz w:val="16"/>
            <w:szCs w:val="16"/>
          </w:rPr>
          <w:t>«Перечнем конструктивных изменений и доработок по машине Т-34, подлежащих введению в серийном производстве в 1940 г.»</w:t>
        </w:r>
      </w:hyperlink>
      <w:r w:rsidRPr="00DB5D0D">
        <w:rPr>
          <w:rFonts w:ascii="Times New Roman" w:hAnsi="Times New Roman"/>
          <w:color w:val="000000" w:themeColor="text1"/>
          <w:sz w:val="16"/>
          <w:szCs w:val="16"/>
        </w:rPr>
        <w:t>, составленном старшим военным представителем ГАБТУ КА на заводе № 183 и исполняющим на тот момент обязанности районного инженера ГАБТУ КА капитаном П.Ф. Русаковым (18148).</w:t>
      </w:r>
    </w:p>
    <w:p w14:paraId="1CC59FE8" w14:textId="77777777" w:rsidR="0026491A" w:rsidRPr="00DB5D0D" w:rsidRDefault="0026491A" w:rsidP="00DB5D0D">
      <w:pPr>
        <w:spacing w:after="0" w:line="240" w:lineRule="auto"/>
        <w:jc w:val="both"/>
        <w:rPr>
          <w:rFonts w:ascii="Times New Roman" w:hAnsi="Times New Roman"/>
          <w:color w:val="000000" w:themeColor="text1"/>
          <w:sz w:val="16"/>
          <w:szCs w:val="16"/>
        </w:rPr>
      </w:pPr>
    </w:p>
    <w:p w14:paraId="6494590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w:t>
      </w:r>
    </w:p>
    <w:p w14:paraId="2A2841E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УТВЕРЖДАЮ: </w:t>
      </w:r>
    </w:p>
    <w:p w14:paraId="6575050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НАЧАЛЬНИК БТУ КА ВОЕНИНЖЕНЕР 1 РАНГА </w:t>
      </w:r>
    </w:p>
    <w:p w14:paraId="554E834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подпись (КОРОБКОВ) </w:t>
      </w:r>
    </w:p>
    <w:p w14:paraId="4010362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Дописано от руки Б.М. Коробковым: «с замечаниями, см. приложение» </w:t>
      </w:r>
    </w:p>
    <w:p w14:paraId="48FA68C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СОГЛАСЕН: </w:t>
      </w:r>
    </w:p>
    <w:p w14:paraId="4993A39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ДИРЕКТОР ЗАВОДА № 183 им. КОМИНТЕРНА </w:t>
      </w:r>
    </w:p>
    <w:p w14:paraId="3FF7C24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подпись 25/VII (МАКСАРЕВ) </w:t>
      </w:r>
    </w:p>
    <w:p w14:paraId="1EE40EC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2E16E57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ПРИЕМКУ МЕХАНИЗМОВ И ИСПЫТАНИЕ</w:t>
      </w:r>
    </w:p>
    <w:p w14:paraId="3F6E00E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МАШИНЫ "А-34" ВЫПУСКА 1940 г.</w:t>
      </w:r>
    </w:p>
    <w:p w14:paraId="7A24EB9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4-го Отдела АБТУ КА Военинженер 1 ранга</w:t>
      </w:r>
    </w:p>
    <w:p w14:paraId="756DF11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подпись (АЛЫМОВ) </w:t>
      </w:r>
    </w:p>
    <w:p w14:paraId="15C7E4D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8-го Отдела АБТУ КА Военинженер 1 ранга</w:t>
      </w:r>
    </w:p>
    <w:p w14:paraId="30A2D6F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подпись (АФОНИН) </w:t>
      </w:r>
    </w:p>
    <w:p w14:paraId="721D607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РАЙОННЫЙ ИНЖЕНЕР АБТУ КА на заводе № 183 Военинженер 2 ранга</w:t>
      </w:r>
    </w:p>
    <w:p w14:paraId="6C0A07B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подпись (КОЗЫРЕВ)</w:t>
      </w:r>
    </w:p>
    <w:p w14:paraId="57D820D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Дописано от руки:</w:t>
      </w:r>
    </w:p>
    <w:p w14:paraId="1971056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«Раздел ТУ об установке артсистемы пересмотреть и представить на утверждение АТУ КА по Ф-32 и 45 мм пушки. подпись С.А. Афонина» </w:t>
      </w:r>
    </w:p>
    <w:p w14:paraId="1FE9928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ОСОБЫЕ ЗАМЕЧАНИЯ</w:t>
      </w:r>
    </w:p>
    <w:p w14:paraId="5EA6B81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Заправку механизмов "летней" смазкой производить с 1.IV по 31.IX. </w:t>
      </w:r>
    </w:p>
    <w:p w14:paraId="3CF0C73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Заправку механизмов "зимней" смазкой производить с 1.Х по 30.III. </w:t>
      </w:r>
    </w:p>
    <w:p w14:paraId="7C17245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Включение радиатора, охлаждающего масло, выходящее из мотора, производить с 15.V по 30.Х. </w:t>
      </w:r>
    </w:p>
    <w:p w14:paraId="1ED98FD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Выключение радиатора, охлаждающего масло, выходящее из мотора, производить с 1.XI по 14.V. </w:t>
      </w:r>
    </w:p>
    <w:p w14:paraId="1B6F34F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Летний нагрев механизмов масла и воды считать с 15.V по 31.Х. </w:t>
      </w:r>
    </w:p>
    <w:p w14:paraId="144EF09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Зимний нагрев механизмов масла и воды считать с 1.XI по 14.V. </w:t>
      </w:r>
    </w:p>
    <w:p w14:paraId="3370D86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Периоды летних и зимних температур указаны для Харьковской области. </w:t>
      </w:r>
    </w:p>
    <w:p w14:paraId="0B2AB17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ОГЛАВЛЕНИЕ </w:t>
      </w:r>
    </w:p>
    <w:p w14:paraId="7FE64DE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4148BCC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УСТАНОВКУ И КРЕПЛЕНИЕ ДВИГАТЕЛЯ</w:t>
      </w:r>
    </w:p>
    <w:p w14:paraId="1E7E774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ГРУППА 01.</w:t>
      </w:r>
    </w:p>
    <w:p w14:paraId="74B1E07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установку и крепление двигателя смотри на чертеже 34.01.сб.1. </w:t>
      </w:r>
    </w:p>
    <w:p w14:paraId="66FD05A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13CDC79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СИСТЕМЫ ОХЛАЖДЕНИЯ</w:t>
      </w:r>
    </w:p>
    <w:p w14:paraId="586E6DA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Группа 02.</w:t>
      </w:r>
    </w:p>
    <w:p w14:paraId="1F71874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сборку и установку системы охлаждения смотри на чертежах: 34.02.1.сб., 34.02.3сб., 34.02.4.сб., 34.02.5сб., 34.02.8сб., 34.02.9сб., 34.02.11сб., 34.02.12сб., 34.02.19сб. и 34.02.сб. </w:t>
      </w:r>
    </w:p>
    <w:p w14:paraId="61602A1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413C09D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СИСТЕМЫ СМАЗКИ</w:t>
      </w:r>
    </w:p>
    <w:p w14:paraId="3751D07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Группа 03.</w:t>
      </w:r>
    </w:p>
    <w:p w14:paraId="58B69BB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сборку и установку системы смазки смотри на чертежах: 34.03.10сб., 34.03.11сб., 34.03.12сб., 34.03.13сб., 34.03.17сб., 34.03.31сб., 34.03сб. с дополнением нижеследующего: </w:t>
      </w:r>
    </w:p>
    <w:p w14:paraId="7081012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Работу системы смазки после сборки проверить поочередно на одновременно выключенных обоих радиаторами одновременно включенных обоих радиаторах. Затем работу системы смазки проверить поочередно на одном левом и одном правом баках. </w:t>
      </w:r>
    </w:p>
    <w:p w14:paraId="2015A25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Переключение перепускного крана (34.03.12сб. или 34.03.13сб.) и запорного крана (34.03.17сб.) при работе на одном баке разрешается производить только при неработающем двигателе. </w:t>
      </w:r>
    </w:p>
    <w:p w14:paraId="79028CF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Переключение перепускных кранов 34.03.12сб. и 34.03.13сб и запорного крана 34.03.17сб. разрешается производить только при неработающем двигателе. </w:t>
      </w:r>
    </w:p>
    <w:p w14:paraId="71E7E9D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34.03.28сб. привод масляного насоса отменен. </w:t>
      </w:r>
    </w:p>
    <w:p w14:paraId="69033A8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3BE8D09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ВОЗДУХООЧИСТИТЕЛЯ</w:t>
      </w:r>
    </w:p>
    <w:p w14:paraId="6D9612C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Группа 04</w:t>
      </w:r>
    </w:p>
    <w:p w14:paraId="315A6C4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сборку и установку воздухоочистителя смотри на чертеже 34.04.сб. </w:t>
      </w:r>
    </w:p>
    <w:p w14:paraId="74F8A48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01CBB1F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ТОПЛИВНОЙ СИСТЕМЫ</w:t>
      </w:r>
    </w:p>
    <w:p w14:paraId="7E7841E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Группа 05</w:t>
      </w:r>
    </w:p>
    <w:p w14:paraId="6685129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сборку и установку топливной системы смотри на чертежах: 34.05.16сб., 34.05.17сб., 34.05.18сб., 34.05.20сб., 34.05.21сб., 34.05.22сб., 34.05.23сб., 34.05.24сб., 34.05.26сб., 34.05.27сб., 34.05.47сб., 34.05.сб. и 05-С28. </w:t>
      </w:r>
    </w:p>
    <w:p w14:paraId="1A26E2F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60DE6C8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 УСТАНОВКУ ВЫХЛОПНОГО ТРУБОПРОВОДА</w:t>
      </w:r>
    </w:p>
    <w:p w14:paraId="4FF683D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Группа 06</w:t>
      </w:r>
    </w:p>
    <w:p w14:paraId="3F2C67D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установку выхлопного трубопровода смотри на чертеже 34.06.сб.1. </w:t>
      </w:r>
    </w:p>
    <w:p w14:paraId="25982DF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5A2869E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ВЕНТИЛЯТОРА</w:t>
      </w:r>
    </w:p>
    <w:p w14:paraId="5B73581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Группа 07</w:t>
      </w:r>
    </w:p>
    <w:p w14:paraId="7308869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сборку вентилятора смотри на чертеже 34.07.7.сб. – на установку вентилятора смотри в технических условиях на сборку главного фрикциона. </w:t>
      </w:r>
    </w:p>
    <w:p w14:paraId="2920F75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70BDE1B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ГЛАВНОГО ФРИКЦИОНА И УСТАНОВКУ ВЕНТИЛЯТОРА (сб. черт. 34.07.сб.)</w:t>
      </w:r>
    </w:p>
    <w:p w14:paraId="3F8998F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СБОРКА КОМПЛЕКТА МАХОВИКА, Дет. 34.07.004.</w:t>
      </w:r>
    </w:p>
    <w:p w14:paraId="1CBD903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Внутренне кольцо роликоподшипника, дет. 34.07.013 должно быть напрессовано на ступицу маховика до плотного упора. </w:t>
      </w:r>
    </w:p>
    <w:p w14:paraId="2F51B9E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Правильность прилегания конусов, дет. 1107-168-4 и 1107-227 к своим посадочным местам в маховике, должна проверяться по краске, до разрезки конусов. </w:t>
      </w:r>
    </w:p>
    <w:p w14:paraId="6D56012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Площадь прилегания конусов должна быть не менее 75% их рабочей поверхности и располагаться посередине или у большого основания конуса. </w:t>
      </w:r>
    </w:p>
    <w:p w14:paraId="17760E8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СБОРКА КОМПЛЕКТА ВНУТРЕННЕГО БАРАБАНА. Дет. 34.07.005.</w:t>
      </w:r>
    </w:p>
    <w:p w14:paraId="27182C1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Наружное кольцо роликоподшипника, дет. 34.07.012, должно быть посажено до упора в бурт барабана. </w:t>
      </w:r>
    </w:p>
    <w:p w14:paraId="655FEFB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Суммарный радиальный зазор между роликами подшипника 34.07.2сб. и кольцами дет. 34.07.012 и 34.07.013 должен быть в пределах 0,06 ÷ 0,2 мм (зазор должен проверяться после напрессовки колец на маховик и во внутренний барабан). </w:t>
      </w:r>
    </w:p>
    <w:p w14:paraId="2C7BB09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После установки в барабан роликоподшипника 34.07.сб2. ступица барабана, дет. 34.07.006-1 должна быть болтами притянута к барабану до плотного упора в торцевую поверхность. Болты должны быть попарно связаны проволокой. </w:t>
      </w:r>
    </w:p>
    <w:p w14:paraId="2031A54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СБОРКА КОМПЛЕКТА ПОДШИПНИКОВОЙ КОРОБКИ. Дет. 34.07.008.</w:t>
      </w:r>
    </w:p>
    <w:p w14:paraId="2B9DB5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Шпильки, дет. 34.07.020, должны быть притянуты гайками к подшипниковой коробке до плотного упора. Допускаемая неперпендикулярность шпилек проверяется свободным прохождением противоположных концов их, через отверстия маховика и нажимного диска. Подгибка установленных шпилек не допускается. </w:t>
      </w:r>
    </w:p>
    <w:p w14:paraId="5C39CEB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Шарикоподшипник Г.П.З. – 226, своим наружным кольцом должен быть посажен в коробку до плотного упора и зажат крышкой, дет. 34.07.011, причем зазор между фланцем крышки и подшипниковой коробки должен быть заполнен прокладками, дет. 34.07.030 и 34.07.031. </w:t>
      </w:r>
    </w:p>
    <w:p w14:paraId="30BCDAC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Поводковая коробка 34.07.4.сб. должна быть поставлена во внутреннее кольцо подшипника до плотного упора, при этом сальниковое кольцо не должно быть закушено. Поводковая коробка с внутренним кольцом подшипника должна свободно проворачиваться, без заклиниваний и заеданий. </w:t>
      </w:r>
    </w:p>
    <w:p w14:paraId="58223EB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УСТАНОВКА ПОДШИПНИКОВ, Дет. 206 ОСТ 6121 В ХВОСТОВИК ВАЛА МОТОРА.</w:t>
      </w:r>
    </w:p>
    <w:p w14:paraId="34CCC95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Гнездо подшипников, дет. 34.07.057,должно быть посажено в хвостовик вала до упора в бурт. </w:t>
      </w:r>
    </w:p>
    <w:p w14:paraId="2F543CA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Шарикоподшипники, дет. 206 ОСТ 6121, со стяжным болтом, заведенным во внутренние кольца, должны быть посажены до упора в бурт гнезда и затянуты гайкой, дет. 34.07.049, до плотного упора. Гайка должна быть застопорена шайбой, дет. 34.07.050. Все свободные внутренние усики шайбы должны быть отогнуты на гайку. </w:t>
      </w:r>
    </w:p>
    <w:p w14:paraId="4DA6F7A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ОБЩАЯ СБОРКА ГЛАВНОГО ФРИКЦИОНА.</w:t>
      </w:r>
    </w:p>
    <w:p w14:paraId="1976C11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Установка дисков трения.</w:t>
      </w:r>
    </w:p>
    <w:p w14:paraId="7BDA74E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Диски трения, СК.09-3 и СК.09-4, перед постановкой должны быть промыты в бензине. </w:t>
      </w:r>
    </w:p>
    <w:p w14:paraId="06C2E0A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Диски должны свободно, без заклиниваний входить в зубья маховика и устанавливаться в порядке их рабочего положения. </w:t>
      </w:r>
    </w:p>
    <w:p w14:paraId="7D31963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Разность в толщине комплекта дисков, при замере в диаметрально противоположных местах, по наибольшему диаметру допускается не более 0,3 мм. </w:t>
      </w:r>
    </w:p>
    <w:p w14:paraId="725CF8F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Нажимной диск, дет. 34.07.009, должен быть притянут гайками к шпилькам подшипниковой коробки до плотного упора, причем между диском и шпильками должны быть проставлены прокладки, дет. 07-139-1, толщиною в 1 мм. </w:t>
      </w:r>
    </w:p>
    <w:p w14:paraId="73C7600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Регулировка выключающего механизма.</w:t>
      </w:r>
    </w:p>
    <w:p w14:paraId="42BB35E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Основной зазор шариков 16 ОСТ 8201, должен быть отрегулирован в пределах 1 ± 0,1 мм кольцами, дет. 1107-327. </w:t>
      </w:r>
    </w:p>
    <w:p w14:paraId="231068B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Толщина набора колец "а" определяется как разность замеров "б" и "в", где: размер "б" – расстояние от торца корпуса, уплотнительных колец мотора до торцевой поверхности расположения канавок в дет. 34.07.033, плюс 7 мм. Размер "в" – расстояние от торца конуса, дет. 1107-227, до торцевой поверхности расположения канавок в дет. 34.07.035. </w:t>
      </w:r>
    </w:p>
    <w:p w14:paraId="478D0C7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 б – в) </w:t>
      </w:r>
    </w:p>
    <w:p w14:paraId="09250E7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Установка вентилятора, 34.07.7сб, и венца дет. 34.07.037 на маховик.</w:t>
      </w:r>
    </w:p>
    <w:p w14:paraId="6DA9037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Вентилятор должен быть посажен на маховик до упора в торец диска вентилятора. </w:t>
      </w:r>
    </w:p>
    <w:p w14:paraId="07F7897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Венец с ввернутым установочным винтом 1М8×12–СК–0.47.18 должен быть посажен на маховик, согласно установочного отверстия, до упора в бурт. </w:t>
      </w:r>
    </w:p>
    <w:p w14:paraId="3E62210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Болты, крепящие вентилятор и венец, должны быть затянуты до отказа и связаны попарно или по три проволокой. </w:t>
      </w:r>
    </w:p>
    <w:p w14:paraId="5598FDB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Торцевой зазор между диском вентилятора и маховиком не допускается. </w:t>
      </w:r>
    </w:p>
    <w:p w14:paraId="694AA4A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Установка фрикциона на вал мотора.</w:t>
      </w:r>
    </w:p>
    <w:p w14:paraId="6F9BA3E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Фрикцион должен быть посажен на вал до упора конусом маховика, дет. 1107-227, в регулировочные кольца, дет. 1107-327. </w:t>
      </w:r>
    </w:p>
    <w:p w14:paraId="40ECFF0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Наружный конус маховика, дет. 1107-168-4, должен быть посажен на вал на шпонке, дет. 1107-230 и затянут до плотного упора всего набора пробкой, дет. 34.07.018. </w:t>
      </w:r>
    </w:p>
    <w:p w14:paraId="5F00D5C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До постановки, пробка должна быть расперта распорным конусом, дет. 34.07.044. Распертая пробка должна свободно заворачиваться в вал. </w:t>
      </w:r>
    </w:p>
    <w:p w14:paraId="3E17425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Затяжка пробки должна производиться моментом 150 ÷ 180 кгм (на плече 1,5 м усилием 2-х человек в 100 ÷ 150 кг). В процессе затяжки должно быть произведено кратное обстукивание ступицы маховика и пробки медным молотком, с последующей дотяжкой пробки. </w:t>
      </w:r>
    </w:p>
    <w:p w14:paraId="1D59AD4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После окончательной затяжки пробки, гайка распорного конуса должна быть затянута до отказа и застопорена. </w:t>
      </w:r>
    </w:p>
    <w:p w14:paraId="145A09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Расстояние от торца наружного конуса до торца коленчатого вала, замеренное после окончательной затяжки пробки (через отверстие в пробке), должно быть в пределах 3,5 ± 1,5 мм. </w:t>
      </w:r>
    </w:p>
    <w:p w14:paraId="5D25021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Установка внутреннего барабана.</w:t>
      </w:r>
    </w:p>
    <w:p w14:paraId="6FCDB14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Барабан своими зубьями должен свободно, без заклиниваний входить в зубья дисков трения. </w:t>
      </w:r>
    </w:p>
    <w:p w14:paraId="4117B05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Ступица барабана должна быть посажена во внутренние кольца подшипников, дет. 206 ОСТ 6121 до плотного упора в бурт. Стопор стяжного болта, дет. М6×12 ОСТ 205 должен располагаться при этом в пазе ступицы. </w:t>
      </w:r>
    </w:p>
    <w:p w14:paraId="44D5AE1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Стяжной болт, дет. 34.07.017, должен быть затянут гайкой К1М16 – ОСТ 3312 до плотного упора и зашплинтован. </w:t>
      </w:r>
    </w:p>
    <w:p w14:paraId="548454B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Наружный осмотр, смазка и покраска фрикциона.</w:t>
      </w:r>
    </w:p>
    <w:p w14:paraId="73B2B85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Выключение фрикциона должно происходить свободно, без заклиниваний и заеданий в выключающем устройстве, по шпилькам подшипниковой коробки, в дисках трения и подшипниках. </w:t>
      </w:r>
    </w:p>
    <w:p w14:paraId="2A569C8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Выключающее устройство должно обеспечивать выжим фрикциона (перемещение нажимного диска) не менее 6 мм. Выжим фрикциона установленного на машине (рабочий ход), должен регулироваться в пределах 5 + 1 мм. Разность размера выжима при замере в диаметрально-противоположных местах допускается не более 0,5 мм. </w:t>
      </w:r>
    </w:p>
    <w:p w14:paraId="57BEABA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При выключенном фрикционе ведомый барабан должен вращаться свободно от руки. </w:t>
      </w:r>
    </w:p>
    <w:p w14:paraId="48CBCE4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Все подшипники должны быть обильно смазаны консталином. </w:t>
      </w:r>
    </w:p>
    <w:p w14:paraId="4DB564D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Все свободные полости выключающего механизма должны быть заполнены консталином. </w:t>
      </w:r>
    </w:p>
    <w:p w14:paraId="42EB61C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Все сальниковые кольца перед постановкой должны быть пропитаны в авиационном масле. </w:t>
      </w:r>
    </w:p>
    <w:p w14:paraId="5B12F3E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Концы шланга, дет. 07-144, должны быть заделаны на трубках таким образом, чтобы шланг не растягивался при полном выключении главного фрикциона. Концы шланга, одетые на трубках, должны быть плотно обтянуты проволокой. Течь масла в местах соединения шланга с трубками – не допускается. </w:t>
      </w:r>
    </w:p>
    <w:p w14:paraId="01247C6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Все нерабочие поверхности деталей фрикциона должны быть окрашены черным автолаком М-122. </w:t>
      </w:r>
    </w:p>
    <w:p w14:paraId="6FC542D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СБОРКА ГИБКОГО СОЧЛЕНЕНИЯ</w:t>
      </w:r>
    </w:p>
    <w:p w14:paraId="7DA1767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Муфты, дет. 34.07.041, собранные на центрирующем кольце, дет. 34.07.043-1, должны быть стянуты болтами до плотного упора. Причем два отверстия под болты, расположенные диаметрально противоположно друг другу, должны быть развернуты до Ø 14А+0,019 и в них должны быть поставлены призонные болты, дет. 34.07.048. После затяжки болтов зазор в месте разъема муфт – не допускается. </w:t>
      </w:r>
    </w:p>
    <w:p w14:paraId="364A822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Резиновые кольца, дет. 34.07.046-1 и 34.07.047-1, должны быть подобраны по толщине таким образом, чтобы осевое перемещение муфты было не более 1 мм. </w:t>
      </w:r>
    </w:p>
    <w:p w14:paraId="636F102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36CC15D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КОРОБКИ ПЕРЕДАЧ</w:t>
      </w:r>
    </w:p>
    <w:p w14:paraId="4E6EB93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чертеж 34.08.сб-2.</w:t>
      </w:r>
    </w:p>
    <w:p w14:paraId="08C534B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СБОРКА КОМПЛЕКТА КАРТЕРОВ, ДЕТ. 34.08.030-1, 031-1.</w:t>
      </w:r>
    </w:p>
    <w:p w14:paraId="108475B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Все шпильки должны быть ввинчены в картера до плотного упора в ненарезанную часть. </w:t>
      </w:r>
    </w:p>
    <w:p w14:paraId="44A41B5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2) Втулки поводковых валиков, дет. 34.08.065, должны быть посажены в соответствующие отверстия верхнего картера до упора во фланцы. Отверстия для фиксаторов, во втулках, должны совпадать с соответствующими </w:t>
      </w:r>
    </w:p>
    <w:p w14:paraId="66BA6F4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Втулка валика заднего хода, дет. 34.08.061, должна быть посажена до плотного упора в бурт, и застопорена винтом дет. 34.08.062. </w:t>
      </w:r>
    </w:p>
    <w:p w14:paraId="194B4B3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СБОРКА КОМПЛЕКТА ВЕДУЩЕЙ КОНИЧЕСКОЙ ШЕСТЕРНИ</w:t>
      </w:r>
    </w:p>
    <w:p w14:paraId="78902ED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Дет. 34.08.022-1</w:t>
      </w:r>
    </w:p>
    <w:p w14:paraId="4E6246C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Сборка гнезда горловины.</w:t>
      </w:r>
    </w:p>
    <w:p w14:paraId="2B42E5A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Кольца роликоподшипников и упорного подшипника должны быть посажены в гнездо до упора в соответствующие бурты. </w:t>
      </w:r>
    </w:p>
    <w:p w14:paraId="40707CC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Гайка гнезда, дет. 34.08.038, должна быть завернута до упора в торец наружного кольца роликоподшипника и застопорена винтом М6×15 ОСТ 2051. Винт не должен выступать над наружной цилиндрической поверхностью гнезда. </w:t>
      </w:r>
    </w:p>
    <w:p w14:paraId="366F9A9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Ось резьбового отверстия М6×1 – 3 кл., под винт, должна быть расположена на расстоянии 5 + 1 мм от торца гнезда. Резьбовое отверстие в гайке может быть сквозным, при этом на выходе по наклонной поверхности отверстие должно быть обжато. </w:t>
      </w:r>
    </w:p>
    <w:p w14:paraId="728B34F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Сборка ведущей конической шестерни с гнездом.</w:t>
      </w:r>
    </w:p>
    <w:p w14:paraId="617C40A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Внутреннее кольцо роликоподшипника должно быть посажено до плотного упора в бурт шестерни. </w:t>
      </w:r>
    </w:p>
    <w:p w14:paraId="76C8F47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Гнездо горловины, собранное согласно пункта "А", должно быть посажено на хвостовик шестерни до плотного упора в кольцо, дет. 08-81-2. </w:t>
      </w:r>
    </w:p>
    <w:p w14:paraId="1656B8F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Люфт в коническом роликоподшипнике должен быть отрегулирован в пределах 0,1 ÷ 0,15 мм (ролики должны через щуп 0,1 мм свободно перекатываться, а щуп 0,15 мм закусывать). Регулировка люфта должна производиться простановкой соответствующих прокладок, дет. 34.08.081-1, 082-1, 083-1, между буртом ведущей конической шестерни и торцом переходной втулки. </w:t>
      </w:r>
    </w:p>
    <w:p w14:paraId="1801D56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Корпус сальника, дет. 34.08.005, должен быть плотно прижат болтами к гнезду. </w:t>
      </w:r>
    </w:p>
    <w:p w14:paraId="1963F6A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СБОРКА КОМПЛЕКТА ВЕДОМОЙ КОНИЧЕСКОЙ ШЕСТЕРНИ, дет. 34.08.023.</w:t>
      </w:r>
    </w:p>
    <w:p w14:paraId="2AFA4DA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Шестерня, дет. 34.08.023, должна быть установлена на ступицу шестерни, дет. 34.08.016, до плотного упора в торец. Отверстия под болты в шестернях должны быть развернуты. </w:t>
      </w:r>
    </w:p>
    <w:p w14:paraId="5F8178C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Диметр отверстий после развертывания допускается не менее, чем в 8-ми отверстиях в пределах Ø 16 +0,07 –0,03 и не более чем 4-х пределах Ø 16 +0,14 –0,06, при любом их взаимном расположении. При этом посадка не менее 8-ми болтов должна быть обеспечена с натягом в пределах 0,01÷0,1 мм. </w:t>
      </w:r>
    </w:p>
    <w:p w14:paraId="050328D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Гайки, дет. 34.08.094, должны быть затянуты до плотного упора и зашплинтованы. </w:t>
      </w:r>
    </w:p>
    <w:p w14:paraId="65434D1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Торцевой зазор в месте соединения шестерни не допускается, щуп 0,05 мм в местах сопряжения не должен проходить (проверка прилегания шестерни должна производиться по краске). </w:t>
      </w:r>
    </w:p>
    <w:p w14:paraId="61F1955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СБОРКА КОМПЛЕКТА ГНЕЗД СРЕДНЕЙ ОПОРЫ, дет. 34.08.032.</w:t>
      </w:r>
    </w:p>
    <w:p w14:paraId="0BFC167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Наружные кольца конических роликоподшипников своими широкими торцами должны быть посажены в гнездо до упора в бурт. </w:t>
      </w:r>
    </w:p>
    <w:p w14:paraId="60F6622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Люфт гнезда на подшипниках, при зажатых внутренних кольцах подшипников, должен быть отрегулирован в пределах 0,03÷0,05 мм (ролики должны через щуп 0,05 мм свободно перекатываться, а щуп 0,1 мм закусывать). Регулировка люфта должна производится простановкой соответствующих прокладок, дет. 34.08.089, 090, устанавливаемых между распорным кольцом и внутренними кольцами подшипников. </w:t>
      </w:r>
    </w:p>
    <w:p w14:paraId="671FDE8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СБОРКА КОМПЛЕКТА ПЕРЕДАТОЧНОГО ВАЛА, дет. 34.08.027.</w:t>
      </w:r>
    </w:p>
    <w:p w14:paraId="4CA9175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Гнездо средней опоры, собранное согласно раздела IV, должно быть поставлено на вал, до упора внутреннего кольца подшипника в бурт вала. Допускается установка подшипников с подогревом последних в масле до температуры не более 100˚С. </w:t>
      </w:r>
    </w:p>
    <w:p w14:paraId="0DF1623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На правую опору вала должен быть установлен подшипник ГПЗ 92412, без приставного кольца, до плотного упора внутреннего кольца подшипника в бурт вала. </w:t>
      </w:r>
    </w:p>
    <w:p w14:paraId="00508F6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Вал в сборе со всеми шестернями должен быть выбалансирован. Балансировка может производиться путем переустановки шестерен на шлицах или путем высверливания в диске шестерни, дет. 34.08.018, отверстий диаметром до 10 мм. Отверстия должны быть расположены между отверстиями Ø 40 на расстоянии друг от друга не менее, чем на 2 диаметра сверла. </w:t>
      </w:r>
    </w:p>
    <w:p w14:paraId="2D9A0C3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СБОРКА КОМПЛЕКТА ГЛАВНОГО ВАЛА, дет. 34.08.001.</w:t>
      </w:r>
    </w:p>
    <w:p w14:paraId="09D3F48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Сборка крайних гнезд главного вала.</w:t>
      </w:r>
    </w:p>
    <w:p w14:paraId="2359812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Наружные кольца роликоподшипников 2218 ОСТ 6446 должны быть посажены в гнезда, дет. 34.08.008, до упора в бурт и закреплены пружинными кольцами, дет. 34.08.046. </w:t>
      </w:r>
    </w:p>
    <w:p w14:paraId="3BBD0E1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Внутренние кольца подшипников должны быть посажены на переходную втулку и ступицу шестерни до упора в соответствующие бурты. </w:t>
      </w:r>
    </w:p>
    <w:p w14:paraId="5ED2360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Сборка вала.</w:t>
      </w:r>
    </w:p>
    <w:p w14:paraId="4170D60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Гнездо средней опоры, собранное согласно раздела IV, должно быть поставлено на вал до упора внутреннего кольца подшипника в бурт вала. Допускается установка подшипников с подогревом последних в масле до температуры не более 100˚С. Подшипники должны быть затянуты до плотного упора гайкой, дет. 34.08.042, которая должна быть надежно застопорена шайбой, дет. 34.08.043. </w:t>
      </w:r>
    </w:p>
    <w:p w14:paraId="20CEEE8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Распорные втулки, дет. 34.08.040, 041, должны быть плотно прижаты к торцам ступиц шестерен. Прилегание торцов втулок к ступицам должно быть не менее, чем на ¾ длины окружности. Зазор в местах неприлегания допускается не более 0,1 мм. </w:t>
      </w:r>
    </w:p>
    <w:p w14:paraId="3DA1AF2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Втулка, дет. 34.08.045, шестерня, дет. 34.08.020, с установленными подшипниками, должны быть посажены на вал до плотного упора в соответствующие бурты. </w:t>
      </w:r>
    </w:p>
    <w:p w14:paraId="7EC9132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Вал в сборе со всеми шестернями должен быть выбалансирован. Балансировка может производиться путем переустановки шестерен на шлицах или путем высверливания в диске шестерни, дет. 34.08.021, отверстий диаметром до 10 мм. Отверстия должны быть расположены между отверстиями Ø 50 на расстоянии друг от друга не менее, чем на 2 диаметра сверла. </w:t>
      </w:r>
    </w:p>
    <w:p w14:paraId="02F1A56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 СБОРКА КОМПЛЕКТА ШЕСТЕРНИ ЗАДНЕГО ХОДА, дет. 34.08.024.</w:t>
      </w:r>
    </w:p>
    <w:p w14:paraId="0B63243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Гайка шестерни, дет. 34.08.047, после установки подшипников и плавающего кольца, должна быть завинчена до упора в торец выточки шестерен, при этом осевое перемещение роликоподшипников, внутри шестерен, должно быть в пределах от 0,7 до 3 мм. </w:t>
      </w:r>
    </w:p>
    <w:p w14:paraId="7571ADA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Гайка шестерни должна быть застопорена винтом М6×15 ОСТ 2051, который должен быть закернен в одном месте у прореза. Резьба М6×1 – 3 кл. под винт, должна быть нарезана в шестерне на глубину 11 мм в сборе с гайкой, по имеющемуся в ней отверстию Ø 6,5 мм. </w:t>
      </w:r>
    </w:p>
    <w:p w14:paraId="25207FD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VIII. СБОРКА КОМПЛЕКТА КОРОБКИ ПОВОДКОВОГО ВАЛИКА 3 И 4 СКОРОСТИ, дет. 34.08.033.</w:t>
      </w:r>
    </w:p>
    <w:p w14:paraId="6AD4EFB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Пробка фиксатора, дет. 34.08.049, должна быть завинчена в коробку до плотного упора. </w:t>
      </w:r>
    </w:p>
    <w:p w14:paraId="05FCF11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Сальник поводкового валика должен быть плотно зажат, но не препятствовать свободному перемещению валика в опорах коробки. </w:t>
      </w:r>
    </w:p>
    <w:p w14:paraId="53B9960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Колпак, дет. 34.08.3сб., должен быть притянут гайками к коробке до плотного упора. </w:t>
      </w:r>
    </w:p>
    <w:p w14:paraId="11BE98B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IX. ОБЩАЯ СБОРКА КОРОБКИ ПЕРЕДАЧ.</w:t>
      </w:r>
    </w:p>
    <w:p w14:paraId="57F5611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Установка вала и шестерни заднего хода.</w:t>
      </w:r>
    </w:p>
    <w:p w14:paraId="7B9AD3E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Вал заднего хода с установленной шестерней должен быть посажен в верхний картер заподлицо с наружной стенкой и закреплен планкой, дет. 34.08.048, и болтом 1М12×25 ст./Гл.Мет. – 23/2028. </w:t>
      </w:r>
    </w:p>
    <w:p w14:paraId="7DBFF3E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Шестерня с роликоподшипниками должна свободно вращаться на вале, без заклиниваний и ненормальных шумов в роликоподшипниках. </w:t>
      </w:r>
    </w:p>
    <w:p w14:paraId="47FC943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Регулировка зацепления конической пары.</w:t>
      </w:r>
    </w:p>
    <w:p w14:paraId="3FCE33A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Коническая пара должна быть отрегулирована на прилегание зубьев шестерен по краске и по зазорам между зубьями. При регулировке выпуклая поверхность зубьев ведомой конической шестерни должна быть покрыта тонким слоем краски. После прокручивания ведущей шестерни в рабочем направлении, места прилегания зубьев по профилю отразятся на зубьях малой конической шестерни в виде пятен от краски. Пятно может быть сплошным или представлять группу из нескольких пятен. </w:t>
      </w:r>
    </w:p>
    <w:p w14:paraId="64A17B2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Минимальная длина пятна (или пятен) должна быть не менее 20 мм, при расположении пятна не менее, чем на 8 мм от заоваленных торцов зубьев по большому диаметру шестерни, или не менее, чем на 7 мм от заоваленных торцов зубьев по меньшему диаметру. При уменьшении этих размеров (8 и 7) соответственно увеличивается на ту же величину допускаемая длина пятна. Максимальный разрыв между пятнами, по длине зуба, допускается не более 10 мм. </w:t>
      </w:r>
    </w:p>
    <w:p w14:paraId="21FEFC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Пятна могут располагаться по всей высоте зуба. Ширина пятен по высоте может не проверяться при из расположении, примерно, у делительного конуса и ниже. Расположение пятен только выше делительного конуса, как и расположение в виде двух узких, не перекрывающих друг друга полос у ножки и у кромки зуба, – не допускается. </w:t>
      </w:r>
    </w:p>
    <w:p w14:paraId="4E1A8FB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Зазор между зубьями в конической паре в любом месте их сопряжения должен быть в пределах 0,05÷0,35 мм, при разности зазоров в паре сцепляющихся шестерен в пределах допуска на зазор. </w:t>
      </w:r>
    </w:p>
    <w:p w14:paraId="6C076B1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Для перемещения пятен на середину зубьев необходимо (с помощью прокладок дет. 34.08.078, 079, 080) переместить в нужном направлении гнездо вместе с ведущей шестерней. Для сохранения зазора в сопряженных зубьях соответственно должна быть перемещена (с помощью прокладок 34.08.087, 088, 089, 090) ведомая шестерня. При этом несовпадение затылков зубьев шестерен по их большому диаметру, после окончательной регулировки конической пары, допускается не более 2 мм. </w:t>
      </w:r>
    </w:p>
    <w:p w14:paraId="73A5345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Биение зубьев ведомой конической шестерни в сборе с валом, по образующей конуса, замеренное по вершинам зубьев, допускается не более 0,2 мм. </w:t>
      </w:r>
    </w:p>
    <w:p w14:paraId="23D6C54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7) После отрегулирования конической пары по краске и по зазорам, весь набор деталей левой стороны передаточного вала должен быть гайкой, дет. 34.08.003, затянут до плотного упора. Гайка должна быть застопорена. При установке роликоподшипника левой опоры передаточного вала, приставное кольцо подшипника должно быть обращено к шестерне. </w:t>
      </w:r>
    </w:p>
    <w:p w14:paraId="015BFC0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Гнездо горловины должно устанавливаться в картере таким образом, чтобы отверстие Ø 15 для смазки горловины было обращено кверху. </w:t>
      </w:r>
    </w:p>
    <w:p w14:paraId="40DF94D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Установка главного вала.</w:t>
      </w:r>
    </w:p>
    <w:p w14:paraId="5C5D09B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Главный ва, собранный согласно VI раздела, должен быть посажен в нижний картер так, чтобы гнездо средней опоры плотно село в свое посадочное место в картере. </w:t>
      </w:r>
    </w:p>
    <w:p w14:paraId="7849A29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Гнезда средних опор, как главного, так и передаточного валов, должны устанавливаться в картер таким образом, чтобы отверстия Ø 12 для смазки гнезд были обращены кверху. </w:t>
      </w:r>
    </w:p>
    <w:p w14:paraId="3BEF6C2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Зазор между наружными торцами внутренних колец концевых роликоподшипников и торцами выточек гнезд крайних опор должен быть не менее 1,5 мм. Для соблюдения указанного зазора между картером и фланцами гнезд допускается простановка прокладок, дет. 34.08.092. </w:t>
      </w:r>
    </w:p>
    <w:p w14:paraId="6B14B9D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Биение концевых шеек главного вала, после окончательной установки его в коробку передач, допускается не более 0,1 мм. </w:t>
      </w:r>
    </w:p>
    <w:p w14:paraId="152AEE6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Зазоры между зубьями пары цилиндрических шестерен любой передачи должен быть в пределах 0,15÷0,6 мм. Для передачи заднего хода указанный зазор допускается в пределах 0,15÷0,8 мм. Разность зазоров в любой паре сопряженных цилиндрических шестерен допускается не более 0,15 мм. Для достижения указанных зазоров допускается подбор шестерен. </w:t>
      </w:r>
    </w:p>
    <w:p w14:paraId="2B0902B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При вращении, шестерни не должны касаться внутренних поверхностей картера и проходить между ними с зазором не менее 1,5 мм. Для достижения указанных зазоров допускается подрубка картера с последующей тщательной зачисткой, при сохранении толщины стенок картера в пределах, указанных в чертеже картера. </w:t>
      </w:r>
    </w:p>
    <w:p w14:paraId="13B9244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Регулировка включения шестерен и установка поводковых валиков.</w:t>
      </w:r>
    </w:p>
    <w:p w14:paraId="40B0B74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Выключение всех шестерен должно быть совершенно свободным, без заклиниваний и заеданий. </w:t>
      </w:r>
    </w:p>
    <w:p w14:paraId="56747E6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Переключение шестерен допускается не более 1 мм. Зазор между торцевыми поверхностями зубьев, при установке кареток в нейтральное положение, должен быть не менее 3-х мм. </w:t>
      </w:r>
    </w:p>
    <w:p w14:paraId="4E2129A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Положение вилок поводковых валиков должно быть согласовано с положением кареток, полученный при этом зазор между буртами поводковых валиков и торцами вилок должен быть заполнен соответствующим набором прокладок, дет. 34.08.054, 055. Окончательно отрегулированные вилки должны быть затянуты гайками до плотного упора. Гайки должны быть надежно застопорены. </w:t>
      </w:r>
    </w:p>
    <w:p w14:paraId="6948B4E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При вращении, шестерни не должны задевать за рожки вилок. Зазор между венцами шестерен и лысками на соответствующих рожках вилок должны быть не менее 2-х мм. </w:t>
      </w:r>
    </w:p>
    <w:p w14:paraId="2550E0B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Пробки фиксаторов, дет. 34.08.068, должны быть ввернуты в картер до плотного упора и ставиться на сурике или белилах. </w:t>
      </w:r>
    </w:p>
    <w:p w14:paraId="2AC92A9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Сальники поводковых втулок должны быть плотно зажаты гайками. </w:t>
      </w:r>
    </w:p>
    <w:p w14:paraId="02749EF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Все поводковые валики должны плавно, без рывков и заеданий, выдвигаться из любого зафиксированного положения и свободно перемещаться в опорах поводковой коробки и поводковых втулок. </w:t>
      </w:r>
    </w:p>
    <w:p w14:paraId="4F03C3C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На выступающих наружу хвостовиках поводковых валиков должны быть нанесены метки (керна), определяющие нейтральное и рабочие положения каждой каретки. Метки должны наносится относительно меток на поводковых втулках и поводковой коробке по специальной скобочке, дет. 08-501. </w:t>
      </w:r>
    </w:p>
    <w:p w14:paraId="5E7A4C6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Скрепление верхнего и нижнего картеров и окончательная сборка коробки передач.</w:t>
      </w:r>
    </w:p>
    <w:p w14:paraId="14D3367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Все скрепляющие болты должны быть затянуты до плотного упора и застопорены. После затяжки болтов зазор по плоскости разъема не допускается (щуп в 0,05 мм не должен проходить). </w:t>
      </w:r>
    </w:p>
    <w:p w14:paraId="05DC20B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На шпильке гнезд главного вала, после установки сальников и нажимных колец, дет. 34.08.010, должны быть одеты крышки, 34.08.1сб. и 34.08.2сб. таким образом, чтобы трубки для подвода смазки были обращены вверх и находились в вертикальном положении. </w:t>
      </w:r>
    </w:p>
    <w:p w14:paraId="68DEA3A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Крышки главного и передаточного валов должны быть затянуты гайками до плотного упора и застопорены. </w:t>
      </w:r>
    </w:p>
    <w:p w14:paraId="403A16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Сальник горловины должен быть плотно зажат гайкой, дет. 34.08.006. </w:t>
      </w:r>
    </w:p>
    <w:p w14:paraId="0F77D01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Зубчатка муфты, дет. 34.08.077-1, должна быть затянута пробкой, дет. 34.08.118, до плотного упора всего набора. Пробка должна быть застопорена винтом 1М8×12–УП ОСТ 20007-38, ввинченным через резьбовое отверстие пробки в отверстие муфты. Отверстие в муфте должно сверлиться после подметки по резьбовому отверстию пробки на глубину 6 + 1, Ø 6,5 + 0,3 мм. Винт должен быть закернен в одном месте у прореза и не выступать над торцом пробки. </w:t>
      </w:r>
    </w:p>
    <w:p w14:paraId="0275C21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Кронштейн горловины и гнездо должны быть гайками притянуты к картеру до плотного упора. Гайки должны быть попарно связаны проволокой. </w:t>
      </w:r>
    </w:p>
    <w:p w14:paraId="7AA3C2B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 НАРУЖНЫЙ ОСМОТР, СМАЗКА, ПРОКРУЧИВАНИЕ ВХОЛОСТУЮ И ПОКРАСКА КОРОБКИ.</w:t>
      </w:r>
    </w:p>
    <w:p w14:paraId="777303C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Наружный осмотр.</w:t>
      </w:r>
    </w:p>
    <w:p w14:paraId="1265243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Все гайки должны быть затянуты до плотного упора и застопорены. </w:t>
      </w:r>
    </w:p>
    <w:p w14:paraId="4D2C197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Все уплотнительные прокладки должны быть поставлены на сурике или белилах. </w:t>
      </w:r>
    </w:p>
    <w:p w14:paraId="2FDACEB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Валы должны свободно вращаться в подшипниках без заеданий и заклиниваний. </w:t>
      </w:r>
    </w:p>
    <w:p w14:paraId="783A0BF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Включение и выключение всех шестерен должно быть плавным, без рывков и заклиниваний. </w:t>
      </w:r>
    </w:p>
    <w:p w14:paraId="65E8E9E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Смазка коробки передач.</w:t>
      </w:r>
    </w:p>
    <w:p w14:paraId="3361219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Коробка должна быть заправлена авиационным маслом марки "СО" или "МД" ОСТ 4116, которое должно отвечать техническим нормам, изложенным в книге "Технические нормы нефтепродуктов" изд. Главнефть, ОПТИ НКТП СССР 1935 г. стр. 59 (нормы, согласованные с начальником снабжения горючим РККА). </w:t>
      </w:r>
    </w:p>
    <w:p w14:paraId="3052C1A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Смазка должна быть заправлена в количестве 11 литров, при этом уровень смазки от дна нижнего картера должен быть 50 ± 5 мм. </w:t>
      </w:r>
    </w:p>
    <w:p w14:paraId="71DBD9B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Все втулки, валики, поводки и пружины фиксаторов перед постановкой должны быть смазаны авиационным маслом. Все сальниковые кольца перед постановкой должны быть пропитаны в авиационном масле. </w:t>
      </w:r>
    </w:p>
    <w:p w14:paraId="1A3B33B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После заправки коробки смазкой верхняя и нижняя пробки должны быть запломбированы. </w:t>
      </w:r>
    </w:p>
    <w:p w14:paraId="6C3BDA3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Прокручивание коробки передач вхолостую.</w:t>
      </w:r>
    </w:p>
    <w:p w14:paraId="4F2EFE3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При прокручивании положение коробки передач на стенде должно соответствовать ее положению на машине. </w:t>
      </w:r>
    </w:p>
    <w:p w14:paraId="58DB719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Продолжительность испытания на каждой передаче должна быть от 6 до 10 минут. </w:t>
      </w:r>
    </w:p>
    <w:p w14:paraId="75A1F0D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При прокручивании не должно быть течи смазки через сальник горловины и главного вала, по разъему картеров, поводковой коробки и у поводковых валиков. Для предупреждения просачивания масла из-под переходной втулки, дет. 34.08.045, через канавки шлицев левого конца главного вала, канавки шлицов с торца втулки перед установкой упорного кольца должны быть зачеканены свинцом. </w:t>
      </w:r>
    </w:p>
    <w:p w14:paraId="60A073E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При работе шестерен не должно быть прерывистого шума, толчков и ударов. При переключениях, подвижные шестерни и поводковые валики должны передвигаться плавно, без заеданий. </w:t>
      </w:r>
    </w:p>
    <w:p w14:paraId="068AD65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Нагрев коробки при испытаниях прокручиванием на холостом ходу не должен превышать 75˚С. </w:t>
      </w:r>
    </w:p>
    <w:p w14:paraId="174C5E6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Покраска коробки.</w:t>
      </w:r>
    </w:p>
    <w:p w14:paraId="67CF719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Все наружные, нерабочие поверхности коробки передач, кроме картеров, должны быть окрашены черным автолаком М-122. </w:t>
      </w:r>
    </w:p>
    <w:p w14:paraId="1C464AB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 УСТАНОВКА КОРОБКИ ПЕРЕДАЧ С ФРИКЦИОНАМИ В МАШИНУ.</w:t>
      </w:r>
    </w:p>
    <w:p w14:paraId="4FADD8B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После выставки коробки передач по мотору, два крайних отверстия в кронштейне горловины, дет. 34.08.034, должны быть развернуты в сборе с перегородкой корпуса до размера Ø 14 + 0,019. В указанные отверстия должны быть плотно поставлены призонные болты, дет. 08-128-1. Призонные болты и болты 1М12×35 ст./Гл.Мет. – 23/2028, установленные в остальные отверстия кронштейна, должны быть затянуты гайками до плотного упора и застопорены. </w:t>
      </w:r>
    </w:p>
    <w:p w14:paraId="5B5F330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Зазор между кронштейном горловины и перегородкой корпуса должен быть заполнен прокладками, дет. 08-160. </w:t>
      </w:r>
    </w:p>
    <w:p w14:paraId="6E3571E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Радиальное биение наружных барабанов, установленных на фланцах бортовой передачи, замеренное по Ø 500, допускается не более 0,25 мм (при получении биений, превышающих допускаемое, барабаны должны быть переустановлены относительно фланцев бортовой передачи. </w:t>
      </w:r>
    </w:p>
    <w:p w14:paraId="135E928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Наружные барабаны должны быть болтами притянуты к фланцам бортовой передачи до плотного упора. Болты должны быть застопорены проволокой. </w:t>
      </w:r>
    </w:p>
    <w:p w14:paraId="2E279A6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Болты, дет. 34.16.040, ограничивающие поперечное перемещение коробки передач, должны быть завернуты во фланец бортовой передачи от руки до упора в торец кольца сферического подшипника, а затем отпущены на ¾ оборота. В таком положении болты должны быть законтрены и связаны проволокой. </w:t>
      </w:r>
    </w:p>
    <w:p w14:paraId="405B7A6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 НА СБОРКУ И УСТАНОВКУ БОРТОВОГО ФРИКЦИОНА</w:t>
      </w:r>
    </w:p>
    <w:p w14:paraId="107457A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черт. 34.09.сб.)</w:t>
      </w:r>
    </w:p>
    <w:p w14:paraId="5A527F8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Сборка комплекта кольца, дет. 34.09.008, и наружного барабана, дет. 34.09.001.</w:t>
      </w:r>
    </w:p>
    <w:p w14:paraId="29F30ED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Подшипник ГПЗ-1412 должен быть посажен в гнездо до плотного упора в бурт. Проворачивание наружного кольца подшипника в кольце дет. 34.09.008 не допускается. </w:t>
      </w:r>
    </w:p>
    <w:p w14:paraId="6C8C71A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Шпонка Г7×8×25 ОСТ 4085, должна быть плотно пригнана по пазу кольца. </w:t>
      </w:r>
    </w:p>
    <w:p w14:paraId="62F09B3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Кольцо со шпонкой должно свободно, без заеданий, входить в отверстие наружного барабана. </w:t>
      </w:r>
    </w:p>
    <w:p w14:paraId="438033F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Крышка наружного барабана, дет. 34.09.009 должна быть болтами плотно притянута к торцу ступицы барабана. Болты должны быть зашплинтованы проволокой. </w:t>
      </w:r>
    </w:p>
    <w:p w14:paraId="2856B5D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II. Сборка комплекта подшипниковой коробки, дет. 34.09.007.</w:t>
      </w:r>
    </w:p>
    <w:p w14:paraId="218BDA6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Наружное кольцо подшипника ГПЗ-500 своим широким торцом должно быть посажено в коробку до упора в бурт и до плотного упора притянуто корпусом сальника, дет. 34.09.022, через проставочное кольцо, дет. 34.09.023. Корпус сальника должен быть застопорен винтом М6×12 ОСТ 2053, согласно указаний на сборочном чертеже. </w:t>
      </w:r>
    </w:p>
    <w:p w14:paraId="0D4618E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Поводковая коробка, 34.09.1сб. и 23.09.2.сб., должна быть посажена во внутреннее кольцо подшипника до плотного упора в бурт, при этом сальниковое кольцо не должно быть закушено (при постанове поводковой коробке внутреннее кольцо подшипника должно быть оперто на специальные кольца). </w:t>
      </w:r>
    </w:p>
    <w:p w14:paraId="55352E7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Поводковая коробка с внутренним кольцом подшипника должна свободно проворачиваться без заеданий и заклиниваний. </w:t>
      </w:r>
    </w:p>
    <w:p w14:paraId="7443F34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Крышка подшипниковой коробки, дет. 34.09.010, должна быть болтами плотно притянута к торцу коробки. Болты должны быть зашплинтованы проволокой. </w:t>
      </w:r>
    </w:p>
    <w:p w14:paraId="6DD7D9A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Сборка комплекта нажимного диска, дет. 34.09.005.</w:t>
      </w:r>
    </w:p>
    <w:p w14:paraId="0CC5E22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Шпильки, дет. 34.09.006, должны быть притянуты гайками к нажимному диску до плотного упора. Допускаемая неперпендикулярность установленных шпилек проверяется свободным прохождением противоположных концов их через отверстия подшипниковой коробки и внутреннего барабана. Подгибка установленных шпилек не допускается. </w:t>
      </w:r>
    </w:p>
    <w:p w14:paraId="1E8240E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Общая сборка фрикциона.</w:t>
      </w:r>
    </w:p>
    <w:p w14:paraId="060070A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Установка дисков трения.</w:t>
      </w:r>
    </w:p>
    <w:p w14:paraId="59EE79E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Диски трения СК.09-3 и СК.09-4, перед постановкой должны быть промыты в бензине. </w:t>
      </w:r>
    </w:p>
    <w:p w14:paraId="2CC683F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Диски должны свободно одеваться на зубья барабанов и перемещаться по барабанам от собственного веса. Установка дисков должна производиться в порядке их рабочего положения. </w:t>
      </w:r>
    </w:p>
    <w:p w14:paraId="56C111F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Разность в толщине комплекта дисков, при замере в диаметрально-противоположных местах, по наибольшему диаметру допускается не более 0,5 мм. </w:t>
      </w:r>
    </w:p>
    <w:p w14:paraId="47DB00E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Подшипниковая коробка должна быть притянута гайками к шпилькам нажимного диска до плотного упора. </w:t>
      </w:r>
    </w:p>
    <w:p w14:paraId="37BE856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Регулировка выключающего механизма.</w:t>
      </w:r>
    </w:p>
    <w:p w14:paraId="2310479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Осевой зазор шариков 19 ОСТ 8201 должен быть отрегулирован в пределах 1 ± 0,1 мм регулировочными прокладками, дет. 34.09.026 и 34.09.027. </w:t>
      </w:r>
    </w:p>
    <w:p w14:paraId="4298164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Толщина прокладок "а" определяется как разность размеров "б" и "в", где: </w:t>
      </w:r>
    </w:p>
    <w:p w14:paraId="5F9C274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размер "б" – расстояние от торца кольца дет. 34.09.039 коробки передач до торцевой поверхности расположения канавок кольца выключения коробки передач плюс 8 мм. </w:t>
      </w:r>
    </w:p>
    <w:p w14:paraId="049C3F3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размер "в" – расстояние от торца ступицы внутреннего барабана до торцевой поверхности расположения канавок выключения поводковой коробки. </w:t>
      </w:r>
    </w:p>
    <w:p w14:paraId="7932DC9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 б – в) </w:t>
      </w:r>
    </w:p>
    <w:p w14:paraId="2F44F64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 общем наборе прокладок допускается наличие не более 2-х прокладок толщиной 0,24 мм (дет. 34.09.027), причем они должны располагаться только между прокладками толщиной 1 мм (дет. 34.09.026). </w:t>
      </w:r>
    </w:p>
    <w:p w14:paraId="03A9CE6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Рабочий ход фрикциона (выжим) должен быть в пределах 8 ± 0,5 мм. Разность размера выжима при замере в диаметрально-противоположных местах допускается не более 0,5 мм. </w:t>
      </w:r>
    </w:p>
    <w:p w14:paraId="2460048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Стендовые испытания фрикциона.</w:t>
      </w:r>
    </w:p>
    <w:p w14:paraId="1299C6D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Собранный фрикцион должен быть испытан на стенде, причем положение фрикциона должно соответствовать его положению в машине. </w:t>
      </w:r>
    </w:p>
    <w:p w14:paraId="306D26B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Прокрутка фрикциона на стенде должна производиться при выключенном фрикционе в течение 15 – 20 минут, при этом не должно быть трения между дисками, металлических шумов, ненормальных нагревов и пробивания смазки. </w:t>
      </w:r>
    </w:p>
    <w:p w14:paraId="66738F8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Выключение фрикциона должно происходить свободно, без заклиниваний и заеданий в выключающем устройстве, по шпилькам подшипниковой коробки и в подшипнике. </w:t>
      </w:r>
    </w:p>
    <w:p w14:paraId="7A550AD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При выключенном фрикционе наружный барабан должен вращаться свободно, от руки. </w:t>
      </w:r>
    </w:p>
    <w:p w14:paraId="2B8E0F8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Установка фрикциона на вал коробки передач.</w:t>
      </w:r>
    </w:p>
    <w:p w14:paraId="03F5BEA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Фрикцион должен быть посажен на вал до плотного упора ступицей барабана в регулировочные прокладки. </w:t>
      </w:r>
    </w:p>
    <w:p w14:paraId="059ED62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Наружный барабан должен свободно надеваться на зубья дисков трения и свободно, без заеданий, перемещаться по ним. </w:t>
      </w:r>
    </w:p>
    <w:p w14:paraId="398A110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Кольцо, дет. 34.09.008, в сборе со сферическим подшипником должно быть посажено в ступицу наружного барабана до упора внутреннего кольца подшипника в торец ступицы внутреннего барабана. Гайка, крепящая подшипник, должна быть затянута до плотного упора всего набора и застопорена. </w:t>
      </w:r>
    </w:p>
    <w:p w14:paraId="00BAF26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При максимально сдвинутом в сторону коробки передач наружно барабане, размер от наружного торца его обода до оси ведущей конической шестерни коробки передач (продольной оси коробки) должен быть не более 586 мм. При максимально отодвинутом от коробки передач наружном барабане, размер лт наружного торца его обода до продольной оси коробки передач должен быть не менее 598 мм (проверка должна производиться специальным приспособлением). </w:t>
      </w:r>
    </w:p>
    <w:p w14:paraId="1EF17B1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Смазка и покраска фрикциона.</w:t>
      </w:r>
    </w:p>
    <w:p w14:paraId="310BBA8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Подшипники фрикциона должны быть обильно смазаны консталином. </w:t>
      </w:r>
    </w:p>
    <w:p w14:paraId="29FFD9F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Все сальниковые кольца перед постановкой должны быть пропитаны в авиационном масле. </w:t>
      </w:r>
    </w:p>
    <w:p w14:paraId="5758F5A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Все свободные полости выключающего механизма должны быть заполнены консталином. </w:t>
      </w:r>
    </w:p>
    <w:p w14:paraId="0AD452C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Все нерабочие поверхности деталей фрикциона должны быть окрашены черным автолаком М-122. </w:t>
      </w:r>
    </w:p>
    <w:p w14:paraId="0E79903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689F41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ТОРМОЗА (сб. черт. 34.10.сб.)</w:t>
      </w:r>
    </w:p>
    <w:p w14:paraId="4091BDE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Сборка тормоза.</w:t>
      </w:r>
    </w:p>
    <w:p w14:paraId="322FA5A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Все шарнирные соединения тормоза должны свободно проворачиваться, без заеданий и заклиниваний. </w:t>
      </w:r>
    </w:p>
    <w:p w14:paraId="68F3DEB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При проворачивании рычажка, дет. 34.10.012, пальцы дет. 09-65 должны свободно перемещаться по всей длине пазов кронштейна 34.10.2.сб. </w:t>
      </w:r>
    </w:p>
    <w:p w14:paraId="6EB4493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Все шарнирные соединения должны быть смазаны солидолом. </w:t>
      </w:r>
    </w:p>
    <w:p w14:paraId="156A371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Установка тормоза.</w:t>
      </w:r>
    </w:p>
    <w:p w14:paraId="26D08BD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Гайки, крепящие кронштейн 34.10.2.сб. и направляющие планки 34.10.3.сб., 34.10.4.сб., должны быть затянуты до плотного упора и застопорены. </w:t>
      </w:r>
    </w:p>
    <w:p w14:paraId="2991246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Положение тормозной ленты, 34.10.1.сб., должно быть отрегулировано таким образом, чтобы при отпущенном тормозе между лентой феррадо и тормозным барабаном был равномерный зазор в пределах 1÷2 мм по всей поверхности. Регулировка зазора должна осуществляться перемещением шарнира, дет. 34.10.011, вдоль серьги, дет. 34.10.005, и оттяжными пружинами, дет. 09-147-1. </w:t>
      </w:r>
    </w:p>
    <w:p w14:paraId="402D40F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затянутом тормозе лента феррадо должна плотно прилегать к поверхности барабана. </w:t>
      </w:r>
    </w:p>
    <w:p w14:paraId="2322A95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После окончательной отрегулировки зазора между лентой и барабаном, гайки, крепящие серьгу и регулировочные штуцера, дет. 09-146, должны быть затянуты до отказа. </w:t>
      </w:r>
    </w:p>
    <w:p w14:paraId="03C62A8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6459FC9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ВЕДУЩЕГО КОЛЕСА ГУСЕНИЧНОГО ХОДА</w:t>
      </w:r>
    </w:p>
    <w:p w14:paraId="6B3C299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черт. 34.11.сб.</w:t>
      </w:r>
    </w:p>
    <w:p w14:paraId="7E15301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Напрессовка металлического бандажа на диск.</w:t>
      </w:r>
    </w:p>
    <w:p w14:paraId="0DE1F9A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Металлический бандаж перед напрессовкой на диск должен быть очищен от коррозии. </w:t>
      </w:r>
    </w:p>
    <w:p w14:paraId="31346BA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Перед напрессовкой бандажа смазывание подлежащих прессовке поверхностей не разрешается. </w:t>
      </w:r>
    </w:p>
    <w:p w14:paraId="43124DD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Наличие каких-либо прокладок для достижения надлежащей плотности напрессовки не допускается. </w:t>
      </w:r>
    </w:p>
    <w:p w14:paraId="3041141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Соединение дисков со ступицей.</w:t>
      </w:r>
    </w:p>
    <w:p w14:paraId="4BAC67C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Перед сборкой оси роликов в местах посадки их в бонки и втулки смазать любой густой смазкой, применяемой на машине. </w:t>
      </w:r>
    </w:p>
    <w:p w14:paraId="3017458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В месте прилегания втулки ролика к плоскости диска допускается зазор до 0,15 мм на длине не более 1/3 окружности, в остальной части щуп 0,05 мм не должен проходить. </w:t>
      </w:r>
    </w:p>
    <w:p w14:paraId="07D3BB1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В месте прилегания головок осей роликов к бонкам допускается зазор не более 0,2 мм на длине не более 1/4 окружности. На остальной части окружности щуп 0,05 мм не должен проходить. </w:t>
      </w:r>
    </w:p>
    <w:p w14:paraId="60BC3F4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Диски должны садиться на центрирующий выступ ступицы плотно под легкими ударами по деревяшке. </w:t>
      </w:r>
    </w:p>
    <w:p w14:paraId="30D4B1A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Перед постановкой гаек резьбу осей роликов и болтов к дискам смазать любой густой смазкой, применяемой на машине. </w:t>
      </w:r>
    </w:p>
    <w:p w14:paraId="6AAF4CB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Проверка собранного колеса.</w:t>
      </w:r>
    </w:p>
    <w:p w14:paraId="621F29E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Ролики должны свободно проворачиваться на втулках и иметь продольную игру в пределах 0,5 – 1,5 мм. </w:t>
      </w:r>
    </w:p>
    <w:p w14:paraId="609659F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Швы приварки бонок и бандажей должны быть плотные. </w:t>
      </w:r>
    </w:p>
    <w:p w14:paraId="0305CED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Окраска.</w:t>
      </w:r>
    </w:p>
    <w:p w14:paraId="10DCE8D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После сборки колесо грунтовать краской ЗБАУ кроме мест на ступице, сопрягаемых с другими деталями, роликов и наружной поверхности бандажа. </w:t>
      </w:r>
    </w:p>
    <w:p w14:paraId="05DD7F0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Наружный осмотр.</w:t>
      </w:r>
    </w:p>
    <w:p w14:paraId="1D5F619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а) По окончании сборки все открытые рабочие поверхности должны быть смазаны любой густой смазкой, применяемой на машине. </w:t>
      </w:r>
    </w:p>
    <w:p w14:paraId="6F2F0E0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Все неоговоренное настоящими техническими условиями см. на черт. 34.11.сб., 34.11.1сб и 34.11.2сб. </w:t>
      </w:r>
    </w:p>
    <w:p w14:paraId="7B3B1E2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25FFB95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КОЛЕС (Сб. черт. 34.12.сб).</w:t>
      </w:r>
    </w:p>
    <w:p w14:paraId="5E7556D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Напрессовка обрезиненного бандажа на диск.</w:t>
      </w:r>
    </w:p>
    <w:p w14:paraId="5690ED4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Перед напрессовкой смазывание внутренней цилиндрической поверхности бандажа и наружной цилиндрической поверхности диска де допускается. </w:t>
      </w:r>
    </w:p>
    <w:p w14:paraId="10EB12E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Наличие каких-либо прокладок для достижения надлежащей плотности напрессовки в прослабленных бандажах не допускается. </w:t>
      </w:r>
    </w:p>
    <w:p w14:paraId="254139E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Допускается перекос напрессованного бандажа не более 1 мм и проверяется линейкой по Ø 670 мм. </w:t>
      </w:r>
    </w:p>
    <w:p w14:paraId="5256404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Перед посадкой обрезиненного бандажа, всякого рода резиновые наплывы и ржавчина на внутренней поверхности бандажа должны быть устранены, резиновую бахрому необходимо удалить. </w:t>
      </w:r>
    </w:p>
    <w:p w14:paraId="51ECF84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После напрессовки, как стальной бандаж, так и резиновая шина не должны иметь трещин, разрывов, расслоений и др. пороков. </w:t>
      </w:r>
    </w:p>
    <w:p w14:paraId="0AFE7C4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Приварка бандажа к диску.</w:t>
      </w:r>
    </w:p>
    <w:p w14:paraId="5FF1EB7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Шов приварки бандажа к диску должен быть плотный, непористый и без наплывов. </w:t>
      </w:r>
    </w:p>
    <w:p w14:paraId="5EE2CE8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У мест приварок дисков к бандажу допускается отслоение резины от стального бандажа по глубине до 5 мм на длине до 45 мм по окружности бандажа. </w:t>
      </w:r>
    </w:p>
    <w:p w14:paraId="3E1A07E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После приварки между диском и бандажом допускается зазор не более 0,35 мм на глубину не более 30 мм на дуге длиною до 300 мм. </w:t>
      </w:r>
    </w:p>
    <w:p w14:paraId="07AD1FB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Посадка шарикоподшипников в ступицу.</w:t>
      </w:r>
    </w:p>
    <w:p w14:paraId="17A6E60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Перед посадкой подшипников в ступицу необходимо проверить, чтобы ступица во внутренней ее части, в местах, не подверженных механической обработке, не имела песка, окалины и была тщательно окрашена. </w:t>
      </w:r>
    </w:p>
    <w:p w14:paraId="78D2A07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Подшипник, сидящий со стороны лабиринтового уплотнения, должен быть установлен в ступицу до плотного упора торцевой поверхности наружного кольца в буртик ступицы. Допускается проворачивание от руки наружного кольца подшипника в гнезде ступицы, при условии сохранения размеров посадочных в соответствии с чертежом. Внутреннее кольцо относительно наружного должно легко вращаться от руки без заеданий и заклиниваний. </w:t>
      </w:r>
    </w:p>
    <w:p w14:paraId="4363930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Шариковый подшипник, сидящий в ступице со стороны крышки, должен устанавливаться в гнездо ступицы до упора торцевой поверхности внутреннего кольца в распорную трубу. Все остальные требования те же что и для подшипника, указанного в п. "б". </w:t>
      </w:r>
    </w:p>
    <w:p w14:paraId="5E0B852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Постановка дисков на ступицу.</w:t>
      </w:r>
    </w:p>
    <w:p w14:paraId="7B00D3D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Диски должны садиться на центрирующий выступ ступицы от руки или под легкими ударами по деревяшке. </w:t>
      </w:r>
    </w:p>
    <w:p w14:paraId="69CB6CF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Призонные болты должны входить в развернутые отверстия под ударами ручника. После развертки отверстий допускается чернота только в отверстиях приваренных колец и дисков, которая может охватывать не более половины поверхности каждого отверстия диска и кольца. </w:t>
      </w:r>
    </w:p>
    <w:p w14:paraId="3C2030C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Гайки должны быть затянуты до плотного упора. </w:t>
      </w:r>
    </w:p>
    <w:p w14:paraId="39FCDF9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Головки болтов и гайки (через шайбы) должны плотно прилегать к плоскости приваренных колец. После обжимки головок болтов ручником по наставке и окончательной затяжки гаек, между головкой болта и приварным кольцом не более чем по 3 граням допускается зазор до 0,15 мм. В остальных местах щуп 0,05 мм не должен проходить. </w:t>
      </w:r>
    </w:p>
    <w:p w14:paraId="351BA49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После затяжки болтов, крепящих диски колес к ступице, в месте расположения болтов, между диском и фланцем ступицы зазора быть не должно, но щуп 0,05 мм может заходить на глубину не более 5 мм. В промежутке между болтами щуп 0,25 мм может заходить между диском и фланцем ступицы на полную глубину, до упора в центрирующий буртик. </w:t>
      </w:r>
    </w:p>
    <w:p w14:paraId="0086EA5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Постановка распорных втулок.</w:t>
      </w:r>
    </w:p>
    <w:p w14:paraId="52D7B94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Стяжные болты верхнего ряда должны быть затянуты до полного упора. </w:t>
      </w:r>
    </w:p>
    <w:p w14:paraId="38EBDE2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Шаткость распорных втулок не допускается. </w:t>
      </w:r>
    </w:p>
    <w:p w14:paraId="4BB6E2D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В местах черновин дисков колес между распорной втулкой и дисками допускается зазор, размер которого не контролируется. </w:t>
      </w:r>
    </w:p>
    <w:p w14:paraId="422986C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Посадка собранного колеса на ось колеса.</w:t>
      </w:r>
    </w:p>
    <w:p w14:paraId="4E2397D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Колесо с подшипниками должно быть посажено на ось колеса до плотного упора внутреннего кольца подшипника в бурт оси. Гайка должна быть затянута до плотного упора. Между торцами гайки и внутренним кольцом шарикоподшипника допускается зазор не более 0,1 мм на длине не более ¼ окружности, по остальной части окружности щуп 0,05 мм не должен проходить. </w:t>
      </w:r>
    </w:p>
    <w:p w14:paraId="46850B5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Радиальный зазор между лабиринтами должен быть не менее 0,6 мм. </w:t>
      </w:r>
    </w:p>
    <w:p w14:paraId="7911DD1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Колесо, закрепленное на оси замочной гайкой, не должно иметь осевого перемещения. </w:t>
      </w:r>
    </w:p>
    <w:p w14:paraId="3D5B307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Колесо должно свободно вращаться на подшипниках без заеданий и заклиниваний. </w:t>
      </w:r>
    </w:p>
    <w:p w14:paraId="6E601EB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Перед постановкой колеса тщательно смазать лабиринты солидолом. </w:t>
      </w:r>
    </w:p>
    <w:p w14:paraId="78878DF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Постановка крышек колеса.</w:t>
      </w:r>
    </w:p>
    <w:p w14:paraId="035D8F1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Крышки должны быть плотно притянуты к ступице болтами, затянутыми до плотного упора, щуп 0,1 мм в местах прилегания не должен проходить. </w:t>
      </w:r>
    </w:p>
    <w:p w14:paraId="37479A9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Проверка колеса в сборе.</w:t>
      </w:r>
    </w:p>
    <w:p w14:paraId="5103150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Торцевое биение колеса, замеренное на бандаже, допускается до 1 мм. </w:t>
      </w:r>
    </w:p>
    <w:p w14:paraId="7E4BB7B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Собранное колесо должно свободно вращаться на подшипниках от руки без заеданий. </w:t>
      </w:r>
    </w:p>
    <w:p w14:paraId="39D4BEF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В ступицу набить смазку (солидол) в количестве 1000 грамм. </w:t>
      </w:r>
    </w:p>
    <w:p w14:paraId="31AE62B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При проворачивании колеса не должно быть шума, свидетельствующего о трении поверхностей уплотнительных колец. </w:t>
      </w:r>
    </w:p>
    <w:p w14:paraId="0A0D082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После сборки колеса все наружные нерабочие поверхности грунтовать краской ЗБАУ с последующей окраской в цвет машины одновременно с окраской машины, а ось балансира между шейками под втулки окрасить черным автолаком № 122. </w:t>
      </w:r>
    </w:p>
    <w:p w14:paraId="30FE909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 По окончании сборки все открытые рабочие поверхности должны быть смазаны любой густой смазкой, применяемой для машины А-34. </w:t>
      </w:r>
    </w:p>
    <w:p w14:paraId="30FCE0B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Все неоговоренное настоящими техническими условиями см. на чертеже 34.12.сб. </w:t>
      </w:r>
    </w:p>
    <w:p w14:paraId="7044D43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1B8E541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УСТАНОВКУ КОЛЕС (Сб. чертеж 34.12.сб).</w:t>
      </w:r>
    </w:p>
    <w:p w14:paraId="3E3CD7F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Установка втулок.</w:t>
      </w:r>
    </w:p>
    <w:p w14:paraId="3F36D26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Втулки, дет. 34.12.025, должны быть поставлены до упора в соответствующие буртики. </w:t>
      </w:r>
    </w:p>
    <w:p w14:paraId="3531F2C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Втулки, дет. 34.12.007, должны быть поставлены заподлицо с торцами кронштейнов. </w:t>
      </w:r>
    </w:p>
    <w:p w14:paraId="583AF1A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Запрессованные втулки допускается разворачивать разверткой до диаметров указанных в чертеже. </w:t>
      </w:r>
    </w:p>
    <w:p w14:paraId="6855E3E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Ось балансира должна свободно проворачиваться во втулках. </w:t>
      </w:r>
    </w:p>
    <w:p w14:paraId="4214999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Установка балансира в сборе с колесом на машину.</w:t>
      </w:r>
    </w:p>
    <w:p w14:paraId="2B540D3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Перед установкой колес со всех открытых, предварительно смазанных поверхностей должна быть удалена загрязненная смазка. </w:t>
      </w:r>
    </w:p>
    <w:p w14:paraId="528AEF8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проверки правильности установки колес натягивается стальная струна или гладкая нитка, укрепленная одним концом посередине колеса ленивца (между двумя бандажами) и вторым концом посередине между двумя бандажами гусеничного колеса. При установке колес необходимо, чтобы струна находилась посередине между внутренними торцевыми поверхностями бандажей. Допускается, чтобы расстояние от струны до торца внутреннего бандажа было не менее 24 мм, причем этот размер может быть выдержан как на отдельных, так и на всех колесах. Допускаемое колебание указанного размера в одном и том же колесе при замере в 2-х противоположных по диаметру местах, по окружности обода бандажа не должно быть более 1 мм. Зазор, получающийся между балансиром и торцом кронштейна, должен быть замерен и заполнен упорным кольцом к балансиру, причем допускается простановка 2-х упорных колец, когда это требуется из условий регулировки колеи. </w:t>
      </w:r>
    </w:p>
    <w:p w14:paraId="37133ED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Постановка струн.</w:t>
      </w:r>
    </w:p>
    <w:p w14:paraId="785EBE8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Струна должна быть затянута с обоих концов гайками до легкого упора в шайбу, после чего одна из гаек отпускается на ¾ оборота и гайки шплинтуются. Крышка не должна упираться в торец струны. </w:t>
      </w:r>
    </w:p>
    <w:p w14:paraId="65C04DF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Смазка.</w:t>
      </w:r>
    </w:p>
    <w:p w14:paraId="1D7C89A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 втулки, цапфы, кольца и внутреннюю полость балансира перед установкой обильно смазывать солидолом. </w:t>
      </w:r>
    </w:p>
    <w:p w14:paraId="4DB97B9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1. При заворачивании гаек обратить особое внимание на то, чтобы последние не были перетянуты. </w:t>
      </w:r>
    </w:p>
    <w:p w14:paraId="5FC8663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Все неоговоренное настоящими техническими условиями см. Сб. чертеж 34.12.сб. </w:t>
      </w:r>
    </w:p>
    <w:p w14:paraId="2605411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329DE5C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УСТАНОВУ БАЛАНСИРА ПЕРЕДНЕГО КОЛЕСА (сб. черт. 34.13.сб).</w:t>
      </w:r>
    </w:p>
    <w:p w14:paraId="6E85748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Сборка балансира.</w:t>
      </w:r>
    </w:p>
    <w:p w14:paraId="10D58DA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Деревянные пробки должны быть плотно забиты в соответствующие отверстия. </w:t>
      </w:r>
    </w:p>
    <w:p w14:paraId="6BA83BA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После окончательной сборки все нерабочие поверхности грунтовать краской ЗБАУ с последующей окраской в цвет машины, одновременно с окраской машины, а ось балансира между шейками под втулку окрасить черным автолаком № 122. </w:t>
      </w:r>
    </w:p>
    <w:p w14:paraId="300626E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в) Все рабочие поверхности смазать любой густой смазкой, применяемой на машине. Перед постановкой балансира на машину смазка должна быть удалена. </w:t>
      </w:r>
    </w:p>
    <w:p w14:paraId="77102C3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Установка на машину.</w:t>
      </w:r>
    </w:p>
    <w:p w14:paraId="427DE75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Втулка, дет. 34.12.025, должна быть поставлена до упора в бурт. </w:t>
      </w:r>
    </w:p>
    <w:p w14:paraId="7320E40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Втулка, дет. 34.13.003, должна быть поставлена заподлицо с торцом кронштейна (допускается зачистка торцов). </w:t>
      </w:r>
    </w:p>
    <w:p w14:paraId="4FD897D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Запрессованные втулки допускается проходить разверткой до размеров, указанных в чертеже. </w:t>
      </w:r>
    </w:p>
    <w:p w14:paraId="4345EF0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Ось балансира должна свободно проворачиваться во втулках. </w:t>
      </w:r>
    </w:p>
    <w:p w14:paraId="6CF04DF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Рычаг должен быть установлен на балансир со смещением оси рычага относительно оси балансира на 10˚, что достигается совмещением штифта на балансире с канавкой на зубьях рычага. </w:t>
      </w:r>
    </w:p>
    <w:p w14:paraId="59EBD5D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 После регулировки колеи (см. Т.У. на установку колес сб. 34.12.сб. § 2) зазор, получающийся между балансиром и торцом кронштейна должен быть заполнен упорным кольцом, дет. 34.13.005, 34.13.006 и 34.13.007, причем допускается постановка 2-х упорных колец, когда это требуется из условий регулировки колеи. </w:t>
      </w:r>
    </w:p>
    <w:p w14:paraId="4776B21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ж) Рычаг, дет. 34.13.004, притянуть до плотного упора в соответствующий бурт гайкой, которую застопорить пластинчатым замком. После затяжки гайки осевое перемещение оси балансира должно быть в пределах 0,5 – 1,3 мм. </w:t>
      </w:r>
    </w:p>
    <w:p w14:paraId="2F9A8C7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Проверка установленного балансира.</w:t>
      </w:r>
    </w:p>
    <w:p w14:paraId="570BC45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При статическом положении машины ось колеса должна быть на 47 +3 мм выше нижней кромки бортового листа, при этом размер от оси отверстия рычага до внутренней плоскости днища должен быть 102 ± 3 мм. </w:t>
      </w:r>
    </w:p>
    <w:p w14:paraId="7977206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Смазка.</w:t>
      </w:r>
    </w:p>
    <w:p w14:paraId="6A230C7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Все втулки, цапфы и кольца, перед сборкой обильно смазать солидолом. </w:t>
      </w:r>
    </w:p>
    <w:p w14:paraId="5DA25DF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После окончательной сборки во внутрь балансира набить смеси: </w:t>
      </w:r>
    </w:p>
    <w:p w14:paraId="38FAB42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летом 75% солидола и 25% автола </w:t>
      </w:r>
    </w:p>
    <w:p w14:paraId="04DF031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зимой 60% солидола и 40% автола </w:t>
      </w:r>
    </w:p>
    <w:p w14:paraId="7A86033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Все неоговоренное настоящими техническими условиями см. на сб. чертеже 34.13.сб. </w:t>
      </w:r>
    </w:p>
    <w:p w14:paraId="02360C8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6E8A7B4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ЛЕНИВЦА И МЕХАНИЗМА ДЛЯ НАТЯЖКИ ГУСЕНИЦЫ (Сб. черт. 34.15.Сб-2).</w:t>
      </w:r>
    </w:p>
    <w:p w14:paraId="51A7C7B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Напрессовка обрезиненного бандажа на диск.</w:t>
      </w:r>
    </w:p>
    <w:p w14:paraId="2CA539C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Обрезиненный бандаж перед его напрессовкой на диск должен быть очищен от коррозии и наплывов резины. </w:t>
      </w:r>
    </w:p>
    <w:p w14:paraId="59A75F8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Перед напрессовкой смазывание внутренней цилиндрической поверхности бандажа и наружной цилиндрической поверхности диска не допускается. </w:t>
      </w:r>
    </w:p>
    <w:p w14:paraId="05080FF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Наличие каких-либо прокладок для достижения надлежащей плотности напрессовки в прослабленных бандажах – не допускается. </w:t>
      </w:r>
    </w:p>
    <w:p w14:paraId="2159355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Перед посадкой обрезиненного бандажа всякого рода резиновые наплывы на его внутренней поверхности должны быть устранены. Резиновую бахрому необходимо удалить. </w:t>
      </w:r>
    </w:p>
    <w:p w14:paraId="766151A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После напрессовки, как стальной бандаж, так и резиновая грузошина не должны иметь трещин, разрывов, расслоений и др. пороков. </w:t>
      </w:r>
    </w:p>
    <w:p w14:paraId="0E86733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 Допускается отслоение резины от стального бандажа по глубине до 5 мм и на длине до 45 мм у мест приварок бандажа. </w:t>
      </w:r>
    </w:p>
    <w:p w14:paraId="56FE24F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ж) По посадочному месту Ø 400 мм допускаются местные зазоры до 0,5 мм глубиной до 15 мм и длиною по хорде до 100 мм, общим количеством не более 4-х на каждую сторону по окружности с расстоянием друг от друга не менее 150 мм. </w:t>
      </w:r>
    </w:p>
    <w:p w14:paraId="6EDE30B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 Торцевое биение бандажа, относительно посадочных мест под подшипники в диске, замеренное после напрессовки его, допускается на более 1 мм. </w:t>
      </w:r>
    </w:p>
    <w:p w14:paraId="5CFEB8E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 После напрессовки бандажа на диск допускается эллиптичность посадочных мест под подшипники (Ø 180А). Диаметр посадочного места под подшипник допускается в пределах Ø 180 +0,04 –0,02 при условии, что при механической обработке указанное отверстие было изготовлено в пределах размера, указанного в чертеже. </w:t>
      </w:r>
    </w:p>
    <w:p w14:paraId="3308AEE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Шов приварки бандажа к диску должен быть плотный, непористый и без наплывов. Свариваемое место тщательно очистить. </w:t>
      </w:r>
    </w:p>
    <w:p w14:paraId="6F2B32E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Посадка шарикового и роликового подшипников в гнезда дисков.</w:t>
      </w:r>
    </w:p>
    <w:p w14:paraId="674CB75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Подшипники должны быть посажены в гнезде диска до упора их торцевых поверхностей в бурт гнезда диска. Перед посадкой подшипников их следует обильно смазать солидолом. </w:t>
      </w:r>
    </w:p>
    <w:p w14:paraId="05223BF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Допускается проворачивание от руки наружных колец подшипников в гнездах диска при условии сохранения размеров посадочных мест в соответствии с чертежом. </w:t>
      </w:r>
    </w:p>
    <w:p w14:paraId="0D63C89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Внутренние кольца, относительно наружных, должны легко вращаться от руки без заеданий и заклиниваний. </w:t>
      </w:r>
    </w:p>
    <w:p w14:paraId="481298A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Кольцевой промежуток между кольцом и ступицей заполнить солидолом. </w:t>
      </w:r>
    </w:p>
    <w:p w14:paraId="0C78068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Установка сальниковой крышки и сальника.</w:t>
      </w:r>
    </w:p>
    <w:p w14:paraId="73A04A0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Сальниковая крышка должна быть плотно притянута к диску колеса болтами, затянутыми до плотного упора и не иметь зазора в месте прилегания. </w:t>
      </w:r>
    </w:p>
    <w:p w14:paraId="6744E39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Сальник перед постановкой должен быть пропитан в автоле или авиационном масле. </w:t>
      </w:r>
    </w:p>
    <w:p w14:paraId="58DB9A7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Посадка колеса на кривошип ленивца.</w:t>
      </w:r>
    </w:p>
    <w:p w14:paraId="7BC221D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Колесо с подшипниками должно быть посажено на кривошип до плотного упора торцевой поверхности внутреннего кольца роликоподшипника в бурт кривошипа. Замочная гайка должна быть затянута до плотного упора. Допускается зазор между торцами замочной гайки и внутреннего кольца подшипника не более 0,1 мм на длине не более ¼ окружности. По остальной части окружности щуп 0,05 не проходит. </w:t>
      </w:r>
    </w:p>
    <w:p w14:paraId="619A42E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Установка крышки.</w:t>
      </w:r>
    </w:p>
    <w:p w14:paraId="7605582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Крышка должна быть плотно притянута к ступице диска болтами, затянутыми до плотного упора. Перед постановкой крышки, впадину ее и отверстие в кривошипе ленивца заполнить солидолом полностью. </w:t>
      </w:r>
    </w:p>
    <w:p w14:paraId="4612DD6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Зазор между плоскостью крышки и ступицей диска попускается до 0,3 мм или между плоскостью крышки и наружным кольцом шарикоподшипника до 0,2 мм. </w:t>
      </w:r>
    </w:p>
    <w:p w14:paraId="5CC3A19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Проверка колеса в сборе.</w:t>
      </w:r>
    </w:p>
    <w:p w14:paraId="581ADF0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 ступицу набить смазку (солидол) в количестве 1000 грамм. </w:t>
      </w:r>
    </w:p>
    <w:p w14:paraId="19EB83E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По окончании сборки все открытые рабочие поверхности должны быть смазаны любой густой смазкой, применяемой для машины А-34. Перед постановкой ленивца на машину эта смазка должна быть удалена. </w:t>
      </w:r>
    </w:p>
    <w:p w14:paraId="7B2F5B9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Все неоговоренное настоящими техническими условиями см. на чертеже 34.15.Сб-2. </w:t>
      </w:r>
    </w:p>
    <w:p w14:paraId="62DA0F5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 Сборка натяжного механизма.</w:t>
      </w:r>
    </w:p>
    <w:p w14:paraId="628C5CB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Втулки должны быть запрессованы до плотного упора буртов в картер червяка и фланец. </w:t>
      </w:r>
    </w:p>
    <w:p w14:paraId="3DCCE07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Осевой зазор червяка должен быть отрегулирован прокладками и быть в пределах от 0,1 до 0,4 мм. </w:t>
      </w:r>
    </w:p>
    <w:p w14:paraId="77CB4FB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Перед установкой червяка, втулки, полость картера и червяк обильно смазать солидолом. </w:t>
      </w:r>
    </w:p>
    <w:p w14:paraId="4DBD818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Легкость вращения червяка проверить от руки на полный оборот шестерни, всякого рода заедания и заклинивания червяка не допускаются. </w:t>
      </w:r>
    </w:p>
    <w:p w14:paraId="7A1E3F4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VIII. УСТАНОВКА ЧЕРВЯКА НА КРОНШТЕЙН.</w:t>
      </w:r>
    </w:p>
    <w:p w14:paraId="756D711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Перед постановкой картера с червяком на кронштейн, внутреннюю полость кронштейна заполнить солидолом в количестве 1000 грамм. </w:t>
      </w:r>
    </w:p>
    <w:p w14:paraId="0298362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Болты, крепящие картер червяка к кронштейну должны быть затянуты до плотного упора, после чего проверить легкость проворачивания кривошипа с ленивцем из крайнего заднего положения в крайнее переднее. Заедание и заклинивание не допускаются. После проверки на проворачивание кривошипа установить контрольные штифты в картере червяка. </w:t>
      </w:r>
    </w:p>
    <w:p w14:paraId="2461617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IX. Установка ленивца в сборе с кривошипом на машину.</w:t>
      </w:r>
    </w:p>
    <w:p w14:paraId="46E3CA2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Хвостовик кривошипа ленивца должен свободно входить в соответствующие отверстия кронштейнов до упора в зубчатый диск, с последующей затяжкой гайкой до плотного упора. Перед установкой ленивца – отверстия кронштейна, резьбу и шейки на кривошипе смазать солидолом. </w:t>
      </w:r>
    </w:p>
    <w:p w14:paraId="2BCFEB9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Односторонний зазор между наклонными плоскостями зубьев кривошипа ленивца и зубчатого диска допускается до 1 мм, но не более как в 8-ми местах по окружности. </w:t>
      </w:r>
    </w:p>
    <w:p w14:paraId="628D4E5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Забоин и замятин на поверхностях зубьев не должно быть. </w:t>
      </w:r>
    </w:p>
    <w:p w14:paraId="6202C3E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1F21870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БОРТОВОЙ ПЕРЕДАЧИ (см. чертеж 34.16.сб-1)</w:t>
      </w:r>
    </w:p>
    <w:p w14:paraId="6444D2E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Сборка фланца и ведущего валика.</w:t>
      </w:r>
    </w:p>
    <w:p w14:paraId="3F5CDCB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Подшипник должен быть посажен в корпус до плотного упора в бурт наружным кольцом, а на фланец до плотного упора в бурт фланца. </w:t>
      </w:r>
    </w:p>
    <w:p w14:paraId="688B18D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Гайка, стягивающая ведущий валик с фланцем, должна быть затянута до плотного упора и надежно застопорена. </w:t>
      </w:r>
    </w:p>
    <w:p w14:paraId="3B43CB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Постановка фланца и ведущего валика.</w:t>
      </w:r>
    </w:p>
    <w:p w14:paraId="32DC920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Наружное кольцо подшипника должно быть плотно зажато между буртом корпуса, дет. 34.16.051 и буртом крышки, при этом зазор между корпусом и крышкой должен быть выбран прокладками. </w:t>
      </w:r>
    </w:p>
    <w:p w14:paraId="52DB3D6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Болты, притягивающие крышку спидометра и крышку сальника, должны быть затянуты до плотного упора и застопорены. </w:t>
      </w:r>
    </w:p>
    <w:p w14:paraId="3FCFAC5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в) При проворачивании ведущего валика, установленного на роликоподшипнике, каждый ролик должен свободно вращаться вокруг своей оси. Заедание роликов не допускается. </w:t>
      </w:r>
    </w:p>
    <w:p w14:paraId="1D12DB6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При проворачивании ведущего валика с шестерней, привод к спидометру должен вращаться без заеданий и заклиниваний. </w:t>
      </w:r>
    </w:p>
    <w:p w14:paraId="77788DF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Торцевое биение плоскости фланца, прилегающей к наружному барабану бортового фрикциона, допускается не более 0,2 мм. </w:t>
      </w:r>
    </w:p>
    <w:p w14:paraId="66EAD40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Сборка и установка вала, шестерни и крышки бортовой передачи.</w:t>
      </w:r>
    </w:p>
    <w:p w14:paraId="59D523A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Наружные и внутренние кольца подшипников должны быть посажены до плотного упора в соответствующие бурты. </w:t>
      </w:r>
    </w:p>
    <w:p w14:paraId="60C4A07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Осевой люфт в конических роликоподшипниках должен быть отрегулирован в пределах 0,1 +0,15 мм (ролики должны свободно перекатываться через щуп 0,1 мм, а щуп 0,15 мм закусывать). Регулировка люфта должна производиться гайкой струны. </w:t>
      </w:r>
    </w:p>
    <w:p w14:paraId="724CF24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Винты 1М12×45 должны плотно притягивать обойму подшипника к плоскости крышки. При постановке крышки на свое место разрешается винты немного ослабить, а после установки снова затянуть до плотного упора. </w:t>
      </w:r>
    </w:p>
    <w:p w14:paraId="0CF7BA6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Крышка устанавливается на прокладке и белилах. </w:t>
      </w:r>
    </w:p>
    <w:p w14:paraId="16B7D49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Проверка собранной бортовой передачи.</w:t>
      </w:r>
    </w:p>
    <w:p w14:paraId="2564964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Все болты должны быть затянуты до плотного упора и соответствующим образом зашплинтованы. </w:t>
      </w:r>
    </w:p>
    <w:p w14:paraId="1EE501D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Собранная бортовая передача должна вращаться плавно, без заклинивания, набегания зубьев и постороннего шума. </w:t>
      </w:r>
    </w:p>
    <w:p w14:paraId="5283B6B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Смазка.</w:t>
      </w:r>
    </w:p>
    <w:p w14:paraId="2204A99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Картера бортовой передачи заполняются смазкой № 8 до уровня контрольной пробки в картере бортовой передачи. Объем заправляемой смазки 360 гр. </w:t>
      </w:r>
    </w:p>
    <w:p w14:paraId="27EB31B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1. Все подшипники перед постановкой на место должны быть тщательно промыты, просушены и обильно заполнены смазкой № 8. </w:t>
      </w:r>
    </w:p>
    <w:p w14:paraId="04E013B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Все сальники перед постановкой на место должны быть пропитаны в автоле или авиационном масле. </w:t>
      </w:r>
    </w:p>
    <w:p w14:paraId="236187E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Все внутренние нерабочие поверхности грунтовать. Все наружные нерабочие поверхности грунтовать краской ЗБАУ с последующей окраской в цвет машины одновременно с окраской машины. </w:t>
      </w:r>
    </w:p>
    <w:p w14:paraId="6FA7B81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Бумажные прокладки ставить на белилах или сурике. </w:t>
      </w:r>
    </w:p>
    <w:p w14:paraId="104EC21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Все неоговоренное настоящими техническими условиями см. на чертеже 34.16.сб-1. </w:t>
      </w:r>
    </w:p>
    <w:p w14:paraId="3877F37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6CC5297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ПОДВЕСКИ ПЕРЕДНЕГО КОЛЕСА (Сб. черт. 34.17.сб)</w:t>
      </w:r>
    </w:p>
    <w:p w14:paraId="62D5EF9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Сборка подвески.</w:t>
      </w:r>
    </w:p>
    <w:p w14:paraId="4455307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Перед сборкой подвески переднего колеса пружины должны быть подобраны так, чтобы разница отклонений от их номинальных размеров по длине не была бы более 3-х мм. </w:t>
      </w:r>
    </w:p>
    <w:p w14:paraId="133169C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Пружины должны свободно надеваться на шток подвески от собственного веса. </w:t>
      </w:r>
    </w:p>
    <w:p w14:paraId="69B3A64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Все нерабочие поверхности грунтовать краской ЗБАУ. </w:t>
      </w:r>
    </w:p>
    <w:p w14:paraId="2BFEA10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Наружный осмотр.</w:t>
      </w:r>
    </w:p>
    <w:p w14:paraId="627341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Опорная гайка штока должна быть затянута до плотного упора и законтрена. </w:t>
      </w:r>
    </w:p>
    <w:p w14:paraId="7A95AD4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Пружины передней подвески, после затяжки гаек (опорной и контргайки) могут поворачиваться относительно оси штока от руки. </w:t>
      </w:r>
    </w:p>
    <w:p w14:paraId="5B25826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Гайка регулирующего стакана должна проворачиваться во втулках траверс свободно без заедания и не касаться пальцев траверс. </w:t>
      </w:r>
    </w:p>
    <w:p w14:paraId="49080B1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Смазка.</w:t>
      </w:r>
    </w:p>
    <w:p w14:paraId="549D9C1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Все втулки, цапфы и шток перед сборкой обильно смазать солидолом. </w:t>
      </w:r>
    </w:p>
    <w:p w14:paraId="3D79DD1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Во внутрь регулирующего стакана, после его установки на машину, вложить 100 гр. смеси: </w:t>
      </w:r>
    </w:p>
    <w:p w14:paraId="0722D6A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зимой – 60% солидола и 40% автола </w:t>
      </w:r>
    </w:p>
    <w:p w14:paraId="5E9199B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летом – 75% солидола и 25% автола. </w:t>
      </w:r>
    </w:p>
    <w:p w14:paraId="12C2BB2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В отверстия втулки рычага, перед соединением рычага с подвеской – набить графитной смазки. </w:t>
      </w:r>
    </w:p>
    <w:p w14:paraId="539381F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Все неоговоренное настоящими техническими условиями см. на сб. чертеже 34.17.сб. </w:t>
      </w:r>
    </w:p>
    <w:p w14:paraId="5CECD72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05072D3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НАКЛОННОЙ ПОДВЕСКИ (Сб. черт. 34.18.сб)</w:t>
      </w:r>
    </w:p>
    <w:p w14:paraId="7F5E71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Сборка подвески.</w:t>
      </w:r>
    </w:p>
    <w:p w14:paraId="652F190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Перед сборкой наклонной подвески пружины должны быть подобраны по длине так, чтобы сумма их длин, плюс толщина фланца направляющей пружины, были равны 944 + 10 мм. </w:t>
      </w:r>
    </w:p>
    <w:p w14:paraId="5AE1111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Пружины должны свободно надеваться на шток подвески от собственного веса. </w:t>
      </w:r>
    </w:p>
    <w:p w14:paraId="075890F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Втулка должна быть запрессована в опорную подушку заподлицо с торцевой плоскостью. Допускается зачистка торцов втулки заподлицо с подушкой. </w:t>
      </w:r>
    </w:p>
    <w:p w14:paraId="6BBF359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Все нерабочие поверхности грунтовать краской ЗБАУ. </w:t>
      </w:r>
    </w:p>
    <w:p w14:paraId="2178C3F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Наружный осмотр.</w:t>
      </w:r>
    </w:p>
    <w:p w14:paraId="3102C55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Опорная гайка штока должна быть затянута до плотного упора и законтрена. </w:t>
      </w:r>
    </w:p>
    <w:p w14:paraId="5259F9B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Пружины наклонной подвески, после затяжки гаек (опорной и контргайки) могут поворачиваться относительно оси штока от руки. </w:t>
      </w:r>
    </w:p>
    <w:p w14:paraId="60CEC50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Гайка регулирующего стакана должна проворачиваться во втулках траверс свободно без заедания и не касаться пальцев траверс. </w:t>
      </w:r>
    </w:p>
    <w:p w14:paraId="7768FFD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Смазка.</w:t>
      </w:r>
    </w:p>
    <w:p w14:paraId="122CEA8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Все втулки, цапфы, направляющие пружины и шток перед сборкой обильно смазать солидолом. </w:t>
      </w:r>
    </w:p>
    <w:p w14:paraId="602EE34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Во внутрь регулирующего стакана и цапфы подвески, после установки на машину вложить по 100 грамм смеси: </w:t>
      </w:r>
    </w:p>
    <w:p w14:paraId="01D24CF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зимой – 60% солидола и 40% автола </w:t>
      </w:r>
    </w:p>
    <w:p w14:paraId="7BDFC40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летом – 75% солидола и 25% автола. </w:t>
      </w:r>
    </w:p>
    <w:p w14:paraId="5270E72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Все неоговоренное настоящими техническими условиями см. на сборочном чертеже 34.18.сб. </w:t>
      </w:r>
    </w:p>
    <w:p w14:paraId="506108E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359F6D2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КУЛИСЫ (Сб. черт. 34.19.8сб).</w:t>
      </w:r>
    </w:p>
    <w:p w14:paraId="402BF00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Сборка комплекта рычага дет. 19-78-2</w:t>
      </w:r>
    </w:p>
    <w:p w14:paraId="70A3009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Пружины, дет. 19-115, должны быть приклепаны к рычагу плотно без шаткости. </w:t>
      </w:r>
    </w:p>
    <w:p w14:paraId="385BBEA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Полушария, дет. 19-111-1 должны быть плотно склепаны с рычагом. Головки заклепок должны быть зачищены заподлицо с шаровой поверхностью. </w:t>
      </w:r>
    </w:p>
    <w:p w14:paraId="32AF213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Шаровая рукоятка, дет. 19-117, должна быть прижата гайкой, дет. 19-118-1, до упора в бурт рычага. Проворачивание шаровой рукоятки на допускается. Выступающая над гайкой часть стержня рычага должна быть тщательно зачищена заподлицо с гайкой. </w:t>
      </w:r>
    </w:p>
    <w:p w14:paraId="0399BBB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Рукоятка, дет. 19-79-2, с тросом, укрепленным на траверсе, дет. 19-84-1, должна свободно проворачиваться, вместе с приваренной к ней заклепкой, относительно рычага. </w:t>
      </w:r>
    </w:p>
    <w:p w14:paraId="3BC3C7B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При сдвиге траверсы до упора в стенку ручки, зазор между буртиком траверсы и стенкой ручки, с противоположной стороны, должен быть в пределах 0,5 +1,5 мм. Для выдерживания указанного зазора допускается обжатие стенки ручки в месте установки траверсы. </w:t>
      </w:r>
    </w:p>
    <w:p w14:paraId="60D21FC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Сборка комплекта корпуса кулисы.</w:t>
      </w:r>
    </w:p>
    <w:p w14:paraId="7819329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Все поводки должны свободно перемещаться в основании кулисы. </w:t>
      </w:r>
    </w:p>
    <w:p w14:paraId="79B7826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Болты, стягивающие верхнюю часть корпуса с основанием кулисы, должны быть затянуты до плотного упора. </w:t>
      </w:r>
    </w:p>
    <w:p w14:paraId="1012B3D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Шпилька (дет. 19-212-1) и пробка дет. 19-225, 19-107-6 должны быть ввинчены в верхнюю часть корпусов до плотного упора. </w:t>
      </w:r>
    </w:p>
    <w:p w14:paraId="3888F8E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Установка рычага.</w:t>
      </w:r>
    </w:p>
    <w:p w14:paraId="79C23EB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Шаровая гайка, дет. 19-112-1, должна быть затянута до плотного упора, в установочное кольцо, дет. 19-113-1. Шар рычага должен свободно и плавно проворачиваться в гнезде. </w:t>
      </w:r>
    </w:p>
    <w:p w14:paraId="2BECC92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Люфт рычага в гнезде допускается до 0,3 мм, и регулируется прокладками, дет. 19-87, устанавливаемыми под установочное кольцо. </w:t>
      </w:r>
    </w:p>
    <w:p w14:paraId="35EE7CF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Сборка комплекта замка.</w:t>
      </w:r>
    </w:p>
    <w:p w14:paraId="193D03B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Ограничитель, дет. 34.19.035, должен быть ввинчен в диск, дет. 34.19.040, до плотного упора и закернен в 2-х местах. </w:t>
      </w:r>
    </w:p>
    <w:p w14:paraId="54C48A9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Диск должен быть одет на шпильку так, чтобы конец пружины, дет. 19-1182, зашел в соответствующее отверстие диска. </w:t>
      </w:r>
    </w:p>
    <w:p w14:paraId="1305165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Нижний конец троса должен быть закреплен так, чтобы при введенном положении ручки, дет. 19-79-2, между нею и шаровой рукояткой рычага был зазор в пределах 5÷10 мм, при этом ограничитель, дет. 34.19.035, должен иметь плотный упор в пробку, дет. 19-107-6, а штуцер, дет 19-215-1, должен быть ввинчен так, чтобы размер между гайкой и головкой штуцера был в пределах 5÷10 мм. </w:t>
      </w:r>
    </w:p>
    <w:p w14:paraId="4537323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Тросс должен быть кольцом, дет. 19-222, плотно прижат к диску. Выступание болта, крепящего кольцо, за нижнюю плоскость диска не допускается. </w:t>
      </w:r>
    </w:p>
    <w:p w14:paraId="718E58A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5. Концы оплетки тросса должны быть вставлены до плотного упора в бурты гнезд, дет. 19-215-1 и 19-223. Концы должны быть зачищены и не препятствовать свободному проворачиванию оплетки в гнездах. </w:t>
      </w:r>
    </w:p>
    <w:p w14:paraId="7CEC9F8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Шплинт гайки диска должен быть поставлен при таком положении гайки, при котором диск из введенного положения (с помощью рукоятки тросса) возвращался бы пружиной самостоятельно назад при плавном опускании рукоятки. При постановке шплинта на следующую прорезь гайки (по направлению завинчивания), вышеуказанная отдача уже не должна происходить (диск должен заклиниваться). </w:t>
      </w:r>
    </w:p>
    <w:p w14:paraId="1CB06D7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Наружный осмотр и смазка кулисы.</w:t>
      </w:r>
    </w:p>
    <w:p w14:paraId="3765027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Включение и выключение любой скорости должно происходить без заедания и заклиниваний поводков и замка. </w:t>
      </w:r>
    </w:p>
    <w:p w14:paraId="391D6A7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При переключении одного из поводков, невыключаемые два другие поводка должны оставаться неподвижными. </w:t>
      </w:r>
    </w:p>
    <w:p w14:paraId="38898CF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При сборке все трущиеся части должны быть смазаны солидолом. </w:t>
      </w:r>
    </w:p>
    <w:p w14:paraId="0FF22C7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Во внутрь корпуса кулисы должно быть заправлено 500 грамм солидола. </w:t>
      </w:r>
    </w:p>
    <w:p w14:paraId="589F817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Тросс и внутренняя поверхность оплетки должны быть тщательно смазаны смесью 50% консталина (или солидола) и 50% автола или авиационного масла. </w:t>
      </w:r>
    </w:p>
    <w:p w14:paraId="7A3624E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Все нерабочие поверхности кулисы внутри и снаружи должны быть прогрунтованы суриком железным масляным. Снаружи кулиса должна быть дополнительно окрашена черным автолаком М-122. </w:t>
      </w:r>
    </w:p>
    <w:p w14:paraId="0A32324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42C03DA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ВЕРТИКАЛНЫХ ВАЛИКОВ УПРАВЛЕНИЯ КОРОБКОЙ ПЕРЕДАЧ</w:t>
      </w:r>
    </w:p>
    <w:p w14:paraId="6409809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чертеж 34.19.1сб) И ТЯГ КУЛИСЫ (сб. чертеж 34.19.2 сб)</w:t>
      </w:r>
    </w:p>
    <w:p w14:paraId="5B97DE2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Сборка валиков.</w:t>
      </w:r>
    </w:p>
    <w:p w14:paraId="6C3347B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Шпонки должны быть плотно посажены в пазы соответствующих валиков, до упора в донышко паза. </w:t>
      </w:r>
    </w:p>
    <w:p w14:paraId="065298B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Все втулки с буртами должны быть запрессованы в соответствующие посадочные места, до упора в бурт. Втулка, дет. 34.19.004, должна быть запрессована заподлицо с торцом средней трубы. </w:t>
      </w:r>
    </w:p>
    <w:p w14:paraId="29B858C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Рычажки, устанавливаемые на шпонках, должны быть затянуты болтами до плотного упора. Шаткость рычажков не допускается. </w:t>
      </w:r>
    </w:p>
    <w:p w14:paraId="20319C2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Все нерабочие поверхности валиков должны быть окрашены черным автолаком М-122. </w:t>
      </w:r>
    </w:p>
    <w:p w14:paraId="2A40A5A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Нижнее отверстие внутреннего вертикального валика и свободные полости между трубами должны быть заполнены солидолом. </w:t>
      </w:r>
    </w:p>
    <w:p w14:paraId="0D1F48C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Установка валиков в машину.</w:t>
      </w:r>
    </w:p>
    <w:p w14:paraId="043745E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Кронштейн, дет. 34.19.031, должен быть до плотного упора притянут гайками к картеру и стойке коробки передач. </w:t>
      </w:r>
    </w:p>
    <w:p w14:paraId="5782237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Зазор между торцом втулки кронштейна и торцом втулки наружной трубы должен быть отрегулирован в пределах 1 +1 –0,5, прокладками дет. 34.19.019, 34.19.020. </w:t>
      </w:r>
    </w:p>
    <w:p w14:paraId="3698211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Собранные валики и установленные на подпятнике, дет. 34.19.006, со всеми закрепленными на них деталями, должны свободно проворачиваться без заеданий и заклиниваний. </w:t>
      </w:r>
    </w:p>
    <w:p w14:paraId="053A4F6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Сборка и регулировка тяг.</w:t>
      </w:r>
    </w:p>
    <w:p w14:paraId="29056A1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Все тяги кулисы должны свободно проходить под балансирными трубами, не защемляясь и не заклиниваясь, в отверстия перегородок корпуса. </w:t>
      </w:r>
    </w:p>
    <w:p w14:paraId="4FC4440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Все пальцы шарнирных соединений должны быть надежно зашплинтованы. </w:t>
      </w:r>
    </w:p>
    <w:p w14:paraId="3773BA6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Длины тяг должны быть отрегулированы муфтами, дет. 34.19.014, таким образом, чтобы при переключении поводков кулисы хода соответствующих поводковых валиков коробки передач были выдержаны согласно имеющихся на них меток (керн). </w:t>
      </w:r>
    </w:p>
    <w:p w14:paraId="6DC3022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Длина ввернутых в муфты резьбовых концов тяг, после их окончательной регулировки, должна быть не менее 18 мм (проверка глубины ввинчивания производится по контрольным отверстиям в муфтах). </w:t>
      </w:r>
    </w:p>
    <w:p w14:paraId="6D36218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После окончательной регулировки тяг, гайки муфт должны быть затянуты до плотного упора и застопорены. </w:t>
      </w:r>
    </w:p>
    <w:p w14:paraId="50B11B0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Все шарнирные соединения должны быть смазаны солидолом. </w:t>
      </w:r>
    </w:p>
    <w:p w14:paraId="35668D1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3A3EC7D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ПРИВОДОВ СЕРВОУПРАВЛЕНИЯ ФРИКЦИОНАМИ И ТОРМОЗАМИ.</w:t>
      </w:r>
    </w:p>
    <w:p w14:paraId="1585C7A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Сборочные чертежи.</w:t>
      </w:r>
    </w:p>
    <w:p w14:paraId="4848C96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34.20.сб-1 – л. 1-й – Управление в носу </w:t>
      </w:r>
    </w:p>
    <w:p w14:paraId="2B64353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34.20.сб-1 – л. 2-й – Управление в носу </w:t>
      </w:r>
    </w:p>
    <w:p w14:paraId="3E593D1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34.20.сб-1 – л. 3-й – Привода управления в корме (левый борт) </w:t>
      </w:r>
    </w:p>
    <w:p w14:paraId="00888BB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34.20.сб-1 – л. 4-й – Привода управления в корме (правый борт) </w:t>
      </w:r>
    </w:p>
    <w:p w14:paraId="1164E3D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34.20.7сб – Защелка горного тормоза. </w:t>
      </w:r>
    </w:p>
    <w:p w14:paraId="668497D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34.20.30сб – Рычаг правый </w:t>
      </w:r>
    </w:p>
    <w:p w14:paraId="07C1694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34.20.31сб – Рычаг левый </w:t>
      </w:r>
    </w:p>
    <w:p w14:paraId="21EFE4D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34.20.55сб – Уравнительный валик </w:t>
      </w:r>
    </w:p>
    <w:p w14:paraId="0B2ADA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34.20.57сб – Передний валик педалей. </w:t>
      </w:r>
    </w:p>
    <w:p w14:paraId="05FE1B0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ОБЩИЕ ТРЕБОВАНИЯ НА СОБРАННЫЕ И УСТАНОВЛЕННЫЕ НА МАШИНУ ТЯГИ УПРАВЛЕНИЯ.</w:t>
      </w:r>
    </w:p>
    <w:p w14:paraId="005F672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Тяги приводов вправления фрикционами и тормозами должны свободно проходить через отверстия в угольниках перегородок корпуса, под трубами балансиров и поперечной тягой главного фрикциона. Для обеспечения свободного прохода тяг левого бортового фрикциона и тормоза под поперечной тягой главного фрикциона разрешается производить местную подгибку тяг. </w:t>
      </w:r>
    </w:p>
    <w:p w14:paraId="6705494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Резьбовые части тяг, вилок, поводков и муфт должны давать возможность свинчивать их от руки. Шаткость по резьбе допускается в пределах допусков на резьбу. </w:t>
      </w:r>
    </w:p>
    <w:p w14:paraId="50D97AF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Поводки и вилки должны быть навинчены на тяги, согласно размеров, указанных на чертежах – 34.20.59сб, 34.20.60сб, 34.20.61сб, 34.20.65сб, 34.20.66сб, 34.20.67сб, 34.20.68сб, 34.20.69сб, 34.20.70сб и законтрогаены. Регулировочные поводки должны ввинчиваться в тяги на величину не менее 18 мм, что проверяется по контрольным отверстиям в поводках. В окончательно отрегулированной поперечной тяге главного фрикциона глубина завинченной в вилку (дет. 1124-84-1) части со стороны рычага главного фрикциона должна быть не менее 38 мм. После регулировки длины тяг регулировочные вилки и поводки должны быть законтрены. При регулировке тяги педали горного тормоза допускается припиловка нижней торцевой поверхности упора по месту. Все пальцы шарнирных соединений должны быть надлежащим образом зашплинтованы. </w:t>
      </w:r>
    </w:p>
    <w:p w14:paraId="424F513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При снятии рук с рычагов бортовых фрикционов и тормозов, а также ноги с педали главного фрикциона, рычаги и педали должны самостоятельно, от действия пружины на их тягах, отходить в свое крайнее положение, соответствующее включенному состоянию фрикционов и выключенным тормозам. </w:t>
      </w:r>
    </w:p>
    <w:p w14:paraId="77EB6BA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Регулировка приводов управления производится согласно инструкции по регулировке машины. </w:t>
      </w:r>
    </w:p>
    <w:p w14:paraId="1D8D696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5511E4A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РЫЧАГОВ БОРТОВЫХ ФРИКЦИОНОВ И ТОРМОЗОВ.</w:t>
      </w:r>
    </w:p>
    <w:p w14:paraId="2A7D5F5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Ролик, дет. 34.20.167, должен свободно, без заеданий вращаться на пальце. </w:t>
      </w:r>
    </w:p>
    <w:p w14:paraId="26BE63F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Рычаг 34.20.40сб. поставить на шпонке на ось рычага тормоза 34.20.37сб и затянуть гайкой. Шаткость в соединении не допускается. </w:t>
      </w:r>
    </w:p>
    <w:p w14:paraId="710CF34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Ось рычага должна свободно, без заеданий проворачиваться во втулках под действием силы веса рычага, установленного под углом относительно вертикали. </w:t>
      </w:r>
    </w:p>
    <w:p w14:paraId="18DD1B9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Серьгу 34.20.173 установить так, чтобы ось отверстия отстояла от плоскости кронштейна (обращенной к рычагу) на 42 ± 10 мм, причем гайки должны быть затянуты до плотного упора. </w:t>
      </w:r>
    </w:p>
    <w:p w14:paraId="7578705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Все шплинты должны быть тщательно зашплинтованы. </w:t>
      </w:r>
    </w:p>
    <w:p w14:paraId="287B409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После окончательной сборки рычаг должен плавно, без каких либо заеданий проворачиваться и увлекать за собой рычажок фрикциона. </w:t>
      </w:r>
    </w:p>
    <w:p w14:paraId="1B6A435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56A7247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ПЕРЕДНЕГО ВАЛИКА ПЕДАЛЕЙ</w:t>
      </w:r>
    </w:p>
    <w:p w14:paraId="652E053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Педальный валик должен свободно, без заеданий вращаться в отверстиях кронштейнов. </w:t>
      </w:r>
    </w:p>
    <w:p w14:paraId="318A62E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Гайки шпилек, крепящие кронштейны к днищу, должны быть затянуты до плотного упора и застопорены против отвинчивания шайбами "Гровера". </w:t>
      </w:r>
    </w:p>
    <w:p w14:paraId="2501D91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Педали главного фрикциона и ножного тормоза должны свободно проворачиваться относительно оси педального валика без заеданий. </w:t>
      </w:r>
    </w:p>
    <w:p w14:paraId="52F1392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0B29FD5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УСТАНОВКУ ОСИ, дет. 34.20.053, И КОЛЕНЧАТОГО РЫЧАЖКА ПРИВОДА ГЛАВНОГО ФРИКЦИОНА</w:t>
      </w:r>
    </w:p>
    <w:p w14:paraId="64E97FB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Ось коленчатого рычажка должна быть завинчена в днище корпуса до плотного упора, выступающая с наружной стороны днища часть оси должна быть расклепана. Шаткость оси не допускается. </w:t>
      </w:r>
    </w:p>
    <w:p w14:paraId="6CD6AD9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Перед установкой рычага 34.20.8сб на ось, рабочая поверхность и торцы втулки коленчатого рычага должны быть смазаны солидолом. </w:t>
      </w:r>
    </w:p>
    <w:p w14:paraId="02CF10B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После затяжки гайки и тщательной зашплинтовки, коленчатый рычажок должен свободно, без заеданий, проворачиваться относительно оси. </w:t>
      </w:r>
    </w:p>
    <w:p w14:paraId="5CC1FF3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 нерабочие поверхности тяг окрасить черным автолаком М-122. </w:t>
      </w:r>
    </w:p>
    <w:p w14:paraId="1968078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Все неоговоренное настоящими техническими условиями см. на сб. чертежах: 34.20.Сб-1 л. 1-й, 34.20.Сб-1 л. 2-й, 34.20.Сб-1 л. 3-й, 34.20.Сб-1 л. 4-й, 34.20.7сб, 34.20.30сб, 34.20.31сб, 34.20.55сб и 34.20.57сб. </w:t>
      </w:r>
    </w:p>
    <w:p w14:paraId="46F5487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4AE8E9B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СБОРКУ И УСТАНОВКУ ПРИВОДА К ТОПЛИВНОМУ НАСОСУ ДВИГАТЕЛЯ</w:t>
      </w:r>
    </w:p>
    <w:p w14:paraId="645A38E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Группа 22-я </w:t>
      </w:r>
    </w:p>
    <w:p w14:paraId="74464E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сборку и установку привода к топливному насосу двигателя смотри на чертежах: 34.22.15сб-1, 34.22.27сб, 34.22.20сб, 34.22.24сб, 34.22.сб-2. </w:t>
      </w:r>
    </w:p>
    <w:p w14:paraId="4839FC9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739BF16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СИДЕНИЯ ВОДИТЕЛЯ</w:t>
      </w:r>
    </w:p>
    <w:p w14:paraId="4089511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ГРУППА 25-я</w:t>
      </w:r>
    </w:p>
    <w:p w14:paraId="6EF7BFD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сборку и установку сидения водителя смотри на чертеже 34.25.1сб и 34.25.2сб. </w:t>
      </w:r>
    </w:p>
    <w:p w14:paraId="3187333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2AC54B2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МОНТАЖ ЭЛЕКТРООБОРУДОВАНИЯ В МАШИНАХ А-34</w:t>
      </w:r>
    </w:p>
    <w:p w14:paraId="6DE1068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Соединение проводами агрегатов и приборов электрооборудования машины должно быть проведено по принципиальной схеме 34.26.Сх-1. </w:t>
      </w:r>
    </w:p>
    <w:p w14:paraId="6CC3A64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Вся электропроводка должна быть выполнена проводом марки ПРП, изготовленным и принятым по ТУ АБТУ КА. Все провода должны быть проверены меггером перед постановкой на машину и поставлены клейма ОТК. </w:t>
      </w:r>
    </w:p>
    <w:p w14:paraId="28CEF82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Применение в машине проводов сечением меньше 1,5 кв. мм – не допускается. Для подвода питания к ТОПу и ПТ-1 допускается применение шнура ШР-220-0,75 мм². Провода шунта должны быть сечением не менее 2,5 кв. мм. При отсутствии провода требуемого сечения разрешается заменять проводом большего сечения, размером следующего за требуемым. </w:t>
      </w:r>
    </w:p>
    <w:p w14:paraId="27124AC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Проводка проводов в корпуса машины, а также крепление приборов и проводов должно быть произведено согласно монтажному чертежу 34.26.Сб-1. </w:t>
      </w:r>
    </w:p>
    <w:p w14:paraId="03CB9BF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При прокладке открытых, не в трубах, проводов в углах, радиус изгиба проводов должен быть не менее 15 радиусов сечения проводов. </w:t>
      </w:r>
    </w:p>
    <w:p w14:paraId="352C481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Кроме того, недопустимы: </w:t>
      </w:r>
    </w:p>
    <w:p w14:paraId="7ED6C5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Изгиб под острым углом и надлом провода. </w:t>
      </w:r>
    </w:p>
    <w:p w14:paraId="105D87C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Прокол изоляции и обрыв панциря. </w:t>
      </w:r>
    </w:p>
    <w:p w14:paraId="6F2EA9C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Оголение жилок провода. </w:t>
      </w:r>
    </w:p>
    <w:p w14:paraId="6C34BC0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Спайка проводов между двумя агрегатами, исключая приборы, имеющие фабричную заделку проводов. </w:t>
      </w:r>
    </w:p>
    <w:p w14:paraId="3E1ED00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Пайка с применением кислоты. </w:t>
      </w:r>
    </w:p>
    <w:p w14:paraId="3F1F9B3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 Провисание проводов между скобами. </w:t>
      </w:r>
    </w:p>
    <w:p w14:paraId="3A939FA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Постановка жестко перекрученного провода. </w:t>
      </w:r>
    </w:p>
    <w:p w14:paraId="4C605C0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Скобы приварные и привернутые, крепящие провода, не должны иметь острых кромок, могущих повредить изоляцию провода, и должны быть плотно обжаты на проводах. Привернутые скобы должны быть укреплены к корпусу машины винтами, завинченными до отказа. В местах, доступных экипажу при работе, уголки скоб, привернутых к бонкам, должны быть загнуты за бонки. Расстояние между скобами, крепящими провода, должно быть не более 300 мм. </w:t>
      </w:r>
    </w:p>
    <w:p w14:paraId="27B73F4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Постановка между скобой и проводом резиновых или других каких-либо изолирующих прокладок не допускается. Провода, проходящие через отверстия в металлических частях машины, должны быть предохранены от механических повреждений надеванием на них гибкого металлического шланга или дополнительной брони с другого провода. </w:t>
      </w:r>
    </w:p>
    <w:p w14:paraId="3C034C4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Присоединение проводов к клеммам приборов должно обеспечивать надежный контакт, для этого концы проводов должны быть хорошо пропаяны и залужены припоем П.О.С-33 ОСТ-2983 без применения кислоты. Все наконечники должны иметь покрытие, предохраняющее от окисления. </w:t>
      </w:r>
    </w:p>
    <w:p w14:paraId="65911BB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Концы проводов должны быть заделаны следующим образом: </w:t>
      </w:r>
    </w:p>
    <w:p w14:paraId="0AE083D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Металлическая оплетка провода на концах обрезается так, чтобы между припаянным к проводу наконечником и оплеткой был зазор: для проводов сечением 1,5; 2,5; 6; 10 мм² – 10 мм, для проводов 35 мм² – 15 мм и для проводов 50 и 95 мм² – 20 мм. </w:t>
      </w:r>
    </w:p>
    <w:p w14:paraId="622D779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Затем конец металлической оплетки и конец хвостовика наконечника обматываются изоляционной лентой, окручиваются виток к витку ниткой № 10 или № 00 и покрываются шеллаком. </w:t>
      </w:r>
    </w:p>
    <w:p w14:paraId="05528C9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Применение смоленой или подсохшей изоляционной ленты не допускается. </w:t>
      </w:r>
    </w:p>
    <w:p w14:paraId="4AE84C6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Все концы проводов должны быть маркированы согласно чертежей. Маркировка должна быть сделана на бирках, которые должны быть прочно надеты на металлическую оплетку провода (из неокисляющегося металла). </w:t>
      </w:r>
    </w:p>
    <w:p w14:paraId="4CC8EE0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1. Маркировка при подключении провода должна быть отчетливо видна, т.е. должна быть повернута наружу, чтобы можно было читать номер, не повертывая проводника. </w:t>
      </w:r>
    </w:p>
    <w:p w14:paraId="53615D9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Концы минусовых проводов в металлической оплетке (исключая двухпроводниковые сети) залуживают вместе с металлической оплеткой и припаивают к наконечнику. </w:t>
      </w:r>
    </w:p>
    <w:p w14:paraId="5951114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Электропроводка от блока защиты, от щитка эл. приборов и аппарата № 2 ТПУ-2 к ВКУ-3А должна быть проложена в металлических трубах. </w:t>
      </w:r>
    </w:p>
    <w:p w14:paraId="1611727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Для радио машин места крепления скоб электропроводов в корпусе и колпаке зачищать до блеска от краски и ржавчины, а в местах подключения минусовых проводов должны быть проложены свинцовые шайбы между наконечником и корпусом. Свинец должен быть чистым и не иметь окиси. </w:t>
      </w:r>
    </w:p>
    <w:p w14:paraId="3661219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Все скобы электро и радио-проводов должны быть омедненными. </w:t>
      </w:r>
    </w:p>
    <w:p w14:paraId="47534A7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Под все тумблера, не имеющие изоляции, ставить прессшпановые прокладки. </w:t>
      </w:r>
    </w:p>
    <w:p w14:paraId="615CAD8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Длина проводов может колебаться: </w:t>
      </w:r>
    </w:p>
    <w:p w14:paraId="3B7A801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При длине до 500 мм: ± 5 мм. </w:t>
      </w:r>
    </w:p>
    <w:p w14:paraId="658FEC7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При длине свыше 500 мм ± 1% длины, указанной на чертеже, но не более 20 мм. </w:t>
      </w:r>
    </w:p>
    <w:p w14:paraId="5D6F2E0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Вся аппаратура: стартеры, реле РСП, генератор, реле-регулятор, мотор для вентилятора, мотор поворота башни, переносной фонарь, плафон, сигнал, розетка типа БОШ, ВКУ, светильники и др. принимаются ОТК завода № 183 по техусловиям заводов изготовителей аппаратуры, утвержденных АБТУ КА. </w:t>
      </w:r>
    </w:p>
    <w:p w14:paraId="0D44AC9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Аппаратура монтируется в машине либо по техусловиям на чертежах, либо по специальным техусловиям, которые утверждаются АБТУ КА. </w:t>
      </w:r>
    </w:p>
    <w:p w14:paraId="1E9ECB1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Прожектор регулируется согласно инструкции завода-изготовителя, утвержденной АБТУ КА. </w:t>
      </w:r>
    </w:p>
    <w:p w14:paraId="4CE30DB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3D9150A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ИСПЫТАНИЕ ЭЛЕКТРООБОРУДОВАНИЯ, УСТАНОВЛЕННОГО В МАШИНУ.</w:t>
      </w:r>
    </w:p>
    <w:p w14:paraId="0AD04BE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Вся аппаратура, установленная на машине А-34, согласно монтажной схемы 34.26.Сб-1 и включенная согласно принципиальной схемы 34.26.Сх-1, должна быть испытана по нижеследующему порядку: </w:t>
      </w:r>
    </w:p>
    <w:p w14:paraId="73FD5F1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ОСВЕЩЕНИЕ</w:t>
      </w:r>
    </w:p>
    <w:p w14:paraId="5A36FF8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проверки исправности освещения, характеризуемой нормальным наклоном лампочек, включенных в цепь, а также исправности вольтметра и амперметра, необходимо включить выключатель массы и проделать следующие включения: </w:t>
      </w:r>
    </w:p>
    <w:p w14:paraId="0AF6B59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Включить выключатель ламп освещения щитков электроприборов и контрольных приборов на щитке эл. приборов, лампы должны загораться. </w:t>
      </w:r>
    </w:p>
    <w:p w14:paraId="35A134E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Включить тумблер "Б-свет" на щитке эл. приборов, лампы обеих фар должны загораться. </w:t>
      </w:r>
    </w:p>
    <w:p w14:paraId="047659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Включить тумблер "М-свет" на щитке электроприборов, лампы обеих фар должны загораться. </w:t>
      </w:r>
    </w:p>
    <w:p w14:paraId="4B45319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Включить тумблер "З-фонарь" на щитке электроприборов, лампа заднего фонаря (красный свет) должна загораться. </w:t>
      </w:r>
    </w:p>
    <w:p w14:paraId="388BF3A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Включить тумблер "СТОП" на щитке электроприборов и нажать педаль тормоза, лампа заднего фонаря (синий свет) должна загораться. </w:t>
      </w:r>
    </w:p>
    <w:p w14:paraId="6C0E1A7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Включить тумблер на аварийном щитке, лампа плафона должна загораться. </w:t>
      </w:r>
    </w:p>
    <w:p w14:paraId="7419284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Вставить в розетку аварийного щитка штепсель переносной лампы, лампа должна загораться. </w:t>
      </w:r>
    </w:p>
    <w:p w14:paraId="042C2EA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Включить тумблер плафона в колпаке, лампочка должна загораться. </w:t>
      </w:r>
    </w:p>
    <w:p w14:paraId="2E0668F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Включить тумблера прожектора на щитке БЗС-5, лампа должна загораться. </w:t>
      </w:r>
    </w:p>
    <w:p w14:paraId="46F5198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Включить тумблер плафона рации, лампочка должна загораться. </w:t>
      </w:r>
    </w:p>
    <w:p w14:paraId="43E1356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Включить тумблер "Дн" освещ" Топ ПТ-1 на щитке БЗС-5, лампа должна загораться. </w:t>
      </w:r>
    </w:p>
    <w:p w14:paraId="31CB40D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Включить тумблер "Ноч. освещ" ПТ-1 на щитке БЗС-5, лампа должна загораться. </w:t>
      </w:r>
    </w:p>
    <w:p w14:paraId="5D83FC7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Включить тумблер освещен. угломера на щитке БЗС-5, лампа должна загораться. </w:t>
      </w:r>
    </w:p>
    <w:p w14:paraId="2B79DC3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Повернуть колпак, во время вращения колпака лампы должны гореть ровным светом, не мигая. </w:t>
      </w:r>
    </w:p>
    <w:p w14:paraId="7D02FD0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Выключить все включенные потребители. </w:t>
      </w:r>
    </w:p>
    <w:p w14:paraId="76B1F2D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СИГНАЛ</w:t>
      </w:r>
    </w:p>
    <w:p w14:paraId="23BD571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Нажать кнопку сигнала на щитке эл. приборов, сигнал должен гудеть чистым ровным тоном, что характеризует его нормальную работу. </w:t>
      </w:r>
    </w:p>
    <w:p w14:paraId="31C3612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МОТОР ВЕНТИЛЯТОРА</w:t>
      </w:r>
    </w:p>
    <w:p w14:paraId="2F73E84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1. Включить тумблер мотора вентилятора, мотор должен вращаться без тряски и ненормального шума. </w:t>
      </w:r>
    </w:p>
    <w:p w14:paraId="0CA3632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Выключить тумблер, мотор должен плавно остановиться. </w:t>
      </w:r>
    </w:p>
    <w:p w14:paraId="731ED9A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Цепь исправна. </w:t>
      </w:r>
    </w:p>
    <w:p w14:paraId="0191C93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СТАРТЕР</w:t>
      </w:r>
    </w:p>
    <w:p w14:paraId="50E2320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Нажать кнопку стартера на щитке электроприборов, стартер должен легко и плавно проворачивать мотор. </w:t>
      </w:r>
    </w:p>
    <w:p w14:paraId="10A7177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ЦЕПЬ ГЕНЕРАТОРА</w:t>
      </w:r>
    </w:p>
    <w:p w14:paraId="753BB6A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Во время вращения мотора, при числах оборотов от 570 в минуту, генератор должен начинать зарядку аккумуляторов. </w:t>
      </w:r>
    </w:p>
    <w:p w14:paraId="0EDBD62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Вольтметр должен показывать напряжение генератора. </w:t>
      </w:r>
    </w:p>
    <w:p w14:paraId="22B35EC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Амперметр должен показывать ток, отдаваемый генератором, максимально 40 +2А. </w:t>
      </w:r>
    </w:p>
    <w:p w14:paraId="5647AC2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ЦЕПЬ ВЫКЛЮЧАТЕЛЯ МАССЫ</w:t>
      </w:r>
    </w:p>
    <w:p w14:paraId="16A3D59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Выключить выключатель массы при неработающем моторе, при этом потребители, исключая аварийного освещения, не должны гореть. </w:t>
      </w:r>
    </w:p>
    <w:p w14:paraId="2645ED0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Вольтметр должен показывать 12 вольт при включенном потребителе. </w:t>
      </w:r>
    </w:p>
    <w:p w14:paraId="63A20F7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 ЦЕПЬ БЛОКИРОВКИ МАСЛЯНОГО КРАНА</w:t>
      </w:r>
    </w:p>
    <w:p w14:paraId="5B38026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Открыть масляный кран, на щитке электроприборов должна загореться лампочка (зеленый свет). </w:t>
      </w:r>
    </w:p>
    <w:p w14:paraId="0EBFF4E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Закрыть масляный кран, лампочка должна погаснуть. </w:t>
      </w:r>
    </w:p>
    <w:p w14:paraId="75239F4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Цепь исправна. </w:t>
      </w:r>
    </w:p>
    <w:p w14:paraId="72A1702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VIII. НАРУЖНЫЙ ОСМОТР</w:t>
      </w:r>
    </w:p>
    <w:p w14:paraId="365980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Проверить правильность постановки бирок на проводах согласно спецификации и убедиться в том, что номера на бирках соответствуют подключенным зажимам, согласно принципиальной схемы 34.26.Сх-1. </w:t>
      </w:r>
    </w:p>
    <w:p w14:paraId="229F0A3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Проверить правильность установки всех электроприборов согласно чертежа 34.26.Сб-1. </w:t>
      </w:r>
    </w:p>
    <w:p w14:paraId="4A56C46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7DBA868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МОНТАЖ РРТ-4576А</w:t>
      </w:r>
    </w:p>
    <w:p w14:paraId="77C6D4D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Реле-регулятор РРТ-4576А должен быть установлен по чертежу 34.26.12сб. </w:t>
      </w:r>
    </w:p>
    <w:p w14:paraId="21DFE4C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Реле-регулятор должен быть установлен на резиновых амортизаторах. </w:t>
      </w:r>
    </w:p>
    <w:p w14:paraId="25590B8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Амортизаторы должны быть плотно укреплены к корпусу. </w:t>
      </w:r>
    </w:p>
    <w:p w14:paraId="641AF97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Провода, подходящие к реле, должны быть прочно укреплены во втулках винтами. Перекусывание провода не допускается. </w:t>
      </w:r>
    </w:p>
    <w:p w14:paraId="79E19E3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К установке на машину допускаются реле-регуляторы, снабженные пломбой завода поставщика. </w:t>
      </w:r>
    </w:p>
    <w:p w14:paraId="5F7F056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26FF62C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МОНТАЖ МОТОРА-ВЕНТИЛЯТОРА</w:t>
      </w:r>
    </w:p>
    <w:p w14:paraId="2E7DAA7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Мотор вентилятора устанавливается по чертежу 34.26.28сб. </w:t>
      </w:r>
    </w:p>
    <w:p w14:paraId="26014AD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Крылатка вентилятора должна свободно вращаться и быть предохранена кожухом и сеткой от попадания в нее посторонних предметов. </w:t>
      </w:r>
    </w:p>
    <w:p w14:paraId="1AA1932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Мотор, установленный в машине, не должен закрашиваться. </w:t>
      </w:r>
    </w:p>
    <w:p w14:paraId="4397A9C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Болты хомута кронштейна должны быть затянуты до отказа. </w:t>
      </w:r>
    </w:p>
    <w:p w14:paraId="2C58B98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Зазоры между кромками проточки на корпусе мотора и хомутом кронштейна могут колебаться в пределах от 0 до 2 мм, в зависимости от совпадения фланца в кожухе вентилятора и диффузора. </w:t>
      </w:r>
    </w:p>
    <w:p w14:paraId="62D2CE3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Вытяжной патрубок должен совпадать с отверстием в перегородке, зазор между патрубком и перегородкой в пределах 2 мм, как вверх и вниз, так и в сторону. </w:t>
      </w:r>
    </w:p>
    <w:p w14:paraId="4C3D90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Перекос мотора допускается в пределах 2 мм. </w:t>
      </w:r>
    </w:p>
    <w:p w14:paraId="70D8E43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При длительной работе (в течение часа) вертикально установленный мотор не должен перегреваться свыше 55˚С при Т˚ окружающей среды на свыше 40˚С. </w:t>
      </w:r>
    </w:p>
    <w:p w14:paraId="4BB8831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На 10% собранных вентиляторах проверяется скорость воздуха, которая должна быть не менее 5 мт./сек. </w:t>
      </w:r>
    </w:p>
    <w:p w14:paraId="008A440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К установке на машину допускаются только моторы проверенные и снабженные клеймом завода-поставщика и отд. "9" завода им. Коминтерна. </w:t>
      </w:r>
    </w:p>
    <w:p w14:paraId="535F9FB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168043D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МОНТАЖ СТАРТЕРА СТ-700 И РЕЛЕ РСП-305А</w:t>
      </w:r>
    </w:p>
    <w:p w14:paraId="51B88D0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Корпус стартера, уложенный в гнезде подушки, дет. 34.26.121-1, и затянутый хомутами крепления стартера 34.26.34сб, должен иметь такое прилегание, чтобы щуп 0,1 мм не мог проходить между гнездами подушки и корпусом стартера сбоку больше чем на 20 мм и глубину на длине не более 60 мм. Модуль и угол зацепления, как на шестерне, так и на венце маховика, должны быть одинаковы. Осевое и вращательное движение стартера не допускается. </w:t>
      </w:r>
    </w:p>
    <w:p w14:paraId="3006A57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Расклеп и заусенцы на зубьях шестерни стартера не допускаются. </w:t>
      </w:r>
    </w:p>
    <w:p w14:paraId="0A06F6B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Ось стартера должна быть перпендикулярна к плоскости венца маховика. Правильность установки проверяется введением в зацепление шестерни стартера с венцом маховика, путем воздействия на хвостовик шестерни, при этом шестерня стартера должна плавно и легко входить в зацепление. </w:t>
      </w:r>
    </w:p>
    <w:p w14:paraId="48328EB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 вертикальной плоскости правильность установки проверяется определением величины зазора между вершиной зуба шестерни стартера и впадиной зуба венца маховика. Зазор должен быть в пределах от 2,75 до 3,25 мм. Замер зазора производится по свинцовому отпечатку. Перекос по зазору допускается не более 0,25 мм. </w:t>
      </w:r>
    </w:p>
    <w:p w14:paraId="5699AE9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Зазор между вершиной зуба шестерни стартера и впадиной зуба венца маховика регулируется прокладками, дет. 34.26.122, 34.26.123 и 34.26.124. </w:t>
      </w:r>
    </w:p>
    <w:p w14:paraId="60CC965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Зазор между торцом шестерни стартера и торцом венца маховика от 4 до 4,5 мм. </w:t>
      </w:r>
    </w:p>
    <w:p w14:paraId="23B0C1F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Боковой зазор (зазор между профилями зубьев) должен быть от 0,6 до 0,8 мм. </w:t>
      </w:r>
    </w:p>
    <w:p w14:paraId="4F0D7D8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Кронштейн для крепления стартера дет. 34.26.084 должен быть установлен так, чтобы расстояние от торца шейки крышки стартера до кронштейна было в пределах от 0 до 2 мм. </w:t>
      </w:r>
    </w:p>
    <w:p w14:paraId="5394FC8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При запуске двигателя зацепление шестерен должно быть по всей длине зуба шестерни стартера. </w:t>
      </w:r>
    </w:p>
    <w:p w14:paraId="15A9B7F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Провода должны быть прочно укреплены на выводных контактных болтах реле РСТ-283. </w:t>
      </w:r>
    </w:p>
    <w:p w14:paraId="2B044E0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Клеммы реле и стартера должны быть закрыты резиновыми колпачками. </w:t>
      </w:r>
    </w:p>
    <w:p w14:paraId="5F32830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Реле РСП должно быть плотно притянуто болтами к кронштейну. Шаткость реле недопустима. </w:t>
      </w:r>
    </w:p>
    <w:p w14:paraId="2FD9F35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На провода, подходящие к реле, должны быть одеты резиновые колпачки. </w:t>
      </w:r>
    </w:p>
    <w:p w14:paraId="57585EB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743668B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ПРИЕМКУ И МОНТАЖ ЩИТКА ЭЛЕКТРОПРИБОРОВ ВОДИТЕЛЯ (чертеж 1126-с582)</w:t>
      </w:r>
    </w:p>
    <w:p w14:paraId="665C5DA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Конструкция, габаритные размеры и выполнение щитка электроприборов водителя должны соответствовать чертежу 1126-с582 листы 1-й и 2. </w:t>
      </w:r>
    </w:p>
    <w:p w14:paraId="008248A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Установка щитка должна производиться по чертежу 34.26.12сб. </w:t>
      </w:r>
    </w:p>
    <w:p w14:paraId="212A1F3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Расположение приборов на щитке должно соответствовать указанному чертежу 1126-с582. </w:t>
      </w:r>
    </w:p>
    <w:p w14:paraId="67FC2DB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Все винтовые соединения должны иметь контргайки или шайбы Гровера. </w:t>
      </w:r>
    </w:p>
    <w:p w14:paraId="5072955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Число винтов, крепящих приборы, должно соответствовать количеству отверстий для них. </w:t>
      </w:r>
    </w:p>
    <w:p w14:paraId="56D71FB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Включение приборов должно производиться по принципиальной схеме на черт. 1126-с582 л. 2-й. </w:t>
      </w:r>
    </w:p>
    <w:p w14:paraId="15E785E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На панели для предохранителей должны быть сделаны надписи: цепь, обслуживаемая предохранителем и сила тока. Все предохранители должны быть поставлены согласно принципиальной схемы на щитке. </w:t>
      </w:r>
    </w:p>
    <w:p w14:paraId="6E09602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Крышка коробки с предохранителями должна свободно открываться и закрываться, гарантируя невозможность случайного кроткого замыкания. </w:t>
      </w:r>
    </w:p>
    <w:p w14:paraId="78BBE6C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Губки всех предохранителей должны быть прочно закреплены, проворачивание губок не допускается. </w:t>
      </w:r>
    </w:p>
    <w:p w14:paraId="5B915C4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728EC11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ПРИЕМКУ И МОНТАЖ БЛОКА ЗАЩИТЫ БЗС-5</w:t>
      </w:r>
    </w:p>
    <w:p w14:paraId="6993C99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 1126-с487</w:t>
      </w:r>
    </w:p>
    <w:p w14:paraId="65A934C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Монтаж щитка производится по чертежу 1126-с487. </w:t>
      </w:r>
    </w:p>
    <w:p w14:paraId="275A22A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Под болты, крепящие щиток, должны быть подложены пружинные шайбы. Перекос щитка не допускается. </w:t>
      </w:r>
    </w:p>
    <w:p w14:paraId="47F096F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Электрический монтаж должен производиться согласно принципиальной схемы, чертеж 1126-с487. </w:t>
      </w:r>
    </w:p>
    <w:p w14:paraId="73DC7F4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Крышка должна быть, с целью предохранения от коррозий, окрашена черным лаком по грунтовке. Допускается матовый и кристаллический лак. </w:t>
      </w:r>
    </w:p>
    <w:p w14:paraId="6D0CE40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Крышка должна легко открываться и закрываться, гарантируя невозможность случайного замыкания. </w:t>
      </w:r>
    </w:p>
    <w:p w14:paraId="22948A6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Губки всех предохранителей должны быть прочно закреплены, проворачивание губок не допускается. </w:t>
      </w:r>
    </w:p>
    <w:p w14:paraId="378F661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ТЕХИЧЕСКИЕ УСЛОВИЯ</w:t>
      </w:r>
    </w:p>
    <w:p w14:paraId="134D63A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ПРИЕМКУ И МОНТАЖ АККУМУЛЯТОРОВ 6СТЭ-128</w:t>
      </w:r>
    </w:p>
    <w:p w14:paraId="1AF557A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Техусловия на приемку.</w:t>
      </w:r>
    </w:p>
    <w:p w14:paraId="512FCAC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1. Габаритные размеры, конструкция аккумуляторных корзин и крепление их в машине должны соответствовать черт. 34.26.23сб и 26-с257 или 34.26.60сб и 1126-С596. </w:t>
      </w:r>
    </w:p>
    <w:p w14:paraId="31820CF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Трещины и вмятины на стенках, дне ящика и крышке аккумуляторов не допускаются. </w:t>
      </w:r>
    </w:p>
    <w:p w14:paraId="6538BBD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Крышка ящика должна быть привернутой на шурупах, откидной на петлях или на крючках. </w:t>
      </w:r>
    </w:p>
    <w:p w14:paraId="4C8C26D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Ящик должен быть окрашен кислотоупорной краской. </w:t>
      </w:r>
    </w:p>
    <w:p w14:paraId="37B9DA5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Отверстия сосудов должны быть снабжены фарфоровыми или эбонитовыми втулками и закрыты пробкой с отверстием, либо специальной карболитовой пробкой с отверстием. </w:t>
      </w:r>
    </w:p>
    <w:p w14:paraId="6FFB3C0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Зажимы должны быть изолированы от ящика и освинцованы. </w:t>
      </w:r>
    </w:p>
    <w:p w14:paraId="143C0B9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На залитых электролитом элементах батарей не должно быть замыкания между системами пластин. Проверка ведется вольтметром, должно быть не менее 2,2 в. </w:t>
      </w:r>
    </w:p>
    <w:p w14:paraId="5E94F79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Техусловия на монтаж.</w:t>
      </w:r>
    </w:p>
    <w:p w14:paraId="13EC53D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До монтажа на машине аккумуляторные батареи должны быть заряжены согласно "Руководства по кислотным стартерным аккумуляторам колесных и гусеничных машин", утвержденного АБТУ КА. </w:t>
      </w:r>
    </w:p>
    <w:p w14:paraId="6C59717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Установленные на машины аккумуляторы не должны иметь утечки, отсутствие которой проверяется следующим образом: выключатель массы выключается и при этом стрелка вольтметра должна стоять на нуле. </w:t>
      </w:r>
    </w:p>
    <w:p w14:paraId="3E61CC1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Подключение концов проводов к аккумуляторам должно быть выполнено согласно принципиальной схемы 34.26.Сх-1. </w:t>
      </w:r>
    </w:p>
    <w:p w14:paraId="48DECE7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Клеммы аккумуляторов должны быть защищены от короткого замывания резиновыми муфтами согласно чертежа 34.26.26сб. </w:t>
      </w:r>
    </w:p>
    <w:p w14:paraId="26A2A13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Аккумуляторы должны быть пронумерованы порядковыми номерами и иметь шифрованный номер машины, написанный по трафарету белой краской на ящике сбоку. Нумерация должна быть 1, 2, 3, 4 – четные должны быть установлены с одной стороны в машине, нечетные – с другой стороны. </w:t>
      </w:r>
    </w:p>
    <w:p w14:paraId="480F7E7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1574748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 монтаж заднего фонаря </w:t>
      </w:r>
    </w:p>
    <w:p w14:paraId="2FA62C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смотри на чертеже: 34.26.4сб. </w:t>
      </w:r>
    </w:p>
    <w:p w14:paraId="14FFD74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На монтаж сигнала </w:t>
      </w:r>
    </w:p>
    <w:p w14:paraId="35F2982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смотри на чертеже: 34.26.2сб. </w:t>
      </w:r>
    </w:p>
    <w:p w14:paraId="36C5114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На монтаж выключателя массы </w:t>
      </w:r>
    </w:p>
    <w:p w14:paraId="413582B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смотри на чертеже: 34.26.33сб. </w:t>
      </w:r>
    </w:p>
    <w:p w14:paraId="3CE4E58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На монтаж ВКУ-3А </w:t>
      </w:r>
    </w:p>
    <w:p w14:paraId="34470CB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смотри на чертеже: 34.26.8сб. </w:t>
      </w:r>
    </w:p>
    <w:p w14:paraId="24C0A98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На монтаж выключателя "стоп" </w:t>
      </w:r>
    </w:p>
    <w:p w14:paraId="0E350F2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смотри на чертеже: 34.26.10сб. </w:t>
      </w:r>
    </w:p>
    <w:p w14:paraId="2492A32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288A0F8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УКЛАДОК БОЕПРИПАСОВ</w:t>
      </w:r>
    </w:p>
    <w:p w14:paraId="538240E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Укладка на правом и левом фальшбортах</w:t>
      </w:r>
    </w:p>
    <w:p w14:paraId="4701953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чертеж 34.27.2сб. на правом, 34.27.3сб на левом.</w:t>
      </w:r>
    </w:p>
    <w:p w14:paraId="22C760D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Болты, крепящие рамки укладок, должны быть затянуты до отказа. Шатание укладок на должно быть. Остальные технические условия смотри на чертежах: 34.27.2сб, 34.27.3сб, 34.27.25сб и 34.27.24сб. </w:t>
      </w:r>
    </w:p>
    <w:p w14:paraId="55DBC2F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Укладка в нише правого подкрылка. Сб. черт. 34.27.35сб.</w:t>
      </w:r>
    </w:p>
    <w:p w14:paraId="6AD479C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Болты, крепящие рамки укладок, должны быть затянуты до отказа. Шатания укладок не должно быть. </w:t>
      </w:r>
    </w:p>
    <w:p w14:paraId="745038D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Каждую ячейку укладки 34.27.36сб. проверять посадкой в нее двух макетов обойм, кроме верхней ячейки, которую проверять посадкой одного макета обоймы. Посадку обоймы или макета обоймы производить так, чтобы выступ крышки обоймы входил в углубление, сделанное в перегородках, а в верхней ячейке был обращен вниз. </w:t>
      </w:r>
    </w:p>
    <w:p w14:paraId="44A11B1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Остальные технические условия смотри на чертежах: 34.27.35сб, 34.27.36сб и 27.с128. </w:t>
      </w:r>
    </w:p>
    <w:p w14:paraId="739A42B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Укладка в носовой части машины</w:t>
      </w:r>
    </w:p>
    <w:p w14:paraId="7FFE20C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черт. 34.27.27сб, 34.27.34сб и 34.27.41сб.</w:t>
      </w:r>
    </w:p>
    <w:p w14:paraId="533C320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Болты, крепящие рамки укладок, должны быть затянуты до отказа. Шатания укладок не должно быть. </w:t>
      </w:r>
    </w:p>
    <w:p w14:paraId="4759331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При вкладывании и вынимании обоймы из укладок 34.27.27сб. обойма не должна цепляться за лист ограждения передней подвески. </w:t>
      </w:r>
    </w:p>
    <w:p w14:paraId="440A5B7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Остальные технические условия смотри на чертежах: 34.27.34сб, 34.27.27сб, 34.27.34сб и 34.27.40сб. </w:t>
      </w:r>
    </w:p>
    <w:p w14:paraId="5C64AB9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Укладка в полу – Сб. черт. 34.27.33сб.</w:t>
      </w:r>
    </w:p>
    <w:p w14:paraId="1D17B04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Болты, крепящие ящики для чемоданов и пулеметных обойм должны быть затянуты до отказа. При этом коробление и выпучивание листов и пола ящика для чемоданов допускается до 2-х мм. </w:t>
      </w:r>
    </w:p>
    <w:p w14:paraId="30D14C6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Ящики укладки 34.27.42 сб и 34.27.43 сб могут быть придвинуты к ВКУ вплотную. </w:t>
      </w:r>
    </w:p>
    <w:p w14:paraId="686D24B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Чемоданы 34.27.28сб и 34.27.30сб должны свободно вставляться и выниматься из ящиков укладки, при этом часть чемоданов вставляется и вынимается при помощи передвижки их. </w:t>
      </w:r>
    </w:p>
    <w:p w14:paraId="3E2699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Крышки чемоданов 34.27.32сб должны легко открываться и закрываться при полном количестве укомплектованных чемоданов. </w:t>
      </w:r>
    </w:p>
    <w:p w14:paraId="69CCA11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Патроны и их резиновые опоры должны свободно вставляться и выниматься из чемоданов при полном количестве укомплектованных чемоданов. </w:t>
      </w:r>
    </w:p>
    <w:p w14:paraId="6A4CA1A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Остальные технические условия смотри на чертежах: 34.27.33сб, 34.27.28сб, 34.27.30сб, 34.27.42сб, 34.27.43сб и 34.27.38сб. </w:t>
      </w:r>
    </w:p>
    <w:p w14:paraId="18E1991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21BC08D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ОБОРУДОВАНИЕ МАШИНЫ ОБЩИМ, ШАНЦЕВЫМ И СПЕЦИАЛЬНЫМ ИНСТРУМЕНТОМ,</w:t>
      </w:r>
    </w:p>
    <w:p w14:paraId="45ACCE8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ПРИНАДЛЕЖНОСТЯМИ, ПРИСПОСОБЛЕНИЯМИ, ЗАПАСНЫМИ ЧАСТЯМИ И МАТЕРИАЛАМИ, ВОЗИМЫМИ НА МАШИНЕ</w:t>
      </w:r>
    </w:p>
    <w:p w14:paraId="117B7BB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Набор инструмента, принадлежностей, приспособлений, запасных частей и материалов укладывается в машине согласно комплектовочной ведомости машин, с обозначением в последней места укладки. </w:t>
      </w:r>
    </w:p>
    <w:p w14:paraId="4944F1B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Комплектовочная ведомость составляется заводом. Один экземпляр комплектовочной ведомости, идущий с машиной, должен обязательно изготовляться на плотной бумаге и в переплете. Размер комплектовочной ведомости в переплете 14÷15×20÷21 см. </w:t>
      </w:r>
    </w:p>
    <w:p w14:paraId="74F8FC9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Весь инструмент перед укладкой его на свои места в машину проверяется наружным осмотром, не допускается ржавления и др. пороков, влияющих на качество инструмента. </w:t>
      </w:r>
    </w:p>
    <w:p w14:paraId="0EFE751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Инструмент, за исключением окрашенного напильника и деревянной рукоятки к нему, должен быть покрыт смазкой, предотвращающей от ржавления. </w:t>
      </w:r>
    </w:p>
    <w:p w14:paraId="52DF879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Инструмент должен иметь на себе обозначение номеров деталей любым (возможным) способом и клейма ОТК. </w:t>
      </w:r>
    </w:p>
    <w:p w14:paraId="6462871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Ручные переносные огнетушители, деталь 28-370-1, обязательно должны быть с пломбой и датой проверки ОТК, с давностью взвешивания баллончика с углекислотой не более 5-ти дней к моменту отправки. </w:t>
      </w:r>
    </w:p>
    <w:p w14:paraId="32E4B31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Пояски для вынимания дисков ДТ должны быть на дисках в машине, при отправке машин с завода неукомплектованными дисками, пояски сдаются с машиной связанными в одну пачку и вывешиваются на видном месте в машине. </w:t>
      </w:r>
    </w:p>
    <w:p w14:paraId="0AB7C61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Запасные 4 трака, 3 трака с гребнем и 2 трака без гребня до крепления их на машине окрашиваются под цвет машины. </w:t>
      </w:r>
    </w:p>
    <w:p w14:paraId="4736109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Запасные электролампы и запасные предохранители перед укладкой опробываются на годность. </w:t>
      </w:r>
    </w:p>
    <w:p w14:paraId="0026E38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6EF3326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СПЕЦКОНСТРУКЦИИ МАШИН "А-34"</w:t>
      </w:r>
    </w:p>
    <w:p w14:paraId="02E2093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КОРПУС</w:t>
      </w:r>
    </w:p>
    <w:p w14:paraId="3487684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Общее положение.</w:t>
      </w:r>
    </w:p>
    <w:p w14:paraId="49B75C1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Всякие требования, непредусмотренные настоящими техническими условиями, обязательно оформляются дополнительными соглашениями за подписью обеих сторон. Без такого оформления эти требования не имеют обязательной силы и сдача-приемка корпусов должна вестись по настоящим техническим условиям. </w:t>
      </w:r>
    </w:p>
    <w:p w14:paraId="1A5473A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Все спец.детали на корпуса "А-34" должны быть изготовлены из спец.стали, удовлетворяющей техническим условиям на спецсталь заказа 1940 г., утвержденным 7 Гл. Управлением НКОП и АБТУ КА. </w:t>
      </w:r>
    </w:p>
    <w:p w14:paraId="34E4FE2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 свои требования в части марки спецстали, ее качества и методов приемки (за исключением раздела полигонных испытаний) завод им. "Коминтерна" согласовывает с заводом им. "Ильича", детали, изготовляемые на заводе 183 из спецстали, подвергаются полигонным испытаниям по Т.У., разработанным на заводе 183, согласованным с ПЗ и утвержденным АБТУ. </w:t>
      </w:r>
    </w:p>
    <w:p w14:paraId="4FF79C2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Спецдетали.</w:t>
      </w:r>
    </w:p>
    <w:p w14:paraId="692F3B0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1. На спецдеталях, установленных на спецконструкциях, не допускаются плены, закаты, расслои, раковины и др. наружные дефекты в точном соответствии с техусловиями, оговоренными в п. 2-м раздела 1-го. </w:t>
      </w:r>
    </w:p>
    <w:p w14:paraId="53F906E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Допуск трещин на спецдеталях, на собранных и сваренных спецконструкциях, не являющихся следствием дефекта металла, подлежит рассмотрению представителем заказчика на заводе имени "Коминтерна". </w:t>
      </w:r>
    </w:p>
    <w:p w14:paraId="138A0FE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Все спецдетали, установленные на готовых спецконструкциях, должны иметь в соответствующем согласно чертежа месте клейма приемщика завода имени "Коминтерна" и представителя заказчика. Отсутствие какого-либо из этих клейм является категорическим основанием для забракования детали. </w:t>
      </w:r>
    </w:p>
    <w:p w14:paraId="3290D7C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Узлы сварных спецконструкций подлежат отпуску в специальных печах. Срок введения отпуска и его технология устанавливается особым соглашением с АБТУ. </w:t>
      </w:r>
    </w:p>
    <w:p w14:paraId="79B3A6D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Список спецдеталей, подлежащих индивидуальным полигонным испытаниям с указанием №№ деталей, твердости и особые указания о принимаемых по твердости (без полигонных испытаний), а также не закаливаемых деталях, составляется заводом имени "Коминтерна" и согласуется с заводом имени "Ильича", с военпредом этих заводов и утверждается АБТУ. Указанный список прикладывается к техническим условиям на поставку брони. </w:t>
      </w:r>
    </w:p>
    <w:p w14:paraId="7C1572D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Корпус в сборе.</w:t>
      </w:r>
    </w:p>
    <w:p w14:paraId="5DE41E1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Корпус в сборе должен отвечать всем размерам, указанным в чертежах, что проверяется контрольным отделом. </w:t>
      </w:r>
    </w:p>
    <w:p w14:paraId="13632CC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Допуски на габаритные и монтажные размеры разрабатываются Конструкторским Бюро совместно с "700", утверждаются директором завода, согласовываются с представителем заказчика и прилагаются к данным техническим условиям, если не имеются на чертежах. </w:t>
      </w:r>
    </w:p>
    <w:p w14:paraId="5EBA832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Завод-изготовитель разрабатывает технологию приемки корпусов и согласовывает ее с военпредом АБТУ. </w:t>
      </w:r>
    </w:p>
    <w:p w14:paraId="3446180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Техконтроль завода и представитель заказчика принимают корпус: </w:t>
      </w:r>
    </w:p>
    <w:p w14:paraId="0013B7F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наружным осмотром для выявления всех дефектов спецдеталей и сборки; </w:t>
      </w:r>
    </w:p>
    <w:p w14:paraId="0F85D4F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на предмет выявления трещин; </w:t>
      </w:r>
    </w:p>
    <w:p w14:paraId="1C47540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на соответствие конструкции сварных швов и заклепочных соединений и их выполнения по установленному технологическому процессу. </w:t>
      </w:r>
    </w:p>
    <w:p w14:paraId="776F91A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Зазоры в несвариваемых стыках.</w:t>
      </w:r>
    </w:p>
    <w:p w14:paraId="0E33F77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 стыке крышки люка водителя, деталь 34.29.759 и основания смотрового прибора водителя, дет. 34.29.873, с носовым листом, деталь 34.29.876-1 и дет. 34.29.877-1, допускаются сквозные зазоры н более 0,5 мм общей длиной не более 500 мм. Несквозные зазоры допускаются не более 1 мм на глубину до 20 мм и длиной не более 100 мм в количестве не более одного на каждой кромке. </w:t>
      </w:r>
    </w:p>
    <w:p w14:paraId="7AA90F1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Зазоры по контуру лючков шахт, дет. 34.29.024, 34.29.025, 34.29.062 и 34.29.064 – допускаются не более 1 мм. </w:t>
      </w:r>
    </w:p>
    <w:p w14:paraId="42B5633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Зазоры по всему наружному контуру листов крыши, дет. 34.29.014, 34.29.015, 34.29.035, 34.29.049, 34.29.850 и 34.29.851 – допускается не более 1,5 мм. </w:t>
      </w:r>
    </w:p>
    <w:p w14:paraId="43ABF7B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Зазоры в стыках между отдельными съемными листами крыши допускаются не более 1 мм. Местные зазоры допускаются не более 1,5 мм длиной не более 150 мм. </w:t>
      </w:r>
    </w:p>
    <w:p w14:paraId="374C07C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Зазоры в местах прилегания колпаков над радиаторами, дет. 34.29.052 и 34.29.053, к поверхности листов крыши допускаются не более 1,5 мм. </w:t>
      </w:r>
    </w:p>
    <w:p w14:paraId="7AD3D36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Зазоры по всему контуру крышек продольных жалюзи, дет. 34.29.655, допускается от 0,5 мм до 2 мм. </w:t>
      </w:r>
    </w:p>
    <w:p w14:paraId="2B63174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В стыке крышки люка кормы, дет. 34.29.017, со съемным листом кормы, дет. 34.29.008, по всему контуру допускаются несквозные зазоры на более 1 мм на глубину не более 30 мм. Сквозные зазоры не более 0,5 мм и длиной до 100 мм допускаются в количестве не более одного на каждой их 4-х кромок. </w:t>
      </w:r>
    </w:p>
    <w:p w14:paraId="137FC87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Зазоры по всему контуру дет. 34.29.008 допускаются не более 1 мм. Местные зазоры в стыке с бортовыми листами попускаются до 2 мм на длине 100 мм. В местах закруглений зазор допускается до 3 мм. </w:t>
      </w:r>
    </w:p>
    <w:p w14:paraId="283B663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Зазоры между кромками задних листов днищ подкрылков, дет. 34.29.067 и 34.29.071, и плоскостью дет. 34.29.008 допускаются не более 2 мм. </w:t>
      </w:r>
    </w:p>
    <w:p w14:paraId="09CDEB2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Зазоры в свариваемых стыках.</w:t>
      </w:r>
    </w:p>
    <w:p w14:paraId="3BC4265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Местные вертикальные зазоры в стыках носового листа дет. 34.29.876-1 с бортовыми листами, дет. 34.29.005 и 34.29.006, допускаются не более 2 мм. Местные горизонтальные зазоры в стыках этих же дет. допускаются: </w:t>
      </w:r>
    </w:p>
    <w:p w14:paraId="6EFECCC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на плоских частях дет. 34.29.876-1 не более 3 мм. </w:t>
      </w:r>
    </w:p>
    <w:p w14:paraId="40023EC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в местах перехода плоских частей в цилиндрическую не более 5 мм на длине 100 мм от передних кромок бортовых листов. </w:t>
      </w:r>
    </w:p>
    <w:p w14:paraId="312F9F3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Местные зазоры (горизонтальные и вертикальные) в стыке носового листа с передним листом крыши, дет. 34.29.011-1, допускаются не более 2 мм общей длиной не более 300 мм. </w:t>
      </w:r>
    </w:p>
    <w:p w14:paraId="0AFC57B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Местные зазоры в стыке носового листа с листами подкрылков, дет. 34.29.012 и 34.29.013, допускаются не более 0,7 мм длиной 150 мм на каждом стыке. </w:t>
      </w:r>
    </w:p>
    <w:p w14:paraId="0DBE446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Местные горизонтальные зазоры в стыке носового листа с передним листом днища, дет. 34.29.009-1, допускаются не более 1 мм общей длиной не более 200 мм. Местные вертикальные зазоры в стыке тех же деталей допускаются не более 2 мм общей длиной не более 300 мм. </w:t>
      </w:r>
    </w:p>
    <w:p w14:paraId="5751ED7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Местные горизонтальные зазоры в стыке бортовых листов с листами днищ, 34.29.009-1 и 34.29.010-1, допускаются не более 1 мм, общей длиной не более 300 мм в каждом стыке. Местные вертикальные зазоры в стыках тех же деталей допускаются не более 2 мм, общей длиной не более 500 мм на каждом стыке. </w:t>
      </w:r>
    </w:p>
    <w:p w14:paraId="7D10D3B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Горизонтальные зазоры в местах сопряжения бортовых листов с днищами подкрылков допускаются не более 2 мм. </w:t>
      </w:r>
    </w:p>
    <w:p w14:paraId="0996DE4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Местные зазоры в стыке носового листа с передними листами днищ подкрылков, дет. 34.29.065 и 34.29.069, допускаются не более 2 мм на длине не более 150 мм на каждом стыке. </w:t>
      </w:r>
    </w:p>
    <w:p w14:paraId="7BD96E9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Местные зазоры в стыках днищ подкрылков с дет. 34.29.012 и 34.29.013 (боковые листы) допускаются не более 1,5 мм общей длиной не более 500 мм на каждом стыке. </w:t>
      </w:r>
    </w:p>
    <w:p w14:paraId="5F7507F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Местные зазоры (горизонтальные и вертикальные) в стыках переднего листа крыши с деталями 34.29.012 и 34.29.013 допускаются не более 2 мм общей длиной не более 200 мм на каждом стыке. </w:t>
      </w:r>
    </w:p>
    <w:p w14:paraId="27BFC96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Зазоры в стыке защиты картеров, деталь 34.29.021 и 34.29.022, с нижним листом кормы, дет. 34.29.007, допускаются не более 1 мм. Местные зазоры длиной 150 мм допускаются не более 3 мм на каждом стыке. </w:t>
      </w:r>
    </w:p>
    <w:p w14:paraId="039D53A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Зазоры по внешнему контуру дет. 34.29.019 допускаются не более 1,5 мм. Местные зазоры общей длиной до 200 мм допускаются не более 2,5 мм. </w:t>
      </w:r>
    </w:p>
    <w:p w14:paraId="459DDC3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Зазоры в замке носовых листов, деталь 34.29.876-1 и 34.29.877-1 – допускаются: </w:t>
      </w:r>
    </w:p>
    <w:p w14:paraId="54171C6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между опорными кромками – не более 1 мм общей длиной не более 200 мм. </w:t>
      </w:r>
    </w:p>
    <w:p w14:paraId="15AA5CA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между боковыми кромками – не более 1,5 мм. </w:t>
      </w:r>
    </w:p>
    <w:p w14:paraId="43B0A74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Для разрезного носа (сб. черт. 34.29.126сб) сохраняются все пункты Т.У., относящиеся к цельному носу со следующим добавлением: </w:t>
      </w:r>
    </w:p>
    <w:p w14:paraId="6B0EA60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Местные зазоры в стыках сопрягаемых листов носа с балкой, дет. 34.29.906, допускаются не более 1,5 мм общей длиной не более 300 мм на каждом стыке. </w:t>
      </w:r>
    </w:p>
    <w:p w14:paraId="2C05880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Уступы в стыках спецдеталей.</w:t>
      </w:r>
    </w:p>
    <w:p w14:paraId="6B407B0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Уступы в стыках носового листа с дет. 34.29.012 и 34.29.013 – допускаются не более 0,5 мм. </w:t>
      </w:r>
    </w:p>
    <w:p w14:paraId="23BD0A3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Выступание крышки люка водителя над плоскостью носового листа допускается не более 2 мм. Западание допускается не более 0,5 мм. Выступающие кромки заовалить. </w:t>
      </w:r>
    </w:p>
    <w:p w14:paraId="263CF8C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Выступание переднего листа днища относительно носового и бортовых листов допускается не более 2 мм. Западание допускается не более 1 мм. </w:t>
      </w:r>
    </w:p>
    <w:p w14:paraId="0C21CC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Западание заднего листа днища относительно бортовых листов допускается от 1 до 3 мм. </w:t>
      </w:r>
    </w:p>
    <w:p w14:paraId="079FF66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Номинальный уступ 3 мм в стыке переднего и заднего листов днища может колебаться в пределах ± 1 мм. </w:t>
      </w:r>
    </w:p>
    <w:p w14:paraId="1EBCE26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Выступание или западание заднего листа днища относительно нижнего листа кормы, дет. 34.29.007, допускается не более 3 мм. </w:t>
      </w:r>
    </w:p>
    <w:p w14:paraId="4F455A9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Выступание или западание переднего листа крыши по всему его контуру относительно сопряженных деталей допускается не более 1,5 мм. </w:t>
      </w:r>
    </w:p>
    <w:p w14:paraId="32B1F56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Уступы в стыках съемных листов крыши по всему контуру допускаются не более 1 мм. </w:t>
      </w:r>
    </w:p>
    <w:p w14:paraId="70213FD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Уступы в стыках створок задних жалюзи, дет. 34.29.037, по всему контуру допускается не более 1,5 мм. Местные выступы длиной не более 200 мм с учетом кривизны деталей допускаются не более 2 мм. </w:t>
      </w:r>
    </w:p>
    <w:p w14:paraId="469C2FB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Уступы в стыках бортовых листов с дет. 34.29.007 допускаются не более 3 мм. </w:t>
      </w:r>
    </w:p>
    <w:p w14:paraId="70DF7A4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Западание съемного листа кормы, дет. 34.29.008, относительно сопряженных деталей допускается не более 1,5 мм. Выступание допускается не более 2 мм. Местное выступание в стыке с бортовыми листами на длине 200 мм с каждой стороны допускается не более 3 мм. Выступание или западание в стыке с дет. 34.29.007 допускается не более 4 мм. Выступающие кромки должны быть заовалены. </w:t>
      </w:r>
    </w:p>
    <w:p w14:paraId="4863378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Выступание кромок дет. 34.29.008 относительно поверхности днищ подкрылков допускается не более 2 мм. Западание допускается не более 1 мм. </w:t>
      </w:r>
    </w:p>
    <w:p w14:paraId="2157384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Выступание крышки люка кормы, дет. 34.29.017, над поверхностью листа допускается не более 1,5 мм. Западание допускается не более 1 мм. Выступающие кромки должны быть заовалены. </w:t>
      </w:r>
    </w:p>
    <w:p w14:paraId="2A17A32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Выступание кромок дет. 34.29.012 и 34.29.013 относительно поверхности днищ подкрылков допускается не более 2 мм. Западание допускается не более 1 мм. </w:t>
      </w:r>
    </w:p>
    <w:p w14:paraId="67DB36C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 Гидравлическое испытание.</w:t>
      </w:r>
    </w:p>
    <w:p w14:paraId="5FD17D2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При гидравлическом испытании корпус погружается в ванну, наполняемую водой, и устанавливается в горизонтальном положении. </w:t>
      </w:r>
    </w:p>
    <w:p w14:paraId="02BB53F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Вода наливается в ванну так, чтобы ватерлиния была в плоскости днищ подкрылков. </w:t>
      </w:r>
    </w:p>
    <w:p w14:paraId="67908B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При сдаче корпуса на водонепроницаемость, внутренность корпуса очищается от мусора и производственных отходов. </w:t>
      </w:r>
    </w:p>
    <w:p w14:paraId="2F35985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4. Свободные отверстия в корпусе, расположенные ниже ватерлинии забиваются деревянными колышками или резиновыми пробками, а большие отверстия в картерах, в носу зажимаются люками с резиновой прокладкой. </w:t>
      </w:r>
    </w:p>
    <w:p w14:paraId="362283B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Все заклепки в корпусе должны быть зачеканены, причем после чеканки профиль головки заклепок не должен быть менее указанного в допусках на заклепки. </w:t>
      </w:r>
    </w:p>
    <w:p w14:paraId="6525021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Не допускается устранение течи путем применения жидкого стекла, воска, набивки пакли и т.д. </w:t>
      </w:r>
    </w:p>
    <w:p w14:paraId="57CD0B2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При гидравлическом испытании люки днища должны быть установлены окончательно, а не временно, причем должны быть проложены резиновые прокладки согласно чертежа. </w:t>
      </w:r>
    </w:p>
    <w:p w14:paraId="7032EF1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Корпус, погруженный в воду, проверяется на водонепроницаемость легким обстукиванием ручным молотком всех сопряжений деталей расположенных ниже ватерлинии. </w:t>
      </w:r>
    </w:p>
    <w:p w14:paraId="6D0AA66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Подчеканка сварных швов на стальных и спецдеталях допускается на 1/10 общей длины шва, участками до 100 мм. В случае если течь распространяется на большей длине, шов вырубается и заваривается снова. </w:t>
      </w:r>
    </w:p>
    <w:p w14:paraId="4C9EE3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При сорванных (не более 3-х) несмежных заклепках при чеканке, гидравлическое испытание продолжается, заклепка срубается и в отверстие забивается деревянный колышек. После этого корпуса на гидравлическое испытание не ставятся, а заклепанные отверстия осматриваются и проверяются "709" или представителем заказчика. </w:t>
      </w:r>
    </w:p>
    <w:p w14:paraId="06860D5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Корпус должен быть предъявлен представителю заказчика для гидравлического испытания в вполне законченном виде. Однако, отсутствие съемных спецдеталей не может служить причиной непринятия корпуса на водонепроницаемость. </w:t>
      </w:r>
    </w:p>
    <w:p w14:paraId="5FBA2A7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Корпус предъявляется для гидравлического испытания в незагрунтованном виде. </w:t>
      </w:r>
    </w:p>
    <w:p w14:paraId="03FC77C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Допускается потение и появление отдельных капель (не переходящих в струйку) в сварных швах, заклепках и уплотнениях люков. </w:t>
      </w:r>
    </w:p>
    <w:p w14:paraId="078C68B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Корпус на все время гидравлического испытания должен быть погружен в воду по ватерлинии (см. § 2). Выдержка осмотра при гидравлическом испытании не более 0,5 часа. </w:t>
      </w:r>
    </w:p>
    <w:p w14:paraId="3098D56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VIII. Прогибы на собранном корпусе.</w:t>
      </w:r>
    </w:p>
    <w:p w14:paraId="72404D8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Прогиб спецдеталей, поставленных на корпус, допускается в пределах допусков на прогиб спецдеталей, плюс 0,5 мм на один погонный метр. </w:t>
      </w:r>
    </w:p>
    <w:p w14:paraId="27EAFDD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Прогиб листов днища допускается не более 4 мм. Хлопушки не допускаются. </w:t>
      </w:r>
    </w:p>
    <w:p w14:paraId="7D19448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Кривизна переднего листа крыши у выреза Ø 1481 проверяется контрольным погоном, при этом зазор между плоскостью крыши и контрольным погоном допускается не более 3 мм. В остальных местах кривизна допускается не более 4 мм. </w:t>
      </w:r>
    </w:p>
    <w:p w14:paraId="4D66A89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IX. Наварка кромок.</w:t>
      </w:r>
    </w:p>
    <w:p w14:paraId="765E6F8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Наварка кромок спецдеталей для исправления допускается в исключительных случаях по согласованию с представителем заказчика. </w:t>
      </w:r>
    </w:p>
    <w:p w14:paraId="1FE8D97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 Замена материала.</w:t>
      </w:r>
    </w:p>
    <w:p w14:paraId="42EAB0C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Допускается замена одного размера углового или листового железа другим при условии сохранения прочности, причем заключение о допустимости замены дает Бюро "520", а окончательное разрешение дает представитель заказчика, на основании чего и производит приемку изделий "709". </w:t>
      </w:r>
    </w:p>
    <w:p w14:paraId="408C64E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 Сварка.</w:t>
      </w:r>
    </w:p>
    <w:p w14:paraId="6508155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часть.</w:t>
      </w:r>
    </w:p>
    <w:p w14:paraId="0227642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Конструкция швов, порядок наложения валиков, их длина и число, диаметр электродов, сила тока – устанавливаются по инструкциям и техпроцессу для выполнения сварных швов, которые должны соблюдаться в производстве спецконструкций и представляют дополнение к данным техническим условиям. </w:t>
      </w:r>
    </w:p>
    <w:p w14:paraId="3C39F2D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Все места, где накладываются швы, должны быть очищены от грязи, ржавчины и окалины до чистого металла. </w:t>
      </w:r>
    </w:p>
    <w:p w14:paraId="16256D8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Габариты шва должны отвечать чертежным размерам и проверяться по шаблонам с допусками соответственно общезаводским стандартам, ст. завода имени "Коминтерна" №№ 2020, 2021 и 2022. </w:t>
      </w:r>
    </w:p>
    <w:p w14:paraId="34E6F17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Чешуйчатость шва должна быть равномерной, с впадинами в пределах допусков на сечение шва. </w:t>
      </w:r>
    </w:p>
    <w:p w14:paraId="1AC92E0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Для определения качества сварки представитель заказчика может потребовать вскрытия швов путем засверливания, а также вырубки сварного шва для исследований его качества. </w:t>
      </w:r>
    </w:p>
    <w:p w14:paraId="32F7A24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Механические качества сварных швов определяются на образцах, изготовленных в одинаковых условиях со сварными швами узлов. Испытания по ОСТ 7687. </w:t>
      </w:r>
    </w:p>
    <w:p w14:paraId="611A430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Подчеканка сварных швов разрешается (согласно пункту 9 раздела VII настоящих Т.У.). Исправление браковочных швов подчеканкой или подваркой без вырубки не разрешается. </w:t>
      </w:r>
    </w:p>
    <w:p w14:paraId="478B5D2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Сварка корпуса может исполняться нижними, горизонтальными, вертикальными и кольцевыми швами. </w:t>
      </w:r>
    </w:p>
    <w:p w14:paraId="4882998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Допускается исправление сваркой мелких дефектов на деталях, изготовленных не из спецстали. </w:t>
      </w:r>
    </w:p>
    <w:p w14:paraId="5548DED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Сварка спецдеталей должна производиться электродами "МД" и аустенитовыми электродами. Электродами "МД" свариваются все наружные швы, а аустенитовыми – все внутренние швы. Приварка деталей к бортовым листам (вертикальным и наклонным), к съемному листу кормы, к носовому листу и к остальным деталям носа должны производиться аустенитовыми электродами. Приварка в остальных местах допускается электродами ОСТ 20032 </w:t>
      </w:r>
    </w:p>
    <w:p w14:paraId="679A59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Проверка квалификации сварщиков.</w:t>
      </w:r>
    </w:p>
    <w:p w14:paraId="27623A0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Проверка квалификации сварщиков производится согласно существующих положений, согласованных с заказчиком. </w:t>
      </w:r>
    </w:p>
    <w:p w14:paraId="7E589C5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Деталь может быть вырублена и заменена новой только один раз. Вырубка участков шва и его исправление допускается не более 2-х раз. В случае вынужденного отклонения от вышеуказанного – вопрос подлежит предварительному согласованию с представителем заказчика. </w:t>
      </w:r>
    </w:p>
    <w:p w14:paraId="2873B81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При сдаче представителю заказчика корпуса к паспорту должны быть приложены: </w:t>
      </w:r>
    </w:p>
    <w:p w14:paraId="7A69FA3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Операционная карточка с отметкой фамилии или № клейма приемщика; </w:t>
      </w:r>
    </w:p>
    <w:p w14:paraId="4EB1AC4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Фамилии сварщиков, выполнявших сварку, с указанием, на каком узле произведена работа. </w:t>
      </w:r>
    </w:p>
    <w:p w14:paraId="112A3F8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Не допускается выводов кратеров на спецдетали и оставление открытых кратеров. </w:t>
      </w:r>
    </w:p>
    <w:p w14:paraId="1CD34EC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Не разрешается иметь поджоги основного металла и иметь резкие переходы от шва к основному металлу. </w:t>
      </w:r>
    </w:p>
    <w:p w14:paraId="7181AEA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XII. Клепка.</w:t>
      </w:r>
    </w:p>
    <w:p w14:paraId="1716741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Смещение оси головки по отношению к оси стержня допускается в пределах 0,2 диаметра заклепки. </w:t>
      </w:r>
    </w:p>
    <w:p w14:paraId="5370895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Профиль головки должен соответствовать ОСТу. Отклонение: по диаметру +2,0 мм, –1 мм, по высоте +2,0 мм, –1 мм. </w:t>
      </w:r>
    </w:p>
    <w:p w14:paraId="1F52D4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Материал заклепок должен соответствовать требованиям ОСТа в смысле условия на вязкость и других механических качеств. Материал специальных заклепок должен соответствовать заводским таблицам (СК-0.56.91, СК-0.56.92 и СК-0.56.93) на спецзаклепки. </w:t>
      </w:r>
    </w:p>
    <w:p w14:paraId="47AA896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Отклонение центров заклепок от продольной оси заклепочного шва в пределах смещения дыр и допускаемого смещения головок заклепок. </w:t>
      </w:r>
    </w:p>
    <w:p w14:paraId="7465C0B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Заклепки должны быть посажены плотно, под головкой не должно быть зазоров. </w:t>
      </w:r>
    </w:p>
    <w:p w14:paraId="7E9EB17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Потайные заклепки могут иметь возвышение до 2-х мм. </w:t>
      </w:r>
    </w:p>
    <w:p w14:paraId="290C5BE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Головки заклепок (за исключением потайных) с внутренней стороны корпуса должны обвариваться. </w:t>
      </w:r>
    </w:p>
    <w:p w14:paraId="5A2FB0F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XIII. Нормали:</w:t>
      </w:r>
    </w:p>
    <w:p w14:paraId="72A50F6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Материал специальных болтов должен соответствовать заводским таблицам (СК-0.42.71 и СК-0.42.72) стандартов на спецболты. </w:t>
      </w:r>
    </w:p>
    <w:p w14:paraId="414DDA0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Не допускается постановка болтов, крепящих спецдетали, с сорванными и смятыми нитками. </w:t>
      </w:r>
    </w:p>
    <w:p w14:paraId="62B2547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Болты, крепящие съемные листы крыши и кормы должны быть плотно затянуты и не иметь шатания в нарезке. Качество постановки болтов проверяется ключом. </w:t>
      </w:r>
    </w:p>
    <w:p w14:paraId="6E5F918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БОНКИ.</w:t>
      </w:r>
    </w:p>
    <w:p w14:paraId="635FC82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Во всех бонках, где сверловка и нарезка отверстий подмечается по отверстиям в сопрягаемых деталях (бонки на угольниках, стыковых планках и т.д.) допускается смещение резьбовых отверстий от осей симметрии бонок в любую сторону, с тем, чтобы простенок от внутреннего диаметра резьбы этих отверстий до кромок был не менее 5-ти мм. В случае получения меньшего простенка допускается подварка электродом. После подварки толщина стенки должна быть не менее 8 мм. </w:t>
      </w:r>
    </w:p>
    <w:p w14:paraId="6C8D883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ЛЮКИ.</w:t>
      </w:r>
    </w:p>
    <w:p w14:paraId="0CAF3A8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Крышки всех люков должны свободно открываться и закрываться. </w:t>
      </w:r>
    </w:p>
    <w:p w14:paraId="396484B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XIV. Грунтовка.</w:t>
      </w:r>
    </w:p>
    <w:p w14:paraId="604515A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Грунтовка корпуса производится после окончательной приемки представителем заказчика, согласно существующих технических условий на грунтовку. </w:t>
      </w:r>
    </w:p>
    <w:p w14:paraId="555BD2E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Грунтовка производится снаружи защитной масляной краской ЗБАУ, изнутри цинковыми белилами в боевом помещении и масляным суриком в моторном и трансмиссионном отделениях, причем перед грунтовкой корпус тщательно очищается от всякой грязи и ржавчины и обмывается растворителем № 1. Днище в боевом отделении окрашивается черным автолаком. </w:t>
      </w:r>
    </w:p>
    <w:p w14:paraId="3EB7973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XV. Окончательная приемка корпуса.</w:t>
      </w:r>
    </w:p>
    <w:p w14:paraId="243170B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Приемка корпуса оформляется приемо-сдаточными актами и постановкой клейм. Клейма операционной приемки по корпусу набиваются на зачищенном шве сварки крыши с носовым листом слева, окончательные клейма "709" и приемочные клейма набиваются там же, но справа. Шифрованный номер машины набивается на указанном шве, а также на передней правой шахте. </w:t>
      </w:r>
    </w:p>
    <w:p w14:paraId="17BD5AB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К приемочному акту прилагается паспорт в виде эскизов на спецдетали с указанием марок спецдеталей, номеров плавок, всех отклонений от технических условий и характеристики, как то: надколов, поверхностных и сквозных трещин, и проч., имеющихся на спецдеталях в собранном корпусе с указанием их размеров. </w:t>
      </w:r>
    </w:p>
    <w:p w14:paraId="564D261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Паспорта составляются в 2-х экземплярах, первый остается на заводе имени "Коминтерна", второй идет с формуляром машины. </w:t>
      </w:r>
    </w:p>
    <w:p w14:paraId="68BA5E5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XVI. Полигонные испытания корпуса.</w:t>
      </w:r>
    </w:p>
    <w:p w14:paraId="50C2660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Полигонные испытания машины производятся в соответствии с основным договором, по техническим условиям, приложенным к этому договору. </w:t>
      </w:r>
    </w:p>
    <w:p w14:paraId="4CD20C3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XVII. Допуски на габаритные и монтажные размеры корпуса "А-34".</w:t>
      </w:r>
    </w:p>
    <w:p w14:paraId="312C623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Обмер корпуса: </w:t>
      </w:r>
    </w:p>
    <w:p w14:paraId="0EC1B57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Обмер корпуса производится периодически (по требованию "709" и ПЗ) на плите в горизонтальном положении с установкой на 4-х домкратах: 2 под задним мостом и 2 под кронштейнами ленивцев. В этом положении производятся все замеры между центрами в корпусе. Исходная точка замеров – ось горловин картеров бортовой передачи. </w:t>
      </w:r>
    </w:p>
    <w:p w14:paraId="385AB6D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Допускаются следующие отклонения от номинальных размеров корпуса: </w:t>
      </w:r>
    </w:p>
    <w:p w14:paraId="0B2573E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Расстояние от оси горловины картеров бортовой передачи до оси кронштейна ленивца в горизонтальной плоскости должно быть в пределах 5060 ± 4 мм, в вертикальной плоскости должно быть 140 ± 2,5 мм. </w:t>
      </w:r>
    </w:p>
    <w:p w14:paraId="36DC534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Расстояние от оси горловины картеров бортовой передачи до осей труб балансиров в горизонтальной плоскости могут колебаться в пределах ± 3 мм, в вертикальной плоскости должны быть : </w:t>
      </w:r>
    </w:p>
    <w:p w14:paraId="3D7406B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до оси передней трубы балансиров 350 ± 2,5 мм. </w:t>
      </w:r>
    </w:p>
    <w:p w14:paraId="2732633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до осей остальных труб балансиров 370 ± 2,5 мм. </w:t>
      </w:r>
    </w:p>
    <w:p w14:paraId="5315DCF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Разность замеров (п.п. 1 и 2) правой и левой сторон не должна превышать 4 мм. </w:t>
      </w:r>
    </w:p>
    <w:p w14:paraId="08CA1C3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Расстояние от оси горловины картеров бортовой передачи до обращенной к корме плоскости листа задней стойки, сб. чертеж 34.29.87сб., должно быть 1016 ± 2 мм. </w:t>
      </w:r>
    </w:p>
    <w:p w14:paraId="4CA822F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Расстояние от оси горловины картеров бортовой передачи до обращенной к корме плоскости листа задней перегородки, 34.29.99сб., должно быть 493 ± 2 мм. </w:t>
      </w:r>
    </w:p>
    <w:p w14:paraId="6952738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Расстояние от оси горловины картеров бортовой передачи до плоскости листов вентиляторной перегородки, 34.29.12сб., обращенной к корме должно быть 359 ± 2 мм. </w:t>
      </w:r>
    </w:p>
    <w:p w14:paraId="1B26464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Расстояние между бортовыми листами должно быть 1756 ± 2 мм, проверяется штихмасом. Допускаются местные отклонения от указанного размера за счет прогибов листов, оговоренных в пункте 1 VIII-го раздела настоящих Т.У. </w:t>
      </w:r>
    </w:p>
    <w:p w14:paraId="2661E10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Непараллельность бортовых листов допускается не более 3 мм на всей длине. Непараллельность отдельных участков с учетом прогибов листов допускается не более 5 мм. </w:t>
      </w:r>
    </w:p>
    <w:p w14:paraId="140303A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Расстояние от внутренней плоскости днища до внутренней плоскости днищ подкрылков должно быть в пределах 711 ± 2 мм. </w:t>
      </w:r>
    </w:p>
    <w:p w14:paraId="52B0721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Расстояние от верхней плоскости днища до нижней плоскости крыши при проверке у бортовых листов должно быть в пределах 1118 +3 –2 мм в боевом отделении и 1122 ± 3 мм в остальных местах. Расстояние от днища до крыши внутри корпуса с учетом прогиба днища и крыши может быть в пределах 1118 +6 –4 мм. </w:t>
      </w:r>
    </w:p>
    <w:p w14:paraId="5615B45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Несовпадение осей отверстий в верхнем листе кормы с резьбовыми отверстиями в угольниках должно быть в пределах, допускающих свободное заворачивание болтов без порчи нарезки последних и резьбы в отверстиях угольников. </w:t>
      </w:r>
    </w:p>
    <w:p w14:paraId="19B3911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Смещение горизонтальной оси отверстия для вентилятора в вентиляторной перегородке по отношению к оси симметрии картеров бортовой передачи, замеренное спец.приспособлением, допускается до 2-х мм. </w:t>
      </w:r>
    </w:p>
    <w:p w14:paraId="18D12CD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Допускается эллиптичность посадочных мест под большие втулки в кронштейнах балансирных труб не более 0,4 мм на дуге длиной не более 50 мм, на глубине не более 50 мм от торца после разворачивания под размер по чертежу. При этом допускается, чтобы непроходная сторона пробки входила только на 20 – 30 мм. </w:t>
      </w:r>
    </w:p>
    <w:p w14:paraId="2BB3058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0DE7234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ИЗГОТОВЛЕНИЕ И ПРИЕМКУ КОНИЧЕСКОГО КОЛПАКА МАШИНЫ "А-34".</w:t>
      </w:r>
    </w:p>
    <w:p w14:paraId="7741D0A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Колпак должен быть изготовлен согласно чертежным размерам по черт. 34.30.сб-1. </w:t>
      </w:r>
    </w:p>
    <w:p w14:paraId="32EDAF4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Листы и другие детали, изготовляемые из спецстали, должны удовлетворять общим техническим условиям на сборку спецкорпусов. </w:t>
      </w:r>
    </w:p>
    <w:p w14:paraId="6369AA6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Сварка листов должна удовлетворять общим техническим условиям на сварку спецкорпусов. </w:t>
      </w:r>
    </w:p>
    <w:p w14:paraId="67BC18E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Не допускается на спец.деталях трещины, выколы, и вмятины. </w:t>
      </w:r>
    </w:p>
    <w:p w14:paraId="3615033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Габаритные размеры колпака должны быть выдержаны по чертежу со следующими допусками: </w:t>
      </w:r>
    </w:p>
    <w:p w14:paraId="5F28CA3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по высоте 663 +5 –2 </w:t>
      </w:r>
    </w:p>
    <w:p w14:paraId="3AE18DA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верхний наружный диаметр Ø 1091,2 +5 –3 </w:t>
      </w:r>
    </w:p>
    <w:p w14:paraId="7A03D69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нижний наружный диаметр Ø 1774 +5 –3 </w:t>
      </w:r>
    </w:p>
    <w:p w14:paraId="004C756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эллиптичность нижнего основания обечайки в пределах допуска на диаметра. </w:t>
      </w:r>
    </w:p>
    <w:p w14:paraId="10402DA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расстояние от оси корпуса колпака до наружной поверхности лобового листа 942 +5 –2 </w:t>
      </w:r>
    </w:p>
    <w:p w14:paraId="092465F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 расстояние от оси корпуса колпака до наружной плоскости дверцы ниши 1218 +5 –2 </w:t>
      </w:r>
    </w:p>
    <w:p w14:paraId="5467A39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ж) расстояние от нижней кромки обечайки до днища ниши 140 +4 </w:t>
      </w:r>
    </w:p>
    <w:p w14:paraId="26FB265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Местные зазоры (до заварки) между кромками листов крыши и вертикальными стенками замков боковых листов колпака допускаются до 1,5 мм. </w:t>
      </w:r>
    </w:p>
    <w:p w14:paraId="0BF983F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Местные зазоры (до заварки) между кромками листов ниши и вертикальными стенками замков боковых листов и задней обечайки колпака допускаются до 1,5 мм. </w:t>
      </w:r>
    </w:p>
    <w:p w14:paraId="7E473C7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Местный зазор между кромкой заднего листа крыши и фаской дверцы ниши допускается не более 0,5 мм, при сборке допускается подшлифовка фаски на дверце ниши. </w:t>
      </w:r>
    </w:p>
    <w:p w14:paraId="0DE8915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Зазор между кромками дверцы ниши и кромками боковых листов колпака допускается не более 0,5 мм. </w:t>
      </w:r>
    </w:p>
    <w:p w14:paraId="2E1D12F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Зазор между кромкой днища ниши и вертикальной стенкой замка дверцы ниши допускается до 1,5 мм. </w:t>
      </w:r>
    </w:p>
    <w:p w14:paraId="2C6D95C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Выступание или западание кромок дверцы ниши допускается не более 0,5 мм. </w:t>
      </w:r>
    </w:p>
    <w:p w14:paraId="0318ADE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Крышка люка должна плавно, без рывков закрываться и открываться и плотно прилегать по всей поверхности в запертом положении. Местные зазоры между кромками крышки люка и плоскостью крыши допускаются не более 1,5 мм. Шарнирные соединения люка должны быть смазаны. </w:t>
      </w:r>
    </w:p>
    <w:p w14:paraId="64D4DF0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Допускается подпиловка лыски запора замка, наварка площадки для запора, а также подшлифовка кромок крышки люка. </w:t>
      </w:r>
    </w:p>
    <w:p w14:paraId="557D9E8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Зазоры между резиной уплотнения и внутренней плоскостью крышки люка не допускаются. </w:t>
      </w:r>
    </w:p>
    <w:p w14:paraId="4F38C49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Местные зазоры в стыках соединяемых листов не должны превышать 2 мм. </w:t>
      </w:r>
    </w:p>
    <w:p w14:paraId="4FD9C8B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16. Местные зазоры (до заварки) между внутренней поверхностью лобового листа и передними кромками боковых листов колпака допускаются до 2 мм. </w:t>
      </w:r>
    </w:p>
    <w:p w14:paraId="70F6E13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 Правая и левая стенки в носовой части башни, дет. 34.30.042 и 34.30.043, должны привариваться аустенитовым электродом сплошными усиленными швами. Поверхности сварки должны быть тщательно зачищены. Приварку производить по приспособлению, обеспечивающему параллельность стенок и совпадение отверстий для цапф. </w:t>
      </w:r>
    </w:p>
    <w:p w14:paraId="4A2BAE3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Приварку кронштейна носа, 34.30.19сб., производить по шаблону, обеспечивающему положение кронштейна по радиусу, продолженному внутренней поверхностью лобового листа. </w:t>
      </w:r>
    </w:p>
    <w:p w14:paraId="08C636C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19. Отклонение от образующей конуса колпака, при проверке по линейке готового колпака, допускается до 3 мм. </w:t>
      </w:r>
    </w:p>
    <w:p w14:paraId="3730A49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 Западание и выступание всех стыковых кромок допускается до 2 мм, кроме поверхности крыши в районе люка, где выступание кромок должно быть согласовано с требованием о зазорах между кромкой крышки люка (см. пункт 12). </w:t>
      </w:r>
    </w:p>
    <w:p w14:paraId="60264FE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 Крыша колпака проверяется на прогиб путем наложения линейки, при этом максимальный прогиб посередине допускается до 3 мм. </w:t>
      </w:r>
    </w:p>
    <w:p w14:paraId="38D51D9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22. Проверяется наличие прокладок под рымы. Гайки, крепящие рымы, должны быть затянуты до отказа. </w:t>
      </w:r>
    </w:p>
    <w:p w14:paraId="62DD630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Местное отставание нижней кромки колпака от плиты после сборки и сварки, вне приспособления, допускается до 2-х мм. </w:t>
      </w:r>
    </w:p>
    <w:p w14:paraId="622BF0D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24. Нижняя плоскость приваренного угольника должна быть параллельна плоскости нижнего основания колпака. Допустимое отклонение не более 2 мм. Проверку производить на плите. </w:t>
      </w:r>
    </w:p>
    <w:p w14:paraId="4AC3028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25. Угольник для погона должен быть приварен к корпусу колпака сплошным усиленным швом с верхней стороны и нормальным швом с нижней стороны угольника по всей длине. </w:t>
      </w:r>
    </w:p>
    <w:p w14:paraId="3645DFF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Местные зазоры (до заварки) между наклонной полкой угольника и внутренней поверхностью колпака не должны превышать 2 мм. </w:t>
      </w:r>
    </w:p>
    <w:p w14:paraId="31AF0E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27. Для проверки зазора между деталями колпака, последний должен предъявляться "709" до окончательной заварки всех швов (после прихватки). </w:t>
      </w:r>
    </w:p>
    <w:p w14:paraId="23C789C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28. После сварки корпуса башни необходимо проверять свободное вращение маски на цапфах и предельные углы возвышения и снижения. На маске, дет. 34.31.005, должна быть установлена защита маски 34.31.1сб. При задевании углов маски о сварные швы допускается подшлифовка углов маски и сварных швов. Для обеспечения угла возвышения маски до 28˚ – 29˚, угла снижения до 5˚ – допускается подшлифовка кромок в лобовом листе башни и кромки переднего щита маски. Зазор между лобовым листом и привинтным щитом должен быть 4 – 7 мм. Для обеспечения указанного зазора разрешается делать прокладку до 3 мм между маской и щитом маски. </w:t>
      </w:r>
    </w:p>
    <w:p w14:paraId="38FDC91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29. Зазор между нижней кромкой колпака и крышей корпуса см. чертеж 34.30.20сб. </w:t>
      </w:r>
    </w:p>
    <w:p w14:paraId="7B189F3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30. Максимальный холостой ход колпака, замеренный на наружном диаметре под системой, обусловленный суммарным люфтом в поворотном механизме (но не пружинением деталей механизма, которое может получиться при резком раскачивании колпака для выявления мертвого хода) не должен превышать 3 мм. </w:t>
      </w:r>
    </w:p>
    <w:p w14:paraId="7AA0163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31. Грунтовка колпака производится после окончательной приемки представителем заказчика, согласно существующих технических условий на грунтовку. Установленный на машине колпак с целью проверки поворотного механизма необходимо провернуть на 360˚ при крене машины в 16˚. </w:t>
      </w:r>
    </w:p>
    <w:p w14:paraId="6A80CF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32. Грунтовка производится снаружи защитной масляной краской ЗБАУ и изнутри цинковыми белилами. Перед грунтовкой колпак должен быть тщательно очищен от ржавчины и окалины и промыт растворителем № 1. </w:t>
      </w:r>
    </w:p>
    <w:p w14:paraId="6AA0E49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396EC76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СБОРКУ И УСТАНОВКУ СПАРЕННОЙ СИСТЕМЫ Л-11 с ДТ. </w:t>
      </w:r>
    </w:p>
    <w:p w14:paraId="69E4A3F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Система спаренная с ДТ должна допускать угол возвышения 28˚ – 29˚ и угол снижения 5˚. Угол снижения в сторону кормы должен быть не менее 1˚30’. </w:t>
      </w:r>
    </w:p>
    <w:p w14:paraId="03741E7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Поставленная маска с системой должна свободно, без заеданий вращаться на цапфах. Горизонтальный люфт маски в рамке не должен превышать 1 мм. При люфте более 1 мм допускается регулировка кольцевыми прокладками, установленными между буртом втулки и цапфой маски. </w:t>
      </w:r>
    </w:p>
    <w:p w14:paraId="18C28BB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При вращении маски уплотнение таковой должно прилегать по всему периметру к стенкам рамки. Просветы не допускаются. Разрешается подгонка (подрезка) уплотнительной резины по месту при сборке. </w:t>
      </w:r>
    </w:p>
    <w:p w14:paraId="7A777B7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Между откатной частью тела системы и кромками отверстия в крышке бронировки отката должен быть зазор не менее 1 мм и не более 3 мм. </w:t>
      </w:r>
    </w:p>
    <w:p w14:paraId="54C8921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 застопоренном положении маски система не должна иметь качаний. </w:t>
      </w:r>
    </w:p>
    <w:p w14:paraId="2D98908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При углах возвышения и снижения системы проверяется свободное прохождение тяги привода к ПТ-1. </w:t>
      </w:r>
    </w:p>
    <w:p w14:paraId="50EDA2F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Все трущиеся поверхности должны быть смазаны чистым маслом, ржавчина и загрязнения не допускаются. </w:t>
      </w:r>
    </w:p>
    <w:p w14:paraId="4792F89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ДТ закрепляется в шаровой установке. После отжатия гайки, шар с ДТ должен свободно вращаться в пределах, допускаемых ограничителями. При зажатой губке колебания не допускаются. </w:t>
      </w:r>
    </w:p>
    <w:p w14:paraId="6C5683A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Монтаж системы до проверки прицельных линий должен быть предъявлен представителю АУ, который постановкой клейма принимает монтаж по вышеуказанным техническим условиям. Проверка прицельных линий производится после принятия общего монтажа. </w:t>
      </w:r>
    </w:p>
    <w:p w14:paraId="4E067C1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При установке вооружения необходимо также пользоваться инструкцией по монтажу установки системы. </w:t>
      </w:r>
    </w:p>
    <w:p w14:paraId="69D4062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ПОДЪЕМНОГО МЕХАНИЗМА.</w:t>
      </w:r>
    </w:p>
    <w:p w14:paraId="05FDDB8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Шатание укрепленного подъемного механизма не допускается. </w:t>
      </w:r>
    </w:p>
    <w:p w14:paraId="76DC2C4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Ведущая шестерня п.м. должна совпадать с зубьями сектора маски. Несовпадение по длине зуба, при полном ходе секторов допускается не более 1,5 мм. </w:t>
      </w:r>
    </w:p>
    <w:p w14:paraId="779A7B6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При вращении маховика п.мех., последний должен иметь равномерный и легкий ход на всей длине хода сектора маски. Заклинивание шестерни не допускается. Люфты в зубьях должны быть равномерными на всей длине хода сектора маски. </w:t>
      </w:r>
    </w:p>
    <w:p w14:paraId="7C7CE47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Мертвый ход системы, замеренный на ее дульном срезе, обусловленный суммарным люфтом в подъемном механизме (но не пружинением деталей механизма, которое может получиться при резком раскачивании системы для выявления мертвого хода) не должен превышать 3 мм. </w:t>
      </w:r>
    </w:p>
    <w:p w14:paraId="5E55EFD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РУЧНОГО И НОЖНОГО СПУСКОВ.</w:t>
      </w:r>
    </w:p>
    <w:p w14:paraId="21DFDF8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Действие ножного спуска проверяется для системы Л-11 и ДТ, при этом обращается внимание на отрегулированность длины тросов, на отсутствие заеданий в педалях, на плавность и безотказность спусков, и на возвращение механизма спуска после выстрела в первоначальное положение. </w:t>
      </w:r>
    </w:p>
    <w:p w14:paraId="248E391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Спуск должен быть легкими коротким. Длина тросов ножного спуска должна позволять максимальный угол склонения, при этом тросы не должны натягиваться и не должно быть самоспуска ударника системы. </w:t>
      </w:r>
    </w:p>
    <w:p w14:paraId="7F322B4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Троссы ножного спуска должны быть укреплены скобочками, не позволяющими при вращении колпака цепляться за выступающие части в машине. </w:t>
      </w:r>
    </w:p>
    <w:p w14:paraId="42B26A6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Ручной спуск устанавливается таким образом, чтобы между поводком и курком был зазор от 5 до 8 мм для избежания ударов курка о поводок при накате отвода системы. </w:t>
      </w:r>
    </w:p>
    <w:p w14:paraId="51A7D83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Поводок ручного спуска должен плавно, без заеданий, передвигаться в пазах корпуса спуска и возвращаться в упор под действием силы пружин. </w:t>
      </w:r>
    </w:p>
    <w:p w14:paraId="2F1D982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Проверяется также действие спуска вручную для ДТ. </w:t>
      </w:r>
    </w:p>
    <w:p w14:paraId="1D64086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БРОНИРОВКИ ПТ-1, сб. черт. 34.30.4сб.</w:t>
      </w:r>
    </w:p>
    <w:p w14:paraId="21A2721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Болты, крепящие защиту ПТ-1, должны быть затянуты гайками до отказа, чтобы избежать возможности сдвига после выверки прицельной линии. </w:t>
      </w:r>
    </w:p>
    <w:p w14:paraId="7000AC8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Зажимное кольцо должно легко, без заедания, вращаться в своей нарезке, которая должна быть легко смазана. </w:t>
      </w:r>
    </w:p>
    <w:p w14:paraId="64E8C49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Установочный винт, в затянутой до отказа рукоятке, должен своим острым концом попадать в конусные выемки защиты для стопорения. </w:t>
      </w:r>
    </w:p>
    <w:p w14:paraId="50CB8CC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Несовпадение осей установочных болтов с осью соответствующего выступа ПТ-1 допускается не более 2-х мм. </w:t>
      </w:r>
    </w:p>
    <w:p w14:paraId="2BE4B50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Колпачок защиты ПТ-1 должен плотно сидеть на стакане ПТ-1. Соскакивание и открывание на ходу не допускается. </w:t>
      </w:r>
    </w:p>
    <w:p w14:paraId="0001249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ОПТИЧЕСКИХ ПРИБОРОВ ПО ПРИБОРУ "ТОД".</w:t>
      </w:r>
    </w:p>
    <w:p w14:paraId="46E44E1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ТОД должен быть укреплен на стойке кронштейна прицела и в маске. </w:t>
      </w:r>
    </w:p>
    <w:p w14:paraId="3F941DB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ТОД не должен иметь качки в подцапфенниках. </w:t>
      </w:r>
    </w:p>
    <w:p w14:paraId="30451C5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Все болтовые соединения, укрепляющие прицел, должны гарантировать отсутствие люфтов в сопрягаемых деталях. </w:t>
      </w:r>
    </w:p>
    <w:p w14:paraId="665D498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ТОД должен быть установлен так, чтобы вертикальный штрих сетки прицела при установке на 0˚, а также при любом угле возвышения, был параллелен вертикальной нити перекрестия на дульном срезе ствола системы. </w:t>
      </w:r>
    </w:p>
    <w:p w14:paraId="23DA15D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Выверку прицельной линии производить при углах 0˚, 12˚, 18˚ по выверочным мишеням, установленным на расстоянии 18 – 20 метров от дульного среза ствола. </w:t>
      </w:r>
    </w:p>
    <w:p w14:paraId="008568A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Поле зрения прицела проверяется вращением его барабанчика и при предельном положении прицела 30˚ по осколочной шкале. Верхняя половина поля зрения с перекрестием должна быть ясной, в нижней части поля зрения, при придельном положении прицела, допускается небольшая туманность, не закрывающая перекрестия. </w:t>
      </w:r>
    </w:p>
    <w:p w14:paraId="190C65F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При правильно установленном прицеле и выверенной прицельной линии, должен быть обеспечен запас регулировки на установку прицела как в вертикальном, так и в горизонтальном направлениях. </w:t>
      </w:r>
    </w:p>
    <w:p w14:paraId="0BB0C7B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Поле прицела не должно перекрываться вертикальными кромками выреза в лобовом листе. Допускается подшлифовка затемняющей кромки. Сваливание перекрестий прицела не допускается. </w:t>
      </w:r>
    </w:p>
    <w:p w14:paraId="17EB918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ПРИБОРУ ПТ-1</w:t>
      </w:r>
    </w:p>
    <w:p w14:paraId="433B1E3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Прицел ПТ-1 должен быть надежно закреплен в корпусе бронировки. </w:t>
      </w:r>
    </w:p>
    <w:p w14:paraId="4E039D6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Установленный в стакане ПТ-1 не должен иметь качки. </w:t>
      </w:r>
    </w:p>
    <w:p w14:paraId="7BB96F9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При правильно установленном ПТ-1 и выверенной прицельной линией должен быть обеспечен запас на регулировку шкал прибора. </w:t>
      </w:r>
    </w:p>
    <w:p w14:paraId="13FB26D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Смонтированная с прицелом ПТ-1 тяга должна правильно устанавливать углы места цели на прицеле ПТ-1. Допуск на асинхронность передачи углов (несовпадение по высоте): </w:t>
      </w:r>
    </w:p>
    <w:p w14:paraId="250E9D8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 0˚ до 6˚ – 0,001 Д </w:t>
      </w:r>
    </w:p>
    <w:p w14:paraId="3CBD916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 0˚ до 12˚ – 0,002 Д </w:t>
      </w:r>
    </w:p>
    <w:p w14:paraId="4F7F8B4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 0˚ до 18˚ – 0,004 Д </w:t>
      </w:r>
    </w:p>
    <w:p w14:paraId="6B0E4C5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достижения указанных допусков на асинхронность передачи углов допускается перекос отверстия на рычаге, укрепленном на маске. </w:t>
      </w:r>
    </w:p>
    <w:p w14:paraId="1E92F4D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Суммарный мертвый ход привода в прицеле ПТ-1 не должен быть больше 3,5/1000 Д. Выверка производится при углах возвышения 0˚, 12˚ и 18˚ </w:t>
      </w:r>
    </w:p>
    <w:p w14:paraId="06C7396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Непараллельность оси канала орудия и оси прицела ПТ-1 (несовпадение по горизонту) в отрегулированном положении допускается в пределах: </w:t>
      </w:r>
    </w:p>
    <w:p w14:paraId="23F26D8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 0˚ до 12˚ – 0,001 Д </w:t>
      </w:r>
    </w:p>
    <w:p w14:paraId="26609B9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 0˚ до 18˚ – 0,002 Д </w:t>
      </w:r>
    </w:p>
    <w:p w14:paraId="633E285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В отрегулированном положении при установки оси канала системы на 0˚ все шкалы ТОДа и ПТ-1 должны быть на нуле при параллельности их осей. Выверка производится по выверочной мишени, установленной на расстоянии 18 – 20 метров от дульного среза ствола. Регулировка прицельных линий производится по выверенной горизонтальной площадке в любом месте цеха по выбору завода. </w:t>
      </w:r>
    </w:p>
    <w:p w14:paraId="629DFFF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1. При всех регулировках подводку шкал необходимо производить всегда в одном направлении (желательно снизу вверх). </w:t>
      </w:r>
    </w:p>
    <w:p w14:paraId="6272BF8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При затягивании установочных винтов необходимо отжать винты, выжимающие конус. Для вращения гайки регулировочного механизма необходимо предварительно завинтить винты, выжимающие конус. При несоблюдении указанных правил прицел ПТ-1 будет испорчен. </w:t>
      </w:r>
    </w:p>
    <w:p w14:paraId="672AEC2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ОБЩИЕ ТРЕБОВАНИЯ К УСТАНОВКЕ СИСТЕМЫ.</w:t>
      </w:r>
    </w:p>
    <w:p w14:paraId="74B3220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Собранная в целом установка проверяется стрельбой на заводском полигоне в количестве 9 выстрелов в направлении 0˚ и 180˚, при углах снижения 5˚, 0˚ и возвышения 25˚. Обстрел производится по требованию представителя АУ или АБТУ, но не более одной системы из 50-ти систем, установленных на машине. </w:t>
      </w:r>
    </w:p>
    <w:p w14:paraId="172E7DA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Во время стрельбы проверяется работа спусковых механизмов, механизмов затвора, полуавтоматика, противооткатные приспособления, гильзоулавливателя и прицельных приспособлений. До и после стрельбы осматриваются крепления системы, рамки и подъемного механизма. </w:t>
      </w:r>
    </w:p>
    <w:p w14:paraId="6D965DC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Проверяется работа подъемного и поворотного механизма. </w:t>
      </w:r>
    </w:p>
    <w:p w14:paraId="3C98A8C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4. Производится проверка оптических приборов. </w:t>
      </w:r>
    </w:p>
    <w:p w14:paraId="478EF1E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При сборке и разборке вооружения необходимо пользоваться штатным инструментом. </w:t>
      </w:r>
    </w:p>
    <w:p w14:paraId="51E39D3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2413F0F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ОБОРУДОВАНИЕ МАШИН РАДИОСТАНЦИЯМИ 71 ТК-3</w:t>
      </w:r>
    </w:p>
    <w:p w14:paraId="2C1042B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Приемка радиостанций от з-да Поставщика.</w:t>
      </w:r>
    </w:p>
    <w:p w14:paraId="06DB700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 поступающие от завода-изготовителя радиостанции подвергаются проверке ОТК завода в присутствии военпреда УС КА. Проверка должна состоять из 2-х частей: </w:t>
      </w:r>
    </w:p>
    <w:p w14:paraId="2B6542F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Внешний осмотр </w:t>
      </w:r>
    </w:p>
    <w:p w14:paraId="66C7AF3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Электрические испытания </w:t>
      </w:r>
    </w:p>
    <w:p w14:paraId="1599998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внешнем осмотре должно быть установлено: </w:t>
      </w:r>
    </w:p>
    <w:p w14:paraId="40A309D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Соответствие деталей радиостанции спецификации, приложенной к каждой радиостанции. </w:t>
      </w:r>
    </w:p>
    <w:p w14:paraId="49BD290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Наличие пломб, наличие ламп, их целость и наличие на деталях рации клейма ВП УС КА. </w:t>
      </w:r>
    </w:p>
    <w:p w14:paraId="78DB42D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Надежная защита всех деталей радиостанции от коррозии путем окраски. </w:t>
      </w:r>
    </w:p>
    <w:p w14:paraId="0EA0EBE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Рукоятки настройки радиостанции при зажатых фиксаторах не должны проворачиваться. </w:t>
      </w:r>
    </w:p>
    <w:p w14:paraId="4E86F20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Отсутствие на деталях радиостанции механических повреждений и коррозии. </w:t>
      </w:r>
    </w:p>
    <w:p w14:paraId="29FFF31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Ручка (кнопка) переключения измерительного прибора не должна западать в положениях измерения анодного напряжения и напряжения накала. </w:t>
      </w:r>
    </w:p>
    <w:p w14:paraId="5B1CF56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Целость шлангов питания (прочность заделки колодок, прочность самих шлангов и кожуха колодки). </w:t>
      </w:r>
    </w:p>
    <w:p w14:paraId="00FF073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электрической проверке должно быть установлено: </w:t>
      </w:r>
    </w:p>
    <w:p w14:paraId="52C3EB6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 передатчика:</w:t>
      </w:r>
    </w:p>
    <w:p w14:paraId="412A608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Генерация передатчика без провалов на всем диапазоне в пределах фиксированных волн. </w:t>
      </w:r>
    </w:p>
    <w:p w14:paraId="11C6E4E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Отсутствие срывов в работе передатчика при прослушивании. </w:t>
      </w:r>
    </w:p>
    <w:p w14:paraId="1647558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Соответствие технической частоте настройки контура задающего генератора. </w:t>
      </w:r>
    </w:p>
    <w:p w14:paraId="49A98C1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Плавная настройка передатчика (без провалов) на всем диапазоне. </w:t>
      </w:r>
    </w:p>
    <w:p w14:paraId="08710D7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Отсутствие двух настроек передатчика на одну волну. </w:t>
      </w:r>
    </w:p>
    <w:p w14:paraId="741ECC1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Наличие модуляции при вставленном микрофоне и ключе в передатчике. Качество модуляции проверяется при испытании радиостанции на дальность связи. </w:t>
      </w:r>
    </w:p>
    <w:p w14:paraId="5C88BF8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 приемника:</w:t>
      </w:r>
    </w:p>
    <w:p w14:paraId="0529C11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При нормальных напряжениях анода и накала приемник нормально генерирует на всем диапазоне. </w:t>
      </w:r>
    </w:p>
    <w:p w14:paraId="2DE2728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При вынутом предохранителе "Бозе" приемник не работает. </w:t>
      </w:r>
    </w:p>
    <w:p w14:paraId="63500AE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Отсутствие микрофонного эффекта ламп приемника. </w:t>
      </w:r>
    </w:p>
    <w:p w14:paraId="10BEBDF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 крайнем левом положении ручки реостата накал ламп приемника выключается, и стрелка вольтметра должна стоять на нуле. </w:t>
      </w:r>
    </w:p>
    <w:p w14:paraId="008AB79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Сотрясение каркаса приемника не должно сказываться на режиме работы приемника. </w:t>
      </w:r>
    </w:p>
    <w:p w14:paraId="64B14C2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Градуировка шкалы гетеродина должна соответствовать фактической частоте приемника. </w:t>
      </w:r>
    </w:p>
    <w:p w14:paraId="00C2840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Отсутствие генерации на низкой частоте, характеризующейся свистом. </w:t>
      </w:r>
    </w:p>
    <w:p w14:paraId="414EDC8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Умформер</w:t>
      </w:r>
    </w:p>
    <w:p w14:paraId="096EE96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Изоляция коллектора, обмотки якоря и возбуждения по отношению к корпусу должны иметь сопротивление не ниже 1 мегома. </w:t>
      </w:r>
    </w:p>
    <w:p w14:paraId="7EFE03B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Умформер, нагруженный передатчиком (приемником), должен обеспечивать нормальное анодное напряжение при подводимом напряжении к умформеру 11 – 14 вольт. Наличие искрения на коллекторах и шумов в подшипниках при работе умформера – не допускаются. </w:t>
      </w:r>
    </w:p>
    <w:p w14:paraId="71E16CC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Электрическая проверка радиостанции производится в экранированной будке. </w:t>
      </w:r>
    </w:p>
    <w:p w14:paraId="701609E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ЗАДЕЛКА И МОНТАЖ ПРОВОДОВ РАДИОСТАНЦИИ</w:t>
      </w:r>
    </w:p>
    <w:p w14:paraId="188671A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Все провода должны быть уложены согласно монтажной схеме и чертежам. </w:t>
      </w:r>
    </w:p>
    <w:p w14:paraId="78C3F1C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Марка и сечение проводов должны соответствовать чертежам. </w:t>
      </w:r>
    </w:p>
    <w:p w14:paraId="102064A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Концы заделываются согласно ТУ на электрооборудование. </w:t>
      </w:r>
    </w:p>
    <w:p w14:paraId="45C0FA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Все провода маркируются согласно таблицы, прилагаемой к каждой машине. Маркировка должна делаться на манжетах, последние должны быть прочно надеты на металлическую оболочку концов провода. </w:t>
      </w:r>
    </w:p>
    <w:p w14:paraId="1747CF8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Знаки маркировки должны быть отчетливо видны. Манжеты должны быть повернуты таким образом, чтобы легко можно было читать маркировку без повертывания манжета. </w:t>
      </w:r>
    </w:p>
    <w:p w14:paraId="38F223B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Металлическая оболочка проводов должна надежно сопрягаться с экраном того агрегата или прибора, к которому присоединяется провод. </w:t>
      </w:r>
    </w:p>
    <w:p w14:paraId="3C513F5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Переходное сопротивление между металлической оболочкой провода и корпусом машины должно быть не более 0,01 ом. </w:t>
      </w:r>
    </w:p>
    <w:p w14:paraId="13F7728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Под наконечники, крепящиеся к корпусу машины, прокладывается свинцовая прокладка толщиной не менее 0,5 мм. Место прилегания прокладки хорошо зачистить. </w:t>
      </w:r>
    </w:p>
    <w:p w14:paraId="16F165E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При укладке открытых проводов, в месте изгиба радиус кривизны должен быть не менее 15 радиусов сечения провода. </w:t>
      </w:r>
    </w:p>
    <w:p w14:paraId="45E040D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При монтаже проводов не допускается: </w:t>
      </w:r>
    </w:p>
    <w:p w14:paraId="472448B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Уменьшение сечения проводов. </w:t>
      </w:r>
    </w:p>
    <w:p w14:paraId="5606F27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Скручивания проводов. </w:t>
      </w:r>
    </w:p>
    <w:p w14:paraId="6391AD5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Пайка с применением кислоты. </w:t>
      </w:r>
    </w:p>
    <w:p w14:paraId="66B35C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Провисание проводов между скобами. </w:t>
      </w:r>
    </w:p>
    <w:p w14:paraId="09EC18E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 Проколы изоляции и обрывы металлической оболочки. </w:t>
      </w:r>
    </w:p>
    <w:p w14:paraId="4183648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 Оголение проводов. </w:t>
      </w:r>
    </w:p>
    <w:p w14:paraId="68B555E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ж) Резкое изгибание проводов. </w:t>
      </w:r>
    </w:p>
    <w:p w14:paraId="0FAC7EB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 Пайка тинолем. </w:t>
      </w:r>
    </w:p>
    <w:p w14:paraId="6786147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Все провода плотно крепятся железными омедненными скобами к корпусу машины или к планкам, приваренным к корпусу. </w:t>
      </w:r>
    </w:p>
    <w:p w14:paraId="1DCCC95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Для труб с толщиной стенки до 1 мм допускается эллипс не более 20% от нормального размера трубы. </w:t>
      </w:r>
    </w:p>
    <w:p w14:paraId="5455D9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Для труб с толщиной стенки более 1 мм допускается эллипс не более 15% от нормального размера трубы. </w:t>
      </w:r>
    </w:p>
    <w:p w14:paraId="7C7FAF4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Эллипс допускается в местах загиба. </w:t>
      </w:r>
    </w:p>
    <w:p w14:paraId="49750ED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В целях предохранения от коррозии трубы покрываются масляной краской или спиртовым лаком, как внутри, так и снаружи. </w:t>
      </w:r>
    </w:p>
    <w:p w14:paraId="2AC811B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Сопротивление изоляции проводов, смонтированных в башне машины, должно быть по отношению к корпусу при отключенных всех электрических приемниках не менее 1 мегома. </w:t>
      </w:r>
    </w:p>
    <w:p w14:paraId="585CAD1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Присоединение проводов к клеймам должно обеспечивать надежный контакт. </w:t>
      </w:r>
    </w:p>
    <w:p w14:paraId="76691EB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16. Крепление провода – винты, гайки и т.д. должны быть туго затянуты. </w:t>
      </w:r>
    </w:p>
    <w:p w14:paraId="39CD8BF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 Сечение наконечников должно быть не менее сечения проводов и хорошо припаяно к последним. </w:t>
      </w:r>
    </w:p>
    <w:p w14:paraId="1D7F188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Концы проводов, крепящиеся без наконечников, хорошо пропаиваются. </w:t>
      </w:r>
    </w:p>
    <w:p w14:paraId="2FDD142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19. При креплении проводов и труб скобами к корпусу машины, места под скобы на трубах и корпусе должны быть тщательно зачищены от краски. </w:t>
      </w:r>
    </w:p>
    <w:p w14:paraId="4F5A70C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 Скобы, крепящие провода к корпусу машины, должны быть омеднены и обеспечивать надежное заземление оплетки проводов и труб. </w:t>
      </w:r>
    </w:p>
    <w:p w14:paraId="5BA5A2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 С обоих концов на наконечниках питающих проводов должно быть набито напряжение. </w:t>
      </w:r>
    </w:p>
    <w:p w14:paraId="7C51BCD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ПОРЯДОК ПРИЕМКИ И СДАЧИ РАДИОФИЦИРОВАННЫХ МАШИН.</w:t>
      </w:r>
    </w:p>
    <w:p w14:paraId="66C6911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Машины, оборудованные радиостанцией, предъявляются в порядке, установленном на заводе. </w:t>
      </w:r>
    </w:p>
    <w:p w14:paraId="6ABA266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Число одновременно предъявляемых радиофицированных машин должно быть не менее 2-х. </w:t>
      </w:r>
    </w:p>
    <w:p w14:paraId="02603CF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Организация сдачи-приемки машин, испытания на связь в поле, как правило, должно совмещаться с обкаткой АБТУ КА. </w:t>
      </w:r>
    </w:p>
    <w:p w14:paraId="410EEF9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Приемка радиостанций, установленных в машинах, производится военпредом УС РККА в присутствии ответственного сдатчика завода, как в заводских, так и в полевых условиях. </w:t>
      </w:r>
    </w:p>
    <w:p w14:paraId="750A98B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Приемка в заводских условиях складывается: </w:t>
      </w:r>
    </w:p>
    <w:p w14:paraId="3290ECE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Из внешнего осмотра радиоаппаратуры, крепления и монтажа, размещения, комплектации схемы и т.д. </w:t>
      </w:r>
    </w:p>
    <w:p w14:paraId="7CDC7CA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Из проверки правильности работы, как отдельных деталей радиостанции, так и всей радиостанции в целом на месте с работающим мотором. </w:t>
      </w:r>
    </w:p>
    <w:p w14:paraId="31A6273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Приемка в полевых условиях складывается из проверки в условиях движения машины на всех передачах по любым дорогам, при этом проверяется: </w:t>
      </w:r>
    </w:p>
    <w:p w14:paraId="4E3B7D9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Надежность крепления деталей радиостанции, надежность электрических контактов, отсутствие влияния тряски на устойчивость работы радиостанции. </w:t>
      </w:r>
    </w:p>
    <w:p w14:paraId="5B4CDE9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Отсутствие механических, электрических и акустических помех радиосвязи на всех скоростях. </w:t>
      </w:r>
    </w:p>
    <w:p w14:paraId="2F03580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Дальность надежной двухсторонней связи телефоном и телеграфом с равноценной радиостанцией на кондиционных расстояниях. </w:t>
      </w:r>
    </w:p>
    <w:p w14:paraId="2E5538A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I. Приемка радиофицированных машин в заводских условиях.</w:t>
      </w:r>
    </w:p>
    <w:p w14:paraId="166BEB7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Внешний осмотр.</w:t>
      </w:r>
    </w:p>
    <w:p w14:paraId="4533F01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внешнем осмотре проверяется: </w:t>
      </w:r>
    </w:p>
    <w:p w14:paraId="748DA7D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Наличие всех деталей радиостанции в соответствии со спецификацией, приложенной к каждой радиостанции. </w:t>
      </w:r>
    </w:p>
    <w:p w14:paraId="796D0A5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Соответствие размещения деталей рации и их крепления по чертежам, утвержденным заказчиком. </w:t>
      </w:r>
    </w:p>
    <w:p w14:paraId="6732BBF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Качество и надежность крепящих устройств и контактов. </w:t>
      </w:r>
    </w:p>
    <w:p w14:paraId="2062DA0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Отсутствие механических повреждений на деталях радиостанции. </w:t>
      </w:r>
    </w:p>
    <w:p w14:paraId="0B527DA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Отсутствие ржавчины. </w:t>
      </w:r>
    </w:p>
    <w:p w14:paraId="76AB645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Качество монтажа и соответствие монтажа проводов оборудования машины чертежам, утвержденным заказчиком. Проверяется наличие и качество наконечников, маркировка, заделка проводов, качество заземлений, качество скоб и надежность крепления ими проводов и т.д. </w:t>
      </w:r>
    </w:p>
    <w:p w14:paraId="2834E39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Марка и сечение проводов должны соответствовать чертежам. </w:t>
      </w:r>
    </w:p>
    <w:p w14:paraId="100C52C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Качество покраски. </w:t>
      </w:r>
    </w:p>
    <w:p w14:paraId="43D163B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Соответствие чертежам, качество и чистота изолирующих деталей антенного устройства. </w:t>
      </w:r>
    </w:p>
    <w:p w14:paraId="52EBCDE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Наличие экранировки и соответствие ее чертежам. Качество выполнения экранировки. </w:t>
      </w:r>
    </w:p>
    <w:p w14:paraId="3B480AD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 Отсутствие касания проводов боевого комплекта машины. </w:t>
      </w:r>
    </w:p>
    <w:p w14:paraId="55D58D3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 На выдержку должна быть проверена: </w:t>
      </w:r>
    </w:p>
    <w:p w14:paraId="7C98258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Возможность быстрой и удобной выемки приборов связи и их обратная установка в машину. </w:t>
      </w:r>
    </w:p>
    <w:p w14:paraId="73E50AC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Возможность и удобство замены аккумуляторов накала ламп приемника. </w:t>
      </w:r>
    </w:p>
    <w:p w14:paraId="34DC5B6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Установка штыревой антенны. </w:t>
      </w:r>
    </w:p>
    <w:p w14:paraId="04AC2F4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Соединение звеньев штыревой антенны между собой должно обеспечивать звенья от выпадения при тряске и при задевании за всевозможные препятствия. Штыревая антенна должна проходить под препятствием высотой 1 метр над антенным изолятором, после чего антенна должна выпрямляться. Каждое звено должно плотно входить в соответствующее ему другое звено. </w:t>
      </w:r>
    </w:p>
    <w:p w14:paraId="5C9F7A7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Электрические контакты между отдельными звеньями должны быть надежными, чтобы во время резких вибраций штыря, сопротивление оставалось бы практически постоянным. </w:t>
      </w:r>
    </w:p>
    <w:p w14:paraId="6D2AB4E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Антенный зажим должен легко и надежно закреплять нижнее звено штыревой антенны. </w:t>
      </w:r>
    </w:p>
    <w:p w14:paraId="1A6AAAD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16. Все экранированные приборы электрооборудования должны удовлетворять в отношении диэлектрических и электрических свойств тем же требованиям, что и не экранированные. </w:t>
      </w:r>
    </w:p>
    <w:p w14:paraId="092867C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 Для крепления отдельных деталей экранирующего устройства допускается пайка чистым оловом. Применение кислоты воспрещается. При пропайке отдельных экранов оловом для прочистки в местах сочленения должна быть предусмотрена приклепка. Переходное сопротивление между экранами и корпусом не должно быть более 0,01. </w:t>
      </w:r>
    </w:p>
    <w:p w14:paraId="6E20F75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Экранировка должна быть выполнена таким образом, чтобы не было качания в местах сочленения отдельных деталей. </w:t>
      </w:r>
    </w:p>
    <w:p w14:paraId="01BD55C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Проверка правильности работы, как отдельных деталей радиостанции, так и всей радиостанции в целом, на месте с работающим мотором.</w:t>
      </w:r>
    </w:p>
    <w:p w14:paraId="57900A9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окончании внешнего осмотра радиофицированной машины производится проверка правильности работы приборов связи, их монтаж и схемы. При этом проверяется: </w:t>
      </w:r>
    </w:p>
    <w:p w14:paraId="4BF3C45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Наличие всех напряжений, потребных для обеспечения нормальной работы умформера, передатчика и приемника. </w:t>
      </w:r>
    </w:p>
    <w:p w14:paraId="61BF000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Правильность прохождения токов по отдельным участкам монтажа и всей схемы в целом. </w:t>
      </w:r>
    </w:p>
    <w:p w14:paraId="777144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Диапазон волн радиостанции. </w:t>
      </w:r>
    </w:p>
    <w:p w14:paraId="4F57AD1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Действительная работа радиостанции на разных волнах диапазона при телефонном и телеграфном режимах. При этом все показатели должны соответствовать тем, которые указаны в описании рации при ее нормальной работе. Для проверки действительной работы рации надо: </w:t>
      </w:r>
    </w:p>
    <w:p w14:paraId="71987CB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Запустить передатчик, проверить наличие колебаний задающего генератора по его контрольной лампочке и убедиться в исправном действии передатчика по показаниям антенного прибора. Проверку производить как на работу микрофона, так и на работу ключом. Проверить, настраивается ли антенна на каждую волну диапазона от волны № 160 до № 225. </w:t>
      </w:r>
    </w:p>
    <w:p w14:paraId="01F529C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Проверить качество работы умформера, который должен идти ровно, без рывков. Стрелка, фиксирующая величину напряжения умформера при переключении прибора на высокое напряжение не должна колебаться. </w:t>
      </w:r>
    </w:p>
    <w:p w14:paraId="3550CB9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проверить работу приемника, для этого включить его на работу, дать ему нормальное питание. Провертыванием ручки обратной связи убедиться в наличии щелчка. Одновременно с этим наблюдать, не возникает ли в приемнике низкочастотная самогенерация, которая характеризуется свистами и хрипением при некоторых положениях обратной связи. Проверить, не появляются ли трески в телефонах при поворотах колпака. </w:t>
      </w:r>
    </w:p>
    <w:p w14:paraId="779EB22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Проверить качество экранировки, для этого запустить мотор, включить приемник и проследить, не появляются ли ритмические тряски перепонок от электрооборудования машины при настройке приемника на разные волны диапазона и при провертывании ручки обратной связи. Качество мер борьбы с помехами радиоприему должно быть таким, чтобы помехи не мешали производить передачу и прием, как по телефону, так и по телеграфу. </w:t>
      </w:r>
    </w:p>
    <w:p w14:paraId="1E25544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Приемке в заводских условиях подвергается каждая машина. </w:t>
      </w:r>
    </w:p>
    <w:p w14:paraId="191F77B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В случае обнаружения каких либо дефектов, не устраненных в процессе приемки, радиофицированная машина возвращается заводу для устранения дефектов и последующего повторного предъявления для приемки. </w:t>
      </w:r>
    </w:p>
    <w:p w14:paraId="6740A9B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При полной исправности радиофицированной машины, последняя допускается к испытаниям в полевых условиях. </w:t>
      </w:r>
    </w:p>
    <w:p w14:paraId="36BB52C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ПРИЕМКА РАДИОФИЦИРОВАННЫХ МАШИН В ПОЛЕВЫХ УСЛОВИЯХ.</w:t>
      </w:r>
    </w:p>
    <w:p w14:paraId="4B62935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 испытаниям в полевых условиях допускаются радиофицированные машины, прошедшие заводские испытания. </w:t>
      </w:r>
    </w:p>
    <w:p w14:paraId="1FBAAF7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Приемке в полевых условиях подвергаются все 100% предъявленных машин и прошедших заводские испытания, при этом одновременно испытываемых машин должно быть не менее двух. </w:t>
      </w:r>
    </w:p>
    <w:p w14:paraId="57EB548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Радиофицированные машины должны обеспечить надежную двухстороннюю телефонную связь на ходу обеих машин при движении на всех скоростях на расстоянии друг от друга 18 км. Испытание ведется при штыревой антенне. Длина штыря – 4 метра. </w:t>
      </w:r>
    </w:p>
    <w:p w14:paraId="7A16C47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На 1-й, 2-й и 3-й передачах испытание производится на всем диапазоне рабочих оборотов мотора, на 4-ц передаче испытание ведется на оборотах мотора 1000 – 1100 об/мин. </w:t>
      </w:r>
    </w:p>
    <w:p w14:paraId="567CDC8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Надежность связи определяется 100% прохождением (при двухкратной передаче) 2-х контрольных радиограмм в 10 – 15 слов каждая. </w:t>
      </w:r>
    </w:p>
    <w:p w14:paraId="0F242CB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Проверка производится на любых трех волнах диапазона по требованию военпреда УС РККА. </w:t>
      </w:r>
    </w:p>
    <w:p w14:paraId="79D31E0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В случае неполучения кондиционной связи дефектная аппаратура заменяется другой, и испытания повторяются. </w:t>
      </w:r>
    </w:p>
    <w:p w14:paraId="3333ADF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Во время полевых испытаний проверяется: </w:t>
      </w:r>
    </w:p>
    <w:p w14:paraId="60A591D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Отсутствие микрофонного эффекта в приемнике, для чего на ходу машины включить приемник и на разных волнах диапазона проверить его работу. </w:t>
      </w:r>
    </w:p>
    <w:p w14:paraId="4AD9501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Отсутствие помех радиоприему. </w:t>
      </w:r>
    </w:p>
    <w:p w14:paraId="0DE2011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Надежность крепления деталей контактов в аппаратуре связи и т.д. </w:t>
      </w:r>
    </w:p>
    <w:p w14:paraId="3250591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Устойчивость работы приборов связи при пуске. </w:t>
      </w:r>
    </w:p>
    <w:p w14:paraId="4F76DF1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Отдельные дефекты оборудования, обнаруженные во время испытания, не влияющие на дальность и устойчивость связи, – устраняются по окончании испытания. </w:t>
      </w:r>
    </w:p>
    <w:p w14:paraId="1E59220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Заводские и полевые испытания приборов связи оформляются документами в соответствии с порядком, установленном на заводе при сдаче машин АБТУ КА. Приемка (и отправка) радиофицированных машин производится по специальной инструкции, согласованной с заводом, ОТК, военпредом. </w:t>
      </w:r>
    </w:p>
    <w:p w14:paraId="5C7AB0D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ПОРЯДОК СДАЧИ И ОТПРАВКИ МАШИН С ЗАВОДА.</w:t>
      </w:r>
    </w:p>
    <w:p w14:paraId="69DE390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После проверки приборов связи в полевых условиях и по устранении всех отмеченных дефектов, военпред УС КА проверяет наличие всех деталей связи и пломбирует те из них, которые имеют съемные или откидные крышки. </w:t>
      </w:r>
    </w:p>
    <w:p w14:paraId="0D3FED5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Если после устранения дефектов у военпреда выявится необходимость проверки аппаратуры на связь, возможность этой проверки должна быть предоставлена военпреду. </w:t>
      </w:r>
    </w:p>
    <w:p w14:paraId="687FC90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После опломбирования военпредом УС КА деталей радиостанции, последний визирует приемку радиофицированной машины. После этого представитель заказчика визирует разрешение на отправку машин под окраску. </w:t>
      </w:r>
    </w:p>
    <w:p w14:paraId="094F65B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Из деталей радиостанции должно быть окрашено следующее: </w:t>
      </w:r>
    </w:p>
    <w:p w14:paraId="45FDC6F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Скобы крепления аппаратуры и проводов. </w:t>
      </w:r>
    </w:p>
    <w:p w14:paraId="33C7C9E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Каркасы и крышки передатчика и приемника. </w:t>
      </w:r>
    </w:p>
    <w:p w14:paraId="12987AC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Скобы крепления проводов должны быть покрашены только с наружной поверхности. </w:t>
      </w:r>
    </w:p>
    <w:p w14:paraId="7EAB0D6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Перед отправкой машины в часть Военпред УС КА проверяет: </w:t>
      </w:r>
    </w:p>
    <w:p w14:paraId="032E95A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а) Наличие всех пломб. </w:t>
      </w:r>
    </w:p>
    <w:p w14:paraId="2D2F916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Отсутствие повреждений на аппаратуре после доделочных работ. </w:t>
      </w:r>
    </w:p>
    <w:p w14:paraId="14EA6B6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Подготовленность аппаратуры (источников питания) к длительному нахождению в пути или длительному хранению. </w:t>
      </w:r>
    </w:p>
    <w:p w14:paraId="0026008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Качество покраски. обращая внимание не то, чтобы надежность контактов не была нарушена краской. </w:t>
      </w:r>
    </w:p>
    <w:p w14:paraId="4CEE9C1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Ручка центрального переключателя должна быть установлена в положение "выключено". </w:t>
      </w:r>
    </w:p>
    <w:p w14:paraId="78E7443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Комплектовка машин должна соответствовать спецификации завода № 203; проверять перед пломбой АБТУ КА. </w:t>
      </w:r>
    </w:p>
    <w:p w14:paraId="5B3212F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Укладка всех частей рации должна быть отмечена в перечне деталей машины. </w:t>
      </w:r>
    </w:p>
    <w:p w14:paraId="2B0E146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Представитель заказчика совместно с ответственным сдатчиком завода составляет акт установленной формы, визирует отправку, сдавая сопровождающему пломбу радиостанции. К документам отправляемой машины прилагается приемо-сдаточная ведомость имущества рации. </w:t>
      </w:r>
    </w:p>
    <w:p w14:paraId="56316D4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413985D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МОНТАЖ И ПРИЕМКУ ПЕРЕГОВОРНОГО УСТРОЙСТВА ТПУ-2 НА МАШИНЕ</w:t>
      </w:r>
    </w:p>
    <w:p w14:paraId="56D1906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Переговорное устройство типа ТПУ-2 предназначается для внутренней телефонной связи между командиром и водителем машины и для внешней связи командира через радиостанцию. </w:t>
      </w:r>
    </w:p>
    <w:p w14:paraId="409CC74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Переговорное устройство типа ТПУ-2 устанавливается на всех типах машин. </w:t>
      </w:r>
    </w:p>
    <w:p w14:paraId="5996F50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Осмотр и предварительные испытания аппаратуры ТПУ-2.</w:t>
      </w:r>
    </w:p>
    <w:p w14:paraId="0F429A0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Вся поступающая на завод аппаратура ТПУ-2 подвергается проверке ОТК завода совместно с военпредом УС КА, при проверке устанавливается: </w:t>
      </w:r>
    </w:p>
    <w:p w14:paraId="091CF1B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Соответствие элементов аппаратуры ТПУ-2 спецификации, прилагаемой к каждому комплекту. </w:t>
      </w:r>
    </w:p>
    <w:p w14:paraId="3672B3A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Наличие пломб и клейм военпреда УС КА на элементах ТПУ-2. </w:t>
      </w:r>
    </w:p>
    <w:p w14:paraId="6962FF4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Отсутствие механических повреждений. </w:t>
      </w:r>
    </w:p>
    <w:p w14:paraId="15E76EE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 Соответствие аппаратуры ТПУ-2 в электрическом отношении прилагаемому описанию. </w:t>
      </w:r>
    </w:p>
    <w:p w14:paraId="6A966B4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Входящий в комплект бронированный 6-ти или 7-ми жильный кабель должен удовлетворять техническим условиям на электропроводку. </w:t>
      </w:r>
    </w:p>
    <w:p w14:paraId="279EA16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Установка и монтаж ТПУ-2 на машине.</w:t>
      </w:r>
    </w:p>
    <w:p w14:paraId="0BA34DC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Размещение элементов ТПУ-2, его установка и монтаж производятся по чертежам, утвержденным представителем заказчика. </w:t>
      </w:r>
    </w:p>
    <w:p w14:paraId="12EC99B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Аппараты ТПУ-2 должны быть соединены между собой по принципиальной схеме, утвержденной представителем заказчика. Принципиальная схема должна обеспечивать двухстороннюю связь между аппаратами. </w:t>
      </w:r>
    </w:p>
    <w:p w14:paraId="19D134E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Все аппараты должны быть надежно укреплены. </w:t>
      </w:r>
    </w:p>
    <w:p w14:paraId="09E769B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Концы кабеля должны быть обмотаны разноцветными нитками (цвет ниток указан в чертежах кабеля). </w:t>
      </w:r>
    </w:p>
    <w:p w14:paraId="0DCE9B1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Цвета ниток должны соответствовать номерам клемм, как на аппаратах, так и на ВКУ, т.е. если к 1-й клемме аппарата подключен конец кабеля, обмотанный красной ниткой, то к первой клемме ВКУ должен быть подключен конец кабеля, также обмотанный красной ниткой. </w:t>
      </w:r>
    </w:p>
    <w:p w14:paraId="4A20C1D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Каждая жила должна иметь кольца из жилы, кольцо должно быть прочно прижато как винтом на аппаратах, так и гайками на ВКУ. </w:t>
      </w:r>
    </w:p>
    <w:p w14:paraId="65B9DC1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Проверка монтажа.</w:t>
      </w:r>
    </w:p>
    <w:p w14:paraId="263DC0B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Установленное на машине переговорное устройство ТПУ-2 проверяется представителем ОТК завода, причем проверкой должно быть установлено: </w:t>
      </w:r>
    </w:p>
    <w:p w14:paraId="2A16FC3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Правильность размещения и установки аппаратуры в машине. </w:t>
      </w:r>
    </w:p>
    <w:p w14:paraId="4ED63AE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Качество монтажа и его соответствие настоящим Т.У. </w:t>
      </w:r>
    </w:p>
    <w:p w14:paraId="0B9F360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Нормальная работа всего переговорного устройства в соответствии с описанием его и схемой. </w:t>
      </w:r>
    </w:p>
    <w:p w14:paraId="75E81FD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Испытания в пробеге и окончательная приемка.</w:t>
      </w:r>
    </w:p>
    <w:p w14:paraId="6519E2D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Испытанием в пробеге проверяется бесперебойная работа переговорного устройства при движении машины на всех скоростях по булыжной мостовой и среднепересеченной местности; какие либо перерывы в работе ТПУ-2 не допускаются. </w:t>
      </w:r>
    </w:p>
    <w:p w14:paraId="2D1FBE8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 окончательной сдаче военпреду УС КА переговорное устройство предъявляется одновременно с окончательной сдачей смонтированной в машине радиостанцией. </w:t>
      </w:r>
    </w:p>
    <w:p w14:paraId="35DDF16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Проверка работы ТПУ-2 производится согласно инструкции, приложенной к каждому комплекту ТПУ-2 на 100% предъявляемых машин. </w:t>
      </w:r>
    </w:p>
    <w:p w14:paraId="1E82CF8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Проверка на связь по радио через ТПУ-2 во время движения машин производится на тех же машинах, на которых испытывается на дальность связи радиостанция. </w:t>
      </w:r>
    </w:p>
    <w:p w14:paraId="1B5FBF4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Связь и слышимость между аппаратами должна быть надежной, как на стоянке, так и во время движения машины на всех скоростях. Критерием надежности внутренней телефонной связи служит 100% прием команд при однократной передаче. </w:t>
      </w:r>
    </w:p>
    <w:p w14:paraId="433A468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Машины, у которых при проверке на месте обнаружены дефекты монтажа ТПУ-2, влияющие на работу радиостанции, к испытанию в полевых условиях не допускаются. </w:t>
      </w:r>
    </w:p>
    <w:p w14:paraId="2DB0C8A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При поворотах башни связь между аппаратами ТПУ-2 не должна нарушаться. </w:t>
      </w:r>
    </w:p>
    <w:p w14:paraId="720E115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Приемка ТПУ-2 производится одновременно с приемкой радиостанции. </w:t>
      </w:r>
    </w:p>
    <w:p w14:paraId="20BD428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В каждую машину, оборудованную ТПУ-2, должны быть вложены: спецификация, описание и инструкция по обслуживанию ТПУ-2. </w:t>
      </w:r>
    </w:p>
    <w:p w14:paraId="17AE06C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0A4753B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ПОВОРОТНОГО МЕХАНИЗМА</w:t>
      </w:r>
    </w:p>
    <w:p w14:paraId="6D646A2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Сборка верхнего червячного колеса 34.34.003 и ведущей шестерни 34.34.004.</w:t>
      </w:r>
    </w:p>
    <w:p w14:paraId="4048401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Шарикоподшипник 302 ОСТ 6121 должен быть запрессован в гнездо шестерни 34.34.004 до упора торца наружного кольца подшипника в дно гнезда. </w:t>
      </w:r>
    </w:p>
    <w:p w14:paraId="2ED0875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Червячное колесо 34.34.003 должно быть напрессовано на ведущую шестерню 34.34.004 до плотного упора фланца в торец наружного кольца подшипника 302 ОСТ 6121. </w:t>
      </w:r>
    </w:p>
    <w:p w14:paraId="10E57A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Винты 1М8×18 ОСТ 216 должны быть завинчены до плотного упора, головки болтов должны быть надежно закернены. </w:t>
      </w:r>
    </w:p>
    <w:p w14:paraId="4E930BA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Внутреннее кольцо подшипника 302 ОСТ 6121, после закрепления подшипника в детали 34.34.004, должно легко вращаться без заеданий и заклинивания. </w:t>
      </w:r>
    </w:p>
    <w:p w14:paraId="7A32303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Втулка 34.34.007 должна быть запрессована в деталь 34.34.004 до упора буртка втулки в торец зубчатого венца шестерни. </w:t>
      </w:r>
    </w:p>
    <w:p w14:paraId="7271DE6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Сборка и установка нижнего червячного колеса.</w:t>
      </w:r>
    </w:p>
    <w:p w14:paraId="156D85C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Оси сателлитов в сборе с сателлитами должны быть запрессованы в нижнее червячное колесо до упора торцами во фланец колеса, и надежно затянуты гайками. </w:t>
      </w:r>
    </w:p>
    <w:p w14:paraId="25B13ED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При несовпадении прореза гайки с отверстием в резьбовом хвостовике оси сателлита допускается подпиловка торца гайки, соприкасающегося с плоскостью фланца червячного колеса. </w:t>
      </w:r>
    </w:p>
    <w:p w14:paraId="1BC39B8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Винты М6×16-1-0 ОСТ 3522 должны быть завинчены до плотного упора торцов головок в шайбы, проложенные между фланцем детали 34.34.006 и головками винтов, и надежно законтрены замковыми шайбами. </w:t>
      </w:r>
    </w:p>
    <w:p w14:paraId="3A31C44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Шарикоподшипник 212 ОСТ 6121 должен быть напрессован на ступицу детали 34.34.006 до упора торцом внутреннего кольца подшипника в торец детали. </w:t>
      </w:r>
    </w:p>
    <w:p w14:paraId="2243FA3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Установочная гайка ЭМ56 ск.0,75.91 должна быть завинчена до плотного упора торцевой поверхностью в торец внутреннего кольца шарикоподшипника 212 ОСТ 6121 и застопорена пружинным кольцом 66 ск.0,75.75.92. </w:t>
      </w:r>
    </w:p>
    <w:p w14:paraId="24E3C83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Наружное кольцо шарикоподшипника 212 РСТ 6121 после закрепления подшипника на ступице детали 34.34.006, должно легко вращаться без заедания и заклинивания. </w:t>
      </w:r>
    </w:p>
    <w:p w14:paraId="51846F1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Подшипник 212 ОСТ 6121 должен быть вставлен в гнездо детали 34.34.002 и плотно прижат деталью 34.34.046. </w:t>
      </w:r>
    </w:p>
    <w:p w14:paraId="60A7D83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Зазор между фланцами деталей 34.34.002 и 34.34.046 должен быть заполнен прокладками 34.34.052 и 34.34.053. Толщина комплекта прокладок должна быть меньше вышеуказанного зазора на 0,1 – 0,2 мм. </w:t>
      </w:r>
    </w:p>
    <w:p w14:paraId="221FB68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Винты М6×15 ОСТ 216, крепящие деталь 34.34.046 к нижней части картера, должны быть завинчены до плотного упора головок в углубления фланца детали 34.34.046. </w:t>
      </w:r>
    </w:p>
    <w:p w14:paraId="35A9A05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Сборка картеров.</w:t>
      </w:r>
    </w:p>
    <w:p w14:paraId="477856B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Втулки 34.34.010 и 34.34.036 должны быть запрессованы в гнезда картеров до упора буртика втулки в торец гнезда. </w:t>
      </w:r>
    </w:p>
    <w:p w14:paraId="6EA4482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Масленка ск.0,94.01 должна быть завинчена в картер 34.34.001 до упора торца шестигранного пояска в бобышку картера. </w:t>
      </w:r>
    </w:p>
    <w:p w14:paraId="2F71FD6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Все шпильки, ввинчиваемые в резьбовые отверстия картеров механизма и гитары, должны быть завинчены до плотного упора в ненарезанные части. </w:t>
      </w:r>
    </w:p>
    <w:p w14:paraId="4313397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Сборка гитары.</w:t>
      </w:r>
    </w:p>
    <w:p w14:paraId="538FD33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Подшипник 202 ОСТ 6121 должен быть запрессован в деталь 34.34.068 до упора торца наружного кольца подшипника в буртик шестерни. </w:t>
      </w:r>
    </w:p>
    <w:p w14:paraId="4FA7723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Ось паразитной шестерни, деталь 34.34.069, должна быть запрессована во внутреннее кольцо подшипника 202 ОСТ 6121, закрепленного в детали 34.34.068 до упора торца шляпки во внутреннее кольцо подшипника. </w:t>
      </w:r>
    </w:p>
    <w:p w14:paraId="65D4DA5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Шестерня 34.34.068 должна легко вращаться относительно оси 34.34.069 без заеданий и заклинивания подшипника. </w:t>
      </w:r>
    </w:p>
    <w:p w14:paraId="31C9A80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Ось паразитной шестерни в сборе с шестерней 34.34.068 и кольцом 34.34.070 должна быть запрессована в картер гитары до упора детали 34.34.070 в торец бобышки картера. </w:t>
      </w:r>
    </w:p>
    <w:p w14:paraId="203F0B2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5. Гайка К1М12 ОСТ 3312 должна быть навинчена на конец оси паразитной шестерни до плотного упора в шайбу 14 ОСТ 3233, гайка должна быть надежно зашплинтована. </w:t>
      </w:r>
    </w:p>
    <w:p w14:paraId="2D9A9F8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ПРИМЕЧАНИЕ: При несовпадении прореза гайки с отверстием в резьбовом хвостовике оси, допускается подпиловка торца гайки, соприкасающегося с шайбой 14 ОСТ 3233. </w:t>
      </w:r>
    </w:p>
    <w:p w14:paraId="1FE6837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Установка и регулировка зацепления нижней червячной передачи.</w:t>
      </w:r>
    </w:p>
    <w:p w14:paraId="694D3C8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Нижний червяк 34.34.031 должен быть установлен так, чтобы его осевой люфт был не более 0,2 мм (регулировка величины осевого люфта производится прокладками 34.34.033 и 34.34.034). </w:t>
      </w:r>
    </w:p>
    <w:p w14:paraId="5317BC8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Червяк 34.34.031 должен вращаться во втулках без заедания и заклинивания. </w:t>
      </w:r>
    </w:p>
    <w:p w14:paraId="50A8EE7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Червяк 34.34.031 вместе с верхней частью картера должен быть установлен относительно червячного колеса 34.34.005 так, чтобы ось червяка находилась в плоскости начальной окружности червячного колеса (регулировка положения червяка относительно плоскости начальной окружности червячного колеса производится прокладками 34.34.052 и 34.34.053). Правильность зацепления червяка с червячным колесом должна быть проверена по краске, отпечатки на зубьях червячного колеса должна располагаться по длине зуба равномерно, без резких смещений к краям зубьев. </w:t>
      </w:r>
    </w:p>
    <w:p w14:paraId="7BD25B5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Установка и регулировка зацепления верхней червячной передачи.</w:t>
      </w:r>
    </w:p>
    <w:p w14:paraId="50073DA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Верхнее червячное колесо должно быть установлено так. чтобы плоскость начальной окружности червячного колеса совпадала с геометрической осью верхнего червяка 34.34.037 (регулировка установки червячного колеса 34.34.003 по высоте производится с помощью прокладок 34.34.015 и 34.34.016). </w:t>
      </w:r>
    </w:p>
    <w:p w14:paraId="40D5CF5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Правильность зацепления верхнего червячного колеса 34.34.003 и червяка 34.34.037 должна быть проверена по краске, отпечатки на зубьях червячного колеса должна располагаться по длине зуба равномерно без резких смещений к краям зубьев. </w:t>
      </w:r>
    </w:p>
    <w:p w14:paraId="657F3C7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Червяк должен легко проворачиваться в своих подшипниках, без заедания и заклинивания на зубьях червячного колеса. </w:t>
      </w:r>
    </w:p>
    <w:p w14:paraId="5D3FFD4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 Сборка гнезда подшипника, сальника вертикального вала и буксы нижнего червяка.</w:t>
      </w:r>
    </w:p>
    <w:p w14:paraId="7AE5127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Наружное кольцо шарикоподшипника 302 ОСТ 6121 после окончательного закрепления подшипника на верхнем конце вертикального вала должно быть плотно зажато между распорным кольцом 34.34.018 и буртом детали 34.34.013. Осевой люфт подшипника в гнезде 34.34.013 не допускается. </w:t>
      </w:r>
    </w:p>
    <w:p w14:paraId="41015DF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Винты М6×15 ОСТ 216, крепящие корпус сальника к нижней части картера, должны быть завинчены до упора головок в выточки корпуса сальника, головки винтов должны быть раскернены. </w:t>
      </w:r>
    </w:p>
    <w:p w14:paraId="6C7F336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Втулка 34.34.007 должна быть запрессована в гнезде буксы 34.34.032 до упора буртика втулки в торец буксы. </w:t>
      </w:r>
    </w:p>
    <w:p w14:paraId="66E50D9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VIII. Сборка фрикционной муфты.</w:t>
      </w:r>
    </w:p>
    <w:p w14:paraId="7C46C21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Конуса 34.34.024 должны свободно перемещаться вдоль шпонок Г8×7×35 ОСТ 4085. Поверхности шпонок, соприкасающиеся с боковыми поверхностями пазов конусов, и боковые поверхности пазов деталей 34.34.024 должны быть подогнаны по краске. </w:t>
      </w:r>
    </w:p>
    <w:p w14:paraId="4191496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Гайка К1М14 ОСТ 3312 должна быть завинчена до упора в торец выточки детали 34.34.027 и зашплинтована. При несовпадении прореза гайки с отверстием в резьбовом хвостовике вала, допускается ослабление затяжки гайки до совпадения прореза гайки с отверстием вала. </w:t>
      </w:r>
    </w:p>
    <w:p w14:paraId="7DB97B8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IX. Общие требования.</w:t>
      </w:r>
    </w:p>
    <w:p w14:paraId="4FC51A6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Перед сборкой все детали должны быть очищены от грязи и промыты в обезвоженном керосине или бензине. </w:t>
      </w:r>
    </w:p>
    <w:p w14:paraId="5793918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Сальниковые кольца и картонные прокладки должны быть пропитаны автолом. </w:t>
      </w:r>
    </w:p>
    <w:p w14:paraId="5343B2C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Все посадочные места и трущиеся поверхности деталей перед сборкой механизма должны быть покрыты тонким слоем солидола или консталина. </w:t>
      </w:r>
    </w:p>
    <w:p w14:paraId="672E4CF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Подшипники перед установкой в картер механизма должны быть промыты в бензине, а затем смазаны солидолом. </w:t>
      </w:r>
    </w:p>
    <w:p w14:paraId="764C77C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Все гайки и болты должны быть завинчены до плотного упора и надежно законтрены. </w:t>
      </w:r>
    </w:p>
    <w:p w14:paraId="6E9CD0E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Картер должен быть заполнен смесью консталина с автолом до оси верхнего червяка. Для смазки механизма должны применяться следующие смеси: </w:t>
      </w:r>
    </w:p>
    <w:p w14:paraId="1107419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70% автола и 30% консталина для холодного периода года. </w:t>
      </w:r>
    </w:p>
    <w:p w14:paraId="5E6C8B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50% автола и 50% консталина для жаркого периода года. </w:t>
      </w:r>
    </w:p>
    <w:p w14:paraId="052C11A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При вращении маховичка механизма или ведущего валика гитары, механизм должен работать плавно, без заедания и заклинивания. </w:t>
      </w:r>
    </w:p>
    <w:p w14:paraId="06AE38D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64C67B2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УСТАНОВКУ СИДЕНИЙ В КОЛПАКЕ – Сб. черт. 34.35сб.</w:t>
      </w:r>
    </w:p>
    <w:p w14:paraId="2D6F36C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Кронштейны сидений должны быть надежно закреплены. Шатание не допускается. </w:t>
      </w:r>
    </w:p>
    <w:p w14:paraId="1E9424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Установленный стержень сидения не должен быть погнутым в своих прямых частях и легко, без заедания, проворачиваться и передвигаться в трубке кронштейна. </w:t>
      </w:r>
    </w:p>
    <w:p w14:paraId="3442E7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Ползун, вместе с подушкой сидения, при ослаблении стопорного болта, должен легко, без заеданий, передвигаться по стержню. </w:t>
      </w:r>
    </w:p>
    <w:p w14:paraId="05A8FE4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Допускается рассверловка отверстий в листе спинки сидения при несовпадении таковых с отверстиями в верхнем погоне. Шатание спинок сидений – не допускается. </w:t>
      </w:r>
    </w:p>
    <w:p w14:paraId="3F2FD33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Вороток фиксатора не должен быть погнутым, и легко, без заеданий, передвигаться в стопоре. </w:t>
      </w:r>
    </w:p>
    <w:p w14:paraId="28C6D4A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При затянутых стопорах, сидения должны быть прочно зафиксированы в желаемом положении. </w:t>
      </w:r>
    </w:p>
    <w:p w14:paraId="6ED7CA5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Труба кронштейна со стержнем должна быть смазана густой смазкой. </w:t>
      </w:r>
    </w:p>
    <w:p w14:paraId="6779C7F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45F830B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СМОТРОВЫХ ПРИБОРОВ.</w:t>
      </w:r>
    </w:p>
    <w:p w14:paraId="5D71668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Группа – 36.</w:t>
      </w:r>
    </w:p>
    <w:p w14:paraId="6276E33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сборку и установку в машине смотровых приборов см. на сборочных чертежах: </w:t>
      </w:r>
    </w:p>
    <w:p w14:paraId="05F6B7B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Прибор водителя центральный – 34.36.18.сб </w:t>
      </w:r>
    </w:p>
    <w:p w14:paraId="64F2334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Прибор водителя боковой – 34.36.21.сб </w:t>
      </w:r>
    </w:p>
    <w:p w14:paraId="3AA52DA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Прибор в башне – 34.36.24.сб </w:t>
      </w:r>
    </w:p>
    <w:p w14:paraId="6DD59F8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375711C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СИСТЕМЫ ВОЗДУШНОГО ПУСКА.</w:t>
      </w:r>
    </w:p>
    <w:p w14:paraId="22510D0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Группа 38.</w:t>
      </w:r>
    </w:p>
    <w:p w14:paraId="1A6D9F4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Технические условия на сборку и установку системы воздушного пуска см. на чертеже 34.38.Сб. </w:t>
      </w:r>
    </w:p>
    <w:p w14:paraId="7A85646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Трубки не должны иметь забоин и вмятин. </w:t>
      </w:r>
    </w:p>
    <w:p w14:paraId="6A69A0E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по технике безопасности при работах по переноске, транспортировке, погрузке, хранению и эксплоатации баллонов со сжатым воздухом см. в инструкции по уходу за танком "34". </w:t>
      </w:r>
    </w:p>
    <w:p w14:paraId="714F984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159304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и установку по группе "39"</w:t>
      </w:r>
    </w:p>
    <w:p w14:paraId="441A37F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"КОНТРОЛЬНЫЕ ПРИБОРЫ"</w:t>
      </w:r>
    </w:p>
    <w:p w14:paraId="3CE2386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сборку и установку по группе "Контрольные приборы" см. на чертежах: 34.39.6сб, 34.39.8сб, 34.39.9сб, 34.39.10сб, 34.39.12сб, 34.39.Сб-1. </w:t>
      </w:r>
    </w:p>
    <w:p w14:paraId="4D9AA54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40C46BA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ГУСЕНИЦЫ – ГРУППА "44"</w:t>
      </w:r>
    </w:p>
    <w:p w14:paraId="4A6339C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сборку гусеницы см. на чертеже 34.44.Сб-1. </w:t>
      </w:r>
    </w:p>
    <w:p w14:paraId="5BACDCD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11A0F18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СБОРКУ ПРИБОРА КРУГОВОГО ОБЗОРА.</w:t>
      </w:r>
    </w:p>
    <w:p w14:paraId="665DD40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Технические условия на сборку и установку прибора кругового обзора см. на чертеже 34.47.Сб-1. </w:t>
      </w:r>
    </w:p>
    <w:p w14:paraId="389CF00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УСЛОВИЯ</w:t>
      </w:r>
    </w:p>
    <w:p w14:paraId="77B13FA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СОБРАННУЮ МАШИНУ.</w:t>
      </w:r>
    </w:p>
    <w:p w14:paraId="65E4580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Собранная машина проверяется стационарной прокруткой, а затем пробегами, заводской обкаткой и сдаточными испытаниями. </w:t>
      </w:r>
    </w:p>
    <w:p w14:paraId="041163A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Эти испытания имеют целью выявить надежность монтажа и соответствие его техн. условиям, а также проверить качество механизмов и машины в целом. </w:t>
      </w:r>
    </w:p>
    <w:p w14:paraId="2A28BB1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собранной и предъявленной для испытаний машине не должно быть никаких посторонних предметов, особенно таких, которые могут вызвать аварию механизма. Машина должна быть чистой и сухой (для возможности лучшего контроля). </w:t>
      </w:r>
    </w:p>
    <w:p w14:paraId="779EF8E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машине должны быть установлены механизмы и детали, полагающиеся ей по детальной описи и собранные в соответствии с чертежами и техническими условиями, утвержденными АБТУ. Механизмы должны быть смазаны согласно указаний в соответствующем разделе настоящих техусловий по данному механизму. </w:t>
      </w:r>
    </w:p>
    <w:p w14:paraId="28BFF7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Монтаж механизмов и деталей на машине должен быть произведен в полном соответствии с чертежами и техн. условиями, утвержденными АБТУ. Все крепежные детали должны быть затянуты до отказа и, если это требуется по чертежам и техн. условиям, – надежно законтрены. </w:t>
      </w:r>
    </w:p>
    <w:p w14:paraId="6782447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всех механизмах машины не должно быть ненормальных стуков и шумов. Ввиду субъективности метода определения ненормального шума и стуков на индивидуальный слух, в спорных случаях с согласия нач. цеха и нач. ОТК и по требованию П.З. механизм разбирается и в случае отсутствия отступлений от техн. условий по зазорам и размерам – пропускается. </w:t>
      </w:r>
    </w:p>
    <w:p w14:paraId="0B8874B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Машина должна быть полностью заправлена топливом, маслом и водой. </w:t>
      </w:r>
    </w:p>
    <w:p w14:paraId="0CF2B69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Механизм и узлы машины должны удовлетворять требованиям, изложенным выше в соответствующих разделах настоящих техн. условий и, кроме того, следующему: </w:t>
      </w:r>
    </w:p>
    <w:p w14:paraId="5653D9C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и моторная группа:</w:t>
      </w:r>
    </w:p>
    <w:p w14:paraId="69D7A5F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Мотор должен быть чистым. Все цилиндры мотора должны работать без перебоев. </w:t>
      </w:r>
    </w:p>
    <w:p w14:paraId="11064D9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Течь мест соединений масло, водо и топливо-проводов, а также и радиаторов – не допускается. </w:t>
      </w:r>
    </w:p>
    <w:p w14:paraId="39DC874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Потение мест соединений, а также и арматуры топливо и масло-проводов – не допускается; также не допускается и подсос воздуха. </w:t>
      </w:r>
    </w:p>
    <w:p w14:paraId="5C3EA9A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Испытание топливной системы при неработающем моторе производить на 0,3 атм., от воздушного насоса. При этом, после получения в испытываемом баке указанного давления по манометру на щитке водителя, воздушный кран должен быть перекрыт на испытываемый бак для отключения воздушного насоса от испытываемого бака. Падение давления не должно быть в течение 2-х минут. Топливный распределительный кран при этом должен быть включен на испытываемый бак. </w:t>
      </w:r>
    </w:p>
    <w:p w14:paraId="6B00277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Число оборотов мотора: </w:t>
      </w:r>
    </w:p>
    <w:p w14:paraId="7FF7D7D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Максимальное – 1800 об/мин.; </w:t>
      </w:r>
    </w:p>
    <w:p w14:paraId="6220A05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Минимальное – 500 – 600 об/мин. </w:t>
      </w:r>
    </w:p>
    <w:p w14:paraId="18B3CA8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Максимальное эксплоатационное число оборотов мотора – 1750 об/мин. </w:t>
      </w:r>
    </w:p>
    <w:p w14:paraId="446C606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Критическое число оборотов мотора, при котором явно выражена вибрация, затихающая при переходе выше или ниже этого числа оборотов, в пределах от 1050 до 1300 об/мин. </w:t>
      </w:r>
    </w:p>
    <w:p w14:paraId="0CBA0E7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Мотор должен работать без перебоев на всех режимах и на любом топливном баке машины; показания топливного манометра при этом должны быть в пределах 0,5 – 0,7 атм. Допускается вибрация стрелки манометра. </w:t>
      </w:r>
    </w:p>
    <w:p w14:paraId="58CA42B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После запуска мотора и при работе с перебоями необходимо открыть краник у топливного манометра, для спуска в атмосферу в бачек накопившегося в топливо-проводах воздуха. </w:t>
      </w:r>
    </w:p>
    <w:p w14:paraId="626E9C5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Топливо для мотора – газойль марки "ДТ" или "Э". Топливо, идущее для заправки топливных баков, должно быть профильтровано через шелковое полотно. </w:t>
      </w:r>
    </w:p>
    <w:p w14:paraId="48703CA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Масло для мотора – авиационное марки "СО" или "СС" селективной очистки. Наливаться масло в бак должно обязательно через фильтры, устанавливаемые на баке. </w:t>
      </w:r>
    </w:p>
    <w:p w14:paraId="14D388F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числе оборотов моторов 1500 – 1700 об/мин. давление масла в главной магистрали должно быть от 6 до 9 атм., а при 600 – 800 об/мин. не ниже 2-х атм., все это при условии, что температура входящего масла будет не ниже +40°С. При 500 об/мин. давление масла не менее 1,5 атм. </w:t>
      </w:r>
    </w:p>
    <w:p w14:paraId="123B463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Температура входящего масла допускается не ниже +40°С, а выходящего – не выше +100°С. </w:t>
      </w:r>
    </w:p>
    <w:p w14:paraId="0700E8C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Масляные радиаторы необходимо включать только согласно указаний в начале книги данных тех. условий. В тех случаях, когда по температурным условиям масляные радиаторы в пробегах выключены, необходимо в целях проверки надежности монтажа включать радиаторы при стационарных прокрутках в цеху, –один раз при первой стационарной прокрутке и второй – после сдаточного испытания; при этом температура входящего масла должна быть не ниже +40°С. </w:t>
      </w:r>
    </w:p>
    <w:p w14:paraId="48EEAA0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Нагружать мотор можно только после доведения температуры входящего масла до +40°С на холостом ходу; для ускорения набора указанной температуры допускается выключать масляные радиаторы с последующим включением, согласно вышеизложенного, а также закрывать входные и выходные жалюзи. </w:t>
      </w:r>
    </w:p>
    <w:p w14:paraId="06FDADE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Воду для заправки водяной системы допускается применять только чистую пресную. Уровень воды на дне тройника (для редуктора) не должен превышать 2 – 3 мм. </w:t>
      </w:r>
    </w:p>
    <w:p w14:paraId="4D063FB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Температура воды, выходящей из мотора, допускается не выше 105°С. В случаях повышения температуры выше 105°С – необходимо перейти на низкую передачу, при тяжелых условиях эксплоатации или температуре окружающего воздуха выше 35°С. </w:t>
      </w:r>
    </w:p>
    <w:p w14:paraId="03C6B7B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Кран водяной помпы в закрытом положении не должен течь; в открытом положении допускается незначительная течь в машину. </w:t>
      </w:r>
    </w:p>
    <w:p w14:paraId="7983448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работе мотора на любом баке, воздушный кран должен быть поставлен на атмосферу, т.е. все топливные баки должны быть связаны с атмосферой. </w:t>
      </w:r>
    </w:p>
    <w:p w14:paraId="3BE8760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обнаружении во время работы мотора сильного дымления, явившегося вследствие несвоевременного закрытия масляного крана при предшествующей работе, необходимо, во избежание значительного выбивания масла из суфлера и загрязнения машины этим маслом, не переходить на обороты выше 500 об/мин. до тех пор, пока не прекратится сильное дымление. </w:t>
      </w:r>
    </w:p>
    <w:p w14:paraId="600426E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машинах с неработающим мотором масляный кран должен быть перекрыт, во избежание перетекания масла в картер мотора. </w:t>
      </w:r>
    </w:p>
    <w:p w14:paraId="1A54851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Запрещается производить перерегулировку редукторов, как топливного, так и масляного (редуктора должны быть запломбированы ОТК завода поставщика моторов). </w:t>
      </w:r>
    </w:p>
    <w:p w14:paraId="3783A1A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случае обнаружения ненормальностей с давлением и вообще в работе мотора необходимо немедленно вызывать представителей завода-поставщика и без их разрешения никаких переделок и перерегулировок в моторе не производить. В остальном эксплоатация мотора должна производиться в соответствии с инструкцией завода-поставщика. </w:t>
      </w:r>
    </w:p>
    <w:p w14:paraId="4FDD174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Общее число часов работы мотора на заводе им. Коминтерна не должно превышать 8 часов. </w:t>
      </w:r>
    </w:p>
    <w:p w14:paraId="6FD3AF1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Запуск мотора воздухом должен проверяться два раза, один раз при первой стационарной прокрутке и второй – при окончательной стационарной прокрутке, после всех испытаний и устранения дефектов. </w:t>
      </w:r>
    </w:p>
    <w:p w14:paraId="26F05E6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Главный фрикцион:</w:t>
      </w:r>
    </w:p>
    <w:p w14:paraId="6E62112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Главный фрикцион должен работать без заеданий и ненормальных шумов и стуков. </w:t>
      </w:r>
    </w:p>
    <w:p w14:paraId="4338AB1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Подшипники и шариковые храповики фрикциона должны работать без заеданий и заклиниваний, что проявляется в виде визга и дергания педали главного фрикциона. </w:t>
      </w:r>
    </w:p>
    <w:p w14:paraId="70081B2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Ведомый барабан фрикциона, при выключении фрикциона, должен плавно останавливаться. Допускается не полное останавливание ведомого барабана только при следующих условиях: при числе оборотов мотора не свыше 700 об/мин. и при полностью выключенном фрикционе. После включения и выключения какой-либо передачи, ведомый барабан не должен вращаться, в противном случае дефект должен быть устранен. </w:t>
      </w:r>
    </w:p>
    <w:p w14:paraId="020738F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Ход нажимного диска должен быть в пределах 5 ± 0,5 мм. </w:t>
      </w:r>
    </w:p>
    <w:p w14:paraId="6A20DE0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Коробка передач:</w:t>
      </w:r>
    </w:p>
    <w:p w14:paraId="09F38AC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Коробка передач не должна иметь течи сальников главного вала и горловины. Обработанные неокрашенные места должны быть смазаны и не иметь ржавчины. </w:t>
      </w:r>
    </w:p>
    <w:p w14:paraId="5F1F5D3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Переключение подвижных шестерен (кареток) должно быть отрегулировано по кернам и должно быть плавным, без заеданий. Нагрев коробки допускается до 100°С летом и 90°С – зимой. </w:t>
      </w:r>
    </w:p>
    <w:p w14:paraId="5147E2E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Бортовые фрикционы:</w:t>
      </w:r>
    </w:p>
    <w:p w14:paraId="4DD926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Подшипники и шариковые храповики фрикционов должны работать без заеданий и заклиниваний, что проявляется в виде визга и дергания рычагов управления фрикционами. </w:t>
      </w:r>
    </w:p>
    <w:p w14:paraId="1EA0B0B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Тормоза должны работать синхронно. </w:t>
      </w:r>
    </w:p>
    <w:p w14:paraId="15A775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Бортовые передачи:</w:t>
      </w:r>
    </w:p>
    <w:p w14:paraId="544EE67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Нагрев при работе допускается до 80°С летом и до 70°С – зимой. Явно выраженные течи из-под сальников не допускаются; допускаются незначительные подтекания из под сальников. </w:t>
      </w:r>
    </w:p>
    <w:p w14:paraId="71ECA0C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Балансирные колеса и ленивцы:</w:t>
      </w:r>
    </w:p>
    <w:p w14:paraId="1DE1A11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Допускается незначительное подтекание смазки из под сальников. Явно выраженные течи не допускаются. </w:t>
      </w:r>
    </w:p>
    <w:p w14:paraId="73ED568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Регулировка подвесок:</w:t>
      </w:r>
    </w:p>
    <w:p w14:paraId="731E5AB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Должна обеспечивать, при догруженной до нормального веса машины, клиренс 400 мм, при разнице в клиренсе по длине машины не более 20 мм, а по ширине – не более 10 мм. Вылеты стаканов и монтаж по черт. </w:t>
      </w:r>
    </w:p>
    <w:p w14:paraId="6E8A926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Порядок и метод регулировки согласно инструкции по машине, прилагаемой к каждой машине. </w:t>
      </w:r>
    </w:p>
    <w:p w14:paraId="551FE36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Стационарная прокрутка:</w:t>
      </w:r>
    </w:p>
    <w:p w14:paraId="436463E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Машина, поступающая на стационарную прокрутку, должна иметь обязательно установленными основные механизмы; не ставится: укладка в полу, жалюзи, инструментальные ящики, крыша кормы и над мотором, гусеница. Об установке механизмов и узлов в соответствии с чертежами и тех. условиями (на специально отведенном месте) должны быть отметки ОТК. </w:t>
      </w:r>
    </w:p>
    <w:p w14:paraId="7D595B3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Машина может быть поставлена на прокрутку с некоторыми дефектами и отступлениями, при условии, что они не препятствуют прокрутке и не повлияют на заключение по прокрутке машин. </w:t>
      </w:r>
    </w:p>
    <w:p w14:paraId="680C9BE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Разрешение на прокрутку такой машины должно быть подписано Нач. ОТК и ПЗ. </w:t>
      </w:r>
    </w:p>
    <w:p w14:paraId="46C5C7C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Продолжительность прокрутки:</w:t>
      </w:r>
    </w:p>
    <w:p w14:paraId="2C8F1057"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I-й передаче – 5 минут </w:t>
      </w:r>
    </w:p>
    <w:p w14:paraId="07729FA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II-й передаче – 5 минут </w:t>
      </w:r>
    </w:p>
    <w:p w14:paraId="5364103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III-й передаче – 10 минут </w:t>
      </w:r>
    </w:p>
    <w:p w14:paraId="40CF683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IV-й передаче – 10 – 15 минут </w:t>
      </w:r>
    </w:p>
    <w:p w14:paraId="6FDF174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заднем ходе – 5 минут </w:t>
      </w:r>
    </w:p>
    <w:p w14:paraId="5C8D935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Номинальное число оборотов в минуту при прокрутке 1500 – 1600 об/мин. при этом, в целях проверки давления топлива, масла и т.п. допускаются обороты от минимальных до максимальных (оговоренных выше). </w:t>
      </w:r>
    </w:p>
    <w:p w14:paraId="3E5ACE5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Механизмы машины должны удовлетворять требованиям, изложенным выше. </w:t>
      </w:r>
    </w:p>
    <w:p w14:paraId="3CA9E57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Результаты стационарного испытания машины фиксируются актом, который должен быть подписан мастером цеха, старшим мастером ОТК и ПЗ. </w:t>
      </w:r>
    </w:p>
    <w:p w14:paraId="5CD529F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машине не принятой стационарной прокруткой устраняются дефекты, и она вновь поступает на прокрутку; повторное испытание должно продолжаться ровно столько, сколько необходимо для того, чтобы убедиться, что дефект, из-за которого вновь прокручивается машина, устранен, но не более 20 минут. </w:t>
      </w:r>
    </w:p>
    <w:p w14:paraId="78B724B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Машина, принятая стационарной прокруткой, окончательно собирается, устанавливается на новые гусеницы и выезжает на площадку цеха для испытания разворотами. При отсутствии дефектов машина передается в сдаточный цех, на что сдаточному цеху выписывается ОТК извещение за подписью ОТК и ПЗ. </w:t>
      </w:r>
    </w:p>
    <w:p w14:paraId="25079D3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Заводская обкатка:</w:t>
      </w:r>
    </w:p>
    <w:p w14:paraId="302693F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Машина, идущая в обкатку, должна быть оборудована всеми механизмами и колпаком, но без вооружения, оптических приборов, укладок в полу и возимого имущества. </w:t>
      </w:r>
    </w:p>
    <w:p w14:paraId="5306DD1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Машины идут в заводскую обкатку без рации; установка рации производится в сдаточном цехе и после заводской обкатки. </w:t>
      </w:r>
    </w:p>
    <w:p w14:paraId="495CB94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Машины должны быть догружены до нормального веса машины в полном снаряжении. </w:t>
      </w:r>
    </w:p>
    <w:p w14:paraId="053DF28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Километраж заводской обкатки не более 20 клм. Первые три километра машина проходит на первой передаче, три следующих – на 2-й и остальные на 3 и 4 (в зависимости от путевых возможностей). </w:t>
      </w:r>
    </w:p>
    <w:p w14:paraId="348CFA6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время обкатки машина делает одну остановку для осмотра и подтягивания всех ослабевших соединений, трубопроводов и мест крепления; здесь же машина проверяется на восьмерке на 1 и 2 передачах и заднем ходу, при этом в тяжелых условиях (рыхлый песок, пахота и т.п.) радиус поворота должен быть не менее 8 мт. </w:t>
      </w:r>
    </w:p>
    <w:p w14:paraId="1F70375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Механизмы машины должны удовлетворять требованиям, изложенным выше. </w:t>
      </w:r>
    </w:p>
    <w:p w14:paraId="2F06BA6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время пробега представитель ОТК ведет журнал, в который вписывает показания контрольных приборов и вообще все замечания по механизмам и машине в целом. </w:t>
      </w:r>
    </w:p>
    <w:p w14:paraId="3028C53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возвращению в цех и устранению дефектов по акту ОТК после заводской обкатки, машина предъявляется ОТК. Принятая машина пломбируется ОТК и на неё выписывается извещение ПЗ за подписью Зав. Бюро ОТК при сдаточном цехе, т.е. машина предъявляется ПЗ к сдаточному испытанию. </w:t>
      </w:r>
    </w:p>
    <w:p w14:paraId="2722049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Сдаточное испытание:</w:t>
      </w:r>
    </w:p>
    <w:p w14:paraId="5F166D7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Машина, идущая в сдаточное испытание, должна быть оборудована также как для заводской обкатки (см. ниже), но с установленной системой при установке рации в нише колпака; при установке рации в носовой части систему в сдаточный пробег можно не устанавливать. Машины с установкой рации совмещают сдаточное испытание (ходовое) с испытанием рации (см. выше раздел по испытанию раций). </w:t>
      </w:r>
    </w:p>
    <w:p w14:paraId="7A71736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Километраж сдаточного испытания не более 50 клм. </w:t>
      </w:r>
    </w:p>
    <w:p w14:paraId="6D65DB3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Средняя скорость чистого движения: 20 – 30 км/час. </w:t>
      </w:r>
    </w:p>
    <w:p w14:paraId="7798874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Максимальная скорость 47 км/час. при 1700 об/мин. </w:t>
      </w:r>
    </w:p>
    <w:p w14:paraId="318B949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Машина должна проходить всевозможные проселочные и грунтовые дороги, а также и бездорожье, но на соответствующих скоростях. Маршрут для испытания – по выбору ПЗ и согласованию с нач. "100" и нач. "109". </w:t>
      </w:r>
    </w:p>
    <w:p w14:paraId="52CFB22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время пробега допускается иметь не более двух остановок по вине машины, продолжительностью не свыше 10-ти минут каждая. Механизмы должны удовлетворять требованиям, изложенным выше. </w:t>
      </w:r>
    </w:p>
    <w:p w14:paraId="04F176F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время пробега представитель ОТК ведет журнал, в который вписывает показания контрольных приборов и вообще все замечания по механизмам и машине. </w:t>
      </w:r>
    </w:p>
    <w:p w14:paraId="3E6D35B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Осмотр машины и прокрутка ходовой части должна производиться сейчас же после сдаточного пробега, прокрутка должна продолжаться не более 10 минут; при этом машина должна быть чистой для удобства осмотра. </w:t>
      </w:r>
    </w:p>
    <w:p w14:paraId="7EB3C8AF"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случае обнаружения на машине дефектов таких, какие изложены ниже, сдаточное испытание засчитывается согласно таблицы. </w:t>
      </w:r>
    </w:p>
    <w:p w14:paraId="5226DBC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w:t>
      </w:r>
    </w:p>
    <w:p w14:paraId="37CA6B6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Дефектов, с которыми сдаточное испытание засчитывается, но с последующим контрольным пробегом, после устранения дефектов. </w:t>
      </w:r>
    </w:p>
    <w:p w14:paraId="6B8685B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х) ПРИМЕЧАНИЕ: 1. Контрольный пробег в 25 клм назначается в случае, если дефект обнаружен во второй половине пробега, при обнаружении дефекта в первой половине пробега, пробег не засчитывается. </w:t>
      </w:r>
    </w:p>
    <w:p w14:paraId="22C5762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Условия для контрольного пробега те же, что и для сдаточного испытания. </w:t>
      </w:r>
    </w:p>
    <w:p w14:paraId="0C52B5E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случае обнаружения на машине дефектов менее значительных, чем изложены выше, контрольный пробег не назначается, а устранение дефектов контролируется осмотром или прокруткой (в зависимости от дефектов). </w:t>
      </w:r>
    </w:p>
    <w:p w14:paraId="5C19ECF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Прокрутка должна продолжаться ровно столько, сколько необходимо для того, чтобы убедиться, что дефект, из-за которого прокручивается машина, – устроен, но не более 15-ти минут. </w:t>
      </w:r>
    </w:p>
    <w:p w14:paraId="69A4651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Порядок устранения дефектов с последующим контрольным пробегом должен быть таким, чтобы машины не ходили в пробеги с установленным вооружением. </w:t>
      </w:r>
    </w:p>
    <w:p w14:paraId="62C8223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Технологический процесс на устранение дефектов и окончательную сборку, окраску, укомплектовку и сдачу машин ПЗ должен обеспечивать наименьшее возможное число часов работы мотора на заводе им. Коминтерна. </w:t>
      </w:r>
    </w:p>
    <w:p w14:paraId="32D65F0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Порядок предъявления машины представителю заказчика по операциям, устанавливается отдельной инструкцией, составленной "180" и согласованной с представителем заказчика. </w:t>
      </w:r>
    </w:p>
    <w:p w14:paraId="6508FD8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Окончательно принятая к отправке машина должна удовлетворять следующему: </w:t>
      </w:r>
    </w:p>
    <w:p w14:paraId="24F2869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 машине должны быть установлены все механизмы, вооружение и детали, полагающиеся ей по детальной описи и собранные в соответствии с чертежами и тех. условиями, утвержденными АБТУ. </w:t>
      </w:r>
    </w:p>
    <w:p w14:paraId="072266A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На машину должны быть поставлены гусеницы, прошедшие не менее 20 клм и не более 80 клм и в остальном соответствующие чертежам и техусловиям, утвержденным АБТУ. </w:t>
      </w:r>
    </w:p>
    <w:p w14:paraId="4DC93B62"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На машине должны быть установлены новые, но бывшие в работе, аккумуляторы, снятые с зарядки не позднее 10 дней, считая по день отправки и соответствующие чертежам и тех. условиям, утвержденным АБТУ. </w:t>
      </w:r>
    </w:p>
    <w:p w14:paraId="3BF7FE3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указанию ПЗ, переданному Нач. "100" заблаговременно, машины отправляются с разряженными аккумуляторами, в порядке установленном ПЗ и в соответствии с инструкцией по уходу за аккумуляторами завода-поставщика. </w:t>
      </w:r>
    </w:p>
    <w:p w14:paraId="33E02EC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На машине должен быть уложен возимый комплект запчастей и инструмента, согласно ведомости, согласованной с ПЗ. </w:t>
      </w:r>
    </w:p>
    <w:p w14:paraId="3A6EE42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Машина должна быть полностью заправлена топливом, маслом и водой (масляный кран должен быть перекрыт во избежание перетекания масла в картер мотора). По указанию ПЗ, переданному Нач. "100" заблаговременно, машины отправляются со спущенным маслом и водой. </w:t>
      </w:r>
    </w:p>
    <w:p w14:paraId="4B347D6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Машина должна иметь огнетушитель, заряженный не позднее 5-ти дней, считая на день отправки и соответствовать чертежам и тех. условиям, утвержденным АБТУ. </w:t>
      </w:r>
    </w:p>
    <w:p w14:paraId="37BC615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Давление воздуха в баллонах должно быть в пределах 150 ± 5 атм. </w:t>
      </w:r>
    </w:p>
    <w:p w14:paraId="50F0116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Машина должна быть окрашена в соответствии с тех условиями, согласованными с ПЗ и "109". </w:t>
      </w:r>
    </w:p>
    <w:p w14:paraId="24D8E72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Повреждения грузошин, допускаемые на машинах после проведения всех ходовых испытаний:</w:t>
      </w:r>
    </w:p>
    <w:p w14:paraId="302970C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На поддерживающих колесах допускаются надрезы или надрывы глубиной не более 10 мм, длиной не более 40 мм, в количестве не более 3-х, на расстоянии между ними не менее 250 мм, кромки надрезов и надрывов, выходящие на край, должны быть зачищены, отрыв одного куска резины вдоль беговой дорожки, толщиной не более 10 мм, шириной не более 20 мм и длиной не более 50 мм. </w:t>
      </w:r>
    </w:p>
    <w:p w14:paraId="40D779E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Отставание беговой резины от края реборды не является причиной для забракования грузошины даже в том случае, если это отставание вызвано ударом трака и если глубина щели не превышает 6 мм, длина щели не ограничена; ширина щели при этом не должна превышать 2-х мм, считая между ребордой и массивом резины, оставшиеся деформации грузоленты (изгиб) при этом не допускаются; таких дефектов допускается не более одной на грузоленту. </w:t>
      </w:r>
    </w:p>
    <w:p w14:paraId="256D3C76"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Допускаются забоины по наружному и внутреннему краю реборды. </w:t>
      </w:r>
    </w:p>
    <w:p w14:paraId="6AB539A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Специальные испытания.</w:t>
      </w:r>
    </w:p>
    <w:p w14:paraId="4571C41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Испытания на преодоление препятствий:</w:t>
      </w:r>
    </w:p>
    <w:p w14:paraId="387D5D75"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Одна машина в месяц, по усмотрению ПЗ, кроме сдаточного испытания, проверяется на одном из следующих препятствий (допускается совмещать со сдаточными испытаниями). </w:t>
      </w:r>
    </w:p>
    <w:p w14:paraId="3C7731F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Подъемы: </w:t>
      </w:r>
    </w:p>
    <w:p w14:paraId="43C39543"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Машина должна преодолевать на 1-й передаче без шпор подъем в 38˚ с плотным дерновым покровом, протяжением 15 – 20 метров без остановки, а также и с одной остановкой; на заднем ходе, при этих же условиях подъем в 25˚ протяжением 5 – 8 метров; при этом не должно быть перегрева мотора и пробуксовки фрикционов. </w:t>
      </w:r>
    </w:p>
    <w:p w14:paraId="4141F359"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Песчаные сыпучие дюны должны преодолеваться машиной. </w:t>
      </w:r>
    </w:p>
    <w:p w14:paraId="1A21662A"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Испытание большим пробегом:</w:t>
      </w:r>
    </w:p>
    <w:p w14:paraId="0E592204"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 машин, подготовленных к сдаточному испытанию, по усмотрению ПЗ, восемь машин в год, по две машины в квартал, идут в 300 клм. пробег по маршруту, согласованному с нач. "100" и "109". Такие машины должны быть полностью укомплектованы, как машины, подготовленные к отправке. Условия для испытания те же, что и для сдаточного испытания. Эти машины должны испытываться на следующих препятствиях: </w:t>
      </w:r>
    </w:p>
    <w:p w14:paraId="0C7AB53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Ломка деревьев:</w:t>
      </w:r>
    </w:p>
    <w:p w14:paraId="5A87D16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Должна производиться передачей носовой частью корпуса, на 1-й передаче с закрытыми люками. Водитель должен быть привязан к сидению ремнями пилота. Порода деревьев – сосна толщиной от 350 до 400 мм. </w:t>
      </w:r>
    </w:p>
    <w:p w14:paraId="277A54DC"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Буксировка машины машиной:</w:t>
      </w:r>
    </w:p>
    <w:p w14:paraId="1B1644F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Допускается только на первой передаче на твердом грунте и на подъемах не свыше 10˚. При буксировке по пересеченной местности протяжением до 2-х клм., показания контрольных приборов должны быть в пределах допусков, мотор не должен чувствовать перегруза. </w:t>
      </w:r>
    </w:p>
    <w:p w14:paraId="4061087B"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конце пробега такие машины должны преодолевать брод глубиною до 1200 мм. при твердом грунте дна и пологих берегах; при этом при нахождении в воде в течение 15 минут – корпус не должен давать течи. </w:t>
      </w:r>
    </w:p>
    <w:p w14:paraId="658F327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После пробега все механизмы должны быть тщательно осмотрены и по устранении всех дефектов, машине может быть назначен, по необходимости, контрольный пробег, но не более 25 клм. </w:t>
      </w:r>
    </w:p>
    <w:p w14:paraId="419012F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Испытание на гарантийный километраж:</w:t>
      </w:r>
    </w:p>
    <w:p w14:paraId="4F35553E"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 машин, окончательно сданных в отправку, по усмотрению ПЗ, две машины в год проходят в "540" испытание на гарантийный километраж, по специальной программе, согласованной с нач. "100", ПЗ и главным конструктором завода. </w:t>
      </w:r>
    </w:p>
    <w:p w14:paraId="4C14037D"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 ГЛАВНОГО КОНСТРУКТОРА ЗАВОДА подпись 25.VIII.40 МОРОЗОВ </w:t>
      </w:r>
    </w:p>
    <w:p w14:paraId="36D6B5B1"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 Начальника "520" подпись КУЧЕРЕНКО </w:t>
      </w:r>
    </w:p>
    <w:p w14:paraId="660514A0"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ВОЕНПРЕД АБТУ КА на Заводе № 183 подпись П.Ф. Русакова 25.7.40</w:t>
      </w:r>
    </w:p>
    <w:p w14:paraId="6BF52958" w14:textId="77777777" w:rsidR="0026491A" w:rsidRPr="00DB5D0D" w:rsidRDefault="0026491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Фонд 31811 Опись 3 Дело 1850 листы 1 – 90 (18153).</w:t>
      </w:r>
    </w:p>
    <w:p w14:paraId="37401266" w14:textId="77777777" w:rsidR="0026491A" w:rsidRPr="00DB5D0D" w:rsidRDefault="0026491A" w:rsidP="00DB5D0D">
      <w:pPr>
        <w:spacing w:after="0" w:line="240" w:lineRule="auto"/>
        <w:jc w:val="both"/>
        <w:rPr>
          <w:rFonts w:ascii="Times New Roman" w:hAnsi="Times New Roman"/>
          <w:color w:val="000000" w:themeColor="text1"/>
          <w:sz w:val="16"/>
          <w:szCs w:val="16"/>
        </w:rPr>
      </w:pPr>
    </w:p>
    <w:p w14:paraId="300EAF98"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 Политбюро ЦК ВКП(б) приняло решение о строительстве в Грозном завода Наркомнефти по производству нового вида топлива.</w:t>
      </w:r>
    </w:p>
    <w:p w14:paraId="3E731A35"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Специальное бюро Наркомата топливной промышленности СССР разработало технологию промышленного производства, и руководство этого наркомата, а затем образовавшегося при его разделении Наркомата нефтяной промышленности СССР, в подчинение которого перешло бюро, начало активно лоббировать внедрение новинки, крайне полезной для Красной армии. Причем, судя по отдельным упоминаниям в документах, особую роль в продвижении идеи играл заместитель наркома нефтяной промышленности Николай Константинович Байбаков, отвечавший за новые разработки и снабжение топливом РККА. А главное, как вспоминали знавшие его люди, любивший разнообразные новшества.</w:t>
      </w:r>
    </w:p>
    <w:p w14:paraId="60C141BD"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Правда, еще до завершения строительства завода в отчете руководившего проектной и технологической частью работ ГрозНИИ говорилось:</w:t>
      </w:r>
    </w:p>
    <w:p w14:paraId="7103CB5F"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твердого бензина показали, что авиационный бензин В-70 в брикетированном состоянии хорошо сохраняет свои свойства, трудней воспламеняется от зажигательных пуль авиапулемета ШКАС, чем бензин в жидком состоянии, твердый бензин значительно удобнее транспортировать. Но регенерационная установка, служащая для превращения брикетов твердого бензина в жидкое состояние, очень громоздка, тяжела и имеет целый ряд недостатков» (12153).</w:t>
      </w:r>
    </w:p>
    <w:p w14:paraId="399DE1F0" w14:textId="77777777" w:rsidR="00A556B7" w:rsidRPr="00DB5D0D" w:rsidRDefault="00A556B7" w:rsidP="00DB5D0D">
      <w:pPr>
        <w:spacing w:after="0" w:line="240" w:lineRule="auto"/>
        <w:jc w:val="both"/>
        <w:rPr>
          <w:rFonts w:ascii="Times New Roman" w:hAnsi="Times New Roman"/>
          <w:color w:val="000000" w:themeColor="text1"/>
          <w:sz w:val="16"/>
          <w:szCs w:val="16"/>
        </w:rPr>
      </w:pPr>
    </w:p>
    <w:p w14:paraId="78F199B6"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w:t>
      </w:r>
    </w:p>
    <w:p w14:paraId="67A2E00A"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156. Докладная записка наркома ВМФ СССР Н. Г. Кузнецова секретарю ЦК ВКП(б) И. В. Сталину о необходимости утверждения программы строительства боевых кораблей и вспомогательных судов на 1940-1942 гг.</w:t>
      </w:r>
    </w:p>
    <w:p w14:paraId="6E79C276"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5026191C"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630-631.</w:t>
      </w:r>
    </w:p>
    <w:p w14:paraId="609E24E8"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2DFABB0A"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 3. Оп. 46. Д. 556. Л. 1-3. Подлинник.</w:t>
      </w:r>
    </w:p>
    <w:p w14:paraId="06E6318C"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48078334"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Особой важности.</w:t>
      </w:r>
    </w:p>
    <w:p w14:paraId="63413655"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Представляя план строительства боевых кораблей и вспомогательных судов ВМФ на 1940</w:t>
      </w:r>
      <w:r w:rsidRPr="00DB5D0D">
        <w:rPr>
          <w:rFonts w:ascii="Times New Roman" w:hAnsi="Times New Roman"/>
          <w:color w:val="000000" w:themeColor="text1"/>
          <w:sz w:val="16"/>
          <w:szCs w:val="16"/>
        </w:rPr>
        <w:noBreakHyphen/>
        <w:t>1942 гг., откорректированный в точном соответствии с постановлением Комитета обороны при СНК СССР от 9 января 1940 г. и составленный на основе реальных возможностей промышленности на эти годы, докладываю:</w:t>
      </w:r>
    </w:p>
    <w:p w14:paraId="57CE4FEA"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Отсутствие утвержденной программы строительства флота на перспективу затрудняет решение комплекса вопросов обеспечения флота: подготовки кадров, планирования и строительства военно-морских баз, центральных складов, планирования производства вооружения и всех видов боезапаса.</w:t>
      </w:r>
    </w:p>
    <w:p w14:paraId="20DCB993"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Для ориентировочных расчетов по всем видам обеспечения флота в перспективе НКВМФ пользовался сначала десятилетней программой, разработанной и представленной в правительство в 1938 г., затем пятилетней программой, откорректированной в 1939 г. Все эти программы не были утверждены правительством, устаревали через сравнительно короткий срок из-за недовыполнения промышленностью программы очередного года и приводили к беспрерывным пересчетам потребного количества кадров, вооружения и боезапаса, создавая исключительное напряжение в работе аппарата.</w:t>
      </w:r>
    </w:p>
    <w:p w14:paraId="4EC7EFA7"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Представляемая при настоящем докладе программа является частью общей (конечной) программы строительства флота на отдаленную перспективу, представленной в правительство при № 9911/сс/ов от 5 августа 1939 г.</w:t>
      </w:r>
    </w:p>
    <w:p w14:paraId="6741BCCC"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Программа далеко не отвечает даже минимальным потребностям морских театров в корабельном составе:</w:t>
      </w:r>
    </w:p>
    <w:p w14:paraId="5FF4C3DC"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линейный флот на текущее пятилетие остается в прежнем составе: 1 линкор в Черноморском и 2 в Балтийском театре;</w:t>
      </w:r>
    </w:p>
    <w:p w14:paraId="4C0AC263"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 крупных кораблей вступят в строй 11 крейсеров, что составит вместе с существующими в среднем по 3 новых крейсера на театр;</w:t>
      </w:r>
    </w:p>
    <w:p w14:paraId="53D02648"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из легких сил (лидеры, эсминцы) вступят в строй 42 ед., что вместе с существующими составит в среднем по 16 новых единиц на каждый театр.</w:t>
      </w:r>
    </w:p>
    <w:p w14:paraId="73597B95"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это основное боевое ядро надводного флота ляжет вся тяжесть таких боевых действий, как обеспечение выхода подводных лодок, защита коммуникаций, содействие армии, население разведывательных операций[</w:t>
      </w:r>
      <w:hyperlink r:id="rId227"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обеспечение минных постановок, не говоря уже об операциях против баз и побережья противника.</w:t>
      </w:r>
    </w:p>
    <w:p w14:paraId="4AE704C1"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Тяжелое положение будет со сторожевыми кораблями и тральщиками. По программе должно вступить всего лишь 9 эскадренных сторожевых кораблей. Они должны будут нести сторожевую службу, противолодочную оборону и конвоирование судов. Из тральщиков вступят в строй 34 ед., что вместе с имеющимися 28 составит 62, или по 15 на флот. Это количество недостаточно для обеспечения всего объема тральных работ.</w:t>
      </w:r>
    </w:p>
    <w:p w14:paraId="1BAE433F"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Для Краснознаменного Балтийского флота не размещено строительство морских канонерских лодок; в то время как по условиям театра (шхеры) такой тип корабля совершенно необходим. Во время боевых действий с Финляндией для содействия флангу армии вынуждены были вооружать шаланды.</w:t>
      </w:r>
    </w:p>
    <w:p w14:paraId="07568748"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Дислокация производства такова, что такой важнейший театр, как Тихоокеанский, может рассчитывать на пополнение основных боевых единиц только за счет перевода с других флотов. В мирное время переводы затруднительны, в военное же время — или невозможны, или связаны с большим риском.</w:t>
      </w:r>
    </w:p>
    <w:p w14:paraId="1D907BE6"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учитывая возможности промышленности на третью пятилетку, предъявление к ней более высоких требований считаю нереальным и прошу:</w:t>
      </w:r>
    </w:p>
    <w:p w14:paraId="4AEDD682"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Утвердить программу судостроения на 1940</w:t>
      </w:r>
      <w:r w:rsidRPr="00DB5D0D">
        <w:rPr>
          <w:rFonts w:ascii="Times New Roman" w:hAnsi="Times New Roman"/>
          <w:color w:val="000000" w:themeColor="text1"/>
          <w:sz w:val="16"/>
          <w:szCs w:val="16"/>
        </w:rPr>
        <w:noBreakHyphen/>
        <w:t>1942 гг.</w:t>
      </w:r>
    </w:p>
    <w:p w14:paraId="214B1CA9"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Народный комиссариат судостроительной промышленности:</w:t>
      </w:r>
    </w:p>
    <w:p w14:paraId="5997344B"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разместить строительство двух морских канонерских лодок для Балтийского театра;</w:t>
      </w:r>
    </w:p>
    <w:p w14:paraId="18BE043B"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организовать производство вспомогательных судов на Тихоокеанском театре;</w:t>
      </w:r>
    </w:p>
    <w:p w14:paraId="4CB4FCE3"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форсировать достройку и пуск в эксплуатацию на полную мощность строящихся заводов № 402 и № 199.</w:t>
      </w:r>
    </w:p>
    <w:p w14:paraId="565665CF"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план строительства кораблей 1940</w:t>
      </w:r>
      <w:r w:rsidRPr="00DB5D0D">
        <w:rPr>
          <w:rFonts w:ascii="Times New Roman" w:hAnsi="Times New Roman"/>
          <w:color w:val="000000" w:themeColor="text1"/>
          <w:sz w:val="16"/>
          <w:szCs w:val="16"/>
        </w:rPr>
        <w:noBreakHyphen/>
        <w:t>1942 гг. на 42 л.[</w:t>
      </w:r>
      <w:hyperlink r:id="rId228" w:anchor="p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w:t>
      </w:r>
    </w:p>
    <w:p w14:paraId="4B8C8BC4"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Военно-морского флота Союза ССР, флагман флота 2-го рангаКузнецов</w:t>
      </w:r>
    </w:p>
    <w:p w14:paraId="69DAC8AD"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p w14:paraId="095172F6"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29"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Так в тексте.</w:t>
      </w:r>
    </w:p>
    <w:p w14:paraId="14B4003E"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30" w:anchor="s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Приложение не публикуется (см. там же, Л. 4</w:t>
      </w:r>
      <w:r w:rsidRPr="00DB5D0D">
        <w:rPr>
          <w:rFonts w:ascii="Times New Roman" w:hAnsi="Times New Roman"/>
          <w:color w:val="000000" w:themeColor="text1"/>
          <w:sz w:val="16"/>
          <w:szCs w:val="16"/>
        </w:rPr>
        <w:noBreakHyphen/>
        <w:t>45).</w:t>
      </w:r>
    </w:p>
    <w:p w14:paraId="5879F8D4" w14:textId="77777777" w:rsidR="005301D0" w:rsidRPr="00DB5D0D" w:rsidRDefault="005301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 РФ. Ф. 3. Оп. 46. Д. 556. Л. 1-3. Подлинник (17998).</w:t>
      </w:r>
    </w:p>
    <w:p w14:paraId="5A4BC098" w14:textId="77777777" w:rsidR="005301D0" w:rsidRPr="00DB5D0D" w:rsidRDefault="005301D0" w:rsidP="00DB5D0D">
      <w:pPr>
        <w:spacing w:after="0" w:line="240" w:lineRule="auto"/>
        <w:jc w:val="both"/>
        <w:rPr>
          <w:rFonts w:ascii="Times New Roman" w:hAnsi="Times New Roman"/>
          <w:color w:val="000000" w:themeColor="text1"/>
          <w:sz w:val="16"/>
          <w:szCs w:val="16"/>
        </w:rPr>
      </w:pPr>
    </w:p>
    <w:p w14:paraId="2728706B"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556D939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7C4A0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25 июля 1940 в 8-м дбап значились 72 ДБ-ЗФ с моторами М-88. Новые самолеты стали поступать в Московский, Ленинградский, Северо-Кавказский и другие округа. Лишь на Дальнем Востоке монопольно царили старые ДБ-3. Там сохранилось еще немало машин с М-85 и М-86. "...в 5-й аб имеется 48 самолетов ДБ-3 первого выпуска разных заводов. Все эти самолеты требуют модернизации и в настоящее время небоеспособны из-за отсутствия запчастей, т.к. запчасти серийных самолетов не подходят", - сообщали оттуда.</w:t>
      </w:r>
    </w:p>
    <w:p w14:paraId="7D4412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Внедрение ДБ-ЗФ в строевых частях поначалу вызвало много неприятностей. "Первый же месяц эксплоатации этих самолетов выявил ряд серьезнейших дефектов и недостатков конструктивно-производственного порядка...", - писал в июне 1940 г. заместитель начальника ВВС Смушкевич новому наркому обороны маршалу Тимошенко. Расход горючего оказался почти вдвое больше, чем у ДБ-ЗБ. Впоследствии выявили дефект карбюраторов АК-88, дававших переобогащенную смесь. Карбюраторы еще периодически и горели при заходе на посадку. Жаловались на недостаточную прочность капотов моторов и всасывающих патрубков - трескаются. Полужесткие баки деформировались. Из-за неудачной конструкции заборников в баках оставался значительный невырабатываемый запас горючего, превышавший </w:t>
      </w:r>
      <w:r w:rsidRPr="00DB5D0D">
        <w:rPr>
          <w:rFonts w:ascii="Times New Roman" w:hAnsi="Times New Roman"/>
          <w:color w:val="000000" w:themeColor="text1"/>
          <w:sz w:val="16"/>
          <w:szCs w:val="16"/>
        </w:rPr>
        <w:lastRenderedPageBreak/>
        <w:t>150 л. И, наконец, в носовой кабине плохо закреплялось сиденье штурмана: "При резких толчках на рулении сиденье вместе со штурманом попадает в педали управления самолетом...".</w:t>
      </w:r>
    </w:p>
    <w:p w14:paraId="37850B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ДБ-ЗФ не вызывал восторга и у пилотов. Изменение центровки привело к значительному снижению устойчивости. "Пилотажные качества самолетов ДБ-ЗФ в значительной степени ухудшились по сравнению с качествами самолета ДБ-3", - писал Смушкевич (12021).</w:t>
      </w:r>
    </w:p>
    <w:p w14:paraId="061A67B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099260" w14:textId="77777777" w:rsidR="006C4666" w:rsidRPr="00DB5D0D" w:rsidRDefault="006C4666" w:rsidP="00DB5D0D">
      <w:pPr>
        <w:pStyle w:val="af2"/>
        <w:jc w:val="both"/>
        <w:rPr>
          <w:i w:val="0"/>
          <w:iCs w:val="0"/>
          <w:color w:val="000000" w:themeColor="text1"/>
          <w:spacing w:val="0"/>
          <w:kern w:val="0"/>
          <w:position w:val="0"/>
          <w:sz w:val="16"/>
          <w:szCs w:val="16"/>
          <w:lang w:val="ru-RU"/>
        </w:rPr>
      </w:pPr>
      <w:r w:rsidRPr="00DB5D0D">
        <w:rPr>
          <w:bCs/>
          <w:i w:val="0"/>
          <w:color w:val="000000" w:themeColor="text1"/>
          <w:spacing w:val="0"/>
          <w:kern w:val="0"/>
          <w:position w:val="0"/>
          <w:sz w:val="16"/>
          <w:szCs w:val="16"/>
          <w:lang w:val="ru-RU"/>
        </w:rPr>
        <w:t>25 июля 1940 г. ИЗ ПОСТАНОВЛЕНИЯ СНК СССР ОБ ОРГАНИЗАЦИОННОЙ СТРУКТУРЕ ВОЕННЫХ ВОЗДУШНЫХ СИЛ КРАСНОЙ АРМИИ № 1344-524сс</w:t>
      </w:r>
    </w:p>
    <w:p w14:paraId="10413DE0"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Совершенно секретно </w:t>
      </w:r>
    </w:p>
    <w:p w14:paraId="31EF7B6A"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Совет Народных Комиссаров СССР постановляет: </w:t>
      </w:r>
    </w:p>
    <w:p w14:paraId="4B5E5E75"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1. Утвердить следующую организационную структуру Военных Воздушных Сил Красной Армии: </w:t>
      </w:r>
    </w:p>
    <w:p w14:paraId="7E5A9D3F"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а) Авиационная дивизия в составе управления дивизии и 4 - 5 авиационных полков. </w:t>
      </w:r>
    </w:p>
    <w:p w14:paraId="754F658E"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б) Отдельная авиационная бригада в составе управления бригады и 2 - 3 авиационных полков. </w:t>
      </w:r>
    </w:p>
    <w:p w14:paraId="01F7F98B"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Авиационный полк в составе 4 - 5 авиационных эскадрилий. </w:t>
      </w:r>
    </w:p>
    <w:p w14:paraId="212CEDD7"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г) Авиационная эскадрилья в составе 4 - 5 авиазвеньев. </w:t>
      </w:r>
    </w:p>
    <w:p w14:paraId="53AD0841"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д) Авиационное звено в составе 3-х самолетов. </w:t>
      </w:r>
    </w:p>
    <w:p w14:paraId="30228A78"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2. Утвердить следующую организацию авиационных дивизии: </w:t>
      </w:r>
    </w:p>
    <w:p w14:paraId="3826E3CD"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Смешанные дивизии, имеющие своим назначением непосредственное взаимодействие с войсками и поддержку механизированных, кавалерийских и общевойсковых соединений. В составе смешанной авиадивизии иметь: 2-3 полка бомбардировочных и 3-2 полка истребительных. Основным типом смешанной авиадивизии 5-полкового состава считать дивизию, имеющую в своем составе 3 бомбардировочных авиаполка и 2 истребительных авиаполка. В бомбардировочных полках иметь по 1-2 штурмовых эскадрильи. </w:t>
      </w:r>
    </w:p>
    <w:p w14:paraId="46FE10E1"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дивизиях, предназначенных для взаимодействия с механизированными соединениями, иметь 2 полка бомбардировочных, 1 полк истребительный и 1 - 2 полка штурмовых. </w:t>
      </w:r>
    </w:p>
    <w:p w14:paraId="1BDA66AD"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Дапьнебомбардировочные дивизии, вооруженные самолетами типа ДБ, имеющие своим назначением разрушение военных объектов и дезорганизацию тыла противника. В дальнебомбардировочной дивизии иметь 4-5 полков бомбардировщиков - типа ДБ. </w:t>
      </w:r>
    </w:p>
    <w:p w14:paraId="24A1B3A5"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Истребительные дивизии, имеющие своим назначением борьбу за господство в воздухе и прикрытие политических и экономических центров. </w:t>
      </w:r>
    </w:p>
    <w:p w14:paraId="6A758EA4"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истребительной дивизии иметь 4 - 5 истребительных полков. </w:t>
      </w:r>
    </w:p>
    <w:p w14:paraId="3AEE1148"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составе авиационных дивизий иметь следующее количество боевых самолетов: </w:t>
      </w:r>
    </w:p>
    <w:p w14:paraId="5A19B99E"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смешанной авиадивизии - 250 - 312 </w:t>
      </w:r>
    </w:p>
    <w:p w14:paraId="27F2C0A9"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дальнебомбардировочной авиадивизии - 248 - 310 </w:t>
      </w:r>
    </w:p>
    <w:p w14:paraId="26D5DA34"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истребительной авиадивизии - 252 - 315 </w:t>
      </w:r>
    </w:p>
    <w:p w14:paraId="7520C951"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5. В соответствии с указанной выше организацией, для объединения существующих авиационных полков разрешить НКО сформировать: </w:t>
      </w:r>
    </w:p>
    <w:p w14:paraId="05D80CC2"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а) авиационных дивизий - 38 </w:t>
      </w:r>
    </w:p>
    <w:p w14:paraId="4C6E2A58"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Из них: </w:t>
      </w:r>
    </w:p>
    <w:p w14:paraId="395B50D4"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смешанных авиационных дивизий - 26 </w:t>
      </w:r>
    </w:p>
    <w:p w14:paraId="7F38AD34"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дальнебомбардировочных авиационных дивизий - 7 </w:t>
      </w:r>
    </w:p>
    <w:p w14:paraId="3C599C13"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истребительных авиационных дивизий - 5 </w:t>
      </w:r>
    </w:p>
    <w:p w14:paraId="54C56C3A"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Из общего количества авиадивизий иметь: </w:t>
      </w:r>
    </w:p>
    <w:p w14:paraId="34D5D96B"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трех-полкового состава - 3 </w:t>
      </w:r>
    </w:p>
    <w:p w14:paraId="0B02AA60"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четырех-полкового состава - 22 </w:t>
      </w:r>
    </w:p>
    <w:p w14:paraId="004EE9D0"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пяти-полкового состава - 12 </w:t>
      </w:r>
    </w:p>
    <w:p w14:paraId="6E6C883B"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шести-полкового состава - 1 </w:t>
      </w:r>
    </w:p>
    <w:p w14:paraId="54B33E10"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Всего в состав 38 авиационных дивизий включить 163 авиационных полка. </w:t>
      </w:r>
    </w:p>
    <w:p w14:paraId="7B60D2FC"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7. В целях образования резерва авиационных соединений сформировать 12 новых авиационных дивизий (48 авиационных полков), из них: </w:t>
      </w:r>
    </w:p>
    <w:p w14:paraId="4C8B1252"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смешанных авиадивизий - 5 </w:t>
      </w:r>
    </w:p>
    <w:p w14:paraId="0E4AA889"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дальнебомбардировочных авиадивизий - 4 </w:t>
      </w:r>
    </w:p>
    <w:p w14:paraId="613053F4"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истребительных авиадивизий - 3 </w:t>
      </w:r>
    </w:p>
    <w:p w14:paraId="16119CB9"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На формирование указанных авиадивизий обратить остающиеся в излишке управления авиабригад. </w:t>
      </w:r>
    </w:p>
    <w:p w14:paraId="3CB619F5"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составе новых 12 авиационных дивизий иметь: </w:t>
      </w:r>
    </w:p>
    <w:p w14:paraId="310EA10C"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бомбардировочных авиационных полков - 31 </w:t>
      </w:r>
    </w:p>
    <w:p w14:paraId="1945296C"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истребительных авиационных полков - 17 </w:t>
      </w:r>
    </w:p>
    <w:p w14:paraId="0D52C278"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9. Указанные выше мероприятия НКО провести в следующие сроки: </w:t>
      </w:r>
    </w:p>
    <w:p w14:paraId="3AFB2BD8"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1) Организацию 38 авиадивизий из существующих авиаполков к 1. IX.1940 года. </w:t>
      </w:r>
    </w:p>
    <w:p w14:paraId="50CDC46D"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2) Формирование новых 12 авиадивизий (48 полков) к 1.1.1941 года. </w:t>
      </w:r>
    </w:p>
    <w:p w14:paraId="00F563F7"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3) Формирование 2-х тяжелых бомбардировочных, 10 разведывательных авиаполков, 58 корпусных авиаэскадрилий, 6 санитарных авиаэскадрилий к 1.XII.1940 года. </w:t>
      </w:r>
    </w:p>
    <w:p w14:paraId="6108B074"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10. На проведение вышеизложенных мероприятий разрешить НКО увеличить штатную численность ВВС Красной Армии на 60 248 человек. </w:t>
      </w:r>
    </w:p>
    <w:p w14:paraId="2566350D"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11...Общую штатную численность Красной Армии, во изменение постановления СНК СССР № 1193/464 от 6.VII.40 г.- иметь 3 521 448 человек. </w:t>
      </w:r>
    </w:p>
    <w:p w14:paraId="5D0DE9AB"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Председатель Совета Народных Комиссаров Союза ССР В. Молотов </w:t>
      </w:r>
    </w:p>
    <w:p w14:paraId="79CA3CEE"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Управляющий делами Совета Народных Комиссаров Союза ССР М.Хпомов </w:t>
      </w:r>
    </w:p>
    <w:p w14:paraId="5E90614F"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АП РФ. Ф.93. Коллекция документов. Машинопись на бланке: "Постановление Совета Народных Комиссаров Союза ССР". Заверенная копия (11447).</w:t>
      </w:r>
    </w:p>
    <w:p w14:paraId="63F1EE6F"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535517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 постановлением СНК СССР об организационной структуре ВВС Красной армии №1344-524с был утвержден штат авиационной дивизии, состоящей из управления дивизии и 4 - 5 авиаполков. Допускалось существование отде</w:t>
      </w:r>
      <w:r w:rsidRPr="00DB5D0D">
        <w:rPr>
          <w:rFonts w:ascii="Times New Roman" w:hAnsi="Times New Roman"/>
          <w:color w:val="000000" w:themeColor="text1"/>
          <w:sz w:val="16"/>
          <w:szCs w:val="16"/>
        </w:rPr>
        <w:softHyphen/>
        <w:t>льных авиабригад в составе управления бригады и 2 - 3 авиаполков (1941 год. Кн. 1.С. 129.) (11710,410).</w:t>
      </w:r>
    </w:p>
    <w:p w14:paraId="0269E6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3CC71BB" w14:textId="77777777" w:rsidR="00A556B7" w:rsidRPr="00DB5D0D" w:rsidRDefault="00A556B7"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25 июля 1940 было принято постановление Совнаркома «О реорганизации авиационных сил Красной Армии». Отныне в авиации следовало иметь авиационные дивизии (по 4–5 полков) и отдельные авиабригады (по 2–3 полка). Создавалось три типа авиадивизий:</w:t>
      </w:r>
    </w:p>
    <w:p w14:paraId="4533DACB" w14:textId="77777777" w:rsidR="00A556B7" w:rsidRPr="00DB5D0D" w:rsidRDefault="00A556B7"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 смешанные, «имеющие своим назначением непосредственное взаимодействие и поддержку механизированных, кавалерийских и общевойсковых соединений»;</w:t>
      </w:r>
    </w:p>
    <w:p w14:paraId="715D6FA4" w14:textId="77777777" w:rsidR="00A556B7" w:rsidRPr="00DB5D0D" w:rsidRDefault="00A556B7"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 дальнебомбардировочные, «имеющие своим назначением разрушение военных объектов и дезорганизацию тыла противника;</w:t>
      </w:r>
    </w:p>
    <w:p w14:paraId="2890D4E0" w14:textId="77777777" w:rsidR="00A556B7" w:rsidRPr="00DB5D0D" w:rsidRDefault="00A556B7"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 истребительные, «имеющие своим назначением борьбу за господство в воздухе и прикрытие политических и экономических центров».</w:t>
      </w:r>
    </w:p>
    <w:p w14:paraId="5743573C" w14:textId="77777777" w:rsidR="00A556B7" w:rsidRPr="00DB5D0D" w:rsidRDefault="00A556B7"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К 1 января 1941 года в составе ВВС следовало иметь 50 авиадивизий, 239 авиаполков, 62 корпусные эскадрильи — по штату 15 672 самолета. Кроме того, сохранялись управления четырех отдельных авиабригад (12623).</w:t>
      </w:r>
    </w:p>
    <w:p w14:paraId="4D768C09" w14:textId="77777777" w:rsidR="006C4666" w:rsidRPr="00DB5D0D" w:rsidRDefault="006C4666" w:rsidP="00DB5D0D">
      <w:pPr>
        <w:spacing w:after="0" w:line="240" w:lineRule="auto"/>
        <w:jc w:val="both"/>
        <w:rPr>
          <w:rFonts w:ascii="Times New Roman" w:hAnsi="Times New Roman"/>
          <w:iCs/>
          <w:color w:val="000000" w:themeColor="text1"/>
          <w:sz w:val="16"/>
          <w:szCs w:val="16"/>
        </w:rPr>
      </w:pPr>
    </w:p>
    <w:p w14:paraId="57E71D0B" w14:textId="77777777" w:rsidR="00A557A7" w:rsidRPr="00DB5D0D" w:rsidRDefault="00A557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 постановлением СНК СССР была утверждена новая организационная структура ВВС Красной армии: а) авиационная дивизия в составе управления дивизии и 4</w:t>
      </w:r>
      <w:r w:rsidRPr="00DB5D0D">
        <w:rPr>
          <w:rFonts w:ascii="Times New Roman" w:hAnsi="Times New Roman"/>
          <w:color w:val="000000" w:themeColor="text1"/>
          <w:sz w:val="16"/>
          <w:szCs w:val="16"/>
        </w:rPr>
        <w:noBreakHyphen/>
        <w:t>5 авиационных полков, б) отдельная авиационная бригада в составе управления бригады и 2</w:t>
      </w:r>
      <w:r w:rsidRPr="00DB5D0D">
        <w:rPr>
          <w:rFonts w:ascii="Times New Roman" w:hAnsi="Times New Roman"/>
          <w:color w:val="000000" w:themeColor="text1"/>
          <w:sz w:val="16"/>
          <w:szCs w:val="16"/>
        </w:rPr>
        <w:noBreakHyphen/>
        <w:t>3 авиационных полков, в) авиационный полк в составе 4</w:t>
      </w:r>
      <w:r w:rsidRPr="00DB5D0D">
        <w:rPr>
          <w:rFonts w:ascii="Times New Roman" w:hAnsi="Times New Roman"/>
          <w:color w:val="000000" w:themeColor="text1"/>
          <w:sz w:val="16"/>
          <w:szCs w:val="16"/>
        </w:rPr>
        <w:noBreakHyphen/>
        <w:t>5 авиационных эскадрилий, г) авиационная эскадрилья в составе 4</w:t>
      </w:r>
      <w:r w:rsidRPr="00DB5D0D">
        <w:rPr>
          <w:rFonts w:ascii="Times New Roman" w:hAnsi="Times New Roman"/>
          <w:color w:val="000000" w:themeColor="text1"/>
          <w:sz w:val="16"/>
          <w:szCs w:val="16"/>
        </w:rPr>
        <w:noBreakHyphen/>
        <w:t>5 авиазвеньев, д) авиационное звено в составе 3 самолетов. Тогда же была утверждена организация смешанной, дальнебомбардировочной и истребительной дивизий, установлены конкретные сроки проведения оргмероприятий, Наркомат обороны СССР получил разрешение увеличить штатную численность ВВС КА на 60 248 чел.</w:t>
      </w:r>
    </w:p>
    <w:p w14:paraId="58521ECA" w14:textId="77777777" w:rsidR="00A557A7" w:rsidRPr="00DB5D0D" w:rsidRDefault="00A557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феврале 1941 г. ЦК ВКП(б) и СНК СССР приняли постановление “О реорганизации авиационных сил Красной армии”, которое в течение года предусматривало существенное увеличение численности авиации приграничных военных округов, улучшение подготовки авиационных кадров, реорганизацию авиационного тыла, а также проведение необходимых мероприятий по реконструкции и расширению аэродромной сети. Особое внимание было уделено вопросам дальнейшего совершенствования организационной структуры ВВС, состоящей накануне войны из дальнебомбардировочной авиации Главного командования, фронтовой, армейской и войсковой авиации. (РГАСПИ. Ф. 17. Оп. 162. Д. 28. Л. 52, 81</w:t>
      </w:r>
      <w:r w:rsidRPr="00DB5D0D">
        <w:rPr>
          <w:rFonts w:ascii="Times New Roman" w:hAnsi="Times New Roman"/>
          <w:color w:val="000000" w:themeColor="text1"/>
          <w:sz w:val="16"/>
          <w:szCs w:val="16"/>
        </w:rPr>
        <w:noBreakHyphen/>
        <w:t>84; Д. 30. Л. 6, 37</w:t>
      </w:r>
      <w:r w:rsidRPr="00DB5D0D">
        <w:rPr>
          <w:rFonts w:ascii="Times New Roman" w:hAnsi="Times New Roman"/>
          <w:color w:val="000000" w:themeColor="text1"/>
          <w:sz w:val="16"/>
          <w:szCs w:val="16"/>
        </w:rPr>
        <w:noBreakHyphen/>
        <w:t>41.) (17750).</w:t>
      </w:r>
    </w:p>
    <w:p w14:paraId="61740585" w14:textId="77777777" w:rsidR="00A557A7" w:rsidRPr="00DB5D0D" w:rsidRDefault="00A557A7" w:rsidP="00DB5D0D">
      <w:pPr>
        <w:spacing w:after="0" w:line="240" w:lineRule="auto"/>
        <w:jc w:val="both"/>
        <w:rPr>
          <w:rFonts w:ascii="Times New Roman" w:hAnsi="Times New Roman"/>
          <w:color w:val="000000" w:themeColor="text1"/>
          <w:sz w:val="16"/>
          <w:szCs w:val="16"/>
        </w:rPr>
      </w:pPr>
    </w:p>
    <w:p w14:paraId="3B04ACDD" w14:textId="77777777" w:rsidR="00A557A7" w:rsidRPr="00DB5D0D" w:rsidRDefault="00A557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25 июля 1940 г. по решению Политбюро ЦК ВКП(б) от “Об организационной структуре Народного комиссариата обороны” и в соответствии с приказом НКО СССР № 0037 от 26 июля 1940 г. была определена новая структура наркомата: 1) Генеральный штаб Красной армии, 2) Главное управление политической пропаганды Красной армии, 3) Главное управление Военных воздушных сил Красной армии, 4) Главное артиллерийское управление Красной армии, 5) Главное </w:t>
      </w:r>
      <w:r w:rsidRPr="00DB5D0D">
        <w:rPr>
          <w:rFonts w:ascii="Times New Roman" w:hAnsi="Times New Roman"/>
          <w:color w:val="000000" w:themeColor="text1"/>
          <w:sz w:val="16"/>
          <w:szCs w:val="16"/>
        </w:rPr>
        <w:lastRenderedPageBreak/>
        <w:t>автобронетанковое управление Красной армии, 6) Главное военно-инженерное управление Красной армии, 7) Главное интендантское управление Красной армии, 8) Управление боевой подготовки Красной армии, 9) Управление противовоздушной обороны Красной армии, 10) Управление связи Красной армии, 11) Управление военно-химической защиты Красной армии, 12) Управление снабжения горючим Красной армии, 13) Управление высших военно-учебных заведений Красной армии, 14) Управление военно-учебных заведений Красной армии, 15) Управление кадров Красной армии, 16) Санитарное управление Красной армии, 17) Ветеринарное управление Красной армии, 18) Управление делами при народном комиссаре обороны, 19) финансовый отдел при народном комиссаре обороны. При НКО были образованы инспекции: 1) пехоты Красной армии, 2) кавалерии Красной армии, 3) артиллерии Красной армии, 4) автобронетанковых войск Красной армии, 5) Военно-воздушных сил Красной армии, 6) инженерных войск Красной армии, 7) связи Красной армии. Переименованы: а) Политическое управление Красной армии в Главное управление политической пропаганды Красной армии; б) Управление по начальствующему составу Красной армии в Управление кадров Красной армии. В состав Генерального штаба Красной армии было включено 5</w:t>
      </w:r>
      <w:r w:rsidRPr="00DB5D0D">
        <w:rPr>
          <w:rFonts w:ascii="Times New Roman" w:hAnsi="Times New Roman"/>
          <w:color w:val="000000" w:themeColor="text1"/>
          <w:sz w:val="16"/>
          <w:szCs w:val="16"/>
        </w:rPr>
        <w:noBreakHyphen/>
        <w:t>е Управление Красной армии. Подверглись расформированию: а) Главное управление Красной армии с передачей его функций и дел Генеральному штабу Красной армии; б) Управление начальника пехоты, с передачей личного состава на укомплектование Инспекции пехоты; в) отдел изобретений НКО СССР, с передачей его функций и личного состава соответствующим главным управлениям; г) Группа контроля при НКО СССР, передав ее дела и переписку в Управление делами при народном комиссаре обороны СССР; д) Инспекция Осоавиахима, с передачей ее дел и функций Инспекции пехоты. По этому же приказу были переданы в Инспекцию пехоты Инспекция физической подготовки и спорта Красной армии и Инспекция военных оркестров Красной армии, а хозяйственный отдел ЦУ НКО перешел в ведение Управления делами при народном комиссаре обороны СССР. (Собрание законов и распоряжений рабоче-крестьянского правительства СССР. 1934. № 15. Ст. 103. Отд. 1; № 33. Ст. 256; № 58. Ст. 430</w:t>
      </w:r>
      <w:r w:rsidRPr="00DB5D0D">
        <w:rPr>
          <w:rFonts w:ascii="Times New Roman" w:hAnsi="Times New Roman"/>
          <w:color w:val="000000" w:themeColor="text1"/>
          <w:sz w:val="16"/>
          <w:szCs w:val="16"/>
        </w:rPr>
        <w:noBreakHyphen/>
        <w:t>6, 431; 1938. Отд. 1. № 1а. Ст. 1; ГА РФ. Ф. Р</w:t>
      </w:r>
      <w:r w:rsidRPr="00DB5D0D">
        <w:rPr>
          <w:rFonts w:ascii="Times New Roman" w:hAnsi="Times New Roman"/>
          <w:color w:val="000000" w:themeColor="text1"/>
          <w:sz w:val="16"/>
          <w:szCs w:val="16"/>
        </w:rPr>
        <w:noBreakHyphen/>
        <w:t>5446. Оп. 1в. Д. 478. Л. 133</w:t>
      </w:r>
      <w:r w:rsidRPr="00DB5D0D">
        <w:rPr>
          <w:rFonts w:ascii="Times New Roman" w:hAnsi="Times New Roman"/>
          <w:color w:val="000000" w:themeColor="text1"/>
          <w:sz w:val="16"/>
          <w:szCs w:val="16"/>
        </w:rPr>
        <w:noBreakHyphen/>
        <w:t>177; РГАСПИ. Ф. 17. Оп. 162. Д. 26. Л. 67, Д. 28. Л. 52</w:t>
      </w:r>
      <w:r w:rsidRPr="00DB5D0D">
        <w:rPr>
          <w:rFonts w:ascii="Times New Roman" w:hAnsi="Times New Roman"/>
          <w:color w:val="000000" w:themeColor="text1"/>
          <w:sz w:val="16"/>
          <w:szCs w:val="16"/>
        </w:rPr>
        <w:noBreakHyphen/>
        <w:t>56; РГВА. Ф. 4. Оп. 15. Д. 26. Л. 9</w:t>
      </w:r>
      <w:r w:rsidRPr="00DB5D0D">
        <w:rPr>
          <w:rFonts w:ascii="Times New Roman" w:hAnsi="Times New Roman"/>
          <w:color w:val="000000" w:themeColor="text1"/>
          <w:sz w:val="16"/>
          <w:szCs w:val="16"/>
        </w:rPr>
        <w:noBreakHyphen/>
        <w:t>10 об.) (17751).</w:t>
      </w:r>
    </w:p>
    <w:p w14:paraId="3D686331" w14:textId="77777777" w:rsidR="00A557A7" w:rsidRPr="00DB5D0D" w:rsidRDefault="00A557A7" w:rsidP="00DB5D0D">
      <w:pPr>
        <w:spacing w:after="0" w:line="240" w:lineRule="auto"/>
        <w:jc w:val="both"/>
        <w:rPr>
          <w:rFonts w:ascii="Times New Roman" w:hAnsi="Times New Roman"/>
          <w:color w:val="000000" w:themeColor="text1"/>
          <w:sz w:val="16"/>
          <w:szCs w:val="16"/>
        </w:rPr>
      </w:pPr>
    </w:p>
    <w:p w14:paraId="68B21E86" w14:textId="77777777" w:rsidR="00A557A7" w:rsidRPr="00DB5D0D" w:rsidRDefault="00A557A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 в соответствии с решением Политбюро ЦК ВКП(б) и соответствующим приказом Наркомата обороны СССР № 0037 от 26 июля 1940 г. о новой структуре наркомата Генеральный штаб РККА стал называться Генеральным штабом Красной армии. Он являлся центральным органом управления народного комиссара обороны по подготовке и боевому использованию Вооруженных сил СССР, ведал вопросами оперативными, разведывательными, организационными, мобилизационными, укомплектования личным, рядовым, младшим начальствующим составом и конским составом, военных сообщений, устройства тыла и планирования снабжением, топографической службы, укрепленных районов и разработкой военно-исторических материалов. В соответствии с этим в составе Генерального штаба имелись управления: оперативное, разведывательное, организационное, военных сообщений, мобилизационное, устройства тыла и снабжения, по укомплектованию войск, военно-топографическое; а также отделы: укрепленных районов, военно-исторический, кадров. (РГАСПИ. Ф. 162. Оп. 162. Д. 28. Л. 52</w:t>
      </w:r>
      <w:r w:rsidRPr="00DB5D0D">
        <w:rPr>
          <w:rFonts w:ascii="Times New Roman" w:hAnsi="Times New Roman"/>
          <w:color w:val="000000" w:themeColor="text1"/>
          <w:sz w:val="16"/>
          <w:szCs w:val="16"/>
        </w:rPr>
        <w:noBreakHyphen/>
        <w:t>55.) (17776).</w:t>
      </w:r>
    </w:p>
    <w:p w14:paraId="1449DEB6" w14:textId="77777777" w:rsidR="00A557A7" w:rsidRPr="00DB5D0D" w:rsidRDefault="00A557A7" w:rsidP="00DB5D0D">
      <w:pPr>
        <w:spacing w:after="0" w:line="240" w:lineRule="auto"/>
        <w:jc w:val="both"/>
        <w:rPr>
          <w:rFonts w:ascii="Times New Roman" w:hAnsi="Times New Roman"/>
          <w:color w:val="000000" w:themeColor="text1"/>
          <w:sz w:val="16"/>
          <w:szCs w:val="16"/>
        </w:rPr>
      </w:pPr>
    </w:p>
    <w:p w14:paraId="70F1B266" w14:textId="77777777" w:rsidR="00B72AA4" w:rsidRPr="00DB5D0D" w:rsidRDefault="00B72AA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0355DB6F" w14:textId="77777777" w:rsidR="00B72AA4" w:rsidRPr="00DB5D0D" w:rsidRDefault="00B72AA4" w:rsidP="00DB5D0D">
      <w:pPr>
        <w:spacing w:after="0" w:line="240" w:lineRule="auto"/>
        <w:jc w:val="both"/>
        <w:rPr>
          <w:rFonts w:ascii="Times New Roman" w:hAnsi="Times New Roman"/>
          <w:iCs/>
          <w:color w:val="000000" w:themeColor="text1"/>
          <w:sz w:val="16"/>
          <w:szCs w:val="16"/>
        </w:rPr>
      </w:pPr>
    </w:p>
    <w:p w14:paraId="0FCFE5DA" w14:textId="77777777" w:rsidR="00B72AA4" w:rsidRPr="00DB5D0D" w:rsidRDefault="00B72AA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Постановление СНК СССР и ЦК ВКП(б) "О ликвидации ручной торговли промышленными товарами на рынках г. Москвы" (18701).</w:t>
      </w:r>
    </w:p>
    <w:p w14:paraId="35B19C56" w14:textId="77777777" w:rsidR="00B72AA4" w:rsidRPr="00DB5D0D" w:rsidRDefault="00B72AA4" w:rsidP="00DB5D0D">
      <w:pPr>
        <w:spacing w:after="0" w:line="240" w:lineRule="auto"/>
        <w:jc w:val="both"/>
        <w:rPr>
          <w:rFonts w:ascii="Times New Roman" w:hAnsi="Times New Roman"/>
          <w:color w:val="000000" w:themeColor="text1"/>
          <w:sz w:val="16"/>
          <w:szCs w:val="16"/>
        </w:rPr>
      </w:pPr>
    </w:p>
    <w:p w14:paraId="79C7554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F203E7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3085C61" w14:textId="77777777" w:rsidR="006C4666" w:rsidRPr="00DB5D0D" w:rsidRDefault="006C466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25 июля в 1940 году на аэродроме Каподичино проходил (до начала сентября) испытания </w:t>
      </w:r>
      <w:hyperlink r:id="rId231" w:tgtFrame="_blank" w:history="1">
        <w:r w:rsidRPr="00DB5D0D">
          <w:rPr>
            <w:rFonts w:ascii="Times New Roman" w:hAnsi="Times New Roman"/>
            <w:color w:val="000000" w:themeColor="text1"/>
            <w:sz w:val="16"/>
            <w:szCs w:val="16"/>
          </w:rPr>
          <w:t xml:space="preserve">«Ro.63», </w:t>
        </w:r>
      </w:hyperlink>
      <w:r w:rsidRPr="00DB5D0D">
        <w:rPr>
          <w:rFonts w:ascii="Times New Roman" w:hAnsi="Times New Roman"/>
          <w:color w:val="000000" w:themeColor="text1"/>
          <w:sz w:val="16"/>
          <w:szCs w:val="16"/>
        </w:rPr>
        <w:t>показав даже лучшие характеристики чем немецкий «Fi.156», управлял самолётом пилот Альдо Лигабо (Aldo Ligabo). Итальянские пилоты не скрывали своих лучших впечатлений от полётов на «Ro.63» и ВВС стало рассматривать его в качестве основного кандидата на роль связного самолёта. Успех был немного омрачен ошибкой механика, в результате которой были незначительно повреждены фюзеляж и крыло (14963).</w:t>
      </w:r>
    </w:p>
    <w:p w14:paraId="32CCBB4C" w14:textId="77777777" w:rsidR="006C4666" w:rsidRPr="00DB5D0D" w:rsidRDefault="006C4666" w:rsidP="00DB5D0D">
      <w:pPr>
        <w:spacing w:after="0" w:line="240" w:lineRule="auto"/>
        <w:jc w:val="both"/>
        <w:rPr>
          <w:rFonts w:ascii="Times New Roman" w:hAnsi="Times New Roman"/>
          <w:color w:val="000000" w:themeColor="text1"/>
          <w:sz w:val="16"/>
          <w:szCs w:val="16"/>
        </w:rPr>
      </w:pPr>
    </w:p>
    <w:p w14:paraId="733A2614" w14:textId="77777777" w:rsidR="006C4666" w:rsidRPr="00DB5D0D" w:rsidRDefault="006C466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в Варнемюнде в воздух поднялся самолет подводной лодки Арадо Аr.231 V1. Официальные испытания в центре млорской авиации в Травемюнде прошло 6 машин и закончили к сентябрю (7472, 14).</w:t>
      </w:r>
    </w:p>
    <w:p w14:paraId="18D3B472" w14:textId="77777777" w:rsidR="006C4666" w:rsidRPr="00DB5D0D" w:rsidRDefault="006C4666" w:rsidP="00DB5D0D">
      <w:pPr>
        <w:spacing w:after="0" w:line="240" w:lineRule="auto"/>
        <w:jc w:val="both"/>
        <w:rPr>
          <w:rFonts w:ascii="Times New Roman" w:hAnsi="Times New Roman"/>
          <w:color w:val="000000" w:themeColor="text1"/>
          <w:sz w:val="16"/>
          <w:szCs w:val="16"/>
        </w:rPr>
      </w:pPr>
    </w:p>
    <w:p w14:paraId="36DA7739"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25–26 июля (ночь) 1940 166 британских бомбардировщиков нанесли удар по немецким аэродромам в Нидерландах и по целям в Руре  (20795).</w:t>
      </w:r>
    </w:p>
    <w:p w14:paraId="761CA636" w14:textId="77777777" w:rsidR="009C1666" w:rsidRPr="00DB5D0D" w:rsidRDefault="009C1666" w:rsidP="00DB5D0D">
      <w:pPr>
        <w:spacing w:after="0" w:line="240" w:lineRule="auto"/>
        <w:jc w:val="both"/>
        <w:rPr>
          <w:rFonts w:ascii="Times New Roman" w:hAnsi="Times New Roman"/>
          <w:color w:val="0070C0"/>
          <w:sz w:val="16"/>
          <w:szCs w:val="16"/>
        </w:rPr>
      </w:pPr>
    </w:p>
    <w:p w14:paraId="0CBE318A"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25, 1940: Italy bombs the British naval base at Alexandria and the base at Haifa (3819).</w:t>
      </w:r>
    </w:p>
    <w:p w14:paraId="777F307B"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6573C5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итальянские ВВС бомбили английские морские базы в Александрии и Хайфе (3819).</w:t>
      </w:r>
    </w:p>
    <w:p w14:paraId="255DA8B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51DB99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065922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3A584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Председатель КО при СНК СССР К.Е.Ворошилов подписал подготовленное ВВС и НКАП постановление о серийном изготовлении 10 машин БШ-2 с двигателем АМ-35 по образцу, прошедшему гос. испытания (то есть - двухместного), а в следующем году - 150 самолетов (187,8).</w:t>
      </w:r>
    </w:p>
    <w:p w14:paraId="3FD0F0B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AF4A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вышло постановление КО N 335 "О постановке серийного производства самолетов бронированных штурмовиков с мотором АМ-35 конструкции тов. Ильюшина на заводе 30 НКАП (897,142).</w:t>
      </w:r>
    </w:p>
    <w:p w14:paraId="58BDE5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развертывания серийного производства самолета БШ-2 на заводе N 30 КО СНК постановляет:</w:t>
      </w:r>
    </w:p>
    <w:p w14:paraId="081F5B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 директора завода N 30 и ГК тов. Ильюшина приступить к производству самолета БШ-2 с выпуском в 1940 10 машин по образцу, прошедшему гос. испытания в НИИ ВВС ГУАСКА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4E24C706" w14:textId="77777777" w:rsidTr="00E543D0">
        <w:tc>
          <w:tcPr>
            <w:tcW w:w="5749" w:type="dxa"/>
            <w:tcBorders>
              <w:top w:val="single" w:sz="12" w:space="0" w:color="auto"/>
            </w:tcBorders>
          </w:tcPr>
          <w:p w14:paraId="360C13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w:t>
            </w:r>
          </w:p>
        </w:tc>
        <w:tc>
          <w:tcPr>
            <w:tcW w:w="5749" w:type="dxa"/>
            <w:tcBorders>
              <w:top w:val="single" w:sz="12" w:space="0" w:color="auto"/>
            </w:tcBorders>
          </w:tcPr>
          <w:p w14:paraId="085F61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365 км/час</w:t>
            </w:r>
          </w:p>
        </w:tc>
      </w:tr>
      <w:tr w:rsidR="007D5DF8" w:rsidRPr="00DB5D0D" w14:paraId="57FEA726" w14:textId="77777777" w:rsidTr="00E543D0">
        <w:tc>
          <w:tcPr>
            <w:tcW w:w="5749" w:type="dxa"/>
          </w:tcPr>
          <w:p w14:paraId="73F41B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5400</w:t>
            </w:r>
          </w:p>
        </w:tc>
        <w:tc>
          <w:tcPr>
            <w:tcW w:w="5749" w:type="dxa"/>
          </w:tcPr>
          <w:p w14:paraId="76C754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 км/час</w:t>
            </w:r>
          </w:p>
        </w:tc>
      </w:tr>
      <w:tr w:rsidR="007D5DF8" w:rsidRPr="00DB5D0D" w14:paraId="0109456E" w14:textId="77777777" w:rsidTr="00E543D0">
        <w:tc>
          <w:tcPr>
            <w:tcW w:w="5749" w:type="dxa"/>
          </w:tcPr>
          <w:p w14:paraId="5F5F36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w:t>
            </w:r>
          </w:p>
        </w:tc>
        <w:tc>
          <w:tcPr>
            <w:tcW w:w="5749" w:type="dxa"/>
          </w:tcPr>
          <w:p w14:paraId="62C029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 м</w:t>
            </w:r>
          </w:p>
        </w:tc>
      </w:tr>
      <w:tr w:rsidR="007D5DF8" w:rsidRPr="00DB5D0D" w14:paraId="1DC8C33A" w14:textId="77777777" w:rsidTr="00E543D0">
        <w:tc>
          <w:tcPr>
            <w:tcW w:w="5749" w:type="dxa"/>
            <w:tcBorders>
              <w:bottom w:val="single" w:sz="12" w:space="0" w:color="auto"/>
            </w:tcBorders>
          </w:tcPr>
          <w:p w14:paraId="5BB934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на 0.9</w:t>
            </w:r>
          </w:p>
        </w:tc>
        <w:tc>
          <w:tcPr>
            <w:tcW w:w="5749" w:type="dxa"/>
            <w:tcBorders>
              <w:bottom w:val="single" w:sz="12" w:space="0" w:color="auto"/>
            </w:tcBorders>
          </w:tcPr>
          <w:p w14:paraId="6B2C4E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км</w:t>
            </w:r>
          </w:p>
        </w:tc>
      </w:tr>
    </w:tbl>
    <w:p w14:paraId="39F63A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3634BD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4хШКАС в крыле с 3000 патронов, 1хШКАС на спецтурели с 500 патронов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3833"/>
      </w:tblGrid>
      <w:tr w:rsidR="007D5DF8" w:rsidRPr="00DB5D0D" w14:paraId="7A68C2BC" w14:textId="77777777" w:rsidTr="00E543D0">
        <w:tc>
          <w:tcPr>
            <w:tcW w:w="3833" w:type="dxa"/>
            <w:tcBorders>
              <w:top w:val="single" w:sz="12" w:space="0" w:color="auto"/>
            </w:tcBorders>
          </w:tcPr>
          <w:p w14:paraId="2046B3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w:t>
            </w:r>
          </w:p>
        </w:tc>
        <w:tc>
          <w:tcPr>
            <w:tcW w:w="3833" w:type="dxa"/>
            <w:tcBorders>
              <w:top w:val="single" w:sz="12" w:space="0" w:color="auto"/>
            </w:tcBorders>
          </w:tcPr>
          <w:p w14:paraId="535202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шт. бомб</w:t>
            </w:r>
          </w:p>
        </w:tc>
        <w:tc>
          <w:tcPr>
            <w:tcW w:w="3833" w:type="dxa"/>
            <w:tcBorders>
              <w:top w:val="single" w:sz="12" w:space="0" w:color="auto"/>
            </w:tcBorders>
          </w:tcPr>
          <w:p w14:paraId="0C4627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100 кг</w:t>
            </w:r>
          </w:p>
        </w:tc>
      </w:tr>
      <w:tr w:rsidR="007D5DF8" w:rsidRPr="00DB5D0D" w14:paraId="52B15C38" w14:textId="77777777" w:rsidTr="00E543D0">
        <w:tc>
          <w:tcPr>
            <w:tcW w:w="3833" w:type="dxa"/>
          </w:tcPr>
          <w:p w14:paraId="2003971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833" w:type="dxa"/>
          </w:tcPr>
          <w:p w14:paraId="44C728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3833" w:type="dxa"/>
          </w:tcPr>
          <w:p w14:paraId="277871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25 кг</w:t>
            </w:r>
          </w:p>
        </w:tc>
      </w:tr>
      <w:tr w:rsidR="007D5DF8" w:rsidRPr="00DB5D0D" w14:paraId="6F18CFC5" w14:textId="77777777" w:rsidTr="00E543D0">
        <w:tc>
          <w:tcPr>
            <w:tcW w:w="3833" w:type="dxa"/>
          </w:tcPr>
          <w:p w14:paraId="792BBF6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833" w:type="dxa"/>
          </w:tcPr>
          <w:p w14:paraId="1E5A1A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3833" w:type="dxa"/>
          </w:tcPr>
          <w:p w14:paraId="01A9ED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10</w:t>
            </w:r>
          </w:p>
        </w:tc>
      </w:tr>
      <w:tr w:rsidR="007D5DF8" w:rsidRPr="00DB5D0D" w14:paraId="69E62D75" w14:textId="77777777" w:rsidTr="00E543D0">
        <w:tc>
          <w:tcPr>
            <w:tcW w:w="3833" w:type="dxa"/>
          </w:tcPr>
          <w:p w14:paraId="25E7A76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833" w:type="dxa"/>
          </w:tcPr>
          <w:p w14:paraId="430D58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w:t>
            </w:r>
          </w:p>
        </w:tc>
        <w:tc>
          <w:tcPr>
            <w:tcW w:w="3833" w:type="dxa"/>
          </w:tcPr>
          <w:p w14:paraId="7216A5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2.5</w:t>
            </w:r>
          </w:p>
        </w:tc>
      </w:tr>
      <w:tr w:rsidR="007D5DF8" w:rsidRPr="00DB5D0D" w14:paraId="6A1F128C" w14:textId="77777777" w:rsidTr="00E543D0">
        <w:tc>
          <w:tcPr>
            <w:tcW w:w="3833" w:type="dxa"/>
            <w:tcBorders>
              <w:bottom w:val="single" w:sz="12" w:space="0" w:color="auto"/>
            </w:tcBorders>
          </w:tcPr>
          <w:p w14:paraId="3E6ACC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833" w:type="dxa"/>
            <w:tcBorders>
              <w:bottom w:val="single" w:sz="12" w:space="0" w:color="auto"/>
            </w:tcBorders>
          </w:tcPr>
          <w:p w14:paraId="223153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3833" w:type="dxa"/>
            <w:tcBorders>
              <w:bottom w:val="single" w:sz="12" w:space="0" w:color="auto"/>
            </w:tcBorders>
          </w:tcPr>
          <w:p w14:paraId="594FEC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1</w:t>
            </w:r>
          </w:p>
        </w:tc>
      </w:tr>
    </w:tbl>
    <w:p w14:paraId="451779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Толщина броневых листов: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0677B619" w14:textId="77777777" w:rsidTr="00E543D0">
        <w:tc>
          <w:tcPr>
            <w:tcW w:w="5749" w:type="dxa"/>
            <w:tcBorders>
              <w:top w:val="single" w:sz="12" w:space="0" w:color="auto"/>
            </w:tcBorders>
          </w:tcPr>
          <w:p w14:paraId="30A39C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Задняя стенка кабины пилота и штурмана</w:t>
            </w:r>
          </w:p>
        </w:tc>
        <w:tc>
          <w:tcPr>
            <w:tcW w:w="5749" w:type="dxa"/>
            <w:tcBorders>
              <w:top w:val="single" w:sz="12" w:space="0" w:color="auto"/>
            </w:tcBorders>
          </w:tcPr>
          <w:p w14:paraId="0FA9F7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мм</w:t>
            </w:r>
          </w:p>
        </w:tc>
      </w:tr>
      <w:tr w:rsidR="007D5DF8" w:rsidRPr="00DB5D0D" w14:paraId="5439EF54" w14:textId="77777777" w:rsidTr="00E543D0">
        <w:tc>
          <w:tcPr>
            <w:tcW w:w="5749" w:type="dxa"/>
          </w:tcPr>
          <w:p w14:paraId="399180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Боковые листы кабины</w:t>
            </w:r>
          </w:p>
        </w:tc>
        <w:tc>
          <w:tcPr>
            <w:tcW w:w="5749" w:type="dxa"/>
          </w:tcPr>
          <w:p w14:paraId="1E022B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мм</w:t>
            </w:r>
          </w:p>
        </w:tc>
      </w:tr>
      <w:tr w:rsidR="007D5DF8" w:rsidRPr="00DB5D0D" w14:paraId="2ACA653A" w14:textId="77777777" w:rsidTr="00E543D0">
        <w:tc>
          <w:tcPr>
            <w:tcW w:w="5749" w:type="dxa"/>
          </w:tcPr>
          <w:p w14:paraId="4D9F5B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Нижние листы кабины</w:t>
            </w:r>
          </w:p>
        </w:tc>
        <w:tc>
          <w:tcPr>
            <w:tcW w:w="5749" w:type="dxa"/>
          </w:tcPr>
          <w:p w14:paraId="758282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мм</w:t>
            </w:r>
          </w:p>
        </w:tc>
      </w:tr>
      <w:tr w:rsidR="007D5DF8" w:rsidRPr="00DB5D0D" w14:paraId="36E4DD00" w14:textId="77777777" w:rsidTr="00E543D0">
        <w:tc>
          <w:tcPr>
            <w:tcW w:w="5749" w:type="dxa"/>
          </w:tcPr>
          <w:p w14:paraId="319A35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 мотора</w:t>
            </w:r>
          </w:p>
        </w:tc>
        <w:tc>
          <w:tcPr>
            <w:tcW w:w="5749" w:type="dxa"/>
          </w:tcPr>
          <w:p w14:paraId="0407B6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мм</w:t>
            </w:r>
          </w:p>
        </w:tc>
      </w:tr>
      <w:tr w:rsidR="007D5DF8" w:rsidRPr="00DB5D0D" w14:paraId="2CF49392" w14:textId="77777777" w:rsidTr="00E543D0">
        <w:tc>
          <w:tcPr>
            <w:tcW w:w="5749" w:type="dxa"/>
            <w:tcBorders>
              <w:bottom w:val="single" w:sz="12" w:space="0" w:color="auto"/>
            </w:tcBorders>
          </w:tcPr>
          <w:p w14:paraId="04FF1E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Неподвижная часть фонаря (пр. бр.)</w:t>
            </w:r>
          </w:p>
        </w:tc>
        <w:tc>
          <w:tcPr>
            <w:tcW w:w="5749" w:type="dxa"/>
            <w:tcBorders>
              <w:bottom w:val="single" w:sz="12" w:space="0" w:color="auto"/>
            </w:tcBorders>
          </w:tcPr>
          <w:p w14:paraId="4A334B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мм</w:t>
            </w:r>
          </w:p>
        </w:tc>
      </w:tr>
    </w:tbl>
    <w:p w14:paraId="3DCE25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Подготовку производства по заводу N 30 вести из расчета выпуска в 1941 150 самолетов БШ-2</w:t>
      </w:r>
    </w:p>
    <w:p w14:paraId="286F40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наркома нефтяной промышленности т. Кагановича Л.М. обеспечить на Подольском заводе изготовление броневых корпусов для самолета БШ-2 по ранее изготовленным образцам...</w:t>
      </w:r>
    </w:p>
    <w:p w14:paraId="4F1CA2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tblGrid>
      <w:tr w:rsidR="007D5DF8" w:rsidRPr="00DB5D0D" w14:paraId="7EC7885F" w14:textId="77777777" w:rsidTr="00E543D0">
        <w:tc>
          <w:tcPr>
            <w:tcW w:w="3833" w:type="dxa"/>
            <w:tcBorders>
              <w:top w:val="single" w:sz="12" w:space="0" w:color="auto"/>
            </w:tcBorders>
          </w:tcPr>
          <w:p w14:paraId="18A3D5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 СНК СССР</w:t>
            </w:r>
          </w:p>
        </w:tc>
        <w:tc>
          <w:tcPr>
            <w:tcW w:w="3833" w:type="dxa"/>
            <w:tcBorders>
              <w:top w:val="single" w:sz="12" w:space="0" w:color="auto"/>
            </w:tcBorders>
          </w:tcPr>
          <w:p w14:paraId="6042D3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Ворошилов</w:t>
            </w:r>
          </w:p>
        </w:tc>
      </w:tr>
      <w:tr w:rsidR="007D5DF8" w:rsidRPr="00DB5D0D" w14:paraId="3EBD7E4F" w14:textId="77777777" w:rsidTr="00E543D0">
        <w:tc>
          <w:tcPr>
            <w:tcW w:w="3833" w:type="dxa"/>
          </w:tcPr>
          <w:p w14:paraId="47C7AD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КО</w:t>
            </w:r>
          </w:p>
        </w:tc>
        <w:tc>
          <w:tcPr>
            <w:tcW w:w="3833" w:type="dxa"/>
          </w:tcPr>
          <w:p w14:paraId="525FC2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М.Пугачев</w:t>
            </w:r>
          </w:p>
        </w:tc>
      </w:tr>
      <w:tr w:rsidR="007D5DF8" w:rsidRPr="00DB5D0D" w14:paraId="50180A90" w14:textId="77777777" w:rsidTr="00E543D0">
        <w:tc>
          <w:tcPr>
            <w:tcW w:w="3833" w:type="dxa"/>
          </w:tcPr>
          <w:p w14:paraId="06A36D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Завизировано:</w:t>
            </w:r>
          </w:p>
        </w:tc>
        <w:tc>
          <w:tcPr>
            <w:tcW w:w="3833" w:type="dxa"/>
          </w:tcPr>
          <w:p w14:paraId="46A8AD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Смушкевич</w:t>
            </w:r>
          </w:p>
        </w:tc>
      </w:tr>
      <w:tr w:rsidR="007D5DF8" w:rsidRPr="00DB5D0D" w14:paraId="28CE282E" w14:textId="77777777" w:rsidTr="00E543D0">
        <w:tc>
          <w:tcPr>
            <w:tcW w:w="3833" w:type="dxa"/>
            <w:tcBorders>
              <w:bottom w:val="single" w:sz="12" w:space="0" w:color="auto"/>
            </w:tcBorders>
          </w:tcPr>
          <w:p w14:paraId="455A23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833" w:type="dxa"/>
            <w:tcBorders>
              <w:bottom w:val="single" w:sz="12" w:space="0" w:color="auto"/>
            </w:tcBorders>
          </w:tcPr>
          <w:p w14:paraId="2E12F8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Шахурин</w:t>
            </w:r>
          </w:p>
        </w:tc>
      </w:tr>
    </w:tbl>
    <w:p w14:paraId="07E828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Верно: (Фирсанов) (897,139).</w:t>
      </w:r>
    </w:p>
    <w:p w14:paraId="707514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 то и другое - это байка, запущенная В.И.Алексеенко. Она была не только в статье (187), но и в его 26 тетради со ссылкой на ГАЭ, ф. 8044, оп. 1, д. 225. (*26), то есть на проект постановления КО от 20. Важно иметь в виду, что соответствующего приказа НКАП, где бы упоминался 30 завод - вообще не было до октября 1940. Отсюда получается, что кроме упоминаний в официальной историографии КБ и проекте постановления КО (впрочем, завизированного Я.В.Смушкевичем и А.И.Ш.) других документов, согласно которым 30 завод имеет отношение к БШ-2 и прежде всего приказа НКАП - не имеется. Вероятно, это постановление КО все же не вышло вовсе, а 30 завод был использован для БШ-2 недолго, а потом переключился на другие цели.</w:t>
      </w:r>
    </w:p>
    <w:p w14:paraId="56913DE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FFB4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вышло постановление Правительства "Об организации производства боевых самолетов и авиамоторов в гор. Ленинграде (постановление СНК и ЦК ВКП(б) N 1369-534сс), в исполнение которого 1 августа 1940 вышел приказ НКАП N 387сс (411,1).</w:t>
      </w:r>
    </w:p>
    <w:p w14:paraId="18AE5C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Важно понять, что в этом постановлении БШ уже был предназначен для Ленинграда, а не для 30 завода.</w:t>
      </w:r>
    </w:p>
    <w:p w14:paraId="7421BC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488F0D" w14:textId="77777777" w:rsidR="00B72AA4" w:rsidRPr="00DB5D0D" w:rsidRDefault="00B72AA4"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26 июля 1940 вышло постановление ЦК ВКП(б) и СНК СССР «Об организации про</w:t>
      </w:r>
      <w:r w:rsidRPr="00DB5D0D">
        <w:rPr>
          <w:rFonts w:ascii="Times New Roman" w:hAnsi="Times New Roman" w:cs="Times New Roman"/>
          <w:color w:val="000000" w:themeColor="text1"/>
          <w:sz w:val="16"/>
          <w:szCs w:val="16"/>
        </w:rPr>
        <w:softHyphen/>
        <w:t>изводства боевых самолетов и авиамото</w:t>
      </w:r>
      <w:r w:rsidRPr="00DB5D0D">
        <w:rPr>
          <w:rFonts w:ascii="Times New Roman" w:hAnsi="Times New Roman" w:cs="Times New Roman"/>
          <w:color w:val="000000" w:themeColor="text1"/>
          <w:sz w:val="16"/>
          <w:szCs w:val="16"/>
        </w:rPr>
        <w:softHyphen/>
        <w:t>ров в г. Ленинграде», согласно которому на базе ряда ленинградских заводов предполагалось создать к 1 января 1942 г. производственные мощности для выпуска в 1942 г. 1000 ближних бомбардировщи</w:t>
      </w:r>
      <w:r w:rsidRPr="00DB5D0D">
        <w:rPr>
          <w:rFonts w:ascii="Times New Roman" w:hAnsi="Times New Roman" w:cs="Times New Roman"/>
          <w:color w:val="000000" w:themeColor="text1"/>
          <w:sz w:val="16"/>
          <w:szCs w:val="16"/>
        </w:rPr>
        <w:softHyphen/>
        <w:t>ков ББ-22,1500 истребителей И-301 и 1500 «бронированных штурмовиков БШ». При этом требовалось до конца 1940 г. построить 10 ББ-22,10 И-301,10 самоле</w:t>
      </w:r>
      <w:r w:rsidRPr="00DB5D0D">
        <w:rPr>
          <w:rFonts w:ascii="Times New Roman" w:hAnsi="Times New Roman" w:cs="Times New Roman"/>
          <w:color w:val="000000" w:themeColor="text1"/>
          <w:sz w:val="16"/>
          <w:szCs w:val="16"/>
        </w:rPr>
        <w:softHyphen/>
        <w:t>тов БШ и в следующем году еще 600 ББ-2, 500 И-301 и 600 БШ. Соответствующий приказ по НКАП №387сс вышел 1 августа.</w:t>
      </w:r>
    </w:p>
    <w:p w14:paraId="73A4D3F0" w14:textId="77777777" w:rsidR="00B72AA4" w:rsidRPr="00DB5D0D" w:rsidRDefault="00B72AA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выпуска самолетов БШ и ББ-22 создавались два новых самолетостроительных завода, которые приказом НКАП №418сс от 12 августа получили порядковые номера - №381 и 380, соответственно.</w:t>
      </w:r>
    </w:p>
    <w:p w14:paraId="1563A5D0" w14:textId="77777777" w:rsidR="00B72AA4" w:rsidRPr="00DB5D0D" w:rsidRDefault="00B72AA4"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Что касается конкретного типа «бронированного штурмовика БШ»,то с ним рассчитывали определиться позже, после принятия решения о постановке на вооружение ВВС КА одного из опытных штурмовых самолетов - БШ-2 АМ-35, ОБШ М-71 или ШБ М-88 (19087).</w:t>
      </w:r>
    </w:p>
    <w:p w14:paraId="2ADCC759" w14:textId="77777777" w:rsidR="00B72AA4" w:rsidRPr="00DB5D0D" w:rsidRDefault="00B72AA4"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72D8704E" w14:textId="77777777" w:rsidR="00B72AA4" w:rsidRPr="00DB5D0D" w:rsidRDefault="00B72AA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вышло постановление Правительства №1369-534сс «Об ор</w:t>
      </w:r>
      <w:r w:rsidRPr="00DB5D0D">
        <w:rPr>
          <w:rFonts w:ascii="Times New Roman" w:hAnsi="Times New Roman"/>
          <w:color w:val="000000" w:themeColor="text1"/>
          <w:sz w:val="16"/>
          <w:szCs w:val="16"/>
        </w:rPr>
        <w:softHyphen/>
        <w:t>ганизации производства боевых само</w:t>
      </w:r>
      <w:r w:rsidRPr="00DB5D0D">
        <w:rPr>
          <w:rFonts w:ascii="Times New Roman" w:hAnsi="Times New Roman"/>
          <w:color w:val="000000" w:themeColor="text1"/>
          <w:sz w:val="16"/>
          <w:szCs w:val="16"/>
        </w:rPr>
        <w:softHyphen/>
        <w:t>летов и авиамоторов в гор. Ленинграде», в котором было предписано:</w:t>
      </w:r>
    </w:p>
    <w:p w14:paraId="74594B68" w14:textId="77777777" w:rsidR="00B72AA4" w:rsidRPr="00DB5D0D" w:rsidRDefault="00B72AA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организовать в г.Ленинграде произ</w:t>
      </w:r>
      <w:r w:rsidRPr="00DB5D0D">
        <w:rPr>
          <w:rFonts w:ascii="Times New Roman" w:hAnsi="Times New Roman"/>
          <w:color w:val="000000" w:themeColor="text1"/>
          <w:sz w:val="16"/>
          <w:szCs w:val="16"/>
        </w:rPr>
        <w:softHyphen/>
        <w:t>водство и выпуск боевых самолетов и ави</w:t>
      </w:r>
      <w:r w:rsidRPr="00DB5D0D">
        <w:rPr>
          <w:rFonts w:ascii="Times New Roman" w:hAnsi="Times New Roman"/>
          <w:color w:val="000000" w:themeColor="text1"/>
          <w:sz w:val="16"/>
          <w:szCs w:val="16"/>
        </w:rPr>
        <w:softHyphen/>
        <w:t>амоторов. исходя из следующих заданий:</w:t>
      </w:r>
    </w:p>
    <w:p w14:paraId="20AEC45A" w14:textId="77777777" w:rsidR="00B72AA4" w:rsidRPr="00DB5D0D" w:rsidRDefault="00B72AA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самолетостроению изготовить в 1940 г.</w:t>
      </w:r>
    </w:p>
    <w:p w14:paraId="6BAF7600" w14:textId="77777777" w:rsidR="00B72AA4" w:rsidRPr="00DB5D0D" w:rsidRDefault="00B72AA4" w:rsidP="00DB5D0D">
      <w:pPr>
        <w:numPr>
          <w:ilvl w:val="0"/>
          <w:numId w:val="10"/>
        </w:numPr>
        <w:tabs>
          <w:tab w:val="left" w:pos="39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истребителей И-301 -10 шт.</w:t>
      </w:r>
    </w:p>
    <w:p w14:paraId="454EDEE0" w14:textId="77777777" w:rsidR="00B72AA4" w:rsidRPr="00DB5D0D" w:rsidRDefault="00B72AA4" w:rsidP="00DB5D0D">
      <w:pPr>
        <w:numPr>
          <w:ilvl w:val="0"/>
          <w:numId w:val="10"/>
        </w:numPr>
        <w:tabs>
          <w:tab w:val="left" w:pos="39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бронированных штурмовиков БШ - 10 шт.</w:t>
      </w:r>
    </w:p>
    <w:p w14:paraId="7DC92165" w14:textId="77777777" w:rsidR="00B72AA4" w:rsidRPr="00DB5D0D" w:rsidRDefault="00B72AA4" w:rsidP="00DB5D0D">
      <w:pPr>
        <w:numPr>
          <w:ilvl w:val="0"/>
          <w:numId w:val="10"/>
        </w:numPr>
        <w:tabs>
          <w:tab w:val="left" w:pos="39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ближних бомбардировщиков ББ-22 - 10 шт.</w:t>
      </w:r>
    </w:p>
    <w:p w14:paraId="281320B8" w14:textId="77777777" w:rsidR="00B72AA4" w:rsidRPr="00DB5D0D" w:rsidRDefault="00B72AA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 г.</w:t>
      </w:r>
    </w:p>
    <w:p w14:paraId="00DB0498" w14:textId="77777777" w:rsidR="00B72AA4" w:rsidRPr="00DB5D0D" w:rsidRDefault="00B72AA4" w:rsidP="00DB5D0D">
      <w:pPr>
        <w:numPr>
          <w:ilvl w:val="0"/>
          <w:numId w:val="10"/>
        </w:numPr>
        <w:tabs>
          <w:tab w:val="left" w:pos="38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истребителей И-301 - 500 шт.</w:t>
      </w:r>
    </w:p>
    <w:p w14:paraId="6D4BF536" w14:textId="77777777" w:rsidR="00B72AA4" w:rsidRPr="00DB5D0D" w:rsidRDefault="00B72AA4" w:rsidP="00DB5D0D">
      <w:pPr>
        <w:numPr>
          <w:ilvl w:val="0"/>
          <w:numId w:val="10"/>
        </w:numPr>
        <w:tabs>
          <w:tab w:val="left" w:pos="39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бронированных штурмовиков БШ - 600 шт.</w:t>
      </w:r>
    </w:p>
    <w:p w14:paraId="160B0917" w14:textId="77777777" w:rsidR="00B72AA4" w:rsidRPr="00DB5D0D" w:rsidRDefault="00B72AA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ближних бомбардировщиков ББ-22 - 600 шт.</w:t>
      </w:r>
    </w:p>
    <w:p w14:paraId="406868BC" w14:textId="77777777" w:rsidR="00B72AA4" w:rsidRPr="00DB5D0D" w:rsidRDefault="00B72AA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К1 января 1942 г. создать мощности, обеспечивающие в 1942 г. выпуск:</w:t>
      </w:r>
    </w:p>
    <w:p w14:paraId="0086C2AD" w14:textId="77777777" w:rsidR="00B72AA4" w:rsidRPr="00DB5D0D" w:rsidRDefault="00B72AA4" w:rsidP="00DB5D0D">
      <w:pPr>
        <w:numPr>
          <w:ilvl w:val="0"/>
          <w:numId w:val="10"/>
        </w:numPr>
        <w:tabs>
          <w:tab w:val="left" w:pos="38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истребителей И-301 -1500 шт.</w:t>
      </w:r>
    </w:p>
    <w:p w14:paraId="4CE71A2C" w14:textId="77777777" w:rsidR="00B72AA4" w:rsidRPr="00DB5D0D" w:rsidRDefault="00B72AA4" w:rsidP="00DB5D0D">
      <w:pPr>
        <w:numPr>
          <w:ilvl w:val="0"/>
          <w:numId w:val="10"/>
        </w:numPr>
        <w:tabs>
          <w:tab w:val="left" w:pos="39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бронированных штурмовиков БШ - 1500 шт.</w:t>
      </w:r>
    </w:p>
    <w:p w14:paraId="58E3F415" w14:textId="77777777" w:rsidR="00B72AA4" w:rsidRPr="00DB5D0D" w:rsidRDefault="00B72AA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rPr>
        <w:tab/>
        <w:t>ближних бомбардировщиков ББ-22 - 1000 шт.» (19734).</w:t>
      </w:r>
    </w:p>
    <w:p w14:paraId="3C17B6BA" w14:textId="77777777" w:rsidR="00B72AA4" w:rsidRPr="00DB5D0D" w:rsidRDefault="00B72AA4" w:rsidP="00DB5D0D">
      <w:pPr>
        <w:spacing w:after="0" w:line="240" w:lineRule="auto"/>
        <w:jc w:val="both"/>
        <w:rPr>
          <w:rFonts w:ascii="Times New Roman" w:hAnsi="Times New Roman"/>
          <w:color w:val="000000" w:themeColor="text1"/>
          <w:sz w:val="16"/>
          <w:szCs w:val="16"/>
        </w:rPr>
      </w:pPr>
    </w:p>
    <w:p w14:paraId="74C9C3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Решением Политбюро ЦК ВКП(б) № П 19 / 96 – ОП утверждалось Постановление ЦК ВКП(б) и СНК СССР «Об организации производства боевых самолетов и авиамоторов в Ленинграде» (РГАСПИ. Ф. 17. Оп. 162. Д. 28. Л. 58.). В соответствующем Приложении к Постановлению предписывалось по самолетостроению к 1 января 1942 года создать в Ленинграде мощности, обеспечивающие в 1942 году выпуск 1000 штук ближних бомбардировщиков ББ-22, 1500 штук истребителей И-301, 1500 штук бронированных штурмовиков БШ. Кроме этого должен был быть обеспечен выпуск в 1940 году – 10 И-301, 10 БШ, 10 ББ22, а в 1941 году – 500 И-301, 600 БШ, 600 ББ-22. Авиазавод № 23 должен был переключиться на выпуск И-301, а на базе завода им. Каракозова – ЦС Осоавиахима и нового корпуса завода «Лентекстильмаш» НКОМ должен был быть организован завод по производству учебных самолетов У-2 с программой выпуска в 1940 году – 100, в 1941 году – 1500 и с доведением мощности до 2500 машин к 1 января 1942 года. На выпуск боевых самолетов переориентировались многие ленинградские предприятия, например, вагоноремонтный завод (ВАРЗ) Ленсовета – на производство ББ-22. Также развертывались мощности по моторостроению, причем на них предписывалось изготовить в 1940 году 10 авиадвигателей М-105, в 1941 году – 2000 М-105 и к 1 января 1942 года выйти по производству на уровень до 5000 М-105 в год (РГАЭ. Ф. 8044. Оп. 1. Д. 411. Л. 91-92.). Решением Политбюро ЦК ВКП(б) № П 19 / 112 от 29 июля 1940 года «О директорах авиационных заводов Ленинграда» предписывалось утвердить Баринова С.С. директором, а Гриншпун Л.Я. – главным инженером Ленинградского самолетостроительного завода по производству самолетов ББ-22; Филимончука Т.Х. – директором Ленинградского самолетостроительного завода по производству самолетов БШ; Фролова П.В. – директором завода № 23 по производству самолетов И-301 (РГАСПИ. Ф. 17. Оп. 3. Д. 1026. Л. 29.).</w:t>
      </w:r>
    </w:p>
    <w:p w14:paraId="7B4BCB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Политбюро ЦК ВКП(б) № П 20 / 285 – ОП от 25 сентября 1940 года утверждался ряд решений по вопросам Комитета Обороны, в частности, о материально-техническом обеспечении производства авиамоторов М-105 на заводе № 234 Наркомавиапрома (РГАСПИ. Ф. 17. Оп. 162. Д. 29. Л. 14.). Правительственное задание для этого завода на 1941 год составляло 2000 авиамоторов М-105 (Минаев П.П. Восстановление и развитие авиационной промышленности Ленинграда в 20-е – 30-е годы XX века. СПб., 2004. С. 34.).</w:t>
      </w:r>
    </w:p>
    <w:p w14:paraId="25DDB1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21 / 100 – ОП от 8 октября 1940 года утверждалось Постановление ЦК ВКП(б) и СНК СССР «О строительстве в Ленинграде второго авиамоторного завода» (РГАСПИ. Ф. 17. Оп. 162. Д. 29. Л. 129.). В соответствующем Приложении к Постановлению Нарком авиапромышленности А.И. Шахурин обязывался создать в Ленинграде вторую производственную базу (кроме переданного НКАП завода № 234) по выпуску авиационных моторов типа М-105 мощностью в 5000 штук в год при двухсменной работе, восьмичасовом рабочем дне и семидневной неделе. Срок окончания работ и пуска первой очереди 2500 моторов в год определялся первым кварталом 1942 года с выпуском в 1942 году 2000 моторов, а выход на полную мощность – к четвертому кварталу 1942 года. Для строительства авиамоторного завода на ст. Саперная из резервного фонда СНК предписывалось выделить 40 млн рублей (РГАСПИ. Ф. 17. Оп. 162. Д. 29. Л. 161-162.).</w:t>
      </w:r>
    </w:p>
    <w:p w14:paraId="44E401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21 / 46 – ОП от 2 октября 1940 года было утверждено Постановление СНК СССР и ЦК ВКП(б) «Об увеличении дальностей истребителей и постановке их производства на заводах». Пятый пункт данного Постановления касался завода № 23 и обязывал наркома авиапромышленности А.И. Шахурина, а также директора завода Фролова П.В.: «а) в изменение постановления № 1369-534сс от 26.VII.</w:t>
      </w:r>
    </w:p>
    <w:p w14:paraId="7A1349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года заводу № 23 ограничить выпуск самолетов И-301 5 машинами к 1 января 1941 года для проверки этого самолета на войсковых испытаниях; б) перейти с января 1941 года на производство самолетов И-26 улучшенных».</w:t>
      </w:r>
    </w:p>
    <w:p w14:paraId="50FF70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Восьмой пункт данного Постановления обязывал Шахурина и директора завода № 380 Баринова С.С. «с января 1941 года перейти на производство двухмоторного истребителя конструкции тов. Яковлева А.С.» (Там же. Л. 125-126.).</w:t>
      </w:r>
    </w:p>
    <w:p w14:paraId="729D36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всего лишь неделю спустя, решением Политбюро ЦК ВКП(б) № П 21 / 117 – ОП от 9 октября 1940 года «О самолете И-301», в частности, предписывалось во изменение постановления ЦК ВКП(б) и СНК СССР от 2 октября 1940 года о постановке на серийное производство на заводе № 23 самолета И-26 поставить серийное производство самолетов И-301 на заводе № 23 с дальностью полета в 1000 км на 0,9 максимальной скорости (Там же. Л. 129-130.).</w:t>
      </w:r>
    </w:p>
    <w:p w14:paraId="1440C1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декабре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135ED9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38CD03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w:t>
      </w:r>
      <w:r w:rsidRPr="00DB5D0D">
        <w:rPr>
          <w:rFonts w:ascii="Times New Roman" w:hAnsi="Times New Roman"/>
          <w:color w:val="000000" w:themeColor="text1"/>
          <w:sz w:val="16"/>
          <w:szCs w:val="16"/>
        </w:rPr>
        <w:lastRenderedPageBreak/>
        <w:t>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2C190E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583F8B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18E648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5565EFB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AAEC2B"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26 июля 1940 г. в соответствии с принятым постановлением СНК СССР и ЦК ВКП(б) «Об организации производства самолетов и авиамоторов в Ленинграде» [6, д. 6, л. 19] наркомат авиапромышленности (НКАП) обязывался «поставить производство» истребителя ЛаГГ-3 на заводе № 23 с планом выпуска самолетов на 1940 г. – 10 шт., на 1941 г. - 500 шт. с доведением мощности к 01.01.1942 г. до 1 000 шт. При этом производство учебных самолетов У-2 передавалось на новый ленинградский завод № 387 (бывший завод № 4 им. Каракозова) [4, с. 32], который в 1940 г. должен был выпустить 100 шт. У-2, в 1941 г. – 1 500 машин с доведением их выпуска к 1 января 1942 г. до 2 000 шт.</w:t>
      </w:r>
    </w:p>
    <w:p w14:paraId="3233048A"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Этим же постановлением НКАП обязывался организовать на заводе «Красный Октябрь» производство авиамоторов М-105. Для выполнения этой задачи наркомату передавались завод пишущих машин, патефонный завод и строящаяся пианино-рояльная фабрика. На 1940 г. заводу «Красный Октябрь» ставилась задача выпустить 10 моторов М-105, в 1941 г. - 1 500 шт., с доведением производства к 1 января 1942 г. до 5 000 моторов.</w:t>
      </w:r>
    </w:p>
    <w:p w14:paraId="6A41F095"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Для освоения выпуска бронированных штурмовиков Ил-2 НКАП в Ленинграде передавались: новые корпуса заводов «Красный Металлист» и им. Кирова и завод «Промет». На 1940 г. программа выпуска составляла 5 шт., на 1941 г. – 200 самолетов, с доведением производства к 1 января 1942 г. до 500 машин.</w:t>
      </w:r>
    </w:p>
    <w:p w14:paraId="7EB764C8"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Для производства ближних бомбардировщиков ББ-22 Ленсовет передавал НКАП вагонно-ремонтный завод (ВАРЗ). Плановое задание на 1940 г. – 5 самолетов, на 1941 г. и на 1 января 1942 г. – 200 и 1 000 машин соответственно (позднее выпуск ББ-22 был заменен на выпуск штурмовиков Ил-2).</w:t>
      </w:r>
    </w:p>
    <w:p w14:paraId="5CA258FF"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В заключительной части постановления «Об организации производства самолетов и авиамоторов в Ленинграде», подписанном Председателем СНК СССР В. Молотовым и Секретарем Центрального Комитета ВКП(б) И. Сталиным, руководителям партийных и советских органов Ленинграда вменялось в обязанность оказание всесторонней помощи Наркомавиапрому в выполнении строительных и монтажных работ, обеспечении заводов электроэнергией, топливом и рабочей силой [6, д. 6, л. 24].</w:t>
      </w:r>
    </w:p>
    <w:p w14:paraId="5B3D10B7"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Ряду предприятий Ленинграда – Карбюраторному заводу, заводу им. Карла Маркса, заводам «Северный пресс», «Красногвардеец», «Союз» и «Свобода» - предписывалось организовать для авиапрома производство карбюраторов, штампов, матриц и других изделий [7, д. 3, л. 1-2] (12698).</w:t>
      </w:r>
    </w:p>
    <w:p w14:paraId="50B733C4"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p>
    <w:p w14:paraId="177FE294"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июля 1940 г.</w:t>
      </w:r>
    </w:p>
    <w:p w14:paraId="20240150"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Решение Политбюро, протокол от 26.VII.40 г.</w:t>
      </w:r>
    </w:p>
    <w:p w14:paraId="205320B9"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96. Об организации производства боевых самолетов и авиационных моторов в Ленинграде (постановление ЦК ВКП(б) и СНК СССР). — ОП </w:t>
      </w:r>
    </w:p>
    <w:p w14:paraId="301B17B3"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112. О директорах авиационных заводов Ленинграда (ОБ от 25.VII.40 г., пр. № 46, п. 119-гс) (20770).</w:t>
      </w:r>
    </w:p>
    <w:p w14:paraId="1A68F43D" w14:textId="77777777" w:rsidR="009C1666" w:rsidRPr="00DB5D0D" w:rsidRDefault="009C1666" w:rsidP="00DB5D0D">
      <w:pPr>
        <w:spacing w:after="0" w:line="240" w:lineRule="auto"/>
        <w:jc w:val="both"/>
        <w:rPr>
          <w:rFonts w:ascii="Times New Roman" w:hAnsi="Times New Roman"/>
          <w:color w:val="0070C0"/>
          <w:sz w:val="16"/>
          <w:szCs w:val="16"/>
        </w:rPr>
      </w:pPr>
    </w:p>
    <w:p w14:paraId="476E8334"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июля 1940 вышло Постановление СНК СССР и ЦК ВКП(б) № 369-534сс "Об организации производства боевых самолетов и авиационных моторов в г. Ленинграде" с приложениями</w:t>
      </w:r>
    </w:p>
    <w:p w14:paraId="75AC40D2"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Центральный Комитет ВКГ/б/ и Совет Народных Комиссаров Союза ССР ПОСТАНОВЛЯЮТ:</w:t>
      </w:r>
    </w:p>
    <w:p w14:paraId="6C3FBDCF"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Обязать Наркомат Авиационной Промышлешнности организовать в г. Ленинграде производство и выпуск боевых самолетов и авиационных моторов, исходя из следующих заданий:</w:t>
      </w:r>
    </w:p>
    <w:p w14:paraId="6461A269"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по самолетостроению - изготовить в 1940 г. - 10 штук истребителей И-301, 10 штук бронированных штурмовиков БШ и 10 штук ближних бомбардировщиков ББ-22. В 1941 г. - 600 штук ББ-22, 600 штук БШ и 500 стук И-301.</w:t>
      </w:r>
    </w:p>
    <w:p w14:paraId="10A08BDC"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 1 января 1942 г. создать мощности, обеспечивавшие выпуск - 1.000 стук ББ-22, 1.500 стук БШ и 1.500 И-301</w:t>
      </w:r>
    </w:p>
    <w:p w14:paraId="7A22381B"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Расчет мощности вести исходя из двух смен:</w:t>
      </w:r>
    </w:p>
    <w:p w14:paraId="0DCF6510"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по моторостроению - изготовить в 1940 г. 10 штук моторов М-105, в 1941 г. 2.000 стук М-105.</w:t>
      </w:r>
    </w:p>
    <w:p w14:paraId="6864D706"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 1 января 1942 г. довести мощность по производству моторов -105 до 5.000 штук в год.</w:t>
      </w:r>
    </w:p>
    <w:p w14:paraId="7F99F491"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Расчет мощности вести исходя из двух смен.</w:t>
      </w:r>
    </w:p>
    <w:p w14:paraId="50485463"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Для организации производства боевых самолетов в г .Ленинграде передать в ведение Наркомата Авиационной Промшленности следующие предприятия:</w:t>
      </w:r>
    </w:p>
    <w:p w14:paraId="01DA4198"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Ленметаллургстрой Наркомсредмаша, Ленкранстрой Наркомтяжиаш, машиностроителышй завод НKПC, новый корпус завода КИНАП и новые корпуса заводов им. Кирова и "Красный металлист" Наркомтяжмаша, организовав на их базе производство самолетов "БШ";</w:t>
      </w:r>
    </w:p>
    <w:p w14:paraId="2D131FB7"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Вагоноремонтный завод (ВАРЗ) Ленсовета, организовав на его базе производство Столетов ББ-22;</w:t>
      </w:r>
    </w:p>
    <w:p w14:paraId="51B46B80"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Авторемонтный завод Ленсовета, организовав на нем произ</w:t>
      </w:r>
      <w:r w:rsidRPr="00DB5D0D">
        <w:rPr>
          <w:rFonts w:ascii="Times New Roman" w:hAnsi="Times New Roman"/>
          <w:color w:val="0070C0"/>
          <w:sz w:val="16"/>
          <w:szCs w:val="16"/>
        </w:rPr>
        <w:softHyphen/>
        <w:t>водство шасси и др. агрегатов для самолета И-301 завода № 23 Наркомавиапрома;</w:t>
      </w:r>
    </w:p>
    <w:p w14:paraId="118CEAF0"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Завод им. Каракозова - ЦС Осоавиахшла и новый корпус завода Лентекстильмаш Наркомобщмаша, создав на их базе завод для произ</w:t>
      </w:r>
      <w:r w:rsidRPr="00DB5D0D">
        <w:rPr>
          <w:rFonts w:ascii="Times New Roman" w:hAnsi="Times New Roman"/>
          <w:color w:val="0070C0"/>
          <w:sz w:val="16"/>
          <w:szCs w:val="16"/>
        </w:rPr>
        <w:softHyphen/>
        <w:t>водства учебных самолетов У-2, установив программу по выпуску са</w:t>
      </w:r>
      <w:r w:rsidRPr="00DB5D0D">
        <w:rPr>
          <w:rFonts w:ascii="Times New Roman" w:hAnsi="Times New Roman"/>
          <w:color w:val="0070C0"/>
          <w:sz w:val="16"/>
          <w:szCs w:val="16"/>
        </w:rPr>
        <w:softHyphen/>
        <w:t>молетов У-2: на 1940 г. 100 штук, на 1941 г. 1.500 штук, с дове</w:t>
      </w:r>
      <w:r w:rsidRPr="00DB5D0D">
        <w:rPr>
          <w:rFonts w:ascii="Times New Roman" w:hAnsi="Times New Roman"/>
          <w:color w:val="0070C0"/>
          <w:sz w:val="16"/>
          <w:szCs w:val="16"/>
        </w:rPr>
        <w:softHyphen/>
        <w:t>дением мощности к 1.1-1942 г. до 2.500 штук.</w:t>
      </w:r>
    </w:p>
    <w:p w14:paraId="661DC011"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Обязать Нармомавиапром производство боевых самолетов И-301 организовать на заводе № 23.</w:t>
      </w:r>
    </w:p>
    <w:p w14:paraId="1E5E45F0"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Для организации производства авиационных моторов в г. Ленинграде передать в ведение Наркомавпапрома зарод "Красный Октябрь" Наркомсредмаша, 1-й Государственный завод пишущих машин и Патефонную фабрику Наркомобщмаша и вновь строящуюся Кушелевскую пианино-рояльную фабрику Наркомместпрома РСФСР, создав на их базе завод для производства авиационных моторов М-105.</w:t>
      </w:r>
    </w:p>
    <w:p w14:paraId="21ADC209"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Размещение продукции, снимаемой с перечислениях в пунктах 2 и 4 заводов, провести в следующем порядке:</w:t>
      </w:r>
    </w:p>
    <w:p w14:paraId="21F98F70"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освободить машиностроительный завод НКПС с 1 октября 1940 г. от производства выпускаемой в настоящее время продукции.</w:t>
      </w:r>
    </w:p>
    <w:p w14:paraId="7E00900E"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Сохранить стальное литье в электропечи для НКПСа.</w:t>
      </w:r>
    </w:p>
    <w:p w14:paraId="76A35727"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Поручить Хозяйственному совету по машиностроению и Госплану в месячный срок внести предложения о предоставлении НКПС, взамен вагоностроительнго завода в г. Ленинграде другого завода в центральных или южных областях Союза;</w:t>
      </w:r>
    </w:p>
    <w:p w14:paraId="73536CEC"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освободить завод "ВАРЗ" с 1 сентября 1940 г. от ремонта и производства трамвайных вагонов.</w:t>
      </w:r>
    </w:p>
    <w:p w14:paraId="6286A061"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Разрешить Ленсовету взамен завода "ВАРЗ" построить в 1940 - 1942 г.г. небольшой завод для капитального ремонта трамвайных вагонов стоимостью не свыше 40 млн. рублей, выделив из резервного Совнаркома в 1940 г. на проектирование и подготовительные работы 5 млн.рублей;</w:t>
      </w:r>
    </w:p>
    <w:p w14:paraId="61C392CF"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освободить завод им. Каракозова с 1 сентября 1940 г. от производства катеров и лодок и передать их для производства на завод № 5 Наркомвнудела;</w:t>
      </w:r>
    </w:p>
    <w:p w14:paraId="26E40CC8"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освободить с 1 сентября 1940 г. завод "Красный Октябрь" от производства мотоциклов, коробок скоростей для танков Т-26 и запчастей к мотору "М-5" и разместить коробки скоростей к танку Т-26 на заводе ; 174 Нарвомсредмаша, а запчасти к штору "М-5" на других заводах Наркомсредмаша;</w:t>
      </w:r>
    </w:p>
    <w:p w14:paraId="15CB189E"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обязать Наркомобщмаш организовать на заводе "Промет" производство мотоциклов, снимаемых с завода "Красный Октябрь" и довести выпуск мотоциклов на заводе "Промет" в 1941 г. до 10.000 штук.</w:t>
      </w:r>
    </w:p>
    <w:p w14:paraId="2B7C3593"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Поручить Хозяйственному Совету по машиностроению и Госплану совместно с ленинградскими организациями в декадный срок изыскать дополнительную базу на Ленинградских заводах по производству 20.000 мотоциклов в год;</w:t>
      </w:r>
    </w:p>
    <w:p w14:paraId="57200984"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е) освободить с 1 сентября 1940 г. завод пишущих машин от производства пишущих машин, а патефонную фабрику от производства патефонов и обязать Наркомобщмаш (т. Паршина) в месячный срок внести в Экономический Совет предложения о размещении производства пишущих машин.</w:t>
      </w:r>
    </w:p>
    <w:p w14:paraId="0319E0E0"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 освободить с 1 сентября 1940 г. Кушелевскую пианино-рояльную фабрику от производства пианино, роялей и взрывателей и передать производство взрывателей на заводы № 4 и "Комсомольская Правда" Наркомхимпрома.</w:t>
      </w:r>
    </w:p>
    <w:p w14:paraId="12D4B5A3"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 обязать Наркомавиапром передать наркоматам, от которых передаются заводы под производство боевых самолетов и авиационных мо</w:t>
      </w:r>
      <w:r w:rsidRPr="00DB5D0D">
        <w:rPr>
          <w:rFonts w:ascii="Times New Roman" w:hAnsi="Times New Roman"/>
          <w:color w:val="0070C0"/>
          <w:sz w:val="16"/>
          <w:szCs w:val="16"/>
        </w:rPr>
        <w:softHyphen/>
        <w:t>торов, оборудование, которое не может быть использовало для авиационного производства.</w:t>
      </w:r>
    </w:p>
    <w:p w14:paraId="0548F3E8"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Для осуществления строительства об'ектов создать в г. Ленинграде на базе треста № 47 Наркомэлектропрома и Ленмашстроя НКстроя специализированный строительный трест, подчиненный Наркомату Авиационной Промышленности, возложив на этот трест строительство п оборудование ленинградских авпационных заводов, а также возложенное на НКстрой строительство по Кировскому заводу.</w:t>
      </w:r>
    </w:p>
    <w:p w14:paraId="5AC1AC8C"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Наркомэлектропрому и Наркомстрою передать, а Наркомавиапрому принять тресты по балансу на 1.У11-1940 г.</w:t>
      </w:r>
    </w:p>
    <w:p w14:paraId="53056993"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Жилстроительство, осуществляете Ленмашстроем, возложить на Ленсовет.</w:t>
      </w:r>
    </w:p>
    <w:p w14:paraId="11B009C4"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Отпустить Наркомавиапрому из резервного фонда Совнаркома СССР на 1940 г. для капитального строительства и приобретения оборудования, транспорта, механизмов для Ленинградских заводов Наркомавиапрома, дополнительно 60 млн. руб.</w:t>
      </w:r>
    </w:p>
    <w:p w14:paraId="2973641E"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Возложить на 46 проектный трест по согласованию с Наркомавиапромом проектирование и реконструкцию всех ленинградских заводов Наркомавиапрома, с окончанием работ по проектпрованию в 3-х месячный срок после выдачи Наркомавиапромом проектных заданий.</w:t>
      </w:r>
    </w:p>
    <w:p w14:paraId="4AD4AA6A"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Финансироватъ капитальные работы ленинградских заводов Наркомавиапрома до 1 января 1941 г. без проектов и смет по сметным расчетам на отдельные объекты и виды работ, утверждаемым Наркомавиапромом.</w:t>
      </w:r>
    </w:p>
    <w:p w14:paraId="5B9A8457"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Наркомфину СССР пополнять оборотные средства специализированного строительного треста, исходя из баланса на 1.УШ.1940 г. до 20% от годовой программы (для ведения работ скоростными методами).</w:t>
      </w:r>
    </w:p>
    <w:p w14:paraId="51D3E3A8"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Разрешить Наркомавиапрому ввести поправочные коэффициенты 1,15 к тарифным ставкам рабочих и инженерно-технических работников специализированного треста. Установить для треста размер накладных расходов – 25% и аванс на приобретение материалов – 20%.</w:t>
      </w:r>
    </w:p>
    <w:p w14:paraId="48D18D01"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Для обеспечения рабочей силой строительной программы Ле</w:t>
      </w:r>
      <w:r w:rsidRPr="00DB5D0D">
        <w:rPr>
          <w:rFonts w:ascii="Times New Roman" w:hAnsi="Times New Roman"/>
          <w:color w:val="0070C0"/>
          <w:sz w:val="16"/>
          <w:szCs w:val="16"/>
        </w:rPr>
        <w:softHyphen/>
        <w:t>нинградских заводов Наркомавиапрома:</w:t>
      </w:r>
    </w:p>
    <w:p w14:paraId="2A1B4B90"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Совнаркому СCСР выделить целевой наряд на вербовку 3000 человек;</w:t>
      </w:r>
    </w:p>
    <w:p w14:paraId="742E91E0"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Наркомобороны выделить для участия в строительстве строи</w:t>
      </w:r>
      <w:r w:rsidRPr="00DB5D0D">
        <w:rPr>
          <w:rFonts w:ascii="Times New Roman" w:hAnsi="Times New Roman"/>
          <w:color w:val="0070C0"/>
          <w:sz w:val="16"/>
          <w:szCs w:val="16"/>
        </w:rPr>
        <w:softHyphen/>
        <w:t>тельные батальоны о количестве 3000 человек;</w:t>
      </w:r>
    </w:p>
    <w:p w14:paraId="399F31EA"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Ленинградскому горкому ВКП (б) и Ленсовету перебросить с менее важных ленинградских строек 3.000 строителей, сохранив за ними занимаемую сейчас жилую площадь на время работы по строительству самолетно-моторных заводов.</w:t>
      </w:r>
    </w:p>
    <w:p w14:paraId="2B4ABB72"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Обязать Ленсовет:</w:t>
      </w:r>
    </w:p>
    <w:p w14:paraId="6D05CB4B"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в 10-дневный срок отвести необходимые земельныес участки для расширения заводов Наркомавиапрома и для аэродромов;</w:t>
      </w:r>
    </w:p>
    <w:p w14:paraId="1254F602"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разрешить тресту Нaркомавиапрома строительство общежитий ба</w:t>
      </w:r>
      <w:r w:rsidRPr="00DB5D0D">
        <w:rPr>
          <w:rFonts w:ascii="Times New Roman" w:hAnsi="Times New Roman"/>
          <w:color w:val="0070C0"/>
          <w:sz w:val="16"/>
          <w:szCs w:val="16"/>
        </w:rPr>
        <w:softHyphen/>
        <w:t>рачного типа в количестве до 50 шт. и отвести необходимые участки для этой цели для Ленметаллургстроя за городом;</w:t>
      </w:r>
    </w:p>
    <w:p w14:paraId="606E64A5"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передать Наркомавиапрому законсервированные стройки жилых домов: корпус № 3 по Московскому шоссе (квартал № 18), корпус № 2 по Псковскому шоссе (квартал № 42), корпус, по правому берегу Невы № 158, корпус по Малой Охте" (квартал № 1). корпус по "Малой Охте" (квартал № 26), а также дом № 15 по Старой Деревенской улице, нахо</w:t>
      </w:r>
      <w:r w:rsidRPr="00DB5D0D">
        <w:rPr>
          <w:rFonts w:ascii="Times New Roman" w:hAnsi="Times New Roman"/>
          <w:color w:val="0070C0"/>
          <w:sz w:val="16"/>
          <w:szCs w:val="16"/>
        </w:rPr>
        <w:softHyphen/>
        <w:t>дящийся в ведении областного союза жилищных работников.</w:t>
      </w:r>
    </w:p>
    <w:p w14:paraId="0617F772"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Достройку этих домов выполнить силами Ленсовета за счет лимитов Наркомавиапрома.</w:t>
      </w:r>
    </w:p>
    <w:p w14:paraId="607C7A4C"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выделить в жилых домах Ленсовета для работников Наркомавиапрома 50 квартир.</w:t>
      </w:r>
    </w:p>
    <w:p w14:paraId="226CA40E"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Обявать Ленсовет к 1 июля 1941 г. построить трамвайный путь на участке седо Рыбацкое - Ленметаллургстрой за счет средств Наркомавипапрома (22015).</w:t>
      </w:r>
    </w:p>
    <w:p w14:paraId="3CDE7CE3" w14:textId="77777777" w:rsidR="009C1666" w:rsidRPr="00DB5D0D" w:rsidRDefault="009C1666" w:rsidP="00DB5D0D">
      <w:pPr>
        <w:spacing w:after="0" w:line="240" w:lineRule="auto"/>
        <w:jc w:val="both"/>
        <w:rPr>
          <w:rFonts w:ascii="Times New Roman" w:hAnsi="Times New Roman"/>
          <w:color w:val="0070C0"/>
          <w:sz w:val="16"/>
          <w:szCs w:val="16"/>
        </w:rPr>
      </w:pPr>
    </w:p>
    <w:p w14:paraId="1F49C6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вышло постановление КО N 323сс "О назначении Гос. комиссии для приемки моторов АМ-35А завода 24." (1295,118).</w:t>
      </w:r>
    </w:p>
    <w:p w14:paraId="6C562C4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0EDDA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вышло постановление КО N 334сс "Об усилении колес и аэропневматика самолета ТБ-7". "Рассмотрев жалобу НКО С.К.Тимошенко о плохом качестве аэропневматиков самолета ТБ-7 КО постановляет:</w:t>
      </w:r>
    </w:p>
    <w:p w14:paraId="7FF325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Наркомавиапром А.И.Ш. и Наркомхимпром Денисова усилить существующие аэропневматики и колеса самолета ТБ-7, не изменяя конструкцию и размер вилки шасси;</w:t>
      </w:r>
    </w:p>
    <w:p w14:paraId="2DFB6D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Разработать конструкцию нового колеса и аэропневматиков для самолета ТБ-7 под полетный вес 34 т...Подписали Ворошилов и М.Пугаев (1269).</w:t>
      </w:r>
    </w:p>
    <w:p w14:paraId="21923CD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23517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вышло постановление № 334сс КО Об усилении колеса и аэропневматика самолета ТБ-7 (7595, 182).</w:t>
      </w:r>
    </w:p>
    <w:p w14:paraId="49C49BE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F419CD"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26 июля 1940 г. </w:t>
      </w:r>
      <w:r w:rsidRPr="00DB5D0D">
        <w:rPr>
          <w:rFonts w:ascii="Times New Roman" w:hAnsi="Times New Roman"/>
          <w:color w:val="0070C0"/>
          <w:sz w:val="16"/>
          <w:szCs w:val="16"/>
          <w:shd w:val="clear" w:color="auto" w:fill="FFFFFF"/>
        </w:rPr>
        <w:t>Постановление Комитета обороны при СНК СССР №335сс "Об увеличении выпуска самолетов и авиамоторов на период август - декабрь 1940 г." с приложениями (21966).</w:t>
      </w:r>
    </w:p>
    <w:p w14:paraId="738E807F" w14:textId="77777777" w:rsidR="009C1666" w:rsidRPr="00DB5D0D" w:rsidRDefault="009C1666" w:rsidP="00DB5D0D">
      <w:pPr>
        <w:spacing w:after="0" w:line="240" w:lineRule="auto"/>
        <w:jc w:val="both"/>
        <w:rPr>
          <w:rFonts w:ascii="Times New Roman" w:hAnsi="Times New Roman"/>
          <w:color w:val="0070C0"/>
          <w:sz w:val="16"/>
          <w:szCs w:val="16"/>
        </w:rPr>
      </w:pPr>
    </w:p>
    <w:p w14:paraId="169E147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Начальник ВВС генерал-лейтенант авиации Смушкевич и Военком ВВС дивизионный комиссар Агальцов утвердили Заключение по эскизному проекту двухмоторного высотного дальнего бомбардировщика «102» с дизель моторами М-20 (6615).</w:t>
      </w:r>
    </w:p>
    <w:p w14:paraId="4983C30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«102-2М20» является модификацией самолета 102-2М120 (6615).</w:t>
      </w:r>
    </w:p>
    <w:p w14:paraId="5EDE3E1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F018C18"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самолета «102» с дизель-мотором «М-20» – утвердить, внеся в него изменения.</w:t>
      </w:r>
    </w:p>
    <w:p w14:paraId="496838FA"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Войти с ходатайством в КО о включении самолета «102» в план опытного строительства на 1940 год (6615).</w:t>
      </w:r>
    </w:p>
    <w:p w14:paraId="3E5EBADE"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p>
    <w:p w14:paraId="5333AD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начальник летно-технической группы НКАП М. Громов писал письмо № 2822 председателю КО маршалу Ворошилову К.Е.</w:t>
      </w:r>
    </w:p>
    <w:p w14:paraId="009942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Изучение летных качеств наших опытных истребителей выявило некоторые свойства, присущие всем этим самолетам.</w:t>
      </w:r>
    </w:p>
    <w:p w14:paraId="1285B0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свойства являются причиной ухудшающей и затрудняющей маневр, а также усложняющей и затрудняющей пилотирование этих самолетов. Свойства эти заключаются в следующем: минимальные скорости, потребные для выполнения маневров с перегрузкой на близпосадочных углах атаки крыла, стали значительно больше по сравнению с минимальной эксплуатационной скоростью горизонтального полета. Например: скорости глубокого виража, минимальные скорости при выполнении вертикальных маневров (верхняя точка мертвой петли), значительно возросли по сравнению с минимальной эксплуатационной скоростью горизонтального полета этих же самолетов.</w:t>
      </w:r>
    </w:p>
    <w:p w14:paraId="2DC46E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Разница между скоростью выполнения виража и минимальной эксплуатационной скоростью горизонтального полета стала относительно гораздо больше, чем у устаревших самолетов типа И-5, И-4, И-153. Минимальная эксплуатационная скорость горизонтального полета современных истребителей – 170 км/час, а скорость выполнения виража – 280 км/час. У самолетов старого типа минимальная эксплуатационная скорость горизонтального полета – 120 км/час, а скорость выполнения виража – 135-145 км/час.</w:t>
      </w:r>
    </w:p>
    <w:p w14:paraId="63C9C3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относительное увеличение скоростей вызывается все возрастающей удельной нагрузкой на крыло. Благодаря указанным свойствам, во время боя, где требуется маневр, современные самолеты легко и часто будут срываться в штопор, что весьма нежелательно (снижает боеспособность).</w:t>
      </w:r>
    </w:p>
    <w:p w14:paraId="4E5372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Принимая во внимание дальнейшее увеличение удельных нагрузок на крыло и массовость авиации в современной войне, в случае не устранения указанного недостатка, нужно ожидать понижения боеспособности и увеличения аварийности.</w:t>
      </w:r>
    </w:p>
    <w:p w14:paraId="7259CC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устранения этого важнейшего недостатка в будущем следует применять в обязательном порядке, в первую очередь на истребителях, автоматически открывающийся предкрылок или щель в крыле, как наиболее эффективные меры, которые известны в данный момент. Применение этих мер не только повысит боеспособность самолетов, но и безусловно снизит аварийность.</w:t>
      </w:r>
    </w:p>
    <w:p w14:paraId="7A1136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Мессершмидт 109 с автоматическими предкрылками имеет удельную нагрузку на крыло примерно такую же как и наши современные истребители. Скорость же выполнения виража на этом самолете – 180-200 км/час, а минимальная эксплуатационная скорость горизонтального полета – 180-190 км/час, т.е. скорости эти одинаковы. Это объясняется тем, что во время выполнения виража предкрылок внутреннего крыла приоткрывается и предупреждает срыв.</w:t>
      </w:r>
    </w:p>
    <w:p w14:paraId="016F0C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скорость горизонтального полета этого самолета может быть доведена до 105 км/час и только еще меньшие скорсоти начинают выводить самолет из устойчивого положения, он колеблется, но в штопор не переходит и не может перейти! (3377, 2-3).</w:t>
      </w:r>
    </w:p>
    <w:p w14:paraId="1C5235A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8E034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в ходе гос. испытаний самолета И-153 с герметической кабиной конструкции инженера Щербакова, которые проходили с 22 по 30 июля 1940 состоялись полет на стрельбу по конусу (Высота 7000 м, продолжительность 50 мин.) и учебно-боевой полет в загерметизированной кабине (Высота 8000 м, продолжительность 60 мин.) (3190).</w:t>
      </w:r>
    </w:p>
    <w:p w14:paraId="6C510E3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C9A91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во время первого пробного вылета произошла катастрофа И-16 М-25А с ТК и погиб л М.Ю.Алексеев, который вдруг стал делать фигуры пилотажа (2080,62).</w:t>
      </w:r>
    </w:p>
    <w:p w14:paraId="50D4A07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1C31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Совнарком принял решение о развертывании серийного производства И-301 на заводе № 23 в Ленинграде. Однако 2 октября поступило указание ограничиться сборкой там только пяти экземпляров для эксплуатационных испытаний (11983).</w:t>
      </w:r>
    </w:p>
    <w:p w14:paraId="3CA6870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B97F5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на 47 заводе под руководством второго ГК Е.Г.Адлера (первым был Г.И.Бакшаев) был выпущен первый УТ-3 А.С.Я. с измененной кабиной N 1147 (2200,29).</w:t>
      </w:r>
    </w:p>
    <w:p w14:paraId="6FBECCB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5C138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26 июля 1940 вышло постановление НКО N 335 "Об увеличении выпуска самолетов и авиамоторов на период август-декабрь 1940". Во исполнение этого постановления вышел приказ НКАП N 379сс от 29 июля 1940 (910,22) (1272).</w:t>
      </w:r>
    </w:p>
    <w:p w14:paraId="60AB83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нем была строка по штурмовикам, которая потом нашла отражение в соответствующем приказе НКАП от 29 июля 1940, а также по ДБ-3Ф на заводах 18, 39, 126 (1272,219):</w:t>
      </w:r>
    </w:p>
    <w:p w14:paraId="2EDCFC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СССР Постановляет:</w:t>
      </w:r>
    </w:p>
    <w:p w14:paraId="6EC445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Утвердить увеличенную программу выпуска боевых самолетов на оставшиеся 5 месяцев текущего года в количестве 6709 шт., в т.ч. боевых 5000 шт.</w:t>
      </w:r>
    </w:p>
    <w:p w14:paraId="7AA7A3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следующую программу выпуска боевых самолетов по месяцам: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165"/>
        <w:gridCol w:w="1165"/>
        <w:gridCol w:w="1165"/>
        <w:gridCol w:w="1165"/>
        <w:gridCol w:w="1165"/>
        <w:gridCol w:w="2679"/>
      </w:tblGrid>
      <w:tr w:rsidR="007D5DF8" w:rsidRPr="00DB5D0D" w14:paraId="459B0567" w14:textId="77777777" w:rsidTr="00E543D0">
        <w:tc>
          <w:tcPr>
            <w:tcW w:w="2093" w:type="dxa"/>
            <w:tcBorders>
              <w:top w:val="single" w:sz="12" w:space="0" w:color="auto"/>
            </w:tcBorders>
          </w:tcPr>
          <w:p w14:paraId="0C4808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самолета</w:t>
            </w:r>
          </w:p>
        </w:tc>
        <w:tc>
          <w:tcPr>
            <w:tcW w:w="1165" w:type="dxa"/>
            <w:tcBorders>
              <w:top w:val="single" w:sz="12" w:space="0" w:color="auto"/>
            </w:tcBorders>
          </w:tcPr>
          <w:p w14:paraId="42817F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на</w:t>
            </w:r>
          </w:p>
        </w:tc>
        <w:tc>
          <w:tcPr>
            <w:tcW w:w="1165" w:type="dxa"/>
            <w:tcBorders>
              <w:top w:val="single" w:sz="12" w:space="0" w:color="auto"/>
            </w:tcBorders>
          </w:tcPr>
          <w:p w14:paraId="7CF339D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Borders>
              <w:top w:val="single" w:sz="12" w:space="0" w:color="auto"/>
            </w:tcBorders>
          </w:tcPr>
          <w:p w14:paraId="19FF929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Borders>
              <w:top w:val="single" w:sz="12" w:space="0" w:color="auto"/>
            </w:tcBorders>
          </w:tcPr>
          <w:p w14:paraId="7CA7E4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том числе по месяцам</w:t>
            </w:r>
          </w:p>
        </w:tc>
        <w:tc>
          <w:tcPr>
            <w:tcW w:w="1165" w:type="dxa"/>
            <w:tcBorders>
              <w:top w:val="single" w:sz="12" w:space="0" w:color="auto"/>
            </w:tcBorders>
          </w:tcPr>
          <w:p w14:paraId="4FE88D9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679" w:type="dxa"/>
            <w:tcBorders>
              <w:top w:val="single" w:sz="12" w:space="0" w:color="auto"/>
            </w:tcBorders>
          </w:tcPr>
          <w:p w14:paraId="278C1F5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7491CA5" w14:textId="77777777" w:rsidTr="00E543D0">
        <w:tc>
          <w:tcPr>
            <w:tcW w:w="2093" w:type="dxa"/>
          </w:tcPr>
          <w:p w14:paraId="672B0E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Pr>
          <w:p w14:paraId="79C97C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месяцев</w:t>
            </w:r>
          </w:p>
        </w:tc>
        <w:tc>
          <w:tcPr>
            <w:tcW w:w="1165" w:type="dxa"/>
          </w:tcPr>
          <w:p w14:paraId="41BDE2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1165" w:type="dxa"/>
          </w:tcPr>
          <w:p w14:paraId="2CA38E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1165" w:type="dxa"/>
          </w:tcPr>
          <w:p w14:paraId="198FE2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1165" w:type="dxa"/>
          </w:tcPr>
          <w:p w14:paraId="3FF7CF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2679" w:type="dxa"/>
          </w:tcPr>
          <w:p w14:paraId="20D2EFE0" w14:textId="77777777" w:rsidR="003C7E8B" w:rsidRPr="00DB5D0D" w:rsidRDefault="006017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w:t>
            </w:r>
            <w:r w:rsidR="003C7E8B" w:rsidRPr="00DB5D0D">
              <w:rPr>
                <w:rFonts w:ascii="Times New Roman" w:hAnsi="Times New Roman"/>
                <w:color w:val="000000" w:themeColor="text1"/>
                <w:sz w:val="16"/>
                <w:szCs w:val="16"/>
              </w:rPr>
              <w:t>екабрь</w:t>
            </w:r>
          </w:p>
        </w:tc>
      </w:tr>
      <w:tr w:rsidR="007D5DF8" w:rsidRPr="00DB5D0D" w14:paraId="47263EAA" w14:textId="77777777" w:rsidTr="00E543D0">
        <w:tc>
          <w:tcPr>
            <w:tcW w:w="2093" w:type="dxa"/>
          </w:tcPr>
          <w:p w14:paraId="2ADCCF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Бомбардировщиков</w:t>
            </w:r>
          </w:p>
        </w:tc>
        <w:tc>
          <w:tcPr>
            <w:tcW w:w="1165" w:type="dxa"/>
          </w:tcPr>
          <w:p w14:paraId="7414B2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2473</w:t>
            </w:r>
          </w:p>
        </w:tc>
        <w:tc>
          <w:tcPr>
            <w:tcW w:w="1165" w:type="dxa"/>
          </w:tcPr>
          <w:p w14:paraId="58FF0F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427</w:t>
            </w:r>
          </w:p>
        </w:tc>
        <w:tc>
          <w:tcPr>
            <w:tcW w:w="1165" w:type="dxa"/>
          </w:tcPr>
          <w:p w14:paraId="4C0F55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465</w:t>
            </w:r>
          </w:p>
        </w:tc>
        <w:tc>
          <w:tcPr>
            <w:tcW w:w="1165" w:type="dxa"/>
          </w:tcPr>
          <w:p w14:paraId="0347DB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469</w:t>
            </w:r>
          </w:p>
        </w:tc>
        <w:tc>
          <w:tcPr>
            <w:tcW w:w="1165" w:type="dxa"/>
          </w:tcPr>
          <w:p w14:paraId="76C986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537</w:t>
            </w:r>
          </w:p>
        </w:tc>
        <w:tc>
          <w:tcPr>
            <w:tcW w:w="2679" w:type="dxa"/>
          </w:tcPr>
          <w:p w14:paraId="2C36A3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575</w:t>
            </w:r>
          </w:p>
        </w:tc>
      </w:tr>
      <w:tr w:rsidR="007D5DF8" w:rsidRPr="00DB5D0D" w14:paraId="218F69A7" w14:textId="77777777" w:rsidTr="00E543D0">
        <w:tc>
          <w:tcPr>
            <w:tcW w:w="2093" w:type="dxa"/>
          </w:tcPr>
          <w:p w14:paraId="213EE0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Истребителей</w:t>
            </w:r>
          </w:p>
        </w:tc>
        <w:tc>
          <w:tcPr>
            <w:tcW w:w="1165" w:type="dxa"/>
          </w:tcPr>
          <w:p w14:paraId="043FA7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2383</w:t>
            </w:r>
          </w:p>
        </w:tc>
        <w:tc>
          <w:tcPr>
            <w:tcW w:w="1165" w:type="dxa"/>
          </w:tcPr>
          <w:p w14:paraId="191BA6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c>
          <w:tcPr>
            <w:tcW w:w="1165" w:type="dxa"/>
          </w:tcPr>
          <w:p w14:paraId="54D3C6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445</w:t>
            </w:r>
          </w:p>
        </w:tc>
        <w:tc>
          <w:tcPr>
            <w:tcW w:w="1165" w:type="dxa"/>
          </w:tcPr>
          <w:p w14:paraId="5B806F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1165" w:type="dxa"/>
          </w:tcPr>
          <w:p w14:paraId="694897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495</w:t>
            </w:r>
          </w:p>
        </w:tc>
        <w:tc>
          <w:tcPr>
            <w:tcW w:w="2679" w:type="dxa"/>
          </w:tcPr>
          <w:p w14:paraId="20F2E6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555</w:t>
            </w:r>
          </w:p>
        </w:tc>
      </w:tr>
      <w:tr w:rsidR="007D5DF8" w:rsidRPr="00DB5D0D" w14:paraId="79B4035F" w14:textId="77777777" w:rsidTr="00E543D0">
        <w:tc>
          <w:tcPr>
            <w:tcW w:w="2093" w:type="dxa"/>
          </w:tcPr>
          <w:p w14:paraId="15D4FC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Штурмовики</w:t>
            </w:r>
          </w:p>
        </w:tc>
        <w:tc>
          <w:tcPr>
            <w:tcW w:w="1165" w:type="dxa"/>
          </w:tcPr>
          <w:p w14:paraId="26E54D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1165" w:type="dxa"/>
          </w:tcPr>
          <w:p w14:paraId="45DCCD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65" w:type="dxa"/>
          </w:tcPr>
          <w:p w14:paraId="42B7FE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65" w:type="dxa"/>
          </w:tcPr>
          <w:p w14:paraId="27AF50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65" w:type="dxa"/>
          </w:tcPr>
          <w:p w14:paraId="0BA3E6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679" w:type="dxa"/>
          </w:tcPr>
          <w:p w14:paraId="29D55F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r>
      <w:tr w:rsidR="007D5DF8" w:rsidRPr="00DB5D0D" w14:paraId="535A4DF4" w14:textId="77777777" w:rsidTr="00E543D0">
        <w:tc>
          <w:tcPr>
            <w:tcW w:w="2093" w:type="dxa"/>
          </w:tcPr>
          <w:p w14:paraId="09F24D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Морских</w:t>
            </w:r>
          </w:p>
        </w:tc>
        <w:tc>
          <w:tcPr>
            <w:tcW w:w="1165" w:type="dxa"/>
          </w:tcPr>
          <w:p w14:paraId="2F998F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w:t>
            </w:r>
          </w:p>
        </w:tc>
        <w:tc>
          <w:tcPr>
            <w:tcW w:w="1165" w:type="dxa"/>
          </w:tcPr>
          <w:p w14:paraId="312DA1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1165" w:type="dxa"/>
          </w:tcPr>
          <w:p w14:paraId="3E8C49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1165" w:type="dxa"/>
          </w:tcPr>
          <w:p w14:paraId="26EDC3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165" w:type="dxa"/>
          </w:tcPr>
          <w:p w14:paraId="0A765C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2679" w:type="dxa"/>
          </w:tcPr>
          <w:p w14:paraId="79D09E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r>
      <w:tr w:rsidR="007D5DF8" w:rsidRPr="00DB5D0D" w14:paraId="4CE891A8" w14:textId="77777777" w:rsidTr="00E543D0">
        <w:tc>
          <w:tcPr>
            <w:tcW w:w="2093" w:type="dxa"/>
          </w:tcPr>
          <w:p w14:paraId="4A6D76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Транспортных</w:t>
            </w:r>
          </w:p>
        </w:tc>
        <w:tc>
          <w:tcPr>
            <w:tcW w:w="1165" w:type="dxa"/>
          </w:tcPr>
          <w:p w14:paraId="6473D5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1165" w:type="dxa"/>
          </w:tcPr>
          <w:p w14:paraId="4AE52F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165" w:type="dxa"/>
          </w:tcPr>
          <w:p w14:paraId="555219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65" w:type="dxa"/>
          </w:tcPr>
          <w:p w14:paraId="49A210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1165" w:type="dxa"/>
          </w:tcPr>
          <w:p w14:paraId="6958CF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2679" w:type="dxa"/>
          </w:tcPr>
          <w:p w14:paraId="0F2657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66E580EE" w14:textId="77777777" w:rsidTr="00E543D0">
        <w:tc>
          <w:tcPr>
            <w:tcW w:w="2093" w:type="dxa"/>
            <w:tcBorders>
              <w:bottom w:val="single" w:sz="12" w:space="0" w:color="auto"/>
            </w:tcBorders>
          </w:tcPr>
          <w:p w14:paraId="1128B4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1165" w:type="dxa"/>
            <w:tcBorders>
              <w:bottom w:val="single" w:sz="12" w:space="0" w:color="auto"/>
            </w:tcBorders>
          </w:tcPr>
          <w:p w14:paraId="61A602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1165" w:type="dxa"/>
            <w:tcBorders>
              <w:bottom w:val="single" w:sz="12" w:space="0" w:color="auto"/>
            </w:tcBorders>
          </w:tcPr>
          <w:p w14:paraId="38B68C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837</w:t>
            </w:r>
          </w:p>
        </w:tc>
        <w:tc>
          <w:tcPr>
            <w:tcW w:w="1165" w:type="dxa"/>
            <w:tcBorders>
              <w:bottom w:val="single" w:sz="12" w:space="0" w:color="auto"/>
            </w:tcBorders>
          </w:tcPr>
          <w:p w14:paraId="4E4718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935</w:t>
            </w:r>
          </w:p>
        </w:tc>
        <w:tc>
          <w:tcPr>
            <w:tcW w:w="1165" w:type="dxa"/>
            <w:tcBorders>
              <w:bottom w:val="single" w:sz="12" w:space="0" w:color="auto"/>
            </w:tcBorders>
          </w:tcPr>
          <w:p w14:paraId="18964A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996</w:t>
            </w:r>
          </w:p>
        </w:tc>
        <w:tc>
          <w:tcPr>
            <w:tcW w:w="1165" w:type="dxa"/>
            <w:tcBorders>
              <w:bottom w:val="single" w:sz="12" w:space="0" w:color="auto"/>
            </w:tcBorders>
          </w:tcPr>
          <w:p w14:paraId="58B2DB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1065</w:t>
            </w:r>
          </w:p>
        </w:tc>
        <w:tc>
          <w:tcPr>
            <w:tcW w:w="2679" w:type="dxa"/>
            <w:tcBorders>
              <w:bottom w:val="single" w:sz="12" w:space="0" w:color="auto"/>
            </w:tcBorders>
          </w:tcPr>
          <w:p w14:paraId="609C4A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1167</w:t>
            </w:r>
          </w:p>
        </w:tc>
      </w:tr>
    </w:tbl>
    <w:p w14:paraId="0D9005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Утвердить план производства и сдачи самолетов по заводам Наркомавиапрома согласно приложению №1</w:t>
      </w:r>
    </w:p>
    <w:p w14:paraId="69358D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Установить следующие график выпуска авиамоторов для боевых самолетов по месяцам: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65"/>
        <w:gridCol w:w="1165"/>
        <w:gridCol w:w="1165"/>
        <w:gridCol w:w="1165"/>
        <w:gridCol w:w="1165"/>
        <w:gridCol w:w="2679"/>
      </w:tblGrid>
      <w:tr w:rsidR="007D5DF8" w:rsidRPr="00DB5D0D" w14:paraId="21AF124F" w14:textId="77777777" w:rsidTr="00E543D0">
        <w:tc>
          <w:tcPr>
            <w:tcW w:w="1165" w:type="dxa"/>
            <w:tcBorders>
              <w:top w:val="single" w:sz="12" w:space="0" w:color="auto"/>
            </w:tcBorders>
          </w:tcPr>
          <w:p w14:paraId="467B38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Всего моторов по боевым самолетам на </w:t>
            </w:r>
          </w:p>
        </w:tc>
        <w:tc>
          <w:tcPr>
            <w:tcW w:w="1165" w:type="dxa"/>
            <w:tcBorders>
              <w:top w:val="single" w:sz="12" w:space="0" w:color="auto"/>
            </w:tcBorders>
          </w:tcPr>
          <w:p w14:paraId="002E1CC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Borders>
              <w:top w:val="single" w:sz="12" w:space="0" w:color="auto"/>
            </w:tcBorders>
          </w:tcPr>
          <w:p w14:paraId="0411F1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Borders>
              <w:top w:val="single" w:sz="12" w:space="0" w:color="auto"/>
            </w:tcBorders>
          </w:tcPr>
          <w:p w14:paraId="3F5F30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том числе по месяцам</w:t>
            </w:r>
          </w:p>
        </w:tc>
        <w:tc>
          <w:tcPr>
            <w:tcW w:w="1165" w:type="dxa"/>
            <w:tcBorders>
              <w:top w:val="single" w:sz="12" w:space="0" w:color="auto"/>
            </w:tcBorders>
          </w:tcPr>
          <w:p w14:paraId="41D894E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679" w:type="dxa"/>
            <w:tcBorders>
              <w:top w:val="single" w:sz="12" w:space="0" w:color="auto"/>
            </w:tcBorders>
          </w:tcPr>
          <w:p w14:paraId="2CD5D09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FB4A3CA" w14:textId="77777777" w:rsidTr="00E543D0">
        <w:tc>
          <w:tcPr>
            <w:tcW w:w="1165" w:type="dxa"/>
          </w:tcPr>
          <w:p w14:paraId="545E2D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месяцев</w:t>
            </w:r>
          </w:p>
        </w:tc>
        <w:tc>
          <w:tcPr>
            <w:tcW w:w="1165" w:type="dxa"/>
          </w:tcPr>
          <w:p w14:paraId="3BF329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1165" w:type="dxa"/>
          </w:tcPr>
          <w:p w14:paraId="7A7BF0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1165" w:type="dxa"/>
          </w:tcPr>
          <w:p w14:paraId="7FD5CB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1165" w:type="dxa"/>
          </w:tcPr>
          <w:p w14:paraId="47F830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2679" w:type="dxa"/>
          </w:tcPr>
          <w:p w14:paraId="177A73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w:t>
            </w:r>
          </w:p>
        </w:tc>
      </w:tr>
      <w:tr w:rsidR="007D5DF8" w:rsidRPr="00DB5D0D" w14:paraId="25D5B15D" w14:textId="77777777" w:rsidTr="00E543D0">
        <w:tc>
          <w:tcPr>
            <w:tcW w:w="1165" w:type="dxa"/>
            <w:tcBorders>
              <w:bottom w:val="single" w:sz="12" w:space="0" w:color="auto"/>
            </w:tcBorders>
          </w:tcPr>
          <w:p w14:paraId="5FFC64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10694</w:t>
            </w:r>
          </w:p>
        </w:tc>
        <w:tc>
          <w:tcPr>
            <w:tcW w:w="1165" w:type="dxa"/>
            <w:tcBorders>
              <w:bottom w:val="single" w:sz="12" w:space="0" w:color="auto"/>
            </w:tcBorders>
          </w:tcPr>
          <w:p w14:paraId="70A6C1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1927</w:t>
            </w:r>
          </w:p>
        </w:tc>
        <w:tc>
          <w:tcPr>
            <w:tcW w:w="1165" w:type="dxa"/>
            <w:tcBorders>
              <w:bottom w:val="single" w:sz="12" w:space="0" w:color="auto"/>
            </w:tcBorders>
          </w:tcPr>
          <w:p w14:paraId="4865EB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2038</w:t>
            </w:r>
          </w:p>
        </w:tc>
        <w:tc>
          <w:tcPr>
            <w:tcW w:w="1165" w:type="dxa"/>
            <w:tcBorders>
              <w:bottom w:val="single" w:sz="12" w:space="0" w:color="auto"/>
            </w:tcBorders>
          </w:tcPr>
          <w:p w14:paraId="0915F9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2098</w:t>
            </w:r>
          </w:p>
        </w:tc>
        <w:tc>
          <w:tcPr>
            <w:tcW w:w="1165" w:type="dxa"/>
            <w:tcBorders>
              <w:bottom w:val="single" w:sz="12" w:space="0" w:color="auto"/>
            </w:tcBorders>
          </w:tcPr>
          <w:p w14:paraId="2B0A5A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2258</w:t>
            </w:r>
          </w:p>
        </w:tc>
        <w:tc>
          <w:tcPr>
            <w:tcW w:w="2679" w:type="dxa"/>
            <w:tcBorders>
              <w:bottom w:val="single" w:sz="12" w:space="0" w:color="auto"/>
            </w:tcBorders>
          </w:tcPr>
          <w:p w14:paraId="4733B5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2773</w:t>
            </w:r>
          </w:p>
        </w:tc>
      </w:tr>
    </w:tbl>
    <w:p w14:paraId="120205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Утвердить план производства и сдачи авиамоторов по заводам Наркомавиапрома согласно приложению №2</w:t>
      </w:r>
    </w:p>
    <w:p w14:paraId="72A6E6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Разрешить применение сверурочных работ на предприятиях-поставщиках до 2,5 час. В день на одного работающего по заказам авиапромышленности на заводах согласно приложению № 4 (2172,99).</w:t>
      </w:r>
    </w:p>
    <w:p w14:paraId="07EFC8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15"/>
        <w:gridCol w:w="915"/>
        <w:gridCol w:w="915"/>
        <w:gridCol w:w="915"/>
        <w:gridCol w:w="915"/>
        <w:gridCol w:w="915"/>
        <w:gridCol w:w="2874"/>
      </w:tblGrid>
      <w:tr w:rsidR="007D5DF8" w:rsidRPr="00DB5D0D" w14:paraId="64ABFD7C" w14:textId="77777777" w:rsidTr="00E543D0">
        <w:tc>
          <w:tcPr>
            <w:tcW w:w="2235" w:type="dxa"/>
            <w:tcBorders>
              <w:top w:val="single" w:sz="12" w:space="0" w:color="auto"/>
            </w:tcBorders>
          </w:tcPr>
          <w:p w14:paraId="14FE7F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самолета и мотора</w:t>
            </w:r>
          </w:p>
        </w:tc>
        <w:tc>
          <w:tcPr>
            <w:tcW w:w="915" w:type="dxa"/>
            <w:tcBorders>
              <w:top w:val="single" w:sz="12" w:space="0" w:color="auto"/>
            </w:tcBorders>
          </w:tcPr>
          <w:p w14:paraId="026994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изготовитель</w:t>
            </w:r>
          </w:p>
        </w:tc>
        <w:tc>
          <w:tcPr>
            <w:tcW w:w="915" w:type="dxa"/>
            <w:tcBorders>
              <w:top w:val="single" w:sz="12" w:space="0" w:color="auto"/>
            </w:tcBorders>
          </w:tcPr>
          <w:p w14:paraId="277445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на 5 месяцев</w:t>
            </w:r>
          </w:p>
        </w:tc>
        <w:tc>
          <w:tcPr>
            <w:tcW w:w="915" w:type="dxa"/>
            <w:tcBorders>
              <w:top w:val="single" w:sz="12" w:space="0" w:color="auto"/>
            </w:tcBorders>
          </w:tcPr>
          <w:p w14:paraId="32AD6B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915" w:type="dxa"/>
            <w:tcBorders>
              <w:top w:val="single" w:sz="12" w:space="0" w:color="auto"/>
            </w:tcBorders>
          </w:tcPr>
          <w:p w14:paraId="420108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915" w:type="dxa"/>
            <w:tcBorders>
              <w:top w:val="single" w:sz="12" w:space="0" w:color="auto"/>
            </w:tcBorders>
          </w:tcPr>
          <w:p w14:paraId="3CA1A7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915" w:type="dxa"/>
            <w:tcBorders>
              <w:top w:val="single" w:sz="12" w:space="0" w:color="auto"/>
            </w:tcBorders>
          </w:tcPr>
          <w:p w14:paraId="20A532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2874" w:type="dxa"/>
            <w:tcBorders>
              <w:top w:val="single" w:sz="12" w:space="0" w:color="auto"/>
            </w:tcBorders>
          </w:tcPr>
          <w:p w14:paraId="7C9E6C41" w14:textId="77777777" w:rsidR="003C7E8B" w:rsidRPr="00DB5D0D" w:rsidRDefault="006017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w:t>
            </w:r>
            <w:r w:rsidR="003C7E8B" w:rsidRPr="00DB5D0D">
              <w:rPr>
                <w:rFonts w:ascii="Times New Roman" w:hAnsi="Times New Roman"/>
                <w:color w:val="000000" w:themeColor="text1"/>
                <w:sz w:val="16"/>
                <w:szCs w:val="16"/>
              </w:rPr>
              <w:t>екабрь</w:t>
            </w:r>
          </w:p>
        </w:tc>
      </w:tr>
      <w:tr w:rsidR="007D5DF8" w:rsidRPr="00DB5D0D" w14:paraId="5F78237A" w14:textId="77777777" w:rsidTr="00E543D0">
        <w:tc>
          <w:tcPr>
            <w:tcW w:w="2235" w:type="dxa"/>
          </w:tcPr>
          <w:p w14:paraId="352872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М-62/63</w:t>
            </w:r>
          </w:p>
        </w:tc>
        <w:tc>
          <w:tcPr>
            <w:tcW w:w="915" w:type="dxa"/>
          </w:tcPr>
          <w:p w14:paraId="6BB443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15" w:type="dxa"/>
          </w:tcPr>
          <w:p w14:paraId="7D92BE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915" w:type="dxa"/>
          </w:tcPr>
          <w:p w14:paraId="01A792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915" w:type="dxa"/>
          </w:tcPr>
          <w:p w14:paraId="14AB65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915" w:type="dxa"/>
          </w:tcPr>
          <w:p w14:paraId="0E6F4E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915" w:type="dxa"/>
          </w:tcPr>
          <w:p w14:paraId="5F3609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2874" w:type="dxa"/>
          </w:tcPr>
          <w:p w14:paraId="371298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r>
      <w:tr w:rsidR="007D5DF8" w:rsidRPr="00DB5D0D" w14:paraId="04510CC8" w14:textId="77777777" w:rsidTr="00E543D0">
        <w:tc>
          <w:tcPr>
            <w:tcW w:w="2235" w:type="dxa"/>
          </w:tcPr>
          <w:p w14:paraId="1EF5D8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w:t>
            </w:r>
          </w:p>
        </w:tc>
        <w:tc>
          <w:tcPr>
            <w:tcW w:w="915" w:type="dxa"/>
          </w:tcPr>
          <w:p w14:paraId="58708D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15" w:type="dxa"/>
          </w:tcPr>
          <w:p w14:paraId="70EC88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915" w:type="dxa"/>
          </w:tcPr>
          <w:p w14:paraId="3D411E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063E51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915" w:type="dxa"/>
          </w:tcPr>
          <w:p w14:paraId="1FBC33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915" w:type="dxa"/>
          </w:tcPr>
          <w:p w14:paraId="11FDDE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2874" w:type="dxa"/>
          </w:tcPr>
          <w:p w14:paraId="535BD0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r w:rsidR="007D5DF8" w:rsidRPr="00DB5D0D" w14:paraId="387F1F12" w14:textId="77777777" w:rsidTr="00E543D0">
        <w:tc>
          <w:tcPr>
            <w:tcW w:w="2235" w:type="dxa"/>
          </w:tcPr>
          <w:p w14:paraId="34640C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М-63</w:t>
            </w:r>
          </w:p>
        </w:tc>
        <w:tc>
          <w:tcPr>
            <w:tcW w:w="915" w:type="dxa"/>
          </w:tcPr>
          <w:p w14:paraId="7D4DE9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915" w:type="dxa"/>
          </w:tcPr>
          <w:p w14:paraId="311218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675</w:t>
            </w:r>
          </w:p>
        </w:tc>
        <w:tc>
          <w:tcPr>
            <w:tcW w:w="915" w:type="dxa"/>
          </w:tcPr>
          <w:p w14:paraId="1E49B1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0C19A0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915" w:type="dxa"/>
          </w:tcPr>
          <w:p w14:paraId="4E36EB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915" w:type="dxa"/>
          </w:tcPr>
          <w:p w14:paraId="2BF8BD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2874" w:type="dxa"/>
          </w:tcPr>
          <w:p w14:paraId="0082E4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r>
      <w:tr w:rsidR="007D5DF8" w:rsidRPr="00DB5D0D" w14:paraId="6A305638" w14:textId="77777777" w:rsidTr="00E543D0">
        <w:tc>
          <w:tcPr>
            <w:tcW w:w="2235" w:type="dxa"/>
          </w:tcPr>
          <w:p w14:paraId="7FD7CF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М-88</w:t>
            </w:r>
          </w:p>
        </w:tc>
        <w:tc>
          <w:tcPr>
            <w:tcW w:w="915" w:type="dxa"/>
          </w:tcPr>
          <w:p w14:paraId="1535D9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915" w:type="dxa"/>
          </w:tcPr>
          <w:p w14:paraId="4DEAF5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w:t>
            </w:r>
          </w:p>
        </w:tc>
        <w:tc>
          <w:tcPr>
            <w:tcW w:w="915" w:type="dxa"/>
          </w:tcPr>
          <w:p w14:paraId="49DA99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915" w:type="dxa"/>
          </w:tcPr>
          <w:p w14:paraId="62354E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3200AF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915" w:type="dxa"/>
          </w:tcPr>
          <w:p w14:paraId="5F5F6C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2874" w:type="dxa"/>
          </w:tcPr>
          <w:p w14:paraId="6AD0E0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r>
      <w:tr w:rsidR="007D5DF8" w:rsidRPr="00DB5D0D" w14:paraId="0552E552" w14:textId="77777777" w:rsidTr="00E543D0">
        <w:tc>
          <w:tcPr>
            <w:tcW w:w="2235" w:type="dxa"/>
          </w:tcPr>
          <w:p w14:paraId="5B689A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М-63</w:t>
            </w:r>
          </w:p>
        </w:tc>
        <w:tc>
          <w:tcPr>
            <w:tcW w:w="915" w:type="dxa"/>
          </w:tcPr>
          <w:p w14:paraId="56EEB5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915" w:type="dxa"/>
          </w:tcPr>
          <w:p w14:paraId="1EA335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w:t>
            </w:r>
          </w:p>
        </w:tc>
        <w:tc>
          <w:tcPr>
            <w:tcW w:w="915" w:type="dxa"/>
          </w:tcPr>
          <w:p w14:paraId="7636B1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915" w:type="dxa"/>
          </w:tcPr>
          <w:p w14:paraId="2B491D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915" w:type="dxa"/>
          </w:tcPr>
          <w:p w14:paraId="2F03FB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w:t>
            </w:r>
          </w:p>
        </w:tc>
        <w:tc>
          <w:tcPr>
            <w:tcW w:w="915" w:type="dxa"/>
          </w:tcPr>
          <w:p w14:paraId="46C776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c>
          <w:tcPr>
            <w:tcW w:w="2874" w:type="dxa"/>
          </w:tcPr>
          <w:p w14:paraId="6D1979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r>
      <w:tr w:rsidR="007D5DF8" w:rsidRPr="00DB5D0D" w14:paraId="00EBD298" w14:textId="77777777" w:rsidTr="00E543D0">
        <w:tc>
          <w:tcPr>
            <w:tcW w:w="2235" w:type="dxa"/>
          </w:tcPr>
          <w:p w14:paraId="583435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 М-88</w:t>
            </w:r>
          </w:p>
        </w:tc>
        <w:tc>
          <w:tcPr>
            <w:tcW w:w="915" w:type="dxa"/>
          </w:tcPr>
          <w:p w14:paraId="65E82C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w:t>
            </w:r>
          </w:p>
        </w:tc>
        <w:tc>
          <w:tcPr>
            <w:tcW w:w="915" w:type="dxa"/>
          </w:tcPr>
          <w:p w14:paraId="16FF22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15" w:type="dxa"/>
          </w:tcPr>
          <w:p w14:paraId="54D015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15" w:type="dxa"/>
          </w:tcPr>
          <w:p w14:paraId="4DD8D6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129CC5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234BDB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302119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D274B20" w14:textId="77777777" w:rsidTr="00E543D0">
        <w:tc>
          <w:tcPr>
            <w:tcW w:w="2235" w:type="dxa"/>
          </w:tcPr>
          <w:p w14:paraId="71FAC7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М-105П</w:t>
            </w:r>
          </w:p>
        </w:tc>
        <w:tc>
          <w:tcPr>
            <w:tcW w:w="915" w:type="dxa"/>
          </w:tcPr>
          <w:p w14:paraId="3CC8CD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w:t>
            </w:r>
          </w:p>
        </w:tc>
        <w:tc>
          <w:tcPr>
            <w:tcW w:w="915" w:type="dxa"/>
          </w:tcPr>
          <w:p w14:paraId="7E7893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72D1E6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79956E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74C146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35B63D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2874" w:type="dxa"/>
          </w:tcPr>
          <w:p w14:paraId="2B6502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r w:rsidR="007D5DF8" w:rsidRPr="00DB5D0D" w14:paraId="288E93A7" w14:textId="77777777" w:rsidTr="00E543D0">
        <w:tc>
          <w:tcPr>
            <w:tcW w:w="2235" w:type="dxa"/>
          </w:tcPr>
          <w:p w14:paraId="477A00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w:t>
            </w:r>
          </w:p>
        </w:tc>
        <w:tc>
          <w:tcPr>
            <w:tcW w:w="915" w:type="dxa"/>
          </w:tcPr>
          <w:p w14:paraId="2E718A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w:t>
            </w:r>
          </w:p>
        </w:tc>
        <w:tc>
          <w:tcPr>
            <w:tcW w:w="915" w:type="dxa"/>
          </w:tcPr>
          <w:p w14:paraId="54DC7C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915" w:type="dxa"/>
          </w:tcPr>
          <w:p w14:paraId="299DD5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915" w:type="dxa"/>
          </w:tcPr>
          <w:p w14:paraId="271E58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52439A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067EC1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2874" w:type="dxa"/>
          </w:tcPr>
          <w:p w14:paraId="47D745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r>
      <w:tr w:rsidR="007D5DF8" w:rsidRPr="00DB5D0D" w14:paraId="59A5B7F4" w14:textId="77777777" w:rsidTr="00E543D0">
        <w:tc>
          <w:tcPr>
            <w:tcW w:w="2235" w:type="dxa"/>
          </w:tcPr>
          <w:p w14:paraId="00C344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истребителей</w:t>
            </w:r>
          </w:p>
        </w:tc>
        <w:tc>
          <w:tcPr>
            <w:tcW w:w="915" w:type="dxa"/>
          </w:tcPr>
          <w:p w14:paraId="5E2AFCF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32368A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2383</w:t>
            </w:r>
          </w:p>
        </w:tc>
        <w:tc>
          <w:tcPr>
            <w:tcW w:w="915" w:type="dxa"/>
          </w:tcPr>
          <w:p w14:paraId="716104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288</w:t>
            </w:r>
          </w:p>
        </w:tc>
        <w:tc>
          <w:tcPr>
            <w:tcW w:w="915" w:type="dxa"/>
          </w:tcPr>
          <w:p w14:paraId="31FDFA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445</w:t>
            </w:r>
          </w:p>
        </w:tc>
        <w:tc>
          <w:tcPr>
            <w:tcW w:w="915" w:type="dxa"/>
          </w:tcPr>
          <w:p w14:paraId="7785B8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915" w:type="dxa"/>
          </w:tcPr>
          <w:p w14:paraId="5FFE2C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495</w:t>
            </w:r>
          </w:p>
        </w:tc>
        <w:tc>
          <w:tcPr>
            <w:tcW w:w="2874" w:type="dxa"/>
          </w:tcPr>
          <w:p w14:paraId="3509F2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555</w:t>
            </w:r>
          </w:p>
        </w:tc>
      </w:tr>
      <w:tr w:rsidR="007D5DF8" w:rsidRPr="00DB5D0D" w14:paraId="731D19DA" w14:textId="77777777" w:rsidTr="00E543D0">
        <w:tc>
          <w:tcPr>
            <w:tcW w:w="2235" w:type="dxa"/>
          </w:tcPr>
          <w:p w14:paraId="458EF7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 2М-103</w:t>
            </w:r>
          </w:p>
        </w:tc>
        <w:tc>
          <w:tcPr>
            <w:tcW w:w="915" w:type="dxa"/>
          </w:tcPr>
          <w:p w14:paraId="18BE12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15" w:type="dxa"/>
          </w:tcPr>
          <w:p w14:paraId="4EC7A2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915" w:type="dxa"/>
          </w:tcPr>
          <w:p w14:paraId="5BC4A0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915" w:type="dxa"/>
          </w:tcPr>
          <w:p w14:paraId="213DBC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w:t>
            </w:r>
          </w:p>
        </w:tc>
        <w:tc>
          <w:tcPr>
            <w:tcW w:w="915" w:type="dxa"/>
          </w:tcPr>
          <w:p w14:paraId="5871FB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27C006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0CCB6C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DAB71A7" w14:textId="77777777" w:rsidTr="00E543D0">
        <w:tc>
          <w:tcPr>
            <w:tcW w:w="2235" w:type="dxa"/>
          </w:tcPr>
          <w:p w14:paraId="3E75B4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2М-87</w:t>
            </w:r>
          </w:p>
        </w:tc>
        <w:tc>
          <w:tcPr>
            <w:tcW w:w="915" w:type="dxa"/>
          </w:tcPr>
          <w:p w14:paraId="44A54E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915" w:type="dxa"/>
          </w:tcPr>
          <w:p w14:paraId="14CBCD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422</w:t>
            </w:r>
          </w:p>
        </w:tc>
        <w:tc>
          <w:tcPr>
            <w:tcW w:w="915" w:type="dxa"/>
          </w:tcPr>
          <w:p w14:paraId="69A71E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4B3D05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7F1378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w:t>
            </w:r>
          </w:p>
        </w:tc>
        <w:tc>
          <w:tcPr>
            <w:tcW w:w="915" w:type="dxa"/>
          </w:tcPr>
          <w:p w14:paraId="29135A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2874" w:type="dxa"/>
          </w:tcPr>
          <w:p w14:paraId="667ABC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r>
      <w:tr w:rsidR="007D5DF8" w:rsidRPr="00DB5D0D" w14:paraId="55944513" w14:textId="77777777" w:rsidTr="00E543D0">
        <w:tc>
          <w:tcPr>
            <w:tcW w:w="2235" w:type="dxa"/>
          </w:tcPr>
          <w:p w14:paraId="0533DC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2М-105/АМ-35</w:t>
            </w:r>
          </w:p>
        </w:tc>
        <w:tc>
          <w:tcPr>
            <w:tcW w:w="915" w:type="dxa"/>
          </w:tcPr>
          <w:p w14:paraId="31A1C3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915" w:type="dxa"/>
          </w:tcPr>
          <w:p w14:paraId="25C786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915" w:type="dxa"/>
          </w:tcPr>
          <w:p w14:paraId="7285A1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0B8A62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56EF3D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331A16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2874" w:type="dxa"/>
          </w:tcPr>
          <w:p w14:paraId="0AED88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r>
      <w:tr w:rsidR="007D5DF8" w:rsidRPr="00DB5D0D" w14:paraId="51BDF6EE" w14:textId="77777777" w:rsidTr="00E543D0">
        <w:tc>
          <w:tcPr>
            <w:tcW w:w="2235" w:type="dxa"/>
          </w:tcPr>
          <w:p w14:paraId="342AD1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2М-103/105</w:t>
            </w:r>
          </w:p>
        </w:tc>
        <w:tc>
          <w:tcPr>
            <w:tcW w:w="915" w:type="dxa"/>
          </w:tcPr>
          <w:p w14:paraId="69A3CA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915" w:type="dxa"/>
          </w:tcPr>
          <w:p w14:paraId="4BA32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c>
          <w:tcPr>
            <w:tcW w:w="915" w:type="dxa"/>
          </w:tcPr>
          <w:p w14:paraId="4C9942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915" w:type="dxa"/>
          </w:tcPr>
          <w:p w14:paraId="2E954E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30F139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312E21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2874" w:type="dxa"/>
          </w:tcPr>
          <w:p w14:paraId="51C01A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r w:rsidR="007D5DF8" w:rsidRPr="00DB5D0D" w14:paraId="0F4705AD" w14:textId="77777777" w:rsidTr="00E543D0">
        <w:tc>
          <w:tcPr>
            <w:tcW w:w="2235" w:type="dxa"/>
          </w:tcPr>
          <w:p w14:paraId="7FB6E5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СБ-РК 2М-105</w:t>
            </w:r>
          </w:p>
        </w:tc>
        <w:tc>
          <w:tcPr>
            <w:tcW w:w="915" w:type="dxa"/>
          </w:tcPr>
          <w:p w14:paraId="267ED0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915" w:type="dxa"/>
          </w:tcPr>
          <w:p w14:paraId="6A1F62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c>
          <w:tcPr>
            <w:tcW w:w="915" w:type="dxa"/>
          </w:tcPr>
          <w:p w14:paraId="510D46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055595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915" w:type="dxa"/>
          </w:tcPr>
          <w:p w14:paraId="3F45FE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915" w:type="dxa"/>
          </w:tcPr>
          <w:p w14:paraId="7B2F4E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2874" w:type="dxa"/>
          </w:tcPr>
          <w:p w14:paraId="60F0C1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r>
      <w:tr w:rsidR="007D5DF8" w:rsidRPr="00DB5D0D" w14:paraId="68CE1A68" w14:textId="77777777" w:rsidTr="00E543D0">
        <w:tc>
          <w:tcPr>
            <w:tcW w:w="2235" w:type="dxa"/>
          </w:tcPr>
          <w:p w14:paraId="32B186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ПБ-100с 2М-105</w:t>
            </w:r>
          </w:p>
        </w:tc>
        <w:tc>
          <w:tcPr>
            <w:tcW w:w="915" w:type="dxa"/>
          </w:tcPr>
          <w:p w14:paraId="5F82CA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915" w:type="dxa"/>
          </w:tcPr>
          <w:p w14:paraId="3794DD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915" w:type="dxa"/>
          </w:tcPr>
          <w:p w14:paraId="64F2F3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57784D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3D50C9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5F49F5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2874" w:type="dxa"/>
          </w:tcPr>
          <w:p w14:paraId="334B3F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r>
      <w:tr w:rsidR="007D5DF8" w:rsidRPr="00DB5D0D" w14:paraId="365FC32D" w14:textId="77777777" w:rsidTr="00E543D0">
        <w:tc>
          <w:tcPr>
            <w:tcW w:w="2235" w:type="dxa"/>
          </w:tcPr>
          <w:p w14:paraId="45D7FC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w:t>
            </w:r>
          </w:p>
        </w:tc>
        <w:tc>
          <w:tcPr>
            <w:tcW w:w="915" w:type="dxa"/>
          </w:tcPr>
          <w:p w14:paraId="0A07F3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915" w:type="dxa"/>
          </w:tcPr>
          <w:p w14:paraId="6E19D2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915" w:type="dxa"/>
          </w:tcPr>
          <w:p w14:paraId="6F9F45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4C2B06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299AF5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915" w:type="dxa"/>
          </w:tcPr>
          <w:p w14:paraId="38BBAC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2874" w:type="dxa"/>
          </w:tcPr>
          <w:p w14:paraId="12CF50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r>
      <w:tr w:rsidR="007D5DF8" w:rsidRPr="00DB5D0D" w14:paraId="60141346" w14:textId="77777777" w:rsidTr="00E543D0">
        <w:tc>
          <w:tcPr>
            <w:tcW w:w="2235" w:type="dxa"/>
          </w:tcPr>
          <w:p w14:paraId="12CF68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w:t>
            </w:r>
          </w:p>
        </w:tc>
        <w:tc>
          <w:tcPr>
            <w:tcW w:w="915" w:type="dxa"/>
          </w:tcPr>
          <w:p w14:paraId="39EC61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915" w:type="dxa"/>
          </w:tcPr>
          <w:p w14:paraId="3C64E3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w:t>
            </w:r>
          </w:p>
        </w:tc>
        <w:tc>
          <w:tcPr>
            <w:tcW w:w="915" w:type="dxa"/>
          </w:tcPr>
          <w:p w14:paraId="056C55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915" w:type="dxa"/>
          </w:tcPr>
          <w:p w14:paraId="28205C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915" w:type="dxa"/>
          </w:tcPr>
          <w:p w14:paraId="7C8624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915" w:type="dxa"/>
          </w:tcPr>
          <w:p w14:paraId="4139D6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2874" w:type="dxa"/>
          </w:tcPr>
          <w:p w14:paraId="62E0AB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r w:rsidR="007D5DF8" w:rsidRPr="00DB5D0D" w14:paraId="5BF16BB4" w14:textId="77777777" w:rsidTr="00E543D0">
        <w:tc>
          <w:tcPr>
            <w:tcW w:w="2235" w:type="dxa"/>
          </w:tcPr>
          <w:p w14:paraId="7D343F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w:t>
            </w:r>
          </w:p>
        </w:tc>
        <w:tc>
          <w:tcPr>
            <w:tcW w:w="915" w:type="dxa"/>
          </w:tcPr>
          <w:p w14:paraId="58682D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915" w:type="dxa"/>
          </w:tcPr>
          <w:p w14:paraId="2F9A58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915" w:type="dxa"/>
          </w:tcPr>
          <w:p w14:paraId="4F50DD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6C3FD4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915" w:type="dxa"/>
          </w:tcPr>
          <w:p w14:paraId="67BE0A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15" w:type="dxa"/>
          </w:tcPr>
          <w:p w14:paraId="0098DD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874" w:type="dxa"/>
          </w:tcPr>
          <w:p w14:paraId="037934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r w:rsidR="007D5DF8" w:rsidRPr="00DB5D0D" w14:paraId="129011DE" w14:textId="77777777" w:rsidTr="00E543D0">
        <w:tc>
          <w:tcPr>
            <w:tcW w:w="2235" w:type="dxa"/>
          </w:tcPr>
          <w:p w14:paraId="57BDAF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2М-88</w:t>
            </w:r>
          </w:p>
        </w:tc>
        <w:tc>
          <w:tcPr>
            <w:tcW w:w="915" w:type="dxa"/>
          </w:tcPr>
          <w:p w14:paraId="22FF59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915" w:type="dxa"/>
          </w:tcPr>
          <w:p w14:paraId="392C08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199</w:t>
            </w:r>
          </w:p>
        </w:tc>
        <w:tc>
          <w:tcPr>
            <w:tcW w:w="915" w:type="dxa"/>
          </w:tcPr>
          <w:p w14:paraId="69544B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61D6CD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08885B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7234E3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2874" w:type="dxa"/>
          </w:tcPr>
          <w:p w14:paraId="71F9AD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r>
      <w:tr w:rsidR="007D5DF8" w:rsidRPr="00DB5D0D" w14:paraId="351171DB" w14:textId="77777777" w:rsidTr="00E543D0">
        <w:tc>
          <w:tcPr>
            <w:tcW w:w="2235" w:type="dxa"/>
          </w:tcPr>
          <w:p w14:paraId="3C0A1A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 2М-103/105</w:t>
            </w:r>
          </w:p>
        </w:tc>
        <w:tc>
          <w:tcPr>
            <w:tcW w:w="915" w:type="dxa"/>
          </w:tcPr>
          <w:p w14:paraId="6AACA0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915" w:type="dxa"/>
          </w:tcPr>
          <w:p w14:paraId="7B926A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915" w:type="dxa"/>
          </w:tcPr>
          <w:p w14:paraId="3B0518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915" w:type="dxa"/>
          </w:tcPr>
          <w:p w14:paraId="4D96B6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29D73C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w:t>
            </w:r>
          </w:p>
        </w:tc>
        <w:tc>
          <w:tcPr>
            <w:tcW w:w="915" w:type="dxa"/>
          </w:tcPr>
          <w:p w14:paraId="414192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2874" w:type="dxa"/>
          </w:tcPr>
          <w:p w14:paraId="0BA787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r w:rsidR="007D5DF8" w:rsidRPr="00DB5D0D" w14:paraId="58A92127" w14:textId="77777777" w:rsidTr="00E543D0">
        <w:tc>
          <w:tcPr>
            <w:tcW w:w="2235" w:type="dxa"/>
          </w:tcPr>
          <w:p w14:paraId="7949A2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 4АМ-35/М-40/М-30</w:t>
            </w:r>
          </w:p>
        </w:tc>
        <w:tc>
          <w:tcPr>
            <w:tcW w:w="915" w:type="dxa"/>
          </w:tcPr>
          <w:p w14:paraId="18F538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915" w:type="dxa"/>
          </w:tcPr>
          <w:p w14:paraId="127618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915" w:type="dxa"/>
          </w:tcPr>
          <w:p w14:paraId="579BDA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11282C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4D355B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130AD4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874" w:type="dxa"/>
          </w:tcPr>
          <w:p w14:paraId="2197D3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6F59D8C4" w14:textId="77777777" w:rsidTr="00E543D0">
        <w:tc>
          <w:tcPr>
            <w:tcW w:w="2235" w:type="dxa"/>
          </w:tcPr>
          <w:p w14:paraId="6B69C6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2М-103</w:t>
            </w:r>
          </w:p>
        </w:tc>
        <w:tc>
          <w:tcPr>
            <w:tcW w:w="915" w:type="dxa"/>
          </w:tcPr>
          <w:p w14:paraId="53DE29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915" w:type="dxa"/>
          </w:tcPr>
          <w:p w14:paraId="0CF26B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198</w:t>
            </w:r>
          </w:p>
        </w:tc>
        <w:tc>
          <w:tcPr>
            <w:tcW w:w="915" w:type="dxa"/>
          </w:tcPr>
          <w:p w14:paraId="4B2444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915" w:type="dxa"/>
          </w:tcPr>
          <w:p w14:paraId="496EAD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3602FE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2BE406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2874" w:type="dxa"/>
          </w:tcPr>
          <w:p w14:paraId="65CFC8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r>
      <w:tr w:rsidR="007D5DF8" w:rsidRPr="00DB5D0D" w14:paraId="588BB58E" w14:textId="77777777" w:rsidTr="00E543D0">
        <w:tc>
          <w:tcPr>
            <w:tcW w:w="2235" w:type="dxa"/>
          </w:tcPr>
          <w:p w14:paraId="64DDDB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 2М-87</w:t>
            </w:r>
          </w:p>
        </w:tc>
        <w:tc>
          <w:tcPr>
            <w:tcW w:w="915" w:type="dxa"/>
          </w:tcPr>
          <w:p w14:paraId="2E3B9B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w:t>
            </w:r>
          </w:p>
        </w:tc>
        <w:tc>
          <w:tcPr>
            <w:tcW w:w="915" w:type="dxa"/>
          </w:tcPr>
          <w:p w14:paraId="3FC8F5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915" w:type="dxa"/>
          </w:tcPr>
          <w:p w14:paraId="1B75BF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915" w:type="dxa"/>
          </w:tcPr>
          <w:p w14:paraId="0F42E8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14D6CE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0FCB5F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2874" w:type="dxa"/>
          </w:tcPr>
          <w:p w14:paraId="082398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62C129C7" w14:textId="77777777" w:rsidTr="00E543D0">
        <w:tc>
          <w:tcPr>
            <w:tcW w:w="2235" w:type="dxa"/>
          </w:tcPr>
          <w:p w14:paraId="02C0FC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2М-88</w:t>
            </w:r>
          </w:p>
        </w:tc>
        <w:tc>
          <w:tcPr>
            <w:tcW w:w="915" w:type="dxa"/>
          </w:tcPr>
          <w:p w14:paraId="409814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w:t>
            </w:r>
          </w:p>
        </w:tc>
        <w:tc>
          <w:tcPr>
            <w:tcW w:w="915" w:type="dxa"/>
          </w:tcPr>
          <w:p w14:paraId="256217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915" w:type="dxa"/>
          </w:tcPr>
          <w:p w14:paraId="3F39AC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229AE3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2B2684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7FA918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2874" w:type="dxa"/>
          </w:tcPr>
          <w:p w14:paraId="151507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r w:rsidR="007D5DF8" w:rsidRPr="00DB5D0D" w14:paraId="7DEF4CF2" w14:textId="77777777" w:rsidTr="00E543D0">
        <w:tc>
          <w:tcPr>
            <w:tcW w:w="2235" w:type="dxa"/>
          </w:tcPr>
          <w:p w14:paraId="276CAE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ПБ-100 2М-105</w:t>
            </w:r>
          </w:p>
        </w:tc>
        <w:tc>
          <w:tcPr>
            <w:tcW w:w="915" w:type="dxa"/>
          </w:tcPr>
          <w:p w14:paraId="0F7803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915" w:type="dxa"/>
          </w:tcPr>
          <w:p w14:paraId="0A3BFD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915" w:type="dxa"/>
          </w:tcPr>
          <w:p w14:paraId="3A7461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1DC7C8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145885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230751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2874" w:type="dxa"/>
          </w:tcPr>
          <w:p w14:paraId="6AD163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361ED68E" w14:textId="77777777" w:rsidTr="00E543D0">
        <w:tc>
          <w:tcPr>
            <w:tcW w:w="2235" w:type="dxa"/>
          </w:tcPr>
          <w:p w14:paraId="6067E2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бомбардировщиков</w:t>
            </w:r>
          </w:p>
        </w:tc>
        <w:tc>
          <w:tcPr>
            <w:tcW w:w="915" w:type="dxa"/>
          </w:tcPr>
          <w:p w14:paraId="0C5E2D0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13F21F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2473</w:t>
            </w:r>
          </w:p>
        </w:tc>
        <w:tc>
          <w:tcPr>
            <w:tcW w:w="915" w:type="dxa"/>
          </w:tcPr>
          <w:p w14:paraId="4AA53B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427</w:t>
            </w:r>
          </w:p>
        </w:tc>
        <w:tc>
          <w:tcPr>
            <w:tcW w:w="915" w:type="dxa"/>
          </w:tcPr>
          <w:p w14:paraId="3FF237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465</w:t>
            </w:r>
          </w:p>
        </w:tc>
        <w:tc>
          <w:tcPr>
            <w:tcW w:w="915" w:type="dxa"/>
          </w:tcPr>
          <w:p w14:paraId="4A50A1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469</w:t>
            </w:r>
          </w:p>
        </w:tc>
        <w:tc>
          <w:tcPr>
            <w:tcW w:w="915" w:type="dxa"/>
          </w:tcPr>
          <w:p w14:paraId="125192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537</w:t>
            </w:r>
          </w:p>
        </w:tc>
        <w:tc>
          <w:tcPr>
            <w:tcW w:w="2874" w:type="dxa"/>
          </w:tcPr>
          <w:p w14:paraId="5E6A7B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575</w:t>
            </w:r>
          </w:p>
        </w:tc>
      </w:tr>
      <w:tr w:rsidR="007D5DF8" w:rsidRPr="00DB5D0D" w14:paraId="67998AE2" w14:textId="77777777" w:rsidTr="00E543D0">
        <w:tc>
          <w:tcPr>
            <w:tcW w:w="2235" w:type="dxa"/>
          </w:tcPr>
          <w:p w14:paraId="5819D6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ДС-3 2М-62ИР</w:t>
            </w:r>
          </w:p>
        </w:tc>
        <w:tc>
          <w:tcPr>
            <w:tcW w:w="915" w:type="dxa"/>
          </w:tcPr>
          <w:p w14:paraId="724439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915" w:type="dxa"/>
          </w:tcPr>
          <w:p w14:paraId="3E69CF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w:t>
            </w:r>
          </w:p>
        </w:tc>
        <w:tc>
          <w:tcPr>
            <w:tcW w:w="915" w:type="dxa"/>
          </w:tcPr>
          <w:p w14:paraId="7C4D28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915" w:type="dxa"/>
          </w:tcPr>
          <w:p w14:paraId="37167D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915" w:type="dxa"/>
          </w:tcPr>
          <w:p w14:paraId="74D0E6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0D15A7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2874" w:type="dxa"/>
          </w:tcPr>
          <w:p w14:paraId="12C9ED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r>
      <w:tr w:rsidR="007D5DF8" w:rsidRPr="00DB5D0D" w14:paraId="3AE0DFF6" w14:textId="77777777" w:rsidTr="00E543D0">
        <w:tc>
          <w:tcPr>
            <w:tcW w:w="2235" w:type="dxa"/>
          </w:tcPr>
          <w:p w14:paraId="0871DF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ДС-3 2М-62ИР</w:t>
            </w:r>
          </w:p>
        </w:tc>
        <w:tc>
          <w:tcPr>
            <w:tcW w:w="915" w:type="dxa"/>
          </w:tcPr>
          <w:p w14:paraId="13A2FA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915" w:type="dxa"/>
          </w:tcPr>
          <w:p w14:paraId="6E62DB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915" w:type="dxa"/>
          </w:tcPr>
          <w:p w14:paraId="618E35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2798D2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2CCBD7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231980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874" w:type="dxa"/>
          </w:tcPr>
          <w:p w14:paraId="2467BD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754DB47B" w14:textId="77777777" w:rsidTr="00E543D0">
        <w:tc>
          <w:tcPr>
            <w:tcW w:w="2235" w:type="dxa"/>
          </w:tcPr>
          <w:p w14:paraId="5FFCAA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транспортных</w:t>
            </w:r>
          </w:p>
        </w:tc>
        <w:tc>
          <w:tcPr>
            <w:tcW w:w="915" w:type="dxa"/>
          </w:tcPr>
          <w:p w14:paraId="7B1C10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7EB0C6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915" w:type="dxa"/>
          </w:tcPr>
          <w:p w14:paraId="5EC68B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915" w:type="dxa"/>
          </w:tcPr>
          <w:p w14:paraId="01E075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915" w:type="dxa"/>
          </w:tcPr>
          <w:p w14:paraId="1B0678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6257D0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2874" w:type="dxa"/>
          </w:tcPr>
          <w:p w14:paraId="5DE355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3F4F7C00" w14:textId="77777777" w:rsidTr="00E543D0">
        <w:tc>
          <w:tcPr>
            <w:tcW w:w="2235" w:type="dxa"/>
          </w:tcPr>
          <w:p w14:paraId="4111D6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ГСТ 2М-62ИР</w:t>
            </w:r>
          </w:p>
        </w:tc>
        <w:tc>
          <w:tcPr>
            <w:tcW w:w="915" w:type="dxa"/>
          </w:tcPr>
          <w:p w14:paraId="6463D9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915" w:type="dxa"/>
          </w:tcPr>
          <w:p w14:paraId="65A546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108EC6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50512F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559ECD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484BDB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211F0D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3C71D2C" w14:textId="77777777" w:rsidTr="00E543D0">
        <w:tc>
          <w:tcPr>
            <w:tcW w:w="2235" w:type="dxa"/>
          </w:tcPr>
          <w:p w14:paraId="6754EB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КОР-1 М-25</w:t>
            </w:r>
          </w:p>
        </w:tc>
        <w:tc>
          <w:tcPr>
            <w:tcW w:w="915" w:type="dxa"/>
          </w:tcPr>
          <w:p w14:paraId="3FCB71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915" w:type="dxa"/>
          </w:tcPr>
          <w:p w14:paraId="7AD6B2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915" w:type="dxa"/>
          </w:tcPr>
          <w:p w14:paraId="19789E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437858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7ADCAC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7EC888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874" w:type="dxa"/>
          </w:tcPr>
          <w:p w14:paraId="6E364A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36ACE59A" w14:textId="77777777" w:rsidTr="00E543D0">
        <w:tc>
          <w:tcPr>
            <w:tcW w:w="2235" w:type="dxa"/>
          </w:tcPr>
          <w:p w14:paraId="78B6EF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2М-63</w:t>
            </w:r>
          </w:p>
        </w:tc>
        <w:tc>
          <w:tcPr>
            <w:tcW w:w="915" w:type="dxa"/>
          </w:tcPr>
          <w:p w14:paraId="1D1215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915" w:type="dxa"/>
          </w:tcPr>
          <w:p w14:paraId="59D837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915" w:type="dxa"/>
          </w:tcPr>
          <w:p w14:paraId="56E6FB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7643C8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915" w:type="dxa"/>
          </w:tcPr>
          <w:p w14:paraId="2173EA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76F35F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2874" w:type="dxa"/>
          </w:tcPr>
          <w:p w14:paraId="71AA8B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r>
      <w:tr w:rsidR="007D5DF8" w:rsidRPr="00DB5D0D" w14:paraId="7E16053D" w14:textId="77777777" w:rsidTr="00E543D0">
        <w:tc>
          <w:tcPr>
            <w:tcW w:w="2235" w:type="dxa"/>
          </w:tcPr>
          <w:p w14:paraId="21F106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морских</w:t>
            </w:r>
          </w:p>
        </w:tc>
        <w:tc>
          <w:tcPr>
            <w:tcW w:w="915" w:type="dxa"/>
          </w:tcPr>
          <w:p w14:paraId="3688011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1A9F71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w:t>
            </w:r>
          </w:p>
        </w:tc>
        <w:tc>
          <w:tcPr>
            <w:tcW w:w="915" w:type="dxa"/>
          </w:tcPr>
          <w:p w14:paraId="71D41B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711D5E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915" w:type="dxa"/>
          </w:tcPr>
          <w:p w14:paraId="0EC957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915" w:type="dxa"/>
          </w:tcPr>
          <w:p w14:paraId="5D3C07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2874" w:type="dxa"/>
          </w:tcPr>
          <w:p w14:paraId="62EB75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r>
      <w:tr w:rsidR="007D5DF8" w:rsidRPr="00DB5D0D" w14:paraId="72B61F38" w14:textId="77777777" w:rsidTr="00E543D0">
        <w:tc>
          <w:tcPr>
            <w:tcW w:w="2235" w:type="dxa"/>
          </w:tcPr>
          <w:p w14:paraId="2DD3E0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 БШ-АМ-35А</w:t>
            </w:r>
          </w:p>
        </w:tc>
        <w:tc>
          <w:tcPr>
            <w:tcW w:w="915" w:type="dxa"/>
          </w:tcPr>
          <w:p w14:paraId="3456C6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915" w:type="dxa"/>
          </w:tcPr>
          <w:p w14:paraId="000B74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527D45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2AED52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6D898A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50A04B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874" w:type="dxa"/>
          </w:tcPr>
          <w:p w14:paraId="3084D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r>
      <w:tr w:rsidR="007D5DF8" w:rsidRPr="00DB5D0D" w14:paraId="5AEEC9E6" w14:textId="77777777" w:rsidTr="00E543D0">
        <w:tc>
          <w:tcPr>
            <w:tcW w:w="2235" w:type="dxa"/>
          </w:tcPr>
          <w:p w14:paraId="4FD89F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боевых</w:t>
            </w:r>
          </w:p>
        </w:tc>
        <w:tc>
          <w:tcPr>
            <w:tcW w:w="915" w:type="dxa"/>
          </w:tcPr>
          <w:p w14:paraId="446FC55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0EF17D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915" w:type="dxa"/>
          </w:tcPr>
          <w:p w14:paraId="615F15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837</w:t>
            </w:r>
          </w:p>
        </w:tc>
        <w:tc>
          <w:tcPr>
            <w:tcW w:w="915" w:type="dxa"/>
          </w:tcPr>
          <w:p w14:paraId="17D18F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986</w:t>
            </w:r>
          </w:p>
        </w:tc>
        <w:tc>
          <w:tcPr>
            <w:tcW w:w="915" w:type="dxa"/>
          </w:tcPr>
          <w:p w14:paraId="5D6B04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996</w:t>
            </w:r>
          </w:p>
        </w:tc>
        <w:tc>
          <w:tcPr>
            <w:tcW w:w="915" w:type="dxa"/>
          </w:tcPr>
          <w:p w14:paraId="6DA7D7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1065</w:t>
            </w:r>
          </w:p>
        </w:tc>
        <w:tc>
          <w:tcPr>
            <w:tcW w:w="2874" w:type="dxa"/>
          </w:tcPr>
          <w:p w14:paraId="5B0146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1167 (1272)</w:t>
            </w:r>
          </w:p>
        </w:tc>
      </w:tr>
      <w:tr w:rsidR="007D5DF8" w:rsidRPr="00DB5D0D" w14:paraId="4CFC8DC7" w14:textId="77777777" w:rsidTr="00E543D0">
        <w:tc>
          <w:tcPr>
            <w:tcW w:w="2235" w:type="dxa"/>
          </w:tcPr>
          <w:p w14:paraId="15C45F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С2 с М-11</w:t>
            </w:r>
          </w:p>
        </w:tc>
        <w:tc>
          <w:tcPr>
            <w:tcW w:w="915" w:type="dxa"/>
          </w:tcPr>
          <w:p w14:paraId="298942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915" w:type="dxa"/>
          </w:tcPr>
          <w:p w14:paraId="11DB2C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275</w:t>
            </w:r>
          </w:p>
        </w:tc>
        <w:tc>
          <w:tcPr>
            <w:tcW w:w="915" w:type="dxa"/>
          </w:tcPr>
          <w:p w14:paraId="203A1B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915" w:type="dxa"/>
          </w:tcPr>
          <w:p w14:paraId="704597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915" w:type="dxa"/>
          </w:tcPr>
          <w:p w14:paraId="38C136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915" w:type="dxa"/>
          </w:tcPr>
          <w:p w14:paraId="674FDA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2874" w:type="dxa"/>
          </w:tcPr>
          <w:p w14:paraId="7D80B0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r>
      <w:tr w:rsidR="007D5DF8" w:rsidRPr="00DB5D0D" w14:paraId="397557F7" w14:textId="77777777" w:rsidTr="00E543D0">
        <w:tc>
          <w:tcPr>
            <w:tcW w:w="2235" w:type="dxa"/>
          </w:tcPr>
          <w:p w14:paraId="0FD7D8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УТ-2</w:t>
            </w:r>
          </w:p>
        </w:tc>
        <w:tc>
          <w:tcPr>
            <w:tcW w:w="915" w:type="dxa"/>
          </w:tcPr>
          <w:p w14:paraId="66A6B0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915" w:type="dxa"/>
          </w:tcPr>
          <w:p w14:paraId="23C3B8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w:t>
            </w:r>
          </w:p>
        </w:tc>
        <w:tc>
          <w:tcPr>
            <w:tcW w:w="915" w:type="dxa"/>
          </w:tcPr>
          <w:p w14:paraId="2689E4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12FD14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121930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6B72EF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2874" w:type="dxa"/>
          </w:tcPr>
          <w:p w14:paraId="3350AF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r>
      <w:tr w:rsidR="007D5DF8" w:rsidRPr="00DB5D0D" w14:paraId="56300869" w14:textId="77777777" w:rsidTr="00E543D0">
        <w:tc>
          <w:tcPr>
            <w:tcW w:w="2235" w:type="dxa"/>
          </w:tcPr>
          <w:p w14:paraId="65BC68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У-2</w:t>
            </w:r>
          </w:p>
        </w:tc>
        <w:tc>
          <w:tcPr>
            <w:tcW w:w="915" w:type="dxa"/>
          </w:tcPr>
          <w:p w14:paraId="07FA86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915" w:type="dxa"/>
          </w:tcPr>
          <w:p w14:paraId="31113F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915" w:type="dxa"/>
          </w:tcPr>
          <w:p w14:paraId="7DB3AA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709EEC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915" w:type="dxa"/>
          </w:tcPr>
          <w:p w14:paraId="1BF015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915" w:type="dxa"/>
          </w:tcPr>
          <w:p w14:paraId="647A4C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2874" w:type="dxa"/>
          </w:tcPr>
          <w:p w14:paraId="42E13E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r>
      <w:tr w:rsidR="007D5DF8" w:rsidRPr="00DB5D0D" w14:paraId="49034C5B" w14:textId="77777777" w:rsidTr="00E543D0">
        <w:tc>
          <w:tcPr>
            <w:tcW w:w="2235" w:type="dxa"/>
          </w:tcPr>
          <w:p w14:paraId="0BBF8F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УТ-3 с 2МВ-6</w:t>
            </w:r>
          </w:p>
        </w:tc>
        <w:tc>
          <w:tcPr>
            <w:tcW w:w="915" w:type="dxa"/>
          </w:tcPr>
          <w:p w14:paraId="4EFA3F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915" w:type="dxa"/>
          </w:tcPr>
          <w:p w14:paraId="71658B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915" w:type="dxa"/>
          </w:tcPr>
          <w:p w14:paraId="5FB1D1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43C1EF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021F78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15" w:type="dxa"/>
          </w:tcPr>
          <w:p w14:paraId="0C4B64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874" w:type="dxa"/>
          </w:tcPr>
          <w:p w14:paraId="4355AE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r w:rsidR="007D5DF8" w:rsidRPr="00DB5D0D" w14:paraId="51638589" w14:textId="77777777" w:rsidTr="00E543D0">
        <w:tc>
          <w:tcPr>
            <w:tcW w:w="2235" w:type="dxa"/>
          </w:tcPr>
          <w:p w14:paraId="1E9524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УТИ-4 м С-25В</w:t>
            </w:r>
          </w:p>
        </w:tc>
        <w:tc>
          <w:tcPr>
            <w:tcW w:w="915" w:type="dxa"/>
          </w:tcPr>
          <w:p w14:paraId="5AA96D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915" w:type="dxa"/>
          </w:tcPr>
          <w:p w14:paraId="30C96E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tc>
        <w:tc>
          <w:tcPr>
            <w:tcW w:w="915" w:type="dxa"/>
          </w:tcPr>
          <w:p w14:paraId="3A9D47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915" w:type="dxa"/>
          </w:tcPr>
          <w:p w14:paraId="3ED56A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1C51AF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04C06E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656792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2C0219F" w14:textId="77777777" w:rsidTr="00E543D0">
        <w:tc>
          <w:tcPr>
            <w:tcW w:w="2235" w:type="dxa"/>
          </w:tcPr>
          <w:p w14:paraId="7206A7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учебных и учеюно-тренировочных</w:t>
            </w:r>
          </w:p>
        </w:tc>
        <w:tc>
          <w:tcPr>
            <w:tcW w:w="915" w:type="dxa"/>
          </w:tcPr>
          <w:p w14:paraId="0447102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3542AC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1709</w:t>
            </w:r>
          </w:p>
        </w:tc>
        <w:tc>
          <w:tcPr>
            <w:tcW w:w="915" w:type="dxa"/>
          </w:tcPr>
          <w:p w14:paraId="59D389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302</w:t>
            </w:r>
          </w:p>
        </w:tc>
        <w:tc>
          <w:tcPr>
            <w:tcW w:w="915" w:type="dxa"/>
          </w:tcPr>
          <w:p w14:paraId="234E96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347</w:t>
            </w:r>
          </w:p>
        </w:tc>
        <w:tc>
          <w:tcPr>
            <w:tcW w:w="915" w:type="dxa"/>
          </w:tcPr>
          <w:p w14:paraId="18F032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349</w:t>
            </w:r>
          </w:p>
        </w:tc>
        <w:tc>
          <w:tcPr>
            <w:tcW w:w="915" w:type="dxa"/>
          </w:tcPr>
          <w:p w14:paraId="51DF39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2874" w:type="dxa"/>
          </w:tcPr>
          <w:p w14:paraId="7BA2E1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361</w:t>
            </w:r>
          </w:p>
        </w:tc>
      </w:tr>
      <w:tr w:rsidR="007D5DF8" w:rsidRPr="00DB5D0D" w14:paraId="75411B5C" w14:textId="77777777" w:rsidTr="00E543D0">
        <w:tc>
          <w:tcPr>
            <w:tcW w:w="2235" w:type="dxa"/>
            <w:tcBorders>
              <w:bottom w:val="single" w:sz="12" w:space="0" w:color="auto"/>
            </w:tcBorders>
          </w:tcPr>
          <w:p w14:paraId="0FD6A3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915" w:type="dxa"/>
            <w:tcBorders>
              <w:bottom w:val="single" w:sz="12" w:space="0" w:color="auto"/>
            </w:tcBorders>
          </w:tcPr>
          <w:p w14:paraId="383C348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Borders>
              <w:bottom w:val="single" w:sz="12" w:space="0" w:color="auto"/>
            </w:tcBorders>
          </w:tcPr>
          <w:p w14:paraId="78B8D4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6700</w:t>
            </w:r>
          </w:p>
        </w:tc>
        <w:tc>
          <w:tcPr>
            <w:tcW w:w="915" w:type="dxa"/>
            <w:tcBorders>
              <w:bottom w:val="single" w:sz="12" w:space="0" w:color="auto"/>
            </w:tcBorders>
          </w:tcPr>
          <w:p w14:paraId="65C58C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1139</w:t>
            </w:r>
          </w:p>
        </w:tc>
        <w:tc>
          <w:tcPr>
            <w:tcW w:w="915" w:type="dxa"/>
            <w:tcBorders>
              <w:bottom w:val="single" w:sz="12" w:space="0" w:color="auto"/>
            </w:tcBorders>
          </w:tcPr>
          <w:p w14:paraId="66A56B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1282</w:t>
            </w:r>
          </w:p>
        </w:tc>
        <w:tc>
          <w:tcPr>
            <w:tcW w:w="915" w:type="dxa"/>
            <w:tcBorders>
              <w:bottom w:val="single" w:sz="12" w:space="0" w:color="auto"/>
            </w:tcBorders>
          </w:tcPr>
          <w:p w14:paraId="731ADA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1345</w:t>
            </w:r>
          </w:p>
        </w:tc>
        <w:tc>
          <w:tcPr>
            <w:tcW w:w="915" w:type="dxa"/>
            <w:tcBorders>
              <w:bottom w:val="single" w:sz="12" w:space="0" w:color="auto"/>
            </w:tcBorders>
          </w:tcPr>
          <w:p w14:paraId="684DC1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1415</w:t>
            </w:r>
          </w:p>
        </w:tc>
        <w:tc>
          <w:tcPr>
            <w:tcW w:w="2874" w:type="dxa"/>
            <w:tcBorders>
              <w:bottom w:val="single" w:sz="12" w:space="0" w:color="auto"/>
            </w:tcBorders>
          </w:tcPr>
          <w:p w14:paraId="0A1225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1528</w:t>
            </w:r>
          </w:p>
        </w:tc>
      </w:tr>
    </w:tbl>
    <w:p w14:paraId="5DC39C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766"/>
        <w:gridCol w:w="766"/>
        <w:gridCol w:w="766"/>
        <w:gridCol w:w="766"/>
        <w:gridCol w:w="849"/>
        <w:gridCol w:w="756"/>
        <w:gridCol w:w="756"/>
        <w:gridCol w:w="756"/>
        <w:gridCol w:w="756"/>
        <w:gridCol w:w="756"/>
        <w:gridCol w:w="756"/>
        <w:gridCol w:w="756"/>
        <w:gridCol w:w="756"/>
      </w:tblGrid>
      <w:tr w:rsidR="007D5DF8" w:rsidRPr="00DB5D0D" w14:paraId="2972574E" w14:textId="77777777" w:rsidTr="00E543D0">
        <w:tc>
          <w:tcPr>
            <w:tcW w:w="1242" w:type="dxa"/>
            <w:tcBorders>
              <w:top w:val="single" w:sz="12" w:space="0" w:color="auto"/>
            </w:tcBorders>
          </w:tcPr>
          <w:p w14:paraId="344CFD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мотора</w:t>
            </w:r>
          </w:p>
        </w:tc>
        <w:tc>
          <w:tcPr>
            <w:tcW w:w="766" w:type="dxa"/>
            <w:tcBorders>
              <w:top w:val="single" w:sz="12" w:space="0" w:color="auto"/>
            </w:tcBorders>
          </w:tcPr>
          <w:p w14:paraId="08AC3D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изготовитель</w:t>
            </w:r>
          </w:p>
        </w:tc>
        <w:tc>
          <w:tcPr>
            <w:tcW w:w="766" w:type="dxa"/>
            <w:tcBorders>
              <w:top w:val="single" w:sz="12" w:space="0" w:color="auto"/>
            </w:tcBorders>
          </w:tcPr>
          <w:p w14:paraId="52B1AA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на 5 мес.</w:t>
            </w:r>
          </w:p>
        </w:tc>
        <w:tc>
          <w:tcPr>
            <w:tcW w:w="766" w:type="dxa"/>
            <w:tcBorders>
              <w:top w:val="single" w:sz="12" w:space="0" w:color="auto"/>
            </w:tcBorders>
          </w:tcPr>
          <w:p w14:paraId="04E0FB3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461324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849" w:type="dxa"/>
            <w:tcBorders>
              <w:top w:val="single" w:sz="12" w:space="0" w:color="auto"/>
            </w:tcBorders>
          </w:tcPr>
          <w:p w14:paraId="67593A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56" w:type="dxa"/>
            <w:tcBorders>
              <w:top w:val="single" w:sz="12" w:space="0" w:color="auto"/>
            </w:tcBorders>
          </w:tcPr>
          <w:p w14:paraId="651A3E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756" w:type="dxa"/>
            <w:tcBorders>
              <w:top w:val="single" w:sz="12" w:space="0" w:color="auto"/>
            </w:tcBorders>
          </w:tcPr>
          <w:p w14:paraId="3AEF844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56" w:type="dxa"/>
            <w:tcBorders>
              <w:top w:val="single" w:sz="12" w:space="0" w:color="auto"/>
            </w:tcBorders>
          </w:tcPr>
          <w:p w14:paraId="11B217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756" w:type="dxa"/>
            <w:tcBorders>
              <w:top w:val="single" w:sz="12" w:space="0" w:color="auto"/>
            </w:tcBorders>
          </w:tcPr>
          <w:p w14:paraId="783941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56" w:type="dxa"/>
            <w:tcBorders>
              <w:top w:val="single" w:sz="12" w:space="0" w:color="auto"/>
            </w:tcBorders>
          </w:tcPr>
          <w:p w14:paraId="47885A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756" w:type="dxa"/>
            <w:tcBorders>
              <w:top w:val="single" w:sz="12" w:space="0" w:color="auto"/>
            </w:tcBorders>
          </w:tcPr>
          <w:p w14:paraId="550CCFB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56" w:type="dxa"/>
            <w:tcBorders>
              <w:top w:val="single" w:sz="12" w:space="0" w:color="auto"/>
            </w:tcBorders>
          </w:tcPr>
          <w:p w14:paraId="678939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w:t>
            </w:r>
          </w:p>
        </w:tc>
        <w:tc>
          <w:tcPr>
            <w:tcW w:w="756" w:type="dxa"/>
            <w:tcBorders>
              <w:top w:val="single" w:sz="12" w:space="0" w:color="auto"/>
            </w:tcBorders>
          </w:tcPr>
          <w:p w14:paraId="1671DE8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32EF9FD" w14:textId="77777777" w:rsidTr="00E543D0">
        <w:tc>
          <w:tcPr>
            <w:tcW w:w="1242" w:type="dxa"/>
          </w:tcPr>
          <w:p w14:paraId="228C0D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1F469A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88514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66" w:type="dxa"/>
          </w:tcPr>
          <w:p w14:paraId="3471BD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c>
          <w:tcPr>
            <w:tcW w:w="766" w:type="dxa"/>
          </w:tcPr>
          <w:p w14:paraId="0A8E79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849" w:type="dxa"/>
          </w:tcPr>
          <w:p w14:paraId="16D5C4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c>
          <w:tcPr>
            <w:tcW w:w="756" w:type="dxa"/>
          </w:tcPr>
          <w:p w14:paraId="21F0D9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56" w:type="dxa"/>
          </w:tcPr>
          <w:p w14:paraId="2FCEDA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c>
          <w:tcPr>
            <w:tcW w:w="756" w:type="dxa"/>
          </w:tcPr>
          <w:p w14:paraId="2DA584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56" w:type="dxa"/>
          </w:tcPr>
          <w:p w14:paraId="41CA26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c>
          <w:tcPr>
            <w:tcW w:w="756" w:type="dxa"/>
          </w:tcPr>
          <w:p w14:paraId="0334C2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56" w:type="dxa"/>
          </w:tcPr>
          <w:p w14:paraId="1A0E62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c>
          <w:tcPr>
            <w:tcW w:w="756" w:type="dxa"/>
          </w:tcPr>
          <w:p w14:paraId="34D39B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56" w:type="dxa"/>
          </w:tcPr>
          <w:p w14:paraId="351008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r>
      <w:tr w:rsidR="007D5DF8" w:rsidRPr="00DB5D0D" w14:paraId="666FD953" w14:textId="77777777" w:rsidTr="00E543D0">
        <w:tc>
          <w:tcPr>
            <w:tcW w:w="1242" w:type="dxa"/>
          </w:tcPr>
          <w:p w14:paraId="7C3944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М-63</w:t>
            </w:r>
          </w:p>
        </w:tc>
        <w:tc>
          <w:tcPr>
            <w:tcW w:w="766" w:type="dxa"/>
          </w:tcPr>
          <w:p w14:paraId="3C007B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766" w:type="dxa"/>
          </w:tcPr>
          <w:p w14:paraId="7989F8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2180</w:t>
            </w:r>
          </w:p>
        </w:tc>
        <w:tc>
          <w:tcPr>
            <w:tcW w:w="766" w:type="dxa"/>
          </w:tcPr>
          <w:p w14:paraId="3D18C6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580</w:t>
            </w:r>
          </w:p>
        </w:tc>
        <w:tc>
          <w:tcPr>
            <w:tcW w:w="766" w:type="dxa"/>
          </w:tcPr>
          <w:p w14:paraId="7A89B3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w:t>
            </w:r>
          </w:p>
        </w:tc>
        <w:tc>
          <w:tcPr>
            <w:tcW w:w="849" w:type="dxa"/>
          </w:tcPr>
          <w:p w14:paraId="0FB951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56" w:type="dxa"/>
          </w:tcPr>
          <w:p w14:paraId="5376C2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756" w:type="dxa"/>
          </w:tcPr>
          <w:p w14:paraId="0E0ECA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756" w:type="dxa"/>
          </w:tcPr>
          <w:p w14:paraId="688A2B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w:t>
            </w:r>
          </w:p>
        </w:tc>
        <w:tc>
          <w:tcPr>
            <w:tcW w:w="756" w:type="dxa"/>
          </w:tcPr>
          <w:p w14:paraId="17BE25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756" w:type="dxa"/>
          </w:tcPr>
          <w:p w14:paraId="74AF4A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756" w:type="dxa"/>
          </w:tcPr>
          <w:p w14:paraId="03B995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756" w:type="dxa"/>
          </w:tcPr>
          <w:p w14:paraId="01ABAD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530</w:t>
            </w:r>
          </w:p>
        </w:tc>
        <w:tc>
          <w:tcPr>
            <w:tcW w:w="756" w:type="dxa"/>
          </w:tcPr>
          <w:p w14:paraId="3228E8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r>
      <w:tr w:rsidR="007D5DF8" w:rsidRPr="00DB5D0D" w14:paraId="31047C7B" w14:textId="77777777" w:rsidTr="00E543D0">
        <w:tc>
          <w:tcPr>
            <w:tcW w:w="1242" w:type="dxa"/>
          </w:tcPr>
          <w:p w14:paraId="6BF128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М-25В</w:t>
            </w:r>
          </w:p>
        </w:tc>
        <w:tc>
          <w:tcPr>
            <w:tcW w:w="766" w:type="dxa"/>
          </w:tcPr>
          <w:p w14:paraId="1DA337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766" w:type="dxa"/>
          </w:tcPr>
          <w:p w14:paraId="19A4B2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283</w:t>
            </w:r>
          </w:p>
        </w:tc>
        <w:tc>
          <w:tcPr>
            <w:tcW w:w="766" w:type="dxa"/>
          </w:tcPr>
          <w:p w14:paraId="5E6FDF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w:t>
            </w:r>
          </w:p>
        </w:tc>
        <w:tc>
          <w:tcPr>
            <w:tcW w:w="766" w:type="dxa"/>
          </w:tcPr>
          <w:p w14:paraId="04DBF3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849" w:type="dxa"/>
          </w:tcPr>
          <w:p w14:paraId="051D36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4CD230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w:t>
            </w:r>
          </w:p>
        </w:tc>
        <w:tc>
          <w:tcPr>
            <w:tcW w:w="756" w:type="dxa"/>
          </w:tcPr>
          <w:p w14:paraId="36AC62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w:t>
            </w:r>
          </w:p>
        </w:tc>
        <w:tc>
          <w:tcPr>
            <w:tcW w:w="756" w:type="dxa"/>
          </w:tcPr>
          <w:p w14:paraId="0E4C61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341AB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95D03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705744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EE61F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D5997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438B914" w14:textId="77777777" w:rsidTr="00E543D0">
        <w:tc>
          <w:tcPr>
            <w:tcW w:w="1242" w:type="dxa"/>
          </w:tcPr>
          <w:p w14:paraId="14283B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М-71</w:t>
            </w:r>
          </w:p>
        </w:tc>
        <w:tc>
          <w:tcPr>
            <w:tcW w:w="766" w:type="dxa"/>
          </w:tcPr>
          <w:p w14:paraId="667995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766" w:type="dxa"/>
          </w:tcPr>
          <w:p w14:paraId="6174DC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66" w:type="dxa"/>
          </w:tcPr>
          <w:p w14:paraId="5B484E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FE88E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49" w:type="dxa"/>
          </w:tcPr>
          <w:p w14:paraId="17A0CC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ED1F5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27C73F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1EE34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4A5D6A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7CD604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397667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E7DE4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0EB441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C629824" w14:textId="77777777" w:rsidTr="00E543D0">
        <w:tc>
          <w:tcPr>
            <w:tcW w:w="1242" w:type="dxa"/>
          </w:tcPr>
          <w:p w14:paraId="7F20F2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М-81</w:t>
            </w:r>
          </w:p>
        </w:tc>
        <w:tc>
          <w:tcPr>
            <w:tcW w:w="766" w:type="dxa"/>
          </w:tcPr>
          <w:p w14:paraId="2E1382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766" w:type="dxa"/>
          </w:tcPr>
          <w:p w14:paraId="3D7F68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w:t>
            </w:r>
          </w:p>
        </w:tc>
        <w:tc>
          <w:tcPr>
            <w:tcW w:w="766" w:type="dxa"/>
          </w:tcPr>
          <w:p w14:paraId="5BE5C0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812B6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849" w:type="dxa"/>
          </w:tcPr>
          <w:p w14:paraId="20F749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49BEB8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34ACBA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617952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w:t>
            </w:r>
          </w:p>
        </w:tc>
        <w:tc>
          <w:tcPr>
            <w:tcW w:w="756" w:type="dxa"/>
          </w:tcPr>
          <w:p w14:paraId="066FFC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12B65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756" w:type="dxa"/>
          </w:tcPr>
          <w:p w14:paraId="48E0EC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77E011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756" w:type="dxa"/>
          </w:tcPr>
          <w:p w14:paraId="6A14D5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9373F70" w14:textId="77777777" w:rsidTr="00E543D0">
        <w:tc>
          <w:tcPr>
            <w:tcW w:w="1242" w:type="dxa"/>
          </w:tcPr>
          <w:p w14:paraId="2D7364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М-62ИР</w:t>
            </w:r>
          </w:p>
        </w:tc>
        <w:tc>
          <w:tcPr>
            <w:tcW w:w="766" w:type="dxa"/>
          </w:tcPr>
          <w:p w14:paraId="3EDA27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766" w:type="dxa"/>
          </w:tcPr>
          <w:p w14:paraId="52206B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66" w:type="dxa"/>
          </w:tcPr>
          <w:p w14:paraId="40CD23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66" w:type="dxa"/>
          </w:tcPr>
          <w:p w14:paraId="18DF76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49" w:type="dxa"/>
          </w:tcPr>
          <w:p w14:paraId="4FD88C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41A0AE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4C5C41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A5652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2CAA0B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12768F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69736C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0C0F32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3E0963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3052F670" w14:textId="77777777" w:rsidTr="00E543D0">
        <w:tc>
          <w:tcPr>
            <w:tcW w:w="1242" w:type="dxa"/>
          </w:tcPr>
          <w:p w14:paraId="278957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М-62</w:t>
            </w:r>
          </w:p>
        </w:tc>
        <w:tc>
          <w:tcPr>
            <w:tcW w:w="766" w:type="dxa"/>
          </w:tcPr>
          <w:p w14:paraId="5ADE2D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18939A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1043</w:t>
            </w:r>
          </w:p>
        </w:tc>
        <w:tc>
          <w:tcPr>
            <w:tcW w:w="766" w:type="dxa"/>
          </w:tcPr>
          <w:p w14:paraId="71A111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743</w:t>
            </w:r>
          </w:p>
        </w:tc>
        <w:tc>
          <w:tcPr>
            <w:tcW w:w="766" w:type="dxa"/>
          </w:tcPr>
          <w:p w14:paraId="4B2A0A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849" w:type="dxa"/>
          </w:tcPr>
          <w:p w14:paraId="26D3AD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756" w:type="dxa"/>
          </w:tcPr>
          <w:p w14:paraId="21A342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756" w:type="dxa"/>
          </w:tcPr>
          <w:p w14:paraId="0F3C68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756" w:type="dxa"/>
          </w:tcPr>
          <w:p w14:paraId="1B706B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756" w:type="dxa"/>
          </w:tcPr>
          <w:p w14:paraId="42E750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756" w:type="dxa"/>
          </w:tcPr>
          <w:p w14:paraId="3EFCE7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756" w:type="dxa"/>
          </w:tcPr>
          <w:p w14:paraId="074284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756" w:type="dxa"/>
          </w:tcPr>
          <w:p w14:paraId="1DDAB6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w:t>
            </w:r>
          </w:p>
        </w:tc>
        <w:tc>
          <w:tcPr>
            <w:tcW w:w="756" w:type="dxa"/>
          </w:tcPr>
          <w:p w14:paraId="6AA754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w:t>
            </w:r>
          </w:p>
        </w:tc>
      </w:tr>
      <w:tr w:rsidR="007D5DF8" w:rsidRPr="00DB5D0D" w14:paraId="10593B11" w14:textId="77777777" w:rsidTr="00E543D0">
        <w:tc>
          <w:tcPr>
            <w:tcW w:w="1242" w:type="dxa"/>
          </w:tcPr>
          <w:p w14:paraId="79C503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М-62ИР</w:t>
            </w:r>
          </w:p>
        </w:tc>
        <w:tc>
          <w:tcPr>
            <w:tcW w:w="766" w:type="dxa"/>
          </w:tcPr>
          <w:p w14:paraId="163646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3B45A8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179</w:t>
            </w:r>
          </w:p>
        </w:tc>
        <w:tc>
          <w:tcPr>
            <w:tcW w:w="766" w:type="dxa"/>
          </w:tcPr>
          <w:p w14:paraId="7A6B1F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766" w:type="dxa"/>
          </w:tcPr>
          <w:p w14:paraId="7AA6C0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849" w:type="dxa"/>
          </w:tcPr>
          <w:p w14:paraId="6A429B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85E2C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6FDD3D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159506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1118A4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795C9F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716505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4B8D54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07FD02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r>
      <w:tr w:rsidR="007D5DF8" w:rsidRPr="00DB5D0D" w14:paraId="61A3F9A3" w14:textId="77777777" w:rsidTr="00E543D0">
        <w:tc>
          <w:tcPr>
            <w:tcW w:w="1242" w:type="dxa"/>
          </w:tcPr>
          <w:p w14:paraId="4A3BB7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АМ-34НБ</w:t>
            </w:r>
          </w:p>
        </w:tc>
        <w:tc>
          <w:tcPr>
            <w:tcW w:w="766" w:type="dxa"/>
          </w:tcPr>
          <w:p w14:paraId="6FF57F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3822F4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766" w:type="dxa"/>
          </w:tcPr>
          <w:p w14:paraId="300374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0F978C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49" w:type="dxa"/>
          </w:tcPr>
          <w:p w14:paraId="43FE04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30528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77F63C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C7DE6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451042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1BD7CC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756" w:type="dxa"/>
          </w:tcPr>
          <w:p w14:paraId="40BF2B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756" w:type="dxa"/>
          </w:tcPr>
          <w:p w14:paraId="00F14D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44252F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A59CAA6" w14:textId="77777777" w:rsidTr="00E543D0">
        <w:tc>
          <w:tcPr>
            <w:tcW w:w="1242" w:type="dxa"/>
          </w:tcPr>
          <w:p w14:paraId="6AACC1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АМ-34Г и ГФ</w:t>
            </w:r>
          </w:p>
        </w:tc>
        <w:tc>
          <w:tcPr>
            <w:tcW w:w="766" w:type="dxa"/>
          </w:tcPr>
          <w:p w14:paraId="0077CE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0F2A40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766" w:type="dxa"/>
          </w:tcPr>
          <w:p w14:paraId="62FAD5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766" w:type="dxa"/>
          </w:tcPr>
          <w:p w14:paraId="4BDBE1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849" w:type="dxa"/>
          </w:tcPr>
          <w:p w14:paraId="4D6114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20681E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555D10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6E51F8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59BFAD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297C18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18BB03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59788A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05FE8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F744E2A" w14:textId="77777777" w:rsidTr="00E543D0">
        <w:tc>
          <w:tcPr>
            <w:tcW w:w="1242" w:type="dxa"/>
          </w:tcPr>
          <w:p w14:paraId="61C042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w:t>
            </w:r>
          </w:p>
        </w:tc>
        <w:tc>
          <w:tcPr>
            <w:tcW w:w="766" w:type="dxa"/>
          </w:tcPr>
          <w:p w14:paraId="27B5F5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0AA894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766" w:type="dxa"/>
          </w:tcPr>
          <w:p w14:paraId="005BF2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66" w:type="dxa"/>
          </w:tcPr>
          <w:p w14:paraId="6264DA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849" w:type="dxa"/>
          </w:tcPr>
          <w:p w14:paraId="522F37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7877A2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20A564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0404E7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4B325F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669087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19D5E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D5149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28550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E5FE88F" w14:textId="77777777" w:rsidTr="00E543D0">
        <w:tc>
          <w:tcPr>
            <w:tcW w:w="1242" w:type="dxa"/>
          </w:tcPr>
          <w:p w14:paraId="0BE79B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tc>
        <w:tc>
          <w:tcPr>
            <w:tcW w:w="766" w:type="dxa"/>
          </w:tcPr>
          <w:p w14:paraId="4F3B68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351C1B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w:t>
            </w:r>
          </w:p>
        </w:tc>
        <w:tc>
          <w:tcPr>
            <w:tcW w:w="766" w:type="dxa"/>
          </w:tcPr>
          <w:p w14:paraId="125B92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66" w:type="dxa"/>
          </w:tcPr>
          <w:p w14:paraId="5DFFC6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849" w:type="dxa"/>
          </w:tcPr>
          <w:p w14:paraId="386B66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B355F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756" w:type="dxa"/>
          </w:tcPr>
          <w:p w14:paraId="19AEC5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60DA5E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56" w:type="dxa"/>
          </w:tcPr>
          <w:p w14:paraId="3464EF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F51AA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56" w:type="dxa"/>
          </w:tcPr>
          <w:p w14:paraId="1B0F6E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9FE93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756" w:type="dxa"/>
          </w:tcPr>
          <w:p w14:paraId="767A56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40A82DB3" w14:textId="77777777" w:rsidTr="00E543D0">
        <w:tc>
          <w:tcPr>
            <w:tcW w:w="1242" w:type="dxa"/>
          </w:tcPr>
          <w:p w14:paraId="50698E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АМ-36</w:t>
            </w:r>
          </w:p>
        </w:tc>
        <w:tc>
          <w:tcPr>
            <w:tcW w:w="766" w:type="dxa"/>
          </w:tcPr>
          <w:p w14:paraId="7C9B8B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76479D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766" w:type="dxa"/>
          </w:tcPr>
          <w:p w14:paraId="347D18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3E15C0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49" w:type="dxa"/>
          </w:tcPr>
          <w:p w14:paraId="637891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381EB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4A295B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FA6F7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3364E7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411843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5AE9BC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3EFC8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30EE4A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45CF7F1" w14:textId="77777777" w:rsidTr="00E543D0">
        <w:tc>
          <w:tcPr>
            <w:tcW w:w="1242" w:type="dxa"/>
          </w:tcPr>
          <w:p w14:paraId="0EEE0A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М-103/М-105</w:t>
            </w:r>
          </w:p>
        </w:tc>
        <w:tc>
          <w:tcPr>
            <w:tcW w:w="766" w:type="dxa"/>
          </w:tcPr>
          <w:p w14:paraId="5D0D7F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766" w:type="dxa"/>
          </w:tcPr>
          <w:p w14:paraId="69E875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2840</w:t>
            </w:r>
          </w:p>
        </w:tc>
        <w:tc>
          <w:tcPr>
            <w:tcW w:w="766" w:type="dxa"/>
          </w:tcPr>
          <w:p w14:paraId="15F944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766" w:type="dxa"/>
          </w:tcPr>
          <w:p w14:paraId="16D50D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w:t>
            </w:r>
          </w:p>
        </w:tc>
        <w:tc>
          <w:tcPr>
            <w:tcW w:w="849" w:type="dxa"/>
          </w:tcPr>
          <w:p w14:paraId="067BD7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57F444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525</w:t>
            </w:r>
          </w:p>
        </w:tc>
        <w:tc>
          <w:tcPr>
            <w:tcW w:w="756" w:type="dxa"/>
          </w:tcPr>
          <w:p w14:paraId="50E305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3046BB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565</w:t>
            </w:r>
          </w:p>
        </w:tc>
        <w:tc>
          <w:tcPr>
            <w:tcW w:w="756" w:type="dxa"/>
          </w:tcPr>
          <w:p w14:paraId="248522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227AF0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756" w:type="dxa"/>
          </w:tcPr>
          <w:p w14:paraId="615FC4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31F504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635</w:t>
            </w:r>
          </w:p>
        </w:tc>
        <w:tc>
          <w:tcPr>
            <w:tcW w:w="756" w:type="dxa"/>
          </w:tcPr>
          <w:p w14:paraId="1FBA97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r>
      <w:tr w:rsidR="007D5DF8" w:rsidRPr="00DB5D0D" w14:paraId="52FBACC8" w14:textId="77777777" w:rsidTr="00E543D0">
        <w:tc>
          <w:tcPr>
            <w:tcW w:w="1242" w:type="dxa"/>
          </w:tcPr>
          <w:p w14:paraId="0DA0CC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М-105П</w:t>
            </w:r>
          </w:p>
        </w:tc>
        <w:tc>
          <w:tcPr>
            <w:tcW w:w="766" w:type="dxa"/>
          </w:tcPr>
          <w:p w14:paraId="6CC54B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766" w:type="dxa"/>
          </w:tcPr>
          <w:p w14:paraId="67EEBB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c>
          <w:tcPr>
            <w:tcW w:w="766" w:type="dxa"/>
          </w:tcPr>
          <w:p w14:paraId="4CA69D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66" w:type="dxa"/>
          </w:tcPr>
          <w:p w14:paraId="2EF075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849" w:type="dxa"/>
          </w:tcPr>
          <w:p w14:paraId="59CADD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69839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756" w:type="dxa"/>
          </w:tcPr>
          <w:p w14:paraId="28DCE0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3C9E62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756" w:type="dxa"/>
          </w:tcPr>
          <w:p w14:paraId="233C53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C50A8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56" w:type="dxa"/>
          </w:tcPr>
          <w:p w14:paraId="1D6BF2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14C3A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756" w:type="dxa"/>
          </w:tcPr>
          <w:p w14:paraId="746E9F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4530C7E" w14:textId="77777777" w:rsidTr="00E543D0">
        <w:tc>
          <w:tcPr>
            <w:tcW w:w="1242" w:type="dxa"/>
          </w:tcPr>
          <w:p w14:paraId="1C205D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М-107</w:t>
            </w:r>
          </w:p>
        </w:tc>
        <w:tc>
          <w:tcPr>
            <w:tcW w:w="766" w:type="dxa"/>
          </w:tcPr>
          <w:p w14:paraId="20BA95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766" w:type="dxa"/>
          </w:tcPr>
          <w:p w14:paraId="310353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c>
          <w:tcPr>
            <w:tcW w:w="766" w:type="dxa"/>
          </w:tcPr>
          <w:p w14:paraId="679EE5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55D51C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849" w:type="dxa"/>
          </w:tcPr>
          <w:p w14:paraId="6BB935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B4602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07CD9B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75C848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1FA26B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50547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26932C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77257B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740B65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B85DECA" w14:textId="77777777" w:rsidTr="00E543D0">
        <w:tc>
          <w:tcPr>
            <w:tcW w:w="1242" w:type="dxa"/>
          </w:tcPr>
          <w:p w14:paraId="311329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М-120</w:t>
            </w:r>
          </w:p>
        </w:tc>
        <w:tc>
          <w:tcPr>
            <w:tcW w:w="766" w:type="dxa"/>
          </w:tcPr>
          <w:p w14:paraId="472415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766" w:type="dxa"/>
          </w:tcPr>
          <w:p w14:paraId="4E507E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766" w:type="dxa"/>
          </w:tcPr>
          <w:p w14:paraId="0106B3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91D9C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849" w:type="dxa"/>
          </w:tcPr>
          <w:p w14:paraId="7FFCA2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9F859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679046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4E698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3D6D73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AFA91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756" w:type="dxa"/>
          </w:tcPr>
          <w:p w14:paraId="69AEBD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6FB3D9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61BE45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B7EFD59" w14:textId="77777777" w:rsidTr="00E543D0">
        <w:tc>
          <w:tcPr>
            <w:tcW w:w="1242" w:type="dxa"/>
          </w:tcPr>
          <w:p w14:paraId="39C0CC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М-87-88</w:t>
            </w:r>
          </w:p>
        </w:tc>
        <w:tc>
          <w:tcPr>
            <w:tcW w:w="766" w:type="dxa"/>
          </w:tcPr>
          <w:p w14:paraId="347780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c>
          <w:tcPr>
            <w:tcW w:w="766" w:type="dxa"/>
          </w:tcPr>
          <w:p w14:paraId="678C6E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2426</w:t>
            </w:r>
          </w:p>
        </w:tc>
        <w:tc>
          <w:tcPr>
            <w:tcW w:w="766" w:type="dxa"/>
          </w:tcPr>
          <w:p w14:paraId="1183A1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226</w:t>
            </w:r>
          </w:p>
        </w:tc>
        <w:tc>
          <w:tcPr>
            <w:tcW w:w="766" w:type="dxa"/>
          </w:tcPr>
          <w:p w14:paraId="01E28A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w:t>
            </w:r>
          </w:p>
        </w:tc>
        <w:tc>
          <w:tcPr>
            <w:tcW w:w="849" w:type="dxa"/>
          </w:tcPr>
          <w:p w14:paraId="6AF246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56" w:type="dxa"/>
          </w:tcPr>
          <w:p w14:paraId="6B87EA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c>
          <w:tcPr>
            <w:tcW w:w="756" w:type="dxa"/>
          </w:tcPr>
          <w:p w14:paraId="582CE8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4DE21B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c>
          <w:tcPr>
            <w:tcW w:w="756" w:type="dxa"/>
          </w:tcPr>
          <w:p w14:paraId="7645D2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6FB39E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756" w:type="dxa"/>
          </w:tcPr>
          <w:p w14:paraId="58C79F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7D4F2B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526</w:t>
            </w:r>
          </w:p>
        </w:tc>
        <w:tc>
          <w:tcPr>
            <w:tcW w:w="756" w:type="dxa"/>
          </w:tcPr>
          <w:p w14:paraId="615315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w:t>
            </w:r>
          </w:p>
        </w:tc>
      </w:tr>
      <w:tr w:rsidR="007D5DF8" w:rsidRPr="00DB5D0D" w14:paraId="07799AA8" w14:textId="77777777" w:rsidTr="00E543D0">
        <w:tc>
          <w:tcPr>
            <w:tcW w:w="1242" w:type="dxa"/>
          </w:tcPr>
          <w:p w14:paraId="61CA1D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М-90</w:t>
            </w:r>
          </w:p>
        </w:tc>
        <w:tc>
          <w:tcPr>
            <w:tcW w:w="766" w:type="dxa"/>
          </w:tcPr>
          <w:p w14:paraId="21E996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c>
          <w:tcPr>
            <w:tcW w:w="766" w:type="dxa"/>
          </w:tcPr>
          <w:p w14:paraId="193FDB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66" w:type="dxa"/>
          </w:tcPr>
          <w:p w14:paraId="41D5D6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3888F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849" w:type="dxa"/>
          </w:tcPr>
          <w:p w14:paraId="690409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AFA87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582460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68A46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01BA11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A2F49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631ABD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3EC60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6E3F24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E78D2E6" w14:textId="77777777" w:rsidTr="00E543D0">
        <w:tc>
          <w:tcPr>
            <w:tcW w:w="1242" w:type="dxa"/>
          </w:tcPr>
          <w:p w14:paraId="5F2ED5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766" w:type="dxa"/>
          </w:tcPr>
          <w:p w14:paraId="22CD11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c>
          <w:tcPr>
            <w:tcW w:w="766" w:type="dxa"/>
          </w:tcPr>
          <w:p w14:paraId="301A02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66" w:type="dxa"/>
          </w:tcPr>
          <w:p w14:paraId="70D0B1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66" w:type="dxa"/>
          </w:tcPr>
          <w:p w14:paraId="11257D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49" w:type="dxa"/>
          </w:tcPr>
          <w:p w14:paraId="663BCF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F8D1D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03B5B2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6C90A7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04764A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491297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756" w:type="dxa"/>
          </w:tcPr>
          <w:p w14:paraId="694760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723F82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56" w:type="dxa"/>
          </w:tcPr>
          <w:p w14:paraId="09773D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r w:rsidR="007D5DF8" w:rsidRPr="00DB5D0D" w14:paraId="32D4655E" w14:textId="77777777" w:rsidTr="00E543D0">
        <w:tc>
          <w:tcPr>
            <w:tcW w:w="1242" w:type="dxa"/>
          </w:tcPr>
          <w:p w14:paraId="3C3FA6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766" w:type="dxa"/>
          </w:tcPr>
          <w:p w14:paraId="70DFD0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766" w:type="dxa"/>
          </w:tcPr>
          <w:p w14:paraId="5548EE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766" w:type="dxa"/>
          </w:tcPr>
          <w:p w14:paraId="69E33A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766" w:type="dxa"/>
          </w:tcPr>
          <w:p w14:paraId="4D437A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849" w:type="dxa"/>
          </w:tcPr>
          <w:p w14:paraId="30BB68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20AE9B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756" w:type="dxa"/>
          </w:tcPr>
          <w:p w14:paraId="659C63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3B9DAB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w:t>
            </w:r>
          </w:p>
        </w:tc>
        <w:tc>
          <w:tcPr>
            <w:tcW w:w="756" w:type="dxa"/>
          </w:tcPr>
          <w:p w14:paraId="2ABE96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w:t>
            </w:r>
          </w:p>
        </w:tc>
        <w:tc>
          <w:tcPr>
            <w:tcW w:w="756" w:type="dxa"/>
          </w:tcPr>
          <w:p w14:paraId="6CAF02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756" w:type="dxa"/>
          </w:tcPr>
          <w:p w14:paraId="10F2E9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756" w:type="dxa"/>
          </w:tcPr>
          <w:p w14:paraId="51F801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w:t>
            </w:r>
          </w:p>
        </w:tc>
        <w:tc>
          <w:tcPr>
            <w:tcW w:w="756" w:type="dxa"/>
          </w:tcPr>
          <w:p w14:paraId="3266F5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w:t>
            </w:r>
          </w:p>
        </w:tc>
      </w:tr>
      <w:tr w:rsidR="007D5DF8" w:rsidRPr="00DB5D0D" w14:paraId="1D43CD14" w14:textId="77777777" w:rsidTr="00E543D0">
        <w:tc>
          <w:tcPr>
            <w:tcW w:w="1242" w:type="dxa"/>
          </w:tcPr>
          <w:p w14:paraId="194198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М-11</w:t>
            </w:r>
          </w:p>
        </w:tc>
        <w:tc>
          <w:tcPr>
            <w:tcW w:w="766" w:type="dxa"/>
          </w:tcPr>
          <w:p w14:paraId="049649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766" w:type="dxa"/>
          </w:tcPr>
          <w:p w14:paraId="148B7A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1550</w:t>
            </w:r>
          </w:p>
        </w:tc>
        <w:tc>
          <w:tcPr>
            <w:tcW w:w="766" w:type="dxa"/>
          </w:tcPr>
          <w:p w14:paraId="45DC82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766" w:type="dxa"/>
          </w:tcPr>
          <w:p w14:paraId="379483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49" w:type="dxa"/>
          </w:tcPr>
          <w:p w14:paraId="578FD4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43CE00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756" w:type="dxa"/>
          </w:tcPr>
          <w:p w14:paraId="50F32E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1C476F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w:t>
            </w:r>
          </w:p>
        </w:tc>
        <w:tc>
          <w:tcPr>
            <w:tcW w:w="756" w:type="dxa"/>
          </w:tcPr>
          <w:p w14:paraId="7B80B1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132045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275</w:t>
            </w:r>
          </w:p>
        </w:tc>
        <w:tc>
          <w:tcPr>
            <w:tcW w:w="756" w:type="dxa"/>
          </w:tcPr>
          <w:p w14:paraId="582852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1DE336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756" w:type="dxa"/>
          </w:tcPr>
          <w:p w14:paraId="30B7FB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D91E8D5" w14:textId="77777777" w:rsidTr="00E543D0">
        <w:tc>
          <w:tcPr>
            <w:tcW w:w="1242" w:type="dxa"/>
          </w:tcPr>
          <w:p w14:paraId="4D1F37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МВ-6</w:t>
            </w:r>
          </w:p>
        </w:tc>
        <w:tc>
          <w:tcPr>
            <w:tcW w:w="766" w:type="dxa"/>
          </w:tcPr>
          <w:p w14:paraId="419E55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766" w:type="dxa"/>
          </w:tcPr>
          <w:p w14:paraId="7243B1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66" w:type="dxa"/>
          </w:tcPr>
          <w:p w14:paraId="2A1065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66" w:type="dxa"/>
          </w:tcPr>
          <w:p w14:paraId="5223B4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849" w:type="dxa"/>
          </w:tcPr>
          <w:p w14:paraId="3ECBC1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9C3C5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568BC5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4B379F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2FEA1A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430BD2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379FED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0D5FAA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2A2EB9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r>
      <w:tr w:rsidR="007D5DF8" w:rsidRPr="00DB5D0D" w14:paraId="5034AC1B" w14:textId="77777777" w:rsidTr="00E543D0">
        <w:tc>
          <w:tcPr>
            <w:tcW w:w="1242" w:type="dxa"/>
          </w:tcPr>
          <w:p w14:paraId="419E28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66" w:type="dxa"/>
          </w:tcPr>
          <w:p w14:paraId="6B871F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9DC3F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12344</w:t>
            </w:r>
          </w:p>
        </w:tc>
        <w:tc>
          <w:tcPr>
            <w:tcW w:w="766" w:type="dxa"/>
          </w:tcPr>
          <w:p w14:paraId="518D97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2494</w:t>
            </w:r>
          </w:p>
        </w:tc>
        <w:tc>
          <w:tcPr>
            <w:tcW w:w="766" w:type="dxa"/>
          </w:tcPr>
          <w:p w14:paraId="400772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2297</w:t>
            </w:r>
          </w:p>
        </w:tc>
        <w:tc>
          <w:tcPr>
            <w:tcW w:w="849" w:type="dxa"/>
          </w:tcPr>
          <w:p w14:paraId="78CD8A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435</w:t>
            </w:r>
          </w:p>
        </w:tc>
        <w:tc>
          <w:tcPr>
            <w:tcW w:w="756" w:type="dxa"/>
          </w:tcPr>
          <w:p w14:paraId="00466B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2408</w:t>
            </w:r>
          </w:p>
        </w:tc>
        <w:tc>
          <w:tcPr>
            <w:tcW w:w="756" w:type="dxa"/>
          </w:tcPr>
          <w:p w14:paraId="2896C6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493</w:t>
            </w:r>
          </w:p>
        </w:tc>
        <w:tc>
          <w:tcPr>
            <w:tcW w:w="756" w:type="dxa"/>
          </w:tcPr>
          <w:p w14:paraId="3B507E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2443</w:t>
            </w:r>
          </w:p>
        </w:tc>
        <w:tc>
          <w:tcPr>
            <w:tcW w:w="756" w:type="dxa"/>
          </w:tcPr>
          <w:p w14:paraId="1A1821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570</w:t>
            </w:r>
          </w:p>
        </w:tc>
        <w:tc>
          <w:tcPr>
            <w:tcW w:w="756" w:type="dxa"/>
          </w:tcPr>
          <w:p w14:paraId="2AC007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2553</w:t>
            </w:r>
          </w:p>
        </w:tc>
        <w:tc>
          <w:tcPr>
            <w:tcW w:w="756" w:type="dxa"/>
          </w:tcPr>
          <w:p w14:paraId="23DBCB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518</w:t>
            </w:r>
          </w:p>
        </w:tc>
        <w:tc>
          <w:tcPr>
            <w:tcW w:w="756" w:type="dxa"/>
          </w:tcPr>
          <w:p w14:paraId="422838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2643</w:t>
            </w:r>
          </w:p>
        </w:tc>
        <w:tc>
          <w:tcPr>
            <w:tcW w:w="756" w:type="dxa"/>
          </w:tcPr>
          <w:p w14:paraId="1C0393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w:t>
            </w:r>
          </w:p>
        </w:tc>
      </w:tr>
      <w:tr w:rsidR="007D5DF8" w:rsidRPr="00DB5D0D" w14:paraId="0EB633D9" w14:textId="77777777" w:rsidTr="00E543D0">
        <w:tc>
          <w:tcPr>
            <w:tcW w:w="1242" w:type="dxa"/>
            <w:tcBorders>
              <w:bottom w:val="single" w:sz="12" w:space="0" w:color="auto"/>
            </w:tcBorders>
          </w:tcPr>
          <w:p w14:paraId="0FBB67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боевых</w:t>
            </w:r>
          </w:p>
        </w:tc>
        <w:tc>
          <w:tcPr>
            <w:tcW w:w="766" w:type="dxa"/>
            <w:tcBorders>
              <w:bottom w:val="single" w:sz="12" w:space="0" w:color="auto"/>
            </w:tcBorders>
          </w:tcPr>
          <w:p w14:paraId="238F64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4F0085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10694</w:t>
            </w:r>
          </w:p>
        </w:tc>
        <w:tc>
          <w:tcPr>
            <w:tcW w:w="766" w:type="dxa"/>
            <w:tcBorders>
              <w:bottom w:val="single" w:sz="12" w:space="0" w:color="auto"/>
            </w:tcBorders>
          </w:tcPr>
          <w:p w14:paraId="61FC24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Borders>
              <w:bottom w:val="single" w:sz="12" w:space="0" w:color="auto"/>
            </w:tcBorders>
          </w:tcPr>
          <w:p w14:paraId="211F7C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1927</w:t>
            </w:r>
          </w:p>
        </w:tc>
        <w:tc>
          <w:tcPr>
            <w:tcW w:w="849" w:type="dxa"/>
            <w:tcBorders>
              <w:bottom w:val="single" w:sz="12" w:space="0" w:color="auto"/>
            </w:tcBorders>
          </w:tcPr>
          <w:p w14:paraId="4FED37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Borders>
              <w:bottom w:val="single" w:sz="12" w:space="0" w:color="auto"/>
            </w:tcBorders>
          </w:tcPr>
          <w:p w14:paraId="5A837E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2038</w:t>
            </w:r>
          </w:p>
        </w:tc>
        <w:tc>
          <w:tcPr>
            <w:tcW w:w="756" w:type="dxa"/>
            <w:tcBorders>
              <w:bottom w:val="single" w:sz="12" w:space="0" w:color="auto"/>
            </w:tcBorders>
          </w:tcPr>
          <w:p w14:paraId="019627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Borders>
              <w:bottom w:val="single" w:sz="12" w:space="0" w:color="auto"/>
            </w:tcBorders>
          </w:tcPr>
          <w:p w14:paraId="7878A4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2098</w:t>
            </w:r>
          </w:p>
        </w:tc>
        <w:tc>
          <w:tcPr>
            <w:tcW w:w="756" w:type="dxa"/>
            <w:tcBorders>
              <w:bottom w:val="single" w:sz="12" w:space="0" w:color="auto"/>
            </w:tcBorders>
          </w:tcPr>
          <w:p w14:paraId="4758AA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Borders>
              <w:bottom w:val="single" w:sz="12" w:space="0" w:color="auto"/>
            </w:tcBorders>
          </w:tcPr>
          <w:p w14:paraId="2F9829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2258</w:t>
            </w:r>
          </w:p>
        </w:tc>
        <w:tc>
          <w:tcPr>
            <w:tcW w:w="756" w:type="dxa"/>
            <w:tcBorders>
              <w:bottom w:val="single" w:sz="12" w:space="0" w:color="auto"/>
            </w:tcBorders>
          </w:tcPr>
          <w:p w14:paraId="7B8F3D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Borders>
              <w:bottom w:val="single" w:sz="12" w:space="0" w:color="auto"/>
            </w:tcBorders>
          </w:tcPr>
          <w:p w14:paraId="4126F9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2373</w:t>
            </w:r>
          </w:p>
        </w:tc>
        <w:tc>
          <w:tcPr>
            <w:tcW w:w="756" w:type="dxa"/>
            <w:tcBorders>
              <w:bottom w:val="single" w:sz="12" w:space="0" w:color="auto"/>
            </w:tcBorders>
          </w:tcPr>
          <w:p w14:paraId="0F3566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-(1272)</w:t>
            </w:r>
          </w:p>
        </w:tc>
      </w:tr>
    </w:tbl>
    <w:p w14:paraId="7EEFD01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0EEE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этим постановлением на заводе № 84 должны были построить пятьдесят два самолета ДС-3 2М-62ИР. Дополнительно завод № 124 к концу 1940 г. должен был изготовить двадцать три экземпляра ДС-3. Подчеркнем, что все самолеты предусматривалось выпускать только в пассажирском варианте (3404).</w:t>
      </w:r>
    </w:p>
    <w:p w14:paraId="44DCBC8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33A9D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а соответствии с пост, правительства № 1369-534сс завод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был перепрофилирован на производство авиадвигателей М-105. Являлся дублером завода № 26 НКАП.</w:t>
      </w:r>
    </w:p>
    <w:p w14:paraId="5AB18D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 № 200сс от 5.06.1938 г. производство мотоциклов на заводе с 1.01.1939 г. переведено на конвейерную сборку.</w:t>
      </w:r>
    </w:p>
    <w:p w14:paraId="689340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7421B8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войной строился филиал завода в Ленинграде (возможно, это территория по 1-му Муринскому пр.).</w:t>
      </w:r>
    </w:p>
    <w:p w14:paraId="4CA814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672650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годы войны на площадке завода в Лесном действовала Рембаза № 3 ВВС КА.</w:t>
      </w:r>
    </w:p>
    <w:p w14:paraId="43E2AA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305с/0350с от 3.05.1944 г. площадка № 3 бывшего завода № 234 передана в НКВМФ, где образован завод № 55.</w:t>
      </w:r>
    </w:p>
    <w:p w14:paraId="69AD3F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367CC7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w:t>
      </w:r>
    </w:p>
    <w:p w14:paraId="6BF28D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(-19.07.1937 г.)- К.Н. Коршунов; и.о. (19.07.1937 г.-)- Т.М. Райцин; (23.07.1937-08.1938 г.-)- И.М. Леухин, (-1939-12.1940 г.)- Н.В. Солодухин, (12.1940-05.1941 г.-)- А.П. Петров.</w:t>
      </w:r>
    </w:p>
    <w:p w14:paraId="532854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директора (-7.09.1937 г.)- Т.М. Райцин, (7.09.1937 г.-)- Н.В. Солодухин.</w:t>
      </w:r>
    </w:p>
    <w:p w14:paraId="4D3625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(-7.09.1937 г.)- Т.М. Райцин, (7.09.1937-38 г.-)- Н.В. Солодухин, (08.1940 г.-)- П.Ф. Амбросов.</w:t>
      </w:r>
    </w:p>
    <w:p w14:paraId="3141B7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КБ завода (10.1940 г.-)- И.Н. Маликов.</w:t>
      </w:r>
    </w:p>
    <w:p w14:paraId="413B53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Производство:</w:t>
      </w:r>
      <w:r w:rsidRPr="00DB5D0D">
        <w:rPr>
          <w:rFonts w:ascii="Times New Roman" w:hAnsi="Times New Roman"/>
          <w:color w:val="000000" w:themeColor="text1"/>
          <w:sz w:val="16"/>
          <w:szCs w:val="16"/>
        </w:rPr>
        <w:t xml:space="preserve"> оборудование для электростанций (1919-); электроподъемники, электроприборы (1930-е); </w:t>
      </w:r>
      <w:r w:rsidRPr="00DB5D0D">
        <w:rPr>
          <w:rFonts w:ascii="Times New Roman" w:hAnsi="Times New Roman"/>
          <w:iCs/>
          <w:color w:val="000000" w:themeColor="text1"/>
          <w:sz w:val="16"/>
          <w:szCs w:val="16"/>
        </w:rPr>
        <w:t>мотоциклы:</w:t>
      </w:r>
      <w:r w:rsidRPr="00DB5D0D">
        <w:rPr>
          <w:rFonts w:ascii="Times New Roman" w:hAnsi="Times New Roman"/>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DB5D0D">
        <w:rPr>
          <w:rFonts w:ascii="Times New Roman" w:hAnsi="Times New Roman"/>
          <w:color w:val="000000" w:themeColor="text1"/>
          <w:sz w:val="16"/>
          <w:szCs w:val="16"/>
          <w:lang w:val="en-US"/>
        </w:rPr>
        <w:t>Liberty</w:t>
      </w:r>
      <w:r w:rsidRPr="00DB5D0D">
        <w:rPr>
          <w:rFonts w:ascii="Times New Roman" w:hAnsi="Times New Roman"/>
          <w:color w:val="000000" w:themeColor="text1"/>
          <w:sz w:val="16"/>
          <w:szCs w:val="16"/>
        </w:rPr>
        <w:t>-12" (1932-36) (11982).</w:t>
      </w:r>
    </w:p>
    <w:p w14:paraId="1BECF44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C6445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М.М.Громов представил А.И.Ш. список летчиков-испытателей заводов НКАП, находящихся на опытной работе и могущих проводить опытные летные испытания (1174):</w:t>
      </w:r>
    </w:p>
    <w:p w14:paraId="5DCED7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1</w:t>
      </w:r>
    </w:p>
    <w:p w14:paraId="632C1A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А.И.Жуков - ли по опытным истребителям (И-15бис, И-153, ДИТ).</w:t>
      </w:r>
    </w:p>
    <w:p w14:paraId="2E0A94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П.Е.Логинов - ли по опытным истребителям (И-15, И-153 с ТК, И-15бис с ПВРД, штурмовик С.И.Кочеригина).</w:t>
      </w:r>
    </w:p>
    <w:p w14:paraId="66FC96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А.Н.Екатов - ли по истребителям и скоростным бомбардировщикам (ББ-22, И-153 с подвесными баками, штурмовик С.И.Кочеригина, и все версии И-15бис).</w:t>
      </w:r>
    </w:p>
    <w:p w14:paraId="033423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А.В.Давыдов - ли по опытным истребителям (войсковые испытания И-153 в Баку, в боевых условиях в Монголии) (1174).</w:t>
      </w:r>
    </w:p>
    <w:p w14:paraId="0241E9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39</w:t>
      </w:r>
    </w:p>
    <w:p w14:paraId="35B8AE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В.К.К. ли ДБ (ДБ-3 и ДБ-3Ф) в дальнейшем для испытаний опытных самолетов использовать нецелесообразно (1174).</w:t>
      </w:r>
    </w:p>
    <w:p w14:paraId="090F11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22</w:t>
      </w:r>
    </w:p>
    <w:p w14:paraId="2221F9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Б.Н.Кудрин - ли скоростных бомбардировщиков (ВИТ-2, И-152 с ТК).</w:t>
      </w:r>
    </w:p>
    <w:p w14:paraId="0C5E96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Г.М.Шиянов - ли истребителей и скоростных бомбардировщиков (эксп. самолеты ЦАГИ).</w:t>
      </w:r>
    </w:p>
    <w:p w14:paraId="23C6DC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Ю.К.Станкевич - ли истребителей и скоростных бомбардировщиков (эксп. самолеты ЦАГИ) (одн. двухмоторный истребитель В.К.Таирова).</w:t>
      </w:r>
    </w:p>
    <w:p w14:paraId="1F0199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Ю.И.Пионковский - ли истребителей и скоростных бомбардировщиков (опытн. самолеты А.С.Я.) (1174).</w:t>
      </w:r>
    </w:p>
    <w:p w14:paraId="1B6FA34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4D6F8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Протокол № 19. Решения за 20 июля — 24 августа 1940 г.</w:t>
      </w:r>
    </w:p>
    <w:p w14:paraId="661320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 7. 40 г.</w:t>
      </w:r>
    </w:p>
    <w:p w14:paraId="06DBFE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39. Вопрос КО. О дополнительной поставке взрывателей*.</w:t>
      </w:r>
    </w:p>
    <w:p w14:paraId="40B2E6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24.7.40 г.</w:t>
      </w:r>
    </w:p>
    <w:p w14:paraId="2A3EDA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58. Об увеличении выпуска самолетов и авиамоторов на период август-декабрь 1940 года*.</w:t>
      </w:r>
    </w:p>
    <w:p w14:paraId="485FF0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26.7.40 г.</w:t>
      </w:r>
    </w:p>
    <w:p w14:paraId="239B88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85. О накоплении мобзапасов горючего и смазочных материалов для НКО и НКВМВ (постановление СНК СССР и ЦК ВКП (б))*.</w:t>
      </w:r>
    </w:p>
    <w:p w14:paraId="20DD8E7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96. Об организации производства боевых самолетов и авиационных моторов в Ленинграде (постановление ЦК ВКП (б) и СНК СССР)*. П. 98. Вопрос КО. О производстве танков, арттягачей*.</w:t>
      </w:r>
    </w:p>
    <w:p w14:paraId="6EAFA7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147. Вопрос НКАП. О приостановке выпуска мотора М-88 и увеличении - М-87Б*.</w:t>
      </w:r>
    </w:p>
    <w:p w14:paraId="63AC4B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06.8.40 г.</w:t>
      </w:r>
    </w:p>
    <w:p w14:paraId="63E984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149. О создании одноместного пикирующего бомбардировщика с одним мотором*.</w:t>
      </w:r>
    </w:p>
    <w:p w14:paraId="109E9E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10.8.40 г</w:t>
      </w:r>
      <w:r w:rsidRPr="00DB5D0D">
        <w:rPr>
          <w:rFonts w:ascii="Times New Roman" w:hAnsi="Times New Roman"/>
          <w:color w:val="000000" w:themeColor="text1"/>
          <w:sz w:val="16"/>
          <w:szCs w:val="16"/>
        </w:rPr>
        <w:t>.</w:t>
      </w:r>
    </w:p>
    <w:p w14:paraId="3029984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 160. О снабжении Красной Армии мотоциклами и развитии мотоциклетной промышленности*.</w:t>
      </w:r>
    </w:p>
    <w:p w14:paraId="46C48B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14.8.40 г.</w:t>
      </w:r>
    </w:p>
    <w:p w14:paraId="7D24C8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214. Вопрос НКАП. О разработке приспособления по механизации крыла, обеспечивающей безопасность полетов при потере скорости*.</w:t>
      </w:r>
    </w:p>
    <w:p w14:paraId="072EDD2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16.8.40 г.</w:t>
      </w:r>
    </w:p>
    <w:p w14:paraId="2BE62A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265. Вопрос КО. Об изготовлении опытного образца орудийной универсальной башенной установки*.</w:t>
      </w:r>
    </w:p>
    <w:p w14:paraId="37F5B5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21.8.40 г.</w:t>
      </w:r>
    </w:p>
    <w:p w14:paraId="683E8B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292. Об организации производства бронекорпусов и бронебойных снарядов к танкам «KB» на заводе № 78 Наркомбоеприпасов. (постановление СНК СССР и ЦК ВКП (б))*.</w:t>
      </w:r>
    </w:p>
    <w:p w14:paraId="42877E2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22.8.40 г.</w:t>
      </w:r>
    </w:p>
    <w:p w14:paraId="62FEE6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302. Вопрос КО. О введение на вооружение КА, Флота и НКВД прибора управления артиллерийским зенитным огнем (11773).</w:t>
      </w:r>
    </w:p>
    <w:p w14:paraId="67CC3253" w14:textId="77777777" w:rsidR="003C7E8B" w:rsidRPr="00DB5D0D" w:rsidRDefault="003C7E8B" w:rsidP="00DB5D0D">
      <w:pPr>
        <w:shd w:val="clear" w:color="auto" w:fill="FFFFFF"/>
        <w:spacing w:after="0" w:line="240" w:lineRule="auto"/>
        <w:jc w:val="both"/>
        <w:rPr>
          <w:rFonts w:ascii="Times New Roman" w:hAnsi="Times New Roman"/>
          <w:bCs/>
          <w:color w:val="000000" w:themeColor="text1"/>
          <w:sz w:val="16"/>
          <w:szCs w:val="16"/>
        </w:rPr>
      </w:pPr>
    </w:p>
    <w:p w14:paraId="1FB37D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вышло решение ЦК ВКП(б) и СНК № 1369/1534с и 5 августа 1940 года приказ НКАП № 175/394с о реконструкции з-да НКАП № 230 или № 234. До реконструкции завода было производство танковых агрегатов, мотоциклов, пишущих машинок, пианино и патефонов (9308).</w:t>
      </w:r>
    </w:p>
    <w:p w14:paraId="43DFD8A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8743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в соответствии с Указом Президиума ВС на базе завода им. Каракозова (мелкое деревянное судостроение) и машиностроительного завода Лентекстильмаш (текстильные машины) НКАП организовал самолетостроительный завод № 387 для производства самолетов типа У-2 и его модификаций (9342).</w:t>
      </w:r>
    </w:p>
    <w:p w14:paraId="4936691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76B33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был основан завод № 387</w:t>
      </w:r>
    </w:p>
    <w:p w14:paraId="76AB8D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 ввода в эксплуатацию:</w:t>
      </w:r>
    </w:p>
    <w:p w14:paraId="2E5123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частичного – 1 октября 1940 года</w:t>
      </w:r>
    </w:p>
    <w:p w14:paraId="79C3D0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Реконструирующийся</w:t>
      </w:r>
    </w:p>
    <w:p w14:paraId="6810B0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производства – среднесерийное</w:t>
      </w:r>
    </w:p>
    <w:p w14:paraId="63485B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производства – самолетостроение</w:t>
      </w:r>
    </w:p>
    <w:p w14:paraId="69E397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Адрес: Ленинград 6, п/я 934</w:t>
      </w:r>
    </w:p>
    <w:p w14:paraId="5B3048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самолеты У-2, С-2</w:t>
      </w:r>
    </w:p>
    <w:p w14:paraId="6650B2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Указом Президиума ВС от 26 июля 1940 года на базе завода им. Каракозова (мелкое деревянное судостроение) и машиностроительного завода Лентекстильмаш (текстильные машины) НКАП организовал самолетостроительный завод № 387 для производства самолетов типа У-2 и его модификаций.</w:t>
      </w:r>
    </w:p>
    <w:p w14:paraId="40ED8C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вопросом реконструкции указанных заводов под самолетостроение, НКАП одновременно поставил перед заводом задачу выпуска до 1 января 1941 года машин типа ЭУ-2 из деталей завода № 23 с постепенным переходом на изготовление их собственными силами. К настоящему времени завод полностью перешел на выпуск машин из своих деталей (9342).</w:t>
      </w:r>
    </w:p>
    <w:p w14:paraId="74306F3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12747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по постановлению КО на базе Воронежского дизельного завода был организован Завод № 154 им. Сталина. До 1940 года выпускались дизели для НК судостроительной промышленности. После передачи завода в другое ведомство проводилась реконструкция. С 1 декабря 1940 года завод был включен в число действующих предприятий системы НКАП и приступил к изготовлению авиационных моторов М-11. До 1 января 1941 года завод числился филиалом завода № 16 НКАП. Директором завода был назначен Морозов Д.А. и работал на этой должности до 1947 года.</w:t>
      </w:r>
    </w:p>
    <w:p w14:paraId="5ADBC9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постановлению ГКО от 8 октября 1941 года за № 711сс и приказу НКАП от 9 октября 1941 года за № 1058сс завод должен был эвакуироваться в Ташкент на площадку Узполиграфкомбината. 12 октября 1941 года первый эшелон выбыл с территории завода.</w:t>
      </w:r>
    </w:p>
    <w:p w14:paraId="3CDB9D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по прибытии первых эшелонов в Ташкент их пришлось перебазировать в Андижан, где было определено новое место расположения завода на площадке Андижанского хлопкозавода № 2.</w:t>
      </w:r>
    </w:p>
    <w:p w14:paraId="504516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Новая площадка была расположена в 5-6 км от города и в 1 км от ст. Андижан.</w:t>
      </w:r>
    </w:p>
    <w:p w14:paraId="056EFC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начала эвакуации до пуска цехов первой очереди на новом месте, т.е. до 15 декабря 1941 года было затрачено 2 месяца и три дня.</w:t>
      </w:r>
    </w:p>
    <w:p w14:paraId="0DCD44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годы ВОВ завод выпустил 15874 мотора М-11, в т.ч.: в 1942 году – 3543, в 1943 – 4676, в 1945 – 3941.</w:t>
      </w:r>
    </w:p>
    <w:p w14:paraId="16D47E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постановлению СМ и приказу МАП за № 154с от 23 марта 1946 года завод перебазируется в Воронеж на площадку завода № 265, который вливается в завод № 154 и исключается из числа действующих.</w:t>
      </w:r>
    </w:p>
    <w:p w14:paraId="711354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старой площадке в Андижане на базе завода № 154 был организован новый завод Министерства строительно-дорожного машиностроения.</w:t>
      </w:r>
    </w:p>
    <w:p w14:paraId="0DB0B8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завода № 265 осталось производство насосов непосредственного впрыскивания, которое не было освоено в должной мере и фактически выпуска их не производилось.</w:t>
      </w:r>
    </w:p>
    <w:p w14:paraId="4FAC1F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Серийный выпуск насосов типа НБ3ФА был освоен только в 1947 году. В 1949 году выпуск их был прекращен. В конце 1949 года заводу дано было задание освоить производство коробок типа «Д».</w:t>
      </w:r>
    </w:p>
    <w:p w14:paraId="194045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Основное производство – выпуск авиадвигателей за период с 1946 года по 1954 год претерпело значительное изменение.</w:t>
      </w:r>
    </w:p>
    <w:p w14:paraId="51BB7E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за время войны завод выпускал авиадвигатель М-11Д и М-11К, то в 1946 году и последующие годы стал изготавливать модифицированный мотор М-11Л и одновременно форсированный мотор М-11ФР. В 1950 году изготовление моторов М-11Л было совершенно прекращено, а взамен этого стали выпускать только мотор М-11ФР. В 1950 году заводу было предложено изготавливать двигатель АИ-14Р. Серийный выпуск этих моторов продолжался только в течение трех кварталов 1951 года. По решению Правительства в IV квартале 1951 года выпуск моторов АИ-14Р был прекращен и завод приступил к освоению производства более мощного мотора АШ-62ИР. В конце 1952 года были развернуты работы по освоению нового вида изделий типа 205б (баки). В 1956 году завод освоил серийное производство двигателей АИ-14В и редуктора РВ-15, увеличил ресурс двигателя АШ-62ИР на 100 часов. В 1957 году было освоено серийное производство двигателя С-155 типа ЖРД (9502).</w:t>
      </w:r>
    </w:p>
    <w:p w14:paraId="20DE1B1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3C258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в соответствии с постановлением СНК и приказом НКАП № 193сс от 3.03.1941 г. филиал завода № 16 получил самостоятельность и наименование ГС завод № 154 им. Сталина 3ГУ НКАП.</w:t>
      </w:r>
    </w:p>
    <w:p w14:paraId="51B835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1941 г.- освоение выпуска мотора МВ-6.</w:t>
      </w:r>
    </w:p>
    <w:p w14:paraId="22F5B0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10.1941 г. завод № 154 эвакуирован в г. Андижан Узбекской ССР на новую площадку (выделены хлопковые амбары), где до 01.1942 г. выпускал М-11Д. По приказу № 86с/ 3с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w:t>
      </w:r>
    </w:p>
    <w:p w14:paraId="467B38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1965 г. завод № 154 передан из системы СНХ в подчинение 2ГУ МОМ и по приказу от 6.03.1966 г. преобразован в ВМЗ.</w:t>
      </w:r>
    </w:p>
    <w:p w14:paraId="0028C0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1957 г. завод перешел, в основном, на производство ЖРД. Выпускал также поршневые моторы, вертолетные редукторы. </w:t>
      </w:r>
    </w:p>
    <w:p w14:paraId="366012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1998 г. завод преобразован в ФГУП. По Указу Президента РФ № 1009 от 4.08.2004 г. вошел в перечень стратегических оборонных предприятий.</w:t>
      </w:r>
    </w:p>
    <w:p w14:paraId="1EABCD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3FF962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(1941-09.1943 г.-)- Д.А. Морозов, И.И. Абрамов, Б.А. Чевела. Гендиректор (-1997-2002 г.-)- А.И. Часовских.</w:t>
      </w:r>
    </w:p>
    <w:p w14:paraId="5D42D9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(1940 г.)- И.Н. Шендерович, (1941 г.)- М.А. Коссов.</w:t>
      </w:r>
    </w:p>
    <w:p w14:paraId="68AD49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зам. гендиректора (2002 г.)- А.В. Бондарь, (2002 г.)- А.М. Лапшин. Зам. гендиректора: по производству (2002 г.)- И.Т. Коптев; О. Малышев.</w:t>
      </w:r>
    </w:p>
    <w:p w14:paraId="5ADB60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директор (2002 г.)- А.В. Бондарь. Гл. инженер (2002 г.)- Н.В. Сухоруков.</w:t>
      </w:r>
    </w:p>
    <w:p w14:paraId="2D08CC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конструктора филиала по маломощным моторам (09.1940 г.-)- М.А. Коссов.</w:t>
      </w:r>
    </w:p>
    <w:p w14:paraId="4588BC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Производство: ПД: М-11 (1941-42), М-11Д (1943-47), М-11Ф (1944-45), М-11К, -Л (1948-50), М-11ФРВ (1949-59), М-14Р (1950-51), АШ-62ИР (1952-62-), АИ-14Р (1954-62-), АИ-14В (1956-60), АИ-14ВФ (1960-),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(2002), РД-0110 для РН «Молния-М» (2000-е); РД-0210, РД-0212, РД-0213 и РД-0214 для 2-й и 3-й ступеней РН «Протон» (2000-е); РД-0120 для МКС «Энергия-Буран»; РД-58М для РН «Зенит-3SL»; гл. редуктор ВР-226 для Ка-226; нефтегазовое оборудование, топливозаправочные колонки, агрегаты автомобильных двигателей, бытовые газовые и электроплиты (2002).69 </w:t>
      </w:r>
    </w:p>
    <w:p w14:paraId="29BFF9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ГС Завод № 154 им. Сталина НКАП, МАП, СНХ, завод «Триер», Завод им. Сталина НКТМ, Воронежский механический завод (ВМЗ) МОМ, ФГУП «ВМЗ»</w:t>
      </w:r>
    </w:p>
    <w:p w14:paraId="44D3E5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Воронеж; г. Андижан; г. Воронеж</w:t>
      </w:r>
    </w:p>
    <w:p w14:paraId="102350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394055 г. Воронеж ул. Ворошилова, 22 тел. 34-82-34 www.vmz.vsi.ru</w:t>
      </w:r>
    </w:p>
    <w:p w14:paraId="35C0CC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КБ филиала завода № 16 НКАП, ОКБ завода № 154 НКАП, ОКБ-154 НКАП </w:t>
      </w:r>
    </w:p>
    <w:p w14:paraId="407C60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г. Воронеж; г. Андижан</w:t>
      </w:r>
    </w:p>
    <w:p w14:paraId="7EA064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СНК от 26.07.1940 г. и приказом № 193сс от 3.03.1941 г., одновременно с образованием завода № 154, КБ филиала завода № 16 реорганизовано в ОКБ завода № 154 НКАП.</w:t>
      </w:r>
    </w:p>
    <w:p w14:paraId="6A2D36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Разработаны модификации мотора М-11, созданы опытные моторы М-32, МВ-6 для самолета «Аист». </w:t>
      </w:r>
    </w:p>
    <w:p w14:paraId="63824D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 г. эвакуировано из Воронежа в г. Андижан.</w:t>
      </w:r>
    </w:p>
    <w:p w14:paraId="18D2ED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НКАП № 146с от 26.02.1944 г. ОКБ-154 переведено со всеми кадрами и оборудованием из Андижана на моторный завод № 41 НКАП в Москву.</w:t>
      </w:r>
    </w:p>
    <w:p w14:paraId="6EE852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(1941 г.)- М.А. Коссов (до этого-начальник отдела НИИАД).</w:t>
      </w:r>
    </w:p>
    <w:p w14:paraId="61AA9E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ОКБ-154-1 МАП, ОКБ-154-269, ОКБ-154 МАП, ГКАТ, КБ химавтоматики (КБХА) МОМ, Минхимнефтепрома, ФГУП «КБ Химавтоматики» им. С.А. Косберга»</w:t>
      </w:r>
    </w:p>
    <w:p w14:paraId="699DF3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394006 г. Воронеж ул. Ворошилова, 22 тел. 333-673</w:t>
      </w:r>
    </w:p>
    <w:p w14:paraId="6B8342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04.1946 г. ОКБ-296 МАП гл. конструктора С.А. Косберга переведено на завод № 154 и получило название ОКБ-154-1. </w:t>
      </w:r>
    </w:p>
    <w:p w14:paraId="258F62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послевоенный период проводились работы по агрегатам и системам топливопитания и регулирования авиамоторов, в т.ч. насосам непосредственного впрыска, создано 11 типов НВ, 9 из которых внедрены в серию (до 1952 г.). Далее- работы по агрегатам для ТРД: топливные форсунки, фильтры, РПТ для форсажной камеры, системы управления двигателем. Затем создан ряд ЖРД для опытных самолетов (в 1954-58гг.), стартеров и ускорителей на жидком и твердом топливе. С 1958 г.- разработка мощных ЖРД для РН и КА. </w:t>
      </w:r>
    </w:p>
    <w:p w14:paraId="08C7E5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1960 г. введены в строй стенды № 3 и 4 для испытаний ЖРД.</w:t>
      </w:r>
    </w:p>
    <w:p w14:paraId="77B860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 газодинамический лазер РД-0600; экспериментальный гиперзвуковой ПВРД.</w:t>
      </w:r>
    </w:p>
    <w:p w14:paraId="775194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Совместно с Курчатовским институтом и Институтом физики и энергии создан единственный в мире действующий ядерный ракетный двигатель РД-0410 мощностью 196 МВт. Он был испытан в конце 1970-х г. на Семипалатинском полигоне. ПМ-2/02 Принимало участие в программе создания ОК «Буран» (ЖРД для для блока Ц).</w:t>
      </w:r>
    </w:p>
    <w:p w14:paraId="0FBBBC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1965 г. ОКБ-154 ГКАТ передано в подчинение 2ГУ МОМ и по приказу от 6.03.1966 г. преобразовано в КБ химавтоматики (КБХА, КБ "Химавтоматика"). В 1990 г. ОКБ «Химавтоматика»- в ведении Минхимнефтепрома.77</w:t>
      </w:r>
    </w:p>
    <w:p w14:paraId="304358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1966 г. ОКБ имело филиал в Воронеже.</w:t>
      </w:r>
    </w:p>
    <w:p w14:paraId="22A609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начало 2000-х г. создано около 60 типов ЖРД, 30 из которых строились серийно.</w:t>
      </w:r>
    </w:p>
    <w:p w14:paraId="56BFA5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(2002 г.): ЖРД для РН «Союз-2», трехкомпонентный РД, ГПВРД, ГТД малой мощности.</w:t>
      </w:r>
    </w:p>
    <w:p w14:paraId="11434A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 КБХА входят (2002 г.): КБ, завод ракетных двигателей, экспериментальный завод, ДП «Турбонасос».</w:t>
      </w:r>
    </w:p>
    <w:p w14:paraId="5D9448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1CB8DF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Численность персонала (1960 г.)- 1176 чел., (1972 г.)- 6111 чел.77 </w:t>
      </w:r>
    </w:p>
    <w:p w14:paraId="7B557B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ОКБ (04.1946- 65 г.)- С.А. Косберг {1903-65 г.}, (1965-93 г.)- А.Д. Конопатов. Ген. конструктор (1990-е-2002 г.-)- В.С. Рачук.</w:t>
      </w:r>
    </w:p>
    <w:p w14:paraId="195D03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Гендиректор (-2000-02 г.-)- В.С. Рачук.</w:t>
      </w:r>
    </w:p>
    <w:p w14:paraId="205BFE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 В.П. Козелков (РД-0124,-0233…-0237,-0242,-0243), Г.И. Чурсин (РД-0120,-0410), В.С. Рачук (РД-0120).</w:t>
      </w:r>
    </w:p>
    <w:p w14:paraId="042ED7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зам. гендиректора (2002 г.)- Ю.А. Шипулин. Зам. гендиректора (2002 г.)- А.И. Фещенко; по конверсии (2002 г.)- С.Г. Валюхов.</w:t>
      </w:r>
    </w:p>
    <w:p w14:paraId="1415BB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Директор опытного завода (1977 г.)- Г.В. Костин,77 экспериментального завода (2002 г.)- В.И. Пригожин. Директор НПК «ЖРД» (2002 г.)- А.В. Шостак. Директор завода РД (2002 г.)- А.И. Фещенко. Создано: ЖРД: ускорители Д-154, РД-0101 для Е-50А (1954), РД-0102 (Д1, СК1, 1954-58) для Як-27; Д-7 для К-7, для ЗУР "Даль", Р01-154 для ЗУР «400» (1956), РД-0200 для ЗУР 5В11 (1957-60), РД-0201 для ЗУР 1100В (1957-60); РД-0105 для РН «Луна», РД-0106 для БР Р-9А, РД-0107 и РД-0108 для РН «Молния» и «Восход», РД-0109 для РН «Восток», РД-0110 для РН «Союз», РД-0120 для РН «Энергия», РД-0124 для РН «Союз-2», РД-0126 для разгонных блоков, РД-0132М, РД-0134, РД-0142, РД-0143, РД-0144, РД-0146, РД-0148, РД-0149, РД-0203, РД-0204, РД-0205 и РД-0206 для БР УР-200, РД-0208, РД-0209, РД-0210, РД-0211 и РД-0212 для РН «Протон», РД-0216 и РД-0217 для БР РС-10, РД-0221 для РН Н-1, РД-0225 для КК «Алмаз», РД-0228 и РД-0229 для РС-20, РД-0230, РД-0231 для КР «Гранит», РД-0233, РД-0234, РД-0235, РД-0236 и РД-0237 для РС-18, РД-0242 для УР морского базирования, РД-0243 для РСМ-54, РД-0244, РД-0245, РД-0255 и РД-0256 для РС-20, РД-0257;50 11Д58МФД для РН «Полет»; ЯРД РД-0410; ГДЛ РД-0600. </w:t>
      </w:r>
    </w:p>
    <w:p w14:paraId="20CFB6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ОКБ-154-2 МАП, ОКБ-2 завода № 154 МАП </w:t>
      </w:r>
    </w:p>
    <w:p w14:paraId="5B905D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Воронеж</w:t>
      </w:r>
    </w:p>
    <w:p w14:paraId="4C6ED2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1947 г. на заводе № 154 вновь образовалось ОКБ-2 (ОКБ-154-2, далее- ОКБ-154) в системе 8ГУ. </w:t>
      </w:r>
    </w:p>
    <w:p w14:paraId="527E83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агрегатам топливопитания ГТД, по ЖРД для авиации и РКТ. В 1947 г. разработан двухконтурный ВРД ТР-40. ОКБ ликвидировано в с 1.07.1948 г., личный состав передан заводу № 154.</w:t>
      </w:r>
    </w:p>
    <w:p w14:paraId="5A7AAE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(1947-48 г.)- С.А. Аксютин (ранее- гл. конструктор КБ Кировского завода).</w:t>
      </w:r>
    </w:p>
    <w:p w14:paraId="2F8C53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 завода № 154 МАП, ОКБ-154-2 ГКАТ, Воронежское Опытное конструкторское бюро моторостроения (ОКБМ), АООТ, ОАО «ОКБМ»</w:t>
      </w:r>
    </w:p>
    <w:p w14:paraId="357BA7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394086 г. Воронеж, ул. Ворошилова, 22 тел. 77-11-94</w:t>
      </w:r>
    </w:p>
    <w:p w14:paraId="63C55B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 образовалось в 1960 г. на базе серийного КБ завода № 154. Действовало как ОКБ-154-2. В 1963-66 г. оно было филиалом ЗМКБ «Прогресс» гл. конструктора А.Г. Ивченко, с 1966 г. снова стало самостоятельным. С 1991 г.- АООТ «ОКБМ». По Указу Президента РФ № 1009 от 4.08.2004 г. ОАО вошло в число стратегических оборонных предприятий.</w:t>
      </w:r>
    </w:p>
    <w:p w14:paraId="255F57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Разработаны модификации двигателя АИ-14: АИ-14ВФ, АИ-14РФ, АИ-14ЧР. После переключения ЗМКБ «Прогресс» на разработку ГТД ОКБМ самостоятельно продолжило развитие этого двигателя под названием М-14. Разработка звездообразных поршневых авиадвигателей, главных редукторов вертолетов, редукторов-шарниров для авиационно-космической техники. Принимало участие в программе создания ОК «Буран».</w:t>
      </w:r>
    </w:p>
    <w:p w14:paraId="559BAB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Гл. конструктор (1960-73 г.)- И.М. Веденеев. Ген. конструктор (1973-2002 г.-)- А.Г. Баканов. </w:t>
      </w:r>
    </w:p>
    <w:p w14:paraId="501E5B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Гендиректор (-1998-2002 г.-)- А.Г. Баканов.49 </w:t>
      </w:r>
    </w:p>
    <w:p w14:paraId="379769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Зам. Гендиректора (-2000-02 г.-)- А.И. Антоненков, (2002 г.)- М.А. Баканов, (2002 г.)- В.Д. Шерстюков.50 </w:t>
      </w:r>
    </w:p>
    <w:p w14:paraId="46AC7A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Зам. Ген. Конструктора (2000 г.)- В.Д. Шерстюков. </w:t>
      </w:r>
    </w:p>
    <w:p w14:paraId="61DE0B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Коммерческий директор (2002 г.)- В.А. Сысоев.69 </w:t>
      </w:r>
    </w:p>
    <w:p w14:paraId="1E76EF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Создано: ПД: М-14П, М-16, М-17, М-18; (2002): М3, М25, М29, М20, М28, М23; М22 9,5 л.с. для мотоблоков; ТВД-10; гл. редукторы: Р-26 (1969), ВР-126, ВР-226, ВР-60А, ВР-62, ВР-160, ХВР-600А; РШ: Р-40, Р-35 и Р-36 для «Бурана», РШ-38, РШ-39, РШ-41, РШ-43.</w:t>
      </w:r>
    </w:p>
    <w:p w14:paraId="53E1B2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ЗАО «ОКБМ-Тантал»</w:t>
      </w:r>
    </w:p>
    <w:p w14:paraId="147D26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2000 г.: ОКР «Инфратерм» по разработке системы бескамерного нагрева и сушки на основе инфракрасного излучения.</w:t>
      </w:r>
    </w:p>
    <w:p w14:paraId="202B0D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ФГУП «Турбонасос» </w:t>
      </w:r>
    </w:p>
    <w:p w14:paraId="2EB5D7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Воронеж</w:t>
      </w:r>
    </w:p>
    <w:p w14:paraId="111B8A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Дочернее предприятие (ДП) КБХА (2002 г.).</w:t>
      </w:r>
    </w:p>
    <w:p w14:paraId="689D2C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70C179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(2002 г.)- С.Г. Валюхов (10776).</w:t>
      </w:r>
    </w:p>
    <w:p w14:paraId="4960050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3AD1D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М. Пугаев писал Лешукову</w:t>
      </w:r>
    </w:p>
    <w:p w14:paraId="234B06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вопрос доложен Ворошилову … июня 1940 года. Ворошилов дал указание выяснить подробно состояние работ по пушке Таубина и дать ему справку.</w:t>
      </w:r>
    </w:p>
    <w:p w14:paraId="103873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пушке Шпитального Ворошилов считает необходимым выяснить ведутся ли работы по ее изготовлению. Если эти работы ведутся никаких особых мероприятий не требуется. Нужно обстоятельно поговорить с Сакриером (3375,21).</w:t>
      </w:r>
    </w:p>
    <w:p w14:paraId="60B83FA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6DC50E"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92D5B1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C0C53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КО принял постановление, гласившее: «ПТР 14,5 мм и боеприпасы к нему с вооружения снять и производство прекратить» (12093).</w:t>
      </w:r>
    </w:p>
    <w:p w14:paraId="4FE2AC8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60238B9" w14:textId="77777777" w:rsidR="007B5C5B" w:rsidRPr="00DB5D0D" w:rsidRDefault="007B5C5B"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26 июля 1940 г., КО принял постановление, гласившее: «ПТР 14,5 мм и боеприпасы к нему с вооружения снять и производство прекратить».</w:t>
      </w:r>
    </w:p>
    <w:p w14:paraId="5E46DE15" w14:textId="77777777" w:rsidR="007B5C5B" w:rsidRPr="00DB5D0D" w:rsidRDefault="007B5C5B"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Здесь уместно вернуться к расхожему мнению, что ПТРР сняли с вооружения из-за того, что оно, по мнению маршала Кулика, не способно пробить броню неких новых немецких танков. Действительно, Зам. наркома обороны по вооружению не раз заявлял об усилении бронирования танков. Например, на совещании хозяйственного актива НКВ в январе 1941 г. он сказал: «Враг изобрел втихомолку такую броню, которую не пробивала бронетанковая французская пушка.». Но заметьте, что ни в ходе разбирательства по письму Владимирова, ни в рекомендациях комиссии по повторным испытаниям не было ни слова о недостаточной бронепробиваемости ПТР. Более того, и снятое с вооружения ПТРР, и его конкурент ПТРВ продолжали активно дорабатываться, но не в направлении увеличения их бронепробиваемости. Полагаю, что демонизация роли Кулика в этом вопросе является одним из мифов, кочующих из издания в издание.</w:t>
      </w:r>
    </w:p>
    <w:p w14:paraId="5FC2B367" w14:textId="77777777" w:rsidR="007B5C5B" w:rsidRPr="00DB5D0D" w:rsidRDefault="007B5C5B"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Не совсем ясно, всю ли партию в 50 ПТР Рукавишникова успели сделать на заводе №2 в Коврове. По отчетам, отгружено ГАУ 14 штук, а патронным заводам №46 НКВ и №3 – соответственно два и одно ПТР. Всего 17 ПТРР и одно ПТРВ для испытаний. С завода №74 в Ижевске успели отгрузить в Ковров 1642 ствола для ПТРР, </w:t>
      </w:r>
      <w:r w:rsidRPr="00DB5D0D">
        <w:rPr>
          <w:rFonts w:ascii="Times New Roman" w:eastAsia="Times New Roman" w:hAnsi="Times New Roman"/>
          <w:color w:val="000000" w:themeColor="text1"/>
          <w:sz w:val="16"/>
          <w:szCs w:val="16"/>
          <w:lang w:eastAsia="ru-RU"/>
        </w:rPr>
        <w:lastRenderedPageBreak/>
        <w:t>а на заводе №46 в Кунцево выпустили 600 тыс, 14,5-мм патронов. Завод №3 в Ульяновске также принимал участие в производстве 14,5-мм патронов, но, вероятно, не успел наладить их серийный выпуск (17498).</w:t>
      </w:r>
    </w:p>
    <w:p w14:paraId="4B696636" w14:textId="77777777" w:rsidR="007B5C5B" w:rsidRPr="00DB5D0D" w:rsidRDefault="007B5C5B" w:rsidP="00DB5D0D">
      <w:pPr>
        <w:spacing w:after="0" w:line="240" w:lineRule="auto"/>
        <w:jc w:val="both"/>
        <w:rPr>
          <w:rFonts w:ascii="Times New Roman" w:eastAsia="Times New Roman" w:hAnsi="Times New Roman"/>
          <w:color w:val="000000" w:themeColor="text1"/>
          <w:sz w:val="16"/>
          <w:szCs w:val="16"/>
          <w:lang w:eastAsia="ru-RU"/>
        </w:rPr>
      </w:pPr>
    </w:p>
    <w:p w14:paraId="2582FFC2"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КО принял постановление, гласившее: «ПТР 14,5 мм и боеприпасы к нему с вооружения снять и производство прекратить».</w:t>
      </w:r>
    </w:p>
    <w:p w14:paraId="2D9A7CA9"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Расхожее мнение говорит, что ПТРР сняли с вооружения из-за того, что оно, по мнению маршала Кулика, не способно пробить броню неких новых немецких танков. Действительно, Зам. наркома обороны по вооружению не раз заявлял об усилении бронирования танков. Например, на совещании хозяйственного актива НКВ в январе 1941 г. он сказал: «Враг изобрел втихомолку такую броню, которую не пробивала бронетанковая французская пушка». Но ни в ходе разбирательства по письму Владимирова, ни в рекомендациях комиссии по повторным испытаниям не было ни слова о недостаточной бронепробиваемости ПТР. Более того, и снятое с вооружения ПТРР, и его конкурент ПТРВ продолжали активно дорабатываться, но не в направлении увеличения их бронепробиваемости. Полагаю, что демонизация роли Кулика в этом вопросе является одним из мифов, кочующих из издания в издание.</w:t>
      </w:r>
    </w:p>
    <w:p w14:paraId="1AAD284D"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совсем ясно, всю ли партию в 50 ПТР Рукавишникова успели сделать на заводе №2 в Коврове. По отчетам, отгружено ГАУ 14 штук, а патронным заводам №46 НКВ и №3 — соответственно два и одно ПТР. Всего 17 ПТРР и одно ПТРВ для испытаний. С завода №74 в Ижевске успели отгрузить в Ковров 1642 ствола для ПТРР, а на заводе №46 в Кунцево выпустили 600 тыс. 14,5-мм патронов. Завод №3 в Ульяновске также принимал участие в производстве 14,5-мм патронов, но, вероятно, не успел наладить их серийный выпуск.</w:t>
      </w:r>
    </w:p>
    <w:p w14:paraId="7FEFE1B1"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Продолжалась доработка имеющихся ПТР и разработка новых. Например, в плане опытных работ ОКБ-15 на 1941 г. было предусмотрено 14,5-мм ПТР со сроком сдачи в июле. За счет госбюджета на это выделялось 250 тыс. руб. На заводе №74 в 1940 г. разработали 14,5-мм ружье БаС-2 главного конструктора завода Бачина и Светличного (рис. 8). Его автоматика работала за счет энергии пороховых газов, отводимых через специальное отверстие в канале ствола. Запирание производилось посредством перекоса затвора вниз. Уделялось внимание и боеприпасам. Так, оценке подвергся 7,92-мм патрон от трофейного польского ПТР (18638).</w:t>
      </w:r>
    </w:p>
    <w:p w14:paraId="30B24DB2" w14:textId="77777777" w:rsidR="00BA770E" w:rsidRPr="00DB5D0D" w:rsidRDefault="00BA770E" w:rsidP="00DB5D0D">
      <w:pPr>
        <w:spacing w:after="0" w:line="240" w:lineRule="auto"/>
        <w:jc w:val="both"/>
        <w:rPr>
          <w:rFonts w:ascii="Times New Roman" w:hAnsi="Times New Roman"/>
          <w:color w:val="000000" w:themeColor="text1"/>
          <w:sz w:val="16"/>
          <w:szCs w:val="16"/>
        </w:rPr>
      </w:pPr>
    </w:p>
    <w:p w14:paraId="3BD3884B" w14:textId="77777777" w:rsidR="009C1666" w:rsidRPr="00DB5D0D" w:rsidRDefault="009C1666"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26 июля 1940 г. вышло </w:t>
      </w:r>
      <w:r w:rsidRPr="00DB5D0D">
        <w:rPr>
          <w:rFonts w:ascii="Times New Roman" w:hAnsi="Times New Roman"/>
          <w:color w:val="0070C0"/>
          <w:sz w:val="16"/>
          <w:szCs w:val="16"/>
          <w:shd w:val="clear" w:color="auto" w:fill="FFFFFF"/>
        </w:rPr>
        <w:t>Постановление Комитета обороны при СНК СССР № 332сс "О законсервировании производства 45-мм автоматических зенитных пушек и о снятии с вооружения противотанкового ружья калибра 14,5 мм" (21964).</w:t>
      </w:r>
    </w:p>
    <w:p w14:paraId="3D20751F" w14:textId="77777777" w:rsidR="009C1666" w:rsidRPr="00DB5D0D" w:rsidRDefault="009C1666" w:rsidP="00DB5D0D">
      <w:pPr>
        <w:spacing w:after="0" w:line="240" w:lineRule="auto"/>
        <w:jc w:val="both"/>
        <w:rPr>
          <w:rFonts w:ascii="Times New Roman" w:hAnsi="Times New Roman"/>
          <w:color w:val="0070C0"/>
          <w:sz w:val="16"/>
          <w:szCs w:val="16"/>
        </w:rPr>
      </w:pPr>
    </w:p>
    <w:p w14:paraId="435B6C06"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w:t>
      </w:r>
    </w:p>
    <w:p w14:paraId="254BEB29"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6C895A96"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Экз. № 1 </w:t>
      </w:r>
    </w:p>
    <w:p w14:paraId="6C650C66"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Июля 1940 г. </w:t>
      </w:r>
    </w:p>
    <w:p w14:paraId="7B999212"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378с </w:t>
      </w:r>
    </w:p>
    <w:p w14:paraId="4D85C7D5"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4 ОТДЕЛА АБТУ КА</w:t>
      </w:r>
    </w:p>
    <w:p w14:paraId="205003A2"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ВО*ЕНИНЖЕНЕРУ 1 РАНГА т. АЛЫМОВУ</w:t>
      </w:r>
    </w:p>
    <w:p w14:paraId="38A81BBE"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сем препровождаю перечень конструктивных изменений и доработок по машине Т-34 на 1940 г. с мнением Директора завода, на Ваше решение и рассмотрение при заключении договора. </w:t>
      </w:r>
    </w:p>
    <w:p w14:paraId="243D2337"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вопросу установки РНН на все машины с № 1, защиты РУН-10, установки рации в носу машины с № 11, установки запасного пулемета и защиты троса спидометра от повреждения педали горного тормоза. Прошу Ваших срочных указаний. Машины без этих доделок не принимаю. </w:t>
      </w:r>
    </w:p>
    <w:p w14:paraId="587CAAA1"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ПРИЛОЖЕНИЕ: Перечень на 3-х листах. </w:t>
      </w:r>
    </w:p>
    <w:p w14:paraId="41AABE6D"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РАЙОННОГО ИНЖЕНЕРА АБТУ КА КАПИТАН подпись (РУСАКОВ)</w:t>
      </w:r>
    </w:p>
    <w:p w14:paraId="4E583091"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Отпечатано 2 экз. </w:t>
      </w:r>
    </w:p>
    <w:p w14:paraId="284C03C4"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документе помета: «Все конструктивные изменения рассматривались при заключении доп. соглашения с заводом 183. 5.Х.40 подпись А.Ф. Агрикова» </w:t>
      </w:r>
    </w:p>
    <w:p w14:paraId="07394EEC"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РГВА Фонд 31811 Опись 2 Дело 1022 лист 94 – 95 </w:t>
      </w:r>
    </w:p>
    <w:p w14:paraId="3C95699C"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4B015026"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w:t>
      </w:r>
    </w:p>
    <w:p w14:paraId="0C6CB0C7"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КОНСТРУКТИВНЫХ ИЗМЕНЕНИЙ И ДОРАБОТОК ПО МАШИНЕ Т-34,</w:t>
      </w:r>
    </w:p>
    <w:p w14:paraId="40C67625"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ПОДЛЕЖАЩИХ ВВЕДЕНИЮ В СЕРИЙНОЕ ПРОИЗВОДСТВО В 1940 г. </w:t>
      </w:r>
    </w:p>
    <w:p w14:paraId="18AF3798"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РАЙОННОГО ИНЖЕНЕРА АБТУ КА КАПИТАН подпись (РУСАКОВ)</w:t>
      </w:r>
    </w:p>
    <w:p w14:paraId="14F48702"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 ГЛ. КОНСТРУКТОР ЗАВОДА МОРОЗОВ</w:t>
      </w:r>
    </w:p>
    <w:p w14:paraId="03EC0177"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СОГЛАСЕН: МАКСАРЕВ.</w:t>
      </w:r>
    </w:p>
    <w:p w14:paraId="1000EC61"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Верно: Секретарь подпись</w:t>
      </w:r>
    </w:p>
    <w:p w14:paraId="0E78F6EB"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Фонд 31811 Опись 2 Дело 1022 лист 93 (16154).</w:t>
      </w:r>
    </w:p>
    <w:p w14:paraId="51A55941" w14:textId="77777777" w:rsidR="00BA770E" w:rsidRPr="00DB5D0D" w:rsidRDefault="00BA770E" w:rsidP="00DB5D0D">
      <w:pPr>
        <w:spacing w:after="0" w:line="240" w:lineRule="auto"/>
        <w:jc w:val="both"/>
        <w:rPr>
          <w:rFonts w:ascii="Times New Roman" w:hAnsi="Times New Roman"/>
          <w:color w:val="000000" w:themeColor="text1"/>
          <w:sz w:val="16"/>
          <w:szCs w:val="16"/>
        </w:rPr>
      </w:pPr>
    </w:p>
    <w:p w14:paraId="4F5E022E"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Директор завода № 183 Ю.Е. Максарев в </w:t>
      </w:r>
      <w:hyperlink r:id="rId232" w:tgtFrame="_blank" w:history="1">
        <w:r w:rsidRPr="00DB5D0D">
          <w:rPr>
            <w:rStyle w:val="a5"/>
            <w:rFonts w:ascii="Times New Roman" w:hAnsi="Times New Roman"/>
            <w:color w:val="000000" w:themeColor="text1"/>
            <w:sz w:val="16"/>
            <w:szCs w:val="16"/>
          </w:rPr>
          <w:t>письме № СО3866</w:t>
        </w:r>
      </w:hyperlink>
      <w:r w:rsidRPr="00DB5D0D">
        <w:rPr>
          <w:rFonts w:ascii="Times New Roman" w:hAnsi="Times New Roman"/>
          <w:color w:val="000000" w:themeColor="text1"/>
          <w:sz w:val="16"/>
          <w:szCs w:val="16"/>
        </w:rPr>
        <w:t> обращаясь к начальнику ГАБТУ КА Я.Н. Федоренко, так мотивировал эту просьбу: </w:t>
      </w:r>
    </w:p>
    <w:p w14:paraId="64868A4E"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испытания новой установки рации в корпусе прошу разрешить машины сдавать с установкой 71-ТК-3 в нише башни, т.к. непроверенную в работе установку рации в корпусе мы никак не можем рекомендовать для серийного производства и гарантировать удовлетворительную ее работу в танке до всестороннего испытания мы не можем».</w:t>
      </w:r>
    </w:p>
    <w:p w14:paraId="1874CC3F"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31811. Оп. 2. Д. 1181. Л. 172] (18160).</w:t>
      </w:r>
    </w:p>
    <w:p w14:paraId="53CC54AB" w14:textId="77777777" w:rsidR="00BA770E" w:rsidRPr="00DB5D0D" w:rsidRDefault="00BA770E" w:rsidP="00DB5D0D">
      <w:pPr>
        <w:spacing w:after="0" w:line="240" w:lineRule="auto"/>
        <w:jc w:val="both"/>
        <w:rPr>
          <w:rFonts w:ascii="Times New Roman" w:hAnsi="Times New Roman"/>
          <w:color w:val="000000" w:themeColor="text1"/>
          <w:sz w:val="16"/>
          <w:szCs w:val="16"/>
        </w:rPr>
      </w:pPr>
    </w:p>
    <w:p w14:paraId="60D8FE68" w14:textId="77777777" w:rsidR="003C7E8B" w:rsidRPr="00DB5D0D" w:rsidRDefault="003C7E8B" w:rsidP="00DB5D0D">
      <w:pPr>
        <w:pStyle w:val="a3"/>
        <w:rPr>
          <w:color w:val="000000" w:themeColor="text1"/>
          <w:lang w:val="ru-RU"/>
        </w:rPr>
      </w:pPr>
      <w:r w:rsidRPr="00DB5D0D">
        <w:rPr>
          <w:color w:val="000000" w:themeColor="text1"/>
          <w:lang w:val="ru-RU"/>
        </w:rPr>
        <w:t>26 июля 1940 г. технологические процессы производства литых башен и узлов были одобрены Коми</w:t>
      </w:r>
      <w:r w:rsidRPr="00DB5D0D">
        <w:rPr>
          <w:color w:val="000000" w:themeColor="text1"/>
          <w:lang w:val="ru-RU"/>
        </w:rPr>
        <w:softHyphen/>
        <w:t>тетом обороны СССР (11892).</w:t>
      </w:r>
    </w:p>
    <w:p w14:paraId="7FA4D742" w14:textId="77777777" w:rsidR="003C7E8B" w:rsidRPr="00DB5D0D" w:rsidRDefault="003C7E8B" w:rsidP="00DB5D0D">
      <w:pPr>
        <w:pStyle w:val="412"/>
        <w:shd w:val="clear" w:color="auto" w:fill="auto"/>
        <w:spacing w:line="240" w:lineRule="auto"/>
        <w:ind w:firstLine="0"/>
        <w:jc w:val="both"/>
        <w:rPr>
          <w:rFonts w:ascii="Times New Roman" w:hAnsi="Times New Roman" w:cs="Times New Roman"/>
          <w:b w:val="0"/>
          <w:bCs w:val="0"/>
          <w:noProof w:val="0"/>
          <w:color w:val="000000" w:themeColor="text1"/>
          <w:sz w:val="16"/>
          <w:szCs w:val="16"/>
          <w:lang w:val="ru-RU"/>
        </w:rPr>
      </w:pPr>
    </w:p>
    <w:p w14:paraId="71E30C5D"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26-27 июля 1940 результаты изменений Л-11 предстояло оценить на государ</w:t>
      </w:r>
      <w:r w:rsidRPr="00DB5D0D">
        <w:rPr>
          <w:rFonts w:ascii="Times New Roman" w:cs="Times New Roman"/>
          <w:color w:val="000000" w:themeColor="text1"/>
          <w:spacing w:val="0"/>
          <w:sz w:val="16"/>
          <w:szCs w:val="16"/>
        </w:rPr>
        <w:softHyphen/>
        <w:t>ственных испытаниях, состоявшихся на АНИОПе. На ис</w:t>
      </w:r>
      <w:r w:rsidRPr="00DB5D0D">
        <w:rPr>
          <w:rFonts w:ascii="Times New Roman" w:cs="Times New Roman"/>
          <w:color w:val="000000" w:themeColor="text1"/>
          <w:spacing w:val="0"/>
          <w:sz w:val="16"/>
          <w:szCs w:val="16"/>
        </w:rPr>
        <w:softHyphen/>
        <w:t xml:space="preserve">пытания были представлены пять доработанных пушек </w:t>
      </w:r>
      <w:r w:rsidRPr="00DB5D0D">
        <w:rPr>
          <w:rStyle w:val="31pt"/>
          <w:rFonts w:ascii="Times New Roman" w:hAnsi="Times New Roman" w:cs="Times New Roman"/>
          <w:color w:val="000000" w:themeColor="text1"/>
          <w:spacing w:val="0"/>
          <w:sz w:val="16"/>
          <w:szCs w:val="16"/>
        </w:rPr>
        <w:t>Л -11,</w:t>
      </w:r>
      <w:r w:rsidRPr="00DB5D0D">
        <w:rPr>
          <w:rFonts w:ascii="Times New Roman" w:cs="Times New Roman"/>
          <w:color w:val="000000" w:themeColor="text1"/>
          <w:spacing w:val="0"/>
          <w:sz w:val="16"/>
          <w:szCs w:val="16"/>
        </w:rPr>
        <w:t xml:space="preserve"> три из которых установили в танках Т-28, а две - в КВ. Проведение испыта</w:t>
      </w:r>
      <w:r w:rsidRPr="00DB5D0D">
        <w:rPr>
          <w:rFonts w:ascii="Times New Roman" w:cs="Times New Roman"/>
          <w:color w:val="000000" w:themeColor="text1"/>
          <w:spacing w:val="0"/>
          <w:sz w:val="16"/>
          <w:szCs w:val="16"/>
        </w:rPr>
        <w:softHyphen/>
        <w:t>ний было поручено комиссии под председательством генерал-пол</w:t>
      </w:r>
      <w:r w:rsidRPr="00DB5D0D">
        <w:rPr>
          <w:rFonts w:ascii="Times New Roman" w:cs="Times New Roman"/>
          <w:color w:val="000000" w:themeColor="text1"/>
          <w:spacing w:val="0"/>
          <w:sz w:val="16"/>
          <w:szCs w:val="16"/>
        </w:rPr>
        <w:softHyphen/>
        <w:t>ковника артиллерии В.Д. Грендаля. В ее состав вошли представите</w:t>
      </w:r>
      <w:r w:rsidRPr="00DB5D0D">
        <w:rPr>
          <w:rFonts w:ascii="Times New Roman" w:cs="Times New Roman"/>
          <w:color w:val="000000" w:themeColor="text1"/>
          <w:spacing w:val="0"/>
          <w:sz w:val="16"/>
          <w:szCs w:val="16"/>
        </w:rPr>
        <w:softHyphen/>
        <w:t>ли ГАУ и ГАБТУ, а также директор Кировского завода И.М. Зальцман и начальник СКБ-4 военинженер 2 ранга П.Ф. Федоров.</w:t>
      </w:r>
    </w:p>
    <w:p w14:paraId="2E5E42B3"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Испытания проводились в соответствии с утвержденной про</w:t>
      </w:r>
      <w:r w:rsidRPr="00DB5D0D">
        <w:rPr>
          <w:rFonts w:ascii="Times New Roman" w:cs="Times New Roman"/>
          <w:color w:val="000000" w:themeColor="text1"/>
          <w:spacing w:val="0"/>
          <w:sz w:val="16"/>
          <w:szCs w:val="16"/>
        </w:rPr>
        <w:softHyphen/>
        <w:t>граммой и включали, в том числе, стрельбу усиленными заряда</w:t>
      </w:r>
      <w:r w:rsidRPr="00DB5D0D">
        <w:rPr>
          <w:rFonts w:ascii="Times New Roman" w:cs="Times New Roman"/>
          <w:color w:val="000000" w:themeColor="text1"/>
          <w:spacing w:val="0"/>
          <w:sz w:val="16"/>
          <w:szCs w:val="16"/>
        </w:rPr>
        <w:softHyphen/>
        <w:t>ми под углами возвышения от -20° до +25° и стрельбу на кучность боя. Ниже приведем результаты испытаний и сделанные на их основании выводы.</w:t>
      </w:r>
    </w:p>
    <w:p w14:paraId="71318AB1" w14:textId="77777777" w:rsidR="003C7E8B" w:rsidRPr="00DB5D0D" w:rsidRDefault="003C7E8B" w:rsidP="00DB5D0D">
      <w:pPr>
        <w:pStyle w:val="a3"/>
        <w:tabs>
          <w:tab w:val="left" w:pos="642"/>
        </w:tabs>
        <w:rPr>
          <w:color w:val="000000" w:themeColor="text1"/>
          <w:lang w:val="ru-RU"/>
        </w:rPr>
      </w:pPr>
      <w:r w:rsidRPr="00DB5D0D">
        <w:rPr>
          <w:color w:val="000000" w:themeColor="text1"/>
          <w:lang w:val="ru-RU"/>
        </w:rPr>
        <w:t xml:space="preserve">1. </w:t>
      </w:r>
      <w:r w:rsidRPr="00DB5D0D">
        <w:rPr>
          <w:color w:val="000000" w:themeColor="text1"/>
          <w:u w:val="single"/>
          <w:lang w:val="ru-RU"/>
        </w:rPr>
        <w:t xml:space="preserve">По системе № 1 (в </w:t>
      </w:r>
      <w:r w:rsidRPr="00DB5D0D">
        <w:rPr>
          <w:color w:val="000000" w:themeColor="text1"/>
          <w:u w:val="single"/>
        </w:rPr>
        <w:t>KB</w:t>
      </w:r>
      <w:r w:rsidRPr="00DB5D0D">
        <w:rPr>
          <w:color w:val="000000" w:themeColor="text1"/>
          <w:u w:val="single"/>
          <w:lang w:val="ru-RU"/>
        </w:rPr>
        <w:t>).</w:t>
      </w:r>
    </w:p>
    <w:p w14:paraId="14A294F3" w14:textId="77777777" w:rsidR="003C7E8B" w:rsidRPr="00DB5D0D" w:rsidRDefault="003C7E8B" w:rsidP="00DB5D0D">
      <w:pPr>
        <w:pStyle w:val="a3"/>
        <w:rPr>
          <w:color w:val="000000" w:themeColor="text1"/>
          <w:lang w:val="ru-RU"/>
        </w:rPr>
      </w:pPr>
      <w:r w:rsidRPr="00DB5D0D">
        <w:rPr>
          <w:color w:val="000000" w:themeColor="text1"/>
          <w:lang w:val="ru-RU"/>
        </w:rPr>
        <w:t>Система № 1 выдержала всего 445 выстрелов. Задержек в рабо</w:t>
      </w:r>
      <w:r w:rsidRPr="00DB5D0D">
        <w:rPr>
          <w:color w:val="000000" w:themeColor="text1"/>
          <w:lang w:val="ru-RU"/>
        </w:rPr>
        <w:softHyphen/>
        <w:t>те полуавтоматики за все время испытаний не было. Течи и падения давления в противооткатных устройствах в процессе стрельбы не было. Длины отката за все время стрельб под углами возвышения от -20°до +25° колебались в пределах 315-440 мм (в начале стрельбы при 0° откаты были порядка 390-400 мм). По характеру откатов си</w:t>
      </w:r>
      <w:r w:rsidRPr="00DB5D0D">
        <w:rPr>
          <w:color w:val="000000" w:themeColor="text1"/>
          <w:lang w:val="ru-RU"/>
        </w:rPr>
        <w:softHyphen/>
        <w:t>стема работала нормально. После 445 выстрелов, произведенных в один день за 8 часов 45 минут сгорели воротники поршня и жид</w:t>
      </w:r>
      <w:r w:rsidRPr="00DB5D0D">
        <w:rPr>
          <w:color w:val="000000" w:themeColor="text1"/>
          <w:lang w:val="ru-RU"/>
        </w:rPr>
        <w:softHyphen/>
        <w:t>кость прорвалась через переднюю часть цилиндра тормоза наружу. Таким образом намеченную для системы программу — сделать 580 выстрелов в один день с перерывами между сериями, система не выполнила вследствие того, что сварились воротники поршня.</w:t>
      </w:r>
    </w:p>
    <w:p w14:paraId="3C38F071" w14:textId="77777777" w:rsidR="003C7E8B" w:rsidRPr="00DB5D0D" w:rsidRDefault="003C7E8B" w:rsidP="00DB5D0D">
      <w:pPr>
        <w:pStyle w:val="a3"/>
        <w:tabs>
          <w:tab w:val="left" w:pos="699"/>
        </w:tabs>
        <w:rPr>
          <w:color w:val="000000" w:themeColor="text1"/>
          <w:lang w:val="ru-RU"/>
        </w:rPr>
      </w:pPr>
      <w:r w:rsidRPr="00DB5D0D">
        <w:rPr>
          <w:color w:val="000000" w:themeColor="text1"/>
          <w:lang w:val="ru-RU"/>
        </w:rPr>
        <w:t xml:space="preserve">2. </w:t>
      </w:r>
      <w:r w:rsidRPr="00DB5D0D">
        <w:rPr>
          <w:color w:val="000000" w:themeColor="text1"/>
          <w:u w:val="single"/>
          <w:lang w:val="ru-RU"/>
        </w:rPr>
        <w:t xml:space="preserve">По системе №2 (в </w:t>
      </w:r>
      <w:r w:rsidRPr="00DB5D0D">
        <w:rPr>
          <w:color w:val="000000" w:themeColor="text1"/>
          <w:u w:val="single"/>
        </w:rPr>
        <w:t>KB</w:t>
      </w:r>
      <w:r w:rsidRPr="00DB5D0D">
        <w:rPr>
          <w:color w:val="000000" w:themeColor="text1"/>
          <w:u w:val="single"/>
          <w:lang w:val="ru-RU"/>
        </w:rPr>
        <w:t>).</w:t>
      </w:r>
    </w:p>
    <w:p w14:paraId="6F6CE16F" w14:textId="77777777" w:rsidR="003C7E8B" w:rsidRPr="00DB5D0D" w:rsidRDefault="003C7E8B" w:rsidP="00DB5D0D">
      <w:pPr>
        <w:pStyle w:val="a3"/>
        <w:rPr>
          <w:color w:val="000000" w:themeColor="text1"/>
          <w:lang w:val="ru-RU"/>
        </w:rPr>
      </w:pPr>
      <w:r w:rsidRPr="00DB5D0D">
        <w:rPr>
          <w:color w:val="000000" w:themeColor="text1"/>
          <w:lang w:val="ru-RU"/>
        </w:rPr>
        <w:t>Система №2 сделала всего за 26/</w:t>
      </w:r>
      <w:r w:rsidRPr="00DB5D0D">
        <w:rPr>
          <w:color w:val="000000" w:themeColor="text1"/>
        </w:rPr>
        <w:t>V</w:t>
      </w:r>
      <w:r w:rsidRPr="00DB5D0D">
        <w:rPr>
          <w:color w:val="000000" w:themeColor="text1"/>
          <w:lang w:val="ru-RU"/>
        </w:rPr>
        <w:t>1</w:t>
      </w:r>
      <w:r w:rsidRPr="00DB5D0D">
        <w:rPr>
          <w:color w:val="000000" w:themeColor="text1"/>
        </w:rPr>
        <w:t>I</w:t>
      </w:r>
      <w:r w:rsidRPr="00DB5D0D">
        <w:rPr>
          <w:color w:val="000000" w:themeColor="text1"/>
          <w:lang w:val="ru-RU"/>
        </w:rPr>
        <w:t>-40 г. 101 выстрел и за 27/</w:t>
      </w:r>
      <w:r w:rsidRPr="00DB5D0D">
        <w:rPr>
          <w:color w:val="000000" w:themeColor="text1"/>
        </w:rPr>
        <w:t>VII</w:t>
      </w:r>
      <w:r w:rsidRPr="00DB5D0D">
        <w:rPr>
          <w:color w:val="000000" w:themeColor="text1"/>
          <w:lang w:val="ru-RU"/>
        </w:rPr>
        <w:t>- 40 г. 223 выстрела. Выполнить намеченную для системы программу не представлялось возможным вследствие систематических отказов в работе затвора. Задержки в работе затвора вызывались надиром металла на рейках и в гнездах казенника. По работе полуавтоматики система испытаний не выдержала. Течи и падения давления не было. Вынос жидкости составляет 0,260литра. Длины откатов за все время стрельб колебались в пределах350-470мм. (в начале стрельбы отка</w:t>
      </w:r>
      <w:r w:rsidRPr="00DB5D0D">
        <w:rPr>
          <w:color w:val="000000" w:themeColor="text1"/>
          <w:lang w:val="ru-RU"/>
        </w:rPr>
        <w:softHyphen/>
        <w:t>ты были порядка 360-365 мм). Система сделала 223 выстрела за 8 часов 20 минут. Состояние воротничков удовлетворительное. По противооткатным устройствам система работала нормально.</w:t>
      </w:r>
    </w:p>
    <w:p w14:paraId="3F115CFB" w14:textId="77777777" w:rsidR="003C7E8B" w:rsidRPr="00DB5D0D" w:rsidRDefault="003C7E8B" w:rsidP="00DB5D0D">
      <w:pPr>
        <w:pStyle w:val="a3"/>
        <w:tabs>
          <w:tab w:val="left" w:pos="757"/>
        </w:tabs>
        <w:rPr>
          <w:color w:val="000000" w:themeColor="text1"/>
          <w:lang w:val="ru-RU"/>
        </w:rPr>
      </w:pPr>
      <w:r w:rsidRPr="00DB5D0D">
        <w:rPr>
          <w:color w:val="000000" w:themeColor="text1"/>
          <w:lang w:val="ru-RU"/>
        </w:rPr>
        <w:t xml:space="preserve">3. </w:t>
      </w:r>
      <w:r w:rsidRPr="00DB5D0D">
        <w:rPr>
          <w:color w:val="000000" w:themeColor="text1"/>
          <w:u w:val="single"/>
          <w:lang w:val="ru-RU"/>
        </w:rPr>
        <w:t>По системе №3.</w:t>
      </w:r>
    </w:p>
    <w:p w14:paraId="1828D431" w14:textId="77777777" w:rsidR="003C7E8B" w:rsidRPr="00DB5D0D" w:rsidRDefault="003C7E8B" w:rsidP="00DB5D0D">
      <w:pPr>
        <w:pStyle w:val="a3"/>
        <w:rPr>
          <w:color w:val="000000" w:themeColor="text1"/>
          <w:lang w:val="ru-RU"/>
        </w:rPr>
      </w:pPr>
      <w:r w:rsidRPr="00DB5D0D">
        <w:rPr>
          <w:color w:val="000000" w:themeColor="text1"/>
          <w:lang w:val="ru-RU"/>
        </w:rPr>
        <w:t>Система №3 намеченную программу выполнила. В первый день было произведено 290 выстрелов, а на второй день 140 выстрелов.</w:t>
      </w:r>
    </w:p>
    <w:p w14:paraId="71610875" w14:textId="77777777" w:rsidR="003C7E8B" w:rsidRPr="00DB5D0D" w:rsidRDefault="003C7E8B" w:rsidP="00DB5D0D">
      <w:pPr>
        <w:pStyle w:val="a3"/>
        <w:rPr>
          <w:color w:val="000000" w:themeColor="text1"/>
          <w:lang w:val="ru-RU"/>
        </w:rPr>
      </w:pPr>
      <w:r w:rsidRPr="00DB5D0D">
        <w:rPr>
          <w:color w:val="000000" w:themeColor="text1"/>
          <w:lang w:val="ru-RU"/>
        </w:rPr>
        <w:t>Длины откатов за все время стрельб колебались в пределах 315-425 мм (в начале стрельб при 0° длина отката была порядка 375 мм). Течи жидкости и падения давления не было. Вынос жидко</w:t>
      </w:r>
      <w:r w:rsidRPr="00DB5D0D">
        <w:rPr>
          <w:color w:val="000000" w:themeColor="text1"/>
          <w:lang w:val="ru-RU"/>
        </w:rPr>
        <w:softHyphen/>
        <w:t>сти за 430 выстрелов, произведенных из системы, составляет 0,125 литра. Воротники поршня и сальника после стрельбы стали более слабыми (первый приобрел некоторую хрупкость). По состоянию сальникового уплотнения система могла бы продолжать стрельбу (выстрелов 100-150). Полуавтоматика работала без отказов. Име</w:t>
      </w:r>
      <w:r w:rsidRPr="00DB5D0D">
        <w:rPr>
          <w:color w:val="000000" w:themeColor="text1"/>
          <w:lang w:val="ru-RU"/>
        </w:rPr>
        <w:softHyphen/>
        <w:t>ла место одна задержка ножного спуска.</w:t>
      </w:r>
    </w:p>
    <w:p w14:paraId="328E543C" w14:textId="77777777" w:rsidR="003C7E8B" w:rsidRPr="00DB5D0D" w:rsidRDefault="003C7E8B" w:rsidP="00DB5D0D">
      <w:pPr>
        <w:pStyle w:val="a3"/>
        <w:tabs>
          <w:tab w:val="left" w:pos="804"/>
        </w:tabs>
        <w:rPr>
          <w:color w:val="000000" w:themeColor="text1"/>
          <w:lang w:val="ru-RU"/>
        </w:rPr>
      </w:pPr>
      <w:r w:rsidRPr="00DB5D0D">
        <w:rPr>
          <w:color w:val="000000" w:themeColor="text1"/>
          <w:lang w:val="ru-RU"/>
        </w:rPr>
        <w:t xml:space="preserve">4. </w:t>
      </w:r>
      <w:r w:rsidRPr="00DB5D0D">
        <w:rPr>
          <w:color w:val="000000" w:themeColor="text1"/>
          <w:u w:val="single"/>
          <w:lang w:val="ru-RU"/>
        </w:rPr>
        <w:t>По системе № 4.</w:t>
      </w:r>
    </w:p>
    <w:p w14:paraId="194252A6" w14:textId="77777777" w:rsidR="003C7E8B" w:rsidRPr="00DB5D0D" w:rsidRDefault="003C7E8B" w:rsidP="00DB5D0D">
      <w:pPr>
        <w:pStyle w:val="a3"/>
        <w:rPr>
          <w:color w:val="000000" w:themeColor="text1"/>
          <w:lang w:val="ru-RU"/>
        </w:rPr>
      </w:pPr>
      <w:r w:rsidRPr="00DB5D0D">
        <w:rPr>
          <w:color w:val="000000" w:themeColor="text1"/>
          <w:lang w:val="ru-RU"/>
        </w:rPr>
        <w:t>Система произвела всего 99 выстрелов медленным темпом за 5 часов. Длины откатов за все время стрельб колебались в пределах 375-490 мм (под углом +5° длина отката была порядка 395-400 мм). За произведенные 99 выстрелов откат за «СТОП» повторялся 26раз. Течи и падения давления не было. Вынос жидкости составляет 0,120 литра. Состояние воротников удовлетворительное. Полуавто</w:t>
      </w:r>
      <w:r w:rsidRPr="00DB5D0D">
        <w:rPr>
          <w:color w:val="000000" w:themeColor="text1"/>
          <w:lang w:val="ru-RU"/>
        </w:rPr>
        <w:softHyphen/>
        <w:t>матика работала исправно. По работе противооткатных устройств система испытания не выдержала, вследствие длинных откатов.</w:t>
      </w:r>
    </w:p>
    <w:p w14:paraId="20695D68" w14:textId="77777777" w:rsidR="003C7E8B" w:rsidRPr="00DB5D0D" w:rsidRDefault="003C7E8B" w:rsidP="00DB5D0D">
      <w:pPr>
        <w:pStyle w:val="a3"/>
        <w:tabs>
          <w:tab w:val="left" w:pos="725"/>
        </w:tabs>
        <w:rPr>
          <w:color w:val="000000" w:themeColor="text1"/>
          <w:lang w:val="ru-RU"/>
        </w:rPr>
      </w:pPr>
      <w:r w:rsidRPr="00DB5D0D">
        <w:rPr>
          <w:color w:val="000000" w:themeColor="text1"/>
          <w:lang w:val="ru-RU"/>
        </w:rPr>
        <w:lastRenderedPageBreak/>
        <w:t xml:space="preserve">5. </w:t>
      </w:r>
      <w:r w:rsidRPr="00DB5D0D">
        <w:rPr>
          <w:color w:val="000000" w:themeColor="text1"/>
          <w:u w:val="single"/>
          <w:lang w:val="ru-RU"/>
        </w:rPr>
        <w:t>По системе №5.</w:t>
      </w:r>
    </w:p>
    <w:p w14:paraId="053133FB" w14:textId="77777777" w:rsidR="003C7E8B" w:rsidRPr="00DB5D0D" w:rsidRDefault="003C7E8B" w:rsidP="00DB5D0D">
      <w:pPr>
        <w:pStyle w:val="a3"/>
        <w:rPr>
          <w:color w:val="000000" w:themeColor="text1"/>
          <w:lang w:val="ru-RU"/>
        </w:rPr>
      </w:pPr>
      <w:r w:rsidRPr="00DB5D0D">
        <w:rPr>
          <w:color w:val="000000" w:themeColor="text1"/>
          <w:lang w:val="ru-RU"/>
        </w:rPr>
        <w:t>Из системы №5 произведено 72 выстрела, согласно програм</w:t>
      </w:r>
      <w:r w:rsidRPr="00DB5D0D">
        <w:rPr>
          <w:color w:val="000000" w:themeColor="text1"/>
          <w:lang w:val="ru-RU"/>
        </w:rPr>
        <w:softHyphen/>
        <w:t>мы, в течение 5 часов медленным темпом. Полуавтоматика работа</w:t>
      </w:r>
      <w:r w:rsidRPr="00DB5D0D">
        <w:rPr>
          <w:color w:val="000000" w:themeColor="text1"/>
          <w:lang w:val="ru-RU"/>
        </w:rPr>
        <w:softHyphen/>
        <w:t>ла исправно. Длина откатов колебалась в пределах375-475мм. Течи не было. Вынос жидкости составляет 0,120 литра. Воротники в удов</w:t>
      </w:r>
      <w:r w:rsidRPr="00DB5D0D">
        <w:rPr>
          <w:color w:val="000000" w:themeColor="text1"/>
          <w:lang w:val="ru-RU"/>
        </w:rPr>
        <w:softHyphen/>
        <w:t>летворительном состоянии. Система по программе испытания вы</w:t>
      </w:r>
      <w:r w:rsidRPr="00DB5D0D">
        <w:rPr>
          <w:color w:val="000000" w:themeColor="text1"/>
          <w:lang w:val="ru-RU"/>
        </w:rPr>
        <w:softHyphen/>
        <w:t>держала.</w:t>
      </w:r>
    </w:p>
    <w:p w14:paraId="4BA3C574" w14:textId="77777777" w:rsidR="003C7E8B" w:rsidRPr="00DB5D0D" w:rsidRDefault="003C7E8B" w:rsidP="00DB5D0D">
      <w:pPr>
        <w:pStyle w:val="a3"/>
        <w:rPr>
          <w:color w:val="000000" w:themeColor="text1"/>
          <w:lang w:val="ru-RU"/>
        </w:rPr>
      </w:pPr>
      <w:r w:rsidRPr="00DB5D0D">
        <w:rPr>
          <w:color w:val="000000" w:themeColor="text1"/>
          <w:u w:val="single"/>
        </w:rPr>
        <w:t>VI</w:t>
      </w:r>
      <w:r w:rsidRPr="00DB5D0D">
        <w:rPr>
          <w:color w:val="000000" w:themeColor="text1"/>
          <w:u w:val="single"/>
          <w:lang w:val="ru-RU"/>
        </w:rPr>
        <w:t>. ВЫВОДЫ:</w:t>
      </w:r>
    </w:p>
    <w:p w14:paraId="64DABF7E" w14:textId="77777777" w:rsidR="003C7E8B" w:rsidRPr="00DB5D0D" w:rsidRDefault="003C7E8B" w:rsidP="00DB5D0D">
      <w:pPr>
        <w:pStyle w:val="a3"/>
        <w:tabs>
          <w:tab w:val="left" w:pos="766"/>
        </w:tabs>
        <w:rPr>
          <w:color w:val="000000" w:themeColor="text1"/>
          <w:lang w:val="ru-RU"/>
        </w:rPr>
      </w:pPr>
      <w:r w:rsidRPr="00DB5D0D">
        <w:rPr>
          <w:color w:val="000000" w:themeColor="text1"/>
          <w:lang w:val="ru-RU"/>
        </w:rPr>
        <w:t>1. Произведенными Кировским заводом доделками противоот</w:t>
      </w:r>
      <w:r w:rsidRPr="00DB5D0D">
        <w:rPr>
          <w:color w:val="000000" w:themeColor="text1"/>
          <w:lang w:val="ru-RU"/>
        </w:rPr>
        <w:softHyphen/>
        <w:t xml:space="preserve">катных устройств пушки </w:t>
      </w:r>
      <w:r w:rsidRPr="00DB5D0D">
        <w:rPr>
          <w:rStyle w:val="1pt"/>
          <w:rFonts w:ascii="Times New Roman" w:cs="Times New Roman"/>
          <w:iCs/>
          <w:color w:val="000000" w:themeColor="text1"/>
          <w:spacing w:val="0"/>
          <w:sz w:val="16"/>
          <w:szCs w:val="16"/>
          <w:lang w:val="ru-RU"/>
        </w:rPr>
        <w:t>Л-11</w:t>
      </w:r>
      <w:r w:rsidRPr="00DB5D0D">
        <w:rPr>
          <w:color w:val="000000" w:themeColor="text1"/>
          <w:lang w:val="ru-RU"/>
        </w:rPr>
        <w:t xml:space="preserve"> достигнуто следующее:</w:t>
      </w:r>
    </w:p>
    <w:p w14:paraId="36F12223" w14:textId="77777777" w:rsidR="003C7E8B" w:rsidRPr="00DB5D0D" w:rsidRDefault="003C7E8B" w:rsidP="00DB5D0D">
      <w:pPr>
        <w:pStyle w:val="a3"/>
        <w:tabs>
          <w:tab w:val="left" w:pos="739"/>
        </w:tabs>
        <w:rPr>
          <w:color w:val="000000" w:themeColor="text1"/>
          <w:lang w:val="ru-RU"/>
        </w:rPr>
      </w:pPr>
      <w:r w:rsidRPr="00DB5D0D">
        <w:rPr>
          <w:color w:val="000000" w:themeColor="text1"/>
          <w:lang w:val="ru-RU"/>
        </w:rPr>
        <w:t>а) ликвидирована течь жидкости из компрессора;</w:t>
      </w:r>
    </w:p>
    <w:p w14:paraId="5BB758A1" w14:textId="77777777" w:rsidR="003C7E8B" w:rsidRPr="00DB5D0D" w:rsidRDefault="003C7E8B" w:rsidP="00DB5D0D">
      <w:pPr>
        <w:pStyle w:val="a3"/>
        <w:tabs>
          <w:tab w:val="left" w:pos="730"/>
        </w:tabs>
        <w:rPr>
          <w:color w:val="000000" w:themeColor="text1"/>
          <w:lang w:val="ru-RU"/>
        </w:rPr>
      </w:pPr>
      <w:r w:rsidRPr="00DB5D0D">
        <w:rPr>
          <w:color w:val="000000" w:themeColor="text1"/>
          <w:lang w:val="ru-RU"/>
        </w:rPr>
        <w:t>б) достигнуто более закономерное изменение длин отката. Тем самым в основном выполнены указания Правительственной комис</w:t>
      </w:r>
      <w:r w:rsidRPr="00DB5D0D">
        <w:rPr>
          <w:color w:val="000000" w:themeColor="text1"/>
          <w:lang w:val="ru-RU"/>
        </w:rPr>
        <w:softHyphen/>
        <w:t>сии, изложенные в протоколе от 6/</w:t>
      </w:r>
      <w:r w:rsidRPr="00DB5D0D">
        <w:rPr>
          <w:color w:val="000000" w:themeColor="text1"/>
        </w:rPr>
        <w:t>VII</w:t>
      </w:r>
      <w:r w:rsidRPr="00DB5D0D">
        <w:rPr>
          <w:color w:val="000000" w:themeColor="text1"/>
          <w:lang w:val="ru-RU"/>
        </w:rPr>
        <w:t>-40 г.</w:t>
      </w:r>
    </w:p>
    <w:p w14:paraId="23CFF002" w14:textId="77777777" w:rsidR="003C7E8B" w:rsidRPr="00DB5D0D" w:rsidRDefault="003C7E8B" w:rsidP="00DB5D0D">
      <w:pPr>
        <w:pStyle w:val="a3"/>
        <w:tabs>
          <w:tab w:val="left" w:pos="758"/>
        </w:tabs>
        <w:rPr>
          <w:color w:val="000000" w:themeColor="text1"/>
          <w:lang w:val="ru-RU"/>
        </w:rPr>
      </w:pPr>
      <w:r w:rsidRPr="00DB5D0D">
        <w:rPr>
          <w:color w:val="000000" w:themeColor="text1"/>
          <w:lang w:val="ru-RU"/>
        </w:rPr>
        <w:t>2. Поставленными Т. Т. Т. от 20/</w:t>
      </w:r>
      <w:r w:rsidRPr="00DB5D0D">
        <w:rPr>
          <w:color w:val="000000" w:themeColor="text1"/>
        </w:rPr>
        <w:t>VII</w:t>
      </w:r>
      <w:r w:rsidRPr="00DB5D0D">
        <w:rPr>
          <w:color w:val="000000" w:themeColor="text1"/>
          <w:lang w:val="ru-RU"/>
        </w:rPr>
        <w:t>-40 г. на живучесть противо</w:t>
      </w:r>
      <w:r w:rsidRPr="00DB5D0D">
        <w:rPr>
          <w:color w:val="000000" w:themeColor="text1"/>
          <w:lang w:val="ru-RU"/>
        </w:rPr>
        <w:softHyphen/>
        <w:t>откатных устройств в 600 выстрелов требуемыми темпами в тече</w:t>
      </w:r>
      <w:r w:rsidRPr="00DB5D0D">
        <w:rPr>
          <w:color w:val="000000" w:themeColor="text1"/>
          <w:lang w:val="ru-RU"/>
        </w:rPr>
        <w:softHyphen/>
        <w:t>ние дня система не удовлетворяет. Поэтому на основании резуль</w:t>
      </w:r>
      <w:r w:rsidRPr="00DB5D0D">
        <w:rPr>
          <w:color w:val="000000" w:themeColor="text1"/>
          <w:lang w:val="ru-RU"/>
        </w:rPr>
        <w:softHyphen/>
        <w:t xml:space="preserve">татов испытаний по утвержденной программе комиссия считает, что танковая пушка </w:t>
      </w:r>
      <w:r w:rsidRPr="00DB5D0D">
        <w:rPr>
          <w:rStyle w:val="1pt"/>
          <w:rFonts w:ascii="Times New Roman" w:cs="Times New Roman"/>
          <w:iCs/>
          <w:color w:val="000000" w:themeColor="text1"/>
          <w:spacing w:val="0"/>
          <w:sz w:val="16"/>
          <w:szCs w:val="16"/>
          <w:lang w:val="ru-RU"/>
        </w:rPr>
        <w:t>Л-11</w:t>
      </w:r>
      <w:r w:rsidRPr="00DB5D0D">
        <w:rPr>
          <w:color w:val="000000" w:themeColor="text1"/>
          <w:lang w:val="ru-RU"/>
        </w:rPr>
        <w:t xml:space="preserve"> по противооткатным устройствам испы</w:t>
      </w:r>
      <w:r w:rsidRPr="00DB5D0D">
        <w:rPr>
          <w:color w:val="000000" w:themeColor="text1"/>
          <w:lang w:val="ru-RU"/>
        </w:rPr>
        <w:softHyphen/>
        <w:t>таний по новым Т. Т. Т. не выдержала и для вооружения танков ре</w:t>
      </w:r>
      <w:r w:rsidRPr="00DB5D0D">
        <w:rPr>
          <w:color w:val="000000" w:themeColor="text1"/>
          <w:lang w:val="ru-RU"/>
        </w:rPr>
        <w:softHyphen/>
        <w:t>комендована быть не может.</w:t>
      </w:r>
    </w:p>
    <w:p w14:paraId="7B373631" w14:textId="77777777" w:rsidR="003C7E8B" w:rsidRPr="00DB5D0D" w:rsidRDefault="003C7E8B" w:rsidP="00DB5D0D">
      <w:pPr>
        <w:pStyle w:val="a3"/>
        <w:tabs>
          <w:tab w:val="left" w:pos="672"/>
        </w:tabs>
        <w:rPr>
          <w:color w:val="000000" w:themeColor="text1"/>
          <w:lang w:val="ru-RU"/>
        </w:rPr>
      </w:pPr>
      <w:r w:rsidRPr="00DB5D0D">
        <w:rPr>
          <w:color w:val="000000" w:themeColor="text1"/>
          <w:lang w:val="ru-RU"/>
        </w:rPr>
        <w:t xml:space="preserve">3. Дальнейшее производство системы </w:t>
      </w:r>
      <w:r w:rsidRPr="00DB5D0D">
        <w:rPr>
          <w:rStyle w:val="1pt"/>
          <w:rFonts w:ascii="Times New Roman" w:cs="Times New Roman"/>
          <w:iCs/>
          <w:color w:val="000000" w:themeColor="text1"/>
          <w:spacing w:val="0"/>
          <w:sz w:val="16"/>
          <w:szCs w:val="16"/>
          <w:lang w:val="ru-RU"/>
        </w:rPr>
        <w:t>Л-11</w:t>
      </w:r>
      <w:r w:rsidRPr="00DB5D0D">
        <w:rPr>
          <w:color w:val="000000" w:themeColor="text1"/>
          <w:lang w:val="ru-RU"/>
        </w:rPr>
        <w:t xml:space="preserve"> необходимо прекра</w:t>
      </w:r>
      <w:r w:rsidRPr="00DB5D0D">
        <w:rPr>
          <w:color w:val="000000" w:themeColor="text1"/>
          <w:lang w:val="ru-RU"/>
        </w:rPr>
        <w:softHyphen/>
        <w:t>тить.</w:t>
      </w:r>
    </w:p>
    <w:p w14:paraId="10270238" w14:textId="77777777" w:rsidR="003C7E8B" w:rsidRPr="00DB5D0D" w:rsidRDefault="003C7E8B" w:rsidP="00DB5D0D">
      <w:pPr>
        <w:pStyle w:val="a3"/>
        <w:tabs>
          <w:tab w:val="left" w:pos="768"/>
        </w:tabs>
        <w:rPr>
          <w:color w:val="000000" w:themeColor="text1"/>
          <w:lang w:val="ru-RU"/>
        </w:rPr>
      </w:pPr>
      <w:r w:rsidRPr="00DB5D0D">
        <w:rPr>
          <w:color w:val="000000" w:themeColor="text1"/>
          <w:lang w:val="ru-RU"/>
        </w:rPr>
        <w:t xml:space="preserve">4. Танки </w:t>
      </w:r>
      <w:r w:rsidRPr="00DB5D0D">
        <w:rPr>
          <w:color w:val="000000" w:themeColor="text1"/>
        </w:rPr>
        <w:t>KB</w:t>
      </w:r>
      <w:r w:rsidRPr="00DB5D0D">
        <w:rPr>
          <w:color w:val="000000" w:themeColor="text1"/>
          <w:lang w:val="ru-RU"/>
        </w:rPr>
        <w:t xml:space="preserve"> вооружать системой Ф-32.</w:t>
      </w:r>
    </w:p>
    <w:p w14:paraId="438CE11B" w14:textId="77777777" w:rsidR="003C7E8B" w:rsidRPr="00DB5D0D" w:rsidRDefault="003C7E8B" w:rsidP="00DB5D0D">
      <w:pPr>
        <w:pStyle w:val="a3"/>
        <w:tabs>
          <w:tab w:val="left" w:pos="744"/>
        </w:tabs>
        <w:rPr>
          <w:color w:val="000000" w:themeColor="text1"/>
          <w:lang w:val="ru-RU"/>
        </w:rPr>
      </w:pPr>
      <w:r w:rsidRPr="00DB5D0D">
        <w:rPr>
          <w:color w:val="000000" w:themeColor="text1"/>
          <w:lang w:val="ru-RU"/>
        </w:rPr>
        <w:t>5. Впредь до освоения Кировским заводом системы Ф-32 допу</w:t>
      </w:r>
      <w:r w:rsidRPr="00DB5D0D">
        <w:rPr>
          <w:color w:val="000000" w:themeColor="text1"/>
          <w:lang w:val="ru-RU"/>
        </w:rPr>
        <w:softHyphen/>
        <w:t xml:space="preserve">стить, как временную меру, вооружение танков </w:t>
      </w:r>
      <w:r w:rsidRPr="00DB5D0D">
        <w:rPr>
          <w:color w:val="000000" w:themeColor="text1"/>
        </w:rPr>
        <w:t>KB</w:t>
      </w:r>
      <w:r w:rsidRPr="00DB5D0D">
        <w:rPr>
          <w:color w:val="000000" w:themeColor="text1"/>
          <w:lang w:val="ru-RU"/>
        </w:rPr>
        <w:t xml:space="preserve"> системой </w:t>
      </w:r>
      <w:r w:rsidRPr="00DB5D0D">
        <w:rPr>
          <w:rStyle w:val="1pt"/>
          <w:rFonts w:ascii="Times New Roman" w:cs="Times New Roman"/>
          <w:iCs/>
          <w:color w:val="000000" w:themeColor="text1"/>
          <w:spacing w:val="0"/>
          <w:sz w:val="16"/>
          <w:szCs w:val="16"/>
          <w:lang w:val="ru-RU"/>
        </w:rPr>
        <w:t xml:space="preserve">Л-11 с </w:t>
      </w:r>
      <w:r w:rsidRPr="00DB5D0D">
        <w:rPr>
          <w:color w:val="000000" w:themeColor="text1"/>
          <w:lang w:val="ru-RU"/>
        </w:rPr>
        <w:t xml:space="preserve">введенными в нее доделками с тем, чтобы не позднее 1/1-41 г. все системы </w:t>
      </w:r>
      <w:r w:rsidRPr="00DB5D0D">
        <w:rPr>
          <w:rStyle w:val="1pt"/>
          <w:rFonts w:ascii="Times New Roman" w:cs="Times New Roman"/>
          <w:iCs/>
          <w:color w:val="000000" w:themeColor="text1"/>
          <w:spacing w:val="0"/>
          <w:sz w:val="16"/>
          <w:szCs w:val="16"/>
          <w:lang w:val="ru-RU"/>
        </w:rPr>
        <w:t>Л-11</w:t>
      </w:r>
      <w:r w:rsidRPr="00DB5D0D">
        <w:rPr>
          <w:color w:val="000000" w:themeColor="text1"/>
          <w:lang w:val="ru-RU"/>
        </w:rPr>
        <w:t xml:space="preserve"> были заменены в танках системами Ф-32.</w:t>
      </w:r>
    </w:p>
    <w:p w14:paraId="0EA49C95" w14:textId="77777777" w:rsidR="003C7E8B" w:rsidRPr="00DB5D0D" w:rsidRDefault="003C7E8B" w:rsidP="00DB5D0D">
      <w:pPr>
        <w:pStyle w:val="aff1"/>
        <w:spacing w:line="240" w:lineRule="auto"/>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noProof w:val="0"/>
          <w:color w:val="000000" w:themeColor="text1"/>
          <w:sz w:val="16"/>
          <w:szCs w:val="16"/>
          <w:lang w:val="ru-RU"/>
        </w:rPr>
        <w:t xml:space="preserve">6. ГАУ КА разработать указания войскам, обеспечивающие безаварийную эксплуатацию системы Л-11 в танках, с указанием допустимых темпов ведения огня и продолжительности стрельбы. На основе испытаний Комиссия считает, что пушка Л-11 может в течение дня выпустить не более 350, при максимальном темпе </w:t>
      </w:r>
      <w:r w:rsidRPr="00DB5D0D">
        <w:rPr>
          <w:rFonts w:ascii="Times New Roman" w:hAnsi="Times New Roman" w:cs="Times New Roman"/>
          <w:i w:val="0"/>
          <w:iCs w:val="0"/>
          <w:color w:val="000000" w:themeColor="text1"/>
          <w:sz w:val="16"/>
          <w:szCs w:val="16"/>
          <w:lang w:val="ru-RU"/>
        </w:rPr>
        <w:t>огня 6-7 выстрелов в минуту. После чего, во избежание аварии, необходим осмотр противооткатных устройств с целью выявления состояния воротников и сальников.</w:t>
      </w:r>
    </w:p>
    <w:p w14:paraId="5C17B673" w14:textId="77777777" w:rsidR="003C7E8B" w:rsidRPr="00DB5D0D" w:rsidRDefault="003C7E8B" w:rsidP="00DB5D0D">
      <w:pPr>
        <w:pStyle w:val="a3"/>
        <w:rPr>
          <w:rStyle w:val="115pt29115pt8109112SimHei2Arial12pt11ptMSMincho12pt"/>
          <w:rFonts w:ascii="Times New Roman" w:hAnsi="Times New Roman" w:cs="Times New Roman"/>
          <w:color w:val="000000" w:themeColor="text1"/>
          <w:spacing w:val="0"/>
          <w:sz w:val="16"/>
          <w:szCs w:val="16"/>
          <w:lang w:val="ru-RU"/>
        </w:rPr>
      </w:pPr>
      <w:r w:rsidRPr="00DB5D0D">
        <w:rPr>
          <w:color w:val="000000" w:themeColor="text1"/>
          <w:lang w:val="ru-RU"/>
        </w:rPr>
        <w:t>7. Кировскому заводу устранить до 15 августа непостоянство работы полуавтоматики (в части ликвидации надиров на рейках и казеннике).</w:t>
      </w:r>
      <w:r w:rsidRPr="00DB5D0D">
        <w:rPr>
          <w:rStyle w:val="115pt29115pt8109112SimHei2Arial12pt11ptMSMincho12pt"/>
          <w:rFonts w:ascii="Times New Roman" w:hAnsi="Times New Roman" w:cs="Times New Roman"/>
          <w:color w:val="000000" w:themeColor="text1"/>
          <w:spacing w:val="0"/>
          <w:sz w:val="16"/>
          <w:szCs w:val="16"/>
          <w:lang w:val="ru-RU"/>
        </w:rPr>
        <w:t>[</w:t>
      </w:r>
      <w:r w:rsidRPr="00DB5D0D">
        <w:rPr>
          <w:color w:val="000000" w:themeColor="text1"/>
          <w:lang w:val="ru-RU"/>
        </w:rPr>
        <w:t xml:space="preserve">РГВА. Ф.31811. </w:t>
      </w:r>
      <w:r w:rsidRPr="00DB5D0D">
        <w:rPr>
          <w:color w:val="000000" w:themeColor="text1"/>
        </w:rPr>
        <w:t>On</w:t>
      </w:r>
      <w:r w:rsidRPr="00DB5D0D">
        <w:rPr>
          <w:color w:val="000000" w:themeColor="text1"/>
          <w:lang w:val="ru-RU"/>
        </w:rPr>
        <w:t>.2. Д. 1053. Л. 124-128.</w:t>
      </w:r>
      <w:r w:rsidRPr="00DB5D0D">
        <w:rPr>
          <w:rStyle w:val="115pt29115pt8109112SimHei2Arial12pt11ptMSMincho12pt"/>
          <w:rFonts w:ascii="Times New Roman" w:hAnsi="Times New Roman" w:cs="Times New Roman"/>
          <w:color w:val="000000" w:themeColor="text1"/>
          <w:spacing w:val="0"/>
          <w:sz w:val="16"/>
          <w:szCs w:val="16"/>
          <w:lang w:val="ru-RU"/>
        </w:rPr>
        <w:t>] (11940).</w:t>
      </w:r>
    </w:p>
    <w:p w14:paraId="14BF4E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Представляет интерес особое мнение директора Кировского заво</w:t>
      </w:r>
      <w:r w:rsidRPr="00DB5D0D">
        <w:rPr>
          <w:rFonts w:ascii="Times New Roman" w:hAnsi="Times New Roman"/>
          <w:color w:val="000000" w:themeColor="text1"/>
          <w:sz w:val="16"/>
          <w:szCs w:val="16"/>
        </w:rPr>
        <w:softHyphen/>
        <w:t>да И. М. Зальцмана, отраженное в приложении к «Отчету Правитель</w:t>
      </w:r>
      <w:r w:rsidRPr="00DB5D0D">
        <w:rPr>
          <w:rFonts w:ascii="Times New Roman" w:hAnsi="Times New Roman"/>
          <w:color w:val="000000" w:themeColor="text1"/>
          <w:sz w:val="16"/>
          <w:szCs w:val="16"/>
        </w:rPr>
        <w:softHyphen/>
        <w:t>ственной Комиссии по испытанию 76 мм танковой системы Л -11».</w:t>
      </w:r>
    </w:p>
    <w:p w14:paraId="0A22B86C" w14:textId="77777777" w:rsidR="003C7E8B" w:rsidRPr="00DB5D0D" w:rsidRDefault="003C7E8B" w:rsidP="00DB5D0D">
      <w:pPr>
        <w:pStyle w:val="a3"/>
        <w:rPr>
          <w:color w:val="000000" w:themeColor="text1"/>
          <w:lang w:val="ru-RU"/>
        </w:rPr>
      </w:pPr>
      <w:r w:rsidRPr="00DB5D0D">
        <w:rPr>
          <w:color w:val="000000" w:themeColor="text1"/>
          <w:lang w:val="ru-RU"/>
        </w:rPr>
        <w:t>Система «Л-11» создана на базе 76 мм танковой пушки «Л-10», со</w:t>
      </w:r>
      <w:r w:rsidRPr="00DB5D0D">
        <w:rPr>
          <w:color w:val="000000" w:themeColor="text1"/>
          <w:lang w:val="ru-RU"/>
        </w:rPr>
        <w:softHyphen/>
        <w:t>гласно тактико-технических требований АКАУ№ 852 от 8/1-1929 года. Максимальный угол снижения по этим требованиям - Требования к скорострельности и режиму огня - не оговорены.</w:t>
      </w:r>
    </w:p>
    <w:p w14:paraId="7109BD54" w14:textId="77777777" w:rsidR="003C7E8B" w:rsidRPr="00DB5D0D" w:rsidRDefault="003C7E8B" w:rsidP="00DB5D0D">
      <w:pPr>
        <w:pStyle w:val="a3"/>
        <w:rPr>
          <w:color w:val="000000" w:themeColor="text1"/>
          <w:lang w:val="ru-RU"/>
        </w:rPr>
      </w:pPr>
      <w:r w:rsidRPr="00DB5D0D">
        <w:rPr>
          <w:color w:val="000000" w:themeColor="text1"/>
          <w:lang w:val="ru-RU"/>
        </w:rPr>
        <w:t>На основании проведенных, после доработки танковой системы, заводских и Правительственных испытаний, считаем предложенную заводу доработку танковой системы законченной.</w:t>
      </w:r>
    </w:p>
    <w:p w14:paraId="1DB14544" w14:textId="77777777" w:rsidR="003C7E8B" w:rsidRPr="00DB5D0D" w:rsidRDefault="003C7E8B" w:rsidP="00DB5D0D">
      <w:pPr>
        <w:pStyle w:val="a3"/>
        <w:rPr>
          <w:color w:val="000000" w:themeColor="text1"/>
          <w:lang w:val="ru-RU"/>
        </w:rPr>
      </w:pPr>
      <w:r w:rsidRPr="00DB5D0D">
        <w:rPr>
          <w:color w:val="000000" w:themeColor="text1"/>
          <w:lang w:val="ru-RU"/>
        </w:rPr>
        <w:t>В настоящем виде танковая пушка «Л-11» является боеспособ</w:t>
      </w:r>
      <w:r w:rsidRPr="00DB5D0D">
        <w:rPr>
          <w:color w:val="000000" w:themeColor="text1"/>
          <w:lang w:val="ru-RU"/>
        </w:rPr>
        <w:softHyphen/>
        <w:t>ной и может быть допущена для установки в танк «КВ» в качестве временной, как указано в протоколе Специальной Правительствен</w:t>
      </w:r>
      <w:r w:rsidRPr="00DB5D0D">
        <w:rPr>
          <w:color w:val="000000" w:themeColor="text1"/>
          <w:lang w:val="ru-RU"/>
        </w:rPr>
        <w:softHyphen/>
        <w:t>ной Комиссии от 6/</w:t>
      </w:r>
      <w:r w:rsidRPr="00DB5D0D">
        <w:rPr>
          <w:color w:val="000000" w:themeColor="text1"/>
        </w:rPr>
        <w:t>VII</w:t>
      </w:r>
      <w:r w:rsidRPr="00DB5D0D">
        <w:rPr>
          <w:color w:val="000000" w:themeColor="text1"/>
          <w:lang w:val="ru-RU"/>
        </w:rPr>
        <w:t>-1940 года.</w:t>
      </w:r>
    </w:p>
    <w:p w14:paraId="34BAFE05" w14:textId="77777777" w:rsidR="003C7E8B" w:rsidRPr="00DB5D0D" w:rsidRDefault="003C7E8B" w:rsidP="00DB5D0D">
      <w:pPr>
        <w:pStyle w:val="a3"/>
        <w:rPr>
          <w:color w:val="000000" w:themeColor="text1"/>
          <w:lang w:val="ru-RU"/>
        </w:rPr>
      </w:pPr>
      <w:r w:rsidRPr="00DB5D0D">
        <w:rPr>
          <w:color w:val="000000" w:themeColor="text1"/>
          <w:lang w:val="ru-RU"/>
        </w:rPr>
        <w:t>Произведенная доработка танковой системы «Л-11» позволила получить все возможные в данной конструкции результаты, полное же удовлетворение тактико-технических требований от 22/</w:t>
      </w:r>
      <w:r w:rsidRPr="00DB5D0D">
        <w:rPr>
          <w:color w:val="000000" w:themeColor="text1"/>
        </w:rPr>
        <w:t>VII</w:t>
      </w:r>
      <w:r w:rsidRPr="00DB5D0D">
        <w:rPr>
          <w:color w:val="000000" w:themeColor="text1"/>
          <w:lang w:val="ru-RU"/>
        </w:rPr>
        <w:t>-40 г. потребует коренной конструктивной переработки танковой систе</w:t>
      </w:r>
      <w:r w:rsidRPr="00DB5D0D">
        <w:rPr>
          <w:color w:val="000000" w:themeColor="text1"/>
          <w:lang w:val="ru-RU"/>
        </w:rPr>
        <w:softHyphen/>
        <w:t>мы, что не целесообразно, т.к. завод переключился на производ</w:t>
      </w:r>
      <w:r w:rsidRPr="00DB5D0D">
        <w:rPr>
          <w:color w:val="000000" w:themeColor="text1"/>
          <w:lang w:val="ru-RU"/>
        </w:rPr>
        <w:softHyphen/>
        <w:t>ство танковой пушки «Ф-32».</w:t>
      </w:r>
    </w:p>
    <w:p w14:paraId="04AFE820" w14:textId="77777777" w:rsidR="003C7E8B" w:rsidRPr="00DB5D0D" w:rsidRDefault="003C7E8B" w:rsidP="00DB5D0D">
      <w:pPr>
        <w:pStyle w:val="a3"/>
        <w:rPr>
          <w:rStyle w:val="3pt"/>
          <w:rFonts w:ascii="Times New Roman" w:cs="Times New Roman"/>
          <w:iCs/>
          <w:color w:val="000000" w:themeColor="text1"/>
          <w:spacing w:val="0"/>
          <w:sz w:val="16"/>
          <w:szCs w:val="16"/>
          <w:lang w:val="ru-RU"/>
        </w:rPr>
      </w:pPr>
      <w:r w:rsidRPr="00DB5D0D">
        <w:rPr>
          <w:color w:val="000000" w:themeColor="text1"/>
          <w:lang w:val="ru-RU"/>
        </w:rPr>
        <w:t xml:space="preserve">ДИРЕКТОР ЗАВОДА (ЗАЛЬЦМАН) НАЧАЛЬНИК СКБ-4 (ФЕДОРОВ). [РГВА. Ф.31811. </w:t>
      </w:r>
      <w:r w:rsidRPr="00DB5D0D">
        <w:rPr>
          <w:color w:val="000000" w:themeColor="text1"/>
        </w:rPr>
        <w:t>On</w:t>
      </w:r>
      <w:r w:rsidRPr="00DB5D0D">
        <w:rPr>
          <w:color w:val="000000" w:themeColor="text1"/>
          <w:lang w:val="ru-RU"/>
        </w:rPr>
        <w:t>.2. Д. 1053. Л. 129-130.</w:t>
      </w:r>
      <w:r w:rsidRPr="00DB5D0D">
        <w:rPr>
          <w:rStyle w:val="3pt"/>
          <w:rFonts w:ascii="Times New Roman" w:cs="Times New Roman"/>
          <w:iCs/>
          <w:color w:val="000000" w:themeColor="text1"/>
          <w:spacing w:val="0"/>
          <w:sz w:val="16"/>
          <w:szCs w:val="16"/>
          <w:lang w:val="ru-RU"/>
        </w:rPr>
        <w:t>] (11940).</w:t>
      </w:r>
    </w:p>
    <w:p w14:paraId="6B68D316" w14:textId="77777777" w:rsidR="003C7E8B" w:rsidRPr="00DB5D0D" w:rsidRDefault="003C7E8B" w:rsidP="00DB5D0D">
      <w:pPr>
        <w:pStyle w:val="a3"/>
        <w:rPr>
          <w:color w:val="000000" w:themeColor="text1"/>
          <w:lang w:val="ru-RU"/>
        </w:rPr>
      </w:pPr>
    </w:p>
    <w:p w14:paraId="2F76ED6D" w14:textId="77777777" w:rsidR="007B5C5B" w:rsidRPr="00DB5D0D" w:rsidRDefault="007B5C5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Постановлением КО № 333сс Горьковский автомобильный завод им. Молотова обязан был в 1940 г. изготовить и поставить заводу № 37 НКСМ двигатели “202” для танков Т</w:t>
      </w:r>
      <w:r w:rsidRPr="00DB5D0D">
        <w:rPr>
          <w:rFonts w:ascii="Times New Roman" w:hAnsi="Times New Roman"/>
          <w:color w:val="000000" w:themeColor="text1"/>
          <w:sz w:val="16"/>
          <w:szCs w:val="16"/>
        </w:rPr>
        <w:noBreakHyphen/>
        <w:t>40 в количестве 385 шт. Завод не выполнил этого задания. На 1 января 1941 г. заводу № 37 поставлено только 118 моторов, или 30,7% плана. В течение января-февраля 1941 г. моторы заводу № 37 совершенно не поставлялись (18033).</w:t>
      </w:r>
    </w:p>
    <w:p w14:paraId="007F40F3" w14:textId="77777777" w:rsidR="007B5C5B" w:rsidRPr="00DB5D0D" w:rsidRDefault="007B5C5B" w:rsidP="00DB5D0D">
      <w:pPr>
        <w:spacing w:after="0" w:line="240" w:lineRule="auto"/>
        <w:jc w:val="both"/>
        <w:rPr>
          <w:rFonts w:ascii="Times New Roman" w:hAnsi="Times New Roman"/>
          <w:color w:val="000000" w:themeColor="text1"/>
          <w:sz w:val="16"/>
          <w:szCs w:val="16"/>
        </w:rPr>
      </w:pPr>
    </w:p>
    <w:p w14:paraId="2CEB4F4B" w14:textId="77777777" w:rsidR="007B5C5B" w:rsidRPr="00DB5D0D" w:rsidRDefault="007B5C5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Постановлением Комитета обороны № 333сс Подольский завод им. Орджоникидзе обязан был изготовить в 1940 г. 100 бронекорпусов танка Т</w:t>
      </w:r>
      <w:r w:rsidRPr="00DB5D0D">
        <w:rPr>
          <w:rFonts w:ascii="Times New Roman" w:hAnsi="Times New Roman"/>
          <w:color w:val="000000" w:themeColor="text1"/>
          <w:sz w:val="16"/>
          <w:szCs w:val="16"/>
        </w:rPr>
        <w:noBreakHyphen/>
        <w:t>40. В 1940 г. Подольский завод изготовил только 65 бронекорпусов танка Т-40.</w:t>
      </w:r>
    </w:p>
    <w:p w14:paraId="5A4DBFBF" w14:textId="77777777" w:rsidR="007B5C5B" w:rsidRPr="00DB5D0D" w:rsidRDefault="007B5C5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Невыполнение плана производства бронекорпусов Т</w:t>
      </w:r>
      <w:r w:rsidRPr="00DB5D0D">
        <w:rPr>
          <w:rFonts w:ascii="Times New Roman" w:hAnsi="Times New Roman"/>
          <w:color w:val="000000" w:themeColor="text1"/>
          <w:sz w:val="16"/>
          <w:szCs w:val="16"/>
        </w:rPr>
        <w:noBreakHyphen/>
        <w:t>40 явилось следствием недопоставки Кулебакским и Мариупольским заводами Наркомсудпрома бронелиста, неудовлетворительного хода освоения процесса термической обработки деталей и отсутствия должного контроля в цехах за обработкой деталей.</w:t>
      </w:r>
    </w:p>
    <w:p w14:paraId="73C1DD02" w14:textId="77777777" w:rsidR="007B5C5B" w:rsidRPr="00DB5D0D" w:rsidRDefault="007B5C5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Кулебакский и Мариупольский заводы НКСудпрома в 1940 г. поставили заводу им. Орджоникидзе бронь марки “ФД” толщиной 9 мм в количестве 75 т, или 55,5% плана, толщиной 10 мм — 196 т, или 59,5%, толщиной 13 мм — 103 т — 17,6%. В январе 1941 г. поставки бронелиста марки “ФД” толщиной 9 и 10 мм совершенно не было (18033).</w:t>
      </w:r>
    </w:p>
    <w:p w14:paraId="6F489D58" w14:textId="77777777" w:rsidR="007B5C5B" w:rsidRPr="00DB5D0D" w:rsidRDefault="007B5C5B" w:rsidP="00DB5D0D">
      <w:pPr>
        <w:spacing w:after="0" w:line="240" w:lineRule="auto"/>
        <w:jc w:val="both"/>
        <w:rPr>
          <w:rFonts w:ascii="Times New Roman" w:hAnsi="Times New Roman"/>
          <w:color w:val="000000" w:themeColor="text1"/>
          <w:sz w:val="16"/>
          <w:szCs w:val="16"/>
        </w:rPr>
      </w:pPr>
    </w:p>
    <w:p w14:paraId="4FC9307B"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представители Управления военно-хими</w:t>
      </w:r>
      <w:r w:rsidRPr="00DB5D0D">
        <w:rPr>
          <w:rFonts w:ascii="Times New Roman" w:hAnsi="Times New Roman"/>
          <w:color w:val="000000" w:themeColor="text1"/>
          <w:sz w:val="16"/>
          <w:szCs w:val="16"/>
        </w:rPr>
        <w:softHyphen/>
        <w:t>ческой защиты Красной Армии (УВХЗ, так с июля именовалось ХИМУ) в ответе на запрос завода ДРО у завода №37 расчетов на прочность ходовой части ХП-2 и кронштейна отцепа, сообщили следующее:</w:t>
      </w:r>
    </w:p>
    <w:p w14:paraId="7455ADBB" w14:textId="77777777" w:rsidR="00A150F9" w:rsidRPr="00DB5D0D" w:rsidRDefault="00A150F9"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«1. Завод №37 вышлет расчеты не ранее сентября месяца 1940 г.</w:t>
      </w:r>
    </w:p>
    <w:p w14:paraId="15F6D0FA" w14:textId="77777777" w:rsidR="00A150F9" w:rsidRPr="00DB5D0D" w:rsidRDefault="00A150F9"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2. Кронштейн отцепа и ось ХП-2, изготов</w:t>
      </w:r>
      <w:r w:rsidRPr="00DB5D0D">
        <w:rPr>
          <w:rFonts w:ascii="Times New Roman" w:cs="Times New Roman"/>
          <w:color w:val="000000" w:themeColor="text1"/>
          <w:sz w:val="16"/>
          <w:szCs w:val="16"/>
        </w:rPr>
        <w:softHyphen/>
        <w:t>ленные по расчетным данным, не выдержали полигонных испытаний. В дальнейшем, ввиду невозможности выявить величину и характер динамических нагрузок, появляющихся</w:t>
      </w:r>
      <w:r w:rsidRPr="00DB5D0D">
        <w:rPr>
          <w:rStyle w:val="48pt0pt"/>
          <w:rFonts w:ascii="Times New Roman" w:hAnsi="Times New Roman" w:cs="Times New Roman"/>
          <w:color w:val="000000" w:themeColor="text1"/>
          <w:spacing w:val="0"/>
        </w:rPr>
        <w:t xml:space="preserve"> при </w:t>
      </w:r>
      <w:r w:rsidRPr="00DB5D0D">
        <w:rPr>
          <w:rFonts w:ascii="Times New Roman" w:cs="Times New Roman"/>
          <w:color w:val="000000" w:themeColor="text1"/>
          <w:sz w:val="16"/>
          <w:szCs w:val="16"/>
        </w:rPr>
        <w:t>преодолении химприцепом препятствий, уси</w:t>
      </w:r>
      <w:r w:rsidRPr="00DB5D0D">
        <w:rPr>
          <w:rFonts w:ascii="Times New Roman" w:cs="Times New Roman"/>
          <w:color w:val="000000" w:themeColor="text1"/>
          <w:sz w:val="16"/>
          <w:szCs w:val="16"/>
        </w:rPr>
        <w:softHyphen/>
        <w:t>ление оси и кронштейна</w:t>
      </w:r>
      <w:r w:rsidRPr="00DB5D0D">
        <w:rPr>
          <w:rStyle w:val="48pt0pt"/>
          <w:rFonts w:ascii="Times New Roman" w:hAnsi="Times New Roman" w:cs="Times New Roman"/>
          <w:color w:val="000000" w:themeColor="text1"/>
          <w:spacing w:val="0"/>
        </w:rPr>
        <w:t xml:space="preserve"> I</w:t>
      </w:r>
      <w:r w:rsidRPr="00DB5D0D">
        <w:rPr>
          <w:rStyle w:val="44pt"/>
          <w:rFonts w:ascii="Times New Roman" w:hAnsi="Times New Roman" w:cs="Times New Roman"/>
          <w:i w:val="0"/>
          <w:color w:val="000000" w:themeColor="text1"/>
          <w:sz w:val="16"/>
          <w:szCs w:val="16"/>
        </w:rPr>
        <w:t xml:space="preserve"> ■</w:t>
      </w:r>
      <w:r w:rsidRPr="00DB5D0D">
        <w:rPr>
          <w:rStyle w:val="48pt0pt"/>
          <w:rFonts w:ascii="Times New Roman" w:hAnsi="Times New Roman" w:cs="Times New Roman"/>
          <w:color w:val="000000" w:themeColor="text1"/>
          <w:spacing w:val="0"/>
        </w:rPr>
        <w:t xml:space="preserve">п ую,гзволи- </w:t>
      </w:r>
      <w:r w:rsidRPr="00DB5D0D">
        <w:rPr>
          <w:rFonts w:ascii="Times New Roman" w:cs="Times New Roman"/>
          <w:color w:val="000000" w:themeColor="text1"/>
          <w:sz w:val="16"/>
          <w:szCs w:val="16"/>
        </w:rPr>
        <w:t>лось опытным путем.</w:t>
      </w:r>
    </w:p>
    <w:p w14:paraId="38BBCBFB" w14:textId="77777777" w:rsidR="00A150F9" w:rsidRPr="00DB5D0D" w:rsidRDefault="00A150F9"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Таким образом, расчетные данные</w:t>
      </w:r>
      <w:r w:rsidRPr="00DB5D0D">
        <w:rPr>
          <w:rStyle w:val="48pt0pt"/>
          <w:rFonts w:ascii="Times New Roman" w:hAnsi="Times New Roman" w:cs="Times New Roman"/>
          <w:color w:val="000000" w:themeColor="text1"/>
          <w:spacing w:val="0"/>
        </w:rPr>
        <w:t xml:space="preserve"> по хо</w:t>
      </w:r>
      <w:r w:rsidRPr="00DB5D0D">
        <w:rPr>
          <w:rStyle w:val="48pt0pt"/>
          <w:rFonts w:ascii="Times New Roman" w:hAnsi="Times New Roman" w:cs="Times New Roman"/>
          <w:color w:val="000000" w:themeColor="text1"/>
          <w:spacing w:val="0"/>
        </w:rPr>
        <w:softHyphen/>
      </w:r>
      <w:r w:rsidRPr="00DB5D0D">
        <w:rPr>
          <w:rFonts w:ascii="Times New Roman" w:cs="Times New Roman"/>
          <w:color w:val="000000" w:themeColor="text1"/>
          <w:sz w:val="16"/>
          <w:szCs w:val="16"/>
        </w:rPr>
        <w:t>довой части, имеющиеся на заводе №37, не совпадают с практическими данными, а</w:t>
      </w:r>
      <w:r w:rsidRPr="00DB5D0D">
        <w:rPr>
          <w:rStyle w:val="48pt0pt"/>
          <w:rFonts w:ascii="Times New Roman" w:hAnsi="Times New Roman" w:cs="Times New Roman"/>
          <w:color w:val="000000" w:themeColor="text1"/>
          <w:spacing w:val="0"/>
        </w:rPr>
        <w:t xml:space="preserve"> по</w:t>
      </w:r>
      <w:r w:rsidRPr="00DB5D0D">
        <w:rPr>
          <w:rStyle w:val="48pt0pt"/>
          <w:rFonts w:ascii="Times New Roman" w:hAnsi="Times New Roman" w:cs="Times New Roman"/>
          <w:color w:val="000000" w:themeColor="text1"/>
          <w:spacing w:val="0"/>
        </w:rPr>
        <w:softHyphen/>
      </w:r>
      <w:r w:rsidRPr="00DB5D0D">
        <w:rPr>
          <w:rFonts w:ascii="Times New Roman" w:cs="Times New Roman"/>
          <w:color w:val="000000" w:themeColor="text1"/>
          <w:sz w:val="16"/>
          <w:szCs w:val="16"/>
        </w:rPr>
        <w:t>этому руководствоваться ими в дальнейшем нежелательно (17480).</w:t>
      </w:r>
    </w:p>
    <w:p w14:paraId="178D28C3" w14:textId="77777777" w:rsidR="00A150F9" w:rsidRPr="00DB5D0D" w:rsidRDefault="00A150F9" w:rsidP="00DB5D0D">
      <w:pPr>
        <w:spacing w:after="0" w:line="240" w:lineRule="auto"/>
        <w:jc w:val="both"/>
        <w:rPr>
          <w:rFonts w:ascii="Times New Roman" w:hAnsi="Times New Roman"/>
          <w:color w:val="000000" w:themeColor="text1"/>
          <w:sz w:val="16"/>
          <w:szCs w:val="16"/>
        </w:rPr>
      </w:pPr>
    </w:p>
    <w:p w14:paraId="1D618C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вышло Постановление КО № 333сс и 19 декабря 1939 г. вышло Постановления КО № 443сс, которые обязывали автозавод им. Молотова:</w:t>
      </w:r>
    </w:p>
    <w:p w14:paraId="42612E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Организовать серийное производство автомобилей ГАЗ-61 с 1.10.1940 г.</w:t>
      </w:r>
    </w:p>
    <w:p w14:paraId="255285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Создать мощность завода по выпуску автомобилей ГАЗ-61 с 1.8.1941 г. — 1000 шт. в год.</w:t>
      </w:r>
    </w:p>
    <w:p w14:paraId="69E4EB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1939 г. автозаводом были изготовлены два опытных образца ГАЗ-61. Заводские испыта</w:t>
      </w:r>
      <w:r w:rsidRPr="00DB5D0D">
        <w:rPr>
          <w:rFonts w:ascii="Times New Roman" w:hAnsi="Times New Roman"/>
          <w:color w:val="000000" w:themeColor="text1"/>
          <w:sz w:val="16"/>
          <w:szCs w:val="16"/>
        </w:rPr>
        <w:softHyphen/>
        <w:t>ния этих машин показали хорошие результаты по проходимости в тяжелых дорожных условиях и на препятствиях.</w:t>
      </w:r>
    </w:p>
    <w:p w14:paraId="0E231E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подготовка производства этих автомобилей на автозаводе им. Молотова идет недопусти</w:t>
      </w:r>
      <w:r w:rsidRPr="00DB5D0D">
        <w:rPr>
          <w:rFonts w:ascii="Times New Roman" w:hAnsi="Times New Roman"/>
          <w:color w:val="000000" w:themeColor="text1"/>
          <w:sz w:val="16"/>
          <w:szCs w:val="16"/>
        </w:rPr>
        <w:softHyphen/>
        <w:t>мо медленно.</w:t>
      </w:r>
    </w:p>
    <w:p w14:paraId="744753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Инструмента и штампов изготовлено всего лишь на 30-35%. Оборудования автозавод еще не по</w:t>
      </w:r>
      <w:r w:rsidRPr="00DB5D0D">
        <w:rPr>
          <w:rFonts w:ascii="Times New Roman" w:hAnsi="Times New Roman"/>
          <w:color w:val="000000" w:themeColor="text1"/>
          <w:sz w:val="16"/>
          <w:szCs w:val="16"/>
        </w:rPr>
        <w:softHyphen/>
        <w:t>лучал.</w:t>
      </w:r>
    </w:p>
    <w:p w14:paraId="6F5AE6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Письмом Маршала Советского Союза т. Кулик от 1.11.1940 г. НКО просил народного комиссара среднего машиностроения т. Малышева обязать завод ускорить подготовку производства и выпуск ГАЗ-61 (11211).</w:t>
      </w:r>
    </w:p>
    <w:p w14:paraId="0D49EC0F"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67F1C5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вышло Постановление КО № 333сс и 19 декабря 1939 г. вышло Постановления КО № 443сс, которые обязывали автозавод им. им. Сталина:</w:t>
      </w:r>
    </w:p>
    <w:p w14:paraId="412EE4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Организовать серийное производство автомобилей ЗИС-32 с 1.10.1940 г.</w:t>
      </w:r>
    </w:p>
    <w:p w14:paraId="3F12F5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Создать мощность завода по выпуску ЗИС-32 с 1.8.1941 г. до 2000 шт. в год.</w:t>
      </w:r>
    </w:p>
    <w:p w14:paraId="5553CB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месяце 1941 г. автозаводом им. Сталина были изготовлены два опытных образца ЗИС-32. Полигонные испытания показали, что представленные опытные образцы ЗИС-32 конструктивно и производственно недоработаны (имеют дефекты).</w:t>
      </w:r>
    </w:p>
    <w:p w14:paraId="0AA1DB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производства ЗИС-32 идет медленно и грозит срывом выпуска данного автомобиля в 1941 г.</w:t>
      </w:r>
    </w:p>
    <w:p w14:paraId="7E7D5A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 тормозом в организации производства по выпуску ЗИС-32 является отсутствие им</w:t>
      </w:r>
      <w:r w:rsidRPr="00DB5D0D">
        <w:rPr>
          <w:rFonts w:ascii="Times New Roman" w:hAnsi="Times New Roman"/>
          <w:color w:val="000000" w:themeColor="text1"/>
          <w:sz w:val="16"/>
          <w:szCs w:val="16"/>
        </w:rPr>
        <w:softHyphen/>
        <w:t>портного и отечественного оборудования для изготовления карданов «Рцепа» для переднего ведуще</w:t>
      </w:r>
      <w:r w:rsidRPr="00DB5D0D">
        <w:rPr>
          <w:rFonts w:ascii="Times New Roman" w:hAnsi="Times New Roman"/>
          <w:color w:val="000000" w:themeColor="text1"/>
          <w:sz w:val="16"/>
          <w:szCs w:val="16"/>
        </w:rPr>
        <w:softHyphen/>
        <w:t>го моста, раздаточной коробки и других деталей.</w:t>
      </w:r>
    </w:p>
    <w:p w14:paraId="29FFDB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12.11.1940 г. ГАБТУ своим письмом просило народного комиссара среднего машиностроения т. Малышева обеспечить автозавод им. Сталина необходимым оборудованием для производства ав</w:t>
      </w:r>
      <w:r w:rsidRPr="00DB5D0D">
        <w:rPr>
          <w:rFonts w:ascii="Times New Roman" w:hAnsi="Times New Roman"/>
          <w:color w:val="000000" w:themeColor="text1"/>
          <w:sz w:val="16"/>
          <w:szCs w:val="16"/>
        </w:rPr>
        <w:softHyphen/>
        <w:t>томобиля ЗИС-32 и в кратчайший срок доработать опытный образец ЗИС-32 для повторных поли</w:t>
      </w:r>
      <w:r w:rsidRPr="00DB5D0D">
        <w:rPr>
          <w:rFonts w:ascii="Times New Roman" w:hAnsi="Times New Roman"/>
          <w:color w:val="000000" w:themeColor="text1"/>
          <w:sz w:val="16"/>
          <w:szCs w:val="16"/>
        </w:rPr>
        <w:softHyphen/>
        <w:t>гонных испытаний (11211).</w:t>
      </w:r>
    </w:p>
    <w:p w14:paraId="579D4E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D9FA061"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26 июля 1940 года постановлением №333сс Комитета Обороны при СНК Союза ССР было принято повторное решение о производстве ЗИС-32. Производства ШРУС-ов Rzeppa не имелось, что привело к поискам альтернатив. (22212).</w:t>
      </w:r>
    </w:p>
    <w:p w14:paraId="0FD85B12"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Первый автомобиль, получивший обозначение ЗИС-32С (или ЗИС-32с) использовал ШРУС-ы производства Spicer Manufacturing Company (ныне Dana Incorporated). Разработанный Кларенсом Спайсером и запатентованный в 1924 году ШРУС Spicer являлся более доступной альтернативой. Была еще одна модель ШРУС, разработанная Карлом Вейсом. Она выпускалась силами Bendix Corporation и известна как Bendix-Weiss. Эти ШРУС-ы также испытывались на советских машинах, но существовала ключевая проблема. Bendix Corporation производила ШРУС-ы, но не продавала лицензию. Поэтому выбор остался между сложной продукцией Рцеппы и более простым детищем Спайсера.</w:t>
      </w:r>
    </w:p>
    <w:p w14:paraId="7A2A6CFF" w14:textId="77777777" w:rsidR="00546C1C" w:rsidRPr="00DB5D0D" w:rsidRDefault="00546C1C" w:rsidP="00DB5D0D">
      <w:pPr>
        <w:spacing w:after="0" w:line="240" w:lineRule="auto"/>
        <w:jc w:val="both"/>
        <w:rPr>
          <w:rFonts w:ascii="Times New Roman" w:hAnsi="Times New Roman"/>
          <w:color w:val="0070C0"/>
          <w:sz w:val="16"/>
          <w:szCs w:val="16"/>
          <w:shd w:val="clear" w:color="auto" w:fill="FFFFFF"/>
        </w:rPr>
      </w:pPr>
      <w:r w:rsidRPr="00DB5D0D">
        <w:rPr>
          <w:rFonts w:ascii="Times New Roman" w:hAnsi="Times New Roman"/>
          <w:color w:val="0070C0"/>
          <w:sz w:val="16"/>
          <w:szCs w:val="16"/>
          <w:shd w:val="clear" w:color="auto" w:fill="FFFFFF"/>
        </w:rPr>
        <w:t xml:space="preserve">ЗИС-32Р (или ЗИС-32р), оснащалась ШРУС-ами "Рцеппа". Вариант с более сложными по конструкции ШРУС-ами оказался легче на 25 кг (3600 кг против 3625 кг у ЗИС-32С). В октябре 1940 года обе машины проходили полигонные испытания, которые закончились слегка неоднозначно. С одной стороны, машины показали более </w:t>
      </w:r>
      <w:r w:rsidRPr="00DB5D0D">
        <w:rPr>
          <w:rFonts w:ascii="Times New Roman" w:hAnsi="Times New Roman"/>
          <w:color w:val="0070C0"/>
          <w:sz w:val="16"/>
          <w:szCs w:val="16"/>
          <w:shd w:val="clear" w:color="auto" w:fill="FFFFFF"/>
        </w:rPr>
        <w:lastRenderedPageBreak/>
        <w:t>высокую проходимость, что явно шло им в плюс. А вот с другой, вылезли различные дефекты, которые завод обязали исправлять. Насчет ШРУС-ов однозначного вывода не сделали, хотя очевидно, что сам завод делал ставку на более удачную конструкцию "Рцеппа". Но здесь уже вылезали производственные проблемыю</w:t>
      </w:r>
    </w:p>
    <w:p w14:paraId="48A459F6"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По результатам испытаний завод начал изготовление нового картера редуктора, шестерен раздаточной коробки и других деталей. Также внесли исправления в чертежи, но даже к декабрю 1941 года их не утвердили. Еще хуже была ситуация с точки зрения подготовки производства. Из 130 станков к концу 1940 года завод получил всего 20, причем НКСМ (наркомат среднего машиностроения) особо не чесался по поводу их выделения (22212).</w:t>
      </w:r>
    </w:p>
    <w:p w14:paraId="641C1EC9" w14:textId="77777777" w:rsidR="00546C1C" w:rsidRPr="00DB5D0D" w:rsidRDefault="00546C1C" w:rsidP="00DB5D0D">
      <w:pPr>
        <w:spacing w:after="0" w:line="240" w:lineRule="auto"/>
        <w:jc w:val="both"/>
        <w:rPr>
          <w:rFonts w:ascii="Times New Roman" w:hAnsi="Times New Roman"/>
          <w:color w:val="0070C0"/>
          <w:sz w:val="16"/>
          <w:szCs w:val="16"/>
        </w:rPr>
      </w:pPr>
    </w:p>
    <w:p w14:paraId="25D5FEDB"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июля 1940 г. вышло Постановление Комитета обороны при СНК СССР № 333сс "О производстве танков, арттягачей, шасси к бронеавтомобилям и автомобилей с двумя ведущими осями" с приложениями</w:t>
      </w:r>
    </w:p>
    <w:p w14:paraId="1D9ED860"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KОМИTET ОБОРОНЫ при СНК СОЮЗА ССР ПОСТАНОВЛЯЕТ:</w:t>
      </w:r>
    </w:p>
    <w:p w14:paraId="71DF92EB"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Обязать Наркомсредмаш (тов. Лихачева Е.А.) создать мощно</w:t>
      </w:r>
      <w:r w:rsidRPr="00DB5D0D">
        <w:rPr>
          <w:rFonts w:ascii="Times New Roman" w:hAnsi="Times New Roman"/>
          <w:color w:val="0070C0"/>
          <w:sz w:val="16"/>
          <w:szCs w:val="16"/>
        </w:rPr>
        <w:softHyphen/>
        <w:t>сти по выпуску арттягачей, шасси к бронеавтомобилям и автомобилей с двумя ведущими осями, в следующих количествах:</w:t>
      </w:r>
    </w:p>
    <w:p w14:paraId="29143C7B"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по заводу № 183:</w:t>
      </w:r>
    </w:p>
    <w:p w14:paraId="0860FEF2"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арттягачи "Ворошиловец" - 900 шт. в год к 1 апреля 1941г&gt;</w:t>
      </w:r>
    </w:p>
    <w:p w14:paraId="0C214F9A"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по Харьковскому тракторному заводу:</w:t>
      </w:r>
    </w:p>
    <w:p w14:paraId="74F77792"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арттягачи СТЗ-5 - 5000 шт. в год к 1 августа 1941 г. в пределах проектной мощности завода;</w:t>
      </w:r>
    </w:p>
    <w:p w14:paraId="54B317D2"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по Горьковскому автозаводу:</w:t>
      </w:r>
    </w:p>
    <w:p w14:paraId="75A5AFD3"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легковые автомобили с двумя ведущими осями ГАЗ-61 - 1000 шт. в год к 1 августа 1941г. в пределах проектной мощности завода;</w:t>
      </w:r>
    </w:p>
    <w:p w14:paraId="70571800"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по автозаводу им. Сталина:</w:t>
      </w:r>
    </w:p>
    <w:p w14:paraId="5840BCFF"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грузовые автомобили с двумя ведущими осями 3KC-32 - 2000 шт. в год к 1 августа 1941 г. в пределах проектной мощности завода;</w:t>
      </w:r>
    </w:p>
    <w:p w14:paraId="469F6C5C"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шасси ЗИС-бк для бронеавтомобилей БА-11 - 2000 шт. в год к 1 июля 1941 года в пределах проектной мощности завода;</w:t>
      </w:r>
    </w:p>
    <w:p w14:paraId="6D0CEA93"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по Челябинскому тракторному заводу - арттягачи СТ-2 - 5000 шт. в год в 1 августа 1941 г. в пределах проектной мощности завода.</w:t>
      </w:r>
    </w:p>
    <w:p w14:paraId="238FEB7C"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Обязать Наркомстрой (тов. Гинзбурга С.З.), помимо строи</w:t>
      </w:r>
      <w:r w:rsidRPr="00DB5D0D">
        <w:rPr>
          <w:rFonts w:ascii="Times New Roman" w:hAnsi="Times New Roman"/>
          <w:color w:val="0070C0"/>
          <w:sz w:val="16"/>
          <w:szCs w:val="16"/>
        </w:rPr>
        <w:softHyphen/>
        <w:t>тельных работ по титулам 1940 г., обеспечить окончание строительства в следующие сроки:</w:t>
      </w:r>
    </w:p>
    <w:p w14:paraId="6349C50B"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по Харьковскому тракторному заводу: сдаточнвй цех - май 1941 года, кузовной цех</w:t>
      </w:r>
      <w:r w:rsidRPr="00DB5D0D">
        <w:rPr>
          <w:rFonts w:ascii="Times New Roman" w:hAnsi="Times New Roman"/>
          <w:color w:val="0070C0"/>
          <w:sz w:val="16"/>
          <w:szCs w:val="16"/>
        </w:rPr>
        <w:tab/>
        <w:t>- апрель 1941 года,</w:t>
      </w:r>
    </w:p>
    <w:p w14:paraId="20191E66"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по Горьковскому автозаводу: термический цех</w:t>
      </w:r>
      <w:r w:rsidRPr="00DB5D0D">
        <w:rPr>
          <w:rFonts w:ascii="Times New Roman" w:hAnsi="Times New Roman"/>
          <w:color w:val="0070C0"/>
          <w:sz w:val="16"/>
          <w:szCs w:val="16"/>
        </w:rPr>
        <w:tab/>
        <w:t>- август 1940г.</w:t>
      </w:r>
    </w:p>
    <w:p w14:paraId="7EAFFC01"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моторный цех</w:t>
      </w:r>
      <w:r w:rsidRPr="00DB5D0D">
        <w:rPr>
          <w:rFonts w:ascii="Times New Roman" w:hAnsi="Times New Roman"/>
          <w:color w:val="0070C0"/>
          <w:sz w:val="16"/>
          <w:szCs w:val="16"/>
        </w:rPr>
        <w:tab/>
        <w:t>- август 1940г.</w:t>
      </w:r>
    </w:p>
    <w:p w14:paraId="4063A11C"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кузовной цех</w:t>
      </w:r>
      <w:r w:rsidRPr="00DB5D0D">
        <w:rPr>
          <w:rFonts w:ascii="Times New Roman" w:hAnsi="Times New Roman"/>
          <w:color w:val="0070C0"/>
          <w:sz w:val="16"/>
          <w:szCs w:val="16"/>
        </w:rPr>
        <w:tab/>
        <w:t>- октябрь 1940г.</w:t>
      </w:r>
    </w:p>
    <w:p w14:paraId="492874A1"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литейный цех серого чугуна</w:t>
      </w:r>
      <w:r w:rsidRPr="00DB5D0D">
        <w:rPr>
          <w:rFonts w:ascii="Times New Roman" w:hAnsi="Times New Roman"/>
          <w:color w:val="0070C0"/>
          <w:sz w:val="16"/>
          <w:szCs w:val="16"/>
        </w:rPr>
        <w:tab/>
        <w:t xml:space="preserve"> - август 1940г.</w:t>
      </w:r>
    </w:p>
    <w:p w14:paraId="300F2CF1"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по Заводу № 37 (г. Москва): инструментальный цех</w:t>
      </w:r>
      <w:r w:rsidRPr="00DB5D0D">
        <w:rPr>
          <w:rFonts w:ascii="Times New Roman" w:hAnsi="Times New Roman"/>
          <w:color w:val="0070C0"/>
          <w:sz w:val="16"/>
          <w:szCs w:val="16"/>
        </w:rPr>
        <w:tab/>
        <w:t xml:space="preserve"> - май 1941г.</w:t>
      </w:r>
    </w:p>
    <w:p w14:paraId="513BD4F8"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Обязать Наркомсредмаш в декадный срок согласовать с Наркомстроем сроки проектирования строительства на заводах № 37 и ХТЗ, обеспечивающие выполнение строительно-монтажных работ, указанных в пункте 2 настоящего постановления.</w:t>
      </w:r>
    </w:p>
    <w:p w14:paraId="7F660981"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Выделить Наркомсредмашу дополнительно из резервного фонда СНК Союза ССР в 1940 г» - 51,0 млн. рублей, в том числе:</w:t>
      </w:r>
    </w:p>
    <w:p w14:paraId="08878AC9"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на капитальное строительство и приобретение отечествен</w:t>
      </w:r>
      <w:r w:rsidRPr="00DB5D0D">
        <w:rPr>
          <w:rFonts w:ascii="Times New Roman" w:hAnsi="Times New Roman"/>
          <w:color w:val="0070C0"/>
          <w:sz w:val="16"/>
          <w:szCs w:val="16"/>
        </w:rPr>
        <w:softHyphen/>
        <w:t>ного оборудования:</w:t>
      </w:r>
    </w:p>
    <w:p w14:paraId="52E3EA4E"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завода ХТЗ -</w:t>
      </w:r>
      <w:r w:rsidRPr="00DB5D0D">
        <w:rPr>
          <w:rFonts w:ascii="Times New Roman" w:hAnsi="Times New Roman"/>
          <w:color w:val="0070C0"/>
          <w:sz w:val="16"/>
          <w:szCs w:val="16"/>
        </w:rPr>
        <w:tab/>
        <w:t>9,5 млн. рубл.</w:t>
      </w:r>
    </w:p>
    <w:p w14:paraId="0CA08F66"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fldChar w:fldCharType="begin"/>
      </w:r>
      <w:r w:rsidRPr="00DB5D0D">
        <w:rPr>
          <w:rFonts w:ascii="Times New Roman" w:hAnsi="Times New Roman"/>
          <w:color w:val="0070C0"/>
          <w:sz w:val="16"/>
          <w:szCs w:val="16"/>
        </w:rPr>
        <w:instrText xml:space="preserve"> TOC \o "1-5" \h \z </w:instrText>
      </w:r>
      <w:r w:rsidRPr="00DB5D0D">
        <w:rPr>
          <w:rFonts w:ascii="Times New Roman" w:hAnsi="Times New Roman"/>
          <w:color w:val="0070C0"/>
          <w:sz w:val="16"/>
          <w:szCs w:val="16"/>
        </w:rPr>
        <w:fldChar w:fldCharType="separate"/>
      </w:r>
      <w:r w:rsidRPr="00DB5D0D">
        <w:rPr>
          <w:rFonts w:ascii="Times New Roman" w:hAnsi="Times New Roman"/>
          <w:color w:val="0070C0"/>
          <w:sz w:val="16"/>
          <w:szCs w:val="16"/>
        </w:rPr>
        <w:t>"</w:t>
      </w:r>
      <w:r w:rsidRPr="00DB5D0D">
        <w:rPr>
          <w:rFonts w:ascii="Times New Roman" w:hAnsi="Times New Roman"/>
          <w:color w:val="0070C0"/>
          <w:sz w:val="16"/>
          <w:szCs w:val="16"/>
        </w:rPr>
        <w:tab/>
        <w:t>"</w:t>
      </w:r>
      <w:r w:rsidRPr="00DB5D0D">
        <w:rPr>
          <w:rFonts w:ascii="Times New Roman" w:hAnsi="Times New Roman"/>
          <w:color w:val="0070C0"/>
          <w:sz w:val="16"/>
          <w:szCs w:val="16"/>
        </w:rPr>
        <w:tab/>
        <w:t>ГАЗ</w:t>
      </w:r>
      <w:r w:rsidRPr="00DB5D0D">
        <w:rPr>
          <w:rFonts w:ascii="Times New Roman" w:hAnsi="Times New Roman"/>
          <w:color w:val="0070C0"/>
          <w:sz w:val="16"/>
          <w:szCs w:val="16"/>
        </w:rPr>
        <w:tab/>
        <w:t>-</w:t>
      </w:r>
      <w:r w:rsidRPr="00DB5D0D">
        <w:rPr>
          <w:rFonts w:ascii="Times New Roman" w:hAnsi="Times New Roman"/>
          <w:color w:val="0070C0"/>
          <w:sz w:val="16"/>
          <w:szCs w:val="16"/>
        </w:rPr>
        <w:tab/>
        <w:t>7,0</w:t>
      </w:r>
      <w:r w:rsidRPr="00DB5D0D">
        <w:rPr>
          <w:rFonts w:ascii="Times New Roman" w:hAnsi="Times New Roman"/>
          <w:color w:val="0070C0"/>
          <w:sz w:val="16"/>
          <w:szCs w:val="16"/>
        </w:rPr>
        <w:tab/>
        <w:t>"</w:t>
      </w:r>
    </w:p>
    <w:p w14:paraId="06AA0676"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r w:rsidRPr="00DB5D0D">
        <w:rPr>
          <w:rFonts w:ascii="Times New Roman" w:hAnsi="Times New Roman"/>
          <w:color w:val="0070C0"/>
          <w:sz w:val="16"/>
          <w:szCs w:val="16"/>
        </w:rPr>
        <w:tab/>
        <w:t>"</w:t>
      </w:r>
      <w:r w:rsidRPr="00DB5D0D">
        <w:rPr>
          <w:rFonts w:ascii="Times New Roman" w:hAnsi="Times New Roman"/>
          <w:color w:val="0070C0"/>
          <w:sz w:val="16"/>
          <w:szCs w:val="16"/>
        </w:rPr>
        <w:tab/>
        <w:t>ЗИС</w:t>
      </w:r>
      <w:r w:rsidRPr="00DB5D0D">
        <w:rPr>
          <w:rFonts w:ascii="Times New Roman" w:hAnsi="Times New Roman"/>
          <w:color w:val="0070C0"/>
          <w:sz w:val="16"/>
          <w:szCs w:val="16"/>
        </w:rPr>
        <w:tab/>
        <w:t>-</w:t>
      </w:r>
      <w:r w:rsidRPr="00DB5D0D">
        <w:rPr>
          <w:rFonts w:ascii="Times New Roman" w:hAnsi="Times New Roman"/>
          <w:color w:val="0070C0"/>
          <w:sz w:val="16"/>
          <w:szCs w:val="16"/>
        </w:rPr>
        <w:tab/>
        <w:t>4,7</w:t>
      </w:r>
      <w:r w:rsidRPr="00DB5D0D">
        <w:rPr>
          <w:rFonts w:ascii="Times New Roman" w:hAnsi="Times New Roman"/>
          <w:color w:val="0070C0"/>
          <w:sz w:val="16"/>
          <w:szCs w:val="16"/>
        </w:rPr>
        <w:tab/>
        <w:t>"</w:t>
      </w:r>
    </w:p>
    <w:p w14:paraId="43C69E81"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r w:rsidRPr="00DB5D0D">
        <w:rPr>
          <w:rFonts w:ascii="Times New Roman" w:hAnsi="Times New Roman"/>
          <w:color w:val="0070C0"/>
          <w:sz w:val="16"/>
          <w:szCs w:val="16"/>
        </w:rPr>
        <w:tab/>
        <w:t>"</w:t>
      </w:r>
      <w:r w:rsidRPr="00DB5D0D">
        <w:rPr>
          <w:rFonts w:ascii="Times New Roman" w:hAnsi="Times New Roman"/>
          <w:color w:val="0070C0"/>
          <w:sz w:val="16"/>
          <w:szCs w:val="16"/>
        </w:rPr>
        <w:tab/>
        <w:t>ЧТЗ</w:t>
      </w:r>
      <w:r w:rsidRPr="00DB5D0D">
        <w:rPr>
          <w:rFonts w:ascii="Times New Roman" w:hAnsi="Times New Roman"/>
          <w:color w:val="0070C0"/>
          <w:sz w:val="16"/>
          <w:szCs w:val="16"/>
        </w:rPr>
        <w:tab/>
        <w:t>-</w:t>
      </w:r>
      <w:r w:rsidRPr="00DB5D0D">
        <w:rPr>
          <w:rFonts w:ascii="Times New Roman" w:hAnsi="Times New Roman"/>
          <w:color w:val="0070C0"/>
          <w:sz w:val="16"/>
          <w:szCs w:val="16"/>
        </w:rPr>
        <w:tab/>
        <w:t>5,0</w:t>
      </w:r>
      <w:r w:rsidRPr="00DB5D0D">
        <w:rPr>
          <w:rFonts w:ascii="Times New Roman" w:hAnsi="Times New Roman"/>
          <w:color w:val="0070C0"/>
          <w:sz w:val="16"/>
          <w:szCs w:val="16"/>
        </w:rPr>
        <w:tab/>
        <w:t>"•</w:t>
      </w:r>
    </w:p>
    <w:p w14:paraId="35BB9933" w14:textId="77777777" w:rsidR="00546C1C" w:rsidRPr="00DB5D0D" w:rsidRDefault="00546C1C" w:rsidP="00DB5D0D">
      <w:pPr>
        <w:spacing w:after="0" w:line="240" w:lineRule="auto"/>
        <w:ind w:left="708"/>
        <w:jc w:val="both"/>
        <w:rPr>
          <w:rFonts w:ascii="Times New Roman" w:hAnsi="Times New Roman"/>
          <w:color w:val="0070C0"/>
          <w:sz w:val="16"/>
          <w:szCs w:val="16"/>
        </w:rPr>
      </w:pPr>
      <w:r w:rsidRPr="00DB5D0D">
        <w:rPr>
          <w:rFonts w:ascii="Times New Roman" w:hAnsi="Times New Roman"/>
          <w:color w:val="0070C0"/>
          <w:sz w:val="16"/>
          <w:szCs w:val="16"/>
        </w:rPr>
        <w:t>№ 37</w:t>
      </w:r>
      <w:r w:rsidRPr="00DB5D0D">
        <w:rPr>
          <w:rFonts w:ascii="Times New Roman" w:hAnsi="Times New Roman"/>
          <w:color w:val="0070C0"/>
          <w:sz w:val="16"/>
          <w:szCs w:val="16"/>
        </w:rPr>
        <w:tab/>
        <w:t>-</w:t>
      </w:r>
      <w:r w:rsidRPr="00DB5D0D">
        <w:rPr>
          <w:rFonts w:ascii="Times New Roman" w:hAnsi="Times New Roman"/>
          <w:color w:val="0070C0"/>
          <w:sz w:val="16"/>
          <w:szCs w:val="16"/>
        </w:rPr>
        <w:tab/>
        <w:t>2,9</w:t>
      </w:r>
      <w:r w:rsidRPr="00DB5D0D">
        <w:rPr>
          <w:rFonts w:ascii="Times New Roman" w:hAnsi="Times New Roman"/>
          <w:color w:val="0070C0"/>
          <w:sz w:val="16"/>
          <w:szCs w:val="16"/>
        </w:rPr>
        <w:tab/>
        <w:t>"</w:t>
      </w:r>
    </w:p>
    <w:p w14:paraId="78F1074D"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r w:rsidRPr="00DB5D0D">
        <w:rPr>
          <w:rFonts w:ascii="Times New Roman" w:hAnsi="Times New Roman"/>
          <w:color w:val="0070C0"/>
          <w:sz w:val="16"/>
          <w:szCs w:val="16"/>
        </w:rPr>
        <w:tab/>
        <w:t>"</w:t>
      </w:r>
      <w:r w:rsidRPr="00DB5D0D">
        <w:rPr>
          <w:rFonts w:ascii="Times New Roman" w:hAnsi="Times New Roman"/>
          <w:color w:val="0070C0"/>
          <w:sz w:val="16"/>
          <w:szCs w:val="16"/>
        </w:rPr>
        <w:tab/>
        <w:t>№ 48</w:t>
      </w:r>
      <w:r w:rsidRPr="00DB5D0D">
        <w:rPr>
          <w:rFonts w:ascii="Times New Roman" w:hAnsi="Times New Roman"/>
          <w:color w:val="0070C0"/>
          <w:sz w:val="16"/>
          <w:szCs w:val="16"/>
        </w:rPr>
        <w:tab/>
        <w:t>-</w:t>
      </w:r>
      <w:r w:rsidRPr="00DB5D0D">
        <w:rPr>
          <w:rFonts w:ascii="Times New Roman" w:hAnsi="Times New Roman"/>
          <w:color w:val="0070C0"/>
          <w:sz w:val="16"/>
          <w:szCs w:val="16"/>
        </w:rPr>
        <w:tab/>
        <w:t>2,2</w:t>
      </w:r>
      <w:r w:rsidRPr="00DB5D0D">
        <w:rPr>
          <w:rFonts w:ascii="Times New Roman" w:hAnsi="Times New Roman"/>
          <w:color w:val="0070C0"/>
          <w:sz w:val="16"/>
          <w:szCs w:val="16"/>
        </w:rPr>
        <w:tab/>
        <w:t>"•</w:t>
      </w:r>
    </w:p>
    <w:p w14:paraId="51B203A4"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ab/>
      </w:r>
      <w:r w:rsidRPr="00DB5D0D">
        <w:rPr>
          <w:rFonts w:ascii="Times New Roman" w:hAnsi="Times New Roman"/>
          <w:color w:val="0070C0"/>
          <w:sz w:val="16"/>
          <w:szCs w:val="16"/>
        </w:rPr>
        <w:tab/>
        <w:t>№ 174</w:t>
      </w:r>
      <w:r w:rsidRPr="00DB5D0D">
        <w:rPr>
          <w:rFonts w:ascii="Times New Roman" w:hAnsi="Times New Roman"/>
          <w:color w:val="0070C0"/>
          <w:sz w:val="16"/>
          <w:szCs w:val="16"/>
        </w:rPr>
        <w:tab/>
        <w:t>-</w:t>
      </w:r>
      <w:r w:rsidRPr="00DB5D0D">
        <w:rPr>
          <w:rFonts w:ascii="Times New Roman" w:hAnsi="Times New Roman"/>
          <w:color w:val="0070C0"/>
          <w:sz w:val="16"/>
          <w:szCs w:val="16"/>
        </w:rPr>
        <w:tab/>
        <w:t>2,7</w:t>
      </w:r>
      <w:r w:rsidRPr="00DB5D0D">
        <w:rPr>
          <w:rFonts w:ascii="Times New Roman" w:hAnsi="Times New Roman"/>
          <w:color w:val="0070C0"/>
          <w:sz w:val="16"/>
          <w:szCs w:val="16"/>
        </w:rPr>
        <w:tab/>
        <w:t>*</w:t>
      </w:r>
      <w:r w:rsidRPr="00DB5D0D">
        <w:rPr>
          <w:rFonts w:ascii="Times New Roman" w:hAnsi="Times New Roman"/>
          <w:color w:val="0070C0"/>
          <w:sz w:val="16"/>
          <w:szCs w:val="16"/>
        </w:rPr>
        <w:fldChar w:fldCharType="end"/>
      </w:r>
    </w:p>
    <w:p w14:paraId="35428F5C"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на подготовку производства и заготовку инструмента 17 млн. рублей.</w:t>
      </w:r>
    </w:p>
    <w:p w14:paraId="55827BA9"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Выделить Наркомсредмашу валютный контингент на приобретение оборудования, приборов и оплату технической помощи в сумме 11,5 млн. руб. для заводов №№ 37, 48, 174, ЧТЗ, ЗИС и ГАЗ.</w:t>
      </w:r>
    </w:p>
    <w:p w14:paraId="09CEE7ED"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Обяэать Наркомвнешторг обеспечить в кратчайший срок раз</w:t>
      </w:r>
      <w:r w:rsidRPr="00DB5D0D">
        <w:rPr>
          <w:rFonts w:ascii="Times New Roman" w:hAnsi="Times New Roman"/>
          <w:color w:val="0070C0"/>
          <w:sz w:val="16"/>
          <w:szCs w:val="16"/>
        </w:rPr>
        <w:softHyphen/>
        <w:t>мещение заказов за границей на оборудование и приборы для Наркомсредмаша по его спецификации (приложение XI).</w:t>
      </w:r>
    </w:p>
    <w:p w14:paraId="61A4274B"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7.Обязать Наркомтяжмаш, Наркомэлектропром, Наркомобщемаш, Наркомстройматериалов и Наркомбоеприпасов поставить Наркомсредмашу це</w:t>
      </w:r>
      <w:r w:rsidRPr="00DB5D0D">
        <w:rPr>
          <w:rFonts w:ascii="Times New Roman" w:hAnsi="Times New Roman"/>
          <w:color w:val="0070C0"/>
          <w:sz w:val="16"/>
          <w:szCs w:val="16"/>
        </w:rPr>
        <w:softHyphen/>
        <w:t>левым назначением оборудование и инструмент, согласно приложениям №№ 2,3,4,5,6,7,8 и 9.</w:t>
      </w:r>
    </w:p>
    <w:p w14:paraId="71844AED"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Сохранить существовавшую в 1939 г. внешнюю кооперацию по произ</w:t>
      </w:r>
      <w:r w:rsidRPr="00DB5D0D">
        <w:rPr>
          <w:rFonts w:ascii="Times New Roman" w:hAnsi="Times New Roman"/>
          <w:color w:val="0070C0"/>
          <w:sz w:val="16"/>
          <w:szCs w:val="16"/>
        </w:rPr>
        <w:softHyphen/>
        <w:t>водству танков и арттягачей заводами № 183 , 37, 174 , 48, Сталинградски и Челябинским тракторными заводами, дополнительно включив в коопера</w:t>
      </w:r>
      <w:r w:rsidRPr="00DB5D0D">
        <w:rPr>
          <w:rFonts w:ascii="Times New Roman" w:hAnsi="Times New Roman"/>
          <w:color w:val="0070C0"/>
          <w:sz w:val="16"/>
          <w:szCs w:val="16"/>
        </w:rPr>
        <w:softHyphen/>
        <w:t>цию обеспечение машин Т-40 и СТ-2 ( приложение №№ 10 и 11).</w:t>
      </w:r>
    </w:p>
    <w:p w14:paraId="7B3B4866"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Предложить Госплану СССР предусмотреть в квартальных планах выделение Наркомсредмашу необходимых материалов для производства арттягачей, шасси к бронеавтомобилям и автомобилей с двумя ведущими осями в соответствии с производственной программой.</w:t>
      </w:r>
    </w:p>
    <w:p w14:paraId="2C557D3F"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Обязать Мосгорисполком до 1 октября 1940 г. освободить тер</w:t>
      </w:r>
      <w:r w:rsidRPr="00DB5D0D">
        <w:rPr>
          <w:rFonts w:ascii="Times New Roman" w:hAnsi="Times New Roman"/>
          <w:color w:val="0070C0"/>
          <w:sz w:val="16"/>
          <w:szCs w:val="16"/>
        </w:rPr>
        <w:softHyphen/>
        <w:t>риторию, отведенную заводу № 37 по генеральному плану.</w:t>
      </w:r>
    </w:p>
    <w:p w14:paraId="66B2AE07"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Предложить Госплану СССР предусмотреть в квартальных планах выделение Наркомстрою необходимых материалов для указанных в на</w:t>
      </w:r>
      <w:r w:rsidRPr="00DB5D0D">
        <w:rPr>
          <w:rFonts w:ascii="Times New Roman" w:hAnsi="Times New Roman"/>
          <w:color w:val="0070C0"/>
          <w:sz w:val="16"/>
          <w:szCs w:val="16"/>
        </w:rPr>
        <w:softHyphen/>
        <w:t>стоящем постановлении строительных и монтажных работ (п.2 настоящего постановления).</w:t>
      </w:r>
    </w:p>
    <w:p w14:paraId="6FCB4211"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Разрешить Промбанку финансировать работы, проводимые по рабочим чертежам без проектов, и смет по единоличным расценкам и фактически выполняемому об’ему работ до 30 декабря 1940 г. по за</w:t>
      </w:r>
      <w:r w:rsidRPr="00DB5D0D">
        <w:rPr>
          <w:rFonts w:ascii="Times New Roman" w:hAnsi="Times New Roman"/>
          <w:color w:val="0070C0"/>
          <w:sz w:val="16"/>
          <w:szCs w:val="16"/>
        </w:rPr>
        <w:softHyphen/>
        <w:t>водам № 37 и ХТЗ.</w:t>
      </w:r>
    </w:p>
    <w:p w14:paraId="63B28C38"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Выделить из резервного фонда СНК СССР для премирования за досрочное окончание строительно-монтажных работ и за досрочное освоение в серийном производстве новых образцов автобронетанкового вооружения:</w:t>
      </w:r>
    </w:p>
    <w:p w14:paraId="53BA3EE6"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Наркомсредаашу</w:t>
      </w:r>
      <w:r w:rsidRPr="00DB5D0D">
        <w:rPr>
          <w:rFonts w:ascii="Times New Roman" w:hAnsi="Times New Roman"/>
          <w:color w:val="0070C0"/>
          <w:sz w:val="16"/>
          <w:szCs w:val="16"/>
        </w:rPr>
        <w:tab/>
        <w:t>1.700 тыс. руб.</w:t>
      </w:r>
    </w:p>
    <w:p w14:paraId="2B0BCF61" w14:textId="77777777" w:rsidR="00546C1C" w:rsidRPr="00DB5D0D" w:rsidRDefault="00546C1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Наркомстрою</w:t>
      </w:r>
      <w:r w:rsidRPr="00DB5D0D">
        <w:rPr>
          <w:rFonts w:ascii="Times New Roman" w:hAnsi="Times New Roman"/>
          <w:color w:val="0070C0"/>
          <w:sz w:val="16"/>
          <w:szCs w:val="16"/>
        </w:rPr>
        <w:tab/>
        <w:t>300 тыс. руб. (21965).</w:t>
      </w:r>
    </w:p>
    <w:p w14:paraId="7F1F7D33" w14:textId="77777777" w:rsidR="00546C1C" w:rsidRPr="00DB5D0D" w:rsidRDefault="00546C1C" w:rsidP="00DB5D0D">
      <w:pPr>
        <w:spacing w:after="0" w:line="240" w:lineRule="auto"/>
        <w:jc w:val="both"/>
        <w:rPr>
          <w:rFonts w:ascii="Times New Roman" w:hAnsi="Times New Roman"/>
          <w:color w:val="0070C0"/>
          <w:sz w:val="16"/>
          <w:szCs w:val="16"/>
        </w:rPr>
      </w:pPr>
    </w:p>
    <w:p w14:paraId="48E6EA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по пр. НКЭП № 30сс ГПИ-9 начато проектирование в Киеве завода анодных батарей (Завод № 221 НКЭП, Киевский элементный завод НКЭП /г. Киев/). Проектное задание требовалось представить к 1.10.1940 г., техпроект - к 15.03.1941 г., срок ввода завода в эксплуатацию - 1.06.1943 г. Проектная мощность завода: анодных батарей: БАС-80 - 1750 тыс. шт. в год, БАС-60 - 2400 тыс. шт., БАС-40 - 5 тыс. шт.; элементов: 1В, 1С - 200 тыс. шт., 2В, 2С - 4 млн. шт., ЗВ, ЗС - 1400 тыс. шт.</w:t>
      </w:r>
    </w:p>
    <w:p w14:paraId="5DC67E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 № 32сс от 12.08.1940 г. элементному заводу в Киеве присвоен № 221 (11982).</w:t>
      </w:r>
    </w:p>
    <w:p w14:paraId="22FF9F1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870527" w14:textId="77777777" w:rsidR="003C7E8B" w:rsidRPr="00DB5D0D" w:rsidRDefault="003C7E8B"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26 июля 1940 года приказом Народного комиссара обороны на вооружение войск ПВО первая импульсная радиолокационная станция РУС-2 (такое наименование получил "Редут" ) (9921).</w:t>
      </w:r>
    </w:p>
    <w:p w14:paraId="2DDD942B" w14:textId="77777777" w:rsidR="003C7E8B" w:rsidRPr="00DB5D0D" w:rsidRDefault="003C7E8B" w:rsidP="00DB5D0D">
      <w:pPr>
        <w:pStyle w:val="a8"/>
        <w:widowControl/>
        <w:jc w:val="both"/>
        <w:rPr>
          <w:rFonts w:ascii="Times New Roman" w:hAnsi="Times New Roman" w:cs="Times New Roman"/>
          <w:color w:val="000000" w:themeColor="text1"/>
        </w:rPr>
      </w:pPr>
    </w:p>
    <w:p w14:paraId="2889F7C9" w14:textId="77777777" w:rsidR="003C7E8B" w:rsidRPr="00DB5D0D" w:rsidRDefault="003C7E8B" w:rsidP="00DB5D0D">
      <w:pPr>
        <w:pStyle w:val="Iauiue"/>
        <w:jc w:val="both"/>
        <w:rPr>
          <w:color w:val="000000" w:themeColor="text1"/>
          <w:sz w:val="16"/>
          <w:szCs w:val="16"/>
        </w:rPr>
      </w:pPr>
      <w:r w:rsidRPr="00DB5D0D">
        <w:rPr>
          <w:color w:val="000000" w:themeColor="text1"/>
          <w:sz w:val="16"/>
          <w:szCs w:val="16"/>
        </w:rPr>
        <w:t>26 июля 1940 года приказом наркома обороны Семена Тимошенко импульсная автомобильная станция дальнего обнаружения “Редут” под индексом РУС-2 была принята на вооружение. Станция обнаруживала самолеты на расстоянии 120–150 километров, в зависимости от высоты полета, и могла непрерывно определять расстояние до них, направление и скорость полета, и наводить на них перехватчики. Станция обнаруживала не только группы самолетов, но и одиночные воздушные цели. Всего было выпущено десять станций РУС-2. Восемь из них – на Ленинградском заводе № 209 имени Коминтерна и две – в НИИ радиопромышленности НКВД. Дальнейшему развертыванию производства станций на заводах Ленинграда помешала война (10109).</w:t>
      </w:r>
    </w:p>
    <w:p w14:paraId="4FF39C68" w14:textId="77777777" w:rsidR="003C7E8B" w:rsidRPr="00DB5D0D" w:rsidRDefault="003C7E8B" w:rsidP="00DB5D0D">
      <w:pPr>
        <w:pStyle w:val="Iauiue"/>
        <w:jc w:val="both"/>
        <w:rPr>
          <w:color w:val="000000" w:themeColor="text1"/>
          <w:sz w:val="16"/>
          <w:szCs w:val="16"/>
        </w:rPr>
      </w:pPr>
    </w:p>
    <w:p w14:paraId="4FC419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на вооружение войск ПВО приказом НКО N 0039 (3398,258) был принят РЛС комплекс дальностью до 100 км РУС-2. ГК А.Б.Слепушин и НИИ-20 к войне сделали 45 (1566,253).</w:t>
      </w:r>
    </w:p>
    <w:p w14:paraId="3102B8D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0798F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июля 1940 г. Приказом НКО подвижная </w:t>
      </w:r>
      <w:r w:rsidRPr="00DB5D0D">
        <w:rPr>
          <w:rFonts w:ascii="Times New Roman" w:hAnsi="Times New Roman"/>
          <w:color w:val="000000" w:themeColor="text1"/>
          <w:sz w:val="16"/>
          <w:szCs w:val="16"/>
          <w:lang w:val="en-US"/>
        </w:rPr>
        <w:t>PJIC</w:t>
      </w:r>
      <w:r w:rsidRPr="00DB5D0D">
        <w:rPr>
          <w:rFonts w:ascii="Times New Roman" w:hAnsi="Times New Roman"/>
          <w:color w:val="000000" w:themeColor="text1"/>
          <w:sz w:val="16"/>
          <w:szCs w:val="16"/>
        </w:rPr>
        <w:t xml:space="preserve"> «Редут» (РУС-2) импульсного действия пнв. 2.06.1940 г. Комитет обороны выдал институту задание изготовить к 03.1941 г. опытную станцию «Луна», но это не было выполнено. Впервые в мире создана телевизонно-РЛ доплеровская система дальнего обнаружения системы оповещения ПВО, применявшаяся в годы войны в Ленинграде (Э.И. Голованевский) (11982).</w:t>
      </w:r>
    </w:p>
    <w:p w14:paraId="628056C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08F39F5" w14:textId="77777777" w:rsidR="003F3824" w:rsidRPr="00DB5D0D" w:rsidRDefault="003F382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июля в 1940 году приказом НКО СССР № 0039 на вооружение войск ПВО принята РЛС </w:t>
      </w:r>
      <w:hyperlink r:id="rId233" w:anchor="it3" w:tgtFrame="_blank" w:history="1">
        <w:r w:rsidRPr="00DB5D0D">
          <w:rPr>
            <w:rFonts w:ascii="Times New Roman" w:hAnsi="Times New Roman"/>
            <w:color w:val="000000" w:themeColor="text1"/>
            <w:sz w:val="16"/>
            <w:szCs w:val="16"/>
          </w:rPr>
          <w:t xml:space="preserve">«РУС-2» </w:t>
        </w:r>
      </w:hyperlink>
      <w:r w:rsidRPr="00DB5D0D">
        <w:rPr>
          <w:rFonts w:ascii="Times New Roman" w:hAnsi="Times New Roman"/>
          <w:color w:val="000000" w:themeColor="text1"/>
          <w:sz w:val="16"/>
          <w:szCs w:val="16"/>
        </w:rPr>
        <w:t>(радиоуловитель сигналов) "Редут".</w:t>
      </w:r>
    </w:p>
    <w:p w14:paraId="41AF6863" w14:textId="77777777" w:rsidR="003F3824" w:rsidRPr="00DB5D0D" w:rsidRDefault="003F382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первом варианте передатчик и приемник располагались на разных машинах! Но, все равно, это был значительный успех, в этой по нынешним меркам примитивной станции видны черты современных РЛС (14964).</w:t>
      </w:r>
    </w:p>
    <w:p w14:paraId="01446587" w14:textId="77777777" w:rsidR="003F3824" w:rsidRPr="00DB5D0D" w:rsidRDefault="003F3824" w:rsidP="00DB5D0D">
      <w:pPr>
        <w:spacing w:after="0" w:line="240" w:lineRule="auto"/>
        <w:jc w:val="both"/>
        <w:rPr>
          <w:rFonts w:ascii="Times New Roman" w:hAnsi="Times New Roman"/>
          <w:color w:val="000000" w:themeColor="text1"/>
          <w:sz w:val="16"/>
          <w:szCs w:val="16"/>
        </w:rPr>
      </w:pPr>
    </w:p>
    <w:p w14:paraId="37F78B10" w14:textId="77777777" w:rsidR="003F3824" w:rsidRPr="00DB5D0D" w:rsidRDefault="003F382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приказом народного комиссара обороны первая импульсная радиолокационная станция РУС-2 поступила на вооружение войск ПВО. До конца года НИИ-20 изготовил и сдал заказчику опытную партию еще из десяти таких станций, имевших достаточно высокий уровень: при длине волны излучения 4 м они были способны обнаруживать самолеты на дальности до 150 километров. Вскоре появились варианты усовершенствования станции: переход на совмещение передающей и приемной антенны и вращение только антенны, а не всего фургона, что намного упрощало конструкцию, снижало трудоемкость и себестоимость установки. Поэтому выпуск двухантенного варианта решили ограничить опытной партией; заводу им. Коминтерна в 1941 г. поручили разработку автомобильного варианта одноантенной станции РУС-2с, а НИИ-20 под шифром «Пегматит» – разборного стационарного варианта с двадцатиметровой мачтой. В 1941 г. НИИ-20 была также создана и смонтирована на крейсере «Молотов» Черноморского флота первая, и долгое время остававшаяся единственной, корабельная станция «Редут-К». Изготовление опытной партии «Пегматита» (РУС-2с) НИИ-20 заканчивал уже в ходе войны в эвакуации в Барнауле, а завод им. Коминтерна смог выпустить уже в блокаде только опытную партию РУС-2 из 10 штук (15736).</w:t>
      </w:r>
    </w:p>
    <w:p w14:paraId="2E9EC64C" w14:textId="77777777" w:rsidR="003F3824" w:rsidRPr="00DB5D0D" w:rsidRDefault="003F3824" w:rsidP="00DB5D0D">
      <w:pPr>
        <w:spacing w:after="0" w:line="240" w:lineRule="auto"/>
        <w:jc w:val="both"/>
        <w:rPr>
          <w:rFonts w:ascii="Times New Roman" w:hAnsi="Times New Roman"/>
          <w:color w:val="000000" w:themeColor="text1"/>
          <w:sz w:val="16"/>
          <w:szCs w:val="16"/>
        </w:rPr>
      </w:pPr>
    </w:p>
    <w:p w14:paraId="1C2A1C9D" w14:textId="77777777" w:rsidR="003F3824" w:rsidRPr="00DB5D0D" w:rsidRDefault="003F382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По пр. НКЭП № 30сс начато проектирование в Тбилиси завода анодных батарей (ГПИ-9) (Завод № 329 НКЭП, Тбилисский элементный завод НКЭП /г. Тбилиси/). Проектное задание требовалось представить к 1.10.1940 г., техпроект - к 15.03.1941 г., срок ввода завода в эксплуатацию - 1.06.1943 г. Проектная мощность завода: анодных батарей: БАС-80 - 1750 тыс. шт. в год, БАС-60 — 1200 тыс. шт.; элементов: 1В, 1С - 50 тыс. шт., 2В, 2С - 1 млн. шт., ЗВ, ЗС - 350 тыс. шт.</w:t>
      </w:r>
    </w:p>
    <w:p w14:paraId="1698860F" w14:textId="77777777" w:rsidR="003F3824" w:rsidRPr="00DB5D0D" w:rsidRDefault="003F382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 № 32сс от 12.08.1940 г. элементному заводу в Тбилиси присвоен № 329 (11982).</w:t>
      </w:r>
    </w:p>
    <w:p w14:paraId="745BAAD0" w14:textId="77777777" w:rsidR="003F3824" w:rsidRPr="00DB5D0D" w:rsidRDefault="003F3824" w:rsidP="00DB5D0D">
      <w:pPr>
        <w:spacing w:after="0" w:line="240" w:lineRule="auto"/>
        <w:jc w:val="both"/>
        <w:rPr>
          <w:rFonts w:ascii="Times New Roman" w:hAnsi="Times New Roman"/>
          <w:color w:val="000000" w:themeColor="text1"/>
          <w:sz w:val="16"/>
          <w:szCs w:val="16"/>
        </w:rPr>
      </w:pPr>
    </w:p>
    <w:p w14:paraId="7BB4E4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Решением Политбюро ЦК ВКП(б) № П 19 / 85 - ОП от утверждалось Постановление СНК СССР и ЦК ВКП(б) «О накоплении мо</w:t>
      </w:r>
      <w:r w:rsidRPr="00DB5D0D">
        <w:rPr>
          <w:rFonts w:ascii="Times New Roman" w:hAnsi="Times New Roman"/>
          <w:color w:val="000000" w:themeColor="text1"/>
          <w:sz w:val="16"/>
          <w:szCs w:val="16"/>
        </w:rPr>
        <w:softHyphen/>
        <w:t>билизационных запасов горючего и смазочных материалов для НКО и НКВМФ» (РГАСПИ. Ф. 17. Оп. 162. Д. 28. Л. 57-58.) (11710,347).</w:t>
      </w:r>
    </w:p>
    <w:p w14:paraId="65B679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466A2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по пр. НКЭП № 30сс было начато проектирование в Ташкенте завода анодных батарей (ГПИ-9). Проектное задание требовалось представить к 1.10.1940 г., техпроект - к 15.03.1941 г., срок ввода завода в эксплуатацию - 1.06.1943 г. Проектная мощность завода: анодных батарей: БАС-80 - 750 тыс. шт. в год, БАС-60 - 1200 тыс. шт.; элементов: 1В, 1С - 50 тыс. шт., 2В, 2С - 1 млн. шт., ЗВ, ЗС - 350 тыс. шт.</w:t>
      </w:r>
    </w:p>
    <w:p w14:paraId="1080CB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 № 32сс от 12.08.1940 г. элементному заводу в Ташкенте присвоен № 357 (11982).</w:t>
      </w:r>
    </w:p>
    <w:p w14:paraId="380D865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9E862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26 июля 1940 года ТАСС распространил информацию "В прокуратуре Союза ССР", где говорилось: </w:t>
      </w:r>
    </w:p>
    <w:p w14:paraId="63200A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соответствии с Указом Президиума Верховного Совета Союза ССР от 10 июля 1940 г., органами Прокуратуры возбужден ряд уголовных дел о преступных действиях директоров, главных инженеров и начальников отделов технического контроля предприятий, выпустивших в товаропроводящую сеть и поставивших потребителям недоброкачественную, некомплектную или нестандартную продукцию. Так, в Горьковской области возбуждено дело в отношении руководителей завода "Красная Этна". Этот завод с 14 по 23 июля систематически выпускал недоброкачественные детали. Расследуется дело о выпуске недоброкачественных авточастей заводом "Автоприбор" (Московская область). Характерно, что руководители завода после того, как Глававтотракторосбыт 19 июля забраковал эту партию изделий, пытались сдать ее Авторемонтному заводу и Росглававтосбыту. В Москве возбуждено дело работников фабрики "Спортигрушка", выпустившей в течение 1940 г. недоброкачественной продукции на 7 млн руб. Ряд уголовных дел возбужден против работников хлебозаводов, выпускавших недоброкачественный хлеб. В Ярославской области ведется следствие о выпуске недоброкачественной продукции торфопредприятиями Яргрэса. В Челябинской области закончено расследование по делу директора сварочного завода Лихачева, обвиняемого в том, что он систематически допускал выпуск недоброкачественных изделий. Лихачев предан суду. Ведется расследование о выпуске недоброкачественной продукции вторым Государственным часовым заводом в Москве. Возбуждено уголовное дело о выпуске большого количества недоброкачественных тетрадей Краснокамским и Марийским бумкомбинатами. В г. Горьком привлечен к уголовной ответственности за выпуск недоброкачественной обуви технический руководитель промкомбината Ждановского района Михайловский. Прокуратурой Союза ССР установлен особый контроль за расследованием дел о выпуске недоброкачественной, некомплектной или нестандартной продукции". </w:t>
      </w:r>
    </w:p>
    <w:p w14:paraId="5F4E32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Следующим этапом борьбы за качество должны были стать показательные процессы над директорами-бракоделами. Однако здесь судебно-прокурорская машина начала буксовать. Процессы получались безликими, одинаковыми и откровенно скучными. Директоров, главных инженеров или технологов допрашивали о том, как они превратились во вредителей, те показывали технические регламенты и прочие руководящие документы, где говорилось, что определенный процесс брака неизбежен. Прокуроры требовали признаться в том, что для повышения качества продукции сделано далеко не все, но подсудимые предъявляли ворохи приказов, говоривших о том, что они пытались. </w:t>
      </w:r>
    </w:p>
    <w:p w14:paraId="55E409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Лишь на некоторых процессах всплывали любопытные детали. На заводе бетонных плит в Ленинграде бракованную продукцию пытались разбить в щебень, чтобы скрыть сам факт ее существования. Но независимо от наличия подобных отягчающих обстоятельств суды приговаривали к предусмотренному указом наказанию всех обвиненных. </w:t>
      </w:r>
    </w:p>
    <w:p w14:paraId="283B0A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декабре 1940 года прокуратура СССР докладывала в Совнарком СССР о достигнутых успехах: </w:t>
      </w:r>
    </w:p>
    <w:p w14:paraId="7C0599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 дня издания Указа Президиума Верховного Совета Союза ССР от 10 июля с. г. органами прокуратуры было закончено следствием и направлено в суд 363 дела о преступлениях, предусмотренных Указом. </w:t>
      </w:r>
    </w:p>
    <w:p w14:paraId="7DDC23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1 декабря с. г. судами были вынесены обвинительные приговоры по 221 делу и осуждены по Указу от 10 июля 381 чел. Из числа осужденных работали на предприятиях гос. промышленности 251 чел., на предприятиях системы Всекопромсовета — 80 чел. и на иных предприятиях — 50 чел. </w:t>
      </w:r>
    </w:p>
    <w:p w14:paraId="013D2A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Заслуживают особого внимания следующие дела, рассмотренные судом: </w:t>
      </w:r>
    </w:p>
    <w:p w14:paraId="22A62E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Дело работников Коломенского патефонного завода Наркомата Общего Машиностроения (Московская область). Завод выпускал недоброкачественную оборонную продукцию. Директор завода Кирюхин приговорен к 6 годам тюремного заключения, а гл. инженер Марьев и нач. ОТК Люминцев к 5 годам тюремного заключения каждый. </w:t>
      </w:r>
    </w:p>
    <w:p w14:paraId="5C54DB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Дело работников завода "Автоприбор" системы промкооперации (Московская область). Этот завод систематически выпускал недоброкачественные части для автостроения, которыми снабжал автопромышленность. По этому делу приговорены: директор завода Макарычев к 5 годам тюремного заключения; технорук Суков к 6 годам тюремного заключения, а нач. ОТК Соколов — к 8 годам тюремного заключения с поражением в правах на 5 лет. </w:t>
      </w:r>
    </w:p>
    <w:p w14:paraId="3E82E6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Дело работников завода "Карболит" Наркомхимпрома (Московская область). Этот завод выпускал в большом количестве недоброкачественные крышки для аккумуляторных баков. Директор завода Архиповский и гл. инженер Рогов приговорены к 6 годам тюремного заключения каждый, а нач. ОТК Козлов — к 5 годам тюрьмы... </w:t>
      </w:r>
    </w:p>
    <w:p w14:paraId="3EC3CE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Дело работников завода бетонных плит Наркомата Промышленности строительных материалов (г. Ленинград). Этот завод поставлял нестандартные бетонные плиты для ответственных военных строек. Директор завода Райхель и гл. инженер Айзенберг приговорены к 7 годам тюремного заключения каждый. Нач. ОТК Томич приговорен к 5 годам тюремного заключения... </w:t>
      </w:r>
    </w:p>
    <w:p w14:paraId="78CA02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8. Дело работников завода N 55 Наркомата Боеприпасов. Этот завод систематически и в больших количествах выпускал недоброкачественную продукцию. Директор завода Соболев приговорен к 7 годам тюремного заключения с лишением военного звания. Нач. ОТК Костин приговорен к 5 годам тюремного заключения. </w:t>
      </w:r>
    </w:p>
    <w:p w14:paraId="78DBF8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Дело работников Липецкого Мотороремонтного завода "Союзремтреста" Наркомзема Союза ССР (Воронежская область). Вследствие грубейших нарушений технологической дисциплины завод выпустил недоброкачественную оборонную продукцию. Главный инженер завода Адарюков приговорен к 5 годам тюремного заключения с поражением в правах на 2 года. </w:t>
      </w:r>
    </w:p>
    <w:p w14:paraId="29DA27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Дело работников завода "Красная Этна" Наркомата Среднего Машиностроения (г. Горький). Этот завод систематически и в большом количестве выпускал недоброкачественные детали для автостроения. Директор завода Макаров и главный инженер Исаков приговорены к 8 годам тюремного заключения каждый... </w:t>
      </w:r>
    </w:p>
    <w:p w14:paraId="313534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13. Дело работников шахты "Северная" Наркомчермета (Днепропетровская область). По этому делу приговорены: начальник шахты Ратушный к 5 годам и технорук Паденко — к 6 годам тюремного заключения..." </w:t>
      </w:r>
    </w:p>
    <w:p w14:paraId="613163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Еще через месяц дел стало 396, а осужденных — 417 и подчеркивалось, что "все без исключения осужденные приговорены к тюремному заключению". Однако больше сводки об осужденных директорах-бракоделах в Совнарком не поступали, что свидетельствовало об окончании кампании. Возможно, из-за приближающейся войны руководящие кадры промышленности решили поберечь. А возможно, в ЦК и правительстве сочли, что они достаточно напуганы для того, чтобы работать без брака. </w:t>
      </w:r>
    </w:p>
    <w:p w14:paraId="3EC7C8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Руководителей осуждали и потом, но далеко не каждого из тех, кто обвинялся в выпуске некачественной продукции, подвергали наказанию на основании указа от 10 июля 1940 года. Например, начальника главного управления спичечной промышленности Наркомлеспрома М. Д. Столярова, обвинявшегося в срыве правительственного задания по производству спичек и выпуске некачественной продукции, в 1942 году отдали под суд по обвинению в халатности и приговорили к шести месяцам исправительных работ по месту работы с удержанием 15% заработной платы. </w:t>
      </w:r>
    </w:p>
    <w:p w14:paraId="1154FC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указ от 10 июля позднее использовался в создании политических дел в послевоенное время. Знаменитое "Авиационное дело", в ходе которого в 1946 году арестовали и осудили наркома авиапромышленности Алексея Шахурина, главкома ВВС главного маршала ВВС Александра Новикова и других руководителей, началось именно с обвинений в выпуске и приемке некачественной авиатехники. Зато если директоров защищал кто-то из членов Политбюро, прокуратура смотрела на нарушения сквозь пальцы. </w:t>
      </w:r>
    </w:p>
    <w:p w14:paraId="04608B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Однако самым важным итогом репрессивной борьбы за качество оказалось то, что она окончилась безрезультатно. И о качестве советской, а теперь российской продукции можно сказать только одно — оно неизменно (11652).</w:t>
      </w:r>
    </w:p>
    <w:p w14:paraId="06E642B9" w14:textId="77777777" w:rsidR="003C7E8B" w:rsidRPr="00DB5D0D" w:rsidRDefault="003C7E8B" w:rsidP="00DB5D0D">
      <w:pPr>
        <w:spacing w:after="0" w:line="240" w:lineRule="auto"/>
        <w:jc w:val="both"/>
        <w:rPr>
          <w:rFonts w:ascii="Times New Roman" w:hAnsi="Times New Roman"/>
          <w:bCs/>
          <w:color w:val="000000" w:themeColor="text1"/>
          <w:sz w:val="16"/>
          <w:szCs w:val="16"/>
        </w:rPr>
      </w:pPr>
    </w:p>
    <w:p w14:paraId="4A9A6B5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2114513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37D0480" w14:textId="77777777" w:rsidR="003C7E8B" w:rsidRPr="00DB5D0D" w:rsidRDefault="003C7E8B"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color w:val="000000" w:themeColor="text1"/>
          <w:sz w:val="16"/>
          <w:szCs w:val="16"/>
        </w:rPr>
        <w:t>26 июля 1940 г. были изданы приказы НКО СССР № 0037 с объявлением новой структуры центрального аппарата Наркомата обороны СССР</w:t>
      </w:r>
      <w:r w:rsidRPr="00DB5D0D">
        <w:rPr>
          <w:rFonts w:ascii="Times New Roman" w:hAnsi="Times New Roman"/>
          <w:iCs/>
          <w:color w:val="000000" w:themeColor="text1"/>
          <w:sz w:val="16"/>
          <w:szCs w:val="16"/>
        </w:rPr>
        <w:t xml:space="preserve">, </w:t>
      </w:r>
      <w:r w:rsidRPr="00DB5D0D">
        <w:rPr>
          <w:rFonts w:ascii="Times New Roman" w:hAnsi="Times New Roman"/>
          <w:color w:val="000000" w:themeColor="text1"/>
          <w:sz w:val="16"/>
          <w:szCs w:val="16"/>
        </w:rPr>
        <w:t>№ 0038 о реорганизации Генерального штаба Красной Армии</w:t>
      </w:r>
      <w:r w:rsidRPr="00DB5D0D">
        <w:rPr>
          <w:rFonts w:ascii="Times New Roman" w:hAnsi="Times New Roman"/>
          <w:iCs/>
          <w:color w:val="000000" w:themeColor="text1"/>
          <w:sz w:val="16"/>
          <w:szCs w:val="16"/>
        </w:rPr>
        <w:t xml:space="preserve">, </w:t>
      </w:r>
      <w:r w:rsidRPr="00DB5D0D">
        <w:rPr>
          <w:rFonts w:ascii="Times New Roman" w:hAnsi="Times New Roman"/>
          <w:color w:val="000000" w:themeColor="text1"/>
          <w:sz w:val="16"/>
          <w:szCs w:val="16"/>
        </w:rPr>
        <w:t>а также № 0164 о составе Главного военного совета (11773)</w:t>
      </w:r>
      <w:r w:rsidRPr="00DB5D0D">
        <w:rPr>
          <w:rFonts w:ascii="Times New Roman" w:hAnsi="Times New Roman"/>
          <w:iCs/>
          <w:color w:val="000000" w:themeColor="text1"/>
          <w:sz w:val="16"/>
          <w:szCs w:val="16"/>
        </w:rPr>
        <w:t>.</w:t>
      </w:r>
    </w:p>
    <w:p w14:paraId="0E226198" w14:textId="77777777" w:rsidR="003C7E8B" w:rsidRPr="00DB5D0D" w:rsidRDefault="003C7E8B" w:rsidP="00DB5D0D">
      <w:pPr>
        <w:shd w:val="clear" w:color="auto" w:fill="FFFFFF"/>
        <w:spacing w:after="0" w:line="240" w:lineRule="auto"/>
        <w:jc w:val="both"/>
        <w:rPr>
          <w:rFonts w:ascii="Times New Roman" w:hAnsi="Times New Roman"/>
          <w:iCs/>
          <w:color w:val="000000" w:themeColor="text1"/>
          <w:sz w:val="16"/>
          <w:szCs w:val="16"/>
        </w:rPr>
      </w:pPr>
    </w:p>
    <w:p w14:paraId="5806B5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вышел приказ НКО С объявлением новой структуры центрального аппарата Наркомата обороны СССР № 0037.</w:t>
      </w:r>
    </w:p>
    <w:p w14:paraId="146BBD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связи с образованием Главных управлений Народного комиссариата обороны в целях улучшения руководства войсками в составе Народного комиссариата обороны Союза ССР иметь:</w:t>
      </w:r>
    </w:p>
    <w:p w14:paraId="0446C8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Генеральный штаб Красной Армии,</w:t>
      </w:r>
    </w:p>
    <w:p w14:paraId="2A967B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Главное управление политической пропаганды Красной Армии,</w:t>
      </w:r>
    </w:p>
    <w:p w14:paraId="6A1FA7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Главное управление Военных Воздушных Сил Красной Армии,</w:t>
      </w:r>
    </w:p>
    <w:p w14:paraId="5B7AE5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Главное артиллерийское управление Красной Армии,</w:t>
      </w:r>
    </w:p>
    <w:p w14:paraId="14C713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Главное автобронетанковое управление Красной Армии,</w:t>
      </w:r>
    </w:p>
    <w:p w14:paraId="3456E9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Главное военно-инженерное управление Красной Армии,</w:t>
      </w:r>
    </w:p>
    <w:p w14:paraId="05418D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Главное интендантское управление Красной Армии,</w:t>
      </w:r>
    </w:p>
    <w:p w14:paraId="3EDBC0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Управление боевой подготовки Красной Армии,</w:t>
      </w:r>
    </w:p>
    <w:p w14:paraId="0F6E2A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Управление противовоздушной обороны Красной Армии,</w:t>
      </w:r>
    </w:p>
    <w:p w14:paraId="10676E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Управление связи Красной Армии,</w:t>
      </w:r>
    </w:p>
    <w:p w14:paraId="6B0943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Управление военно-химической защиты Красной Армии,</w:t>
      </w:r>
    </w:p>
    <w:p w14:paraId="5D7475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Управление снабжения горючим Красной Армии,</w:t>
      </w:r>
    </w:p>
    <w:p w14:paraId="57DE75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Управление высших военно-учебных заведений Красной Армии,</w:t>
      </w:r>
    </w:p>
    <w:p w14:paraId="0C5FB0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Управление военно-учебных заведений Красной Армии,</w:t>
      </w:r>
    </w:p>
    <w:p w14:paraId="4DFDA5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Управление кадров Красной Армии,</w:t>
      </w:r>
    </w:p>
    <w:p w14:paraId="16BEE3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Санитарное управление Красной Армии,</w:t>
      </w:r>
    </w:p>
    <w:p w14:paraId="3432BD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Ветеринарное управление Красной Армии,</w:t>
      </w:r>
    </w:p>
    <w:p w14:paraId="198A44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Управление делами при Народном комиссаре обороны,</w:t>
      </w:r>
    </w:p>
    <w:p w14:paraId="688514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финансовый отдел при Народном комиссаре обороны.</w:t>
      </w:r>
    </w:p>
    <w:p w14:paraId="5477BD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Инспекции при Народном комиссаре обороны:</w:t>
      </w:r>
    </w:p>
    <w:p w14:paraId="10A97F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Инспекция пехоты Красной Армии,</w:t>
      </w:r>
    </w:p>
    <w:p w14:paraId="518066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Инспекция кавалерии Красной Армии,</w:t>
      </w:r>
    </w:p>
    <w:p w14:paraId="45E124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Инспекция артиллерии Красной Армии,</w:t>
      </w:r>
    </w:p>
    <w:p w14:paraId="69474F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Инспекция автобронетанковых войск Красной Армии,</w:t>
      </w:r>
    </w:p>
    <w:p w14:paraId="6FBF6D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Инспекция Военно-Воздушных Сил Красной Армии,</w:t>
      </w:r>
    </w:p>
    <w:p w14:paraId="1DE443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Инспекция инженерных войск Красной Армии,</w:t>
      </w:r>
    </w:p>
    <w:p w14:paraId="590A63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Инспекция связи Красной Армии.</w:t>
      </w:r>
    </w:p>
    <w:p w14:paraId="7E9BA0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Назначаются:</w:t>
      </w:r>
    </w:p>
    <w:p w14:paraId="336FDA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Управления связи генерал-майор Гапич Н. И.</w:t>
      </w:r>
    </w:p>
    <w:p w14:paraId="651495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Управления военно-химической защиты генерал-майор технических войск Мельников П. Г.</w:t>
      </w:r>
    </w:p>
    <w:p w14:paraId="61AAD3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Управления снабжения горючим генерал-майор танковых войск Котов П. В.</w:t>
      </w:r>
    </w:p>
    <w:p w14:paraId="7170A5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Управления высших военно-учебных заведений генерал-лейтенант Сафронов Г. П.</w:t>
      </w:r>
    </w:p>
    <w:p w14:paraId="09811D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Управления военно-учебных заведений генерал-лейтенант Смирнов И. К.</w:t>
      </w:r>
    </w:p>
    <w:p w14:paraId="394F3A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Санитарного управления бригврач Смирнов Е. И.</w:t>
      </w:r>
    </w:p>
    <w:p w14:paraId="2F96F8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Ветеринарного управления бригветврач Барковский К. И.</w:t>
      </w:r>
    </w:p>
    <w:p w14:paraId="4DC5DC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Управления делами при Народном комиссаре обороны генерал-майор Дратвин М. И.</w:t>
      </w:r>
    </w:p>
    <w:p w14:paraId="3AAAA4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финансового отдела при Народном комиссаре обороны генерал-майор интендантской службы Хотенко Я. А.</w:t>
      </w:r>
    </w:p>
    <w:p w14:paraId="3F6276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Приказываю:</w:t>
      </w:r>
    </w:p>
    <w:p w14:paraId="3F5E94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Переименовать:</w:t>
      </w:r>
    </w:p>
    <w:p w14:paraId="2A6BD9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Политическое управление Красной Армии в Главное управление политической пропаганды Красной Армии.</w:t>
      </w:r>
    </w:p>
    <w:p w14:paraId="06816F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Управление по начальствующему составу Красной Армии в Управление кадров Красной Армии.</w:t>
      </w:r>
    </w:p>
    <w:p w14:paraId="2E9FB5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Включить 5-е управление Красной Армии в состав генерального штаба Красной Армии.</w:t>
      </w:r>
    </w:p>
    <w:p w14:paraId="4004CE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Расформировать:</w:t>
      </w:r>
    </w:p>
    <w:p w14:paraId="137583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Главное управление Красной Армии, его функции и дела передать Генеральному штабу Красной Армии.</w:t>
      </w:r>
    </w:p>
    <w:p w14:paraId="1E4430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Управление начальника пехоты, с обращением личного состава на укомплектование Инспекции пехоты.</w:t>
      </w:r>
    </w:p>
    <w:p w14:paraId="3902C9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Отдел изобретений НКО СССР, с передачей его функций и личного состава соответствующим главным управлениям. Расформирование и передачу дел отдела изобретений НКО СССР главным управлениям возлагаю на моего заместителя Маршала Советского Союза т. Кулика.</w:t>
      </w:r>
    </w:p>
    <w:p w14:paraId="3B0C13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Группу контроля при НКО СССР, передав ее дела и переписку в Управление делами при Народном комиссаре обороны СССР.</w:t>
      </w:r>
    </w:p>
    <w:p w14:paraId="59645D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Инспекцию Осоавиахима, передав дела и функции Инспекции пехоты.</w:t>
      </w:r>
    </w:p>
    <w:p w14:paraId="7A6BCB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Передать:</w:t>
      </w:r>
    </w:p>
    <w:p w14:paraId="147C62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Инспекцию физической подготовки и спорта Красной Армии в Инспекцию пехоты.</w:t>
      </w:r>
    </w:p>
    <w:p w14:paraId="02E442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Инспекцию военных оркестров Красной Армии в Инспекцию пехоты.</w:t>
      </w:r>
    </w:p>
    <w:p w14:paraId="09DCD1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Хозяйственный отдел ЦУ НКО в Управление делами при Народном комиссаре обороны СССР.</w:t>
      </w:r>
    </w:p>
    <w:p w14:paraId="7768E7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Начальнику Генерального штаба Красной Армии представить мне к 5 августа штаты, а к 25 августа проект положения о Народном комиссариате обороны Союза ССР.</w:t>
      </w:r>
    </w:p>
    <w:p w14:paraId="0E91CE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Реорганизацию центральных управлений НКО закончить к 20 августа с. г.</w:t>
      </w:r>
    </w:p>
    <w:p w14:paraId="0AA150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Приказы Народного комиссара обороны Союза ССР 1939 г. № 0156 и № 0223 отменить.</w:t>
      </w:r>
    </w:p>
    <w:p w14:paraId="698BB9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 (10616).</w:t>
      </w:r>
    </w:p>
    <w:p w14:paraId="3050014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4EFA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вышел Приказ НКО о реорганизации Генерального штаба Красной Армии № 0038.</w:t>
      </w:r>
    </w:p>
    <w:p w14:paraId="58F5B9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связи с расформированием Главного управления Красной Армии и передачей его функций Генеральному штабу и включением 5-го управления Красной Армии в состав Генерального штаба, приказываю в составе Генерального штаба Красной Армии иметь:</w:t>
      </w:r>
    </w:p>
    <w:p w14:paraId="65D13D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Управления:</w:t>
      </w:r>
    </w:p>
    <w:p w14:paraId="2737AC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оперативное,</w:t>
      </w:r>
    </w:p>
    <w:p w14:paraId="1DDDB8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разведывательное,</w:t>
      </w:r>
    </w:p>
    <w:p w14:paraId="5E053C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организационное,</w:t>
      </w:r>
    </w:p>
    <w:p w14:paraId="09E513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военных сообщений,</w:t>
      </w:r>
    </w:p>
    <w:p w14:paraId="343B54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мобилизационное,</w:t>
      </w:r>
    </w:p>
    <w:p w14:paraId="631368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устройства тыла и снабжения,</w:t>
      </w:r>
    </w:p>
    <w:p w14:paraId="7AAE65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по укомплектованию войск,</w:t>
      </w:r>
    </w:p>
    <w:p w14:paraId="0F8191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военно-топографическое.</w:t>
      </w:r>
    </w:p>
    <w:p w14:paraId="78C6EB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Отделы:</w:t>
      </w:r>
    </w:p>
    <w:p w14:paraId="02515A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укрепленных районов,</w:t>
      </w:r>
    </w:p>
    <w:p w14:paraId="060746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военно-исторический,</w:t>
      </w:r>
    </w:p>
    <w:p w14:paraId="602629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кадров.</w:t>
      </w:r>
    </w:p>
    <w:p w14:paraId="3300E9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Отдел спецзаданий включить в Разведывательное управление.</w:t>
      </w:r>
    </w:p>
    <w:p w14:paraId="450790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Назначаются:</w:t>
      </w:r>
    </w:p>
    <w:p w14:paraId="4E3B93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Заместителем начальника Генерального штаба генерал-лейтенант Смородинов И. В.</w:t>
      </w:r>
    </w:p>
    <w:p w14:paraId="5EA174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Заместителем начальника Генерального штаба, он же начальник Оперативного управления, генерал-лейтенант Ватутин Н. Ф.</w:t>
      </w:r>
    </w:p>
    <w:p w14:paraId="72EF69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Заместителем начальника Генерального штаба, он же начальник Разведывательного управления, генерал-лейтенант Голиков Ф. И.</w:t>
      </w:r>
    </w:p>
    <w:p w14:paraId="65B5EB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Помощником начальника Генерального штаба по тылу, он же начальник Управления устройства тыла и снабжения, генерал-майор Иванов В. Д.</w:t>
      </w:r>
    </w:p>
    <w:p w14:paraId="0F0891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Организационного управления генерал-майор Четвериков Н. И.</w:t>
      </w:r>
    </w:p>
    <w:p w14:paraId="56CB1A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Управления военных сообщений генерал-лейтенант технических войск Трубецкой Н. И.</w:t>
      </w:r>
    </w:p>
    <w:p w14:paraId="48D03E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Мобилизационного управления генерал-майор Никитин Н. А.</w:t>
      </w:r>
    </w:p>
    <w:p w14:paraId="77F31E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Управления по укомплектованию войск полковник Карпоно-сов А. Г;</w:t>
      </w:r>
    </w:p>
    <w:p w14:paraId="44EB27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Военно-топографического управления бригинженер Кудрявцев М. К.</w:t>
      </w:r>
    </w:p>
    <w:p w14:paraId="0C464E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отдела укрепленных районов полковник Бутылев.</w:t>
      </w:r>
    </w:p>
    <w:p w14:paraId="00320B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военно-исторического отдела полковник Таленский.</w:t>
      </w:r>
    </w:p>
    <w:p w14:paraId="1AEF66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Начальнику Генерального штаба Красной Армии представить мне на утверждение новый штат Генерального штаба Красной Армии к 5 августа с. г.</w:t>
      </w:r>
    </w:p>
    <w:p w14:paraId="6D3DBB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Реорганизацию Генерального штаба закончить к 10 августа с. г.</w:t>
      </w:r>
    </w:p>
    <w:p w14:paraId="745AF0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 (10615).</w:t>
      </w:r>
    </w:p>
    <w:p w14:paraId="5FBDEC6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2332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вышел Приказ НКО о составе Главного военного совета № 0164</w:t>
      </w:r>
    </w:p>
    <w:p w14:paraId="256138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Объявляю постановление Центрального Комитета ВКП(б) и Совета Народных Комиссаров Союза СССР от 24 июля 1940 г. «О составе Главного военного совета».</w:t>
      </w:r>
    </w:p>
    <w:p w14:paraId="1DAEE5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Приказы НКО 1938 г. № № 68, 80 и 1939 г. № 106 отменить.</w:t>
      </w:r>
    </w:p>
    <w:p w14:paraId="599C61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w:t>
      </w:r>
    </w:p>
    <w:p w14:paraId="5F48A7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Центрального Комитета ВКП(б) И Совета Народных Комиссаров Союза СССР</w:t>
      </w:r>
    </w:p>
    <w:p w14:paraId="015F32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 Москва, Кремль</w:t>
      </w:r>
    </w:p>
    <w:p w14:paraId="3C1689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составе Главного военного совета</w:t>
      </w:r>
    </w:p>
    <w:p w14:paraId="47A9AB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Центральный Комитет ВКП(б) и Совет Народных Комиссаров Союза ССР постановляют: Утвердить Главный военный совет в составе тт. Тимошенко (председатель), Жданова, Кулика, Шапошникова, Буденного, Мерецкова, Маленкова, Мехлиса, Смушкевича (с заменой т. Рычаговым), Жукова, Павлова.</w:t>
      </w:r>
    </w:p>
    <w:p w14:paraId="531493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Центрального Комитета ВКП(б) И. Сталин</w:t>
      </w:r>
    </w:p>
    <w:p w14:paraId="576A83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Совета Народных Комиссаров Союза СССР В. Молотов (10614).</w:t>
      </w:r>
    </w:p>
    <w:p w14:paraId="2C36C5E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536B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приказом НКО № 0038 Разведывательное управление было включено в состав Генерального штаба Красной Армии; до этого по приказу НКО № 067 от 22 ноября 1934 г. оно подчинялось Наркому обороны СССР в качестве 5-го управления, являвшегося центральным органом по руководству и организации разведслужбы Красной Армии (9844).</w:t>
      </w:r>
    </w:p>
    <w:p w14:paraId="375BE12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DA7A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Приказом НКО No.0037 ХУправление преобразовано в Управление военно-химической защиты Красной Армии.</w:t>
      </w:r>
    </w:p>
    <w:p w14:paraId="0AA023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3C7CB0E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9B0AE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54FECF6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E66BF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 ТАСС распространил информацию «В прокуратуре Союза ССР», где говорилось:</w:t>
      </w:r>
    </w:p>
    <w:p w14:paraId="56D3A7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Указом Президиума Верховного Совета Союза ССР от 10 июля 1940 г., органами Прокуратуры возбужден ряд уголовных дел о преступных действиях директоров, главных инженеров и начальников отделов технического контроля предприятий, выпустивших в товаропроводящую сеть и поставивших потребителям недоброкачественную, некомплектную или нестандартную продукцию. Так, в Горьковской области возбуждено дело в отношении руководителей завода «Красная Этна». Этот завод с 14 по 23 июля систематически выпускал недоброкачественные детали. Расследуется дело о выпуске недоброкачественных авточастей заводом «Автоприбор» (Московская область). Характерно, что руководители завода после того, как Глававтотракторосбыт 19 июля забраковал эту партию изделий, пытались сдать ее Авторемонтному заводу и Росглававтосбыту. В Москве возбуждено дело работников фабрики «Спортигрушка», выпустившей в течение 1940 г. недоброкачественной продукции на 7 млн руб. Ряд уголовных дел возбужден против работников хлебозаводов, выпускавших недоброкачественный хлеб. В Ярославской области ведется следствие о выпуске недоброкачественной продукции торфопредприятиями Яргрэса. В Челябинской области закончено расследование по делу директора сварочного завода Лихачева, обвиняемого в том, что он систематически допускал выпуск недоброкачественных изделий. Лихачев предан суду. Ведется расследование о выпуске недоброкачественной продукции вторым Государственным часовым заводом в Москве. Возбуждено уголовное дело о выпуске большого количества недоброкачественных тетрадей Краснокамским и Марийским бумкомбинатами. В г. Горьком привлечен к уголовной ответственности за выпуск недоброкачественной обуви технический руководитель промкомбината Ждановского района Михайловский. Прокуратурой Союза ССР установлен особый контроль за расследованием дел о выпуске недоброкачественной, некомплектной или нестандартной продукции».</w:t>
      </w:r>
    </w:p>
    <w:p w14:paraId="10C0B7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Следующим этапом борьбы за качество должны были стать показательные процессы над директорами-бракоделами. Однако здесь судебно-прокурорская машина начала буксовать. Процессы получались безликими, одинаковыми и откровенно скучными. Директоров, главных инженеров или технологов допрашивали о том, как они превратились во вредителей, те показывали технические регламенты и прочие руководящие документы, где говорилось, что определенный процесс брака неизбежен. Прокуроры требовали признаться в том, что для повышения качества продукции сделано далеко не все, но подсудимые предъявляли ворохи приказов, говоривших о том, что они пытались.</w:t>
      </w:r>
    </w:p>
    <w:p w14:paraId="4C5BAA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спичек пониженной воспламеняемости был признан халатностью, а не вредительством</w:t>
      </w:r>
    </w:p>
    <w:p w14:paraId="73A9CA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Лишь на некоторых процессах всплывали любопытные детали. На заводе бетонных плит в Ленинграде бракованную продукцию пытались разбить в щебень, чтобы скрыть сам факт ее существования. Но независимо от наличия подобных отягчающих обстоятельств суды приговаривали к предусмотренному указом наказанию всех обвиненных (11750).</w:t>
      </w:r>
    </w:p>
    <w:p w14:paraId="53D6A29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C2885F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9A96D3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3D0A2B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японское правительство разработало план «нового порядка» в Восточной Азии (4962).</w:t>
      </w:r>
    </w:p>
    <w:p w14:paraId="15FE188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FFEA2D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6B90E3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463D3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 эскизный проект ПБШ-1 ОКБ А.И.М. был рассмотрен в комиссии академика Б. Н. Юрьева, которая в своем выводе отметила, что:</w:t>
      </w:r>
    </w:p>
    <w:p w14:paraId="74AC85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«Максимальную скорость для данного типа машины с учетом срока выпуска самолета следует считать недостаточной.</w:t>
      </w:r>
    </w:p>
    <w:p w14:paraId="1989BF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Принимая во внимание, что по аналогичному типу самолета дано задание тов. Сухому, но с меньшей мощностью огня и большей скоростью полета у земли (500 км/час), комиссия считает, что самолет целесообразно строить в том случае, если авторы смогут повысить скорость поле may земли до 550 км/час».</w:t>
      </w:r>
    </w:p>
    <w:p w14:paraId="54795A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 подписали: Б.Н.Юрьев, В.И.Поликовский, И.И.Машкевич, В.Н.Беляев и П.Я.Залесский (9649).</w:t>
      </w:r>
    </w:p>
    <w:p w14:paraId="4E8FD3D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BE54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 экипаж Нестеренко на ЦКБ-3ОН-1 Украина вылетел из Хабаровска во Львов. Пройдя около 7000 км, «Украина» совершила вынужденную посадку у деревни Исаково в Кировской области, на поле, засеянное рожью. Официально объявили, что полет пре</w:t>
      </w:r>
      <w:r w:rsidRPr="00DB5D0D">
        <w:rPr>
          <w:rFonts w:ascii="Times New Roman" w:hAnsi="Times New Roman"/>
          <w:color w:val="000000" w:themeColor="text1"/>
          <w:sz w:val="16"/>
          <w:szCs w:val="16"/>
        </w:rPr>
        <w:softHyphen/>
        <w:t>рвали из-за ухудшения погоды. Разби</w:t>
      </w:r>
      <w:r w:rsidRPr="00DB5D0D">
        <w:rPr>
          <w:rFonts w:ascii="Times New Roman" w:hAnsi="Times New Roman"/>
          <w:color w:val="000000" w:themeColor="text1"/>
          <w:sz w:val="16"/>
          <w:szCs w:val="16"/>
        </w:rPr>
        <w:softHyphen/>
        <w:t>равшаяся же с неудачей комиссия во главе с И.Ф. Петровым пришла к выво</w:t>
      </w:r>
      <w:r w:rsidRPr="00DB5D0D">
        <w:rPr>
          <w:rFonts w:ascii="Times New Roman" w:hAnsi="Times New Roman"/>
          <w:color w:val="000000" w:themeColor="text1"/>
          <w:sz w:val="16"/>
          <w:szCs w:val="16"/>
        </w:rPr>
        <w:softHyphen/>
        <w:t>ду, что летчица неправильно пользова</w:t>
      </w:r>
      <w:r w:rsidRPr="00DB5D0D">
        <w:rPr>
          <w:rFonts w:ascii="Times New Roman" w:hAnsi="Times New Roman"/>
          <w:color w:val="000000" w:themeColor="text1"/>
          <w:sz w:val="16"/>
          <w:szCs w:val="16"/>
        </w:rPr>
        <w:softHyphen/>
        <w:t>лась кранами бензобаков и просто не смогла вовремя переключиться с одного бака на другой. Вторую машину собира</w:t>
      </w:r>
      <w:r w:rsidRPr="00DB5D0D">
        <w:rPr>
          <w:rFonts w:ascii="Times New Roman" w:hAnsi="Times New Roman"/>
          <w:color w:val="000000" w:themeColor="text1"/>
          <w:sz w:val="16"/>
          <w:szCs w:val="16"/>
        </w:rPr>
        <w:softHyphen/>
        <w:t>лись пустить по маршруту Москва — Свердловск — Севастополь — Моск</w:t>
      </w:r>
      <w:r w:rsidRPr="00DB5D0D">
        <w:rPr>
          <w:rFonts w:ascii="Times New Roman" w:hAnsi="Times New Roman"/>
          <w:color w:val="000000" w:themeColor="text1"/>
          <w:sz w:val="16"/>
          <w:szCs w:val="16"/>
        </w:rPr>
        <w:softHyphen/>
        <w:t>ва, но этот перелет не состоялся. «Украина» долго стояла на заводе № 39. В начале Великой Отечественной войны ее переделали в бомбардиров</w:t>
      </w:r>
      <w:r w:rsidRPr="00DB5D0D">
        <w:rPr>
          <w:rFonts w:ascii="Times New Roman" w:hAnsi="Times New Roman"/>
          <w:color w:val="000000" w:themeColor="text1"/>
          <w:sz w:val="16"/>
          <w:szCs w:val="16"/>
        </w:rPr>
        <w:softHyphen/>
        <w:t>щик и сдали ВВС. Самолет Н-2 использовался как слу</w:t>
      </w:r>
      <w:r w:rsidRPr="00DB5D0D">
        <w:rPr>
          <w:rFonts w:ascii="Times New Roman" w:hAnsi="Times New Roman"/>
          <w:color w:val="000000" w:themeColor="text1"/>
          <w:sz w:val="16"/>
          <w:szCs w:val="16"/>
        </w:rPr>
        <w:softHyphen/>
        <w:t>жебный сотрудниками ОКБ-39 и заво</w:t>
      </w:r>
      <w:r w:rsidRPr="00DB5D0D">
        <w:rPr>
          <w:rFonts w:ascii="Times New Roman" w:hAnsi="Times New Roman"/>
          <w:color w:val="000000" w:themeColor="text1"/>
          <w:sz w:val="16"/>
          <w:szCs w:val="16"/>
        </w:rPr>
        <w:softHyphen/>
        <w:t>да. После вынужденной посадки в райо</w:t>
      </w:r>
      <w:r w:rsidRPr="00DB5D0D">
        <w:rPr>
          <w:rFonts w:ascii="Times New Roman" w:hAnsi="Times New Roman"/>
          <w:color w:val="000000" w:themeColor="text1"/>
          <w:sz w:val="16"/>
          <w:szCs w:val="16"/>
        </w:rPr>
        <w:softHyphen/>
        <w:t>не Свердловска, машину ремонтирова</w:t>
      </w:r>
      <w:r w:rsidRPr="00DB5D0D">
        <w:rPr>
          <w:rFonts w:ascii="Times New Roman" w:hAnsi="Times New Roman"/>
          <w:color w:val="000000" w:themeColor="text1"/>
          <w:sz w:val="16"/>
          <w:szCs w:val="16"/>
        </w:rPr>
        <w:softHyphen/>
        <w:t>ли в местном аэропорту. Пилот Василь</w:t>
      </w:r>
      <w:r w:rsidRPr="00DB5D0D">
        <w:rPr>
          <w:rFonts w:ascii="Times New Roman" w:hAnsi="Times New Roman"/>
          <w:color w:val="000000" w:themeColor="text1"/>
          <w:sz w:val="16"/>
          <w:szCs w:val="16"/>
        </w:rPr>
        <w:softHyphen/>
        <w:t>ев должен был ее перегнать в Москву. 27 февраля 1941 г. он благополучно взлетел, но вскоре в полете остановил</w:t>
      </w:r>
      <w:r w:rsidRPr="00DB5D0D">
        <w:rPr>
          <w:rFonts w:ascii="Times New Roman" w:hAnsi="Times New Roman"/>
          <w:color w:val="000000" w:themeColor="text1"/>
          <w:sz w:val="16"/>
          <w:szCs w:val="16"/>
        </w:rPr>
        <w:softHyphen/>
        <w:t>ся один мотор, а затем другой. До аэродрома самолет не дотянул. Он сел пря</w:t>
      </w:r>
      <w:r w:rsidRPr="00DB5D0D">
        <w:rPr>
          <w:rFonts w:ascii="Times New Roman" w:hAnsi="Times New Roman"/>
          <w:color w:val="000000" w:themeColor="text1"/>
          <w:sz w:val="16"/>
          <w:szCs w:val="16"/>
        </w:rPr>
        <w:softHyphen/>
        <w:t>мо на улицу на окраине города. Улица называлась... Авиационная! Расследование показало, что Василь</w:t>
      </w:r>
      <w:r w:rsidRPr="00DB5D0D">
        <w:rPr>
          <w:rFonts w:ascii="Times New Roman" w:hAnsi="Times New Roman"/>
          <w:color w:val="000000" w:themeColor="text1"/>
          <w:sz w:val="16"/>
          <w:szCs w:val="16"/>
        </w:rPr>
        <w:softHyphen/>
        <w:t>ев тоже перепутал краны. Ему это обо</w:t>
      </w:r>
      <w:r w:rsidRPr="00DB5D0D">
        <w:rPr>
          <w:rFonts w:ascii="Times New Roman" w:hAnsi="Times New Roman"/>
          <w:color w:val="000000" w:themeColor="text1"/>
          <w:sz w:val="16"/>
          <w:szCs w:val="16"/>
        </w:rPr>
        <w:softHyphen/>
        <w:t>шлось дороже, чем Нестеренко — из испытателей его отчислили. Сам Н-2 пришлось списать (10734,24).</w:t>
      </w:r>
    </w:p>
    <w:p w14:paraId="66CF5A1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BC0A2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 второй самолет ЦКБ-30 Н-2 под управлением экипажа капитана М.П.Нестеренко (командир корабля), старшего лейтенанта Н.И.Русаковой (штурман) и капитана М.Г.Михалевой (второй пилот и радист) начал рекордный перелет по маршруту Хабаровск -Тобольск - Свердловск - Москва - Львов протяженностью 7500 км. Самолет выкрасили в ярко-оранжевый цвет и, по предложению экипажа, назвали «Украина». Вес самолета при старте был 12600 кг. Первый этап полета проходил в относительно благоприятных метеорологических условиях на высоте 5000-6000 м. В районе Новосибирска самолет вошел в мощную зону грозового фронта, и ночью полет продолжался в тяжелых метеоусловиях, при сильном встречном ветре, на форсированном режиме работы двигателей. Из-за грозовых разрядов вышла из строя радиосвязь, перестал работать радиокомпас. Самолет начал обледеневать. Порывы вихрей были настолько мощными, что машину бросало вверх и вниз на 1000 метров. Вспоминая позднее об этом перелете, М.Г.Михалева писала: «Скажу откровенно, были моменты, когда мы считали, что от такой тряски и вибраций самолет развалится. Спасибо большое конструктору Ильюшину, его машина своей прочностью спасла нам жизнь, выдержав испытание в тяжелых условиях».</w:t>
      </w:r>
    </w:p>
    <w:p w14:paraId="682FF9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большей части оставшегося участка маршрута метеообстановка была сложной - с туманом, дождями и низкой облачностью, местами доходившей до 100 м. Из-за перспективы нового ухудшения погоды и риска вынужденной посадки по израсходованию горючего, правительственная комиссия предложила экипажу прекратить полет. Посадка была выполнена с убранным шасси на поле близ деревни Исакове Санчурского района Кировской (Вятской) области. Экипаж пробыл в воздухе 22 ч. 32 мин. (из них более 10 часов он провел в кислородных масках). Расстояние между местами взлета и посадки составило около 5500 км, то есть было лишь немного меньше мирового женского рекорда дальности полета. По оценке правительственной комиссии, этот перелет являлся выдающимся, а экипаж проявил отвагу и высокое мастерство. Летчицы были представлены к государственным наградам, но награждение не состоялось, а о перелете постарались поскорее забыть (9528).</w:t>
      </w:r>
    </w:p>
    <w:p w14:paraId="1390640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5A3F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 экипаж Нестеренко вылетел из Хабаровска. Пройдя около 7000 км, "Украина" совершила вынужденную посадку у деревни Исаково в Кировской области, на поле, засеянное рожью. Официально объявили, что полет прервали из-за ухудшения погоды. Разбиравшаяся же с неудачей комиссия во главе с И.Ф. Петровым пришла к выводу, что летчица неправильно пользовалась кранами бензобаков и просто не смогла вовремя переключиться с одного бака на другой. Вторую машину собирались пустить по маршруту Москва - Свердловск - Севастополь - Москва, но этот перелет не состоялся. "Украина" долго стояла на заводе № 39. В начале Великой Отечественной войны ее переделали в бомбардировщик и сдали ВВС (12021).</w:t>
      </w:r>
    </w:p>
    <w:p w14:paraId="125069D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1F8EF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л капитан М.П.Нестеренко, л капитан М.Г.Григорьева и штурман ст.л. Н.И.Русакова на ДБ-7 "Украина" вылетели из Хабаровска во Львов, но сели у деревни Исаково Кировской обл. пройдя за 22 час. 32 мин. По прямой 5500 км (438,787), а всего около 7000 км (2467,3).</w:t>
      </w:r>
    </w:p>
    <w:p w14:paraId="3615CE5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AB921B7" w14:textId="77777777" w:rsidR="00516F80" w:rsidRPr="00DB5D0D" w:rsidRDefault="00516F8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27 июля 1940 г. женский экипаж на ЦКБ-30 </w:t>
      </w:r>
      <w:r w:rsidRPr="00DB5D0D">
        <w:rPr>
          <w:rStyle w:val="aff9"/>
          <w:rFonts w:ascii="Times New Roman" w:hAnsi="Times New Roman" w:cs="Times New Roman"/>
          <w:color w:val="0070C0"/>
          <w:spacing w:val="0"/>
          <w:sz w:val="16"/>
          <w:szCs w:val="16"/>
        </w:rPr>
        <w:t>«Украина»</w:t>
      </w:r>
      <w:r w:rsidRPr="00DB5D0D">
        <w:rPr>
          <w:rFonts w:ascii="Times New Roman" w:hAnsi="Times New Roman"/>
          <w:color w:val="0070C0"/>
          <w:sz w:val="16"/>
          <w:szCs w:val="16"/>
        </w:rPr>
        <w:t xml:space="preserve"> выле</w:t>
      </w:r>
      <w:r w:rsidRPr="00DB5D0D">
        <w:rPr>
          <w:rFonts w:ascii="Times New Roman" w:hAnsi="Times New Roman"/>
          <w:color w:val="0070C0"/>
          <w:sz w:val="16"/>
          <w:szCs w:val="16"/>
        </w:rPr>
        <w:softHyphen/>
        <w:t>тел из Хабаровска в расчете достичь Львова. Однако, пройдя примерно две трети маршрута, «Украина» попала в мощный грозовой фронт, а затем ситуа</w:t>
      </w:r>
      <w:r w:rsidRPr="00DB5D0D">
        <w:rPr>
          <w:rFonts w:ascii="Times New Roman" w:hAnsi="Times New Roman"/>
          <w:color w:val="0070C0"/>
          <w:sz w:val="16"/>
          <w:szCs w:val="16"/>
        </w:rPr>
        <w:softHyphen/>
        <w:t>цию ухудшил отказ одного двигателя. Самолет шел со снижением, и запустить капризничавший мотор удалось лишь у самой земли. По команде из Москвы по</w:t>
      </w:r>
      <w:r w:rsidRPr="00DB5D0D">
        <w:rPr>
          <w:rFonts w:ascii="Times New Roman" w:hAnsi="Times New Roman"/>
          <w:color w:val="0070C0"/>
          <w:sz w:val="16"/>
          <w:szCs w:val="16"/>
        </w:rPr>
        <w:softHyphen/>
        <w:t>лет решили прервать. Через 23 ч 32 мин после старта «Украина» совершила вы</w:t>
      </w:r>
      <w:r w:rsidRPr="00DB5D0D">
        <w:rPr>
          <w:rFonts w:ascii="Times New Roman" w:hAnsi="Times New Roman"/>
          <w:color w:val="0070C0"/>
          <w:sz w:val="16"/>
          <w:szCs w:val="16"/>
        </w:rPr>
        <w:softHyphen/>
        <w:t>нужденную посадку в поле возле деревни Исаково Кировской области, получив не</w:t>
      </w:r>
      <w:r w:rsidRPr="00DB5D0D">
        <w:rPr>
          <w:rFonts w:ascii="Times New Roman" w:hAnsi="Times New Roman"/>
          <w:color w:val="0070C0"/>
          <w:sz w:val="16"/>
          <w:szCs w:val="16"/>
        </w:rPr>
        <w:softHyphen/>
        <w:t>значительные повреждения. До Львова оставалось еще более 2000 км, однако удалось преодолеть почти 7000 км, что превышало тогдашний женский мировой рекорд. Но поскольку цель перелета не была достигнута, руководство решило особо не афишировать это достижение, и рекорд не зафиксировали.</w:t>
      </w:r>
    </w:p>
    <w:p w14:paraId="2B4F5AEC" w14:textId="77777777" w:rsidR="00516F80" w:rsidRPr="00DB5D0D" w:rsidRDefault="00516F80" w:rsidP="00DB5D0D">
      <w:pPr>
        <w:spacing w:after="0" w:line="240" w:lineRule="auto"/>
        <w:jc w:val="both"/>
        <w:rPr>
          <w:rStyle w:val="aff9"/>
          <w:rFonts w:ascii="Times New Roman" w:hAnsi="Times New Roman" w:cs="Times New Roman"/>
          <w:b w:val="0"/>
          <w:bCs w:val="0"/>
          <w:color w:val="0070C0"/>
          <w:spacing w:val="0"/>
          <w:sz w:val="16"/>
          <w:szCs w:val="16"/>
        </w:rPr>
      </w:pPr>
      <w:r w:rsidRPr="00DB5D0D">
        <w:rPr>
          <w:rFonts w:ascii="Times New Roman" w:hAnsi="Times New Roman"/>
          <w:color w:val="0070C0"/>
          <w:sz w:val="16"/>
          <w:szCs w:val="16"/>
        </w:rPr>
        <w:t>экипаж в составе летчиц М.П. Нестеренко (командир) и М.Г. Ми</w:t>
      </w:r>
      <w:r w:rsidRPr="00DB5D0D">
        <w:rPr>
          <w:rFonts w:ascii="Times New Roman" w:hAnsi="Times New Roman"/>
          <w:color w:val="0070C0"/>
          <w:sz w:val="16"/>
          <w:szCs w:val="16"/>
        </w:rPr>
        <w:softHyphen/>
        <w:t>халевой, а также штурмана Н.И. Руса</w:t>
      </w:r>
      <w:r w:rsidRPr="00DB5D0D">
        <w:rPr>
          <w:rFonts w:ascii="Times New Roman" w:hAnsi="Times New Roman"/>
          <w:color w:val="0070C0"/>
          <w:sz w:val="16"/>
          <w:szCs w:val="16"/>
        </w:rPr>
        <w:softHyphen/>
        <w:t>ковой. Для них переоборудовали два самолета, в целом соответствовавших ЦКБ-30 «Москва». Подготовка растяну</w:t>
      </w:r>
      <w:r w:rsidRPr="00DB5D0D">
        <w:rPr>
          <w:rFonts w:ascii="Times New Roman" w:hAnsi="Times New Roman"/>
          <w:color w:val="0070C0"/>
          <w:sz w:val="16"/>
          <w:szCs w:val="16"/>
        </w:rPr>
        <w:softHyphen/>
        <w:t>лась на 18 месяцев и завершилась после присоединения к СССР Западной Укра</w:t>
      </w:r>
      <w:r w:rsidRPr="00DB5D0D">
        <w:rPr>
          <w:rFonts w:ascii="Times New Roman" w:hAnsi="Times New Roman"/>
          <w:color w:val="0070C0"/>
          <w:sz w:val="16"/>
          <w:szCs w:val="16"/>
        </w:rPr>
        <w:softHyphen/>
        <w:t>ины, что подвигло советское руковод</w:t>
      </w:r>
      <w:r w:rsidRPr="00DB5D0D">
        <w:rPr>
          <w:rFonts w:ascii="Times New Roman" w:hAnsi="Times New Roman"/>
          <w:color w:val="0070C0"/>
          <w:sz w:val="16"/>
          <w:szCs w:val="16"/>
        </w:rPr>
        <w:softHyphen/>
        <w:t>ство организовать перелет с Дальнего Востока к новым западным рубежам своей империи. По инициативе коренной харьковчанки Нестеренко самолет, на котором решили выполнять перелет, на</w:t>
      </w:r>
      <w:r w:rsidRPr="00DB5D0D">
        <w:rPr>
          <w:rFonts w:ascii="Times New Roman" w:hAnsi="Times New Roman"/>
          <w:color w:val="0070C0"/>
          <w:sz w:val="16"/>
          <w:szCs w:val="16"/>
        </w:rPr>
        <w:softHyphen/>
        <w:t>звали</w:t>
      </w:r>
      <w:r w:rsidRPr="00DB5D0D">
        <w:rPr>
          <w:rStyle w:val="aff9"/>
          <w:rFonts w:ascii="Times New Roman" w:hAnsi="Times New Roman" w:cs="Times New Roman"/>
          <w:color w:val="0070C0"/>
          <w:spacing w:val="0"/>
          <w:sz w:val="16"/>
          <w:szCs w:val="16"/>
        </w:rPr>
        <w:t xml:space="preserve"> «Украина» (19944).</w:t>
      </w:r>
    </w:p>
    <w:p w14:paraId="1E5FE9E0" w14:textId="77777777" w:rsidR="00516F80" w:rsidRPr="00DB5D0D" w:rsidRDefault="00516F80" w:rsidP="00DB5D0D">
      <w:pPr>
        <w:spacing w:after="0" w:line="240" w:lineRule="auto"/>
        <w:jc w:val="both"/>
        <w:rPr>
          <w:rStyle w:val="aff9"/>
          <w:rFonts w:ascii="Times New Roman" w:hAnsi="Times New Roman" w:cs="Times New Roman"/>
          <w:b w:val="0"/>
          <w:bCs w:val="0"/>
          <w:color w:val="0070C0"/>
          <w:spacing w:val="0"/>
          <w:sz w:val="16"/>
          <w:szCs w:val="16"/>
        </w:rPr>
      </w:pPr>
    </w:p>
    <w:p w14:paraId="609BFD8E"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27 июля в 8 часов 8 минут по московскому времени самолет «Украина» стартовал с Хабаровского аэродрома.</w:t>
      </w:r>
    </w:p>
    <w:p w14:paraId="5B5B1FDA"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Дальнейшие события летчицы описывали следующим образом:</w:t>
      </w:r>
    </w:p>
    <w:p w14:paraId="51E1E448"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«Развернувшись влево, самолет лет курсом на запад. Уже в 40 километрах от Хабаровска пришлось обходить грозовой фронт, уклоняясь от трассы на север.</w:t>
      </w:r>
    </w:p>
    <w:p w14:paraId="61FF822F"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От Рухлова до Душкачана (северная оконечность озера Байкал) полет проходил над сильно гористыми районами, где земные ориентиры отличаются исключительным однообразием. Горные хребты здесь покрыты непроходимой тайгой.</w:t>
      </w:r>
    </w:p>
    <w:p w14:paraId="223231B9"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Тяжелые условия ориентировки не нарушили нашего движения вперед. К Байкалу самолет подошел точно по расписанию — в 15 часов 22 минуты. Перед Байкалом был исключительно сильный встречный ветер, заметно снизивший скорость самолета. Он сопутствовал нам и в дальнейшем — по мере продвижения самолета на запад.</w:t>
      </w:r>
    </w:p>
    <w:p w14:paraId="7AAA4837"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За Байкалом условия ориентировки еще более ухудшились. Наступали сумерки, и мы уже перестали различать леса, реки и селения.</w:t>
      </w:r>
    </w:p>
    <w:p w14:paraId="71A16727"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Самолет, следуя точно по намеченной трассе, приближался к Красноярску. Оттуда нам сообщили, что над городом разразилась гроза. Грозу мы постарались обойти, но условия ориентировки снова ухудшились. Радиокомпасом уже пользоваться было нельзя, так как вследствие грозы его показания отличались неточностью. Приходилось пользоваться исключительно магнитным компасом. Когда удавалось вывести машину из облаков, все трое жадно всматривались в просветы, стремясь определить свое местонахождение. Это было крайне трудно, так как полет в его время протекал в сплошной тьме — ночью. Маяками служили лишь огни больших городов.</w:t>
      </w:r>
    </w:p>
    <w:p w14:paraId="57FF4910"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Точно по курсу самолет шел до реки Обь, после чего он попал в сплошную облачность. Грозовые явления резко усиливались по мере нашего продвижения на запад.</w:t>
      </w:r>
    </w:p>
    <w:p w14:paraId="77A2DB6D"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Участок до Свердловска, который предполагалось пройти за три часа, фактически был пройден за 5 часов. Высота грозовых облаков превышала местами 10 тысяч метров, и самолет в таких условиях приходилось вести в 5,5 – 6 километрах от земли. У Омска (как мы можем предполагать по времени нахождения самолета в пути и по приблизительным подсчетам) грозовая деятельность особенно усилилась. Самолет попал в обледенение.</w:t>
      </w:r>
    </w:p>
    <w:p w14:paraId="3DC8E506"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Его подбрасывало кверху, стремительно кидало к земле. В одном месте с высоты в 6 тысяч метров нас мгновенно сбросило до высоты в 1800 метров. Машина пошла совершенно отвесно. Чтобы выровнять самолет, пришлось приложить максимум усилий. Когда машина пикировала, лед отскакивал от винтов и ударял по корпусу. Одним из кусков льда было выбито окно в кабине самолета.</w:t>
      </w:r>
    </w:p>
    <w:p w14:paraId="5F06FDE8"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Молнии сверкали почти у самых винтов, у самой плоскости, и нам не раз приходилось резко менять курс, чтобы спасти машину от разрушения».</w:t>
      </w:r>
    </w:p>
    <w:p w14:paraId="2A47883F"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Только Нестеренко удалось вывести «Украину» в горизонтальный полет, как экипаж столкнулся с новой проблемой – остановился левый двигатель. Запустить его долго не удавалось. Самолет снижался. Когда до земли оставалось 50 метров, остановившийся мотор неожиданно заработал. Самолет вновь стал набрать высоту.</w:t>
      </w:r>
    </w:p>
    <w:p w14:paraId="15429FFF"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Однако вскоре экипаж выяснил (ошибочно), что на преодоление непогоды было израсходовано значительно больше топлива, чем было рассчитано, и до Львова горючего может не хватить. Поскольку на оставшемся участке трассы метеорологи сулили новое ухудшение погоды, было принято решение прекратить полет и совершить посадку.</w:t>
      </w:r>
    </w:p>
    <w:p w14:paraId="3800BB93"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Посадка была благополучно произведена 28 июля в 6 часов 40 минут около деревни Исаково Санчурского района Кировской области.</w:t>
      </w:r>
    </w:p>
    <w:p w14:paraId="0F28CA40"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Было заявлено, что за 22 часа 32 минуты экипаж Нестеренко на самолете «Украина» преодолел около 7000 километров. Однако по прямой пройденное расстояние составило 5580 км.</w:t>
      </w:r>
    </w:p>
    <w:p w14:paraId="2AE3B68B"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Комиссия, оценивающая результаты перелета, в акте от 31 июля 1940 года, сделала следующие выводы: «Причин для прекращения полета и производства вынужденной посадки самолета «Украина» по вине материальной части и остатков горючего не было. Остатка горючего хватило бы для продолжения полета минимум на 1300 км. Товарищ Нестеренко, очевидно, неправильно пользовалась кранами и поэтому не смогла выработать остатков горючего».</w:t>
      </w:r>
    </w:p>
    <w:p w14:paraId="7CDEBC4C"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8 августа нарком авиационной промышленности А.И. Шахурин подписал «Отчет об организации и проведении перелета самолета «Украина», в котором, в частности отмечалось, что «материальная часть самолета в порядке, горючего оставалось в баках 910 кг, что обеспечивало продолжение полета на расстояние 1100 – 1300 км».</w:t>
      </w:r>
    </w:p>
    <w:p w14:paraId="07EAAC98" w14:textId="77777777" w:rsidR="00516F80" w:rsidRPr="00DB5D0D" w:rsidRDefault="00516F80" w:rsidP="00DB5D0D">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В итоге, экипаж Нестеренко оказался проигравшим, и не получил даже утешительных наград, несмотря на то, что в ходе полета летчицы неоднократно подвергались смертельному риску, а пройденное «Украиной» расстояние было сопоставимо с рекордом «Родины» (21249).</w:t>
      </w:r>
    </w:p>
    <w:p w14:paraId="50EBF5CB" w14:textId="77777777" w:rsidR="00516F80" w:rsidRPr="00DB5D0D" w:rsidRDefault="00516F80" w:rsidP="00DB5D0D">
      <w:pPr>
        <w:spacing w:after="0" w:line="240" w:lineRule="auto"/>
        <w:jc w:val="both"/>
        <w:rPr>
          <w:rFonts w:ascii="Times New Roman" w:hAnsi="Times New Roman"/>
          <w:color w:val="0070C0"/>
          <w:sz w:val="16"/>
          <w:szCs w:val="16"/>
        </w:rPr>
      </w:pPr>
    </w:p>
    <w:p w14:paraId="7D98D0A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года в НИИ ВВС был выдан наряд-приказ № 0145</w:t>
      </w:r>
    </w:p>
    <w:p w14:paraId="6A890DE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Летное испытание мотора М-103 с непосредственным впрыском на самолете СБ (6890, 6).</w:t>
      </w:r>
    </w:p>
    <w:p w14:paraId="26E7272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CD664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Нач. штаба 13 авиаполка п Устинов писал письмо N 8/0302 Нач. 1 управления ГУВВС, Нач. 5 Управления ГУВВС, Дир. завода 125, ст. военпреду завода 125, пом. команд. ВВС СибВО по эксплуатации в сопровождение техакта на СБ. "...акт на осмотр матчасти СБ, который не выработал свой срок службы согласно договора ГУАС с заводом. При осмотре оказалось нижеследующее: самолет СБ N 16/1 начал эксплуатацию 5 августа 1938 и имеет налет 194:53, 381 посадка. Обнаруженные дефекты:</w:t>
      </w:r>
    </w:p>
    <w:p w14:paraId="17E21D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Расшатывание весовых грузов в элероне</w:t>
      </w:r>
    </w:p>
    <w:p w14:paraId="5886A5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Течь бензобака 1 в заклепках</w:t>
      </w:r>
    </w:p>
    <w:p w14:paraId="40857B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 N 16/2, начало эксплуатации 29 августа 1938, имеет налет 360:16, 1243 посадки. Обнаруженные дефекты:</w:t>
      </w:r>
    </w:p>
    <w:p w14:paraId="5BED1C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Расшатывание весовой компенсации у правого элерона</w:t>
      </w:r>
    </w:p>
    <w:p w14:paraId="326E57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течь правого центропланного бензобака в заклепках</w:t>
      </w:r>
    </w:p>
    <w:p w14:paraId="4E1C95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Трещины башмака буферной опоры костыля</w:t>
      </w:r>
    </w:p>
    <w:p w14:paraId="399338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Течь бензобака 1 и 2 в заклепках</w:t>
      </w:r>
    </w:p>
    <w:p w14:paraId="5FE416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 N 21/16 имеет налет 302 час, 1003 посадки. Дефекты:</w:t>
      </w:r>
    </w:p>
    <w:p w14:paraId="4C41EF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Лопнула компенсация правого элерона</w:t>
      </w:r>
    </w:p>
    <w:p w14:paraId="18927C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течь 2-х бензобаков 1 и 2 в заклепках (2698,95).</w:t>
      </w:r>
    </w:p>
    <w:p w14:paraId="46C9CC3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6AC1F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27 июля по 11 августа 1940 г. велись полеты па пикирование на СБ-РК, который запускался в серию как пикирующий бомбардировщик с подвижными тормозными решетками и установкой автомата выхода из пикирования. Тормозные решетки создавали кабрирующий момент, способствуя выводу из пикирования. Впервые эти приспособления установили на самолете № 1/281 (8286,27).</w:t>
      </w:r>
    </w:p>
    <w:p w14:paraId="543C144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FE25A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27 июля по 11 августа 1940 г. велись испытания на пикирование СБ №1/281, оснащенного подкрыльевыми, выпускаемыми тормозными решетками и автоматом выхода из пикирования (12027).</w:t>
      </w:r>
    </w:p>
    <w:p w14:paraId="49BAC75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7E6F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27 июля по 11 августа 1940 г. проходили испытания пикирующего варианта СБ-РК, оснащенного подвижными тормозными решетками и автоматом вывода самолета из пикирования по типу Ju88 (9655).</w:t>
      </w:r>
    </w:p>
    <w:p w14:paraId="1684CCF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B7CD95"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27 июля в 1940 начались году (по 11 августа) летные испытания второго варианта </w:t>
      </w:r>
      <w:hyperlink r:id="rId234" w:tgtFrame="_blank" w:history="1">
        <w:r w:rsidRPr="00DB5D0D">
          <w:rPr>
            <w:rFonts w:ascii="Times New Roman" w:hAnsi="Times New Roman"/>
            <w:color w:val="000000" w:themeColor="text1"/>
            <w:sz w:val="16"/>
            <w:szCs w:val="16"/>
          </w:rPr>
          <w:t xml:space="preserve">«СБ-РК» </w:t>
        </w:r>
      </w:hyperlink>
      <w:r w:rsidRPr="00DB5D0D">
        <w:rPr>
          <w:rFonts w:ascii="Times New Roman" w:hAnsi="Times New Roman"/>
          <w:color w:val="000000" w:themeColor="text1"/>
          <w:sz w:val="16"/>
          <w:szCs w:val="16"/>
        </w:rPr>
        <w:t>«N1/ 281» с установленными подвижными тормозными решетками и автоматом вывода самолета из пикирования по типу «Ju88» (14965).</w:t>
      </w:r>
    </w:p>
    <w:p w14:paraId="4956D3A0"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23017C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закончились заводские испытания СПБ-4 2М-105 Н.Н.П., хотя испытания остальных 2-х - 2 и 3 кончились 20 июля, когда разбилась 1 машина (2090,234).</w:t>
      </w:r>
    </w:p>
    <w:p w14:paraId="0B1C244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A961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Зам. ГК Гурко направил письмо № 25/1339с Зам. Нач. 7 ГУ НКАП тов. Шишкину (копия: Нач. ЦИАМ тов. Каширину, директору з-да № 26, НИИ ГУАС КА:</w:t>
      </w:r>
    </w:p>
    <w:p w14:paraId="6A021F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Направляю утвержденный технический отчет по испытаниям винто-моторной установки М105 на стенде самолета 330 конструкции т. Сухого П.О.</w:t>
      </w:r>
    </w:p>
    <w:p w14:paraId="6E7744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упомянутое на 32 листах (874,1).</w:t>
      </w:r>
    </w:p>
    <w:p w14:paraId="708075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был подписан технический отчет (утвердили Нач. ЦИАМ Каширин и ГК з-да № 289 П.О.С.) по испытанию винто-моторной установки М105 с 2-мя турбокомпрессорами ТК-2И на стенде самолета 330 конструкции т. Сухого П.О., согласно приказа НКАП от 19 марта 1940 за № 120с.</w:t>
      </w:r>
    </w:p>
    <w:p w14:paraId="0B25BE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проводлились на ГСЗ № 289 гор. Калиниград в июне 1940.</w:t>
      </w:r>
    </w:p>
    <w:p w14:paraId="41FF72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FDDC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Проверка работы карбюратора при условии подвода к ним воздуха от ВМГ через воздухоочистетиль со стороны винта.</w:t>
      </w:r>
    </w:p>
    <w:p w14:paraId="79313C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Определение сопротивления воздухоочистителей и воздуховодов</w:t>
      </w:r>
    </w:p>
    <w:p w14:paraId="70FD86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Проверка надежности работа мотора при измененном подводе воздуха к карбюраторам, а также надежности ТК установки в части крепления, масляной системы, ресивера, выхлопных коллекторов и воздушных трубопроводов.</w:t>
      </w:r>
    </w:p>
    <w:p w14:paraId="49165A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Краткий результат испытаний</w:t>
      </w:r>
    </w:p>
    <w:p w14:paraId="79A5EC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М-105П № 951-1, оборудованный двумя ТК ТК-2И, конструкции и производства ЦИАМ, с измененным подводом воздуха к карбюраторам К-105, коммуникацией воздушных и горячих труб конструкции и производства зав. № 135, прошел доводку и длительные испытания на стенде самолета 330 со следующими результатами:</w:t>
      </w:r>
    </w:p>
    <w:p w14:paraId="6D68DA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карбюраторам К-105</w:t>
      </w:r>
    </w:p>
    <w:p w14:paraId="6A95A4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воздухоохлодителям</w:t>
      </w:r>
    </w:p>
    <w:p w14:paraId="09C343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воздухопроводам</w:t>
      </w:r>
    </w:p>
    <w:p w14:paraId="22F578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ТК</w:t>
      </w:r>
    </w:p>
    <w:p w14:paraId="3E2388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 выхлопным коллекторам</w:t>
      </w:r>
    </w:p>
    <w:p w14:paraId="7443CE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 мотору</w:t>
      </w:r>
    </w:p>
    <w:p w14:paraId="68664B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6 этапов 5-ти часовых режимных испытаний. Каждый этап - 1 час на номинале, 4 час. на 0,9 номинала.</w:t>
      </w:r>
    </w:p>
    <w:p w14:paraId="376FA7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мотор проработал 45:55, из них на номинале 9:15, на 0,9 - 26:20.</w:t>
      </w:r>
    </w:p>
    <w:p w14:paraId="516919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480929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экспериментальной части</w:t>
      </w:r>
    </w:p>
    <w:p w14:paraId="22806E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проверке надежности</w:t>
      </w:r>
    </w:p>
    <w:p w14:paraId="3419B7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9B48E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Моторная установка с мотором М-105П с двумя ТК-2И, с коммуникацией холодных и горячих труб конструкции и производства з-да № 135, прошла 30-ти часовые испытания удовлетворительно.</w:t>
      </w:r>
    </w:p>
    <w:p w14:paraId="7EC7B3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Допустить моторную установку с мотором М-105П с двумя ТК-2И к опытной эксплоатации на самолете при условии устранения всех дефектов, выявленных при испытании (874,2).</w:t>
      </w:r>
    </w:p>
    <w:p w14:paraId="4E4F436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D97C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Пред. техсовета ЦАГИ Д.В.Голяев направил в 7 ГУ Мошкевичу письмо N 296с в сопровождении дела N 580 гр. Ефремова для ознакомления - по истребителю-перехватчику с комбинированной реактивной установкой (1448,97).</w:t>
      </w:r>
    </w:p>
    <w:p w14:paraId="1F9912B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6EDE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в ходе заводских испытаний И-200 А.И.М, которые проходили с 31 марта по 17 августа 1940, на И-200-3 состоялся полет для проверки температурных режимов работы ВМГ (2988).</w:t>
      </w:r>
    </w:p>
    <w:p w14:paraId="0E530D3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2D9C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постоянная комиссия НКАП по рассмотрению инициативных проектов и предложений по самолетам во главе с Б.Н.Юрьевым одобрила эскизный проект ИП-201 - И-200 с 2-ПТБ под крылом - и сочла целесообразной его постройку. Опять отметили завышенные прогнозы скорости (4415,35).</w:t>
      </w:r>
    </w:p>
    <w:p w14:paraId="27D66E4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5105C9" w14:textId="77777777" w:rsidR="00B175F2" w:rsidRPr="00DB5D0D" w:rsidRDefault="00B175F2"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27 июля 1940 г. экспертной комиссией НКАП под председательством академика Б. Н. Юрьева был рассмотрен и одобрен эскизный проект пушечно</w:t>
      </w:r>
      <w:r w:rsidRPr="00DB5D0D">
        <w:rPr>
          <w:rFonts w:ascii="Times New Roman" w:hAnsi="Times New Roman"/>
          <w:color w:val="000000" w:themeColor="text1"/>
          <w:spacing w:val="0"/>
          <w:sz w:val="16"/>
          <w:szCs w:val="16"/>
        </w:rPr>
        <w:softHyphen/>
        <w:t>го истребителя ИП-201 с АМ-35А. Самолет являлся «дальнейшим развитием скоростного истребителя И-200 в сторону увеличения его огневой мощи» и отличался от него лишь составом вооружения, который включал две 23-мм пушки Таубина—Бабурина (МП-3) в обтекателях под крылом с боеза</w:t>
      </w:r>
      <w:r w:rsidRPr="00DB5D0D">
        <w:rPr>
          <w:rFonts w:ascii="Times New Roman" w:hAnsi="Times New Roman"/>
          <w:color w:val="000000" w:themeColor="text1"/>
          <w:spacing w:val="0"/>
          <w:sz w:val="16"/>
          <w:szCs w:val="16"/>
        </w:rPr>
        <w:softHyphen/>
        <w:t>пасом по 60 патронов на ствол и два синхронных пулемета ШКАС с боекомплектом 1500 патронов. В перегрузочном варианте на двух внешних узлах допускалась подвеска 200 кг бомб. Других суще</w:t>
      </w:r>
      <w:r w:rsidRPr="00DB5D0D">
        <w:rPr>
          <w:rFonts w:ascii="Times New Roman" w:hAnsi="Times New Roman"/>
          <w:color w:val="000000" w:themeColor="text1"/>
          <w:spacing w:val="0"/>
          <w:sz w:val="16"/>
          <w:szCs w:val="16"/>
        </w:rPr>
        <w:softHyphen/>
        <w:t>ственных отличий от И-200 не было. Самолет пред</w:t>
      </w:r>
      <w:r w:rsidRPr="00DB5D0D">
        <w:rPr>
          <w:rFonts w:ascii="Times New Roman" w:hAnsi="Times New Roman"/>
          <w:color w:val="000000" w:themeColor="text1"/>
          <w:spacing w:val="0"/>
          <w:sz w:val="16"/>
          <w:szCs w:val="16"/>
        </w:rPr>
        <w:softHyphen/>
        <w:t>лагалось использовать как «скоростной одномест</w:t>
      </w:r>
      <w:r w:rsidRPr="00DB5D0D">
        <w:rPr>
          <w:rFonts w:ascii="Times New Roman" w:hAnsi="Times New Roman"/>
          <w:color w:val="000000" w:themeColor="text1"/>
          <w:spacing w:val="0"/>
          <w:sz w:val="16"/>
          <w:szCs w:val="16"/>
        </w:rPr>
        <w:softHyphen/>
        <w:t>ный истребитель-перехватчик» и «штурмовик по бронированным частям противника».</w:t>
      </w:r>
    </w:p>
    <w:p w14:paraId="0757DD1E" w14:textId="77777777" w:rsidR="00B175F2" w:rsidRPr="00DB5D0D" w:rsidRDefault="00B175F2"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При рассмотрении материалов эскизного про</w:t>
      </w:r>
      <w:r w:rsidRPr="00DB5D0D">
        <w:rPr>
          <w:rFonts w:ascii="Times New Roman" w:hAnsi="Times New Roman"/>
          <w:color w:val="000000" w:themeColor="text1"/>
          <w:spacing w:val="0"/>
          <w:sz w:val="16"/>
          <w:szCs w:val="16"/>
        </w:rPr>
        <w:softHyphen/>
        <w:t>екта ИП-201 специалисты НИИ ВВС предложили за</w:t>
      </w:r>
      <w:r w:rsidRPr="00DB5D0D">
        <w:rPr>
          <w:rFonts w:ascii="Times New Roman" w:hAnsi="Times New Roman"/>
          <w:color w:val="000000" w:themeColor="text1"/>
          <w:spacing w:val="0"/>
          <w:sz w:val="16"/>
          <w:szCs w:val="16"/>
        </w:rPr>
        <w:softHyphen/>
        <w:t>менить пушки МП-3, как имеющие недостаточный темп стрельбы, крупнокалиберными пулеметами БК с последующим переходом к более совершенно</w:t>
      </w:r>
      <w:r w:rsidRPr="00DB5D0D">
        <w:rPr>
          <w:rFonts w:ascii="Times New Roman" w:hAnsi="Times New Roman"/>
          <w:color w:val="000000" w:themeColor="text1"/>
          <w:spacing w:val="0"/>
          <w:sz w:val="16"/>
          <w:szCs w:val="16"/>
        </w:rPr>
        <w:softHyphen/>
        <w:t>му образцу автомата ОКБ-16, а также установить на самолет ракетные орудия. Заместитель начальника ГУ ВВС КА генерал П. В. Рычагов 14 августа 1940 г. утвердил заключение по эскизному проекту пушеч</w:t>
      </w:r>
      <w:r w:rsidRPr="00DB5D0D">
        <w:rPr>
          <w:rFonts w:ascii="Times New Roman" w:hAnsi="Times New Roman"/>
          <w:color w:val="000000" w:themeColor="text1"/>
          <w:spacing w:val="0"/>
          <w:sz w:val="16"/>
          <w:szCs w:val="16"/>
        </w:rPr>
        <w:softHyphen/>
        <w:t>ного истребителя ИП-201 (17599).</w:t>
      </w:r>
    </w:p>
    <w:p w14:paraId="50CA8D5B" w14:textId="77777777" w:rsidR="00B175F2" w:rsidRPr="00DB5D0D" w:rsidRDefault="00B175F2" w:rsidP="00DB5D0D">
      <w:pPr>
        <w:spacing w:after="0" w:line="240" w:lineRule="auto"/>
        <w:jc w:val="both"/>
        <w:rPr>
          <w:rFonts w:ascii="Times New Roman" w:eastAsia="Times New Roman" w:hAnsi="Times New Roman"/>
          <w:color w:val="000000" w:themeColor="text1"/>
          <w:sz w:val="16"/>
          <w:szCs w:val="16"/>
          <w:lang w:eastAsia="ru-RU"/>
        </w:rPr>
      </w:pPr>
    </w:p>
    <w:p w14:paraId="059DC483" w14:textId="77777777" w:rsidR="003F3824" w:rsidRPr="00DB5D0D" w:rsidRDefault="003F382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27 июля в 1940 году постоянная комиссия НКАП по рассмотрению инициативных проектов и предложений по самолетам, которую возглавлял Б.Н.Юрьев, одобрила эскизный проект пушечного истребителя </w:t>
      </w:r>
      <w:hyperlink r:id="rId235" w:tgtFrame="_blank" w:history="1">
        <w:r w:rsidRPr="00DB5D0D">
          <w:rPr>
            <w:rFonts w:ascii="Times New Roman" w:hAnsi="Times New Roman"/>
            <w:color w:val="000000" w:themeColor="text1"/>
            <w:sz w:val="16"/>
            <w:szCs w:val="16"/>
          </w:rPr>
          <w:t xml:space="preserve">«ИП-201» </w:t>
        </w:r>
      </w:hyperlink>
      <w:r w:rsidRPr="00DB5D0D">
        <w:rPr>
          <w:rFonts w:ascii="Times New Roman" w:hAnsi="Times New Roman"/>
          <w:color w:val="000000" w:themeColor="text1"/>
          <w:sz w:val="16"/>
          <w:szCs w:val="16"/>
        </w:rPr>
        <w:t xml:space="preserve">и сочла его постройку целесообразной. При этом было отмечено, что максимальная скорость самолета несколько завышена и реально следовало ожидать 615 км/ч. Однако НИИ ВВС в своем заключении по эскизному проекту </w:t>
      </w:r>
      <w:hyperlink r:id="rId236" w:tgtFrame="_blank" w:history="1">
        <w:r w:rsidRPr="00DB5D0D">
          <w:rPr>
            <w:rFonts w:ascii="Times New Roman" w:hAnsi="Times New Roman"/>
            <w:color w:val="000000" w:themeColor="text1"/>
            <w:sz w:val="16"/>
            <w:szCs w:val="16"/>
          </w:rPr>
          <w:t xml:space="preserve">«ИП-201», </w:t>
        </w:r>
      </w:hyperlink>
      <w:r w:rsidRPr="00DB5D0D">
        <w:rPr>
          <w:rFonts w:ascii="Times New Roman" w:hAnsi="Times New Roman"/>
          <w:color w:val="000000" w:themeColor="text1"/>
          <w:sz w:val="16"/>
          <w:szCs w:val="16"/>
        </w:rPr>
        <w:t>утвержденном 14 августа, отметил, что предъявленная схема вооружения является неприемлемой из-за недостаточной скорострельности пушек «МП-3» (300 выстр./мин.). В связи с чем было предложено на основании принятой Начальником ВВС КА системы вооружения существующих самолетов вместо пушек «МП-3» разработать установку на самолете «И-200» двух пулеметов «БС» с боезапасом по 300 патронов (14965).</w:t>
      </w:r>
    </w:p>
    <w:p w14:paraId="10889103" w14:textId="77777777" w:rsidR="003F3824" w:rsidRPr="00DB5D0D" w:rsidRDefault="003F3824" w:rsidP="00DB5D0D">
      <w:pPr>
        <w:spacing w:after="0" w:line="240" w:lineRule="auto"/>
        <w:jc w:val="both"/>
        <w:rPr>
          <w:rFonts w:ascii="Times New Roman" w:hAnsi="Times New Roman"/>
          <w:color w:val="000000" w:themeColor="text1"/>
          <w:sz w:val="16"/>
          <w:szCs w:val="16"/>
        </w:rPr>
      </w:pPr>
    </w:p>
    <w:p w14:paraId="622FD523" w14:textId="77777777" w:rsidR="003C7E8B" w:rsidRPr="00DB5D0D" w:rsidRDefault="003C7E8B" w:rsidP="00DB5D0D">
      <w:pPr>
        <w:pStyle w:val="a3"/>
        <w:tabs>
          <w:tab w:val="left" w:pos="11199"/>
        </w:tabs>
        <w:rPr>
          <w:color w:val="000000" w:themeColor="text1"/>
          <w:lang w:val="ru-RU"/>
        </w:rPr>
      </w:pPr>
      <w:r w:rsidRPr="00DB5D0D">
        <w:rPr>
          <w:color w:val="000000" w:themeColor="text1"/>
          <w:lang w:val="ru-RU"/>
        </w:rPr>
        <w:t>27 июля 1940 Комиссия Юрьева рассмотрела про</w:t>
      </w:r>
      <w:r w:rsidRPr="00DB5D0D">
        <w:rPr>
          <w:color w:val="000000" w:themeColor="text1"/>
          <w:lang w:val="ru-RU"/>
        </w:rPr>
        <w:softHyphen/>
        <w:t>ект пер</w:t>
      </w:r>
      <w:r w:rsidRPr="00DB5D0D">
        <w:rPr>
          <w:color w:val="000000" w:themeColor="text1"/>
          <w:lang w:val="ru-RU"/>
        </w:rPr>
        <w:softHyphen/>
        <w:t>спективного истребителя И-195 Н.Н. Поликарпов с безрасчалочной бипланной коробкой с “J”-образными стойками с мотором М-90. Самолет был вооружен двумя пушка</w:t>
      </w:r>
      <w:r w:rsidRPr="00DB5D0D">
        <w:rPr>
          <w:color w:val="000000" w:themeColor="text1"/>
          <w:lang w:val="ru-RU"/>
        </w:rPr>
        <w:softHyphen/>
        <w:t>ми калибра 20 мм и двумя пулеметами ШКАС. Предусматривалось использо</w:t>
      </w:r>
      <w:r w:rsidRPr="00DB5D0D">
        <w:rPr>
          <w:color w:val="000000" w:themeColor="text1"/>
          <w:lang w:val="ru-RU"/>
        </w:rPr>
        <w:softHyphen/>
        <w:t>вание 8 PC-82. Возможна была под</w:t>
      </w:r>
      <w:r w:rsidRPr="00DB5D0D">
        <w:rPr>
          <w:color w:val="000000" w:themeColor="text1"/>
          <w:lang w:val="ru-RU"/>
        </w:rPr>
        <w:softHyphen/>
        <w:t>веска бомб общим весом до 500 кг, в том числе две бомбы по 250 кг. Макси</w:t>
      </w:r>
      <w:r w:rsidRPr="00DB5D0D">
        <w:rPr>
          <w:color w:val="000000" w:themeColor="text1"/>
          <w:lang w:val="ru-RU"/>
        </w:rPr>
        <w:softHyphen/>
        <w:t xml:space="preserve">мальная скорость полета на расчетной высоте 7000 м по проекту была 591 км/ ч, у земли - 510 км/ч. Вывод комиссии: </w:t>
      </w:r>
      <w:r w:rsidRPr="00DB5D0D">
        <w:rPr>
          <w:iCs/>
          <w:color w:val="000000" w:themeColor="text1"/>
          <w:lang w:val="ru-RU"/>
        </w:rPr>
        <w:t xml:space="preserve">“Отложить окончательное решение впредь до внесения со стороны ВВС ясности в вопросе о необходимости для КЛ иметь </w:t>
      </w:r>
      <w:r w:rsidRPr="00DB5D0D">
        <w:rPr>
          <w:iCs/>
          <w:color w:val="000000" w:themeColor="text1"/>
          <w:lang w:val="ru-RU"/>
        </w:rPr>
        <w:lastRenderedPageBreak/>
        <w:t xml:space="preserve">подобный самолет”. </w:t>
      </w:r>
      <w:r w:rsidRPr="00DB5D0D">
        <w:rPr>
          <w:color w:val="000000" w:themeColor="text1"/>
          <w:lang w:val="ru-RU"/>
        </w:rPr>
        <w:t>Если к моменту рассмотрения про</w:t>
      </w:r>
      <w:r w:rsidRPr="00DB5D0D">
        <w:rPr>
          <w:color w:val="000000" w:themeColor="text1"/>
          <w:lang w:val="ru-RU"/>
        </w:rPr>
        <w:softHyphen/>
        <w:t>екта в комиссии Юрьева спорной мог</w:t>
      </w:r>
      <w:r w:rsidRPr="00DB5D0D">
        <w:rPr>
          <w:color w:val="000000" w:themeColor="text1"/>
          <w:lang w:val="ru-RU"/>
        </w:rPr>
        <w:softHyphen/>
        <w:t>ла быть постройка самолета в вариан</w:t>
      </w:r>
      <w:r w:rsidRPr="00DB5D0D">
        <w:rPr>
          <w:color w:val="000000" w:themeColor="text1"/>
          <w:lang w:val="ru-RU"/>
        </w:rPr>
        <w:softHyphen/>
        <w:t>те маневренного истребителя, то нс вы</w:t>
      </w:r>
      <w:r w:rsidRPr="00DB5D0D">
        <w:rPr>
          <w:color w:val="000000" w:themeColor="text1"/>
          <w:lang w:val="ru-RU"/>
        </w:rPr>
        <w:softHyphen/>
        <w:t>зывает сомнений, что на базе этого проекта мог быть создан весьма эффек</w:t>
      </w:r>
      <w:r w:rsidRPr="00DB5D0D">
        <w:rPr>
          <w:color w:val="000000" w:themeColor="text1"/>
          <w:lang w:val="ru-RU"/>
        </w:rPr>
        <w:softHyphen/>
        <w:t>тивный самолет поля боя. Если при этом отказаться от нереального мото</w:t>
      </w:r>
      <w:r w:rsidRPr="00DB5D0D">
        <w:rPr>
          <w:color w:val="000000" w:themeColor="text1"/>
          <w:lang w:val="ru-RU"/>
        </w:rPr>
        <w:softHyphen/>
        <w:t>ра М-90 и предусмотреть использова</w:t>
      </w:r>
      <w:r w:rsidRPr="00DB5D0D">
        <w:rPr>
          <w:color w:val="000000" w:themeColor="text1"/>
          <w:lang w:val="ru-RU"/>
        </w:rPr>
        <w:softHyphen/>
        <w:t>ние моторов М-82А, а в дальнейшем М-82ФН, то можно было бы получить хороший самолет для поражения точеч</w:t>
      </w:r>
      <w:r w:rsidRPr="00DB5D0D">
        <w:rPr>
          <w:color w:val="000000" w:themeColor="text1"/>
          <w:lang w:val="ru-RU"/>
        </w:rPr>
        <w:softHyphen/>
        <w:t>ных целей на поле боя с пикирования бомбами, стрелково-пушечным огнем и реактивными снарядами. Благодаря вы</w:t>
      </w:r>
      <w:r w:rsidRPr="00DB5D0D">
        <w:rPr>
          <w:color w:val="000000" w:themeColor="text1"/>
          <w:lang w:val="ru-RU"/>
        </w:rPr>
        <w:softHyphen/>
        <w:t>соким маневренным характеристикам он мог успешно осуществлять и штурмовые действия по протяженным це</w:t>
      </w:r>
      <w:r w:rsidRPr="00DB5D0D">
        <w:rPr>
          <w:color w:val="000000" w:themeColor="text1"/>
          <w:lang w:val="ru-RU"/>
        </w:rPr>
        <w:softHyphen/>
        <w:t>лям с пологого пикирования и плани</w:t>
      </w:r>
      <w:r w:rsidRPr="00DB5D0D">
        <w:rPr>
          <w:color w:val="000000" w:themeColor="text1"/>
          <w:lang w:val="ru-RU"/>
        </w:rPr>
        <w:softHyphen/>
        <w:t>рования. Как показывают расчеты, на само</w:t>
      </w:r>
      <w:r w:rsidRPr="00DB5D0D">
        <w:rPr>
          <w:color w:val="000000" w:themeColor="text1"/>
          <w:lang w:val="ru-RU"/>
        </w:rPr>
        <w:softHyphen/>
        <w:t>лете при использовании дополнитель</w:t>
      </w:r>
      <w:r w:rsidRPr="00DB5D0D">
        <w:rPr>
          <w:color w:val="000000" w:themeColor="text1"/>
          <w:lang w:val="ru-RU"/>
        </w:rPr>
        <w:softHyphen/>
        <w:t>ной брони весом 250-300 кг, при на</w:t>
      </w:r>
      <w:r w:rsidRPr="00DB5D0D">
        <w:rPr>
          <w:color w:val="000000" w:themeColor="text1"/>
          <w:lang w:val="ru-RU"/>
        </w:rPr>
        <w:softHyphen/>
        <w:t>ружной подвеске двух бомб ФАБ-250 или 6 PC-132 летные данные остава</w:t>
      </w:r>
      <w:r w:rsidRPr="00DB5D0D">
        <w:rPr>
          <w:color w:val="000000" w:themeColor="text1"/>
          <w:lang w:val="ru-RU"/>
        </w:rPr>
        <w:softHyphen/>
        <w:t>лись достаточно высокими для самоле</w:t>
      </w:r>
      <w:r w:rsidRPr="00DB5D0D">
        <w:rPr>
          <w:color w:val="000000" w:themeColor="text1"/>
          <w:lang w:val="ru-RU"/>
        </w:rPr>
        <w:softHyphen/>
        <w:t>та поля боя. С мотором М-82А макси</w:t>
      </w:r>
      <w:r w:rsidRPr="00DB5D0D">
        <w:rPr>
          <w:color w:val="000000" w:themeColor="text1"/>
          <w:lang w:val="ru-RU"/>
        </w:rPr>
        <w:softHyphen/>
        <w:t>мальная скорость полета на расчетной высоте могла составить 500-520 км/ч, у земли - 400-420 км/ч. А при исполь</w:t>
      </w:r>
      <w:r w:rsidRPr="00DB5D0D">
        <w:rPr>
          <w:color w:val="000000" w:themeColor="text1"/>
          <w:lang w:val="ru-RU"/>
        </w:rPr>
        <w:softHyphen/>
        <w:t>зовании М-82ФН соответственно - 600-630 км/ч на расчетной высоте, а у зем</w:t>
      </w:r>
      <w:r w:rsidRPr="00DB5D0D">
        <w:rPr>
          <w:color w:val="000000" w:themeColor="text1"/>
          <w:lang w:val="ru-RU"/>
        </w:rPr>
        <w:softHyphen/>
        <w:t>ли за счет использования форсажа кратковременно - 490-520 км/ч. К сожалению, это направление раз</w:t>
      </w:r>
      <w:r w:rsidRPr="00DB5D0D">
        <w:rPr>
          <w:color w:val="000000" w:themeColor="text1"/>
          <w:lang w:val="ru-RU"/>
        </w:rPr>
        <w:softHyphen/>
        <w:t>вития И-195 не рассматривалось ни специалистами ВВС, ни главным кон</w:t>
      </w:r>
      <w:r w:rsidRPr="00DB5D0D">
        <w:rPr>
          <w:color w:val="000000" w:themeColor="text1"/>
          <w:lang w:val="ru-RU"/>
        </w:rPr>
        <w:softHyphen/>
        <w:t>структором самолета. В целом сказалось недопонимание ряда руководящих работников ВВС КА и НКАП необходимости и возможнос</w:t>
      </w:r>
      <w:r w:rsidRPr="00DB5D0D">
        <w:rPr>
          <w:color w:val="000000" w:themeColor="text1"/>
          <w:lang w:val="ru-RU"/>
        </w:rPr>
        <w:softHyphen/>
        <w:t>ти создания на базе скоростных манев</w:t>
      </w:r>
      <w:r w:rsidRPr="00DB5D0D">
        <w:rPr>
          <w:color w:val="000000" w:themeColor="text1"/>
          <w:lang w:val="ru-RU"/>
        </w:rPr>
        <w:softHyphen/>
        <w:t>ренных бипланов с улучшенной аэро</w:t>
      </w:r>
      <w:r w:rsidRPr="00DB5D0D">
        <w:rPr>
          <w:color w:val="000000" w:themeColor="text1"/>
          <w:lang w:val="ru-RU"/>
        </w:rPr>
        <w:softHyphen/>
        <w:t>динамикой, повышенной живучестью в бою (за счет использования прогрес</w:t>
      </w:r>
      <w:r w:rsidRPr="00DB5D0D">
        <w:rPr>
          <w:color w:val="000000" w:themeColor="text1"/>
          <w:lang w:val="ru-RU"/>
        </w:rPr>
        <w:softHyphen/>
        <w:t>сивных конструктивных решений), и с мощными моторами воздушного охлаж</w:t>
      </w:r>
      <w:r w:rsidRPr="00DB5D0D">
        <w:rPr>
          <w:color w:val="000000" w:themeColor="text1"/>
          <w:lang w:val="ru-RU"/>
        </w:rPr>
        <w:softHyphen/>
        <w:t>дения весьма эффективных самолетов поля боя. Боевой опыт локальных и региональ</w:t>
      </w:r>
      <w:r w:rsidRPr="00DB5D0D">
        <w:rPr>
          <w:color w:val="000000" w:themeColor="text1"/>
          <w:lang w:val="ru-RU"/>
        </w:rPr>
        <w:softHyphen/>
        <w:t>ных военных конфликтов межвоенно</w:t>
      </w:r>
      <w:r w:rsidRPr="00DB5D0D">
        <w:rPr>
          <w:color w:val="000000" w:themeColor="text1"/>
          <w:lang w:val="ru-RU"/>
        </w:rPr>
        <w:softHyphen/>
        <w:t>го периода, в которых для штурмовок применялись советские истребители И-15 и И-15бис, а также немецкий само</w:t>
      </w:r>
      <w:r w:rsidRPr="00DB5D0D">
        <w:rPr>
          <w:color w:val="000000" w:themeColor="text1"/>
          <w:lang w:val="ru-RU"/>
        </w:rPr>
        <w:softHyphen/>
        <w:t>лет Hs 123, к сожалению, не нашел дол</w:t>
      </w:r>
      <w:r w:rsidRPr="00DB5D0D">
        <w:rPr>
          <w:color w:val="000000" w:themeColor="text1"/>
          <w:lang w:val="ru-RU"/>
        </w:rPr>
        <w:softHyphen/>
        <w:t>жного развития, завершенного конк</w:t>
      </w:r>
      <w:r w:rsidRPr="00DB5D0D">
        <w:rPr>
          <w:color w:val="000000" w:themeColor="text1"/>
          <w:lang w:val="ru-RU"/>
        </w:rPr>
        <w:softHyphen/>
        <w:t>ретной реализацией (6269).</w:t>
      </w:r>
    </w:p>
    <w:p w14:paraId="601090A1" w14:textId="77777777" w:rsidR="003C7E8B" w:rsidRPr="00DB5D0D" w:rsidRDefault="003C7E8B" w:rsidP="00DB5D0D">
      <w:pPr>
        <w:pStyle w:val="a3"/>
        <w:tabs>
          <w:tab w:val="left" w:pos="11199"/>
        </w:tabs>
        <w:rPr>
          <w:color w:val="000000" w:themeColor="text1"/>
          <w:lang w:val="ru-RU"/>
        </w:rPr>
      </w:pPr>
    </w:p>
    <w:p w14:paraId="768966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 Комиссия Юрьева рассмотрела проект перспективного истребителя И-195 с безрасчалочной бипланной коробкой с J-образными стойками с мотором М-90.</w:t>
      </w:r>
    </w:p>
    <w:p w14:paraId="102B39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Верхнее крыло двухлонжеронное деревянной конструкции с фанерной обшивкой.</w:t>
      </w:r>
    </w:p>
    <w:p w14:paraId="655109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Центроплан типа «чайка». Нижнее крыло однолонжеронное, смешанной конструкции (центроплан металлический, консоли смешанной с фанерной обшивкой).</w:t>
      </w:r>
    </w:p>
    <w:p w14:paraId="70F5AB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сварной из хромансиле-вых труб. Шасси убирающиеся. Оперение дюралевое, обшито полотном.</w:t>
      </w:r>
    </w:p>
    <w:p w14:paraId="1BB3AE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был вооружен двумя пушками калибра 20 мм и двумя пулеметами ШКАС. Предусматривалось использование 8 PC-82. Возможна была и подвеска бомб общим весом до 500 кг и в том числе две бомбы по 250 кг. Максимальная скорость полета на расчетной высоте 7000 м по проекту была 591 км/ч, у земли - 510 км/ч</w:t>
      </w:r>
    </w:p>
    <w:p w14:paraId="573BC6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 комиссии:</w:t>
      </w:r>
    </w:p>
    <w:p w14:paraId="2B4CBB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«Отложить окончательное решение впредь до внесения со стороны ВВС ясности в вопрос о необходимости для КА иметь подобный самолет».</w:t>
      </w:r>
    </w:p>
    <w:p w14:paraId="39C62D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моменту рассмотрения проекта в комиссии Юрьева, спорной могла быть постройка самолета в варианте маневренного истребителя, и не вызывает сомнений, что на базе этого проекта мог быть создан весьма эффективный самолет поля боя.</w:t>
      </w:r>
    </w:p>
    <w:p w14:paraId="02C311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при этом отказаться от нереального мотора М-90 и предусмотреть использование моторов М-82А, а в дальнейшем М-82ФН, то можно было бы получить хороший самолет для поражения точечных целей на поле боя с пикирования бомбами, стрелково-пушечным огнем и РС (9649).</w:t>
      </w:r>
    </w:p>
    <w:p w14:paraId="108E8A4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75B0D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состоялось совещание постоянной комиссии НКАП по рассмотрению инициативных проектов и предложений по самолетам (протокол 8):</w:t>
      </w:r>
    </w:p>
    <w:p w14:paraId="0B1A0F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Рассмотрели:</w:t>
      </w:r>
    </w:p>
    <w:p w14:paraId="01C220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эскизный проект пушечного истребителя ИП-201 МиГ - завод 1 - развития И-200 с АМ-37 и 2хМП-3 23 мм под крыльями + 2ШКАС. Сочли целесообразной постройку машины с большими радиаторами, оперением и колесами шасси (1448,51).</w:t>
      </w:r>
    </w:p>
    <w:p w14:paraId="0F750A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эскизный проект геликоптера КБ МАИ Юрьева и Братухина с 2МВ-6 в разнесенных мотогондолах. Решили продолжить разработку и постройку (2166,53).</w:t>
      </w:r>
    </w:p>
    <w:p w14:paraId="1814F6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проект гидросамолета МДР-6Б Четверикова - 31 завод с 2М-105 и поплавками, убирающимися в крыло и разнесенным ВО. Рекомендовали изменения и улучшения. "Тов. Четвериков работает над проектом самолета МДР-6Б с 1938 и к моменту выхода на испытания самолет устареет. Объем проделанной работы небольшой. В перспективный план НКВМФ т. Четверикову предусмотрено новое задание. В случае утверждения Правительством перспективного плана НКВМФ целесообразно работы по МДР-6Б прекратить." (1448,66).</w:t>
      </w:r>
    </w:p>
    <w:p w14:paraId="7743A6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проект пикирующего одномоторного бомбардировщика Горбунова - 301 завод с АМ-37 из упроченной древесины. Моноплан с низкорасположенным крылом, двухместный. Пришли к выводу, что необходима полная переработка и перекомпоновка самолета, т.к. велика нагрузка на метр, кабины тесны, обзор недостаточен. Не имеет преимуществ перед строящимися машинами ОПБ Кочеригина, ББ Грушина, ОБШ П.О.С. и дальнейшая работа нецелесообразна (1448,90).</w:t>
      </w:r>
    </w:p>
    <w:p w14:paraId="796A05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проект маневренного одноместного истребителя Н.Н.П. - развития И-190 - биплана безрасчалочной схемы, с центропланом типа Чайка и с М-90 - И-195. Решили, что если И-190 подтвердит 500-520 км/час, то данные И-195 в 590 км/час реальны. "Отложить окончательное решение впредь до внесения со стороны ВВС ясности в вопрос о необходимости для РККА иметь подобный самолет." (1448).</w:t>
      </w:r>
    </w:p>
    <w:p w14:paraId="737478E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64E0B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 постоянная комиссия НКАП по рассмотрению инициативных проектов и предложе</w:t>
      </w:r>
      <w:r w:rsidRPr="00DB5D0D">
        <w:rPr>
          <w:rFonts w:ascii="Times New Roman" w:hAnsi="Times New Roman"/>
          <w:color w:val="000000" w:themeColor="text1"/>
          <w:sz w:val="16"/>
          <w:szCs w:val="16"/>
        </w:rPr>
        <w:softHyphen/>
        <w:t>ний по самолетам, которую возглавлял Б.Н.Юрьев, одобрила эскизный проект пушечного истребителя ИП—201 (9984).</w:t>
      </w:r>
    </w:p>
    <w:p w14:paraId="0B2018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94EE1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был утвержден первый эскизный проект вертолета Омега с ферменным фюзеляжем из труб, обшитым полотном и 2хМВ-6 водяного охлаждения 220 нр (3109,18).</w:t>
      </w:r>
    </w:p>
    <w:p w14:paraId="1234C44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D5A9922" w14:textId="77777777" w:rsidR="003F3824" w:rsidRPr="00DB5D0D" w:rsidRDefault="003F382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 эскизный проект геликоптера ОКБ-3 Братухина рассмотрели и утвердили, а в августе 1941 г. построенный вертолет передали на заводские лётные испытания (15831).</w:t>
      </w:r>
    </w:p>
    <w:p w14:paraId="67B16FD0" w14:textId="77777777" w:rsidR="003F3824" w:rsidRPr="00DB5D0D" w:rsidRDefault="003F3824" w:rsidP="00DB5D0D">
      <w:pPr>
        <w:spacing w:after="0" w:line="240" w:lineRule="auto"/>
        <w:jc w:val="both"/>
        <w:rPr>
          <w:rFonts w:ascii="Times New Roman" w:hAnsi="Times New Roman"/>
          <w:color w:val="000000" w:themeColor="text1"/>
          <w:sz w:val="16"/>
          <w:szCs w:val="16"/>
        </w:rPr>
      </w:pPr>
    </w:p>
    <w:p w14:paraId="1D1B5C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 был утвержден эскизный проект вертолета «Омега», на базе которого планировалось создать вертолет связи — артиллерийский корректировщик или охотник за подводными лод</w:t>
      </w:r>
      <w:r w:rsidRPr="00DB5D0D">
        <w:rPr>
          <w:rFonts w:ascii="Times New Roman" w:hAnsi="Times New Roman"/>
          <w:color w:val="000000" w:themeColor="text1"/>
          <w:sz w:val="16"/>
          <w:szCs w:val="16"/>
        </w:rPr>
        <w:softHyphen/>
        <w:t>ками. Это был двухдвигательный двухвинтовой вертолет поперечной схемы, явившийся глубоким развитием первого из геликоптеров «фаворитов», разрабатанного в ЦАГИ еще в 1928 г. и тоже выпол</w:t>
      </w:r>
      <w:r w:rsidRPr="00DB5D0D">
        <w:rPr>
          <w:rFonts w:ascii="Times New Roman" w:hAnsi="Times New Roman"/>
          <w:color w:val="000000" w:themeColor="text1"/>
          <w:sz w:val="16"/>
          <w:szCs w:val="16"/>
        </w:rPr>
        <w:softHyphen/>
        <w:t>ненного по двухвинтовой поперечной схеме, но снабженного од</w:t>
      </w:r>
      <w:r w:rsidRPr="00DB5D0D">
        <w:rPr>
          <w:rFonts w:ascii="Times New Roman" w:hAnsi="Times New Roman"/>
          <w:color w:val="000000" w:themeColor="text1"/>
          <w:sz w:val="16"/>
          <w:szCs w:val="16"/>
        </w:rPr>
        <w:softHyphen/>
        <w:t>ним двигателем, мощности которого было недостаточно, поэтому разработка его была прекращена. Название 2МГ «Омега» расшиф</w:t>
      </w:r>
      <w:r w:rsidRPr="00DB5D0D">
        <w:rPr>
          <w:rFonts w:ascii="Times New Roman" w:hAnsi="Times New Roman"/>
          <w:color w:val="000000" w:themeColor="text1"/>
          <w:sz w:val="16"/>
          <w:szCs w:val="16"/>
        </w:rPr>
        <w:softHyphen/>
        <w:t>ровывалась так: «двухмоторный геликоптер, в котором учтено все, от альфы до омеги». Вертолет имел фюзеляж самолетного типа фер-менной конструкции, который был сварен из стальных труб и сверху обшит полотном. Боковые фермы были также сварены из стальных труб. На вертолете «Омега» были установлены два рядных двигателя воздушного охлаждения МВ-6 с номинальной мощнос</w:t>
      </w:r>
      <w:r w:rsidRPr="00DB5D0D">
        <w:rPr>
          <w:rFonts w:ascii="Times New Roman" w:hAnsi="Times New Roman"/>
          <w:color w:val="000000" w:themeColor="text1"/>
          <w:sz w:val="16"/>
          <w:szCs w:val="16"/>
        </w:rPr>
        <w:softHyphen/>
        <w:t>тью по 220 л. с./162 кВт в отдельных гондолах. Вертолет, в соот</w:t>
      </w:r>
      <w:r w:rsidRPr="00DB5D0D">
        <w:rPr>
          <w:rFonts w:ascii="Times New Roman" w:hAnsi="Times New Roman"/>
          <w:color w:val="000000" w:themeColor="text1"/>
          <w:sz w:val="16"/>
          <w:szCs w:val="16"/>
        </w:rPr>
        <w:softHyphen/>
        <w:t>ветствии с «модульной» концепцией Б. Н. Юрьева, как бы имел два отдельных модуля, состоящих из двух винтомоторных устано</w:t>
      </w:r>
      <w:r w:rsidRPr="00DB5D0D">
        <w:rPr>
          <w:rFonts w:ascii="Times New Roman" w:hAnsi="Times New Roman"/>
          <w:color w:val="000000" w:themeColor="text1"/>
          <w:sz w:val="16"/>
          <w:szCs w:val="16"/>
        </w:rPr>
        <w:softHyphen/>
        <w:t>вок, связанных между собой валом синхронизации, на который мощность передавалась только в случае отказа одного двигателя. Вал двигателя соединялся через муфту включения, которая одновременно являлась и муфтой свободного хода, с нижним ре</w:t>
      </w:r>
      <w:r w:rsidRPr="00DB5D0D">
        <w:rPr>
          <w:rFonts w:ascii="Times New Roman" w:hAnsi="Times New Roman"/>
          <w:color w:val="000000" w:themeColor="text1"/>
          <w:sz w:val="16"/>
          <w:szCs w:val="16"/>
        </w:rPr>
        <w:softHyphen/>
        <w:t>дуктором, передающим мощность от вала двигателя к вертикаль</w:t>
      </w:r>
      <w:r w:rsidRPr="00DB5D0D">
        <w:rPr>
          <w:rFonts w:ascii="Times New Roman" w:hAnsi="Times New Roman"/>
          <w:color w:val="000000" w:themeColor="text1"/>
          <w:sz w:val="16"/>
          <w:szCs w:val="16"/>
        </w:rPr>
        <w:softHyphen/>
        <w:t>ному валу и валу синхронизации, а вертикальный вал — к верхне</w:t>
      </w:r>
      <w:r w:rsidRPr="00DB5D0D">
        <w:rPr>
          <w:rFonts w:ascii="Times New Roman" w:hAnsi="Times New Roman"/>
          <w:color w:val="000000" w:themeColor="text1"/>
          <w:sz w:val="16"/>
          <w:szCs w:val="16"/>
        </w:rPr>
        <w:softHyphen/>
        <w:t>му редуктору. Общее передаточное число от коленчатого вала дви</w:t>
      </w:r>
      <w:r w:rsidRPr="00DB5D0D">
        <w:rPr>
          <w:rFonts w:ascii="Times New Roman" w:hAnsi="Times New Roman"/>
          <w:color w:val="000000" w:themeColor="text1"/>
          <w:sz w:val="16"/>
          <w:szCs w:val="16"/>
        </w:rPr>
        <w:softHyphen/>
        <w:t>гателя к валу несущего винта было 0,231. Для облегчения запуска двигателей вал синхронизации был выполнен из двух отдельных частей, соединявшихся синхронной муфтой, расположенной в ка</w:t>
      </w:r>
      <w:r w:rsidRPr="00DB5D0D">
        <w:rPr>
          <w:rFonts w:ascii="Times New Roman" w:hAnsi="Times New Roman"/>
          <w:color w:val="000000" w:themeColor="text1"/>
          <w:sz w:val="16"/>
          <w:szCs w:val="16"/>
        </w:rPr>
        <w:softHyphen/>
        <w:t>бине наблюдателя. При включении муфты синхронность вращения обоих несущих винтов обеспечивалась и в том случае, если один из двигателей останавливался. Это давало возможность при выходе из строя одного двигателя продолжать полет на втором, исправном. Несущие винты были трехлопастные, диаметром 7 м, как у первого «фаворита», и отличались высокой, необычной для верто</w:t>
      </w:r>
      <w:r w:rsidRPr="00DB5D0D">
        <w:rPr>
          <w:rFonts w:ascii="Times New Roman" w:hAnsi="Times New Roman"/>
          <w:color w:val="000000" w:themeColor="text1"/>
          <w:sz w:val="16"/>
          <w:szCs w:val="16"/>
        </w:rPr>
        <w:softHyphen/>
        <w:t>летов того времени, нагрузкой на ометаемую площадь — 28,2 кг/м. Лопасти несущих винтов крепились к втулке с помощью вертикальных, горизонтальных и осевых шарниров и состояли из двух час</w:t>
      </w:r>
      <w:r w:rsidRPr="00DB5D0D">
        <w:rPr>
          <w:rFonts w:ascii="Times New Roman" w:hAnsi="Times New Roman"/>
          <w:color w:val="000000" w:themeColor="text1"/>
          <w:sz w:val="16"/>
          <w:szCs w:val="16"/>
        </w:rPr>
        <w:softHyphen/>
        <w:t>тей: носовой и хвостовой, выполненных из дуралюмина. Несущие винты были установлены без перекрытия. Хвостовое оперение состояло из большого киля с рулем пово</w:t>
      </w:r>
      <w:r w:rsidRPr="00DB5D0D">
        <w:rPr>
          <w:rFonts w:ascii="Times New Roman" w:hAnsi="Times New Roman"/>
          <w:color w:val="000000" w:themeColor="text1"/>
          <w:sz w:val="16"/>
          <w:szCs w:val="16"/>
        </w:rPr>
        <w:softHyphen/>
        <w:t>рота и стабилизатора, установленного сверху киля. Угол установки стабилизатора можно было изменять в полете штурвалом, распо</w:t>
      </w:r>
      <w:r w:rsidRPr="00DB5D0D">
        <w:rPr>
          <w:rFonts w:ascii="Times New Roman" w:hAnsi="Times New Roman"/>
          <w:color w:val="000000" w:themeColor="text1"/>
          <w:sz w:val="16"/>
          <w:szCs w:val="16"/>
        </w:rPr>
        <w:softHyphen/>
        <w:t>ложенным в кабине летчика. Управление вертолетом обеспечивалось одновременным или дифференциальным изменением углов установки лопастей обоих несущих винтов при помощи автоматов перекоса своеобразной конструктивной схемы, имевшихся на втулках несущих винтов (10736).</w:t>
      </w:r>
    </w:p>
    <w:p w14:paraId="3DC4D1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2A468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отпустили В.М.П. (1103,37) из Бутырок (1103,226), а также и В.М.П. - через 6 месяцев после начала полетов сотки (1835,8).</w:t>
      </w:r>
    </w:p>
    <w:p w14:paraId="3841E99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3AA8E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НКАП издал приказ о повышении в связи с увеличением времени работы сменных норм выработки с пропорциональным снижением расценок (173,200).</w:t>
      </w:r>
    </w:p>
    <w:p w14:paraId="512BDBD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A9DA3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И.Фирсанов из особ. отд. писал А.И.Ш. записку N 3165 об обращении военного комиссара 3 Управления авиаоборудования ВВВС Матаева об игнорировании наркоматами вооружения и авиапромышленности пулеметов М.Е.Березина (1171).</w:t>
      </w:r>
    </w:p>
    <w:p w14:paraId="2C93115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10C3B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вышел приказ НКАП N 376 об установке единого сортамента авиаколес (1206).</w:t>
      </w:r>
    </w:p>
    <w:p w14:paraId="6D4AC70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C1D571" w14:textId="77777777" w:rsidR="00E152C8" w:rsidRPr="00DB5D0D" w:rsidRDefault="00E152C8" w:rsidP="00DB5D0D">
      <w:pPr>
        <w:pStyle w:val="af2"/>
        <w:jc w:val="both"/>
        <w:rPr>
          <w:i w:val="0"/>
          <w:iCs w:val="0"/>
          <w:color w:val="000000" w:themeColor="text1"/>
          <w:spacing w:val="0"/>
          <w:kern w:val="0"/>
          <w:position w:val="0"/>
          <w:sz w:val="16"/>
          <w:szCs w:val="16"/>
          <w:lang w:val="ru-RU"/>
        </w:rPr>
      </w:pPr>
      <w:r w:rsidRPr="00DB5D0D">
        <w:rPr>
          <w:bCs/>
          <w:i w:val="0"/>
          <w:color w:val="000000" w:themeColor="text1"/>
          <w:spacing w:val="0"/>
          <w:kern w:val="0"/>
          <w:position w:val="0"/>
          <w:sz w:val="16"/>
          <w:szCs w:val="16"/>
          <w:lang w:val="ru-RU"/>
        </w:rPr>
        <w:t>27 июля 1940 г. вышло ПОСТАНОВЛЕНИЕ ЦК ВКП(б) И СНК СССР "ОБ УВЕЛИЧЕНИИ ВЫПУСКА САМОЛЕТОВ И АВИАМОТОРОВ НА ПЕРИОД АВГУСТ - ДЕКАБРЬ 1940 г." № 1668-583СС</w:t>
      </w:r>
    </w:p>
    <w:p w14:paraId="6F264CF4"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Сов. секретно </w:t>
      </w:r>
    </w:p>
    <w:p w14:paraId="2B6324FA"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lastRenderedPageBreak/>
        <w:t xml:space="preserve">Особой важности </w:t>
      </w:r>
    </w:p>
    <w:p w14:paraId="158E59DF"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1. Утвердить постановление Комитета обороны при СНК СССР "Об увеличении выпуска самолетов и авиамоторов на период август - декабрь 1940 года". </w:t>
      </w:r>
    </w:p>
    <w:p w14:paraId="111A8BB1"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2. Обязать народных комиссаров: Черной Металлургии тов.Тевосяна И.Т., Тяжелого Машиностроения тов.Ефремова А.И., Цветной Металлургии тов.Ломако П.Ф., Электропромышленности тов.Богатырева В.В., Вооружения тов. Ванникова Б.Л., Среднего Машиностроения тов.Лихачева И.А., Общего Машиностроения тов.Паршина П.И., Нефтяной Промышленности тов.Седина И.К., Боеприпасов тов.Сергеева И.П.; Мясной и Молочной Промышленности тов.Смирнова, Лесной Промышленности СССР тов.Сергеева Ф.В., Химической Промышленности тов.Денисова М.Ф., Судостроения тов.Носенко, Путей Сообщения тов.Кагановича Л.М., Электростанций тов.Леткова А.И., Легкой Промышленности тов.Лукина С.Г., Стройматериалов тов.Соснина Л.А., Текстильной Промышленности тов.Акимова И.Н., Внешней Торговли тов. Микояна А.И. - взять под личное особое наблюдение выполнение заказов для Авиационной Промышленности за период август - декабрь 1940 года и обеспечить их выполнение в количествах и сроки в соответствии с утвержденным постановлением Комитета обороны при СНК СССР. </w:t>
      </w:r>
    </w:p>
    <w:p w14:paraId="426DCA4F"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3. Обязать первых секретарей обкомов и председателей облисполкомов: Харьковской, Днепропетровской, Запорожской, Горьковской, Ярославской, Ленинградской, Московской, Челябинской, Молотовской, Сталинградской, Саратовской, Татарской АССР, Удмуртской АССР, Сталинской, Иркутской, Новосибирской и Воронежской областей: </w:t>
      </w:r>
    </w:p>
    <w:p w14:paraId="08F71DB5"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а) взять под личное особое наблюдение выполнение заказов Авиационной Промышленности на всех заводах, поставляющих Наркомавиапрому материалы, оборудование, полуфабрикаты и прочие изделия; </w:t>
      </w:r>
    </w:p>
    <w:p w14:paraId="0B3B568A"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б) оказывать всестороннюю помощь заводам Наркомавиапрома в выполнении программы второго полугодия 1940 года и освоении новых машин в части обеспечения электроэнергией, топливом, кооперированными заказами, комплектованием рабочей силы и усилением партийно-массовой работы на предприятиях Наркомавиапрома. </w:t>
      </w:r>
    </w:p>
    <w:p w14:paraId="7E739EEE"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Секретарь Центрального Комитета ВКП(б) И.Сталин </w:t>
      </w:r>
    </w:p>
    <w:p w14:paraId="34A51682"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Председатель Совета Народных Комиссаров Союза ССР В. Молотов </w:t>
      </w:r>
    </w:p>
    <w:p w14:paraId="3C5D516B"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АП РФ. Ф.93. Коллекция документов (11447). </w:t>
      </w:r>
    </w:p>
    <w:p w14:paraId="630947B1"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5CCCBC91" w14:textId="77777777" w:rsidR="00516F80" w:rsidRPr="00DB5D0D" w:rsidRDefault="00516F8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27 июля 1940 вышло Постановление СНК СССР и ЦК ВКП(б) № 1368-533сс "Об увеличении выпуска самолетов и авиамоторов на период август - декабрь 1940 года"</w:t>
      </w:r>
    </w:p>
    <w:p w14:paraId="356AE337" w14:textId="77777777" w:rsidR="00516F80" w:rsidRPr="00DB5D0D" w:rsidRDefault="00516F8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 увеличении выпуска самолетов и авиамоторов на период август-декабрь 1940 года</w:t>
      </w:r>
    </w:p>
    <w:p w14:paraId="609B74F8" w14:textId="77777777" w:rsidR="00516F80" w:rsidRPr="00DB5D0D" w:rsidRDefault="00516F8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Центральный Комитет ВКЦ/б/ и Совет Народных Комиссаров Союза ССР ПОСТАНОВЛЯЮТ:</w:t>
      </w:r>
    </w:p>
    <w:p w14:paraId="46E32C94" w14:textId="77777777" w:rsidR="00516F80" w:rsidRPr="00DB5D0D" w:rsidRDefault="00516F8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Утвердить постановление Комитета обороны при Совнаркоме Союза ССР ”О6 увеличении выпуска самолетов и авиамоторов на пе</w:t>
      </w:r>
      <w:r w:rsidRPr="00DB5D0D">
        <w:rPr>
          <w:rFonts w:ascii="Times New Roman" w:hAnsi="Times New Roman"/>
          <w:color w:val="0070C0"/>
          <w:sz w:val="16"/>
          <w:szCs w:val="16"/>
        </w:rPr>
        <w:softHyphen/>
        <w:t>риод август-декабрь 1940 года".</w:t>
      </w:r>
    </w:p>
    <w:p w14:paraId="1432057B" w14:textId="77777777" w:rsidR="00516F80" w:rsidRPr="00DB5D0D" w:rsidRDefault="00516F8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Обязать Народных Комиссаров: Черной металлургии т. Тевосяна И.Т., Тяжелого машиностроения т. Ефремова А.И., Цветной металлургии т. Ломако П.Ф., Электропромышленности т. Богатырева В.В., Вооружения т .Ванникова Б.Л., Среднего машиностроения т. Лихачева А.И., Общего машиностроения т. Паршина П.И., Нефтяной промышленности т. Седина И.К., Боеприпасов т. Сергеева И.П., Мясной и молочной промышленности т. Смирнова П.В., Лесной промышленности СССР т. Сергеева Ф.В., Химической промышленности т. Денисова М.Ф., Судостроения т. Носенко И.И., Путей Сосбщения т. Кагановича Л.М., Электростанций т. Леткова А.И., Легкой промышленности т. Лукина С.Г., Стройматериалов т. Соснина Л.А., Текстильной промышленности т. Акимова И.Н., Внешней торговли т. Микояна. А.И. - ваять под личное особое наблюдение выполнение заказов для Авиационной промышленности за период август-декабрь 1940 г. и обеспечить их выполнение в количествах и сроки в соответствии с утвержденным постановлением Комитета Обороны при Совнаркоме Союза ССР.</w:t>
      </w:r>
    </w:p>
    <w:p w14:paraId="5E08FFBF" w14:textId="77777777" w:rsidR="00516F80" w:rsidRPr="00DB5D0D" w:rsidRDefault="00516F8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Обязать первых секретарей обкомов и председателей облиспол</w:t>
      </w:r>
      <w:r w:rsidRPr="00DB5D0D">
        <w:rPr>
          <w:rFonts w:ascii="Times New Roman" w:hAnsi="Times New Roman"/>
          <w:color w:val="0070C0"/>
          <w:sz w:val="16"/>
          <w:szCs w:val="16"/>
        </w:rPr>
        <w:softHyphen/>
        <w:t>комов: Харьковской, Днепропетровской, Запорожской, Горьковской, Ярославской, Ленинградской, Московской, Челябинской, Молотовской, Сталинградской, Саратовской, Татарской АССР, Удмуртской АССР, Сталинской, Иркутской Hовосибирской и Воронежской областей.</w:t>
      </w:r>
    </w:p>
    <w:p w14:paraId="1A4827D8" w14:textId="77777777" w:rsidR="00516F80" w:rsidRPr="00DB5D0D" w:rsidRDefault="00516F8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взять под личное особое наблюдение выполнение заказов Авиационной промышленности на всех заводах, поставляющих Наркомавиапрому материалы, оборудование, полуфабрикаты и прочие изделия;</w:t>
      </w:r>
    </w:p>
    <w:p w14:paraId="5D2D3AB2" w14:textId="77777777" w:rsidR="00516F80" w:rsidRPr="00DB5D0D" w:rsidRDefault="00516F8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оказывать всестороннюю помощь заводам Наркомавиапрома в вы</w:t>
      </w:r>
      <w:r w:rsidRPr="00DB5D0D">
        <w:rPr>
          <w:rFonts w:ascii="Times New Roman" w:hAnsi="Times New Roman"/>
          <w:color w:val="0070C0"/>
          <w:sz w:val="16"/>
          <w:szCs w:val="16"/>
        </w:rPr>
        <w:softHyphen/>
        <w:t>полнении программы второго полугодия 1940 года и освоении новых машин в части обеспечения электроэнергией, топливом, кооперированными заказами, комплектованние рабочей силы и усилением партийно-массовой работы на предприятиях Наркомавиапрома (22016).</w:t>
      </w:r>
    </w:p>
    <w:p w14:paraId="2B31A578" w14:textId="77777777" w:rsidR="00516F80" w:rsidRPr="00DB5D0D" w:rsidRDefault="00516F80" w:rsidP="00DB5D0D">
      <w:pPr>
        <w:spacing w:after="0" w:line="240" w:lineRule="auto"/>
        <w:jc w:val="both"/>
        <w:rPr>
          <w:rFonts w:ascii="Times New Roman" w:hAnsi="Times New Roman"/>
          <w:color w:val="0070C0"/>
          <w:sz w:val="16"/>
          <w:szCs w:val="16"/>
        </w:rPr>
      </w:pPr>
    </w:p>
    <w:p w14:paraId="761038A0" w14:textId="77777777" w:rsidR="00E152C8" w:rsidRPr="00DB5D0D" w:rsidRDefault="00E152C8" w:rsidP="00DB5D0D">
      <w:pPr>
        <w:pStyle w:val="3a"/>
        <w:shd w:val="clear" w:color="auto" w:fill="auto"/>
        <w:spacing w:before="0" w:after="0" w:line="240" w:lineRule="auto"/>
        <w:jc w:val="both"/>
        <w:rPr>
          <w:color w:val="000000" w:themeColor="text1"/>
          <w:spacing w:val="0"/>
          <w:sz w:val="16"/>
          <w:szCs w:val="16"/>
        </w:rPr>
      </w:pPr>
      <w:r w:rsidRPr="00DB5D0D">
        <w:rPr>
          <w:color w:val="000000" w:themeColor="text1"/>
          <w:spacing w:val="0"/>
          <w:sz w:val="16"/>
          <w:szCs w:val="16"/>
        </w:rPr>
        <w:t xml:space="preserve">27 июля 1940 г. Письмо № 3655с Начальника Бюро изобретений Госплана СССР </w:t>
      </w:r>
      <w:r w:rsidRPr="00DB5D0D">
        <w:rPr>
          <w:rStyle w:val="3f1"/>
          <w:b w:val="0"/>
          <w:color w:val="000000" w:themeColor="text1"/>
          <w:spacing w:val="0"/>
          <w:sz w:val="16"/>
          <w:szCs w:val="16"/>
        </w:rPr>
        <w:t>Д.</w:t>
      </w:r>
      <w:r w:rsidRPr="00DB5D0D">
        <w:rPr>
          <w:color w:val="000000" w:themeColor="text1"/>
          <w:spacing w:val="0"/>
          <w:sz w:val="16"/>
          <w:szCs w:val="16"/>
        </w:rPr>
        <w:t xml:space="preserve"> Михайлова Б</w:t>
      </w:r>
      <w:r w:rsidRPr="00DB5D0D">
        <w:rPr>
          <w:rStyle w:val="3f1"/>
          <w:b w:val="0"/>
          <w:color w:val="000000" w:themeColor="text1"/>
          <w:spacing w:val="0"/>
          <w:sz w:val="16"/>
          <w:szCs w:val="16"/>
        </w:rPr>
        <w:t>.Я.</w:t>
      </w:r>
      <w:r w:rsidRPr="00DB5D0D">
        <w:rPr>
          <w:color w:val="000000" w:themeColor="text1"/>
          <w:spacing w:val="0"/>
          <w:sz w:val="16"/>
          <w:szCs w:val="16"/>
        </w:rPr>
        <w:t xml:space="preserve"> Кузнецову о выдаче ему авторского свидетельства на изобретение «Аэродинамическая труба»</w:t>
      </w:r>
    </w:p>
    <w:p w14:paraId="67593E78" w14:textId="77777777" w:rsidR="00E152C8" w:rsidRPr="00DB5D0D" w:rsidRDefault="00E152C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65BE749B" w14:textId="77777777" w:rsidR="00E152C8" w:rsidRPr="00DB5D0D" w:rsidRDefault="00E152C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рассмотрении всех относящихся к заявке материалов с уче</w:t>
      </w:r>
      <w:r w:rsidRPr="00DB5D0D">
        <w:rPr>
          <w:rFonts w:ascii="Times New Roman" w:hAnsi="Times New Roman"/>
          <w:color w:val="000000" w:themeColor="text1"/>
          <w:sz w:val="16"/>
          <w:szCs w:val="16"/>
        </w:rPr>
        <w:softHyphen/>
        <w:t>том возражений заявителя против изложения редакции предмета изобретения в решении НКАП, Бюро изобретений Госплана СССР полагает возможным выдать авторское свидетельство на аэродина</w:t>
      </w:r>
      <w:r w:rsidRPr="00DB5D0D">
        <w:rPr>
          <w:rFonts w:ascii="Times New Roman" w:hAnsi="Times New Roman"/>
          <w:color w:val="000000" w:themeColor="text1"/>
          <w:sz w:val="16"/>
          <w:szCs w:val="16"/>
        </w:rPr>
        <w:softHyphen/>
        <w:t>мическую трубу в следующей измененной редакции предмета изо</w:t>
      </w:r>
      <w:r w:rsidRPr="00DB5D0D">
        <w:rPr>
          <w:rFonts w:ascii="Times New Roman" w:hAnsi="Times New Roman"/>
          <w:color w:val="000000" w:themeColor="text1"/>
          <w:sz w:val="16"/>
          <w:szCs w:val="16"/>
        </w:rPr>
        <w:softHyphen/>
        <w:t>бретения:</w:t>
      </w:r>
    </w:p>
    <w:p w14:paraId="568C578B" w14:textId="77777777" w:rsidR="00E152C8" w:rsidRPr="00DB5D0D" w:rsidRDefault="00E152C8" w:rsidP="00DB5D0D">
      <w:pPr>
        <w:tabs>
          <w:tab w:val="left" w:pos="79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Аэродинамическая труба незамкнутого типа с двумя рабочи</w:t>
      </w:r>
      <w:r w:rsidRPr="00DB5D0D">
        <w:rPr>
          <w:rFonts w:ascii="Times New Roman" w:hAnsi="Times New Roman"/>
          <w:color w:val="000000" w:themeColor="text1"/>
          <w:sz w:val="16"/>
          <w:szCs w:val="16"/>
        </w:rPr>
        <w:softHyphen/>
        <w:t>ми частями, отличающаяся тем, что расположенная на входе потока рабочая часть трубы имеет сечение большей площади, нежели вторая часть трубы.</w:t>
      </w:r>
    </w:p>
    <w:p w14:paraId="6107454A" w14:textId="77777777" w:rsidR="00E152C8" w:rsidRPr="00DB5D0D" w:rsidRDefault="00E152C8" w:rsidP="00DB5D0D">
      <w:pPr>
        <w:tabs>
          <w:tab w:val="left" w:pos="81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Труба по п. 1, отличающаяся тем, что, с целью уменьшения вредного влияния наружного ветра на поток в трубе, на входной и вы</w:t>
      </w:r>
      <w:r w:rsidRPr="00DB5D0D">
        <w:rPr>
          <w:rFonts w:ascii="Times New Roman" w:hAnsi="Times New Roman"/>
          <w:color w:val="000000" w:themeColor="text1"/>
          <w:sz w:val="16"/>
          <w:szCs w:val="16"/>
        </w:rPr>
        <w:softHyphen/>
        <w:t>ходной частях трубы размещены ветрозащитные успокоительные ка</w:t>
      </w:r>
      <w:r w:rsidRPr="00DB5D0D">
        <w:rPr>
          <w:rFonts w:ascii="Times New Roman" w:hAnsi="Times New Roman"/>
          <w:color w:val="000000" w:themeColor="text1"/>
          <w:sz w:val="16"/>
          <w:szCs w:val="16"/>
        </w:rPr>
        <w:softHyphen/>
        <w:t>меры 1 и 9.</w:t>
      </w:r>
    </w:p>
    <w:p w14:paraId="6EFA00E5" w14:textId="77777777" w:rsidR="00E152C8" w:rsidRPr="00DB5D0D" w:rsidRDefault="00E152C8" w:rsidP="00DB5D0D">
      <w:pPr>
        <w:tabs>
          <w:tab w:val="left" w:pos="80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Труба по пп. 1-2, отличающаяся тем, что она снабжена двумя вентиляторными камерами, расположенными параллельно либо под углом друг к другу и входящими соответственно в одну общую либо в отдельные успокоительные камеры.</w:t>
      </w:r>
    </w:p>
    <w:p w14:paraId="0801494E" w14:textId="77777777" w:rsidR="00E152C8" w:rsidRPr="00DB5D0D" w:rsidRDefault="00E152C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Бюро изобретений Госплана СССР Д. Михайлов</w:t>
      </w:r>
    </w:p>
    <w:p w14:paraId="3465EF68" w14:textId="77777777" w:rsidR="00E152C8" w:rsidRPr="00DB5D0D" w:rsidRDefault="00E152C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Филиал РГАНТД. Ф. Р-1. Оп. 50-5. Д. 1321. Л. 15. Заверенная копия (15633).</w:t>
      </w:r>
    </w:p>
    <w:p w14:paraId="459E39DB" w14:textId="77777777" w:rsidR="00E152C8" w:rsidRPr="00DB5D0D" w:rsidRDefault="00E152C8" w:rsidP="00DB5D0D">
      <w:pPr>
        <w:spacing w:after="0" w:line="240" w:lineRule="auto"/>
        <w:jc w:val="both"/>
        <w:rPr>
          <w:rFonts w:ascii="Times New Roman" w:hAnsi="Times New Roman"/>
          <w:color w:val="000000" w:themeColor="text1"/>
          <w:sz w:val="16"/>
          <w:szCs w:val="16"/>
        </w:rPr>
      </w:pPr>
    </w:p>
    <w:p w14:paraId="621E4E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Нач. Воздухоплапвательного отдела ГУ ВВС КА п Сахаров подготовил объяснение по поводу аварии стратостата "Красный Кремль"</w:t>
      </w:r>
    </w:p>
    <w:p w14:paraId="3FB8D9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...убедился, что в отличие от всех прежних неудачных и аварийных стартов, старт в отношении технической документации был наиболее обеспеченным работами и испытаниями.</w:t>
      </w:r>
    </w:p>
    <w:p w14:paraId="317D18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Комиссией установлено, что расцепка гондолы могла произойти от косых нагрузок на разъемное кольцо, каковым испытаниям гондола ни в дивизии ни на заводских и приемных испытаниях не подвергалась.</w:t>
      </w:r>
    </w:p>
    <w:p w14:paraId="27343D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этой гондолой было совершено 2 полета на 15-16 тыс</w:t>
      </w:r>
      <w:r w:rsidR="00BA770E"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rPr>
        <w:t xml:space="preserve"> метров, причем расцепное приспособление было то же самое. С аналогичной системой совершались полеты и на других стратостатах, причем не было ни одного случая, чтобы расцепное приспособление сработало преждевременно.</w:t>
      </w:r>
    </w:p>
    <w:p w14:paraId="1A21D2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изложенного, считаю, что виновность Алексеева, учитывая, что Алексеев до дня старта, не принимал участия в его подготовке в течение июня, фактически уже не будучи главным инженером старта, не больше, чем любого инженера, находившегося в руководящем составе старта (штабе старта).</w:t>
      </w:r>
    </w:p>
    <w:p w14:paraId="1E87E7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моему мнению, Алексеев вполне добросовестно отнесся к возложенным на него обязанностям по старту, а если чего и не сделал (проверка на косые нагрузки на кольцо расцепного механизма), то и другой не додумался бы и не предложил провести эти испытания.</w:t>
      </w:r>
    </w:p>
    <w:p w14:paraId="5ED0AD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Сталкиваясь с Алексеевым в прошлом и в последнее время я всегда находил в нем добросовестного и исполнительного работника (10514,49).</w:t>
      </w:r>
    </w:p>
    <w:p w14:paraId="069ACC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B93D0B0" w14:textId="77777777" w:rsidR="006746A6" w:rsidRPr="00DB5D0D" w:rsidRDefault="006746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года в Постановлении Политбюро ЦК ВКП(б) № П 19 / 99 – ОП принимался проект Комитета Обороны об утверждении генеральной сметы строительства самолетосборочного завода в г. Урумчи (Западный Китай).</w:t>
      </w:r>
    </w:p>
    <w:p w14:paraId="70B9DD55" w14:textId="77777777" w:rsidR="006746A6" w:rsidRPr="00DB5D0D" w:rsidRDefault="006746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Соответствующую смету в размере 29474531 рублей (в ценах 1939 года), представленную Наркоматом авиапромышленности, предписывалось отпустить из резервного фонда СНК СССР (в том числе 25% в инвалюте). НКАП обязывался представить к 1 января 1941 года отчет об израсходовании средств (Там же. Д. 28. Л. 59.).</w:t>
      </w:r>
    </w:p>
    <w:p w14:paraId="256CE736" w14:textId="77777777" w:rsidR="006746A6" w:rsidRPr="00DB5D0D" w:rsidRDefault="006746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Заместитель наркома авиапромышленности Баландин в письме Н-32 / 1619 от 22 августа 1940 года на имя заместителя Наркома внешней торговли Кагановича Ю.М. сообщал, что для выполнения спецпостановления Правительства № 82 сс НКАП командирует в Урумчи (Западный Китай) большую группу высококвалифицированных авиаспециалистов. Просил дать Указания Совсиньторгу (г. Урумчи) отпустить в IV квартале 1940 года для рабочих и ИТР завода промтоваров на 50000 американских долларов (РГАЭ. Ф. 8044. Оп. 1. Д. 436. Л. 108.).</w:t>
      </w:r>
    </w:p>
    <w:p w14:paraId="5DEEDAA8" w14:textId="77777777" w:rsidR="006746A6" w:rsidRPr="00DB5D0D" w:rsidRDefault="006746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Политбюро ЦК ВКП(б) № П 21/336 – ОП от 25 октября 1940 года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«600»169 в 1940 году, 16 млн рублей и 375 тысяч американских долларов» (РГАСПИ. Ф. 17. Оп. 162. Д. 29. Л. 141.).</w:t>
      </w:r>
    </w:p>
    <w:p w14:paraId="2F474948" w14:textId="77777777" w:rsidR="006746A6" w:rsidRPr="00DB5D0D" w:rsidRDefault="006746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данным М.Ю. Мухина, несмотря на то, что завод № 600 официально еще не был принят в эксплуатацию, «на 1941 год ему уже назначили план по сборке и облету 143 самолетов И-16 (тип 24), которые предназначались для последующего перегона вглубь Китая» (Мухин М.Ю. Указ. соч. С. 87.). Но в связи с последующим отказом китайских властей от участия в строительстве завода его продукция после начала Великой Отечественной войны поставлялась в СССР (М.И. Сладковский. История торгово-экономических отношений СССР с Китаем (1917 – 1974). С. 140.) (11672).</w:t>
      </w:r>
    </w:p>
    <w:p w14:paraId="5CD3185C" w14:textId="77777777" w:rsidR="006746A6" w:rsidRPr="00DB5D0D" w:rsidRDefault="006746A6" w:rsidP="00DB5D0D">
      <w:pPr>
        <w:spacing w:after="0" w:line="240" w:lineRule="auto"/>
        <w:jc w:val="both"/>
        <w:rPr>
          <w:rFonts w:ascii="Times New Roman" w:hAnsi="Times New Roman"/>
          <w:color w:val="000000" w:themeColor="text1"/>
          <w:sz w:val="16"/>
          <w:szCs w:val="16"/>
        </w:rPr>
      </w:pPr>
    </w:p>
    <w:p w14:paraId="295A6D05"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 в Постановление Политбюро ЦК ВКП(б) № П 19 / 99 - ОП, принимался проект Комитета Обороны об утверждении генеральной сметы строительства самолетосборочного завода в г. Урумчи (Западный Китай). Соответствующую смету в размере 29474531 руб. (в ценах 1939 г.), представленную Наркоматом авиапромышленности, предписывалось отпустить из резервного фонда СНК СССР (в том числе 25% в инвалюте). НКАП обязывался представить к 1 января 1941 г. отчет об израсходовании средств.</w:t>
      </w:r>
    </w:p>
    <w:p w14:paraId="0D152C5D"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Заместитель наркома авиапромышленности Баландин в письме Н-32 / 1619 от 22 августа 1940 г. на имя заместителя Наркома внешней торговли Ю.М. Кагановича сообщал, что для выполнения спецпостановления Правительства № 82 сс НКАП командирует в Урумчи (Западный Китай) большую группу высококвалифицированных авиаспециалистов. Просил дать Указания Совсиньторгу (г. Урумчи) отпустить в IV кв. 1940 г. для рабочих и ИТР завода промтоваров на 50000 американских долларов.</w:t>
      </w:r>
    </w:p>
    <w:p w14:paraId="0053B392"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Политбюро ЦК ВКП(б) № П 21/336 - ОП от 25 октября 1940 г.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 в 1940 г., 16 млн рублей и 375 тысяч американских долларов».</w:t>
      </w:r>
    </w:p>
    <w:p w14:paraId="261C9BF7"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данным М.Ю. Мухина, несмотря на то, что завод № 600 официально еще не был принят в эксплуатацию, «на 1941 г. ему уже назначили план по сборке и облету 143 самолетов И-16 (тип 24), которые предназначались для последующего перегона вглубь Китая»43. Но в связи с последующем отказом китайских властей от участия в строительстве завода, его продукция после начала Великой Отечественной войны поставлялась в СССР (18261).</w:t>
      </w:r>
    </w:p>
    <w:p w14:paraId="329827DA" w14:textId="77777777" w:rsidR="00BA770E" w:rsidRPr="00DB5D0D" w:rsidRDefault="00BA770E" w:rsidP="00DB5D0D">
      <w:pPr>
        <w:spacing w:after="0" w:line="240" w:lineRule="auto"/>
        <w:jc w:val="both"/>
        <w:rPr>
          <w:rFonts w:ascii="Times New Roman" w:hAnsi="Times New Roman"/>
          <w:color w:val="000000" w:themeColor="text1"/>
          <w:sz w:val="16"/>
          <w:szCs w:val="16"/>
        </w:rPr>
      </w:pPr>
    </w:p>
    <w:p w14:paraId="123DA53F"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 Постановление Политбюро ЦК ВКП(б) № П 19 / 99 – ОП, принимался проект Комитета Обороны об утверждении генеральной сметы строительства самолетосборочного завода в г. Урумчи (Западный Китай). Соответствующую смету в размере 29474531 руб. (в ценах 1939 г.), представленную Наркоматом авиапромышленности, предписывалось отпустить из резервного фонда СНК СССР (в том числе 25% в инвалюте).</w:t>
      </w:r>
    </w:p>
    <w:p w14:paraId="61F92D90"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обязывался представить к 1 января 1941 г. отчет об израсходовании средств (18512).</w:t>
      </w:r>
    </w:p>
    <w:p w14:paraId="2F55D8B0" w14:textId="77777777" w:rsidR="00BA770E" w:rsidRPr="00DB5D0D" w:rsidRDefault="00BA770E" w:rsidP="00DB5D0D">
      <w:pPr>
        <w:spacing w:after="0" w:line="240" w:lineRule="auto"/>
        <w:jc w:val="both"/>
        <w:rPr>
          <w:rFonts w:ascii="Times New Roman" w:hAnsi="Times New Roman"/>
          <w:color w:val="000000" w:themeColor="text1"/>
          <w:sz w:val="16"/>
          <w:szCs w:val="16"/>
        </w:rPr>
      </w:pPr>
    </w:p>
    <w:p w14:paraId="0B66969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9AB7FE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356E6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27 июля 1940 г. завод № 92, как и другие предприятия военной промышленности, перешел на круглосуточную работу. Это изменение, нацеленное на экстенсификацию труда за счет круглосуточного использования оборудования и площадей, позволило увеличить производительность труда. Во многом благодаря этому завод смог за короткие сроки выпустить 500 гаубиц М-30. Надо отметить, что состояние военной промышленности в 1940 г. по-прежнему оценивалось руководством страны как неудовлетворительное. Так, в приказе наркома Израиля Кагановича «О состоянии государственной дисциплины в системе НКВ» говорилось следующее: «Расхлябанность и пренебрежительное отношение к заводу, нарушение финансовой и плановой дисциплины, погоня за показными цифрами выполнения плана при недовыполненных плановых заданиях по номенклатуре, нарушение технической дисциплины, укрывательство бракоделов». В качестве очередного примера приводилась деятельность завода № 71. Там грубо нарушили технологию производства пружин, что привело к трудностям на многих предприятиях и полному краху программы производства на заводе № 8 в городе Подлипки (11741).</w:t>
      </w:r>
    </w:p>
    <w:p w14:paraId="77E173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F06DF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года Артиллерийское управление утвердило тактико-технические требования на проектирование и изготовление опытного образца казематной установки под качающуюся часть 107-мм пушки М-60. Угол вертикального наведения должен быть -12°; +12°. Угол горизонтального наведения 60°. Скорость вертикального наведения 1° за один оборот маховика. Скорость горизонтального наведения 2° за один оборот маховика. Высота линии огня 1100 мм над полом каземата. Высота боевого каземата 2 - 2,2 м (3861).</w:t>
      </w:r>
    </w:p>
    <w:p w14:paraId="65CAA32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9E0FCC3"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w:t>
      </w:r>
    </w:p>
    <w:p w14:paraId="374D7B2A"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РГВА Фонд 31811 Опись 2 Дело 1059 листы 90 – 93 </w:t>
      </w:r>
    </w:p>
    <w:p w14:paraId="327AC82F"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8-го отдела АБТУ КА Военинженеру 1 ранга т. Афонину</w:t>
      </w:r>
    </w:p>
    <w:p w14:paraId="2B5E8951"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Основным недостатком установки радиостанции в башне танка Т-34 является: </w:t>
      </w:r>
    </w:p>
    <w:p w14:paraId="64C6C4E3"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Отсутствие связи в боевом и даже походном положении. Командир в бою наблюдает за полем боя, ведет огонь и направляет движение своего танка, чем дает по существу, направление движения своему подразделению. Радиостанция же в это время ни кем не обеспечивается, так как командир не имеет возможности бросать наблюдение за полем боя для того, чтобы настроить радиостанцию, а это приводит к тому, что ни один старший начальник не может вызвать командира танковой части и передать ему приказание. Командир части, в свою очередь, не может вызвать подчиненных ему командиров подразделений. Отсутствие же взаимной связи приводит и еще больше может привести к печальным результатам. </w:t>
      </w:r>
    </w:p>
    <w:p w14:paraId="387C17D9"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основе этого недостатка во всех разрабатываемых новых образцах танков тактико-техническими требованиями предусмотрен четвертый член экипажа танка для выполнения специальных функций радиста, который должен быть размещен в носовой части танка. </w:t>
      </w:r>
    </w:p>
    <w:p w14:paraId="0BABC271"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Управление радиосвязью и телекодом должно быть сосредоточено у радиста (стр. 12 пункт "г"). Макетная комиссия, рассматривая предъявленный проект в сентябре 1938 г. своим протоколом за СО5562 вынесла по связи следующее решение: </w:t>
      </w:r>
    </w:p>
    <w:p w14:paraId="574F1E06"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Предъявить схему внешней и внутренней связи. </w:t>
      </w:r>
    </w:p>
    <w:p w14:paraId="113FB622"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Выполнить оборудование средствами внешней связи в 2-х вариантах. </w:t>
      </w:r>
    </w:p>
    <w:p w14:paraId="543AE3AF"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 С размещением рации 71-ТК, рации УК и телекода в башне танка с установкой штыревых антенн утвержденного типа. </w:t>
      </w:r>
    </w:p>
    <w:p w14:paraId="723D864A"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С размещением рации 71-ТК и телекода в правой передней части корпуса и с установкой антенны рации 71-ТК на правом борту в передней части танка, укладывающейся вдоль борта назад". </w:t>
      </w:r>
    </w:p>
    <w:p w14:paraId="3D55BD4B"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полигонные испытания танков в октябре 1939 г. установка радиоаппаратуры и антенного ввода заводом предъявлены не были. Решение комиссии – установить место ввода антенны и расстановку радиоаппаратуры в обоих машинах. Войсковая комиссия (отчет от апреля 1940 г., раздел XVIII) предложила радиостанцию из ниши башни убрать и перенести в носовую часть танка. </w:t>
      </w:r>
    </w:p>
    <w:p w14:paraId="1D4BBC31"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Несмотря на все перечисленные указания по размещению радиостанции завод 183 и Главспецмаш никаких мер по реализации не приняли. Только 11 июля с/г, после категорического указания АБТУ КА, завод приступил к разработке. </w:t>
      </w:r>
    </w:p>
    <w:p w14:paraId="7D7F6463"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Тов. Очеретенко не ознакомившись с требованиями и не получив установок от командования АБТУ – принял решение не ставить радиостанцию в носовой части танка, мотивируя трудностью ее там постановки, о чем составил соответствующий протокол, которым дезорганизовал (размагнитил) работников завода по выполнению задачи. Завод, имея этот документ, теперь на него ссылается ("Что Вы заставляете нас делать, когда вы сами не имеете единого мнения"). Конечно, при таком поведении отдельных работников трудно получить от промышленности своевременного выполнения заданий АБТУ. </w:t>
      </w:r>
    </w:p>
    <w:p w14:paraId="1B3B19D6"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Установить радиостанцию в носовой части танка Т-34 возможно и неотложно нужно. Что и будет сделано, требуется только приступить к работе и отстоять предъявленные целесообразные требования АБТУ. </w:t>
      </w:r>
    </w:p>
    <w:p w14:paraId="455AE190"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потребовать, чтобы завод 183 в самый кратчайший срок выполнил ранее данные указания АБТУ и установил радиостанцию в носовой части танка. Специалисты радисты должны обеспечить требуемым имуществом. </w:t>
      </w:r>
    </w:p>
    <w:p w14:paraId="4A8C1B57"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Завод боится не трудностей размещения радиоаппаратуры, а того, что не сможет сделать антенного ввода. Образцы такого антенного ввода в АБТУ имеются. Завод их посмотрел. Будут в связи с этим некоторые доработки, но они не вызывают коренного изменения, а если б приступили раньше, то их бы не было. </w:t>
      </w:r>
    </w:p>
    <w:p w14:paraId="7C01C420"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Имеются сведения, по предварительным итогам работы завода с 11.7, что размещение рации в носу танка Т-34 получается неплохо. Доработав антенный ввод, мы будем иметь танки, обеспечивающие внешней связью. </w:t>
      </w:r>
    </w:p>
    <w:p w14:paraId="6ACDF290"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Майор подпись И.Г. Панова</w:t>
      </w:r>
    </w:p>
    <w:p w14:paraId="79DF70BA" w14:textId="77777777" w:rsidR="00BA770E" w:rsidRPr="00DB5D0D" w:rsidRDefault="00BA770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27.7.40 (18162).</w:t>
      </w:r>
    </w:p>
    <w:p w14:paraId="0BF47780" w14:textId="77777777" w:rsidR="00BA770E" w:rsidRPr="00DB5D0D" w:rsidRDefault="00BA770E" w:rsidP="00DB5D0D">
      <w:pPr>
        <w:spacing w:after="0" w:line="240" w:lineRule="auto"/>
        <w:jc w:val="both"/>
        <w:rPr>
          <w:rFonts w:ascii="Times New Roman" w:hAnsi="Times New Roman"/>
          <w:color w:val="000000" w:themeColor="text1"/>
          <w:sz w:val="16"/>
          <w:szCs w:val="16"/>
        </w:rPr>
      </w:pPr>
    </w:p>
    <w:p w14:paraId="3C991A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 План строительства кораблей ВМФ на 1940—1942 гг. был утвержден Н. Г. Кузнецовым. Таким обра</w:t>
      </w:r>
      <w:r w:rsidRPr="00DB5D0D">
        <w:rPr>
          <w:rFonts w:ascii="Times New Roman" w:hAnsi="Times New Roman"/>
          <w:color w:val="000000" w:themeColor="text1"/>
          <w:sz w:val="16"/>
          <w:szCs w:val="16"/>
        </w:rPr>
        <w:softHyphen/>
        <w:t>зом, очередная пятилетняя программа военного судостроения была офрмлена решениями Комитета Обороны и Наркомата ВМФ толь</w:t>
      </w:r>
      <w:r w:rsidRPr="00DB5D0D">
        <w:rPr>
          <w:rFonts w:ascii="Times New Roman" w:hAnsi="Times New Roman"/>
          <w:color w:val="000000" w:themeColor="text1"/>
          <w:sz w:val="16"/>
          <w:szCs w:val="16"/>
        </w:rPr>
        <w:softHyphen/>
        <w:t>ко в середине третьей пятилетки. Согласно откорректированному плану 1938—1942 гг. к 1 янва</w:t>
      </w:r>
      <w:r w:rsidRPr="00DB5D0D">
        <w:rPr>
          <w:rFonts w:ascii="Times New Roman" w:hAnsi="Times New Roman"/>
          <w:color w:val="000000" w:themeColor="text1"/>
          <w:sz w:val="16"/>
          <w:szCs w:val="16"/>
        </w:rPr>
        <w:softHyphen/>
        <w:t>ря 1943 г. должны были вступить в строй 210 боевых кораблей ос</w:t>
      </w:r>
      <w:r w:rsidRPr="00DB5D0D">
        <w:rPr>
          <w:rFonts w:ascii="Times New Roman" w:hAnsi="Times New Roman"/>
          <w:color w:val="000000" w:themeColor="text1"/>
          <w:sz w:val="16"/>
          <w:szCs w:val="16"/>
        </w:rPr>
        <w:softHyphen/>
        <w:t>новных классов из 320 намечавшихся к постройке в годы третьей пятилетки. Всего предполагалось строить 6 линейных ко</w:t>
      </w:r>
      <w:r w:rsidRPr="00DB5D0D">
        <w:rPr>
          <w:rFonts w:ascii="Times New Roman" w:hAnsi="Times New Roman"/>
          <w:color w:val="000000" w:themeColor="text1"/>
          <w:sz w:val="16"/>
          <w:szCs w:val="16"/>
        </w:rPr>
        <w:softHyphen/>
        <w:t>раблей, 4 тяжелых крейсера, 21 легкий крейсер (включая корабли типа "Киров"), 12 лидеров, 86 эскадренньгх миноносцев и 201 под</w:t>
      </w:r>
      <w:r w:rsidRPr="00DB5D0D">
        <w:rPr>
          <w:rFonts w:ascii="Times New Roman" w:hAnsi="Times New Roman"/>
          <w:color w:val="000000" w:themeColor="text1"/>
          <w:sz w:val="16"/>
          <w:szCs w:val="16"/>
        </w:rPr>
        <w:softHyphen/>
        <w:t>водную лодку. Однако сроки готовности большинства крупных бое-Bbix единиц — всех линкоров и тяжелых крейсеров, десяти новых легких крейсеров — не вписывались в рамки пятилетки. Их до</w:t>
      </w:r>
      <w:r w:rsidRPr="00DB5D0D">
        <w:rPr>
          <w:rFonts w:ascii="Times New Roman" w:hAnsi="Times New Roman"/>
          <w:color w:val="000000" w:themeColor="text1"/>
          <w:sz w:val="16"/>
          <w:szCs w:val="16"/>
        </w:rPr>
        <w:softHyphen/>
        <w:t>стройка должна была завершиться в 1943—1946 гг., параллельно с закладкой новыхкораблей. Кроме кораблей основных классов к 1 января 1943 г. в состав ВМФ предполагалось ввести 9 сторожевых кораблей (из 30 заложенных), 58 тральщиков (из 83), 22 больших охотника (из 36), 4 морских бронекатера (из 8), 29 быстроходньис катеров на воздуш</w:t>
      </w:r>
      <w:r w:rsidRPr="00DB5D0D">
        <w:rPr>
          <w:rFonts w:ascii="Times New Roman" w:hAnsi="Times New Roman"/>
          <w:color w:val="000000" w:themeColor="text1"/>
          <w:sz w:val="16"/>
          <w:szCs w:val="16"/>
        </w:rPr>
        <w:softHyphen/>
        <w:t>ной подушке. В состав речных флотилий должны были вступить 4 монитора (из 12) и 25 бронекатеров (из 27), с 1941 г. намечалась постройка 8 речных тральщиков для Амура. В 1940—1942 гг. пла</w:t>
      </w:r>
      <w:r w:rsidRPr="00DB5D0D">
        <w:rPr>
          <w:rFonts w:ascii="Times New Roman" w:hAnsi="Times New Roman"/>
          <w:color w:val="000000" w:themeColor="text1"/>
          <w:sz w:val="16"/>
          <w:szCs w:val="16"/>
        </w:rPr>
        <w:softHyphen/>
        <w:t>нировалось построить 171 торпедный катер различньхх типов, в том числе 21 деревянный на верфях НКВД и 93 дюралевых на за</w:t>
      </w:r>
      <w:r w:rsidRPr="00DB5D0D">
        <w:rPr>
          <w:rFonts w:ascii="Times New Roman" w:hAnsi="Times New Roman"/>
          <w:color w:val="000000" w:themeColor="text1"/>
          <w:sz w:val="16"/>
          <w:szCs w:val="16"/>
        </w:rPr>
        <w:softHyphen/>
        <w:t xml:space="preserve">водах наркоматов морского и речного флотов. План включал также специальные и вспомогательные суда, в том </w:t>
      </w:r>
      <w:r w:rsidRPr="00DB5D0D">
        <w:rPr>
          <w:rFonts w:ascii="Times New Roman" w:hAnsi="Times New Roman"/>
          <w:color w:val="000000" w:themeColor="text1"/>
          <w:sz w:val="16"/>
          <w:szCs w:val="16"/>
        </w:rPr>
        <w:lastRenderedPageBreak/>
        <w:t>числе сетевые заградители (8 единиц), морские десантные суда (17), десантные баржи и тендеры (16), различные транспорты, ка</w:t>
      </w:r>
      <w:r w:rsidRPr="00DB5D0D">
        <w:rPr>
          <w:rFonts w:ascii="Times New Roman" w:hAnsi="Times New Roman"/>
          <w:color w:val="000000" w:themeColor="text1"/>
          <w:sz w:val="16"/>
          <w:szCs w:val="16"/>
        </w:rPr>
        <w:softHyphen/>
        <w:t>тера, гидрографические и спасательные суда, плавдоки и т. п. Но по этим судам план не был согласован с Наркомсудпромом, что дела</w:t>
      </w:r>
      <w:r w:rsidRPr="00DB5D0D">
        <w:rPr>
          <w:rFonts w:ascii="Times New Roman" w:hAnsi="Times New Roman"/>
          <w:color w:val="000000" w:themeColor="text1"/>
          <w:sz w:val="16"/>
          <w:szCs w:val="16"/>
        </w:rPr>
        <w:softHyphen/>
        <w:t>ло сомнительным его выполнение.</w:t>
      </w:r>
    </w:p>
    <w:p w14:paraId="589D78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пятилетнего плана 1938—1942 гг. требовало даль</w:t>
      </w:r>
      <w:r w:rsidRPr="00DB5D0D">
        <w:rPr>
          <w:rFonts w:ascii="Times New Roman" w:hAnsi="Times New Roman"/>
          <w:color w:val="000000" w:themeColor="text1"/>
          <w:sz w:val="16"/>
          <w:szCs w:val="16"/>
        </w:rPr>
        <w:softHyphen/>
        <w:t>нейшего увеличения ассигнований на последние его годы. В 1939 г. на корабли и вооружение ВМФ было израсходовано 1231, 83 млн руб., в 1940 г. на эти же цели ассигновали 2538,2 млн руб., из кото</w:t>
      </w:r>
      <w:r w:rsidRPr="00DB5D0D">
        <w:rPr>
          <w:rFonts w:ascii="Times New Roman" w:hAnsi="Times New Roman"/>
          <w:color w:val="000000" w:themeColor="text1"/>
          <w:sz w:val="16"/>
          <w:szCs w:val="16"/>
        </w:rPr>
        <w:softHyphen/>
        <w:t>рых более 1600 млн руб. приходилось на надводные корабли (более 63%) и 351 млн руб. на подводные лодки (13,8%), остальные — на капремонт, модернизацию боевьхх кораблей и вспомогательные су</w:t>
      </w:r>
      <w:r w:rsidRPr="00DB5D0D">
        <w:rPr>
          <w:rFonts w:ascii="Times New Roman" w:hAnsi="Times New Roman"/>
          <w:color w:val="000000" w:themeColor="text1"/>
          <w:sz w:val="16"/>
          <w:szCs w:val="16"/>
        </w:rPr>
        <w:softHyphen/>
        <w:t>да. Предполагалось, что в 1941 г. расходы на кораблестроение до</w:t>
      </w:r>
      <w:r w:rsidRPr="00DB5D0D">
        <w:rPr>
          <w:rFonts w:ascii="Times New Roman" w:hAnsi="Times New Roman"/>
          <w:color w:val="000000" w:themeColor="text1"/>
          <w:sz w:val="16"/>
          <w:szCs w:val="16"/>
        </w:rPr>
        <w:softHyphen/>
        <w:t>стигнут 3962 млн руб., а в 1942 г. — 5184,2 млн руб. Несмотря на большой абсолютный прирост, доля ВМФ в об</w:t>
      </w:r>
      <w:r w:rsidRPr="00DB5D0D">
        <w:rPr>
          <w:rFonts w:ascii="Times New Roman" w:hAnsi="Times New Roman"/>
          <w:color w:val="000000" w:themeColor="text1"/>
          <w:sz w:val="16"/>
          <w:szCs w:val="16"/>
        </w:rPr>
        <w:softHyphen/>
        <w:t>щих расходах на оборону в 1940 — 1941 гг. несколько уменьши</w:t>
      </w:r>
      <w:r w:rsidRPr="00DB5D0D">
        <w:rPr>
          <w:rFonts w:ascii="Times New Roman" w:hAnsi="Times New Roman"/>
          <w:color w:val="000000" w:themeColor="text1"/>
          <w:sz w:val="16"/>
          <w:szCs w:val="16"/>
        </w:rPr>
        <w:softHyphen/>
        <w:t>лась. На 1940 г. Наркомату ВМФ, включая судостроение, было от</w:t>
      </w:r>
      <w:r w:rsidRPr="00DB5D0D">
        <w:rPr>
          <w:rFonts w:ascii="Times New Roman" w:hAnsi="Times New Roman"/>
          <w:color w:val="000000" w:themeColor="text1"/>
          <w:sz w:val="16"/>
          <w:szCs w:val="16"/>
        </w:rPr>
        <w:softHyphen/>
        <w:t>пущено 10 млрд 359,6 млн руб. (18,2% расходов на оборону), на 1941 г. — 12 млрд 692,7 млн руб. (15,3%). Это объяснялось значи</w:t>
      </w:r>
      <w:r w:rsidRPr="00DB5D0D">
        <w:rPr>
          <w:rFonts w:ascii="Times New Roman" w:hAnsi="Times New Roman"/>
          <w:color w:val="000000" w:themeColor="text1"/>
          <w:sz w:val="16"/>
          <w:szCs w:val="16"/>
        </w:rPr>
        <w:softHyphen/>
        <w:t>тельным увеличением затрат на модернизацию бронетанковых войск и авиации РККА, а также на строительство оборонительных сооружений на западной и дальневосточной границах. В общесоюз</w:t>
      </w:r>
      <w:r w:rsidRPr="00DB5D0D">
        <w:rPr>
          <w:rFonts w:ascii="Times New Roman" w:hAnsi="Times New Roman"/>
          <w:color w:val="000000" w:themeColor="text1"/>
          <w:sz w:val="16"/>
          <w:szCs w:val="16"/>
        </w:rPr>
        <w:softHyphen/>
        <w:t>ном бюджете доля оборонных расходов 1940 г. превысила 32% (56,6 млрд руб.), на 1941 г. планировался отпуск 70,9 млрд руб., что почти втрое превышало соответствующие расходы 1938 г.</w:t>
      </w:r>
    </w:p>
    <w:p w14:paraId="2C29A2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Даже такой расклад бюджета не обеспе</w:t>
      </w:r>
      <w:r w:rsidRPr="00DB5D0D">
        <w:rPr>
          <w:rFonts w:ascii="Times New Roman" w:hAnsi="Times New Roman"/>
          <w:color w:val="000000" w:themeColor="text1"/>
          <w:sz w:val="16"/>
          <w:szCs w:val="16"/>
        </w:rPr>
        <w:softHyphen/>
        <w:t>чивал своевременного создания "большого флота". Представляя план в правительство Н. Г. Кузнецов докладывал, что к 1943 г. не будет обеспечена "минимальная потребность морских театров в ко</w:t>
      </w:r>
      <w:r w:rsidRPr="00DB5D0D">
        <w:rPr>
          <w:rFonts w:ascii="Times New Roman" w:hAnsi="Times New Roman"/>
          <w:color w:val="000000" w:themeColor="text1"/>
          <w:sz w:val="16"/>
          <w:szCs w:val="16"/>
        </w:rPr>
        <w:softHyphen/>
        <w:t>рабельном составе". На основе перспективного плана развития флота, разработанного в ГМШ, в Наркомате ВМФ с учетом воз</w:t>
      </w:r>
      <w:r w:rsidRPr="00DB5D0D">
        <w:rPr>
          <w:rFonts w:ascii="Times New Roman" w:hAnsi="Times New Roman"/>
          <w:color w:val="000000" w:themeColor="text1"/>
          <w:sz w:val="16"/>
          <w:szCs w:val="16"/>
        </w:rPr>
        <w:softHyphen/>
        <w:t>можностей Наркомсудпрома была составлена пятилетняя програм</w:t>
      </w:r>
      <w:r w:rsidRPr="00DB5D0D">
        <w:rPr>
          <w:rFonts w:ascii="Times New Roman" w:hAnsi="Times New Roman"/>
          <w:color w:val="000000" w:themeColor="text1"/>
          <w:sz w:val="16"/>
          <w:szCs w:val="16"/>
        </w:rPr>
        <w:softHyphen/>
        <w:t xml:space="preserve">ма 1943—1947 гг. Расчеты показали, что и к 1 января 1948 г. не следовало ожидать полного завершения 10-летнего плана. Так, к </w:t>
      </w:r>
      <w:r w:rsidRPr="00DB5D0D">
        <w:rPr>
          <w:rFonts w:ascii="Times New Roman" w:hAnsi="Times New Roman"/>
          <w:color w:val="000000" w:themeColor="text1"/>
          <w:sz w:val="16"/>
          <w:szCs w:val="16"/>
          <w:vertAlign w:val="superscript"/>
        </w:rPr>
        <w:t>1</w:t>
      </w:r>
      <w:r w:rsidRPr="00DB5D0D">
        <w:rPr>
          <w:rFonts w:ascii="Times New Roman" w:hAnsi="Times New Roman"/>
          <w:color w:val="000000" w:themeColor="text1"/>
          <w:sz w:val="16"/>
          <w:szCs w:val="16"/>
        </w:rPr>
        <w:t xml:space="preserve"> этому времени вступили в строй всего 10 из 15 задуманных линей-</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 xml:space="preserve"> ных кораблей, 8 из 16 тяжелых крейсеров и т. п. На эту же пятилет ку Наркомат ВМФ относил и начало строительства двух авиа</w:t>
      </w:r>
      <w:r w:rsidRPr="00DB5D0D">
        <w:rPr>
          <w:rFonts w:ascii="Times New Roman" w:hAnsi="Times New Roman"/>
          <w:color w:val="000000" w:themeColor="text1"/>
          <w:sz w:val="16"/>
          <w:szCs w:val="16"/>
        </w:rPr>
        <w:softHyphen/>
        <w:t>носцев.</w:t>
      </w:r>
    </w:p>
    <w:p w14:paraId="545215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Радикальное увеличение боевой мощи советского ВМФ требо</w:t>
      </w:r>
      <w:r w:rsidRPr="00DB5D0D">
        <w:rPr>
          <w:rFonts w:ascii="Times New Roman" w:hAnsi="Times New Roman"/>
          <w:color w:val="000000" w:themeColor="text1"/>
          <w:sz w:val="16"/>
          <w:szCs w:val="16"/>
        </w:rPr>
        <w:softHyphen/>
        <w:t>вало более длительного времени и более обоснованных подходов к определению состава и дислокации основных оперативно-стратеги</w:t>
      </w:r>
      <w:r w:rsidRPr="00DB5D0D">
        <w:rPr>
          <w:rFonts w:ascii="Times New Roman" w:hAnsi="Times New Roman"/>
          <w:color w:val="000000" w:themeColor="text1"/>
          <w:sz w:val="16"/>
          <w:szCs w:val="16"/>
        </w:rPr>
        <w:softHyphen/>
        <w:t>ческих объединений (флотов). Выполнение планов и программ (разработанных в 1936—1940 гг.) в десятилетний срок бьшо нере</w:t>
      </w:r>
      <w:r w:rsidRPr="00DB5D0D">
        <w:rPr>
          <w:rFonts w:ascii="Times New Roman" w:hAnsi="Times New Roman"/>
          <w:color w:val="000000" w:themeColor="text1"/>
          <w:sz w:val="16"/>
          <w:szCs w:val="16"/>
        </w:rPr>
        <w:softHyphen/>
        <w:t>альным, так как не обеспечивалось возможностями промышленно</w:t>
      </w:r>
      <w:r w:rsidRPr="00DB5D0D">
        <w:rPr>
          <w:rFonts w:ascii="Times New Roman" w:hAnsi="Times New Roman"/>
          <w:color w:val="000000" w:themeColor="text1"/>
          <w:sz w:val="16"/>
          <w:szCs w:val="16"/>
        </w:rPr>
        <w:softHyphen/>
        <w:t>сти и бюджета. Учитывая распределение новых кораблей почти равномерно по всем четырем флотам, советский ВМФ не только в 1941 г., но и в 1943 г. не мог рассчитывать на более или менее рав</w:t>
      </w:r>
      <w:r w:rsidRPr="00DB5D0D">
        <w:rPr>
          <w:rFonts w:ascii="Times New Roman" w:hAnsi="Times New Roman"/>
          <w:color w:val="000000" w:themeColor="text1"/>
          <w:sz w:val="16"/>
          <w:szCs w:val="16"/>
        </w:rPr>
        <w:softHyphen/>
        <w:t>ное противоборство с флотами вероятных противников. Соотноше</w:t>
      </w:r>
      <w:r w:rsidRPr="00DB5D0D">
        <w:rPr>
          <w:rFonts w:ascii="Times New Roman" w:hAnsi="Times New Roman"/>
          <w:color w:val="000000" w:themeColor="text1"/>
          <w:sz w:val="16"/>
          <w:szCs w:val="16"/>
        </w:rPr>
        <w:softHyphen/>
        <w:t>ние сил на этот год, например, на Дальнем Востоке, обеспечивало возможность исключительно оборонительных действий Советского Флота у берегов Приморья. Японскому флоту, который в 1943 г. мог иметь в своем составе 12 линкоров, 11 авианосцев, 18 тяжелых крейсеров с более, чем сотней эсминцев, Тихоокеанский флот противопоставлял 3 легких крейсера, 3 лидера, 15 эсминцев. На океан</w:t>
      </w:r>
      <w:r w:rsidRPr="00DB5D0D">
        <w:rPr>
          <w:rFonts w:ascii="Times New Roman" w:hAnsi="Times New Roman"/>
          <w:color w:val="000000" w:themeColor="text1"/>
          <w:sz w:val="16"/>
          <w:szCs w:val="16"/>
        </w:rPr>
        <w:softHyphen/>
        <w:t>ских коммуникациях Японии могли действовать всего 6 подвод</w:t>
      </w:r>
      <w:r w:rsidRPr="00DB5D0D">
        <w:rPr>
          <w:rFonts w:ascii="Times New Roman" w:hAnsi="Times New Roman"/>
          <w:color w:val="000000" w:themeColor="text1"/>
          <w:sz w:val="16"/>
          <w:szCs w:val="16"/>
        </w:rPr>
        <w:softHyphen/>
        <w:t>ных лодок типа "К", 13 — типа "Л" и, возможно, 12 — типа "С". Реальное противодействие японский флот встречал только в райо</w:t>
      </w:r>
      <w:r w:rsidRPr="00DB5D0D">
        <w:rPr>
          <w:rFonts w:ascii="Times New Roman" w:hAnsi="Times New Roman"/>
          <w:color w:val="000000" w:themeColor="text1"/>
          <w:sz w:val="16"/>
          <w:szCs w:val="16"/>
        </w:rPr>
        <w:softHyphen/>
        <w:t>не Владивостока, где базировалась 31 подводная лодка типа "Щ", 38 лодок типа "М" и 95 торпедных катеров (3898).</w:t>
      </w:r>
    </w:p>
    <w:p w14:paraId="6C22A0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боевых кораблей основных классов, предусмотренных к постройке программами и планами военного судостроения в 1937—1940 гг.</w:t>
      </w:r>
    </w:p>
    <w:tbl>
      <w:tblPr>
        <w:tblW w:w="0" w:type="auto"/>
        <w:tblInd w:w="40" w:type="dxa"/>
        <w:tblLayout w:type="fixed"/>
        <w:tblCellMar>
          <w:left w:w="40" w:type="dxa"/>
          <w:right w:w="40" w:type="dxa"/>
        </w:tblCellMar>
        <w:tblLook w:val="0000" w:firstRow="0" w:lastRow="0" w:firstColumn="0" w:lastColumn="0" w:noHBand="0" w:noVBand="0"/>
      </w:tblPr>
      <w:tblGrid>
        <w:gridCol w:w="1180"/>
        <w:gridCol w:w="860"/>
        <w:gridCol w:w="840"/>
        <w:gridCol w:w="860"/>
        <w:gridCol w:w="900"/>
        <w:gridCol w:w="900"/>
        <w:gridCol w:w="900"/>
      </w:tblGrid>
      <w:tr w:rsidR="007D5DF8" w:rsidRPr="00DB5D0D" w14:paraId="43E14D25" w14:textId="77777777" w:rsidTr="00E543D0">
        <w:trPr>
          <w:trHeight w:hRule="exact" w:val="600"/>
        </w:trPr>
        <w:tc>
          <w:tcPr>
            <w:tcW w:w="1180" w:type="dxa"/>
            <w:tcBorders>
              <w:top w:val="single" w:sz="6" w:space="0" w:color="auto"/>
              <w:left w:val="single" w:sz="6" w:space="0" w:color="auto"/>
              <w:bottom w:val="nil"/>
              <w:right w:val="single" w:sz="6" w:space="0" w:color="auto"/>
            </w:tcBorders>
          </w:tcPr>
          <w:p w14:paraId="078703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Классы и типы кораблей</w:t>
            </w:r>
          </w:p>
        </w:tc>
        <w:tc>
          <w:tcPr>
            <w:tcW w:w="860" w:type="dxa"/>
            <w:tcBorders>
              <w:top w:val="single" w:sz="6" w:space="0" w:color="auto"/>
              <w:left w:val="single" w:sz="6" w:space="0" w:color="auto"/>
              <w:bottom w:val="nil"/>
              <w:right w:val="single" w:sz="6" w:space="0" w:color="auto"/>
            </w:tcBorders>
          </w:tcPr>
          <w:p w14:paraId="619BF7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строитель</w:t>
            </w:r>
            <w:r w:rsidRPr="00DB5D0D">
              <w:rPr>
                <w:rFonts w:ascii="Times New Roman" w:hAnsi="Times New Roman"/>
                <w:color w:val="000000" w:themeColor="text1"/>
                <w:sz w:val="16"/>
                <w:szCs w:val="16"/>
              </w:rPr>
              <w:softHyphen/>
              <w:t>ства бое</w:t>
            </w:r>
            <w:r w:rsidRPr="00DB5D0D">
              <w:rPr>
                <w:rFonts w:ascii="Times New Roman" w:hAnsi="Times New Roman"/>
                <w:color w:val="000000" w:themeColor="text1"/>
                <w:sz w:val="16"/>
                <w:szCs w:val="16"/>
              </w:rPr>
              <w:softHyphen/>
              <w:t>вых ко</w:t>
            </w:r>
            <w:r w:rsidRPr="00DB5D0D">
              <w:rPr>
                <w:rFonts w:ascii="Times New Roman" w:hAnsi="Times New Roman"/>
                <w:color w:val="000000" w:themeColor="text1"/>
                <w:sz w:val="16"/>
                <w:szCs w:val="16"/>
              </w:rPr>
              <w:softHyphen/>
              <w:t>раблей (1937 г.)</w:t>
            </w:r>
          </w:p>
        </w:tc>
        <w:tc>
          <w:tcPr>
            <w:tcW w:w="840" w:type="dxa"/>
            <w:tcBorders>
              <w:top w:val="single" w:sz="6" w:space="0" w:color="auto"/>
              <w:left w:val="single" w:sz="6" w:space="0" w:color="auto"/>
              <w:bottom w:val="nil"/>
              <w:right w:val="single" w:sz="6" w:space="0" w:color="auto"/>
            </w:tcBorders>
          </w:tcPr>
          <w:p w14:paraId="3780D6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Большая судостро</w:t>
            </w:r>
            <w:r w:rsidRPr="00DB5D0D">
              <w:rPr>
                <w:rFonts w:ascii="Times New Roman" w:hAnsi="Times New Roman"/>
                <w:color w:val="000000" w:themeColor="text1"/>
                <w:sz w:val="16"/>
                <w:szCs w:val="16"/>
              </w:rPr>
              <w:softHyphen/>
              <w:t>ительная програм</w:t>
            </w:r>
            <w:r w:rsidRPr="00DB5D0D">
              <w:rPr>
                <w:rFonts w:ascii="Times New Roman" w:hAnsi="Times New Roman"/>
                <w:color w:val="000000" w:themeColor="text1"/>
                <w:sz w:val="16"/>
                <w:szCs w:val="16"/>
              </w:rPr>
              <w:softHyphen/>
              <w:t>ма (1938 г.)</w:t>
            </w:r>
          </w:p>
        </w:tc>
        <w:tc>
          <w:tcPr>
            <w:tcW w:w="860" w:type="dxa"/>
            <w:tcBorders>
              <w:top w:val="single" w:sz="6" w:space="0" w:color="auto"/>
              <w:left w:val="single" w:sz="6" w:space="0" w:color="auto"/>
              <w:bottom w:val="nil"/>
              <w:right w:val="single" w:sz="6" w:space="0" w:color="auto"/>
            </w:tcBorders>
          </w:tcPr>
          <w:p w14:paraId="64A307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10-летний план су</w:t>
            </w:r>
            <w:r w:rsidRPr="00DB5D0D">
              <w:rPr>
                <w:rFonts w:ascii="Times New Roman" w:hAnsi="Times New Roman"/>
                <w:color w:val="000000" w:themeColor="text1"/>
                <w:sz w:val="16"/>
                <w:szCs w:val="16"/>
              </w:rPr>
              <w:softHyphen/>
              <w:t>дострое</w:t>
            </w:r>
            <w:r w:rsidRPr="00DB5D0D">
              <w:rPr>
                <w:rFonts w:ascii="Times New Roman" w:hAnsi="Times New Roman"/>
                <w:color w:val="000000" w:themeColor="text1"/>
                <w:sz w:val="16"/>
                <w:szCs w:val="16"/>
              </w:rPr>
              <w:softHyphen/>
              <w:t>ния (1939 г.)</w:t>
            </w:r>
          </w:p>
        </w:tc>
        <w:tc>
          <w:tcPr>
            <w:tcW w:w="1800" w:type="dxa"/>
            <w:gridSpan w:val="2"/>
            <w:tcBorders>
              <w:top w:val="single" w:sz="6" w:space="0" w:color="auto"/>
              <w:left w:val="single" w:sz="6" w:space="0" w:color="auto"/>
              <w:bottom w:val="single" w:sz="6" w:space="0" w:color="auto"/>
              <w:right w:val="single" w:sz="6" w:space="0" w:color="auto"/>
            </w:tcBorders>
          </w:tcPr>
          <w:p w14:paraId="5D72FB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5-летний план на 1938-1942 гг. (1940 г.)</w:t>
            </w:r>
          </w:p>
        </w:tc>
        <w:tc>
          <w:tcPr>
            <w:tcW w:w="900" w:type="dxa"/>
            <w:tcBorders>
              <w:top w:val="single" w:sz="6" w:space="0" w:color="auto"/>
              <w:left w:val="single" w:sz="6" w:space="0" w:color="auto"/>
              <w:bottom w:val="nil"/>
              <w:right w:val="single" w:sz="6" w:space="0" w:color="auto"/>
            </w:tcBorders>
          </w:tcPr>
          <w:p w14:paraId="1F3809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Вступили в строй по 5-лет</w:t>
            </w:r>
            <w:r w:rsidRPr="00DB5D0D">
              <w:rPr>
                <w:rFonts w:ascii="Times New Roman" w:hAnsi="Times New Roman"/>
                <w:color w:val="000000" w:themeColor="text1"/>
                <w:sz w:val="16"/>
                <w:szCs w:val="16"/>
              </w:rPr>
              <w:softHyphen/>
              <w:t>ней про</w:t>
            </w:r>
            <w:r w:rsidRPr="00DB5D0D">
              <w:rPr>
                <w:rFonts w:ascii="Times New Roman" w:hAnsi="Times New Roman"/>
                <w:color w:val="000000" w:themeColor="text1"/>
                <w:sz w:val="16"/>
                <w:szCs w:val="16"/>
              </w:rPr>
              <w:softHyphen/>
              <w:t>грамме*</w:t>
            </w:r>
          </w:p>
        </w:tc>
      </w:tr>
      <w:tr w:rsidR="007D5DF8" w:rsidRPr="00DB5D0D" w14:paraId="3E5CEED9" w14:textId="77777777" w:rsidTr="00E543D0">
        <w:trPr>
          <w:trHeight w:hRule="exact" w:val="560"/>
        </w:trPr>
        <w:tc>
          <w:tcPr>
            <w:tcW w:w="1180" w:type="dxa"/>
            <w:tcBorders>
              <w:top w:val="nil"/>
              <w:left w:val="single" w:sz="6" w:space="0" w:color="auto"/>
              <w:bottom w:val="single" w:sz="6" w:space="0" w:color="auto"/>
              <w:right w:val="single" w:sz="6" w:space="0" w:color="auto"/>
            </w:tcBorders>
          </w:tcPr>
          <w:p w14:paraId="355956F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60" w:type="dxa"/>
            <w:tcBorders>
              <w:top w:val="nil"/>
              <w:left w:val="single" w:sz="6" w:space="0" w:color="auto"/>
              <w:bottom w:val="single" w:sz="6" w:space="0" w:color="auto"/>
              <w:right w:val="single" w:sz="6" w:space="0" w:color="auto"/>
            </w:tcBorders>
          </w:tcPr>
          <w:p w14:paraId="3F690E8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40" w:type="dxa"/>
            <w:tcBorders>
              <w:top w:val="nil"/>
              <w:left w:val="single" w:sz="6" w:space="0" w:color="auto"/>
              <w:bottom w:val="single" w:sz="6" w:space="0" w:color="auto"/>
              <w:right w:val="single" w:sz="6" w:space="0" w:color="auto"/>
            </w:tcBorders>
          </w:tcPr>
          <w:p w14:paraId="3C5E321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60" w:type="dxa"/>
            <w:tcBorders>
              <w:top w:val="nil"/>
              <w:left w:val="single" w:sz="6" w:space="0" w:color="auto"/>
              <w:bottom w:val="single" w:sz="6" w:space="0" w:color="auto"/>
              <w:right w:val="single" w:sz="6" w:space="0" w:color="auto"/>
            </w:tcBorders>
          </w:tcPr>
          <w:p w14:paraId="04B59F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46A6CD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иметь в постройке</w:t>
            </w:r>
          </w:p>
        </w:tc>
        <w:tc>
          <w:tcPr>
            <w:tcW w:w="900" w:type="dxa"/>
            <w:tcBorders>
              <w:top w:val="single" w:sz="6" w:space="0" w:color="auto"/>
              <w:left w:val="single" w:sz="6" w:space="0" w:color="auto"/>
              <w:bottom w:val="single" w:sz="6" w:space="0" w:color="auto"/>
              <w:right w:val="single" w:sz="6" w:space="0" w:color="auto"/>
            </w:tcBorders>
          </w:tcPr>
          <w:p w14:paraId="081F80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ввести в строй</w:t>
            </w:r>
          </w:p>
        </w:tc>
        <w:tc>
          <w:tcPr>
            <w:tcW w:w="900" w:type="dxa"/>
            <w:tcBorders>
              <w:top w:val="nil"/>
              <w:left w:val="single" w:sz="6" w:space="0" w:color="auto"/>
              <w:bottom w:val="single" w:sz="6" w:space="0" w:color="auto"/>
              <w:right w:val="single" w:sz="6" w:space="0" w:color="auto"/>
            </w:tcBorders>
          </w:tcPr>
          <w:p w14:paraId="3B9E2E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8BBC87B" w14:textId="77777777" w:rsidTr="00E543D0">
        <w:trPr>
          <w:trHeight w:hRule="exact" w:val="560"/>
        </w:trPr>
        <w:tc>
          <w:tcPr>
            <w:tcW w:w="1180" w:type="dxa"/>
            <w:tcBorders>
              <w:top w:val="single" w:sz="6" w:space="0" w:color="auto"/>
              <w:left w:val="single" w:sz="6" w:space="0" w:color="auto"/>
              <w:bottom w:val="single" w:sz="6" w:space="0" w:color="auto"/>
              <w:right w:val="single" w:sz="6" w:space="0" w:color="auto"/>
            </w:tcBorders>
          </w:tcPr>
          <w:p w14:paraId="0E43D7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Линкоры типа "А" " "Б"</w:t>
            </w:r>
          </w:p>
        </w:tc>
        <w:tc>
          <w:tcPr>
            <w:tcW w:w="860" w:type="dxa"/>
            <w:tcBorders>
              <w:top w:val="single" w:sz="6" w:space="0" w:color="auto"/>
              <w:left w:val="single" w:sz="6" w:space="0" w:color="auto"/>
              <w:bottom w:val="single" w:sz="6" w:space="0" w:color="auto"/>
              <w:right w:val="single" w:sz="6" w:space="0" w:color="auto"/>
            </w:tcBorders>
          </w:tcPr>
          <w:p w14:paraId="5BAFD7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6 14</w:t>
            </w:r>
          </w:p>
        </w:tc>
        <w:tc>
          <w:tcPr>
            <w:tcW w:w="840" w:type="dxa"/>
            <w:tcBorders>
              <w:top w:val="single" w:sz="6" w:space="0" w:color="auto"/>
              <w:left w:val="single" w:sz="6" w:space="0" w:color="auto"/>
              <w:bottom w:val="single" w:sz="6" w:space="0" w:color="auto"/>
              <w:right w:val="single" w:sz="6" w:space="0" w:color="auto"/>
            </w:tcBorders>
          </w:tcPr>
          <w:p w14:paraId="03E13B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860" w:type="dxa"/>
            <w:tcBorders>
              <w:top w:val="single" w:sz="6" w:space="0" w:color="auto"/>
              <w:left w:val="single" w:sz="6" w:space="0" w:color="auto"/>
              <w:bottom w:val="single" w:sz="6" w:space="0" w:color="auto"/>
              <w:right w:val="single" w:sz="6" w:space="0" w:color="auto"/>
            </w:tcBorders>
          </w:tcPr>
          <w:p w14:paraId="72BEAA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00" w:type="dxa"/>
            <w:tcBorders>
              <w:top w:val="single" w:sz="6" w:space="0" w:color="auto"/>
              <w:left w:val="single" w:sz="6" w:space="0" w:color="auto"/>
              <w:bottom w:val="single" w:sz="6" w:space="0" w:color="auto"/>
              <w:right w:val="single" w:sz="6" w:space="0" w:color="auto"/>
            </w:tcBorders>
          </w:tcPr>
          <w:p w14:paraId="17A61B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900" w:type="dxa"/>
            <w:tcBorders>
              <w:top w:val="single" w:sz="6" w:space="0" w:color="auto"/>
              <w:left w:val="single" w:sz="6" w:space="0" w:color="auto"/>
              <w:bottom w:val="single" w:sz="6" w:space="0" w:color="auto"/>
              <w:right w:val="single" w:sz="6" w:space="0" w:color="auto"/>
            </w:tcBorders>
          </w:tcPr>
          <w:p w14:paraId="5A6C16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00" w:type="dxa"/>
            <w:tcBorders>
              <w:top w:val="single" w:sz="6" w:space="0" w:color="auto"/>
              <w:left w:val="single" w:sz="6" w:space="0" w:color="auto"/>
              <w:bottom w:val="single" w:sz="6" w:space="0" w:color="auto"/>
              <w:right w:val="single" w:sz="6" w:space="0" w:color="auto"/>
            </w:tcBorders>
          </w:tcPr>
          <w:p w14:paraId="7FB1F2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16DC4E0" w14:textId="77777777" w:rsidTr="00E543D0">
        <w:trPr>
          <w:trHeight w:hRule="exact" w:val="400"/>
        </w:trPr>
        <w:tc>
          <w:tcPr>
            <w:tcW w:w="1180" w:type="dxa"/>
            <w:tcBorders>
              <w:top w:val="single" w:sz="6" w:space="0" w:color="auto"/>
              <w:left w:val="single" w:sz="6" w:space="0" w:color="auto"/>
              <w:bottom w:val="single" w:sz="6" w:space="0" w:color="auto"/>
              <w:right w:val="single" w:sz="6" w:space="0" w:color="auto"/>
            </w:tcBorders>
          </w:tcPr>
          <w:p w14:paraId="070711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Тяжелые крейсера</w:t>
            </w:r>
          </w:p>
        </w:tc>
        <w:tc>
          <w:tcPr>
            <w:tcW w:w="860" w:type="dxa"/>
            <w:tcBorders>
              <w:top w:val="single" w:sz="6" w:space="0" w:color="auto"/>
              <w:left w:val="single" w:sz="6" w:space="0" w:color="auto"/>
              <w:bottom w:val="single" w:sz="6" w:space="0" w:color="auto"/>
              <w:right w:val="single" w:sz="6" w:space="0" w:color="auto"/>
            </w:tcBorders>
          </w:tcPr>
          <w:p w14:paraId="352B5D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840" w:type="dxa"/>
            <w:tcBorders>
              <w:top w:val="single" w:sz="6" w:space="0" w:color="auto"/>
              <w:left w:val="single" w:sz="6" w:space="0" w:color="auto"/>
              <w:bottom w:val="single" w:sz="6" w:space="0" w:color="auto"/>
              <w:right w:val="single" w:sz="6" w:space="0" w:color="auto"/>
            </w:tcBorders>
          </w:tcPr>
          <w:p w14:paraId="5BC0AC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860" w:type="dxa"/>
            <w:tcBorders>
              <w:top w:val="single" w:sz="6" w:space="0" w:color="auto"/>
              <w:left w:val="single" w:sz="6" w:space="0" w:color="auto"/>
              <w:bottom w:val="single" w:sz="6" w:space="0" w:color="auto"/>
              <w:right w:val="single" w:sz="6" w:space="0" w:color="auto"/>
            </w:tcBorders>
          </w:tcPr>
          <w:p w14:paraId="09A336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900" w:type="dxa"/>
            <w:tcBorders>
              <w:top w:val="single" w:sz="6" w:space="0" w:color="auto"/>
              <w:left w:val="single" w:sz="6" w:space="0" w:color="auto"/>
              <w:bottom w:val="single" w:sz="6" w:space="0" w:color="auto"/>
              <w:right w:val="single" w:sz="6" w:space="0" w:color="auto"/>
            </w:tcBorders>
          </w:tcPr>
          <w:p w14:paraId="557362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00" w:type="dxa"/>
            <w:tcBorders>
              <w:top w:val="single" w:sz="6" w:space="0" w:color="auto"/>
              <w:left w:val="single" w:sz="6" w:space="0" w:color="auto"/>
              <w:bottom w:val="single" w:sz="6" w:space="0" w:color="auto"/>
              <w:right w:val="single" w:sz="6" w:space="0" w:color="auto"/>
            </w:tcBorders>
          </w:tcPr>
          <w:p w14:paraId="46A8FC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00" w:type="dxa"/>
            <w:tcBorders>
              <w:top w:val="single" w:sz="6" w:space="0" w:color="auto"/>
              <w:left w:val="single" w:sz="6" w:space="0" w:color="auto"/>
              <w:bottom w:val="single" w:sz="6" w:space="0" w:color="auto"/>
              <w:right w:val="single" w:sz="6" w:space="0" w:color="auto"/>
            </w:tcBorders>
          </w:tcPr>
          <w:p w14:paraId="5BE2A8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E24A998" w14:textId="77777777" w:rsidTr="00E543D0">
        <w:trPr>
          <w:trHeight w:hRule="exact" w:val="220"/>
        </w:trPr>
        <w:tc>
          <w:tcPr>
            <w:tcW w:w="1180" w:type="dxa"/>
            <w:tcBorders>
              <w:top w:val="single" w:sz="6" w:space="0" w:color="auto"/>
              <w:left w:val="single" w:sz="6" w:space="0" w:color="auto"/>
              <w:bottom w:val="single" w:sz="6" w:space="0" w:color="auto"/>
              <w:right w:val="single" w:sz="6" w:space="0" w:color="auto"/>
            </w:tcBorders>
          </w:tcPr>
          <w:p w14:paraId="0B2678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Авианосцы</w:t>
            </w:r>
          </w:p>
        </w:tc>
        <w:tc>
          <w:tcPr>
            <w:tcW w:w="860" w:type="dxa"/>
            <w:tcBorders>
              <w:top w:val="single" w:sz="6" w:space="0" w:color="auto"/>
              <w:left w:val="single" w:sz="6" w:space="0" w:color="auto"/>
              <w:bottom w:val="single" w:sz="6" w:space="0" w:color="auto"/>
              <w:right w:val="single" w:sz="6" w:space="0" w:color="auto"/>
            </w:tcBorders>
          </w:tcPr>
          <w:p w14:paraId="5DEB95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40" w:type="dxa"/>
            <w:tcBorders>
              <w:top w:val="single" w:sz="6" w:space="0" w:color="auto"/>
              <w:left w:val="single" w:sz="6" w:space="0" w:color="auto"/>
              <w:bottom w:val="single" w:sz="6" w:space="0" w:color="auto"/>
              <w:right w:val="single" w:sz="6" w:space="0" w:color="auto"/>
            </w:tcBorders>
          </w:tcPr>
          <w:p w14:paraId="31CEBA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860" w:type="dxa"/>
            <w:tcBorders>
              <w:top w:val="single" w:sz="6" w:space="0" w:color="auto"/>
              <w:left w:val="single" w:sz="6" w:space="0" w:color="auto"/>
              <w:bottom w:val="single" w:sz="6" w:space="0" w:color="auto"/>
              <w:right w:val="single" w:sz="6" w:space="0" w:color="auto"/>
            </w:tcBorders>
          </w:tcPr>
          <w:p w14:paraId="62D4A7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00" w:type="dxa"/>
            <w:tcBorders>
              <w:top w:val="single" w:sz="6" w:space="0" w:color="auto"/>
              <w:left w:val="single" w:sz="6" w:space="0" w:color="auto"/>
              <w:bottom w:val="single" w:sz="6" w:space="0" w:color="auto"/>
              <w:right w:val="single" w:sz="6" w:space="0" w:color="auto"/>
            </w:tcBorders>
          </w:tcPr>
          <w:p w14:paraId="131951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00" w:type="dxa"/>
            <w:tcBorders>
              <w:top w:val="single" w:sz="6" w:space="0" w:color="auto"/>
              <w:left w:val="single" w:sz="6" w:space="0" w:color="auto"/>
              <w:bottom w:val="single" w:sz="6" w:space="0" w:color="auto"/>
              <w:right w:val="single" w:sz="6" w:space="0" w:color="auto"/>
            </w:tcBorders>
          </w:tcPr>
          <w:p w14:paraId="4D4CE3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00" w:type="dxa"/>
            <w:tcBorders>
              <w:top w:val="single" w:sz="6" w:space="0" w:color="auto"/>
              <w:left w:val="single" w:sz="6" w:space="0" w:color="auto"/>
              <w:bottom w:val="single" w:sz="6" w:space="0" w:color="auto"/>
              <w:right w:val="single" w:sz="6" w:space="0" w:color="auto"/>
            </w:tcBorders>
          </w:tcPr>
          <w:p w14:paraId="19B4F4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A17919B" w14:textId="77777777" w:rsidTr="00E543D0">
        <w:trPr>
          <w:trHeight w:hRule="exact" w:val="720"/>
        </w:trPr>
        <w:tc>
          <w:tcPr>
            <w:tcW w:w="1180" w:type="dxa"/>
            <w:tcBorders>
              <w:top w:val="single" w:sz="6" w:space="0" w:color="auto"/>
              <w:left w:val="single" w:sz="6" w:space="0" w:color="auto"/>
              <w:bottom w:val="single" w:sz="6" w:space="0" w:color="auto"/>
              <w:right w:val="single" w:sz="6" w:space="0" w:color="auto"/>
            </w:tcBorders>
          </w:tcPr>
          <w:p w14:paraId="6F8B1E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Легкие крей</w:t>
            </w:r>
            <w:r w:rsidRPr="00DB5D0D">
              <w:rPr>
                <w:rFonts w:ascii="Times New Roman" w:hAnsi="Times New Roman"/>
                <w:color w:val="000000" w:themeColor="text1"/>
                <w:sz w:val="16"/>
                <w:szCs w:val="16"/>
              </w:rPr>
              <w:softHyphen/>
              <w:t>сера (в т. ч.типа "Киров")</w:t>
            </w:r>
          </w:p>
        </w:tc>
        <w:tc>
          <w:tcPr>
            <w:tcW w:w="860" w:type="dxa"/>
            <w:tcBorders>
              <w:top w:val="single" w:sz="6" w:space="0" w:color="auto"/>
              <w:left w:val="single" w:sz="6" w:space="0" w:color="auto"/>
              <w:bottom w:val="single" w:sz="6" w:space="0" w:color="auto"/>
              <w:right w:val="single" w:sz="6" w:space="0" w:color="auto"/>
            </w:tcBorders>
          </w:tcPr>
          <w:p w14:paraId="471795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840" w:type="dxa"/>
            <w:tcBorders>
              <w:top w:val="single" w:sz="6" w:space="0" w:color="auto"/>
              <w:left w:val="single" w:sz="6" w:space="0" w:color="auto"/>
              <w:bottom w:val="single" w:sz="6" w:space="0" w:color="auto"/>
              <w:right w:val="single" w:sz="6" w:space="0" w:color="auto"/>
            </w:tcBorders>
          </w:tcPr>
          <w:p w14:paraId="6EC466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(6)</w:t>
            </w:r>
          </w:p>
        </w:tc>
        <w:tc>
          <w:tcPr>
            <w:tcW w:w="860" w:type="dxa"/>
            <w:tcBorders>
              <w:top w:val="single" w:sz="6" w:space="0" w:color="auto"/>
              <w:left w:val="single" w:sz="6" w:space="0" w:color="auto"/>
              <w:bottom w:val="single" w:sz="6" w:space="0" w:color="auto"/>
              <w:right w:val="single" w:sz="6" w:space="0" w:color="auto"/>
            </w:tcBorders>
          </w:tcPr>
          <w:p w14:paraId="7F9853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 (6)</w:t>
            </w:r>
          </w:p>
        </w:tc>
        <w:tc>
          <w:tcPr>
            <w:tcW w:w="900" w:type="dxa"/>
            <w:tcBorders>
              <w:top w:val="single" w:sz="6" w:space="0" w:color="auto"/>
              <w:left w:val="single" w:sz="6" w:space="0" w:color="auto"/>
              <w:bottom w:val="single" w:sz="6" w:space="0" w:color="auto"/>
              <w:right w:val="single" w:sz="6" w:space="0" w:color="auto"/>
            </w:tcBorders>
          </w:tcPr>
          <w:p w14:paraId="11C1B1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(6)</w:t>
            </w:r>
          </w:p>
        </w:tc>
        <w:tc>
          <w:tcPr>
            <w:tcW w:w="900" w:type="dxa"/>
            <w:tcBorders>
              <w:top w:val="single" w:sz="6" w:space="0" w:color="auto"/>
              <w:left w:val="single" w:sz="6" w:space="0" w:color="auto"/>
              <w:bottom w:val="single" w:sz="6" w:space="0" w:color="auto"/>
              <w:right w:val="single" w:sz="6" w:space="0" w:color="auto"/>
            </w:tcBorders>
          </w:tcPr>
          <w:p w14:paraId="4EC0A2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p w14:paraId="4F3264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00" w:type="dxa"/>
            <w:tcBorders>
              <w:top w:val="single" w:sz="6" w:space="0" w:color="auto"/>
              <w:left w:val="single" w:sz="6" w:space="0" w:color="auto"/>
              <w:bottom w:val="single" w:sz="6" w:space="0" w:color="auto"/>
              <w:right w:val="single" w:sz="6" w:space="0" w:color="auto"/>
            </w:tcBorders>
          </w:tcPr>
          <w:p w14:paraId="5B38B8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(6)</w:t>
            </w:r>
          </w:p>
        </w:tc>
      </w:tr>
      <w:tr w:rsidR="007D5DF8" w:rsidRPr="00DB5D0D" w14:paraId="0A687939" w14:textId="77777777" w:rsidTr="00E543D0">
        <w:trPr>
          <w:trHeight w:hRule="exact" w:val="240"/>
        </w:trPr>
        <w:tc>
          <w:tcPr>
            <w:tcW w:w="1180" w:type="dxa"/>
            <w:tcBorders>
              <w:top w:val="single" w:sz="6" w:space="0" w:color="auto"/>
              <w:left w:val="single" w:sz="6" w:space="0" w:color="auto"/>
              <w:bottom w:val="single" w:sz="6" w:space="0" w:color="auto"/>
              <w:right w:val="single" w:sz="6" w:space="0" w:color="auto"/>
            </w:tcBorders>
          </w:tcPr>
          <w:p w14:paraId="6539B3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Лидеры</w:t>
            </w:r>
          </w:p>
        </w:tc>
        <w:tc>
          <w:tcPr>
            <w:tcW w:w="860" w:type="dxa"/>
            <w:tcBorders>
              <w:top w:val="single" w:sz="6" w:space="0" w:color="auto"/>
              <w:left w:val="single" w:sz="6" w:space="0" w:color="auto"/>
              <w:bottom w:val="single" w:sz="6" w:space="0" w:color="auto"/>
              <w:right w:val="single" w:sz="6" w:space="0" w:color="auto"/>
            </w:tcBorders>
          </w:tcPr>
          <w:p w14:paraId="719738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840" w:type="dxa"/>
            <w:tcBorders>
              <w:top w:val="single" w:sz="6" w:space="0" w:color="auto"/>
              <w:left w:val="single" w:sz="6" w:space="0" w:color="auto"/>
              <w:bottom w:val="single" w:sz="6" w:space="0" w:color="auto"/>
              <w:right w:val="single" w:sz="6" w:space="0" w:color="auto"/>
            </w:tcBorders>
          </w:tcPr>
          <w:p w14:paraId="516A7E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860" w:type="dxa"/>
            <w:tcBorders>
              <w:top w:val="single" w:sz="6" w:space="0" w:color="auto"/>
              <w:left w:val="single" w:sz="6" w:space="0" w:color="auto"/>
              <w:bottom w:val="single" w:sz="6" w:space="0" w:color="auto"/>
              <w:right w:val="single" w:sz="6" w:space="0" w:color="auto"/>
            </w:tcBorders>
          </w:tcPr>
          <w:p w14:paraId="7D7ACB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900" w:type="dxa"/>
            <w:tcBorders>
              <w:top w:val="single" w:sz="6" w:space="0" w:color="auto"/>
              <w:left w:val="single" w:sz="6" w:space="0" w:color="auto"/>
              <w:bottom w:val="single" w:sz="6" w:space="0" w:color="auto"/>
              <w:right w:val="single" w:sz="6" w:space="0" w:color="auto"/>
            </w:tcBorders>
          </w:tcPr>
          <w:p w14:paraId="6AD5FF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900" w:type="dxa"/>
            <w:tcBorders>
              <w:top w:val="single" w:sz="6" w:space="0" w:color="auto"/>
              <w:left w:val="single" w:sz="6" w:space="0" w:color="auto"/>
              <w:bottom w:val="single" w:sz="6" w:space="0" w:color="auto"/>
              <w:right w:val="single" w:sz="6" w:space="0" w:color="auto"/>
            </w:tcBorders>
          </w:tcPr>
          <w:p w14:paraId="2EACF4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900" w:type="dxa"/>
            <w:tcBorders>
              <w:top w:val="single" w:sz="6" w:space="0" w:color="auto"/>
              <w:left w:val="single" w:sz="6" w:space="0" w:color="auto"/>
              <w:bottom w:val="single" w:sz="6" w:space="0" w:color="auto"/>
              <w:right w:val="single" w:sz="6" w:space="0" w:color="auto"/>
            </w:tcBorders>
          </w:tcPr>
          <w:p w14:paraId="3C32F8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r w:rsidR="007D5DF8" w:rsidRPr="00DB5D0D" w14:paraId="4A7BE014" w14:textId="77777777" w:rsidTr="00E543D0">
        <w:trPr>
          <w:trHeight w:hRule="exact" w:val="220"/>
        </w:trPr>
        <w:tc>
          <w:tcPr>
            <w:tcW w:w="1180" w:type="dxa"/>
            <w:tcBorders>
              <w:top w:val="single" w:sz="6" w:space="0" w:color="auto"/>
              <w:left w:val="single" w:sz="6" w:space="0" w:color="auto"/>
              <w:bottom w:val="single" w:sz="6" w:space="0" w:color="auto"/>
              <w:right w:val="single" w:sz="6" w:space="0" w:color="auto"/>
            </w:tcBorders>
          </w:tcPr>
          <w:p w14:paraId="64FF3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Эсминцы</w:t>
            </w:r>
          </w:p>
        </w:tc>
        <w:tc>
          <w:tcPr>
            <w:tcW w:w="860" w:type="dxa"/>
            <w:tcBorders>
              <w:top w:val="single" w:sz="6" w:space="0" w:color="auto"/>
              <w:left w:val="single" w:sz="6" w:space="0" w:color="auto"/>
              <w:bottom w:val="single" w:sz="6" w:space="0" w:color="auto"/>
              <w:right w:val="single" w:sz="6" w:space="0" w:color="auto"/>
            </w:tcBorders>
          </w:tcPr>
          <w:p w14:paraId="2E191B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w:t>
            </w:r>
          </w:p>
        </w:tc>
        <w:tc>
          <w:tcPr>
            <w:tcW w:w="840" w:type="dxa"/>
            <w:tcBorders>
              <w:top w:val="single" w:sz="6" w:space="0" w:color="auto"/>
              <w:left w:val="single" w:sz="6" w:space="0" w:color="auto"/>
              <w:bottom w:val="single" w:sz="6" w:space="0" w:color="auto"/>
              <w:right w:val="single" w:sz="6" w:space="0" w:color="auto"/>
            </w:tcBorders>
          </w:tcPr>
          <w:p w14:paraId="1435BC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134</w:t>
            </w:r>
          </w:p>
        </w:tc>
        <w:tc>
          <w:tcPr>
            <w:tcW w:w="860" w:type="dxa"/>
            <w:tcBorders>
              <w:top w:val="single" w:sz="6" w:space="0" w:color="auto"/>
              <w:left w:val="single" w:sz="6" w:space="0" w:color="auto"/>
              <w:bottom w:val="single" w:sz="6" w:space="0" w:color="auto"/>
              <w:right w:val="single" w:sz="6" w:space="0" w:color="auto"/>
            </w:tcBorders>
          </w:tcPr>
          <w:p w14:paraId="6C8FA0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900" w:type="dxa"/>
            <w:tcBorders>
              <w:top w:val="single" w:sz="6" w:space="0" w:color="auto"/>
              <w:left w:val="single" w:sz="6" w:space="0" w:color="auto"/>
              <w:bottom w:val="single" w:sz="6" w:space="0" w:color="auto"/>
              <w:right w:val="single" w:sz="6" w:space="0" w:color="auto"/>
            </w:tcBorders>
          </w:tcPr>
          <w:p w14:paraId="5D1C87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w:t>
            </w:r>
          </w:p>
        </w:tc>
        <w:tc>
          <w:tcPr>
            <w:tcW w:w="900" w:type="dxa"/>
            <w:tcBorders>
              <w:top w:val="single" w:sz="6" w:space="0" w:color="auto"/>
              <w:left w:val="single" w:sz="6" w:space="0" w:color="auto"/>
              <w:bottom w:val="single" w:sz="6" w:space="0" w:color="auto"/>
              <w:right w:val="single" w:sz="6" w:space="0" w:color="auto"/>
            </w:tcBorders>
          </w:tcPr>
          <w:p w14:paraId="2A841B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w:t>
            </w:r>
          </w:p>
        </w:tc>
        <w:tc>
          <w:tcPr>
            <w:tcW w:w="900" w:type="dxa"/>
            <w:tcBorders>
              <w:top w:val="single" w:sz="6" w:space="0" w:color="auto"/>
              <w:left w:val="single" w:sz="6" w:space="0" w:color="auto"/>
              <w:bottom w:val="single" w:sz="6" w:space="0" w:color="auto"/>
              <w:right w:val="single" w:sz="6" w:space="0" w:color="auto"/>
            </w:tcBorders>
          </w:tcPr>
          <w:p w14:paraId="291CA1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r>
      <w:tr w:rsidR="007D5DF8" w:rsidRPr="00DB5D0D" w14:paraId="44D59430" w14:textId="77777777" w:rsidTr="00E543D0">
        <w:trPr>
          <w:trHeight w:hRule="exact" w:val="920"/>
        </w:trPr>
        <w:tc>
          <w:tcPr>
            <w:tcW w:w="1180" w:type="dxa"/>
            <w:tcBorders>
              <w:top w:val="single" w:sz="6" w:space="0" w:color="auto"/>
              <w:left w:val="single" w:sz="6" w:space="0" w:color="auto"/>
              <w:bottom w:val="single" w:sz="6" w:space="0" w:color="auto"/>
              <w:right w:val="single" w:sz="6" w:space="0" w:color="auto"/>
            </w:tcBorders>
          </w:tcPr>
          <w:p w14:paraId="0D502B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Подводные лодки: большие средние малые</w:t>
            </w:r>
          </w:p>
        </w:tc>
        <w:tc>
          <w:tcPr>
            <w:tcW w:w="860" w:type="dxa"/>
            <w:tcBorders>
              <w:top w:val="single" w:sz="6" w:space="0" w:color="auto"/>
              <w:left w:val="single" w:sz="6" w:space="0" w:color="auto"/>
              <w:bottom w:val="single" w:sz="6" w:space="0" w:color="auto"/>
              <w:right w:val="single" w:sz="6" w:space="0" w:color="auto"/>
            </w:tcBorders>
          </w:tcPr>
          <w:p w14:paraId="57AEC9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65 103 64</w:t>
            </w:r>
          </w:p>
        </w:tc>
        <w:tc>
          <w:tcPr>
            <w:tcW w:w="840" w:type="dxa"/>
            <w:tcBorders>
              <w:top w:val="single" w:sz="6" w:space="0" w:color="auto"/>
              <w:left w:val="single" w:sz="6" w:space="0" w:color="auto"/>
              <w:bottom w:val="single" w:sz="6" w:space="0" w:color="auto"/>
              <w:right w:val="single" w:sz="6" w:space="0" w:color="auto"/>
            </w:tcBorders>
          </w:tcPr>
          <w:p w14:paraId="67701B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75 90 46</w:t>
            </w:r>
          </w:p>
        </w:tc>
        <w:tc>
          <w:tcPr>
            <w:tcW w:w="860" w:type="dxa"/>
            <w:tcBorders>
              <w:top w:val="single" w:sz="6" w:space="0" w:color="auto"/>
              <w:left w:val="single" w:sz="6" w:space="0" w:color="auto"/>
              <w:bottom w:val="single" w:sz="6" w:space="0" w:color="auto"/>
              <w:right w:val="single" w:sz="6" w:space="0" w:color="auto"/>
            </w:tcBorders>
          </w:tcPr>
          <w:p w14:paraId="52D8FD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69 122 56</w:t>
            </w:r>
          </w:p>
        </w:tc>
        <w:tc>
          <w:tcPr>
            <w:tcW w:w="900" w:type="dxa"/>
            <w:tcBorders>
              <w:top w:val="single" w:sz="6" w:space="0" w:color="auto"/>
              <w:left w:val="single" w:sz="6" w:space="0" w:color="auto"/>
              <w:bottom w:val="single" w:sz="6" w:space="0" w:color="auto"/>
              <w:right w:val="single" w:sz="6" w:space="0" w:color="auto"/>
            </w:tcBorders>
          </w:tcPr>
          <w:p w14:paraId="6977E2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30 93</w:t>
            </w:r>
          </w:p>
          <w:p w14:paraId="373664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w:t>
            </w:r>
          </w:p>
        </w:tc>
        <w:tc>
          <w:tcPr>
            <w:tcW w:w="900" w:type="dxa"/>
            <w:tcBorders>
              <w:top w:val="single" w:sz="6" w:space="0" w:color="auto"/>
              <w:left w:val="single" w:sz="6" w:space="0" w:color="auto"/>
              <w:bottom w:val="single" w:sz="6" w:space="0" w:color="auto"/>
              <w:right w:val="single" w:sz="6" w:space="0" w:color="auto"/>
            </w:tcBorders>
          </w:tcPr>
          <w:p w14:paraId="3CBCB0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27 44 60</w:t>
            </w:r>
          </w:p>
        </w:tc>
        <w:tc>
          <w:tcPr>
            <w:tcW w:w="900" w:type="dxa"/>
            <w:tcBorders>
              <w:top w:val="single" w:sz="6" w:space="0" w:color="auto"/>
              <w:left w:val="single" w:sz="6" w:space="0" w:color="auto"/>
              <w:bottom w:val="single" w:sz="6" w:space="0" w:color="auto"/>
              <w:right w:val="single" w:sz="6" w:space="0" w:color="auto"/>
            </w:tcBorders>
          </w:tcPr>
          <w:p w14:paraId="2DCDA2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25 44 47</w:t>
            </w:r>
          </w:p>
        </w:tc>
      </w:tr>
      <w:tr w:rsidR="007D5DF8" w:rsidRPr="00DB5D0D" w14:paraId="0CA5B2BF" w14:textId="77777777" w:rsidTr="00E543D0">
        <w:trPr>
          <w:trHeight w:hRule="exact" w:val="440"/>
        </w:trPr>
        <w:tc>
          <w:tcPr>
            <w:tcW w:w="1180" w:type="dxa"/>
            <w:tcBorders>
              <w:top w:val="single" w:sz="6" w:space="0" w:color="auto"/>
              <w:left w:val="single" w:sz="6" w:space="0" w:color="auto"/>
              <w:bottom w:val="single" w:sz="6" w:space="0" w:color="auto"/>
              <w:right w:val="single" w:sz="6" w:space="0" w:color="auto"/>
            </w:tcBorders>
          </w:tcPr>
          <w:p w14:paraId="50A2DE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860" w:type="dxa"/>
            <w:tcBorders>
              <w:top w:val="single" w:sz="6" w:space="0" w:color="auto"/>
              <w:left w:val="single" w:sz="6" w:space="0" w:color="auto"/>
              <w:bottom w:val="single" w:sz="6" w:space="0" w:color="auto"/>
              <w:right w:val="single" w:sz="6" w:space="0" w:color="auto"/>
            </w:tcBorders>
          </w:tcPr>
          <w:p w14:paraId="1346CD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432</w:t>
            </w:r>
          </w:p>
        </w:tc>
        <w:tc>
          <w:tcPr>
            <w:tcW w:w="840" w:type="dxa"/>
            <w:tcBorders>
              <w:top w:val="single" w:sz="6" w:space="0" w:color="auto"/>
              <w:left w:val="single" w:sz="6" w:space="0" w:color="auto"/>
              <w:bottom w:val="single" w:sz="6" w:space="0" w:color="auto"/>
              <w:right w:val="single" w:sz="6" w:space="0" w:color="auto"/>
            </w:tcBorders>
          </w:tcPr>
          <w:p w14:paraId="1E52EC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424</w:t>
            </w:r>
          </w:p>
        </w:tc>
        <w:tc>
          <w:tcPr>
            <w:tcW w:w="860" w:type="dxa"/>
            <w:tcBorders>
              <w:top w:val="single" w:sz="6" w:space="0" w:color="auto"/>
              <w:left w:val="single" w:sz="6" w:space="0" w:color="auto"/>
              <w:bottom w:val="single" w:sz="6" w:space="0" w:color="auto"/>
              <w:right w:val="single" w:sz="6" w:space="0" w:color="auto"/>
            </w:tcBorders>
          </w:tcPr>
          <w:p w14:paraId="6E3849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492</w:t>
            </w:r>
          </w:p>
        </w:tc>
        <w:tc>
          <w:tcPr>
            <w:tcW w:w="900" w:type="dxa"/>
            <w:tcBorders>
              <w:top w:val="single" w:sz="6" w:space="0" w:color="auto"/>
              <w:left w:val="single" w:sz="6" w:space="0" w:color="auto"/>
              <w:bottom w:val="single" w:sz="6" w:space="0" w:color="auto"/>
              <w:right w:val="single" w:sz="6" w:space="0" w:color="auto"/>
            </w:tcBorders>
          </w:tcPr>
          <w:p w14:paraId="007266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w:t>
            </w:r>
          </w:p>
        </w:tc>
        <w:tc>
          <w:tcPr>
            <w:tcW w:w="900" w:type="dxa"/>
            <w:tcBorders>
              <w:top w:val="single" w:sz="6" w:space="0" w:color="auto"/>
              <w:left w:val="single" w:sz="6" w:space="0" w:color="auto"/>
              <w:bottom w:val="single" w:sz="6" w:space="0" w:color="auto"/>
              <w:right w:val="single" w:sz="6" w:space="0" w:color="auto"/>
            </w:tcBorders>
          </w:tcPr>
          <w:p w14:paraId="3FD9D4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209</w:t>
            </w:r>
          </w:p>
        </w:tc>
        <w:tc>
          <w:tcPr>
            <w:tcW w:w="900" w:type="dxa"/>
            <w:tcBorders>
              <w:top w:val="single" w:sz="6" w:space="0" w:color="auto"/>
              <w:left w:val="single" w:sz="6" w:space="0" w:color="auto"/>
              <w:bottom w:val="single" w:sz="6" w:space="0" w:color="auto"/>
              <w:right w:val="single" w:sz="6" w:space="0" w:color="auto"/>
            </w:tcBorders>
          </w:tcPr>
          <w:p w14:paraId="22BB75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174</w:t>
            </w:r>
          </w:p>
        </w:tc>
      </w:tr>
    </w:tbl>
    <w:p w14:paraId="4BC70E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Включая достроенные после 1942 г. по первоначальным проектам. * * В том числе лидер Ташкент", построенный в Италии и достроенный в СССР.</w:t>
      </w:r>
    </w:p>
    <w:p w14:paraId="2E915CE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9A6852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244F0495"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66F92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года состоялась первая встреча К.А. Уманского и С. Уэллеса, продолжавшаяся 40 минут, но в российском сборнике документов внешней политики она приведена не полностью (в примечании отмечено, что опу</w:t>
      </w:r>
      <w:r w:rsidRPr="00DB5D0D">
        <w:rPr>
          <w:rFonts w:ascii="Times New Roman" w:hAnsi="Times New Roman"/>
          <w:color w:val="000000" w:themeColor="text1"/>
          <w:sz w:val="16"/>
          <w:szCs w:val="16"/>
        </w:rPr>
        <w:softHyphen/>
        <w:t>щена часть беседы, касавшаяся введенной в США системы лицензирования части экспорта и трудностей с советскими закупками на американском рынке). С. Уэллес сделал заявление об улучшении советско-американских отношений. В ответ Уманский отметил, что первой предпосылкой к этому должно стать «очищение отношений от актов дискриминации и наруше</w:t>
      </w:r>
      <w:r w:rsidRPr="00DB5D0D">
        <w:rPr>
          <w:rFonts w:ascii="Times New Roman" w:hAnsi="Times New Roman"/>
          <w:color w:val="000000" w:themeColor="text1"/>
          <w:sz w:val="16"/>
          <w:szCs w:val="16"/>
        </w:rPr>
        <w:softHyphen/>
        <w:t>ния прав и интересов СССР органами Американского правительства» (Документы внешней политики. 1940 - 22 июня 1941. Т. XXIII: Кн. 2 (Часть 2). С. 457-458.).</w:t>
      </w:r>
    </w:p>
    <w:p w14:paraId="015B13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Анализ этой встречи по американским документам позволяет сделать вывод, что советская сторона и помимо «морального эмбарго» находилась в очень непростой ситуации. Советскому послу (В американском тексте употребляется термин «посол», которым мы также будем пользоваться при ссылке на него.) была вручена копия «Прокла</w:t>
      </w:r>
      <w:r w:rsidRPr="00DB5D0D">
        <w:rPr>
          <w:rFonts w:ascii="Times New Roman" w:hAnsi="Times New Roman"/>
          <w:color w:val="000000" w:themeColor="text1"/>
          <w:sz w:val="16"/>
          <w:szCs w:val="16"/>
        </w:rPr>
        <w:softHyphen/>
        <w:t>мации № 2417», изданной президентом 26 июля 1940 года, о введении контро</w:t>
      </w:r>
      <w:r w:rsidRPr="00DB5D0D">
        <w:rPr>
          <w:rFonts w:ascii="Times New Roman" w:hAnsi="Times New Roman"/>
          <w:color w:val="000000" w:themeColor="text1"/>
          <w:sz w:val="16"/>
          <w:szCs w:val="16"/>
        </w:rPr>
        <w:softHyphen/>
        <w:t>ля над экспортом бензина, тетраэтиловых добавок и их компонентов, стали и металлолома. С. Уэллес заявил советскому послу, что эти законы были приняты единственно по причине требований национальной безопасности, они носят общий характер и одинаково применимы ко всем нациям, не подразумевая дискриминации против какой-то отдельной нации или наций. Посол ответил, что в результате этой прокламации и законов, изданных президентом 2 июля (Речь шла о Законе о контроле над экспортом от 2 июля 1940 г.), корпорация Амторг уже сделала заявку на получение более 1000 экспортных лицензий, но еще ни одна из этих лицензий не была одобрена.</w:t>
      </w:r>
    </w:p>
    <w:p w14:paraId="1DFA6E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Он заявил, что наиболее безотлагательным требованием России явля</w:t>
      </w:r>
      <w:r w:rsidRPr="00DB5D0D">
        <w:rPr>
          <w:rFonts w:ascii="Times New Roman" w:hAnsi="Times New Roman"/>
          <w:color w:val="000000" w:themeColor="text1"/>
          <w:sz w:val="16"/>
          <w:szCs w:val="16"/>
        </w:rPr>
        <w:softHyphen/>
        <w:t>ются металлообрабатывающие станки, и что те станки, которые уже были выпущены для СССР в США, скорее всего не смогут быть использованы в американской программе по перевооружению, так как они полностью от</w:t>
      </w:r>
      <w:r w:rsidRPr="00DB5D0D">
        <w:rPr>
          <w:rFonts w:ascii="Times New Roman" w:hAnsi="Times New Roman"/>
          <w:color w:val="000000" w:themeColor="text1"/>
          <w:sz w:val="16"/>
          <w:szCs w:val="16"/>
        </w:rPr>
        <w:softHyphen/>
        <w:t>личаются от станков, используемых в США, даже система измерений у них метрическая, и таким образом они не применимы на американских заво</w:t>
      </w:r>
      <w:r w:rsidRPr="00DB5D0D">
        <w:rPr>
          <w:rFonts w:ascii="Times New Roman" w:hAnsi="Times New Roman"/>
          <w:color w:val="000000" w:themeColor="text1"/>
          <w:sz w:val="16"/>
          <w:szCs w:val="16"/>
        </w:rPr>
        <w:softHyphen/>
        <w:t>дах. Далее посол заявил, что хотя США отказываются выдавать экспортные лицензии советской России, лицензии на экспорт тех же самых изделий выдаются воюющим странам.</w:t>
      </w:r>
    </w:p>
    <w:p w14:paraId="2B7D3C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дальнейшей встречи советский посол заявил, что торговля между США и Россией уже упала до нулевого уровня, и он полагает, что во-первых, должна быть заложена практическая основа, чтобы существовал разумный уровень торговли между двумя государствами, а во-вторых, переговоры между двумя правительствами, добивающимися улучшения отношений, для того чтобы это было плодотворным, должны идти независимо от полити</w:t>
      </w:r>
      <w:r w:rsidRPr="00DB5D0D">
        <w:rPr>
          <w:rFonts w:ascii="Times New Roman" w:hAnsi="Times New Roman"/>
          <w:color w:val="000000" w:themeColor="text1"/>
          <w:sz w:val="16"/>
          <w:szCs w:val="16"/>
        </w:rPr>
        <w:softHyphen/>
        <w:t>ки, проводимой одним из двух правительств по отношению к третьим го</w:t>
      </w:r>
      <w:r w:rsidRPr="00DB5D0D">
        <w:rPr>
          <w:rFonts w:ascii="Times New Roman" w:hAnsi="Times New Roman"/>
          <w:color w:val="000000" w:themeColor="text1"/>
          <w:sz w:val="16"/>
          <w:szCs w:val="16"/>
        </w:rPr>
        <w:softHyphen/>
        <w:t>сударствам.</w:t>
      </w:r>
    </w:p>
    <w:p w14:paraId="7E76BE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вышеизложенным представляет интерес и раздел V «Примене</w:t>
      </w:r>
      <w:r w:rsidRPr="00DB5D0D">
        <w:rPr>
          <w:rFonts w:ascii="Times New Roman" w:hAnsi="Times New Roman"/>
          <w:color w:val="000000" w:themeColor="text1"/>
          <w:sz w:val="16"/>
          <w:szCs w:val="16"/>
        </w:rPr>
        <w:softHyphen/>
        <w:t>ния «морального» эмбарго от 2 декабря 1939 года относительно поставок планов, заводов, прав на производство или технической информации для производства высокооктанового авиабензина» из Меморандума помощни</w:t>
      </w:r>
      <w:r w:rsidRPr="00DB5D0D">
        <w:rPr>
          <w:rFonts w:ascii="Times New Roman" w:hAnsi="Times New Roman"/>
          <w:color w:val="000000" w:themeColor="text1"/>
          <w:sz w:val="16"/>
          <w:szCs w:val="16"/>
        </w:rPr>
        <w:softHyphen/>
        <w:t>ка начальника Отдела европейских связей Л. Гендерсона (Судя по крайним датам окружающих его документов, Меморандум может быть датирован пери</w:t>
      </w:r>
      <w:r w:rsidRPr="00DB5D0D">
        <w:rPr>
          <w:rFonts w:ascii="Times New Roman" w:hAnsi="Times New Roman"/>
          <w:color w:val="000000" w:themeColor="text1"/>
          <w:sz w:val="16"/>
          <w:szCs w:val="16"/>
        </w:rPr>
        <w:softHyphen/>
        <w:t>одом между 27 июля и 1 августа 1940 г.): «Существует не</w:t>
      </w:r>
      <w:r w:rsidRPr="00DB5D0D">
        <w:rPr>
          <w:rFonts w:ascii="Times New Roman" w:hAnsi="Times New Roman"/>
          <w:color w:val="000000" w:themeColor="text1"/>
          <w:sz w:val="16"/>
          <w:szCs w:val="16"/>
        </w:rPr>
        <w:softHyphen/>
        <w:t>обходимость включения всего этого в акт от 2 июля 1940 года. В настоящий момент этот вопрос обсуждается. Вероятно, что советские коммерческие организации подадут в суд за нарушение контрактов против определенных американских компаний, которые подчинились политике «морального эмбарго», проводимой правительством, и отозвали из СССР инженеров, за</w:t>
      </w:r>
      <w:r w:rsidRPr="00DB5D0D">
        <w:rPr>
          <w:rFonts w:ascii="Times New Roman" w:hAnsi="Times New Roman"/>
          <w:color w:val="000000" w:themeColor="text1"/>
          <w:sz w:val="16"/>
          <w:szCs w:val="16"/>
        </w:rPr>
        <w:softHyphen/>
        <w:t>действованных в возведении заводов авиабензина.</w:t>
      </w:r>
    </w:p>
    <w:p w14:paraId="2C72F2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Представляется, что не будет оснований для препятствий, для того чтобы американские компании, вовлеченные в строительство обычного бензина в СССР (корпорация Люмус) или обычных смазочных масел (компания Макса Миллера), могли бы продолжать эти производства или, если они так захотят, начать новое строительство, послав американских специалистов в Советский Союз»</w:t>
      </w:r>
      <w:r w:rsidRPr="00DB5D0D">
        <w:rPr>
          <w:rFonts w:ascii="Times New Roman" w:hAnsi="Times New Roman"/>
          <w:color w:val="000000" w:themeColor="text1"/>
          <w:sz w:val="16"/>
          <w:szCs w:val="16"/>
          <w:vertAlign w:val="superscript"/>
        </w:rPr>
        <w:t>86</w:t>
      </w:r>
      <w:r w:rsidRPr="00DB5D0D">
        <w:rPr>
          <w:rFonts w:ascii="Times New Roman" w:hAnsi="Times New Roman"/>
          <w:color w:val="000000" w:themeColor="text1"/>
          <w:sz w:val="16"/>
          <w:szCs w:val="16"/>
        </w:rPr>
        <w:t>.</w:t>
      </w:r>
    </w:p>
    <w:p w14:paraId="50DAB8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Вторая встреча, продолжавшаяся 1,5 часа, состоялась 1.08.1940 года. О ней приводится лишь краткое сообщение К.А Уманского в НКИД СССР. Оно завершается фразой: «Изложение сегодняшней встречи следует», однако, к сожалению, самого документа в сборнике нет (Документы внешней политики. 1940 - 22 июня 1941. Т. XXIII. Кн. 1. С. 469-470.). Лишь по свидетельству самого же К.А. Уманского из его телеграммы В.М. Молотову от 8.08.1940 года можно узнать, что он «при второй встрече получил разъяснение лишь в от</w:t>
      </w:r>
      <w:r w:rsidRPr="00DB5D0D">
        <w:rPr>
          <w:rFonts w:ascii="Times New Roman" w:hAnsi="Times New Roman"/>
          <w:color w:val="000000" w:themeColor="text1"/>
          <w:sz w:val="16"/>
          <w:szCs w:val="16"/>
        </w:rPr>
        <w:softHyphen/>
        <w:t>ношении морального эмбарго на техническую помощь по крекингам, тогда как так называемое моральное эмбарго охватывает и авиацию, алюминий и молибден» (Документы внешней политики. 1940 - 22 июня 1941. Т. XXIII. Кн. 1. С. 469-491.). В аналогичной телеграмме от 17.12.1940 года он отмечает по</w:t>
      </w:r>
      <w:r w:rsidRPr="00DB5D0D">
        <w:rPr>
          <w:rFonts w:ascii="Times New Roman" w:hAnsi="Times New Roman"/>
          <w:color w:val="000000" w:themeColor="text1"/>
          <w:sz w:val="16"/>
          <w:szCs w:val="16"/>
        </w:rPr>
        <w:softHyphen/>
        <w:t>лучение ответа на поднятый при второй встрече «вопрос о запрете выезда в СССР для монтажа крекингов работников фирмы Юниверсаль Люмус» (Документы внешней политики. 1940 - 22 июня 1941. Т. XXIII. Кн. 1. С. 205.).</w:t>
      </w:r>
    </w:p>
    <w:p w14:paraId="71D9B9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явствует из американских документов, на встрече с американской стороны помимо С. Уэллеса присутствовали также политический советник Джеймс Данн и упоминавшийся выше помощник начальника Отдела евро</w:t>
      </w:r>
      <w:r w:rsidRPr="00DB5D0D">
        <w:rPr>
          <w:rFonts w:ascii="Times New Roman" w:hAnsi="Times New Roman"/>
          <w:color w:val="000000" w:themeColor="text1"/>
          <w:sz w:val="16"/>
          <w:szCs w:val="16"/>
        </w:rPr>
        <w:softHyphen/>
        <w:t>пейских связей Лой Гендерсон.</w:t>
      </w:r>
    </w:p>
    <w:p w14:paraId="48AE1A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Советский полпред поднял на встрече разные вопросы, в том числе и по поставкам промышленного оборудования, охарактеризовав сложившуюся ситуацию как одну из наиболее сложных проблем в отношениях между двумя странами. В общей сложности 218 заявок, касающихся 327 станков, по-пре</w:t>
      </w:r>
      <w:r w:rsidRPr="00DB5D0D">
        <w:rPr>
          <w:rFonts w:ascii="Times New Roman" w:hAnsi="Times New Roman"/>
          <w:color w:val="000000" w:themeColor="text1"/>
          <w:sz w:val="16"/>
          <w:szCs w:val="16"/>
        </w:rPr>
        <w:softHyphen/>
        <w:t>жнему ожидают решения. Около 4400 тонн станков на сумму более 4 миллио</w:t>
      </w:r>
      <w:r w:rsidRPr="00DB5D0D">
        <w:rPr>
          <w:rFonts w:ascii="Times New Roman" w:hAnsi="Times New Roman"/>
          <w:color w:val="000000" w:themeColor="text1"/>
          <w:sz w:val="16"/>
          <w:szCs w:val="16"/>
        </w:rPr>
        <w:softHyphen/>
        <w:t>нов долларов находятся в доках и складах, ожидая выхода экспортной лицен</w:t>
      </w:r>
      <w:r w:rsidRPr="00DB5D0D">
        <w:rPr>
          <w:rFonts w:ascii="Times New Roman" w:hAnsi="Times New Roman"/>
          <w:color w:val="000000" w:themeColor="text1"/>
          <w:sz w:val="16"/>
          <w:szCs w:val="16"/>
        </w:rPr>
        <w:softHyphen/>
        <w:t>зии. Насколько посол понимает, экспортные лицензии ежедневно продолжа</w:t>
      </w:r>
      <w:r w:rsidRPr="00DB5D0D">
        <w:rPr>
          <w:rFonts w:ascii="Times New Roman" w:hAnsi="Times New Roman"/>
          <w:color w:val="000000" w:themeColor="text1"/>
          <w:sz w:val="16"/>
          <w:szCs w:val="16"/>
        </w:rPr>
        <w:softHyphen/>
        <w:t>ют выдаваться на станки, предназначенные для других стран, а не для СССР. Таким образом, кажется, что Закон об экспортных лицензиях используется как оружие против советско-американской торговли.</w:t>
      </w:r>
    </w:p>
    <w:p w14:paraId="5A44001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определенном отрезке беседы Уманский сказал, что хотел бы подчер</w:t>
      </w:r>
      <w:r w:rsidRPr="00DB5D0D">
        <w:rPr>
          <w:rFonts w:ascii="Times New Roman" w:hAnsi="Times New Roman"/>
          <w:color w:val="000000" w:themeColor="text1"/>
          <w:sz w:val="16"/>
          <w:szCs w:val="16"/>
        </w:rPr>
        <w:softHyphen/>
        <w:t>кнуть те потери, которое советское правительство уже понесло и которые оно продолжает нести от так называемого морального эмбарго, наложен</w:t>
      </w:r>
      <w:r w:rsidRPr="00DB5D0D">
        <w:rPr>
          <w:rFonts w:ascii="Times New Roman" w:hAnsi="Times New Roman"/>
          <w:color w:val="000000" w:themeColor="text1"/>
          <w:sz w:val="16"/>
          <w:szCs w:val="16"/>
        </w:rPr>
        <w:softHyphen/>
        <w:t>ного американским правительством на предоставление техпомощи и экс</w:t>
      </w:r>
      <w:r w:rsidRPr="00DB5D0D">
        <w:rPr>
          <w:rFonts w:ascii="Times New Roman" w:hAnsi="Times New Roman"/>
          <w:color w:val="000000" w:themeColor="text1"/>
          <w:sz w:val="16"/>
          <w:szCs w:val="16"/>
        </w:rPr>
        <w:softHyphen/>
        <w:t>порт в СССР материалов, которые бы позволили советскому правительству расширить свою индустрию по производству авиационного бензина. Ме</w:t>
      </w:r>
      <w:r w:rsidRPr="00DB5D0D">
        <w:rPr>
          <w:rFonts w:ascii="Times New Roman" w:hAnsi="Times New Roman"/>
          <w:color w:val="000000" w:themeColor="text1"/>
          <w:sz w:val="16"/>
          <w:szCs w:val="16"/>
        </w:rPr>
        <w:softHyphen/>
        <w:t>тодика реализации этого эмбарго оказалась таковой, что работающие по контракту американские инженеры, оказывавшие помощь в конструиро</w:t>
      </w:r>
      <w:r w:rsidRPr="00DB5D0D">
        <w:rPr>
          <w:rFonts w:ascii="Times New Roman" w:hAnsi="Times New Roman"/>
          <w:color w:val="000000" w:themeColor="text1"/>
          <w:sz w:val="16"/>
          <w:szCs w:val="16"/>
        </w:rPr>
        <w:softHyphen/>
        <w:t>вании заводов авиабензина в СССР, были отозваны домой, а американские фирмы, ранее заключившие контракты с советскими организациями, были вынуждены разорвать эти соглашения. Вплоть до настоящего времени эти фирмы отказываются вернуть американских инженеров обратно в СССР для завершения создания заводов на основании того, что Госдепартамент не выдает им требуемые паспорта. Уэллес отметил, что в данном случае су</w:t>
      </w:r>
      <w:r w:rsidRPr="00DB5D0D">
        <w:rPr>
          <w:rFonts w:ascii="Times New Roman" w:hAnsi="Times New Roman"/>
          <w:color w:val="000000" w:themeColor="text1"/>
          <w:sz w:val="16"/>
          <w:szCs w:val="16"/>
        </w:rPr>
        <w:softHyphen/>
        <w:t>ществуют две проблемы - одна с эмбарго, а другая с паспортами. Уманский согласился, что их две, но отметил, что они тесно связаны между собой.</w:t>
      </w:r>
    </w:p>
    <w:p w14:paraId="7DC4B7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видим, на второй встрече проблема морального эмбарго поднима</w:t>
      </w:r>
      <w:r w:rsidRPr="00DB5D0D">
        <w:rPr>
          <w:rFonts w:ascii="Times New Roman" w:hAnsi="Times New Roman"/>
          <w:color w:val="000000" w:themeColor="text1"/>
          <w:sz w:val="16"/>
          <w:szCs w:val="16"/>
        </w:rPr>
        <w:softHyphen/>
        <w:t>лась, но решена не была.</w:t>
      </w:r>
    </w:p>
    <w:p w14:paraId="7EC312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Чрезвычайно насыщенной событиями была третья встреча, состоявшая</w:t>
      </w:r>
      <w:r w:rsidRPr="00DB5D0D">
        <w:rPr>
          <w:rFonts w:ascii="Times New Roman" w:hAnsi="Times New Roman"/>
          <w:color w:val="000000" w:themeColor="text1"/>
          <w:sz w:val="16"/>
          <w:szCs w:val="16"/>
        </w:rPr>
        <w:softHyphen/>
        <w:t>ся 07.08.1940 года и продолжавшаяся 2 часа. Она началась с вопроса о про</w:t>
      </w:r>
      <w:r w:rsidRPr="00DB5D0D">
        <w:rPr>
          <w:rFonts w:ascii="Times New Roman" w:hAnsi="Times New Roman"/>
          <w:color w:val="000000" w:themeColor="text1"/>
          <w:sz w:val="16"/>
          <w:szCs w:val="16"/>
        </w:rPr>
        <w:softHyphen/>
        <w:t>длении торгового соглашения. КА Уманский в телеграмме В.М. Молотову от 8.08.1940 года сообщил, что в ответ на поздравления С. Уэллеса по поводу продления соглашения, он добавил, «что нам не следует обольщаться, ибо со</w:t>
      </w:r>
      <w:r w:rsidRPr="00DB5D0D">
        <w:rPr>
          <w:rFonts w:ascii="Times New Roman" w:hAnsi="Times New Roman"/>
          <w:color w:val="000000" w:themeColor="text1"/>
          <w:sz w:val="16"/>
          <w:szCs w:val="16"/>
        </w:rPr>
        <w:softHyphen/>
        <w:t>глашение заключено на суженной базе, поскольку им не устранены лицензи</w:t>
      </w:r>
      <w:r w:rsidRPr="00DB5D0D">
        <w:rPr>
          <w:rFonts w:ascii="Times New Roman" w:hAnsi="Times New Roman"/>
          <w:color w:val="000000" w:themeColor="text1"/>
          <w:sz w:val="16"/>
          <w:szCs w:val="16"/>
        </w:rPr>
        <w:softHyphen/>
        <w:t>онные ограничения». Второй пункт встречи был посвящен ответу американ</w:t>
      </w:r>
      <w:r w:rsidRPr="00DB5D0D">
        <w:rPr>
          <w:rFonts w:ascii="Times New Roman" w:hAnsi="Times New Roman"/>
          <w:color w:val="000000" w:themeColor="text1"/>
          <w:sz w:val="16"/>
          <w:szCs w:val="16"/>
        </w:rPr>
        <w:softHyphen/>
        <w:t>ской стороны на вопрос о лицензиях. В соответствии с обещанием, данным советскому полпреду 2 августа, С. Уэллес вручил КА Уманскому два списка на 66 страниц, первый из которых включал перечень товаров на общую сумму 1 064 000 долларов, задержанных американским правительством, а второй -на сумму 3317 040 долларов - включал перечень товаров, на которые было разрешено выдать лицензии. КА. Уманский отмечал: «Заявил Уэллесу, что считаю его ответ по вопросу о лицензиях, означающих реквизицию около четверти наших грузов, неудовлетворительным и противоречащим завере</w:t>
      </w:r>
      <w:r w:rsidRPr="00DB5D0D">
        <w:rPr>
          <w:rFonts w:ascii="Times New Roman" w:hAnsi="Times New Roman"/>
          <w:color w:val="000000" w:themeColor="text1"/>
          <w:sz w:val="16"/>
          <w:szCs w:val="16"/>
        </w:rPr>
        <w:softHyphen/>
        <w:t>нию о желании упорядочить торговые и иные отношения и расширить базу торговли. Мне непонятно, почему при выполнении оборонной программы Американское правительство... считает необходимым выполнить эту про</w:t>
      </w:r>
      <w:r w:rsidRPr="00DB5D0D">
        <w:rPr>
          <w:rFonts w:ascii="Times New Roman" w:hAnsi="Times New Roman"/>
          <w:color w:val="000000" w:themeColor="text1"/>
          <w:sz w:val="16"/>
          <w:szCs w:val="16"/>
        </w:rPr>
        <w:softHyphen/>
        <w:t>грамму за счет советских станков, в которые уже вложены наши деньги и силы наших людей. Количественная пропорция между задерживаемым и разрешенным оборудованием представляется мне неприемлемой, что же ка</w:t>
      </w:r>
      <w:r w:rsidRPr="00DB5D0D">
        <w:rPr>
          <w:rFonts w:ascii="Times New Roman" w:hAnsi="Times New Roman"/>
          <w:color w:val="000000" w:themeColor="text1"/>
          <w:sz w:val="16"/>
          <w:szCs w:val="16"/>
        </w:rPr>
        <w:softHyphen/>
        <w:t>сается качественной, то должен посоветоваться с экспертами и только после этого буду иметь точную картину, которую передам своему правительству». Обсуждая третий пункт встречи - моральное эмбарго, в ответ на сообщение С. Уэллеса, что вопрос о нем для американского правительства «сейчас сто</w:t>
      </w:r>
      <w:r w:rsidRPr="00DB5D0D">
        <w:rPr>
          <w:rFonts w:ascii="Times New Roman" w:hAnsi="Times New Roman"/>
          <w:color w:val="000000" w:themeColor="text1"/>
          <w:sz w:val="16"/>
          <w:szCs w:val="16"/>
        </w:rPr>
        <w:softHyphen/>
        <w:t>ит по-новому», КА Уманский «заявил ему, что недостаточно заявлять об этом мне в кабинете, акты морального эмбарго были публичными, их аннулиро</w:t>
      </w:r>
      <w:r w:rsidRPr="00DB5D0D">
        <w:rPr>
          <w:rFonts w:ascii="Times New Roman" w:hAnsi="Times New Roman"/>
          <w:color w:val="000000" w:themeColor="text1"/>
          <w:sz w:val="16"/>
          <w:szCs w:val="16"/>
        </w:rPr>
        <w:softHyphen/>
        <w:t>вание в отношении СССР должно быть публичным же». Пятый пункт встре</w:t>
      </w:r>
      <w:r w:rsidRPr="00DB5D0D">
        <w:rPr>
          <w:rFonts w:ascii="Times New Roman" w:hAnsi="Times New Roman"/>
          <w:color w:val="000000" w:themeColor="text1"/>
          <w:sz w:val="16"/>
          <w:szCs w:val="16"/>
        </w:rPr>
        <w:softHyphen/>
        <w:t>чи был посвящен вопросу о режиме советских инженеров на заводах США, а конкретно - положению советской комиссии на авиамоторном заводе Райта. «Указал, что дискриминация налицо, - сообщал КА Уманский, - ибо китайские инженеры, также действующие по договору техпомощи, допуска</w:t>
      </w:r>
      <w:r w:rsidRPr="00DB5D0D">
        <w:rPr>
          <w:rFonts w:ascii="Times New Roman" w:hAnsi="Times New Roman"/>
          <w:color w:val="000000" w:themeColor="text1"/>
          <w:sz w:val="16"/>
          <w:szCs w:val="16"/>
        </w:rPr>
        <w:softHyphen/>
        <w:t>ются в цеха, без чего техпомощь - фикция» (Документы внешней политики. Т. XXIII. Кн. 1. С. 489-492).</w:t>
      </w:r>
    </w:p>
    <w:p w14:paraId="1CAA07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ключевые пункты третьей встречи советского полпреда в США с заместителем госсекретаря США касались проблемы закупок СССР в США военных материалов, в том числе и авиационных, а также контактов советских авиаспециалистов с авиапредприятиями США, затрудненных в связи с действием морального эмбарго.</w:t>
      </w:r>
    </w:p>
    <w:p w14:paraId="41EF9B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американским документам, помимо С. Уэллеса и К. Уманско-го на встрече присутствовали начальник Отдела европейских связей Рэй Аттертон и Лой Гендерсон. Советский посол прямо заявил, касаясь темы морального эмбарго, что «советская промышленность понесла серьезный ущерб в результате невозможности получения американской технической помощи для создания заводов авиабензина, прекращения поставок молиб</w:t>
      </w:r>
      <w:r w:rsidRPr="00DB5D0D">
        <w:rPr>
          <w:rFonts w:ascii="Times New Roman" w:hAnsi="Times New Roman"/>
          <w:color w:val="000000" w:themeColor="text1"/>
          <w:sz w:val="16"/>
          <w:szCs w:val="16"/>
        </w:rPr>
        <w:softHyphen/>
        <w:t>дена и невозможности получения новейших моделей американских само</w:t>
      </w:r>
      <w:r w:rsidRPr="00DB5D0D">
        <w:rPr>
          <w:rFonts w:ascii="Times New Roman" w:hAnsi="Times New Roman"/>
          <w:color w:val="000000" w:themeColor="text1"/>
          <w:sz w:val="16"/>
          <w:szCs w:val="16"/>
        </w:rPr>
        <w:softHyphen/>
        <w:t>летов, которые уже закупались в течение многих лет. Наихудшим результа</w:t>
      </w:r>
      <w:r w:rsidRPr="00DB5D0D">
        <w:rPr>
          <w:rFonts w:ascii="Times New Roman" w:hAnsi="Times New Roman"/>
          <w:color w:val="000000" w:themeColor="text1"/>
          <w:sz w:val="16"/>
          <w:szCs w:val="16"/>
        </w:rPr>
        <w:softHyphen/>
        <w:t>том морального эмбарго, однако, был тот эффект, который оно возымело на поведение американского бизнеса в советской торговле». Посол отме</w:t>
      </w:r>
      <w:r w:rsidRPr="00DB5D0D">
        <w:rPr>
          <w:rFonts w:ascii="Times New Roman" w:hAnsi="Times New Roman"/>
          <w:color w:val="000000" w:themeColor="text1"/>
          <w:sz w:val="16"/>
          <w:szCs w:val="16"/>
        </w:rPr>
        <w:softHyphen/>
        <w:t>тил трудности, с которыми встретились советские инженеры на авиацион</w:t>
      </w:r>
      <w:r w:rsidRPr="00DB5D0D">
        <w:rPr>
          <w:rFonts w:ascii="Times New Roman" w:hAnsi="Times New Roman"/>
          <w:color w:val="000000" w:themeColor="text1"/>
          <w:sz w:val="16"/>
          <w:szCs w:val="16"/>
        </w:rPr>
        <w:softHyphen/>
        <w:t>ном заводе Райта в Паттерсоне, штат Нью-Джерси.</w:t>
      </w:r>
    </w:p>
    <w:p w14:paraId="201D7B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Посол также заявил, что в течение прошлого года было отмечено бес</w:t>
      </w:r>
      <w:r w:rsidRPr="00DB5D0D">
        <w:rPr>
          <w:rFonts w:ascii="Times New Roman" w:hAnsi="Times New Roman"/>
          <w:color w:val="000000" w:themeColor="text1"/>
          <w:sz w:val="16"/>
          <w:szCs w:val="16"/>
        </w:rPr>
        <w:softHyphen/>
        <w:t>численное количество инцидентов дурного обращения с советскими граж</w:t>
      </w:r>
      <w:r w:rsidRPr="00DB5D0D">
        <w:rPr>
          <w:rFonts w:ascii="Times New Roman" w:hAnsi="Times New Roman"/>
          <w:color w:val="000000" w:themeColor="text1"/>
          <w:sz w:val="16"/>
          <w:szCs w:val="16"/>
        </w:rPr>
        <w:softHyphen/>
        <w:t>данами в США официальных властей штатов и федеральных властей. К сожалению, число этих случаев возрастает. Многие из 160 представителей Амторга, которые недавно выехали из США, сделали это из-за унижения, ко</w:t>
      </w:r>
      <w:r w:rsidRPr="00DB5D0D">
        <w:rPr>
          <w:rFonts w:ascii="Times New Roman" w:hAnsi="Times New Roman"/>
          <w:color w:val="000000" w:themeColor="text1"/>
          <w:sz w:val="16"/>
          <w:szCs w:val="16"/>
        </w:rPr>
        <w:softHyphen/>
        <w:t>торому они подвергались. Некоторые из них открыто говорили послу, что они не могут терпеть то, как с ними обращаются, и не будут жить в стране, в которой они подвергаются таким унижениям. Посол описал в деталях не</w:t>
      </w:r>
      <w:r w:rsidRPr="00DB5D0D">
        <w:rPr>
          <w:rFonts w:ascii="Times New Roman" w:hAnsi="Times New Roman"/>
          <w:color w:val="000000" w:themeColor="text1"/>
          <w:sz w:val="16"/>
          <w:szCs w:val="16"/>
        </w:rPr>
        <w:softHyphen/>
        <w:t>сколько случаев, когда советские инженеры и другие советские граждане были задержаны или арестованы по подозрению федеральными или мес</w:t>
      </w:r>
      <w:r w:rsidRPr="00DB5D0D">
        <w:rPr>
          <w:rFonts w:ascii="Times New Roman" w:hAnsi="Times New Roman"/>
          <w:color w:val="000000" w:themeColor="text1"/>
          <w:sz w:val="16"/>
          <w:szCs w:val="16"/>
        </w:rPr>
        <w:softHyphen/>
        <w:t>тными властями, подвергались обыску, причем обыск проводился в оскор</w:t>
      </w:r>
      <w:r w:rsidRPr="00DB5D0D">
        <w:rPr>
          <w:rFonts w:ascii="Times New Roman" w:hAnsi="Times New Roman"/>
          <w:color w:val="000000" w:themeColor="text1"/>
          <w:sz w:val="16"/>
          <w:szCs w:val="16"/>
        </w:rPr>
        <w:softHyphen/>
        <w:t>бительной манере. Он отметил случай ареста двух инженеров в Питтсбурге, Пенсильвания, и вспомнил недавний инцидент в Балтиморе, при котором федеральная полиция захватила и обыскала багаж советских инженеров (Это были Виктор Чичков и Виктор Корзун. Позже американские власти «замяли» дело.)и заставила одного из них промаршировать по коридорам отеля в одном нижнем белье.</w:t>
      </w:r>
    </w:p>
    <w:p w14:paraId="260676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Четвертая встреча, материалы которой в отечественном сборнике не при</w:t>
      </w:r>
      <w:r w:rsidRPr="00DB5D0D">
        <w:rPr>
          <w:rFonts w:ascii="Times New Roman" w:hAnsi="Times New Roman"/>
          <w:color w:val="000000" w:themeColor="text1"/>
          <w:sz w:val="16"/>
          <w:szCs w:val="16"/>
        </w:rPr>
        <w:softHyphen/>
        <w:t>водятся, состоялась 12 августа 1940 года. С обеих сторон участниками встречи были те же лица, что и в прошлый раз. Одним из ключевых вопросов встречи был вопрос о закупках промышленного оборудования. Советский посол отме</w:t>
      </w:r>
      <w:r w:rsidRPr="00DB5D0D">
        <w:rPr>
          <w:rFonts w:ascii="Times New Roman" w:hAnsi="Times New Roman"/>
          <w:color w:val="000000" w:themeColor="text1"/>
          <w:sz w:val="16"/>
          <w:szCs w:val="16"/>
        </w:rPr>
        <w:softHyphen/>
        <w:t>тил, что некоторые из заказанных станков находятся в США от 5 до 6 месяцев (то есть с начала весны 1940 года). Относительно оборудования, разрешен</w:t>
      </w:r>
      <w:r w:rsidRPr="00DB5D0D">
        <w:rPr>
          <w:rFonts w:ascii="Times New Roman" w:hAnsi="Times New Roman"/>
          <w:color w:val="000000" w:themeColor="text1"/>
          <w:sz w:val="16"/>
          <w:szCs w:val="16"/>
        </w:rPr>
        <w:softHyphen/>
        <w:t>ного к вывозу из США, Уманский отметил, что его состав только частично компенсирует потери СССР в миллионы долларов. Уманский спросил, воз</w:t>
      </w:r>
      <w:r w:rsidRPr="00DB5D0D">
        <w:rPr>
          <w:rFonts w:ascii="Times New Roman" w:hAnsi="Times New Roman"/>
          <w:color w:val="000000" w:themeColor="text1"/>
          <w:sz w:val="16"/>
          <w:szCs w:val="16"/>
        </w:rPr>
        <w:softHyphen/>
        <w:t>можно ли пригласить на следующую встречу мистера Лукашева - президента Амторга, который может обсудить различные технические проблемы. Уэллес ответил, что нет причин, по которым мистер Лукашев не смог бы присутс</w:t>
      </w:r>
      <w:r w:rsidRPr="00DB5D0D">
        <w:rPr>
          <w:rFonts w:ascii="Times New Roman" w:hAnsi="Times New Roman"/>
          <w:color w:val="000000" w:themeColor="text1"/>
          <w:sz w:val="16"/>
          <w:szCs w:val="16"/>
        </w:rPr>
        <w:softHyphen/>
        <w:t>твовать на встрече. Интересна в связи с этим телеграмма Госсекретаря послу США в СССР. В ней, в частности, говорилось, что в течение августа месяца была проведена серия встреч между советским послом и господином Уэллесом для решения определенных серьезных проблем, в основном коммерческой при</w:t>
      </w:r>
      <w:r w:rsidRPr="00DB5D0D">
        <w:rPr>
          <w:rFonts w:ascii="Times New Roman" w:hAnsi="Times New Roman"/>
          <w:color w:val="000000" w:themeColor="text1"/>
          <w:sz w:val="16"/>
          <w:szCs w:val="16"/>
        </w:rPr>
        <w:softHyphen/>
        <w:t>роды, в советско-американских отношениях. Хотя в некоторых случаях были получены конструктивные результаты, другие проблемы остались нерешен</w:t>
      </w:r>
      <w:r w:rsidRPr="00DB5D0D">
        <w:rPr>
          <w:rFonts w:ascii="Times New Roman" w:hAnsi="Times New Roman"/>
          <w:color w:val="000000" w:themeColor="text1"/>
          <w:sz w:val="16"/>
          <w:szCs w:val="16"/>
        </w:rPr>
        <w:softHyphen/>
        <w:t>ными. По поводу недопущения советских инженеров на авиационный завод Райта говорилось следующее: «В соответствии с требованиями посла были приняты меры в отношении этих инженеров, которые при определенных ог</w:t>
      </w:r>
      <w:r w:rsidRPr="00DB5D0D">
        <w:rPr>
          <w:rFonts w:ascii="Times New Roman" w:hAnsi="Times New Roman"/>
          <w:color w:val="000000" w:themeColor="text1"/>
          <w:sz w:val="16"/>
          <w:szCs w:val="16"/>
        </w:rPr>
        <w:softHyphen/>
        <w:t>раничениях теперь могут получить доступ к различным цехам завода с целью изучения производственных процессов. Думается, что эта проблема теперь решена в удовлетворительном виде для советского посла».</w:t>
      </w:r>
    </w:p>
    <w:p w14:paraId="60F5DE0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15.08.1940 года состоялась пятая встреча КА Уманского и С. Уэллеса, при</w:t>
      </w:r>
      <w:r w:rsidRPr="00DB5D0D">
        <w:rPr>
          <w:rFonts w:ascii="Times New Roman" w:hAnsi="Times New Roman"/>
          <w:color w:val="000000" w:themeColor="text1"/>
          <w:sz w:val="16"/>
          <w:szCs w:val="16"/>
        </w:rPr>
        <w:softHyphen/>
        <w:t>чем в торговой части переговоров с советской стороны принял участие пре</w:t>
      </w:r>
      <w:r w:rsidRPr="00DB5D0D">
        <w:rPr>
          <w:rFonts w:ascii="Times New Roman" w:hAnsi="Times New Roman"/>
          <w:color w:val="000000" w:themeColor="text1"/>
          <w:sz w:val="16"/>
          <w:szCs w:val="16"/>
        </w:rPr>
        <w:softHyphen/>
        <w:t>зидент Амторга Лукашев. С американской же стороны никаких изменений в составе участников по сравнению с предыдущей встречей не было.</w:t>
      </w:r>
    </w:p>
    <w:p w14:paraId="5353EC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Уэллес вручил КА. Уманскому списки запрещенного и разрешенного к вывозу оборудования. Из советских заявок на сумму около 15,5 млн долла</w:t>
      </w:r>
      <w:r w:rsidRPr="00DB5D0D">
        <w:rPr>
          <w:rFonts w:ascii="Times New Roman" w:hAnsi="Times New Roman"/>
          <w:color w:val="000000" w:themeColor="text1"/>
          <w:sz w:val="16"/>
          <w:szCs w:val="16"/>
        </w:rPr>
        <w:softHyphen/>
        <w:t>ров было разрешено к лицензированию товаров на сумму 7058000 долла</w:t>
      </w:r>
      <w:r w:rsidRPr="00DB5D0D">
        <w:rPr>
          <w:rFonts w:ascii="Times New Roman" w:hAnsi="Times New Roman"/>
          <w:color w:val="000000" w:themeColor="text1"/>
          <w:sz w:val="16"/>
          <w:szCs w:val="16"/>
        </w:rPr>
        <w:softHyphen/>
        <w:t>ров, то есть менее половины первоначальной суммы; на остальные заявки был либо наложен запрет (на сумму 3779000 долларов), либо они не были рассмотрены. «Последовал довольно острый обмен мнениями, не внесший ничего нового, в результате которого Уэллес констатировал, что стороны зашли в тупик», - сообщали Уманский и Лукашев в телеграмме в НКИД от 16.08.1940 года. «Не сговорились мы также по вопросу о форме снятия мо</w:t>
      </w:r>
      <w:r w:rsidRPr="00DB5D0D">
        <w:rPr>
          <w:rFonts w:ascii="Times New Roman" w:hAnsi="Times New Roman"/>
          <w:color w:val="000000" w:themeColor="text1"/>
          <w:sz w:val="16"/>
          <w:szCs w:val="16"/>
        </w:rPr>
        <w:softHyphen/>
        <w:t>рального эмбарго», - констатировали они.</w:t>
      </w:r>
    </w:p>
    <w:p w14:paraId="55A837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Подобная информация говорит об остром кризисе в советско-амери</w:t>
      </w:r>
      <w:r w:rsidRPr="00DB5D0D">
        <w:rPr>
          <w:rFonts w:ascii="Times New Roman" w:hAnsi="Times New Roman"/>
          <w:color w:val="000000" w:themeColor="text1"/>
          <w:sz w:val="16"/>
          <w:szCs w:val="16"/>
        </w:rPr>
        <w:softHyphen/>
        <w:t>канских торгово-экономических контактах, касающихся прежде всего во</w:t>
      </w:r>
      <w:r w:rsidRPr="00DB5D0D">
        <w:rPr>
          <w:rFonts w:ascii="Times New Roman" w:hAnsi="Times New Roman"/>
          <w:color w:val="000000" w:themeColor="text1"/>
          <w:sz w:val="16"/>
          <w:szCs w:val="16"/>
        </w:rPr>
        <w:softHyphen/>
        <w:t>енной области и, в частности, области авиации. В течение почти двух меся</w:t>
      </w:r>
      <w:r w:rsidRPr="00DB5D0D">
        <w:rPr>
          <w:rFonts w:ascii="Times New Roman" w:hAnsi="Times New Roman"/>
          <w:color w:val="000000" w:themeColor="text1"/>
          <w:sz w:val="16"/>
          <w:szCs w:val="16"/>
        </w:rPr>
        <w:softHyphen/>
        <w:t>цев эти встречи не проводились. Переговоры прервались из-за значитель</w:t>
      </w:r>
      <w:r w:rsidRPr="00DB5D0D">
        <w:rPr>
          <w:rFonts w:ascii="Times New Roman" w:hAnsi="Times New Roman"/>
          <w:color w:val="000000" w:themeColor="text1"/>
          <w:sz w:val="16"/>
          <w:szCs w:val="16"/>
        </w:rPr>
        <w:softHyphen/>
        <w:t>ного расхождения в позициях сторон. Фактически экономические отноше</w:t>
      </w:r>
      <w:r w:rsidRPr="00DB5D0D">
        <w:rPr>
          <w:rFonts w:ascii="Times New Roman" w:hAnsi="Times New Roman"/>
          <w:color w:val="000000" w:themeColor="text1"/>
          <w:sz w:val="16"/>
          <w:szCs w:val="16"/>
        </w:rPr>
        <w:softHyphen/>
        <w:t>ния оставались в это время замороженными. Только в октябре переговоры были возобновлены.</w:t>
      </w:r>
    </w:p>
    <w:p w14:paraId="315B3B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21 / 64 - ОП от 5 октября 1940 года «Вопрос НКВТ» утверждался проект ответной телеграммы К Уманскому (в Вашингтон) и К Лукашеву (в Нью-Йорк) в связи с их переговорами с С. Уэл</w:t>
      </w:r>
      <w:r w:rsidRPr="00DB5D0D">
        <w:rPr>
          <w:rFonts w:ascii="Times New Roman" w:hAnsi="Times New Roman"/>
          <w:color w:val="000000" w:themeColor="text1"/>
          <w:sz w:val="16"/>
          <w:szCs w:val="16"/>
        </w:rPr>
        <w:softHyphen/>
        <w:t>лесом по торговым вопросам. В этом тексте говорилось, что по вопросу о лицензиях на станки Госдепартаменту необходимо было передать сооб</w:t>
      </w:r>
      <w:r w:rsidRPr="00DB5D0D">
        <w:rPr>
          <w:rFonts w:ascii="Times New Roman" w:hAnsi="Times New Roman"/>
          <w:color w:val="000000" w:themeColor="text1"/>
          <w:sz w:val="16"/>
          <w:szCs w:val="16"/>
        </w:rPr>
        <w:softHyphen/>
        <w:t>щение из шести пунктов. В пункте первом сообщалось о том, что советс</w:t>
      </w:r>
      <w:r w:rsidRPr="00DB5D0D">
        <w:rPr>
          <w:rFonts w:ascii="Times New Roman" w:hAnsi="Times New Roman"/>
          <w:color w:val="000000" w:themeColor="text1"/>
          <w:sz w:val="16"/>
          <w:szCs w:val="16"/>
        </w:rPr>
        <w:softHyphen/>
        <w:t>кое правительство считает, что Указ от 6 июля 1940 года не должен иметь применения к советским заказам, которые были выданы фирмам до его опубликования. Подчеркивалось, что применение Указа есть частичное аннулирование торгового соглашения США и СССР. В пунктах 2-5 указыва</w:t>
      </w:r>
      <w:r w:rsidRPr="00DB5D0D">
        <w:rPr>
          <w:rFonts w:ascii="Times New Roman" w:hAnsi="Times New Roman"/>
          <w:color w:val="000000" w:themeColor="text1"/>
          <w:sz w:val="16"/>
          <w:szCs w:val="16"/>
        </w:rPr>
        <w:softHyphen/>
        <w:t>лось, что советская сторона частично согласна отказаться от вывоза части станков, на которые нет лицензий. Также ставился вопрос о компенсации. Пункт шестой проекта гласил: «Все лицензии на вывоз, выдаваемые Пра</w:t>
      </w:r>
      <w:r w:rsidRPr="00DB5D0D">
        <w:rPr>
          <w:rFonts w:ascii="Times New Roman" w:hAnsi="Times New Roman"/>
          <w:color w:val="000000" w:themeColor="text1"/>
          <w:sz w:val="16"/>
          <w:szCs w:val="16"/>
        </w:rPr>
        <w:softHyphen/>
        <w:t>вительством США по размещенным советским заказам на станки и другие предметы и по заказам, которые будут размещены, не могут быть аннулиро</w:t>
      </w:r>
      <w:r w:rsidRPr="00DB5D0D">
        <w:rPr>
          <w:rFonts w:ascii="Times New Roman" w:hAnsi="Times New Roman"/>
          <w:color w:val="000000" w:themeColor="text1"/>
          <w:sz w:val="16"/>
          <w:szCs w:val="16"/>
        </w:rPr>
        <w:softHyphen/>
        <w:t xml:space="preserve">ваны». В тексте подчеркивалось: </w:t>
      </w:r>
      <w:r w:rsidRPr="00DB5D0D">
        <w:rPr>
          <w:rFonts w:ascii="Times New Roman" w:hAnsi="Times New Roman"/>
          <w:color w:val="000000" w:themeColor="text1"/>
          <w:sz w:val="16"/>
          <w:szCs w:val="16"/>
        </w:rPr>
        <w:lastRenderedPageBreak/>
        <w:t>«Обращаем Ваше внимание на то, что, как видно из содержания пунктов первого и шестого, они относятся не только к станкам, но и к другому оборудованию». Проект ответной телеграммы был подписан В.М. Молотовым и А.И. Микояном.</w:t>
      </w:r>
    </w:p>
    <w:p w14:paraId="1403CD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7.10.1940 года К А Уманским была отправлена телеграмма В.М. Молотову с сообщением о его шестой встрече с С. Уэллесом, имевшей место в тот же день. «В устной форме я точно передал ему порученное вами заявление», -сообщал КА Уманский. В данном заявлении в первую очередь вопрос шел о задержанных станках. «Уэллес заявил, что он рассчитывает, что сможет скоро передать мне решение Американского правительства по предложе</w:t>
      </w:r>
      <w:r w:rsidRPr="00DB5D0D">
        <w:rPr>
          <w:rFonts w:ascii="Times New Roman" w:hAnsi="Times New Roman"/>
          <w:color w:val="000000" w:themeColor="text1"/>
          <w:sz w:val="16"/>
          <w:szCs w:val="16"/>
        </w:rPr>
        <w:softHyphen/>
        <w:t>ниям советского правительства о станках. Вопроса «морального» эмбарго и других нерешенных вопросов, фигурировавших в переговорах, ни Уэллес, ни я сегодня не касались», - подводил Уманский итоги своей встречи. При</w:t>
      </w:r>
      <w:r w:rsidRPr="00DB5D0D">
        <w:rPr>
          <w:rFonts w:ascii="Times New Roman" w:hAnsi="Times New Roman"/>
          <w:color w:val="000000" w:themeColor="text1"/>
          <w:sz w:val="16"/>
          <w:szCs w:val="16"/>
        </w:rPr>
        <w:softHyphen/>
        <w:t>мечательно, что на документе рукою В.М. Молотова была сделана пометка, свидетельствующая о том внимании, которое уделялось советским прави</w:t>
      </w:r>
      <w:r w:rsidRPr="00DB5D0D">
        <w:rPr>
          <w:rFonts w:ascii="Times New Roman" w:hAnsi="Times New Roman"/>
          <w:color w:val="000000" w:themeColor="text1"/>
          <w:sz w:val="16"/>
          <w:szCs w:val="16"/>
        </w:rPr>
        <w:softHyphen/>
        <w:t>тельством ходу переговоров с американской стороной: «Тов. Шлякову. Где задержалась телеграмма с 7 по 9 октября? В. Молотов».</w:t>
      </w:r>
    </w:p>
    <w:p w14:paraId="70FD8E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Материалы седьмой и восьмой встречи в отечественном сборнике от</w:t>
      </w:r>
      <w:r w:rsidRPr="00DB5D0D">
        <w:rPr>
          <w:rFonts w:ascii="Times New Roman" w:hAnsi="Times New Roman"/>
          <w:color w:val="000000" w:themeColor="text1"/>
          <w:sz w:val="16"/>
          <w:szCs w:val="16"/>
        </w:rPr>
        <w:softHyphen/>
        <w:t>сутствуют. В американских документах нет материалов восьмой встречи, но наличествуют материалы встречи советского полпреда с американски</w:t>
      </w:r>
      <w:r w:rsidRPr="00DB5D0D">
        <w:rPr>
          <w:rFonts w:ascii="Times New Roman" w:hAnsi="Times New Roman"/>
          <w:color w:val="000000" w:themeColor="text1"/>
          <w:sz w:val="16"/>
          <w:szCs w:val="16"/>
        </w:rPr>
        <w:softHyphen/>
        <w:t>ми представителями, состоявшейся 15 октября 1939 года. Встреча прошла без участия Уэллеса. С американской стороны присутствовали Аттертон и Эдвард Пейдж из Отдела европейских связей</w:t>
      </w:r>
      <w:r w:rsidRPr="00DB5D0D">
        <w:rPr>
          <w:rFonts w:ascii="Times New Roman" w:hAnsi="Times New Roman"/>
          <w:color w:val="000000" w:themeColor="text1"/>
          <w:sz w:val="16"/>
          <w:szCs w:val="16"/>
          <w:vertAlign w:val="superscript"/>
        </w:rPr>
        <w:t>108</w:t>
      </w:r>
      <w:r w:rsidRPr="00DB5D0D">
        <w:rPr>
          <w:rFonts w:ascii="Times New Roman" w:hAnsi="Times New Roman"/>
          <w:color w:val="000000" w:themeColor="text1"/>
          <w:sz w:val="16"/>
          <w:szCs w:val="16"/>
        </w:rPr>
        <w:t>. На этой встрече затраги</w:t>
      </w:r>
      <w:r w:rsidRPr="00DB5D0D">
        <w:rPr>
          <w:rFonts w:ascii="Times New Roman" w:hAnsi="Times New Roman"/>
          <w:color w:val="000000" w:themeColor="text1"/>
          <w:sz w:val="16"/>
          <w:szCs w:val="16"/>
        </w:rPr>
        <w:softHyphen/>
        <w:t>вались разные вопросы. Уманский, в частности, потребовал расследовать дело о заявке на экспорт катализатора для крекинга на сумму 74 тысячи долларов. С этим делом американская сторона обещала разобраться.</w:t>
      </w:r>
    </w:p>
    <w:p w14:paraId="4A5077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Девятая встреча КА Уманского с С. Уэллесом и рядом американских представителей (Аттертоном, полковником Максуэллом, Пейджем) состо</w:t>
      </w:r>
      <w:r w:rsidRPr="00DB5D0D">
        <w:rPr>
          <w:rFonts w:ascii="Times New Roman" w:hAnsi="Times New Roman"/>
          <w:color w:val="000000" w:themeColor="text1"/>
          <w:sz w:val="16"/>
          <w:szCs w:val="16"/>
        </w:rPr>
        <w:softHyphen/>
        <w:t>ялась 24.10.1940 года. С советской стороны присутствовали также Лукашев (на первой части беседы) и Сельдяков.</w:t>
      </w:r>
    </w:p>
    <w:p w14:paraId="0C0924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советским источникам, С. Уэллес вручил КА Уманскому список, из которого следовало: из числа станков и оборудования на сумму 2001000 долларов, изготовленных по заказу СССР, но реквизированных американской стороной, освобождалось заказов на сумму 489000 долларов. «Иными слова</w:t>
      </w:r>
      <w:r w:rsidRPr="00DB5D0D">
        <w:rPr>
          <w:rFonts w:ascii="Times New Roman" w:hAnsi="Times New Roman"/>
          <w:color w:val="000000" w:themeColor="text1"/>
          <w:sz w:val="16"/>
          <w:szCs w:val="16"/>
        </w:rPr>
        <w:softHyphen/>
        <w:t>ми, - констатировал КА Уманский в телеграмме В.М. Молотову и АИ. Мико</w:t>
      </w:r>
      <w:r w:rsidRPr="00DB5D0D">
        <w:rPr>
          <w:rFonts w:ascii="Times New Roman" w:hAnsi="Times New Roman"/>
          <w:color w:val="000000" w:themeColor="text1"/>
          <w:sz w:val="16"/>
          <w:szCs w:val="16"/>
        </w:rPr>
        <w:softHyphen/>
        <w:t>яну от 24.10.1940 года, - Американское правительство освободило в ценнос</w:t>
      </w:r>
      <w:r w:rsidRPr="00DB5D0D">
        <w:rPr>
          <w:rFonts w:ascii="Times New Roman" w:hAnsi="Times New Roman"/>
          <w:color w:val="000000" w:themeColor="text1"/>
          <w:sz w:val="16"/>
          <w:szCs w:val="16"/>
        </w:rPr>
        <w:softHyphen/>
        <w:t>тном выражении на этот раз одну четверть изготовленного оборудования, реквизировав основное». Касаясь запрещенного к вывозу оборудования, он отмечал: «В число реквизированных станков вошли в основном тяжелые и резьбо-фрезерные станки. По машиноимпорту... реквизированы правильные валки и один гидропресс «Фаррель-Бирмингхэм». В лицензиях на авиачасти отказано». КА Уманский подчеркнул: «Я и Лукашев выразили наше глубокое неудовлетворение этим списком. ..Я заявил, что доложу Советскому прави</w:t>
      </w:r>
      <w:r w:rsidRPr="00DB5D0D">
        <w:rPr>
          <w:rFonts w:ascii="Times New Roman" w:hAnsi="Times New Roman"/>
          <w:color w:val="000000" w:themeColor="text1"/>
          <w:sz w:val="16"/>
          <w:szCs w:val="16"/>
        </w:rPr>
        <w:softHyphen/>
        <w:t>тельству о неудовлетворительном решении Американского правительства по вопросу об изготовленном оборудовании, указав, что решение противоречит и его, Уэллеса, заверениям при прошлой встрече (речь идет о восьмой встрече, состоявшейся между 7.10 и 24.10.1940 года, информации о которой в сборни</w:t>
      </w:r>
      <w:r w:rsidRPr="00DB5D0D">
        <w:rPr>
          <w:rFonts w:ascii="Times New Roman" w:hAnsi="Times New Roman"/>
          <w:color w:val="000000" w:themeColor="text1"/>
          <w:sz w:val="16"/>
          <w:szCs w:val="16"/>
        </w:rPr>
        <w:softHyphen/>
        <w:t>ке не приводится. - Прим. авт), и его сегодняшнему заявлению о стремлении Американского правительства «максимально» учитывать интересы Советско</w:t>
      </w:r>
      <w:r w:rsidRPr="00DB5D0D">
        <w:rPr>
          <w:rFonts w:ascii="Times New Roman" w:hAnsi="Times New Roman"/>
          <w:color w:val="000000" w:themeColor="text1"/>
          <w:sz w:val="16"/>
          <w:szCs w:val="16"/>
        </w:rPr>
        <w:softHyphen/>
        <w:t>го правительства». Во время дальнейшей полемики с С. Уэллесом КА Уманский настаивал на этой точке зрения - «как пример того состояния неопределен</w:t>
      </w:r>
      <w:r w:rsidRPr="00DB5D0D">
        <w:rPr>
          <w:rFonts w:ascii="Times New Roman" w:hAnsi="Times New Roman"/>
          <w:color w:val="000000" w:themeColor="text1"/>
          <w:sz w:val="16"/>
          <w:szCs w:val="16"/>
        </w:rPr>
        <w:softHyphen/>
        <w:t>ности, которое мешает развитию торговли, привел вопрос о каталитическом крекинговом оборудовании, по которому не могу получить ясного ответа, хотя возвращаюсь к нему третий раз» (Уманский, в частности, поднимал вопрос об этом оборудовании еще во время второй встречи, происходившей 1.08.1940 года, то есть почти три месяца назад.).</w:t>
      </w:r>
    </w:p>
    <w:p w14:paraId="55C200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крекинговом оборудовании был поднят сразу же во второй час</w:t>
      </w:r>
      <w:r w:rsidRPr="00DB5D0D">
        <w:rPr>
          <w:rFonts w:ascii="Times New Roman" w:hAnsi="Times New Roman"/>
          <w:color w:val="000000" w:themeColor="text1"/>
          <w:sz w:val="16"/>
          <w:szCs w:val="16"/>
        </w:rPr>
        <w:softHyphen/>
        <w:t>ти беседы, проходившей уже без участия Лукашева и полковника Максуэлла с американской стороны. По этому поводу С Уэллес заявил, что «американское правительство в принципе не возражает против изготовления этого оборудо</w:t>
      </w:r>
      <w:r w:rsidRPr="00DB5D0D">
        <w:rPr>
          <w:rFonts w:ascii="Times New Roman" w:hAnsi="Times New Roman"/>
          <w:color w:val="000000" w:themeColor="text1"/>
          <w:sz w:val="16"/>
          <w:szCs w:val="16"/>
        </w:rPr>
        <w:softHyphen/>
        <w:t>вания фирмой Келлога для СССР», но первой важной предпосылкой для офор</w:t>
      </w:r>
      <w:r w:rsidRPr="00DB5D0D">
        <w:rPr>
          <w:rFonts w:ascii="Times New Roman" w:hAnsi="Times New Roman"/>
          <w:color w:val="000000" w:themeColor="text1"/>
          <w:sz w:val="16"/>
          <w:szCs w:val="16"/>
        </w:rPr>
        <w:softHyphen/>
        <w:t>мления этого разрешения должно стать «снятие морального эмбарго, которое распространяется на оборудование по производству высокооктанового бен</w:t>
      </w:r>
      <w:r w:rsidRPr="00DB5D0D">
        <w:rPr>
          <w:rFonts w:ascii="Times New Roman" w:hAnsi="Times New Roman"/>
          <w:color w:val="000000" w:themeColor="text1"/>
          <w:sz w:val="16"/>
          <w:szCs w:val="16"/>
        </w:rPr>
        <w:softHyphen/>
        <w:t>зина»; после того как в переговорах будет достигнуто соглашение по вопро</w:t>
      </w:r>
      <w:r w:rsidRPr="00DB5D0D">
        <w:rPr>
          <w:rFonts w:ascii="Times New Roman" w:hAnsi="Times New Roman"/>
          <w:color w:val="000000" w:themeColor="text1"/>
          <w:sz w:val="16"/>
          <w:szCs w:val="16"/>
        </w:rPr>
        <w:softHyphen/>
        <w:t>сам, фигурировавшим в этих переговорах, и, как отметил С. Уэллес, «в случае, если тем временем в международной обстановке не произойдет ничего не</w:t>
      </w:r>
      <w:r w:rsidRPr="00DB5D0D">
        <w:rPr>
          <w:rFonts w:ascii="Times New Roman" w:hAnsi="Times New Roman"/>
          <w:color w:val="000000" w:themeColor="text1"/>
          <w:sz w:val="16"/>
          <w:szCs w:val="16"/>
        </w:rPr>
        <w:softHyphen/>
        <w:t>предвиденного», американское правительство «готово завершить переговоры публичным заявлением о том, что причины, вызвавшие введение морального эмбарго, в отношении СССР отпали». Уманский отметил ряд неопределенных формулировок в заявлении Уэллеса, включая «оговорку о «непредвиденных» событиях». В заключение встречи С. Уэллес «предложил встретиться с ним 28 октября для разработки проектов нотами по остальным вопросам».</w:t>
      </w:r>
    </w:p>
    <w:p w14:paraId="0E9826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Подробных американских материалов об этой встрече нет. Имеющийся советский документ о ней дает важную информацию о состоянии советско-американских торгово-экономических контактов, в первую очередь в военной области (о чем, в частности, свидетельствует присутствие на переговорах пред</w:t>
      </w:r>
      <w:r w:rsidRPr="00DB5D0D">
        <w:rPr>
          <w:rFonts w:ascii="Times New Roman" w:hAnsi="Times New Roman"/>
          <w:color w:val="000000" w:themeColor="text1"/>
          <w:sz w:val="16"/>
          <w:szCs w:val="16"/>
        </w:rPr>
        <w:softHyphen/>
        <w:t>ставителя американских вооруженных сил), по состоянию на конец октября 1940 года. С одной стороны, налицо отрицательное действие американских санкций, включая и моральное эмбарго, на поставки в СССР целой гаммы обору</w:t>
      </w:r>
      <w:r w:rsidRPr="00DB5D0D">
        <w:rPr>
          <w:rFonts w:ascii="Times New Roman" w:hAnsi="Times New Roman"/>
          <w:color w:val="000000" w:themeColor="text1"/>
          <w:sz w:val="16"/>
          <w:szCs w:val="16"/>
        </w:rPr>
        <w:softHyphen/>
        <w:t>дования, готовых частей и технологии, необходимых для производства и функ</w:t>
      </w:r>
      <w:r w:rsidRPr="00DB5D0D">
        <w:rPr>
          <w:rFonts w:ascii="Times New Roman" w:hAnsi="Times New Roman"/>
          <w:color w:val="000000" w:themeColor="text1"/>
          <w:sz w:val="16"/>
          <w:szCs w:val="16"/>
        </w:rPr>
        <w:softHyphen/>
        <w:t>ционирования авиации (станки, авиачасти, крекинговое оборудование для про</w:t>
      </w:r>
      <w:r w:rsidRPr="00DB5D0D">
        <w:rPr>
          <w:rFonts w:ascii="Times New Roman" w:hAnsi="Times New Roman"/>
          <w:color w:val="000000" w:themeColor="text1"/>
          <w:sz w:val="16"/>
          <w:szCs w:val="16"/>
        </w:rPr>
        <w:softHyphen/>
        <w:t>изводства высокооктанового авиабензина). С другой стороны, американскими представителями отмечается не только вероятность поставок в СССР, в частнос</w:t>
      </w:r>
      <w:r w:rsidRPr="00DB5D0D">
        <w:rPr>
          <w:rFonts w:ascii="Times New Roman" w:hAnsi="Times New Roman"/>
          <w:color w:val="000000" w:themeColor="text1"/>
          <w:sz w:val="16"/>
          <w:szCs w:val="16"/>
        </w:rPr>
        <w:softHyphen/>
        <w:t>ти, крекингового оборудования, но и возможность в этом случае (пусть даже и со множеством оговорок) отмены как такового морального эмбарго, блокиру</w:t>
      </w:r>
      <w:r w:rsidRPr="00DB5D0D">
        <w:rPr>
          <w:rFonts w:ascii="Times New Roman" w:hAnsi="Times New Roman"/>
          <w:color w:val="000000" w:themeColor="text1"/>
          <w:sz w:val="16"/>
          <w:szCs w:val="16"/>
        </w:rPr>
        <w:softHyphen/>
        <w:t>ющего эту и множество других заявок Приходится также констатировать, что моральное эмбарго, действующее на момент этой встречи почти 11 месяцев и не отмененное до сих пор, уже сумело нанести существенный ущерб оборонос</w:t>
      </w:r>
      <w:r w:rsidRPr="00DB5D0D">
        <w:rPr>
          <w:rFonts w:ascii="Times New Roman" w:hAnsi="Times New Roman"/>
          <w:color w:val="000000" w:themeColor="text1"/>
          <w:sz w:val="16"/>
          <w:szCs w:val="16"/>
        </w:rPr>
        <w:softHyphen/>
        <w:t>пособности СССР вообще и в области военной авиации в частности.</w:t>
      </w:r>
    </w:p>
    <w:p w14:paraId="7E0043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Десятая встреча Уманского с Уэллесом, на которой больше никто не присутствовал ни с советской, ни с американской стороны, состоялась 1.11.1940 года. Уэллес констатировал достижение по ряду вопросов в резуль</w:t>
      </w:r>
      <w:r w:rsidRPr="00DB5D0D">
        <w:rPr>
          <w:rFonts w:ascii="Times New Roman" w:hAnsi="Times New Roman"/>
          <w:color w:val="000000" w:themeColor="text1"/>
          <w:sz w:val="16"/>
          <w:szCs w:val="16"/>
        </w:rPr>
        <w:softHyphen/>
        <w:t>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DB5D0D">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DB5D0D">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DB5D0D">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6B24FF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же, по сравнению с предшествующей встречей, десятая не вне</w:t>
      </w:r>
      <w:r w:rsidRPr="00DB5D0D">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0570A4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DB5D0D">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DB5D0D">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4D6E2A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DB5D0D">
        <w:rPr>
          <w:rFonts w:ascii="Times New Roman" w:hAnsi="Times New Roman"/>
          <w:color w:val="000000" w:themeColor="text1"/>
          <w:sz w:val="16"/>
          <w:szCs w:val="16"/>
        </w:rPr>
        <w:softHyphen/>
        <w:t>ках и машинах. Уманский выразил недовольство результатами работы ко</w:t>
      </w:r>
      <w:r w:rsidRPr="00DB5D0D">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DB5D0D">
        <w:rPr>
          <w:rFonts w:ascii="Times New Roman" w:hAnsi="Times New Roman"/>
          <w:color w:val="000000" w:themeColor="text1"/>
          <w:sz w:val="16"/>
          <w:szCs w:val="16"/>
        </w:rPr>
        <w:softHyphen/>
        <w:t>кого правительства, переданных мною Уэллесу 7 октября. Уэллес отве</w:t>
      </w:r>
      <w:r w:rsidRPr="00DB5D0D">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DB5D0D">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DB5D0D">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DB5D0D">
        <w:rPr>
          <w:rFonts w:ascii="Times New Roman" w:hAnsi="Times New Roman"/>
          <w:color w:val="000000" w:themeColor="text1"/>
          <w:sz w:val="16"/>
          <w:szCs w:val="16"/>
        </w:rPr>
        <w:softHyphen/>
        <w:t>на на заводе Райта; несмотря на обещание его, Уэллеса, о допуске к озна</w:t>
      </w:r>
      <w:r w:rsidRPr="00DB5D0D">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DB5D0D">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DB5D0D">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DB5D0D">
        <w:rPr>
          <w:rFonts w:ascii="Times New Roman" w:hAnsi="Times New Roman"/>
          <w:color w:val="000000" w:themeColor="text1"/>
          <w:sz w:val="16"/>
          <w:szCs w:val="16"/>
        </w:rPr>
        <w:softHyphen/>
        <w:t>ведки при заводе, в которой последний, игнорируя договор о техничес</w:t>
      </w:r>
      <w:r w:rsidRPr="00DB5D0D">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DB5D0D">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DB5D0D">
        <w:rPr>
          <w:rFonts w:ascii="Times New Roman" w:hAnsi="Times New Roman"/>
          <w:color w:val="000000" w:themeColor="text1"/>
          <w:sz w:val="16"/>
          <w:szCs w:val="16"/>
          <w:vertAlign w:val="superscript"/>
        </w:rPr>
        <w:t>115</w:t>
      </w:r>
      <w:r w:rsidRPr="00DB5D0D">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16634F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декабря состоялась 12-я встреча с Уэллесом, длившаяся 2 часа», - со</w:t>
      </w:r>
      <w:r w:rsidRPr="00DB5D0D">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DB5D0D">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DB5D0D">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DB5D0D">
        <w:rPr>
          <w:rFonts w:ascii="Times New Roman" w:hAnsi="Times New Roman"/>
          <w:color w:val="000000" w:themeColor="text1"/>
          <w:sz w:val="16"/>
          <w:szCs w:val="16"/>
        </w:rPr>
        <w:softHyphen/>
        <w:t>ны США. В пересмотре списка участвовали представители промышленнос</w:t>
      </w:r>
      <w:r w:rsidRPr="00DB5D0D">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DB5D0D">
        <w:rPr>
          <w:rFonts w:ascii="Times New Roman" w:hAnsi="Times New Roman"/>
          <w:color w:val="000000" w:themeColor="text1"/>
          <w:sz w:val="16"/>
          <w:szCs w:val="16"/>
        </w:rPr>
        <w:softHyphen/>
        <w:t>ти, авиационной, морской и артиллерийской, в этом оборудовании, аме</w:t>
      </w:r>
      <w:r w:rsidRPr="00DB5D0D">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DB5D0D">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DB5D0D">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DB5D0D">
        <w:rPr>
          <w:rFonts w:ascii="Times New Roman" w:hAnsi="Times New Roman"/>
          <w:color w:val="000000" w:themeColor="text1"/>
          <w:sz w:val="16"/>
          <w:szCs w:val="16"/>
        </w:rPr>
        <w:softHyphen/>
        <w:t xml:space="preserve">ходящихся в производстве, американское правительство сочло возможным лицензировать на экспорт </w:t>
      </w:r>
      <w:r w:rsidRPr="00DB5D0D">
        <w:rPr>
          <w:rFonts w:ascii="Times New Roman" w:hAnsi="Times New Roman"/>
          <w:color w:val="000000" w:themeColor="text1"/>
          <w:sz w:val="16"/>
          <w:szCs w:val="16"/>
        </w:rPr>
        <w:lastRenderedPageBreak/>
        <w:t>советских заказов на сумму 495 тысяч долларов. К.А. Уманский ответил, что передаст эту информацию советскому прави</w:t>
      </w:r>
      <w:r w:rsidRPr="00DB5D0D">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DB5D0D">
        <w:rPr>
          <w:rFonts w:ascii="Times New Roman" w:hAnsi="Times New Roman"/>
          <w:color w:val="000000" w:themeColor="text1"/>
          <w:sz w:val="16"/>
          <w:szCs w:val="16"/>
        </w:rPr>
        <w:softHyphen/>
        <w:t>тельство освобождает лишь около 60% принятого и в основном отгружен</w:t>
      </w:r>
      <w:r w:rsidRPr="00DB5D0D">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DB5D0D">
        <w:rPr>
          <w:rFonts w:ascii="Times New Roman" w:hAnsi="Times New Roman"/>
          <w:color w:val="000000" w:themeColor="text1"/>
          <w:sz w:val="16"/>
          <w:szCs w:val="16"/>
        </w:rPr>
        <w:softHyphen/>
        <w:t>ких заказов, находящихся в производстве, К.А. Уманский подчеркнул: «Кон</w:t>
      </w:r>
      <w:r w:rsidRPr="00DB5D0D">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DB5D0D">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DB5D0D">
        <w:rPr>
          <w:rFonts w:ascii="Times New Roman" w:hAnsi="Times New Roman"/>
          <w:color w:val="000000" w:themeColor="text1"/>
          <w:sz w:val="16"/>
          <w:szCs w:val="16"/>
        </w:rPr>
        <w:softHyphen/>
        <w:t>листы видят оборонный характер освобожденных станков и машин, вклю</w:t>
      </w:r>
      <w:r w:rsidRPr="00DB5D0D">
        <w:rPr>
          <w:rFonts w:ascii="Times New Roman" w:hAnsi="Times New Roman"/>
          <w:color w:val="000000" w:themeColor="text1"/>
          <w:sz w:val="16"/>
          <w:szCs w:val="16"/>
        </w:rPr>
        <w:softHyphen/>
        <w:t>чающих тяжелые станки, снарядные прессы, авиамоторы и т.д., безуслов</w:t>
      </w:r>
      <w:r w:rsidRPr="00DB5D0D">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DB5D0D">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DB5D0D">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7AE4E1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DB5D0D">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DB5D0D">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DB5D0D">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DB5D0D">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DB5D0D">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DB5D0D">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DB5D0D">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DB5D0D">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DB5D0D">
        <w:rPr>
          <w:rFonts w:ascii="Times New Roman" w:hAnsi="Times New Roman"/>
          <w:color w:val="000000" w:themeColor="text1"/>
          <w:sz w:val="16"/>
          <w:szCs w:val="16"/>
        </w:rPr>
        <w:softHyphen/>
        <w:t>роительной и машиностроительной промышленности это исключают».</w:t>
      </w:r>
    </w:p>
    <w:p w14:paraId="399AD1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Пятый вопрос встречи касался поездок в СССР американских специалис</w:t>
      </w:r>
      <w:r w:rsidRPr="00DB5D0D">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DB5D0D">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DB5D0D">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DB5D0D">
        <w:rPr>
          <w:rFonts w:ascii="Times New Roman" w:hAnsi="Times New Roman"/>
          <w:color w:val="000000" w:themeColor="text1"/>
          <w:sz w:val="16"/>
          <w:szCs w:val="16"/>
          <w:vertAlign w:val="superscript"/>
        </w:rPr>
        <w:t>118</w:t>
      </w:r>
      <w:r w:rsidRPr="00DB5D0D">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03720E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DB5D0D">
        <w:rPr>
          <w:rFonts w:ascii="Times New Roman" w:hAnsi="Times New Roman"/>
          <w:color w:val="000000" w:themeColor="text1"/>
          <w:sz w:val="16"/>
          <w:szCs w:val="16"/>
          <w:vertAlign w:val="superscript"/>
        </w:rPr>
        <w:t>119</w:t>
      </w:r>
      <w:r w:rsidRPr="00DB5D0D">
        <w:rPr>
          <w:rFonts w:ascii="Times New Roman" w:hAnsi="Times New Roman"/>
          <w:color w:val="000000" w:themeColor="text1"/>
          <w:sz w:val="16"/>
          <w:szCs w:val="16"/>
        </w:rPr>
        <w:t>.</w:t>
      </w:r>
    </w:p>
    <w:p w14:paraId="499707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Телеграмма Уманского от 17.12.1940 года, вероятно, является самым важ</w:t>
      </w:r>
      <w:r w:rsidRPr="00DB5D0D">
        <w:rPr>
          <w:rFonts w:ascii="Times New Roman" w:hAnsi="Times New Roman"/>
          <w:color w:val="000000" w:themeColor="text1"/>
          <w:sz w:val="16"/>
          <w:szCs w:val="16"/>
        </w:rPr>
        <w:softHyphen/>
        <w:t>ным документом, освещающим переговоры советского полпреда с замес</w:t>
      </w:r>
      <w:r w:rsidRPr="00DB5D0D">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DB5D0D">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DB5D0D">
        <w:rPr>
          <w:rFonts w:ascii="Times New Roman" w:hAnsi="Times New Roman"/>
          <w:color w:val="000000" w:themeColor="text1"/>
          <w:sz w:val="16"/>
          <w:szCs w:val="16"/>
        </w:rPr>
        <w:softHyphen/>
        <w:t>ных советско-американских переговоров, проводившихся в 1940 году в пе</w:t>
      </w:r>
      <w:r w:rsidRPr="00DB5D0D">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DB5D0D">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DB5D0D">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4204BF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Американская сторона отразила ход переговоров встречи в Меморанду</w:t>
      </w:r>
      <w:r w:rsidRPr="00DB5D0D">
        <w:rPr>
          <w:rFonts w:ascii="Times New Roman" w:hAnsi="Times New Roman"/>
          <w:color w:val="000000" w:themeColor="text1"/>
          <w:sz w:val="16"/>
          <w:szCs w:val="16"/>
        </w:rPr>
        <w:softHyphen/>
        <w:t>ме о переговорах, составленном Гендерсоном 16 декабря 1940 года. С аме</w:t>
      </w:r>
      <w:r w:rsidRPr="00DB5D0D">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DB5D0D">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DB5D0D">
        <w:rPr>
          <w:rFonts w:ascii="Times New Roman" w:hAnsi="Times New Roman"/>
          <w:color w:val="000000" w:themeColor="text1"/>
          <w:sz w:val="16"/>
          <w:szCs w:val="16"/>
        </w:rPr>
        <w:softHyphen/>
        <w:t>ки. Обсуждение проблемы морального эмбарго текстуально почти до</w:t>
      </w:r>
      <w:r w:rsidRPr="00DB5D0D">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DB5D0D">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4B2364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DB5D0D">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DB5D0D">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DB5D0D">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DB5D0D">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27CD440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DB5D0D">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08B7CC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оборудованию, находящемуся в производстве, можно сказать следу</w:t>
      </w:r>
      <w:r w:rsidRPr="00DB5D0D">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DB5D0D">
        <w:rPr>
          <w:rFonts w:ascii="Times New Roman" w:hAnsi="Times New Roman"/>
          <w:color w:val="000000" w:themeColor="text1"/>
          <w:sz w:val="16"/>
          <w:szCs w:val="16"/>
        </w:rPr>
        <w:softHyphen/>
        <w:t>ветственно, 87,5 % не могло быть получено СССР.</w:t>
      </w:r>
    </w:p>
    <w:p w14:paraId="0E27BD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258B02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поводу режима комиссии НКАПа на заводе Райта: по первую полови</w:t>
      </w:r>
      <w:r w:rsidRPr="00DB5D0D">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DB5D0D">
        <w:rPr>
          <w:rFonts w:ascii="Times New Roman" w:hAnsi="Times New Roman"/>
          <w:color w:val="000000" w:themeColor="text1"/>
          <w:sz w:val="16"/>
          <w:szCs w:val="16"/>
        </w:rPr>
        <w:softHyphen/>
        <w:t>ты комиссии американская сторона не сообщила.</w:t>
      </w:r>
    </w:p>
    <w:p w14:paraId="60FAC6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DB5D0D">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0FA7E9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DB5D0D">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DB5D0D">
        <w:rPr>
          <w:rFonts w:ascii="Times New Roman" w:hAnsi="Times New Roman"/>
          <w:color w:val="000000" w:themeColor="text1"/>
          <w:sz w:val="16"/>
          <w:szCs w:val="16"/>
        </w:rPr>
        <w:softHyphen/>
        <w:t>нии СССР как в экономической, так и в политической области, и послед</w:t>
      </w:r>
      <w:r w:rsidRPr="00DB5D0D">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DB5D0D">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37C22C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F2B62D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E7BA12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7E2473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немецкими самолетами в Северном море затоплены английские эсминцы «Кодрингтон» и «Рен» (4962).</w:t>
      </w:r>
    </w:p>
    <w:p w14:paraId="1ED2A7A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2758A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правительство Японии приняло программу мероприятий, соответствующих изменениям в международном положении (3186).</w:t>
      </w:r>
    </w:p>
    <w:p w14:paraId="4240E82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F16398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1940 на экранах впервые появился герой мультсериалов кролик Багс Банни (4962).</w:t>
      </w:r>
    </w:p>
    <w:p w14:paraId="22A95CA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653B154"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июля в 1940 году журнал «Billboard» начинает публиковать чарт бестселлеров (14965).</w:t>
      </w:r>
    </w:p>
    <w:p w14:paraId="63C6D4BB"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5DDBF56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A617635"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800C5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июля 1940 был разбит ББ-2 М-88 П.О.С. (2090,232).</w:t>
      </w:r>
    </w:p>
    <w:p w14:paraId="00AAFE1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E3A1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июля 1940 года начальник ВВС ген.-лейтенант авиации Смушкевич, военный комиссар ВВС дивкомиссар Агальцов писали письмо N 507689с Шахурину.</w:t>
      </w:r>
    </w:p>
    <w:p w14:paraId="49A6A6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доводки самолета ДБ3-ф.</w:t>
      </w:r>
    </w:p>
    <w:p w14:paraId="194796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Завод N 39 НКАП за период внедрения и доводки самолета ДБ-3ф в течении года систематически не выполняет требований ВВС по устранению дефектов, выявленных на самолете в результате государственных в НИИ ГУ ВВС.</w:t>
      </w:r>
    </w:p>
    <w:p w14:paraId="6A5F7F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например:</w:t>
      </w:r>
    </w:p>
    <w:p w14:paraId="6CB64F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Дефекты выявленные на испытании еще в декабре 1939 года устранялись в течении 4-5 месяцев, но и на сегодня полностью не устранены (замки шасси, сидение стрелка).</w:t>
      </w:r>
    </w:p>
    <w:p w14:paraId="291CBF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Несмотря на указ Президиума Верховного Совета Союза ССР от 10 июня об ответственности за сдачу некондиционной продукции, дефекты выявленные в марте-апреле с.г. завод устранять отказался, хотя по ряду вопросов, как видно из прилагаемой ведомости есть решение конструкторского бюро Ильюшина о необходимости доводки самолета.</w:t>
      </w:r>
    </w:p>
    <w:p w14:paraId="4EDC15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нежелания доработать самолеты, завод не выполнил постановления Правительства и не сдал к 1/VII с.г. самолета отвечающего данным указанным в постановлении КО N 226сс от 29/7-39 г.</w:t>
      </w:r>
    </w:p>
    <w:p w14:paraId="6C2232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w:t>
      </w:r>
    </w:p>
    <w:p w14:paraId="770990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заводы NN 18, 39 и 126 в срочном порядке провести устранение всех дефектов выявленных при испытании ДБ3-ф 2М-87 и ДБ3-ф 2М-88, как на выпускаемых заводами самолетах, так и на отправленных в строевые части ВВС.</w:t>
      </w:r>
    </w:p>
    <w:p w14:paraId="44F6CB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гл. конструктора Ильюшина и директора завода N 39 Журавлева довести самолет ДБ3-ф до летных данных установленных решением КО при СНК т.е. до максимальной скорости полета 485 км/час вместо имеющейся 425 км/час.</w:t>
      </w:r>
    </w:p>
    <w:p w14:paraId="4AE67A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принятых Вами мерах прошу поставить меня в известность.</w:t>
      </w:r>
    </w:p>
    <w:p w14:paraId="06EE98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упомянутое на 3-х листах.</w:t>
      </w:r>
    </w:p>
    <w:p w14:paraId="0A6950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Ведомость разногласий по дефектам, выявленным на гос. испытаниях самолета ДБ-3ф N 390204 в НИИ ГУ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551"/>
        <w:gridCol w:w="2906"/>
        <w:gridCol w:w="2905"/>
      </w:tblGrid>
      <w:tr w:rsidR="007D5DF8" w:rsidRPr="00DB5D0D" w14:paraId="718D4DDB" w14:textId="77777777" w:rsidTr="00E543D0">
        <w:tc>
          <w:tcPr>
            <w:tcW w:w="2093" w:type="dxa"/>
            <w:tcBorders>
              <w:top w:val="single" w:sz="12" w:space="0" w:color="auto"/>
            </w:tcBorders>
          </w:tcPr>
          <w:p w14:paraId="0539C9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Сущность дефекта</w:t>
            </w:r>
          </w:p>
        </w:tc>
        <w:tc>
          <w:tcPr>
            <w:tcW w:w="2551" w:type="dxa"/>
            <w:tcBorders>
              <w:top w:val="single" w:sz="12" w:space="0" w:color="auto"/>
            </w:tcBorders>
          </w:tcPr>
          <w:p w14:paraId="14F40A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Предложения НИИ и военного</w:t>
            </w:r>
          </w:p>
        </w:tc>
        <w:tc>
          <w:tcPr>
            <w:tcW w:w="2906" w:type="dxa"/>
            <w:tcBorders>
              <w:top w:val="single" w:sz="12" w:space="0" w:color="auto"/>
            </w:tcBorders>
          </w:tcPr>
          <w:p w14:paraId="7137D9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ОКБ</w:t>
            </w:r>
          </w:p>
        </w:tc>
        <w:tc>
          <w:tcPr>
            <w:tcW w:w="2905" w:type="dxa"/>
            <w:tcBorders>
              <w:top w:val="single" w:sz="12" w:space="0" w:color="auto"/>
            </w:tcBorders>
          </w:tcPr>
          <w:p w14:paraId="06A7E1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завода</w:t>
            </w:r>
          </w:p>
        </w:tc>
      </w:tr>
      <w:tr w:rsidR="007D5DF8" w:rsidRPr="00DB5D0D" w14:paraId="02C8BFF2" w14:textId="77777777" w:rsidTr="00E543D0">
        <w:tc>
          <w:tcPr>
            <w:tcW w:w="2093" w:type="dxa"/>
          </w:tcPr>
          <w:p w14:paraId="54F0BE1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32B9A28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169C8F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представительства ГУ ВВС</w:t>
            </w:r>
          </w:p>
        </w:tc>
        <w:tc>
          <w:tcPr>
            <w:tcW w:w="2905" w:type="dxa"/>
          </w:tcPr>
          <w:p w14:paraId="0F2E6AE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6C6E994" w14:textId="77777777" w:rsidTr="00E543D0">
        <w:tc>
          <w:tcPr>
            <w:tcW w:w="2093" w:type="dxa"/>
          </w:tcPr>
          <w:p w14:paraId="6A7863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По самолету</w:t>
            </w:r>
          </w:p>
        </w:tc>
        <w:tc>
          <w:tcPr>
            <w:tcW w:w="2551" w:type="dxa"/>
          </w:tcPr>
          <w:p w14:paraId="277DF10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5936BB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2397EF6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53EDE0B" w14:textId="77777777" w:rsidTr="00E543D0">
        <w:tc>
          <w:tcPr>
            <w:tcW w:w="2093" w:type="dxa"/>
          </w:tcPr>
          <w:p w14:paraId="67FB92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имеет заднюю</w:t>
            </w:r>
          </w:p>
        </w:tc>
        <w:tc>
          <w:tcPr>
            <w:tcW w:w="2551" w:type="dxa"/>
          </w:tcPr>
          <w:p w14:paraId="394274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Довести предельную заднюю</w:t>
            </w:r>
          </w:p>
        </w:tc>
        <w:tc>
          <w:tcPr>
            <w:tcW w:w="2906" w:type="dxa"/>
          </w:tcPr>
          <w:p w14:paraId="45710A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Извещение с чертежами на</w:t>
            </w:r>
          </w:p>
        </w:tc>
        <w:tc>
          <w:tcPr>
            <w:tcW w:w="2905" w:type="dxa"/>
          </w:tcPr>
          <w:p w14:paraId="1CBE8D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отказывается проводить</w:t>
            </w:r>
          </w:p>
        </w:tc>
      </w:tr>
      <w:tr w:rsidR="007D5DF8" w:rsidRPr="00DB5D0D" w14:paraId="5CC379C5" w14:textId="77777777" w:rsidTr="00E543D0">
        <w:tc>
          <w:tcPr>
            <w:tcW w:w="2093" w:type="dxa"/>
          </w:tcPr>
          <w:p w14:paraId="67D932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центровку</w:t>
            </w:r>
          </w:p>
        </w:tc>
        <w:tc>
          <w:tcPr>
            <w:tcW w:w="2551" w:type="dxa"/>
          </w:tcPr>
          <w:p w14:paraId="12731E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центровку до 29% САХ</w:t>
            </w:r>
          </w:p>
        </w:tc>
        <w:tc>
          <w:tcPr>
            <w:tcW w:w="2906" w:type="dxa"/>
          </w:tcPr>
          <w:p w14:paraId="656827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повернутую в плане консоль</w:t>
            </w:r>
          </w:p>
        </w:tc>
        <w:tc>
          <w:tcPr>
            <w:tcW w:w="2905" w:type="dxa"/>
          </w:tcPr>
          <w:p w14:paraId="67BD1B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изменение вносимое ОКБ</w:t>
            </w:r>
          </w:p>
        </w:tc>
      </w:tr>
      <w:tr w:rsidR="007D5DF8" w:rsidRPr="00DB5D0D" w14:paraId="2468DA84" w14:textId="77777777" w:rsidTr="00E543D0">
        <w:tc>
          <w:tcPr>
            <w:tcW w:w="2093" w:type="dxa"/>
          </w:tcPr>
          <w:p w14:paraId="52234F4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2FA674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1FC679F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C41D3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получения горизонтального</w:t>
            </w:r>
          </w:p>
        </w:tc>
      </w:tr>
      <w:tr w:rsidR="007D5DF8" w:rsidRPr="00DB5D0D" w14:paraId="5391FB21" w14:textId="77777777" w:rsidTr="00E543D0">
        <w:tc>
          <w:tcPr>
            <w:tcW w:w="2093" w:type="dxa"/>
          </w:tcPr>
          <w:p w14:paraId="6593B3A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6E5FBBE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9B843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5CF58F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_____ спущено 16/II-40 г. за</w:t>
            </w:r>
          </w:p>
        </w:tc>
      </w:tr>
      <w:tr w:rsidR="007D5DF8" w:rsidRPr="00DB5D0D" w14:paraId="1AB09F00" w14:textId="77777777" w:rsidTr="00E543D0">
        <w:tc>
          <w:tcPr>
            <w:tcW w:w="2093" w:type="dxa"/>
          </w:tcPr>
          <w:p w14:paraId="225BFD1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3E08A4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CA76A0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D9C27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 170</w:t>
            </w:r>
          </w:p>
        </w:tc>
      </w:tr>
      <w:tr w:rsidR="007D5DF8" w:rsidRPr="00DB5D0D" w14:paraId="774101A2" w14:textId="77777777" w:rsidTr="00E543D0">
        <w:tc>
          <w:tcPr>
            <w:tcW w:w="2093" w:type="dxa"/>
          </w:tcPr>
          <w:p w14:paraId="04D072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Отработанные газы</w:t>
            </w:r>
          </w:p>
        </w:tc>
        <w:tc>
          <w:tcPr>
            <w:tcW w:w="2551" w:type="dxa"/>
          </w:tcPr>
          <w:p w14:paraId="4BBCFF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Зашить первые нервюры</w:t>
            </w:r>
          </w:p>
        </w:tc>
        <w:tc>
          <w:tcPr>
            <w:tcW w:w="2906" w:type="dxa"/>
          </w:tcPr>
          <w:p w14:paraId="2C987A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Сплошная зашивка металлом</w:t>
            </w:r>
          </w:p>
        </w:tc>
        <w:tc>
          <w:tcPr>
            <w:tcW w:w="2905" w:type="dxa"/>
          </w:tcPr>
          <w:p w14:paraId="70AB50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отказывается устранить</w:t>
            </w:r>
          </w:p>
        </w:tc>
      </w:tr>
      <w:tr w:rsidR="007D5DF8" w:rsidRPr="00DB5D0D" w14:paraId="1CD70B33" w14:textId="77777777" w:rsidTr="00E543D0">
        <w:tc>
          <w:tcPr>
            <w:tcW w:w="2093" w:type="dxa"/>
          </w:tcPr>
          <w:p w14:paraId="13E899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проникают в кабину</w:t>
            </w:r>
          </w:p>
        </w:tc>
        <w:tc>
          <w:tcPr>
            <w:tcW w:w="2551" w:type="dxa"/>
          </w:tcPr>
          <w:p w14:paraId="5D4C91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центроплана дюралем</w:t>
            </w:r>
          </w:p>
        </w:tc>
        <w:tc>
          <w:tcPr>
            <w:tcW w:w="2906" w:type="dxa"/>
          </w:tcPr>
          <w:p w14:paraId="5D7501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нервюр N 1 центроплана</w:t>
            </w:r>
          </w:p>
        </w:tc>
        <w:tc>
          <w:tcPr>
            <w:tcW w:w="2905" w:type="dxa"/>
          </w:tcPr>
          <w:p w14:paraId="6CC6AC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дефект</w:t>
            </w:r>
          </w:p>
        </w:tc>
      </w:tr>
      <w:tr w:rsidR="007D5DF8" w:rsidRPr="00DB5D0D" w14:paraId="2BABDCF7" w14:textId="77777777" w:rsidTr="00E543D0">
        <w:tc>
          <w:tcPr>
            <w:tcW w:w="2093" w:type="dxa"/>
          </w:tcPr>
          <w:p w14:paraId="00D552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стрелка-радиста</w:t>
            </w:r>
          </w:p>
        </w:tc>
        <w:tc>
          <w:tcPr>
            <w:tcW w:w="2551" w:type="dxa"/>
          </w:tcPr>
          <w:p w14:paraId="12D69A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4DE96FC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F7236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нецелесообразно. Средняя часть</w:t>
            </w:r>
          </w:p>
        </w:tc>
      </w:tr>
      <w:tr w:rsidR="007D5DF8" w:rsidRPr="00DB5D0D" w14:paraId="4966C3CC" w14:textId="77777777" w:rsidTr="00E543D0">
        <w:tc>
          <w:tcPr>
            <w:tcW w:w="2093" w:type="dxa"/>
          </w:tcPr>
          <w:p w14:paraId="7B48A87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2D7330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3726C6D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5A6C1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носок концевых нервюр</w:t>
            </w:r>
          </w:p>
        </w:tc>
      </w:tr>
      <w:tr w:rsidR="007D5DF8" w:rsidRPr="00DB5D0D" w14:paraId="079E66EA" w14:textId="77777777" w:rsidTr="00E543D0">
        <w:tc>
          <w:tcPr>
            <w:tcW w:w="2093" w:type="dxa"/>
          </w:tcPr>
          <w:p w14:paraId="067244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68BB93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F0C34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241F6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центроплана имеют сплошную </w:t>
            </w:r>
          </w:p>
        </w:tc>
      </w:tr>
      <w:tr w:rsidR="007D5DF8" w:rsidRPr="00DB5D0D" w14:paraId="16C85639" w14:textId="77777777" w:rsidTr="00E543D0">
        <w:tc>
          <w:tcPr>
            <w:tcW w:w="2093" w:type="dxa"/>
          </w:tcPr>
          <w:p w14:paraId="62DEC0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169A2F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340E27E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E1E98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зашивку. Рекомендуем заклеить</w:t>
            </w:r>
          </w:p>
        </w:tc>
      </w:tr>
      <w:tr w:rsidR="007D5DF8" w:rsidRPr="00DB5D0D" w14:paraId="5B740780" w14:textId="77777777" w:rsidTr="00E543D0">
        <w:tc>
          <w:tcPr>
            <w:tcW w:w="2093" w:type="dxa"/>
          </w:tcPr>
          <w:p w14:paraId="1EA076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0CF9F21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BC7F8A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19AD1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полотном оставшиеся незашитыми</w:t>
            </w:r>
          </w:p>
        </w:tc>
      </w:tr>
      <w:tr w:rsidR="007D5DF8" w:rsidRPr="00DB5D0D" w14:paraId="4D4B34C4" w14:textId="77777777" w:rsidTr="00E543D0">
        <w:tc>
          <w:tcPr>
            <w:tcW w:w="2093" w:type="dxa"/>
          </w:tcPr>
          <w:p w14:paraId="0D509F5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68FD2D9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53CAA5B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204334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отверстия концевых нервюр</w:t>
            </w:r>
          </w:p>
        </w:tc>
      </w:tr>
      <w:tr w:rsidR="007D5DF8" w:rsidRPr="00DB5D0D" w14:paraId="244EBA39" w14:textId="77777777" w:rsidTr="00E543D0">
        <w:tc>
          <w:tcPr>
            <w:tcW w:w="2093" w:type="dxa"/>
          </w:tcPr>
          <w:p w14:paraId="593411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3D9334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5350303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465775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центроплана, оставив в полотне</w:t>
            </w:r>
          </w:p>
        </w:tc>
      </w:tr>
      <w:tr w:rsidR="007D5DF8" w:rsidRPr="00DB5D0D" w14:paraId="3A2AD64F" w14:textId="77777777" w:rsidTr="00E543D0">
        <w:tc>
          <w:tcPr>
            <w:tcW w:w="2093" w:type="dxa"/>
          </w:tcPr>
          <w:p w14:paraId="7B4AEF8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04D2F6B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C4E9B1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5E9FF9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необходимые для пропуска тяг</w:t>
            </w:r>
          </w:p>
        </w:tc>
      </w:tr>
      <w:tr w:rsidR="007D5DF8" w:rsidRPr="00DB5D0D" w14:paraId="666AC258" w14:textId="77777777" w:rsidTr="00E543D0">
        <w:tc>
          <w:tcPr>
            <w:tcW w:w="2093" w:type="dxa"/>
          </w:tcPr>
          <w:p w14:paraId="186C736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13944D6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3B6A1C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0C59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управления отверстия.</w:t>
            </w:r>
          </w:p>
        </w:tc>
      </w:tr>
      <w:tr w:rsidR="007D5DF8" w:rsidRPr="00DB5D0D" w14:paraId="78EF28F5" w14:textId="77777777" w:rsidTr="00E543D0">
        <w:tc>
          <w:tcPr>
            <w:tcW w:w="2093" w:type="dxa"/>
          </w:tcPr>
          <w:p w14:paraId="28AE9F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Картушка компаса в</w:t>
            </w:r>
          </w:p>
        </w:tc>
        <w:tc>
          <w:tcPr>
            <w:tcW w:w="2551" w:type="dxa"/>
          </w:tcPr>
          <w:p w14:paraId="4E30BD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Ставить диамагнитный</w:t>
            </w:r>
          </w:p>
        </w:tc>
        <w:tc>
          <w:tcPr>
            <w:tcW w:w="2906" w:type="dxa"/>
          </w:tcPr>
          <w:p w14:paraId="3EECBC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Заменять педали штурмана</w:t>
            </w:r>
          </w:p>
        </w:tc>
        <w:tc>
          <w:tcPr>
            <w:tcW w:w="2905" w:type="dxa"/>
          </w:tcPr>
          <w:p w14:paraId="1B1112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Изменений не производить.</w:t>
            </w:r>
          </w:p>
        </w:tc>
      </w:tr>
      <w:tr w:rsidR="007D5DF8" w:rsidRPr="00DB5D0D" w14:paraId="67BA5A02" w14:textId="77777777" w:rsidTr="00E543D0">
        <w:tc>
          <w:tcPr>
            <w:tcW w:w="2093" w:type="dxa"/>
          </w:tcPr>
          <w:p w14:paraId="0A0338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кабине штурмана</w:t>
            </w:r>
          </w:p>
        </w:tc>
        <w:tc>
          <w:tcPr>
            <w:tcW w:w="2551" w:type="dxa"/>
          </w:tcPr>
          <w:p w14:paraId="38A851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w:t>
            </w:r>
          </w:p>
        </w:tc>
        <w:tc>
          <w:tcPr>
            <w:tcW w:w="2906" w:type="dxa"/>
          </w:tcPr>
          <w:p w14:paraId="2C3AE5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A8412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нецелесообразно. Отклонение</w:t>
            </w:r>
          </w:p>
        </w:tc>
      </w:tr>
      <w:tr w:rsidR="007D5DF8" w:rsidRPr="00DB5D0D" w14:paraId="108E6486" w14:textId="77777777" w:rsidTr="00E543D0">
        <w:tc>
          <w:tcPr>
            <w:tcW w:w="2093" w:type="dxa"/>
          </w:tcPr>
          <w:p w14:paraId="731BDC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отклоняется на 2</w:t>
            </w:r>
          </w:p>
        </w:tc>
        <w:tc>
          <w:tcPr>
            <w:tcW w:w="2551" w:type="dxa"/>
          </w:tcPr>
          <w:p w14:paraId="0EF0FD1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4E2ACD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5B2409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находится в пределах допуска.</w:t>
            </w:r>
          </w:p>
        </w:tc>
      </w:tr>
      <w:tr w:rsidR="007D5DF8" w:rsidRPr="00DB5D0D" w14:paraId="5D7C3FF2" w14:textId="77777777" w:rsidTr="00E543D0">
        <w:tc>
          <w:tcPr>
            <w:tcW w:w="2093" w:type="dxa"/>
          </w:tcPr>
          <w:p w14:paraId="41B332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градуса при</w:t>
            </w:r>
          </w:p>
        </w:tc>
        <w:tc>
          <w:tcPr>
            <w:tcW w:w="2551" w:type="dxa"/>
          </w:tcPr>
          <w:p w14:paraId="12A1B5C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0C809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52D14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управление штурмана</w:t>
            </w:r>
          </w:p>
        </w:tc>
      </w:tr>
      <w:tr w:rsidR="007D5DF8" w:rsidRPr="00DB5D0D" w14:paraId="747585B3" w14:textId="77777777" w:rsidTr="00E543D0">
        <w:tc>
          <w:tcPr>
            <w:tcW w:w="2093" w:type="dxa"/>
          </w:tcPr>
          <w:p w14:paraId="02AE05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поднятых педалях</w:t>
            </w:r>
          </w:p>
        </w:tc>
        <w:tc>
          <w:tcPr>
            <w:tcW w:w="2551" w:type="dxa"/>
          </w:tcPr>
          <w:p w14:paraId="690C360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148172D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451FEA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с-те ДБ-3 предназначено не</w:t>
            </w:r>
          </w:p>
        </w:tc>
      </w:tr>
      <w:tr w:rsidR="007D5DF8" w:rsidRPr="00DB5D0D" w14:paraId="6444F70F" w14:textId="77777777" w:rsidTr="00E543D0">
        <w:tc>
          <w:tcPr>
            <w:tcW w:w="2093" w:type="dxa"/>
          </w:tcPr>
          <w:p w14:paraId="5B970E8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4D1422A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188379C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6E397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постоянного пользования, а</w:t>
            </w:r>
          </w:p>
        </w:tc>
      </w:tr>
      <w:tr w:rsidR="007D5DF8" w:rsidRPr="00DB5D0D" w14:paraId="7B965169" w14:textId="77777777" w:rsidTr="00E543D0">
        <w:tc>
          <w:tcPr>
            <w:tcW w:w="2093" w:type="dxa"/>
          </w:tcPr>
          <w:p w14:paraId="44C6E0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1C9118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055737B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E00B1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только для вывозки в аварийных</w:t>
            </w:r>
          </w:p>
        </w:tc>
      </w:tr>
      <w:tr w:rsidR="007D5DF8" w:rsidRPr="00DB5D0D" w14:paraId="4D83477F" w14:textId="77777777" w:rsidTr="00E543D0">
        <w:tc>
          <w:tcPr>
            <w:tcW w:w="2093" w:type="dxa"/>
          </w:tcPr>
          <w:p w14:paraId="50BE20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28FD5BD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1AB8711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0D745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случаях.</w:t>
            </w:r>
          </w:p>
        </w:tc>
      </w:tr>
      <w:tr w:rsidR="007D5DF8" w:rsidRPr="00DB5D0D" w14:paraId="3E97149B" w14:textId="77777777" w:rsidTr="00E543D0">
        <w:tc>
          <w:tcPr>
            <w:tcW w:w="2093" w:type="dxa"/>
          </w:tcPr>
          <w:p w14:paraId="405AA4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Плохо подогнаны</w:t>
            </w:r>
          </w:p>
        </w:tc>
        <w:tc>
          <w:tcPr>
            <w:tcW w:w="2551" w:type="dxa"/>
          </w:tcPr>
          <w:p w14:paraId="706313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Перекрывные ленты и</w:t>
            </w:r>
          </w:p>
        </w:tc>
        <w:tc>
          <w:tcPr>
            <w:tcW w:w="2906" w:type="dxa"/>
          </w:tcPr>
          <w:p w14:paraId="23E5C7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Извещение на установку</w:t>
            </w:r>
          </w:p>
        </w:tc>
        <w:tc>
          <w:tcPr>
            <w:tcW w:w="2905" w:type="dxa"/>
          </w:tcPr>
          <w:p w14:paraId="412835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Зиговку не делать.</w:t>
            </w:r>
          </w:p>
        </w:tc>
      </w:tr>
      <w:tr w:rsidR="007D5DF8" w:rsidRPr="00DB5D0D" w14:paraId="488DCC93" w14:textId="77777777" w:rsidTr="00E543D0">
        <w:tc>
          <w:tcPr>
            <w:tcW w:w="2093" w:type="dxa"/>
          </w:tcPr>
          <w:p w14:paraId="44FE4F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перекрывные ленты</w:t>
            </w:r>
          </w:p>
        </w:tc>
        <w:tc>
          <w:tcPr>
            <w:tcW w:w="2551" w:type="dxa"/>
          </w:tcPr>
          <w:p w14:paraId="6B29CB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накладки ставить</w:t>
            </w:r>
          </w:p>
        </w:tc>
        <w:tc>
          <w:tcPr>
            <w:tcW w:w="2906" w:type="dxa"/>
          </w:tcPr>
          <w:p w14:paraId="3D675A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перекрывных лент баков</w:t>
            </w:r>
          </w:p>
        </w:tc>
        <w:tc>
          <w:tcPr>
            <w:tcW w:w="2905" w:type="dxa"/>
          </w:tcPr>
          <w:p w14:paraId="40F66BA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68FB5AF" w14:textId="77777777" w:rsidTr="00E543D0">
        <w:tc>
          <w:tcPr>
            <w:tcW w:w="2093" w:type="dxa"/>
          </w:tcPr>
          <w:p w14:paraId="02EDFF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накладки</w:t>
            </w:r>
          </w:p>
        </w:tc>
        <w:tc>
          <w:tcPr>
            <w:tcW w:w="2551" w:type="dxa"/>
          </w:tcPr>
          <w:p w14:paraId="7F6F41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впотай, согласно</w:t>
            </w:r>
          </w:p>
        </w:tc>
        <w:tc>
          <w:tcPr>
            <w:tcW w:w="2906" w:type="dxa"/>
          </w:tcPr>
          <w:p w14:paraId="6A2991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утолщенных и на зиговку спущено</w:t>
            </w:r>
          </w:p>
        </w:tc>
        <w:tc>
          <w:tcPr>
            <w:tcW w:w="2905" w:type="dxa"/>
          </w:tcPr>
          <w:p w14:paraId="57B71AE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30B056A" w14:textId="77777777" w:rsidTr="00E543D0">
        <w:tc>
          <w:tcPr>
            <w:tcW w:w="2093" w:type="dxa"/>
          </w:tcPr>
          <w:p w14:paraId="7239C30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2CFBD6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изменениям, спущенным</w:t>
            </w:r>
          </w:p>
        </w:tc>
        <w:tc>
          <w:tcPr>
            <w:tcW w:w="2906" w:type="dxa"/>
          </w:tcPr>
          <w:p w14:paraId="54549F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9/V с.г. за N 209.</w:t>
            </w:r>
          </w:p>
        </w:tc>
        <w:tc>
          <w:tcPr>
            <w:tcW w:w="2905" w:type="dxa"/>
          </w:tcPr>
          <w:p w14:paraId="4D7C425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B7607FB" w14:textId="77777777" w:rsidTr="00E543D0">
        <w:tc>
          <w:tcPr>
            <w:tcW w:w="2093" w:type="dxa"/>
          </w:tcPr>
          <w:p w14:paraId="48DB71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259471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w:t>
            </w:r>
          </w:p>
        </w:tc>
        <w:tc>
          <w:tcPr>
            <w:tcW w:w="2906" w:type="dxa"/>
          </w:tcPr>
          <w:p w14:paraId="4AD31FC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20760A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025FB10" w14:textId="77777777" w:rsidTr="00E543D0">
        <w:tc>
          <w:tcPr>
            <w:tcW w:w="2093" w:type="dxa"/>
          </w:tcPr>
          <w:p w14:paraId="2A1D2A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не имеет замка</w:t>
            </w:r>
          </w:p>
        </w:tc>
        <w:tc>
          <w:tcPr>
            <w:tcW w:w="2551" w:type="dxa"/>
          </w:tcPr>
          <w:p w14:paraId="3BF3AC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Доработать замок</w:t>
            </w:r>
          </w:p>
        </w:tc>
        <w:tc>
          <w:tcPr>
            <w:tcW w:w="2906" w:type="dxa"/>
          </w:tcPr>
          <w:p w14:paraId="0E1DCE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Извещение на замок, фиксирующ.</w:t>
            </w:r>
          </w:p>
        </w:tc>
        <w:tc>
          <w:tcPr>
            <w:tcW w:w="2905" w:type="dxa"/>
          </w:tcPr>
          <w:p w14:paraId="28848D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Дорабатывать в частях ВВС</w:t>
            </w:r>
          </w:p>
        </w:tc>
      </w:tr>
      <w:tr w:rsidR="007D5DF8" w:rsidRPr="00DB5D0D" w14:paraId="590D8322" w14:textId="77777777" w:rsidTr="00E543D0">
        <w:tc>
          <w:tcPr>
            <w:tcW w:w="2093" w:type="dxa"/>
          </w:tcPr>
          <w:p w14:paraId="4C1D35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фиксации выпущен.</w:t>
            </w:r>
          </w:p>
        </w:tc>
        <w:tc>
          <w:tcPr>
            <w:tcW w:w="2551" w:type="dxa"/>
          </w:tcPr>
          <w:p w14:paraId="1796B1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фиксирующий выпущенное</w:t>
            </w:r>
          </w:p>
        </w:tc>
        <w:tc>
          <w:tcPr>
            <w:tcW w:w="2906" w:type="dxa"/>
          </w:tcPr>
          <w:p w14:paraId="0B16C2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собачку спущено 3/IV-40 г. с</w:t>
            </w:r>
          </w:p>
        </w:tc>
        <w:tc>
          <w:tcPr>
            <w:tcW w:w="2905" w:type="dxa"/>
          </w:tcPr>
          <w:p w14:paraId="034069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отказывается.</w:t>
            </w:r>
          </w:p>
        </w:tc>
      </w:tr>
      <w:tr w:rsidR="007D5DF8" w:rsidRPr="00DB5D0D" w14:paraId="7BED287D" w14:textId="77777777" w:rsidTr="00E543D0">
        <w:tc>
          <w:tcPr>
            <w:tcW w:w="2093" w:type="dxa"/>
          </w:tcPr>
          <w:p w14:paraId="766C84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положения</w:t>
            </w:r>
          </w:p>
        </w:tc>
        <w:tc>
          <w:tcPr>
            <w:tcW w:w="2551" w:type="dxa"/>
          </w:tcPr>
          <w:p w14:paraId="3C11AE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положение собачки шасси</w:t>
            </w:r>
          </w:p>
        </w:tc>
        <w:tc>
          <w:tcPr>
            <w:tcW w:w="2906" w:type="dxa"/>
          </w:tcPr>
          <w:p w14:paraId="0D5C5F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предложением изменения провести</w:t>
            </w:r>
          </w:p>
        </w:tc>
        <w:tc>
          <w:tcPr>
            <w:tcW w:w="2905" w:type="dxa"/>
          </w:tcPr>
          <w:p w14:paraId="2BBC900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296E0BC" w14:textId="77777777" w:rsidTr="00E543D0">
        <w:tc>
          <w:tcPr>
            <w:tcW w:w="2093" w:type="dxa"/>
          </w:tcPr>
          <w:p w14:paraId="5437311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6463AF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5F5661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всех выпущенных</w:t>
            </w:r>
          </w:p>
        </w:tc>
        <w:tc>
          <w:tcPr>
            <w:tcW w:w="2905" w:type="dxa"/>
          </w:tcPr>
          <w:p w14:paraId="0FD9D39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6AC46EA" w14:textId="77777777" w:rsidTr="00E543D0">
        <w:tc>
          <w:tcPr>
            <w:tcW w:w="2093" w:type="dxa"/>
          </w:tcPr>
          <w:p w14:paraId="61384B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47B3CC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57B654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машинах в частях ВВС</w:t>
            </w:r>
          </w:p>
        </w:tc>
        <w:tc>
          <w:tcPr>
            <w:tcW w:w="2905" w:type="dxa"/>
          </w:tcPr>
          <w:p w14:paraId="08CC0A1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E65A286" w14:textId="77777777" w:rsidTr="00E543D0">
        <w:tc>
          <w:tcPr>
            <w:tcW w:w="2093" w:type="dxa"/>
          </w:tcPr>
          <w:p w14:paraId="6A292C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По винто-моторной группе.</w:t>
            </w:r>
          </w:p>
        </w:tc>
        <w:tc>
          <w:tcPr>
            <w:tcW w:w="2551" w:type="dxa"/>
          </w:tcPr>
          <w:p w14:paraId="48A53A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05C8E2A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6ABF8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56D1A9D" w14:textId="77777777" w:rsidTr="00E543D0">
        <w:tc>
          <w:tcPr>
            <w:tcW w:w="2093" w:type="dxa"/>
          </w:tcPr>
          <w:p w14:paraId="6C18A2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Кольцевание суфлеров</w:t>
            </w:r>
          </w:p>
        </w:tc>
        <w:tc>
          <w:tcPr>
            <w:tcW w:w="2551" w:type="dxa"/>
          </w:tcPr>
          <w:p w14:paraId="080BEA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Переделать капоты</w:t>
            </w:r>
          </w:p>
        </w:tc>
        <w:tc>
          <w:tcPr>
            <w:tcW w:w="2906" w:type="dxa"/>
          </w:tcPr>
          <w:p w14:paraId="4C2E92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Внешнее кольцевание суфлеров</w:t>
            </w:r>
          </w:p>
        </w:tc>
        <w:tc>
          <w:tcPr>
            <w:tcW w:w="2905" w:type="dxa"/>
          </w:tcPr>
          <w:p w14:paraId="31B705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Капоты не переделывать.</w:t>
            </w:r>
          </w:p>
        </w:tc>
      </w:tr>
      <w:tr w:rsidR="007D5DF8" w:rsidRPr="00DB5D0D" w14:paraId="4C6DA941" w14:textId="77777777" w:rsidTr="00E543D0">
        <w:tc>
          <w:tcPr>
            <w:tcW w:w="2093" w:type="dxa"/>
          </w:tcPr>
          <w:p w14:paraId="55A2EE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моторов не позволяет</w:t>
            </w:r>
          </w:p>
        </w:tc>
        <w:tc>
          <w:tcPr>
            <w:tcW w:w="2551" w:type="dxa"/>
          </w:tcPr>
          <w:p w14:paraId="6699DDD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37E078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вызвано дефектом мотора. </w:t>
            </w:r>
          </w:p>
        </w:tc>
        <w:tc>
          <w:tcPr>
            <w:tcW w:w="2905" w:type="dxa"/>
          </w:tcPr>
          <w:p w14:paraId="3988B3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Дефекты относятся к</w:t>
            </w:r>
          </w:p>
        </w:tc>
      </w:tr>
      <w:tr w:rsidR="007D5DF8" w:rsidRPr="00DB5D0D" w14:paraId="63D6D593" w14:textId="77777777" w:rsidTr="00E543D0">
        <w:tc>
          <w:tcPr>
            <w:tcW w:w="2093" w:type="dxa"/>
          </w:tcPr>
          <w:p w14:paraId="260313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снять верхние</w:t>
            </w:r>
          </w:p>
        </w:tc>
        <w:tc>
          <w:tcPr>
            <w:tcW w:w="2551" w:type="dxa"/>
          </w:tcPr>
          <w:p w14:paraId="5F0598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4B826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Изменение крышки капота не</w:t>
            </w:r>
          </w:p>
        </w:tc>
        <w:tc>
          <w:tcPr>
            <w:tcW w:w="2905" w:type="dxa"/>
          </w:tcPr>
          <w:p w14:paraId="57B207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заводу-поставщику моторов.</w:t>
            </w:r>
          </w:p>
        </w:tc>
      </w:tr>
      <w:tr w:rsidR="007D5DF8" w:rsidRPr="00DB5D0D" w14:paraId="1C7749D8" w14:textId="77777777" w:rsidTr="00E543D0">
        <w:tc>
          <w:tcPr>
            <w:tcW w:w="2093" w:type="dxa"/>
          </w:tcPr>
          <w:p w14:paraId="43CC4F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внутренние капоты</w:t>
            </w:r>
          </w:p>
        </w:tc>
        <w:tc>
          <w:tcPr>
            <w:tcW w:w="2551" w:type="dxa"/>
          </w:tcPr>
          <w:p w14:paraId="10241E8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54B407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вызывается необходимостью и</w:t>
            </w:r>
          </w:p>
        </w:tc>
        <w:tc>
          <w:tcPr>
            <w:tcW w:w="2905" w:type="dxa"/>
          </w:tcPr>
          <w:p w14:paraId="19924B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778A7F4" w14:textId="77777777" w:rsidTr="00E543D0">
        <w:tc>
          <w:tcPr>
            <w:tcW w:w="2093" w:type="dxa"/>
          </w:tcPr>
          <w:p w14:paraId="2758A44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0EA33C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7575B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нецелесообразно. Нами </w:t>
            </w:r>
          </w:p>
        </w:tc>
        <w:tc>
          <w:tcPr>
            <w:tcW w:w="2905" w:type="dxa"/>
          </w:tcPr>
          <w:p w14:paraId="5D5B02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0B9E578" w14:textId="77777777" w:rsidTr="00E543D0">
        <w:tc>
          <w:tcPr>
            <w:tcW w:w="2093" w:type="dxa"/>
          </w:tcPr>
          <w:p w14:paraId="3ACFF06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5646015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56AF79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послано письмо гл. конструк.</w:t>
            </w:r>
          </w:p>
        </w:tc>
        <w:tc>
          <w:tcPr>
            <w:tcW w:w="2905" w:type="dxa"/>
          </w:tcPr>
          <w:p w14:paraId="24D7AA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E5E2D91" w14:textId="77777777" w:rsidTr="00E543D0">
        <w:tc>
          <w:tcPr>
            <w:tcW w:w="2093" w:type="dxa"/>
          </w:tcPr>
          <w:p w14:paraId="76A4CD2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2B6084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30D394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 N 29 Томанскому от</w:t>
            </w:r>
          </w:p>
        </w:tc>
        <w:tc>
          <w:tcPr>
            <w:tcW w:w="2905" w:type="dxa"/>
          </w:tcPr>
          <w:p w14:paraId="3FE564F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D012BD3" w14:textId="77777777" w:rsidTr="00E543D0">
        <w:tc>
          <w:tcPr>
            <w:tcW w:w="2093" w:type="dxa"/>
          </w:tcPr>
          <w:p w14:paraId="5E0700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4DA9F1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0BB223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22/VI-40 г. за N 20/605 с</w:t>
            </w:r>
          </w:p>
        </w:tc>
        <w:tc>
          <w:tcPr>
            <w:tcW w:w="2905" w:type="dxa"/>
          </w:tcPr>
          <w:p w14:paraId="4C16427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224FE84" w14:textId="77777777" w:rsidTr="00E543D0">
        <w:tc>
          <w:tcPr>
            <w:tcW w:w="2093" w:type="dxa"/>
          </w:tcPr>
          <w:p w14:paraId="00FAE78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3491613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484B4A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напоминанием о выполнении</w:t>
            </w:r>
          </w:p>
        </w:tc>
        <w:tc>
          <w:tcPr>
            <w:tcW w:w="2905" w:type="dxa"/>
          </w:tcPr>
          <w:p w14:paraId="0B80AAC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0D48331" w14:textId="77777777" w:rsidTr="00E543D0">
        <w:tc>
          <w:tcPr>
            <w:tcW w:w="2093" w:type="dxa"/>
          </w:tcPr>
          <w:p w14:paraId="404506D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332332E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863A8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сделанного им в марте </w:t>
            </w:r>
          </w:p>
        </w:tc>
        <w:tc>
          <w:tcPr>
            <w:tcW w:w="2905" w:type="dxa"/>
          </w:tcPr>
          <w:p w14:paraId="52570E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7D1B79D" w14:textId="77777777" w:rsidTr="00E543D0">
        <w:tc>
          <w:tcPr>
            <w:tcW w:w="2093" w:type="dxa"/>
          </w:tcPr>
          <w:p w14:paraId="23B9D3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2AE85B0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EF87C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заявления, что моторы в</w:t>
            </w:r>
          </w:p>
        </w:tc>
        <w:tc>
          <w:tcPr>
            <w:tcW w:w="2905" w:type="dxa"/>
          </w:tcPr>
          <w:p w14:paraId="0DC2736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05E9BFD" w14:textId="77777777" w:rsidTr="00E543D0">
        <w:tc>
          <w:tcPr>
            <w:tcW w:w="2093" w:type="dxa"/>
          </w:tcPr>
          <w:p w14:paraId="437DFE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539EB6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0ABD5C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дальнейшем будут приходить с</w:t>
            </w:r>
          </w:p>
        </w:tc>
        <w:tc>
          <w:tcPr>
            <w:tcW w:w="2905" w:type="dxa"/>
          </w:tcPr>
          <w:p w14:paraId="1DA14EF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E7F3371" w14:textId="77777777" w:rsidTr="00E543D0">
        <w:tc>
          <w:tcPr>
            <w:tcW w:w="2093" w:type="dxa"/>
          </w:tcPr>
          <w:p w14:paraId="58931F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1F260BB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119B83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внутренним кольцеванием.</w:t>
            </w:r>
          </w:p>
        </w:tc>
        <w:tc>
          <w:tcPr>
            <w:tcW w:w="2905" w:type="dxa"/>
          </w:tcPr>
          <w:p w14:paraId="16073B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78EAC4B" w14:textId="77777777" w:rsidTr="00E543D0">
        <w:tc>
          <w:tcPr>
            <w:tcW w:w="2093" w:type="dxa"/>
          </w:tcPr>
          <w:p w14:paraId="60E539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По бомбардировочному вооружению.</w:t>
            </w:r>
          </w:p>
        </w:tc>
        <w:tc>
          <w:tcPr>
            <w:tcW w:w="2551" w:type="dxa"/>
          </w:tcPr>
          <w:p w14:paraId="54C9F6F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313723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C125D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7B4D449" w14:textId="77777777" w:rsidTr="00E543D0">
        <w:tc>
          <w:tcPr>
            <w:tcW w:w="2093" w:type="dxa"/>
          </w:tcPr>
          <w:p w14:paraId="6774A4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Створка люка наполовину</w:t>
            </w:r>
          </w:p>
        </w:tc>
        <w:tc>
          <w:tcPr>
            <w:tcW w:w="2551" w:type="dxa"/>
          </w:tcPr>
          <w:p w14:paraId="00E1E6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Ставить усиленные пружины</w:t>
            </w:r>
          </w:p>
        </w:tc>
        <w:tc>
          <w:tcPr>
            <w:tcW w:w="2906" w:type="dxa"/>
          </w:tcPr>
          <w:p w14:paraId="7546E5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по усилению пружин</w:t>
            </w:r>
          </w:p>
        </w:tc>
        <w:tc>
          <w:tcPr>
            <w:tcW w:w="2905" w:type="dxa"/>
          </w:tcPr>
          <w:p w14:paraId="3BD93A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Усиленные пружины не ставить.</w:t>
            </w:r>
          </w:p>
        </w:tc>
      </w:tr>
      <w:tr w:rsidR="007D5DF8" w:rsidRPr="00DB5D0D" w14:paraId="0DF5F636" w14:textId="77777777" w:rsidTr="00E543D0">
        <w:tc>
          <w:tcPr>
            <w:tcW w:w="2093" w:type="dxa"/>
          </w:tcPr>
          <w:p w14:paraId="0F40A2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открывается на пологих</w:t>
            </w:r>
          </w:p>
        </w:tc>
        <w:tc>
          <w:tcPr>
            <w:tcW w:w="2551" w:type="dxa"/>
          </w:tcPr>
          <w:p w14:paraId="3DA21D0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0F3FB14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9813C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бомболюков находится в </w:t>
            </w:r>
          </w:p>
        </w:tc>
      </w:tr>
      <w:tr w:rsidR="007D5DF8" w:rsidRPr="00DB5D0D" w14:paraId="013FDC89" w14:textId="77777777" w:rsidTr="00E543D0">
        <w:tc>
          <w:tcPr>
            <w:tcW w:w="2093" w:type="dxa"/>
          </w:tcPr>
          <w:p w14:paraId="2FF326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разворотах, что может</w:t>
            </w:r>
          </w:p>
        </w:tc>
        <w:tc>
          <w:tcPr>
            <w:tcW w:w="2551" w:type="dxa"/>
          </w:tcPr>
          <w:p w14:paraId="1E09549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6FDFD1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8E340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разработке в ОКБ. Решение дадим</w:t>
            </w:r>
          </w:p>
        </w:tc>
      </w:tr>
      <w:tr w:rsidR="007D5DF8" w:rsidRPr="00DB5D0D" w14:paraId="6B2830B4" w14:textId="77777777" w:rsidTr="00E543D0">
        <w:tc>
          <w:tcPr>
            <w:tcW w:w="2093" w:type="dxa"/>
          </w:tcPr>
          <w:p w14:paraId="09FC2B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разомкнуть контакты и</w:t>
            </w:r>
          </w:p>
        </w:tc>
        <w:tc>
          <w:tcPr>
            <w:tcW w:w="2551" w:type="dxa"/>
          </w:tcPr>
          <w:p w14:paraId="2A2F85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C1DFAF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253130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1/VIII с.г.</w:t>
            </w:r>
          </w:p>
        </w:tc>
      </w:tr>
      <w:tr w:rsidR="007D5DF8" w:rsidRPr="00DB5D0D" w14:paraId="5B5D3655" w14:textId="77777777" w:rsidTr="00E543D0">
        <w:tc>
          <w:tcPr>
            <w:tcW w:w="2093" w:type="dxa"/>
          </w:tcPr>
          <w:p w14:paraId="7FE16C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нельзя будет сбросить</w:t>
            </w:r>
          </w:p>
        </w:tc>
        <w:tc>
          <w:tcPr>
            <w:tcW w:w="2551" w:type="dxa"/>
          </w:tcPr>
          <w:p w14:paraId="0607191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595AFB3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26582F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33D5E69" w14:textId="77777777" w:rsidTr="00E543D0">
        <w:tc>
          <w:tcPr>
            <w:tcW w:w="2093" w:type="dxa"/>
          </w:tcPr>
          <w:p w14:paraId="21FA52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w:t>
            </w:r>
          </w:p>
        </w:tc>
        <w:tc>
          <w:tcPr>
            <w:tcW w:w="2551" w:type="dxa"/>
          </w:tcPr>
          <w:p w14:paraId="1B3A75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CADFFF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2A4063B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4CC67B0" w14:textId="77777777" w:rsidTr="00E543D0">
        <w:tc>
          <w:tcPr>
            <w:tcW w:w="2093" w:type="dxa"/>
          </w:tcPr>
          <w:p w14:paraId="645BA5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По электрооборудованию.</w:t>
            </w:r>
          </w:p>
        </w:tc>
        <w:tc>
          <w:tcPr>
            <w:tcW w:w="2551" w:type="dxa"/>
          </w:tcPr>
          <w:p w14:paraId="2ADDAB8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150A89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505C02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5709DDE" w14:textId="77777777" w:rsidTr="00E543D0">
        <w:tc>
          <w:tcPr>
            <w:tcW w:w="2093" w:type="dxa"/>
          </w:tcPr>
          <w:p w14:paraId="60B2C7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Крепление и установка</w:t>
            </w:r>
          </w:p>
        </w:tc>
        <w:tc>
          <w:tcPr>
            <w:tcW w:w="2551" w:type="dxa"/>
          </w:tcPr>
          <w:p w14:paraId="45AF3B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Поставить крепление и</w:t>
            </w:r>
          </w:p>
        </w:tc>
        <w:tc>
          <w:tcPr>
            <w:tcW w:w="2906" w:type="dxa"/>
          </w:tcPr>
          <w:p w14:paraId="6E8120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Касается серийного производства</w:t>
            </w:r>
          </w:p>
        </w:tc>
        <w:tc>
          <w:tcPr>
            <w:tcW w:w="2905" w:type="dxa"/>
          </w:tcPr>
          <w:p w14:paraId="6ACC94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Посылать контейнер для </w:t>
            </w:r>
          </w:p>
        </w:tc>
      </w:tr>
      <w:tr w:rsidR="007D5DF8" w:rsidRPr="00DB5D0D" w14:paraId="2CE9595D" w14:textId="77777777" w:rsidTr="00E543D0">
        <w:tc>
          <w:tcPr>
            <w:tcW w:w="2093" w:type="dxa"/>
          </w:tcPr>
          <w:p w14:paraId="0C6532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аккумулятора типа 12-А-30</w:t>
            </w:r>
          </w:p>
        </w:tc>
        <w:tc>
          <w:tcPr>
            <w:tcW w:w="2551" w:type="dxa"/>
          </w:tcPr>
          <w:p w14:paraId="215224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установку под аккумулятор</w:t>
            </w:r>
          </w:p>
        </w:tc>
        <w:tc>
          <w:tcPr>
            <w:tcW w:w="2906" w:type="dxa"/>
          </w:tcPr>
          <w:p w14:paraId="67600E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завода.</w:t>
            </w:r>
          </w:p>
        </w:tc>
        <w:tc>
          <w:tcPr>
            <w:tcW w:w="2905" w:type="dxa"/>
          </w:tcPr>
          <w:p w14:paraId="6B2607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в НИИ ВВС не</w:t>
            </w:r>
          </w:p>
        </w:tc>
      </w:tr>
      <w:tr w:rsidR="007D5DF8" w:rsidRPr="00DB5D0D" w14:paraId="31C6E271" w14:textId="77777777" w:rsidTr="00E543D0">
        <w:tc>
          <w:tcPr>
            <w:tcW w:w="2093" w:type="dxa"/>
          </w:tcPr>
          <w:p w14:paraId="0F15FD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неудобна. Крепление и</w:t>
            </w:r>
          </w:p>
        </w:tc>
        <w:tc>
          <w:tcPr>
            <w:tcW w:w="2551" w:type="dxa"/>
          </w:tcPr>
          <w:p w14:paraId="59BC6A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12-2-30. Аккумулятор должен</w:t>
            </w:r>
          </w:p>
        </w:tc>
        <w:tc>
          <w:tcPr>
            <w:tcW w:w="2906" w:type="dxa"/>
          </w:tcPr>
          <w:p w14:paraId="2C42602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9703C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w:t>
            </w:r>
          </w:p>
        </w:tc>
      </w:tr>
      <w:tr w:rsidR="007D5DF8" w:rsidRPr="00DB5D0D" w14:paraId="04A20987" w14:textId="77777777" w:rsidTr="00E543D0">
        <w:tc>
          <w:tcPr>
            <w:tcW w:w="2093" w:type="dxa"/>
          </w:tcPr>
          <w:p w14:paraId="35E9DB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рассчитана под</w:t>
            </w:r>
          </w:p>
        </w:tc>
        <w:tc>
          <w:tcPr>
            <w:tcW w:w="2551" w:type="dxa"/>
          </w:tcPr>
          <w:p w14:paraId="67A6C2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ставиться в контейнере с</w:t>
            </w:r>
          </w:p>
        </w:tc>
        <w:tc>
          <w:tcPr>
            <w:tcW w:w="2906" w:type="dxa"/>
          </w:tcPr>
          <w:p w14:paraId="03818E1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C33A73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7FC35CB" w14:textId="77777777" w:rsidTr="00E543D0">
        <w:tc>
          <w:tcPr>
            <w:tcW w:w="2093" w:type="dxa"/>
          </w:tcPr>
          <w:p w14:paraId="575423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аккумулятор 12-А-23,5</w:t>
            </w:r>
          </w:p>
        </w:tc>
        <w:tc>
          <w:tcPr>
            <w:tcW w:w="2551" w:type="dxa"/>
          </w:tcPr>
          <w:p w14:paraId="51EDA2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отепляющей и протектирующей</w:t>
            </w:r>
          </w:p>
        </w:tc>
        <w:tc>
          <w:tcPr>
            <w:tcW w:w="2906" w:type="dxa"/>
          </w:tcPr>
          <w:p w14:paraId="247254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51175A9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C4222D2" w14:textId="77777777" w:rsidTr="00E543D0">
        <w:tc>
          <w:tcPr>
            <w:tcW w:w="2093" w:type="dxa"/>
          </w:tcPr>
          <w:p w14:paraId="71A870C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65FB7F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прослойкой. Крепление и</w:t>
            </w:r>
          </w:p>
        </w:tc>
        <w:tc>
          <w:tcPr>
            <w:tcW w:w="2906" w:type="dxa"/>
          </w:tcPr>
          <w:p w14:paraId="7C6298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D82C16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BE6B7AD" w14:textId="77777777" w:rsidTr="00E543D0">
        <w:tc>
          <w:tcPr>
            <w:tcW w:w="2093" w:type="dxa"/>
          </w:tcPr>
          <w:p w14:paraId="203EB8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212A2A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 ванночка должны быть</w:t>
            </w:r>
          </w:p>
        </w:tc>
        <w:tc>
          <w:tcPr>
            <w:tcW w:w="2906" w:type="dxa"/>
          </w:tcPr>
          <w:p w14:paraId="69BF3E4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8C580A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A0F6542" w14:textId="77777777" w:rsidTr="00E543D0">
        <w:tc>
          <w:tcPr>
            <w:tcW w:w="2093" w:type="dxa"/>
          </w:tcPr>
          <w:p w14:paraId="5D215C9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63E9C0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сделаны из расчета установки</w:t>
            </w:r>
          </w:p>
        </w:tc>
        <w:tc>
          <w:tcPr>
            <w:tcW w:w="2906" w:type="dxa"/>
          </w:tcPr>
          <w:p w14:paraId="19844E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3C6509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36E45AB" w14:textId="77777777" w:rsidTr="00E543D0">
        <w:tc>
          <w:tcPr>
            <w:tcW w:w="2093" w:type="dxa"/>
          </w:tcPr>
          <w:p w14:paraId="6BAC871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54C76F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контейнера. Контейнер</w:t>
            </w:r>
          </w:p>
        </w:tc>
        <w:tc>
          <w:tcPr>
            <w:tcW w:w="2906" w:type="dxa"/>
          </w:tcPr>
          <w:p w14:paraId="0214E0B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5FCEF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707F2E2" w14:textId="77777777" w:rsidTr="00E543D0">
        <w:tc>
          <w:tcPr>
            <w:tcW w:w="2093" w:type="dxa"/>
          </w:tcPr>
          <w:p w14:paraId="38736D9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3F4003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послать на испытание в НИИ</w:t>
            </w:r>
          </w:p>
        </w:tc>
        <w:tc>
          <w:tcPr>
            <w:tcW w:w="2906" w:type="dxa"/>
          </w:tcPr>
          <w:p w14:paraId="15DC20E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8E652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E24C4D6" w14:textId="77777777" w:rsidTr="00E543D0">
        <w:tc>
          <w:tcPr>
            <w:tcW w:w="2093" w:type="dxa"/>
          </w:tcPr>
          <w:p w14:paraId="06FDCF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520B3D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ГУ ВВС.</w:t>
            </w:r>
          </w:p>
        </w:tc>
        <w:tc>
          <w:tcPr>
            <w:tcW w:w="2906" w:type="dxa"/>
          </w:tcPr>
          <w:p w14:paraId="1451737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3C7AC2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D686FB9" w14:textId="77777777" w:rsidTr="00E543D0">
        <w:tc>
          <w:tcPr>
            <w:tcW w:w="2093" w:type="dxa"/>
          </w:tcPr>
          <w:p w14:paraId="13A030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Реостаты, применяемые</w:t>
            </w:r>
          </w:p>
        </w:tc>
        <w:tc>
          <w:tcPr>
            <w:tcW w:w="2551" w:type="dxa"/>
          </w:tcPr>
          <w:p w14:paraId="0360CC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ставить реостаты</w:t>
            </w:r>
          </w:p>
        </w:tc>
        <w:tc>
          <w:tcPr>
            <w:tcW w:w="2906" w:type="dxa"/>
          </w:tcPr>
          <w:p w14:paraId="338F39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Требование противоречит схеме</w:t>
            </w:r>
          </w:p>
        </w:tc>
        <w:tc>
          <w:tcPr>
            <w:tcW w:w="2905" w:type="dxa"/>
          </w:tcPr>
          <w:p w14:paraId="18A498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Изменений не производить.</w:t>
            </w:r>
          </w:p>
        </w:tc>
      </w:tr>
      <w:tr w:rsidR="007D5DF8" w:rsidRPr="00DB5D0D" w14:paraId="7AC22704" w14:textId="77777777" w:rsidTr="00E543D0">
        <w:tc>
          <w:tcPr>
            <w:tcW w:w="2093" w:type="dxa"/>
          </w:tcPr>
          <w:p w14:paraId="2A92F4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кабинного освещения</w:t>
            </w:r>
          </w:p>
        </w:tc>
        <w:tc>
          <w:tcPr>
            <w:tcW w:w="2551" w:type="dxa"/>
          </w:tcPr>
          <w:p w14:paraId="62C392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типа РЛ-70 с приключением к</w:t>
            </w:r>
          </w:p>
        </w:tc>
        <w:tc>
          <w:tcPr>
            <w:tcW w:w="2906" w:type="dxa"/>
          </w:tcPr>
          <w:p w14:paraId="03E1FA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 Ф720000А от 27/XII-39 г.</w:t>
            </w:r>
          </w:p>
        </w:tc>
        <w:tc>
          <w:tcPr>
            <w:tcW w:w="2905" w:type="dxa"/>
          </w:tcPr>
          <w:p w14:paraId="0F5CEB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7E58BB7" w14:textId="77777777" w:rsidTr="00E543D0">
        <w:tc>
          <w:tcPr>
            <w:tcW w:w="2093" w:type="dxa"/>
          </w:tcPr>
          <w:p w14:paraId="055FCF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(кабинных ламп) типа</w:t>
            </w:r>
          </w:p>
        </w:tc>
        <w:tc>
          <w:tcPr>
            <w:tcW w:w="2551" w:type="dxa"/>
          </w:tcPr>
          <w:p w14:paraId="479AA0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каждому реостату не более 2-х</w:t>
            </w:r>
          </w:p>
        </w:tc>
        <w:tc>
          <w:tcPr>
            <w:tcW w:w="2906" w:type="dxa"/>
          </w:tcPr>
          <w:p w14:paraId="1212C5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утвержденной НИИ ГУАС и</w:t>
            </w:r>
          </w:p>
        </w:tc>
        <w:tc>
          <w:tcPr>
            <w:tcW w:w="2905" w:type="dxa"/>
          </w:tcPr>
          <w:p w14:paraId="7529992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86DD310" w14:textId="77777777" w:rsidTr="00E543D0">
        <w:tc>
          <w:tcPr>
            <w:tcW w:w="2093" w:type="dxa"/>
          </w:tcPr>
          <w:p w14:paraId="1C2DD2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РЛ-24 не обеспечивают</w:t>
            </w:r>
          </w:p>
        </w:tc>
        <w:tc>
          <w:tcPr>
            <w:tcW w:w="2551" w:type="dxa"/>
          </w:tcPr>
          <w:p w14:paraId="24FD15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пятиватных ламп.</w:t>
            </w:r>
          </w:p>
        </w:tc>
        <w:tc>
          <w:tcPr>
            <w:tcW w:w="2906" w:type="dxa"/>
          </w:tcPr>
          <w:p w14:paraId="1C2278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1788A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спущенной при извещении N 120 от</w:t>
            </w:r>
          </w:p>
        </w:tc>
      </w:tr>
      <w:tr w:rsidR="007D5DF8" w:rsidRPr="00DB5D0D" w14:paraId="14D311AA" w14:textId="77777777" w:rsidTr="00E543D0">
        <w:tc>
          <w:tcPr>
            <w:tcW w:w="2093" w:type="dxa"/>
          </w:tcPr>
          <w:p w14:paraId="6846E5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нужного уменьшения</w:t>
            </w:r>
          </w:p>
        </w:tc>
        <w:tc>
          <w:tcPr>
            <w:tcW w:w="2551" w:type="dxa"/>
          </w:tcPr>
          <w:p w14:paraId="02D1E8E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49E1AB2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170F0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30/XII-39 г., в которой для</w:t>
            </w:r>
          </w:p>
        </w:tc>
      </w:tr>
      <w:tr w:rsidR="007D5DF8" w:rsidRPr="00DB5D0D" w14:paraId="5BFFD4C4" w14:textId="77777777" w:rsidTr="00E543D0">
        <w:tc>
          <w:tcPr>
            <w:tcW w:w="2093" w:type="dxa"/>
          </w:tcPr>
          <w:p w14:paraId="00595F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света ламп</w:t>
            </w:r>
          </w:p>
        </w:tc>
        <w:tc>
          <w:tcPr>
            <w:tcW w:w="2551" w:type="dxa"/>
          </w:tcPr>
          <w:p w14:paraId="7FC1F7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4F4621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5086BC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кабинных ламп предусматриваются</w:t>
            </w:r>
          </w:p>
        </w:tc>
      </w:tr>
      <w:tr w:rsidR="007D5DF8" w:rsidRPr="00DB5D0D" w14:paraId="4285A418" w14:textId="77777777" w:rsidTr="00E543D0">
        <w:tc>
          <w:tcPr>
            <w:tcW w:w="2093" w:type="dxa"/>
          </w:tcPr>
          <w:p w14:paraId="0092405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05BB1A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606CCB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DE7D9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реостаты РЛ-24. Кроме того, замена</w:t>
            </w:r>
          </w:p>
        </w:tc>
      </w:tr>
      <w:tr w:rsidR="007D5DF8" w:rsidRPr="00DB5D0D" w14:paraId="20C58818" w14:textId="77777777" w:rsidTr="00E543D0">
        <w:tc>
          <w:tcPr>
            <w:tcW w:w="2093" w:type="dxa"/>
          </w:tcPr>
          <w:p w14:paraId="1BF509B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2282283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64CA5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5783C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РЛ-24 на РЛ-70 не вызывается </w:t>
            </w:r>
          </w:p>
        </w:tc>
      </w:tr>
      <w:tr w:rsidR="007D5DF8" w:rsidRPr="00DB5D0D" w14:paraId="548959A6" w14:textId="77777777" w:rsidTr="00E543D0">
        <w:tc>
          <w:tcPr>
            <w:tcW w:w="2093" w:type="dxa"/>
          </w:tcPr>
          <w:p w14:paraId="5502C54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6657165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360141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92F3E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никакой технической</w:t>
            </w:r>
          </w:p>
        </w:tc>
      </w:tr>
      <w:tr w:rsidR="007D5DF8" w:rsidRPr="00DB5D0D" w14:paraId="40D61D7C" w14:textId="77777777" w:rsidTr="00E543D0">
        <w:tc>
          <w:tcPr>
            <w:tcW w:w="2093" w:type="dxa"/>
          </w:tcPr>
          <w:p w14:paraId="344115F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3FF4645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1DBA65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2E6F1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необходимостью и нецелесообразна</w:t>
            </w:r>
          </w:p>
        </w:tc>
      </w:tr>
      <w:tr w:rsidR="007D5DF8" w:rsidRPr="00DB5D0D" w14:paraId="51596101" w14:textId="77777777" w:rsidTr="00E543D0">
        <w:tc>
          <w:tcPr>
            <w:tcW w:w="2093" w:type="dxa"/>
          </w:tcPr>
          <w:p w14:paraId="7135EEB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3D14E0E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5054E7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79F32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поскольку каждый реостат РЛ-24</w:t>
            </w:r>
          </w:p>
        </w:tc>
      </w:tr>
      <w:tr w:rsidR="007D5DF8" w:rsidRPr="00DB5D0D" w14:paraId="742F1E67" w14:textId="77777777" w:rsidTr="00E543D0">
        <w:tc>
          <w:tcPr>
            <w:tcW w:w="2093" w:type="dxa"/>
          </w:tcPr>
          <w:p w14:paraId="6CEB43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188C1A9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51E4277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8CB8E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нагружен только 2-мя лампами, а</w:t>
            </w:r>
          </w:p>
        </w:tc>
      </w:tr>
      <w:tr w:rsidR="007D5DF8" w:rsidRPr="00DB5D0D" w14:paraId="5898A866" w14:textId="77777777" w:rsidTr="00E543D0">
        <w:tc>
          <w:tcPr>
            <w:tcW w:w="2093" w:type="dxa"/>
          </w:tcPr>
          <w:p w14:paraId="4EAE556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110EE6D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03B9EC0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EA12F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замена на РЛ-70 вызывает ничем не</w:t>
            </w:r>
          </w:p>
        </w:tc>
      </w:tr>
      <w:tr w:rsidR="007D5DF8" w:rsidRPr="00DB5D0D" w14:paraId="5922F9D1" w14:textId="77777777" w:rsidTr="00E543D0">
        <w:tc>
          <w:tcPr>
            <w:tcW w:w="2093" w:type="dxa"/>
          </w:tcPr>
          <w:p w14:paraId="7381347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3EC7544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FFA3DD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E22D3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обоснованные переделки. Реостаты</w:t>
            </w:r>
          </w:p>
        </w:tc>
      </w:tr>
      <w:tr w:rsidR="007D5DF8" w:rsidRPr="00DB5D0D" w14:paraId="5B115B14" w14:textId="77777777" w:rsidTr="00E543D0">
        <w:tc>
          <w:tcPr>
            <w:tcW w:w="2093" w:type="dxa"/>
          </w:tcPr>
          <w:p w14:paraId="2DD6AB2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1F71DEE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E80F99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4F30B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РЛ-24 значатся в номенклатурном</w:t>
            </w:r>
          </w:p>
        </w:tc>
      </w:tr>
      <w:tr w:rsidR="007D5DF8" w:rsidRPr="00DB5D0D" w14:paraId="5F8988D4" w14:textId="77777777" w:rsidTr="00E543D0">
        <w:tc>
          <w:tcPr>
            <w:tcW w:w="2093" w:type="dxa"/>
          </w:tcPr>
          <w:p w14:paraId="43DFEE5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551" w:type="dxa"/>
          </w:tcPr>
          <w:p w14:paraId="00C6BA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2F70DF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AE0DC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списке ПГУ НКАП на 1940 г.</w:t>
            </w:r>
          </w:p>
        </w:tc>
      </w:tr>
      <w:tr w:rsidR="007D5DF8" w:rsidRPr="00DB5D0D" w14:paraId="3A0CFA01" w14:textId="77777777" w:rsidTr="00E543D0">
        <w:tc>
          <w:tcPr>
            <w:tcW w:w="2093" w:type="dxa"/>
          </w:tcPr>
          <w:p w14:paraId="3A5327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включения и</w:t>
            </w:r>
          </w:p>
        </w:tc>
        <w:tc>
          <w:tcPr>
            <w:tcW w:w="2551" w:type="dxa"/>
          </w:tcPr>
          <w:p w14:paraId="231D38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Выключатели, стоящие </w:t>
            </w:r>
          </w:p>
        </w:tc>
        <w:tc>
          <w:tcPr>
            <w:tcW w:w="2906" w:type="dxa"/>
          </w:tcPr>
          <w:p w14:paraId="331F8C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То-же, что и по п. 9-му</w:t>
            </w:r>
          </w:p>
        </w:tc>
        <w:tc>
          <w:tcPr>
            <w:tcW w:w="2905" w:type="dxa"/>
          </w:tcPr>
          <w:p w14:paraId="5C54BE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Изменений не производить.</w:t>
            </w:r>
          </w:p>
        </w:tc>
      </w:tr>
      <w:tr w:rsidR="007D5DF8" w:rsidRPr="00DB5D0D" w14:paraId="15E0286A" w14:textId="77777777" w:rsidTr="00E543D0">
        <w:tc>
          <w:tcPr>
            <w:tcW w:w="2093" w:type="dxa"/>
          </w:tcPr>
          <w:p w14:paraId="1EDFD2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регулирования света</w:t>
            </w:r>
          </w:p>
        </w:tc>
        <w:tc>
          <w:tcPr>
            <w:tcW w:w="2551" w:type="dxa"/>
          </w:tcPr>
          <w:p w14:paraId="0B8A26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последовательно с реостатами</w:t>
            </w:r>
          </w:p>
        </w:tc>
        <w:tc>
          <w:tcPr>
            <w:tcW w:w="2906" w:type="dxa"/>
          </w:tcPr>
          <w:p w14:paraId="4E0027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70856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85C167D" w14:textId="77777777" w:rsidTr="00E543D0">
        <w:tc>
          <w:tcPr>
            <w:tcW w:w="2093" w:type="dxa"/>
          </w:tcPr>
          <w:p w14:paraId="537B39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освещения досок</w:t>
            </w:r>
          </w:p>
        </w:tc>
        <w:tc>
          <w:tcPr>
            <w:tcW w:w="2551" w:type="dxa"/>
          </w:tcPr>
          <w:p w14:paraId="39562E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снять. В качестве регуляторов</w:t>
            </w:r>
          </w:p>
        </w:tc>
        <w:tc>
          <w:tcPr>
            <w:tcW w:w="2906" w:type="dxa"/>
          </w:tcPr>
          <w:p w14:paraId="3A5187B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4D05BB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062589E" w14:textId="77777777" w:rsidTr="00E543D0">
        <w:tc>
          <w:tcPr>
            <w:tcW w:w="2093" w:type="dxa"/>
          </w:tcPr>
          <w:p w14:paraId="6FD76F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(подсвет) стоят</w:t>
            </w:r>
          </w:p>
        </w:tc>
        <w:tc>
          <w:tcPr>
            <w:tcW w:w="2551" w:type="dxa"/>
          </w:tcPr>
          <w:p w14:paraId="36CC6E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освещения приборных досок</w:t>
            </w:r>
          </w:p>
        </w:tc>
        <w:tc>
          <w:tcPr>
            <w:tcW w:w="2906" w:type="dxa"/>
          </w:tcPr>
          <w:p w14:paraId="5BB3A10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534A9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F32881D" w14:textId="77777777" w:rsidTr="00E543D0">
        <w:tc>
          <w:tcPr>
            <w:tcW w:w="2093" w:type="dxa"/>
          </w:tcPr>
          <w:p w14:paraId="77EE5B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последовательно</w:t>
            </w:r>
          </w:p>
        </w:tc>
        <w:tc>
          <w:tcPr>
            <w:tcW w:w="2551" w:type="dxa"/>
          </w:tcPr>
          <w:p w14:paraId="0E3EB6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ставить реостаты РЛ-23. РЛ-70</w:t>
            </w:r>
          </w:p>
        </w:tc>
        <w:tc>
          <w:tcPr>
            <w:tcW w:w="2906" w:type="dxa"/>
          </w:tcPr>
          <w:p w14:paraId="16E302C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DEE6F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5B8F491" w14:textId="77777777" w:rsidTr="00E543D0">
        <w:tc>
          <w:tcPr>
            <w:tcW w:w="2093" w:type="dxa"/>
          </w:tcPr>
          <w:p w14:paraId="309CB8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реостаты и</w:t>
            </w:r>
          </w:p>
        </w:tc>
        <w:tc>
          <w:tcPr>
            <w:tcW w:w="2551" w:type="dxa"/>
          </w:tcPr>
          <w:p w14:paraId="075053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использовать только для</w:t>
            </w:r>
          </w:p>
        </w:tc>
        <w:tc>
          <w:tcPr>
            <w:tcW w:w="2906" w:type="dxa"/>
          </w:tcPr>
          <w:p w14:paraId="2F94D8D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C4F9FF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8C7A212" w14:textId="77777777" w:rsidTr="00E543D0">
        <w:tc>
          <w:tcPr>
            <w:tcW w:w="2093" w:type="dxa"/>
          </w:tcPr>
          <w:p w14:paraId="738B21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выключатели, что</w:t>
            </w:r>
          </w:p>
        </w:tc>
        <w:tc>
          <w:tcPr>
            <w:tcW w:w="2551" w:type="dxa"/>
          </w:tcPr>
          <w:p w14:paraId="3B9A18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кабинного освещения приключением</w:t>
            </w:r>
          </w:p>
        </w:tc>
        <w:tc>
          <w:tcPr>
            <w:tcW w:w="2906" w:type="dxa"/>
          </w:tcPr>
          <w:p w14:paraId="21BBA1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63EF8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86FD672" w14:textId="77777777" w:rsidTr="00E543D0">
        <w:tc>
          <w:tcPr>
            <w:tcW w:w="2093" w:type="dxa"/>
          </w:tcPr>
          <w:p w14:paraId="0DA164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неудобно. Кроме того</w:t>
            </w:r>
          </w:p>
        </w:tc>
        <w:tc>
          <w:tcPr>
            <w:tcW w:w="2551" w:type="dxa"/>
          </w:tcPr>
          <w:p w14:paraId="03884C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каждому реостату не более 2-х</w:t>
            </w:r>
          </w:p>
        </w:tc>
        <w:tc>
          <w:tcPr>
            <w:tcW w:w="2906" w:type="dxa"/>
          </w:tcPr>
          <w:p w14:paraId="1EFBB9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A054D3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C96E166" w14:textId="77777777" w:rsidTr="00E543D0">
        <w:tc>
          <w:tcPr>
            <w:tcW w:w="2093" w:type="dxa"/>
          </w:tcPr>
          <w:p w14:paraId="7582DE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обмотки реостатов</w:t>
            </w:r>
          </w:p>
        </w:tc>
        <w:tc>
          <w:tcPr>
            <w:tcW w:w="2551" w:type="dxa"/>
          </w:tcPr>
          <w:p w14:paraId="38A693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5-ти ватн. ламп.</w:t>
            </w:r>
          </w:p>
        </w:tc>
        <w:tc>
          <w:tcPr>
            <w:tcW w:w="2906" w:type="dxa"/>
          </w:tcPr>
          <w:p w14:paraId="696271B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0B075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1AEE919" w14:textId="77777777" w:rsidTr="00E543D0">
        <w:tc>
          <w:tcPr>
            <w:tcW w:w="2093" w:type="dxa"/>
          </w:tcPr>
          <w:p w14:paraId="1351BC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РЛ-70 очень сильно</w:t>
            </w:r>
          </w:p>
        </w:tc>
        <w:tc>
          <w:tcPr>
            <w:tcW w:w="2551" w:type="dxa"/>
          </w:tcPr>
          <w:p w14:paraId="41A64F5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43D833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6DEF0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5CBDB8C" w14:textId="77777777" w:rsidTr="00E543D0">
        <w:tc>
          <w:tcPr>
            <w:tcW w:w="2093" w:type="dxa"/>
          </w:tcPr>
          <w:p w14:paraId="7E3126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нагреваются и очень</w:t>
            </w:r>
          </w:p>
        </w:tc>
        <w:tc>
          <w:tcPr>
            <w:tcW w:w="2551" w:type="dxa"/>
          </w:tcPr>
          <w:p w14:paraId="3E8C61A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A8B74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42F2C06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B3D922D" w14:textId="77777777" w:rsidTr="00E543D0">
        <w:tc>
          <w:tcPr>
            <w:tcW w:w="2093" w:type="dxa"/>
          </w:tcPr>
          <w:p w14:paraId="28B289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часто перегорает.</w:t>
            </w:r>
          </w:p>
        </w:tc>
        <w:tc>
          <w:tcPr>
            <w:tcW w:w="2551" w:type="dxa"/>
          </w:tcPr>
          <w:p w14:paraId="64533A6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7F3DE3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1A03C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EF2A72A" w14:textId="77777777" w:rsidTr="00E543D0">
        <w:tc>
          <w:tcPr>
            <w:tcW w:w="2093" w:type="dxa"/>
          </w:tcPr>
          <w:p w14:paraId="141DB1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Крепление</w:t>
            </w:r>
          </w:p>
        </w:tc>
        <w:tc>
          <w:tcPr>
            <w:tcW w:w="2551" w:type="dxa"/>
          </w:tcPr>
          <w:p w14:paraId="522E42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Крепление электропроводки</w:t>
            </w:r>
          </w:p>
        </w:tc>
        <w:tc>
          <w:tcPr>
            <w:tcW w:w="2906" w:type="dxa"/>
          </w:tcPr>
          <w:p w14:paraId="53C2B6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нач. ПГУ НКАП от</w:t>
            </w:r>
          </w:p>
        </w:tc>
        <w:tc>
          <w:tcPr>
            <w:tcW w:w="2905" w:type="dxa"/>
          </w:tcPr>
          <w:p w14:paraId="6FD6CF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Делать крепление под отвертку</w:t>
            </w:r>
          </w:p>
        </w:tc>
      </w:tr>
      <w:tr w:rsidR="007D5DF8" w:rsidRPr="00DB5D0D" w14:paraId="7EBACE76" w14:textId="77777777" w:rsidTr="00E543D0">
        <w:tc>
          <w:tcPr>
            <w:tcW w:w="2093" w:type="dxa"/>
          </w:tcPr>
          <w:p w14:paraId="5E03AC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электропроводки с</w:t>
            </w:r>
          </w:p>
        </w:tc>
        <w:tc>
          <w:tcPr>
            <w:tcW w:w="2551" w:type="dxa"/>
          </w:tcPr>
          <w:p w14:paraId="4DFADE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должно быть выполнено из</w:t>
            </w:r>
          </w:p>
        </w:tc>
        <w:tc>
          <w:tcPr>
            <w:tcW w:w="2906" w:type="dxa"/>
          </w:tcPr>
          <w:p w14:paraId="2C2F81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 39 г. выпуск шестигранных</w:t>
            </w:r>
          </w:p>
        </w:tc>
        <w:tc>
          <w:tcPr>
            <w:tcW w:w="2905" w:type="dxa"/>
          </w:tcPr>
          <w:p w14:paraId="3589B3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нецелесообразно.</w:t>
            </w:r>
          </w:p>
        </w:tc>
      </w:tr>
      <w:tr w:rsidR="007D5DF8" w:rsidRPr="00DB5D0D" w14:paraId="484536FE" w14:textId="77777777" w:rsidTr="00E543D0">
        <w:tc>
          <w:tcPr>
            <w:tcW w:w="2093" w:type="dxa"/>
          </w:tcPr>
          <w:p w14:paraId="5F8F90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помощью хомутов и</w:t>
            </w:r>
          </w:p>
        </w:tc>
        <w:tc>
          <w:tcPr>
            <w:tcW w:w="2551" w:type="dxa"/>
          </w:tcPr>
          <w:p w14:paraId="21AE61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расчета затраты на ее снятие</w:t>
            </w:r>
          </w:p>
        </w:tc>
        <w:tc>
          <w:tcPr>
            <w:tcW w:w="2906" w:type="dxa"/>
          </w:tcPr>
          <w:p w14:paraId="39D82E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болтов малого размера</w:t>
            </w:r>
          </w:p>
        </w:tc>
        <w:tc>
          <w:tcPr>
            <w:tcW w:w="2905" w:type="dxa"/>
          </w:tcPr>
          <w:p w14:paraId="358848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C4997BF" w14:textId="77777777" w:rsidTr="00E543D0">
        <w:tc>
          <w:tcPr>
            <w:tcW w:w="2093" w:type="dxa"/>
          </w:tcPr>
          <w:p w14:paraId="225B8F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болтами под специал.</w:t>
            </w:r>
          </w:p>
        </w:tc>
        <w:tc>
          <w:tcPr>
            <w:tcW w:w="2551" w:type="dxa"/>
          </w:tcPr>
          <w:p w14:paraId="2DAC84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наименьшего количества времени,</w:t>
            </w:r>
          </w:p>
        </w:tc>
        <w:tc>
          <w:tcPr>
            <w:tcW w:w="2906" w:type="dxa"/>
          </w:tcPr>
          <w:p w14:paraId="4E6DD9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запрещен.</w:t>
            </w:r>
          </w:p>
        </w:tc>
        <w:tc>
          <w:tcPr>
            <w:tcW w:w="2905" w:type="dxa"/>
          </w:tcPr>
          <w:p w14:paraId="6735214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983B4AF" w14:textId="77777777" w:rsidTr="00E543D0">
        <w:tc>
          <w:tcPr>
            <w:tcW w:w="2093" w:type="dxa"/>
          </w:tcPr>
          <w:p w14:paraId="2E4F72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быструю съемку и</w:t>
            </w:r>
          </w:p>
        </w:tc>
        <w:tc>
          <w:tcPr>
            <w:tcW w:w="2551" w:type="dxa"/>
          </w:tcPr>
          <w:p w14:paraId="38D9F3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применением для снятия простейшего</w:t>
            </w:r>
          </w:p>
        </w:tc>
        <w:tc>
          <w:tcPr>
            <w:tcW w:w="2906" w:type="dxa"/>
          </w:tcPr>
          <w:p w14:paraId="1C574A8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5BD305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D286248" w14:textId="77777777" w:rsidTr="00E543D0">
        <w:tc>
          <w:tcPr>
            <w:tcW w:w="2093" w:type="dxa"/>
          </w:tcPr>
          <w:p w14:paraId="5CB77D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установку проводки</w:t>
            </w:r>
          </w:p>
        </w:tc>
        <w:tc>
          <w:tcPr>
            <w:tcW w:w="2551" w:type="dxa"/>
          </w:tcPr>
          <w:p w14:paraId="064765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инструмсента - отвертки</w:t>
            </w:r>
          </w:p>
        </w:tc>
        <w:tc>
          <w:tcPr>
            <w:tcW w:w="2906" w:type="dxa"/>
          </w:tcPr>
          <w:p w14:paraId="7C0800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5A13301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4A113C7" w14:textId="77777777" w:rsidTr="00E543D0">
        <w:tc>
          <w:tcPr>
            <w:tcW w:w="2093" w:type="dxa"/>
          </w:tcPr>
          <w:p w14:paraId="014F37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Затруднен демонтаж</w:t>
            </w:r>
          </w:p>
        </w:tc>
        <w:tc>
          <w:tcPr>
            <w:tcW w:w="2551" w:type="dxa"/>
          </w:tcPr>
          <w:p w14:paraId="56FEDD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Монтаж электрощитком делать</w:t>
            </w:r>
          </w:p>
        </w:tc>
        <w:tc>
          <w:tcPr>
            <w:tcW w:w="2906" w:type="dxa"/>
          </w:tcPr>
          <w:p w14:paraId="0A7E05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 изменений щитка летчика</w:t>
            </w:r>
          </w:p>
        </w:tc>
        <w:tc>
          <w:tcPr>
            <w:tcW w:w="2905" w:type="dxa"/>
          </w:tcPr>
          <w:p w14:paraId="1F9C92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отказывается проводить</w:t>
            </w:r>
          </w:p>
        </w:tc>
      </w:tr>
      <w:tr w:rsidR="007D5DF8" w:rsidRPr="00DB5D0D" w14:paraId="576191AE" w14:textId="77777777" w:rsidTr="00E543D0">
        <w:tc>
          <w:tcPr>
            <w:tcW w:w="2093" w:type="dxa"/>
          </w:tcPr>
          <w:p w14:paraId="428099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электрощитка летчика</w:t>
            </w:r>
          </w:p>
        </w:tc>
        <w:tc>
          <w:tcPr>
            <w:tcW w:w="2551" w:type="dxa"/>
          </w:tcPr>
          <w:p w14:paraId="5A7C66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учетом возможности снятия</w:t>
            </w:r>
          </w:p>
        </w:tc>
        <w:tc>
          <w:tcPr>
            <w:tcW w:w="2906" w:type="dxa"/>
          </w:tcPr>
          <w:p w14:paraId="7180D9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облегченным демонтажем</w:t>
            </w:r>
          </w:p>
        </w:tc>
        <w:tc>
          <w:tcPr>
            <w:tcW w:w="2905" w:type="dxa"/>
          </w:tcPr>
          <w:p w14:paraId="77356B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изменения преложенные ОКБ.</w:t>
            </w:r>
          </w:p>
        </w:tc>
      </w:tr>
      <w:tr w:rsidR="007D5DF8" w:rsidRPr="00DB5D0D" w14:paraId="1C13901D" w14:textId="77777777" w:rsidTr="00E543D0">
        <w:tc>
          <w:tcPr>
            <w:tcW w:w="2093" w:type="dxa"/>
          </w:tcPr>
          <w:p w14:paraId="551EA9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штурмана. Снятие</w:t>
            </w:r>
          </w:p>
        </w:tc>
        <w:tc>
          <w:tcPr>
            <w:tcW w:w="2551" w:type="dxa"/>
          </w:tcPr>
          <w:p w14:paraId="14479C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любого переключателя прибора</w:t>
            </w:r>
          </w:p>
        </w:tc>
        <w:tc>
          <w:tcPr>
            <w:tcW w:w="2906" w:type="dxa"/>
          </w:tcPr>
          <w:p w14:paraId="1A4CD4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спущены нами при извещении N 178</w:t>
            </w:r>
          </w:p>
        </w:tc>
        <w:tc>
          <w:tcPr>
            <w:tcW w:w="2905" w:type="dxa"/>
          </w:tcPr>
          <w:p w14:paraId="10760E6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A8E041A" w14:textId="77777777" w:rsidTr="00E543D0">
        <w:tc>
          <w:tcPr>
            <w:tcW w:w="2093" w:type="dxa"/>
          </w:tcPr>
          <w:p w14:paraId="358C64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переключателей без</w:t>
            </w:r>
          </w:p>
        </w:tc>
        <w:tc>
          <w:tcPr>
            <w:tcW w:w="2551" w:type="dxa"/>
          </w:tcPr>
          <w:p w14:paraId="65F1C2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наименьшей затратой времени.</w:t>
            </w:r>
          </w:p>
        </w:tc>
        <w:tc>
          <w:tcPr>
            <w:tcW w:w="2906" w:type="dxa"/>
          </w:tcPr>
          <w:p w14:paraId="06BBEC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13/III-40 г. Работу по щиткам</w:t>
            </w:r>
          </w:p>
        </w:tc>
        <w:tc>
          <w:tcPr>
            <w:tcW w:w="2905" w:type="dxa"/>
          </w:tcPr>
          <w:p w14:paraId="725D26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885BD77" w14:textId="77777777" w:rsidTr="00E543D0">
        <w:tc>
          <w:tcPr>
            <w:tcW w:w="2093" w:type="dxa"/>
          </w:tcPr>
          <w:p w14:paraId="35405A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размонтирования всего</w:t>
            </w:r>
          </w:p>
        </w:tc>
        <w:tc>
          <w:tcPr>
            <w:tcW w:w="2551" w:type="dxa"/>
          </w:tcPr>
          <w:p w14:paraId="00DE858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3B454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штурмана и стрелка ведет СКО.</w:t>
            </w:r>
          </w:p>
        </w:tc>
        <w:tc>
          <w:tcPr>
            <w:tcW w:w="2905" w:type="dxa"/>
          </w:tcPr>
          <w:p w14:paraId="6824D8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B42129E" w14:textId="77777777" w:rsidTr="00E543D0">
        <w:tc>
          <w:tcPr>
            <w:tcW w:w="2093" w:type="dxa"/>
          </w:tcPr>
          <w:p w14:paraId="6DC261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щитка невозможно.</w:t>
            </w:r>
          </w:p>
        </w:tc>
        <w:tc>
          <w:tcPr>
            <w:tcW w:w="2551" w:type="dxa"/>
          </w:tcPr>
          <w:p w14:paraId="55320B4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BE72CC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EACEE6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10A7C3D" w14:textId="77777777" w:rsidTr="00E543D0">
        <w:tc>
          <w:tcPr>
            <w:tcW w:w="2093" w:type="dxa"/>
          </w:tcPr>
          <w:p w14:paraId="30D142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с-ты установлены</w:t>
            </w:r>
          </w:p>
        </w:tc>
        <w:tc>
          <w:tcPr>
            <w:tcW w:w="2551" w:type="dxa"/>
          </w:tcPr>
          <w:p w14:paraId="66F84D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ставить концевые</w:t>
            </w:r>
          </w:p>
        </w:tc>
        <w:tc>
          <w:tcPr>
            <w:tcW w:w="2906" w:type="dxa"/>
          </w:tcPr>
          <w:p w14:paraId="5EC3FE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Касается серийного производства</w:t>
            </w:r>
          </w:p>
        </w:tc>
        <w:tc>
          <w:tcPr>
            <w:tcW w:w="2905" w:type="dxa"/>
          </w:tcPr>
          <w:p w14:paraId="200669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Произвести замену в частях по</w:t>
            </w:r>
          </w:p>
        </w:tc>
      </w:tr>
      <w:tr w:rsidR="007D5DF8" w:rsidRPr="00DB5D0D" w14:paraId="4E66BAAE" w14:textId="77777777" w:rsidTr="00E543D0">
        <w:tc>
          <w:tcPr>
            <w:tcW w:w="2093" w:type="dxa"/>
          </w:tcPr>
          <w:p w14:paraId="7A4D0C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концевые выключатели</w:t>
            </w:r>
          </w:p>
        </w:tc>
        <w:tc>
          <w:tcPr>
            <w:tcW w:w="2551" w:type="dxa"/>
          </w:tcPr>
          <w:p w14:paraId="78D5F0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выключатели образца принятого</w:t>
            </w:r>
          </w:p>
        </w:tc>
        <w:tc>
          <w:tcPr>
            <w:tcW w:w="2906" w:type="dxa"/>
          </w:tcPr>
          <w:p w14:paraId="4266FB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завода</w:t>
            </w:r>
          </w:p>
        </w:tc>
        <w:tc>
          <w:tcPr>
            <w:tcW w:w="2905" w:type="dxa"/>
          </w:tcPr>
          <w:p w14:paraId="03DCF3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особому заказу ГУ ВВС.</w:t>
            </w:r>
          </w:p>
        </w:tc>
      </w:tr>
      <w:tr w:rsidR="007D5DF8" w:rsidRPr="00DB5D0D" w14:paraId="0EED8DF0" w14:textId="77777777" w:rsidTr="00E543D0">
        <w:tc>
          <w:tcPr>
            <w:tcW w:w="2093" w:type="dxa"/>
          </w:tcPr>
          <w:p w14:paraId="561492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сигнализации шасси</w:t>
            </w:r>
          </w:p>
        </w:tc>
        <w:tc>
          <w:tcPr>
            <w:tcW w:w="2551" w:type="dxa"/>
          </w:tcPr>
          <w:p w14:paraId="6E4C05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снабжение ВВС и прошедшего</w:t>
            </w:r>
          </w:p>
        </w:tc>
        <w:tc>
          <w:tcPr>
            <w:tcW w:w="2906" w:type="dxa"/>
          </w:tcPr>
          <w:p w14:paraId="757C466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BA6F4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C4D6924" w14:textId="77777777" w:rsidTr="00E543D0">
        <w:tc>
          <w:tcPr>
            <w:tcW w:w="2093" w:type="dxa"/>
          </w:tcPr>
          <w:p w14:paraId="4A6AE3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принятого на</w:t>
            </w:r>
          </w:p>
        </w:tc>
        <w:tc>
          <w:tcPr>
            <w:tcW w:w="2551" w:type="dxa"/>
          </w:tcPr>
          <w:p w14:paraId="019E63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(для возможности</w:t>
            </w:r>
          </w:p>
        </w:tc>
        <w:tc>
          <w:tcPr>
            <w:tcW w:w="2906" w:type="dxa"/>
          </w:tcPr>
          <w:p w14:paraId="344BBDE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58C0EC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00022C4" w14:textId="77777777" w:rsidTr="00E543D0">
        <w:tc>
          <w:tcPr>
            <w:tcW w:w="2093" w:type="dxa"/>
          </w:tcPr>
          <w:p w14:paraId="40C77E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снабжение ВВС образца,</w:t>
            </w:r>
          </w:p>
        </w:tc>
        <w:tc>
          <w:tcPr>
            <w:tcW w:w="2551" w:type="dxa"/>
          </w:tcPr>
          <w:p w14:paraId="405EB1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получения запасных в строевых</w:t>
            </w:r>
          </w:p>
        </w:tc>
        <w:tc>
          <w:tcPr>
            <w:tcW w:w="2906" w:type="dxa"/>
          </w:tcPr>
          <w:p w14:paraId="0BC6D1E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56FE06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EA6D1D4" w14:textId="77777777" w:rsidTr="00E543D0">
        <w:tc>
          <w:tcPr>
            <w:tcW w:w="2093" w:type="dxa"/>
          </w:tcPr>
          <w:p w14:paraId="704262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которые в добавок при</w:t>
            </w:r>
          </w:p>
        </w:tc>
        <w:tc>
          <w:tcPr>
            <w:tcW w:w="2551" w:type="dxa"/>
          </w:tcPr>
          <w:p w14:paraId="3DD4B1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частях ВВС)</w:t>
            </w:r>
          </w:p>
        </w:tc>
        <w:tc>
          <w:tcPr>
            <w:tcW w:w="2906" w:type="dxa"/>
          </w:tcPr>
          <w:p w14:paraId="23BBBE1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477AF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A797818" w14:textId="77777777" w:rsidTr="00E543D0">
        <w:tc>
          <w:tcPr>
            <w:tcW w:w="2093" w:type="dxa"/>
          </w:tcPr>
          <w:p w14:paraId="50CC7A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испытании в 12 отд.</w:t>
            </w:r>
          </w:p>
        </w:tc>
        <w:tc>
          <w:tcPr>
            <w:tcW w:w="2551" w:type="dxa"/>
          </w:tcPr>
          <w:p w14:paraId="4F947F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0EEA8F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5791410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6A7232B" w14:textId="77777777" w:rsidTr="00E543D0">
        <w:tc>
          <w:tcPr>
            <w:tcW w:w="2093" w:type="dxa"/>
          </w:tcPr>
          <w:p w14:paraId="210131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ГУАС показали</w:t>
            </w:r>
          </w:p>
        </w:tc>
        <w:tc>
          <w:tcPr>
            <w:tcW w:w="2551" w:type="dxa"/>
          </w:tcPr>
          <w:p w14:paraId="45E3FDB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568992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6CFA2D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A0CBA18" w14:textId="77777777" w:rsidTr="00E543D0">
        <w:tc>
          <w:tcPr>
            <w:tcW w:w="2093" w:type="dxa"/>
          </w:tcPr>
          <w:p w14:paraId="24FCF5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неудовлетворительные</w:t>
            </w:r>
          </w:p>
        </w:tc>
        <w:tc>
          <w:tcPr>
            <w:tcW w:w="2551" w:type="dxa"/>
          </w:tcPr>
          <w:p w14:paraId="175A51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EEDCC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3D5543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99404B3" w14:textId="77777777" w:rsidTr="00E543D0">
        <w:tc>
          <w:tcPr>
            <w:tcW w:w="2093" w:type="dxa"/>
          </w:tcPr>
          <w:p w14:paraId="454BE4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и были</w:t>
            </w:r>
          </w:p>
        </w:tc>
        <w:tc>
          <w:tcPr>
            <w:tcW w:w="2551" w:type="dxa"/>
          </w:tcPr>
          <w:p w14:paraId="0B920A9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CACE89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064E43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BD6435B" w14:textId="77777777" w:rsidTr="00E543D0">
        <w:tc>
          <w:tcPr>
            <w:tcW w:w="2093" w:type="dxa"/>
          </w:tcPr>
          <w:p w14:paraId="0E84FE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забракованы</w:t>
            </w:r>
          </w:p>
        </w:tc>
        <w:tc>
          <w:tcPr>
            <w:tcW w:w="2551" w:type="dxa"/>
          </w:tcPr>
          <w:p w14:paraId="1F1212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135AEA0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21D0A1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C6EC803" w14:textId="77777777" w:rsidTr="00E543D0">
        <w:tc>
          <w:tcPr>
            <w:tcW w:w="2093" w:type="dxa"/>
          </w:tcPr>
          <w:p w14:paraId="45E2E3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По средствам связи.</w:t>
            </w:r>
          </w:p>
        </w:tc>
        <w:tc>
          <w:tcPr>
            <w:tcW w:w="2551" w:type="dxa"/>
          </w:tcPr>
          <w:p w14:paraId="2C2C961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4587486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1F0580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B228B63" w14:textId="77777777" w:rsidTr="00E543D0">
        <w:tc>
          <w:tcPr>
            <w:tcW w:w="2093" w:type="dxa"/>
          </w:tcPr>
          <w:p w14:paraId="30FBD4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Размещение антенного</w:t>
            </w:r>
          </w:p>
        </w:tc>
        <w:tc>
          <w:tcPr>
            <w:tcW w:w="2551" w:type="dxa"/>
          </w:tcPr>
          <w:p w14:paraId="480518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Антенный амперметр </w:t>
            </w:r>
          </w:p>
        </w:tc>
        <w:tc>
          <w:tcPr>
            <w:tcW w:w="2906" w:type="dxa"/>
          </w:tcPr>
          <w:p w14:paraId="069465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Извещение на перенос антенного</w:t>
            </w:r>
          </w:p>
        </w:tc>
        <w:tc>
          <w:tcPr>
            <w:tcW w:w="2905" w:type="dxa"/>
          </w:tcPr>
          <w:p w14:paraId="060BBB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выполнять отказывается</w:t>
            </w:r>
          </w:p>
        </w:tc>
      </w:tr>
      <w:tr w:rsidR="007D5DF8" w:rsidRPr="00DB5D0D" w14:paraId="0F422467" w14:textId="77777777" w:rsidTr="00E543D0">
        <w:tc>
          <w:tcPr>
            <w:tcW w:w="2093" w:type="dxa"/>
          </w:tcPr>
          <w:p w14:paraId="474A04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амперметра на правом</w:t>
            </w:r>
          </w:p>
        </w:tc>
        <w:tc>
          <w:tcPr>
            <w:tcW w:w="2551" w:type="dxa"/>
          </w:tcPr>
          <w:p w14:paraId="7D948F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устанавливать на приборном</w:t>
            </w:r>
          </w:p>
        </w:tc>
        <w:tc>
          <w:tcPr>
            <w:tcW w:w="2906" w:type="dxa"/>
          </w:tcPr>
          <w:p w14:paraId="475EDA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амперметра, кроме N 23 спущено</w:t>
            </w:r>
          </w:p>
        </w:tc>
        <w:tc>
          <w:tcPr>
            <w:tcW w:w="2905" w:type="dxa"/>
          </w:tcPr>
          <w:p w14:paraId="1CF572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ED31E04" w14:textId="77777777" w:rsidTr="00E543D0">
        <w:tc>
          <w:tcPr>
            <w:tcW w:w="2093" w:type="dxa"/>
          </w:tcPr>
          <w:p w14:paraId="777B35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борту вверху (под</w:t>
            </w:r>
          </w:p>
        </w:tc>
        <w:tc>
          <w:tcPr>
            <w:tcW w:w="2551" w:type="dxa"/>
          </w:tcPr>
          <w:p w14:paraId="4CC203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щитке стрелка-радиста</w:t>
            </w:r>
          </w:p>
        </w:tc>
        <w:tc>
          <w:tcPr>
            <w:tcW w:w="2906" w:type="dxa"/>
          </w:tcPr>
          <w:p w14:paraId="4A0145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нами 16/Х-39 г. за N 74</w:t>
            </w:r>
          </w:p>
        </w:tc>
        <w:tc>
          <w:tcPr>
            <w:tcW w:w="2905" w:type="dxa"/>
          </w:tcPr>
          <w:p w14:paraId="2DD992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D02B9F0" w14:textId="77777777" w:rsidTr="00E543D0">
        <w:tc>
          <w:tcPr>
            <w:tcW w:w="2093" w:type="dxa"/>
          </w:tcPr>
          <w:p w14:paraId="54333E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жесткостью турели) не</w:t>
            </w:r>
          </w:p>
        </w:tc>
        <w:tc>
          <w:tcPr>
            <w:tcW w:w="2551" w:type="dxa"/>
          </w:tcPr>
          <w:p w14:paraId="4CF8F1D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056230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22EE5A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FE1E988" w14:textId="77777777" w:rsidTr="00E543D0">
        <w:tc>
          <w:tcPr>
            <w:tcW w:w="2093" w:type="dxa"/>
          </w:tcPr>
          <w:p w14:paraId="5CA3EB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обеспечивает возможность</w:t>
            </w:r>
          </w:p>
        </w:tc>
        <w:tc>
          <w:tcPr>
            <w:tcW w:w="2551" w:type="dxa"/>
          </w:tcPr>
          <w:p w14:paraId="179439B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C77D9D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CED8A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61D46D3" w14:textId="77777777" w:rsidTr="00E543D0">
        <w:tc>
          <w:tcPr>
            <w:tcW w:w="2093" w:type="dxa"/>
          </w:tcPr>
          <w:p w14:paraId="68C8AE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наблюдения за ним из</w:t>
            </w:r>
          </w:p>
        </w:tc>
        <w:tc>
          <w:tcPr>
            <w:tcW w:w="2551" w:type="dxa"/>
          </w:tcPr>
          <w:p w14:paraId="75D818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E33100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7FB7DF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8BE5633" w14:textId="77777777" w:rsidTr="00E543D0">
        <w:tc>
          <w:tcPr>
            <w:tcW w:w="2093" w:type="dxa"/>
          </w:tcPr>
          <w:p w14:paraId="3C32E6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походно-боевого</w:t>
            </w:r>
          </w:p>
        </w:tc>
        <w:tc>
          <w:tcPr>
            <w:tcW w:w="2551" w:type="dxa"/>
          </w:tcPr>
          <w:p w14:paraId="07BE61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DB221E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25CBDBD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BE1E3B8" w14:textId="77777777" w:rsidTr="00E543D0">
        <w:tc>
          <w:tcPr>
            <w:tcW w:w="2093" w:type="dxa"/>
          </w:tcPr>
          <w:p w14:paraId="58FD9C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положения стрелка-радиста</w:t>
            </w:r>
          </w:p>
        </w:tc>
        <w:tc>
          <w:tcPr>
            <w:tcW w:w="2551" w:type="dxa"/>
          </w:tcPr>
          <w:p w14:paraId="14732A6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12E4AD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7F923D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A120E06" w14:textId="77777777" w:rsidTr="00E543D0">
        <w:tc>
          <w:tcPr>
            <w:tcW w:w="2093" w:type="dxa"/>
          </w:tcPr>
          <w:p w14:paraId="23EA15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Сиденье стрелка-радиста</w:t>
            </w:r>
          </w:p>
        </w:tc>
        <w:tc>
          <w:tcPr>
            <w:tcW w:w="2551" w:type="dxa"/>
          </w:tcPr>
          <w:p w14:paraId="66480C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Сиденье сделать жестким</w:t>
            </w:r>
          </w:p>
        </w:tc>
        <w:tc>
          <w:tcPr>
            <w:tcW w:w="2906" w:type="dxa"/>
          </w:tcPr>
          <w:p w14:paraId="750A95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Извещение на откидное сиденье</w:t>
            </w:r>
          </w:p>
        </w:tc>
        <w:tc>
          <w:tcPr>
            <w:tcW w:w="2905" w:type="dxa"/>
          </w:tcPr>
          <w:p w14:paraId="3218BC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Переделывать сиденье завод</w:t>
            </w:r>
          </w:p>
        </w:tc>
      </w:tr>
      <w:tr w:rsidR="007D5DF8" w:rsidRPr="00DB5D0D" w14:paraId="07A3D42F" w14:textId="77777777" w:rsidTr="00E543D0">
        <w:tc>
          <w:tcPr>
            <w:tcW w:w="2093" w:type="dxa"/>
          </w:tcPr>
          <w:p w14:paraId="21B0EE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неудобно. Стрелок с</w:t>
            </w:r>
          </w:p>
        </w:tc>
        <w:tc>
          <w:tcPr>
            <w:tcW w:w="2551" w:type="dxa"/>
          </w:tcPr>
          <w:p w14:paraId="1BC104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пилотский парашют,</w:t>
            </w:r>
          </w:p>
        </w:tc>
        <w:tc>
          <w:tcPr>
            <w:tcW w:w="2906" w:type="dxa"/>
          </w:tcPr>
          <w:p w14:paraId="56E75D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стрелка под пилотский парашют</w:t>
            </w:r>
          </w:p>
        </w:tc>
        <w:tc>
          <w:tcPr>
            <w:tcW w:w="2905" w:type="dxa"/>
          </w:tcPr>
          <w:p w14:paraId="050764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отказывается.</w:t>
            </w:r>
          </w:p>
        </w:tc>
      </w:tr>
      <w:tr w:rsidR="007D5DF8" w:rsidRPr="00DB5D0D" w14:paraId="08FD757A" w14:textId="77777777" w:rsidTr="00E543D0">
        <w:tc>
          <w:tcPr>
            <w:tcW w:w="2093" w:type="dxa"/>
          </w:tcPr>
          <w:p w14:paraId="330FBF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прицепным парашютом не</w:t>
            </w:r>
          </w:p>
        </w:tc>
        <w:tc>
          <w:tcPr>
            <w:tcW w:w="2551" w:type="dxa"/>
          </w:tcPr>
          <w:p w14:paraId="7E3FF1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откидным и перемещающимся</w:t>
            </w:r>
          </w:p>
        </w:tc>
        <w:tc>
          <w:tcPr>
            <w:tcW w:w="2906" w:type="dxa"/>
          </w:tcPr>
          <w:p w14:paraId="762282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спущено нами 4/IV-40 г. за</w:t>
            </w:r>
          </w:p>
        </w:tc>
        <w:tc>
          <w:tcPr>
            <w:tcW w:w="2905" w:type="dxa"/>
          </w:tcPr>
          <w:p w14:paraId="24F5E92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9FBB75C" w14:textId="77777777" w:rsidTr="00E543D0">
        <w:tc>
          <w:tcPr>
            <w:tcW w:w="2093" w:type="dxa"/>
          </w:tcPr>
          <w:p w14:paraId="7E907E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имеет возможности</w:t>
            </w:r>
          </w:p>
        </w:tc>
        <w:tc>
          <w:tcPr>
            <w:tcW w:w="2551" w:type="dxa"/>
          </w:tcPr>
          <w:p w14:paraId="08584C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вертикальной оси вверх</w:t>
            </w:r>
          </w:p>
        </w:tc>
        <w:tc>
          <w:tcPr>
            <w:tcW w:w="2906" w:type="dxa"/>
          </w:tcPr>
          <w:p w14:paraId="3E7D7C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 192 и 10/VII-40 г. за N 240.</w:t>
            </w:r>
          </w:p>
        </w:tc>
        <w:tc>
          <w:tcPr>
            <w:tcW w:w="2905" w:type="dxa"/>
          </w:tcPr>
          <w:p w14:paraId="6F19C0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8AFE09C" w14:textId="77777777" w:rsidTr="00E543D0">
        <w:tc>
          <w:tcPr>
            <w:tcW w:w="2093" w:type="dxa"/>
          </w:tcPr>
          <w:p w14:paraId="58B626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работать на рации, а</w:t>
            </w:r>
          </w:p>
        </w:tc>
        <w:tc>
          <w:tcPr>
            <w:tcW w:w="2551" w:type="dxa"/>
          </w:tcPr>
          <w:p w14:paraId="5EFB73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вниз, а по горизонтальной</w:t>
            </w:r>
          </w:p>
        </w:tc>
        <w:tc>
          <w:tcPr>
            <w:tcW w:w="2906" w:type="dxa"/>
          </w:tcPr>
          <w:p w14:paraId="6F81EE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694E20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A6A17CF" w14:textId="77777777" w:rsidTr="00E543D0">
        <w:tc>
          <w:tcPr>
            <w:tcW w:w="2093" w:type="dxa"/>
          </w:tcPr>
          <w:p w14:paraId="0E48B8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пилотский парашют</w:t>
            </w:r>
          </w:p>
        </w:tc>
        <w:tc>
          <w:tcPr>
            <w:tcW w:w="2551" w:type="dxa"/>
          </w:tcPr>
          <w:p w14:paraId="16CBD2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вправо и влево на 50 град.</w:t>
            </w:r>
          </w:p>
        </w:tc>
        <w:tc>
          <w:tcPr>
            <w:tcW w:w="2906" w:type="dxa"/>
          </w:tcPr>
          <w:p w14:paraId="2450B74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47942C0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59BADF4" w14:textId="77777777" w:rsidTr="00E543D0">
        <w:tc>
          <w:tcPr>
            <w:tcW w:w="2093" w:type="dxa"/>
          </w:tcPr>
          <w:p w14:paraId="73201F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сиденье не приспособлено.</w:t>
            </w:r>
          </w:p>
        </w:tc>
        <w:tc>
          <w:tcPr>
            <w:tcW w:w="2551" w:type="dxa"/>
          </w:tcPr>
          <w:p w14:paraId="325491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16C983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E19248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7B3C771" w14:textId="77777777" w:rsidTr="00E543D0">
        <w:tc>
          <w:tcPr>
            <w:tcW w:w="2093" w:type="dxa"/>
          </w:tcPr>
          <w:p w14:paraId="506D52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Фиксация сиденья не</w:t>
            </w:r>
          </w:p>
        </w:tc>
        <w:tc>
          <w:tcPr>
            <w:tcW w:w="2551" w:type="dxa"/>
          </w:tcPr>
          <w:p w14:paraId="0CF5FE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541E6A0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2DD60C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D5ADCEB" w14:textId="77777777" w:rsidTr="00E543D0">
        <w:tc>
          <w:tcPr>
            <w:tcW w:w="2093" w:type="dxa"/>
          </w:tcPr>
          <w:p w14:paraId="16F6FB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прочна.</w:t>
            </w:r>
          </w:p>
        </w:tc>
        <w:tc>
          <w:tcPr>
            <w:tcW w:w="2551" w:type="dxa"/>
          </w:tcPr>
          <w:p w14:paraId="1C1CAD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133A10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594ED2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C56B45E" w14:textId="77777777" w:rsidTr="00E543D0">
        <w:tc>
          <w:tcPr>
            <w:tcW w:w="2093" w:type="dxa"/>
          </w:tcPr>
          <w:p w14:paraId="11D9DE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Индикатор курса</w:t>
            </w:r>
          </w:p>
        </w:tc>
        <w:tc>
          <w:tcPr>
            <w:tcW w:w="2551" w:type="dxa"/>
          </w:tcPr>
          <w:p w14:paraId="6E3947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Индикатор курса поставить</w:t>
            </w:r>
          </w:p>
        </w:tc>
        <w:tc>
          <w:tcPr>
            <w:tcW w:w="2906" w:type="dxa"/>
          </w:tcPr>
          <w:p w14:paraId="2671A3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Перенос индикатора связан с</w:t>
            </w:r>
          </w:p>
        </w:tc>
        <w:tc>
          <w:tcPr>
            <w:tcW w:w="2905" w:type="dxa"/>
          </w:tcPr>
          <w:p w14:paraId="708AEA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Менять установку индикатора</w:t>
            </w:r>
          </w:p>
        </w:tc>
      </w:tr>
      <w:tr w:rsidR="007D5DF8" w:rsidRPr="00DB5D0D" w14:paraId="3E0A0784" w14:textId="77777777" w:rsidTr="00E543D0">
        <w:tc>
          <w:tcPr>
            <w:tcW w:w="2093" w:type="dxa"/>
          </w:tcPr>
          <w:p w14:paraId="45524A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штурмана установлен на</w:t>
            </w:r>
          </w:p>
        </w:tc>
        <w:tc>
          <w:tcPr>
            <w:tcW w:w="2551" w:type="dxa"/>
          </w:tcPr>
          <w:p w14:paraId="00FCF3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приборный щиток штурмана.</w:t>
            </w:r>
          </w:p>
        </w:tc>
        <w:tc>
          <w:tcPr>
            <w:tcW w:w="2906" w:type="dxa"/>
          </w:tcPr>
          <w:p w14:paraId="030855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перекомпоновкой оборудования</w:t>
            </w:r>
          </w:p>
        </w:tc>
        <w:tc>
          <w:tcPr>
            <w:tcW w:w="2905" w:type="dxa"/>
          </w:tcPr>
          <w:p w14:paraId="71C56D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курса нецелесообразно.</w:t>
            </w:r>
          </w:p>
        </w:tc>
      </w:tr>
      <w:tr w:rsidR="007D5DF8" w:rsidRPr="00DB5D0D" w14:paraId="63A795E6" w14:textId="77777777" w:rsidTr="00E543D0">
        <w:tc>
          <w:tcPr>
            <w:tcW w:w="2093" w:type="dxa"/>
          </w:tcPr>
          <w:p w14:paraId="21CF33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общем щитке РПК-2, что</w:t>
            </w:r>
          </w:p>
        </w:tc>
        <w:tc>
          <w:tcPr>
            <w:tcW w:w="2551" w:type="dxa"/>
          </w:tcPr>
          <w:p w14:paraId="24F32E0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039FD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BC445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всей кабины. Производить</w:t>
            </w:r>
          </w:p>
        </w:tc>
      </w:tr>
      <w:tr w:rsidR="007D5DF8" w:rsidRPr="00DB5D0D" w14:paraId="4507DD01" w14:textId="77777777" w:rsidTr="00E543D0">
        <w:tc>
          <w:tcPr>
            <w:tcW w:w="2093" w:type="dxa"/>
          </w:tcPr>
          <w:p w14:paraId="2F2E80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неудобно для работы</w:t>
            </w:r>
          </w:p>
        </w:tc>
        <w:tc>
          <w:tcPr>
            <w:tcW w:w="2551" w:type="dxa"/>
          </w:tcPr>
          <w:p w14:paraId="260F45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32EB5A2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09EF86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перенос нецелесообразно.</w:t>
            </w:r>
          </w:p>
        </w:tc>
      </w:tr>
      <w:tr w:rsidR="007D5DF8" w:rsidRPr="00DB5D0D" w14:paraId="63A88345" w14:textId="77777777" w:rsidTr="00E543D0">
        <w:tc>
          <w:tcPr>
            <w:tcW w:w="2093" w:type="dxa"/>
          </w:tcPr>
          <w:p w14:paraId="59B636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штурмана. В полете</w:t>
            </w:r>
          </w:p>
        </w:tc>
        <w:tc>
          <w:tcPr>
            <w:tcW w:w="2551" w:type="dxa"/>
          </w:tcPr>
          <w:p w14:paraId="3E5761C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394E6BE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08F47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его, аналогичная</w:t>
            </w:r>
          </w:p>
        </w:tc>
      </w:tr>
      <w:tr w:rsidR="007D5DF8" w:rsidRPr="00DB5D0D" w14:paraId="770910B0" w14:textId="77777777" w:rsidTr="00E543D0">
        <w:tc>
          <w:tcPr>
            <w:tcW w:w="2093" w:type="dxa"/>
          </w:tcPr>
          <w:p w14:paraId="52C0D6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приходится все время</w:t>
            </w:r>
          </w:p>
        </w:tc>
        <w:tc>
          <w:tcPr>
            <w:tcW w:w="2551" w:type="dxa"/>
          </w:tcPr>
          <w:p w14:paraId="4AEF87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23C08D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42B2A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существующей на ДБ-3ф утверждена</w:t>
            </w:r>
          </w:p>
        </w:tc>
      </w:tr>
      <w:tr w:rsidR="007D5DF8" w:rsidRPr="00DB5D0D" w14:paraId="667AA52F" w14:textId="77777777" w:rsidTr="00E543D0">
        <w:tc>
          <w:tcPr>
            <w:tcW w:w="2093" w:type="dxa"/>
          </w:tcPr>
          <w:p w14:paraId="31D21A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поворачивать голову,</w:t>
            </w:r>
          </w:p>
        </w:tc>
        <w:tc>
          <w:tcPr>
            <w:tcW w:w="2551" w:type="dxa"/>
          </w:tcPr>
          <w:p w14:paraId="6454AB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1F52368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300262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ДБ-4.</w:t>
            </w:r>
          </w:p>
        </w:tc>
      </w:tr>
      <w:tr w:rsidR="007D5DF8" w:rsidRPr="00DB5D0D" w14:paraId="4B76F9D0" w14:textId="77777777" w:rsidTr="00E543D0">
        <w:tc>
          <w:tcPr>
            <w:tcW w:w="2093" w:type="dxa"/>
          </w:tcPr>
          <w:p w14:paraId="0A1FF4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чтобы следить за ним.</w:t>
            </w:r>
          </w:p>
        </w:tc>
        <w:tc>
          <w:tcPr>
            <w:tcW w:w="2551" w:type="dxa"/>
          </w:tcPr>
          <w:p w14:paraId="06E78F7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7C765F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6437CB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8196800" w14:textId="77777777" w:rsidTr="00E543D0">
        <w:tc>
          <w:tcPr>
            <w:tcW w:w="2093" w:type="dxa"/>
          </w:tcPr>
          <w:p w14:paraId="2E5A6C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Штурманская служба.</w:t>
            </w:r>
          </w:p>
        </w:tc>
        <w:tc>
          <w:tcPr>
            <w:tcW w:w="2551" w:type="dxa"/>
          </w:tcPr>
          <w:p w14:paraId="5E0E4A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654CD48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4F8262E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D3EAEEC" w14:textId="77777777" w:rsidTr="00E543D0">
        <w:tc>
          <w:tcPr>
            <w:tcW w:w="2093" w:type="dxa"/>
          </w:tcPr>
          <w:p w14:paraId="61B79C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Компоновка приборной</w:t>
            </w:r>
          </w:p>
        </w:tc>
        <w:tc>
          <w:tcPr>
            <w:tcW w:w="2551" w:type="dxa"/>
          </w:tcPr>
          <w:p w14:paraId="5BF3D0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Размещение приборов у летчика</w:t>
            </w:r>
          </w:p>
        </w:tc>
        <w:tc>
          <w:tcPr>
            <w:tcW w:w="2906" w:type="dxa"/>
          </w:tcPr>
          <w:p w14:paraId="338CBD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Требование не конкретное.</w:t>
            </w:r>
          </w:p>
        </w:tc>
        <w:tc>
          <w:tcPr>
            <w:tcW w:w="2905" w:type="dxa"/>
          </w:tcPr>
          <w:p w14:paraId="39592D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Менять размещение приборов</w:t>
            </w:r>
          </w:p>
        </w:tc>
      </w:tr>
      <w:tr w:rsidR="007D5DF8" w:rsidRPr="00DB5D0D" w14:paraId="43D3E77A" w14:textId="77777777" w:rsidTr="00E543D0">
        <w:tc>
          <w:tcPr>
            <w:tcW w:w="2093" w:type="dxa"/>
          </w:tcPr>
          <w:p w14:paraId="58C955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доски летчика при</w:t>
            </w:r>
          </w:p>
        </w:tc>
        <w:tc>
          <w:tcPr>
            <w:tcW w:w="2551" w:type="dxa"/>
          </w:tcPr>
          <w:p w14:paraId="3EF3FA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осуществить в соответствии с</w:t>
            </w:r>
          </w:p>
        </w:tc>
        <w:tc>
          <w:tcPr>
            <w:tcW w:w="2906" w:type="dxa"/>
          </w:tcPr>
          <w:p w14:paraId="30E9D0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Решения принятые по с-ту ДБ-4</w:t>
            </w:r>
          </w:p>
        </w:tc>
        <w:tc>
          <w:tcPr>
            <w:tcW w:w="2905" w:type="dxa"/>
          </w:tcPr>
          <w:p w14:paraId="14F987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нецелесообразно.</w:t>
            </w:r>
          </w:p>
        </w:tc>
      </w:tr>
      <w:tr w:rsidR="007D5DF8" w:rsidRPr="00DB5D0D" w14:paraId="20A483B3" w14:textId="77777777" w:rsidTr="00E543D0">
        <w:tc>
          <w:tcPr>
            <w:tcW w:w="2093" w:type="dxa"/>
          </w:tcPr>
          <w:p w14:paraId="336406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наличии автопилота не</w:t>
            </w:r>
          </w:p>
        </w:tc>
        <w:tc>
          <w:tcPr>
            <w:tcW w:w="2551" w:type="dxa"/>
          </w:tcPr>
          <w:p w14:paraId="1F5CBA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протоколом от 7/IV-40 г.</w:t>
            </w:r>
          </w:p>
        </w:tc>
        <w:tc>
          <w:tcPr>
            <w:tcW w:w="2906" w:type="dxa"/>
          </w:tcPr>
          <w:p w14:paraId="437CC0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могут иметь отношения</w:t>
            </w:r>
          </w:p>
        </w:tc>
        <w:tc>
          <w:tcPr>
            <w:tcW w:w="2905" w:type="dxa"/>
          </w:tcPr>
          <w:p w14:paraId="23F8F3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ABDCFDB" w14:textId="77777777" w:rsidTr="00E543D0">
        <w:tc>
          <w:tcPr>
            <w:tcW w:w="2093" w:type="dxa"/>
          </w:tcPr>
          <w:p w14:paraId="625D40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обеспечивает удобного</w:t>
            </w:r>
          </w:p>
        </w:tc>
        <w:tc>
          <w:tcPr>
            <w:tcW w:w="2551" w:type="dxa"/>
          </w:tcPr>
          <w:p w14:paraId="2E7493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рассмотрения приборной доски</w:t>
            </w:r>
          </w:p>
        </w:tc>
        <w:tc>
          <w:tcPr>
            <w:tcW w:w="2906" w:type="dxa"/>
          </w:tcPr>
          <w:p w14:paraId="495177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самолету ДБ-3ф.</w:t>
            </w:r>
          </w:p>
        </w:tc>
        <w:tc>
          <w:tcPr>
            <w:tcW w:w="2905" w:type="dxa"/>
          </w:tcPr>
          <w:p w14:paraId="5563A50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7EC24C7" w14:textId="77777777" w:rsidTr="00E543D0">
        <w:tc>
          <w:tcPr>
            <w:tcW w:w="2093" w:type="dxa"/>
          </w:tcPr>
          <w:p w14:paraId="0EDC03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пользования и наблюден.</w:t>
            </w:r>
          </w:p>
        </w:tc>
        <w:tc>
          <w:tcPr>
            <w:tcW w:w="2551" w:type="dxa"/>
          </w:tcPr>
          <w:p w14:paraId="297041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летчика для с-та ДБ-4.</w:t>
            </w:r>
          </w:p>
        </w:tc>
        <w:tc>
          <w:tcPr>
            <w:tcW w:w="2906" w:type="dxa"/>
          </w:tcPr>
          <w:p w14:paraId="5288276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4C5BC6F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F1DDD6F" w14:textId="77777777" w:rsidTr="00E543D0">
        <w:tc>
          <w:tcPr>
            <w:tcW w:w="2093" w:type="dxa"/>
          </w:tcPr>
          <w:p w14:paraId="394BD1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приборами: АВП,</w:t>
            </w:r>
          </w:p>
        </w:tc>
        <w:tc>
          <w:tcPr>
            <w:tcW w:w="2551" w:type="dxa"/>
          </w:tcPr>
          <w:p w14:paraId="2CB46B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09BE21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173D8B8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232700D" w14:textId="77777777" w:rsidTr="00E543D0">
        <w:tc>
          <w:tcPr>
            <w:tcW w:w="2093" w:type="dxa"/>
          </w:tcPr>
          <w:p w14:paraId="27C4B1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навигационными и т.п.</w:t>
            </w:r>
          </w:p>
        </w:tc>
        <w:tc>
          <w:tcPr>
            <w:tcW w:w="2551" w:type="dxa"/>
          </w:tcPr>
          <w:p w14:paraId="3FE14F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41B5D14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72A70B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F6B5F2" w14:textId="77777777" w:rsidTr="00E543D0">
        <w:tc>
          <w:tcPr>
            <w:tcW w:w="2093" w:type="dxa"/>
          </w:tcPr>
          <w:p w14:paraId="540161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Внутреннее освещение</w:t>
            </w:r>
          </w:p>
        </w:tc>
        <w:tc>
          <w:tcPr>
            <w:tcW w:w="2551" w:type="dxa"/>
          </w:tcPr>
          <w:p w14:paraId="53FE21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внутреннее</w:t>
            </w:r>
          </w:p>
        </w:tc>
        <w:tc>
          <w:tcPr>
            <w:tcW w:w="2906" w:type="dxa"/>
          </w:tcPr>
          <w:p w14:paraId="574719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Требование не выполнено,</w:t>
            </w:r>
          </w:p>
        </w:tc>
        <w:tc>
          <w:tcPr>
            <w:tcW w:w="2905" w:type="dxa"/>
          </w:tcPr>
          <w:p w14:paraId="5DB320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Доработку не проводить.</w:t>
            </w:r>
          </w:p>
        </w:tc>
      </w:tr>
      <w:tr w:rsidR="007D5DF8" w:rsidRPr="00DB5D0D" w14:paraId="71E90639" w14:textId="77777777" w:rsidTr="00E543D0">
        <w:tc>
          <w:tcPr>
            <w:tcW w:w="2093" w:type="dxa"/>
          </w:tcPr>
          <w:p w14:paraId="02AEE4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 неудовлетворит.:</w:t>
            </w:r>
          </w:p>
        </w:tc>
        <w:tc>
          <w:tcPr>
            <w:tcW w:w="2551" w:type="dxa"/>
          </w:tcPr>
          <w:p w14:paraId="0A7BFA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освещение выполнить со всей</w:t>
            </w:r>
          </w:p>
        </w:tc>
        <w:tc>
          <w:tcPr>
            <w:tcW w:w="2906" w:type="dxa"/>
          </w:tcPr>
          <w:p w14:paraId="5135F5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отсутствия соответств.</w:t>
            </w:r>
          </w:p>
        </w:tc>
        <w:tc>
          <w:tcPr>
            <w:tcW w:w="2905" w:type="dxa"/>
          </w:tcPr>
          <w:p w14:paraId="1E0CF39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E8D16F4" w14:textId="77777777" w:rsidTr="00E543D0">
        <w:tc>
          <w:tcPr>
            <w:tcW w:w="2093" w:type="dxa"/>
          </w:tcPr>
          <w:p w14:paraId="13A09E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 кабине штурмана</w:t>
            </w:r>
          </w:p>
        </w:tc>
        <w:tc>
          <w:tcPr>
            <w:tcW w:w="2551" w:type="dxa"/>
          </w:tcPr>
          <w:p w14:paraId="13FD21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тщательностью, предусмотреть</w:t>
            </w:r>
          </w:p>
        </w:tc>
        <w:tc>
          <w:tcPr>
            <w:tcW w:w="2906" w:type="dxa"/>
          </w:tcPr>
          <w:p w14:paraId="70EF38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аппаратуры. Применение обычных</w:t>
            </w:r>
          </w:p>
        </w:tc>
        <w:tc>
          <w:tcPr>
            <w:tcW w:w="2905" w:type="dxa"/>
          </w:tcPr>
          <w:p w14:paraId="246129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09E2763" w14:textId="77777777" w:rsidTr="00E543D0">
        <w:tc>
          <w:tcPr>
            <w:tcW w:w="2093" w:type="dxa"/>
          </w:tcPr>
          <w:p w14:paraId="45B670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освещены графики</w:t>
            </w:r>
          </w:p>
        </w:tc>
        <w:tc>
          <w:tcPr>
            <w:tcW w:w="2551" w:type="dxa"/>
          </w:tcPr>
          <w:p w14:paraId="02F55B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необходимое освещение всех</w:t>
            </w:r>
          </w:p>
        </w:tc>
        <w:tc>
          <w:tcPr>
            <w:tcW w:w="2906" w:type="dxa"/>
          </w:tcPr>
          <w:p w14:paraId="19BC2B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кабинных ламп вызовет</w:t>
            </w:r>
          </w:p>
        </w:tc>
        <w:tc>
          <w:tcPr>
            <w:tcW w:w="2905" w:type="dxa"/>
          </w:tcPr>
          <w:p w14:paraId="62DA027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1B4907" w14:textId="77777777" w:rsidTr="00E543D0">
        <w:tc>
          <w:tcPr>
            <w:tcW w:w="2093" w:type="dxa"/>
          </w:tcPr>
          <w:p w14:paraId="2E59E0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девиации, управление</w:t>
            </w:r>
          </w:p>
        </w:tc>
        <w:tc>
          <w:tcPr>
            <w:tcW w:w="2551" w:type="dxa"/>
          </w:tcPr>
          <w:p w14:paraId="490EF8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агрегатов управления с-том,</w:t>
            </w:r>
          </w:p>
        </w:tc>
        <w:tc>
          <w:tcPr>
            <w:tcW w:w="2906" w:type="dxa"/>
          </w:tcPr>
          <w:p w14:paraId="5E581B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демаскировку и ослепление, а</w:t>
            </w:r>
          </w:p>
        </w:tc>
        <w:tc>
          <w:tcPr>
            <w:tcW w:w="2905" w:type="dxa"/>
          </w:tcPr>
          <w:p w14:paraId="753631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758438F" w14:textId="77777777" w:rsidTr="00E543D0">
        <w:tc>
          <w:tcPr>
            <w:tcW w:w="2093" w:type="dxa"/>
          </w:tcPr>
          <w:p w14:paraId="20CD73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аварийным сбрасыванием,</w:t>
            </w:r>
          </w:p>
        </w:tc>
        <w:tc>
          <w:tcPr>
            <w:tcW w:w="2551" w:type="dxa"/>
          </w:tcPr>
          <w:p w14:paraId="04D3D2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обеспечив возможность работы</w:t>
            </w:r>
          </w:p>
        </w:tc>
        <w:tc>
          <w:tcPr>
            <w:tcW w:w="2906" w:type="dxa"/>
          </w:tcPr>
          <w:p w14:paraId="4D37E3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применение подсвета громоздко,</w:t>
            </w:r>
          </w:p>
        </w:tc>
        <w:tc>
          <w:tcPr>
            <w:tcW w:w="2905" w:type="dxa"/>
          </w:tcPr>
          <w:p w14:paraId="740CBA6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C663D89" w14:textId="77777777" w:rsidTr="00E543D0">
        <w:tc>
          <w:tcPr>
            <w:tcW w:w="2093" w:type="dxa"/>
          </w:tcPr>
          <w:p w14:paraId="002490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щиток управления РПК-2,</w:t>
            </w:r>
          </w:p>
        </w:tc>
        <w:tc>
          <w:tcPr>
            <w:tcW w:w="2551" w:type="dxa"/>
          </w:tcPr>
          <w:p w14:paraId="15D015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экипажа с картами, условия</w:t>
            </w:r>
          </w:p>
        </w:tc>
        <w:tc>
          <w:tcPr>
            <w:tcW w:w="2906" w:type="dxa"/>
          </w:tcPr>
          <w:p w14:paraId="6AD098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везде применено, а в частности</w:t>
            </w:r>
          </w:p>
        </w:tc>
        <w:tc>
          <w:tcPr>
            <w:tcW w:w="2905" w:type="dxa"/>
          </w:tcPr>
          <w:p w14:paraId="5F654D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856652E" w14:textId="77777777" w:rsidTr="00E543D0">
        <w:tc>
          <w:tcPr>
            <w:tcW w:w="2093" w:type="dxa"/>
          </w:tcPr>
          <w:p w14:paraId="095393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кабине летчика не</w:t>
            </w:r>
          </w:p>
        </w:tc>
        <w:tc>
          <w:tcPr>
            <w:tcW w:w="2551" w:type="dxa"/>
          </w:tcPr>
          <w:p w14:paraId="6660A4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маскировки и защиту от</w:t>
            </w:r>
          </w:p>
        </w:tc>
        <w:tc>
          <w:tcPr>
            <w:tcW w:w="2906" w:type="dxa"/>
          </w:tcPr>
          <w:p w14:paraId="248741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приборов установленных на</w:t>
            </w:r>
          </w:p>
        </w:tc>
        <w:tc>
          <w:tcPr>
            <w:tcW w:w="2905" w:type="dxa"/>
          </w:tcPr>
          <w:p w14:paraId="73EFF9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E3C7A45" w14:textId="77777777" w:rsidTr="00E543D0">
        <w:tc>
          <w:tcPr>
            <w:tcW w:w="2093" w:type="dxa"/>
          </w:tcPr>
          <w:p w14:paraId="057482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освещены газоанализат.,</w:t>
            </w:r>
          </w:p>
        </w:tc>
        <w:tc>
          <w:tcPr>
            <w:tcW w:w="2551" w:type="dxa"/>
          </w:tcPr>
          <w:p w14:paraId="61C824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ослепления экипажа.</w:t>
            </w:r>
          </w:p>
        </w:tc>
        <w:tc>
          <w:tcPr>
            <w:tcW w:w="2906" w:type="dxa"/>
          </w:tcPr>
          <w:p w14:paraId="56381F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горизонте пилота вызовет</w:t>
            </w:r>
          </w:p>
        </w:tc>
        <w:tc>
          <w:tcPr>
            <w:tcW w:w="2905" w:type="dxa"/>
          </w:tcPr>
          <w:p w14:paraId="4220C5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4AF0887" w14:textId="77777777" w:rsidTr="00E543D0">
        <w:tc>
          <w:tcPr>
            <w:tcW w:w="2093" w:type="dxa"/>
          </w:tcPr>
          <w:p w14:paraId="712BAE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индикатор курса,</w:t>
            </w:r>
          </w:p>
        </w:tc>
        <w:tc>
          <w:tcPr>
            <w:tcW w:w="2551" w:type="dxa"/>
          </w:tcPr>
          <w:p w14:paraId="33D5A4B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261C83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ухудшение обзора.</w:t>
            </w:r>
          </w:p>
        </w:tc>
        <w:tc>
          <w:tcPr>
            <w:tcW w:w="2905" w:type="dxa"/>
          </w:tcPr>
          <w:p w14:paraId="2EDE63F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16721A3" w14:textId="77777777" w:rsidTr="00E543D0">
        <w:tc>
          <w:tcPr>
            <w:tcW w:w="2093" w:type="dxa"/>
          </w:tcPr>
          <w:p w14:paraId="69E6E3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недостаточно освещен</w:t>
            </w:r>
          </w:p>
        </w:tc>
        <w:tc>
          <w:tcPr>
            <w:tcW w:w="2551" w:type="dxa"/>
          </w:tcPr>
          <w:p w14:paraId="59A6482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Pr>
          <w:p w14:paraId="5B2A13D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Pr>
          <w:p w14:paraId="784746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7C507F6" w14:textId="77777777" w:rsidTr="00E543D0">
        <w:tc>
          <w:tcPr>
            <w:tcW w:w="2093" w:type="dxa"/>
            <w:tcBorders>
              <w:bottom w:val="single" w:sz="12" w:space="0" w:color="auto"/>
            </w:tcBorders>
          </w:tcPr>
          <w:p w14:paraId="4C8265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щиток шасси (1272,218).</w:t>
            </w:r>
          </w:p>
        </w:tc>
        <w:tc>
          <w:tcPr>
            <w:tcW w:w="2551" w:type="dxa"/>
            <w:tcBorders>
              <w:bottom w:val="single" w:sz="12" w:space="0" w:color="auto"/>
            </w:tcBorders>
          </w:tcPr>
          <w:p w14:paraId="4175E5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6" w:type="dxa"/>
            <w:tcBorders>
              <w:bottom w:val="single" w:sz="12" w:space="0" w:color="auto"/>
            </w:tcBorders>
          </w:tcPr>
          <w:p w14:paraId="62EBF95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05" w:type="dxa"/>
            <w:tcBorders>
              <w:bottom w:val="single" w:sz="12" w:space="0" w:color="auto"/>
            </w:tcBorders>
          </w:tcPr>
          <w:p w14:paraId="11C899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3CCF486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1A52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июля 1940 в ходе заводских испытаний И-200 А.И.М, которые проходили с 31 марта по 17 августа 1940, на И-200-3 состоялся полет для проверки температурных режимов работы ВМГ. Потом до 1 августа машину ремонтировали (2988).</w:t>
      </w:r>
    </w:p>
    <w:p w14:paraId="47CFFE6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15FEF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июля 1940 вышел приказ НКАП N 372сс по разработке УТИ-28 В.К.Грибовского с МВ-6 (1270).</w:t>
      </w:r>
    </w:p>
    <w:p w14:paraId="2872829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08DD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июля 1940 г. состоялся старт самолета Москва из Хабаровска. Отдельные моменты перелета описала в своих воспоминаниях Мария Михалева: "Первую часть маршрута: Хабаровск - Рухлово - озеро Байкал - Тайшет экипаж преодолел без особых трудностей. В районе Красноярска самолет попал в зону грозового фронта. За Новосибирском машина начала обледеневать. Срывавшимися кусками льда побило остекление кабины. Турбулентность воздуха была настолько мощной, что тяжелый самолет бросало вверх и вниз, как пушинку. На траверсе Омска из-за сильного обледенения ДБ-3 стал почти неуправляемым: терялась высота - с 6000 м "посыпались" до 1000 м. На этой высоте удалось вывести машину в горизонтальный полет, но тут остановился левый мотор. Потянули со снижением, поскольку садиться было некуда: кругом болота и озера. Ситуация осложнялась. Высота всего 50 метров. Внизу мелькают сплошные массивы леса, болот и озер. Но хладнокровие не оставило экипаж и его командира. Вдруг на высоте 50 метров сам собой заработал заглохший мотор. По-видимому, оттаял бензопровод или карбюратор, а сектор газа не убирали: зажигание не было выключено, и винт вращался под напором потока набегающего воздуха. Это приободрило экипаж. За Уралом погода начала улучшаться, прояснилось, можно было надеяться на успешное окончание трудного и утомительного перелета. Однако вскоре на борт поступила радиограмма, в которой указывалась резко неблагоприятная метеорологическая обстановка по всему последнему этапу перелета. В районе Москвы туман, осадки, кроме того, встречный ветер и семичасовая борьба со стихией вызвали повышенный расход горючего. Учитывая неблагоприятные метеоусловия и риск вынужденной посадки из-за нехватки топлива, экипажу дали команду прекратить полет и посадить машину на подходящей площадке, что и было мастерски выполнено командиром экипажа. Нестеренко благополучно произвела посадку на поле вблизи деревни Исаково Санчурского района Кировской области". Несмотря на то, что достигнутая дальность беспосадочного полета нового женского экипажа составила около 7000 км, что превышало достижение экипажа Гризодубовой, последствия перелета оказались более чем скромными. В прессе о нем официально ничего не сообщалось. А участницы перелета самолета "Украина" продолжили выполнять свои служебные обязанности (11947).</w:t>
      </w:r>
    </w:p>
    <w:p w14:paraId="0B1EDC3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9F4075F"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июля 1940 года отлично подготовленный самолет Москва с отлично подготовленным экипажем стартовал с полосы Хабаровского аэродрома в 15 часов по местному времени. Надежды организаторов полета на хорошую летную погоду не оправдались. Как и всем остальным рекордсменам, девушкам из экипажа Нестеренко сполна пришлось хлебнуть лиха с облачностью, обледенением, болтанкой, грозами. Полет проходил на высоте 6000 метров, было очень холодно, лететь приходилось в кислородных масках. Мощные грозовые фронты отжимали самолет к северу, не давая выдерживать рассчитанный курс...</w:t>
      </w:r>
    </w:p>
    <w:p w14:paraId="61CBA0F9"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Первую часть маршрута: Хабаровск – Рухлово – озеро Байкал –</w:t>
      </w:r>
      <w:hyperlink r:id="rId237" w:tgtFrame="_blank" w:history="1">
        <w:r w:rsidRPr="00DB5D0D">
          <w:rPr>
            <w:rFonts w:ascii="Times New Roman" w:hAnsi="Times New Roman"/>
            <w:color w:val="000000" w:themeColor="text1"/>
            <w:sz w:val="16"/>
            <w:szCs w:val="16"/>
          </w:rPr>
          <w:t>Тайшет (внешняя ссылка)</w:t>
        </w:r>
      </w:hyperlink>
      <w:r w:rsidRPr="00DB5D0D">
        <w:rPr>
          <w:rFonts w:ascii="Times New Roman" w:hAnsi="Times New Roman"/>
          <w:color w:val="000000" w:themeColor="text1"/>
          <w:sz w:val="16"/>
          <w:szCs w:val="16"/>
        </w:rPr>
        <w:t xml:space="preserve"> экипаж преодолел без особых трудностей. В районе Красноярска самолет попал в зону грозового Фронта. За Новосибирском машина стала обледеневать. Срывавшимися кусками льда побило остекление кабины. Турбулентность воздуха была настолько мощной, что тяжелый самолет бросало вверх и вниз, как пушинку. На траверсе Омска из-за сильного обледенения ДБ-3 стал почти неуправляемым: терялась высота – с 6000 м «посыпались» до 1000. На этой высоте удалось вывести машину в горизонтальный полет, но тут остановился левый мотор. Потянули со снижением, поскольку садиться было некуда: кругом болота и озера. Ситуация осложнялась. Высота всего 50 метров... Вдруг на высоте 50 метров сам собой заработал заглохший мотор. По-видимому, оттаял бензопровод или карбюратор, а сектор газа не убрали: зажигание не было выключено, и винт вращался под напором потока набегающего воздуха...</w:t>
      </w:r>
    </w:p>
    <w:p w14:paraId="5BEB6C03"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Уралом погода начала улучшаться, прояснилось, можно было надеяться на успешное окончание трудного и утомительного перелета.</w:t>
      </w:r>
    </w:p>
    <w:p w14:paraId="719B9D15"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вскоре на борт поступила радиограмма, в которой указывалась резко неблагоприятная метеорологическая обстановка по всему последнему этапу перелета... экипажу дали команду прекратить полет и посадить машину на подходящей площадке. Нестеренко благополучно произвела посадку на поле вблизи деревни Исаково Санчурского района Кировской области» (15223).</w:t>
      </w:r>
    </w:p>
    <w:p w14:paraId="79E62157"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0C9A0A68" w14:textId="77777777" w:rsidR="00CF51EC" w:rsidRPr="00DB5D0D" w:rsidRDefault="00CF51EC"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28 июля 1941 вышло постановление ГКО «О 37-мм авиационной пушке конструктора Шпитального», согласно которому наркомат воору</w:t>
      </w:r>
      <w:r w:rsidRPr="00DB5D0D">
        <w:rPr>
          <w:rFonts w:ascii="Times New Roman" w:hAnsi="Times New Roman"/>
          <w:color w:val="000000" w:themeColor="text1"/>
          <w:spacing w:val="0"/>
          <w:sz w:val="16"/>
          <w:szCs w:val="16"/>
        </w:rPr>
        <w:softHyphen/>
        <w:t>жения (Устинов) должен был организовать и про</w:t>
      </w:r>
      <w:r w:rsidRPr="00DB5D0D">
        <w:rPr>
          <w:rFonts w:ascii="Times New Roman" w:hAnsi="Times New Roman"/>
          <w:color w:val="000000" w:themeColor="text1"/>
          <w:spacing w:val="0"/>
          <w:sz w:val="16"/>
          <w:szCs w:val="16"/>
        </w:rPr>
        <w:softHyphen/>
        <w:t>вести подготовительные мероприятия к валовому производству пушки ОКБ-15 калибра 37 мм. При этом уже к 15 сентября следовало изготовить 32 пушки Ш-37.</w:t>
      </w:r>
    </w:p>
    <w:p w14:paraId="0C8DFEBE" w14:textId="77777777" w:rsidR="00CF51EC" w:rsidRPr="00DB5D0D" w:rsidRDefault="00CF51EC"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Однако постановления Государственного Коми</w:t>
      </w:r>
      <w:r w:rsidRPr="00DB5D0D">
        <w:rPr>
          <w:rFonts w:ascii="Times New Roman" w:hAnsi="Times New Roman"/>
          <w:color w:val="000000" w:themeColor="text1"/>
          <w:spacing w:val="0"/>
          <w:sz w:val="16"/>
          <w:szCs w:val="16"/>
        </w:rPr>
        <w:softHyphen/>
        <w:t>тета Обороны о серийном выпуске ЛаГГ-3 с пушкой Ш-37 не последовало. Шпитальный так и не смог «продавить» военных. По настоянию ВВС решили сначала провести контрольные испытания пушек Ш-37 на двух-трех ЛаГГ-3, опробовать самолеты в бою, после чего сделать выводы о целесообраз</w:t>
      </w:r>
      <w:r w:rsidRPr="00DB5D0D">
        <w:rPr>
          <w:rFonts w:ascii="Times New Roman" w:hAnsi="Times New Roman"/>
          <w:color w:val="000000" w:themeColor="text1"/>
          <w:spacing w:val="0"/>
          <w:sz w:val="16"/>
          <w:szCs w:val="16"/>
        </w:rPr>
        <w:softHyphen/>
        <w:t>ности большой серии противотанковых ЛаГГ-3. Соответствующий приказ по ВВС № 0200 за подпи</w:t>
      </w:r>
      <w:r w:rsidRPr="00DB5D0D">
        <w:rPr>
          <w:rFonts w:ascii="Times New Roman" w:hAnsi="Times New Roman"/>
          <w:color w:val="000000" w:themeColor="text1"/>
          <w:spacing w:val="0"/>
          <w:sz w:val="16"/>
          <w:szCs w:val="16"/>
        </w:rPr>
        <w:softHyphen/>
        <w:t>сью генерал-майора И. Ф. Петрова вышел 10 августа. Отстрел всего вооружения на НИП АВ самоле</w:t>
      </w:r>
      <w:r w:rsidRPr="00DB5D0D">
        <w:rPr>
          <w:rFonts w:ascii="Times New Roman" w:hAnsi="Times New Roman"/>
          <w:color w:val="000000" w:themeColor="text1"/>
          <w:spacing w:val="0"/>
          <w:sz w:val="16"/>
          <w:szCs w:val="16"/>
        </w:rPr>
        <w:softHyphen/>
        <w:t>тов ЛаГГ-3 с пушкой Ш-37 на земле и в воздухе требовалось завершить к 18 августа. Затем самолеты пере</w:t>
      </w:r>
      <w:r w:rsidRPr="00DB5D0D">
        <w:rPr>
          <w:rFonts w:ascii="Times New Roman" w:hAnsi="Times New Roman"/>
          <w:color w:val="000000" w:themeColor="text1"/>
          <w:spacing w:val="0"/>
          <w:sz w:val="16"/>
          <w:szCs w:val="16"/>
        </w:rPr>
        <w:softHyphen/>
        <w:t>давались в ВВС МВО для проведе</w:t>
      </w:r>
      <w:r w:rsidRPr="00DB5D0D">
        <w:rPr>
          <w:rFonts w:ascii="Times New Roman" w:hAnsi="Times New Roman"/>
          <w:color w:val="000000" w:themeColor="text1"/>
          <w:spacing w:val="0"/>
          <w:sz w:val="16"/>
          <w:szCs w:val="16"/>
        </w:rPr>
        <w:softHyphen/>
        <w:t>ния войсковых испытаний, которые необходимо было начать 23 августа и окончить 20 сентября. Полигон</w:t>
      </w:r>
      <w:r w:rsidRPr="00DB5D0D">
        <w:rPr>
          <w:rFonts w:ascii="Times New Roman" w:hAnsi="Times New Roman"/>
          <w:color w:val="000000" w:themeColor="text1"/>
          <w:spacing w:val="0"/>
          <w:sz w:val="16"/>
          <w:szCs w:val="16"/>
        </w:rPr>
        <w:softHyphen/>
        <w:t>ные испытания противотанкового штурмовика Ил-2 с пушками Ш-37 следовало провести в период с 15 августа по 10 сентября.</w:t>
      </w:r>
    </w:p>
    <w:p w14:paraId="3E727306" w14:textId="77777777" w:rsidR="00CF51EC" w:rsidRPr="00DB5D0D" w:rsidRDefault="00CF51EC"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lastRenderedPageBreak/>
        <w:t>Одновременно с испытаниями «истребителей танков» предполагалось подготовить 16 человек техни</w:t>
      </w:r>
      <w:r w:rsidRPr="00DB5D0D">
        <w:rPr>
          <w:rFonts w:ascii="Times New Roman" w:hAnsi="Times New Roman"/>
          <w:color w:val="000000" w:themeColor="text1"/>
          <w:spacing w:val="0"/>
          <w:sz w:val="16"/>
          <w:szCs w:val="16"/>
        </w:rPr>
        <w:softHyphen/>
        <w:t>ческого состава «по обслуживанию материальной части пушек калибра 37 мм и самолетов, вооружен</w:t>
      </w:r>
      <w:r w:rsidRPr="00DB5D0D">
        <w:rPr>
          <w:rFonts w:ascii="Times New Roman" w:hAnsi="Times New Roman"/>
          <w:color w:val="000000" w:themeColor="text1"/>
          <w:spacing w:val="0"/>
          <w:sz w:val="16"/>
          <w:szCs w:val="16"/>
        </w:rPr>
        <w:softHyphen/>
        <w:t>ных этими пушками». При этом весь обученный тех</w:t>
      </w:r>
      <w:r w:rsidRPr="00DB5D0D">
        <w:rPr>
          <w:rFonts w:ascii="Times New Roman" w:hAnsi="Times New Roman"/>
          <w:color w:val="000000" w:themeColor="text1"/>
          <w:spacing w:val="0"/>
          <w:sz w:val="16"/>
          <w:szCs w:val="16"/>
        </w:rPr>
        <w:softHyphen/>
        <w:t>нический состав, прошедший на полигоне обуче</w:t>
      </w:r>
      <w:r w:rsidRPr="00DB5D0D">
        <w:rPr>
          <w:rFonts w:ascii="Times New Roman" w:hAnsi="Times New Roman"/>
          <w:color w:val="000000" w:themeColor="text1"/>
          <w:spacing w:val="0"/>
          <w:sz w:val="16"/>
          <w:szCs w:val="16"/>
        </w:rPr>
        <w:softHyphen/>
        <w:t>ние обслуживанию пушек Ш-37, должен быть взят на особый учет, и в дальнейшем их назначение на должность осуществлялось только с согласия на</w:t>
      </w:r>
      <w:r w:rsidRPr="00DB5D0D">
        <w:rPr>
          <w:rFonts w:ascii="Times New Roman" w:hAnsi="Times New Roman"/>
          <w:color w:val="000000" w:themeColor="text1"/>
          <w:spacing w:val="0"/>
          <w:sz w:val="16"/>
          <w:szCs w:val="16"/>
        </w:rPr>
        <w:softHyphen/>
        <w:t>чальника 1-го Управления ГУ ВВС КА.</w:t>
      </w:r>
    </w:p>
    <w:p w14:paraId="47B38944" w14:textId="77777777" w:rsidR="00CF51EC" w:rsidRPr="00DB5D0D" w:rsidRDefault="00CF51EC"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 свою очередь, начальники 1, 2, 12-го Управле</w:t>
      </w:r>
      <w:r w:rsidRPr="00DB5D0D">
        <w:rPr>
          <w:rFonts w:ascii="Times New Roman" w:hAnsi="Times New Roman"/>
          <w:color w:val="000000" w:themeColor="text1"/>
          <w:spacing w:val="0"/>
          <w:sz w:val="16"/>
          <w:szCs w:val="16"/>
        </w:rPr>
        <w:softHyphen/>
        <w:t>ний ГУ ВВС КА и начальник НИП АВ военинженер 1-го ранга С.В. Кирьяков обязывались выделить для участия в войсковых испытаниях самолетов ЛаГГ-3 с пушками Ш-37 по одному инженеру. От НИИ ВВС на все время проведения испытаний са</w:t>
      </w:r>
      <w:r w:rsidRPr="00DB5D0D">
        <w:rPr>
          <w:rFonts w:ascii="Times New Roman" w:hAnsi="Times New Roman"/>
          <w:color w:val="000000" w:themeColor="text1"/>
          <w:spacing w:val="0"/>
          <w:sz w:val="16"/>
          <w:szCs w:val="16"/>
        </w:rPr>
        <w:softHyphen/>
        <w:t>молетов ЛаГГ-3 командировался летчик-испытатель майор Т. К. Чигарев.</w:t>
      </w:r>
    </w:p>
    <w:p w14:paraId="4DA5D89C" w14:textId="77777777" w:rsidR="00CF51EC" w:rsidRPr="00DB5D0D" w:rsidRDefault="00CF51EC"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Оставаясь верным своему характеру и стилю взаимодействия с ГУ ВВС и другими организация</w:t>
      </w:r>
      <w:r w:rsidRPr="00DB5D0D">
        <w:rPr>
          <w:rFonts w:ascii="Times New Roman" w:hAnsi="Times New Roman"/>
          <w:color w:val="000000" w:themeColor="text1"/>
          <w:spacing w:val="0"/>
          <w:sz w:val="16"/>
          <w:szCs w:val="16"/>
        </w:rPr>
        <w:softHyphen/>
        <w:t>ми НКО, Шпитальный сделал попытку (правда, до</w:t>
      </w:r>
      <w:r w:rsidRPr="00DB5D0D">
        <w:rPr>
          <w:rFonts w:ascii="Times New Roman" w:hAnsi="Times New Roman"/>
          <w:color w:val="000000" w:themeColor="text1"/>
          <w:spacing w:val="0"/>
          <w:sz w:val="16"/>
          <w:szCs w:val="16"/>
        </w:rPr>
        <w:softHyphen/>
        <w:t>вольно слабую) противодействовать проведению этих испытаний. На просьбу начальника заказов вооружения ГУ ВВС КА генерал-майора интен</w:t>
      </w:r>
      <w:r w:rsidRPr="00DB5D0D">
        <w:rPr>
          <w:rFonts w:ascii="Times New Roman" w:hAnsi="Times New Roman"/>
          <w:color w:val="000000" w:themeColor="text1"/>
          <w:spacing w:val="0"/>
          <w:sz w:val="16"/>
          <w:szCs w:val="16"/>
        </w:rPr>
        <w:softHyphen/>
        <w:t>дантской службы Жарова выделить НИП АВ необ</w:t>
      </w:r>
      <w:r w:rsidRPr="00DB5D0D">
        <w:rPr>
          <w:rFonts w:ascii="Times New Roman" w:hAnsi="Times New Roman"/>
          <w:color w:val="000000" w:themeColor="text1"/>
          <w:spacing w:val="0"/>
          <w:sz w:val="16"/>
          <w:szCs w:val="16"/>
        </w:rPr>
        <w:softHyphen/>
        <w:t>ходимое для выполнения программы испытаний количество боеприпасов Шпитальный в письме от 14 августа выразил свое непонимание, «почему ГУ ВВС назначило испытание, ибо основные государ</w:t>
      </w:r>
      <w:r w:rsidRPr="00DB5D0D">
        <w:rPr>
          <w:rFonts w:ascii="Times New Roman" w:hAnsi="Times New Roman"/>
          <w:color w:val="000000" w:themeColor="text1"/>
          <w:spacing w:val="0"/>
          <w:sz w:val="16"/>
          <w:szCs w:val="16"/>
        </w:rPr>
        <w:softHyphen/>
        <w:t>ственные испытания и повторные испытания 37-мм пушка ОКБ-15 прошла». К тому же программа ис</w:t>
      </w:r>
      <w:r w:rsidRPr="00DB5D0D">
        <w:rPr>
          <w:rFonts w:ascii="Times New Roman" w:hAnsi="Times New Roman"/>
          <w:color w:val="000000" w:themeColor="text1"/>
          <w:spacing w:val="0"/>
          <w:sz w:val="16"/>
          <w:szCs w:val="16"/>
        </w:rPr>
        <w:softHyphen/>
        <w:t>пытаний не согласована с ОКБ-15. Одновременно Шпитальный официально заявил «отвод работнику НИП АВ ВВС КА — т. Филиппову, т.к. из имеющихся в ОКБ-15 документов следует, что т. Филиппов не может быть допущен ни к участию в испытаниях, ни к какому-либо участию в принятии решения по этим испытаниям» (17500).</w:t>
      </w:r>
    </w:p>
    <w:p w14:paraId="6E73A984" w14:textId="77777777" w:rsidR="00CF51EC" w:rsidRPr="00DB5D0D" w:rsidRDefault="00CF51EC" w:rsidP="00DB5D0D">
      <w:pPr>
        <w:pStyle w:val="128"/>
        <w:shd w:val="clear" w:color="auto" w:fill="auto"/>
        <w:spacing w:before="0" w:line="240" w:lineRule="auto"/>
        <w:ind w:firstLine="0"/>
        <w:rPr>
          <w:rFonts w:ascii="Times New Roman" w:hAnsi="Times New Roman"/>
          <w:color w:val="000000" w:themeColor="text1"/>
          <w:spacing w:val="0"/>
          <w:sz w:val="16"/>
          <w:szCs w:val="16"/>
        </w:rPr>
      </w:pPr>
    </w:p>
    <w:p w14:paraId="663B2C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июля 1940 НКАП дал 213 заводу задание об изготовлении автоматического прибора для вывода самолета из пикирования по образцу, установленному на Ю-88 (1293,275).</w:t>
      </w:r>
    </w:p>
    <w:p w14:paraId="0731CA0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1F37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июля по 3 августа 1940 года на НИП АВ ВВС проходили полигонные испытаниям ХАБ-200 со стабилизатором от ФАБ-250 на устойчивость</w:t>
      </w:r>
    </w:p>
    <w:p w14:paraId="74A3A0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4443AF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инженер 4 отделения опытного отдела НИИ АВ ВВС в/инженер 2 ранга Рублев</w:t>
      </w:r>
    </w:p>
    <w:p w14:paraId="73C083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B77B6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устойчивость ХАБ-200 при падении со стабилизатором от ФАБ-250.</w:t>
      </w:r>
    </w:p>
    <w:p w14:paraId="7A9559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химической авиабомбы (ХАБ-200 м) разработана ГСКБ-47 в 1939 году взамен старой конструкции ХАБ-200.</w:t>
      </w:r>
    </w:p>
    <w:p w14:paraId="4E9887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ХАБ-200 м выдержала заводские и полигонные испытания и сейчас проходит войсковые испытания на ЦХП. ХАБ-200 м изготовлена в габаритах ФАБ-250 и предназначается для поражения живой силы и заражения местности БХВ.</w:t>
      </w:r>
    </w:p>
    <w:p w14:paraId="4C86C2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8DB044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ХАБ-200 м со стабилизатором от ФАБ-250 полигонных испытаний на устойчивость при падении не выдержала (7839).</w:t>
      </w:r>
    </w:p>
    <w:p w14:paraId="3541301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20DE3FE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945D26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6A501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на втором экземпляре протокола комиссии Б.Н.Юрьева по рассмотрению проекта ПБШ-1 ОКБ А.И.М. инженер 7-го ГУ НКАП И. И. Машкевич, осуществлявший предварительную экспертизу проекта ПБШ-1, сделал запись: «По заключению ВВС «от реализации проекта следует воздержаться» по мотивам, указанным в выводах комиссии».</w:t>
      </w:r>
    </w:p>
    <w:p w14:paraId="133838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признать, вывод гражданских авиационных специалистов в отношении ПБШ-1 в определенной степени был более жестким, чем мнение военных. Тем не мение, несмотря на очевидные недостатки проекта штурмовика ОКО А. И. Микояна постройка макета ПБШ-1 была разрешена (9649).</w:t>
      </w:r>
    </w:p>
    <w:p w14:paraId="6ED0605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0D518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 в НИИ ВВС был выдан наряд-приказ № 0144</w:t>
      </w:r>
    </w:p>
    <w:p w14:paraId="58FCC8F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самолета ДБ3-Ф 2М-88 с ВИШ-23 за № 390801 эталон второй половины 1940 года (6890, 2).</w:t>
      </w:r>
    </w:p>
    <w:p w14:paraId="74B64BF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2A80DB7" w14:textId="77777777" w:rsidR="00785469" w:rsidRPr="00DB5D0D" w:rsidRDefault="0078546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29 июля 1940 Советский Союз отменяет программу двухдвигательных пикирующих бомбардировщиков Поликарпов СПБ (Д) в пользу Петлякова Пе-2  (20795).</w:t>
      </w:r>
    </w:p>
    <w:p w14:paraId="5422D6C8" w14:textId="77777777" w:rsidR="00785469" w:rsidRPr="00DB5D0D" w:rsidRDefault="00785469" w:rsidP="00DB5D0D">
      <w:pPr>
        <w:spacing w:after="0" w:line="240" w:lineRule="auto"/>
        <w:jc w:val="both"/>
        <w:rPr>
          <w:rFonts w:ascii="Times New Roman" w:hAnsi="Times New Roman"/>
          <w:color w:val="0070C0"/>
          <w:sz w:val="16"/>
          <w:szCs w:val="16"/>
        </w:rPr>
      </w:pPr>
    </w:p>
    <w:p w14:paraId="108C87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 нарком авиапромышленности Шахурин издал приказ: «Дальнейшие заводские испы</w:t>
      </w:r>
      <w:r w:rsidRPr="00DB5D0D">
        <w:rPr>
          <w:rFonts w:ascii="Times New Roman" w:hAnsi="Times New Roman"/>
          <w:color w:val="000000" w:themeColor="text1"/>
          <w:sz w:val="16"/>
          <w:szCs w:val="16"/>
        </w:rPr>
        <w:softHyphen/>
        <w:t>тания самолетов СПБ прекратить. Директору завода № 22 Окулову и главному конструктору Поликарпову в трехдневный срок представить мне доклад по произве</w:t>
      </w:r>
      <w:r w:rsidRPr="00DB5D0D">
        <w:rPr>
          <w:rFonts w:ascii="Times New Roman" w:hAnsi="Times New Roman"/>
          <w:color w:val="000000" w:themeColor="text1"/>
          <w:sz w:val="16"/>
          <w:szCs w:val="16"/>
        </w:rPr>
        <w:softHyphen/>
        <w:t>денным затратам на постройку опытных экземпляров и нулевой серии СПБ, состоянию задела и соображения об его использовании». Завод № 22, кроме двух опытных, построил пять ма</w:t>
      </w:r>
      <w:r w:rsidRPr="00DB5D0D">
        <w:rPr>
          <w:rFonts w:ascii="Times New Roman" w:hAnsi="Times New Roman"/>
          <w:color w:val="000000" w:themeColor="text1"/>
          <w:sz w:val="16"/>
          <w:szCs w:val="16"/>
        </w:rPr>
        <w:softHyphen/>
        <w:t>шин первой серии, из них № 5-1 с турбокомпрессорами ТК-2 находилась в стадии окончательной сборки. Три СПБ второй серии имели степени готовности от 60 до 75%. Для третьей и четвертой серии изготавливали дета</w:t>
      </w:r>
      <w:r w:rsidRPr="00DB5D0D">
        <w:rPr>
          <w:rFonts w:ascii="Times New Roman" w:hAnsi="Times New Roman"/>
          <w:color w:val="000000" w:themeColor="text1"/>
          <w:sz w:val="16"/>
          <w:szCs w:val="16"/>
        </w:rPr>
        <w:softHyphen/>
        <w:t>ли. 7 августа специальная комиссия оценила затраты. Всего было израсходовано 33 млн. 330 тыс. рублей (10667).</w:t>
      </w:r>
    </w:p>
    <w:p w14:paraId="7A2A20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D33DB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вышел приказ НКАП N 382сс по результатам расследования причин катастрофы самолета СПБ, происшедшей 20 июня 1940.</w:t>
      </w:r>
    </w:p>
    <w:p w14:paraId="097490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Главному конструктору тов. Поликарпову Н.Н., за неисполнение моих приказов NN 337c от 25 мая 1940 и 169с от 12 мая 1940 и за самоустранение от руководства полетными испытаниями самолета СПБ, ОБЪЯВИТЬ СТРОГИЙ ВЫГОВОР (410,56).</w:t>
      </w:r>
    </w:p>
    <w:p w14:paraId="57C62A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Расследованием причин катастрофы самолета СПБ, происшедшей 20 июля с.г. установлено, что катастрофа является следствием преступной халатности лиц, непосредственно отвечающих за конст</w:t>
      </w:r>
      <w:r w:rsidRPr="00DB5D0D">
        <w:rPr>
          <w:rFonts w:ascii="Times New Roman" w:hAnsi="Times New Roman"/>
          <w:color w:val="000000" w:themeColor="text1"/>
          <w:sz w:val="16"/>
          <w:szCs w:val="16"/>
        </w:rPr>
        <w:softHyphen/>
        <w:t>рукцию и доводку самолета, а также за организацию летных испы</w:t>
      </w:r>
      <w:r w:rsidRPr="00DB5D0D">
        <w:rPr>
          <w:rFonts w:ascii="Times New Roman" w:hAnsi="Times New Roman"/>
          <w:color w:val="000000" w:themeColor="text1"/>
          <w:sz w:val="16"/>
          <w:szCs w:val="16"/>
        </w:rPr>
        <w:softHyphen/>
        <w:t>таний опытной машины.</w:t>
      </w:r>
    </w:p>
    <w:p w14:paraId="685254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заключение ЦАГИ и прямое указание Седьмого Главного Управления о необходимости постановки весовой баланси</w:t>
      </w:r>
      <w:r w:rsidRPr="00DB5D0D">
        <w:rPr>
          <w:rFonts w:ascii="Times New Roman" w:hAnsi="Times New Roman"/>
          <w:color w:val="000000" w:themeColor="text1"/>
          <w:sz w:val="16"/>
          <w:szCs w:val="16"/>
        </w:rPr>
        <w:softHyphen/>
        <w:t>ровки элеронов, для предупреждения возникновения фляттера крыла на скоростях свыше 500 км/ч по прибору, балансиры поставлены не были, а самолет был выпущен в полет для испытания на сверхмаксимальную скорость в 600 км/час по прибору.</w:t>
      </w:r>
    </w:p>
    <w:p w14:paraId="397101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Проверка статическими испытаниями прочности носка крыла, тщателъная в соответствии с приказом НКАП № 227с от 25.У, главным конструктором произведена была лишь частично, формально, без включения в испытания наиболее опасного участка носка крыла.</w:t>
      </w:r>
    </w:p>
    <w:p w14:paraId="3F506A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Организация данного ответственного полета была поставлена не только совершенно неудовлетворительно, но и с нарушением моих приказов по испытаниям опытных самолетов:</w:t>
      </w:r>
    </w:p>
    <w:p w14:paraId="0B20B04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Задание на полет по испытанию на фляттер было подписано лишь заместителем начальника Техбюро завода т. Розенфельд;</w:t>
      </w:r>
    </w:p>
    <w:p w14:paraId="001831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Летчик был выпущен в полет после совершения им высотного полета на 8000 метров в первой половине этого же дня;</w:t>
      </w:r>
    </w:p>
    <w:p w14:paraId="3B3B1EF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 было ответственного ведущего инженера в соответствии с приказом НКАП № 169с от 12.1У.с.г.;</w:t>
      </w:r>
    </w:p>
    <w:p w14:paraId="661F20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Полетное задание было выписано лишь в одном экземпляре и осталось у летчика;</w:t>
      </w:r>
    </w:p>
    <w:p w14:paraId="533B30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Число членов экипажа, намеченное к полету и фиксирова</w:t>
      </w:r>
      <w:r w:rsidRPr="00DB5D0D">
        <w:rPr>
          <w:rFonts w:ascii="Times New Roman" w:hAnsi="Times New Roman"/>
          <w:color w:val="000000" w:themeColor="text1"/>
          <w:sz w:val="16"/>
          <w:szCs w:val="16"/>
        </w:rPr>
        <w:softHyphen/>
        <w:t>нное полетным заданием - 3 человека, не вызывалось необходимо</w:t>
      </w:r>
      <w:r w:rsidRPr="00DB5D0D">
        <w:rPr>
          <w:rFonts w:ascii="Times New Roman" w:hAnsi="Times New Roman"/>
          <w:color w:val="000000" w:themeColor="text1"/>
          <w:sz w:val="16"/>
          <w:szCs w:val="16"/>
        </w:rPr>
        <w:softHyphen/>
        <w:t>стью; на самом деле, случайно, в полет пошли 2 человека.</w:t>
      </w:r>
    </w:p>
    <w:p w14:paraId="20B6A27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Организация полетных испытаний опытных машин на заводе № 22 неправильная, приводящая к обезличке при испытаниях и до</w:t>
      </w:r>
      <w:r w:rsidRPr="00DB5D0D">
        <w:rPr>
          <w:rFonts w:ascii="Times New Roman" w:hAnsi="Times New Roman"/>
          <w:color w:val="000000" w:themeColor="text1"/>
          <w:sz w:val="16"/>
          <w:szCs w:val="16"/>
        </w:rPr>
        <w:softHyphen/>
        <w:t>водке машин.</w:t>
      </w:r>
    </w:p>
    <w:p w14:paraId="1982ED2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изложенного, ПРИКАЗЫВАЮ:</w:t>
      </w:r>
    </w:p>
    <w:p w14:paraId="4ED076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Заместителя главного конструктора, начальника ОКО-Д завода № 22 тов. Жгемчужина II.А., за допущение летных испытаний опыт</w:t>
      </w:r>
      <w:r w:rsidRPr="00DB5D0D">
        <w:rPr>
          <w:rFonts w:ascii="Times New Roman" w:hAnsi="Times New Roman"/>
          <w:color w:val="000000" w:themeColor="text1"/>
          <w:sz w:val="16"/>
          <w:szCs w:val="16"/>
        </w:rPr>
        <w:softHyphen/>
        <w:t>ном машины без выполнения необходимых требований по обеспечению безопасности, - с работы снять и дело передать, следственным ор</w:t>
      </w:r>
      <w:r w:rsidRPr="00DB5D0D">
        <w:rPr>
          <w:rFonts w:ascii="Times New Roman" w:hAnsi="Times New Roman"/>
          <w:color w:val="000000" w:themeColor="text1"/>
          <w:sz w:val="16"/>
          <w:szCs w:val="16"/>
        </w:rPr>
        <w:softHyphen/>
        <w:t>ганам.</w:t>
      </w:r>
    </w:p>
    <w:p w14:paraId="2E58AF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Заместителя начальника технического бюро завода тов. Розенфельд А.А. за выпуск самолета в ответственный полет без должной проверки готовности машины и исключительно небрежную организации полета, - с работы снять и дело передать следствен</w:t>
      </w:r>
      <w:r w:rsidRPr="00DB5D0D">
        <w:rPr>
          <w:rFonts w:ascii="Times New Roman" w:hAnsi="Times New Roman"/>
          <w:color w:val="000000" w:themeColor="text1"/>
          <w:sz w:val="16"/>
          <w:szCs w:val="16"/>
        </w:rPr>
        <w:softHyphen/>
        <w:t>ным органам.</w:t>
      </w:r>
    </w:p>
    <w:p w14:paraId="1B5302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Главному конструктору тов. Поликарпову Н.Н. , за неисполнение моих приказов № 227с от 25.У. и № 169с от 12. У. и за само</w:t>
      </w:r>
      <w:r w:rsidRPr="00DB5D0D">
        <w:rPr>
          <w:rFonts w:ascii="Times New Roman" w:hAnsi="Times New Roman"/>
          <w:color w:val="000000" w:themeColor="text1"/>
          <w:sz w:val="16"/>
          <w:szCs w:val="16"/>
        </w:rPr>
        <w:softHyphen/>
        <w:t>устранение от руководства полетными испытаниями самолета СПБ, Объявить строгий выговор</w:t>
      </w:r>
      <w:r w:rsidRPr="00DB5D0D">
        <w:rPr>
          <w:rFonts w:ascii="Times New Roman" w:hAnsi="Times New Roman"/>
          <w:smallCaps/>
          <w:color w:val="000000" w:themeColor="text1"/>
          <w:sz w:val="16"/>
          <w:szCs w:val="16"/>
        </w:rPr>
        <w:t>...(410,55).</w:t>
      </w:r>
    </w:p>
    <w:p w14:paraId="5AA6BD8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C132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 по результатам работы аварийной комиссии Шахуриным был издан приказ № 382. В приказе указывалось:</w:t>
      </w:r>
    </w:p>
    <w:p w14:paraId="13B609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Заместителя Главного конструктора, начальника ОКО-Д завода № 22 тов. Жемчужина Н.Л., за допущение летных испытаний опытной машины без выполнения необходимых требований по обеспечению безопасности, с работы снять и дело передать следственным органам.</w:t>
      </w:r>
    </w:p>
    <w:p w14:paraId="499A4C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Заместителя Начальника Технического Бюро завода тов. Розенфельд А.А. за выпуск самолета в ответственный полет без должной проверки готовности машины и исключительно небрежную организацию полета, - с работы снять и дело передать следственным органам.</w:t>
      </w:r>
    </w:p>
    <w:p w14:paraId="3F8527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Главному конструктору тов. Поликарпову Н.Н. за неисполнение моих приказов № 235 от 25. 5 и 169 от 12. 5 и за самоустранение от руководства полетным испытанием самолета СПБ, - объявляю строгий выговор.</w:t>
      </w:r>
    </w:p>
    <w:p w14:paraId="7247C9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Директору завода №22 Окулову В.Л., за допущение обезлички в деле организации летных испытаний и доводок опытных самолетов, -объявляю выговор.</w:t>
      </w:r>
    </w:p>
    <w:p w14:paraId="46FC13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...Дальнейшие заводские испытания самолетов СПБ прекратить. Директору завода № 22 Окулову и Главному Конструктору Поликарпову в трехдневный срок представить мне доклад по произведенным затратам на постройку опытных экземпляров и нулевой серии СПБ, состояние задела и соображения об его использовании».</w:t>
      </w:r>
    </w:p>
    <w:p w14:paraId="4F8293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После выхода такого приказа произошли медленные «похороны» самолета СПБ. А жаль, в случае необходимости СПБ, являвшийся логическим развитием самолета ВИТ-1 и прямым преемником ВИТ-2, мог бы довольно легко и без значительных затрат быть переделан в воздушный истребитель танков.</w:t>
      </w:r>
    </w:p>
    <w:p w14:paraId="5F69C0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СПБ вполне обеспечивала, в счет уменьшения бомбовой нагрузки, установку пушечного вооружения по типу ВИТов, в том числе и крупнокалиберного.</w:t>
      </w:r>
    </w:p>
    <w:p w14:paraId="76FC73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СПБ с противотанковым составом вооружения мог поражать танки (в том числе и тяжелые) более эффективно, атакуя их с пикирования.</w:t>
      </w:r>
    </w:p>
    <w:p w14:paraId="4DFAFE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Отметим, что последующий опыт создания противотанковых самолетов в ряде других стран (с 1941 г. созданием специальных противотанковых самолетов начали заниматься в Германии, Великобритании и в США) подтвердил правильность выбора Поликарповым двухмоторной схемы самолета с мощным пушечным вооружением калибра не менее 30-37 мм и имеющего возможность выполнять атаки с пикирования.</w:t>
      </w:r>
    </w:p>
    <w:p w14:paraId="310E51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своим характеристикам ВИТ-1 и проект противотанкового самолета ВИТ-2 для своего времени (война в Испании, бои на Халхин-Голе, Финская кампания) были бы непревзойденными и весьма эффективными противотанковыми самолетами.</w:t>
      </w:r>
    </w:p>
    <w:p w14:paraId="0D49F6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Оценки показывают, что вероятность поражения среднего немецкого танка типа Pz. Ill Ausf G с ВИТ-2 в противотанковом варианте в одной атаке (угол планирования 40°, дистанция открытия огня 400-450 м) для летчика с хорошей с техникой пилотирования и стрелковой подготовкой могла составить (в условиях полигона) 0,16 при атаке сбоку и 0,13 при атаке сзади.</w:t>
      </w:r>
    </w:p>
    <w:p w14:paraId="69793B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Легкий немецкий танк типа Pz. 38(t) Ausf С поражался в этих же условиях с вероятностью 0,4 при атаке сбоку и с вероятностью 0,25 - при атаке сзади.</w:t>
      </w:r>
    </w:p>
    <w:p w14:paraId="6AE9FC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условии прикрытия истребителями, они могли успешно применяться и в начальный период Великой Отечественной войны.</w:t>
      </w:r>
    </w:p>
    <w:p w14:paraId="2D763E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Оборонительное вооружение и максимальная скорость ВИТ-2 у земли вполне соответствовали требованиям. Главным недостатком ВИТ-2 была относительно низкая живучесть машины для условий боев начала 1942 г. Кроме того, использование реактивных снарядов не предусматривалось вовсе (9649).</w:t>
      </w:r>
    </w:p>
    <w:p w14:paraId="2C55445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E2B00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 нарком А. И. Шахурин подписал приказ № 382, в котором потребовал: "...Дальнейшие заводские испытания самолетов СПБ прекратить. Директору завода № 22 Окулову и Главному Конструктору Поликарпову в трехдневный срок представить мне доклад по произведенным затратам на постройку опытных экземпляров и нулевой серии СПБ, состояние задела и соображения об его использовании". После выхода такого приказа начались медленные "похороны" самолета СПБ (9655).</w:t>
      </w:r>
    </w:p>
    <w:p w14:paraId="32CEE5E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656A1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 нарком А.И. Шахурин подписал приказ № 382, в котором потребовал: "Дальнейшие заводские испытания самолетов СПБ прекратить. Директору завода № 22 Окулову и главному конструктору Поликарпову в трехдневный срок представить мне доклад по произведенным затратам на постройку опытных экземпляров и нулевой серии СПБ, состояние задела и соображения об его использовании" (12042).</w:t>
      </w:r>
    </w:p>
    <w:p w14:paraId="046CD97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EDFAC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 спустя 4 месяца после первого полета И-301 (И-22, И-201 - 4,225 - вернее, по номеру ОКБ) - правительство приняло решение запустить ЛаГГ в крупную серию на нескольких заводах - в Горьком, Новосибирске, Таганроге, Днепропетровске и Тбилиси. Главный завод - Горьковский 21 им. Орджоникидзе, куда с завода 301 в Химках переехало КБ С.А.Л. (133,32).</w:t>
      </w:r>
    </w:p>
    <w:p w14:paraId="45E7D2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Якобы за день до этого по Г.М.Маленков потребовал выполнить полет на дальность 1000 км. Летал А.И.Никашин от Москвы до Курска, где бросал вымпел, и обратно. Начали в 5, а кончили - ночью. В баках осталось положенных 15% горючего.</w:t>
      </w:r>
    </w:p>
    <w:p w14:paraId="69837C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 это было, но значительно позже - где-то в ноябре 1940</w:t>
      </w:r>
    </w:p>
    <w:p w14:paraId="743BBD3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2D7D348" w14:textId="77777777" w:rsidR="006746A6" w:rsidRPr="00DB5D0D" w:rsidRDefault="006746A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было принято решение о запуске И-301 в производст</w:t>
      </w:r>
      <w:r w:rsidRPr="00DB5D0D">
        <w:rPr>
          <w:rFonts w:ascii="Times New Roman" w:hAnsi="Times New Roman"/>
          <w:color w:val="000000" w:themeColor="text1"/>
          <w:sz w:val="16"/>
          <w:szCs w:val="16"/>
        </w:rPr>
        <w:softHyphen/>
        <w:t>во (19106).</w:t>
      </w:r>
    </w:p>
    <w:p w14:paraId="1CD15065" w14:textId="77777777" w:rsidR="006746A6" w:rsidRPr="00DB5D0D" w:rsidRDefault="006746A6" w:rsidP="00DB5D0D">
      <w:pPr>
        <w:spacing w:after="0" w:line="240" w:lineRule="auto"/>
        <w:jc w:val="both"/>
        <w:rPr>
          <w:rFonts w:ascii="Times New Roman" w:hAnsi="Times New Roman"/>
          <w:color w:val="000000" w:themeColor="text1"/>
          <w:sz w:val="16"/>
          <w:szCs w:val="16"/>
        </w:rPr>
      </w:pPr>
    </w:p>
    <w:p w14:paraId="2505E1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в ходе гос. испытаний самолета И-153 с герметической кабиной конструкции инженера Щербакова, которые проходили с 22 по 30 июля 1940 состоялись первый полет по программе облета. Летчик ст. лейтенант Сушков. Высота 10000 м, продолжительность 60 мин., второй полет по программе облета. Летчик капитан Дубовой. Высота 9300 м, продолжительность 50 мин. (3190).</w:t>
      </w:r>
    </w:p>
    <w:p w14:paraId="6D957A3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A7E79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состоялось второе совещание комиссии под председательством полковника В. А. Суязина, назначенного вместо убывшего в командировку Романова. Во вступительном слове он поставил присутствующих в известность, что данное совещание -последнее. Вместо 2-х и 3-цветных окрасок, рассматриваемых на первом совещании, теперь обсуждались 2-, 3-, 4-и даже 5-цветные камуфляжи, демонстрируемые представителем ВИА Красной Армии А. М. Келейниковым на моделях самолетов СБ, И-16 и И-153. Схемы были привязаны к определенным военным округам. Изменилось количество красок и их цвета. Утвердили шесть: черно-коричневый (имитирующий тени на земле и лугу), зеленый (имитирующий цвет луга), песочный (цвет обнаженной утоптанной земли), серо-землистый (цвет пашни), желто-зеленый и темно-зеленый (цвет луга). Расцветки практически всех красок были уточнены на основании данных о преобладающих в различных военных округах цветах фона земли. Без изменений остался только зеленый цвет, утвержденный еще на первом совещании и названный 4-БО. Совещание сочло необходимым "перейти на массовое крашение самолетов этим цветом, до полной отработки деформирующих окрасок".</w:t>
      </w:r>
    </w:p>
    <w:p w14:paraId="00FBB4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Ошарашенные столь резким поворотом представители организаций НКАП (ВИАМа -Чеботаревский, Шаров, Первого ГУ НКАП -Кроль) и Главкраски ( Зезин) пытались уменьшить количество цветов в окрасках и считали нецелесообразным заканчивать работу комиссии принятием такого трудноисполнимого для промышленности решения. Их поддержали Е. Ф. Бурче. и инженер НИИ ВВС Мицевич. Однако Суязин, поддерживаемый недавно введенным в состав комиссии Ясиным, подвел итог совещания: "Пятицветную окраску на действительных самолетах испытать надо. Стремиться к уменьшению количества пятен (цветов) необходимо... Еще раз созывать комиссию нецелесообразно".</w:t>
      </w:r>
    </w:p>
    <w:p w14:paraId="534678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Стремительное свертывание работы комиссии было вызвано уже истекшим сроком доклада о результатах работы (25 июля). Командующий ВВС МВО к тому времени уже получил приказ Начальника ВВС Смушкевича перегнать к 5 августу из частей округа в НИИ ВВС по семь СБ, И-16 и И-153 для участия в испытаниях. Самолеты, имеющиеся в НИИ, должны были использоваться в качестве контрольных (2771,22).</w:t>
      </w:r>
    </w:p>
    <w:p w14:paraId="5183964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028B3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в ходе совещания комиссии, состоявшегося под председательством полковника В.А. Суязина, назначенно</w:t>
      </w:r>
      <w:r w:rsidRPr="00DB5D0D">
        <w:rPr>
          <w:rFonts w:ascii="Times New Roman" w:hAnsi="Times New Roman"/>
          <w:color w:val="000000" w:themeColor="text1"/>
          <w:sz w:val="16"/>
          <w:szCs w:val="16"/>
        </w:rPr>
        <w:softHyphen/>
        <w:t>го вместо убывшего в командировку Романова, было пред</w:t>
      </w:r>
      <w:r w:rsidRPr="00DB5D0D">
        <w:rPr>
          <w:rFonts w:ascii="Times New Roman" w:hAnsi="Times New Roman"/>
          <w:color w:val="000000" w:themeColor="text1"/>
          <w:sz w:val="16"/>
          <w:szCs w:val="16"/>
        </w:rPr>
        <w:softHyphen/>
        <w:t>ложено вместо двух- и трехцветных окрасок, рассматривае</w:t>
      </w:r>
      <w:r w:rsidRPr="00DB5D0D">
        <w:rPr>
          <w:rFonts w:ascii="Times New Roman" w:hAnsi="Times New Roman"/>
          <w:color w:val="000000" w:themeColor="text1"/>
          <w:sz w:val="16"/>
          <w:szCs w:val="16"/>
        </w:rPr>
        <w:softHyphen/>
        <w:t>мых на первом совещании, сделать упор на многоцветные камуфляжи, продемонстрированные представителем Воен</w:t>
      </w:r>
      <w:r w:rsidRPr="00DB5D0D">
        <w:rPr>
          <w:rFonts w:ascii="Times New Roman" w:hAnsi="Times New Roman"/>
          <w:color w:val="000000" w:themeColor="text1"/>
          <w:sz w:val="16"/>
          <w:szCs w:val="16"/>
        </w:rPr>
        <w:softHyphen/>
        <w:t>но-инженерной академии Красной Армии А.М. Келейнико-вым на моделях самолетов СБ, И-16 и И-153. Схемы были «привязаны» к определенным военным округам.</w:t>
      </w:r>
    </w:p>
    <w:p w14:paraId="747184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тому времени командующий ВВС МВО получил при</w:t>
      </w:r>
      <w:r w:rsidRPr="00DB5D0D">
        <w:rPr>
          <w:rFonts w:ascii="Times New Roman" w:hAnsi="Times New Roman"/>
          <w:color w:val="000000" w:themeColor="text1"/>
          <w:sz w:val="16"/>
          <w:szCs w:val="16"/>
        </w:rPr>
        <w:softHyphen/>
        <w:t>каз начальника ВВС Смушкевича перегнать к 5 августу из частей округа в НИИ ВВС по семь СБ, И-16 и И-153 для участия в испытаниях (10745,318).</w:t>
      </w:r>
    </w:p>
    <w:p w14:paraId="41F326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82011F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на втором экземпляре прото</w:t>
      </w:r>
      <w:r w:rsidRPr="00DB5D0D">
        <w:rPr>
          <w:rFonts w:ascii="Times New Roman" w:hAnsi="Times New Roman"/>
          <w:color w:val="000000" w:themeColor="text1"/>
          <w:sz w:val="16"/>
          <w:szCs w:val="16"/>
        </w:rPr>
        <w:softHyphen/>
        <w:t>кола постоянной комиссии по рас</w:t>
      </w:r>
      <w:r w:rsidRPr="00DB5D0D">
        <w:rPr>
          <w:rFonts w:ascii="Times New Roman" w:hAnsi="Times New Roman"/>
          <w:color w:val="000000" w:themeColor="text1"/>
          <w:sz w:val="16"/>
          <w:szCs w:val="16"/>
        </w:rPr>
        <w:softHyphen/>
        <w:t>смотрению инициативных проектов, не вошедших в план 1940 г., которую воз</w:t>
      </w:r>
      <w:r w:rsidRPr="00DB5D0D">
        <w:rPr>
          <w:rFonts w:ascii="Times New Roman" w:hAnsi="Times New Roman"/>
          <w:color w:val="000000" w:themeColor="text1"/>
          <w:sz w:val="16"/>
          <w:szCs w:val="16"/>
        </w:rPr>
        <w:softHyphen/>
        <w:t>главлял академик Б.И.Юрьев, И.И.Машкевич сделал запись: "По заключению ВВС: "от реализации про</w:t>
      </w:r>
      <w:r w:rsidRPr="00DB5D0D">
        <w:rPr>
          <w:rFonts w:ascii="Times New Roman" w:hAnsi="Times New Roman"/>
          <w:color w:val="000000" w:themeColor="text1"/>
          <w:sz w:val="16"/>
          <w:szCs w:val="16"/>
        </w:rPr>
        <w:softHyphen/>
        <w:t>екта следует воздержаться" по моти</w:t>
      </w:r>
      <w:r w:rsidRPr="00DB5D0D">
        <w:rPr>
          <w:rFonts w:ascii="Times New Roman" w:hAnsi="Times New Roman"/>
          <w:color w:val="000000" w:themeColor="text1"/>
          <w:sz w:val="16"/>
          <w:szCs w:val="16"/>
        </w:rPr>
        <w:softHyphen/>
        <w:t>вам, указанным в выводах комиссии" (5278).</w:t>
      </w:r>
    </w:p>
    <w:p w14:paraId="715E1D6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299D4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вышел приказ НКАП N 379сс:</w:t>
      </w:r>
    </w:p>
    <w:p w14:paraId="227076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исполнение постановления Правительства от 26 июля 1940 и увеличения выпуска самолетов и авиамоторов на период август - декабрь 1940 года - ПРИКАЗЫВАЮ: (910,22).</w:t>
      </w:r>
    </w:p>
    <w:p w14:paraId="4F7103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Моему заместителю тов. Воронину П.А. и Зам. Начальника ГУ тов. А.Д.Шиц принять к исполнению увеличенную программу на остающиеся пять месяцев 1940 года по выпуску самолетов в количестве 6709 штук, в том числе боевых самолетов 5000 штук.</w:t>
      </w:r>
    </w:p>
    <w:p w14:paraId="3D9541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следующий график выпуска боевых самолетов по месяцам: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165"/>
        <w:gridCol w:w="1165"/>
        <w:gridCol w:w="1165"/>
        <w:gridCol w:w="1165"/>
        <w:gridCol w:w="1165"/>
        <w:gridCol w:w="2679"/>
      </w:tblGrid>
      <w:tr w:rsidR="007D5DF8" w:rsidRPr="00DB5D0D" w14:paraId="575F045B" w14:textId="77777777" w:rsidTr="00E543D0">
        <w:tc>
          <w:tcPr>
            <w:tcW w:w="2093" w:type="dxa"/>
            <w:tcBorders>
              <w:top w:val="single" w:sz="12" w:space="0" w:color="auto"/>
            </w:tcBorders>
          </w:tcPr>
          <w:p w14:paraId="21FADF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самолета</w:t>
            </w:r>
          </w:p>
        </w:tc>
        <w:tc>
          <w:tcPr>
            <w:tcW w:w="1165" w:type="dxa"/>
            <w:tcBorders>
              <w:top w:val="single" w:sz="12" w:space="0" w:color="auto"/>
            </w:tcBorders>
          </w:tcPr>
          <w:p w14:paraId="306BEE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на</w:t>
            </w:r>
          </w:p>
        </w:tc>
        <w:tc>
          <w:tcPr>
            <w:tcW w:w="1165" w:type="dxa"/>
            <w:tcBorders>
              <w:top w:val="single" w:sz="12" w:space="0" w:color="auto"/>
            </w:tcBorders>
          </w:tcPr>
          <w:p w14:paraId="37AEE7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Borders>
              <w:top w:val="single" w:sz="12" w:space="0" w:color="auto"/>
            </w:tcBorders>
          </w:tcPr>
          <w:p w14:paraId="4C06A9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Borders>
              <w:top w:val="single" w:sz="12" w:space="0" w:color="auto"/>
            </w:tcBorders>
          </w:tcPr>
          <w:p w14:paraId="36A756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том числе по месяцам</w:t>
            </w:r>
          </w:p>
        </w:tc>
        <w:tc>
          <w:tcPr>
            <w:tcW w:w="1165" w:type="dxa"/>
            <w:tcBorders>
              <w:top w:val="single" w:sz="12" w:space="0" w:color="auto"/>
            </w:tcBorders>
          </w:tcPr>
          <w:p w14:paraId="4CA3610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679" w:type="dxa"/>
            <w:tcBorders>
              <w:top w:val="single" w:sz="12" w:space="0" w:color="auto"/>
            </w:tcBorders>
          </w:tcPr>
          <w:p w14:paraId="32CF579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949FD9D" w14:textId="77777777" w:rsidTr="00E543D0">
        <w:tc>
          <w:tcPr>
            <w:tcW w:w="2093" w:type="dxa"/>
          </w:tcPr>
          <w:p w14:paraId="7336F7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Pr>
          <w:p w14:paraId="1EB30E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месяцев</w:t>
            </w:r>
          </w:p>
        </w:tc>
        <w:tc>
          <w:tcPr>
            <w:tcW w:w="1165" w:type="dxa"/>
          </w:tcPr>
          <w:p w14:paraId="563FD4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Pr>
          <w:p w14:paraId="69C680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Pr>
          <w:p w14:paraId="7F47C1F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Pr>
          <w:p w14:paraId="7EE9E3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679" w:type="dxa"/>
          </w:tcPr>
          <w:p w14:paraId="6DC4930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410107A" w14:textId="77777777" w:rsidTr="00E543D0">
        <w:tc>
          <w:tcPr>
            <w:tcW w:w="2093" w:type="dxa"/>
          </w:tcPr>
          <w:p w14:paraId="16934A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Pr>
          <w:p w14:paraId="2B91678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Pr>
          <w:p w14:paraId="043D95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1165" w:type="dxa"/>
          </w:tcPr>
          <w:p w14:paraId="4995ED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1165" w:type="dxa"/>
          </w:tcPr>
          <w:p w14:paraId="17D01C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1165" w:type="dxa"/>
          </w:tcPr>
          <w:p w14:paraId="25D0E5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2679" w:type="dxa"/>
          </w:tcPr>
          <w:p w14:paraId="59EE3F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w:t>
            </w:r>
          </w:p>
        </w:tc>
      </w:tr>
      <w:tr w:rsidR="007D5DF8" w:rsidRPr="00DB5D0D" w14:paraId="49702F4C" w14:textId="77777777" w:rsidTr="00E543D0">
        <w:tc>
          <w:tcPr>
            <w:tcW w:w="2093" w:type="dxa"/>
          </w:tcPr>
          <w:p w14:paraId="1754D1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Бомбардировщиков</w:t>
            </w:r>
          </w:p>
        </w:tc>
        <w:tc>
          <w:tcPr>
            <w:tcW w:w="1165" w:type="dxa"/>
          </w:tcPr>
          <w:p w14:paraId="2BF598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2473</w:t>
            </w:r>
          </w:p>
        </w:tc>
        <w:tc>
          <w:tcPr>
            <w:tcW w:w="1165" w:type="dxa"/>
          </w:tcPr>
          <w:p w14:paraId="07F99B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427</w:t>
            </w:r>
          </w:p>
        </w:tc>
        <w:tc>
          <w:tcPr>
            <w:tcW w:w="1165" w:type="dxa"/>
          </w:tcPr>
          <w:p w14:paraId="0DD866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465</w:t>
            </w:r>
          </w:p>
        </w:tc>
        <w:tc>
          <w:tcPr>
            <w:tcW w:w="1165" w:type="dxa"/>
          </w:tcPr>
          <w:p w14:paraId="41CDB4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469</w:t>
            </w:r>
          </w:p>
        </w:tc>
        <w:tc>
          <w:tcPr>
            <w:tcW w:w="1165" w:type="dxa"/>
          </w:tcPr>
          <w:p w14:paraId="0B8A4D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537</w:t>
            </w:r>
          </w:p>
        </w:tc>
        <w:tc>
          <w:tcPr>
            <w:tcW w:w="2679" w:type="dxa"/>
          </w:tcPr>
          <w:p w14:paraId="53D5BA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575</w:t>
            </w:r>
          </w:p>
        </w:tc>
      </w:tr>
      <w:tr w:rsidR="007D5DF8" w:rsidRPr="00DB5D0D" w14:paraId="350F3FD9" w14:textId="77777777" w:rsidTr="00E543D0">
        <w:tc>
          <w:tcPr>
            <w:tcW w:w="2093" w:type="dxa"/>
          </w:tcPr>
          <w:p w14:paraId="6FD348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Истребителей</w:t>
            </w:r>
          </w:p>
        </w:tc>
        <w:tc>
          <w:tcPr>
            <w:tcW w:w="1165" w:type="dxa"/>
          </w:tcPr>
          <w:p w14:paraId="178BAB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2383</w:t>
            </w:r>
          </w:p>
        </w:tc>
        <w:tc>
          <w:tcPr>
            <w:tcW w:w="1165" w:type="dxa"/>
          </w:tcPr>
          <w:p w14:paraId="643BF2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c>
          <w:tcPr>
            <w:tcW w:w="1165" w:type="dxa"/>
          </w:tcPr>
          <w:p w14:paraId="6AC48F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445</w:t>
            </w:r>
          </w:p>
        </w:tc>
        <w:tc>
          <w:tcPr>
            <w:tcW w:w="1165" w:type="dxa"/>
          </w:tcPr>
          <w:p w14:paraId="11C939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1165" w:type="dxa"/>
          </w:tcPr>
          <w:p w14:paraId="6FB04A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495</w:t>
            </w:r>
          </w:p>
        </w:tc>
        <w:tc>
          <w:tcPr>
            <w:tcW w:w="2679" w:type="dxa"/>
          </w:tcPr>
          <w:p w14:paraId="5915D1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555</w:t>
            </w:r>
          </w:p>
        </w:tc>
      </w:tr>
      <w:tr w:rsidR="007D5DF8" w:rsidRPr="00DB5D0D" w14:paraId="08582DB6" w14:textId="77777777" w:rsidTr="00E543D0">
        <w:tc>
          <w:tcPr>
            <w:tcW w:w="2093" w:type="dxa"/>
          </w:tcPr>
          <w:p w14:paraId="251143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Штурмовики</w:t>
            </w:r>
          </w:p>
        </w:tc>
        <w:tc>
          <w:tcPr>
            <w:tcW w:w="1165" w:type="dxa"/>
          </w:tcPr>
          <w:p w14:paraId="2247D2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1165" w:type="dxa"/>
          </w:tcPr>
          <w:p w14:paraId="386AF4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65" w:type="dxa"/>
          </w:tcPr>
          <w:p w14:paraId="7A3FD7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65" w:type="dxa"/>
          </w:tcPr>
          <w:p w14:paraId="7E471C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65" w:type="dxa"/>
          </w:tcPr>
          <w:p w14:paraId="090F08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679" w:type="dxa"/>
          </w:tcPr>
          <w:p w14:paraId="20CA34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r>
      <w:tr w:rsidR="007D5DF8" w:rsidRPr="00DB5D0D" w14:paraId="6BAEDAA3" w14:textId="77777777" w:rsidTr="00E543D0">
        <w:tc>
          <w:tcPr>
            <w:tcW w:w="2093" w:type="dxa"/>
          </w:tcPr>
          <w:p w14:paraId="39DE4A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Морских</w:t>
            </w:r>
          </w:p>
        </w:tc>
        <w:tc>
          <w:tcPr>
            <w:tcW w:w="1165" w:type="dxa"/>
          </w:tcPr>
          <w:p w14:paraId="1FCBB1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w:t>
            </w:r>
          </w:p>
        </w:tc>
        <w:tc>
          <w:tcPr>
            <w:tcW w:w="1165" w:type="dxa"/>
          </w:tcPr>
          <w:p w14:paraId="646A76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1165" w:type="dxa"/>
          </w:tcPr>
          <w:p w14:paraId="6357E1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1165" w:type="dxa"/>
          </w:tcPr>
          <w:p w14:paraId="3D70FC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165" w:type="dxa"/>
          </w:tcPr>
          <w:p w14:paraId="329C40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2679" w:type="dxa"/>
          </w:tcPr>
          <w:p w14:paraId="2F5F07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r>
      <w:tr w:rsidR="007D5DF8" w:rsidRPr="00DB5D0D" w14:paraId="729AE2A5" w14:textId="77777777" w:rsidTr="00E543D0">
        <w:tc>
          <w:tcPr>
            <w:tcW w:w="2093" w:type="dxa"/>
          </w:tcPr>
          <w:p w14:paraId="2E06A1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Транспортных</w:t>
            </w:r>
          </w:p>
        </w:tc>
        <w:tc>
          <w:tcPr>
            <w:tcW w:w="1165" w:type="dxa"/>
          </w:tcPr>
          <w:p w14:paraId="4F5DDA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1165" w:type="dxa"/>
          </w:tcPr>
          <w:p w14:paraId="5E9EB0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165" w:type="dxa"/>
          </w:tcPr>
          <w:p w14:paraId="08E03F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65" w:type="dxa"/>
          </w:tcPr>
          <w:p w14:paraId="1DDF54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1165" w:type="dxa"/>
          </w:tcPr>
          <w:p w14:paraId="1BB4B6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2679" w:type="dxa"/>
          </w:tcPr>
          <w:p w14:paraId="7EC54F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280EA40F" w14:textId="77777777" w:rsidTr="00E543D0">
        <w:tc>
          <w:tcPr>
            <w:tcW w:w="2093" w:type="dxa"/>
            <w:tcBorders>
              <w:bottom w:val="single" w:sz="12" w:space="0" w:color="auto"/>
            </w:tcBorders>
          </w:tcPr>
          <w:p w14:paraId="3AF5BB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1165" w:type="dxa"/>
            <w:tcBorders>
              <w:bottom w:val="single" w:sz="12" w:space="0" w:color="auto"/>
            </w:tcBorders>
          </w:tcPr>
          <w:p w14:paraId="001E0C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1165" w:type="dxa"/>
            <w:tcBorders>
              <w:bottom w:val="single" w:sz="12" w:space="0" w:color="auto"/>
            </w:tcBorders>
          </w:tcPr>
          <w:p w14:paraId="1BC3FB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837</w:t>
            </w:r>
          </w:p>
        </w:tc>
        <w:tc>
          <w:tcPr>
            <w:tcW w:w="1165" w:type="dxa"/>
            <w:tcBorders>
              <w:bottom w:val="single" w:sz="12" w:space="0" w:color="auto"/>
            </w:tcBorders>
          </w:tcPr>
          <w:p w14:paraId="4884AE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935</w:t>
            </w:r>
          </w:p>
        </w:tc>
        <w:tc>
          <w:tcPr>
            <w:tcW w:w="1165" w:type="dxa"/>
            <w:tcBorders>
              <w:bottom w:val="single" w:sz="12" w:space="0" w:color="auto"/>
            </w:tcBorders>
          </w:tcPr>
          <w:p w14:paraId="253673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996</w:t>
            </w:r>
          </w:p>
        </w:tc>
        <w:tc>
          <w:tcPr>
            <w:tcW w:w="1165" w:type="dxa"/>
            <w:tcBorders>
              <w:bottom w:val="single" w:sz="12" w:space="0" w:color="auto"/>
            </w:tcBorders>
          </w:tcPr>
          <w:p w14:paraId="350C80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1065</w:t>
            </w:r>
          </w:p>
        </w:tc>
        <w:tc>
          <w:tcPr>
            <w:tcW w:w="2679" w:type="dxa"/>
            <w:tcBorders>
              <w:bottom w:val="single" w:sz="12" w:space="0" w:color="auto"/>
            </w:tcBorders>
          </w:tcPr>
          <w:p w14:paraId="3BB84A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1167</w:t>
            </w:r>
          </w:p>
        </w:tc>
      </w:tr>
    </w:tbl>
    <w:p w14:paraId="54B896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План производства и сдачи самолетов по заводам Наркомавиапрома утверждаю согласно приложения 1.</w:t>
      </w:r>
    </w:p>
    <w:p w14:paraId="4875C8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4. Начальнику 3 ГУ тов. Лукину принять к исполнению программу выпуска авиамоторов для боевых самолетов по следующему графику: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65"/>
        <w:gridCol w:w="1165"/>
        <w:gridCol w:w="1165"/>
        <w:gridCol w:w="1165"/>
        <w:gridCol w:w="1165"/>
        <w:gridCol w:w="2679"/>
      </w:tblGrid>
      <w:tr w:rsidR="007D5DF8" w:rsidRPr="00DB5D0D" w14:paraId="55729D1C" w14:textId="77777777" w:rsidTr="00E543D0">
        <w:tc>
          <w:tcPr>
            <w:tcW w:w="1165" w:type="dxa"/>
            <w:tcBorders>
              <w:top w:val="single" w:sz="12" w:space="0" w:color="auto"/>
            </w:tcBorders>
          </w:tcPr>
          <w:p w14:paraId="69A2E9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Всего моторов по боевым самолетам на </w:t>
            </w:r>
          </w:p>
        </w:tc>
        <w:tc>
          <w:tcPr>
            <w:tcW w:w="1165" w:type="dxa"/>
            <w:tcBorders>
              <w:top w:val="single" w:sz="12" w:space="0" w:color="auto"/>
            </w:tcBorders>
          </w:tcPr>
          <w:p w14:paraId="29D5809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Borders>
              <w:top w:val="single" w:sz="12" w:space="0" w:color="auto"/>
            </w:tcBorders>
          </w:tcPr>
          <w:p w14:paraId="7EB3A54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5" w:type="dxa"/>
            <w:tcBorders>
              <w:top w:val="single" w:sz="12" w:space="0" w:color="auto"/>
            </w:tcBorders>
          </w:tcPr>
          <w:p w14:paraId="4CD989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том числе по месяцам</w:t>
            </w:r>
          </w:p>
        </w:tc>
        <w:tc>
          <w:tcPr>
            <w:tcW w:w="1165" w:type="dxa"/>
            <w:tcBorders>
              <w:top w:val="single" w:sz="12" w:space="0" w:color="auto"/>
            </w:tcBorders>
          </w:tcPr>
          <w:p w14:paraId="508AA5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679" w:type="dxa"/>
            <w:tcBorders>
              <w:top w:val="single" w:sz="12" w:space="0" w:color="auto"/>
            </w:tcBorders>
          </w:tcPr>
          <w:p w14:paraId="72056EA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1BB3921" w14:textId="77777777" w:rsidTr="00E543D0">
        <w:tc>
          <w:tcPr>
            <w:tcW w:w="1165" w:type="dxa"/>
          </w:tcPr>
          <w:p w14:paraId="29022E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месяцев</w:t>
            </w:r>
          </w:p>
        </w:tc>
        <w:tc>
          <w:tcPr>
            <w:tcW w:w="1165" w:type="dxa"/>
          </w:tcPr>
          <w:p w14:paraId="53ACFA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1165" w:type="dxa"/>
          </w:tcPr>
          <w:p w14:paraId="2E156A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1165" w:type="dxa"/>
          </w:tcPr>
          <w:p w14:paraId="06ABA0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1165" w:type="dxa"/>
          </w:tcPr>
          <w:p w14:paraId="0134A8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2679" w:type="dxa"/>
          </w:tcPr>
          <w:p w14:paraId="5C2CE7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w:t>
            </w:r>
          </w:p>
        </w:tc>
      </w:tr>
      <w:tr w:rsidR="007D5DF8" w:rsidRPr="00DB5D0D" w14:paraId="19FF8BED" w14:textId="77777777" w:rsidTr="00E543D0">
        <w:tc>
          <w:tcPr>
            <w:tcW w:w="1165" w:type="dxa"/>
            <w:tcBorders>
              <w:bottom w:val="single" w:sz="12" w:space="0" w:color="auto"/>
            </w:tcBorders>
          </w:tcPr>
          <w:p w14:paraId="468B7B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10694</w:t>
            </w:r>
          </w:p>
        </w:tc>
        <w:tc>
          <w:tcPr>
            <w:tcW w:w="1165" w:type="dxa"/>
            <w:tcBorders>
              <w:bottom w:val="single" w:sz="12" w:space="0" w:color="auto"/>
            </w:tcBorders>
          </w:tcPr>
          <w:p w14:paraId="700B1F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1927</w:t>
            </w:r>
          </w:p>
        </w:tc>
        <w:tc>
          <w:tcPr>
            <w:tcW w:w="1165" w:type="dxa"/>
            <w:tcBorders>
              <w:bottom w:val="single" w:sz="12" w:space="0" w:color="auto"/>
            </w:tcBorders>
          </w:tcPr>
          <w:p w14:paraId="75D76F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2038</w:t>
            </w:r>
          </w:p>
        </w:tc>
        <w:tc>
          <w:tcPr>
            <w:tcW w:w="1165" w:type="dxa"/>
            <w:tcBorders>
              <w:bottom w:val="single" w:sz="12" w:space="0" w:color="auto"/>
            </w:tcBorders>
          </w:tcPr>
          <w:p w14:paraId="64D1D1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2098</w:t>
            </w:r>
          </w:p>
        </w:tc>
        <w:tc>
          <w:tcPr>
            <w:tcW w:w="1165" w:type="dxa"/>
            <w:tcBorders>
              <w:bottom w:val="single" w:sz="12" w:space="0" w:color="auto"/>
            </w:tcBorders>
          </w:tcPr>
          <w:p w14:paraId="605415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2258</w:t>
            </w:r>
          </w:p>
        </w:tc>
        <w:tc>
          <w:tcPr>
            <w:tcW w:w="2679" w:type="dxa"/>
            <w:tcBorders>
              <w:bottom w:val="single" w:sz="12" w:space="0" w:color="auto"/>
            </w:tcBorders>
          </w:tcPr>
          <w:p w14:paraId="14BC61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2773</w:t>
            </w:r>
          </w:p>
        </w:tc>
      </w:tr>
    </w:tbl>
    <w:p w14:paraId="7BA7AF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План производства и сдачи авиамоторов по заводам Наркомавиапрома утверждаю согласно приложения 2.</w:t>
      </w:r>
    </w:p>
    <w:p w14:paraId="6B1422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Разрешить директорам самолетных, авиамоторных и агре</w:t>
      </w:r>
      <w:r w:rsidRPr="00DB5D0D">
        <w:rPr>
          <w:rFonts w:ascii="Times New Roman" w:hAnsi="Times New Roman"/>
          <w:color w:val="000000" w:themeColor="text1"/>
          <w:sz w:val="16"/>
          <w:szCs w:val="16"/>
        </w:rPr>
        <w:softHyphen/>
        <w:t>гатных заводов применение сверхурочных работ до 3 часов в день на одного работающего, а также в необходимых случаях, работу в выходные дни.</w:t>
      </w:r>
    </w:p>
    <w:p w14:paraId="7E7F9D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Начальникам Второго, Четвертого и Пятого Главных Управлений принять к исполнению программу выпуска агрегатов, проката, приборов по количеству, номенклатурам и срокам, обеспечиващим выполнение утвержденной Правительством программы на оставшиеся 5 месяцев 1940 года.</w:t>
      </w:r>
    </w:p>
    <w:p w14:paraId="00BAA2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Начальникам Первого и Третьего Главных Управлений немедленно довести утвержденную программу до заводов.</w:t>
      </w:r>
    </w:p>
    <w:p w14:paraId="12F3EB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Начальникам ПЭО, Второго, Четвертого и Пятого Главных Управлений в трехдневный срок довести программу до агрегатных заводов.</w:t>
      </w:r>
    </w:p>
    <w:p w14:paraId="32A646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Директорам заводов в пятидневный срок разработать конкретный план организационно-технических мероприятий, обеспечивающих выполнение установленной программы.</w:t>
      </w:r>
    </w:p>
    <w:p w14:paraId="2FE71B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Начальникам Главных Управлений рассмотреть и утвердить план организационно-технических мероприятий, оказывая заводам повседневную и оперативную помощь в выполнении ими установлен</w:t>
      </w:r>
      <w:r w:rsidRPr="00DB5D0D">
        <w:rPr>
          <w:rFonts w:ascii="Times New Roman" w:hAnsi="Times New Roman"/>
          <w:color w:val="000000" w:themeColor="text1"/>
          <w:sz w:val="16"/>
          <w:szCs w:val="16"/>
        </w:rPr>
        <w:softHyphen/>
        <w:t>ной программы (410,22.)</w:t>
      </w:r>
    </w:p>
    <w:p w14:paraId="50230C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15"/>
        <w:gridCol w:w="915"/>
        <w:gridCol w:w="915"/>
        <w:gridCol w:w="915"/>
        <w:gridCol w:w="915"/>
        <w:gridCol w:w="915"/>
        <w:gridCol w:w="2874"/>
      </w:tblGrid>
      <w:tr w:rsidR="007D5DF8" w:rsidRPr="00DB5D0D" w14:paraId="7DCA2858" w14:textId="77777777" w:rsidTr="00E543D0">
        <w:tc>
          <w:tcPr>
            <w:tcW w:w="2235" w:type="dxa"/>
            <w:tcBorders>
              <w:top w:val="single" w:sz="12" w:space="0" w:color="auto"/>
            </w:tcBorders>
          </w:tcPr>
          <w:p w14:paraId="6BB413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самолета и мотора</w:t>
            </w:r>
          </w:p>
        </w:tc>
        <w:tc>
          <w:tcPr>
            <w:tcW w:w="915" w:type="dxa"/>
            <w:tcBorders>
              <w:top w:val="single" w:sz="12" w:space="0" w:color="auto"/>
            </w:tcBorders>
          </w:tcPr>
          <w:p w14:paraId="765D73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изготовитель</w:t>
            </w:r>
          </w:p>
        </w:tc>
        <w:tc>
          <w:tcPr>
            <w:tcW w:w="915" w:type="dxa"/>
            <w:tcBorders>
              <w:top w:val="single" w:sz="12" w:space="0" w:color="auto"/>
            </w:tcBorders>
          </w:tcPr>
          <w:p w14:paraId="7A1CAA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на 5 месяцев</w:t>
            </w:r>
          </w:p>
        </w:tc>
        <w:tc>
          <w:tcPr>
            <w:tcW w:w="915" w:type="dxa"/>
            <w:tcBorders>
              <w:top w:val="single" w:sz="12" w:space="0" w:color="auto"/>
            </w:tcBorders>
          </w:tcPr>
          <w:p w14:paraId="38C71C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915" w:type="dxa"/>
            <w:tcBorders>
              <w:top w:val="single" w:sz="12" w:space="0" w:color="auto"/>
            </w:tcBorders>
          </w:tcPr>
          <w:p w14:paraId="49A575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915" w:type="dxa"/>
            <w:tcBorders>
              <w:top w:val="single" w:sz="12" w:space="0" w:color="auto"/>
            </w:tcBorders>
          </w:tcPr>
          <w:p w14:paraId="6B9280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915" w:type="dxa"/>
            <w:tcBorders>
              <w:top w:val="single" w:sz="12" w:space="0" w:color="auto"/>
            </w:tcBorders>
          </w:tcPr>
          <w:p w14:paraId="6E5064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2874" w:type="dxa"/>
            <w:tcBorders>
              <w:top w:val="single" w:sz="12" w:space="0" w:color="auto"/>
            </w:tcBorders>
          </w:tcPr>
          <w:p w14:paraId="1D3B0F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w:t>
            </w:r>
          </w:p>
        </w:tc>
      </w:tr>
      <w:tr w:rsidR="007D5DF8" w:rsidRPr="00DB5D0D" w14:paraId="67E303B1" w14:textId="77777777" w:rsidTr="00E543D0">
        <w:tc>
          <w:tcPr>
            <w:tcW w:w="2235" w:type="dxa"/>
          </w:tcPr>
          <w:p w14:paraId="4F7AC0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М-62/63</w:t>
            </w:r>
          </w:p>
        </w:tc>
        <w:tc>
          <w:tcPr>
            <w:tcW w:w="915" w:type="dxa"/>
          </w:tcPr>
          <w:p w14:paraId="334892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15" w:type="dxa"/>
          </w:tcPr>
          <w:p w14:paraId="022A08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w:t>
            </w:r>
          </w:p>
        </w:tc>
        <w:tc>
          <w:tcPr>
            <w:tcW w:w="915" w:type="dxa"/>
          </w:tcPr>
          <w:p w14:paraId="2199DC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915" w:type="dxa"/>
          </w:tcPr>
          <w:p w14:paraId="26A0CC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915" w:type="dxa"/>
          </w:tcPr>
          <w:p w14:paraId="01DD70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915" w:type="dxa"/>
          </w:tcPr>
          <w:p w14:paraId="273D0E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2874" w:type="dxa"/>
          </w:tcPr>
          <w:p w14:paraId="6C71E1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r>
      <w:tr w:rsidR="007D5DF8" w:rsidRPr="00DB5D0D" w14:paraId="3653D2C3" w14:textId="77777777" w:rsidTr="00E543D0">
        <w:tc>
          <w:tcPr>
            <w:tcW w:w="2235" w:type="dxa"/>
          </w:tcPr>
          <w:p w14:paraId="0B1194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w:t>
            </w:r>
          </w:p>
        </w:tc>
        <w:tc>
          <w:tcPr>
            <w:tcW w:w="915" w:type="dxa"/>
          </w:tcPr>
          <w:p w14:paraId="3C7B3F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15" w:type="dxa"/>
          </w:tcPr>
          <w:p w14:paraId="5F2ED1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915" w:type="dxa"/>
          </w:tcPr>
          <w:p w14:paraId="221F7E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2D4FD7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915" w:type="dxa"/>
          </w:tcPr>
          <w:p w14:paraId="6B1424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915" w:type="dxa"/>
          </w:tcPr>
          <w:p w14:paraId="7ECF27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2874" w:type="dxa"/>
          </w:tcPr>
          <w:p w14:paraId="6C23D9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r w:rsidR="007D5DF8" w:rsidRPr="00DB5D0D" w14:paraId="2D46DB6F" w14:textId="77777777" w:rsidTr="00E543D0">
        <w:tc>
          <w:tcPr>
            <w:tcW w:w="2235" w:type="dxa"/>
          </w:tcPr>
          <w:p w14:paraId="48C945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М-63</w:t>
            </w:r>
          </w:p>
        </w:tc>
        <w:tc>
          <w:tcPr>
            <w:tcW w:w="915" w:type="dxa"/>
          </w:tcPr>
          <w:p w14:paraId="6C7A38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915" w:type="dxa"/>
          </w:tcPr>
          <w:p w14:paraId="27E88D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675</w:t>
            </w:r>
          </w:p>
        </w:tc>
        <w:tc>
          <w:tcPr>
            <w:tcW w:w="915" w:type="dxa"/>
          </w:tcPr>
          <w:p w14:paraId="1F84DC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47010E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915" w:type="dxa"/>
          </w:tcPr>
          <w:p w14:paraId="0E8BEE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915" w:type="dxa"/>
          </w:tcPr>
          <w:p w14:paraId="295C15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2874" w:type="dxa"/>
          </w:tcPr>
          <w:p w14:paraId="4CB3EA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r>
      <w:tr w:rsidR="007D5DF8" w:rsidRPr="00DB5D0D" w14:paraId="033F9011" w14:textId="77777777" w:rsidTr="00E543D0">
        <w:tc>
          <w:tcPr>
            <w:tcW w:w="2235" w:type="dxa"/>
          </w:tcPr>
          <w:p w14:paraId="125D0A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М-88</w:t>
            </w:r>
          </w:p>
        </w:tc>
        <w:tc>
          <w:tcPr>
            <w:tcW w:w="915" w:type="dxa"/>
          </w:tcPr>
          <w:p w14:paraId="16655D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915" w:type="dxa"/>
          </w:tcPr>
          <w:p w14:paraId="49B62F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w:t>
            </w:r>
          </w:p>
        </w:tc>
        <w:tc>
          <w:tcPr>
            <w:tcW w:w="915" w:type="dxa"/>
          </w:tcPr>
          <w:p w14:paraId="6D5A21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915" w:type="dxa"/>
          </w:tcPr>
          <w:p w14:paraId="35BFE8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1E3F85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915" w:type="dxa"/>
          </w:tcPr>
          <w:p w14:paraId="06009D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2874" w:type="dxa"/>
          </w:tcPr>
          <w:p w14:paraId="60ADB6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r>
      <w:tr w:rsidR="007D5DF8" w:rsidRPr="00DB5D0D" w14:paraId="470F2761" w14:textId="77777777" w:rsidTr="00E543D0">
        <w:tc>
          <w:tcPr>
            <w:tcW w:w="2235" w:type="dxa"/>
          </w:tcPr>
          <w:p w14:paraId="388692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М-63</w:t>
            </w:r>
          </w:p>
        </w:tc>
        <w:tc>
          <w:tcPr>
            <w:tcW w:w="915" w:type="dxa"/>
          </w:tcPr>
          <w:p w14:paraId="1DBA85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915" w:type="dxa"/>
          </w:tcPr>
          <w:p w14:paraId="17B018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w:t>
            </w:r>
          </w:p>
        </w:tc>
        <w:tc>
          <w:tcPr>
            <w:tcW w:w="915" w:type="dxa"/>
          </w:tcPr>
          <w:p w14:paraId="59A522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915" w:type="dxa"/>
          </w:tcPr>
          <w:p w14:paraId="2F3018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915" w:type="dxa"/>
          </w:tcPr>
          <w:p w14:paraId="633ABE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w:t>
            </w:r>
          </w:p>
        </w:tc>
        <w:tc>
          <w:tcPr>
            <w:tcW w:w="915" w:type="dxa"/>
          </w:tcPr>
          <w:p w14:paraId="5FBB8C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c>
          <w:tcPr>
            <w:tcW w:w="2874" w:type="dxa"/>
          </w:tcPr>
          <w:p w14:paraId="39031A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r>
      <w:tr w:rsidR="007D5DF8" w:rsidRPr="00DB5D0D" w14:paraId="07A9DED5" w14:textId="77777777" w:rsidTr="00E543D0">
        <w:tc>
          <w:tcPr>
            <w:tcW w:w="2235" w:type="dxa"/>
          </w:tcPr>
          <w:p w14:paraId="2B668C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 М-88</w:t>
            </w:r>
          </w:p>
        </w:tc>
        <w:tc>
          <w:tcPr>
            <w:tcW w:w="915" w:type="dxa"/>
          </w:tcPr>
          <w:p w14:paraId="182BE9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w:t>
            </w:r>
          </w:p>
        </w:tc>
        <w:tc>
          <w:tcPr>
            <w:tcW w:w="915" w:type="dxa"/>
          </w:tcPr>
          <w:p w14:paraId="67AA98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15" w:type="dxa"/>
          </w:tcPr>
          <w:p w14:paraId="16B35D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15" w:type="dxa"/>
          </w:tcPr>
          <w:p w14:paraId="7A2785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593EF3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5F0C25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6FFE3E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D906E5E" w14:textId="77777777" w:rsidTr="00E543D0">
        <w:tc>
          <w:tcPr>
            <w:tcW w:w="2235" w:type="dxa"/>
          </w:tcPr>
          <w:p w14:paraId="1AD63B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М-105П</w:t>
            </w:r>
          </w:p>
        </w:tc>
        <w:tc>
          <w:tcPr>
            <w:tcW w:w="915" w:type="dxa"/>
          </w:tcPr>
          <w:p w14:paraId="27B227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w:t>
            </w:r>
          </w:p>
        </w:tc>
        <w:tc>
          <w:tcPr>
            <w:tcW w:w="915" w:type="dxa"/>
          </w:tcPr>
          <w:p w14:paraId="78A32D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271932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0CACA2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55D559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74CEF1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2874" w:type="dxa"/>
          </w:tcPr>
          <w:p w14:paraId="4224EC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r w:rsidR="007D5DF8" w:rsidRPr="00DB5D0D" w14:paraId="70427161" w14:textId="77777777" w:rsidTr="00E543D0">
        <w:tc>
          <w:tcPr>
            <w:tcW w:w="2235" w:type="dxa"/>
          </w:tcPr>
          <w:p w14:paraId="48E6DD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w:t>
            </w:r>
          </w:p>
        </w:tc>
        <w:tc>
          <w:tcPr>
            <w:tcW w:w="915" w:type="dxa"/>
          </w:tcPr>
          <w:p w14:paraId="5BCD1B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w:t>
            </w:r>
          </w:p>
        </w:tc>
        <w:tc>
          <w:tcPr>
            <w:tcW w:w="915" w:type="dxa"/>
          </w:tcPr>
          <w:p w14:paraId="66992B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915" w:type="dxa"/>
          </w:tcPr>
          <w:p w14:paraId="1D34FA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915" w:type="dxa"/>
          </w:tcPr>
          <w:p w14:paraId="147FCC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05D723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29853C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2874" w:type="dxa"/>
          </w:tcPr>
          <w:p w14:paraId="776EC9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r>
      <w:tr w:rsidR="007D5DF8" w:rsidRPr="00DB5D0D" w14:paraId="5D0982EB" w14:textId="77777777" w:rsidTr="00E543D0">
        <w:tc>
          <w:tcPr>
            <w:tcW w:w="2235" w:type="dxa"/>
          </w:tcPr>
          <w:p w14:paraId="400497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истребителей</w:t>
            </w:r>
          </w:p>
        </w:tc>
        <w:tc>
          <w:tcPr>
            <w:tcW w:w="915" w:type="dxa"/>
          </w:tcPr>
          <w:p w14:paraId="0B3A3CB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543896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2383</w:t>
            </w:r>
          </w:p>
        </w:tc>
        <w:tc>
          <w:tcPr>
            <w:tcW w:w="915" w:type="dxa"/>
          </w:tcPr>
          <w:p w14:paraId="19FAE0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288</w:t>
            </w:r>
          </w:p>
        </w:tc>
        <w:tc>
          <w:tcPr>
            <w:tcW w:w="915" w:type="dxa"/>
          </w:tcPr>
          <w:p w14:paraId="48945E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445</w:t>
            </w:r>
          </w:p>
        </w:tc>
        <w:tc>
          <w:tcPr>
            <w:tcW w:w="915" w:type="dxa"/>
          </w:tcPr>
          <w:p w14:paraId="7EE93D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915" w:type="dxa"/>
          </w:tcPr>
          <w:p w14:paraId="54E8CE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495</w:t>
            </w:r>
          </w:p>
        </w:tc>
        <w:tc>
          <w:tcPr>
            <w:tcW w:w="2874" w:type="dxa"/>
          </w:tcPr>
          <w:p w14:paraId="024CF2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555</w:t>
            </w:r>
          </w:p>
        </w:tc>
      </w:tr>
      <w:tr w:rsidR="007D5DF8" w:rsidRPr="00DB5D0D" w14:paraId="50AF0808" w14:textId="77777777" w:rsidTr="00E543D0">
        <w:tc>
          <w:tcPr>
            <w:tcW w:w="2235" w:type="dxa"/>
          </w:tcPr>
          <w:p w14:paraId="50F063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 2М-103</w:t>
            </w:r>
          </w:p>
        </w:tc>
        <w:tc>
          <w:tcPr>
            <w:tcW w:w="915" w:type="dxa"/>
          </w:tcPr>
          <w:p w14:paraId="311456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15" w:type="dxa"/>
          </w:tcPr>
          <w:p w14:paraId="743A79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c>
          <w:tcPr>
            <w:tcW w:w="915" w:type="dxa"/>
          </w:tcPr>
          <w:p w14:paraId="025F80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915" w:type="dxa"/>
          </w:tcPr>
          <w:p w14:paraId="24D425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w:t>
            </w:r>
          </w:p>
        </w:tc>
        <w:tc>
          <w:tcPr>
            <w:tcW w:w="915" w:type="dxa"/>
          </w:tcPr>
          <w:p w14:paraId="79AD80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1023AE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43F608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CC800E8" w14:textId="77777777" w:rsidTr="00E543D0">
        <w:tc>
          <w:tcPr>
            <w:tcW w:w="2235" w:type="dxa"/>
          </w:tcPr>
          <w:p w14:paraId="65D3F6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2М-87</w:t>
            </w:r>
          </w:p>
        </w:tc>
        <w:tc>
          <w:tcPr>
            <w:tcW w:w="915" w:type="dxa"/>
          </w:tcPr>
          <w:p w14:paraId="0F94D2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915" w:type="dxa"/>
          </w:tcPr>
          <w:p w14:paraId="5B652B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422</w:t>
            </w:r>
          </w:p>
        </w:tc>
        <w:tc>
          <w:tcPr>
            <w:tcW w:w="915" w:type="dxa"/>
          </w:tcPr>
          <w:p w14:paraId="5350DE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60871C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3A5482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w:t>
            </w:r>
          </w:p>
        </w:tc>
        <w:tc>
          <w:tcPr>
            <w:tcW w:w="915" w:type="dxa"/>
          </w:tcPr>
          <w:p w14:paraId="5711A1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2874" w:type="dxa"/>
          </w:tcPr>
          <w:p w14:paraId="5A745A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r>
      <w:tr w:rsidR="007D5DF8" w:rsidRPr="00DB5D0D" w14:paraId="1967B05D" w14:textId="77777777" w:rsidTr="00E543D0">
        <w:tc>
          <w:tcPr>
            <w:tcW w:w="2235" w:type="dxa"/>
          </w:tcPr>
          <w:p w14:paraId="5FD79E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2М-105/АМ-35</w:t>
            </w:r>
          </w:p>
        </w:tc>
        <w:tc>
          <w:tcPr>
            <w:tcW w:w="915" w:type="dxa"/>
          </w:tcPr>
          <w:p w14:paraId="6DE83C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915" w:type="dxa"/>
          </w:tcPr>
          <w:p w14:paraId="015DA7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915" w:type="dxa"/>
          </w:tcPr>
          <w:p w14:paraId="00F61B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7C84D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0EB649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022F2F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2874" w:type="dxa"/>
          </w:tcPr>
          <w:p w14:paraId="67433C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r>
      <w:tr w:rsidR="007D5DF8" w:rsidRPr="00DB5D0D" w14:paraId="3E6E5F10" w14:textId="77777777" w:rsidTr="00E543D0">
        <w:tc>
          <w:tcPr>
            <w:tcW w:w="2235" w:type="dxa"/>
          </w:tcPr>
          <w:p w14:paraId="39E5A4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2М-103/105</w:t>
            </w:r>
          </w:p>
        </w:tc>
        <w:tc>
          <w:tcPr>
            <w:tcW w:w="915" w:type="dxa"/>
          </w:tcPr>
          <w:p w14:paraId="39E465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915" w:type="dxa"/>
          </w:tcPr>
          <w:p w14:paraId="0A0DC6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c>
          <w:tcPr>
            <w:tcW w:w="915" w:type="dxa"/>
          </w:tcPr>
          <w:p w14:paraId="4D7E82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915" w:type="dxa"/>
          </w:tcPr>
          <w:p w14:paraId="0962FC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35749A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55587D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2874" w:type="dxa"/>
          </w:tcPr>
          <w:p w14:paraId="3ECC4B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r w:rsidR="007D5DF8" w:rsidRPr="00DB5D0D" w14:paraId="30834583" w14:textId="77777777" w:rsidTr="00E543D0">
        <w:tc>
          <w:tcPr>
            <w:tcW w:w="2235" w:type="dxa"/>
          </w:tcPr>
          <w:p w14:paraId="2B41B9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СБ-РК 2М-105</w:t>
            </w:r>
          </w:p>
        </w:tc>
        <w:tc>
          <w:tcPr>
            <w:tcW w:w="915" w:type="dxa"/>
          </w:tcPr>
          <w:p w14:paraId="137F41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915" w:type="dxa"/>
          </w:tcPr>
          <w:p w14:paraId="140974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c>
          <w:tcPr>
            <w:tcW w:w="915" w:type="dxa"/>
          </w:tcPr>
          <w:p w14:paraId="49B438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21F14D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915" w:type="dxa"/>
          </w:tcPr>
          <w:p w14:paraId="4128B3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915" w:type="dxa"/>
          </w:tcPr>
          <w:p w14:paraId="518468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2874" w:type="dxa"/>
          </w:tcPr>
          <w:p w14:paraId="5F9D4C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r>
      <w:tr w:rsidR="007D5DF8" w:rsidRPr="00DB5D0D" w14:paraId="27A2D2E4" w14:textId="77777777" w:rsidTr="00E543D0">
        <w:tc>
          <w:tcPr>
            <w:tcW w:w="2235" w:type="dxa"/>
          </w:tcPr>
          <w:p w14:paraId="370E7B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ПБ-100с 2М-105</w:t>
            </w:r>
          </w:p>
        </w:tc>
        <w:tc>
          <w:tcPr>
            <w:tcW w:w="915" w:type="dxa"/>
          </w:tcPr>
          <w:p w14:paraId="41AA46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915" w:type="dxa"/>
          </w:tcPr>
          <w:p w14:paraId="3C635D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915" w:type="dxa"/>
          </w:tcPr>
          <w:p w14:paraId="4B0FBC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35B8C3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0C3E33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4955FC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2874" w:type="dxa"/>
          </w:tcPr>
          <w:p w14:paraId="02C055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r>
      <w:tr w:rsidR="007D5DF8" w:rsidRPr="00DB5D0D" w14:paraId="5AF5F1BF" w14:textId="77777777" w:rsidTr="00E543D0">
        <w:tc>
          <w:tcPr>
            <w:tcW w:w="2235" w:type="dxa"/>
          </w:tcPr>
          <w:p w14:paraId="2C814B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w:t>
            </w:r>
          </w:p>
        </w:tc>
        <w:tc>
          <w:tcPr>
            <w:tcW w:w="915" w:type="dxa"/>
          </w:tcPr>
          <w:p w14:paraId="774983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915" w:type="dxa"/>
          </w:tcPr>
          <w:p w14:paraId="5A49BA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915" w:type="dxa"/>
          </w:tcPr>
          <w:p w14:paraId="5983C1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2EB442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547261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915" w:type="dxa"/>
          </w:tcPr>
          <w:p w14:paraId="43246D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2874" w:type="dxa"/>
          </w:tcPr>
          <w:p w14:paraId="6791AF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r>
      <w:tr w:rsidR="007D5DF8" w:rsidRPr="00DB5D0D" w14:paraId="36FDEBCA" w14:textId="77777777" w:rsidTr="00E543D0">
        <w:tc>
          <w:tcPr>
            <w:tcW w:w="2235" w:type="dxa"/>
          </w:tcPr>
          <w:p w14:paraId="28480C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w:t>
            </w:r>
          </w:p>
        </w:tc>
        <w:tc>
          <w:tcPr>
            <w:tcW w:w="915" w:type="dxa"/>
          </w:tcPr>
          <w:p w14:paraId="6F1AE5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915" w:type="dxa"/>
          </w:tcPr>
          <w:p w14:paraId="75E7D5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w:t>
            </w:r>
          </w:p>
        </w:tc>
        <w:tc>
          <w:tcPr>
            <w:tcW w:w="915" w:type="dxa"/>
          </w:tcPr>
          <w:p w14:paraId="59E39C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915" w:type="dxa"/>
          </w:tcPr>
          <w:p w14:paraId="0BEDF3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915" w:type="dxa"/>
          </w:tcPr>
          <w:p w14:paraId="42AC14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915" w:type="dxa"/>
          </w:tcPr>
          <w:p w14:paraId="5E980B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2874" w:type="dxa"/>
          </w:tcPr>
          <w:p w14:paraId="09F5D5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r w:rsidR="007D5DF8" w:rsidRPr="00DB5D0D" w14:paraId="1DB2CB8A" w14:textId="77777777" w:rsidTr="00E543D0">
        <w:tc>
          <w:tcPr>
            <w:tcW w:w="2235" w:type="dxa"/>
          </w:tcPr>
          <w:p w14:paraId="464B82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w:t>
            </w:r>
          </w:p>
        </w:tc>
        <w:tc>
          <w:tcPr>
            <w:tcW w:w="915" w:type="dxa"/>
          </w:tcPr>
          <w:p w14:paraId="59EB3A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915" w:type="dxa"/>
          </w:tcPr>
          <w:p w14:paraId="3025CB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915" w:type="dxa"/>
          </w:tcPr>
          <w:p w14:paraId="3505F7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40F44A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915" w:type="dxa"/>
          </w:tcPr>
          <w:p w14:paraId="76DA22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15" w:type="dxa"/>
          </w:tcPr>
          <w:p w14:paraId="2978F5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874" w:type="dxa"/>
          </w:tcPr>
          <w:p w14:paraId="2070AD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r w:rsidR="007D5DF8" w:rsidRPr="00DB5D0D" w14:paraId="6CBC1AF0" w14:textId="77777777" w:rsidTr="00E543D0">
        <w:tc>
          <w:tcPr>
            <w:tcW w:w="2235" w:type="dxa"/>
          </w:tcPr>
          <w:p w14:paraId="6F3720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2М-88</w:t>
            </w:r>
          </w:p>
        </w:tc>
        <w:tc>
          <w:tcPr>
            <w:tcW w:w="915" w:type="dxa"/>
          </w:tcPr>
          <w:p w14:paraId="30E512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915" w:type="dxa"/>
          </w:tcPr>
          <w:p w14:paraId="5F077F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199</w:t>
            </w:r>
          </w:p>
        </w:tc>
        <w:tc>
          <w:tcPr>
            <w:tcW w:w="915" w:type="dxa"/>
          </w:tcPr>
          <w:p w14:paraId="3DB61E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0EB303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04932F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1D9677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2874" w:type="dxa"/>
          </w:tcPr>
          <w:p w14:paraId="3066A4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r>
      <w:tr w:rsidR="007D5DF8" w:rsidRPr="00DB5D0D" w14:paraId="3FB09694" w14:textId="77777777" w:rsidTr="00E543D0">
        <w:tc>
          <w:tcPr>
            <w:tcW w:w="2235" w:type="dxa"/>
          </w:tcPr>
          <w:p w14:paraId="076247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 2М-103/105</w:t>
            </w:r>
          </w:p>
        </w:tc>
        <w:tc>
          <w:tcPr>
            <w:tcW w:w="915" w:type="dxa"/>
          </w:tcPr>
          <w:p w14:paraId="606D0C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915" w:type="dxa"/>
          </w:tcPr>
          <w:p w14:paraId="52913B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915" w:type="dxa"/>
          </w:tcPr>
          <w:p w14:paraId="289B5F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915" w:type="dxa"/>
          </w:tcPr>
          <w:p w14:paraId="6BBB87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144623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w:t>
            </w:r>
          </w:p>
        </w:tc>
        <w:tc>
          <w:tcPr>
            <w:tcW w:w="915" w:type="dxa"/>
          </w:tcPr>
          <w:p w14:paraId="61C90E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2874" w:type="dxa"/>
          </w:tcPr>
          <w:p w14:paraId="792C9D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r w:rsidR="007D5DF8" w:rsidRPr="00DB5D0D" w14:paraId="16703E0D" w14:textId="77777777" w:rsidTr="00E543D0">
        <w:tc>
          <w:tcPr>
            <w:tcW w:w="2235" w:type="dxa"/>
          </w:tcPr>
          <w:p w14:paraId="748D72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 4АМ-35/М-40/М-30</w:t>
            </w:r>
          </w:p>
        </w:tc>
        <w:tc>
          <w:tcPr>
            <w:tcW w:w="915" w:type="dxa"/>
          </w:tcPr>
          <w:p w14:paraId="7165BE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915" w:type="dxa"/>
          </w:tcPr>
          <w:p w14:paraId="67442A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915" w:type="dxa"/>
          </w:tcPr>
          <w:p w14:paraId="3D2A1B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136991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540F75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701CAC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874" w:type="dxa"/>
          </w:tcPr>
          <w:p w14:paraId="171B89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12B9219E" w14:textId="77777777" w:rsidTr="00E543D0">
        <w:tc>
          <w:tcPr>
            <w:tcW w:w="2235" w:type="dxa"/>
          </w:tcPr>
          <w:p w14:paraId="6B0926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2М-103</w:t>
            </w:r>
          </w:p>
        </w:tc>
        <w:tc>
          <w:tcPr>
            <w:tcW w:w="915" w:type="dxa"/>
          </w:tcPr>
          <w:p w14:paraId="591F9B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915" w:type="dxa"/>
          </w:tcPr>
          <w:p w14:paraId="2CA2B5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198</w:t>
            </w:r>
          </w:p>
        </w:tc>
        <w:tc>
          <w:tcPr>
            <w:tcW w:w="915" w:type="dxa"/>
          </w:tcPr>
          <w:p w14:paraId="792BF1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915" w:type="dxa"/>
          </w:tcPr>
          <w:p w14:paraId="25E2E9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0D1C90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1BD9B5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2874" w:type="dxa"/>
          </w:tcPr>
          <w:p w14:paraId="0A08E8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r>
      <w:tr w:rsidR="007D5DF8" w:rsidRPr="00DB5D0D" w14:paraId="07851D3C" w14:textId="77777777" w:rsidTr="00E543D0">
        <w:tc>
          <w:tcPr>
            <w:tcW w:w="2235" w:type="dxa"/>
          </w:tcPr>
          <w:p w14:paraId="634B67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 2М-87</w:t>
            </w:r>
          </w:p>
        </w:tc>
        <w:tc>
          <w:tcPr>
            <w:tcW w:w="915" w:type="dxa"/>
          </w:tcPr>
          <w:p w14:paraId="5EC19C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w:t>
            </w:r>
          </w:p>
        </w:tc>
        <w:tc>
          <w:tcPr>
            <w:tcW w:w="915" w:type="dxa"/>
          </w:tcPr>
          <w:p w14:paraId="448AEC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915" w:type="dxa"/>
          </w:tcPr>
          <w:p w14:paraId="2093EA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915" w:type="dxa"/>
          </w:tcPr>
          <w:p w14:paraId="658964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62DAC5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7DE246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2874" w:type="dxa"/>
          </w:tcPr>
          <w:p w14:paraId="6CAEC3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07E378AE" w14:textId="77777777" w:rsidTr="00E543D0">
        <w:tc>
          <w:tcPr>
            <w:tcW w:w="2235" w:type="dxa"/>
          </w:tcPr>
          <w:p w14:paraId="18BF36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2М-88</w:t>
            </w:r>
          </w:p>
        </w:tc>
        <w:tc>
          <w:tcPr>
            <w:tcW w:w="915" w:type="dxa"/>
          </w:tcPr>
          <w:p w14:paraId="7A8A68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w:t>
            </w:r>
          </w:p>
        </w:tc>
        <w:tc>
          <w:tcPr>
            <w:tcW w:w="915" w:type="dxa"/>
          </w:tcPr>
          <w:p w14:paraId="2AD1D1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915" w:type="dxa"/>
          </w:tcPr>
          <w:p w14:paraId="4E7083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4D78CF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2EAC16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1AF8E0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2874" w:type="dxa"/>
          </w:tcPr>
          <w:p w14:paraId="58CE92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r w:rsidR="007D5DF8" w:rsidRPr="00DB5D0D" w14:paraId="4F3F331A" w14:textId="77777777" w:rsidTr="00E543D0">
        <w:tc>
          <w:tcPr>
            <w:tcW w:w="2235" w:type="dxa"/>
          </w:tcPr>
          <w:p w14:paraId="3C995E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ПБ-100 2М-105</w:t>
            </w:r>
          </w:p>
        </w:tc>
        <w:tc>
          <w:tcPr>
            <w:tcW w:w="915" w:type="dxa"/>
          </w:tcPr>
          <w:p w14:paraId="62C6D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915" w:type="dxa"/>
          </w:tcPr>
          <w:p w14:paraId="015E2D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915" w:type="dxa"/>
          </w:tcPr>
          <w:p w14:paraId="150454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62200E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02E8DD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3A9282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2874" w:type="dxa"/>
          </w:tcPr>
          <w:p w14:paraId="21B59C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06767EAC" w14:textId="77777777" w:rsidTr="00E543D0">
        <w:tc>
          <w:tcPr>
            <w:tcW w:w="2235" w:type="dxa"/>
          </w:tcPr>
          <w:p w14:paraId="469852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бомбардировщиков</w:t>
            </w:r>
          </w:p>
        </w:tc>
        <w:tc>
          <w:tcPr>
            <w:tcW w:w="915" w:type="dxa"/>
          </w:tcPr>
          <w:p w14:paraId="5C907BE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2DED92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2473</w:t>
            </w:r>
          </w:p>
        </w:tc>
        <w:tc>
          <w:tcPr>
            <w:tcW w:w="915" w:type="dxa"/>
          </w:tcPr>
          <w:p w14:paraId="0E07D2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427</w:t>
            </w:r>
          </w:p>
        </w:tc>
        <w:tc>
          <w:tcPr>
            <w:tcW w:w="915" w:type="dxa"/>
          </w:tcPr>
          <w:p w14:paraId="5D3124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465</w:t>
            </w:r>
          </w:p>
        </w:tc>
        <w:tc>
          <w:tcPr>
            <w:tcW w:w="915" w:type="dxa"/>
          </w:tcPr>
          <w:p w14:paraId="4147AA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469</w:t>
            </w:r>
          </w:p>
        </w:tc>
        <w:tc>
          <w:tcPr>
            <w:tcW w:w="915" w:type="dxa"/>
          </w:tcPr>
          <w:p w14:paraId="75740D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537</w:t>
            </w:r>
          </w:p>
        </w:tc>
        <w:tc>
          <w:tcPr>
            <w:tcW w:w="2874" w:type="dxa"/>
          </w:tcPr>
          <w:p w14:paraId="003B85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575</w:t>
            </w:r>
          </w:p>
        </w:tc>
      </w:tr>
      <w:tr w:rsidR="007D5DF8" w:rsidRPr="00DB5D0D" w14:paraId="571D7D40" w14:textId="77777777" w:rsidTr="00E543D0">
        <w:tc>
          <w:tcPr>
            <w:tcW w:w="2235" w:type="dxa"/>
          </w:tcPr>
          <w:p w14:paraId="0AE644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ДС-3 2М-62ИР</w:t>
            </w:r>
          </w:p>
        </w:tc>
        <w:tc>
          <w:tcPr>
            <w:tcW w:w="915" w:type="dxa"/>
          </w:tcPr>
          <w:p w14:paraId="3EEB78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915" w:type="dxa"/>
          </w:tcPr>
          <w:p w14:paraId="6A67A3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w:t>
            </w:r>
          </w:p>
        </w:tc>
        <w:tc>
          <w:tcPr>
            <w:tcW w:w="915" w:type="dxa"/>
          </w:tcPr>
          <w:p w14:paraId="24E911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915" w:type="dxa"/>
          </w:tcPr>
          <w:p w14:paraId="1C5C10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915" w:type="dxa"/>
          </w:tcPr>
          <w:p w14:paraId="12FA9F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33B50D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2874" w:type="dxa"/>
          </w:tcPr>
          <w:p w14:paraId="43D17F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r>
      <w:tr w:rsidR="007D5DF8" w:rsidRPr="00DB5D0D" w14:paraId="366BE82D" w14:textId="77777777" w:rsidTr="00E543D0">
        <w:tc>
          <w:tcPr>
            <w:tcW w:w="2235" w:type="dxa"/>
          </w:tcPr>
          <w:p w14:paraId="215ADE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ДС-3 2М-62ИР</w:t>
            </w:r>
          </w:p>
        </w:tc>
        <w:tc>
          <w:tcPr>
            <w:tcW w:w="915" w:type="dxa"/>
          </w:tcPr>
          <w:p w14:paraId="3605CF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915" w:type="dxa"/>
          </w:tcPr>
          <w:p w14:paraId="17E9B0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915" w:type="dxa"/>
          </w:tcPr>
          <w:p w14:paraId="7B1710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3EEC33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066E9A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5C23CC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874" w:type="dxa"/>
          </w:tcPr>
          <w:p w14:paraId="646FF7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202C7894" w14:textId="77777777" w:rsidTr="00E543D0">
        <w:tc>
          <w:tcPr>
            <w:tcW w:w="2235" w:type="dxa"/>
          </w:tcPr>
          <w:p w14:paraId="64B6CF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транспортных</w:t>
            </w:r>
          </w:p>
        </w:tc>
        <w:tc>
          <w:tcPr>
            <w:tcW w:w="915" w:type="dxa"/>
          </w:tcPr>
          <w:p w14:paraId="5434009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6A07B3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915" w:type="dxa"/>
          </w:tcPr>
          <w:p w14:paraId="447DAE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915" w:type="dxa"/>
          </w:tcPr>
          <w:p w14:paraId="2494D5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915" w:type="dxa"/>
          </w:tcPr>
          <w:p w14:paraId="7CD92A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915" w:type="dxa"/>
          </w:tcPr>
          <w:p w14:paraId="324AC9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2874" w:type="dxa"/>
          </w:tcPr>
          <w:p w14:paraId="7A295E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1F4F1D15" w14:textId="77777777" w:rsidTr="00E543D0">
        <w:tc>
          <w:tcPr>
            <w:tcW w:w="2235" w:type="dxa"/>
          </w:tcPr>
          <w:p w14:paraId="651A99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ГСТ 2М-62ИР</w:t>
            </w:r>
          </w:p>
        </w:tc>
        <w:tc>
          <w:tcPr>
            <w:tcW w:w="915" w:type="dxa"/>
          </w:tcPr>
          <w:p w14:paraId="4883D9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915" w:type="dxa"/>
          </w:tcPr>
          <w:p w14:paraId="053535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654B61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15" w:type="dxa"/>
          </w:tcPr>
          <w:p w14:paraId="17E4AB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3A9CA2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262582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07FA10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B07D8B6" w14:textId="77777777" w:rsidTr="00E543D0">
        <w:tc>
          <w:tcPr>
            <w:tcW w:w="2235" w:type="dxa"/>
          </w:tcPr>
          <w:p w14:paraId="391B65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КОР-1 М-25</w:t>
            </w:r>
          </w:p>
        </w:tc>
        <w:tc>
          <w:tcPr>
            <w:tcW w:w="915" w:type="dxa"/>
          </w:tcPr>
          <w:p w14:paraId="6B0B11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915" w:type="dxa"/>
          </w:tcPr>
          <w:p w14:paraId="22BB4C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915" w:type="dxa"/>
          </w:tcPr>
          <w:p w14:paraId="066DB6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3A0C70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0A48D8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27B8D3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874" w:type="dxa"/>
          </w:tcPr>
          <w:p w14:paraId="78979A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50F36531" w14:textId="77777777" w:rsidTr="00E543D0">
        <w:tc>
          <w:tcPr>
            <w:tcW w:w="2235" w:type="dxa"/>
          </w:tcPr>
          <w:p w14:paraId="27119C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2М-63</w:t>
            </w:r>
          </w:p>
        </w:tc>
        <w:tc>
          <w:tcPr>
            <w:tcW w:w="915" w:type="dxa"/>
          </w:tcPr>
          <w:p w14:paraId="69ABDB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915" w:type="dxa"/>
          </w:tcPr>
          <w:p w14:paraId="01236E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915" w:type="dxa"/>
          </w:tcPr>
          <w:p w14:paraId="4754D1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15" w:type="dxa"/>
          </w:tcPr>
          <w:p w14:paraId="1BF3BB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915" w:type="dxa"/>
          </w:tcPr>
          <w:p w14:paraId="705C20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194607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2874" w:type="dxa"/>
          </w:tcPr>
          <w:p w14:paraId="2E9CD0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r>
      <w:tr w:rsidR="007D5DF8" w:rsidRPr="00DB5D0D" w14:paraId="7E933D5C" w14:textId="77777777" w:rsidTr="00E543D0">
        <w:tc>
          <w:tcPr>
            <w:tcW w:w="2235" w:type="dxa"/>
          </w:tcPr>
          <w:p w14:paraId="247DF2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морских</w:t>
            </w:r>
          </w:p>
        </w:tc>
        <w:tc>
          <w:tcPr>
            <w:tcW w:w="915" w:type="dxa"/>
          </w:tcPr>
          <w:p w14:paraId="0EDF230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2150BF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w:t>
            </w:r>
          </w:p>
        </w:tc>
        <w:tc>
          <w:tcPr>
            <w:tcW w:w="915" w:type="dxa"/>
          </w:tcPr>
          <w:p w14:paraId="31DB15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3CC1B9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915" w:type="dxa"/>
          </w:tcPr>
          <w:p w14:paraId="6EE430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915" w:type="dxa"/>
          </w:tcPr>
          <w:p w14:paraId="43230B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2874" w:type="dxa"/>
          </w:tcPr>
          <w:p w14:paraId="328DA2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r>
      <w:tr w:rsidR="007D5DF8" w:rsidRPr="00DB5D0D" w14:paraId="49D2C7E6" w14:textId="77777777" w:rsidTr="00E543D0">
        <w:tc>
          <w:tcPr>
            <w:tcW w:w="2235" w:type="dxa"/>
          </w:tcPr>
          <w:p w14:paraId="71A5E8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 БШ-АМ-35А</w:t>
            </w:r>
          </w:p>
        </w:tc>
        <w:tc>
          <w:tcPr>
            <w:tcW w:w="915" w:type="dxa"/>
          </w:tcPr>
          <w:p w14:paraId="04CD07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915" w:type="dxa"/>
          </w:tcPr>
          <w:p w14:paraId="48ADF7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915" w:type="dxa"/>
          </w:tcPr>
          <w:p w14:paraId="54FE06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304C64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7DB829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1D213E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874" w:type="dxa"/>
          </w:tcPr>
          <w:p w14:paraId="1F7440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r>
      <w:tr w:rsidR="007D5DF8" w:rsidRPr="00DB5D0D" w14:paraId="7FFFDA1C" w14:textId="77777777" w:rsidTr="00E543D0">
        <w:tc>
          <w:tcPr>
            <w:tcW w:w="2235" w:type="dxa"/>
          </w:tcPr>
          <w:p w14:paraId="364B8F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боевых</w:t>
            </w:r>
          </w:p>
        </w:tc>
        <w:tc>
          <w:tcPr>
            <w:tcW w:w="915" w:type="dxa"/>
          </w:tcPr>
          <w:p w14:paraId="0BD8B61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13CE6B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915" w:type="dxa"/>
          </w:tcPr>
          <w:p w14:paraId="71008F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837</w:t>
            </w:r>
          </w:p>
        </w:tc>
        <w:tc>
          <w:tcPr>
            <w:tcW w:w="915" w:type="dxa"/>
          </w:tcPr>
          <w:p w14:paraId="3D8E4A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986</w:t>
            </w:r>
          </w:p>
        </w:tc>
        <w:tc>
          <w:tcPr>
            <w:tcW w:w="915" w:type="dxa"/>
          </w:tcPr>
          <w:p w14:paraId="16C002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996</w:t>
            </w:r>
          </w:p>
        </w:tc>
        <w:tc>
          <w:tcPr>
            <w:tcW w:w="915" w:type="dxa"/>
          </w:tcPr>
          <w:p w14:paraId="5F2524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1065</w:t>
            </w:r>
          </w:p>
        </w:tc>
        <w:tc>
          <w:tcPr>
            <w:tcW w:w="2874" w:type="dxa"/>
          </w:tcPr>
          <w:p w14:paraId="2EE41B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1167 </w:t>
            </w:r>
          </w:p>
        </w:tc>
      </w:tr>
      <w:tr w:rsidR="007D5DF8" w:rsidRPr="00DB5D0D" w14:paraId="30B75CAC" w14:textId="77777777" w:rsidTr="00E543D0">
        <w:tc>
          <w:tcPr>
            <w:tcW w:w="2235" w:type="dxa"/>
          </w:tcPr>
          <w:p w14:paraId="155F51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С2 с М-11</w:t>
            </w:r>
          </w:p>
        </w:tc>
        <w:tc>
          <w:tcPr>
            <w:tcW w:w="915" w:type="dxa"/>
          </w:tcPr>
          <w:p w14:paraId="04C629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915" w:type="dxa"/>
          </w:tcPr>
          <w:p w14:paraId="4127DF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275</w:t>
            </w:r>
          </w:p>
        </w:tc>
        <w:tc>
          <w:tcPr>
            <w:tcW w:w="915" w:type="dxa"/>
          </w:tcPr>
          <w:p w14:paraId="31BCA8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915" w:type="dxa"/>
          </w:tcPr>
          <w:p w14:paraId="2D9030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915" w:type="dxa"/>
          </w:tcPr>
          <w:p w14:paraId="0F995C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915" w:type="dxa"/>
          </w:tcPr>
          <w:p w14:paraId="098AF1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2874" w:type="dxa"/>
          </w:tcPr>
          <w:p w14:paraId="326390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r>
      <w:tr w:rsidR="007D5DF8" w:rsidRPr="00DB5D0D" w14:paraId="5F54C45C" w14:textId="77777777" w:rsidTr="00E543D0">
        <w:tc>
          <w:tcPr>
            <w:tcW w:w="2235" w:type="dxa"/>
          </w:tcPr>
          <w:p w14:paraId="056AF5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УТ-2</w:t>
            </w:r>
          </w:p>
        </w:tc>
        <w:tc>
          <w:tcPr>
            <w:tcW w:w="915" w:type="dxa"/>
          </w:tcPr>
          <w:p w14:paraId="735AC5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915" w:type="dxa"/>
          </w:tcPr>
          <w:p w14:paraId="7C49C2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w:t>
            </w:r>
          </w:p>
        </w:tc>
        <w:tc>
          <w:tcPr>
            <w:tcW w:w="915" w:type="dxa"/>
          </w:tcPr>
          <w:p w14:paraId="34AF13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3B91E3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66C728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915" w:type="dxa"/>
          </w:tcPr>
          <w:p w14:paraId="015837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2874" w:type="dxa"/>
          </w:tcPr>
          <w:p w14:paraId="30559C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r>
      <w:tr w:rsidR="007D5DF8" w:rsidRPr="00DB5D0D" w14:paraId="5CB87091" w14:textId="77777777" w:rsidTr="00E543D0">
        <w:tc>
          <w:tcPr>
            <w:tcW w:w="2235" w:type="dxa"/>
          </w:tcPr>
          <w:p w14:paraId="51FDDF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У-2</w:t>
            </w:r>
          </w:p>
        </w:tc>
        <w:tc>
          <w:tcPr>
            <w:tcW w:w="915" w:type="dxa"/>
          </w:tcPr>
          <w:p w14:paraId="136A19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915" w:type="dxa"/>
          </w:tcPr>
          <w:p w14:paraId="6855A4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915" w:type="dxa"/>
          </w:tcPr>
          <w:p w14:paraId="38A3F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045072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915" w:type="dxa"/>
          </w:tcPr>
          <w:p w14:paraId="1D35DB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915" w:type="dxa"/>
          </w:tcPr>
          <w:p w14:paraId="36414C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2874" w:type="dxa"/>
          </w:tcPr>
          <w:p w14:paraId="022B93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r>
      <w:tr w:rsidR="007D5DF8" w:rsidRPr="00DB5D0D" w14:paraId="3823BB93" w14:textId="77777777" w:rsidTr="00E543D0">
        <w:tc>
          <w:tcPr>
            <w:tcW w:w="2235" w:type="dxa"/>
          </w:tcPr>
          <w:p w14:paraId="2AC356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УТ-3 с 2МВ-6</w:t>
            </w:r>
          </w:p>
        </w:tc>
        <w:tc>
          <w:tcPr>
            <w:tcW w:w="915" w:type="dxa"/>
          </w:tcPr>
          <w:p w14:paraId="22CBE6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915" w:type="dxa"/>
          </w:tcPr>
          <w:p w14:paraId="034C79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915" w:type="dxa"/>
          </w:tcPr>
          <w:p w14:paraId="27CF4E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56FA3C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15" w:type="dxa"/>
          </w:tcPr>
          <w:p w14:paraId="58ED1B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15" w:type="dxa"/>
          </w:tcPr>
          <w:p w14:paraId="1B4512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2874" w:type="dxa"/>
          </w:tcPr>
          <w:p w14:paraId="43D0B1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r w:rsidR="007D5DF8" w:rsidRPr="00DB5D0D" w14:paraId="306DBF8D" w14:textId="77777777" w:rsidTr="00E543D0">
        <w:tc>
          <w:tcPr>
            <w:tcW w:w="2235" w:type="dxa"/>
          </w:tcPr>
          <w:p w14:paraId="4DDFB7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УТИ-4 м С-25В</w:t>
            </w:r>
          </w:p>
        </w:tc>
        <w:tc>
          <w:tcPr>
            <w:tcW w:w="915" w:type="dxa"/>
          </w:tcPr>
          <w:p w14:paraId="1A7ED7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915" w:type="dxa"/>
          </w:tcPr>
          <w:p w14:paraId="0F23D8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w:t>
            </w:r>
          </w:p>
        </w:tc>
        <w:tc>
          <w:tcPr>
            <w:tcW w:w="915" w:type="dxa"/>
          </w:tcPr>
          <w:p w14:paraId="6D2D78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915" w:type="dxa"/>
          </w:tcPr>
          <w:p w14:paraId="047B97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915" w:type="dxa"/>
          </w:tcPr>
          <w:p w14:paraId="146975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15" w:type="dxa"/>
          </w:tcPr>
          <w:p w14:paraId="2CDD6A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4542D8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BDF3819" w14:textId="77777777" w:rsidTr="00E543D0">
        <w:tc>
          <w:tcPr>
            <w:tcW w:w="2235" w:type="dxa"/>
          </w:tcPr>
          <w:p w14:paraId="7D5A4A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учебных и учеюно-тренировочных</w:t>
            </w:r>
          </w:p>
        </w:tc>
        <w:tc>
          <w:tcPr>
            <w:tcW w:w="915" w:type="dxa"/>
          </w:tcPr>
          <w:p w14:paraId="0BEBFF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Pr>
          <w:p w14:paraId="77A6AC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1709</w:t>
            </w:r>
          </w:p>
        </w:tc>
        <w:tc>
          <w:tcPr>
            <w:tcW w:w="915" w:type="dxa"/>
          </w:tcPr>
          <w:p w14:paraId="5021DC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302</w:t>
            </w:r>
          </w:p>
        </w:tc>
        <w:tc>
          <w:tcPr>
            <w:tcW w:w="915" w:type="dxa"/>
          </w:tcPr>
          <w:p w14:paraId="3E25A1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347</w:t>
            </w:r>
          </w:p>
        </w:tc>
        <w:tc>
          <w:tcPr>
            <w:tcW w:w="915" w:type="dxa"/>
          </w:tcPr>
          <w:p w14:paraId="44BB36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349</w:t>
            </w:r>
          </w:p>
        </w:tc>
        <w:tc>
          <w:tcPr>
            <w:tcW w:w="915" w:type="dxa"/>
          </w:tcPr>
          <w:p w14:paraId="5D1E92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2874" w:type="dxa"/>
          </w:tcPr>
          <w:p w14:paraId="78DA5A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361</w:t>
            </w:r>
          </w:p>
        </w:tc>
      </w:tr>
      <w:tr w:rsidR="007D5DF8" w:rsidRPr="00DB5D0D" w14:paraId="5EC99D2A" w14:textId="77777777" w:rsidTr="00E543D0">
        <w:tc>
          <w:tcPr>
            <w:tcW w:w="2235" w:type="dxa"/>
            <w:tcBorders>
              <w:bottom w:val="single" w:sz="12" w:space="0" w:color="auto"/>
            </w:tcBorders>
          </w:tcPr>
          <w:p w14:paraId="6D77F6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915" w:type="dxa"/>
            <w:tcBorders>
              <w:bottom w:val="single" w:sz="12" w:space="0" w:color="auto"/>
            </w:tcBorders>
          </w:tcPr>
          <w:p w14:paraId="2E3CD5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15" w:type="dxa"/>
            <w:tcBorders>
              <w:bottom w:val="single" w:sz="12" w:space="0" w:color="auto"/>
            </w:tcBorders>
          </w:tcPr>
          <w:p w14:paraId="6EDD41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6700</w:t>
            </w:r>
          </w:p>
        </w:tc>
        <w:tc>
          <w:tcPr>
            <w:tcW w:w="915" w:type="dxa"/>
            <w:tcBorders>
              <w:bottom w:val="single" w:sz="12" w:space="0" w:color="auto"/>
            </w:tcBorders>
          </w:tcPr>
          <w:p w14:paraId="393269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1139</w:t>
            </w:r>
          </w:p>
        </w:tc>
        <w:tc>
          <w:tcPr>
            <w:tcW w:w="915" w:type="dxa"/>
            <w:tcBorders>
              <w:bottom w:val="single" w:sz="12" w:space="0" w:color="auto"/>
            </w:tcBorders>
          </w:tcPr>
          <w:p w14:paraId="5E019D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1282</w:t>
            </w:r>
          </w:p>
        </w:tc>
        <w:tc>
          <w:tcPr>
            <w:tcW w:w="915" w:type="dxa"/>
            <w:tcBorders>
              <w:bottom w:val="single" w:sz="12" w:space="0" w:color="auto"/>
            </w:tcBorders>
          </w:tcPr>
          <w:p w14:paraId="7F0A13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1345</w:t>
            </w:r>
          </w:p>
        </w:tc>
        <w:tc>
          <w:tcPr>
            <w:tcW w:w="915" w:type="dxa"/>
            <w:tcBorders>
              <w:bottom w:val="single" w:sz="12" w:space="0" w:color="auto"/>
            </w:tcBorders>
          </w:tcPr>
          <w:p w14:paraId="40A249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1415</w:t>
            </w:r>
          </w:p>
        </w:tc>
        <w:tc>
          <w:tcPr>
            <w:tcW w:w="2874" w:type="dxa"/>
            <w:tcBorders>
              <w:bottom w:val="single" w:sz="12" w:space="0" w:color="auto"/>
            </w:tcBorders>
          </w:tcPr>
          <w:p w14:paraId="2CDABE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1528(1272)</w:t>
            </w:r>
          </w:p>
        </w:tc>
      </w:tr>
    </w:tbl>
    <w:p w14:paraId="779F4E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766"/>
        <w:gridCol w:w="766"/>
        <w:gridCol w:w="766"/>
        <w:gridCol w:w="766"/>
        <w:gridCol w:w="849"/>
        <w:gridCol w:w="756"/>
        <w:gridCol w:w="756"/>
        <w:gridCol w:w="756"/>
        <w:gridCol w:w="756"/>
        <w:gridCol w:w="756"/>
        <w:gridCol w:w="756"/>
        <w:gridCol w:w="756"/>
        <w:gridCol w:w="756"/>
      </w:tblGrid>
      <w:tr w:rsidR="007D5DF8" w:rsidRPr="00DB5D0D" w14:paraId="0374EED6" w14:textId="77777777" w:rsidTr="00E543D0">
        <w:tc>
          <w:tcPr>
            <w:tcW w:w="1242" w:type="dxa"/>
            <w:tcBorders>
              <w:top w:val="single" w:sz="12" w:space="0" w:color="auto"/>
            </w:tcBorders>
          </w:tcPr>
          <w:p w14:paraId="35920E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мотора</w:t>
            </w:r>
          </w:p>
        </w:tc>
        <w:tc>
          <w:tcPr>
            <w:tcW w:w="766" w:type="dxa"/>
            <w:tcBorders>
              <w:top w:val="single" w:sz="12" w:space="0" w:color="auto"/>
            </w:tcBorders>
          </w:tcPr>
          <w:p w14:paraId="3F51E4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изготовитель</w:t>
            </w:r>
          </w:p>
        </w:tc>
        <w:tc>
          <w:tcPr>
            <w:tcW w:w="766" w:type="dxa"/>
            <w:tcBorders>
              <w:top w:val="single" w:sz="12" w:space="0" w:color="auto"/>
            </w:tcBorders>
          </w:tcPr>
          <w:p w14:paraId="43B4C1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на 5 мес.</w:t>
            </w:r>
          </w:p>
        </w:tc>
        <w:tc>
          <w:tcPr>
            <w:tcW w:w="766" w:type="dxa"/>
            <w:tcBorders>
              <w:top w:val="single" w:sz="12" w:space="0" w:color="auto"/>
            </w:tcBorders>
          </w:tcPr>
          <w:p w14:paraId="086D434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62BB86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849" w:type="dxa"/>
            <w:tcBorders>
              <w:top w:val="single" w:sz="12" w:space="0" w:color="auto"/>
            </w:tcBorders>
          </w:tcPr>
          <w:p w14:paraId="4F15CA2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56" w:type="dxa"/>
            <w:tcBorders>
              <w:top w:val="single" w:sz="12" w:space="0" w:color="auto"/>
            </w:tcBorders>
          </w:tcPr>
          <w:p w14:paraId="11F901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c>
          <w:tcPr>
            <w:tcW w:w="756" w:type="dxa"/>
            <w:tcBorders>
              <w:top w:val="single" w:sz="12" w:space="0" w:color="auto"/>
            </w:tcBorders>
          </w:tcPr>
          <w:p w14:paraId="18AA231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56" w:type="dxa"/>
            <w:tcBorders>
              <w:top w:val="single" w:sz="12" w:space="0" w:color="auto"/>
            </w:tcBorders>
          </w:tcPr>
          <w:p w14:paraId="521216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w:t>
            </w:r>
          </w:p>
        </w:tc>
        <w:tc>
          <w:tcPr>
            <w:tcW w:w="756" w:type="dxa"/>
            <w:tcBorders>
              <w:top w:val="single" w:sz="12" w:space="0" w:color="auto"/>
            </w:tcBorders>
          </w:tcPr>
          <w:p w14:paraId="1AE6EC5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56" w:type="dxa"/>
            <w:tcBorders>
              <w:top w:val="single" w:sz="12" w:space="0" w:color="auto"/>
            </w:tcBorders>
          </w:tcPr>
          <w:p w14:paraId="280599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ноябрь</w:t>
            </w:r>
          </w:p>
        </w:tc>
        <w:tc>
          <w:tcPr>
            <w:tcW w:w="756" w:type="dxa"/>
            <w:tcBorders>
              <w:top w:val="single" w:sz="12" w:space="0" w:color="auto"/>
            </w:tcBorders>
          </w:tcPr>
          <w:p w14:paraId="79F0D3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56" w:type="dxa"/>
            <w:tcBorders>
              <w:top w:val="single" w:sz="12" w:space="0" w:color="auto"/>
            </w:tcBorders>
          </w:tcPr>
          <w:p w14:paraId="26EFB5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декабрь</w:t>
            </w:r>
          </w:p>
        </w:tc>
        <w:tc>
          <w:tcPr>
            <w:tcW w:w="756" w:type="dxa"/>
            <w:tcBorders>
              <w:top w:val="single" w:sz="12" w:space="0" w:color="auto"/>
            </w:tcBorders>
          </w:tcPr>
          <w:p w14:paraId="550D8A0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31AFF1D" w14:textId="77777777" w:rsidTr="00E543D0">
        <w:tc>
          <w:tcPr>
            <w:tcW w:w="1242" w:type="dxa"/>
          </w:tcPr>
          <w:p w14:paraId="37FB356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B3B6F1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22220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66" w:type="dxa"/>
          </w:tcPr>
          <w:p w14:paraId="2240B3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c>
          <w:tcPr>
            <w:tcW w:w="766" w:type="dxa"/>
          </w:tcPr>
          <w:p w14:paraId="274190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849" w:type="dxa"/>
          </w:tcPr>
          <w:p w14:paraId="195C44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c>
          <w:tcPr>
            <w:tcW w:w="756" w:type="dxa"/>
          </w:tcPr>
          <w:p w14:paraId="03CB98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56" w:type="dxa"/>
          </w:tcPr>
          <w:p w14:paraId="34A441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c>
          <w:tcPr>
            <w:tcW w:w="756" w:type="dxa"/>
          </w:tcPr>
          <w:p w14:paraId="1C6DED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56" w:type="dxa"/>
          </w:tcPr>
          <w:p w14:paraId="402FB7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c>
          <w:tcPr>
            <w:tcW w:w="756" w:type="dxa"/>
          </w:tcPr>
          <w:p w14:paraId="01A91E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56" w:type="dxa"/>
          </w:tcPr>
          <w:p w14:paraId="50091D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c>
          <w:tcPr>
            <w:tcW w:w="756" w:type="dxa"/>
          </w:tcPr>
          <w:p w14:paraId="08BF3E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56" w:type="dxa"/>
          </w:tcPr>
          <w:p w14:paraId="2BCEAE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для вн. Заказ.</w:t>
            </w:r>
          </w:p>
        </w:tc>
      </w:tr>
      <w:tr w:rsidR="007D5DF8" w:rsidRPr="00DB5D0D" w14:paraId="40FE387A" w14:textId="77777777" w:rsidTr="00E543D0">
        <w:tc>
          <w:tcPr>
            <w:tcW w:w="1242" w:type="dxa"/>
          </w:tcPr>
          <w:p w14:paraId="2DB9DD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М-63</w:t>
            </w:r>
          </w:p>
        </w:tc>
        <w:tc>
          <w:tcPr>
            <w:tcW w:w="766" w:type="dxa"/>
          </w:tcPr>
          <w:p w14:paraId="4E60C8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766" w:type="dxa"/>
          </w:tcPr>
          <w:p w14:paraId="71F326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2180</w:t>
            </w:r>
          </w:p>
        </w:tc>
        <w:tc>
          <w:tcPr>
            <w:tcW w:w="766" w:type="dxa"/>
          </w:tcPr>
          <w:p w14:paraId="18095B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580</w:t>
            </w:r>
          </w:p>
        </w:tc>
        <w:tc>
          <w:tcPr>
            <w:tcW w:w="766" w:type="dxa"/>
          </w:tcPr>
          <w:p w14:paraId="39FAF1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w:t>
            </w:r>
          </w:p>
        </w:tc>
        <w:tc>
          <w:tcPr>
            <w:tcW w:w="849" w:type="dxa"/>
          </w:tcPr>
          <w:p w14:paraId="6B1D67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56" w:type="dxa"/>
          </w:tcPr>
          <w:p w14:paraId="620842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756" w:type="dxa"/>
          </w:tcPr>
          <w:p w14:paraId="71DED4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756" w:type="dxa"/>
          </w:tcPr>
          <w:p w14:paraId="0C9B13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w:t>
            </w:r>
          </w:p>
        </w:tc>
        <w:tc>
          <w:tcPr>
            <w:tcW w:w="756" w:type="dxa"/>
          </w:tcPr>
          <w:p w14:paraId="3452EC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756" w:type="dxa"/>
          </w:tcPr>
          <w:p w14:paraId="6C5136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756" w:type="dxa"/>
          </w:tcPr>
          <w:p w14:paraId="029EE1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756" w:type="dxa"/>
          </w:tcPr>
          <w:p w14:paraId="24495D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530</w:t>
            </w:r>
          </w:p>
        </w:tc>
        <w:tc>
          <w:tcPr>
            <w:tcW w:w="756" w:type="dxa"/>
          </w:tcPr>
          <w:p w14:paraId="2DA228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r>
      <w:tr w:rsidR="007D5DF8" w:rsidRPr="00DB5D0D" w14:paraId="67AF8159" w14:textId="77777777" w:rsidTr="00E543D0">
        <w:tc>
          <w:tcPr>
            <w:tcW w:w="1242" w:type="dxa"/>
          </w:tcPr>
          <w:p w14:paraId="73C987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М-25В</w:t>
            </w:r>
          </w:p>
        </w:tc>
        <w:tc>
          <w:tcPr>
            <w:tcW w:w="766" w:type="dxa"/>
          </w:tcPr>
          <w:p w14:paraId="156B71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766" w:type="dxa"/>
          </w:tcPr>
          <w:p w14:paraId="55DC04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283</w:t>
            </w:r>
          </w:p>
        </w:tc>
        <w:tc>
          <w:tcPr>
            <w:tcW w:w="766" w:type="dxa"/>
          </w:tcPr>
          <w:p w14:paraId="7498AB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w:t>
            </w:r>
          </w:p>
        </w:tc>
        <w:tc>
          <w:tcPr>
            <w:tcW w:w="766" w:type="dxa"/>
          </w:tcPr>
          <w:p w14:paraId="1FF0A6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849" w:type="dxa"/>
          </w:tcPr>
          <w:p w14:paraId="6E29BA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51D1C2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w:t>
            </w:r>
          </w:p>
        </w:tc>
        <w:tc>
          <w:tcPr>
            <w:tcW w:w="756" w:type="dxa"/>
          </w:tcPr>
          <w:p w14:paraId="771533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w:t>
            </w:r>
          </w:p>
        </w:tc>
        <w:tc>
          <w:tcPr>
            <w:tcW w:w="756" w:type="dxa"/>
          </w:tcPr>
          <w:p w14:paraId="036BDF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C6E88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7809A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BB0D9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AA652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9C0E2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70FA76F" w14:textId="77777777" w:rsidTr="00E543D0">
        <w:tc>
          <w:tcPr>
            <w:tcW w:w="1242" w:type="dxa"/>
          </w:tcPr>
          <w:p w14:paraId="530215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М-71</w:t>
            </w:r>
          </w:p>
        </w:tc>
        <w:tc>
          <w:tcPr>
            <w:tcW w:w="766" w:type="dxa"/>
          </w:tcPr>
          <w:p w14:paraId="11F0D4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766" w:type="dxa"/>
          </w:tcPr>
          <w:p w14:paraId="5F2638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66" w:type="dxa"/>
          </w:tcPr>
          <w:p w14:paraId="585F12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5266F0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49" w:type="dxa"/>
          </w:tcPr>
          <w:p w14:paraId="522E2A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02DA1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01A96F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C3553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04D78D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C5E5B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2AFC36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8C5B5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43C3BB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567E43D" w14:textId="77777777" w:rsidTr="00E543D0">
        <w:tc>
          <w:tcPr>
            <w:tcW w:w="1242" w:type="dxa"/>
          </w:tcPr>
          <w:p w14:paraId="3E9734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М-81</w:t>
            </w:r>
          </w:p>
        </w:tc>
        <w:tc>
          <w:tcPr>
            <w:tcW w:w="766" w:type="dxa"/>
          </w:tcPr>
          <w:p w14:paraId="49D730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766" w:type="dxa"/>
          </w:tcPr>
          <w:p w14:paraId="5F5E6A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w:t>
            </w:r>
          </w:p>
        </w:tc>
        <w:tc>
          <w:tcPr>
            <w:tcW w:w="766" w:type="dxa"/>
          </w:tcPr>
          <w:p w14:paraId="443174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3857F9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849" w:type="dxa"/>
          </w:tcPr>
          <w:p w14:paraId="221A25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602417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63B0A3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A8500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w:t>
            </w:r>
          </w:p>
        </w:tc>
        <w:tc>
          <w:tcPr>
            <w:tcW w:w="756" w:type="dxa"/>
          </w:tcPr>
          <w:p w14:paraId="2B765B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76A732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756" w:type="dxa"/>
          </w:tcPr>
          <w:p w14:paraId="073D6C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A83B6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756" w:type="dxa"/>
          </w:tcPr>
          <w:p w14:paraId="0A024D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FB257F5" w14:textId="77777777" w:rsidTr="00E543D0">
        <w:tc>
          <w:tcPr>
            <w:tcW w:w="1242" w:type="dxa"/>
          </w:tcPr>
          <w:p w14:paraId="4DABC3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М-62ИР</w:t>
            </w:r>
          </w:p>
        </w:tc>
        <w:tc>
          <w:tcPr>
            <w:tcW w:w="766" w:type="dxa"/>
          </w:tcPr>
          <w:p w14:paraId="516815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766" w:type="dxa"/>
          </w:tcPr>
          <w:p w14:paraId="210A1E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66" w:type="dxa"/>
          </w:tcPr>
          <w:p w14:paraId="1C45FD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66" w:type="dxa"/>
          </w:tcPr>
          <w:p w14:paraId="441156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49" w:type="dxa"/>
          </w:tcPr>
          <w:p w14:paraId="68275C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49192B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65A6FB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21334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45D7EC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07883C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108A37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21750D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22883D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46B25E91" w14:textId="77777777" w:rsidTr="00E543D0">
        <w:tc>
          <w:tcPr>
            <w:tcW w:w="1242" w:type="dxa"/>
          </w:tcPr>
          <w:p w14:paraId="57E52A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М-62</w:t>
            </w:r>
          </w:p>
        </w:tc>
        <w:tc>
          <w:tcPr>
            <w:tcW w:w="766" w:type="dxa"/>
          </w:tcPr>
          <w:p w14:paraId="0D9C1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3756FF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1043</w:t>
            </w:r>
          </w:p>
        </w:tc>
        <w:tc>
          <w:tcPr>
            <w:tcW w:w="766" w:type="dxa"/>
          </w:tcPr>
          <w:p w14:paraId="1F9233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743</w:t>
            </w:r>
          </w:p>
        </w:tc>
        <w:tc>
          <w:tcPr>
            <w:tcW w:w="766" w:type="dxa"/>
          </w:tcPr>
          <w:p w14:paraId="46C1DD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849" w:type="dxa"/>
          </w:tcPr>
          <w:p w14:paraId="165777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756" w:type="dxa"/>
          </w:tcPr>
          <w:p w14:paraId="34964D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756" w:type="dxa"/>
          </w:tcPr>
          <w:p w14:paraId="052A45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756" w:type="dxa"/>
          </w:tcPr>
          <w:p w14:paraId="41B96E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756" w:type="dxa"/>
          </w:tcPr>
          <w:p w14:paraId="01E09C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756" w:type="dxa"/>
          </w:tcPr>
          <w:p w14:paraId="20E40C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756" w:type="dxa"/>
          </w:tcPr>
          <w:p w14:paraId="67B979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756" w:type="dxa"/>
          </w:tcPr>
          <w:p w14:paraId="5184D6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w:t>
            </w:r>
          </w:p>
        </w:tc>
        <w:tc>
          <w:tcPr>
            <w:tcW w:w="756" w:type="dxa"/>
          </w:tcPr>
          <w:p w14:paraId="70173D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w:t>
            </w:r>
          </w:p>
        </w:tc>
      </w:tr>
      <w:tr w:rsidR="007D5DF8" w:rsidRPr="00DB5D0D" w14:paraId="600E7A37" w14:textId="77777777" w:rsidTr="00E543D0">
        <w:tc>
          <w:tcPr>
            <w:tcW w:w="1242" w:type="dxa"/>
          </w:tcPr>
          <w:p w14:paraId="43E2AF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М-62ИР</w:t>
            </w:r>
          </w:p>
        </w:tc>
        <w:tc>
          <w:tcPr>
            <w:tcW w:w="766" w:type="dxa"/>
          </w:tcPr>
          <w:p w14:paraId="6A653F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493993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179</w:t>
            </w:r>
          </w:p>
        </w:tc>
        <w:tc>
          <w:tcPr>
            <w:tcW w:w="766" w:type="dxa"/>
          </w:tcPr>
          <w:p w14:paraId="40CE61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766" w:type="dxa"/>
          </w:tcPr>
          <w:p w14:paraId="4879D0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849" w:type="dxa"/>
          </w:tcPr>
          <w:p w14:paraId="043BD7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6C467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37C989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49BD00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72BC5E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3F903E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1BA90C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3F48E9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6B2AB2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r>
      <w:tr w:rsidR="007D5DF8" w:rsidRPr="00DB5D0D" w14:paraId="156C7121" w14:textId="77777777" w:rsidTr="00E543D0">
        <w:tc>
          <w:tcPr>
            <w:tcW w:w="1242" w:type="dxa"/>
          </w:tcPr>
          <w:p w14:paraId="267386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АМ-34НБ</w:t>
            </w:r>
          </w:p>
        </w:tc>
        <w:tc>
          <w:tcPr>
            <w:tcW w:w="766" w:type="dxa"/>
          </w:tcPr>
          <w:p w14:paraId="38F3BD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79C5DB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766" w:type="dxa"/>
          </w:tcPr>
          <w:p w14:paraId="367769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E20E1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49" w:type="dxa"/>
          </w:tcPr>
          <w:p w14:paraId="6E7274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7FA38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55458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FD37C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4F5D9E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55A076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756" w:type="dxa"/>
          </w:tcPr>
          <w:p w14:paraId="07EF20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756" w:type="dxa"/>
          </w:tcPr>
          <w:p w14:paraId="7BC3C4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05C71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DB52152" w14:textId="77777777" w:rsidTr="00E543D0">
        <w:tc>
          <w:tcPr>
            <w:tcW w:w="1242" w:type="dxa"/>
          </w:tcPr>
          <w:p w14:paraId="7C3CC1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АМ-34Г и ГФ</w:t>
            </w:r>
          </w:p>
        </w:tc>
        <w:tc>
          <w:tcPr>
            <w:tcW w:w="766" w:type="dxa"/>
          </w:tcPr>
          <w:p w14:paraId="41DED6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1CDD7F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766" w:type="dxa"/>
          </w:tcPr>
          <w:p w14:paraId="786528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766" w:type="dxa"/>
          </w:tcPr>
          <w:p w14:paraId="5BE114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849" w:type="dxa"/>
          </w:tcPr>
          <w:p w14:paraId="64E1EF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4AAC3C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4C9856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0B35B2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2610C9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756" w:type="dxa"/>
          </w:tcPr>
          <w:p w14:paraId="6D122F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6DB8CB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65670C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D5AC1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8CFD517" w14:textId="77777777" w:rsidTr="00E543D0">
        <w:tc>
          <w:tcPr>
            <w:tcW w:w="1242" w:type="dxa"/>
          </w:tcPr>
          <w:p w14:paraId="08CC3B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w:t>
            </w:r>
          </w:p>
        </w:tc>
        <w:tc>
          <w:tcPr>
            <w:tcW w:w="766" w:type="dxa"/>
          </w:tcPr>
          <w:p w14:paraId="1E22E3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3B6E98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766" w:type="dxa"/>
          </w:tcPr>
          <w:p w14:paraId="1CDCB0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66" w:type="dxa"/>
          </w:tcPr>
          <w:p w14:paraId="596DF3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849" w:type="dxa"/>
          </w:tcPr>
          <w:p w14:paraId="6A2187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236B40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648A69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2D02E0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625B98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6EF00E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A5A0D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BB5A2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423510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6F6AC50" w14:textId="77777777" w:rsidTr="00E543D0">
        <w:tc>
          <w:tcPr>
            <w:tcW w:w="1242" w:type="dxa"/>
          </w:tcPr>
          <w:p w14:paraId="282E90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tc>
        <w:tc>
          <w:tcPr>
            <w:tcW w:w="766" w:type="dxa"/>
          </w:tcPr>
          <w:p w14:paraId="1D5EBA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56345F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w:t>
            </w:r>
          </w:p>
        </w:tc>
        <w:tc>
          <w:tcPr>
            <w:tcW w:w="766" w:type="dxa"/>
          </w:tcPr>
          <w:p w14:paraId="323E6F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66" w:type="dxa"/>
          </w:tcPr>
          <w:p w14:paraId="20393E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849" w:type="dxa"/>
          </w:tcPr>
          <w:p w14:paraId="4F27DF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47B616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756" w:type="dxa"/>
          </w:tcPr>
          <w:p w14:paraId="2F8467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057A7D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56" w:type="dxa"/>
          </w:tcPr>
          <w:p w14:paraId="471E7A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773F3C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56" w:type="dxa"/>
          </w:tcPr>
          <w:p w14:paraId="5012C3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7AEE2A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756" w:type="dxa"/>
          </w:tcPr>
          <w:p w14:paraId="1DE220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4C7A4F57" w14:textId="77777777" w:rsidTr="00E543D0">
        <w:tc>
          <w:tcPr>
            <w:tcW w:w="1242" w:type="dxa"/>
          </w:tcPr>
          <w:p w14:paraId="403D40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АМ-36</w:t>
            </w:r>
          </w:p>
        </w:tc>
        <w:tc>
          <w:tcPr>
            <w:tcW w:w="766" w:type="dxa"/>
          </w:tcPr>
          <w:p w14:paraId="08D679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766" w:type="dxa"/>
          </w:tcPr>
          <w:p w14:paraId="270B30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766" w:type="dxa"/>
          </w:tcPr>
          <w:p w14:paraId="734F4F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4AE73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49" w:type="dxa"/>
          </w:tcPr>
          <w:p w14:paraId="738E45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405AA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585AE5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220AC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2A7A97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C1724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5ED75A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6C2A4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7421B7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E4AFBC0" w14:textId="77777777" w:rsidTr="00E543D0">
        <w:tc>
          <w:tcPr>
            <w:tcW w:w="1242" w:type="dxa"/>
          </w:tcPr>
          <w:p w14:paraId="0B428F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М-103/М-105</w:t>
            </w:r>
          </w:p>
        </w:tc>
        <w:tc>
          <w:tcPr>
            <w:tcW w:w="766" w:type="dxa"/>
          </w:tcPr>
          <w:p w14:paraId="139570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766" w:type="dxa"/>
          </w:tcPr>
          <w:p w14:paraId="670870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2840</w:t>
            </w:r>
          </w:p>
        </w:tc>
        <w:tc>
          <w:tcPr>
            <w:tcW w:w="766" w:type="dxa"/>
          </w:tcPr>
          <w:p w14:paraId="49BDA9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766" w:type="dxa"/>
          </w:tcPr>
          <w:p w14:paraId="0C2EF7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w:t>
            </w:r>
          </w:p>
        </w:tc>
        <w:tc>
          <w:tcPr>
            <w:tcW w:w="849" w:type="dxa"/>
          </w:tcPr>
          <w:p w14:paraId="00D1F4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11A84B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525</w:t>
            </w:r>
          </w:p>
        </w:tc>
        <w:tc>
          <w:tcPr>
            <w:tcW w:w="756" w:type="dxa"/>
          </w:tcPr>
          <w:p w14:paraId="007041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6D8E9F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565</w:t>
            </w:r>
          </w:p>
        </w:tc>
        <w:tc>
          <w:tcPr>
            <w:tcW w:w="756" w:type="dxa"/>
          </w:tcPr>
          <w:p w14:paraId="13866C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270326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756" w:type="dxa"/>
          </w:tcPr>
          <w:p w14:paraId="3EF627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0444FD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635</w:t>
            </w:r>
          </w:p>
        </w:tc>
        <w:tc>
          <w:tcPr>
            <w:tcW w:w="756" w:type="dxa"/>
          </w:tcPr>
          <w:p w14:paraId="65CB96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r>
      <w:tr w:rsidR="007D5DF8" w:rsidRPr="00DB5D0D" w14:paraId="7F11A12F" w14:textId="77777777" w:rsidTr="00E543D0">
        <w:tc>
          <w:tcPr>
            <w:tcW w:w="1242" w:type="dxa"/>
          </w:tcPr>
          <w:p w14:paraId="2DA8E2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М-105П</w:t>
            </w:r>
          </w:p>
        </w:tc>
        <w:tc>
          <w:tcPr>
            <w:tcW w:w="766" w:type="dxa"/>
          </w:tcPr>
          <w:p w14:paraId="430406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766" w:type="dxa"/>
          </w:tcPr>
          <w:p w14:paraId="0C70D9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c>
          <w:tcPr>
            <w:tcW w:w="766" w:type="dxa"/>
          </w:tcPr>
          <w:p w14:paraId="605342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66" w:type="dxa"/>
          </w:tcPr>
          <w:p w14:paraId="7522A9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849" w:type="dxa"/>
          </w:tcPr>
          <w:p w14:paraId="4DD75D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A17CD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756" w:type="dxa"/>
          </w:tcPr>
          <w:p w14:paraId="5E4699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557363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756" w:type="dxa"/>
          </w:tcPr>
          <w:p w14:paraId="46C4D6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86955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56" w:type="dxa"/>
          </w:tcPr>
          <w:p w14:paraId="4C0C24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8D3F8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756" w:type="dxa"/>
          </w:tcPr>
          <w:p w14:paraId="46E5F5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E95A1BA" w14:textId="77777777" w:rsidTr="00E543D0">
        <w:tc>
          <w:tcPr>
            <w:tcW w:w="1242" w:type="dxa"/>
          </w:tcPr>
          <w:p w14:paraId="626191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М-107</w:t>
            </w:r>
          </w:p>
        </w:tc>
        <w:tc>
          <w:tcPr>
            <w:tcW w:w="766" w:type="dxa"/>
          </w:tcPr>
          <w:p w14:paraId="54176D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766" w:type="dxa"/>
          </w:tcPr>
          <w:p w14:paraId="21D897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c>
          <w:tcPr>
            <w:tcW w:w="766" w:type="dxa"/>
          </w:tcPr>
          <w:p w14:paraId="0D48B9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3A093C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849" w:type="dxa"/>
          </w:tcPr>
          <w:p w14:paraId="0F6116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ABADF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0E2FDA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CCE24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6B4A11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38AF1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5465DE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632122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092FEC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FFF3472" w14:textId="77777777" w:rsidTr="00E543D0">
        <w:tc>
          <w:tcPr>
            <w:tcW w:w="1242" w:type="dxa"/>
          </w:tcPr>
          <w:p w14:paraId="1D6A09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М-120</w:t>
            </w:r>
          </w:p>
        </w:tc>
        <w:tc>
          <w:tcPr>
            <w:tcW w:w="766" w:type="dxa"/>
          </w:tcPr>
          <w:p w14:paraId="0804F8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766" w:type="dxa"/>
          </w:tcPr>
          <w:p w14:paraId="41CD43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c>
          <w:tcPr>
            <w:tcW w:w="766" w:type="dxa"/>
          </w:tcPr>
          <w:p w14:paraId="7AA29A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B1991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849" w:type="dxa"/>
          </w:tcPr>
          <w:p w14:paraId="2EEFAC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3BA82C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3DB8DE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7845E5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2C7509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210C52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756" w:type="dxa"/>
          </w:tcPr>
          <w:p w14:paraId="70BB3A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9BE8D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7E5939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7B14D78" w14:textId="77777777" w:rsidTr="00E543D0">
        <w:tc>
          <w:tcPr>
            <w:tcW w:w="1242" w:type="dxa"/>
          </w:tcPr>
          <w:p w14:paraId="3C8BD0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М-87-88</w:t>
            </w:r>
          </w:p>
        </w:tc>
        <w:tc>
          <w:tcPr>
            <w:tcW w:w="766" w:type="dxa"/>
          </w:tcPr>
          <w:p w14:paraId="5ACCBA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c>
          <w:tcPr>
            <w:tcW w:w="766" w:type="dxa"/>
          </w:tcPr>
          <w:p w14:paraId="7B2C83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2426</w:t>
            </w:r>
          </w:p>
        </w:tc>
        <w:tc>
          <w:tcPr>
            <w:tcW w:w="766" w:type="dxa"/>
          </w:tcPr>
          <w:p w14:paraId="75CADC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226</w:t>
            </w:r>
          </w:p>
        </w:tc>
        <w:tc>
          <w:tcPr>
            <w:tcW w:w="766" w:type="dxa"/>
          </w:tcPr>
          <w:p w14:paraId="027CA4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w:t>
            </w:r>
          </w:p>
        </w:tc>
        <w:tc>
          <w:tcPr>
            <w:tcW w:w="849" w:type="dxa"/>
          </w:tcPr>
          <w:p w14:paraId="02BEDB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56" w:type="dxa"/>
          </w:tcPr>
          <w:p w14:paraId="6EFC53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c>
          <w:tcPr>
            <w:tcW w:w="756" w:type="dxa"/>
          </w:tcPr>
          <w:p w14:paraId="612BC0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6680C2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c>
          <w:tcPr>
            <w:tcW w:w="756" w:type="dxa"/>
          </w:tcPr>
          <w:p w14:paraId="74A7F5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6A786B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756" w:type="dxa"/>
          </w:tcPr>
          <w:p w14:paraId="28BAF9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56" w:type="dxa"/>
          </w:tcPr>
          <w:p w14:paraId="280BC1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526</w:t>
            </w:r>
          </w:p>
        </w:tc>
        <w:tc>
          <w:tcPr>
            <w:tcW w:w="756" w:type="dxa"/>
          </w:tcPr>
          <w:p w14:paraId="6610A5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w:t>
            </w:r>
          </w:p>
        </w:tc>
      </w:tr>
      <w:tr w:rsidR="007D5DF8" w:rsidRPr="00DB5D0D" w14:paraId="407F292D" w14:textId="77777777" w:rsidTr="00E543D0">
        <w:tc>
          <w:tcPr>
            <w:tcW w:w="1242" w:type="dxa"/>
          </w:tcPr>
          <w:p w14:paraId="57F5CA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М-90</w:t>
            </w:r>
          </w:p>
        </w:tc>
        <w:tc>
          <w:tcPr>
            <w:tcW w:w="766" w:type="dxa"/>
          </w:tcPr>
          <w:p w14:paraId="0B5691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c>
          <w:tcPr>
            <w:tcW w:w="766" w:type="dxa"/>
          </w:tcPr>
          <w:p w14:paraId="131897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66" w:type="dxa"/>
          </w:tcPr>
          <w:p w14:paraId="3173D0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2FFB4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849" w:type="dxa"/>
          </w:tcPr>
          <w:p w14:paraId="66CC6D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4B85D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68C12F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565A2F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5CEEB5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4CAE29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506809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42542E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3277FF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115FFBE" w14:textId="77777777" w:rsidTr="00E543D0">
        <w:tc>
          <w:tcPr>
            <w:tcW w:w="1242" w:type="dxa"/>
          </w:tcPr>
          <w:p w14:paraId="695B6C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766" w:type="dxa"/>
          </w:tcPr>
          <w:p w14:paraId="7357A9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c>
          <w:tcPr>
            <w:tcW w:w="766" w:type="dxa"/>
          </w:tcPr>
          <w:p w14:paraId="050336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66" w:type="dxa"/>
          </w:tcPr>
          <w:p w14:paraId="6741AF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66" w:type="dxa"/>
          </w:tcPr>
          <w:p w14:paraId="5E0688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49" w:type="dxa"/>
          </w:tcPr>
          <w:p w14:paraId="3BBD4C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682C5F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094C46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756" w:type="dxa"/>
          </w:tcPr>
          <w:p w14:paraId="4E3F07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63003E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1B5CF9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756" w:type="dxa"/>
          </w:tcPr>
          <w:p w14:paraId="58CEC2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0F17F6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756" w:type="dxa"/>
          </w:tcPr>
          <w:p w14:paraId="254C09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r w:rsidR="007D5DF8" w:rsidRPr="00DB5D0D" w14:paraId="4A568243" w14:textId="77777777" w:rsidTr="00E543D0">
        <w:tc>
          <w:tcPr>
            <w:tcW w:w="1242" w:type="dxa"/>
          </w:tcPr>
          <w:p w14:paraId="740100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766" w:type="dxa"/>
          </w:tcPr>
          <w:p w14:paraId="65775E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766" w:type="dxa"/>
          </w:tcPr>
          <w:p w14:paraId="2F8189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766" w:type="dxa"/>
          </w:tcPr>
          <w:p w14:paraId="1772D7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766" w:type="dxa"/>
          </w:tcPr>
          <w:p w14:paraId="2BB174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849" w:type="dxa"/>
          </w:tcPr>
          <w:p w14:paraId="51DD9D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3DDFCA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c>
          <w:tcPr>
            <w:tcW w:w="756" w:type="dxa"/>
          </w:tcPr>
          <w:p w14:paraId="4D711F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07DEF5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w:t>
            </w:r>
          </w:p>
        </w:tc>
        <w:tc>
          <w:tcPr>
            <w:tcW w:w="756" w:type="dxa"/>
          </w:tcPr>
          <w:p w14:paraId="0F70FE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w:t>
            </w:r>
          </w:p>
        </w:tc>
        <w:tc>
          <w:tcPr>
            <w:tcW w:w="756" w:type="dxa"/>
          </w:tcPr>
          <w:p w14:paraId="7CEE48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756" w:type="dxa"/>
          </w:tcPr>
          <w:p w14:paraId="5C6491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756" w:type="dxa"/>
          </w:tcPr>
          <w:p w14:paraId="1922DC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w:t>
            </w:r>
          </w:p>
        </w:tc>
        <w:tc>
          <w:tcPr>
            <w:tcW w:w="756" w:type="dxa"/>
          </w:tcPr>
          <w:p w14:paraId="697F0E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w:t>
            </w:r>
          </w:p>
        </w:tc>
      </w:tr>
      <w:tr w:rsidR="007D5DF8" w:rsidRPr="00DB5D0D" w14:paraId="26196510" w14:textId="77777777" w:rsidTr="00E543D0">
        <w:tc>
          <w:tcPr>
            <w:tcW w:w="1242" w:type="dxa"/>
          </w:tcPr>
          <w:p w14:paraId="73D02F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М-11</w:t>
            </w:r>
          </w:p>
        </w:tc>
        <w:tc>
          <w:tcPr>
            <w:tcW w:w="766" w:type="dxa"/>
          </w:tcPr>
          <w:p w14:paraId="14CBDD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766" w:type="dxa"/>
          </w:tcPr>
          <w:p w14:paraId="6C063D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1550</w:t>
            </w:r>
          </w:p>
        </w:tc>
        <w:tc>
          <w:tcPr>
            <w:tcW w:w="766" w:type="dxa"/>
          </w:tcPr>
          <w:p w14:paraId="4664E2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766" w:type="dxa"/>
          </w:tcPr>
          <w:p w14:paraId="274F40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49" w:type="dxa"/>
          </w:tcPr>
          <w:p w14:paraId="2673AE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3EF4EA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756" w:type="dxa"/>
          </w:tcPr>
          <w:p w14:paraId="54D4D3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03B9BC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w:t>
            </w:r>
          </w:p>
        </w:tc>
        <w:tc>
          <w:tcPr>
            <w:tcW w:w="756" w:type="dxa"/>
          </w:tcPr>
          <w:p w14:paraId="077AE0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100522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275</w:t>
            </w:r>
          </w:p>
        </w:tc>
        <w:tc>
          <w:tcPr>
            <w:tcW w:w="756" w:type="dxa"/>
          </w:tcPr>
          <w:p w14:paraId="300068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756" w:type="dxa"/>
          </w:tcPr>
          <w:p w14:paraId="1AB653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756" w:type="dxa"/>
          </w:tcPr>
          <w:p w14:paraId="5FA709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D2C3B9F" w14:textId="77777777" w:rsidTr="00E543D0">
        <w:tc>
          <w:tcPr>
            <w:tcW w:w="1242" w:type="dxa"/>
          </w:tcPr>
          <w:p w14:paraId="3746E7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МВ-6</w:t>
            </w:r>
          </w:p>
        </w:tc>
        <w:tc>
          <w:tcPr>
            <w:tcW w:w="766" w:type="dxa"/>
          </w:tcPr>
          <w:p w14:paraId="3634F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766" w:type="dxa"/>
          </w:tcPr>
          <w:p w14:paraId="291092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766" w:type="dxa"/>
          </w:tcPr>
          <w:p w14:paraId="7BBE1E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766" w:type="dxa"/>
          </w:tcPr>
          <w:p w14:paraId="47ADDB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849" w:type="dxa"/>
          </w:tcPr>
          <w:p w14:paraId="73BC49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Pr>
          <w:p w14:paraId="1965E6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753C12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1C9AF3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7F72C5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711284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6E7B86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756" w:type="dxa"/>
          </w:tcPr>
          <w:p w14:paraId="13DFF0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56" w:type="dxa"/>
          </w:tcPr>
          <w:p w14:paraId="1114FC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r>
      <w:tr w:rsidR="007D5DF8" w:rsidRPr="00DB5D0D" w14:paraId="65B25620" w14:textId="77777777" w:rsidTr="00E543D0">
        <w:tc>
          <w:tcPr>
            <w:tcW w:w="1242" w:type="dxa"/>
          </w:tcPr>
          <w:p w14:paraId="54F837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766" w:type="dxa"/>
          </w:tcPr>
          <w:p w14:paraId="5167A3E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00800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12344</w:t>
            </w:r>
          </w:p>
        </w:tc>
        <w:tc>
          <w:tcPr>
            <w:tcW w:w="766" w:type="dxa"/>
          </w:tcPr>
          <w:p w14:paraId="1E196C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2494</w:t>
            </w:r>
          </w:p>
        </w:tc>
        <w:tc>
          <w:tcPr>
            <w:tcW w:w="766" w:type="dxa"/>
          </w:tcPr>
          <w:p w14:paraId="505BBF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2297</w:t>
            </w:r>
          </w:p>
        </w:tc>
        <w:tc>
          <w:tcPr>
            <w:tcW w:w="849" w:type="dxa"/>
          </w:tcPr>
          <w:p w14:paraId="6AC4E3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435</w:t>
            </w:r>
          </w:p>
        </w:tc>
        <w:tc>
          <w:tcPr>
            <w:tcW w:w="756" w:type="dxa"/>
          </w:tcPr>
          <w:p w14:paraId="1E64EC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2408</w:t>
            </w:r>
          </w:p>
        </w:tc>
        <w:tc>
          <w:tcPr>
            <w:tcW w:w="756" w:type="dxa"/>
          </w:tcPr>
          <w:p w14:paraId="20DFEA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493</w:t>
            </w:r>
          </w:p>
        </w:tc>
        <w:tc>
          <w:tcPr>
            <w:tcW w:w="756" w:type="dxa"/>
          </w:tcPr>
          <w:p w14:paraId="494622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2443</w:t>
            </w:r>
          </w:p>
        </w:tc>
        <w:tc>
          <w:tcPr>
            <w:tcW w:w="756" w:type="dxa"/>
          </w:tcPr>
          <w:p w14:paraId="22AB61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570</w:t>
            </w:r>
          </w:p>
        </w:tc>
        <w:tc>
          <w:tcPr>
            <w:tcW w:w="756" w:type="dxa"/>
          </w:tcPr>
          <w:p w14:paraId="23DA14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2553</w:t>
            </w:r>
          </w:p>
        </w:tc>
        <w:tc>
          <w:tcPr>
            <w:tcW w:w="756" w:type="dxa"/>
          </w:tcPr>
          <w:p w14:paraId="00570E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518</w:t>
            </w:r>
          </w:p>
        </w:tc>
        <w:tc>
          <w:tcPr>
            <w:tcW w:w="756" w:type="dxa"/>
          </w:tcPr>
          <w:p w14:paraId="26E486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2643</w:t>
            </w:r>
          </w:p>
        </w:tc>
        <w:tc>
          <w:tcPr>
            <w:tcW w:w="756" w:type="dxa"/>
          </w:tcPr>
          <w:p w14:paraId="27FB10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w:t>
            </w:r>
          </w:p>
        </w:tc>
      </w:tr>
      <w:tr w:rsidR="007D5DF8" w:rsidRPr="00DB5D0D" w14:paraId="3C7AA6DC" w14:textId="77777777" w:rsidTr="00E543D0">
        <w:tc>
          <w:tcPr>
            <w:tcW w:w="1242" w:type="dxa"/>
            <w:tcBorders>
              <w:bottom w:val="single" w:sz="12" w:space="0" w:color="auto"/>
            </w:tcBorders>
          </w:tcPr>
          <w:p w14:paraId="059F07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боевых</w:t>
            </w:r>
          </w:p>
        </w:tc>
        <w:tc>
          <w:tcPr>
            <w:tcW w:w="766" w:type="dxa"/>
            <w:tcBorders>
              <w:bottom w:val="single" w:sz="12" w:space="0" w:color="auto"/>
            </w:tcBorders>
          </w:tcPr>
          <w:p w14:paraId="40F85F4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136D33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10694</w:t>
            </w:r>
          </w:p>
        </w:tc>
        <w:tc>
          <w:tcPr>
            <w:tcW w:w="766" w:type="dxa"/>
            <w:tcBorders>
              <w:bottom w:val="single" w:sz="12" w:space="0" w:color="auto"/>
            </w:tcBorders>
          </w:tcPr>
          <w:p w14:paraId="5F5947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Borders>
              <w:bottom w:val="single" w:sz="12" w:space="0" w:color="auto"/>
            </w:tcBorders>
          </w:tcPr>
          <w:p w14:paraId="7F0812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1927</w:t>
            </w:r>
          </w:p>
        </w:tc>
        <w:tc>
          <w:tcPr>
            <w:tcW w:w="849" w:type="dxa"/>
            <w:tcBorders>
              <w:bottom w:val="single" w:sz="12" w:space="0" w:color="auto"/>
            </w:tcBorders>
          </w:tcPr>
          <w:p w14:paraId="73B86C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Borders>
              <w:bottom w:val="single" w:sz="12" w:space="0" w:color="auto"/>
            </w:tcBorders>
          </w:tcPr>
          <w:p w14:paraId="053639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2038</w:t>
            </w:r>
          </w:p>
        </w:tc>
        <w:tc>
          <w:tcPr>
            <w:tcW w:w="756" w:type="dxa"/>
            <w:tcBorders>
              <w:bottom w:val="single" w:sz="12" w:space="0" w:color="auto"/>
            </w:tcBorders>
          </w:tcPr>
          <w:p w14:paraId="0C533D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Borders>
              <w:bottom w:val="single" w:sz="12" w:space="0" w:color="auto"/>
            </w:tcBorders>
          </w:tcPr>
          <w:p w14:paraId="707564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2098</w:t>
            </w:r>
          </w:p>
        </w:tc>
        <w:tc>
          <w:tcPr>
            <w:tcW w:w="756" w:type="dxa"/>
            <w:tcBorders>
              <w:bottom w:val="single" w:sz="12" w:space="0" w:color="auto"/>
            </w:tcBorders>
          </w:tcPr>
          <w:p w14:paraId="628CAE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Borders>
              <w:bottom w:val="single" w:sz="12" w:space="0" w:color="auto"/>
            </w:tcBorders>
          </w:tcPr>
          <w:p w14:paraId="4A02D1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2258</w:t>
            </w:r>
          </w:p>
        </w:tc>
        <w:tc>
          <w:tcPr>
            <w:tcW w:w="756" w:type="dxa"/>
            <w:tcBorders>
              <w:bottom w:val="single" w:sz="12" w:space="0" w:color="auto"/>
            </w:tcBorders>
          </w:tcPr>
          <w:p w14:paraId="693113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56" w:type="dxa"/>
            <w:tcBorders>
              <w:bottom w:val="single" w:sz="12" w:space="0" w:color="auto"/>
            </w:tcBorders>
          </w:tcPr>
          <w:p w14:paraId="1AB8E7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2373</w:t>
            </w:r>
          </w:p>
        </w:tc>
        <w:tc>
          <w:tcPr>
            <w:tcW w:w="756" w:type="dxa"/>
            <w:tcBorders>
              <w:bottom w:val="single" w:sz="12" w:space="0" w:color="auto"/>
            </w:tcBorders>
          </w:tcPr>
          <w:p w14:paraId="42972B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-(1272)</w:t>
            </w:r>
          </w:p>
        </w:tc>
      </w:tr>
    </w:tbl>
    <w:p w14:paraId="48601D2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A4AB2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вышел приказ НКАП N 379 о программе производства моторов АМ-34 (417,32).</w:t>
      </w:r>
    </w:p>
    <w:p w14:paraId="0E9CF9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самом деле 29 июля 1940 вышел приказ НКАП N 379сс в исполнение постановления правительства от 25 июля 1940 об увеличении выпуска самолетов и авиамоторов на период август-декабрь 1940</w:t>
      </w:r>
    </w:p>
    <w:p w14:paraId="37283B5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783F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 Решением Политбюро ЦК ВКП(б) № П 19 / 112 «О директорах авиационных заводов Ленинграда» предписывалось утвердить Баринова С.С. директором, а Гриншпун Л.Я. – главным инженером Ленинградского самолетостроительного завода по производству самолетов ББ-22; Филимончука Т.Х. – директором Ленинградского самолетостроительного завода по производству самолетов БШ; Фролова П.В. – директором завода № 23 по производству самолетов И-301 (РГАСПИ. Ф. 17. Оп. 3. Д. 1026. Л. 29.).</w:t>
      </w:r>
    </w:p>
    <w:p w14:paraId="293B6A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Политбюро ЦК ВКП(б) № П 20 / 285 – ОП от 25 сентября 1940 года утверждался ряд решений по вопросам Комитета Обороны, в частности, о материально-техническом обеспечении производства авиамоторов М-105 на заводе № 234 Наркомавиапрома (РГАСПИ. Ф. 17. Оп. 162. Д. 29. Л. 14.). Правительственное задание для этого завода на 1941 год составляло 2000 авиамоторов М-105 (Минаев П.П. Восстановление и развитие авиационной промышленности Ленинграда в 20-е – 30-е годы XX века. СПб., 2004. С. 34.).</w:t>
      </w:r>
    </w:p>
    <w:p w14:paraId="677D4C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21 / 100 – ОП от 8 октября 1940 года утверждалось Постановление ЦК ВКП(б) и СНК СССР «О строительстве в Ленинграде второго авиамоторного завода» (РГАСПИ. Ф. 17. Оп. 162. Д. 29. Л. 129.). В соответствующем Приложении к Постановлению Нарком авиапромышленности А.И. Шахурин обязывался создать в Ленинграде вторую производственную базу (кроме переданного НКАП завода № 234) по выпуску авиационных моторов типа М-105 мощностью в 5000 штук в год при двухсменной работе, восьмичасовом рабочем дне и семидневной неделе. Срок окончания работ и пуска первой очереди 2500 моторов в год определялся первым кварталом 1942 года с выпуском в 1942 году 2000 моторов, а выход на полную мощность – к четвертому кварталу 1942 года. Для строительства авиамоторного завода на ст. Саперная из резервного фонда СНК предписывалось выделить 40 млн рублей (РГАСПИ. Ф. 17. Оп. 162. Д. 29. Л. 161-162.).</w:t>
      </w:r>
    </w:p>
    <w:p w14:paraId="4CFB51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21 / 46 – ОП от 2 октября 1940 года было утверждено Постановление СНК СССР и ЦК ВКП(б) «Об увеличении дальностей истребителей и постановке их производства на заводах». Пятый пункт данного Постановления касался завода № 23 и обязывал наркома авиапромышленности А.И. Шахурина, а также директора завода Фролова П.В.: «а) в изменение постановления № 1369-534сс от 26.VII.</w:t>
      </w:r>
    </w:p>
    <w:p w14:paraId="6062DB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года заводу № 23 ограничить выпуск самолетов И-301 5 машинами к 1 января 1941 года для проверки этого самолета на войсковых испытаниях; б) перейти с января 1941 года на производство самолетов И-26 улучшенных».</w:t>
      </w:r>
    </w:p>
    <w:p w14:paraId="4B7DAA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Восьмой пункт данного Постановления обязывал Шахурина и директора завода № 380 Баринова С.С. «с января 1941 года перейти на производство двухмоторного истребителя конструкции тов. Яковлева А.С.» (Там же. Л. 125-126.).</w:t>
      </w:r>
    </w:p>
    <w:p w14:paraId="2EF93F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всего лишь неделю спустя, решением Политбюро ЦК ВКП(б) № П 21 / 117 – ОП от 9 октября 1940 года «О самолете И-301», в частности, предписывалось во изменение постановления ЦК ВКП(б) и СНК СССР от 2 октября 1940 года о постановке на серийное производство на заводе № 23 самолета И-26 поставить серийное производство самолетов И-301 на заводе № 23 с дальностью полета в 1000 км на 0,9 максимальной скорости (Там же. Л. 129-130.).</w:t>
      </w:r>
    </w:p>
    <w:p w14:paraId="2B09D5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декабре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334DB8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47B284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26A1C4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26ECCA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65280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4CDF457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C7836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 Начальник НИП АВ ВВС полковник Шевченко и Военком НИП АВ ВВС в/инженер 2 ранга Щербинин утвердили Отчет по заводским испытаниям пикирующего бомбодержателя ПБ-3А конструкции завода N 32 на самолете И-15, которые проходили с 10 по 23 июля 1940 года (3000).</w:t>
      </w:r>
    </w:p>
    <w:p w14:paraId="1AC1524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57F244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вышло Постановление № 336сс Комитета обороны при СНК Союза ССР</w:t>
      </w:r>
    </w:p>
    <w:p w14:paraId="79A046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утверждении генеральной сметы строительства самолетносборочного завода в г. Урумчи (Западный Китай)</w:t>
      </w:r>
    </w:p>
    <w:p w14:paraId="14C38D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КО № 237сс от 11 сентября 1939 года и № 82сс ог 23 февраля 1940 года, КОМИТЕТ ОБОРОНЫ при СНК Союза ССР П О С Т А Н О В Л Я Е Т:</w:t>
      </w:r>
    </w:p>
    <w:p w14:paraId="2D07D7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Утвердить представленную Наркомавиапромом генеральную смету на строительст</w:t>
      </w:r>
      <w:r w:rsidRPr="00DB5D0D">
        <w:rPr>
          <w:rFonts w:ascii="Times New Roman" w:hAnsi="Times New Roman"/>
          <w:color w:val="000000" w:themeColor="text1"/>
          <w:sz w:val="16"/>
          <w:szCs w:val="16"/>
        </w:rPr>
        <w:softHyphen/>
        <w:t>во самолетосборочного завода в г. Урумчи (Западный Китай) в сумме 29.474.531 руб. ( в ценах 1939 года) из нихвозвратных сумм 1.225.3 тыс. рублей.</w:t>
      </w:r>
    </w:p>
    <w:p w14:paraId="20D24D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Отпустить из резервного фонда СНК СССР на строительство самолето-сборочного завода в гор. Урумчи (Западный Китай) 29.474.532 руб. в том числе 25% в иновалюте. с учетом ранее выданных авансов, согласно постановления Правительства № 287 от 11 сентября 1939 года № 62сс от 23 февраля 1940 года.</w:t>
      </w:r>
    </w:p>
    <w:p w14:paraId="3EEFC13B"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r w:rsidRPr="00DB5D0D">
        <w:rPr>
          <w:rFonts w:ascii="Times New Roman" w:hAnsi="Times New Roman"/>
          <w:color w:val="000000" w:themeColor="text1"/>
          <w:sz w:val="16"/>
          <w:szCs w:val="16"/>
        </w:rPr>
        <w:t>3. Обязать Наркомавиапром представить Наркомфину к 1 января 1941 отчет об израсходовании иновалюты на строительство указанного заво</w:t>
      </w:r>
      <w:r w:rsidRPr="00DB5D0D">
        <w:rPr>
          <w:rFonts w:ascii="Times New Roman" w:hAnsi="Times New Roman"/>
          <w:color w:val="000000" w:themeColor="text1"/>
          <w:sz w:val="16"/>
          <w:szCs w:val="16"/>
        </w:rPr>
        <w:softHyphen/>
        <w:t xml:space="preserve">да </w:t>
      </w:r>
      <w:r w:rsidRPr="00DB5D0D">
        <w:rPr>
          <w:rFonts w:ascii="Times New Roman" w:hAnsi="Times New Roman"/>
          <w:smallCaps/>
          <w:color w:val="000000" w:themeColor="text1"/>
          <w:sz w:val="16"/>
          <w:szCs w:val="16"/>
        </w:rPr>
        <w:t>(10313).</w:t>
      </w:r>
    </w:p>
    <w:p w14:paraId="0ED4CE5A"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p>
    <w:p w14:paraId="14FD04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29 июля 1940 Нач. Главфанерпрома Вараксин писал письмо № 443с в ГЛАВНЫЙ КОНТРОЛЬ КОМИТЕТА ОБОРОНЫ при СНК СОЮЗА ССР </w:t>
      </w:r>
    </w:p>
    <w:p w14:paraId="49B499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выполнения постановления КО от 19.02-с/г. № 77сс.</w:t>
      </w:r>
    </w:p>
    <w:p w14:paraId="307A43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Наркомлеса СССР от 28/П-с/г. за № 59сс в соответствии с постановлением КО от 19/П-с/г. № 77сс Главфанеропром обязан был поставить в 1-м полугодии с/г. Наркомавиапрому 55% годового фонда авиафанеры и авиашпон и 100 тонн балинита.</w:t>
      </w:r>
    </w:p>
    <w:p w14:paraId="5D6FB7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1/УП-с/г. задание Наркомавиапрому выполнено нами: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18"/>
        <w:gridCol w:w="2369"/>
        <w:gridCol w:w="1022"/>
        <w:gridCol w:w="1116"/>
        <w:gridCol w:w="1577"/>
      </w:tblGrid>
      <w:tr w:rsidR="007D5DF8" w:rsidRPr="00DB5D0D" w14:paraId="11E14934" w14:textId="77777777" w:rsidTr="00E543D0">
        <w:trPr>
          <w:trHeight w:val="245"/>
        </w:trPr>
        <w:tc>
          <w:tcPr>
            <w:tcW w:w="418" w:type="dxa"/>
            <w:tcBorders>
              <w:top w:val="single" w:sz="12" w:space="0" w:color="auto"/>
            </w:tcBorders>
          </w:tcPr>
          <w:p w14:paraId="21D496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2369" w:type="dxa"/>
            <w:tcBorders>
              <w:top w:val="single" w:sz="12" w:space="0" w:color="auto"/>
            </w:tcBorders>
          </w:tcPr>
          <w:p w14:paraId="73A6CD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1022" w:type="dxa"/>
            <w:tcBorders>
              <w:top w:val="single" w:sz="12" w:space="0" w:color="auto"/>
            </w:tcBorders>
          </w:tcPr>
          <w:p w14:paraId="611C60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Годовой фонд</w:t>
            </w:r>
          </w:p>
        </w:tc>
        <w:tc>
          <w:tcPr>
            <w:tcW w:w="2693" w:type="dxa"/>
            <w:gridSpan w:val="2"/>
            <w:tcBorders>
              <w:top w:val="single" w:sz="12" w:space="0" w:color="auto"/>
            </w:tcBorders>
          </w:tcPr>
          <w:p w14:paraId="189E74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Выполнено</w:t>
            </w:r>
          </w:p>
        </w:tc>
      </w:tr>
      <w:tr w:rsidR="007D5DF8" w:rsidRPr="00DB5D0D" w14:paraId="105E9A37" w14:textId="77777777" w:rsidTr="00E543D0">
        <w:trPr>
          <w:trHeight w:val="245"/>
        </w:trPr>
        <w:tc>
          <w:tcPr>
            <w:tcW w:w="418" w:type="dxa"/>
          </w:tcPr>
          <w:p w14:paraId="0AC21A7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369" w:type="dxa"/>
          </w:tcPr>
          <w:p w14:paraId="537D56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022" w:type="dxa"/>
          </w:tcPr>
          <w:p w14:paraId="0A7EFE0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16" w:type="dxa"/>
          </w:tcPr>
          <w:p w14:paraId="44E33A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кбм.</w:t>
            </w:r>
          </w:p>
        </w:tc>
        <w:tc>
          <w:tcPr>
            <w:tcW w:w="1577" w:type="dxa"/>
          </w:tcPr>
          <w:p w14:paraId="5C56FE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w:t>
            </w:r>
          </w:p>
        </w:tc>
      </w:tr>
      <w:tr w:rsidR="007D5DF8" w:rsidRPr="00DB5D0D" w14:paraId="597E3FA7" w14:textId="77777777" w:rsidTr="00E543D0">
        <w:trPr>
          <w:trHeight w:val="338"/>
        </w:trPr>
        <w:tc>
          <w:tcPr>
            <w:tcW w:w="418" w:type="dxa"/>
          </w:tcPr>
          <w:p w14:paraId="184EEC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369" w:type="dxa"/>
          </w:tcPr>
          <w:p w14:paraId="26C082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Авиашпон</w:t>
            </w:r>
          </w:p>
        </w:tc>
        <w:tc>
          <w:tcPr>
            <w:tcW w:w="1022" w:type="dxa"/>
          </w:tcPr>
          <w:p w14:paraId="4258AC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w:t>
            </w:r>
          </w:p>
        </w:tc>
        <w:tc>
          <w:tcPr>
            <w:tcW w:w="1116" w:type="dxa"/>
          </w:tcPr>
          <w:p w14:paraId="5ED5CC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510</w:t>
            </w:r>
          </w:p>
        </w:tc>
        <w:tc>
          <w:tcPr>
            <w:tcW w:w="1577" w:type="dxa"/>
          </w:tcPr>
          <w:p w14:paraId="4AFFFC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68 %</w:t>
            </w:r>
          </w:p>
        </w:tc>
      </w:tr>
      <w:tr w:rsidR="007D5DF8" w:rsidRPr="00DB5D0D" w14:paraId="0F90C86F" w14:textId="77777777" w:rsidTr="00E543D0">
        <w:trPr>
          <w:trHeight w:val="245"/>
        </w:trPr>
        <w:tc>
          <w:tcPr>
            <w:tcW w:w="418" w:type="dxa"/>
          </w:tcPr>
          <w:p w14:paraId="5B5CE0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369" w:type="dxa"/>
          </w:tcPr>
          <w:p w14:paraId="1514F2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Авиафанера бакелит.</w:t>
            </w:r>
          </w:p>
        </w:tc>
        <w:tc>
          <w:tcPr>
            <w:tcW w:w="1022" w:type="dxa"/>
          </w:tcPr>
          <w:p w14:paraId="5F9DDD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2758</w:t>
            </w:r>
          </w:p>
        </w:tc>
        <w:tc>
          <w:tcPr>
            <w:tcW w:w="1116" w:type="dxa"/>
          </w:tcPr>
          <w:p w14:paraId="4658EB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1114</w:t>
            </w:r>
          </w:p>
        </w:tc>
        <w:tc>
          <w:tcPr>
            <w:tcW w:w="1577" w:type="dxa"/>
          </w:tcPr>
          <w:p w14:paraId="5C3C47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40,4 %</w:t>
            </w:r>
          </w:p>
        </w:tc>
      </w:tr>
      <w:tr w:rsidR="007D5DF8" w:rsidRPr="00DB5D0D" w14:paraId="52EB94F8" w14:textId="77777777" w:rsidTr="00E543D0">
        <w:trPr>
          <w:trHeight w:val="382"/>
        </w:trPr>
        <w:tc>
          <w:tcPr>
            <w:tcW w:w="418" w:type="dxa"/>
          </w:tcPr>
          <w:p w14:paraId="4065FB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369" w:type="dxa"/>
          </w:tcPr>
          <w:p w14:paraId="2364B7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албуминов.</w:t>
            </w:r>
          </w:p>
        </w:tc>
        <w:tc>
          <w:tcPr>
            <w:tcW w:w="1022" w:type="dxa"/>
          </w:tcPr>
          <w:p w14:paraId="69E21B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2022</w:t>
            </w:r>
          </w:p>
        </w:tc>
        <w:tc>
          <w:tcPr>
            <w:tcW w:w="1116" w:type="dxa"/>
          </w:tcPr>
          <w:p w14:paraId="2247B1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713</w:t>
            </w:r>
          </w:p>
        </w:tc>
        <w:tc>
          <w:tcPr>
            <w:tcW w:w="1577" w:type="dxa"/>
          </w:tcPr>
          <w:p w14:paraId="337963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35,3 %</w:t>
            </w:r>
          </w:p>
        </w:tc>
      </w:tr>
      <w:tr w:rsidR="007D5DF8" w:rsidRPr="00DB5D0D" w14:paraId="514E9C31" w14:textId="77777777" w:rsidTr="00E543D0">
        <w:trPr>
          <w:trHeight w:val="266"/>
        </w:trPr>
        <w:tc>
          <w:tcPr>
            <w:tcW w:w="418" w:type="dxa"/>
          </w:tcPr>
          <w:p w14:paraId="32BEDC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369" w:type="dxa"/>
          </w:tcPr>
          <w:p w14:paraId="5F0B4A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1022" w:type="dxa"/>
          </w:tcPr>
          <w:p w14:paraId="4F42D5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5530</w:t>
            </w:r>
          </w:p>
        </w:tc>
        <w:tc>
          <w:tcPr>
            <w:tcW w:w="1116" w:type="dxa"/>
          </w:tcPr>
          <w:p w14:paraId="51FAD1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2337</w:t>
            </w:r>
          </w:p>
        </w:tc>
        <w:tc>
          <w:tcPr>
            <w:tcW w:w="1577" w:type="dxa"/>
          </w:tcPr>
          <w:p w14:paraId="1E4828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42,3 %</w:t>
            </w:r>
          </w:p>
        </w:tc>
      </w:tr>
      <w:tr w:rsidR="007D5DF8" w:rsidRPr="00DB5D0D" w14:paraId="0787A6ED" w14:textId="77777777" w:rsidTr="00E543D0">
        <w:trPr>
          <w:trHeight w:val="230"/>
        </w:trPr>
        <w:tc>
          <w:tcPr>
            <w:tcW w:w="418" w:type="dxa"/>
          </w:tcPr>
          <w:p w14:paraId="4FCAE7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369" w:type="dxa"/>
          </w:tcPr>
          <w:p w14:paraId="36325C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фонд УГР</w:t>
            </w:r>
          </w:p>
        </w:tc>
        <w:tc>
          <w:tcPr>
            <w:tcW w:w="1022" w:type="dxa"/>
          </w:tcPr>
          <w:p w14:paraId="450FBB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16" w:type="dxa"/>
          </w:tcPr>
          <w:p w14:paraId="079AEB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577" w:type="dxa"/>
          </w:tcPr>
          <w:p w14:paraId="5D5456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276BE3D" w14:textId="77777777" w:rsidTr="00E543D0">
        <w:trPr>
          <w:trHeight w:val="382"/>
        </w:trPr>
        <w:tc>
          <w:tcPr>
            <w:tcW w:w="418" w:type="dxa"/>
          </w:tcPr>
          <w:p w14:paraId="7A1B82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369" w:type="dxa"/>
          </w:tcPr>
          <w:p w14:paraId="0C6D2F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недопоставка 1939 г.</w:t>
            </w:r>
          </w:p>
        </w:tc>
        <w:tc>
          <w:tcPr>
            <w:tcW w:w="1022" w:type="dxa"/>
          </w:tcPr>
          <w:p w14:paraId="53BA68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1068</w:t>
            </w:r>
          </w:p>
        </w:tc>
        <w:tc>
          <w:tcPr>
            <w:tcW w:w="1116" w:type="dxa"/>
          </w:tcPr>
          <w:p w14:paraId="3153E7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522</w:t>
            </w:r>
          </w:p>
        </w:tc>
        <w:tc>
          <w:tcPr>
            <w:tcW w:w="1577" w:type="dxa"/>
          </w:tcPr>
          <w:p w14:paraId="7AD5AD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48,9</w:t>
            </w:r>
          </w:p>
        </w:tc>
      </w:tr>
      <w:tr w:rsidR="007D5DF8" w:rsidRPr="00DB5D0D" w14:paraId="35F5963A" w14:textId="77777777" w:rsidTr="00E543D0">
        <w:trPr>
          <w:trHeight w:val="310"/>
        </w:trPr>
        <w:tc>
          <w:tcPr>
            <w:tcW w:w="418" w:type="dxa"/>
          </w:tcPr>
          <w:p w14:paraId="506D2C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369" w:type="dxa"/>
          </w:tcPr>
          <w:p w14:paraId="074400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 е г о:</w:t>
            </w:r>
          </w:p>
        </w:tc>
        <w:tc>
          <w:tcPr>
            <w:tcW w:w="1022" w:type="dxa"/>
          </w:tcPr>
          <w:p w14:paraId="56D1462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6598</w:t>
            </w:r>
          </w:p>
        </w:tc>
        <w:tc>
          <w:tcPr>
            <w:tcW w:w="1116" w:type="dxa"/>
          </w:tcPr>
          <w:p w14:paraId="357CA6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2859</w:t>
            </w:r>
          </w:p>
        </w:tc>
        <w:tc>
          <w:tcPr>
            <w:tcW w:w="1577" w:type="dxa"/>
          </w:tcPr>
          <w:p w14:paraId="09FFD0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43,3 %</w:t>
            </w:r>
          </w:p>
        </w:tc>
      </w:tr>
      <w:tr w:rsidR="007D5DF8" w:rsidRPr="00DB5D0D" w14:paraId="4564026A" w14:textId="77777777" w:rsidTr="00E543D0">
        <w:trPr>
          <w:trHeight w:val="266"/>
        </w:trPr>
        <w:tc>
          <w:tcPr>
            <w:tcW w:w="418" w:type="dxa"/>
          </w:tcPr>
          <w:p w14:paraId="299101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369" w:type="dxa"/>
          </w:tcPr>
          <w:p w14:paraId="3B0450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Балинит тонн</w:t>
            </w:r>
          </w:p>
        </w:tc>
        <w:tc>
          <w:tcPr>
            <w:tcW w:w="1022" w:type="dxa"/>
          </w:tcPr>
          <w:p w14:paraId="2F8B18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116" w:type="dxa"/>
          </w:tcPr>
          <w:p w14:paraId="064A4D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577" w:type="dxa"/>
          </w:tcPr>
          <w:p w14:paraId="6B8416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DF84AD3" w14:textId="77777777" w:rsidTr="00E543D0">
        <w:trPr>
          <w:trHeight w:val="245"/>
        </w:trPr>
        <w:tc>
          <w:tcPr>
            <w:tcW w:w="418" w:type="dxa"/>
          </w:tcPr>
          <w:p w14:paraId="28BD68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369" w:type="dxa"/>
          </w:tcPr>
          <w:p w14:paraId="0566DD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сдано</w:t>
            </w:r>
          </w:p>
        </w:tc>
        <w:tc>
          <w:tcPr>
            <w:tcW w:w="1022" w:type="dxa"/>
          </w:tcPr>
          <w:p w14:paraId="564DE5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5700E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16" w:type="dxa"/>
          </w:tcPr>
          <w:p w14:paraId="36E69F3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w:t>
            </w:r>
          </w:p>
        </w:tc>
        <w:tc>
          <w:tcPr>
            <w:tcW w:w="1577" w:type="dxa"/>
          </w:tcPr>
          <w:p w14:paraId="487650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24,4 %</w:t>
            </w:r>
          </w:p>
        </w:tc>
      </w:tr>
      <w:tr w:rsidR="007D5DF8" w:rsidRPr="00DB5D0D" w14:paraId="06D278B3" w14:textId="77777777" w:rsidTr="00E543D0">
        <w:trPr>
          <w:trHeight w:val="259"/>
        </w:trPr>
        <w:tc>
          <w:tcPr>
            <w:tcW w:w="418" w:type="dxa"/>
            <w:tcBorders>
              <w:bottom w:val="single" w:sz="12" w:space="0" w:color="auto"/>
            </w:tcBorders>
          </w:tcPr>
          <w:p w14:paraId="395B69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369" w:type="dxa"/>
            <w:tcBorders>
              <w:bottom w:val="single" w:sz="12" w:space="0" w:color="auto"/>
            </w:tcBorders>
          </w:tcPr>
          <w:p w14:paraId="02F2EB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отгружено</w:t>
            </w:r>
          </w:p>
        </w:tc>
        <w:tc>
          <w:tcPr>
            <w:tcW w:w="1022" w:type="dxa"/>
            <w:tcBorders>
              <w:bottom w:val="single" w:sz="12" w:space="0" w:color="auto"/>
            </w:tcBorders>
          </w:tcPr>
          <w:p w14:paraId="3C3B57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16" w:type="dxa"/>
            <w:tcBorders>
              <w:bottom w:val="single" w:sz="12" w:space="0" w:color="auto"/>
            </w:tcBorders>
          </w:tcPr>
          <w:p w14:paraId="4B92DD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18,6</w:t>
            </w:r>
          </w:p>
        </w:tc>
        <w:tc>
          <w:tcPr>
            <w:tcW w:w="1577" w:type="dxa"/>
            <w:tcBorders>
              <w:bottom w:val="single" w:sz="12" w:space="0" w:color="auto"/>
            </w:tcBorders>
          </w:tcPr>
          <w:p w14:paraId="5C3560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18,6 %</w:t>
            </w:r>
          </w:p>
        </w:tc>
      </w:tr>
    </w:tbl>
    <w:p w14:paraId="536D20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Причиной недовыполнения авиафанеры и балинита являются следующие моменты:</w:t>
      </w:r>
    </w:p>
    <w:p w14:paraId="1C7749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Бакелитовой авиафанеры - недопоставка заводом "Изолит" Наркомэлектропрома бакелитовой пленки, которую завод "Изолит” должен был поставить в 1-квартале, согласно Постановления КО № 77сс 100 тонн (вместо договорных 150 т фактически поставил 31.8 тонн или 31.8 % и во 2-м квар</w:t>
      </w:r>
      <w:r w:rsidRPr="00DB5D0D">
        <w:rPr>
          <w:rFonts w:ascii="Times New Roman" w:hAnsi="Times New Roman"/>
          <w:color w:val="000000" w:themeColor="text1"/>
          <w:sz w:val="16"/>
          <w:szCs w:val="16"/>
        </w:rPr>
        <w:softHyphen/>
        <w:t>тале вместо 150 тонн 74,3 тонн или 50 %, а всего за полгода 106,1 тонн или 42,4 %</w:t>
      </w:r>
    </w:p>
    <w:p w14:paraId="2752D6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Альбуминовой фанеры - ввиду отказа 19/3-с/г. Наркомавиапрома от приемки альбуминовой фанеры, несмотря к то, что эту фанеру заводы Главка имели полную возможность поставить в значительно большем проценте.</w:t>
      </w:r>
    </w:p>
    <w:p w14:paraId="300580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Балинита - отсутствием химикатов (фенола, фор</w:t>
      </w:r>
      <w:r w:rsidRPr="00DB5D0D">
        <w:rPr>
          <w:rFonts w:ascii="Times New Roman" w:hAnsi="Times New Roman"/>
          <w:color w:val="000000" w:themeColor="text1"/>
          <w:sz w:val="16"/>
          <w:szCs w:val="16"/>
        </w:rPr>
        <w:softHyphen/>
        <w:t>малина, едкого натра, причем едкого натра Муромский завод изготовляющий балинит не имеет до сего времени.</w:t>
      </w:r>
    </w:p>
    <w:p w14:paraId="5E229F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 77сс отпуск химикатов предус</w:t>
      </w:r>
      <w:r w:rsidRPr="00DB5D0D">
        <w:rPr>
          <w:rFonts w:ascii="Times New Roman" w:hAnsi="Times New Roman"/>
          <w:color w:val="000000" w:themeColor="text1"/>
          <w:sz w:val="16"/>
          <w:szCs w:val="16"/>
        </w:rPr>
        <w:softHyphen/>
        <w:t>мотрен не был.</w:t>
      </w:r>
    </w:p>
    <w:p w14:paraId="713FAE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Наркомлеса №- 131сс от, 9/УП-с/г. во исполнение постановления № 29бсс Главк обязан в Ш-квартале поставить Наркомавиапрому всю авиафанеру и авиашпон по фондам Ш-квартала и в этом же квартале погасить всю недопоставку 1-го полугодия с/г., т.е. Главк обязан поставить авиафанеру исключительно бакелитовой клейки, комплектно, т.е. всех толщин:</w:t>
      </w:r>
    </w:p>
    <w:p w14:paraId="331156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фондам Ш-квартала - 1246 кбм.</w:t>
      </w:r>
    </w:p>
    <w:p w14:paraId="3B2659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Недопоставка 1-полуг. - 772 -"-</w:t>
      </w:r>
    </w:p>
    <w:p w14:paraId="493F6A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 фонду УГР - 547 -"-</w:t>
      </w:r>
    </w:p>
    <w:p w14:paraId="20F7CE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 е г о: - 2565 кбм.</w:t>
      </w:r>
    </w:p>
    <w:p w14:paraId="5DA737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или почти в два с половиной раза больше чем поставлено в 1-м полугодии с/г.</w:t>
      </w:r>
    </w:p>
    <w:p w14:paraId="72F913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такого увеличенного задания требует немедленного разрешения следующих вопросов, способствую</w:t>
      </w:r>
      <w:r w:rsidRPr="00DB5D0D">
        <w:rPr>
          <w:rFonts w:ascii="Times New Roman" w:hAnsi="Times New Roman"/>
          <w:color w:val="000000" w:themeColor="text1"/>
          <w:sz w:val="16"/>
          <w:szCs w:val="16"/>
        </w:rPr>
        <w:softHyphen/>
        <w:t>щих комплектной выработке бакелитовой фанеры:</w:t>
      </w:r>
    </w:p>
    <w:p w14:paraId="5867F4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Разрешить заводу "Изолит" Наркомэлектропрома отпуск спирта для изготовления бакелитовой пленки, хотя бы только на Ш-й квартал с/г. в количестве 30 тыс. декалитров, впредь до подыскания заменителей спирта, обязав завод "Изолит" и "ВИАМ НКАП" изыскать замените</w:t>
      </w:r>
      <w:r w:rsidRPr="00DB5D0D">
        <w:rPr>
          <w:rFonts w:ascii="Times New Roman" w:hAnsi="Times New Roman"/>
          <w:color w:val="000000" w:themeColor="text1"/>
          <w:sz w:val="16"/>
          <w:szCs w:val="16"/>
        </w:rPr>
        <w:softHyphen/>
        <w:t>лей спирта и аппробировать в течении Ш-квартала с/г. бакелитовую безспритовую пленку, т.к. завод "Изолит”с 1-го июня с/г. выпуск пленки совершенно прекратил. а без таковой комплектная выработка авиафанеры невозмож</w:t>
      </w:r>
      <w:r w:rsidRPr="00DB5D0D">
        <w:rPr>
          <w:rFonts w:ascii="Times New Roman" w:hAnsi="Times New Roman"/>
          <w:color w:val="000000" w:themeColor="text1"/>
          <w:sz w:val="16"/>
          <w:szCs w:val="16"/>
        </w:rPr>
        <w:softHyphen/>
        <w:t>на, т.к. на освоенной нами жидкой водорастворимой смолы можно изготовить трехслойную фанеру толщиной 2мм., а пятислойную от 4 мм и толще, а трехслойную фанеру толщ. 1 и 1,5 мм и пятислойную 1, 1,5, 2, 2,5 и 3 мм. на которую имеется большое задание НКАП можно изго</w:t>
      </w:r>
      <w:r w:rsidRPr="00DB5D0D">
        <w:rPr>
          <w:rFonts w:ascii="Times New Roman" w:hAnsi="Times New Roman"/>
          <w:color w:val="000000" w:themeColor="text1"/>
          <w:sz w:val="16"/>
          <w:szCs w:val="16"/>
        </w:rPr>
        <w:softHyphen/>
        <w:t>товлять только на пленке.</w:t>
      </w:r>
    </w:p>
    <w:p w14:paraId="271520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Ходатайство о временном отпуске спирта для изготов</w:t>
      </w:r>
      <w:r w:rsidRPr="00DB5D0D">
        <w:rPr>
          <w:rFonts w:ascii="Times New Roman" w:hAnsi="Times New Roman"/>
          <w:color w:val="000000" w:themeColor="text1"/>
          <w:sz w:val="16"/>
          <w:szCs w:val="16"/>
        </w:rPr>
        <w:softHyphen/>
        <w:t xml:space="preserve">ления пленки </w:t>
      </w:r>
      <w:r w:rsidRPr="00DB5D0D">
        <w:rPr>
          <w:rFonts w:ascii="Times New Roman" w:hAnsi="Times New Roman"/>
          <w:smallCaps/>
          <w:color w:val="000000" w:themeColor="text1"/>
          <w:sz w:val="16"/>
          <w:szCs w:val="16"/>
        </w:rPr>
        <w:t xml:space="preserve">подано </w:t>
      </w:r>
      <w:r w:rsidRPr="00DB5D0D">
        <w:rPr>
          <w:rFonts w:ascii="Times New Roman" w:hAnsi="Times New Roman"/>
          <w:color w:val="000000" w:themeColor="text1"/>
          <w:sz w:val="16"/>
          <w:szCs w:val="16"/>
        </w:rPr>
        <w:t>в Экономсовет Наркомами Электропрома - т. Богатыревым, Авиапрома - т. Шахуриным и Лесной промышленности - т. Сергеевым.</w:t>
      </w:r>
    </w:p>
    <w:p w14:paraId="709DA3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Ускорить постановление Экономического Совета при СНК Союза ССР о переводе производства бакелитовой авиафанеры на безспиртовые водно-смоляные клея. Проект постановления представлен за совместными подписями Наркомов Авиационной промышленности - т. Шахурина и Лесной промышленности - т. Сергеева, т.к. при отсут</w:t>
      </w:r>
      <w:r w:rsidRPr="00DB5D0D">
        <w:rPr>
          <w:rFonts w:ascii="Times New Roman" w:hAnsi="Times New Roman"/>
          <w:color w:val="000000" w:themeColor="text1"/>
          <w:sz w:val="16"/>
          <w:szCs w:val="16"/>
        </w:rPr>
        <w:softHyphen/>
        <w:t>ствии такого постановления поставщики водной смолы Наркомхипром (Главхимпласт) поставки не производит совершенно, а Наркомэлектропром (завод "Изолит”) поставляет совершенно недостаточное количество и то в счет фондов на бакпленку, ибо другого выхода у нас не имелось понудить его поставлять смолу, кроме того Главк лишен возможности произвести неооходимые капиталовложения связанные с переходом выработки авиафанеры на водную смолу.</w:t>
      </w:r>
    </w:p>
    <w:p w14:paraId="6A8334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Наркомлес и ГУЛАГ НКВД максимальную усилить заготовку к поставке березового сырья летней свежей заготовки, т.к. из полученных в 1-м полугодии 105 тыс. кбм. израсходовано 85 кбм., а рессурсы в сплаве крайне ограничены ввиду неудовлетво</w:t>
      </w:r>
      <w:r w:rsidRPr="00DB5D0D">
        <w:rPr>
          <w:rFonts w:ascii="Times New Roman" w:hAnsi="Times New Roman"/>
          <w:color w:val="000000" w:themeColor="text1"/>
          <w:sz w:val="16"/>
          <w:szCs w:val="16"/>
        </w:rPr>
        <w:softHyphen/>
        <w:t>рительного сплава и массовой обсушки древесины, приведшей к порче.</w:t>
      </w:r>
    </w:p>
    <w:p w14:paraId="46935B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содействия в ускорении разрешения перечисленных выше вопросов (10682,7).</w:t>
      </w:r>
    </w:p>
    <w:p w14:paraId="1E2ABF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90EF3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 председатель правительственной комиссии по проведению Дня авиации П. Кобелев писал письмо № 2961 председателю КО маршалу Ворошилову К.Е.</w:t>
      </w:r>
    </w:p>
    <w:p w14:paraId="7D9D5F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Представляю проект программы празднования Дня авиации 18 августа 1940 года, одобренный правительственной комиссией по проведению Дня авиации.</w:t>
      </w:r>
    </w:p>
    <w:p w14:paraId="195D40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праздника Дня авиации 18 августа 1940 года имеет следующее отличие от программы 1939 года.</w:t>
      </w:r>
    </w:p>
    <w:p w14:paraId="29796AA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Вместо двух отделений в прошлом году намечено провести программу в три отделения. Третье отделение специально парашютное.</w:t>
      </w:r>
    </w:p>
    <w:p w14:paraId="31FE1D0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времени программа 1940 года рассчитывается на 1 час 31 мин., вместо 1 час 26 мин. в прошлом году.</w:t>
      </w:r>
    </w:p>
    <w:p w14:paraId="7CAB850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количеству самолетов 282, вместо 321 в прошлом году;</w:t>
      </w:r>
    </w:p>
    <w:p w14:paraId="5B1A68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количеству планеров 34, вместо 17 в 1939 году;</w:t>
      </w:r>
    </w:p>
    <w:p w14:paraId="1F3380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 количеству парашютистов 168 человек, вместо 45 в 1939 году.</w:t>
      </w:r>
    </w:p>
    <w:p w14:paraId="15E7BE0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характеру номеров программа мало чем отличается от программы прошлого года.</w:t>
      </w:r>
    </w:p>
    <w:p w14:paraId="7670F5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линии Осоавиахима будет показано большое количество спортивных самолетов УТ-1 и УТ-2, введены новые номера – пилотаж девятки спортивных самолетов и полет двух самолетов "голова к голове" и увеличено количество планеров.</w:t>
      </w:r>
    </w:p>
    <w:p w14:paraId="667E27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военной авиации введены новые номера – бой бомбардировщика с истребителями и показ пикирующих бомбардировщиков.</w:t>
      </w:r>
    </w:p>
    <w:p w14:paraId="10C954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парашютистов составляет целое отделение. Намечено показать прыжки с виража, петли перевернутого полета и групповой прыжок 150 парашютов.</w:t>
      </w:r>
    </w:p>
    <w:p w14:paraId="16B82C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Введены новые типы самолетов, которые не участвовали в прошлом году, но частично участвовали на параде 1 мая.</w:t>
      </w:r>
    </w:p>
    <w:p w14:paraId="329B29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тем, что времени до Дня авиации осталось очень мало, прошу Вашего утверждения программы празднования Дня авиации 18 августа 1940 года и начало праздника в 15-00, как это было в прошлом году.</w:t>
      </w:r>
    </w:p>
    <w:p w14:paraId="059DD2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Программа на листах и 1 справка к п. 12 программы (7519, 2-3).</w:t>
      </w:r>
    </w:p>
    <w:p w14:paraId="129940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к п. 12 программы</w:t>
      </w:r>
    </w:p>
    <w:p w14:paraId="1C4913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w:t>
      </w:r>
    </w:p>
    <w:p w14:paraId="3A6CAC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номере 12 программы празднования "показ новых самолетов" намечено включить следующие самолеты:</w:t>
      </w:r>
    </w:p>
    <w:p w14:paraId="762EB89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Звено ТБ-7 – 3 самолета</w:t>
      </w:r>
    </w:p>
    <w:p w14:paraId="796D9EC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И-26 – 1 самолет</w:t>
      </w:r>
    </w:p>
    <w:p w14:paraId="7D710B3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И-301 – 1 самолет</w:t>
      </w:r>
    </w:p>
    <w:p w14:paraId="74C8FFF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И-180 – 1 самолет</w:t>
      </w:r>
    </w:p>
    <w:p w14:paraId="5E11B59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И-200 – 1 самолет</w:t>
      </w:r>
    </w:p>
    <w:p w14:paraId="686F9D7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Летающее крыло 350 – 1 самолет</w:t>
      </w:r>
    </w:p>
    <w:p w14:paraId="1CF7FE7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 240 – 1 самолет</w:t>
      </w:r>
    </w:p>
    <w:p w14:paraId="70EA3C8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 3 самолета</w:t>
      </w:r>
    </w:p>
    <w:p w14:paraId="6521C9D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 – 3 самолета</w:t>
      </w:r>
    </w:p>
    <w:p w14:paraId="5C48DDB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БШ-1 – 1 самолет</w:t>
      </w:r>
    </w:p>
    <w:p w14:paraId="726DF66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Двухмоторный истребитель Таирова – 1 самолет</w:t>
      </w:r>
    </w:p>
    <w:p w14:paraId="7F9236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 17 самолетов (7519, 4).</w:t>
      </w:r>
    </w:p>
    <w:p w14:paraId="273E63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празднования Дня советской авиации 18 августа 1940 года на Тушинском аэродроме Центрального аэроклуба СССР</w:t>
      </w:r>
    </w:p>
    <w:p w14:paraId="1F7B8A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1-е отделение: авиация Осоавиахима и ГВФ</w:t>
      </w:r>
    </w:p>
    <w:p w14:paraId="617588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Руководитель отделения – начальник авиации Осоавиахима майор Кузьмин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01"/>
        <w:gridCol w:w="2098"/>
        <w:gridCol w:w="964"/>
        <w:gridCol w:w="1191"/>
        <w:gridCol w:w="1304"/>
        <w:gridCol w:w="1449"/>
        <w:gridCol w:w="1304"/>
        <w:gridCol w:w="1449"/>
      </w:tblGrid>
      <w:tr w:rsidR="007D5DF8" w:rsidRPr="00DB5D0D" w14:paraId="10AF5771" w14:textId="77777777" w:rsidTr="00E543D0">
        <w:tc>
          <w:tcPr>
            <w:tcW w:w="1701" w:type="dxa"/>
          </w:tcPr>
          <w:p w14:paraId="74FA29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номера</w:t>
            </w:r>
          </w:p>
        </w:tc>
        <w:tc>
          <w:tcPr>
            <w:tcW w:w="2098" w:type="dxa"/>
          </w:tcPr>
          <w:p w14:paraId="3C28D3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w:t>
            </w:r>
          </w:p>
        </w:tc>
        <w:tc>
          <w:tcPr>
            <w:tcW w:w="964" w:type="dxa"/>
          </w:tcPr>
          <w:p w14:paraId="0549AF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Время на выполнен. номера </w:t>
            </w:r>
          </w:p>
        </w:tc>
        <w:tc>
          <w:tcPr>
            <w:tcW w:w="1191" w:type="dxa"/>
          </w:tcPr>
          <w:p w14:paraId="76DEC0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и количество самолетов</w:t>
            </w:r>
          </w:p>
        </w:tc>
        <w:tc>
          <w:tcPr>
            <w:tcW w:w="1304" w:type="dxa"/>
          </w:tcPr>
          <w:p w14:paraId="5A890A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Кто выполняет</w:t>
            </w:r>
          </w:p>
        </w:tc>
        <w:tc>
          <w:tcPr>
            <w:tcW w:w="1449" w:type="dxa"/>
          </w:tcPr>
          <w:p w14:paraId="565B7F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Ответственный руководитель</w:t>
            </w:r>
          </w:p>
        </w:tc>
        <w:tc>
          <w:tcPr>
            <w:tcW w:w="1304" w:type="dxa"/>
          </w:tcPr>
          <w:p w14:paraId="0F2930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 базирования</w:t>
            </w:r>
          </w:p>
        </w:tc>
        <w:tc>
          <w:tcPr>
            <w:tcW w:w="1449" w:type="dxa"/>
          </w:tcPr>
          <w:p w14:paraId="3A37FB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выполнения</w:t>
            </w:r>
          </w:p>
        </w:tc>
      </w:tr>
      <w:tr w:rsidR="007D5DF8" w:rsidRPr="00DB5D0D" w14:paraId="2200C519" w14:textId="77777777" w:rsidTr="00E543D0">
        <w:tc>
          <w:tcPr>
            <w:tcW w:w="1701" w:type="dxa"/>
          </w:tcPr>
          <w:p w14:paraId="31BA47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Воздушный парад самолетов авиации Осоавиахима</w:t>
            </w:r>
          </w:p>
        </w:tc>
        <w:tc>
          <w:tcPr>
            <w:tcW w:w="2098" w:type="dxa"/>
          </w:tcPr>
          <w:p w14:paraId="525864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над аэродромом строем колонны эскадрилий в 15 самолетов У-2, девяток УТ-2, УТ-1 и И-16</w:t>
            </w:r>
          </w:p>
        </w:tc>
        <w:tc>
          <w:tcPr>
            <w:tcW w:w="964" w:type="dxa"/>
          </w:tcPr>
          <w:p w14:paraId="240FF4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мин.</w:t>
            </w:r>
          </w:p>
        </w:tc>
        <w:tc>
          <w:tcPr>
            <w:tcW w:w="1191" w:type="dxa"/>
          </w:tcPr>
          <w:p w14:paraId="1318E2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У-2=180</w:t>
            </w:r>
          </w:p>
          <w:p w14:paraId="3CB296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УТ-2=27</w:t>
            </w:r>
          </w:p>
          <w:p w14:paraId="2A3F14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УТ-1=18</w:t>
            </w:r>
          </w:p>
          <w:p w14:paraId="51004F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И-16=9</w:t>
            </w:r>
          </w:p>
        </w:tc>
        <w:tc>
          <w:tcPr>
            <w:tcW w:w="1304" w:type="dxa"/>
          </w:tcPr>
          <w:p w14:paraId="13E866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 по особому списку</w:t>
            </w:r>
          </w:p>
        </w:tc>
        <w:tc>
          <w:tcPr>
            <w:tcW w:w="1449" w:type="dxa"/>
          </w:tcPr>
          <w:p w14:paraId="55A4A7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авиации Москвы майор Курдубов</w:t>
            </w:r>
          </w:p>
        </w:tc>
        <w:tc>
          <w:tcPr>
            <w:tcW w:w="1304" w:type="dxa"/>
          </w:tcPr>
          <w:p w14:paraId="28B08F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Измайлово</w:t>
            </w:r>
          </w:p>
          <w:p w14:paraId="187643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Остафьево</w:t>
            </w:r>
          </w:p>
        </w:tc>
        <w:tc>
          <w:tcPr>
            <w:tcW w:w="1449" w:type="dxa"/>
          </w:tcPr>
          <w:p w14:paraId="0BF65D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м – кол. У-2</w:t>
            </w:r>
          </w:p>
          <w:p w14:paraId="056913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 м – кол. УТ-1</w:t>
            </w:r>
          </w:p>
          <w:p w14:paraId="2B0CB8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 колонной пролетают И-16 на высоте 200 м</w:t>
            </w:r>
          </w:p>
        </w:tc>
      </w:tr>
      <w:tr w:rsidR="007D5DF8" w:rsidRPr="00DB5D0D" w14:paraId="12955DED" w14:textId="77777777" w:rsidTr="00E543D0">
        <w:tc>
          <w:tcPr>
            <w:tcW w:w="1701" w:type="dxa"/>
          </w:tcPr>
          <w:p w14:paraId="129614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Показ пассажирских самолетов ГВФ</w:t>
            </w:r>
          </w:p>
        </w:tc>
        <w:tc>
          <w:tcPr>
            <w:tcW w:w="2098" w:type="dxa"/>
          </w:tcPr>
          <w:p w14:paraId="229459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над аэродромом в строю правого пеленга трех звеньев пассажирских самолетов и самолета-гиганта Л-760</w:t>
            </w:r>
          </w:p>
        </w:tc>
        <w:tc>
          <w:tcPr>
            <w:tcW w:w="964" w:type="dxa"/>
          </w:tcPr>
          <w:p w14:paraId="304528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мин.</w:t>
            </w:r>
          </w:p>
        </w:tc>
        <w:tc>
          <w:tcPr>
            <w:tcW w:w="1191" w:type="dxa"/>
          </w:tcPr>
          <w:p w14:paraId="6839E2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ПС-84=3</w:t>
            </w:r>
          </w:p>
          <w:p w14:paraId="0FB75A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ПС-35=3</w:t>
            </w:r>
          </w:p>
          <w:p w14:paraId="08208C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ПС-41=3</w:t>
            </w:r>
          </w:p>
          <w:p w14:paraId="63BBF3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Л-760=1</w:t>
            </w:r>
          </w:p>
          <w:p w14:paraId="3C7F3A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304" w:type="dxa"/>
          </w:tcPr>
          <w:p w14:paraId="7806D6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ГВФ</w:t>
            </w:r>
          </w:p>
        </w:tc>
        <w:tc>
          <w:tcPr>
            <w:tcW w:w="1449" w:type="dxa"/>
          </w:tcPr>
          <w:p w14:paraId="395717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Гвоздев</w:t>
            </w:r>
          </w:p>
        </w:tc>
        <w:tc>
          <w:tcPr>
            <w:tcW w:w="1304" w:type="dxa"/>
          </w:tcPr>
          <w:p w14:paraId="5D2E05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w:t>
            </w:r>
          </w:p>
        </w:tc>
        <w:tc>
          <w:tcPr>
            <w:tcW w:w="1449" w:type="dxa"/>
          </w:tcPr>
          <w:p w14:paraId="49A679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 м</w:t>
            </w:r>
          </w:p>
        </w:tc>
      </w:tr>
      <w:tr w:rsidR="007D5DF8" w:rsidRPr="00DB5D0D" w14:paraId="04D35D5C" w14:textId="77777777" w:rsidTr="00E543D0">
        <w:tc>
          <w:tcPr>
            <w:tcW w:w="1701" w:type="dxa"/>
          </w:tcPr>
          <w:p w14:paraId="0740FC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Пилотажная пятерка на самолетах УТ-1</w:t>
            </w:r>
          </w:p>
        </w:tc>
        <w:tc>
          <w:tcPr>
            <w:tcW w:w="2098" w:type="dxa"/>
          </w:tcPr>
          <w:p w14:paraId="631C00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Пятерка прилетает на аэродром в строю "КЛИН" на Н=800 м и в этом строю делает две петли, после чего перестраивается в кильватер и делает 2 петли с бочкой в верхней точке, затем быстрое построение в строй "ФРОНТ" с проходом над аэродромом на Н=300м</w:t>
            </w:r>
          </w:p>
        </w:tc>
        <w:tc>
          <w:tcPr>
            <w:tcW w:w="964" w:type="dxa"/>
          </w:tcPr>
          <w:p w14:paraId="4449F3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мин.</w:t>
            </w:r>
          </w:p>
        </w:tc>
        <w:tc>
          <w:tcPr>
            <w:tcW w:w="1191" w:type="dxa"/>
          </w:tcPr>
          <w:p w14:paraId="64103A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УТ-1=5</w:t>
            </w:r>
          </w:p>
        </w:tc>
        <w:tc>
          <w:tcPr>
            <w:tcW w:w="1304" w:type="dxa"/>
          </w:tcPr>
          <w:p w14:paraId="5DB0F7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ЦАК</w:t>
            </w:r>
          </w:p>
        </w:tc>
        <w:tc>
          <w:tcPr>
            <w:tcW w:w="1449" w:type="dxa"/>
          </w:tcPr>
          <w:p w14:paraId="691A8B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Полковник Апонович</w:t>
            </w:r>
          </w:p>
        </w:tc>
        <w:tc>
          <w:tcPr>
            <w:tcW w:w="1304" w:type="dxa"/>
          </w:tcPr>
          <w:p w14:paraId="3A63BD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Остафьево</w:t>
            </w:r>
          </w:p>
        </w:tc>
        <w:tc>
          <w:tcPr>
            <w:tcW w:w="1449" w:type="dxa"/>
          </w:tcPr>
          <w:p w14:paraId="1F7515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м</w:t>
            </w:r>
          </w:p>
          <w:p w14:paraId="69D3FE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из фигур не ниже 300 м</w:t>
            </w:r>
          </w:p>
        </w:tc>
      </w:tr>
      <w:tr w:rsidR="007D5DF8" w:rsidRPr="00DB5D0D" w14:paraId="6D5134C2" w14:textId="77777777" w:rsidTr="00E543D0">
        <w:tc>
          <w:tcPr>
            <w:tcW w:w="1701" w:type="dxa"/>
          </w:tcPr>
          <w:p w14:paraId="3BB13E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Женская пилотажная пятерка на самолетах УТ-1</w:t>
            </w:r>
          </w:p>
        </w:tc>
        <w:tc>
          <w:tcPr>
            <w:tcW w:w="2098" w:type="dxa"/>
          </w:tcPr>
          <w:p w14:paraId="19C246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Пятерка приходит на аэродром на Н=1200 м, перестраивается в кильватер и делает 3 петли, затем строятся в "КЛИН", набирают Н=800 м, производят пикирование до 400 м, уход с разворотом, затем перестроение в строй "ФРОНТ" и уход с аэродрома</w:t>
            </w:r>
          </w:p>
        </w:tc>
        <w:tc>
          <w:tcPr>
            <w:tcW w:w="964" w:type="dxa"/>
          </w:tcPr>
          <w:p w14:paraId="4D17F0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мин.</w:t>
            </w:r>
          </w:p>
        </w:tc>
        <w:tc>
          <w:tcPr>
            <w:tcW w:w="1191" w:type="dxa"/>
          </w:tcPr>
          <w:p w14:paraId="2A7F85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УТ-1=5</w:t>
            </w:r>
          </w:p>
        </w:tc>
        <w:tc>
          <w:tcPr>
            <w:tcW w:w="1304" w:type="dxa"/>
          </w:tcPr>
          <w:p w14:paraId="793DFD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Летчицы ЦАК</w:t>
            </w:r>
          </w:p>
        </w:tc>
        <w:tc>
          <w:tcPr>
            <w:tcW w:w="1449" w:type="dxa"/>
          </w:tcPr>
          <w:p w14:paraId="5A2FBE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Воейков</w:t>
            </w:r>
          </w:p>
        </w:tc>
        <w:tc>
          <w:tcPr>
            <w:tcW w:w="1304" w:type="dxa"/>
          </w:tcPr>
          <w:p w14:paraId="74B86D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Остафьево</w:t>
            </w:r>
          </w:p>
        </w:tc>
        <w:tc>
          <w:tcPr>
            <w:tcW w:w="1449" w:type="dxa"/>
          </w:tcPr>
          <w:p w14:paraId="623E97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м</w:t>
            </w:r>
          </w:p>
          <w:p w14:paraId="1644ED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из фигур не ниже 400 м</w:t>
            </w:r>
          </w:p>
        </w:tc>
      </w:tr>
      <w:tr w:rsidR="007D5DF8" w:rsidRPr="00DB5D0D" w14:paraId="6A6A3FE5" w14:textId="77777777" w:rsidTr="00E543D0">
        <w:tc>
          <w:tcPr>
            <w:tcW w:w="1701" w:type="dxa"/>
          </w:tcPr>
          <w:p w14:paraId="5F61EB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Пилотажная девятка на самолете УТ-1</w:t>
            </w:r>
          </w:p>
        </w:tc>
        <w:tc>
          <w:tcPr>
            <w:tcW w:w="2098" w:type="dxa"/>
          </w:tcPr>
          <w:p w14:paraId="4A9D95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Девятка приходит на аэродром в строю "Клина звеньев" на Н=800 м. Над аэродромом девятка перестраивается в кильватер по звеньям, делает одну петлю (карусель), после этого перестроение в кильватерную колонну по одному с дистанцией между самолетами 50 м и делают иммельманы (восьмерка), после чего строем девятки уходят на аэродром посадки. Минимальная высота 400 м.</w:t>
            </w:r>
          </w:p>
        </w:tc>
        <w:tc>
          <w:tcPr>
            <w:tcW w:w="964" w:type="dxa"/>
          </w:tcPr>
          <w:p w14:paraId="1A8A2D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мин.</w:t>
            </w:r>
          </w:p>
        </w:tc>
        <w:tc>
          <w:tcPr>
            <w:tcW w:w="1191" w:type="dxa"/>
          </w:tcPr>
          <w:p w14:paraId="41F9A9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УТ-1=9</w:t>
            </w:r>
          </w:p>
        </w:tc>
        <w:tc>
          <w:tcPr>
            <w:tcW w:w="1304" w:type="dxa"/>
          </w:tcPr>
          <w:p w14:paraId="21E031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ЦАК</w:t>
            </w:r>
          </w:p>
        </w:tc>
        <w:tc>
          <w:tcPr>
            <w:tcW w:w="1449" w:type="dxa"/>
          </w:tcPr>
          <w:p w14:paraId="30C7CB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Майор Курдубов и Костин</w:t>
            </w:r>
          </w:p>
        </w:tc>
        <w:tc>
          <w:tcPr>
            <w:tcW w:w="1304" w:type="dxa"/>
          </w:tcPr>
          <w:p w14:paraId="7BC82B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Остафьево</w:t>
            </w:r>
          </w:p>
        </w:tc>
        <w:tc>
          <w:tcPr>
            <w:tcW w:w="1449" w:type="dxa"/>
          </w:tcPr>
          <w:p w14:paraId="493D3D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м</w:t>
            </w:r>
          </w:p>
          <w:p w14:paraId="4D5C56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из фигур не ниже 400 м</w:t>
            </w:r>
          </w:p>
        </w:tc>
      </w:tr>
      <w:tr w:rsidR="007D5DF8" w:rsidRPr="00DB5D0D" w14:paraId="1F409E59" w14:textId="77777777" w:rsidTr="00E543D0">
        <w:tc>
          <w:tcPr>
            <w:tcW w:w="1701" w:type="dxa"/>
          </w:tcPr>
          <w:p w14:paraId="092215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Индивидуальный пилотаж девушки-пилота</w:t>
            </w:r>
          </w:p>
        </w:tc>
        <w:tc>
          <w:tcPr>
            <w:tcW w:w="2098" w:type="dxa"/>
          </w:tcPr>
          <w:p w14:paraId="7BA64D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1200 м делает следующее:</w:t>
            </w:r>
          </w:p>
          <w:p w14:paraId="35F3AA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петли нормальных</w:t>
            </w:r>
          </w:p>
          <w:p w14:paraId="5FCDB6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петля с бочкой</w:t>
            </w:r>
          </w:p>
          <w:p w14:paraId="71DFAA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иммельмана (восьмерка).</w:t>
            </w:r>
          </w:p>
          <w:p w14:paraId="2CA5E4C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45C7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переворот</w:t>
            </w:r>
          </w:p>
          <w:p w14:paraId="56F269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боевой разворот</w:t>
            </w:r>
          </w:p>
          <w:p w14:paraId="2CC493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бочки одинарные и двойные – 4</w:t>
            </w:r>
          </w:p>
          <w:p w14:paraId="0C6077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спине</w:t>
            </w:r>
          </w:p>
          <w:p w14:paraId="6BD29F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штопор 2 витка</w:t>
            </w:r>
          </w:p>
          <w:p w14:paraId="0A2C01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Минимальная Н=400 м</w:t>
            </w:r>
          </w:p>
        </w:tc>
        <w:tc>
          <w:tcPr>
            <w:tcW w:w="964" w:type="dxa"/>
          </w:tcPr>
          <w:p w14:paraId="55452E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мин.</w:t>
            </w:r>
          </w:p>
        </w:tc>
        <w:tc>
          <w:tcPr>
            <w:tcW w:w="1191" w:type="dxa"/>
          </w:tcPr>
          <w:p w14:paraId="5A04BE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УТ-1=1</w:t>
            </w:r>
          </w:p>
        </w:tc>
        <w:tc>
          <w:tcPr>
            <w:tcW w:w="1304" w:type="dxa"/>
          </w:tcPr>
          <w:p w14:paraId="02FED9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Клепикова</w:t>
            </w:r>
          </w:p>
        </w:tc>
        <w:tc>
          <w:tcPr>
            <w:tcW w:w="1449" w:type="dxa"/>
          </w:tcPr>
          <w:p w14:paraId="05DE37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Воейков</w:t>
            </w:r>
          </w:p>
        </w:tc>
        <w:tc>
          <w:tcPr>
            <w:tcW w:w="1304" w:type="dxa"/>
          </w:tcPr>
          <w:p w14:paraId="38F159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Остафьево</w:t>
            </w:r>
          </w:p>
        </w:tc>
        <w:tc>
          <w:tcPr>
            <w:tcW w:w="1449" w:type="dxa"/>
          </w:tcPr>
          <w:p w14:paraId="1E07BF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м</w:t>
            </w:r>
          </w:p>
          <w:p w14:paraId="2A4E77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из фигур не ниже 300 м</w:t>
            </w:r>
          </w:p>
        </w:tc>
      </w:tr>
      <w:tr w:rsidR="007D5DF8" w:rsidRPr="00DB5D0D" w14:paraId="61810F29" w14:textId="77777777" w:rsidTr="00E543D0">
        <w:tc>
          <w:tcPr>
            <w:tcW w:w="1701" w:type="dxa"/>
          </w:tcPr>
          <w:p w14:paraId="0D0791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спине пятерки самолетов УТ-1</w:t>
            </w:r>
          </w:p>
        </w:tc>
        <w:tc>
          <w:tcPr>
            <w:tcW w:w="2098" w:type="dxa"/>
          </w:tcPr>
          <w:p w14:paraId="76698F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Пять самолетов УТ-1 приходят на аэродром в строю "КЛИН" и на </w:t>
            </w:r>
            <w:r w:rsidRPr="00DB5D0D">
              <w:rPr>
                <w:rFonts w:ascii="Times New Roman" w:hAnsi="Times New Roman"/>
                <w:color w:val="000000" w:themeColor="text1"/>
                <w:sz w:val="16"/>
                <w:szCs w:val="16"/>
              </w:rPr>
              <w:lastRenderedPageBreak/>
              <w:t>границе аэродрома ложатся на спину. В перевернутом строю проходят через аэродром, после чего перестраиваются в строй кильватера и делают над аэродромом круг, выполняя последовательные замедленные бочки. В том же строю уходят с аэродрома.</w:t>
            </w:r>
          </w:p>
        </w:tc>
        <w:tc>
          <w:tcPr>
            <w:tcW w:w="964" w:type="dxa"/>
          </w:tcPr>
          <w:p w14:paraId="4AB4B6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4 мин.</w:t>
            </w:r>
          </w:p>
        </w:tc>
        <w:tc>
          <w:tcPr>
            <w:tcW w:w="1191" w:type="dxa"/>
          </w:tcPr>
          <w:p w14:paraId="11BA6E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УТ-1=5</w:t>
            </w:r>
          </w:p>
        </w:tc>
        <w:tc>
          <w:tcPr>
            <w:tcW w:w="1304" w:type="dxa"/>
          </w:tcPr>
          <w:p w14:paraId="381E4B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ЦАК</w:t>
            </w:r>
          </w:p>
        </w:tc>
        <w:tc>
          <w:tcPr>
            <w:tcW w:w="1449" w:type="dxa"/>
          </w:tcPr>
          <w:p w14:paraId="7D345A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Воейков</w:t>
            </w:r>
          </w:p>
        </w:tc>
        <w:tc>
          <w:tcPr>
            <w:tcW w:w="1304" w:type="dxa"/>
          </w:tcPr>
          <w:p w14:paraId="5C7EA9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Остафьево</w:t>
            </w:r>
          </w:p>
        </w:tc>
        <w:tc>
          <w:tcPr>
            <w:tcW w:w="1449" w:type="dxa"/>
          </w:tcPr>
          <w:p w14:paraId="022ADE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м</w:t>
            </w:r>
          </w:p>
          <w:p w14:paraId="41AE94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из фигур не ниже 300 м</w:t>
            </w:r>
          </w:p>
        </w:tc>
      </w:tr>
      <w:tr w:rsidR="007D5DF8" w:rsidRPr="00DB5D0D" w14:paraId="050B0068" w14:textId="77777777" w:rsidTr="00E543D0">
        <w:tc>
          <w:tcPr>
            <w:tcW w:w="1701" w:type="dxa"/>
          </w:tcPr>
          <w:p w14:paraId="2F2F88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Имитация падения двухместного планера, потерявшего управление</w:t>
            </w:r>
          </w:p>
        </w:tc>
        <w:tc>
          <w:tcPr>
            <w:tcW w:w="2098" w:type="dxa"/>
          </w:tcPr>
          <w:p w14:paraId="4D94E3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1200 м отцепляется планер над центром аэродрома. Планер после отцепки делает 2 переворота, затем 3 петли, делает горку и сваливается на крыло, затем падает листом до Н=800 м.</w:t>
            </w:r>
          </w:p>
          <w:p w14:paraId="63EE64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этой высоте парашютист покидает планер и с затяжкой до 650 м раскрывает парашют. После этого планерист переходит в штопор 5 витков, выводит, затем делает горку с зависанием, опять срывается в штопор и на высоте 400 м выводит из штопора и производит заход на посадку.</w:t>
            </w:r>
          </w:p>
        </w:tc>
        <w:tc>
          <w:tcPr>
            <w:tcW w:w="964" w:type="dxa"/>
          </w:tcPr>
          <w:p w14:paraId="4B8891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мин.</w:t>
            </w:r>
          </w:p>
        </w:tc>
        <w:tc>
          <w:tcPr>
            <w:tcW w:w="1191" w:type="dxa"/>
          </w:tcPr>
          <w:p w14:paraId="51528D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Ш-10=1</w:t>
            </w:r>
          </w:p>
          <w:p w14:paraId="6705C3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Р-5=1</w:t>
            </w:r>
          </w:p>
        </w:tc>
        <w:tc>
          <w:tcPr>
            <w:tcW w:w="1304" w:type="dxa"/>
          </w:tcPr>
          <w:p w14:paraId="632E12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Планерист Алиновский</w:t>
            </w:r>
          </w:p>
          <w:p w14:paraId="798ADE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Парашютист Тарутин</w:t>
            </w:r>
          </w:p>
        </w:tc>
        <w:tc>
          <w:tcPr>
            <w:tcW w:w="1449" w:type="dxa"/>
          </w:tcPr>
          <w:p w14:paraId="5F84CE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Анохин</w:t>
            </w:r>
          </w:p>
        </w:tc>
        <w:tc>
          <w:tcPr>
            <w:tcW w:w="1304" w:type="dxa"/>
          </w:tcPr>
          <w:p w14:paraId="04E74E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Остафьево</w:t>
            </w:r>
          </w:p>
        </w:tc>
        <w:tc>
          <w:tcPr>
            <w:tcW w:w="1449" w:type="dxa"/>
          </w:tcPr>
          <w:p w14:paraId="38AAF6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 м</w:t>
            </w:r>
          </w:p>
          <w:p w14:paraId="11C671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из фигур не ниже 200 м</w:t>
            </w:r>
          </w:p>
        </w:tc>
      </w:tr>
      <w:tr w:rsidR="007D5DF8" w:rsidRPr="00DB5D0D" w14:paraId="12AB42F4" w14:textId="77777777" w:rsidTr="00E543D0">
        <w:tc>
          <w:tcPr>
            <w:tcW w:w="1701" w:type="dxa"/>
          </w:tcPr>
          <w:p w14:paraId="121B56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Планерный поезд из 20 планеров Г-9</w:t>
            </w:r>
          </w:p>
        </w:tc>
        <w:tc>
          <w:tcPr>
            <w:tcW w:w="2098" w:type="dxa"/>
          </w:tcPr>
          <w:p w14:paraId="3DD023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Отцепка от самолетов над аэродромом. Планеры выстраиваются в кильватер, выполняют замкнутую спираль снижаясь до 300 м, после чего идут на посадку.</w:t>
            </w:r>
          </w:p>
        </w:tc>
        <w:tc>
          <w:tcPr>
            <w:tcW w:w="964" w:type="dxa"/>
          </w:tcPr>
          <w:p w14:paraId="74FD98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мин.</w:t>
            </w:r>
          </w:p>
        </w:tc>
        <w:tc>
          <w:tcPr>
            <w:tcW w:w="1191" w:type="dxa"/>
          </w:tcPr>
          <w:p w14:paraId="3FCE5D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Г-9=30</w:t>
            </w:r>
          </w:p>
          <w:p w14:paraId="6AE8BC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ТБ-1=1</w:t>
            </w:r>
          </w:p>
          <w:p w14:paraId="7D953E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Р-5=6</w:t>
            </w:r>
          </w:p>
        </w:tc>
        <w:tc>
          <w:tcPr>
            <w:tcW w:w="1304" w:type="dxa"/>
          </w:tcPr>
          <w:p w14:paraId="6190EB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Планеристы ЦАК</w:t>
            </w:r>
          </w:p>
        </w:tc>
        <w:tc>
          <w:tcPr>
            <w:tcW w:w="1449" w:type="dxa"/>
          </w:tcPr>
          <w:p w14:paraId="0F9530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Карташов</w:t>
            </w:r>
          </w:p>
        </w:tc>
        <w:tc>
          <w:tcPr>
            <w:tcW w:w="1304" w:type="dxa"/>
          </w:tcPr>
          <w:p w14:paraId="696337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Остафьево</w:t>
            </w:r>
          </w:p>
        </w:tc>
        <w:tc>
          <w:tcPr>
            <w:tcW w:w="1449" w:type="dxa"/>
          </w:tcPr>
          <w:p w14:paraId="1E41E7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 – 1200 м</w:t>
            </w:r>
          </w:p>
          <w:p w14:paraId="61692C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 – 1000 м</w:t>
            </w:r>
          </w:p>
          <w:p w14:paraId="1AED74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 – 800 м</w:t>
            </w:r>
          </w:p>
          <w:p w14:paraId="22AAEF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из фигур не ниже 300 м</w:t>
            </w:r>
          </w:p>
        </w:tc>
      </w:tr>
      <w:tr w:rsidR="007D5DF8" w:rsidRPr="00DB5D0D" w14:paraId="14819B56" w14:textId="77777777" w:rsidTr="00E543D0">
        <w:tc>
          <w:tcPr>
            <w:tcW w:w="1701" w:type="dxa"/>
          </w:tcPr>
          <w:p w14:paraId="4F3446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Планерный поезд из 3 планеров РОТ-ФРОНТ-7</w:t>
            </w:r>
          </w:p>
        </w:tc>
        <w:tc>
          <w:tcPr>
            <w:tcW w:w="2098" w:type="dxa"/>
          </w:tcPr>
          <w:p w14:paraId="237928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Групповой пилотаж планеров. Выполняют фигуры: штопорные бочки, иммельманы, петли, полет на спине, бант и реверсман.</w:t>
            </w:r>
          </w:p>
        </w:tc>
        <w:tc>
          <w:tcPr>
            <w:tcW w:w="964" w:type="dxa"/>
          </w:tcPr>
          <w:p w14:paraId="7A128E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мин.</w:t>
            </w:r>
          </w:p>
        </w:tc>
        <w:tc>
          <w:tcPr>
            <w:tcW w:w="1191" w:type="dxa"/>
          </w:tcPr>
          <w:p w14:paraId="34F208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РФ-7=3</w:t>
            </w:r>
          </w:p>
          <w:p w14:paraId="4434CA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Р-5=1</w:t>
            </w:r>
          </w:p>
        </w:tc>
        <w:tc>
          <w:tcPr>
            <w:tcW w:w="1304" w:type="dxa"/>
          </w:tcPr>
          <w:p w14:paraId="3848DB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Романов</w:t>
            </w:r>
          </w:p>
          <w:p w14:paraId="5E17B3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Мартынов</w:t>
            </w:r>
          </w:p>
          <w:p w14:paraId="4E5D78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Анохин</w:t>
            </w:r>
          </w:p>
        </w:tc>
        <w:tc>
          <w:tcPr>
            <w:tcW w:w="1449" w:type="dxa"/>
          </w:tcPr>
          <w:p w14:paraId="72EBD4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Романов</w:t>
            </w:r>
          </w:p>
        </w:tc>
        <w:tc>
          <w:tcPr>
            <w:tcW w:w="1304" w:type="dxa"/>
          </w:tcPr>
          <w:p w14:paraId="5C48CC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Остафьево</w:t>
            </w:r>
          </w:p>
        </w:tc>
        <w:tc>
          <w:tcPr>
            <w:tcW w:w="1449" w:type="dxa"/>
          </w:tcPr>
          <w:p w14:paraId="6FC8E4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м</w:t>
            </w:r>
          </w:p>
          <w:p w14:paraId="0904B4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из фигур не ниже 300 м</w:t>
            </w:r>
          </w:p>
        </w:tc>
      </w:tr>
    </w:tbl>
    <w:p w14:paraId="4B30FC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время на выполнения программы отделения 46 минут.</w:t>
      </w:r>
    </w:p>
    <w:p w14:paraId="31508E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участвующих самолетов – 280, из них:</w:t>
      </w:r>
    </w:p>
    <w:p w14:paraId="7A7117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У-2=180, УТ-1=45, УТ-2=27, И-16=9, ТБ-1=1, Р-5=8, ПС-84=3, ПС-41=3, ПС-35=3, Л-760=1</w:t>
      </w:r>
    </w:p>
    <w:p w14:paraId="5F9465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участвующих планеров = 84 (7519, 5-7).</w:t>
      </w:r>
    </w:p>
    <w:p w14:paraId="5B0BCA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2-е отделение: "Военная авиация"</w:t>
      </w:r>
    </w:p>
    <w:p w14:paraId="6E6FD0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Руководитель отделения – командующий ВВС МВО генерал-майор авиации Еременко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01"/>
        <w:gridCol w:w="2098"/>
        <w:gridCol w:w="964"/>
        <w:gridCol w:w="1191"/>
        <w:gridCol w:w="1304"/>
        <w:gridCol w:w="1449"/>
        <w:gridCol w:w="1304"/>
        <w:gridCol w:w="1449"/>
      </w:tblGrid>
      <w:tr w:rsidR="007D5DF8" w:rsidRPr="00DB5D0D" w14:paraId="0C68AB19" w14:textId="77777777" w:rsidTr="00E543D0">
        <w:tc>
          <w:tcPr>
            <w:tcW w:w="1701" w:type="dxa"/>
          </w:tcPr>
          <w:p w14:paraId="52ACCF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номера</w:t>
            </w:r>
          </w:p>
        </w:tc>
        <w:tc>
          <w:tcPr>
            <w:tcW w:w="2098" w:type="dxa"/>
          </w:tcPr>
          <w:p w14:paraId="4AB0C9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w:t>
            </w:r>
          </w:p>
        </w:tc>
        <w:tc>
          <w:tcPr>
            <w:tcW w:w="964" w:type="dxa"/>
          </w:tcPr>
          <w:p w14:paraId="7B2E31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Время на выполнен. номера </w:t>
            </w:r>
          </w:p>
        </w:tc>
        <w:tc>
          <w:tcPr>
            <w:tcW w:w="1191" w:type="dxa"/>
          </w:tcPr>
          <w:p w14:paraId="361F70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и количество самолетов</w:t>
            </w:r>
          </w:p>
        </w:tc>
        <w:tc>
          <w:tcPr>
            <w:tcW w:w="1304" w:type="dxa"/>
          </w:tcPr>
          <w:p w14:paraId="6F2694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Кто выполняет</w:t>
            </w:r>
          </w:p>
        </w:tc>
        <w:tc>
          <w:tcPr>
            <w:tcW w:w="1449" w:type="dxa"/>
          </w:tcPr>
          <w:p w14:paraId="361F92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Ответственный руководитель</w:t>
            </w:r>
          </w:p>
        </w:tc>
        <w:tc>
          <w:tcPr>
            <w:tcW w:w="1304" w:type="dxa"/>
          </w:tcPr>
          <w:p w14:paraId="743A14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 базирования</w:t>
            </w:r>
          </w:p>
        </w:tc>
        <w:tc>
          <w:tcPr>
            <w:tcW w:w="1449" w:type="dxa"/>
          </w:tcPr>
          <w:p w14:paraId="732924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выполнения</w:t>
            </w:r>
          </w:p>
        </w:tc>
      </w:tr>
      <w:tr w:rsidR="007D5DF8" w:rsidRPr="00DB5D0D" w14:paraId="1EA83EEE" w14:textId="77777777" w:rsidTr="00E543D0">
        <w:tc>
          <w:tcPr>
            <w:tcW w:w="1701" w:type="dxa"/>
          </w:tcPr>
          <w:p w14:paraId="267884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Показ новых самолетов</w:t>
            </w:r>
          </w:p>
        </w:tc>
        <w:tc>
          <w:tcPr>
            <w:tcW w:w="2098" w:type="dxa"/>
          </w:tcPr>
          <w:p w14:paraId="788682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над аэродромом на максимальных скоростях.</w:t>
            </w:r>
          </w:p>
        </w:tc>
        <w:tc>
          <w:tcPr>
            <w:tcW w:w="964" w:type="dxa"/>
          </w:tcPr>
          <w:p w14:paraId="5B5743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мин.</w:t>
            </w:r>
          </w:p>
        </w:tc>
        <w:tc>
          <w:tcPr>
            <w:tcW w:w="1191" w:type="dxa"/>
          </w:tcPr>
          <w:p w14:paraId="3DD6E8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самолетов</w:t>
            </w:r>
          </w:p>
        </w:tc>
        <w:tc>
          <w:tcPr>
            <w:tcW w:w="1304" w:type="dxa"/>
          </w:tcPr>
          <w:p w14:paraId="78A5D9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НИИ ВВС и НКАП</w:t>
            </w:r>
          </w:p>
        </w:tc>
        <w:tc>
          <w:tcPr>
            <w:tcW w:w="1449" w:type="dxa"/>
          </w:tcPr>
          <w:p w14:paraId="0DA330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НИИ ВВС генерал-майор авиации Филин</w:t>
            </w:r>
          </w:p>
        </w:tc>
        <w:tc>
          <w:tcPr>
            <w:tcW w:w="1304" w:type="dxa"/>
          </w:tcPr>
          <w:p w14:paraId="4883A4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Чкаловская и ЦА</w:t>
            </w:r>
          </w:p>
        </w:tc>
        <w:tc>
          <w:tcPr>
            <w:tcW w:w="1449" w:type="dxa"/>
          </w:tcPr>
          <w:p w14:paraId="7D5AC7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 м</w:t>
            </w:r>
          </w:p>
        </w:tc>
      </w:tr>
      <w:tr w:rsidR="007D5DF8" w:rsidRPr="00DB5D0D" w14:paraId="5E63486C" w14:textId="77777777" w:rsidTr="00E543D0">
        <w:tc>
          <w:tcPr>
            <w:tcW w:w="1701" w:type="dxa"/>
          </w:tcPr>
          <w:p w14:paraId="3782FE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Индивидуальный высший пилотаж на истребителях "Чайка" и скоростном</w:t>
            </w:r>
          </w:p>
        </w:tc>
        <w:tc>
          <w:tcPr>
            <w:tcW w:w="2098" w:type="dxa"/>
          </w:tcPr>
          <w:p w14:paraId="375D52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всех фигур высшего пилотажа в зонах над аэродромом.</w:t>
            </w:r>
          </w:p>
        </w:tc>
        <w:tc>
          <w:tcPr>
            <w:tcW w:w="964" w:type="dxa"/>
          </w:tcPr>
          <w:p w14:paraId="12367A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мин.</w:t>
            </w:r>
          </w:p>
        </w:tc>
        <w:tc>
          <w:tcPr>
            <w:tcW w:w="1191" w:type="dxa"/>
          </w:tcPr>
          <w:p w14:paraId="4EF4D6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И-16=1</w:t>
            </w:r>
          </w:p>
          <w:p w14:paraId="21CC68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И-153=1</w:t>
            </w:r>
          </w:p>
        </w:tc>
        <w:tc>
          <w:tcPr>
            <w:tcW w:w="1304" w:type="dxa"/>
          </w:tcPr>
          <w:p w14:paraId="39DCB3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ВВС МВО</w:t>
            </w:r>
          </w:p>
        </w:tc>
        <w:tc>
          <w:tcPr>
            <w:tcW w:w="1449" w:type="dxa"/>
          </w:tcPr>
          <w:p w14:paraId="62DD00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57 АБ</w:t>
            </w:r>
          </w:p>
        </w:tc>
        <w:tc>
          <w:tcPr>
            <w:tcW w:w="1304" w:type="dxa"/>
          </w:tcPr>
          <w:p w14:paraId="53725B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Люберцы</w:t>
            </w:r>
          </w:p>
        </w:tc>
        <w:tc>
          <w:tcPr>
            <w:tcW w:w="1449" w:type="dxa"/>
          </w:tcPr>
          <w:p w14:paraId="6520CB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 м</w:t>
            </w:r>
          </w:p>
          <w:p w14:paraId="362FAF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из фигур не ниже 200 м</w:t>
            </w:r>
          </w:p>
        </w:tc>
      </w:tr>
      <w:tr w:rsidR="007D5DF8" w:rsidRPr="00DB5D0D" w14:paraId="1CC6500D" w14:textId="77777777" w:rsidTr="00E543D0">
        <w:tc>
          <w:tcPr>
            <w:tcW w:w="1701" w:type="dxa"/>
          </w:tcPr>
          <w:p w14:paraId="21DE42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Показ воздушного боя бомбардировщика с истребителями</w:t>
            </w:r>
          </w:p>
        </w:tc>
        <w:tc>
          <w:tcPr>
            <w:tcW w:w="2098" w:type="dxa"/>
          </w:tcPr>
          <w:p w14:paraId="6699FA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Свободный воздушный бой над аэродромом. В ходе боя имитируется сбитие истребителя и бомбардировщика.</w:t>
            </w:r>
          </w:p>
        </w:tc>
        <w:tc>
          <w:tcPr>
            <w:tcW w:w="964" w:type="dxa"/>
          </w:tcPr>
          <w:p w14:paraId="3C2100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мин.</w:t>
            </w:r>
          </w:p>
        </w:tc>
        <w:tc>
          <w:tcPr>
            <w:tcW w:w="1191" w:type="dxa"/>
          </w:tcPr>
          <w:p w14:paraId="592F26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СБ=1</w:t>
            </w:r>
          </w:p>
          <w:p w14:paraId="00F7FC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И-16=3</w:t>
            </w:r>
          </w:p>
        </w:tc>
        <w:tc>
          <w:tcPr>
            <w:tcW w:w="1304" w:type="dxa"/>
          </w:tcPr>
          <w:p w14:paraId="44B0AB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ВВС МВО</w:t>
            </w:r>
          </w:p>
        </w:tc>
        <w:tc>
          <w:tcPr>
            <w:tcW w:w="1449" w:type="dxa"/>
          </w:tcPr>
          <w:p w14:paraId="48AAA6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57 АБ</w:t>
            </w:r>
          </w:p>
        </w:tc>
        <w:tc>
          <w:tcPr>
            <w:tcW w:w="1304" w:type="dxa"/>
          </w:tcPr>
          <w:p w14:paraId="55B571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Люберцы</w:t>
            </w:r>
          </w:p>
        </w:tc>
        <w:tc>
          <w:tcPr>
            <w:tcW w:w="1449" w:type="dxa"/>
          </w:tcPr>
          <w:p w14:paraId="2CE239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м</w:t>
            </w:r>
          </w:p>
          <w:p w14:paraId="7DCC2C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из фигур не ниже 300 м</w:t>
            </w:r>
          </w:p>
        </w:tc>
      </w:tr>
      <w:tr w:rsidR="007D5DF8" w:rsidRPr="00DB5D0D" w14:paraId="1ED25E6F" w14:textId="77777777" w:rsidTr="00E543D0">
        <w:tc>
          <w:tcPr>
            <w:tcW w:w="1701" w:type="dxa"/>
          </w:tcPr>
          <w:p w14:paraId="7EF9B6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Групповой пилотаж пятерки скоростных истребителей</w:t>
            </w:r>
          </w:p>
        </w:tc>
        <w:tc>
          <w:tcPr>
            <w:tcW w:w="2098" w:type="dxa"/>
          </w:tcPr>
          <w:p w14:paraId="4CE0D3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особой программе.</w:t>
            </w:r>
          </w:p>
        </w:tc>
        <w:tc>
          <w:tcPr>
            <w:tcW w:w="964" w:type="dxa"/>
          </w:tcPr>
          <w:p w14:paraId="681BBD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мин.</w:t>
            </w:r>
          </w:p>
        </w:tc>
        <w:tc>
          <w:tcPr>
            <w:tcW w:w="1191" w:type="dxa"/>
          </w:tcPr>
          <w:p w14:paraId="0B3883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И-16=5</w:t>
            </w:r>
          </w:p>
        </w:tc>
        <w:tc>
          <w:tcPr>
            <w:tcW w:w="1304" w:type="dxa"/>
          </w:tcPr>
          <w:p w14:paraId="12259F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УБП ГУ ВВС</w:t>
            </w:r>
          </w:p>
        </w:tc>
        <w:tc>
          <w:tcPr>
            <w:tcW w:w="1449" w:type="dxa"/>
          </w:tcPr>
          <w:p w14:paraId="4866A7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нач. УБП генерал-майор авиации Лакеев</w:t>
            </w:r>
          </w:p>
        </w:tc>
        <w:tc>
          <w:tcPr>
            <w:tcW w:w="1304" w:type="dxa"/>
          </w:tcPr>
          <w:p w14:paraId="253AC4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w:t>
            </w:r>
          </w:p>
        </w:tc>
        <w:tc>
          <w:tcPr>
            <w:tcW w:w="1449" w:type="dxa"/>
          </w:tcPr>
          <w:p w14:paraId="5A83EA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м</w:t>
            </w:r>
          </w:p>
          <w:p w14:paraId="11B9C5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из фигур не ниже 200 м</w:t>
            </w:r>
          </w:p>
        </w:tc>
      </w:tr>
      <w:tr w:rsidR="007D5DF8" w:rsidRPr="00DB5D0D" w14:paraId="3AE3CFC6" w14:textId="77777777" w:rsidTr="00E543D0">
        <w:tc>
          <w:tcPr>
            <w:tcW w:w="1701" w:type="dxa"/>
          </w:tcPr>
          <w:p w14:paraId="077D84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Нападение бомбардировщиков и истребителей на промышленные объекты, обороняемые средствами ПВО</w:t>
            </w:r>
          </w:p>
        </w:tc>
        <w:tc>
          <w:tcPr>
            <w:tcW w:w="2098" w:type="dxa"/>
          </w:tcPr>
          <w:p w14:paraId="755C29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Эшелонированные удары бомбардировщиков по ж/д узлу с предварительным подавлением средств ПВО.</w:t>
            </w:r>
          </w:p>
        </w:tc>
        <w:tc>
          <w:tcPr>
            <w:tcW w:w="964" w:type="dxa"/>
          </w:tcPr>
          <w:p w14:paraId="6BB5BC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мин.</w:t>
            </w:r>
          </w:p>
        </w:tc>
        <w:tc>
          <w:tcPr>
            <w:tcW w:w="1191" w:type="dxa"/>
          </w:tcPr>
          <w:p w14:paraId="361567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СБ=30</w:t>
            </w:r>
          </w:p>
          <w:p w14:paraId="6E1DB0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И-16=27</w:t>
            </w:r>
          </w:p>
          <w:p w14:paraId="0400C4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И-15=5</w:t>
            </w:r>
          </w:p>
        </w:tc>
        <w:tc>
          <w:tcPr>
            <w:tcW w:w="1304" w:type="dxa"/>
          </w:tcPr>
          <w:p w14:paraId="2C787B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Летный состав ВВС МВО и ВВА</w:t>
            </w:r>
          </w:p>
        </w:tc>
        <w:tc>
          <w:tcPr>
            <w:tcW w:w="1449" w:type="dxa"/>
          </w:tcPr>
          <w:p w14:paraId="2535CE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57 АБ</w:t>
            </w:r>
          </w:p>
        </w:tc>
        <w:tc>
          <w:tcPr>
            <w:tcW w:w="1304" w:type="dxa"/>
          </w:tcPr>
          <w:p w14:paraId="1C426A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Люберцы</w:t>
            </w:r>
          </w:p>
        </w:tc>
        <w:tc>
          <w:tcPr>
            <w:tcW w:w="1449" w:type="dxa"/>
          </w:tcPr>
          <w:p w14:paraId="3AF75B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1000-1200 м</w:t>
            </w:r>
          </w:p>
          <w:p w14:paraId="3E8CCE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 истребителей после атак не ниже 200 м</w:t>
            </w:r>
          </w:p>
        </w:tc>
      </w:tr>
    </w:tbl>
    <w:p w14:paraId="50A6B1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время на выполнения программы отделения = 33 минуты</w:t>
      </w:r>
    </w:p>
    <w:p w14:paraId="25FCFB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участвующих самолетов = 92, из них:</w:t>
      </w:r>
    </w:p>
    <w:p w14:paraId="75452E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И-15=6, И-16=37, И-153=1, СБ=31</w:t>
      </w:r>
    </w:p>
    <w:p w14:paraId="7A224C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Новых типов самолетов – 17 (7519, 8).</w:t>
      </w:r>
    </w:p>
    <w:p w14:paraId="10D955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3-е отделение: "Советский парашютизм"</w:t>
      </w:r>
    </w:p>
    <w:p w14:paraId="7CC4DD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Руководитель отделения – начальник авиации Осоавиахима майор Кузьмин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01"/>
        <w:gridCol w:w="2098"/>
        <w:gridCol w:w="964"/>
        <w:gridCol w:w="1191"/>
        <w:gridCol w:w="1304"/>
        <w:gridCol w:w="1449"/>
        <w:gridCol w:w="1304"/>
        <w:gridCol w:w="1449"/>
      </w:tblGrid>
      <w:tr w:rsidR="007D5DF8" w:rsidRPr="00DB5D0D" w14:paraId="5A4A5B8F" w14:textId="77777777" w:rsidTr="00E543D0">
        <w:tc>
          <w:tcPr>
            <w:tcW w:w="1701" w:type="dxa"/>
          </w:tcPr>
          <w:p w14:paraId="278548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Наименование номера</w:t>
            </w:r>
          </w:p>
        </w:tc>
        <w:tc>
          <w:tcPr>
            <w:tcW w:w="2098" w:type="dxa"/>
          </w:tcPr>
          <w:p w14:paraId="3F3FAC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w:t>
            </w:r>
          </w:p>
        </w:tc>
        <w:tc>
          <w:tcPr>
            <w:tcW w:w="964" w:type="dxa"/>
          </w:tcPr>
          <w:p w14:paraId="08BF8E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Время на выполнен. номера </w:t>
            </w:r>
          </w:p>
        </w:tc>
        <w:tc>
          <w:tcPr>
            <w:tcW w:w="1191" w:type="dxa"/>
          </w:tcPr>
          <w:p w14:paraId="37B7A1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и количество самолетов</w:t>
            </w:r>
          </w:p>
        </w:tc>
        <w:tc>
          <w:tcPr>
            <w:tcW w:w="1304" w:type="dxa"/>
          </w:tcPr>
          <w:p w14:paraId="1AADC7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Кто выполняет</w:t>
            </w:r>
          </w:p>
        </w:tc>
        <w:tc>
          <w:tcPr>
            <w:tcW w:w="1449" w:type="dxa"/>
          </w:tcPr>
          <w:p w14:paraId="17D243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Ответственный руководитель</w:t>
            </w:r>
          </w:p>
        </w:tc>
        <w:tc>
          <w:tcPr>
            <w:tcW w:w="1304" w:type="dxa"/>
          </w:tcPr>
          <w:p w14:paraId="787D88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 базирования</w:t>
            </w:r>
          </w:p>
        </w:tc>
        <w:tc>
          <w:tcPr>
            <w:tcW w:w="1449" w:type="dxa"/>
          </w:tcPr>
          <w:p w14:paraId="02DFAF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выполнения</w:t>
            </w:r>
          </w:p>
        </w:tc>
      </w:tr>
      <w:tr w:rsidR="007D5DF8" w:rsidRPr="00DB5D0D" w14:paraId="4981C404" w14:textId="77777777" w:rsidTr="00E543D0">
        <w:tc>
          <w:tcPr>
            <w:tcW w:w="1701" w:type="dxa"/>
          </w:tcPr>
          <w:p w14:paraId="71A769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Одиночный прыжок с самолета на вираже</w:t>
            </w:r>
          </w:p>
        </w:tc>
        <w:tc>
          <w:tcPr>
            <w:tcW w:w="2098" w:type="dxa"/>
          </w:tcPr>
          <w:p w14:paraId="3E90AB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Прыжок с виража на высоте 500 м</w:t>
            </w:r>
          </w:p>
        </w:tc>
        <w:tc>
          <w:tcPr>
            <w:tcW w:w="964" w:type="dxa"/>
          </w:tcPr>
          <w:p w14:paraId="4F09F2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мин.</w:t>
            </w:r>
          </w:p>
        </w:tc>
        <w:tc>
          <w:tcPr>
            <w:tcW w:w="1191" w:type="dxa"/>
          </w:tcPr>
          <w:p w14:paraId="4B9FBD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Р-5=1</w:t>
            </w:r>
          </w:p>
        </w:tc>
        <w:tc>
          <w:tcPr>
            <w:tcW w:w="1304" w:type="dxa"/>
          </w:tcPr>
          <w:p w14:paraId="4A234A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Летчики-парашютисты ВВС</w:t>
            </w:r>
          </w:p>
        </w:tc>
        <w:tc>
          <w:tcPr>
            <w:tcW w:w="1449" w:type="dxa"/>
          </w:tcPr>
          <w:p w14:paraId="46DAAC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Майор Поваляев</w:t>
            </w:r>
          </w:p>
        </w:tc>
        <w:tc>
          <w:tcPr>
            <w:tcW w:w="1304" w:type="dxa"/>
          </w:tcPr>
          <w:p w14:paraId="4E0674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w:t>
            </w:r>
          </w:p>
        </w:tc>
        <w:tc>
          <w:tcPr>
            <w:tcW w:w="1449" w:type="dxa"/>
          </w:tcPr>
          <w:p w14:paraId="689F7C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500м</w:t>
            </w:r>
          </w:p>
        </w:tc>
      </w:tr>
      <w:tr w:rsidR="007D5DF8" w:rsidRPr="00DB5D0D" w14:paraId="69F9E834" w14:textId="77777777" w:rsidTr="00E543D0">
        <w:tc>
          <w:tcPr>
            <w:tcW w:w="1701" w:type="dxa"/>
          </w:tcPr>
          <w:p w14:paraId="1249A7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Одиночный прыжок при выполнении самолетом петли</w:t>
            </w:r>
          </w:p>
        </w:tc>
        <w:tc>
          <w:tcPr>
            <w:tcW w:w="2098" w:type="dxa"/>
          </w:tcPr>
          <w:p w14:paraId="2EA699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Прыжок с петли на вираже 800 м</w:t>
            </w:r>
          </w:p>
        </w:tc>
        <w:tc>
          <w:tcPr>
            <w:tcW w:w="964" w:type="dxa"/>
          </w:tcPr>
          <w:p w14:paraId="4866AF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мин.</w:t>
            </w:r>
          </w:p>
        </w:tc>
        <w:tc>
          <w:tcPr>
            <w:tcW w:w="1191" w:type="dxa"/>
          </w:tcPr>
          <w:p w14:paraId="266D68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УТ-2=1</w:t>
            </w:r>
          </w:p>
        </w:tc>
        <w:tc>
          <w:tcPr>
            <w:tcW w:w="1304" w:type="dxa"/>
          </w:tcPr>
          <w:p w14:paraId="4E45E7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Сапфиров</w:t>
            </w:r>
          </w:p>
        </w:tc>
        <w:tc>
          <w:tcPr>
            <w:tcW w:w="1449" w:type="dxa"/>
          </w:tcPr>
          <w:p w14:paraId="6AC72C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Майор Поваляев</w:t>
            </w:r>
          </w:p>
        </w:tc>
        <w:tc>
          <w:tcPr>
            <w:tcW w:w="1304" w:type="dxa"/>
          </w:tcPr>
          <w:p w14:paraId="75FD0E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w:t>
            </w:r>
          </w:p>
        </w:tc>
        <w:tc>
          <w:tcPr>
            <w:tcW w:w="1449" w:type="dxa"/>
          </w:tcPr>
          <w:p w14:paraId="082AB8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м</w:t>
            </w:r>
          </w:p>
        </w:tc>
      </w:tr>
      <w:tr w:rsidR="007D5DF8" w:rsidRPr="00DB5D0D" w14:paraId="1B31D13C" w14:textId="77777777" w:rsidTr="00E543D0">
        <w:tc>
          <w:tcPr>
            <w:tcW w:w="1701" w:type="dxa"/>
          </w:tcPr>
          <w:p w14:paraId="334E0C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Одиночный прыжок при перевернутом полете самолета</w:t>
            </w:r>
          </w:p>
        </w:tc>
        <w:tc>
          <w:tcPr>
            <w:tcW w:w="2098" w:type="dxa"/>
          </w:tcPr>
          <w:p w14:paraId="543F7C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Прыжок с высоты 600 м</w:t>
            </w:r>
          </w:p>
        </w:tc>
        <w:tc>
          <w:tcPr>
            <w:tcW w:w="964" w:type="dxa"/>
          </w:tcPr>
          <w:p w14:paraId="22A772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мин.</w:t>
            </w:r>
          </w:p>
        </w:tc>
        <w:tc>
          <w:tcPr>
            <w:tcW w:w="1191" w:type="dxa"/>
          </w:tcPr>
          <w:p w14:paraId="0CDE79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УТИ-4=1</w:t>
            </w:r>
          </w:p>
        </w:tc>
        <w:tc>
          <w:tcPr>
            <w:tcW w:w="1304" w:type="dxa"/>
          </w:tcPr>
          <w:p w14:paraId="4DD5AD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Аминтаев</w:t>
            </w:r>
          </w:p>
        </w:tc>
        <w:tc>
          <w:tcPr>
            <w:tcW w:w="1449" w:type="dxa"/>
          </w:tcPr>
          <w:p w14:paraId="196BFF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Майор Поваляев</w:t>
            </w:r>
          </w:p>
          <w:p w14:paraId="5F3797D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304" w:type="dxa"/>
          </w:tcPr>
          <w:p w14:paraId="72C908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w:t>
            </w:r>
          </w:p>
        </w:tc>
        <w:tc>
          <w:tcPr>
            <w:tcW w:w="1449" w:type="dxa"/>
          </w:tcPr>
          <w:p w14:paraId="254D22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 м</w:t>
            </w:r>
          </w:p>
        </w:tc>
      </w:tr>
      <w:tr w:rsidR="007D5DF8" w:rsidRPr="00DB5D0D" w14:paraId="19BFC69D" w14:textId="77777777" w:rsidTr="00E543D0">
        <w:tc>
          <w:tcPr>
            <w:tcW w:w="1701" w:type="dxa"/>
          </w:tcPr>
          <w:p w14:paraId="6134B5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Групповой затяжной прыжок с приборами братьев Дорониных</w:t>
            </w:r>
          </w:p>
        </w:tc>
        <w:tc>
          <w:tcPr>
            <w:tcW w:w="2098" w:type="dxa"/>
          </w:tcPr>
          <w:p w14:paraId="3E322C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Групповой затяжной прыжок 15 парашютистов. Затяжка до 600 м.</w:t>
            </w:r>
          </w:p>
        </w:tc>
        <w:tc>
          <w:tcPr>
            <w:tcW w:w="964" w:type="dxa"/>
          </w:tcPr>
          <w:p w14:paraId="25DCCB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мин.</w:t>
            </w:r>
          </w:p>
        </w:tc>
        <w:tc>
          <w:tcPr>
            <w:tcW w:w="1191" w:type="dxa"/>
          </w:tcPr>
          <w:p w14:paraId="2273B2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ТБ-3=1</w:t>
            </w:r>
          </w:p>
        </w:tc>
        <w:tc>
          <w:tcPr>
            <w:tcW w:w="1304" w:type="dxa"/>
          </w:tcPr>
          <w:p w14:paraId="4BA0B1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Инструктора-парашютисты ВВС и ЦАК</w:t>
            </w:r>
          </w:p>
        </w:tc>
        <w:tc>
          <w:tcPr>
            <w:tcW w:w="1449" w:type="dxa"/>
          </w:tcPr>
          <w:p w14:paraId="6EB637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Майор Поваляев</w:t>
            </w:r>
          </w:p>
          <w:p w14:paraId="5F75CDB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304" w:type="dxa"/>
          </w:tcPr>
          <w:p w14:paraId="456289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w:t>
            </w:r>
          </w:p>
        </w:tc>
        <w:tc>
          <w:tcPr>
            <w:tcW w:w="1449" w:type="dxa"/>
          </w:tcPr>
          <w:p w14:paraId="705220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м</w:t>
            </w:r>
          </w:p>
        </w:tc>
      </w:tr>
      <w:tr w:rsidR="007D5DF8" w:rsidRPr="00DB5D0D" w14:paraId="5B893FE4" w14:textId="77777777" w:rsidTr="00E543D0">
        <w:tc>
          <w:tcPr>
            <w:tcW w:w="1701" w:type="dxa"/>
          </w:tcPr>
          <w:p w14:paraId="6D332C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Групповой прыжок 150 парашютистов на цветных парашютах</w:t>
            </w:r>
          </w:p>
        </w:tc>
        <w:tc>
          <w:tcPr>
            <w:tcW w:w="2098" w:type="dxa"/>
          </w:tcPr>
          <w:p w14:paraId="5F4134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Групповой прыжок с высоты 500 м</w:t>
            </w:r>
          </w:p>
        </w:tc>
        <w:tc>
          <w:tcPr>
            <w:tcW w:w="964" w:type="dxa"/>
          </w:tcPr>
          <w:p w14:paraId="637F68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мин.</w:t>
            </w:r>
          </w:p>
        </w:tc>
        <w:tc>
          <w:tcPr>
            <w:tcW w:w="1191" w:type="dxa"/>
          </w:tcPr>
          <w:p w14:paraId="29E549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ТБ-3=6</w:t>
            </w:r>
          </w:p>
        </w:tc>
        <w:tc>
          <w:tcPr>
            <w:tcW w:w="1304" w:type="dxa"/>
          </w:tcPr>
          <w:p w14:paraId="5C3284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особому списку</w:t>
            </w:r>
          </w:p>
        </w:tc>
        <w:tc>
          <w:tcPr>
            <w:tcW w:w="1449" w:type="dxa"/>
          </w:tcPr>
          <w:p w14:paraId="1914C7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Логинов</w:t>
            </w:r>
          </w:p>
        </w:tc>
        <w:tc>
          <w:tcPr>
            <w:tcW w:w="1304" w:type="dxa"/>
          </w:tcPr>
          <w:p w14:paraId="4D2BF5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Остафьево</w:t>
            </w:r>
          </w:p>
        </w:tc>
        <w:tc>
          <w:tcPr>
            <w:tcW w:w="1449" w:type="dxa"/>
          </w:tcPr>
          <w:p w14:paraId="2A7167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м</w:t>
            </w:r>
          </w:p>
        </w:tc>
      </w:tr>
    </w:tbl>
    <w:p w14:paraId="3B6506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время на выполнение программы отделения – 12 минут</w:t>
      </w:r>
    </w:p>
    <w:p w14:paraId="2DB007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участвующих самолетов = 10, из них:</w:t>
      </w:r>
    </w:p>
    <w:p w14:paraId="552BDE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ТБ-3=7, УТИ-4=1, УТИ-2=1, Р-5=1</w:t>
      </w:r>
    </w:p>
    <w:p w14:paraId="0F007C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участвующих парашютистов – 160 человек</w:t>
      </w:r>
    </w:p>
    <w:p w14:paraId="20C354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время на выполнение всей программы – 1 час. 31 мин.</w:t>
      </w:r>
    </w:p>
    <w:p w14:paraId="0082E7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участвующих самолетов – 382, из них:</w:t>
      </w:r>
    </w:p>
    <w:p w14:paraId="38E697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самолетов ВВС – 102</w:t>
      </w:r>
    </w:p>
    <w:p w14:paraId="014038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самолетов Осоавиахима – 270</w:t>
      </w:r>
    </w:p>
    <w:p w14:paraId="17D6ED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самолетов ГВФ – 10</w:t>
      </w:r>
    </w:p>
    <w:p w14:paraId="2B6B75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планеров – 34</w:t>
      </w:r>
    </w:p>
    <w:p w14:paraId="549429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парашютистов – 168</w:t>
      </w:r>
    </w:p>
    <w:p w14:paraId="52FFA6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(7519, 9).</w:t>
      </w:r>
    </w:p>
    <w:p w14:paraId="349028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Описание номера "Нападение бомбардировщиков и истребителей на промышленный объект, обороняемый средствами ПВО"</w:t>
      </w:r>
    </w:p>
    <w:p w14:paraId="195DD4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 выполнение номера – 10 минут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7D5DF8" w:rsidRPr="00DB5D0D" w14:paraId="663C9C72" w14:textId="77777777" w:rsidTr="00E543D0">
        <w:tc>
          <w:tcPr>
            <w:tcW w:w="2898" w:type="dxa"/>
          </w:tcPr>
          <w:p w14:paraId="3FA9CD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Действия истребителей и средств ПВО, обороняющих промышленный объект</w:t>
            </w:r>
          </w:p>
        </w:tc>
        <w:tc>
          <w:tcPr>
            <w:tcW w:w="2898" w:type="dxa"/>
          </w:tcPr>
          <w:p w14:paraId="7037EB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Кто выполняет</w:t>
            </w:r>
          </w:p>
        </w:tc>
        <w:tc>
          <w:tcPr>
            <w:tcW w:w="2898" w:type="dxa"/>
          </w:tcPr>
          <w:p w14:paraId="2C4EDC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Действия авиации, нападающей на промышленный объект</w:t>
            </w:r>
          </w:p>
        </w:tc>
        <w:tc>
          <w:tcPr>
            <w:tcW w:w="2898" w:type="dxa"/>
          </w:tcPr>
          <w:p w14:paraId="686783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Кто выполняет</w:t>
            </w:r>
          </w:p>
        </w:tc>
      </w:tr>
      <w:tr w:rsidR="007D5DF8" w:rsidRPr="00DB5D0D" w14:paraId="7BEB301F" w14:textId="77777777" w:rsidTr="00E543D0">
        <w:tc>
          <w:tcPr>
            <w:tcW w:w="2898" w:type="dxa"/>
          </w:tcPr>
          <w:p w14:paraId="3E4AA5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КП промышленного объекта получено указание Штаба ПВО о появлении группы в 54 самолета противника на Н=1000 м в направлении на объект</w:t>
            </w:r>
          </w:p>
        </w:tc>
        <w:tc>
          <w:tcPr>
            <w:tcW w:w="2898" w:type="dxa"/>
          </w:tcPr>
          <w:p w14:paraId="50BF8C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Диктор объявляет по радио</w:t>
            </w:r>
          </w:p>
        </w:tc>
        <w:tc>
          <w:tcPr>
            <w:tcW w:w="2898" w:type="dxa"/>
          </w:tcPr>
          <w:p w14:paraId="5F7B84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Нападающий первый эшелон группы бомбардировщиков в сопровождении истребителей проходит КПП</w:t>
            </w:r>
          </w:p>
          <w:p w14:paraId="20A347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КПП доносит на КП аэродрома Тушино о пролете группы противника</w:t>
            </w:r>
          </w:p>
        </w:tc>
        <w:tc>
          <w:tcPr>
            <w:tcW w:w="2898" w:type="dxa"/>
          </w:tcPr>
          <w:p w14:paraId="33084E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первого эшелона бомбардировщиков</w:t>
            </w:r>
          </w:p>
          <w:p w14:paraId="60BF7D4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D3596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КПП</w:t>
            </w:r>
          </w:p>
        </w:tc>
      </w:tr>
      <w:tr w:rsidR="007D5DF8" w:rsidRPr="00DB5D0D" w14:paraId="02024EE4" w14:textId="77777777" w:rsidTr="00E543D0">
        <w:tc>
          <w:tcPr>
            <w:tcW w:w="2898" w:type="dxa"/>
          </w:tcPr>
          <w:p w14:paraId="08A220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промышленном объекте объявлена воздушная тревога, подаются сигналы сиреной и гудком в течение одной минуты</w:t>
            </w:r>
          </w:p>
        </w:tc>
        <w:tc>
          <w:tcPr>
            <w:tcW w:w="2898" w:type="dxa"/>
          </w:tcPr>
          <w:p w14:paraId="4EC1F5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Диктор объявляет по радио</w:t>
            </w:r>
          </w:p>
          <w:p w14:paraId="01E486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Руководитель на объекте</w:t>
            </w:r>
          </w:p>
        </w:tc>
        <w:tc>
          <w:tcPr>
            <w:tcW w:w="2898" w:type="dxa"/>
          </w:tcPr>
          <w:p w14:paraId="36FDC6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эшелон бомбардировщиков и истребителей в составе 9 СБ и 9 И-16 на подходе к объекту нападения на аэродром Тушино</w:t>
            </w:r>
          </w:p>
        </w:tc>
        <w:tc>
          <w:tcPr>
            <w:tcW w:w="2898" w:type="dxa"/>
          </w:tcPr>
          <w:p w14:paraId="40B1D9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первого эшелона бомбардировщиков</w:t>
            </w:r>
          </w:p>
        </w:tc>
      </w:tr>
      <w:tr w:rsidR="007D5DF8" w:rsidRPr="00DB5D0D" w14:paraId="215DD5BB" w14:textId="77777777" w:rsidTr="00E543D0">
        <w:tc>
          <w:tcPr>
            <w:tcW w:w="2898" w:type="dxa"/>
          </w:tcPr>
          <w:p w14:paraId="2D9922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Средства ПВО промышленного объекта приводятся в боевую готовность. Орудийный расчет зенитных батарей и пулеметчики готовятся к открытию огня холостыми выстрелами.</w:t>
            </w:r>
          </w:p>
        </w:tc>
        <w:tc>
          <w:tcPr>
            <w:tcW w:w="2898" w:type="dxa"/>
          </w:tcPr>
          <w:p w14:paraId="66D204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зеартдива</w:t>
            </w:r>
          </w:p>
        </w:tc>
        <w:tc>
          <w:tcPr>
            <w:tcW w:w="2898" w:type="dxa"/>
          </w:tcPr>
          <w:p w14:paraId="2204AC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эшелон бомбардировщиков и истребителей в составе 9 СБ и 9 И-16 на подходе к объекту нападения на аэродром Тушино</w:t>
            </w:r>
          </w:p>
        </w:tc>
        <w:tc>
          <w:tcPr>
            <w:tcW w:w="2898" w:type="dxa"/>
          </w:tcPr>
          <w:p w14:paraId="286AB9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первого эшелона бомбардировщиков</w:t>
            </w:r>
          </w:p>
        </w:tc>
      </w:tr>
      <w:tr w:rsidR="007D5DF8" w:rsidRPr="00DB5D0D" w14:paraId="36010DF5" w14:textId="77777777" w:rsidTr="00E543D0">
        <w:tc>
          <w:tcPr>
            <w:tcW w:w="2898" w:type="dxa"/>
          </w:tcPr>
          <w:p w14:paraId="27DD29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дежурных звена истребителей, прикрывающих промышленный объект взлетают звеньями в строю клина с интервалом 0,5 мин. с аэродрома Тушино и над центром аэродрома набирают высоту 2000 м, следуя затем к границе аэродрома навстречу противнику.</w:t>
            </w:r>
          </w:p>
        </w:tc>
        <w:tc>
          <w:tcPr>
            <w:tcW w:w="2898" w:type="dxa"/>
          </w:tcPr>
          <w:p w14:paraId="6A8FA5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Командиры звеньев ПВО</w:t>
            </w:r>
          </w:p>
        </w:tc>
        <w:tc>
          <w:tcPr>
            <w:tcW w:w="2898" w:type="dxa"/>
          </w:tcPr>
          <w:p w14:paraId="23D45C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эшелон бомбардировщиков и истребителей подходит к границе аэродрома Тушино</w:t>
            </w:r>
          </w:p>
        </w:tc>
        <w:tc>
          <w:tcPr>
            <w:tcW w:w="2898" w:type="dxa"/>
          </w:tcPr>
          <w:p w14:paraId="24E310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первого эшелона бомбардировщиков</w:t>
            </w:r>
          </w:p>
        </w:tc>
      </w:tr>
      <w:tr w:rsidR="007D5DF8" w:rsidRPr="00DB5D0D" w14:paraId="42410625" w14:textId="77777777" w:rsidTr="00E543D0">
        <w:tc>
          <w:tcPr>
            <w:tcW w:w="2898" w:type="dxa"/>
          </w:tcPr>
          <w:p w14:paraId="61814F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Зенитная артиллерия и пулеметы открывают огонь со всех огневых позиций холостыми выстрелами по появившейся группе противника. После атаки огневых позиций истребителями противника, темп зенитного огня уменьшается.</w:t>
            </w:r>
          </w:p>
          <w:p w14:paraId="38CC8B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Некоторые огневые точки подавлены.</w:t>
            </w:r>
          </w:p>
        </w:tc>
        <w:tc>
          <w:tcPr>
            <w:tcW w:w="2898" w:type="dxa"/>
          </w:tcPr>
          <w:p w14:paraId="1A1831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зеартдива</w:t>
            </w:r>
          </w:p>
        </w:tc>
        <w:tc>
          <w:tcPr>
            <w:tcW w:w="2898" w:type="dxa"/>
          </w:tcPr>
          <w:p w14:paraId="2D2F4B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Звенья первой девятки истребителей обозначают атаку с пикирования по огневым точкам ЗА. Место атаки на земле обозначается полотнищем.</w:t>
            </w:r>
          </w:p>
        </w:tc>
        <w:tc>
          <w:tcPr>
            <w:tcW w:w="2898" w:type="dxa"/>
          </w:tcPr>
          <w:p w14:paraId="0A74E9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первого эшелона бомбардировщиков</w:t>
            </w:r>
          </w:p>
        </w:tc>
      </w:tr>
      <w:tr w:rsidR="007D5DF8" w:rsidRPr="00DB5D0D" w14:paraId="7E6677E0" w14:textId="77777777" w:rsidTr="00E543D0">
        <w:tc>
          <w:tcPr>
            <w:tcW w:w="2898" w:type="dxa"/>
          </w:tcPr>
          <w:p w14:paraId="539589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Истребители обороны обозначают атаку первого эшелона бомбардировщиков противника на подступах к промышленному объекту</w:t>
            </w:r>
          </w:p>
        </w:tc>
        <w:tc>
          <w:tcPr>
            <w:tcW w:w="2898" w:type="dxa"/>
          </w:tcPr>
          <w:p w14:paraId="2ACD33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Командиры звеньев ПВО</w:t>
            </w:r>
          </w:p>
        </w:tc>
        <w:tc>
          <w:tcPr>
            <w:tcW w:w="2898" w:type="dxa"/>
          </w:tcPr>
          <w:p w14:paraId="1D3DFC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Эшелон бомбардировщиков обозначает дымовыми ракетами свой полет в разрывах снарядов зенитной артиллерии и продолжает идти на цель.</w:t>
            </w:r>
          </w:p>
          <w:p w14:paraId="6E0CF1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из бомбардировочных самолетов имитирует повреждение от огня ЗА путем отваливания от группы и ухода со снижением за укрытие, имитируя пожар.</w:t>
            </w:r>
          </w:p>
        </w:tc>
        <w:tc>
          <w:tcPr>
            <w:tcW w:w="2898" w:type="dxa"/>
          </w:tcPr>
          <w:p w14:paraId="01A6FD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первого эшелона бомбардировщиков</w:t>
            </w:r>
          </w:p>
        </w:tc>
      </w:tr>
      <w:tr w:rsidR="007D5DF8" w:rsidRPr="00DB5D0D" w14:paraId="557BD5E8" w14:textId="77777777" w:rsidTr="00E543D0">
        <w:tc>
          <w:tcPr>
            <w:tcW w:w="2898" w:type="dxa"/>
          </w:tcPr>
          <w:p w14:paraId="3C11D6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Истребители ПВО продолжают атаки и преследование бомбардировщиков до границы аэродрома. При прохождении бомбардировщиков над промышленным объектом и обозначений ими бомбардирования цели, на объекте производится имитация разрывов бомб, которыми повреждены некоторые сооружения.</w:t>
            </w:r>
          </w:p>
          <w:p w14:paraId="134F36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Имитация разрывов производится с учетом большинства попаданий с недолетом до цели.</w:t>
            </w:r>
          </w:p>
        </w:tc>
        <w:tc>
          <w:tcPr>
            <w:tcW w:w="2898" w:type="dxa"/>
          </w:tcPr>
          <w:p w14:paraId="60ECA5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Командиры звеньев ПВО</w:t>
            </w:r>
          </w:p>
          <w:p w14:paraId="718D57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Руководитель на объекте</w:t>
            </w:r>
          </w:p>
        </w:tc>
        <w:tc>
          <w:tcPr>
            <w:tcW w:w="2898" w:type="dxa"/>
          </w:tcPr>
          <w:p w14:paraId="565EF6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эшелон бомбардировщиков под воздействием мощного огня ЗА и атак истребителей ПВО в расстроенном боевом порядке обозначают ракетами бомбардирование ж/д узла, после чего уходят на аэродром посадки.</w:t>
            </w:r>
          </w:p>
        </w:tc>
        <w:tc>
          <w:tcPr>
            <w:tcW w:w="2898" w:type="dxa"/>
          </w:tcPr>
          <w:p w14:paraId="1427C9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первого эшелона бомбардировщиков</w:t>
            </w:r>
          </w:p>
        </w:tc>
      </w:tr>
      <w:tr w:rsidR="007D5DF8" w:rsidRPr="00DB5D0D" w14:paraId="741CA5CF" w14:textId="77777777" w:rsidTr="00E543D0">
        <w:tc>
          <w:tcPr>
            <w:tcW w:w="2898" w:type="dxa"/>
          </w:tcPr>
          <w:p w14:paraId="0ACA02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Оставшиеся не подавленные зенитные огневые точки ведут слабый огонь. Истребители ПВО, получив целеуказание по радио и видя на земле, на посту целеуказания выложенную стрелу, прекращают преследование первого эшелона бомбардировщиков и, развернувшись идут на сближение для атаки появившегося второго эшелона бомбардировщиков. Атака не обозначается. Истребители ПВО преследуют второй эшелон бомбардировщиков за границу аэродрома Тушино и затем идут на назначенный аэродром посадки.</w:t>
            </w:r>
          </w:p>
        </w:tc>
        <w:tc>
          <w:tcPr>
            <w:tcW w:w="2898" w:type="dxa"/>
          </w:tcPr>
          <w:p w14:paraId="02D153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Командиры звеньев ПВО</w:t>
            </w:r>
          </w:p>
        </w:tc>
        <w:tc>
          <w:tcPr>
            <w:tcW w:w="2898" w:type="dxa"/>
          </w:tcPr>
          <w:p w14:paraId="338FC6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Через две минуты после бомбардировки ж/д узла первым эшелоном бомбардировщиков, на цель выходит второй эшелон бомбардировщиков противника в сопровождении истребителей в составе двух девяток СБ и двух девяток И-16.</w:t>
            </w:r>
          </w:p>
          <w:p w14:paraId="2DB2D8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эшелон, пролетая над целью имитирует дымовыми ракетами свой полет в разрывах снарядов ЗА и бомбардирование объекта с горизонтального полета и ж/д моста пикированием трех СБ.</w:t>
            </w:r>
          </w:p>
          <w:p w14:paraId="4129D9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прохождении цели второй эшелон бомбардирвощиков идет на аэродром посадки.</w:t>
            </w:r>
          </w:p>
        </w:tc>
        <w:tc>
          <w:tcPr>
            <w:tcW w:w="2898" w:type="dxa"/>
          </w:tcPr>
          <w:p w14:paraId="7D9C66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второго эшелона бомбардировочной группы</w:t>
            </w:r>
          </w:p>
        </w:tc>
      </w:tr>
      <w:tr w:rsidR="007D5DF8" w:rsidRPr="00DB5D0D" w14:paraId="6E684A7F" w14:textId="77777777" w:rsidTr="00E543D0">
        <w:tc>
          <w:tcPr>
            <w:tcW w:w="2898" w:type="dxa"/>
          </w:tcPr>
          <w:p w14:paraId="0A11EC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ж/д узле в результате успешного бомбардирования демонстрируются взрывы, разрушения и пожары некоторых сооружений и разрушение ж/д моста.</w:t>
            </w:r>
          </w:p>
        </w:tc>
        <w:tc>
          <w:tcPr>
            <w:tcW w:w="2898" w:type="dxa"/>
          </w:tcPr>
          <w:p w14:paraId="6CB6AF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Руководитель на объекте.</w:t>
            </w:r>
          </w:p>
        </w:tc>
        <w:tc>
          <w:tcPr>
            <w:tcW w:w="2898" w:type="dxa"/>
          </w:tcPr>
          <w:p w14:paraId="377FFC9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98" w:type="dxa"/>
          </w:tcPr>
          <w:p w14:paraId="440AD3B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31FEED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(7519, 10-11).</w:t>
      </w:r>
    </w:p>
    <w:p w14:paraId="1BE997E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B7605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 по приказу № 379с на завод № 261 2ГУ возложено производство шасси для ПС-84, Як-1 и агрегатов химвооружения.</w:t>
      </w:r>
    </w:p>
    <w:p w14:paraId="29BC59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войны группа специалистов (в т.ч. зав. производством А.И. Коробов, ведущий конструктор В.А. Яновский) переведены на завод № 479 НКАП для помощи в организации работ по агрегатам химвооружения.</w:t>
      </w:r>
    </w:p>
    <w:p w14:paraId="39CA46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 г. завод № 261 2ГУ НКАП эвакуирован из Москвы в  г. Березовск и действовал как филиал завода № 120 (директор филиала - А.И. Пастер). По приказу № 279с от 14.04.1942 г. завод № 261 влит в состав завода № 120. Затем по приказу НКАП № 150с от 15.03.1943 г. завод № 261 НКАП в  г. Березовске восстановлен как самостоятельный под прежним номером.</w:t>
      </w:r>
    </w:p>
    <w:p w14:paraId="1FFF7C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приказу № 444сс от 13.06.1942 г. на старую площадку в Москве планировалось перевести из Тушино завод № 453 НКАП. Но затем начатый переезд был отменен, и по приказу № 487с от 3.07.1942 г. для размещения завода № 453 были переданы здания и сооружения бывшего завода № 291 </w:t>
      </w:r>
      <w:r w:rsidRPr="00DB5D0D">
        <w:rPr>
          <w:rFonts w:ascii="Times New Roman" w:hAnsi="Times New Roman"/>
          <w:color w:val="000000" w:themeColor="text1"/>
          <w:sz w:val="16"/>
          <w:szCs w:val="16"/>
          <w:lang w:val="en-US"/>
        </w:rPr>
        <w:t>HKAII</w:t>
      </w:r>
      <w:r w:rsidRPr="00DB5D0D">
        <w:rPr>
          <w:rFonts w:ascii="Times New Roman" w:hAnsi="Times New Roman"/>
          <w:color w:val="000000" w:themeColor="text1"/>
          <w:sz w:val="16"/>
          <w:szCs w:val="16"/>
        </w:rPr>
        <w:t>.</w:t>
      </w:r>
    </w:p>
    <w:p w14:paraId="2765CE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ГКО № 4290 от 8.10.1943 г. и приказом № 746с от 13.12.1943 г. для улучшения производственно-бытовых условий работы завод № 261 весной 1944 г. был переведен из Березовска в  г. Верхний Нейвинск на площадку завода № 484 НКАП. Оба завода были объединены в ГС завод № 261 2ГУ НКАП. Все помещения в  г. Березовске были переданы в распоряжение НКЭС.</w:t>
      </w:r>
    </w:p>
    <w:p w14:paraId="079DAE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4742C4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678A1D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Производственные площади (1945 г.)- 14.200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w:t>
      </w:r>
    </w:p>
    <w:p w14:paraId="38A724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(-1940-02.1942 г.-)- А.И. Пастер (одновременно директор завода № 120), (12.1943 г.)- Явиц.</w:t>
      </w:r>
    </w:p>
    <w:p w14:paraId="7F2C94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Производство:</w:t>
      </w:r>
      <w:r w:rsidRPr="00DB5D0D">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6C3D7FD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E5EB1A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1D1227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09AAE5F" w14:textId="77777777" w:rsidR="00CB45ED" w:rsidRPr="00DB5D0D" w:rsidRDefault="00CB45E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29 июля 1940 вышло </w:t>
      </w:r>
      <w:r w:rsidRPr="00DB5D0D">
        <w:rPr>
          <w:rFonts w:ascii="Times New Roman" w:hAnsi="Times New Roman"/>
          <w:color w:val="0070C0"/>
          <w:sz w:val="16"/>
          <w:szCs w:val="16"/>
          <w:shd w:val="clear" w:color="auto" w:fill="FFFFFF"/>
        </w:rPr>
        <w:t>Постановление Комитета обороны при СНК СССР № 337сс "О снятии с вооружения 7,62-мм ручного пулемета „ДПМ“" (22017).</w:t>
      </w:r>
    </w:p>
    <w:p w14:paraId="09203FFE" w14:textId="77777777" w:rsidR="00CB45ED" w:rsidRPr="00DB5D0D" w:rsidRDefault="00CB45ED" w:rsidP="00DB5D0D">
      <w:pPr>
        <w:spacing w:after="0" w:line="240" w:lineRule="auto"/>
        <w:jc w:val="both"/>
        <w:rPr>
          <w:rFonts w:ascii="Times New Roman" w:hAnsi="Times New Roman"/>
          <w:color w:val="0070C0"/>
          <w:sz w:val="16"/>
          <w:szCs w:val="16"/>
        </w:rPr>
      </w:pPr>
    </w:p>
    <w:p w14:paraId="2F23F2D1"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провели специальные испытания по преодолению препятствий КВ №У-1 с «большой» башней. Вертикальная стенка (бетонированный фундамент старого дома) высотой 1,2 м была сдвинута и преодо</w:t>
      </w:r>
      <w:r w:rsidRPr="00DB5D0D">
        <w:rPr>
          <w:rFonts w:ascii="Times New Roman" w:hAnsi="Times New Roman"/>
          <w:color w:val="000000" w:themeColor="text1"/>
          <w:sz w:val="16"/>
          <w:szCs w:val="16"/>
        </w:rPr>
        <w:softHyphen/>
        <w:t>лена с третьей попытки. Танк без труда прео</w:t>
      </w:r>
      <w:r w:rsidRPr="00DB5D0D">
        <w:rPr>
          <w:rFonts w:ascii="Times New Roman" w:hAnsi="Times New Roman"/>
          <w:color w:val="000000" w:themeColor="text1"/>
          <w:sz w:val="16"/>
          <w:szCs w:val="16"/>
        </w:rPr>
        <w:softHyphen/>
        <w:t>долел ров шириной 2,72 м и водную преграду глубиной 2 м и шириной 19 м.</w:t>
      </w:r>
    </w:p>
    <w:p w14:paraId="11270FA0"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Трансмиссия обеспечивала в целом гаран</w:t>
      </w:r>
      <w:r w:rsidRPr="00DB5D0D">
        <w:rPr>
          <w:rFonts w:ascii="Times New Roman" w:hAnsi="Times New Roman"/>
          <w:color w:val="000000" w:themeColor="text1"/>
          <w:sz w:val="16"/>
          <w:szCs w:val="16"/>
        </w:rPr>
        <w:softHyphen/>
        <w:t>тийный километраж танка в объеме 2000 км. Наряду с этим обращалось внимание на низкое качество монтажа и регулировки: после 1115 км вышли из строя оба бортовых фрикциона (труб</w:t>
      </w:r>
      <w:r w:rsidRPr="00DB5D0D">
        <w:rPr>
          <w:rFonts w:ascii="Times New Roman" w:hAnsi="Times New Roman"/>
          <w:color w:val="000000" w:themeColor="text1"/>
          <w:sz w:val="16"/>
          <w:szCs w:val="16"/>
        </w:rPr>
        <w:softHyphen/>
        <w:t>ки подвода смазки к подшипникам были смяты при монтаже) и шесть тормозных лент.</w:t>
      </w:r>
    </w:p>
    <w:p w14:paraId="228F1C7B"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Имелись проблемы и в ходовой части тан</w:t>
      </w:r>
      <w:r w:rsidRPr="00DB5D0D">
        <w:rPr>
          <w:rFonts w:ascii="Times New Roman" w:hAnsi="Times New Roman"/>
          <w:color w:val="000000" w:themeColor="text1"/>
          <w:sz w:val="16"/>
          <w:szCs w:val="16"/>
        </w:rPr>
        <w:softHyphen/>
        <w:t>ка. Так, за время испытаний вышли из строя 17 опорных катков. Из-за недостаточной жесткости нажимных дисков без ребер и их отгибания ре</w:t>
      </w:r>
      <w:r w:rsidRPr="00DB5D0D">
        <w:rPr>
          <w:rFonts w:ascii="Times New Roman" w:hAnsi="Times New Roman"/>
          <w:color w:val="000000" w:themeColor="text1"/>
          <w:sz w:val="16"/>
          <w:szCs w:val="16"/>
        </w:rPr>
        <w:softHyphen/>
        <w:t>зина амортизаторов опорных катков выдавлива</w:t>
      </w:r>
      <w:r w:rsidRPr="00DB5D0D">
        <w:rPr>
          <w:rFonts w:ascii="Times New Roman" w:hAnsi="Times New Roman"/>
          <w:color w:val="000000" w:themeColor="text1"/>
          <w:sz w:val="16"/>
          <w:szCs w:val="16"/>
        </w:rPr>
        <w:softHyphen/>
        <w:t>лась и они разваливались. Некоторые катки на</w:t>
      </w:r>
      <w:r w:rsidRPr="00DB5D0D">
        <w:rPr>
          <w:rFonts w:ascii="Times New Roman" w:hAnsi="Times New Roman"/>
          <w:color w:val="000000" w:themeColor="text1"/>
          <w:sz w:val="16"/>
          <w:szCs w:val="16"/>
        </w:rPr>
        <w:softHyphen/>
        <w:t>чинали выходить из строя через 165-212 км про</w:t>
      </w:r>
      <w:r w:rsidRPr="00DB5D0D">
        <w:rPr>
          <w:rFonts w:ascii="Times New Roman" w:hAnsi="Times New Roman"/>
          <w:color w:val="000000" w:themeColor="text1"/>
          <w:sz w:val="16"/>
          <w:szCs w:val="16"/>
        </w:rPr>
        <w:softHyphen/>
        <w:t>бега, что объяснялось их слабой запрессовкой.</w:t>
      </w:r>
    </w:p>
    <w:p w14:paraId="67446CBA"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Артсистема М-10 проходила испытания 10-11 июля в объеме 40 усиленных выстрелов (начальная скорость - 530 м/с) при различных вертикальных углах наводки. Стрельба произ</w:t>
      </w:r>
      <w:r w:rsidRPr="00DB5D0D">
        <w:rPr>
          <w:rFonts w:ascii="Times New Roman" w:hAnsi="Times New Roman"/>
          <w:color w:val="000000" w:themeColor="text1"/>
          <w:sz w:val="16"/>
          <w:szCs w:val="16"/>
        </w:rPr>
        <w:softHyphen/>
        <w:t>водилась при двух курсовых углах (на борт и на корму танка) по 20 выстрелов с каждого.</w:t>
      </w:r>
    </w:p>
    <w:p w14:paraId="470C17CD"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 испытание системы повтори</w:t>
      </w:r>
      <w:r w:rsidRPr="00DB5D0D">
        <w:rPr>
          <w:rFonts w:ascii="Times New Roman" w:hAnsi="Times New Roman"/>
          <w:color w:val="000000" w:themeColor="text1"/>
          <w:sz w:val="16"/>
          <w:szCs w:val="16"/>
        </w:rPr>
        <w:softHyphen/>
        <w:t>ли, причем сделали 70 выстрелов, из них 30 нормальных (начальная скорость - 507 м/с, стрельба на кучность по щиту на дистанции 1000 м) и 40 усиленных. Кучность боя на ди</w:t>
      </w:r>
      <w:r w:rsidRPr="00DB5D0D">
        <w:rPr>
          <w:rFonts w:ascii="Times New Roman" w:hAnsi="Times New Roman"/>
          <w:color w:val="000000" w:themeColor="text1"/>
          <w:sz w:val="16"/>
          <w:szCs w:val="16"/>
        </w:rPr>
        <w:softHyphen/>
        <w:t>станции 1000 м при курсовых углах 0 и 90' при</w:t>
      </w:r>
      <w:r w:rsidRPr="00DB5D0D">
        <w:rPr>
          <w:rFonts w:ascii="Times New Roman" w:hAnsi="Times New Roman"/>
          <w:color w:val="000000" w:themeColor="text1"/>
          <w:sz w:val="16"/>
          <w:szCs w:val="16"/>
        </w:rPr>
        <w:softHyphen/>
        <w:t>знали удовлетворительной. При разборке си</w:t>
      </w:r>
      <w:r w:rsidRPr="00DB5D0D">
        <w:rPr>
          <w:rFonts w:ascii="Times New Roman" w:hAnsi="Times New Roman"/>
          <w:color w:val="000000" w:themeColor="text1"/>
          <w:sz w:val="16"/>
          <w:szCs w:val="16"/>
        </w:rPr>
        <w:softHyphen/>
        <w:t>стемы после испытаний дефектов не обнару</w:t>
      </w:r>
      <w:r w:rsidRPr="00DB5D0D">
        <w:rPr>
          <w:rFonts w:ascii="Times New Roman" w:hAnsi="Times New Roman"/>
          <w:color w:val="000000" w:themeColor="text1"/>
          <w:sz w:val="16"/>
          <w:szCs w:val="16"/>
        </w:rPr>
        <w:softHyphen/>
        <w:t>жили. Для обеспечения проверки работоспо</w:t>
      </w:r>
      <w:r w:rsidRPr="00DB5D0D">
        <w:rPr>
          <w:rFonts w:ascii="Times New Roman" w:hAnsi="Times New Roman"/>
          <w:color w:val="000000" w:themeColor="text1"/>
          <w:sz w:val="16"/>
          <w:szCs w:val="16"/>
        </w:rPr>
        <w:softHyphen/>
        <w:t>собности тормоза отката системы в' условиях танка рекомендовалось доработать инструк</w:t>
      </w:r>
      <w:r w:rsidRPr="00DB5D0D">
        <w:rPr>
          <w:rFonts w:ascii="Times New Roman" w:hAnsi="Times New Roman"/>
          <w:color w:val="000000" w:themeColor="text1"/>
          <w:sz w:val="16"/>
          <w:szCs w:val="16"/>
        </w:rPr>
        <w:softHyphen/>
        <w:t>цию по обслуживанию системы.</w:t>
      </w:r>
    </w:p>
    <w:p w14:paraId="35F9F375"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итогам испытаний отмечалось</w:t>
      </w:r>
      <w:r w:rsidRPr="00DB5D0D">
        <w:rPr>
          <w:rStyle w:val="aff6"/>
          <w:rFonts w:ascii="Times New Roman" w:eastAsia="Arial Narrow" w:hAnsi="Times New Roman" w:cs="Times New Roman"/>
          <w:i w:val="0"/>
          <w:color w:val="000000" w:themeColor="text1"/>
        </w:rPr>
        <w:t xml:space="preserve"> «несе</w:t>
      </w:r>
      <w:r w:rsidRPr="00DB5D0D">
        <w:rPr>
          <w:rStyle w:val="aff6"/>
          <w:rFonts w:ascii="Times New Roman" w:eastAsia="Arial Narrow" w:hAnsi="Times New Roman" w:cs="Times New Roman"/>
          <w:i w:val="0"/>
          <w:color w:val="000000" w:themeColor="text1"/>
        </w:rPr>
        <w:softHyphen/>
        <w:t>рьезное отношение работников завода к под</w:t>
      </w:r>
      <w:r w:rsidRPr="00DB5D0D">
        <w:rPr>
          <w:rStyle w:val="aff6"/>
          <w:rFonts w:ascii="Times New Roman" w:eastAsia="Arial Narrow" w:hAnsi="Times New Roman" w:cs="Times New Roman"/>
          <w:i w:val="0"/>
          <w:color w:val="000000" w:themeColor="text1"/>
        </w:rPr>
        <w:softHyphen/>
        <w:t>готовке испытаний. Танк №У-1 участвовал на фронте в Финляндии, после чего был произ</w:t>
      </w:r>
      <w:r w:rsidRPr="00DB5D0D">
        <w:rPr>
          <w:rStyle w:val="aff6"/>
          <w:rFonts w:ascii="Times New Roman" w:eastAsia="Arial Narrow" w:hAnsi="Times New Roman" w:cs="Times New Roman"/>
          <w:i w:val="0"/>
          <w:color w:val="000000" w:themeColor="text1"/>
        </w:rPr>
        <w:softHyphen/>
        <w:t>веден капитальный ремонт его и предъявлен на испытания. Отсюда срок работы некоторых агрегатов (бортовые передачи, ходовая часть и др.) установить невозможно».</w:t>
      </w:r>
      <w:r w:rsidRPr="00DB5D0D">
        <w:rPr>
          <w:rFonts w:ascii="Times New Roman" w:hAnsi="Times New Roman"/>
          <w:color w:val="000000" w:themeColor="text1"/>
          <w:sz w:val="16"/>
          <w:szCs w:val="16"/>
        </w:rPr>
        <w:t xml:space="preserve"> Предлагалось усилить контроль за сборкой и монтажом уз</w:t>
      </w:r>
      <w:r w:rsidRPr="00DB5D0D">
        <w:rPr>
          <w:rFonts w:ascii="Times New Roman" w:hAnsi="Times New Roman"/>
          <w:color w:val="000000" w:themeColor="text1"/>
          <w:sz w:val="16"/>
          <w:szCs w:val="16"/>
        </w:rPr>
        <w:softHyphen/>
        <w:t>лов и агрегатов, обязав представителей воен</w:t>
      </w:r>
      <w:r w:rsidRPr="00DB5D0D">
        <w:rPr>
          <w:rFonts w:ascii="Times New Roman" w:hAnsi="Times New Roman"/>
          <w:color w:val="000000" w:themeColor="text1"/>
          <w:sz w:val="16"/>
          <w:szCs w:val="16"/>
        </w:rPr>
        <w:softHyphen/>
        <w:t>ной приемки принимать все узлы и агрегаты в целом и некоторые отдельные детали (напри</w:t>
      </w:r>
      <w:r w:rsidRPr="00DB5D0D">
        <w:rPr>
          <w:rFonts w:ascii="Times New Roman" w:hAnsi="Times New Roman"/>
          <w:color w:val="000000" w:themeColor="text1"/>
          <w:sz w:val="16"/>
          <w:szCs w:val="16"/>
        </w:rPr>
        <w:softHyphen/>
        <w:t>мер, торсионы). Следовало ускорить введе</w:t>
      </w:r>
      <w:r w:rsidRPr="00DB5D0D">
        <w:rPr>
          <w:rFonts w:ascii="Times New Roman" w:hAnsi="Times New Roman"/>
          <w:color w:val="000000" w:themeColor="text1"/>
          <w:sz w:val="16"/>
          <w:szCs w:val="16"/>
        </w:rPr>
        <w:softHyphen/>
        <w:t>ние стендов для испытаний узлов и агрегатов и приспособлений для их проверки на узловой сборке. В результате на заводе провели целый ряд мероприятий организационного характе</w:t>
      </w:r>
      <w:r w:rsidRPr="00DB5D0D">
        <w:rPr>
          <w:rFonts w:ascii="Times New Roman" w:hAnsi="Times New Roman"/>
          <w:color w:val="000000" w:themeColor="text1"/>
          <w:sz w:val="16"/>
          <w:szCs w:val="16"/>
        </w:rPr>
        <w:softHyphen/>
        <w:t>ра, опытный цех перевели в подчинение КБ и расширили его производственную базу.</w:t>
      </w:r>
    </w:p>
    <w:p w14:paraId="50FD9D21"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заключение указывалось, что танк с во</w:t>
      </w:r>
      <w:r w:rsidRPr="00DB5D0D">
        <w:rPr>
          <w:rFonts w:ascii="Times New Roman" w:hAnsi="Times New Roman"/>
          <w:color w:val="000000" w:themeColor="text1"/>
          <w:sz w:val="16"/>
          <w:szCs w:val="16"/>
        </w:rPr>
        <w:softHyphen/>
        <w:t>оружением соответствует предъявленным требованиям и после устранения выявлен</w:t>
      </w:r>
      <w:r w:rsidRPr="00DB5D0D">
        <w:rPr>
          <w:rFonts w:ascii="Times New Roman" w:hAnsi="Times New Roman"/>
          <w:color w:val="000000" w:themeColor="text1"/>
          <w:sz w:val="16"/>
          <w:szCs w:val="16"/>
        </w:rPr>
        <w:softHyphen/>
        <w:t>ных недостатков может быть предъявлен на войсковые испытания по особой программе ГАБТУ КА (15767).</w:t>
      </w:r>
    </w:p>
    <w:p w14:paraId="2C81DBB9"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0CD70E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 ГВС ВМФ было принято решение № 0065 о системе вооружения ПВО ВМФ, где в одном из пунктов говорилось сле</w:t>
      </w:r>
      <w:r w:rsidRPr="00DB5D0D">
        <w:rPr>
          <w:rFonts w:ascii="Times New Roman" w:hAnsi="Times New Roman"/>
          <w:color w:val="000000" w:themeColor="text1"/>
          <w:sz w:val="16"/>
          <w:szCs w:val="16"/>
        </w:rPr>
        <w:softHyphen/>
        <w:t>дующее: «Признать, что основным средством службы ВНОС должна стать специальная аппаратура РУС-1 и «Редут»». Примечательно решение о про</w:t>
      </w:r>
      <w:r w:rsidRPr="00DB5D0D">
        <w:rPr>
          <w:rFonts w:ascii="Times New Roman" w:hAnsi="Times New Roman"/>
          <w:color w:val="000000" w:themeColor="text1"/>
          <w:sz w:val="16"/>
          <w:szCs w:val="16"/>
        </w:rPr>
        <w:softHyphen/>
        <w:t>ведении испытания первых трех радиолокационных станций РУС-2 («Ре</w:t>
      </w:r>
      <w:r w:rsidRPr="00DB5D0D">
        <w:rPr>
          <w:rFonts w:ascii="Times New Roman" w:hAnsi="Times New Roman"/>
          <w:color w:val="000000" w:themeColor="text1"/>
          <w:sz w:val="16"/>
          <w:szCs w:val="16"/>
        </w:rPr>
        <w:softHyphen/>
        <w:t>дут») на Каспийском море с последующим их оставлением в составе службы воздушного наблюдения, оповещения и связи (ВНОС) Каспийского моря. Приказами Наркомата ВМФ № 05 и Об от 2 января 1941 года были намечены сборы по освоению новой аппаратуры и сформированы три станции ВНОС по обслуживанию РУС-2, причем две из них - на Черноморском флоте (Золотарев В.А., Шломин В.С. Как создавалась военно-морская мощь Советского Союза. Кн. 1. С. 201-203.) (11710,306).</w:t>
      </w:r>
    </w:p>
    <w:p w14:paraId="315F39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D24D66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7941C1B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AB1B8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 вышел Приказ НКО в связи с нарушением государственной границы самолетом ВВС КА № 0168.</w:t>
      </w:r>
    </w:p>
    <w:p w14:paraId="3F061F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Экипаж самолета СБ 31-го скоростного бомбардировочного полка в составе старшего лейтенанта Лебедева С. П., младшего лейтенанта Кузнецова И. К. и младшего комвзвода Зайченко Г. Д. 19 июля с. г. во время учебно-тренировочного полета в закрытой кабине в районе своего аэродрома потерял ориентировку, перелетел государственную границу и произвел посадку в Мемеле.</w:t>
      </w:r>
    </w:p>
    <w:p w14:paraId="68EBF3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Расследованием установлено:</w:t>
      </w:r>
    </w:p>
    <w:p w14:paraId="3EE7E6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Старший лейтенант Лебедев должным образом не подготовился к предстоящему учебному полету и не был проверен перед этим командиром эскадрильи капитаном Зориным.</w:t>
      </w:r>
    </w:p>
    <w:p w14:paraId="61933C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перед вылетом принимал обучаемый летчик, а не старший лейтенант Лебедев, как это положено по наставлению.</w:t>
      </w:r>
    </w:p>
    <w:p w14:paraId="687E7D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Внутренняя связь в самолете была неисправна.</w:t>
      </w:r>
    </w:p>
    <w:p w14:paraId="5791D0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Вылет был произведен Лебедевым со старой, истрепанной картой, на которой не была нанесена линия государственной границы Литвы с Мемельской областью; младший лейтенант Кузнецов свою карту оставил на земле.</w:t>
      </w:r>
    </w:p>
    <w:p w14:paraId="100B80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Потеряв ориентировку, Лебедев проявил недостойную командира Красной Армии панику и начал беспорядочное блуждание произвольными курсами; самым же худшим явилось его решение произвести посадку, зная, что это аэродрЪм зарубежный.</w:t>
      </w:r>
    </w:p>
    <w:p w14:paraId="245B30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Происшествие с экипажем Лебедева и участившиеся за последнее время в других частях ВВС случаи свидетельствуют о невыполнении летным составом Наставления по производству полетов и по штурманской службе. Происходит это из-за ослабления повседневного контроля со стороны прямых начальников и особенно штурманов подразделений, частей и соединений ВВС.</w:t>
      </w:r>
    </w:p>
    <w:p w14:paraId="596310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Приказываю:</w:t>
      </w:r>
    </w:p>
    <w:p w14:paraId="488878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Помощника командира эскадрильи 31 сбп старшего лейтенанта Лебедева С. П. и младшего летчика младшего лейтенанта Кузнецова И. К. за нарушение Наставления по производству полетов, что привело к перелету государственной, границы и посадке на зарубежном аэродроме, предать суду Военного трибунала.</w:t>
      </w:r>
    </w:p>
    <w:p w14:paraId="368062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Командира эскадрильи 31 сбп капитана Зорина А. А. за отсутствие должного руководства подчиненными и самовольное нарушение установленных правил сдачи самолета перед полетом снизить в военном звании на старшего лейтенанта.</w:t>
      </w:r>
    </w:p>
    <w:p w14:paraId="7652D3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Штурмана 31 сбп капитана Ковалева Н. И. за плохой контроль штурманской подготовки в подразделениях полка снизить в звании на старшего лейтенанта и в должности на штурмана эскадрильи.</w:t>
      </w:r>
    </w:p>
    <w:p w14:paraId="628612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Врид командира 31 сбп майору Просвирину Г. А., военному комиссару 31 сбп батальонному комиссару Зубареву В. А., начальнику штаба 31 сбп майору Кочеткову В. Е. за нарушение наставлений по производству полетов и штурманской службе в подразделениях полка и проявленные слабое руководство и контроль объявляю выговор.</w:t>
      </w:r>
    </w:p>
    <w:p w14:paraId="4C92EF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Командующим войсками округов и армий потребовать от командующих ВВС произвести проверку исполнения в частях ВВС наставлений по производству полетов и штурманской службе, проверить нанесение государственной границы на картах и знание района полетов у всего подчиненного им летного состава и установить постоянный контроль за точным и неуклонным соблюдением указанных наставлений. Исполнение донести мне к 15.8 с. г. через начальника ГУ ВВС Красной Армии.</w:t>
      </w:r>
    </w:p>
    <w:p w14:paraId="3C0BB2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Приказ объявить всему летному составу ВВС Красной Армии и предупредить, что за каждое нарушение наставлений по производству полетов и штурманской службе виновные будут привлекаться к строгой ответственности, вплоть до предания суду.</w:t>
      </w:r>
    </w:p>
    <w:p w14:paraId="27C579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 (10613).</w:t>
      </w:r>
    </w:p>
    <w:p w14:paraId="5DD3827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41BE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 вышел приказ НКО о ношении личного оружия начальствующим составом Красной Армии № 240.</w:t>
      </w:r>
    </w:p>
    <w:p w14:paraId="7334B8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Всему начальствующему составу Красной Армии (кроме младшего) разрешаю постоянное ношение штатного личного оружия.</w:t>
      </w:r>
    </w:p>
    <w:p w14:paraId="48A5DE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 исполнении служебных обязанностей ношение штатного оружия обязательно.</w:t>
      </w:r>
    </w:p>
    <w:p w14:paraId="1E5A1A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Ответственность за сохранность и состояние оружия несет каждый командир и начальник, имеющий оружие.</w:t>
      </w:r>
    </w:p>
    <w:p w14:paraId="01B7AF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 переводе начальствующего состав в другую часть (учреждение) штатное оружие отбирать, а наградное и собственное заносить в арматурную карточку.</w:t>
      </w:r>
    </w:p>
    <w:p w14:paraId="7EC7B2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При убытии в отпуска, в санатории, дома отдыха и на лечение оружие сдавать на хранение в склад части (учреждения, заведения).</w:t>
      </w:r>
    </w:p>
    <w:p w14:paraId="4E0873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 всех случаях утраты, хищения, продажи и противозаконной передачи личного оружия другому лицу немедленно доносить согласно табели внеочередных донесений, а виновных привлекать к ответственности.</w:t>
      </w:r>
    </w:p>
    <w:p w14:paraId="35348D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Приказ НКО СССР 1938 г. № 148 отменить.</w:t>
      </w:r>
    </w:p>
    <w:p w14:paraId="3C1EA4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 (10612).</w:t>
      </w:r>
    </w:p>
    <w:p w14:paraId="7E87C2E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94D5616" w14:textId="77777777" w:rsidR="003C7E8B"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За</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рубежом</w:t>
      </w:r>
      <w:r w:rsidRPr="00DB5D0D">
        <w:rPr>
          <w:rFonts w:ascii="Times New Roman" w:hAnsi="Times New Roman"/>
          <w:i/>
          <w:iCs/>
          <w:color w:val="000000" w:themeColor="text1"/>
          <w:sz w:val="16"/>
          <w:szCs w:val="16"/>
          <w:lang w:val="en-US"/>
        </w:rPr>
        <w:t>:</w:t>
      </w:r>
    </w:p>
    <w:p w14:paraId="66EC6421" w14:textId="77777777" w:rsidR="003C7E8B" w:rsidRPr="00DB5D0D" w:rsidRDefault="003C7E8B" w:rsidP="00DB5D0D">
      <w:pPr>
        <w:spacing w:after="0" w:line="240" w:lineRule="auto"/>
        <w:jc w:val="both"/>
        <w:rPr>
          <w:rFonts w:ascii="Times New Roman" w:hAnsi="Times New Roman"/>
          <w:iCs/>
          <w:color w:val="000000" w:themeColor="text1"/>
          <w:sz w:val="16"/>
          <w:szCs w:val="16"/>
          <w:lang w:val="en-US"/>
        </w:rPr>
      </w:pPr>
    </w:p>
    <w:p w14:paraId="15CA3389"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29, 1940: A German memorandum issued by the OKM states that an Invasion of Great Britian will not be possible until the second half of September 1940, and that the prospects for such an invasion seem doubtful (3819).</w:t>
      </w:r>
    </w:p>
    <w:p w14:paraId="0927D7AE"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5889D7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германское верховное командование выпустило меморандум о том, что вторжение в Великобританию будет невозможным до сентября 1940 и его перспективы не ясны (3819).</w:t>
      </w:r>
    </w:p>
    <w:p w14:paraId="3B1FE01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0E3D8D2"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в 1940 году германское командование выпустило меморандум о том, что вторжение в Великобританию будет невозможным до сентября 1940 и его перспективы не ясны (14967).</w:t>
      </w:r>
    </w:p>
    <w:p w14:paraId="5001D8AA"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71E1CC91"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29 July 1940 Germans attempt an attack on Dover and fail (270).</w:t>
      </w:r>
    </w:p>
    <w:p w14:paraId="7E71DC92"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7127BD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попытка немцев атаковать Дувр провалилась (270).</w:t>
      </w:r>
    </w:p>
    <w:p w14:paraId="1CA3B02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AA4F3E"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July 29 1940 Hitler talks of fighting Soviet Union over Rumanian oilfields with Jodl (1242).</w:t>
      </w:r>
    </w:p>
    <w:p w14:paraId="76AECD65"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2B0A8D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А.Гитлер обсуждал с Йодлем возможность сражения за румынские месторождения нефти (1242).</w:t>
      </w:r>
    </w:p>
    <w:p w14:paraId="4EE94A8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6DC4D51"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в 1940 году Адольф Гитлер обсуждал с Альфредом Йодлем возможность сражения за румынские месторождения нефти (14967).</w:t>
      </w:r>
    </w:p>
    <w:p w14:paraId="2C8F1270"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07C32FC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60BA32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77EF7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АМ-35А N 170 был поставлен на станок для 100 час. гос. испытаний (1295,118).</w:t>
      </w:r>
    </w:p>
    <w:p w14:paraId="0CDD0AF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FA26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мотор N 170 был установлен на станок и с 31 июля по 3 августа 1940 года завод отлаживал мотор на станке с индивидуальной регулировкой карбюраторов. Поэтому гос. испытание мотора М-35А N 170 на станке началось 3 августа 1940 года. Все работы по гос. испытанию (включая испытания всех агрегатов, а также обмер деталей мотора после 100-часового испытания и их проверку на магнофлоксе и рентгене), были закончены 28 августа 1940 г. (3448).</w:t>
      </w:r>
    </w:p>
    <w:p w14:paraId="15AE8EF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AF58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произошла катастрофа СПБ N 1/1 и погибли л М.А.Липкин и и Г.А.Булычев (1759,9).</w:t>
      </w:r>
    </w:p>
    <w:p w14:paraId="35D2892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E546A2"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в 1940 году произошла катастрофа скоростного пикирующего бомбардировщика Поликарпова «СПБ». В «СПБ» № 1/1 погибли летчик М.А.Липкин и инженер Г.А.Булычев. В тот день проводили испытания на флаттер при скорости 600 км/ч по прибору. По показаниям свидетелей, машина, летя с высокой скоростью (о чем свидетельствовал слишком резкий звук моторов) на высоте 2000 - 2500 м стала рассыпаться (14968).</w:t>
      </w:r>
    </w:p>
    <w:p w14:paraId="3ED39309"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55BCA67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 закончились гос. испытания самолета И-153 с герметической кабиной конструкции инженера Щербакова, которые проходили с 20 июля 1940 (6606).</w:t>
      </w:r>
    </w:p>
    <w:p w14:paraId="414B408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EF678D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эксплуатационные свойства герметической кабины, особенно в части жизненных условий в ней, герметичность кабины, запотеваемость окон и возможности выполнения боевой работы летчиком на всех высотах.</w:t>
      </w:r>
    </w:p>
    <w:p w14:paraId="5085CF9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 предъявлен заводом № 289 НКАП самолет И-153 с мотором М-62 № 6028, снабженный герметической кабиной конструкции инженера Щербакова.</w:t>
      </w:r>
    </w:p>
    <w:p w14:paraId="387A338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317305C"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Опыт оборудования герметической кабиной самолета И-153 и результаты испытания его признать удовлетворительными.</w:t>
      </w:r>
    </w:p>
    <w:p w14:paraId="6BA7185B"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Герметическая кабина позволяет полностью использовать потолок самолета для боевой работы.</w:t>
      </w:r>
    </w:p>
    <w:p w14:paraId="045E3A3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8505"/>
      </w:tblGrid>
      <w:tr w:rsidR="007D5DF8" w:rsidRPr="00DB5D0D" w14:paraId="2DA10646" w14:textId="77777777" w:rsidTr="00E543D0">
        <w:tc>
          <w:tcPr>
            <w:tcW w:w="2093" w:type="dxa"/>
            <w:tcBorders>
              <w:top w:val="single" w:sz="12" w:space="0" w:color="auto"/>
            </w:tcBorders>
          </w:tcPr>
          <w:p w14:paraId="2DEC443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8505" w:type="dxa"/>
            <w:tcBorders>
              <w:top w:val="single" w:sz="12" w:space="0" w:color="auto"/>
            </w:tcBorders>
          </w:tcPr>
          <w:p w14:paraId="5C01017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1B0CE37D" w14:textId="77777777" w:rsidTr="00E543D0">
        <w:tc>
          <w:tcPr>
            <w:tcW w:w="2093" w:type="dxa"/>
          </w:tcPr>
          <w:p w14:paraId="157A641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w:t>
            </w:r>
          </w:p>
        </w:tc>
        <w:tc>
          <w:tcPr>
            <w:tcW w:w="8505" w:type="dxa"/>
          </w:tcPr>
          <w:p w14:paraId="135E130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принят на испытания.</w:t>
            </w:r>
          </w:p>
        </w:tc>
      </w:tr>
      <w:tr w:rsidR="007D5DF8" w:rsidRPr="00DB5D0D" w14:paraId="0A983A55" w14:textId="77777777" w:rsidTr="00E543D0">
        <w:tc>
          <w:tcPr>
            <w:tcW w:w="2093" w:type="dxa"/>
          </w:tcPr>
          <w:p w14:paraId="587FF41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8505" w:type="dxa"/>
          </w:tcPr>
          <w:p w14:paraId="3FC52E9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Ознакомительный полет с открытым фонарем. Высота 3000 м.</w:t>
            </w:r>
          </w:p>
        </w:tc>
      </w:tr>
      <w:tr w:rsidR="007D5DF8" w:rsidRPr="00DB5D0D" w14:paraId="57C62461" w14:textId="77777777" w:rsidTr="00E543D0">
        <w:tc>
          <w:tcPr>
            <w:tcW w:w="2093" w:type="dxa"/>
          </w:tcPr>
          <w:p w14:paraId="0D02979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8505" w:type="dxa"/>
          </w:tcPr>
          <w:p w14:paraId="377D2A2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открытия и закрытия фонаря кабины на различных скоростях. Высота 4000 м.</w:t>
            </w:r>
          </w:p>
        </w:tc>
      </w:tr>
      <w:tr w:rsidR="007D5DF8" w:rsidRPr="00DB5D0D" w14:paraId="7E4F6DC5" w14:textId="77777777" w:rsidTr="00E543D0">
        <w:tc>
          <w:tcPr>
            <w:tcW w:w="2093" w:type="dxa"/>
          </w:tcPr>
          <w:p w14:paraId="676E88C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8505" w:type="dxa"/>
          </w:tcPr>
          <w:p w14:paraId="16816D6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условий полета на больших высотах. Высота 8000 м.</w:t>
            </w:r>
          </w:p>
        </w:tc>
      </w:tr>
      <w:tr w:rsidR="007D5DF8" w:rsidRPr="00DB5D0D" w14:paraId="7FF09070" w14:textId="77777777" w:rsidTr="00E543D0">
        <w:tc>
          <w:tcPr>
            <w:tcW w:w="2093" w:type="dxa"/>
          </w:tcPr>
          <w:p w14:paraId="48331ED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8505" w:type="dxa"/>
          </w:tcPr>
          <w:p w14:paraId="6C331D1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загерметизированной кабине на потолок самолета. Высота 10700 м.</w:t>
            </w:r>
          </w:p>
        </w:tc>
      </w:tr>
      <w:tr w:rsidR="007D5DF8" w:rsidRPr="00DB5D0D" w14:paraId="532413F1" w14:textId="77777777" w:rsidTr="00E543D0">
        <w:tc>
          <w:tcPr>
            <w:tcW w:w="2093" w:type="dxa"/>
          </w:tcPr>
          <w:p w14:paraId="4AE20DC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w:t>
            </w:r>
          </w:p>
        </w:tc>
        <w:tc>
          <w:tcPr>
            <w:tcW w:w="8505" w:type="dxa"/>
          </w:tcPr>
          <w:p w14:paraId="5D3847B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пилотажных качеств самолета с закрытым и открытым фонарем. Высота 7000 м.</w:t>
            </w:r>
          </w:p>
        </w:tc>
      </w:tr>
      <w:tr w:rsidR="007D5DF8" w:rsidRPr="00DB5D0D" w14:paraId="356E994D" w14:textId="77777777" w:rsidTr="00E543D0">
        <w:tc>
          <w:tcPr>
            <w:tcW w:w="2093" w:type="dxa"/>
          </w:tcPr>
          <w:p w14:paraId="2A1DE3F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8505" w:type="dxa"/>
          </w:tcPr>
          <w:p w14:paraId="57BE2A6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 Высота 7000 м.</w:t>
            </w:r>
          </w:p>
        </w:tc>
      </w:tr>
      <w:tr w:rsidR="007D5DF8" w:rsidRPr="00DB5D0D" w14:paraId="43DB9EBC" w14:textId="77777777" w:rsidTr="00E543D0">
        <w:tc>
          <w:tcPr>
            <w:tcW w:w="2093" w:type="dxa"/>
          </w:tcPr>
          <w:p w14:paraId="6EFBE28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8505" w:type="dxa"/>
          </w:tcPr>
          <w:p w14:paraId="502F5BA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Учебно-боевой полет в загерметизированной кабине. Высота полета 8000 м.</w:t>
            </w:r>
          </w:p>
        </w:tc>
      </w:tr>
      <w:tr w:rsidR="007D5DF8" w:rsidRPr="00DB5D0D" w14:paraId="1962BE8F" w14:textId="77777777" w:rsidTr="00E543D0">
        <w:tc>
          <w:tcPr>
            <w:tcW w:w="2093" w:type="dxa"/>
          </w:tcPr>
          <w:p w14:paraId="5B656B4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8505" w:type="dxa"/>
          </w:tcPr>
          <w:p w14:paraId="5CD2ADC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полет по программе облета. Летчик ст. лейтенант Сушков. Высота 10000 м.</w:t>
            </w:r>
          </w:p>
        </w:tc>
      </w:tr>
      <w:tr w:rsidR="007D5DF8" w:rsidRPr="00DB5D0D" w14:paraId="3C0FE570" w14:textId="77777777" w:rsidTr="00E543D0">
        <w:tc>
          <w:tcPr>
            <w:tcW w:w="2093" w:type="dxa"/>
          </w:tcPr>
          <w:p w14:paraId="7C353E0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8505" w:type="dxa"/>
          </w:tcPr>
          <w:p w14:paraId="219A6B3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полет по программе облета. Летчик капитан Дубовой. Высота 9300 м.</w:t>
            </w:r>
          </w:p>
        </w:tc>
      </w:tr>
      <w:tr w:rsidR="007D5DF8" w:rsidRPr="00DB5D0D" w14:paraId="453E6EA9" w14:textId="77777777" w:rsidTr="00E543D0">
        <w:tc>
          <w:tcPr>
            <w:tcW w:w="2093" w:type="dxa"/>
            <w:tcBorders>
              <w:bottom w:val="single" w:sz="12" w:space="0" w:color="auto"/>
            </w:tcBorders>
          </w:tcPr>
          <w:p w14:paraId="48E1C5F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w:t>
            </w:r>
          </w:p>
        </w:tc>
        <w:tc>
          <w:tcPr>
            <w:tcW w:w="8505" w:type="dxa"/>
            <w:tcBorders>
              <w:bottom w:val="single" w:sz="12" w:space="0" w:color="auto"/>
            </w:tcBorders>
          </w:tcPr>
          <w:p w14:paraId="18746B2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полет по программе облета. Летчик майор Супрун. Высота 10100 м.</w:t>
            </w:r>
          </w:p>
        </w:tc>
      </w:tr>
    </w:tbl>
    <w:p w14:paraId="0728208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от начала до конца испытаний – 9 дней, из них летных – 6 (6606).</w:t>
      </w:r>
    </w:p>
    <w:p w14:paraId="29750B2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A389E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 закончились гос. испытания самолета И-153 с герметической кабиной конструкции инженера Щербакова, которые проходили с 20 июня 1940</w:t>
      </w:r>
    </w:p>
    <w:p w14:paraId="393584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5527ED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эксплуатационные свойства герметической кабины, особенно в части жизненных условий в ней, герметичность кабины, запотеваемость окон и возможности выполнения боевой работы летчиком на всех высотах.</w:t>
      </w:r>
    </w:p>
    <w:p w14:paraId="77CB3A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 предъявлен заводом № 289 НКАП самолет И-153 с мотором М-62 № 6028, снабженный герметической кабиной конструкции инженера Щербакова.</w:t>
      </w:r>
    </w:p>
    <w:p w14:paraId="4AA033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EE6442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оборудования герметической кабиной самолета И-153 и результаты испытания его признать удовлетворительными.</w:t>
      </w:r>
    </w:p>
    <w:p w14:paraId="62D21C4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Герметическая кабина позволяет полностью использовать потолок самолета для боевой работы.</w:t>
      </w:r>
    </w:p>
    <w:p w14:paraId="3194D1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6691"/>
      </w:tblGrid>
      <w:tr w:rsidR="007D5DF8" w:rsidRPr="00DB5D0D" w14:paraId="7D323D18" w14:textId="77777777" w:rsidTr="00E543D0">
        <w:tc>
          <w:tcPr>
            <w:tcW w:w="2093" w:type="dxa"/>
            <w:tcBorders>
              <w:top w:val="single" w:sz="12" w:space="0" w:color="auto"/>
            </w:tcBorders>
          </w:tcPr>
          <w:p w14:paraId="353F7E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6691" w:type="dxa"/>
            <w:tcBorders>
              <w:top w:val="single" w:sz="12" w:space="0" w:color="auto"/>
            </w:tcBorders>
          </w:tcPr>
          <w:p w14:paraId="5FE206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46957B5A" w14:textId="77777777" w:rsidTr="00E543D0">
        <w:tc>
          <w:tcPr>
            <w:tcW w:w="2093" w:type="dxa"/>
          </w:tcPr>
          <w:p w14:paraId="0B5EBC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w:t>
            </w:r>
          </w:p>
        </w:tc>
        <w:tc>
          <w:tcPr>
            <w:tcW w:w="6691" w:type="dxa"/>
          </w:tcPr>
          <w:p w14:paraId="4C67D6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принят на испытания.</w:t>
            </w:r>
          </w:p>
        </w:tc>
      </w:tr>
      <w:tr w:rsidR="007D5DF8" w:rsidRPr="00DB5D0D" w14:paraId="3D2BC6F8" w14:textId="77777777" w:rsidTr="00E543D0">
        <w:tc>
          <w:tcPr>
            <w:tcW w:w="2093" w:type="dxa"/>
          </w:tcPr>
          <w:p w14:paraId="6FA9FF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6691" w:type="dxa"/>
          </w:tcPr>
          <w:p w14:paraId="67C2F4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Ознакомительный полет с открытым фонарем. Высота 3000 м.</w:t>
            </w:r>
          </w:p>
        </w:tc>
      </w:tr>
      <w:tr w:rsidR="007D5DF8" w:rsidRPr="00DB5D0D" w14:paraId="16C94E23" w14:textId="77777777" w:rsidTr="00E543D0">
        <w:tc>
          <w:tcPr>
            <w:tcW w:w="2093" w:type="dxa"/>
          </w:tcPr>
          <w:p w14:paraId="537CEF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6691" w:type="dxa"/>
          </w:tcPr>
          <w:p w14:paraId="7AFB53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открытия и закрытия фонаря кабины на различных скоростях. Высота 4000 м.</w:t>
            </w:r>
          </w:p>
        </w:tc>
      </w:tr>
      <w:tr w:rsidR="007D5DF8" w:rsidRPr="00DB5D0D" w14:paraId="33F6D35B" w14:textId="77777777" w:rsidTr="00E543D0">
        <w:tc>
          <w:tcPr>
            <w:tcW w:w="2093" w:type="dxa"/>
          </w:tcPr>
          <w:p w14:paraId="43C756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6691" w:type="dxa"/>
          </w:tcPr>
          <w:p w14:paraId="515138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условий полета на больших высотах. Высота 8000 м.</w:t>
            </w:r>
          </w:p>
        </w:tc>
      </w:tr>
      <w:tr w:rsidR="007D5DF8" w:rsidRPr="00DB5D0D" w14:paraId="44DDF468" w14:textId="77777777" w:rsidTr="00E543D0">
        <w:tc>
          <w:tcPr>
            <w:tcW w:w="2093" w:type="dxa"/>
          </w:tcPr>
          <w:p w14:paraId="1F1713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6691" w:type="dxa"/>
          </w:tcPr>
          <w:p w14:paraId="53537C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загерметизированной кабине на потолок самолета. Высота 10700 м.</w:t>
            </w:r>
          </w:p>
        </w:tc>
      </w:tr>
      <w:tr w:rsidR="007D5DF8" w:rsidRPr="00DB5D0D" w14:paraId="00FDDC6E" w14:textId="77777777" w:rsidTr="00E543D0">
        <w:tc>
          <w:tcPr>
            <w:tcW w:w="2093" w:type="dxa"/>
          </w:tcPr>
          <w:p w14:paraId="11F602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w:t>
            </w:r>
          </w:p>
        </w:tc>
        <w:tc>
          <w:tcPr>
            <w:tcW w:w="6691" w:type="dxa"/>
          </w:tcPr>
          <w:p w14:paraId="25D1E9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пилотажных качеств самолета с закрытым и открытым фонарем. Высота 7000 м.</w:t>
            </w:r>
          </w:p>
        </w:tc>
      </w:tr>
      <w:tr w:rsidR="007D5DF8" w:rsidRPr="00DB5D0D" w14:paraId="7F5FDDD9" w14:textId="77777777" w:rsidTr="00E543D0">
        <w:tc>
          <w:tcPr>
            <w:tcW w:w="2093" w:type="dxa"/>
          </w:tcPr>
          <w:p w14:paraId="25FE07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6691" w:type="dxa"/>
          </w:tcPr>
          <w:p w14:paraId="1D812B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 Высота 7000 м.</w:t>
            </w:r>
          </w:p>
        </w:tc>
      </w:tr>
      <w:tr w:rsidR="007D5DF8" w:rsidRPr="00DB5D0D" w14:paraId="25E5CC0B" w14:textId="77777777" w:rsidTr="00E543D0">
        <w:tc>
          <w:tcPr>
            <w:tcW w:w="2093" w:type="dxa"/>
          </w:tcPr>
          <w:p w14:paraId="1BCEBC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6691" w:type="dxa"/>
          </w:tcPr>
          <w:p w14:paraId="650FB0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Учебно-боевой полет в загерметизированной кабине. Высота полета 8000 м.</w:t>
            </w:r>
          </w:p>
        </w:tc>
      </w:tr>
      <w:tr w:rsidR="007D5DF8" w:rsidRPr="00DB5D0D" w14:paraId="541CB78A" w14:textId="77777777" w:rsidTr="00E543D0">
        <w:tc>
          <w:tcPr>
            <w:tcW w:w="2093" w:type="dxa"/>
          </w:tcPr>
          <w:p w14:paraId="7BD18F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6691" w:type="dxa"/>
          </w:tcPr>
          <w:p w14:paraId="318847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полет по программе облета. Летчик ст. лейтенант Сушков. Высота 10000 м.</w:t>
            </w:r>
          </w:p>
        </w:tc>
      </w:tr>
      <w:tr w:rsidR="007D5DF8" w:rsidRPr="00DB5D0D" w14:paraId="74FD3192" w14:textId="77777777" w:rsidTr="00E543D0">
        <w:tc>
          <w:tcPr>
            <w:tcW w:w="2093" w:type="dxa"/>
          </w:tcPr>
          <w:p w14:paraId="6CBA16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6691" w:type="dxa"/>
          </w:tcPr>
          <w:p w14:paraId="39EDDB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полет по программе облета. Летчик капитан Дубовой. Высота 9300 м.</w:t>
            </w:r>
          </w:p>
        </w:tc>
      </w:tr>
      <w:tr w:rsidR="007D5DF8" w:rsidRPr="00DB5D0D" w14:paraId="7F2686DE" w14:textId="77777777" w:rsidTr="00E543D0">
        <w:tc>
          <w:tcPr>
            <w:tcW w:w="2093" w:type="dxa"/>
            <w:tcBorders>
              <w:bottom w:val="single" w:sz="12" w:space="0" w:color="auto"/>
            </w:tcBorders>
          </w:tcPr>
          <w:p w14:paraId="306396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w:t>
            </w:r>
          </w:p>
        </w:tc>
        <w:tc>
          <w:tcPr>
            <w:tcW w:w="6691" w:type="dxa"/>
            <w:tcBorders>
              <w:bottom w:val="single" w:sz="12" w:space="0" w:color="auto"/>
            </w:tcBorders>
          </w:tcPr>
          <w:p w14:paraId="777FDB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полет по программе облета. Летчик майор Супрун. Высота 10100 м.</w:t>
            </w:r>
          </w:p>
        </w:tc>
      </w:tr>
    </w:tbl>
    <w:p w14:paraId="0410E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от начала до конца испытаний – 9 дней, из них летных – 6 (4566).</w:t>
      </w:r>
    </w:p>
    <w:p w14:paraId="16A684F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D4715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закончились гос. испытания самолета И-153 с герметической кабиной конструкции инженера Щербакова, которые проходили с 22 июля 1940</w:t>
      </w:r>
    </w:p>
    <w:p w14:paraId="7B0804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 предъявлен заводом N 289 НКАП самолет И-153 с мотором М-62 N 6028, снабженный герметической кабиной конструкции инженера Щербакова.</w:t>
      </w:r>
    </w:p>
    <w:p w14:paraId="7DA96B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гос. испытаний на самолете И-153 с герметической кабиной произведено 11 полетов, из них 9 полетов высотных. Максимальная высота полета 10700 м.</w:t>
      </w:r>
    </w:p>
    <w:p w14:paraId="678515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Опыт оборудования герметической кабиной самолета И-153 и результаты испытания его признать удовлетворительными (3190).</w:t>
      </w:r>
    </w:p>
    <w:p w14:paraId="77A5FEA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62849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в ходе гос. испытаний самолета И-153 с герметической кабиной конструкции инженера Щербакова, которые проходили с 22 по 30 июля 1940 состоялся третий полет по программе облета. Летчик майор Супрун. Высота 10100 м, продолжительность 60 мин. (3190).</w:t>
      </w:r>
    </w:p>
    <w:p w14:paraId="428B456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F200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закончились гос. испытания самолета И-153 с ГК Щербакова, которые начались в НИИ ВВС 20 июля 1940 (2090,232).</w:t>
      </w:r>
    </w:p>
    <w:p w14:paraId="260CA27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C105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 закончились гос. испытания самолета И-153 (серийный №6034), оснащенного гоермокабиной конструкции Щербакова, которые проходили с 20 июля. Летчики, в числе которых был Герой Советского Союза Степан Супрун, отмечали, что летные качества И-153 практически не изменились. Устойчивость машины, несмотря на смещение центровки назад более чем на 2%, осталась прежней. Обзор вперед за счет установки прицела ПАН-22 в специальном кожухе ухудшился, зато назад стал лучше, тем более, что обернуться в легком комбинезоне несравнимо легче, чем в толстом зимнем обмундировании.</w:t>
      </w:r>
    </w:p>
    <w:p w14:paraId="01026C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выполнили 11 полетов, 9 из них на предельную высоту - более 10 километров. Проведенные учебные бои с И-16 и стандартными И-153 являлись скорее данью традиционным видам испытаний, ибо выявить какие-либо особенности, кроме уже упомянутого выше незначительного ухудшения обзора, за столь короткий срок было практически невозможно. Зато все пилоты отмечали малый шум в кабине и отсутствие усталости после полета в разряженной атмосфере. Супрун, поднимавшийся 30 июля на 10 километров, приятно удивился, что ему не требуется обычный отдых после высотного полета и уже через 20 минут он вылетел на Не-100, проходившем испытания в НИИ ВВС.</w:t>
      </w:r>
    </w:p>
    <w:p w14:paraId="54F7F1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Хотя по результатам испытаний рекомендовалось выпустить небольшое количество «Чаек» с гермокабиной для накопления опыта эксплуатации, серии не последовало и И-153 №6034 остался в единственном экземпляре (6592).</w:t>
      </w:r>
    </w:p>
    <w:p w14:paraId="4703754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AB7E2A3"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30 июля в 1940 году завершились (с 20 июля) испытания </w:t>
      </w:r>
      <w:hyperlink r:id="rId238" w:tgtFrame="_blank" w:history="1">
        <w:r w:rsidRPr="00DB5D0D">
          <w:rPr>
            <w:rFonts w:ascii="Times New Roman" w:hAnsi="Times New Roman"/>
            <w:color w:val="000000" w:themeColor="text1"/>
            <w:sz w:val="16"/>
            <w:szCs w:val="16"/>
          </w:rPr>
          <w:t xml:space="preserve">«И-153» «ГК». </w:t>
        </w:r>
      </w:hyperlink>
      <w:r w:rsidRPr="00DB5D0D">
        <w:rPr>
          <w:rFonts w:ascii="Times New Roman" w:hAnsi="Times New Roman"/>
          <w:color w:val="000000" w:themeColor="text1"/>
          <w:sz w:val="16"/>
          <w:szCs w:val="16"/>
        </w:rPr>
        <w:t>Летчики, в числе которых был Герой Советского Союза Степан Супрун, отмечали, что летные качества «И-153» практически не изменились. Устойчивость машины, несмотря на смещение центровки назад более чем на 2%, осталась прежней. Обзор вперед за счет установки прицела «ПАН-22» в специальном кожухе ухудшился, зато назад стал лучше, тем более, что обернуться в легком комбинезоне несравнимо легче, чем в толстом зимнем обмундировании. Всего выполнили 11 полетов, 9 из них на предельную высоту - более 10 километров. Проведенные учебные бои с «И-16» и стандартными «И-153» являлись скорее данью традиционным видам испытаний, ибо выявить какие-либо особенности, кроме уже упомянутого выше незначительного ухудшения обзора, за столь короткий срок было практически невозможно. Зато все пилоты отмечали малый шум в кабине и отсутствие усталости после полета в разряженной атмосфере. Супрун, поднимавшийся 30 июля на 10 километров, приятно удивился, что ему не требуется обычный отдых после высотного полета и уже через 20 минут он вылетел на «Не 100», проходившем испытания в НИИ ВВС. Хотя по результатам испытаний рекомендовалось выпустить небольшое количество "Чаек" с гермокабиной для накопления опыта эксплуатации, серии не последовало и, по имеющимся у автора данным, «И-153» №6034 остался в единственном экземпляре (14968).</w:t>
      </w:r>
    </w:p>
    <w:p w14:paraId="2B7E74FD"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2D5AC5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 закончились полеты переоборудованной "Чайки" (зав. №6034) И-153ГК в рамках госиспытаний, которые шли с 20 июня. Летчики, в числе которых был уже известный тогда Степан Супрун, отметили, что летные качества И-153 практически не изменились. Устойчивость машины, несмотря на смещение центровки назад более чем на 2%САХ, осталась прежней. Обзор вперед за счет установки прицела ПАН-22 в специальном кожухе ухудшился, зато назад стал лучше, тем более, что вертеться в легком комбинезоне было несравнимо легче, чем в толстом зимнем обмундировании.</w:t>
      </w:r>
    </w:p>
    <w:p w14:paraId="0E521D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летчики выполнили 11 полетов, 9 из них на предельную высоту - более 10 километров. Проведенные учебные бои с И-16 и стандартными И-153 явились скорее данью традиционным видам испытаний, ибо выявить какие-либо особенности, кроме уже упомянутого выше незначительного ухудшения обзора, за столь короткий срок было практически невозможно. Зато все пилоты отмечали малый шум в кабине и отсутствие усталости после пребывания на большой высоте. Супрун, слетавший 30 июля на высоту 10 километров, был приятно удивлен, что ему не требуется обычный отдых после высотного полета и уже через 20 минут он вылетел на немецком Не 100, проходившем испытания в НИИ ВВС.</w:t>
      </w:r>
    </w:p>
    <w:p w14:paraId="7F4D66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Хотя по результатам испытаний рекомендовалось выпустить небольшое количество "Чаек" с гермокабиной для накопления опыта эксплуатации, серии не последовало и, по имеющимся у автора данным, И-153 №6034 остался в единственном экземпляре (12014).</w:t>
      </w:r>
    </w:p>
    <w:p w14:paraId="576DF54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0679C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 у директора завода № 21 В.П.Ворони</w:t>
      </w:r>
      <w:r w:rsidRPr="00DB5D0D">
        <w:rPr>
          <w:rFonts w:ascii="Times New Roman" w:hAnsi="Times New Roman"/>
          <w:color w:val="000000" w:themeColor="text1"/>
          <w:sz w:val="16"/>
          <w:szCs w:val="16"/>
        </w:rPr>
        <w:softHyphen/>
        <w:t>на проходило совещание о внедрении изменений в про</w:t>
      </w:r>
      <w:r w:rsidRPr="00DB5D0D">
        <w:rPr>
          <w:rFonts w:ascii="Times New Roman" w:hAnsi="Times New Roman"/>
          <w:color w:val="000000" w:themeColor="text1"/>
          <w:sz w:val="16"/>
          <w:szCs w:val="16"/>
        </w:rPr>
        <w:softHyphen/>
        <w:t>изводство И-180. Присутствовали Н.Н.Поликарпов, представители ВВС, завода № 21. В принятом постанов</w:t>
      </w:r>
      <w:r w:rsidRPr="00DB5D0D">
        <w:rPr>
          <w:rFonts w:ascii="Times New Roman" w:hAnsi="Times New Roman"/>
          <w:color w:val="000000" w:themeColor="text1"/>
          <w:sz w:val="16"/>
          <w:szCs w:val="16"/>
        </w:rPr>
        <w:softHyphen/>
        <w:t>лении предлагалось выпускать И-180 с увеличенным поперечным «V», начиная с 21-й машины, с подвесными бензобаками - с 35-й и т.д. Таким образом, производст</w:t>
      </w:r>
      <w:r w:rsidRPr="00DB5D0D">
        <w:rPr>
          <w:rFonts w:ascii="Times New Roman" w:hAnsi="Times New Roman"/>
          <w:color w:val="000000" w:themeColor="text1"/>
          <w:sz w:val="16"/>
          <w:szCs w:val="16"/>
        </w:rPr>
        <w:softHyphen/>
        <w:t>во постепенно переводилось на выпуск машин по типу эталона 1941 г. В самолетах войсковой и первых серий решили установить фонарь, как на И-180-3, но в даль</w:t>
      </w:r>
      <w:r w:rsidRPr="00DB5D0D">
        <w:rPr>
          <w:rFonts w:ascii="Times New Roman" w:hAnsi="Times New Roman"/>
          <w:color w:val="000000" w:themeColor="text1"/>
          <w:sz w:val="16"/>
          <w:szCs w:val="16"/>
        </w:rPr>
        <w:softHyphen/>
        <w:t>нейшем использовать фонарь другой конструкции, с соответствующим изменением фюзеляжа: с расширен</w:t>
      </w:r>
      <w:r w:rsidRPr="00DB5D0D">
        <w:rPr>
          <w:rFonts w:ascii="Times New Roman" w:hAnsi="Times New Roman"/>
          <w:color w:val="000000" w:themeColor="text1"/>
          <w:sz w:val="16"/>
          <w:szCs w:val="16"/>
        </w:rPr>
        <w:softHyphen/>
        <w:t>ным верхним объемом и без заголовника (10667).</w:t>
      </w:r>
    </w:p>
    <w:p w14:paraId="11DE6B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CD18C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учебный бомбардировщик УТ-3 А.С.Я. под управлением л МОКи на совершил аварию во время первого полета первого серийного самолета на Корпусном аэродроме в Ленинграде (254,25).</w:t>
      </w:r>
    </w:p>
    <w:p w14:paraId="2E1AB4A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878B13" w14:textId="77777777" w:rsidR="00AC6661" w:rsidRPr="00DB5D0D" w:rsidRDefault="00AC6661"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30 июля 1940 УТ-3 № 01147 47 завода во время первого полета потерпел аварию: при взлете с Корпусного</w:t>
      </w:r>
      <w:r w:rsidRPr="00DB5D0D">
        <w:rPr>
          <w:rStyle w:val="86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аэродрома машина зацепила колесом шасси</w:t>
      </w:r>
      <w:r w:rsidRPr="00DB5D0D">
        <w:rPr>
          <w:rStyle w:val="86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ныне исчезнувшую насыпь Лиговского кана</w:t>
      </w:r>
      <w:r w:rsidRPr="00DB5D0D">
        <w:rPr>
          <w:rFonts w:ascii="Times New Roman" w:hAnsi="Times New Roman"/>
          <w:color w:val="0070C0"/>
          <w:sz w:val="16"/>
          <w:szCs w:val="16"/>
        </w:rPr>
        <w:softHyphen/>
        <w:t>ла. Из-за недопонимания пилота и стартово</w:t>
      </w:r>
      <w:r w:rsidRPr="00DB5D0D">
        <w:rPr>
          <w:rFonts w:ascii="Times New Roman" w:hAnsi="Times New Roman"/>
          <w:color w:val="0070C0"/>
          <w:sz w:val="16"/>
          <w:szCs w:val="16"/>
        </w:rPr>
        <w:softHyphen/>
        <w:t>го расчета, поскольку связь осуществлялась</w:t>
      </w:r>
      <w:r w:rsidRPr="00DB5D0D">
        <w:rPr>
          <w:rStyle w:val="86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только изменением формы посадочного «Т»,</w:t>
      </w:r>
      <w:r w:rsidRPr="00DB5D0D">
        <w:rPr>
          <w:rStyle w:val="86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аварийная посадка была совершена на раз</w:t>
      </w:r>
      <w:r w:rsidRPr="00DB5D0D">
        <w:rPr>
          <w:rFonts w:ascii="Times New Roman" w:hAnsi="Times New Roman"/>
          <w:color w:val="0070C0"/>
          <w:sz w:val="16"/>
          <w:szCs w:val="16"/>
        </w:rPr>
        <w:softHyphen/>
        <w:t>битую ногу шасси. Судя по фотографиям,</w:t>
      </w:r>
      <w:r w:rsidRPr="00DB5D0D">
        <w:rPr>
          <w:rStyle w:val="86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01147 получил достаточно серьезные</w:t>
      </w:r>
      <w:r w:rsidRPr="00DB5D0D">
        <w:rPr>
          <w:rStyle w:val="86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повреждения. Восстанавливался ли самолет</w:t>
      </w:r>
      <w:r w:rsidRPr="00DB5D0D">
        <w:rPr>
          <w:rStyle w:val="86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или достраивать решили второй экземпляр</w:t>
      </w:r>
      <w:r w:rsidRPr="00DB5D0D">
        <w:rPr>
          <w:rStyle w:val="86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доподлинно неизвестно (19940).</w:t>
      </w:r>
    </w:p>
    <w:p w14:paraId="15EF163F" w14:textId="77777777" w:rsidR="00AC6661" w:rsidRPr="00DB5D0D" w:rsidRDefault="00AC6661" w:rsidP="00DB5D0D">
      <w:pPr>
        <w:shd w:val="clear" w:color="auto" w:fill="FFFFFF"/>
        <w:spacing w:after="0" w:line="240" w:lineRule="auto"/>
        <w:jc w:val="both"/>
        <w:rPr>
          <w:rFonts w:ascii="Times New Roman" w:hAnsi="Times New Roman"/>
          <w:color w:val="0070C0"/>
          <w:sz w:val="16"/>
          <w:szCs w:val="16"/>
        </w:rPr>
      </w:pPr>
    </w:p>
    <w:p w14:paraId="519156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л М.Фокин при первом вылете на первом УТ-3 47 завода N 1147 зацепил колесами за земляной вал у Лиговского канала. Авария была, но все остались живы и самолет восстановили, пока вновь не разбили при аварии зимой 1040-1941 гг. (2200,33).</w:t>
      </w:r>
    </w:p>
    <w:p w14:paraId="4FAA221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EBC2EC"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в 1940 году авария головного серийного самолета «УТ-3» №01147. Заводской летчик Ф.Мокин при первом же взлете зацепил колесами земляной вал у Лиговского канала. Включая форсаж, пилот непроизвольно отдал штурвал от себя, и машина клюнула носом. От удара левое колесо отлетело вместе с вилкой, а подкосы правой стойки пробили крыло и вышли через обшивку. Тем не менее летчик набрал высоту, сделал круг и зашел на посадку, считая левую "ногу" шасси целой. На земле же наоборот, сочли исправной правую стойку и выложили соответствующий вариант посадочного "Т". Не имея радиосвязи, пилот счел знак ошибкой и попытался сесть на несуществующее левое колесо. Тем не менее, все обошлось. Мокин отделался разбитым носом. Самолет восстановили, но зимой 1940-1941 гг. на испытаниях он опять попал в аварию (скапотировал на посадке) (14968).</w:t>
      </w:r>
    </w:p>
    <w:p w14:paraId="0BA1B267"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5545C4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вышел приказ НКАП N 385сс "В дополнение к приказу от 8 июня N 333сс и в развитие приказа N 222сс от 21 мая 1940 по обеспечению выполнения программы Кировским заводом НКТМ в 1940 по объекту М-40" (1296,100).</w:t>
      </w:r>
    </w:p>
    <w:p w14:paraId="70960D1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780FD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 по приказу НКАП № 383с с 20.07.1940 г. образован филиал завода- Завод им. КПГ. Начальник филиала (07.1940 г.-)- Самсонов, (-10.1940 г.)- М.Я. Горелик. По приказу № 269с от 25.03.1941 г. филиал завода № 32 был с 1.04.1941 г. преобразован в самостоятельный ГС завод № 487 им. КПГ (10776).</w:t>
      </w:r>
    </w:p>
    <w:p w14:paraId="3A91ADD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1C70D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 по приказу № 383с завод (ГС Завод № 487 НКАП им. Коммунистической партии Германии (КПГ), Завод им. КПГ НКОМ /г. Москва/) был включен с 20.07.1940 г. в систему 2ГУ НКАП на правах филиала завода № 32 НКАП. Начальник филиала- Самсонов. Начались работы по организации производства агрегатов вооружения.</w:t>
      </w:r>
    </w:p>
    <w:p w14:paraId="4C6E7B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1940 г. на завод переведена с завода № 32 бригада КБ-3 гл. конструктора И.П. Шебанова и образовано КБ при заводе под его руководством (ОКБ-487).</w:t>
      </w:r>
    </w:p>
    <w:p w14:paraId="4578D9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269с от 25.03.1941 г. филиал завода № 32 был с 1.04.1941 г. преобразован в самостоятельный ГС завод № 487 им. КП Г.</w:t>
      </w:r>
    </w:p>
    <w:p w14:paraId="484948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ГКО № 213сс от 20.07.1941 г. и приказом № 1057сс от 10.10.1941 г. завод планировалось эвакуировать на площадку завода № 455 НКАП. Затем по приказу № 1109сс от 11.11.1941 г. часть завода № 487 (около 30 %) эвакуирована в Куйбышев и (70 %) в Сызрань. В Сызрани завод был влит в состав эвакуированного туда же завода № 481 НКАП, а в Куйбышеве- в состав завода № 454 НКАП. Завод № 487 выбыл из числа действующих.</w:t>
      </w:r>
    </w:p>
    <w:p w14:paraId="3E5CD5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площадке эвакуированного завода № 487 в начале 1942 г. образован Московский филиал завода № 481 НКАП, далее вновь преобразованный в самостоятельный завод № 487 НКАП.</w:t>
      </w:r>
    </w:p>
    <w:p w14:paraId="0A8638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(04.1941 г.-&gt; Самсонов, (06.1941 г.-)- Степанов, (08.1941 г.)- М.П. Озимков (с 01.1942 г.- начальник Реммастерских на месте завода № 207).</w:t>
      </w:r>
    </w:p>
    <w:p w14:paraId="5A3D50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(1941 г.)- И.П. Шебанов.</w:t>
      </w:r>
    </w:p>
    <w:p w14:paraId="7D3CDA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Производство:</w:t>
      </w:r>
      <w:r w:rsidRPr="00DB5D0D">
        <w:rPr>
          <w:rFonts w:ascii="Times New Roman" w:hAnsi="Times New Roman"/>
          <w:color w:val="000000" w:themeColor="text1"/>
          <w:sz w:val="16"/>
          <w:szCs w:val="16"/>
        </w:rPr>
        <w:t xml:space="preserve"> (1940-41 г.) стрелковые башни М-42, установки ШВАК для ТБ-7, бомбовые кассеты КМБ-2, лафеты пушек для Су-2 и Ил-2, балки РО-132 (2РУ-322), РО-82 (2РУ-223), электроспуски М-10, аварийные бомбосбрасыватели для Су-2.</w:t>
      </w:r>
    </w:p>
    <w:p w14:paraId="229C267C"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 завода № 487 НКАП, ОКБ-487 НКАП гл. конструктора И.П. Шебанова</w:t>
      </w:r>
    </w:p>
    <w:p w14:paraId="5B7D2E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280сс от 10.06.1940 г. на заводе им. КПГ был образован Опытный отдел по проектированию и изготовлению опытных образцов установок стрелкового вооружения. Сюда в. полном составе переведена с завода № 32 бригада КБ-3 гл. конструктора И.П. Шебанова, а также часть оборудования с завода № 32, и образовано КБ при заводе под его руководством (ОКБ-487). Начальник опытного цеха- А.А. Ляпин, его зам.- К.А. Бацын.</w:t>
      </w:r>
    </w:p>
    <w:p w14:paraId="6C67FB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установкам вооружения: установка ШКАС для Пе-2 и «103».</w:t>
      </w:r>
    </w:p>
    <w:p w14:paraId="6C1DB3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32/35 от 13.10.1941 г. ОКБ-487 7ГУ гл. конструктора И.П. Шебанова вместе с частью завода эвакуировано на территорию завода № 454 НКАП в Куйбышев и продолжило работу под названием ОКБ-454 (11982).</w:t>
      </w:r>
    </w:p>
    <w:p w14:paraId="4A74FCC6"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051203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30 июля по 13 августа 1940 года состоялось заводское испытание пикирующего бомбодержателя ПБ-5 конструкции завода N 32 на самолете СБ (2999).</w:t>
      </w:r>
    </w:p>
    <w:p w14:paraId="1F189D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в/инженер 2 ранга Ефимов.</w:t>
      </w:r>
    </w:p>
    <w:p w14:paraId="0E4E86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58C55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определить:</w:t>
      </w:r>
    </w:p>
    <w:p w14:paraId="23B98C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Прочность конструкции пикирующего бомбодержателя ПБ-5.</w:t>
      </w:r>
    </w:p>
    <w:p w14:paraId="2056E6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Безотказность работы ПБ-5 при сбрасывании бомб с пикирования под углами до 80 градусов.</w:t>
      </w:r>
    </w:p>
    <w:p w14:paraId="40D296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Безотказность вывода бомб из бомбового отсека самолета СБ при бомбометании и пикировании.</w:t>
      </w:r>
    </w:p>
    <w:p w14:paraId="69EC26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Удобство эксплуатации ПБ-5 (монтаж на самолете СБ и подвеска бомб всех калибров).</w:t>
      </w:r>
    </w:p>
    <w:p w14:paraId="238320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Преимущество бомбодержателя ПБ-5 перед ранее испытанными бомбодержателем ПБ-3 (2999).</w:t>
      </w:r>
    </w:p>
    <w:p w14:paraId="787C75F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C615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30 июля по 13 августа 1940 г. прошли заводские полигонные испытания бомбодержателя для бомбометания с пикирования ПБ5</w:t>
      </w:r>
    </w:p>
    <w:p w14:paraId="1F2E77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отчету об испытаниях ПБ5:</w:t>
      </w:r>
    </w:p>
    <w:p w14:paraId="54A038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работает безотказно;</w:t>
      </w:r>
    </w:p>
    <w:p w14:paraId="2193E2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полностью обеспечивает вывод бомбы при углах пикирования 6О°-70°-80</w:t>
      </w:r>
      <w:r w:rsidRPr="00DB5D0D">
        <w:rPr>
          <w:rFonts w:ascii="Times New Roman" w:hAnsi="Times New Roman"/>
          <w:color w:val="000000" w:themeColor="text1"/>
          <w:sz w:val="16"/>
          <w:szCs w:val="16"/>
          <w:vertAlign w:val="superscript"/>
        </w:rPr>
        <w:t>0</w:t>
      </w:r>
      <w:r w:rsidRPr="00DB5D0D">
        <w:rPr>
          <w:rFonts w:ascii="Times New Roman" w:hAnsi="Times New Roman"/>
          <w:color w:val="000000" w:themeColor="text1"/>
          <w:sz w:val="16"/>
          <w:szCs w:val="16"/>
        </w:rPr>
        <w:t>;</w:t>
      </w:r>
    </w:p>
    <w:p w14:paraId="4156F2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вес уменьшается на 13,5 кг (ПБ3 весит 35 кг.; ПБ5 - 21.5 кг.);</w:t>
      </w:r>
    </w:p>
    <w:p w14:paraId="3FAD11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проводка управления используется одна и для ПБ5 и для ДЕР34, что при установке ПБ3 невозможно;</w:t>
      </w:r>
    </w:p>
    <w:p w14:paraId="6D7E13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установлена сигнализация сброшенных бомб;</w:t>
      </w:r>
    </w:p>
    <w:p w14:paraId="18BB8B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монтаж на самолете занимает вместо 5-6 часов не более 40-45 минут;</w:t>
      </w:r>
    </w:p>
    <w:p w14:paraId="6DEFC7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в изготовлении ПБ5 более прост по сравнению с ПБЗ;</w:t>
      </w:r>
    </w:p>
    <w:p w14:paraId="22CC80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недостатки выявленные при заводских испытаниях ПБ5 незначительны и легко устранимы (10493,190).</w:t>
      </w:r>
    </w:p>
    <w:p w14:paraId="1A7BFE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1E19F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 начальник НИП АВ ГУАС полковник Шевченко и военком НИП АВ ГУАС в/инженер 2 ранга Щербинин утвердили:</w:t>
      </w:r>
    </w:p>
    <w:p w14:paraId="67B851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контрольным испытаниям двух вариантов ампул (АЖ-2) фосфорной и канифольной пайки конструкции завода № 67</w:t>
      </w:r>
    </w:p>
    <w:p w14:paraId="250DDE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25 мая 1940 года</w:t>
      </w:r>
    </w:p>
    <w:p w14:paraId="2017B1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11 июня 1940 года</w:t>
      </w:r>
    </w:p>
    <w:p w14:paraId="47EE67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201107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485F65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0ED495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контрольных испытаний ампул АЖ-2 являлось определение следующих элементов:</w:t>
      </w:r>
    </w:p>
    <w:p w14:paraId="0C7BEA2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Прочность конструкции.</w:t>
      </w:r>
    </w:p>
    <w:p w14:paraId="08D265E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Характер разрушения оболочки ампул при встрече с преградой.</w:t>
      </w:r>
    </w:p>
    <w:p w14:paraId="0A9D492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импрегнированных прокладок (колец) против БВХ.</w:t>
      </w:r>
    </w:p>
    <w:p w14:paraId="4F0C5A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7F3DC5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на контрольные испытания заводом № 67 ампулы двух вариантов, фосфорной и канифольной пайки, контрольные испытания выдержали (7822).</w:t>
      </w:r>
    </w:p>
    <w:p w14:paraId="515973D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6FBDBE58" w14:textId="77777777" w:rsidR="006746A6" w:rsidRPr="00DB5D0D" w:rsidRDefault="006746A6"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Документ, датированный 30 июля 1940 года, проливает свет на историю ракетного снаряда калибра 140 мм (РС-140). В документе приведены данные, что калибр РС-140мм появился в результате упрощения технологического процесса изготовления ракетной камеры РС-132мм. Имевшееся поднутрение в ракетной камере 132 мм было снято, а для сохранения внутреннего диаметра камеры, лимитируемого процессом горения заряда, был расширен диаметр камеры по ведущим утолщениям. Таким образом, калибр РС-140мм в 1940 году разрабатывался с целью упразднения чертежа РС-132мм [Письмо Исх 1225с от 30/VII-40 ДИРЕКТОРА НИИ № 3 НКБ СЛОНИМЕРА НАРОДНОМУ КОМИССАРУ БОЕПРИПАСОВ СОЮЗА С.С.Р. Тов. СЕРГЕЕВУ И.П. Подлинник. 30.УП.40г // Архив ГНЦ ФГУП "Центр Келдыша". Инв. 348. Оп. 1. Ед. хр. по описи 19. Л. 80,82.] (19771).</w:t>
      </w:r>
    </w:p>
    <w:p w14:paraId="5D3C1B7F" w14:textId="77777777" w:rsidR="006746A6" w:rsidRPr="00DB5D0D" w:rsidRDefault="006746A6" w:rsidP="00DB5D0D">
      <w:pPr>
        <w:spacing w:after="0" w:line="240" w:lineRule="auto"/>
        <w:jc w:val="both"/>
        <w:rPr>
          <w:rFonts w:ascii="Times New Roman" w:hAnsi="Times New Roman"/>
          <w:color w:val="000000" w:themeColor="text1"/>
          <w:sz w:val="16"/>
          <w:szCs w:val="16"/>
        </w:rPr>
      </w:pPr>
    </w:p>
    <w:p w14:paraId="65F7B5C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B05303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1178C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30 июля 1940 по 14 ноября 1940 были проведены испытания на живучесть образца 45 мм автоматической пушки ЗИК-45 (позже ставшей 49-К), сделанной на заводе 8 Калинина в Подлипках. Пушка была сделана по образцу Бофорса и в 1940 была принята на вооружение. Завод 8 получил заказ на 190 на 1940, но в середине 1940 приняли решение о вооружении 25 мм и 37 мм зенитными автоматами и работу по 45 мм прекратили (1116,53).</w:t>
      </w:r>
    </w:p>
    <w:p w14:paraId="3F690D8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C391849"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директору завода ДРО была направлена программа технических испыта</w:t>
      </w:r>
      <w:r w:rsidRPr="00DB5D0D">
        <w:rPr>
          <w:rFonts w:ascii="Times New Roman" w:hAnsi="Times New Roman"/>
          <w:color w:val="000000" w:themeColor="text1"/>
          <w:sz w:val="16"/>
          <w:szCs w:val="16"/>
        </w:rPr>
        <w:softHyphen/>
        <w:t>ний первых двух прицепок ХП-2 установочной партии. Остальные восемь прицепок предпо</w:t>
      </w:r>
      <w:r w:rsidRPr="00DB5D0D">
        <w:rPr>
          <w:rFonts w:ascii="Times New Roman" w:hAnsi="Times New Roman"/>
          <w:color w:val="000000" w:themeColor="text1"/>
          <w:sz w:val="16"/>
          <w:szCs w:val="16"/>
        </w:rPr>
        <w:softHyphen/>
        <w:t>лагалось принять по временным техническим условиям. Тем не менее, на испытания удалось подготовить только одну машину.</w:t>
      </w:r>
    </w:p>
    <w:p w14:paraId="7565885A"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испытания первой химпри- цепки установочной партии прошли в начале сентября 1940 г. по программе, утвержденной начальником УВХЗ. Акт по их результатам был подписан 12 сентября. Испытатели с удовлет</w:t>
      </w:r>
      <w:r w:rsidRPr="00DB5D0D">
        <w:rPr>
          <w:rFonts w:ascii="Times New Roman" w:hAnsi="Times New Roman"/>
          <w:color w:val="000000" w:themeColor="text1"/>
          <w:sz w:val="16"/>
          <w:szCs w:val="16"/>
        </w:rPr>
        <w:softHyphen/>
        <w:t>ворением констатировали, что завод ДРО учел в образце ХП-2 практически все замечания, отмеченные-в выводах акта войсковой комиссии, кроме пункта об установке</w:t>
      </w:r>
      <w:r w:rsidRPr="00DB5D0D">
        <w:rPr>
          <w:rStyle w:val="aff6"/>
          <w:rFonts w:ascii="Times New Roman" w:hAnsi="Times New Roman" w:cs="Times New Roman"/>
          <w:i w:val="0"/>
          <w:color w:val="000000" w:themeColor="text1"/>
        </w:rPr>
        <w:t xml:space="preserve"> «грязеуловителей».</w:t>
      </w:r>
    </w:p>
    <w:p w14:paraId="532CCABF" w14:textId="77777777" w:rsidR="00A150F9" w:rsidRPr="00DB5D0D" w:rsidRDefault="00A150F9" w:rsidP="00DB5D0D">
      <w:pPr>
        <w:spacing w:after="0" w:line="240" w:lineRule="auto"/>
        <w:jc w:val="both"/>
        <w:rPr>
          <w:rStyle w:val="aff6"/>
          <w:rFonts w:ascii="Times New Roman" w:hAnsi="Times New Roman" w:cs="Times New Roman"/>
          <w:i w:val="0"/>
          <w:color w:val="000000" w:themeColor="text1"/>
        </w:rPr>
      </w:pPr>
      <w:r w:rsidRPr="00DB5D0D">
        <w:rPr>
          <w:rFonts w:ascii="Times New Roman" w:hAnsi="Times New Roman"/>
          <w:color w:val="000000" w:themeColor="text1"/>
          <w:sz w:val="16"/>
          <w:szCs w:val="16"/>
        </w:rPr>
        <w:t>Ходовые испытания проводились на ди</w:t>
      </w:r>
      <w:r w:rsidRPr="00DB5D0D">
        <w:rPr>
          <w:rFonts w:ascii="Times New Roman" w:hAnsi="Times New Roman"/>
          <w:color w:val="000000" w:themeColor="text1"/>
          <w:sz w:val="16"/>
          <w:szCs w:val="16"/>
        </w:rPr>
        <w:softHyphen/>
        <w:t>станции 10 км по шоссе и на пересеченной местности. Во время пробега у ведущего ко</w:t>
      </w:r>
      <w:r w:rsidRPr="00DB5D0D">
        <w:rPr>
          <w:rFonts w:ascii="Times New Roman" w:hAnsi="Times New Roman"/>
          <w:color w:val="000000" w:themeColor="text1"/>
          <w:sz w:val="16"/>
          <w:szCs w:val="16"/>
        </w:rPr>
        <w:softHyphen/>
        <w:t>леса танка БТ-7 лопнул подшипник, поэтому испытания пришлось прекратить. Представ</w:t>
      </w:r>
      <w:r w:rsidRPr="00DB5D0D">
        <w:rPr>
          <w:rFonts w:ascii="Times New Roman" w:hAnsi="Times New Roman"/>
          <w:color w:val="000000" w:themeColor="text1"/>
          <w:sz w:val="16"/>
          <w:szCs w:val="16"/>
        </w:rPr>
        <w:softHyphen/>
        <w:t>ленные</w:t>
      </w:r>
      <w:r w:rsidRPr="00DB5D0D">
        <w:rPr>
          <w:rStyle w:val="aff6"/>
          <w:rFonts w:ascii="Times New Roman" w:hAnsi="Times New Roman" w:cs="Times New Roman"/>
          <w:i w:val="0"/>
          <w:color w:val="000000" w:themeColor="text1"/>
        </w:rPr>
        <w:t xml:space="preserve"> «крылья для защиты прицепки от за</w:t>
      </w:r>
      <w:r w:rsidRPr="00DB5D0D">
        <w:rPr>
          <w:rStyle w:val="aff6"/>
          <w:rFonts w:ascii="Times New Roman" w:hAnsi="Times New Roman" w:cs="Times New Roman"/>
          <w:i w:val="0"/>
          <w:color w:val="000000" w:themeColor="text1"/>
        </w:rPr>
        <w:softHyphen/>
        <w:t>брасывания грязью»</w:t>
      </w:r>
      <w:r w:rsidRPr="00DB5D0D">
        <w:rPr>
          <w:rFonts w:ascii="Times New Roman" w:hAnsi="Times New Roman"/>
          <w:color w:val="000000" w:themeColor="text1"/>
          <w:sz w:val="16"/>
          <w:szCs w:val="16"/>
        </w:rPr>
        <w:t xml:space="preserve"> испытаний не выдержали, причем один грязевик потеряли уже в начале пробега. Однако комиссия посчитала, что</w:t>
      </w:r>
      <w:r w:rsidRPr="00DB5D0D">
        <w:rPr>
          <w:rStyle w:val="aff6"/>
          <w:rFonts w:ascii="Times New Roman" w:hAnsi="Times New Roman" w:cs="Times New Roman"/>
          <w:i w:val="0"/>
          <w:color w:val="000000" w:themeColor="text1"/>
        </w:rPr>
        <w:t xml:space="preserve"> «по условиям эксплоатации защита химприцепки от попадания на нее грязи невозможна, так как забрызгивание прицепки происходит также и гусеницами танка» (17480).</w:t>
      </w:r>
    </w:p>
    <w:p w14:paraId="786AEA82" w14:textId="77777777" w:rsidR="00A150F9" w:rsidRPr="00DB5D0D" w:rsidRDefault="00A150F9" w:rsidP="00DB5D0D">
      <w:pPr>
        <w:spacing w:after="0" w:line="240" w:lineRule="auto"/>
        <w:jc w:val="both"/>
        <w:rPr>
          <w:rFonts w:ascii="Times New Roman" w:hAnsi="Times New Roman"/>
          <w:color w:val="000000" w:themeColor="text1"/>
          <w:sz w:val="16"/>
          <w:szCs w:val="16"/>
        </w:rPr>
      </w:pPr>
    </w:p>
    <w:p w14:paraId="38B377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 - Создание Комиссии по проблеме урана для координации и общего руководства научно-исследовательскими работами АН СССР по урановой проблеме. В состав комиссии вошли В.Г. Хлопин (председатель), В.И. Вернадский (заместитель председателя), А.Ф. Иоффе (заместитель председателя), А.Е. Ферсман, С.И. Вавилов, П.П. Лазарев, А.Н. Фрумкин, Л.И. Мандельштам, Г.М. Кржижановский, П.Л. Капица, И.В. Курчатов, Д.И. Щербаков, А.П. Виноградов и Ю.Б. Харитон (10549).</w:t>
      </w:r>
    </w:p>
    <w:p w14:paraId="57F6E14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52C7C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 согласно Протокола заседания Президиума АН СССР, где докладчиком был В.И. Вернадский, среди „мероприятий по дальнейшему изучению и возможному использованию внутриатомной энергии урана“ разведка урановых месторождений с целью создания государственного фонда металлического урана рассматривалась как дело первостепенной важности. В силу чего, академику А.Е. Ферсману, назначенному бригадиром поисковой группы Академии наук, в которую входил, кстати, и сам председатель „урановой комиссии“ — академик В.Г. Хлопин, был дан целый ряд срочных поручений: от командирования в районы Средней Азии до координации развёртываемых геологоразведочных работ с Народным комиссариатом цветной металлургии (11291).</w:t>
      </w:r>
    </w:p>
    <w:p w14:paraId="06BE121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4C97305"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в 1940 году по инициативе В.И.Вернадского и В.Г.Хлопина при президиуме Академии Наук СССР была организована комиссия по проблеме урана, задача которой заключалась в развити работ по изучению свойств урана и возможности использования его внутриатомной энергии. В комиссию вошли: В.Г.Хлопин - академик, директор РИАНа, председатель; В.И Вернадский - академик, директор РИАНа до 1939 г, А.Ф.Иоффе - академик, директор ЛФТИ; С.И Вавилов - академик, директор ФИАН, научный руководитель Государственного оптического института; А.Е.Ферсман - академик, ФИАН; А.П.Виноградов - профессор, Лаборатория геохимических проблем Академии Наук СССР; И.В Курчатов - профессор, ЛФТИ, РИАН; Ю.Б.Харитон - профессор, ИХФ (14968).</w:t>
      </w:r>
    </w:p>
    <w:p w14:paraId="7F4E5F27"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7CA5614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F92331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6BFDAA4" w14:textId="77777777" w:rsidR="00A46617" w:rsidRPr="00DB5D0D" w:rsidRDefault="00A46617"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31 июля 1940 генералы Я. В. Смушке- вич и П. В. Рычагов в докладной записке И. В. Стали</w:t>
      </w:r>
      <w:r w:rsidRPr="00DB5D0D">
        <w:rPr>
          <w:rFonts w:ascii="Times New Roman" w:hAnsi="Times New Roman"/>
          <w:color w:val="000000" w:themeColor="text1"/>
          <w:spacing w:val="0"/>
          <w:sz w:val="16"/>
          <w:szCs w:val="16"/>
        </w:rPr>
        <w:softHyphen/>
        <w:t>ну указывали: «Вы вчера высказали Ваши пожела</w:t>
      </w:r>
      <w:r w:rsidRPr="00DB5D0D">
        <w:rPr>
          <w:rFonts w:ascii="Times New Roman" w:hAnsi="Times New Roman"/>
          <w:color w:val="000000" w:themeColor="text1"/>
          <w:spacing w:val="0"/>
          <w:sz w:val="16"/>
          <w:szCs w:val="16"/>
        </w:rPr>
        <w:softHyphen/>
        <w:t>ния увеличить заднюю броню БШ-2 до 15 мм. Мы вчера пригласили т. Ильюшина и имели беседу по этому вопросу. Он сможет это выполнить. Рекомен</w:t>
      </w:r>
      <w:r w:rsidRPr="00DB5D0D">
        <w:rPr>
          <w:rFonts w:ascii="Times New Roman" w:hAnsi="Times New Roman"/>
          <w:color w:val="000000" w:themeColor="text1"/>
          <w:spacing w:val="0"/>
          <w:sz w:val="16"/>
          <w:szCs w:val="16"/>
        </w:rPr>
        <w:softHyphen/>
        <w:t>дуем вызвать его и поговорить».</w:t>
      </w:r>
    </w:p>
    <w:p w14:paraId="1933B034" w14:textId="77777777" w:rsidR="00A46617" w:rsidRPr="00DB5D0D" w:rsidRDefault="00A46617"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Надо полагать, дискуссия, каким должен быть облик БШ-2 в соответствии с его основным назна</w:t>
      </w:r>
      <w:r w:rsidRPr="00DB5D0D">
        <w:rPr>
          <w:rFonts w:ascii="Times New Roman" w:hAnsi="Times New Roman"/>
          <w:color w:val="000000" w:themeColor="text1"/>
          <w:spacing w:val="0"/>
          <w:sz w:val="16"/>
          <w:szCs w:val="16"/>
        </w:rPr>
        <w:softHyphen/>
        <w:t>чением, в высшем политическом и военном руко</w:t>
      </w:r>
      <w:r w:rsidRPr="00DB5D0D">
        <w:rPr>
          <w:rFonts w:ascii="Times New Roman" w:hAnsi="Times New Roman"/>
          <w:color w:val="000000" w:themeColor="text1"/>
          <w:spacing w:val="0"/>
          <w:sz w:val="16"/>
          <w:szCs w:val="16"/>
        </w:rPr>
        <w:softHyphen/>
        <w:t>водстве страны все же была.</w:t>
      </w:r>
    </w:p>
    <w:p w14:paraId="6EFB8092" w14:textId="77777777" w:rsidR="00A46617" w:rsidRPr="00DB5D0D" w:rsidRDefault="00A46617"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Одноместный БШ-2 был узаконен приказом НКАП от 11 октября. Согласно приказу Ильюшин обязывался к 15 октября 1940 г. выпустить на за</w:t>
      </w:r>
      <w:r w:rsidRPr="00DB5D0D">
        <w:rPr>
          <w:rFonts w:ascii="Times New Roman" w:hAnsi="Times New Roman"/>
          <w:color w:val="000000" w:themeColor="text1"/>
          <w:spacing w:val="0"/>
          <w:sz w:val="16"/>
          <w:szCs w:val="16"/>
        </w:rPr>
        <w:softHyphen/>
        <w:t>водские испытания самолет БШ-2 № 1 с АМ-38 в од</w:t>
      </w:r>
      <w:r w:rsidRPr="00DB5D0D">
        <w:rPr>
          <w:rFonts w:ascii="Times New Roman" w:hAnsi="Times New Roman"/>
          <w:color w:val="000000" w:themeColor="text1"/>
          <w:spacing w:val="0"/>
          <w:sz w:val="16"/>
          <w:szCs w:val="16"/>
        </w:rPr>
        <w:softHyphen/>
        <w:t>номестном и в двухместном вариантах.</w:t>
      </w:r>
    </w:p>
    <w:p w14:paraId="41805E65" w14:textId="77777777" w:rsidR="00A46617" w:rsidRPr="00DB5D0D" w:rsidRDefault="00A46617"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Можно предположить, что к 11 октября работы по усекновению БШ-2 завершились и Ильюшин об</w:t>
      </w:r>
      <w:r w:rsidRPr="00DB5D0D">
        <w:rPr>
          <w:rFonts w:ascii="Times New Roman" w:hAnsi="Times New Roman"/>
          <w:color w:val="000000" w:themeColor="text1"/>
          <w:spacing w:val="0"/>
          <w:sz w:val="16"/>
          <w:szCs w:val="16"/>
        </w:rPr>
        <w:softHyphen/>
        <w:t>ратился к руководству НКАП за разрешением на</w:t>
      </w:r>
      <w:r w:rsidRPr="00DB5D0D">
        <w:rPr>
          <w:rFonts w:ascii="Times New Roman" w:hAnsi="Times New Roman"/>
          <w:color w:val="000000" w:themeColor="text1"/>
          <w:spacing w:val="0"/>
          <w:sz w:val="16"/>
          <w:szCs w:val="16"/>
        </w:rPr>
        <w:softHyphen/>
        <w:t>чать полеты.</w:t>
      </w:r>
    </w:p>
    <w:p w14:paraId="74B21E2F" w14:textId="77777777" w:rsidR="00A46617" w:rsidRPr="00DB5D0D" w:rsidRDefault="00A46617"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Руководство наркомата, в лице А. И. Шахури- на и А. С. Яковлева, понимая, что задача созда</w:t>
      </w:r>
      <w:r w:rsidRPr="00DB5D0D">
        <w:rPr>
          <w:rFonts w:ascii="Times New Roman" w:hAnsi="Times New Roman"/>
          <w:color w:val="000000" w:themeColor="text1"/>
          <w:spacing w:val="0"/>
          <w:sz w:val="16"/>
          <w:szCs w:val="16"/>
        </w:rPr>
        <w:softHyphen/>
        <w:t>ния двухместного БШ-2 военными не снималась, а И. В. Сталин, по их мнению, склонен согласиться на соломоново решение, предусмотрели в приказе проведение заводских испытаний БШ-2 одновре</w:t>
      </w:r>
      <w:r w:rsidRPr="00DB5D0D">
        <w:rPr>
          <w:rFonts w:ascii="Times New Roman" w:hAnsi="Times New Roman"/>
          <w:color w:val="000000" w:themeColor="text1"/>
          <w:spacing w:val="0"/>
          <w:sz w:val="16"/>
          <w:szCs w:val="16"/>
        </w:rPr>
        <w:softHyphen/>
        <w:t>менно в одноместном и двухместном вариантах.</w:t>
      </w:r>
    </w:p>
    <w:p w14:paraId="703CD494" w14:textId="77777777" w:rsidR="00A46617" w:rsidRPr="00DB5D0D" w:rsidRDefault="00A46617"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Уже на следующий день (!) после выхода при</w:t>
      </w:r>
      <w:r w:rsidRPr="00DB5D0D">
        <w:rPr>
          <w:rFonts w:ascii="Times New Roman" w:hAnsi="Times New Roman"/>
          <w:color w:val="000000" w:themeColor="text1"/>
          <w:spacing w:val="0"/>
          <w:sz w:val="16"/>
          <w:szCs w:val="16"/>
        </w:rPr>
        <w:softHyphen/>
        <w:t>каза одноместный БШ-2 № 1 впервые был поднят в воздух. Как и ожидалось, летные данные стали лучше двухместного БШ-2. Однако в НИИ ВВС он не передавался ввиду неудовлетворительной работы мотора. Стало ясно, что АМ-38 требует длительной доводки (17500).</w:t>
      </w:r>
    </w:p>
    <w:p w14:paraId="68B413FF" w14:textId="77777777" w:rsidR="00A46617" w:rsidRPr="00DB5D0D" w:rsidRDefault="00A46617" w:rsidP="00DB5D0D">
      <w:pPr>
        <w:pStyle w:val="128"/>
        <w:shd w:val="clear" w:color="auto" w:fill="auto"/>
        <w:spacing w:before="0" w:line="240" w:lineRule="auto"/>
        <w:ind w:firstLine="0"/>
        <w:rPr>
          <w:rFonts w:ascii="Times New Roman" w:hAnsi="Times New Roman"/>
          <w:color w:val="000000" w:themeColor="text1"/>
          <w:spacing w:val="0"/>
          <w:sz w:val="16"/>
          <w:szCs w:val="16"/>
        </w:rPr>
      </w:pPr>
    </w:p>
    <w:p w14:paraId="5F6FFC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31 июля по 3 августа 1940 АМ-35 N 170 отлаживался (1295,118).</w:t>
      </w:r>
    </w:p>
    <w:p w14:paraId="66394C3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2D0E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П.О.С. передал в производство 289 завода все чертежи ОБШ М-71 (2090,147).</w:t>
      </w:r>
    </w:p>
    <w:p w14:paraId="3E87AEC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648A4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года чер</w:t>
      </w:r>
      <w:r w:rsidRPr="00DB5D0D">
        <w:rPr>
          <w:rFonts w:ascii="Times New Roman" w:hAnsi="Times New Roman"/>
          <w:color w:val="000000" w:themeColor="text1"/>
          <w:sz w:val="16"/>
          <w:szCs w:val="16"/>
        </w:rPr>
        <w:softHyphen/>
        <w:t>тежи по этому самолету спущены в производство, хотя самолет ОБШ П.О.С. был утвержден к постройке еще в октябре: 1939 года (281,2).</w:t>
      </w:r>
    </w:p>
    <w:p w14:paraId="5BD76E9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2BA5D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рабочие чертежи пер</w:t>
      </w:r>
      <w:r w:rsidRPr="00DB5D0D">
        <w:rPr>
          <w:rFonts w:ascii="Times New Roman" w:hAnsi="Times New Roman"/>
          <w:color w:val="000000" w:themeColor="text1"/>
          <w:sz w:val="16"/>
          <w:szCs w:val="16"/>
        </w:rPr>
        <w:softHyphen/>
        <w:t>вого экземпляра ОБШ были сданы в про</w:t>
      </w:r>
      <w:r w:rsidRPr="00DB5D0D">
        <w:rPr>
          <w:rFonts w:ascii="Times New Roman" w:hAnsi="Times New Roman"/>
          <w:color w:val="000000" w:themeColor="text1"/>
          <w:sz w:val="16"/>
          <w:szCs w:val="16"/>
        </w:rPr>
        <w:softHyphen/>
        <w:t>изводство, однако в изготовлении объектов наметилось значительное отставание от графика (11845).</w:t>
      </w:r>
    </w:p>
    <w:p w14:paraId="72ADCE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0E83656"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31 июля 1940 г Протокол постоянной комиссии по рассмотрению инициативных проектов, не вошедших в план 1940 г., которую возглавлял академик Б.И.Юрьев и которая 13 июля 1940 рассмотрела проект ПБШ-1, утвердил заместитель Наркома авиационной промышленности А.С.Яковлев. При этом он зачеркнул слова, упоминающие задание, данное П.О.Сухому. Кроме того, 29 июля на втором экземпляре протокола И.И.Машкевич сделал запись: "По заключению ВВС: "от реализации проекта следует воздержаться" по мотивам, указанным в выводах комиссии" (19568).</w:t>
      </w:r>
    </w:p>
    <w:p w14:paraId="37794BCC"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35DA0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протокол заседания комиссии Б.Н.Юрьева по ПБШ-1 ОКБ А.И.М. утвердил Заместитель Наркома Авиационной промышленности А.С.Яковлев. При этом он зачеркнул слова «Принимая во внимание, что по аналогичному типу самолета дано задание тов. Сухому, но с меньшей мощностью огня и большей скоростью попето у земли (500 км/час)» (9649).</w:t>
      </w:r>
    </w:p>
    <w:p w14:paraId="79EA2FA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3381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Филин и Холопцев подписали, а 14 августа 1940 Зам. Нач. ВВС КА га П.В.Рычагов утвердил Заключение по эскизному проекту пушечного истребителя И-П-201 с АМ-35А ОКБ завода 1 А.И.М</w:t>
      </w:r>
    </w:p>
    <w:p w14:paraId="5B017E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П.В.Р. надписал от руки</w:t>
      </w:r>
    </w:p>
    <w:p w14:paraId="636162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предложить т. Микояну разработать вопрос о постановке на другом варианте 2 пулеметов М.Е.Березина 12.7 мм;</w:t>
      </w:r>
    </w:p>
    <w:p w14:paraId="2A0DDD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Разработать и предложить оборудование самолета И-201 под установку РО". </w:t>
      </w:r>
    </w:p>
    <w:p w14:paraId="710254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Исполнитель Алексеенко</w:t>
      </w:r>
    </w:p>
    <w:p w14:paraId="017CA5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Назначение</w:t>
      </w:r>
    </w:p>
    <w:p w14:paraId="25F455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С-т ИП-201 является дальнейшим развитием скоростного истребителя И-200 в сторону увеличенимя его огневой мощи.</w:t>
      </w:r>
    </w:p>
    <w:p w14:paraId="296E88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своему назначению - скоростной одноместный истребитель-перехватчик</w:t>
      </w:r>
    </w:p>
    <w:p w14:paraId="1066E5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Может быть использован как штурмовик по бронированным частям противника</w:t>
      </w:r>
    </w:p>
    <w:p w14:paraId="566E29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Отличия от И-200 - только пушечная установка</w:t>
      </w:r>
    </w:p>
    <w:p w14:paraId="5B3573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2хШКАС с б/з 1500 на две и 2хМП-3 23 мм магазинного питания с б/з 120 в обтекателе под крылом на спец. металлической раме.</w:t>
      </w:r>
    </w:p>
    <w:p w14:paraId="2C98B8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перегрузочном варианте одновременно можно подвесить</w:t>
      </w:r>
    </w:p>
    <w:p w14:paraId="79DA3D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эти же замки возхможно подвесить 2хбомбы по 100 кг</w:t>
      </w:r>
    </w:p>
    <w:p w14:paraId="448431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полезной нагрузки 677,9 кг, в т.ч. горючего 290 кг, смазочного 28 кг, экипаж 80 кг, 2хМП-3 и 2хШКАС - 279,9 кг</w:t>
      </w:r>
    </w:p>
    <w:p w14:paraId="1E675E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3200</w:t>
      </w:r>
    </w:p>
    <w:p w14:paraId="7E96F1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 корость у земли 540 км/ча, на 7000 м - 635 км/час</w:t>
      </w:r>
    </w:p>
    <w:p w14:paraId="7FB2DD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5000 м 5,6</w:t>
      </w:r>
    </w:p>
    <w:p w14:paraId="0BDDC8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11250 м</w:t>
      </w:r>
    </w:p>
    <w:p w14:paraId="5673B6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 22,4</w:t>
      </w:r>
    </w:p>
    <w:p w14:paraId="30246F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123 км/час, разбег/пробег - 339/210</w:t>
      </w:r>
    </w:p>
    <w:p w14:paraId="00DC13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17,44</w:t>
      </w:r>
    </w:p>
    <w:p w14:paraId="15E28B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На сновании принятой нач. ВВС системы вооружения существующих с-тов предложить конструктору ИП-201 т. А.И.М. вместио 2х пушек таубина разработать установку на с-те 2х пулеметов Березина 12,7 мм с б/з 300 шт. На каждую с сохранеием той же макс. скорости, полученной на И-2000</w:t>
      </w:r>
    </w:p>
    <w:p w14:paraId="2F04EE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Подписали Филин и Холопцев 31 июля 1940(782,2).</w:t>
      </w:r>
    </w:p>
    <w:p w14:paraId="6B47C1D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E4D40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года вышел приказ НИИ ВВС № 0159</w:t>
      </w:r>
    </w:p>
    <w:p w14:paraId="77A7BEB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самолета ДБ3Ф 2М88 с ВИШ-23 для определения взлетных свойств при взлете с 1-й и 2-й скоростью нагнетателя (6890, 40).</w:t>
      </w:r>
    </w:p>
    <w:p w14:paraId="794CD4C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38B2B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была подготовлена таблица основных данных иностранных торпедоносцев и ДБ-3Т (1207,96):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7"/>
        <w:gridCol w:w="1277"/>
        <w:gridCol w:w="1277"/>
        <w:gridCol w:w="1277"/>
        <w:gridCol w:w="1277"/>
        <w:gridCol w:w="1277"/>
        <w:gridCol w:w="1277"/>
        <w:gridCol w:w="1277"/>
      </w:tblGrid>
      <w:tr w:rsidR="007D5DF8" w:rsidRPr="00DB5D0D" w14:paraId="68AD7473" w14:textId="77777777" w:rsidTr="00E543D0">
        <w:tc>
          <w:tcPr>
            <w:tcW w:w="1277" w:type="dxa"/>
            <w:tcBorders>
              <w:top w:val="single" w:sz="12" w:space="0" w:color="auto"/>
            </w:tcBorders>
          </w:tcPr>
          <w:p w14:paraId="5D223E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1277" w:type="dxa"/>
            <w:tcBorders>
              <w:top w:val="single" w:sz="12" w:space="0" w:color="auto"/>
            </w:tcBorders>
          </w:tcPr>
          <w:p w14:paraId="05BA2A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w:t>
            </w:r>
          </w:p>
        </w:tc>
        <w:tc>
          <w:tcPr>
            <w:tcW w:w="1277" w:type="dxa"/>
            <w:tcBorders>
              <w:top w:val="single" w:sz="12" w:space="0" w:color="auto"/>
            </w:tcBorders>
          </w:tcPr>
          <w:p w14:paraId="51F600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1277" w:type="dxa"/>
            <w:tcBorders>
              <w:top w:val="single" w:sz="12" w:space="0" w:color="auto"/>
            </w:tcBorders>
          </w:tcPr>
          <w:p w14:paraId="657D11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w:t>
            </w:r>
          </w:p>
        </w:tc>
        <w:tc>
          <w:tcPr>
            <w:tcW w:w="1277" w:type="dxa"/>
            <w:tcBorders>
              <w:top w:val="single" w:sz="12" w:space="0" w:color="auto"/>
            </w:tcBorders>
          </w:tcPr>
          <w:p w14:paraId="0A1ECC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w:t>
            </w:r>
          </w:p>
        </w:tc>
        <w:tc>
          <w:tcPr>
            <w:tcW w:w="1277" w:type="dxa"/>
            <w:tcBorders>
              <w:top w:val="single" w:sz="12" w:space="0" w:color="auto"/>
            </w:tcBorders>
          </w:tcPr>
          <w:p w14:paraId="5AA70E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c>
          <w:tcPr>
            <w:tcW w:w="1277" w:type="dxa"/>
            <w:tcBorders>
              <w:top w:val="single" w:sz="12" w:space="0" w:color="auto"/>
            </w:tcBorders>
          </w:tcPr>
          <w:p w14:paraId="55D151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1277" w:type="dxa"/>
            <w:tcBorders>
              <w:top w:val="single" w:sz="12" w:space="0" w:color="auto"/>
            </w:tcBorders>
          </w:tcPr>
          <w:p w14:paraId="5A4373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w:t>
            </w:r>
          </w:p>
        </w:tc>
      </w:tr>
      <w:tr w:rsidR="007D5DF8" w:rsidRPr="00DB5D0D" w14:paraId="7CC8A00B" w14:textId="77777777" w:rsidTr="00E543D0">
        <w:tc>
          <w:tcPr>
            <w:tcW w:w="1277" w:type="dxa"/>
          </w:tcPr>
          <w:p w14:paraId="61594C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39D5B3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w:t>
            </w:r>
          </w:p>
        </w:tc>
        <w:tc>
          <w:tcPr>
            <w:tcW w:w="1277" w:type="dxa"/>
          </w:tcPr>
          <w:p w14:paraId="565842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1277" w:type="dxa"/>
          </w:tcPr>
          <w:p w14:paraId="12FB6E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w:t>
            </w:r>
          </w:p>
        </w:tc>
        <w:tc>
          <w:tcPr>
            <w:tcW w:w="1277" w:type="dxa"/>
          </w:tcPr>
          <w:p w14:paraId="52CE144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46EDED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30C86F7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1468351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5EB103B" w14:textId="77777777" w:rsidTr="00E543D0">
        <w:tc>
          <w:tcPr>
            <w:tcW w:w="1277" w:type="dxa"/>
          </w:tcPr>
          <w:p w14:paraId="37B0C2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ДБ-3Т сухопутный</w:t>
            </w:r>
          </w:p>
        </w:tc>
        <w:tc>
          <w:tcPr>
            <w:tcW w:w="1277" w:type="dxa"/>
          </w:tcPr>
          <w:p w14:paraId="13152B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М85/2х800</w:t>
            </w:r>
          </w:p>
        </w:tc>
        <w:tc>
          <w:tcPr>
            <w:tcW w:w="1277" w:type="dxa"/>
          </w:tcPr>
          <w:p w14:paraId="2E295B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395/4000</w:t>
            </w:r>
          </w:p>
        </w:tc>
        <w:tc>
          <w:tcPr>
            <w:tcW w:w="1277" w:type="dxa"/>
          </w:tcPr>
          <w:p w14:paraId="03AF71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90-95</w:t>
            </w:r>
          </w:p>
        </w:tc>
        <w:tc>
          <w:tcPr>
            <w:tcW w:w="1277" w:type="dxa"/>
          </w:tcPr>
          <w:p w14:paraId="7CA385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1277" w:type="dxa"/>
          </w:tcPr>
          <w:p w14:paraId="2849A0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277" w:type="dxa"/>
          </w:tcPr>
          <w:p w14:paraId="2BA48D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2хпул.,1хт 820</w:t>
            </w:r>
          </w:p>
        </w:tc>
        <w:tc>
          <w:tcPr>
            <w:tcW w:w="1277" w:type="dxa"/>
          </w:tcPr>
          <w:p w14:paraId="62E352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w:t>
            </w:r>
          </w:p>
        </w:tc>
      </w:tr>
      <w:tr w:rsidR="007D5DF8" w:rsidRPr="00DB5D0D" w14:paraId="5F82ECCB" w14:textId="77777777" w:rsidTr="00E543D0">
        <w:tc>
          <w:tcPr>
            <w:tcW w:w="1277" w:type="dxa"/>
          </w:tcPr>
          <w:p w14:paraId="65DA77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Виккерс Уэллсли</w:t>
            </w:r>
          </w:p>
        </w:tc>
        <w:tc>
          <w:tcPr>
            <w:tcW w:w="1277" w:type="dxa"/>
          </w:tcPr>
          <w:p w14:paraId="0936DC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ПегасХХ/925</w:t>
            </w:r>
          </w:p>
        </w:tc>
        <w:tc>
          <w:tcPr>
            <w:tcW w:w="1277" w:type="dxa"/>
          </w:tcPr>
          <w:p w14:paraId="18AD06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367/6000</w:t>
            </w:r>
          </w:p>
        </w:tc>
        <w:tc>
          <w:tcPr>
            <w:tcW w:w="1277" w:type="dxa"/>
          </w:tcPr>
          <w:p w14:paraId="40DF48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1277" w:type="dxa"/>
          </w:tcPr>
          <w:p w14:paraId="50F1D9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1790</w:t>
            </w:r>
          </w:p>
        </w:tc>
        <w:tc>
          <w:tcPr>
            <w:tcW w:w="1277" w:type="dxa"/>
          </w:tcPr>
          <w:p w14:paraId="693A5F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277" w:type="dxa"/>
          </w:tcPr>
          <w:p w14:paraId="7F6EB4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2хпул.,1хт 750</w:t>
            </w:r>
          </w:p>
        </w:tc>
        <w:tc>
          <w:tcPr>
            <w:tcW w:w="1277" w:type="dxa"/>
          </w:tcPr>
          <w:p w14:paraId="5519F2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w:t>
            </w:r>
          </w:p>
        </w:tc>
      </w:tr>
      <w:tr w:rsidR="007D5DF8" w:rsidRPr="00DB5D0D" w14:paraId="6F58FA9C" w14:textId="77777777" w:rsidTr="00E543D0">
        <w:tc>
          <w:tcPr>
            <w:tcW w:w="1277" w:type="dxa"/>
          </w:tcPr>
          <w:p w14:paraId="3CC30C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Латекоер 298 морской</w:t>
            </w:r>
          </w:p>
        </w:tc>
        <w:tc>
          <w:tcPr>
            <w:tcW w:w="1277" w:type="dxa"/>
          </w:tcPr>
          <w:p w14:paraId="21BBB6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ИС12Ус2/860</w:t>
            </w:r>
          </w:p>
        </w:tc>
        <w:tc>
          <w:tcPr>
            <w:tcW w:w="1277" w:type="dxa"/>
          </w:tcPr>
          <w:p w14:paraId="395BB0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277" w:type="dxa"/>
          </w:tcPr>
          <w:p w14:paraId="0D7C40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7" w:type="dxa"/>
          </w:tcPr>
          <w:p w14:paraId="72C441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1277" w:type="dxa"/>
          </w:tcPr>
          <w:p w14:paraId="6E21F4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7" w:type="dxa"/>
          </w:tcPr>
          <w:p w14:paraId="27AD66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4хпул.,1хт 700</w:t>
            </w:r>
          </w:p>
        </w:tc>
        <w:tc>
          <w:tcPr>
            <w:tcW w:w="1277" w:type="dxa"/>
          </w:tcPr>
          <w:p w14:paraId="423110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w:t>
            </w:r>
          </w:p>
        </w:tc>
      </w:tr>
      <w:tr w:rsidR="007D5DF8" w:rsidRPr="00DB5D0D" w14:paraId="0250D913" w14:textId="77777777" w:rsidTr="00E543D0">
        <w:tc>
          <w:tcPr>
            <w:tcW w:w="1277" w:type="dxa"/>
          </w:tcPr>
          <w:p w14:paraId="43931CF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7DCC32E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1DC8F68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41A728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44D55FC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48C7E8D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383CB6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пушка</w:t>
            </w:r>
          </w:p>
        </w:tc>
        <w:tc>
          <w:tcPr>
            <w:tcW w:w="1277" w:type="dxa"/>
          </w:tcPr>
          <w:p w14:paraId="0C2BAB2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7A5C118" w14:textId="77777777" w:rsidTr="00E543D0">
        <w:tc>
          <w:tcPr>
            <w:tcW w:w="1277" w:type="dxa"/>
          </w:tcPr>
          <w:p w14:paraId="72A457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Гамбург На-140</w:t>
            </w:r>
          </w:p>
        </w:tc>
        <w:tc>
          <w:tcPr>
            <w:tcW w:w="1277" w:type="dxa"/>
          </w:tcPr>
          <w:p w14:paraId="25B769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БМВ132/2х655</w:t>
            </w:r>
          </w:p>
        </w:tc>
        <w:tc>
          <w:tcPr>
            <w:tcW w:w="1277" w:type="dxa"/>
          </w:tcPr>
          <w:p w14:paraId="084D48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w:t>
            </w:r>
          </w:p>
        </w:tc>
        <w:tc>
          <w:tcPr>
            <w:tcW w:w="1277" w:type="dxa"/>
          </w:tcPr>
          <w:p w14:paraId="17ED47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1277" w:type="dxa"/>
          </w:tcPr>
          <w:p w14:paraId="04DC80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w:t>
            </w:r>
          </w:p>
        </w:tc>
        <w:tc>
          <w:tcPr>
            <w:tcW w:w="1277" w:type="dxa"/>
          </w:tcPr>
          <w:p w14:paraId="1A44D0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277" w:type="dxa"/>
          </w:tcPr>
          <w:p w14:paraId="5D0AE3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2хпул.</w:t>
            </w:r>
          </w:p>
        </w:tc>
        <w:tc>
          <w:tcPr>
            <w:tcW w:w="1277" w:type="dxa"/>
          </w:tcPr>
          <w:p w14:paraId="05CD14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1938</w:t>
            </w:r>
          </w:p>
        </w:tc>
      </w:tr>
      <w:tr w:rsidR="007D5DF8" w:rsidRPr="00DB5D0D" w14:paraId="0B8F2BAE" w14:textId="77777777" w:rsidTr="00E543D0">
        <w:tc>
          <w:tcPr>
            <w:tcW w:w="1277" w:type="dxa"/>
          </w:tcPr>
          <w:p w14:paraId="1CED7D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морской</w:t>
            </w:r>
          </w:p>
        </w:tc>
        <w:tc>
          <w:tcPr>
            <w:tcW w:w="1277" w:type="dxa"/>
          </w:tcPr>
          <w:p w14:paraId="5DFA31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624AFB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7196E0E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443FFA4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657069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2495D8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1277" w:type="dxa"/>
          </w:tcPr>
          <w:p w14:paraId="2397A48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D0F2C7D" w14:textId="77777777" w:rsidTr="00E543D0">
        <w:tc>
          <w:tcPr>
            <w:tcW w:w="1277" w:type="dxa"/>
          </w:tcPr>
          <w:p w14:paraId="0E8B6F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Хейнкель Не-115</w:t>
            </w:r>
          </w:p>
        </w:tc>
        <w:tc>
          <w:tcPr>
            <w:tcW w:w="1277" w:type="dxa"/>
          </w:tcPr>
          <w:p w14:paraId="164FD1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БМВ132/2х850</w:t>
            </w:r>
          </w:p>
        </w:tc>
        <w:tc>
          <w:tcPr>
            <w:tcW w:w="1277" w:type="dxa"/>
          </w:tcPr>
          <w:p w14:paraId="0F1295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355/3400</w:t>
            </w:r>
          </w:p>
        </w:tc>
        <w:tc>
          <w:tcPr>
            <w:tcW w:w="1277" w:type="dxa"/>
          </w:tcPr>
          <w:p w14:paraId="56F253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1277" w:type="dxa"/>
          </w:tcPr>
          <w:p w14:paraId="297E8D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2100-</w:t>
            </w:r>
          </w:p>
        </w:tc>
        <w:tc>
          <w:tcPr>
            <w:tcW w:w="1277" w:type="dxa"/>
          </w:tcPr>
          <w:p w14:paraId="7709E4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1277" w:type="dxa"/>
          </w:tcPr>
          <w:p w14:paraId="51850B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2хпул.,1000</w:t>
            </w:r>
          </w:p>
        </w:tc>
        <w:tc>
          <w:tcPr>
            <w:tcW w:w="1277" w:type="dxa"/>
          </w:tcPr>
          <w:p w14:paraId="7814B2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w:t>
            </w:r>
          </w:p>
        </w:tc>
      </w:tr>
      <w:tr w:rsidR="007D5DF8" w:rsidRPr="00DB5D0D" w14:paraId="36E94399" w14:textId="77777777" w:rsidTr="00E543D0">
        <w:tc>
          <w:tcPr>
            <w:tcW w:w="1277" w:type="dxa"/>
          </w:tcPr>
          <w:p w14:paraId="5A2A86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морской</w:t>
            </w:r>
          </w:p>
        </w:tc>
        <w:tc>
          <w:tcPr>
            <w:tcW w:w="1277" w:type="dxa"/>
          </w:tcPr>
          <w:p w14:paraId="2C69A91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6C87A0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2A1DB3D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508921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37D0BF1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5E4020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277" w:type="dxa"/>
          </w:tcPr>
          <w:p w14:paraId="5D30DF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0DE25EC" w14:textId="77777777" w:rsidTr="00E543D0">
        <w:tc>
          <w:tcPr>
            <w:tcW w:w="1277" w:type="dxa"/>
          </w:tcPr>
          <w:p w14:paraId="2DD30A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Блом &amp; Фосс На-140</w:t>
            </w:r>
          </w:p>
        </w:tc>
        <w:tc>
          <w:tcPr>
            <w:tcW w:w="1277" w:type="dxa"/>
          </w:tcPr>
          <w:p w14:paraId="144929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БМВ132/2х800</w:t>
            </w:r>
          </w:p>
        </w:tc>
        <w:tc>
          <w:tcPr>
            <w:tcW w:w="1277" w:type="dxa"/>
          </w:tcPr>
          <w:p w14:paraId="55BD8E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w:t>
            </w:r>
          </w:p>
        </w:tc>
        <w:tc>
          <w:tcPr>
            <w:tcW w:w="1277" w:type="dxa"/>
          </w:tcPr>
          <w:p w14:paraId="64162D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1277" w:type="dxa"/>
          </w:tcPr>
          <w:p w14:paraId="41EEA8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w:t>
            </w:r>
          </w:p>
        </w:tc>
        <w:tc>
          <w:tcPr>
            <w:tcW w:w="1277" w:type="dxa"/>
          </w:tcPr>
          <w:p w14:paraId="7BB32C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7" w:type="dxa"/>
          </w:tcPr>
          <w:p w14:paraId="23C9D7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1хт в фюз.</w:t>
            </w:r>
          </w:p>
        </w:tc>
        <w:tc>
          <w:tcPr>
            <w:tcW w:w="1277" w:type="dxa"/>
          </w:tcPr>
          <w:p w14:paraId="116AFF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w:t>
            </w:r>
          </w:p>
        </w:tc>
      </w:tr>
      <w:tr w:rsidR="007D5DF8" w:rsidRPr="00DB5D0D" w14:paraId="0F8F1D5F" w14:textId="77777777" w:rsidTr="00E543D0">
        <w:tc>
          <w:tcPr>
            <w:tcW w:w="1277" w:type="dxa"/>
          </w:tcPr>
          <w:p w14:paraId="7561A5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морской</w:t>
            </w:r>
          </w:p>
        </w:tc>
        <w:tc>
          <w:tcPr>
            <w:tcW w:w="1277" w:type="dxa"/>
          </w:tcPr>
          <w:p w14:paraId="3E1426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26160FE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376C35F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4D5EBE3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46B3FF0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024B68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1277" w:type="dxa"/>
          </w:tcPr>
          <w:p w14:paraId="21E5FFB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8D328B2" w14:textId="77777777" w:rsidTr="00E543D0">
        <w:tc>
          <w:tcPr>
            <w:tcW w:w="1277" w:type="dxa"/>
          </w:tcPr>
          <w:p w14:paraId="006677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Капрони Са-312бис</w:t>
            </w:r>
          </w:p>
        </w:tc>
        <w:tc>
          <w:tcPr>
            <w:tcW w:w="1277" w:type="dxa"/>
          </w:tcPr>
          <w:p w14:paraId="7602D6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Пьяджо/2х650</w:t>
            </w:r>
          </w:p>
        </w:tc>
        <w:tc>
          <w:tcPr>
            <w:tcW w:w="1277" w:type="dxa"/>
          </w:tcPr>
          <w:p w14:paraId="65DF0E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300/т.</w:t>
            </w:r>
          </w:p>
        </w:tc>
        <w:tc>
          <w:tcPr>
            <w:tcW w:w="1277" w:type="dxa"/>
          </w:tcPr>
          <w:p w14:paraId="39440A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7" w:type="dxa"/>
          </w:tcPr>
          <w:p w14:paraId="0264D3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w:t>
            </w:r>
          </w:p>
        </w:tc>
        <w:tc>
          <w:tcPr>
            <w:tcW w:w="1277" w:type="dxa"/>
          </w:tcPr>
          <w:p w14:paraId="71225D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277" w:type="dxa"/>
          </w:tcPr>
          <w:p w14:paraId="4E7CDD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пул.,1хт</w:t>
            </w:r>
          </w:p>
        </w:tc>
        <w:tc>
          <w:tcPr>
            <w:tcW w:w="1277" w:type="dxa"/>
          </w:tcPr>
          <w:p w14:paraId="27371F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w:t>
            </w:r>
          </w:p>
        </w:tc>
      </w:tr>
      <w:tr w:rsidR="007D5DF8" w:rsidRPr="00DB5D0D" w14:paraId="0E082096" w14:textId="77777777" w:rsidTr="00E543D0">
        <w:tc>
          <w:tcPr>
            <w:tcW w:w="1277" w:type="dxa"/>
          </w:tcPr>
          <w:p w14:paraId="27CCEA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Арадо Ар-95</w:t>
            </w:r>
          </w:p>
        </w:tc>
        <w:tc>
          <w:tcPr>
            <w:tcW w:w="1277" w:type="dxa"/>
          </w:tcPr>
          <w:p w14:paraId="7B59FA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БМВ132/2х790</w:t>
            </w:r>
          </w:p>
        </w:tc>
        <w:tc>
          <w:tcPr>
            <w:tcW w:w="1277" w:type="dxa"/>
          </w:tcPr>
          <w:p w14:paraId="45DC49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2EF12BA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7525793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39A920D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285E499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443A5C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C244B7A" w14:textId="77777777" w:rsidTr="00E543D0">
        <w:tc>
          <w:tcPr>
            <w:tcW w:w="1277" w:type="dxa"/>
          </w:tcPr>
          <w:p w14:paraId="68D6DF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 колесах</w:t>
            </w:r>
          </w:p>
        </w:tc>
        <w:tc>
          <w:tcPr>
            <w:tcW w:w="1277" w:type="dxa"/>
          </w:tcPr>
          <w:p w14:paraId="1651B6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57C464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328/3000</w:t>
            </w:r>
          </w:p>
        </w:tc>
        <w:tc>
          <w:tcPr>
            <w:tcW w:w="1277" w:type="dxa"/>
          </w:tcPr>
          <w:p w14:paraId="245741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w:t>
            </w:r>
          </w:p>
        </w:tc>
        <w:tc>
          <w:tcPr>
            <w:tcW w:w="1277" w:type="dxa"/>
          </w:tcPr>
          <w:p w14:paraId="4278A0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c>
          <w:tcPr>
            <w:tcW w:w="1277" w:type="dxa"/>
          </w:tcPr>
          <w:p w14:paraId="28B6B4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277" w:type="dxa"/>
          </w:tcPr>
          <w:p w14:paraId="04348A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пул.,1хт 800</w:t>
            </w:r>
          </w:p>
        </w:tc>
        <w:tc>
          <w:tcPr>
            <w:tcW w:w="1277" w:type="dxa"/>
          </w:tcPr>
          <w:p w14:paraId="6EA1B1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1938</w:t>
            </w:r>
          </w:p>
        </w:tc>
      </w:tr>
      <w:tr w:rsidR="007D5DF8" w:rsidRPr="00DB5D0D" w14:paraId="610B51A9" w14:textId="77777777" w:rsidTr="00E543D0">
        <w:tc>
          <w:tcPr>
            <w:tcW w:w="1277" w:type="dxa"/>
          </w:tcPr>
          <w:p w14:paraId="277073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 поплавках</w:t>
            </w:r>
          </w:p>
        </w:tc>
        <w:tc>
          <w:tcPr>
            <w:tcW w:w="1277" w:type="dxa"/>
          </w:tcPr>
          <w:p w14:paraId="200994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2A8008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310/3000</w:t>
            </w:r>
          </w:p>
        </w:tc>
        <w:tc>
          <w:tcPr>
            <w:tcW w:w="1277" w:type="dxa"/>
          </w:tcPr>
          <w:p w14:paraId="0CCE9A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w:t>
            </w:r>
          </w:p>
        </w:tc>
        <w:tc>
          <w:tcPr>
            <w:tcW w:w="1277" w:type="dxa"/>
          </w:tcPr>
          <w:p w14:paraId="6D1866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1277" w:type="dxa"/>
          </w:tcPr>
          <w:p w14:paraId="5C15C9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277" w:type="dxa"/>
          </w:tcPr>
          <w:p w14:paraId="4AD1FB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Pr>
          <w:p w14:paraId="749A5D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1298ABB" w14:textId="77777777" w:rsidTr="00E543D0">
        <w:tc>
          <w:tcPr>
            <w:tcW w:w="1277" w:type="dxa"/>
          </w:tcPr>
          <w:p w14:paraId="0A48A2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Волти 11ТС морской</w:t>
            </w:r>
          </w:p>
        </w:tc>
        <w:tc>
          <w:tcPr>
            <w:tcW w:w="1277" w:type="dxa"/>
          </w:tcPr>
          <w:p w14:paraId="1F8273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PW/1050</w:t>
            </w:r>
          </w:p>
        </w:tc>
        <w:tc>
          <w:tcPr>
            <w:tcW w:w="1277" w:type="dxa"/>
          </w:tcPr>
          <w:p w14:paraId="6A9FCA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317/2280</w:t>
            </w:r>
          </w:p>
        </w:tc>
        <w:tc>
          <w:tcPr>
            <w:tcW w:w="1277" w:type="dxa"/>
          </w:tcPr>
          <w:p w14:paraId="0F2454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w:t>
            </w:r>
          </w:p>
        </w:tc>
        <w:tc>
          <w:tcPr>
            <w:tcW w:w="1277" w:type="dxa"/>
          </w:tcPr>
          <w:p w14:paraId="7FC18A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930</w:t>
            </w:r>
          </w:p>
        </w:tc>
        <w:tc>
          <w:tcPr>
            <w:tcW w:w="1277" w:type="dxa"/>
          </w:tcPr>
          <w:p w14:paraId="3EF682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277" w:type="dxa"/>
          </w:tcPr>
          <w:p w14:paraId="11FE68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пул.,1хт 720</w:t>
            </w:r>
          </w:p>
        </w:tc>
        <w:tc>
          <w:tcPr>
            <w:tcW w:w="1277" w:type="dxa"/>
          </w:tcPr>
          <w:p w14:paraId="67FAF2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w:t>
            </w:r>
          </w:p>
        </w:tc>
      </w:tr>
      <w:tr w:rsidR="007D5DF8" w:rsidRPr="00DB5D0D" w14:paraId="6F414BAD" w14:textId="77777777" w:rsidTr="00E543D0">
        <w:tc>
          <w:tcPr>
            <w:tcW w:w="1277" w:type="dxa"/>
          </w:tcPr>
          <w:p w14:paraId="51BBEE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Фоккер Т-8W</w:t>
            </w:r>
          </w:p>
        </w:tc>
        <w:tc>
          <w:tcPr>
            <w:tcW w:w="1277" w:type="dxa"/>
          </w:tcPr>
          <w:p w14:paraId="31B45C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Брист./2х820</w:t>
            </w:r>
          </w:p>
        </w:tc>
        <w:tc>
          <w:tcPr>
            <w:tcW w:w="1277" w:type="dxa"/>
          </w:tcPr>
          <w:p w14:paraId="6F3DFD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358/-</w:t>
            </w:r>
          </w:p>
        </w:tc>
        <w:tc>
          <w:tcPr>
            <w:tcW w:w="1277" w:type="dxa"/>
          </w:tcPr>
          <w:p w14:paraId="3838CF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7" w:type="dxa"/>
          </w:tcPr>
          <w:p w14:paraId="768E86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w:t>
            </w:r>
          </w:p>
        </w:tc>
        <w:tc>
          <w:tcPr>
            <w:tcW w:w="1277" w:type="dxa"/>
          </w:tcPr>
          <w:p w14:paraId="54D830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277" w:type="dxa"/>
          </w:tcPr>
          <w:p w14:paraId="04C616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пул., 1хт 750</w:t>
            </w:r>
          </w:p>
        </w:tc>
        <w:tc>
          <w:tcPr>
            <w:tcW w:w="1277" w:type="dxa"/>
          </w:tcPr>
          <w:p w14:paraId="3E58C9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1938 </w:t>
            </w:r>
          </w:p>
        </w:tc>
      </w:tr>
      <w:tr w:rsidR="007D5DF8" w:rsidRPr="00DB5D0D" w14:paraId="686D5DF0" w14:textId="77777777" w:rsidTr="00E543D0">
        <w:tc>
          <w:tcPr>
            <w:tcW w:w="1277" w:type="dxa"/>
            <w:tcBorders>
              <w:bottom w:val="single" w:sz="12" w:space="0" w:color="auto"/>
            </w:tcBorders>
          </w:tcPr>
          <w:p w14:paraId="370126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(1207,96)</w:t>
            </w:r>
          </w:p>
        </w:tc>
        <w:tc>
          <w:tcPr>
            <w:tcW w:w="1277" w:type="dxa"/>
            <w:tcBorders>
              <w:bottom w:val="single" w:sz="12" w:space="0" w:color="auto"/>
            </w:tcBorders>
          </w:tcPr>
          <w:p w14:paraId="4220AA9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Borders>
              <w:bottom w:val="single" w:sz="12" w:space="0" w:color="auto"/>
            </w:tcBorders>
          </w:tcPr>
          <w:p w14:paraId="7A3E0EB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Borders>
              <w:bottom w:val="single" w:sz="12" w:space="0" w:color="auto"/>
            </w:tcBorders>
          </w:tcPr>
          <w:p w14:paraId="39C77FD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Borders>
              <w:bottom w:val="single" w:sz="12" w:space="0" w:color="auto"/>
            </w:tcBorders>
          </w:tcPr>
          <w:p w14:paraId="35800A3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Borders>
              <w:bottom w:val="single" w:sz="12" w:space="0" w:color="auto"/>
            </w:tcBorders>
          </w:tcPr>
          <w:p w14:paraId="0C1583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Borders>
              <w:bottom w:val="single" w:sz="12" w:space="0" w:color="auto"/>
            </w:tcBorders>
          </w:tcPr>
          <w:p w14:paraId="305B03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7" w:type="dxa"/>
            <w:tcBorders>
              <w:bottom w:val="single" w:sz="12" w:space="0" w:color="auto"/>
            </w:tcBorders>
          </w:tcPr>
          <w:p w14:paraId="2E96C0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46B9B85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DE2FB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вышел приказ НКАП N 384 по самолету И-153 с М-62 и М-63 (1170).</w:t>
      </w:r>
    </w:p>
    <w:p w14:paraId="67E42D1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A297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г. начальник НИИ ВВС генерал-майор авиации Филин и военком НИИ ВВС полковой комиссар Лунов писали письмо N 1/0713 врид начальника ГУ ВВС генерал-лейтенанту авиации Рычагову.</w:t>
      </w:r>
    </w:p>
    <w:p w14:paraId="73A897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облет головного серийного самолета И-28 М-88 постройки завода N 292 (Саркомбайн), произведенный летчиками испытателями НИИ ВВС - майором Стефановским, ст. лейтенантом Кубышкиным показал, что мероприятия по улучшению устойчивости самолета оказались малоэффективными.</w:t>
      </w:r>
    </w:p>
    <w:p w14:paraId="25D68A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продольная и поперечная самолета И-28 осталась неудовлетворительной. Пилотирование самолетом сложное; для полетов в частях и школах ВВС самолет не может быть использован.</w:t>
      </w:r>
    </w:p>
    <w:p w14:paraId="328FC1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своей стороны считаю наиболее целесообразным работы с самолетом И-28 на заводе N 292 прекратить и самолеты И-28 М-88 постройки завода 292 передать в школы ВВС в качестве учебного пособия для изучения конструкции и оборудования современных истребителей (3332,121).</w:t>
      </w:r>
    </w:p>
    <w:p w14:paraId="50016AB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16780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Зам. Нач. ГУВВС г-л Рычагов и Военком Иванов писали А.И.Ш. письмо N 507702:</w:t>
      </w:r>
    </w:p>
    <w:p w14:paraId="5AC67E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постановлению КО N 253 от 9 июня 1940 требовалось в месячный срок разработать план переоборудования И-16 типа 10 на тип 18 и утвердить его НКОП, НКАП и НК ВМФ. Просил утвердить проект плана (1296,270).</w:t>
      </w:r>
    </w:p>
    <w:p w14:paraId="0BFCC39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AE753C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г Протокол постоянной комиссии по рас</w:t>
      </w:r>
      <w:r w:rsidRPr="00DB5D0D">
        <w:rPr>
          <w:rFonts w:ascii="Times New Roman" w:hAnsi="Times New Roman"/>
          <w:color w:val="000000" w:themeColor="text1"/>
          <w:sz w:val="16"/>
          <w:szCs w:val="16"/>
        </w:rPr>
        <w:softHyphen/>
        <w:t>смотрению инициативных проектов, не вошедших в план 1940 г., которую воз</w:t>
      </w:r>
      <w:r w:rsidRPr="00DB5D0D">
        <w:rPr>
          <w:rFonts w:ascii="Times New Roman" w:hAnsi="Times New Roman"/>
          <w:color w:val="000000" w:themeColor="text1"/>
          <w:sz w:val="16"/>
          <w:szCs w:val="16"/>
        </w:rPr>
        <w:softHyphen/>
        <w:t>главлял академик Б.И.Юрьев, утвердил заместитель Наркома авиационной про</w:t>
      </w:r>
      <w:r w:rsidRPr="00DB5D0D">
        <w:rPr>
          <w:rFonts w:ascii="Times New Roman" w:hAnsi="Times New Roman"/>
          <w:color w:val="000000" w:themeColor="text1"/>
          <w:sz w:val="16"/>
          <w:szCs w:val="16"/>
        </w:rPr>
        <w:softHyphen/>
        <w:t>мышленности А.С.Яковлев. При этом он зачеркнул слова, упоминающие за</w:t>
      </w:r>
      <w:r w:rsidRPr="00DB5D0D">
        <w:rPr>
          <w:rFonts w:ascii="Times New Roman" w:hAnsi="Times New Roman"/>
          <w:color w:val="000000" w:themeColor="text1"/>
          <w:sz w:val="16"/>
          <w:szCs w:val="16"/>
        </w:rPr>
        <w:softHyphen/>
        <w:t>дание, данное П.О.Сухому (5278).</w:t>
      </w:r>
    </w:p>
    <w:p w14:paraId="178541A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6E334C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был подготовлен Перечень опытных самолетов, окончивших испытания во II квартале 1940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tblGrid>
      <w:tr w:rsidR="007D5DF8" w:rsidRPr="00DB5D0D" w14:paraId="5D4AAE8A" w14:textId="77777777" w:rsidTr="00E543D0">
        <w:tc>
          <w:tcPr>
            <w:tcW w:w="2874" w:type="dxa"/>
            <w:tcBorders>
              <w:top w:val="single" w:sz="12" w:space="0" w:color="auto"/>
            </w:tcBorders>
          </w:tcPr>
          <w:p w14:paraId="410104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самолетов</w:t>
            </w:r>
          </w:p>
        </w:tc>
        <w:tc>
          <w:tcPr>
            <w:tcW w:w="2874" w:type="dxa"/>
            <w:tcBorders>
              <w:top w:val="single" w:sz="12" w:space="0" w:color="auto"/>
            </w:tcBorders>
          </w:tcPr>
          <w:p w14:paraId="5F20EB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 окончан.</w:t>
            </w:r>
          </w:p>
        </w:tc>
        <w:tc>
          <w:tcPr>
            <w:tcW w:w="2874" w:type="dxa"/>
            <w:tcBorders>
              <w:top w:val="single" w:sz="12" w:space="0" w:color="auto"/>
            </w:tcBorders>
          </w:tcPr>
          <w:p w14:paraId="0CF2E5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 окончан.</w:t>
            </w:r>
          </w:p>
        </w:tc>
      </w:tr>
      <w:tr w:rsidR="007D5DF8" w:rsidRPr="00DB5D0D" w14:paraId="30C45ED4" w14:textId="77777777" w:rsidTr="00E543D0">
        <w:tc>
          <w:tcPr>
            <w:tcW w:w="2874" w:type="dxa"/>
          </w:tcPr>
          <w:p w14:paraId="1516DD8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Pr>
          <w:p w14:paraId="293CF4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заводских</w:t>
            </w:r>
          </w:p>
        </w:tc>
        <w:tc>
          <w:tcPr>
            <w:tcW w:w="2874" w:type="dxa"/>
          </w:tcPr>
          <w:p w14:paraId="2283AE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w:t>
            </w:r>
          </w:p>
        </w:tc>
      </w:tr>
      <w:tr w:rsidR="007D5DF8" w:rsidRPr="00DB5D0D" w14:paraId="67B7DA67" w14:textId="77777777" w:rsidTr="00E543D0">
        <w:tc>
          <w:tcPr>
            <w:tcW w:w="2874" w:type="dxa"/>
          </w:tcPr>
          <w:p w14:paraId="7876C45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Pr>
          <w:p w14:paraId="7F56B8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испытаний</w:t>
            </w:r>
          </w:p>
        </w:tc>
        <w:tc>
          <w:tcPr>
            <w:tcW w:w="2874" w:type="dxa"/>
          </w:tcPr>
          <w:p w14:paraId="3CE2E6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испытаний</w:t>
            </w:r>
          </w:p>
        </w:tc>
      </w:tr>
      <w:tr w:rsidR="007D5DF8" w:rsidRPr="00DB5D0D" w14:paraId="24874830" w14:textId="77777777" w:rsidTr="00E543D0">
        <w:tc>
          <w:tcPr>
            <w:tcW w:w="2874" w:type="dxa"/>
          </w:tcPr>
          <w:p w14:paraId="134288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И180-М88Р</w:t>
            </w:r>
          </w:p>
        </w:tc>
        <w:tc>
          <w:tcPr>
            <w:tcW w:w="2874" w:type="dxa"/>
          </w:tcPr>
          <w:p w14:paraId="7A81ED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июня</w:t>
            </w:r>
          </w:p>
        </w:tc>
        <w:tc>
          <w:tcPr>
            <w:tcW w:w="2874" w:type="dxa"/>
          </w:tcPr>
          <w:p w14:paraId="658118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 окончил, </w:t>
            </w:r>
          </w:p>
        </w:tc>
      </w:tr>
      <w:tr w:rsidR="007D5DF8" w:rsidRPr="00DB5D0D" w14:paraId="216670EE" w14:textId="77777777" w:rsidTr="00E543D0">
        <w:tc>
          <w:tcPr>
            <w:tcW w:w="2874" w:type="dxa"/>
          </w:tcPr>
          <w:p w14:paraId="74E914A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Pr>
          <w:p w14:paraId="2CC9515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Pr>
          <w:p w14:paraId="42430D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разбит</w:t>
            </w:r>
          </w:p>
        </w:tc>
      </w:tr>
      <w:tr w:rsidR="007D5DF8" w:rsidRPr="00DB5D0D" w14:paraId="46C50854" w14:textId="77777777" w:rsidTr="00E543D0">
        <w:tc>
          <w:tcPr>
            <w:tcW w:w="2874" w:type="dxa"/>
          </w:tcPr>
          <w:p w14:paraId="720710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И190-М88</w:t>
            </w:r>
          </w:p>
        </w:tc>
        <w:tc>
          <w:tcPr>
            <w:tcW w:w="2874" w:type="dxa"/>
          </w:tcPr>
          <w:p w14:paraId="1415FD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w:t>
            </w:r>
          </w:p>
        </w:tc>
        <w:tc>
          <w:tcPr>
            <w:tcW w:w="2874" w:type="dxa"/>
          </w:tcPr>
          <w:p w14:paraId="2A9F92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8D23923" w14:textId="77777777" w:rsidTr="00E543D0">
        <w:tc>
          <w:tcPr>
            <w:tcW w:w="2874" w:type="dxa"/>
          </w:tcPr>
          <w:p w14:paraId="0FDD5C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И28-М88Р</w:t>
            </w:r>
          </w:p>
        </w:tc>
        <w:tc>
          <w:tcPr>
            <w:tcW w:w="2874" w:type="dxa"/>
          </w:tcPr>
          <w:p w14:paraId="3A3A25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63B318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w:t>
            </w:r>
          </w:p>
        </w:tc>
      </w:tr>
      <w:tr w:rsidR="007D5DF8" w:rsidRPr="00DB5D0D" w14:paraId="3769AF69" w14:textId="77777777" w:rsidTr="00E543D0">
        <w:tc>
          <w:tcPr>
            <w:tcW w:w="2874" w:type="dxa"/>
          </w:tcPr>
          <w:p w14:paraId="63E6D9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ОКО6-2М88</w:t>
            </w:r>
          </w:p>
        </w:tc>
        <w:tc>
          <w:tcPr>
            <w:tcW w:w="2874" w:type="dxa"/>
          </w:tcPr>
          <w:p w14:paraId="2A2EBD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w:t>
            </w:r>
          </w:p>
        </w:tc>
        <w:tc>
          <w:tcPr>
            <w:tcW w:w="2874" w:type="dxa"/>
          </w:tcPr>
          <w:p w14:paraId="5E3522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DFA95E8" w14:textId="77777777" w:rsidTr="00E543D0">
        <w:tc>
          <w:tcPr>
            <w:tcW w:w="2874" w:type="dxa"/>
          </w:tcPr>
          <w:p w14:paraId="6C7B2DE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Pr>
          <w:p w14:paraId="4C9DD4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улучшается</w:t>
            </w:r>
          </w:p>
        </w:tc>
        <w:tc>
          <w:tcPr>
            <w:tcW w:w="2874" w:type="dxa"/>
          </w:tcPr>
          <w:p w14:paraId="5DF5138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5BAE300" w14:textId="77777777" w:rsidTr="00E543D0">
        <w:tc>
          <w:tcPr>
            <w:tcW w:w="2874" w:type="dxa"/>
          </w:tcPr>
          <w:p w14:paraId="3155AE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Pr>
          <w:p w14:paraId="3F1F36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w:t>
            </w:r>
          </w:p>
        </w:tc>
        <w:tc>
          <w:tcPr>
            <w:tcW w:w="2874" w:type="dxa"/>
          </w:tcPr>
          <w:p w14:paraId="2B6C530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560949A" w14:textId="77777777" w:rsidTr="00E543D0">
        <w:tc>
          <w:tcPr>
            <w:tcW w:w="2874" w:type="dxa"/>
          </w:tcPr>
          <w:p w14:paraId="1DA369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И26/II-М105П</w:t>
            </w:r>
          </w:p>
        </w:tc>
        <w:tc>
          <w:tcPr>
            <w:tcW w:w="2874" w:type="dxa"/>
          </w:tcPr>
          <w:p w14:paraId="2115AF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w:t>
            </w:r>
          </w:p>
        </w:tc>
        <w:tc>
          <w:tcPr>
            <w:tcW w:w="2874" w:type="dxa"/>
          </w:tcPr>
          <w:p w14:paraId="57EE20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611D0D2" w14:textId="77777777" w:rsidTr="00E543D0">
        <w:tc>
          <w:tcPr>
            <w:tcW w:w="2874" w:type="dxa"/>
          </w:tcPr>
          <w:p w14:paraId="4531BF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ББ22-2М103</w:t>
            </w:r>
          </w:p>
        </w:tc>
        <w:tc>
          <w:tcPr>
            <w:tcW w:w="2874" w:type="dxa"/>
          </w:tcPr>
          <w:p w14:paraId="2080C6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074D93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апреля</w:t>
            </w:r>
          </w:p>
        </w:tc>
      </w:tr>
      <w:tr w:rsidR="007D5DF8" w:rsidRPr="00DB5D0D" w14:paraId="6E56B321" w14:textId="77777777" w:rsidTr="00E543D0">
        <w:tc>
          <w:tcPr>
            <w:tcW w:w="2874" w:type="dxa"/>
          </w:tcPr>
          <w:p w14:paraId="3484E9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ББ1-М88</w:t>
            </w:r>
          </w:p>
        </w:tc>
        <w:tc>
          <w:tcPr>
            <w:tcW w:w="2874" w:type="dxa"/>
          </w:tcPr>
          <w:p w14:paraId="6A0BF0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671010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апреля</w:t>
            </w:r>
          </w:p>
        </w:tc>
      </w:tr>
      <w:tr w:rsidR="007D5DF8" w:rsidRPr="00DB5D0D" w14:paraId="13FA4FFA" w14:textId="77777777" w:rsidTr="00E543D0">
        <w:tc>
          <w:tcPr>
            <w:tcW w:w="2874" w:type="dxa"/>
          </w:tcPr>
          <w:p w14:paraId="0F22D9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100-2М105</w:t>
            </w:r>
          </w:p>
        </w:tc>
        <w:tc>
          <w:tcPr>
            <w:tcW w:w="2874" w:type="dxa"/>
          </w:tcPr>
          <w:p w14:paraId="470475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110BFD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w:t>
            </w:r>
          </w:p>
        </w:tc>
      </w:tr>
      <w:tr w:rsidR="007D5DF8" w:rsidRPr="00DB5D0D" w14:paraId="5996DD1B" w14:textId="77777777" w:rsidTr="00E543D0">
        <w:tc>
          <w:tcPr>
            <w:tcW w:w="2874" w:type="dxa"/>
          </w:tcPr>
          <w:p w14:paraId="04DAE8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БШ-АМ35</w:t>
            </w:r>
          </w:p>
        </w:tc>
        <w:tc>
          <w:tcPr>
            <w:tcW w:w="2874" w:type="dxa"/>
          </w:tcPr>
          <w:p w14:paraId="5D204A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3AD6B2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апреля</w:t>
            </w:r>
          </w:p>
        </w:tc>
      </w:tr>
      <w:tr w:rsidR="007D5DF8" w:rsidRPr="00DB5D0D" w14:paraId="788D21DF" w14:textId="77777777" w:rsidTr="00E543D0">
        <w:tc>
          <w:tcPr>
            <w:tcW w:w="2874" w:type="dxa"/>
          </w:tcPr>
          <w:p w14:paraId="0BAD45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И207/II-М62</w:t>
            </w:r>
          </w:p>
        </w:tc>
        <w:tc>
          <w:tcPr>
            <w:tcW w:w="2874" w:type="dxa"/>
          </w:tcPr>
          <w:p w14:paraId="1144A1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10E33C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w:t>
            </w:r>
          </w:p>
        </w:tc>
      </w:tr>
      <w:tr w:rsidR="007D5DF8" w:rsidRPr="00DB5D0D" w14:paraId="6AF88CE0" w14:textId="77777777" w:rsidTr="00E543D0">
        <w:tc>
          <w:tcPr>
            <w:tcW w:w="2874" w:type="dxa"/>
          </w:tcPr>
          <w:p w14:paraId="595968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И207/III-М63</w:t>
            </w:r>
          </w:p>
        </w:tc>
        <w:tc>
          <w:tcPr>
            <w:tcW w:w="2874" w:type="dxa"/>
          </w:tcPr>
          <w:p w14:paraId="5602B7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июня</w:t>
            </w:r>
          </w:p>
        </w:tc>
        <w:tc>
          <w:tcPr>
            <w:tcW w:w="2874" w:type="dxa"/>
          </w:tcPr>
          <w:p w14:paraId="414764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AFE5FD6" w14:textId="77777777" w:rsidTr="00E543D0">
        <w:tc>
          <w:tcPr>
            <w:tcW w:w="2874" w:type="dxa"/>
          </w:tcPr>
          <w:p w14:paraId="5C415BF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Pr>
          <w:p w14:paraId="527216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изменяется</w:t>
            </w:r>
          </w:p>
        </w:tc>
        <w:tc>
          <w:tcPr>
            <w:tcW w:w="2874" w:type="dxa"/>
          </w:tcPr>
          <w:p w14:paraId="7DE2A5C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44DD3B6" w14:textId="77777777" w:rsidTr="00E543D0">
        <w:tc>
          <w:tcPr>
            <w:tcW w:w="2874" w:type="dxa"/>
          </w:tcPr>
          <w:p w14:paraId="0BAF9C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Pr>
          <w:p w14:paraId="6B228B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2874" w:type="dxa"/>
          </w:tcPr>
          <w:p w14:paraId="275FE1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8E06D43" w14:textId="77777777" w:rsidTr="00E543D0">
        <w:tc>
          <w:tcPr>
            <w:tcW w:w="2874" w:type="dxa"/>
          </w:tcPr>
          <w:p w14:paraId="58BFC3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ДБЛК-2М87Б</w:t>
            </w:r>
          </w:p>
        </w:tc>
        <w:tc>
          <w:tcPr>
            <w:tcW w:w="2874" w:type="dxa"/>
          </w:tcPr>
          <w:p w14:paraId="4FBF1C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71B507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w:t>
            </w:r>
          </w:p>
        </w:tc>
      </w:tr>
      <w:tr w:rsidR="007D5DF8" w:rsidRPr="00DB5D0D" w14:paraId="591C052A" w14:textId="77777777" w:rsidTr="00E543D0">
        <w:tc>
          <w:tcPr>
            <w:tcW w:w="2874" w:type="dxa"/>
          </w:tcPr>
          <w:p w14:paraId="64CC74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И301-М105П</w:t>
            </w:r>
          </w:p>
        </w:tc>
        <w:tc>
          <w:tcPr>
            <w:tcW w:w="2874" w:type="dxa"/>
          </w:tcPr>
          <w:p w14:paraId="12922E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w:t>
            </w:r>
          </w:p>
        </w:tc>
        <w:tc>
          <w:tcPr>
            <w:tcW w:w="2874" w:type="dxa"/>
          </w:tcPr>
          <w:p w14:paraId="0D1E29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EFE9567" w14:textId="77777777" w:rsidTr="00E543D0">
        <w:tc>
          <w:tcPr>
            <w:tcW w:w="2874" w:type="dxa"/>
          </w:tcPr>
          <w:p w14:paraId="22FF0E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ДБ3Ф-2М81</w:t>
            </w:r>
          </w:p>
        </w:tc>
        <w:tc>
          <w:tcPr>
            <w:tcW w:w="2874" w:type="dxa"/>
          </w:tcPr>
          <w:p w14:paraId="2DEE43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w:t>
            </w:r>
          </w:p>
        </w:tc>
        <w:tc>
          <w:tcPr>
            <w:tcW w:w="2874" w:type="dxa"/>
          </w:tcPr>
          <w:p w14:paraId="28AC8F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AE6C0D2" w14:textId="77777777" w:rsidTr="00E543D0">
        <w:tc>
          <w:tcPr>
            <w:tcW w:w="2874" w:type="dxa"/>
          </w:tcPr>
          <w:p w14:paraId="07B696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ББ22-2М105</w:t>
            </w:r>
          </w:p>
        </w:tc>
        <w:tc>
          <w:tcPr>
            <w:tcW w:w="2874" w:type="dxa"/>
          </w:tcPr>
          <w:p w14:paraId="02BCEB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w:t>
            </w:r>
          </w:p>
        </w:tc>
        <w:tc>
          <w:tcPr>
            <w:tcW w:w="2874" w:type="dxa"/>
          </w:tcPr>
          <w:p w14:paraId="249673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D8A13B3" w14:textId="77777777" w:rsidTr="00E543D0">
        <w:tc>
          <w:tcPr>
            <w:tcW w:w="2874" w:type="dxa"/>
          </w:tcPr>
          <w:p w14:paraId="41800E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МДО6-2М63</w:t>
            </w:r>
          </w:p>
        </w:tc>
        <w:tc>
          <w:tcPr>
            <w:tcW w:w="2874" w:type="dxa"/>
          </w:tcPr>
          <w:p w14:paraId="68AED4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июня</w:t>
            </w:r>
          </w:p>
        </w:tc>
        <w:tc>
          <w:tcPr>
            <w:tcW w:w="2874" w:type="dxa"/>
          </w:tcPr>
          <w:p w14:paraId="1616A3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7A12301" w14:textId="77777777" w:rsidTr="00E543D0">
        <w:tc>
          <w:tcPr>
            <w:tcW w:w="2874" w:type="dxa"/>
            <w:tcBorders>
              <w:bottom w:val="single" w:sz="12" w:space="0" w:color="auto"/>
            </w:tcBorders>
          </w:tcPr>
          <w:p w14:paraId="3522A3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2874" w:type="dxa"/>
            <w:tcBorders>
              <w:bottom w:val="single" w:sz="12" w:space="0" w:color="auto"/>
            </w:tcBorders>
          </w:tcPr>
          <w:p w14:paraId="0CE562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2874" w:type="dxa"/>
            <w:tcBorders>
              <w:bottom w:val="single" w:sz="12" w:space="0" w:color="auto"/>
            </w:tcBorders>
          </w:tcPr>
          <w:p w14:paraId="570075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(2090,132)</w:t>
            </w:r>
          </w:p>
        </w:tc>
      </w:tr>
    </w:tbl>
    <w:p w14:paraId="0BC8A5E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B9115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был подготовлен Перечень опытных самолетов, сданных на испытания во II квартале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tblGrid>
      <w:tr w:rsidR="007D5DF8" w:rsidRPr="00DB5D0D" w14:paraId="11CC40A2" w14:textId="77777777" w:rsidTr="00E543D0">
        <w:tc>
          <w:tcPr>
            <w:tcW w:w="2874" w:type="dxa"/>
            <w:tcBorders>
              <w:top w:val="single" w:sz="12" w:space="0" w:color="auto"/>
            </w:tcBorders>
          </w:tcPr>
          <w:p w14:paraId="77F03B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самолетов</w:t>
            </w:r>
          </w:p>
        </w:tc>
        <w:tc>
          <w:tcPr>
            <w:tcW w:w="2874" w:type="dxa"/>
            <w:tcBorders>
              <w:top w:val="single" w:sz="12" w:space="0" w:color="auto"/>
            </w:tcBorders>
          </w:tcPr>
          <w:p w14:paraId="563910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 сдачи</w:t>
            </w:r>
          </w:p>
        </w:tc>
        <w:tc>
          <w:tcPr>
            <w:tcW w:w="2874" w:type="dxa"/>
            <w:tcBorders>
              <w:top w:val="single" w:sz="12" w:space="0" w:color="auto"/>
            </w:tcBorders>
          </w:tcPr>
          <w:p w14:paraId="664575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 сдачи</w:t>
            </w:r>
          </w:p>
        </w:tc>
      </w:tr>
      <w:tr w:rsidR="007D5DF8" w:rsidRPr="00DB5D0D" w14:paraId="63336A3A" w14:textId="77777777" w:rsidTr="00E543D0">
        <w:tc>
          <w:tcPr>
            <w:tcW w:w="2874" w:type="dxa"/>
          </w:tcPr>
          <w:p w14:paraId="63D8328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Pr>
          <w:p w14:paraId="781787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заводские</w:t>
            </w:r>
          </w:p>
        </w:tc>
        <w:tc>
          <w:tcPr>
            <w:tcW w:w="2874" w:type="dxa"/>
          </w:tcPr>
          <w:p w14:paraId="39BB58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госуд.</w:t>
            </w:r>
          </w:p>
        </w:tc>
      </w:tr>
      <w:tr w:rsidR="007D5DF8" w:rsidRPr="00DB5D0D" w14:paraId="6AEF79A9" w14:textId="77777777" w:rsidTr="00E543D0">
        <w:tc>
          <w:tcPr>
            <w:tcW w:w="2874" w:type="dxa"/>
          </w:tcPr>
          <w:p w14:paraId="467F1AC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Pr>
          <w:p w14:paraId="1532E0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w:t>
            </w:r>
          </w:p>
        </w:tc>
        <w:tc>
          <w:tcPr>
            <w:tcW w:w="2874" w:type="dxa"/>
          </w:tcPr>
          <w:p w14:paraId="5BD73A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w:t>
            </w:r>
          </w:p>
        </w:tc>
      </w:tr>
      <w:tr w:rsidR="007D5DF8" w:rsidRPr="00DB5D0D" w14:paraId="5B2C28AE" w14:textId="77777777" w:rsidTr="00E543D0">
        <w:tc>
          <w:tcPr>
            <w:tcW w:w="2874" w:type="dxa"/>
          </w:tcPr>
          <w:p w14:paraId="001B3B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И180-М88</w:t>
            </w:r>
          </w:p>
        </w:tc>
        <w:tc>
          <w:tcPr>
            <w:tcW w:w="2874" w:type="dxa"/>
          </w:tcPr>
          <w:p w14:paraId="2FBA5E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1BC477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июня</w:t>
            </w:r>
          </w:p>
        </w:tc>
      </w:tr>
      <w:tr w:rsidR="007D5DF8" w:rsidRPr="00DB5D0D" w14:paraId="11BFF692" w14:textId="77777777" w:rsidTr="00E543D0">
        <w:tc>
          <w:tcPr>
            <w:tcW w:w="2874" w:type="dxa"/>
          </w:tcPr>
          <w:p w14:paraId="482172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СПБ/III-2М105</w:t>
            </w:r>
          </w:p>
        </w:tc>
        <w:tc>
          <w:tcPr>
            <w:tcW w:w="2874" w:type="dxa"/>
          </w:tcPr>
          <w:p w14:paraId="463B29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апреля</w:t>
            </w:r>
          </w:p>
        </w:tc>
        <w:tc>
          <w:tcPr>
            <w:tcW w:w="2874" w:type="dxa"/>
          </w:tcPr>
          <w:p w14:paraId="66B03A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C67D9DC" w14:textId="77777777" w:rsidTr="00E543D0">
        <w:tc>
          <w:tcPr>
            <w:tcW w:w="2874" w:type="dxa"/>
          </w:tcPr>
          <w:p w14:paraId="0C6304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И26-М105П</w:t>
            </w:r>
          </w:p>
        </w:tc>
        <w:tc>
          <w:tcPr>
            <w:tcW w:w="2874" w:type="dxa"/>
          </w:tcPr>
          <w:p w14:paraId="4DBEC3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2A6FC1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w:t>
            </w:r>
          </w:p>
        </w:tc>
      </w:tr>
      <w:tr w:rsidR="007D5DF8" w:rsidRPr="00DB5D0D" w14:paraId="22E54C65" w14:textId="77777777" w:rsidTr="00E543D0">
        <w:tc>
          <w:tcPr>
            <w:tcW w:w="2874" w:type="dxa"/>
          </w:tcPr>
          <w:p w14:paraId="571D85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И207/III-М63</w:t>
            </w:r>
          </w:p>
        </w:tc>
        <w:tc>
          <w:tcPr>
            <w:tcW w:w="2874" w:type="dxa"/>
          </w:tcPr>
          <w:p w14:paraId="22A571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апреля</w:t>
            </w:r>
          </w:p>
        </w:tc>
        <w:tc>
          <w:tcPr>
            <w:tcW w:w="2874" w:type="dxa"/>
          </w:tcPr>
          <w:p w14:paraId="3FF7DC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A737F50" w14:textId="77777777" w:rsidTr="00E543D0">
        <w:tc>
          <w:tcPr>
            <w:tcW w:w="2874" w:type="dxa"/>
          </w:tcPr>
          <w:p w14:paraId="51B095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И301-М105П</w:t>
            </w:r>
          </w:p>
        </w:tc>
        <w:tc>
          <w:tcPr>
            <w:tcW w:w="2874" w:type="dxa"/>
          </w:tcPr>
          <w:p w14:paraId="7E73CF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74" w:type="dxa"/>
          </w:tcPr>
          <w:p w14:paraId="3BF03D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июня</w:t>
            </w:r>
          </w:p>
        </w:tc>
      </w:tr>
      <w:tr w:rsidR="007D5DF8" w:rsidRPr="00DB5D0D" w14:paraId="629BB2FD" w14:textId="77777777" w:rsidTr="00E543D0">
        <w:tc>
          <w:tcPr>
            <w:tcW w:w="2874" w:type="dxa"/>
          </w:tcPr>
          <w:p w14:paraId="0BE7DB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И-200-АМ35А</w:t>
            </w:r>
          </w:p>
        </w:tc>
        <w:tc>
          <w:tcPr>
            <w:tcW w:w="2874" w:type="dxa"/>
          </w:tcPr>
          <w:p w14:paraId="58DEB8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апреля</w:t>
            </w:r>
          </w:p>
        </w:tc>
        <w:tc>
          <w:tcPr>
            <w:tcW w:w="2874" w:type="dxa"/>
          </w:tcPr>
          <w:p w14:paraId="736AC8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015B4B4" w14:textId="77777777" w:rsidTr="00E543D0">
        <w:tc>
          <w:tcPr>
            <w:tcW w:w="2874" w:type="dxa"/>
          </w:tcPr>
          <w:p w14:paraId="0A2E8C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И200/II-АМ35А</w:t>
            </w:r>
          </w:p>
        </w:tc>
        <w:tc>
          <w:tcPr>
            <w:tcW w:w="2874" w:type="dxa"/>
          </w:tcPr>
          <w:p w14:paraId="36E0FA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w:t>
            </w:r>
          </w:p>
        </w:tc>
        <w:tc>
          <w:tcPr>
            <w:tcW w:w="2874" w:type="dxa"/>
          </w:tcPr>
          <w:p w14:paraId="6FFB8B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D1C2DE9" w14:textId="77777777" w:rsidTr="00E543D0">
        <w:tc>
          <w:tcPr>
            <w:tcW w:w="2874" w:type="dxa"/>
          </w:tcPr>
          <w:p w14:paraId="7BC221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И200/III-АМ35А</w:t>
            </w:r>
          </w:p>
        </w:tc>
        <w:tc>
          <w:tcPr>
            <w:tcW w:w="2874" w:type="dxa"/>
          </w:tcPr>
          <w:p w14:paraId="619D48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июня*</w:t>
            </w:r>
          </w:p>
        </w:tc>
        <w:tc>
          <w:tcPr>
            <w:tcW w:w="2874" w:type="dxa"/>
          </w:tcPr>
          <w:p w14:paraId="6A0000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BD299E6" w14:textId="77777777" w:rsidTr="00E543D0">
        <w:tc>
          <w:tcPr>
            <w:tcW w:w="2874" w:type="dxa"/>
          </w:tcPr>
          <w:p w14:paraId="5D1A09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И135-М105П</w:t>
            </w:r>
          </w:p>
        </w:tc>
        <w:tc>
          <w:tcPr>
            <w:tcW w:w="2874" w:type="dxa"/>
          </w:tcPr>
          <w:p w14:paraId="4AF8D1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w:t>
            </w:r>
          </w:p>
        </w:tc>
        <w:tc>
          <w:tcPr>
            <w:tcW w:w="2874" w:type="dxa"/>
          </w:tcPr>
          <w:p w14:paraId="468DDF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422E2B9" w14:textId="77777777" w:rsidTr="00E543D0">
        <w:tc>
          <w:tcPr>
            <w:tcW w:w="2874" w:type="dxa"/>
          </w:tcPr>
          <w:p w14:paraId="6966DA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И153-М62 с герметич.</w:t>
            </w:r>
          </w:p>
        </w:tc>
        <w:tc>
          <w:tcPr>
            <w:tcW w:w="2874" w:type="dxa"/>
          </w:tcPr>
          <w:p w14:paraId="29CFD75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Pr>
          <w:p w14:paraId="258400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00ED13A" w14:textId="77777777" w:rsidTr="00E543D0">
        <w:tc>
          <w:tcPr>
            <w:tcW w:w="2874" w:type="dxa"/>
          </w:tcPr>
          <w:p w14:paraId="5960C0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кабиной</w:t>
            </w:r>
          </w:p>
        </w:tc>
        <w:tc>
          <w:tcPr>
            <w:tcW w:w="2874" w:type="dxa"/>
          </w:tcPr>
          <w:p w14:paraId="6FC115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w:t>
            </w:r>
          </w:p>
        </w:tc>
        <w:tc>
          <w:tcPr>
            <w:tcW w:w="2874" w:type="dxa"/>
          </w:tcPr>
          <w:p w14:paraId="5D68FF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2B510CB" w14:textId="77777777" w:rsidTr="00E543D0">
        <w:tc>
          <w:tcPr>
            <w:tcW w:w="2874" w:type="dxa"/>
          </w:tcPr>
          <w:p w14:paraId="737D56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ББ22-2М105</w:t>
            </w:r>
          </w:p>
        </w:tc>
        <w:tc>
          <w:tcPr>
            <w:tcW w:w="2874" w:type="dxa"/>
          </w:tcPr>
          <w:p w14:paraId="2A6ED0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апреля</w:t>
            </w:r>
          </w:p>
        </w:tc>
        <w:tc>
          <w:tcPr>
            <w:tcW w:w="2874" w:type="dxa"/>
          </w:tcPr>
          <w:p w14:paraId="784FA6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EE296A6" w14:textId="77777777" w:rsidTr="00E543D0">
        <w:tc>
          <w:tcPr>
            <w:tcW w:w="2874" w:type="dxa"/>
          </w:tcPr>
          <w:p w14:paraId="1751FD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САМ13-2МВ6</w:t>
            </w:r>
          </w:p>
        </w:tc>
        <w:tc>
          <w:tcPr>
            <w:tcW w:w="2874" w:type="dxa"/>
          </w:tcPr>
          <w:p w14:paraId="3F7B16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w:t>
            </w:r>
          </w:p>
        </w:tc>
        <w:tc>
          <w:tcPr>
            <w:tcW w:w="2874" w:type="dxa"/>
          </w:tcPr>
          <w:p w14:paraId="701CE0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5C2D523" w14:textId="77777777" w:rsidTr="00E543D0">
        <w:tc>
          <w:tcPr>
            <w:tcW w:w="2874" w:type="dxa"/>
          </w:tcPr>
          <w:p w14:paraId="75BA12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ДБ240-2М105</w:t>
            </w:r>
          </w:p>
        </w:tc>
        <w:tc>
          <w:tcPr>
            <w:tcW w:w="2874" w:type="dxa"/>
          </w:tcPr>
          <w:p w14:paraId="7E5476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w:t>
            </w:r>
          </w:p>
        </w:tc>
        <w:tc>
          <w:tcPr>
            <w:tcW w:w="2874" w:type="dxa"/>
          </w:tcPr>
          <w:p w14:paraId="095ED2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D5F4BA2" w14:textId="77777777" w:rsidTr="00E543D0">
        <w:tc>
          <w:tcPr>
            <w:tcW w:w="2874" w:type="dxa"/>
          </w:tcPr>
          <w:p w14:paraId="6E775C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100/II-2М105</w:t>
            </w:r>
          </w:p>
        </w:tc>
        <w:tc>
          <w:tcPr>
            <w:tcW w:w="2874" w:type="dxa"/>
          </w:tcPr>
          <w:p w14:paraId="741561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мая*</w:t>
            </w:r>
          </w:p>
        </w:tc>
        <w:tc>
          <w:tcPr>
            <w:tcW w:w="2874" w:type="dxa"/>
          </w:tcPr>
          <w:p w14:paraId="733A44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482EBC0" w14:textId="77777777" w:rsidTr="00E543D0">
        <w:tc>
          <w:tcPr>
            <w:tcW w:w="2874" w:type="dxa"/>
          </w:tcPr>
          <w:p w14:paraId="6BE557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ББ2-М88</w:t>
            </w:r>
          </w:p>
        </w:tc>
        <w:tc>
          <w:tcPr>
            <w:tcW w:w="2874" w:type="dxa"/>
          </w:tcPr>
          <w:p w14:paraId="5858A9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w:t>
            </w:r>
          </w:p>
        </w:tc>
        <w:tc>
          <w:tcPr>
            <w:tcW w:w="2874" w:type="dxa"/>
          </w:tcPr>
          <w:p w14:paraId="5C5FDB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D0C5862" w14:textId="77777777" w:rsidTr="00E543D0">
        <w:tc>
          <w:tcPr>
            <w:tcW w:w="2874" w:type="dxa"/>
          </w:tcPr>
          <w:p w14:paraId="0D9B1A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ИС-М63</w:t>
            </w:r>
          </w:p>
        </w:tc>
        <w:tc>
          <w:tcPr>
            <w:tcW w:w="2874" w:type="dxa"/>
          </w:tcPr>
          <w:p w14:paraId="1258C8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w:t>
            </w:r>
          </w:p>
        </w:tc>
        <w:tc>
          <w:tcPr>
            <w:tcW w:w="2874" w:type="dxa"/>
          </w:tcPr>
          <w:p w14:paraId="73039F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47D547A" w14:textId="77777777" w:rsidTr="00E543D0">
        <w:tc>
          <w:tcPr>
            <w:tcW w:w="2874" w:type="dxa"/>
          </w:tcPr>
          <w:p w14:paraId="0DA78D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МДР6-2М63</w:t>
            </w:r>
          </w:p>
        </w:tc>
        <w:tc>
          <w:tcPr>
            <w:tcW w:w="2874" w:type="dxa"/>
          </w:tcPr>
          <w:p w14:paraId="6FDE09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w:t>
            </w:r>
          </w:p>
        </w:tc>
        <w:tc>
          <w:tcPr>
            <w:tcW w:w="2874" w:type="dxa"/>
          </w:tcPr>
          <w:p w14:paraId="342402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1037992" w14:textId="77777777" w:rsidTr="00E543D0">
        <w:tc>
          <w:tcPr>
            <w:tcW w:w="2874" w:type="dxa"/>
          </w:tcPr>
          <w:p w14:paraId="371EC0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МБР7-М103 дублер</w:t>
            </w:r>
          </w:p>
        </w:tc>
        <w:tc>
          <w:tcPr>
            <w:tcW w:w="2874" w:type="dxa"/>
          </w:tcPr>
          <w:p w14:paraId="31CA37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w:t>
            </w:r>
          </w:p>
        </w:tc>
        <w:tc>
          <w:tcPr>
            <w:tcW w:w="2874" w:type="dxa"/>
          </w:tcPr>
          <w:p w14:paraId="35B377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4B88DC7" w14:textId="77777777" w:rsidTr="00E543D0">
        <w:tc>
          <w:tcPr>
            <w:tcW w:w="2874" w:type="dxa"/>
          </w:tcPr>
          <w:p w14:paraId="3D5BBF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И220-М87Б</w:t>
            </w:r>
          </w:p>
        </w:tc>
        <w:tc>
          <w:tcPr>
            <w:tcW w:w="2874" w:type="dxa"/>
          </w:tcPr>
          <w:p w14:paraId="03D5A1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w:t>
            </w:r>
          </w:p>
        </w:tc>
        <w:tc>
          <w:tcPr>
            <w:tcW w:w="2874" w:type="dxa"/>
          </w:tcPr>
          <w:p w14:paraId="359308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52790A4" w14:textId="77777777" w:rsidTr="00E543D0">
        <w:tc>
          <w:tcPr>
            <w:tcW w:w="2874" w:type="dxa"/>
            <w:tcBorders>
              <w:bottom w:val="single" w:sz="12" w:space="0" w:color="auto"/>
            </w:tcBorders>
          </w:tcPr>
          <w:p w14:paraId="1723EF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2874" w:type="dxa"/>
            <w:tcBorders>
              <w:bottom w:val="single" w:sz="12" w:space="0" w:color="auto"/>
            </w:tcBorders>
          </w:tcPr>
          <w:p w14:paraId="589E29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2874" w:type="dxa"/>
            <w:tcBorders>
              <w:bottom w:val="single" w:sz="12" w:space="0" w:color="auto"/>
            </w:tcBorders>
          </w:tcPr>
          <w:p w14:paraId="46AD65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(2090,133)</w:t>
            </w:r>
          </w:p>
        </w:tc>
      </w:tr>
    </w:tbl>
    <w:p w14:paraId="59E4A04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2E555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года начальник летно-технической группы НКАП М. Громов писал письмо К.Е.Ворошилову.</w:t>
      </w:r>
    </w:p>
    <w:p w14:paraId="231B5D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Изучение летных качеств наших опытных истребителей выявило некоторые свойства, присущие всем этим самолетам.</w:t>
      </w:r>
    </w:p>
    <w:p w14:paraId="6BDBA7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Минимальные скорости, потребные для выполнения маневров с перегрузкой на близпосадочных углах атаки крыла, стали значительно больше по сравнению с минимальной эксплуатационной скоростью горизонтального полета.</w:t>
      </w:r>
    </w:p>
    <w:p w14:paraId="64C1BD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относительное увеличение скоростей вызывается все возрастающей удельной нагрузкой на крыло. Благодаря указанным свойствам, во время боя, где требуется маневр, современные самолеты легко и часто будут срываться в штопор, что весьма нежелательно.</w:t>
      </w:r>
    </w:p>
    <w:p w14:paraId="77903A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устранения этого важнейшего недостатка в будущем следует применять в обязательном порядке, в первую очередь на истребителях, автоматически открывающийся предкрылок или щель в крыле, как наиболее эффективные меры, которые известны в данный момент, Применение этих мер не только повысит боеспособность самолетов, но и безусловно снизит аварийность.</w:t>
      </w:r>
    </w:p>
    <w:p w14:paraId="73253B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Мессершмитт 109 с автоматическими предкрылками имеет одинаковые скорости выполнения виража и минимальные эксплуатационные скорости горизонтального полета. Это объясняется тем, что во время выполнения виража предкрылок внутреннего крыла приоткрывается и предупреждает срыв.</w:t>
      </w:r>
    </w:p>
    <w:p w14:paraId="7662CD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скорость горизонтального полета этого самолета может быть доведена до 105 км/час и только еще меньшие скорости начинают выводить самолет из устойчивого положения, он колеблется, но в штопор не переходит и не может перейти (3332,129-130).</w:t>
      </w:r>
    </w:p>
    <w:p w14:paraId="47605D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Лешуков писал письмо N 1365сс Молотову.</w:t>
      </w:r>
    </w:p>
    <w:p w14:paraId="56F307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Замечания секретариата и инспекции КО по представленному НКАП проекту о внедрении в серию модифицированных и создании новых самолетов на 1939 г.</w:t>
      </w:r>
    </w:p>
    <w:p w14:paraId="4471BD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Общие замечания.</w:t>
      </w:r>
    </w:p>
    <w:p w14:paraId="5A788D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по существу и своему заглавию должен обеспечить резкое улучшение летных данных самолетов в 1939 г. Фактически же от реализации этого проекта мы получим довольно скромные результаты в 1939 г., несколько большие в 1940 г.</w:t>
      </w:r>
    </w:p>
    <w:p w14:paraId="5DDABB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Повышение летных данных самолетов НКАПом предусматривается исключительно за счет повышения мощности моторов, оставляя неиспользованными возможности улучшения за счет аэродинамики, снижения веса, конструктивных изменений и т.п. Имеется довольно много заграничных образцов, где мощности моторов используются более рационально. Французские истребители дошли до скорости в 595 км/час, используя мощности от 450 до 910 НР. Характерно, например, что истребитель Кодрон 713 с мотором в 450 НР дает скорость 480 км/час, истребитель Арсенал 30 с мотором в 690 НР дает скорость 595 км/час, вооруженный 2 пулем. и 1 пушкой немецкий Хенкель Н-112 с мотором в 675 НР давал скорость 510 км/час, а установив мотор Даймлер-Бенц 601 в 1200 НР они поставили рекорд скорости в 730 км/час.</w:t>
      </w:r>
    </w:p>
    <w:p w14:paraId="2B46CC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Наши конструктора берут несомненно заниженные показатели, так Поликарпов собирается дать И-190 со скоростью 520 км/час, но для этого ставит мотор М-88 в 1000 НР.</w:t>
      </w:r>
    </w:p>
    <w:p w14:paraId="561A38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Желая облегчить самолет наши конструктора доводят дальность истребителей до 600 км, тогда как средняя дальность заграничных истребителей 800 км.</w:t>
      </w:r>
    </w:p>
    <w:p w14:paraId="46E3C8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для иностранных, в частности, немецких истребителей, скорость порядка 600 км/час является уже прочно достигнутой, то мы только собираемся в середине 1940 г. изготовить опытные экз. с этой скоростью.</w:t>
      </w:r>
    </w:p>
    <w:p w14:paraId="2B8D92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преамбула к обоснованию, почему нужно снизить премирование] (3332,170-177).</w:t>
      </w:r>
    </w:p>
    <w:p w14:paraId="7146D1E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4EFE4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года Начальник НИП АВ ВВС полковник Шевченко и Военком НИП АВ ВВС в/инженер 2 ранга Щербинин 31 июля 1940 года утвердили Отчет по полигонным испытаниям турели под два пулемета ШКАС калибра 7,62 мм конструкции завода N 22 (Михайлова) на самолете СБ, которые проходили с 20 апреля 1940 года по 25 июня 1940 года (2984).</w:t>
      </w:r>
    </w:p>
    <w:p w14:paraId="42187C0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05C0E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года на НИП АВ ВВС закончились наземные полигонные испытания двух турелей конструкции завода N 39 под два пулемета Шкас, которые проходили с 20 июля 1940 (2977).</w:t>
      </w:r>
    </w:p>
    <w:p w14:paraId="26AE20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0120F4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2-го ранга Успенский.</w:t>
      </w:r>
    </w:p>
    <w:p w14:paraId="685F79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31B24C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турелей на земле на стапеле, в части обеспечения работы автоматики пулемета.</w:t>
      </w:r>
    </w:p>
    <w:p w14:paraId="201C33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Заключение.</w:t>
      </w:r>
    </w:p>
    <w:p w14:paraId="74E2AA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Предъявленные заводом N 39 два варианта турелей под два пулемета Шкас обеспечивают безотказную работу пулеметов на земле со специального стапеля.</w:t>
      </w:r>
    </w:p>
    <w:p w14:paraId="36A809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Испытания показали, что турель с "дуговым" принципом преимуществами перед турелью с "Клычным" принципом не обладает, а по некоторым результатам имеет даже несколько худшие результаты. (процент задержек, результаты рассеивания).</w:t>
      </w:r>
    </w:p>
    <w:p w14:paraId="679065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Испытаниями установлено, что оба варианта турелей не дают возможности осуществить пристрелку пулеметов (2977).</w:t>
      </w:r>
    </w:p>
    <w:p w14:paraId="299FC62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1822A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вышел приказ НКАП N 386сс и директором Уфимского моторного завода назначили А.А.Завитаева (1292,142).</w:t>
      </w:r>
    </w:p>
    <w:p w14:paraId="2993102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E093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А.И.Ш. писал в ЦК ВКП(б) И.В.С., Пред. СНК В.М.М. и Пред. КО при СНК К.Е.В. о приостановке выпуска М-88 (1171).</w:t>
      </w:r>
    </w:p>
    <w:p w14:paraId="0776012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51664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в НИИ ВВС начали испытание на Ю-88 автомата вывода самолета из пикирования по состоянию на 2 августа 1940. 1 августа испытывали на Ю-88 (1293,262).</w:t>
      </w:r>
    </w:p>
    <w:p w14:paraId="5707F88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7D5E4F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3BD27E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AB18D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31 июля по 10 октября 1940 г. на научно-исследовательском зенитном полигоне под Евпаторией были испытаны четыре 10,5-см пушки Flak 38, полученные из Германии. По нашей традиции пушкам Flak 38 присвоили "псевдоним" ГОД (Германская особой доставки). Они проходили совместные испытания с отечественными 100-мм зенитными пушками Л-6, 73-К и сухопутным вариантом Б-34. Баллистика наших пушек и ГОД была почти одинакова, но кучность снарядов ГОД была в два раза выше. Германский снаряд при том же весе давал 700 убойных осколков, а наш - 300. Была отмечена очень точная работа автоматического установщика взрывателя. Живучесть ствола определена в 1000 выстрелов (при падении начальной скорости на 10%). Однако в результате каких-то интриг решено было принять на вооружение не ГОД, а совсем "сырую" 100-мм пушку 73-К. Результат не замедлил сказаться - 73-К "пушкари" завода им. Калинина довести так и не сумели". (Строго говоря - довели, но в 1948 г.) (3573).</w:t>
      </w:r>
    </w:p>
    <w:p w14:paraId="6885E95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4563EF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2BBA940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FCE76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данным на 31 июля 1940 года, ЗакВО был вторым по численности общего количества авиадивизий (7) после КОВО и ЛВО, имевших в своем составе по 8 авиадивизий, также опережал любой военный округ СССР по количеству бомбардировочных авиадивизий (3 из 10 имевшихся в ВВС РККА) (РГВА. Оп. 34. Д 578. Л. 50 об.). Политбюро ЦК ВКП(б) 16 июля 1940 года утвердило в том числе назначения на должности командиров авиадивизий по ЗакВО, в частности, 25-й (Кутаиси) - генерал-майора авиации Нанейшвили В.В., 26-й (Кирова</w:t>
      </w:r>
      <w:r w:rsidRPr="00DB5D0D">
        <w:rPr>
          <w:rFonts w:ascii="Times New Roman" w:hAnsi="Times New Roman"/>
          <w:color w:val="000000" w:themeColor="text1"/>
          <w:sz w:val="16"/>
          <w:szCs w:val="16"/>
        </w:rPr>
        <w:softHyphen/>
        <w:t>бад) - генерал-майора авиации Таюрского А.И., 27-й (Баку) - генерал-майо</w:t>
      </w:r>
      <w:r w:rsidRPr="00DB5D0D">
        <w:rPr>
          <w:rFonts w:ascii="Times New Roman" w:hAnsi="Times New Roman"/>
          <w:color w:val="000000" w:themeColor="text1"/>
          <w:sz w:val="16"/>
          <w:szCs w:val="16"/>
        </w:rPr>
        <w:softHyphen/>
        <w:t>ра авиации Благовещенского А.С (РГАСПИ.Ф. 17. Оп. 162. Д. 128. Л. 12-13).</w:t>
      </w:r>
    </w:p>
    <w:p w14:paraId="1E98E3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Еще в апреле 1940 года распоряжением начальника Генштаба РККА во исполнение указаний наркома обороны «об освоении Ближневосточного театра военных действий» командующий ВВС ЗакВО и командиры 6-го, 42-го, 83-го ДБАП обязывались приступить к изучению таких объектов, как Бейрут, Хайфа, Александретта, Алеппо, английские базы на Кипре, Алексан</w:t>
      </w:r>
      <w:r w:rsidRPr="00DB5D0D">
        <w:rPr>
          <w:rFonts w:ascii="Times New Roman" w:hAnsi="Times New Roman"/>
          <w:color w:val="000000" w:themeColor="text1"/>
          <w:sz w:val="16"/>
          <w:szCs w:val="16"/>
        </w:rPr>
        <w:softHyphen/>
        <w:t>дрия, Суэцкий канал. Командующий ВВС ОдВО (10 апреля 1940 года Поли</w:t>
      </w:r>
      <w:r w:rsidRPr="00DB5D0D">
        <w:rPr>
          <w:rFonts w:ascii="Times New Roman" w:hAnsi="Times New Roman"/>
          <w:color w:val="000000" w:themeColor="text1"/>
          <w:sz w:val="16"/>
          <w:szCs w:val="16"/>
        </w:rPr>
        <w:softHyphen/>
        <w:t>тбюро ЦК ВКП(б) утвердило назначение на этот пост бывшего команду</w:t>
      </w:r>
      <w:r w:rsidRPr="00DB5D0D">
        <w:rPr>
          <w:rFonts w:ascii="Times New Roman" w:hAnsi="Times New Roman"/>
          <w:color w:val="000000" w:themeColor="text1"/>
          <w:sz w:val="16"/>
          <w:szCs w:val="16"/>
        </w:rPr>
        <w:softHyphen/>
        <w:t>ющего ВВС 15-й А комбрига Гусева А.И. (РГАСПИ.Ф. 17. Оп. З.Д. 1021. Л. 85.) и командиры 8-го, 11-го, 21-го ДБАП также получили указания изучать объекты, в основном на террито</w:t>
      </w:r>
      <w:r w:rsidRPr="00DB5D0D">
        <w:rPr>
          <w:rFonts w:ascii="Times New Roman" w:hAnsi="Times New Roman"/>
          <w:color w:val="000000" w:themeColor="text1"/>
          <w:sz w:val="16"/>
          <w:szCs w:val="16"/>
        </w:rPr>
        <w:softHyphen/>
        <w:t>рии Турции, причем 21-й ДБАП обязывался «специально изучать действия по кораблям морского флота». Особо оговаривалось, что «одна эскадрилья 21 -го полка, укомплектованная лучшим составом, будет готовиться для воз</w:t>
      </w:r>
      <w:r w:rsidRPr="00DB5D0D">
        <w:rPr>
          <w:rFonts w:ascii="Times New Roman" w:hAnsi="Times New Roman"/>
          <w:color w:val="000000" w:themeColor="text1"/>
          <w:sz w:val="16"/>
          <w:szCs w:val="16"/>
        </w:rPr>
        <w:softHyphen/>
        <w:t>можных действий по району Александрия, Порт-Саид, Суэцкий канал (об</w:t>
      </w:r>
      <w:r w:rsidRPr="00DB5D0D">
        <w:rPr>
          <w:rFonts w:ascii="Times New Roman" w:hAnsi="Times New Roman"/>
          <w:color w:val="000000" w:themeColor="text1"/>
          <w:sz w:val="16"/>
          <w:szCs w:val="16"/>
        </w:rPr>
        <w:softHyphen/>
        <w:t>щая дальность около 3000 км)» (РГВА. Ф. 29. Оп. 34. Д. 578. Л. 11-11 об.).</w:t>
      </w:r>
    </w:p>
    <w:p w14:paraId="6A5CC4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Директивами №№ 468200 - 468202 от 9 апреля 1940 года за подписями Смушкевича, Агальцова, Арженухина командующий ВВС ЗакВО и команди</w:t>
      </w:r>
      <w:r w:rsidRPr="00DB5D0D">
        <w:rPr>
          <w:rFonts w:ascii="Times New Roman" w:hAnsi="Times New Roman"/>
          <w:color w:val="000000" w:themeColor="text1"/>
          <w:sz w:val="16"/>
          <w:szCs w:val="16"/>
        </w:rPr>
        <w:softHyphen/>
        <w:t>ры 6-го, 42-го, 83-го ДБАП обязывались в целях освоения Ближневосточного ТВД немедленно приступить к изучению условий театра. Особое внимание уделялось объектам: Александретта, Бейрут, Хайфа, Александрия, Порт-Са</w:t>
      </w:r>
      <w:r w:rsidRPr="00DB5D0D">
        <w:rPr>
          <w:rFonts w:ascii="Times New Roman" w:hAnsi="Times New Roman"/>
          <w:color w:val="000000" w:themeColor="text1"/>
          <w:sz w:val="16"/>
          <w:szCs w:val="16"/>
        </w:rPr>
        <w:softHyphen/>
        <w:t>ид, Кипр с английскими базами, Суэцкий канал, Алеппо (Халеб). Имеющи</w:t>
      </w:r>
      <w:r w:rsidRPr="00DB5D0D">
        <w:rPr>
          <w:rFonts w:ascii="Times New Roman" w:hAnsi="Times New Roman"/>
          <w:color w:val="000000" w:themeColor="text1"/>
          <w:sz w:val="16"/>
          <w:szCs w:val="16"/>
        </w:rPr>
        <w:softHyphen/>
        <w:t>еся разведматериалы предписывалось взять в штабе округа, дополнитель</w:t>
      </w:r>
      <w:r w:rsidRPr="00DB5D0D">
        <w:rPr>
          <w:rFonts w:ascii="Times New Roman" w:hAnsi="Times New Roman"/>
          <w:color w:val="000000" w:themeColor="text1"/>
          <w:sz w:val="16"/>
          <w:szCs w:val="16"/>
        </w:rPr>
        <w:softHyphen/>
        <w:t>ные обещали выслать через 15 дней. Предписывалось провести два учебно-тренировочных полета такой же протяженности, как до предполагаемых целей, над районами с аналогичным рельефом местности. Пункт третий гласил: «Обеспечить строжайшее сохранение военной тайны по этому вопросу». Оповещались только члены экипажей, подобранные для боевых заданий, и специально выделенные командиры штаба. Подобные указания (№№ 468214 - 488215 от 11 апреля) за подписями тех же лиц были подго</w:t>
      </w:r>
      <w:r w:rsidRPr="00DB5D0D">
        <w:rPr>
          <w:rFonts w:ascii="Times New Roman" w:hAnsi="Times New Roman"/>
          <w:color w:val="000000" w:themeColor="text1"/>
          <w:sz w:val="16"/>
          <w:szCs w:val="16"/>
        </w:rPr>
        <w:softHyphen/>
        <w:t>товлены и для командующего ВВС ОдВО и соответствующих командиров дальнебомбардировочных полков округа (РГВА. Ф. 29. Оп. 34. Д. 578. Л. 9-9об, 12-12 об.). На 19 июня 1940 года число ис</w:t>
      </w:r>
      <w:r w:rsidRPr="00DB5D0D">
        <w:rPr>
          <w:rFonts w:ascii="Times New Roman" w:hAnsi="Times New Roman"/>
          <w:color w:val="000000" w:themeColor="text1"/>
          <w:sz w:val="16"/>
          <w:szCs w:val="16"/>
        </w:rPr>
        <w:softHyphen/>
        <w:t>правных ДБ-3 ВВС ОдВО составляло 158 машин. Необходимо отметить, что 8-й и 11-й ДБП в это время намечались к переброске из Запорожья в Жито</w:t>
      </w:r>
      <w:r w:rsidRPr="00DB5D0D">
        <w:rPr>
          <w:rFonts w:ascii="Times New Roman" w:hAnsi="Times New Roman"/>
          <w:color w:val="000000" w:themeColor="text1"/>
          <w:sz w:val="16"/>
          <w:szCs w:val="16"/>
        </w:rPr>
        <w:softHyphen/>
        <w:t>мир в распоряжение КОВО в связи с решением Бессарабского вопроса (РГВА. Ф. 29. Оп. 46. Д. 346. Л. 335-336.).</w:t>
      </w:r>
    </w:p>
    <w:p w14:paraId="03E847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этого, Смушкевич, Агалыдов, Арженухин в апреле 1940 года писа</w:t>
      </w:r>
      <w:r w:rsidRPr="00DB5D0D">
        <w:rPr>
          <w:rFonts w:ascii="Times New Roman" w:hAnsi="Times New Roman"/>
          <w:color w:val="000000" w:themeColor="text1"/>
          <w:sz w:val="16"/>
          <w:szCs w:val="16"/>
        </w:rPr>
        <w:softHyphen/>
        <w:t>ли Ворошилову: «Прошу Вашего ходатайства перед Правительством о ко</w:t>
      </w:r>
      <w:r w:rsidRPr="00DB5D0D">
        <w:rPr>
          <w:rFonts w:ascii="Times New Roman" w:hAnsi="Times New Roman"/>
          <w:color w:val="000000" w:themeColor="text1"/>
          <w:sz w:val="16"/>
          <w:szCs w:val="16"/>
        </w:rPr>
        <w:softHyphen/>
        <w:t>мандировании в ТУРЦИЮ и ИРАН группы летчиков и штурманов в составе 15 - 20 человек под каким-либо удобным предлогом.</w:t>
      </w:r>
    </w:p>
    <w:p w14:paraId="00FA22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прошу Вашего ходатайства перед Правительством о за</w:t>
      </w:r>
      <w:r w:rsidRPr="00DB5D0D">
        <w:rPr>
          <w:rFonts w:ascii="Times New Roman" w:hAnsi="Times New Roman"/>
          <w:color w:val="000000" w:themeColor="text1"/>
          <w:sz w:val="16"/>
          <w:szCs w:val="16"/>
        </w:rPr>
        <w:softHyphen/>
        <w:t>ключении договора с ИРАНОМ об открытии международной воздушной линии ТЕГЕРАН - ТБИЛИСИ. Это даст возможность изучения технических условий полетов и некоторых объектов действий» (РГВА. Ф. 29. Оп. 34. Д. 578. Л. 8.).</w:t>
      </w:r>
    </w:p>
    <w:p w14:paraId="17058B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Дошло до того, что в связи с нехваткой соответствующих разведданных решено было задействовать немецкие источники. В документе (исходящий номер № 468199) от 7 апреля 1940 года за подписями Смушкевича, Агальцова, Арженухина, адресованном замнаркома обороны комдиву Проскурову, гово</w:t>
      </w:r>
      <w:r w:rsidRPr="00DB5D0D">
        <w:rPr>
          <w:rFonts w:ascii="Times New Roman" w:hAnsi="Times New Roman"/>
          <w:color w:val="000000" w:themeColor="text1"/>
          <w:sz w:val="16"/>
          <w:szCs w:val="16"/>
        </w:rPr>
        <w:softHyphen/>
        <w:t>рилось следующее: «Одновременно прошу дать указание нашему военно-воз</w:t>
      </w:r>
      <w:r w:rsidRPr="00DB5D0D">
        <w:rPr>
          <w:rFonts w:ascii="Times New Roman" w:hAnsi="Times New Roman"/>
          <w:color w:val="000000" w:themeColor="text1"/>
          <w:sz w:val="16"/>
          <w:szCs w:val="16"/>
        </w:rPr>
        <w:softHyphen/>
        <w:t>душному атташе в ГЕРМАНИИ тов. СКОРНЯКОВУ выслать все материалы по Моссульскому вопросу, которые можно достать у немцев») (РГВА. Ф. 29. Оп. 34. Д. 578. Л. 1.)». Н Д Скорняков (1907 - 1979) - сотрудник резидентуры военной разведки - занимал долж</w:t>
      </w:r>
      <w:r w:rsidRPr="00DB5D0D">
        <w:rPr>
          <w:rFonts w:ascii="Times New Roman" w:hAnsi="Times New Roman"/>
          <w:color w:val="000000" w:themeColor="text1"/>
          <w:sz w:val="16"/>
          <w:szCs w:val="16"/>
        </w:rPr>
        <w:softHyphen/>
        <w:t>ность помощника по авиации военного атташе при полпредстве СССР в Гер</w:t>
      </w:r>
      <w:r w:rsidRPr="00DB5D0D">
        <w:rPr>
          <w:rFonts w:ascii="Times New Roman" w:hAnsi="Times New Roman"/>
          <w:color w:val="000000" w:themeColor="text1"/>
          <w:sz w:val="16"/>
          <w:szCs w:val="16"/>
        </w:rPr>
        <w:softHyphen/>
        <w:t>мании в августе 1939-го - июне 1941 года (Лурье В.М., Кочик ВЛ. ГРУ: дела и люди. С. 300.).</w:t>
      </w:r>
    </w:p>
    <w:p w14:paraId="4ABBEF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Предпринимались и пропагандистские шаги по демонстрации воздуш</w:t>
      </w:r>
      <w:r w:rsidRPr="00DB5D0D">
        <w:rPr>
          <w:rFonts w:ascii="Times New Roman" w:hAnsi="Times New Roman"/>
          <w:color w:val="000000" w:themeColor="text1"/>
          <w:sz w:val="16"/>
          <w:szCs w:val="16"/>
        </w:rPr>
        <w:softHyphen/>
        <w:t>ной мощи на южных рубежах СССР. Так, решением Политбюро ЦК ВКП(б) № П 14 / 154 - ОП от 4 апреля 1940 года «О параде 1 мая 1940 года» утверж</w:t>
      </w:r>
      <w:r w:rsidRPr="00DB5D0D">
        <w:rPr>
          <w:rFonts w:ascii="Times New Roman" w:hAnsi="Times New Roman"/>
          <w:color w:val="000000" w:themeColor="text1"/>
          <w:sz w:val="16"/>
          <w:szCs w:val="16"/>
        </w:rPr>
        <w:softHyphen/>
        <w:t>дался план парада, переданный с поправкой К.Е. Ворошиловым. Для воздуш</w:t>
      </w:r>
      <w:r w:rsidRPr="00DB5D0D">
        <w:rPr>
          <w:rFonts w:ascii="Times New Roman" w:hAnsi="Times New Roman"/>
          <w:color w:val="000000" w:themeColor="text1"/>
          <w:sz w:val="16"/>
          <w:szCs w:val="16"/>
        </w:rPr>
        <w:softHyphen/>
        <w:t>ного парада в Тбилиси и в Батуми количество участвующих самолетов было намечено, соответственно, по 150 единиц (РГАСПИ.Ф. 17.Оп. 162.Д. 27.Л.72.).</w:t>
      </w:r>
    </w:p>
    <w:p w14:paraId="26F0BF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Переброшенные в ЗакВО авиачасти вооружались новейшей боевой техни</w:t>
      </w:r>
      <w:r w:rsidRPr="00DB5D0D">
        <w:rPr>
          <w:rFonts w:ascii="Times New Roman" w:hAnsi="Times New Roman"/>
          <w:color w:val="000000" w:themeColor="text1"/>
          <w:sz w:val="16"/>
          <w:szCs w:val="16"/>
        </w:rPr>
        <w:softHyphen/>
        <w:t>кой. Согласно архивным данным, 12-й тяжелобомбардировочный авиацион</w:t>
      </w:r>
      <w:r w:rsidRPr="00DB5D0D">
        <w:rPr>
          <w:rFonts w:ascii="Times New Roman" w:hAnsi="Times New Roman"/>
          <w:color w:val="000000" w:themeColor="text1"/>
          <w:sz w:val="16"/>
          <w:szCs w:val="16"/>
        </w:rPr>
        <w:softHyphen/>
        <w:t>ный полк 25-й авиационной дивизии по состоянию на 31 октября 1940 года насчитывал в составе первой эскадрильи 13 самолетов ДБ-3 (Самарский филиал Российского государственного архива научно-технической документации (РГАНТД). Ф. Р-124. Оп. 1 -6. Д. 86. Л. 238-239.). Основная их часть (11 самолетов) была выпущена на авиационном заводе № 18 во второй половине августа 1940 года и менее чем за месяц - с 31 августа по 27 сентября того же года - была передана на вооружение эскадрильи (Самарский филиал Российского государственного архива научно-технической документации (РГАНТД). Ф. Р-124. Оп. 1 -6. Д. 86. Л. 238-239.). В 25-ю дивизию входил и 18-й Краснознаменный скоростной бомбардировочный полк (до этого принимавший участие в войне с Финляндией). В его составе на 31 ок</w:t>
      </w:r>
      <w:r w:rsidRPr="00DB5D0D">
        <w:rPr>
          <w:rFonts w:ascii="Times New Roman" w:hAnsi="Times New Roman"/>
          <w:color w:val="000000" w:themeColor="text1"/>
          <w:sz w:val="16"/>
          <w:szCs w:val="16"/>
        </w:rPr>
        <w:softHyphen/>
        <w:t>тября 1940 года было четыре новых самолета СБ-3, выпущенных авиазаводом № 22 им. Горбунова в один и тот же день, 5 августа 1940 года, которые спустя уже три дня вошли в состав соединения (Самарский филиал Российского государственного архива научно-технической документации (РГАНТД). Ф. Р-124. Оп. 1 -6. Д. 86. Л. 257-258.).</w:t>
      </w:r>
    </w:p>
    <w:p w14:paraId="7CFA72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Подобная ситуация с поставками авиатехники на юг страны сохраня</w:t>
      </w:r>
      <w:r w:rsidRPr="00DB5D0D">
        <w:rPr>
          <w:rFonts w:ascii="Times New Roman" w:hAnsi="Times New Roman"/>
          <w:color w:val="000000" w:themeColor="text1"/>
          <w:sz w:val="16"/>
          <w:szCs w:val="16"/>
        </w:rPr>
        <w:softHyphen/>
        <w:t>лась и в 1941 году. Примечательно, что более трети из собранных на 1 апре</w:t>
      </w:r>
      <w:r w:rsidRPr="00DB5D0D">
        <w:rPr>
          <w:rFonts w:ascii="Times New Roman" w:hAnsi="Times New Roman"/>
          <w:color w:val="000000" w:themeColor="text1"/>
          <w:sz w:val="16"/>
          <w:szCs w:val="16"/>
        </w:rPr>
        <w:softHyphen/>
        <w:t>ля 1941 года авиазаводами №№ 292 и 301 истребителей нового поколения типа Як-1 - 78 машин - было отправлено в Баку (Кузнецов СД Первый Як. М., 1995. С. 68.) (11710,309).</w:t>
      </w:r>
    </w:p>
    <w:p w14:paraId="2EFE51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D99C5F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3F4D7365"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950C6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Пленум ЦК ВКП(б) принял постановление «О контроле над проведением в жизнь Указа ПВС СССР от 26 июня 1940 года...», где отмечалось, что «прокуратура, на которую Указ возложил прямые обязанности карать летунов и прогульщиков, работает недопустимо плохо. Органы прокуратуры во многих случаях преступно бездействуют и не осуществляют возложенных на них функций контроля за выполнением Указа. Работники органов прокуратуры неделями задерживают передачу в суд поступивших к ним дел о прогульщиках. Органы прокуратуры не привлекают к ответственности директоров предприятий и начальников учреждений, уклоняющихся от предания суду летунов и прогульщиков». Пленум постановил «снять прокурора СССР т. Панкратьева с занимаемого поста, как не справляющегося со своими обязанностями и не обеспечивающего контроля над выполнением Указа... от 26 июня 1940 года» (7560).</w:t>
      </w:r>
    </w:p>
    <w:p w14:paraId="4ADD04E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120649" w14:textId="77777777" w:rsidR="00A61CD2" w:rsidRPr="00DB5D0D" w:rsidRDefault="00A61CD2" w:rsidP="00DB5D0D">
      <w:pPr>
        <w:spacing w:after="0" w:line="240" w:lineRule="auto"/>
        <w:jc w:val="both"/>
        <w:rPr>
          <w:rFonts w:ascii="Times New Roman" w:hAnsi="Times New Roman"/>
          <w:i/>
          <w:color w:val="000000" w:themeColor="text1"/>
          <w:sz w:val="16"/>
          <w:szCs w:val="16"/>
        </w:rPr>
      </w:pPr>
      <w:r w:rsidRPr="00DB5D0D">
        <w:rPr>
          <w:rFonts w:ascii="Times New Roman" w:hAnsi="Times New Roman"/>
          <w:i/>
          <w:color w:val="000000" w:themeColor="text1"/>
          <w:sz w:val="16"/>
          <w:szCs w:val="16"/>
        </w:rPr>
        <w:t>Внешняя торговля:</w:t>
      </w:r>
    </w:p>
    <w:p w14:paraId="7A87D55D" w14:textId="77777777" w:rsidR="00A61CD2" w:rsidRPr="00DB5D0D" w:rsidRDefault="00A61CD2" w:rsidP="00DB5D0D">
      <w:pPr>
        <w:spacing w:after="0" w:line="240" w:lineRule="auto"/>
        <w:jc w:val="both"/>
        <w:rPr>
          <w:rFonts w:ascii="Times New Roman" w:hAnsi="Times New Roman"/>
          <w:i/>
          <w:color w:val="000000" w:themeColor="text1"/>
          <w:sz w:val="16"/>
          <w:szCs w:val="16"/>
        </w:rPr>
      </w:pPr>
    </w:p>
    <w:p w14:paraId="48114F7D"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в 1940 году в ответ на задержание советским пограничным катером японской рыболовной шхуны, нарушившей советские территориальные воды в районе реки Озерная в 140 км к югу от Усть-Большерецка на западном побережье Камчатки, сюда прибыли 3 японских эскадренных миноносца. Войдя в 3-мильную зону советских территориальных вод, японские боевые корабли попытались захватить рыболовецкие плавсредства Акционерного Камчатского Общества (14969).</w:t>
      </w:r>
    </w:p>
    <w:p w14:paraId="5B234E3E"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747D869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EA09E6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2E8B52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вишистское правительство Франции ввело смертную казнь за участие французов в иностранных армиях (4962).</w:t>
      </w:r>
    </w:p>
    <w:p w14:paraId="747A385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FD02AA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совещание лидеров Германии приняло решение о подготовке войны против СССР (4962).</w:t>
      </w:r>
    </w:p>
    <w:p w14:paraId="4001732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2AA9B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А.Гитлер созвал в Бергхофе руководство ВС и изложил соображения по войне против СССР "Операция только тогда будет иметь смысл, если мы одним ударом разгромим государство." Начали разрабатывать директиву Барбаросса (512,11). Решили увеличить армию до 180 дивизий (2443,417). Там же А.Г. узнал, что нападение на Англию практически невозможно в этом году, однако поставил задачу - 15 сентября (2536,129).</w:t>
      </w:r>
    </w:p>
    <w:p w14:paraId="3625B14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F0F9250" w14:textId="77777777" w:rsidR="00340A68" w:rsidRPr="00DB5D0D" w:rsidRDefault="00340A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в 1940 году на совещании в Бергхофе Гитлер изложил соображения по войне против СССР: “Надежда Англии — Россия и Америка. Если рухнет надежда на Россию, Америка тоже отпадет от Англии, так как разгром России будет иметь следствием невероятное усиление Японии в Восточной Азии. Если Россия будет разгромлена, Англия потеряет последнюю надежду. тогда господствовать в Европе и на Балканах будет Германия. Вывод: Россия должна быть ликвидирована... Чем скорее мы разобьем Россию, тем лучше. Операция будет иметь смысл только в том случае, если мы одним стремительным ударом разгромим все государство целиком. Только захвата какой-то части территории недостаточно”. На этом же совещании Гитлер узнал, что нападение на Англию практически невозможно в этом году, однако поставил задачу осуществить его к 15 сентября (14969).</w:t>
      </w:r>
    </w:p>
    <w:p w14:paraId="736D01DE" w14:textId="77777777" w:rsidR="00340A68" w:rsidRPr="00DB5D0D" w:rsidRDefault="00340A68" w:rsidP="00DB5D0D">
      <w:pPr>
        <w:spacing w:after="0" w:line="240" w:lineRule="auto"/>
        <w:jc w:val="both"/>
        <w:rPr>
          <w:rFonts w:ascii="Times New Roman" w:hAnsi="Times New Roman"/>
          <w:color w:val="000000" w:themeColor="text1"/>
          <w:sz w:val="16"/>
          <w:szCs w:val="16"/>
        </w:rPr>
      </w:pPr>
    </w:p>
    <w:p w14:paraId="37ED96B0" w14:textId="77777777" w:rsidR="00340A68" w:rsidRPr="00DB5D0D" w:rsidRDefault="00340A6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в 1940 году решение совещания руководящих политических и военных деятелей Германии о подготовке войны против СССР и об увеличении сухопутной армии до 180 дивизий (14969).</w:t>
      </w:r>
    </w:p>
    <w:p w14:paraId="30BAAD4A" w14:textId="77777777" w:rsidR="00340A68" w:rsidRPr="00DB5D0D" w:rsidRDefault="00340A68" w:rsidP="00DB5D0D">
      <w:pPr>
        <w:spacing w:after="0" w:line="240" w:lineRule="auto"/>
        <w:jc w:val="both"/>
        <w:rPr>
          <w:rFonts w:ascii="Times New Roman" w:hAnsi="Times New Roman"/>
          <w:color w:val="000000" w:themeColor="text1"/>
          <w:sz w:val="16"/>
          <w:szCs w:val="16"/>
        </w:rPr>
      </w:pPr>
    </w:p>
    <w:p w14:paraId="0496B113"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в 1940 году польское Генерал-губернаторство переименовано в Генерал-губернаторство Германии. Приняты меры по германизации польской топонимики (14969).</w:t>
      </w:r>
    </w:p>
    <w:p w14:paraId="2413DA6E"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28AF6E1A" w14:textId="77777777" w:rsidR="00A61CD2" w:rsidRPr="00DB5D0D" w:rsidRDefault="00A61CD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в 1940 году приказом Гитлера прекращается ведение всех экспериментальных работ в авиации, результаты которых не могли быть использованы в военных целях в ближайшие 8 месяцев (14969).</w:t>
      </w:r>
    </w:p>
    <w:p w14:paraId="6D1FA180" w14:textId="77777777" w:rsidR="00A61CD2" w:rsidRPr="00DB5D0D" w:rsidRDefault="00A61CD2" w:rsidP="00DB5D0D">
      <w:pPr>
        <w:spacing w:after="0" w:line="240" w:lineRule="auto"/>
        <w:jc w:val="both"/>
        <w:rPr>
          <w:rFonts w:ascii="Times New Roman" w:hAnsi="Times New Roman"/>
          <w:color w:val="000000" w:themeColor="text1"/>
          <w:sz w:val="16"/>
          <w:szCs w:val="16"/>
        </w:rPr>
      </w:pPr>
    </w:p>
    <w:p w14:paraId="7183A55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26A953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DEAD8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июля 1940 чертежи первого экземпляра ОБШ П.О.С. были закончены и сданы в производство. Согласно тактико-техническим требо</w:t>
      </w:r>
      <w:r w:rsidRPr="00DB5D0D">
        <w:rPr>
          <w:rFonts w:ascii="Times New Roman" w:hAnsi="Times New Roman"/>
          <w:color w:val="000000" w:themeColor="text1"/>
          <w:sz w:val="16"/>
          <w:szCs w:val="16"/>
        </w:rPr>
        <w:softHyphen/>
        <w:t>ваниям на самолет ОБШ (одномоторный бронированный штурмовик), максималь</w:t>
      </w:r>
      <w:r w:rsidRPr="00DB5D0D">
        <w:rPr>
          <w:rFonts w:ascii="Times New Roman" w:hAnsi="Times New Roman"/>
          <w:color w:val="000000" w:themeColor="text1"/>
          <w:sz w:val="16"/>
          <w:szCs w:val="16"/>
        </w:rPr>
        <w:softHyphen/>
        <w:t>ную толщину брони в 8,5 мм выбрали, ис</w:t>
      </w:r>
      <w:r w:rsidRPr="00DB5D0D">
        <w:rPr>
          <w:rFonts w:ascii="Times New Roman" w:hAnsi="Times New Roman"/>
          <w:color w:val="000000" w:themeColor="text1"/>
          <w:sz w:val="16"/>
          <w:szCs w:val="16"/>
        </w:rPr>
        <w:softHyphen/>
        <w:t>ходя из условий полета на высоте 25 ме</w:t>
      </w:r>
      <w:r w:rsidRPr="00DB5D0D">
        <w:rPr>
          <w:rFonts w:ascii="Times New Roman" w:hAnsi="Times New Roman"/>
          <w:color w:val="000000" w:themeColor="text1"/>
          <w:sz w:val="16"/>
          <w:szCs w:val="16"/>
        </w:rPr>
        <w:softHyphen/>
        <w:t>тров и дистанции обстрела с земли - на</w:t>
      </w:r>
      <w:r w:rsidRPr="00DB5D0D">
        <w:rPr>
          <w:rFonts w:ascii="Times New Roman" w:hAnsi="Times New Roman"/>
          <w:color w:val="000000" w:themeColor="text1"/>
          <w:sz w:val="16"/>
          <w:szCs w:val="16"/>
        </w:rPr>
        <w:softHyphen/>
        <w:t>чиная от 200 метров и выше. Общий вес брони при этом составил 290 кг. Установка усиленной брони, обеспечи</w:t>
      </w:r>
      <w:r w:rsidRPr="00DB5D0D">
        <w:rPr>
          <w:rFonts w:ascii="Times New Roman" w:hAnsi="Times New Roman"/>
          <w:color w:val="000000" w:themeColor="text1"/>
          <w:sz w:val="16"/>
          <w:szCs w:val="16"/>
        </w:rPr>
        <w:softHyphen/>
        <w:t>вавшей защиту от пули калибра 12,7 мм, предусматривалась на втором экземпля</w:t>
      </w:r>
      <w:r w:rsidRPr="00DB5D0D">
        <w:rPr>
          <w:rFonts w:ascii="Times New Roman" w:hAnsi="Times New Roman"/>
          <w:color w:val="000000" w:themeColor="text1"/>
          <w:sz w:val="16"/>
          <w:szCs w:val="16"/>
        </w:rPr>
        <w:softHyphen/>
        <w:t>ре самолета. Сроки постройки не выдерживались. Объяснялось это недостаточно быстрым разворачиванием опытных цехов на но</w:t>
      </w:r>
      <w:r w:rsidRPr="00DB5D0D">
        <w:rPr>
          <w:rFonts w:ascii="Times New Roman" w:hAnsi="Times New Roman"/>
          <w:color w:val="000000" w:themeColor="text1"/>
          <w:sz w:val="16"/>
          <w:szCs w:val="16"/>
        </w:rPr>
        <w:softHyphen/>
        <w:t>вой базе завода № 289. Особенно влияло на сдвиг сроков отсутствие мотора, кото</w:t>
      </w:r>
      <w:r w:rsidRPr="00DB5D0D">
        <w:rPr>
          <w:rFonts w:ascii="Times New Roman" w:hAnsi="Times New Roman"/>
          <w:color w:val="000000" w:themeColor="text1"/>
          <w:sz w:val="16"/>
          <w:szCs w:val="16"/>
        </w:rPr>
        <w:softHyphen/>
        <w:t>рый был получен только в середине янва</w:t>
      </w:r>
      <w:r w:rsidRPr="00DB5D0D">
        <w:rPr>
          <w:rFonts w:ascii="Times New Roman" w:hAnsi="Times New Roman"/>
          <w:color w:val="000000" w:themeColor="text1"/>
          <w:sz w:val="16"/>
          <w:szCs w:val="16"/>
        </w:rPr>
        <w:softHyphen/>
        <w:t>ря 1941 г. (10718)</w:t>
      </w:r>
    </w:p>
    <w:p w14:paraId="257948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8E070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июля 1940 С.А.Кочеригин предъявил на рассмотрение НКАП проект малой модификации штурмовика на базе Р-9 - ММШ М-81 с М-81. Самолет строили с использованием Ш-2, металлическое крыло которого заменили на деревянное с уменьшенной в 1.33 раза площадью. Соответственно уменьшили ГО и ВО. Вооружение включало 4 крыльевых пулеметов. Расчетная скорость на 5000 м - 520 км/час. был испытан под обозначением ББ-21 и принят в серию на заводе 292, но вскоре уступил Як-1 (3807,75).</w:t>
      </w:r>
    </w:p>
    <w:p w14:paraId="154BE28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B3E9C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июля 1940, через полтора месяца после организации комиссии в представлении ее председателя последовательность внедрения камуфляжной окраски выглядела следующим образом:</w:t>
      </w:r>
    </w:p>
    <w:p w14:paraId="4C1527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"После утверждения комиссией эталонов и технологии заводской одноцветной и деформирующей и временной деформирующей окрасок и утверждения рисунков для испытания в НИИ ВВС КА комиссию следует распустить, так как функции ее на этом исчерпываются.</w:t>
      </w:r>
    </w:p>
    <w:p w14:paraId="62A96D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После испытания в НИИ ВВС окрасок, окончательно установить наиболее рациональные рисунки для передачи их на заводы и в войска для временной деформирующей окраски.</w:t>
      </w:r>
    </w:p>
    <w:p w14:paraId="18E69F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окончании указанных работ поручить ГУАС ВВС КА приступить к массовому изготовлению и рассылке в части краски для временных деформирующих окрасок самолетов. Эти краски должны быть введены в табели.</w:t>
      </w:r>
    </w:p>
    <w:p w14:paraId="628884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поручить ГУАС ВВС КА внедрить в производство выпуск защитно-окрашенных самолетов по новым эталонам до полной доработки вопроса постоянного деформирующего покрытия. После чего все самолеты, выпускаемые с заводов должны будут окрашиваться деформирующе (2771,22).</w:t>
      </w:r>
    </w:p>
    <w:p w14:paraId="2A5EFEE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9651F10" w14:textId="77777777" w:rsidR="00A556B7"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7655F0F" w14:textId="77777777" w:rsidR="00A556B7" w:rsidRPr="00DB5D0D" w:rsidRDefault="00A556B7" w:rsidP="00DB5D0D">
      <w:pPr>
        <w:spacing w:after="0" w:line="240" w:lineRule="auto"/>
        <w:jc w:val="both"/>
        <w:rPr>
          <w:rFonts w:ascii="Times New Roman" w:hAnsi="Times New Roman"/>
          <w:iCs/>
          <w:color w:val="000000" w:themeColor="text1"/>
          <w:sz w:val="16"/>
          <w:szCs w:val="16"/>
        </w:rPr>
      </w:pPr>
    </w:p>
    <w:p w14:paraId="66FCAFC4"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концу июля 1940 года артиллерийское КБ Кировского завода сумело устранить наиболее существенные недостатки в конструкции пушки Л-11, а также подготовить документацию и технологию для ее серийного выпуска, о чем Маршал Советского Союза Г. Кулик доложил К. Ворошилову:</w:t>
      </w:r>
    </w:p>
    <w:p w14:paraId="06EFF2EF"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«...Система может быть рекомендована на временное вооружение... впредь до замены ее пушкой Ф-32 (12217).</w:t>
      </w:r>
    </w:p>
    <w:p w14:paraId="3E47708C" w14:textId="77777777" w:rsidR="00A556B7" w:rsidRPr="00DB5D0D" w:rsidRDefault="00A556B7" w:rsidP="00DB5D0D">
      <w:pPr>
        <w:spacing w:after="0" w:line="240" w:lineRule="auto"/>
        <w:jc w:val="both"/>
        <w:rPr>
          <w:rFonts w:ascii="Times New Roman" w:hAnsi="Times New Roman"/>
          <w:color w:val="000000" w:themeColor="text1"/>
          <w:sz w:val="16"/>
          <w:szCs w:val="16"/>
        </w:rPr>
      </w:pPr>
    </w:p>
    <w:p w14:paraId="55B58DC4" w14:textId="77777777" w:rsidR="00511FDF" w:rsidRPr="00DB5D0D" w:rsidRDefault="00511F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июля 1940 г. майор И.Г. Панов в своем </w:t>
      </w:r>
      <w:hyperlink r:id="rId239" w:tgtFrame="_blank" w:history="1">
        <w:r w:rsidRPr="00DB5D0D">
          <w:rPr>
            <w:rStyle w:val="a5"/>
            <w:rFonts w:ascii="Times New Roman" w:hAnsi="Times New Roman"/>
            <w:color w:val="000000" w:themeColor="text1"/>
            <w:sz w:val="16"/>
            <w:szCs w:val="16"/>
          </w:rPr>
          <w:t>докладе</w:t>
        </w:r>
      </w:hyperlink>
      <w:r w:rsidRPr="00DB5D0D">
        <w:rPr>
          <w:rFonts w:ascii="Times New Roman" w:hAnsi="Times New Roman"/>
          <w:color w:val="000000" w:themeColor="text1"/>
          <w:sz w:val="16"/>
          <w:szCs w:val="16"/>
        </w:rPr>
        <w:t> начальнику 8-го отдела АБТУ РККА С.А. Афонину отметил следующее: </w:t>
      </w:r>
    </w:p>
    <w:p w14:paraId="310C690D" w14:textId="77777777" w:rsidR="00511FDF" w:rsidRPr="00DB5D0D" w:rsidRDefault="00511F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в бою наблюдает за полем боя, ведет огонь и направляет движение своего танка, чем дает по существу, направление движения своему подразделению. Радиостанция же в это время ни кем не обеспечивается, так как командир не имеет возможности бросать наблюдение за полем боя для того, чтобы настроить радиостанцию, а это приводит к тому, что ни один старший начальник не может вызвать командира танковой части и передать ему приказание. Командир части, в свою очередь, не может вызвать подчиненных ему командиров подразделений.</w:t>
      </w:r>
    </w:p>
    <w:p w14:paraId="4426F130" w14:textId="77777777" w:rsidR="00511FDF" w:rsidRPr="00DB5D0D" w:rsidRDefault="00511F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&lt;…&gt;</w:t>
      </w:r>
    </w:p>
    <w:p w14:paraId="24FF93A2" w14:textId="77777777" w:rsidR="00511FDF" w:rsidRPr="00DB5D0D" w:rsidRDefault="00511FD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этого недостатка во всех разрабатываемых новых образцах танков тактико-техническими требованиями предусмотрен четвертый член экипажа танка для выполнения специальных функций радиста, который должен быть размещен в носовой части танка. Управление радиосвязью и телекодом должно быть сосредоточено у радиста» (18160).</w:t>
      </w:r>
    </w:p>
    <w:p w14:paraId="7BCF757B" w14:textId="77777777" w:rsidR="00511FDF" w:rsidRPr="00DB5D0D" w:rsidRDefault="00511FDF" w:rsidP="00DB5D0D">
      <w:pPr>
        <w:spacing w:after="0" w:line="240" w:lineRule="auto"/>
        <w:jc w:val="both"/>
        <w:rPr>
          <w:rFonts w:ascii="Times New Roman" w:hAnsi="Times New Roman"/>
          <w:color w:val="000000" w:themeColor="text1"/>
          <w:sz w:val="16"/>
          <w:szCs w:val="16"/>
        </w:rPr>
      </w:pPr>
    </w:p>
    <w:p w14:paraId="1103B42D" w14:textId="77777777" w:rsidR="00AC6661" w:rsidRPr="00DB5D0D" w:rsidRDefault="00AC6661"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eastAsia="Times New Roman" w:hAnsi="Times New Roman"/>
          <w:color w:val="0070C0"/>
          <w:sz w:val="16"/>
          <w:szCs w:val="16"/>
          <w:lang w:eastAsia="ru-RU"/>
        </w:rPr>
        <w:t>К концу июля 1940 КБ Грабина разработало рабочие чертежи орудия Ф-30, и тут выявилась простая истина. В существующую башню орудие не вписывалось. Винить Грабина и его КБ не в чем, и показывать на более поздние 85-мм орудия тоже не стоит. На всякий случай напоминаю, что установка вооружения КВ была рассчитана на 76-мм пушку Л-11. Поэтому более крупное орудие может и как-то вписывалось, но стрелять из него оказывалось крайне затруднительно. Решений было два: либо выносить установку вооружения вперед, либо переделывать всю башню. Как не странно, СКБ-2 Кировского завода выбрало второй путь. Ну а дальше пошло-поехало. В списке заданий СКБ-2 значилась еще и тяжелая САУ "212", которая и так по заданию получалась массой 55 тонн. В результате вместо КВ-1 с усиленной броневой защитой и вооружением образовалось два танка. Первый получался в габаритах исходной машины, а вот второй оказывался длиннее, существенно тяжелее и с новой башней. Судя по гробовому молчанию в ГАБТУ КА, там с подобным развитием событий были вполне согласны. Похоронив СМК с Т-100, а также САУ на их базе, ГАБТУ КА стало выращивать их прямые аналоги (21243).</w:t>
      </w:r>
    </w:p>
    <w:p w14:paraId="5623EA6D" w14:textId="77777777" w:rsidR="00AC6661" w:rsidRPr="00DB5D0D" w:rsidRDefault="00AC6661"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60DAE266" w14:textId="77777777" w:rsidR="00C15D15" w:rsidRPr="00DB5D0D" w:rsidRDefault="00C15D15" w:rsidP="00DB5D0D">
      <w:pPr>
        <w:pStyle w:val="aff1"/>
        <w:shd w:val="clear" w:color="auto" w:fill="auto"/>
        <w:spacing w:line="240" w:lineRule="auto"/>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В конце июля 1940:</w:t>
      </w:r>
    </w:p>
    <w:p w14:paraId="482C407D" w14:textId="77777777" w:rsidR="00C15D15" w:rsidRPr="00DB5D0D" w:rsidRDefault="00C15D15" w:rsidP="00DB5D0D">
      <w:pPr>
        <w:pStyle w:val="aff1"/>
        <w:shd w:val="clear" w:color="auto" w:fill="auto"/>
        <w:spacing w:line="240" w:lineRule="auto"/>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 xml:space="preserve">План производства военных мотоциклов на </w:t>
      </w:r>
      <w:r w:rsidRPr="00DB5D0D">
        <w:rPr>
          <w:rFonts w:ascii="Times New Roman" w:hAnsi="Times New Roman" w:cs="Times New Roman"/>
          <w:i w:val="0"/>
          <w:color w:val="000000" w:themeColor="text1"/>
          <w:sz w:val="16"/>
          <w:szCs w:val="16"/>
        </w:rPr>
        <w:t>III</w:t>
      </w:r>
      <w:r w:rsidRPr="00DB5D0D">
        <w:rPr>
          <w:rFonts w:ascii="Times New Roman" w:hAnsi="Times New Roman" w:cs="Times New Roman"/>
          <w:i w:val="0"/>
          <w:color w:val="000000" w:themeColor="text1"/>
          <w:sz w:val="16"/>
          <w:szCs w:val="16"/>
          <w:lang w:val="ru-RU"/>
        </w:rPr>
        <w:t xml:space="preserve"> и </w:t>
      </w:r>
      <w:r w:rsidRPr="00DB5D0D">
        <w:rPr>
          <w:rFonts w:ascii="Times New Roman" w:hAnsi="Times New Roman" w:cs="Times New Roman"/>
          <w:i w:val="0"/>
          <w:color w:val="000000" w:themeColor="text1"/>
          <w:sz w:val="16"/>
          <w:szCs w:val="16"/>
        </w:rPr>
        <w:t>IV</w:t>
      </w:r>
      <w:r w:rsidRPr="00DB5D0D">
        <w:rPr>
          <w:rFonts w:ascii="Times New Roman" w:hAnsi="Times New Roman" w:cs="Times New Roman"/>
          <w:i w:val="0"/>
          <w:color w:val="000000" w:themeColor="text1"/>
          <w:sz w:val="16"/>
          <w:szCs w:val="16"/>
          <w:lang w:val="ru-RU"/>
        </w:rPr>
        <w:t xml:space="preserve"> кварталы 1940 г. и на 1941</w:t>
      </w:r>
      <w:r w:rsidRPr="00DB5D0D">
        <w:rPr>
          <w:rStyle w:val="9pt0"/>
          <w:rFonts w:ascii="Times New Roman" w:hAnsi="Times New Roman" w:cs="Times New Roman"/>
          <w:bCs/>
          <w:i w:val="0"/>
          <w:color w:val="000000" w:themeColor="text1"/>
          <w:sz w:val="16"/>
          <w:szCs w:val="16"/>
          <w:lang w:val="ru-RU"/>
        </w:rPr>
        <w:t xml:space="preserve"> г., </w:t>
      </w:r>
      <w:r w:rsidRPr="00DB5D0D">
        <w:rPr>
          <w:rFonts w:ascii="Times New Roman" w:hAnsi="Times New Roman" w:cs="Times New Roman"/>
          <w:i w:val="0"/>
          <w:color w:val="000000" w:themeColor="text1"/>
          <w:sz w:val="16"/>
          <w:szCs w:val="16"/>
          <w:lang w:val="ru-RU"/>
        </w:rPr>
        <w:t>представленный к утверждению в правительство в конце июля 1940 г.</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786"/>
        <w:gridCol w:w="2448"/>
        <w:gridCol w:w="850"/>
        <w:gridCol w:w="850"/>
        <w:gridCol w:w="864"/>
      </w:tblGrid>
      <w:tr w:rsidR="007D5DF8" w:rsidRPr="00DB5D0D" w14:paraId="5C7C1205" w14:textId="77777777" w:rsidTr="005321F7">
        <w:trPr>
          <w:trHeight w:val="437"/>
        </w:trPr>
        <w:tc>
          <w:tcPr>
            <w:tcW w:w="1786" w:type="dxa"/>
            <w:shd w:val="clear" w:color="auto" w:fill="FFFFFF"/>
          </w:tcPr>
          <w:p w14:paraId="64B2E8A7" w14:textId="77777777" w:rsidR="00C15D15" w:rsidRPr="00DB5D0D" w:rsidRDefault="00C15D15"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Заводы изготовители</w:t>
            </w:r>
          </w:p>
        </w:tc>
        <w:tc>
          <w:tcPr>
            <w:tcW w:w="2448" w:type="dxa"/>
            <w:shd w:val="clear" w:color="auto" w:fill="FFFFFF"/>
          </w:tcPr>
          <w:p w14:paraId="3E94486D" w14:textId="77777777" w:rsidR="00C15D15" w:rsidRPr="00DB5D0D" w:rsidRDefault="00C15D15"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Тип мотоцикла</w:t>
            </w:r>
          </w:p>
        </w:tc>
        <w:tc>
          <w:tcPr>
            <w:tcW w:w="850" w:type="dxa"/>
            <w:shd w:val="clear" w:color="auto" w:fill="FFFFFF"/>
          </w:tcPr>
          <w:p w14:paraId="59AB5DCE" w14:textId="77777777" w:rsidR="00C15D15" w:rsidRPr="00DB5D0D" w:rsidRDefault="00C15D15"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3 квартал 1940 г.</w:t>
            </w:r>
          </w:p>
        </w:tc>
        <w:tc>
          <w:tcPr>
            <w:tcW w:w="850" w:type="dxa"/>
            <w:shd w:val="clear" w:color="auto" w:fill="FFFFFF"/>
          </w:tcPr>
          <w:p w14:paraId="1E3A8A5E" w14:textId="77777777" w:rsidR="00C15D15" w:rsidRPr="00DB5D0D" w:rsidRDefault="00C15D15"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4 квартал 1940 г.</w:t>
            </w:r>
          </w:p>
        </w:tc>
        <w:tc>
          <w:tcPr>
            <w:tcW w:w="864" w:type="dxa"/>
            <w:shd w:val="clear" w:color="auto" w:fill="FFFFFF"/>
          </w:tcPr>
          <w:p w14:paraId="46DB0C85" w14:textId="77777777" w:rsidR="00C15D15" w:rsidRPr="00DB5D0D" w:rsidRDefault="00C15D15"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1941 г.</w:t>
            </w:r>
          </w:p>
        </w:tc>
      </w:tr>
      <w:tr w:rsidR="007D5DF8" w:rsidRPr="00DB5D0D" w14:paraId="607D6AC6" w14:textId="77777777" w:rsidTr="005321F7">
        <w:trPr>
          <w:trHeight w:val="624"/>
        </w:trPr>
        <w:tc>
          <w:tcPr>
            <w:tcW w:w="1786" w:type="dxa"/>
            <w:shd w:val="clear" w:color="auto" w:fill="FFFFFF"/>
          </w:tcPr>
          <w:p w14:paraId="1ECC4381"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Завод №65 НКБ, директор тов. Агапов (ТиЗ, Таганрог)</w:t>
            </w:r>
          </w:p>
        </w:tc>
        <w:tc>
          <w:tcPr>
            <w:tcW w:w="2448" w:type="dxa"/>
            <w:shd w:val="clear" w:color="auto" w:fill="FFFFFF"/>
          </w:tcPr>
          <w:p w14:paraId="1D465EBE"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АМ-600 с пулеметной установкой, с коляской</w:t>
            </w:r>
          </w:p>
        </w:tc>
        <w:tc>
          <w:tcPr>
            <w:tcW w:w="850" w:type="dxa"/>
            <w:shd w:val="clear" w:color="auto" w:fill="FFFFFF"/>
          </w:tcPr>
          <w:p w14:paraId="2FAD5F50"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1000</w:t>
            </w:r>
          </w:p>
        </w:tc>
        <w:tc>
          <w:tcPr>
            <w:tcW w:w="850" w:type="dxa"/>
            <w:shd w:val="clear" w:color="auto" w:fill="FFFFFF"/>
          </w:tcPr>
          <w:p w14:paraId="292E540F"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2000</w:t>
            </w:r>
          </w:p>
        </w:tc>
        <w:tc>
          <w:tcPr>
            <w:tcW w:w="864" w:type="dxa"/>
            <w:shd w:val="clear" w:color="auto" w:fill="FFFFFF"/>
          </w:tcPr>
          <w:p w14:paraId="715B8EAD"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2000</w:t>
            </w:r>
          </w:p>
        </w:tc>
      </w:tr>
      <w:tr w:rsidR="007D5DF8" w:rsidRPr="00DB5D0D" w14:paraId="06737562" w14:textId="77777777" w:rsidTr="005321F7">
        <w:trPr>
          <w:trHeight w:val="619"/>
        </w:trPr>
        <w:tc>
          <w:tcPr>
            <w:tcW w:w="1786" w:type="dxa"/>
            <w:shd w:val="clear" w:color="auto" w:fill="FFFFFF"/>
          </w:tcPr>
          <w:p w14:paraId="4676055F"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lastRenderedPageBreak/>
              <w:t>Завод №65 НКБ, дирекюр тов. Агапов (ТиЗ, Таганрог)</w:t>
            </w:r>
          </w:p>
        </w:tc>
        <w:tc>
          <w:tcPr>
            <w:tcW w:w="2448" w:type="dxa"/>
            <w:shd w:val="clear" w:color="auto" w:fill="FFFFFF"/>
          </w:tcPr>
          <w:p w14:paraId="38B8E661"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ТИЗ-50 с пулеметной установкой, с коляской</w:t>
            </w:r>
          </w:p>
        </w:tc>
        <w:tc>
          <w:tcPr>
            <w:tcW w:w="850" w:type="dxa"/>
            <w:shd w:val="clear" w:color="auto" w:fill="FFFFFF"/>
          </w:tcPr>
          <w:p w14:paraId="286ADB0D"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100</w:t>
            </w:r>
          </w:p>
        </w:tc>
        <w:tc>
          <w:tcPr>
            <w:tcW w:w="850" w:type="dxa"/>
            <w:shd w:val="clear" w:color="auto" w:fill="FFFFFF"/>
          </w:tcPr>
          <w:p w14:paraId="266243F6"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150</w:t>
            </w:r>
          </w:p>
        </w:tc>
        <w:tc>
          <w:tcPr>
            <w:tcW w:w="864" w:type="dxa"/>
            <w:shd w:val="clear" w:color="auto" w:fill="FFFFFF"/>
          </w:tcPr>
          <w:p w14:paraId="22D5FDB9"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4000</w:t>
            </w:r>
          </w:p>
        </w:tc>
      </w:tr>
      <w:tr w:rsidR="007D5DF8" w:rsidRPr="00DB5D0D" w14:paraId="59E917AB" w14:textId="77777777" w:rsidTr="005321F7">
        <w:trPr>
          <w:trHeight w:val="821"/>
        </w:trPr>
        <w:tc>
          <w:tcPr>
            <w:tcW w:w="1786" w:type="dxa"/>
            <w:shd w:val="clear" w:color="auto" w:fill="FFFFFF"/>
          </w:tcPr>
          <w:p w14:paraId="166AD58B"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Завод №234 НКАП, директор тов. Солодухин («Красный Октябрь», Ленинград)</w:t>
            </w:r>
          </w:p>
        </w:tc>
        <w:tc>
          <w:tcPr>
            <w:tcW w:w="2448" w:type="dxa"/>
            <w:shd w:val="clear" w:color="auto" w:fill="FFFFFF"/>
          </w:tcPr>
          <w:p w14:paraId="1B8EFE07"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Л-8 двухцилиндровый, с пулеметной установкой, без коляски</w:t>
            </w:r>
          </w:p>
        </w:tc>
        <w:tc>
          <w:tcPr>
            <w:tcW w:w="850" w:type="dxa"/>
            <w:shd w:val="clear" w:color="auto" w:fill="FFFFFF"/>
          </w:tcPr>
          <w:p w14:paraId="57B425CA"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2000</w:t>
            </w:r>
          </w:p>
        </w:tc>
        <w:tc>
          <w:tcPr>
            <w:tcW w:w="850" w:type="dxa"/>
            <w:shd w:val="clear" w:color="auto" w:fill="FFFFFF"/>
          </w:tcPr>
          <w:p w14:paraId="351A88A8" w14:textId="77777777" w:rsidR="00C15D15" w:rsidRPr="00DB5D0D" w:rsidRDefault="00C15D15" w:rsidP="00DB5D0D">
            <w:pPr>
              <w:pStyle w:val="701"/>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noProof w:val="0"/>
                <w:color w:val="000000" w:themeColor="text1"/>
                <w:sz w:val="16"/>
                <w:szCs w:val="16"/>
              </w:rPr>
              <w:t>-</w:t>
            </w:r>
          </w:p>
        </w:tc>
        <w:tc>
          <w:tcPr>
            <w:tcW w:w="864" w:type="dxa"/>
            <w:shd w:val="clear" w:color="auto" w:fill="FFFFFF"/>
          </w:tcPr>
          <w:p w14:paraId="55F95971" w14:textId="77777777" w:rsidR="00C15D15" w:rsidRPr="00DB5D0D" w:rsidRDefault="00C15D15" w:rsidP="00DB5D0D">
            <w:pPr>
              <w:pStyle w:val="723"/>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noProof w:val="0"/>
                <w:color w:val="000000" w:themeColor="text1"/>
                <w:sz w:val="16"/>
                <w:szCs w:val="16"/>
              </w:rPr>
              <w:t>-</w:t>
            </w:r>
          </w:p>
        </w:tc>
      </w:tr>
      <w:tr w:rsidR="007D5DF8" w:rsidRPr="00DB5D0D" w14:paraId="2B99E6B1" w14:textId="77777777" w:rsidTr="005321F7">
        <w:trPr>
          <w:trHeight w:val="427"/>
        </w:trPr>
        <w:tc>
          <w:tcPr>
            <w:tcW w:w="1786" w:type="dxa"/>
            <w:shd w:val="clear" w:color="auto" w:fill="FFFFFF"/>
          </w:tcPr>
          <w:p w14:paraId="5E3DF03C"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Ижевский завод НКОМ, директор тов. Толстых</w:t>
            </w:r>
          </w:p>
        </w:tc>
        <w:tc>
          <w:tcPr>
            <w:tcW w:w="2448" w:type="dxa"/>
            <w:shd w:val="clear" w:color="auto" w:fill="FFFFFF"/>
          </w:tcPr>
          <w:p w14:paraId="093603F8"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ИЖ-8 без пулеметной установки, безколясжи</w:t>
            </w:r>
          </w:p>
        </w:tc>
        <w:tc>
          <w:tcPr>
            <w:tcW w:w="850" w:type="dxa"/>
            <w:shd w:val="clear" w:color="auto" w:fill="FFFFFF"/>
          </w:tcPr>
          <w:p w14:paraId="7842F038"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1500</w:t>
            </w:r>
          </w:p>
        </w:tc>
        <w:tc>
          <w:tcPr>
            <w:tcW w:w="850" w:type="dxa"/>
            <w:shd w:val="clear" w:color="auto" w:fill="FFFFFF"/>
          </w:tcPr>
          <w:p w14:paraId="3B069E36"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1500</w:t>
            </w:r>
          </w:p>
        </w:tc>
        <w:tc>
          <w:tcPr>
            <w:tcW w:w="864" w:type="dxa"/>
            <w:shd w:val="clear" w:color="auto" w:fill="FFFFFF"/>
          </w:tcPr>
          <w:p w14:paraId="07F05FDA"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2000</w:t>
            </w:r>
          </w:p>
        </w:tc>
      </w:tr>
      <w:tr w:rsidR="007D5DF8" w:rsidRPr="00DB5D0D" w14:paraId="7A001C63" w14:textId="77777777" w:rsidTr="005321F7">
        <w:trPr>
          <w:trHeight w:val="624"/>
        </w:trPr>
        <w:tc>
          <w:tcPr>
            <w:tcW w:w="1786" w:type="dxa"/>
            <w:shd w:val="clear" w:color="auto" w:fill="FFFFFF"/>
          </w:tcPr>
          <w:p w14:paraId="4A33EC7E"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Ижевский завод НКОМ, директор тов. Толстых</w:t>
            </w:r>
          </w:p>
        </w:tc>
        <w:tc>
          <w:tcPr>
            <w:tcW w:w="2448" w:type="dxa"/>
            <w:shd w:val="clear" w:color="auto" w:fill="FFFFFF"/>
          </w:tcPr>
          <w:p w14:paraId="45046F98"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Нового типа, 500 ем</w:t>
            </w:r>
            <w:r w:rsidRPr="00DB5D0D">
              <w:rPr>
                <w:rFonts w:ascii="Times New Roman" w:hAnsi="Times New Roman" w:cs="Times New Roman"/>
                <w:color w:val="000000" w:themeColor="text1"/>
                <w:vertAlign w:val="superscript"/>
              </w:rPr>
              <w:t>3</w:t>
            </w:r>
            <w:r w:rsidRPr="00DB5D0D">
              <w:rPr>
                <w:rFonts w:ascii="Times New Roman" w:hAnsi="Times New Roman" w:cs="Times New Roman"/>
                <w:color w:val="000000" w:themeColor="text1"/>
              </w:rPr>
              <w:t xml:space="preserve"> с карданной передачей, с пулеметной установкой, без коляски</w:t>
            </w:r>
          </w:p>
        </w:tc>
        <w:tc>
          <w:tcPr>
            <w:tcW w:w="850" w:type="dxa"/>
            <w:shd w:val="clear" w:color="auto" w:fill="FFFFFF"/>
          </w:tcPr>
          <w:p w14:paraId="563A018B" w14:textId="77777777" w:rsidR="00C15D15" w:rsidRPr="00DB5D0D" w:rsidRDefault="00C15D15" w:rsidP="00DB5D0D">
            <w:pPr>
              <w:pStyle w:val="701"/>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noProof w:val="0"/>
                <w:color w:val="000000" w:themeColor="text1"/>
                <w:sz w:val="16"/>
                <w:szCs w:val="16"/>
              </w:rPr>
              <w:t>-</w:t>
            </w:r>
          </w:p>
        </w:tc>
        <w:tc>
          <w:tcPr>
            <w:tcW w:w="850" w:type="dxa"/>
            <w:shd w:val="clear" w:color="auto" w:fill="FFFFFF"/>
          </w:tcPr>
          <w:p w14:paraId="0A5A1DD9"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100</w:t>
            </w:r>
          </w:p>
        </w:tc>
        <w:tc>
          <w:tcPr>
            <w:tcW w:w="864" w:type="dxa"/>
            <w:shd w:val="clear" w:color="auto" w:fill="FFFFFF"/>
          </w:tcPr>
          <w:p w14:paraId="3E37B3F9"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7000</w:t>
            </w:r>
          </w:p>
        </w:tc>
      </w:tr>
      <w:tr w:rsidR="007D5DF8" w:rsidRPr="00DB5D0D" w14:paraId="50B714F6" w14:textId="77777777" w:rsidTr="005321F7">
        <w:trPr>
          <w:trHeight w:val="619"/>
        </w:trPr>
        <w:tc>
          <w:tcPr>
            <w:tcW w:w="1786" w:type="dxa"/>
            <w:shd w:val="clear" w:color="auto" w:fill="FFFFFF"/>
          </w:tcPr>
          <w:p w14:paraId="714E065C"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Серпуховский завод НКОМ, директор тов. Белов</w:t>
            </w:r>
          </w:p>
        </w:tc>
        <w:tc>
          <w:tcPr>
            <w:tcW w:w="2448" w:type="dxa"/>
            <w:shd w:val="clear" w:color="auto" w:fill="FFFFFF"/>
          </w:tcPr>
          <w:p w14:paraId="5956F620"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Малолитражный мотоцикл МЛ-3, без пулеметной установки, без коляски</w:t>
            </w:r>
          </w:p>
        </w:tc>
        <w:tc>
          <w:tcPr>
            <w:tcW w:w="850" w:type="dxa"/>
            <w:shd w:val="clear" w:color="auto" w:fill="FFFFFF"/>
          </w:tcPr>
          <w:p w14:paraId="782D0975" w14:textId="77777777" w:rsidR="00C15D15" w:rsidRPr="00DB5D0D" w:rsidRDefault="00C15D15" w:rsidP="00DB5D0D">
            <w:pPr>
              <w:spacing w:after="0" w:line="240" w:lineRule="auto"/>
              <w:jc w:val="both"/>
              <w:rPr>
                <w:rFonts w:ascii="Times New Roman" w:hAnsi="Times New Roman"/>
                <w:color w:val="000000" w:themeColor="text1"/>
                <w:sz w:val="16"/>
                <w:szCs w:val="16"/>
              </w:rPr>
            </w:pPr>
          </w:p>
        </w:tc>
        <w:tc>
          <w:tcPr>
            <w:tcW w:w="850" w:type="dxa"/>
            <w:shd w:val="clear" w:color="auto" w:fill="FFFFFF"/>
          </w:tcPr>
          <w:p w14:paraId="72D0B38E"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150</w:t>
            </w:r>
          </w:p>
        </w:tc>
        <w:tc>
          <w:tcPr>
            <w:tcW w:w="864" w:type="dxa"/>
            <w:shd w:val="clear" w:color="auto" w:fill="FFFFFF"/>
          </w:tcPr>
          <w:p w14:paraId="4B8537B6"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200</w:t>
            </w:r>
          </w:p>
        </w:tc>
      </w:tr>
      <w:tr w:rsidR="007D5DF8" w:rsidRPr="00DB5D0D" w14:paraId="1A68ADF8" w14:textId="77777777" w:rsidTr="005321F7">
        <w:trPr>
          <w:trHeight w:val="624"/>
        </w:trPr>
        <w:tc>
          <w:tcPr>
            <w:tcW w:w="1786" w:type="dxa"/>
            <w:shd w:val="clear" w:color="auto" w:fill="FFFFFF"/>
          </w:tcPr>
          <w:p w14:paraId="1AAC0506"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Серпуховский завод НКОМ, директор тов. Белов</w:t>
            </w:r>
          </w:p>
        </w:tc>
        <w:tc>
          <w:tcPr>
            <w:tcW w:w="2448" w:type="dxa"/>
            <w:shd w:val="clear" w:color="auto" w:fill="FFFFFF"/>
          </w:tcPr>
          <w:p w14:paraId="544980FC"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Нового типа, 250 см</w:t>
            </w:r>
            <w:r w:rsidRPr="00DB5D0D">
              <w:rPr>
                <w:rFonts w:ascii="Times New Roman" w:hAnsi="Times New Roman" w:cs="Times New Roman"/>
                <w:color w:val="000000" w:themeColor="text1"/>
                <w:vertAlign w:val="superscript"/>
              </w:rPr>
              <w:t>3</w:t>
            </w:r>
            <w:r w:rsidRPr="00DB5D0D">
              <w:rPr>
                <w:rFonts w:ascii="Times New Roman" w:hAnsi="Times New Roman" w:cs="Times New Roman"/>
                <w:color w:val="000000" w:themeColor="text1"/>
              </w:rPr>
              <w:t>, с пулеметной установкой, без коляски</w:t>
            </w:r>
          </w:p>
        </w:tc>
        <w:tc>
          <w:tcPr>
            <w:tcW w:w="850" w:type="dxa"/>
            <w:shd w:val="clear" w:color="auto" w:fill="FFFFFF"/>
          </w:tcPr>
          <w:p w14:paraId="22E61A2B" w14:textId="77777777" w:rsidR="00C15D15" w:rsidRPr="00DB5D0D" w:rsidRDefault="00C15D15" w:rsidP="00DB5D0D">
            <w:pPr>
              <w:pStyle w:val="701"/>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noProof w:val="0"/>
                <w:color w:val="000000" w:themeColor="text1"/>
                <w:sz w:val="16"/>
                <w:szCs w:val="16"/>
              </w:rPr>
              <w:t>-</w:t>
            </w:r>
          </w:p>
        </w:tc>
        <w:tc>
          <w:tcPr>
            <w:tcW w:w="850" w:type="dxa"/>
            <w:shd w:val="clear" w:color="auto" w:fill="FFFFFF"/>
          </w:tcPr>
          <w:p w14:paraId="70869632"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10</w:t>
            </w:r>
          </w:p>
        </w:tc>
        <w:tc>
          <w:tcPr>
            <w:tcW w:w="864" w:type="dxa"/>
            <w:shd w:val="clear" w:color="auto" w:fill="FFFFFF"/>
          </w:tcPr>
          <w:p w14:paraId="763CED4E"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3800</w:t>
            </w:r>
          </w:p>
        </w:tc>
      </w:tr>
      <w:tr w:rsidR="007D5DF8" w:rsidRPr="00DB5D0D" w14:paraId="3FD93246" w14:textId="77777777" w:rsidTr="005321F7">
        <w:trPr>
          <w:trHeight w:val="619"/>
        </w:trPr>
        <w:tc>
          <w:tcPr>
            <w:tcW w:w="1786" w:type="dxa"/>
            <w:shd w:val="clear" w:color="auto" w:fill="FFFFFF"/>
          </w:tcPr>
          <w:p w14:paraId="3CE6B479"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завод «Промет» НКОМ, директор тов. Попов</w:t>
            </w:r>
          </w:p>
          <w:p w14:paraId="79A65454" w14:textId="77777777" w:rsidR="00C15D15" w:rsidRPr="00DB5D0D" w:rsidRDefault="00C15D15" w:rsidP="00DB5D0D">
            <w:pPr>
              <w:pStyle w:val="a3"/>
              <w:rPr>
                <w:color w:val="000000" w:themeColor="text1"/>
              </w:rPr>
            </w:pPr>
            <w:r w:rsidRPr="00DB5D0D">
              <w:rPr>
                <w:color w:val="000000" w:themeColor="text1"/>
              </w:rPr>
              <w:t>(Ленинград)</w:t>
            </w:r>
          </w:p>
        </w:tc>
        <w:tc>
          <w:tcPr>
            <w:tcW w:w="2448" w:type="dxa"/>
            <w:shd w:val="clear" w:color="auto" w:fill="FFFFFF"/>
          </w:tcPr>
          <w:p w14:paraId="7CFE1A91"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 xml:space="preserve">Л-8 конструкции завода №234, с пулеметной установкой, </w:t>
            </w:r>
            <w:r w:rsidRPr="00DB5D0D">
              <w:rPr>
                <w:rStyle w:val="89pt3"/>
                <w:rFonts w:ascii="Times New Roman" w:eastAsia="Calibri" w:hAnsi="Times New Roman" w:cs="Times New Roman"/>
                <w:color w:val="000000" w:themeColor="text1"/>
                <w:sz w:val="16"/>
                <w:szCs w:val="16"/>
              </w:rPr>
              <w:t>без</w:t>
            </w:r>
            <w:r w:rsidRPr="00DB5D0D">
              <w:rPr>
                <w:rFonts w:ascii="Times New Roman" w:hAnsi="Times New Roman" w:cs="Times New Roman"/>
                <w:color w:val="000000" w:themeColor="text1"/>
              </w:rPr>
              <w:t xml:space="preserve"> коляски</w:t>
            </w:r>
          </w:p>
        </w:tc>
        <w:tc>
          <w:tcPr>
            <w:tcW w:w="850" w:type="dxa"/>
            <w:shd w:val="clear" w:color="auto" w:fill="FFFFFF"/>
          </w:tcPr>
          <w:p w14:paraId="3B4E16DA" w14:textId="77777777" w:rsidR="00C15D15" w:rsidRPr="00DB5D0D" w:rsidRDefault="00C15D15" w:rsidP="00DB5D0D">
            <w:pPr>
              <w:pStyle w:val="713"/>
              <w:shd w:val="clear" w:color="auto" w:fill="auto"/>
              <w:spacing w:line="240" w:lineRule="auto"/>
              <w:jc w:val="both"/>
              <w:rPr>
                <w:rFonts w:ascii="Times New Roman" w:hAnsi="Times New Roman" w:cs="Times New Roman"/>
                <w:i w:val="0"/>
                <w:color w:val="000000" w:themeColor="text1"/>
                <w:spacing w:val="0"/>
                <w:sz w:val="16"/>
                <w:szCs w:val="16"/>
              </w:rPr>
            </w:pPr>
            <w:r w:rsidRPr="00DB5D0D">
              <w:rPr>
                <w:rFonts w:ascii="Times New Roman" w:hAnsi="Times New Roman" w:cs="Times New Roman"/>
                <w:i w:val="0"/>
                <w:color w:val="000000" w:themeColor="text1"/>
                <w:spacing w:val="0"/>
                <w:sz w:val="16"/>
                <w:szCs w:val="16"/>
              </w:rPr>
              <w:t>-</w:t>
            </w:r>
          </w:p>
        </w:tc>
        <w:tc>
          <w:tcPr>
            <w:tcW w:w="850" w:type="dxa"/>
            <w:shd w:val="clear" w:color="auto" w:fill="FFFFFF"/>
          </w:tcPr>
          <w:p w14:paraId="3DCF6B82"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100</w:t>
            </w:r>
          </w:p>
        </w:tc>
        <w:tc>
          <w:tcPr>
            <w:tcW w:w="864" w:type="dxa"/>
            <w:shd w:val="clear" w:color="auto" w:fill="FFFFFF"/>
          </w:tcPr>
          <w:p w14:paraId="595C2A8C"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8000</w:t>
            </w:r>
          </w:p>
        </w:tc>
      </w:tr>
      <w:tr w:rsidR="007D5DF8" w:rsidRPr="00DB5D0D" w14:paraId="274AE891" w14:textId="77777777" w:rsidTr="005321F7">
        <w:trPr>
          <w:trHeight w:val="614"/>
        </w:trPr>
        <w:tc>
          <w:tcPr>
            <w:tcW w:w="1786" w:type="dxa"/>
            <w:shd w:val="clear" w:color="auto" w:fill="FFFFFF"/>
          </w:tcPr>
          <w:p w14:paraId="0A6A731C"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Венюковский завод (новостройка)</w:t>
            </w:r>
          </w:p>
        </w:tc>
        <w:tc>
          <w:tcPr>
            <w:tcW w:w="2448" w:type="dxa"/>
            <w:shd w:val="clear" w:color="auto" w:fill="FFFFFF"/>
          </w:tcPr>
          <w:p w14:paraId="30CEBE2F"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Нового типа, 750 см</w:t>
            </w:r>
            <w:r w:rsidRPr="00DB5D0D">
              <w:rPr>
                <w:rFonts w:ascii="Times New Roman" w:hAnsi="Times New Roman" w:cs="Times New Roman"/>
                <w:color w:val="000000" w:themeColor="text1"/>
                <w:vertAlign w:val="superscript"/>
              </w:rPr>
              <w:t>3</w:t>
            </w:r>
            <w:r w:rsidRPr="00DB5D0D">
              <w:rPr>
                <w:rFonts w:ascii="Times New Roman" w:hAnsi="Times New Roman" w:cs="Times New Roman"/>
                <w:color w:val="000000" w:themeColor="text1"/>
              </w:rPr>
              <w:t>, с карданной передачей, с пулеметной установкой, с коляской</w:t>
            </w:r>
          </w:p>
        </w:tc>
        <w:tc>
          <w:tcPr>
            <w:tcW w:w="850" w:type="dxa"/>
            <w:shd w:val="clear" w:color="auto" w:fill="FFFFFF"/>
          </w:tcPr>
          <w:p w14:paraId="0662CFB8" w14:textId="77777777" w:rsidR="00C15D15" w:rsidRPr="00DB5D0D" w:rsidRDefault="00C15D15" w:rsidP="00DB5D0D">
            <w:pPr>
              <w:pStyle w:val="701"/>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noProof w:val="0"/>
                <w:color w:val="000000" w:themeColor="text1"/>
                <w:sz w:val="16"/>
                <w:szCs w:val="16"/>
              </w:rPr>
              <w:t>-</w:t>
            </w:r>
          </w:p>
        </w:tc>
        <w:tc>
          <w:tcPr>
            <w:tcW w:w="850" w:type="dxa"/>
            <w:shd w:val="clear" w:color="auto" w:fill="FFFFFF"/>
          </w:tcPr>
          <w:p w14:paraId="17C773A1"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10</w:t>
            </w:r>
          </w:p>
        </w:tc>
        <w:tc>
          <w:tcPr>
            <w:tcW w:w="864" w:type="dxa"/>
            <w:shd w:val="clear" w:color="auto" w:fill="FFFFFF"/>
          </w:tcPr>
          <w:p w14:paraId="59AB9A4A"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5000</w:t>
            </w:r>
          </w:p>
        </w:tc>
      </w:tr>
      <w:tr w:rsidR="007D5DF8" w:rsidRPr="00DB5D0D" w14:paraId="14155891" w14:textId="77777777" w:rsidTr="005321F7">
        <w:trPr>
          <w:trHeight w:val="643"/>
        </w:trPr>
        <w:tc>
          <w:tcPr>
            <w:tcW w:w="1786" w:type="dxa"/>
            <w:shd w:val="clear" w:color="auto" w:fill="FFFFFF"/>
          </w:tcPr>
          <w:p w14:paraId="7FC8DACA" w14:textId="77777777" w:rsidR="00C15D15" w:rsidRPr="00DB5D0D" w:rsidRDefault="00C15D15" w:rsidP="00DB5D0D">
            <w:pPr>
              <w:pStyle w:val="145"/>
              <w:shd w:val="clear" w:color="auto" w:fill="auto"/>
              <w:spacing w:line="240" w:lineRule="auto"/>
              <w:jc w:val="both"/>
              <w:rPr>
                <w:rFonts w:ascii="Times New Roman" w:hAnsi="Times New Roman" w:cs="Times New Roman"/>
                <w:b w:val="0"/>
                <w:color w:val="000000" w:themeColor="text1"/>
              </w:rPr>
            </w:pPr>
            <w:r w:rsidRPr="00DB5D0D">
              <w:rPr>
                <w:rFonts w:ascii="Times New Roman" w:hAnsi="Times New Roman" w:cs="Times New Roman"/>
                <w:b w:val="0"/>
                <w:color w:val="000000" w:themeColor="text1"/>
              </w:rPr>
              <w:t>Люберецким</w:t>
            </w:r>
            <w:r w:rsidRPr="00DB5D0D">
              <w:rPr>
                <w:rStyle w:val="721"/>
                <w:rFonts w:ascii="Times New Roman" w:hAnsi="Times New Roman" w:cs="Times New Roman"/>
                <w:bCs/>
                <w:color w:val="000000" w:themeColor="text1"/>
                <w:sz w:val="16"/>
                <w:szCs w:val="16"/>
              </w:rPr>
              <w:t xml:space="preserve"> завод </w:t>
            </w:r>
            <w:r w:rsidRPr="00DB5D0D">
              <w:rPr>
                <w:rFonts w:ascii="Times New Roman" w:hAnsi="Times New Roman" w:cs="Times New Roman"/>
                <w:b w:val="0"/>
                <w:color w:val="000000" w:themeColor="text1"/>
              </w:rPr>
              <w:t>(новостройка)</w:t>
            </w:r>
          </w:p>
        </w:tc>
        <w:tc>
          <w:tcPr>
            <w:tcW w:w="2448" w:type="dxa"/>
            <w:shd w:val="clear" w:color="auto" w:fill="FFFFFF"/>
          </w:tcPr>
          <w:p w14:paraId="577E6899" w14:textId="77777777" w:rsidR="00C15D15" w:rsidRPr="00DB5D0D" w:rsidRDefault="00C15D15" w:rsidP="00DB5D0D">
            <w:pPr>
              <w:pStyle w:val="80"/>
              <w:shd w:val="clear" w:color="auto" w:fill="auto"/>
              <w:spacing w:line="240" w:lineRule="auto"/>
              <w:jc w:val="both"/>
              <w:rPr>
                <w:rFonts w:ascii="Times New Roman" w:hAnsi="Times New Roman" w:cs="Times New Roman"/>
                <w:color w:val="000000" w:themeColor="text1"/>
              </w:rPr>
            </w:pPr>
            <w:r w:rsidRPr="00DB5D0D">
              <w:rPr>
                <w:rFonts w:ascii="Times New Roman" w:hAnsi="Times New Roman" w:cs="Times New Roman"/>
                <w:color w:val="000000" w:themeColor="text1"/>
              </w:rPr>
              <w:t>Нового типа 750 см . с карданной передачей, с пулемемой установкой, с коляской</w:t>
            </w:r>
          </w:p>
        </w:tc>
        <w:tc>
          <w:tcPr>
            <w:tcW w:w="850" w:type="dxa"/>
            <w:shd w:val="clear" w:color="auto" w:fill="FFFFFF"/>
          </w:tcPr>
          <w:p w14:paraId="277FA11B" w14:textId="77777777" w:rsidR="00C15D15" w:rsidRPr="00DB5D0D" w:rsidRDefault="00C15D15" w:rsidP="00DB5D0D">
            <w:pPr>
              <w:pStyle w:val="713"/>
              <w:shd w:val="clear" w:color="auto" w:fill="auto"/>
              <w:spacing w:line="240" w:lineRule="auto"/>
              <w:jc w:val="both"/>
              <w:rPr>
                <w:rFonts w:ascii="Times New Roman" w:hAnsi="Times New Roman" w:cs="Times New Roman"/>
                <w:i w:val="0"/>
                <w:color w:val="000000" w:themeColor="text1"/>
                <w:spacing w:val="0"/>
                <w:sz w:val="16"/>
                <w:szCs w:val="16"/>
              </w:rPr>
            </w:pPr>
            <w:r w:rsidRPr="00DB5D0D">
              <w:rPr>
                <w:rFonts w:ascii="Times New Roman" w:hAnsi="Times New Roman" w:cs="Times New Roman"/>
                <w:i w:val="0"/>
                <w:color w:val="000000" w:themeColor="text1"/>
                <w:spacing w:val="0"/>
                <w:sz w:val="16"/>
                <w:szCs w:val="16"/>
              </w:rPr>
              <w:t>-</w:t>
            </w:r>
          </w:p>
        </w:tc>
        <w:tc>
          <w:tcPr>
            <w:tcW w:w="850" w:type="dxa"/>
            <w:shd w:val="clear" w:color="auto" w:fill="FFFFFF"/>
          </w:tcPr>
          <w:p w14:paraId="66545562" w14:textId="77777777" w:rsidR="00C15D15" w:rsidRPr="00DB5D0D" w:rsidRDefault="00C15D15" w:rsidP="00DB5D0D">
            <w:pPr>
              <w:spacing w:after="0" w:line="240" w:lineRule="auto"/>
              <w:jc w:val="both"/>
              <w:rPr>
                <w:rFonts w:ascii="Times New Roman" w:hAnsi="Times New Roman"/>
                <w:color w:val="000000" w:themeColor="text1"/>
                <w:sz w:val="16"/>
                <w:szCs w:val="16"/>
              </w:rPr>
            </w:pPr>
          </w:p>
        </w:tc>
        <w:tc>
          <w:tcPr>
            <w:tcW w:w="864" w:type="dxa"/>
            <w:shd w:val="clear" w:color="auto" w:fill="FFFFFF"/>
          </w:tcPr>
          <w:p w14:paraId="4C5C82DE" w14:textId="77777777" w:rsidR="00C15D15" w:rsidRPr="00DB5D0D" w:rsidRDefault="00C15D1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r>
    </w:tbl>
    <w:p w14:paraId="11F364F5" w14:textId="77777777" w:rsidR="00C15D15" w:rsidRPr="00DB5D0D" w:rsidRDefault="00C15D15" w:rsidP="00DB5D0D">
      <w:pPr>
        <w:pStyle w:val="86"/>
        <w:shd w:val="clear" w:color="auto" w:fill="auto"/>
        <w:spacing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(15753).</w:t>
      </w:r>
    </w:p>
    <w:p w14:paraId="4174B9E9" w14:textId="77777777" w:rsidR="00C15D15" w:rsidRPr="00DB5D0D" w:rsidRDefault="00C15D15" w:rsidP="00DB5D0D">
      <w:pPr>
        <w:pStyle w:val="86"/>
        <w:shd w:val="clear" w:color="auto" w:fill="auto"/>
        <w:spacing w:line="240" w:lineRule="auto"/>
        <w:jc w:val="both"/>
        <w:rPr>
          <w:rFonts w:ascii="Times New Roman" w:hAnsi="Times New Roman" w:cs="Times New Roman"/>
          <w:color w:val="000000" w:themeColor="text1"/>
          <w:sz w:val="16"/>
          <w:szCs w:val="16"/>
        </w:rPr>
      </w:pPr>
    </w:p>
    <w:p w14:paraId="1BBDE412" w14:textId="75BFE1F0" w:rsidR="00AC6661" w:rsidRPr="00DB5D0D" w:rsidRDefault="00AC6661" w:rsidP="00DB5D0D">
      <w:pPr>
        <w:spacing w:after="0" w:line="240" w:lineRule="auto"/>
        <w:jc w:val="both"/>
        <w:rPr>
          <w:rFonts w:ascii="Times New Roman" w:hAnsi="Times New Roman"/>
          <w:i/>
          <w:iCs/>
          <w:color w:val="000000" w:themeColor="text1"/>
          <w:sz w:val="16"/>
          <w:szCs w:val="16"/>
        </w:rPr>
      </w:pPr>
      <w:r w:rsidRPr="00DB5D0D">
        <w:rPr>
          <w:rFonts w:ascii="Times New Roman" w:hAnsi="Times New Roman"/>
          <w:i/>
          <w:iCs/>
          <w:color w:val="000000" w:themeColor="text1"/>
          <w:sz w:val="16"/>
          <w:szCs w:val="16"/>
        </w:rPr>
        <w:t>За рубежом:</w:t>
      </w:r>
    </w:p>
    <w:p w14:paraId="5137DA77" w14:textId="77777777" w:rsidR="00AC6661" w:rsidRPr="00DB5D0D" w:rsidRDefault="00AC6661" w:rsidP="00DB5D0D">
      <w:pPr>
        <w:spacing w:after="0" w:line="240" w:lineRule="auto"/>
        <w:jc w:val="both"/>
        <w:rPr>
          <w:rFonts w:ascii="Times New Roman" w:hAnsi="Times New Roman"/>
          <w:i/>
          <w:iCs/>
          <w:color w:val="000000" w:themeColor="text1"/>
          <w:sz w:val="16"/>
          <w:szCs w:val="16"/>
        </w:rPr>
      </w:pPr>
    </w:p>
    <w:p w14:paraId="5D4B9EF5" w14:textId="77777777" w:rsidR="00AC6661" w:rsidRPr="00DB5D0D" w:rsidRDefault="00AC666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конце июля 1940 состоялось первое использовании бортовых РЛС для перехвата вражеской авиации. Ашфилд на британском ночном истребителе Бристоль Бленхейм IF сбивает бомбардировщик Dornier Do 17. Второй случай произойдет не раньше ноября - опять жес участием Эшфилда (20795).</w:t>
      </w:r>
    </w:p>
    <w:p w14:paraId="391E1710" w14:textId="77777777" w:rsidR="00AC6661" w:rsidRPr="00DB5D0D" w:rsidRDefault="00AC6661" w:rsidP="00DB5D0D">
      <w:pPr>
        <w:spacing w:after="0" w:line="240" w:lineRule="auto"/>
        <w:jc w:val="both"/>
        <w:rPr>
          <w:rFonts w:ascii="Times New Roman" w:hAnsi="Times New Roman"/>
          <w:color w:val="0070C0"/>
          <w:sz w:val="16"/>
          <w:szCs w:val="16"/>
        </w:rPr>
      </w:pPr>
    </w:p>
    <w:p w14:paraId="360CEE3F" w14:textId="5EE34E18"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91CAF1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C76EF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С.В.И. вызвал В.Н.Бугайского и сказал "По самолету Ил-2 разворачивается большая работа. Я ожидаю, что эта работа для нашего КБ станет главной. Самолет будет строиться на нескольких заводах с привлечением многих заводов-поставщиков комплектующих изделий: моторов, вооружения, и особо сложной задачей окажется изготовление бронекорпусов. Нужен человек, который бы возглавил эту работу и жил только этими заботами. Мне одному это не под силу. К тому же надо не забывать перспективу: создавать новые самолеты. Я подумал и решил, что наиболее подходящим для этой роли являешься ты. Предлагаю быть моим заместителем по самолету Ил-2. Комплектуй бригаду конструкторов и выезжай в Ленинград (1646,9).</w:t>
      </w:r>
    </w:p>
    <w:p w14:paraId="09D3FC9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48EAF96" w14:textId="77777777" w:rsidR="00DB29DC" w:rsidRPr="00DB5D0D" w:rsidRDefault="00DB29DC"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 июле 1940 г бригинженер Гуревич., тогда начальник факультета авиа</w:t>
      </w:r>
      <w:r w:rsidRPr="00DB5D0D">
        <w:rPr>
          <w:rFonts w:ascii="Times New Roman" w:hAnsi="Times New Roman"/>
          <w:color w:val="000000" w:themeColor="text1"/>
          <w:spacing w:val="0"/>
          <w:sz w:val="16"/>
          <w:szCs w:val="16"/>
        </w:rPr>
        <w:softHyphen/>
        <w:t>ционного вооружения ВВА им. Н. Е. Жуковского, возглавлял комиссию по расследованию фактов, изложенных в очередной жалобе Шпитального на зажим наркоматами обороны (ГУ ВВС) и воору</w:t>
      </w:r>
      <w:r w:rsidRPr="00DB5D0D">
        <w:rPr>
          <w:rFonts w:ascii="Times New Roman" w:hAnsi="Times New Roman"/>
          <w:color w:val="000000" w:themeColor="text1"/>
          <w:spacing w:val="0"/>
          <w:sz w:val="16"/>
          <w:szCs w:val="16"/>
        </w:rPr>
        <w:softHyphen/>
        <w:t>жения его работ в области авиационного оружия. Одним из членов этой комиссии был бригинже</w:t>
      </w:r>
      <w:r w:rsidRPr="00DB5D0D">
        <w:rPr>
          <w:rFonts w:ascii="Times New Roman" w:hAnsi="Times New Roman"/>
          <w:color w:val="000000" w:themeColor="text1"/>
          <w:spacing w:val="0"/>
          <w:sz w:val="16"/>
          <w:szCs w:val="16"/>
        </w:rPr>
        <w:softHyphen/>
        <w:t>нер Солдатов, в то время военинженер 1-го ранга и старший контролер Комитета обороны. Главным результатом разбирательства стал вывод: «Заявле</w:t>
      </w:r>
      <w:r w:rsidRPr="00DB5D0D">
        <w:rPr>
          <w:rFonts w:ascii="Times New Roman" w:hAnsi="Times New Roman"/>
          <w:color w:val="000000" w:themeColor="text1"/>
          <w:spacing w:val="0"/>
          <w:sz w:val="16"/>
          <w:szCs w:val="16"/>
        </w:rPr>
        <w:softHyphen/>
        <w:t>ние т. Шпитального является необоснованным об</w:t>
      </w:r>
      <w:r w:rsidRPr="00DB5D0D">
        <w:rPr>
          <w:rFonts w:ascii="Times New Roman" w:hAnsi="Times New Roman"/>
          <w:color w:val="000000" w:themeColor="text1"/>
          <w:spacing w:val="0"/>
          <w:sz w:val="16"/>
          <w:szCs w:val="16"/>
        </w:rPr>
        <w:softHyphen/>
        <w:t>винением ряда работников НКО и НКВ в задержке ими ценных оборонных изобретений и направ</w:t>
      </w:r>
      <w:r w:rsidRPr="00DB5D0D">
        <w:rPr>
          <w:rFonts w:ascii="Times New Roman" w:hAnsi="Times New Roman"/>
          <w:color w:val="000000" w:themeColor="text1"/>
          <w:spacing w:val="0"/>
          <w:sz w:val="16"/>
          <w:szCs w:val="16"/>
        </w:rPr>
        <w:softHyphen/>
        <w:t>лено в СНК, по существу, для того, чтобы продви</w:t>
      </w:r>
      <w:r w:rsidRPr="00DB5D0D">
        <w:rPr>
          <w:rFonts w:ascii="Times New Roman" w:hAnsi="Times New Roman"/>
          <w:color w:val="000000" w:themeColor="text1"/>
          <w:spacing w:val="0"/>
          <w:sz w:val="16"/>
          <w:szCs w:val="16"/>
        </w:rPr>
        <w:softHyphen/>
        <w:t>нуть на вооружение свои недоработанные образ</w:t>
      </w:r>
      <w:r w:rsidRPr="00DB5D0D">
        <w:rPr>
          <w:rFonts w:ascii="Times New Roman" w:hAnsi="Times New Roman"/>
          <w:color w:val="000000" w:themeColor="text1"/>
          <w:spacing w:val="0"/>
          <w:sz w:val="16"/>
          <w:szCs w:val="16"/>
        </w:rPr>
        <w:softHyphen/>
        <w:t>цы пулеметов и пушек». Очевидно, после такого детального знакомства с «деятельностью» Шпи</w:t>
      </w:r>
      <w:r w:rsidRPr="00DB5D0D">
        <w:rPr>
          <w:rFonts w:ascii="Times New Roman" w:hAnsi="Times New Roman"/>
          <w:color w:val="000000" w:themeColor="text1"/>
          <w:spacing w:val="0"/>
          <w:sz w:val="16"/>
          <w:szCs w:val="16"/>
        </w:rPr>
        <w:softHyphen/>
        <w:t>тального ни Гуревича, ни Солдатова не пришлось долго уговаривать помочь Глухареву и защитить ОКБ-16.</w:t>
      </w:r>
    </w:p>
    <w:p w14:paraId="10F2C8D7" w14:textId="77777777" w:rsidR="00DB29DC" w:rsidRPr="00DB5D0D" w:rsidRDefault="00DB29DC"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К 1 августа 1940, заручившись поддержкой Сталина, ГУ ВВС под</w:t>
      </w:r>
      <w:r w:rsidRPr="00DB5D0D">
        <w:rPr>
          <w:rFonts w:ascii="Times New Roman" w:hAnsi="Times New Roman"/>
          <w:color w:val="000000" w:themeColor="text1"/>
          <w:spacing w:val="0"/>
          <w:sz w:val="16"/>
          <w:szCs w:val="16"/>
        </w:rPr>
        <w:softHyphen/>
        <w:t>готовило и через наркомат обороны представило в секретариат Комитета обороны про</w:t>
      </w:r>
      <w:r w:rsidRPr="00DB5D0D">
        <w:rPr>
          <w:rFonts w:ascii="Times New Roman" w:hAnsi="Times New Roman"/>
          <w:color w:val="000000" w:themeColor="text1"/>
          <w:spacing w:val="0"/>
          <w:sz w:val="16"/>
          <w:szCs w:val="16"/>
        </w:rPr>
        <w:softHyphen/>
        <w:t>ект постановления «По крупнокалиберному пушеч</w:t>
      </w:r>
      <w:r w:rsidRPr="00DB5D0D">
        <w:rPr>
          <w:rFonts w:ascii="Times New Roman" w:hAnsi="Times New Roman"/>
          <w:color w:val="000000" w:themeColor="text1"/>
          <w:spacing w:val="0"/>
          <w:sz w:val="16"/>
          <w:szCs w:val="16"/>
        </w:rPr>
        <w:softHyphen/>
        <w:t>ному и ракетному вооружению авиации».</w:t>
      </w:r>
    </w:p>
    <w:p w14:paraId="4D0F8E30" w14:textId="77777777" w:rsidR="00DB29DC" w:rsidRPr="00DB5D0D" w:rsidRDefault="00DB29DC"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По ряду причин, как объективного, так и субъ</w:t>
      </w:r>
      <w:r w:rsidRPr="00DB5D0D">
        <w:rPr>
          <w:rFonts w:ascii="Times New Roman" w:hAnsi="Times New Roman"/>
          <w:color w:val="000000" w:themeColor="text1"/>
          <w:spacing w:val="0"/>
          <w:sz w:val="16"/>
          <w:szCs w:val="16"/>
        </w:rPr>
        <w:softHyphen/>
        <w:t>ективного характера, согласование документа за</w:t>
      </w:r>
      <w:r w:rsidRPr="00DB5D0D">
        <w:rPr>
          <w:rFonts w:ascii="Times New Roman" w:hAnsi="Times New Roman"/>
          <w:color w:val="000000" w:themeColor="text1"/>
          <w:spacing w:val="0"/>
          <w:sz w:val="16"/>
          <w:szCs w:val="16"/>
        </w:rPr>
        <w:softHyphen/>
        <w:t>интересованными организациями и инстанциями затянулось.</w:t>
      </w:r>
    </w:p>
    <w:p w14:paraId="68CE961C" w14:textId="77777777" w:rsidR="00DB29DC" w:rsidRPr="00DB5D0D" w:rsidRDefault="00DB29DC"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Тем временем пушка ПТБ-23 с магазином на 81 патрон запускалась в опытно-серийное произ</w:t>
      </w:r>
      <w:r w:rsidRPr="00DB5D0D">
        <w:rPr>
          <w:rFonts w:ascii="Times New Roman" w:hAnsi="Times New Roman"/>
          <w:color w:val="000000" w:themeColor="text1"/>
          <w:spacing w:val="0"/>
          <w:sz w:val="16"/>
          <w:szCs w:val="16"/>
        </w:rPr>
        <w:softHyphen/>
        <w:t>водство на заводе № 2 НКВ им. Киркиж (г. Ковров) с целью отработки технологии изготовления и обе</w:t>
      </w:r>
      <w:r w:rsidRPr="00DB5D0D">
        <w:rPr>
          <w:rFonts w:ascii="Times New Roman" w:hAnsi="Times New Roman"/>
          <w:color w:val="000000" w:themeColor="text1"/>
          <w:spacing w:val="0"/>
          <w:sz w:val="16"/>
          <w:szCs w:val="16"/>
        </w:rPr>
        <w:softHyphen/>
        <w:t>спечения опытных работ НКВ, НКАП и ВВС по отлад</w:t>
      </w:r>
      <w:r w:rsidRPr="00DB5D0D">
        <w:rPr>
          <w:rFonts w:ascii="Times New Roman" w:hAnsi="Times New Roman"/>
          <w:color w:val="000000" w:themeColor="text1"/>
          <w:spacing w:val="0"/>
          <w:sz w:val="16"/>
          <w:szCs w:val="16"/>
        </w:rPr>
        <w:softHyphen/>
        <w:t>ке пушек и пушечных установок для боевых само</w:t>
      </w:r>
      <w:r w:rsidRPr="00DB5D0D">
        <w:rPr>
          <w:rFonts w:ascii="Times New Roman" w:hAnsi="Times New Roman"/>
          <w:color w:val="000000" w:themeColor="text1"/>
          <w:spacing w:val="0"/>
          <w:sz w:val="16"/>
          <w:szCs w:val="16"/>
        </w:rPr>
        <w:softHyphen/>
        <w:t>летов (17500).</w:t>
      </w:r>
    </w:p>
    <w:p w14:paraId="5861A5BC" w14:textId="77777777" w:rsidR="00DB29DC" w:rsidRPr="00DB5D0D" w:rsidRDefault="00DB29DC" w:rsidP="00DB5D0D">
      <w:pPr>
        <w:spacing w:after="0" w:line="240" w:lineRule="auto"/>
        <w:jc w:val="both"/>
        <w:rPr>
          <w:rFonts w:ascii="Times New Roman" w:eastAsia="Times New Roman" w:hAnsi="Times New Roman"/>
          <w:color w:val="000000" w:themeColor="text1"/>
          <w:sz w:val="16"/>
          <w:szCs w:val="16"/>
          <w:lang w:eastAsia="ru-RU"/>
        </w:rPr>
      </w:pPr>
    </w:p>
    <w:p w14:paraId="351FF6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в развитие идеи использования в качестве самолета поля боя пикирующего бомбардировщика-штурмовика ОКБ А.И.Микояна (ОКО завода № 1) в инициативном порядке разработало эскизный проект одноместного пикирующего бронированного штурмовика ПБШ-1 с мотором АМ-38.</w:t>
      </w:r>
    </w:p>
    <w:p w14:paraId="26502B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Известно, что еще в начале 30-х годов М. И. Гуревич и конструктор ОКО Н. И. Андрианов участвовали в разработке одномоторного бронированного штурмовика ТШ-3 с мотором М-34.</w:t>
      </w:r>
    </w:p>
    <w:p w14:paraId="6CAC30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Опираясь на этот опыт, и создавался новый самолет ОКО. Непосредственную разработку общего вида самолета ПБШ-1, его общей компоновки и компоновки вооружения, а также схемы бронекорпуса выполнил Н. И. Андрианов.</w:t>
      </w:r>
    </w:p>
    <w:p w14:paraId="24D476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схеме ПБШ-1 представлял собой низкоплан с относительно неплохими аэродинамическими формами и компоновкой, позаимствованными у истребителя И-200.</w:t>
      </w:r>
    </w:p>
    <w:p w14:paraId="05D9A1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Пикирующий бронированный штурмовик ПБШ-1 предназначался главным образом для действий по сильнозащищенным и малоразмерным наземным целям противника (танки, ДОТ, ДЗОТ, и т. д.), а также по его живой силе непосредственно на линии фронта.</w:t>
      </w:r>
    </w:p>
    <w:p w14:paraId="090B8B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создавался исходя из следующих условий, позволяющих выполнять поставленные перед ним задачи:</w:t>
      </w:r>
    </w:p>
    <w:p w14:paraId="1AF5C4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полная защита экипажа, мотора и топлива от наземного и воздушного огня противника;</w:t>
      </w:r>
    </w:p>
    <w:p w14:paraId="617089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мощное вооружение для работы по наземным целям;</w:t>
      </w:r>
    </w:p>
    <w:p w14:paraId="355FDF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хорошая устойчивость;</w:t>
      </w:r>
    </w:p>
    <w:p w14:paraId="3A0AA6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хороший обзор вперед и вниз;</w:t>
      </w:r>
    </w:p>
    <w:p w14:paraId="459896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максимально возможная скорость на малых высотах;</w:t>
      </w:r>
    </w:p>
    <w:p w14:paraId="09CBED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с нужной высоты для прицельного огня и бомбометания по танкам и огневым точкам противника.</w:t>
      </w:r>
    </w:p>
    <w:p w14:paraId="6F5E8C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ПБШ-1 у земли составляла 449 км/ч, а на высоте 1250 м- 472 км/ч. Посадочная скорость со щитками, отклоненными на 60° без боезапаса при остатке горючего 25% - 121 км/ч.</w:t>
      </w:r>
    </w:p>
    <w:p w14:paraId="193D80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должен был составлять 7600 м. Дальность полета у земли при 0,9Vmax - 813 км, а с подвесными баками -1013 км. Максимальный полетный вес ПБШ-1 - 6024 кг.</w:t>
      </w:r>
    </w:p>
    <w:p w14:paraId="6780E8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Передняя часть фюзеляжа представляла собой бронеотсек, состоящий из двух боковых плит в районе кабины летчика толщиной 7,5 мм, нижней бро-неплиты толщиной 5,5 мм, бронеплиты сзади летчика толщиной 15,5 мм, броневого диска толщиной 15,5 мм спереди мотора, бронеплит снизу и с боков мотора толщиной 7,5 мм и сверху толщиной 4,5 мм. Все бронеплиты включались в силовую схему самолета.</w:t>
      </w:r>
    </w:p>
    <w:p w14:paraId="576D94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Обводы бронекорпуса выбирались таким образом, чтобы свести к минимуму наличие криволинейных поверхностей, что значительно упрощало технологию производства брони и ее сборку. Крепление бронещи-тов осуществлялось посредством ушков, приваренных к броне с внутренней стороны.</w:t>
      </w:r>
    </w:p>
    <w:p w14:paraId="21DB0D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Такое соединение обеспечивало не только простоту сборки и ремонта бронеотсека в полевых условиях, но и устраняло возможность вылета головок болтов (болты работали только на срез) при попадании снарядов в броню, и как следствие поражение летчика.</w:t>
      </w:r>
    </w:p>
    <w:p w14:paraId="6BA07D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Фонарь летчика имел лобовое бронестекло толщиной 60 мм и 40-мм бронестекла с боков и сверху. Фонарь пилота сдвигался назад при помощи пневматического привода. Также имелась система аварийного сбрасывания фонаря.</w:t>
      </w:r>
    </w:p>
    <w:p w14:paraId="06ED07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Хвостовая часть фюзеляжа - сварная из хромансилевых труб. Хорошее обтекание фюзеляжа образовывалось вторичным дюралевым каркасом и полотняной обшивкой.</w:t>
      </w:r>
    </w:p>
    <w:p w14:paraId="4E53C8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двухлонжеронное.трапеце-видной формы в плане. Состояло из центроплана и двух отъемных консолей. Лонжероны стальные, нервюры и стрингеры дюралевые штампованные, обшивка дюралевая.</w:t>
      </w:r>
    </w:p>
    <w:p w14:paraId="7F3A3C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фюзеляжа до элеронов крыло было снабжено закрылками типа Шренка, дюралевой конструкции. Каркас элеронов дюралевый, обшивка полотняная.</w:t>
      </w:r>
    </w:p>
    <w:p w14:paraId="783B53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одностоечное, полностью убираемое в полете. Уборка и выпуск от пневматической системы. Амортизация маслянно-пневматическая. Основные колеса размером 700х300 мм.</w:t>
      </w:r>
    </w:p>
    <w:p w14:paraId="171146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Стабилизатор и киль - дюралевые. Рули - каркас дюралевый, обшивка полотняная. На рулях - триммеры. Управление элеронами и рулем высоты жесткое из дюралевых труб.</w:t>
      </w:r>
    </w:p>
    <w:p w14:paraId="0CD074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Управление рулем направления -троссовое. Управление закрылками -пневматическое. Педали и сидение летчика регулируемые по росту летчика.</w:t>
      </w:r>
    </w:p>
    <w:p w14:paraId="341AA0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Винтомоторная группа включала в себя мотор АМ-38 со степенью редукции 0,902 и металлический винт-автомат типа ЗСМВ-5 диаметром три метра.</w:t>
      </w:r>
    </w:p>
    <w:p w14:paraId="7C9D1F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Моторамы в обычном смысле не имелось, так как мотор крепился с помощью кронштейнов с подмоторными брусьями непосредственно к стенкам бронекорпуса. Во всех местах, где необходим был доступ к силовой установке, в броне имелись люки. Запуск мотора осуществлялся сжатым воздухом.</w:t>
      </w:r>
    </w:p>
    <w:p w14:paraId="32C21B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Водорадиатор размещался в бро-неотсеке за сидением летчика. Входные и выходные воздушные каналы радиатора бронированные. Маслорадиатор и маслобак находились под редуктором мотора за броней.</w:t>
      </w:r>
    </w:p>
    <w:p w14:paraId="5BA7C3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Главный бензобак емкостью 650 л располагался в бронеотсеке под сидением летчика. Второй бензобак емкостью 110 л - между мотором и приборной доской летчика. Оба бензобака имели протектор.</w:t>
      </w:r>
    </w:p>
    <w:p w14:paraId="4DF725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Стрелково-пушечное вооружение самолета включало две крыльевые пушки МП-б калибра 23 мм с боекомплектом по 96 снарядов на ствол и шесть крыльевых пулеметов ШКАС с боезапасом по 750 патронов на пулемет. Все стрелково-пушечное вооружение размещалось вне плоскости сметаемой винтом. Управление огнем и перезарядкой - пневматическое.</w:t>
      </w:r>
    </w:p>
    <w:p w14:paraId="1D61F5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Бомбовую нагрузку - до 700 кг, предполагалось брать только в перегрузку.</w:t>
      </w:r>
    </w:p>
    <w:p w14:paraId="5213DB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подвески бомб на самолете имелись два бомбоотсека в центроплане между лонжеронами крыла -для бомбометания только с горизонтального полета, и два внешних бомбодержателя (по одному под каждой плоскостью крыла вне зоны, ометае-мой винтом) -для бомбометания с пикирования.</w:t>
      </w:r>
    </w:p>
    <w:p w14:paraId="5ECF4F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Центропланные бомбоотсеки обеспечивали загрузку или 24 осколочных авиабомб типа АО-10 (240 кг), или 24 АО-8 (192 кг), или 280 АО-2,5 (700 кг).</w:t>
      </w:r>
    </w:p>
    <w:p w14:paraId="5235BA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Максимальный калибр бомб, подвешиваемых на внешние бомбодержатели для бомбометания с пикирования не превышал 100 кг. При этом бомбодержатели обеспечивали подвеску и двух сбрасываемых бензобаков по 150л каждый.</w:t>
      </w:r>
    </w:p>
    <w:p w14:paraId="723DB5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Предусматривалась подвеска двух выливных авиаприборов химического вооружения типа ВАП-бМ (всего 140 кг).</w:t>
      </w:r>
    </w:p>
    <w:p w14:paraId="446C8B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реактивного вооружения не предусматривалась.</w:t>
      </w:r>
    </w:p>
    <w:p w14:paraId="133BC3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Детально проработав проект ПБШ-1 (занимался этим вопросом ведущий инженер института военинженер 1-го ранга Н. С. Куликов), специалисты НИИ ВВС КА сделали вывод, что в представленном виде штурмовик не может рассматриваться как пикирующий ударный самолет. Боевые возможности ПБШ-1 более соответствовали требованиям к одноместному бронированному штурмовику.</w:t>
      </w:r>
    </w:p>
    <w:p w14:paraId="76B802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Дело в том, что проектом не были предусмотрены необходимые приспособления для ограничения скорости штурмовика на пикировании. Поэтому обеспечение эффективного бомбометания с пикирования на ПБШ-1 было сомнительным.</w:t>
      </w:r>
    </w:p>
    <w:p w14:paraId="0C4E5E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проекте напрочь отсутствовали материалы, подтверждающие, что конструкция ПБШ-1 рассчитана на 11-13 кратную перегрузку (необходимую для пикирующего самолета), тогда как простые расчеты показывали, что при весе пустого самолета около 4000 кг его прочность на такую перегрузку не могла быть обеспечена.</w:t>
      </w:r>
    </w:p>
    <w:p w14:paraId="3598FE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максимальный калибр авиабомб (до 100 кг) для бомбометания с пикирования не обеспечивал решение всего круга боевых задач фронтового пикирующего бомбардировщика.</w:t>
      </w:r>
    </w:p>
    <w:p w14:paraId="496A33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частности, опыт прорыва Красной армией линии Маннергейма в 1940 г. показал, что для разрушения долговременных железобетонных оборонительных сооружений нужны были авиабомбы калибра не менее 250-500 кг.</w:t>
      </w:r>
    </w:p>
    <w:p w14:paraId="0A4C4B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 и размещение стрелково-пушечного вооружения военные специалисты сочли вполне приемлемым.</w:t>
      </w:r>
    </w:p>
    <w:p w14:paraId="2BFE68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обзора у летчика вперед-вниз, равный 9°, был признан достаточным (например, у Ил-2 этот угол составлял 8°).</w:t>
      </w:r>
    </w:p>
    <w:p w14:paraId="59E8EC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Было отмечено, что в ОКО завода № 1 совершенно не проработан вопрос спецоборудования.</w:t>
      </w:r>
    </w:p>
    <w:p w14:paraId="57CA45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специалистов НИИ ВВС реальный взлетный вес ПБШ-1 будет на 400 кг больше, чем показано в проекте (то есть, около 5254 кг), максимальная скорость у земли (с учетом реального к. п. д. винта равного 0,75) не превысит 420 км/ч, а время набора 5000 м составит 11,5-12,0 мин.</w:t>
      </w:r>
    </w:p>
    <w:p w14:paraId="05E128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Пилотажные свойства машины вследствие недостаточного запаса устойчивости с увеличением полетного веса серьезно ухудшатся. Неудовлетворительными станут и взлетно-поса-дочные характеристики штурмовика.</w:t>
      </w:r>
    </w:p>
    <w:p w14:paraId="29DE07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Высокая оценка была дана бронированию штурмовика. Отмечалось, что схема бронирования в отношении расположения брони на самолете является удовлетворительной, так как броней защищаются все наиболее жизненные части самолета: летчик, мотор, радиаторы,бензобаки и основные агрегаты оборудования.</w:t>
      </w:r>
    </w:p>
    <w:p w14:paraId="45C58A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Броневые плиты толщиной 15 мм, установленные впереди мотора и сзади кабины летчика могут защищать от бронебойных пуль калибра 12-13 мм включительно с дистанции обстрела до 200 м при высоте полета 25 м.</w:t>
      </w:r>
    </w:p>
    <w:p w14:paraId="465E81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Броневые плиты толщиной 7,5 мм, установленные на бортах кабины и мотоотсека, и бронеплиты толщиной 5,5 мм, установленные снизу бронеотсе-ков, при тех же условиях обстрела, могут дать защиту только от бронебойных пуль калибра 7-8 мм.</w:t>
      </w:r>
    </w:p>
    <w:p w14:paraId="32A1A0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с учетом уточнений военных ПБШ-1 по всему комплексу летно-технических и боевых возможностей уже не попадал в рамки требований программы опытного самолетостроения на 1941 г. (9649).</w:t>
      </w:r>
    </w:p>
    <w:p w14:paraId="7D92EE4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CCCEE0" w14:textId="77777777" w:rsidR="00511FDF" w:rsidRPr="00DB5D0D" w:rsidRDefault="00511FD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июле 1940 г. коллектив ОКО завода № 1 им. Авиахима, возглавляемый А.И.Микояном, предложил для рассмотрения инициативный эскизный проект одноместного пикирующего бронированного штурмовика ПБШ-1 с мотором АМ-38. При проектировании этой машины проводилась технологическая разбивка на агрегаты, которым соответствовала условиям серийного производства завода № 1.</w:t>
      </w:r>
    </w:p>
    <w:p w14:paraId="34292531" w14:textId="77777777" w:rsidR="00511FDF" w:rsidRPr="00DB5D0D" w:rsidRDefault="00511FD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Пикирующий бронированный штурмовик ПБШ-1 предназначался для действий по наземным целям непосредственно на линии фронта. Он создавался исходя из следующих условий, позволяющих выполнять поставленные перед ним задачи:</w:t>
      </w:r>
    </w:p>
    <w:p w14:paraId="29849D06" w14:textId="77777777" w:rsidR="00511FDF" w:rsidRPr="00DB5D0D" w:rsidRDefault="00511FD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полная зашита экипажа, мотора и топлива;</w:t>
      </w:r>
    </w:p>
    <w:p w14:paraId="5F88A8F3" w14:textId="77777777" w:rsidR="00511FDF" w:rsidRPr="00DB5D0D" w:rsidRDefault="00511FD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мощное вооружение;</w:t>
      </w:r>
    </w:p>
    <w:p w14:paraId="18C64DD8" w14:textId="77777777" w:rsidR="00511FDF" w:rsidRPr="00DB5D0D" w:rsidRDefault="00511FD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хорошая устойчивость;</w:t>
      </w:r>
    </w:p>
    <w:p w14:paraId="0AA50999" w14:textId="77777777" w:rsidR="00511FDF" w:rsidRPr="00DB5D0D" w:rsidRDefault="00511FD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хороший обзор вперед и вниз;</w:t>
      </w:r>
    </w:p>
    <w:p w14:paraId="786DF9E9" w14:textId="77777777" w:rsidR="00511FDF" w:rsidRPr="00DB5D0D" w:rsidRDefault="00511FD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максимально возможная скорость на малых высотах;</w:t>
      </w:r>
    </w:p>
    <w:p w14:paraId="2E195CDA" w14:textId="77777777" w:rsidR="00511FDF" w:rsidRPr="00DB5D0D" w:rsidRDefault="00511FDF"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пикирование для прицельного огня и бомбометания по танкам и огневым точкам противника.</w:t>
      </w:r>
    </w:p>
    <w:p w14:paraId="1E0BDEC1"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расчетам штурмовик должен был иметь максимальную скорость у земли 449 км/ч, а на высоте 1250 м - 472 км/ ч. Посадочная скорость со щитками, отклоненными на 60╟, без боезапаса и при остатке горючего 25% - 121 км/ч. Практический потолок должен был составлять 7600 м. Дальность полета у земли при 0,9Утах - 813 км, а с подвесными баками - 1013 км. Максимальная полетная масса ПБШ-1 составляла 6024 кг.</w:t>
      </w:r>
    </w:p>
    <w:p w14:paraId="486D577F"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схеме ПБШ-1 представлял собой низкоплан с относительно хорошими аэродинамическими формами, в известной мере заимствованными у истребителя И-200.</w:t>
      </w:r>
    </w:p>
    <w:p w14:paraId="25C2849F"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Переднюю часть фюзеляжа выполнили в виде бронеотсека. Он состоял из двух бортовых щитов в районе кабины летчика (7,5 мм), нижнего щита (5,5 мм), бронещита сзади летчика (15,5 мм), а также броневого диска (15,5 мм) спереди мотора, щитов сверху (4,5 мм), снизу и с боков мотора (7,5 мм). Бронещиты были включены в силовую схему самолета, их крепили на каркасе, а с внутренней стороны соединяли между собой болтами. Толщину брони для защиты пилота и винтомоторной группы выбирали в зависимости от траектории пули по отношению к броне. Места, в которых вероятность попадания под углами, близкими к прямому, была велика, защищали цементированной броней толщиной 15,5 мм. Там же, где попадания были вероятны под малыми углами, устанавливали гомогенную броню в 4,5-7,5 мм. При проектировании учитывали и то обстоятельство, что самолет, летящий со скоростью 120-125 м/с на малой высоте, обстрелять с дистанции ближе чем 200-300 метров весьма проблематично.</w:t>
      </w:r>
    </w:p>
    <w:p w14:paraId="3266874D"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Козырек и фонарь делали полностью из броневого стекла толщиной 60 мм и 40 мм соответственно. Фонарь пилота сдвигался назад, для чего имелось пневматическое управление. Он также имел систему аварийного сбрасывания.</w:t>
      </w:r>
    </w:p>
    <w:p w14:paraId="22617003"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Обводы бронекорпуса выбирали таким образом, чтобы свести к минимуму наличие криволинейных поверхностей, что значительно упрощало технологию производства брони и ее сборку. Крепление бронещитов осуществляли посредством ушков, приваренных к броне с внутренней стороны. Такое соединение обеспечивало не только простоту сборки и ремонта бронеотсека в полевых условиях, но и устраняло возможность вылета головок болтов (болты работали только на срез) при попадании снарядов в броню, и как следствие поражение летчика.</w:t>
      </w:r>
    </w:p>
    <w:p w14:paraId="0F12F12B"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Хвостовая часть фюзеляжа представляла собой сваренную из хромансилевых труб ферму, которая имела полотняную обшивку, прикрепленную к дюралевому каркасу. Стабилизатор и киль дюралевые. Рули направления и высоты имели дюралевый каркас и полотняную обшивку. На всех рулях устанавливали триммеры.</w:t>
      </w:r>
    </w:p>
    <w:p w14:paraId="64BABC6F"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Крыло двухлонжеронное, трапециевидной формы. Оно состояло из центроплана и двух отъемных консолей. Лонжероны были стальные, нервюры, стрингеры и обшивка - дюралевые. В дальнейшем, с целью экономии "крылатого металла", предусматривали использование обшивки из бакелитовой фанеры. Каркас элеронов дюралевый, обшивка полотняная. Имелись щитки-закрылки типа Шренк с пневматическим управлением. Управление элеронами и рулем высоты жесткое, рулем направления - тросовое. Педали и сидение летчика могли регулироваться по его росту.</w:t>
      </w:r>
    </w:p>
    <w:p w14:paraId="6ADBE8E8"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Шасси одностоечное, убираемое в полете. Амортизация масляно-пневматическая, впоследствии для повышения неуязвимости ПБШ-1 предполагали перейти к пружинно-масляной. В случае необходимости, с целью увеличения живучести, основные колеса 700x300 полубаллонного типа можно было заменить на грузошину, для чего предусмотрели необходимый ход шасси. Уборка и выпуск осуществлялась от пневматической системы.</w:t>
      </w:r>
    </w:p>
    <w:p w14:paraId="1182EC6B"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Винтомоторная группа включала в себя двигатель жидкостного охлаждения АМ-38 со степенью редукции 0,902 и металлический винт-автомат типа ЗСМВ-5 диаметром 3 метра. Моторамы в обычном смысле не было, так как двигатель крепили с помощью кронштейнов с подмоторными брусьями непосредственно к стенкам бронекорпуса. Во всех местах, где необходим был доступ к силовой установке, в броне сделали люки. Запуск мотора осуществлялся сжатым воздухом.</w:t>
      </w:r>
    </w:p>
    <w:p w14:paraId="66B47A25"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Водорадиатор разместили в броне-отсеке за сидением летчика. Его входные и выходные воздушные каналы были бронированные и имели форму, предохраняющую от рикошетных попаданий в радиатор. Маслосистема имела водомасляный радиатор, который также разместили под броней, с левой стороны мотора, а маслобак установили на редукторе мотора.</w:t>
      </w:r>
    </w:p>
    <w:p w14:paraId="34BEBCE7"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Самолет имел два протектированных бензобака. Главный бензобак емкостью 650 л находился в бронеотсеке под сидением летчика, второй бензобак емкостью 110 л - между мотором и приборной доской.</w:t>
      </w:r>
    </w:p>
    <w:p w14:paraId="1461AD22"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Стрелковое вооружение ПБШ-1 включало в себя две 23-мм пушки МП-3 с магазинным питанием конструкции Я.Г.Таубина и шесть пулеметов ШКАС. Пушки с боезапасом по 96 патронов разместили в обтекателях под консолями крыла. Они в первую очередь предназначались для борьбы с бронетанковыми частями и самолетами противника на земле. Для поражения живой силы противника в каждой консоли установили по три пулемета ШКАС с боезапасом по 750 патронов. Все стрелково-пушечное вооружение разместили вне плоскости ометаемой винтом. Управление огнем и перезарядкой было пневматическое.</w:t>
      </w:r>
    </w:p>
    <w:p w14:paraId="023BA235"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Бомбардировочное вооружение состояло из двух бомбоотсеков, расположенных в центроплане между лонжеронами крыла. Правда, бомбовую нагрузку предполагали брать только в перегрузку. Каждый отсек состоял из пяти изолированных друг от друга секций. Загрузку бомб производили через верхний съемный силовой люк. Бомбы укладывали рядами без кассет. Их сброс мог осуществляться залпом или попарно из любой секции, причем только с горизонтального полета. Предусматривались следующие варианты загрузки:</w:t>
      </w:r>
    </w:p>
    <w:p w14:paraId="44CA8F37"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ФАБ-10 - 24 шт. - 240 кг.</w:t>
      </w:r>
    </w:p>
    <w:p w14:paraId="29E50128"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ФАБ-8 - 24 шт. - 192 кг.</w:t>
      </w:r>
    </w:p>
    <w:p w14:paraId="516A33A5"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ЗАБ-1 - 120 шт. - 120 кг.</w:t>
      </w:r>
    </w:p>
    <w:p w14:paraId="724C3228"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АОБ-2,5 - 280 шт. - 700 кг.</w:t>
      </w:r>
    </w:p>
    <w:p w14:paraId="702D13FA"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Ампулы-1 - 190 шт. - 257 кг.</w:t>
      </w:r>
    </w:p>
    <w:p w14:paraId="0C6449F2"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Кроме того, под каждой консолью установили по одной бомбовой балке. Их разместили вне плоскости, ометаемой винтом, что позволяло осуществлять бомбометание с пикирования. Помимо бомб, на балках была возможна подвеска двух сбрасываемых бензобаков емкостью по 150 л каждый. Были возможны следующие варианты подвески:</w:t>
      </w:r>
    </w:p>
    <w:p w14:paraId="7E758095"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ФАБ-100 - 2 шт. - 200 кг.</w:t>
      </w:r>
    </w:p>
    <w:p w14:paraId="7CD2D2C1"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ФАБ-50 - 2 шт. - 100 кг.</w:t>
      </w:r>
    </w:p>
    <w:p w14:paraId="3EEC356B"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АО-25 - 2 шт. - 50 кг.</w:t>
      </w:r>
    </w:p>
    <w:p w14:paraId="06CA14BA"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ВАП-6М - 2шт. - 140 кг (18568).</w:t>
      </w:r>
    </w:p>
    <w:p w14:paraId="1189E8A8" w14:textId="77777777" w:rsidR="00511FDF" w:rsidRPr="00DB5D0D" w:rsidRDefault="00511FD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2AF3A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было подготовлено заключении НИИ ВВС КА на эскизный проект ПБШ-1, которое подписал Начальник института дивизионный инженер Филин.</w:t>
      </w:r>
    </w:p>
    <w:p w14:paraId="476975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заключении отмечалось, что самолет: «1. По схеме брони, вооружению и обзору представляет интерес для ВВС КА, по взлетно-посадочным свойством самолет ТТТ не отвечает, поэтому предложить конструктору к 10 августа с. г. вторично представить проект на рассмотрение, обеспечив на нем соответствие ТТТ данных по разбегу, пробегу и посадочной скорости, дополнив его доработкой мероприятий:</w:t>
      </w:r>
    </w:p>
    <w:p w14:paraId="33D16E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обеспечению устойчивости,</w:t>
      </w:r>
    </w:p>
    <w:p w14:paraId="048867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весовых характер ист и к самопета и нагрузки,</w:t>
      </w:r>
    </w:p>
    <w:p w14:paraId="7FEC46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расчетов бронирования,</w:t>
      </w:r>
    </w:p>
    <w:p w14:paraId="264B2C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оборудования спецслужб,</w:t>
      </w:r>
    </w:p>
    <w:p w14:paraId="2CFF42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данных маневренности самолета,</w:t>
      </w:r>
    </w:p>
    <w:p w14:paraId="57A015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подробной схемой загрузки бомбовых секций различного калибра бомбами. Одновременно разрешить подготовку макета самолета.</w:t>
      </w:r>
    </w:p>
    <w:p w14:paraId="336429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Предложить конструктору разработать приспособления ограничивающие скорость пикирования...» (9649).</w:t>
      </w:r>
    </w:p>
    <w:p w14:paraId="248F973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3A871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ОКО завода 1 А.И.М. предложило для рассмотрения инициативный проект ПБШ-1 с АМ-38. И.И.Г. принимал участие в разработке ТШ-3 С.А.Кочеригина. Непосредственно разработкой общего вида занимался Н.И.Андрианов, который также работал у С.А.Кочеригина над ТШ-3 (5278,31).</w:t>
      </w:r>
    </w:p>
    <w:p w14:paraId="601C92E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3D224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кол</w:t>
      </w:r>
      <w:r w:rsidRPr="00DB5D0D">
        <w:rPr>
          <w:rFonts w:ascii="Times New Roman" w:hAnsi="Times New Roman"/>
          <w:color w:val="000000" w:themeColor="text1"/>
          <w:sz w:val="16"/>
          <w:szCs w:val="16"/>
        </w:rPr>
        <w:softHyphen/>
        <w:t>лектив ОКО завода №1 им. Авиахима, возглавляемый А.И.Микояном, предло</w:t>
      </w:r>
      <w:r w:rsidRPr="00DB5D0D">
        <w:rPr>
          <w:rFonts w:ascii="Times New Roman" w:hAnsi="Times New Roman"/>
          <w:color w:val="000000" w:themeColor="text1"/>
          <w:sz w:val="16"/>
          <w:szCs w:val="16"/>
        </w:rPr>
        <w:softHyphen/>
        <w:t>жил для рассмотрения инициативный эскизный проект одноместного пики</w:t>
      </w:r>
      <w:r w:rsidRPr="00DB5D0D">
        <w:rPr>
          <w:rFonts w:ascii="Times New Roman" w:hAnsi="Times New Roman"/>
          <w:color w:val="000000" w:themeColor="text1"/>
          <w:sz w:val="16"/>
          <w:szCs w:val="16"/>
        </w:rPr>
        <w:softHyphen/>
        <w:t>рующего бронированного штурмовика ПБШ-1 с мотором АМ-38. Известно, что еще в начале 30-х годов М.И. Гуревич участвовал в разработке созда</w:t>
      </w:r>
      <w:r w:rsidRPr="00DB5D0D">
        <w:rPr>
          <w:rFonts w:ascii="Times New Roman" w:hAnsi="Times New Roman"/>
          <w:color w:val="000000" w:themeColor="text1"/>
          <w:sz w:val="16"/>
          <w:szCs w:val="16"/>
        </w:rPr>
        <w:softHyphen/>
        <w:t>ваемого под руководством С.А.Кочеригина одномоторного бронированного штурмовика ТШ-3 с мотором М-34. Опираясь на этот опыт, и создавался новый самолет ОКО. Непосредствен</w:t>
      </w:r>
      <w:r w:rsidRPr="00DB5D0D">
        <w:rPr>
          <w:rFonts w:ascii="Times New Roman" w:hAnsi="Times New Roman"/>
          <w:color w:val="000000" w:themeColor="text1"/>
          <w:sz w:val="16"/>
          <w:szCs w:val="16"/>
        </w:rPr>
        <w:softHyphen/>
        <w:t>ную разработку общего вида ПБШ-1, его компоновки и компоновки воору</w:t>
      </w:r>
      <w:r w:rsidRPr="00DB5D0D">
        <w:rPr>
          <w:rFonts w:ascii="Times New Roman" w:hAnsi="Times New Roman"/>
          <w:color w:val="000000" w:themeColor="text1"/>
          <w:sz w:val="16"/>
          <w:szCs w:val="16"/>
        </w:rPr>
        <w:softHyphen/>
        <w:t>жения, а также схемы бронекорпуса выполнил Н.И.Андрианов, который также в начале 30-х работал у С.А. Кочеригина и принимал участие в со</w:t>
      </w:r>
      <w:r w:rsidRPr="00DB5D0D">
        <w:rPr>
          <w:rFonts w:ascii="Times New Roman" w:hAnsi="Times New Roman"/>
          <w:color w:val="000000" w:themeColor="text1"/>
          <w:sz w:val="16"/>
          <w:szCs w:val="16"/>
        </w:rPr>
        <w:softHyphen/>
        <w:t>здании ТШ-3. При проектировании новой машины проводилась техноло</w:t>
      </w:r>
      <w:r w:rsidRPr="00DB5D0D">
        <w:rPr>
          <w:rFonts w:ascii="Times New Roman" w:hAnsi="Times New Roman"/>
          <w:color w:val="000000" w:themeColor="text1"/>
          <w:sz w:val="16"/>
          <w:szCs w:val="16"/>
        </w:rPr>
        <w:softHyphen/>
        <w:t>гическая разбивка на агрегаты, кото</w:t>
      </w:r>
      <w:r w:rsidRPr="00DB5D0D">
        <w:rPr>
          <w:rFonts w:ascii="Times New Roman" w:hAnsi="Times New Roman"/>
          <w:color w:val="000000" w:themeColor="text1"/>
          <w:sz w:val="16"/>
          <w:szCs w:val="16"/>
        </w:rPr>
        <w:softHyphen/>
        <w:t>рая соответствовала условиям серий</w:t>
      </w:r>
      <w:r w:rsidRPr="00DB5D0D">
        <w:rPr>
          <w:rFonts w:ascii="Times New Roman" w:hAnsi="Times New Roman"/>
          <w:color w:val="000000" w:themeColor="text1"/>
          <w:sz w:val="16"/>
          <w:szCs w:val="16"/>
        </w:rPr>
        <w:softHyphen/>
        <w:t>ного производства завода №1. Пикирующий бронированный штурмовик ПБШ-1 предназначался для дей</w:t>
      </w:r>
      <w:r w:rsidRPr="00DB5D0D">
        <w:rPr>
          <w:rFonts w:ascii="Times New Roman" w:hAnsi="Times New Roman"/>
          <w:color w:val="000000" w:themeColor="text1"/>
          <w:sz w:val="16"/>
          <w:szCs w:val="16"/>
        </w:rPr>
        <w:softHyphen/>
        <w:t>ствий по наземным целям непосред</w:t>
      </w:r>
      <w:r w:rsidRPr="00DB5D0D">
        <w:rPr>
          <w:rFonts w:ascii="Times New Roman" w:hAnsi="Times New Roman"/>
          <w:color w:val="000000" w:themeColor="text1"/>
          <w:sz w:val="16"/>
          <w:szCs w:val="16"/>
        </w:rPr>
        <w:softHyphen/>
        <w:t>ственно на линии фронта. Он созда</w:t>
      </w:r>
      <w:r w:rsidRPr="00DB5D0D">
        <w:rPr>
          <w:rFonts w:ascii="Times New Roman" w:hAnsi="Times New Roman"/>
          <w:color w:val="000000" w:themeColor="text1"/>
          <w:sz w:val="16"/>
          <w:szCs w:val="16"/>
        </w:rPr>
        <w:softHyphen/>
        <w:t>вался исходя из следующих условий, позволяющих выполнять поставленные перед ним задачи:</w:t>
      </w:r>
    </w:p>
    <w:p w14:paraId="1B57EC2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полная защита экипажа, мотора и топлива;</w:t>
      </w:r>
    </w:p>
    <w:p w14:paraId="170AA9F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мощное вооружение;</w:t>
      </w:r>
    </w:p>
    <w:p w14:paraId="0F2866B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хорошая устойчивость;</w:t>
      </w:r>
    </w:p>
    <w:p w14:paraId="1BF9547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хороший обзор вперед и вниз;</w:t>
      </w:r>
    </w:p>
    <w:p w14:paraId="472A5F3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максимально возможная скорость на малых высотах;</w:t>
      </w:r>
    </w:p>
    <w:p w14:paraId="3F931F0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пикирование для прицельного огня и бомбометания по танкам и огневым точкам противника (5278).</w:t>
      </w:r>
    </w:p>
    <w:p w14:paraId="0A1A919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расчетам штурмовик должен был иметь максимальную скорость у земли 449 км/ч, а на высоте 1250 м - 472 км/ ч. Посадочная скорость со щитками, отклоненными на 60°, без боезапаса и при остатке горючего 25% - 121 км/ч. Практический потолок должен был со</w:t>
      </w:r>
      <w:r w:rsidRPr="00DB5D0D">
        <w:rPr>
          <w:rFonts w:ascii="Times New Roman" w:hAnsi="Times New Roman"/>
          <w:color w:val="000000" w:themeColor="text1"/>
          <w:sz w:val="16"/>
          <w:szCs w:val="16"/>
        </w:rPr>
        <w:softHyphen/>
        <w:t>ставлять 7600 м. Дальность полета у земли при 0,9Vmax - 813 км, а с под</w:t>
      </w:r>
      <w:r w:rsidRPr="00DB5D0D">
        <w:rPr>
          <w:rFonts w:ascii="Times New Roman" w:hAnsi="Times New Roman"/>
          <w:color w:val="000000" w:themeColor="text1"/>
          <w:sz w:val="16"/>
          <w:szCs w:val="16"/>
        </w:rPr>
        <w:softHyphen/>
        <w:t>весными баками - 1013 км. Максималь</w:t>
      </w:r>
      <w:r w:rsidRPr="00DB5D0D">
        <w:rPr>
          <w:rFonts w:ascii="Times New Roman" w:hAnsi="Times New Roman"/>
          <w:color w:val="000000" w:themeColor="text1"/>
          <w:sz w:val="16"/>
          <w:szCs w:val="16"/>
        </w:rPr>
        <w:softHyphen/>
        <w:t>ная полетная масса ПБШ-1 составля</w:t>
      </w:r>
      <w:r w:rsidRPr="00DB5D0D">
        <w:rPr>
          <w:rFonts w:ascii="Times New Roman" w:hAnsi="Times New Roman"/>
          <w:color w:val="000000" w:themeColor="text1"/>
          <w:sz w:val="16"/>
          <w:szCs w:val="16"/>
        </w:rPr>
        <w:softHyphen/>
        <w:t>ла 6024 кг.</w:t>
      </w:r>
    </w:p>
    <w:p w14:paraId="3850D26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схеме ПБШ-1 представлял со</w:t>
      </w:r>
      <w:r w:rsidRPr="00DB5D0D">
        <w:rPr>
          <w:rFonts w:ascii="Times New Roman" w:hAnsi="Times New Roman"/>
          <w:color w:val="000000" w:themeColor="text1"/>
          <w:sz w:val="16"/>
          <w:szCs w:val="16"/>
        </w:rPr>
        <w:softHyphen/>
        <w:t>бой низкоплан с относительно хороши</w:t>
      </w:r>
      <w:r w:rsidRPr="00DB5D0D">
        <w:rPr>
          <w:rFonts w:ascii="Times New Roman" w:hAnsi="Times New Roman"/>
          <w:color w:val="000000" w:themeColor="text1"/>
          <w:sz w:val="16"/>
          <w:szCs w:val="16"/>
        </w:rPr>
        <w:softHyphen/>
        <w:t>ми аэродинамическими формами, в из</w:t>
      </w:r>
      <w:r w:rsidRPr="00DB5D0D">
        <w:rPr>
          <w:rFonts w:ascii="Times New Roman" w:hAnsi="Times New Roman"/>
          <w:color w:val="000000" w:themeColor="text1"/>
          <w:sz w:val="16"/>
          <w:szCs w:val="16"/>
        </w:rPr>
        <w:softHyphen/>
        <w:t>вестной мере заимствованными у ис</w:t>
      </w:r>
      <w:r w:rsidRPr="00DB5D0D">
        <w:rPr>
          <w:rFonts w:ascii="Times New Roman" w:hAnsi="Times New Roman"/>
          <w:color w:val="000000" w:themeColor="text1"/>
          <w:sz w:val="16"/>
          <w:szCs w:val="16"/>
        </w:rPr>
        <w:softHyphen/>
        <w:t>требителя И-200. Переднюю часть фюзеляжа выпол</w:t>
      </w:r>
      <w:r w:rsidRPr="00DB5D0D">
        <w:rPr>
          <w:rFonts w:ascii="Times New Roman" w:hAnsi="Times New Roman"/>
          <w:color w:val="000000" w:themeColor="text1"/>
          <w:sz w:val="16"/>
          <w:szCs w:val="16"/>
        </w:rPr>
        <w:softHyphen/>
        <w:t>нили в виде бронеотсека. Он состоял из двух бортовых щитов в районе ка</w:t>
      </w:r>
      <w:r w:rsidRPr="00DB5D0D">
        <w:rPr>
          <w:rFonts w:ascii="Times New Roman" w:hAnsi="Times New Roman"/>
          <w:color w:val="000000" w:themeColor="text1"/>
          <w:sz w:val="16"/>
          <w:szCs w:val="16"/>
        </w:rPr>
        <w:softHyphen/>
        <w:t>бины летчика (7,5 мм), нижнего щита (5,5 мм), бронещита сзади летчика (15,5 мм), а также броневого диска (15,5 мм) спереди мотора, щитов сверху (4,5 мм), снизу и с боков мотора (7,5 мм). Бронещиты были включены в си</w:t>
      </w:r>
      <w:r w:rsidRPr="00DB5D0D">
        <w:rPr>
          <w:rFonts w:ascii="Times New Roman" w:hAnsi="Times New Roman"/>
          <w:color w:val="000000" w:themeColor="text1"/>
          <w:sz w:val="16"/>
          <w:szCs w:val="16"/>
        </w:rPr>
        <w:softHyphen/>
        <w:t>ловую схему самолета, их крепили на каркасе, а с внутренней стороны со</w:t>
      </w:r>
      <w:r w:rsidRPr="00DB5D0D">
        <w:rPr>
          <w:rFonts w:ascii="Times New Roman" w:hAnsi="Times New Roman"/>
          <w:color w:val="000000" w:themeColor="text1"/>
          <w:sz w:val="16"/>
          <w:szCs w:val="16"/>
        </w:rPr>
        <w:softHyphen/>
        <w:t>единяли между собой болтами. Толщи</w:t>
      </w:r>
      <w:r w:rsidRPr="00DB5D0D">
        <w:rPr>
          <w:rFonts w:ascii="Times New Roman" w:hAnsi="Times New Roman"/>
          <w:color w:val="000000" w:themeColor="text1"/>
          <w:sz w:val="16"/>
          <w:szCs w:val="16"/>
        </w:rPr>
        <w:softHyphen/>
        <w:t>ну брони для защиты пилота и винто</w:t>
      </w:r>
      <w:r w:rsidRPr="00DB5D0D">
        <w:rPr>
          <w:rFonts w:ascii="Times New Roman" w:hAnsi="Times New Roman"/>
          <w:color w:val="000000" w:themeColor="text1"/>
          <w:sz w:val="16"/>
          <w:szCs w:val="16"/>
        </w:rPr>
        <w:softHyphen/>
        <w:t>моторной группы выбирали в зависи</w:t>
      </w:r>
      <w:r w:rsidRPr="00DB5D0D">
        <w:rPr>
          <w:rFonts w:ascii="Times New Roman" w:hAnsi="Times New Roman"/>
          <w:color w:val="000000" w:themeColor="text1"/>
          <w:sz w:val="16"/>
          <w:szCs w:val="16"/>
        </w:rPr>
        <w:softHyphen/>
        <w:t>мости от траектории пули по отноше</w:t>
      </w:r>
      <w:r w:rsidRPr="00DB5D0D">
        <w:rPr>
          <w:rFonts w:ascii="Times New Roman" w:hAnsi="Times New Roman"/>
          <w:color w:val="000000" w:themeColor="text1"/>
          <w:sz w:val="16"/>
          <w:szCs w:val="16"/>
        </w:rPr>
        <w:softHyphen/>
        <w:t>нию к броне. Места, в которых вероят</w:t>
      </w:r>
      <w:r w:rsidRPr="00DB5D0D">
        <w:rPr>
          <w:rFonts w:ascii="Times New Roman" w:hAnsi="Times New Roman"/>
          <w:color w:val="000000" w:themeColor="text1"/>
          <w:sz w:val="16"/>
          <w:szCs w:val="16"/>
        </w:rPr>
        <w:softHyphen/>
        <w:t>ность попадания под углами, близки</w:t>
      </w:r>
      <w:r w:rsidRPr="00DB5D0D">
        <w:rPr>
          <w:rFonts w:ascii="Times New Roman" w:hAnsi="Times New Roman"/>
          <w:color w:val="000000" w:themeColor="text1"/>
          <w:sz w:val="16"/>
          <w:szCs w:val="16"/>
        </w:rPr>
        <w:softHyphen/>
        <w:t>ми к прямому, была велика, защищали цементированной броней толщиной 15,5 мм. Там же, где попадания были вероятны под малыми углами, устанав</w:t>
      </w:r>
      <w:r w:rsidRPr="00DB5D0D">
        <w:rPr>
          <w:rFonts w:ascii="Times New Roman" w:hAnsi="Times New Roman"/>
          <w:color w:val="000000" w:themeColor="text1"/>
          <w:sz w:val="16"/>
          <w:szCs w:val="16"/>
        </w:rPr>
        <w:softHyphen/>
        <w:t>ливали гомогенную броню в 4,5-7,5 мм. При проектировании учитывали и то обстоятельство, что самолет, летящий со скоростью 120-125 м/с на малой высоте, обстрелять с дистанции ближе чем 200-300 метров весьма проблема</w:t>
      </w:r>
      <w:r w:rsidRPr="00DB5D0D">
        <w:rPr>
          <w:rFonts w:ascii="Times New Roman" w:hAnsi="Times New Roman"/>
          <w:color w:val="000000" w:themeColor="text1"/>
          <w:sz w:val="16"/>
          <w:szCs w:val="16"/>
        </w:rPr>
        <w:softHyphen/>
        <w:t>тично (5278).</w:t>
      </w:r>
    </w:p>
    <w:p w14:paraId="0FA3C2B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Козырек и фонарь делали полнос</w:t>
      </w:r>
      <w:r w:rsidRPr="00DB5D0D">
        <w:rPr>
          <w:rFonts w:ascii="Times New Roman" w:hAnsi="Times New Roman"/>
          <w:color w:val="000000" w:themeColor="text1"/>
          <w:sz w:val="16"/>
          <w:szCs w:val="16"/>
        </w:rPr>
        <w:softHyphen/>
        <w:t>тью из броневого стекла толщиной 60 мм и 40 мм соответственно. Фонарь пилота сдвигался назад, для чего име</w:t>
      </w:r>
      <w:r w:rsidRPr="00DB5D0D">
        <w:rPr>
          <w:rFonts w:ascii="Times New Roman" w:hAnsi="Times New Roman"/>
          <w:color w:val="000000" w:themeColor="text1"/>
          <w:sz w:val="16"/>
          <w:szCs w:val="16"/>
        </w:rPr>
        <w:softHyphen/>
        <w:t>лось пневматическое управление. Он также имел систему аварийного сбра</w:t>
      </w:r>
      <w:r w:rsidRPr="00DB5D0D">
        <w:rPr>
          <w:rFonts w:ascii="Times New Roman" w:hAnsi="Times New Roman"/>
          <w:color w:val="000000" w:themeColor="text1"/>
          <w:sz w:val="16"/>
          <w:szCs w:val="16"/>
        </w:rPr>
        <w:softHyphen/>
        <w:t>сывания (5278). Обводы бронекорпуса выбирали та</w:t>
      </w:r>
      <w:r w:rsidRPr="00DB5D0D">
        <w:rPr>
          <w:rFonts w:ascii="Times New Roman" w:hAnsi="Times New Roman"/>
          <w:color w:val="000000" w:themeColor="text1"/>
          <w:sz w:val="16"/>
          <w:szCs w:val="16"/>
        </w:rPr>
        <w:softHyphen/>
        <w:t>ким образом, чтобы свести к миниму</w:t>
      </w:r>
      <w:r w:rsidRPr="00DB5D0D">
        <w:rPr>
          <w:rFonts w:ascii="Times New Roman" w:hAnsi="Times New Roman"/>
          <w:color w:val="000000" w:themeColor="text1"/>
          <w:sz w:val="16"/>
          <w:szCs w:val="16"/>
        </w:rPr>
        <w:softHyphen/>
        <w:t>му наличие криволинейных поверхно</w:t>
      </w:r>
      <w:r w:rsidRPr="00DB5D0D">
        <w:rPr>
          <w:rFonts w:ascii="Times New Roman" w:hAnsi="Times New Roman"/>
          <w:color w:val="000000" w:themeColor="text1"/>
          <w:sz w:val="16"/>
          <w:szCs w:val="16"/>
        </w:rPr>
        <w:softHyphen/>
        <w:t>стей, что значительно упрощало тех</w:t>
      </w:r>
      <w:r w:rsidRPr="00DB5D0D">
        <w:rPr>
          <w:rFonts w:ascii="Times New Roman" w:hAnsi="Times New Roman"/>
          <w:color w:val="000000" w:themeColor="text1"/>
          <w:sz w:val="16"/>
          <w:szCs w:val="16"/>
        </w:rPr>
        <w:softHyphen/>
        <w:t>нологию производства брони и ее сбор</w:t>
      </w:r>
      <w:r w:rsidRPr="00DB5D0D">
        <w:rPr>
          <w:rFonts w:ascii="Times New Roman" w:hAnsi="Times New Roman"/>
          <w:color w:val="000000" w:themeColor="text1"/>
          <w:sz w:val="16"/>
          <w:szCs w:val="16"/>
        </w:rPr>
        <w:softHyphen/>
        <w:t>ку. Крепление бронещитов осуществ</w:t>
      </w:r>
      <w:r w:rsidRPr="00DB5D0D">
        <w:rPr>
          <w:rFonts w:ascii="Times New Roman" w:hAnsi="Times New Roman"/>
          <w:color w:val="000000" w:themeColor="text1"/>
          <w:sz w:val="16"/>
          <w:szCs w:val="16"/>
        </w:rPr>
        <w:softHyphen/>
        <w:t>ляли посредством ушков, приваренных к броне с внутренней стороны. Такое соединение обеспечивало не только простоту сборки и ремонта бронеотсе</w:t>
      </w:r>
      <w:r w:rsidRPr="00DB5D0D">
        <w:rPr>
          <w:rFonts w:ascii="Times New Roman" w:hAnsi="Times New Roman"/>
          <w:color w:val="000000" w:themeColor="text1"/>
          <w:sz w:val="16"/>
          <w:szCs w:val="16"/>
        </w:rPr>
        <w:softHyphen/>
        <w:t>ка в полевых условиях, но и устраняло возможность вылета головок болтов (болты работали только на срез) при попадании снарядов в броню, и как следствие поражение летчика (5278). Хвостовая часть фюзеляжа пред</w:t>
      </w:r>
      <w:r w:rsidRPr="00DB5D0D">
        <w:rPr>
          <w:rFonts w:ascii="Times New Roman" w:hAnsi="Times New Roman"/>
          <w:color w:val="000000" w:themeColor="text1"/>
          <w:sz w:val="16"/>
          <w:szCs w:val="16"/>
        </w:rPr>
        <w:softHyphen/>
        <w:t>ставляла собой сваренную из хромансилевых труб ферму, которая имела полотняную обшивку, прикрепленную к дюралевому каркасу. Стабилизатор и киль дюралевые. Рули направления и высоты имели дюралевый каркас и полотняную обшивку. На всех рулях устанавливали триммеры (5278).</w:t>
      </w:r>
    </w:p>
    <w:p w14:paraId="1872649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Крыло двухлонжеронное, трапеци</w:t>
      </w:r>
      <w:r w:rsidRPr="00DB5D0D">
        <w:rPr>
          <w:rFonts w:ascii="Times New Roman" w:hAnsi="Times New Roman"/>
          <w:color w:val="000000" w:themeColor="text1"/>
          <w:sz w:val="16"/>
          <w:szCs w:val="16"/>
        </w:rPr>
        <w:softHyphen/>
        <w:t>евидной формы. Оно состояло из цент</w:t>
      </w:r>
      <w:r w:rsidRPr="00DB5D0D">
        <w:rPr>
          <w:rFonts w:ascii="Times New Roman" w:hAnsi="Times New Roman"/>
          <w:color w:val="000000" w:themeColor="text1"/>
          <w:sz w:val="16"/>
          <w:szCs w:val="16"/>
        </w:rPr>
        <w:softHyphen/>
        <w:t>роплана и двух отъемных консолей. Лонжероны были стальные, нервюры, стрингеры и обшивка - дюралевые. В дальнейшем, с целью экономии "кры</w:t>
      </w:r>
      <w:r w:rsidRPr="00DB5D0D">
        <w:rPr>
          <w:rFonts w:ascii="Times New Roman" w:hAnsi="Times New Roman"/>
          <w:color w:val="000000" w:themeColor="text1"/>
          <w:sz w:val="16"/>
          <w:szCs w:val="16"/>
        </w:rPr>
        <w:softHyphen/>
        <w:t>латого металла", предусматривали ис</w:t>
      </w:r>
      <w:r w:rsidRPr="00DB5D0D">
        <w:rPr>
          <w:rFonts w:ascii="Times New Roman" w:hAnsi="Times New Roman"/>
          <w:color w:val="000000" w:themeColor="text1"/>
          <w:sz w:val="16"/>
          <w:szCs w:val="16"/>
        </w:rPr>
        <w:softHyphen/>
        <w:t>пользование обшивки из бакелитовой фанеры. Каркас элеронов дюралевый, обшивка полотняная. Имелись щитки-закрылки типа Шренк с пневматичес</w:t>
      </w:r>
      <w:r w:rsidRPr="00DB5D0D">
        <w:rPr>
          <w:rFonts w:ascii="Times New Roman" w:hAnsi="Times New Roman"/>
          <w:color w:val="000000" w:themeColor="text1"/>
          <w:sz w:val="16"/>
          <w:szCs w:val="16"/>
        </w:rPr>
        <w:softHyphen/>
        <w:t>ким управлением. Управление элеро</w:t>
      </w:r>
      <w:r w:rsidRPr="00DB5D0D">
        <w:rPr>
          <w:rFonts w:ascii="Times New Roman" w:hAnsi="Times New Roman"/>
          <w:color w:val="000000" w:themeColor="text1"/>
          <w:sz w:val="16"/>
          <w:szCs w:val="16"/>
        </w:rPr>
        <w:softHyphen/>
        <w:t>нами и рулем высоты жесткое, рулем направления - тросовое. Педали и си</w:t>
      </w:r>
      <w:r w:rsidRPr="00DB5D0D">
        <w:rPr>
          <w:rFonts w:ascii="Times New Roman" w:hAnsi="Times New Roman"/>
          <w:color w:val="000000" w:themeColor="text1"/>
          <w:sz w:val="16"/>
          <w:szCs w:val="16"/>
        </w:rPr>
        <w:softHyphen/>
        <w:t>дение летчика могли регулироваться по его росту (5278).</w:t>
      </w:r>
    </w:p>
    <w:p w14:paraId="7788BFF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одностоечное, убираемое в полете. Амортизация масляно-пневматическан, впоследствии для повышения неуязвимости ПБШ-1 предполагали перейти к пружинно-масляной. В слу</w:t>
      </w:r>
      <w:r w:rsidRPr="00DB5D0D">
        <w:rPr>
          <w:rFonts w:ascii="Times New Roman" w:hAnsi="Times New Roman"/>
          <w:color w:val="000000" w:themeColor="text1"/>
          <w:sz w:val="16"/>
          <w:szCs w:val="16"/>
        </w:rPr>
        <w:softHyphen/>
        <w:t>чае необходимости, с целью увеличе</w:t>
      </w:r>
      <w:r w:rsidRPr="00DB5D0D">
        <w:rPr>
          <w:rFonts w:ascii="Times New Roman" w:hAnsi="Times New Roman"/>
          <w:color w:val="000000" w:themeColor="text1"/>
          <w:sz w:val="16"/>
          <w:szCs w:val="16"/>
        </w:rPr>
        <w:softHyphen/>
        <w:t>ния живучести, основные колеса 700х300 пол у баллонного типа можно было заменить на грузошину, для чего предусмотрели необходимый ход шас</w:t>
      </w:r>
      <w:r w:rsidRPr="00DB5D0D">
        <w:rPr>
          <w:rFonts w:ascii="Times New Roman" w:hAnsi="Times New Roman"/>
          <w:color w:val="000000" w:themeColor="text1"/>
          <w:sz w:val="16"/>
          <w:szCs w:val="16"/>
        </w:rPr>
        <w:softHyphen/>
        <w:t>си. Уборка и выпуск осуществлялась от пневматической системы (5278).</w:t>
      </w:r>
    </w:p>
    <w:p w14:paraId="5439C79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Винтомоторная группа включала в себя двигатель жидкостного охлажде</w:t>
      </w:r>
      <w:r w:rsidRPr="00DB5D0D">
        <w:rPr>
          <w:rFonts w:ascii="Times New Roman" w:hAnsi="Times New Roman"/>
          <w:color w:val="000000" w:themeColor="text1"/>
          <w:sz w:val="16"/>
          <w:szCs w:val="16"/>
        </w:rPr>
        <w:softHyphen/>
        <w:t>нияАМ-38 со степенью редукции 0,902 и металлический винт-автомат типа ЗСМВ-5 диаметром 3 метра. Мотора</w:t>
      </w:r>
      <w:r w:rsidRPr="00DB5D0D">
        <w:rPr>
          <w:rFonts w:ascii="Times New Roman" w:hAnsi="Times New Roman"/>
          <w:color w:val="000000" w:themeColor="text1"/>
          <w:sz w:val="16"/>
          <w:szCs w:val="16"/>
        </w:rPr>
        <w:softHyphen/>
        <w:t>мы в обычном смысле не было. так как двигатель крепили с помощью кронш</w:t>
      </w:r>
      <w:r w:rsidRPr="00DB5D0D">
        <w:rPr>
          <w:rFonts w:ascii="Times New Roman" w:hAnsi="Times New Roman"/>
          <w:color w:val="000000" w:themeColor="text1"/>
          <w:sz w:val="16"/>
          <w:szCs w:val="16"/>
        </w:rPr>
        <w:softHyphen/>
        <w:t>тейнов с подмоторными брусьями не</w:t>
      </w:r>
      <w:r w:rsidRPr="00DB5D0D">
        <w:rPr>
          <w:rFonts w:ascii="Times New Roman" w:hAnsi="Times New Roman"/>
          <w:color w:val="000000" w:themeColor="text1"/>
          <w:sz w:val="16"/>
          <w:szCs w:val="16"/>
        </w:rPr>
        <w:softHyphen/>
        <w:t>посредственно к стенкам броне корпу</w:t>
      </w:r>
      <w:r w:rsidRPr="00DB5D0D">
        <w:rPr>
          <w:rFonts w:ascii="Times New Roman" w:hAnsi="Times New Roman"/>
          <w:color w:val="000000" w:themeColor="text1"/>
          <w:sz w:val="16"/>
          <w:szCs w:val="16"/>
        </w:rPr>
        <w:softHyphen/>
        <w:t xml:space="preserve">са. Во всех местах, где необходим </w:t>
      </w:r>
      <w:r w:rsidRPr="00DB5D0D">
        <w:rPr>
          <w:rFonts w:ascii="Times New Roman" w:hAnsi="Times New Roman"/>
          <w:iCs/>
          <w:color w:val="000000" w:themeColor="text1"/>
          <w:sz w:val="16"/>
          <w:szCs w:val="16"/>
        </w:rPr>
        <w:t xml:space="preserve">был </w:t>
      </w:r>
      <w:r w:rsidRPr="00DB5D0D">
        <w:rPr>
          <w:rFonts w:ascii="Times New Roman" w:hAnsi="Times New Roman"/>
          <w:color w:val="000000" w:themeColor="text1"/>
          <w:sz w:val="16"/>
          <w:szCs w:val="16"/>
        </w:rPr>
        <w:t>доступ к силовой установке, в броне сделали люки. Запуск мотора осуще</w:t>
      </w:r>
      <w:r w:rsidRPr="00DB5D0D">
        <w:rPr>
          <w:rFonts w:ascii="Times New Roman" w:hAnsi="Times New Roman"/>
          <w:color w:val="000000" w:themeColor="text1"/>
          <w:sz w:val="16"/>
          <w:szCs w:val="16"/>
        </w:rPr>
        <w:softHyphen/>
        <w:t>ствлялся сжатым воздухом (5278). Водорадиатор разместили в броне-отсеке за сидением летчика. Его вход</w:t>
      </w:r>
      <w:r w:rsidRPr="00DB5D0D">
        <w:rPr>
          <w:rFonts w:ascii="Times New Roman" w:hAnsi="Times New Roman"/>
          <w:color w:val="000000" w:themeColor="text1"/>
          <w:sz w:val="16"/>
          <w:szCs w:val="16"/>
        </w:rPr>
        <w:softHyphen/>
        <w:t>ные и выходные воздушные каналы были бронированные и имели форму, предохраняющую от рикошетных по</w:t>
      </w:r>
      <w:r w:rsidRPr="00DB5D0D">
        <w:rPr>
          <w:rFonts w:ascii="Times New Roman" w:hAnsi="Times New Roman"/>
          <w:color w:val="000000" w:themeColor="text1"/>
          <w:sz w:val="16"/>
          <w:szCs w:val="16"/>
        </w:rPr>
        <w:softHyphen/>
        <w:t>паданий в радиатор. Маслосистема имела водомасляный радиатор, который также разместили под броней, с левой стороны мотора, а маслобак установи</w:t>
      </w:r>
      <w:r w:rsidRPr="00DB5D0D">
        <w:rPr>
          <w:rFonts w:ascii="Times New Roman" w:hAnsi="Times New Roman"/>
          <w:color w:val="000000" w:themeColor="text1"/>
          <w:sz w:val="16"/>
          <w:szCs w:val="16"/>
        </w:rPr>
        <w:softHyphen/>
        <w:t>ли на редукторе мотора (5278). Самолет имел два протектированных бензобака. Главный бензобак емкостью 650 л находился в бронеотсеке под си</w:t>
      </w:r>
      <w:r w:rsidRPr="00DB5D0D">
        <w:rPr>
          <w:rFonts w:ascii="Times New Roman" w:hAnsi="Times New Roman"/>
          <w:color w:val="000000" w:themeColor="text1"/>
          <w:sz w:val="16"/>
          <w:szCs w:val="16"/>
        </w:rPr>
        <w:softHyphen/>
        <w:t>дением летчика, второй бензобак ем</w:t>
      </w:r>
      <w:r w:rsidRPr="00DB5D0D">
        <w:rPr>
          <w:rFonts w:ascii="Times New Roman" w:hAnsi="Times New Roman"/>
          <w:color w:val="000000" w:themeColor="text1"/>
          <w:sz w:val="16"/>
          <w:szCs w:val="16"/>
        </w:rPr>
        <w:softHyphen/>
        <w:t>костью НО л - между мотором и при</w:t>
      </w:r>
      <w:r w:rsidRPr="00DB5D0D">
        <w:rPr>
          <w:rFonts w:ascii="Times New Roman" w:hAnsi="Times New Roman"/>
          <w:color w:val="000000" w:themeColor="text1"/>
          <w:sz w:val="16"/>
          <w:szCs w:val="16"/>
        </w:rPr>
        <w:softHyphen/>
        <w:t>борной доской (5278).</w:t>
      </w:r>
    </w:p>
    <w:p w14:paraId="47AAC9B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ПБШ-1 включало в себя две 23-мм пушки МП-3 с магазинным питанием конструкции Я.Г.Таубина и шесть пулеметов ШКАС. Пушки с боезапасом по 96 патронов разместили в обтекателях под консолями крыла. Они в первую оче</w:t>
      </w:r>
      <w:r w:rsidRPr="00DB5D0D">
        <w:rPr>
          <w:rFonts w:ascii="Times New Roman" w:hAnsi="Times New Roman"/>
          <w:color w:val="000000" w:themeColor="text1"/>
          <w:sz w:val="16"/>
          <w:szCs w:val="16"/>
        </w:rPr>
        <w:softHyphen/>
        <w:t>редь предназначались для борьбы с бронетанковыми частями и самолета</w:t>
      </w:r>
      <w:r w:rsidRPr="00DB5D0D">
        <w:rPr>
          <w:rFonts w:ascii="Times New Roman" w:hAnsi="Times New Roman"/>
          <w:color w:val="000000" w:themeColor="text1"/>
          <w:sz w:val="16"/>
          <w:szCs w:val="16"/>
        </w:rPr>
        <w:softHyphen/>
        <w:t>ми противника на земле. Для пораже</w:t>
      </w:r>
      <w:r w:rsidRPr="00DB5D0D">
        <w:rPr>
          <w:rFonts w:ascii="Times New Roman" w:hAnsi="Times New Roman"/>
          <w:color w:val="000000" w:themeColor="text1"/>
          <w:sz w:val="16"/>
          <w:szCs w:val="16"/>
        </w:rPr>
        <w:softHyphen/>
        <w:t>ния живой силы противника в каждой консоли установили по три пулемст.1 ШКАС с боезапасом по 750 патронов, Все стрелково-пушечное вооружение разместили вне плоскости сметаемой винтом. Управление огнем и перезаряд</w:t>
      </w:r>
      <w:r w:rsidRPr="00DB5D0D">
        <w:rPr>
          <w:rFonts w:ascii="Times New Roman" w:hAnsi="Times New Roman"/>
          <w:color w:val="000000" w:themeColor="text1"/>
          <w:sz w:val="16"/>
          <w:szCs w:val="16"/>
        </w:rPr>
        <w:softHyphen/>
        <w:t>кой было пневматическое (5278). Бомбардировочное вооружение со</w:t>
      </w:r>
      <w:r w:rsidRPr="00DB5D0D">
        <w:rPr>
          <w:rFonts w:ascii="Times New Roman" w:hAnsi="Times New Roman"/>
          <w:color w:val="000000" w:themeColor="text1"/>
          <w:sz w:val="16"/>
          <w:szCs w:val="16"/>
        </w:rPr>
        <w:softHyphen/>
        <w:t>стояло из двух бомбоотсеков, располо</w:t>
      </w:r>
      <w:r w:rsidRPr="00DB5D0D">
        <w:rPr>
          <w:rFonts w:ascii="Times New Roman" w:hAnsi="Times New Roman"/>
          <w:color w:val="000000" w:themeColor="text1"/>
          <w:sz w:val="16"/>
          <w:szCs w:val="16"/>
        </w:rPr>
        <w:softHyphen/>
        <w:t>женных в центроплане между лонже</w:t>
      </w:r>
      <w:r w:rsidRPr="00DB5D0D">
        <w:rPr>
          <w:rFonts w:ascii="Times New Roman" w:hAnsi="Times New Roman"/>
          <w:color w:val="000000" w:themeColor="text1"/>
          <w:sz w:val="16"/>
          <w:szCs w:val="16"/>
        </w:rPr>
        <w:softHyphen/>
        <w:t>ронами крыла. Правда, бомбовую на</w:t>
      </w:r>
      <w:r w:rsidRPr="00DB5D0D">
        <w:rPr>
          <w:rFonts w:ascii="Times New Roman" w:hAnsi="Times New Roman"/>
          <w:color w:val="000000" w:themeColor="text1"/>
          <w:sz w:val="16"/>
          <w:szCs w:val="16"/>
        </w:rPr>
        <w:softHyphen/>
        <w:t>грузку предполагали брать только к перегрузку. Каждый отсек состоял из пяти изолированных друг от друга сек</w:t>
      </w:r>
      <w:r w:rsidRPr="00DB5D0D">
        <w:rPr>
          <w:rFonts w:ascii="Times New Roman" w:hAnsi="Times New Roman"/>
          <w:color w:val="000000" w:themeColor="text1"/>
          <w:sz w:val="16"/>
          <w:szCs w:val="16"/>
        </w:rPr>
        <w:softHyphen/>
        <w:t>ций. Загрузку бомб производили через верхний съемный силовой люк. Бомбы укладывали рядами без кассет. Их сброс мог осуществляться залпом или попарно из любой секции, причем толь</w:t>
      </w:r>
      <w:r w:rsidRPr="00DB5D0D">
        <w:rPr>
          <w:rFonts w:ascii="Times New Roman" w:hAnsi="Times New Roman"/>
          <w:color w:val="000000" w:themeColor="text1"/>
          <w:sz w:val="16"/>
          <w:szCs w:val="16"/>
        </w:rPr>
        <w:softHyphen/>
        <w:t>ко с горизонтального полета. Предус</w:t>
      </w:r>
      <w:r w:rsidRPr="00DB5D0D">
        <w:rPr>
          <w:rFonts w:ascii="Times New Roman" w:hAnsi="Times New Roman"/>
          <w:color w:val="000000" w:themeColor="text1"/>
          <w:sz w:val="16"/>
          <w:szCs w:val="16"/>
        </w:rPr>
        <w:softHyphen/>
        <w:t>матривались следующие варианты заг</w:t>
      </w:r>
      <w:r w:rsidRPr="00DB5D0D">
        <w:rPr>
          <w:rFonts w:ascii="Times New Roman" w:hAnsi="Times New Roman"/>
          <w:color w:val="000000" w:themeColor="text1"/>
          <w:sz w:val="16"/>
          <w:szCs w:val="16"/>
        </w:rPr>
        <w:softHyphen/>
        <w:t>рузки:</w:t>
      </w:r>
    </w:p>
    <w:p w14:paraId="7E0A485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ФАБ-10</w:t>
      </w:r>
      <w:r w:rsidRPr="00DB5D0D">
        <w:rPr>
          <w:rFonts w:ascii="Times New Roman" w:hAnsi="Times New Roman"/>
          <w:bCs/>
          <w:color w:val="000000" w:themeColor="text1"/>
          <w:sz w:val="16"/>
          <w:szCs w:val="16"/>
        </w:rPr>
        <w:t xml:space="preserve"> -</w:t>
      </w:r>
      <w:r w:rsidRPr="00DB5D0D">
        <w:rPr>
          <w:rFonts w:ascii="Times New Roman" w:hAnsi="Times New Roman"/>
          <w:color w:val="000000" w:themeColor="text1"/>
          <w:sz w:val="16"/>
          <w:szCs w:val="16"/>
        </w:rPr>
        <w:t xml:space="preserve"> 24 шт. - 240 кг.</w:t>
      </w:r>
    </w:p>
    <w:p w14:paraId="6B8685B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ФАБ-8 - 24 шт. - 192 кг.</w:t>
      </w:r>
    </w:p>
    <w:p w14:paraId="22C5131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ЗАБ-! - 120 шт. - 120 кг.</w:t>
      </w:r>
    </w:p>
    <w:p w14:paraId="7D7AA0E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АОБ-2,5 - 2SO шт.</w:t>
      </w:r>
      <w:r w:rsidRPr="00DB5D0D">
        <w:rPr>
          <w:rFonts w:ascii="Times New Roman" w:hAnsi="Times New Roman"/>
          <w:bCs/>
          <w:color w:val="000000" w:themeColor="text1"/>
          <w:sz w:val="16"/>
          <w:szCs w:val="16"/>
        </w:rPr>
        <w:t xml:space="preserve"> -</w:t>
      </w:r>
      <w:r w:rsidRPr="00DB5D0D">
        <w:rPr>
          <w:rFonts w:ascii="Times New Roman" w:hAnsi="Times New Roman"/>
          <w:color w:val="000000" w:themeColor="text1"/>
          <w:sz w:val="16"/>
          <w:szCs w:val="16"/>
        </w:rPr>
        <w:t xml:space="preserve"> 700 кг.</w:t>
      </w:r>
    </w:p>
    <w:p w14:paraId="647B198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Ампулы-1 - 190 шт. - 257 кг.</w:t>
      </w:r>
    </w:p>
    <w:p w14:paraId="618E393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под каждой консолью установили по одной бомбовой балке. Их разместили вне плоскости, ометаемой винтом, что позволяло осуществ</w:t>
      </w:r>
      <w:r w:rsidRPr="00DB5D0D">
        <w:rPr>
          <w:rFonts w:ascii="Times New Roman" w:hAnsi="Times New Roman"/>
          <w:color w:val="000000" w:themeColor="text1"/>
          <w:sz w:val="16"/>
          <w:szCs w:val="16"/>
        </w:rPr>
        <w:softHyphen/>
        <w:t>лять бомбометание с пикирования. Помимо бомб, на балках была возмож</w:t>
      </w:r>
      <w:r w:rsidRPr="00DB5D0D">
        <w:rPr>
          <w:rFonts w:ascii="Times New Roman" w:hAnsi="Times New Roman"/>
          <w:color w:val="000000" w:themeColor="text1"/>
          <w:sz w:val="16"/>
          <w:szCs w:val="16"/>
        </w:rPr>
        <w:softHyphen/>
        <w:t>на подвеска двух сбрасываемых бен</w:t>
      </w:r>
      <w:r w:rsidRPr="00DB5D0D">
        <w:rPr>
          <w:rFonts w:ascii="Times New Roman" w:hAnsi="Times New Roman"/>
          <w:color w:val="000000" w:themeColor="text1"/>
          <w:sz w:val="16"/>
          <w:szCs w:val="16"/>
        </w:rPr>
        <w:softHyphen/>
        <w:t>зобаков емкостью по150 л каждый. Были возможны следующие варианты подвески:</w:t>
      </w:r>
    </w:p>
    <w:p w14:paraId="2835B42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ФАБ-100 - 2 шт. - 200 кг.</w:t>
      </w:r>
    </w:p>
    <w:p w14:paraId="2F4DB08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ФАБ-50 - 2 шт. - 100 кг.</w:t>
      </w:r>
    </w:p>
    <w:p w14:paraId="527951B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АО-25 - 2 шт. - 50 кг.</w:t>
      </w:r>
    </w:p>
    <w:p w14:paraId="134138F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ВАП-6М - 2шт. - 140 кг (5278).</w:t>
      </w:r>
    </w:p>
    <w:p w14:paraId="48343BB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6E4CF3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был утвержден Отчет по гос. испытаниям образцов металлической авиаброни, предъявленных ВИАМом совместно с Подольским заводом им. Орджоникидзе (6764).</w:t>
      </w:r>
    </w:p>
    <w:p w14:paraId="62EDB5E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54698CE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группы 5 отдела НИИ ВВС в/инженер 1 ранга Воротников</w:t>
      </w:r>
    </w:p>
    <w:p w14:paraId="7050710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5 отдела НИИ ВВС в/инженер 3 ранга Шлямин</w:t>
      </w:r>
    </w:p>
    <w:p w14:paraId="590C3EC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5D2400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возможность принятия на вооружение ВВС предъявленной марки броневой стали в качестве материала для изготовления отдельных броневых деталей и броневых конструкций самолетов.</w:t>
      </w:r>
    </w:p>
    <w:p w14:paraId="2DEF023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ВИАМ совместно с Подольским заводом им. Орджоникидзе, разработал и предъявил на гос. испытания новую кремне-никель-молибденовую марку броневой стали для авиаброни.</w:t>
      </w:r>
    </w:p>
    <w:p w14:paraId="4533EDB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43440A0"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Рекомендовать новую кремне-никель-молибденовую марку броневой стали к принятию на вооружение ВВС в качестве материала для производства отдельных броневых деталей самолета (кроме бронеспинок, которые изготавливаются из цементованных марок «ИЗ» и «ХД») и изготовления цельноброневых конструкций самолетов.</w:t>
      </w:r>
    </w:p>
    <w:p w14:paraId="13A03995"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Бронесталь марки «П», разработанную Подольским заводом и прошедшую гос. испытания в 1938 году, снять с вооружения ВВС как не отвечающую современным требованиям к авиаброне (6764).</w:t>
      </w:r>
    </w:p>
    <w:p w14:paraId="04CDBB8F"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p>
    <w:p w14:paraId="63A119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ВВС обратились к НКАП с предложением разработать гу</w:t>
      </w:r>
      <w:r w:rsidRPr="00DB5D0D">
        <w:rPr>
          <w:rFonts w:ascii="Times New Roman" w:hAnsi="Times New Roman"/>
          <w:color w:val="000000" w:themeColor="text1"/>
          <w:sz w:val="16"/>
          <w:szCs w:val="16"/>
        </w:rPr>
        <w:softHyphen/>
        <w:t>сеничное шасси для ДБ-3. Подобное шасси ранее создали для Р-5. Это моти</w:t>
      </w:r>
      <w:r w:rsidRPr="00DB5D0D">
        <w:rPr>
          <w:rFonts w:ascii="Times New Roman" w:hAnsi="Times New Roman"/>
          <w:color w:val="000000" w:themeColor="text1"/>
          <w:sz w:val="16"/>
          <w:szCs w:val="16"/>
        </w:rPr>
        <w:softHyphen/>
        <w:t>вировалось возможностью эксплуата</w:t>
      </w:r>
      <w:r w:rsidRPr="00DB5D0D">
        <w:rPr>
          <w:rFonts w:ascii="Times New Roman" w:hAnsi="Times New Roman"/>
          <w:color w:val="000000" w:themeColor="text1"/>
          <w:sz w:val="16"/>
          <w:szCs w:val="16"/>
        </w:rPr>
        <w:softHyphen/>
        <w:t>ции самолетов на полевых аэродромах со слабым грунтом. Но никаких данных о том, сделали ли что-нибудь в этом на</w:t>
      </w:r>
      <w:r w:rsidRPr="00DB5D0D">
        <w:rPr>
          <w:rFonts w:ascii="Times New Roman" w:hAnsi="Times New Roman"/>
          <w:color w:val="000000" w:themeColor="text1"/>
          <w:sz w:val="16"/>
          <w:szCs w:val="16"/>
        </w:rPr>
        <w:softHyphen/>
        <w:t>правлении, нет (10734,20).</w:t>
      </w:r>
    </w:p>
    <w:p w14:paraId="3667471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31F9F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ВВС обратились к НКАП с предложением разработать гусеничное шасси для ДБ-3. Подобное шасси ранее создали для Р-5. Это мотивировалось возможностью эксплуатации самолетов на полевых аэродромах со слабым фунтом. Но никаких данных о том, сделали ли что-нибудь в этом направлении, нет (12021).</w:t>
      </w:r>
    </w:p>
    <w:p w14:paraId="5F41DF1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17BB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"объект 804" выпустили с ДБ-3 над Ногинским полигоном. В рапорте об этом событии записано: "Стрельба... прошла вполне удовлетворительно".</w:t>
      </w:r>
    </w:p>
    <w:p w14:paraId="128CE1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ДБ-ЗБ стал первым отечественным носителем крылатой ракеты, называвшейся тогда "планирующей ракетной аэробомбой". Ракета "объект 804", созданная в НИИ-3, имела в основе тот же 203-мм реактивный снаряд. На нем смонтировали стреловидное крыло размахом 1,15 м, и оперение с рулями. Длина ракеты равнялась 2,55 м, а вес - 190 кг. Двутавровая пусковая балка монтировалась под фюзеляжем носителя на пилонах и для жесткости укреплялась боковыми подкосами.</w:t>
      </w:r>
    </w:p>
    <w:p w14:paraId="41A906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пуском автопилот АК-1 на ракете раскручивался сжатым воздухом. Прицеливание осуществлялось самим самолетом. После запуска двигателя ракета уходила вперед, удерживая заданные курс и высоту (12021).</w:t>
      </w:r>
    </w:p>
    <w:p w14:paraId="0C62789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438FCDB" w14:textId="77777777" w:rsidR="00AC6661" w:rsidRPr="00DB5D0D" w:rsidRDefault="00AC666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июле 1940 в НИИ ВВС поступил усовершенство</w:t>
      </w:r>
      <w:r w:rsidRPr="00DB5D0D">
        <w:rPr>
          <w:rFonts w:ascii="Times New Roman" w:hAnsi="Times New Roman"/>
          <w:color w:val="0070C0"/>
          <w:sz w:val="16"/>
          <w:szCs w:val="16"/>
        </w:rPr>
        <w:softHyphen/>
        <w:t>ванный ДБ-ЗФ № 390801. По сравнению с предыду</w:t>
      </w:r>
      <w:r w:rsidRPr="00DB5D0D">
        <w:rPr>
          <w:rFonts w:ascii="Times New Roman" w:hAnsi="Times New Roman"/>
          <w:color w:val="0070C0"/>
          <w:sz w:val="16"/>
          <w:szCs w:val="16"/>
        </w:rPr>
        <w:softHyphen/>
        <w:t>щей машиной на нем клепку крыла и фюзеляжа сдела</w:t>
      </w:r>
      <w:r w:rsidRPr="00DB5D0D">
        <w:rPr>
          <w:rFonts w:ascii="Times New Roman" w:hAnsi="Times New Roman"/>
          <w:color w:val="0070C0"/>
          <w:sz w:val="16"/>
          <w:szCs w:val="16"/>
        </w:rPr>
        <w:softHyphen/>
        <w:t>ли впотай. Изменили обводы передней части фонаря кабины летчика, сделав их более гнутыми, и улучшили укладку плексигла</w:t>
      </w:r>
      <w:r w:rsidRPr="00DB5D0D">
        <w:rPr>
          <w:rFonts w:ascii="Times New Roman" w:hAnsi="Times New Roman"/>
          <w:color w:val="0070C0"/>
          <w:sz w:val="16"/>
          <w:szCs w:val="16"/>
        </w:rPr>
        <w:softHyphen/>
        <w:t>са носовой части фюзеляжа. Костыль стал убирающимся, что увеличило сектора обстрела из нижней установки МВ-2.</w:t>
      </w:r>
    </w:p>
    <w:p w14:paraId="29495346" w14:textId="77777777" w:rsidR="00AC6661" w:rsidRPr="00DB5D0D" w:rsidRDefault="00AC6661"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Много неприятностей доставляли еще «сырые» моторы М-88, что вынудило временно комплектовать боевые машины уже проверенными М-87 Б (23188).</w:t>
      </w:r>
    </w:p>
    <w:p w14:paraId="7D0C659D" w14:textId="77777777" w:rsidR="00AC6661" w:rsidRPr="00DB5D0D" w:rsidRDefault="00AC6661" w:rsidP="00DB5D0D">
      <w:pPr>
        <w:spacing w:after="0" w:line="240" w:lineRule="auto"/>
        <w:jc w:val="both"/>
        <w:rPr>
          <w:rFonts w:ascii="Times New Roman" w:hAnsi="Times New Roman"/>
          <w:color w:val="0070C0"/>
          <w:sz w:val="16"/>
          <w:szCs w:val="16"/>
        </w:rPr>
      </w:pPr>
    </w:p>
    <w:p w14:paraId="38B9AF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1939 г. на заводе № 39 начали разворачивать производство "сырого" варианта ДБ-3Ф с М-88. До конца года рассчитывали сделать 60 машин. В ноябре из сборочного цеха завода № 39 уже появились первые ДБ- ЗМ (так они первоначально назывались, причем под этой вывеской шли потом и самолеты с М-87Б). К 10 декабря военной приемке предъявили пять машин, ни одна из которых не была принята. Руководство предприятия объяснило это отсутствием годных моторов М-88 и воздушных винтов. На заводе № 18 первый ДБ-ЗМ собрали в конце октября, а 2 ноября его передали налетные испытания. К 22 декабря на приемку там поступили 14 бомбардировщиков. К Новому году план выполнили, но военная приемка не пропустила ни одной машины. С декабря в Воронеже параллельно пошла сборка самолетов с моторами М-87 и винтами ВИШ-3 и М-88 и ВИШ-23. Кроме двигателей и винтов они ничем не отличались. Завод № 39 до марта комплектовал свои машины только М-88. Последний официально даже не был принят на вооружение, это произошло только 24 января 1940 г. (12021).</w:t>
      </w:r>
    </w:p>
    <w:p w14:paraId="4692398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2B5CB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АМ-35А предъявили на государственные испытания, которые он успешно завершил в сентябре. С конца 1940 г. выпускался в больших количествах. В начале 1941 г. введена уси</w:t>
      </w:r>
      <w:r w:rsidRPr="00DB5D0D">
        <w:rPr>
          <w:rFonts w:ascii="Times New Roman" w:hAnsi="Times New Roman"/>
          <w:color w:val="000000" w:themeColor="text1"/>
          <w:sz w:val="16"/>
          <w:szCs w:val="16"/>
        </w:rPr>
        <w:softHyphen/>
        <w:t>ленная крыльчатка ПЦН, с весны того же года — чисто механический (вместо электромеханического) привод поворотных лопаток на входе в ПЦН. К АМ-35А были спроектированы три варианта редуктора с раз</w:t>
      </w:r>
      <w:r w:rsidRPr="00DB5D0D">
        <w:rPr>
          <w:rFonts w:ascii="Times New Roman" w:hAnsi="Times New Roman"/>
          <w:color w:val="000000" w:themeColor="text1"/>
          <w:sz w:val="16"/>
          <w:szCs w:val="16"/>
        </w:rPr>
        <w:softHyphen/>
        <w:t>ными передаточными отношениями. Первые серии шли с редуктором с отношением 0,9, с 5-й серии — с 0,732. В январе 1941 г. изготовили, а затем подвергли испытаниям три образца с беспоплавковыми карбю</w:t>
      </w:r>
      <w:r w:rsidRPr="00DB5D0D">
        <w:rPr>
          <w:rFonts w:ascii="Times New Roman" w:hAnsi="Times New Roman"/>
          <w:color w:val="000000" w:themeColor="text1"/>
          <w:sz w:val="16"/>
          <w:szCs w:val="16"/>
        </w:rPr>
        <w:softHyphen/>
        <w:t>раторами, который намеревались внедрить в серии. Однако этот вари</w:t>
      </w:r>
      <w:r w:rsidRPr="00DB5D0D">
        <w:rPr>
          <w:rFonts w:ascii="Times New Roman" w:hAnsi="Times New Roman"/>
          <w:color w:val="000000" w:themeColor="text1"/>
          <w:sz w:val="16"/>
          <w:szCs w:val="16"/>
        </w:rPr>
        <w:softHyphen/>
        <w:t>ант серийно не выпускался. Всего до конца 1943 г. изготовили около 4500 АМ-35А, из них 4034 — в 1941 г. (11852).</w:t>
      </w:r>
    </w:p>
    <w:p w14:paraId="4353B1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CD3D6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июле 1940 года вед. инженер самолета Петров, ст. контр. мастер Соколов, бортмеханик Николаевский писали начальнику штаба перелета Антонову Д.И.</w:t>
      </w:r>
    </w:p>
    <w:p w14:paraId="65E601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тренировочный самолет ЦКБ-30Н-2 N 2817 полностью подготовлен для полета по треугольнику Москва-Свердловск-Севастополь-Москва (расстояние 5000 км).</w:t>
      </w:r>
    </w:p>
    <w:p w14:paraId="43D912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подготовки выполнены:</w:t>
      </w:r>
    </w:p>
    <w:p w14:paraId="79BA79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Регламентные работы по моторам - проверка фильтров масляных и бензиновых, проверка зазоров клапанов, проверка пружин, набивка смазки, проверка клапана воздушного распределения, детальный просмотр моторов, подтяжка патрубков всасывающих и выхлопных.</w:t>
      </w:r>
    </w:p>
    <w:p w14:paraId="01C5E5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Проверка крепежки канатов, всех шарнирных соединений, сильных узлов, бензо-масло-проводов и работа приборов.</w:t>
      </w:r>
    </w:p>
    <w:p w14:paraId="2003D7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контрольных полетах 3.VII, продолжительностью 1 ч. 30 м. и 4.VII - 27 мин. продолж., проверена в воздухе работа винтомоторной группы, приборов и специального оборудования (радиокомпаса, радиостанции, автопилота). Кроме того в полете 3.VII снята девиация магнитных приборов и радиокомпаса.</w:t>
      </w:r>
    </w:p>
    <w:p w14:paraId="4E6B05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Вся материальная часть самолета и его специальное оборудование в полетах работала вполне удовлетворительно (1313,52).</w:t>
      </w:r>
    </w:p>
    <w:p w14:paraId="7AC3A3F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770B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на заводе №18 в Воронеже МВ-2 и МВ-3 ввели на ДБ-3 одновременно, на 16-й серии, точнее с самолета №180416. Учитывая опыт финской войны, внедрили бронеспинки пилотских кресел. На первые серии ДБ-3М их ставили уже в войсках, затем заводы стали их досылать в авиаполки на ранее выпущенные машины и, наконец, спинки начали монтировать прямо в цехе (в Воронеже с 39-й серии) (7494).</w:t>
      </w:r>
    </w:p>
    <w:p w14:paraId="77F10D4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59839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июлю 1940 г. появились части, практически полностью укомплектованные ДБ-3Ф. Например, в 8-м ДБАП на 25 июля значатся даже 72 ДБ-3Ф с моторами М-88. Новые самолеты стали поступать в Московский, Ленинградский, Северо-кавказский и другие округа. Лишь на Дальнем Востоке монопольно царили старые ДБ-3. Там сохранилось еще немало машин с М-85 и М-86. В документах, например, отмечалось, &lt;в 5-й АБ имеется 48 самолетов ДБ-3 первого выпуска разных заводов. Все эти самолеты требуют модернизации и в настоящее время небоеспособны из-за отсутствия запчастей, т.к. запчасти серийных самолетов не подходят&gt; (7494).</w:t>
      </w:r>
    </w:p>
    <w:p w14:paraId="6BE8D77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E9DFC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в НИИ ВВС испытывалась новая носовая установка ДБ-3М - НУМВ. В ней стоял тот же пулемет ШКАС с боезапасом 500 патронов. Экран с амбразурным окном прикрывался жестким подвижным щитком. Ствол поворачивался на 35° в любую сторону. На испытаниях отметили, что НУМВ проста в обращении и производстве, но из-за ряда дефектов конструкции в производство ее не запустили (7494).</w:t>
      </w:r>
    </w:p>
    <w:p w14:paraId="6DDFC9A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D48B3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завод №240 должен был поставить опытную партию системы &lt;Ночь&gt; для установки на эталонных самолетах, а с 1 августа - начать сдачу серийной продукции. Все ДБ-3Ф с июля 1940 г. должны были предусматривать ее установку. Но и здесь количество реально оборудованных машин оказалось ничтожно (7494).</w:t>
      </w:r>
    </w:p>
    <w:p w14:paraId="2914BAC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B4EBB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разработали чертежи установки на ДБ-ЗМ торпедной подвески Т-18, создав таким образом модификацию торпедоносца, аналогичную ДБ-ЗТ (в документах того времени ее иногда именовали ДБ-ЗФТ). В ассортимент вооружения ДБ-ЗМ вошли бомбы БЕТАБ-150ДС и Б РАБ-1000 (для машин морской авиации). В сентябре начали ставить специальные ночные бомбовые прицелы НКПБ-3. Вместе с этим вносилось огромное количество изменений в электросистему самолета. С 7-й серии завода № 39 появились трубы для сброса парашютных осветительных ракет в хвостовой части бомбардировщика (12021).</w:t>
      </w:r>
    </w:p>
    <w:p w14:paraId="3675B7E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D1D9E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Начальник ВВС генерал-лейтенант авиации Смушкевич и Военком ВВС дивизионный комиссар Агальцов утвердили Отчет о гос. испытании самолета – дальний бомбардировщик – летающее крыло (ДБ-ЛК) с 2М-87Б Строящая организация – завод № 156</w:t>
      </w:r>
    </w:p>
    <w:p w14:paraId="546485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 Беляев</w:t>
      </w:r>
    </w:p>
    <w:p w14:paraId="2F5280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B072B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Самарин</w:t>
      </w:r>
    </w:p>
    <w:p w14:paraId="2D0EFB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 майор Нюхтиков</w:t>
      </w:r>
    </w:p>
    <w:p w14:paraId="32D97E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5CDE7FF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соответствия летно-тактических данных самолета – Тактико-техническим требованиям.</w:t>
      </w:r>
    </w:p>
    <w:p w14:paraId="5EE089B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летно-тактические преимущества и недостатки схемы самолета «Летающее крыло».</w:t>
      </w:r>
    </w:p>
    <w:p w14:paraId="670F06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 4 человека:</w:t>
      </w:r>
    </w:p>
    <w:p w14:paraId="4667BD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штурман, стрелок-радист, стрелок</w:t>
      </w:r>
    </w:p>
    <w:p w14:paraId="14DAA1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227311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вместимость:</w:t>
      </w:r>
    </w:p>
    <w:p w14:paraId="3365FA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Внутрь – 1000 кг (от АО-8 до ФАБ-250 включительно).</w:t>
      </w:r>
    </w:p>
    <w:p w14:paraId="6A5951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Снаружи – 2000 кг (от ФАБ-100 до ФАБ-1000 включительно).</w:t>
      </w:r>
    </w:p>
    <w:p w14:paraId="7F8B68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Нормальная бомбовая нагрузка – 1000 кг</w:t>
      </w:r>
    </w:p>
    <w:p w14:paraId="223B02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Перегрузочная бомбовая загрузка – 2000 кг</w:t>
      </w:r>
    </w:p>
    <w:p w14:paraId="4CD2FA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w:t>
      </w:r>
    </w:p>
    <w:p w14:paraId="54CF3DD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Передняя установка – дистанционного управления</w:t>
      </w:r>
    </w:p>
    <w:p w14:paraId="2D83D2F2" w14:textId="77777777" w:rsidR="003C7E8B" w:rsidRPr="00DB5D0D" w:rsidRDefault="003C7E8B" w:rsidP="00DB5D0D">
      <w:pPr>
        <w:pStyle w:val="a3"/>
        <w:widowControl/>
        <w:rPr>
          <w:color w:val="000000" w:themeColor="text1"/>
          <w:lang w:val="ru-RU"/>
        </w:rPr>
      </w:pPr>
      <w:r w:rsidRPr="00DB5D0D">
        <w:rPr>
          <w:color w:val="000000" w:themeColor="text1"/>
          <w:lang w:val="ru-RU"/>
        </w:rPr>
        <w:t>Спарка пулемета ШКАС-7,62 мм патрон 1500 шт.</w:t>
      </w:r>
    </w:p>
    <w:p w14:paraId="35405B1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Средняя установка – две вращающиеся башни с одним пулеметом ШКАС каждая, патрон по 850 штук на установку.</w:t>
      </w:r>
    </w:p>
    <w:p w14:paraId="00F35EA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Задние установки – два вращающихся конуса с одним пулеметом ШКАС каждый – патрон по 750 штук на установку.</w:t>
      </w:r>
    </w:p>
    <w:p w14:paraId="138298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Схема самолета представляет собой – летающее крыло полубесхостого типа с крыльями, заведенными своими концами вперед.</w:t>
      </w:r>
    </w:p>
    <w:p w14:paraId="143018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Горизонтальное оперение, состоящее из небольшого стабилизатора и руля высоты вынесено вверх и расположено над задней кромкой центроплана, крепится к вертикальному оперению, расположенному по оси центроплана</w:t>
      </w:r>
    </w:p>
    <w:p w14:paraId="141988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Две моторные гондолы переходят в кабины, где располагается экипаж и бомбовая нагрузка, что делает ненужным – фюзеляж между моторными гондолами обычной схемы 2-х моторного самолета.</w:t>
      </w:r>
    </w:p>
    <w:p w14:paraId="3292CF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левых кабинах расположены – пилот и стрелок.</w:t>
      </w:r>
    </w:p>
    <w:p w14:paraId="45349E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правых – штурман и стрелок-радист.</w:t>
      </w:r>
    </w:p>
    <w:p w14:paraId="0EA62E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Левая и правая гондолы заканчиваются вращающимися средними и задними конусными стрелковыми точками.</w:t>
      </w:r>
    </w:p>
    <w:p w14:paraId="184D4C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самолета – металлическая, обшивка – гладкая, клепка полностью впотай.</w:t>
      </w:r>
    </w:p>
    <w:p w14:paraId="686F27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0B50B6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испытание 25 апреля 1940 года</w:t>
      </w:r>
    </w:p>
    <w:p w14:paraId="327A7E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закончил испытания 25 июня 1940 года</w:t>
      </w:r>
    </w:p>
    <w:p w14:paraId="2050E9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период испытания произведено 73 полета общей продолжительностью 44 час. 58 мин.</w:t>
      </w:r>
    </w:p>
    <w:p w14:paraId="5B270F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испытания – 60 дней, из них летных – 34.</w:t>
      </w:r>
    </w:p>
    <w:p w14:paraId="0486D4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39CF75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предъявленном виде самолет ДБ-ЛК 2М87Б конструкции инженера Беляева производства завода № 156 гос. испытания не выдержал.</w:t>
      </w:r>
    </w:p>
    <w:p w14:paraId="77CA58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4433"/>
        <w:gridCol w:w="904"/>
        <w:gridCol w:w="904"/>
        <w:gridCol w:w="2443"/>
      </w:tblGrid>
      <w:tr w:rsidR="007D5DF8" w:rsidRPr="00DB5D0D" w14:paraId="0BDB3932" w14:textId="77777777" w:rsidTr="00E543D0">
        <w:tc>
          <w:tcPr>
            <w:tcW w:w="1771" w:type="dxa"/>
          </w:tcPr>
          <w:p w14:paraId="28C2EB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4433" w:type="dxa"/>
          </w:tcPr>
          <w:p w14:paraId="58C5A8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 работы</w:t>
            </w:r>
          </w:p>
        </w:tc>
        <w:tc>
          <w:tcPr>
            <w:tcW w:w="904" w:type="dxa"/>
          </w:tcPr>
          <w:p w14:paraId="31D70C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 полетов</w:t>
            </w:r>
          </w:p>
        </w:tc>
        <w:tc>
          <w:tcPr>
            <w:tcW w:w="904" w:type="dxa"/>
          </w:tcPr>
          <w:p w14:paraId="2202E7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w:t>
            </w:r>
          </w:p>
        </w:tc>
        <w:tc>
          <w:tcPr>
            <w:tcW w:w="2443" w:type="dxa"/>
          </w:tcPr>
          <w:p w14:paraId="64682E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r>
      <w:tr w:rsidR="007D5DF8" w:rsidRPr="00DB5D0D" w14:paraId="5205783F" w14:textId="77777777" w:rsidTr="00E543D0">
        <w:tc>
          <w:tcPr>
            <w:tcW w:w="1771" w:type="dxa"/>
          </w:tcPr>
          <w:p w14:paraId="742DE3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апреля 1940 г.</w:t>
            </w:r>
          </w:p>
        </w:tc>
        <w:tc>
          <w:tcPr>
            <w:tcW w:w="4433" w:type="dxa"/>
          </w:tcPr>
          <w:p w14:paraId="1F7499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Перевозка самолета из 30 цеха опытного завода НИИ на аэродром. Полет на опробование самолета после переделок.</w:t>
            </w:r>
          </w:p>
        </w:tc>
        <w:tc>
          <w:tcPr>
            <w:tcW w:w="904" w:type="dxa"/>
          </w:tcPr>
          <w:p w14:paraId="57211A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2C07A3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0-18</w:t>
            </w:r>
          </w:p>
        </w:tc>
        <w:tc>
          <w:tcPr>
            <w:tcW w:w="2443" w:type="dxa"/>
          </w:tcPr>
          <w:p w14:paraId="3C1A24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 Самарин</w:t>
            </w:r>
          </w:p>
        </w:tc>
      </w:tr>
      <w:tr w:rsidR="007D5DF8" w:rsidRPr="00DB5D0D" w14:paraId="5AC815FE" w14:textId="77777777" w:rsidTr="00E543D0">
        <w:tc>
          <w:tcPr>
            <w:tcW w:w="1771" w:type="dxa"/>
          </w:tcPr>
          <w:p w14:paraId="36E2DE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апреля 1940 г.</w:t>
            </w:r>
          </w:p>
        </w:tc>
        <w:tc>
          <w:tcPr>
            <w:tcW w:w="4433" w:type="dxa"/>
          </w:tcPr>
          <w:p w14:paraId="388592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полет на уборку шасси.</w:t>
            </w:r>
          </w:p>
        </w:tc>
        <w:tc>
          <w:tcPr>
            <w:tcW w:w="904" w:type="dxa"/>
          </w:tcPr>
          <w:p w14:paraId="77478C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0EF20E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0-45</w:t>
            </w:r>
          </w:p>
        </w:tc>
        <w:tc>
          <w:tcPr>
            <w:tcW w:w="2443" w:type="dxa"/>
          </w:tcPr>
          <w:p w14:paraId="771AD0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 Самарин</w:t>
            </w:r>
          </w:p>
        </w:tc>
      </w:tr>
      <w:tr w:rsidR="007D5DF8" w:rsidRPr="00DB5D0D" w14:paraId="53A7D499" w14:textId="77777777" w:rsidTr="00E543D0">
        <w:tc>
          <w:tcPr>
            <w:tcW w:w="1771" w:type="dxa"/>
          </w:tcPr>
          <w:p w14:paraId="490098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апреля 1940 г.</w:t>
            </w:r>
          </w:p>
        </w:tc>
        <w:tc>
          <w:tcPr>
            <w:tcW w:w="4433" w:type="dxa"/>
          </w:tcPr>
          <w:p w14:paraId="36D412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с различными положениями щитков.</w:t>
            </w:r>
          </w:p>
        </w:tc>
        <w:tc>
          <w:tcPr>
            <w:tcW w:w="904" w:type="dxa"/>
          </w:tcPr>
          <w:p w14:paraId="00E854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04" w:type="dxa"/>
          </w:tcPr>
          <w:p w14:paraId="6C0B7E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0-25</w:t>
            </w:r>
          </w:p>
        </w:tc>
        <w:tc>
          <w:tcPr>
            <w:tcW w:w="2443" w:type="dxa"/>
          </w:tcPr>
          <w:p w14:paraId="0FEF3F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 Самарин</w:t>
            </w:r>
          </w:p>
          <w:p w14:paraId="68710A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5D4E2343" w14:textId="77777777" w:rsidTr="00E543D0">
        <w:tc>
          <w:tcPr>
            <w:tcW w:w="1771" w:type="dxa"/>
          </w:tcPr>
          <w:p w14:paraId="6893D5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апреля 1940 г.</w:t>
            </w:r>
          </w:p>
        </w:tc>
        <w:tc>
          <w:tcPr>
            <w:tcW w:w="4433" w:type="dxa"/>
          </w:tcPr>
          <w:p w14:paraId="0A76AE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с передней центровкой.</w:t>
            </w:r>
          </w:p>
        </w:tc>
        <w:tc>
          <w:tcPr>
            <w:tcW w:w="904" w:type="dxa"/>
          </w:tcPr>
          <w:p w14:paraId="060A41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528B30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c>
          <w:tcPr>
            <w:tcW w:w="2443" w:type="dxa"/>
          </w:tcPr>
          <w:p w14:paraId="40C840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Нюхтиков Самарин </w:t>
            </w:r>
          </w:p>
        </w:tc>
      </w:tr>
      <w:tr w:rsidR="007D5DF8" w:rsidRPr="00DB5D0D" w14:paraId="154D1B01" w14:textId="77777777" w:rsidTr="00E543D0">
        <w:tc>
          <w:tcPr>
            <w:tcW w:w="1771" w:type="dxa"/>
          </w:tcPr>
          <w:p w14:paraId="19ABBA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апреля 1940 г.</w:t>
            </w:r>
          </w:p>
        </w:tc>
        <w:tc>
          <w:tcPr>
            <w:tcW w:w="4433" w:type="dxa"/>
          </w:tcPr>
          <w:p w14:paraId="6C2A0E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границы высотности.</w:t>
            </w:r>
          </w:p>
        </w:tc>
        <w:tc>
          <w:tcPr>
            <w:tcW w:w="904" w:type="dxa"/>
          </w:tcPr>
          <w:p w14:paraId="2486E7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667969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2443" w:type="dxa"/>
          </w:tcPr>
          <w:p w14:paraId="5AC366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 Самарин</w:t>
            </w:r>
          </w:p>
        </w:tc>
      </w:tr>
      <w:tr w:rsidR="007D5DF8" w:rsidRPr="00DB5D0D" w14:paraId="57F9E676" w14:textId="77777777" w:rsidTr="00E543D0">
        <w:tc>
          <w:tcPr>
            <w:tcW w:w="1771" w:type="dxa"/>
          </w:tcPr>
          <w:p w14:paraId="4A11A1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апреля 1940 г.</w:t>
            </w:r>
          </w:p>
        </w:tc>
        <w:tc>
          <w:tcPr>
            <w:tcW w:w="4433" w:type="dxa"/>
          </w:tcPr>
          <w:p w14:paraId="215EFF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Перегонка самолета на Центральный аэродром для участия в первомайском параде.</w:t>
            </w:r>
          </w:p>
        </w:tc>
        <w:tc>
          <w:tcPr>
            <w:tcW w:w="904" w:type="dxa"/>
          </w:tcPr>
          <w:p w14:paraId="546D3D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7DEE3A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2443" w:type="dxa"/>
          </w:tcPr>
          <w:p w14:paraId="375700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1FB03C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4714E5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07AECC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Нефедов</w:t>
            </w:r>
          </w:p>
        </w:tc>
      </w:tr>
      <w:tr w:rsidR="007D5DF8" w:rsidRPr="00DB5D0D" w14:paraId="5A12C28A" w14:textId="77777777" w:rsidTr="00E543D0">
        <w:tc>
          <w:tcPr>
            <w:tcW w:w="1771" w:type="dxa"/>
          </w:tcPr>
          <w:p w14:paraId="290B28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30 апреля 1940 г.</w:t>
            </w:r>
          </w:p>
        </w:tc>
        <w:tc>
          <w:tcPr>
            <w:tcW w:w="4433" w:type="dxa"/>
          </w:tcPr>
          <w:p w14:paraId="2C24D0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Тренировочные полеты к параду 1 Мая.</w:t>
            </w:r>
          </w:p>
        </w:tc>
        <w:tc>
          <w:tcPr>
            <w:tcW w:w="904" w:type="dxa"/>
          </w:tcPr>
          <w:p w14:paraId="1B5B47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04" w:type="dxa"/>
          </w:tcPr>
          <w:p w14:paraId="17DC45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c>
          <w:tcPr>
            <w:tcW w:w="2443" w:type="dxa"/>
          </w:tcPr>
          <w:p w14:paraId="786E94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531A0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1BD875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682A2A24" w14:textId="77777777" w:rsidTr="00E543D0">
        <w:tc>
          <w:tcPr>
            <w:tcW w:w="1771" w:type="dxa"/>
          </w:tcPr>
          <w:p w14:paraId="1CBE07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w:t>
            </w:r>
          </w:p>
        </w:tc>
        <w:tc>
          <w:tcPr>
            <w:tcW w:w="4433" w:type="dxa"/>
          </w:tcPr>
          <w:p w14:paraId="413335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с Центрального аэродрома в Чкаловскую с выполнением задания на сверхмаксимальную скорость на 10%.</w:t>
            </w:r>
          </w:p>
        </w:tc>
        <w:tc>
          <w:tcPr>
            <w:tcW w:w="904" w:type="dxa"/>
          </w:tcPr>
          <w:p w14:paraId="649A8A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17B7FC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2443" w:type="dxa"/>
          </w:tcPr>
          <w:p w14:paraId="085D5B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0083FB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625814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63B4E28E" w14:textId="77777777" w:rsidTr="00E543D0">
        <w:tc>
          <w:tcPr>
            <w:tcW w:w="1771" w:type="dxa"/>
          </w:tcPr>
          <w:p w14:paraId="349F92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w:t>
            </w:r>
          </w:p>
        </w:tc>
        <w:tc>
          <w:tcPr>
            <w:tcW w:w="4433" w:type="dxa"/>
          </w:tcPr>
          <w:p w14:paraId="68C50A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сверхмаксимальную скорость на 15%.</w:t>
            </w:r>
          </w:p>
        </w:tc>
        <w:tc>
          <w:tcPr>
            <w:tcW w:w="904" w:type="dxa"/>
          </w:tcPr>
          <w:p w14:paraId="6A3678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46C0F7D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43" w:type="dxa"/>
          </w:tcPr>
          <w:p w14:paraId="73F0CF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784C4D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2248F3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0842422D" w14:textId="77777777" w:rsidTr="00E543D0">
        <w:tc>
          <w:tcPr>
            <w:tcW w:w="1771" w:type="dxa"/>
          </w:tcPr>
          <w:p w14:paraId="2D645C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мая 1940 г.</w:t>
            </w:r>
          </w:p>
        </w:tc>
        <w:tc>
          <w:tcPr>
            <w:tcW w:w="4433" w:type="dxa"/>
          </w:tcPr>
          <w:p w14:paraId="7E3C3D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c>
          <w:tcPr>
            <w:tcW w:w="904" w:type="dxa"/>
          </w:tcPr>
          <w:p w14:paraId="680618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4CDCB6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tc>
        <w:tc>
          <w:tcPr>
            <w:tcW w:w="2443" w:type="dxa"/>
          </w:tcPr>
          <w:p w14:paraId="4A4A6F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4971A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53DE0A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5F65DCCF" w14:textId="77777777" w:rsidTr="00E543D0">
        <w:tc>
          <w:tcPr>
            <w:tcW w:w="1771" w:type="dxa"/>
          </w:tcPr>
          <w:p w14:paraId="70F17E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мая 1940 г.</w:t>
            </w:r>
          </w:p>
        </w:tc>
        <w:tc>
          <w:tcPr>
            <w:tcW w:w="4433" w:type="dxa"/>
          </w:tcPr>
          <w:p w14:paraId="7B93CE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скорости по высотам и скороподъемность до высоты 7000 м.</w:t>
            </w:r>
          </w:p>
        </w:tc>
        <w:tc>
          <w:tcPr>
            <w:tcW w:w="904" w:type="dxa"/>
          </w:tcPr>
          <w:p w14:paraId="7073CF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25DFB1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w:t>
            </w:r>
          </w:p>
        </w:tc>
        <w:tc>
          <w:tcPr>
            <w:tcW w:w="2443" w:type="dxa"/>
          </w:tcPr>
          <w:p w14:paraId="11ABAE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024EEE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292CF8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Перевалов</w:t>
            </w:r>
          </w:p>
          <w:p w14:paraId="3D3618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Дугин</w:t>
            </w:r>
          </w:p>
        </w:tc>
      </w:tr>
      <w:tr w:rsidR="007D5DF8" w:rsidRPr="00DB5D0D" w14:paraId="740BF453" w14:textId="77777777" w:rsidTr="00E543D0">
        <w:tc>
          <w:tcPr>
            <w:tcW w:w="1771" w:type="dxa"/>
          </w:tcPr>
          <w:p w14:paraId="61D4E6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мая 1940 г.</w:t>
            </w:r>
          </w:p>
        </w:tc>
        <w:tc>
          <w:tcPr>
            <w:tcW w:w="4433" w:type="dxa"/>
          </w:tcPr>
          <w:p w14:paraId="3F9461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отстрел стрелковых точек на автоматику с включением зависания элеронов при открывании щитков.</w:t>
            </w:r>
          </w:p>
        </w:tc>
        <w:tc>
          <w:tcPr>
            <w:tcW w:w="904" w:type="dxa"/>
          </w:tcPr>
          <w:p w14:paraId="3A62E9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7FB50C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0-16</w:t>
            </w:r>
          </w:p>
        </w:tc>
        <w:tc>
          <w:tcPr>
            <w:tcW w:w="2443" w:type="dxa"/>
          </w:tcPr>
          <w:p w14:paraId="5FB152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30AA67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144914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Ссорин</w:t>
            </w:r>
          </w:p>
          <w:p w14:paraId="529D35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Перевалов</w:t>
            </w:r>
          </w:p>
        </w:tc>
      </w:tr>
      <w:tr w:rsidR="007D5DF8" w:rsidRPr="00DB5D0D" w14:paraId="5D07F5A7" w14:textId="77777777" w:rsidTr="00E543D0">
        <w:tc>
          <w:tcPr>
            <w:tcW w:w="1771" w:type="dxa"/>
          </w:tcPr>
          <w:p w14:paraId="09A8FC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мая 1940 г.</w:t>
            </w:r>
          </w:p>
        </w:tc>
        <w:tc>
          <w:tcPr>
            <w:tcW w:w="4433" w:type="dxa"/>
          </w:tcPr>
          <w:p w14:paraId="32FDE1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отстрел автоматики в воздухе.</w:t>
            </w:r>
          </w:p>
        </w:tc>
        <w:tc>
          <w:tcPr>
            <w:tcW w:w="904" w:type="dxa"/>
          </w:tcPr>
          <w:p w14:paraId="50B389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12A764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2443" w:type="dxa"/>
          </w:tcPr>
          <w:p w14:paraId="3AB45F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34AFED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5C4307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1290EE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Соколов</w:t>
            </w:r>
          </w:p>
        </w:tc>
      </w:tr>
      <w:tr w:rsidR="007D5DF8" w:rsidRPr="00DB5D0D" w14:paraId="1BA670B0" w14:textId="77777777" w:rsidTr="00E543D0">
        <w:tc>
          <w:tcPr>
            <w:tcW w:w="1771" w:type="dxa"/>
          </w:tcPr>
          <w:p w14:paraId="1567FE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мая 1940 г.</w:t>
            </w:r>
          </w:p>
        </w:tc>
        <w:tc>
          <w:tcPr>
            <w:tcW w:w="4433" w:type="dxa"/>
          </w:tcPr>
          <w:p w14:paraId="519E57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 стрельба по наземным целям.</w:t>
            </w:r>
          </w:p>
        </w:tc>
        <w:tc>
          <w:tcPr>
            <w:tcW w:w="904" w:type="dxa"/>
          </w:tcPr>
          <w:p w14:paraId="429813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5F31C1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0-45</w:t>
            </w:r>
          </w:p>
        </w:tc>
        <w:tc>
          <w:tcPr>
            <w:tcW w:w="2443" w:type="dxa"/>
          </w:tcPr>
          <w:p w14:paraId="12E523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7B7C9A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762EE9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00CEE1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766CCC80" w14:textId="77777777" w:rsidTr="00E543D0">
        <w:tc>
          <w:tcPr>
            <w:tcW w:w="1771" w:type="dxa"/>
          </w:tcPr>
          <w:p w14:paraId="5B3DD3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мая 1940 г.</w:t>
            </w:r>
          </w:p>
        </w:tc>
        <w:tc>
          <w:tcPr>
            <w:tcW w:w="4433" w:type="dxa"/>
          </w:tcPr>
          <w:p w14:paraId="6DE2DB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растряску и взлетно-посадочные свойства и растряску и взлет со щитками на 10 градусов.</w:t>
            </w:r>
          </w:p>
        </w:tc>
        <w:tc>
          <w:tcPr>
            <w:tcW w:w="904" w:type="dxa"/>
          </w:tcPr>
          <w:p w14:paraId="32FD94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04" w:type="dxa"/>
          </w:tcPr>
          <w:p w14:paraId="452386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0-25</w:t>
            </w:r>
          </w:p>
        </w:tc>
        <w:tc>
          <w:tcPr>
            <w:tcW w:w="2443" w:type="dxa"/>
          </w:tcPr>
          <w:p w14:paraId="7EDEBB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1D180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1D3148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06C2B3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6FBA5BEF" w14:textId="77777777" w:rsidTr="00E543D0">
        <w:tc>
          <w:tcPr>
            <w:tcW w:w="1771" w:type="dxa"/>
          </w:tcPr>
          <w:p w14:paraId="46EE41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мая 1940 г.</w:t>
            </w:r>
          </w:p>
        </w:tc>
        <w:tc>
          <w:tcPr>
            <w:tcW w:w="4433" w:type="dxa"/>
          </w:tcPr>
          <w:p w14:paraId="3D58DC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 Отработка бомбового вооружения.</w:t>
            </w:r>
          </w:p>
        </w:tc>
        <w:tc>
          <w:tcPr>
            <w:tcW w:w="904" w:type="dxa"/>
          </w:tcPr>
          <w:p w14:paraId="151DCB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33083C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2443" w:type="dxa"/>
          </w:tcPr>
          <w:p w14:paraId="5E008C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6175C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594C46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5E4A9E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47BF2E24" w14:textId="77777777" w:rsidTr="00E543D0">
        <w:tc>
          <w:tcPr>
            <w:tcW w:w="1771" w:type="dxa"/>
          </w:tcPr>
          <w:p w14:paraId="5B65D4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w:t>
            </w:r>
          </w:p>
        </w:tc>
        <w:tc>
          <w:tcPr>
            <w:tcW w:w="4433" w:type="dxa"/>
          </w:tcPr>
          <w:p w14:paraId="6C9B51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c>
          <w:tcPr>
            <w:tcW w:w="904" w:type="dxa"/>
          </w:tcPr>
          <w:p w14:paraId="1DA39D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28EBDE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2443" w:type="dxa"/>
          </w:tcPr>
          <w:p w14:paraId="7BD535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3D6970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111B64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62F859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Дугин</w:t>
            </w:r>
          </w:p>
          <w:p w14:paraId="6C8BBC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Золоторев</w:t>
            </w:r>
          </w:p>
        </w:tc>
      </w:tr>
      <w:tr w:rsidR="007D5DF8" w:rsidRPr="00DB5D0D" w14:paraId="4D3DD227" w14:textId="77777777" w:rsidTr="00E543D0">
        <w:tc>
          <w:tcPr>
            <w:tcW w:w="1771" w:type="dxa"/>
          </w:tcPr>
          <w:p w14:paraId="0C59F7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мая 1940 г.</w:t>
            </w:r>
          </w:p>
        </w:tc>
        <w:tc>
          <w:tcPr>
            <w:tcW w:w="4433" w:type="dxa"/>
          </w:tcPr>
          <w:p w14:paraId="727D28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w:t>
            </w:r>
          </w:p>
        </w:tc>
        <w:tc>
          <w:tcPr>
            <w:tcW w:w="904" w:type="dxa"/>
          </w:tcPr>
          <w:p w14:paraId="46833C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33B2E3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0-50</w:t>
            </w:r>
          </w:p>
        </w:tc>
        <w:tc>
          <w:tcPr>
            <w:tcW w:w="2443" w:type="dxa"/>
          </w:tcPr>
          <w:p w14:paraId="70D0F8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1BE219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Перевалов</w:t>
            </w:r>
          </w:p>
          <w:p w14:paraId="4BE939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Золоторев</w:t>
            </w:r>
          </w:p>
        </w:tc>
      </w:tr>
      <w:tr w:rsidR="007D5DF8" w:rsidRPr="00DB5D0D" w14:paraId="713A5B44" w14:textId="77777777" w:rsidTr="00E543D0">
        <w:tc>
          <w:tcPr>
            <w:tcW w:w="1771" w:type="dxa"/>
          </w:tcPr>
          <w:p w14:paraId="57B411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w:t>
            </w:r>
          </w:p>
        </w:tc>
        <w:tc>
          <w:tcPr>
            <w:tcW w:w="4433" w:type="dxa"/>
          </w:tcPr>
          <w:p w14:paraId="321944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скорости по высотам.</w:t>
            </w:r>
          </w:p>
        </w:tc>
        <w:tc>
          <w:tcPr>
            <w:tcW w:w="904" w:type="dxa"/>
          </w:tcPr>
          <w:p w14:paraId="0E74D8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33AB92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2443" w:type="dxa"/>
          </w:tcPr>
          <w:p w14:paraId="581DD3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0B4185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6BB3F1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2EEBBBB1" w14:textId="77777777" w:rsidTr="00E543D0">
        <w:tc>
          <w:tcPr>
            <w:tcW w:w="1771" w:type="dxa"/>
          </w:tcPr>
          <w:p w14:paraId="66CC43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мая 1940 г.</w:t>
            </w:r>
          </w:p>
        </w:tc>
        <w:tc>
          <w:tcPr>
            <w:tcW w:w="4433" w:type="dxa"/>
          </w:tcPr>
          <w:p w14:paraId="453AF3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w:t>
            </w:r>
          </w:p>
        </w:tc>
        <w:tc>
          <w:tcPr>
            <w:tcW w:w="904" w:type="dxa"/>
          </w:tcPr>
          <w:p w14:paraId="019615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75B3ED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2443" w:type="dxa"/>
          </w:tcPr>
          <w:p w14:paraId="12BC27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745E1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3129C146" w14:textId="77777777" w:rsidTr="00E543D0">
        <w:tc>
          <w:tcPr>
            <w:tcW w:w="1771" w:type="dxa"/>
          </w:tcPr>
          <w:p w14:paraId="248C2F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мая 1940 г.</w:t>
            </w:r>
          </w:p>
        </w:tc>
        <w:tc>
          <w:tcPr>
            <w:tcW w:w="4433" w:type="dxa"/>
          </w:tcPr>
          <w:p w14:paraId="310220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w:t>
            </w:r>
          </w:p>
        </w:tc>
        <w:tc>
          <w:tcPr>
            <w:tcW w:w="904" w:type="dxa"/>
          </w:tcPr>
          <w:p w14:paraId="39A8E2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1F0611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2443" w:type="dxa"/>
          </w:tcPr>
          <w:p w14:paraId="46D3B2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278D9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3FCDD3C7" w14:textId="77777777" w:rsidTr="00E543D0">
        <w:tc>
          <w:tcPr>
            <w:tcW w:w="1771" w:type="dxa"/>
          </w:tcPr>
          <w:p w14:paraId="29E85F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мая 1940 г.</w:t>
            </w:r>
          </w:p>
        </w:tc>
        <w:tc>
          <w:tcPr>
            <w:tcW w:w="4433" w:type="dxa"/>
          </w:tcPr>
          <w:p w14:paraId="52B64F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w:t>
            </w:r>
          </w:p>
        </w:tc>
        <w:tc>
          <w:tcPr>
            <w:tcW w:w="904" w:type="dxa"/>
          </w:tcPr>
          <w:p w14:paraId="371FAF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55A381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w:t>
            </w:r>
          </w:p>
        </w:tc>
        <w:tc>
          <w:tcPr>
            <w:tcW w:w="2443" w:type="dxa"/>
          </w:tcPr>
          <w:p w14:paraId="7CBF01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69771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3AE009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Коломинов</w:t>
            </w:r>
          </w:p>
        </w:tc>
      </w:tr>
      <w:tr w:rsidR="007D5DF8" w:rsidRPr="00DB5D0D" w14:paraId="50708844" w14:textId="77777777" w:rsidTr="00E543D0">
        <w:tc>
          <w:tcPr>
            <w:tcW w:w="1771" w:type="dxa"/>
          </w:tcPr>
          <w:p w14:paraId="564242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мая 1940 г.</w:t>
            </w:r>
          </w:p>
        </w:tc>
        <w:tc>
          <w:tcPr>
            <w:tcW w:w="4433" w:type="dxa"/>
          </w:tcPr>
          <w:p w14:paraId="46FDED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w:t>
            </w:r>
          </w:p>
          <w:p w14:paraId="169618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опробование в воздухе баузеров.</w:t>
            </w:r>
          </w:p>
        </w:tc>
        <w:tc>
          <w:tcPr>
            <w:tcW w:w="904" w:type="dxa"/>
          </w:tcPr>
          <w:p w14:paraId="1743DE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21B217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w:t>
            </w:r>
          </w:p>
        </w:tc>
        <w:tc>
          <w:tcPr>
            <w:tcW w:w="2443" w:type="dxa"/>
          </w:tcPr>
          <w:p w14:paraId="483DDE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088424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56B0C95A" w14:textId="77777777" w:rsidTr="00E543D0">
        <w:tc>
          <w:tcPr>
            <w:tcW w:w="1771" w:type="dxa"/>
          </w:tcPr>
          <w:p w14:paraId="082875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w:t>
            </w:r>
          </w:p>
        </w:tc>
        <w:tc>
          <w:tcPr>
            <w:tcW w:w="4433" w:type="dxa"/>
          </w:tcPr>
          <w:p w14:paraId="1337CA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w:t>
            </w:r>
          </w:p>
        </w:tc>
        <w:tc>
          <w:tcPr>
            <w:tcW w:w="904" w:type="dxa"/>
          </w:tcPr>
          <w:p w14:paraId="5E697A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p w14:paraId="0F8A38D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04" w:type="dxa"/>
          </w:tcPr>
          <w:p w14:paraId="44B314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2443" w:type="dxa"/>
          </w:tcPr>
          <w:p w14:paraId="252D0D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C75AE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59ACD6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Коломинов</w:t>
            </w:r>
          </w:p>
        </w:tc>
      </w:tr>
      <w:tr w:rsidR="007D5DF8" w:rsidRPr="00DB5D0D" w14:paraId="2D9F88DF" w14:textId="77777777" w:rsidTr="00E543D0">
        <w:tc>
          <w:tcPr>
            <w:tcW w:w="1771" w:type="dxa"/>
          </w:tcPr>
          <w:p w14:paraId="572956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мая 1940 г.</w:t>
            </w:r>
          </w:p>
        </w:tc>
        <w:tc>
          <w:tcPr>
            <w:tcW w:w="4433" w:type="dxa"/>
          </w:tcPr>
          <w:p w14:paraId="67E8D1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 ФАБ-100.</w:t>
            </w:r>
          </w:p>
        </w:tc>
        <w:tc>
          <w:tcPr>
            <w:tcW w:w="904" w:type="dxa"/>
          </w:tcPr>
          <w:p w14:paraId="69AAD9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5A710F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c>
          <w:tcPr>
            <w:tcW w:w="2443" w:type="dxa"/>
          </w:tcPr>
          <w:p w14:paraId="3E73CA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7B38CC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4CFAFE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Коломинов</w:t>
            </w:r>
          </w:p>
          <w:p w14:paraId="53F9B4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78ADDD22" w14:textId="77777777" w:rsidTr="00E543D0">
        <w:tc>
          <w:tcPr>
            <w:tcW w:w="1771" w:type="dxa"/>
          </w:tcPr>
          <w:p w14:paraId="5C52AE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w:t>
            </w:r>
          </w:p>
        </w:tc>
        <w:tc>
          <w:tcPr>
            <w:tcW w:w="4433" w:type="dxa"/>
          </w:tcPr>
          <w:p w14:paraId="6AFD36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растряску и бомбометание АО15.</w:t>
            </w:r>
          </w:p>
        </w:tc>
        <w:tc>
          <w:tcPr>
            <w:tcW w:w="904" w:type="dxa"/>
          </w:tcPr>
          <w:p w14:paraId="0F0E4F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04" w:type="dxa"/>
          </w:tcPr>
          <w:p w14:paraId="3311D0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0-20</w:t>
            </w:r>
          </w:p>
        </w:tc>
        <w:tc>
          <w:tcPr>
            <w:tcW w:w="2443" w:type="dxa"/>
          </w:tcPr>
          <w:p w14:paraId="4D7484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0A123C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529E24FF" w14:textId="77777777" w:rsidTr="00E543D0">
        <w:tc>
          <w:tcPr>
            <w:tcW w:w="1771" w:type="dxa"/>
          </w:tcPr>
          <w:p w14:paraId="410954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1940 г.</w:t>
            </w:r>
          </w:p>
        </w:tc>
        <w:tc>
          <w:tcPr>
            <w:tcW w:w="4433" w:type="dxa"/>
          </w:tcPr>
          <w:p w14:paraId="1E0D6C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по конусам и стрельба по наземным целям.</w:t>
            </w:r>
          </w:p>
        </w:tc>
        <w:tc>
          <w:tcPr>
            <w:tcW w:w="904" w:type="dxa"/>
          </w:tcPr>
          <w:p w14:paraId="03F75D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43CEDB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0-45</w:t>
            </w:r>
          </w:p>
        </w:tc>
        <w:tc>
          <w:tcPr>
            <w:tcW w:w="2443" w:type="dxa"/>
          </w:tcPr>
          <w:p w14:paraId="71BC0F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6B87C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7E8F18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tc>
      </w:tr>
      <w:tr w:rsidR="007D5DF8" w:rsidRPr="00DB5D0D" w14:paraId="4842C199" w14:textId="77777777" w:rsidTr="00E543D0">
        <w:tc>
          <w:tcPr>
            <w:tcW w:w="1771" w:type="dxa"/>
          </w:tcPr>
          <w:p w14:paraId="17FE37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мая 1940 г.</w:t>
            </w:r>
          </w:p>
        </w:tc>
        <w:tc>
          <w:tcPr>
            <w:tcW w:w="4433" w:type="dxa"/>
          </w:tcPr>
          <w:p w14:paraId="0EAA0C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 определение динамической и статической устойчивости.</w:t>
            </w:r>
          </w:p>
        </w:tc>
        <w:tc>
          <w:tcPr>
            <w:tcW w:w="904" w:type="dxa"/>
          </w:tcPr>
          <w:p w14:paraId="2CBD26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6F8175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1-43</w:t>
            </w:r>
          </w:p>
        </w:tc>
        <w:tc>
          <w:tcPr>
            <w:tcW w:w="2443" w:type="dxa"/>
          </w:tcPr>
          <w:p w14:paraId="54948A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19C3A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416CBF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Дугин</w:t>
            </w:r>
          </w:p>
          <w:p w14:paraId="03FE27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Нефедов</w:t>
            </w:r>
          </w:p>
        </w:tc>
      </w:tr>
      <w:tr w:rsidR="007D5DF8" w:rsidRPr="00DB5D0D" w14:paraId="5B7718A5" w14:textId="77777777" w:rsidTr="00E543D0">
        <w:tc>
          <w:tcPr>
            <w:tcW w:w="1771" w:type="dxa"/>
          </w:tcPr>
          <w:p w14:paraId="4409E5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мая 1940 г.</w:t>
            </w:r>
          </w:p>
        </w:tc>
        <w:tc>
          <w:tcPr>
            <w:tcW w:w="4433" w:type="dxa"/>
          </w:tcPr>
          <w:p w14:paraId="4AAF53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 определение динамической и статической устойчивости.</w:t>
            </w:r>
          </w:p>
        </w:tc>
        <w:tc>
          <w:tcPr>
            <w:tcW w:w="904" w:type="dxa"/>
          </w:tcPr>
          <w:p w14:paraId="431D98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616AD4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1-43</w:t>
            </w:r>
          </w:p>
        </w:tc>
        <w:tc>
          <w:tcPr>
            <w:tcW w:w="2443" w:type="dxa"/>
          </w:tcPr>
          <w:p w14:paraId="5A5957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3076DF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77BDA62C" w14:textId="77777777" w:rsidTr="00E543D0">
        <w:tc>
          <w:tcPr>
            <w:tcW w:w="1771" w:type="dxa"/>
          </w:tcPr>
          <w:p w14:paraId="02F959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w:t>
            </w:r>
          </w:p>
        </w:tc>
        <w:tc>
          <w:tcPr>
            <w:tcW w:w="4433" w:type="dxa"/>
          </w:tcPr>
          <w:p w14:paraId="32E551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расходов горючего на высоте.</w:t>
            </w:r>
          </w:p>
        </w:tc>
        <w:tc>
          <w:tcPr>
            <w:tcW w:w="904" w:type="dxa"/>
          </w:tcPr>
          <w:p w14:paraId="228493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530CC23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43" w:type="dxa"/>
          </w:tcPr>
          <w:p w14:paraId="2B8363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A7C47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Акопян</w:t>
            </w:r>
          </w:p>
          <w:p w14:paraId="3CD5F8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Золоторев</w:t>
            </w:r>
          </w:p>
        </w:tc>
      </w:tr>
      <w:tr w:rsidR="007D5DF8" w:rsidRPr="00DB5D0D" w14:paraId="033AE6E3" w14:textId="77777777" w:rsidTr="00E543D0">
        <w:tc>
          <w:tcPr>
            <w:tcW w:w="1771" w:type="dxa"/>
          </w:tcPr>
          <w:p w14:paraId="419CE2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мая 1940 г.</w:t>
            </w:r>
          </w:p>
        </w:tc>
        <w:tc>
          <w:tcPr>
            <w:tcW w:w="4433" w:type="dxa"/>
          </w:tcPr>
          <w:p w14:paraId="3AB916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расходов горючего на высоте.</w:t>
            </w:r>
          </w:p>
        </w:tc>
        <w:tc>
          <w:tcPr>
            <w:tcW w:w="904" w:type="dxa"/>
          </w:tcPr>
          <w:p w14:paraId="69AF65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08CBDB8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43" w:type="dxa"/>
          </w:tcPr>
          <w:p w14:paraId="0FB0D7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0E55A6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Акопян</w:t>
            </w:r>
          </w:p>
          <w:p w14:paraId="06F1BF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Золоторев</w:t>
            </w:r>
          </w:p>
        </w:tc>
      </w:tr>
      <w:tr w:rsidR="007D5DF8" w:rsidRPr="00DB5D0D" w14:paraId="79F13B3B" w14:textId="77777777" w:rsidTr="00E543D0">
        <w:tc>
          <w:tcPr>
            <w:tcW w:w="1771" w:type="dxa"/>
          </w:tcPr>
          <w:p w14:paraId="05B836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мая 1940 г.</w:t>
            </w:r>
          </w:p>
        </w:tc>
        <w:tc>
          <w:tcPr>
            <w:tcW w:w="4433" w:type="dxa"/>
          </w:tcPr>
          <w:p w14:paraId="070CFB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Перелет Чкаловская-Москва и обратно. Демонстрация самолета КО.</w:t>
            </w:r>
          </w:p>
        </w:tc>
        <w:tc>
          <w:tcPr>
            <w:tcW w:w="904" w:type="dxa"/>
          </w:tcPr>
          <w:p w14:paraId="1805DB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04" w:type="dxa"/>
          </w:tcPr>
          <w:p w14:paraId="33CB23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43" w:type="dxa"/>
          </w:tcPr>
          <w:p w14:paraId="132369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08A97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6FEA45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097574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Коломинов</w:t>
            </w:r>
          </w:p>
        </w:tc>
      </w:tr>
      <w:tr w:rsidR="007D5DF8" w:rsidRPr="00DB5D0D" w14:paraId="7C39C0B2" w14:textId="77777777" w:rsidTr="00E543D0">
        <w:tc>
          <w:tcPr>
            <w:tcW w:w="1771" w:type="dxa"/>
          </w:tcPr>
          <w:p w14:paraId="367A4E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9 июня 1940 г.</w:t>
            </w:r>
          </w:p>
        </w:tc>
        <w:tc>
          <w:tcPr>
            <w:tcW w:w="4433" w:type="dxa"/>
          </w:tcPr>
          <w:p w14:paraId="0D33BE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после переделок рулей высоты для определения поведения самолета в воздухе.</w:t>
            </w:r>
          </w:p>
        </w:tc>
        <w:tc>
          <w:tcPr>
            <w:tcW w:w="904" w:type="dxa"/>
          </w:tcPr>
          <w:p w14:paraId="152703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14BC8F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0-32</w:t>
            </w:r>
          </w:p>
        </w:tc>
        <w:tc>
          <w:tcPr>
            <w:tcW w:w="2443" w:type="dxa"/>
          </w:tcPr>
          <w:p w14:paraId="20C991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FD1BF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5CA335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73FC4F18" w14:textId="77777777" w:rsidTr="00E543D0">
        <w:tc>
          <w:tcPr>
            <w:tcW w:w="1771" w:type="dxa"/>
          </w:tcPr>
          <w:p w14:paraId="4EA276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июня 1940 г.</w:t>
            </w:r>
          </w:p>
        </w:tc>
        <w:tc>
          <w:tcPr>
            <w:tcW w:w="4433" w:type="dxa"/>
          </w:tcPr>
          <w:p w14:paraId="4998E2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 и стрельбу, проверка управления самолетом после переделок.</w:t>
            </w:r>
          </w:p>
        </w:tc>
        <w:tc>
          <w:tcPr>
            <w:tcW w:w="904" w:type="dxa"/>
          </w:tcPr>
          <w:p w14:paraId="09388D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04" w:type="dxa"/>
          </w:tcPr>
          <w:p w14:paraId="599828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2443" w:type="dxa"/>
          </w:tcPr>
          <w:p w14:paraId="3D5C9C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4F59A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7D3EE2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708D33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tc>
      </w:tr>
      <w:tr w:rsidR="007D5DF8" w:rsidRPr="00DB5D0D" w14:paraId="4F3ECA42" w14:textId="77777777" w:rsidTr="00E543D0">
        <w:tc>
          <w:tcPr>
            <w:tcW w:w="1771" w:type="dxa"/>
          </w:tcPr>
          <w:p w14:paraId="317337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июня 1940 г.</w:t>
            </w:r>
          </w:p>
        </w:tc>
        <w:tc>
          <w:tcPr>
            <w:tcW w:w="4433" w:type="dxa"/>
          </w:tcPr>
          <w:p w14:paraId="2C1552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 растряска и бомбометание корпусами ФАБ-250.</w:t>
            </w:r>
          </w:p>
        </w:tc>
        <w:tc>
          <w:tcPr>
            <w:tcW w:w="904" w:type="dxa"/>
          </w:tcPr>
          <w:p w14:paraId="490847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04" w:type="dxa"/>
          </w:tcPr>
          <w:p w14:paraId="5DA968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2443" w:type="dxa"/>
          </w:tcPr>
          <w:p w14:paraId="4723AD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3ED6BD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Акопян</w:t>
            </w:r>
          </w:p>
        </w:tc>
      </w:tr>
      <w:tr w:rsidR="007D5DF8" w:rsidRPr="00DB5D0D" w14:paraId="2E005299" w14:textId="77777777" w:rsidTr="00E543D0">
        <w:tc>
          <w:tcPr>
            <w:tcW w:w="1771" w:type="dxa"/>
          </w:tcPr>
          <w:p w14:paraId="36E233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w:t>
            </w:r>
          </w:p>
        </w:tc>
        <w:tc>
          <w:tcPr>
            <w:tcW w:w="4433" w:type="dxa"/>
          </w:tcPr>
          <w:p w14:paraId="1ED6C4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расход горючего.</w:t>
            </w:r>
          </w:p>
        </w:tc>
        <w:tc>
          <w:tcPr>
            <w:tcW w:w="904" w:type="dxa"/>
          </w:tcPr>
          <w:p w14:paraId="304F60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04" w:type="dxa"/>
          </w:tcPr>
          <w:p w14:paraId="703797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w:t>
            </w:r>
          </w:p>
        </w:tc>
        <w:tc>
          <w:tcPr>
            <w:tcW w:w="2443" w:type="dxa"/>
          </w:tcPr>
          <w:p w14:paraId="1FB81B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74FAD9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566CFB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Золоторев</w:t>
            </w:r>
          </w:p>
        </w:tc>
      </w:tr>
      <w:tr w:rsidR="007D5DF8" w:rsidRPr="00DB5D0D" w14:paraId="26F4A762" w14:textId="77777777" w:rsidTr="00E543D0">
        <w:tc>
          <w:tcPr>
            <w:tcW w:w="1771" w:type="dxa"/>
          </w:tcPr>
          <w:p w14:paraId="5D6D92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w:t>
            </w:r>
          </w:p>
        </w:tc>
        <w:tc>
          <w:tcPr>
            <w:tcW w:w="4433" w:type="dxa"/>
          </w:tcPr>
          <w:p w14:paraId="4F904C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 определение динамической и статической устойчивости с новыми рулями.</w:t>
            </w:r>
          </w:p>
        </w:tc>
        <w:tc>
          <w:tcPr>
            <w:tcW w:w="904" w:type="dxa"/>
          </w:tcPr>
          <w:p w14:paraId="6DD303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5338E4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0-45</w:t>
            </w:r>
          </w:p>
        </w:tc>
        <w:tc>
          <w:tcPr>
            <w:tcW w:w="2443" w:type="dxa"/>
          </w:tcPr>
          <w:p w14:paraId="48B3BD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3266A5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tc>
      </w:tr>
      <w:tr w:rsidR="007D5DF8" w:rsidRPr="00DB5D0D" w14:paraId="3A3467E4" w14:textId="77777777" w:rsidTr="00E543D0">
        <w:tc>
          <w:tcPr>
            <w:tcW w:w="1771" w:type="dxa"/>
          </w:tcPr>
          <w:p w14:paraId="12C62D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июня 1940 г.</w:t>
            </w:r>
          </w:p>
        </w:tc>
        <w:tc>
          <w:tcPr>
            <w:tcW w:w="4433" w:type="dxa"/>
          </w:tcPr>
          <w:p w14:paraId="57D110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Стрельба по наземным мишеням.</w:t>
            </w:r>
          </w:p>
        </w:tc>
        <w:tc>
          <w:tcPr>
            <w:tcW w:w="904" w:type="dxa"/>
          </w:tcPr>
          <w:p w14:paraId="0A7282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660707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2443" w:type="dxa"/>
          </w:tcPr>
          <w:p w14:paraId="36B207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6D1B5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161EA9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314EE1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tc>
      </w:tr>
      <w:tr w:rsidR="007D5DF8" w:rsidRPr="00DB5D0D" w14:paraId="189D28AC" w14:textId="77777777" w:rsidTr="00E543D0">
        <w:tc>
          <w:tcPr>
            <w:tcW w:w="1771" w:type="dxa"/>
          </w:tcPr>
          <w:p w14:paraId="078258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w:t>
            </w:r>
          </w:p>
        </w:tc>
        <w:tc>
          <w:tcPr>
            <w:tcW w:w="4433" w:type="dxa"/>
          </w:tcPr>
          <w:p w14:paraId="2E8D6C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бомбометание ФАБ-250 (корпусами).</w:t>
            </w:r>
          </w:p>
        </w:tc>
        <w:tc>
          <w:tcPr>
            <w:tcW w:w="904" w:type="dxa"/>
          </w:tcPr>
          <w:p w14:paraId="028D12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791783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2443" w:type="dxa"/>
          </w:tcPr>
          <w:p w14:paraId="161C28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15082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3E586E04" w14:textId="77777777" w:rsidTr="00E543D0">
        <w:tc>
          <w:tcPr>
            <w:tcW w:w="1771" w:type="dxa"/>
          </w:tcPr>
          <w:p w14:paraId="602E0B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июня 1940 г.</w:t>
            </w:r>
          </w:p>
        </w:tc>
        <w:tc>
          <w:tcPr>
            <w:tcW w:w="4433" w:type="dxa"/>
          </w:tcPr>
          <w:p w14:paraId="617DFB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w:t>
            </w:r>
          </w:p>
        </w:tc>
        <w:tc>
          <w:tcPr>
            <w:tcW w:w="904" w:type="dxa"/>
          </w:tcPr>
          <w:p w14:paraId="3925A7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74858F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2443" w:type="dxa"/>
          </w:tcPr>
          <w:p w14:paraId="42D991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2FB9E1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091A0C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476E20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p w14:paraId="66E6C6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Дугин</w:t>
            </w:r>
          </w:p>
        </w:tc>
      </w:tr>
      <w:tr w:rsidR="007D5DF8" w:rsidRPr="00DB5D0D" w14:paraId="5B5AF346" w14:textId="77777777" w:rsidTr="00E543D0">
        <w:tc>
          <w:tcPr>
            <w:tcW w:w="1771" w:type="dxa"/>
          </w:tcPr>
          <w:p w14:paraId="61815E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w:t>
            </w:r>
          </w:p>
        </w:tc>
        <w:tc>
          <w:tcPr>
            <w:tcW w:w="4433" w:type="dxa"/>
          </w:tcPr>
          <w:p w14:paraId="3B1066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воздушный бой.</w:t>
            </w:r>
          </w:p>
        </w:tc>
        <w:tc>
          <w:tcPr>
            <w:tcW w:w="904" w:type="dxa"/>
          </w:tcPr>
          <w:p w14:paraId="7F3F9D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468E74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2443" w:type="dxa"/>
          </w:tcPr>
          <w:p w14:paraId="621E75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58E7D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Шауров</w:t>
            </w:r>
          </w:p>
          <w:p w14:paraId="067FD4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70F753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Акопян</w:t>
            </w:r>
          </w:p>
        </w:tc>
      </w:tr>
      <w:tr w:rsidR="007D5DF8" w:rsidRPr="00DB5D0D" w14:paraId="4650E777" w14:textId="77777777" w:rsidTr="00E543D0">
        <w:tc>
          <w:tcPr>
            <w:tcW w:w="1771" w:type="dxa"/>
          </w:tcPr>
          <w:p w14:paraId="4B33B8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w:t>
            </w:r>
          </w:p>
        </w:tc>
        <w:tc>
          <w:tcPr>
            <w:tcW w:w="4433" w:type="dxa"/>
          </w:tcPr>
          <w:p w14:paraId="1A33E1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воздушный бой.</w:t>
            </w:r>
          </w:p>
        </w:tc>
        <w:tc>
          <w:tcPr>
            <w:tcW w:w="904" w:type="dxa"/>
          </w:tcPr>
          <w:p w14:paraId="5367B4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4C7141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0-50</w:t>
            </w:r>
          </w:p>
        </w:tc>
        <w:tc>
          <w:tcPr>
            <w:tcW w:w="2443" w:type="dxa"/>
          </w:tcPr>
          <w:p w14:paraId="2FEB0C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7491A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7A83C2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Шауров</w:t>
            </w:r>
          </w:p>
          <w:p w14:paraId="2BD285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20FACA92" w14:textId="77777777" w:rsidTr="00E543D0">
        <w:tc>
          <w:tcPr>
            <w:tcW w:w="1771" w:type="dxa"/>
          </w:tcPr>
          <w:p w14:paraId="28CC89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июня 1940 г.</w:t>
            </w:r>
          </w:p>
        </w:tc>
        <w:tc>
          <w:tcPr>
            <w:tcW w:w="4433" w:type="dxa"/>
          </w:tcPr>
          <w:p w14:paraId="49CFB2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w:t>
            </w:r>
          </w:p>
        </w:tc>
        <w:tc>
          <w:tcPr>
            <w:tcW w:w="904" w:type="dxa"/>
          </w:tcPr>
          <w:p w14:paraId="3FF70C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03B051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2443" w:type="dxa"/>
          </w:tcPr>
          <w:p w14:paraId="1E44C6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F7918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p w14:paraId="73BFD2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Вагин</w:t>
            </w:r>
          </w:p>
        </w:tc>
      </w:tr>
      <w:tr w:rsidR="007D5DF8" w:rsidRPr="00DB5D0D" w14:paraId="67978F08" w14:textId="77777777" w:rsidTr="00E543D0">
        <w:tc>
          <w:tcPr>
            <w:tcW w:w="1771" w:type="dxa"/>
          </w:tcPr>
          <w:p w14:paraId="503A0F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июня 1940 г.</w:t>
            </w:r>
          </w:p>
        </w:tc>
        <w:tc>
          <w:tcPr>
            <w:tcW w:w="4433" w:type="dxa"/>
          </w:tcPr>
          <w:p w14:paraId="5E78CC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взлетно-посадочных свойств самолета.</w:t>
            </w:r>
          </w:p>
        </w:tc>
        <w:tc>
          <w:tcPr>
            <w:tcW w:w="904" w:type="dxa"/>
          </w:tcPr>
          <w:p w14:paraId="5B3D89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04" w:type="dxa"/>
          </w:tcPr>
          <w:p w14:paraId="62DB70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w:t>
            </w:r>
          </w:p>
        </w:tc>
        <w:tc>
          <w:tcPr>
            <w:tcW w:w="2443" w:type="dxa"/>
          </w:tcPr>
          <w:p w14:paraId="177058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4BFDED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06A184DD" w14:textId="77777777" w:rsidTr="00E543D0">
        <w:tc>
          <w:tcPr>
            <w:tcW w:w="1771" w:type="dxa"/>
          </w:tcPr>
          <w:p w14:paraId="3C5718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июня 1940 г.</w:t>
            </w:r>
          </w:p>
        </w:tc>
        <w:tc>
          <w:tcPr>
            <w:tcW w:w="4433" w:type="dxa"/>
          </w:tcPr>
          <w:p w14:paraId="744FC9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устойчивость и центровку и бомбометание.</w:t>
            </w:r>
          </w:p>
        </w:tc>
        <w:tc>
          <w:tcPr>
            <w:tcW w:w="904" w:type="dxa"/>
          </w:tcPr>
          <w:p w14:paraId="33F272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772D85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2443" w:type="dxa"/>
          </w:tcPr>
          <w:p w14:paraId="285B7A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881CC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Цветков</w:t>
            </w:r>
          </w:p>
        </w:tc>
      </w:tr>
      <w:tr w:rsidR="007D5DF8" w:rsidRPr="00DB5D0D" w14:paraId="4835A368" w14:textId="77777777" w:rsidTr="00E543D0">
        <w:tc>
          <w:tcPr>
            <w:tcW w:w="1771" w:type="dxa"/>
          </w:tcPr>
          <w:p w14:paraId="7D72D7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w:t>
            </w:r>
          </w:p>
        </w:tc>
        <w:tc>
          <w:tcPr>
            <w:tcW w:w="4433" w:type="dxa"/>
          </w:tcPr>
          <w:p w14:paraId="39BA3D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боковую устойчивость.</w:t>
            </w:r>
          </w:p>
        </w:tc>
        <w:tc>
          <w:tcPr>
            <w:tcW w:w="904" w:type="dxa"/>
          </w:tcPr>
          <w:p w14:paraId="38CC94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04" w:type="dxa"/>
          </w:tcPr>
          <w:p w14:paraId="1B65BF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c>
          <w:tcPr>
            <w:tcW w:w="2443" w:type="dxa"/>
          </w:tcPr>
          <w:p w14:paraId="297E14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4DB66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Торгман</w:t>
            </w:r>
          </w:p>
          <w:p w14:paraId="4FFD6C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Янчук</w:t>
            </w:r>
          </w:p>
        </w:tc>
      </w:tr>
      <w:tr w:rsidR="007D5DF8" w:rsidRPr="00DB5D0D" w14:paraId="6172727A" w14:textId="77777777" w:rsidTr="00E543D0">
        <w:tc>
          <w:tcPr>
            <w:tcW w:w="1771" w:type="dxa"/>
          </w:tcPr>
          <w:p w14:paraId="4CCAB8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июня 1940 г.</w:t>
            </w:r>
          </w:p>
        </w:tc>
        <w:tc>
          <w:tcPr>
            <w:tcW w:w="4433" w:type="dxa"/>
          </w:tcPr>
          <w:p w14:paraId="181E94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Вывозка-облет летного состава.</w:t>
            </w:r>
          </w:p>
        </w:tc>
        <w:tc>
          <w:tcPr>
            <w:tcW w:w="904" w:type="dxa"/>
          </w:tcPr>
          <w:p w14:paraId="6825DC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04" w:type="dxa"/>
          </w:tcPr>
          <w:p w14:paraId="0F7F85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0-40</w:t>
            </w:r>
          </w:p>
          <w:p w14:paraId="2A3BE6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0-42</w:t>
            </w:r>
          </w:p>
          <w:p w14:paraId="571239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0-05</w:t>
            </w:r>
          </w:p>
          <w:p w14:paraId="713723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0-22</w:t>
            </w:r>
          </w:p>
        </w:tc>
        <w:tc>
          <w:tcPr>
            <w:tcW w:w="2443" w:type="dxa"/>
          </w:tcPr>
          <w:p w14:paraId="6B4C60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Кабанов</w:t>
            </w:r>
          </w:p>
          <w:p w14:paraId="6C2BF1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6CE223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Холопцев</w:t>
            </w:r>
          </w:p>
          <w:p w14:paraId="3A6C66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Стефановский</w:t>
            </w:r>
          </w:p>
          <w:p w14:paraId="6B9C0E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Мируц</w:t>
            </w:r>
          </w:p>
          <w:p w14:paraId="5CDF6F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Марин-Федоров</w:t>
            </w:r>
          </w:p>
          <w:p w14:paraId="02CF30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Щербаков</w:t>
            </w:r>
          </w:p>
        </w:tc>
      </w:tr>
      <w:tr w:rsidR="007D5DF8" w:rsidRPr="00DB5D0D" w14:paraId="23666132" w14:textId="77777777" w:rsidTr="00E543D0">
        <w:tc>
          <w:tcPr>
            <w:tcW w:w="1771" w:type="dxa"/>
          </w:tcPr>
          <w:p w14:paraId="7E9EAE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июня 1940 г.</w:t>
            </w:r>
          </w:p>
        </w:tc>
        <w:tc>
          <w:tcPr>
            <w:tcW w:w="4433" w:type="dxa"/>
          </w:tcPr>
          <w:p w14:paraId="28A3ED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Полет-облет самолета.</w:t>
            </w:r>
          </w:p>
        </w:tc>
        <w:tc>
          <w:tcPr>
            <w:tcW w:w="904" w:type="dxa"/>
          </w:tcPr>
          <w:p w14:paraId="33E76F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904" w:type="dxa"/>
          </w:tcPr>
          <w:p w14:paraId="50BD9A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w:t>
            </w:r>
          </w:p>
        </w:tc>
        <w:tc>
          <w:tcPr>
            <w:tcW w:w="2443" w:type="dxa"/>
          </w:tcPr>
          <w:p w14:paraId="14D87F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Дудкин</w:t>
            </w:r>
          </w:p>
          <w:p w14:paraId="50AB28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Нюхтиков</w:t>
            </w:r>
          </w:p>
          <w:p w14:paraId="5132E3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Филин</w:t>
            </w:r>
          </w:p>
          <w:p w14:paraId="284518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Самарин</w:t>
            </w:r>
          </w:p>
          <w:p w14:paraId="7DCC58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Мируц</w:t>
            </w:r>
          </w:p>
        </w:tc>
      </w:tr>
    </w:tbl>
    <w:p w14:paraId="29AB6F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(4556).</w:t>
      </w:r>
    </w:p>
    <w:p w14:paraId="30D75A3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0ACCE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был утвержден отчет по гос. испытаниям дальнего бомбардировщика – летающее крыло (ДБЛК-2М-87Б) конструкции инженера Беляева.</w:t>
      </w:r>
    </w:p>
    <w:p w14:paraId="108506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Заключением по отчету конструктор обязывался провести на самолете ряд доводочных работ в целях улучшения:</w:t>
      </w:r>
    </w:p>
    <w:p w14:paraId="5A5459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взлетно-посадочных свойств;</w:t>
      </w:r>
    </w:p>
    <w:p w14:paraId="70FBEA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управляемости и устойчивости;</w:t>
      </w:r>
    </w:p>
    <w:p w14:paraId="0B5017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работы фюзеляжных стрелковых установок;</w:t>
      </w:r>
    </w:p>
    <w:p w14:paraId="1AA244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обзора экипажа (4165,139-140).</w:t>
      </w:r>
    </w:p>
    <w:p w14:paraId="5E23C7D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B588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был утвержден отчет по госиспытаниям дальнего бомбардировщика – летающее крыло (ДБЛК-2М-87Б), конструкции инженера Беляева и решение технического совета при НИИ ВВС по этому вопросу.</w:t>
      </w:r>
    </w:p>
    <w:p w14:paraId="584070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Указанными документами, конструктор обязывался провести на самолете ряд доводочных работ в целях улучшения:</w:t>
      </w:r>
    </w:p>
    <w:p w14:paraId="3B231E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взлетно-посадочных свойств;</w:t>
      </w:r>
    </w:p>
    <w:p w14:paraId="4D679D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управляемости и устойчивости;</w:t>
      </w:r>
    </w:p>
    <w:p w14:paraId="1B09AB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работы фюзеляжных стрелковых установок;</w:t>
      </w:r>
    </w:p>
    <w:p w14:paraId="5D1086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обзора экипажа.</w:t>
      </w:r>
    </w:p>
    <w:p w14:paraId="5E0005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Схема ДБЛК имеет ряд преимуществ по сравнению с обычной схемой самолета:</w:t>
      </w:r>
    </w:p>
    <w:p w14:paraId="41ECD1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возможность получения большей максимальной скорости на 35-40 км/час;</w:t>
      </w:r>
    </w:p>
    <w:p w14:paraId="3527AD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возможность более эффективной обороны задней полусферы самолета (7711, 382-383).</w:t>
      </w:r>
    </w:p>
    <w:p w14:paraId="4E4A329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F831A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ОКБ Незваля приступило к проектированию опытной машины (№ 4225) с дизелями М-40, в августе моторы были получены, а через три с половиной месяца, 13 октября начались ее заводские испытания, продолжавшиеся до самого Нового года. Испытывал машину летчик-испытатель московского завода № 22 Байдуков Георгий Филиппович. Но что значит поменять двигатели на огромном самолете, знают только авиастроители. Так как моторы отличались габаритами и посадочными местами, потребовалось провести большие конструктивные изменения: новые моторамы и мотостанины, фермы шасси, капоты моторов, выхлопные коллекторы, новые схемы питания и управления (12049).</w:t>
      </w:r>
    </w:p>
    <w:p w14:paraId="33A3408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8F05C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июле 1940-го вышло постановление Комитета обороны, которым СБ переводили в пикирующий бомбардировщик. Это, прежде всего, касалось СБ-РК, который в этом же месяце поступил на повторные государственные испытания (6409).</w:t>
      </w:r>
    </w:p>
    <w:p w14:paraId="58076D9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003BC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СБ-РК поступил на повторные госиспытания. В частности, исследовалось поведение машины при пикировании без воздушных тормозов. Летчики отмечали недостаточную путевую и поперечную устойчивость. В сентябре тормозные щитки, предварительно отработанные на серийном СБ с крылом меньшей площади, установили на СБ-РК. Надо отметить, что в 1940-м альтернативы СБ-РК еще не было (СПБ Н.Н.Поликарпову так и не дали довести) и его запустили в серийное производство на заводе №22 в подмосковных Филях. Это была уже другая машина, отличавшаяся от прототипа кабиной штурмана. В этом и в следующем годах построили 140 бомбардировщиков. В декабре 1940-го приказом НКАП СБ-РК переименовали в Ар-2 и под этим обозначением он выпускался серийно в 1941-м. После постройки 127 бомбардировщиков, Ар-2 на заводском конвейере полностью сменил Пе-2 (6409).</w:t>
      </w:r>
    </w:p>
    <w:p w14:paraId="1A5CBC2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2AA21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шесгь самолетов СБ с М-105 отправили в 95-й сбап в Калинине на войсковые испытания. При перегонке бомбардировщиков в полк самолет № 5/242 вынужденно сел на аэродроме Осоавиахима в Крюково. В полете у одного из моторов заклинило коленчатый вал. При посадке машина сломала левую стойку шасси. Это вызвало требование заменить двигатели на всех СБ, отправленных на испытания (9927).</w:t>
      </w:r>
    </w:p>
    <w:p w14:paraId="03C561A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64010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по начало ноября 1940 г. велись войсковые испытания шестерки СБ, снабженных двигателями М-105. Они проходили и 95-м сбап (командир полковник Пестов) 46-й авиадивизии Московского военного округа под городом Калинин. Испытания эти показали не только улучшение всех летных характеристик самолета, но и неудовлетворительное качество установленных М-105. Одна машина совершила вынужденную посадку по причине выхода из строя силовой установки в районе станции Крюково, пять СБ после замены двигателей продолжили испытания (№2/242, 5/242, 6/242, 7/242, 9/242). В зимний период 1940- 41 гг. войсковые испытания на 10 СБ 2 М- I05 продолжили в южных районах Советского Союза (12027).</w:t>
      </w:r>
    </w:p>
    <w:p w14:paraId="22D5EBA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3BD34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1940 г. авиазавод №22 выпускал СБ, окрашенные в защитные цвета (сверху в зеленый, снизу в голубой). Иркутский авиазавод №125 начал производить окраску СБ в защитный цвет с 9 августа 1940 г. с самолета №47/11. Таким образом в Иркутске окрасили 195 СБ в 1940 г, и 168 - в 1941 г., то есть всего 363 самолета (12027).</w:t>
      </w:r>
    </w:p>
    <w:p w14:paraId="0C8CBD1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E3E5D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завод № 125 стал 35 СБ-2М103А и полностью выполнил план по товарной продукции, а по групп комплектам перевыполнил его на 133%</w:t>
      </w:r>
    </w:p>
    <w:p w14:paraId="09A2D6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Отправить в июле могли бы не меньше 50 машин, последняя отправка была 11 июля, но экипажи не прибыли, несмотря на многочисленные вызовы. Примечательно, что в 1 армейскую группу вызовы перегонщиков направлялись четыре раза - 29.6, 11.7, 21.7 и 30.7 и во 2 ОКА - столько же раз (12037).</w:t>
      </w:r>
    </w:p>
    <w:p w14:paraId="46FB6FF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043B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1940 Л.П.Курбала в КБ-70 на 81 заводе стал заниматься ПБ на базе ББ-22 и она получила название изделие-31 или БПБ-22 (1081,9).</w:t>
      </w:r>
    </w:p>
    <w:p w14:paraId="387E352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CC9BD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заработало ОКБ В.М.Петлякова (4,164).</w:t>
      </w:r>
    </w:p>
    <w:p w14:paraId="426F622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6143F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в дополнение к 103, запущенному в мае, на 156 заводе был запущен и 103У (1835,13).</w:t>
      </w:r>
    </w:p>
    <w:p w14:paraId="11E1E94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2BE4D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заказчик утвердил макет первого экземпляра бомбардировщика 103 с четырехпулеметной носовой установкой, вместо заданной двухточечной. В передней кабине находился пилот, а в задней - штурман и стрелок-радист. Подобная компоновка позволила обжать фюзеляж, снизив до минимума его лобовое сопротивление (12035).</w:t>
      </w:r>
    </w:p>
    <w:p w14:paraId="79BA01E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FE934B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было подготовлено:</w:t>
      </w:r>
    </w:p>
    <w:p w14:paraId="609768B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(проект).</w:t>
      </w:r>
    </w:p>
    <w:p w14:paraId="2B98ABB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одноместного истребителя конструкции Болховитинова с двумя спаренными моторами и сосоными толкающими винтами</w:t>
      </w:r>
    </w:p>
    <w:p w14:paraId="1B005BA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77C8FD24" w14:textId="77777777" w:rsidR="003C7E8B" w:rsidRPr="00DB5D0D" w:rsidRDefault="003C7E8B"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 директора и главного конструктора опытного завода № 293 Болховитинова спроектировать и построить одноместный истребитель с двумя спаренными моторами и соосными толкающими винтами со следующими летно-тактическими данными:</w:t>
      </w:r>
    </w:p>
    <w:p w14:paraId="74A4485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М-103</w:t>
      </w:r>
    </w:p>
    <w:p w14:paraId="5D78DC0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5500 м – 720 км/час</w:t>
      </w:r>
    </w:p>
    <w:p w14:paraId="009E7E1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5B5922D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059B233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2BA303B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27D284A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две пушки 23 мм и 2 пулемета 12,7 мм или одна пушка 37 мм и 2 пушки 23 мм</w:t>
      </w:r>
    </w:p>
    <w:p w14:paraId="5238009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w:t>
      </w:r>
    </w:p>
    <w:p w14:paraId="497A84D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7500 м – 780 км/час</w:t>
      </w:r>
    </w:p>
    <w:p w14:paraId="7C4798A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61B8295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7117C7C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3858D65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две пушки 23 мм и 2 пулемета 12,7 мм или одна пушка 37 мм и 2 пушки 23 мм</w:t>
      </w:r>
    </w:p>
    <w:p w14:paraId="4323C3E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Главному конструктору самолета Болховитинову предусмотреть на обоих экземплярах возможность постановки вместо 12,7 мм пулеметов, 23 мм пушек.</w:t>
      </w:r>
    </w:p>
    <w:p w14:paraId="4E1FA898" w14:textId="77777777" w:rsidR="003C7E8B" w:rsidRPr="00DB5D0D" w:rsidRDefault="003C7E8B"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закончить заводские испытания и доводку истребителя конструкции Болховитинова и предъявить его на гос. испытания в следующие сроки:</w:t>
      </w:r>
    </w:p>
    <w:p w14:paraId="2F93BF1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М-103 к 1 ноября 1941 года</w:t>
      </w:r>
    </w:p>
    <w:p w14:paraId="5216901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 к 1 декабря 1941 года</w:t>
      </w:r>
    </w:p>
    <w:p w14:paraId="46A2F882" w14:textId="77777777" w:rsidR="003C7E8B" w:rsidRPr="00DB5D0D" w:rsidRDefault="003C7E8B"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стоимость работ по обоим экземплярам самолета конструкции Болховитинова в 10 млн. 500 тысяч рублей.</w:t>
      </w:r>
    </w:p>
    <w:p w14:paraId="75245C81" w14:textId="77777777" w:rsidR="003C7E8B" w:rsidRPr="00DB5D0D" w:rsidRDefault="003C7E8B" w:rsidP="00DB5D0D">
      <w:pPr>
        <w:tabs>
          <w:tab w:val="left" w:pos="360"/>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Отпустить Наркомавиапрому из резервного фонда СНК:</w:t>
      </w:r>
    </w:p>
    <w:p w14:paraId="0EFDB36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финансирование этих работ в 1940 году – 2 млн. 500 тысяч рублей;</w:t>
      </w:r>
    </w:p>
    <w:p w14:paraId="35D9527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 распоряжение НКАП на премирование конструкторов, ИТР, рабочих и служащих завода № 293 за выполнение в установленный срок одноместного истребителя с двумя спаренными моторами и соосными винтами, в соответствии с Положением о премировании, 2,5 млн. рублей, в том числе:</w:t>
      </w:r>
    </w:p>
    <w:p w14:paraId="6D3D47F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1-й экземпляр – 1 млн. 650 тыс. рублей</w:t>
      </w:r>
    </w:p>
    <w:p w14:paraId="62FFADE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2-й экземпляр – 850 тысяч рублей.</w:t>
      </w:r>
    </w:p>
    <w:p w14:paraId="05BFF7B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Наркомавиапрому представить в КО к 1 февраля 1941 года отчет об израсходованных в течение 1940 года средствах.</w:t>
      </w:r>
    </w:p>
    <w:p w14:paraId="308E540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(Вычеркнуто: 5. Обязать Наркомавиапром Шахурина А.И. форсировать строительство опытного завода № 293 НКАП, с окончанием 1-й очереди к 1 января 1941 года и перевести на завод № 293 необходимое количество рабочих, служащих и инженерно-технических работников с других предприятий Наркомавиапрома.) (3420, 98-99).</w:t>
      </w:r>
    </w:p>
    <w:p w14:paraId="5F39C39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4611632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было подготовлено:</w:t>
      </w:r>
    </w:p>
    <w:p w14:paraId="2415AD3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(проект).</w:t>
      </w:r>
    </w:p>
    <w:p w14:paraId="6EA27C2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одноместного истребителя конструкции Бериева с двумя спаренными моторами и сосоными толкающими винтами</w:t>
      </w:r>
    </w:p>
    <w:p w14:paraId="6A81E35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13FAA412" w14:textId="77777777" w:rsidR="003C7E8B" w:rsidRPr="00DB5D0D" w:rsidRDefault="003C7E8B" w:rsidP="00DB5D0D">
      <w:pPr>
        <w:pStyle w:val="a3"/>
        <w:widowControl/>
        <w:tabs>
          <w:tab w:val="left" w:pos="360"/>
          <w:tab w:val="left" w:pos="2410"/>
        </w:tabs>
        <w:rPr>
          <w:color w:val="000000" w:themeColor="text1"/>
          <w:lang w:val="ru-RU"/>
        </w:rPr>
      </w:pPr>
      <w:r w:rsidRPr="00DB5D0D">
        <w:rPr>
          <w:color w:val="000000" w:themeColor="text1"/>
          <w:lang w:val="ru-RU"/>
        </w:rPr>
        <w:t>Обязать НКАП – директора завода № 31 Трухана и главного конструктора Бериева спроектировать и построить одноместный истребитель с двумя спаренными моторами и соосными толкающими винтами со следующими летно-тактическими данными:</w:t>
      </w:r>
    </w:p>
    <w:p w14:paraId="117513D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М-105</w:t>
      </w:r>
    </w:p>
    <w:p w14:paraId="5387F08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5500 м – 740 км/час</w:t>
      </w:r>
    </w:p>
    <w:p w14:paraId="2122824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43ED53A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02AE464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72CA856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5E6DA7E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вооружение: две пушки 23 мм и 2 пулемета 12,7 мм или одна пушка 37 мм и 2 пушки 23 мм</w:t>
      </w:r>
    </w:p>
    <w:p w14:paraId="2FD00D4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w:t>
      </w:r>
    </w:p>
    <w:p w14:paraId="5B9A695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7500 м – 780 км/час</w:t>
      </w:r>
    </w:p>
    <w:p w14:paraId="4DC8BEF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150 км/час</w:t>
      </w:r>
    </w:p>
    <w:p w14:paraId="2953140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нормальная на 0,9 максимальной скорости – 900 км</w:t>
      </w:r>
    </w:p>
    <w:p w14:paraId="7334F60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максимальной скорости с подвесными бензобаками – 1500 км</w:t>
      </w:r>
    </w:p>
    <w:p w14:paraId="51CFA3C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25CA70A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две пушки 23 мм и 2 пулемета 12,7 мм или одна пушка 37 мм и 2 пушки 23 мм</w:t>
      </w:r>
    </w:p>
    <w:p w14:paraId="625026A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Главному конструктору самолета Бериеву предусмотреть возможность установки на обоих экземплярах вместо 12,7 мм пулеметов, 23 мм пушек.</w:t>
      </w:r>
    </w:p>
    <w:p w14:paraId="37E6F3A3" w14:textId="77777777" w:rsidR="003C7E8B" w:rsidRPr="00DB5D0D" w:rsidRDefault="003C7E8B" w:rsidP="00DB5D0D">
      <w:pPr>
        <w:pStyle w:val="a3"/>
        <w:widowControl/>
        <w:tabs>
          <w:tab w:val="left" w:pos="360"/>
          <w:tab w:val="left" w:pos="2410"/>
        </w:tabs>
        <w:rPr>
          <w:color w:val="000000" w:themeColor="text1"/>
          <w:lang w:val="ru-RU"/>
        </w:rPr>
      </w:pPr>
      <w:r w:rsidRPr="00DB5D0D">
        <w:rPr>
          <w:color w:val="000000" w:themeColor="text1"/>
          <w:lang w:val="ru-RU"/>
        </w:rPr>
        <w:t>Обязать НКАП – директора завода № 31 Трухана и главного конструктора Бериева - закончить заводские испытания и доводку истребителя конструкции Бериева и предъявить его на гос. испытания в следующие сроки:</w:t>
      </w:r>
    </w:p>
    <w:p w14:paraId="321D857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экземпляр с двумя моторами М-105 к 1 сентября 1941 года</w:t>
      </w:r>
    </w:p>
    <w:p w14:paraId="3194EFA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экземпляр с двумя моторами М-107 к 1 октября 1941 года</w:t>
      </w:r>
    </w:p>
    <w:p w14:paraId="39B9DA71" w14:textId="77777777" w:rsidR="003C7E8B" w:rsidRPr="00DB5D0D" w:rsidRDefault="003C7E8B" w:rsidP="00DB5D0D">
      <w:pPr>
        <w:pStyle w:val="a3"/>
        <w:widowControl/>
        <w:tabs>
          <w:tab w:val="left" w:pos="360"/>
          <w:tab w:val="left" w:pos="2410"/>
        </w:tabs>
        <w:rPr>
          <w:color w:val="000000" w:themeColor="text1"/>
          <w:lang w:val="ru-RU"/>
        </w:rPr>
      </w:pPr>
      <w:r w:rsidRPr="00DB5D0D">
        <w:rPr>
          <w:color w:val="000000" w:themeColor="text1"/>
          <w:lang w:val="ru-RU"/>
        </w:rPr>
        <w:t>Определить стоимость работ по обоим экземплярам самолета конструкции Бериева в 10 млн. 500 тысяч рублей. Выделить Наркомавиапрому из резервного фонда СНК на финансирование этих работ в 1940 году – 2,5 млн. рублей.</w:t>
      </w:r>
    </w:p>
    <w:p w14:paraId="29FDEA8F" w14:textId="77777777" w:rsidR="003C7E8B" w:rsidRPr="00DB5D0D" w:rsidRDefault="003C7E8B" w:rsidP="00DB5D0D">
      <w:pPr>
        <w:pStyle w:val="a3"/>
        <w:widowControl/>
        <w:tabs>
          <w:tab w:val="left" w:pos="2410"/>
        </w:tabs>
        <w:rPr>
          <w:color w:val="000000" w:themeColor="text1"/>
          <w:lang w:val="ru-RU"/>
        </w:rPr>
      </w:pPr>
      <w:r w:rsidRPr="00DB5D0D">
        <w:rPr>
          <w:color w:val="000000" w:themeColor="text1"/>
          <w:lang w:val="ru-RU"/>
        </w:rPr>
        <w:t>4. Отпустить в распоряжение Наркомавиапрома на премирование конструкторов, ИТР, рабочих и служащих завода № 31 за выполнение в установленный срок одноместного истребителя с двумя спаренными моторами и соосными винтами, в соответствии с Положением о премировании, 2,5 млн. рублей, в том числе:</w:t>
      </w:r>
    </w:p>
    <w:p w14:paraId="0D1C2AB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1-й экземпляр – 1 млн. 650 тыс. рублей</w:t>
      </w:r>
    </w:p>
    <w:p w14:paraId="0C9EB1B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2-й экземпляр – 850 тысяч рублей.</w:t>
      </w:r>
    </w:p>
    <w:p w14:paraId="3F14F5D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Наркомавиапрому представить в КО к 1 февраля 1941 года отчет об израсходованных в течение 1940 года средствах (3420, 100-101).</w:t>
      </w:r>
    </w:p>
    <w:p w14:paraId="2228786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059FB07C" w14:textId="77777777" w:rsidR="003C7E8B" w:rsidRPr="00DB5D0D" w:rsidRDefault="003C7E8B" w:rsidP="00DB5D0D">
      <w:pPr>
        <w:pStyle w:val="a3"/>
        <w:tabs>
          <w:tab w:val="left" w:pos="11199"/>
        </w:tabs>
        <w:rPr>
          <w:color w:val="000000" w:themeColor="text1"/>
          <w:lang w:val="ru-RU"/>
        </w:rPr>
      </w:pPr>
      <w:r w:rsidRPr="00DB5D0D">
        <w:rPr>
          <w:color w:val="000000" w:themeColor="text1"/>
          <w:lang w:val="ru-RU"/>
        </w:rPr>
        <w:t>В июле 1940 Н.Н. Поликарпов представил в НКАП проект пер</w:t>
      </w:r>
      <w:r w:rsidRPr="00DB5D0D">
        <w:rPr>
          <w:color w:val="000000" w:themeColor="text1"/>
          <w:lang w:val="ru-RU"/>
        </w:rPr>
        <w:softHyphen/>
        <w:t>спективного истребителя И-195 с безрасчалочной бипланной коробкой с “J”-образными стойками с мотором М-90. Самолет был вооружен двумя пушка</w:t>
      </w:r>
      <w:r w:rsidRPr="00DB5D0D">
        <w:rPr>
          <w:color w:val="000000" w:themeColor="text1"/>
          <w:lang w:val="ru-RU"/>
        </w:rPr>
        <w:softHyphen/>
        <w:t>ми калибра 20 мм и двумя пулеметами ШКАС. Предусматривалось использо</w:t>
      </w:r>
      <w:r w:rsidRPr="00DB5D0D">
        <w:rPr>
          <w:color w:val="000000" w:themeColor="text1"/>
          <w:lang w:val="ru-RU"/>
        </w:rPr>
        <w:softHyphen/>
        <w:t>вание 8 PC-82. Возможна была под</w:t>
      </w:r>
      <w:r w:rsidRPr="00DB5D0D">
        <w:rPr>
          <w:color w:val="000000" w:themeColor="text1"/>
          <w:lang w:val="ru-RU"/>
        </w:rPr>
        <w:softHyphen/>
        <w:t>веска бомб общим весом до 500 кг, в том числе две бомбы по 250 кг. Макси</w:t>
      </w:r>
      <w:r w:rsidRPr="00DB5D0D">
        <w:rPr>
          <w:color w:val="000000" w:themeColor="text1"/>
          <w:lang w:val="ru-RU"/>
        </w:rPr>
        <w:softHyphen/>
        <w:t>мальная скорость полета на расчетной высоте 7000 м по проекту была 591 км/ ч, у земли - 510 км/ч (6269).</w:t>
      </w:r>
    </w:p>
    <w:p w14:paraId="5A4226D7" w14:textId="77777777" w:rsidR="003C7E8B" w:rsidRPr="00DB5D0D" w:rsidRDefault="003C7E8B" w:rsidP="00DB5D0D">
      <w:pPr>
        <w:pStyle w:val="a3"/>
        <w:tabs>
          <w:tab w:val="left" w:pos="11199"/>
        </w:tabs>
        <w:rPr>
          <w:color w:val="000000" w:themeColor="text1"/>
          <w:lang w:val="ru-RU"/>
        </w:rPr>
      </w:pPr>
    </w:p>
    <w:p w14:paraId="36D8DC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Н. Н. Поликарпов представил в НКАП проект весьма перспективного истребителя И-195 с безрасчалочной бипланной коробкой с J-образными стойками с мотором М-90.</w:t>
      </w:r>
    </w:p>
    <w:p w14:paraId="389E3D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Верхнее крыло двухлонжеронное деревянной конструкции с фанерной обшивкой.</w:t>
      </w:r>
    </w:p>
    <w:p w14:paraId="29B916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Центроплан типа «чайка». Нижнее крыло однолонжеронное, смешанной конструкции (центроплан металлический, консоли смешанной с фанерной обшивкой).</w:t>
      </w:r>
    </w:p>
    <w:p w14:paraId="3C9BD3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сварной из хромансиле-вых труб. Шасси убирающиеся. Оперение дюралевое, обшито полотном.</w:t>
      </w:r>
    </w:p>
    <w:p w14:paraId="40FB03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был вооружен двумя пушками калибра 20 мм и двумя пулеметами ШКАС. Предусматривалось использование 8 PC-82. Возможна была и подвеска бомб общим весом до 500 кг и в том числе две бомбы по 250 кг. Максимальная скорость полета на расчетной высоте 7000 м по проекту была 591 км/ч, у земли - 510 км/ч (9649).</w:t>
      </w:r>
    </w:p>
    <w:p w14:paraId="78B448E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5CC0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Н.Н. Поликарпов представил в НКАП проект весьма перспективного истребителя с безрасчалочной бипланной коробкой с Т-образными стойками с мотором М-90. Верхнее крыло двухлонжеронное деревянной конструкции с фанерной обшивкой. Центроплан типа «чайка». Нижнее крыло однолон-жеронное, смешанной конструкции (центроплан металлический, консоли смешанной конструкции с фанерной обшивкой). Фюзе</w:t>
      </w:r>
      <w:r w:rsidRPr="00DB5D0D">
        <w:rPr>
          <w:rFonts w:ascii="Times New Roman" w:hAnsi="Times New Roman"/>
          <w:color w:val="000000" w:themeColor="text1"/>
          <w:sz w:val="16"/>
          <w:szCs w:val="16"/>
        </w:rPr>
        <w:softHyphen/>
        <w:t>ляж сварной из хромансилевых труб. Шасси убирающееся. Опе</w:t>
      </w:r>
      <w:r w:rsidRPr="00DB5D0D">
        <w:rPr>
          <w:rFonts w:ascii="Times New Roman" w:hAnsi="Times New Roman"/>
          <w:color w:val="000000" w:themeColor="text1"/>
          <w:sz w:val="16"/>
          <w:szCs w:val="16"/>
        </w:rPr>
        <w:softHyphen/>
        <w:t>рение дюралевое, обшито полотном. Самолет вооружался двумя пушками калибра 20 мм и двумя пулеметами ШКАС. Предусмат</w:t>
      </w:r>
      <w:r w:rsidRPr="00DB5D0D">
        <w:rPr>
          <w:rFonts w:ascii="Times New Roman" w:hAnsi="Times New Roman"/>
          <w:color w:val="000000" w:themeColor="text1"/>
          <w:sz w:val="16"/>
          <w:szCs w:val="16"/>
        </w:rPr>
        <w:softHyphen/>
        <w:t>ривалось использование 8 РС-82. Возможна была и подвеска бомб общим весом до 500 кг и в том числе две бомбы по 250 кг.</w:t>
      </w:r>
    </w:p>
    <w:p w14:paraId="7C5388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полета на расчетной высоте 7000 м по проекту достигала 591 км/ч, у земли — 510 км/ч.</w:t>
      </w:r>
    </w:p>
    <w:p w14:paraId="2BA4FDE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Юрьева расмотрела проект 27 июля 1940 г. Вы</w:t>
      </w:r>
      <w:r w:rsidRPr="00DB5D0D">
        <w:rPr>
          <w:rFonts w:ascii="Times New Roman" w:hAnsi="Times New Roman"/>
          <w:color w:val="000000" w:themeColor="text1"/>
          <w:sz w:val="16"/>
          <w:szCs w:val="16"/>
        </w:rPr>
        <w:softHyphen/>
        <w:t>вод комиссии: «Отложить окончательное решение впредь до внесения со стороны ВВС ясности в вопрос о необходимости для КА иметь подобный самолет».</w:t>
      </w:r>
    </w:p>
    <w:p w14:paraId="73AD9E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к моменту рассмотрения проекта в комиссии Юрьева спорной могла быть постройка самолета в варианте маневрен</w:t>
      </w:r>
      <w:r w:rsidRPr="00DB5D0D">
        <w:rPr>
          <w:rFonts w:ascii="Times New Roman" w:hAnsi="Times New Roman"/>
          <w:color w:val="000000" w:themeColor="text1"/>
          <w:sz w:val="16"/>
          <w:szCs w:val="16"/>
        </w:rPr>
        <w:softHyphen/>
        <w:t>ного истребителя, то не вызывает сомнений, что на базе этого проекта мог быть создан весьма эффективный легкий скорост</w:t>
      </w:r>
      <w:r w:rsidRPr="00DB5D0D">
        <w:rPr>
          <w:rFonts w:ascii="Times New Roman" w:hAnsi="Times New Roman"/>
          <w:color w:val="000000" w:themeColor="text1"/>
          <w:sz w:val="16"/>
          <w:szCs w:val="16"/>
        </w:rPr>
        <w:softHyphen/>
        <w:t>ной штурмовик. Если при этом отказаться от нереального мо</w:t>
      </w:r>
      <w:r w:rsidRPr="00DB5D0D">
        <w:rPr>
          <w:rFonts w:ascii="Times New Roman" w:hAnsi="Times New Roman"/>
          <w:color w:val="000000" w:themeColor="text1"/>
          <w:sz w:val="16"/>
          <w:szCs w:val="16"/>
        </w:rPr>
        <w:softHyphen/>
        <w:t>тора М-90 и предусмотреть использование моторов М-82А, а в дальнейшем М-82ФН, то можно было бы получить хороший самолет для поражения точечных целей на поле боя с пикиро</w:t>
      </w:r>
      <w:r w:rsidRPr="00DB5D0D">
        <w:rPr>
          <w:rFonts w:ascii="Times New Roman" w:hAnsi="Times New Roman"/>
          <w:color w:val="000000" w:themeColor="text1"/>
          <w:sz w:val="16"/>
          <w:szCs w:val="16"/>
        </w:rPr>
        <w:softHyphen/>
        <w:t>вания бомбами, стрелково-пушечным огнем и ракетными сна</w:t>
      </w:r>
      <w:r w:rsidRPr="00DB5D0D">
        <w:rPr>
          <w:rFonts w:ascii="Times New Roman" w:hAnsi="Times New Roman"/>
          <w:color w:val="000000" w:themeColor="text1"/>
          <w:sz w:val="16"/>
          <w:szCs w:val="16"/>
        </w:rPr>
        <w:softHyphen/>
        <w:t>рядами. Благодаря высокой маневренности он мог успешно осуществлять и штурмовые действия по протяженным целям с пологого пикирования.</w:t>
      </w:r>
    </w:p>
    <w:p w14:paraId="66A659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показывают расчеты, при использовании дополнитель</w:t>
      </w:r>
      <w:r w:rsidRPr="00DB5D0D">
        <w:rPr>
          <w:rFonts w:ascii="Times New Roman" w:hAnsi="Times New Roman"/>
          <w:color w:val="000000" w:themeColor="text1"/>
          <w:sz w:val="16"/>
          <w:szCs w:val="16"/>
        </w:rPr>
        <w:softHyphen/>
        <w:t>ной брони весом 250—300 кг и наружной подвеске двух бомб ФАБ-250 или 6 РС-132, летные данные самолета оставались достаточно высокими. С мотором М-82А максимальная ско</w:t>
      </w:r>
      <w:r w:rsidRPr="00DB5D0D">
        <w:rPr>
          <w:rFonts w:ascii="Times New Roman" w:hAnsi="Times New Roman"/>
          <w:color w:val="000000" w:themeColor="text1"/>
          <w:sz w:val="16"/>
          <w:szCs w:val="16"/>
        </w:rPr>
        <w:softHyphen/>
        <w:t>рость полета на расчетной высоте могла составить 500—520 км/ч, у земли — 400—420 км/ч. А при использовании М-82ФН, соот</w:t>
      </w:r>
      <w:r w:rsidRPr="00DB5D0D">
        <w:rPr>
          <w:rFonts w:ascii="Times New Roman" w:hAnsi="Times New Roman"/>
          <w:color w:val="000000" w:themeColor="text1"/>
          <w:sz w:val="16"/>
          <w:szCs w:val="16"/>
        </w:rPr>
        <w:softHyphen/>
        <w:t>ветственно — 600—630 км/ч на расчетной высоте, и у земли за счет использования форсажа — 490—520 км/ч.</w:t>
      </w:r>
    </w:p>
    <w:p w14:paraId="16C795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сожалению, это направление развития И-195 не рассмат ривалось ни специалистами ВВС, ни главным конструктором самолета Поликарповым (11474,73).</w:t>
      </w:r>
    </w:p>
    <w:p w14:paraId="01B596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E5066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переоборудованную «Чайку» И-153 (серийный №6034), оснащенную гоермокабиной Щербакова, представили для государственных испытаний. Практически без изменения конструкции самолета в него вмонтировали гермокабину, позволяющую выполнять полеты на высотах более 4-х километров без кислородного оборудования и специального снаряжения летчиков - толстого теплого комбинезона, стесняющего движения. Конструктивно кабина была выполнена в виде сварного металлического «кокона» (сталь С20) по форме и размерам фигуры сидящего летчика. Верхняя откидная часть представляла собой полусферу в виде стального каркаса с дюралевой оболочкой и прорезанными в ней иллюминаторами. Необходимые жизненные условия в кабине поддерживались при помощи кислорода, подаваемого из 4-х литрового баллона. Кислород поступал в кабину в количестве 3-4 литров в минуту и смешивался с воздухом, который, в свою очередь, проходил через специальные регенерирующие патроны. Последние выполняли роль поглотителей углекислого газа. Очищенная таким образом воздушная смесь поступала в переднюю часть кабины в количестве 50-55 литров в минуту. Внутри поддерживалось постоянное избыточное давление 0,2 атмосферы и температура около 10°С (6592).</w:t>
      </w:r>
    </w:p>
    <w:p w14:paraId="5D88FBE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B3560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закончились проводимые с 25 января 1940 г. в районе Центрального московского аэродрома, прямо над городскими кварталами испытания самолета И-15бис с прямоточками ДМ-2. Когда летчик Петр Логинов запустил в воздухе реактивные двигатели, ему показалось, что за самолетом встала стена огня. Со стороны казалось, что за машиной тянутся многометровые огненные струи. Необычное явление наблюдали с земли и в близлежащих московских кварталах. В городе начался переполох, спустя короткое время к воротам аэродрома примчались спасать летчиков сразу пять пожарных команд. Летные испытания ПВРД на самолете И-15бис продолжались по июль 1940 г. Они велись на скоростях 320-340 км/ч. При включении ДМ скорость увеличивалась на 18-22 км/ч. Всего провели 54 таких полета. Кроме Логинова летали Л.Давыдов, Н.Сопоцко и старейший московский испытатель Александр Жуков. При этом, дабы не пугать москвичей, для запуска «прямоточек» пилоты улетали за 20-30 км от города (6592).</w:t>
      </w:r>
    </w:p>
    <w:p w14:paraId="79B8921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C874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специальная комиссия, назначенная приказом Наркома, состави</w:t>
      </w:r>
      <w:r w:rsidRPr="00DB5D0D">
        <w:rPr>
          <w:rFonts w:ascii="Times New Roman" w:hAnsi="Times New Roman"/>
          <w:color w:val="000000" w:themeColor="text1"/>
          <w:sz w:val="16"/>
          <w:szCs w:val="16"/>
        </w:rPr>
        <w:softHyphen/>
        <w:t>ла:</w:t>
      </w:r>
    </w:p>
    <w:p w14:paraId="7D3053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"Акт об испытании самолета И-15-бис с воздушно-ракетными моторами.</w:t>
      </w:r>
    </w:p>
    <w:p w14:paraId="41F3F91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результатов летных испытаний, комиссия кон</w:t>
      </w:r>
      <w:r w:rsidRPr="00DB5D0D">
        <w:rPr>
          <w:rFonts w:ascii="Times New Roman" w:hAnsi="Times New Roman"/>
          <w:color w:val="000000" w:themeColor="text1"/>
          <w:sz w:val="16"/>
          <w:szCs w:val="16"/>
        </w:rPr>
        <w:softHyphen/>
        <w:t>статирует, что работами завода "Авиахим" создан авиационный воздушно-ракетный двигатель, который работает на самолете и увеличивает скорость полета.</w:t>
      </w:r>
    </w:p>
    <w:p w14:paraId="47A8622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Безопасность, огнеупорность и долговечность двигателя проверена продолжительными испытаниями на земле и в полете...</w:t>
      </w:r>
    </w:p>
    <w:p w14:paraId="21C9D7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Испытаниями установлено, что воздушно-ракетные двигатели увеличивают скорость самолета ,при собственной его скорости 315 км/час в среднем на 15 км/час...</w:t>
      </w:r>
    </w:p>
    <w:p w14:paraId="574BA4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считает целесообразным провести испытания на скоростных машинах, где в силу характера воздушно-реактивных двигателей они дадут наибольший эффект. Одновременно Комис</w:t>
      </w:r>
      <w:r w:rsidRPr="00DB5D0D">
        <w:rPr>
          <w:rFonts w:ascii="Times New Roman" w:hAnsi="Times New Roman"/>
          <w:color w:val="000000" w:themeColor="text1"/>
          <w:sz w:val="16"/>
          <w:szCs w:val="16"/>
        </w:rPr>
        <w:softHyphen/>
        <w:t>сия считает необходимым проводить доводку двигателей в нап</w:t>
      </w:r>
      <w:r w:rsidRPr="00DB5D0D">
        <w:rPr>
          <w:rFonts w:ascii="Times New Roman" w:hAnsi="Times New Roman"/>
          <w:color w:val="000000" w:themeColor="text1"/>
          <w:sz w:val="16"/>
          <w:szCs w:val="16"/>
        </w:rPr>
        <w:softHyphen/>
        <w:t>равлении повышения их коэффициента полезного действия и до</w:t>
      </w:r>
      <w:r w:rsidRPr="00DB5D0D">
        <w:rPr>
          <w:rFonts w:ascii="Times New Roman" w:hAnsi="Times New Roman"/>
          <w:color w:val="000000" w:themeColor="text1"/>
          <w:sz w:val="16"/>
          <w:szCs w:val="16"/>
        </w:rPr>
        <w:softHyphen/>
        <w:t>работки зажигания, и произвести точное определение расхода горшего, потребляемого воздушно-ракетными двигателями. Председатель комиссии - Щумовский, ст.военпред з-да -Францев. Нач-отд.изобретений - Блайман, конструктор -Меркулов" (11083).</w:t>
      </w:r>
    </w:p>
    <w:p w14:paraId="0BEA05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BD33B1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на самолете И16 М62 с ТК проводилось испытание реакторов Ефимова.</w:t>
      </w:r>
    </w:p>
    <w:p w14:paraId="618FEB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полете были получены следующие данные:</w:t>
      </w:r>
    </w:p>
    <w:p w14:paraId="6943D1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3000 м прирост скорости был получен 16 км/час, что соответствует приросту мощности в 100 л.с. или 12, 2%.</w:t>
      </w:r>
    </w:p>
    <w:p w14:paraId="69D863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 высоте 7000 м прирост скорости 20 км/час, что соответствует приросту мощности в 110 л.с. или 14,4%.</w:t>
      </w:r>
    </w:p>
    <w:p w14:paraId="2D679A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8500 м прирост скорости 26,5 км/час, что соответствует приросту мощности в 140 л.с. или 19% мощности.</w:t>
      </w:r>
    </w:p>
    <w:p w14:paraId="7AA307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этого было установлено во время ночных испытаний, что яркое пламя (венец) сопутствующий обычно самолет, с установкой ТК, в нашем случае совершенно устранен и машина стала темной (7625, 358-359).</w:t>
      </w:r>
    </w:p>
    <w:p w14:paraId="5B5ACF8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1D17F79"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В июле 1940 года нарком обороны С.К.Тимошенко и начальник Генерального штаба Красной Армии В.М. Шапошников обратились в Политбюро ЦК ВКП(б) с обоснованием перехода авиапромышленности на </w:t>
      </w:r>
      <w:r w:rsidRPr="00DB5D0D">
        <w:rPr>
          <w:rFonts w:ascii="Times New Roman" w:hAnsi="Times New Roman"/>
          <w:noProof/>
          <w:color w:val="0070C0"/>
          <w:sz w:val="16"/>
          <w:szCs w:val="16"/>
        </w:rPr>
        <w:drawing>
          <wp:anchor distT="0" distB="977900" distL="114300" distR="114300" simplePos="0" relativeHeight="251663360" behindDoc="0" locked="0" layoutInCell="1" allowOverlap="1" wp14:anchorId="749B700F" wp14:editId="0A26E76A">
            <wp:simplePos x="0" y="0"/>
            <wp:positionH relativeFrom="page">
              <wp:posOffset>1482090</wp:posOffset>
            </wp:positionH>
            <wp:positionV relativeFrom="margin">
              <wp:posOffset>19564350</wp:posOffset>
            </wp:positionV>
            <wp:extent cx="3429000" cy="8413750"/>
            <wp:effectExtent l="0" t="0" r="0" b="0"/>
            <wp:wrapSquare wrapText="bothSides"/>
            <wp:docPr id="445" name="Shape 445"/>
            <wp:cNvGraphicFramePr/>
            <a:graphic xmlns:a="http://schemas.openxmlformats.org/drawingml/2006/main">
              <a:graphicData uri="http://schemas.openxmlformats.org/drawingml/2006/picture">
                <pic:pic xmlns:pic="http://schemas.openxmlformats.org/drawingml/2006/picture">
                  <pic:nvPicPr>
                    <pic:cNvPr id="446" name="Picture box 446"/>
                    <pic:cNvPicPr/>
                  </pic:nvPicPr>
                  <pic:blipFill>
                    <a:blip r:embed="rId240"/>
                    <a:stretch/>
                  </pic:blipFill>
                  <pic:spPr>
                    <a:xfrm>
                      <a:off x="0" y="0"/>
                      <a:ext cx="3429000" cy="8413750"/>
                    </a:xfrm>
                    <a:prstGeom prst="rect">
                      <a:avLst/>
                    </a:prstGeom>
                  </pic:spPr>
                </pic:pic>
              </a:graphicData>
            </a:graphic>
          </wp:anchor>
        </w:drawing>
      </w:r>
      <w:r w:rsidRPr="00DB5D0D">
        <w:rPr>
          <w:rFonts w:ascii="Times New Roman" w:hAnsi="Times New Roman"/>
          <w:noProof/>
          <w:color w:val="0070C0"/>
          <w:sz w:val="16"/>
          <w:szCs w:val="16"/>
        </w:rPr>
        <mc:AlternateContent>
          <mc:Choice Requires="wps">
            <w:drawing>
              <wp:anchor distT="0" distB="0" distL="0" distR="0" simplePos="0" relativeHeight="251664384" behindDoc="0" locked="0" layoutInCell="1" allowOverlap="1" wp14:anchorId="118879A5" wp14:editId="3BAF61E5">
                <wp:simplePos x="0" y="0"/>
                <wp:positionH relativeFrom="page">
                  <wp:posOffset>1990090</wp:posOffset>
                </wp:positionH>
                <wp:positionV relativeFrom="margin">
                  <wp:posOffset>27940000</wp:posOffset>
                </wp:positionV>
                <wp:extent cx="2235200" cy="431800"/>
                <wp:effectExtent l="0" t="0" r="0" b="0"/>
                <wp:wrapNone/>
                <wp:docPr id="447" name="Shape 447"/>
                <wp:cNvGraphicFramePr/>
                <a:graphic xmlns:a="http://schemas.openxmlformats.org/drawingml/2006/main">
                  <a:graphicData uri="http://schemas.microsoft.com/office/word/2010/wordprocessingShape">
                    <wps:wsp>
                      <wps:cNvSpPr txBox="1"/>
                      <wps:spPr>
                        <a:xfrm>
                          <a:off x="0" y="0"/>
                          <a:ext cx="2235200" cy="431800"/>
                        </a:xfrm>
                        <a:prstGeom prst="rect">
                          <a:avLst/>
                        </a:prstGeom>
                        <a:noFill/>
                      </wps:spPr>
                      <wps:txbx>
                        <w:txbxContent>
                          <w:p w14:paraId="2DE8CC32" w14:textId="77777777" w:rsidR="006D287B" w:rsidRDefault="006D287B" w:rsidP="006D287B">
                            <w:pPr>
                              <w:pStyle w:val="affa"/>
                              <w:ind w:left="-20"/>
                              <w:jc w:val="center"/>
                            </w:pPr>
                            <w:r>
                              <w:t>Н Т. Зингаев</w:t>
                            </w:r>
                          </w:p>
                        </w:txbxContent>
                      </wps:txbx>
                      <wps:bodyPr lIns="0" tIns="0" rIns="0" bIns="0"/>
                    </wps:wsp>
                  </a:graphicData>
                </a:graphic>
              </wp:anchor>
            </w:drawing>
          </mc:Choice>
          <mc:Fallback>
            <w:pict>
              <v:shape w14:anchorId="118879A5" id="Shape 447" o:spid="_x0000_s1028" type="#_x0000_t202" style="position:absolute;left:0;text-align:left;margin-left:156.7pt;margin-top:2200pt;width:176pt;height:34pt;z-index:251664384;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" filled="f" stroked="f">
                <v:textbox inset="0,0,0,0">
                  <w:txbxContent>
                    <w:p w14:paraId="2DE8CC32" w14:textId="77777777" w:rsidR="006D287B" w:rsidRDefault="006D287B" w:rsidP="006D287B">
                      <w:pPr>
                        <w:pStyle w:val="affa"/>
                        <w:ind w:left="-20"/>
                        <w:jc w:val="center"/>
                      </w:pPr>
                      <w:r>
                        <w:t xml:space="preserve">Н Т. </w:t>
                      </w:r>
                      <w:proofErr w:type="spellStart"/>
                      <w:r>
                        <w:t>Зингаев</w:t>
                      </w:r>
                      <w:proofErr w:type="spellEnd"/>
                    </w:p>
                  </w:txbxContent>
                </v:textbox>
                <w10:wrap anchorx="page" anchory="margin"/>
              </v:shape>
            </w:pict>
          </mc:Fallback>
        </mc:AlternateContent>
      </w:r>
      <w:r w:rsidRPr="00DB5D0D">
        <w:rPr>
          <w:rFonts w:ascii="Times New Roman" w:hAnsi="Times New Roman"/>
          <w:color w:val="0070C0"/>
          <w:sz w:val="16"/>
          <w:szCs w:val="16"/>
        </w:rPr>
        <w:t xml:space="preserve">военное положение. Это решение было принято, и Горьковский авиазавод летом перешел на 7-дневную рабочую неделю (21100). </w:t>
      </w:r>
    </w:p>
    <w:p w14:paraId="2D14089E" w14:textId="77777777" w:rsidR="006D287B" w:rsidRPr="00DB5D0D" w:rsidRDefault="006D287B" w:rsidP="00DB5D0D">
      <w:pPr>
        <w:spacing w:after="0" w:line="240" w:lineRule="auto"/>
        <w:jc w:val="both"/>
        <w:rPr>
          <w:rFonts w:ascii="Times New Roman" w:hAnsi="Times New Roman"/>
          <w:color w:val="0070C0"/>
          <w:sz w:val="16"/>
          <w:szCs w:val="16"/>
        </w:rPr>
      </w:pPr>
    </w:p>
    <w:p w14:paraId="45D8A3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вышел отчет НИИ ВВС по гос. испытаниям ЛаГГ-3 (1684,168).</w:t>
      </w:r>
    </w:p>
    <w:p w14:paraId="22F79D4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2E2E8C6"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июле 1940 "Hа техсовете между представителями HИИ ВВС и ОКБ-115 А. С. Яковлева возникли большие споры. Одни утверждали, что наличие у Як-1 цельнодеревянного неразъемного крыла является серьезным недостатком, так как:</w:t>
      </w:r>
    </w:p>
    <w:p w14:paraId="4608D569"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деревянное крыло подвержено гниению, его трудно защищать от разрушающего действия грибка;</w:t>
      </w:r>
    </w:p>
    <w:p w14:paraId="5BF0030C"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наличие неразъемного крыла исключает возможность перевозки самолета в тыловые авиаремонтные мастерские с мест вынужденной посадки на автомашинах в неразобранном виде.</w:t>
      </w:r>
    </w:p>
    <w:p w14:paraId="21B1BE66"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Буксировка самолета возможна только в степных районах, где дороги на большом протяжении не имеют серьезных препятствий.</w:t>
      </w:r>
    </w:p>
    <w:p w14:paraId="3AE21D21"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Другие, в общем не возражая против этих доводов, со своей стороны приводили следующие аргументы в пользу деревянного неразъемного крыла:</w:t>
      </w:r>
    </w:p>
    <w:p w14:paraId="0F845F2C"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применение дерева не прихоть, а необходимость. Конечно, лучше было бы крыло выполнить из металла. Однако дюраль дефицитен;</w:t>
      </w:r>
    </w:p>
    <w:p w14:paraId="6443C8D7"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деревянное крыло имеет перед металлическим свои преимущества: оно легко поддается полевому ремонту после повреждений, полученных в бою, и большинство повреждений может быть устранено силами техсостава;</w:t>
      </w:r>
    </w:p>
    <w:p w14:paraId="177CC03E"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для того, чтобы деревянное крыло было приемлемо по массе, его необходимо делать неразъемным. При отказе от разъема получается выигрыш в 50 кг. Этот выигрыш лучше использовать на «начинку» самолета.</w:t>
      </w:r>
    </w:p>
    <w:p w14:paraId="27E7BFB9"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Возможно, что в мирных условиях наличие неразъемного деревянного крыла являлось бы серьезным недостатком самолета. Однако начавшаяся вскоре война привела к тому, что с этим недостатком пришлось примириться, хотя в эксплуатации он доставлял много неудобств" (21350).</w:t>
      </w:r>
    </w:p>
    <w:p w14:paraId="00B2F4B4" w14:textId="77777777" w:rsidR="006D287B" w:rsidRPr="00DB5D0D" w:rsidRDefault="006D287B" w:rsidP="00DB5D0D">
      <w:pPr>
        <w:spacing w:after="0" w:line="240" w:lineRule="auto"/>
        <w:jc w:val="both"/>
        <w:rPr>
          <w:rFonts w:ascii="Times New Roman" w:hAnsi="Times New Roman"/>
          <w:color w:val="0070C0"/>
          <w:sz w:val="16"/>
          <w:szCs w:val="16"/>
        </w:rPr>
      </w:pPr>
    </w:p>
    <w:p w14:paraId="1058A626"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на заводе 21 был построен и подготовлен к испытаниям И-21 Пашинина (2463,257).</w:t>
      </w:r>
    </w:p>
    <w:p w14:paraId="33EAC9FC" w14:textId="77777777" w:rsidR="00156ED0" w:rsidRPr="00DB5D0D" w:rsidRDefault="00156ED0" w:rsidP="00DB5D0D">
      <w:pPr>
        <w:spacing w:after="0" w:line="240" w:lineRule="auto"/>
        <w:jc w:val="both"/>
        <w:rPr>
          <w:rFonts w:ascii="Times New Roman" w:hAnsi="Times New Roman"/>
          <w:color w:val="000000" w:themeColor="text1"/>
          <w:sz w:val="16"/>
          <w:szCs w:val="16"/>
        </w:rPr>
      </w:pPr>
    </w:p>
    <w:p w14:paraId="51539BA4"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П.Стефановский выполнил первый полет на прототипе И-21 М.М.Пашинина (676,522).</w:t>
      </w:r>
    </w:p>
    <w:p w14:paraId="0F86CD47" w14:textId="77777777" w:rsidR="00156ED0" w:rsidRPr="00DB5D0D" w:rsidRDefault="00156ED0" w:rsidP="00DB5D0D">
      <w:pPr>
        <w:spacing w:after="0" w:line="240" w:lineRule="auto"/>
        <w:jc w:val="both"/>
        <w:rPr>
          <w:rFonts w:ascii="Times New Roman" w:hAnsi="Times New Roman"/>
          <w:color w:val="000000" w:themeColor="text1"/>
          <w:sz w:val="16"/>
          <w:szCs w:val="16"/>
        </w:rPr>
      </w:pPr>
    </w:p>
    <w:p w14:paraId="417DE972"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1941 на И-301 было установлено вооружение и проведены другие доработки. Но в пер</w:t>
      </w:r>
      <w:r w:rsidRPr="00DB5D0D">
        <w:rPr>
          <w:rFonts w:ascii="Times New Roman" w:hAnsi="Times New Roman"/>
          <w:color w:val="000000" w:themeColor="text1"/>
          <w:sz w:val="16"/>
          <w:szCs w:val="16"/>
        </w:rPr>
        <w:softHyphen/>
        <w:t>вом же вылете после доработок 11 авгу</w:t>
      </w:r>
      <w:r w:rsidRPr="00DB5D0D">
        <w:rPr>
          <w:rFonts w:ascii="Times New Roman" w:hAnsi="Times New Roman"/>
          <w:color w:val="000000" w:themeColor="text1"/>
          <w:sz w:val="16"/>
          <w:szCs w:val="16"/>
        </w:rPr>
        <w:softHyphen/>
        <w:t>ста 1940 г. самолет потерпел серьезную поломку: при посадке против солнца Никашин не смог точно определить высоту и подломал шасси, при этом получил тре</w:t>
      </w:r>
      <w:r w:rsidRPr="00DB5D0D">
        <w:rPr>
          <w:rFonts w:ascii="Times New Roman" w:hAnsi="Times New Roman"/>
          <w:color w:val="000000" w:themeColor="text1"/>
          <w:sz w:val="16"/>
          <w:szCs w:val="16"/>
        </w:rPr>
        <w:softHyphen/>
        <w:t>щину лонжерон центроплана. Самолет по</w:t>
      </w:r>
      <w:r w:rsidRPr="00DB5D0D">
        <w:rPr>
          <w:rFonts w:ascii="Times New Roman" w:hAnsi="Times New Roman"/>
          <w:color w:val="000000" w:themeColor="text1"/>
          <w:sz w:val="16"/>
          <w:szCs w:val="16"/>
        </w:rPr>
        <w:softHyphen/>
        <w:t>требовал значительного ремонта.</w:t>
      </w:r>
    </w:p>
    <w:p w14:paraId="16718D4A"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этому времени «триумви</w:t>
      </w:r>
      <w:r w:rsidRPr="00DB5D0D">
        <w:rPr>
          <w:rFonts w:ascii="Times New Roman" w:hAnsi="Times New Roman"/>
          <w:color w:val="000000" w:themeColor="text1"/>
          <w:sz w:val="16"/>
          <w:szCs w:val="16"/>
        </w:rPr>
        <w:softHyphen/>
        <w:t>рат» фактически распался - Горбунов по личным причинам (развод и создание но</w:t>
      </w:r>
      <w:r w:rsidRPr="00DB5D0D">
        <w:rPr>
          <w:rFonts w:ascii="Times New Roman" w:hAnsi="Times New Roman"/>
          <w:color w:val="000000" w:themeColor="text1"/>
          <w:sz w:val="16"/>
          <w:szCs w:val="16"/>
        </w:rPr>
        <w:softHyphen/>
        <w:t>вой семьи) снял с себя ответственность за машину, а из двух оставшихся «глав</w:t>
      </w:r>
      <w:r w:rsidRPr="00DB5D0D">
        <w:rPr>
          <w:rFonts w:ascii="Times New Roman" w:hAnsi="Times New Roman"/>
          <w:color w:val="000000" w:themeColor="text1"/>
          <w:sz w:val="16"/>
          <w:szCs w:val="16"/>
        </w:rPr>
        <w:softHyphen/>
        <w:t>ных» на совещании руководящего со</w:t>
      </w:r>
      <w:r w:rsidRPr="00DB5D0D">
        <w:rPr>
          <w:rFonts w:ascii="Times New Roman" w:hAnsi="Times New Roman"/>
          <w:color w:val="000000" w:themeColor="text1"/>
          <w:sz w:val="16"/>
          <w:szCs w:val="16"/>
        </w:rPr>
        <w:softHyphen/>
        <w:t>става цехов и ОКБ у директора завода №301 Эскина большинство выбрало Ла</w:t>
      </w:r>
      <w:r w:rsidRPr="00DB5D0D">
        <w:rPr>
          <w:rFonts w:ascii="Times New Roman" w:hAnsi="Times New Roman"/>
          <w:color w:val="000000" w:themeColor="text1"/>
          <w:sz w:val="16"/>
          <w:szCs w:val="16"/>
        </w:rPr>
        <w:softHyphen/>
        <w:t>вочкина, к большому неудовольствию Гудкова. Последний с частью ОКБ занялся новым проектом - «советской аэроко</w:t>
      </w:r>
      <w:r w:rsidRPr="00DB5D0D">
        <w:rPr>
          <w:rFonts w:ascii="Times New Roman" w:hAnsi="Times New Roman"/>
          <w:color w:val="000000" w:themeColor="text1"/>
          <w:sz w:val="16"/>
          <w:szCs w:val="16"/>
        </w:rPr>
        <w:softHyphen/>
        <w:t>брой» Гу-1. Вся доводка И-301 сосредото</w:t>
      </w:r>
      <w:r w:rsidRPr="00DB5D0D">
        <w:rPr>
          <w:rFonts w:ascii="Times New Roman" w:hAnsi="Times New Roman"/>
          <w:color w:val="000000" w:themeColor="text1"/>
          <w:sz w:val="16"/>
          <w:szCs w:val="16"/>
        </w:rPr>
        <w:softHyphen/>
        <w:t>чилась в руках Лавочкина (19734).</w:t>
      </w:r>
    </w:p>
    <w:p w14:paraId="1D45FF51" w14:textId="77777777" w:rsidR="00156ED0" w:rsidRPr="00DB5D0D" w:rsidRDefault="00156ED0" w:rsidP="00DB5D0D">
      <w:pPr>
        <w:spacing w:after="0" w:line="240" w:lineRule="auto"/>
        <w:jc w:val="both"/>
        <w:rPr>
          <w:rFonts w:ascii="Times New Roman" w:hAnsi="Times New Roman"/>
          <w:color w:val="000000" w:themeColor="text1"/>
          <w:sz w:val="16"/>
          <w:szCs w:val="16"/>
        </w:rPr>
      </w:pPr>
    </w:p>
    <w:p w14:paraId="216079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состоялся первый полет Як-7 (УТИ-26).</w:t>
      </w:r>
    </w:p>
    <w:p w14:paraId="0D11C60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E641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был готов И-26-III (№ 26-3, И-26 № 3), проектирование которого началось 25 января 1940 г. Конструкторский коллектив под руководством ведущего конструктора С.Д. Трефилова параллельно с И-26-1 II вел проектирование машин УТИ-26-1 и УТИ-26-П, имевших приоритет. Другая причина задержки заключалась в том, что приходилось вносить изменения в проект и переделывать начатый изготовлением самолет для устранения недостатков, выявленных в процессе заводских и государственных испытаний первых прототипов И-26.</w:t>
      </w:r>
    </w:p>
    <w:p w14:paraId="0569A2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Доработки конструкции самолета, преследовали цель увеличить прочность крыла и улучшить его эксплуатационные качества. Для достижения этой цели произвели расчет и статические испытания отдельных частей самолета на прочность при полетном весе 2800 кг. В результате работ прочность носка крыла довели до 107 % от нормы прочности, установленной для истребителей с деревянной конструкцией. В носке руля высоты и в концах крыльев разместили противофлат- терные грузы обшей массой 16 кг. Кабину летчика снабдили вентиляцией. Для облегчения открытия фонаря кабины установили резиновые амортизаторы. На левом борту фюзеляжа оборудовали два дополнительных люка для осмотра и доступа к водорадиатору и амортстойке хвостовой опоры шасси.</w:t>
      </w:r>
    </w:p>
    <w:p w14:paraId="409A84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Существенно улучшилась стрелково-пушечная установка. Ее новая компоновка позволила вновь увеличить боекомплект до 750 патронов на пулемет и до 135 снарядов к пушке. Чтобы исключить попадание в жизненно важные части самолета стреляных гильз и звеньев, как это имело место на И-26-11. их стали собирать (впервые на советских истребителях) в специальные мешки. Выбрасывались только пушечные гильзы. Вывод гильзоогвода пушки располагался слева под фюзеляжем, поэтому соты водорадиатора защитили от случайного попадания гильз специальной стальной решеткой.</w:t>
      </w:r>
    </w:p>
    <w:p w14:paraId="02D273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нововведения ощутимо сказались на весе конструкции. Колеса основных опор шасси И-26 по своему сортаменту предназначались для самолетов с полетным весом 2300 кг. Поэтому, несмотря на настойчивые требования ВВС и чтобы не перетяжелить самолет, пришлось отказаться от установки радиостанции (и необходимых для этого экранизации и металлизации, мачты, антенны и генератора). Полетный вес третьего прототипа возрос по сравнению с весом И-26-11 на 83,3 кг и составил 2801 кг. (Для заводских испытаний, проводившихся как дополнительные, самолет был облегчен до 2740 кг за счет снятия бронеспинки; вес нагрузки при этом составил 420 кг).</w:t>
      </w:r>
    </w:p>
    <w:p w14:paraId="5EAFC7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Государственные испытания И-26-111 также проводились как дополнительные и в усеченном варианте. Полеты на разгон до максимальной скорости не выполнялись. В полный отчет по испытаниям вошли данные, полученные на И-26-П, которые в дальнейшем принимались как официальные. Замена маслорадиатора ОП-235 на ОП-252, имевшего аналогичные размеры, но другое направление движения масла, не сказалось на обшей оценке ВМГ, а снятие управления триммерами рулей и элеронов из кабины пилота вызвало резко отрицательную реакцию у летного состава, проводившего на госиспытаниях облет самолета.</w:t>
      </w:r>
    </w:p>
    <w:p w14:paraId="189858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Рабочие чертежи именно этой машины стали основными для серийного производства Як-1 на заводе № 292 НКАП (г. Саратов) (12048).</w:t>
      </w:r>
    </w:p>
    <w:p w14:paraId="2784654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2EF4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ОКБ Н.Н.П. получило производственную базу и начали работу над ТИС (228,144).</w:t>
      </w:r>
    </w:p>
    <w:p w14:paraId="2D64791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286C3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на ИС-1 В.В.Шевченко и В.В.Никитина Г.М.Шиянов впервые убрал крыло в полете (206,30).</w:t>
      </w:r>
    </w:p>
    <w:p w14:paraId="0703CC1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B88D1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1940 г. начал проектироваться самолет И-185 с двигателем М-81 взлетной мощностью 1500 л.с., капотом МАСА и освоенным механизмом охлаждения типа «юбка». Он имел увеличенный диаметр капота и следую</w:t>
      </w:r>
      <w:r w:rsidRPr="00DB5D0D">
        <w:rPr>
          <w:rFonts w:ascii="Times New Roman" w:hAnsi="Times New Roman"/>
          <w:color w:val="000000" w:themeColor="text1"/>
          <w:sz w:val="16"/>
          <w:szCs w:val="16"/>
        </w:rPr>
        <w:softHyphen/>
        <w:t>щие измененные размерности: Длина, м 7,765 Нормальный полетный вес, кг 3119 Нагрузка на крыло, кг/м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xml:space="preserve"> 201. Расчетные летные данные И-187 по сравне</w:t>
      </w:r>
      <w:r w:rsidRPr="00DB5D0D">
        <w:rPr>
          <w:rFonts w:ascii="Times New Roman" w:hAnsi="Times New Roman"/>
          <w:color w:val="000000" w:themeColor="text1"/>
          <w:sz w:val="16"/>
          <w:szCs w:val="16"/>
        </w:rPr>
        <w:softHyphen/>
        <w:t>нию с первоначальным вариантом под М-90 заметно снизились: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7D5DF8" w:rsidRPr="00DB5D0D" w14:paraId="046C5EF0" w14:textId="77777777" w:rsidTr="00E543D0">
        <w:tc>
          <w:tcPr>
            <w:tcW w:w="5635" w:type="dxa"/>
            <w:tcBorders>
              <w:top w:val="single" w:sz="12" w:space="0" w:color="auto"/>
            </w:tcBorders>
            <w:shd w:val="clear" w:color="auto" w:fill="FFFFFF"/>
          </w:tcPr>
          <w:p w14:paraId="3E0A28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 км/ч</w:t>
            </w:r>
          </w:p>
        </w:tc>
        <w:tc>
          <w:tcPr>
            <w:tcW w:w="5635" w:type="dxa"/>
            <w:tcBorders>
              <w:top w:val="single" w:sz="12" w:space="0" w:color="auto"/>
            </w:tcBorders>
            <w:shd w:val="clear" w:color="auto" w:fill="FFFFFF"/>
          </w:tcPr>
          <w:p w14:paraId="26D2EA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611 (на высоте 6400м)</w:t>
            </w:r>
          </w:p>
        </w:tc>
      </w:tr>
      <w:tr w:rsidR="007D5DF8" w:rsidRPr="00DB5D0D" w14:paraId="71A734A5" w14:textId="77777777" w:rsidTr="00E543D0">
        <w:tc>
          <w:tcPr>
            <w:tcW w:w="5635" w:type="dxa"/>
            <w:tcBorders>
              <w:bottom w:val="single" w:sz="12" w:space="0" w:color="auto"/>
            </w:tcBorders>
            <w:shd w:val="clear" w:color="auto" w:fill="FFFFFF"/>
          </w:tcPr>
          <w:p w14:paraId="4C82CF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м</w:t>
            </w:r>
          </w:p>
        </w:tc>
        <w:tc>
          <w:tcPr>
            <w:tcW w:w="5635" w:type="dxa"/>
            <w:tcBorders>
              <w:bottom w:val="single" w:sz="12" w:space="0" w:color="auto"/>
            </w:tcBorders>
            <w:shd w:val="clear" w:color="auto" w:fill="FFFFFF"/>
          </w:tcPr>
          <w:p w14:paraId="514F7E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9900</w:t>
            </w:r>
          </w:p>
        </w:tc>
      </w:tr>
    </w:tbl>
    <w:p w14:paraId="369B8A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первоначальным планам самолет должен был быть готовым в конце 1940 г. (9979).</w:t>
      </w:r>
    </w:p>
    <w:p w14:paraId="082364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0DF5D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1940 г. началась приемка И-16 тип 29 (за 1940 г. выпустили 570 машин) и продолжалась в 1941 г. ВВС рассматривали И-16 типов 18, 24, 27, 28, 29 как полноценные боевые машины. В августе 1940 г. в ВВС насчитывалось 248 И-16 с М-62 и 1097 И-16 с М-63, в сентябре-250 И-16 с М-62 и 1305 с М-63 (10667).</w:t>
      </w:r>
    </w:p>
    <w:p w14:paraId="24082F7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12E2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т.е. спустя четыре месяца, уже был построен пер</w:t>
      </w:r>
      <w:r w:rsidRPr="00DB5D0D">
        <w:rPr>
          <w:rFonts w:ascii="Times New Roman" w:hAnsi="Times New Roman"/>
          <w:color w:val="000000" w:themeColor="text1"/>
          <w:sz w:val="16"/>
          <w:szCs w:val="16"/>
        </w:rPr>
        <w:softHyphen/>
        <w:t>вый экземпляр. Для постройки первых И-180 потребовался почти год. 11 июля 1940 г. летчик П.Ю.Фокин поднял в воздух первый экземпляр И-21. Форсированными темпами шла постройка еще трех машин (10667).</w:t>
      </w:r>
    </w:p>
    <w:p w14:paraId="147B6CF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E0FA49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Тимошенко входил в КО с просьбой обязать НКАП спроектировать и построить по тактико-техническим требованиям НКО специальный самолет – артиллерийский разведчик-корректировщик (4048, 42).</w:t>
      </w:r>
    </w:p>
    <w:p w14:paraId="192AB19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5EBBB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июле 1940 на 115 заводе подготовили к заводским испытаниям Р-12 (разведывательный вариант 22 машины А.С.Я.).</w:t>
      </w:r>
    </w:p>
    <w:p w14:paraId="0F78BEF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41AD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Нач. НИИ ВВС А.И.Филин писал: “Все самолеты ПС-84 следует строить со всеми изменениями, необходимыми для переоборудования их в военные варианты...” (4141,19).</w:t>
      </w:r>
    </w:p>
    <w:p w14:paraId="40B8E03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F7E76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в производство были сданы чертежи СС О.К.А. - второго экз. - санитарного варианта (2090,117).</w:t>
      </w:r>
    </w:p>
    <w:p w14:paraId="0190E76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F0ACE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опять испытали САМ-14 А.С.Москалева, предназначенный для замены Я-6, но строить не стали из-за прекращения производства советского Рено МВ-4 (80,387).</w:t>
      </w:r>
    </w:p>
    <w:p w14:paraId="4CADAED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19AE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была подготовлена служебная записка К.Е.Ворошилову.</w:t>
      </w:r>
    </w:p>
    <w:p w14:paraId="7A4D5F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ГВФ Элибекян просит о постановке на производство санитарного самолета ЭЛЬ-3 его конструкции.</w:t>
      </w:r>
    </w:p>
    <w:p w14:paraId="054E27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ГКАП - Яковлев и ВВС - Смушкевич считают постановку этого самолета на производство нецелесообразной, так как этот самолет является промежуточным между самолетами ДС-3 в санитарном варианте и самолетами С-2 и типа АИСТ; кроме того, на самолете ЭЛЬ-3 по проекту стоит мотор МГ-31, в серийном производстве которого нет никакой необходимости (3401,34).</w:t>
      </w:r>
    </w:p>
    <w:p w14:paraId="223EDC5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0981C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был закончен мотопланер Г-5 С.В.Гризодубова и испытывался, но только как планер (449).</w:t>
      </w:r>
    </w:p>
    <w:p w14:paraId="4680758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2991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был рассмотрен и утвержден проект Омеги И.П.Братухина, но ОКБ-МАИ, созданное в начале 1940 по инициативе Б.Н.Юрьева эвакуировали в Алма-Ату и Омега-II принял участие в воздушном параде в Тушино только в 1946 (194,30).</w:t>
      </w:r>
    </w:p>
    <w:p w14:paraId="5AB878A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AD7216"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июле 1940 г. новый нарком обороны Маршал Советского Союза С.К. Тимошенко несколько скорректирует цифры, указанные 29 ноября 1939 г. нарком авиационной промышленности М.М. Каганович в письме на имя Сталина И.В., Молотова В.М. и Ворошилова К.Е., и укажет, что мощности авиационной промышленности позволят выпустить в 1941 году 40.850 самолетов, из них бомбардировщиков – 15.820 (РГВА. Ф. 4. Оп. 19. Д. 84. Лл. 2-3.) (21402).</w:t>
      </w:r>
    </w:p>
    <w:p w14:paraId="5EFEA02A" w14:textId="77777777" w:rsidR="006D287B" w:rsidRPr="00DB5D0D" w:rsidRDefault="006D287B" w:rsidP="00DB5D0D">
      <w:pPr>
        <w:spacing w:after="0" w:line="240" w:lineRule="auto"/>
        <w:jc w:val="both"/>
        <w:rPr>
          <w:rFonts w:ascii="Times New Roman" w:hAnsi="Times New Roman"/>
          <w:color w:val="0070C0"/>
          <w:sz w:val="16"/>
          <w:szCs w:val="16"/>
        </w:rPr>
      </w:pPr>
    </w:p>
    <w:p w14:paraId="71F9D9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Контролер КО СНК Вахрушев подготовил:</w:t>
      </w:r>
    </w:p>
    <w:p w14:paraId="192C9C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е з и с ы</w:t>
      </w:r>
    </w:p>
    <w:p w14:paraId="5F8248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Неудовлетворительная работа за 1-е полугодие 1940 г. характеризуется следующими фактами:</w:t>
      </w:r>
    </w:p>
    <w:p w14:paraId="242E9D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Из 18-ти самолетостроительных заводов основными поставщиками являются 4 завода (1, 18, 21, 22).</w:t>
      </w:r>
    </w:p>
    <w:p w14:paraId="2B68EB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Исключительно плохо обстоит с организацией труда - колоссальные простои, так за 5-ть месяцев 1940 г. 6,6 тыс. чел.час, что равноценно выпуску 1500 самолетов истребительного типа.</w:t>
      </w:r>
    </w:p>
    <w:p w14:paraId="732A52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Недовыполнение программы: 720 бомбор., 292 истребит., 956 моторов (только НКО).</w:t>
      </w:r>
    </w:p>
    <w:p w14:paraId="39B8CD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Низкое качество выпускаемой продукции.</w:t>
      </w:r>
    </w:p>
    <w:p w14:paraId="01A73E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самолетам</w:t>
      </w:r>
    </w:p>
    <w:p w14:paraId="0802B5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бомбо-люки, форсаж, выработка горючего.</w:t>
      </w:r>
    </w:p>
    <w:p w14:paraId="6AED99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 обрыв болтов коков винта, разрушение сопла вес. патрубки.</w:t>
      </w:r>
    </w:p>
    <w:p w14:paraId="3825B4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 недоведенность ВМГ (масло и головки цилиндров), тряска мото-установки, поломка 5-й точки крепления мотора, разрушение колес.</w:t>
      </w:r>
    </w:p>
    <w:p w14:paraId="199025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И-153 -Не доведена ВМГ (температурный режим), ограни</w:t>
      </w:r>
      <w:r w:rsidRPr="00DB5D0D">
        <w:rPr>
          <w:rFonts w:ascii="Times New Roman" w:hAnsi="Times New Roman"/>
          <w:color w:val="000000" w:themeColor="text1"/>
          <w:sz w:val="16"/>
          <w:szCs w:val="16"/>
        </w:rPr>
        <w:softHyphen/>
        <w:t>чение в пилотировании, разрушение в воздухе (Баку, завод № 39).</w:t>
      </w:r>
    </w:p>
    <w:p w14:paraId="4A0C35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моторам.</w:t>
      </w:r>
    </w:p>
    <w:p w14:paraId="51738D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М-87А и М-87Б (завод № 29) конструктивная недоработка узла нагнетателя. Вышло из строя 103 мотора в 1939 г., 80 мо</w:t>
      </w:r>
      <w:r w:rsidRPr="00DB5D0D">
        <w:rPr>
          <w:rFonts w:ascii="Times New Roman" w:hAnsi="Times New Roman"/>
          <w:color w:val="000000" w:themeColor="text1"/>
          <w:sz w:val="16"/>
          <w:szCs w:val="16"/>
        </w:rPr>
        <w:softHyphen/>
        <w:t>торов в 1940 г., что к выпущенной продукции составляет 5-8%.</w:t>
      </w:r>
    </w:p>
    <w:p w14:paraId="590A4F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выбывшие из строя восстанавливаются неудовлет</w:t>
      </w:r>
      <w:r w:rsidRPr="00DB5D0D">
        <w:rPr>
          <w:rFonts w:ascii="Times New Roman" w:hAnsi="Times New Roman"/>
          <w:color w:val="000000" w:themeColor="text1"/>
          <w:sz w:val="16"/>
          <w:szCs w:val="16"/>
        </w:rPr>
        <w:softHyphen/>
        <w:t>ворительно. Обрыв прицепных шатунов 12 случаев.</w:t>
      </w:r>
    </w:p>
    <w:p w14:paraId="7B954C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М-62 и М-63 заклинение втулки главного шатуна 180 сл. 30 сл. Прогар поршней около 20% по данным Ф.Фронта.</w:t>
      </w:r>
    </w:p>
    <w:p w14:paraId="299C37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агрегатам.</w:t>
      </w:r>
    </w:p>
    <w:p w14:paraId="690B1A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Узким местом являются карбюраторы</w:t>
      </w:r>
    </w:p>
    <w:p w14:paraId="69F411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М-88 (самолет ДБ-3 снизил дальность 20%); к М-62, к М-63, к М-105 - нельзя делать высший пилотаж.</w:t>
      </w:r>
    </w:p>
    <w:p w14:paraId="534420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Соверешенно нетерпимое положение с авиаколесами. План 80% выполнен. Качество низкое. Опытные самолеты колес не имеют, ТБ-7 также колес не имеет.</w:t>
      </w:r>
    </w:p>
    <w:p w14:paraId="779DB6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СБ имело место 1360 случаев самозаклинения колес. Инициатива завода № 120 и военпреда Малютина в деле облегчения диска колеса 900x300, что вывело несколько сот самолетов из строя на месяц.</w:t>
      </w:r>
    </w:p>
    <w:p w14:paraId="78729E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опытным самолетам.</w:t>
      </w:r>
    </w:p>
    <w:p w14:paraId="60332C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на госиспытания представляются конструктивно недоработанными (ББ-1, ББ-2, ДБЛК, И-26, И-301) и т.д.</w:t>
      </w:r>
    </w:p>
    <w:p w14:paraId="26422A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опытным работам еще хуже</w:t>
      </w:r>
    </w:p>
    <w:p w14:paraId="535C60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Недисциплинированность.</w:t>
      </w:r>
    </w:p>
    <w:p w14:paraId="19E540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 пост; КО, в частности тур. МВ-3 и МВ-2 к СБ и ДБ-3 ( завод № 126 и 89, 22)</w:t>
      </w:r>
    </w:p>
    <w:p w14:paraId="0ADB0E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горели баки из-за незаполнения их нейтральными газами (пост. в 1939 г.)</w:t>
      </w:r>
    </w:p>
    <w:p w14:paraId="10BEB7A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И-180 сорвал в 1939 г. и 40 г. выпуск.</w:t>
      </w:r>
    </w:p>
    <w:p w14:paraId="7F97FB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сорвано перевооружение И-16 с М-25 на М-62.</w:t>
      </w:r>
    </w:p>
    <w:p w14:paraId="048DA2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экономия металлов ( коллегия не решает). Сидение дюраллевое, ведра Анисько, отходы труб дюраллевые и листов выбрасываются, засоряются, в шихту не идут. Магний жгут.</w:t>
      </w:r>
    </w:p>
    <w:p w14:paraId="488FDA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Научно-Исследовательние ин-ты и конструктора не работают над исысканием недефицитных металлов</w:t>
      </w:r>
    </w:p>
    <w:p w14:paraId="51BEE07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w:t>
      </w:r>
    </w:p>
    <w:p w14:paraId="22B5AE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Обратить внимание НКАП:</w:t>
      </w:r>
    </w:p>
    <w:p w14:paraId="2EF69D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организацию производства (простои и сверхурочные)</w:t>
      </w:r>
    </w:p>
    <w:p w14:paraId="460FE8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Брак</w:t>
      </w:r>
    </w:p>
    <w:p w14:paraId="6B6411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ресурсы авиамоторов</w:t>
      </w:r>
    </w:p>
    <w:p w14:paraId="790B47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экономия металлов.</w:t>
      </w:r>
    </w:p>
    <w:p w14:paraId="40B481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Дисциплина в НКАП</w:t>
      </w:r>
    </w:p>
    <w:p w14:paraId="67CF3A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Улучшить руководство заводами ДВ.</w:t>
      </w:r>
    </w:p>
    <w:p w14:paraId="13F13C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w:t>
      </w:r>
    </w:p>
    <w:p w14:paraId="28B1FD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Приемистость. Приемистостью в моторах называется способ</w:t>
      </w:r>
      <w:r w:rsidRPr="00DB5D0D">
        <w:rPr>
          <w:rFonts w:ascii="Times New Roman" w:hAnsi="Times New Roman"/>
          <w:color w:val="000000" w:themeColor="text1"/>
          <w:sz w:val="16"/>
          <w:szCs w:val="16"/>
        </w:rPr>
        <w:softHyphen/>
        <w:t>ность мотора плавно (без срывов) переходить с одного режима рабо</w:t>
      </w:r>
      <w:r w:rsidRPr="00DB5D0D">
        <w:rPr>
          <w:rFonts w:ascii="Times New Roman" w:hAnsi="Times New Roman"/>
          <w:color w:val="000000" w:themeColor="text1"/>
          <w:sz w:val="16"/>
          <w:szCs w:val="16"/>
        </w:rPr>
        <w:softHyphen/>
        <w:t>ты на другой (с больших оборотов на малые и,наоборот, с малых обо</w:t>
      </w:r>
      <w:r w:rsidRPr="00DB5D0D">
        <w:rPr>
          <w:rFonts w:ascii="Times New Roman" w:hAnsi="Times New Roman"/>
          <w:color w:val="000000" w:themeColor="text1"/>
          <w:sz w:val="16"/>
          <w:szCs w:val="16"/>
        </w:rPr>
        <w:softHyphen/>
        <w:t>ротов на большие) за определенное время.</w:t>
      </w:r>
    </w:p>
    <w:p w14:paraId="4F4CC3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технических условий приемистость авиационных моторов должна быть такой, чтобы обеспечивался безотказный (плавный) пере</w:t>
      </w:r>
      <w:r w:rsidRPr="00DB5D0D">
        <w:rPr>
          <w:rFonts w:ascii="Times New Roman" w:hAnsi="Times New Roman"/>
          <w:color w:val="000000" w:themeColor="text1"/>
          <w:sz w:val="16"/>
          <w:szCs w:val="16"/>
        </w:rPr>
        <w:softHyphen/>
        <w:t>ход с резоша малого газа на режим максимального газа за время двух секунд.</w:t>
      </w:r>
    </w:p>
    <w:p w14:paraId="4EFCD9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Высотность карбюратора.. Высотностью карбюратора называется высота, до которой карбюратор способен подавать в мотор рабочую смесь необходимого качества. Так как с поднятием на высоту рабочая смесь обогащается, то, во избежание обогащения смеси на карбюрато</w:t>
      </w:r>
      <w:r w:rsidRPr="00DB5D0D">
        <w:rPr>
          <w:rFonts w:ascii="Times New Roman" w:hAnsi="Times New Roman"/>
          <w:color w:val="000000" w:themeColor="text1"/>
          <w:sz w:val="16"/>
          <w:szCs w:val="16"/>
        </w:rPr>
        <w:softHyphen/>
        <w:t>рах, имеются особые устройства, называемые высотными корректорами. Недостаток существующих карбюраторов в том,что они поддерживают необходимое качество смеси до высоты 8000-10000 м., а выше начинают обогащать смесь.</w:t>
      </w:r>
    </w:p>
    <w:p w14:paraId="553419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Надежность карбюратора во всех условияхполета. На некото</w:t>
      </w:r>
      <w:r w:rsidRPr="00DB5D0D">
        <w:rPr>
          <w:rFonts w:ascii="Times New Roman" w:hAnsi="Times New Roman"/>
          <w:color w:val="000000" w:themeColor="text1"/>
          <w:sz w:val="16"/>
          <w:szCs w:val="16"/>
        </w:rPr>
        <w:softHyphen/>
        <w:t>рых фигурах высшего пилотажа, в особенности при полете вверх коле</w:t>
      </w:r>
      <w:r w:rsidRPr="00DB5D0D">
        <w:rPr>
          <w:rFonts w:ascii="Times New Roman" w:hAnsi="Times New Roman"/>
          <w:color w:val="000000" w:themeColor="text1"/>
          <w:sz w:val="16"/>
          <w:szCs w:val="16"/>
        </w:rPr>
        <w:softHyphen/>
        <w:t>сами, существующие карбюраторы не обеспечивают нормальной подачи рабочей смеси в мотор, вследствие изменения уровня топлива в поплав</w:t>
      </w:r>
      <w:r w:rsidRPr="00DB5D0D">
        <w:rPr>
          <w:rFonts w:ascii="Times New Roman" w:hAnsi="Times New Roman"/>
          <w:color w:val="000000" w:themeColor="text1"/>
          <w:sz w:val="16"/>
          <w:szCs w:val="16"/>
        </w:rPr>
        <w:softHyphen/>
        <w:t>ковой камере по отношению к жиклерам. Для безотказности карбюрато</w:t>
      </w:r>
      <w:r w:rsidRPr="00DB5D0D">
        <w:rPr>
          <w:rFonts w:ascii="Times New Roman" w:hAnsi="Times New Roman"/>
          <w:color w:val="000000" w:themeColor="text1"/>
          <w:sz w:val="16"/>
          <w:szCs w:val="16"/>
        </w:rPr>
        <w:softHyphen/>
        <w:t>ров при любых фигурах полета необходимо создание специальных карбю</w:t>
      </w:r>
      <w:r w:rsidRPr="00DB5D0D">
        <w:rPr>
          <w:rFonts w:ascii="Times New Roman" w:hAnsi="Times New Roman"/>
          <w:color w:val="000000" w:themeColor="text1"/>
          <w:sz w:val="16"/>
          <w:szCs w:val="16"/>
        </w:rPr>
        <w:softHyphen/>
        <w:t>раторов.</w:t>
      </w:r>
    </w:p>
    <w:p w14:paraId="4ABE2F1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Раскрутка винтов при пикировании.</w:t>
      </w:r>
    </w:p>
    <w:p w14:paraId="7D21A6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пикировании мотор переводят на малпй газ,так что мощность мотора становится незначительной и мопет не приниматься во внима</w:t>
      </w:r>
      <w:r w:rsidRPr="00DB5D0D">
        <w:rPr>
          <w:rFonts w:ascii="Times New Roman" w:hAnsi="Times New Roman"/>
          <w:color w:val="000000" w:themeColor="text1"/>
          <w:sz w:val="16"/>
          <w:szCs w:val="16"/>
        </w:rPr>
        <w:softHyphen/>
        <w:t>ние. Скорость самолета при пикировании значительно увеличивается, а так как лопасти вннта стоят под углом к полету, то от набегающего воздушного потока винт раскручиваемся и обороты его резко увеличиваются, что создает опасность для прочности мотора (10514,54).</w:t>
      </w:r>
    </w:p>
    <w:p w14:paraId="0F0CB7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A9BE375" w14:textId="77777777" w:rsidR="006D287B" w:rsidRPr="00DB5D0D" w:rsidRDefault="006D287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июле 1940 АМ-35А предъявили на государственные испытания, которые он успешно завершил в сентябре. С конца 1940 г. выпускался в больших количествах. В начале 1941 г. введена уси</w:t>
      </w:r>
      <w:r w:rsidRPr="00DB5D0D">
        <w:rPr>
          <w:rFonts w:ascii="Times New Roman" w:hAnsi="Times New Roman"/>
          <w:color w:val="000000" w:themeColor="text1"/>
          <w:sz w:val="16"/>
          <w:szCs w:val="16"/>
        </w:rPr>
        <w:softHyphen/>
        <w:t>ленная крыльчатка ПЦН, с весны того же года — чисто механический (вместо электромеханического) привод поворотных лопаток на входе в ПЦН. К АМ-35А были спроектированы три варианта редуктора с раз</w:t>
      </w:r>
      <w:r w:rsidRPr="00DB5D0D">
        <w:rPr>
          <w:rFonts w:ascii="Times New Roman" w:hAnsi="Times New Roman"/>
          <w:color w:val="000000" w:themeColor="text1"/>
          <w:sz w:val="16"/>
          <w:szCs w:val="16"/>
        </w:rPr>
        <w:softHyphen/>
        <w:t>ными передаточными отношениями. Первые серии шли с редуктором с отношением 0,9, с 5-й серии — с 0,732. В январе 1941 г. изготовили, а затем подвергли испытаниям три образца с беспоплавковыми карбю</w:t>
      </w:r>
      <w:r w:rsidRPr="00DB5D0D">
        <w:rPr>
          <w:rFonts w:ascii="Times New Roman" w:hAnsi="Times New Roman"/>
          <w:color w:val="000000" w:themeColor="text1"/>
          <w:sz w:val="16"/>
          <w:szCs w:val="16"/>
        </w:rPr>
        <w:softHyphen/>
        <w:t>раторами, который намеревались внедрить в серии. Однако этот вари</w:t>
      </w:r>
      <w:r w:rsidRPr="00DB5D0D">
        <w:rPr>
          <w:rFonts w:ascii="Times New Roman" w:hAnsi="Times New Roman"/>
          <w:color w:val="000000" w:themeColor="text1"/>
          <w:sz w:val="16"/>
          <w:szCs w:val="16"/>
        </w:rPr>
        <w:softHyphen/>
        <w:t>ант серийно не выпускался. Всего до конца 1943 г. изготовили около 4500 АМ-35А, из них 4034 — в 1941 г. (11852).</w:t>
      </w:r>
    </w:p>
    <w:p w14:paraId="2971DBE4" w14:textId="77777777" w:rsidR="006D287B" w:rsidRPr="00DB5D0D" w:rsidRDefault="006D287B" w:rsidP="00DB5D0D">
      <w:pPr>
        <w:shd w:val="clear" w:color="auto" w:fill="FFFFFF"/>
        <w:spacing w:after="0" w:line="240" w:lineRule="auto"/>
        <w:jc w:val="both"/>
        <w:rPr>
          <w:rFonts w:ascii="Times New Roman" w:hAnsi="Times New Roman"/>
          <w:color w:val="000000" w:themeColor="text1"/>
          <w:sz w:val="16"/>
          <w:szCs w:val="16"/>
        </w:rPr>
      </w:pPr>
    </w:p>
    <w:p w14:paraId="75D80E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мотор Ам-37 прошел 100 часовые государственные испытания и был внедрен в серийное производство. Мотор АМ-38 и АМ-37 отработаны летными испытаниями на самолетах "ИЛ-2", "103" и МИГ-3. Выявленные летными испытаниями дефекты устранены (1684,22).</w:t>
      </w:r>
    </w:p>
    <w:p w14:paraId="7CB3D97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AABAA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1940 г. на М-62 введена втулка главного шатуна с боковыми уплотнениями по американскому образцу. Выпуск этой модификации прекратили на обо</w:t>
      </w:r>
      <w:r w:rsidRPr="00DB5D0D">
        <w:rPr>
          <w:rFonts w:ascii="Times New Roman" w:hAnsi="Times New Roman"/>
          <w:color w:val="000000" w:themeColor="text1"/>
          <w:sz w:val="16"/>
          <w:szCs w:val="16"/>
        </w:rPr>
        <w:softHyphen/>
        <w:t>их заводах во второй половине 1941 г. (11852).</w:t>
      </w:r>
    </w:p>
    <w:p w14:paraId="46BFFB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E2AD2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В.П.Глушко - руководитель подразделения на моторном заводе, выделившегося из НИИ-3 (бывшего РНИИ) выступил с предложением установить на 100 и Сталь-7 вспомогательные ЖРД ускорители типа ОРМ-62 с тягой по 300 кгс для увеличения скорости полета в решающие минуты воздушного боя. Предложение приняли и группу В.П.Г. преобразовали в ОКБ по ЖРД (173,411).</w:t>
      </w:r>
    </w:p>
    <w:p w14:paraId="5BEC27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Интересно, а почему не на ДБ-3Ф</w:t>
      </w:r>
    </w:p>
    <w:p w14:paraId="0DA59E7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BDED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В.П.Глушко, руководитель самостоятельного подразделения на авиамоторном заводе, выделившегося из НИИ-3 (бывшего РНИИ), выступил с предложением установить на 100 и Сталь-7 вспомогательного ускорителя типа ОРМ-62 с тягой по 300 кг (80,411).</w:t>
      </w:r>
    </w:p>
    <w:p w14:paraId="0240303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874E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ряду наркомов и первых секретарей об</w:t>
      </w:r>
      <w:r w:rsidRPr="00DB5D0D">
        <w:rPr>
          <w:rFonts w:ascii="Times New Roman" w:hAnsi="Times New Roman"/>
          <w:color w:val="000000" w:themeColor="text1"/>
          <w:sz w:val="16"/>
          <w:szCs w:val="16"/>
        </w:rPr>
        <w:softHyphen/>
        <w:t>комов ВКП(б) было вменено в обязанность взять под личное наблюдение выполнение заказов Наркомата авиапромышлен</w:t>
      </w:r>
      <w:r w:rsidRPr="00DB5D0D">
        <w:rPr>
          <w:rFonts w:ascii="Times New Roman" w:hAnsi="Times New Roman"/>
          <w:color w:val="000000" w:themeColor="text1"/>
          <w:sz w:val="16"/>
          <w:szCs w:val="16"/>
        </w:rPr>
        <w:softHyphen/>
        <w:t>ности. Специально для постоянного ускорения развертывания авиапроизводства в ряде горкомов и обкомов по реше</w:t>
      </w:r>
      <w:r w:rsidRPr="00DB5D0D">
        <w:rPr>
          <w:rFonts w:ascii="Times New Roman" w:hAnsi="Times New Roman"/>
          <w:color w:val="000000" w:themeColor="text1"/>
          <w:sz w:val="16"/>
          <w:szCs w:val="16"/>
        </w:rPr>
        <w:softHyphen/>
        <w:t xml:space="preserve">ние XVIII конференции ВКП(б) были введены должности секретаря по авиапромышленности (Шумихин </w:t>
      </w:r>
      <w:r w:rsidRPr="00DB5D0D">
        <w:rPr>
          <w:rFonts w:ascii="Times New Roman" w:hAnsi="Times New Roman"/>
          <w:color w:val="000000" w:themeColor="text1"/>
          <w:sz w:val="16"/>
          <w:szCs w:val="16"/>
          <w:lang w:val="en-US"/>
        </w:rPr>
        <w:t>B</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C</w:t>
      </w:r>
      <w:r w:rsidRPr="00DB5D0D">
        <w:rPr>
          <w:rFonts w:ascii="Times New Roman" w:hAnsi="Times New Roman"/>
          <w:color w:val="000000" w:themeColor="text1"/>
          <w:sz w:val="16"/>
          <w:szCs w:val="16"/>
        </w:rPr>
        <w:t>. Указ. соч. С. 208.). В ЦК ВКП(б) создали специальную комиссию, еженедельно рассматривавшую ход строительства авиазаводов (Арлазоров М. Фронт идёт через КБ. М., 1987. С. 90.). Одновременно с этим предпри</w:t>
      </w:r>
      <w:r w:rsidRPr="00DB5D0D">
        <w:rPr>
          <w:rFonts w:ascii="Times New Roman" w:hAnsi="Times New Roman"/>
          <w:color w:val="000000" w:themeColor="text1"/>
          <w:sz w:val="16"/>
          <w:szCs w:val="16"/>
        </w:rPr>
        <w:softHyphen/>
        <w:t>нимались меры по усилению дисциплины в высших эшело</w:t>
      </w:r>
      <w:r w:rsidRPr="00DB5D0D">
        <w:rPr>
          <w:rFonts w:ascii="Times New Roman" w:hAnsi="Times New Roman"/>
          <w:color w:val="000000" w:themeColor="text1"/>
          <w:sz w:val="16"/>
          <w:szCs w:val="16"/>
        </w:rPr>
        <w:softHyphen/>
        <w:t>нах администрации. Усилился контроль высшего руководства страны за состоянием дел в авиапромышленности. Так, 16 но</w:t>
      </w:r>
      <w:r w:rsidRPr="00DB5D0D">
        <w:rPr>
          <w:rFonts w:ascii="Times New Roman" w:hAnsi="Times New Roman"/>
          <w:color w:val="000000" w:themeColor="text1"/>
          <w:sz w:val="16"/>
          <w:szCs w:val="16"/>
        </w:rPr>
        <w:softHyphen/>
        <w:t>ября 1940 г. вышло постановление Политбюро ЦК ВКП(б) «О ежедневной информации о производстве моторов и само</w:t>
      </w:r>
      <w:r w:rsidRPr="00DB5D0D">
        <w:rPr>
          <w:rFonts w:ascii="Times New Roman" w:hAnsi="Times New Roman"/>
          <w:color w:val="000000" w:themeColor="text1"/>
          <w:sz w:val="16"/>
          <w:szCs w:val="16"/>
        </w:rPr>
        <w:softHyphen/>
        <w:t>лётов», согласно которому директора моторных и самолёт</w:t>
      </w:r>
      <w:r w:rsidRPr="00DB5D0D">
        <w:rPr>
          <w:rFonts w:ascii="Times New Roman" w:hAnsi="Times New Roman"/>
          <w:color w:val="000000" w:themeColor="text1"/>
          <w:sz w:val="16"/>
          <w:szCs w:val="16"/>
        </w:rPr>
        <w:softHyphen/>
        <w:t>ных заводов НКАП должны были ежедневно отчитываться как перед наркомом, так и перед ЦК о количестве принятых военпредами изделий (с разбивкой по типам) (1941 год. М., 1998. Кн. 1. С. 395.). Впрочем, ре</w:t>
      </w:r>
      <w:r w:rsidRPr="00DB5D0D">
        <w:rPr>
          <w:rFonts w:ascii="Times New Roman" w:hAnsi="Times New Roman"/>
          <w:color w:val="000000" w:themeColor="text1"/>
          <w:sz w:val="16"/>
          <w:szCs w:val="16"/>
        </w:rPr>
        <w:softHyphen/>
        <w:t xml:space="preserve">ально этот порядок начал действовать только с 1-го квартала 1941 г.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698. Л. 41.). Теперь руководство наркомата получало сведения от директоров заводов ежедневно. В случае минимального сни</w:t>
      </w:r>
      <w:r w:rsidRPr="00DB5D0D">
        <w:rPr>
          <w:rFonts w:ascii="Times New Roman" w:hAnsi="Times New Roman"/>
          <w:color w:val="000000" w:themeColor="text1"/>
          <w:sz w:val="16"/>
          <w:szCs w:val="16"/>
        </w:rPr>
        <w:softHyphen/>
        <w:t>жения авиавыпуска наркомат незамедлительно проводил рас</w:t>
      </w:r>
      <w:r w:rsidRPr="00DB5D0D">
        <w:rPr>
          <w:rFonts w:ascii="Times New Roman" w:hAnsi="Times New Roman"/>
          <w:color w:val="000000" w:themeColor="text1"/>
          <w:sz w:val="16"/>
          <w:szCs w:val="16"/>
        </w:rPr>
        <w:softHyphen/>
        <w:t>следование о причинах такого казуса.</w:t>
      </w:r>
    </w:p>
    <w:p w14:paraId="28E23D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строительства новых предприятий, НКАП рас</w:t>
      </w:r>
      <w:r w:rsidRPr="00DB5D0D">
        <w:rPr>
          <w:rFonts w:ascii="Times New Roman" w:hAnsi="Times New Roman"/>
          <w:color w:val="000000" w:themeColor="text1"/>
          <w:sz w:val="16"/>
          <w:szCs w:val="16"/>
        </w:rPr>
        <w:softHyphen/>
        <w:t xml:space="preserve">ширялся и за счёт поглощения предприятий других ведомств. В авиационную индустрию передавали текстильные (РГАЭ. Ф. 8328.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xml:space="preserve">. 1. Д. 1403.) заводы, фабрики школьного оборудования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1407), авиамастерские расфор</w:t>
      </w:r>
      <w:r w:rsidRPr="00DB5D0D">
        <w:rPr>
          <w:rFonts w:ascii="Times New Roman" w:hAnsi="Times New Roman"/>
          <w:color w:val="000000" w:themeColor="text1"/>
          <w:sz w:val="16"/>
          <w:szCs w:val="16"/>
        </w:rPr>
        <w:softHyphen/>
        <w:t xml:space="preserve">мированных армий прибалтийских государств (Самолётостроение в СССР. 1917—1945. Кн. П. М., 1994. С. 200.), ремонтные авиапредприятия «Аэрофлота» (Таликов Н. Полвека — первый. М., 1999. С. 16.) и Осоавиахима (РГАЭ. Ф. 8328.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1402.). За 1940 г. только самолетостроительный и моторный главки приняли соответственно И и 7 производственных единиц из других ведомств (Самолётостроение в СССР. 1917—1945. Кн. П. М„ 1994. С. 200.), а всего во второй половине 1940 г. подобной про</w:t>
      </w:r>
      <w:r w:rsidRPr="00DB5D0D">
        <w:rPr>
          <w:rFonts w:ascii="Times New Roman" w:hAnsi="Times New Roman"/>
          <w:color w:val="000000" w:themeColor="text1"/>
          <w:sz w:val="16"/>
          <w:szCs w:val="16"/>
        </w:rPr>
        <w:softHyphen/>
        <w:t>цедуре подверглось 60 заводов (Советский тыл в Великой Отечественной войне. М., 1974. С. 73.). Как правило, реконструкция свежепереданных предприятий для производства авиатехни</w:t>
      </w:r>
      <w:r w:rsidRPr="00DB5D0D">
        <w:rPr>
          <w:rFonts w:ascii="Times New Roman" w:hAnsi="Times New Roman"/>
          <w:color w:val="000000" w:themeColor="text1"/>
          <w:sz w:val="16"/>
          <w:szCs w:val="16"/>
        </w:rPr>
        <w:softHyphen/>
        <w:t xml:space="preserve">ки проводилась в ускоренные сроки, без смет и техпроектов (ГА РФ. Ф. 8007.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xml:space="preserve"> 1. Д. 25. Л. 198.). Широко практиковалась передача предприятий из вспомога</w:t>
      </w:r>
      <w:r w:rsidRPr="00DB5D0D">
        <w:rPr>
          <w:rFonts w:ascii="Times New Roman" w:hAnsi="Times New Roman"/>
          <w:color w:val="000000" w:themeColor="text1"/>
          <w:sz w:val="16"/>
          <w:szCs w:val="16"/>
        </w:rPr>
        <w:softHyphen/>
        <w:t>тельных ГУ НКАП в основные — занятые авиастроением. В результате 1 февраля 1941 г. начальник планового отдела НКАП Водяницкий поставил перед наркомом Шахуриным вопрос о срочном расширении мощностей немногих остав</w:t>
      </w:r>
      <w:r w:rsidRPr="00DB5D0D">
        <w:rPr>
          <w:rFonts w:ascii="Times New Roman" w:hAnsi="Times New Roman"/>
          <w:color w:val="000000" w:themeColor="text1"/>
          <w:sz w:val="16"/>
          <w:szCs w:val="16"/>
        </w:rPr>
        <w:softHyphen/>
        <w:t>шихся ремонтных заводов (РГАЭ. Ф. 8044. Оп.1. Д. 673. Л. 214.). Рост численности ВВС естествен</w:t>
      </w:r>
      <w:r w:rsidRPr="00DB5D0D">
        <w:rPr>
          <w:rFonts w:ascii="Times New Roman" w:hAnsi="Times New Roman"/>
          <w:color w:val="000000" w:themeColor="text1"/>
          <w:sz w:val="16"/>
          <w:szCs w:val="16"/>
        </w:rPr>
        <w:softHyphen/>
        <w:t>ным образом повышал нагрузку на ремонтные предприятия, а перепрофилирование многих из их числа на самолётострое</w:t>
      </w:r>
      <w:r w:rsidRPr="00DB5D0D">
        <w:rPr>
          <w:rFonts w:ascii="Times New Roman" w:hAnsi="Times New Roman"/>
          <w:color w:val="000000" w:themeColor="text1"/>
          <w:sz w:val="16"/>
          <w:szCs w:val="16"/>
        </w:rPr>
        <w:softHyphen/>
        <w:t>ние делал положение на оставшихся авиаремонтных заводах попросту нетерпимым (12011).</w:t>
      </w:r>
    </w:p>
    <w:p w14:paraId="0A671BA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09CC5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было подготовлено Заключение по предложениям Гроховского:</w:t>
      </w:r>
    </w:p>
    <w:p w14:paraId="093EDA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рассмотрев предложения Гроховского сделала выводы:</w:t>
      </w:r>
    </w:p>
    <w:p w14:paraId="4B5C0A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Предложенные к разработке и исследованиям идеи Гроховского в значительной своей части не являются новыми и часть аналогичных предложений разрабатывалось и уже осуществлены. (Приспособления из области парашютно-десантного дела, управляемые торпеды, скоростной катер и др.).</w:t>
      </w:r>
    </w:p>
    <w:p w14:paraId="250E23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Часть аналогичных предложений испытывалась ранее и отклонены как несоответствующие современным требованиям (самолет с качающимися крыльями вместо винта, планирующая торпеда и др.).</w:t>
      </w:r>
    </w:p>
    <w:p w14:paraId="2A6E58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Часть же предложений содержать только идеи, не подкрепленные никакими техническими расчетами и не увязанные с современным состоянием техники и представляют фантазию автора (подводные "догонщики", подлодки-матки, торпеды, управляемые собаками и др.).</w:t>
      </w:r>
    </w:p>
    <w:p w14:paraId="664EEA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считает:</w:t>
      </w:r>
    </w:p>
    <w:p w14:paraId="7C8738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Просьба Гроховского о создании Экспериментально-исследовательского института или КБ с заводом (общий штат 825 чел.) для реализации его предложений должна быть отклонена.</w:t>
      </w:r>
    </w:p>
    <w:p w14:paraId="6A868E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 разработки предложений из области морского судостроения, новых конструкций самолетов, как не отвечающих требованиям и не ясных по их техническому оформлению - отказаться.</w:t>
      </w:r>
    </w:p>
    <w:p w14:paraId="470275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системе НКАП имеется специальное КБ (конструктор Привалов), которое объединяет все работы по парашютно-десантным приспособлениям. Создание самостоятельного, параллельного КБ по этим вопросам нецелесообразно.</w:t>
      </w:r>
    </w:p>
    <w:p w14:paraId="445853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Зам. наркома Авиапрома Кузнецов А.И. и Яковлев А.С., а также гл. конструктор Бюро по парашютно-десантным приспособлениям Привалов, хорошо знающие деятельность Гроховского в системе быв. ГУАП категорически возражают против использования его в системе НКАП.</w:t>
      </w:r>
    </w:p>
    <w:p w14:paraId="0B86DF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 Гроховский возражает против предложения работать со своей группой в составе этого КБ, настаивая на самостоятельности (3367,196-198).</w:t>
      </w:r>
    </w:p>
    <w:p w14:paraId="5044F16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EDB0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ГВ Совет принял новые самолеты на вооружение и именно оно было утверждено 27 августа КО, а 7 декабря - установили программу выпуска (66,219).</w:t>
      </w:r>
    </w:p>
    <w:p w14:paraId="5CA4344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277AF84"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к обязанностям директора з-да № 126 приступил Д.А.Тимофеев. С конца 1940 г. завод стал внедрять в производство модификацию ДБ-3Т (торпедоносец) и ДБ-3ПТ (на поплавках). В 1939 г. было выпущено 100 машин ДБ-3. В 1940 г. — 125 машин. Завод постепенно осваивал производство нового самолета ДБ-3Ф, а затем и ИЛ-4 (12211)</w:t>
      </w:r>
    </w:p>
    <w:p w14:paraId="6495153F" w14:textId="77777777" w:rsidR="00A556B7" w:rsidRPr="00DB5D0D" w:rsidRDefault="00A556B7" w:rsidP="00DB5D0D">
      <w:pPr>
        <w:pStyle w:val="5b"/>
        <w:shd w:val="clear" w:color="auto" w:fill="auto"/>
        <w:spacing w:line="240" w:lineRule="auto"/>
        <w:jc w:val="both"/>
        <w:rPr>
          <w:rStyle w:val="5c"/>
          <w:rFonts w:ascii="Times New Roman" w:hAnsi="Times New Roman" w:cs="Times New Roman"/>
          <w:i w:val="0"/>
          <w:color w:val="000000" w:themeColor="text1"/>
          <w:sz w:val="16"/>
          <w:szCs w:val="16"/>
          <w:lang w:val="ru-RU"/>
        </w:rPr>
      </w:pPr>
    </w:p>
    <w:p w14:paraId="465CF7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1940 г. завод им. Сталина передан из НКТМ в систему 3ГУ НКАП в качестве филиала завода № 16 НКАП в Воронеже (руководитель- Д.А. Морозов). Началось освоение производства моторов М-11.</w:t>
      </w:r>
    </w:p>
    <w:p w14:paraId="779DBB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СНК от 26.07.1940 г. и приказом НКАП № 193сс от 3.03.1941 г. завод получил самостоятельность и наименование ГС завод № 154 им. Сталина 3ГУ НКАП.</w:t>
      </w:r>
    </w:p>
    <w:p w14:paraId="7926F6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1941 г.- освоение выпуска мотора МВ-6.</w:t>
      </w:r>
    </w:p>
    <w:p w14:paraId="66BFE7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10.1941 г. завод № 154 эвакуирован в г. Андижан Узбекской ССР на новую площадку (выделены хлопковые амбары), где до 01.1942 г. выпускал М-11Д. По приказу № 86с/ 3с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w:t>
      </w:r>
    </w:p>
    <w:p w14:paraId="6B13C1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1965 г. завод № 154 передан из системы СНХ в подчинение 2ГУ МОМ и по приказу от 6.03.1966 г. преобразован в ВМЗ.</w:t>
      </w:r>
    </w:p>
    <w:p w14:paraId="6FEA68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1957 г. завод перешел, в основном, на производство ЖРД. Выпускал также поршневые моторы, вертолетные редукторы. </w:t>
      </w:r>
    </w:p>
    <w:p w14:paraId="0EC380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1998 г. завод преобразован в ФГУП. По Указу Президента РФ № 1009 от 4.08.2004 г. вошел в перечень стратегических оборонных предприятий.</w:t>
      </w:r>
    </w:p>
    <w:p w14:paraId="7D2C3E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256A2D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(1941-09.1943 г.-)- Д.А. Морозов, И.И. Абрамов, Б.А. Чевела. Гендиректор (-1997-2002 г.-)- А.И. Часовских.</w:t>
      </w:r>
    </w:p>
    <w:p w14:paraId="756351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(1940 г.)- И.Н. Шендерович, (1941 г.)- М.А. Коссов.</w:t>
      </w:r>
    </w:p>
    <w:p w14:paraId="7E2806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зам. гендиректора (2002 г.)- А.В. Бондарь, (2002 г.)- А.М. Лапшин. Зам. гендиректора: по производству (2002 г.)- И.Т. Коптев; О. Малышев.</w:t>
      </w:r>
    </w:p>
    <w:p w14:paraId="609CCC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Технический директор (2002 г.)- А.В. Бондарь. Гл. инженер (2002 г.)- Н.В. Сухоруков.</w:t>
      </w:r>
    </w:p>
    <w:p w14:paraId="7A5CCC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конструктора филиала по маломощным моторам (09.1940 г.-)- М.А. Коссов.</w:t>
      </w:r>
    </w:p>
    <w:p w14:paraId="551541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Производство: ПД: М-11 (1941-42), М-11Д (1943-47), М-11Ф (1944-45), М-11К, -Л (1948-50), М-11ФРВ (1949-59), М-14Р (1950-51), АШ-62ИР (1952-62-), АИ-14Р (1954-62-), АИ-14В (1956-60), АИ-14ВФ (1960-),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(2002), РД-0110 для РН «Молния-М» (2000-е); РД-0210, РД-0212, РД-0213 и РД-0214 для 2-й и 3-й ступеней РН «Протон» (2000-е); РД-0120 для МКС «Энергия-Буран»; РД-58М для РН «Зенит-3SL»; гл. редуктор ВР-226 для Ка-226; нефтегазовое оборудование, топливозаправочные колонки, агрегаты автомобильных двигателей, бытовые газовые и электроплиты (2002).69 </w:t>
      </w:r>
    </w:p>
    <w:p w14:paraId="2B70E6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ГС Завод № 154 им. Сталина НКАП, МАП, СНХ, завод «Триер», Завод им. Сталина НКТМ, Воронежский механический завод (ВМЗ) МОМ, ФГУП «ВМЗ»</w:t>
      </w:r>
    </w:p>
    <w:p w14:paraId="254405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Воронеж; г. Андижан; г. Воронеж</w:t>
      </w:r>
    </w:p>
    <w:p w14:paraId="3DA4A0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394055 г. Воронеж ул. Ворошилова, 22 тел. 34-82-34 www.vmz.vsi.ru</w:t>
      </w:r>
    </w:p>
    <w:p w14:paraId="6F9DFB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КБ филиала завода № 16 НКАП, ОКБ завода № 154 НКАП, ОКБ-154 НКАП </w:t>
      </w:r>
    </w:p>
    <w:p w14:paraId="1AC92E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Воронеж; г. Андижан</w:t>
      </w:r>
    </w:p>
    <w:p w14:paraId="32FEB8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СНК от 26.07.1940 г. и приказом № 193сс от 3.03.1941 г., одновременно с образованием завода № 154, КБ филиала завода № 16 реорганизовано в ОКБ завода № 154 НКАП.</w:t>
      </w:r>
    </w:p>
    <w:p w14:paraId="70FA67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Разработаны модификации мотора М-11, созданы опытные моторы М-32, МВ-6 для самолета «Аист». </w:t>
      </w:r>
    </w:p>
    <w:p w14:paraId="5168B7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 г. эвакуировано из Воронежа в г. Андижан.</w:t>
      </w:r>
    </w:p>
    <w:p w14:paraId="396057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НКАП № 146с от 26.02.1944 г. ОКБ-154 переведено со всеми кадрами и оборудованием из Андижана на моторный завод № 41 НКАП в Москву.</w:t>
      </w:r>
    </w:p>
    <w:p w14:paraId="3FFDC8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(1941 г.)- М.А. Коссов (до этого-начальник отдела НИИАД).</w:t>
      </w:r>
    </w:p>
    <w:p w14:paraId="05F6E8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ОКБ-154-1 МАП, ОКБ-154-269, ОКБ-154 МАП, ГКАТ, КБ химавтоматики (КБХА) МОМ, Минхимнефтепрома, ФГУП «КБ Химавтоматики» им. С.А. Косберга»</w:t>
      </w:r>
    </w:p>
    <w:p w14:paraId="6C50E6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394006 г. Воронеж ул. Ворошилова, 22 тел. 333-673</w:t>
      </w:r>
    </w:p>
    <w:p w14:paraId="7697DE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04.1946 г. ОКБ-296 МАП гл. конструктора С.А. Косберга переведено на завод № 154 и получило название ОКБ-154-1. </w:t>
      </w:r>
    </w:p>
    <w:p w14:paraId="3B4CB9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послевоенный период проводились работы по агрегатам и системам топливопитания и регулирования авиамоторов, в т.ч. насосам непосредственного впрыска, создано 11 типов НВ, 9 из которых внедрены в серию (до 1952 г.). Далее- работы по агрегатам для ТРД: топливные форсунки, фильтры, РПТ для форсажной камеры, системы управления двигателем. Затем создан ряд ЖРД для опытных самолетов (в 1954-58гг.), стартеров и ускорителей на жидком и твердом топливе. С 1958 г.- разработка мощных ЖРД для РН и КА. </w:t>
      </w:r>
    </w:p>
    <w:p w14:paraId="09844D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1960 г. введены в строй стенды № 3 и 4 для испытаний ЖРД.</w:t>
      </w:r>
    </w:p>
    <w:p w14:paraId="339644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 газодинамический лазер РД-0600; экспериментальный гиперзвуковой ПВРД.</w:t>
      </w:r>
    </w:p>
    <w:p w14:paraId="26DE72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Совместно с Курчатовским институтом и Институтом физики и энергии создан единственный в мире действующий ядерный ракетный двигатель РД-0410 мощностью 196 МВт. Он был испытан в конце 1970-х г. на Семипалатинском полигоне. ПМ-2/02 Принимало участие в программе создания ОК «Буран» (ЖРД для для блока Ц).</w:t>
      </w:r>
    </w:p>
    <w:p w14:paraId="3EDB09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1965 г. ОКБ-154 ГКАТ передано в подчинение 2ГУ МОМ и по приказу от 6.03.1966 г. преобразовано в КБ химавтоматики (КБХА, КБ "Химавтоматика"). В 1990 г. ОКБ «Химавтоматика»- в ведении Минхимнефтепрома.77</w:t>
      </w:r>
    </w:p>
    <w:p w14:paraId="73F79A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1966 г. ОКБ имело филиал в Воронеже.</w:t>
      </w:r>
    </w:p>
    <w:p w14:paraId="7D0165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начало 2000-х г. создано около 60 типов ЖРД, 30 из которых строились серийно.</w:t>
      </w:r>
    </w:p>
    <w:p w14:paraId="39AB42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(2002 г.): ЖРД для РН «Союз-2», трехкомпонентный РД, ГПВРД, ГТД малой мощности.</w:t>
      </w:r>
    </w:p>
    <w:p w14:paraId="7A1FA7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 КБХА входят (2002 г.): КБ, завод ракетных двигателей, экспериментальный завод, ДП «Турбонасос».</w:t>
      </w:r>
    </w:p>
    <w:p w14:paraId="2B645F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4BEB3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Численность персонала (1960 г.)- 1176 чел., (1972 г.)- 6111 чел.77 </w:t>
      </w:r>
    </w:p>
    <w:p w14:paraId="63036A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ОКБ (04.1946- 65 г.)- С.А. Косберг {1903-65 г.}, (1965-93 г.)- А.Д. Конопатов. Ген. конструктор (1990-е-2002 г.-)- В.С. Рачук.</w:t>
      </w:r>
    </w:p>
    <w:p w14:paraId="151A8E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Гендиректор (-2000-02 г.-)- В.С. Рачук.</w:t>
      </w:r>
    </w:p>
    <w:p w14:paraId="36D37C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 В.П. Козелков (РД-0124,-0233…-0237,-0242,-0243), Г.И. Чурсин (РД-0120,-0410), В.С. Рачук (РД-0120).</w:t>
      </w:r>
    </w:p>
    <w:p w14:paraId="6A5CB6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зам. гендиректора (2002 г.)- Ю.А. Шипулин. Зам. гендиректора (2002 г.)- А.И. Фещенко; по конверсии (2002 г.)- С.Г. Валюхов.</w:t>
      </w:r>
    </w:p>
    <w:p w14:paraId="01DD06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Директор опытного завода (1977 г.)- Г.В. Костин,77 экспериментального завода (2002 г.)- В.И. Пригожин. Директор НПК «ЖРД» (2002 г.)- А.В. Шостак. Директор завода РД (2002 г.)- А.И. Фещенко. Создано: ЖРД: ускорители Д-154, РД-0101 для Е-50А (1954), РД-0102 (Д1, СК1, 1954-58) для Як-27; Д-7 для К-7, для ЗУР "Даль", Р01-154 для ЗУР «400» (1956), РД-0200 для ЗУР 5В11 (1957-60), РД-0201 для ЗУР 1100В (1957-60); РД-0105 для РН «Луна», РД-0106 для БР Р-9А, РД-0107 и РД-0108 для РН «Молния» и «Восход», РД-0109 для РН «Восток», РД-0110 для РН «Союз», РД-0120 для РН «Энергия», РД-0124 для РН «Союз-2», РД-0126 для разгонных блоков, РД-0132М, РД-0134, РД-0142, РД-0143, РД-0144, РД-0146, РД-0148, РД-0149, РД-0203, РД-0204, РД-0205 и РД-0206 для БР УР-200, РД-0208, РД-0209, РД-0210, РД-0211 и РД-0212 для РН «Протон», РД-0216 и РД-0217 для БР РС-10, РД-0221 для РН Н-1, РД-0225 для КК «Алмаз», РД-0228 и РД-0229 для РС-20, РД-0230, РД-0231 для КР «Гранит», РД-0233, РД-0234, РД-0235, РД-0236 и РД-0237 для РС-18, РД-0242 для УР морского базирования, РД-0243 для РСМ-54, РД-0244, РД-0245, РД-0255 и РД-0256 для РС-20, РД-0257;50 11Д58МФД для РН «Полет»; ЯРД РД-0410; ГДЛ РД-0600. </w:t>
      </w:r>
    </w:p>
    <w:p w14:paraId="175E83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ОКБ-154-2 МАП, ОКБ-2 завода № 154 МАП </w:t>
      </w:r>
    </w:p>
    <w:p w14:paraId="1FD9D0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Воронеж</w:t>
      </w:r>
    </w:p>
    <w:p w14:paraId="022FE9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1947 г. на заводе № 154 вновь образовалось ОКБ-2 (ОКБ-154-2, далее- ОКБ-154) в системе 8ГУ. </w:t>
      </w:r>
    </w:p>
    <w:p w14:paraId="0325C3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агрегатам топливопитания ГТД, по ЖРД для авиации и РКТ. В 1947 г. разработан двухконтурный ВРД ТР-40. ОКБ ликвидировано в с 1.07.1948 г., личный состав передан заводу № 154.</w:t>
      </w:r>
    </w:p>
    <w:p w14:paraId="5AB700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(1947-48 г.)- С.А. Аксютин (ранее- гл. конструктор КБ Кировского завода).</w:t>
      </w:r>
    </w:p>
    <w:p w14:paraId="398968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 завода № 154 МАП, ОКБ-154-2 ГКАТ, Воронежское Опытное конструкторское бюро моторостроения (ОКБМ), АООТ, ОАО «ОКБМ»</w:t>
      </w:r>
    </w:p>
    <w:p w14:paraId="676AA1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394086 г. Воронеж, ул. Ворошилова, 22 тел. 77-11-94</w:t>
      </w:r>
    </w:p>
    <w:p w14:paraId="00BED9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 образовалось в 1960 г. на базе серийного КБ завода № 154. Действовало как ОКБ-154-2. В 1963-66 г. оно было филиалом ЗМКБ «Прогресс» гл. конструктора А.Г. Ивченко, с 1966 г. снова стало самостоятельным. С 1991 г.- АООТ «ОКБМ». По Указу Президента РФ № 1009 от 4.08.2004 г. ОАО вошло в число стратегических оборонных предприятий.</w:t>
      </w:r>
    </w:p>
    <w:p w14:paraId="34BCA1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Разработаны модификации двигателя АИ-14: АИ-14ВФ, АИ-14РФ, АИ-14ЧР. После переключения ЗМКБ «Прогресс» на разработку ГТД ОКБМ самостоятельно продолжило развитие этого двигателя под названием М-14. Разработка звездообразных поршневых авиадвигателей, главных редукторов вертолетов, редукторов-шарниров для авиационно-космической техники. Принимало участие в программе создания ОК «Буран».</w:t>
      </w:r>
    </w:p>
    <w:p w14:paraId="4391B9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Гл. конструктор (1960-73 г.)- И.М. Веденеев. Ген. конструктор (1973-2002 г.-)- А.Г. Баканов. </w:t>
      </w:r>
    </w:p>
    <w:p w14:paraId="48971B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Гендиректор (-1998-2002 г.-)- А.Г. Баканов.49 </w:t>
      </w:r>
    </w:p>
    <w:p w14:paraId="680F36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Зам. Гендиректора (-2000-02 г.-)- А.И. Антоненков, (2002 г.)- М.А. Баканов, (2002 г.)- В.Д. Шерстюков.50 </w:t>
      </w:r>
    </w:p>
    <w:p w14:paraId="2AB6A2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Зам. Ген. Конструктора (2000 г.)- В.Д. Шерстюков. </w:t>
      </w:r>
    </w:p>
    <w:p w14:paraId="3B8AB9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Коммерческий директор (2002 г.)- В.А. Сысоев.69 </w:t>
      </w:r>
    </w:p>
    <w:p w14:paraId="53F6C0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Создано: ПД: М-14П, М-16, М-17, М-18; (2002): М3, М25, М29, М20, М28, М23; М22 9,5 л.с. для мотоблоков; ТВД-10; гл. редукторы: Р-26 (1969), ВР-126, ВР-226, ВР-60А, ВР-62, ВР-160, ХВР-600А; РШ: Р-40, Р-35 и Р-36 для «Бурана», РШ-38, РШ-39, РШ-41, РШ-43.</w:t>
      </w:r>
    </w:p>
    <w:p w14:paraId="3C50C2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ЗАО «ОКБМ-Тантал»</w:t>
      </w:r>
    </w:p>
    <w:p w14:paraId="0145BD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2000 г.: ОКР «Инфратерм» по разработке системы бескамерного нагрева и сушки на основе инфракрасного излучения.</w:t>
      </w:r>
    </w:p>
    <w:p w14:paraId="6B7442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ФГУП «Турбонасос» </w:t>
      </w:r>
    </w:p>
    <w:p w14:paraId="66202B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Воронеж</w:t>
      </w:r>
    </w:p>
    <w:p w14:paraId="7B3BA8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Дочернее предприятие (ДП) КБХА (2002 г.).</w:t>
      </w:r>
    </w:p>
    <w:p w14:paraId="3AB202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A0A66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(2002 г.)- С.Г. Валюхов (10776).</w:t>
      </w:r>
    </w:p>
    <w:p w14:paraId="5C022A7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235F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июля 1940 г. завод им. Сталина (Завод № 154 им. Сталина НКАП, МАП, СНХ, Завод «Триер», Дизельный завод, Завод им. Сталина НКТП, НКМ, НКТМ, Воронежский механический завод (ВМЗ) </w:t>
      </w:r>
      <w:r w:rsidRPr="00DB5D0D">
        <w:rPr>
          <w:rFonts w:ascii="Times New Roman" w:hAnsi="Times New Roman"/>
          <w:color w:val="000000" w:themeColor="text1"/>
          <w:sz w:val="16"/>
          <w:szCs w:val="16"/>
          <w:lang w:val="en-US"/>
        </w:rPr>
        <w:t>MOM</w:t>
      </w:r>
      <w:r w:rsidRPr="00DB5D0D">
        <w:rPr>
          <w:rFonts w:ascii="Times New Roman" w:hAnsi="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передан из НКТМ в систему ЗГУ НКАП в качестве филиала завода № 16 НКАП в Воронеже (руководитель- Д.А. Морозов). Сюда было передано с завода № 16 производство маломощных авиационных моторов. С 07.1940 г. начат выпуск авиационного мотора М-11, в 1941 г. начато освоение выпуска мотора МВ-6. К 1.01.1942 г. планировалось вывести завод на проектную мощность в 6 тыс. М-11 и 1000 МВ-6 в год.</w:t>
      </w:r>
    </w:p>
    <w:p w14:paraId="1A0A4C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соответствии с пост. СНК от 26.07.1940 г. и приказом НКАП № 193сс от 3.03.1941 г. завод получил самостоятельность и наименование ГС завод № 154 им. Сталина ЗГУ НКАП.</w:t>
      </w:r>
    </w:p>
    <w:p w14:paraId="18342E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16.08.1941 г. вышло постановление ГКО № 500 о прекращении производства моторов МВ-6 на заводе № 154.</w:t>
      </w:r>
    </w:p>
    <w:p w14:paraId="24F356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8.10.1941 г. завод № 154 эвакуирован в  г. Андижан Узбекской ССР на новую площадку (выделены хлопковые амбары), где до 01.1942 г. выпускал М-11Д. Всего в Андижане за годы войны выпущено более 30 тыс. моторов.</w:t>
      </w:r>
    </w:p>
    <w:p w14:paraId="264538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боев за освобождение Воронежа завод был полностью разрушен. 9.07.1943 г. завод № 154 НКАП передан в систему сельскохозяйственного машиностроения, 7.10.1943 г. переименован в завод «Воронежсельмаш».™</w:t>
      </w:r>
      <w:r w:rsidRPr="00DB5D0D">
        <w:rPr>
          <w:rFonts w:ascii="Times New Roman" w:hAnsi="Times New Roman"/>
          <w:color w:val="000000" w:themeColor="text1"/>
          <w:sz w:val="16"/>
          <w:szCs w:val="16"/>
          <w:vertAlign w:val="superscript"/>
        </w:rPr>
        <w:t>8</w:t>
      </w:r>
      <w:r w:rsidRPr="00DB5D0D">
        <w:rPr>
          <w:rFonts w:ascii="Times New Roman" w:hAnsi="Times New Roman"/>
          <w:color w:val="000000" w:themeColor="text1"/>
          <w:sz w:val="16"/>
          <w:szCs w:val="16"/>
        </w:rPr>
        <w:t>"™</w:t>
      </w:r>
    </w:p>
    <w:p w14:paraId="488EC2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86с/ Зс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27D186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DB5D0D">
        <w:rPr>
          <w:rFonts w:ascii="Times New Roman" w:hAnsi="Times New Roman"/>
          <w:color w:val="000000" w:themeColor="text1"/>
          <w:sz w:val="16"/>
          <w:szCs w:val="16"/>
          <w:lang w:val="en-US"/>
        </w:rPr>
        <w:t>MOM</w:t>
      </w:r>
      <w:r w:rsidRPr="00DB5D0D">
        <w:rPr>
          <w:rFonts w:ascii="Times New Roman" w:hAnsi="Times New Roman"/>
          <w:color w:val="000000" w:themeColor="text1"/>
          <w:sz w:val="16"/>
          <w:szCs w:val="16"/>
        </w:rPr>
        <w:t xml:space="preserve"> и по приказу от 6.03.1966 г. преобразован в ВМЗ.</w:t>
      </w:r>
    </w:p>
    <w:p w14:paraId="2C1F05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3D23BE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DB5D0D">
        <w:rPr>
          <w:rFonts w:ascii="Times New Roman" w:hAnsi="Times New Roman"/>
          <w:color w:val="000000" w:themeColor="text1"/>
          <w:sz w:val="16"/>
          <w:szCs w:val="16"/>
          <w:vertAlign w:val="superscript"/>
        </w:rPr>
        <w:t>3</w:t>
      </w:r>
      <w:r w:rsidRPr="00DB5D0D">
        <w:rPr>
          <w:rFonts w:ascii="Times New Roman" w:hAnsi="Times New Roman"/>
          <w:color w:val="000000" w:themeColor="text1"/>
          <w:sz w:val="16"/>
          <w:szCs w:val="16"/>
        </w:rPr>
        <w:t>); штамповка оболочковых изделий взрывом.</w:t>
      </w:r>
    </w:p>
    <w:p w14:paraId="1F4365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7792AB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1990-х  г. освоен выпуск нефтегазового оборудования.</w:t>
      </w:r>
    </w:p>
    <w:p w14:paraId="50C13D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206308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составе предприятия: цехи: литья по выплавляемым моделям (</w:t>
      </w:r>
      <w:r w:rsidRPr="00DB5D0D">
        <w:rPr>
          <w:rFonts w:ascii="Times New Roman" w:hAnsi="Times New Roman"/>
          <w:color w:val="000000" w:themeColor="text1"/>
          <w:sz w:val="16"/>
          <w:szCs w:val="16"/>
          <w:lang w:val="en-US"/>
        </w:rPr>
        <w:t>JIBM</w:t>
      </w:r>
      <w:r w:rsidRPr="00DB5D0D">
        <w:rPr>
          <w:rFonts w:ascii="Times New Roman" w:hAnsi="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1254FA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611D1D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34F766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1-й зам. гендиректора (2002 г.)- А.В. Бондарь, (2002 г.)- </w:t>
      </w:r>
      <w:r w:rsidRPr="00DB5D0D">
        <w:rPr>
          <w:rFonts w:ascii="Times New Roman" w:hAnsi="Times New Roman"/>
          <w:color w:val="000000" w:themeColor="text1"/>
          <w:sz w:val="16"/>
          <w:szCs w:val="16"/>
          <w:lang w:val="en-US"/>
        </w:rPr>
        <w:t>A</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M</w:t>
      </w:r>
      <w:r w:rsidRPr="00DB5D0D">
        <w:rPr>
          <w:rFonts w:ascii="Times New Roman" w:hAnsi="Times New Roman"/>
          <w:color w:val="000000" w:themeColor="text1"/>
          <w:sz w:val="16"/>
          <w:szCs w:val="16"/>
        </w:rPr>
        <w:t>. Лапшин. Зам. гендиректора: по производству (2002 г.)- И.Т. Коптев; О. Малышев.</w:t>
      </w:r>
    </w:p>
    <w:p w14:paraId="1214F5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(1940 г.)- И.Н. Шендерович, (1941 г.)- М.А. Коссов.</w:t>
      </w:r>
    </w:p>
    <w:p w14:paraId="4918F5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директор (2002 г.)- А.В. Бондарь. Гл. инженер (2002 г.)- Н.В. Сухоруков.</w:t>
      </w:r>
    </w:p>
    <w:p w14:paraId="5D9D55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конструктора филиала по маломощным моторам (09.1940 г.-)- М.А. Коссов.</w:t>
      </w:r>
    </w:p>
    <w:p w14:paraId="77E932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Гендиректор московского представительства (-2003-06 г.-)- А. Г. Пыкин.</w:t>
      </w:r>
    </w:p>
    <w:p w14:paraId="484B34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Финансовый директор московского представительства (2006 г.)-  Г.А. Проскурин.</w:t>
      </w:r>
    </w:p>
    <w:p w14:paraId="0819B3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отдела продаж представительства (2006 г.)- А.А. Валеев.</w:t>
      </w:r>
    </w:p>
    <w:p w14:paraId="5D0897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DB5D0D">
        <w:rPr>
          <w:rFonts w:ascii="Times New Roman" w:hAnsi="Times New Roman"/>
          <w:color w:val="000000" w:themeColor="text1"/>
          <w:sz w:val="16"/>
          <w:szCs w:val="16"/>
          <w:vertAlign w:val="superscript"/>
        </w:rPr>
        <w:t>69</w:t>
      </w:r>
      <w:r w:rsidRPr="00DB5D0D">
        <w:rPr>
          <w:rFonts w:ascii="Times New Roman" w:hAnsi="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2D9704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ремонт 45-мм пушек (1937) (11982).</w:t>
      </w:r>
    </w:p>
    <w:p w14:paraId="1583EB2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E1DF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на ДВ летали все три л/л Мартин 156 под обозначением ПС-30, но в декабре 1940 числилась только одна машина она эксплуатировалась до сентября 1944, налетав 945 час. и после того, как постояла в резерве, был списана только в июле 1946. Экипаж подготовил НИИ ВВС и он включал к А.Я.Овечкина, 2-й п Н.М.Деркунского и м М.В.Туликова, а также р А.Тульвинского (3457,39).</w:t>
      </w:r>
    </w:p>
    <w:p w14:paraId="744866F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8A35C1E" w14:textId="77777777" w:rsidR="003C7E8B" w:rsidRPr="00DB5D0D" w:rsidRDefault="003C7E8B" w:rsidP="00DB5D0D">
      <w:pPr>
        <w:pStyle w:val="a3"/>
        <w:rPr>
          <w:color w:val="000000" w:themeColor="text1"/>
          <w:lang w:val="ru-RU"/>
        </w:rPr>
      </w:pPr>
      <w:r w:rsidRPr="00DB5D0D">
        <w:rPr>
          <w:color w:val="000000" w:themeColor="text1"/>
          <w:lang w:val="ru-RU"/>
        </w:rPr>
        <w:t>В июле 1940 г. приборы ЗАРП- 100ТШ</w:t>
      </w:r>
      <w:r w:rsidRPr="00DB5D0D">
        <w:rPr>
          <w:rStyle w:val="FranklinGothicBook111pt11"/>
          <w:rFonts w:ascii="Times New Roman" w:hAnsi="Times New Roman" w:cs="Times New Roman"/>
          <w:color w:val="000000" w:themeColor="text1"/>
          <w:spacing w:val="0"/>
          <w:sz w:val="16"/>
          <w:szCs w:val="16"/>
          <w:lang w:val="ru-RU"/>
        </w:rPr>
        <w:t xml:space="preserve"> и</w:t>
      </w:r>
      <w:r w:rsidRPr="00DB5D0D">
        <w:rPr>
          <w:color w:val="000000" w:themeColor="text1"/>
          <w:lang w:val="ru-RU"/>
        </w:rPr>
        <w:t xml:space="preserve"> ЗАРП-500ТШ использова</w:t>
      </w:r>
      <w:r w:rsidRPr="00DB5D0D">
        <w:rPr>
          <w:color w:val="000000" w:themeColor="text1"/>
          <w:lang w:val="ru-RU"/>
        </w:rPr>
        <w:softHyphen/>
        <w:t>ли для поражения реальных целей. В полигон превратили большое село Борисоглебское в районе Ры</w:t>
      </w:r>
      <w:r w:rsidRPr="00DB5D0D">
        <w:rPr>
          <w:color w:val="000000" w:themeColor="text1"/>
          <w:lang w:val="ru-RU"/>
        </w:rPr>
        <w:softHyphen/>
        <w:t>бинска, подлежавшее затоплению при создании водохранилища. Пос</w:t>
      </w:r>
      <w:r w:rsidRPr="00DB5D0D">
        <w:rPr>
          <w:color w:val="000000" w:themeColor="text1"/>
          <w:lang w:val="ru-RU"/>
        </w:rPr>
        <w:softHyphen/>
        <w:t>ле эвакуации населения по селу ста</w:t>
      </w:r>
      <w:r w:rsidRPr="00DB5D0D">
        <w:rPr>
          <w:color w:val="000000" w:themeColor="text1"/>
          <w:lang w:val="ru-RU"/>
        </w:rPr>
        <w:softHyphen/>
        <w:t>ли наносить удары самолеты ДБ-3 и СБ. На последних действовала, на</w:t>
      </w:r>
      <w:r w:rsidRPr="00DB5D0D">
        <w:rPr>
          <w:color w:val="000000" w:themeColor="text1"/>
          <w:lang w:val="ru-RU"/>
        </w:rPr>
        <w:softHyphen/>
        <w:t>пример, 3-я эскадрилья 44-го Крас</w:t>
      </w:r>
      <w:r w:rsidRPr="00DB5D0D">
        <w:rPr>
          <w:color w:val="000000" w:themeColor="text1"/>
          <w:lang w:val="ru-RU"/>
        </w:rPr>
        <w:softHyphen/>
        <w:t>нознаменного скоростного бом</w:t>
      </w:r>
      <w:r w:rsidRPr="00DB5D0D">
        <w:rPr>
          <w:color w:val="000000" w:themeColor="text1"/>
          <w:lang w:val="ru-RU"/>
        </w:rPr>
        <w:softHyphen/>
        <w:t>бардировочного полка, летавшая из Иванова. Преследовали цель определить эффективность различ</w:t>
      </w:r>
      <w:r w:rsidRPr="00DB5D0D">
        <w:rPr>
          <w:color w:val="000000" w:themeColor="text1"/>
          <w:lang w:val="ru-RU"/>
        </w:rPr>
        <w:softHyphen/>
        <w:t>ных боеприпасов против городской застройки. Для «огненного дождя» определили целями церковь, здание техникума и нефтебазу. В баках последней специально оставили некоторое количество топлива. Авиация вызывала пожары, а спе</w:t>
      </w:r>
      <w:r w:rsidRPr="00DB5D0D">
        <w:rPr>
          <w:color w:val="000000" w:themeColor="text1"/>
          <w:lang w:val="ru-RU"/>
        </w:rPr>
        <w:softHyphen/>
        <w:t>циалисты ЦНИИ пожарной охраны НКВД оценивали их опасность и тушили, отрабатывая меры проти</w:t>
      </w:r>
      <w:r w:rsidRPr="00DB5D0D">
        <w:rPr>
          <w:color w:val="000000" w:themeColor="text1"/>
          <w:lang w:val="ru-RU"/>
        </w:rPr>
        <w:softHyphen/>
        <w:t>водействия на тот случай, если по</w:t>
      </w:r>
      <w:r w:rsidRPr="00DB5D0D">
        <w:rPr>
          <w:color w:val="000000" w:themeColor="text1"/>
          <w:lang w:val="ru-RU"/>
        </w:rPr>
        <w:softHyphen/>
        <w:t>добное оружие применит против</w:t>
      </w:r>
      <w:r w:rsidRPr="00DB5D0D">
        <w:rPr>
          <w:color w:val="000000" w:themeColor="text1"/>
          <w:lang w:val="ru-RU"/>
        </w:rPr>
        <w:softHyphen/>
        <w:t>ник. В условиях жаркого лета «ог</w:t>
      </w:r>
      <w:r w:rsidRPr="00DB5D0D">
        <w:rPr>
          <w:color w:val="000000" w:themeColor="text1"/>
          <w:lang w:val="ru-RU"/>
        </w:rPr>
        <w:softHyphen/>
        <w:t>ненный град» оказался довольно опасным. Шары прожигали метал</w:t>
      </w:r>
      <w:r w:rsidRPr="00DB5D0D">
        <w:rPr>
          <w:color w:val="000000" w:themeColor="text1"/>
          <w:lang w:val="ru-RU"/>
        </w:rPr>
        <w:softHyphen/>
        <w:t>лические крыши, воспламеняя дере</w:t>
      </w:r>
      <w:r w:rsidRPr="00DB5D0D">
        <w:rPr>
          <w:color w:val="000000" w:themeColor="text1"/>
          <w:lang w:val="ru-RU"/>
        </w:rPr>
        <w:softHyphen/>
        <w:t>вянные перекрытия. Ампульные кассеты и кассетные зажигательные боеприпасы разных видов активно применялись в ходе Великой Отечественной войны, а вот «Огненный дождь» был практи</w:t>
      </w:r>
      <w:r w:rsidRPr="00DB5D0D">
        <w:rPr>
          <w:color w:val="000000" w:themeColor="text1"/>
          <w:lang w:val="ru-RU"/>
        </w:rPr>
        <w:softHyphen/>
        <w:t>чески полностью забыт (12022).</w:t>
      </w:r>
    </w:p>
    <w:p w14:paraId="4E119B14" w14:textId="77777777" w:rsidR="00C15D15" w:rsidRPr="00DB5D0D" w:rsidRDefault="00C15D15" w:rsidP="00DB5D0D">
      <w:pPr>
        <w:spacing w:after="0" w:line="240" w:lineRule="auto"/>
        <w:jc w:val="both"/>
        <w:rPr>
          <w:rFonts w:ascii="Times New Roman" w:hAnsi="Times New Roman"/>
          <w:color w:val="000000" w:themeColor="text1"/>
          <w:sz w:val="16"/>
          <w:szCs w:val="16"/>
        </w:rPr>
      </w:pPr>
    </w:p>
    <w:p w14:paraId="147720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был утвержден:</w:t>
      </w:r>
    </w:p>
    <w:p w14:paraId="391C93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об испытаниях 140 мм ракетных осколочно-фугасных снарядов</w:t>
      </w:r>
    </w:p>
    <w:p w14:paraId="18428A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НИИ № 3 НКБ Горбачев</w:t>
      </w:r>
    </w:p>
    <w:p w14:paraId="4BCA36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7A694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проведенных испытаний первой опытной партии 140 мм РОФС, а также анализа полученных данных можно сделать следующие заключения:</w:t>
      </w:r>
    </w:p>
    <w:p w14:paraId="3C8878D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образец выявил в основном соответствие полученных данных поставленных ТТТ (7787).</w:t>
      </w:r>
    </w:p>
    <w:p w14:paraId="5A9012A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6428DF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были подготовлены тезисы С.К.Тимошенко в ЦК »КП(б): «Во время войны с Финляндией при участии всего лишь 31% нашей авиации и исключительно неблагоприятных метеоусловий было израсходовано 23.146 тонн бомб. Промышленность за это время дала только 24.000 тонн бомб.</w:t>
      </w:r>
    </w:p>
    <w:p w14:paraId="0F1A84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...Заказ на бронебойные и бетонобойные авиабомбы большой мощ</w:t>
      </w:r>
      <w:r w:rsidRPr="00DB5D0D">
        <w:rPr>
          <w:rFonts w:ascii="Times New Roman" w:hAnsi="Times New Roman"/>
          <w:color w:val="000000" w:themeColor="text1"/>
          <w:sz w:val="16"/>
          <w:szCs w:val="16"/>
        </w:rPr>
        <w:softHyphen/>
        <w:t>ности БРАБ-1000, БРАБ-500 и БЕТАБ-150ДС оказался мал. Освоение же новых ракетных БРАБ-200ДС. БРАБ-450ДС и БЕТАБ-750ДС продолжается в течение двух лет и идет крайне неудовлетворительно. Необходимо обязать НКБ и НКТМ дополнительно поставить НКО в 1940 т. 10.000 шт. БЕТАБ-150ДС сверх утвержденного заказа.</w:t>
      </w:r>
    </w:p>
    <w:p w14:paraId="075F13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всем мире авиация переходит на вооружение авиабомбами уменьшенных габаритов и повышенной эффективности. К 1 апреля 1941 г. необходимо представить опытные партии БРАБ-200ДС, БРАБ-450ДС, БЕТАБ-150ДС и БЕТАБ-750ДС уменьшенных габаритов. Существующие базы по снаряжению авиабомб (заводы №12, 55 и 80) не</w:t>
      </w:r>
      <w:r w:rsidRPr="00DB5D0D">
        <w:rPr>
          <w:rFonts w:ascii="Times New Roman" w:hAnsi="Times New Roman"/>
          <w:color w:val="000000" w:themeColor="text1"/>
          <w:sz w:val="16"/>
          <w:szCs w:val="16"/>
        </w:rPr>
        <w:softHyphen/>
        <w:t>достаточны даже по мирному времени. Создание новых снаряжательных заводов идет недопустимо медленно. С конца первой мировой империа</w:t>
      </w:r>
      <w:r w:rsidRPr="00DB5D0D">
        <w:rPr>
          <w:rFonts w:ascii="Times New Roman" w:hAnsi="Times New Roman"/>
          <w:color w:val="000000" w:themeColor="text1"/>
          <w:sz w:val="16"/>
          <w:szCs w:val="16"/>
        </w:rPr>
        <w:softHyphen/>
        <w:t>листической войны фактически введен в строй только один новый снаряжательный завод с цехом по снаряжению авиабомб. На остальных за</w:t>
      </w:r>
      <w:r w:rsidRPr="00DB5D0D">
        <w:rPr>
          <w:rFonts w:ascii="Times New Roman" w:hAnsi="Times New Roman"/>
          <w:color w:val="000000" w:themeColor="text1"/>
          <w:sz w:val="16"/>
          <w:szCs w:val="16"/>
        </w:rPr>
        <w:softHyphen/>
        <w:t>водах господствуют отсталые методы снаряжения дореволюционной эпохи» (11402).</w:t>
      </w:r>
    </w:p>
    <w:p w14:paraId="658CDD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81155F0" w14:textId="77777777" w:rsidR="00C15D15" w:rsidRPr="00DB5D0D" w:rsidRDefault="00C15D1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июля 1940 года длился процесс стройки самолета «МП» на авиазаводе № 23, когда появился акт Комиссии, назначенной прика</w:t>
      </w:r>
      <w:r w:rsidRPr="00DB5D0D">
        <w:rPr>
          <w:rFonts w:ascii="Times New Roman" w:hAnsi="Times New Roman"/>
          <w:color w:val="000000" w:themeColor="text1"/>
          <w:sz w:val="16"/>
          <w:szCs w:val="16"/>
        </w:rPr>
        <w:softHyphen/>
        <w:t>зом Начальника авиации ВМФ и Начальника Минно-Торпедно- го Управления ВМФ за № 006 от 11 июня, по которому пла</w:t>
      </w:r>
      <w:r w:rsidRPr="00DB5D0D">
        <w:rPr>
          <w:rFonts w:ascii="Times New Roman" w:hAnsi="Times New Roman"/>
          <w:color w:val="000000" w:themeColor="text1"/>
          <w:sz w:val="16"/>
          <w:szCs w:val="16"/>
        </w:rPr>
        <w:softHyphen/>
        <w:t>нера ПТ № 6 и МП подлежали уничтожению (15845).</w:t>
      </w:r>
    </w:p>
    <w:p w14:paraId="7C1AC907" w14:textId="77777777" w:rsidR="00C15D15" w:rsidRPr="00DB5D0D" w:rsidRDefault="00C15D15" w:rsidP="00DB5D0D">
      <w:pPr>
        <w:spacing w:after="0" w:line="240" w:lineRule="auto"/>
        <w:jc w:val="both"/>
        <w:rPr>
          <w:rFonts w:ascii="Times New Roman" w:hAnsi="Times New Roman"/>
          <w:color w:val="000000" w:themeColor="text1"/>
          <w:sz w:val="16"/>
          <w:szCs w:val="16"/>
        </w:rPr>
      </w:pPr>
    </w:p>
    <w:p w14:paraId="2A9F0083" w14:textId="77777777" w:rsidR="00C15D15" w:rsidRPr="00DB5D0D" w:rsidRDefault="00C15D1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к моменту прекращения работ по ПТ на авиа</w:t>
      </w:r>
      <w:r w:rsidRPr="00DB5D0D">
        <w:rPr>
          <w:rFonts w:ascii="Times New Roman" w:hAnsi="Times New Roman"/>
          <w:color w:val="000000" w:themeColor="text1"/>
          <w:sz w:val="16"/>
          <w:szCs w:val="16"/>
        </w:rPr>
        <w:softHyphen/>
        <w:t>заводе №23 Разрабатывались проекты скоростных планеров ДПТ и ППТ. Ни один из них не начинали строить (15845).</w:t>
      </w:r>
    </w:p>
    <w:p w14:paraId="30E37BE1" w14:textId="77777777" w:rsidR="00C15D15" w:rsidRPr="00DB5D0D" w:rsidRDefault="00C15D1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В июле 1940 СУ-14 и СУ-14-1 проходили испытания в составе группы </w:t>
      </w:r>
      <w:hyperlink r:id="rId241" w:tgtFrame="_blank" w:history="1">
        <w:r w:rsidRPr="00DB5D0D">
          <w:rPr>
            <w:rFonts w:ascii="Times New Roman" w:hAnsi="Times New Roman"/>
            <w:color w:val="000000" w:themeColor="text1"/>
            <w:sz w:val="16"/>
            <w:szCs w:val="16"/>
          </w:rPr>
          <w:t>танк</w:t>
        </w:r>
      </w:hyperlink>
      <w:r w:rsidRPr="00DB5D0D">
        <w:rPr>
          <w:rFonts w:ascii="Times New Roman" w:hAnsi="Times New Roman"/>
          <w:color w:val="000000" w:themeColor="text1"/>
          <w:sz w:val="16"/>
          <w:szCs w:val="16"/>
        </w:rPr>
        <w:t>ов капитана П.Ф.Лебедева - в Киевском Особом военном округе. В сентябре 1940 г. обе машины передали на хранение НИБТПолигону. Осенью 1941 г., во время обороны Москвы, обе СУ-14, вместе с еще одной опытной САУ Т-100-Y в составе "Отдельного тяжелого дивизиона особого назначения" использовались в районе ст. Кубинка для стрельбы с закрытых позиций по наступавшим немецким войскам. До сегодняшнего дня в Кубинке сохранилась бронированная СУ-14-1, вооруженная 152-мм пушкой Бр-2, а СУ-14 в 60-е годы была пущена в металлолом...(15647).</w:t>
      </w:r>
    </w:p>
    <w:p w14:paraId="22143BDC" w14:textId="77777777" w:rsidR="00C15D15" w:rsidRPr="00DB5D0D" w:rsidRDefault="00C15D15" w:rsidP="00DB5D0D">
      <w:pPr>
        <w:spacing w:after="0" w:line="240" w:lineRule="auto"/>
        <w:jc w:val="both"/>
        <w:rPr>
          <w:rFonts w:ascii="Times New Roman" w:hAnsi="Times New Roman"/>
          <w:color w:val="000000" w:themeColor="text1"/>
          <w:sz w:val="16"/>
          <w:szCs w:val="16"/>
        </w:rPr>
      </w:pPr>
    </w:p>
    <w:p w14:paraId="7D4927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НИИ-3 проводил на НИПАВ РККА испытания ПРАВ. Стрельба на земле прошла успешно, и бомбу допустили к испытаниям на самолете в воздухе. Однако, НИПАВ отказался проводить их, ссылаясь на отсутствие гарантий безопасности экипажа, несмотря на то, что толь</w:t>
      </w:r>
      <w:r w:rsidRPr="00DB5D0D">
        <w:rPr>
          <w:rFonts w:ascii="Times New Roman" w:hAnsi="Times New Roman"/>
          <w:color w:val="000000" w:themeColor="text1"/>
          <w:sz w:val="16"/>
          <w:szCs w:val="16"/>
        </w:rPr>
        <w:softHyphen/>
        <w:t>ко испытаниями можно было проверить правильность расчета на безо</w:t>
      </w:r>
      <w:r w:rsidRPr="00DB5D0D">
        <w:rPr>
          <w:rFonts w:ascii="Times New Roman" w:hAnsi="Times New Roman"/>
          <w:color w:val="000000" w:themeColor="text1"/>
          <w:sz w:val="16"/>
          <w:szCs w:val="16"/>
        </w:rPr>
        <w:softHyphen/>
        <w:t>пасность, а в мае уже была достигнута договоренность, что НИИ-3 опла</w:t>
      </w:r>
      <w:r w:rsidRPr="00DB5D0D">
        <w:rPr>
          <w:rFonts w:ascii="Times New Roman" w:hAnsi="Times New Roman"/>
          <w:color w:val="000000" w:themeColor="text1"/>
          <w:sz w:val="16"/>
          <w:szCs w:val="16"/>
        </w:rPr>
        <w:softHyphen/>
        <w:t>тит и коэффициенты за риск пилотам. НИИ-3 сам стимулировал ажио</w:t>
      </w:r>
      <w:r w:rsidRPr="00DB5D0D">
        <w:rPr>
          <w:rFonts w:ascii="Times New Roman" w:hAnsi="Times New Roman"/>
          <w:color w:val="000000" w:themeColor="text1"/>
          <w:sz w:val="16"/>
          <w:szCs w:val="16"/>
        </w:rPr>
        <w:softHyphen/>
        <w:t>таж вокруг проблемы безопасности, так как в мартовском письме реко</w:t>
      </w:r>
      <w:r w:rsidRPr="00DB5D0D">
        <w:rPr>
          <w:rFonts w:ascii="Times New Roman" w:hAnsi="Times New Roman"/>
          <w:color w:val="000000" w:themeColor="text1"/>
          <w:sz w:val="16"/>
          <w:szCs w:val="16"/>
        </w:rPr>
        <w:softHyphen/>
        <w:t>мендовал передвинуть подвеску ПРАВ вперед, чтобы крыло бомбы нахо</w:t>
      </w:r>
      <w:r w:rsidRPr="00DB5D0D">
        <w:rPr>
          <w:rFonts w:ascii="Times New Roman" w:hAnsi="Times New Roman"/>
          <w:color w:val="000000" w:themeColor="text1"/>
          <w:sz w:val="16"/>
          <w:szCs w:val="16"/>
        </w:rPr>
        <w:softHyphen/>
        <w:t>дилось впереди плоскости винтов (11402).</w:t>
      </w:r>
    </w:p>
    <w:p w14:paraId="7A8075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D37EBB3"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июле 1940 г. на Ногинском полигоне прошло несколько испытательных пусков с ДБ-3 «объекта 804». В отчете по ним указывалось:</w:t>
      </w:r>
      <w:r w:rsidRPr="00DB5D0D">
        <w:rPr>
          <w:rStyle w:val="aff6"/>
          <w:rFonts w:ascii="Times New Roman" w:hAnsi="Times New Roman" w:cs="Times New Roman"/>
          <w:color w:val="0070C0"/>
        </w:rPr>
        <w:t xml:space="preserve"> «Стрельба ... прошла впол</w:t>
      </w:r>
      <w:r w:rsidRPr="00DB5D0D">
        <w:rPr>
          <w:rStyle w:val="aff6"/>
          <w:rFonts w:ascii="Times New Roman" w:hAnsi="Times New Roman" w:cs="Times New Roman"/>
          <w:color w:val="0070C0"/>
        </w:rPr>
        <w:softHyphen/>
        <w:t>не удовлетворительно».</w:t>
      </w:r>
      <w:r w:rsidRPr="00DB5D0D">
        <w:rPr>
          <w:rFonts w:ascii="Times New Roman" w:hAnsi="Times New Roman"/>
          <w:color w:val="0070C0"/>
          <w:sz w:val="16"/>
          <w:szCs w:val="16"/>
        </w:rPr>
        <w:t xml:space="preserve"> Однако из-за технических трудностей и непонимания высшим руководством перспектив ново</w:t>
      </w:r>
      <w:r w:rsidRPr="00DB5D0D">
        <w:rPr>
          <w:rFonts w:ascii="Times New Roman" w:hAnsi="Times New Roman"/>
          <w:color w:val="0070C0"/>
          <w:sz w:val="16"/>
          <w:szCs w:val="16"/>
        </w:rPr>
        <w:softHyphen/>
        <w:t>го оружия работы по «объекту 804» были прекращены.</w:t>
      </w:r>
    </w:p>
    <w:p w14:paraId="155A2EA3"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«Объект 804» — одна из первых советских крылатых ракет. Соз</w:t>
      </w:r>
      <w:r w:rsidRPr="00DB5D0D">
        <w:rPr>
          <w:rFonts w:ascii="Times New Roman" w:hAnsi="Times New Roman"/>
          <w:color w:val="0070C0"/>
          <w:sz w:val="16"/>
          <w:szCs w:val="16"/>
        </w:rPr>
        <w:softHyphen/>
        <w:t>данная в НИИ-3 НКБ ракета имела крыло размахом 1150 мм, оперение с рулями, фюзеляж диаметром 203 мм и длиной 2580 мм, внутри которого располагались макет боевой части, автопилот АК-1, пневмобаллон, РДТТ и парашют. Масса «объекта» составляла всего 190 кг.</w:t>
      </w:r>
    </w:p>
    <w:p w14:paraId="3FBBD963"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Ракета запускалась со специальной подфюзеляжной двутавровой балки. Перед пуском гироскоп автопилота рас</w:t>
      </w:r>
      <w:r w:rsidRPr="00DB5D0D">
        <w:rPr>
          <w:rFonts w:ascii="Times New Roman" w:hAnsi="Times New Roman"/>
          <w:color w:val="0070C0"/>
          <w:sz w:val="16"/>
          <w:szCs w:val="16"/>
        </w:rPr>
        <w:softHyphen/>
        <w:t>кручивался сжатым воздухом из баллона. Затем на определенной дистанции до цели запускался двигатель, и ракета стартовала. Прицеливание осуществля</w:t>
      </w:r>
      <w:r w:rsidRPr="00DB5D0D">
        <w:rPr>
          <w:rFonts w:ascii="Times New Roman" w:hAnsi="Times New Roman"/>
          <w:color w:val="0070C0"/>
          <w:sz w:val="16"/>
          <w:szCs w:val="16"/>
        </w:rPr>
        <w:softHyphen/>
        <w:t>лось всем самолетом (19944).</w:t>
      </w:r>
    </w:p>
    <w:p w14:paraId="248F9152" w14:textId="77777777" w:rsidR="006D287B" w:rsidRPr="00DB5D0D" w:rsidRDefault="006D287B" w:rsidP="00DB5D0D">
      <w:pPr>
        <w:spacing w:after="0" w:line="240" w:lineRule="auto"/>
        <w:jc w:val="both"/>
        <w:rPr>
          <w:rFonts w:ascii="Times New Roman" w:hAnsi="Times New Roman"/>
          <w:color w:val="0070C0"/>
          <w:sz w:val="16"/>
          <w:szCs w:val="16"/>
        </w:rPr>
      </w:pPr>
    </w:p>
    <w:p w14:paraId="2D3A61DE"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необходимость создания советского истребителя-перехватчика с ЖРД была признана Комитетом Обороны при Совете народных комиссаров СССР (19727).</w:t>
      </w:r>
    </w:p>
    <w:p w14:paraId="33C95319" w14:textId="77777777" w:rsidR="00156ED0" w:rsidRPr="00DB5D0D" w:rsidRDefault="00156ED0" w:rsidP="00DB5D0D">
      <w:pPr>
        <w:spacing w:after="0" w:line="240" w:lineRule="auto"/>
        <w:jc w:val="both"/>
        <w:rPr>
          <w:rFonts w:ascii="Times New Roman" w:hAnsi="Times New Roman"/>
          <w:color w:val="000000" w:themeColor="text1"/>
          <w:sz w:val="16"/>
          <w:szCs w:val="16"/>
        </w:rPr>
      </w:pPr>
    </w:p>
    <w:p w14:paraId="4D85AA9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BED574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B3996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на КЗ удалось создать для пушки Л-11 надежные противооткатные устройства, обеспечивающие стрельюу с расходованием до трех боекомплектов в день. Решением м Кулика часть л-11 была передана для установки на танки (4829, 23).</w:t>
      </w:r>
    </w:p>
    <w:p w14:paraId="6B49116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D2E2E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была поставлена окончательная точка в вопросе дальнейшей судьбы Л-11, и Кировский завод был вынужден приступить к освоению производства новой для себя системы Ф-32.</w:t>
      </w:r>
    </w:p>
    <w:p w14:paraId="1FB256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отметить, что еще до проведения июльских испы</w:t>
      </w:r>
      <w:r w:rsidRPr="00DB5D0D">
        <w:rPr>
          <w:rFonts w:ascii="Times New Roman" w:hAnsi="Times New Roman"/>
          <w:color w:val="000000" w:themeColor="text1"/>
          <w:sz w:val="16"/>
          <w:szCs w:val="16"/>
        </w:rPr>
        <w:softHyphen/>
        <w:t>таний Л-11 руководство АБТУ поднимало вопрос на уровне НКО о недопустимости затягивания развертывания производства Ф-32 (11940).</w:t>
      </w:r>
    </w:p>
    <w:p w14:paraId="179DE41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F44D6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коллективы сталилитейных заводов освоили производство бронебойных снарядов для морской артиллерии и начали их массовое производство. Были разработаны Специальным снарядным бюро (ССБ), созданном в начале 1933. За 4 года восстановило на заводах промышленности производство крупнокалиберных снарядов для морской артиллерии, прерванное с 1917 (5484,198).</w:t>
      </w:r>
    </w:p>
    <w:p w14:paraId="2EEB54E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525F1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по существу, явочным порядком производство БТ-7М было прекращено. (3862).</w:t>
      </w:r>
    </w:p>
    <w:p w14:paraId="6BBDCA5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B073D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1940 на КВ была введена новая граненая башня, которую с ноября 1941 заменила литая башня (9527,160).</w:t>
      </w:r>
    </w:p>
    <w:p w14:paraId="0FBCE0A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C0245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СТЗ в качестве практики собрал первый танк Т-34 сборщики с СТЗ. Эта машина была сдана, но, естественно, засчитана ХПЗ. (3862).</w:t>
      </w:r>
    </w:p>
    <w:p w14:paraId="5E1FBEE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2EC03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Д. Павлов потребовал в отношении Т-34 «...как можно скорее устранить недостатки и только потом ставить танке производство...», считая, что в противном случае «...мы дорого заплатим за выпуск недостаточно бое</w:t>
      </w:r>
      <w:r w:rsidRPr="00DB5D0D">
        <w:rPr>
          <w:rFonts w:ascii="Times New Roman" w:hAnsi="Times New Roman"/>
          <w:color w:val="000000" w:themeColor="text1"/>
          <w:sz w:val="16"/>
          <w:szCs w:val="16"/>
        </w:rPr>
        <w:softHyphen/>
        <w:t>способных машин» (10782).</w:t>
      </w:r>
    </w:p>
    <w:p w14:paraId="335DA5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AA8EC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Июльская 1940 программа выпуска Т-34 была сорвана, так как вместо запланированных 20 танков завод смог предъявить заказчику только одну. В августе положение улучшилось и уже 24 танка были испытаны пробегом. Они выдержали испытания, но приняты не были, так как Кировский завод не смог поставить ни пушек Ф-32, ни Л-11. Там шла подлинная война завода за свою конструкцию — орудие Л-11. Несмотря на решение АБТУ в пользу Ф-32, за</w:t>
      </w:r>
      <w:r w:rsidRPr="00DB5D0D">
        <w:rPr>
          <w:rFonts w:ascii="Times New Roman" w:hAnsi="Times New Roman"/>
          <w:color w:val="000000" w:themeColor="text1"/>
          <w:sz w:val="16"/>
          <w:szCs w:val="16"/>
        </w:rPr>
        <w:softHyphen/>
        <w:t>вод продолжал улучшать конструкцию Л-11. В последних числах мая 1940 г. состоялись совместные испытания Л-11 и Ф-32 в банках БТ-7А, показавшие небольшие преимущества Ф-32. Поэтому в июне 1940 г. принимается решение о разворачивании серийного выпуска Ф-32 не только на Л КЗ, но также на заводах № 92 и № 13с программой выпуска в 1941 г. соответственно 2500, 2000 и 700 штук. Но к этому времени ОКБ-92 под управлением В. Грабина предложило ГАУ проект новой, 76,2-мм танковой пушки Ф-34, которая при большей, чем у Ф-32, мощности (длина ствола составляла 41 калибр против 30 калибров у Ф-32), была более простой и потому должна была иметь меньшую стоимость и сложность в изготовлении. Артуправление принято проект, выпустив приказ о проведении полигонных испытаний пушки в сентябре 1940 г. Однако Наркомат обо</w:t>
      </w:r>
      <w:r w:rsidRPr="00DB5D0D">
        <w:rPr>
          <w:rFonts w:ascii="Times New Roman" w:hAnsi="Times New Roman"/>
          <w:color w:val="000000" w:themeColor="text1"/>
          <w:sz w:val="16"/>
          <w:szCs w:val="16"/>
        </w:rPr>
        <w:softHyphen/>
        <w:t>роны в письме от 13 июня уже рекомендовал вооружать «улучшенный танк Т-34» именно этим образцом танкового орудия, которое было в то время самым мощным в мире, но которое еще предстояло создать и испытать (10782).</w:t>
      </w:r>
    </w:p>
    <w:p w14:paraId="2D8522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78366E1"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ситуация не улучшилась - завод сдал только один Т-34 при месячном плане в 20 машин. В том же месяце два танка (без башен) отгрузили в адрес артиллерийского завода № 8 (это предприятие получило задание на проектирование самоходной установки 85-мм пушки на базе Т-34) и один (№ 311-25-3) 13 июля - на Ленинградский артиллерийский научно-испытательный полигон, где совместно с Т-26, БТ-7, Т-28 и КВ прошел испытания по преодолению естественных и искусственных препятствий. После полигона танки направили на укрепления «линии Маннергейма», где тридцатьчетверка с успехом преодолела все финские противотанковые препятствия (во многих публикациях авторы пишут о том, что на «линии Маннергейма» испытывалась одна из опытных машин А-34, что не соответствует действительности. Как следует из документов, на этих укреплениях испытывался Т-34 № 311-25-3, изготовленный в июне 1940 года) (12217).</w:t>
      </w:r>
    </w:p>
    <w:p w14:paraId="370EA892" w14:textId="77777777" w:rsidR="00A556B7" w:rsidRPr="00DB5D0D" w:rsidRDefault="00A556B7" w:rsidP="00DB5D0D">
      <w:pPr>
        <w:spacing w:after="0" w:line="240" w:lineRule="auto"/>
        <w:jc w:val="both"/>
        <w:rPr>
          <w:rFonts w:ascii="Times New Roman" w:hAnsi="Times New Roman"/>
          <w:color w:val="000000" w:themeColor="text1"/>
          <w:sz w:val="16"/>
          <w:szCs w:val="16"/>
        </w:rPr>
      </w:pPr>
    </w:p>
    <w:p w14:paraId="4865B2EB"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в оперативной сводке говорилось:</w:t>
      </w:r>
    </w:p>
    <w:p w14:paraId="008DBEF6"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Т-34</w:t>
      </w:r>
    </w:p>
    <w:p w14:paraId="58E391D2"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машине № 311-04-3 переданной заводу, для подготовки экипажей, после 38 часов работы разрушился вентилятор мотора серийной конструкции (трещины в лопатках). Для изжития этого дефекта изготовлен вентилятор в котором лопатки усилены подлопатниками и для испытания устанавливается на опытную машину вентиляторы будут устанавливаться с подлопатниками. Относительно 20 шт. машин с не усиленными вентиляторами, завод поставил вопрос перед Зам. Наркома т. Горегляд и Начальником АБТУ КА генерал-лейтенантом т. Федоренко.</w:t>
      </w:r>
    </w:p>
    <w:p w14:paraId="2D5E16CF"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Основания смотровых приборов из 4ОСХ по результатам испытания на Мариупольском заводе оказались хрупкими.</w:t>
      </w:r>
    </w:p>
    <w:p w14:paraId="0D9DC943"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Тот же танк в Германии, вид спереди. На лобовом листе различима надпись «Иа. РГУГ.6' - «Военная приемка 6» (фото из архива Я. Магнуского).</w:t>
      </w:r>
    </w:p>
    <w:p w14:paraId="793EBC72"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Директором завода принято решение форсировать литье и испытание этих деталей из стали МЗ-2 и о пропуске задела послана телеграмма Зам. Наркому т. Горегляд и Начальнику АБТУ КА генерал-лейтенанту т. Федоренко. Приемкой АБТУ КАна заводе машины по этим двум дефектам и другим (см. перечень изменений и недоделок при № 378с).</w:t>
      </w:r>
    </w:p>
    <w:p w14:paraId="76D04896"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август мес. заводом планируется собрать и сдать Т-34 в отделе 100 — 30 шт. и в отделе 500 — 25 шт.</w:t>
      </w:r>
    </w:p>
    <w:p w14:paraId="2F7DA757"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выполнение плана по БТ-7М и Т-34 и запчастям в основном объясняется следующем:</w:t>
      </w:r>
    </w:p>
    <w:p w14:paraId="02899066"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w:t>
      </w:r>
      <w:r w:rsidRPr="00DB5D0D">
        <w:rPr>
          <w:rFonts w:ascii="Times New Roman" w:hAnsi="Times New Roman"/>
          <w:color w:val="000000" w:themeColor="text1"/>
          <w:sz w:val="16"/>
          <w:szCs w:val="16"/>
        </w:rPr>
        <w:tab/>
        <w:t>80-85% всего оборудования механических цехов занято под изготовление деталей маш. Т-34.</w:t>
      </w:r>
    </w:p>
    <w:p w14:paraId="727539B8"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w:t>
      </w:r>
      <w:r w:rsidRPr="00DB5D0D">
        <w:rPr>
          <w:rFonts w:ascii="Times New Roman" w:hAnsi="Times New Roman"/>
          <w:color w:val="000000" w:themeColor="text1"/>
          <w:sz w:val="16"/>
          <w:szCs w:val="16"/>
        </w:rPr>
        <w:tab/>
        <w:t>Не поступали заготовки, штамповки с кооперирующих заводов и нет еще полного комплекта приспособлений для обработки деталей, детали изготавливаются с болванок с большими поверхностями и потерями во времени.</w:t>
      </w:r>
    </w:p>
    <w:p w14:paraId="16344F8B"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w:t>
      </w:r>
      <w:r w:rsidRPr="00DB5D0D">
        <w:rPr>
          <w:rFonts w:ascii="Times New Roman" w:hAnsi="Times New Roman"/>
          <w:color w:val="000000" w:themeColor="text1"/>
          <w:sz w:val="16"/>
          <w:szCs w:val="16"/>
        </w:rPr>
        <w:tab/>
        <w:t>Корпусов всего 9 шт. на Июльскую программу изготовлены только начиная с 15 по 30/У11, остальные еше не изготовлены по причине недостатка брони. На 25/У11-40 г. было всего 22 комплекта, на сегодняшний день всего 30 комплектов.</w:t>
      </w:r>
    </w:p>
    <w:p w14:paraId="6FDC5019"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Корпус в изготовлении довольно трудоемкий и это еще усугубляется тем, что детали с Мариупольского завода поступают со значительными отступлениями, благодаря чего еще требуется подгонка вручную.</w:t>
      </w:r>
    </w:p>
    <w:p w14:paraId="71F9CFA8"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Отделы 700 и 100 парализованы благодаря того, что одновременно развернуты работы по реконструкции их.</w:t>
      </w:r>
    </w:p>
    <w:p w14:paraId="17A0548C" w14:textId="77777777" w:rsidR="00A556B7" w:rsidRPr="00DB5D0D" w:rsidRDefault="00A55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Зам. Районного инженера АБТУ КА капитан /Русаков/» (12217).</w:t>
      </w:r>
    </w:p>
    <w:p w14:paraId="7CD843B7" w14:textId="77777777" w:rsidR="00A556B7" w:rsidRPr="00DB5D0D" w:rsidRDefault="00A556B7" w:rsidP="00DB5D0D">
      <w:pPr>
        <w:spacing w:after="0" w:line="240" w:lineRule="auto"/>
        <w:jc w:val="both"/>
        <w:rPr>
          <w:rFonts w:ascii="Times New Roman" w:hAnsi="Times New Roman"/>
          <w:color w:val="000000" w:themeColor="text1"/>
          <w:sz w:val="16"/>
          <w:szCs w:val="16"/>
        </w:rPr>
      </w:pPr>
    </w:p>
    <w:p w14:paraId="0FAAC0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должны были быть отгружены первые 10 машин опыт</w:t>
      </w:r>
      <w:r w:rsidRPr="00DB5D0D">
        <w:rPr>
          <w:rFonts w:ascii="Times New Roman" w:hAnsi="Times New Roman"/>
          <w:color w:val="000000" w:themeColor="text1"/>
          <w:sz w:val="16"/>
          <w:szCs w:val="16"/>
        </w:rPr>
        <w:softHyphen/>
        <w:t>но-войсковой серии Т-34 с ликвидацией ряда недостатков. Ввиду вооружения танка 76-мм пушкой, име</w:t>
      </w:r>
      <w:r w:rsidRPr="00DB5D0D">
        <w:rPr>
          <w:rFonts w:ascii="Times New Roman" w:hAnsi="Times New Roman"/>
          <w:color w:val="000000" w:themeColor="text1"/>
          <w:sz w:val="16"/>
          <w:szCs w:val="16"/>
        </w:rPr>
        <w:softHyphen/>
        <w:t>ющей больший размер казенной части, чем 45-мм орудие, башня танка вдруг стала тесной, и это затрудняло не только, пользование оружием и наблюдательными приборами, но даже эвакуационным люком. Чтобы улучшить условия оби</w:t>
      </w:r>
      <w:r w:rsidRPr="00DB5D0D">
        <w:rPr>
          <w:rFonts w:ascii="Times New Roman" w:hAnsi="Times New Roman"/>
          <w:color w:val="000000" w:themeColor="text1"/>
          <w:sz w:val="16"/>
          <w:szCs w:val="16"/>
        </w:rPr>
        <w:softHyphen/>
        <w:t>таемости в башне, требовалось увеличить круг ее обслужива</w:t>
      </w:r>
      <w:r w:rsidRPr="00DB5D0D">
        <w:rPr>
          <w:rFonts w:ascii="Times New Roman" w:hAnsi="Times New Roman"/>
          <w:color w:val="000000" w:themeColor="text1"/>
          <w:sz w:val="16"/>
          <w:szCs w:val="16"/>
        </w:rPr>
        <w:softHyphen/>
        <w:t>ния, но в короткое время сделать это было невозможно. По</w:t>
      </w:r>
      <w:r w:rsidRPr="00DB5D0D">
        <w:rPr>
          <w:rFonts w:ascii="Times New Roman" w:hAnsi="Times New Roman"/>
          <w:color w:val="000000" w:themeColor="text1"/>
          <w:sz w:val="16"/>
          <w:szCs w:val="16"/>
        </w:rPr>
        <w:softHyphen/>
        <w:t>этому для танков программы 1940 г. было решено обойтись паллиативными мерами. Во-первых, радиостанция из башни уже перекочевала в корпус танка. Во-вторых, следовало заменить стеклянные зеркала в смотровых перископических приборах металли</w:t>
      </w:r>
      <w:r w:rsidRPr="00DB5D0D">
        <w:rPr>
          <w:rFonts w:ascii="Times New Roman" w:hAnsi="Times New Roman"/>
          <w:color w:val="000000" w:themeColor="text1"/>
          <w:sz w:val="16"/>
          <w:szCs w:val="16"/>
        </w:rPr>
        <w:softHyphen/>
        <w:t>ческими. В-третьих, уширить башню в ее наибольшей ши</w:t>
      </w:r>
      <w:r w:rsidRPr="00DB5D0D">
        <w:rPr>
          <w:rFonts w:ascii="Times New Roman" w:hAnsi="Times New Roman"/>
          <w:color w:val="000000" w:themeColor="text1"/>
          <w:sz w:val="16"/>
          <w:szCs w:val="16"/>
        </w:rPr>
        <w:softHyphen/>
        <w:t>рине на 160 мм без изменения ширины и конструкций по</w:t>
      </w:r>
      <w:r w:rsidRPr="00DB5D0D">
        <w:rPr>
          <w:rFonts w:ascii="Times New Roman" w:hAnsi="Times New Roman"/>
          <w:color w:val="000000" w:themeColor="text1"/>
          <w:sz w:val="16"/>
          <w:szCs w:val="16"/>
        </w:rPr>
        <w:softHyphen/>
        <w:t>гона и корпуса. Далее, ввиду невозможности обеспечения горячей гиб</w:t>
      </w:r>
      <w:r w:rsidRPr="00DB5D0D">
        <w:rPr>
          <w:rFonts w:ascii="Times New Roman" w:hAnsi="Times New Roman"/>
          <w:color w:val="000000" w:themeColor="text1"/>
          <w:sz w:val="16"/>
          <w:szCs w:val="16"/>
        </w:rPr>
        <w:softHyphen/>
        <w:t>ки лобовых деталей корпуса и башни в серийном производ</w:t>
      </w:r>
      <w:r w:rsidRPr="00DB5D0D">
        <w:rPr>
          <w:rFonts w:ascii="Times New Roman" w:hAnsi="Times New Roman"/>
          <w:color w:val="000000" w:themeColor="text1"/>
          <w:sz w:val="16"/>
          <w:szCs w:val="16"/>
        </w:rPr>
        <w:softHyphen/>
        <w:t>стве, было решено заменить лобовой узел корпуса сборной конструкцией из трех деталей — верхнего и нижнего лис</w:t>
      </w:r>
      <w:r w:rsidRPr="00DB5D0D">
        <w:rPr>
          <w:rFonts w:ascii="Times New Roman" w:hAnsi="Times New Roman"/>
          <w:color w:val="000000" w:themeColor="text1"/>
          <w:sz w:val="16"/>
          <w:szCs w:val="16"/>
        </w:rPr>
        <w:softHyphen/>
        <w:t>тов, соединенных посредством носовой балки. Для обеспечения июльской программы АБТУ и НКСМ шли на все. Выбивались денежные средства и помощь кад</w:t>
      </w:r>
      <w:r w:rsidRPr="00DB5D0D">
        <w:rPr>
          <w:rFonts w:ascii="Times New Roman" w:hAnsi="Times New Roman"/>
          <w:color w:val="000000" w:themeColor="text1"/>
          <w:sz w:val="16"/>
          <w:szCs w:val="16"/>
        </w:rPr>
        <w:softHyphen/>
        <w:t>рами. На заводе № 183 строился новый мощный конвейер, способный обеспечить сборку танков массой до 35 т, шла реконструкция танкового производства на СТЗ. Совершен</w:t>
      </w:r>
      <w:r w:rsidRPr="00DB5D0D">
        <w:rPr>
          <w:rFonts w:ascii="Times New Roman" w:hAnsi="Times New Roman"/>
          <w:color w:val="000000" w:themeColor="text1"/>
          <w:sz w:val="16"/>
          <w:szCs w:val="16"/>
        </w:rPr>
        <w:softHyphen/>
        <w:t>ствовали свою работу смежники: завод № 264 осваивал из</w:t>
      </w:r>
      <w:r w:rsidRPr="00DB5D0D">
        <w:rPr>
          <w:rFonts w:ascii="Times New Roman" w:hAnsi="Times New Roman"/>
          <w:color w:val="000000" w:themeColor="text1"/>
          <w:sz w:val="16"/>
          <w:szCs w:val="16"/>
        </w:rPr>
        <w:softHyphen/>
        <w:t>готовление корпусов, Кировский завод начал серийный вы</w:t>
      </w:r>
      <w:r w:rsidRPr="00DB5D0D">
        <w:rPr>
          <w:rFonts w:ascii="Times New Roman" w:hAnsi="Times New Roman"/>
          <w:color w:val="000000" w:themeColor="text1"/>
          <w:sz w:val="16"/>
          <w:szCs w:val="16"/>
        </w:rPr>
        <w:softHyphen/>
        <w:t>пуск пушек Ф-32, ХТЗ отрабатывал отливку траков из стали Гартфильда, завод «Красный треугольник» осваивал изго</w:t>
      </w:r>
      <w:r w:rsidRPr="00DB5D0D">
        <w:rPr>
          <w:rFonts w:ascii="Times New Roman" w:hAnsi="Times New Roman"/>
          <w:color w:val="000000" w:themeColor="text1"/>
          <w:sz w:val="16"/>
          <w:szCs w:val="16"/>
        </w:rPr>
        <w:softHyphen/>
        <w:t>товление ошиновки нового типа, завод № 75 ускоренными темпами выдавал на-гора новые дизели (10782). Однако, несмотря на такое напряжение сил, в срок было предъявлено лишь 4 танка, собранных заводом № 183, СТЗ же изготовил только 11 000 траков для Т-34. Больше никаких узлов завод изготовить в срок не сумел. Танк ока</w:t>
      </w:r>
      <w:r w:rsidRPr="00DB5D0D">
        <w:rPr>
          <w:rFonts w:ascii="Times New Roman" w:hAnsi="Times New Roman"/>
          <w:color w:val="000000" w:themeColor="text1"/>
          <w:sz w:val="16"/>
          <w:szCs w:val="16"/>
        </w:rPr>
        <w:softHyphen/>
        <w:t>зался сильно сложнее, чем то предполагали (10782).</w:t>
      </w:r>
    </w:p>
    <w:p w14:paraId="24B787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FC9D6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за июль 1940 г. на Мариупольском заводе по чертежу 34.30.182 отлили 21 башню (5 штук установочной партии и 16 серийных), из них три башни были забракованы ОТК. В авгу</w:t>
      </w:r>
      <w:r w:rsidRPr="00DB5D0D">
        <w:rPr>
          <w:rFonts w:ascii="Times New Roman" w:hAnsi="Times New Roman"/>
          <w:color w:val="000000" w:themeColor="text1"/>
          <w:sz w:val="16"/>
          <w:szCs w:val="16"/>
        </w:rPr>
        <w:softHyphen/>
        <w:t>сте мощность сталелитейного цеха несколько возросла, и за месяц удалось отлить 30 башен, но, как и в июле, три башни признали браком. С целью снижения процента брака и устране</w:t>
      </w:r>
      <w:r w:rsidRPr="00DB5D0D">
        <w:rPr>
          <w:rFonts w:ascii="Times New Roman" w:hAnsi="Times New Roman"/>
          <w:color w:val="000000" w:themeColor="text1"/>
          <w:sz w:val="16"/>
          <w:szCs w:val="16"/>
        </w:rPr>
        <w:softHyphen/>
        <w:t>ния поводок башни при термообработке специалистами Мариу</w:t>
      </w:r>
      <w:r w:rsidRPr="00DB5D0D">
        <w:rPr>
          <w:rFonts w:ascii="Times New Roman" w:hAnsi="Times New Roman"/>
          <w:color w:val="000000" w:themeColor="text1"/>
          <w:sz w:val="16"/>
          <w:szCs w:val="16"/>
        </w:rPr>
        <w:softHyphen/>
        <w:t>польского завода совместно с конструкторами завода №183 в июле-августе 1940 г. были внесены следующие изменения в конструкцию корпуса литой башни:</w:t>
      </w:r>
    </w:p>
    <w:p w14:paraId="6D26024B" w14:textId="77777777" w:rsidR="003C7E8B" w:rsidRPr="00DB5D0D" w:rsidRDefault="003C7E8B" w:rsidP="00DB5D0D">
      <w:pPr>
        <w:tabs>
          <w:tab w:val="left" w:pos="567"/>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упразднено отлитое зацело с телом башни кольцо для крепле</w:t>
      </w:r>
      <w:r w:rsidRPr="00DB5D0D">
        <w:rPr>
          <w:rFonts w:ascii="Times New Roman" w:hAnsi="Times New Roman"/>
          <w:color w:val="000000" w:themeColor="text1"/>
          <w:sz w:val="16"/>
          <w:szCs w:val="16"/>
        </w:rPr>
        <w:softHyphen/>
        <w:t>ния погона;</w:t>
      </w:r>
    </w:p>
    <w:p w14:paraId="6632F952" w14:textId="77777777" w:rsidR="003C7E8B" w:rsidRPr="00DB5D0D" w:rsidRDefault="003C7E8B" w:rsidP="00DB5D0D">
      <w:pPr>
        <w:tabs>
          <w:tab w:val="left" w:pos="57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упразднен отлитый зацело с телом башни кронштейн для креп</w:t>
      </w:r>
      <w:r w:rsidRPr="00DB5D0D">
        <w:rPr>
          <w:rFonts w:ascii="Times New Roman" w:hAnsi="Times New Roman"/>
          <w:color w:val="000000" w:themeColor="text1"/>
          <w:sz w:val="16"/>
          <w:szCs w:val="16"/>
        </w:rPr>
        <w:softHyphen/>
        <w:t>ления механизма поворота башни;</w:t>
      </w:r>
    </w:p>
    <w:p w14:paraId="4C93A537" w14:textId="77777777" w:rsidR="003C7E8B" w:rsidRPr="00DB5D0D" w:rsidRDefault="003C7E8B" w:rsidP="00DB5D0D">
      <w:pPr>
        <w:tabs>
          <w:tab w:val="left" w:pos="58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введено местное утолщение по нижней юбке башни в районе ниши, а также внедрен ряд других мелких изменений.</w:t>
      </w:r>
    </w:p>
    <w:p w14:paraId="573614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изменения были оформлены в чертеже 34.30.182-1, подписанном А.А. Морозовым в самом конце августа (11939).</w:t>
      </w:r>
    </w:p>
    <w:p w14:paraId="50BABDE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14A0D0"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В июле 1940 конструкторы Кировского завода во исполнение указа</w:t>
      </w:r>
      <w:r w:rsidRPr="00DB5D0D">
        <w:rPr>
          <w:rFonts w:ascii="Times New Roman" w:hAnsi="Times New Roman" w:cs="Times New Roman"/>
          <w:i w:val="0"/>
          <w:iCs w:val="0"/>
          <w:color w:val="000000" w:themeColor="text1"/>
          <w:sz w:val="16"/>
          <w:szCs w:val="16"/>
        </w:rPr>
        <w:softHyphen/>
        <w:t>ний правительственной комиссии внесли ряд изменений в конст</w:t>
      </w:r>
      <w:r w:rsidRPr="00DB5D0D">
        <w:rPr>
          <w:rFonts w:ascii="Times New Roman" w:hAnsi="Times New Roman" w:cs="Times New Roman"/>
          <w:i w:val="0"/>
          <w:iCs w:val="0"/>
          <w:color w:val="000000" w:themeColor="text1"/>
          <w:sz w:val="16"/>
          <w:szCs w:val="16"/>
        </w:rPr>
        <w:softHyphen/>
        <w:t xml:space="preserve">рукцию пушки Л-11 (11940). </w:t>
      </w:r>
    </w:p>
    <w:p w14:paraId="5D6A0721"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p>
    <w:p w14:paraId="52410D1E" w14:textId="77777777" w:rsidR="006D287B" w:rsidRPr="00DB5D0D" w:rsidRDefault="006D287B" w:rsidP="00DB5D0D">
      <w:pPr>
        <w:shd w:val="clear" w:color="auto" w:fill="FFFFFF"/>
        <w:spacing w:after="0" w:line="240" w:lineRule="auto"/>
        <w:jc w:val="both"/>
        <w:rPr>
          <w:rFonts w:ascii="Times New Roman" w:eastAsia="Times New Roman" w:hAnsi="Times New Roman"/>
          <w:color w:val="0070C0"/>
          <w:sz w:val="16"/>
          <w:szCs w:val="16"/>
          <w:lang w:eastAsia="ru-RU"/>
        </w:rPr>
      </w:pPr>
      <w:r w:rsidRPr="00DB5D0D">
        <w:rPr>
          <w:rFonts w:ascii="Times New Roman" w:hAnsi="Times New Roman"/>
          <w:color w:val="0070C0"/>
          <w:sz w:val="16"/>
          <w:szCs w:val="16"/>
          <w:shd w:val="clear" w:color="auto" w:fill="FFFFFF"/>
        </w:rPr>
        <w:t xml:space="preserve">В июле 1940 года </w:t>
      </w:r>
      <w:r w:rsidRPr="00DB5D0D">
        <w:rPr>
          <w:rFonts w:ascii="Times New Roman" w:hAnsi="Times New Roman"/>
          <w:color w:val="0070C0"/>
          <w:sz w:val="16"/>
          <w:szCs w:val="16"/>
        </w:rPr>
        <w:t>Т-100Y, и СУ-14</w:t>
      </w:r>
      <w:r w:rsidRPr="00DB5D0D">
        <w:rPr>
          <w:rFonts w:ascii="Times New Roman" w:hAnsi="Times New Roman"/>
          <w:color w:val="0070C0"/>
          <w:sz w:val="16"/>
          <w:szCs w:val="16"/>
          <w:shd w:val="clear" w:color="auto" w:fill="FFFFFF"/>
        </w:rPr>
        <w:t xml:space="preserve"> вернулись на завод №174, а ближе к сентябрю отправились на НИБТ Полигон в Кубинку. Судя по их состоянию, машины, отправившиеся на консервацию, уже были слегка «ушатанными», особенно с точки зрения ходовой части (19857).</w:t>
      </w:r>
    </w:p>
    <w:p w14:paraId="24A11004" w14:textId="77777777" w:rsidR="006D287B" w:rsidRPr="00DB5D0D" w:rsidRDefault="006D287B" w:rsidP="00DB5D0D">
      <w:pPr>
        <w:shd w:val="clear" w:color="auto" w:fill="FFFFFF"/>
        <w:spacing w:after="0" w:line="240" w:lineRule="auto"/>
        <w:jc w:val="both"/>
        <w:rPr>
          <w:rFonts w:ascii="Times New Roman" w:eastAsia="Times New Roman" w:hAnsi="Times New Roman"/>
          <w:color w:val="0070C0"/>
          <w:sz w:val="16"/>
          <w:szCs w:val="16"/>
          <w:lang w:eastAsia="ru-RU"/>
        </w:rPr>
      </w:pPr>
    </w:p>
    <w:p w14:paraId="47A066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ЛКЗ была поставлена задача на базе СМК разработать и изготовить САУ с броней 60-70 мм, в т.ч. используя танк СМК. Одна машина - со 130 мм Б-13, дрругая - с 152 мм Бр-2. Не сделали (с Бр-2 - Объект 212), а СМК сдали в переплавку (9527,265).</w:t>
      </w:r>
    </w:p>
    <w:p w14:paraId="6F82D9E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EEDC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в составе группы танков капитана П. Ф. Лебедева установки СУ-14 и СУ-14-1 испытывались в Киевском Особом военном округе (3861).</w:t>
      </w:r>
    </w:p>
    <w:p w14:paraId="2B9567B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B8A3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вскоре после начала работ завода № 174 над танком с увеличенной бро</w:t>
      </w:r>
      <w:r w:rsidRPr="00DB5D0D">
        <w:rPr>
          <w:rFonts w:ascii="Times New Roman" w:hAnsi="Times New Roman"/>
          <w:color w:val="000000" w:themeColor="text1"/>
          <w:sz w:val="16"/>
          <w:szCs w:val="16"/>
        </w:rPr>
        <w:softHyphen/>
        <w:t>ней председатель Комитета Обороны написал Наркому:</w:t>
      </w:r>
    </w:p>
    <w:p w14:paraId="4F5820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 - тов. ТИМОШЕНКО С.К.</w:t>
      </w:r>
    </w:p>
    <w:p w14:paraId="02F322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 16765 ее от 26.6.40 г.</w:t>
      </w:r>
    </w:p>
    <w:p w14:paraId="448F8B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Комитет Обороны при СНК СССР считает крайне неже</w:t>
      </w:r>
      <w:r w:rsidRPr="00DB5D0D">
        <w:rPr>
          <w:rFonts w:ascii="Times New Roman" w:hAnsi="Times New Roman"/>
          <w:color w:val="000000" w:themeColor="text1"/>
          <w:sz w:val="16"/>
          <w:szCs w:val="16"/>
        </w:rPr>
        <w:softHyphen/>
        <w:t>лательным увеличение веса танка СП свыше 13 тонн, учиты</w:t>
      </w:r>
      <w:r w:rsidRPr="00DB5D0D">
        <w:rPr>
          <w:rFonts w:ascii="Times New Roman" w:hAnsi="Times New Roman"/>
          <w:color w:val="000000" w:themeColor="text1"/>
          <w:sz w:val="16"/>
          <w:szCs w:val="16"/>
        </w:rPr>
        <w:softHyphen/>
        <w:t>вая, что это неизбежно снизит маневренность этой машины, предназначенной для сопровождения пехоты.</w:t>
      </w:r>
    </w:p>
    <w:p w14:paraId="51F60F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Увеличение снарядстойкости и прочности корпуса танка СП должно быть разрешено за счет улучшения качества брони. При невозможности достигнуть этого, следует допустить (что нежелательно) снижения тактико-техничеких требова</w:t>
      </w:r>
      <w:r w:rsidRPr="00DB5D0D">
        <w:rPr>
          <w:rFonts w:ascii="Times New Roman" w:hAnsi="Times New Roman"/>
          <w:color w:val="000000" w:themeColor="text1"/>
          <w:sz w:val="16"/>
          <w:szCs w:val="16"/>
        </w:rPr>
        <w:softHyphen/>
        <w:t>ний установив защиту танка «СП» на всех дистанциях от бро</w:t>
      </w:r>
      <w:r w:rsidRPr="00DB5D0D">
        <w:rPr>
          <w:rFonts w:ascii="Times New Roman" w:hAnsi="Times New Roman"/>
          <w:color w:val="000000" w:themeColor="text1"/>
          <w:sz w:val="16"/>
          <w:szCs w:val="16"/>
        </w:rPr>
        <w:softHyphen/>
        <w:t>небойных снарядов до 37мм калибра включительно, п.п. ПРЕДСЕДАТЕЛЬ КОМИТЕТА ОБОРОНЫ при СНК Союза ССР - К. ВОРОШИЛОВ» (10782).</w:t>
      </w:r>
    </w:p>
    <w:p w14:paraId="67CD07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FA994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на вооружение приняли импульсный радар РУС-2 (радиоулавливатель). Не мог мерить высоту (384,219).</w:t>
      </w:r>
    </w:p>
    <w:p w14:paraId="67AD591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3FFF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после отказа от бронированного лидера (пр. 47), Наркомат ВМФ склонился к ускорению работ в ОКБ-196 по легкому крейсеру. Воплощение в жизнь интересного проекта, детища трех наркома</w:t>
      </w:r>
      <w:r w:rsidRPr="00DB5D0D">
        <w:rPr>
          <w:rFonts w:ascii="Times New Roman" w:hAnsi="Times New Roman"/>
          <w:color w:val="000000" w:themeColor="text1"/>
          <w:sz w:val="16"/>
          <w:szCs w:val="16"/>
        </w:rPr>
        <w:softHyphen/>
        <w:t>тов, осложнялось перегрузкой Наркомсудпрома другими заказами и было приостановлено с началом войны (3898).</w:t>
      </w:r>
    </w:p>
    <w:p w14:paraId="3237EA2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1E61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года лидер «Тбилиси», имев­ший сравнительно более высокий процент готовности, начал заводские ходовые испы­тания в заливе Петра Великого. В сентябре того же года он прошел официальные при­емные испытания, на которых развил ско­рость полного хода 40,5 уз и максимально­го 41,8 уз. 11 декабря 1940 года «Тбилиси» вошел в состав Тихоокеанского флота (11866).</w:t>
      </w:r>
    </w:p>
    <w:p w14:paraId="76929F0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1EC43E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0FF51BA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933AF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были подготовлены тезисы к докладу Маршала Советского Союза С.К.Тимошенко в ЦК ВКП(б): «Во время войны с Финляндией при участии всего лишь 31% всей нашей авиации и исключительно неблагоприятных метеоусловий израсходовано 23.146 тонн бомб. Промышленность за это время дала только 24.000 тонн бомб.</w:t>
      </w:r>
    </w:p>
    <w:p w14:paraId="5ED966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...Заказ на бронебойные и бетонобойные авиабомбы большой мощности БРАБ-1000, БРАБ-500 и БЕТАБ-150ДС оказался мал. Освоение же новых ракетных БРАБ-200ДС, БРАБ-450ДС и БЕТАБ-750ДС продолжается в течение двух лет и идет крайне неудовлетворительно. Необходимо обязать НКБ и НКТМ дополнительно поставить НКО в 1940 г. 10.000 шт. БЕТАБ-150ДС сверх утвержденного заказа.</w:t>
      </w:r>
    </w:p>
    <w:p w14:paraId="55397A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всем мире авиация переходит на вооружение авиабомбами уменьшенных габаритов и повышенной эффективности. К 1 апреля 1941 г. необходимо представить опытные партии БРАБ-200ДС, БРАБ-450ДС, БЕТАБ-150ДС и БЕТАБ-750ДС уменьшенных габаритов. Существующие базы по снаряжению авиабомб (заводы № 12, 55 и 80) недостаточны даже по мирному времени. Создание новых снаряжательных заводов недопустимо медленно. С конца первой мировой империалистической войны фактически введен в строй только один новый сна-ряжательный завод с цехом по снаряжению авиабомб. На остальных заводах господствуют отсталые методы снаряжания дореволюционной эпохи» (7453).</w:t>
      </w:r>
    </w:p>
    <w:p w14:paraId="1923CD6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DD2A7D"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июле 1940 г. для прикрытия Севастополя — главной базы Черно</w:t>
      </w:r>
      <w:r w:rsidRPr="00DB5D0D">
        <w:rPr>
          <w:rFonts w:ascii="Times New Roman" w:hAnsi="Times New Roman"/>
          <w:color w:val="0070C0"/>
          <w:sz w:val="16"/>
          <w:szCs w:val="16"/>
        </w:rPr>
        <w:softHyphen/>
        <w:t>морского флота — от налётов авиации против</w:t>
      </w:r>
      <w:r w:rsidRPr="00DB5D0D">
        <w:rPr>
          <w:rFonts w:ascii="Times New Roman" w:hAnsi="Times New Roman"/>
          <w:color w:val="0070C0"/>
          <w:sz w:val="16"/>
          <w:szCs w:val="16"/>
        </w:rPr>
        <w:softHyphen/>
        <w:t>ника сформировали 1-й морской отряд аэроста</w:t>
      </w:r>
      <w:r w:rsidRPr="00DB5D0D">
        <w:rPr>
          <w:rFonts w:ascii="Times New Roman" w:hAnsi="Times New Roman"/>
          <w:color w:val="0070C0"/>
          <w:sz w:val="16"/>
          <w:szCs w:val="16"/>
        </w:rPr>
        <w:softHyphen/>
        <w:t>тов заграждения (1-й МОАЗ) ВВС ЧФ, дислоци</w:t>
      </w:r>
      <w:r w:rsidRPr="00DB5D0D">
        <w:rPr>
          <w:rFonts w:ascii="Times New Roman" w:hAnsi="Times New Roman"/>
          <w:color w:val="0070C0"/>
          <w:sz w:val="16"/>
          <w:szCs w:val="16"/>
        </w:rPr>
        <w:softHyphen/>
        <w:t>ровавшийся в Камышевой бухте.</w:t>
      </w:r>
    </w:p>
    <w:p w14:paraId="3FB3B7EE"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Командиром отряда был назначен майор И. Шабалин, инженером — выпускник ДУК воентехник В.С. Шевченко. Ядро отряда состави</w:t>
      </w:r>
      <w:r w:rsidRPr="00DB5D0D">
        <w:rPr>
          <w:rFonts w:ascii="Times New Roman" w:hAnsi="Times New Roman"/>
          <w:color w:val="0070C0"/>
          <w:sz w:val="16"/>
          <w:szCs w:val="16"/>
        </w:rPr>
        <w:softHyphen/>
        <w:t>ла группа воентехников, переведённых на флот из сухопутных воздухоплавательных частей. Ря</w:t>
      </w:r>
      <w:r w:rsidRPr="00DB5D0D">
        <w:rPr>
          <w:rFonts w:ascii="Times New Roman" w:hAnsi="Times New Roman"/>
          <w:color w:val="0070C0"/>
          <w:sz w:val="16"/>
          <w:szCs w:val="16"/>
        </w:rPr>
        <w:softHyphen/>
        <w:t>довой состав укомплектовали краснофлотцами из различных частей флота.</w:t>
      </w:r>
    </w:p>
    <w:p w14:paraId="6CA3F9FB"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постановки аэростатов на рейде отряду передали несколько катеров. Весной 1941 г. он получил новую воздухоплавательную техни</w:t>
      </w:r>
      <w:r w:rsidRPr="00DB5D0D">
        <w:rPr>
          <w:rFonts w:ascii="Times New Roman" w:hAnsi="Times New Roman"/>
          <w:color w:val="0070C0"/>
          <w:sz w:val="16"/>
          <w:szCs w:val="16"/>
        </w:rPr>
        <w:softHyphen/>
        <w:t>ку, позволявшую поднимать привязные тросы до высоты 4800 м, и полевую газодобывающую установка с запасом химических материалов.</w:t>
      </w:r>
    </w:p>
    <w:p w14:paraId="69B9F34A"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Подъём аэростатов на берегу не представлял трудностей, но приёмы постановки их на водной поверхности пришлось разрабатывать заново. Для этого в отряде провели экспериментальные постановки аэростатов заграждения на водном плёсе со специально переоборудованных катеров. Аэростат, наполненный газом и поднятый до ра</w:t>
      </w:r>
      <w:r w:rsidRPr="00DB5D0D">
        <w:rPr>
          <w:rFonts w:ascii="Times New Roman" w:hAnsi="Times New Roman"/>
          <w:color w:val="0070C0"/>
          <w:sz w:val="16"/>
          <w:szCs w:val="16"/>
        </w:rPr>
        <w:softHyphen/>
        <w:t>бочей высоты на береговой автолебёдке, переда</w:t>
      </w:r>
      <w:r w:rsidRPr="00DB5D0D">
        <w:rPr>
          <w:rFonts w:ascii="Times New Roman" w:hAnsi="Times New Roman"/>
          <w:color w:val="0070C0"/>
          <w:sz w:val="16"/>
          <w:szCs w:val="16"/>
        </w:rPr>
        <w:softHyphen/>
        <w:t>вался на лебёдку катера и буксировался до места постановки, оборудованного рейдовыми бочка</w:t>
      </w:r>
      <w:r w:rsidRPr="00DB5D0D">
        <w:rPr>
          <w:rFonts w:ascii="Times New Roman" w:hAnsi="Times New Roman"/>
          <w:color w:val="0070C0"/>
          <w:sz w:val="16"/>
          <w:szCs w:val="16"/>
        </w:rPr>
        <w:softHyphen/>
        <w:t>ми. Затем трос аэростата отсоединяли от лебёдки катера и разъёмным звеном соединяли с бочкой.</w:t>
      </w:r>
    </w:p>
    <w:p w14:paraId="1DB7474F"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Севастополе отрабатывалась кольцевая схе</w:t>
      </w:r>
      <w:r w:rsidRPr="00DB5D0D">
        <w:rPr>
          <w:rFonts w:ascii="Times New Roman" w:hAnsi="Times New Roman"/>
          <w:color w:val="0070C0"/>
          <w:sz w:val="16"/>
          <w:szCs w:val="16"/>
        </w:rPr>
        <w:softHyphen/>
        <w:t>ма расположения АЗ, по которой они поднима</w:t>
      </w:r>
      <w:r w:rsidRPr="00DB5D0D">
        <w:rPr>
          <w:rFonts w:ascii="Times New Roman" w:hAnsi="Times New Roman"/>
          <w:color w:val="0070C0"/>
          <w:sz w:val="16"/>
          <w:szCs w:val="16"/>
        </w:rPr>
        <w:softHyphen/>
        <w:t>лись вокруг района базы на линии предполага</w:t>
      </w:r>
      <w:r w:rsidRPr="00DB5D0D">
        <w:rPr>
          <w:rFonts w:ascii="Times New Roman" w:hAnsi="Times New Roman"/>
          <w:color w:val="0070C0"/>
          <w:sz w:val="16"/>
          <w:szCs w:val="16"/>
        </w:rPr>
        <w:softHyphen/>
        <w:t>емого боевого курса бомбардировщиков. Аэро</w:t>
      </w:r>
      <w:r w:rsidRPr="00DB5D0D">
        <w:rPr>
          <w:rFonts w:ascii="Times New Roman" w:hAnsi="Times New Roman"/>
          <w:color w:val="0070C0"/>
          <w:sz w:val="16"/>
          <w:szCs w:val="16"/>
        </w:rPr>
        <w:softHyphen/>
        <w:t>статы планировалось разместить следующим образом. На берегу: пять аэростатных постов на Северной стороне, от Радиогорки до Инкермана и два — на станции Мекензиевы горы (северный сектор); пять — от бухты Камышевой до Фран</w:t>
      </w:r>
      <w:r w:rsidRPr="00DB5D0D">
        <w:rPr>
          <w:rFonts w:ascii="Times New Roman" w:hAnsi="Times New Roman"/>
          <w:color w:val="0070C0"/>
          <w:sz w:val="16"/>
          <w:szCs w:val="16"/>
        </w:rPr>
        <w:softHyphen/>
        <w:t>цузского кладбища и два — на Приморском и Историческом бульварах (южный сектор). 12 АЗ решили разместить на внешнем рейде, на рейдовых бочках, расположенных в шахматном порядке в две линии.</w:t>
      </w:r>
    </w:p>
    <w:p w14:paraId="1B376AFB"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мае 1941 г. отряд передислоцировали в бух</w:t>
      </w:r>
      <w:r w:rsidRPr="00DB5D0D">
        <w:rPr>
          <w:rFonts w:ascii="Times New Roman" w:hAnsi="Times New Roman"/>
          <w:color w:val="0070C0"/>
          <w:sz w:val="16"/>
          <w:szCs w:val="16"/>
        </w:rPr>
        <w:softHyphen/>
        <w:t>ту Матюшенко, и воздухоплаватели приступили к оборудованию постов северного и южного сек</w:t>
      </w:r>
      <w:r w:rsidRPr="00DB5D0D">
        <w:rPr>
          <w:rFonts w:ascii="Times New Roman" w:hAnsi="Times New Roman"/>
          <w:color w:val="0070C0"/>
          <w:sz w:val="16"/>
          <w:szCs w:val="16"/>
        </w:rPr>
        <w:softHyphen/>
        <w:t>торов заграждений, а также группового бивака морского сектора. Основные трудности возникли при работах на морском секторе, так как катера отряда, не имевшие грузоподъёмных устройств, не могли ставить бочки на внешнем рейде, а не</w:t>
      </w:r>
      <w:r w:rsidRPr="00DB5D0D">
        <w:rPr>
          <w:rFonts w:ascii="Times New Roman" w:hAnsi="Times New Roman"/>
          <w:color w:val="0070C0"/>
          <w:sz w:val="16"/>
          <w:szCs w:val="16"/>
        </w:rPr>
        <w:softHyphen/>
        <w:t>обходимые для этого портовые плавсредства ис</w:t>
      </w:r>
      <w:r w:rsidRPr="00DB5D0D">
        <w:rPr>
          <w:rFonts w:ascii="Times New Roman" w:hAnsi="Times New Roman"/>
          <w:color w:val="0070C0"/>
          <w:sz w:val="16"/>
          <w:szCs w:val="16"/>
        </w:rPr>
        <w:softHyphen/>
        <w:t>пользовались на других важных работах. Выход нашёл старый моряк, боцман плавредств отряда Н. Омельян, который сделал специальное при</w:t>
      </w:r>
      <w:r w:rsidRPr="00DB5D0D">
        <w:rPr>
          <w:rFonts w:ascii="Times New Roman" w:hAnsi="Times New Roman"/>
          <w:color w:val="0070C0"/>
          <w:sz w:val="16"/>
          <w:szCs w:val="16"/>
        </w:rPr>
        <w:softHyphen/>
        <w:t xml:space="preserve">способление, позволившее с помощью катеров буксировать бочки на рейд и </w:t>
      </w:r>
      <w:r w:rsidRPr="00DB5D0D">
        <w:rPr>
          <w:rFonts w:ascii="Times New Roman" w:hAnsi="Times New Roman"/>
          <w:color w:val="0070C0"/>
          <w:sz w:val="16"/>
          <w:szCs w:val="16"/>
        </w:rPr>
        <w:lastRenderedPageBreak/>
        <w:t>ставить по утверж</w:t>
      </w:r>
      <w:r w:rsidRPr="00DB5D0D">
        <w:rPr>
          <w:rFonts w:ascii="Times New Roman" w:hAnsi="Times New Roman"/>
          <w:color w:val="0070C0"/>
          <w:sz w:val="16"/>
          <w:szCs w:val="16"/>
        </w:rPr>
        <w:softHyphen/>
        <w:t>дённой диспозиции. На оборудованные посты северного и южного секторов, а также групповой бивак морского сектора завезли запас водорода в баллонах и наполнили аэростаты (20120).</w:t>
      </w:r>
    </w:p>
    <w:p w14:paraId="380FEB63" w14:textId="77777777" w:rsidR="006D287B" w:rsidRPr="00DB5D0D" w:rsidRDefault="006D287B" w:rsidP="00DB5D0D">
      <w:pPr>
        <w:spacing w:after="0" w:line="240" w:lineRule="auto"/>
        <w:jc w:val="both"/>
        <w:rPr>
          <w:rFonts w:ascii="Times New Roman" w:hAnsi="Times New Roman"/>
          <w:color w:val="0070C0"/>
          <w:sz w:val="16"/>
          <w:szCs w:val="16"/>
        </w:rPr>
      </w:pPr>
    </w:p>
    <w:p w14:paraId="0D8B0B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приказом НКО вместо буденовки ввели фуражку и зимнюю шапку-ушанку (2815,15).</w:t>
      </w:r>
    </w:p>
    <w:p w14:paraId="2A482AF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DA45B4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154DC88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41366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в условиях оккупации, в Литве, Латвии и Эстонии были проведены выборы, по итогам которых были созданы новые, прокоммунистические представительные органы, провозгласившие установление в прибалтийских странах советской власти (3871).</w:t>
      </w:r>
    </w:p>
    <w:p w14:paraId="5762163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FAA81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310A84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11528D3" w14:textId="77777777" w:rsidR="00C15D15" w:rsidRPr="00DB5D0D" w:rsidRDefault="00C15D1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начались испытания третьего прототипа управляемой бомбы, а в 1941 г. в производство была запущена предсерийная модель Hs293A-0 (9524).</w:t>
      </w:r>
    </w:p>
    <w:p w14:paraId="03CC0FEE" w14:textId="77777777" w:rsidR="00C15D15" w:rsidRPr="00DB5D0D" w:rsidRDefault="00C15D15" w:rsidP="00DB5D0D">
      <w:pPr>
        <w:spacing w:after="0" w:line="240" w:lineRule="auto"/>
        <w:jc w:val="both"/>
        <w:rPr>
          <w:rFonts w:ascii="Times New Roman" w:hAnsi="Times New Roman"/>
          <w:color w:val="000000" w:themeColor="text1"/>
          <w:sz w:val="16"/>
          <w:szCs w:val="16"/>
        </w:rPr>
      </w:pPr>
    </w:p>
    <w:p w14:paraId="468BD8CE" w14:textId="77777777" w:rsidR="00C15D15" w:rsidRPr="00DB5D0D" w:rsidRDefault="00C15D1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был выпущен первый из 12 предсерийных Hs-129 А-0 (513,6).</w:t>
      </w:r>
    </w:p>
    <w:p w14:paraId="7E092B47" w14:textId="77777777" w:rsidR="00C15D15" w:rsidRPr="00DB5D0D" w:rsidRDefault="00C15D15" w:rsidP="00DB5D0D">
      <w:pPr>
        <w:spacing w:after="0" w:line="240" w:lineRule="auto"/>
        <w:jc w:val="both"/>
        <w:rPr>
          <w:rFonts w:ascii="Times New Roman" w:hAnsi="Times New Roman"/>
          <w:color w:val="000000" w:themeColor="text1"/>
          <w:sz w:val="16"/>
          <w:szCs w:val="16"/>
        </w:rPr>
      </w:pPr>
    </w:p>
    <w:p w14:paraId="40CE37D5" w14:textId="77777777" w:rsidR="00C15D15" w:rsidRPr="00DB5D0D" w:rsidRDefault="00C15D1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Когда в июле 1940 года немцы начали массированную воздушную войну против Великобритании, сосредоточив для этого 2500 бомбардировщиков и истребителей, то ВВС Великобритании смогли противопоставить этой воздушной армаде только 900 истребителей, но зато уже обладали возможностью наводить их на германские самолеты по данным радиолокационного наблюдения. Потери немцев росли с каждым днем, и к концу октября 1940 года «люфтваффе» вынуждены были отступить (15736).</w:t>
      </w:r>
    </w:p>
    <w:p w14:paraId="4240B5BA" w14:textId="77777777" w:rsidR="00C15D15" w:rsidRPr="00DB5D0D" w:rsidRDefault="00C15D15" w:rsidP="00DB5D0D">
      <w:pPr>
        <w:spacing w:after="0" w:line="240" w:lineRule="auto"/>
        <w:jc w:val="both"/>
        <w:rPr>
          <w:rFonts w:ascii="Times New Roman" w:hAnsi="Times New Roman"/>
          <w:color w:val="000000" w:themeColor="text1"/>
          <w:sz w:val="16"/>
          <w:szCs w:val="16"/>
        </w:rPr>
      </w:pPr>
    </w:p>
    <w:p w14:paraId="478888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А.Гитлер издал приказ, прекращающий ведение всех экспериментальных работ в авиации, результаты которых не могли быть использованы в военных целях в ближайшие 8 месяцев (103,150).</w:t>
      </w:r>
    </w:p>
    <w:p w14:paraId="5BDAE82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808E04E"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был создан новый огромный концерн — главное эсэсовское экономическое общество «Deutsche Wirtschaftsbetriebe», объединившее более 40 специализированных эсэсовских концернов, предприятия которых имелись при всех концентрационных лагерях во всех оккупированных странах</w:t>
      </w:r>
      <w:bookmarkStart w:id="50" w:name="footnote4"/>
      <w:bookmarkEnd w:id="50"/>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"http://www.katyn-books.ru/library/fashistskaya-germaniya-vo-vtoroy-mirovoy-voyne17.html" \l "bookmark4" </w:instrText>
      </w:r>
      <w:r w:rsidR="00100A24" w:rsidRPr="00DB5D0D">
        <w:rPr>
          <w:rFonts w:ascii="Times New Roman" w:hAnsi="Times New Roman"/>
          <w:color w:val="000000" w:themeColor="text1"/>
          <w:sz w:val="16"/>
          <w:szCs w:val="16"/>
        </w:rPr>
        <w:fldChar w:fldCharType="separate"/>
      </w:r>
      <w:r w:rsidRPr="00DB5D0D">
        <w:rPr>
          <w:rStyle w:val="a5"/>
          <w:rFonts w:ascii="Times New Roman" w:hAnsi="Times New Roman"/>
          <w:color w:val="000000" w:themeColor="text1"/>
          <w:sz w:val="16"/>
          <w:szCs w:val="16"/>
        </w:rPr>
        <w:t>4</w:t>
      </w:r>
      <w:r w:rsidR="00100A24" w:rsidRPr="00DB5D0D">
        <w:rPr>
          <w:rFonts w:ascii="Times New Roman" w:hAnsi="Times New Roman"/>
          <w:color w:val="000000" w:themeColor="text1"/>
          <w:sz w:val="16"/>
          <w:szCs w:val="16"/>
        </w:rPr>
        <w:fldChar w:fldCharType="end"/>
      </w:r>
      <w:r w:rsidRPr="00DB5D0D">
        <w:rPr>
          <w:rFonts w:ascii="Times New Roman" w:hAnsi="Times New Roman"/>
          <w:color w:val="000000" w:themeColor="text1"/>
          <w:sz w:val="16"/>
          <w:szCs w:val="16"/>
        </w:rPr>
        <w:t>. Его деятельность направлялась шефом Главного экономического управления СС обергруппенфюрером СС Полем — бывшим членом правления Рейхсбанка (18559).</w:t>
      </w:r>
    </w:p>
    <w:p w14:paraId="0791FCC3" w14:textId="77777777" w:rsidR="00156ED0" w:rsidRPr="00DB5D0D" w:rsidRDefault="00156ED0" w:rsidP="00DB5D0D">
      <w:pPr>
        <w:spacing w:after="0" w:line="240" w:lineRule="auto"/>
        <w:jc w:val="both"/>
        <w:rPr>
          <w:rFonts w:ascii="Times New Roman" w:hAnsi="Times New Roman"/>
          <w:color w:val="000000" w:themeColor="text1"/>
          <w:sz w:val="16"/>
          <w:szCs w:val="16"/>
        </w:rPr>
      </w:pPr>
    </w:p>
    <w:p w14:paraId="069A72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режим Виши разорвал дипотношения с Великобританией. А вслед за тем, как через несколько дней британский флот потопил несколько французских боевых кораблей в африканских портах, чтобы они не были использованы Германией и вишистами против Великобритании, самолеты подконтрольной Петену авиации даже бомбили британскую военную базу в Гибралтаре с аэродромов в Северной Африке (3871).</w:t>
      </w:r>
    </w:p>
    <w:p w14:paraId="6E1517F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4512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г. и Британия, находившаяся в крайне тяжелом положении из-за ситуации в Европе, согласилась на временное прекращение транспорта в Китай по Бирманской железной дороге (3871).</w:t>
      </w:r>
    </w:p>
    <w:p w14:paraId="06E98C3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8B554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1940 Эйхман предложил депортировать всех евреев Европы на Мадагаскар (1798).</w:t>
      </w:r>
    </w:p>
    <w:p w14:paraId="6F7F49B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13CDB6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6B9250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7CE62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июле-августе 1940 вышел отчет по гос. испытаниям Ил-2 2М-88 серийного N 390801 (1684,144).</w:t>
      </w:r>
    </w:p>
    <w:p w14:paraId="23B8B3B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D3DC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марте 1940 г. в мастерских НИИ ВВС оснастили еще один ДБ-3, а </w:t>
      </w:r>
    </w:p>
    <w:p w14:paraId="7DADFE1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F9C6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июле-сентябре 1940 шесть машин ДБ-3, снабженных антиобледенителем Фейгельсона, прошли войсковые испытания в 167-м резервном полку. Но система была недоработанной. Кожа затвердевала на морозе и высыхала летом, никак не могли подобрать подходящий клей, чтобы накладки не отваливались. Лишь 31 января 1941 г. появилось решение о государственных испытаниях антиобледенителя Фейгельсона к 1 мая. С августа его хотели внедрить на серийных бомбардировщиках (12021).</w:t>
      </w:r>
    </w:p>
    <w:p w14:paraId="072F806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45E5C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-августе 1940 года были проведены государственные испытания самолета ГСТ в качестве магистрально-пассажирского самолета для гражданского воздушно</w:t>
      </w:r>
      <w:r w:rsidRPr="00DB5D0D">
        <w:rPr>
          <w:rFonts w:ascii="Times New Roman" w:hAnsi="Times New Roman"/>
          <w:color w:val="000000" w:themeColor="text1"/>
          <w:sz w:val="16"/>
          <w:szCs w:val="16"/>
        </w:rPr>
        <w:softHyphen/>
        <w:t>го флота, в результате которых он под обозначением МП-7 допускался к при</w:t>
      </w:r>
      <w:r w:rsidRPr="00DB5D0D">
        <w:rPr>
          <w:rFonts w:ascii="Times New Roman" w:hAnsi="Times New Roman"/>
          <w:color w:val="000000" w:themeColor="text1"/>
          <w:sz w:val="16"/>
          <w:szCs w:val="16"/>
        </w:rPr>
        <w:softHyphen/>
        <w:t>менению (Самарский филиал РГАНТД. Ф. Р-4. Оп. 2-1. Д. 229. Л. 1, 3.). В октябре 1940 года закончились эксплуатационные испытания МП-7 (Самарский филиал РГАНТД. Ф. Р-4. Оп. 2-1. Д. 291. Л. 2.). К началу 1941 года пять этих самолетов эксплуатировались в Главсев-морпути и в Управлении гражданской авиации (Самарский филиал РГАНТД. Ф. Р-4. Оп. 2-1. Д. 291. Л. 2.) (11710,446).</w:t>
      </w:r>
    </w:p>
    <w:p w14:paraId="73095C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93943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июле-августе 1940 на НИП АВ проходили полигонные испытания химического вооружения (ВАП-200) на самолете ББ-1 и ампульно-бомбовой кассеты на самолете ДБ-3 (АБК-3) (7313, 12).</w:t>
      </w:r>
    </w:p>
    <w:p w14:paraId="34CEB7E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9729C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по начало ноября 1940 г., велись войсковые испытания шестерки СБ, снабженных двигателями М-105. Испытания проходили в 95 СБАП (командир полковник Пестов) 46-и авиадивизии Московского военного округа под Калининым. В ходе испытании выявилось неудовлетворительное качество установленных М-105. Одна машина совершила вынужденную посадку по причине выхода из строя силовой установки в районе станции Крюково, пять СБ после замены двигателей продолжили испытания (№2,242. 5/2i2. 6/242. 7/242. 9, 242). В зимний период войсковые испытания на 10 СБ 2 М-105 продолжили в южных районах Советского Союза (6413).</w:t>
      </w:r>
    </w:p>
    <w:p w14:paraId="3CFAC87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BE8BE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 сентябре 1940 проходили заводские испытания И-203 с М-63ТК и убирающимся шасси на аэродроме НИИ ВВС. На гос. испытания не передавался из-за несоответствия фактических данных проектным. На одной из машин были сделаны тяжелые бомбодержатели. Хотели испытывать и ВРД (822).</w:t>
      </w:r>
    </w:p>
    <w:p w14:paraId="2AF2E5B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6485F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июле-сентябре 1940 года самолет И-207 М-63ТК проходил заводские испытания на аэродроме НИИ ВВС КА. На гос. испытания самолет не передавался из-за несоответствия фактических летных данных, данным задания. Позднее на самолете были сделаны крупнокалиберные бомбоподвески (500 кг). Заводские испытания проведены. Самолет предполагалось использовать для проведения экспериментальных работ с ВРД (4048, 4).</w:t>
      </w:r>
    </w:p>
    <w:p w14:paraId="0274035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7B0D3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июле-октябре 1940 спроектировали и построили высотный истребитель-перехватчик И-28 (Як-5). То же, что и УТИ-26-2 но с М-105ПД с нагнетателем Э-100 В.А.Доллежаля (3417,4).</w:t>
      </w:r>
    </w:p>
    <w:p w14:paraId="15A83C9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22986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июле-августе 1940 г. испытывался УТИ-26-1, в октябре 1940 года был построен И-28, а в апреле 1941 г. - построен И-30, которые уже несли достаточно простой двухцветный камуфляж (11989).</w:t>
      </w:r>
    </w:p>
    <w:p w14:paraId="3E181E4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78E380E"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июле-августе 1940 г. в Италии работала еще одна советская торговая делегация, проводившая переговоры с Итальянским Консорциумом по авиационному экспорту, который направил множество запросов Министерству авиации Италии и главе его кабинета генералу Альдо Урбани. Делегация была заинтересована в закупке от 50 до 100 самолетов типа Ca.313 (легкого бомбардировщика-разведчика с дальностью полета примерно 2 тыс. км) и запрашивала разрешения посетить авиационные заводы «Изотта-Фраскини» для дальнейшего приобретения «довольно большого количества» двигателей этой фирмы типа Delta, мотора типа L.180 и форсунок типа «Fruscaldo». На производство последних советская делегация планировала приобрести лицензию. Цена лицензии была установлена в 120.000 $.</w:t>
      </w:r>
    </w:p>
    <w:p w14:paraId="56096898"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Фирма «Капрони» направила Министерству авиации телеграмму с просьбой санкционировать визит русской делегации в Талиедо (окраинный район Милана, где был расположен завод фирмы).</w:t>
      </w:r>
    </w:p>
    <w:p w14:paraId="41FE848F"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Также русские запросили лот на истребители Fiat CR.42 «Falco» для несрочной поставки.</w:t>
      </w:r>
    </w:p>
    <w:p w14:paraId="5C3026A8"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делегацию входили инженеры Иван Потапов, Иван Соболев, Иван Коваленко и Леонид Аниcимов.</w:t>
      </w:r>
    </w:p>
    <w:p w14:paraId="3E47EA86"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августа Министерство Авиации обратилось со специальным запросом к Муссолини, в котором говорилось: «Прежде чем принять решение по этому вопросу, мы передаем этот вопрос Вам, Дуче, чтобы узнать, можем ли мы с политической точки зрения заключать коммерческие соглашения с русской делегацией». Дуче надписал резолюцию: «Одобряю».</w:t>
      </w:r>
    </w:p>
    <w:p w14:paraId="67FCFB4E"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Советской делегации разрешили посетить завод «Изотта-Фраскини», но не «Капрони», однако позволили присутствовать на испытаниях двигателей в закрытых помещениях и самолета Ca.313 на летном поле. На летном же поле русские присутствовали при испытаниях самолета «Falco», однако разрешение на его поставку СССР не было получено. (21410).</w:t>
      </w:r>
    </w:p>
    <w:p w14:paraId="6F41DD5D" w14:textId="77777777" w:rsidR="006D287B" w:rsidRPr="00DB5D0D" w:rsidRDefault="006D287B" w:rsidP="00DB5D0D">
      <w:pPr>
        <w:spacing w:after="0" w:line="240" w:lineRule="auto"/>
        <w:jc w:val="both"/>
        <w:rPr>
          <w:rFonts w:ascii="Times New Roman" w:hAnsi="Times New Roman"/>
          <w:color w:val="0070C0"/>
          <w:sz w:val="16"/>
          <w:szCs w:val="16"/>
        </w:rPr>
      </w:pPr>
    </w:p>
    <w:p w14:paraId="3E4E79A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39E298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5AAFC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июле-августе 1940 - испытали на НИБТ полигоне построенный на заводе № 185 в апреле 1940 опытный образец бойкового минного трала для танка Т-28 (ТР-28), разработанный весной 1940 в КБ завода № 185 и Белогурцевым и А.В.Калоевым. На вооружении и в серии - не был (9527,240).</w:t>
      </w:r>
    </w:p>
    <w:p w14:paraId="4BB5D96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A612A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июле-сентябре 1940 на двух опытных образцах А-32 на заводах № 75 и № 183 был установлен и прошел госиспытания двенадцатицилиндровый дизель М-250, модернизация В-2, рассчитанный на работу в 250 час. Испытаний не выдержал из-за высокой температуры масла (9527,145).</w:t>
      </w:r>
    </w:p>
    <w:p w14:paraId="1CA600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6D107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 августе 1940 года, согласно приказу народно</w:t>
      </w:r>
      <w:r w:rsidRPr="00DB5D0D">
        <w:rPr>
          <w:rFonts w:ascii="Times New Roman" w:hAnsi="Times New Roman"/>
          <w:color w:val="000000" w:themeColor="text1"/>
          <w:sz w:val="16"/>
          <w:szCs w:val="16"/>
        </w:rPr>
        <w:softHyphen/>
        <w:t>го комиссара обороны СССР № 0030 от 28 июня, три се</w:t>
      </w:r>
      <w:r w:rsidRPr="00DB5D0D">
        <w:rPr>
          <w:rFonts w:ascii="Times New Roman" w:hAnsi="Times New Roman"/>
          <w:color w:val="000000" w:themeColor="text1"/>
          <w:sz w:val="16"/>
          <w:szCs w:val="16"/>
        </w:rPr>
        <w:softHyphen/>
        <w:t>рийных БА-11 прошли войсковые испытания. Они велись по маршруту Киев - Житомир - Бердичев - Проскуров, всего 4820 км. В выводах, доложенных Ворошилову, гово</w:t>
      </w:r>
      <w:r w:rsidRPr="00DB5D0D">
        <w:rPr>
          <w:rFonts w:ascii="Times New Roman" w:hAnsi="Times New Roman"/>
          <w:color w:val="000000" w:themeColor="text1"/>
          <w:sz w:val="16"/>
          <w:szCs w:val="16"/>
        </w:rPr>
        <w:softHyphen/>
        <w:t>рилось, что войсковые испытания БА-11 «наряду с хорошей динамикой и боевыми качествами машины выявили не</w:t>
      </w:r>
      <w:r w:rsidRPr="00DB5D0D">
        <w:rPr>
          <w:rFonts w:ascii="Times New Roman" w:hAnsi="Times New Roman"/>
          <w:color w:val="000000" w:themeColor="text1"/>
          <w:sz w:val="16"/>
          <w:szCs w:val="16"/>
        </w:rPr>
        <w:softHyphen/>
        <w:t>прочность главных деталей коробки скоростей, демультип</w:t>
      </w:r>
      <w:r w:rsidRPr="00DB5D0D">
        <w:rPr>
          <w:rFonts w:ascii="Times New Roman" w:hAnsi="Times New Roman"/>
          <w:color w:val="000000" w:themeColor="text1"/>
          <w:sz w:val="16"/>
          <w:szCs w:val="16"/>
        </w:rPr>
        <w:softHyphen/>
        <w:t>ликатора и карданного вала» (11284).</w:t>
      </w:r>
    </w:p>
    <w:p w14:paraId="1E1DEF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D6A05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июля по ноябрь 1940 флотом были приняты четыре подводные лодки XIV серии заводов 196 и 194 — К-22, К-23, К-3 и К-21. Первые шесть лодок XIV серии в 1940—1941 гг. по Беломорско-Балтийскому каналу перешли в со</w:t>
      </w:r>
      <w:r w:rsidRPr="00DB5D0D">
        <w:rPr>
          <w:rFonts w:ascii="Times New Roman" w:hAnsi="Times New Roman"/>
          <w:color w:val="000000" w:themeColor="text1"/>
          <w:sz w:val="16"/>
          <w:szCs w:val="16"/>
        </w:rPr>
        <w:softHyphen/>
        <w:t>став Северного флота. К-51 и К-52 практически были готовы к на</w:t>
      </w:r>
      <w:r w:rsidRPr="00DB5D0D">
        <w:rPr>
          <w:rFonts w:ascii="Times New Roman" w:hAnsi="Times New Roman"/>
          <w:color w:val="000000" w:themeColor="text1"/>
          <w:sz w:val="16"/>
          <w:szCs w:val="16"/>
        </w:rPr>
        <w:softHyphen/>
        <w:t>чалу войны, которая сорвала наладочные работы и испытания, но в ноябре и октябре 1941 г., соответственно, обе лодки были приняты во временную эксплуатацию. Стоимость постройки одной лодки составила от 16,2 до 24 млн руб. (3898)</w:t>
      </w:r>
    </w:p>
    <w:p w14:paraId="676FFE8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E8526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 августе 1940 г. на ЛМЗ были проведены заводские испытания опытного образца Б-2-ЛМ - 130-мм башенной двухорудийной установки. Полигонные испытания проведены в два этапа: с 4 декабря 1940 г. по 27 января 1941 г. и с 27 апреля по 27 мая 1941 г. Всего сделано 240 выстрелов. По результатам испытаний установка была рекомендована к принятию на вооружение.</w:t>
      </w:r>
    </w:p>
    <w:p w14:paraId="651303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8 июля 1941 г. три башни Б-2-ЛМ были установлены на лидере «Ташкент» вместо Б-13. Государственные корабельные испытания проведены на нем же в июле 1941 г. в Севастопольской бухте. Вследствие поспешной эвакуации на заводе № 198 (г. Николаев) было оставлено 5 башен Б-2-ЛМ. В 1942 г. ГКО обязал Наркомат судостроительной промышленности (НКСП) организовать производство установок Б-2-ЛМ на заводе № 402 (г. Молотов).</w:t>
      </w:r>
    </w:p>
    <w:p w14:paraId="256889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послевоенный период производство Б-2-ЛМ велось до 1953 г. на заводах «Большевик», Старокраматорском машиностроительном заводе и на заводе № 75 (г. Юрга).</w:t>
      </w:r>
    </w:p>
    <w:p w14:paraId="367B37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«Ташкента», Б-2-ЛМ устанавливали на эсминцах проектов 30К и 30бис и одном эсминце проекта 7.</w:t>
      </w:r>
    </w:p>
    <w:p w14:paraId="301CFF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заслуги в создании Б-2-ЛМ ее главный конструктор Лодкин был досрочно освобожден в 1943 г., награжден двумя орденами и Сталинской премией. После освобождения он остался работать в ОКБ-172 до его расформирования, а затем до самой смерти в 1955 г. работал в ОКБ-43.</w:t>
      </w:r>
    </w:p>
    <w:p w14:paraId="6392DA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Б-2-ЛМ имела ствол моноблок с глубокой нарезкой. Затвор поршневой двухтактный. У правого и левого орудий затворы открывались влево. Хотя проектом предусматривалось пневматическое открывание затвора, открывались они вручную. Каждое орудие имело свою люльку. Качающаяся часть аналогична Б-13. Механизмы вертикального и горизонтального наведения имели электроприводы.</w:t>
      </w:r>
    </w:p>
    <w:p w14:paraId="13D52B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Подъем боеприпасов во вращающейся части производился по шахтам подачи каретками раздельно для каждого орудия (подача цепного типа). Шахта проходила через боевой стол и подбашенное отделение и прикреплялась к палубе этого отделения через центрирующий штырь. Передача боеприпасов с неподвижной части на вращающуюся производилась вручную.</w:t>
      </w:r>
    </w:p>
    <w:p w14:paraId="73E747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(«высокая») и кормовая («низкая») башни эсминцев различались высотой жесткого барабана (4075 мм и 3700 мм соответственно).</w:t>
      </w:r>
    </w:p>
    <w:p w14:paraId="0AAB08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Б-2-ЛМ оснащалась прицелом МБ-6.</w:t>
      </w:r>
    </w:p>
    <w:p w14:paraId="5E690E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Данные установки Б-2-ЛМ </w:t>
      </w:r>
    </w:p>
    <w:p w14:paraId="7F5AE0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Калибр, мм — 130</w:t>
      </w:r>
    </w:p>
    <w:p w14:paraId="5C527A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ствола, мм/клб — 6581/50,6</w:t>
      </w:r>
    </w:p>
    <w:p w14:paraId="632C1B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лейнера, мм/клб — 6450/49,6</w:t>
      </w:r>
    </w:p>
    <w:p w14:paraId="2E3414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нарезной части, мм — 5199</w:t>
      </w:r>
    </w:p>
    <w:p w14:paraId="1EFC36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Объем каморы, дм3 — 17,53</w:t>
      </w:r>
    </w:p>
    <w:p w14:paraId="4CCE31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Крутизна нарезов (постоянная), клб — 25</w:t>
      </w:r>
    </w:p>
    <w:p w14:paraId="1D4D16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нарезов — 40</w:t>
      </w:r>
    </w:p>
    <w:p w14:paraId="3167C5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Глубина нарезов, мм — 2,7</w:t>
      </w:r>
    </w:p>
    <w:p w14:paraId="75122B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нарезов, мм — 6,0</w:t>
      </w:r>
    </w:p>
    <w:p w14:paraId="551DBA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полей, мм — 4,2</w:t>
      </w:r>
    </w:p>
    <w:p w14:paraId="707792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затвора, кг — около 133</w:t>
      </w:r>
    </w:p>
    <w:p w14:paraId="3638B2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лейнера, кг — 487</w:t>
      </w:r>
    </w:p>
    <w:p w14:paraId="382458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ствола, кг — 3680</w:t>
      </w:r>
    </w:p>
    <w:p w14:paraId="656120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ствола с казенником и затвором, кг — 5070</w:t>
      </w:r>
    </w:p>
    <w:p w14:paraId="5A2771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УголВН, град — ?5;+45</w:t>
      </w:r>
    </w:p>
    <w:p w14:paraId="3635BB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заряжания, град — ?5; +45</w:t>
      </w:r>
    </w:p>
    <w:p w14:paraId="46795D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ГН, град — 360</w:t>
      </w:r>
    </w:p>
    <w:p w14:paraId="391553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ВН, град/с: от электродвигателя — 9,85</w:t>
      </w:r>
    </w:p>
    <w:p w14:paraId="023D69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вручную — 6</w:t>
      </w:r>
    </w:p>
    <w:p w14:paraId="090113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ГН, град/с: от электродвигателя — 9,7</w:t>
      </w:r>
    </w:p>
    <w:p w14:paraId="096227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вручную — 2,3</w:t>
      </w:r>
    </w:p>
    <w:p w14:paraId="159BAD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Радиус подъемного сектора, мм — 915</w:t>
      </w:r>
    </w:p>
    <w:p w14:paraId="1061EA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Диаметр шаров, мм — 76,2</w:t>
      </w:r>
    </w:p>
    <w:p w14:paraId="176CA1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шаров — 120</w:t>
      </w:r>
    </w:p>
    <w:p w14:paraId="3D790C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вертикальных катков — 9</w:t>
      </w:r>
    </w:p>
    <w:p w14:paraId="67D76A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отката максимальная, мм — 505</w:t>
      </w:r>
    </w:p>
    <w:p w14:paraId="4E2B46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Превышение оси орудия над осью цапф, мм — 6</w:t>
      </w:r>
    </w:p>
    <w:p w14:paraId="6D3F48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линии огня над палубой, мм — 2227</w:t>
      </w:r>
    </w:p>
    <w:p w14:paraId="2FC47B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оси орудия над полом боевого отделения, мм — 1540</w:t>
      </w:r>
    </w:p>
    <w:p w14:paraId="1FB812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башни от нижнего штыря до верха крыши, мм — 5400 (12091).</w:t>
      </w:r>
    </w:p>
    <w:p w14:paraId="73B5F4D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7E1EE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F73DB6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AB40E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 сентябре 1940 г. перерабатываются штаты санитарного управления фронта и санитарного отдела армии. В составе их командования, кроме начальников, состояли главные хирург, терапевт и эпидемиолог, а в числе отделов (отделений) - эвакуационный, лечебный, эпидемический, кадров и подготовки, снабжения.</w:t>
      </w:r>
    </w:p>
    <w:p w14:paraId="5890AA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важнейших шагов, сделанных военным руководством по завершении советско-финляндской войны, стала передача в сентябре 1940 г. из Генерального штаба в СУ РККА всех вопросов, связанных с подготовкой, учетом и расстановкой военно-медицинских кадров (9090).</w:t>
      </w:r>
    </w:p>
    <w:p w14:paraId="40E77F9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C161208" w14:textId="77777777" w:rsidR="00C15D15"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5BE7866" w14:textId="77777777" w:rsidR="00C15D15" w:rsidRPr="00DB5D0D" w:rsidRDefault="00C15D15" w:rsidP="00DB5D0D">
      <w:pPr>
        <w:spacing w:after="0" w:line="240" w:lineRule="auto"/>
        <w:jc w:val="both"/>
        <w:rPr>
          <w:rFonts w:ascii="Times New Roman" w:hAnsi="Times New Roman"/>
          <w:iCs/>
          <w:color w:val="000000" w:themeColor="text1"/>
          <w:sz w:val="16"/>
          <w:szCs w:val="16"/>
        </w:rPr>
      </w:pPr>
    </w:p>
    <w:p w14:paraId="371DC370" w14:textId="77777777" w:rsidR="00C15D15" w:rsidRPr="00DB5D0D" w:rsidRDefault="00C15D1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августа 1940 в процессе заводских испытаний, удалось выполнить 33 полета на ИП-21 с общим налетом 16 часов. Начиная с 3 августа несколько полетов Фокин выполнил на выполнение фигур высшего пилотажа. По его отзыву ИП-21 хорошо слушался рулей, на пикировании был устойчив, посадка и взлет оценивались более простыми, по сравнению с распространенным И-16. Путевая и поперечная устойчивость хорошая, продольная устойчивость требовала дальнейших исследований.</w:t>
      </w:r>
    </w:p>
    <w:p w14:paraId="0BDF6620" w14:textId="77777777" w:rsidR="00C15D15" w:rsidRPr="00DB5D0D" w:rsidRDefault="00C15D1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Во второй половине месяца первый опытный ИП-21 направили в Москву, где 18 августа он совершил демонстрационный полет на празднике, посвященном Дню авиации. Затем самолет некоторое время находился на Центральном аэродроме в Москве. В этот период ИП-21 облетали летчики НИИ ВВС, которые отметили тенденцию машины к сваливанию на крыло при посадке на больших углах атаки. Для устранения этого недостатка Пашинину предложили второй опытный экземпляр оборудовать автоматическими предкрылками на отъемных частях крыла (15561).</w:t>
      </w:r>
    </w:p>
    <w:p w14:paraId="145D8337" w14:textId="77777777" w:rsidR="00C15D15" w:rsidRPr="00DB5D0D" w:rsidRDefault="00C15D15" w:rsidP="00DB5D0D">
      <w:pPr>
        <w:spacing w:after="0" w:line="240" w:lineRule="auto"/>
        <w:jc w:val="both"/>
        <w:rPr>
          <w:rFonts w:ascii="Times New Roman" w:hAnsi="Times New Roman"/>
          <w:color w:val="000000" w:themeColor="text1"/>
          <w:sz w:val="16"/>
          <w:szCs w:val="16"/>
        </w:rPr>
      </w:pPr>
    </w:p>
    <w:p w14:paraId="627F8130" w14:textId="77777777" w:rsidR="009310F8" w:rsidRPr="00DB5D0D" w:rsidRDefault="009310F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августу 1940 года завод № 234 «Красный Октябрь» был одним из лидеров в редукторостроении, производил продукцию широкой номенклатуры, в частности, узлы танковых (от первых серийных Т-26 до опытных Т-34) и тракторных трансмиссий, мотоциклы, а также ремонтировал авиамоторы М-5. 5 августа 1940 года он был переведён в состав НКАП, и 7 августа 1940 под руководством нового директора Петрова А.П. «Красный Октябрь» приступил к подготовке производства и освоению серийного выпуска М-105. Завод в считанные месяцы наладил новое производство, и к июню 1941 года им было выпущено 56 серийных М-105(Р, П). Численность работников «Красного Октября» выросла до 14800 человек (17413).</w:t>
      </w:r>
    </w:p>
    <w:p w14:paraId="508BEEB8" w14:textId="77777777" w:rsidR="009310F8" w:rsidRPr="00DB5D0D" w:rsidRDefault="009310F8" w:rsidP="00DB5D0D">
      <w:pPr>
        <w:spacing w:after="0" w:line="240" w:lineRule="auto"/>
        <w:jc w:val="both"/>
        <w:rPr>
          <w:rFonts w:ascii="Times New Roman" w:hAnsi="Times New Roman"/>
          <w:color w:val="000000" w:themeColor="text1"/>
          <w:sz w:val="16"/>
          <w:szCs w:val="16"/>
        </w:rPr>
      </w:pPr>
    </w:p>
    <w:p w14:paraId="2351F258" w14:textId="77777777" w:rsidR="00F93D66" w:rsidRPr="00DB5D0D" w:rsidRDefault="00F93D6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9CAEA38" w14:textId="77777777" w:rsidR="00F93D66" w:rsidRPr="00DB5D0D" w:rsidRDefault="00F93D66" w:rsidP="00DB5D0D">
      <w:pPr>
        <w:spacing w:after="0" w:line="240" w:lineRule="auto"/>
        <w:jc w:val="both"/>
        <w:rPr>
          <w:rFonts w:ascii="Times New Roman" w:hAnsi="Times New Roman"/>
          <w:iCs/>
          <w:color w:val="000000" w:themeColor="text1"/>
          <w:sz w:val="16"/>
          <w:szCs w:val="16"/>
        </w:rPr>
      </w:pPr>
    </w:p>
    <w:p w14:paraId="18882E6D" w14:textId="77777777" w:rsidR="00F93D66" w:rsidRPr="00DB5D0D" w:rsidRDefault="00F93D6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августу 1940 г. производственные мощности по бризантным ВВ составляли в СССР 135 000 т в год, из которых 107 000 т (79,3%) приходились на ТНТ, а остальные 28 000 т (20,7%) - на тетрил, ксилил, пикриновую кислоту и динитронафталин (3). В годы же Великой Отечественной войны удельный вес тротила в производстве бризантных ВВ вырос до 95% (19151).</w:t>
      </w:r>
    </w:p>
    <w:p w14:paraId="3B69DB66" w14:textId="77777777" w:rsidR="00F93D66" w:rsidRPr="00DB5D0D" w:rsidRDefault="00F93D66" w:rsidP="00DB5D0D">
      <w:pPr>
        <w:spacing w:after="0" w:line="240" w:lineRule="auto"/>
        <w:jc w:val="both"/>
        <w:rPr>
          <w:rFonts w:ascii="Times New Roman" w:hAnsi="Times New Roman"/>
          <w:color w:val="000000" w:themeColor="text1"/>
          <w:sz w:val="16"/>
          <w:szCs w:val="16"/>
        </w:rPr>
      </w:pPr>
    </w:p>
    <w:p w14:paraId="67129CB0" w14:textId="77777777" w:rsidR="00F93D66" w:rsidRPr="00DB5D0D" w:rsidRDefault="00F93D66"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011F476" w14:textId="77777777" w:rsidR="00F93D66" w:rsidRPr="00DB5D0D" w:rsidRDefault="00F93D66" w:rsidP="00DB5D0D">
      <w:pPr>
        <w:spacing w:after="0" w:line="240" w:lineRule="auto"/>
        <w:jc w:val="both"/>
        <w:rPr>
          <w:rFonts w:ascii="Times New Roman" w:hAnsi="Times New Roman"/>
          <w:iCs/>
          <w:color w:val="000000" w:themeColor="text1"/>
          <w:sz w:val="16"/>
          <w:szCs w:val="16"/>
        </w:rPr>
      </w:pPr>
    </w:p>
    <w:p w14:paraId="5BDC3B9E" w14:textId="77777777" w:rsidR="00F93D66" w:rsidRPr="00DB5D0D" w:rsidRDefault="00F93D66" w:rsidP="00DB5D0D">
      <w:pPr>
        <w:pStyle w:val="ae"/>
        <w:shd w:val="clear" w:color="auto" w:fill="FFFFFF"/>
        <w:spacing w:before="0" w:after="0"/>
        <w:jc w:val="both"/>
        <w:rPr>
          <w:color w:val="000000" w:themeColor="text1"/>
          <w:sz w:val="16"/>
          <w:szCs w:val="16"/>
        </w:rPr>
      </w:pPr>
      <w:r w:rsidRPr="00DB5D0D">
        <w:rPr>
          <w:color w:val="000000" w:themeColor="text1"/>
          <w:sz w:val="16"/>
          <w:szCs w:val="16"/>
        </w:rPr>
        <w:t>К августу-сентябрю 1940 года было изготовлено 15 доработанных пушек МП-3. По свидетельству П.П. Грибкова, в те годы молодого конструктора ОКБ-16, Таубин и Бабурин в сентябре 1940 года побывали на приеме у Сталина, который потребовал поднять темп стрельбы до 600 выстр/мин, считая, что пушка с темпом стрельбы 500 выстр/мин годится лишь для сухопутного применения. На заводе пытались поднять темп стрельбы за счет лучшей отладки. Начальник цеха В.Е. Сиберев предложил ставить более жесткую возвратную пружину, благодаря которой затвор приходил в переднее положение с большей скоростью. Благодаря этому удалось достичь скорострельности 600-610 выстр/мин.</w:t>
      </w:r>
    </w:p>
    <w:p w14:paraId="2AE7F3B1" w14:textId="77777777" w:rsidR="00F93D66" w:rsidRPr="00DB5D0D" w:rsidRDefault="00F93D66"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окончательном виде, получившим обозначение МП-6 (другое обозначение - ПТБ-23 - пушка Таубина-Бабурина), был введен рычажный ускоритель затворного узла для сохранения хода затвора на прежнюю длину и более эффективных гидравлический буфер отката вместо пружинного.</w:t>
      </w:r>
    </w:p>
    <w:p w14:paraId="1F7C983B" w14:textId="77777777" w:rsidR="00F93D66" w:rsidRPr="00DB5D0D" w:rsidRDefault="00F93D66" w:rsidP="00DB5D0D">
      <w:pPr>
        <w:pStyle w:val="ae"/>
        <w:shd w:val="clear" w:color="auto" w:fill="FFFFFF"/>
        <w:spacing w:before="0" w:after="0"/>
        <w:jc w:val="both"/>
        <w:rPr>
          <w:color w:val="000000" w:themeColor="text1"/>
          <w:sz w:val="16"/>
          <w:szCs w:val="16"/>
        </w:rPr>
      </w:pPr>
      <w:r w:rsidRPr="00DB5D0D">
        <w:rPr>
          <w:color w:val="000000" w:themeColor="text1"/>
          <w:sz w:val="16"/>
          <w:szCs w:val="16"/>
        </w:rPr>
        <w:t>К сожалению, столь высокий темп стрельбы при использовании мощного патрона таил в себе массу проблем, которые никто не мог предвидеть. Такой параметр, как усилие отдачи не фигурировал нигде в технических требованиях на орудие. По всей видимости, ни оружейники, ни авиаконструкторы, до сего момента не сталкиваясь с установкой на самолеты столь мощного оружия, не придавали значения чудовищным силам, которые в момент отдачи воздействуют на конструкцию самолета (19193).</w:t>
      </w:r>
    </w:p>
    <w:p w14:paraId="09E8DB7D" w14:textId="77777777" w:rsidR="00F93D66" w:rsidRPr="00DB5D0D" w:rsidRDefault="00F93D66" w:rsidP="00DB5D0D">
      <w:pPr>
        <w:pStyle w:val="ae"/>
        <w:shd w:val="clear" w:color="auto" w:fill="FFFFFF"/>
        <w:spacing w:before="0" w:after="0"/>
        <w:jc w:val="both"/>
        <w:rPr>
          <w:color w:val="000000" w:themeColor="text1"/>
          <w:sz w:val="16"/>
          <w:szCs w:val="16"/>
        </w:rPr>
      </w:pPr>
    </w:p>
    <w:p w14:paraId="45390BE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88A46F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BD0D4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вышел приказ НКАП N 387cc "В соответствии с постановлением Правительства от 26 июля 1940 "Об организации производства боевых самолетов и авиамоторов в гор. Ленинграде (постановление СНК и ЦК ВКП(б) N 1369-534сс), ПРИКАЗЫВАЮ:</w:t>
      </w:r>
    </w:p>
    <w:p w14:paraId="057B1E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Моим заместителям т.т. Баландину В.П., Воронину П.А., Начальнику Третьего ГУ тов. М.М.Лукину и зам. начальника ПГУ тов. А.Д.Шиц организовать в гор. Ленинграде производство и выпуск боевых самолетов и моторов, исходя из следующих заданий:</w:t>
      </w:r>
    </w:p>
    <w:p w14:paraId="5F5F3C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самолетостроению изготовить в 1940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tblGrid>
      <w:tr w:rsidR="007D5DF8" w:rsidRPr="00DB5D0D" w14:paraId="3EE95EA6" w14:textId="77777777" w:rsidTr="00E543D0">
        <w:tc>
          <w:tcPr>
            <w:tcW w:w="3833" w:type="dxa"/>
            <w:tcBorders>
              <w:top w:val="single" w:sz="12" w:space="0" w:color="auto"/>
            </w:tcBorders>
          </w:tcPr>
          <w:p w14:paraId="638E93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истребителей И-301</w:t>
            </w:r>
          </w:p>
        </w:tc>
        <w:tc>
          <w:tcPr>
            <w:tcW w:w="3833" w:type="dxa"/>
            <w:tcBorders>
              <w:top w:val="single" w:sz="12" w:space="0" w:color="auto"/>
            </w:tcBorders>
          </w:tcPr>
          <w:p w14:paraId="6FC3A0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штук</w:t>
            </w:r>
          </w:p>
        </w:tc>
      </w:tr>
      <w:tr w:rsidR="007D5DF8" w:rsidRPr="00DB5D0D" w14:paraId="6E9253FB" w14:textId="77777777" w:rsidTr="00E543D0">
        <w:tc>
          <w:tcPr>
            <w:tcW w:w="3833" w:type="dxa"/>
          </w:tcPr>
          <w:p w14:paraId="19E0D4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бронированных штурмовиков БШ</w:t>
            </w:r>
          </w:p>
        </w:tc>
        <w:tc>
          <w:tcPr>
            <w:tcW w:w="3833" w:type="dxa"/>
          </w:tcPr>
          <w:p w14:paraId="614351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штук</w:t>
            </w:r>
          </w:p>
        </w:tc>
      </w:tr>
      <w:tr w:rsidR="007D5DF8" w:rsidRPr="00DB5D0D" w14:paraId="16FBDDEE" w14:textId="77777777" w:rsidTr="00E543D0">
        <w:tc>
          <w:tcPr>
            <w:tcW w:w="3833" w:type="dxa"/>
          </w:tcPr>
          <w:p w14:paraId="7EACA4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ближних бомбардировщиков ББ-22</w:t>
            </w:r>
          </w:p>
        </w:tc>
        <w:tc>
          <w:tcPr>
            <w:tcW w:w="3833" w:type="dxa"/>
          </w:tcPr>
          <w:p w14:paraId="4036F2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штук</w:t>
            </w:r>
          </w:p>
        </w:tc>
      </w:tr>
      <w:tr w:rsidR="007D5DF8" w:rsidRPr="00DB5D0D" w14:paraId="04243B70" w14:textId="77777777" w:rsidTr="00E543D0">
        <w:tc>
          <w:tcPr>
            <w:tcW w:w="3833" w:type="dxa"/>
          </w:tcPr>
          <w:p w14:paraId="577DC3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 году</w:t>
            </w:r>
          </w:p>
        </w:tc>
        <w:tc>
          <w:tcPr>
            <w:tcW w:w="3833" w:type="dxa"/>
          </w:tcPr>
          <w:p w14:paraId="0EC7055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B65DA82" w14:textId="77777777" w:rsidTr="00E543D0">
        <w:tc>
          <w:tcPr>
            <w:tcW w:w="3833" w:type="dxa"/>
          </w:tcPr>
          <w:p w14:paraId="7D08FB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истребителей И-301</w:t>
            </w:r>
          </w:p>
        </w:tc>
        <w:tc>
          <w:tcPr>
            <w:tcW w:w="3833" w:type="dxa"/>
          </w:tcPr>
          <w:p w14:paraId="5CB65E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 штук</w:t>
            </w:r>
          </w:p>
        </w:tc>
      </w:tr>
      <w:tr w:rsidR="007D5DF8" w:rsidRPr="00DB5D0D" w14:paraId="0BEFAE6A" w14:textId="77777777" w:rsidTr="00E543D0">
        <w:tc>
          <w:tcPr>
            <w:tcW w:w="3833" w:type="dxa"/>
          </w:tcPr>
          <w:p w14:paraId="6D7C90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бронированных штурмовиков БШ</w:t>
            </w:r>
          </w:p>
        </w:tc>
        <w:tc>
          <w:tcPr>
            <w:tcW w:w="3833" w:type="dxa"/>
          </w:tcPr>
          <w:p w14:paraId="5EC378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 штук</w:t>
            </w:r>
          </w:p>
        </w:tc>
      </w:tr>
      <w:tr w:rsidR="007D5DF8" w:rsidRPr="00DB5D0D" w14:paraId="396AFD10" w14:textId="77777777" w:rsidTr="00E543D0">
        <w:tc>
          <w:tcPr>
            <w:tcW w:w="3833" w:type="dxa"/>
            <w:tcBorders>
              <w:bottom w:val="single" w:sz="12" w:space="0" w:color="auto"/>
            </w:tcBorders>
          </w:tcPr>
          <w:p w14:paraId="0502D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ближних бомбардировщиков ББ-22</w:t>
            </w:r>
          </w:p>
        </w:tc>
        <w:tc>
          <w:tcPr>
            <w:tcW w:w="3833" w:type="dxa"/>
            <w:tcBorders>
              <w:bottom w:val="single" w:sz="12" w:space="0" w:color="auto"/>
            </w:tcBorders>
          </w:tcPr>
          <w:p w14:paraId="5807AC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 штук</w:t>
            </w:r>
          </w:p>
        </w:tc>
      </w:tr>
    </w:tbl>
    <w:p w14:paraId="587B33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января 1942 года создать мощности, обеспечивающие в 1942 году выпуск: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tblGrid>
      <w:tr w:rsidR="007D5DF8" w:rsidRPr="00DB5D0D" w14:paraId="0CB37D48" w14:textId="77777777" w:rsidTr="00E543D0">
        <w:tc>
          <w:tcPr>
            <w:tcW w:w="3833" w:type="dxa"/>
            <w:tcBorders>
              <w:top w:val="single" w:sz="12" w:space="0" w:color="auto"/>
            </w:tcBorders>
          </w:tcPr>
          <w:p w14:paraId="09828C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истребителей И-301</w:t>
            </w:r>
          </w:p>
        </w:tc>
        <w:tc>
          <w:tcPr>
            <w:tcW w:w="3833" w:type="dxa"/>
            <w:tcBorders>
              <w:top w:val="single" w:sz="12" w:space="0" w:color="auto"/>
            </w:tcBorders>
          </w:tcPr>
          <w:p w14:paraId="7065CE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 штук</w:t>
            </w:r>
          </w:p>
        </w:tc>
      </w:tr>
      <w:tr w:rsidR="007D5DF8" w:rsidRPr="00DB5D0D" w14:paraId="0E5A1B82" w14:textId="77777777" w:rsidTr="00E543D0">
        <w:tc>
          <w:tcPr>
            <w:tcW w:w="3833" w:type="dxa"/>
          </w:tcPr>
          <w:p w14:paraId="5CD9E1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бронированных штурмовиков БШ</w:t>
            </w:r>
          </w:p>
        </w:tc>
        <w:tc>
          <w:tcPr>
            <w:tcW w:w="3833" w:type="dxa"/>
          </w:tcPr>
          <w:p w14:paraId="2DAE2F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 штук</w:t>
            </w:r>
          </w:p>
        </w:tc>
      </w:tr>
      <w:tr w:rsidR="007D5DF8" w:rsidRPr="00DB5D0D" w14:paraId="0167AB59" w14:textId="77777777" w:rsidTr="00E543D0">
        <w:tc>
          <w:tcPr>
            <w:tcW w:w="3833" w:type="dxa"/>
            <w:tcBorders>
              <w:bottom w:val="single" w:sz="12" w:space="0" w:color="auto"/>
            </w:tcBorders>
          </w:tcPr>
          <w:p w14:paraId="31DDFE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ближних бомбардировщиков ББ-22</w:t>
            </w:r>
          </w:p>
        </w:tc>
        <w:tc>
          <w:tcPr>
            <w:tcW w:w="3833" w:type="dxa"/>
            <w:tcBorders>
              <w:bottom w:val="single" w:sz="12" w:space="0" w:color="auto"/>
            </w:tcBorders>
          </w:tcPr>
          <w:p w14:paraId="2C8B91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штук</w:t>
            </w:r>
          </w:p>
        </w:tc>
      </w:tr>
    </w:tbl>
    <w:p w14:paraId="012523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 мощности вести, исходя из двух смен (411,1).</w:t>
      </w:r>
    </w:p>
    <w:p w14:paraId="08D227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моторостроению изготовить в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tblGrid>
      <w:tr w:rsidR="007D5DF8" w:rsidRPr="00DB5D0D" w14:paraId="384166C5" w14:textId="77777777" w:rsidTr="00E543D0">
        <w:tc>
          <w:tcPr>
            <w:tcW w:w="3833" w:type="dxa"/>
            <w:tcBorders>
              <w:top w:val="single" w:sz="12" w:space="0" w:color="auto"/>
            </w:tcBorders>
          </w:tcPr>
          <w:p w14:paraId="015281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3833" w:type="dxa"/>
            <w:tcBorders>
              <w:top w:val="single" w:sz="12" w:space="0" w:color="auto"/>
            </w:tcBorders>
          </w:tcPr>
          <w:p w14:paraId="5540F6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шт.</w:t>
            </w:r>
          </w:p>
        </w:tc>
      </w:tr>
      <w:tr w:rsidR="007D5DF8" w:rsidRPr="00DB5D0D" w14:paraId="5A7DC287" w14:textId="77777777" w:rsidTr="00E543D0">
        <w:tc>
          <w:tcPr>
            <w:tcW w:w="3833" w:type="dxa"/>
          </w:tcPr>
          <w:p w14:paraId="401068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w:t>
            </w:r>
          </w:p>
        </w:tc>
        <w:tc>
          <w:tcPr>
            <w:tcW w:w="3833" w:type="dxa"/>
          </w:tcPr>
          <w:p w14:paraId="508A08B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808E446" w14:textId="77777777" w:rsidTr="00E543D0">
        <w:tc>
          <w:tcPr>
            <w:tcW w:w="3833" w:type="dxa"/>
            <w:tcBorders>
              <w:bottom w:val="single" w:sz="12" w:space="0" w:color="auto"/>
            </w:tcBorders>
          </w:tcPr>
          <w:p w14:paraId="259C91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3833" w:type="dxa"/>
            <w:tcBorders>
              <w:bottom w:val="single" w:sz="12" w:space="0" w:color="auto"/>
            </w:tcBorders>
          </w:tcPr>
          <w:p w14:paraId="028CA0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 шт. (1272)</w:t>
            </w:r>
          </w:p>
        </w:tc>
      </w:tr>
    </w:tbl>
    <w:p w14:paraId="382A2D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января 1942 довести мощность по производству М-105 до 5000</w:t>
      </w:r>
    </w:p>
    <w:p w14:paraId="45211A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 мощности вести, исходя из двух смен</w:t>
      </w:r>
    </w:p>
    <w:p w14:paraId="221058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Для организации производства боевых самолетов в г. Ленинграде Зам. нач. 1 ГУ А.Д.Шиц к 15 августа 1940 произвести приемку нижеследующих заводов:</w:t>
      </w:r>
    </w:p>
    <w:p w14:paraId="680F5E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завод Ленметаллургстрой</w:t>
      </w:r>
      <w:r w:rsidRPr="00DB5D0D">
        <w:rPr>
          <w:rFonts w:ascii="Times New Roman" w:hAnsi="Times New Roman"/>
          <w:color w:val="000000" w:themeColor="text1"/>
          <w:sz w:val="16"/>
          <w:szCs w:val="16"/>
        </w:rPr>
        <w:tab/>
        <w:t>НКСМ,</w:t>
      </w:r>
    </w:p>
    <w:p w14:paraId="30A7D0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Лентрансстрой</w:t>
      </w:r>
      <w:r w:rsidRPr="00DB5D0D">
        <w:rPr>
          <w:rFonts w:ascii="Times New Roman" w:hAnsi="Times New Roman"/>
          <w:color w:val="000000" w:themeColor="text1"/>
          <w:sz w:val="16"/>
          <w:szCs w:val="16"/>
        </w:rPr>
        <w:tab/>
        <w:t>НКТМ,</w:t>
      </w:r>
    </w:p>
    <w:p w14:paraId="30F0CD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машиностроительный</w:t>
      </w:r>
      <w:r w:rsidRPr="00DB5D0D">
        <w:rPr>
          <w:rFonts w:ascii="Times New Roman" w:hAnsi="Times New Roman"/>
          <w:color w:val="000000" w:themeColor="text1"/>
          <w:sz w:val="16"/>
          <w:szCs w:val="16"/>
        </w:rPr>
        <w:tab/>
        <w:t>НКПС,</w:t>
      </w:r>
    </w:p>
    <w:p w14:paraId="210312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новый корпус завода КИНАП</w:t>
      </w:r>
      <w:r w:rsidRPr="00DB5D0D">
        <w:rPr>
          <w:rFonts w:ascii="Times New Roman" w:hAnsi="Times New Roman"/>
          <w:color w:val="000000" w:themeColor="text1"/>
          <w:sz w:val="16"/>
          <w:szCs w:val="16"/>
        </w:rPr>
        <w:tab/>
        <w:t>КДКМ,</w:t>
      </w:r>
    </w:p>
    <w:p w14:paraId="0DF8B8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новый корпус завода им. Кирова</w:t>
      </w:r>
      <w:r w:rsidRPr="00DB5D0D">
        <w:rPr>
          <w:rFonts w:ascii="Times New Roman" w:hAnsi="Times New Roman"/>
          <w:color w:val="000000" w:themeColor="text1"/>
          <w:sz w:val="16"/>
          <w:szCs w:val="16"/>
        </w:rPr>
        <w:tab/>
        <w:t>НКТМ,</w:t>
      </w:r>
    </w:p>
    <w:p w14:paraId="19BE80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организовав на их базе производство самолета “Бронированных штурмовиков” (БШ) (1272).</w:t>
      </w:r>
    </w:p>
    <w:p w14:paraId="3C46F7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вагоноремонтный завод ВАРЗ - Ленсовет, организовав на его базе производство самолетов ближних бомбардировщиков (ББ-22) (1272).</w:t>
      </w:r>
    </w:p>
    <w:p w14:paraId="09942D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авторемонтный завод - Ленсовет, организовав на нем производство шасси и др. агрегатов для И-301 завода 23 (1272).</w:t>
      </w:r>
    </w:p>
    <w:p w14:paraId="1499A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завод им. Каракозова - ЦС Осоавихима</w:t>
      </w:r>
    </w:p>
    <w:p w14:paraId="65C467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новый корпус завода Лентекстильмаш - НКОМ, создав на его базе завод для производства учебных с-тов У-2 с программой: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tblGrid>
      <w:tr w:rsidR="007D5DF8" w:rsidRPr="00DB5D0D" w14:paraId="773911F6" w14:textId="77777777" w:rsidTr="00E543D0">
        <w:tc>
          <w:tcPr>
            <w:tcW w:w="3833" w:type="dxa"/>
            <w:tcBorders>
              <w:top w:val="single" w:sz="12" w:space="0" w:color="auto"/>
            </w:tcBorders>
          </w:tcPr>
          <w:p w14:paraId="3AC2BC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1940</w:t>
            </w:r>
          </w:p>
        </w:tc>
        <w:tc>
          <w:tcPr>
            <w:tcW w:w="3833" w:type="dxa"/>
            <w:tcBorders>
              <w:top w:val="single" w:sz="12" w:space="0" w:color="auto"/>
            </w:tcBorders>
          </w:tcPr>
          <w:p w14:paraId="5BC6DD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r>
      <w:tr w:rsidR="007D5DF8" w:rsidRPr="00DB5D0D" w14:paraId="3A75ECD5" w14:textId="77777777" w:rsidTr="00E543D0">
        <w:tc>
          <w:tcPr>
            <w:tcW w:w="3833" w:type="dxa"/>
          </w:tcPr>
          <w:p w14:paraId="637305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w:t>
            </w:r>
          </w:p>
        </w:tc>
        <w:tc>
          <w:tcPr>
            <w:tcW w:w="3833" w:type="dxa"/>
          </w:tcPr>
          <w:p w14:paraId="4EA8BD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39187370" w14:textId="77777777" w:rsidTr="00E543D0">
        <w:tc>
          <w:tcPr>
            <w:tcW w:w="3833" w:type="dxa"/>
            <w:tcBorders>
              <w:bottom w:val="single" w:sz="12" w:space="0" w:color="auto"/>
            </w:tcBorders>
          </w:tcPr>
          <w:p w14:paraId="590B82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833" w:type="dxa"/>
            <w:tcBorders>
              <w:bottom w:val="single" w:sz="12" w:space="0" w:color="auto"/>
            </w:tcBorders>
          </w:tcPr>
          <w:p w14:paraId="29A850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доведением мощности до 2500 к 1 января 1942 (1272)</w:t>
            </w:r>
          </w:p>
        </w:tc>
      </w:tr>
    </w:tbl>
    <w:p w14:paraId="7A1166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производство И-301 организовать на заводе 23 (1272).</w:t>
      </w:r>
    </w:p>
    <w:p w14:paraId="0888D78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4C175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августа 1940 на 18 заводе было 274 ДБ-3Ф в незавершенном производстве (включая 51 облетанную и 50 собранных) из-за задержки поставки М-87 и М-88 (1001,52).</w:t>
      </w:r>
    </w:p>
    <w:p w14:paraId="0CD389F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A6155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В.М.П. передал на 39 и 22 завод чертежи 100 в варианте ПБ (1293,222).</w:t>
      </w:r>
    </w:p>
    <w:p w14:paraId="730E586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6216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по приказу НКАП были остановлены заводские испытания СПБ из-за двух катастроф 27 апреля 1940 и 20 июля 1940 и решили продолжить исследования в ЦАГИ в трубе Т-101, которые шли до конца 1940 (1249,98).</w:t>
      </w:r>
    </w:p>
    <w:p w14:paraId="36135BE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FBA45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1 августа 1940 г. маслосистема И-26, выпускаемого на заводе № 301, изменялась семь раз, воздушная система - четыре раза, вооружение и капоты мотора - по два раза. В августе стали устанавливать воздушный компрессор АК-50, так как АК-30 не обеспечивал необходимого для уборки шасси на взлете давления воздуха. </w:t>
      </w:r>
      <w:r w:rsidRPr="00DB5D0D">
        <w:rPr>
          <w:rFonts w:ascii="Times New Roman" w:hAnsi="Times New Roman"/>
          <w:color w:val="000000" w:themeColor="text1"/>
          <w:sz w:val="16"/>
          <w:szCs w:val="16"/>
        </w:rPr>
        <w:lastRenderedPageBreak/>
        <w:t>Начиная с первой машины, ввели весовую компенсацию в крыле и руле высоты. В сентябре доработали стойки шасси, добавили новый люк в фюзеляже для подхода к во- дорадиатору, вновь изменили маслосистему и т.д. и т.п. Всего с I февраля по I октября 1940 г. в чертежи И-26 было внесено 3950 изменений, из них:</w:t>
      </w:r>
    </w:p>
    <w:p w14:paraId="480729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конструктивных ...300 штук;</w:t>
      </w:r>
    </w:p>
    <w:p w14:paraId="55BD48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производственно-технологических изменений ...700 штук;</w:t>
      </w:r>
    </w:p>
    <w:p w14:paraId="59A3C1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исправлений в чертежах по причинам выявленных неувязок размеров ...2950 штук.</w:t>
      </w:r>
    </w:p>
    <w:p w14:paraId="7A4073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Только с 11 по 27 сентября I940 г. десять истребителей И-26 первой серии завода № 301 были облетаны и приняты военными представителями. Самолеты незамедлительно направили на войсковые испытания, которые проводились в Кубинке в 11-м истребительном авиаполку (иап) с октября по ноябрь 1940 г. включительно.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158F53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36831A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5E97127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7F020ED" w14:textId="77777777" w:rsidR="006D287B" w:rsidRPr="00DB5D0D" w:rsidRDefault="006D287B" w:rsidP="00DB5D0D">
      <w:pPr>
        <w:pStyle w:val="article-renderblock"/>
        <w:shd w:val="clear" w:color="auto" w:fill="FFFFFF"/>
        <w:spacing w:before="0" w:beforeAutospacing="0" w:after="0" w:afterAutospacing="0"/>
        <w:jc w:val="both"/>
        <w:rPr>
          <w:color w:val="0070C0"/>
          <w:sz w:val="16"/>
          <w:szCs w:val="16"/>
        </w:rPr>
      </w:pPr>
      <w:r w:rsidRPr="00DB5D0D">
        <w:rPr>
          <w:color w:val="0070C0"/>
          <w:sz w:val="16"/>
          <w:szCs w:val="16"/>
        </w:rPr>
        <w:t>1 августа 1940 вышел приказ НКАП № 387cc в соответствии с постановлением СНК и ЦК ВКП(б) N 1369-534сс от 26 июля 1940 года «Об организации производства боевых самолетов и авиамоторов в городе Ленинграде». В частности, заводу № 23 было дано задание на постройку 10 самолетов И-301 в 1940 году, 500 – в 1941 году и создать мощности для производства 1500 машин к 1 января 1942 года. Свой первый маленький бой молодое КБ выиграло (23183).</w:t>
      </w:r>
    </w:p>
    <w:p w14:paraId="622C08CD" w14:textId="77777777" w:rsidR="006D287B" w:rsidRPr="00DB5D0D" w:rsidRDefault="006D287B" w:rsidP="00DB5D0D">
      <w:pPr>
        <w:pStyle w:val="article-renderblock"/>
        <w:shd w:val="clear" w:color="auto" w:fill="FFFFFF"/>
        <w:spacing w:before="0" w:beforeAutospacing="0" w:after="0" w:afterAutospacing="0"/>
        <w:jc w:val="both"/>
        <w:rPr>
          <w:color w:val="0070C0"/>
          <w:sz w:val="16"/>
          <w:szCs w:val="16"/>
        </w:rPr>
      </w:pPr>
    </w:p>
    <w:p w14:paraId="64AD21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закончились гос. испытания И-153 с М-62 с гермокабиной Щербакова (2090,147).</w:t>
      </w:r>
    </w:p>
    <w:p w14:paraId="60F6678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7EE66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 сразу после возвращения в Москву, Николай Николаевич направил письмо заместителям наркома А.С.Яковлеву и П.А.Воронину о результатах поездки:</w:t>
      </w:r>
    </w:p>
    <w:p w14:paraId="3FDB7E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Вместе с военпредством ВВС на заводе №21 с представителем НИИ ВВС тов. Ерышевым были рас</w:t>
      </w:r>
      <w:r w:rsidRPr="00DB5D0D">
        <w:rPr>
          <w:rFonts w:ascii="Times New Roman" w:hAnsi="Times New Roman"/>
          <w:color w:val="000000" w:themeColor="text1"/>
          <w:sz w:val="16"/>
          <w:szCs w:val="16"/>
        </w:rPr>
        <w:softHyphen/>
        <w:t>смотрены вопросы и пожелания НИИ ВВС к войсковой, а также к 1 и 2-й сериям самолетов И-180, по всем во</w:t>
      </w:r>
      <w:r w:rsidRPr="00DB5D0D">
        <w:rPr>
          <w:rFonts w:ascii="Times New Roman" w:hAnsi="Times New Roman"/>
          <w:color w:val="000000" w:themeColor="text1"/>
          <w:sz w:val="16"/>
          <w:szCs w:val="16"/>
        </w:rPr>
        <w:softHyphen/>
        <w:t>просам достигнуты соглашения, зафиксированные про</w:t>
      </w:r>
      <w:r w:rsidRPr="00DB5D0D">
        <w:rPr>
          <w:rFonts w:ascii="Times New Roman" w:hAnsi="Times New Roman"/>
          <w:color w:val="000000" w:themeColor="text1"/>
          <w:sz w:val="16"/>
          <w:szCs w:val="16"/>
        </w:rPr>
        <w:softHyphen/>
        <w:t>токолами.</w:t>
      </w:r>
    </w:p>
    <w:p w14:paraId="629A2C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Постановлено, что в период с 1 по 4-ое августа с.г. на заводе № 21 должны быть закончены статические ис</w:t>
      </w:r>
      <w:r w:rsidRPr="00DB5D0D">
        <w:rPr>
          <w:rFonts w:ascii="Times New Roman" w:hAnsi="Times New Roman"/>
          <w:color w:val="000000" w:themeColor="text1"/>
          <w:sz w:val="16"/>
          <w:szCs w:val="16"/>
        </w:rPr>
        <w:softHyphen/>
        <w:t>пытания серийного самолета И-180, а также центропла</w:t>
      </w:r>
      <w:r w:rsidRPr="00DB5D0D">
        <w:rPr>
          <w:rFonts w:ascii="Times New Roman" w:hAnsi="Times New Roman"/>
          <w:color w:val="000000" w:themeColor="text1"/>
          <w:sz w:val="16"/>
          <w:szCs w:val="16"/>
        </w:rPr>
        <w:softHyphen/>
        <w:t>на с трубой 45x36, но с подкрепленным узлом на заднем лонжероне и усиливающими накладками на переднем лонжероне.</w:t>
      </w:r>
    </w:p>
    <w:p w14:paraId="4FA9C6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Форсировано изготовление фонарей для войско</w:t>
      </w:r>
      <w:r w:rsidRPr="00DB5D0D">
        <w:rPr>
          <w:rFonts w:ascii="Times New Roman" w:hAnsi="Times New Roman"/>
          <w:color w:val="000000" w:themeColor="text1"/>
          <w:sz w:val="16"/>
          <w:szCs w:val="16"/>
        </w:rPr>
        <w:softHyphen/>
        <w:t>вой серии самолетов И-180.</w:t>
      </w:r>
    </w:p>
    <w:p w14:paraId="3F209A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Знакомство с состоянием войсковой серии И-180 показывает, что только четыре самолета имеют наве</w:t>
      </w:r>
      <w:r w:rsidRPr="00DB5D0D">
        <w:rPr>
          <w:rFonts w:ascii="Times New Roman" w:hAnsi="Times New Roman"/>
          <w:color w:val="000000" w:themeColor="text1"/>
          <w:sz w:val="16"/>
          <w:szCs w:val="16"/>
        </w:rPr>
        <w:softHyphen/>
        <w:t>шенные моторы и находятся в общей сборке, два же других фюзеляжа только начинаются сборкой; послед</w:t>
      </w:r>
      <w:r w:rsidRPr="00DB5D0D">
        <w:rPr>
          <w:rFonts w:ascii="Times New Roman" w:hAnsi="Times New Roman"/>
          <w:color w:val="000000" w:themeColor="text1"/>
          <w:sz w:val="16"/>
          <w:szCs w:val="16"/>
        </w:rPr>
        <w:softHyphen/>
        <w:t>ний седьмой фюзеляж из войсковой серии пока из цеха № 10 на сборку подан не был ввиду отсутствия целого ряда монтажей и деталей. На войсковую серию до сих пор не закончено изготовление 2-х комплектов шасси.</w:t>
      </w:r>
    </w:p>
    <w:p w14:paraId="60DD75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Заводу представлен перечень конструктивных вы</w:t>
      </w:r>
      <w:r w:rsidRPr="00DB5D0D">
        <w:rPr>
          <w:rFonts w:ascii="Times New Roman" w:hAnsi="Times New Roman"/>
          <w:color w:val="000000" w:themeColor="text1"/>
          <w:sz w:val="16"/>
          <w:szCs w:val="16"/>
        </w:rPr>
        <w:softHyphen/>
        <w:t>явленных дефектов при производстве испытаний само</w:t>
      </w:r>
      <w:r w:rsidRPr="00DB5D0D">
        <w:rPr>
          <w:rFonts w:ascii="Times New Roman" w:hAnsi="Times New Roman"/>
          <w:color w:val="000000" w:themeColor="text1"/>
          <w:sz w:val="16"/>
          <w:szCs w:val="16"/>
        </w:rPr>
        <w:softHyphen/>
        <w:t>лета в НИИ ВВС.</w:t>
      </w:r>
    </w:p>
    <w:p w14:paraId="2ADFF0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достигнутых соглашений с заказчиком о порядке и сроках устранения этих дефектов частично в войсковой серии, а частично в последующих сериях, можно сказать, что даже при тех темпах работы, кото</w:t>
      </w:r>
      <w:r w:rsidRPr="00DB5D0D">
        <w:rPr>
          <w:rFonts w:ascii="Times New Roman" w:hAnsi="Times New Roman"/>
          <w:color w:val="000000" w:themeColor="text1"/>
          <w:sz w:val="16"/>
          <w:szCs w:val="16"/>
        </w:rPr>
        <w:softHyphen/>
        <w:t>рые есть на заводе №21, на их устранение потребуется не более 4-5 дней, кроме упрочнения лонжерона цент</w:t>
      </w:r>
      <w:r w:rsidRPr="00DB5D0D">
        <w:rPr>
          <w:rFonts w:ascii="Times New Roman" w:hAnsi="Times New Roman"/>
          <w:color w:val="000000" w:themeColor="text1"/>
          <w:sz w:val="16"/>
          <w:szCs w:val="16"/>
        </w:rPr>
        <w:softHyphen/>
        <w:t>роплана, вопрос с которым будет решен после статичес</w:t>
      </w:r>
      <w:r w:rsidRPr="00DB5D0D">
        <w:rPr>
          <w:rFonts w:ascii="Times New Roman" w:hAnsi="Times New Roman"/>
          <w:color w:val="000000" w:themeColor="text1"/>
          <w:sz w:val="16"/>
          <w:szCs w:val="16"/>
        </w:rPr>
        <w:softHyphen/>
        <w:t>ких испытаний с установленным узлом нулевой нервюры.</w:t>
      </w:r>
    </w:p>
    <w:p w14:paraId="6C25BF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Заводу № 21 на войсковую серию надо помочь со снабжением его приводами тахометра 6 штук, завод № 29, ПАУ-6 (марка прицела. - В.И.) - 12 шт. (завод 120) и замок «100» для подвесного б/бака (завод № 32).</w:t>
      </w:r>
    </w:p>
    <w:p w14:paraId="7F20AE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Первая серия самолетов И-180 в размере 10 само</w:t>
      </w:r>
      <w:r w:rsidRPr="00DB5D0D">
        <w:rPr>
          <w:rFonts w:ascii="Times New Roman" w:hAnsi="Times New Roman"/>
          <w:color w:val="000000" w:themeColor="text1"/>
          <w:sz w:val="16"/>
          <w:szCs w:val="16"/>
        </w:rPr>
        <w:softHyphen/>
        <w:t>летов в цеха запущена и по словам директора завода тов. Воронина в августе поступит на общую сборку. Од</w:t>
      </w:r>
      <w:r w:rsidRPr="00DB5D0D">
        <w:rPr>
          <w:rFonts w:ascii="Times New Roman" w:hAnsi="Times New Roman"/>
          <w:color w:val="000000" w:themeColor="text1"/>
          <w:sz w:val="16"/>
          <w:szCs w:val="16"/>
        </w:rPr>
        <w:softHyphen/>
        <w:t>нако, судя по темпам работы войсковой серии, это ма</w:t>
      </w:r>
      <w:r w:rsidRPr="00DB5D0D">
        <w:rPr>
          <w:rFonts w:ascii="Times New Roman" w:hAnsi="Times New Roman"/>
          <w:color w:val="000000" w:themeColor="text1"/>
          <w:sz w:val="16"/>
          <w:szCs w:val="16"/>
        </w:rPr>
        <w:softHyphen/>
        <w:t>ловероятно.</w:t>
      </w:r>
    </w:p>
    <w:p w14:paraId="23CB64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Из изложенного очевидно, что разворот работ по самолету И-180 пока на сегодня еще не достаточен. Са</w:t>
      </w:r>
      <w:r w:rsidRPr="00DB5D0D">
        <w:rPr>
          <w:rFonts w:ascii="Times New Roman" w:hAnsi="Times New Roman"/>
          <w:color w:val="000000" w:themeColor="text1"/>
          <w:sz w:val="16"/>
          <w:szCs w:val="16"/>
        </w:rPr>
        <w:softHyphen/>
        <w:t>молеты войсковой серии едва ли будут закончены в ав</w:t>
      </w:r>
      <w:r w:rsidRPr="00DB5D0D">
        <w:rPr>
          <w:rFonts w:ascii="Times New Roman" w:hAnsi="Times New Roman"/>
          <w:color w:val="000000" w:themeColor="text1"/>
          <w:sz w:val="16"/>
          <w:szCs w:val="16"/>
        </w:rPr>
        <w:softHyphen/>
        <w:t>густе, а самолеты 1-й серии нужно ждать только в октябре.</w:t>
      </w:r>
    </w:p>
    <w:p w14:paraId="4CD9EE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 резкий перелом на заводе № 21 для свое</w:t>
      </w:r>
      <w:r w:rsidRPr="00DB5D0D">
        <w:rPr>
          <w:rFonts w:ascii="Times New Roman" w:hAnsi="Times New Roman"/>
          <w:color w:val="000000" w:themeColor="text1"/>
          <w:sz w:val="16"/>
          <w:szCs w:val="16"/>
        </w:rPr>
        <w:softHyphen/>
        <w:t>временного выполнения постановления Правительства о серийной постройке И-180 на заводе № 21».</w:t>
      </w:r>
    </w:p>
    <w:p w14:paraId="5F9B3E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Формально уже год как И-180 строился серийно, но истинное положение дел иначе как саботажем назвать трудно. Все лучшие силы и ресурсы завода № 21 дирек</w:t>
      </w:r>
      <w:r w:rsidRPr="00DB5D0D">
        <w:rPr>
          <w:rFonts w:ascii="Times New Roman" w:hAnsi="Times New Roman"/>
          <w:color w:val="000000" w:themeColor="text1"/>
          <w:sz w:val="16"/>
          <w:szCs w:val="16"/>
        </w:rPr>
        <w:softHyphen/>
        <w:t>тор бросил на создание истребителя Пашинина И-21. Разработка его проекта закончилась в марте 1940 г., а в июле, т.е. спустя четыре месяца, уже был построен пер</w:t>
      </w:r>
      <w:r w:rsidRPr="00DB5D0D">
        <w:rPr>
          <w:rFonts w:ascii="Times New Roman" w:hAnsi="Times New Roman"/>
          <w:color w:val="000000" w:themeColor="text1"/>
          <w:sz w:val="16"/>
          <w:szCs w:val="16"/>
        </w:rPr>
        <w:softHyphen/>
        <w:t>вый экземпляр. Вспомним, что для постройки первых И-180 потребовался почти год. 11 июля 1940 г. летчик П.Ю.Фокин поднял в воздух первый экземпляр И-21. Форсированными темпами шла постройка еще трех машин (10667).</w:t>
      </w:r>
    </w:p>
    <w:p w14:paraId="61C9162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A64E2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 секретарь КО Пугаев писал письмо N 7094/КО Молокову.</w:t>
      </w:r>
    </w:p>
    <w:p w14:paraId="0B64DC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указанию председателя КО при СНК Ворошилова сообщаю, что в просьбе о постройке санитарного самолета ЭЛЬ-3 Элибекяну отказано, о чем прошу сообщить Элибекяну (3401,33).</w:t>
      </w:r>
    </w:p>
    <w:p w14:paraId="376DE29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D99AA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в производство были переданы КОР-2 М-63 (2090,147).</w:t>
      </w:r>
    </w:p>
    <w:p w14:paraId="5B24F6F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42472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в 57 АБ в Люберцах закончились войсковые испытания 20 мм синхронные пушки Швак, которые проходили с 14 июля в соответствии с Приказом НКО № 0139 (7313, 12).</w:t>
      </w:r>
    </w:p>
    <w:p w14:paraId="7552E89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B2F0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 Лунин писал письмо Пугаеву</w:t>
      </w:r>
    </w:p>
    <w:p w14:paraId="53BE8FB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авиационным пушкам Таубина калибра 23 мм и 37 мм Вами докладывалось Ворошилову К.Е. в связи с представленным НКО проектом постановления КО «По крупнокалиберному пушечному и ракетному вооружению авиации».</w:t>
      </w:r>
    </w:p>
    <w:p w14:paraId="509B4A1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ГУВВС заключило договор с ОКБ-15 Шпитального на изготовление 37 мм авиационной мотор-пушки, работы с ОКБ-15 по ней ведутся.</w:t>
      </w:r>
    </w:p>
    <w:p w14:paraId="70758D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указания – материал в дело (3375,20).</w:t>
      </w:r>
    </w:p>
    <w:p w14:paraId="68BE5B5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C412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августа 1940 на НИП АВ в соответствии с распоряжением Начальника 8 управления проходили полигонные испытания 23 мм осколочных снарядов с весом ВВ 15 г (7313, 12).</w:t>
      </w:r>
    </w:p>
    <w:p w14:paraId="2210DF7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C58BD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на НИП АВ закончились полигонные испытания турели под два спаренные пулемета Шкас конструкции Можаровского-Веневидова, турели под два спаренные пулемета Шкас конструкции Шибанова, турели под два пулемета Шкас конструкции Михайлова, турель под два пулемета Шкас дуговой системы завода № 39, турель под два пулемета Шкас клычковой системы завода № 39, люковой установки МВ-2 на самолете СБ, которые проходили с 1 июня (7313, 12).</w:t>
      </w:r>
    </w:p>
    <w:p w14:paraId="7370941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0ED5F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 вышел приказ НКАП от № 388с о реконструкции завода № 167 (9294).</w:t>
      </w:r>
    </w:p>
    <w:p w14:paraId="6D7BD09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1FE87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 в запис</w:t>
      </w:r>
      <w:r w:rsidRPr="00DB5D0D">
        <w:rPr>
          <w:rFonts w:ascii="Times New Roman" w:hAnsi="Times New Roman"/>
          <w:color w:val="000000" w:themeColor="text1"/>
          <w:sz w:val="16"/>
          <w:szCs w:val="16"/>
        </w:rPr>
        <w:softHyphen/>
        <w:t>ке на имя директора НИИ-3 НКБ Б.М.Слонимера от начальника 3 отдела 4-го ГУ НКБ Певзнера говорилось: «Со</w:t>
      </w:r>
      <w:r w:rsidRPr="00DB5D0D">
        <w:rPr>
          <w:rFonts w:ascii="Times New Roman" w:hAnsi="Times New Roman"/>
          <w:color w:val="000000" w:themeColor="text1"/>
          <w:sz w:val="16"/>
          <w:szCs w:val="16"/>
        </w:rPr>
        <w:softHyphen/>
        <w:t>гласно письма ВВС ВМФ. для использования снарядов РС-82 старого об</w:t>
      </w:r>
      <w:r w:rsidRPr="00DB5D0D">
        <w:rPr>
          <w:rFonts w:ascii="Times New Roman" w:hAnsi="Times New Roman"/>
          <w:color w:val="000000" w:themeColor="text1"/>
          <w:sz w:val="16"/>
          <w:szCs w:val="16"/>
        </w:rPr>
        <w:softHyphen/>
        <w:t>разца с 4 цилиндрическим штифтами в частях ВВС к ракетным орудиям РО-82 принятого образца начальник 4-го ГУ товарищ Иванов обязывает Вас изготовить 2500 штук новых штифтов по чертежам НИИ-3 и послать две бригады в ВВС ЧФ и ВВС ТОФ для замены. Снаряды присланы со склада ГУАС КА в 1939 г., изготовлены в 1938 г. в составе 10 партий».</w:t>
      </w:r>
    </w:p>
    <w:p w14:paraId="5CA4E8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ходе массовой замены штифтов на РС стальными Т-образными (для РС-82 -диаметр 11/6, для РС-132 -диаметр 17/10) их устанавливал и как по две, так и по четыре штуки на каждом боеприпасе. То есть, преж</w:t>
      </w:r>
      <w:r w:rsidRPr="00DB5D0D">
        <w:rPr>
          <w:rFonts w:ascii="Times New Roman" w:hAnsi="Times New Roman"/>
          <w:color w:val="000000" w:themeColor="text1"/>
          <w:sz w:val="16"/>
          <w:szCs w:val="16"/>
        </w:rPr>
        <w:softHyphen/>
        <w:t>ние четыре прямых не обязательно заменяли двумя новыми Т-образными ведущими и двумя баллистическими. Иногда вместо баллистических птифтов устанавливали короткий контровочный штифт, завинченный заподлицо с корпусом (11402).</w:t>
      </w:r>
    </w:p>
    <w:p w14:paraId="3D87A4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7AF96D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63BB48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B89EF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 августа 1940 года уже было изготовлено 18994 50-мм минометов, 5543 82-мм миномета, 501 107-мм миномет и 933 120-мм минометов (3861).</w:t>
      </w:r>
    </w:p>
    <w:p w14:paraId="75B87AE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1508348" w14:textId="77777777" w:rsidR="005321F7" w:rsidRPr="00DB5D0D" w:rsidRDefault="005321F7" w:rsidP="00DB5D0D">
      <w:pPr>
        <w:widowControl w:val="0"/>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1 августа 1940 года изготовлено 5543 82-мм батальонных минометов по цене 6750 руб. за штуку. 82-мм минометы образца </w:t>
      </w:r>
      <w:smartTag w:uri="urn:schemas-microsoft-com:office:smarttags" w:element="metricconverter">
        <w:smartTagPr>
          <w:attr w:name="ProductID" w:val="1945 г"/>
        </w:smartTagPr>
        <w:r w:rsidRPr="00DB5D0D">
          <w:rPr>
            <w:rFonts w:ascii="Times New Roman" w:hAnsi="Times New Roman"/>
            <w:color w:val="000000" w:themeColor="text1"/>
            <w:sz w:val="16"/>
            <w:szCs w:val="16"/>
          </w:rPr>
          <w:t>1936 г</w:t>
        </w:r>
      </w:smartTag>
      <w:r w:rsidRPr="00DB5D0D">
        <w:rPr>
          <w:rFonts w:ascii="Times New Roman" w:hAnsi="Times New Roman"/>
          <w:color w:val="000000" w:themeColor="text1"/>
          <w:sz w:val="16"/>
          <w:szCs w:val="16"/>
        </w:rPr>
        <w:t>. обладали целым рядом недостатков, среди которых была необходимость разборки при переноске, сбиваемость прицела, малое изменение горизонтальных углов с помощью поворотного механизма (15218).</w:t>
      </w:r>
    </w:p>
    <w:p w14:paraId="48C92903" w14:textId="77777777" w:rsidR="005321F7" w:rsidRPr="00DB5D0D" w:rsidRDefault="005321F7" w:rsidP="00DB5D0D">
      <w:pPr>
        <w:widowControl w:val="0"/>
        <w:spacing w:after="0" w:line="240" w:lineRule="auto"/>
        <w:jc w:val="both"/>
        <w:rPr>
          <w:rFonts w:ascii="Times New Roman" w:hAnsi="Times New Roman"/>
          <w:color w:val="000000" w:themeColor="text1"/>
          <w:sz w:val="16"/>
          <w:szCs w:val="16"/>
        </w:rPr>
      </w:pPr>
    </w:p>
    <w:p w14:paraId="68373958"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августа 1940 г. изготовлено 5543 миномета по цене 6750 руб. за штуку.</w:t>
      </w:r>
    </w:p>
    <w:p w14:paraId="299FDC55"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82-мм миномет имел гладкую трубу, боек полусферический, казенник крепился на трубе резьбой. Снаружи казенник оканчивался шаровой пятой.</w:t>
      </w:r>
    </w:p>
    <w:p w14:paraId="74D469EA"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Двунога-лафет служила для придания стволу углов вертикального и горизонтального наведения и включала в себя подъемный и поворотный механизмы, механизм горизонтирования и амортизатор. Опорная плита квадратная.</w:t>
      </w:r>
    </w:p>
    <w:p w14:paraId="13F02953"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82-мм минометы обр. 1936 г. обладали целым рядом конструктивных недостатков, среди которых была необходимость разборки при переноске, сбиваемость прицела, малое изменение горизонтальных углов с помощью поворотного механизма.</w:t>
      </w:r>
    </w:p>
    <w:p w14:paraId="7F6E1D9B"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Данные 82-мм миномета обр. 1936 г. </w:t>
      </w:r>
    </w:p>
    <w:p w14:paraId="3E72B5F3"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Калибр, мм — 82</w:t>
      </w:r>
    </w:p>
    <w:p w14:paraId="51BB01D2"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возвышения, град — +45; +85</w:t>
      </w:r>
    </w:p>
    <w:p w14:paraId="0E41A744"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ГН, град: при работе поворотного механизма — +3</w:t>
      </w:r>
    </w:p>
    <w:p w14:paraId="07BA843E"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переноске двуноги — ±30</w:t>
      </w:r>
    </w:p>
    <w:p w14:paraId="196FFC44"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миномета в боевом положении, кг — 67,7</w:t>
      </w:r>
    </w:p>
    <w:p w14:paraId="782D89F3"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ствола с вьюком, кг — 19,0</w:t>
      </w:r>
    </w:p>
    <w:p w14:paraId="061239E6"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двуноги с вьюком, кг — 24,5</w:t>
      </w:r>
    </w:p>
    <w:p w14:paraId="0443E188"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опорной плиты с вьюком, кг — 24,2</w:t>
      </w:r>
    </w:p>
    <w:p w14:paraId="3B2FE1FE"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вьюка с тремя лотками (9 мин), кг — 47</w:t>
      </w:r>
    </w:p>
    <w:p w14:paraId="36FDA0F8"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Скорострельность, выстр/мин — до 30</w:t>
      </w:r>
    </w:p>
    <w:p w14:paraId="3B151FD0"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стрельбы максимальная, м — 3000</w:t>
      </w:r>
    </w:p>
    <w:p w14:paraId="3472409C"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Батальонный 82-мм миномет обр. 1937 г. представлял собой модернизацию миномета обр. 1936 г. В новом миномете высота ударника уменьшена с 26 мм до 8 мм, опорная плита сделана круглой, введены небольшие изменения в подъемный механизм, механизм горизонтирования и амортизатор (сделан больший ход пружины). Сделано более надежное крепление прицела. В минометах обр. 1936 г. и обр. 1937 г. применялись оптический минометный прицел МП-1 и минометный прицел с коллиматором МП-82.</w:t>
      </w:r>
    </w:p>
    <w:p w14:paraId="1E25768B"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82-мм миномет обр. 1937 г. в 1942 г. подвергся некоторым изменениям, в частности, механизм горизонтирования был расположен непосредственно на правой ноге двуноги. Ряд мелких изменений был внесен в минометы выпуска 1942 и 1943 годов. Наконец, в минометах, выпускавшихся с 1944 г., был введен качающийся прицел и отсутствовал механизм точного горизонтирования.</w:t>
      </w:r>
    </w:p>
    <w:p w14:paraId="1E416C1E"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82-мм батальонный миномет обр. 1941 г. отличался от обр. 1937 г. наличием отделяемого колесного хода, опорной плитой арочной конструкции (как у 107-мм и 120-мм минометов), а также двуногой иной конструкции. Колеса надевались на полуоси ног двуноги и при стрельбе снимались.</w:t>
      </w:r>
    </w:p>
    <w:p w14:paraId="4EDD8886"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Конструктивные усовершенствования были подчинены технологическим возможностям производства и направлены на уменьшение веса миномета, трудозатрат при его изготовлении и улучшении маневренных характеристик. Баллистические характеристики миномета обр. 1941 г. были аналогичны образцу 1937 г.</w:t>
      </w:r>
    </w:p>
    <w:p w14:paraId="23CB5D6A"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82-мм миномет обр. 1941 г. имел некоторые удобства при транспортировке по сравнению с минометом обр. 1937 г., но зато был менее устойчив при стрельбе и имел худшую кучность по сравнению с минометом обр. 1937 г.</w:t>
      </w:r>
    </w:p>
    <w:p w14:paraId="4BCB7217"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целью устранения недостатков 82-мм миномета обр. 1941 г. была проведена его модернизация. В ходе нее была изменена конструкция двуноги, колеса и крепления прицела. Модернизированный миномет получил название 82-мм миномет обр. 1943 г.</w:t>
      </w:r>
    </w:p>
    <w:p w14:paraId="56E4BA3D"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Вот почему минометы обр. 1937 г. в ходе Великой Отечественной войны производились параллельно с минометами обр. 1941 г. и обр. 1943 г.</w:t>
      </w:r>
    </w:p>
    <w:p w14:paraId="1FC9A6DB"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стрельбы из 82-мм минометов всех образцов применялись осколочные шестиперые и десятиперые мины и дымовые шестиперые мины. Кроме того, эпизодически применялись и агитационные мины.</w:t>
      </w:r>
    </w:p>
    <w:p w14:paraId="1612DA3B"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82-мм осколочная шестиперая мина 0–832 и 82-мм осколочная десятиперая мина 0–832Д весили 3,1–3,31 кг, вес разрывного заряда в них составлял 0,4 кг. 82-мм дымовая шестиперая мина Д-832 весом 3,46–3,67 кг содержала 0,066 кг разрывного заряда и 0,41 кг дымообразующего вещества.</w:t>
      </w:r>
    </w:p>
    <w:p w14:paraId="6C4AC586"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использовалась 82-мм агитационная мина А-832. Вес мины 4,6 кг. Взрыватель ОМ-82.</w:t>
      </w:r>
    </w:p>
    <w:p w14:paraId="0B889973"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небольших количествах в 1941–1942 гг. применялись тяжелые фугасные мины весом 7–7,5 кг, содержавшие 1,8 кг тротила. Их внешнее отличие — двухъярусное оперение. Стрельба из 82-мм батальонных минометов фугасной миной производилась специальными зарядами (один основной и четыре дополнительных). Максимальная дальность стрельбы фугасной миной 1100 м. При попадании в грунт средней плотности фугасная мина создавала воронку диаметром 1,4–2 м и глубиной 0,6–0,7 м.</w:t>
      </w:r>
    </w:p>
    <w:p w14:paraId="12737652"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82-мм осколочные мины 0–832 и 0–832Д давали 400–600 убойных осколков весом более 1 г. Радиус сплошного поражения у них был 6 м, а действительного поражения — 18 м (12705).</w:t>
      </w:r>
    </w:p>
    <w:p w14:paraId="728EDB56" w14:textId="77777777" w:rsidR="0018628A" w:rsidRPr="00DB5D0D" w:rsidRDefault="0018628A" w:rsidP="00DB5D0D">
      <w:pPr>
        <w:spacing w:after="0" w:line="240" w:lineRule="auto"/>
        <w:jc w:val="both"/>
        <w:rPr>
          <w:rFonts w:ascii="Times New Roman" w:hAnsi="Times New Roman"/>
          <w:color w:val="000000" w:themeColor="text1"/>
          <w:sz w:val="16"/>
          <w:szCs w:val="16"/>
        </w:rPr>
      </w:pPr>
    </w:p>
    <w:p w14:paraId="6D81713E"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августа 1940 г. было изготовлено 933 миномета.</w:t>
      </w:r>
    </w:p>
    <w:p w14:paraId="19E2533C"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Ствол миномета гладкий. В отличие от батальонных минометов, выстрел производился с помощью стреляющего приспособления, размещенного в казеннике. Для производства выстрела достаточно было дернуть за спусковой шнур. При необходимости боек переводился в жесткое положение, и стрельба велась методом самонакалывания, как в батальонном миномете.</w:t>
      </w:r>
    </w:p>
    <w:p w14:paraId="1A9FD414"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Плита у 120-мм миномета отличалась от плиты батальонного миномета обр. 1937 г. и представляла собой арочную конструкцию. В этой плите верхний лист изготавливался глубокой штамповкой и опирался на приваренные к нему ребра жесткости, которые врезались в грунт и обеспечивали опору плиты на грунт большей частью нижней поверхности листа.</w:t>
      </w:r>
    </w:p>
    <w:p w14:paraId="0097CE59"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походе миномет перевозился на колесном ходу посредством механической тяги, а без колесного хода мог перевозиться в кузове грузового автомобиля в разобранном виде. Время перевода из походного положения в боевое — 2–3 минуты.</w:t>
      </w:r>
    </w:p>
    <w:p w14:paraId="5AD3DFF5"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был распространен неподрессоренный колесный ход обр. 1938 г., состоявший из рамы и двух колес от автомобиля «ГАЗ-АА».</w:t>
      </w:r>
    </w:p>
    <w:p w14:paraId="0D43999E"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Миномет обр. 1938 г. снабжался передком обр. 1938 г. Передок, являясь передней частью общей повозки миномета на походе (хотя можно возить миномет и без него), предназначался также для перевозки 20 мин. Передок состоял из рамы, двух колес от автомобиля «ГАЗ-АА» и короба. Кроме мин, в коробе помещались два лотка, а в каждом лотке — пять пар коробок с дополнительными зарядами и один запасной хвостовой патрон (для замены давшего осечку). В годы войны выпускался так называемый «упрощенный» передок.</w:t>
      </w:r>
    </w:p>
    <w:p w14:paraId="7568F8A5"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Несколько модернизированный вариант миномета обр. 1938 г. получил название «120-мм миномет обр. 1941 г.».</w:t>
      </w:r>
    </w:p>
    <w:p w14:paraId="5717BF43"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120-мм миномет обр. 1941 года в отличие от миномета обр. 1938 г. был снабжен амортизатором упрощенной конструкции и не имел колесного хода. Для сокращения трудозатрат применялся ввинтной казенник, однако надежная обтюрация его в соединении со стволом не обеспечивалась.</w:t>
      </w:r>
    </w:p>
    <w:p w14:paraId="451147C7"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1943 году был принят на вооружение новый 120-мм миномет, который представлял собой модернизированный вариант образца 1938 г. В нем было усовершенствовано стреляющее приспособление, которое разбиралось без свинчивания казенника. Кроме того, миномет снабжался амортизаторами с более длинным ходом пружины и качающимся прицелом. Введение качающегося прицела упрощало механизм горизонтирования. В 1945 г. для буксирования автомобилем миномету был придан усовершенствованный подрессоренный ход. В целом миномет оказался весьма удачным образцом и выпускался промышленностью до последних дней войны.</w:t>
      </w:r>
    </w:p>
    <w:p w14:paraId="42FB8059"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Возка 120-мм миномета осуществлялась конной или механической тягой. Конная тяга производилась с передком четверкой лошадей.</w:t>
      </w:r>
    </w:p>
    <w:p w14:paraId="4577B51E"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Данные полковых минометов — Обр. 1938 г. — Обр. 1943 г. </w:t>
      </w:r>
    </w:p>
    <w:p w14:paraId="1C6C1120"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Калибр, мм — 120–120</w:t>
      </w:r>
    </w:p>
    <w:p w14:paraId="78D9A834"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ВН, град — +45;+80 — +45; +80</w:t>
      </w:r>
    </w:p>
    <w:p w14:paraId="5116B9D7"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 ГН, град — 6–8</w:t>
      </w:r>
    </w:p>
    <w:p w14:paraId="6FE45D1F"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Вес ствола с казенником, кг — 105–100</w:t>
      </w:r>
    </w:p>
    <w:p w14:paraId="26D55D4F"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двуноги-лафета, кг — 75–80</w:t>
      </w:r>
    </w:p>
    <w:p w14:paraId="62695AAA"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опорной плиты, кг — 95–95</w:t>
      </w:r>
    </w:p>
    <w:p w14:paraId="7EC82A15"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прицела, кг — 1,4–1,4</w:t>
      </w:r>
    </w:p>
    <w:p w14:paraId="60037145"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миномета в боевом положении, кг — 275–275</w:t>
      </w:r>
    </w:p>
    <w:p w14:paraId="7F1D57D4"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колесного хода, мм — 1300–1300</w:t>
      </w:r>
    </w:p>
    <w:p w14:paraId="23BF5235"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Клиренс, мм — 370–370</w:t>
      </w:r>
    </w:p>
    <w:p w14:paraId="7DC18E32"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возки, км/час: по булыжной мостовой — 18–18</w:t>
      </w:r>
    </w:p>
    <w:p w14:paraId="0579174B"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шоссе — 35–35</w:t>
      </w:r>
    </w:p>
    <w:p w14:paraId="117F46EE"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Скорострельность, выстр/мин: без исправления наводки — 15–15</w:t>
      </w:r>
    </w:p>
    <w:p w14:paraId="5AD0D228"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исправлением наводки — 6–6</w:t>
      </w:r>
    </w:p>
    <w:p w14:paraId="181B1D21"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120-мм зажигательная мина ТР с комбинированным термитно-фосфорным снаряжением была принята на вооружение в начале 1943 г. Эта мина снаряжалась желтым фосфором, 36 термитными зажигательными элементами в металлических стаканчиках и небольшим разрывным зарядом. При разрыве мины горящие зажигательные элементы разлетались в радиусе до 40 м от места разрыва и создавали 36 огневых очагов с температурой более 2000 °C и временем горения около 15 с. После сгорания зажигательных элементов оставались раскаленные шлаки, способные проплавить тонкое листовое железо. 120-мм зажигательные мины ТР обеспечивали надежное поджигание деревянных сооружений.</w:t>
      </w:r>
    </w:p>
    <w:p w14:paraId="6339313C" w14:textId="77777777" w:rsidR="0018628A" w:rsidRPr="00DB5D0D" w:rsidRDefault="0018628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Также в 1942 г. была выпущена небольшая партия 120-мм зажигательных мин БНП и БТН. 120-мм зажигательная мина БНП снаряжалась вязкой огнесмесью А. П. Ионова с добавкой волокнистого наполнителя — пакли, которая уменьшала дробление вязкой огнесмеси при взрыве мины. Мины типа БНП надежно поджигали деревянные срубы, удовлетворительно действовали при попадании в танк. Мины БТП были снаряжены вязкой огнесмесыо, термитным составом и паклей (12705).</w:t>
      </w:r>
    </w:p>
    <w:p w14:paraId="2422B81F" w14:textId="77777777" w:rsidR="0018628A" w:rsidRPr="00DB5D0D" w:rsidRDefault="0018628A" w:rsidP="00DB5D0D">
      <w:pPr>
        <w:spacing w:after="0" w:line="240" w:lineRule="auto"/>
        <w:jc w:val="both"/>
        <w:rPr>
          <w:rFonts w:ascii="Times New Roman" w:hAnsi="Times New Roman"/>
          <w:color w:val="000000" w:themeColor="text1"/>
          <w:sz w:val="16"/>
          <w:szCs w:val="16"/>
        </w:rPr>
      </w:pPr>
    </w:p>
    <w:p w14:paraId="62FE31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стостоянию на 1 августа 1940 была следующая кооперация завода № 174: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1" w:type="dxa"/>
          <w:right w:w="31" w:type="dxa"/>
        </w:tblCellMar>
        <w:tblLook w:val="0000" w:firstRow="0" w:lastRow="0" w:firstColumn="0" w:lastColumn="0" w:noHBand="0" w:noVBand="0"/>
      </w:tblPr>
      <w:tblGrid>
        <w:gridCol w:w="521"/>
        <w:gridCol w:w="1637"/>
        <w:gridCol w:w="1275"/>
        <w:gridCol w:w="1105"/>
        <w:gridCol w:w="880"/>
      </w:tblGrid>
      <w:tr w:rsidR="007D5DF8" w:rsidRPr="00DB5D0D" w14:paraId="2A075B87" w14:textId="77777777" w:rsidTr="00E543D0">
        <w:trPr>
          <w:trHeight w:val="494"/>
        </w:trPr>
        <w:tc>
          <w:tcPr>
            <w:tcW w:w="521" w:type="dxa"/>
            <w:tcBorders>
              <w:top w:val="single" w:sz="12" w:space="0" w:color="auto"/>
            </w:tcBorders>
          </w:tcPr>
          <w:p w14:paraId="4CB4B3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Borders>
              <w:top w:val="single" w:sz="12" w:space="0" w:color="auto"/>
            </w:tcBorders>
          </w:tcPr>
          <w:p w14:paraId="4B543F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РТИ</w:t>
            </w:r>
          </w:p>
        </w:tc>
        <w:tc>
          <w:tcPr>
            <w:tcW w:w="1275" w:type="dxa"/>
            <w:tcBorders>
              <w:top w:val="single" w:sz="12" w:space="0" w:color="auto"/>
            </w:tcBorders>
          </w:tcPr>
          <w:p w14:paraId="7A1508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Ленинград</w:t>
            </w:r>
          </w:p>
        </w:tc>
        <w:tc>
          <w:tcPr>
            <w:tcW w:w="1105" w:type="dxa"/>
            <w:tcBorders>
              <w:top w:val="single" w:sz="12" w:space="0" w:color="auto"/>
            </w:tcBorders>
          </w:tcPr>
          <w:p w14:paraId="13FC07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НКХимпром</w:t>
            </w:r>
          </w:p>
        </w:tc>
        <w:tc>
          <w:tcPr>
            <w:tcW w:w="880" w:type="dxa"/>
            <w:tcBorders>
              <w:top w:val="single" w:sz="12" w:space="0" w:color="auto"/>
            </w:tcBorders>
          </w:tcPr>
          <w:p w14:paraId="46BBB4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01.08.1940</w:t>
            </w:r>
          </w:p>
        </w:tc>
      </w:tr>
      <w:tr w:rsidR="007D5DF8" w:rsidRPr="00DB5D0D" w14:paraId="31BE5A71" w14:textId="77777777" w:rsidTr="00E543D0">
        <w:trPr>
          <w:trHeight w:val="494"/>
        </w:trPr>
        <w:tc>
          <w:tcPr>
            <w:tcW w:w="521" w:type="dxa"/>
          </w:tcPr>
          <w:p w14:paraId="774F0E2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2EDECC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Асбест</w:t>
            </w:r>
          </w:p>
        </w:tc>
        <w:tc>
          <w:tcPr>
            <w:tcW w:w="1275" w:type="dxa"/>
          </w:tcPr>
          <w:p w14:paraId="344F9F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Ленинград</w:t>
            </w:r>
          </w:p>
        </w:tc>
        <w:tc>
          <w:tcPr>
            <w:tcW w:w="1105" w:type="dxa"/>
          </w:tcPr>
          <w:p w14:paraId="6D94A4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НКХимпром</w:t>
            </w:r>
          </w:p>
        </w:tc>
        <w:tc>
          <w:tcPr>
            <w:tcW w:w="880" w:type="dxa"/>
          </w:tcPr>
          <w:p w14:paraId="7A6C8F3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AFCCDCF" w14:textId="77777777" w:rsidTr="00E543D0">
        <w:trPr>
          <w:trHeight w:val="494"/>
        </w:trPr>
        <w:tc>
          <w:tcPr>
            <w:tcW w:w="521" w:type="dxa"/>
          </w:tcPr>
          <w:p w14:paraId="6EA05C7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190843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Каучук</w:t>
            </w:r>
          </w:p>
        </w:tc>
        <w:tc>
          <w:tcPr>
            <w:tcW w:w="1275" w:type="dxa"/>
          </w:tcPr>
          <w:p w14:paraId="6CFF6E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1E368F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НКХимпром</w:t>
            </w:r>
          </w:p>
        </w:tc>
        <w:tc>
          <w:tcPr>
            <w:tcW w:w="880" w:type="dxa"/>
          </w:tcPr>
          <w:p w14:paraId="2E34CF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7602556" w14:textId="77777777" w:rsidTr="00E543D0">
        <w:trPr>
          <w:trHeight w:val="494"/>
        </w:trPr>
        <w:tc>
          <w:tcPr>
            <w:tcW w:w="521" w:type="dxa"/>
          </w:tcPr>
          <w:p w14:paraId="0F705D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w:t>
            </w:r>
          </w:p>
        </w:tc>
        <w:tc>
          <w:tcPr>
            <w:tcW w:w="1637" w:type="dxa"/>
          </w:tcPr>
          <w:p w14:paraId="64C2FFB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27D9AA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Сталинград</w:t>
            </w:r>
          </w:p>
        </w:tc>
        <w:tc>
          <w:tcPr>
            <w:tcW w:w="1105" w:type="dxa"/>
          </w:tcPr>
          <w:p w14:paraId="6473F2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НКХимпром</w:t>
            </w:r>
          </w:p>
        </w:tc>
        <w:tc>
          <w:tcPr>
            <w:tcW w:w="880" w:type="dxa"/>
          </w:tcPr>
          <w:p w14:paraId="4F36762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D6083A5" w14:textId="77777777" w:rsidTr="00E543D0">
        <w:trPr>
          <w:trHeight w:val="494"/>
        </w:trPr>
        <w:tc>
          <w:tcPr>
            <w:tcW w:w="521" w:type="dxa"/>
          </w:tcPr>
          <w:p w14:paraId="3E854C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1ADA78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Яркомбинат</w:t>
            </w:r>
          </w:p>
        </w:tc>
        <w:tc>
          <w:tcPr>
            <w:tcW w:w="1275" w:type="dxa"/>
          </w:tcPr>
          <w:p w14:paraId="4A51DF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Ярославль</w:t>
            </w:r>
          </w:p>
        </w:tc>
        <w:tc>
          <w:tcPr>
            <w:tcW w:w="1105" w:type="dxa"/>
          </w:tcPr>
          <w:p w14:paraId="41FCC6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НКХимпром</w:t>
            </w:r>
          </w:p>
        </w:tc>
        <w:tc>
          <w:tcPr>
            <w:tcW w:w="880" w:type="dxa"/>
          </w:tcPr>
          <w:p w14:paraId="195CEF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931ADD7" w14:textId="77777777" w:rsidTr="00E543D0">
        <w:trPr>
          <w:trHeight w:val="494"/>
        </w:trPr>
        <w:tc>
          <w:tcPr>
            <w:tcW w:w="521" w:type="dxa"/>
          </w:tcPr>
          <w:p w14:paraId="1AA71A3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17A5C8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Химзавод</w:t>
            </w:r>
          </w:p>
        </w:tc>
        <w:tc>
          <w:tcPr>
            <w:tcW w:w="1275" w:type="dxa"/>
          </w:tcPr>
          <w:p w14:paraId="4E1962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Кирован, Ереван</w:t>
            </w:r>
          </w:p>
        </w:tc>
        <w:tc>
          <w:tcPr>
            <w:tcW w:w="1105" w:type="dxa"/>
          </w:tcPr>
          <w:p w14:paraId="3ED414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НКХимпром</w:t>
            </w:r>
          </w:p>
        </w:tc>
        <w:tc>
          <w:tcPr>
            <w:tcW w:w="880" w:type="dxa"/>
          </w:tcPr>
          <w:p w14:paraId="692AC7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Карбид</w:t>
            </w:r>
          </w:p>
        </w:tc>
      </w:tr>
      <w:tr w:rsidR="007D5DF8" w:rsidRPr="00DB5D0D" w14:paraId="163A376C" w14:textId="77777777" w:rsidTr="00E543D0">
        <w:trPr>
          <w:trHeight w:val="247"/>
        </w:trPr>
        <w:tc>
          <w:tcPr>
            <w:tcW w:w="521" w:type="dxa"/>
          </w:tcPr>
          <w:p w14:paraId="71E6D3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3F521F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Кордоремень</w:t>
            </w:r>
          </w:p>
        </w:tc>
        <w:tc>
          <w:tcPr>
            <w:tcW w:w="1275" w:type="dxa"/>
          </w:tcPr>
          <w:p w14:paraId="4C9B0A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730053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НКЛегпром</w:t>
            </w:r>
          </w:p>
        </w:tc>
        <w:tc>
          <w:tcPr>
            <w:tcW w:w="880" w:type="dxa"/>
          </w:tcPr>
          <w:p w14:paraId="6E82426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90AE432" w14:textId="77777777" w:rsidTr="00E543D0">
        <w:trPr>
          <w:trHeight w:val="494"/>
        </w:trPr>
        <w:tc>
          <w:tcPr>
            <w:tcW w:w="521" w:type="dxa"/>
          </w:tcPr>
          <w:p w14:paraId="526CE12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36069A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Фабрика Техфальц</w:t>
            </w:r>
          </w:p>
        </w:tc>
        <w:tc>
          <w:tcPr>
            <w:tcW w:w="1275" w:type="dxa"/>
          </w:tcPr>
          <w:p w14:paraId="366F05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5C3C29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НКЛегпром</w:t>
            </w:r>
          </w:p>
        </w:tc>
        <w:tc>
          <w:tcPr>
            <w:tcW w:w="880" w:type="dxa"/>
          </w:tcPr>
          <w:p w14:paraId="0B103D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A9D19AF" w14:textId="77777777" w:rsidTr="00E543D0">
        <w:trPr>
          <w:trHeight w:val="742"/>
        </w:trPr>
        <w:tc>
          <w:tcPr>
            <w:tcW w:w="521" w:type="dxa"/>
          </w:tcPr>
          <w:p w14:paraId="01E1162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331A99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кожгалантереи</w:t>
            </w:r>
          </w:p>
        </w:tc>
        <w:tc>
          <w:tcPr>
            <w:tcW w:w="1275" w:type="dxa"/>
          </w:tcPr>
          <w:p w14:paraId="1E8B0E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57BB7B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НКЛегпром</w:t>
            </w:r>
          </w:p>
        </w:tc>
        <w:tc>
          <w:tcPr>
            <w:tcW w:w="880" w:type="dxa"/>
          </w:tcPr>
          <w:p w14:paraId="4E7A73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Кожа</w:t>
            </w:r>
          </w:p>
        </w:tc>
      </w:tr>
      <w:tr w:rsidR="007D5DF8" w:rsidRPr="00DB5D0D" w14:paraId="0E76D992" w14:textId="77777777" w:rsidTr="00E543D0">
        <w:trPr>
          <w:trHeight w:val="742"/>
        </w:trPr>
        <w:tc>
          <w:tcPr>
            <w:tcW w:w="521" w:type="dxa"/>
          </w:tcPr>
          <w:p w14:paraId="07EF25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7C7E21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Главлен</w:t>
            </w:r>
          </w:p>
        </w:tc>
        <w:tc>
          <w:tcPr>
            <w:tcW w:w="1275" w:type="dxa"/>
          </w:tcPr>
          <w:p w14:paraId="0DCD68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Тутаев, Кострома, Казань</w:t>
            </w:r>
          </w:p>
        </w:tc>
        <w:tc>
          <w:tcPr>
            <w:tcW w:w="1105" w:type="dxa"/>
          </w:tcPr>
          <w:p w14:paraId="1C299D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НКЛегпром</w:t>
            </w:r>
          </w:p>
        </w:tc>
        <w:tc>
          <w:tcPr>
            <w:tcW w:w="880" w:type="dxa"/>
          </w:tcPr>
          <w:p w14:paraId="039BE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брезент</w:t>
            </w:r>
          </w:p>
        </w:tc>
      </w:tr>
      <w:tr w:rsidR="007D5DF8" w:rsidRPr="00DB5D0D" w14:paraId="726E5EEA" w14:textId="77777777" w:rsidTr="00E543D0">
        <w:trPr>
          <w:trHeight w:val="247"/>
        </w:trPr>
        <w:tc>
          <w:tcPr>
            <w:tcW w:w="521" w:type="dxa"/>
          </w:tcPr>
          <w:p w14:paraId="008574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191</w:t>
            </w:r>
          </w:p>
        </w:tc>
        <w:tc>
          <w:tcPr>
            <w:tcW w:w="1637" w:type="dxa"/>
          </w:tcPr>
          <w:p w14:paraId="1AE58AD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730C22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Горький</w:t>
            </w:r>
          </w:p>
        </w:tc>
        <w:tc>
          <w:tcPr>
            <w:tcW w:w="1105" w:type="dxa"/>
          </w:tcPr>
          <w:p w14:paraId="339F65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w:t>
            </w:r>
          </w:p>
        </w:tc>
        <w:tc>
          <w:tcPr>
            <w:tcW w:w="880" w:type="dxa"/>
          </w:tcPr>
          <w:p w14:paraId="050D832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C1FA927" w14:textId="77777777" w:rsidTr="00E543D0">
        <w:trPr>
          <w:trHeight w:val="247"/>
        </w:trPr>
        <w:tc>
          <w:tcPr>
            <w:tcW w:w="521" w:type="dxa"/>
          </w:tcPr>
          <w:p w14:paraId="0F3C23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w:t>
            </w:r>
          </w:p>
        </w:tc>
        <w:tc>
          <w:tcPr>
            <w:tcW w:w="1637" w:type="dxa"/>
          </w:tcPr>
          <w:p w14:paraId="113385F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00A818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4BC374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w:t>
            </w:r>
          </w:p>
        </w:tc>
        <w:tc>
          <w:tcPr>
            <w:tcW w:w="880" w:type="dxa"/>
          </w:tcPr>
          <w:p w14:paraId="2465B00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93E1AC" w14:textId="77777777" w:rsidTr="00E543D0">
        <w:trPr>
          <w:trHeight w:val="247"/>
        </w:trPr>
        <w:tc>
          <w:tcPr>
            <w:tcW w:w="521" w:type="dxa"/>
          </w:tcPr>
          <w:p w14:paraId="15A933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213</w:t>
            </w:r>
          </w:p>
        </w:tc>
        <w:tc>
          <w:tcPr>
            <w:tcW w:w="1637" w:type="dxa"/>
          </w:tcPr>
          <w:p w14:paraId="1728C85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129A25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3EA7B5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w:t>
            </w:r>
          </w:p>
        </w:tc>
        <w:tc>
          <w:tcPr>
            <w:tcW w:w="880" w:type="dxa"/>
          </w:tcPr>
          <w:p w14:paraId="42EDE5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7AE1A14" w14:textId="77777777" w:rsidTr="00E543D0">
        <w:trPr>
          <w:trHeight w:val="247"/>
        </w:trPr>
        <w:tc>
          <w:tcPr>
            <w:tcW w:w="521" w:type="dxa"/>
          </w:tcPr>
          <w:p w14:paraId="334565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218</w:t>
            </w:r>
          </w:p>
        </w:tc>
        <w:tc>
          <w:tcPr>
            <w:tcW w:w="1637" w:type="dxa"/>
          </w:tcPr>
          <w:p w14:paraId="08421D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6B72B4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Ленинград</w:t>
            </w:r>
          </w:p>
        </w:tc>
        <w:tc>
          <w:tcPr>
            <w:tcW w:w="1105" w:type="dxa"/>
          </w:tcPr>
          <w:p w14:paraId="2A8E2B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w:t>
            </w:r>
          </w:p>
        </w:tc>
        <w:tc>
          <w:tcPr>
            <w:tcW w:w="880" w:type="dxa"/>
          </w:tcPr>
          <w:p w14:paraId="2B188B8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6846DF3" w14:textId="77777777" w:rsidTr="00E543D0">
        <w:trPr>
          <w:trHeight w:val="247"/>
        </w:trPr>
        <w:tc>
          <w:tcPr>
            <w:tcW w:w="521" w:type="dxa"/>
          </w:tcPr>
          <w:p w14:paraId="1D2B4F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236</w:t>
            </w:r>
          </w:p>
        </w:tc>
        <w:tc>
          <w:tcPr>
            <w:tcW w:w="1637" w:type="dxa"/>
          </w:tcPr>
          <w:p w14:paraId="2188558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0644CA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Саратов</w:t>
            </w:r>
          </w:p>
        </w:tc>
        <w:tc>
          <w:tcPr>
            <w:tcW w:w="1105" w:type="dxa"/>
          </w:tcPr>
          <w:p w14:paraId="180CB6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НКСП</w:t>
            </w:r>
          </w:p>
        </w:tc>
        <w:tc>
          <w:tcPr>
            <w:tcW w:w="880" w:type="dxa"/>
          </w:tcPr>
          <w:p w14:paraId="3AB1EAA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A20A663" w14:textId="77777777" w:rsidTr="00E543D0">
        <w:trPr>
          <w:trHeight w:val="247"/>
        </w:trPr>
        <w:tc>
          <w:tcPr>
            <w:tcW w:w="521" w:type="dxa"/>
          </w:tcPr>
          <w:p w14:paraId="317AD63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507925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529F41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Мариуполь</w:t>
            </w:r>
          </w:p>
        </w:tc>
        <w:tc>
          <w:tcPr>
            <w:tcW w:w="1105" w:type="dxa"/>
          </w:tcPr>
          <w:p w14:paraId="42A02A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НКСП</w:t>
            </w:r>
          </w:p>
        </w:tc>
        <w:tc>
          <w:tcPr>
            <w:tcW w:w="880" w:type="dxa"/>
          </w:tcPr>
          <w:p w14:paraId="158C803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A15A950" w14:textId="77777777" w:rsidTr="00E543D0">
        <w:trPr>
          <w:trHeight w:val="247"/>
        </w:trPr>
        <w:tc>
          <w:tcPr>
            <w:tcW w:w="521" w:type="dxa"/>
          </w:tcPr>
          <w:p w14:paraId="619BF1F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369E6D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ATЭ</w:t>
            </w:r>
          </w:p>
        </w:tc>
        <w:tc>
          <w:tcPr>
            <w:tcW w:w="1275" w:type="dxa"/>
          </w:tcPr>
          <w:p w14:paraId="76EC8E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6C32A0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6D4779B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51698E8" w14:textId="77777777" w:rsidTr="00E543D0">
        <w:trPr>
          <w:trHeight w:val="247"/>
        </w:trPr>
        <w:tc>
          <w:tcPr>
            <w:tcW w:w="521" w:type="dxa"/>
          </w:tcPr>
          <w:p w14:paraId="5C0D4CA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0543C1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ЗEM</w:t>
            </w:r>
          </w:p>
        </w:tc>
        <w:tc>
          <w:tcPr>
            <w:tcW w:w="1275" w:type="dxa"/>
          </w:tcPr>
          <w:p w14:paraId="1367C7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0F670C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7F5899F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861DD9E" w14:textId="77777777" w:rsidTr="00E543D0">
        <w:trPr>
          <w:trHeight w:val="494"/>
        </w:trPr>
        <w:tc>
          <w:tcPr>
            <w:tcW w:w="521" w:type="dxa"/>
          </w:tcPr>
          <w:p w14:paraId="4EF4B48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1CBF6E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Красный Октябрь</w:t>
            </w:r>
          </w:p>
        </w:tc>
        <w:tc>
          <w:tcPr>
            <w:tcW w:w="1275" w:type="dxa"/>
          </w:tcPr>
          <w:p w14:paraId="770D3F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Киржач</w:t>
            </w:r>
          </w:p>
        </w:tc>
        <w:tc>
          <w:tcPr>
            <w:tcW w:w="1105" w:type="dxa"/>
          </w:tcPr>
          <w:p w14:paraId="523E47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3A44B1B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5D0AC38" w14:textId="77777777" w:rsidTr="00E543D0">
        <w:trPr>
          <w:trHeight w:val="247"/>
        </w:trPr>
        <w:tc>
          <w:tcPr>
            <w:tcW w:w="521" w:type="dxa"/>
          </w:tcPr>
          <w:p w14:paraId="5D7FDC1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0D2AB1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Автоприборов</w:t>
            </w:r>
          </w:p>
        </w:tc>
        <w:tc>
          <w:tcPr>
            <w:tcW w:w="1275" w:type="dxa"/>
          </w:tcPr>
          <w:p w14:paraId="39E750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Владимир</w:t>
            </w:r>
          </w:p>
        </w:tc>
        <w:tc>
          <w:tcPr>
            <w:tcW w:w="1105" w:type="dxa"/>
          </w:tcPr>
          <w:p w14:paraId="7A02DE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5B27180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8EB2C9D" w14:textId="77777777" w:rsidTr="00E543D0">
        <w:trPr>
          <w:trHeight w:val="247"/>
        </w:trPr>
        <w:tc>
          <w:tcPr>
            <w:tcW w:w="521" w:type="dxa"/>
          </w:tcPr>
          <w:p w14:paraId="316B894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057D63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ГПЗ-1</w:t>
            </w:r>
          </w:p>
        </w:tc>
        <w:tc>
          <w:tcPr>
            <w:tcW w:w="1275" w:type="dxa"/>
          </w:tcPr>
          <w:p w14:paraId="365354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35D102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2E4ADC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4BD9CF8" w14:textId="77777777" w:rsidTr="00E543D0">
        <w:trPr>
          <w:trHeight w:val="247"/>
        </w:trPr>
        <w:tc>
          <w:tcPr>
            <w:tcW w:w="521" w:type="dxa"/>
          </w:tcPr>
          <w:p w14:paraId="411B41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4DBEDD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ГПЗ-2</w:t>
            </w:r>
          </w:p>
        </w:tc>
        <w:tc>
          <w:tcPr>
            <w:tcW w:w="1275" w:type="dxa"/>
          </w:tcPr>
          <w:p w14:paraId="2E435A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68E093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0A7B3C1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38F16FA" w14:textId="77777777" w:rsidTr="00E543D0">
        <w:trPr>
          <w:trHeight w:val="247"/>
        </w:trPr>
        <w:tc>
          <w:tcPr>
            <w:tcW w:w="521" w:type="dxa"/>
          </w:tcPr>
          <w:p w14:paraId="693BA2A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2FDC6C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ХТЗ</w:t>
            </w:r>
          </w:p>
        </w:tc>
        <w:tc>
          <w:tcPr>
            <w:tcW w:w="1275" w:type="dxa"/>
          </w:tcPr>
          <w:p w14:paraId="3636EB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Харьков</w:t>
            </w:r>
          </w:p>
        </w:tc>
        <w:tc>
          <w:tcPr>
            <w:tcW w:w="1105" w:type="dxa"/>
          </w:tcPr>
          <w:p w14:paraId="7403EF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5603318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7511532" w14:textId="77777777" w:rsidTr="00E543D0">
        <w:trPr>
          <w:trHeight w:val="247"/>
        </w:trPr>
        <w:tc>
          <w:tcPr>
            <w:tcW w:w="521" w:type="dxa"/>
          </w:tcPr>
          <w:p w14:paraId="33714A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1C56A1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1275" w:type="dxa"/>
          </w:tcPr>
          <w:p w14:paraId="427ACF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Харьков</w:t>
            </w:r>
          </w:p>
        </w:tc>
        <w:tc>
          <w:tcPr>
            <w:tcW w:w="1105" w:type="dxa"/>
          </w:tcPr>
          <w:p w14:paraId="7C8772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73524C9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0B96935" w14:textId="77777777" w:rsidTr="00E543D0">
        <w:trPr>
          <w:trHeight w:val="247"/>
        </w:trPr>
        <w:tc>
          <w:tcPr>
            <w:tcW w:w="521" w:type="dxa"/>
          </w:tcPr>
          <w:p w14:paraId="3CA6FEF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6D9162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Радиаторный</w:t>
            </w:r>
          </w:p>
        </w:tc>
        <w:tc>
          <w:tcPr>
            <w:tcW w:w="1275" w:type="dxa"/>
          </w:tcPr>
          <w:p w14:paraId="7D83E2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Мариуполь</w:t>
            </w:r>
          </w:p>
        </w:tc>
        <w:tc>
          <w:tcPr>
            <w:tcW w:w="1105" w:type="dxa"/>
          </w:tcPr>
          <w:p w14:paraId="47A4F0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1DBB2C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D5647E5" w14:textId="77777777" w:rsidTr="00E543D0">
        <w:trPr>
          <w:trHeight w:val="494"/>
        </w:trPr>
        <w:tc>
          <w:tcPr>
            <w:tcW w:w="521" w:type="dxa"/>
          </w:tcPr>
          <w:p w14:paraId="5405EF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02CD1A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ЗАТИ</w:t>
            </w:r>
          </w:p>
        </w:tc>
        <w:tc>
          <w:tcPr>
            <w:tcW w:w="1275" w:type="dxa"/>
          </w:tcPr>
          <w:p w14:paraId="118E20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Павлово на Оке</w:t>
            </w:r>
          </w:p>
        </w:tc>
        <w:tc>
          <w:tcPr>
            <w:tcW w:w="1105" w:type="dxa"/>
          </w:tcPr>
          <w:p w14:paraId="14746B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5143B3D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72CE8F1" w14:textId="77777777" w:rsidTr="00E543D0">
        <w:trPr>
          <w:trHeight w:val="247"/>
        </w:trPr>
        <w:tc>
          <w:tcPr>
            <w:tcW w:w="521" w:type="dxa"/>
          </w:tcPr>
          <w:p w14:paraId="6210F6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w:t>
            </w:r>
          </w:p>
        </w:tc>
        <w:tc>
          <w:tcPr>
            <w:tcW w:w="1637" w:type="dxa"/>
          </w:tcPr>
          <w:p w14:paraId="3FC9C1E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3A21B2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Харьков</w:t>
            </w:r>
          </w:p>
        </w:tc>
        <w:tc>
          <w:tcPr>
            <w:tcW w:w="1105" w:type="dxa"/>
          </w:tcPr>
          <w:p w14:paraId="39CDDA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294E981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0B45117" w14:textId="77777777" w:rsidTr="00E543D0">
        <w:trPr>
          <w:trHeight w:val="247"/>
        </w:trPr>
        <w:tc>
          <w:tcPr>
            <w:tcW w:w="521" w:type="dxa"/>
          </w:tcPr>
          <w:p w14:paraId="20F14FC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648F34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Автотракторный</w:t>
            </w:r>
          </w:p>
        </w:tc>
        <w:tc>
          <w:tcPr>
            <w:tcW w:w="1275" w:type="dxa"/>
          </w:tcPr>
          <w:p w14:paraId="64E4BC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Саратов</w:t>
            </w:r>
          </w:p>
        </w:tc>
        <w:tc>
          <w:tcPr>
            <w:tcW w:w="1105" w:type="dxa"/>
          </w:tcPr>
          <w:p w14:paraId="361E34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3FE2892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FB74D11" w14:textId="77777777" w:rsidTr="00E543D0">
        <w:trPr>
          <w:trHeight w:val="247"/>
        </w:trPr>
        <w:tc>
          <w:tcPr>
            <w:tcW w:w="521" w:type="dxa"/>
          </w:tcPr>
          <w:p w14:paraId="5097DA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174</w:t>
            </w:r>
          </w:p>
        </w:tc>
        <w:tc>
          <w:tcPr>
            <w:tcW w:w="1637" w:type="dxa"/>
          </w:tcPr>
          <w:p w14:paraId="6CB32AC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307C98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Ленинград</w:t>
            </w:r>
          </w:p>
        </w:tc>
        <w:tc>
          <w:tcPr>
            <w:tcW w:w="1105" w:type="dxa"/>
          </w:tcPr>
          <w:p w14:paraId="36E194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07151AF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EADD8A1" w14:textId="77777777" w:rsidTr="00E543D0">
        <w:trPr>
          <w:trHeight w:val="247"/>
        </w:trPr>
        <w:tc>
          <w:tcPr>
            <w:tcW w:w="521" w:type="dxa"/>
          </w:tcPr>
          <w:p w14:paraId="461463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1637" w:type="dxa"/>
          </w:tcPr>
          <w:p w14:paraId="1748C5B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5DD5FD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Харьков</w:t>
            </w:r>
          </w:p>
        </w:tc>
        <w:tc>
          <w:tcPr>
            <w:tcW w:w="1105" w:type="dxa"/>
          </w:tcPr>
          <w:p w14:paraId="757A93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7A872BF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2F9C375" w14:textId="77777777" w:rsidTr="00E543D0">
        <w:trPr>
          <w:trHeight w:val="247"/>
        </w:trPr>
        <w:tc>
          <w:tcPr>
            <w:tcW w:w="521" w:type="dxa"/>
          </w:tcPr>
          <w:p w14:paraId="5E5C59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17EBFC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Электропровод</w:t>
            </w:r>
          </w:p>
        </w:tc>
        <w:tc>
          <w:tcPr>
            <w:tcW w:w="1275" w:type="dxa"/>
          </w:tcPr>
          <w:p w14:paraId="5346A8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58C254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НКЭП</w:t>
            </w:r>
          </w:p>
        </w:tc>
        <w:tc>
          <w:tcPr>
            <w:tcW w:w="880" w:type="dxa"/>
          </w:tcPr>
          <w:p w14:paraId="3239803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2B9E52B" w14:textId="77777777" w:rsidTr="00E543D0">
        <w:trPr>
          <w:trHeight w:val="247"/>
        </w:trPr>
        <w:tc>
          <w:tcPr>
            <w:tcW w:w="521" w:type="dxa"/>
          </w:tcPr>
          <w:p w14:paraId="22CC3F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10B7EB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ЯЭМЗ</w:t>
            </w:r>
          </w:p>
        </w:tc>
        <w:tc>
          <w:tcPr>
            <w:tcW w:w="1275" w:type="dxa"/>
          </w:tcPr>
          <w:p w14:paraId="7AD31D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Ярославль</w:t>
            </w:r>
          </w:p>
        </w:tc>
        <w:tc>
          <w:tcPr>
            <w:tcW w:w="1105" w:type="dxa"/>
          </w:tcPr>
          <w:p w14:paraId="10220B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НКЭП</w:t>
            </w:r>
          </w:p>
        </w:tc>
        <w:tc>
          <w:tcPr>
            <w:tcW w:w="880" w:type="dxa"/>
          </w:tcPr>
          <w:p w14:paraId="0529E16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36F0FF2" w14:textId="77777777" w:rsidTr="00E543D0">
        <w:trPr>
          <w:trHeight w:val="247"/>
        </w:trPr>
        <w:tc>
          <w:tcPr>
            <w:tcW w:w="521" w:type="dxa"/>
          </w:tcPr>
          <w:p w14:paraId="209982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3C3FC1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Электроик</w:t>
            </w:r>
          </w:p>
        </w:tc>
        <w:tc>
          <w:tcPr>
            <w:tcW w:w="1275" w:type="dxa"/>
          </w:tcPr>
          <w:p w14:paraId="74EBF6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Ленинград</w:t>
            </w:r>
          </w:p>
        </w:tc>
        <w:tc>
          <w:tcPr>
            <w:tcW w:w="1105" w:type="dxa"/>
          </w:tcPr>
          <w:p w14:paraId="1B4DCB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НКЭП</w:t>
            </w:r>
          </w:p>
        </w:tc>
        <w:tc>
          <w:tcPr>
            <w:tcW w:w="880" w:type="dxa"/>
          </w:tcPr>
          <w:p w14:paraId="127EBE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8B95D89" w14:textId="77777777" w:rsidTr="00E543D0">
        <w:trPr>
          <w:trHeight w:val="247"/>
        </w:trPr>
        <w:tc>
          <w:tcPr>
            <w:tcW w:w="521" w:type="dxa"/>
          </w:tcPr>
          <w:p w14:paraId="76C370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42CC84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w:t>
            </w:r>
          </w:p>
        </w:tc>
        <w:tc>
          <w:tcPr>
            <w:tcW w:w="1275" w:type="dxa"/>
          </w:tcPr>
          <w:p w14:paraId="3B127B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4F2B60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НКЭП</w:t>
            </w:r>
          </w:p>
        </w:tc>
        <w:tc>
          <w:tcPr>
            <w:tcW w:w="880" w:type="dxa"/>
          </w:tcPr>
          <w:p w14:paraId="4E34C01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7EF3116" w14:textId="77777777" w:rsidTr="00E543D0">
        <w:trPr>
          <w:trHeight w:val="247"/>
        </w:trPr>
        <w:tc>
          <w:tcPr>
            <w:tcW w:w="521" w:type="dxa"/>
          </w:tcPr>
          <w:p w14:paraId="5A46394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5310DA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Людиновский</w:t>
            </w:r>
          </w:p>
        </w:tc>
        <w:tc>
          <w:tcPr>
            <w:tcW w:w="1275" w:type="dxa"/>
          </w:tcPr>
          <w:p w14:paraId="48AE3F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Людиново</w:t>
            </w:r>
          </w:p>
        </w:tc>
        <w:tc>
          <w:tcPr>
            <w:tcW w:w="1105" w:type="dxa"/>
          </w:tcPr>
          <w:p w14:paraId="5FD758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НКЭП</w:t>
            </w:r>
          </w:p>
        </w:tc>
        <w:tc>
          <w:tcPr>
            <w:tcW w:w="880" w:type="dxa"/>
          </w:tcPr>
          <w:p w14:paraId="6366C0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6DAE973" w14:textId="77777777" w:rsidTr="00E543D0">
        <w:trPr>
          <w:trHeight w:val="247"/>
        </w:trPr>
        <w:tc>
          <w:tcPr>
            <w:tcW w:w="521" w:type="dxa"/>
          </w:tcPr>
          <w:p w14:paraId="2E3B0FC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2AD835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ХЭМЗ</w:t>
            </w:r>
          </w:p>
        </w:tc>
        <w:tc>
          <w:tcPr>
            <w:tcW w:w="1275" w:type="dxa"/>
          </w:tcPr>
          <w:p w14:paraId="437E00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Харьков</w:t>
            </w:r>
          </w:p>
        </w:tc>
        <w:tc>
          <w:tcPr>
            <w:tcW w:w="1105" w:type="dxa"/>
          </w:tcPr>
          <w:p w14:paraId="53F0B9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НКЭП</w:t>
            </w:r>
          </w:p>
        </w:tc>
        <w:tc>
          <w:tcPr>
            <w:tcW w:w="880" w:type="dxa"/>
          </w:tcPr>
          <w:p w14:paraId="55194E3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23DC07A" w14:textId="77777777" w:rsidTr="00E543D0">
        <w:trPr>
          <w:trHeight w:val="247"/>
        </w:trPr>
        <w:tc>
          <w:tcPr>
            <w:tcW w:w="521" w:type="dxa"/>
          </w:tcPr>
          <w:p w14:paraId="573ACD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05ED50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Манометр</w:t>
            </w:r>
          </w:p>
        </w:tc>
        <w:tc>
          <w:tcPr>
            <w:tcW w:w="1275" w:type="dxa"/>
          </w:tcPr>
          <w:p w14:paraId="7C305F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66C393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НКОМ</w:t>
            </w:r>
          </w:p>
        </w:tc>
        <w:tc>
          <w:tcPr>
            <w:tcW w:w="880" w:type="dxa"/>
          </w:tcPr>
          <w:p w14:paraId="781114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1553A25" w14:textId="77777777" w:rsidTr="00E543D0">
        <w:trPr>
          <w:trHeight w:val="247"/>
        </w:trPr>
        <w:tc>
          <w:tcPr>
            <w:tcW w:w="521" w:type="dxa"/>
          </w:tcPr>
          <w:p w14:paraId="560DF2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702274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ПГЧЗ</w:t>
            </w:r>
          </w:p>
        </w:tc>
        <w:tc>
          <w:tcPr>
            <w:tcW w:w="1275" w:type="dxa"/>
          </w:tcPr>
          <w:p w14:paraId="74CD64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06829B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НКОМ</w:t>
            </w:r>
          </w:p>
        </w:tc>
        <w:tc>
          <w:tcPr>
            <w:tcW w:w="880" w:type="dxa"/>
          </w:tcPr>
          <w:p w14:paraId="5B84664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A1661D2" w14:textId="77777777" w:rsidTr="00E543D0">
        <w:trPr>
          <w:trHeight w:val="247"/>
        </w:trPr>
        <w:tc>
          <w:tcPr>
            <w:tcW w:w="521" w:type="dxa"/>
          </w:tcPr>
          <w:p w14:paraId="3DA44A5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62C424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ППО</w:t>
            </w:r>
          </w:p>
        </w:tc>
        <w:tc>
          <w:tcPr>
            <w:tcW w:w="1275" w:type="dxa"/>
          </w:tcPr>
          <w:p w14:paraId="19B639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Брянск</w:t>
            </w:r>
          </w:p>
        </w:tc>
        <w:tc>
          <w:tcPr>
            <w:tcW w:w="1105" w:type="dxa"/>
          </w:tcPr>
          <w:p w14:paraId="7EC7A2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НКОМ</w:t>
            </w:r>
          </w:p>
        </w:tc>
        <w:tc>
          <w:tcPr>
            <w:tcW w:w="880" w:type="dxa"/>
          </w:tcPr>
          <w:p w14:paraId="4BB42C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CC68722" w14:textId="77777777" w:rsidTr="00E543D0">
        <w:trPr>
          <w:trHeight w:val="494"/>
        </w:trPr>
        <w:tc>
          <w:tcPr>
            <w:tcW w:w="521" w:type="dxa"/>
          </w:tcPr>
          <w:p w14:paraId="27B3891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2D9DE1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 Шевченко</w:t>
            </w:r>
          </w:p>
        </w:tc>
        <w:tc>
          <w:tcPr>
            <w:tcW w:w="1275" w:type="dxa"/>
          </w:tcPr>
          <w:p w14:paraId="1CD2C9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Харьков</w:t>
            </w:r>
          </w:p>
        </w:tc>
        <w:tc>
          <w:tcPr>
            <w:tcW w:w="1105" w:type="dxa"/>
          </w:tcPr>
          <w:p w14:paraId="5D8E6E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НКОМ</w:t>
            </w:r>
          </w:p>
        </w:tc>
        <w:tc>
          <w:tcPr>
            <w:tcW w:w="880" w:type="dxa"/>
          </w:tcPr>
          <w:p w14:paraId="3C3E4A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FF5CB4B" w14:textId="77777777" w:rsidTr="00E543D0">
        <w:trPr>
          <w:trHeight w:val="247"/>
        </w:trPr>
        <w:tc>
          <w:tcPr>
            <w:tcW w:w="521" w:type="dxa"/>
          </w:tcPr>
          <w:p w14:paraId="273B05F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1E6063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Динамо</w:t>
            </w:r>
          </w:p>
        </w:tc>
        <w:tc>
          <w:tcPr>
            <w:tcW w:w="1275" w:type="dxa"/>
          </w:tcPr>
          <w:p w14:paraId="72CFEA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w:t>
            </w:r>
          </w:p>
        </w:tc>
        <w:tc>
          <w:tcPr>
            <w:tcW w:w="1105" w:type="dxa"/>
          </w:tcPr>
          <w:p w14:paraId="2D661D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НКТяжМаш</w:t>
            </w:r>
          </w:p>
        </w:tc>
        <w:tc>
          <w:tcPr>
            <w:tcW w:w="880" w:type="dxa"/>
          </w:tcPr>
          <w:p w14:paraId="417E28F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A5E157A" w14:textId="77777777" w:rsidTr="00E543D0">
        <w:trPr>
          <w:trHeight w:val="247"/>
        </w:trPr>
        <w:tc>
          <w:tcPr>
            <w:tcW w:w="521" w:type="dxa"/>
          </w:tcPr>
          <w:p w14:paraId="3384CDF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08DF69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 Ленина</w:t>
            </w:r>
          </w:p>
        </w:tc>
        <w:tc>
          <w:tcPr>
            <w:tcW w:w="1275" w:type="dxa"/>
          </w:tcPr>
          <w:p w14:paraId="7DE435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Минутка</w:t>
            </w:r>
          </w:p>
        </w:tc>
        <w:tc>
          <w:tcPr>
            <w:tcW w:w="1105" w:type="dxa"/>
          </w:tcPr>
          <w:p w14:paraId="36F6C4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НКТяжМаш</w:t>
            </w:r>
          </w:p>
        </w:tc>
        <w:tc>
          <w:tcPr>
            <w:tcW w:w="880" w:type="dxa"/>
          </w:tcPr>
          <w:p w14:paraId="33CF14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0492228" w14:textId="77777777" w:rsidTr="00E543D0">
        <w:trPr>
          <w:trHeight w:val="247"/>
        </w:trPr>
        <w:tc>
          <w:tcPr>
            <w:tcW w:w="521" w:type="dxa"/>
          </w:tcPr>
          <w:p w14:paraId="766ABFB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784993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Кольчугинский</w:t>
            </w:r>
          </w:p>
        </w:tc>
        <w:tc>
          <w:tcPr>
            <w:tcW w:w="1275" w:type="dxa"/>
          </w:tcPr>
          <w:p w14:paraId="39AD06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Кольчугино</w:t>
            </w:r>
          </w:p>
        </w:tc>
        <w:tc>
          <w:tcPr>
            <w:tcW w:w="1105" w:type="dxa"/>
          </w:tcPr>
          <w:p w14:paraId="3DCFAA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НКМаш</w:t>
            </w:r>
          </w:p>
        </w:tc>
        <w:tc>
          <w:tcPr>
            <w:tcW w:w="880" w:type="dxa"/>
          </w:tcPr>
          <w:p w14:paraId="62BF4F1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18D9CAF" w14:textId="77777777" w:rsidTr="00E543D0">
        <w:trPr>
          <w:trHeight w:val="247"/>
        </w:trPr>
        <w:tc>
          <w:tcPr>
            <w:tcW w:w="521" w:type="dxa"/>
          </w:tcPr>
          <w:p w14:paraId="70B0305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323B9B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промтреста</w:t>
            </w:r>
          </w:p>
        </w:tc>
        <w:tc>
          <w:tcPr>
            <w:tcW w:w="1275" w:type="dxa"/>
          </w:tcPr>
          <w:p w14:paraId="33D011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Кольчугино</w:t>
            </w:r>
          </w:p>
        </w:tc>
        <w:tc>
          <w:tcPr>
            <w:tcW w:w="1105" w:type="dxa"/>
          </w:tcPr>
          <w:p w14:paraId="503BD9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НКЖилХоз</w:t>
            </w:r>
          </w:p>
        </w:tc>
        <w:tc>
          <w:tcPr>
            <w:tcW w:w="880" w:type="dxa"/>
          </w:tcPr>
          <w:p w14:paraId="23215A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214B112" w14:textId="77777777" w:rsidTr="00E543D0">
        <w:trPr>
          <w:trHeight w:val="494"/>
        </w:trPr>
        <w:tc>
          <w:tcPr>
            <w:tcW w:w="521" w:type="dxa"/>
          </w:tcPr>
          <w:p w14:paraId="40C0B6B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3C2EA6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Мехзавод Маштреста</w:t>
            </w:r>
          </w:p>
        </w:tc>
        <w:tc>
          <w:tcPr>
            <w:tcW w:w="1275" w:type="dxa"/>
          </w:tcPr>
          <w:p w14:paraId="64AA1D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Киев</w:t>
            </w:r>
          </w:p>
        </w:tc>
        <w:tc>
          <w:tcPr>
            <w:tcW w:w="1105" w:type="dxa"/>
          </w:tcPr>
          <w:p w14:paraId="6D4571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НКВД</w:t>
            </w:r>
          </w:p>
        </w:tc>
        <w:tc>
          <w:tcPr>
            <w:tcW w:w="880" w:type="dxa"/>
          </w:tcPr>
          <w:p w14:paraId="1C12A37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7F7A305" w14:textId="77777777" w:rsidTr="00E543D0">
        <w:trPr>
          <w:trHeight w:val="247"/>
        </w:trPr>
        <w:tc>
          <w:tcPr>
            <w:tcW w:w="521" w:type="dxa"/>
          </w:tcPr>
          <w:p w14:paraId="3ED9A78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3EFDA5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Ивторфмаш</w:t>
            </w:r>
          </w:p>
        </w:tc>
        <w:tc>
          <w:tcPr>
            <w:tcW w:w="1275" w:type="dxa"/>
          </w:tcPr>
          <w:p w14:paraId="23D2C5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Иваново</w:t>
            </w:r>
          </w:p>
        </w:tc>
        <w:tc>
          <w:tcPr>
            <w:tcW w:w="1105" w:type="dxa"/>
          </w:tcPr>
          <w:p w14:paraId="67F8EB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НКЭС</w:t>
            </w:r>
          </w:p>
        </w:tc>
        <w:tc>
          <w:tcPr>
            <w:tcW w:w="880" w:type="dxa"/>
          </w:tcPr>
          <w:p w14:paraId="537559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EF3B92C" w14:textId="77777777" w:rsidTr="00E543D0">
        <w:trPr>
          <w:trHeight w:val="494"/>
        </w:trPr>
        <w:tc>
          <w:tcPr>
            <w:tcW w:w="521" w:type="dxa"/>
          </w:tcPr>
          <w:p w14:paraId="5235EC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1637" w:type="dxa"/>
          </w:tcPr>
          <w:p w14:paraId="79ABBF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4CDE62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Константиновка</w:t>
            </w:r>
          </w:p>
        </w:tc>
        <w:tc>
          <w:tcPr>
            <w:tcW w:w="1105" w:type="dxa"/>
          </w:tcPr>
          <w:p w14:paraId="0A83E9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НКПромСтройМат</w:t>
            </w:r>
          </w:p>
        </w:tc>
        <w:tc>
          <w:tcPr>
            <w:tcW w:w="880" w:type="dxa"/>
          </w:tcPr>
          <w:p w14:paraId="019011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EAFB391" w14:textId="77777777" w:rsidTr="00E543D0">
        <w:trPr>
          <w:trHeight w:val="247"/>
        </w:trPr>
        <w:tc>
          <w:tcPr>
            <w:tcW w:w="521" w:type="dxa"/>
          </w:tcPr>
          <w:p w14:paraId="371381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637" w:type="dxa"/>
          </w:tcPr>
          <w:p w14:paraId="02596A5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75" w:type="dxa"/>
          </w:tcPr>
          <w:p w14:paraId="3B5224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Харьков</w:t>
            </w:r>
          </w:p>
        </w:tc>
        <w:tc>
          <w:tcPr>
            <w:tcW w:w="1105" w:type="dxa"/>
          </w:tcPr>
          <w:p w14:paraId="5946EE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NKS</w:t>
            </w:r>
          </w:p>
        </w:tc>
        <w:tc>
          <w:tcPr>
            <w:tcW w:w="880" w:type="dxa"/>
          </w:tcPr>
          <w:p w14:paraId="113FFB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41E4BAE" w14:textId="77777777" w:rsidTr="00E543D0">
        <w:trPr>
          <w:trHeight w:val="494"/>
        </w:trPr>
        <w:tc>
          <w:tcPr>
            <w:tcW w:w="521" w:type="dxa"/>
          </w:tcPr>
          <w:p w14:paraId="1588BC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Pr>
          <w:p w14:paraId="39A270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 Фрунзе</w:t>
            </w:r>
          </w:p>
        </w:tc>
        <w:tc>
          <w:tcPr>
            <w:tcW w:w="1275" w:type="dxa"/>
          </w:tcPr>
          <w:p w14:paraId="27C2A0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Харьков</w:t>
            </w:r>
          </w:p>
        </w:tc>
        <w:tc>
          <w:tcPr>
            <w:tcW w:w="1105" w:type="dxa"/>
          </w:tcPr>
          <w:p w14:paraId="70835D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880" w:type="dxa"/>
          </w:tcPr>
          <w:p w14:paraId="7A9A7F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штамповки</w:t>
            </w:r>
          </w:p>
        </w:tc>
      </w:tr>
      <w:tr w:rsidR="007D5DF8" w:rsidRPr="00DB5D0D" w14:paraId="22EF3830" w14:textId="77777777" w:rsidTr="00E543D0">
        <w:trPr>
          <w:trHeight w:val="494"/>
        </w:trPr>
        <w:tc>
          <w:tcPr>
            <w:tcW w:w="521" w:type="dxa"/>
            <w:tcBorders>
              <w:bottom w:val="single" w:sz="12" w:space="0" w:color="auto"/>
            </w:tcBorders>
          </w:tcPr>
          <w:p w14:paraId="694A1B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37" w:type="dxa"/>
            <w:tcBorders>
              <w:bottom w:val="single" w:sz="12" w:space="0" w:color="auto"/>
            </w:tcBorders>
          </w:tcPr>
          <w:p w14:paraId="5AFF1D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Электрообъединение</w:t>
            </w:r>
          </w:p>
        </w:tc>
        <w:tc>
          <w:tcPr>
            <w:tcW w:w="1275" w:type="dxa"/>
            <w:tcBorders>
              <w:bottom w:val="single" w:sz="12" w:space="0" w:color="auto"/>
            </w:tcBorders>
          </w:tcPr>
          <w:p w14:paraId="082040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Харьков</w:t>
            </w:r>
          </w:p>
        </w:tc>
        <w:tc>
          <w:tcPr>
            <w:tcW w:w="1105" w:type="dxa"/>
            <w:tcBorders>
              <w:bottom w:val="single" w:sz="12" w:space="0" w:color="auto"/>
            </w:tcBorders>
          </w:tcPr>
          <w:p w14:paraId="586272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ВКПС</w:t>
            </w:r>
          </w:p>
        </w:tc>
        <w:tc>
          <w:tcPr>
            <w:tcW w:w="880" w:type="dxa"/>
            <w:tcBorders>
              <w:bottom w:val="single" w:sz="12" w:space="0" w:color="auto"/>
            </w:tcBorders>
          </w:tcPr>
          <w:p w14:paraId="53BD5E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ведра (11473)</w:t>
            </w:r>
          </w:p>
        </w:tc>
      </w:tr>
    </w:tbl>
    <w:p w14:paraId="4E4B429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4724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 вышел приказ НКВ № 139/к о назначении директором строящегося завода № 313 Мелихова ……….(9190).</w:t>
      </w:r>
    </w:p>
    <w:p w14:paraId="1C5D924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C20B95" w14:textId="77777777" w:rsidR="005321F7"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B431FC8" w14:textId="77777777" w:rsidR="005321F7" w:rsidRPr="00DB5D0D" w:rsidRDefault="005321F7" w:rsidP="00DB5D0D">
      <w:pPr>
        <w:spacing w:after="0" w:line="240" w:lineRule="auto"/>
        <w:jc w:val="both"/>
        <w:rPr>
          <w:rFonts w:ascii="Times New Roman" w:hAnsi="Times New Roman"/>
          <w:iCs/>
          <w:color w:val="000000" w:themeColor="text1"/>
          <w:sz w:val="16"/>
          <w:szCs w:val="16"/>
        </w:rPr>
      </w:pPr>
    </w:p>
    <w:p w14:paraId="69270E86" w14:textId="77777777" w:rsidR="005321F7" w:rsidRPr="00DB5D0D" w:rsidRDefault="005321F7"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bCs/>
          <w:iCs/>
          <w:color w:val="000000" w:themeColor="text1"/>
          <w:sz w:val="16"/>
          <w:szCs w:val="16"/>
        </w:rPr>
        <w:t>1 августа-12 сентября 1940 г.</w:t>
      </w:r>
      <w:r w:rsidRPr="00DB5D0D">
        <w:rPr>
          <w:rFonts w:ascii="Times New Roman" w:hAnsi="Times New Roman"/>
          <w:color w:val="000000" w:themeColor="text1"/>
          <w:sz w:val="16"/>
          <w:szCs w:val="16"/>
        </w:rPr>
        <w:t xml:space="preserve"> Химические сборы руководящего состава частей ВВС ЗапОВО. Практическая работа с химическим оружием выполнена на окружном химическом полигоне Суша (район Кличева). Произведен 21 вылет с задачей выливания в цель иприта из ВАП-4М и ВАП-6М и 16 вылетов с химическим бомбометанием по цели с использованием ХАБ-25 и ХАБ-200 (17133).</w:t>
      </w:r>
    </w:p>
    <w:p w14:paraId="1A6526D7" w14:textId="77777777" w:rsidR="005321F7" w:rsidRPr="00DB5D0D" w:rsidRDefault="005321F7" w:rsidP="00DB5D0D">
      <w:pPr>
        <w:shd w:val="clear" w:color="auto" w:fill="FFFFFF"/>
        <w:spacing w:after="0" w:line="240" w:lineRule="auto"/>
        <w:jc w:val="both"/>
        <w:rPr>
          <w:rFonts w:ascii="Times New Roman" w:hAnsi="Times New Roman"/>
          <w:color w:val="000000" w:themeColor="text1"/>
          <w:sz w:val="16"/>
          <w:szCs w:val="16"/>
        </w:rPr>
      </w:pPr>
    </w:p>
    <w:p w14:paraId="358FB8C2" w14:textId="77777777" w:rsidR="005321F7"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65AFBC39" w14:textId="77777777" w:rsidR="005321F7" w:rsidRPr="00DB5D0D" w:rsidRDefault="005321F7" w:rsidP="00DB5D0D">
      <w:pPr>
        <w:spacing w:after="0" w:line="240" w:lineRule="auto"/>
        <w:jc w:val="both"/>
        <w:rPr>
          <w:rFonts w:ascii="Times New Roman" w:hAnsi="Times New Roman"/>
          <w:iCs/>
          <w:color w:val="000000" w:themeColor="text1"/>
          <w:sz w:val="16"/>
          <w:szCs w:val="16"/>
        </w:rPr>
      </w:pPr>
    </w:p>
    <w:p w14:paraId="21D4B711"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в 1940 году Нарком иностранных дел СССР Вячеслав Молотов, выступая на сессии Верховного Совета СССР, говорит, что «трудящиеся Латвии, Литвы и Эстонии с радостью восприняли известие о вхождении этих республик в состав Советского Союза» (14970).</w:t>
      </w:r>
    </w:p>
    <w:p w14:paraId="787FD147"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5A8C8348"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в 1940 году на заседании Верховного Совета СССР В.М.Молотов заявил: «Ход событий в Европе не только не ослабил силы советско-германского соглашения о ненападении, но, напротив, подчеркнул важность его существования и дальнейшего развития. За последнее время в иностранной и особенно в английской и англофильствующей прессе нередко спекулировали на возможности разногласий между Советским Союзом и Германией, с попыткой запугать нас перспективой усиления могущества Германии. Как с нашей, так и с германской стороны эти попытки не раз разоблачались и отбрасывались, как негодные. Мы можем лишь подтвердить, что, по нашему мнению, в основе сложившихся добрососедских и дружественных советско-германских отношений лежат не случайные соображения конъюнктурного характера, а коренные государственные интересы как СССР, так и Германии» (14970).</w:t>
      </w:r>
    </w:p>
    <w:p w14:paraId="5B954FF9"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0A29F61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06D2F37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5D353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 состоялась вторая встреча К.А. Уманского и С. Уэллеса, продолжавшаяся 1,5 часа. О ней приводится лишь краткое сообщение К.А Уманского в НКИД СССР. Оно завершается фразой: «Изложение сегодняшней встречи следует», однако, к сожалению, самого документа в сборнике нет (Документы внешней политики. 1940 - 22 июня 1941. Т. XXIII. Кн. 1. С. 469-470.). Лишь по свидетельству самого же К.А. Уманского из его телеграммы В.М. Молотову от 8.08.1940 года можно узнать, что он «при второй встрече получил разъяснение лишь в от</w:t>
      </w:r>
      <w:r w:rsidRPr="00DB5D0D">
        <w:rPr>
          <w:rFonts w:ascii="Times New Roman" w:hAnsi="Times New Roman"/>
          <w:color w:val="000000" w:themeColor="text1"/>
          <w:sz w:val="16"/>
          <w:szCs w:val="16"/>
        </w:rPr>
        <w:softHyphen/>
        <w:t>ношении морального эмбарго на техническую помощь по крекингам, тогда как так называемое моральное эмбарго охватывает и авиацию, алюминий и молибден» (Документы внешней политики. 1940 - 22 июня 1941. Т. XXIII. Кн. 1. С. 469-491.). В аналогичной телеграмме от 17.12.1940 года он отмечает по</w:t>
      </w:r>
      <w:r w:rsidRPr="00DB5D0D">
        <w:rPr>
          <w:rFonts w:ascii="Times New Roman" w:hAnsi="Times New Roman"/>
          <w:color w:val="000000" w:themeColor="text1"/>
          <w:sz w:val="16"/>
          <w:szCs w:val="16"/>
        </w:rPr>
        <w:softHyphen/>
        <w:t>лучение ответа на поднятый при второй встрече «вопрос о запрете выезда в СССР для монтажа крекингов работников фирмы Юниверсаль Люмус» (Документы внешней политики. 1940 - 22 июня 1941. Т. XXIII. Кн. 1. С. 205.).</w:t>
      </w:r>
    </w:p>
    <w:p w14:paraId="7731A1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явствует из американских документов, на встрече с американской стороны помимо С. Уэллеса присутствовали также политический советник Джеймс Данн и упоминавшийся выше помощник начальника Отдела евро</w:t>
      </w:r>
      <w:r w:rsidRPr="00DB5D0D">
        <w:rPr>
          <w:rFonts w:ascii="Times New Roman" w:hAnsi="Times New Roman"/>
          <w:color w:val="000000" w:themeColor="text1"/>
          <w:sz w:val="16"/>
          <w:szCs w:val="16"/>
        </w:rPr>
        <w:softHyphen/>
        <w:t>пейских связей Лой Гендерсон.</w:t>
      </w:r>
    </w:p>
    <w:p w14:paraId="460204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Советский полпред поднял на встрече разные вопросы, в том числе и по поставкам промышленного оборудования, охарактеризовав сложившуюся ситуацию как одну из наиболее сложных проблем в отношениях между двумя странами. В общей сложности 218 заявок, касающихся 327 станков, по-пре</w:t>
      </w:r>
      <w:r w:rsidRPr="00DB5D0D">
        <w:rPr>
          <w:rFonts w:ascii="Times New Roman" w:hAnsi="Times New Roman"/>
          <w:color w:val="000000" w:themeColor="text1"/>
          <w:sz w:val="16"/>
          <w:szCs w:val="16"/>
        </w:rPr>
        <w:softHyphen/>
        <w:t>жнему ожидают решения. Около 4400 тонн станков на сумму более 4 миллио</w:t>
      </w:r>
      <w:r w:rsidRPr="00DB5D0D">
        <w:rPr>
          <w:rFonts w:ascii="Times New Roman" w:hAnsi="Times New Roman"/>
          <w:color w:val="000000" w:themeColor="text1"/>
          <w:sz w:val="16"/>
          <w:szCs w:val="16"/>
        </w:rPr>
        <w:softHyphen/>
        <w:t>нов долларов находятся в доках и складах, ожидая выхода экспортной лицен</w:t>
      </w:r>
      <w:r w:rsidRPr="00DB5D0D">
        <w:rPr>
          <w:rFonts w:ascii="Times New Roman" w:hAnsi="Times New Roman"/>
          <w:color w:val="000000" w:themeColor="text1"/>
          <w:sz w:val="16"/>
          <w:szCs w:val="16"/>
        </w:rPr>
        <w:softHyphen/>
        <w:t>зии. Насколько посол понимает, экспортные лицензии ежедневно продолжа</w:t>
      </w:r>
      <w:r w:rsidRPr="00DB5D0D">
        <w:rPr>
          <w:rFonts w:ascii="Times New Roman" w:hAnsi="Times New Roman"/>
          <w:color w:val="000000" w:themeColor="text1"/>
          <w:sz w:val="16"/>
          <w:szCs w:val="16"/>
        </w:rPr>
        <w:softHyphen/>
        <w:t>ют выдаваться на станки, предназначенные для других стран, а не для СССР. Таким образом, кажется, что Закон об экспортных лицензиях используется как оружие против советско-американской торговли.</w:t>
      </w:r>
    </w:p>
    <w:p w14:paraId="568226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определенном отрезке беседы Уманский сказал, что хотел бы подчер</w:t>
      </w:r>
      <w:r w:rsidRPr="00DB5D0D">
        <w:rPr>
          <w:rFonts w:ascii="Times New Roman" w:hAnsi="Times New Roman"/>
          <w:color w:val="000000" w:themeColor="text1"/>
          <w:sz w:val="16"/>
          <w:szCs w:val="16"/>
        </w:rPr>
        <w:softHyphen/>
        <w:t>кнуть те потери, которое советское правительство уже понесло и которые оно продолжает нести от так называемого морального эмбарго, наложен</w:t>
      </w:r>
      <w:r w:rsidRPr="00DB5D0D">
        <w:rPr>
          <w:rFonts w:ascii="Times New Roman" w:hAnsi="Times New Roman"/>
          <w:color w:val="000000" w:themeColor="text1"/>
          <w:sz w:val="16"/>
          <w:szCs w:val="16"/>
        </w:rPr>
        <w:softHyphen/>
        <w:t>ного американским правительством на предоставление техпомощи и экс</w:t>
      </w:r>
      <w:r w:rsidRPr="00DB5D0D">
        <w:rPr>
          <w:rFonts w:ascii="Times New Roman" w:hAnsi="Times New Roman"/>
          <w:color w:val="000000" w:themeColor="text1"/>
          <w:sz w:val="16"/>
          <w:szCs w:val="16"/>
        </w:rPr>
        <w:softHyphen/>
        <w:t>порт в СССР материалов, которые бы позволили советскому правительству расширить свою индустрию по производству авиационного бензина. Ме</w:t>
      </w:r>
      <w:r w:rsidRPr="00DB5D0D">
        <w:rPr>
          <w:rFonts w:ascii="Times New Roman" w:hAnsi="Times New Roman"/>
          <w:color w:val="000000" w:themeColor="text1"/>
          <w:sz w:val="16"/>
          <w:szCs w:val="16"/>
        </w:rPr>
        <w:softHyphen/>
        <w:t>тодика реализации этого эмбарго оказалась таковой, что работающие по контракту американские инженеры, оказывавшие помощь в конструиро</w:t>
      </w:r>
      <w:r w:rsidRPr="00DB5D0D">
        <w:rPr>
          <w:rFonts w:ascii="Times New Roman" w:hAnsi="Times New Roman"/>
          <w:color w:val="000000" w:themeColor="text1"/>
          <w:sz w:val="16"/>
          <w:szCs w:val="16"/>
        </w:rPr>
        <w:softHyphen/>
        <w:t>вании заводов авиабензина в СССР, были отозваны домой, а американские фирмы, ранее заключившие контракты с советскими организациями, были вынуждены разорвать эти соглашения. Вплоть до настоящего времени эти фирмы отказываются вернуть американских инженеров обратно в СССР для завершения создания заводов на основании того, что Госдепартамент не выдает им требуемые паспорта. Уэллес отметил, что в данном случае су</w:t>
      </w:r>
      <w:r w:rsidRPr="00DB5D0D">
        <w:rPr>
          <w:rFonts w:ascii="Times New Roman" w:hAnsi="Times New Roman"/>
          <w:color w:val="000000" w:themeColor="text1"/>
          <w:sz w:val="16"/>
          <w:szCs w:val="16"/>
        </w:rPr>
        <w:softHyphen/>
        <w:t>ществуют две проблемы - одна с эмбарго, а другая с паспортами. Уманский согласился, что их две, но отметил, что они тесно связаны между собой.</w:t>
      </w:r>
    </w:p>
    <w:p w14:paraId="5A0D97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видим, на второй встрече проблема морального эмбарго поднима</w:t>
      </w:r>
      <w:r w:rsidRPr="00DB5D0D">
        <w:rPr>
          <w:rFonts w:ascii="Times New Roman" w:hAnsi="Times New Roman"/>
          <w:color w:val="000000" w:themeColor="text1"/>
          <w:sz w:val="16"/>
          <w:szCs w:val="16"/>
        </w:rPr>
        <w:softHyphen/>
        <w:t>лась, но решена не была.</w:t>
      </w:r>
    </w:p>
    <w:p w14:paraId="567B31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Чрезвычайно насыщенной событиями была третья встреча, состоявшая</w:t>
      </w:r>
      <w:r w:rsidRPr="00DB5D0D">
        <w:rPr>
          <w:rFonts w:ascii="Times New Roman" w:hAnsi="Times New Roman"/>
          <w:color w:val="000000" w:themeColor="text1"/>
          <w:sz w:val="16"/>
          <w:szCs w:val="16"/>
        </w:rPr>
        <w:softHyphen/>
        <w:t>ся 07.08.1940 года и продолжавшаяся 2 часа. Она началась с вопроса о про</w:t>
      </w:r>
      <w:r w:rsidRPr="00DB5D0D">
        <w:rPr>
          <w:rFonts w:ascii="Times New Roman" w:hAnsi="Times New Roman"/>
          <w:color w:val="000000" w:themeColor="text1"/>
          <w:sz w:val="16"/>
          <w:szCs w:val="16"/>
        </w:rPr>
        <w:softHyphen/>
        <w:t>длении торгового соглашения. КА Уманский в телеграмме В.М. Молотову от 8.08.1940 года сообщил, что в ответ на поздравления С. Уэллеса по поводу продления соглашения, он добавил, «что нам не следует обольщаться, ибо со</w:t>
      </w:r>
      <w:r w:rsidRPr="00DB5D0D">
        <w:rPr>
          <w:rFonts w:ascii="Times New Roman" w:hAnsi="Times New Roman"/>
          <w:color w:val="000000" w:themeColor="text1"/>
          <w:sz w:val="16"/>
          <w:szCs w:val="16"/>
        </w:rPr>
        <w:softHyphen/>
        <w:t>глашение заключено на суженной базе, поскольку им не устранены лицензи</w:t>
      </w:r>
      <w:r w:rsidRPr="00DB5D0D">
        <w:rPr>
          <w:rFonts w:ascii="Times New Roman" w:hAnsi="Times New Roman"/>
          <w:color w:val="000000" w:themeColor="text1"/>
          <w:sz w:val="16"/>
          <w:szCs w:val="16"/>
        </w:rPr>
        <w:softHyphen/>
        <w:t>онные ограничения». Второй пункт встречи был посвящен ответу американ</w:t>
      </w:r>
      <w:r w:rsidRPr="00DB5D0D">
        <w:rPr>
          <w:rFonts w:ascii="Times New Roman" w:hAnsi="Times New Roman"/>
          <w:color w:val="000000" w:themeColor="text1"/>
          <w:sz w:val="16"/>
          <w:szCs w:val="16"/>
        </w:rPr>
        <w:softHyphen/>
        <w:t xml:space="preserve">ской стороны на вопрос о лицензиях. В соответствии с обещанием, данным советскому полпреду 2 августа, С. Уэллес вручил КА Уманскому два списка на 66 страниц, первый из которых включал перечень товаров на общую сумму 1 064 000 долларов, задержанных американским правительством, а второй -на сумму 3317 040 долларов - включал перечень товаров, на которые было разрешено выдать лицензии. КА. Уманский отмечал: «Заявил </w:t>
      </w:r>
      <w:r w:rsidRPr="00DB5D0D">
        <w:rPr>
          <w:rFonts w:ascii="Times New Roman" w:hAnsi="Times New Roman"/>
          <w:color w:val="000000" w:themeColor="text1"/>
          <w:sz w:val="16"/>
          <w:szCs w:val="16"/>
        </w:rPr>
        <w:lastRenderedPageBreak/>
        <w:t>Уэллесу, что считаю его ответ по вопросу о лицензиях, означающих реквизицию около четверти наших грузов, неудовлетворительным и противоречащим завере</w:t>
      </w:r>
      <w:r w:rsidRPr="00DB5D0D">
        <w:rPr>
          <w:rFonts w:ascii="Times New Roman" w:hAnsi="Times New Roman"/>
          <w:color w:val="000000" w:themeColor="text1"/>
          <w:sz w:val="16"/>
          <w:szCs w:val="16"/>
        </w:rPr>
        <w:softHyphen/>
        <w:t>нию о желании упорядочить торговые и иные отношения и расширить базу торговли. Мне непонятно, почему при выполнении оборонной программы Американское правительство... считает необходимым выполнить эту про</w:t>
      </w:r>
      <w:r w:rsidRPr="00DB5D0D">
        <w:rPr>
          <w:rFonts w:ascii="Times New Roman" w:hAnsi="Times New Roman"/>
          <w:color w:val="000000" w:themeColor="text1"/>
          <w:sz w:val="16"/>
          <w:szCs w:val="16"/>
        </w:rPr>
        <w:softHyphen/>
        <w:t>грамму за счет советских станков, в которые уже вложены наши деньги и силы наших людей. Количественная пропорция между задерживаемым и разрешенным оборудованием представляется мне неприемлемой, что же ка</w:t>
      </w:r>
      <w:r w:rsidRPr="00DB5D0D">
        <w:rPr>
          <w:rFonts w:ascii="Times New Roman" w:hAnsi="Times New Roman"/>
          <w:color w:val="000000" w:themeColor="text1"/>
          <w:sz w:val="16"/>
          <w:szCs w:val="16"/>
        </w:rPr>
        <w:softHyphen/>
        <w:t>сается качественной, то должен посоветоваться с экспертами и только после этого буду иметь точную картину, которую передам своему правительству». Обсуждая третий пункт встречи - моральное эмбарго, в ответ на сообщение С. Уэллеса, что вопрос о нем для американского правительства «сейчас сто</w:t>
      </w:r>
      <w:r w:rsidRPr="00DB5D0D">
        <w:rPr>
          <w:rFonts w:ascii="Times New Roman" w:hAnsi="Times New Roman"/>
          <w:color w:val="000000" w:themeColor="text1"/>
          <w:sz w:val="16"/>
          <w:szCs w:val="16"/>
        </w:rPr>
        <w:softHyphen/>
        <w:t>ит по-новому», КА Уманский «заявил ему, что недостаточно заявлять об этом мне в кабинете, акты морального эмбарго были публичными, их аннулиро</w:t>
      </w:r>
      <w:r w:rsidRPr="00DB5D0D">
        <w:rPr>
          <w:rFonts w:ascii="Times New Roman" w:hAnsi="Times New Roman"/>
          <w:color w:val="000000" w:themeColor="text1"/>
          <w:sz w:val="16"/>
          <w:szCs w:val="16"/>
        </w:rPr>
        <w:softHyphen/>
        <w:t>вание в отношении СССР должно быть публичным же». Пятый пункт встре</w:t>
      </w:r>
      <w:r w:rsidRPr="00DB5D0D">
        <w:rPr>
          <w:rFonts w:ascii="Times New Roman" w:hAnsi="Times New Roman"/>
          <w:color w:val="000000" w:themeColor="text1"/>
          <w:sz w:val="16"/>
          <w:szCs w:val="16"/>
        </w:rPr>
        <w:softHyphen/>
        <w:t>чи был посвящен вопросу о режиме советских инженеров на заводах США, а конкретно - положению советской комиссии на авиамоторном заводе Райта. «Указал, что дискриминация налицо, - сообщал КА Уманский, - ибо китайские инженеры, также действующие по договору техпомощи, допуска</w:t>
      </w:r>
      <w:r w:rsidRPr="00DB5D0D">
        <w:rPr>
          <w:rFonts w:ascii="Times New Roman" w:hAnsi="Times New Roman"/>
          <w:color w:val="000000" w:themeColor="text1"/>
          <w:sz w:val="16"/>
          <w:szCs w:val="16"/>
        </w:rPr>
        <w:softHyphen/>
        <w:t>ются в цеха, без чего техпомощь - фикция» (Документы внешней политики. Т. XXIII. Кн. 1. С. 489-492).</w:t>
      </w:r>
    </w:p>
    <w:p w14:paraId="4F38D0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ключевые пункты третьей встречи советского полпреда в США с заместителем госсекретаря США касались проблемы закупок СССР в США военных материалов, в том числе и авиационных, а также контактов советских авиаспециалистов с авиапредприятиями США, затрудненных в связи с действием морального эмбарго.</w:t>
      </w:r>
    </w:p>
    <w:p w14:paraId="51AB92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американским документам, помимо С. Уэллеса и К. Уманско-го на встрече присутствовали начальник Отдела европейских связей Рэй Аттертон и Лой Гендерсон. Советский посол прямо заявил, касаясь темы морального эмбарго, что «советская промышленность понесла серьезный ущерб в результате невозможности получения американской технической помощи для создания заводов авиабензина, прекращения поставок молиб</w:t>
      </w:r>
      <w:r w:rsidRPr="00DB5D0D">
        <w:rPr>
          <w:rFonts w:ascii="Times New Roman" w:hAnsi="Times New Roman"/>
          <w:color w:val="000000" w:themeColor="text1"/>
          <w:sz w:val="16"/>
          <w:szCs w:val="16"/>
        </w:rPr>
        <w:softHyphen/>
        <w:t>дена и невозможности получения новейших моделей американских само</w:t>
      </w:r>
      <w:r w:rsidRPr="00DB5D0D">
        <w:rPr>
          <w:rFonts w:ascii="Times New Roman" w:hAnsi="Times New Roman"/>
          <w:color w:val="000000" w:themeColor="text1"/>
          <w:sz w:val="16"/>
          <w:szCs w:val="16"/>
        </w:rPr>
        <w:softHyphen/>
        <w:t>летов, которые уже закупались в течение многих лет. Наихудшим результа</w:t>
      </w:r>
      <w:r w:rsidRPr="00DB5D0D">
        <w:rPr>
          <w:rFonts w:ascii="Times New Roman" w:hAnsi="Times New Roman"/>
          <w:color w:val="000000" w:themeColor="text1"/>
          <w:sz w:val="16"/>
          <w:szCs w:val="16"/>
        </w:rPr>
        <w:softHyphen/>
        <w:t>том морального эмбарго, однако, был тот эффект, который оно возымело на поведение американского бизнеса в советской торговле». Посол отме</w:t>
      </w:r>
      <w:r w:rsidRPr="00DB5D0D">
        <w:rPr>
          <w:rFonts w:ascii="Times New Roman" w:hAnsi="Times New Roman"/>
          <w:color w:val="000000" w:themeColor="text1"/>
          <w:sz w:val="16"/>
          <w:szCs w:val="16"/>
        </w:rPr>
        <w:softHyphen/>
        <w:t>тил трудности, с которыми встретились советские инженеры на авиацион</w:t>
      </w:r>
      <w:r w:rsidRPr="00DB5D0D">
        <w:rPr>
          <w:rFonts w:ascii="Times New Roman" w:hAnsi="Times New Roman"/>
          <w:color w:val="000000" w:themeColor="text1"/>
          <w:sz w:val="16"/>
          <w:szCs w:val="16"/>
        </w:rPr>
        <w:softHyphen/>
        <w:t>ном заводе Райта в Паттерсоне, штат Нью-Джерси.</w:t>
      </w:r>
    </w:p>
    <w:p w14:paraId="3E2ECD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Посол также заявил, что в течение прошлого года было отмечено бес</w:t>
      </w:r>
      <w:r w:rsidRPr="00DB5D0D">
        <w:rPr>
          <w:rFonts w:ascii="Times New Roman" w:hAnsi="Times New Roman"/>
          <w:color w:val="000000" w:themeColor="text1"/>
          <w:sz w:val="16"/>
          <w:szCs w:val="16"/>
        </w:rPr>
        <w:softHyphen/>
        <w:t>численное количество инцидентов дурного обращения с советскими граж</w:t>
      </w:r>
      <w:r w:rsidRPr="00DB5D0D">
        <w:rPr>
          <w:rFonts w:ascii="Times New Roman" w:hAnsi="Times New Roman"/>
          <w:color w:val="000000" w:themeColor="text1"/>
          <w:sz w:val="16"/>
          <w:szCs w:val="16"/>
        </w:rPr>
        <w:softHyphen/>
        <w:t>данами в США официальных властей штатов и федеральных властей. К сожалению, число этих случаев возрастает. Многие из 160 представителей Амторга, которые недавно выехали из США, сделали это из-за унижения, ко</w:t>
      </w:r>
      <w:r w:rsidRPr="00DB5D0D">
        <w:rPr>
          <w:rFonts w:ascii="Times New Roman" w:hAnsi="Times New Roman"/>
          <w:color w:val="000000" w:themeColor="text1"/>
          <w:sz w:val="16"/>
          <w:szCs w:val="16"/>
        </w:rPr>
        <w:softHyphen/>
        <w:t>торому они подвергались. Некоторые из них открыто говорили послу, что они не могут терпеть то, как с ними обращаются, и не будут жить в стране, в которой они подвергаются таким унижениям. Посол описал в деталях не</w:t>
      </w:r>
      <w:r w:rsidRPr="00DB5D0D">
        <w:rPr>
          <w:rFonts w:ascii="Times New Roman" w:hAnsi="Times New Roman"/>
          <w:color w:val="000000" w:themeColor="text1"/>
          <w:sz w:val="16"/>
          <w:szCs w:val="16"/>
        </w:rPr>
        <w:softHyphen/>
        <w:t>сколько случаев, когда советские инженеры и другие советские граждане были задержаны или арестованы по подозрению федеральными или мес</w:t>
      </w:r>
      <w:r w:rsidRPr="00DB5D0D">
        <w:rPr>
          <w:rFonts w:ascii="Times New Roman" w:hAnsi="Times New Roman"/>
          <w:color w:val="000000" w:themeColor="text1"/>
          <w:sz w:val="16"/>
          <w:szCs w:val="16"/>
        </w:rPr>
        <w:softHyphen/>
        <w:t>тными властями, подвергались обыску, причем обыск проводился в оскор</w:t>
      </w:r>
      <w:r w:rsidRPr="00DB5D0D">
        <w:rPr>
          <w:rFonts w:ascii="Times New Roman" w:hAnsi="Times New Roman"/>
          <w:color w:val="000000" w:themeColor="text1"/>
          <w:sz w:val="16"/>
          <w:szCs w:val="16"/>
        </w:rPr>
        <w:softHyphen/>
        <w:t>бительной манере. Он отметил случай ареста двух инженеров в Питтсбурге, Пенсильвания, и вспомнил недавний инцидент в Балтиморе, при котором федеральная полиция захватила и обыскала багаж советских инженеров (Это были Виктор Чичков и Виктор Корзун. Позже американские власти «замяли» дело.)и заставила одного из них промаршировать по коридорам отеля в одном нижнем белье.</w:t>
      </w:r>
    </w:p>
    <w:p w14:paraId="249C17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Четвертая встреча, материалы которой в отечественном сборнике не при</w:t>
      </w:r>
      <w:r w:rsidRPr="00DB5D0D">
        <w:rPr>
          <w:rFonts w:ascii="Times New Roman" w:hAnsi="Times New Roman"/>
          <w:color w:val="000000" w:themeColor="text1"/>
          <w:sz w:val="16"/>
          <w:szCs w:val="16"/>
        </w:rPr>
        <w:softHyphen/>
        <w:t>водятся, состоялась 12 августа 1940 года. С обеих сторон участниками встречи были те же лица, что и в прошлый раз. Одним из ключевых вопросов встречи был вопрос о закупках промышленного оборудования. Советский посол отме</w:t>
      </w:r>
      <w:r w:rsidRPr="00DB5D0D">
        <w:rPr>
          <w:rFonts w:ascii="Times New Roman" w:hAnsi="Times New Roman"/>
          <w:color w:val="000000" w:themeColor="text1"/>
          <w:sz w:val="16"/>
          <w:szCs w:val="16"/>
        </w:rPr>
        <w:softHyphen/>
        <w:t>тил, что некоторые из заказанных станков находятся в США от 5 до 6 месяцев (то есть с начала весны 1940 года). Относительно оборудования, разрешен</w:t>
      </w:r>
      <w:r w:rsidRPr="00DB5D0D">
        <w:rPr>
          <w:rFonts w:ascii="Times New Roman" w:hAnsi="Times New Roman"/>
          <w:color w:val="000000" w:themeColor="text1"/>
          <w:sz w:val="16"/>
          <w:szCs w:val="16"/>
        </w:rPr>
        <w:softHyphen/>
        <w:t>ного к вывозу из США, Уманский отметил, что его состав только частично компенсирует потери СССР в миллионы долларов. Уманский спросил, воз</w:t>
      </w:r>
      <w:r w:rsidRPr="00DB5D0D">
        <w:rPr>
          <w:rFonts w:ascii="Times New Roman" w:hAnsi="Times New Roman"/>
          <w:color w:val="000000" w:themeColor="text1"/>
          <w:sz w:val="16"/>
          <w:szCs w:val="16"/>
        </w:rPr>
        <w:softHyphen/>
        <w:t>можно ли пригласить на следующую встречу мистера Лукашева - президента Амторга, который может обсудить различные технические проблемы. Уэллес ответил, что нет причин, по которым мистер Лукашев не смог бы присутс</w:t>
      </w:r>
      <w:r w:rsidRPr="00DB5D0D">
        <w:rPr>
          <w:rFonts w:ascii="Times New Roman" w:hAnsi="Times New Roman"/>
          <w:color w:val="000000" w:themeColor="text1"/>
          <w:sz w:val="16"/>
          <w:szCs w:val="16"/>
        </w:rPr>
        <w:softHyphen/>
        <w:t>твовать на встрече. Интересна в связи с этим телеграмма Госсекретаря послу США в СССР. В ней, в частности, говорилось, что в течение августа месяца была проведена серия встреч между советским послом и господином Уэллесом для решения определенных серьезных проблем, в основном коммерческой при</w:t>
      </w:r>
      <w:r w:rsidRPr="00DB5D0D">
        <w:rPr>
          <w:rFonts w:ascii="Times New Roman" w:hAnsi="Times New Roman"/>
          <w:color w:val="000000" w:themeColor="text1"/>
          <w:sz w:val="16"/>
          <w:szCs w:val="16"/>
        </w:rPr>
        <w:softHyphen/>
        <w:t>роды, в советско-американских отношениях. Хотя в некоторых случаях были получены конструктивные результаты, другие проблемы остались нерешен</w:t>
      </w:r>
      <w:r w:rsidRPr="00DB5D0D">
        <w:rPr>
          <w:rFonts w:ascii="Times New Roman" w:hAnsi="Times New Roman"/>
          <w:color w:val="000000" w:themeColor="text1"/>
          <w:sz w:val="16"/>
          <w:szCs w:val="16"/>
        </w:rPr>
        <w:softHyphen/>
        <w:t>ными. По поводу недопущения советских инженеров на авиационный завод Райта говорилось следующее: «В соответствии с требованиями посла были приняты меры в отношении этих инженеров, которые при определенных ог</w:t>
      </w:r>
      <w:r w:rsidRPr="00DB5D0D">
        <w:rPr>
          <w:rFonts w:ascii="Times New Roman" w:hAnsi="Times New Roman"/>
          <w:color w:val="000000" w:themeColor="text1"/>
          <w:sz w:val="16"/>
          <w:szCs w:val="16"/>
        </w:rPr>
        <w:softHyphen/>
        <w:t>раничениях теперь могут получить доступ к различным цехам завода с целью изучения производственных процессов. Думается, что эта проблема теперь решена в удовлетворительном виде для советского посла».</w:t>
      </w:r>
    </w:p>
    <w:p w14:paraId="134484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15.08.1940 года состоялась пятая встреча КА Уманского и С. Уэллеса, при</w:t>
      </w:r>
      <w:r w:rsidRPr="00DB5D0D">
        <w:rPr>
          <w:rFonts w:ascii="Times New Roman" w:hAnsi="Times New Roman"/>
          <w:color w:val="000000" w:themeColor="text1"/>
          <w:sz w:val="16"/>
          <w:szCs w:val="16"/>
        </w:rPr>
        <w:softHyphen/>
        <w:t>чем в торговой части переговоров с советской стороны принял участие пре</w:t>
      </w:r>
      <w:r w:rsidRPr="00DB5D0D">
        <w:rPr>
          <w:rFonts w:ascii="Times New Roman" w:hAnsi="Times New Roman"/>
          <w:color w:val="000000" w:themeColor="text1"/>
          <w:sz w:val="16"/>
          <w:szCs w:val="16"/>
        </w:rPr>
        <w:softHyphen/>
        <w:t>зидент Амторга Лукашев. С американской же стороны никаких изменений в составе участников по сравнению с предыдущей встречей не было.</w:t>
      </w:r>
    </w:p>
    <w:p w14:paraId="46A41D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Уэллес вручил КА. Уманскому списки запрещенного и разрешенного к вывозу оборудования. Из советских заявок на сумму около 15,5 млн долла</w:t>
      </w:r>
      <w:r w:rsidRPr="00DB5D0D">
        <w:rPr>
          <w:rFonts w:ascii="Times New Roman" w:hAnsi="Times New Roman"/>
          <w:color w:val="000000" w:themeColor="text1"/>
          <w:sz w:val="16"/>
          <w:szCs w:val="16"/>
        </w:rPr>
        <w:softHyphen/>
        <w:t>ров было разрешено к лицензированию товаров на сумму 7058000 долла</w:t>
      </w:r>
      <w:r w:rsidRPr="00DB5D0D">
        <w:rPr>
          <w:rFonts w:ascii="Times New Roman" w:hAnsi="Times New Roman"/>
          <w:color w:val="000000" w:themeColor="text1"/>
          <w:sz w:val="16"/>
          <w:szCs w:val="16"/>
        </w:rPr>
        <w:softHyphen/>
        <w:t>ров, то есть менее половины первоначальной суммы; на остальные заявки был либо наложен запрет (на сумму 3779000 долларов), либо они не были рассмотрены. «Последовал довольно острый обмен мнениями, не внесший ничего нового, в результате которого Уэллес констатировал, что стороны зашли в тупик», - сообщали Уманский и Лукашев в телеграмме в НКИД от 16.08.1940 года. «Не сговорились мы также по вопросу о форме снятия мо</w:t>
      </w:r>
      <w:r w:rsidRPr="00DB5D0D">
        <w:rPr>
          <w:rFonts w:ascii="Times New Roman" w:hAnsi="Times New Roman"/>
          <w:color w:val="000000" w:themeColor="text1"/>
          <w:sz w:val="16"/>
          <w:szCs w:val="16"/>
        </w:rPr>
        <w:softHyphen/>
        <w:t>рального эмбарго», - констатировали они.</w:t>
      </w:r>
    </w:p>
    <w:p w14:paraId="210E5F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Подобная информация говорит об остром кризисе в советско-амери</w:t>
      </w:r>
      <w:r w:rsidRPr="00DB5D0D">
        <w:rPr>
          <w:rFonts w:ascii="Times New Roman" w:hAnsi="Times New Roman"/>
          <w:color w:val="000000" w:themeColor="text1"/>
          <w:sz w:val="16"/>
          <w:szCs w:val="16"/>
        </w:rPr>
        <w:softHyphen/>
        <w:t>канских торгово-экономических контактах, касающихся прежде всего во</w:t>
      </w:r>
      <w:r w:rsidRPr="00DB5D0D">
        <w:rPr>
          <w:rFonts w:ascii="Times New Roman" w:hAnsi="Times New Roman"/>
          <w:color w:val="000000" w:themeColor="text1"/>
          <w:sz w:val="16"/>
          <w:szCs w:val="16"/>
        </w:rPr>
        <w:softHyphen/>
        <w:t>енной области и, в частности, области авиации. В течение почти двух меся</w:t>
      </w:r>
      <w:r w:rsidRPr="00DB5D0D">
        <w:rPr>
          <w:rFonts w:ascii="Times New Roman" w:hAnsi="Times New Roman"/>
          <w:color w:val="000000" w:themeColor="text1"/>
          <w:sz w:val="16"/>
          <w:szCs w:val="16"/>
        </w:rPr>
        <w:softHyphen/>
        <w:t>цев эти встречи не проводились. Переговоры прервались из-за значитель</w:t>
      </w:r>
      <w:r w:rsidRPr="00DB5D0D">
        <w:rPr>
          <w:rFonts w:ascii="Times New Roman" w:hAnsi="Times New Roman"/>
          <w:color w:val="000000" w:themeColor="text1"/>
          <w:sz w:val="16"/>
          <w:szCs w:val="16"/>
        </w:rPr>
        <w:softHyphen/>
        <w:t>ного расхождения в позициях сторон. Фактически экономические отноше</w:t>
      </w:r>
      <w:r w:rsidRPr="00DB5D0D">
        <w:rPr>
          <w:rFonts w:ascii="Times New Roman" w:hAnsi="Times New Roman"/>
          <w:color w:val="000000" w:themeColor="text1"/>
          <w:sz w:val="16"/>
          <w:szCs w:val="16"/>
        </w:rPr>
        <w:softHyphen/>
        <w:t>ния оставались в это время замороженными. Только в октябре переговоры были возобновлены.</w:t>
      </w:r>
    </w:p>
    <w:p w14:paraId="3F640B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21 / 64 - ОП от 5 октября 1940 года «Вопрос НКВТ» утверждался проект ответной телеграммы К Уманскому (в Вашингтон) и К Лукашеву (в Нью-Йорк) в связи с их переговорами с С. Уэл</w:t>
      </w:r>
      <w:r w:rsidRPr="00DB5D0D">
        <w:rPr>
          <w:rFonts w:ascii="Times New Roman" w:hAnsi="Times New Roman"/>
          <w:color w:val="000000" w:themeColor="text1"/>
          <w:sz w:val="16"/>
          <w:szCs w:val="16"/>
        </w:rPr>
        <w:softHyphen/>
        <w:t>лесом по торговым вопросам. В этом тексте говорилось, что по вопросу о лицензиях на станки Госдепартаменту необходимо было передать сооб</w:t>
      </w:r>
      <w:r w:rsidRPr="00DB5D0D">
        <w:rPr>
          <w:rFonts w:ascii="Times New Roman" w:hAnsi="Times New Roman"/>
          <w:color w:val="000000" w:themeColor="text1"/>
          <w:sz w:val="16"/>
          <w:szCs w:val="16"/>
        </w:rPr>
        <w:softHyphen/>
        <w:t>щение из шести пунктов. В пункте первом сообщалось о том, что советс</w:t>
      </w:r>
      <w:r w:rsidRPr="00DB5D0D">
        <w:rPr>
          <w:rFonts w:ascii="Times New Roman" w:hAnsi="Times New Roman"/>
          <w:color w:val="000000" w:themeColor="text1"/>
          <w:sz w:val="16"/>
          <w:szCs w:val="16"/>
        </w:rPr>
        <w:softHyphen/>
        <w:t>кое правительство считает, что Указ от 6 июля 1940 года не должен иметь применения к советским заказам, которые были выданы фирмам до его опубликования. Подчеркивалось, что применение Указа есть частичное аннулирование торгового соглашения США и СССР. В пунктах 2-5 указыва</w:t>
      </w:r>
      <w:r w:rsidRPr="00DB5D0D">
        <w:rPr>
          <w:rFonts w:ascii="Times New Roman" w:hAnsi="Times New Roman"/>
          <w:color w:val="000000" w:themeColor="text1"/>
          <w:sz w:val="16"/>
          <w:szCs w:val="16"/>
        </w:rPr>
        <w:softHyphen/>
        <w:t>лось, что советская сторона частично согласна отказаться от вывоза части станков, на которые нет лицензий. Также ставился вопрос о компенсации. Пункт шестой проекта гласил: «Все лицензии на вывоз, выдаваемые Пра</w:t>
      </w:r>
      <w:r w:rsidRPr="00DB5D0D">
        <w:rPr>
          <w:rFonts w:ascii="Times New Roman" w:hAnsi="Times New Roman"/>
          <w:color w:val="000000" w:themeColor="text1"/>
          <w:sz w:val="16"/>
          <w:szCs w:val="16"/>
        </w:rPr>
        <w:softHyphen/>
        <w:t>вительством США по размещенным советским заказам на станки и другие предметы и по заказам, которые будут размещены, не могут быть аннулиро</w:t>
      </w:r>
      <w:r w:rsidRPr="00DB5D0D">
        <w:rPr>
          <w:rFonts w:ascii="Times New Roman" w:hAnsi="Times New Roman"/>
          <w:color w:val="000000" w:themeColor="text1"/>
          <w:sz w:val="16"/>
          <w:szCs w:val="16"/>
        </w:rPr>
        <w:softHyphen/>
        <w:t>ваны». В тексте подчеркивалось: «Обращаем Ваше внимание на то, что, как видно из содержания пунктов первого и шестого, они относятся не только к станкам, но и к другому оборудованию». Проект ответной телеграммы был подписан В.М. Молотовым и А.И. Микояном.</w:t>
      </w:r>
    </w:p>
    <w:p w14:paraId="7C1021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7.10.1940 года К А Уманским была отправлена телеграмма В.М. Молотову с сообщением о его шестой встрече с С. Уэллесом, имевшей место в тот же день. «В устной форме я точно передал ему порученное вами заявление», -сообщал КА Уманский. В данном заявлении в первую очередь вопрос шел о задержанных станках. «Уэллес заявил, что он рассчитывает, что сможет скоро передать мне решение Американского правительства по предложе</w:t>
      </w:r>
      <w:r w:rsidRPr="00DB5D0D">
        <w:rPr>
          <w:rFonts w:ascii="Times New Roman" w:hAnsi="Times New Roman"/>
          <w:color w:val="000000" w:themeColor="text1"/>
          <w:sz w:val="16"/>
          <w:szCs w:val="16"/>
        </w:rPr>
        <w:softHyphen/>
        <w:t>ниям советского правительства о станках. Вопроса «морального» эмбарго и других нерешенных вопросов, фигурировавших в переговорах, ни Уэллес, ни я сегодня не касались», - подводил Уманский итоги своей встречи. При</w:t>
      </w:r>
      <w:r w:rsidRPr="00DB5D0D">
        <w:rPr>
          <w:rFonts w:ascii="Times New Roman" w:hAnsi="Times New Roman"/>
          <w:color w:val="000000" w:themeColor="text1"/>
          <w:sz w:val="16"/>
          <w:szCs w:val="16"/>
        </w:rPr>
        <w:softHyphen/>
        <w:t>мечательно, что на документе рукою В.М. Молотова была сделана пометка, свидетельствующая о том внимании, которое уделялось советским прави</w:t>
      </w:r>
      <w:r w:rsidRPr="00DB5D0D">
        <w:rPr>
          <w:rFonts w:ascii="Times New Roman" w:hAnsi="Times New Roman"/>
          <w:color w:val="000000" w:themeColor="text1"/>
          <w:sz w:val="16"/>
          <w:szCs w:val="16"/>
        </w:rPr>
        <w:softHyphen/>
        <w:t>тельством ходу переговоров с американской стороной: «Тов. Шлякову. Где задержалась телеграмма с 7 по 9 октября? В. Молотов».</w:t>
      </w:r>
    </w:p>
    <w:p w14:paraId="11DBDB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Материалы седьмой и восьмой встречи в отечественном сборнике от</w:t>
      </w:r>
      <w:r w:rsidRPr="00DB5D0D">
        <w:rPr>
          <w:rFonts w:ascii="Times New Roman" w:hAnsi="Times New Roman"/>
          <w:color w:val="000000" w:themeColor="text1"/>
          <w:sz w:val="16"/>
          <w:szCs w:val="16"/>
        </w:rPr>
        <w:softHyphen/>
        <w:t>сутствуют. В американских документах нет материалов восьмой встречи, но наличествуют материалы встречи советского полпреда с американски</w:t>
      </w:r>
      <w:r w:rsidRPr="00DB5D0D">
        <w:rPr>
          <w:rFonts w:ascii="Times New Roman" w:hAnsi="Times New Roman"/>
          <w:color w:val="000000" w:themeColor="text1"/>
          <w:sz w:val="16"/>
          <w:szCs w:val="16"/>
        </w:rPr>
        <w:softHyphen/>
        <w:t>ми представителями, состоявшейся 15 октября 1939 года. Встреча прошла без участия Уэллеса. С американской стороны присутствовали Аттертон и Эдвард Пейдж из Отдела европейских связей</w:t>
      </w:r>
      <w:r w:rsidRPr="00DB5D0D">
        <w:rPr>
          <w:rFonts w:ascii="Times New Roman" w:hAnsi="Times New Roman"/>
          <w:color w:val="000000" w:themeColor="text1"/>
          <w:sz w:val="16"/>
          <w:szCs w:val="16"/>
          <w:vertAlign w:val="superscript"/>
        </w:rPr>
        <w:t>108</w:t>
      </w:r>
      <w:r w:rsidRPr="00DB5D0D">
        <w:rPr>
          <w:rFonts w:ascii="Times New Roman" w:hAnsi="Times New Roman"/>
          <w:color w:val="000000" w:themeColor="text1"/>
          <w:sz w:val="16"/>
          <w:szCs w:val="16"/>
        </w:rPr>
        <w:t>. На этой встрече затраги</w:t>
      </w:r>
      <w:r w:rsidRPr="00DB5D0D">
        <w:rPr>
          <w:rFonts w:ascii="Times New Roman" w:hAnsi="Times New Roman"/>
          <w:color w:val="000000" w:themeColor="text1"/>
          <w:sz w:val="16"/>
          <w:szCs w:val="16"/>
        </w:rPr>
        <w:softHyphen/>
        <w:t>вались разные вопросы. Уманский, в частности, потребовал расследовать дело о заявке на экспорт катализатора для крекинга на сумму 74 тысячи долларов. С этим делом американская сторона обещала разобраться.</w:t>
      </w:r>
    </w:p>
    <w:p w14:paraId="3A91CE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Девятая встреча КА Уманского с С. Уэллесом и рядом американских представителей (Аттертоном, полковником Максуэллом, Пейджем) состо</w:t>
      </w:r>
      <w:r w:rsidRPr="00DB5D0D">
        <w:rPr>
          <w:rFonts w:ascii="Times New Roman" w:hAnsi="Times New Roman"/>
          <w:color w:val="000000" w:themeColor="text1"/>
          <w:sz w:val="16"/>
          <w:szCs w:val="16"/>
        </w:rPr>
        <w:softHyphen/>
        <w:t>ялась 24.10.1940 года. С советской стороны присутствовали также Лукашев (на первой части беседы) и Сельдяков.</w:t>
      </w:r>
    </w:p>
    <w:p w14:paraId="06BBFE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советским источникам, С. Уэллес вручил КА Уманскому список, из которого следовало: из числа станков и оборудования на сумму 2001000 долларов, изготовленных по заказу СССР, но реквизированных американской стороной, освобождалось заказов на сумму 489000 долларов. «Иными слова</w:t>
      </w:r>
      <w:r w:rsidRPr="00DB5D0D">
        <w:rPr>
          <w:rFonts w:ascii="Times New Roman" w:hAnsi="Times New Roman"/>
          <w:color w:val="000000" w:themeColor="text1"/>
          <w:sz w:val="16"/>
          <w:szCs w:val="16"/>
        </w:rPr>
        <w:softHyphen/>
        <w:t>ми, - констатировал КА Уманский в телеграмме В.М. Молотову и АИ. Мико</w:t>
      </w:r>
      <w:r w:rsidRPr="00DB5D0D">
        <w:rPr>
          <w:rFonts w:ascii="Times New Roman" w:hAnsi="Times New Roman"/>
          <w:color w:val="000000" w:themeColor="text1"/>
          <w:sz w:val="16"/>
          <w:szCs w:val="16"/>
        </w:rPr>
        <w:softHyphen/>
        <w:t>яну от 24.10.1940 года, - Американское правительство освободило в ценнос</w:t>
      </w:r>
      <w:r w:rsidRPr="00DB5D0D">
        <w:rPr>
          <w:rFonts w:ascii="Times New Roman" w:hAnsi="Times New Roman"/>
          <w:color w:val="000000" w:themeColor="text1"/>
          <w:sz w:val="16"/>
          <w:szCs w:val="16"/>
        </w:rPr>
        <w:softHyphen/>
        <w:t>тном выражении на этот раз одну четверть изготовленного оборудования, реквизировав основное». Касаясь запрещенного к вывозу оборудования, он отмечал: «В число реквизированных станков вошли в основном тяжелые и резьбо-фрезерные станки. По машиноимпорту... реквизированы правильные валки и один гидропресс «Фаррель-Бирмингхэм». В лицензиях на авиачасти отказано». КА Уманский подчеркнул: «Я и Лукашев выразили наше глубокое неудовлетворение этим списком. ..Я заявил, что доложу Советскому прави</w:t>
      </w:r>
      <w:r w:rsidRPr="00DB5D0D">
        <w:rPr>
          <w:rFonts w:ascii="Times New Roman" w:hAnsi="Times New Roman"/>
          <w:color w:val="000000" w:themeColor="text1"/>
          <w:sz w:val="16"/>
          <w:szCs w:val="16"/>
        </w:rPr>
        <w:softHyphen/>
        <w:t>тельству о неудовлетворительном решении Американского правительства по вопросу об изготовленном оборудовании, указав, что решение противоречит и его, Уэллеса, заверениям при прошлой встрече (речь идет о восьмой встрече, состоявшейся между 7.10 и 24.10.1940 года, информации о которой в сборни</w:t>
      </w:r>
      <w:r w:rsidRPr="00DB5D0D">
        <w:rPr>
          <w:rFonts w:ascii="Times New Roman" w:hAnsi="Times New Roman"/>
          <w:color w:val="000000" w:themeColor="text1"/>
          <w:sz w:val="16"/>
          <w:szCs w:val="16"/>
        </w:rPr>
        <w:softHyphen/>
        <w:t>ке не приводится. - Прим. авт), и его сегодняшнему заявлению о стремлении Американского правительства «максимально» учитывать интересы Советско</w:t>
      </w:r>
      <w:r w:rsidRPr="00DB5D0D">
        <w:rPr>
          <w:rFonts w:ascii="Times New Roman" w:hAnsi="Times New Roman"/>
          <w:color w:val="000000" w:themeColor="text1"/>
          <w:sz w:val="16"/>
          <w:szCs w:val="16"/>
        </w:rPr>
        <w:softHyphen/>
        <w:t>го правительства». Во время дальнейшей полемики с С. Уэллесом КА Уманский настаивал на этой точке зрения - «как пример того состояния неопределен</w:t>
      </w:r>
      <w:r w:rsidRPr="00DB5D0D">
        <w:rPr>
          <w:rFonts w:ascii="Times New Roman" w:hAnsi="Times New Roman"/>
          <w:color w:val="000000" w:themeColor="text1"/>
          <w:sz w:val="16"/>
          <w:szCs w:val="16"/>
        </w:rPr>
        <w:softHyphen/>
        <w:t>ности, которое мешает развитию торговли, привел вопрос о каталитическом крекинговом оборудовании, по которому не могу получить ясного ответа, хотя возвращаюсь к нему третий раз» (Уманский, в частности, поднимал вопрос об этом оборудовании еще во время второй встречи, происходившей 1.08.1940 года, то есть почти три месяца назад.).</w:t>
      </w:r>
    </w:p>
    <w:p w14:paraId="752B4B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крекинговом оборудовании был поднят сразу же во второй час</w:t>
      </w:r>
      <w:r w:rsidRPr="00DB5D0D">
        <w:rPr>
          <w:rFonts w:ascii="Times New Roman" w:hAnsi="Times New Roman"/>
          <w:color w:val="000000" w:themeColor="text1"/>
          <w:sz w:val="16"/>
          <w:szCs w:val="16"/>
        </w:rPr>
        <w:softHyphen/>
        <w:t>ти беседы, проходившей уже без участия Лукашева и полковника Максуэлла с американской стороны. По этому поводу С Уэллес заявил, что «американское правительство в принципе не возражает против изготовления этого оборудо</w:t>
      </w:r>
      <w:r w:rsidRPr="00DB5D0D">
        <w:rPr>
          <w:rFonts w:ascii="Times New Roman" w:hAnsi="Times New Roman"/>
          <w:color w:val="000000" w:themeColor="text1"/>
          <w:sz w:val="16"/>
          <w:szCs w:val="16"/>
        </w:rPr>
        <w:softHyphen/>
        <w:t>вания фирмой Келлога для СССР», но первой важной предпосылкой для офор</w:t>
      </w:r>
      <w:r w:rsidRPr="00DB5D0D">
        <w:rPr>
          <w:rFonts w:ascii="Times New Roman" w:hAnsi="Times New Roman"/>
          <w:color w:val="000000" w:themeColor="text1"/>
          <w:sz w:val="16"/>
          <w:szCs w:val="16"/>
        </w:rPr>
        <w:softHyphen/>
        <w:t xml:space="preserve">мления этого разрешения должно стать «снятие морального эмбарго, которое распространяется на оборудование </w:t>
      </w:r>
      <w:r w:rsidRPr="00DB5D0D">
        <w:rPr>
          <w:rFonts w:ascii="Times New Roman" w:hAnsi="Times New Roman"/>
          <w:color w:val="000000" w:themeColor="text1"/>
          <w:sz w:val="16"/>
          <w:szCs w:val="16"/>
        </w:rPr>
        <w:lastRenderedPageBreak/>
        <w:t>по производству высокооктанового бен</w:t>
      </w:r>
      <w:r w:rsidRPr="00DB5D0D">
        <w:rPr>
          <w:rFonts w:ascii="Times New Roman" w:hAnsi="Times New Roman"/>
          <w:color w:val="000000" w:themeColor="text1"/>
          <w:sz w:val="16"/>
          <w:szCs w:val="16"/>
        </w:rPr>
        <w:softHyphen/>
        <w:t>зина»; после того как в переговорах будет достигнуто соглашение по вопро</w:t>
      </w:r>
      <w:r w:rsidRPr="00DB5D0D">
        <w:rPr>
          <w:rFonts w:ascii="Times New Roman" w:hAnsi="Times New Roman"/>
          <w:color w:val="000000" w:themeColor="text1"/>
          <w:sz w:val="16"/>
          <w:szCs w:val="16"/>
        </w:rPr>
        <w:softHyphen/>
        <w:t>сам, фигурировавшим в этих переговорах, и, как отметил С. Уэллес, «в случае, если тем временем в международной обстановке не произойдет ничего не</w:t>
      </w:r>
      <w:r w:rsidRPr="00DB5D0D">
        <w:rPr>
          <w:rFonts w:ascii="Times New Roman" w:hAnsi="Times New Roman"/>
          <w:color w:val="000000" w:themeColor="text1"/>
          <w:sz w:val="16"/>
          <w:szCs w:val="16"/>
        </w:rPr>
        <w:softHyphen/>
        <w:t>предвиденного», американское правительство «готово завершить переговоры публичным заявлением о том, что причины, вызвавшие введение морального эмбарго, в отношении СССР отпали». Уманский отметил ряд неопределенных формулировок в заявлении Уэллеса, включая «оговорку о «непредвиденных» событиях». В заключение встречи С. Уэллес «предложил встретиться с ним 28 октября для разработки проектов нотами по остальным вопросам».</w:t>
      </w:r>
    </w:p>
    <w:p w14:paraId="18FE3F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Подробных американских материалов об этой встрече нет. Имеющийся советский документ о ней дает важную информацию о состоянии советско-американских торгово-экономических контактов, в первую очередь в военной области (о чем, в частности, свидетельствует присутствие на переговорах пред</w:t>
      </w:r>
      <w:r w:rsidRPr="00DB5D0D">
        <w:rPr>
          <w:rFonts w:ascii="Times New Roman" w:hAnsi="Times New Roman"/>
          <w:color w:val="000000" w:themeColor="text1"/>
          <w:sz w:val="16"/>
          <w:szCs w:val="16"/>
        </w:rPr>
        <w:softHyphen/>
        <w:t>ставителя американских вооруженных сил), по состоянию на конец октября 1940 года. С одной стороны, налицо отрицательное действие американских санкций, включая и моральное эмбарго, на поставки в СССР целой гаммы обору</w:t>
      </w:r>
      <w:r w:rsidRPr="00DB5D0D">
        <w:rPr>
          <w:rFonts w:ascii="Times New Roman" w:hAnsi="Times New Roman"/>
          <w:color w:val="000000" w:themeColor="text1"/>
          <w:sz w:val="16"/>
          <w:szCs w:val="16"/>
        </w:rPr>
        <w:softHyphen/>
        <w:t>дования, готовых частей и технологии, необходимых для производства и функ</w:t>
      </w:r>
      <w:r w:rsidRPr="00DB5D0D">
        <w:rPr>
          <w:rFonts w:ascii="Times New Roman" w:hAnsi="Times New Roman"/>
          <w:color w:val="000000" w:themeColor="text1"/>
          <w:sz w:val="16"/>
          <w:szCs w:val="16"/>
        </w:rPr>
        <w:softHyphen/>
        <w:t>ционирования авиации (станки, авиачасти, крекинговое оборудование для про</w:t>
      </w:r>
      <w:r w:rsidRPr="00DB5D0D">
        <w:rPr>
          <w:rFonts w:ascii="Times New Roman" w:hAnsi="Times New Roman"/>
          <w:color w:val="000000" w:themeColor="text1"/>
          <w:sz w:val="16"/>
          <w:szCs w:val="16"/>
        </w:rPr>
        <w:softHyphen/>
        <w:t>изводства высокооктанового авиабензина). С другой стороны, американскими представителями отмечается не только вероятность поставок в СССР, в частнос</w:t>
      </w:r>
      <w:r w:rsidRPr="00DB5D0D">
        <w:rPr>
          <w:rFonts w:ascii="Times New Roman" w:hAnsi="Times New Roman"/>
          <w:color w:val="000000" w:themeColor="text1"/>
          <w:sz w:val="16"/>
          <w:szCs w:val="16"/>
        </w:rPr>
        <w:softHyphen/>
        <w:t>ти, крекингового оборудования, но и возможность в этом случае (пусть даже и со множеством оговорок) отмены как такового морального эмбарго, блокиру</w:t>
      </w:r>
      <w:r w:rsidRPr="00DB5D0D">
        <w:rPr>
          <w:rFonts w:ascii="Times New Roman" w:hAnsi="Times New Roman"/>
          <w:color w:val="000000" w:themeColor="text1"/>
          <w:sz w:val="16"/>
          <w:szCs w:val="16"/>
        </w:rPr>
        <w:softHyphen/>
        <w:t>ющего эту и множество других заявок Приходится также констатировать, что моральное эмбарго, действующее на момент этой встречи почти 11 месяцев и не отмененное до сих пор, уже сумело нанести существенный ущерб оборонос</w:t>
      </w:r>
      <w:r w:rsidRPr="00DB5D0D">
        <w:rPr>
          <w:rFonts w:ascii="Times New Roman" w:hAnsi="Times New Roman"/>
          <w:color w:val="000000" w:themeColor="text1"/>
          <w:sz w:val="16"/>
          <w:szCs w:val="16"/>
        </w:rPr>
        <w:softHyphen/>
        <w:t>пособности СССР вообще и в области военной авиации в частности.</w:t>
      </w:r>
    </w:p>
    <w:p w14:paraId="6CE39F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Десятая встреча Уманского с Уэллесом, на которой больше никто не присутствовал ни с советской, ни с американской стороны, состоялась 1.11.1940 года. Уэллес констатировал достижение по ряду вопросов в резуль</w:t>
      </w:r>
      <w:r w:rsidRPr="00DB5D0D">
        <w:rPr>
          <w:rFonts w:ascii="Times New Roman" w:hAnsi="Times New Roman"/>
          <w:color w:val="000000" w:themeColor="text1"/>
          <w:sz w:val="16"/>
          <w:szCs w:val="16"/>
        </w:rPr>
        <w:softHyphen/>
        <w:t>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DB5D0D">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DB5D0D">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DB5D0D">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736BCD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же, по сравнению с предшествующей встречей, десятая не вне</w:t>
      </w:r>
      <w:r w:rsidRPr="00DB5D0D">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09A4FD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DB5D0D">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DB5D0D">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19A4AC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DB5D0D">
        <w:rPr>
          <w:rFonts w:ascii="Times New Roman" w:hAnsi="Times New Roman"/>
          <w:color w:val="000000" w:themeColor="text1"/>
          <w:sz w:val="16"/>
          <w:szCs w:val="16"/>
        </w:rPr>
        <w:softHyphen/>
        <w:t>ках и машинах. Уманский выразил недовольство результатами работы ко</w:t>
      </w:r>
      <w:r w:rsidRPr="00DB5D0D">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DB5D0D">
        <w:rPr>
          <w:rFonts w:ascii="Times New Roman" w:hAnsi="Times New Roman"/>
          <w:color w:val="000000" w:themeColor="text1"/>
          <w:sz w:val="16"/>
          <w:szCs w:val="16"/>
        </w:rPr>
        <w:softHyphen/>
        <w:t>кого правительства, переданных мною Уэллесу 7 октября. Уэллес отве</w:t>
      </w:r>
      <w:r w:rsidRPr="00DB5D0D">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DB5D0D">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DB5D0D">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DB5D0D">
        <w:rPr>
          <w:rFonts w:ascii="Times New Roman" w:hAnsi="Times New Roman"/>
          <w:color w:val="000000" w:themeColor="text1"/>
          <w:sz w:val="16"/>
          <w:szCs w:val="16"/>
        </w:rPr>
        <w:softHyphen/>
        <w:t>на на заводе Райта; несмотря на обещание его, Уэллеса, о допуске к озна</w:t>
      </w:r>
      <w:r w:rsidRPr="00DB5D0D">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DB5D0D">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DB5D0D">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DB5D0D">
        <w:rPr>
          <w:rFonts w:ascii="Times New Roman" w:hAnsi="Times New Roman"/>
          <w:color w:val="000000" w:themeColor="text1"/>
          <w:sz w:val="16"/>
          <w:szCs w:val="16"/>
        </w:rPr>
        <w:softHyphen/>
        <w:t>ведки при заводе, в которой последний, игнорируя договор о техничес</w:t>
      </w:r>
      <w:r w:rsidRPr="00DB5D0D">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DB5D0D">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DB5D0D">
        <w:rPr>
          <w:rFonts w:ascii="Times New Roman" w:hAnsi="Times New Roman"/>
          <w:color w:val="000000" w:themeColor="text1"/>
          <w:sz w:val="16"/>
          <w:szCs w:val="16"/>
          <w:vertAlign w:val="superscript"/>
        </w:rPr>
        <w:t>115</w:t>
      </w:r>
      <w:r w:rsidRPr="00DB5D0D">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5D8D49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декабря состоялась 12-я встреча с Уэллесом, длившаяся 2 часа», - со</w:t>
      </w:r>
      <w:r w:rsidRPr="00DB5D0D">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DB5D0D">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DB5D0D">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DB5D0D">
        <w:rPr>
          <w:rFonts w:ascii="Times New Roman" w:hAnsi="Times New Roman"/>
          <w:color w:val="000000" w:themeColor="text1"/>
          <w:sz w:val="16"/>
          <w:szCs w:val="16"/>
        </w:rPr>
        <w:softHyphen/>
        <w:t>ны США. В пересмотре списка участвовали представители промышленнос</w:t>
      </w:r>
      <w:r w:rsidRPr="00DB5D0D">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DB5D0D">
        <w:rPr>
          <w:rFonts w:ascii="Times New Roman" w:hAnsi="Times New Roman"/>
          <w:color w:val="000000" w:themeColor="text1"/>
          <w:sz w:val="16"/>
          <w:szCs w:val="16"/>
        </w:rPr>
        <w:softHyphen/>
        <w:t>ти, авиационной, морской и артиллерийской, в этом оборудовании, аме</w:t>
      </w:r>
      <w:r w:rsidRPr="00DB5D0D">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DB5D0D">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DB5D0D">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DB5D0D">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DB5D0D">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DB5D0D">
        <w:rPr>
          <w:rFonts w:ascii="Times New Roman" w:hAnsi="Times New Roman"/>
          <w:color w:val="000000" w:themeColor="text1"/>
          <w:sz w:val="16"/>
          <w:szCs w:val="16"/>
        </w:rPr>
        <w:softHyphen/>
        <w:t>тельство освобождает лишь около 60% принятого и в основном отгружен</w:t>
      </w:r>
      <w:r w:rsidRPr="00DB5D0D">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DB5D0D">
        <w:rPr>
          <w:rFonts w:ascii="Times New Roman" w:hAnsi="Times New Roman"/>
          <w:color w:val="000000" w:themeColor="text1"/>
          <w:sz w:val="16"/>
          <w:szCs w:val="16"/>
        </w:rPr>
        <w:softHyphen/>
        <w:t>ких заказов, находящихся в производстве, К.А. Уманский подчеркнул: «Кон</w:t>
      </w:r>
      <w:r w:rsidRPr="00DB5D0D">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DB5D0D">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DB5D0D">
        <w:rPr>
          <w:rFonts w:ascii="Times New Roman" w:hAnsi="Times New Roman"/>
          <w:color w:val="000000" w:themeColor="text1"/>
          <w:sz w:val="16"/>
          <w:szCs w:val="16"/>
        </w:rPr>
        <w:softHyphen/>
        <w:t>листы видят оборонный характер освобожденных станков и машин, вклю</w:t>
      </w:r>
      <w:r w:rsidRPr="00DB5D0D">
        <w:rPr>
          <w:rFonts w:ascii="Times New Roman" w:hAnsi="Times New Roman"/>
          <w:color w:val="000000" w:themeColor="text1"/>
          <w:sz w:val="16"/>
          <w:szCs w:val="16"/>
        </w:rPr>
        <w:softHyphen/>
        <w:t>чающих тяжелые станки, снарядные прессы, авиамоторы и т.д., безуслов</w:t>
      </w:r>
      <w:r w:rsidRPr="00DB5D0D">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DB5D0D">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DB5D0D">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10408A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DB5D0D">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DB5D0D">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DB5D0D">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DB5D0D">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DB5D0D">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DB5D0D">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DB5D0D">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DB5D0D">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DB5D0D">
        <w:rPr>
          <w:rFonts w:ascii="Times New Roman" w:hAnsi="Times New Roman"/>
          <w:color w:val="000000" w:themeColor="text1"/>
          <w:sz w:val="16"/>
          <w:szCs w:val="16"/>
        </w:rPr>
        <w:softHyphen/>
        <w:t>роительной и машиностроительной промышленности это исключают».</w:t>
      </w:r>
    </w:p>
    <w:p w14:paraId="16FAE2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Пятый вопрос встречи касался поездок в СССР американских специалис</w:t>
      </w:r>
      <w:r w:rsidRPr="00DB5D0D">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DB5D0D">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DB5D0D">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DB5D0D">
        <w:rPr>
          <w:rFonts w:ascii="Times New Roman" w:hAnsi="Times New Roman"/>
          <w:color w:val="000000" w:themeColor="text1"/>
          <w:sz w:val="16"/>
          <w:szCs w:val="16"/>
          <w:vertAlign w:val="superscript"/>
        </w:rPr>
        <w:t>118</w:t>
      </w:r>
      <w:r w:rsidRPr="00DB5D0D">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31D944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DB5D0D">
        <w:rPr>
          <w:rFonts w:ascii="Times New Roman" w:hAnsi="Times New Roman"/>
          <w:color w:val="000000" w:themeColor="text1"/>
          <w:sz w:val="16"/>
          <w:szCs w:val="16"/>
          <w:vertAlign w:val="superscript"/>
        </w:rPr>
        <w:t>119</w:t>
      </w:r>
      <w:r w:rsidRPr="00DB5D0D">
        <w:rPr>
          <w:rFonts w:ascii="Times New Roman" w:hAnsi="Times New Roman"/>
          <w:color w:val="000000" w:themeColor="text1"/>
          <w:sz w:val="16"/>
          <w:szCs w:val="16"/>
        </w:rPr>
        <w:t>.</w:t>
      </w:r>
    </w:p>
    <w:p w14:paraId="771672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Телеграмма Уманского от 17.12.1940 года, вероятно, является самым важ</w:t>
      </w:r>
      <w:r w:rsidRPr="00DB5D0D">
        <w:rPr>
          <w:rFonts w:ascii="Times New Roman" w:hAnsi="Times New Roman"/>
          <w:color w:val="000000" w:themeColor="text1"/>
          <w:sz w:val="16"/>
          <w:szCs w:val="16"/>
        </w:rPr>
        <w:softHyphen/>
        <w:t>ным документом, освещающим переговоры советского полпреда с замес</w:t>
      </w:r>
      <w:r w:rsidRPr="00DB5D0D">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DB5D0D">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DB5D0D">
        <w:rPr>
          <w:rFonts w:ascii="Times New Roman" w:hAnsi="Times New Roman"/>
          <w:color w:val="000000" w:themeColor="text1"/>
          <w:sz w:val="16"/>
          <w:szCs w:val="16"/>
        </w:rPr>
        <w:softHyphen/>
        <w:t>ных советско-американских переговоров, проводившихся в 1940 году в пе</w:t>
      </w:r>
      <w:r w:rsidRPr="00DB5D0D">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DB5D0D">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DB5D0D">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332C2A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Американская сторона отразила ход переговоров встречи в Меморанду</w:t>
      </w:r>
      <w:r w:rsidRPr="00DB5D0D">
        <w:rPr>
          <w:rFonts w:ascii="Times New Roman" w:hAnsi="Times New Roman"/>
          <w:color w:val="000000" w:themeColor="text1"/>
          <w:sz w:val="16"/>
          <w:szCs w:val="16"/>
        </w:rPr>
        <w:softHyphen/>
        <w:t>ме о переговорах, составленном Гендерсоном 16 декабря 1940 года. С аме</w:t>
      </w:r>
      <w:r w:rsidRPr="00DB5D0D">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DB5D0D">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DB5D0D">
        <w:rPr>
          <w:rFonts w:ascii="Times New Roman" w:hAnsi="Times New Roman"/>
          <w:color w:val="000000" w:themeColor="text1"/>
          <w:sz w:val="16"/>
          <w:szCs w:val="16"/>
        </w:rPr>
        <w:softHyphen/>
        <w:t>ки. Обсуждение проблемы морального эмбарго текстуально почти до</w:t>
      </w:r>
      <w:r w:rsidRPr="00DB5D0D">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DB5D0D">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407595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DB5D0D">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DB5D0D">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DB5D0D">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DB5D0D">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79FC51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DB5D0D">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5FC646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оборудованию, находящемуся в производстве, можно сказать следу</w:t>
      </w:r>
      <w:r w:rsidRPr="00DB5D0D">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DB5D0D">
        <w:rPr>
          <w:rFonts w:ascii="Times New Roman" w:hAnsi="Times New Roman"/>
          <w:color w:val="000000" w:themeColor="text1"/>
          <w:sz w:val="16"/>
          <w:szCs w:val="16"/>
        </w:rPr>
        <w:softHyphen/>
        <w:t>ветственно, 87,5 % не могло быть получено СССР.</w:t>
      </w:r>
    </w:p>
    <w:p w14:paraId="548736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62328F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поводу режима комиссии НКАПа на заводе Райта: по первую полови</w:t>
      </w:r>
      <w:r w:rsidRPr="00DB5D0D">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DB5D0D">
        <w:rPr>
          <w:rFonts w:ascii="Times New Roman" w:hAnsi="Times New Roman"/>
          <w:color w:val="000000" w:themeColor="text1"/>
          <w:sz w:val="16"/>
          <w:szCs w:val="16"/>
        </w:rPr>
        <w:softHyphen/>
        <w:t>ты комиссии американская сторона не сообщила.</w:t>
      </w:r>
    </w:p>
    <w:p w14:paraId="48BC0E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DB5D0D">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717942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DB5D0D">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DB5D0D">
        <w:rPr>
          <w:rFonts w:ascii="Times New Roman" w:hAnsi="Times New Roman"/>
          <w:color w:val="000000" w:themeColor="text1"/>
          <w:sz w:val="16"/>
          <w:szCs w:val="16"/>
        </w:rPr>
        <w:softHyphen/>
        <w:t>нии СССР как в экономической, так и в политической области, и послед</w:t>
      </w:r>
      <w:r w:rsidRPr="00DB5D0D">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DB5D0D">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53F219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9C682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августа 1940 г. в счет немецкого кредита немцы поставили в СССР оружия и военной техники на 44,9 млн. марок, в том числе: самолеты "Хейнкель Хе-100", "Мессершмитт-109", "Мессершмитт-110", "Юнкерс Ю-88", "Дорнье До-215", "Бюккер Бю-131", "Бю-133", "Фокке-Вульф", авиационное оборудование, в том числе прицелы, высотомеры, радиостанции, насосы, моторы, 2 комплекта тяжелых полевых гаубиц калибра 211-мм, батарею 105-мм зенитных пушек, средний танк "Т-III", 3 полугусеничных тягача, крейсер "Лютцов", различные виды стрелкового оружия и боеприпасы, приборы управления огнем и т.д (3573).</w:t>
      </w:r>
    </w:p>
    <w:p w14:paraId="1F88634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5576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 Молотов говорил на сессии Верховного Совета СССР: "Наши отношения с Германией, поворот в которых произошёл почти год тому назад, продолжают полностью сохраняться, как это обусловлено советско-германским соглашением. Это соглашение, которого строго придерживается наше Правительство, устранило возможность трений в советско-германских отношениях при проведении советских мероприятий вдоль нашей западной границы (так Молотов именовал действия по захвату чужих земель. - В. Р.) и, вместе с тем, обеспечило Германии спокойную уверенность на Востоке" (9492).</w:t>
      </w:r>
    </w:p>
    <w:p w14:paraId="3FA779A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F3D3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В.М.М. в своем выступлении подверг атакам позицию Англии и США, подтвердив советско-немецкий пакт (2259).</w:t>
      </w:r>
    </w:p>
    <w:p w14:paraId="230BF73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18371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505A6E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4E18F7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Гитлер подписал приказ № 17 о начале массированных авианалетов на Англию и о назначении вторжения в Британию на 15 сентября (4962).</w:t>
      </w:r>
    </w:p>
    <w:p w14:paraId="5C49990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E7F8D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А.Г. подписал директиву N 17 о ведении воздушной и морской войны против Англии (c 6 августа 1940) (2536,131).</w:t>
      </w:r>
    </w:p>
    <w:p w14:paraId="4E720A3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7FF8D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А.Гитлер приказал усилить воздушные атаки против Англии как шаг к вторжению (2240).</w:t>
      </w:r>
    </w:p>
    <w:p w14:paraId="71E111B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27297FD" w14:textId="77777777" w:rsidR="00A556B7" w:rsidRPr="00DB5D0D" w:rsidRDefault="00A556B7"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С 1 августа 1940 по 31 марта 1941 года немцы по причинам аварий и катастроф потеряли 575 самолетов. При этом 1368 человек погибли, 50 пропали без вести и 804 были ранены. Но германскому командованию и в голову не могло прийти ограничить обучение своих пилотов полетам по кругу и разворотам «блинчиком», ведь главное в авиации — уровень подготовки экипажей, иначе незачем бензин жечь (12623).</w:t>
      </w:r>
    </w:p>
    <w:p w14:paraId="613DA963" w14:textId="77777777" w:rsidR="00A556B7" w:rsidRPr="00DB5D0D" w:rsidRDefault="00A556B7" w:rsidP="00DB5D0D">
      <w:pPr>
        <w:spacing w:after="0" w:line="240" w:lineRule="auto"/>
        <w:jc w:val="both"/>
        <w:rPr>
          <w:rFonts w:ascii="Times New Roman" w:hAnsi="Times New Roman"/>
          <w:bCs/>
          <w:color w:val="000000" w:themeColor="text1"/>
          <w:sz w:val="16"/>
          <w:szCs w:val="16"/>
        </w:rPr>
      </w:pPr>
    </w:p>
    <w:p w14:paraId="15982B0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в Лиссабоне испанские фашисты предложили бывшему английскому королю герцогу Виндзору сотрудничество и в будущим английский трон, на что тот ответил отказом (4962).</w:t>
      </w:r>
    </w:p>
    <w:p w14:paraId="09B8AE1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CFBD225"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в 1940 году посол Франции в Токио Анри был вызван к новому министру иностранных дел Мацуоке, который предъявил ему требование создать на территории Индокитая военные базы и перевалочные пункты для снабжения японской армии. Посол сомневался, возможно ли выполнить это требование, фактически означавшее, что Франция вступает в войну против Китая. В ответ на это Мацуока произнес пылкую речь о стремлении Японии к миру в Китае, а в конце своего монолога предупредил Анри, что если Франция будет упрямиться, то Япония применит силу (14970).</w:t>
      </w:r>
    </w:p>
    <w:p w14:paraId="33B99FD9"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7336097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B161EE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AAD5E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Нач. штаба 1 отд. НИИ ВВС КА м Стадник направил Нач. ГУ ВВС, зам. наркома НКАП и ГК А.И.М. письмо N 0744 с заключением по эскизному проекту самолета ПБШ-1 АМ-38 на 20 л. (2062).</w:t>
      </w:r>
    </w:p>
    <w:p w14:paraId="0807F26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3EB8D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Нач. инспекции при НКАП Фокин писал справку А.И.Ш. N ПКО 285сс-40 по приказу 315с по автомату вывода самолета из пикирования по состоянию на 2 августа 1940. 1 августа испытывали на Ю-88 и провели 12 пикирований с удовлетворительными результатами. На СБ изготовление и монтаж закончены. Начали 31 июля 1940 (1293,262).</w:t>
      </w:r>
    </w:p>
    <w:p w14:paraId="6EA7C08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492C7B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2/13 августа 1940 года в НИИ ВВС был выдан наряд-приказ № 0156</w:t>
      </w:r>
    </w:p>
    <w:p w14:paraId="7E04F0A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серийного самолета И-16 с М-63 в стрелковом варианте по определению его максимальных скоростей, скороподъемности, маневренности и взлетно-посадочных свойств (6890, 30).</w:t>
      </w:r>
    </w:p>
    <w:p w14:paraId="1E9023F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AC055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в ходе заводских испытаний И-200 А.И.М, которые проходили с 31 марта по 17 августа 1940, на И-200-3 состоялся полет для проверки температурных режимов работы ВМГ. Неудачно (2988).</w:t>
      </w:r>
    </w:p>
    <w:p w14:paraId="5F9663D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81E1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в ходе заводских испытаний И-200 А.И.М, которые проходили с 31 марта по 17 августа 1940, на И-200-2 был выполнен полет на определение температурных режимов ВМГ (2988).</w:t>
      </w:r>
    </w:p>
    <w:p w14:paraId="3CBFC75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44E4C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и 7 ГУ Машкевич направил в бюро изобретений НКАП Гореву письмо N 3/1455 в сопровождение материала по предложению Солдатова по самолету типа Трубоплан, который получил отрицательный отзыв в протоколе Комиссии Юрьева N 7 от 13 июля 1940 (1448,41).</w:t>
      </w:r>
    </w:p>
    <w:p w14:paraId="6AD8232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C8A8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и 7 ГУ Машкевич направил на завод 156 и Рутеру письмо N 3/1467 в сопровождение материала по самолету с раздвижным крылом предложению, который получил отрицательный отзыв в протоколе Комиссии Юрьева N 7 от 13 июля 1940 (1448,43).</w:t>
      </w:r>
    </w:p>
    <w:p w14:paraId="2CE7505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102A6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и 7 ГУ Машкевич направил в Техгруппу НКАП письмо N 3/1468 в сопровождение протокола постоянной комиссии НКАП по рассмотрению экспериментального высотного самолета (1448,47).</w:t>
      </w:r>
    </w:p>
    <w:p w14:paraId="1DC3E41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12EB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и 7 ГУ Машкевич направил на завод 1 А.И.М. и Гуревичу письмо N 3/1474 в сопровождение протокола постоянной комиссии НКАП по рассмотрению эскизного проекта ИП-201 (1448,49).</w:t>
      </w:r>
    </w:p>
    <w:p w14:paraId="13F1B03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016A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вышел приказ НКАП N 389с "О выполнении постановления Правительства от 26.01.1940 о развитии опытного строительства и обеспечении внедрения новых машин в серийное производство по 2 ГУ. Первый по 4 ГУ был за N 330с выпущен 6 июня (1002,3).</w:t>
      </w:r>
    </w:p>
    <w:p w14:paraId="636FA3C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EA93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и 7 ГУ Машкевич направил в МАИ Братухину письмо N 3/1476 в сопровождение протокола комиссии НКАП по рассмотрению эскизного проекта 2-МГ, утвержденный А.С.Я. (1448,51).</w:t>
      </w:r>
    </w:p>
    <w:p w14:paraId="5E316A1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C088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года АИ. Шахурин в письме Н-32/1261 А.И. Микояну по поводу реализации импортных станков для НКАП сооб</w:t>
      </w:r>
      <w:r w:rsidRPr="00DB5D0D">
        <w:rPr>
          <w:rFonts w:ascii="Times New Roman" w:hAnsi="Times New Roman"/>
          <w:color w:val="000000" w:themeColor="text1"/>
          <w:sz w:val="16"/>
          <w:szCs w:val="16"/>
        </w:rPr>
        <w:softHyphen/>
        <w:t>щал по вопросу закупки металлорежущих станков, что на новые объекты, вступающие в строй в 1940 - 1941 годах, имеется возможность по данным «Станкоимпорта» заказать в Швеции и Германии 910 различных станков -«Боллиндер-Мюнктелль», «Батя» (МАЗ), «Лидкчепинг», «Гилле-Верке» (РГАЭ. Ф. 8044. Оп. 1. Д. 436. Л. 81.) (11710,259).</w:t>
      </w:r>
    </w:p>
    <w:p w14:paraId="7D4024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0BEA8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Зам. НКАП А.С.Я. писал письмо № 10/1471 Главному контролеру КО при СНК Союза ССР тов. Н О В И К О В У</w:t>
      </w:r>
    </w:p>
    <w:p w14:paraId="4D4C2A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сроков ввода в эксплоатацию новых лабораторий НКАП</w:t>
      </w:r>
    </w:p>
    <w:p w14:paraId="7E1012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Доношу, что пуск достраивающихся лабораторий прочно</w:t>
      </w:r>
      <w:r w:rsidRPr="00DB5D0D">
        <w:rPr>
          <w:rFonts w:ascii="Times New Roman" w:hAnsi="Times New Roman"/>
          <w:color w:val="000000" w:themeColor="text1"/>
          <w:sz w:val="16"/>
          <w:szCs w:val="16"/>
        </w:rPr>
        <w:softHyphen/>
        <w:t>сти ЦАГИ-Раменекое задерживается из-за невыполнения заво</w:t>
      </w:r>
      <w:r w:rsidRPr="00DB5D0D">
        <w:rPr>
          <w:rFonts w:ascii="Times New Roman" w:hAnsi="Times New Roman"/>
          <w:color w:val="000000" w:themeColor="text1"/>
          <w:sz w:val="16"/>
          <w:szCs w:val="16"/>
        </w:rPr>
        <w:softHyphen/>
        <w:t>дами поставщиками ряда крупных заказов.</w:t>
      </w:r>
    </w:p>
    <w:p w14:paraId="49AAB4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Несмотря на постановление Правительства за № 130 от 20.У.1935 года, ЦНИИТ МАШ только в мае 1940 года принял на себя изготовление 5-ти машин и одного копра, а от осталь</w:t>
      </w:r>
      <w:r w:rsidRPr="00DB5D0D">
        <w:rPr>
          <w:rFonts w:ascii="Times New Roman" w:hAnsi="Times New Roman"/>
          <w:color w:val="000000" w:themeColor="text1"/>
          <w:sz w:val="16"/>
          <w:szCs w:val="16"/>
        </w:rPr>
        <w:softHyphen/>
        <w:t>ных двух отказался. Копры исключительно важны для отработ</w:t>
      </w:r>
      <w:r w:rsidRPr="00DB5D0D">
        <w:rPr>
          <w:rFonts w:ascii="Times New Roman" w:hAnsi="Times New Roman"/>
          <w:color w:val="000000" w:themeColor="text1"/>
          <w:sz w:val="16"/>
          <w:szCs w:val="16"/>
        </w:rPr>
        <w:softHyphen/>
        <w:t>ки колес и шасси.</w:t>
      </w:r>
    </w:p>
    <w:p w14:paraId="34DF1B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 Харьковском заводе имени ЛЕНИНА задерживается изготовление 7-ми штук трехтонных кранов для лабораторий прочности ЦАГИ, из-за отсутствия фондов. По данному вопро</w:t>
      </w:r>
      <w:r w:rsidRPr="00DB5D0D">
        <w:rPr>
          <w:rFonts w:ascii="Times New Roman" w:hAnsi="Times New Roman"/>
          <w:color w:val="000000" w:themeColor="text1"/>
          <w:sz w:val="16"/>
          <w:szCs w:val="16"/>
        </w:rPr>
        <w:softHyphen/>
        <w:t>су НКАПом направлено тов. Вознесенскому сообщение от 25.У. 1940 года за № 1317с., но ответа не получено.</w:t>
      </w:r>
    </w:p>
    <w:p w14:paraId="6E2A7B9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Старо-Краматорским заводом оставлено изготовление 200-тонного пресса, готового в деталях на 90%; завод ссы</w:t>
      </w:r>
      <w:r w:rsidRPr="00DB5D0D">
        <w:rPr>
          <w:rFonts w:ascii="Times New Roman" w:hAnsi="Times New Roman"/>
          <w:color w:val="000000" w:themeColor="text1"/>
          <w:sz w:val="16"/>
          <w:szCs w:val="16"/>
        </w:rPr>
        <w:softHyphen/>
        <w:t>лается при этом на последнее постановление Правительства по Черной Металлургии. Окончание изготовления пресса заво</w:t>
      </w:r>
      <w:r w:rsidRPr="00DB5D0D">
        <w:rPr>
          <w:rFonts w:ascii="Times New Roman" w:hAnsi="Times New Roman"/>
          <w:color w:val="000000" w:themeColor="text1"/>
          <w:sz w:val="16"/>
          <w:szCs w:val="16"/>
        </w:rPr>
        <w:softHyphen/>
        <w:t>дом предполагается лишь в конце 1940 года,, но определенный срок ке называвтся (10683,2)).</w:t>
      </w:r>
    </w:p>
    <w:p w14:paraId="6ED3DC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0AE696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года в НИИ ВВС был выдан приказ НИИ ВВС № 0148</w:t>
      </w:r>
    </w:p>
    <w:p w14:paraId="4E0E0CD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проведении испытаний деформирующей окраски самолетов (6890, 11).</w:t>
      </w:r>
    </w:p>
    <w:p w14:paraId="0C0FD3C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63C1ED5"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г.</w:t>
      </w:r>
    </w:p>
    <w:p w14:paraId="5B77AB4B"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157. Докладная записка наркома обороны СССР С. К. Тимошенко секретарю ЦК ВКП(б) И. В. Сталину о необходимости увеличения плана по авиабомбам на 1940 г. и расширении производственной базы[</w:t>
      </w:r>
      <w:hyperlink r:id="rId242"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w:t>
      </w:r>
    </w:p>
    <w:p w14:paraId="18F334E4"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4540BDBC"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632-633.</w:t>
      </w:r>
    </w:p>
    <w:p w14:paraId="5FBBA3E5"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3C8B76C9"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4. Оп. 14. Д. 2638. Л. 93-94. Заверенная копия.</w:t>
      </w:r>
    </w:p>
    <w:p w14:paraId="4D58DAC1"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64CD00DE"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Потребность Военно-воздушных сил Красной армии в авиабомбах на первый год войны составляет 1 190 846 т. Фактическое наличие авиабомб на 1 июля 1940 г. составляет 155 973 т, или 13,1% (в среднем 1,5 месяца боевой работы авиации). Заказ 1940 г. был утвержден в 101 762 т. На 1 июля с. г. заказ выполнен в количестве 41 290 т.</w:t>
      </w:r>
    </w:p>
    <w:p w14:paraId="27A72DED"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налицо недостаточное обеспечение ВВС Красной армии авиабомбами и недостаточность базы по производству авиабомб — около 9% производства от годовой потребности по военному времени.</w:t>
      </w:r>
    </w:p>
    <w:p w14:paraId="53999871"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к концу года заказ 1940 г. будет выполнен полностью, то наличие авиабомб на 1 января 1941 г. составит 215 445 т, т. е. 18%, или двухмесячный запас. Однако в этом наличии на 1 января 1941 г. удельный вес бомб крупного калибра ФАБ</w:t>
      </w:r>
      <w:r w:rsidRPr="00DB5D0D">
        <w:rPr>
          <w:rFonts w:ascii="Times New Roman" w:hAnsi="Times New Roman"/>
          <w:color w:val="000000" w:themeColor="text1"/>
          <w:sz w:val="16"/>
          <w:szCs w:val="16"/>
        </w:rPr>
        <w:noBreakHyphen/>
        <w:t>2000, ФАБ</w:t>
      </w:r>
      <w:r w:rsidRPr="00DB5D0D">
        <w:rPr>
          <w:rFonts w:ascii="Times New Roman" w:hAnsi="Times New Roman"/>
          <w:color w:val="000000" w:themeColor="text1"/>
          <w:sz w:val="16"/>
          <w:szCs w:val="16"/>
        </w:rPr>
        <w:noBreakHyphen/>
        <w:t>1000, ФАБ</w:t>
      </w:r>
      <w:r w:rsidRPr="00DB5D0D">
        <w:rPr>
          <w:rFonts w:ascii="Times New Roman" w:hAnsi="Times New Roman"/>
          <w:color w:val="000000" w:themeColor="text1"/>
          <w:sz w:val="16"/>
          <w:szCs w:val="16"/>
        </w:rPr>
        <w:noBreakHyphen/>
        <w:t>500 и ФАБ</w:t>
      </w:r>
      <w:r w:rsidRPr="00DB5D0D">
        <w:rPr>
          <w:rFonts w:ascii="Times New Roman" w:hAnsi="Times New Roman"/>
          <w:color w:val="000000" w:themeColor="text1"/>
          <w:sz w:val="16"/>
          <w:szCs w:val="16"/>
        </w:rPr>
        <w:noBreakHyphen/>
        <w:t>250 составит всего 28 795 т, т. е. 13,4% от всего наличия. Удельный вес фугасной бомбы ФАБ</w:t>
      </w:r>
      <w:r w:rsidRPr="00DB5D0D">
        <w:rPr>
          <w:rFonts w:ascii="Times New Roman" w:hAnsi="Times New Roman"/>
          <w:color w:val="000000" w:themeColor="text1"/>
          <w:sz w:val="16"/>
          <w:szCs w:val="16"/>
        </w:rPr>
        <w:noBreakHyphen/>
        <w:t>100 составит 47 470 т, или 22% от ожидаемого на 1 января 1941 г. наличия. И, наконец, удельный вес специальных бронебойных и бетонобойных бомб составит 2451 т, или 1,1%.</w:t>
      </w:r>
    </w:p>
    <w:p w14:paraId="4679FB7F"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боевых действий в Финляндии, а также на Западе, показал необходимость значительного повышения удельного веса этих бомб. По калибрам ФАБ</w:t>
      </w:r>
      <w:r w:rsidRPr="00DB5D0D">
        <w:rPr>
          <w:rFonts w:ascii="Times New Roman" w:hAnsi="Times New Roman"/>
          <w:color w:val="000000" w:themeColor="text1"/>
          <w:sz w:val="16"/>
          <w:szCs w:val="16"/>
        </w:rPr>
        <w:noBreakHyphen/>
        <w:t>2000, ФАБ</w:t>
      </w:r>
      <w:r w:rsidRPr="00DB5D0D">
        <w:rPr>
          <w:rFonts w:ascii="Times New Roman" w:hAnsi="Times New Roman"/>
          <w:color w:val="000000" w:themeColor="text1"/>
          <w:sz w:val="16"/>
          <w:szCs w:val="16"/>
        </w:rPr>
        <w:noBreakHyphen/>
        <w:t>1000, ФАБ</w:t>
      </w:r>
      <w:r w:rsidRPr="00DB5D0D">
        <w:rPr>
          <w:rFonts w:ascii="Times New Roman" w:hAnsi="Times New Roman"/>
          <w:color w:val="000000" w:themeColor="text1"/>
          <w:sz w:val="16"/>
          <w:szCs w:val="16"/>
        </w:rPr>
        <w:noBreakHyphen/>
        <w:t>500 и ФАБ</w:t>
      </w:r>
      <w:r w:rsidRPr="00DB5D0D">
        <w:rPr>
          <w:rFonts w:ascii="Times New Roman" w:hAnsi="Times New Roman"/>
          <w:color w:val="000000" w:themeColor="text1"/>
          <w:sz w:val="16"/>
          <w:szCs w:val="16"/>
        </w:rPr>
        <w:noBreakHyphen/>
        <w:t>250 необходимо удельный вес поднять до 24</w:t>
      </w:r>
      <w:r w:rsidRPr="00DB5D0D">
        <w:rPr>
          <w:rFonts w:ascii="Times New Roman" w:hAnsi="Times New Roman"/>
          <w:color w:val="000000" w:themeColor="text1"/>
          <w:sz w:val="16"/>
          <w:szCs w:val="16"/>
        </w:rPr>
        <w:noBreakHyphen/>
        <w:t>25%; по калибру ФАБ</w:t>
      </w:r>
      <w:r w:rsidRPr="00DB5D0D">
        <w:rPr>
          <w:rFonts w:ascii="Times New Roman" w:hAnsi="Times New Roman"/>
          <w:color w:val="000000" w:themeColor="text1"/>
          <w:sz w:val="16"/>
          <w:szCs w:val="16"/>
        </w:rPr>
        <w:noBreakHyphen/>
        <w:t>100 — до 27</w:t>
      </w:r>
      <w:r w:rsidRPr="00DB5D0D">
        <w:rPr>
          <w:rFonts w:ascii="Times New Roman" w:hAnsi="Times New Roman"/>
          <w:color w:val="000000" w:themeColor="text1"/>
          <w:sz w:val="16"/>
          <w:szCs w:val="16"/>
        </w:rPr>
        <w:noBreakHyphen/>
        <w:t>30% и по группе бронебойных и бетонобойных бомб поднять до 7</w:t>
      </w:r>
      <w:r w:rsidRPr="00DB5D0D">
        <w:rPr>
          <w:rFonts w:ascii="Times New Roman" w:hAnsi="Times New Roman"/>
          <w:color w:val="000000" w:themeColor="text1"/>
          <w:sz w:val="16"/>
          <w:szCs w:val="16"/>
        </w:rPr>
        <w:noBreakHyphen/>
        <w:t>8%.</w:t>
      </w:r>
    </w:p>
    <w:p w14:paraId="50B205D0"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необходимым немедленно увеличить текущий заказ по указанным видам авиабомб, с тем, чтобы расширить производство бомб, поднять удельный вес этих бомб даже в текущем году и обеспечить более расширенное производство этих бомб в 1941 г. В частности, необходимо начать изготовление 2000</w:t>
      </w:r>
      <w:r w:rsidRPr="00DB5D0D">
        <w:rPr>
          <w:rFonts w:ascii="Times New Roman" w:hAnsi="Times New Roman"/>
          <w:color w:val="000000" w:themeColor="text1"/>
          <w:sz w:val="16"/>
          <w:szCs w:val="16"/>
        </w:rPr>
        <w:noBreakHyphen/>
        <w:t>килограммовой фугасной бомбы прекращенной производством несколько лет тому назад.</w:t>
      </w:r>
    </w:p>
    <w:p w14:paraId="5895CBC3"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Параллельно с бомбами крупного калибра в боевых действиях по войскам потребуются в больших массах мелкие осколочные бомбы калибра 2,5 кг. Наличие их к концу года составит всего 6,8 млн. шт. против потребности в военный год 100</w:t>
      </w:r>
      <w:r w:rsidRPr="00DB5D0D">
        <w:rPr>
          <w:rFonts w:ascii="Times New Roman" w:hAnsi="Times New Roman"/>
          <w:color w:val="000000" w:themeColor="text1"/>
          <w:sz w:val="16"/>
          <w:szCs w:val="16"/>
        </w:rPr>
        <w:noBreakHyphen/>
        <w:t>120 млн. шт. Считаю необходимым увеличить заказ 1940 г. и на этот вид бомб.</w:t>
      </w:r>
    </w:p>
    <w:p w14:paraId="05B6D175"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Наконец, считаю необходимым увеличить заказ по зажигательным авиабомбам из-за недостаточного обеспечения ими.</w:t>
      </w:r>
    </w:p>
    <w:p w14:paraId="518E3245"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Минимальные количества авиабомб, необходимых к дополнительной поставке в 1940 г., указаны мною в представляемом проекте постановления Комитета обороны при СНК СССР.</w:t>
      </w:r>
    </w:p>
    <w:p w14:paraId="572B66D1"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докладываю, что в свете войны с Финляндией, а также на Западе выявилась потребность в целом ряде мероприятий со стороны НКБ и других наркоматов по расширению базы производства, по усилению эффективности авиабомб и по скорейшей доводке и созданию новых типов бомб и взрывателей. Эти мероприятия отражены в проекте постановления КО.</w:t>
      </w:r>
    </w:p>
    <w:p w14:paraId="37145364"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утвердить представляемый проект постановления Комитета обороны.</w:t>
      </w:r>
    </w:p>
    <w:p w14:paraId="21CFF9A6"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проект постановления КО на 4 л.[</w:t>
      </w:r>
      <w:hyperlink r:id="rId243" w:anchor="p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w:t>
      </w:r>
    </w:p>
    <w:p w14:paraId="42A9125F"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Маршал Советского СоюзаТимошенко.</w:t>
      </w:r>
    </w:p>
    <w:p w14:paraId="6B32A1C6"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p w14:paraId="10750BEA"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44"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Копии направлены: председателю СНК СССР В. М. Молотову и председателю Комитета обороны при СНК СССР К. Е. Ворошилову.</w:t>
      </w:r>
    </w:p>
    <w:p w14:paraId="7556C188"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45" w:anchor="s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Приложение не публикуется (см. там же, Л. 95</w:t>
      </w:r>
      <w:r w:rsidRPr="00DB5D0D">
        <w:rPr>
          <w:rFonts w:ascii="Times New Roman" w:hAnsi="Times New Roman"/>
          <w:color w:val="000000" w:themeColor="text1"/>
          <w:sz w:val="16"/>
          <w:szCs w:val="16"/>
        </w:rPr>
        <w:noBreakHyphen/>
        <w:t>98).</w:t>
      </w:r>
    </w:p>
    <w:p w14:paraId="1C4B8115" w14:textId="77777777" w:rsidR="00EE6023" w:rsidRPr="00DB5D0D" w:rsidRDefault="00EE60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4. Оп. 14. Д. 2638. Л. 93-94. Заверенная копия (17999).</w:t>
      </w:r>
    </w:p>
    <w:p w14:paraId="17A3D414" w14:textId="77777777" w:rsidR="00EE6023" w:rsidRPr="00DB5D0D" w:rsidRDefault="00EE6023" w:rsidP="00DB5D0D">
      <w:pPr>
        <w:spacing w:after="0" w:line="240" w:lineRule="auto"/>
        <w:jc w:val="both"/>
        <w:rPr>
          <w:rFonts w:ascii="Times New Roman" w:hAnsi="Times New Roman"/>
          <w:color w:val="000000" w:themeColor="text1"/>
          <w:sz w:val="16"/>
          <w:szCs w:val="16"/>
        </w:rPr>
      </w:pPr>
    </w:p>
    <w:p w14:paraId="4875FB1E"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августа 1940 была Докладная записка наркома обороны СССР С. К. Тимошенко И. В. Сталину, председателю СНК СССР В. М. Молотову, председателю Комитета обороны при СНК СССР К. Е. Ворошилову о недостаточном обеспечении ВВС Красной армии авиабомбами с приложением проекта постановления КО при СНК СССР "О дополнительной поставке в 1940 году авиабомб и о мероприятиях по расширению базы производства авиабомб и по усилению их боевого эффекта"</w:t>
      </w:r>
    </w:p>
    <w:p w14:paraId="712F9BE4"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ЦК ВКП (б)</w:t>
      </w:r>
    </w:p>
    <w:p w14:paraId="4A7C6C8B"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тов. СТАЛИНУ И.В.</w:t>
      </w:r>
    </w:p>
    <w:p w14:paraId="225CEDEF"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СОВНАРКОМ СССР</w:t>
      </w:r>
    </w:p>
    <w:p w14:paraId="6220B0B4"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тов. МОЛОТОВУ В.М.</w:t>
      </w:r>
    </w:p>
    <w:p w14:paraId="1B27E327"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ОБОРОНЫ при СНК СССР</w:t>
      </w:r>
    </w:p>
    <w:p w14:paraId="64420903"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тов. ВОРОШИЛОВУ К.Е.</w:t>
      </w:r>
    </w:p>
    <w:p w14:paraId="54609A9F"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Потребность Военно-Воздушных Сил Красной Армии в авиа</w:t>
      </w:r>
      <w:r w:rsidRPr="00DB5D0D">
        <w:rPr>
          <w:rFonts w:ascii="Times New Roman" w:hAnsi="Times New Roman"/>
          <w:color w:val="0070C0"/>
          <w:sz w:val="16"/>
          <w:szCs w:val="16"/>
        </w:rPr>
        <w:softHyphen/>
        <w:t>бомбах на 1-й год войны составляет 1.190.846 тонн.</w:t>
      </w:r>
    </w:p>
    <w:p w14:paraId="19189A22"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Фактическое наличие авиабомб на 1 июля 1940 года состав- ляет 155.973 тонны или 13,1 % (в среднем 1,5 месяца боевой работы авиации).</w:t>
      </w:r>
    </w:p>
    <w:p w14:paraId="5FDDD20E"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Заказ 1940 года был утвержден в 101.762 тонны. На 1-е июля с.г. заказ выполнен в количестве 41.290 тонн.</w:t>
      </w:r>
    </w:p>
    <w:p w14:paraId="5BD05CC5"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Таким образом, налицо недостаточное обеспечение ВВС Красной Армии авиабомбами и недостаточность базы по производ</w:t>
      </w:r>
      <w:r w:rsidRPr="00DB5D0D">
        <w:rPr>
          <w:rFonts w:ascii="Times New Roman" w:hAnsi="Times New Roman"/>
          <w:color w:val="0070C0"/>
          <w:sz w:val="16"/>
          <w:szCs w:val="16"/>
        </w:rPr>
        <w:softHyphen/>
        <w:t>ству авиабомб - около 9% производства от годовой потребно</w:t>
      </w:r>
      <w:r w:rsidRPr="00DB5D0D">
        <w:rPr>
          <w:rFonts w:ascii="Times New Roman" w:hAnsi="Times New Roman"/>
          <w:color w:val="0070C0"/>
          <w:sz w:val="16"/>
          <w:szCs w:val="16"/>
        </w:rPr>
        <w:softHyphen/>
        <w:t>сти по военному времени.</w:t>
      </w:r>
    </w:p>
    <w:p w14:paraId="6383CACE"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Если к концу года заказ 1940 года будет выполнен полностью наличие авиабомб на 1 января 1941 года составит 215.445 тонны, т.е. 18 % или 2-х месячные запас.</w:t>
      </w:r>
    </w:p>
    <w:p w14:paraId="5208277D"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Однако, в этом наличии на 1 января 1941 года удельный вес бомб крупного калибра ФАБ- -2000, ФАБ-1000, ФАБ-.500 и ФАБ-250 составит всего 28.795 Т0НН или 13%  от всего наличия,</w:t>
      </w:r>
    </w:p>
    <w:p w14:paraId="1DDFBA68"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Удельный вес фугасной бомбы ФАБ-100 47.470 тонн или 22% от ожидаемого на 1января 1941 года наличия.</w:t>
      </w:r>
    </w:p>
    <w:p w14:paraId="2AFEF303"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 наконец, удельный вес специальных бронебойных и бетонобойных бомб составит 2.451 тонн или 1,1%.</w:t>
      </w:r>
    </w:p>
    <w:p w14:paraId="11BD7BA8"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Опыт боевых действий в Финляндии, а также на Западе показал необходимость значительного повышения удельного веса этих бомб. По калибрам ФАБ-2000. ФАБ-1000, ФАБ-500 необходимо удельный вес поднять до 24-25%, по калибру ФАБ-100 до 27-30% и по группе бронебойных и бетонобойных бом поднять до 7-8 %.</w:t>
      </w:r>
    </w:p>
    <w:p w14:paraId="2D3D8D09"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Считаю необходимым немедленно увеличить текущий заказ по указанным видам авиабомб, с тем, чтобы расширить производство бомб, поднять удельный вес этих бомб даже в текущем году и обе</w:t>
      </w:r>
      <w:r w:rsidRPr="00DB5D0D">
        <w:rPr>
          <w:rFonts w:ascii="Times New Roman" w:hAnsi="Times New Roman"/>
          <w:color w:val="0070C0"/>
          <w:sz w:val="16"/>
          <w:szCs w:val="16"/>
        </w:rPr>
        <w:softHyphen/>
        <w:t>спечить более расширенное производство этих бомб в 1941 году. В частности, необходимо начать изготовление 2000 кг. фугасной бомбы, прекращенной производством несколько лет тому назад.</w:t>
      </w:r>
    </w:p>
    <w:p w14:paraId="2D58642B"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Параллельно с бомбами крупного калибра в боевых дейст</w:t>
      </w:r>
      <w:r w:rsidRPr="00DB5D0D">
        <w:rPr>
          <w:rFonts w:ascii="Times New Roman" w:hAnsi="Times New Roman"/>
          <w:color w:val="0070C0"/>
          <w:sz w:val="16"/>
          <w:szCs w:val="16"/>
        </w:rPr>
        <w:softHyphen/>
        <w:t>виях по войскам, потребуется в больших массах мелкие осколоч</w:t>
      </w:r>
      <w:r w:rsidRPr="00DB5D0D">
        <w:rPr>
          <w:rFonts w:ascii="Times New Roman" w:hAnsi="Times New Roman"/>
          <w:color w:val="0070C0"/>
          <w:sz w:val="16"/>
          <w:szCs w:val="16"/>
        </w:rPr>
        <w:softHyphen/>
        <w:t>ные бомбы калибра 2,5 кг. Наличие их к концу года составит всего 6,8 млн. штук против потребности в военный год 100-120 млн. штук.</w:t>
      </w:r>
    </w:p>
    <w:p w14:paraId="33078D8E"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Считаю необходимым увеличить заказ 1940 г. и на этот вид бомб.</w:t>
      </w:r>
    </w:p>
    <w:p w14:paraId="43CE4273"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Наконец, считаю необходимым увеличить заказ по зажига</w:t>
      </w:r>
      <w:r w:rsidRPr="00DB5D0D">
        <w:rPr>
          <w:rFonts w:ascii="Times New Roman" w:hAnsi="Times New Roman"/>
          <w:color w:val="0070C0"/>
          <w:sz w:val="16"/>
          <w:szCs w:val="16"/>
        </w:rPr>
        <w:softHyphen/>
        <w:t>тельным авиабомбам, из-за недостаточного обеспечения ими.</w:t>
      </w:r>
    </w:p>
    <w:p w14:paraId="5AD802A7"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Минимальные количества авиабомб, необходимых к дополни</w:t>
      </w:r>
      <w:r w:rsidRPr="00DB5D0D">
        <w:rPr>
          <w:rFonts w:ascii="Times New Roman" w:hAnsi="Times New Roman"/>
          <w:color w:val="0070C0"/>
          <w:sz w:val="16"/>
          <w:szCs w:val="16"/>
        </w:rPr>
        <w:softHyphen/>
        <w:t>тельной поставке в 1940 году, указаны мною в представляемом проекте постановления Комитета Обороны при СНК СССР.</w:t>
      </w:r>
    </w:p>
    <w:p w14:paraId="2BEAA872"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Одновременно докладываю, что в свете войны с Финляндией, а также на Западе выявилась потребность в целом ряде мероприя</w:t>
      </w:r>
      <w:r w:rsidRPr="00DB5D0D">
        <w:rPr>
          <w:rFonts w:ascii="Times New Roman" w:hAnsi="Times New Roman"/>
          <w:color w:val="0070C0"/>
          <w:sz w:val="16"/>
          <w:szCs w:val="16"/>
        </w:rPr>
        <w:softHyphen/>
        <w:t>тий со стороны НКВ и других наркоматов по расширению базы производства, по усилению эффективности авиабомб и по скорей</w:t>
      </w:r>
      <w:r w:rsidRPr="00DB5D0D">
        <w:rPr>
          <w:rFonts w:ascii="Times New Roman" w:hAnsi="Times New Roman"/>
          <w:color w:val="0070C0"/>
          <w:sz w:val="16"/>
          <w:szCs w:val="16"/>
        </w:rPr>
        <w:softHyphen/>
        <w:t>шей доводке и созданию новых типов бомб и взрывателей. Эти мероприятия отражены в проекте постановления К.0.</w:t>
      </w:r>
    </w:p>
    <w:p w14:paraId="644CE6D8"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Прошу утвердить представляемый проект постановления Ко</w:t>
      </w:r>
      <w:r w:rsidRPr="00DB5D0D">
        <w:rPr>
          <w:rFonts w:ascii="Times New Roman" w:hAnsi="Times New Roman"/>
          <w:color w:val="0070C0"/>
          <w:sz w:val="16"/>
          <w:szCs w:val="16"/>
        </w:rPr>
        <w:softHyphen/>
        <w:t>митета Обороны.</w:t>
      </w:r>
    </w:p>
    <w:p w14:paraId="7540C69B" w14:textId="77777777" w:rsidR="006D287B" w:rsidRPr="00DB5D0D" w:rsidRDefault="006D287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Проект постановления К.О, на 4-х листах (22018).</w:t>
      </w:r>
    </w:p>
    <w:p w14:paraId="511015DA" w14:textId="77777777" w:rsidR="006D287B" w:rsidRPr="00DB5D0D" w:rsidRDefault="006D287B" w:rsidP="00DB5D0D">
      <w:pPr>
        <w:spacing w:after="0" w:line="240" w:lineRule="auto"/>
        <w:jc w:val="both"/>
        <w:rPr>
          <w:rFonts w:ascii="Times New Roman" w:hAnsi="Times New Roman"/>
          <w:color w:val="0070C0"/>
          <w:sz w:val="16"/>
          <w:szCs w:val="16"/>
        </w:rPr>
      </w:pPr>
    </w:p>
    <w:p w14:paraId="030BC7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г. при стрельбе РБС-132 в серном снаряжении с бомбардировщика СБ с бортовым №221 во втором полете при втором выстреле с УРО №2 (левая плоскость) газами от РЗ отогнуло осевой компенсатор основной секции элерона на 90° вниз. Стрелял с пикирова</w:t>
      </w:r>
      <w:r w:rsidRPr="00DB5D0D">
        <w:rPr>
          <w:rFonts w:ascii="Times New Roman" w:hAnsi="Times New Roman"/>
          <w:color w:val="000000" w:themeColor="text1"/>
          <w:sz w:val="16"/>
          <w:szCs w:val="16"/>
        </w:rPr>
        <w:softHyphen/>
        <w:t>ния под утлом 45° летчик полковник Борщев. На высоте 1200 м при скоро</w:t>
      </w:r>
      <w:r w:rsidRPr="00DB5D0D">
        <w:rPr>
          <w:rFonts w:ascii="Times New Roman" w:hAnsi="Times New Roman"/>
          <w:color w:val="000000" w:themeColor="text1"/>
          <w:sz w:val="16"/>
          <w:szCs w:val="16"/>
        </w:rPr>
        <w:softHyphen/>
        <w:t>сти 240 км/ч произошел резкий рывок штурвала с отклонением до 30 гр. ле</w:t>
      </w:r>
      <w:r w:rsidRPr="00DB5D0D">
        <w:rPr>
          <w:rFonts w:ascii="Times New Roman" w:hAnsi="Times New Roman"/>
          <w:color w:val="000000" w:themeColor="text1"/>
          <w:sz w:val="16"/>
          <w:szCs w:val="16"/>
        </w:rPr>
        <w:softHyphen/>
        <w:t>вый крен и сильная вибрация всего самолета. Звук от двигателя РС имел усиливающийся двойной характер. Самолет выровняли левым мотором, снятием нагрузки триммером и приложением усилий пилота. Предполагаемая причина - недостаточная прочность элеронов для стрельбы РБС -132 с повышенным РЗ (7,28 кг) и большим критическим сечением сопла. Мною испытания прекращены до доработки самолета под РБС-132.</w:t>
      </w:r>
    </w:p>
    <w:p w14:paraId="75FAEB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Поскольку на Ногинский полигон поступили ракетно-бронебойные снаряды, а обещанный морскими авиаторами бомбардировщик ДБ-3 еще не прибыл, военные решили отстрелять боеприпасы по программе ВВС с бомбардировщика СБ. Заметим, что оперативно и тайком эту затею решили реализовать, в тот же день, утвердив и программу испытаний.</w:t>
      </w:r>
    </w:p>
    <w:p w14:paraId="362333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Именно таким образом судьба, образно выражаясь, наказала ВВС за неприличный проступок. Когда в Управлении ВВС ВМФ узнали, что их опытными боеприпасами без уведомления пользуются конкуренты, не</w:t>
      </w:r>
      <w:r w:rsidRPr="00DB5D0D">
        <w:rPr>
          <w:rFonts w:ascii="Times New Roman" w:hAnsi="Times New Roman"/>
          <w:color w:val="000000" w:themeColor="text1"/>
          <w:sz w:val="16"/>
          <w:szCs w:val="16"/>
        </w:rPr>
        <w:softHyphen/>
        <w:t>годованию не было границ. Примерно это могло выглядеть так: «Мы за</w:t>
      </w:r>
      <w:r w:rsidRPr="00DB5D0D">
        <w:rPr>
          <w:rFonts w:ascii="Times New Roman" w:hAnsi="Times New Roman"/>
          <w:color w:val="000000" w:themeColor="text1"/>
          <w:sz w:val="16"/>
          <w:szCs w:val="16"/>
        </w:rPr>
        <w:softHyphen/>
        <w:t>казывали, мы оплачивали, мы создавали, а с нами даже не советуются!». Дабы не создавать более прецедентов, 18 сентября 1940 г. согласно прось</w:t>
      </w:r>
      <w:r w:rsidRPr="00DB5D0D">
        <w:rPr>
          <w:rFonts w:ascii="Times New Roman" w:hAnsi="Times New Roman"/>
          <w:color w:val="000000" w:themeColor="text1"/>
          <w:sz w:val="16"/>
          <w:szCs w:val="16"/>
        </w:rPr>
        <w:softHyphen/>
        <w:t>бы начальника 7 отдела УА ВМФ воснинженера 1 ранга Захаренко и на</w:t>
      </w:r>
      <w:r w:rsidRPr="00DB5D0D">
        <w:rPr>
          <w:rFonts w:ascii="Times New Roman" w:hAnsi="Times New Roman"/>
          <w:color w:val="000000" w:themeColor="text1"/>
          <w:sz w:val="16"/>
          <w:szCs w:val="16"/>
        </w:rPr>
        <w:softHyphen/>
        <w:t>чальника 2 отделения 7 отдела УА ВМФ военинженсра 1 ранга Кудрова оставшиеся 44 штуки РБС-132 с взрывателями АВ-96 отправили в Ленинград. В итоге руководство ВВС ВМФ основательно поссорилось с ГУ ВВС КА и больше не обращалось к ним с просьбами об аренде полигона.</w:t>
      </w:r>
    </w:p>
    <w:p w14:paraId="7F7172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Доподлинно не известно, каким образом ГУ ВВС КА компенсиро</w:t>
      </w:r>
      <w:r w:rsidRPr="00DB5D0D">
        <w:rPr>
          <w:rFonts w:ascii="Times New Roman" w:hAnsi="Times New Roman"/>
          <w:color w:val="000000" w:themeColor="text1"/>
          <w:sz w:val="16"/>
          <w:szCs w:val="16"/>
        </w:rPr>
        <w:softHyphen/>
        <w:t>вало финансовый ущерб морским авиаторам, но история получила са</w:t>
      </w:r>
      <w:r w:rsidRPr="00DB5D0D">
        <w:rPr>
          <w:rFonts w:ascii="Times New Roman" w:hAnsi="Times New Roman"/>
          <w:color w:val="000000" w:themeColor="text1"/>
          <w:sz w:val="16"/>
          <w:szCs w:val="16"/>
        </w:rPr>
        <w:softHyphen/>
        <w:t>мое неожиданное продолжение. Во-первых, ВВС ВМФ твердо реши</w:t>
      </w:r>
      <w:r w:rsidRPr="00DB5D0D">
        <w:rPr>
          <w:rFonts w:ascii="Times New Roman" w:hAnsi="Times New Roman"/>
          <w:color w:val="000000" w:themeColor="text1"/>
          <w:sz w:val="16"/>
          <w:szCs w:val="16"/>
        </w:rPr>
        <w:softHyphen/>
        <w:t>ли в дальнейшем испытывать РБС только своими силами, но для за</w:t>
      </w:r>
      <w:r w:rsidRPr="00DB5D0D">
        <w:rPr>
          <w:rFonts w:ascii="Times New Roman" w:hAnsi="Times New Roman"/>
          <w:color w:val="000000" w:themeColor="text1"/>
          <w:sz w:val="16"/>
          <w:szCs w:val="16"/>
        </w:rPr>
        <w:softHyphen/>
        <w:t>вершения программы полигонных испытаний требовалось восстано</w:t>
      </w:r>
      <w:r w:rsidRPr="00DB5D0D">
        <w:rPr>
          <w:rFonts w:ascii="Times New Roman" w:hAnsi="Times New Roman"/>
          <w:color w:val="000000" w:themeColor="text1"/>
          <w:sz w:val="16"/>
          <w:szCs w:val="16"/>
        </w:rPr>
        <w:softHyphen/>
        <w:t>вить необходимое количество снарядов (11402).</w:t>
      </w:r>
    </w:p>
    <w:p w14:paraId="3E3F42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BF0652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г. появилось письмо на имя начальника 4-го ГУ НКБ Иванова от директора НИИ-3 НКБ Б.М.Слонимера: «НИИ-3 НКБ просит Вас ходатайствовать перед 2-м ГУ НКБ о предоставлении возможности ознакомиться начальнику 2 отдела И.И.Гваю и старшему инженеру САПивоварову с электро-механической трубкой и установщиком конструкции товарища ВЛ.Гнилосырова, а также взрывателем ВМ-7, изготовленным на заводе № 398. Указанные трубки и установщик необходимы для ракетно-зенитных снарядов , а ВМ-7 - для глубинных ракетных бомб, к работе над которыми приступлено по разрешению наркома боеприпасов товарища И.П.Сергеева» (11402).</w:t>
      </w:r>
    </w:p>
    <w:p w14:paraId="7064E2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94113F7" w14:textId="77777777" w:rsidR="00FA191F" w:rsidRPr="00DB5D0D" w:rsidRDefault="00FA191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0A7E5B1" w14:textId="77777777" w:rsidR="00FA191F" w:rsidRPr="00DB5D0D" w:rsidRDefault="00FA191F" w:rsidP="00DB5D0D">
      <w:pPr>
        <w:spacing w:after="0" w:line="240" w:lineRule="auto"/>
        <w:jc w:val="both"/>
        <w:rPr>
          <w:rFonts w:ascii="Times New Roman" w:hAnsi="Times New Roman"/>
          <w:iCs/>
          <w:color w:val="000000" w:themeColor="text1"/>
          <w:sz w:val="16"/>
          <w:szCs w:val="16"/>
        </w:rPr>
      </w:pPr>
    </w:p>
    <w:p w14:paraId="44236D8D"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августа 1940 г. начались </w:t>
      </w:r>
      <w:hyperlink r:id="rId246" w:tgtFrame="_blank" w:history="1"/>
      <w:r w:rsidRPr="00DB5D0D">
        <w:rPr>
          <w:rFonts w:ascii="Times New Roman" w:hAnsi="Times New Roman"/>
          <w:color w:val="000000" w:themeColor="text1"/>
          <w:sz w:val="16"/>
          <w:szCs w:val="16"/>
        </w:rPr>
        <w:t>Государственные испытания дизелей М-250.</w:t>
      </w:r>
    </w:p>
    <w:p w14:paraId="1E2E812F"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связи с меньшим объемом переделок первым к началу государственных испытаний был готов танк А-34 № 311-18-3. Испытания этого танка проводили: военинженер 3 ранга А.А. Лаврушенков, военинженер 1 ранга А.М. Малявинский, инженеры-исследователи завода № 75 Н.С. Войко и И.А. Слепов, механик-водитель Н.Ф. Носик и помощник механика-водителя А.К. Литвин. </w:t>
      </w:r>
    </w:p>
    <w:p w14:paraId="791EA789"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Испытания танка А-34 № 311-11-3 проводили: военинженер 2 ранга М.Н. Федоров, инженеры-исследователи О.А Федотов и Г.И. Фраймович, механик-водитель В.В. Дюканов и помощник механика-водителя А.А. Пашин. </w:t>
      </w:r>
    </w:p>
    <w:p w14:paraId="280E2D34"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вождении танков так же принимали участие инструкторы Харьковского бронетанкового училища РККА им. Сталина капитан В.А. Малышев и механик Н.Д. Попов. </w:t>
      </w:r>
    </w:p>
    <w:p w14:paraId="42E8F63D"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5 часов утра танк А-34 № 311-18-3 покинул территорию завода № 183 и совершил пробег по маршруту Федорцы – Безлюдовка – станция Мохнач – Чугуев – Пятницкое и обратно. Всего за первый день испытаний танком было пройдено 224 км, при этом дизель М-250 № 3 отработал 7 часов 22 минуты. </w:t>
      </w:r>
    </w:p>
    <w:p w14:paraId="7E3B4D89"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следующий день, 3 августа 1940 г., танк преодолел всего 222 км, двигатель проработал 7 часов 46 минуты. </w:t>
      </w:r>
    </w:p>
    <w:p w14:paraId="441A76A2"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третий день испытаний, 4 августа 1940 г, при подготовке танка к выезду произошло разрушение лопастей вентилятора системы охлаждения двигателя. После установки нового вентилятора танк во второй половине дня ушёл в пробег. В связи с непредвиденным ремонтом продолжительность запланированного на этот день пробега пришлось сократить вдвое. Двигатель М-250 № 3 в этот день проработал только 4 часа 30 минут, но, уже начиная с 5 августа 1940 г. ежедневная наработка двигателя стала составлять от 8 до 10 часов. </w:t>
      </w:r>
    </w:p>
    <w:p w14:paraId="4645F40D"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августа 1940 г. в танке А-34 № 311-18-3 вторично вышел из строя вентилятор системы охлаждения двигателя. С 11 по 13 августа 1940 г. на танке А-34 № 311-18-3 устранялись все выявленные накануне неисправности, и проводилось его техническое обслуживание – машина готовилась к запланированному на 14 августа 1940 г. совместному выезду со своим «старшим братом» танком А-34 № 311-11-3. </w:t>
      </w:r>
    </w:p>
    <w:p w14:paraId="04B07057"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Около полудня 14 августа 1940 г. оба танка отправились в длительный пробег, который был завершен только во второй половине 16 августа. За время пробега дизель М-250 № 4 в танке А-34 № 311-11-3 проработал 27 часов, а дизель М-250 № 3 в танке А-34 № 311-18-3 – 30 часов. Весь следующий день оба танка проходили техническое обслуживание, в ходе которого на танке А-34 № 311-18-3 из-за разрушения резинового массива грузошины были заменены два опорных катка. </w:t>
      </w:r>
    </w:p>
    <w:p w14:paraId="7FD2765E"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 20 августа 1940 г. стали последними днями, когда в ходе государственных испытаний дизелей М-250 танки А-34 совместно участвовали в пробегах. После возвращения на завод танк А-34 № 311-11-3 встал на ремонт. </w:t>
      </w:r>
    </w:p>
    <w:p w14:paraId="48140044"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Из-за повышенной температуры масла комиссией, проводившей испытания было решено опытные масляные баки без радиаторов заменить на серийные баки-радиаторы. Ремонт танка был закончен только к вечеру 22 августа 1940 г. К этому времени танк А-34 № 311-18-3 уже 4 часа находился в движении. О том, что этот выезд будет последним, участники испытаний вряд ли догадывались. Ближе к полудню, когда танк А-34 № 311-18-3 подъезжал к заводу № 183, в системе смазки двигателя резко повысилась температура масла. Оставшуюся часть пути испытателям пришлось пройти при частоте вращения коленчатого вала двигателя, не </w:t>
      </w:r>
      <w:r w:rsidRPr="00DB5D0D">
        <w:rPr>
          <w:rFonts w:ascii="Times New Roman" w:hAnsi="Times New Roman"/>
          <w:color w:val="000000" w:themeColor="text1"/>
          <w:sz w:val="16"/>
          <w:szCs w:val="16"/>
        </w:rPr>
        <w:lastRenderedPageBreak/>
        <w:t xml:space="preserve">превышающей 1200 об/мин. После проведенного технического осмотра танка комиссия пришла к выводу, что дизель М-250 № 3 </w:t>
      </w:r>
      <w:r w:rsidRPr="00DB5D0D">
        <w:rPr>
          <w:rFonts w:ascii="Times New Roman" w:hAnsi="Times New Roman"/>
          <w:iCs/>
          <w:color w:val="000000" w:themeColor="text1"/>
          <w:sz w:val="16"/>
          <w:szCs w:val="16"/>
        </w:rPr>
        <w:t xml:space="preserve">«из-за потери работоспособности на 114 час. 32 мин. работы его в танке А-34 под нагрузкой </w:t>
      </w:r>
      <w:r w:rsidRPr="00DB5D0D">
        <w:rPr>
          <w:rFonts w:ascii="Times New Roman" w:hAnsi="Times New Roman"/>
          <w:color w:val="000000" w:themeColor="text1"/>
          <w:sz w:val="16"/>
          <w:szCs w:val="16"/>
        </w:rPr>
        <w:t>[необходимо]</w:t>
      </w:r>
      <w:r w:rsidRPr="00DB5D0D">
        <w:rPr>
          <w:rFonts w:ascii="Times New Roman" w:hAnsi="Times New Roman"/>
          <w:iCs/>
          <w:color w:val="000000" w:themeColor="text1"/>
          <w:sz w:val="16"/>
          <w:szCs w:val="16"/>
        </w:rPr>
        <w:t xml:space="preserve"> снять с испытаний»</w:t>
      </w:r>
      <w:r w:rsidRPr="00DB5D0D">
        <w:rPr>
          <w:rFonts w:ascii="Times New Roman" w:hAnsi="Times New Roman"/>
          <w:color w:val="000000" w:themeColor="text1"/>
          <w:sz w:val="16"/>
          <w:szCs w:val="16"/>
        </w:rPr>
        <w:t xml:space="preserve">. Не в лучшем состоянии находилась и ходовая часть танка – практически на всех опорных катках танка резиновый массив грузошин к дальнейшей эксплуатации был не пригоден. Танк А-34 № 311-18-3 требовал как минимум среднего ремонта. </w:t>
      </w:r>
    </w:p>
    <w:p w14:paraId="425AFDF4"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танка А-34 № 311-11-3 день 23 августа 1940 г. был более удачным. После двух дней нахождения в ремонте, танк ранним утром продолжил выполнение программы государственных испытаний дизеля М-250 № 4. Очередной пробег был завершен 25 августа 1940 г. ближе к обеду, за двое с лишним суток двигатель проработал в танке около 32 часов. Замена масляных баков желаемого результата не дала, по-прежнему температура масла, входящего в двигатель и выходящего из него, превышала температуру, заданную техническими условиями. Чтобы избежать участи, постигшей дизель М-250 № 3, комиссией было решено переделать систему смазки двигателя. В опытном цехе «540» к 16 сентября 1940 г. в системе смазки были проведены следующие изменения: гофрированные радиаторы на масляных баках были заменены трубчатыми воздухомасляными радиаторами с пластинчатыми ребрами охлаждения. Эти радиаторы были установлены между масляными баками и радиаторами жидкостной системы охлаждения справа и слева от двигателя. Включение радиаторов в систему смазки было параллельное, в связи с чем, расположение масляных трубопроводов в моторном отделении танка практически не изменилось, а было добавлено только 8 трубок, соединявших баки с радиаторами. </w:t>
      </w:r>
    </w:p>
    <w:p w14:paraId="37CD5DE5"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с измененной системой смазки двигателя утром 17 сентября 1940 г. покинул территорию завода, но уже через 3 часа был вынужден вернуться из-за разрушения лопастей вентилятора системы охлаждения двигателя. Хотя пробег был не продолжительным, но он всё же показал, что проведенные изменения в системе смазки двигателя не обеспечили достаточного охлаждения масла. Танк снова поставили в цех «540» на ремонт. Одновременно с заменой вентилятора вторично была переделана система смазки. Теперь за основу была взята схема охлаждения масла, примененная в системе смазки силовой установки танка БТ-7М, т. е. масляные радиаторы были включены последовательно. Кроме того, для увеличения производительности масляных радиаторов в них были установлены завихрители, представлявшие собой латунные спирали с высеченными на них «шипами-ершами» высотой 3 мм. Завихрители были установлены внутри каждой трубки маслорадиатора. Конструкция бачка-суфлера дизеля так же была изменена. Теперь сконденсированное из паров масло стекало обратно в картер двигателя и в моторное отделение танка не выбрасывалось. Большинство медных трубок было заменено стальными, которые не ломались от вибрации. </w:t>
      </w:r>
    </w:p>
    <w:p w14:paraId="5C97F561"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сентября 1940 г. испытания дизеля М-250 № 4 в танке А-34 № 311-11-3 были возобновлены. В этот день двигатель проработал около 8 часов. После обеда на заводе № 183 было произведено техническое обслуживание танка, а утром следующего дня испытания продолжились. Результат – 10 часов работы дизеля под нагрузкой.</w:t>
      </w:r>
    </w:p>
    <w:p w14:paraId="4CAD6640"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время очередного испытательного пробега, 27 сентября 1940 г., около полудня на 103 часе работы дизель М-250 № 4 вышел из строя. На следующий день дизель был демонтирован из танка и передан в отдел «1600» завода № 75 для исследования. </w:t>
      </w:r>
    </w:p>
    <w:p w14:paraId="33388130"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концу сентября 1940 г. государственные испытания дизеля М-250 больше напоминали опытные работы по доводке дизеля на машине, а не полноценную </w:t>
      </w:r>
      <w:r w:rsidRPr="00DB5D0D">
        <w:rPr>
          <w:rFonts w:ascii="Times New Roman" w:hAnsi="Times New Roman"/>
          <w:iCs/>
          <w:color w:val="000000" w:themeColor="text1"/>
          <w:sz w:val="16"/>
          <w:szCs w:val="16"/>
        </w:rPr>
        <w:t>«проверку по определению надежности работы дизеля типа М-250 в танке А-34 в течение гарантийного срока – 250 часов работы под нагрузкой»</w:t>
      </w:r>
      <w:r w:rsidRPr="00DB5D0D">
        <w:rPr>
          <w:rFonts w:ascii="Times New Roman" w:hAnsi="Times New Roman"/>
          <w:color w:val="000000" w:themeColor="text1"/>
          <w:sz w:val="16"/>
          <w:szCs w:val="16"/>
        </w:rPr>
        <w:t xml:space="preserve">. В связи с этим комиссией было принято решение: </w:t>
      </w:r>
      <w:r w:rsidRPr="00DB5D0D">
        <w:rPr>
          <w:rFonts w:ascii="Times New Roman" w:hAnsi="Times New Roman"/>
          <w:iCs/>
          <w:color w:val="000000" w:themeColor="text1"/>
          <w:sz w:val="16"/>
          <w:szCs w:val="16"/>
        </w:rPr>
        <w:t>«государственное испытание дизеля М-250 прекратить, все результаты работы Госкомиссии перевести в разряд внутризаводских испытаний с целью доводки двигателя»</w:t>
      </w:r>
      <w:r w:rsidRPr="00DB5D0D">
        <w:rPr>
          <w:rFonts w:ascii="Times New Roman" w:hAnsi="Times New Roman"/>
          <w:color w:val="000000" w:themeColor="text1"/>
          <w:sz w:val="16"/>
          <w:szCs w:val="16"/>
        </w:rPr>
        <w:t xml:space="preserve">. А в заключении по результатам проведенных государственных испытаний дизелей М-250, в частности, было записано следующее: </w:t>
      </w:r>
    </w:p>
    <w:p w14:paraId="19C0E369"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Государственные испытания дизелей М-250 прекратить. В предъявленном виде, дизель М-250 не может быть рекомендован для Т-34».</w:t>
      </w:r>
      <w:r w:rsidRPr="00DB5D0D">
        <w:rPr>
          <w:rFonts w:ascii="Times New Roman" w:hAnsi="Times New Roman"/>
          <w:color w:val="000000" w:themeColor="text1"/>
          <w:sz w:val="16"/>
          <w:szCs w:val="16"/>
        </w:rPr>
        <w:t xml:space="preserve"> </w:t>
      </w:r>
    </w:p>
    <w:p w14:paraId="17E0E5E0" w14:textId="77777777" w:rsidR="00FA191F" w:rsidRPr="00DB5D0D" w:rsidRDefault="00FA191F" w:rsidP="00DB5D0D">
      <w:pPr>
        <w:pStyle w:val="ae"/>
        <w:spacing w:before="0" w:after="0"/>
        <w:jc w:val="both"/>
        <w:rPr>
          <w:color w:val="000000" w:themeColor="text1"/>
          <w:sz w:val="16"/>
          <w:szCs w:val="16"/>
        </w:rPr>
      </w:pPr>
      <w:r w:rsidRPr="00DB5D0D">
        <w:rPr>
          <w:bCs/>
          <w:color w:val="000000" w:themeColor="text1"/>
          <w:sz w:val="16"/>
          <w:szCs w:val="16"/>
        </w:rPr>
        <w:t>[РГВА. Ф. 31811. Оп. 3. Д. 2035. Л. 3]</w:t>
      </w:r>
    </w:p>
    <w:p w14:paraId="29DF74BA"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выходом из строя дизеля М-250 № 4 единственной надеждой на успешное проведение заводских испытаний оставался последний из пяти изготовленных заводом № 75 двигателей М-250. Дизель с пятым порядковым номером 24 сентября 1940 г. был установлен в танк А-34 № 311-18-3. Испытания дизеля затянулись на месяц, 25 октября 1940 г. в системе смазки дизеля М-250 № 5 было обнаружено падение давления. На следующий день двигатель в опытном цехе «540» завода № 183 был демонтирован из танка и передан отделу «1600» завода № 75 для исследования. 27 октября 1940 г. при разборке дизеля М-250 № 5 в коленчатом валу в районе пятой коренной шейки была обнаружена продольная трещина. К моменту аварии двигатель проработал около 48 часов на стенде и 75 часов 21 минуту в танке. </w:t>
      </w:r>
    </w:p>
    <w:p w14:paraId="7C8DDFCE"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после прекращения государственных испытаний также был использован в опытных работах по доводке дизеля М-250. В начале октября 1940 г. на танк был установлен дизель М-250 № 2, отработавший в период с 16 апреля по 8 мая 1940 г. на заводских стендовых испытаниях 349 часов 41 минуту. Также на машину был установлен опытный главный фрикцион, отличавшийся от серийного главного фрикциона танка Т-34 тем, что вместо восьми ведущих чугунных и десяти ведомых стальных дисков в нем имелось двенадцать ведомых и десять ведущих стальных дисков. Кроме этого диски опытного главного фрикциона имели вырезы, предназначавшиеся для уменьшения коробления дисков при их нагреве и прерывания образовывавшихся на них круговых задиров. В каждом ведомом и ведущем диске было сделано по 4 выреза глубиной 13 мм и шириной 10 мм, расположенных на равном расстоянии друг от друга на тех сторонах дисков, на которых не было зубьев. </w:t>
      </w:r>
    </w:p>
    <w:p w14:paraId="69CFD2AD"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Однако завершить заводские испытания дизеля М-250 № 2 и опытного главного фрикциона в танке А-34 не удалось потому, что интенсивно эксплуатировавшиеся на протяжении 9 месяцев опытные танки А-34 в начале ноября 1940 г. было решено капитально отремонтировать. </w:t>
      </w:r>
    </w:p>
    <w:p w14:paraId="64D225F7"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отметить, что, несмотря на то, что дизели М-250 государственных испытаний не выдержали, некоторые примененные в них удачные технические решения в 1941 г. были реализованы в конструкции дизеля В-2 четвертой серии. </w:t>
      </w:r>
    </w:p>
    <w:p w14:paraId="6D075CE1" w14:textId="77777777" w:rsidR="00FA191F" w:rsidRPr="00DB5D0D" w:rsidRDefault="00FA191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Что же касается танков А-34, то с 15 ноября и до середины декабря 1940 г. оба они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4E831002" w14:textId="77777777" w:rsidR="00FA191F" w:rsidRPr="00DB5D0D" w:rsidRDefault="00FA191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0A08B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3CFC8B0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F6F4B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Бессарабия воссоединилась с Молдавией, а Северная Буковина вошла в состав Украины (1074,137). Провозгласили Молдавскую ССР (3481).</w:t>
      </w:r>
    </w:p>
    <w:p w14:paraId="2BA7258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BACBA9E"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августа 1940 года на VII сессии Верховного Совета СССР был принят Закон об образовании союзной Молдавской Советской Социалистической Республики. Столицей МССР стал город Кишинёв (21190).</w:t>
      </w:r>
    </w:p>
    <w:p w14:paraId="0C801B7D" w14:textId="77777777" w:rsidR="00061FD4" w:rsidRPr="00DB5D0D" w:rsidRDefault="00061FD4" w:rsidP="00DB5D0D">
      <w:pPr>
        <w:spacing w:after="0" w:line="240" w:lineRule="auto"/>
        <w:jc w:val="both"/>
        <w:rPr>
          <w:rFonts w:ascii="Times New Roman" w:hAnsi="Times New Roman"/>
          <w:color w:val="0070C0"/>
          <w:sz w:val="16"/>
          <w:szCs w:val="16"/>
        </w:rPr>
      </w:pPr>
    </w:p>
    <w:p w14:paraId="465689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года Приказом №0370 начальником ГУЛАГ объявлен код для телеграфной переписки о заключенных (8983).</w:t>
      </w:r>
    </w:p>
    <w:p w14:paraId="00E0F49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1491C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D299DB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AAB37B0"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августа 1940 года Бомбардировочное Командование Англии пошло навстречу фирме Щорт, приняв первый «Стирлинг» Mk. I srs. I (1-й серии), который был направлен в вооруженную устаревшими бомбардировщиками «Уэллсли» Mk. I и «Уитли» Mk. III 7-ю эскадрилью, дислоцированную в Лиминге. А 13 августа завод «Шорт» в Рочестере подвергся ожесточенной атаке большой группы Do 17, прорвавшихся сквозь рубеж ПВО на предельно малой высоте. В ноябре 1940 года массированный налет превратил в руины несколько цехов завода «Супермарин» в Вулстоне, в одном из них сгорел почти готовый четырехмоторный бомбардировщик «тип 316». Фирма прекратила работы по спецификации В.12/36, и единственным тяжелым бомбардировщиком RAF на то время оказался «Стирлинг». Англия получила сухопутный четырехмоторный бомбардировщик впервые за много лет, и Черчилль потребовал, чтобы 7-я АЭ немедленно приступила к налетам на Берлин. Но надежность машины пока еще была недостаточной, главным образом из-за силовой установки: серийные «Геркулесы» недодавали мощности, плохо работали свечи зажигания, блок РУД «Экзактор» продолжал «тормозить», случалось и самовыключение моторов. Маслосистема силовой установки и гидравлика самолета текли, а в довершение всего было несколько случаев пожара привода системы уборки шасси. Фирма работала над этим, но пока результата не было, в серию внедрили лишь единые для правых и левых моторов выхлопные коллекторы (22823).</w:t>
      </w:r>
    </w:p>
    <w:p w14:paraId="65841D8C" w14:textId="77777777" w:rsidR="00061FD4" w:rsidRPr="00DB5D0D" w:rsidRDefault="00061FD4" w:rsidP="00DB5D0D">
      <w:pPr>
        <w:spacing w:after="0" w:line="240" w:lineRule="auto"/>
        <w:jc w:val="both"/>
        <w:rPr>
          <w:rFonts w:ascii="Times New Roman" w:hAnsi="Times New Roman"/>
          <w:color w:val="0070C0"/>
          <w:sz w:val="16"/>
          <w:szCs w:val="16"/>
        </w:rPr>
      </w:pPr>
    </w:p>
    <w:p w14:paraId="186E700F"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августа 1940 - В качестве одного из компонентов операции «Спешка», первой из многих операций, в ходе которых самолеты взлетают с авианосцев для защиты Мальты, двенадцать Fairey Swordfish с британского авианосца HMS Ark Royal совершают первый ночной налет на Итальянскую землю и в ранние утренние часы атакует Кальяри на юге Сардинии. Они наносят серьезный ущерб аэродрому и итальянским гидросамолетам, стоящим на якоре в гавани, и сбрасывают морские мины в гавань. Две Свордфиша потеряны. Девять сопровождающих Блэкбернов Скуа сбивают итальянский Cant Z.501. Это отвлекающая атака для прикрытия авианосца HMS Argus, который в тот же день отправил 12 Hawker Харрикейнов ВВС Великобритании на Мальту из пункта к югу от Сардинии (20795).</w:t>
      </w:r>
    </w:p>
    <w:p w14:paraId="5FCDAE03" w14:textId="77777777" w:rsidR="00061FD4" w:rsidRPr="00DB5D0D" w:rsidRDefault="00061FD4" w:rsidP="00DB5D0D">
      <w:pPr>
        <w:spacing w:after="0" w:line="240" w:lineRule="auto"/>
        <w:jc w:val="both"/>
        <w:rPr>
          <w:rFonts w:ascii="Times New Roman" w:hAnsi="Times New Roman"/>
          <w:color w:val="0070C0"/>
          <w:sz w:val="16"/>
          <w:szCs w:val="16"/>
        </w:rPr>
      </w:pPr>
    </w:p>
    <w:p w14:paraId="6093742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немецкие самолеты разбросали по всей Южной Англии листовки с предложением Гитлера заключить мир (4962).</w:t>
      </w:r>
    </w:p>
    <w:p w14:paraId="13DBE8B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767C7C10"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August 2 1940 Beginning of the Battle of Britain, which raged until the end of October (1038).</w:t>
      </w:r>
    </w:p>
    <w:p w14:paraId="20B0771D"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2CD64C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началась битва за Британию, которая длилась до конца октября 1940 (1038).</w:t>
      </w:r>
    </w:p>
    <w:p w14:paraId="343E067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A8A4D5B"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августа в 1940 году после капитуляции Франции бригадный генерал Де Голль покинул страну и из Лондона призвал всех патриотов продолжать вооруженную борьбу с нацистской Германией. Коллаборационисты не простили ему этого выступления и предали генерала суду. 2 августа в его отсутствие военный трибунал приговаривает генерала к смертной казни с лишением воинского звания и конфискацией всего имущества (14971).</w:t>
      </w:r>
    </w:p>
    <w:p w14:paraId="36C68542"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78F30F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Ш. де Голь был заочно приговорен трибуналом к смертной казни с лишением звания и всего имущества (3481).</w:t>
      </w:r>
    </w:p>
    <w:p w14:paraId="1FAEB80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CD772D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1940 суд в Виши заочно приговорил лидера французского Сопротивления генерала Шарля де Голля к смертной казни (4962).</w:t>
      </w:r>
    </w:p>
    <w:p w14:paraId="405C4FD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0706A8A"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августа в 1940 году суд в Виши заочно приговорил идера французского Сопротивления генерала Шарля де Голля к смертной казни с лишением звания и всего имущества (14971).</w:t>
      </w:r>
    </w:p>
    <w:p w14:paraId="63B3EBC6"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0868FB40"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E7B847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394B3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 по 28 августа 1940 проходили собственно 100 часовые гос. испытания АМ-38А, который был предъявлен 16 июля 1940 (1295,118).</w:t>
      </w:r>
    </w:p>
    <w:p w14:paraId="1AC0984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9EB9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и 7 ГУ Машкевич направил на завод 1 А.И.М. и Гуревичу письмо N 3/1487 в сопровождение протокола постоянной комиссии НКАП по рассмотрению эскизного проекта ОПБШ, утвержденный А.С.Я. (1448,57).</w:t>
      </w:r>
    </w:p>
    <w:p w14:paraId="0934D35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A9B9DD2" w14:textId="77777777" w:rsidR="003C7E8B" w:rsidRPr="00DB5D0D" w:rsidRDefault="003C7E8B" w:rsidP="00DB5D0D">
      <w:pPr>
        <w:pStyle w:val="24"/>
        <w:widowControl/>
        <w:rPr>
          <w:color w:val="000000" w:themeColor="text1"/>
        </w:rPr>
      </w:pPr>
      <w:r w:rsidRPr="00DB5D0D">
        <w:rPr>
          <w:color w:val="000000" w:themeColor="text1"/>
        </w:rPr>
        <w:t>3 августа 1940 года гл. конструктор завода № 1 НКАП Микоян писал письмо № 9177 зам. начальника ГУВВС генерал-лейтенанту Астахову, начальнику НИИ ВВС генерал-майору Филину</w:t>
      </w:r>
    </w:p>
    <w:p w14:paraId="4F02617F" w14:textId="77777777" w:rsidR="003C7E8B" w:rsidRPr="00DB5D0D" w:rsidRDefault="003C7E8B" w:rsidP="00DB5D0D">
      <w:pPr>
        <w:pStyle w:val="24"/>
        <w:widowControl/>
        <w:rPr>
          <w:color w:val="000000" w:themeColor="text1"/>
        </w:rPr>
      </w:pPr>
      <w:r w:rsidRPr="00DB5D0D">
        <w:rPr>
          <w:color w:val="000000" w:themeColor="text1"/>
        </w:rPr>
        <w:t>Сообщаю, что ОКО и опытным производством завода 3 1 выполнен макет самолета ПБШ-М38, с учетом требований ГУВВС.</w:t>
      </w:r>
    </w:p>
    <w:p w14:paraId="296327AB" w14:textId="77777777" w:rsidR="003C7E8B" w:rsidRPr="00DB5D0D" w:rsidRDefault="003C7E8B" w:rsidP="00DB5D0D">
      <w:pPr>
        <w:pStyle w:val="24"/>
        <w:widowControl/>
        <w:rPr>
          <w:color w:val="000000" w:themeColor="text1"/>
        </w:rPr>
      </w:pPr>
      <w:r w:rsidRPr="00DB5D0D">
        <w:rPr>
          <w:color w:val="000000" w:themeColor="text1"/>
        </w:rPr>
        <w:t>Прошу прислать макетную комиссию 3 сентября 1940 года (7718, 344).</w:t>
      </w:r>
    </w:p>
    <w:p w14:paraId="5BF59F7D" w14:textId="77777777" w:rsidR="003C7E8B" w:rsidRPr="00DB5D0D" w:rsidRDefault="003C7E8B" w:rsidP="00DB5D0D">
      <w:pPr>
        <w:pStyle w:val="24"/>
        <w:widowControl/>
        <w:rPr>
          <w:color w:val="000000" w:themeColor="text1"/>
        </w:rPr>
      </w:pPr>
    </w:p>
    <w:p w14:paraId="78F46C7A" w14:textId="77777777" w:rsidR="003C7E8B" w:rsidRPr="00DB5D0D" w:rsidRDefault="003C7E8B" w:rsidP="00DB5D0D">
      <w:pPr>
        <w:pStyle w:val="a3"/>
        <w:widowControl/>
        <w:rPr>
          <w:color w:val="000000" w:themeColor="text1"/>
          <w:lang w:val="ru-RU"/>
        </w:rPr>
      </w:pPr>
      <w:r w:rsidRPr="00DB5D0D">
        <w:rPr>
          <w:color w:val="000000" w:themeColor="text1"/>
          <w:lang w:val="ru-RU"/>
        </w:rPr>
        <w:t>3 августа 1940 года секретарь КО М. Пугаев писал письмо № 7146/ко в Наркомавиапром Шахурину А.И.</w:t>
      </w:r>
    </w:p>
    <w:p w14:paraId="53F27E01" w14:textId="77777777" w:rsidR="003C7E8B" w:rsidRPr="00DB5D0D" w:rsidRDefault="003C7E8B" w:rsidP="00DB5D0D">
      <w:pPr>
        <w:pStyle w:val="a3"/>
        <w:widowControl/>
        <w:rPr>
          <w:color w:val="000000" w:themeColor="text1"/>
          <w:lang w:val="ru-RU"/>
        </w:rPr>
      </w:pPr>
      <w:r w:rsidRPr="00DB5D0D">
        <w:rPr>
          <w:color w:val="000000" w:themeColor="text1"/>
          <w:lang w:val="ru-RU"/>
        </w:rPr>
        <w:t>По указанию зам. председателя КО Вознесенского Н.А. направляю на Вашу визу проект постановления КО о доводке самолета ББ-1, подработанный Секретариатом КО с участием главного конструктора самолета Сухого.</w:t>
      </w:r>
    </w:p>
    <w:p w14:paraId="18D8C59B" w14:textId="77777777" w:rsidR="003C7E8B" w:rsidRPr="00DB5D0D" w:rsidRDefault="003C7E8B" w:rsidP="00DB5D0D">
      <w:pPr>
        <w:pStyle w:val="a3"/>
        <w:widowControl/>
        <w:rPr>
          <w:color w:val="000000" w:themeColor="text1"/>
          <w:lang w:val="ru-RU"/>
        </w:rPr>
      </w:pPr>
      <w:r w:rsidRPr="00DB5D0D">
        <w:rPr>
          <w:color w:val="000000" w:themeColor="text1"/>
          <w:lang w:val="ru-RU"/>
        </w:rPr>
        <w:t>Приложение: упомянутое на 1 листе (подлежит возврату) (3377, 69).</w:t>
      </w:r>
    </w:p>
    <w:p w14:paraId="4F218B99" w14:textId="77777777" w:rsidR="003C7E8B" w:rsidRPr="00DB5D0D" w:rsidRDefault="003C7E8B" w:rsidP="00DB5D0D">
      <w:pPr>
        <w:pStyle w:val="a3"/>
        <w:widowControl/>
        <w:rPr>
          <w:color w:val="000000" w:themeColor="text1"/>
          <w:lang w:val="ru-RU"/>
        </w:rPr>
      </w:pPr>
      <w:r w:rsidRPr="00DB5D0D">
        <w:rPr>
          <w:color w:val="000000" w:themeColor="text1"/>
          <w:lang w:val="ru-RU"/>
        </w:rPr>
        <w:t>О доводке самолета ББ-1 с мотором М-88</w:t>
      </w:r>
    </w:p>
    <w:p w14:paraId="54F54093" w14:textId="77777777" w:rsidR="003C7E8B" w:rsidRPr="00DB5D0D" w:rsidRDefault="003C7E8B" w:rsidP="00DB5D0D">
      <w:pPr>
        <w:pStyle w:val="a3"/>
        <w:widowControl/>
        <w:rPr>
          <w:color w:val="000000" w:themeColor="text1"/>
          <w:lang w:val="ru-RU"/>
        </w:rPr>
      </w:pPr>
      <w:r w:rsidRPr="00DB5D0D">
        <w:rPr>
          <w:color w:val="000000" w:themeColor="text1"/>
          <w:lang w:val="ru-RU"/>
        </w:rPr>
        <w:t>По ходатайству НКО – Тимошенко С.К. КО постановляет:</w:t>
      </w:r>
    </w:p>
    <w:p w14:paraId="5FBB38FE"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Обязать НКАП:</w:t>
      </w:r>
    </w:p>
    <w:p w14:paraId="2C865033" w14:textId="77777777" w:rsidR="003C7E8B" w:rsidRPr="00DB5D0D" w:rsidRDefault="003C7E8B" w:rsidP="00DB5D0D">
      <w:pPr>
        <w:pStyle w:val="a3"/>
        <w:widowControl/>
        <w:rPr>
          <w:color w:val="000000" w:themeColor="text1"/>
          <w:lang w:val="ru-RU"/>
        </w:rPr>
      </w:pPr>
      <w:r w:rsidRPr="00DB5D0D">
        <w:rPr>
          <w:color w:val="000000" w:themeColor="text1"/>
          <w:lang w:val="ru-RU"/>
        </w:rPr>
        <w:t>а) довести максимальную скорость самолета ББ-1 с М-88 до установленной постановлением КО № 228сс от 29 июля 1940 года, отработать установку для подвески бомбы в 500 кг, установить оборудование для бомбометания с пикирования, устранить выявленные при государственных и войсковых испытаниях дефекты и к 15 сентября 1940 года предъявить эталон самолета ББ-1 с мотором М-88 на контрольные испытания в НИИ ВВС;</w:t>
      </w:r>
    </w:p>
    <w:p w14:paraId="37BF8BE5" w14:textId="77777777" w:rsidR="003C7E8B" w:rsidRPr="00DB5D0D" w:rsidRDefault="003C7E8B" w:rsidP="00DB5D0D">
      <w:pPr>
        <w:pStyle w:val="a3"/>
        <w:widowControl/>
        <w:rPr>
          <w:color w:val="000000" w:themeColor="text1"/>
          <w:lang w:val="ru-RU"/>
        </w:rPr>
      </w:pPr>
      <w:r w:rsidRPr="00DB5D0D">
        <w:rPr>
          <w:color w:val="000000" w:themeColor="text1"/>
          <w:lang w:val="ru-RU"/>
        </w:rPr>
        <w:t>б) совместно с НКО в трехдневный срок установить порядок и очередность устранения на самолетах ББ-1 М-88 дефектов, выявленных при государственных и войсковых испытаниях;</w:t>
      </w:r>
    </w:p>
    <w:p w14:paraId="4A66A216" w14:textId="77777777" w:rsidR="003C7E8B" w:rsidRPr="00DB5D0D" w:rsidRDefault="003C7E8B" w:rsidP="00DB5D0D">
      <w:pPr>
        <w:pStyle w:val="a3"/>
        <w:widowControl/>
        <w:rPr>
          <w:color w:val="000000" w:themeColor="text1"/>
          <w:lang w:val="ru-RU"/>
        </w:rPr>
      </w:pPr>
      <w:r w:rsidRPr="00DB5D0D">
        <w:rPr>
          <w:color w:val="000000" w:themeColor="text1"/>
          <w:lang w:val="ru-RU"/>
        </w:rPr>
        <w:t>в) до 1 октября 1940 года довести винтомоторную группу и устранить дефекты на всех ранее выпущенных самолетах ББ-1 с М-88, находящихся в частях ВВС.</w:t>
      </w:r>
    </w:p>
    <w:p w14:paraId="5E651449" w14:textId="77777777" w:rsidR="003C7E8B" w:rsidRPr="00DB5D0D" w:rsidRDefault="003C7E8B" w:rsidP="00DB5D0D">
      <w:pPr>
        <w:pStyle w:val="a3"/>
        <w:widowControl/>
        <w:tabs>
          <w:tab w:val="left" w:pos="360"/>
        </w:tabs>
        <w:rPr>
          <w:color w:val="000000" w:themeColor="text1"/>
          <w:lang w:val="ru-RU"/>
        </w:rPr>
      </w:pPr>
      <w:r w:rsidRPr="00DB5D0D">
        <w:rPr>
          <w:color w:val="000000" w:themeColor="text1"/>
          <w:lang w:val="ru-RU"/>
        </w:rPr>
        <w:t>В целях дальнейшего улучшения летных качеств самолета ББ-1 с М-88 обязать Наркомавиапром – гл. конструктора Сухого в течение 1940 года отработать на самолете ББ-1 с М-88: установку предкрылков, хвостового колеса по типу Мессершмидт-109, улучшение поперечной устойчивости самолета и механизма выпуска щитков с тем, чтобы с 1 января 1941 года все серийные самолеты ББ-1 с М-88 выпускать с указанными улучшениями (3377, 70).</w:t>
      </w:r>
    </w:p>
    <w:p w14:paraId="66C81CBE" w14:textId="77777777" w:rsidR="003C7E8B" w:rsidRPr="00DB5D0D" w:rsidRDefault="003C7E8B" w:rsidP="00DB5D0D">
      <w:pPr>
        <w:pStyle w:val="a3"/>
        <w:widowControl/>
        <w:tabs>
          <w:tab w:val="left" w:pos="360"/>
        </w:tabs>
        <w:rPr>
          <w:color w:val="000000" w:themeColor="text1"/>
          <w:lang w:val="ru-RU"/>
        </w:rPr>
      </w:pPr>
    </w:p>
    <w:p w14:paraId="260398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самолет ББ-1 под М-90 был поврежден в ходе аварийной посадки на брюхо (10395,44).</w:t>
      </w:r>
    </w:p>
    <w:p w14:paraId="72F52A1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5D8A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в письме в ГУ ВВС N 807с/ОКБ ГК завода 39 С.В.И. сообщил возражения по вопросу установки мотора М-87 на самолет ДБ-3Ф и счел это мероприятие как исключительно временную меру с дальнейшей заменой М-87 на М-88.</w:t>
      </w:r>
    </w:p>
    <w:p w14:paraId="199092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 объясняет свои возражения тем, что самолет с мотором М-87 резко понизит свои качества как по боевой нагрузке, так и по скоростным данным (1295,9).</w:t>
      </w:r>
    </w:p>
    <w:p w14:paraId="5A56FE3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6634C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года Начальник НИП АВ ВВС полковник Шевченко и Военком НИП АВ ВВС в/инженер 2 ранга Щербинин утвердили Отчет по контрольным испытаниям вооружения на серийном самолете СБ № 12/291 завода № 22</w:t>
      </w:r>
    </w:p>
    <w:p w14:paraId="3A8970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45A1C5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Ефимов</w:t>
      </w:r>
    </w:p>
    <w:p w14:paraId="6A2152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Ивашечкин</w:t>
      </w:r>
    </w:p>
    <w:p w14:paraId="1B7543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7CB4F7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58A2E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w:t>
      </w:r>
    </w:p>
    <w:p w14:paraId="613405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испытаниях установить:</w:t>
      </w:r>
    </w:p>
    <w:p w14:paraId="23B3F7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соответствие монтажа бомбардировочного вооружения тактико-техническим требованиям на серийное оборудование самолета СБ;</w:t>
      </w:r>
    </w:p>
    <w:p w14:paraId="4A19BA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возможность подвески в бомбодержатели Дер-19, Дер-33, Дер-34 и Дер-31 положенных для данного типа бомбодержателя калибров авиабомб;</w:t>
      </w:r>
    </w:p>
    <w:p w14:paraId="581AD8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безотказность сбрасывания бомб с указанных типов бомбодержателей как от механических бомбосбрасывателей МСШ и МС – Дер-31, так и от ЭСБР-2.</w:t>
      </w:r>
    </w:p>
    <w:p w14:paraId="18FB66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w:t>
      </w:r>
    </w:p>
    <w:p w14:paraId="7F930B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испытаниях установить:</w:t>
      </w:r>
    </w:p>
    <w:p w14:paraId="4734AC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соответствие стрелкового вооружения на серийном самолете СБ тактико-техническим требованиям;</w:t>
      </w:r>
    </w:p>
    <w:p w14:paraId="4ADA73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обратить особое внимание на маневренность установок, свободное вращение оружия и свободное прохождение патронной ленты, снаряженной патронами со специальными пулями.</w:t>
      </w:r>
    </w:p>
    <w:p w14:paraId="39910E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Химическое вооружение</w:t>
      </w:r>
    </w:p>
    <w:p w14:paraId="0CE6D3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установкам двух ВАП-500 и двух УХАП-500 выявить следующие элементы:</w:t>
      </w:r>
    </w:p>
    <w:p w14:paraId="0E53085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Прочность и надежность установки.</w:t>
      </w:r>
    </w:p>
    <w:p w14:paraId="2272999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Удобство и возможность монтажа демонтажа ВАП-00 и УХАП-500.</w:t>
      </w:r>
    </w:p>
    <w:p w14:paraId="217AF5F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Безотказность работы механизма установки.</w:t>
      </w:r>
    </w:p>
    <w:p w14:paraId="053BFDB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Возможность забрызгивания самолета при выливании жидкости из приборов.</w:t>
      </w:r>
    </w:p>
    <w:p w14:paraId="6980692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Удобство управления приборами ВАП-500 и УХАП-500.</w:t>
      </w:r>
    </w:p>
    <w:p w14:paraId="7E4E24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6DC2D7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Предъявленное заводом № 22 вооружение самолета СБ № 12/291 контрольные испытания выдержало (7400).</w:t>
      </w:r>
    </w:p>
    <w:p w14:paraId="17C88FE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0444BB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года после посадки с убранными шасси, произведенной летчиком ЦАГИ Чернавским самолет И-135 "330" – гл. конструктор Сухой П.О.</w:t>
      </w:r>
    </w:p>
    <w:p w14:paraId="5BDFB4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135 был перевезен в Подлипки на завод № 289, для устранения полученных поломок.</w:t>
      </w:r>
    </w:p>
    <w:p w14:paraId="3017EE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Поломки были следующие: сорвана и помята заслонка водяного радиатора, помят нижний капот мотора, погнут винт, имеются вмятины на консоли стабилизатора и на консоли крыла. Кроме того, необходимо произвести замену мотора, осмотр ТК и других агрегатов (3377, 35).</w:t>
      </w:r>
    </w:p>
    <w:p w14:paraId="212DB78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1E66F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 после посадки с убранными шасси, произведенной летчиком ЦАГИ Чернавским, самолет И-135 "330" гл. конструктор Сухой, завод N 135 был перевезен в Подлипки на завод N 289 для устранения полученных поломок (3362).</w:t>
      </w:r>
    </w:p>
    <w:p w14:paraId="30597A4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B3EC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самолет производства ОКО з-да № 135, принадлежащий заводу № 289, в 11:25 совершил посадку при убранном шасси на аэродром 8-го отдела ЦАГИ.</w:t>
      </w:r>
    </w:p>
    <w:p w14:paraId="587D13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Самолет подготавливался к полету ведущими инженерами т.т. ГВОЗДЕВЫМ з.м. (8-й </w:t>
      </w:r>
      <w:r w:rsidRPr="00DB5D0D">
        <w:rPr>
          <w:rFonts w:ascii="Times New Roman" w:hAnsi="Times New Roman"/>
          <w:smallCaps/>
          <w:color w:val="000000" w:themeColor="text1"/>
          <w:sz w:val="16"/>
          <w:szCs w:val="16"/>
        </w:rPr>
        <w:t xml:space="preserve">отд. цаги) </w:t>
      </w:r>
      <w:r w:rsidRPr="00DB5D0D">
        <w:rPr>
          <w:rFonts w:ascii="Times New Roman" w:hAnsi="Times New Roman"/>
          <w:color w:val="000000" w:themeColor="text1"/>
          <w:sz w:val="16"/>
          <w:szCs w:val="16"/>
        </w:rPr>
        <w:t>и ПОЛЕНОВЫМ М.П. ( з-д 289); бортмеханиками т.т. АЛЕКСАНДРОВЫМ К.И. (3-д № 135) и ЛОПУХОВЫМ К.Я. (8-й Отд. ЦАГИ).</w:t>
      </w:r>
    </w:p>
    <w:p w14:paraId="517134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пилотировал летчик испытатель 1-го класса 8-го Отд. ЦАГИ т. ЧЕРНАВСКИЙ А.П.</w:t>
      </w:r>
    </w:p>
    <w:p w14:paraId="7F0352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 внешнему осмотру установлены следующие поломки:</w:t>
      </w:r>
    </w:p>
    <w:p w14:paraId="3D838A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Погнуты все три лопаоти винта.</w:t>
      </w:r>
    </w:p>
    <w:p w14:paraId="7A6233E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Разрушен капот масляного радиатора.</w:t>
      </w:r>
    </w:p>
    <w:p w14:paraId="246E7A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Радиатор-масляный сдвинут м места назад, с повреждением основания штуцера вход. масла, частично помяты соты и имеются вмятины обечайки.</w:t>
      </w:r>
    </w:p>
    <w:p w14:paraId="3D5734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Помята передняя кромка центроплана с левой стороны у фюзеляжа.</w:t>
      </w:r>
    </w:p>
    <w:p w14:paraId="5594E2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Помяты щитки шасси.</w:t>
      </w:r>
    </w:p>
    <w:p w14:paraId="4BD163C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Разрушен обтекатель входа воздуха туннеля водяного радиатора.</w:t>
      </w:r>
    </w:p>
    <w:p w14:paraId="3AECA0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Помята -передняя кромка стабилизатора с левой стороны вблизи фюзеляжа.</w:t>
      </w:r>
    </w:p>
    <w:p w14:paraId="22D83F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на месте повадки произвела после подъема самолета, выпуск шасси ручной помпой. Выпуск шасси произошел нормально. Самолет с места посадки был отбуксирован трактором на своем шасся. Самолет у ангара быв поднят на козелки для проверки шаоои: было произведено шесть выпусков шассн ручной помпой (уборка шасси производилась ручной помпой с помощью об</w:t>
      </w:r>
      <w:r w:rsidRPr="00DB5D0D">
        <w:rPr>
          <w:rFonts w:ascii="Times New Roman" w:hAnsi="Times New Roman"/>
          <w:color w:val="000000" w:themeColor="text1"/>
          <w:sz w:val="16"/>
          <w:szCs w:val="16"/>
        </w:rPr>
        <w:softHyphen/>
        <w:t>служивающего персонала).</w:t>
      </w:r>
    </w:p>
    <w:p w14:paraId="5D0247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о тем, что в ТК при посадке набилась земля и масляная система была повреждена, а такж вследствие деформации лопастей шага, запуск мотора и проверка работы приводной помпы произведена не был. При легком проворачивании вала мотора за винт из нагнетающего штуцера помпы шасси подавалосъ масло (велосид). По внешнему осмотру и при проворачивании за хвостовик помпы 88Р завода № 20 никаких дефектов не замечено. Помпа была отправлена на завод № 20 для осмотра и снятия характеристик по техническим условиям. Помпа техническим условиям соответствует (см. акт приложение 15а).</w:t>
      </w:r>
    </w:p>
    <w:p w14:paraId="3B8CCF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масляной системы мотора было слито 25 литр. масла и проверен входной фильтр. Стружек и механическ. примесей в фильтре не обна</w:t>
      </w:r>
      <w:r w:rsidRPr="00DB5D0D">
        <w:rPr>
          <w:rFonts w:ascii="Times New Roman" w:hAnsi="Times New Roman"/>
          <w:color w:val="000000" w:themeColor="text1"/>
          <w:sz w:val="16"/>
          <w:szCs w:val="16"/>
        </w:rPr>
        <w:softHyphen/>
        <w:t>ружено. Масляный радиатор типа ОМ 252 № 74011 снят с самолета и был направлен на завод № 34 для снятия тепловых и гидравлических характеристик, о целью сравнения полученнных данных с предыдущим радиатором № 5 стоявшим на самолете (814).</w:t>
      </w:r>
    </w:p>
    <w:p w14:paraId="2401E50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BD055A"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получил серьезные повреждения истре</w:t>
      </w:r>
      <w:r w:rsidRPr="00DB5D0D">
        <w:rPr>
          <w:rFonts w:ascii="Times New Roman" w:hAnsi="Times New Roman"/>
          <w:color w:val="000000" w:themeColor="text1"/>
          <w:sz w:val="16"/>
          <w:szCs w:val="16"/>
        </w:rPr>
        <w:softHyphen/>
        <w:t>битель И-135 П.О. Сухого, а 11 августа - истребитель И-301 Лавочкина.</w:t>
      </w:r>
    </w:p>
    <w:p w14:paraId="29834189"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Лучше шли дела у Пашинина. Макет самолета был утвержден 8 марта, эскиз</w:t>
      </w:r>
      <w:r w:rsidRPr="00DB5D0D">
        <w:rPr>
          <w:rFonts w:ascii="Times New Roman" w:hAnsi="Times New Roman"/>
          <w:color w:val="000000" w:themeColor="text1"/>
          <w:sz w:val="16"/>
          <w:szCs w:val="16"/>
        </w:rPr>
        <w:softHyphen/>
        <w:t>ный проект - 25 мая 1940 г. На самолете И-21, также как и на И-301, была предус</w:t>
      </w:r>
      <w:r w:rsidRPr="00DB5D0D">
        <w:rPr>
          <w:rFonts w:ascii="Times New Roman" w:hAnsi="Times New Roman"/>
          <w:color w:val="000000" w:themeColor="text1"/>
          <w:sz w:val="16"/>
          <w:szCs w:val="16"/>
        </w:rPr>
        <w:softHyphen/>
        <w:t>мотрена установка мотор-пушки калибра 23 мм Таубина, а пулеметное вооруже</w:t>
      </w:r>
      <w:r w:rsidRPr="00DB5D0D">
        <w:rPr>
          <w:rFonts w:ascii="Times New Roman" w:hAnsi="Times New Roman"/>
          <w:color w:val="000000" w:themeColor="text1"/>
          <w:sz w:val="16"/>
          <w:szCs w:val="16"/>
        </w:rPr>
        <w:softHyphen/>
        <w:t>ние составляли два синхронных ШКАСа. Постройка первого опытного экземпляра И-21 с мотором М-105П завершилась в июне, заводские испытания начались 1 июля, первый вылет состоялся И июля 1940 г. под управлением летчика-испыта- теля П.У. Фокина.</w:t>
      </w:r>
    </w:p>
    <w:p w14:paraId="2B75F7B7"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проходили успешно, и 16 августа нарком Шахурин направил руководителю Госплана СССР Н.А. Воз</w:t>
      </w:r>
      <w:r w:rsidRPr="00DB5D0D">
        <w:rPr>
          <w:rFonts w:ascii="Times New Roman" w:hAnsi="Times New Roman"/>
          <w:color w:val="000000" w:themeColor="text1"/>
          <w:sz w:val="16"/>
          <w:szCs w:val="16"/>
        </w:rPr>
        <w:softHyphen/>
        <w:t>несенскому справку по предваритель</w:t>
      </w:r>
      <w:r w:rsidRPr="00DB5D0D">
        <w:rPr>
          <w:rFonts w:ascii="Times New Roman" w:hAnsi="Times New Roman"/>
          <w:color w:val="000000" w:themeColor="text1"/>
          <w:sz w:val="16"/>
          <w:szCs w:val="16"/>
        </w:rPr>
        <w:softHyphen/>
        <w:t>ным результатам заводских испыта</w:t>
      </w:r>
      <w:r w:rsidRPr="00DB5D0D">
        <w:rPr>
          <w:rFonts w:ascii="Times New Roman" w:hAnsi="Times New Roman"/>
          <w:color w:val="000000" w:themeColor="text1"/>
          <w:sz w:val="16"/>
          <w:szCs w:val="16"/>
        </w:rPr>
        <w:softHyphen/>
        <w:t>ний: сделано 28 полетов, получена мак</w:t>
      </w:r>
      <w:r w:rsidRPr="00DB5D0D">
        <w:rPr>
          <w:rFonts w:ascii="Times New Roman" w:hAnsi="Times New Roman"/>
          <w:color w:val="000000" w:themeColor="text1"/>
          <w:sz w:val="16"/>
          <w:szCs w:val="16"/>
        </w:rPr>
        <w:softHyphen/>
        <w:t>симальная скорость 628 км/ч на высоте 5250 м - рекордная для самолетов с мо</w:t>
      </w:r>
      <w:r w:rsidRPr="00DB5D0D">
        <w:rPr>
          <w:rFonts w:ascii="Times New Roman" w:hAnsi="Times New Roman"/>
          <w:color w:val="000000" w:themeColor="text1"/>
          <w:sz w:val="16"/>
          <w:szCs w:val="16"/>
        </w:rPr>
        <w:softHyphen/>
        <w:t>тором М-105П. Самолет перегнали в Мо</w:t>
      </w:r>
      <w:r w:rsidRPr="00DB5D0D">
        <w:rPr>
          <w:rFonts w:ascii="Times New Roman" w:hAnsi="Times New Roman"/>
          <w:color w:val="000000" w:themeColor="text1"/>
          <w:sz w:val="16"/>
          <w:szCs w:val="16"/>
        </w:rPr>
        <w:softHyphen/>
        <w:t>скву с целью подготовки для передачи на госиспытания. Но не дожидаясь их на</w:t>
      </w:r>
      <w:r w:rsidRPr="00DB5D0D">
        <w:rPr>
          <w:rFonts w:ascii="Times New Roman" w:hAnsi="Times New Roman"/>
          <w:color w:val="000000" w:themeColor="text1"/>
          <w:sz w:val="16"/>
          <w:szCs w:val="16"/>
        </w:rPr>
        <w:softHyphen/>
        <w:t>чала, 11 сентября Шахурин представил Сталину «на рассмотрение и утвержде</w:t>
      </w:r>
      <w:r w:rsidRPr="00DB5D0D">
        <w:rPr>
          <w:rFonts w:ascii="Times New Roman" w:hAnsi="Times New Roman"/>
          <w:color w:val="000000" w:themeColor="text1"/>
          <w:sz w:val="16"/>
          <w:szCs w:val="16"/>
        </w:rPr>
        <w:softHyphen/>
        <w:t>ние проект постановления КО при СНК СССР по вопросу снятия с производства на заводе №21 самолета И-180 и по</w:t>
      </w:r>
      <w:r w:rsidRPr="00DB5D0D">
        <w:rPr>
          <w:rFonts w:ascii="Times New Roman" w:hAnsi="Times New Roman"/>
          <w:color w:val="000000" w:themeColor="text1"/>
          <w:sz w:val="16"/>
          <w:szCs w:val="16"/>
        </w:rPr>
        <w:softHyphen/>
        <w:t>становке серийного производства само</w:t>
      </w:r>
      <w:r w:rsidRPr="00DB5D0D">
        <w:rPr>
          <w:rFonts w:ascii="Times New Roman" w:hAnsi="Times New Roman"/>
          <w:color w:val="000000" w:themeColor="text1"/>
          <w:sz w:val="16"/>
          <w:szCs w:val="16"/>
        </w:rPr>
        <w:softHyphen/>
        <w:t>лета И-21 конструкции тов. Пашинина на этом же заводе». По проекту предполага</w:t>
      </w:r>
      <w:r w:rsidRPr="00DB5D0D">
        <w:rPr>
          <w:rFonts w:ascii="Times New Roman" w:hAnsi="Times New Roman"/>
          <w:color w:val="000000" w:themeColor="text1"/>
          <w:sz w:val="16"/>
          <w:szCs w:val="16"/>
        </w:rPr>
        <w:softHyphen/>
        <w:t>лось утвердить программу заводу №21 на 1940 год - 50 ед. И-21. Казалось, и здесь дело пойдет по примеру завода №1 - поддержка наркомата и завода были на</w:t>
      </w:r>
      <w:r w:rsidRPr="00DB5D0D">
        <w:rPr>
          <w:rFonts w:ascii="Times New Roman" w:hAnsi="Times New Roman"/>
          <w:color w:val="000000" w:themeColor="text1"/>
          <w:sz w:val="16"/>
          <w:szCs w:val="16"/>
        </w:rPr>
        <w:softHyphen/>
        <w:t>лицо. Но случилась одна неожиданная не</w:t>
      </w:r>
      <w:r w:rsidRPr="00DB5D0D">
        <w:rPr>
          <w:rFonts w:ascii="Times New Roman" w:hAnsi="Times New Roman"/>
          <w:color w:val="000000" w:themeColor="text1"/>
          <w:sz w:val="16"/>
          <w:szCs w:val="16"/>
        </w:rPr>
        <w:softHyphen/>
        <w:t>приятность, перечеркнувшая все.</w:t>
      </w:r>
    </w:p>
    <w:p w14:paraId="67AD043D"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принятия на госиспытания, в рам</w:t>
      </w:r>
      <w:r w:rsidRPr="00DB5D0D">
        <w:rPr>
          <w:rFonts w:ascii="Times New Roman" w:hAnsi="Times New Roman"/>
          <w:color w:val="000000" w:themeColor="text1"/>
          <w:sz w:val="16"/>
          <w:szCs w:val="16"/>
        </w:rPr>
        <w:softHyphen/>
        <w:t>ках заводских испытаний, с 27 августа по 18 сентября 1940 г.летчиками-испытате- лями НИИ ВВС Супруном и Стефановским было сделано 5 полетов, во время которых была выявлена недостаточная попереч</w:t>
      </w:r>
      <w:r w:rsidRPr="00DB5D0D">
        <w:rPr>
          <w:rFonts w:ascii="Times New Roman" w:hAnsi="Times New Roman"/>
          <w:color w:val="000000" w:themeColor="text1"/>
          <w:sz w:val="16"/>
          <w:szCs w:val="16"/>
        </w:rPr>
        <w:softHyphen/>
        <w:t>ная, продольная и путевая устойчивость. Неустойчивость в продольном отношении самолет имел из-за чрезвычайно задней центровки (34% САХ).А при проверке мак</w:t>
      </w:r>
      <w:r w:rsidRPr="00DB5D0D">
        <w:rPr>
          <w:rFonts w:ascii="Times New Roman" w:hAnsi="Times New Roman"/>
          <w:color w:val="000000" w:themeColor="text1"/>
          <w:sz w:val="16"/>
          <w:szCs w:val="16"/>
        </w:rPr>
        <w:softHyphen/>
        <w:t>симальных скоростей на расчетной высоте получили значительно меньшую скорость - всего 559 км/ч. Причиной последнего ока</w:t>
      </w:r>
      <w:r w:rsidRPr="00DB5D0D">
        <w:rPr>
          <w:rFonts w:ascii="Times New Roman" w:hAnsi="Times New Roman"/>
          <w:color w:val="000000" w:themeColor="text1"/>
          <w:sz w:val="16"/>
          <w:szCs w:val="16"/>
        </w:rPr>
        <w:softHyphen/>
        <w:t>залась неправильная тарировка на заводе указателя скорости.</w:t>
      </w:r>
    </w:p>
    <w:p w14:paraId="7388936A"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касается устойчивости - этот во</w:t>
      </w:r>
      <w:r w:rsidRPr="00DB5D0D">
        <w:rPr>
          <w:rFonts w:ascii="Times New Roman" w:hAnsi="Times New Roman"/>
          <w:color w:val="000000" w:themeColor="text1"/>
          <w:sz w:val="16"/>
          <w:szCs w:val="16"/>
        </w:rPr>
        <w:softHyphen/>
        <w:t>прос являлся чуть ли не ключевым для начальника НИИ ВВС Филина. Ознакомив</w:t>
      </w:r>
      <w:r w:rsidRPr="00DB5D0D">
        <w:rPr>
          <w:rFonts w:ascii="Times New Roman" w:hAnsi="Times New Roman"/>
          <w:color w:val="000000" w:themeColor="text1"/>
          <w:sz w:val="16"/>
          <w:szCs w:val="16"/>
        </w:rPr>
        <w:softHyphen/>
        <w:t>шись с пилотажными характеристиками сначала трофейного Ме-109В, а теперь и официально закупленного Ме-109Е, Фи</w:t>
      </w:r>
      <w:r w:rsidRPr="00DB5D0D">
        <w:rPr>
          <w:rFonts w:ascii="Times New Roman" w:hAnsi="Times New Roman"/>
          <w:color w:val="000000" w:themeColor="text1"/>
          <w:sz w:val="16"/>
          <w:szCs w:val="16"/>
        </w:rPr>
        <w:softHyphen/>
        <w:t>лин при каждом удобном случае (посы</w:t>
      </w:r>
      <w:r w:rsidRPr="00DB5D0D">
        <w:rPr>
          <w:rFonts w:ascii="Times New Roman" w:hAnsi="Times New Roman"/>
          <w:color w:val="000000" w:themeColor="text1"/>
          <w:sz w:val="16"/>
          <w:szCs w:val="16"/>
        </w:rPr>
        <w:softHyphen/>
        <w:t>лая даже специальные доклады в КО и НКАП) стал критиковать прежнюю линию Поликарпова придания истребителю не</w:t>
      </w:r>
      <w:r w:rsidRPr="00DB5D0D">
        <w:rPr>
          <w:rFonts w:ascii="Times New Roman" w:hAnsi="Times New Roman"/>
          <w:color w:val="000000" w:themeColor="text1"/>
          <w:sz w:val="16"/>
          <w:szCs w:val="16"/>
        </w:rPr>
        <w:softHyphen/>
        <w:t>устойчивости для увеличения маневрен</w:t>
      </w:r>
      <w:r w:rsidRPr="00DB5D0D">
        <w:rPr>
          <w:rFonts w:ascii="Times New Roman" w:hAnsi="Times New Roman"/>
          <w:color w:val="000000" w:themeColor="text1"/>
          <w:sz w:val="16"/>
          <w:szCs w:val="16"/>
        </w:rPr>
        <w:softHyphen/>
        <w:t>ности и требовать строить новые опытные самолеты только с достаточным запасом устойчивости по всем осям. Например, на Техсовете по И-26, который также обнару</w:t>
      </w:r>
      <w:r w:rsidRPr="00DB5D0D">
        <w:rPr>
          <w:rFonts w:ascii="Times New Roman" w:hAnsi="Times New Roman"/>
          <w:color w:val="000000" w:themeColor="text1"/>
          <w:sz w:val="16"/>
          <w:szCs w:val="16"/>
        </w:rPr>
        <w:softHyphen/>
        <w:t>жил некоторую неустойчивость, он гово</w:t>
      </w:r>
      <w:r w:rsidRPr="00DB5D0D">
        <w:rPr>
          <w:rFonts w:ascii="Times New Roman" w:hAnsi="Times New Roman"/>
          <w:color w:val="000000" w:themeColor="text1"/>
          <w:sz w:val="16"/>
          <w:szCs w:val="16"/>
        </w:rPr>
        <w:softHyphen/>
        <w:t>рил:</w:t>
      </w:r>
      <w:r w:rsidRPr="00DB5D0D">
        <w:rPr>
          <w:rStyle w:val="aff6"/>
          <w:rFonts w:ascii="Times New Roman" w:hAnsi="Times New Roman" w:cs="Times New Roman"/>
          <w:color w:val="000000" w:themeColor="text1"/>
        </w:rPr>
        <w:t xml:space="preserve"> «Не нужно забывать одно, что И-16 очень много людей унес в могилу из-за того, что неустойчив в продольном от</w:t>
      </w:r>
      <w:r w:rsidRPr="00DB5D0D">
        <w:rPr>
          <w:rStyle w:val="aff6"/>
          <w:rFonts w:ascii="Times New Roman" w:hAnsi="Times New Roman" w:cs="Times New Roman"/>
          <w:color w:val="000000" w:themeColor="text1"/>
        </w:rPr>
        <w:softHyphen/>
        <w:t>ношении. На УТ бросили летать тоже из- за того, что это исключительно неустой</w:t>
      </w:r>
      <w:r w:rsidRPr="00DB5D0D">
        <w:rPr>
          <w:rStyle w:val="aff6"/>
          <w:rFonts w:ascii="Times New Roman" w:hAnsi="Times New Roman" w:cs="Times New Roman"/>
          <w:color w:val="000000" w:themeColor="text1"/>
        </w:rPr>
        <w:softHyphen/>
        <w:t>чивый самолет. И повторять ошибки в 1940 г. я лично считаю невозможным».</w:t>
      </w:r>
    </w:p>
    <w:p w14:paraId="598C41FE" w14:textId="77777777" w:rsidR="00156ED0" w:rsidRPr="00DB5D0D" w:rsidRDefault="00156ED0"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Репутация И-21 была сильно подпор</w:t>
      </w:r>
      <w:r w:rsidRPr="00DB5D0D">
        <w:rPr>
          <w:rFonts w:ascii="Times New Roman" w:hAnsi="Times New Roman"/>
          <w:color w:val="000000" w:themeColor="text1"/>
          <w:sz w:val="16"/>
          <w:szCs w:val="16"/>
        </w:rPr>
        <w:softHyphen/>
        <w:t>чена, ввиду выявленных дефектов само</w:t>
      </w:r>
      <w:r w:rsidRPr="00DB5D0D">
        <w:rPr>
          <w:rFonts w:ascii="Times New Roman" w:hAnsi="Times New Roman"/>
          <w:color w:val="000000" w:themeColor="text1"/>
          <w:sz w:val="16"/>
          <w:szCs w:val="16"/>
        </w:rPr>
        <w:softHyphen/>
        <w:t>лет на госиспытания принят не был и от</w:t>
      </w:r>
      <w:r w:rsidRPr="00DB5D0D">
        <w:rPr>
          <w:rFonts w:ascii="Times New Roman" w:hAnsi="Times New Roman"/>
          <w:color w:val="000000" w:themeColor="text1"/>
          <w:sz w:val="16"/>
          <w:szCs w:val="16"/>
        </w:rPr>
        <w:softHyphen/>
        <w:t>правлен обратно на завод №21 для до</w:t>
      </w:r>
      <w:r w:rsidRPr="00DB5D0D">
        <w:rPr>
          <w:rFonts w:ascii="Times New Roman" w:hAnsi="Times New Roman"/>
          <w:color w:val="000000" w:themeColor="text1"/>
          <w:sz w:val="16"/>
          <w:szCs w:val="16"/>
        </w:rPr>
        <w:softHyphen/>
        <w:t>водки. Запуск в серийное производство не состоялся." Шахурин после этого случая больше не пытался «протежировать» чей- либо самолет без положительного заклю</w:t>
      </w:r>
      <w:r w:rsidRPr="00DB5D0D">
        <w:rPr>
          <w:rFonts w:ascii="Times New Roman" w:hAnsi="Times New Roman"/>
          <w:color w:val="000000" w:themeColor="text1"/>
          <w:sz w:val="16"/>
          <w:szCs w:val="16"/>
        </w:rPr>
        <w:softHyphen/>
        <w:t>чения военных (19740).</w:t>
      </w:r>
    </w:p>
    <w:p w14:paraId="74CC8A1B" w14:textId="77777777" w:rsidR="00156ED0" w:rsidRPr="00DB5D0D" w:rsidRDefault="00156ED0" w:rsidP="00DB5D0D">
      <w:pPr>
        <w:spacing w:after="0" w:line="240" w:lineRule="auto"/>
        <w:jc w:val="both"/>
        <w:rPr>
          <w:rFonts w:ascii="Times New Roman" w:hAnsi="Times New Roman"/>
          <w:color w:val="000000" w:themeColor="text1"/>
          <w:sz w:val="16"/>
          <w:szCs w:val="16"/>
        </w:rPr>
      </w:pPr>
    </w:p>
    <w:p w14:paraId="65DB3008"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при очередном полете И-135 на проверку температуры масла произошла авария, А.П. Чернавский по ошибке произвел посадку с убранными шасси. Самолет получил повреждения и был отправлен на завод № 289 для ремонта, в процессе которого заменили мотор, воздушный винт, изготовили новые створки канала водяного радиатора, новую нижнюю часть капота мотора (15578).</w:t>
      </w:r>
    </w:p>
    <w:p w14:paraId="24CE976C"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2493CF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 л Чернавский по ошибке посадил Су-1 с убранными шасси. Самолет получил повреждения и оправился в ремонт. Ремонт продолжался до 9 сентября. При этом заменили мотор, сделали новую створку радиатора и новую нижнюю часть капота мотора (814, 6406).</w:t>
      </w:r>
    </w:p>
    <w:p w14:paraId="5579C2E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B376B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при очеред</w:t>
      </w:r>
      <w:r w:rsidRPr="00DB5D0D">
        <w:rPr>
          <w:rFonts w:ascii="Times New Roman" w:hAnsi="Times New Roman"/>
          <w:color w:val="000000" w:themeColor="text1"/>
          <w:sz w:val="16"/>
          <w:szCs w:val="16"/>
        </w:rPr>
        <w:softHyphen/>
        <w:t>ном полете И-135 на проверку темпера</w:t>
      </w:r>
      <w:r w:rsidRPr="00DB5D0D">
        <w:rPr>
          <w:rFonts w:ascii="Times New Roman" w:hAnsi="Times New Roman"/>
          <w:color w:val="000000" w:themeColor="text1"/>
          <w:sz w:val="16"/>
          <w:szCs w:val="16"/>
        </w:rPr>
        <w:softHyphen/>
        <w:t>туры масла произошла авария, А.П. Чернавский по ошибке произвел посадку с убранными шасси. Са</w:t>
      </w:r>
      <w:r w:rsidRPr="00DB5D0D">
        <w:rPr>
          <w:rFonts w:ascii="Times New Roman" w:hAnsi="Times New Roman"/>
          <w:color w:val="000000" w:themeColor="text1"/>
          <w:sz w:val="16"/>
          <w:szCs w:val="16"/>
        </w:rPr>
        <w:softHyphen/>
        <w:t>молет получил повреждения и был отправлен на завод № 289 для ремонта, в процессе которого за</w:t>
      </w:r>
      <w:r w:rsidRPr="00DB5D0D">
        <w:rPr>
          <w:rFonts w:ascii="Times New Roman" w:hAnsi="Times New Roman"/>
          <w:color w:val="000000" w:themeColor="text1"/>
          <w:sz w:val="16"/>
          <w:szCs w:val="16"/>
        </w:rPr>
        <w:softHyphen/>
        <w:t>менили мотор, воздушный винт, из</w:t>
      </w:r>
      <w:r w:rsidRPr="00DB5D0D">
        <w:rPr>
          <w:rFonts w:ascii="Times New Roman" w:hAnsi="Times New Roman"/>
          <w:color w:val="000000" w:themeColor="text1"/>
          <w:sz w:val="16"/>
          <w:szCs w:val="16"/>
        </w:rPr>
        <w:softHyphen/>
        <w:t>готовили новые створки канала водяного радиатора, новую ниж</w:t>
      </w:r>
      <w:r w:rsidRPr="00DB5D0D">
        <w:rPr>
          <w:rFonts w:ascii="Times New Roman" w:hAnsi="Times New Roman"/>
          <w:color w:val="000000" w:themeColor="text1"/>
          <w:sz w:val="16"/>
          <w:szCs w:val="16"/>
        </w:rPr>
        <w:softHyphen/>
        <w:t>нюю часть капота мотора. Ремонт завершился 9 сентября, а 13 сентября испытания были про</w:t>
      </w:r>
      <w:r w:rsidRPr="00DB5D0D">
        <w:rPr>
          <w:rFonts w:ascii="Times New Roman" w:hAnsi="Times New Roman"/>
          <w:color w:val="000000" w:themeColor="text1"/>
          <w:sz w:val="16"/>
          <w:szCs w:val="16"/>
        </w:rPr>
        <w:softHyphen/>
        <w:t>должены летчиком-испытателем П.М.Попельнюшенко. 2 октября, на высоте 6000 м произошло разру</w:t>
      </w:r>
      <w:r w:rsidRPr="00DB5D0D">
        <w:rPr>
          <w:rFonts w:ascii="Times New Roman" w:hAnsi="Times New Roman"/>
          <w:color w:val="000000" w:themeColor="text1"/>
          <w:sz w:val="16"/>
          <w:szCs w:val="16"/>
        </w:rPr>
        <w:softHyphen/>
        <w:t>шение мотора из-за обрыва шату</w:t>
      </w:r>
      <w:r w:rsidRPr="00DB5D0D">
        <w:rPr>
          <w:rFonts w:ascii="Times New Roman" w:hAnsi="Times New Roman"/>
          <w:color w:val="000000" w:themeColor="text1"/>
          <w:sz w:val="16"/>
          <w:szCs w:val="16"/>
        </w:rPr>
        <w:softHyphen/>
        <w:t>нов 4-го и 10-го цилиндров. Летчи</w:t>
      </w:r>
      <w:r w:rsidRPr="00DB5D0D">
        <w:rPr>
          <w:rFonts w:ascii="Times New Roman" w:hAnsi="Times New Roman"/>
          <w:color w:val="000000" w:themeColor="text1"/>
          <w:sz w:val="16"/>
          <w:szCs w:val="16"/>
        </w:rPr>
        <w:softHyphen/>
        <w:t>ку удалось нормально посадить машину. Новый мотор получили лишь в конце октября. Испытания возобновились 10 ноября. Из-за болезни П.М.Попельнюшенко даль</w:t>
      </w:r>
      <w:r w:rsidRPr="00DB5D0D">
        <w:rPr>
          <w:rFonts w:ascii="Times New Roman" w:hAnsi="Times New Roman"/>
          <w:color w:val="000000" w:themeColor="text1"/>
          <w:sz w:val="16"/>
          <w:szCs w:val="16"/>
        </w:rPr>
        <w:softHyphen/>
        <w:t>нейшие полеты продолжил летчик-испытатель В.П.Федоров. До конца 1940 года по программе испыта</w:t>
      </w:r>
      <w:r w:rsidRPr="00DB5D0D">
        <w:rPr>
          <w:rFonts w:ascii="Times New Roman" w:hAnsi="Times New Roman"/>
          <w:color w:val="000000" w:themeColor="text1"/>
          <w:sz w:val="16"/>
          <w:szCs w:val="16"/>
        </w:rPr>
        <w:softHyphen/>
        <w:t>ний были выполнены следующие работы:</w:t>
      </w:r>
    </w:p>
    <w:p w14:paraId="58247E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определены взлетно-посадоч</w:t>
      </w:r>
      <w:r w:rsidRPr="00DB5D0D">
        <w:rPr>
          <w:rFonts w:ascii="Times New Roman" w:hAnsi="Times New Roman"/>
          <w:color w:val="000000" w:themeColor="text1"/>
          <w:sz w:val="16"/>
          <w:szCs w:val="16"/>
        </w:rPr>
        <w:softHyphen/>
        <w:t>ные характеристиками;</w:t>
      </w:r>
    </w:p>
    <w:p w14:paraId="0B28C0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сняты балансировочные кри</w:t>
      </w:r>
      <w:r w:rsidRPr="00DB5D0D">
        <w:rPr>
          <w:rFonts w:ascii="Times New Roman" w:hAnsi="Times New Roman"/>
          <w:color w:val="000000" w:themeColor="text1"/>
          <w:sz w:val="16"/>
          <w:szCs w:val="16"/>
        </w:rPr>
        <w:softHyphen/>
        <w:t>вые в горизонтальном полете, при планировании и при наборе высо</w:t>
      </w:r>
      <w:r w:rsidRPr="00DB5D0D">
        <w:rPr>
          <w:rFonts w:ascii="Times New Roman" w:hAnsi="Times New Roman"/>
          <w:color w:val="000000" w:themeColor="text1"/>
          <w:sz w:val="16"/>
          <w:szCs w:val="16"/>
        </w:rPr>
        <w:softHyphen/>
        <w:t>ты;</w:t>
      </w:r>
    </w:p>
    <w:p w14:paraId="356E9D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сняты максимальные скорости на высотах до 6000 м. (зафиксирова</w:t>
      </w:r>
      <w:r w:rsidRPr="00DB5D0D">
        <w:rPr>
          <w:rFonts w:ascii="Times New Roman" w:hAnsi="Times New Roman"/>
          <w:color w:val="000000" w:themeColor="text1"/>
          <w:sz w:val="16"/>
          <w:szCs w:val="16"/>
        </w:rPr>
        <w:softHyphen/>
        <w:t>на максимальная скорость 580 км/ч на высоте 4000 м);</w:t>
      </w:r>
    </w:p>
    <w:p w14:paraId="6FABD2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определена скороподъемность до 5000 м;</w:t>
      </w:r>
    </w:p>
    <w:p w14:paraId="2DBEF0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проведено испытание на флат</w:t>
      </w:r>
      <w:r w:rsidRPr="00DB5D0D">
        <w:rPr>
          <w:rFonts w:ascii="Times New Roman" w:hAnsi="Times New Roman"/>
          <w:color w:val="000000" w:themeColor="text1"/>
          <w:sz w:val="16"/>
          <w:szCs w:val="16"/>
        </w:rPr>
        <w:softHyphen/>
        <w:t>тер и бафтинг в диапазоне скорос</w:t>
      </w:r>
      <w:r w:rsidRPr="00DB5D0D">
        <w:rPr>
          <w:rFonts w:ascii="Times New Roman" w:hAnsi="Times New Roman"/>
          <w:color w:val="000000" w:themeColor="text1"/>
          <w:sz w:val="16"/>
          <w:szCs w:val="16"/>
        </w:rPr>
        <w:softHyphen/>
        <w:t>тей от 150 до 600 км/ч по прибору;</w:t>
      </w:r>
    </w:p>
    <w:p w14:paraId="111FFF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произведен отстрел оружия в тире.</w:t>
      </w:r>
    </w:p>
    <w:p w14:paraId="139068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летных испытаний само</w:t>
      </w:r>
      <w:r w:rsidRPr="00DB5D0D">
        <w:rPr>
          <w:rFonts w:ascii="Times New Roman" w:hAnsi="Times New Roman"/>
          <w:color w:val="000000" w:themeColor="text1"/>
          <w:sz w:val="16"/>
          <w:szCs w:val="16"/>
        </w:rPr>
        <w:softHyphen/>
        <w:t>лет Су-1 показал хорошую продоль</w:t>
      </w:r>
      <w:r w:rsidRPr="00DB5D0D">
        <w:rPr>
          <w:rFonts w:ascii="Times New Roman" w:hAnsi="Times New Roman"/>
          <w:color w:val="000000" w:themeColor="text1"/>
          <w:sz w:val="16"/>
          <w:szCs w:val="16"/>
        </w:rPr>
        <w:softHyphen/>
        <w:t>ную и поперечную устойчивость. Взлет и посадка отличались просто</w:t>
      </w:r>
      <w:r w:rsidRPr="00DB5D0D">
        <w:rPr>
          <w:rFonts w:ascii="Times New Roman" w:hAnsi="Times New Roman"/>
          <w:color w:val="000000" w:themeColor="text1"/>
          <w:sz w:val="16"/>
          <w:szCs w:val="16"/>
        </w:rPr>
        <w:softHyphen/>
        <w:t>той и никаких особенностей не име</w:t>
      </w:r>
      <w:r w:rsidRPr="00DB5D0D">
        <w:rPr>
          <w:rFonts w:ascii="Times New Roman" w:hAnsi="Times New Roman"/>
          <w:color w:val="000000" w:themeColor="text1"/>
          <w:sz w:val="16"/>
          <w:szCs w:val="16"/>
        </w:rPr>
        <w:softHyphen/>
        <w:t>ли. Усилия на ручку и педали - нор</w:t>
      </w:r>
      <w:r w:rsidRPr="00DB5D0D">
        <w:rPr>
          <w:rFonts w:ascii="Times New Roman" w:hAnsi="Times New Roman"/>
          <w:color w:val="000000" w:themeColor="text1"/>
          <w:sz w:val="16"/>
          <w:szCs w:val="16"/>
        </w:rPr>
        <w:softHyphen/>
        <w:t>мальные (11847).</w:t>
      </w:r>
    </w:p>
    <w:p w14:paraId="25FB96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FD4D1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7D5DF8" w:rsidRPr="00DB5D0D" w14:paraId="5AFAB9DB" w14:textId="77777777" w:rsidTr="00E543D0">
        <w:tc>
          <w:tcPr>
            <w:tcW w:w="11210" w:type="dxa"/>
            <w:gridSpan w:val="2"/>
            <w:tcBorders>
              <w:top w:val="single" w:sz="12" w:space="0" w:color="auto"/>
            </w:tcBorders>
          </w:tcPr>
          <w:p w14:paraId="62686B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 отдел № 8</w:t>
            </w:r>
          </w:p>
        </w:tc>
      </w:tr>
      <w:tr w:rsidR="007D5DF8" w:rsidRPr="00DB5D0D" w14:paraId="620C2A9E" w14:textId="77777777" w:rsidTr="00E543D0">
        <w:tc>
          <w:tcPr>
            <w:tcW w:w="5605" w:type="dxa"/>
          </w:tcPr>
          <w:p w14:paraId="5FB8F2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УТВЕРЖДАЮ:</w:t>
            </w:r>
          </w:p>
          <w:p w14:paraId="55319B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отд. 8 ЦАГИ И.Строев.</w:t>
            </w:r>
          </w:p>
          <w:p w14:paraId="6B387C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“_____”________194__г.</w:t>
            </w:r>
          </w:p>
        </w:tc>
        <w:tc>
          <w:tcPr>
            <w:tcW w:w="5605" w:type="dxa"/>
          </w:tcPr>
          <w:p w14:paraId="711DDD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p w14:paraId="21D4C5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83052</w:t>
            </w:r>
          </w:p>
          <w:p w14:paraId="7ABA8E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Наряд №</w:t>
            </w:r>
          </w:p>
        </w:tc>
      </w:tr>
      <w:tr w:rsidR="007D5DF8" w:rsidRPr="00DB5D0D" w14:paraId="330D5724" w14:textId="77777777" w:rsidTr="00E543D0">
        <w:tc>
          <w:tcPr>
            <w:tcW w:w="11210" w:type="dxa"/>
            <w:gridSpan w:val="2"/>
          </w:tcPr>
          <w:p w14:paraId="07CBDD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Задание на полет</w:t>
            </w:r>
          </w:p>
        </w:tc>
      </w:tr>
      <w:tr w:rsidR="007D5DF8" w:rsidRPr="00DB5D0D" w14:paraId="1F335658" w14:textId="77777777" w:rsidTr="00E543D0">
        <w:tc>
          <w:tcPr>
            <w:tcW w:w="5605" w:type="dxa"/>
          </w:tcPr>
          <w:p w14:paraId="21D4C0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полета 5500</w:t>
            </w:r>
          </w:p>
        </w:tc>
        <w:tc>
          <w:tcPr>
            <w:tcW w:w="5605" w:type="dxa"/>
          </w:tcPr>
          <w:p w14:paraId="79ED49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3 августа 1940 г.</w:t>
            </w:r>
          </w:p>
        </w:tc>
      </w:tr>
      <w:tr w:rsidR="007D5DF8" w:rsidRPr="00DB5D0D" w14:paraId="1F6E5B14" w14:textId="77777777" w:rsidTr="00E543D0">
        <w:tc>
          <w:tcPr>
            <w:tcW w:w="5605" w:type="dxa"/>
          </w:tcPr>
          <w:p w14:paraId="0F8430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Маршрут или зона полета Зона ЦАГИ</w:t>
            </w:r>
          </w:p>
        </w:tc>
        <w:tc>
          <w:tcPr>
            <w:tcW w:w="5605" w:type="dxa"/>
          </w:tcPr>
          <w:p w14:paraId="5D4E49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полета</w:t>
            </w:r>
          </w:p>
        </w:tc>
      </w:tr>
      <w:tr w:rsidR="007D5DF8" w:rsidRPr="00DB5D0D" w14:paraId="2237F476" w14:textId="77777777" w:rsidTr="00E543D0">
        <w:tc>
          <w:tcPr>
            <w:tcW w:w="5605" w:type="dxa"/>
          </w:tcPr>
          <w:p w14:paraId="67A8DC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05" w:type="dxa"/>
          </w:tcPr>
          <w:p w14:paraId="54141A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Продолжительность полета. 35 минут</w:t>
            </w:r>
          </w:p>
        </w:tc>
      </w:tr>
      <w:tr w:rsidR="007D5DF8" w:rsidRPr="00DB5D0D" w14:paraId="05051BE1" w14:textId="77777777" w:rsidTr="00E543D0">
        <w:tc>
          <w:tcPr>
            <w:tcW w:w="11210" w:type="dxa"/>
            <w:gridSpan w:val="2"/>
          </w:tcPr>
          <w:p w14:paraId="57AA0B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 режимы полета</w:t>
            </w:r>
          </w:p>
          <w:p w14:paraId="3196E6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тепловой режим работы мотора на под”еме и горизонт. полете. Под”ем при п = 2500 об./мин на 1000-2000. Горизонталь на У макс. при убранном шасси. Включить и проверить работу ТУ при 1-й скорости ПЦН. Предельные температуры масла 85-110 гр. С</w:t>
            </w:r>
          </w:p>
        </w:tc>
      </w:tr>
      <w:tr w:rsidR="007D5DF8" w:rsidRPr="00DB5D0D" w14:paraId="3C2F25D9" w14:textId="77777777" w:rsidTr="00E543D0">
        <w:tc>
          <w:tcPr>
            <w:tcW w:w="11210" w:type="dxa"/>
            <w:gridSpan w:val="2"/>
          </w:tcPr>
          <w:p w14:paraId="300B4A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записывается летчиком и наблюдателем Н, У, п, т масла и воды на входе и выходе, РК и давление за ТК, т нагрева воздуха</w:t>
            </w:r>
          </w:p>
        </w:tc>
      </w:tr>
      <w:tr w:rsidR="007D5DF8" w:rsidRPr="00DB5D0D" w14:paraId="604CB244" w14:textId="77777777" w:rsidTr="00E543D0">
        <w:tc>
          <w:tcPr>
            <w:tcW w:w="11210" w:type="dxa"/>
            <w:gridSpan w:val="2"/>
          </w:tcPr>
          <w:p w14:paraId="77CBCB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Какие приборы установлены (указать №№) барограф ЦАГИ, Спидограф ЦАГИ</w:t>
            </w:r>
          </w:p>
        </w:tc>
      </w:tr>
      <w:tr w:rsidR="007D5DF8" w:rsidRPr="00DB5D0D" w14:paraId="5B7F32DD" w14:textId="77777777" w:rsidTr="00E543D0">
        <w:tc>
          <w:tcPr>
            <w:tcW w:w="5605" w:type="dxa"/>
          </w:tcPr>
          <w:p w14:paraId="795FD7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самолета</w:t>
            </w:r>
          </w:p>
        </w:tc>
        <w:tc>
          <w:tcPr>
            <w:tcW w:w="5605" w:type="dxa"/>
          </w:tcPr>
          <w:p w14:paraId="6CC84E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в полете</w:t>
            </w:r>
          </w:p>
        </w:tc>
      </w:tr>
      <w:tr w:rsidR="007D5DF8" w:rsidRPr="00DB5D0D" w14:paraId="11A570F3" w14:textId="77777777" w:rsidTr="00E543D0">
        <w:tc>
          <w:tcPr>
            <w:tcW w:w="5605" w:type="dxa"/>
          </w:tcPr>
          <w:p w14:paraId="39CF37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И-135 № опытный</w:t>
            </w:r>
          </w:p>
        </w:tc>
        <w:tc>
          <w:tcPr>
            <w:tcW w:w="5605" w:type="dxa"/>
          </w:tcPr>
          <w:p w14:paraId="5D8D52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Чернавский А.П.</w:t>
            </w:r>
          </w:p>
        </w:tc>
      </w:tr>
      <w:tr w:rsidR="007D5DF8" w:rsidRPr="00DB5D0D" w14:paraId="22604610" w14:textId="77777777" w:rsidTr="00E543D0">
        <w:tc>
          <w:tcPr>
            <w:tcW w:w="5605" w:type="dxa"/>
          </w:tcPr>
          <w:p w14:paraId="12EADF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М-105 с 2ТК2 № 015-35</w:t>
            </w:r>
          </w:p>
        </w:tc>
        <w:tc>
          <w:tcPr>
            <w:tcW w:w="5605" w:type="dxa"/>
          </w:tcPr>
          <w:p w14:paraId="5798F7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Наблюдатели и борт. техн.</w:t>
            </w:r>
          </w:p>
        </w:tc>
      </w:tr>
      <w:tr w:rsidR="007D5DF8" w:rsidRPr="00DB5D0D" w14:paraId="52492922" w14:textId="77777777" w:rsidTr="00E543D0">
        <w:tc>
          <w:tcPr>
            <w:tcW w:w="5605" w:type="dxa"/>
          </w:tcPr>
          <w:p w14:paraId="626C89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Бензин в кг 200</w:t>
            </w:r>
          </w:p>
        </w:tc>
        <w:tc>
          <w:tcPr>
            <w:tcW w:w="5605" w:type="dxa"/>
          </w:tcPr>
          <w:p w14:paraId="78D9B0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624C1F9" w14:textId="77777777" w:rsidTr="00E543D0">
        <w:tc>
          <w:tcPr>
            <w:tcW w:w="5605" w:type="dxa"/>
          </w:tcPr>
          <w:p w14:paraId="5BBBD5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Масло в кг 20</w:t>
            </w:r>
          </w:p>
        </w:tc>
        <w:tc>
          <w:tcPr>
            <w:tcW w:w="5605" w:type="dxa"/>
          </w:tcPr>
          <w:p w14:paraId="4FF6479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701E39D" w14:textId="77777777" w:rsidTr="00E543D0">
        <w:tc>
          <w:tcPr>
            <w:tcW w:w="5605" w:type="dxa"/>
          </w:tcPr>
          <w:p w14:paraId="3B3232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2500</w:t>
            </w:r>
          </w:p>
        </w:tc>
        <w:tc>
          <w:tcPr>
            <w:tcW w:w="5605" w:type="dxa"/>
          </w:tcPr>
          <w:p w14:paraId="0FCF83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Земной и обслуживающий персонал</w:t>
            </w:r>
          </w:p>
        </w:tc>
      </w:tr>
      <w:tr w:rsidR="007D5DF8" w:rsidRPr="00DB5D0D" w14:paraId="1311E719" w14:textId="77777777" w:rsidTr="00E543D0">
        <w:tc>
          <w:tcPr>
            <w:tcW w:w="5605" w:type="dxa"/>
          </w:tcPr>
          <w:p w14:paraId="0E85D8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 тяжести 26% САХ</w:t>
            </w:r>
          </w:p>
        </w:tc>
        <w:tc>
          <w:tcPr>
            <w:tcW w:w="5605" w:type="dxa"/>
          </w:tcPr>
          <w:p w14:paraId="3FC8BD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Борттехники Александров К., Лопухов К.</w:t>
            </w:r>
          </w:p>
        </w:tc>
      </w:tr>
      <w:tr w:rsidR="007D5DF8" w:rsidRPr="00DB5D0D" w14:paraId="6672E0D1" w14:textId="77777777" w:rsidTr="00E543D0">
        <w:tc>
          <w:tcPr>
            <w:tcW w:w="5605" w:type="dxa"/>
          </w:tcPr>
          <w:p w14:paraId="30DB54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Распределение нагрузки</w:t>
            </w:r>
          </w:p>
        </w:tc>
        <w:tc>
          <w:tcPr>
            <w:tcW w:w="5605" w:type="dxa"/>
          </w:tcPr>
          <w:p w14:paraId="6939B8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Техники</w:t>
            </w:r>
          </w:p>
        </w:tc>
      </w:tr>
      <w:tr w:rsidR="007D5DF8" w:rsidRPr="00DB5D0D" w14:paraId="3D69EB16" w14:textId="77777777" w:rsidTr="00E543D0">
        <w:tc>
          <w:tcPr>
            <w:tcW w:w="5605" w:type="dxa"/>
          </w:tcPr>
          <w:p w14:paraId="60279E0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05" w:type="dxa"/>
          </w:tcPr>
          <w:p w14:paraId="6AE710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Мотористы Акатов</w:t>
            </w:r>
          </w:p>
        </w:tc>
      </w:tr>
      <w:tr w:rsidR="007D5DF8" w:rsidRPr="00DB5D0D" w14:paraId="1F927886" w14:textId="77777777" w:rsidTr="00E543D0">
        <w:tc>
          <w:tcPr>
            <w:tcW w:w="5605" w:type="dxa"/>
          </w:tcPr>
          <w:p w14:paraId="236C87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Изменения, внесенные в конструкцию самолета установлены новые маслорадиаторы</w:t>
            </w:r>
          </w:p>
        </w:tc>
        <w:tc>
          <w:tcPr>
            <w:tcW w:w="5605" w:type="dxa"/>
          </w:tcPr>
          <w:p w14:paraId="15A96B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 спецслужб Орлова Т.</w:t>
            </w:r>
          </w:p>
        </w:tc>
      </w:tr>
      <w:tr w:rsidR="007D5DF8" w:rsidRPr="00DB5D0D" w14:paraId="18EC5445" w14:textId="77777777" w:rsidTr="00E543D0">
        <w:tc>
          <w:tcPr>
            <w:tcW w:w="5605" w:type="dxa"/>
          </w:tcPr>
          <w:p w14:paraId="5126644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05" w:type="dxa"/>
          </w:tcPr>
          <w:p w14:paraId="48E1C9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 Гвоздев</w:t>
            </w:r>
          </w:p>
        </w:tc>
      </w:tr>
      <w:tr w:rsidR="007D5DF8" w:rsidRPr="00DB5D0D" w14:paraId="3DA8B9E4" w14:textId="77777777" w:rsidTr="00E543D0">
        <w:tc>
          <w:tcPr>
            <w:tcW w:w="5605" w:type="dxa"/>
          </w:tcPr>
          <w:p w14:paraId="3D6997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05" w:type="dxa"/>
          </w:tcPr>
          <w:p w14:paraId="16E72C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летчик А.Чернавский</w:t>
            </w:r>
          </w:p>
        </w:tc>
      </w:tr>
      <w:tr w:rsidR="007D5DF8" w:rsidRPr="00DB5D0D" w14:paraId="5A2C5C76" w14:textId="77777777" w:rsidTr="00E543D0">
        <w:tc>
          <w:tcPr>
            <w:tcW w:w="5605" w:type="dxa"/>
          </w:tcPr>
          <w:p w14:paraId="0CF034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Нач. 8 отд. По летной части Козлов</w:t>
            </w:r>
          </w:p>
        </w:tc>
        <w:tc>
          <w:tcPr>
            <w:tcW w:w="5605" w:type="dxa"/>
          </w:tcPr>
          <w:p w14:paraId="76208F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Группы А.Соловьев</w:t>
            </w:r>
          </w:p>
        </w:tc>
      </w:tr>
      <w:tr w:rsidR="007D5DF8" w:rsidRPr="00DB5D0D" w14:paraId="2E749253" w14:textId="77777777" w:rsidTr="00E543D0">
        <w:tc>
          <w:tcPr>
            <w:tcW w:w="11210" w:type="dxa"/>
            <w:gridSpan w:val="2"/>
          </w:tcPr>
          <w:p w14:paraId="72E3F6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Главный конструктор и представитель завода (при испытании опытных объектов)</w:t>
            </w:r>
          </w:p>
        </w:tc>
      </w:tr>
      <w:tr w:rsidR="007D5DF8" w:rsidRPr="00DB5D0D" w14:paraId="282AAFBF" w14:textId="77777777" w:rsidTr="00E543D0">
        <w:tc>
          <w:tcPr>
            <w:tcW w:w="11210" w:type="dxa"/>
            <w:gridSpan w:val="2"/>
          </w:tcPr>
          <w:p w14:paraId="491E3D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задания</w:t>
            </w:r>
          </w:p>
        </w:tc>
      </w:tr>
      <w:tr w:rsidR="007D5DF8" w:rsidRPr="00DB5D0D" w14:paraId="1025B05F" w14:textId="77777777" w:rsidTr="00E543D0">
        <w:tc>
          <w:tcPr>
            <w:tcW w:w="5605" w:type="dxa"/>
          </w:tcPr>
          <w:p w14:paraId="08A4EE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вылета 11 час. 16 мин.</w:t>
            </w:r>
          </w:p>
        </w:tc>
        <w:tc>
          <w:tcPr>
            <w:tcW w:w="5605" w:type="dxa"/>
          </w:tcPr>
          <w:p w14:paraId="3A4F52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посадки 11 час. 22 мин.</w:t>
            </w:r>
          </w:p>
        </w:tc>
      </w:tr>
      <w:tr w:rsidR="007D5DF8" w:rsidRPr="00DB5D0D" w14:paraId="42AC6DB7" w14:textId="77777777" w:rsidTr="00E543D0">
        <w:tc>
          <w:tcPr>
            <w:tcW w:w="11210" w:type="dxa"/>
            <w:gridSpan w:val="2"/>
          </w:tcPr>
          <w:p w14:paraId="10EBD7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Продолжительность работы мотора на земле ___час. 30 мин.</w:t>
            </w:r>
          </w:p>
        </w:tc>
      </w:tr>
      <w:tr w:rsidR="007D5DF8" w:rsidRPr="00DB5D0D" w14:paraId="696C9BD1" w14:textId="77777777" w:rsidTr="00E543D0">
        <w:tc>
          <w:tcPr>
            <w:tcW w:w="11210" w:type="dxa"/>
            <w:gridSpan w:val="2"/>
          </w:tcPr>
          <w:p w14:paraId="6BF9CE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Замечания о работе мотора, самолета, приборов не нормально быстро поднималась в воздухе температура масла, все остальное нормально</w:t>
            </w:r>
          </w:p>
        </w:tc>
      </w:tr>
      <w:tr w:rsidR="007D5DF8" w:rsidRPr="00DB5D0D" w14:paraId="21150FC6" w14:textId="77777777" w:rsidTr="00E543D0">
        <w:tc>
          <w:tcPr>
            <w:tcW w:w="11210" w:type="dxa"/>
            <w:gridSpan w:val="2"/>
          </w:tcPr>
          <w:p w14:paraId="06A289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замечаниями ознакомлен:</w:t>
            </w:r>
          </w:p>
          <w:p w14:paraId="24746A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эксплоатации или нач. приборной группы_______________________________”___”____________194__г.</w:t>
            </w:r>
          </w:p>
        </w:tc>
      </w:tr>
      <w:tr w:rsidR="007D5DF8" w:rsidRPr="00DB5D0D" w14:paraId="7D80EB8F" w14:textId="77777777" w:rsidTr="00E543D0">
        <w:tc>
          <w:tcPr>
            <w:tcW w:w="11210" w:type="dxa"/>
            <w:gridSpan w:val="2"/>
          </w:tcPr>
          <w:p w14:paraId="400AE8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Отметка о выполнении задания летчиком (выполнено, выполнено не полностью, не выполнено по какой причине</w:t>
            </w:r>
          </w:p>
        </w:tc>
      </w:tr>
      <w:tr w:rsidR="007D5DF8" w:rsidRPr="00DB5D0D" w14:paraId="07A86069" w14:textId="77777777" w:rsidTr="00E543D0">
        <w:tc>
          <w:tcPr>
            <w:tcW w:w="11210" w:type="dxa"/>
            <w:gridSpan w:val="2"/>
          </w:tcPr>
          <w:p w14:paraId="55D9BA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Выполненные режимы, записи и наблюдения в полете</w:t>
            </w:r>
          </w:p>
          <w:p w14:paraId="1CD463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полета была проверена работа шасси</w:t>
            </w:r>
          </w:p>
          <w:p w14:paraId="1AEE2C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три раза шасси убиралось и выпускалось при рабботающем моторе моторной помпой</w:t>
            </w:r>
          </w:p>
          <w:p w14:paraId="3E2C86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один раз шасси было выпущено ручной помпой при остановленном моторе</w:t>
            </w:r>
          </w:p>
          <w:p w14:paraId="4D36A2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августа_______Гвоздев</w:t>
            </w:r>
          </w:p>
          <w:p w14:paraId="43F421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Подробности в показаниях по аварии______А.Чернавский</w:t>
            </w:r>
          </w:p>
        </w:tc>
      </w:tr>
      <w:tr w:rsidR="007D5DF8" w:rsidRPr="00DB5D0D" w14:paraId="20708824" w14:textId="77777777" w:rsidTr="00E543D0">
        <w:tc>
          <w:tcPr>
            <w:tcW w:w="11210" w:type="dxa"/>
            <w:gridSpan w:val="2"/>
          </w:tcPr>
          <w:p w14:paraId="618759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результатов полета</w:t>
            </w:r>
          </w:p>
        </w:tc>
      </w:tr>
      <w:tr w:rsidR="007D5DF8" w:rsidRPr="00DB5D0D" w14:paraId="1F5F4901" w14:textId="77777777" w:rsidTr="00E543D0">
        <w:tc>
          <w:tcPr>
            <w:tcW w:w="5605" w:type="dxa"/>
          </w:tcPr>
          <w:p w14:paraId="182391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летчик____________________</w:t>
            </w:r>
          </w:p>
        </w:tc>
        <w:tc>
          <w:tcPr>
            <w:tcW w:w="5605" w:type="dxa"/>
          </w:tcPr>
          <w:p w14:paraId="27A27B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инженер______________</w:t>
            </w:r>
          </w:p>
        </w:tc>
      </w:tr>
      <w:tr w:rsidR="007D5DF8" w:rsidRPr="00DB5D0D" w14:paraId="53D2E2C2" w14:textId="77777777" w:rsidTr="00E543D0">
        <w:tc>
          <w:tcPr>
            <w:tcW w:w="5605" w:type="dxa"/>
            <w:tcBorders>
              <w:bottom w:val="single" w:sz="12" w:space="0" w:color="auto"/>
            </w:tcBorders>
          </w:tcPr>
          <w:p w14:paraId="25805D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УТВЕРЖДАЮ Начальник 8 отдела ЦАГИ_______________</w:t>
            </w:r>
          </w:p>
        </w:tc>
        <w:tc>
          <w:tcPr>
            <w:tcW w:w="5605" w:type="dxa"/>
            <w:tcBorders>
              <w:bottom w:val="single" w:sz="12" w:space="0" w:color="auto"/>
            </w:tcBorders>
          </w:tcPr>
          <w:p w14:paraId="488C92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Представитель завода________________</w:t>
            </w:r>
          </w:p>
        </w:tc>
      </w:tr>
    </w:tbl>
    <w:p w14:paraId="5C5219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(814).</w:t>
      </w:r>
    </w:p>
    <w:p w14:paraId="54BA41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864AE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вышел приказ НКАП N 390сс о мероприятиях в целях устранения падения давления масла при пикировании на И-153 с М-62-63 (1295,216).</w:t>
      </w:r>
    </w:p>
    <w:p w14:paraId="1993B84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31278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Начиная с 3 августа 1940, несколько полетов на ИП-21 Фокин выполнил на выполнение фигур высшею пилотажа. По его отзыву ИП-21 хорошо слушался рулей, на пикировании был устойчив, по сравнению с И-16 обладал более простыми взлетом и посадкой. ИП-21 значился как тип 30 завода №21. При подготовке к его производству предполагали использовать оснастку от И-16 (12015).</w:t>
      </w:r>
    </w:p>
    <w:p w14:paraId="06A5C37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0491EA0"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Начиная с 3 августа 1940 Фокин выполнил на ИП-21 несколько полетов на выполнение фигур высшего пилотажа. По его отзыву ИП-21 хорошо слушался рулей, на пикировании был устойчив, посадка и взлет оценивались более простыми, по сравнению с распространенным И-16. Путевая и поперечная устойчивость хорошая, продольная устойчивость требовала дальнейших исследований (15561).</w:t>
      </w:r>
    </w:p>
    <w:p w14:paraId="3028AAE8"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23314466"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 в экспертной комиссии НКАП под председательством Академика Б.Н. Юрьева рассматривался проект истребителя (Ефремова). Комиссия сделала заключение о целесообразности экспериментальной проверки предложения и рекомендовала оборудовать реактором истребитель И-16 с мотором М-62 с турбокомпрессором и провести испытания в ЦАГИ. Испытания были закончены к 17 августа 1940 г. Скорость на высоте 3000 м возросла на 16 км/час; а на высоте 8000 м - на 26 км/ час. Кроме того, было установлено, что яркое пламя выхлопа мотора, сопутствующее обычному самолету с турбокомпрессором, устраняется при применении реактора Ефремова, благодаря чему улучшается маскировка самолета и снижается ослепление летчика во время ночных полетов. Результаты показывают, что предложение Ефремова является ценным и заслуживает внимания, как дающее значительное увеличение скорости самолета с турбокомпрессорами. При этом вес установки составлял 25 кг. Было очевидно, что положительный эффект должен был повышаться на самолетах с большими скоростями полета. В связи с этим, целесообразно провести эксперимент на одном из существующих скоростных самолетов. Строить специальный самолет преждевременно (15531).</w:t>
      </w:r>
    </w:p>
    <w:p w14:paraId="3419C6C9"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5BEBDC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 комиссией академика Б. Н. Юрьева был рассмотрен Проект И-207 № 10 и она посчитала постройку самолета целесообразной, «...но в облегченном варианте, считая основным использованием его как маневренного истребителя. Подвеску бомб принять только в перегрузочном варианте и бомбовую нагрузку считать предельной в 2х250 и 4х100».</w:t>
      </w:r>
    </w:p>
    <w:p w14:paraId="027D69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Конструкторы предусматривали использование самолета и в варианте пикирующего бомбардировщика. Конструктивные отличия от предыдущих вариантов сводились к тому, что верхние и нижние крылья были изогнуты в виде «чайки».</w:t>
      </w:r>
    </w:p>
    <w:p w14:paraId="2038FA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Хвостовая часть фюзеляжа вместо деревянной представляла дюралевый монокок с работающей обшивкой. В хвостовой части предусматривалась установка прямоточного двигателя И. А. Меркулова.</w:t>
      </w:r>
    </w:p>
    <w:p w14:paraId="44EE02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было трехколесным убирающимся. В качестве мотора конструкторы выбрали М-71.</w:t>
      </w:r>
    </w:p>
    <w:p w14:paraId="79DBF9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бомбовая нагрузка составляла 1000 кг (2х500 или 4х250). Стрелковое вооружение включало два пулемета калибра 12,7 мм и 2 - калибра 7,62 мм.</w:t>
      </w:r>
    </w:p>
    <w:p w14:paraId="06F12B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Предусматривалась подвеска 8 PC-82. Бронирование предусматривало использование бронеспинки из цементированной брони толщиной 8,5 мм и бронесидения толщиной 4-4,5 мм.</w:t>
      </w:r>
    </w:p>
    <w:p w14:paraId="6D263B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полета без включения ПВРД по проекту - 658 км/ч. По мнению комиссии с учетом потерь на охлаждение мощного мотора и дополнительного аэродинамического сопротивления реактивного двигателя максимальная скорость без включения ПВРД могла быть 605 км/ч.</w:t>
      </w:r>
    </w:p>
    <w:p w14:paraId="6EBB32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Следовательно, в варианте самолета поля боя она была бы не менее 550 км/ч. Этот вариант И-207 в полной мере мог бы быть эффективным самолетом поля боя. С реальным мотором М-82А максимальная скорость полета могла быть не менее 520 км/ч.</w:t>
      </w:r>
    </w:p>
    <w:p w14:paraId="1E7B30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появился эскизный проект И-207 № 11, который являлся переработкой самолета № 10 под основное назначение по требованию комиссии Юрьева.</w:t>
      </w:r>
    </w:p>
    <w:p w14:paraId="76FE99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отличия сводились к тому, что на самолете устанавливались два двигателя Меркулова. Мотор М-71 предполагалось использовать с удлиненным валом. Бомбовое вооружение включало 2 бомбы по 250 кг. Вместо бомб предусматривалась подвеска двух пушек ПТБ-23 калибра 23 мм.</w:t>
      </w:r>
    </w:p>
    <w:p w14:paraId="2066AC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самолете устанавливались 2 синхронных пулемета калибра 12,7 мм и 2 нормального калибра. Максимальная скорость на высоте 5830 м без включения ПВРД - 654 км/ч.</w:t>
      </w:r>
    </w:p>
    <w:p w14:paraId="1E039E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проекту максимальная скорость с бомбовой нагрузкой составляла 611 км/ч. Время набора высоты 5000 м, соответственно - 3,7 и 4,5 мин.</w:t>
      </w:r>
    </w:p>
    <w:p w14:paraId="0BDE3E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мнению комиссии, без бомб максимальная скорость могла быть равной 630 км/ч. Тогда с бомбами можно было ожидать скорость порядка 585 км/ч. Комиссия посчитала целесообразным строить самолет как экспериментальный. Яковлев согласился включить работу в план экспериментальных работ.</w:t>
      </w:r>
    </w:p>
    <w:p w14:paraId="68139E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самолета И-207 № 11 был рассмотрен в октябре 1940 г. в НИИ ВВС и заключение на проект было утверждено П. В. Рычаговым 9 декабря 1940 г.</w:t>
      </w:r>
    </w:p>
    <w:p w14:paraId="53C167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эскизный проект был оценен положительно и было рекомендовано включить самолет в план опытного строительства на 1941 г. в качестве экспериментального истребителя при условии выполнения пресловутого, совершенно нереального для того времени требования обеспечить скоростную дальность полета не менее 1000 км, а в перегрузку - 1400 км.</w:t>
      </w:r>
    </w:p>
    <w:p w14:paraId="3DA24D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Отметим, что, поскольку И-207 не планировалось использовать для сопровождения бомбардировщиков, такая дальность полета ему была не нужна.</w:t>
      </w:r>
    </w:p>
    <w:p w14:paraId="168126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Неправильная позиция ГУАС КА, определенные трудности с доводкой моторов М-бЗР, М-64, М-65 и М-71, а также грянувшая война привели к тому, что работы по этому перспективному самолету были свернуты (9649).</w:t>
      </w:r>
    </w:p>
    <w:p w14:paraId="73A5C61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9ADFDFC" w14:textId="77777777" w:rsidR="003C7E8B" w:rsidRPr="00DB5D0D" w:rsidRDefault="003C7E8B" w:rsidP="00DB5D0D">
      <w:pPr>
        <w:pStyle w:val="a3"/>
        <w:tabs>
          <w:tab w:val="left" w:pos="11199"/>
        </w:tabs>
        <w:rPr>
          <w:color w:val="000000" w:themeColor="text1"/>
          <w:lang w:val="ru-RU"/>
        </w:rPr>
      </w:pPr>
      <w:r w:rsidRPr="00DB5D0D">
        <w:rPr>
          <w:color w:val="000000" w:themeColor="text1"/>
          <w:lang w:val="ru-RU"/>
        </w:rPr>
        <w:t xml:space="preserve">3 августа 1940 комиссия академика Б.Н.Юрьева рассмотрела Проект И-207 № 10 и посчитала постройку самолета целесообразной, “ </w:t>
      </w:r>
      <w:r w:rsidRPr="00DB5D0D">
        <w:rPr>
          <w:iCs/>
          <w:color w:val="000000" w:themeColor="text1"/>
          <w:lang w:val="ru-RU"/>
        </w:rPr>
        <w:t>но в облегченном варианте, считая основным использованием его как маневренного истребителя. Подвес</w:t>
      </w:r>
      <w:r w:rsidRPr="00DB5D0D">
        <w:rPr>
          <w:iCs/>
          <w:color w:val="000000" w:themeColor="text1"/>
          <w:lang w:val="ru-RU"/>
        </w:rPr>
        <w:softHyphen/>
        <w:t>ку бомб принять только в перегру</w:t>
      </w:r>
      <w:r w:rsidRPr="00DB5D0D">
        <w:rPr>
          <w:iCs/>
          <w:color w:val="000000" w:themeColor="text1"/>
          <w:lang w:val="ru-RU"/>
        </w:rPr>
        <w:softHyphen/>
        <w:t>зочном варианте и бомбовую нагруз</w:t>
      </w:r>
      <w:r w:rsidRPr="00DB5D0D">
        <w:rPr>
          <w:iCs/>
          <w:color w:val="000000" w:themeColor="text1"/>
          <w:lang w:val="ru-RU"/>
        </w:rPr>
        <w:softHyphen/>
        <w:t xml:space="preserve">ку считать предельной в 2х250 и 4х100. </w:t>
      </w:r>
      <w:r w:rsidRPr="00DB5D0D">
        <w:rPr>
          <w:color w:val="000000" w:themeColor="text1"/>
          <w:lang w:val="ru-RU"/>
        </w:rPr>
        <w:t>Конструкторы предусматривали использование самолета и в варианте пикирующего бомбардировщика. Кон</w:t>
      </w:r>
      <w:r w:rsidRPr="00DB5D0D">
        <w:rPr>
          <w:color w:val="000000" w:themeColor="text1"/>
          <w:lang w:val="ru-RU"/>
        </w:rPr>
        <w:softHyphen/>
        <w:t>структивные отличия от предыдущих вариантов сводились к тому, что верх</w:t>
      </w:r>
      <w:r w:rsidRPr="00DB5D0D">
        <w:rPr>
          <w:color w:val="000000" w:themeColor="text1"/>
          <w:lang w:val="ru-RU"/>
        </w:rPr>
        <w:softHyphen/>
        <w:t xml:space="preserve">нее и нижнее крылья были изогнуты в виде “чайки”. Хвостовая часть фюзеляжа вместо деревянной представляла </w:t>
      </w:r>
      <w:r w:rsidRPr="00DB5D0D">
        <w:rPr>
          <w:color w:val="000000" w:themeColor="text1"/>
          <w:lang w:val="ru-RU"/>
        </w:rPr>
        <w:lastRenderedPageBreak/>
        <w:t>дюралевый монокок с работающей обшивкой. Шасси - трехколесное, убирающееся. Максимальная бомбовая нагрузка составляла 1000 кг (2х500 или 4х250). Стрелковое вооружение включало 2 пулемета калибра 12,7 мм и 2 пулеме</w:t>
      </w:r>
      <w:r w:rsidRPr="00DB5D0D">
        <w:rPr>
          <w:color w:val="000000" w:themeColor="text1"/>
          <w:lang w:val="ru-RU"/>
        </w:rPr>
        <w:softHyphen/>
        <w:t>та калибра 7,62 мм. Предусматривалась подвеска 8 PC-82. Бронирование включало бронеспинку из цементированной брони толщи</w:t>
      </w:r>
      <w:r w:rsidRPr="00DB5D0D">
        <w:rPr>
          <w:color w:val="000000" w:themeColor="text1"/>
          <w:lang w:val="ru-RU"/>
        </w:rPr>
        <w:softHyphen/>
        <w:t>ной 8,5 мм и бронесидения толщиной 4-4,5 мм. В хвостовой части предусматрива</w:t>
      </w:r>
      <w:r w:rsidRPr="00DB5D0D">
        <w:rPr>
          <w:color w:val="000000" w:themeColor="text1"/>
          <w:lang w:val="ru-RU"/>
        </w:rPr>
        <w:softHyphen/>
        <w:t>лась установка прямоточного двигате</w:t>
      </w:r>
      <w:r w:rsidRPr="00DB5D0D">
        <w:rPr>
          <w:color w:val="000000" w:themeColor="text1"/>
          <w:lang w:val="ru-RU"/>
        </w:rPr>
        <w:softHyphen/>
        <w:t>ля И.А.Меркулова. В качестве основ</w:t>
      </w:r>
      <w:r w:rsidRPr="00DB5D0D">
        <w:rPr>
          <w:color w:val="000000" w:themeColor="text1"/>
          <w:lang w:val="ru-RU"/>
        </w:rPr>
        <w:softHyphen/>
        <w:t>ного мотора конструкторы выбрали М-71. Максимальная скорость полета без включения ПВРД по проекту - 658 км/ч. По мнению комиссии, с учетом по</w:t>
      </w:r>
      <w:r w:rsidRPr="00DB5D0D">
        <w:rPr>
          <w:color w:val="000000" w:themeColor="text1"/>
          <w:lang w:val="ru-RU"/>
        </w:rPr>
        <w:softHyphen/>
        <w:t>терь на охлаждение мощного мотора и дополнительного аэродинамического сопротивления реактивного двигателя, максимальная скорость без включения ПВРД могла составить 605 км/ч. Сле</w:t>
      </w:r>
      <w:r w:rsidRPr="00DB5D0D">
        <w:rPr>
          <w:color w:val="000000" w:themeColor="text1"/>
          <w:lang w:val="ru-RU"/>
        </w:rPr>
        <w:softHyphen/>
        <w:t>довательно, в варианте самолета поля боя скорость была бы не менее 550 км/ ч. Этот вариант И-207 в полной мере мог оказаться эффективным самолетом поля боя. С реальным мотором М-82А максимальная скорость полета могла бы быть не менее 520 км/ч. Эскизный проект И-207 №11 являл</w:t>
      </w:r>
      <w:r w:rsidRPr="00DB5D0D">
        <w:rPr>
          <w:color w:val="000000" w:themeColor="text1"/>
          <w:lang w:val="ru-RU"/>
        </w:rPr>
        <w:softHyphen/>
        <w:t>ся переработкой самолета № 10 под основное назначение по требованию комиссии Юрьева. Основные отличия сводились к тому, что на самолете ус</w:t>
      </w:r>
      <w:r w:rsidRPr="00DB5D0D">
        <w:rPr>
          <w:color w:val="000000" w:themeColor="text1"/>
          <w:lang w:val="ru-RU"/>
        </w:rPr>
        <w:softHyphen/>
        <w:t>танавливались два двигателя Мерку</w:t>
      </w:r>
      <w:r w:rsidRPr="00DB5D0D">
        <w:rPr>
          <w:color w:val="000000" w:themeColor="text1"/>
          <w:lang w:val="ru-RU"/>
        </w:rPr>
        <w:softHyphen/>
        <w:t>лова. Мотор М-71 предполагалось ис</w:t>
      </w:r>
      <w:r w:rsidRPr="00DB5D0D">
        <w:rPr>
          <w:color w:val="000000" w:themeColor="text1"/>
          <w:lang w:val="ru-RU"/>
        </w:rPr>
        <w:softHyphen/>
        <w:t>пользовать с удлиненным валом. Бомбовое вооружение включало все</w:t>
      </w:r>
      <w:r w:rsidRPr="00DB5D0D">
        <w:rPr>
          <w:color w:val="000000" w:themeColor="text1"/>
          <w:lang w:val="ru-RU"/>
        </w:rPr>
        <w:softHyphen/>
        <w:t>го 2 бомбы по 250 кг. Вместо бомб пре</w:t>
      </w:r>
      <w:r w:rsidRPr="00DB5D0D">
        <w:rPr>
          <w:color w:val="000000" w:themeColor="text1"/>
          <w:lang w:val="ru-RU"/>
        </w:rPr>
        <w:softHyphen/>
        <w:t>дусматривалась установка двух пушек ПТБ-23 калибра 23 мм. Кроме того, на самолете устанавливались 2 синх</w:t>
      </w:r>
      <w:r w:rsidRPr="00DB5D0D">
        <w:rPr>
          <w:color w:val="000000" w:themeColor="text1"/>
          <w:lang w:val="ru-RU"/>
        </w:rPr>
        <w:softHyphen/>
        <w:t>ронных пулемета калибра 12,7 мм и 2 нормального калибра. Максимальная скорость на высоте 5830 м по проекту без включения ПВРД - 654 км/ч, а с бомбовой нагрузкой составляла 611 км/ч. Время набора высоты 5000 м, соответственно, 3,7 и 4,5 мин. По мнению комиссии, без бомб мак</w:t>
      </w:r>
      <w:r w:rsidRPr="00DB5D0D">
        <w:rPr>
          <w:color w:val="000000" w:themeColor="text1"/>
          <w:lang w:val="ru-RU"/>
        </w:rPr>
        <w:softHyphen/>
        <w:t>симальная скорость могла быть равной 630 км/ч. Тогда с бомбами можно было ожидать скорость порядка 585 км/ч. Комиссия посчитала целесообраз</w:t>
      </w:r>
      <w:r w:rsidRPr="00DB5D0D">
        <w:rPr>
          <w:color w:val="000000" w:themeColor="text1"/>
          <w:lang w:val="ru-RU"/>
        </w:rPr>
        <w:softHyphen/>
        <w:t>ным строить самолет как эксперимен</w:t>
      </w:r>
      <w:r w:rsidRPr="00DB5D0D">
        <w:rPr>
          <w:color w:val="000000" w:themeColor="text1"/>
          <w:lang w:val="ru-RU"/>
        </w:rPr>
        <w:softHyphen/>
        <w:t>тальный. Яковлев согласился включить работу в план экспериментальных работ (6269).</w:t>
      </w:r>
    </w:p>
    <w:p w14:paraId="62F56FE8" w14:textId="77777777" w:rsidR="003C7E8B" w:rsidRPr="00DB5D0D" w:rsidRDefault="003C7E8B" w:rsidP="00DB5D0D">
      <w:pPr>
        <w:pStyle w:val="a3"/>
        <w:tabs>
          <w:tab w:val="left" w:pos="11199"/>
        </w:tabs>
        <w:rPr>
          <w:color w:val="000000" w:themeColor="text1"/>
          <w:lang w:val="ru-RU"/>
        </w:rPr>
      </w:pPr>
    </w:p>
    <w:p w14:paraId="7CD2FC6E" w14:textId="77777777" w:rsidR="00156ED0" w:rsidRPr="00DB5D0D" w:rsidRDefault="00156ED0" w:rsidP="00DB5D0D">
      <w:pPr>
        <w:pStyle w:val="ae"/>
        <w:shd w:val="clear" w:color="auto" w:fill="FFFFFF"/>
        <w:spacing w:before="0" w:after="0"/>
        <w:jc w:val="both"/>
        <w:rPr>
          <w:color w:val="000000" w:themeColor="text1"/>
          <w:sz w:val="16"/>
          <w:szCs w:val="16"/>
        </w:rPr>
      </w:pPr>
      <w:r w:rsidRPr="00DB5D0D">
        <w:rPr>
          <w:color w:val="000000" w:themeColor="text1"/>
          <w:sz w:val="16"/>
          <w:szCs w:val="16"/>
        </w:rPr>
        <w:t>3 августа 1940 г. проект И-207 № 10 был рассмотрен ко миссией под председательством академика Б.Н. Юрьева, ко торая посчитала постройку самолета целесообразной, но в об легченном варианте, считая основным использованием его как маневренного истребителя. Подвеска бомб была принята толь ко в перегрузочном варианте, и бомбовая нагрузка должна была составить 2 х 250 кг и 4 х 100 кг бомб.</w:t>
      </w:r>
    </w:p>
    <w:p w14:paraId="452B1068" w14:textId="77777777" w:rsidR="00156ED0" w:rsidRPr="00DB5D0D" w:rsidRDefault="00156ED0"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варианте пикирующего бомбардировщика конструктив ные отличия от предыдущих вариантов сводились к тому, что верхнее и нижнее крылья были изогнуты в виде «чайки».</w:t>
      </w:r>
    </w:p>
    <w:p w14:paraId="202136C8" w14:textId="77777777" w:rsidR="00156ED0" w:rsidRPr="00DB5D0D" w:rsidRDefault="00156ED0" w:rsidP="00DB5D0D">
      <w:pPr>
        <w:pStyle w:val="ae"/>
        <w:shd w:val="clear" w:color="auto" w:fill="FFFFFF"/>
        <w:spacing w:before="0" w:after="0"/>
        <w:jc w:val="both"/>
        <w:rPr>
          <w:color w:val="000000" w:themeColor="text1"/>
          <w:sz w:val="16"/>
          <w:szCs w:val="16"/>
        </w:rPr>
      </w:pPr>
      <w:r w:rsidRPr="00DB5D0D">
        <w:rPr>
          <w:color w:val="000000" w:themeColor="text1"/>
          <w:sz w:val="16"/>
          <w:szCs w:val="16"/>
        </w:rPr>
        <w:t>Хвостовая часть фюзеляжа должна была изготавливаться из дюраля в виде монокока с работающей обшивкой. Шасси — трехколесное, убирающееся.</w:t>
      </w:r>
    </w:p>
    <w:p w14:paraId="353F57B2" w14:textId="77777777" w:rsidR="00156ED0" w:rsidRPr="00DB5D0D" w:rsidRDefault="00156ED0" w:rsidP="00DB5D0D">
      <w:pPr>
        <w:pStyle w:val="ae"/>
        <w:shd w:val="clear" w:color="auto" w:fill="FFFFFF"/>
        <w:spacing w:before="0" w:after="0"/>
        <w:jc w:val="both"/>
        <w:rPr>
          <w:color w:val="000000" w:themeColor="text1"/>
          <w:sz w:val="16"/>
          <w:szCs w:val="16"/>
        </w:rPr>
      </w:pPr>
      <w:r w:rsidRPr="00DB5D0D">
        <w:rPr>
          <w:color w:val="000000" w:themeColor="text1"/>
          <w:sz w:val="16"/>
          <w:szCs w:val="16"/>
        </w:rPr>
        <w:t>Максимальная бомбовая нагрузка должна была составлять 1000 кг (2 х 500 или 4 х 250). Стрелковое вооружение должно было включать 2 пулемета калибра 12,7 мм и 2 пулемета ка либра 7,62 мм. Предусматривалась подвеска 8 РС-82.</w:t>
      </w:r>
    </w:p>
    <w:p w14:paraId="5A14149D" w14:textId="77777777" w:rsidR="00156ED0" w:rsidRPr="00DB5D0D" w:rsidRDefault="00156ED0" w:rsidP="00DB5D0D">
      <w:pPr>
        <w:pStyle w:val="ae"/>
        <w:shd w:val="clear" w:color="auto" w:fill="FFFFFF"/>
        <w:spacing w:before="0" w:after="0"/>
        <w:jc w:val="both"/>
        <w:rPr>
          <w:color w:val="000000" w:themeColor="text1"/>
          <w:sz w:val="16"/>
          <w:szCs w:val="16"/>
        </w:rPr>
      </w:pPr>
      <w:r w:rsidRPr="00DB5D0D">
        <w:rPr>
          <w:color w:val="000000" w:themeColor="text1"/>
          <w:sz w:val="16"/>
          <w:szCs w:val="16"/>
        </w:rPr>
        <w:t>Бронирование включало бронеспинку из цементированной брони толщиной 8,5 мм и бронесидения толщиной 4...4,5 мм.</w:t>
      </w:r>
    </w:p>
    <w:p w14:paraId="4F67B9C7" w14:textId="77777777" w:rsidR="00156ED0" w:rsidRPr="00DB5D0D" w:rsidRDefault="00156ED0"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качестве основного мотора конструкторы выбрали М-71.</w:t>
      </w:r>
    </w:p>
    <w:p w14:paraId="594EF2F7" w14:textId="77777777" w:rsidR="00156ED0" w:rsidRPr="00DB5D0D" w:rsidRDefault="00156ED0" w:rsidP="00DB5D0D">
      <w:pPr>
        <w:pStyle w:val="ae"/>
        <w:shd w:val="clear" w:color="auto" w:fill="FFFFFF"/>
        <w:spacing w:before="0" w:after="0"/>
        <w:jc w:val="both"/>
        <w:rPr>
          <w:color w:val="000000" w:themeColor="text1"/>
          <w:sz w:val="16"/>
          <w:szCs w:val="16"/>
        </w:rPr>
      </w:pPr>
      <w:r w:rsidRPr="00DB5D0D">
        <w:rPr>
          <w:color w:val="000000" w:themeColor="text1"/>
          <w:sz w:val="16"/>
          <w:szCs w:val="16"/>
        </w:rPr>
        <w:t>Максимальная скорость полета без включения ПВРД по про екту — 658 км/ч.</w:t>
      </w:r>
    </w:p>
    <w:p w14:paraId="44CBC83E" w14:textId="77777777" w:rsidR="00156ED0" w:rsidRPr="00DB5D0D" w:rsidRDefault="00156ED0" w:rsidP="00DB5D0D">
      <w:pPr>
        <w:pStyle w:val="ae"/>
        <w:shd w:val="clear" w:color="auto" w:fill="FFFFFF"/>
        <w:spacing w:before="0" w:after="0"/>
        <w:jc w:val="both"/>
        <w:rPr>
          <w:color w:val="000000" w:themeColor="text1"/>
          <w:sz w:val="16"/>
          <w:szCs w:val="16"/>
        </w:rPr>
      </w:pPr>
      <w:r w:rsidRPr="00DB5D0D">
        <w:rPr>
          <w:color w:val="000000" w:themeColor="text1"/>
          <w:sz w:val="16"/>
          <w:szCs w:val="16"/>
        </w:rPr>
        <w:t>По мнению комиссии, с учетом потерь на охлаждение мощ ного мотора и дополнительного аэродинамического сопротив ления реактивного двигателя, максимальная скорость без вклю чения ПВРД могла составить 605 км/ч.</w:t>
      </w:r>
    </w:p>
    <w:p w14:paraId="58CDDC8C" w14:textId="77777777" w:rsidR="00156ED0" w:rsidRPr="00DB5D0D" w:rsidRDefault="00156ED0" w:rsidP="00DB5D0D">
      <w:pPr>
        <w:pStyle w:val="ae"/>
        <w:shd w:val="clear" w:color="auto" w:fill="FFFFFF"/>
        <w:spacing w:before="0" w:after="0"/>
        <w:jc w:val="both"/>
        <w:rPr>
          <w:color w:val="000000" w:themeColor="text1"/>
          <w:sz w:val="16"/>
          <w:szCs w:val="16"/>
        </w:rPr>
      </w:pPr>
      <w:r w:rsidRPr="00DB5D0D">
        <w:rPr>
          <w:color w:val="000000" w:themeColor="text1"/>
          <w:sz w:val="16"/>
          <w:szCs w:val="16"/>
        </w:rPr>
        <w:t>Отсюда делался вывод, что в варианте самолета поля боя скорость получилась бы не менее 550 км/ч. Этот вариант И-207 № 10 в полной мере мог оказаться эффективным самолетом поля боя. С реальным мотором М-82А максимальная скорость полета могла бы быть не менее 520 км/ч (19586).</w:t>
      </w:r>
    </w:p>
    <w:p w14:paraId="6C92C185" w14:textId="77777777" w:rsidR="00156ED0" w:rsidRPr="00DB5D0D" w:rsidRDefault="00156ED0" w:rsidP="00DB5D0D">
      <w:pPr>
        <w:pStyle w:val="ae"/>
        <w:shd w:val="clear" w:color="auto" w:fill="FFFFFF"/>
        <w:spacing w:before="0" w:after="0"/>
        <w:jc w:val="both"/>
        <w:rPr>
          <w:color w:val="000000" w:themeColor="text1"/>
          <w:sz w:val="16"/>
          <w:szCs w:val="16"/>
        </w:rPr>
      </w:pPr>
    </w:p>
    <w:p w14:paraId="551703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 старший военпред военинженер 1-го ранга Белоусов на заводе № 21 писал в донесении:</w:t>
      </w:r>
    </w:p>
    <w:p w14:paraId="6EE58D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«...Больших сдвигов по изготовлению машины И-180 еще нет. Работники завода еще недостаточно активно взялись за выполнение правительственного задания..., приходится по несколько раз переделывать один и тот же агрегат...» (10667).</w:t>
      </w:r>
    </w:p>
    <w:p w14:paraId="776A293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BB50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в ходе заводских испытаний И-200 А.И.М, которые проходили с 31 марта по 17 августа 1940, на И-200-2 был выполнен полет на определение границ высотности и температурных режимов ВМГ (2988).</w:t>
      </w:r>
    </w:p>
    <w:p w14:paraId="3316FEF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4042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в ходе заводских испытаний И-200 А.И.М, которые проходили с 31 марта по 17 августа 1940, на И-200-3 состоялся полет на проверку работы карбюратора и регулировки винта, а также полет для проверки температурных режимов работы ВМГ. Потом до 10 августа ремонтировали (2988).</w:t>
      </w:r>
    </w:p>
    <w:p w14:paraId="004A540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86ED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состоялось совещание постоянной комиссии НКАП по рассмотрению эскизных проектов самолетов (протокол 9):</w:t>
      </w:r>
    </w:p>
    <w:p w14:paraId="594401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Рассмотрели:</w:t>
      </w:r>
    </w:p>
    <w:p w14:paraId="20FE47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одноместный истребитель И-301 с установкой М-37 и 4 пулеметов вместо пушки и 2-х пулеметов С.А.Л., полностью переконструируемый. Пришли к выводу, что постройка целесообразна (1448).</w:t>
      </w:r>
    </w:p>
    <w:p w14:paraId="560678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двухмоторный двухместный истребитель и сопроводитель бомбардировщиков СК-3 Бисновата из ЦАГИ - обычный цельнометаллический низкоплан с 2АМ-37 типа Ме-110 и с теми же эксплуатационными и тактическими свойствами. Пришли к выводу, что создание самолета целесообразно, но ввиду серьезности задания поручать работу Бисновату не стоит, а лучше КБ, который имеет опыт рабоы по 2-х моторным машинам, например, А.А.А. или Н.Н.П. (1448).</w:t>
      </w:r>
    </w:p>
    <w:p w14:paraId="514A0C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ТИ-28 тренировочного истребителя Грибовского из КБ-28 с МВ-6 - цельнодеревянного низкоплана с убирающимся шасси и костылем. Решили продолжать разработку проекта и улучшить обзор пилота (1448).</w:t>
      </w:r>
    </w:p>
    <w:p w14:paraId="20D2A0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проекты монобипланов КБ-30 Шевченко:</w:t>
      </w:r>
    </w:p>
    <w:p w14:paraId="4B6060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ИС-4 с М-120</w:t>
      </w:r>
    </w:p>
    <w:p w14:paraId="4B570A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ИС-Х с М-90</w:t>
      </w:r>
    </w:p>
    <w:p w14:paraId="6532DE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ИС-ПБ-2М107 (спаркой).</w:t>
      </w:r>
    </w:p>
    <w:p w14:paraId="6B9EF1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ИС-3 с АМ-37.</w:t>
      </w:r>
    </w:p>
    <w:p w14:paraId="4B9DFF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Решили, что т.к. схема еще не испытана, то проектировать нецелесообразно и надо дождаться результатов испытаний ИС с М-63 (1448).</w:t>
      </w:r>
    </w:p>
    <w:p w14:paraId="07703F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проект маневренно-скоростного истребителя сопровождения и ПБ - самолета 10 Боровкова, завод 207, свободнонесущего биплана с крыльями чайка, М-71 и РД Меркулова в дюралевой монококовой задней частью фюзеляжа и скоростью 668 км/час. Вывод: самолет целесообразно строить в облегченном варианте, считая основным использование как маневренного истребителя. Подвеску бомб принять в перегрузочном варианте и считать предельным 2-250 или 4х100. Нагрузка 146 кг велика и ее надо снизить до 130 увеличив крыло или уменьшив вес. Желательны автоматические предкрылки по типу немецких самолетов (1448,147).</w:t>
      </w:r>
    </w:p>
    <w:p w14:paraId="7843DC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проект одноместного скоростного истребителя Яценко (л защищен броней сзади и снизу) с М-90 деревянной конструкции. Воздух для охлаждения мотора нагнетался через отверстие в коке. Поддержали (1448,171).</w:t>
      </w:r>
    </w:p>
    <w:p w14:paraId="5E7845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проект Ефремова с предложением о постройке спец. самолета с использованием выхлопных газов и радиаторного тепла с целью увеличения скорости. Решили согласиться с заключением экспертизы и комиссии ВВС о целесообразности проведения экспериментов, но без строительства специального самолета (1448,96).</w:t>
      </w:r>
    </w:p>
    <w:p w14:paraId="471EA9E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67D2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 в экспертной комиссии НКАП рассматривались четыре очередных проекта с различными двигателями ОКБ-30: ИС-4 М-120, ИС-Х М-90, ИС-ПБ 2 М-107 (спаренная мотоустановка), ИС-3 АМ-37. В них были устранены некоторые недостатки первых самолетов. В частности, шасси и нижнее крыло убирались раздельно, а выемки в фюзеляже в варианте биплана закрывались выдвигаемым ложементом. Однако от реализации этих проектов было решено воздержаться до получения официального заключения по результатам испытаний ИС-1 и ИС-2. Впрочем, в феврале 1941 г. появился еще один проект - оригинальный двухбалочный ИС-16. Известно, что работа над этим самолетом вплоть до изготовления полноразмерного макета велась до лета 1941 г. С началом войны майор Шевченко по личной просьбе был направлен летчиком в 6-й авиакорпус ПВО. В первый год он служил на должности заместителя 2-й эскадрильи в подразделении, базирующемся на аэродроме ЛИИ и состоящем из летчиков-испытателей. Затем его отозвали в НИИ ВВС. За проведение испытаний штурмовиков Ил-2 во фронтовых условиях был награжден орденом Боевого Красного Знамени. В 1942-43 гг. Шевченко предоставлял для рассмотрения проект самолета ИС М-71. Этот проект получил положительные отзывы, однако о его реализации вопроса не заходило. В 1947 г. был еще один проект самолета с убираемыми крыльями и турбореактивным двигателем. Он также оценивался вполне положительно и также детально не прорабатывался. В послевоенный период Владимир Васильевич продолжал летать. Последними его самолетами стали Ту-14, Ту-4, Ил-28. Затем до выхода на пенсию работал в штабе ВВС. Василий Васильевич Никитин в 1941 г., в связи с прекращением деятельности ОКБ-ЗО, работал на авиаремонтных предприятиях в должности конструктора и руководителя производства. В 1942 г. он переоборудовал в "летающую лабораторию" немецкий Юнкере Ю-52, затем занимался проектированием и постройкой аэродинамических труб по заданию ЦАГИ. В 1945 г. переоборудовал американский "Бостон" в специальный пассажирский самолет. В послевоенный период Никитин некоторое время работал в БНТ (Бюро новой техники) ЦАГИ, где занимались исследованием трофейных немецких самолетов. С конца 1940-х годов и вплоть до своей кончины в 1955 г., Никитин работал заместителем Н.И.Камова. В начале 1950-х годов он участвовал в создании винтокрыла Ка-22 (11966).</w:t>
      </w:r>
    </w:p>
    <w:p w14:paraId="7015FAD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45F1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года секретарь КО М. Пугаев писал письмо № 7167/ко в НКАП Шахурину А.И., ГУВВС Смушкевичу Я.А., ГУГВФ Молокову В.С.</w:t>
      </w:r>
    </w:p>
    <w:p w14:paraId="143EBC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Ходатайство ГУВВС и ГУГВФ о постановке серийного производства санитарно-транспортных самолетов СХ-1 с мотором МГ-31 докладывалось председателю КО Ворошилову К.Е. и председателю Совета по оборонной промышленности Вознесенскому Н.А.</w:t>
      </w:r>
    </w:p>
    <w:p w14:paraId="45C3D7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Ворошилов К.Е. и Вознесенский Н.А. дали следующие указания:</w:t>
      </w:r>
    </w:p>
    <w:p w14:paraId="051C81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Смушкевичу Я.А., Молокову В.С. и Наркомавипрому:</w:t>
      </w:r>
    </w:p>
    <w:p w14:paraId="31A2FA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представить в КО совместное предложение о том, где и взамен чего поставить производство самолетов СХ-1 и моторов МГ-31;</w:t>
      </w:r>
    </w:p>
    <w:p w14:paraId="548053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одновременно проработать вопрос о том, нельзя ли самолет с летно-техническими данными, подобными данным самолета СХ-1, построить с мотором, работающем на автомобильном бензине.</w:t>
      </w:r>
    </w:p>
    <w:p w14:paraId="5A0A58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Ваши совместные предложения ожидаются к 15 августа 1940 года (7625, 301).</w:t>
      </w:r>
    </w:p>
    <w:p w14:paraId="59F5A23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5C56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года Пугаев писал письмо N 7167/КО Шахурину, Смушкевичу, Молокову.</w:t>
      </w:r>
    </w:p>
    <w:p w14:paraId="546943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Ходатайство ГУВВС и ГУГВФ о постановке серийного производства санитарно-транспортных самолетов СХ-1 с мотором МГ-31 докладывалось Ворошилову и Вознесенскому [повтор предыдущ. а) и б)] (8,3400).</w:t>
      </w:r>
    </w:p>
    <w:p w14:paraId="654829A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71EF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 пост. СНК недалеко от завода № 54 начато строительство завода № 385 для выпуска крупнокалиберного стрелкового оружия с вводом в строй к 1.01.1942 г. (Завод № 385 НКВ /г. Златоуст Челябинской обл./). Первым в 08.1940 г. начато строительство механосборочного корпуса.</w:t>
      </w:r>
    </w:p>
    <w:p w14:paraId="5A0F8E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1942 г. начат выпуск СВТ, но вскоре завод перевели на производство ППШ.</w:t>
      </w:r>
    </w:p>
    <w:p w14:paraId="21D9BD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НКВ от 16.12.1947 г. на его площадке создано СКБ-385 завода № 66 НКВ.</w:t>
      </w:r>
    </w:p>
    <w:p w14:paraId="3949C5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11.1949 г. завод стал основной производственной базой по выпуску ракет для ВМФ и отработки новых технологий.</w:t>
      </w:r>
    </w:p>
    <w:p w14:paraId="5E2132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2.07.1959 г. завод № 66 объединен с опытным заводом № 385 в единый «Опытный завод п/я 105 СКБ».</w:t>
      </w:r>
    </w:p>
    <w:p w14:paraId="3A8F6B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(06.1941 г.-)-А.И. Милехин.</w:t>
      </w:r>
    </w:p>
    <w:p w14:paraId="2B08B9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Производство:</w:t>
      </w:r>
      <w:r w:rsidRPr="00DB5D0D">
        <w:rPr>
          <w:rFonts w:ascii="Times New Roman" w:hAnsi="Times New Roman"/>
          <w:color w:val="000000" w:themeColor="text1"/>
          <w:sz w:val="16"/>
          <w:szCs w:val="16"/>
        </w:rPr>
        <w:t xml:space="preserve"> самозарядная винтовка Токарева СВТ (1942), пистолет-пулемет ППШ-41 (1942-)- 18603 (1942); пулеметы: «Максима» (-1944), станковый Горюнова (1944-45-)- 13603, танковый ПКТ; пушка «ВЯ», противотанковое ружье Дегтярева (ВОВ).</w:t>
      </w:r>
    </w:p>
    <w:p w14:paraId="08CA603B"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СКБ-385 завода № 66 НКВ,</w:t>
      </w:r>
      <w:r w:rsidRPr="00DB5D0D">
        <w:rPr>
          <w:rFonts w:ascii="Times New Roman" w:hAnsi="Times New Roman"/>
          <w:smallCaps/>
          <w:color w:val="000000" w:themeColor="text1"/>
          <w:sz w:val="16"/>
          <w:szCs w:val="16"/>
        </w:rPr>
        <w:t xml:space="preserve"> скб</w:t>
      </w:r>
      <w:r w:rsidRPr="00DB5D0D">
        <w:rPr>
          <w:rFonts w:ascii="Times New Roman" w:hAnsi="Times New Roman"/>
          <w:color w:val="000000" w:themeColor="text1"/>
          <w:sz w:val="16"/>
          <w:szCs w:val="16"/>
        </w:rPr>
        <w:t xml:space="preserve">-385 гкот, п/я Ю5, п/я 41, КБ машиностроения (КБМ) </w:t>
      </w:r>
      <w:r w:rsidRPr="00DB5D0D">
        <w:rPr>
          <w:rFonts w:ascii="Times New Roman" w:hAnsi="Times New Roman"/>
          <w:color w:val="000000" w:themeColor="text1"/>
          <w:sz w:val="16"/>
          <w:szCs w:val="16"/>
          <w:lang w:val="en-US"/>
        </w:rPr>
        <w:t>MOM</w:t>
      </w:r>
      <w:r w:rsidRPr="00DB5D0D">
        <w:rPr>
          <w:rFonts w:ascii="Times New Roman" w:hAnsi="Times New Roman"/>
          <w:color w:val="000000" w:themeColor="text1"/>
          <w:sz w:val="16"/>
          <w:szCs w:val="16"/>
        </w:rPr>
        <w:t>, ФГУП «Государственный ракетный центр (ГРЦ) «КБ им. академика В.П. Макеева» ФКА /г. Златоуст Челябинской обл./ /456300  г. Миасс Челябинской обл. Тургоянское ш., 1 тел. 26-370/</w:t>
      </w:r>
    </w:p>
    <w:p w14:paraId="56DA5F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СКБ образовано по приказу </w:t>
      </w:r>
      <w:r w:rsidRPr="00DB5D0D">
        <w:rPr>
          <w:rFonts w:ascii="Times New Roman" w:hAnsi="Times New Roman"/>
          <w:color w:val="000000" w:themeColor="text1"/>
          <w:sz w:val="16"/>
          <w:szCs w:val="16"/>
          <w:lang w:val="en-US"/>
        </w:rPr>
        <w:t>MB</w:t>
      </w:r>
      <w:r w:rsidRPr="00DB5D0D">
        <w:rPr>
          <w:rFonts w:ascii="Times New Roman" w:hAnsi="Times New Roman"/>
          <w:color w:val="000000" w:themeColor="text1"/>
          <w:sz w:val="16"/>
          <w:szCs w:val="16"/>
        </w:rPr>
        <w:t xml:space="preserve"> от 16.12.1947 г. на заводе № 66 НКВ для внедрения в производство ракет дальнего действия разработки ОКБ-1 и разместилось на площадке завода № 385. Производственная база- филиал завода № 66. Первой работой стала отработка технологии серийного производства БР Р-1 и Р-2, строившихся на заводе № 66. С 29.10.1949 г. СКБ-385 выделилось из состава завода № 66 в самостоятельную организацию «п/я 105». В конце 1950-х  г. имело наименование «п/я 41».</w:t>
      </w:r>
    </w:p>
    <w:p w14:paraId="128992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решению правительства в 02.1953 г. на СКБ-385 возложена доводка и организация серийного выпуска Р-11, а в 08.1955 г.- работы по морской БР Р-11ФМ (постановление СМ СССР от 13.12.1955 г.).</w:t>
      </w:r>
    </w:p>
    <w:p w14:paraId="42BBCF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СМ СССР № 1240-631 от 21.08.1956 г. начата разработка морского РК Д-2 (с ракетой Р- 13). Пост, от 31.08.1956 г. сюда из ОКБ-1 переданы работы по морской БР 4К50 (Р-13), пост, от 13.10.1960 г. она пнв.</w:t>
      </w:r>
    </w:p>
    <w:p w14:paraId="3A1A1A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СМ № 386-179 от 24.04.1962 г. началась разработка комплекса Д-5. Р-27 пнв в составе комплекса Д-5 в 03.1968 г. пост. СМ № 162-164.</w:t>
      </w:r>
    </w:p>
    <w:p w14:paraId="1687C7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ПСМ № 692-222 от 16.09.1973 г. СКБ определено головным по созданию РК Д-19 системы «Тайфун» с ракетой ЗМ65.</w:t>
      </w:r>
    </w:p>
    <w:p w14:paraId="71EDCB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1979 г. начаты работы по комплексу Д-9РМ с ракетой Р-29РМ.</w:t>
      </w:r>
    </w:p>
    <w:p w14:paraId="4A9631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12.09.1959 г. СКБ-385 переведено на новую площадку в  г. Миасс (в машгородок). В 1960 г. становится филиалом № 1 ОКБ-1. Затем СКБ-385 ГКОТ передано в подчинение </w:t>
      </w:r>
      <w:r w:rsidRPr="00DB5D0D">
        <w:rPr>
          <w:rFonts w:ascii="Times New Roman" w:hAnsi="Times New Roman"/>
          <w:color w:val="000000" w:themeColor="text1"/>
          <w:sz w:val="16"/>
          <w:szCs w:val="16"/>
          <w:lang w:val="en-US"/>
        </w:rPr>
        <w:t>MOM</w:t>
      </w:r>
      <w:r w:rsidRPr="00DB5D0D">
        <w:rPr>
          <w:rFonts w:ascii="Times New Roman" w:hAnsi="Times New Roman"/>
          <w:color w:val="000000" w:themeColor="text1"/>
          <w:sz w:val="16"/>
          <w:szCs w:val="16"/>
        </w:rPr>
        <w:t xml:space="preserve"> и по приказу от 6.03.1966 г. преобразовано в КБ машиностроения.</w:t>
      </w:r>
    </w:p>
    <w:p w14:paraId="7EEAD3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1970-е-80-е  г. построены: корпус открытой аэробаллистической трассы; корпус вибродинамических испытаний; корпус гидродинамических установок; корпус вакуумно-динамических испытаний (1985 г.).</w:t>
      </w:r>
    </w:p>
    <w:p w14:paraId="11BE3B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составе экспериментальной базы создан Испытательный центр сертификации народнохозяйственной продукции.</w:t>
      </w:r>
    </w:p>
    <w:p w14:paraId="4A0F49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1991 г. КБ присвоено имя В.П. Макеева. С 1993 г.- ГРЦ «КБ им. академика В.П. Макеева». По Указу Президента РФ № 1009 от 4.08.2004 г. вошло в перечень стратегических оборонных предприятий.</w:t>
      </w:r>
    </w:p>
    <w:p w14:paraId="477AD4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Проведена первая в стране НИР по проникающим боевым блокам ракет (применительно к водной среде).</w:t>
      </w:r>
    </w:p>
    <w:p w14:paraId="4E3342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Головное предприятие по разработке БР для ПЛ. Разработано и сдано на вооружение 8 комплексов и 13 модификаций БРПЛ.</w:t>
      </w:r>
    </w:p>
    <w:p w14:paraId="1F8401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(2002-05 г.): БРПЛ, коммерческие РН «Волна», «Штиль», «Штиль-2Р», создание низкоорбитальных КА, КА КОСПАС; утилизация ракет; разработка оборудования для нефтеперерабатывающей промышленности, пожарной, строительной техники и транспорта; разработка и изготовление ветроэнергетических установок, экспериментальные исследования по ветроводородной энергетике; проектирование и изготовление медтехники.</w:t>
      </w:r>
    </w:p>
    <w:p w14:paraId="263B8B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составе ГРЦ (2007 г.): КБ по проектированию и конструированию ракет и РК; КБ по системам управления, испытаниям и эксплуатации; КБ гражданской продукции; отделения: по системам измерений; по технологическому обеспечению проектирования, конструирования и производства; по наземной отработке ракет.</w:t>
      </w:r>
    </w:p>
    <w:p w14:paraId="556990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(11.03(4).1955-1977 г.)- В.П. Макеев. Ген. конструктор (1977-85 г.)- академик (1976 г.) В.П. Макеев {25.10.1924-25.10.1985}, (1985-98 г.)- И.И. Величко, (1998-2009 г.-)- В. Г. Дегтярь {13.09.1948-}.</w:t>
      </w:r>
    </w:p>
    <w:p w14:paraId="4DD11B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(1963-77 г.-)- В.П. Макеев. Гендиректор (1998-2009 г.-)- В. Г. Дегтярь.</w:t>
      </w:r>
      <w:r w:rsidRPr="00DB5D0D">
        <w:rPr>
          <w:rFonts w:ascii="Times New Roman" w:hAnsi="Times New Roman"/>
          <w:color w:val="000000" w:themeColor="text1"/>
          <w:sz w:val="16"/>
          <w:szCs w:val="16"/>
          <w:vertAlign w:val="superscript"/>
        </w:rPr>
        <w:t>101</w:t>
      </w:r>
    </w:p>
    <w:p w14:paraId="6A20CA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зам. Начальника (1971-83 г.)- В.Х. Догужиев, (2002 г.)- В.А. Данилкин.</w:t>
      </w:r>
    </w:p>
    <w:p w14:paraId="070F9D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зам. Ген. Конструктора- В.Е. Каргин, (2002 г.)- В.А. Данилкин. Зам. гл. конструктора: по проектированию (1971-80 г.)- Ю.П. Григорьев; Н.В. Бардов.</w:t>
      </w:r>
    </w:p>
    <w:p w14:paraId="7D0C43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Н.В. Бардов.</w:t>
      </w:r>
    </w:p>
    <w:p w14:paraId="5A74FC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проектного отделения (1971-80 г.)- Ю.П. Григорьев. Начальник управления международного сотрудничества (2007 г.)- А. Флета.</w:t>
      </w:r>
    </w:p>
    <w:p w14:paraId="5505A0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конструкторы: (1950-е)- Е. Раков (Р-17), (1990-е)- Ю.А. Каверин («Риф-МА», «Штиль-2А,-ЗА»),</w:t>
      </w:r>
    </w:p>
    <w:p w14:paraId="53EDBD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Создано: БРПЛ:</w:t>
      </w:r>
      <w:r w:rsidRPr="00DB5D0D">
        <w:rPr>
          <w:rFonts w:ascii="Times New Roman" w:hAnsi="Times New Roman"/>
          <w:color w:val="000000" w:themeColor="text1"/>
          <w:sz w:val="16"/>
          <w:szCs w:val="16"/>
        </w:rPr>
        <w:t xml:space="preserve"> Р-11ФМ для Д-1 (8А61ФМ, пнв 20.02.1959 г.); Р-13 для Д-2 (4К50, пнв в 1960 г.), авиационная Р-13А (проект); Р-21 для Д-4 (4К55, пнв 15.05.1963 г.), Р-27 для Д-5 (4К10, РСМ-25, пнв в 1968 г.), конверсионная РН «Зыбь», Р-27У для Д-5У (пнв в 1974 г.), Р-27К для Д-5 (4К18, опытная, 1974 г.); Р-29 для Д-9 (4К75, РСМ-40, пнв 12.03.1974 г.), конверсионная РН «Высота», Р-29У для Д-9Д (пнв в 1978 г.), Р-29Р для Д-9Р (ЗМ40, РСМ-50, 16.11.1976 г., пнв 25.08.1977 г.), конверсионная РН «Волна» (1995), Р-29РЛ для Д-9РЛ (пнв в 1979 г.), Р-29К для Д- 9К (пнв в 1982 г.); Р-39 для Д-19 (ЗМ65, РСМ-52, пнв в 1983 г.), конверсионная РН «Риф-М»; Р-29РМ для Д-9РМ (3</w:t>
      </w:r>
      <w:r w:rsidRPr="00DB5D0D">
        <w:rPr>
          <w:rFonts w:ascii="Times New Roman" w:hAnsi="Times New Roman"/>
          <w:color w:val="000000" w:themeColor="text1"/>
          <w:sz w:val="16"/>
          <w:szCs w:val="16"/>
          <w:lang w:val="en-US"/>
        </w:rPr>
        <w:t>M</w:t>
      </w:r>
      <w:r w:rsidRPr="00DB5D0D">
        <w:rPr>
          <w:rFonts w:ascii="Times New Roman" w:hAnsi="Times New Roman"/>
          <w:color w:val="000000" w:themeColor="text1"/>
          <w:sz w:val="16"/>
          <w:szCs w:val="16"/>
        </w:rPr>
        <w:t>37, РСМ-54, пнв 7.02.1986 г.), Р-29РМУ2 «Синева» (2004), конверсионные РН «Штиль-1, -2, -3»; Р-39УТТХ «Барк» (РСМ-56 опытная, 1996 г.);</w:t>
      </w:r>
      <w:r w:rsidRPr="00DB5D0D">
        <w:rPr>
          <w:rFonts w:ascii="Times New Roman" w:hAnsi="Times New Roman"/>
          <w:iCs/>
          <w:color w:val="000000" w:themeColor="text1"/>
          <w:sz w:val="16"/>
          <w:szCs w:val="16"/>
          <w:lang w:val="en-US"/>
        </w:rPr>
        <w:t>OTP</w:t>
      </w:r>
      <w:r w:rsidRPr="00DB5D0D">
        <w:rPr>
          <w:rFonts w:ascii="Times New Roman" w:hAnsi="Times New Roman"/>
          <w:iCs/>
          <w:color w:val="000000" w:themeColor="text1"/>
          <w:sz w:val="16"/>
          <w:szCs w:val="16"/>
        </w:rPr>
        <w:t xml:space="preserve"> К:</w:t>
      </w:r>
      <w:r w:rsidRPr="00DB5D0D">
        <w:rPr>
          <w:rFonts w:ascii="Times New Roman" w:hAnsi="Times New Roman"/>
          <w:color w:val="000000" w:themeColor="text1"/>
          <w:sz w:val="16"/>
          <w:szCs w:val="16"/>
        </w:rPr>
        <w:t xml:space="preserve"> Р-17 «Скад» с ЯБЧ 269А (8К14, пнв 24.03.1962 г.); МАРК,</w:t>
      </w:r>
      <w:r w:rsidRPr="00DB5D0D">
        <w:rPr>
          <w:rFonts w:ascii="Times New Roman" w:hAnsi="Times New Roman"/>
          <w:color w:val="000000" w:themeColor="text1"/>
          <w:sz w:val="16"/>
          <w:szCs w:val="16"/>
          <w:vertAlign w:val="superscript"/>
        </w:rPr>
        <w:t>58</w:t>
      </w:r>
      <w:r w:rsidRPr="00DB5D0D">
        <w:rPr>
          <w:rFonts w:ascii="Times New Roman" w:hAnsi="Times New Roman"/>
          <w:color w:val="000000" w:themeColor="text1"/>
          <w:sz w:val="16"/>
          <w:szCs w:val="16"/>
        </w:rPr>
        <w:t xml:space="preserve"> спасаемые аппараты для экспериментов в условиях микрогравитации; проект ракетного комплекса «Рикша» (1990-е);</w:t>
      </w:r>
      <w:r w:rsidRPr="00DB5D0D">
        <w:rPr>
          <w:rFonts w:ascii="Times New Roman" w:hAnsi="Times New Roman"/>
          <w:color w:val="000000" w:themeColor="text1"/>
          <w:sz w:val="16"/>
          <w:szCs w:val="16"/>
          <w:vertAlign w:val="superscript"/>
        </w:rPr>
        <w:t xml:space="preserve">69 </w:t>
      </w:r>
      <w:r w:rsidRPr="00DB5D0D">
        <w:rPr>
          <w:rFonts w:ascii="Times New Roman" w:hAnsi="Times New Roman"/>
          <w:color w:val="000000" w:themeColor="text1"/>
          <w:sz w:val="16"/>
          <w:szCs w:val="16"/>
        </w:rPr>
        <w:t xml:space="preserve">разгонный блок АДУ-600 (2001); КА </w:t>
      </w:r>
      <w:r w:rsidRPr="00DB5D0D">
        <w:rPr>
          <w:rFonts w:ascii="Times New Roman" w:hAnsi="Times New Roman"/>
          <w:color w:val="000000" w:themeColor="text1"/>
          <w:sz w:val="16"/>
          <w:szCs w:val="16"/>
          <w:lang w:val="en-US"/>
        </w:rPr>
        <w:t>COMPASS</w:t>
      </w:r>
      <w:r w:rsidRPr="00DB5D0D">
        <w:rPr>
          <w:rFonts w:ascii="Times New Roman" w:hAnsi="Times New Roman"/>
          <w:color w:val="000000" w:themeColor="text1"/>
          <w:sz w:val="16"/>
          <w:szCs w:val="16"/>
        </w:rPr>
        <w:t>-2 (совместно с ИЗМИ РАН, 27.05.2006 г.) (11982).</w:t>
      </w:r>
    </w:p>
    <w:p w14:paraId="629A4D7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49A70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приказом ВВС N 154 после соответствующего рапорта временно исполняющего обязанности председателя комиссии полковника Суязина начальнику Отдела Тыла Штаба ВВС Красной армии генерал-майору интендантской службы Афанасьеву комиссия (по окраскам самолетов) была распущена, а проведение испытаний выбранных деформирующих окрасок самолетов поручено НИИ ВВС. Приказ подписал временно исполняющий должность Начальника ВВС Красной Армии генерал-лейтенант авиации П. В. Рычагов (2771,23).</w:t>
      </w:r>
    </w:p>
    <w:p w14:paraId="43E80B8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0EF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Нач. Военного отдела НКЧМ Поздышев писал письмо № 2067сс ГЛАВНОМУ КОНТРОЛЕРУ КОМИТЕТА ОБОРОНЫ ПРИ СНК СОЮЗА ССР тов. Новикову</w:t>
      </w:r>
    </w:p>
    <w:p w14:paraId="30A3AE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поводу: исполнения постановления Комитета Обороны № 200с</w:t>
      </w:r>
    </w:p>
    <w:p w14:paraId="126ABC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Постановлению Комитета Обороны при СНК Союза ССР № 200сс, Наркомчермет обязан поставлять заводам № 73 НКТМ и ХТЗ НКСМ в 1940-41 г.г. для топливннй апааратуры к моторам М-З0 и М-40.</w:t>
      </w:r>
    </w:p>
    <w:p w14:paraId="23CC27A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настоящего времени Наркомсредмаш не представил спецификацию на топливные трубки для ХТЗ, при том сообщал, что трубки потребуются только в 1У-м квартале 1940 года и спецификации будут представлены позже.</w:t>
      </w:r>
    </w:p>
    <w:p w14:paraId="6A18E0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НКТМ представил заявку на Ш-й квартал на топливные трубки, но не передал фонды на них, а также до сих пор окончательно не уточнил спецификацию.</w:t>
      </w:r>
    </w:p>
    <w:p w14:paraId="575CB0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завода № 75 легированными трусами НКЧМ вошел с ходатайством в Правительство о выделении ему дополнительных фондов.</w:t>
      </w:r>
    </w:p>
    <w:p w14:paraId="19EE16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выполнения настоящего постановления, прошу обя</w:t>
      </w:r>
      <w:r w:rsidRPr="00DB5D0D">
        <w:rPr>
          <w:rFonts w:ascii="Times New Roman" w:hAnsi="Times New Roman"/>
          <w:color w:val="000000" w:themeColor="text1"/>
          <w:sz w:val="16"/>
          <w:szCs w:val="16"/>
        </w:rPr>
        <w:softHyphen/>
        <w:t>зать НКСМ и НКТМ своевременно представить Наркомчермету спецификации и передать выделенные фонды на топливные тр.убы (10499,12).</w:t>
      </w:r>
    </w:p>
    <w:p w14:paraId="5DEB6B1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B7812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года в письме наркома авиапромышленности А.И. Шахурина за № Н-32/1291 заместителю наркома иностранных дел В.Г. Деканозову сообщалось, что Комиссией НКАП закончена приемка техдокументации по договору техпомощи на мотор ДЖИ-100. А.И. Шахурин просил у В.Г. Деканозова «указания тов. Уманскому о принятии от уполномоченного НКАП при Амторге наиболее ценной технической документации (60-70 кг) для отправки диппочтой» (РГАЭ. Ф. 8044. Оп. 1. Д. 666. Л. 84.). Наркомат иностранных дел пошел навстречу ин</w:t>
      </w:r>
      <w:r w:rsidRPr="00DB5D0D">
        <w:rPr>
          <w:rFonts w:ascii="Times New Roman" w:hAnsi="Times New Roman"/>
          <w:color w:val="000000" w:themeColor="text1"/>
          <w:sz w:val="16"/>
          <w:szCs w:val="16"/>
        </w:rPr>
        <w:softHyphen/>
        <w:t xml:space="preserve">тересам Наркомата авиапромышленности. По поручению В.Г. Деканозова помощник заведующего отделом дипломатической связи Иванов в письме № 240/дс от 11 сентября 1940 года сообщал А.И. Шахурину, что полпреду Уманскому дано указание </w:t>
      </w:r>
      <w:r w:rsidRPr="00DB5D0D">
        <w:rPr>
          <w:rFonts w:ascii="Times New Roman" w:hAnsi="Times New Roman"/>
          <w:color w:val="000000" w:themeColor="text1"/>
          <w:sz w:val="16"/>
          <w:szCs w:val="16"/>
        </w:rPr>
        <w:lastRenderedPageBreak/>
        <w:t>о принятии от уполномоченного НКАП при Ам</w:t>
      </w:r>
      <w:r w:rsidRPr="00DB5D0D">
        <w:rPr>
          <w:rFonts w:ascii="Times New Roman" w:hAnsi="Times New Roman"/>
          <w:color w:val="000000" w:themeColor="text1"/>
          <w:sz w:val="16"/>
          <w:szCs w:val="16"/>
        </w:rPr>
        <w:softHyphen/>
        <w:t>торге инженерной техдокументации на предмет пересылки в СССР дипло</w:t>
      </w:r>
      <w:r w:rsidRPr="00DB5D0D">
        <w:rPr>
          <w:rFonts w:ascii="Times New Roman" w:hAnsi="Times New Roman"/>
          <w:color w:val="000000" w:themeColor="text1"/>
          <w:sz w:val="16"/>
          <w:szCs w:val="16"/>
        </w:rPr>
        <w:softHyphen/>
        <w:t>матической почтой (РГАЭ. Ф. 8044. Оп. 1. Д. 666. Л. 147.). Таким образом, наблюдается привлечение различных ведомств для по</w:t>
      </w:r>
      <w:r w:rsidRPr="00DB5D0D">
        <w:rPr>
          <w:rFonts w:ascii="Times New Roman" w:hAnsi="Times New Roman"/>
          <w:color w:val="000000" w:themeColor="text1"/>
          <w:sz w:val="16"/>
          <w:szCs w:val="16"/>
        </w:rPr>
        <w:softHyphen/>
        <w:t>лучения из США необходимой техдокументации, важность последней, а также задержка с поступлением требуемых материалов не менее чем на полгода из-за нездоровой атмосферы «морального эмбарго». Только В декабре 1940 года фирма «Райт» предоставила техпомощь по однорядным мо</w:t>
      </w:r>
      <w:r w:rsidRPr="00DB5D0D">
        <w:rPr>
          <w:rFonts w:ascii="Times New Roman" w:hAnsi="Times New Roman"/>
          <w:color w:val="000000" w:themeColor="text1"/>
          <w:sz w:val="16"/>
          <w:szCs w:val="16"/>
        </w:rPr>
        <w:softHyphen/>
        <w:t>торам С-100 и С-200 (РГАЭ. Ф. 8044. Оп. 1. Д. 408. Л. 46-47.) (11710,245).</w:t>
      </w:r>
    </w:p>
    <w:p w14:paraId="3871F9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76F1E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Нач. ГУАС КА комдив Алексеев писал в докладе на запрос пред. НКО Кулика: “...что же касается ракетной бетонобойной бомбы калибра 254 мм, то она находится на испытаниях в НКВМФ (Евпатория). За этими испытаниями ГУАС КА наблюдает и после их окончания будет принято решение об использовании этой бомбы” (7453, 514).</w:t>
      </w:r>
    </w:p>
    <w:p w14:paraId="4D00B14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E9D96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года на НИП АВ ВВС закончились полигонные испытаниям ХАБ-200 со стабилизатором от ФАБ-250 на устойчивость, которые проходили с 28 июля 1940.</w:t>
      </w:r>
    </w:p>
    <w:p w14:paraId="6EB133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1F206D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инженер 4 отделения опытного отдела НИИ АВ ВВС в/инженер 2 ранга Рублев</w:t>
      </w:r>
    </w:p>
    <w:p w14:paraId="3A1A44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CCE56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устойчивость ХАБ-200 при падении со стабилизатором от ФАБ-250.</w:t>
      </w:r>
    </w:p>
    <w:p w14:paraId="32E1C0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химической авиабомбы (ХАБ-200 м) разработана ГСКБ-47 в 1939 году взамен старой конструкции ХАБ-200.</w:t>
      </w:r>
    </w:p>
    <w:p w14:paraId="199F67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ХАБ-200 м выдержала заводские и полигонные испытания и сейчас проходит войсковые испытания на ЦХП. ХАБ-200 м изготовлена в габаритах ФАБ-250 и предназначается для поражения живой силы и заражения местности БХВ.</w:t>
      </w:r>
    </w:p>
    <w:p w14:paraId="135BB7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09E23D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ХАБ-200 м со стабилизатором от ФАБ-250 полигонных испытаний на устойчивость при падении не выдержала (7839).</w:t>
      </w:r>
    </w:p>
    <w:p w14:paraId="0DD1099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276947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августа 1940 ви2р Кокоревм было подготовлено </w:t>
      </w:r>
    </w:p>
    <w:p w14:paraId="0CF790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По предлонению "Защита Корабля от торпед буксируемой сетью" (Гроховского).</w:t>
      </w:r>
    </w:p>
    <w:p w14:paraId="106112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 предложения:</w:t>
      </w:r>
    </w:p>
    <w:p w14:paraId="770E15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защиты больших кораблей на походе от торпедных атак автор предлагает буксировать кораблями на некотором расстоянии металлическую сеть.</w:t>
      </w:r>
    </w:p>
    <w:p w14:paraId="726935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предложения.</w:t>
      </w:r>
    </w:p>
    <w:p w14:paraId="49493D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Автором дана только идея защиты кораблей от торпед без каких либо расчетов и обоснований.</w:t>
      </w:r>
    </w:p>
    <w:p w14:paraId="19C529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Для задержания выпущенной в корабль торпеды сеть должна иметь значительные размеры и прочность. Если принять: Вес торпеды = 1600 кг.</w:t>
      </w:r>
    </w:p>
    <w:p w14:paraId="3BDE9C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Скорость торпеды = 45 узл. = 23 мет/сек., </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то живая сила торпеды,которую должна будет погасить сеть, будет - 42320 кг. метр.,</w:t>
      </w:r>
    </w:p>
    <w:p w14:paraId="663396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погашения такой живой силы сеть должна быть сплетена из проволоки диаметром 10-12 мм.</w:t>
      </w:r>
    </w:p>
    <w:p w14:paraId="6422C2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учесть, что сеть долина защищать всю подводную часть для и всю его длину, то размеры сети долины быть следующие: длина сети = 220-230 метр, ширина сети (углубление) - 12-13 метр. Вес такой сети порядка 18-20 тонн. Если учесть, что эта сеть должна удерживаться буяами (плавучастями), которых будет значительное количество, чтобы поддержать 20 тонн, то вся эта система при буксировке будет иметь большое гидродинамическое сопротивление и значительно снижать скокорабле, которое ее буксируют, а значит и всей эскадры..</w:t>
      </w:r>
    </w:p>
    <w:p w14:paraId="2490C7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этого корабли, идущие в охранении, будут связаны сетью в маневрировании, а значит будут ограничены маневренные качества основных сил.</w:t>
      </w:r>
    </w:p>
    <w:p w14:paraId="613E36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Уменьшение скорости и ухудшение маневрености соединения увличит вероятность успешной атаки подводной лодки кораблей ранения и основных сил.</w:t>
      </w:r>
    </w:p>
    <w:p w14:paraId="2AC43B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совместном плавании в случае обнаружения перископа подводной лодки кораблями охранения, последние вместо немедлешого следования к месту обнаружения п/л и уничтожения ее глубинными бомбами будут вынуждены заняться выборкой всей этой системы и цель будет утеряна.</w:t>
      </w:r>
    </w:p>
    <w:p w14:paraId="451F0D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34C63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Считаю,что настоящее предложение "Защита Корабля на походе ”буксирующей металлической сетью" реализации не подлепит (10516,63).</w:t>
      </w:r>
    </w:p>
    <w:p w14:paraId="349722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51B3F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 начальник НИ ПАВ ВВС КА полковник Г.М.Шевченко писал инженеру по авиационному вооружению 62-го бап (г. Евпатория): «Отказы в воспламенении РЗ происходили от того, что вы пользуетесь пиропатронами не той марки. Для РС на И-16 необходимо применять ПП-1. а впоследствии будут разосланы по частям новые пиропатроны ПП-4, разработанные специально для РС.</w:t>
      </w:r>
    </w:p>
    <w:p w14:paraId="2171A1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Пиропатроны ПП-2 и ПП-3 для РС совершенно непригодны, так как имеют малый луч огня, который не в состоянии воспламенить РЗ. Это пиропатроны бомбардировочного вооружения. При стрельбе с исполь</w:t>
      </w:r>
      <w:r w:rsidRPr="00DB5D0D">
        <w:rPr>
          <w:rFonts w:ascii="Times New Roman" w:hAnsi="Times New Roman"/>
          <w:color w:val="000000" w:themeColor="text1"/>
          <w:sz w:val="16"/>
          <w:szCs w:val="16"/>
        </w:rPr>
        <w:softHyphen/>
        <w:t>зованием нормальных пиропатронов нет необходимости передвигать пиропистолст ближе к РС - он должен быть на таком расстоянии, ч юбы передний край ствола находился у заднего среза сопла РС.</w:t>
      </w:r>
    </w:p>
    <w:p w14:paraId="1F5807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Произвольное открытие замков пиропистолета происходит оного, что Вы слишком близко придвинули пиропистолет к РС, и ударами газо</w:t>
      </w:r>
      <w:r w:rsidRPr="00DB5D0D">
        <w:rPr>
          <w:rFonts w:ascii="Times New Roman" w:hAnsi="Times New Roman"/>
          <w:color w:val="000000" w:themeColor="text1"/>
          <w:sz w:val="16"/>
          <w:szCs w:val="16"/>
        </w:rPr>
        <w:softHyphen/>
        <w:t>вой струи его расшатаю, и вообще это считается заводским браком. За</w:t>
      </w:r>
      <w:r w:rsidRPr="00DB5D0D">
        <w:rPr>
          <w:rFonts w:ascii="Times New Roman" w:hAnsi="Times New Roman"/>
          <w:color w:val="000000" w:themeColor="text1"/>
          <w:sz w:val="16"/>
          <w:szCs w:val="16"/>
        </w:rPr>
        <w:softHyphen/>
        <w:t>вод №21 обязан заменить непригодные пиропистолеты. В 7-м отделе АУ ВМФ имеется СС «Временное краткое руководство по применению РС-82 и РС-132» издания 1940 г.» (11402).</w:t>
      </w:r>
    </w:p>
    <w:p w14:paraId="0F3288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0A94B1E"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9B37F3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62509A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w:t>
      </w:r>
    </w:p>
    <w:p w14:paraId="25EEF706"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коллегии НКВ по вопросу состояния качества продукции на заводах НКВ от 03.08.1940 и приказ НКВ № 245 от I9.0S.1940 (18627).</w:t>
      </w:r>
    </w:p>
    <w:p w14:paraId="5B8767FC" w14:textId="77777777" w:rsidR="008F4879" w:rsidRPr="00DB5D0D" w:rsidRDefault="008F4879" w:rsidP="00DB5D0D">
      <w:pPr>
        <w:spacing w:after="0" w:line="240" w:lineRule="auto"/>
        <w:jc w:val="both"/>
        <w:rPr>
          <w:rFonts w:ascii="Times New Roman" w:hAnsi="Times New Roman"/>
          <w:color w:val="000000" w:themeColor="text1"/>
          <w:sz w:val="16"/>
          <w:szCs w:val="16"/>
        </w:rPr>
      </w:pPr>
    </w:p>
    <w:p w14:paraId="7D2C9C84"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августа 1940 года была Записка начальника Главного управления государственных резервов при СНК СССР М. В. Данченко председателю СНК СССР В. М. Молотову о необходимости модернизации советских танков и реорганизации танковой промышленности</w:t>
      </w:r>
    </w:p>
    <w:p w14:paraId="337D6FBC"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Война на Западе, а также польско-финляндские собы</w:t>
      </w:r>
      <w:r w:rsidRPr="00DB5D0D">
        <w:rPr>
          <w:rFonts w:ascii="Times New Roman" w:hAnsi="Times New Roman"/>
          <w:color w:val="0070C0"/>
          <w:sz w:val="16"/>
          <w:szCs w:val="16"/>
        </w:rPr>
        <w:softHyphen/>
        <w:t>тия подтвердили громадное боевое значение танков, как боевых машин современного боя.</w:t>
      </w:r>
    </w:p>
    <w:p w14:paraId="6E345BD5"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Характер современной обороны, степень развития военно-инженерной техники, насыщенность огневыми сред</w:t>
      </w:r>
      <w:r w:rsidRPr="00DB5D0D">
        <w:rPr>
          <w:rFonts w:ascii="Times New Roman" w:hAnsi="Times New Roman"/>
          <w:color w:val="0070C0"/>
          <w:sz w:val="16"/>
          <w:szCs w:val="16"/>
        </w:rPr>
        <w:softHyphen/>
        <w:t>ствами основных родов войск (пулеметы, мелкокалиберные пехотные пушки и полевые орудия) требуют массового при</w:t>
      </w:r>
      <w:r w:rsidRPr="00DB5D0D">
        <w:rPr>
          <w:rFonts w:ascii="Times New Roman" w:hAnsi="Times New Roman"/>
          <w:color w:val="0070C0"/>
          <w:sz w:val="16"/>
          <w:szCs w:val="16"/>
        </w:rPr>
        <w:softHyphen/>
        <w:t>менения танков различных боевых и уд ар но-огневых качеств</w:t>
      </w:r>
    </w:p>
    <w:p w14:paraId="69B3E0BB"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Эти события также выявили качественную сторону современных танков, заключающуюся в том, что современные танки оказались слабыми как по своей броневой защите, так и по огневой мощи и техническому состоянию. Внутрен</w:t>
      </w:r>
      <w:r w:rsidRPr="00DB5D0D">
        <w:rPr>
          <w:rFonts w:ascii="Times New Roman" w:hAnsi="Times New Roman"/>
          <w:color w:val="0070C0"/>
          <w:sz w:val="16"/>
          <w:szCs w:val="16"/>
        </w:rPr>
        <w:softHyphen/>
        <w:t>ние механизмы (трансмиссии) также не отвечают современ</w:t>
      </w:r>
      <w:r w:rsidRPr="00DB5D0D">
        <w:rPr>
          <w:rFonts w:ascii="Times New Roman" w:hAnsi="Times New Roman"/>
          <w:color w:val="0070C0"/>
          <w:sz w:val="16"/>
          <w:szCs w:val="16"/>
        </w:rPr>
        <w:softHyphen/>
        <w:t>ным требованиям, пред"являемым к танкам при действии их в укрепленном районе и полосе заграждения.</w:t>
      </w:r>
    </w:p>
    <w:p w14:paraId="34C14492"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 изменяя самой системы танкового вооружения, которая состоит из сочетания определенных типов боевых машин, которые должны сообща решать любую боевую зад чу, тем не менее современный бой требует наличия новых бое</w:t>
      </w:r>
      <w:r w:rsidRPr="00DB5D0D">
        <w:rPr>
          <w:rFonts w:ascii="Times New Roman" w:hAnsi="Times New Roman"/>
          <w:color w:val="0070C0"/>
          <w:sz w:val="16"/>
          <w:szCs w:val="16"/>
        </w:rPr>
        <w:softHyphen/>
        <w:t>вых, защитных и маневренных качеств тяжелых, средних и легких танков.</w:t>
      </w:r>
    </w:p>
    <w:p w14:paraId="75705852"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Германия, применяя во Франции в соответствующем сочетании средне-тяжелого и легкого типа танки, первые с достаточной ударной силой и броневой запятой, а вторые с хорошей маневренностью и скоростью движения, имела колоссальное преимущество перед французскими танками, хотя и более защищенными, но с малой маневренной подвиж</w:t>
      </w:r>
      <w:r w:rsidRPr="00DB5D0D">
        <w:rPr>
          <w:rFonts w:ascii="Times New Roman" w:hAnsi="Times New Roman"/>
          <w:color w:val="0070C0"/>
          <w:sz w:val="16"/>
          <w:szCs w:val="16"/>
        </w:rPr>
        <w:softHyphen/>
        <w:t>ностью. Французские танки часто плелись в хвосте быстродвижущихся немецких танков и появлялись тогда, когда немцы наносили основным войскам разгром, а будучи неподдержанными основными родами войск (т.к. те были уничто</w:t>
      </w:r>
      <w:r w:rsidRPr="00DB5D0D">
        <w:rPr>
          <w:rFonts w:ascii="Times New Roman" w:hAnsi="Times New Roman"/>
          <w:color w:val="0070C0"/>
          <w:sz w:val="16"/>
          <w:szCs w:val="16"/>
        </w:rPr>
        <w:softHyphen/>
        <w:t>жены), сами сдавались н милость победителя.</w:t>
      </w:r>
    </w:p>
    <w:p w14:paraId="71F94656"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Касаясь танкового вооружения РККА, мы находим, что Квасная Армия обладает не плохими легкими онками типа Т-36 и БT. Однако, учитывая опыт последних военных со</w:t>
      </w:r>
      <w:r w:rsidRPr="00DB5D0D">
        <w:rPr>
          <w:rFonts w:ascii="Times New Roman" w:hAnsi="Times New Roman"/>
          <w:color w:val="0070C0"/>
          <w:sz w:val="16"/>
          <w:szCs w:val="16"/>
        </w:rPr>
        <w:softHyphen/>
        <w:t>бытий, они должны быть модернизованы. Надо развивать лег</w:t>
      </w:r>
      <w:r w:rsidRPr="00DB5D0D">
        <w:rPr>
          <w:rFonts w:ascii="Times New Roman" w:hAnsi="Times New Roman"/>
          <w:color w:val="0070C0"/>
          <w:sz w:val="16"/>
          <w:szCs w:val="16"/>
        </w:rPr>
        <w:softHyphen/>
        <w:t>кие танки типа БТ, этот тип танка должен быть массовым- это - механическая тяжелая кавалерия современного боя. Основным типом танков должны быть тяжелые и средние танки. Наши тяжелые и средние танки должны быть модернизованы немедленно (созданы вновь).</w:t>
      </w:r>
    </w:p>
    <w:p w14:paraId="030C3786"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Созданная в настоящее время боевая машина КВ по своей идее, вооружению, весу, броневой защите, подвижно</w:t>
      </w:r>
      <w:r w:rsidRPr="00DB5D0D">
        <w:rPr>
          <w:rFonts w:ascii="Times New Roman" w:hAnsi="Times New Roman"/>
          <w:color w:val="0070C0"/>
          <w:sz w:val="16"/>
          <w:szCs w:val="16"/>
        </w:rPr>
        <w:softHyphen/>
        <w:t>сти - в основном отвечает требованиям, но техническая сто</w:t>
      </w:r>
      <w:r w:rsidRPr="00DB5D0D">
        <w:rPr>
          <w:rFonts w:ascii="Times New Roman" w:hAnsi="Times New Roman"/>
          <w:color w:val="0070C0"/>
          <w:sz w:val="16"/>
          <w:szCs w:val="16"/>
        </w:rPr>
        <w:softHyphen/>
        <w:t>рона - трансмиссия и частично ходовая часть отстали и в таком виде не пойдут.</w:t>
      </w:r>
    </w:p>
    <w:p w14:paraId="06BAC0E9"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Трансмиссия в таком виде, как мы ее до сих пор применяем и применяли в КВ, себя изжила и необходима прин</w:t>
      </w:r>
      <w:r w:rsidRPr="00DB5D0D">
        <w:rPr>
          <w:rFonts w:ascii="Times New Roman" w:hAnsi="Times New Roman"/>
          <w:color w:val="0070C0"/>
          <w:sz w:val="16"/>
          <w:szCs w:val="16"/>
        </w:rPr>
        <w:softHyphen/>
        <w:t>ципиально новая.</w:t>
      </w:r>
    </w:p>
    <w:p w14:paraId="45876B16"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Двигатель этого танка при устранении замеченных недостатков отвечает требованиям.</w:t>
      </w:r>
    </w:p>
    <w:p w14:paraId="7723FD8D"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 танке "КВ"</w:t>
      </w:r>
    </w:p>
    <w:p w14:paraId="3AC30196"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своей внешней характеристике и вооружению он отвечает требованиям. Необходимость в таком танке на се</w:t>
      </w:r>
      <w:r w:rsidRPr="00DB5D0D">
        <w:rPr>
          <w:rFonts w:ascii="Times New Roman" w:hAnsi="Times New Roman"/>
          <w:color w:val="0070C0"/>
          <w:sz w:val="16"/>
          <w:szCs w:val="16"/>
        </w:rPr>
        <w:softHyphen/>
        <w:t>годняшний день чрезвычайно большая. Поэтому, несмотря на его конструкцию и техническое несовершенство, до разработ</w:t>
      </w:r>
      <w:r w:rsidRPr="00DB5D0D">
        <w:rPr>
          <w:rFonts w:ascii="Times New Roman" w:hAnsi="Times New Roman"/>
          <w:color w:val="0070C0"/>
          <w:sz w:val="16"/>
          <w:szCs w:val="16"/>
        </w:rPr>
        <w:softHyphen/>
        <w:t>ки совершенного образца, на ближайшее время, можно допу</w:t>
      </w:r>
      <w:r w:rsidRPr="00DB5D0D">
        <w:rPr>
          <w:rFonts w:ascii="Times New Roman" w:hAnsi="Times New Roman"/>
          <w:color w:val="0070C0"/>
          <w:sz w:val="16"/>
          <w:szCs w:val="16"/>
        </w:rPr>
        <w:softHyphen/>
        <w:t>стить принятие не вооружение этого танка, постепенно устраняя недостатки в посерийных выпусках.</w:t>
      </w:r>
    </w:p>
    <w:p w14:paraId="6620989A"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 прекращая работы по выпуску этого танка, необ</w:t>
      </w:r>
      <w:r w:rsidRPr="00DB5D0D">
        <w:rPr>
          <w:rFonts w:ascii="Times New Roman" w:hAnsi="Times New Roman"/>
          <w:color w:val="0070C0"/>
          <w:sz w:val="16"/>
          <w:szCs w:val="16"/>
        </w:rPr>
        <w:softHyphen/>
        <w:t>ходимо срочно приступить к проектированию нового танка на иной технической основе. Этой новой технической осно</w:t>
      </w:r>
      <w:r w:rsidRPr="00DB5D0D">
        <w:rPr>
          <w:rFonts w:ascii="Times New Roman" w:hAnsi="Times New Roman"/>
          <w:color w:val="0070C0"/>
          <w:sz w:val="16"/>
          <w:szCs w:val="16"/>
        </w:rPr>
        <w:softHyphen/>
        <w:t>вой в области трансмиссии может служить принципиальная схема танковой трансмиссии, предложенная мною и препода</w:t>
      </w:r>
      <w:r w:rsidRPr="00DB5D0D">
        <w:rPr>
          <w:rFonts w:ascii="Times New Roman" w:hAnsi="Times New Roman"/>
          <w:color w:val="0070C0"/>
          <w:sz w:val="16"/>
          <w:szCs w:val="16"/>
        </w:rPr>
        <w:softHyphen/>
        <w:t>вателем Академии Моторизации и Механизации РККА тов. Благонравовым.</w:t>
      </w:r>
    </w:p>
    <w:p w14:paraId="0B8B463B"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Данное распоряжение Комитетом Обороны Наркомсредмашу и Наркомтяжмашу о проектировании предложенной нами трансмиссии применительно к танку КВ и Т-34 последними не выполняется.</w:t>
      </w:r>
    </w:p>
    <w:p w14:paraId="791209B1"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Квалификация, мощность и общая научно-техниче</w:t>
      </w:r>
      <w:r w:rsidRPr="00DB5D0D">
        <w:rPr>
          <w:rFonts w:ascii="Times New Roman" w:hAnsi="Times New Roman"/>
          <w:color w:val="0070C0"/>
          <w:sz w:val="16"/>
          <w:szCs w:val="16"/>
        </w:rPr>
        <w:softHyphen/>
        <w:t>ская грамотность конструкторского бюро Кировского завода на сегодняшний день таковы, что оно не в состоянии выпол</w:t>
      </w:r>
      <w:r w:rsidRPr="00DB5D0D">
        <w:rPr>
          <w:rFonts w:ascii="Times New Roman" w:hAnsi="Times New Roman"/>
          <w:color w:val="0070C0"/>
          <w:sz w:val="16"/>
          <w:szCs w:val="16"/>
        </w:rPr>
        <w:softHyphen/>
        <w:t>нить проектирование танковой трансмиссии по предложенному нами принципу.</w:t>
      </w:r>
    </w:p>
    <w:p w14:paraId="440AB759"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того, чтобы успешно выполнить эту работу, необ</w:t>
      </w:r>
      <w:r w:rsidRPr="00DB5D0D">
        <w:rPr>
          <w:rFonts w:ascii="Times New Roman" w:hAnsi="Times New Roman"/>
          <w:color w:val="0070C0"/>
          <w:sz w:val="16"/>
          <w:szCs w:val="16"/>
        </w:rPr>
        <w:softHyphen/>
        <w:t>ходимо в конструкторское бюро Кировского заводе командиро</w:t>
      </w:r>
      <w:r w:rsidRPr="00DB5D0D">
        <w:rPr>
          <w:rFonts w:ascii="Times New Roman" w:hAnsi="Times New Roman"/>
          <w:color w:val="0070C0"/>
          <w:sz w:val="16"/>
          <w:szCs w:val="16"/>
        </w:rPr>
        <w:softHyphen/>
        <w:t>вать т. Благонравова и группу конструкторов, которые нами могут быть предложены.</w:t>
      </w:r>
    </w:p>
    <w:p w14:paraId="6A28A879"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Такое же положение и на Харьковском заводе по тан</w:t>
      </w:r>
      <w:r w:rsidRPr="00DB5D0D">
        <w:rPr>
          <w:rFonts w:ascii="Times New Roman" w:hAnsi="Times New Roman"/>
          <w:color w:val="0070C0"/>
          <w:sz w:val="16"/>
          <w:szCs w:val="16"/>
        </w:rPr>
        <w:softHyphen/>
        <w:t>ку Т-34.</w:t>
      </w:r>
    </w:p>
    <w:p w14:paraId="34D40D50"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Конструктора этих заводов считают наше предложение чрезвычайно ценным, но приступить к его выполнению они не могут и по своей занятости и по тем трудностям, которые они могут встретить при конструктивной и расчетной разра</w:t>
      </w:r>
      <w:r w:rsidRPr="00DB5D0D">
        <w:rPr>
          <w:rFonts w:ascii="Times New Roman" w:hAnsi="Times New Roman"/>
          <w:color w:val="0070C0"/>
          <w:sz w:val="16"/>
          <w:szCs w:val="16"/>
        </w:rPr>
        <w:softHyphen/>
        <w:t>ботке.</w:t>
      </w:r>
    </w:p>
    <w:p w14:paraId="460F8A5B"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Поэтому для решения ближайшей танковой проблемы необходимо срочное укрепление конструкторских бюро этих заводов.</w:t>
      </w:r>
    </w:p>
    <w:p w14:paraId="5D3BAC29"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коренного решения танкового вопроса, мне кажет</w:t>
      </w:r>
      <w:r w:rsidRPr="00DB5D0D">
        <w:rPr>
          <w:rFonts w:ascii="Times New Roman" w:hAnsi="Times New Roman"/>
          <w:color w:val="0070C0"/>
          <w:sz w:val="16"/>
          <w:szCs w:val="16"/>
        </w:rPr>
        <w:softHyphen/>
        <w:t>ся, необходимо создание специального наркомата. Нам нужны десятки тысяч совершенных танков, а теперешние наркоматы танковым вопросам, наверное, больше 10-15% своих общих производственных задач не уделяют.</w:t>
      </w:r>
    </w:p>
    <w:p w14:paraId="55487856"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Танковое производство.</w:t>
      </w:r>
    </w:p>
    <w:p w14:paraId="583D541B"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Современная наша организация танкового производст</w:t>
      </w:r>
      <w:r w:rsidRPr="00DB5D0D">
        <w:rPr>
          <w:rFonts w:ascii="Times New Roman" w:hAnsi="Times New Roman"/>
          <w:color w:val="0070C0"/>
          <w:sz w:val="16"/>
          <w:szCs w:val="16"/>
        </w:rPr>
        <w:softHyphen/>
        <w:t>ва не может обеспечить оборонных требований в области тан</w:t>
      </w:r>
      <w:r w:rsidRPr="00DB5D0D">
        <w:rPr>
          <w:rFonts w:ascii="Times New Roman" w:hAnsi="Times New Roman"/>
          <w:color w:val="0070C0"/>
          <w:sz w:val="16"/>
          <w:szCs w:val="16"/>
        </w:rPr>
        <w:softHyphen/>
        <w:t>кового вооружения. Танковое производство рассредоточено по нескольким наркоматам, в основном -Наркомсредмаш, Наркомтяжмаш, Судпром и др.</w:t>
      </w:r>
    </w:p>
    <w:p w14:paraId="43D079FB"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Работа заводов и конструкторских бюро этих нарко</w:t>
      </w:r>
      <w:r w:rsidRPr="00DB5D0D">
        <w:rPr>
          <w:rFonts w:ascii="Times New Roman" w:hAnsi="Times New Roman"/>
          <w:color w:val="0070C0"/>
          <w:sz w:val="16"/>
          <w:szCs w:val="16"/>
        </w:rPr>
        <w:softHyphen/>
        <w:t>матов изолирована друг от друга, нет органа, обобщающего опыт танкового производства й конструирования.</w:t>
      </w:r>
    </w:p>
    <w:p w14:paraId="2FE47AC9"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Конструкторские бюро не заводах имеют в основном молодых конструкторов, правда, способных, но еще слабо осво</w:t>
      </w:r>
      <w:r w:rsidRPr="00DB5D0D">
        <w:rPr>
          <w:rFonts w:ascii="Times New Roman" w:hAnsi="Times New Roman"/>
          <w:color w:val="0070C0"/>
          <w:sz w:val="16"/>
          <w:szCs w:val="16"/>
        </w:rPr>
        <w:softHyphen/>
        <w:t>ивших танковое дело, а главное - недостаточное их количест</w:t>
      </w:r>
      <w:r w:rsidRPr="00DB5D0D">
        <w:rPr>
          <w:rFonts w:ascii="Times New Roman" w:hAnsi="Times New Roman"/>
          <w:color w:val="0070C0"/>
          <w:sz w:val="16"/>
          <w:szCs w:val="16"/>
        </w:rPr>
        <w:softHyphen/>
        <w:t>во. Конструкторские бюро варятся в собственной соку, заня</w:t>
      </w:r>
      <w:r w:rsidRPr="00DB5D0D">
        <w:rPr>
          <w:rFonts w:ascii="Times New Roman" w:hAnsi="Times New Roman"/>
          <w:color w:val="0070C0"/>
          <w:sz w:val="16"/>
          <w:szCs w:val="16"/>
        </w:rPr>
        <w:softHyphen/>
        <w:t>тые по горло текущей производственной работой, они не име</w:t>
      </w:r>
      <w:r w:rsidRPr="00DB5D0D">
        <w:rPr>
          <w:rFonts w:ascii="Times New Roman" w:hAnsi="Times New Roman"/>
          <w:color w:val="0070C0"/>
          <w:sz w:val="16"/>
          <w:szCs w:val="16"/>
        </w:rPr>
        <w:softHyphen/>
        <w:t>ют перспектив.</w:t>
      </w:r>
    </w:p>
    <w:p w14:paraId="6B473A5F"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Отсутствие центрального проектно-конструкторского органа танковой мысли, работающего в области перспектив развития, привело к тому, что на пред"явленные требования со стороны армии по созданию мощного танка с сильным воору</w:t>
      </w:r>
      <w:r w:rsidRPr="00DB5D0D">
        <w:rPr>
          <w:rFonts w:ascii="Times New Roman" w:hAnsi="Times New Roman"/>
          <w:color w:val="0070C0"/>
          <w:sz w:val="16"/>
          <w:szCs w:val="16"/>
        </w:rPr>
        <w:softHyphen/>
        <w:t>жением и защитой, промышленность ответила образцом танка КВ, в своей идее отвечающим этим требованиям, но по своему техническому состоянию этот танк без ввода новой техники, боевым требованиям отвечать не сможет.</w:t>
      </w:r>
    </w:p>
    <w:p w14:paraId="2697480C"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того, чтобы поднять танковую промышленность и про</w:t>
      </w:r>
      <w:r w:rsidRPr="00DB5D0D">
        <w:rPr>
          <w:rFonts w:ascii="Times New Roman" w:hAnsi="Times New Roman"/>
          <w:color w:val="0070C0"/>
          <w:sz w:val="16"/>
          <w:szCs w:val="16"/>
        </w:rPr>
        <w:softHyphen/>
        <w:t>ектное дело на должную высоту, необходимо последние реорга</w:t>
      </w:r>
      <w:r w:rsidRPr="00DB5D0D">
        <w:rPr>
          <w:rFonts w:ascii="Times New Roman" w:hAnsi="Times New Roman"/>
          <w:color w:val="0070C0"/>
          <w:sz w:val="16"/>
          <w:szCs w:val="16"/>
        </w:rPr>
        <w:softHyphen/>
        <w:t>низовать. Эту реорганизацию я мыслю созданием специального наркомата Танковой и тракторной промышленности, т.е. необходимо создать наркомат по производству танков и гусеничных трак</w:t>
      </w:r>
      <w:r w:rsidRPr="00DB5D0D">
        <w:rPr>
          <w:rFonts w:ascii="Times New Roman" w:hAnsi="Times New Roman"/>
          <w:color w:val="0070C0"/>
          <w:sz w:val="16"/>
          <w:szCs w:val="16"/>
        </w:rPr>
        <w:softHyphen/>
        <w:t>торов, отвечающих военным требованиям.</w:t>
      </w:r>
    </w:p>
    <w:p w14:paraId="14B3BFD1"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Такой наркомат, кроме заводов и конструкторско-произ</w:t>
      </w:r>
      <w:r w:rsidRPr="00DB5D0D">
        <w:rPr>
          <w:rFonts w:ascii="Times New Roman" w:hAnsi="Times New Roman"/>
          <w:color w:val="0070C0"/>
          <w:sz w:val="16"/>
          <w:szCs w:val="16"/>
        </w:rPr>
        <w:softHyphen/>
        <w:t>водственных бюро на них, должен иметь центральный танко-тракторо-моторный проектный и опытно-производственный институт, обобщающий опыт танкостроенья. Этот наркомат должен иметь также и учебный танко-тракторный институт, готовящей инженеров- производственников и конструкторов танкового дела.</w:t>
      </w:r>
    </w:p>
    <w:p w14:paraId="4ED26507"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Успехи немцев в танкостроении можно частично объяснять и тем, что три основные фирмы по танкостроению "Даймлер”, "Рейн-Металл" и "Крупп" обобщили свои опыт, сов</w:t>
      </w:r>
      <w:r w:rsidRPr="00DB5D0D">
        <w:rPr>
          <w:rFonts w:ascii="Times New Roman" w:hAnsi="Times New Roman"/>
          <w:color w:val="0070C0"/>
          <w:sz w:val="16"/>
          <w:szCs w:val="16"/>
        </w:rPr>
        <w:softHyphen/>
        <w:t>местно испытывая и совершенствуя свои танки (это было в СССР в Казани - 29,30 и 31 г.г.).</w:t>
      </w:r>
    </w:p>
    <w:p w14:paraId="787AAEE8"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Необходимо собрать всех лучших конструкторов про</w:t>
      </w:r>
      <w:r w:rsidRPr="00DB5D0D">
        <w:rPr>
          <w:rFonts w:ascii="Times New Roman" w:hAnsi="Times New Roman"/>
          <w:color w:val="0070C0"/>
          <w:sz w:val="16"/>
          <w:szCs w:val="16"/>
        </w:rPr>
        <w:softHyphen/>
        <w:t>мышленных наркоматов и НКО. Наша страна должна я может стать передовой танковой страной. Нам это необходимо сде</w:t>
      </w:r>
      <w:r w:rsidRPr="00DB5D0D">
        <w:rPr>
          <w:rFonts w:ascii="Times New Roman" w:hAnsi="Times New Roman"/>
          <w:color w:val="0070C0"/>
          <w:sz w:val="16"/>
          <w:szCs w:val="16"/>
        </w:rPr>
        <w:softHyphen/>
        <w:t>лать в кратчайший срок.</w:t>
      </w:r>
    </w:p>
    <w:p w14:paraId="1594F3AB"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Этими своими мыслями я хотел поделиться с Вами, Вячеслав Михайлович. Над этим меня заставил задуматься тот интерес, который Вы проявляете к танковым вопросам и осо</w:t>
      </w:r>
      <w:r w:rsidRPr="00DB5D0D">
        <w:rPr>
          <w:rFonts w:ascii="Times New Roman" w:hAnsi="Times New Roman"/>
          <w:color w:val="0070C0"/>
          <w:sz w:val="16"/>
          <w:szCs w:val="16"/>
        </w:rPr>
        <w:softHyphen/>
        <w:t>бенно последняя моя встреча с Вами, где Вы поставили целый ряд конкретных вопросов</w:t>
      </w:r>
    </w:p>
    <w:p w14:paraId="0E54A47E" w14:textId="77777777" w:rsidR="00061FD4" w:rsidRPr="00DB5D0D" w:rsidRDefault="00061FD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Я слышал, что нами приобретен немецкий танк, но его не видел. Считаю, что и этот опыт также необходимо исполь</w:t>
      </w:r>
      <w:r w:rsidRPr="00DB5D0D">
        <w:rPr>
          <w:rFonts w:ascii="Times New Roman" w:hAnsi="Times New Roman"/>
          <w:color w:val="0070C0"/>
          <w:sz w:val="16"/>
          <w:szCs w:val="16"/>
        </w:rPr>
        <w:softHyphen/>
        <w:t>зовать (22019).</w:t>
      </w:r>
    </w:p>
    <w:p w14:paraId="6037202E" w14:textId="77777777" w:rsidR="00061FD4" w:rsidRPr="00DB5D0D" w:rsidRDefault="00061FD4" w:rsidP="00DB5D0D">
      <w:pPr>
        <w:spacing w:after="0" w:line="240" w:lineRule="auto"/>
        <w:jc w:val="both"/>
        <w:rPr>
          <w:rFonts w:ascii="Times New Roman" w:hAnsi="Times New Roman"/>
          <w:color w:val="0070C0"/>
          <w:sz w:val="16"/>
          <w:szCs w:val="16"/>
        </w:rPr>
      </w:pPr>
    </w:p>
    <w:p w14:paraId="74AD2156" w14:textId="77777777" w:rsidR="003C7E8B" w:rsidRPr="00DB5D0D" w:rsidRDefault="003C7E8B" w:rsidP="00DB5D0D">
      <w:pPr>
        <w:pStyle w:val="a3"/>
        <w:rPr>
          <w:color w:val="000000" w:themeColor="text1"/>
          <w:lang w:val="ru-RU"/>
        </w:rPr>
      </w:pPr>
      <w:r w:rsidRPr="00DB5D0D">
        <w:rPr>
          <w:color w:val="000000" w:themeColor="text1"/>
          <w:lang w:val="ru-RU"/>
        </w:rPr>
        <w:t>3 августа 1940 г. как результат проводимых на протяжении лета 1940 г. нескольких совместных совещаний, на которых руководство ГАБТУ и завода №183 согласовывали перечень конструктивных измене</w:t>
      </w:r>
      <w:r w:rsidRPr="00DB5D0D">
        <w:rPr>
          <w:color w:val="000000" w:themeColor="text1"/>
          <w:lang w:val="ru-RU"/>
        </w:rPr>
        <w:softHyphen/>
        <w:t>ний и доработок по танку Т-34, подлежащих обязательному вве</w:t>
      </w:r>
      <w:r w:rsidRPr="00DB5D0D">
        <w:rPr>
          <w:color w:val="000000" w:themeColor="text1"/>
          <w:lang w:val="ru-RU"/>
        </w:rPr>
        <w:softHyphen/>
        <w:t xml:space="preserve">дению в серийное производство в 1940 г., появилось дополнительное соглашение №4-529 между ГАБТУ и заводом № 183 к основному договору </w:t>
      </w:r>
      <w:r w:rsidRPr="00DB5D0D">
        <w:rPr>
          <w:color w:val="000000" w:themeColor="text1"/>
        </w:rPr>
        <w:t>N</w:t>
      </w:r>
      <w:r w:rsidRPr="00DB5D0D">
        <w:rPr>
          <w:color w:val="000000" w:themeColor="text1"/>
          <w:lang w:val="ru-RU"/>
        </w:rPr>
        <w:t>94-074 от 9 января 1940 г.в котором кроме списка конструктивных изме</w:t>
      </w:r>
      <w:r w:rsidRPr="00DB5D0D">
        <w:rPr>
          <w:color w:val="000000" w:themeColor="text1"/>
          <w:lang w:val="ru-RU"/>
        </w:rPr>
        <w:softHyphen/>
        <w:t>нений был прописан и новый, увеличенный согласно Постановле</w:t>
      </w:r>
      <w:r w:rsidRPr="00DB5D0D">
        <w:rPr>
          <w:color w:val="000000" w:themeColor="text1"/>
          <w:lang w:val="ru-RU"/>
        </w:rPr>
        <w:softHyphen/>
        <w:t>нию СНК СССР и ЦК ВКП (б) №976-368сс от 7 июня 1940 г., план по выпуску танков Т-34 в 1940 г. Включенный в соглашение пере</w:t>
      </w:r>
      <w:r w:rsidRPr="00DB5D0D">
        <w:rPr>
          <w:color w:val="000000" w:themeColor="text1"/>
          <w:lang w:val="ru-RU"/>
        </w:rPr>
        <w:softHyphen/>
        <w:t>чень конструктивных изменений (см. табл. №11) был составлен на основании отчета комиссии по проведению войсковых испыта</w:t>
      </w:r>
      <w:r w:rsidRPr="00DB5D0D">
        <w:rPr>
          <w:color w:val="000000" w:themeColor="text1"/>
          <w:lang w:val="ru-RU"/>
        </w:rPr>
        <w:softHyphen/>
        <w:t>ний двух опытных образцов Т-34, и в него вошли не исправленные на тот момент недостатки и дефекты машины с оговоренными сроками их устранения (11939).</w:t>
      </w:r>
    </w:p>
    <w:p w14:paraId="30E4C493" w14:textId="77777777" w:rsidR="003C7E8B" w:rsidRPr="00DB5D0D" w:rsidRDefault="003C7E8B" w:rsidP="00DB5D0D">
      <w:pPr>
        <w:pStyle w:val="a3"/>
        <w:rPr>
          <w:color w:val="000000" w:themeColor="text1"/>
          <w:lang w:val="ru-RU"/>
        </w:rPr>
      </w:pPr>
      <w:r w:rsidRPr="00DB5D0D">
        <w:rPr>
          <w:color w:val="000000" w:themeColor="text1"/>
          <w:lang w:val="ru-RU"/>
        </w:rPr>
        <w:t>Таблица №11</w:t>
      </w:r>
    </w:p>
    <w:p w14:paraId="5355F745" w14:textId="77777777" w:rsidR="003C7E8B" w:rsidRPr="00DB5D0D" w:rsidRDefault="003C7E8B" w:rsidP="00DB5D0D">
      <w:pPr>
        <w:pStyle w:val="aff1"/>
        <w:shd w:val="clear" w:color="auto" w:fill="auto"/>
        <w:spacing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lang w:val="ru-RU"/>
        </w:rPr>
        <w:t xml:space="preserve">Перечень конструктивных изменений по машине Т-34 (по дополнительному соглашению </w:t>
      </w:r>
      <w:r w:rsidRPr="00DB5D0D">
        <w:rPr>
          <w:rFonts w:ascii="Times New Roman" w:hAnsi="Times New Roman" w:cs="Times New Roman"/>
          <w:i w:val="0"/>
          <w:color w:val="000000" w:themeColor="text1"/>
          <w:sz w:val="16"/>
          <w:szCs w:val="16"/>
        </w:rPr>
        <w:t>№4-529)</w:t>
      </w:r>
    </w:p>
    <w:tbl>
      <w:tblPr>
        <w:tblW w:w="0" w:type="auto"/>
        <w:tblInd w:w="8" w:type="dxa"/>
        <w:tblLayout w:type="fixed"/>
        <w:tblCellMar>
          <w:left w:w="0" w:type="dxa"/>
          <w:right w:w="0" w:type="dxa"/>
        </w:tblCellMar>
        <w:tblLook w:val="0000" w:firstRow="0" w:lastRow="0" w:firstColumn="0" w:lastColumn="0" w:noHBand="0" w:noVBand="0"/>
      </w:tblPr>
      <w:tblGrid>
        <w:gridCol w:w="567"/>
        <w:gridCol w:w="7423"/>
        <w:gridCol w:w="3209"/>
      </w:tblGrid>
      <w:tr w:rsidR="007D5DF8" w:rsidRPr="00DB5D0D" w14:paraId="079714B8" w14:textId="77777777" w:rsidTr="00E543D0">
        <w:trPr>
          <w:trHeight w:val="288"/>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3FBF0ED" w14:textId="77777777" w:rsidR="003C7E8B" w:rsidRPr="00DB5D0D" w:rsidRDefault="003C7E8B" w:rsidP="00DB5D0D">
            <w:pPr>
              <w:pStyle w:val="a3"/>
              <w:rPr>
                <w:color w:val="000000" w:themeColor="text1"/>
              </w:rPr>
            </w:pPr>
            <w:r w:rsidRPr="00DB5D0D">
              <w:rPr>
                <w:color w:val="000000" w:themeColor="text1"/>
              </w:rPr>
              <w:t>№ п/п</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13568C4B" w14:textId="77777777" w:rsidR="003C7E8B" w:rsidRPr="00DB5D0D" w:rsidRDefault="003C7E8B" w:rsidP="00DB5D0D">
            <w:pPr>
              <w:pStyle w:val="a3"/>
              <w:rPr>
                <w:color w:val="000000" w:themeColor="text1"/>
              </w:rPr>
            </w:pPr>
            <w:r w:rsidRPr="00DB5D0D">
              <w:rPr>
                <w:color w:val="000000" w:themeColor="text1"/>
              </w:rPr>
              <w:t>Наименование изменений и доработок</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A50C4B4" w14:textId="77777777" w:rsidR="003C7E8B" w:rsidRPr="00DB5D0D" w:rsidRDefault="003C7E8B" w:rsidP="00DB5D0D">
            <w:pPr>
              <w:pStyle w:val="a3"/>
              <w:rPr>
                <w:color w:val="000000" w:themeColor="text1"/>
              </w:rPr>
            </w:pPr>
            <w:r w:rsidRPr="00DB5D0D">
              <w:rPr>
                <w:color w:val="000000" w:themeColor="text1"/>
              </w:rPr>
              <w:t>Срок ввода в серию</w:t>
            </w:r>
          </w:p>
        </w:tc>
      </w:tr>
      <w:tr w:rsidR="007D5DF8" w:rsidRPr="00DB5D0D" w14:paraId="4FCDB17D"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A029CE7" w14:textId="77777777" w:rsidR="003C7E8B" w:rsidRPr="00DB5D0D" w:rsidRDefault="003C7E8B" w:rsidP="00DB5D0D">
            <w:pPr>
              <w:pStyle w:val="a3"/>
              <w:rPr>
                <w:color w:val="000000" w:themeColor="text1"/>
              </w:rPr>
            </w:pPr>
            <w:r w:rsidRPr="00DB5D0D">
              <w:rPr>
                <w:color w:val="000000" w:themeColor="text1"/>
              </w:rPr>
              <w:t>1.</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614A1D63" w14:textId="77777777" w:rsidR="003C7E8B" w:rsidRPr="00DB5D0D" w:rsidRDefault="003C7E8B" w:rsidP="00DB5D0D">
            <w:pPr>
              <w:pStyle w:val="a3"/>
              <w:rPr>
                <w:color w:val="000000" w:themeColor="text1"/>
                <w:lang w:val="ru-RU"/>
              </w:rPr>
            </w:pPr>
            <w:r w:rsidRPr="00DB5D0D">
              <w:rPr>
                <w:color w:val="000000" w:themeColor="text1"/>
                <w:lang w:val="ru-RU"/>
              </w:rPr>
              <w:t>Предусмотреть снятие выхлопных труб без демонтажа бронеколпаков.</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3564623" w14:textId="77777777" w:rsidR="003C7E8B" w:rsidRPr="00DB5D0D" w:rsidRDefault="003C7E8B" w:rsidP="00DB5D0D">
            <w:pPr>
              <w:pStyle w:val="a3"/>
              <w:rPr>
                <w:color w:val="000000" w:themeColor="text1"/>
              </w:rPr>
            </w:pPr>
            <w:r w:rsidRPr="00DB5D0D">
              <w:rPr>
                <w:color w:val="000000" w:themeColor="text1"/>
              </w:rPr>
              <w:t>С января 1941 г.</w:t>
            </w:r>
          </w:p>
        </w:tc>
      </w:tr>
      <w:tr w:rsidR="007D5DF8" w:rsidRPr="00DB5D0D" w14:paraId="37045910" w14:textId="77777777" w:rsidTr="00E543D0">
        <w:trPr>
          <w:trHeight w:val="288"/>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11EDD28" w14:textId="77777777" w:rsidR="003C7E8B" w:rsidRPr="00DB5D0D" w:rsidRDefault="003C7E8B" w:rsidP="00DB5D0D">
            <w:pPr>
              <w:pStyle w:val="a3"/>
              <w:rPr>
                <w:color w:val="000000" w:themeColor="text1"/>
              </w:rPr>
            </w:pPr>
            <w:r w:rsidRPr="00DB5D0D">
              <w:rPr>
                <w:color w:val="000000" w:themeColor="text1"/>
              </w:rPr>
              <w:t>2.</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38170BB8" w14:textId="77777777" w:rsidR="003C7E8B" w:rsidRPr="00DB5D0D" w:rsidRDefault="003C7E8B" w:rsidP="00DB5D0D">
            <w:pPr>
              <w:pStyle w:val="a3"/>
              <w:rPr>
                <w:color w:val="000000" w:themeColor="text1"/>
                <w:lang w:val="ru-RU"/>
              </w:rPr>
            </w:pPr>
            <w:r w:rsidRPr="00DB5D0D">
              <w:rPr>
                <w:color w:val="000000" w:themeColor="text1"/>
                <w:lang w:val="ru-RU"/>
              </w:rPr>
              <w:t>Заменить масленки МТК на более производительные.</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6729508F"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09208DE4"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CD98FDB" w14:textId="77777777" w:rsidR="003C7E8B" w:rsidRPr="00DB5D0D" w:rsidRDefault="003C7E8B" w:rsidP="00DB5D0D">
            <w:pPr>
              <w:pStyle w:val="a3"/>
              <w:rPr>
                <w:color w:val="000000" w:themeColor="text1"/>
              </w:rPr>
            </w:pPr>
            <w:r w:rsidRPr="00DB5D0D">
              <w:rPr>
                <w:color w:val="000000" w:themeColor="text1"/>
              </w:rPr>
              <w:t>3.</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0170A49F" w14:textId="77777777" w:rsidR="003C7E8B" w:rsidRPr="00DB5D0D" w:rsidRDefault="003C7E8B" w:rsidP="00DB5D0D">
            <w:pPr>
              <w:pStyle w:val="a3"/>
              <w:rPr>
                <w:color w:val="000000" w:themeColor="text1"/>
                <w:lang w:val="ru-RU"/>
              </w:rPr>
            </w:pPr>
            <w:r w:rsidRPr="00DB5D0D">
              <w:rPr>
                <w:color w:val="000000" w:themeColor="text1"/>
                <w:lang w:val="ru-RU"/>
              </w:rPr>
              <w:t>Обеспечить нормальную работу главного фрикциона (в работе ненадежен по причине коробления).</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596815FE"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43D99C0D"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0F00FE3" w14:textId="77777777" w:rsidR="003C7E8B" w:rsidRPr="00DB5D0D" w:rsidRDefault="003C7E8B" w:rsidP="00DB5D0D">
            <w:pPr>
              <w:pStyle w:val="a3"/>
              <w:rPr>
                <w:color w:val="000000" w:themeColor="text1"/>
              </w:rPr>
            </w:pPr>
            <w:r w:rsidRPr="00DB5D0D">
              <w:rPr>
                <w:color w:val="000000" w:themeColor="text1"/>
              </w:rPr>
              <w:t>4.</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549E49CF" w14:textId="77777777" w:rsidR="003C7E8B" w:rsidRPr="00DB5D0D" w:rsidRDefault="003C7E8B" w:rsidP="00DB5D0D">
            <w:pPr>
              <w:pStyle w:val="a3"/>
              <w:rPr>
                <w:color w:val="000000" w:themeColor="text1"/>
                <w:lang w:val="ru-RU"/>
              </w:rPr>
            </w:pPr>
            <w:r w:rsidRPr="00DB5D0D">
              <w:rPr>
                <w:color w:val="000000" w:themeColor="text1"/>
                <w:lang w:val="ru-RU"/>
              </w:rPr>
              <w:t>Произвести испытание измененного вентилятора мотора на гарантийный километраж.</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57827BF0" w14:textId="77777777" w:rsidR="003C7E8B" w:rsidRPr="00DB5D0D" w:rsidRDefault="003C7E8B" w:rsidP="00DB5D0D">
            <w:pPr>
              <w:pStyle w:val="a3"/>
              <w:rPr>
                <w:color w:val="000000" w:themeColor="text1"/>
              </w:rPr>
            </w:pPr>
            <w:r w:rsidRPr="00DB5D0D">
              <w:rPr>
                <w:color w:val="000000" w:themeColor="text1"/>
              </w:rPr>
              <w:t>С 01.09.1940</w:t>
            </w:r>
          </w:p>
        </w:tc>
      </w:tr>
      <w:tr w:rsidR="007D5DF8" w:rsidRPr="00DB5D0D" w14:paraId="62C34991"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E446DDA" w14:textId="77777777" w:rsidR="003C7E8B" w:rsidRPr="00DB5D0D" w:rsidRDefault="003C7E8B" w:rsidP="00DB5D0D">
            <w:pPr>
              <w:pStyle w:val="a3"/>
              <w:rPr>
                <w:color w:val="000000" w:themeColor="text1"/>
              </w:rPr>
            </w:pPr>
            <w:r w:rsidRPr="00DB5D0D">
              <w:rPr>
                <w:color w:val="000000" w:themeColor="text1"/>
              </w:rPr>
              <w:t>5.</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7236F07A" w14:textId="77777777" w:rsidR="003C7E8B" w:rsidRPr="00DB5D0D" w:rsidRDefault="003C7E8B" w:rsidP="00DB5D0D">
            <w:pPr>
              <w:pStyle w:val="a3"/>
              <w:rPr>
                <w:color w:val="000000" w:themeColor="text1"/>
                <w:lang w:val="ru-RU"/>
              </w:rPr>
            </w:pPr>
            <w:r w:rsidRPr="00DB5D0D">
              <w:rPr>
                <w:color w:val="000000" w:themeColor="text1"/>
                <w:lang w:val="ru-RU"/>
              </w:rPr>
              <w:t>Обеспечить надежный возврат тяги акселератора от ручного и ножного привода, устранить заедание.</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40B45F92"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71BAE73C" w14:textId="77777777" w:rsidTr="00E543D0">
        <w:trPr>
          <w:trHeight w:val="107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8EA1E3B" w14:textId="77777777" w:rsidR="003C7E8B" w:rsidRPr="00DB5D0D" w:rsidRDefault="003C7E8B" w:rsidP="00DB5D0D">
            <w:pPr>
              <w:pStyle w:val="a3"/>
              <w:rPr>
                <w:color w:val="000000" w:themeColor="text1"/>
              </w:rPr>
            </w:pPr>
            <w:r w:rsidRPr="00DB5D0D">
              <w:rPr>
                <w:color w:val="000000" w:themeColor="text1"/>
              </w:rPr>
              <w:t>6.</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4896C67A" w14:textId="77777777" w:rsidR="003C7E8B" w:rsidRPr="00DB5D0D" w:rsidRDefault="003C7E8B" w:rsidP="00DB5D0D">
            <w:pPr>
              <w:pStyle w:val="a3"/>
              <w:tabs>
                <w:tab w:val="left" w:pos="242"/>
              </w:tabs>
              <w:rPr>
                <w:color w:val="000000" w:themeColor="text1"/>
                <w:lang w:val="ru-RU"/>
              </w:rPr>
            </w:pPr>
            <w:r w:rsidRPr="00DB5D0D">
              <w:rPr>
                <w:color w:val="000000" w:themeColor="text1"/>
                <w:lang w:val="ru-RU"/>
              </w:rPr>
              <w:t>4.</w:t>
            </w:r>
            <w:r w:rsidRPr="00DB5D0D">
              <w:rPr>
                <w:color w:val="000000" w:themeColor="text1"/>
                <w:lang w:val="ru-RU"/>
              </w:rPr>
              <w:tab/>
              <w:t>Уменьшить размеры сиденья башни по ширине.</w:t>
            </w:r>
          </w:p>
          <w:p w14:paraId="5B4918B3" w14:textId="77777777" w:rsidR="003C7E8B" w:rsidRPr="00DB5D0D" w:rsidRDefault="003C7E8B" w:rsidP="00DB5D0D">
            <w:pPr>
              <w:pStyle w:val="a3"/>
              <w:tabs>
                <w:tab w:val="left" w:pos="256"/>
              </w:tabs>
              <w:rPr>
                <w:color w:val="000000" w:themeColor="text1"/>
                <w:lang w:val="ru-RU"/>
              </w:rPr>
            </w:pPr>
            <w:r w:rsidRPr="00DB5D0D">
              <w:rPr>
                <w:color w:val="000000" w:themeColor="text1"/>
                <w:lang w:val="ru-RU"/>
              </w:rPr>
              <w:t>5.</w:t>
            </w:r>
            <w:r w:rsidRPr="00DB5D0D">
              <w:rPr>
                <w:color w:val="000000" w:themeColor="text1"/>
                <w:lang w:val="ru-RU"/>
              </w:rPr>
              <w:tab/>
              <w:t>Сделать их мягкими.</w:t>
            </w:r>
          </w:p>
          <w:p w14:paraId="1E4577D3" w14:textId="77777777" w:rsidR="003C7E8B" w:rsidRPr="00DB5D0D" w:rsidRDefault="003C7E8B" w:rsidP="00DB5D0D">
            <w:pPr>
              <w:pStyle w:val="a3"/>
              <w:tabs>
                <w:tab w:val="left" w:pos="256"/>
              </w:tabs>
              <w:rPr>
                <w:color w:val="000000" w:themeColor="text1"/>
                <w:lang w:val="ru-RU"/>
              </w:rPr>
            </w:pPr>
            <w:r w:rsidRPr="00DB5D0D">
              <w:rPr>
                <w:color w:val="000000" w:themeColor="text1"/>
                <w:lang w:val="ru-RU"/>
              </w:rPr>
              <w:t>6.</w:t>
            </w:r>
            <w:r w:rsidRPr="00DB5D0D">
              <w:rPr>
                <w:color w:val="000000" w:themeColor="text1"/>
                <w:lang w:val="ru-RU"/>
              </w:rPr>
              <w:tab/>
              <w:t>Поставить ограничитель при повороте сиденья.</w:t>
            </w:r>
          </w:p>
          <w:p w14:paraId="6A12A999" w14:textId="77777777" w:rsidR="003C7E8B" w:rsidRPr="00DB5D0D" w:rsidRDefault="003C7E8B" w:rsidP="00DB5D0D">
            <w:pPr>
              <w:pStyle w:val="a3"/>
              <w:tabs>
                <w:tab w:val="left" w:pos="263"/>
              </w:tabs>
              <w:rPr>
                <w:color w:val="000000" w:themeColor="text1"/>
              </w:rPr>
            </w:pPr>
            <w:r w:rsidRPr="00DB5D0D">
              <w:rPr>
                <w:color w:val="000000" w:themeColor="text1"/>
              </w:rPr>
              <w:t>7.</w:t>
            </w:r>
            <w:r w:rsidRPr="00DB5D0D">
              <w:rPr>
                <w:color w:val="000000" w:themeColor="text1"/>
              </w:rPr>
              <w:tab/>
              <w:t>Переделать углубление, устраняющее соскальзывание.</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69014B84" w14:textId="77777777" w:rsidR="003C7E8B" w:rsidRPr="00DB5D0D" w:rsidRDefault="003C7E8B" w:rsidP="00DB5D0D">
            <w:pPr>
              <w:pStyle w:val="a3"/>
              <w:rPr>
                <w:color w:val="000000" w:themeColor="text1"/>
              </w:rPr>
            </w:pPr>
            <w:r w:rsidRPr="00DB5D0D">
              <w:rPr>
                <w:color w:val="000000" w:themeColor="text1"/>
              </w:rPr>
              <w:t>Разработать чертежи к 10.08.1940</w:t>
            </w:r>
          </w:p>
        </w:tc>
      </w:tr>
      <w:tr w:rsidR="007D5DF8" w:rsidRPr="00DB5D0D" w14:paraId="6B3FDB29"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A45D24C" w14:textId="77777777" w:rsidR="003C7E8B" w:rsidRPr="00DB5D0D" w:rsidRDefault="003C7E8B" w:rsidP="00DB5D0D">
            <w:pPr>
              <w:pStyle w:val="a3"/>
              <w:rPr>
                <w:color w:val="000000" w:themeColor="text1"/>
              </w:rPr>
            </w:pPr>
            <w:r w:rsidRPr="00DB5D0D">
              <w:rPr>
                <w:color w:val="000000" w:themeColor="text1"/>
              </w:rPr>
              <w:t>7.</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53A17DDB" w14:textId="77777777" w:rsidR="003C7E8B" w:rsidRPr="00DB5D0D" w:rsidRDefault="003C7E8B" w:rsidP="00DB5D0D">
            <w:pPr>
              <w:pStyle w:val="a3"/>
              <w:rPr>
                <w:color w:val="000000" w:themeColor="text1"/>
              </w:rPr>
            </w:pPr>
            <w:r w:rsidRPr="00DB5D0D">
              <w:rPr>
                <w:color w:val="000000" w:themeColor="text1"/>
                <w:lang w:val="ru-RU"/>
              </w:rPr>
              <w:t xml:space="preserve">Устранить попадание масла и горючего на провода, уложенные по бортам. </w:t>
            </w:r>
            <w:r w:rsidRPr="00DB5D0D">
              <w:rPr>
                <w:color w:val="000000" w:themeColor="text1"/>
              </w:rPr>
              <w:t>Электропровода уложить в трубах или желобах.</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5662900"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7E9858CC"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BC79EF8" w14:textId="77777777" w:rsidR="003C7E8B" w:rsidRPr="00DB5D0D" w:rsidRDefault="003C7E8B" w:rsidP="00DB5D0D">
            <w:pPr>
              <w:pStyle w:val="a3"/>
              <w:rPr>
                <w:color w:val="000000" w:themeColor="text1"/>
              </w:rPr>
            </w:pPr>
            <w:r w:rsidRPr="00DB5D0D">
              <w:rPr>
                <w:color w:val="000000" w:themeColor="text1"/>
              </w:rPr>
              <w:t>8.</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042A594D" w14:textId="77777777" w:rsidR="003C7E8B" w:rsidRPr="00DB5D0D" w:rsidRDefault="003C7E8B" w:rsidP="00DB5D0D">
            <w:pPr>
              <w:pStyle w:val="a3"/>
              <w:rPr>
                <w:color w:val="000000" w:themeColor="text1"/>
                <w:lang w:val="ru-RU"/>
              </w:rPr>
            </w:pPr>
            <w:r w:rsidRPr="00DB5D0D">
              <w:rPr>
                <w:color w:val="000000" w:themeColor="text1"/>
                <w:lang w:val="ru-RU"/>
              </w:rPr>
              <w:t>Усилить постель стартера, предохранить его от перемещения и проверить крепление стартера.</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67B0A434" w14:textId="77777777" w:rsidR="003C7E8B" w:rsidRPr="00DB5D0D" w:rsidRDefault="003C7E8B" w:rsidP="00DB5D0D">
            <w:pPr>
              <w:pStyle w:val="a3"/>
              <w:rPr>
                <w:color w:val="000000" w:themeColor="text1"/>
              </w:rPr>
            </w:pPr>
            <w:r w:rsidRPr="00DB5D0D">
              <w:rPr>
                <w:color w:val="000000" w:themeColor="text1"/>
              </w:rPr>
              <w:t>С 21-й машины</w:t>
            </w:r>
          </w:p>
        </w:tc>
      </w:tr>
      <w:tr w:rsidR="007D5DF8" w:rsidRPr="00DB5D0D" w14:paraId="27C2C23B"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5937841" w14:textId="77777777" w:rsidR="003C7E8B" w:rsidRPr="00DB5D0D" w:rsidRDefault="003C7E8B" w:rsidP="00DB5D0D">
            <w:pPr>
              <w:pStyle w:val="a3"/>
              <w:rPr>
                <w:color w:val="000000" w:themeColor="text1"/>
              </w:rPr>
            </w:pPr>
            <w:r w:rsidRPr="00DB5D0D">
              <w:rPr>
                <w:color w:val="000000" w:themeColor="text1"/>
              </w:rPr>
              <w:t>9.</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7579300C" w14:textId="77777777" w:rsidR="003C7E8B" w:rsidRPr="00DB5D0D" w:rsidRDefault="003C7E8B" w:rsidP="00DB5D0D">
            <w:pPr>
              <w:pStyle w:val="a3"/>
              <w:rPr>
                <w:color w:val="000000" w:themeColor="text1"/>
              </w:rPr>
            </w:pPr>
            <w:r w:rsidRPr="00DB5D0D">
              <w:rPr>
                <w:color w:val="000000" w:themeColor="text1"/>
              </w:rPr>
              <w:t>Обеспечить герметичность люка водителя.</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453545C7" w14:textId="77777777" w:rsidR="003C7E8B" w:rsidRPr="00DB5D0D" w:rsidRDefault="003C7E8B" w:rsidP="00DB5D0D">
            <w:pPr>
              <w:pStyle w:val="a3"/>
              <w:rPr>
                <w:color w:val="000000" w:themeColor="text1"/>
                <w:lang w:val="ru-RU"/>
              </w:rPr>
            </w:pPr>
            <w:r w:rsidRPr="00DB5D0D">
              <w:rPr>
                <w:color w:val="000000" w:themeColor="text1"/>
                <w:lang w:val="ru-RU"/>
              </w:rPr>
              <w:t>Разработать чертежи и образец к 01.09.1940</w:t>
            </w:r>
          </w:p>
        </w:tc>
      </w:tr>
      <w:tr w:rsidR="007D5DF8" w:rsidRPr="00DB5D0D" w14:paraId="18657A6C" w14:textId="77777777" w:rsidTr="00E543D0">
        <w:trPr>
          <w:trHeight w:val="54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5A20A3A" w14:textId="77777777" w:rsidR="003C7E8B" w:rsidRPr="00DB5D0D" w:rsidRDefault="003C7E8B" w:rsidP="00DB5D0D">
            <w:pPr>
              <w:pStyle w:val="a3"/>
              <w:rPr>
                <w:color w:val="000000" w:themeColor="text1"/>
              </w:rPr>
            </w:pPr>
            <w:r w:rsidRPr="00DB5D0D">
              <w:rPr>
                <w:color w:val="000000" w:themeColor="text1"/>
              </w:rPr>
              <w:t>10.</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646F4722" w14:textId="77777777" w:rsidR="003C7E8B" w:rsidRPr="00DB5D0D" w:rsidRDefault="003C7E8B" w:rsidP="00DB5D0D">
            <w:pPr>
              <w:pStyle w:val="a3"/>
              <w:rPr>
                <w:color w:val="000000" w:themeColor="text1"/>
                <w:lang w:val="ru-RU"/>
              </w:rPr>
            </w:pPr>
            <w:r w:rsidRPr="00DB5D0D">
              <w:rPr>
                <w:color w:val="000000" w:themeColor="text1"/>
                <w:lang w:val="ru-RU"/>
              </w:rPr>
              <w:t>Заменить буксирные рымы крюками, обеспечивающими быстроту и удобство взятия машины на буксир, кроме зтого предусмотреть буксирный крюк тракторного типа («Ворошиловец»).</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1C08CB21" w14:textId="77777777" w:rsidR="003C7E8B" w:rsidRPr="00DB5D0D" w:rsidRDefault="003C7E8B" w:rsidP="00DB5D0D">
            <w:pPr>
              <w:pStyle w:val="a3"/>
              <w:rPr>
                <w:color w:val="000000" w:themeColor="text1"/>
              </w:rPr>
            </w:pPr>
            <w:r w:rsidRPr="00DB5D0D">
              <w:rPr>
                <w:color w:val="000000" w:themeColor="text1"/>
              </w:rPr>
              <w:t>Разработать чертежи не позднее 01.11.1940</w:t>
            </w:r>
          </w:p>
        </w:tc>
      </w:tr>
      <w:tr w:rsidR="007D5DF8" w:rsidRPr="00DB5D0D" w14:paraId="5EFDB3F7"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8163503" w14:textId="77777777" w:rsidR="003C7E8B" w:rsidRPr="00DB5D0D" w:rsidRDefault="003C7E8B" w:rsidP="00DB5D0D">
            <w:pPr>
              <w:pStyle w:val="a3"/>
              <w:rPr>
                <w:color w:val="000000" w:themeColor="text1"/>
              </w:rPr>
            </w:pPr>
            <w:r w:rsidRPr="00DB5D0D">
              <w:rPr>
                <w:color w:val="000000" w:themeColor="text1"/>
              </w:rPr>
              <w:t>11.</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56FC7B45" w14:textId="77777777" w:rsidR="003C7E8B" w:rsidRPr="00DB5D0D" w:rsidRDefault="003C7E8B" w:rsidP="00DB5D0D">
            <w:pPr>
              <w:pStyle w:val="a3"/>
              <w:rPr>
                <w:color w:val="000000" w:themeColor="text1"/>
                <w:lang w:val="ru-RU"/>
              </w:rPr>
            </w:pPr>
            <w:r w:rsidRPr="00DB5D0D">
              <w:rPr>
                <w:color w:val="000000" w:themeColor="text1"/>
                <w:lang w:val="ru-RU"/>
              </w:rPr>
              <w:t>Угол возвышения пушки довести до 30°, угол снижения на нос и борта до 5°.</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2F11F556" w14:textId="77777777" w:rsidR="003C7E8B" w:rsidRPr="00DB5D0D" w:rsidRDefault="003C7E8B" w:rsidP="00DB5D0D">
            <w:pPr>
              <w:pStyle w:val="a3"/>
              <w:rPr>
                <w:color w:val="000000" w:themeColor="text1"/>
              </w:rPr>
            </w:pPr>
            <w:r w:rsidRPr="00DB5D0D">
              <w:rPr>
                <w:color w:val="000000" w:themeColor="text1"/>
              </w:rPr>
              <w:t>С 38-й машины</w:t>
            </w:r>
          </w:p>
        </w:tc>
      </w:tr>
      <w:tr w:rsidR="007D5DF8" w:rsidRPr="00DB5D0D" w14:paraId="0B455E08"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5EDEEC2" w14:textId="77777777" w:rsidR="003C7E8B" w:rsidRPr="00DB5D0D" w:rsidRDefault="003C7E8B" w:rsidP="00DB5D0D">
            <w:pPr>
              <w:pStyle w:val="a3"/>
              <w:rPr>
                <w:color w:val="000000" w:themeColor="text1"/>
              </w:rPr>
            </w:pPr>
            <w:r w:rsidRPr="00DB5D0D">
              <w:rPr>
                <w:color w:val="000000" w:themeColor="text1"/>
              </w:rPr>
              <w:t>12.</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53ED751F" w14:textId="77777777" w:rsidR="003C7E8B" w:rsidRPr="00DB5D0D" w:rsidRDefault="003C7E8B" w:rsidP="00DB5D0D">
            <w:pPr>
              <w:pStyle w:val="a3"/>
              <w:rPr>
                <w:color w:val="000000" w:themeColor="text1"/>
                <w:lang w:val="ru-RU"/>
              </w:rPr>
            </w:pPr>
            <w:r w:rsidRPr="00DB5D0D">
              <w:rPr>
                <w:color w:val="000000" w:themeColor="text1"/>
                <w:lang w:val="ru-RU"/>
              </w:rPr>
              <w:t>Предусмотреть ограничитель угла снижения на корму.</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57B30EA3" w14:textId="77777777" w:rsidR="003C7E8B" w:rsidRPr="00DB5D0D" w:rsidRDefault="003C7E8B" w:rsidP="00DB5D0D">
            <w:pPr>
              <w:pStyle w:val="a3"/>
              <w:rPr>
                <w:color w:val="000000" w:themeColor="text1"/>
              </w:rPr>
            </w:pPr>
            <w:r w:rsidRPr="00DB5D0D">
              <w:rPr>
                <w:color w:val="000000" w:themeColor="text1"/>
              </w:rPr>
              <w:t>Разработать чертежи к 01.09.1940</w:t>
            </w:r>
          </w:p>
        </w:tc>
      </w:tr>
      <w:tr w:rsidR="007D5DF8" w:rsidRPr="00DB5D0D" w14:paraId="0B5698AB" w14:textId="77777777" w:rsidTr="00E543D0">
        <w:trPr>
          <w:trHeight w:val="81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F351213" w14:textId="77777777" w:rsidR="003C7E8B" w:rsidRPr="00DB5D0D" w:rsidRDefault="003C7E8B" w:rsidP="00DB5D0D">
            <w:pPr>
              <w:pStyle w:val="a3"/>
              <w:rPr>
                <w:color w:val="000000" w:themeColor="text1"/>
              </w:rPr>
            </w:pPr>
            <w:r w:rsidRPr="00DB5D0D">
              <w:rPr>
                <w:color w:val="000000" w:themeColor="text1"/>
              </w:rPr>
              <w:t>13.</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32035372" w14:textId="77777777" w:rsidR="003C7E8B" w:rsidRPr="00DB5D0D" w:rsidRDefault="003C7E8B" w:rsidP="00DB5D0D">
            <w:pPr>
              <w:pStyle w:val="a3"/>
              <w:rPr>
                <w:color w:val="000000" w:themeColor="text1"/>
              </w:rPr>
            </w:pPr>
            <w:r w:rsidRPr="00DB5D0D">
              <w:rPr>
                <w:color w:val="000000" w:themeColor="text1"/>
                <w:lang w:val="ru-RU"/>
              </w:rPr>
              <w:t xml:space="preserve">Радиостанцию установить в носовой части корпуса. На каждом линейном танке монтировать антенный ввод и предусмотреть установку радиостанции (приемника и передатчика). </w:t>
            </w:r>
            <w:r w:rsidRPr="00DB5D0D">
              <w:rPr>
                <w:color w:val="000000" w:themeColor="text1"/>
              </w:rPr>
              <w:t>Использовать на радиомашины РРН, РУН-10. Защитить 10-А предохранителем.</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44A50FA9" w14:textId="77777777" w:rsidR="003C7E8B" w:rsidRPr="00DB5D0D" w:rsidRDefault="003C7E8B" w:rsidP="00DB5D0D">
            <w:pPr>
              <w:pStyle w:val="a3"/>
              <w:rPr>
                <w:color w:val="000000" w:themeColor="text1"/>
              </w:rPr>
            </w:pPr>
            <w:r w:rsidRPr="00DB5D0D">
              <w:rPr>
                <w:color w:val="000000" w:themeColor="text1"/>
              </w:rPr>
              <w:t>С 15.09.1940</w:t>
            </w:r>
          </w:p>
        </w:tc>
      </w:tr>
      <w:tr w:rsidR="007D5DF8" w:rsidRPr="00DB5D0D" w14:paraId="64904B69" w14:textId="77777777" w:rsidTr="00E543D0">
        <w:trPr>
          <w:trHeight w:val="54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42B9C89" w14:textId="77777777" w:rsidR="003C7E8B" w:rsidRPr="00DB5D0D" w:rsidRDefault="003C7E8B" w:rsidP="00DB5D0D">
            <w:pPr>
              <w:pStyle w:val="a3"/>
              <w:rPr>
                <w:color w:val="000000" w:themeColor="text1"/>
              </w:rPr>
            </w:pPr>
            <w:r w:rsidRPr="00DB5D0D">
              <w:rPr>
                <w:color w:val="000000" w:themeColor="text1"/>
              </w:rPr>
              <w:t>14.</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6820E106" w14:textId="77777777" w:rsidR="003C7E8B" w:rsidRPr="00DB5D0D" w:rsidRDefault="003C7E8B" w:rsidP="00DB5D0D">
            <w:pPr>
              <w:pStyle w:val="a3"/>
              <w:rPr>
                <w:color w:val="000000" w:themeColor="text1"/>
                <w:lang w:val="ru-RU"/>
              </w:rPr>
            </w:pPr>
            <w:r w:rsidRPr="00DB5D0D">
              <w:rPr>
                <w:color w:val="000000" w:themeColor="text1"/>
                <w:lang w:val="ru-RU"/>
              </w:rPr>
              <w:t>В магистрали к манометру подкачивающей топливной помпы ставить гидравлический амортизатор или манометр с приемником по типу масляного.</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5065984B"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02ED8095"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EA9F701" w14:textId="77777777" w:rsidR="003C7E8B" w:rsidRPr="00DB5D0D" w:rsidRDefault="003C7E8B" w:rsidP="00DB5D0D">
            <w:pPr>
              <w:pStyle w:val="a3"/>
              <w:rPr>
                <w:color w:val="000000" w:themeColor="text1"/>
              </w:rPr>
            </w:pPr>
            <w:r w:rsidRPr="00DB5D0D">
              <w:rPr>
                <w:color w:val="000000" w:themeColor="text1"/>
              </w:rPr>
              <w:t>15.</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29759E82" w14:textId="77777777" w:rsidR="003C7E8B" w:rsidRPr="00DB5D0D" w:rsidRDefault="003C7E8B" w:rsidP="00DB5D0D">
            <w:pPr>
              <w:pStyle w:val="a3"/>
              <w:rPr>
                <w:color w:val="000000" w:themeColor="text1"/>
              </w:rPr>
            </w:pPr>
            <w:r w:rsidRPr="00DB5D0D">
              <w:rPr>
                <w:color w:val="000000" w:themeColor="text1"/>
                <w:lang w:val="ru-RU"/>
              </w:rPr>
              <w:t xml:space="preserve">Разработать установку четырех топливных баков по два на каждом крыле танка. </w:t>
            </w:r>
            <w:r w:rsidRPr="00DB5D0D">
              <w:rPr>
                <w:color w:val="000000" w:themeColor="text1"/>
              </w:rPr>
              <w:t>Емкость — 30—50 л каждый.</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204E9D19" w14:textId="77777777" w:rsidR="003C7E8B" w:rsidRPr="00DB5D0D" w:rsidRDefault="003C7E8B" w:rsidP="00DB5D0D">
            <w:pPr>
              <w:pStyle w:val="a3"/>
              <w:rPr>
                <w:color w:val="000000" w:themeColor="text1"/>
              </w:rPr>
            </w:pPr>
            <w:r w:rsidRPr="00DB5D0D">
              <w:rPr>
                <w:color w:val="000000" w:themeColor="text1"/>
              </w:rPr>
              <w:t>С ноября 1940 г.</w:t>
            </w:r>
          </w:p>
        </w:tc>
      </w:tr>
      <w:tr w:rsidR="007D5DF8" w:rsidRPr="00DB5D0D" w14:paraId="71DA6D55"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C6A85F4" w14:textId="77777777" w:rsidR="003C7E8B" w:rsidRPr="00DB5D0D" w:rsidRDefault="003C7E8B" w:rsidP="00DB5D0D">
            <w:pPr>
              <w:pStyle w:val="a3"/>
              <w:rPr>
                <w:color w:val="000000" w:themeColor="text1"/>
              </w:rPr>
            </w:pPr>
            <w:r w:rsidRPr="00DB5D0D">
              <w:rPr>
                <w:color w:val="000000" w:themeColor="text1"/>
              </w:rPr>
              <w:lastRenderedPageBreak/>
              <w:t>16.</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4DA1D9D4" w14:textId="77777777" w:rsidR="003C7E8B" w:rsidRPr="00DB5D0D" w:rsidRDefault="003C7E8B" w:rsidP="00DB5D0D">
            <w:pPr>
              <w:pStyle w:val="a3"/>
              <w:rPr>
                <w:color w:val="000000" w:themeColor="text1"/>
                <w:lang w:val="ru-RU"/>
              </w:rPr>
            </w:pPr>
            <w:r w:rsidRPr="00DB5D0D">
              <w:rPr>
                <w:color w:val="000000" w:themeColor="text1"/>
                <w:lang w:val="ru-RU"/>
              </w:rPr>
              <w:t>Разработать установку секретного наружного замка к люку лазу.</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552E720E" w14:textId="77777777" w:rsidR="003C7E8B" w:rsidRPr="00DB5D0D" w:rsidRDefault="003C7E8B" w:rsidP="00DB5D0D">
            <w:pPr>
              <w:pStyle w:val="a3"/>
              <w:rPr>
                <w:color w:val="000000" w:themeColor="text1"/>
                <w:lang w:val="ru-RU"/>
              </w:rPr>
            </w:pPr>
            <w:r w:rsidRPr="00DB5D0D">
              <w:rPr>
                <w:color w:val="000000" w:themeColor="text1"/>
                <w:lang w:val="ru-RU"/>
              </w:rPr>
              <w:t>Установить срок после утверждения чертежей</w:t>
            </w:r>
          </w:p>
        </w:tc>
      </w:tr>
      <w:tr w:rsidR="007D5DF8" w:rsidRPr="00DB5D0D" w14:paraId="54FC2EE3"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3A14572" w14:textId="77777777" w:rsidR="003C7E8B" w:rsidRPr="00DB5D0D" w:rsidRDefault="003C7E8B" w:rsidP="00DB5D0D">
            <w:pPr>
              <w:pStyle w:val="a3"/>
              <w:rPr>
                <w:color w:val="000000" w:themeColor="text1"/>
              </w:rPr>
            </w:pPr>
            <w:r w:rsidRPr="00DB5D0D">
              <w:rPr>
                <w:color w:val="000000" w:themeColor="text1"/>
              </w:rPr>
              <w:t>17.</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3CF21216" w14:textId="77777777" w:rsidR="003C7E8B" w:rsidRPr="00DB5D0D" w:rsidRDefault="003C7E8B" w:rsidP="00DB5D0D">
            <w:pPr>
              <w:pStyle w:val="a3"/>
              <w:rPr>
                <w:color w:val="000000" w:themeColor="text1"/>
                <w:lang w:val="ru-RU"/>
              </w:rPr>
            </w:pPr>
            <w:r w:rsidRPr="00DB5D0D">
              <w:rPr>
                <w:color w:val="000000" w:themeColor="text1"/>
                <w:lang w:val="ru-RU"/>
              </w:rPr>
              <w:t>Домкраты на машину укладывать достаточной мощности и разработать их укладку на машине.</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2DACB082" w14:textId="77777777" w:rsidR="003C7E8B" w:rsidRPr="00DB5D0D" w:rsidRDefault="003C7E8B" w:rsidP="00DB5D0D">
            <w:pPr>
              <w:pStyle w:val="a3"/>
              <w:rPr>
                <w:color w:val="000000" w:themeColor="text1"/>
              </w:rPr>
            </w:pPr>
            <w:r w:rsidRPr="00DB5D0D">
              <w:rPr>
                <w:color w:val="000000" w:themeColor="text1"/>
              </w:rPr>
              <w:t>С января 1941 г.</w:t>
            </w:r>
          </w:p>
        </w:tc>
      </w:tr>
      <w:tr w:rsidR="007D5DF8" w:rsidRPr="00DB5D0D" w14:paraId="1AB9835B"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99F9520" w14:textId="77777777" w:rsidR="003C7E8B" w:rsidRPr="00DB5D0D" w:rsidRDefault="003C7E8B" w:rsidP="00DB5D0D">
            <w:pPr>
              <w:pStyle w:val="a3"/>
              <w:rPr>
                <w:color w:val="000000" w:themeColor="text1"/>
              </w:rPr>
            </w:pPr>
            <w:r w:rsidRPr="00DB5D0D">
              <w:rPr>
                <w:color w:val="000000" w:themeColor="text1"/>
              </w:rPr>
              <w:t>18.</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2A28E496" w14:textId="77777777" w:rsidR="003C7E8B" w:rsidRPr="00DB5D0D" w:rsidRDefault="003C7E8B" w:rsidP="00DB5D0D">
            <w:pPr>
              <w:pStyle w:val="a3"/>
              <w:rPr>
                <w:color w:val="000000" w:themeColor="text1"/>
                <w:lang w:val="ru-RU"/>
              </w:rPr>
            </w:pPr>
            <w:r w:rsidRPr="00DB5D0D">
              <w:rPr>
                <w:color w:val="000000" w:themeColor="text1"/>
                <w:lang w:val="ru-RU"/>
              </w:rPr>
              <w:t>Сделать указатель положения рукояток закрытия и открытия жалюзей и кранов.</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DD620E9" w14:textId="77777777" w:rsidR="003C7E8B" w:rsidRPr="00DB5D0D" w:rsidRDefault="003C7E8B" w:rsidP="00DB5D0D">
            <w:pPr>
              <w:pStyle w:val="a3"/>
              <w:rPr>
                <w:color w:val="000000" w:themeColor="text1"/>
              </w:rPr>
            </w:pPr>
            <w:r w:rsidRPr="00DB5D0D">
              <w:rPr>
                <w:color w:val="000000" w:themeColor="text1"/>
              </w:rPr>
              <w:t>С 1-й машины</w:t>
            </w:r>
          </w:p>
        </w:tc>
      </w:tr>
      <w:tr w:rsidR="007D5DF8" w:rsidRPr="00DB5D0D" w14:paraId="24C4282A"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9F10583" w14:textId="77777777" w:rsidR="003C7E8B" w:rsidRPr="00DB5D0D" w:rsidRDefault="003C7E8B" w:rsidP="00DB5D0D">
            <w:pPr>
              <w:pStyle w:val="a3"/>
              <w:rPr>
                <w:color w:val="000000" w:themeColor="text1"/>
              </w:rPr>
            </w:pPr>
            <w:r w:rsidRPr="00DB5D0D">
              <w:rPr>
                <w:color w:val="000000" w:themeColor="text1"/>
              </w:rPr>
              <w:t>19.</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0E6D490F" w14:textId="77777777" w:rsidR="003C7E8B" w:rsidRPr="00DB5D0D" w:rsidRDefault="003C7E8B" w:rsidP="00DB5D0D">
            <w:pPr>
              <w:pStyle w:val="a3"/>
              <w:rPr>
                <w:color w:val="000000" w:themeColor="text1"/>
                <w:lang w:val="ru-RU"/>
              </w:rPr>
            </w:pPr>
            <w:r w:rsidRPr="00DB5D0D">
              <w:rPr>
                <w:color w:val="000000" w:themeColor="text1"/>
                <w:lang w:val="ru-RU"/>
              </w:rPr>
              <w:t>Внутреннюю сварку корпуса башни и приварку бонок производить аустенитовыми электродами.</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11988F75" w14:textId="77777777" w:rsidR="003C7E8B" w:rsidRPr="00DB5D0D" w:rsidRDefault="003C7E8B" w:rsidP="00DB5D0D">
            <w:pPr>
              <w:pStyle w:val="a3"/>
              <w:rPr>
                <w:color w:val="000000" w:themeColor="text1"/>
                <w:lang w:val="ru-RU"/>
              </w:rPr>
            </w:pPr>
            <w:r w:rsidRPr="00DB5D0D">
              <w:rPr>
                <w:color w:val="000000" w:themeColor="text1"/>
                <w:lang w:val="ru-RU"/>
              </w:rPr>
              <w:t>Установить срок после испытания обстрелом</w:t>
            </w:r>
          </w:p>
        </w:tc>
      </w:tr>
      <w:tr w:rsidR="007D5DF8" w:rsidRPr="00DB5D0D" w14:paraId="1D19180A"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44590A1" w14:textId="77777777" w:rsidR="003C7E8B" w:rsidRPr="00DB5D0D" w:rsidRDefault="003C7E8B" w:rsidP="00DB5D0D">
            <w:pPr>
              <w:pStyle w:val="a3"/>
              <w:rPr>
                <w:color w:val="000000" w:themeColor="text1"/>
              </w:rPr>
            </w:pPr>
            <w:r w:rsidRPr="00DB5D0D">
              <w:rPr>
                <w:color w:val="000000" w:themeColor="text1"/>
              </w:rPr>
              <w:t>20.</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4BCA1AE6" w14:textId="77777777" w:rsidR="003C7E8B" w:rsidRPr="00DB5D0D" w:rsidRDefault="003C7E8B" w:rsidP="00DB5D0D">
            <w:pPr>
              <w:pStyle w:val="a3"/>
              <w:rPr>
                <w:color w:val="000000" w:themeColor="text1"/>
                <w:lang w:val="ru-RU"/>
              </w:rPr>
            </w:pPr>
            <w:r w:rsidRPr="00DB5D0D">
              <w:rPr>
                <w:color w:val="000000" w:themeColor="text1"/>
                <w:lang w:val="ru-RU"/>
              </w:rPr>
              <w:t>Усилить петли люка-лаза и их приварку к деталям днища машины, а также доработать вопрос с запором.</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2376BC0E" w14:textId="77777777" w:rsidR="003C7E8B" w:rsidRPr="00DB5D0D" w:rsidRDefault="003C7E8B" w:rsidP="00DB5D0D">
            <w:pPr>
              <w:pStyle w:val="a3"/>
              <w:rPr>
                <w:color w:val="000000" w:themeColor="text1"/>
              </w:rPr>
            </w:pPr>
            <w:r w:rsidRPr="00DB5D0D">
              <w:rPr>
                <w:color w:val="000000" w:themeColor="text1"/>
              </w:rPr>
              <w:t>С 1-й машины</w:t>
            </w:r>
          </w:p>
        </w:tc>
      </w:tr>
      <w:tr w:rsidR="007D5DF8" w:rsidRPr="00DB5D0D" w14:paraId="264D68AE"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6BBFEE3" w14:textId="77777777" w:rsidR="003C7E8B" w:rsidRPr="00DB5D0D" w:rsidRDefault="003C7E8B" w:rsidP="00DB5D0D">
            <w:pPr>
              <w:pStyle w:val="a3"/>
              <w:rPr>
                <w:color w:val="000000" w:themeColor="text1"/>
              </w:rPr>
            </w:pPr>
            <w:r w:rsidRPr="00DB5D0D">
              <w:rPr>
                <w:color w:val="000000" w:themeColor="text1"/>
              </w:rPr>
              <w:t>21.</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552E40B3" w14:textId="77777777" w:rsidR="003C7E8B" w:rsidRPr="00DB5D0D" w:rsidRDefault="003C7E8B" w:rsidP="00DB5D0D">
            <w:pPr>
              <w:pStyle w:val="a3"/>
              <w:rPr>
                <w:color w:val="000000" w:themeColor="text1"/>
                <w:lang w:val="ru-RU"/>
              </w:rPr>
            </w:pPr>
            <w:r w:rsidRPr="00DB5D0D">
              <w:rPr>
                <w:color w:val="000000" w:themeColor="text1"/>
                <w:lang w:val="ru-RU"/>
              </w:rPr>
              <w:t>Добиться смены оси люка водителя без подрубки сварного шва и основания смотрового прибора.</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6A7504FE" w14:textId="77777777" w:rsidR="003C7E8B" w:rsidRPr="00DB5D0D" w:rsidRDefault="003C7E8B" w:rsidP="00DB5D0D">
            <w:pPr>
              <w:pStyle w:val="a3"/>
              <w:rPr>
                <w:color w:val="000000" w:themeColor="text1"/>
              </w:rPr>
            </w:pPr>
            <w:r w:rsidRPr="00DB5D0D">
              <w:rPr>
                <w:color w:val="000000" w:themeColor="text1"/>
              </w:rPr>
              <w:t>С 1-й машины</w:t>
            </w:r>
          </w:p>
        </w:tc>
      </w:tr>
      <w:tr w:rsidR="007D5DF8" w:rsidRPr="00DB5D0D" w14:paraId="37128565" w14:textId="77777777" w:rsidTr="00E543D0">
        <w:trPr>
          <w:trHeight w:val="288"/>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2B59DFA" w14:textId="77777777" w:rsidR="003C7E8B" w:rsidRPr="00DB5D0D" w:rsidRDefault="003C7E8B" w:rsidP="00DB5D0D">
            <w:pPr>
              <w:pStyle w:val="a3"/>
              <w:rPr>
                <w:color w:val="000000" w:themeColor="text1"/>
              </w:rPr>
            </w:pPr>
            <w:r w:rsidRPr="00DB5D0D">
              <w:rPr>
                <w:color w:val="000000" w:themeColor="text1"/>
              </w:rPr>
              <w:t>22.</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0C7A2D3B" w14:textId="77777777" w:rsidR="003C7E8B" w:rsidRPr="00DB5D0D" w:rsidRDefault="003C7E8B" w:rsidP="00DB5D0D">
            <w:pPr>
              <w:pStyle w:val="a3"/>
              <w:rPr>
                <w:color w:val="000000" w:themeColor="text1"/>
                <w:lang w:val="ru-RU"/>
              </w:rPr>
            </w:pPr>
            <w:r w:rsidRPr="00DB5D0D">
              <w:rPr>
                <w:color w:val="000000" w:themeColor="text1"/>
                <w:lang w:val="ru-RU"/>
              </w:rPr>
              <w:t>Облегчить доступ к задним бакам и трансмиссии, колпак под жалюзи крепить защелками.</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4625E6C2"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132C8B72"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C9457F2" w14:textId="77777777" w:rsidR="003C7E8B" w:rsidRPr="00DB5D0D" w:rsidRDefault="003C7E8B" w:rsidP="00DB5D0D">
            <w:pPr>
              <w:pStyle w:val="a3"/>
              <w:rPr>
                <w:color w:val="000000" w:themeColor="text1"/>
              </w:rPr>
            </w:pPr>
            <w:r w:rsidRPr="00DB5D0D">
              <w:rPr>
                <w:color w:val="000000" w:themeColor="text1"/>
              </w:rPr>
              <w:t>23.</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41FEBA1A" w14:textId="77777777" w:rsidR="003C7E8B" w:rsidRPr="00DB5D0D" w:rsidRDefault="003C7E8B" w:rsidP="00DB5D0D">
            <w:pPr>
              <w:pStyle w:val="a3"/>
              <w:rPr>
                <w:color w:val="000000" w:themeColor="text1"/>
                <w:lang w:val="ru-RU"/>
              </w:rPr>
            </w:pPr>
            <w:r w:rsidRPr="00DB5D0D">
              <w:rPr>
                <w:color w:val="000000" w:themeColor="text1"/>
                <w:lang w:val="ru-RU"/>
              </w:rPr>
              <w:t>Обеспечить доступ к нижним штуцерам баков с горючим, для чего сделать вырезы в фальшбортах.</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64365375"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038A65E1"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EEE4305" w14:textId="77777777" w:rsidR="003C7E8B" w:rsidRPr="00DB5D0D" w:rsidRDefault="003C7E8B" w:rsidP="00DB5D0D">
            <w:pPr>
              <w:pStyle w:val="a3"/>
              <w:rPr>
                <w:color w:val="000000" w:themeColor="text1"/>
              </w:rPr>
            </w:pPr>
            <w:r w:rsidRPr="00DB5D0D">
              <w:rPr>
                <w:color w:val="000000" w:themeColor="text1"/>
              </w:rPr>
              <w:t>24.</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058DEFE9" w14:textId="77777777" w:rsidR="003C7E8B" w:rsidRPr="00DB5D0D" w:rsidRDefault="003C7E8B" w:rsidP="00DB5D0D">
            <w:pPr>
              <w:pStyle w:val="a3"/>
              <w:rPr>
                <w:color w:val="000000" w:themeColor="text1"/>
                <w:lang w:val="ru-RU"/>
              </w:rPr>
            </w:pPr>
            <w:r w:rsidRPr="00DB5D0D">
              <w:rPr>
                <w:color w:val="000000" w:themeColor="text1"/>
                <w:lang w:val="ru-RU"/>
              </w:rPr>
              <w:t>Добиться определения уровня горючего в нижних баках.</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31396FFF" w14:textId="77777777" w:rsidR="003C7E8B" w:rsidRPr="00DB5D0D" w:rsidRDefault="003C7E8B" w:rsidP="00DB5D0D">
            <w:pPr>
              <w:pStyle w:val="a3"/>
              <w:rPr>
                <w:color w:val="000000" w:themeColor="text1"/>
                <w:lang w:val="ru-RU"/>
              </w:rPr>
            </w:pPr>
            <w:r w:rsidRPr="00DB5D0D">
              <w:rPr>
                <w:color w:val="000000" w:themeColor="text1"/>
                <w:lang w:val="ru-RU"/>
              </w:rPr>
              <w:t>Изготовить чертежи и образец к 01.09.1940</w:t>
            </w:r>
          </w:p>
        </w:tc>
      </w:tr>
      <w:tr w:rsidR="007D5DF8" w:rsidRPr="00DB5D0D" w14:paraId="22B366FB"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F730CDA" w14:textId="77777777" w:rsidR="003C7E8B" w:rsidRPr="00DB5D0D" w:rsidRDefault="003C7E8B" w:rsidP="00DB5D0D">
            <w:pPr>
              <w:pStyle w:val="a3"/>
              <w:rPr>
                <w:color w:val="000000" w:themeColor="text1"/>
              </w:rPr>
            </w:pPr>
            <w:r w:rsidRPr="00DB5D0D">
              <w:rPr>
                <w:color w:val="000000" w:themeColor="text1"/>
              </w:rPr>
              <w:t>25.</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2BC0F62A" w14:textId="77777777" w:rsidR="003C7E8B" w:rsidRPr="00DB5D0D" w:rsidRDefault="003C7E8B" w:rsidP="00DB5D0D">
            <w:pPr>
              <w:pStyle w:val="a3"/>
              <w:rPr>
                <w:color w:val="000000" w:themeColor="text1"/>
                <w:lang w:val="ru-RU"/>
              </w:rPr>
            </w:pPr>
            <w:r w:rsidRPr="00DB5D0D">
              <w:rPr>
                <w:color w:val="000000" w:themeColor="text1"/>
                <w:lang w:val="ru-RU"/>
              </w:rPr>
              <w:t>Добиться смены кассеты смотрового прибора при застопоренной груше.</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24B0838C" w14:textId="77777777" w:rsidR="003C7E8B" w:rsidRPr="00DB5D0D" w:rsidRDefault="003C7E8B" w:rsidP="00DB5D0D">
            <w:pPr>
              <w:pStyle w:val="a3"/>
              <w:rPr>
                <w:color w:val="000000" w:themeColor="text1"/>
              </w:rPr>
            </w:pPr>
            <w:r w:rsidRPr="00DB5D0D">
              <w:rPr>
                <w:color w:val="000000" w:themeColor="text1"/>
              </w:rPr>
              <w:t>С 1-й машины</w:t>
            </w:r>
          </w:p>
        </w:tc>
      </w:tr>
      <w:tr w:rsidR="007D5DF8" w:rsidRPr="00DB5D0D" w14:paraId="1B6F4097"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7826BD8" w14:textId="77777777" w:rsidR="003C7E8B" w:rsidRPr="00DB5D0D" w:rsidRDefault="003C7E8B" w:rsidP="00DB5D0D">
            <w:pPr>
              <w:pStyle w:val="a3"/>
              <w:rPr>
                <w:color w:val="000000" w:themeColor="text1"/>
              </w:rPr>
            </w:pPr>
            <w:r w:rsidRPr="00DB5D0D">
              <w:rPr>
                <w:color w:val="000000" w:themeColor="text1"/>
              </w:rPr>
              <w:t>26.</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4170344E" w14:textId="77777777" w:rsidR="003C7E8B" w:rsidRPr="00DB5D0D" w:rsidRDefault="003C7E8B" w:rsidP="00DB5D0D">
            <w:pPr>
              <w:pStyle w:val="a3"/>
              <w:rPr>
                <w:color w:val="000000" w:themeColor="text1"/>
                <w:lang w:val="ru-RU"/>
              </w:rPr>
            </w:pPr>
            <w:r w:rsidRPr="00DB5D0D">
              <w:rPr>
                <w:color w:val="000000" w:themeColor="text1"/>
                <w:lang w:val="ru-RU"/>
              </w:rPr>
              <w:t>Предохранить задний фонарь от частого разбивания.</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08937153"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431EFABC"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60DA69E" w14:textId="77777777" w:rsidR="003C7E8B" w:rsidRPr="00DB5D0D" w:rsidRDefault="003C7E8B" w:rsidP="00DB5D0D">
            <w:pPr>
              <w:pStyle w:val="a3"/>
              <w:rPr>
                <w:color w:val="000000" w:themeColor="text1"/>
              </w:rPr>
            </w:pPr>
            <w:r w:rsidRPr="00DB5D0D">
              <w:rPr>
                <w:color w:val="000000" w:themeColor="text1"/>
              </w:rPr>
              <w:t>27.</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24BDB2FF" w14:textId="77777777" w:rsidR="003C7E8B" w:rsidRPr="00DB5D0D" w:rsidRDefault="003C7E8B" w:rsidP="00DB5D0D">
            <w:pPr>
              <w:pStyle w:val="a3"/>
              <w:rPr>
                <w:color w:val="000000" w:themeColor="text1"/>
                <w:lang w:val="ru-RU"/>
              </w:rPr>
            </w:pPr>
            <w:r w:rsidRPr="00DB5D0D">
              <w:rPr>
                <w:color w:val="000000" w:themeColor="text1"/>
                <w:lang w:val="ru-RU"/>
              </w:rPr>
              <w:t>При повороте рукоятки (контролера) мотора, башня должна вращаться в ту же сторону.</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1C88B1F0" w14:textId="77777777" w:rsidR="003C7E8B" w:rsidRPr="00DB5D0D" w:rsidRDefault="003C7E8B" w:rsidP="00DB5D0D">
            <w:pPr>
              <w:pStyle w:val="a3"/>
              <w:rPr>
                <w:color w:val="000000" w:themeColor="text1"/>
              </w:rPr>
            </w:pPr>
            <w:r w:rsidRPr="00DB5D0D">
              <w:rPr>
                <w:color w:val="000000" w:themeColor="text1"/>
              </w:rPr>
              <w:t>С 1-й машины</w:t>
            </w:r>
          </w:p>
        </w:tc>
      </w:tr>
      <w:tr w:rsidR="007D5DF8" w:rsidRPr="00DB5D0D" w14:paraId="2C44649E" w14:textId="77777777" w:rsidTr="00E543D0">
        <w:trPr>
          <w:trHeight w:val="288"/>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685E121" w14:textId="77777777" w:rsidR="003C7E8B" w:rsidRPr="00DB5D0D" w:rsidRDefault="003C7E8B" w:rsidP="00DB5D0D">
            <w:pPr>
              <w:pStyle w:val="a3"/>
              <w:rPr>
                <w:color w:val="000000" w:themeColor="text1"/>
              </w:rPr>
            </w:pPr>
            <w:r w:rsidRPr="00DB5D0D">
              <w:rPr>
                <w:color w:val="000000" w:themeColor="text1"/>
              </w:rPr>
              <w:t>28.</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291A78DF" w14:textId="77777777" w:rsidR="003C7E8B" w:rsidRPr="00DB5D0D" w:rsidRDefault="003C7E8B" w:rsidP="00DB5D0D">
            <w:pPr>
              <w:pStyle w:val="a3"/>
              <w:rPr>
                <w:color w:val="000000" w:themeColor="text1"/>
                <w:lang w:val="ru-RU"/>
              </w:rPr>
            </w:pPr>
            <w:r w:rsidRPr="00DB5D0D">
              <w:rPr>
                <w:color w:val="000000" w:themeColor="text1"/>
                <w:lang w:val="ru-RU"/>
              </w:rPr>
              <w:t>Закрыть кожухом шестерню, открытую часть погона и муфту мотора поворотного механизма башни.</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79BBA3B"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5C76C40C"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6D4CC8D" w14:textId="77777777" w:rsidR="003C7E8B" w:rsidRPr="00DB5D0D" w:rsidRDefault="003C7E8B" w:rsidP="00DB5D0D">
            <w:pPr>
              <w:pStyle w:val="a3"/>
              <w:rPr>
                <w:color w:val="000000" w:themeColor="text1"/>
              </w:rPr>
            </w:pPr>
            <w:r w:rsidRPr="00DB5D0D">
              <w:rPr>
                <w:color w:val="000000" w:themeColor="text1"/>
              </w:rPr>
              <w:t>29.</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3CB81E2E" w14:textId="77777777" w:rsidR="003C7E8B" w:rsidRPr="00DB5D0D" w:rsidRDefault="003C7E8B" w:rsidP="00DB5D0D">
            <w:pPr>
              <w:pStyle w:val="a3"/>
              <w:rPr>
                <w:color w:val="000000" w:themeColor="text1"/>
                <w:lang w:val="ru-RU"/>
              </w:rPr>
            </w:pPr>
            <w:r w:rsidRPr="00DB5D0D">
              <w:rPr>
                <w:color w:val="000000" w:themeColor="text1"/>
                <w:lang w:val="ru-RU"/>
              </w:rPr>
              <w:t>Усилить кронштейн ножного спуска системы.</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E6AA632" w14:textId="77777777" w:rsidR="003C7E8B" w:rsidRPr="00DB5D0D" w:rsidRDefault="003C7E8B" w:rsidP="00DB5D0D">
            <w:pPr>
              <w:pStyle w:val="a3"/>
              <w:rPr>
                <w:color w:val="000000" w:themeColor="text1"/>
              </w:rPr>
            </w:pPr>
            <w:r w:rsidRPr="00DB5D0D">
              <w:rPr>
                <w:color w:val="000000" w:themeColor="text1"/>
              </w:rPr>
              <w:t>С 38-й машины</w:t>
            </w:r>
          </w:p>
        </w:tc>
      </w:tr>
      <w:tr w:rsidR="007D5DF8" w:rsidRPr="00DB5D0D" w14:paraId="49F3F8A7" w14:textId="77777777" w:rsidTr="00E543D0">
        <w:trPr>
          <w:trHeight w:val="81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34BF22D" w14:textId="77777777" w:rsidR="003C7E8B" w:rsidRPr="00DB5D0D" w:rsidRDefault="003C7E8B" w:rsidP="00DB5D0D">
            <w:pPr>
              <w:pStyle w:val="a3"/>
              <w:rPr>
                <w:color w:val="000000" w:themeColor="text1"/>
              </w:rPr>
            </w:pPr>
            <w:r w:rsidRPr="00DB5D0D">
              <w:rPr>
                <w:color w:val="000000" w:themeColor="text1"/>
              </w:rPr>
              <w:t>30.</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23967ED1" w14:textId="77777777" w:rsidR="003C7E8B" w:rsidRPr="00DB5D0D" w:rsidRDefault="003C7E8B" w:rsidP="00DB5D0D">
            <w:pPr>
              <w:pStyle w:val="a3"/>
              <w:rPr>
                <w:color w:val="000000" w:themeColor="text1"/>
                <w:lang w:val="ru-RU"/>
              </w:rPr>
            </w:pPr>
            <w:r w:rsidRPr="00DB5D0D">
              <w:rPr>
                <w:color w:val="000000" w:themeColor="text1"/>
                <w:lang w:val="ru-RU"/>
              </w:rPr>
              <w:t>Доработать:</w:t>
            </w:r>
          </w:p>
          <w:p w14:paraId="5F8BE2ED" w14:textId="77777777" w:rsidR="003C7E8B" w:rsidRPr="00DB5D0D" w:rsidRDefault="003C7E8B" w:rsidP="00DB5D0D">
            <w:pPr>
              <w:pStyle w:val="a3"/>
              <w:tabs>
                <w:tab w:val="left" w:pos="270"/>
              </w:tabs>
              <w:rPr>
                <w:color w:val="000000" w:themeColor="text1"/>
                <w:lang w:val="ru-RU"/>
              </w:rPr>
            </w:pPr>
            <w:r w:rsidRPr="00DB5D0D">
              <w:rPr>
                <w:color w:val="000000" w:themeColor="text1"/>
                <w:lang w:val="ru-RU"/>
              </w:rPr>
              <w:t>а) защелку центрального смотрового прибора.</w:t>
            </w:r>
          </w:p>
          <w:p w14:paraId="148D977C" w14:textId="77777777" w:rsidR="003C7E8B" w:rsidRPr="00DB5D0D" w:rsidRDefault="003C7E8B" w:rsidP="00DB5D0D">
            <w:pPr>
              <w:pStyle w:val="a3"/>
              <w:tabs>
                <w:tab w:val="left" w:pos="278"/>
              </w:tabs>
              <w:rPr>
                <w:color w:val="000000" w:themeColor="text1"/>
              </w:rPr>
            </w:pPr>
            <w:r w:rsidRPr="00DB5D0D">
              <w:rPr>
                <w:color w:val="000000" w:themeColor="text1"/>
              </w:rPr>
              <w:t>б)открытие смотровых приборов.</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16F92D6A" w14:textId="77777777" w:rsidR="003C7E8B" w:rsidRPr="00DB5D0D" w:rsidRDefault="003C7E8B" w:rsidP="00DB5D0D">
            <w:pPr>
              <w:pStyle w:val="a3"/>
              <w:tabs>
                <w:tab w:val="left" w:pos="1130"/>
              </w:tabs>
              <w:rPr>
                <w:color w:val="000000" w:themeColor="text1"/>
                <w:lang w:val="ru-RU"/>
              </w:rPr>
            </w:pPr>
            <w:r w:rsidRPr="00DB5D0D">
              <w:rPr>
                <w:color w:val="000000" w:themeColor="text1"/>
                <w:lang w:val="ru-RU"/>
              </w:rPr>
              <w:t>а) с 11-й машины</w:t>
            </w:r>
          </w:p>
          <w:p w14:paraId="70500C47" w14:textId="77777777" w:rsidR="003C7E8B" w:rsidRPr="00DB5D0D" w:rsidRDefault="003C7E8B" w:rsidP="00DB5D0D">
            <w:pPr>
              <w:pStyle w:val="a3"/>
              <w:tabs>
                <w:tab w:val="left" w:pos="1130"/>
              </w:tabs>
              <w:rPr>
                <w:color w:val="000000" w:themeColor="text1"/>
                <w:lang w:val="ru-RU"/>
              </w:rPr>
            </w:pPr>
            <w:r w:rsidRPr="00DB5D0D">
              <w:rPr>
                <w:color w:val="000000" w:themeColor="text1"/>
                <w:lang w:val="ru-RU"/>
              </w:rPr>
              <w:t>б) с 1-й машины</w:t>
            </w:r>
          </w:p>
        </w:tc>
      </w:tr>
      <w:tr w:rsidR="007D5DF8" w:rsidRPr="00DB5D0D" w14:paraId="0DA1C4ED"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F96F80F" w14:textId="77777777" w:rsidR="003C7E8B" w:rsidRPr="00DB5D0D" w:rsidRDefault="003C7E8B" w:rsidP="00DB5D0D">
            <w:pPr>
              <w:pStyle w:val="a3"/>
              <w:rPr>
                <w:color w:val="000000" w:themeColor="text1"/>
              </w:rPr>
            </w:pPr>
            <w:r w:rsidRPr="00DB5D0D">
              <w:rPr>
                <w:color w:val="000000" w:themeColor="text1"/>
              </w:rPr>
              <w:t>31.</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4DB725AD" w14:textId="77777777" w:rsidR="003C7E8B" w:rsidRPr="00DB5D0D" w:rsidRDefault="003C7E8B" w:rsidP="00DB5D0D">
            <w:pPr>
              <w:pStyle w:val="a3"/>
              <w:rPr>
                <w:color w:val="000000" w:themeColor="text1"/>
                <w:lang w:val="ru-RU"/>
              </w:rPr>
            </w:pPr>
            <w:r w:rsidRPr="00DB5D0D">
              <w:rPr>
                <w:color w:val="000000" w:themeColor="text1"/>
                <w:lang w:val="ru-RU"/>
              </w:rPr>
              <w:t>Трос спидометра отнести от педали горного тормоза.</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062D299B"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28A4A089"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20C729F" w14:textId="77777777" w:rsidR="003C7E8B" w:rsidRPr="00DB5D0D" w:rsidRDefault="003C7E8B" w:rsidP="00DB5D0D">
            <w:pPr>
              <w:pStyle w:val="a3"/>
              <w:rPr>
                <w:color w:val="000000" w:themeColor="text1"/>
              </w:rPr>
            </w:pPr>
            <w:r w:rsidRPr="00DB5D0D">
              <w:rPr>
                <w:color w:val="000000" w:themeColor="text1"/>
              </w:rPr>
              <w:t>32.</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0295EBEC" w14:textId="77777777" w:rsidR="003C7E8B" w:rsidRPr="00DB5D0D" w:rsidRDefault="003C7E8B" w:rsidP="00DB5D0D">
            <w:pPr>
              <w:pStyle w:val="a3"/>
              <w:rPr>
                <w:color w:val="000000" w:themeColor="text1"/>
                <w:lang w:val="ru-RU"/>
              </w:rPr>
            </w:pPr>
            <w:r w:rsidRPr="00DB5D0D">
              <w:rPr>
                <w:color w:val="000000" w:themeColor="text1"/>
                <w:lang w:val="ru-RU"/>
              </w:rPr>
              <w:t>На крышке бортовой передачи конструктивно предусмотреть рымы или какое-либо другое приспособление, дающее возможность монтажа и демонтажа в полевых условиях.</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4C886C04"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02ED0A7D"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EAF7266" w14:textId="77777777" w:rsidR="003C7E8B" w:rsidRPr="00DB5D0D" w:rsidRDefault="003C7E8B" w:rsidP="00DB5D0D">
            <w:pPr>
              <w:pStyle w:val="a3"/>
              <w:rPr>
                <w:color w:val="000000" w:themeColor="text1"/>
              </w:rPr>
            </w:pPr>
            <w:r w:rsidRPr="00DB5D0D">
              <w:rPr>
                <w:color w:val="000000" w:themeColor="text1"/>
              </w:rPr>
              <w:t>33.</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3BC48999" w14:textId="77777777" w:rsidR="003C7E8B" w:rsidRPr="00DB5D0D" w:rsidRDefault="003C7E8B" w:rsidP="00DB5D0D">
            <w:pPr>
              <w:pStyle w:val="a3"/>
              <w:rPr>
                <w:color w:val="000000" w:themeColor="text1"/>
                <w:lang w:val="ru-RU"/>
              </w:rPr>
            </w:pPr>
            <w:r w:rsidRPr="00DB5D0D">
              <w:rPr>
                <w:color w:val="000000" w:themeColor="text1"/>
                <w:lang w:val="ru-RU"/>
              </w:rPr>
              <w:t>Устранить срывание сетки над жалюзи кормы при выстреле на корму, тоже по разрушению стекол фар.</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DDF848D" w14:textId="77777777" w:rsidR="003C7E8B" w:rsidRPr="00DB5D0D" w:rsidRDefault="003C7E8B" w:rsidP="00DB5D0D">
            <w:pPr>
              <w:pStyle w:val="a3"/>
              <w:rPr>
                <w:color w:val="000000" w:themeColor="text1"/>
                <w:lang w:val="ru-RU"/>
              </w:rPr>
            </w:pPr>
            <w:r w:rsidRPr="00DB5D0D">
              <w:rPr>
                <w:color w:val="000000" w:themeColor="text1"/>
                <w:lang w:val="ru-RU"/>
              </w:rPr>
              <w:t>Изготовить чертежи и образцы к 15.10.1940</w:t>
            </w:r>
          </w:p>
        </w:tc>
      </w:tr>
      <w:tr w:rsidR="007D5DF8" w:rsidRPr="00DB5D0D" w14:paraId="42A59C50"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AB81B3A" w14:textId="77777777" w:rsidR="003C7E8B" w:rsidRPr="00DB5D0D" w:rsidRDefault="003C7E8B" w:rsidP="00DB5D0D">
            <w:pPr>
              <w:pStyle w:val="a3"/>
              <w:rPr>
                <w:color w:val="000000" w:themeColor="text1"/>
              </w:rPr>
            </w:pPr>
            <w:r w:rsidRPr="00DB5D0D">
              <w:rPr>
                <w:color w:val="000000" w:themeColor="text1"/>
              </w:rPr>
              <w:t>34.</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63F9544A" w14:textId="77777777" w:rsidR="003C7E8B" w:rsidRPr="00DB5D0D" w:rsidRDefault="003C7E8B" w:rsidP="00DB5D0D">
            <w:pPr>
              <w:pStyle w:val="a3"/>
              <w:rPr>
                <w:color w:val="000000" w:themeColor="text1"/>
                <w:lang w:val="ru-RU"/>
              </w:rPr>
            </w:pPr>
            <w:r w:rsidRPr="00DB5D0D">
              <w:rPr>
                <w:color w:val="000000" w:themeColor="text1"/>
                <w:lang w:val="ru-RU"/>
              </w:rPr>
              <w:t>Произвести защиту проводов у щитка электроприборов.</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6F239204" w14:textId="77777777" w:rsidR="003C7E8B" w:rsidRPr="00DB5D0D" w:rsidRDefault="003C7E8B" w:rsidP="00DB5D0D">
            <w:pPr>
              <w:pStyle w:val="a3"/>
              <w:rPr>
                <w:color w:val="000000" w:themeColor="text1"/>
              </w:rPr>
            </w:pPr>
            <w:r w:rsidRPr="00DB5D0D">
              <w:rPr>
                <w:color w:val="000000" w:themeColor="text1"/>
              </w:rPr>
              <w:t>С 38-й машины</w:t>
            </w:r>
          </w:p>
        </w:tc>
      </w:tr>
      <w:tr w:rsidR="007D5DF8" w:rsidRPr="00DB5D0D" w14:paraId="312160E6"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66A8273" w14:textId="77777777" w:rsidR="003C7E8B" w:rsidRPr="00DB5D0D" w:rsidRDefault="003C7E8B" w:rsidP="00DB5D0D">
            <w:pPr>
              <w:pStyle w:val="a3"/>
              <w:rPr>
                <w:color w:val="000000" w:themeColor="text1"/>
              </w:rPr>
            </w:pPr>
            <w:r w:rsidRPr="00DB5D0D">
              <w:rPr>
                <w:color w:val="000000" w:themeColor="text1"/>
              </w:rPr>
              <w:t>35.</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1F1B6A5E" w14:textId="77777777" w:rsidR="003C7E8B" w:rsidRPr="00DB5D0D" w:rsidRDefault="003C7E8B" w:rsidP="00DB5D0D">
            <w:pPr>
              <w:pStyle w:val="a3"/>
              <w:rPr>
                <w:color w:val="000000" w:themeColor="text1"/>
                <w:lang w:val="ru-RU"/>
              </w:rPr>
            </w:pPr>
            <w:r w:rsidRPr="00DB5D0D">
              <w:rPr>
                <w:color w:val="000000" w:themeColor="text1"/>
                <w:lang w:val="ru-RU"/>
              </w:rPr>
              <w:t>Разработать комплект инструмента, съемников и приспособлений, необходимых для производства ремонта в полевых условиях.</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9CC63E6" w14:textId="77777777" w:rsidR="003C7E8B" w:rsidRPr="00DB5D0D" w:rsidRDefault="003C7E8B" w:rsidP="00DB5D0D">
            <w:pPr>
              <w:pStyle w:val="a3"/>
              <w:rPr>
                <w:color w:val="000000" w:themeColor="text1"/>
              </w:rPr>
            </w:pPr>
            <w:r w:rsidRPr="00DB5D0D">
              <w:rPr>
                <w:color w:val="000000" w:themeColor="text1"/>
              </w:rPr>
              <w:t>К 01.09.1940</w:t>
            </w:r>
          </w:p>
        </w:tc>
      </w:tr>
      <w:tr w:rsidR="007D5DF8" w:rsidRPr="00DB5D0D" w14:paraId="55CCC639"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88F1239" w14:textId="77777777" w:rsidR="003C7E8B" w:rsidRPr="00DB5D0D" w:rsidRDefault="003C7E8B" w:rsidP="00DB5D0D">
            <w:pPr>
              <w:pStyle w:val="a3"/>
              <w:rPr>
                <w:color w:val="000000" w:themeColor="text1"/>
              </w:rPr>
            </w:pPr>
            <w:r w:rsidRPr="00DB5D0D">
              <w:rPr>
                <w:color w:val="000000" w:themeColor="text1"/>
              </w:rPr>
              <w:t>36.</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53BAF729" w14:textId="77777777" w:rsidR="003C7E8B" w:rsidRPr="00DB5D0D" w:rsidRDefault="003C7E8B" w:rsidP="00DB5D0D">
            <w:pPr>
              <w:pStyle w:val="a3"/>
              <w:rPr>
                <w:color w:val="000000" w:themeColor="text1"/>
                <w:lang w:val="ru-RU"/>
              </w:rPr>
            </w:pPr>
            <w:r w:rsidRPr="00DB5D0D">
              <w:rPr>
                <w:color w:val="000000" w:themeColor="text1"/>
                <w:lang w:val="ru-RU"/>
              </w:rPr>
              <w:t>Разработать комплект инструмента, съемников и приспособлений, необходимых для рембазы и РВБ.</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46A8D3A9" w14:textId="77777777" w:rsidR="003C7E8B" w:rsidRPr="00DB5D0D" w:rsidRDefault="003C7E8B" w:rsidP="00DB5D0D">
            <w:pPr>
              <w:pStyle w:val="a3"/>
              <w:rPr>
                <w:color w:val="000000" w:themeColor="text1"/>
              </w:rPr>
            </w:pPr>
            <w:r w:rsidRPr="00DB5D0D">
              <w:rPr>
                <w:color w:val="000000" w:themeColor="text1"/>
              </w:rPr>
              <w:t>К 01.09.1940</w:t>
            </w:r>
          </w:p>
        </w:tc>
      </w:tr>
      <w:tr w:rsidR="007D5DF8" w:rsidRPr="00DB5D0D" w14:paraId="03F465AF"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BDD4BA7" w14:textId="77777777" w:rsidR="003C7E8B" w:rsidRPr="00DB5D0D" w:rsidRDefault="003C7E8B" w:rsidP="00DB5D0D">
            <w:pPr>
              <w:pStyle w:val="a3"/>
              <w:rPr>
                <w:color w:val="000000" w:themeColor="text1"/>
              </w:rPr>
            </w:pPr>
            <w:r w:rsidRPr="00DB5D0D">
              <w:rPr>
                <w:color w:val="000000" w:themeColor="text1"/>
              </w:rPr>
              <w:t>37.</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63AC226D" w14:textId="77777777" w:rsidR="003C7E8B" w:rsidRPr="00DB5D0D" w:rsidRDefault="003C7E8B" w:rsidP="00DB5D0D">
            <w:pPr>
              <w:pStyle w:val="a3"/>
              <w:rPr>
                <w:color w:val="000000" w:themeColor="text1"/>
                <w:lang w:val="ru-RU"/>
              </w:rPr>
            </w:pPr>
            <w:r w:rsidRPr="00DB5D0D">
              <w:rPr>
                <w:color w:val="000000" w:themeColor="text1"/>
                <w:lang w:val="ru-RU"/>
              </w:rPr>
              <w:t>Предусмотреть размещение возимого запаса продовольствия и имущества экипажа согласно табелю.</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5DB1AADA" w14:textId="77777777" w:rsidR="003C7E8B" w:rsidRPr="00DB5D0D" w:rsidRDefault="003C7E8B" w:rsidP="00DB5D0D">
            <w:pPr>
              <w:pStyle w:val="a3"/>
              <w:rPr>
                <w:color w:val="000000" w:themeColor="text1"/>
                <w:lang w:val="ru-RU"/>
              </w:rPr>
            </w:pPr>
            <w:r w:rsidRPr="00DB5D0D">
              <w:rPr>
                <w:color w:val="000000" w:themeColor="text1"/>
                <w:lang w:val="ru-RU"/>
              </w:rPr>
              <w:t>После представления табеля ГАБТУ КА</w:t>
            </w:r>
          </w:p>
        </w:tc>
      </w:tr>
      <w:tr w:rsidR="007D5DF8" w:rsidRPr="00DB5D0D" w14:paraId="77EF01F6"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1EDA10C" w14:textId="77777777" w:rsidR="003C7E8B" w:rsidRPr="00DB5D0D" w:rsidRDefault="003C7E8B" w:rsidP="00DB5D0D">
            <w:pPr>
              <w:pStyle w:val="a3"/>
              <w:rPr>
                <w:color w:val="000000" w:themeColor="text1"/>
              </w:rPr>
            </w:pPr>
            <w:r w:rsidRPr="00DB5D0D">
              <w:rPr>
                <w:color w:val="000000" w:themeColor="text1"/>
              </w:rPr>
              <w:t>38.</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24482539" w14:textId="77777777" w:rsidR="003C7E8B" w:rsidRPr="00DB5D0D" w:rsidRDefault="003C7E8B" w:rsidP="00DB5D0D">
            <w:pPr>
              <w:pStyle w:val="a3"/>
              <w:rPr>
                <w:color w:val="000000" w:themeColor="text1"/>
                <w:lang w:val="ru-RU"/>
              </w:rPr>
            </w:pPr>
            <w:r w:rsidRPr="00DB5D0D">
              <w:rPr>
                <w:color w:val="000000" w:themeColor="text1"/>
                <w:lang w:val="ru-RU"/>
              </w:rPr>
              <w:t>Установить термоса-бочки для питьевой воды.</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EC8C9B4"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2A6D964A"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72B3913" w14:textId="77777777" w:rsidR="003C7E8B" w:rsidRPr="00DB5D0D" w:rsidRDefault="003C7E8B" w:rsidP="00DB5D0D">
            <w:pPr>
              <w:pStyle w:val="a3"/>
              <w:rPr>
                <w:color w:val="000000" w:themeColor="text1"/>
              </w:rPr>
            </w:pPr>
            <w:r w:rsidRPr="00DB5D0D">
              <w:rPr>
                <w:color w:val="000000" w:themeColor="text1"/>
              </w:rPr>
              <w:t>39.</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4039475F" w14:textId="77777777" w:rsidR="003C7E8B" w:rsidRPr="00DB5D0D" w:rsidRDefault="003C7E8B" w:rsidP="00DB5D0D">
            <w:pPr>
              <w:pStyle w:val="a3"/>
              <w:rPr>
                <w:color w:val="000000" w:themeColor="text1"/>
                <w:lang w:val="ru-RU"/>
              </w:rPr>
            </w:pPr>
            <w:r w:rsidRPr="00DB5D0D">
              <w:rPr>
                <w:color w:val="000000" w:themeColor="text1"/>
                <w:lang w:val="ru-RU"/>
              </w:rPr>
              <w:t>Предусмотреть размещение и ввести в укомплектовку машины паяльную лампу, паяльник и аптечку для пайки.</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073ED90"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33B69747"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92B5ACA" w14:textId="77777777" w:rsidR="003C7E8B" w:rsidRPr="00DB5D0D" w:rsidRDefault="003C7E8B" w:rsidP="00DB5D0D">
            <w:pPr>
              <w:pStyle w:val="a3"/>
              <w:rPr>
                <w:color w:val="000000" w:themeColor="text1"/>
              </w:rPr>
            </w:pPr>
            <w:r w:rsidRPr="00DB5D0D">
              <w:rPr>
                <w:color w:val="000000" w:themeColor="text1"/>
              </w:rPr>
              <w:t>40.</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1F46E348" w14:textId="77777777" w:rsidR="003C7E8B" w:rsidRPr="00DB5D0D" w:rsidRDefault="003C7E8B" w:rsidP="00DB5D0D">
            <w:pPr>
              <w:pStyle w:val="a3"/>
              <w:rPr>
                <w:color w:val="000000" w:themeColor="text1"/>
                <w:lang w:val="ru-RU"/>
              </w:rPr>
            </w:pPr>
            <w:r w:rsidRPr="00DB5D0D">
              <w:rPr>
                <w:color w:val="000000" w:themeColor="text1"/>
                <w:lang w:val="ru-RU"/>
              </w:rPr>
              <w:t>Разработать и разместить сумку для возимых документов машины.</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D8A0A35"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47800C2F"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ED65ABA" w14:textId="77777777" w:rsidR="003C7E8B" w:rsidRPr="00DB5D0D" w:rsidRDefault="003C7E8B" w:rsidP="00DB5D0D">
            <w:pPr>
              <w:pStyle w:val="a3"/>
              <w:rPr>
                <w:color w:val="000000" w:themeColor="text1"/>
              </w:rPr>
            </w:pPr>
            <w:r w:rsidRPr="00DB5D0D">
              <w:rPr>
                <w:color w:val="000000" w:themeColor="text1"/>
              </w:rPr>
              <w:t>41.</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00638CE8" w14:textId="77777777" w:rsidR="003C7E8B" w:rsidRPr="00DB5D0D" w:rsidRDefault="003C7E8B" w:rsidP="00DB5D0D">
            <w:pPr>
              <w:pStyle w:val="a3"/>
              <w:rPr>
                <w:color w:val="000000" w:themeColor="text1"/>
                <w:lang w:val="ru-RU"/>
              </w:rPr>
            </w:pPr>
            <w:r w:rsidRPr="00DB5D0D">
              <w:rPr>
                <w:color w:val="000000" w:themeColor="text1"/>
                <w:lang w:val="ru-RU"/>
              </w:rPr>
              <w:t>Разработать размещение одной сошки ДТ и внести в укомплектовочную ведомость.</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06215329"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613F8693"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6604972" w14:textId="77777777" w:rsidR="003C7E8B" w:rsidRPr="00DB5D0D" w:rsidRDefault="003C7E8B" w:rsidP="00DB5D0D">
            <w:pPr>
              <w:pStyle w:val="a3"/>
              <w:rPr>
                <w:color w:val="000000" w:themeColor="text1"/>
              </w:rPr>
            </w:pPr>
            <w:r w:rsidRPr="00DB5D0D">
              <w:rPr>
                <w:color w:val="000000" w:themeColor="text1"/>
              </w:rPr>
              <w:t>42.</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06EE49FF" w14:textId="77777777" w:rsidR="003C7E8B" w:rsidRPr="00DB5D0D" w:rsidRDefault="003C7E8B" w:rsidP="00DB5D0D">
            <w:pPr>
              <w:pStyle w:val="a3"/>
              <w:rPr>
                <w:color w:val="000000" w:themeColor="text1"/>
                <w:lang w:val="ru-RU"/>
              </w:rPr>
            </w:pPr>
            <w:r w:rsidRPr="00DB5D0D">
              <w:rPr>
                <w:color w:val="000000" w:themeColor="text1"/>
                <w:lang w:val="ru-RU"/>
              </w:rPr>
              <w:t>Разработать укладку и размещение головки ПТ-3.</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7E997C39"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22EB2BAF" w14:textId="77777777" w:rsidTr="00E543D0">
        <w:trPr>
          <w:trHeight w:val="288"/>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D1A9695" w14:textId="77777777" w:rsidR="003C7E8B" w:rsidRPr="00DB5D0D" w:rsidRDefault="003C7E8B" w:rsidP="00DB5D0D">
            <w:pPr>
              <w:pStyle w:val="a3"/>
              <w:rPr>
                <w:color w:val="000000" w:themeColor="text1"/>
              </w:rPr>
            </w:pPr>
            <w:r w:rsidRPr="00DB5D0D">
              <w:rPr>
                <w:color w:val="000000" w:themeColor="text1"/>
              </w:rPr>
              <w:t>43.</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600FC285" w14:textId="77777777" w:rsidR="003C7E8B" w:rsidRPr="00DB5D0D" w:rsidRDefault="003C7E8B" w:rsidP="00DB5D0D">
            <w:pPr>
              <w:pStyle w:val="a3"/>
              <w:rPr>
                <w:color w:val="000000" w:themeColor="text1"/>
                <w:lang w:val="ru-RU"/>
              </w:rPr>
            </w:pPr>
            <w:r w:rsidRPr="00DB5D0D">
              <w:rPr>
                <w:color w:val="000000" w:themeColor="text1"/>
                <w:lang w:val="ru-RU"/>
              </w:rPr>
              <w:t>Разработать размещение и крепление шпор на машине.</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57A653D6" w14:textId="77777777" w:rsidR="003C7E8B" w:rsidRPr="00DB5D0D" w:rsidRDefault="003C7E8B" w:rsidP="00DB5D0D">
            <w:pPr>
              <w:pStyle w:val="a3"/>
              <w:rPr>
                <w:color w:val="000000" w:themeColor="text1"/>
              </w:rPr>
            </w:pPr>
            <w:r w:rsidRPr="00DB5D0D">
              <w:rPr>
                <w:color w:val="000000" w:themeColor="text1"/>
              </w:rPr>
              <w:t>С 21-й машины</w:t>
            </w:r>
          </w:p>
        </w:tc>
      </w:tr>
      <w:tr w:rsidR="007D5DF8" w:rsidRPr="00DB5D0D" w14:paraId="785241F4"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2F7A47A" w14:textId="77777777" w:rsidR="003C7E8B" w:rsidRPr="00DB5D0D" w:rsidRDefault="003C7E8B" w:rsidP="00DB5D0D">
            <w:pPr>
              <w:pStyle w:val="a3"/>
              <w:rPr>
                <w:color w:val="000000" w:themeColor="text1"/>
              </w:rPr>
            </w:pPr>
            <w:r w:rsidRPr="00DB5D0D">
              <w:rPr>
                <w:color w:val="000000" w:themeColor="text1"/>
              </w:rPr>
              <w:t>44.</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616DB63C" w14:textId="77777777" w:rsidR="003C7E8B" w:rsidRPr="00DB5D0D" w:rsidRDefault="003C7E8B" w:rsidP="00DB5D0D">
            <w:pPr>
              <w:pStyle w:val="a3"/>
              <w:rPr>
                <w:color w:val="000000" w:themeColor="text1"/>
                <w:lang w:val="ru-RU"/>
              </w:rPr>
            </w:pPr>
            <w:r w:rsidRPr="00DB5D0D">
              <w:rPr>
                <w:color w:val="000000" w:themeColor="text1"/>
                <w:lang w:val="ru-RU"/>
              </w:rPr>
              <w:t>Разработать размещение и крепление банника и разрядника.</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48F4F470"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0C334C4C"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6B9229C" w14:textId="77777777" w:rsidR="003C7E8B" w:rsidRPr="00DB5D0D" w:rsidRDefault="003C7E8B" w:rsidP="00DB5D0D">
            <w:pPr>
              <w:pStyle w:val="a3"/>
              <w:rPr>
                <w:color w:val="000000" w:themeColor="text1"/>
              </w:rPr>
            </w:pPr>
            <w:r w:rsidRPr="00DB5D0D">
              <w:rPr>
                <w:color w:val="000000" w:themeColor="text1"/>
              </w:rPr>
              <w:t>45.</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07715C9E" w14:textId="77777777" w:rsidR="003C7E8B" w:rsidRPr="00DB5D0D" w:rsidRDefault="003C7E8B" w:rsidP="00DB5D0D">
            <w:pPr>
              <w:pStyle w:val="a3"/>
              <w:rPr>
                <w:color w:val="000000" w:themeColor="text1"/>
                <w:lang w:val="ru-RU"/>
              </w:rPr>
            </w:pPr>
            <w:r w:rsidRPr="00DB5D0D">
              <w:rPr>
                <w:color w:val="000000" w:themeColor="text1"/>
                <w:lang w:val="ru-RU"/>
              </w:rPr>
              <w:t>Разработать приспособление для проворачивания мотора и его укладку на машине.</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22FAD7BE"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102C05D1"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702C2E6" w14:textId="77777777" w:rsidR="003C7E8B" w:rsidRPr="00DB5D0D" w:rsidRDefault="003C7E8B" w:rsidP="00DB5D0D">
            <w:pPr>
              <w:pStyle w:val="a3"/>
              <w:rPr>
                <w:color w:val="000000" w:themeColor="text1"/>
              </w:rPr>
            </w:pPr>
            <w:r w:rsidRPr="00DB5D0D">
              <w:rPr>
                <w:color w:val="000000" w:themeColor="text1"/>
              </w:rPr>
              <w:t>46.</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2FFBA961" w14:textId="77777777" w:rsidR="003C7E8B" w:rsidRPr="00DB5D0D" w:rsidRDefault="003C7E8B" w:rsidP="00DB5D0D">
            <w:pPr>
              <w:pStyle w:val="a3"/>
              <w:rPr>
                <w:color w:val="000000" w:themeColor="text1"/>
                <w:lang w:val="ru-RU"/>
              </w:rPr>
            </w:pPr>
            <w:r w:rsidRPr="00DB5D0D">
              <w:rPr>
                <w:color w:val="000000" w:themeColor="text1"/>
                <w:lang w:val="ru-RU"/>
              </w:rPr>
              <w:t>Разработать спецлейку для заправки машины топливом через шелк, замшу и т.п. и дать на каждую 5-ю машину или приспособить имеющуюся лейку для указанной фильтрации и укладывать на каждую машину.</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649DAE13"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51582EFC"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3E7E085" w14:textId="77777777" w:rsidR="003C7E8B" w:rsidRPr="00DB5D0D" w:rsidRDefault="003C7E8B" w:rsidP="00DB5D0D">
            <w:pPr>
              <w:pStyle w:val="a3"/>
              <w:rPr>
                <w:color w:val="000000" w:themeColor="text1"/>
              </w:rPr>
            </w:pPr>
            <w:r w:rsidRPr="00DB5D0D">
              <w:rPr>
                <w:color w:val="000000" w:themeColor="text1"/>
              </w:rPr>
              <w:t>47.</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719D0DA1" w14:textId="77777777" w:rsidR="003C7E8B" w:rsidRPr="00DB5D0D" w:rsidRDefault="003C7E8B" w:rsidP="00DB5D0D">
            <w:pPr>
              <w:pStyle w:val="a3"/>
              <w:rPr>
                <w:color w:val="000000" w:themeColor="text1"/>
                <w:lang w:val="ru-RU"/>
              </w:rPr>
            </w:pPr>
            <w:r w:rsidRPr="00DB5D0D">
              <w:rPr>
                <w:color w:val="000000" w:themeColor="text1"/>
                <w:lang w:val="ru-RU"/>
              </w:rPr>
              <w:t>Разработать укладку на машине одного запасного пулемета с сошкой.</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3120C5FC"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217FAFA8" w14:textId="77777777" w:rsidTr="00E543D0">
        <w:trPr>
          <w:trHeight w:val="108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F0F5C9A" w14:textId="77777777" w:rsidR="003C7E8B" w:rsidRPr="00DB5D0D" w:rsidRDefault="003C7E8B" w:rsidP="00DB5D0D">
            <w:pPr>
              <w:pStyle w:val="a3"/>
              <w:rPr>
                <w:color w:val="000000" w:themeColor="text1"/>
              </w:rPr>
            </w:pPr>
            <w:r w:rsidRPr="00DB5D0D">
              <w:rPr>
                <w:color w:val="000000" w:themeColor="text1"/>
              </w:rPr>
              <w:t>48.</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4B605EBB" w14:textId="77777777" w:rsidR="003C7E8B" w:rsidRPr="00DB5D0D" w:rsidRDefault="003C7E8B" w:rsidP="00DB5D0D">
            <w:pPr>
              <w:pStyle w:val="a3"/>
              <w:rPr>
                <w:color w:val="000000" w:themeColor="text1"/>
                <w:lang w:val="ru-RU"/>
              </w:rPr>
            </w:pPr>
            <w:r w:rsidRPr="00DB5D0D">
              <w:rPr>
                <w:color w:val="000000" w:themeColor="text1"/>
                <w:lang w:val="ru-RU"/>
              </w:rPr>
              <w:t>Разработать войсковой комплект запчастей:</w:t>
            </w:r>
          </w:p>
          <w:p w14:paraId="4B1EFD28" w14:textId="77777777" w:rsidR="003C7E8B" w:rsidRPr="00DB5D0D" w:rsidRDefault="003C7E8B" w:rsidP="00DB5D0D">
            <w:pPr>
              <w:pStyle w:val="a3"/>
              <w:tabs>
                <w:tab w:val="left" w:pos="278"/>
              </w:tabs>
              <w:rPr>
                <w:color w:val="000000" w:themeColor="text1"/>
                <w:lang w:val="ru-RU"/>
              </w:rPr>
            </w:pPr>
            <w:r w:rsidRPr="00DB5D0D">
              <w:rPr>
                <w:color w:val="000000" w:themeColor="text1"/>
                <w:lang w:val="ru-RU"/>
              </w:rPr>
              <w:t>а)</w:t>
            </w:r>
            <w:r w:rsidRPr="00DB5D0D">
              <w:rPr>
                <w:color w:val="000000" w:themeColor="text1"/>
                <w:lang w:val="ru-RU"/>
              </w:rPr>
              <w:tab/>
              <w:t>ремонтный</w:t>
            </w:r>
          </w:p>
          <w:p w14:paraId="7EE2BD78" w14:textId="77777777" w:rsidR="003C7E8B" w:rsidRPr="00DB5D0D" w:rsidRDefault="003C7E8B" w:rsidP="00DB5D0D">
            <w:pPr>
              <w:pStyle w:val="a3"/>
              <w:tabs>
                <w:tab w:val="left" w:pos="278"/>
              </w:tabs>
              <w:rPr>
                <w:color w:val="000000" w:themeColor="text1"/>
              </w:rPr>
            </w:pPr>
            <w:r w:rsidRPr="00DB5D0D">
              <w:rPr>
                <w:color w:val="000000" w:themeColor="text1"/>
              </w:rPr>
              <w:t>б)</w:t>
            </w:r>
            <w:r w:rsidRPr="00DB5D0D">
              <w:rPr>
                <w:color w:val="000000" w:themeColor="text1"/>
              </w:rPr>
              <w:tab/>
              <w:t>бригадный</w:t>
            </w:r>
          </w:p>
          <w:p w14:paraId="5B8BB1E8" w14:textId="77777777" w:rsidR="003C7E8B" w:rsidRPr="00DB5D0D" w:rsidRDefault="003C7E8B" w:rsidP="00DB5D0D">
            <w:pPr>
              <w:pStyle w:val="a3"/>
              <w:tabs>
                <w:tab w:val="left" w:pos="256"/>
              </w:tabs>
              <w:rPr>
                <w:color w:val="000000" w:themeColor="text1"/>
              </w:rPr>
            </w:pPr>
            <w:r w:rsidRPr="00DB5D0D">
              <w:rPr>
                <w:color w:val="000000" w:themeColor="text1"/>
              </w:rPr>
              <w:t>в)</w:t>
            </w:r>
            <w:r w:rsidRPr="00DB5D0D">
              <w:rPr>
                <w:color w:val="000000" w:themeColor="text1"/>
              </w:rPr>
              <w:tab/>
              <w:t>батальонный</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1935014D" w14:textId="77777777" w:rsidR="003C7E8B" w:rsidRPr="00DB5D0D" w:rsidRDefault="003C7E8B" w:rsidP="00DB5D0D">
            <w:pPr>
              <w:pStyle w:val="a3"/>
              <w:rPr>
                <w:color w:val="000000" w:themeColor="text1"/>
              </w:rPr>
            </w:pPr>
            <w:r w:rsidRPr="00DB5D0D">
              <w:rPr>
                <w:color w:val="000000" w:themeColor="text1"/>
              </w:rPr>
              <w:t>С 01.09.1940</w:t>
            </w:r>
          </w:p>
        </w:tc>
      </w:tr>
      <w:tr w:rsidR="007D5DF8" w:rsidRPr="00DB5D0D" w14:paraId="7453C102" w14:textId="77777777" w:rsidTr="00E543D0">
        <w:trPr>
          <w:trHeight w:val="295"/>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A827ADA" w14:textId="77777777" w:rsidR="003C7E8B" w:rsidRPr="00DB5D0D" w:rsidRDefault="003C7E8B" w:rsidP="00DB5D0D">
            <w:pPr>
              <w:pStyle w:val="a3"/>
              <w:rPr>
                <w:color w:val="000000" w:themeColor="text1"/>
              </w:rPr>
            </w:pPr>
            <w:r w:rsidRPr="00DB5D0D">
              <w:rPr>
                <w:color w:val="000000" w:themeColor="text1"/>
              </w:rPr>
              <w:t>49.</w:t>
            </w:r>
          </w:p>
        </w:tc>
        <w:tc>
          <w:tcPr>
            <w:tcW w:w="7423" w:type="dxa"/>
            <w:tcBorders>
              <w:top w:val="single" w:sz="6" w:space="0" w:color="auto"/>
              <w:left w:val="single" w:sz="6" w:space="0" w:color="auto"/>
              <w:bottom w:val="single" w:sz="6" w:space="0" w:color="auto"/>
              <w:right w:val="single" w:sz="6" w:space="0" w:color="auto"/>
            </w:tcBorders>
            <w:shd w:val="clear" w:color="auto" w:fill="FFFFFF"/>
          </w:tcPr>
          <w:p w14:paraId="3AAFC73A" w14:textId="77777777" w:rsidR="003C7E8B" w:rsidRPr="00DB5D0D" w:rsidRDefault="003C7E8B" w:rsidP="00DB5D0D">
            <w:pPr>
              <w:pStyle w:val="a3"/>
              <w:rPr>
                <w:color w:val="000000" w:themeColor="text1"/>
                <w:lang w:val="ru-RU"/>
              </w:rPr>
            </w:pPr>
            <w:r w:rsidRPr="00DB5D0D">
              <w:rPr>
                <w:color w:val="000000" w:themeColor="text1"/>
                <w:lang w:val="ru-RU"/>
              </w:rPr>
              <w:t>Выпустить каталог, наставление, инструкцию по ремонту.</w:t>
            </w:r>
          </w:p>
        </w:tc>
        <w:tc>
          <w:tcPr>
            <w:tcW w:w="3209" w:type="dxa"/>
            <w:tcBorders>
              <w:top w:val="single" w:sz="6" w:space="0" w:color="auto"/>
              <w:left w:val="single" w:sz="6" w:space="0" w:color="auto"/>
              <w:bottom w:val="single" w:sz="6" w:space="0" w:color="auto"/>
              <w:right w:val="single" w:sz="6" w:space="0" w:color="auto"/>
            </w:tcBorders>
            <w:shd w:val="clear" w:color="auto" w:fill="FFFFFF"/>
          </w:tcPr>
          <w:p w14:paraId="047AC13C" w14:textId="77777777" w:rsidR="003C7E8B" w:rsidRPr="00DB5D0D" w:rsidRDefault="003C7E8B" w:rsidP="00DB5D0D">
            <w:pPr>
              <w:pStyle w:val="a3"/>
              <w:rPr>
                <w:color w:val="000000" w:themeColor="text1"/>
              </w:rPr>
            </w:pPr>
            <w:r w:rsidRPr="00DB5D0D">
              <w:rPr>
                <w:color w:val="000000" w:themeColor="text1"/>
              </w:rPr>
              <w:t>К 01.12.1940</w:t>
            </w:r>
          </w:p>
        </w:tc>
      </w:tr>
    </w:tbl>
    <w:p w14:paraId="4C205BFE" w14:textId="77777777" w:rsidR="003C7E8B" w:rsidRPr="00DB5D0D" w:rsidRDefault="003C7E8B" w:rsidP="00DB5D0D">
      <w:pPr>
        <w:pStyle w:val="aff1"/>
        <w:spacing w:line="240" w:lineRule="auto"/>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noProof w:val="0"/>
          <w:color w:val="000000" w:themeColor="text1"/>
          <w:sz w:val="16"/>
          <w:szCs w:val="16"/>
          <w:lang w:val="ru-RU"/>
        </w:rPr>
        <w:t>(11939).</w:t>
      </w:r>
    </w:p>
    <w:p w14:paraId="1075F944" w14:textId="77777777" w:rsidR="003C7E8B" w:rsidRPr="00DB5D0D" w:rsidRDefault="003C7E8B" w:rsidP="00DB5D0D">
      <w:pPr>
        <w:pStyle w:val="a3"/>
        <w:rPr>
          <w:color w:val="000000" w:themeColor="text1"/>
        </w:rPr>
      </w:pPr>
    </w:p>
    <w:p w14:paraId="18E85EF3"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августа 1940 г., танк А-34 № 311-18-3 с дизелем М-250 преодолел всего 222 км, двигатель проработал 7 часов 46 минуты. </w:t>
      </w:r>
    </w:p>
    <w:p w14:paraId="258F616D"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третий день испытаний, 4 августа 1940 г, при подготовке танка к выезду произошло разрушение лопастей вентилятора системы охлаждения двигателя. После установки нового вентилятора танк во второй половине дня ушёл в пробег. В связи с непредвиденным ремонтом продолжительность запланированного на этот день пробега пришлось сократить вдвое. Двигатель М-250 № 3 в этот день проработал только 4 часа 30 минут, но, уже начиная с 5 августа 1940 г. ежедневная наработка двигателя стала составлять от 8 до 10 часов. </w:t>
      </w:r>
    </w:p>
    <w:p w14:paraId="08996193"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августа 1940 г. в танке А-34 № 311-18-3 вторично вышел из строя вентилятор системы охлаждения двигателя. С 11 по 13 августа 1940 г. на танке А-34 № 311-18-3 устранялись все выявленные накануне неисправности, и проводилось его техническое обслуживание – машина готовилась к запланированному на 14 августа 1940 г. совместному выезду со своим «старшим братом» танком А-34 № 311-11-3. </w:t>
      </w:r>
    </w:p>
    <w:p w14:paraId="7F41091C"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Около полудня 14 августа 1940 г. оба танка отправились в длительный пробег, который был завершен только во второй половине 16 августа. За время пробега дизель М-250 № 4 в танке А-34 № 311-11-3 проработал 27 часов, а дизель М-250 № 3 в танке А-34 № 311-18-3 – 30 часов. Весь следующий день оба танка проходили техническое обслуживание, в ходе которого на танке А-34 № 311-18-3 из-за разрушения резинового массива грузошины были заменены два опорных катка. </w:t>
      </w:r>
    </w:p>
    <w:p w14:paraId="7D0766A9"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 20 августа 1940 г. стали последними днями, когда в ходе государственных испытаний дизелей М-250 танки А-34 совместно участвовали в пробегах. После возвращения на завод танк А-34 № 311-11-3 встал на ремонт. </w:t>
      </w:r>
    </w:p>
    <w:p w14:paraId="1FFA6C64"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Из-за повышенной температуры масла комиссией, проводившей испытания было решено опытные масляные баки без радиаторов заменить на серийные баки-радиаторы. Ремонт танка был закончен только к вечеру 22 августа 1940 г. К этому времени танк А-34 № 311-18-3 уже 4 часа находился в движении. О том, что этот выезд будет последним, участники испытаний вряд ли догадывались. Ближе к полудню, когда танк А-34 № 311-18-3 подъезжал к заводу № 183, в системе смазки двигателя резко повысилась температура масла. Оставшуюся часть пути испытателям пришлось пройти при частоте вращения коленчатого вала двигателя, не превышающей 1200 об/мин. После проведенного технического осмотра танка комиссия пришла к выводу, что дизель М-250 № 3 </w:t>
      </w:r>
      <w:r w:rsidRPr="00DB5D0D">
        <w:rPr>
          <w:rFonts w:ascii="Times New Roman" w:hAnsi="Times New Roman"/>
          <w:iCs/>
          <w:color w:val="000000" w:themeColor="text1"/>
          <w:sz w:val="16"/>
          <w:szCs w:val="16"/>
        </w:rPr>
        <w:t xml:space="preserve">«из-за потери работоспособности на 114 час. 32 мин. работы его в танке А-34 под нагрузкой </w:t>
      </w:r>
      <w:r w:rsidRPr="00DB5D0D">
        <w:rPr>
          <w:rFonts w:ascii="Times New Roman" w:hAnsi="Times New Roman"/>
          <w:color w:val="000000" w:themeColor="text1"/>
          <w:sz w:val="16"/>
          <w:szCs w:val="16"/>
        </w:rPr>
        <w:t>[необходимо]</w:t>
      </w:r>
      <w:r w:rsidRPr="00DB5D0D">
        <w:rPr>
          <w:rFonts w:ascii="Times New Roman" w:hAnsi="Times New Roman"/>
          <w:iCs/>
          <w:color w:val="000000" w:themeColor="text1"/>
          <w:sz w:val="16"/>
          <w:szCs w:val="16"/>
        </w:rPr>
        <w:t xml:space="preserve"> снять с испытаний»</w:t>
      </w:r>
      <w:r w:rsidRPr="00DB5D0D">
        <w:rPr>
          <w:rFonts w:ascii="Times New Roman" w:hAnsi="Times New Roman"/>
          <w:color w:val="000000" w:themeColor="text1"/>
          <w:sz w:val="16"/>
          <w:szCs w:val="16"/>
        </w:rPr>
        <w:t xml:space="preserve">. Не в лучшем состоянии находилась и ходовая часть танка – практически на всех опорных катках танка резиновый массив грузошин к дальнейшей эксплуатации был не пригоден. Танк А-34 № 311-18-3 требовал как минимум среднего ремонта. </w:t>
      </w:r>
    </w:p>
    <w:p w14:paraId="651CE9B4"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танка А-34 № 311-11-3 день 23 августа 1940 г. был более удачным. После двух дней нахождения в ремонте, танк ранним утром продолжил выполнение программы государственных испытаний дизеля М-250 № 4. Очередной пробег был завершен 25 августа 1940 г. ближе к обеду, за двое с лишним суток двигатель проработал в танке около 32 часов. Замена масляных баков желаемого результата не дала, по-прежнему температура масла, входящего в двигатель и выходящего из него, превышала температуру, заданную техническими условиями. Чтобы избежать участи, постигшей дизель М-250 № 3, комиссией было решено переделать систему смазки двигателя. В опытном цехе «540» к 16 сентября 1940 г. в системе смазки были проведены следующие изменения: гофрированные радиаторы на масляных баках были заменены трубчатыми воздухомасляными радиаторами с пластинчатыми ребрами охлаждения. Эти радиаторы были установлены между масляными баками и радиаторами жидкостной системы охлаждения справа и слева от двигателя. Включение радиаторов в систему смазки было параллельное, в связи с чем, расположение масляных трубопроводов в моторном отделении танка практически не изменилось, а было добавлено только 8 трубок, соединявших баки с радиаторами. </w:t>
      </w:r>
    </w:p>
    <w:p w14:paraId="213E9322"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с измененной системой смазки двигателя утром 17 сентября 1940 г. покинул территорию завода, но уже через 3 часа был вынужден вернуться из-за разрушения лопастей вентилятора системы охлаждения двигателя. Хотя пробег был не продолжительным, но он всё же показал, что проведенные изменения в системе смазки двигателя не обеспечили достаточного охлаждения масла. Танк снова поставили в цех «540» на ремонт. Одновременно с заменой вентилятора вторично была переделана система смазки. Теперь за основу была взята схема охлаждения масла, примененная в системе смазки силовой установки танка БТ-7М, т. е. масляные радиаторы были включены последовательно. Кроме того, для увеличения производительности масляных радиаторов в них были установлены завихрители, представлявшие собой латунные спирали с высеченными на них «шипами-ершами» высотой 3 мм. Завихрители были установлены внутри каждой трубки маслорадиатора. Конструкция бачка-суфлера дизеля так же была изменена. Теперь сконденсированное из паров масло стекало обратно в картер двигателя и в моторное отделение танка не выбрасывалось. Большинство медных трубок было заменено стальными, которые не ломались от вибрации. </w:t>
      </w:r>
    </w:p>
    <w:p w14:paraId="789F32AD"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сентября 1940 г. испытания дизеля М-250 № 4 в танке А-34 № 311-11-3 были возобновлены. В этот день двигатель проработал около 8 часов. После обеда на заводе № 183 было произведено техническое обслуживание танка, а утром следующего дня испытания продолжились. Результат – 10 часов работы дизеля под нагрузкой.</w:t>
      </w:r>
    </w:p>
    <w:p w14:paraId="0E6800F3"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время очередного испытательного пробега, 27 сентября 1940 г., около полудня на 103 часе работы дизель М-250 № 4 вышел из строя. На следующий день дизель был демонтирован из танка и передан в отдел «1600» завода № 75 для исследования. </w:t>
      </w:r>
    </w:p>
    <w:p w14:paraId="46F9258C"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концу сентября 1940 г. государственные испытания дизеля М-250 больше напоминали опытные работы по доводке дизеля на машине, а не полноценную </w:t>
      </w:r>
      <w:r w:rsidRPr="00DB5D0D">
        <w:rPr>
          <w:rFonts w:ascii="Times New Roman" w:hAnsi="Times New Roman"/>
          <w:iCs/>
          <w:color w:val="000000" w:themeColor="text1"/>
          <w:sz w:val="16"/>
          <w:szCs w:val="16"/>
        </w:rPr>
        <w:t>«проверку по определению надежности работы дизеля типа М-250 в танке А-34 в течение гарантийного срока – 250 часов работы под нагрузкой»</w:t>
      </w:r>
      <w:r w:rsidRPr="00DB5D0D">
        <w:rPr>
          <w:rFonts w:ascii="Times New Roman" w:hAnsi="Times New Roman"/>
          <w:color w:val="000000" w:themeColor="text1"/>
          <w:sz w:val="16"/>
          <w:szCs w:val="16"/>
        </w:rPr>
        <w:t xml:space="preserve">. В связи с этим комиссией было принято решение: </w:t>
      </w:r>
      <w:r w:rsidRPr="00DB5D0D">
        <w:rPr>
          <w:rFonts w:ascii="Times New Roman" w:hAnsi="Times New Roman"/>
          <w:iCs/>
          <w:color w:val="000000" w:themeColor="text1"/>
          <w:sz w:val="16"/>
          <w:szCs w:val="16"/>
        </w:rPr>
        <w:t>«государственное испытание дизеля М-250 прекратить, все результаты работы Госкомиссии перевести в разряд внутризаводских испытаний с целью доводки двигателя»</w:t>
      </w:r>
      <w:r w:rsidRPr="00DB5D0D">
        <w:rPr>
          <w:rFonts w:ascii="Times New Roman" w:hAnsi="Times New Roman"/>
          <w:color w:val="000000" w:themeColor="text1"/>
          <w:sz w:val="16"/>
          <w:szCs w:val="16"/>
        </w:rPr>
        <w:t xml:space="preserve">. А в заключении по результатам проведенных государственных испытаний дизелей М-250, в частности, было записано следующее: </w:t>
      </w:r>
    </w:p>
    <w:p w14:paraId="5F223955"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Государственные испытания дизелей М-250 прекратить. В предъявленном виде, дизель М-250 не может быть рекомендован для Т-34».</w:t>
      </w:r>
      <w:r w:rsidRPr="00DB5D0D">
        <w:rPr>
          <w:rFonts w:ascii="Times New Roman" w:hAnsi="Times New Roman"/>
          <w:color w:val="000000" w:themeColor="text1"/>
          <w:sz w:val="16"/>
          <w:szCs w:val="16"/>
        </w:rPr>
        <w:t xml:space="preserve"> </w:t>
      </w:r>
    </w:p>
    <w:p w14:paraId="3EFE6B0A" w14:textId="77777777" w:rsidR="002A7B0F" w:rsidRPr="00DB5D0D" w:rsidRDefault="002A7B0F" w:rsidP="00DB5D0D">
      <w:pPr>
        <w:pStyle w:val="ae"/>
        <w:spacing w:before="0" w:after="0"/>
        <w:jc w:val="both"/>
        <w:rPr>
          <w:color w:val="000000" w:themeColor="text1"/>
          <w:sz w:val="16"/>
          <w:szCs w:val="16"/>
        </w:rPr>
      </w:pPr>
      <w:r w:rsidRPr="00DB5D0D">
        <w:rPr>
          <w:bCs/>
          <w:color w:val="000000" w:themeColor="text1"/>
          <w:sz w:val="16"/>
          <w:szCs w:val="16"/>
        </w:rPr>
        <w:t>[РГВА. Ф. 31811. Оп. 3. Д. 2035. Л. 3]</w:t>
      </w:r>
    </w:p>
    <w:p w14:paraId="415D2D75"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выходом из строя дизеля М-250 № 4 единственной надеждой на успешное проведение заводских испытаний оставался последний из пяти изготовленных заводом № 75 двигателей М-250. Дизель с пятым порядковым номером 24 сентября 1940 г. был установлен в танк А-34 № 311-18-3. Испытания дизеля затянулись на месяц, 25 октября 1940 г. в системе смазки дизеля М-250 № 5 было обнаружено падение давления. На следующий день двигатель в опытном цехе «540» завода № 183 был демонтирован из танка и передан отделу «1600» завода № 75 для исследования. 27 октября 1940 г. при разборке дизеля М-250 № 5 в коленчатом валу в районе пятой коренной шейки была обнаружена продольная трещина. К моменту аварии двигатель проработал около 48 часов на стенде и 75 часов 21 минуту в танке. </w:t>
      </w:r>
    </w:p>
    <w:p w14:paraId="2EA5BEA4"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после прекращения государственных испытаний также был использован в опытных работах по доводке дизеля М-250. В начале октября 1940 г. на танк был установлен дизель М-250 № 2, отработавший в период с 16 апреля по 8 мая 1940 г. на заводских стендовых испытаниях 349 часов 41 минуту. Также на машину был установлен опытный главный фрикцион, отличавшийся от серийного главного фрикциона танка Т-34 тем, что вместо восьми ведущих чугунных и десяти ведомых стальных дисков в нем имелось двенадцать ведомых и десять ведущих стальных дисков. Кроме этого диски опытного главного фрикциона имели вырезы, предназначавшиеся для уменьшения коробления дисков при их нагреве и прерывания образовывавшихся на них круговых задиров. В каждом ведомом и ведущем диске было сделано по 4 выреза глубиной 13 мм и шириной 10 мм, расположенных на равном расстоянии друг от друга на тех сторонах дисков, на которых не было зубьев. </w:t>
      </w:r>
    </w:p>
    <w:p w14:paraId="278F6AF4"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Однако завершить заводские испытания дизеля М-250 № 2 и опытного главного фрикциона в танке А-34 не удалось потому, что интенсивно эксплуатировавшиеся на протяжении 9 месяцев опытные танки А-34 в начале ноября 1940 г. было решено капитально отремонтировать. </w:t>
      </w:r>
    </w:p>
    <w:p w14:paraId="4406D028"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отметить, что, несмотря на то, что дизели М-250 государственных испытаний не выдержали, некоторые примененные в них удачные технические решения в 1941 г. были реализованы в конструкции дизеля В-2 четвертой серии. </w:t>
      </w:r>
    </w:p>
    <w:p w14:paraId="546C6D3D"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Что же касается танков А-34, то с 15 ноября и до середины декабря 1940 г. оба они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5EA7ADC7" w14:textId="77777777" w:rsidR="002A7B0F" w:rsidRPr="00DB5D0D" w:rsidRDefault="002A7B0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1C2855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года вышло постановление Правительства № 1410-551сс, в соответствии с которым заводу НКВ в районе города Златоуста присвоить № 385 (6245, 13).</w:t>
      </w:r>
    </w:p>
    <w:p w14:paraId="7E82DAA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7D0A6C3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13E755E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CD633A4"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к СССР присоединилась Литва (3908,361).</w:t>
      </w:r>
    </w:p>
    <w:p w14:paraId="3087D613"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662C52EB"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августа в 1940 году Закон СССР от 03.08.1940 "О принятии Литовской Советской Социалистической Республики в Союз Советских Социалистических Республик" </w:t>
      </w:r>
    </w:p>
    <w:p w14:paraId="4D75EE2B"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403EB792"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в 1940 году на седьмой сессии Верховного Совета СССР удовлетворяется просьба Народного сейма Литовской ССР о принятии республики в состав СССР. 11 марта 1990 будет провозглашена независимость Литовской Республики (14972).</w:t>
      </w:r>
    </w:p>
    <w:p w14:paraId="41152E9C"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52255ABC" w14:textId="77777777" w:rsidR="004D4205" w:rsidRPr="00DB5D0D" w:rsidRDefault="004D420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августа 1940 года на VII сессии Верховного Совета СССР Литовская ССР принята в состав Советского Союза (21191).</w:t>
      </w:r>
    </w:p>
    <w:p w14:paraId="7E16CB77" w14:textId="77777777" w:rsidR="004D4205" w:rsidRPr="00DB5D0D" w:rsidRDefault="004D4205" w:rsidP="00DB5D0D">
      <w:pPr>
        <w:spacing w:after="0" w:line="240" w:lineRule="auto"/>
        <w:jc w:val="both"/>
        <w:rPr>
          <w:rFonts w:ascii="Times New Roman" w:hAnsi="Times New Roman"/>
          <w:color w:val="0070C0"/>
          <w:sz w:val="16"/>
          <w:szCs w:val="16"/>
        </w:rPr>
      </w:pPr>
    </w:p>
    <w:p w14:paraId="64A9F6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 августа 1940 Эстония, Латвия и Литва присоединились к СССР (1348,245).</w:t>
      </w:r>
    </w:p>
    <w:p w14:paraId="6773D82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237AD5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D01379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2BEB862"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августа в 1940 году после ста часов наработки на земле, совершил первый свободный полет на </w:t>
      </w:r>
      <w:hyperlink r:id="rId247" w:tgtFrame="_blank" w:history="1">
        <w:r w:rsidRPr="00DB5D0D">
          <w:rPr>
            <w:rFonts w:ascii="Times New Roman" w:hAnsi="Times New Roman"/>
            <w:color w:val="000000" w:themeColor="text1"/>
            <w:sz w:val="16"/>
            <w:szCs w:val="16"/>
          </w:rPr>
          <w:t xml:space="preserve">«Fa 223» «V1» </w:t>
        </w:r>
      </w:hyperlink>
      <w:r w:rsidRPr="00DB5D0D">
        <w:rPr>
          <w:rFonts w:ascii="Times New Roman" w:hAnsi="Times New Roman"/>
          <w:color w:val="000000" w:themeColor="text1"/>
          <w:sz w:val="16"/>
          <w:szCs w:val="16"/>
        </w:rPr>
        <w:t>пилот Карл Боде (14972).</w:t>
      </w:r>
    </w:p>
    <w:p w14:paraId="69B44C3C"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44DD8253"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августа в 1940 году, состоялся первый полет самолета </w:t>
      </w:r>
      <w:hyperlink r:id="rId248" w:tgtFrame="_blank" w:history="1">
        <w:r w:rsidRPr="00DB5D0D">
          <w:rPr>
            <w:rFonts w:ascii="Times New Roman" w:hAnsi="Times New Roman"/>
            <w:color w:val="000000" w:themeColor="text1"/>
            <w:sz w:val="16"/>
            <w:szCs w:val="16"/>
          </w:rPr>
          <w:t xml:space="preserve">«Z.516». </w:t>
        </w:r>
      </w:hyperlink>
      <w:r w:rsidRPr="00DB5D0D">
        <w:rPr>
          <w:rFonts w:ascii="Times New Roman" w:hAnsi="Times New Roman"/>
          <w:color w:val="000000" w:themeColor="text1"/>
          <w:sz w:val="16"/>
          <w:szCs w:val="16"/>
        </w:rPr>
        <w:t>«Z.516» - бомбардировщик-гидросамолет, разработанная итальянским концерном «Cantieri Riuniti dell'Adriatico» («CRDA» или «Cant»). В 1939 году ВВС Италии (Regia Aeronautica) заказали фирме «Cant» улучшенную версию гидросамолета «Z.506». Работы над самолетом были начаты в начале 1940 года. Руководил проектом конструктор Filippo Zappata. Было решено использовать для строительства гидросамолета фюзеляж и силовую установку хорошо проверенного бомбардировщика «Z.1007» «Alcione». Однако летные характеристики «Z.516» не удовлетворили Regia Aeronautica и работы над самолетом были прекращены (14972).</w:t>
      </w:r>
    </w:p>
    <w:p w14:paraId="00DD838C"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4BEC1E6B" w14:textId="77777777" w:rsidR="004D4205" w:rsidRPr="00DB5D0D" w:rsidRDefault="004D420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 xml:space="preserve">3 августа 1940 выполнил первый полет Focke-Achgelis Fa 223 (первый без привязи) (20795). </w:t>
      </w:r>
    </w:p>
    <w:p w14:paraId="3C57BF2D" w14:textId="77777777" w:rsidR="004D4205" w:rsidRPr="00DB5D0D" w:rsidRDefault="004D4205" w:rsidP="00DB5D0D">
      <w:pPr>
        <w:spacing w:after="0" w:line="240" w:lineRule="auto"/>
        <w:jc w:val="both"/>
        <w:rPr>
          <w:rFonts w:ascii="Times New Roman" w:hAnsi="Times New Roman"/>
          <w:color w:val="0070C0"/>
          <w:sz w:val="16"/>
          <w:szCs w:val="16"/>
        </w:rPr>
      </w:pPr>
    </w:p>
    <w:p w14:paraId="0D4DF845" w14:textId="77777777" w:rsidR="004D4205" w:rsidRPr="00DB5D0D" w:rsidRDefault="004D420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3 августа 1940 года Первый свободный полет совершил Fa 223. Серийное производство Fa 223 началась фирмой «Фокке-Ахгелис» на заводе в Дельменхорсте в 1942 году. Из 30 предсерийных вертолётов Fa 223 завод в Бремене успел выпустить только 10 машин — остальные были уничтожены во время бомбежки на разной степени готовности. Всего было построено около 18 машин. Показал себя как надежная и незаменимая машина для транспортировки крупногабаритных грузов, спасательных операций. Вертолет уверенно перевозил на внешней подвеске пушки, части мостов, ракет V-2, другие крупногабаритные грузы, не вмещающиеся в кабину. Во Второй Мировой эти вертолеты корректировали огонь, участвовали в транспортных и связных операциях, эвакуировали высокопоставленных должностных лиц. Именно на этом вертолете Скорцени первоначально собирался вывезти Муссолини после его освобождения в сентябре 1943 года. Но неполадки на машине вынудили отказаться от её применения (22302).</w:t>
      </w:r>
    </w:p>
    <w:p w14:paraId="033A1728" w14:textId="77777777" w:rsidR="004D4205" w:rsidRPr="00DB5D0D" w:rsidRDefault="004D4205" w:rsidP="00DB5D0D">
      <w:pPr>
        <w:spacing w:after="0" w:line="240" w:lineRule="auto"/>
        <w:jc w:val="both"/>
        <w:rPr>
          <w:rFonts w:ascii="Times New Roman" w:hAnsi="Times New Roman"/>
          <w:color w:val="0070C0"/>
          <w:sz w:val="16"/>
          <w:szCs w:val="16"/>
        </w:rPr>
      </w:pPr>
    </w:p>
    <w:p w14:paraId="669713D3" w14:textId="77777777" w:rsidR="004D4205" w:rsidRPr="00DB5D0D" w:rsidRDefault="004D420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августа 1940 - Состоялся первый полёт самолёта Z.516. Z.516 - бомбардировщик-гидросамолёт, разработанная итальянским концерном Cantieri Riuniti dell'Adriatico (CRDA или Cant). В 1939 году ВВС Италии (Regia Aeronautica) заказали фирме Cant улучшенную версию гидросамолёта Z.506. Работы над самолётом были начаты в начале 1940 года. Руководил проектом конструктор Filippo Zappata. Было решено использовать для строительства гидросамолёта фюзеляж и силовую установку хорошо проверенного бомбардировщика Z.1007 Alcione. Однако лётные характеристики Z.516 не удовлетворили Regia Aeronautica и работы над самолетом были прекращены (22410).</w:t>
      </w:r>
    </w:p>
    <w:p w14:paraId="4CE06BA2" w14:textId="77777777" w:rsidR="004D4205" w:rsidRPr="00DB5D0D" w:rsidRDefault="004D4205" w:rsidP="00DB5D0D">
      <w:pPr>
        <w:spacing w:after="0" w:line="240" w:lineRule="auto"/>
        <w:jc w:val="both"/>
        <w:rPr>
          <w:rFonts w:ascii="Times New Roman" w:hAnsi="Times New Roman"/>
          <w:color w:val="0070C0"/>
          <w:sz w:val="16"/>
          <w:szCs w:val="16"/>
        </w:rPr>
      </w:pPr>
    </w:p>
    <w:p w14:paraId="4D0C39B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Италия начала оккупацию британского Сомали (4962).</w:t>
      </w:r>
    </w:p>
    <w:p w14:paraId="690F39F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82F69D0"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August 3-19 1940 Italians occupy British Somaliland in East Africa (1050).</w:t>
      </w:r>
    </w:p>
    <w:p w14:paraId="1DFB0311"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41B166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3-19 августа 1940 итальянцы оккупировали Британское Сомали в Восточной Африке (1050).</w:t>
      </w:r>
    </w:p>
    <w:p w14:paraId="4DC8BA2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9A0D2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8F7B11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150A4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августа 1940 по вине л потерпел аварию И-135-1 М-105ТК П.О.С. Потом ремонтировали на 289 заводе. До этого температурные режимы были неудовлетворительны из-за высокой температуры масла (2090,147).</w:t>
      </w:r>
    </w:p>
    <w:p w14:paraId="5DC2CB3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FAD0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августа 1940 года Заключение по эскизному проекту одноместно</w:t>
      </w:r>
      <w:r w:rsidRPr="00DB5D0D">
        <w:rPr>
          <w:rFonts w:ascii="Times New Roman" w:hAnsi="Times New Roman"/>
          <w:color w:val="000000" w:themeColor="text1"/>
          <w:sz w:val="16"/>
          <w:szCs w:val="16"/>
        </w:rPr>
        <w:softHyphen/>
        <w:t>го истребителя с М-90 и 2ТК-1 было утверждено Начальником ГУ ВВС РККА генерал-лейтенантом авиа</w:t>
      </w:r>
      <w:r w:rsidRPr="00DB5D0D">
        <w:rPr>
          <w:rFonts w:ascii="Times New Roman" w:hAnsi="Times New Roman"/>
          <w:color w:val="000000" w:themeColor="text1"/>
          <w:sz w:val="16"/>
          <w:szCs w:val="16"/>
        </w:rPr>
        <w:softHyphen/>
        <w:t>ции П.В.Рычаговым.</w:t>
      </w:r>
    </w:p>
    <w:p w14:paraId="751313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своей схеме, конструкции и технологии самолет был аналогом истребителя И-185, фюзеляж - де</w:t>
      </w:r>
      <w:r w:rsidRPr="00DB5D0D">
        <w:rPr>
          <w:rFonts w:ascii="Times New Roman" w:hAnsi="Times New Roman"/>
          <w:color w:val="000000" w:themeColor="text1"/>
          <w:sz w:val="16"/>
          <w:szCs w:val="16"/>
        </w:rPr>
        <w:softHyphen/>
        <w:t>ревянный, крыло - цельнометалли</w:t>
      </w:r>
      <w:r w:rsidRPr="00DB5D0D">
        <w:rPr>
          <w:rFonts w:ascii="Times New Roman" w:hAnsi="Times New Roman"/>
          <w:color w:val="000000" w:themeColor="text1"/>
          <w:sz w:val="16"/>
          <w:szCs w:val="16"/>
        </w:rPr>
        <w:softHyphen/>
        <w:t>ческое. С целью уменьшения лобо</w:t>
      </w:r>
      <w:r w:rsidRPr="00DB5D0D">
        <w:rPr>
          <w:rFonts w:ascii="Times New Roman" w:hAnsi="Times New Roman"/>
          <w:color w:val="000000" w:themeColor="text1"/>
          <w:sz w:val="16"/>
          <w:szCs w:val="16"/>
        </w:rPr>
        <w:softHyphen/>
        <w:t>вого сопротивления, проект предус</w:t>
      </w:r>
      <w:r w:rsidRPr="00DB5D0D">
        <w:rPr>
          <w:rFonts w:ascii="Times New Roman" w:hAnsi="Times New Roman"/>
          <w:color w:val="000000" w:themeColor="text1"/>
          <w:sz w:val="16"/>
          <w:szCs w:val="16"/>
        </w:rPr>
        <w:softHyphen/>
        <w:t>матривал сильно вытянутый и заос</w:t>
      </w:r>
      <w:r w:rsidRPr="00DB5D0D">
        <w:rPr>
          <w:rFonts w:ascii="Times New Roman" w:hAnsi="Times New Roman"/>
          <w:color w:val="000000" w:themeColor="text1"/>
          <w:sz w:val="16"/>
          <w:szCs w:val="16"/>
        </w:rPr>
        <w:softHyphen/>
        <w:t>тренный капот двигателя, что тре</w:t>
      </w:r>
      <w:r w:rsidRPr="00DB5D0D">
        <w:rPr>
          <w:rFonts w:ascii="Times New Roman" w:hAnsi="Times New Roman"/>
          <w:color w:val="000000" w:themeColor="text1"/>
          <w:sz w:val="16"/>
          <w:szCs w:val="16"/>
        </w:rPr>
        <w:softHyphen/>
        <w:t>бовало удлинения носка вала дви</w:t>
      </w:r>
      <w:r w:rsidRPr="00DB5D0D">
        <w:rPr>
          <w:rFonts w:ascii="Times New Roman" w:hAnsi="Times New Roman"/>
          <w:color w:val="000000" w:themeColor="text1"/>
          <w:sz w:val="16"/>
          <w:szCs w:val="16"/>
        </w:rPr>
        <w:softHyphen/>
        <w:t>гателя. Турбокомпрессоры устанав</w:t>
      </w:r>
      <w:r w:rsidRPr="00DB5D0D">
        <w:rPr>
          <w:rFonts w:ascii="Times New Roman" w:hAnsi="Times New Roman"/>
          <w:color w:val="000000" w:themeColor="text1"/>
          <w:sz w:val="16"/>
          <w:szCs w:val="16"/>
        </w:rPr>
        <w:softHyphen/>
        <w:t>ливались за спиной летчика по бор</w:t>
      </w:r>
      <w:r w:rsidRPr="00DB5D0D">
        <w:rPr>
          <w:rFonts w:ascii="Times New Roman" w:hAnsi="Times New Roman"/>
          <w:color w:val="000000" w:themeColor="text1"/>
          <w:sz w:val="16"/>
          <w:szCs w:val="16"/>
        </w:rPr>
        <w:softHyphen/>
        <w:t>там фюзеляжа. Такое их располо</w:t>
      </w:r>
      <w:r w:rsidRPr="00DB5D0D">
        <w:rPr>
          <w:rFonts w:ascii="Times New Roman" w:hAnsi="Times New Roman"/>
          <w:color w:val="000000" w:themeColor="text1"/>
          <w:sz w:val="16"/>
          <w:szCs w:val="16"/>
        </w:rPr>
        <w:softHyphen/>
        <w:t>жение позволяло избегать ослеп</w:t>
      </w:r>
      <w:r w:rsidRPr="00DB5D0D">
        <w:rPr>
          <w:rFonts w:ascii="Times New Roman" w:hAnsi="Times New Roman"/>
          <w:color w:val="000000" w:themeColor="text1"/>
          <w:sz w:val="16"/>
          <w:szCs w:val="16"/>
        </w:rPr>
        <w:softHyphen/>
        <w:t>ления летчика выхлопными газами при ночных полетах. Выхлопные трубы от двигателя и воздуховоды от ТК-1 пролегали снаружи вдоль бортов фюзеляжа и были заключе</w:t>
      </w:r>
      <w:r w:rsidRPr="00DB5D0D">
        <w:rPr>
          <w:rFonts w:ascii="Times New Roman" w:hAnsi="Times New Roman"/>
          <w:color w:val="000000" w:themeColor="text1"/>
          <w:sz w:val="16"/>
          <w:szCs w:val="16"/>
        </w:rPr>
        <w:softHyphen/>
        <w:t>ны в металлические кожухи. В маги</w:t>
      </w:r>
      <w:r w:rsidRPr="00DB5D0D">
        <w:rPr>
          <w:rFonts w:ascii="Times New Roman" w:hAnsi="Times New Roman"/>
          <w:color w:val="000000" w:themeColor="text1"/>
          <w:sz w:val="16"/>
          <w:szCs w:val="16"/>
        </w:rPr>
        <w:softHyphen/>
        <w:t>стралях наддува предусматривались воздухо-воздушные радиаторы, раз</w:t>
      </w:r>
      <w:r w:rsidRPr="00DB5D0D">
        <w:rPr>
          <w:rFonts w:ascii="Times New Roman" w:hAnsi="Times New Roman"/>
          <w:color w:val="000000" w:themeColor="text1"/>
          <w:sz w:val="16"/>
          <w:szCs w:val="16"/>
        </w:rPr>
        <w:softHyphen/>
        <w:t>мещенные на бортах фюзеляжа. На турбинных частях турбокомпрессо</w:t>
      </w:r>
      <w:r w:rsidRPr="00DB5D0D">
        <w:rPr>
          <w:rFonts w:ascii="Times New Roman" w:hAnsi="Times New Roman"/>
          <w:color w:val="000000" w:themeColor="text1"/>
          <w:sz w:val="16"/>
          <w:szCs w:val="16"/>
        </w:rPr>
        <w:softHyphen/>
        <w:t>ров крепились так называемые ре</w:t>
      </w:r>
      <w:r w:rsidRPr="00DB5D0D">
        <w:rPr>
          <w:rFonts w:ascii="Times New Roman" w:hAnsi="Times New Roman"/>
          <w:color w:val="000000" w:themeColor="text1"/>
          <w:sz w:val="16"/>
          <w:szCs w:val="16"/>
        </w:rPr>
        <w:softHyphen/>
        <w:t>акторы, повышающие реактивный эффект, создаваемый выхлопными газами.</w:t>
      </w:r>
    </w:p>
    <w:p w14:paraId="77D9DB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Протектированный бензобак на 300 кг топлива помещался под си</w:t>
      </w:r>
      <w:r w:rsidRPr="00DB5D0D">
        <w:rPr>
          <w:rFonts w:ascii="Times New Roman" w:hAnsi="Times New Roman"/>
          <w:color w:val="000000" w:themeColor="text1"/>
          <w:sz w:val="16"/>
          <w:szCs w:val="16"/>
        </w:rPr>
        <w:softHyphen/>
        <w:t>деньем летчика. Для повышения боевой живучести бак заполнялся выхлопными газами. Предусматри</w:t>
      </w:r>
      <w:r w:rsidRPr="00DB5D0D">
        <w:rPr>
          <w:rFonts w:ascii="Times New Roman" w:hAnsi="Times New Roman"/>
          <w:color w:val="000000" w:themeColor="text1"/>
          <w:sz w:val="16"/>
          <w:szCs w:val="16"/>
        </w:rPr>
        <w:softHyphen/>
        <w:t>валась подвеска дополнительного бензинового бака на 200 кг топ</w:t>
      </w:r>
      <w:r w:rsidRPr="00DB5D0D">
        <w:rPr>
          <w:rFonts w:ascii="Times New Roman" w:hAnsi="Times New Roman"/>
          <w:color w:val="000000" w:themeColor="text1"/>
          <w:sz w:val="16"/>
          <w:szCs w:val="16"/>
        </w:rPr>
        <w:softHyphen/>
        <w:t>лива.</w:t>
      </w:r>
    </w:p>
    <w:p w14:paraId="7BC1EBE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состояло из четырех синхронных пулеметов ШКАС, помещенных в центропла</w:t>
      </w:r>
      <w:r w:rsidRPr="00DB5D0D">
        <w:rPr>
          <w:rFonts w:ascii="Times New Roman" w:hAnsi="Times New Roman"/>
          <w:color w:val="000000" w:themeColor="text1"/>
          <w:sz w:val="16"/>
          <w:szCs w:val="16"/>
        </w:rPr>
        <w:softHyphen/>
        <w:t>не, и двух крыльевых пулеметов ШКАС. Суммарный боезапас со</w:t>
      </w:r>
      <w:r w:rsidRPr="00DB5D0D">
        <w:rPr>
          <w:rFonts w:ascii="Times New Roman" w:hAnsi="Times New Roman"/>
          <w:color w:val="000000" w:themeColor="text1"/>
          <w:sz w:val="16"/>
          <w:szCs w:val="16"/>
        </w:rPr>
        <w:softHyphen/>
        <w:t>ставлял 3000 патронов.</w:t>
      </w:r>
    </w:p>
    <w:p w14:paraId="598505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защиты летчика устанавли</w:t>
      </w:r>
      <w:r w:rsidRPr="00DB5D0D">
        <w:rPr>
          <w:rFonts w:ascii="Times New Roman" w:hAnsi="Times New Roman"/>
          <w:color w:val="000000" w:themeColor="text1"/>
          <w:sz w:val="16"/>
          <w:szCs w:val="16"/>
        </w:rPr>
        <w:softHyphen/>
        <w:t>валась бронеспинка из цементиро</w:t>
      </w:r>
      <w:r w:rsidRPr="00DB5D0D">
        <w:rPr>
          <w:rFonts w:ascii="Times New Roman" w:hAnsi="Times New Roman"/>
          <w:color w:val="000000" w:themeColor="text1"/>
          <w:sz w:val="16"/>
          <w:szCs w:val="16"/>
        </w:rPr>
        <w:softHyphen/>
        <w:t>ванной стали толщиной 8,65 мм, со срезанной верхней частью, заме</w:t>
      </w:r>
      <w:r w:rsidRPr="00DB5D0D">
        <w:rPr>
          <w:rFonts w:ascii="Times New Roman" w:hAnsi="Times New Roman"/>
          <w:color w:val="000000" w:themeColor="text1"/>
          <w:sz w:val="16"/>
          <w:szCs w:val="16"/>
        </w:rPr>
        <w:softHyphen/>
        <w:t>ненной прозрачной броней.</w:t>
      </w:r>
    </w:p>
    <w:p w14:paraId="5F3557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расчетные данные истребителя с М-90</w:t>
      </w:r>
    </w:p>
    <w:p w14:paraId="1C6A2F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xml:space="preserve"> ........................ 18</w:t>
      </w:r>
    </w:p>
    <w:p w14:paraId="309EBA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Масса самолета, кг пустого......................................... 2324</w:t>
      </w:r>
    </w:p>
    <w:p w14:paraId="54737A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полетная......................... 2940 (3060)</w:t>
      </w:r>
    </w:p>
    <w:p w14:paraId="6D3979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w:t>
      </w:r>
    </w:p>
    <w:p w14:paraId="5102D4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км/ч у земли................................... 530-550</w:t>
      </w:r>
    </w:p>
    <w:p w14:paraId="749BB4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Н=10000м....................... 670-690</w:t>
      </w:r>
    </w:p>
    <w:p w14:paraId="146E7C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 мин: Н=6000м......................... 3,5-4,5 (5,0)</w:t>
      </w:r>
    </w:p>
    <w:p w14:paraId="6D9EC0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Н=10000м .........................8,65 (10,0)</w:t>
      </w:r>
    </w:p>
    <w:p w14:paraId="7E5D65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Компоновочная схема И М-90 (реконструкция)</w:t>
      </w:r>
    </w:p>
    <w:p w14:paraId="6009BC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w:t>
      </w:r>
    </w:p>
    <w:p w14:paraId="7099FE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Н=1500м, с.................. 16,8 (21,5)</w:t>
      </w:r>
    </w:p>
    <w:p w14:paraId="5EBA6B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w:t>
      </w:r>
    </w:p>
    <w:p w14:paraId="30B09B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м.................. 13250(12500)</w:t>
      </w:r>
    </w:p>
    <w:p w14:paraId="025C0AE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w:t>
      </w:r>
    </w:p>
    <w:p w14:paraId="201C08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Н=6000м, У=0,85Утах, км: нормальная ........................800 (750)</w:t>
      </w:r>
    </w:p>
    <w:p w14:paraId="6E899C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подвесным баком...... 1000 (950)</w:t>
      </w:r>
    </w:p>
    <w:p w14:paraId="304996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м........................ 172</w:t>
      </w:r>
    </w:p>
    <w:p w14:paraId="121C2B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скобках указаны данные, ожи</w:t>
      </w:r>
      <w:r w:rsidRPr="00DB5D0D">
        <w:rPr>
          <w:rFonts w:ascii="Times New Roman" w:hAnsi="Times New Roman"/>
          <w:color w:val="000000" w:themeColor="text1"/>
          <w:sz w:val="16"/>
          <w:szCs w:val="16"/>
        </w:rPr>
        <w:softHyphen/>
        <w:t>даемые по расчетам специалистов НИИ ВВС.</w:t>
      </w:r>
    </w:p>
    <w:p w14:paraId="5DC3D3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отзыве НИИ ВВС на эскизный проект отмечалось:</w:t>
      </w:r>
    </w:p>
    <w:p w14:paraId="3C8FFF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Предъявленный конструкю-ром проект в целом является впоп-не реальным, летно-тактические данные расчетом, в основном, обо</w:t>
      </w:r>
      <w:r w:rsidRPr="00DB5D0D">
        <w:rPr>
          <w:rFonts w:ascii="Times New Roman" w:hAnsi="Times New Roman"/>
          <w:color w:val="000000" w:themeColor="text1"/>
          <w:sz w:val="16"/>
          <w:szCs w:val="16"/>
        </w:rPr>
        <w:softHyphen/>
        <w:t>снованы и обеспечены конструктив</w:t>
      </w:r>
      <w:r w:rsidRPr="00DB5D0D">
        <w:rPr>
          <w:rFonts w:ascii="Times New Roman" w:hAnsi="Times New Roman"/>
          <w:color w:val="000000" w:themeColor="text1"/>
          <w:sz w:val="16"/>
          <w:szCs w:val="16"/>
        </w:rPr>
        <w:softHyphen/>
        <w:t>ной схемой и наличием мощного мотора.</w:t>
      </w:r>
    </w:p>
    <w:p w14:paraId="7B3D7F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Принимая во внимание:</w:t>
      </w:r>
    </w:p>
    <w:p w14:paraId="0154DC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сравнительно невысокие пока</w:t>
      </w:r>
      <w:r w:rsidRPr="00DB5D0D">
        <w:rPr>
          <w:rFonts w:ascii="Times New Roman" w:hAnsi="Times New Roman"/>
          <w:color w:val="000000" w:themeColor="text1"/>
          <w:sz w:val="16"/>
          <w:szCs w:val="16"/>
        </w:rPr>
        <w:softHyphen/>
        <w:t>затели максимальных скорое юй проектируемого самолета;</w:t>
      </w:r>
    </w:p>
    <w:p w14:paraId="2F8A1B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что постройка самолета мо</w:t>
      </w:r>
      <w:r w:rsidRPr="00DB5D0D">
        <w:rPr>
          <w:rFonts w:ascii="Times New Roman" w:hAnsi="Times New Roman"/>
          <w:color w:val="000000" w:themeColor="text1"/>
          <w:sz w:val="16"/>
          <w:szCs w:val="16"/>
        </w:rPr>
        <w:softHyphen/>
        <w:t>жет быть закончена не ранее фев</w:t>
      </w:r>
      <w:r w:rsidRPr="00DB5D0D">
        <w:rPr>
          <w:rFonts w:ascii="Times New Roman" w:hAnsi="Times New Roman"/>
          <w:color w:val="000000" w:themeColor="text1"/>
          <w:sz w:val="16"/>
          <w:szCs w:val="16"/>
        </w:rPr>
        <w:softHyphen/>
        <w:t>раля — марта 1941 года, в то вре</w:t>
      </w:r>
      <w:r w:rsidRPr="00DB5D0D">
        <w:rPr>
          <w:rFonts w:ascii="Times New Roman" w:hAnsi="Times New Roman"/>
          <w:color w:val="000000" w:themeColor="text1"/>
          <w:sz w:val="16"/>
          <w:szCs w:val="16"/>
        </w:rPr>
        <w:softHyphen/>
        <w:t>мя, как подобный самолет И-185 М-90 уже построен.</w:t>
      </w:r>
    </w:p>
    <w:p w14:paraId="6059CC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Постройку самолета с М-90 и 2ТК-1 конструкции тов. Сухого П. О. считать нецелесообразной».</w:t>
      </w:r>
    </w:p>
    <w:p w14:paraId="70087E2B" w14:textId="77777777" w:rsidR="003C7E8B" w:rsidRPr="00DB5D0D" w:rsidRDefault="003C7E8B" w:rsidP="00DB5D0D">
      <w:pPr>
        <w:pStyle w:val="af9"/>
        <w:spacing w:before="0" w:after="0"/>
        <w:jc w:val="both"/>
        <w:rPr>
          <w:color w:val="000000" w:themeColor="text1"/>
          <w:sz w:val="16"/>
          <w:szCs w:val="16"/>
        </w:rPr>
      </w:pPr>
      <w:r w:rsidRPr="00DB5D0D">
        <w:rPr>
          <w:color w:val="000000" w:themeColor="text1"/>
          <w:sz w:val="16"/>
          <w:szCs w:val="16"/>
        </w:rPr>
        <w:t>В заключении было указано, что утвердить эскизный проект не пред</w:t>
      </w:r>
      <w:r w:rsidRPr="00DB5D0D">
        <w:rPr>
          <w:color w:val="000000" w:themeColor="text1"/>
          <w:sz w:val="16"/>
          <w:szCs w:val="16"/>
        </w:rPr>
        <w:softHyphen/>
        <w:t>ставляется возможным, а главному конструктору предлагалось: «...на</w:t>
      </w:r>
      <w:r w:rsidRPr="00DB5D0D">
        <w:rPr>
          <w:color w:val="000000" w:themeColor="text1"/>
          <w:sz w:val="16"/>
          <w:szCs w:val="16"/>
        </w:rPr>
        <w:softHyphen/>
        <w:t>править на ближайшее время ра</w:t>
      </w:r>
      <w:r w:rsidRPr="00DB5D0D">
        <w:rPr>
          <w:color w:val="000000" w:themeColor="text1"/>
          <w:sz w:val="16"/>
          <w:szCs w:val="16"/>
        </w:rPr>
        <w:softHyphen/>
        <w:t>боту своего КБ на доводку серий</w:t>
      </w:r>
      <w:r w:rsidRPr="00DB5D0D">
        <w:rPr>
          <w:color w:val="000000" w:themeColor="text1"/>
          <w:sz w:val="16"/>
          <w:szCs w:val="16"/>
        </w:rPr>
        <w:softHyphen/>
        <w:t>ного самолета ББ-1 с М-88 в части ВМГ и максимальных скоростей, на быстрейшее внедрение в серию модификации самолета ББ-1 с М-81, М-90, на постройку опытного самолета ОБШ с М-71, но доводку опытного самолета ББ-2 с М-88 и истребителя И-330 с М-105» (11754).</w:t>
      </w:r>
    </w:p>
    <w:p w14:paraId="10DD2A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FB0E27A"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августа 1940 года Заключение по эскизному проекту одноместного истребителя с М-90 и 2ТК-1 было утверждено Начальником ГУ ВВС РККА генерал-лейтенантом авиации П.В. Рычаговым.</w:t>
      </w:r>
    </w:p>
    <w:p w14:paraId="0FED1E1E"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своей схеме, конструкции и технологии самолет был аналогом истребителя И-185, фюзеляж - деревянный, крыло - цельнометаллическое. С целью уменьшения лобового сопротивления, проект предусматривал сильно вытянутый и заостренный капот двигателя, что требовало удлинения носка вала двигателя. Турбокомпрессоры устанавливались за спиной летчика по бортам фюзеляжа. Такое их расположение позволяло избегать ослепления летчика выхлопными газами при ночных полетах. Выхлопные трубы от двигателя и воздуховоды от ТК-1 пролегали снаружи вдоль бортов фюзеляжа и были заключены в металлические кожухи. В магистралях наддува предусматривались воздухо-воздушные радиаторы, размещенные на бортах фюзеляжа. На турбинных частях турбокомпрессоров крепились так называемые реакторы, повышающие реактивный эффект, создаваемый выхлопными газами.</w:t>
      </w:r>
    </w:p>
    <w:p w14:paraId="16A9166E"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Протестированный бензобак на 300 кг топлива помещался под сиденьем летчика. Для повышения боевой живучести бак заполнялся выхлопными газами. Предусматривалась подвеска дополнительного бензинового бака на 200 кг топлива.</w:t>
      </w:r>
    </w:p>
    <w:p w14:paraId="6FCE2FE8"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состояло из четырех синхронных пулеметов ШКАС, помещенных в центроплане, и двух крыльевых пулеметов ШКАС. Суммарный боезапас составлял 3000 патронов.</w:t>
      </w:r>
    </w:p>
    <w:p w14:paraId="5410CF17"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защиты летчика устанавливалась бронеспинка из цементированной стали толщиной 8,65 мм, со срезанной верхней частью, замененной прозрачной броней.</w:t>
      </w:r>
    </w:p>
    <w:p w14:paraId="23E59048"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расчетные данные истребителя с М-90</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7D5DF8" w:rsidRPr="00DB5D0D" w14:paraId="733535CE" w14:textId="77777777" w:rsidTr="005321F7">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38DCD55A"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Площадь крыла, м</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0AF1A435"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r>
      <w:tr w:rsidR="007D5DF8" w:rsidRPr="00DB5D0D" w14:paraId="434B050A" w14:textId="77777777" w:rsidTr="005321F7">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B5E14A6"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Масса самолета, кг</w:t>
            </w:r>
          </w:p>
        </w:tc>
      </w:tr>
      <w:tr w:rsidR="007D5DF8" w:rsidRPr="00DB5D0D" w14:paraId="211CECFB" w14:textId="77777777" w:rsidTr="005321F7">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00D1737"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пустого</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14076DF"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2324</w:t>
            </w:r>
          </w:p>
        </w:tc>
      </w:tr>
      <w:tr w:rsidR="007D5DF8" w:rsidRPr="00DB5D0D" w14:paraId="6F0B3441" w14:textId="77777777" w:rsidTr="005321F7">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DBC13DA"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полетная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3528027"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2940 (3060)</w:t>
            </w:r>
          </w:p>
        </w:tc>
      </w:tr>
      <w:tr w:rsidR="007D5DF8" w:rsidRPr="00DB5D0D" w14:paraId="0F48B32B" w14:textId="77777777" w:rsidTr="005321F7">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BE08485"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км/ч</w:t>
            </w:r>
          </w:p>
        </w:tc>
      </w:tr>
      <w:tr w:rsidR="007D5DF8" w:rsidRPr="00DB5D0D" w14:paraId="5ECA901F" w14:textId="77777777" w:rsidTr="005321F7">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30E2BB8"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1B02D68"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530-550</w:t>
            </w:r>
          </w:p>
        </w:tc>
      </w:tr>
      <w:tr w:rsidR="007D5DF8" w:rsidRPr="00DB5D0D" w14:paraId="389A9E1E" w14:textId="77777777" w:rsidTr="005321F7">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C07EEF3"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Н=10000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766AA27"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670-690</w:t>
            </w:r>
          </w:p>
        </w:tc>
      </w:tr>
      <w:tr w:rsidR="007D5DF8" w:rsidRPr="00DB5D0D" w14:paraId="7CD472DD" w14:textId="77777777" w:rsidTr="005321F7">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EB0B9CB"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 мин</w:t>
            </w:r>
          </w:p>
        </w:tc>
      </w:tr>
      <w:tr w:rsidR="007D5DF8" w:rsidRPr="00DB5D0D" w14:paraId="04096B98" w14:textId="77777777" w:rsidTr="005321F7">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D478B7B"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Н=6000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CBEEFFC"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3,5-4,5 (5,0)</w:t>
            </w:r>
          </w:p>
        </w:tc>
      </w:tr>
      <w:tr w:rsidR="007D5DF8" w:rsidRPr="00DB5D0D" w14:paraId="3CAEB8A2" w14:textId="77777777" w:rsidTr="005321F7">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8715FE9"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Н=10000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079689A"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8,65 (10,0)</w:t>
            </w:r>
          </w:p>
        </w:tc>
      </w:tr>
      <w:tr w:rsidR="007D5DF8" w:rsidRPr="00DB5D0D" w14:paraId="419AB83B" w14:textId="77777777" w:rsidTr="005321F7">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5EDECC8"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 на Н=1500 м, 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3A16489"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 (21,5)</w:t>
            </w:r>
          </w:p>
        </w:tc>
      </w:tr>
      <w:tr w:rsidR="007D5DF8" w:rsidRPr="00DB5D0D" w14:paraId="6F179EBE" w14:textId="77777777" w:rsidTr="005321F7">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9A8ED1"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F65CA88"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13250 (12500)</w:t>
            </w:r>
          </w:p>
        </w:tc>
      </w:tr>
      <w:tr w:rsidR="007D5DF8" w:rsidRPr="00DB5D0D" w14:paraId="28F7CC4E" w14:textId="77777777" w:rsidTr="005321F7">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831C8F8"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на Н=6000м, V=0,85max, км</w:t>
            </w:r>
          </w:p>
        </w:tc>
      </w:tr>
      <w:tr w:rsidR="007D5DF8" w:rsidRPr="00DB5D0D" w14:paraId="0A6110C2" w14:textId="77777777" w:rsidTr="005321F7">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56589B4"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нормальная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3608F29"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(750)</w:t>
            </w:r>
          </w:p>
        </w:tc>
      </w:tr>
      <w:tr w:rsidR="007D5DF8" w:rsidRPr="00DB5D0D" w14:paraId="2A4A8838" w14:textId="77777777" w:rsidTr="005321F7">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8CC956D"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подвесным баком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B8D6437"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(950)</w:t>
            </w:r>
          </w:p>
        </w:tc>
      </w:tr>
      <w:tr w:rsidR="007D5DF8" w:rsidRPr="00DB5D0D" w14:paraId="427AF755" w14:textId="77777777" w:rsidTr="005321F7">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58981A"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9CFC30F"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172</w:t>
            </w:r>
          </w:p>
        </w:tc>
      </w:tr>
    </w:tbl>
    <w:p w14:paraId="026F4C67" w14:textId="77777777" w:rsidR="005321F7" w:rsidRPr="00DB5D0D" w:rsidRDefault="005321F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скобках указаны данные, ожидаемые по расчетам специалистов НИИ ВВС (15578).</w:t>
      </w:r>
    </w:p>
    <w:p w14:paraId="02D2BAB4" w14:textId="77777777" w:rsidR="005321F7" w:rsidRPr="00DB5D0D" w:rsidRDefault="005321F7" w:rsidP="00DB5D0D">
      <w:pPr>
        <w:spacing w:after="0" w:line="240" w:lineRule="auto"/>
        <w:jc w:val="both"/>
        <w:rPr>
          <w:rFonts w:ascii="Times New Roman" w:hAnsi="Times New Roman"/>
          <w:color w:val="000000" w:themeColor="text1"/>
          <w:sz w:val="16"/>
          <w:szCs w:val="16"/>
        </w:rPr>
      </w:pPr>
    </w:p>
    <w:p w14:paraId="695130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августа 1940 Правительство письмом N 7060/ко предложило НКАП обеспечить подготовку и участие в воздушном параде на Тушинским аэродроме 18 августа с.г. автожира А-7 и самолетов Родина, МГ, И-180, Я-22, И-153, Иванов (П.О.С.) (1354,90).</w:t>
      </w:r>
    </w:p>
    <w:p w14:paraId="6AAF6CC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6ED9D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4 по 12 августа 1940 состоялись 14 всесоюзные соревнования летающих моделей (277,191).</w:t>
      </w:r>
    </w:p>
    <w:p w14:paraId="44AD39D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4906D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августа 1940 г. был утвержден сводный отчете о работах, проведенных РНИИ по договору с Московским заводом №70 имени Владимира Ильича, в котором вопросы эксцентриситета реактивной силы (ЭРС) достаточно глубоко исследовали два гражданских специалиста 4-й группы НИИ-3 НКБ — старшие инженеры, кандидаты технических наук М.Н.Тихонравов и Ю.А.Победоносцев. То, что ЭРС является основным фактором, влияющим на рассеивание ра</w:t>
      </w:r>
      <w:r w:rsidRPr="00DB5D0D">
        <w:rPr>
          <w:rFonts w:ascii="Times New Roman" w:hAnsi="Times New Roman"/>
          <w:color w:val="000000" w:themeColor="text1"/>
          <w:sz w:val="16"/>
          <w:szCs w:val="16"/>
        </w:rPr>
        <w:softHyphen/>
        <w:t>кетных боеприпасов, уже в 1940 г. (во всяком случае, у них) не вызывало сомнений. Степень этого влияния на кучность боя исследовали, начиная с 1936 г., и спустя четыре года, наконец подвели итог этой работы, полу</w:t>
      </w:r>
      <w:r w:rsidRPr="00DB5D0D">
        <w:rPr>
          <w:rFonts w:ascii="Times New Roman" w:hAnsi="Times New Roman"/>
          <w:color w:val="000000" w:themeColor="text1"/>
          <w:sz w:val="16"/>
          <w:szCs w:val="16"/>
        </w:rPr>
        <w:softHyphen/>
        <w:t>чив поразительные результаты (11402).</w:t>
      </w:r>
    </w:p>
    <w:p w14:paraId="73CA9D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F125D36" w14:textId="77777777" w:rsidR="002A7B0F" w:rsidRPr="00DB5D0D" w:rsidRDefault="002A7B0F"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E8EBCB4" w14:textId="77777777" w:rsidR="002A7B0F" w:rsidRPr="00DB5D0D" w:rsidRDefault="002A7B0F" w:rsidP="00DB5D0D">
      <w:pPr>
        <w:spacing w:after="0" w:line="240" w:lineRule="auto"/>
        <w:jc w:val="both"/>
        <w:rPr>
          <w:rFonts w:ascii="Times New Roman" w:hAnsi="Times New Roman"/>
          <w:iCs/>
          <w:color w:val="000000" w:themeColor="text1"/>
          <w:sz w:val="16"/>
          <w:szCs w:val="16"/>
        </w:rPr>
      </w:pPr>
    </w:p>
    <w:p w14:paraId="04EA284D"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августа 1940 г, при подготовке танка А-34 № 311-18-3 с дизелем М-250 к выезду произошло разрушение лопастей вентилятора системы охлаждения двигателя. После установки нового вентилятора танк во второй половине дня ушёл в пробег. В связи с непредвиденным ремонтом продолжительность запланированного на этот день пробега пришлось сократить вдвое. Двигатель М-250 № 3 в этот день проработал только 4 часа 30 минут, но, уже начиная с 5 августа 1940 г. ежедневная наработка двигателя стала составлять от 8 до 10 часов. </w:t>
      </w:r>
    </w:p>
    <w:p w14:paraId="2618BC75"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августа 1940 г. в танке А-34 № 311-18-3 вторично вышел из строя вентилятор системы охлаждения двигателя. С 11 по 13 августа 1940 г. на танке А-34 № 311-18-3 устранялись все выявленные накануне неисправности, и проводилось его техническое обслуживание – машина готовилась к запланированному на 14 августа 1940 г. совместному выезду со своим «старшим братом» танком А-34 № 311-11-3. </w:t>
      </w:r>
    </w:p>
    <w:p w14:paraId="1E02ADF8"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Около полудня 14 августа 1940 г. оба танка отправились в длительный пробег, который был завершен только во второй половине 16 августа. За время пробега дизель М-250 № 4 в танке А-34 № 311-11-3 проработал 27 часов, а дизель М-250 № 3 в танке А-34 № 311-18-3 – 30 часов. Весь следующий день оба танка проходили техническое обслуживание, в ходе которого на танке А-34 № 311-18-3 из-за разрушения резинового массива грузошины были заменены два опорных катка. </w:t>
      </w:r>
    </w:p>
    <w:p w14:paraId="67D8D849"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 20 августа 1940 г. стали последними днями, когда в ходе государственных испытаний дизелей М-250 танки А-34 совместно участвовали в пробегах. После возвращения на завод танк А-34 № 311-11-3 встал на ремонт. </w:t>
      </w:r>
    </w:p>
    <w:p w14:paraId="04EE5685"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Из-за повышенной температуры масла комиссией, проводившей испытания было решено опытные масляные баки без радиаторов заменить на серийные баки-радиаторы. Ремонт танка был закончен только к вечеру 22 августа 1940 г. К этому времени танк А-34 № 311-18-3 уже 4 часа находился в движении. О том, что этот выезд будет последним, участники испытаний вряд ли догадывались. Ближе к полудню, когда танк А-34 № 311-18-3 подъезжал к заводу № 183, в системе смазки двигателя резко повысилась температура масла. Оставшуюся часть пути испытателям пришлось пройти при частоте вращения коленчатого вала двигателя, не превышающей 1200 об/мин. После проведенного технического осмотра танка комиссия пришла к выводу, что дизель М-250 № 3 </w:t>
      </w:r>
      <w:r w:rsidRPr="00DB5D0D">
        <w:rPr>
          <w:rFonts w:ascii="Times New Roman" w:hAnsi="Times New Roman"/>
          <w:iCs/>
          <w:color w:val="000000" w:themeColor="text1"/>
          <w:sz w:val="16"/>
          <w:szCs w:val="16"/>
        </w:rPr>
        <w:t xml:space="preserve">«из-за потери работоспособности на 114 час. 32 мин. работы его в танке А-34 под нагрузкой </w:t>
      </w:r>
      <w:r w:rsidRPr="00DB5D0D">
        <w:rPr>
          <w:rFonts w:ascii="Times New Roman" w:hAnsi="Times New Roman"/>
          <w:color w:val="000000" w:themeColor="text1"/>
          <w:sz w:val="16"/>
          <w:szCs w:val="16"/>
        </w:rPr>
        <w:t>[необходимо]</w:t>
      </w:r>
      <w:r w:rsidRPr="00DB5D0D">
        <w:rPr>
          <w:rFonts w:ascii="Times New Roman" w:hAnsi="Times New Roman"/>
          <w:iCs/>
          <w:color w:val="000000" w:themeColor="text1"/>
          <w:sz w:val="16"/>
          <w:szCs w:val="16"/>
        </w:rPr>
        <w:t xml:space="preserve"> снять с испытаний»</w:t>
      </w:r>
      <w:r w:rsidRPr="00DB5D0D">
        <w:rPr>
          <w:rFonts w:ascii="Times New Roman" w:hAnsi="Times New Roman"/>
          <w:color w:val="000000" w:themeColor="text1"/>
          <w:sz w:val="16"/>
          <w:szCs w:val="16"/>
        </w:rPr>
        <w:t xml:space="preserve">. Не в лучшем состоянии находилась и ходовая часть танка – практически на всех опорных катках танка резиновый массив грузошин к дальнейшей эксплуатации был не пригоден. Танк А-34 № 311-18-3 требовал как минимум среднего ремонта. </w:t>
      </w:r>
    </w:p>
    <w:p w14:paraId="4679D24E"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танка А-34 № 311-11-3 день 23 августа 1940 г. был более удачным. После двух дней нахождения в ремонте, танк ранним утром продолжил выполнение программы государственных испытаний дизеля М-250 № 4. Очередной пробег был завершен 25 августа 1940 г. ближе к обеду, за двое с лишним суток двигатель проработал в танке около 32 часов. Замена масляных баков желаемого результата не дала, по-прежнему температура масла, входящего в двигатель и выходящего из него, превышала температуру, заданную техническими условиями. Чтобы избежать участи, постигшей дизель М-250 № 3, комиссией было решено переделать систему смазки двигателя. В опытном цехе «540» к 16 сентября 1940 г. в системе смазки были проведены следующие изменения: гофрированные радиаторы на масляных баках были заменены трубчатыми воздухомасляными радиаторами с пластинчатыми ребрами охлаждения. Эти радиаторы были установлены между масляными баками и радиаторами жидкостной системы охлаждения справа и слева от двигателя. Включение радиаторов в систему смазки было параллельное, в связи с чем, расположение масляных трубопроводов в моторном отделении танка практически не изменилось, а было добавлено только 8 трубок, соединявших баки с радиаторами. </w:t>
      </w:r>
    </w:p>
    <w:p w14:paraId="4A85D7B2"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с измененной системой смазки двигателя утром 17 сентября 1940 г. покинул территорию завода, но уже через 3 часа был вынужден вернуться из-за разрушения лопастей вентилятора системы охлаждения двигателя. Хотя пробег был не продолжительным, но он всё же показал, что проведенные изменения в системе смазки двигателя не обеспечили достаточного охлаждения масла. Танк снова поставили в цех «540» на ремонт. Одновременно с заменой вентилятора вторично была переделана система смазки. Теперь за основу была взята схема охлаждения масла, примененная в системе смазки силовой установки танка БТ-7М, т. е. масляные радиаторы были включены последовательно. Кроме того, для увеличения производительности масляных радиаторов в них были установлены завихрители, представлявшие собой латунные спирали с высеченными на них «шипами-ершами» высотой 3 мм. Завихрители были установлены внутри каждой трубки маслорадиатора. Конструкция бачка-суфлера дизеля так же была изменена. Теперь сконденсированное из паров масло стекало обратно в картер двигателя и в моторное отделение танка не выбрасывалось. Большинство медных трубок было заменено стальными, которые не ломались от вибрации. </w:t>
      </w:r>
    </w:p>
    <w:p w14:paraId="0BB0ADF2"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сентября 1940 г. испытания дизеля М-250 № 4 в танке А-34 № 311-11-3 были возобновлены. В этот день двигатель проработал около 8 часов. После обеда на заводе № 183 было произведено техническое обслуживание танка, а утром следующего дня испытания продолжились. Результат – 10 часов работы дизеля под нагрузкой.</w:t>
      </w:r>
    </w:p>
    <w:p w14:paraId="140DCE12"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время очередного испытательного пробега, 27 сентября 1940 г., около полудня на 103 часе работы дизель М-250 № 4 вышел из строя. На следующий день дизель был демонтирован из танка и передан в отдел «1600» завода № 75 для исследования. </w:t>
      </w:r>
    </w:p>
    <w:p w14:paraId="70A74202"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концу сентября 1940 г. государственные испытания дизеля М-250 больше напоминали опытные работы по доводке дизеля на машине, а не полноценную </w:t>
      </w:r>
      <w:r w:rsidRPr="00DB5D0D">
        <w:rPr>
          <w:rFonts w:ascii="Times New Roman" w:hAnsi="Times New Roman"/>
          <w:iCs/>
          <w:color w:val="000000" w:themeColor="text1"/>
          <w:sz w:val="16"/>
          <w:szCs w:val="16"/>
        </w:rPr>
        <w:t>«проверку по определению надежности работы дизеля типа М-250 в танке А-34 в течение гарантийного срока – 250 часов работы под нагрузкой»</w:t>
      </w:r>
      <w:r w:rsidRPr="00DB5D0D">
        <w:rPr>
          <w:rFonts w:ascii="Times New Roman" w:hAnsi="Times New Roman"/>
          <w:color w:val="000000" w:themeColor="text1"/>
          <w:sz w:val="16"/>
          <w:szCs w:val="16"/>
        </w:rPr>
        <w:t xml:space="preserve">. В связи с этим комиссией было принято решение: </w:t>
      </w:r>
      <w:r w:rsidRPr="00DB5D0D">
        <w:rPr>
          <w:rFonts w:ascii="Times New Roman" w:hAnsi="Times New Roman"/>
          <w:iCs/>
          <w:color w:val="000000" w:themeColor="text1"/>
          <w:sz w:val="16"/>
          <w:szCs w:val="16"/>
        </w:rPr>
        <w:t>«государственное испытание дизеля М-250 прекратить, все результаты работы Госкомиссии перевести в разряд внутризаводских испытаний с целью доводки двигателя»</w:t>
      </w:r>
      <w:r w:rsidRPr="00DB5D0D">
        <w:rPr>
          <w:rFonts w:ascii="Times New Roman" w:hAnsi="Times New Roman"/>
          <w:color w:val="000000" w:themeColor="text1"/>
          <w:sz w:val="16"/>
          <w:szCs w:val="16"/>
        </w:rPr>
        <w:t xml:space="preserve">. А в заключении по результатам проведенных государственных испытаний дизелей М-250, в частности, было записано следующее: </w:t>
      </w:r>
    </w:p>
    <w:p w14:paraId="5B9C2CC7"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Государственные испытания дизелей М-250 прекратить. В предъявленном виде, дизель М-250 не может быть рекомендован для Т-34».</w:t>
      </w:r>
      <w:r w:rsidRPr="00DB5D0D">
        <w:rPr>
          <w:rFonts w:ascii="Times New Roman" w:hAnsi="Times New Roman"/>
          <w:color w:val="000000" w:themeColor="text1"/>
          <w:sz w:val="16"/>
          <w:szCs w:val="16"/>
        </w:rPr>
        <w:t xml:space="preserve"> </w:t>
      </w:r>
    </w:p>
    <w:p w14:paraId="116EB76C" w14:textId="77777777" w:rsidR="002A7B0F" w:rsidRPr="00DB5D0D" w:rsidRDefault="002A7B0F" w:rsidP="00DB5D0D">
      <w:pPr>
        <w:pStyle w:val="ae"/>
        <w:spacing w:before="0" w:after="0"/>
        <w:jc w:val="both"/>
        <w:rPr>
          <w:color w:val="000000" w:themeColor="text1"/>
          <w:sz w:val="16"/>
          <w:szCs w:val="16"/>
        </w:rPr>
      </w:pPr>
      <w:r w:rsidRPr="00DB5D0D">
        <w:rPr>
          <w:bCs/>
          <w:color w:val="000000" w:themeColor="text1"/>
          <w:sz w:val="16"/>
          <w:szCs w:val="16"/>
        </w:rPr>
        <w:t>[РГВА. Ф. 31811. Оп. 3. Д. 2035. Л. 3]</w:t>
      </w:r>
    </w:p>
    <w:p w14:paraId="5F7F57A4"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С выходом из строя дизеля М-250 № 4 единственной надеждой на успешное проведение заводских испытаний оставался последний из пяти изготовленных заводом № 75 двигателей М-250. Дизель с пятым порядковым номером 24 сентября 1940 г. был установлен в танк А-34 № 311-18-3. Испытания дизеля затянулись на месяц, 25 октября 1940 г. в системе смазки дизеля М-250 № 5 было обнаружено падение давления. На следующий день двигатель в опытном цехе «540» завода № 183 был демонтирован из танка и передан отделу «1600» завода № 75 для исследования. 27 октября 1940 г. при разборке дизеля М-250 № 5 в коленчатом валу в районе пятой коренной шейки была обнаружена продольная трещина. К моменту аварии двигатель проработал около 48 часов на стенде и 75 часов 21 минуту в танке. </w:t>
      </w:r>
    </w:p>
    <w:p w14:paraId="33520B44"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после прекращения государственных испытаний также был использован в опытных работах по доводке дизеля М-250. В начале октября 1940 г. на танк был установлен дизель М-250 № 2, отработавший в период с 16 апреля по 8 мая 1940 г. на заводских стендовых испытаниях 349 часов 41 минуту. Также на машину был установлен опытный главный фрикцион, отличавшийся от серийного главного фрикциона танка Т-34 тем, что вместо восьми ведущих чугунных и десяти ведомых стальных дисков в нем имелось двенадцать ведомых и десять ведущих стальных дисков. Кроме этого диски опытного главного фрикциона имели вырезы, предназначавшиеся для уменьшения коробления дисков при их нагреве и прерывания образовывавшихся на них круговых задиров. В каждом ведомом и ведущем диске было сделано по 4 выреза глубиной 13 мм и шириной 10 мм, расположенных на равном расстоянии друг от друга на тех сторонах дисков, на которых не было зубьев. </w:t>
      </w:r>
    </w:p>
    <w:p w14:paraId="6D86FDA0"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Однако завершить заводские испытания дизеля М-250 № 2 и опытного главного фрикциона в танке А-34 не удалось потому, что интенсивно эксплуатировавшиеся на протяжении 9 месяцев опытные танки А-34 в начале ноября 1940 г. было решено капитально отремонтировать. </w:t>
      </w:r>
    </w:p>
    <w:p w14:paraId="6EBCDFBA"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отметить, что, несмотря на то, что дизели М-250 государственных испытаний не выдержали, некоторые примененные в них удачные технические решения в 1941 г. были реализованы в конструкции дизеля В-2 четвертой серии. </w:t>
      </w:r>
    </w:p>
    <w:p w14:paraId="5EDFE578" w14:textId="77777777" w:rsidR="002A7B0F" w:rsidRPr="00DB5D0D" w:rsidRDefault="002A7B0F"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Что же касается танков А-34, то с 15 ноября и до середины декабря 1940 г. оба они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4E731305" w14:textId="77777777" w:rsidR="002A7B0F" w:rsidRPr="00DB5D0D" w:rsidRDefault="002A7B0F"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FAD8C45" w14:textId="77777777" w:rsidR="004546B7"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2FEB0AA9" w14:textId="77777777" w:rsidR="004546B7" w:rsidRPr="00DB5D0D" w:rsidRDefault="004546B7" w:rsidP="00DB5D0D">
      <w:pPr>
        <w:spacing w:after="0" w:line="240" w:lineRule="auto"/>
        <w:jc w:val="both"/>
        <w:rPr>
          <w:rFonts w:ascii="Times New Roman" w:hAnsi="Times New Roman"/>
          <w:iCs/>
          <w:color w:val="000000" w:themeColor="text1"/>
          <w:sz w:val="16"/>
          <w:szCs w:val="16"/>
        </w:rPr>
      </w:pPr>
    </w:p>
    <w:p w14:paraId="6704B5D5" w14:textId="77777777" w:rsidR="004546B7" w:rsidRPr="00DB5D0D" w:rsidRDefault="004546B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августа в 1940 году Латвийская ССР принята в состав Союза ССР (14973).</w:t>
      </w:r>
    </w:p>
    <w:p w14:paraId="3AC08E50" w14:textId="77777777" w:rsidR="004546B7" w:rsidRPr="00DB5D0D" w:rsidRDefault="004546B7" w:rsidP="00DB5D0D">
      <w:pPr>
        <w:spacing w:after="0" w:line="240" w:lineRule="auto"/>
        <w:jc w:val="both"/>
        <w:rPr>
          <w:rFonts w:ascii="Times New Roman" w:hAnsi="Times New Roman"/>
          <w:color w:val="000000" w:themeColor="text1"/>
          <w:sz w:val="16"/>
          <w:szCs w:val="16"/>
        </w:rPr>
      </w:pPr>
    </w:p>
    <w:p w14:paraId="0820560D" w14:textId="77777777" w:rsidR="003C7E8B" w:rsidRPr="00DB5D0D" w:rsidRDefault="00B30AFA" w:rsidP="00DB5D0D">
      <w:pPr>
        <w:spacing w:after="0" w:line="240" w:lineRule="auto"/>
        <w:jc w:val="both"/>
        <w:rPr>
          <w:rFonts w:ascii="Times New Roman" w:hAnsi="Times New Roman"/>
          <w:iCs/>
          <w:color w:val="000000" w:themeColor="text1"/>
          <w:sz w:val="16"/>
          <w:szCs w:val="16"/>
          <w:lang w:val="en-US"/>
        </w:rPr>
      </w:pPr>
      <w:r w:rsidRPr="00DB5D0D">
        <w:rPr>
          <w:rFonts w:ascii="Times New Roman" w:hAnsi="Times New Roman"/>
          <w:i/>
          <w:iCs/>
          <w:color w:val="000000" w:themeColor="text1"/>
          <w:sz w:val="16"/>
          <w:szCs w:val="16"/>
        </w:rPr>
        <w:t>Внешняя</w:t>
      </w:r>
      <w:r w:rsidRPr="00DB5D0D">
        <w:rPr>
          <w:rFonts w:ascii="Times New Roman" w:hAnsi="Times New Roman"/>
          <w:i/>
          <w:iCs/>
          <w:color w:val="000000" w:themeColor="text1"/>
          <w:sz w:val="16"/>
          <w:szCs w:val="16"/>
          <w:lang w:val="en-US"/>
        </w:rPr>
        <w:t xml:space="preserve"> </w:t>
      </w:r>
      <w:r w:rsidRPr="00DB5D0D">
        <w:rPr>
          <w:rFonts w:ascii="Times New Roman" w:hAnsi="Times New Roman"/>
          <w:i/>
          <w:iCs/>
          <w:color w:val="000000" w:themeColor="text1"/>
          <w:sz w:val="16"/>
          <w:szCs w:val="16"/>
        </w:rPr>
        <w:t>политика</w:t>
      </w:r>
      <w:r w:rsidRPr="00DB5D0D">
        <w:rPr>
          <w:rFonts w:ascii="Times New Roman" w:hAnsi="Times New Roman"/>
          <w:i/>
          <w:iCs/>
          <w:color w:val="000000" w:themeColor="text1"/>
          <w:sz w:val="16"/>
          <w:szCs w:val="16"/>
          <w:lang w:val="en-US"/>
        </w:rPr>
        <w:t>:</w:t>
      </w:r>
    </w:p>
    <w:p w14:paraId="5B91F308" w14:textId="77777777" w:rsidR="003C7E8B" w:rsidRPr="00DB5D0D" w:rsidRDefault="003C7E8B" w:rsidP="00DB5D0D">
      <w:pPr>
        <w:spacing w:after="0" w:line="240" w:lineRule="auto"/>
        <w:jc w:val="both"/>
        <w:rPr>
          <w:rFonts w:ascii="Times New Roman" w:hAnsi="Times New Roman"/>
          <w:iCs/>
          <w:color w:val="000000" w:themeColor="text1"/>
          <w:sz w:val="16"/>
          <w:szCs w:val="16"/>
          <w:lang w:val="en-US"/>
        </w:rPr>
      </w:pPr>
    </w:p>
    <w:p w14:paraId="09257099"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August 4, 1940: Italian forces begin their occupation of British Somalia (3819).</w:t>
      </w:r>
    </w:p>
    <w:p w14:paraId="7C5D4644"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215D90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августа 1940 Италия захватила Кению, Судан и Британское Сомали (3481).</w:t>
      </w:r>
    </w:p>
    <w:p w14:paraId="1D86B48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3C92B6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794339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B8C01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Врио нач. ГУ ВВС Федоров утвердил Заключение по эскизному проекту самолета ПБШ-1 АМ-38 А.И.М. на 20 л. (2063).</w:t>
      </w:r>
    </w:p>
    <w:p w14:paraId="052CBB3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016B5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года начальник НИИ ВВС генерал-майор авиации Филин и военком НИИ ВВС полковой комиссар Холопцев.</w:t>
      </w:r>
    </w:p>
    <w:p w14:paraId="223EA4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Назначение самолета.</w:t>
      </w:r>
    </w:p>
    <w:p w14:paraId="583126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ПБШ-1 предназначается для действий по наземным целям против живой силы противника, огневых точек и танков непосредственно на линии фронта.</w:t>
      </w:r>
    </w:p>
    <w:p w14:paraId="709A81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Краткое описание самолета.</w:t>
      </w:r>
    </w:p>
    <w:p w14:paraId="726E92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ПБШ-1 одноместный моноплан с низкорасположенным крылом, металлической конструкции с мотором АМ-38.</w:t>
      </w:r>
    </w:p>
    <w:p w14:paraId="1701EC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Броня.</w:t>
      </w:r>
    </w:p>
    <w:p w14:paraId="3FCAAA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имеет мощное бронирование, защищающее летчика, мотор, бензо-масло и водо-системы.</w:t>
      </w:r>
    </w:p>
    <w:p w14:paraId="5D0E58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Броня летчика состоит из заднего броневого щита толщиной 15,5 мм, двух броневых щитов толщиной 7,5 мм и нижнего щитка - 5,5 мм. Фонарь летчика состоит из стального каркаса с бронестеклом толщиною спереди 60 мм и с боков и сверху 40 мм.</w:t>
      </w:r>
    </w:p>
    <w:p w14:paraId="0A6E56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защищен спереди броневым диском толщиною 16,5 мм, снизу и с боков щитами по 7,5 мм и сверху по 4,5 мм. Бензо и маслобаки, водо и масло радиаторы расположены в забронированной части самолета.</w:t>
      </w:r>
    </w:p>
    <w:p w14:paraId="45EBB8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w:t>
      </w:r>
    </w:p>
    <w:p w14:paraId="7F0B8E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двухлонжеронное, трапециевидной формы, состоит из центроплана и двух отъемных консолей. Лонжероны стальные, нервюры дюралевые штампованные, обшивка дюралевая.</w:t>
      </w:r>
    </w:p>
    <w:p w14:paraId="796623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фюзеляжа до элеронов крыло снабжено закрылками типа Шренка дюралевой конструкции. Каркас элеронов дюралевый, обшивка полотняная.</w:t>
      </w:r>
    </w:p>
    <w:p w14:paraId="5E73B5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Оперение.</w:t>
      </w:r>
    </w:p>
    <w:p w14:paraId="17F8BA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Стабилизатор и киль цельнометаллические - дюралевые.</w:t>
      </w:r>
    </w:p>
    <w:p w14:paraId="3C2A23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Рули - каркас дюралевый, обшивка полотняная. На рулях имеются триммера.</w:t>
      </w:r>
    </w:p>
    <w:p w14:paraId="378E6F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w:t>
      </w:r>
    </w:p>
    <w:p w14:paraId="6E6A98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Фюзеляж состоит из бронеотсека и мостовой части. Хвостовая часть - сварная из хромансилевых труб. Обтекание образуется вторичным дюралевым каркасом с полотняной обшивкой.</w:t>
      </w:r>
    </w:p>
    <w:p w14:paraId="0A6ECF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и управление.</w:t>
      </w:r>
    </w:p>
    <w:p w14:paraId="580B03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одностоечное, полностью убирающееся пол. Амортизация олеопневматическая. Колеса 700х300 мм. Уборка и выпуск шасси и управление закрылками - пневматические. Управление элеронами и рулем высоты жесткое из дюралевых труб. Управление рулем направления - тросовое.</w:t>
      </w:r>
    </w:p>
    <w:p w14:paraId="399A47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Панели и сидение летчика регулируются по росту летчика.</w:t>
      </w:r>
    </w:p>
    <w:p w14:paraId="6EC7A9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Винтомоторная группа.</w:t>
      </w:r>
    </w:p>
    <w:p w14:paraId="7CB779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АМ-38 жидкостного охлаждения под давлением.</w:t>
      </w:r>
    </w:p>
    <w:p w14:paraId="25B9D4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мощность у земли 1625 л.с. при 215.... оборотах в минуту.</w:t>
      </w:r>
    </w:p>
    <w:p w14:paraId="6516B8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металлический, автомат, диаметром 3 м.</w:t>
      </w:r>
    </w:p>
    <w:p w14:paraId="33B2F5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Водорадиатор расположен за сидением летчика. Входные и выходные воздушные каналы сделаны из брони.</w:t>
      </w:r>
    </w:p>
    <w:p w14:paraId="737F43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Маслобак расположен над редуктором мотора под броней. Бензобаков - два. Баки проектированные. Главный бак емкостью 650 литров, расположен в броне-отсеке под сидением летчика; второй бак емкостью 110 литров размещен между мотором и приборной доской летчика.</w:t>
      </w:r>
    </w:p>
    <w:p w14:paraId="743EF0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Запуск мотора производится сжатым воздухом.</w:t>
      </w:r>
    </w:p>
    <w:p w14:paraId="2D93A7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p w14:paraId="14A035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самолета состоит из 2-х пушек МП-3 калибра 33 мм с запасом снарядов по 96 на каждую пушку и шести пулеметов ШКАС калибра 7,62 мм с запасом патрон по 750 шт. на каждый пулемет.</w:t>
      </w:r>
    </w:p>
    <w:p w14:paraId="6125F0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стрелковое вооружение расположено в отъемных консолях крыла вне плоскости, ометаемой винтом. Управление огнем и перезарядка пушек и пулеметов - пневматическая. Бомбардировочное вооружение состоит из двух бомбовых отсеков, расположенных в центроплане между лонжеронами крыла. Каждый отсек состоит из отделений и секций. В бомбовом отсеке могут быть размещены следующие варианты бомб для сбрасывания с горизонтального полета:</w:t>
      </w:r>
    </w:p>
    <w:tbl>
      <w:tblPr>
        <w:tblW w:w="0" w:type="auto"/>
        <w:tblLayout w:type="fixed"/>
        <w:tblLook w:val="0000" w:firstRow="0" w:lastRow="0" w:firstColumn="0" w:lastColumn="0" w:noHBand="0" w:noVBand="0"/>
      </w:tblPr>
      <w:tblGrid>
        <w:gridCol w:w="3833"/>
        <w:gridCol w:w="3833"/>
        <w:gridCol w:w="3833"/>
      </w:tblGrid>
      <w:tr w:rsidR="007D5DF8" w:rsidRPr="00DB5D0D" w14:paraId="1AEEC4B0" w14:textId="77777777" w:rsidTr="00E543D0">
        <w:tc>
          <w:tcPr>
            <w:tcW w:w="3833" w:type="dxa"/>
            <w:tcBorders>
              <w:top w:val="single" w:sz="12" w:space="0" w:color="auto"/>
              <w:left w:val="single" w:sz="12" w:space="0" w:color="auto"/>
              <w:bottom w:val="single" w:sz="6" w:space="0" w:color="auto"/>
              <w:right w:val="single" w:sz="6" w:space="0" w:color="auto"/>
            </w:tcBorders>
          </w:tcPr>
          <w:p w14:paraId="079195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АО-10</w:t>
            </w:r>
          </w:p>
        </w:tc>
        <w:tc>
          <w:tcPr>
            <w:tcW w:w="3833" w:type="dxa"/>
            <w:tcBorders>
              <w:top w:val="single" w:sz="12" w:space="0" w:color="auto"/>
              <w:left w:val="single" w:sz="6" w:space="0" w:color="auto"/>
              <w:bottom w:val="single" w:sz="6" w:space="0" w:color="auto"/>
              <w:right w:val="single" w:sz="6" w:space="0" w:color="auto"/>
            </w:tcBorders>
          </w:tcPr>
          <w:p w14:paraId="7724C9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шт.</w:t>
            </w:r>
          </w:p>
        </w:tc>
        <w:tc>
          <w:tcPr>
            <w:tcW w:w="3833" w:type="dxa"/>
            <w:tcBorders>
              <w:top w:val="single" w:sz="12" w:space="0" w:color="auto"/>
              <w:left w:val="single" w:sz="6" w:space="0" w:color="auto"/>
              <w:bottom w:val="single" w:sz="6" w:space="0" w:color="auto"/>
              <w:right w:val="single" w:sz="12" w:space="0" w:color="auto"/>
            </w:tcBorders>
          </w:tcPr>
          <w:p w14:paraId="5957DE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 кг</w:t>
            </w:r>
          </w:p>
        </w:tc>
      </w:tr>
      <w:tr w:rsidR="007D5DF8" w:rsidRPr="00DB5D0D" w14:paraId="07B1D2AF" w14:textId="77777777" w:rsidTr="00E543D0">
        <w:tc>
          <w:tcPr>
            <w:tcW w:w="3833" w:type="dxa"/>
            <w:tcBorders>
              <w:top w:val="single" w:sz="6" w:space="0" w:color="auto"/>
              <w:left w:val="single" w:sz="12" w:space="0" w:color="auto"/>
              <w:bottom w:val="single" w:sz="6" w:space="0" w:color="auto"/>
              <w:right w:val="single" w:sz="6" w:space="0" w:color="auto"/>
            </w:tcBorders>
          </w:tcPr>
          <w:p w14:paraId="54FC42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АО-8</w:t>
            </w:r>
          </w:p>
        </w:tc>
        <w:tc>
          <w:tcPr>
            <w:tcW w:w="3833" w:type="dxa"/>
            <w:tcBorders>
              <w:top w:val="single" w:sz="6" w:space="0" w:color="auto"/>
              <w:left w:val="single" w:sz="6" w:space="0" w:color="auto"/>
              <w:bottom w:val="single" w:sz="6" w:space="0" w:color="auto"/>
              <w:right w:val="single" w:sz="6" w:space="0" w:color="auto"/>
            </w:tcBorders>
          </w:tcPr>
          <w:p w14:paraId="6C8628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шт.</w:t>
            </w:r>
          </w:p>
        </w:tc>
        <w:tc>
          <w:tcPr>
            <w:tcW w:w="3833" w:type="dxa"/>
            <w:tcBorders>
              <w:top w:val="single" w:sz="6" w:space="0" w:color="auto"/>
              <w:left w:val="single" w:sz="6" w:space="0" w:color="auto"/>
              <w:bottom w:val="single" w:sz="6" w:space="0" w:color="auto"/>
              <w:right w:val="single" w:sz="12" w:space="0" w:color="auto"/>
            </w:tcBorders>
          </w:tcPr>
          <w:p w14:paraId="71BD56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 кг</w:t>
            </w:r>
          </w:p>
        </w:tc>
      </w:tr>
      <w:tr w:rsidR="007D5DF8" w:rsidRPr="00DB5D0D" w14:paraId="23BE739D" w14:textId="77777777" w:rsidTr="00E543D0">
        <w:tc>
          <w:tcPr>
            <w:tcW w:w="3833" w:type="dxa"/>
            <w:tcBorders>
              <w:top w:val="single" w:sz="6" w:space="0" w:color="auto"/>
              <w:left w:val="single" w:sz="12" w:space="0" w:color="auto"/>
              <w:bottom w:val="single" w:sz="6" w:space="0" w:color="auto"/>
              <w:right w:val="single" w:sz="6" w:space="0" w:color="auto"/>
            </w:tcBorders>
          </w:tcPr>
          <w:p w14:paraId="4BEC35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АО-2,5</w:t>
            </w:r>
          </w:p>
        </w:tc>
        <w:tc>
          <w:tcPr>
            <w:tcW w:w="3833" w:type="dxa"/>
            <w:tcBorders>
              <w:top w:val="single" w:sz="6" w:space="0" w:color="auto"/>
              <w:left w:val="single" w:sz="6" w:space="0" w:color="auto"/>
              <w:bottom w:val="single" w:sz="6" w:space="0" w:color="auto"/>
              <w:right w:val="single" w:sz="6" w:space="0" w:color="auto"/>
            </w:tcBorders>
          </w:tcPr>
          <w:p w14:paraId="3FDAC1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 шт.</w:t>
            </w:r>
          </w:p>
        </w:tc>
        <w:tc>
          <w:tcPr>
            <w:tcW w:w="3833" w:type="dxa"/>
            <w:tcBorders>
              <w:top w:val="single" w:sz="6" w:space="0" w:color="auto"/>
              <w:left w:val="single" w:sz="6" w:space="0" w:color="auto"/>
              <w:bottom w:val="single" w:sz="6" w:space="0" w:color="auto"/>
              <w:right w:val="single" w:sz="12" w:space="0" w:color="auto"/>
            </w:tcBorders>
          </w:tcPr>
          <w:p w14:paraId="463CC0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 кг</w:t>
            </w:r>
          </w:p>
        </w:tc>
      </w:tr>
      <w:tr w:rsidR="007D5DF8" w:rsidRPr="00DB5D0D" w14:paraId="63D2E5B3" w14:textId="77777777" w:rsidTr="00E543D0">
        <w:tc>
          <w:tcPr>
            <w:tcW w:w="3833" w:type="dxa"/>
            <w:tcBorders>
              <w:top w:val="single" w:sz="6" w:space="0" w:color="auto"/>
              <w:left w:val="single" w:sz="12" w:space="0" w:color="auto"/>
              <w:bottom w:val="single" w:sz="6" w:space="0" w:color="auto"/>
              <w:right w:val="single" w:sz="6" w:space="0" w:color="auto"/>
            </w:tcBorders>
          </w:tcPr>
          <w:p w14:paraId="5C6605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ЗАБ-1</w:t>
            </w:r>
          </w:p>
        </w:tc>
        <w:tc>
          <w:tcPr>
            <w:tcW w:w="3833" w:type="dxa"/>
            <w:tcBorders>
              <w:top w:val="single" w:sz="6" w:space="0" w:color="auto"/>
              <w:left w:val="single" w:sz="6" w:space="0" w:color="auto"/>
              <w:bottom w:val="single" w:sz="6" w:space="0" w:color="auto"/>
              <w:right w:val="single" w:sz="6" w:space="0" w:color="auto"/>
            </w:tcBorders>
          </w:tcPr>
          <w:p w14:paraId="50EA49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 шт.</w:t>
            </w:r>
          </w:p>
        </w:tc>
        <w:tc>
          <w:tcPr>
            <w:tcW w:w="3833" w:type="dxa"/>
            <w:tcBorders>
              <w:top w:val="single" w:sz="6" w:space="0" w:color="auto"/>
              <w:left w:val="single" w:sz="6" w:space="0" w:color="auto"/>
              <w:bottom w:val="single" w:sz="6" w:space="0" w:color="auto"/>
              <w:right w:val="single" w:sz="12" w:space="0" w:color="auto"/>
            </w:tcBorders>
          </w:tcPr>
          <w:p w14:paraId="4713F6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 кг</w:t>
            </w:r>
          </w:p>
        </w:tc>
      </w:tr>
      <w:tr w:rsidR="007D5DF8" w:rsidRPr="00DB5D0D" w14:paraId="6474DA27" w14:textId="77777777" w:rsidTr="00E543D0">
        <w:tc>
          <w:tcPr>
            <w:tcW w:w="3833" w:type="dxa"/>
            <w:tcBorders>
              <w:top w:val="single" w:sz="6" w:space="0" w:color="auto"/>
              <w:left w:val="single" w:sz="12" w:space="0" w:color="auto"/>
              <w:bottom w:val="single" w:sz="12" w:space="0" w:color="auto"/>
              <w:right w:val="single" w:sz="6" w:space="0" w:color="auto"/>
            </w:tcBorders>
          </w:tcPr>
          <w:p w14:paraId="2CC2FE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Ампул-1 </w:t>
            </w:r>
          </w:p>
        </w:tc>
        <w:tc>
          <w:tcPr>
            <w:tcW w:w="3833" w:type="dxa"/>
            <w:tcBorders>
              <w:top w:val="single" w:sz="6" w:space="0" w:color="auto"/>
              <w:left w:val="single" w:sz="6" w:space="0" w:color="auto"/>
              <w:bottom w:val="single" w:sz="12" w:space="0" w:color="auto"/>
              <w:right w:val="single" w:sz="6" w:space="0" w:color="auto"/>
            </w:tcBorders>
          </w:tcPr>
          <w:p w14:paraId="4FB726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 шт.</w:t>
            </w:r>
          </w:p>
        </w:tc>
        <w:tc>
          <w:tcPr>
            <w:tcW w:w="3833" w:type="dxa"/>
            <w:tcBorders>
              <w:top w:val="single" w:sz="6" w:space="0" w:color="auto"/>
              <w:left w:val="single" w:sz="6" w:space="0" w:color="auto"/>
              <w:bottom w:val="single" w:sz="12" w:space="0" w:color="auto"/>
              <w:right w:val="single" w:sz="12" w:space="0" w:color="auto"/>
            </w:tcBorders>
          </w:tcPr>
          <w:p w14:paraId="4049A6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157 кг</w:t>
            </w:r>
          </w:p>
        </w:tc>
      </w:tr>
    </w:tbl>
    <w:p w14:paraId="71E1ED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в каждой консоли имеется по одной... вне плоскости ометаемой винтом или бомбометания с пикирования. На этих балках могут быть подвешены бомбы следующих калибров: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3833"/>
      </w:tblGrid>
      <w:tr w:rsidR="007D5DF8" w:rsidRPr="00DB5D0D" w14:paraId="403167DE" w14:textId="77777777" w:rsidTr="00E543D0">
        <w:tc>
          <w:tcPr>
            <w:tcW w:w="3833" w:type="dxa"/>
            <w:tcBorders>
              <w:top w:val="single" w:sz="12" w:space="0" w:color="auto"/>
            </w:tcBorders>
          </w:tcPr>
          <w:p w14:paraId="035962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ФАБ-100</w:t>
            </w:r>
          </w:p>
        </w:tc>
        <w:tc>
          <w:tcPr>
            <w:tcW w:w="3833" w:type="dxa"/>
            <w:tcBorders>
              <w:top w:val="single" w:sz="12" w:space="0" w:color="auto"/>
            </w:tcBorders>
          </w:tcPr>
          <w:p w14:paraId="171F57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шт.</w:t>
            </w:r>
          </w:p>
        </w:tc>
        <w:tc>
          <w:tcPr>
            <w:tcW w:w="3833" w:type="dxa"/>
            <w:tcBorders>
              <w:top w:val="single" w:sz="12" w:space="0" w:color="auto"/>
            </w:tcBorders>
          </w:tcPr>
          <w:p w14:paraId="285AD8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 кг</w:t>
            </w:r>
          </w:p>
        </w:tc>
      </w:tr>
      <w:tr w:rsidR="007D5DF8" w:rsidRPr="00DB5D0D" w14:paraId="6B57A8EB" w14:textId="77777777" w:rsidTr="00E543D0">
        <w:tc>
          <w:tcPr>
            <w:tcW w:w="3833" w:type="dxa"/>
          </w:tcPr>
          <w:p w14:paraId="426A8B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ФАБ-50</w:t>
            </w:r>
          </w:p>
        </w:tc>
        <w:tc>
          <w:tcPr>
            <w:tcW w:w="3833" w:type="dxa"/>
          </w:tcPr>
          <w:p w14:paraId="0C7CAE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шт.</w:t>
            </w:r>
          </w:p>
        </w:tc>
        <w:tc>
          <w:tcPr>
            <w:tcW w:w="3833" w:type="dxa"/>
          </w:tcPr>
          <w:p w14:paraId="2638C7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 кг</w:t>
            </w:r>
          </w:p>
        </w:tc>
      </w:tr>
      <w:tr w:rsidR="007D5DF8" w:rsidRPr="00DB5D0D" w14:paraId="71619E94" w14:textId="77777777" w:rsidTr="00E543D0">
        <w:tc>
          <w:tcPr>
            <w:tcW w:w="3833" w:type="dxa"/>
            <w:tcBorders>
              <w:bottom w:val="single" w:sz="12" w:space="0" w:color="auto"/>
            </w:tcBorders>
          </w:tcPr>
          <w:p w14:paraId="1CF83E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АО-25</w:t>
            </w:r>
          </w:p>
        </w:tc>
        <w:tc>
          <w:tcPr>
            <w:tcW w:w="3833" w:type="dxa"/>
            <w:tcBorders>
              <w:bottom w:val="single" w:sz="12" w:space="0" w:color="auto"/>
            </w:tcBorders>
          </w:tcPr>
          <w:p w14:paraId="7A809E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шт.</w:t>
            </w:r>
          </w:p>
        </w:tc>
        <w:tc>
          <w:tcPr>
            <w:tcW w:w="3833" w:type="dxa"/>
            <w:tcBorders>
              <w:bottom w:val="single" w:sz="12" w:space="0" w:color="auto"/>
            </w:tcBorders>
          </w:tcPr>
          <w:p w14:paraId="333AC9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кг</w:t>
            </w:r>
          </w:p>
        </w:tc>
      </w:tr>
    </w:tbl>
    <w:p w14:paraId="490D7B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Эти же балки могут быть использованы для подвески двух дополнительных бензобаков емкостью по 150 литров каждый. Оборудование.</w:t>
      </w:r>
    </w:p>
    <w:p w14:paraId="2557AC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Перечня спецоборудования в проекте не имеется.</w:t>
      </w:r>
    </w:p>
    <w:p w14:paraId="2F7ECB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Летно-тактические данные самолета.</w:t>
      </w:r>
    </w:p>
    <w:tbl>
      <w:tblPr>
        <w:tblW w:w="0" w:type="auto"/>
        <w:tblLayout w:type="fixed"/>
        <w:tblLook w:val="0000" w:firstRow="0" w:lastRow="0" w:firstColumn="0" w:lastColumn="0" w:noHBand="0" w:noVBand="0"/>
      </w:tblPr>
      <w:tblGrid>
        <w:gridCol w:w="2874"/>
        <w:gridCol w:w="2874"/>
        <w:gridCol w:w="2874"/>
      </w:tblGrid>
      <w:tr w:rsidR="007D5DF8" w:rsidRPr="00DB5D0D" w14:paraId="11FF8FB3" w14:textId="77777777" w:rsidTr="00E543D0">
        <w:tc>
          <w:tcPr>
            <w:tcW w:w="2874" w:type="dxa"/>
            <w:tcBorders>
              <w:top w:val="single" w:sz="12" w:space="0" w:color="auto"/>
              <w:left w:val="single" w:sz="12" w:space="0" w:color="auto"/>
              <w:bottom w:val="single" w:sz="6" w:space="0" w:color="auto"/>
              <w:right w:val="single" w:sz="6" w:space="0" w:color="auto"/>
            </w:tcBorders>
          </w:tcPr>
          <w:p w14:paraId="2E4F222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Borders>
              <w:top w:val="single" w:sz="12" w:space="0" w:color="auto"/>
              <w:left w:val="single" w:sz="6" w:space="0" w:color="auto"/>
              <w:bottom w:val="single" w:sz="6" w:space="0" w:color="auto"/>
              <w:right w:val="single" w:sz="6" w:space="0" w:color="auto"/>
            </w:tcBorders>
          </w:tcPr>
          <w:p w14:paraId="2CDD77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проекту</w:t>
            </w:r>
          </w:p>
        </w:tc>
        <w:tc>
          <w:tcPr>
            <w:tcW w:w="2874" w:type="dxa"/>
            <w:tcBorders>
              <w:top w:val="single" w:sz="12" w:space="0" w:color="auto"/>
              <w:left w:val="single" w:sz="6" w:space="0" w:color="auto"/>
              <w:bottom w:val="single" w:sz="6" w:space="0" w:color="auto"/>
              <w:right w:val="single" w:sz="12" w:space="0" w:color="auto"/>
            </w:tcBorders>
          </w:tcPr>
          <w:p w14:paraId="472FDB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Т.Т.Т.</w:t>
            </w:r>
          </w:p>
        </w:tc>
      </w:tr>
      <w:tr w:rsidR="007D5DF8" w:rsidRPr="00DB5D0D" w14:paraId="7A3E6188" w14:textId="77777777" w:rsidTr="00E543D0">
        <w:tc>
          <w:tcPr>
            <w:tcW w:w="2874" w:type="dxa"/>
            <w:tcBorders>
              <w:top w:val="single" w:sz="6" w:space="0" w:color="auto"/>
              <w:left w:val="single" w:sz="12" w:space="0" w:color="auto"/>
              <w:bottom w:val="single" w:sz="6" w:space="0" w:color="auto"/>
              <w:right w:val="single" w:sz="6" w:space="0" w:color="auto"/>
            </w:tcBorders>
          </w:tcPr>
          <w:p w14:paraId="143884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Borders>
              <w:top w:val="single" w:sz="6" w:space="0" w:color="auto"/>
              <w:left w:val="single" w:sz="6" w:space="0" w:color="auto"/>
              <w:bottom w:val="single" w:sz="6" w:space="0" w:color="auto"/>
              <w:right w:val="single" w:sz="6" w:space="0" w:color="auto"/>
            </w:tcBorders>
          </w:tcPr>
          <w:p w14:paraId="5749482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Borders>
              <w:top w:val="single" w:sz="6" w:space="0" w:color="auto"/>
              <w:left w:val="single" w:sz="6" w:space="0" w:color="auto"/>
              <w:bottom w:val="single" w:sz="6" w:space="0" w:color="auto"/>
              <w:right w:val="single" w:sz="12" w:space="0" w:color="auto"/>
            </w:tcBorders>
          </w:tcPr>
          <w:p w14:paraId="31613B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1941 г.</w:t>
            </w:r>
          </w:p>
        </w:tc>
      </w:tr>
      <w:tr w:rsidR="007D5DF8" w:rsidRPr="00DB5D0D" w14:paraId="4306B058" w14:textId="77777777" w:rsidTr="00E543D0">
        <w:tc>
          <w:tcPr>
            <w:tcW w:w="2874" w:type="dxa"/>
            <w:tcBorders>
              <w:top w:val="single" w:sz="6" w:space="0" w:color="auto"/>
              <w:left w:val="single" w:sz="12" w:space="0" w:color="auto"/>
              <w:bottom w:val="single" w:sz="6" w:space="0" w:color="auto"/>
              <w:right w:val="single" w:sz="6" w:space="0" w:color="auto"/>
            </w:tcBorders>
          </w:tcPr>
          <w:p w14:paraId="463099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Нормальный полетный вес</w:t>
            </w:r>
          </w:p>
        </w:tc>
        <w:tc>
          <w:tcPr>
            <w:tcW w:w="2874" w:type="dxa"/>
            <w:tcBorders>
              <w:top w:val="single" w:sz="6" w:space="0" w:color="auto"/>
              <w:left w:val="single" w:sz="6" w:space="0" w:color="auto"/>
              <w:bottom w:val="single" w:sz="6" w:space="0" w:color="auto"/>
              <w:right w:val="single" w:sz="6" w:space="0" w:color="auto"/>
            </w:tcBorders>
          </w:tcPr>
          <w:p w14:paraId="51786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4850 кг</w:t>
            </w:r>
          </w:p>
        </w:tc>
        <w:tc>
          <w:tcPr>
            <w:tcW w:w="2874" w:type="dxa"/>
            <w:tcBorders>
              <w:top w:val="single" w:sz="6" w:space="0" w:color="auto"/>
              <w:left w:val="single" w:sz="6" w:space="0" w:color="auto"/>
              <w:bottom w:val="single" w:sz="6" w:space="0" w:color="auto"/>
              <w:right w:val="single" w:sz="12" w:space="0" w:color="auto"/>
            </w:tcBorders>
          </w:tcPr>
          <w:p w14:paraId="12402C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BADAB9C" w14:textId="77777777" w:rsidTr="00E543D0">
        <w:tc>
          <w:tcPr>
            <w:tcW w:w="2874" w:type="dxa"/>
            <w:tcBorders>
              <w:top w:val="single" w:sz="6" w:space="0" w:color="auto"/>
              <w:left w:val="single" w:sz="12" w:space="0" w:color="auto"/>
              <w:bottom w:val="single" w:sz="6" w:space="0" w:color="auto"/>
              <w:right w:val="single" w:sz="6" w:space="0" w:color="auto"/>
            </w:tcBorders>
          </w:tcPr>
          <w:p w14:paraId="72A7FC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Вес нормальной нагрузки</w:t>
            </w:r>
          </w:p>
        </w:tc>
        <w:tc>
          <w:tcPr>
            <w:tcW w:w="2874" w:type="dxa"/>
            <w:tcBorders>
              <w:top w:val="single" w:sz="6" w:space="0" w:color="auto"/>
              <w:left w:val="single" w:sz="6" w:space="0" w:color="auto"/>
              <w:bottom w:val="single" w:sz="6" w:space="0" w:color="auto"/>
              <w:right w:val="single" w:sz="6" w:space="0" w:color="auto"/>
            </w:tcBorders>
          </w:tcPr>
          <w:p w14:paraId="318BE7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1042 кг</w:t>
            </w:r>
          </w:p>
        </w:tc>
        <w:tc>
          <w:tcPr>
            <w:tcW w:w="2874" w:type="dxa"/>
            <w:tcBorders>
              <w:top w:val="single" w:sz="6" w:space="0" w:color="auto"/>
              <w:left w:val="single" w:sz="6" w:space="0" w:color="auto"/>
              <w:bottom w:val="single" w:sz="6" w:space="0" w:color="auto"/>
              <w:right w:val="single" w:sz="12" w:space="0" w:color="auto"/>
            </w:tcBorders>
          </w:tcPr>
          <w:p w14:paraId="5F36FD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1D9739A" w14:textId="77777777" w:rsidTr="00E543D0">
        <w:tc>
          <w:tcPr>
            <w:tcW w:w="2874" w:type="dxa"/>
            <w:tcBorders>
              <w:top w:val="single" w:sz="6" w:space="0" w:color="auto"/>
              <w:left w:val="single" w:sz="12" w:space="0" w:color="auto"/>
              <w:bottom w:val="single" w:sz="6" w:space="0" w:color="auto"/>
              <w:right w:val="single" w:sz="6" w:space="0" w:color="auto"/>
            </w:tcBorders>
          </w:tcPr>
          <w:p w14:paraId="309D65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Максимальной скорости</w:t>
            </w:r>
          </w:p>
        </w:tc>
        <w:tc>
          <w:tcPr>
            <w:tcW w:w="2874" w:type="dxa"/>
            <w:tcBorders>
              <w:top w:val="single" w:sz="6" w:space="0" w:color="auto"/>
              <w:left w:val="single" w:sz="6" w:space="0" w:color="auto"/>
              <w:bottom w:val="single" w:sz="6" w:space="0" w:color="auto"/>
              <w:right w:val="single" w:sz="6" w:space="0" w:color="auto"/>
            </w:tcBorders>
          </w:tcPr>
          <w:p w14:paraId="214BB3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Borders>
              <w:top w:val="single" w:sz="6" w:space="0" w:color="auto"/>
              <w:left w:val="single" w:sz="6" w:space="0" w:color="auto"/>
              <w:bottom w:val="single" w:sz="6" w:space="0" w:color="auto"/>
              <w:right w:val="single" w:sz="12" w:space="0" w:color="auto"/>
            </w:tcBorders>
          </w:tcPr>
          <w:p w14:paraId="7034BA3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BC9C598" w14:textId="77777777" w:rsidTr="00E543D0">
        <w:tc>
          <w:tcPr>
            <w:tcW w:w="2874" w:type="dxa"/>
            <w:tcBorders>
              <w:top w:val="single" w:sz="6" w:space="0" w:color="auto"/>
              <w:left w:val="single" w:sz="12" w:space="0" w:color="auto"/>
              <w:bottom w:val="single" w:sz="6" w:space="0" w:color="auto"/>
              <w:right w:val="single" w:sz="6" w:space="0" w:color="auto"/>
            </w:tcBorders>
          </w:tcPr>
          <w:p w14:paraId="7E34B2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земли</w:t>
            </w:r>
          </w:p>
        </w:tc>
        <w:tc>
          <w:tcPr>
            <w:tcW w:w="2874" w:type="dxa"/>
            <w:tcBorders>
              <w:top w:val="single" w:sz="6" w:space="0" w:color="auto"/>
              <w:left w:val="single" w:sz="6" w:space="0" w:color="auto"/>
              <w:bottom w:val="single" w:sz="6" w:space="0" w:color="auto"/>
              <w:right w:val="single" w:sz="6" w:space="0" w:color="auto"/>
            </w:tcBorders>
          </w:tcPr>
          <w:p w14:paraId="46B7D8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449 км/час</w:t>
            </w:r>
          </w:p>
        </w:tc>
        <w:tc>
          <w:tcPr>
            <w:tcW w:w="2874" w:type="dxa"/>
            <w:tcBorders>
              <w:top w:val="single" w:sz="6" w:space="0" w:color="auto"/>
              <w:left w:val="single" w:sz="6" w:space="0" w:color="auto"/>
              <w:bottom w:val="single" w:sz="6" w:space="0" w:color="auto"/>
              <w:right w:val="single" w:sz="12" w:space="0" w:color="auto"/>
            </w:tcBorders>
          </w:tcPr>
          <w:p w14:paraId="15F24E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510 км/час</w:t>
            </w:r>
          </w:p>
        </w:tc>
      </w:tr>
      <w:tr w:rsidR="007D5DF8" w:rsidRPr="00DB5D0D" w14:paraId="68A2A4EF" w14:textId="77777777" w:rsidTr="00E543D0">
        <w:tc>
          <w:tcPr>
            <w:tcW w:w="2874" w:type="dxa"/>
            <w:tcBorders>
              <w:top w:val="single" w:sz="6" w:space="0" w:color="auto"/>
              <w:left w:val="single" w:sz="12" w:space="0" w:color="auto"/>
              <w:bottom w:val="single" w:sz="6" w:space="0" w:color="auto"/>
              <w:right w:val="single" w:sz="6" w:space="0" w:color="auto"/>
            </w:tcBorders>
          </w:tcPr>
          <w:p w14:paraId="56AE0B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 3000 м</w:t>
            </w:r>
          </w:p>
        </w:tc>
        <w:tc>
          <w:tcPr>
            <w:tcW w:w="2874" w:type="dxa"/>
            <w:tcBorders>
              <w:top w:val="single" w:sz="6" w:space="0" w:color="auto"/>
              <w:left w:val="single" w:sz="6" w:space="0" w:color="auto"/>
              <w:bottom w:val="single" w:sz="6" w:space="0" w:color="auto"/>
              <w:right w:val="single" w:sz="6" w:space="0" w:color="auto"/>
            </w:tcBorders>
          </w:tcPr>
          <w:p w14:paraId="6DF23E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462 км/час</w:t>
            </w:r>
          </w:p>
        </w:tc>
        <w:tc>
          <w:tcPr>
            <w:tcW w:w="2874" w:type="dxa"/>
            <w:tcBorders>
              <w:top w:val="single" w:sz="6" w:space="0" w:color="auto"/>
              <w:left w:val="single" w:sz="6" w:space="0" w:color="auto"/>
              <w:bottom w:val="single" w:sz="6" w:space="0" w:color="auto"/>
              <w:right w:val="single" w:sz="12" w:space="0" w:color="auto"/>
            </w:tcBorders>
          </w:tcPr>
          <w:p w14:paraId="0145AA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32B241C" w14:textId="77777777" w:rsidTr="00E543D0">
        <w:tc>
          <w:tcPr>
            <w:tcW w:w="2874" w:type="dxa"/>
            <w:tcBorders>
              <w:top w:val="single" w:sz="6" w:space="0" w:color="auto"/>
              <w:left w:val="single" w:sz="12" w:space="0" w:color="auto"/>
              <w:bottom w:val="single" w:sz="6" w:space="0" w:color="auto"/>
              <w:right w:val="single" w:sz="6" w:space="0" w:color="auto"/>
            </w:tcBorders>
          </w:tcPr>
          <w:p w14:paraId="429E4C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-"- 5000 м</w:t>
            </w:r>
          </w:p>
        </w:tc>
        <w:tc>
          <w:tcPr>
            <w:tcW w:w="2874" w:type="dxa"/>
            <w:tcBorders>
              <w:top w:val="single" w:sz="6" w:space="0" w:color="auto"/>
              <w:left w:val="single" w:sz="6" w:space="0" w:color="auto"/>
              <w:bottom w:val="single" w:sz="6" w:space="0" w:color="auto"/>
              <w:right w:val="single" w:sz="6" w:space="0" w:color="auto"/>
            </w:tcBorders>
          </w:tcPr>
          <w:p w14:paraId="4DF064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440 км/час</w:t>
            </w:r>
          </w:p>
        </w:tc>
        <w:tc>
          <w:tcPr>
            <w:tcW w:w="2874" w:type="dxa"/>
            <w:tcBorders>
              <w:top w:val="single" w:sz="6" w:space="0" w:color="auto"/>
              <w:left w:val="single" w:sz="6" w:space="0" w:color="auto"/>
              <w:bottom w:val="single" w:sz="6" w:space="0" w:color="auto"/>
              <w:right w:val="single" w:sz="12" w:space="0" w:color="auto"/>
            </w:tcBorders>
          </w:tcPr>
          <w:p w14:paraId="1A5468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91BEF9B" w14:textId="77777777" w:rsidTr="00E543D0">
        <w:tc>
          <w:tcPr>
            <w:tcW w:w="2874" w:type="dxa"/>
            <w:tcBorders>
              <w:top w:val="single" w:sz="6" w:space="0" w:color="auto"/>
              <w:left w:val="single" w:sz="12" w:space="0" w:color="auto"/>
              <w:bottom w:val="single" w:sz="6" w:space="0" w:color="auto"/>
              <w:right w:val="single" w:sz="6" w:space="0" w:color="auto"/>
            </w:tcBorders>
          </w:tcPr>
          <w:p w14:paraId="19151E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Время подъема до 5000 м</w:t>
            </w:r>
          </w:p>
        </w:tc>
        <w:tc>
          <w:tcPr>
            <w:tcW w:w="2874" w:type="dxa"/>
            <w:tcBorders>
              <w:top w:val="single" w:sz="6" w:space="0" w:color="auto"/>
              <w:left w:val="single" w:sz="6" w:space="0" w:color="auto"/>
              <w:bottom w:val="single" w:sz="6" w:space="0" w:color="auto"/>
              <w:right w:val="single" w:sz="6" w:space="0" w:color="auto"/>
            </w:tcBorders>
          </w:tcPr>
          <w:p w14:paraId="5A4067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 м</w:t>
            </w:r>
          </w:p>
        </w:tc>
        <w:tc>
          <w:tcPr>
            <w:tcW w:w="2874" w:type="dxa"/>
            <w:tcBorders>
              <w:top w:val="single" w:sz="6" w:space="0" w:color="auto"/>
              <w:left w:val="single" w:sz="6" w:space="0" w:color="auto"/>
              <w:bottom w:val="single" w:sz="6" w:space="0" w:color="auto"/>
              <w:right w:val="single" w:sz="12" w:space="0" w:color="auto"/>
            </w:tcBorders>
          </w:tcPr>
          <w:p w14:paraId="73C9A0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 мин.</w:t>
            </w:r>
          </w:p>
        </w:tc>
      </w:tr>
      <w:tr w:rsidR="007D5DF8" w:rsidRPr="00DB5D0D" w14:paraId="0CD33845" w14:textId="77777777" w:rsidTr="00E543D0">
        <w:tc>
          <w:tcPr>
            <w:tcW w:w="2874" w:type="dxa"/>
            <w:tcBorders>
              <w:top w:val="single" w:sz="6" w:space="0" w:color="auto"/>
              <w:left w:val="single" w:sz="12" w:space="0" w:color="auto"/>
              <w:bottom w:val="single" w:sz="6" w:space="0" w:color="auto"/>
              <w:right w:val="single" w:sz="6" w:space="0" w:color="auto"/>
            </w:tcBorders>
          </w:tcPr>
          <w:p w14:paraId="5FC3D2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6000 м</w:t>
            </w:r>
          </w:p>
        </w:tc>
        <w:tc>
          <w:tcPr>
            <w:tcW w:w="2874" w:type="dxa"/>
            <w:tcBorders>
              <w:top w:val="single" w:sz="6" w:space="0" w:color="auto"/>
              <w:left w:val="single" w:sz="6" w:space="0" w:color="auto"/>
              <w:bottom w:val="single" w:sz="6" w:space="0" w:color="auto"/>
              <w:right w:val="single" w:sz="6" w:space="0" w:color="auto"/>
            </w:tcBorders>
          </w:tcPr>
          <w:p w14:paraId="767991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 м</w:t>
            </w:r>
          </w:p>
        </w:tc>
        <w:tc>
          <w:tcPr>
            <w:tcW w:w="2874" w:type="dxa"/>
            <w:tcBorders>
              <w:top w:val="single" w:sz="6" w:space="0" w:color="auto"/>
              <w:left w:val="single" w:sz="6" w:space="0" w:color="auto"/>
              <w:bottom w:val="single" w:sz="6" w:space="0" w:color="auto"/>
              <w:right w:val="single" w:sz="12" w:space="0" w:color="auto"/>
            </w:tcBorders>
          </w:tcPr>
          <w:p w14:paraId="30D595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84FF9D0" w14:textId="77777777" w:rsidTr="00E543D0">
        <w:tc>
          <w:tcPr>
            <w:tcW w:w="2874" w:type="dxa"/>
            <w:tcBorders>
              <w:top w:val="single" w:sz="6" w:space="0" w:color="auto"/>
              <w:left w:val="single" w:sz="12" w:space="0" w:color="auto"/>
              <w:bottom w:val="single" w:sz="6" w:space="0" w:color="auto"/>
              <w:right w:val="single" w:sz="6" w:space="0" w:color="auto"/>
            </w:tcBorders>
          </w:tcPr>
          <w:p w14:paraId="1E225A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Практический потолок</w:t>
            </w:r>
          </w:p>
        </w:tc>
        <w:tc>
          <w:tcPr>
            <w:tcW w:w="2874" w:type="dxa"/>
            <w:tcBorders>
              <w:top w:val="single" w:sz="6" w:space="0" w:color="auto"/>
              <w:left w:val="single" w:sz="6" w:space="0" w:color="auto"/>
              <w:bottom w:val="single" w:sz="6" w:space="0" w:color="auto"/>
              <w:right w:val="single" w:sz="6" w:space="0" w:color="auto"/>
            </w:tcBorders>
          </w:tcPr>
          <w:p w14:paraId="26EC2E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7600 м</w:t>
            </w:r>
          </w:p>
        </w:tc>
        <w:tc>
          <w:tcPr>
            <w:tcW w:w="2874" w:type="dxa"/>
            <w:tcBorders>
              <w:top w:val="single" w:sz="6" w:space="0" w:color="auto"/>
              <w:left w:val="single" w:sz="6" w:space="0" w:color="auto"/>
              <w:bottom w:val="single" w:sz="6" w:space="0" w:color="auto"/>
              <w:right w:val="single" w:sz="12" w:space="0" w:color="auto"/>
            </w:tcBorders>
          </w:tcPr>
          <w:p w14:paraId="4DC1A1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 м</w:t>
            </w:r>
          </w:p>
        </w:tc>
      </w:tr>
      <w:tr w:rsidR="007D5DF8" w:rsidRPr="00DB5D0D" w14:paraId="6BDF2D57" w14:textId="77777777" w:rsidTr="00E543D0">
        <w:tc>
          <w:tcPr>
            <w:tcW w:w="2874" w:type="dxa"/>
            <w:tcBorders>
              <w:top w:val="single" w:sz="6" w:space="0" w:color="auto"/>
              <w:left w:val="single" w:sz="12" w:space="0" w:color="auto"/>
              <w:bottom w:val="single" w:sz="6" w:space="0" w:color="auto"/>
              <w:right w:val="single" w:sz="6" w:space="0" w:color="auto"/>
            </w:tcBorders>
          </w:tcPr>
          <w:p w14:paraId="4F2F4D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Техническая дальность у земли</w:t>
            </w:r>
          </w:p>
        </w:tc>
        <w:tc>
          <w:tcPr>
            <w:tcW w:w="2874" w:type="dxa"/>
            <w:tcBorders>
              <w:top w:val="single" w:sz="6" w:space="0" w:color="auto"/>
              <w:left w:val="single" w:sz="6" w:space="0" w:color="auto"/>
              <w:bottom w:val="single" w:sz="6" w:space="0" w:color="auto"/>
              <w:right w:val="single" w:sz="6" w:space="0" w:color="auto"/>
            </w:tcBorders>
          </w:tcPr>
          <w:p w14:paraId="64B2411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Borders>
              <w:top w:val="single" w:sz="6" w:space="0" w:color="auto"/>
              <w:left w:val="single" w:sz="6" w:space="0" w:color="auto"/>
              <w:bottom w:val="single" w:sz="6" w:space="0" w:color="auto"/>
              <w:right w:val="single" w:sz="12" w:space="0" w:color="auto"/>
            </w:tcBorders>
          </w:tcPr>
          <w:p w14:paraId="257746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4319018" w14:textId="77777777" w:rsidTr="00E543D0">
        <w:tc>
          <w:tcPr>
            <w:tcW w:w="2874" w:type="dxa"/>
            <w:tcBorders>
              <w:top w:val="single" w:sz="6" w:space="0" w:color="auto"/>
              <w:left w:val="single" w:sz="12" w:space="0" w:color="auto"/>
              <w:bottom w:val="single" w:sz="6" w:space="0" w:color="auto"/>
              <w:right w:val="single" w:sz="6" w:space="0" w:color="auto"/>
            </w:tcBorders>
          </w:tcPr>
          <w:p w14:paraId="6BDB62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нормальным запасом горючего</w:t>
            </w:r>
          </w:p>
        </w:tc>
        <w:tc>
          <w:tcPr>
            <w:tcW w:w="2874" w:type="dxa"/>
            <w:tcBorders>
              <w:top w:val="single" w:sz="6" w:space="0" w:color="auto"/>
              <w:left w:val="single" w:sz="6" w:space="0" w:color="auto"/>
              <w:bottom w:val="single" w:sz="6" w:space="0" w:color="auto"/>
              <w:right w:val="single" w:sz="6" w:space="0" w:color="auto"/>
            </w:tcBorders>
          </w:tcPr>
          <w:p w14:paraId="5A5651C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Borders>
              <w:top w:val="single" w:sz="6" w:space="0" w:color="auto"/>
              <w:left w:val="single" w:sz="6" w:space="0" w:color="auto"/>
              <w:bottom w:val="single" w:sz="6" w:space="0" w:color="auto"/>
              <w:right w:val="single" w:sz="12" w:space="0" w:color="auto"/>
            </w:tcBorders>
          </w:tcPr>
          <w:p w14:paraId="3C8C0F3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FE5B1D5" w14:textId="77777777" w:rsidTr="00E543D0">
        <w:tc>
          <w:tcPr>
            <w:tcW w:w="2874" w:type="dxa"/>
            <w:tcBorders>
              <w:top w:val="single" w:sz="6" w:space="0" w:color="auto"/>
              <w:left w:val="single" w:sz="12" w:space="0" w:color="auto"/>
              <w:bottom w:val="single" w:sz="6" w:space="0" w:color="auto"/>
              <w:right w:val="single" w:sz="6" w:space="0" w:color="auto"/>
            </w:tcBorders>
          </w:tcPr>
          <w:p w14:paraId="5C71C9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400 кг на скорости =0,9 от max</w:t>
            </w:r>
          </w:p>
        </w:tc>
        <w:tc>
          <w:tcPr>
            <w:tcW w:w="2874" w:type="dxa"/>
            <w:tcBorders>
              <w:top w:val="single" w:sz="6" w:space="0" w:color="auto"/>
              <w:left w:val="single" w:sz="6" w:space="0" w:color="auto"/>
              <w:bottom w:val="single" w:sz="6" w:space="0" w:color="auto"/>
              <w:right w:val="single" w:sz="6" w:space="0" w:color="auto"/>
            </w:tcBorders>
          </w:tcPr>
          <w:p w14:paraId="1438EE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543 км</w:t>
            </w:r>
          </w:p>
        </w:tc>
        <w:tc>
          <w:tcPr>
            <w:tcW w:w="2874" w:type="dxa"/>
            <w:tcBorders>
              <w:top w:val="single" w:sz="6" w:space="0" w:color="auto"/>
              <w:left w:val="single" w:sz="6" w:space="0" w:color="auto"/>
              <w:bottom w:val="single" w:sz="6" w:space="0" w:color="auto"/>
              <w:right w:val="single" w:sz="12" w:space="0" w:color="auto"/>
            </w:tcBorders>
          </w:tcPr>
          <w:p w14:paraId="672274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 км</w:t>
            </w:r>
          </w:p>
        </w:tc>
      </w:tr>
      <w:tr w:rsidR="007D5DF8" w:rsidRPr="00DB5D0D" w14:paraId="70135B85" w14:textId="77777777" w:rsidTr="00E543D0">
        <w:tc>
          <w:tcPr>
            <w:tcW w:w="2874" w:type="dxa"/>
            <w:tcBorders>
              <w:top w:val="single" w:sz="6" w:space="0" w:color="auto"/>
              <w:left w:val="single" w:sz="12" w:space="0" w:color="auto"/>
              <w:bottom w:val="single" w:sz="6" w:space="0" w:color="auto"/>
              <w:right w:val="single" w:sz="6" w:space="0" w:color="auto"/>
            </w:tcBorders>
          </w:tcPr>
          <w:p w14:paraId="19E408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Тоже с перегрузкой (горючего</w:t>
            </w:r>
          </w:p>
        </w:tc>
        <w:tc>
          <w:tcPr>
            <w:tcW w:w="2874" w:type="dxa"/>
            <w:tcBorders>
              <w:top w:val="single" w:sz="6" w:space="0" w:color="auto"/>
              <w:left w:val="single" w:sz="6" w:space="0" w:color="auto"/>
              <w:bottom w:val="single" w:sz="6" w:space="0" w:color="auto"/>
              <w:right w:val="single" w:sz="6" w:space="0" w:color="auto"/>
            </w:tcBorders>
          </w:tcPr>
          <w:p w14:paraId="5C1A915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Borders>
              <w:top w:val="single" w:sz="6" w:space="0" w:color="auto"/>
              <w:left w:val="single" w:sz="6" w:space="0" w:color="auto"/>
              <w:bottom w:val="single" w:sz="6" w:space="0" w:color="auto"/>
              <w:right w:val="single" w:sz="12" w:space="0" w:color="auto"/>
            </w:tcBorders>
          </w:tcPr>
          <w:p w14:paraId="0246C5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3816CBC" w14:textId="77777777" w:rsidTr="00E543D0">
        <w:tc>
          <w:tcPr>
            <w:tcW w:w="2874" w:type="dxa"/>
            <w:tcBorders>
              <w:top w:val="single" w:sz="6" w:space="0" w:color="auto"/>
              <w:left w:val="single" w:sz="12" w:space="0" w:color="auto"/>
              <w:bottom w:val="single" w:sz="6" w:space="0" w:color="auto"/>
              <w:right w:val="single" w:sz="6" w:space="0" w:color="auto"/>
            </w:tcBorders>
          </w:tcPr>
          <w:p w14:paraId="31AAFA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795 кг)</w:t>
            </w:r>
          </w:p>
        </w:tc>
        <w:tc>
          <w:tcPr>
            <w:tcW w:w="2874" w:type="dxa"/>
            <w:tcBorders>
              <w:top w:val="single" w:sz="6" w:space="0" w:color="auto"/>
              <w:left w:val="single" w:sz="6" w:space="0" w:color="auto"/>
              <w:bottom w:val="single" w:sz="6" w:space="0" w:color="auto"/>
              <w:right w:val="single" w:sz="6" w:space="0" w:color="auto"/>
            </w:tcBorders>
          </w:tcPr>
          <w:p w14:paraId="076B04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1013 км</w:t>
            </w:r>
          </w:p>
        </w:tc>
        <w:tc>
          <w:tcPr>
            <w:tcW w:w="2874" w:type="dxa"/>
            <w:tcBorders>
              <w:top w:val="single" w:sz="6" w:space="0" w:color="auto"/>
              <w:left w:val="single" w:sz="6" w:space="0" w:color="auto"/>
              <w:bottom w:val="single" w:sz="6" w:space="0" w:color="auto"/>
              <w:right w:val="single" w:sz="12" w:space="0" w:color="auto"/>
            </w:tcBorders>
          </w:tcPr>
          <w:p w14:paraId="2F9433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 км</w:t>
            </w:r>
          </w:p>
        </w:tc>
      </w:tr>
      <w:tr w:rsidR="007D5DF8" w:rsidRPr="00DB5D0D" w14:paraId="62835C38" w14:textId="77777777" w:rsidTr="00E543D0">
        <w:tc>
          <w:tcPr>
            <w:tcW w:w="2874" w:type="dxa"/>
            <w:tcBorders>
              <w:top w:val="single" w:sz="6" w:space="0" w:color="auto"/>
              <w:left w:val="single" w:sz="12" w:space="0" w:color="auto"/>
              <w:bottom w:val="single" w:sz="6" w:space="0" w:color="auto"/>
              <w:right w:val="single" w:sz="6" w:space="0" w:color="auto"/>
            </w:tcBorders>
          </w:tcPr>
          <w:p w14:paraId="77355E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Посадочная скорость без</w:t>
            </w:r>
          </w:p>
        </w:tc>
        <w:tc>
          <w:tcPr>
            <w:tcW w:w="2874" w:type="dxa"/>
            <w:tcBorders>
              <w:top w:val="single" w:sz="6" w:space="0" w:color="auto"/>
              <w:left w:val="single" w:sz="6" w:space="0" w:color="auto"/>
              <w:bottom w:val="single" w:sz="6" w:space="0" w:color="auto"/>
              <w:right w:val="single" w:sz="6" w:space="0" w:color="auto"/>
            </w:tcBorders>
          </w:tcPr>
          <w:p w14:paraId="5589B89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Borders>
              <w:top w:val="single" w:sz="6" w:space="0" w:color="auto"/>
              <w:left w:val="single" w:sz="6" w:space="0" w:color="auto"/>
              <w:bottom w:val="single" w:sz="6" w:space="0" w:color="auto"/>
              <w:right w:val="single" w:sz="12" w:space="0" w:color="auto"/>
            </w:tcBorders>
          </w:tcPr>
          <w:p w14:paraId="1F7B91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830B993" w14:textId="77777777" w:rsidTr="00E543D0">
        <w:tc>
          <w:tcPr>
            <w:tcW w:w="2874" w:type="dxa"/>
            <w:tcBorders>
              <w:top w:val="single" w:sz="6" w:space="0" w:color="auto"/>
              <w:left w:val="single" w:sz="12" w:space="0" w:color="auto"/>
              <w:bottom w:val="single" w:sz="6" w:space="0" w:color="auto"/>
              <w:right w:val="single" w:sz="6" w:space="0" w:color="auto"/>
            </w:tcBorders>
          </w:tcPr>
          <w:p w14:paraId="6475B1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применения щитков при нормальном</w:t>
            </w:r>
          </w:p>
        </w:tc>
        <w:tc>
          <w:tcPr>
            <w:tcW w:w="2874" w:type="dxa"/>
            <w:tcBorders>
              <w:top w:val="single" w:sz="6" w:space="0" w:color="auto"/>
              <w:left w:val="single" w:sz="6" w:space="0" w:color="auto"/>
              <w:bottom w:val="single" w:sz="6" w:space="0" w:color="auto"/>
              <w:right w:val="single" w:sz="6" w:space="0" w:color="auto"/>
            </w:tcBorders>
          </w:tcPr>
          <w:p w14:paraId="121CD29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Borders>
              <w:top w:val="single" w:sz="6" w:space="0" w:color="auto"/>
              <w:left w:val="single" w:sz="6" w:space="0" w:color="auto"/>
              <w:bottom w:val="single" w:sz="6" w:space="0" w:color="auto"/>
              <w:right w:val="single" w:sz="12" w:space="0" w:color="auto"/>
            </w:tcBorders>
          </w:tcPr>
          <w:p w14:paraId="76C7C0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BF5C384" w14:textId="77777777" w:rsidTr="00E543D0">
        <w:tc>
          <w:tcPr>
            <w:tcW w:w="2874" w:type="dxa"/>
            <w:tcBorders>
              <w:top w:val="single" w:sz="6" w:space="0" w:color="auto"/>
              <w:left w:val="single" w:sz="12" w:space="0" w:color="auto"/>
              <w:bottom w:val="single" w:sz="6" w:space="0" w:color="auto"/>
              <w:right w:val="single" w:sz="6" w:space="0" w:color="auto"/>
            </w:tcBorders>
          </w:tcPr>
          <w:p w14:paraId="304C3C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полетном весе</w:t>
            </w:r>
          </w:p>
        </w:tc>
        <w:tc>
          <w:tcPr>
            <w:tcW w:w="2874" w:type="dxa"/>
            <w:tcBorders>
              <w:top w:val="single" w:sz="6" w:space="0" w:color="auto"/>
              <w:left w:val="single" w:sz="6" w:space="0" w:color="auto"/>
              <w:bottom w:val="single" w:sz="6" w:space="0" w:color="auto"/>
              <w:right w:val="single" w:sz="6" w:space="0" w:color="auto"/>
            </w:tcBorders>
          </w:tcPr>
          <w:p w14:paraId="77C957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 км/час</w:t>
            </w:r>
          </w:p>
        </w:tc>
        <w:tc>
          <w:tcPr>
            <w:tcW w:w="2874" w:type="dxa"/>
            <w:tcBorders>
              <w:top w:val="single" w:sz="6" w:space="0" w:color="auto"/>
              <w:left w:val="single" w:sz="6" w:space="0" w:color="auto"/>
              <w:bottom w:val="single" w:sz="6" w:space="0" w:color="auto"/>
              <w:right w:val="single" w:sz="12" w:space="0" w:color="auto"/>
            </w:tcBorders>
          </w:tcPr>
          <w:p w14:paraId="022D39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8B5829D" w14:textId="77777777" w:rsidTr="00E543D0">
        <w:tc>
          <w:tcPr>
            <w:tcW w:w="2874" w:type="dxa"/>
            <w:tcBorders>
              <w:top w:val="single" w:sz="6" w:space="0" w:color="auto"/>
              <w:left w:val="single" w:sz="12" w:space="0" w:color="auto"/>
              <w:bottom w:val="single" w:sz="6" w:space="0" w:color="auto"/>
              <w:right w:val="single" w:sz="6" w:space="0" w:color="auto"/>
            </w:tcBorders>
          </w:tcPr>
          <w:p w14:paraId="3E5A6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Тоже с применением щитков</w:t>
            </w:r>
          </w:p>
        </w:tc>
        <w:tc>
          <w:tcPr>
            <w:tcW w:w="2874" w:type="dxa"/>
            <w:tcBorders>
              <w:top w:val="single" w:sz="6" w:space="0" w:color="auto"/>
              <w:left w:val="single" w:sz="6" w:space="0" w:color="auto"/>
              <w:bottom w:val="single" w:sz="6" w:space="0" w:color="auto"/>
              <w:right w:val="single" w:sz="6" w:space="0" w:color="auto"/>
            </w:tcBorders>
          </w:tcPr>
          <w:p w14:paraId="2CAB71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 км/час</w:t>
            </w:r>
          </w:p>
        </w:tc>
        <w:tc>
          <w:tcPr>
            <w:tcW w:w="2874" w:type="dxa"/>
            <w:tcBorders>
              <w:top w:val="single" w:sz="6" w:space="0" w:color="auto"/>
              <w:left w:val="single" w:sz="6" w:space="0" w:color="auto"/>
              <w:bottom w:val="single" w:sz="6" w:space="0" w:color="auto"/>
              <w:right w:val="single" w:sz="12" w:space="0" w:color="auto"/>
            </w:tcBorders>
          </w:tcPr>
          <w:p w14:paraId="481BAC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 км/час</w:t>
            </w:r>
          </w:p>
        </w:tc>
      </w:tr>
      <w:tr w:rsidR="007D5DF8" w:rsidRPr="00DB5D0D" w14:paraId="6AB1013C" w14:textId="77777777" w:rsidTr="00E543D0">
        <w:tc>
          <w:tcPr>
            <w:tcW w:w="2874" w:type="dxa"/>
            <w:tcBorders>
              <w:top w:val="single" w:sz="6" w:space="0" w:color="auto"/>
              <w:left w:val="single" w:sz="12" w:space="0" w:color="auto"/>
              <w:bottom w:val="single" w:sz="6" w:space="0" w:color="auto"/>
              <w:right w:val="single" w:sz="6" w:space="0" w:color="auto"/>
            </w:tcBorders>
          </w:tcPr>
          <w:p w14:paraId="1660B2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Разбег при взлете</w:t>
            </w:r>
          </w:p>
        </w:tc>
        <w:tc>
          <w:tcPr>
            <w:tcW w:w="2874" w:type="dxa"/>
            <w:tcBorders>
              <w:top w:val="single" w:sz="6" w:space="0" w:color="auto"/>
              <w:left w:val="single" w:sz="6" w:space="0" w:color="auto"/>
              <w:bottom w:val="single" w:sz="6" w:space="0" w:color="auto"/>
              <w:right w:val="single" w:sz="6" w:space="0" w:color="auto"/>
            </w:tcBorders>
          </w:tcPr>
          <w:p w14:paraId="16A32C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440 м</w:t>
            </w:r>
          </w:p>
        </w:tc>
        <w:tc>
          <w:tcPr>
            <w:tcW w:w="2874" w:type="dxa"/>
            <w:tcBorders>
              <w:top w:val="single" w:sz="6" w:space="0" w:color="auto"/>
              <w:left w:val="single" w:sz="6" w:space="0" w:color="auto"/>
              <w:bottom w:val="single" w:sz="6" w:space="0" w:color="auto"/>
              <w:right w:val="single" w:sz="12" w:space="0" w:color="auto"/>
            </w:tcBorders>
          </w:tcPr>
          <w:p w14:paraId="0CF694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 м</w:t>
            </w:r>
          </w:p>
        </w:tc>
      </w:tr>
      <w:tr w:rsidR="007D5DF8" w:rsidRPr="00DB5D0D" w14:paraId="4AC2C1CA" w14:textId="77777777" w:rsidTr="00E543D0">
        <w:tc>
          <w:tcPr>
            <w:tcW w:w="2874" w:type="dxa"/>
            <w:tcBorders>
              <w:top w:val="single" w:sz="6" w:space="0" w:color="auto"/>
              <w:left w:val="single" w:sz="12" w:space="0" w:color="auto"/>
              <w:bottom w:val="single" w:sz="6" w:space="0" w:color="auto"/>
              <w:right w:val="single" w:sz="6" w:space="0" w:color="auto"/>
            </w:tcBorders>
          </w:tcPr>
          <w:p w14:paraId="23895A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Пробег с применением щитков</w:t>
            </w:r>
          </w:p>
        </w:tc>
        <w:tc>
          <w:tcPr>
            <w:tcW w:w="2874" w:type="dxa"/>
            <w:tcBorders>
              <w:top w:val="single" w:sz="6" w:space="0" w:color="auto"/>
              <w:left w:val="single" w:sz="6" w:space="0" w:color="auto"/>
              <w:bottom w:val="single" w:sz="6" w:space="0" w:color="auto"/>
              <w:right w:val="single" w:sz="6" w:space="0" w:color="auto"/>
            </w:tcBorders>
          </w:tcPr>
          <w:p w14:paraId="676961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74" w:type="dxa"/>
            <w:tcBorders>
              <w:top w:val="single" w:sz="6" w:space="0" w:color="auto"/>
              <w:left w:val="single" w:sz="6" w:space="0" w:color="auto"/>
              <w:bottom w:val="single" w:sz="6" w:space="0" w:color="auto"/>
              <w:right w:val="single" w:sz="12" w:space="0" w:color="auto"/>
            </w:tcBorders>
          </w:tcPr>
          <w:p w14:paraId="50C2584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B0AF0B6" w14:textId="77777777" w:rsidTr="00E543D0">
        <w:tc>
          <w:tcPr>
            <w:tcW w:w="2874" w:type="dxa"/>
            <w:tcBorders>
              <w:top w:val="single" w:sz="6" w:space="0" w:color="auto"/>
              <w:left w:val="single" w:sz="12" w:space="0" w:color="auto"/>
              <w:bottom w:val="single" w:sz="6" w:space="0" w:color="auto"/>
              <w:right w:val="single" w:sz="6" w:space="0" w:color="auto"/>
            </w:tcBorders>
          </w:tcPr>
          <w:p w14:paraId="2C913C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тормозов</w:t>
            </w:r>
          </w:p>
        </w:tc>
        <w:tc>
          <w:tcPr>
            <w:tcW w:w="2874" w:type="dxa"/>
            <w:tcBorders>
              <w:top w:val="single" w:sz="6" w:space="0" w:color="auto"/>
              <w:left w:val="single" w:sz="6" w:space="0" w:color="auto"/>
              <w:bottom w:val="single" w:sz="6" w:space="0" w:color="auto"/>
              <w:right w:val="single" w:sz="6" w:space="0" w:color="auto"/>
            </w:tcBorders>
          </w:tcPr>
          <w:p w14:paraId="5AC028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 м</w:t>
            </w:r>
          </w:p>
        </w:tc>
        <w:tc>
          <w:tcPr>
            <w:tcW w:w="2874" w:type="dxa"/>
            <w:tcBorders>
              <w:top w:val="single" w:sz="6" w:space="0" w:color="auto"/>
              <w:left w:val="single" w:sz="6" w:space="0" w:color="auto"/>
              <w:bottom w:val="single" w:sz="6" w:space="0" w:color="auto"/>
              <w:right w:val="single" w:sz="12" w:space="0" w:color="auto"/>
            </w:tcBorders>
          </w:tcPr>
          <w:p w14:paraId="18D9EA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 м</w:t>
            </w:r>
          </w:p>
        </w:tc>
      </w:tr>
      <w:tr w:rsidR="007D5DF8" w:rsidRPr="00DB5D0D" w14:paraId="7F38FED7" w14:textId="77777777" w:rsidTr="00E543D0">
        <w:tc>
          <w:tcPr>
            <w:tcW w:w="2874" w:type="dxa"/>
            <w:tcBorders>
              <w:top w:val="single" w:sz="6" w:space="0" w:color="auto"/>
              <w:left w:val="single" w:sz="12" w:space="0" w:color="auto"/>
              <w:bottom w:val="single" w:sz="12" w:space="0" w:color="auto"/>
              <w:right w:val="single" w:sz="6" w:space="0" w:color="auto"/>
            </w:tcBorders>
          </w:tcPr>
          <w:p w14:paraId="6DC168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Центровка самолета</w:t>
            </w:r>
          </w:p>
        </w:tc>
        <w:tc>
          <w:tcPr>
            <w:tcW w:w="2874" w:type="dxa"/>
            <w:tcBorders>
              <w:top w:val="single" w:sz="6" w:space="0" w:color="auto"/>
              <w:left w:val="single" w:sz="6" w:space="0" w:color="auto"/>
              <w:bottom w:val="single" w:sz="12" w:space="0" w:color="auto"/>
              <w:right w:val="single" w:sz="6" w:space="0" w:color="auto"/>
            </w:tcBorders>
          </w:tcPr>
          <w:p w14:paraId="2FC891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 max</w:t>
            </w:r>
          </w:p>
        </w:tc>
        <w:tc>
          <w:tcPr>
            <w:tcW w:w="2874" w:type="dxa"/>
            <w:tcBorders>
              <w:top w:val="single" w:sz="6" w:space="0" w:color="auto"/>
              <w:left w:val="single" w:sz="6" w:space="0" w:color="auto"/>
              <w:bottom w:val="single" w:sz="12" w:space="0" w:color="auto"/>
              <w:right w:val="single" w:sz="12" w:space="0" w:color="auto"/>
            </w:tcBorders>
          </w:tcPr>
          <w:p w14:paraId="3C9019C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489576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вооружению и оборудованию.</w:t>
      </w:r>
    </w:p>
    <w:p w14:paraId="28EABC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предусмотренное проектом, является достаточно мощным и соответствует современным требованиям к самолетам такого типа.</w:t>
      </w:r>
    </w:p>
    <w:p w14:paraId="504113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сравнительно слабое, для бомбометания с пикирования самолет берет бомбы максимального калибра 100 кг и только 2 шт., внутри-же самолета размещаются бомбы калибра не более 10 кг.</w:t>
      </w:r>
    </w:p>
    <w:p w14:paraId="6B909F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Материалов по спецоборудованию в эскизном проекте не представлено.</w:t>
      </w:r>
    </w:p>
    <w:p w14:paraId="264559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бронированию.</w:t>
      </w:r>
    </w:p>
    <w:p w14:paraId="4D7F0B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Схема бронирования, в отношении расположения брони на самолете является удовлетворительной, так как броней защищаются все наиболее жизненные части самолета: летчик, мотор, радиатор, бензобаки и основные агрегаты оборудования.</w:t>
      </w:r>
    </w:p>
    <w:p w14:paraId="1DEC00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Броневые плиты толщиною/ в 15 мм, установленные впереди мотора и сзади кабины летчика, могут дать защиту от бронебойных пуль до калибра 12-13 мм включительно с дистанции обстрела до 200 м при высоте полета самолета 25 м.</w:t>
      </w:r>
    </w:p>
    <w:p w14:paraId="01D1E4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Броневые плиты толщиною 7,5 мм, установленные на бортах кабины летчика и моторной установки, при тех же условиях обстрела, могут дать защиту только от бронебойных пуль калибра 7-8 мм. От бронебойных пуль калибра 12-13 мм данная броня защиту не обеспечивает.</w:t>
      </w:r>
    </w:p>
    <w:p w14:paraId="6C4A02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Броневая плита, толщиною 5,5 мм, установленная снизу броневого отсека может надежно защитить от бронебойных пуль калибра 7-8 мм при указанных выше условиях обстрела.</w:t>
      </w:r>
    </w:p>
    <w:p w14:paraId="6E5CD3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Возможность защиты от пуль калибра 12-13 мм данной броней, требует проверки обстрелом ее на полигоне.</w:t>
      </w:r>
    </w:p>
    <w:p w14:paraId="7A26A4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Сравнительная таблица</w:t>
      </w:r>
    </w:p>
    <w:p w14:paraId="379027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данных самолетов бронебойных штурмовиков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gridCol w:w="2299"/>
      </w:tblGrid>
      <w:tr w:rsidR="007D5DF8" w:rsidRPr="00DB5D0D" w14:paraId="4A9C1D95" w14:textId="77777777" w:rsidTr="00E543D0">
        <w:tc>
          <w:tcPr>
            <w:tcW w:w="2299" w:type="dxa"/>
            <w:tcBorders>
              <w:top w:val="single" w:sz="12" w:space="0" w:color="auto"/>
            </w:tcBorders>
          </w:tcPr>
          <w:p w14:paraId="3054ACA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3B6F9A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ПБШ-1</w:t>
            </w:r>
          </w:p>
        </w:tc>
        <w:tc>
          <w:tcPr>
            <w:tcW w:w="2299" w:type="dxa"/>
            <w:tcBorders>
              <w:top w:val="single" w:sz="12" w:space="0" w:color="auto"/>
            </w:tcBorders>
          </w:tcPr>
          <w:p w14:paraId="438D67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ОБШ</w:t>
            </w:r>
          </w:p>
        </w:tc>
        <w:tc>
          <w:tcPr>
            <w:tcW w:w="2299" w:type="dxa"/>
            <w:tcBorders>
              <w:top w:val="single" w:sz="12" w:space="0" w:color="auto"/>
            </w:tcBorders>
          </w:tcPr>
          <w:p w14:paraId="22C715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БШ-2</w:t>
            </w:r>
          </w:p>
        </w:tc>
      </w:tr>
      <w:tr w:rsidR="007D5DF8" w:rsidRPr="00DB5D0D" w14:paraId="522E6B33" w14:textId="77777777" w:rsidTr="00E543D0">
        <w:tc>
          <w:tcPr>
            <w:tcW w:w="2299" w:type="dxa"/>
          </w:tcPr>
          <w:p w14:paraId="6227BB3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2946F2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АМ-38</w:t>
            </w:r>
          </w:p>
        </w:tc>
        <w:tc>
          <w:tcPr>
            <w:tcW w:w="2299" w:type="dxa"/>
          </w:tcPr>
          <w:p w14:paraId="21CDE1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М-71</w:t>
            </w:r>
          </w:p>
        </w:tc>
        <w:tc>
          <w:tcPr>
            <w:tcW w:w="2299" w:type="dxa"/>
          </w:tcPr>
          <w:p w14:paraId="724B6A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w:t>
            </w:r>
          </w:p>
        </w:tc>
      </w:tr>
      <w:tr w:rsidR="007D5DF8" w:rsidRPr="00DB5D0D" w14:paraId="7ABE72DD" w14:textId="77777777" w:rsidTr="00E543D0">
        <w:tc>
          <w:tcPr>
            <w:tcW w:w="2299" w:type="dxa"/>
          </w:tcPr>
          <w:p w14:paraId="59D35E4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1CD42F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w:t>
            </w:r>
          </w:p>
        </w:tc>
        <w:tc>
          <w:tcPr>
            <w:tcW w:w="2299" w:type="dxa"/>
          </w:tcPr>
          <w:p w14:paraId="132638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w:t>
            </w:r>
          </w:p>
        </w:tc>
        <w:tc>
          <w:tcPr>
            <w:tcW w:w="2299" w:type="dxa"/>
          </w:tcPr>
          <w:p w14:paraId="3C4D40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w:t>
            </w:r>
          </w:p>
        </w:tc>
      </w:tr>
      <w:tr w:rsidR="007D5DF8" w:rsidRPr="00DB5D0D" w14:paraId="24795B94" w14:textId="77777777" w:rsidTr="00E543D0">
        <w:tc>
          <w:tcPr>
            <w:tcW w:w="2299" w:type="dxa"/>
          </w:tcPr>
          <w:p w14:paraId="77498FE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5C2288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Микояна</w:t>
            </w:r>
          </w:p>
        </w:tc>
        <w:tc>
          <w:tcPr>
            <w:tcW w:w="2299" w:type="dxa"/>
          </w:tcPr>
          <w:p w14:paraId="33D8B3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Сухого</w:t>
            </w:r>
          </w:p>
        </w:tc>
        <w:tc>
          <w:tcPr>
            <w:tcW w:w="2299" w:type="dxa"/>
          </w:tcPr>
          <w:p w14:paraId="1B5845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Ильюшина</w:t>
            </w:r>
          </w:p>
        </w:tc>
      </w:tr>
      <w:tr w:rsidR="007D5DF8" w:rsidRPr="00DB5D0D" w14:paraId="7FF8BD4B" w14:textId="77777777" w:rsidTr="00E543D0">
        <w:tc>
          <w:tcPr>
            <w:tcW w:w="2299" w:type="dxa"/>
          </w:tcPr>
          <w:p w14:paraId="5EBAFB6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464B98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w:t>
            </w:r>
          </w:p>
        </w:tc>
        <w:tc>
          <w:tcPr>
            <w:tcW w:w="2299" w:type="dxa"/>
          </w:tcPr>
          <w:p w14:paraId="5D3695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w:t>
            </w:r>
          </w:p>
        </w:tc>
        <w:tc>
          <w:tcPr>
            <w:tcW w:w="2299" w:type="dxa"/>
          </w:tcPr>
          <w:p w14:paraId="12090B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w:t>
            </w:r>
          </w:p>
        </w:tc>
      </w:tr>
      <w:tr w:rsidR="007D5DF8" w:rsidRPr="00DB5D0D" w14:paraId="1F6EC5FE" w14:textId="77777777" w:rsidTr="00E543D0">
        <w:tc>
          <w:tcPr>
            <w:tcW w:w="2299" w:type="dxa"/>
          </w:tcPr>
          <w:p w14:paraId="0482D7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(чел.)</w:t>
            </w:r>
          </w:p>
        </w:tc>
        <w:tc>
          <w:tcPr>
            <w:tcW w:w="2299" w:type="dxa"/>
          </w:tcPr>
          <w:p w14:paraId="2A90B5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299" w:type="dxa"/>
          </w:tcPr>
          <w:p w14:paraId="0C8B89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299" w:type="dxa"/>
          </w:tcPr>
          <w:p w14:paraId="603655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6442FD32" w14:textId="77777777" w:rsidTr="00E543D0">
        <w:tc>
          <w:tcPr>
            <w:tcW w:w="2299" w:type="dxa"/>
          </w:tcPr>
          <w:p w14:paraId="77AE53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мотора (л.с.)</w:t>
            </w:r>
          </w:p>
        </w:tc>
        <w:tc>
          <w:tcPr>
            <w:tcW w:w="2299" w:type="dxa"/>
          </w:tcPr>
          <w:p w14:paraId="75C81D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1625</w:t>
            </w:r>
          </w:p>
        </w:tc>
        <w:tc>
          <w:tcPr>
            <w:tcW w:w="2299" w:type="dxa"/>
          </w:tcPr>
          <w:p w14:paraId="192039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w:t>
            </w:r>
          </w:p>
        </w:tc>
        <w:tc>
          <w:tcPr>
            <w:tcW w:w="2299" w:type="dxa"/>
          </w:tcPr>
          <w:p w14:paraId="044B9F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r>
      <w:tr w:rsidR="007D5DF8" w:rsidRPr="00DB5D0D" w14:paraId="684708F8" w14:textId="77777777" w:rsidTr="00E543D0">
        <w:tc>
          <w:tcPr>
            <w:tcW w:w="2299" w:type="dxa"/>
          </w:tcPr>
          <w:p w14:paraId="78F846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Высотность мотора (м)</w:t>
            </w:r>
          </w:p>
        </w:tc>
        <w:tc>
          <w:tcPr>
            <w:tcW w:w="2299" w:type="dxa"/>
          </w:tcPr>
          <w:p w14:paraId="67B74B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1250</w:t>
            </w:r>
          </w:p>
        </w:tc>
        <w:tc>
          <w:tcPr>
            <w:tcW w:w="2299" w:type="dxa"/>
          </w:tcPr>
          <w:p w14:paraId="7DD6EF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2299" w:type="dxa"/>
          </w:tcPr>
          <w:p w14:paraId="39B177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r>
      <w:tr w:rsidR="007D5DF8" w:rsidRPr="00DB5D0D" w14:paraId="590F4B28" w14:textId="77777777" w:rsidTr="00E543D0">
        <w:tc>
          <w:tcPr>
            <w:tcW w:w="2299" w:type="dxa"/>
          </w:tcPr>
          <w:p w14:paraId="082FF5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самолета (кг)</w:t>
            </w:r>
          </w:p>
        </w:tc>
        <w:tc>
          <w:tcPr>
            <w:tcW w:w="2299" w:type="dxa"/>
          </w:tcPr>
          <w:p w14:paraId="32F390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3807</w:t>
            </w:r>
          </w:p>
        </w:tc>
        <w:tc>
          <w:tcPr>
            <w:tcW w:w="2299" w:type="dxa"/>
          </w:tcPr>
          <w:p w14:paraId="44FD6E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2523</w:t>
            </w:r>
          </w:p>
        </w:tc>
        <w:tc>
          <w:tcPr>
            <w:tcW w:w="2299" w:type="dxa"/>
          </w:tcPr>
          <w:p w14:paraId="497999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3616</w:t>
            </w:r>
          </w:p>
        </w:tc>
      </w:tr>
      <w:tr w:rsidR="007D5DF8" w:rsidRPr="00DB5D0D" w14:paraId="489BF299" w14:textId="77777777" w:rsidTr="00E543D0">
        <w:tc>
          <w:tcPr>
            <w:tcW w:w="2299" w:type="dxa"/>
          </w:tcPr>
          <w:p w14:paraId="3AC322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нормальн. Нагрузки (кг)</w:t>
            </w:r>
          </w:p>
        </w:tc>
        <w:tc>
          <w:tcPr>
            <w:tcW w:w="2299" w:type="dxa"/>
          </w:tcPr>
          <w:p w14:paraId="6AFC96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1042</w:t>
            </w:r>
          </w:p>
        </w:tc>
        <w:tc>
          <w:tcPr>
            <w:tcW w:w="2299" w:type="dxa"/>
          </w:tcPr>
          <w:p w14:paraId="7732C5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1142</w:t>
            </w:r>
          </w:p>
        </w:tc>
        <w:tc>
          <w:tcPr>
            <w:tcW w:w="2299" w:type="dxa"/>
          </w:tcPr>
          <w:p w14:paraId="71E065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1110</w:t>
            </w:r>
          </w:p>
        </w:tc>
      </w:tr>
      <w:tr w:rsidR="007D5DF8" w:rsidRPr="00DB5D0D" w14:paraId="12A04BE0" w14:textId="77777777" w:rsidTr="00E543D0">
        <w:tc>
          <w:tcPr>
            <w:tcW w:w="2299" w:type="dxa"/>
          </w:tcPr>
          <w:p w14:paraId="21B6C2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(кг)</w:t>
            </w:r>
          </w:p>
        </w:tc>
        <w:tc>
          <w:tcPr>
            <w:tcW w:w="2299" w:type="dxa"/>
          </w:tcPr>
          <w:p w14:paraId="7B50B0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4850</w:t>
            </w:r>
          </w:p>
        </w:tc>
        <w:tc>
          <w:tcPr>
            <w:tcW w:w="2299" w:type="dxa"/>
          </w:tcPr>
          <w:p w14:paraId="618CE5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3676</w:t>
            </w:r>
          </w:p>
        </w:tc>
        <w:tc>
          <w:tcPr>
            <w:tcW w:w="2299" w:type="dxa"/>
          </w:tcPr>
          <w:p w14:paraId="755681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4725</w:t>
            </w:r>
          </w:p>
        </w:tc>
      </w:tr>
      <w:tr w:rsidR="007D5DF8" w:rsidRPr="00DB5D0D" w14:paraId="4525F2F5" w14:textId="77777777" w:rsidTr="00E543D0">
        <w:tc>
          <w:tcPr>
            <w:tcW w:w="2299" w:type="dxa"/>
          </w:tcPr>
          <w:p w14:paraId="2A8B86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брони (металлич.) (кг)</w:t>
            </w:r>
          </w:p>
        </w:tc>
        <w:tc>
          <w:tcPr>
            <w:tcW w:w="2299" w:type="dxa"/>
          </w:tcPr>
          <w:p w14:paraId="45B58F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780</w:t>
            </w:r>
          </w:p>
        </w:tc>
        <w:tc>
          <w:tcPr>
            <w:tcW w:w="2299" w:type="dxa"/>
          </w:tcPr>
          <w:p w14:paraId="6143E9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195</w:t>
            </w:r>
          </w:p>
        </w:tc>
        <w:tc>
          <w:tcPr>
            <w:tcW w:w="2299" w:type="dxa"/>
          </w:tcPr>
          <w:p w14:paraId="055266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w:t>
            </w:r>
          </w:p>
        </w:tc>
      </w:tr>
      <w:tr w:rsidR="007D5DF8" w:rsidRPr="00DB5D0D" w14:paraId="6D4DE73C" w14:textId="77777777" w:rsidTr="00E543D0">
        <w:tc>
          <w:tcPr>
            <w:tcW w:w="2299" w:type="dxa"/>
          </w:tcPr>
          <w:p w14:paraId="5BE686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Max скорость у земли (км/час)</w:t>
            </w:r>
          </w:p>
        </w:tc>
        <w:tc>
          <w:tcPr>
            <w:tcW w:w="2299" w:type="dxa"/>
          </w:tcPr>
          <w:p w14:paraId="35C10E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449</w:t>
            </w:r>
          </w:p>
        </w:tc>
        <w:tc>
          <w:tcPr>
            <w:tcW w:w="2299" w:type="dxa"/>
          </w:tcPr>
          <w:p w14:paraId="4A4695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299" w:type="dxa"/>
          </w:tcPr>
          <w:p w14:paraId="10E2F1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362</w:t>
            </w:r>
          </w:p>
        </w:tc>
      </w:tr>
      <w:tr w:rsidR="007D5DF8" w:rsidRPr="00DB5D0D" w14:paraId="2141AE1D" w14:textId="77777777" w:rsidTr="00E543D0">
        <w:tc>
          <w:tcPr>
            <w:tcW w:w="2299" w:type="dxa"/>
          </w:tcPr>
          <w:p w14:paraId="60ACD1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Max скорость на высоте</w:t>
            </w:r>
          </w:p>
        </w:tc>
        <w:tc>
          <w:tcPr>
            <w:tcW w:w="2299" w:type="dxa"/>
          </w:tcPr>
          <w:p w14:paraId="60ECDF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472</w:t>
            </w:r>
          </w:p>
        </w:tc>
        <w:tc>
          <w:tcPr>
            <w:tcW w:w="2299" w:type="dxa"/>
          </w:tcPr>
          <w:p w14:paraId="7A417C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c>
          <w:tcPr>
            <w:tcW w:w="2299" w:type="dxa"/>
          </w:tcPr>
          <w:p w14:paraId="3D41D2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422</w:t>
            </w:r>
          </w:p>
        </w:tc>
      </w:tr>
      <w:tr w:rsidR="007D5DF8" w:rsidRPr="00DB5D0D" w14:paraId="2354DEFE" w14:textId="77777777" w:rsidTr="00E543D0">
        <w:tc>
          <w:tcPr>
            <w:tcW w:w="2299" w:type="dxa"/>
          </w:tcPr>
          <w:p w14:paraId="6FC150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в м</w:t>
            </w:r>
          </w:p>
        </w:tc>
        <w:tc>
          <w:tcPr>
            <w:tcW w:w="2299" w:type="dxa"/>
          </w:tcPr>
          <w:p w14:paraId="663EC5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1250</w:t>
            </w:r>
          </w:p>
        </w:tc>
        <w:tc>
          <w:tcPr>
            <w:tcW w:w="2299" w:type="dxa"/>
          </w:tcPr>
          <w:p w14:paraId="112D40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2299" w:type="dxa"/>
          </w:tcPr>
          <w:p w14:paraId="1022D5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r>
      <w:tr w:rsidR="007D5DF8" w:rsidRPr="00DB5D0D" w14:paraId="1D8AC5C5" w14:textId="77777777" w:rsidTr="00E543D0">
        <w:tc>
          <w:tcPr>
            <w:tcW w:w="2299" w:type="dxa"/>
          </w:tcPr>
          <w:p w14:paraId="09FB8C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5000 м (мин.)</w:t>
            </w:r>
          </w:p>
        </w:tc>
        <w:tc>
          <w:tcPr>
            <w:tcW w:w="2299" w:type="dxa"/>
          </w:tcPr>
          <w:p w14:paraId="125320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w:t>
            </w:r>
          </w:p>
        </w:tc>
        <w:tc>
          <w:tcPr>
            <w:tcW w:w="2299" w:type="dxa"/>
          </w:tcPr>
          <w:p w14:paraId="1A007F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2299" w:type="dxa"/>
          </w:tcPr>
          <w:p w14:paraId="202A9B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r>
      <w:tr w:rsidR="007D5DF8" w:rsidRPr="00DB5D0D" w14:paraId="59E0F971" w14:textId="77777777" w:rsidTr="00E543D0">
        <w:tc>
          <w:tcPr>
            <w:tcW w:w="2299" w:type="dxa"/>
          </w:tcPr>
          <w:p w14:paraId="6FD1E9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(м)</w:t>
            </w:r>
          </w:p>
        </w:tc>
        <w:tc>
          <w:tcPr>
            <w:tcW w:w="2299" w:type="dxa"/>
          </w:tcPr>
          <w:p w14:paraId="62E6E4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7600</w:t>
            </w:r>
          </w:p>
        </w:tc>
        <w:tc>
          <w:tcPr>
            <w:tcW w:w="2299" w:type="dxa"/>
          </w:tcPr>
          <w:p w14:paraId="4ECA8D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w:t>
            </w:r>
          </w:p>
        </w:tc>
        <w:tc>
          <w:tcPr>
            <w:tcW w:w="2299" w:type="dxa"/>
          </w:tcPr>
          <w:p w14:paraId="4B9979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8600</w:t>
            </w:r>
          </w:p>
        </w:tc>
      </w:tr>
      <w:tr w:rsidR="007D5DF8" w:rsidRPr="00DB5D0D" w14:paraId="7EB230F0" w14:textId="77777777" w:rsidTr="00E543D0">
        <w:tc>
          <w:tcPr>
            <w:tcW w:w="2299" w:type="dxa"/>
          </w:tcPr>
          <w:p w14:paraId="26CE48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Техническая дальность у</w:t>
            </w:r>
          </w:p>
        </w:tc>
        <w:tc>
          <w:tcPr>
            <w:tcW w:w="2299" w:type="dxa"/>
          </w:tcPr>
          <w:p w14:paraId="52BE734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6F58CB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3C82BDA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5D3CF04" w14:textId="77777777" w:rsidTr="00E543D0">
        <w:tc>
          <w:tcPr>
            <w:tcW w:w="2299" w:type="dxa"/>
          </w:tcPr>
          <w:p w14:paraId="150C6A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земли на скорости 0,9 от</w:t>
            </w:r>
          </w:p>
        </w:tc>
        <w:tc>
          <w:tcPr>
            <w:tcW w:w="2299" w:type="dxa"/>
          </w:tcPr>
          <w:p w14:paraId="1868932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7EE32B7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6C0779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2D28C60" w14:textId="77777777" w:rsidTr="00E543D0">
        <w:tc>
          <w:tcPr>
            <w:tcW w:w="2299" w:type="dxa"/>
          </w:tcPr>
          <w:p w14:paraId="59B9BF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max при нормальном полет.</w:t>
            </w:r>
          </w:p>
        </w:tc>
        <w:tc>
          <w:tcPr>
            <w:tcW w:w="2299" w:type="dxa"/>
          </w:tcPr>
          <w:p w14:paraId="45ED71C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413384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706020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75D6A9F" w14:textId="77777777" w:rsidTr="00E543D0">
        <w:tc>
          <w:tcPr>
            <w:tcW w:w="2299" w:type="dxa"/>
          </w:tcPr>
          <w:p w14:paraId="52601E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Весе (км)</w:t>
            </w:r>
          </w:p>
        </w:tc>
        <w:tc>
          <w:tcPr>
            <w:tcW w:w="2299" w:type="dxa"/>
          </w:tcPr>
          <w:p w14:paraId="4C86EB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543</w:t>
            </w:r>
          </w:p>
        </w:tc>
        <w:tc>
          <w:tcPr>
            <w:tcW w:w="2299" w:type="dxa"/>
          </w:tcPr>
          <w:p w14:paraId="6F1126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2299" w:type="dxa"/>
          </w:tcPr>
          <w:p w14:paraId="000ABF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618</w:t>
            </w:r>
          </w:p>
        </w:tc>
      </w:tr>
      <w:tr w:rsidR="007D5DF8" w:rsidRPr="00DB5D0D" w14:paraId="5ACAB8B5" w14:textId="77777777" w:rsidTr="00E543D0">
        <w:tc>
          <w:tcPr>
            <w:tcW w:w="2299" w:type="dxa"/>
          </w:tcPr>
          <w:p w14:paraId="15D022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же с перегрузкой (км)</w:t>
            </w:r>
          </w:p>
        </w:tc>
        <w:tc>
          <w:tcPr>
            <w:tcW w:w="2299" w:type="dxa"/>
          </w:tcPr>
          <w:p w14:paraId="6CD93C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974</w:t>
            </w:r>
          </w:p>
        </w:tc>
        <w:tc>
          <w:tcPr>
            <w:tcW w:w="2299" w:type="dxa"/>
          </w:tcPr>
          <w:p w14:paraId="64E3DF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99" w:type="dxa"/>
          </w:tcPr>
          <w:p w14:paraId="150ACF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641E60B" w14:textId="77777777" w:rsidTr="00E543D0">
        <w:tc>
          <w:tcPr>
            <w:tcW w:w="2299" w:type="dxa"/>
          </w:tcPr>
          <w:p w14:paraId="2E1CE4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Бомбовая нагрузка норм. (кг)</w:t>
            </w:r>
          </w:p>
        </w:tc>
        <w:tc>
          <w:tcPr>
            <w:tcW w:w="2299" w:type="dxa"/>
          </w:tcPr>
          <w:p w14:paraId="257025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99" w:type="dxa"/>
          </w:tcPr>
          <w:p w14:paraId="5A5DBD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2299" w:type="dxa"/>
          </w:tcPr>
          <w:p w14:paraId="594A66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4D1704CA" w14:textId="77777777" w:rsidTr="00E543D0">
        <w:tc>
          <w:tcPr>
            <w:tcW w:w="2299" w:type="dxa"/>
          </w:tcPr>
          <w:p w14:paraId="7922F5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перегр. (кг)</w:t>
            </w:r>
          </w:p>
        </w:tc>
        <w:tc>
          <w:tcPr>
            <w:tcW w:w="2299" w:type="dxa"/>
          </w:tcPr>
          <w:p w14:paraId="4D2AA6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2299" w:type="dxa"/>
          </w:tcPr>
          <w:p w14:paraId="784A25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2299" w:type="dxa"/>
          </w:tcPr>
          <w:p w14:paraId="4F961E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r>
      <w:tr w:rsidR="007D5DF8" w:rsidRPr="00DB5D0D" w14:paraId="513F2972" w14:textId="77777777" w:rsidTr="00E543D0">
        <w:tc>
          <w:tcPr>
            <w:tcW w:w="2299" w:type="dxa"/>
          </w:tcPr>
          <w:p w14:paraId="071F85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w:t>
            </w:r>
          </w:p>
        </w:tc>
        <w:tc>
          <w:tcPr>
            <w:tcW w:w="2299" w:type="dxa"/>
          </w:tcPr>
          <w:p w14:paraId="5F577AC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3A0E5B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299" w:type="dxa"/>
          </w:tcPr>
          <w:p w14:paraId="53D5EF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CBE7D75" w14:textId="77777777" w:rsidTr="00E543D0">
        <w:tc>
          <w:tcPr>
            <w:tcW w:w="2299" w:type="dxa"/>
          </w:tcPr>
          <w:p w14:paraId="7F25CE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пушек кал. 23 мм</w:t>
            </w:r>
          </w:p>
        </w:tc>
        <w:tc>
          <w:tcPr>
            <w:tcW w:w="2299" w:type="dxa"/>
          </w:tcPr>
          <w:p w14:paraId="6877DC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299" w:type="dxa"/>
          </w:tcPr>
          <w:p w14:paraId="596095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99" w:type="dxa"/>
          </w:tcPr>
          <w:p w14:paraId="6940F9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49F753C" w14:textId="77777777" w:rsidTr="00E543D0">
        <w:tc>
          <w:tcPr>
            <w:tcW w:w="2299" w:type="dxa"/>
          </w:tcPr>
          <w:p w14:paraId="32DFDA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снарядов к ним</w:t>
            </w:r>
          </w:p>
        </w:tc>
        <w:tc>
          <w:tcPr>
            <w:tcW w:w="2299" w:type="dxa"/>
          </w:tcPr>
          <w:p w14:paraId="50BF07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w:t>
            </w:r>
          </w:p>
        </w:tc>
        <w:tc>
          <w:tcPr>
            <w:tcW w:w="2299" w:type="dxa"/>
          </w:tcPr>
          <w:p w14:paraId="4B82A9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99" w:type="dxa"/>
          </w:tcPr>
          <w:p w14:paraId="6EAAAC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510182C" w14:textId="77777777" w:rsidTr="00E543D0">
        <w:tc>
          <w:tcPr>
            <w:tcW w:w="2299" w:type="dxa"/>
          </w:tcPr>
          <w:p w14:paraId="146152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пулеметов кал. 7,62</w:t>
            </w:r>
          </w:p>
        </w:tc>
        <w:tc>
          <w:tcPr>
            <w:tcW w:w="2299" w:type="dxa"/>
          </w:tcPr>
          <w:p w14:paraId="749542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2299" w:type="dxa"/>
          </w:tcPr>
          <w:p w14:paraId="1D1C15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299" w:type="dxa"/>
          </w:tcPr>
          <w:p w14:paraId="5970BD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2A0EDA96" w14:textId="77777777" w:rsidTr="00E543D0">
        <w:tc>
          <w:tcPr>
            <w:tcW w:w="2299" w:type="dxa"/>
          </w:tcPr>
          <w:p w14:paraId="657C22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 к ним</w:t>
            </w:r>
          </w:p>
        </w:tc>
        <w:tc>
          <w:tcPr>
            <w:tcW w:w="2299" w:type="dxa"/>
          </w:tcPr>
          <w:p w14:paraId="663262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c>
          <w:tcPr>
            <w:tcW w:w="2299" w:type="dxa"/>
          </w:tcPr>
          <w:p w14:paraId="360425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2299" w:type="dxa"/>
          </w:tcPr>
          <w:p w14:paraId="582F4F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w:t>
            </w:r>
          </w:p>
        </w:tc>
      </w:tr>
      <w:tr w:rsidR="007D5DF8" w:rsidRPr="00DB5D0D" w14:paraId="0899F744" w14:textId="77777777" w:rsidTr="00E543D0">
        <w:tc>
          <w:tcPr>
            <w:tcW w:w="2299" w:type="dxa"/>
          </w:tcPr>
          <w:p w14:paraId="16E473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(м)</w:t>
            </w:r>
          </w:p>
        </w:tc>
        <w:tc>
          <w:tcPr>
            <w:tcW w:w="2299" w:type="dxa"/>
          </w:tcPr>
          <w:p w14:paraId="551F7D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440</w:t>
            </w:r>
          </w:p>
        </w:tc>
        <w:tc>
          <w:tcPr>
            <w:tcW w:w="2299" w:type="dxa"/>
          </w:tcPr>
          <w:p w14:paraId="342978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w:t>
            </w:r>
          </w:p>
        </w:tc>
        <w:tc>
          <w:tcPr>
            <w:tcW w:w="2299" w:type="dxa"/>
          </w:tcPr>
          <w:p w14:paraId="3608BF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340</w:t>
            </w:r>
          </w:p>
        </w:tc>
      </w:tr>
      <w:tr w:rsidR="007D5DF8" w:rsidRPr="00DB5D0D" w14:paraId="7E351DFF" w14:textId="77777777" w:rsidTr="00E543D0">
        <w:tc>
          <w:tcPr>
            <w:tcW w:w="2299" w:type="dxa"/>
          </w:tcPr>
          <w:p w14:paraId="15AF92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(м)</w:t>
            </w:r>
          </w:p>
        </w:tc>
        <w:tc>
          <w:tcPr>
            <w:tcW w:w="2299" w:type="dxa"/>
          </w:tcPr>
          <w:p w14:paraId="0B9D4E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w:t>
            </w:r>
          </w:p>
        </w:tc>
        <w:tc>
          <w:tcPr>
            <w:tcW w:w="2299" w:type="dxa"/>
          </w:tcPr>
          <w:p w14:paraId="2CE6D4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2299" w:type="dxa"/>
          </w:tcPr>
          <w:p w14:paraId="2E6545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w:t>
            </w:r>
          </w:p>
        </w:tc>
      </w:tr>
      <w:tr w:rsidR="007D5DF8" w:rsidRPr="00DB5D0D" w14:paraId="4255C738" w14:textId="77777777" w:rsidTr="00E543D0">
        <w:tc>
          <w:tcPr>
            <w:tcW w:w="2299" w:type="dxa"/>
          </w:tcPr>
          <w:p w14:paraId="56CCB8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крыльев (кв. м)</w:t>
            </w:r>
          </w:p>
        </w:tc>
        <w:tc>
          <w:tcPr>
            <w:tcW w:w="2299" w:type="dxa"/>
          </w:tcPr>
          <w:p w14:paraId="06C05A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w:t>
            </w:r>
          </w:p>
        </w:tc>
        <w:tc>
          <w:tcPr>
            <w:tcW w:w="2299" w:type="dxa"/>
          </w:tcPr>
          <w:p w14:paraId="1C4D4C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2299" w:type="dxa"/>
          </w:tcPr>
          <w:p w14:paraId="5C8DAD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38,5</w:t>
            </w:r>
          </w:p>
        </w:tc>
      </w:tr>
      <w:tr w:rsidR="007D5DF8" w:rsidRPr="00DB5D0D" w14:paraId="0F9D1758" w14:textId="77777777" w:rsidTr="00E543D0">
        <w:tc>
          <w:tcPr>
            <w:tcW w:w="2299" w:type="dxa"/>
            <w:tcBorders>
              <w:bottom w:val="single" w:sz="12" w:space="0" w:color="auto"/>
            </w:tcBorders>
          </w:tcPr>
          <w:p w14:paraId="6FC887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1 кв. м (кг)</w:t>
            </w:r>
          </w:p>
        </w:tc>
        <w:tc>
          <w:tcPr>
            <w:tcW w:w="2299" w:type="dxa"/>
            <w:tcBorders>
              <w:bottom w:val="single" w:sz="12" w:space="0" w:color="auto"/>
            </w:tcBorders>
          </w:tcPr>
          <w:p w14:paraId="7B0A24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169</w:t>
            </w:r>
          </w:p>
        </w:tc>
        <w:tc>
          <w:tcPr>
            <w:tcW w:w="2299" w:type="dxa"/>
            <w:tcBorders>
              <w:bottom w:val="single" w:sz="12" w:space="0" w:color="auto"/>
            </w:tcBorders>
          </w:tcPr>
          <w:p w14:paraId="4F20B0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141</w:t>
            </w:r>
          </w:p>
        </w:tc>
        <w:tc>
          <w:tcPr>
            <w:tcW w:w="2299" w:type="dxa"/>
            <w:tcBorders>
              <w:bottom w:val="single" w:sz="12" w:space="0" w:color="auto"/>
            </w:tcBorders>
          </w:tcPr>
          <w:p w14:paraId="34111D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122,5</w:t>
            </w:r>
          </w:p>
        </w:tc>
      </w:tr>
    </w:tbl>
    <w:p w14:paraId="189549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323899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Выбранная конструктором схема самолета в отношении обзора, размещения стрелкового вооружения и бронирования, является удовлетворительной.</w:t>
      </w:r>
    </w:p>
    <w:p w14:paraId="406CC9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Летно-тактические данные проекта в отношении весовых характеристик, дальности, посадочной скорости разбега и пробега, недостаточно обоснованы и требуют дополнительной проработки.</w:t>
      </w:r>
    </w:p>
    <w:p w14:paraId="288D82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Самолет не имеет никаких приспособлений для ограничения скорости при пикировании, поэтому бомбометание с пикирования будет затруднено и самолет не может соответствовать типу пикирующего штурмовика.</w:t>
      </w:r>
    </w:p>
    <w:p w14:paraId="57CA59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проекте совершенно не проработан вопрос специального оборудования самолета.</w:t>
      </w:r>
    </w:p>
    <w:p w14:paraId="08C9B0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Самолет ПБШ-1 представляет особый интерес, как самолет, имеющий мощное бронирование и мощное стрелковое вооружение.</w:t>
      </w:r>
    </w:p>
    <w:p w14:paraId="3C8558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2A2CD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схеме бронирования, вооружению и обзору летчика вперед, проект самолета ПБШ-1 представляет интерес для ВВС, но взлетно-посадочные свойства самолета Тактико-техническим требованиям не отвечает, поэтому предложить конструктору к 10 августа с.г. вторично представить проект на рассмотрение, обеспечив в нем соответствие Тактико-техническим требованиям данных разбега, пробега и посадочной скорости и дополнив его проработкой:</w:t>
      </w:r>
    </w:p>
    <w:p w14:paraId="1AA7DF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мероприятий по обеспечению устойчивости;</w:t>
      </w:r>
    </w:p>
    <w:p w14:paraId="354151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весовых характеристик самолета и нагрузки;</w:t>
      </w:r>
    </w:p>
    <w:p w14:paraId="25E644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расчета бронирования;</w:t>
      </w:r>
    </w:p>
    <w:p w14:paraId="0DDF55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оборудования спецслужбами;</w:t>
      </w:r>
    </w:p>
    <w:p w14:paraId="4BDCBF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данных маневренности самолета;</w:t>
      </w:r>
    </w:p>
    <w:p w14:paraId="6E9AB6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подробной схемы загрузки бомбовых секций разными калибрами бомб;</w:t>
      </w:r>
    </w:p>
    <w:p w14:paraId="4063EF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разрешить подготовку макета самолета.</w:t>
      </w:r>
    </w:p>
    <w:p w14:paraId="54E9D1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Предложить конструктору проработать применение приспособлений для ограничения скорости при пикировании (2063,4).</w:t>
      </w:r>
    </w:p>
    <w:p w14:paraId="291D074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AD023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г. в заключении НИИ ВВС, утвержденном Врио заместителя начальника ВВС КА бри</w:t>
      </w:r>
      <w:r w:rsidRPr="00DB5D0D">
        <w:rPr>
          <w:rFonts w:ascii="Times New Roman" w:hAnsi="Times New Roman"/>
          <w:color w:val="000000" w:themeColor="text1"/>
          <w:sz w:val="16"/>
          <w:szCs w:val="16"/>
        </w:rPr>
        <w:softHyphen/>
        <w:t>гадным инженером Федоровым, отме</w:t>
      </w:r>
      <w:r w:rsidRPr="00DB5D0D">
        <w:rPr>
          <w:rFonts w:ascii="Times New Roman" w:hAnsi="Times New Roman"/>
          <w:color w:val="000000" w:themeColor="text1"/>
          <w:sz w:val="16"/>
          <w:szCs w:val="16"/>
        </w:rPr>
        <w:softHyphen/>
        <w:t>чалось, что самолет ПБШ-1 ОКО завода 1 не имеет никаких приспособлений для ограничения ско</w:t>
      </w:r>
      <w:r w:rsidRPr="00DB5D0D">
        <w:rPr>
          <w:rFonts w:ascii="Times New Roman" w:hAnsi="Times New Roman"/>
          <w:color w:val="000000" w:themeColor="text1"/>
          <w:sz w:val="16"/>
          <w:szCs w:val="16"/>
        </w:rPr>
        <w:softHyphen/>
        <w:t>рости при пикировании, в связи с чем такое бомбометание будет затруднено, поэтому ПБШ-1 не может соответство</w:t>
      </w:r>
      <w:r w:rsidRPr="00DB5D0D">
        <w:rPr>
          <w:rFonts w:ascii="Times New Roman" w:hAnsi="Times New Roman"/>
          <w:color w:val="000000" w:themeColor="text1"/>
          <w:sz w:val="16"/>
          <w:szCs w:val="16"/>
        </w:rPr>
        <w:softHyphen/>
        <w:t>вать типу пикирующего бомбардиров</w:t>
      </w:r>
      <w:r w:rsidRPr="00DB5D0D">
        <w:rPr>
          <w:rFonts w:ascii="Times New Roman" w:hAnsi="Times New Roman"/>
          <w:color w:val="000000" w:themeColor="text1"/>
          <w:sz w:val="16"/>
          <w:szCs w:val="16"/>
        </w:rPr>
        <w:softHyphen/>
        <w:t>щика. Материалов, подтверждающих, что его конструкция рассчитана на 11-ти - 13-ти кратную перегрузку, что тре</w:t>
      </w:r>
      <w:r w:rsidRPr="00DB5D0D">
        <w:rPr>
          <w:rFonts w:ascii="Times New Roman" w:hAnsi="Times New Roman"/>
          <w:color w:val="000000" w:themeColor="text1"/>
          <w:sz w:val="16"/>
          <w:szCs w:val="16"/>
        </w:rPr>
        <w:softHyphen/>
        <w:t>бовалось для подобного самолета, так- же представлено не было. Вполне оче</w:t>
      </w:r>
      <w:r w:rsidRPr="00DB5D0D">
        <w:rPr>
          <w:rFonts w:ascii="Times New Roman" w:hAnsi="Times New Roman"/>
          <w:color w:val="000000" w:themeColor="text1"/>
          <w:sz w:val="16"/>
          <w:szCs w:val="16"/>
        </w:rPr>
        <w:softHyphen/>
        <w:t>видно, что при массе пустого самолета около 4000 кг его прочность на такую перегрузку не обеспечивалась. Как от</w:t>
      </w:r>
      <w:r w:rsidRPr="00DB5D0D">
        <w:rPr>
          <w:rFonts w:ascii="Times New Roman" w:hAnsi="Times New Roman"/>
          <w:color w:val="000000" w:themeColor="text1"/>
          <w:sz w:val="16"/>
          <w:szCs w:val="16"/>
        </w:rPr>
        <w:softHyphen/>
        <w:t>мечалось выше, для бомбометания с пикирования на ПБШ-1 предусматри</w:t>
      </w:r>
      <w:r w:rsidRPr="00DB5D0D">
        <w:rPr>
          <w:rFonts w:ascii="Times New Roman" w:hAnsi="Times New Roman"/>
          <w:color w:val="000000" w:themeColor="text1"/>
          <w:sz w:val="16"/>
          <w:szCs w:val="16"/>
        </w:rPr>
        <w:softHyphen/>
        <w:t>вали использование двух бомб калиб</w:t>
      </w:r>
      <w:r w:rsidRPr="00DB5D0D">
        <w:rPr>
          <w:rFonts w:ascii="Times New Roman" w:hAnsi="Times New Roman"/>
          <w:color w:val="000000" w:themeColor="text1"/>
          <w:sz w:val="16"/>
          <w:szCs w:val="16"/>
        </w:rPr>
        <w:softHyphen/>
        <w:t>ром не более 100 кг. Для фронтового пикирующего бомбардировщика нуж</w:t>
      </w:r>
      <w:r w:rsidRPr="00DB5D0D">
        <w:rPr>
          <w:rFonts w:ascii="Times New Roman" w:hAnsi="Times New Roman"/>
          <w:color w:val="000000" w:themeColor="text1"/>
          <w:sz w:val="16"/>
          <w:szCs w:val="16"/>
        </w:rPr>
        <w:softHyphen/>
        <w:t>ны были бомбы калибра 250 и 500 кг. Таким образом, ПБШ-1 мог рассмат</w:t>
      </w:r>
      <w:r w:rsidRPr="00DB5D0D">
        <w:rPr>
          <w:rFonts w:ascii="Times New Roman" w:hAnsi="Times New Roman"/>
          <w:color w:val="000000" w:themeColor="text1"/>
          <w:sz w:val="16"/>
          <w:szCs w:val="16"/>
        </w:rPr>
        <w:softHyphen/>
        <w:t>риваться только как одноместный бро</w:t>
      </w:r>
      <w:r w:rsidRPr="00DB5D0D">
        <w:rPr>
          <w:rFonts w:ascii="Times New Roman" w:hAnsi="Times New Roman"/>
          <w:color w:val="000000" w:themeColor="text1"/>
          <w:sz w:val="16"/>
          <w:szCs w:val="16"/>
        </w:rPr>
        <w:softHyphen/>
        <w:t>нированный штурмовик. Летно-тактические данные проекта в отношении весовых характеристик, дальности, посадочной скорости, дли</w:t>
      </w:r>
      <w:r w:rsidRPr="00DB5D0D">
        <w:rPr>
          <w:rFonts w:ascii="Times New Roman" w:hAnsi="Times New Roman"/>
          <w:color w:val="000000" w:themeColor="text1"/>
          <w:sz w:val="16"/>
          <w:szCs w:val="16"/>
        </w:rPr>
        <w:softHyphen/>
        <w:t>ны разбега и пробега, по мнению во</w:t>
      </w:r>
      <w:r w:rsidRPr="00DB5D0D">
        <w:rPr>
          <w:rFonts w:ascii="Times New Roman" w:hAnsi="Times New Roman"/>
          <w:color w:val="000000" w:themeColor="text1"/>
          <w:sz w:val="16"/>
          <w:szCs w:val="16"/>
        </w:rPr>
        <w:softHyphen/>
        <w:t>енных, были недостаточно обоснованы и требовали дополнительной проработ</w:t>
      </w:r>
      <w:r w:rsidRPr="00DB5D0D">
        <w:rPr>
          <w:rFonts w:ascii="Times New Roman" w:hAnsi="Times New Roman"/>
          <w:color w:val="000000" w:themeColor="text1"/>
          <w:sz w:val="16"/>
          <w:szCs w:val="16"/>
        </w:rPr>
        <w:softHyphen/>
        <w:t>ки. В анализе запроектированных дан</w:t>
      </w:r>
      <w:r w:rsidRPr="00DB5D0D">
        <w:rPr>
          <w:rFonts w:ascii="Times New Roman" w:hAnsi="Times New Roman"/>
          <w:color w:val="000000" w:themeColor="text1"/>
          <w:sz w:val="16"/>
          <w:szCs w:val="16"/>
        </w:rPr>
        <w:softHyphen/>
        <w:t>ных они отмечали, что весовая сводка составлена недостаточно полно и ожи</w:t>
      </w:r>
      <w:r w:rsidRPr="00DB5D0D">
        <w:rPr>
          <w:rFonts w:ascii="Times New Roman" w:hAnsi="Times New Roman"/>
          <w:color w:val="000000" w:themeColor="text1"/>
          <w:sz w:val="16"/>
          <w:szCs w:val="16"/>
        </w:rPr>
        <w:softHyphen/>
        <w:t>даемая взлетная масса будет на 400 кг больше и составит около 5254 кг. Кро</w:t>
      </w:r>
      <w:r w:rsidRPr="00DB5D0D">
        <w:rPr>
          <w:rFonts w:ascii="Times New Roman" w:hAnsi="Times New Roman"/>
          <w:color w:val="000000" w:themeColor="text1"/>
          <w:sz w:val="16"/>
          <w:szCs w:val="16"/>
        </w:rPr>
        <w:softHyphen/>
        <w:t>ме того, совершенно не проработан вопрос спецоборудования. При расчете скоростей полета ПБШ-1 использовали результаты аэро</w:t>
      </w:r>
      <w:r w:rsidRPr="00DB5D0D">
        <w:rPr>
          <w:rFonts w:ascii="Times New Roman" w:hAnsi="Times New Roman"/>
          <w:color w:val="000000" w:themeColor="text1"/>
          <w:sz w:val="16"/>
          <w:szCs w:val="16"/>
        </w:rPr>
        <w:softHyphen/>
        <w:t>динамического расчета истребителя И-200. Специалисты НИИ ВВС полага</w:t>
      </w:r>
      <w:r w:rsidRPr="00DB5D0D">
        <w:rPr>
          <w:rFonts w:ascii="Times New Roman" w:hAnsi="Times New Roman"/>
          <w:color w:val="000000" w:themeColor="text1"/>
          <w:sz w:val="16"/>
          <w:szCs w:val="16"/>
        </w:rPr>
        <w:softHyphen/>
        <w:t>ли, что расчет максимальной скорости составлен правильно и снижение ско</w:t>
      </w:r>
      <w:r w:rsidRPr="00DB5D0D">
        <w:rPr>
          <w:rFonts w:ascii="Times New Roman" w:hAnsi="Times New Roman"/>
          <w:color w:val="000000" w:themeColor="text1"/>
          <w:sz w:val="16"/>
          <w:szCs w:val="16"/>
        </w:rPr>
        <w:softHyphen/>
        <w:t>рости на 2-3 % произойдет только из-за возрастания взлетной массы. Одна</w:t>
      </w:r>
      <w:r w:rsidRPr="00DB5D0D">
        <w:rPr>
          <w:rFonts w:ascii="Times New Roman" w:hAnsi="Times New Roman"/>
          <w:color w:val="000000" w:themeColor="text1"/>
          <w:sz w:val="16"/>
          <w:szCs w:val="16"/>
        </w:rPr>
        <w:softHyphen/>
        <w:t>ко следовало ожидать более заметного снижения максимальной скорости за счет учета реального к.п.д. винта (в расчете, в отличие от И-200, принято значение к.п.д., равное 0,801, а реаль</w:t>
      </w:r>
      <w:r w:rsidRPr="00DB5D0D">
        <w:rPr>
          <w:rFonts w:ascii="Times New Roman" w:hAnsi="Times New Roman"/>
          <w:color w:val="000000" w:themeColor="text1"/>
          <w:sz w:val="16"/>
          <w:szCs w:val="16"/>
        </w:rPr>
        <w:softHyphen/>
        <w:t>но он мог быть не более 0,75) и разни</w:t>
      </w:r>
      <w:r w:rsidRPr="00DB5D0D">
        <w:rPr>
          <w:rFonts w:ascii="Times New Roman" w:hAnsi="Times New Roman"/>
          <w:color w:val="000000" w:themeColor="text1"/>
          <w:sz w:val="16"/>
          <w:szCs w:val="16"/>
        </w:rPr>
        <w:softHyphen/>
        <w:t>цы в лобовых сопротивлениях фонаря истребителя И-200 и штурмовика ПБШ-1. В итоге максимальная ско</w:t>
      </w:r>
      <w:r w:rsidRPr="00DB5D0D">
        <w:rPr>
          <w:rFonts w:ascii="Times New Roman" w:hAnsi="Times New Roman"/>
          <w:color w:val="000000" w:themeColor="text1"/>
          <w:sz w:val="16"/>
          <w:szCs w:val="16"/>
        </w:rPr>
        <w:softHyphen/>
        <w:t>рость у земли реально могла быть око</w:t>
      </w:r>
      <w:r w:rsidRPr="00DB5D0D">
        <w:rPr>
          <w:rFonts w:ascii="Times New Roman" w:hAnsi="Times New Roman"/>
          <w:color w:val="000000" w:themeColor="text1"/>
          <w:sz w:val="16"/>
          <w:szCs w:val="16"/>
        </w:rPr>
        <w:softHyphen/>
        <w:t>ло 420 км/час. Соответственно, время набора 5000 м могло составить 11,5-12,0 мин. Выбранная конструктивная схема в отношении обзора, размещения стрел</w:t>
      </w:r>
      <w:r w:rsidRPr="00DB5D0D">
        <w:rPr>
          <w:rFonts w:ascii="Times New Roman" w:hAnsi="Times New Roman"/>
          <w:color w:val="000000" w:themeColor="text1"/>
          <w:sz w:val="16"/>
          <w:szCs w:val="16"/>
        </w:rPr>
        <w:softHyphen/>
        <w:t>кового вооружения и бронирования являлась удовлетворительной. Угол обзора из кабины пилота вперед-прямо-вниз составлял 9, что признано во</w:t>
      </w:r>
      <w:r w:rsidRPr="00DB5D0D">
        <w:rPr>
          <w:rFonts w:ascii="Times New Roman" w:hAnsi="Times New Roman"/>
          <w:color w:val="000000" w:themeColor="text1"/>
          <w:sz w:val="16"/>
          <w:szCs w:val="16"/>
        </w:rPr>
        <w:softHyphen/>
        <w:t>енными вполне достаточным. Напри</w:t>
      </w:r>
      <w:r w:rsidRPr="00DB5D0D">
        <w:rPr>
          <w:rFonts w:ascii="Times New Roman" w:hAnsi="Times New Roman"/>
          <w:color w:val="000000" w:themeColor="text1"/>
          <w:sz w:val="16"/>
          <w:szCs w:val="16"/>
        </w:rPr>
        <w:softHyphen/>
        <w:t>мер, у Ил-2 этот угол составлял 8. Но если стрелково-пушечное вооружение ПБШ-1 признали достаточно мощным, то бомбардировочное очень слабым. Относительно высокая оценка была дана бронированию самолета. В зак</w:t>
      </w:r>
      <w:r w:rsidRPr="00DB5D0D">
        <w:rPr>
          <w:rFonts w:ascii="Times New Roman" w:hAnsi="Times New Roman"/>
          <w:color w:val="000000" w:themeColor="text1"/>
          <w:sz w:val="16"/>
          <w:szCs w:val="16"/>
        </w:rPr>
        <w:softHyphen/>
        <w:t>лючении было отмечено, что схема бро</w:t>
      </w:r>
      <w:r w:rsidRPr="00DB5D0D">
        <w:rPr>
          <w:rFonts w:ascii="Times New Roman" w:hAnsi="Times New Roman"/>
          <w:color w:val="000000" w:themeColor="text1"/>
          <w:sz w:val="16"/>
          <w:szCs w:val="16"/>
        </w:rPr>
        <w:softHyphen/>
        <w:t>нирования является удовлетворитель</w:t>
      </w:r>
      <w:r w:rsidRPr="00DB5D0D">
        <w:rPr>
          <w:rFonts w:ascii="Times New Roman" w:hAnsi="Times New Roman"/>
          <w:color w:val="000000" w:themeColor="text1"/>
          <w:sz w:val="16"/>
          <w:szCs w:val="16"/>
        </w:rPr>
        <w:softHyphen/>
        <w:t>ной, так как броней защищаются все наиболее жизненные части самолета, в том числе летчик, мотор, радиаторы, бензобаки и основные агрегаты обору</w:t>
      </w:r>
      <w:r w:rsidRPr="00DB5D0D">
        <w:rPr>
          <w:rFonts w:ascii="Times New Roman" w:hAnsi="Times New Roman"/>
          <w:color w:val="000000" w:themeColor="text1"/>
          <w:sz w:val="16"/>
          <w:szCs w:val="16"/>
        </w:rPr>
        <w:softHyphen/>
        <w:t>дования. Броневые плиты толщиной в 15 мм, установленные впереди мотора и сзади кабины летчика, могли защи</w:t>
      </w:r>
      <w:r w:rsidRPr="00DB5D0D">
        <w:rPr>
          <w:rFonts w:ascii="Times New Roman" w:hAnsi="Times New Roman"/>
          <w:color w:val="000000" w:themeColor="text1"/>
          <w:sz w:val="16"/>
          <w:szCs w:val="16"/>
        </w:rPr>
        <w:softHyphen/>
        <w:t>щать от бронебойных пуль калибра 12-13 мм включительно с дистанции об</w:t>
      </w:r>
      <w:r w:rsidRPr="00DB5D0D">
        <w:rPr>
          <w:rFonts w:ascii="Times New Roman" w:hAnsi="Times New Roman"/>
          <w:color w:val="000000" w:themeColor="text1"/>
          <w:sz w:val="16"/>
          <w:szCs w:val="16"/>
        </w:rPr>
        <w:softHyphen/>
        <w:t>стрела до 200 м при высоте полета 25 м. Броневые плиты толщиной 7,5 мм, установленные на бортах кабины и мотоотсека, при тех же условиях об</w:t>
      </w:r>
      <w:r w:rsidRPr="00DB5D0D">
        <w:rPr>
          <w:rFonts w:ascii="Times New Roman" w:hAnsi="Times New Roman"/>
          <w:color w:val="000000" w:themeColor="text1"/>
          <w:sz w:val="16"/>
          <w:szCs w:val="16"/>
        </w:rPr>
        <w:softHyphen/>
        <w:t>стрела обеспечивали защиту только от бронебойных пуль калибра 7-8 мм. То же относилось и к броневым щитам толщиной 5,5 мм, установленным сни</w:t>
      </w:r>
      <w:r w:rsidRPr="00DB5D0D">
        <w:rPr>
          <w:rFonts w:ascii="Times New Roman" w:hAnsi="Times New Roman"/>
          <w:color w:val="000000" w:themeColor="text1"/>
          <w:sz w:val="16"/>
          <w:szCs w:val="16"/>
        </w:rPr>
        <w:softHyphen/>
        <w:t>зу (5278).</w:t>
      </w:r>
    </w:p>
    <w:p w14:paraId="5D39CBA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вышесказанным, специа</w:t>
      </w:r>
      <w:r w:rsidRPr="00DB5D0D">
        <w:rPr>
          <w:rFonts w:ascii="Times New Roman" w:hAnsi="Times New Roman"/>
          <w:color w:val="000000" w:themeColor="text1"/>
          <w:sz w:val="16"/>
          <w:szCs w:val="16"/>
        </w:rPr>
        <w:softHyphen/>
        <w:t>листы НИИ ВВС отметили, что ПБШ-1 представляет особый интерес для ВВС КА как самолет, имеющий мощное бро</w:t>
      </w:r>
      <w:r w:rsidRPr="00DB5D0D">
        <w:rPr>
          <w:rFonts w:ascii="Times New Roman" w:hAnsi="Times New Roman"/>
          <w:color w:val="000000" w:themeColor="text1"/>
          <w:sz w:val="16"/>
          <w:szCs w:val="16"/>
        </w:rPr>
        <w:softHyphen/>
        <w:t>нирование, мощное стрелковое воору</w:t>
      </w:r>
      <w:r w:rsidRPr="00DB5D0D">
        <w:rPr>
          <w:rFonts w:ascii="Times New Roman" w:hAnsi="Times New Roman"/>
          <w:color w:val="000000" w:themeColor="text1"/>
          <w:sz w:val="16"/>
          <w:szCs w:val="16"/>
        </w:rPr>
        <w:softHyphen/>
        <w:t>жение и хороший обзор вперед. Одна</w:t>
      </w:r>
      <w:r w:rsidRPr="00DB5D0D">
        <w:rPr>
          <w:rFonts w:ascii="Times New Roman" w:hAnsi="Times New Roman"/>
          <w:color w:val="000000" w:themeColor="text1"/>
          <w:sz w:val="16"/>
          <w:szCs w:val="16"/>
        </w:rPr>
        <w:softHyphen/>
        <w:t>ко по взлетно-посадочным свойствам самолет не отвечает тактико-техничес</w:t>
      </w:r>
      <w:r w:rsidRPr="00DB5D0D">
        <w:rPr>
          <w:rFonts w:ascii="Times New Roman" w:hAnsi="Times New Roman"/>
          <w:color w:val="000000" w:themeColor="text1"/>
          <w:sz w:val="16"/>
          <w:szCs w:val="16"/>
        </w:rPr>
        <w:softHyphen/>
        <w:t>ким требованиям, и поэтому они пред</w:t>
      </w:r>
      <w:r w:rsidRPr="00DB5D0D">
        <w:rPr>
          <w:rFonts w:ascii="Times New Roman" w:hAnsi="Times New Roman"/>
          <w:color w:val="000000" w:themeColor="text1"/>
          <w:sz w:val="16"/>
          <w:szCs w:val="16"/>
        </w:rPr>
        <w:softHyphen/>
        <w:t>ложили конструкторам к 10 августа 1940 г. вторично представить проект на рассмотрение, обеспечив в нем со</w:t>
      </w:r>
      <w:r w:rsidRPr="00DB5D0D">
        <w:rPr>
          <w:rFonts w:ascii="Times New Roman" w:hAnsi="Times New Roman"/>
          <w:color w:val="000000" w:themeColor="text1"/>
          <w:sz w:val="16"/>
          <w:szCs w:val="16"/>
        </w:rPr>
        <w:softHyphen/>
        <w:t>ответствие ТТТ данных по разбегу, пробегу и посадочной скорости. Кроме того, необходимо было проработать ме</w:t>
      </w:r>
      <w:r w:rsidRPr="00DB5D0D">
        <w:rPr>
          <w:rFonts w:ascii="Times New Roman" w:hAnsi="Times New Roman"/>
          <w:color w:val="000000" w:themeColor="text1"/>
          <w:sz w:val="16"/>
          <w:szCs w:val="16"/>
        </w:rPr>
        <w:softHyphen/>
        <w:t>роприятия по обеспечению устойчиво</w:t>
      </w:r>
      <w:r w:rsidRPr="00DB5D0D">
        <w:rPr>
          <w:rFonts w:ascii="Times New Roman" w:hAnsi="Times New Roman"/>
          <w:color w:val="000000" w:themeColor="text1"/>
          <w:sz w:val="16"/>
          <w:szCs w:val="16"/>
        </w:rPr>
        <w:softHyphen/>
        <w:t>сти, весовые характеристики самолета и нагрузки, расчеты бронирования, спе</w:t>
      </w:r>
      <w:r w:rsidRPr="00DB5D0D">
        <w:rPr>
          <w:rFonts w:ascii="Times New Roman" w:hAnsi="Times New Roman"/>
          <w:color w:val="000000" w:themeColor="text1"/>
          <w:sz w:val="16"/>
          <w:szCs w:val="16"/>
        </w:rPr>
        <w:softHyphen/>
        <w:t>цоборудование, данные маневренности самолета и схему загрузки бомбовых секций бомбами различного калибра. Также ОКО предложили разработать специальные приспособления для огра</w:t>
      </w:r>
      <w:r w:rsidRPr="00DB5D0D">
        <w:rPr>
          <w:rFonts w:ascii="Times New Roman" w:hAnsi="Times New Roman"/>
          <w:color w:val="000000" w:themeColor="text1"/>
          <w:sz w:val="16"/>
          <w:szCs w:val="16"/>
        </w:rPr>
        <w:softHyphen/>
        <w:t>ничения скорости пикирования. Одно</w:t>
      </w:r>
      <w:r w:rsidRPr="00DB5D0D">
        <w:rPr>
          <w:rFonts w:ascii="Times New Roman" w:hAnsi="Times New Roman"/>
          <w:color w:val="000000" w:themeColor="text1"/>
          <w:sz w:val="16"/>
          <w:szCs w:val="16"/>
        </w:rPr>
        <w:softHyphen/>
        <w:t>временно с этим военные разрешили постройку макета самолета (5278).</w:t>
      </w:r>
    </w:p>
    <w:p w14:paraId="0D465B7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F3005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г. Заключение НИИ ВВС на эскизный проект ПБШ-1 ОКБ А.И.М. было утверждено ВРИО заместителя Начальника ВВС КА бригадным инженером Федоровым (9649).</w:t>
      </w:r>
    </w:p>
    <w:p w14:paraId="50492F3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2A57108" w14:textId="77777777" w:rsidR="00B37C33" w:rsidRPr="00DB5D0D" w:rsidRDefault="00B37C33"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5 августа 1940 г. в заключении НИИ ВВС по ПБШ-1, утвержденном Врио заместителя начальника ВВС КА бригадным инженером Федоровым, отмечалось, что самолет не имеет никаких приспособлений для ограничения скорости при пикировании, в связи с чем такое бомбометание будет затруднено, поэтому ПБШ-1 не может соответствовать типу пикирующего бомбардировщика. Материалов, подтверждающих, что его конструкция рассчитана на 11-ти - 13-ти кратную перегрузку, что требовалось для подобного самолета, также представлено не было. Вполне очевидно, что при массе пустого самолета около 4000 кг его прочность на такую перегрузку не обеспечивалась. Как отмечалось выше, для бомбометания с пикирования на ПБШ-1 предусматривали использование двух бомб калибром не более 100 кг. Для фронтового пикирующего бомбардировщика нужны были бомбы калибра 250 и 500 кг. Таким образом, ПБШ-1 мог рассматриваться только как одноместный бронированный штурмовик.</w:t>
      </w:r>
    </w:p>
    <w:p w14:paraId="3FEDF2C8" w14:textId="77777777" w:rsidR="00B37C33" w:rsidRPr="00DB5D0D" w:rsidRDefault="00B37C33"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Летно-тактические данные проекта в отношении весовых характеристик, дальности, посадочной скорости, длины разбега и пробега, по мнению военных, были недостаточно обоснованы и требовали дополнительной проработки. В анализе запроектированных данных они отмечали, что весовая сводка составлена недостаточно полно и ожидаемая взлетная масса будет на 400 кг больше и составит около 5254 кг. Кроме того, совершенно не проработан вопрос спецоборудования.</w:t>
      </w:r>
    </w:p>
    <w:p w14:paraId="2687C94F" w14:textId="77777777" w:rsidR="00B37C33" w:rsidRPr="00DB5D0D" w:rsidRDefault="00B37C33"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При расчете скоростей полета ПБШ-1 использовали результаты аэродинамического расчета истребителя И-200. Специалисты НИИ ВВС полагали, что расчет максимальной скорости составлен правильно и снижение скорости на 2-3 % произойдет только из-за возрастания взлетной массы. Однако следовало ожидать более заметного снижения максимальной скорости за счет учета реального к.п.д. винта (в расчете, в отличие от И-200, принято значение к.п.д., равное 0,801, а реально он мог быть не более 0,75) и разницы в лобовых сопротивлениях фонаря истребителя И-200 и штурмовика ПБШ-1. В итоге максимальная ско-рвснь у эемли реально могла быть около 400 км/час. Соответственно, время набора 5000 м могло составить 11,5-12,0 мин.</w:t>
      </w:r>
    </w:p>
    <w:p w14:paraId="4242AFB2" w14:textId="77777777" w:rsidR="00B37C33" w:rsidRPr="00DB5D0D" w:rsidRDefault="00B37C33"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Выбранная конструктивная схема в отношении обзора, размещения стрелкового вооружения и бронирования являлась удовлетворительной. Угол обзора из кабины пилота вперед-прямо-вниз составлял 9, что признано военными вполне достаточным. Например, у Ил-2 этот угол составлял 8. Но если стрелково-пушечное вооружение ПБШ-1 признали достаточно мощным, то бомбардировочное очень слабым.</w:t>
      </w:r>
    </w:p>
    <w:p w14:paraId="135B0AE5" w14:textId="77777777" w:rsidR="00B37C33" w:rsidRPr="00DB5D0D" w:rsidRDefault="00B37C33"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Относительно высокая оценка была дана бронированию самолета. В заключении было отмечено, что схема бронирования является удовлетворительной, так как броней защищаются все наиболее жизненные части самолета, в том числе летчик, мотор, радиаторы, бензобаки и основные агрегаты оборудования. Броневые плиты толщиной в 15 мм, установленные впереди мотора и сзади кабины летчика, могли защищать от бронебойных пуль калибра 12-13 мм включительно с дистанции обстрела до 200 м при высоте полета 25 м. Броневые плиты толщиной 7,5 мм, уставленные на бортах кабины и мотоотсека, при тех же условиях обстрела обеспечивали защиту только от бронебойных пуль калибра 7-8 мм. То же относилось и к броневым щитам толщиной 5,5 мм, установленным снизу.</w:t>
      </w:r>
    </w:p>
    <w:p w14:paraId="26BDB4C1" w14:textId="77777777" w:rsidR="00B37C33" w:rsidRPr="00DB5D0D" w:rsidRDefault="00B37C33"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связи с вышесказанным, специалисты НИИ ВВС отметили, что ПБШ-1 представляет особый интерес для ВВС КА как самолет, имеющий мощное бронирование, мощное стрелковое вооружение и хороший обзор вперед. Однако по взлетно-посадочным свойствам самолет не отвечает тактико-техническим требованиям, и поэтому они предложили конструкторам к 10 августа 1940 г. вторично представить проект на рассмотрение, обеспечив в нем соответствие ТТТ данных по разбегу, пробегу и посадочной скорости. Кроме того, необходимо было проработать мероприятия по обеспечению устойчивости, весовые характеристики самолета и нагрузки, расчеты бронирования, спецоборудование, данные маневренности самолета и схему загрузки бомбовых секций бомбами различного калибра. Также ОКО предложили разработать специальные приспособления для ограничения скорости пикирования. Одновременно с этим военные разрешили постройку макета самолета (19568).</w:t>
      </w:r>
    </w:p>
    <w:p w14:paraId="56CC277B" w14:textId="77777777" w:rsidR="00B37C33" w:rsidRPr="00DB5D0D" w:rsidRDefault="00B37C33"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1136B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А.И.Ш. была направлена Справка N 23/1492:</w:t>
      </w:r>
    </w:p>
    <w:p w14:paraId="1112FB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вооружении ВВС НКВМФ имеются:</w:t>
      </w:r>
    </w:p>
    <w:p w14:paraId="203656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торпеда 25-36 АН (45 см, образца 1936, авиационная, низкого торпедометания).</w:t>
      </w:r>
    </w:p>
    <w:p w14:paraId="5FA7F7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длинна торпеды 5.7 м, диаметр 450 мм, вес 935 кг, вес заряда 200 кг</w:t>
      </w:r>
    </w:p>
    <w:p w14:paraId="49D75B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 торпеда 25-36 АВ-А (45 см., образца 1936, авиационная, высотная, Алферова).</w:t>
      </w:r>
    </w:p>
    <w:p w14:paraId="65F09B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ее те же, что и торпеды 45-36 АН, только при торпедометании к ней присоединяется конус с парашютом (дополнительный вес около 70 кг).</w:t>
      </w:r>
    </w:p>
    <w:p w14:paraId="5A9C9F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мина АМГ-1 (Авиационная мина Гейро). Длинна 2.5 м, диаметр 980 мм, вес 900 кг.</w:t>
      </w:r>
    </w:p>
    <w:p w14:paraId="45B167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нашей промышленности были построены и испытаны торпедоносцы Р-5 и самолет 41 конструктора В.М.М.. Последний самолет потерпел аварию при заводских испытаниях.</w:t>
      </w:r>
    </w:p>
    <w:p w14:paraId="41DE55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торпедоносцем является самолет ДБ-3, который прошел испытания в 1938 и с 1939 заказывается отдельными сериями.</w:t>
      </w:r>
    </w:p>
    <w:p w14:paraId="0974A2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 подвешивается одна торпеда или одна мина.</w:t>
      </w:r>
    </w:p>
    <w:p w14:paraId="5A9304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Торпедодержатель Т-18 изготавливается заводом 32. Мина подвешивается на замок Дер-20. Прицелом низкого торпедометания является ПТН-4, в последнее время заменяется ПТН-5 (производства завода 217 НКВ). Для высокого торпедометания применяется прицел ОПБ-1М. Опытный образец нового прицела ПВТ-1 разрабатывается НИИ-22 НКАП. КБ-1 завода 32 разрабатывает установку двух торпед на ДБ-3.</w:t>
      </w:r>
    </w:p>
    <w:p w14:paraId="5512EC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опытных самолетов НК ВМФ просит приспособить в качестве торпедоносца самолеты ДБ-240, 102 и лодку Самсонова.</w:t>
      </w:r>
    </w:p>
    <w:p w14:paraId="51F7F0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Низкое торпедометание производится с высоты 30 м на скорости 240-260 км/час.</w:t>
      </w:r>
    </w:p>
    <w:p w14:paraId="2FCD20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Высотное торпедометание производится с высот от 250 до 4000 м на любых скоростях.</w:t>
      </w:r>
    </w:p>
    <w:p w14:paraId="6B765C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мин производится с высот от 60 до 600 м на любых скоростях.</w:t>
      </w:r>
    </w:p>
    <w:p w14:paraId="36D6D4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иностранной минно-торпедной авиации имеются только некоторые устаревшие данные, таблица составлена по литературным данным.</w:t>
      </w:r>
    </w:p>
    <w:p w14:paraId="6A9396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Имеются сведения, что немецкий самолет Не-115 ставит мины на плаву. Однако, более конкретных данных - нет.</w:t>
      </w:r>
    </w:p>
    <w:p w14:paraId="3AFAE6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минно-торпедной авиации в Германии ничего не закуплено.</w:t>
      </w:r>
    </w:p>
    <w:p w14:paraId="467497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средствах постановки мин английской авиации сведений нет.</w:t>
      </w:r>
    </w:p>
    <w:p w14:paraId="01F01A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Алексеев (Залесский) (2090,134).</w:t>
      </w:r>
    </w:p>
    <w:p w14:paraId="733056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основных данных торпедоносцев и ДБ-3Т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418"/>
        <w:gridCol w:w="984"/>
        <w:gridCol w:w="676"/>
        <w:gridCol w:w="885"/>
        <w:gridCol w:w="875"/>
        <w:gridCol w:w="832"/>
        <w:gridCol w:w="433"/>
        <w:gridCol w:w="1218"/>
        <w:gridCol w:w="905"/>
      </w:tblGrid>
      <w:tr w:rsidR="007D5DF8" w:rsidRPr="00DB5D0D" w14:paraId="0EDD245B" w14:textId="77777777" w:rsidTr="00E543D0">
        <w:tc>
          <w:tcPr>
            <w:tcW w:w="2376" w:type="dxa"/>
            <w:tcBorders>
              <w:top w:val="single" w:sz="12" w:space="0" w:color="auto"/>
            </w:tcBorders>
          </w:tcPr>
          <w:p w14:paraId="20828B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 п/п и наименование</w:t>
            </w:r>
          </w:p>
        </w:tc>
        <w:tc>
          <w:tcPr>
            <w:tcW w:w="1418" w:type="dxa"/>
            <w:tcBorders>
              <w:top w:val="single" w:sz="12" w:space="0" w:color="auto"/>
            </w:tcBorders>
          </w:tcPr>
          <w:p w14:paraId="4B3724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w:t>
            </w:r>
          </w:p>
        </w:tc>
        <w:tc>
          <w:tcPr>
            <w:tcW w:w="984" w:type="dxa"/>
            <w:tcBorders>
              <w:top w:val="single" w:sz="12" w:space="0" w:color="auto"/>
            </w:tcBorders>
          </w:tcPr>
          <w:p w14:paraId="1D8AC7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676" w:type="dxa"/>
            <w:tcBorders>
              <w:top w:val="single" w:sz="12" w:space="0" w:color="auto"/>
            </w:tcBorders>
          </w:tcPr>
          <w:p w14:paraId="701BFC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w:t>
            </w:r>
          </w:p>
        </w:tc>
        <w:tc>
          <w:tcPr>
            <w:tcW w:w="885" w:type="dxa"/>
            <w:tcBorders>
              <w:top w:val="single" w:sz="12" w:space="0" w:color="auto"/>
            </w:tcBorders>
          </w:tcPr>
          <w:p w14:paraId="7CC448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w:t>
            </w:r>
          </w:p>
        </w:tc>
        <w:tc>
          <w:tcPr>
            <w:tcW w:w="875" w:type="dxa"/>
            <w:tcBorders>
              <w:top w:val="single" w:sz="12" w:space="0" w:color="auto"/>
            </w:tcBorders>
          </w:tcPr>
          <w:p w14:paraId="111F30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832" w:type="dxa"/>
            <w:tcBorders>
              <w:top w:val="single" w:sz="12" w:space="0" w:color="auto"/>
            </w:tcBorders>
          </w:tcPr>
          <w:p w14:paraId="74A390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w:t>
            </w:r>
          </w:p>
        </w:tc>
        <w:tc>
          <w:tcPr>
            <w:tcW w:w="433" w:type="dxa"/>
            <w:tcBorders>
              <w:top w:val="single" w:sz="12" w:space="0" w:color="auto"/>
            </w:tcBorders>
          </w:tcPr>
          <w:p w14:paraId="41ECE5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w:t>
            </w:r>
          </w:p>
        </w:tc>
        <w:tc>
          <w:tcPr>
            <w:tcW w:w="1218" w:type="dxa"/>
            <w:tcBorders>
              <w:top w:val="single" w:sz="12" w:space="0" w:color="auto"/>
            </w:tcBorders>
          </w:tcPr>
          <w:p w14:paraId="383445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w:t>
            </w:r>
          </w:p>
        </w:tc>
        <w:tc>
          <w:tcPr>
            <w:tcW w:w="905" w:type="dxa"/>
            <w:tcBorders>
              <w:top w:val="single" w:sz="12" w:space="0" w:color="auto"/>
            </w:tcBorders>
          </w:tcPr>
          <w:p w14:paraId="485F66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w:t>
            </w:r>
          </w:p>
        </w:tc>
      </w:tr>
      <w:tr w:rsidR="007D5DF8" w:rsidRPr="00DB5D0D" w14:paraId="1AE4CBF0" w14:textId="77777777" w:rsidTr="00E543D0">
        <w:tc>
          <w:tcPr>
            <w:tcW w:w="2376" w:type="dxa"/>
          </w:tcPr>
          <w:p w14:paraId="54C864E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26D445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w:t>
            </w:r>
          </w:p>
        </w:tc>
        <w:tc>
          <w:tcPr>
            <w:tcW w:w="984" w:type="dxa"/>
          </w:tcPr>
          <w:p w14:paraId="386D51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высоте</w:t>
            </w:r>
          </w:p>
        </w:tc>
        <w:tc>
          <w:tcPr>
            <w:tcW w:w="676" w:type="dxa"/>
          </w:tcPr>
          <w:p w14:paraId="54E1D9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w:t>
            </w:r>
          </w:p>
        </w:tc>
        <w:tc>
          <w:tcPr>
            <w:tcW w:w="885" w:type="dxa"/>
          </w:tcPr>
          <w:p w14:paraId="77514ED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054B97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w:t>
            </w:r>
          </w:p>
        </w:tc>
        <w:tc>
          <w:tcPr>
            <w:tcW w:w="832" w:type="dxa"/>
          </w:tcPr>
          <w:p w14:paraId="400D74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5F2C68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45A973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05" w:type="dxa"/>
          </w:tcPr>
          <w:p w14:paraId="10C61A1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3425C73" w14:textId="77777777" w:rsidTr="00E543D0">
        <w:tc>
          <w:tcPr>
            <w:tcW w:w="2376" w:type="dxa"/>
          </w:tcPr>
          <w:p w14:paraId="567084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358EE2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w:t>
            </w:r>
          </w:p>
        </w:tc>
        <w:tc>
          <w:tcPr>
            <w:tcW w:w="984" w:type="dxa"/>
          </w:tcPr>
          <w:p w14:paraId="4594DC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76" w:type="dxa"/>
          </w:tcPr>
          <w:p w14:paraId="7ADD53E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17E8A07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526167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выс.</w:t>
            </w:r>
          </w:p>
        </w:tc>
        <w:tc>
          <w:tcPr>
            <w:tcW w:w="832" w:type="dxa"/>
          </w:tcPr>
          <w:p w14:paraId="7DC5B0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240DEDD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4569F30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05" w:type="dxa"/>
          </w:tcPr>
          <w:p w14:paraId="0C9DF81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29AC7DF" w14:textId="77777777" w:rsidTr="00E543D0">
        <w:tc>
          <w:tcPr>
            <w:tcW w:w="2376" w:type="dxa"/>
          </w:tcPr>
          <w:p w14:paraId="43E16B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ДБ и Т Виккерс Уэллси</w:t>
            </w:r>
          </w:p>
        </w:tc>
        <w:tc>
          <w:tcPr>
            <w:tcW w:w="1418" w:type="dxa"/>
          </w:tcPr>
          <w:p w14:paraId="39D523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Брист./Пегас</w:t>
            </w:r>
          </w:p>
        </w:tc>
        <w:tc>
          <w:tcPr>
            <w:tcW w:w="984" w:type="dxa"/>
          </w:tcPr>
          <w:p w14:paraId="40AC76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367/6000</w:t>
            </w:r>
          </w:p>
        </w:tc>
        <w:tc>
          <w:tcPr>
            <w:tcW w:w="676" w:type="dxa"/>
          </w:tcPr>
          <w:p w14:paraId="3357E6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885" w:type="dxa"/>
          </w:tcPr>
          <w:p w14:paraId="4E3878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1790</w:t>
            </w:r>
          </w:p>
        </w:tc>
        <w:tc>
          <w:tcPr>
            <w:tcW w:w="875" w:type="dxa"/>
          </w:tcPr>
          <w:p w14:paraId="677851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14.3/5000</w:t>
            </w:r>
          </w:p>
        </w:tc>
        <w:tc>
          <w:tcPr>
            <w:tcW w:w="832" w:type="dxa"/>
          </w:tcPr>
          <w:p w14:paraId="0DD922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10750</w:t>
            </w:r>
          </w:p>
        </w:tc>
        <w:tc>
          <w:tcPr>
            <w:tcW w:w="433" w:type="dxa"/>
          </w:tcPr>
          <w:p w14:paraId="5E013F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1218" w:type="dxa"/>
          </w:tcPr>
          <w:p w14:paraId="70EE67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1хпул./с</w:t>
            </w:r>
          </w:p>
        </w:tc>
        <w:tc>
          <w:tcPr>
            <w:tcW w:w="905" w:type="dxa"/>
          </w:tcPr>
          <w:p w14:paraId="050B03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w:t>
            </w:r>
          </w:p>
        </w:tc>
      </w:tr>
      <w:tr w:rsidR="007D5DF8" w:rsidRPr="00DB5D0D" w14:paraId="64A3775B" w14:textId="77777777" w:rsidTr="00E543D0">
        <w:tc>
          <w:tcPr>
            <w:tcW w:w="2376" w:type="dxa"/>
          </w:tcPr>
          <w:p w14:paraId="56F26C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2D3B8CC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60949E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925/3050</w:t>
            </w:r>
          </w:p>
        </w:tc>
        <w:tc>
          <w:tcPr>
            <w:tcW w:w="676" w:type="dxa"/>
          </w:tcPr>
          <w:p w14:paraId="4092CB5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5A9036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699620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3F78ABC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1363198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5BD661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1хпул./т</w:t>
            </w:r>
          </w:p>
        </w:tc>
        <w:tc>
          <w:tcPr>
            <w:tcW w:w="905" w:type="dxa"/>
          </w:tcPr>
          <w:p w14:paraId="4A70CE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DEB864D" w14:textId="77777777" w:rsidTr="00E543D0">
        <w:tc>
          <w:tcPr>
            <w:tcW w:w="2376" w:type="dxa"/>
          </w:tcPr>
          <w:p w14:paraId="6E26CF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61F05B9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5CF7A0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76" w:type="dxa"/>
          </w:tcPr>
          <w:p w14:paraId="22C6E2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42F625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78032D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2CF78E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301757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0A7938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w:t>
            </w:r>
          </w:p>
        </w:tc>
        <w:tc>
          <w:tcPr>
            <w:tcW w:w="905" w:type="dxa"/>
          </w:tcPr>
          <w:p w14:paraId="6777E72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1751824" w14:textId="77777777" w:rsidTr="00E543D0">
        <w:tc>
          <w:tcPr>
            <w:tcW w:w="2376" w:type="dxa"/>
          </w:tcPr>
          <w:p w14:paraId="4F8C2E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МТ и Б Латекоэр 298</w:t>
            </w:r>
          </w:p>
        </w:tc>
        <w:tc>
          <w:tcPr>
            <w:tcW w:w="1418" w:type="dxa"/>
          </w:tcPr>
          <w:p w14:paraId="4FE3F8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Исп./Сюиза</w:t>
            </w:r>
          </w:p>
        </w:tc>
        <w:tc>
          <w:tcPr>
            <w:tcW w:w="984" w:type="dxa"/>
          </w:tcPr>
          <w:p w14:paraId="77C6CF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676" w:type="dxa"/>
          </w:tcPr>
          <w:p w14:paraId="2102CC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85" w:type="dxa"/>
          </w:tcPr>
          <w:p w14:paraId="0368E7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875" w:type="dxa"/>
          </w:tcPr>
          <w:p w14:paraId="6A8545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32" w:type="dxa"/>
          </w:tcPr>
          <w:p w14:paraId="15D6AD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433" w:type="dxa"/>
          </w:tcPr>
          <w:p w14:paraId="67D146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18" w:type="dxa"/>
          </w:tcPr>
          <w:p w14:paraId="6282AE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1хпул./с</w:t>
            </w:r>
          </w:p>
        </w:tc>
        <w:tc>
          <w:tcPr>
            <w:tcW w:w="905" w:type="dxa"/>
          </w:tcPr>
          <w:p w14:paraId="4A7C66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w:t>
            </w:r>
          </w:p>
        </w:tc>
      </w:tr>
      <w:tr w:rsidR="007D5DF8" w:rsidRPr="00DB5D0D" w14:paraId="1BEDB29E" w14:textId="77777777" w:rsidTr="00E543D0">
        <w:tc>
          <w:tcPr>
            <w:tcW w:w="2376" w:type="dxa"/>
          </w:tcPr>
          <w:p w14:paraId="242BD6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40C43F8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43C728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860/3300</w:t>
            </w:r>
          </w:p>
        </w:tc>
        <w:tc>
          <w:tcPr>
            <w:tcW w:w="676" w:type="dxa"/>
          </w:tcPr>
          <w:p w14:paraId="4A5CBD9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62E1CD4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0B8DEA7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5E6811B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597BC44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7C2610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4хпул.</w:t>
            </w:r>
          </w:p>
        </w:tc>
        <w:tc>
          <w:tcPr>
            <w:tcW w:w="905" w:type="dxa"/>
          </w:tcPr>
          <w:p w14:paraId="5B5661A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2D43A82" w14:textId="77777777" w:rsidTr="00E543D0">
        <w:tc>
          <w:tcPr>
            <w:tcW w:w="2376" w:type="dxa"/>
          </w:tcPr>
          <w:p w14:paraId="08EA148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1722D4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2E39D2A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76" w:type="dxa"/>
          </w:tcPr>
          <w:p w14:paraId="7B52DC2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34D3D6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3DCC3D5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5F58EC0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716454D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311867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1хтор. 700</w:t>
            </w:r>
          </w:p>
        </w:tc>
        <w:tc>
          <w:tcPr>
            <w:tcW w:w="905" w:type="dxa"/>
          </w:tcPr>
          <w:p w14:paraId="103CAD6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FE6683" w14:textId="77777777" w:rsidTr="00E543D0">
        <w:tc>
          <w:tcPr>
            <w:tcW w:w="2376" w:type="dxa"/>
          </w:tcPr>
          <w:p w14:paraId="22D53FA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69F7CC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627B8AB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76" w:type="dxa"/>
          </w:tcPr>
          <w:p w14:paraId="3886349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0F9BC2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659191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1C7C5DF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6A2CCF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542233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2хбомбы</w:t>
            </w:r>
          </w:p>
        </w:tc>
        <w:tc>
          <w:tcPr>
            <w:tcW w:w="905" w:type="dxa"/>
          </w:tcPr>
          <w:p w14:paraId="3F2CFD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BA0113C" w14:textId="77777777" w:rsidTr="00E543D0">
        <w:tc>
          <w:tcPr>
            <w:tcW w:w="2376" w:type="dxa"/>
          </w:tcPr>
          <w:p w14:paraId="29AF8C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МТ и Б Гамбург На-140</w:t>
            </w:r>
          </w:p>
        </w:tc>
        <w:tc>
          <w:tcPr>
            <w:tcW w:w="1418" w:type="dxa"/>
          </w:tcPr>
          <w:p w14:paraId="4EBC4C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БМВ-132ДС</w:t>
            </w:r>
          </w:p>
        </w:tc>
        <w:tc>
          <w:tcPr>
            <w:tcW w:w="984" w:type="dxa"/>
          </w:tcPr>
          <w:p w14:paraId="28D6B1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320/0</w:t>
            </w:r>
          </w:p>
        </w:tc>
        <w:tc>
          <w:tcPr>
            <w:tcW w:w="676" w:type="dxa"/>
          </w:tcPr>
          <w:p w14:paraId="4F5944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885" w:type="dxa"/>
          </w:tcPr>
          <w:p w14:paraId="2E9576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1.15-2500</w:t>
            </w:r>
          </w:p>
        </w:tc>
        <w:tc>
          <w:tcPr>
            <w:tcW w:w="875" w:type="dxa"/>
          </w:tcPr>
          <w:p w14:paraId="36EEFD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11.5/3000</w:t>
            </w:r>
          </w:p>
        </w:tc>
        <w:tc>
          <w:tcPr>
            <w:tcW w:w="832" w:type="dxa"/>
          </w:tcPr>
          <w:p w14:paraId="09815B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433" w:type="dxa"/>
          </w:tcPr>
          <w:p w14:paraId="429077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218" w:type="dxa"/>
          </w:tcPr>
          <w:p w14:paraId="3B544D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2хпул.</w:t>
            </w:r>
          </w:p>
        </w:tc>
        <w:tc>
          <w:tcPr>
            <w:tcW w:w="905" w:type="dxa"/>
          </w:tcPr>
          <w:p w14:paraId="2C267D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1938</w:t>
            </w:r>
          </w:p>
        </w:tc>
      </w:tr>
      <w:tr w:rsidR="007D5DF8" w:rsidRPr="00DB5D0D" w14:paraId="68236742" w14:textId="77777777" w:rsidTr="00E543D0">
        <w:tc>
          <w:tcPr>
            <w:tcW w:w="2376" w:type="dxa"/>
          </w:tcPr>
          <w:p w14:paraId="26C216D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7EF333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530A0B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2х655/3800</w:t>
            </w:r>
          </w:p>
        </w:tc>
        <w:tc>
          <w:tcPr>
            <w:tcW w:w="676" w:type="dxa"/>
          </w:tcPr>
          <w:p w14:paraId="435FCC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4D241B7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7D3D762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39EB51B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13AA001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7BD257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05" w:type="dxa"/>
          </w:tcPr>
          <w:p w14:paraId="4F7F77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6E04DCC" w14:textId="77777777" w:rsidTr="00E543D0">
        <w:tc>
          <w:tcPr>
            <w:tcW w:w="2376" w:type="dxa"/>
          </w:tcPr>
          <w:p w14:paraId="313D37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МТ и Б Хейнкель Не-115</w:t>
            </w:r>
          </w:p>
        </w:tc>
        <w:tc>
          <w:tcPr>
            <w:tcW w:w="1418" w:type="dxa"/>
          </w:tcPr>
          <w:p w14:paraId="149571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БМВ-132Н</w:t>
            </w:r>
          </w:p>
        </w:tc>
        <w:tc>
          <w:tcPr>
            <w:tcW w:w="984" w:type="dxa"/>
          </w:tcPr>
          <w:p w14:paraId="443409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355/3400</w:t>
            </w:r>
          </w:p>
        </w:tc>
        <w:tc>
          <w:tcPr>
            <w:tcW w:w="676" w:type="dxa"/>
          </w:tcPr>
          <w:p w14:paraId="1B7048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885" w:type="dxa"/>
          </w:tcPr>
          <w:p w14:paraId="3D97D1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2.1-3000</w:t>
            </w:r>
          </w:p>
        </w:tc>
        <w:tc>
          <w:tcPr>
            <w:tcW w:w="875" w:type="dxa"/>
          </w:tcPr>
          <w:p w14:paraId="044CC2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11.5/2000</w:t>
            </w:r>
          </w:p>
        </w:tc>
        <w:tc>
          <w:tcPr>
            <w:tcW w:w="832" w:type="dxa"/>
          </w:tcPr>
          <w:p w14:paraId="0FD5B3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6500</w:t>
            </w:r>
          </w:p>
        </w:tc>
        <w:tc>
          <w:tcPr>
            <w:tcW w:w="433" w:type="dxa"/>
          </w:tcPr>
          <w:p w14:paraId="145BCB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1218" w:type="dxa"/>
          </w:tcPr>
          <w:p w14:paraId="208B35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2хпул.</w:t>
            </w:r>
          </w:p>
        </w:tc>
        <w:tc>
          <w:tcPr>
            <w:tcW w:w="905" w:type="dxa"/>
          </w:tcPr>
          <w:p w14:paraId="1785E6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w:t>
            </w:r>
          </w:p>
        </w:tc>
      </w:tr>
      <w:tr w:rsidR="007D5DF8" w:rsidRPr="00DB5D0D" w14:paraId="10E282C9" w14:textId="77777777" w:rsidTr="00E543D0">
        <w:tc>
          <w:tcPr>
            <w:tcW w:w="2376" w:type="dxa"/>
          </w:tcPr>
          <w:p w14:paraId="6615455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591186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1062A8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2х850/3400</w:t>
            </w:r>
          </w:p>
        </w:tc>
        <w:tc>
          <w:tcPr>
            <w:tcW w:w="676" w:type="dxa"/>
          </w:tcPr>
          <w:p w14:paraId="33F2D6C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0626785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0CE4937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37F992C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7C8164C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0B047A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 кг</w:t>
            </w:r>
          </w:p>
        </w:tc>
        <w:tc>
          <w:tcPr>
            <w:tcW w:w="905" w:type="dxa"/>
          </w:tcPr>
          <w:p w14:paraId="45DED6C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7D651A5" w14:textId="77777777" w:rsidTr="00E543D0">
        <w:tc>
          <w:tcPr>
            <w:tcW w:w="2376" w:type="dxa"/>
          </w:tcPr>
          <w:p w14:paraId="5CC02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МР-Т и Б Блом Фосс</w:t>
            </w:r>
          </w:p>
        </w:tc>
        <w:tc>
          <w:tcPr>
            <w:tcW w:w="1418" w:type="dxa"/>
          </w:tcPr>
          <w:p w14:paraId="51D111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БМВ-132ДС</w:t>
            </w:r>
          </w:p>
        </w:tc>
        <w:tc>
          <w:tcPr>
            <w:tcW w:w="984" w:type="dxa"/>
          </w:tcPr>
          <w:p w14:paraId="5C9CF0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w:t>
            </w:r>
          </w:p>
        </w:tc>
        <w:tc>
          <w:tcPr>
            <w:tcW w:w="676" w:type="dxa"/>
          </w:tcPr>
          <w:p w14:paraId="0BD56A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885" w:type="dxa"/>
          </w:tcPr>
          <w:p w14:paraId="15712A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1.15-2500</w:t>
            </w:r>
          </w:p>
        </w:tc>
        <w:tc>
          <w:tcPr>
            <w:tcW w:w="875" w:type="dxa"/>
          </w:tcPr>
          <w:p w14:paraId="317FF8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11.5/3000</w:t>
            </w:r>
          </w:p>
        </w:tc>
        <w:tc>
          <w:tcPr>
            <w:tcW w:w="832" w:type="dxa"/>
          </w:tcPr>
          <w:p w14:paraId="15689B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433" w:type="dxa"/>
          </w:tcPr>
          <w:p w14:paraId="693187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18" w:type="dxa"/>
          </w:tcPr>
          <w:p w14:paraId="2C201F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1хторп.</w:t>
            </w:r>
          </w:p>
        </w:tc>
        <w:tc>
          <w:tcPr>
            <w:tcW w:w="905" w:type="dxa"/>
          </w:tcPr>
          <w:p w14:paraId="676C7B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w:t>
            </w:r>
          </w:p>
        </w:tc>
      </w:tr>
      <w:tr w:rsidR="007D5DF8" w:rsidRPr="00DB5D0D" w14:paraId="4283F314" w14:textId="77777777" w:rsidTr="00E543D0">
        <w:tc>
          <w:tcPr>
            <w:tcW w:w="2376" w:type="dxa"/>
          </w:tcPr>
          <w:p w14:paraId="04070F8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1DEC10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044F4E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2х800/3800</w:t>
            </w:r>
          </w:p>
        </w:tc>
        <w:tc>
          <w:tcPr>
            <w:tcW w:w="676" w:type="dxa"/>
          </w:tcPr>
          <w:p w14:paraId="717E377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122225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430C0AB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40047A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06D107A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1C1FD8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05" w:type="dxa"/>
          </w:tcPr>
          <w:p w14:paraId="0CBCCFF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8BC6703" w14:textId="77777777" w:rsidTr="00E543D0">
        <w:tc>
          <w:tcPr>
            <w:tcW w:w="2376" w:type="dxa"/>
          </w:tcPr>
          <w:p w14:paraId="5B111B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МТ попл. Капрони 312</w:t>
            </w:r>
          </w:p>
        </w:tc>
        <w:tc>
          <w:tcPr>
            <w:tcW w:w="1418" w:type="dxa"/>
          </w:tcPr>
          <w:p w14:paraId="3A62C4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Пьяджо РХУ1</w:t>
            </w:r>
          </w:p>
        </w:tc>
        <w:tc>
          <w:tcPr>
            <w:tcW w:w="984" w:type="dxa"/>
          </w:tcPr>
          <w:p w14:paraId="7A2BB3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676" w:type="dxa"/>
          </w:tcPr>
          <w:p w14:paraId="798EC8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85" w:type="dxa"/>
          </w:tcPr>
          <w:p w14:paraId="75A996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w:t>
            </w:r>
          </w:p>
        </w:tc>
        <w:tc>
          <w:tcPr>
            <w:tcW w:w="875" w:type="dxa"/>
          </w:tcPr>
          <w:p w14:paraId="05FF19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16/4000</w:t>
            </w:r>
          </w:p>
        </w:tc>
        <w:tc>
          <w:tcPr>
            <w:tcW w:w="832" w:type="dxa"/>
          </w:tcPr>
          <w:p w14:paraId="267845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433" w:type="dxa"/>
          </w:tcPr>
          <w:p w14:paraId="6F14E1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218" w:type="dxa"/>
          </w:tcPr>
          <w:p w14:paraId="0F1215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2хпул.</w:t>
            </w:r>
          </w:p>
        </w:tc>
        <w:tc>
          <w:tcPr>
            <w:tcW w:w="905" w:type="dxa"/>
          </w:tcPr>
          <w:p w14:paraId="43E163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w:t>
            </w:r>
          </w:p>
        </w:tc>
      </w:tr>
      <w:tr w:rsidR="007D5DF8" w:rsidRPr="00DB5D0D" w14:paraId="57B84A19" w14:textId="77777777" w:rsidTr="00E543D0">
        <w:tc>
          <w:tcPr>
            <w:tcW w:w="2376" w:type="dxa"/>
          </w:tcPr>
          <w:p w14:paraId="2EC8A2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62149BD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4BAC33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2х650/3500</w:t>
            </w:r>
          </w:p>
        </w:tc>
        <w:tc>
          <w:tcPr>
            <w:tcW w:w="676" w:type="dxa"/>
          </w:tcPr>
          <w:p w14:paraId="284BC9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торпедой</w:t>
            </w:r>
          </w:p>
        </w:tc>
        <w:tc>
          <w:tcPr>
            <w:tcW w:w="885" w:type="dxa"/>
          </w:tcPr>
          <w:p w14:paraId="7E844D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3492CAE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7E7F32C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70CB9F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4EB326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1хторп.</w:t>
            </w:r>
          </w:p>
        </w:tc>
        <w:tc>
          <w:tcPr>
            <w:tcW w:w="905" w:type="dxa"/>
          </w:tcPr>
          <w:p w14:paraId="49D6FD1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3F77918" w14:textId="77777777" w:rsidTr="00E543D0">
        <w:tc>
          <w:tcPr>
            <w:tcW w:w="2376" w:type="dxa"/>
          </w:tcPr>
          <w:p w14:paraId="53FF8C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РТ Арадо Ар-95</w:t>
            </w:r>
          </w:p>
        </w:tc>
        <w:tc>
          <w:tcPr>
            <w:tcW w:w="1418" w:type="dxa"/>
          </w:tcPr>
          <w:p w14:paraId="0DC7A2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БМВ-132ДС</w:t>
            </w:r>
          </w:p>
        </w:tc>
        <w:tc>
          <w:tcPr>
            <w:tcW w:w="984" w:type="dxa"/>
          </w:tcPr>
          <w:p w14:paraId="3EB6BE2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76" w:type="dxa"/>
          </w:tcPr>
          <w:p w14:paraId="03A9927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1B64D73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06A0453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4D8C6E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8300</w:t>
            </w:r>
          </w:p>
        </w:tc>
        <w:tc>
          <w:tcPr>
            <w:tcW w:w="433" w:type="dxa"/>
          </w:tcPr>
          <w:p w14:paraId="1F66DA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218" w:type="dxa"/>
          </w:tcPr>
          <w:p w14:paraId="47D7D6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2хпул.</w:t>
            </w:r>
          </w:p>
        </w:tc>
        <w:tc>
          <w:tcPr>
            <w:tcW w:w="905" w:type="dxa"/>
          </w:tcPr>
          <w:p w14:paraId="3E5593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1938</w:t>
            </w:r>
          </w:p>
        </w:tc>
      </w:tr>
      <w:tr w:rsidR="007D5DF8" w:rsidRPr="00DB5D0D" w14:paraId="2B57A96B" w14:textId="77777777" w:rsidTr="00E543D0">
        <w:tc>
          <w:tcPr>
            <w:tcW w:w="2376" w:type="dxa"/>
          </w:tcPr>
          <w:p w14:paraId="77ED74F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6BAD33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6EA239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c>
          <w:tcPr>
            <w:tcW w:w="676" w:type="dxa"/>
          </w:tcPr>
          <w:p w14:paraId="6080C1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4688E4B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0CBBE9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1FF3C82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6651A12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64A06F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1хторп.</w:t>
            </w:r>
          </w:p>
        </w:tc>
        <w:tc>
          <w:tcPr>
            <w:tcW w:w="905" w:type="dxa"/>
          </w:tcPr>
          <w:p w14:paraId="79E042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ABAECBA" w14:textId="77777777" w:rsidTr="00E543D0">
        <w:tc>
          <w:tcPr>
            <w:tcW w:w="2376" w:type="dxa"/>
          </w:tcPr>
          <w:p w14:paraId="5D0B25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 колесах</w:t>
            </w:r>
          </w:p>
        </w:tc>
        <w:tc>
          <w:tcPr>
            <w:tcW w:w="1418" w:type="dxa"/>
          </w:tcPr>
          <w:p w14:paraId="0F9ADE8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43581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323/3000</w:t>
            </w:r>
          </w:p>
        </w:tc>
        <w:tc>
          <w:tcPr>
            <w:tcW w:w="676" w:type="dxa"/>
          </w:tcPr>
          <w:p w14:paraId="26B5147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0BDF67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w:t>
            </w:r>
          </w:p>
        </w:tc>
        <w:tc>
          <w:tcPr>
            <w:tcW w:w="875" w:type="dxa"/>
          </w:tcPr>
          <w:p w14:paraId="149E41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w:t>
            </w:r>
          </w:p>
        </w:tc>
        <w:tc>
          <w:tcPr>
            <w:tcW w:w="832" w:type="dxa"/>
          </w:tcPr>
          <w:p w14:paraId="164C21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7.6/4000</w:t>
            </w:r>
          </w:p>
        </w:tc>
        <w:tc>
          <w:tcPr>
            <w:tcW w:w="433" w:type="dxa"/>
          </w:tcPr>
          <w:p w14:paraId="01B426D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7743B74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05" w:type="dxa"/>
          </w:tcPr>
          <w:p w14:paraId="7BDB64E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9C6A926" w14:textId="77777777" w:rsidTr="00E543D0">
        <w:tc>
          <w:tcPr>
            <w:tcW w:w="2376" w:type="dxa"/>
          </w:tcPr>
          <w:p w14:paraId="60186A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 поплавках</w:t>
            </w:r>
          </w:p>
        </w:tc>
        <w:tc>
          <w:tcPr>
            <w:tcW w:w="1418" w:type="dxa"/>
          </w:tcPr>
          <w:p w14:paraId="23B3A1F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3D5909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310/3000</w:t>
            </w:r>
          </w:p>
        </w:tc>
        <w:tc>
          <w:tcPr>
            <w:tcW w:w="676" w:type="dxa"/>
          </w:tcPr>
          <w:p w14:paraId="1BCE30A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502CE5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w:t>
            </w:r>
          </w:p>
        </w:tc>
        <w:tc>
          <w:tcPr>
            <w:tcW w:w="875" w:type="dxa"/>
          </w:tcPr>
          <w:p w14:paraId="657915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832" w:type="dxa"/>
          </w:tcPr>
          <w:p w14:paraId="7129B8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9/4000</w:t>
            </w:r>
          </w:p>
        </w:tc>
        <w:tc>
          <w:tcPr>
            <w:tcW w:w="433" w:type="dxa"/>
          </w:tcPr>
          <w:p w14:paraId="689D3D6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734959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05" w:type="dxa"/>
          </w:tcPr>
          <w:p w14:paraId="5FF6CA9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FC157AB" w14:textId="77777777" w:rsidTr="00E543D0">
        <w:tc>
          <w:tcPr>
            <w:tcW w:w="2376" w:type="dxa"/>
          </w:tcPr>
          <w:p w14:paraId="7553C3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МБ и Т Волти 11Т</w:t>
            </w:r>
          </w:p>
        </w:tc>
        <w:tc>
          <w:tcPr>
            <w:tcW w:w="1418" w:type="dxa"/>
          </w:tcPr>
          <w:p w14:paraId="2978A9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ПВ ТВ</w:t>
            </w:r>
          </w:p>
        </w:tc>
        <w:tc>
          <w:tcPr>
            <w:tcW w:w="984" w:type="dxa"/>
          </w:tcPr>
          <w:p w14:paraId="15190F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317/2280</w:t>
            </w:r>
          </w:p>
        </w:tc>
        <w:tc>
          <w:tcPr>
            <w:tcW w:w="676" w:type="dxa"/>
          </w:tcPr>
          <w:p w14:paraId="7D7A2C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w:t>
            </w:r>
          </w:p>
        </w:tc>
        <w:tc>
          <w:tcPr>
            <w:tcW w:w="885" w:type="dxa"/>
          </w:tcPr>
          <w:p w14:paraId="52F798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930</w:t>
            </w:r>
          </w:p>
        </w:tc>
        <w:tc>
          <w:tcPr>
            <w:tcW w:w="875" w:type="dxa"/>
          </w:tcPr>
          <w:p w14:paraId="7F911B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10.1/3000</w:t>
            </w:r>
          </w:p>
        </w:tc>
        <w:tc>
          <w:tcPr>
            <w:tcW w:w="832" w:type="dxa"/>
          </w:tcPr>
          <w:p w14:paraId="7CDE32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5940</w:t>
            </w:r>
          </w:p>
        </w:tc>
        <w:tc>
          <w:tcPr>
            <w:tcW w:w="433" w:type="dxa"/>
          </w:tcPr>
          <w:p w14:paraId="7336D8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218" w:type="dxa"/>
          </w:tcPr>
          <w:p w14:paraId="1A1910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4хпул.</w:t>
            </w:r>
          </w:p>
        </w:tc>
        <w:tc>
          <w:tcPr>
            <w:tcW w:w="905" w:type="dxa"/>
          </w:tcPr>
          <w:p w14:paraId="4EA1C9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w:t>
            </w:r>
          </w:p>
        </w:tc>
      </w:tr>
      <w:tr w:rsidR="007D5DF8" w:rsidRPr="00DB5D0D" w14:paraId="5A34D76C" w14:textId="77777777" w:rsidTr="00E543D0">
        <w:tc>
          <w:tcPr>
            <w:tcW w:w="2376" w:type="dxa"/>
          </w:tcPr>
          <w:p w14:paraId="274D12B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52D3B6E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1F1D37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1050/2280</w:t>
            </w:r>
          </w:p>
        </w:tc>
        <w:tc>
          <w:tcPr>
            <w:tcW w:w="676" w:type="dxa"/>
          </w:tcPr>
          <w:p w14:paraId="3EDF6E5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1C98287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14552D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22C16F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71E48B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67D795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1хторп.</w:t>
            </w:r>
          </w:p>
        </w:tc>
        <w:tc>
          <w:tcPr>
            <w:tcW w:w="905" w:type="dxa"/>
          </w:tcPr>
          <w:p w14:paraId="5483AA9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4EBB88B" w14:textId="77777777" w:rsidTr="00E543D0">
        <w:tc>
          <w:tcPr>
            <w:tcW w:w="2376" w:type="dxa"/>
          </w:tcPr>
          <w:p w14:paraId="38391F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МБ Т Фоккер Т-8W</w:t>
            </w:r>
          </w:p>
        </w:tc>
        <w:tc>
          <w:tcPr>
            <w:tcW w:w="1418" w:type="dxa"/>
          </w:tcPr>
          <w:p w14:paraId="0271C6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Бр./Меркур.</w:t>
            </w:r>
          </w:p>
        </w:tc>
        <w:tc>
          <w:tcPr>
            <w:tcW w:w="984" w:type="dxa"/>
          </w:tcPr>
          <w:p w14:paraId="61E66D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358</w:t>
            </w:r>
          </w:p>
        </w:tc>
        <w:tc>
          <w:tcPr>
            <w:tcW w:w="676" w:type="dxa"/>
          </w:tcPr>
          <w:p w14:paraId="600EBA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85" w:type="dxa"/>
          </w:tcPr>
          <w:p w14:paraId="3028A6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1700</w:t>
            </w:r>
          </w:p>
        </w:tc>
        <w:tc>
          <w:tcPr>
            <w:tcW w:w="875" w:type="dxa"/>
          </w:tcPr>
          <w:p w14:paraId="228C0C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7.8/3000</w:t>
            </w:r>
          </w:p>
        </w:tc>
        <w:tc>
          <w:tcPr>
            <w:tcW w:w="832" w:type="dxa"/>
          </w:tcPr>
          <w:p w14:paraId="71D6F0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6800</w:t>
            </w:r>
          </w:p>
        </w:tc>
        <w:tc>
          <w:tcPr>
            <w:tcW w:w="433" w:type="dxa"/>
          </w:tcPr>
          <w:p w14:paraId="5DDAF3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218" w:type="dxa"/>
          </w:tcPr>
          <w:p w14:paraId="33AE4F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2хпул.</w:t>
            </w:r>
          </w:p>
        </w:tc>
        <w:tc>
          <w:tcPr>
            <w:tcW w:w="905" w:type="dxa"/>
          </w:tcPr>
          <w:p w14:paraId="413337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1938</w:t>
            </w:r>
          </w:p>
        </w:tc>
      </w:tr>
      <w:tr w:rsidR="007D5DF8" w:rsidRPr="00DB5D0D" w14:paraId="639BA114" w14:textId="77777777" w:rsidTr="00E543D0">
        <w:tc>
          <w:tcPr>
            <w:tcW w:w="2376" w:type="dxa"/>
          </w:tcPr>
          <w:p w14:paraId="42139E6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05B0196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Pr>
          <w:p w14:paraId="4FCB4B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2х820/1070</w:t>
            </w:r>
          </w:p>
        </w:tc>
        <w:tc>
          <w:tcPr>
            <w:tcW w:w="676" w:type="dxa"/>
          </w:tcPr>
          <w:p w14:paraId="45149C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42BFA25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4CC45F9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2493F83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5BA690C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200CF5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1хторп.</w:t>
            </w:r>
          </w:p>
        </w:tc>
        <w:tc>
          <w:tcPr>
            <w:tcW w:w="905" w:type="dxa"/>
          </w:tcPr>
          <w:p w14:paraId="2C37614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919509F" w14:textId="77777777" w:rsidTr="00E543D0">
        <w:tc>
          <w:tcPr>
            <w:tcW w:w="2376" w:type="dxa"/>
          </w:tcPr>
          <w:p w14:paraId="647F76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ДБ-3Т</w:t>
            </w:r>
          </w:p>
        </w:tc>
        <w:tc>
          <w:tcPr>
            <w:tcW w:w="1418" w:type="dxa"/>
          </w:tcPr>
          <w:p w14:paraId="08F6A3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М-85</w:t>
            </w:r>
          </w:p>
        </w:tc>
        <w:tc>
          <w:tcPr>
            <w:tcW w:w="984" w:type="dxa"/>
          </w:tcPr>
          <w:p w14:paraId="78E59B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395/4000</w:t>
            </w:r>
          </w:p>
        </w:tc>
        <w:tc>
          <w:tcPr>
            <w:tcW w:w="676" w:type="dxa"/>
          </w:tcPr>
          <w:p w14:paraId="1B8FFA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90-95</w:t>
            </w:r>
          </w:p>
        </w:tc>
        <w:tc>
          <w:tcPr>
            <w:tcW w:w="885" w:type="dxa"/>
          </w:tcPr>
          <w:p w14:paraId="7D7B96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875" w:type="dxa"/>
          </w:tcPr>
          <w:p w14:paraId="0937AD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13/5000</w:t>
            </w:r>
          </w:p>
        </w:tc>
        <w:tc>
          <w:tcPr>
            <w:tcW w:w="832" w:type="dxa"/>
          </w:tcPr>
          <w:p w14:paraId="37F9F7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8800</w:t>
            </w:r>
          </w:p>
        </w:tc>
        <w:tc>
          <w:tcPr>
            <w:tcW w:w="433" w:type="dxa"/>
          </w:tcPr>
          <w:p w14:paraId="0BA61B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218" w:type="dxa"/>
          </w:tcPr>
          <w:p w14:paraId="7E75CA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2хпул.</w:t>
            </w:r>
          </w:p>
        </w:tc>
        <w:tc>
          <w:tcPr>
            <w:tcW w:w="905" w:type="dxa"/>
          </w:tcPr>
          <w:p w14:paraId="07DA34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1937</w:t>
            </w:r>
          </w:p>
        </w:tc>
      </w:tr>
      <w:tr w:rsidR="007D5DF8" w:rsidRPr="00DB5D0D" w14:paraId="280E11A4" w14:textId="77777777" w:rsidTr="00E543D0">
        <w:tc>
          <w:tcPr>
            <w:tcW w:w="2376" w:type="dxa"/>
          </w:tcPr>
          <w:p w14:paraId="3B36D19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Pr>
          <w:p w14:paraId="41140C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2х800/4000</w:t>
            </w:r>
          </w:p>
        </w:tc>
        <w:tc>
          <w:tcPr>
            <w:tcW w:w="984" w:type="dxa"/>
          </w:tcPr>
          <w:p w14:paraId="39208D9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76" w:type="dxa"/>
          </w:tcPr>
          <w:p w14:paraId="30E4E5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Pr>
          <w:p w14:paraId="584EAEF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Pr>
          <w:p w14:paraId="5D9A5C9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Pr>
          <w:p w14:paraId="05DF15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Pr>
          <w:p w14:paraId="5A499B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Pr>
          <w:p w14:paraId="54DF9E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1хторп.</w:t>
            </w:r>
          </w:p>
        </w:tc>
        <w:tc>
          <w:tcPr>
            <w:tcW w:w="905" w:type="dxa"/>
          </w:tcPr>
          <w:p w14:paraId="21C89B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75C5F01" w14:textId="77777777" w:rsidTr="00E543D0">
        <w:tc>
          <w:tcPr>
            <w:tcW w:w="2376" w:type="dxa"/>
            <w:tcBorders>
              <w:bottom w:val="single" w:sz="12" w:space="0" w:color="auto"/>
            </w:tcBorders>
          </w:tcPr>
          <w:p w14:paraId="3EC7985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0A2B502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84" w:type="dxa"/>
            <w:tcBorders>
              <w:bottom w:val="single" w:sz="12" w:space="0" w:color="auto"/>
            </w:tcBorders>
          </w:tcPr>
          <w:p w14:paraId="3AAF34F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76" w:type="dxa"/>
            <w:tcBorders>
              <w:bottom w:val="single" w:sz="12" w:space="0" w:color="auto"/>
            </w:tcBorders>
          </w:tcPr>
          <w:p w14:paraId="6E8F12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85" w:type="dxa"/>
            <w:tcBorders>
              <w:bottom w:val="single" w:sz="12" w:space="0" w:color="auto"/>
            </w:tcBorders>
          </w:tcPr>
          <w:p w14:paraId="01B2DEB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75" w:type="dxa"/>
            <w:tcBorders>
              <w:bottom w:val="single" w:sz="12" w:space="0" w:color="auto"/>
            </w:tcBorders>
          </w:tcPr>
          <w:p w14:paraId="46172CC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32" w:type="dxa"/>
            <w:tcBorders>
              <w:bottom w:val="single" w:sz="12" w:space="0" w:color="auto"/>
            </w:tcBorders>
          </w:tcPr>
          <w:p w14:paraId="021CE83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33" w:type="dxa"/>
            <w:tcBorders>
              <w:bottom w:val="single" w:sz="12" w:space="0" w:color="auto"/>
            </w:tcBorders>
          </w:tcPr>
          <w:p w14:paraId="2A0674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218" w:type="dxa"/>
            <w:tcBorders>
              <w:bottom w:val="single" w:sz="12" w:space="0" w:color="auto"/>
            </w:tcBorders>
          </w:tcPr>
          <w:p w14:paraId="54A5CF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4хбомб (2090,136)</w:t>
            </w:r>
          </w:p>
        </w:tc>
        <w:tc>
          <w:tcPr>
            <w:tcW w:w="905" w:type="dxa"/>
            <w:tcBorders>
              <w:bottom w:val="single" w:sz="12" w:space="0" w:color="auto"/>
            </w:tcBorders>
          </w:tcPr>
          <w:p w14:paraId="7824D0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6DB583C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78E32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при письме N 714с/окб С.В.И. направил на завод 126 ведомость дефектов, обнаруженных при гос. испытаниях в НИИ ГУАСК самолета N 390204 выпуска 39 завода (2700,150).</w:t>
      </w:r>
    </w:p>
    <w:p w14:paraId="553543F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7DAC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года Зам. начальника ВВС утвердил Заключение по эскизному проекту на учебный пикирующий бомбардировщик УПБ</w:t>
      </w:r>
    </w:p>
    <w:p w14:paraId="2B61E6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самолета</w:t>
      </w:r>
    </w:p>
    <w:p w14:paraId="65E353E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Учебный пикирующий бомбардировщик имеет целью:</w:t>
      </w:r>
    </w:p>
    <w:p w14:paraId="5D15A8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обучение бомбометанию с пикирования;</w:t>
      </w:r>
    </w:p>
    <w:p w14:paraId="22E153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подготовку летчиков для полетов на двухмоторных самолетах;</w:t>
      </w:r>
    </w:p>
    <w:p w14:paraId="395727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тренировку стрелков-радистов в задней кабине.</w:t>
      </w:r>
    </w:p>
    <w:p w14:paraId="5F80DA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Учебно-пикирующий бомбардировщик является монопланом с низкорасположенным крылом смешанной конструкции с двумя моторами МВ-6.</w:t>
      </w:r>
    </w:p>
    <w:p w14:paraId="6D3B4D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721498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самолета УПБ с двумя моторами МВ-6 утвержден быть не может (4608).</w:t>
      </w:r>
    </w:p>
    <w:p w14:paraId="730DECF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7847EF4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года в НИИ ВВС был выдан наряд-приказ № 0149</w:t>
      </w:r>
    </w:p>
    <w:p w14:paraId="7AB28DD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самолета СБ 2М-103А № 7/290 с винтами ВИШ-61 с лопастями V ДМ с самолета Мессершмидт 110 (6890, 18).</w:t>
      </w:r>
    </w:p>
    <w:p w14:paraId="2EF778D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66E3E2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в ходе заводских испытаний И-200 А.И.М., которые проходили с 31 марта по 17 августа 1940, на И-200-2 был выполнен полет на определение границ высотности и температурных режимов ВМГ (2988).</w:t>
      </w:r>
    </w:p>
    <w:p w14:paraId="4F6D195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71B3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на И-200-2 М.Н.Якушин достиг скорости 651 км/час на 7000 м на номинальной мощности. На максимальном режиме было 579 км/час на 2220 м и 605 км/час на 3630 м (4415,31).</w:t>
      </w:r>
    </w:p>
    <w:p w14:paraId="500635C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C559214" w14:textId="77777777" w:rsidR="004D4205" w:rsidRPr="00DB5D0D" w:rsidRDefault="004D420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5 августа 1940 Супрун достиг на И-200 скорости горизонтального полета 651 км/ч, что превышало показатели всех наших и, как думали, самых лучших за</w:t>
      </w:r>
      <w:r w:rsidRPr="00DB5D0D">
        <w:rPr>
          <w:rFonts w:ascii="Times New Roman" w:hAnsi="Times New Roman"/>
          <w:color w:val="0070C0"/>
          <w:sz w:val="16"/>
          <w:szCs w:val="16"/>
          <w:lang w:eastAsia="ru-RU" w:bidi="ru-RU"/>
        </w:rPr>
        <w:softHyphen/>
        <w:t>падных истребителей (21696).</w:t>
      </w:r>
    </w:p>
    <w:p w14:paraId="79D1F8AE" w14:textId="77777777" w:rsidR="004D4205" w:rsidRPr="00DB5D0D" w:rsidRDefault="004D4205" w:rsidP="00DB5D0D">
      <w:pPr>
        <w:spacing w:after="0" w:line="240" w:lineRule="auto"/>
        <w:jc w:val="both"/>
        <w:rPr>
          <w:rFonts w:ascii="Times New Roman" w:hAnsi="Times New Roman"/>
          <w:color w:val="0070C0"/>
          <w:sz w:val="16"/>
          <w:szCs w:val="16"/>
        </w:rPr>
      </w:pPr>
    </w:p>
    <w:p w14:paraId="194B10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5 августа М.Н.Якушин на самолете И—200 зав. № 02 развил скорость 651 км/ч на высоте 7000 м при работе мотора на режиме номинальной мощности. На максимальном режиме были сняты только две точки — 579 км/ч на высоте 2220 м и 605 км/ч на высоте 3630 м. Высоту 5000 м самолет набирал за 5,1 мин, а еще через 2,05 мин он был уже на 7000 м (9984).</w:t>
      </w:r>
    </w:p>
    <w:p w14:paraId="6FCE8B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1D1B50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М.Н. Якушин на И-200 №02 на высоте 7000 м показал скорость 651 км/ч. На высоту 5000 м само</w:t>
      </w:r>
      <w:r w:rsidRPr="00DB5D0D">
        <w:rPr>
          <w:rFonts w:ascii="Times New Roman" w:hAnsi="Times New Roman"/>
          <w:color w:val="000000" w:themeColor="text1"/>
          <w:sz w:val="16"/>
          <w:szCs w:val="16"/>
        </w:rPr>
        <w:softHyphen/>
        <w:t>лёт поднялся за 5,1 мин, а ещё че</w:t>
      </w:r>
      <w:r w:rsidRPr="00DB5D0D">
        <w:rPr>
          <w:rFonts w:ascii="Times New Roman" w:hAnsi="Times New Roman"/>
          <w:color w:val="000000" w:themeColor="text1"/>
          <w:sz w:val="16"/>
          <w:szCs w:val="16"/>
        </w:rPr>
        <w:softHyphen/>
        <w:t>рез 2 мин он был уже на 7000 м. Испытания ещё продолжались, но уже полным ходом шло внедре</w:t>
      </w:r>
      <w:r w:rsidRPr="00DB5D0D">
        <w:rPr>
          <w:rFonts w:ascii="Times New Roman" w:hAnsi="Times New Roman"/>
          <w:color w:val="000000" w:themeColor="text1"/>
          <w:sz w:val="16"/>
          <w:szCs w:val="16"/>
        </w:rPr>
        <w:softHyphen/>
        <w:t>ние нового истребителя в серию параллельно с внесением измене</w:t>
      </w:r>
      <w:r w:rsidRPr="00DB5D0D">
        <w:rPr>
          <w:rFonts w:ascii="Times New Roman" w:hAnsi="Times New Roman"/>
          <w:color w:val="000000" w:themeColor="text1"/>
          <w:sz w:val="16"/>
          <w:szCs w:val="16"/>
        </w:rPr>
        <w:softHyphen/>
        <w:t>ний в его конструкцию. А 18 авгус</w:t>
      </w:r>
      <w:r w:rsidRPr="00DB5D0D">
        <w:rPr>
          <w:rFonts w:ascii="Times New Roman" w:hAnsi="Times New Roman"/>
          <w:color w:val="000000" w:themeColor="text1"/>
          <w:sz w:val="16"/>
          <w:szCs w:val="16"/>
        </w:rPr>
        <w:softHyphen/>
        <w:t>та 1940 г. в Тушине на параде, по</w:t>
      </w:r>
      <w:r w:rsidRPr="00DB5D0D">
        <w:rPr>
          <w:rFonts w:ascii="Times New Roman" w:hAnsi="Times New Roman"/>
          <w:color w:val="000000" w:themeColor="text1"/>
          <w:sz w:val="16"/>
          <w:szCs w:val="16"/>
        </w:rPr>
        <w:softHyphen/>
        <w:t>свящённом Дню авиации, машину впервые показали широкой публи</w:t>
      </w:r>
      <w:r w:rsidRPr="00DB5D0D">
        <w:rPr>
          <w:rFonts w:ascii="Times New Roman" w:hAnsi="Times New Roman"/>
          <w:color w:val="000000" w:themeColor="text1"/>
          <w:sz w:val="16"/>
          <w:szCs w:val="16"/>
        </w:rPr>
        <w:softHyphen/>
        <w:t>ке. Показательный полёт на И-200 №01 выполнил М.Н. Якушин (11757).</w:t>
      </w:r>
    </w:p>
    <w:p w14:paraId="451AC2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EA4BD75" w14:textId="77777777" w:rsidR="00701A88" w:rsidRPr="00DB5D0D" w:rsidRDefault="00701A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5 августа в 1940 году пилот М.Н.Якушин на </w:t>
      </w:r>
      <w:hyperlink r:id="rId249" w:tgtFrame="_blank" w:history="1">
        <w:r w:rsidRPr="00DB5D0D">
          <w:rPr>
            <w:rFonts w:ascii="Times New Roman" w:hAnsi="Times New Roman"/>
            <w:color w:val="000000" w:themeColor="text1"/>
            <w:sz w:val="16"/>
            <w:szCs w:val="16"/>
          </w:rPr>
          <w:t xml:space="preserve">«И-200» </w:t>
        </w:r>
      </w:hyperlink>
      <w:r w:rsidRPr="00DB5D0D">
        <w:rPr>
          <w:rFonts w:ascii="Times New Roman" w:hAnsi="Times New Roman"/>
          <w:color w:val="000000" w:themeColor="text1"/>
          <w:sz w:val="16"/>
          <w:szCs w:val="16"/>
        </w:rPr>
        <w:t>№ 02 развил скорость 651 км/ч на высоте 7000 м, на номинальной мощности. На максимальном режиме были сняты только две точки - на высоте 2220 м - 579 км/ч и на высоте 3630 м - 605 км/ч. На высоту 5000 м самолет поднялся за 5,1 мин, а еще через 2,05 мин он был уже на 7000 м (14974).</w:t>
      </w:r>
    </w:p>
    <w:p w14:paraId="01050F3E" w14:textId="77777777" w:rsidR="00701A88" w:rsidRPr="00DB5D0D" w:rsidRDefault="00701A88" w:rsidP="00DB5D0D">
      <w:pPr>
        <w:spacing w:after="0" w:line="240" w:lineRule="auto"/>
        <w:jc w:val="both"/>
        <w:rPr>
          <w:rFonts w:ascii="Times New Roman" w:hAnsi="Times New Roman"/>
          <w:color w:val="000000" w:themeColor="text1"/>
          <w:sz w:val="16"/>
          <w:szCs w:val="16"/>
        </w:rPr>
      </w:pPr>
    </w:p>
    <w:p w14:paraId="3A2679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С.П. Супрун достиг скорости горизонтального полета 651 км/ч, что превышало показатели всех отечественных и, как думали, самых лучших западных истребителей. Достижение было отмечено премиями, не обошли и Поликарпова. На заводских испытаниях И-200-1 из 118 дней 53 потратили на доработки, ремонты и замены моторов. Выходных у бригады было 7. И-200-2 на аэродроме провел 56 дней, в цехе - 61, у И-200-3 было 42 летных дня, а 49 заняли доводка и ремонты (11938).</w:t>
      </w:r>
    </w:p>
    <w:p w14:paraId="711FEF4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12B8A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г. летчик М.Н. Якушин на втором опытном И-200 развил скорость 651 км/ч на высоте 7000 м при работе мотора на режиме номинальной мощности. На максимальном режиме были сняты только две точки - 579 км/ч на высоте 2220 м и 605 км/ч на высоте 3630 м. Высоту 5000 м самолет набирал за 5,1 мин, а еще через 2,05 мин он был уже на 7000 м. 18 августа 1940 г. на авиационном празднике в Тушино машину впервые показали широкой публике. 25 августа 1940 г. после выполнения 109 полетов с налетом 40 ч 49 мин заводские испытания завершились. Для сравнения заметим, что объем заводских испытаний И-26 был ограничен всего 43 полетами обшей продолжительностью 13 ч 9 мин, причем 15 из этих полетов завершились вынужденными посадками (12045).</w:t>
      </w:r>
    </w:p>
    <w:p w14:paraId="2E66850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E09D5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Зам. нач. ГУ ВВС Федоров утвердил Заключение по эскизному проекту легкого скоростного санитарного самолета САМ-10бис с МВ-8 конструкции Москалева (2064).</w:t>
      </w:r>
    </w:p>
    <w:p w14:paraId="4A5CE4A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BCD5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года Зам. начальника ВВС утвердил Заключение по эскизному проекту одноместного учебно-тренировочного скоростного самолета УТС с мотором МВ-6 конструкции</w:t>
      </w:r>
    </w:p>
    <w:p w14:paraId="2F4AF8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группы инженеров завода № 135</w:t>
      </w:r>
    </w:p>
    <w:p w14:paraId="6A2C99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разработан инициативной группой инженеров завода № 135.</w:t>
      </w:r>
    </w:p>
    <w:p w14:paraId="4C00EA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самолета</w:t>
      </w:r>
    </w:p>
    <w:p w14:paraId="5A32C7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Одноместный учебно-тренировочный скоростной истребитель для подготовки и тренировки летного состава.</w:t>
      </w:r>
    </w:p>
    <w:p w14:paraId="69247C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предусмотрена установка фото-кино-пулемета и двух боевых пулеметов для проведения учебных стрельб и тренировки в воздушном бою.</w:t>
      </w:r>
    </w:p>
    <w:p w14:paraId="37CB8C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представляет из себя свободнонесущий моноплан деревянной конструкции с низким расположением крыла и закрытой кабиной. Крыло, фюзеляж и оперение – деревянные, с фанерной обшивкой, закрытой снаружи полотном.</w:t>
      </w:r>
    </w:p>
    <w:p w14:paraId="16D19C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26F5A0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Настоящий эскизный проект утвержден быть не может (4609).</w:t>
      </w:r>
    </w:p>
    <w:p w14:paraId="04DDE76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500450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года Зам. начальника ВВС утвердил Заключение по эскизному проекту легкого скоростного санитарного самолета САМ-10 бис, с мотором МВ-6, конструкции инженера Москалева</w:t>
      </w:r>
    </w:p>
    <w:p w14:paraId="509E05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самолета</w:t>
      </w:r>
    </w:p>
    <w:p w14:paraId="594467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Эвакуация больных и раненых из прифронтовой полосы.</w:t>
      </w:r>
    </w:p>
    <w:p w14:paraId="304BCE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Доставка медработников в места, где требуется срочная медицинская помощь.</w:t>
      </w:r>
    </w:p>
    <w:p w14:paraId="6733F6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состоит из:</w:t>
      </w:r>
    </w:p>
    <w:p w14:paraId="4F85FA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Пилот</w:t>
      </w:r>
    </w:p>
    <w:p w14:paraId="61D6B0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Лежачих больных – 2 чел.</w:t>
      </w:r>
    </w:p>
    <w:p w14:paraId="043CCD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Сидячих больных – 2 чел.</w:t>
      </w:r>
    </w:p>
    <w:p w14:paraId="2B9437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Скоростной санитарный самолет является модификацией самолета САМ-10 и все детали самолета САМ-10 бис в основном использованы от самолета САМ-10.</w:t>
      </w:r>
    </w:p>
    <w:p w14:paraId="702DB4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Схема самолета – моноплан с низкорасположенным крылом, деревянной конструкции.</w:t>
      </w:r>
    </w:p>
    <w:p w14:paraId="2480C3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санитарном варианте самолет САМ-10 имеет трехколесное шасси для большей безопасности посадки.</w:t>
      </w:r>
    </w:p>
    <w:p w14:paraId="7AD6F7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удобства загрузки носилочных больных, хвостовая часть фюзеляжа сделана отводной в сторону.</w:t>
      </w:r>
    </w:p>
    <w:p w14:paraId="23D2A8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3A8E3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санитарного самолета САМ-10 бис как не удовлетворяющий тактико-техническим требованиям к санитарному самолету – утвержден быть не может (4610).</w:t>
      </w:r>
    </w:p>
    <w:p w14:paraId="6136E6D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241A9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Врио нач. ГУ ВВС Федоров утвердил Заключение по эскизному проекту одноместного учебно-тренировочного скоростного самолета УТС с МВ6 конструкции группы инженеров завода 135 (2060).</w:t>
      </w:r>
    </w:p>
    <w:p w14:paraId="7C02429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C148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состоялось заседание Коллегии НКАП, на котором рассматривался вопрос о состоянии опытных работ по заводу 29. Директор Громов докладывал по моторам М-88, М-89, М-90 (1154,8).</w:t>
      </w:r>
    </w:p>
    <w:p w14:paraId="7AF56F7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4C2EF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Нач. Особой группы НКАП И.Фирсаев писал письмо № Н-11/1310 Зам. Нач. 7ГУ НКАП Шишкину (вход. 4296-42 от 05.08.40):</w:t>
      </w:r>
    </w:p>
    <w:p w14:paraId="357424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Направляю Вам оставшиеся вторые экземпляры планов опытных работ на 1940, первые экземпляры которых направлены КО при СНК при исх. № 1245сс/ог</w:t>
      </w:r>
    </w:p>
    <w:p w14:paraId="439864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упомянутое на 41 листе (874,97).</w:t>
      </w:r>
    </w:p>
    <w:p w14:paraId="484383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1061C0C" w14:textId="77777777" w:rsidR="003C7E8B" w:rsidRPr="00DB5D0D" w:rsidRDefault="003C7E8B" w:rsidP="00DB5D0D">
      <w:pPr>
        <w:tabs>
          <w:tab w:val="left" w:pos="171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Директор фабрики “Комсомолец” НКПищепром Куралев писал письмо № 33/сс</w:t>
      </w:r>
    </w:p>
    <w:p w14:paraId="426EF2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ПРИ СНК СССР тов. САФОНОВУ</w:t>
      </w:r>
    </w:p>
    <w:p w14:paraId="355108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КОМИТЕТА ОБОРОНЫ от 11/П-40 года за № 72сс на буманой фабрике КОМСОМОЛЕЦ системы Главтабака Наркомпищепрома СССР построен цех литых бензобаков ПЛБГ-100 для авиации. Цех пущен в эксплоатацию в Марте месяце с/г.</w:t>
      </w:r>
    </w:p>
    <w:p w14:paraId="00CD47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план выпуска бензобаков в количестве 1000 штук выполнен в мае мес. с/г, затем в соответсзии с указанием ГУАСКА от 22/У1 с/г Фабрике был спущен дополнительный заказ на изготовление 10000 шт. бензобаков, к выполнению данного заказа было приступлю 1 июля с/г и на 1-е Августа выпущено около 1000 бензобаков.</w:t>
      </w:r>
    </w:p>
    <w:p w14:paraId="5E2E4561" w14:textId="77777777" w:rsidR="003C7E8B" w:rsidRPr="00DB5D0D" w:rsidRDefault="003C7E8B" w:rsidP="00DB5D0D">
      <w:pPr>
        <w:tabs>
          <w:tab w:val="left" w:pos="651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работа цеха приостановлена, т.к. изготовленную продукцию первого и второго заказа нельзя отправить из-за отсутствия подвесок и резиновых колец.</w:t>
      </w:r>
    </w:p>
    <w:p w14:paraId="302881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Подвески для для первой партии должен изготовить завод ШТАМПМЕТИЗ Ленинградского Промсовета по договору к 10 августа, изготовлено же на 5 августа всего 100 шт.</w:t>
      </w:r>
    </w:p>
    <w:p w14:paraId="1CF3E9A5" w14:textId="77777777" w:rsidR="003C7E8B" w:rsidRPr="00DB5D0D" w:rsidRDefault="003C7E8B" w:rsidP="00DB5D0D">
      <w:pPr>
        <w:tabs>
          <w:tab w:val="left" w:pos="2640"/>
          <w:tab w:val="left" w:pos="3648"/>
          <w:tab w:val="left" w:pos="489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Они же должны выполнить и подвески для второго заказа, но к работе не приступают ссылаясь на отсутствие материалов и из-за этих соображений отказываются от заключения договора.</w:t>
      </w:r>
    </w:p>
    <w:p w14:paraId="54570D8C" w14:textId="77777777" w:rsidR="003C7E8B" w:rsidRPr="00DB5D0D" w:rsidRDefault="003C7E8B" w:rsidP="00DB5D0D">
      <w:pPr>
        <w:tabs>
          <w:tab w:val="left" w:pos="2640"/>
          <w:tab w:val="left" w:pos="3648"/>
          <w:tab w:val="left" w:pos="489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принимаемые нами меры на месте и через своои ведомственные организации: Главк, Наркомат по обеспечению нас подвесками, резиновыми кольцами, такными материалами и пр. - ни к чему не приводят.</w:t>
      </w:r>
    </w:p>
    <w:p w14:paraId="2AAF8C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пуска цезха в эксплоатацию прошло 5 месяцев и мы не отправили ни одного бензобака, по сути дела из-за мелочей.</w:t>
      </w:r>
    </w:p>
    <w:p w14:paraId="2BBF1E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вмешательства по указанным вопросам, так-как Наркомпищепром ни Главтабак и ГУАСКА несмотря на наши неоднократные требования и запросы дело с мертвой точки сдвинуть не могут (10106).</w:t>
      </w:r>
    </w:p>
    <w:p w14:paraId="5E14D282"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p w14:paraId="5FDCB61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5 по 28 августа 1940 года на аэродроме НИИ ВВС проходили полевые испытания деформирующей окраски самолетов «СБ», «И-153» и «И-16» (6768).</w:t>
      </w:r>
    </w:p>
    <w:p w14:paraId="3141992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Отв. исполнители:</w:t>
      </w:r>
    </w:p>
    <w:p w14:paraId="3C9CFAA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инженер 5-го Отдела Штаба ВВС в/инженер 2 ранга Ясин</w:t>
      </w:r>
    </w:p>
    <w:p w14:paraId="6D48CD2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5-го Отдела НИИ ВВС Мицкевич</w:t>
      </w:r>
    </w:p>
    <w:p w14:paraId="1CF448D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13-го Отдела НИИ ВВС капитан Шашков</w:t>
      </w:r>
    </w:p>
    <w:p w14:paraId="629BF02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полевые испытания были проведены в период с 5 по 28 августа 1940 года.</w:t>
      </w:r>
    </w:p>
    <w:p w14:paraId="1359901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окраски самолетов применялись красочные смеси по рецептуре ВИАМ на казеиновом закрепителе, составленные по эталонам уточненных расцветок временных окрасок.</w:t>
      </w:r>
    </w:p>
    <w:p w14:paraId="6DF8ABF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началом окрашивания на поверхность самолета наносился рисунок с соответствующего эскиза. Границы каждого пятна обозначались мелом или цветным карандашом.</w:t>
      </w:r>
    </w:p>
    <w:p w14:paraId="77EA5A7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Рецептура эталонов для деформирующей окраски самолетов,</w:t>
      </w:r>
    </w:p>
    <w:p w14:paraId="749CFCA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специально изготовленная для испытания эффективности деформации</w:t>
      </w:r>
    </w:p>
    <w:p w14:paraId="4595EE9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Серая № 4</w:t>
      </w:r>
    </w:p>
    <w:p w14:paraId="23EEA87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Мел отмученный – 69%</w:t>
      </w:r>
    </w:p>
    <w:p w14:paraId="15C1AB0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Охра – 13,9%</w:t>
      </w:r>
    </w:p>
    <w:p w14:paraId="41CA340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Железный сурик – 7%</w:t>
      </w:r>
    </w:p>
    <w:p w14:paraId="053AFB9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Пиролюзит – 10,1%</w:t>
      </w:r>
    </w:p>
    <w:p w14:paraId="42D36E4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Зеленая № 6</w:t>
      </w:r>
    </w:p>
    <w:p w14:paraId="443B8FF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Охра – 7,9%</w:t>
      </w:r>
    </w:p>
    <w:p w14:paraId="3C0F94B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Железный сурик – 31,2%</w:t>
      </w:r>
    </w:p>
    <w:p w14:paraId="3CC9B02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Окись хрома –48,3%</w:t>
      </w:r>
    </w:p>
    <w:p w14:paraId="2076FF4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Оранжевый крон свинцовый – 12,6%</w:t>
      </w:r>
    </w:p>
    <w:p w14:paraId="102B914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Песочная № 8</w:t>
      </w:r>
    </w:p>
    <w:p w14:paraId="7271CFE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Мел отмученный – 19,0%</w:t>
      </w:r>
    </w:p>
    <w:p w14:paraId="13427D3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Охра – 35,7%</w:t>
      </w:r>
    </w:p>
    <w:p w14:paraId="78CB1AD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Пиролюзит – 3,1%</w:t>
      </w:r>
    </w:p>
    <w:p w14:paraId="22D2C01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Умбра жженая – 42,2%</w:t>
      </w:r>
    </w:p>
    <w:p w14:paraId="0A1F2B1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Коричнево-черная № 12</w:t>
      </w:r>
    </w:p>
    <w:p w14:paraId="68C5B05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Железный сурик – 86,0%</w:t>
      </w:r>
    </w:p>
    <w:p w14:paraId="030A7A9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Желтый крон свинцовый – 2,0%</w:t>
      </w:r>
    </w:p>
    <w:p w14:paraId="440D677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Сажа – 6,0%</w:t>
      </w:r>
    </w:p>
    <w:p w14:paraId="5147290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Каолин – 6,0%</w:t>
      </w:r>
    </w:p>
    <w:p w14:paraId="31FEF35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Имитирующая 4БОа зеленая</w:t>
      </w:r>
    </w:p>
    <w:p w14:paraId="1CCA817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Пиролюзит – 9,0%</w:t>
      </w:r>
    </w:p>
    <w:p w14:paraId="1FD472F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Окись хрома – 63,0%</w:t>
      </w:r>
    </w:p>
    <w:p w14:paraId="344A457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Оранжевый крон свинцовый – 18,0%</w:t>
      </w:r>
    </w:p>
    <w:p w14:paraId="2056DB3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Желтый крон свинцовый – 0,1%</w:t>
      </w:r>
    </w:p>
    <w:p w14:paraId="3F258F2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Сажа+каолин – добавка</w:t>
      </w:r>
    </w:p>
    <w:p w14:paraId="1EF266E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Ультрамарин – 9,0%</w:t>
      </w:r>
    </w:p>
    <w:p w14:paraId="546340B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Имитирующая 4БОв зеленая</w:t>
      </w:r>
    </w:p>
    <w:p w14:paraId="7EB6127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Охра – 60,0%</w:t>
      </w:r>
    </w:p>
    <w:p w14:paraId="29EFD16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Железный сурик – 3,0%</w:t>
      </w:r>
    </w:p>
    <w:p w14:paraId="7041124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Окись хрома – 30,0%</w:t>
      </w:r>
    </w:p>
    <w:p w14:paraId="0B6791B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Оранжевый крон свинцовый – 7,0%</w:t>
      </w:r>
    </w:p>
    <w:p w14:paraId="1F4E555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Сажа+каолин – добавка</w:t>
      </w:r>
    </w:p>
    <w:p w14:paraId="1B2C394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Темно-зеленая № 1</w:t>
      </w:r>
    </w:p>
    <w:p w14:paraId="0A9F2B3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Железный сурик – 36,8%</w:t>
      </w:r>
    </w:p>
    <w:p w14:paraId="174AD56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Окись хрома – 59,0%</w:t>
      </w:r>
    </w:p>
    <w:p w14:paraId="2CEA594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Оранжевый крон свинцовый – 4,2%</w:t>
      </w:r>
    </w:p>
    <w:p w14:paraId="3570498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Сажа+каолин – добавка</w:t>
      </w:r>
    </w:p>
    <w:p w14:paraId="2FC2354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Черная</w:t>
      </w:r>
    </w:p>
    <w:p w14:paraId="4882F88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Сажа – 50,0%</w:t>
      </w:r>
    </w:p>
    <w:p w14:paraId="63861A8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Каолин – 50,0%</w:t>
      </w:r>
    </w:p>
    <w:p w14:paraId="2AB5918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29DB181"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рекомендовать взамен одноцветного окрашивания деформирующие окраски верхних и боковых поверхностей самолетов по приложенным в отчете эскизам, приняв для этого уточненные цвета, приведенные в выводах:</w:t>
      </w:r>
    </w:p>
    <w:p w14:paraId="46AF6F3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Грязно-песочный, серый с желтым оттенком, желтый, зеленый с желтым оттенком, темно-зеленый, черный.</w:t>
      </w:r>
    </w:p>
    <w:p w14:paraId="53496FA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Цвета зеленый (4Б-О), желтый и темно-зеленый должны быть недешифруемыми.</w:t>
      </w:r>
    </w:p>
    <w:p w14:paraId="434D7D76"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Деформирующая окраска самолетов должна быть постоянной, заводской.</w:t>
      </w:r>
    </w:p>
    <w:p w14:paraId="0ED2F442"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Поставить вопрос перед Наркоматом авиапромышленности о необходимости:</w:t>
      </w:r>
    </w:p>
    <w:p w14:paraId="4DF13A0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перехода заводов на выпуск самолетов с деформирующей окраской верхних и боковых поверхностей и светло-серой окраской нижних поверхностей с 15-го декабря 1940 года;</w:t>
      </w:r>
    </w:p>
    <w:p w14:paraId="3A4C054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перехода на окраску винтов в цвета 4БО.</w:t>
      </w:r>
    </w:p>
    <w:p w14:paraId="11730308"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ранее выпущенные самолеты должны быть окрашены в частях недешефрируемой краской цвета 4Б-О, которая и явится основой для нанесения временной деформирующей окраски.</w:t>
      </w:r>
    </w:p>
    <w:p w14:paraId="04481104"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уничтожения демаскирующего блеска, остекленные кабины самолетов при нахождении на земле необходимо чехлить (6768).</w:t>
      </w:r>
    </w:p>
    <w:p w14:paraId="5BC18863"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p>
    <w:p w14:paraId="2A9A38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5 по 28 августа 1940 в НИИ ВВС начались испытания выбранных 15-ти (6 для СБ, 6 для И-16 и 3 для И-153) схем камуфляжей. Окраски предназначались для Московского (МВО), Киевского особого (КОВО), Среднеазиатского (САВО) и Забайкальского (ЗАБВО) военных округов и Особой Краснознаменной Дальневосточной Армии (ОКДВА). Количество схем по округам распределялось неравномерно. Наибольшее количество камуфляжей предназначалось для МВО (5 - для СБ, и 2 для И-16). На втором месте стоял КОВО (2 -И-16, 1 -И-153). Две схемы (по одной для СБ и И-16) предполагалось использовать в САВО, столько же (для И-16 и И-153) в ОКДВА и одну (И-153) в ЗАБВО. Для бомбардировщиков СБ испытывались 5-, 4-и 3-цветные камуфляжи. Чтобы избежать пятен малых размеров, которые могли бы слиться при наблюдении с большого расстояния, на истребителях ограничились 2-и 3-цветными окрасками. При этом единственная схема 2-цветного камуфляжа, состоящего из пятен темно-коричневого и зеленого (4БО) цвета, была разработана для истребителей И-16 Московского военного округа.</w:t>
      </w:r>
    </w:p>
    <w:p w14:paraId="7969D3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 во всех окрасках присутствовал зеленый цвет 4БО, который к этому времени был уже однозначно выбран в качестве стандартного. Не было его только в камуфляжах ЗАБВО и ОКДВА.</w:t>
      </w:r>
    </w:p>
    <w:p w14:paraId="6BE904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нормальные (нитро-, масляные или глифталевые) краски нужных цветов еще не разработали, для нанесения деформирующих окрасок с целью "облегчения и ускорения испытаний" опять использовались смываемые краски на основе казеина. Они были лишь имитацией тех, что предполагалось применять в дальнейшем, и не обладали свойством недешифрируемости.</w:t>
      </w:r>
    </w:p>
    <w:p w14:paraId="6559FA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Контрольные самолеты имели заводские окраски, стандартные на момент изготовления: верхние поверхности И-16 были старого, применявшегося до мая 1940 г., темно-зеленого (темно-защитного) цвета; И-153 -нового, светло-зеленого цвета; С Б -светло-серого цвета.</w:t>
      </w:r>
    </w:p>
    <w:p w14:paraId="47E3EF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были наиболее масштабными из всех проведенных ранее: в течение 9 летных дней - 52 полета.</w:t>
      </w:r>
    </w:p>
    <w:p w14:paraId="0E5D78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Наблюдения и аэрофотосъемка камуфлированных самолетов, расположенных на земле, проводились по двум вариантам. Сначала наблюдались и фотографировались машины, расставленные в одну линию без учета рисунка местности, при этом в том же ряду находилось по одному контрольному самолету каждого типа. Затем те же самолеты были рассредоточены с учетом рисунка местности. В обоих случаях наблюдение производилось с высот от 500 до 4 000 м, под углом 90° и 45°, в ясную и пасмурную погоду, два раза в день: утром и днем.</w:t>
      </w:r>
    </w:p>
    <w:p w14:paraId="32D3B8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испытаниях участвовало 18 наблюдателей: 12 летнабов из НИИ ВВС и шесть инженеров -специалистов по маскировке. От этих людей, знавших точное месторасположение окрашенных самолетов, требовалось определить с какой высоты и при каких углах опознается тот или иной объект.</w:t>
      </w:r>
    </w:p>
    <w:p w14:paraId="7F4DA9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первых дней наблюдений с воздуха в окраску самолетов для усиления эффекта деформации были внесены некоторые изменения.</w:t>
      </w:r>
    </w:p>
    <w:p w14:paraId="61726F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испытаний показали, что эффективность маскировки самолетов СБ зависит от количества цветов в схеме камуфляжа. Максимальный эффект давала 5-цветная окраска, минимальный - стандартная одноцветная серая. Разница в заметности для этих двух окрасок, начиная с высоты около 3000 м, была поразительной -стопроцентная опознаваемость для серой и 5%-я -для 5-цветной схемы. Гораздо меньше различались камуфляжи бипланов И-153. А деформирующие окраски истребителей И-16 во всем диапазоне высот и углов наблюдения по эффективности не отличались друг от друга и, что самое интересное, от стандартной одноцветной темно-зеленой окраски. Это объяснялось "сравнительно более трудной для деформации формой самолета, обусловленной наличием резко выступающего над крыльями фюзеляжа" и "относительно малой площадью крыльев самолета в сравнении с площадью, занимаемой фюзеляжем".</w:t>
      </w:r>
    </w:p>
    <w:p w14:paraId="7E3C54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деформирующих окрасок в воздухе наблюдения производились с выше летящих самолетов с превышением 500 м и 1000 м для "Чаек" и "Ишаков" и 1000 м для СБ. Также как и при наземной маскировке из всех СБ наименее опознаваемыми оказались имевшие 5-цветную и 4-цветную окраску. Все камуфлированные самолеты показали малую заметность при полете над населенными пунктами, да и на многоцветном фоне с участками пашни они различались хуже, чем контрольные.</w:t>
      </w:r>
    </w:p>
    <w:p w14:paraId="6B8D17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Сравнение новых окрасок советских самолетов проводили не только между собой. 16 августа рядом с самолетами СБ и истребителями был установлен недавно закупленный в Германии Вт. 109 в стандартном немецком камуфляже. Со всех высот (500, 1000, 2000, 3000 и 4000 м) "мессершмитт" был отлично виден. Из донесений наблюдателей: "... лучше всего виден самолет МШ-109, который своей темной окраской сразу бросается в глаза", "МШ-109 замечательно виден"</w:t>
      </w:r>
    </w:p>
    <w:p w14:paraId="1EDBE3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последний день испытаний - 28 августа - были проведены контрольные наблюдения с привлечением шести экипажей 134 сбап, базировавшегося в Подольске, не видевших до этого камуфлированных самолетов. Пролетев над аэродромом НИИ ВВС на высоте 1000-1600 м (вместо запланированных 3500 м -помешала облачность), никто не определил правильно даже количество самолетов, указывались совершенно разные числа от 0 до 17. Только с одного бомбардировщика смогли определить тип, указав наличие на летном поле двух СБ. На самом деле на аэродроме находились 19 машин: шесть камуфлированных СБ, семь И-16, три И-153 и по одному контрольному самолету каждого типа.</w:t>
      </w:r>
    </w:p>
    <w:p w14:paraId="74BED6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схем камуфляжей были проверены и варианты окраски нижних поверхностей. Для этого на 2 "Чайках", которые избрали для этих испытаний как наиболее трудно маскируемые из-за своей бипланной схемы, нижние поверхности окрасили светло-серой и белой красками. Третий И-153 был оставлен с заводской светло-голубой окраской. При полете на высоте от 500 до 1500 м наименее заметным на фоне чистого неба и облаков оказался самолет, имеющий светло-серую окраску.</w:t>
      </w:r>
    </w:p>
    <w:p w14:paraId="58496A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самолетов СБ проверялась ночная окраска нижних поверхностей в черный цвет смываемой краской на основе сажи и казеина. Эффективность такой окраски была, конечно, значительно выше, чем у стандартной для СБ окраски целиком в светло-серый цвет.</w:t>
      </w:r>
    </w:p>
    <w:p w14:paraId="138CF6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окончания испытаний камуфляж с самолетов был смыт, а самолеты отправлены обратно в свои части.</w:t>
      </w:r>
    </w:p>
    <w:p w14:paraId="21D221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полученных данных были разработаны 12 вариантов деформирующей окраски, которые предлагались в качестве образцов для введения на вооружение ВВС Красной Армии.</w:t>
      </w:r>
    </w:p>
    <w:p w14:paraId="156194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Бомбардировщики СБ получали 3 схемы 4-цветной окраски (песочный + 4БО + темно-зеленый + темно-коричневый; песочный + 4БО + желто-зеленый + темно-коричневый; песочный + 4БО + темно-зеленый + серый) и одну 5-цветную (песочный + серый + желто-зеленый + 4БО + темно-коричневый). Все схемы были несколько модифицированы по сравнению с первоначально предложенными НИИИТом.</w:t>
      </w:r>
    </w:p>
    <w:p w14:paraId="5B9753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истребителей И-153 были выбраны четыре 3-цветные схемы. Две из них (одна была разработана без испытаний, по их результатам) состояли из пятен серого, желто-зеленого и темно-зеленого цвета и различались формой пятен. Они предназначались для ОКДВА. Третья состояла из песочного, темно-коричневого цвета и цвета 4БО (для КОВО), а четвертая -из песочного, желто-зеленого и темно-коричневого -для ЗАБВО. Интересно отметить, что, несмотря на свои предполагаемые районы применения, эти камуфляжи показали очень неплохие результаты и в Московском военном округе.</w:t>
      </w:r>
    </w:p>
    <w:p w14:paraId="576538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оказавшиеся наименее эффективными, камуфляжи И-16 подверглись наибольшим трансформациям: изменялись и комбинации цветов и расположение пятен. В результате были рекомендованы следующие схемы: 2 варианта из пятен песочного, желто-зеленого и темно-коричневого цвета (САВО); 1 вариант -серого, желто-зеленого и темно-зеленого цвета (ОКДВА) и еще один - серого, темно-коричневого цвета и цвета 4БО (МВО).</w:t>
      </w:r>
    </w:p>
    <w:p w14:paraId="61223A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"Акте решения по отчету об испытании деформирующей окраски самолетов", подписанном 1 октября 1940 г. заместителем Начальника ВВС КА генерал-майором авиации Гусевым, эти схемы предписывалось принять в качестве постоянной окраски и "для этого поставить вопрос перед НКАП о переходе заводов на деформирующую окраску верхних и боковых поверхностей самолетов с 15 декабря 1940 г." Для перекраски в камуфляж самолетов, находящихся в частях ВВС, решено было использовать быстросмываемые покрытия ВИАМ, изготовленные на основе казеинового закрепителя, однако "применение этих покрытий в частях ВВС Красной Армии допустить лишь при проведении боевых учений и при выполнении боевых операций". Наносить временные краски следовало по покрытию нового базового цвета 4БО. Инструкцию для этого предполагалось разработать также к 15 декабря 1940 г. (2771,23).</w:t>
      </w:r>
    </w:p>
    <w:p w14:paraId="792967E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483FB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5 августа 1940 в НИИ ВВС начались испытания схем камуфляжей шести СБ, шести И-16 и трех И-153. Окраски предназначались для Московского, Киевского особого, Среднеазиатского и Забайкальского военных округов и Особой Краснознаменной Дальневосточной Армии. Види</w:t>
      </w:r>
      <w:r w:rsidRPr="00DB5D0D">
        <w:rPr>
          <w:rFonts w:ascii="Times New Roman" w:hAnsi="Times New Roman"/>
          <w:color w:val="000000" w:themeColor="text1"/>
          <w:sz w:val="16"/>
          <w:szCs w:val="16"/>
        </w:rPr>
        <w:softHyphen/>
        <w:t>мо, в 1940-м году территории этих округов считались стра</w:t>
      </w:r>
      <w:r w:rsidRPr="00DB5D0D">
        <w:rPr>
          <w:rFonts w:ascii="Times New Roman" w:hAnsi="Times New Roman"/>
          <w:color w:val="000000" w:themeColor="text1"/>
          <w:sz w:val="16"/>
          <w:szCs w:val="16"/>
        </w:rPr>
        <w:softHyphen/>
        <w:t>тегически важными.</w:t>
      </w:r>
    </w:p>
    <w:p w14:paraId="164534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Наблюдения и аэрофотосъемка камуфлированных само</w:t>
      </w:r>
      <w:r w:rsidRPr="00DB5D0D">
        <w:rPr>
          <w:rFonts w:ascii="Times New Roman" w:hAnsi="Times New Roman"/>
          <w:color w:val="000000" w:themeColor="text1"/>
          <w:sz w:val="16"/>
          <w:szCs w:val="16"/>
        </w:rPr>
        <w:softHyphen/>
        <w:t>летов, расположенных на земле, производились с высот от 500 до 4000 метров в различных метеоусловиях и времени суток.</w:t>
      </w:r>
    </w:p>
    <w:p w14:paraId="77ED3F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камуфлированные самолеты показали малую замет-ность при полете над населенными пунктами, да и на мно</w:t>
      </w:r>
      <w:r w:rsidRPr="00DB5D0D">
        <w:rPr>
          <w:rFonts w:ascii="Times New Roman" w:hAnsi="Times New Roman"/>
          <w:color w:val="000000" w:themeColor="text1"/>
          <w:sz w:val="16"/>
          <w:szCs w:val="16"/>
        </w:rPr>
        <w:softHyphen/>
        <w:t>гоцветном фоне с участками пашни они различались хуже, чем контрольные.</w:t>
      </w:r>
    </w:p>
    <w:p w14:paraId="63B00B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Сравнение новых окрасок советских самолетов провели и с иностранными машинами. 16 августа рядом с самолета</w:t>
      </w:r>
      <w:r w:rsidRPr="00DB5D0D">
        <w:rPr>
          <w:rFonts w:ascii="Times New Roman" w:hAnsi="Times New Roman"/>
          <w:color w:val="000000" w:themeColor="text1"/>
          <w:sz w:val="16"/>
          <w:szCs w:val="16"/>
        </w:rPr>
        <w:softHyphen/>
        <w:t>ми СБ и истребителями установили недавно закупленный в Германии Ме-109 в стандартном немецком камуфляже. С высот от 500 до 4000 метров «Мессершмитт» был отлич</w:t>
      </w:r>
      <w:r w:rsidRPr="00DB5D0D">
        <w:rPr>
          <w:rFonts w:ascii="Times New Roman" w:hAnsi="Times New Roman"/>
          <w:color w:val="000000" w:themeColor="text1"/>
          <w:sz w:val="16"/>
          <w:szCs w:val="16"/>
        </w:rPr>
        <w:softHyphen/>
        <w:t>но виден, бросался в глаза своей темной окраской.</w:t>
      </w:r>
    </w:p>
    <w:p w14:paraId="73ADE8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последний день испытаний — 28 августа — были про</w:t>
      </w:r>
      <w:r w:rsidRPr="00DB5D0D">
        <w:rPr>
          <w:rFonts w:ascii="Times New Roman" w:hAnsi="Times New Roman"/>
          <w:color w:val="000000" w:themeColor="text1"/>
          <w:sz w:val="16"/>
          <w:szCs w:val="16"/>
        </w:rPr>
        <w:softHyphen/>
        <w:t>ведены контрольные наблюдения с привлечением шести эки</w:t>
      </w:r>
      <w:r w:rsidRPr="00DB5D0D">
        <w:rPr>
          <w:rFonts w:ascii="Times New Roman" w:hAnsi="Times New Roman"/>
          <w:color w:val="000000" w:themeColor="text1"/>
          <w:sz w:val="16"/>
          <w:szCs w:val="16"/>
        </w:rPr>
        <w:softHyphen/>
        <w:t>пажей 134-го скоростного бомбардировочного авиаполка, базировавшегося в подмосковном Подольске, не видевших до этого камуфлированных самолетов. Пролетев над аэродромом НИИ ВВС на высоте 1000—1600 м (вместо запланированных 3500 м — помешала облачность), никто не определил пра</w:t>
      </w:r>
      <w:r w:rsidRPr="00DB5D0D">
        <w:rPr>
          <w:rFonts w:ascii="Times New Roman" w:hAnsi="Times New Roman"/>
          <w:color w:val="000000" w:themeColor="text1"/>
          <w:sz w:val="16"/>
          <w:szCs w:val="16"/>
        </w:rPr>
        <w:softHyphen/>
        <w:t>вильно даже количество самолетов. Указывались совершен</w:t>
      </w:r>
      <w:r w:rsidRPr="00DB5D0D">
        <w:rPr>
          <w:rFonts w:ascii="Times New Roman" w:hAnsi="Times New Roman"/>
          <w:color w:val="000000" w:themeColor="text1"/>
          <w:sz w:val="16"/>
          <w:szCs w:val="16"/>
        </w:rPr>
        <w:softHyphen/>
        <w:t>но разные числа от 0 до 17. Только с одного бомбардировщи</w:t>
      </w:r>
      <w:r w:rsidRPr="00DB5D0D">
        <w:rPr>
          <w:rFonts w:ascii="Times New Roman" w:hAnsi="Times New Roman"/>
          <w:color w:val="000000" w:themeColor="text1"/>
          <w:sz w:val="16"/>
          <w:szCs w:val="16"/>
        </w:rPr>
        <w:softHyphen/>
        <w:t>ка смогли определить наличие на летном поле двух СБ. На самом деле на аэродроме находились 19 машин: шесть камуф</w:t>
      </w:r>
      <w:r w:rsidRPr="00DB5D0D">
        <w:rPr>
          <w:rFonts w:ascii="Times New Roman" w:hAnsi="Times New Roman"/>
          <w:color w:val="000000" w:themeColor="text1"/>
          <w:sz w:val="16"/>
          <w:szCs w:val="16"/>
        </w:rPr>
        <w:softHyphen/>
        <w:t>лированных СБ, семь И-16, три И-153 и по одному конт</w:t>
      </w:r>
      <w:r w:rsidRPr="00DB5D0D">
        <w:rPr>
          <w:rFonts w:ascii="Times New Roman" w:hAnsi="Times New Roman"/>
          <w:color w:val="000000" w:themeColor="text1"/>
          <w:sz w:val="16"/>
          <w:szCs w:val="16"/>
        </w:rPr>
        <w:softHyphen/>
        <w:t>рольному самолету каждого типа.</w:t>
      </w:r>
    </w:p>
    <w:p w14:paraId="71AD2B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окончания испытаний камуфляж с самолетов смы</w:t>
      </w:r>
      <w:r w:rsidRPr="00DB5D0D">
        <w:rPr>
          <w:rFonts w:ascii="Times New Roman" w:hAnsi="Times New Roman"/>
          <w:color w:val="000000" w:themeColor="text1"/>
          <w:sz w:val="16"/>
          <w:szCs w:val="16"/>
        </w:rPr>
        <w:softHyphen/>
        <w:t>ли и отправили их обратно в свои части.</w:t>
      </w:r>
    </w:p>
    <w:p w14:paraId="1B5A29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полученных данных разработали 12 вариантов деформирующей окраски, которые предлагались в качестве образцов для принятия на вооружение ВВС Красной Армии.</w:t>
      </w:r>
    </w:p>
    <w:p w14:paraId="6CEE7D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«Акте решения по отчету об испытании деформирую</w:t>
      </w:r>
      <w:r w:rsidRPr="00DB5D0D">
        <w:rPr>
          <w:rFonts w:ascii="Times New Roman" w:hAnsi="Times New Roman"/>
          <w:color w:val="000000" w:themeColor="text1"/>
          <w:sz w:val="16"/>
          <w:szCs w:val="16"/>
        </w:rPr>
        <w:softHyphen/>
        <w:t>щей окраски самолетов», подписанном 1 октября 1940 года заместителем начальника ВВС КА генерал-майором авиа</w:t>
      </w:r>
      <w:r w:rsidRPr="00DB5D0D">
        <w:rPr>
          <w:rFonts w:ascii="Times New Roman" w:hAnsi="Times New Roman"/>
          <w:color w:val="000000" w:themeColor="text1"/>
          <w:sz w:val="16"/>
          <w:szCs w:val="16"/>
        </w:rPr>
        <w:softHyphen/>
        <w:t>ции Гусевым, эти схемы предписывалось принять для посто</w:t>
      </w:r>
      <w:r w:rsidRPr="00DB5D0D">
        <w:rPr>
          <w:rFonts w:ascii="Times New Roman" w:hAnsi="Times New Roman"/>
          <w:color w:val="000000" w:themeColor="text1"/>
          <w:sz w:val="16"/>
          <w:szCs w:val="16"/>
        </w:rPr>
        <w:softHyphen/>
        <w:t>янной окраски и «поставить вопрос перед НКАП о переходе заводов на деформирующую окраску верхних и боковых по</w:t>
      </w:r>
      <w:r w:rsidRPr="00DB5D0D">
        <w:rPr>
          <w:rFonts w:ascii="Times New Roman" w:hAnsi="Times New Roman"/>
          <w:color w:val="000000" w:themeColor="text1"/>
          <w:sz w:val="16"/>
          <w:szCs w:val="16"/>
        </w:rPr>
        <w:softHyphen/>
        <w:t>верхностей самолетов с 15 декабря 1940 г.». Для перекрас</w:t>
      </w:r>
      <w:r w:rsidRPr="00DB5D0D">
        <w:rPr>
          <w:rFonts w:ascii="Times New Roman" w:hAnsi="Times New Roman"/>
          <w:color w:val="000000" w:themeColor="text1"/>
          <w:sz w:val="16"/>
          <w:szCs w:val="16"/>
        </w:rPr>
        <w:softHyphen/>
        <w:t>ки в камуфляж самолетов, находящихся в частях ВВС, ре</w:t>
      </w:r>
      <w:r w:rsidRPr="00DB5D0D">
        <w:rPr>
          <w:rFonts w:ascii="Times New Roman" w:hAnsi="Times New Roman"/>
          <w:color w:val="000000" w:themeColor="text1"/>
          <w:sz w:val="16"/>
          <w:szCs w:val="16"/>
        </w:rPr>
        <w:softHyphen/>
        <w:t>шили использовать быстро смываемые покрытия ВИАМа (Всесоюзный институт авиационного материаловедения) (10745,320).</w:t>
      </w:r>
    </w:p>
    <w:p w14:paraId="145583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FB480DC" w14:textId="77777777" w:rsidR="009310F8" w:rsidRPr="00DB5D0D" w:rsidRDefault="009310F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года завод № 234 «Красный Октябрь»  был переведён в состав НКАП, и 7 августа 1940 под руководством нового директора Петрова А.П. «Красный Октябрь» приступил к подготовке производства и освоению серийного выпуска М-105. Завод в считанные месяцы наладил новое производство, и к июню 1941 года им было выпущено 56 серийных М-105(Р, П). К августу 1940 года завод № 234 «Красный Октябрь» был одним из лидеров в редукторостроении, производил продукцию широкой номенклатуры, в частности, узлы танковых (от первых серийных Т-26 до опытных Т-34) и тракторных трансмиссий, мотоциклы, а также ремонтировал авиамоторы М-5. Численность работников «Красного Октября» выросла до 14800 человек (17413).</w:t>
      </w:r>
    </w:p>
    <w:p w14:paraId="3AC04181" w14:textId="77777777" w:rsidR="009310F8" w:rsidRPr="00DB5D0D" w:rsidRDefault="009310F8" w:rsidP="00DB5D0D">
      <w:pPr>
        <w:spacing w:after="0" w:line="240" w:lineRule="auto"/>
        <w:jc w:val="both"/>
        <w:rPr>
          <w:rFonts w:ascii="Times New Roman" w:hAnsi="Times New Roman"/>
          <w:color w:val="000000" w:themeColor="text1"/>
          <w:sz w:val="16"/>
          <w:szCs w:val="16"/>
        </w:rPr>
      </w:pPr>
    </w:p>
    <w:p w14:paraId="7C9DB3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Зам. Нач. ПГУ Зориным была подготовлена Справка по полной стоимости заводов ПГУ НКАП - Приложение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7D5DF8" w:rsidRPr="00DB5D0D" w14:paraId="34C75284" w14:textId="77777777" w:rsidTr="00E543D0">
        <w:tc>
          <w:tcPr>
            <w:tcW w:w="1127" w:type="dxa"/>
            <w:tcBorders>
              <w:top w:val="single" w:sz="12" w:space="0" w:color="auto"/>
            </w:tcBorders>
          </w:tcPr>
          <w:p w14:paraId="48FEF3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Заводов</w:t>
            </w:r>
          </w:p>
        </w:tc>
        <w:tc>
          <w:tcPr>
            <w:tcW w:w="3381" w:type="dxa"/>
            <w:gridSpan w:val="3"/>
            <w:tcBorders>
              <w:top w:val="single" w:sz="12" w:space="0" w:color="auto"/>
            </w:tcBorders>
          </w:tcPr>
          <w:p w14:paraId="77D830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Полная стоимость заводов в млн. руб.</w:t>
            </w:r>
          </w:p>
        </w:tc>
        <w:tc>
          <w:tcPr>
            <w:tcW w:w="3381" w:type="dxa"/>
            <w:gridSpan w:val="3"/>
            <w:tcBorders>
              <w:top w:val="single" w:sz="12" w:space="0" w:color="auto"/>
            </w:tcBorders>
          </w:tcPr>
          <w:p w14:paraId="3BC5F4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Вложено на 01.01.40 г. в млн. руб.</w:t>
            </w:r>
          </w:p>
        </w:tc>
        <w:tc>
          <w:tcPr>
            <w:tcW w:w="3381" w:type="dxa"/>
            <w:gridSpan w:val="3"/>
            <w:tcBorders>
              <w:top w:val="single" w:sz="12" w:space="0" w:color="auto"/>
            </w:tcBorders>
          </w:tcPr>
          <w:p w14:paraId="344E23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Потребно для окончания строит. в млн. руб.</w:t>
            </w:r>
          </w:p>
        </w:tc>
      </w:tr>
      <w:tr w:rsidR="007D5DF8" w:rsidRPr="00DB5D0D" w14:paraId="7CEFCE3C" w14:textId="77777777" w:rsidTr="00E543D0">
        <w:tc>
          <w:tcPr>
            <w:tcW w:w="1127" w:type="dxa"/>
          </w:tcPr>
          <w:p w14:paraId="5DB54ED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0F9F8E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Промышл.</w:t>
            </w:r>
          </w:p>
        </w:tc>
        <w:tc>
          <w:tcPr>
            <w:tcW w:w="1127" w:type="dxa"/>
          </w:tcPr>
          <w:p w14:paraId="772464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Жилое</w:t>
            </w:r>
          </w:p>
        </w:tc>
        <w:tc>
          <w:tcPr>
            <w:tcW w:w="1127" w:type="dxa"/>
          </w:tcPr>
          <w:p w14:paraId="4A2F00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127" w:type="dxa"/>
          </w:tcPr>
          <w:p w14:paraId="082B40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Промышл.</w:t>
            </w:r>
          </w:p>
        </w:tc>
        <w:tc>
          <w:tcPr>
            <w:tcW w:w="1127" w:type="dxa"/>
          </w:tcPr>
          <w:p w14:paraId="7E48B1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Жилое</w:t>
            </w:r>
          </w:p>
        </w:tc>
        <w:tc>
          <w:tcPr>
            <w:tcW w:w="1127" w:type="dxa"/>
          </w:tcPr>
          <w:p w14:paraId="45D997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127" w:type="dxa"/>
          </w:tcPr>
          <w:p w14:paraId="478B8E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Промышл.</w:t>
            </w:r>
          </w:p>
        </w:tc>
        <w:tc>
          <w:tcPr>
            <w:tcW w:w="1127" w:type="dxa"/>
          </w:tcPr>
          <w:p w14:paraId="4FDBE7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Жилое</w:t>
            </w:r>
          </w:p>
        </w:tc>
        <w:tc>
          <w:tcPr>
            <w:tcW w:w="1127" w:type="dxa"/>
          </w:tcPr>
          <w:p w14:paraId="42561E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r>
      <w:tr w:rsidR="007D5DF8" w:rsidRPr="00DB5D0D" w14:paraId="31F6DA16" w14:textId="77777777" w:rsidTr="00E543D0">
        <w:tc>
          <w:tcPr>
            <w:tcW w:w="1127" w:type="dxa"/>
          </w:tcPr>
          <w:p w14:paraId="16C7DD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127" w:type="dxa"/>
          </w:tcPr>
          <w:p w14:paraId="0C8705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96,3</w:t>
            </w:r>
          </w:p>
        </w:tc>
        <w:tc>
          <w:tcPr>
            <w:tcW w:w="1127" w:type="dxa"/>
          </w:tcPr>
          <w:p w14:paraId="32E8FE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28,2</w:t>
            </w:r>
          </w:p>
        </w:tc>
        <w:tc>
          <w:tcPr>
            <w:tcW w:w="1127" w:type="dxa"/>
          </w:tcPr>
          <w:p w14:paraId="2F8A43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124,5</w:t>
            </w:r>
          </w:p>
        </w:tc>
        <w:tc>
          <w:tcPr>
            <w:tcW w:w="1127" w:type="dxa"/>
          </w:tcPr>
          <w:p w14:paraId="663AB3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80,5</w:t>
            </w:r>
          </w:p>
        </w:tc>
        <w:tc>
          <w:tcPr>
            <w:tcW w:w="1127" w:type="dxa"/>
          </w:tcPr>
          <w:p w14:paraId="7500FE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w:t>
            </w:r>
          </w:p>
        </w:tc>
        <w:tc>
          <w:tcPr>
            <w:tcW w:w="1127" w:type="dxa"/>
          </w:tcPr>
          <w:p w14:paraId="423392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97,2</w:t>
            </w:r>
          </w:p>
        </w:tc>
        <w:tc>
          <w:tcPr>
            <w:tcW w:w="1127" w:type="dxa"/>
          </w:tcPr>
          <w:p w14:paraId="4F8C6D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15,8</w:t>
            </w:r>
          </w:p>
        </w:tc>
        <w:tc>
          <w:tcPr>
            <w:tcW w:w="1127" w:type="dxa"/>
          </w:tcPr>
          <w:p w14:paraId="595FDF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1127" w:type="dxa"/>
          </w:tcPr>
          <w:p w14:paraId="4E1C62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27,3</w:t>
            </w:r>
          </w:p>
        </w:tc>
      </w:tr>
      <w:tr w:rsidR="007D5DF8" w:rsidRPr="00DB5D0D" w14:paraId="5E32A2E4" w14:textId="77777777" w:rsidTr="00E543D0">
        <w:tc>
          <w:tcPr>
            <w:tcW w:w="1127" w:type="dxa"/>
          </w:tcPr>
          <w:p w14:paraId="661956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1127" w:type="dxa"/>
          </w:tcPr>
          <w:p w14:paraId="7511DA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136,6</w:t>
            </w:r>
          </w:p>
        </w:tc>
        <w:tc>
          <w:tcPr>
            <w:tcW w:w="1127" w:type="dxa"/>
          </w:tcPr>
          <w:p w14:paraId="48FD7E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73,5</w:t>
            </w:r>
          </w:p>
        </w:tc>
        <w:tc>
          <w:tcPr>
            <w:tcW w:w="1127" w:type="dxa"/>
          </w:tcPr>
          <w:p w14:paraId="3FE316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210,1</w:t>
            </w:r>
          </w:p>
        </w:tc>
        <w:tc>
          <w:tcPr>
            <w:tcW w:w="1127" w:type="dxa"/>
          </w:tcPr>
          <w:p w14:paraId="05EDC3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81,5</w:t>
            </w:r>
          </w:p>
        </w:tc>
        <w:tc>
          <w:tcPr>
            <w:tcW w:w="1127" w:type="dxa"/>
          </w:tcPr>
          <w:p w14:paraId="0D61E0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w:t>
            </w:r>
          </w:p>
        </w:tc>
        <w:tc>
          <w:tcPr>
            <w:tcW w:w="1127" w:type="dxa"/>
          </w:tcPr>
          <w:p w14:paraId="7EFFF9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w:t>
            </w:r>
          </w:p>
        </w:tc>
        <w:tc>
          <w:tcPr>
            <w:tcW w:w="1127" w:type="dxa"/>
          </w:tcPr>
          <w:p w14:paraId="3D0671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55,1</w:t>
            </w:r>
          </w:p>
        </w:tc>
        <w:tc>
          <w:tcPr>
            <w:tcW w:w="1127" w:type="dxa"/>
          </w:tcPr>
          <w:p w14:paraId="3B4808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127" w:type="dxa"/>
          </w:tcPr>
          <w:p w14:paraId="557756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98,1</w:t>
            </w:r>
          </w:p>
        </w:tc>
      </w:tr>
      <w:tr w:rsidR="007D5DF8" w:rsidRPr="00DB5D0D" w14:paraId="4C21E6E2" w14:textId="77777777" w:rsidTr="00E543D0">
        <w:tc>
          <w:tcPr>
            <w:tcW w:w="1127" w:type="dxa"/>
          </w:tcPr>
          <w:p w14:paraId="579FDF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1127" w:type="dxa"/>
          </w:tcPr>
          <w:p w14:paraId="2B5935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118,3</w:t>
            </w:r>
          </w:p>
        </w:tc>
        <w:tc>
          <w:tcPr>
            <w:tcW w:w="1127" w:type="dxa"/>
          </w:tcPr>
          <w:p w14:paraId="1873D4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30,7</w:t>
            </w:r>
          </w:p>
        </w:tc>
        <w:tc>
          <w:tcPr>
            <w:tcW w:w="1127" w:type="dxa"/>
          </w:tcPr>
          <w:p w14:paraId="2EABDF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1127" w:type="dxa"/>
          </w:tcPr>
          <w:p w14:paraId="12BC83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52,7</w:t>
            </w:r>
          </w:p>
        </w:tc>
        <w:tc>
          <w:tcPr>
            <w:tcW w:w="1127" w:type="dxa"/>
          </w:tcPr>
          <w:p w14:paraId="651A98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w:t>
            </w:r>
          </w:p>
        </w:tc>
        <w:tc>
          <w:tcPr>
            <w:tcW w:w="1127" w:type="dxa"/>
          </w:tcPr>
          <w:p w14:paraId="4868F9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w:t>
            </w:r>
          </w:p>
        </w:tc>
        <w:tc>
          <w:tcPr>
            <w:tcW w:w="1127" w:type="dxa"/>
          </w:tcPr>
          <w:p w14:paraId="7E2F58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65,6</w:t>
            </w:r>
          </w:p>
        </w:tc>
        <w:tc>
          <w:tcPr>
            <w:tcW w:w="1127" w:type="dxa"/>
          </w:tcPr>
          <w:p w14:paraId="795A8C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w:t>
            </w:r>
          </w:p>
        </w:tc>
        <w:tc>
          <w:tcPr>
            <w:tcW w:w="1127" w:type="dxa"/>
          </w:tcPr>
          <w:p w14:paraId="21DD91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w:t>
            </w:r>
          </w:p>
        </w:tc>
      </w:tr>
      <w:tr w:rsidR="007D5DF8" w:rsidRPr="00DB5D0D" w14:paraId="3E668BBF" w14:textId="77777777" w:rsidTr="00E543D0">
        <w:tc>
          <w:tcPr>
            <w:tcW w:w="1127" w:type="dxa"/>
          </w:tcPr>
          <w:p w14:paraId="4BA33A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127" w:type="dxa"/>
          </w:tcPr>
          <w:p w14:paraId="500734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w:t>
            </w:r>
          </w:p>
        </w:tc>
        <w:tc>
          <w:tcPr>
            <w:tcW w:w="1127" w:type="dxa"/>
          </w:tcPr>
          <w:p w14:paraId="3F631A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w:t>
            </w:r>
          </w:p>
        </w:tc>
        <w:tc>
          <w:tcPr>
            <w:tcW w:w="1127" w:type="dxa"/>
          </w:tcPr>
          <w:p w14:paraId="5808F2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c>
          <w:tcPr>
            <w:tcW w:w="1127" w:type="dxa"/>
          </w:tcPr>
          <w:p w14:paraId="6A43A7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76,5</w:t>
            </w:r>
          </w:p>
        </w:tc>
        <w:tc>
          <w:tcPr>
            <w:tcW w:w="1127" w:type="dxa"/>
          </w:tcPr>
          <w:p w14:paraId="4090B4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w:t>
            </w:r>
          </w:p>
        </w:tc>
        <w:tc>
          <w:tcPr>
            <w:tcW w:w="1127" w:type="dxa"/>
          </w:tcPr>
          <w:p w14:paraId="0A66D5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101,2</w:t>
            </w:r>
          </w:p>
        </w:tc>
        <w:tc>
          <w:tcPr>
            <w:tcW w:w="1127" w:type="dxa"/>
          </w:tcPr>
          <w:p w14:paraId="260BEF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w:t>
            </w:r>
          </w:p>
        </w:tc>
        <w:tc>
          <w:tcPr>
            <w:tcW w:w="1127" w:type="dxa"/>
          </w:tcPr>
          <w:p w14:paraId="3300C1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127" w:type="dxa"/>
          </w:tcPr>
          <w:p w14:paraId="3F1C5E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r>
      <w:tr w:rsidR="007D5DF8" w:rsidRPr="00DB5D0D" w14:paraId="049F82E5" w14:textId="77777777" w:rsidTr="00E543D0">
        <w:tc>
          <w:tcPr>
            <w:tcW w:w="1127" w:type="dxa"/>
          </w:tcPr>
          <w:p w14:paraId="7F0BE8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127" w:type="dxa"/>
          </w:tcPr>
          <w:p w14:paraId="06E8B5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23,6</w:t>
            </w:r>
          </w:p>
        </w:tc>
        <w:tc>
          <w:tcPr>
            <w:tcW w:w="1127" w:type="dxa"/>
          </w:tcPr>
          <w:p w14:paraId="288D3B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127" w:type="dxa"/>
          </w:tcPr>
          <w:p w14:paraId="4D28FA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27,6</w:t>
            </w:r>
          </w:p>
        </w:tc>
        <w:tc>
          <w:tcPr>
            <w:tcW w:w="1127" w:type="dxa"/>
          </w:tcPr>
          <w:p w14:paraId="381723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14,7</w:t>
            </w:r>
          </w:p>
        </w:tc>
        <w:tc>
          <w:tcPr>
            <w:tcW w:w="1127" w:type="dxa"/>
          </w:tcPr>
          <w:p w14:paraId="6AA99E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w:t>
            </w:r>
          </w:p>
        </w:tc>
        <w:tc>
          <w:tcPr>
            <w:tcW w:w="1127" w:type="dxa"/>
          </w:tcPr>
          <w:p w14:paraId="0834F4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w:t>
            </w:r>
          </w:p>
        </w:tc>
        <w:tc>
          <w:tcPr>
            <w:tcW w:w="1127" w:type="dxa"/>
          </w:tcPr>
          <w:p w14:paraId="729575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w:t>
            </w:r>
          </w:p>
        </w:tc>
        <w:tc>
          <w:tcPr>
            <w:tcW w:w="1127" w:type="dxa"/>
          </w:tcPr>
          <w:p w14:paraId="6ADB9B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1127" w:type="dxa"/>
          </w:tcPr>
          <w:p w14:paraId="05E030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r>
      <w:tr w:rsidR="007D5DF8" w:rsidRPr="00DB5D0D" w14:paraId="13B13D6D" w14:textId="77777777" w:rsidTr="00E543D0">
        <w:tc>
          <w:tcPr>
            <w:tcW w:w="1127" w:type="dxa"/>
          </w:tcPr>
          <w:p w14:paraId="766D32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127" w:type="dxa"/>
          </w:tcPr>
          <w:p w14:paraId="56356C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w:t>
            </w:r>
          </w:p>
        </w:tc>
        <w:tc>
          <w:tcPr>
            <w:tcW w:w="1127" w:type="dxa"/>
          </w:tcPr>
          <w:p w14:paraId="5A9E94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127" w:type="dxa"/>
          </w:tcPr>
          <w:p w14:paraId="10A1DB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109</w:t>
            </w:r>
          </w:p>
        </w:tc>
        <w:tc>
          <w:tcPr>
            <w:tcW w:w="1127" w:type="dxa"/>
          </w:tcPr>
          <w:p w14:paraId="2C788E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w:t>
            </w:r>
          </w:p>
        </w:tc>
        <w:tc>
          <w:tcPr>
            <w:tcW w:w="1127" w:type="dxa"/>
          </w:tcPr>
          <w:p w14:paraId="27EE43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127" w:type="dxa"/>
          </w:tcPr>
          <w:p w14:paraId="7AAA95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c>
          <w:tcPr>
            <w:tcW w:w="1127" w:type="dxa"/>
          </w:tcPr>
          <w:p w14:paraId="7D283E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1127" w:type="dxa"/>
          </w:tcPr>
          <w:p w14:paraId="0C00E5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127" w:type="dxa"/>
          </w:tcPr>
          <w:p w14:paraId="1966B1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r>
      <w:tr w:rsidR="007D5DF8" w:rsidRPr="00DB5D0D" w14:paraId="7E94BBB6" w14:textId="77777777" w:rsidTr="00E543D0">
        <w:tc>
          <w:tcPr>
            <w:tcW w:w="1127" w:type="dxa"/>
          </w:tcPr>
          <w:p w14:paraId="118E33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1127" w:type="dxa"/>
          </w:tcPr>
          <w:p w14:paraId="174C12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56,6</w:t>
            </w:r>
          </w:p>
        </w:tc>
        <w:tc>
          <w:tcPr>
            <w:tcW w:w="1127" w:type="dxa"/>
          </w:tcPr>
          <w:p w14:paraId="5C78AF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14,3</w:t>
            </w:r>
          </w:p>
        </w:tc>
        <w:tc>
          <w:tcPr>
            <w:tcW w:w="1127" w:type="dxa"/>
          </w:tcPr>
          <w:p w14:paraId="1CE870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70,9</w:t>
            </w:r>
          </w:p>
        </w:tc>
        <w:tc>
          <w:tcPr>
            <w:tcW w:w="1127" w:type="dxa"/>
          </w:tcPr>
          <w:p w14:paraId="1C3C9C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40,1</w:t>
            </w:r>
          </w:p>
        </w:tc>
        <w:tc>
          <w:tcPr>
            <w:tcW w:w="1127" w:type="dxa"/>
          </w:tcPr>
          <w:p w14:paraId="5C47ED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w:t>
            </w:r>
          </w:p>
        </w:tc>
        <w:tc>
          <w:tcPr>
            <w:tcW w:w="1127" w:type="dxa"/>
          </w:tcPr>
          <w:p w14:paraId="4E66DE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c>
          <w:tcPr>
            <w:tcW w:w="1127" w:type="dxa"/>
          </w:tcPr>
          <w:p w14:paraId="5B699A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w:t>
            </w:r>
          </w:p>
        </w:tc>
        <w:tc>
          <w:tcPr>
            <w:tcW w:w="1127" w:type="dxa"/>
          </w:tcPr>
          <w:p w14:paraId="7D67DB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w:t>
            </w:r>
          </w:p>
        </w:tc>
        <w:tc>
          <w:tcPr>
            <w:tcW w:w="1127" w:type="dxa"/>
          </w:tcPr>
          <w:p w14:paraId="145E3E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23,4</w:t>
            </w:r>
          </w:p>
        </w:tc>
      </w:tr>
      <w:tr w:rsidR="007D5DF8" w:rsidRPr="00DB5D0D" w14:paraId="794A9013" w14:textId="77777777" w:rsidTr="00E543D0">
        <w:tc>
          <w:tcPr>
            <w:tcW w:w="1127" w:type="dxa"/>
          </w:tcPr>
          <w:p w14:paraId="2AF23B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39</w:t>
            </w:r>
          </w:p>
        </w:tc>
        <w:tc>
          <w:tcPr>
            <w:tcW w:w="1127" w:type="dxa"/>
          </w:tcPr>
          <w:p w14:paraId="29E2F1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66,1</w:t>
            </w:r>
          </w:p>
        </w:tc>
        <w:tc>
          <w:tcPr>
            <w:tcW w:w="1127" w:type="dxa"/>
          </w:tcPr>
          <w:p w14:paraId="026608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1127" w:type="dxa"/>
          </w:tcPr>
          <w:p w14:paraId="1F712A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106,1</w:t>
            </w:r>
          </w:p>
        </w:tc>
        <w:tc>
          <w:tcPr>
            <w:tcW w:w="1127" w:type="dxa"/>
          </w:tcPr>
          <w:p w14:paraId="538448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35,9</w:t>
            </w:r>
          </w:p>
        </w:tc>
        <w:tc>
          <w:tcPr>
            <w:tcW w:w="1127" w:type="dxa"/>
          </w:tcPr>
          <w:p w14:paraId="14E500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18,7</w:t>
            </w:r>
          </w:p>
        </w:tc>
        <w:tc>
          <w:tcPr>
            <w:tcW w:w="1127" w:type="dxa"/>
          </w:tcPr>
          <w:p w14:paraId="306028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54,6</w:t>
            </w:r>
          </w:p>
        </w:tc>
        <w:tc>
          <w:tcPr>
            <w:tcW w:w="1127" w:type="dxa"/>
          </w:tcPr>
          <w:p w14:paraId="73F268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30,2</w:t>
            </w:r>
          </w:p>
        </w:tc>
        <w:tc>
          <w:tcPr>
            <w:tcW w:w="1127" w:type="dxa"/>
          </w:tcPr>
          <w:p w14:paraId="359F86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21,3</w:t>
            </w:r>
          </w:p>
        </w:tc>
        <w:tc>
          <w:tcPr>
            <w:tcW w:w="1127" w:type="dxa"/>
          </w:tcPr>
          <w:p w14:paraId="43F06B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w:t>
            </w:r>
          </w:p>
        </w:tc>
      </w:tr>
      <w:tr w:rsidR="007D5DF8" w:rsidRPr="00DB5D0D" w14:paraId="7CFD8035" w14:textId="77777777" w:rsidTr="00E543D0">
        <w:tc>
          <w:tcPr>
            <w:tcW w:w="1127" w:type="dxa"/>
          </w:tcPr>
          <w:p w14:paraId="3C8626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127" w:type="dxa"/>
          </w:tcPr>
          <w:p w14:paraId="018D86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127" w:type="dxa"/>
          </w:tcPr>
          <w:p w14:paraId="2D6B39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127" w:type="dxa"/>
          </w:tcPr>
          <w:p w14:paraId="057F24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27" w:type="dxa"/>
          </w:tcPr>
          <w:p w14:paraId="79B8D9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1127" w:type="dxa"/>
          </w:tcPr>
          <w:p w14:paraId="437813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w:t>
            </w:r>
          </w:p>
        </w:tc>
        <w:tc>
          <w:tcPr>
            <w:tcW w:w="1127" w:type="dxa"/>
          </w:tcPr>
          <w:p w14:paraId="708A38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1127" w:type="dxa"/>
          </w:tcPr>
          <w:p w14:paraId="01A5C5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w:t>
            </w:r>
          </w:p>
        </w:tc>
        <w:tc>
          <w:tcPr>
            <w:tcW w:w="1127" w:type="dxa"/>
          </w:tcPr>
          <w:p w14:paraId="4F83E7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1127" w:type="dxa"/>
          </w:tcPr>
          <w:p w14:paraId="1255B4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r>
      <w:tr w:rsidR="007D5DF8" w:rsidRPr="00DB5D0D" w14:paraId="1CBCC5DD" w14:textId="77777777" w:rsidTr="00E543D0">
        <w:tc>
          <w:tcPr>
            <w:tcW w:w="1127" w:type="dxa"/>
          </w:tcPr>
          <w:p w14:paraId="242C67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w:t>
            </w:r>
          </w:p>
        </w:tc>
        <w:tc>
          <w:tcPr>
            <w:tcW w:w="1127" w:type="dxa"/>
          </w:tcPr>
          <w:p w14:paraId="568838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1127" w:type="dxa"/>
          </w:tcPr>
          <w:p w14:paraId="42EF75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1127" w:type="dxa"/>
          </w:tcPr>
          <w:p w14:paraId="777249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1127" w:type="dxa"/>
          </w:tcPr>
          <w:p w14:paraId="767E96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1127" w:type="dxa"/>
          </w:tcPr>
          <w:p w14:paraId="7172BC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w:t>
            </w:r>
          </w:p>
        </w:tc>
        <w:tc>
          <w:tcPr>
            <w:tcW w:w="1127" w:type="dxa"/>
          </w:tcPr>
          <w:p w14:paraId="59B19A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w:t>
            </w:r>
          </w:p>
        </w:tc>
        <w:tc>
          <w:tcPr>
            <w:tcW w:w="1127" w:type="dxa"/>
          </w:tcPr>
          <w:p w14:paraId="0D8887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1127" w:type="dxa"/>
          </w:tcPr>
          <w:p w14:paraId="49B725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27" w:type="dxa"/>
          </w:tcPr>
          <w:p w14:paraId="121A79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w:t>
            </w:r>
          </w:p>
        </w:tc>
      </w:tr>
      <w:tr w:rsidR="007D5DF8" w:rsidRPr="00DB5D0D" w14:paraId="55562C1C" w14:textId="77777777" w:rsidTr="00E543D0">
        <w:tc>
          <w:tcPr>
            <w:tcW w:w="1127" w:type="dxa"/>
          </w:tcPr>
          <w:p w14:paraId="10FF7B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1127" w:type="dxa"/>
          </w:tcPr>
          <w:p w14:paraId="342B7A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47,9</w:t>
            </w:r>
          </w:p>
        </w:tc>
        <w:tc>
          <w:tcPr>
            <w:tcW w:w="1127" w:type="dxa"/>
          </w:tcPr>
          <w:p w14:paraId="02F7BB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24,1</w:t>
            </w:r>
          </w:p>
        </w:tc>
        <w:tc>
          <w:tcPr>
            <w:tcW w:w="1127" w:type="dxa"/>
          </w:tcPr>
          <w:p w14:paraId="74D243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w:t>
            </w:r>
          </w:p>
        </w:tc>
        <w:tc>
          <w:tcPr>
            <w:tcW w:w="1127" w:type="dxa"/>
          </w:tcPr>
          <w:p w14:paraId="418455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w:t>
            </w:r>
          </w:p>
        </w:tc>
        <w:tc>
          <w:tcPr>
            <w:tcW w:w="1127" w:type="dxa"/>
          </w:tcPr>
          <w:p w14:paraId="0CE167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w:t>
            </w:r>
          </w:p>
        </w:tc>
        <w:tc>
          <w:tcPr>
            <w:tcW w:w="1127" w:type="dxa"/>
          </w:tcPr>
          <w:p w14:paraId="3E59C8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c>
          <w:tcPr>
            <w:tcW w:w="1127" w:type="dxa"/>
          </w:tcPr>
          <w:p w14:paraId="1563FF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w:t>
            </w:r>
          </w:p>
        </w:tc>
        <w:tc>
          <w:tcPr>
            <w:tcW w:w="1127" w:type="dxa"/>
          </w:tcPr>
          <w:p w14:paraId="385205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w:t>
            </w:r>
          </w:p>
        </w:tc>
        <w:tc>
          <w:tcPr>
            <w:tcW w:w="1127" w:type="dxa"/>
          </w:tcPr>
          <w:p w14:paraId="3D9698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r>
      <w:tr w:rsidR="007D5DF8" w:rsidRPr="00DB5D0D" w14:paraId="1A910569" w14:textId="77777777" w:rsidTr="00E543D0">
        <w:tc>
          <w:tcPr>
            <w:tcW w:w="1127" w:type="dxa"/>
          </w:tcPr>
          <w:p w14:paraId="65E702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1127" w:type="dxa"/>
          </w:tcPr>
          <w:p w14:paraId="6A4537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83,2</w:t>
            </w:r>
          </w:p>
        </w:tc>
        <w:tc>
          <w:tcPr>
            <w:tcW w:w="1127" w:type="dxa"/>
          </w:tcPr>
          <w:p w14:paraId="7C5FF6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w:t>
            </w:r>
          </w:p>
        </w:tc>
        <w:tc>
          <w:tcPr>
            <w:tcW w:w="1127" w:type="dxa"/>
          </w:tcPr>
          <w:p w14:paraId="0892AB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116,9</w:t>
            </w:r>
          </w:p>
        </w:tc>
        <w:tc>
          <w:tcPr>
            <w:tcW w:w="1127" w:type="dxa"/>
          </w:tcPr>
          <w:p w14:paraId="7DC7C0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52,4</w:t>
            </w:r>
          </w:p>
        </w:tc>
        <w:tc>
          <w:tcPr>
            <w:tcW w:w="1127" w:type="dxa"/>
          </w:tcPr>
          <w:p w14:paraId="7335AB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w:t>
            </w:r>
          </w:p>
        </w:tc>
        <w:tc>
          <w:tcPr>
            <w:tcW w:w="1127" w:type="dxa"/>
          </w:tcPr>
          <w:p w14:paraId="6CF834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66,8</w:t>
            </w:r>
          </w:p>
        </w:tc>
        <w:tc>
          <w:tcPr>
            <w:tcW w:w="1127" w:type="dxa"/>
          </w:tcPr>
          <w:p w14:paraId="08FC78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30,9</w:t>
            </w:r>
          </w:p>
        </w:tc>
        <w:tc>
          <w:tcPr>
            <w:tcW w:w="1127" w:type="dxa"/>
          </w:tcPr>
          <w:p w14:paraId="58AC3A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w:t>
            </w:r>
          </w:p>
        </w:tc>
        <w:tc>
          <w:tcPr>
            <w:tcW w:w="1127" w:type="dxa"/>
          </w:tcPr>
          <w:p w14:paraId="62420A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50,1</w:t>
            </w:r>
          </w:p>
        </w:tc>
      </w:tr>
      <w:tr w:rsidR="007D5DF8" w:rsidRPr="00DB5D0D" w14:paraId="1269A92C" w14:textId="77777777" w:rsidTr="00E543D0">
        <w:tc>
          <w:tcPr>
            <w:tcW w:w="1127" w:type="dxa"/>
          </w:tcPr>
          <w:p w14:paraId="488948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1127" w:type="dxa"/>
          </w:tcPr>
          <w:p w14:paraId="55BA37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417,6</w:t>
            </w:r>
          </w:p>
        </w:tc>
        <w:tc>
          <w:tcPr>
            <w:tcW w:w="1127" w:type="dxa"/>
          </w:tcPr>
          <w:p w14:paraId="63E9C2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131,9</w:t>
            </w:r>
          </w:p>
        </w:tc>
        <w:tc>
          <w:tcPr>
            <w:tcW w:w="1127" w:type="dxa"/>
          </w:tcPr>
          <w:p w14:paraId="19E2DC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549,5</w:t>
            </w:r>
          </w:p>
        </w:tc>
        <w:tc>
          <w:tcPr>
            <w:tcW w:w="1127" w:type="dxa"/>
          </w:tcPr>
          <w:p w14:paraId="2F3DBC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164,2</w:t>
            </w:r>
          </w:p>
        </w:tc>
        <w:tc>
          <w:tcPr>
            <w:tcW w:w="1127" w:type="dxa"/>
          </w:tcPr>
          <w:p w14:paraId="6E7E09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34,6</w:t>
            </w:r>
          </w:p>
        </w:tc>
        <w:tc>
          <w:tcPr>
            <w:tcW w:w="1127" w:type="dxa"/>
          </w:tcPr>
          <w:p w14:paraId="742C58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198,8</w:t>
            </w:r>
          </w:p>
        </w:tc>
        <w:tc>
          <w:tcPr>
            <w:tcW w:w="1127" w:type="dxa"/>
          </w:tcPr>
          <w:p w14:paraId="64502C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253,3</w:t>
            </w:r>
          </w:p>
        </w:tc>
        <w:tc>
          <w:tcPr>
            <w:tcW w:w="1127" w:type="dxa"/>
          </w:tcPr>
          <w:p w14:paraId="72BD28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97,4</w:t>
            </w:r>
          </w:p>
        </w:tc>
        <w:tc>
          <w:tcPr>
            <w:tcW w:w="1127" w:type="dxa"/>
          </w:tcPr>
          <w:p w14:paraId="5DBC0D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350,7</w:t>
            </w:r>
          </w:p>
        </w:tc>
      </w:tr>
      <w:tr w:rsidR="007D5DF8" w:rsidRPr="00DB5D0D" w14:paraId="052C6C0D" w14:textId="77777777" w:rsidTr="00E543D0">
        <w:tc>
          <w:tcPr>
            <w:tcW w:w="1127" w:type="dxa"/>
          </w:tcPr>
          <w:p w14:paraId="7A8BA5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1127" w:type="dxa"/>
          </w:tcPr>
          <w:p w14:paraId="5A5CA3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108,1</w:t>
            </w:r>
          </w:p>
        </w:tc>
        <w:tc>
          <w:tcPr>
            <w:tcW w:w="1127" w:type="dxa"/>
          </w:tcPr>
          <w:p w14:paraId="2EF13D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34,6</w:t>
            </w:r>
          </w:p>
        </w:tc>
        <w:tc>
          <w:tcPr>
            <w:tcW w:w="1127" w:type="dxa"/>
          </w:tcPr>
          <w:p w14:paraId="77CF50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142,7</w:t>
            </w:r>
          </w:p>
        </w:tc>
        <w:tc>
          <w:tcPr>
            <w:tcW w:w="1127" w:type="dxa"/>
          </w:tcPr>
          <w:p w14:paraId="674B46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48,5</w:t>
            </w:r>
          </w:p>
        </w:tc>
        <w:tc>
          <w:tcPr>
            <w:tcW w:w="1127" w:type="dxa"/>
          </w:tcPr>
          <w:p w14:paraId="4DD965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22,8</w:t>
            </w:r>
          </w:p>
        </w:tc>
        <w:tc>
          <w:tcPr>
            <w:tcW w:w="1127" w:type="dxa"/>
          </w:tcPr>
          <w:p w14:paraId="280804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71,3</w:t>
            </w:r>
          </w:p>
        </w:tc>
        <w:tc>
          <w:tcPr>
            <w:tcW w:w="1127" w:type="dxa"/>
          </w:tcPr>
          <w:p w14:paraId="56A5CC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59,6</w:t>
            </w:r>
          </w:p>
        </w:tc>
        <w:tc>
          <w:tcPr>
            <w:tcW w:w="1127" w:type="dxa"/>
          </w:tcPr>
          <w:p w14:paraId="319136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w:t>
            </w:r>
          </w:p>
        </w:tc>
        <w:tc>
          <w:tcPr>
            <w:tcW w:w="1127" w:type="dxa"/>
          </w:tcPr>
          <w:p w14:paraId="2ADD41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71,4</w:t>
            </w:r>
          </w:p>
        </w:tc>
      </w:tr>
      <w:tr w:rsidR="007D5DF8" w:rsidRPr="00DB5D0D" w14:paraId="4F1F1A29" w14:textId="77777777" w:rsidTr="00E543D0">
        <w:tc>
          <w:tcPr>
            <w:tcW w:w="1127" w:type="dxa"/>
          </w:tcPr>
          <w:p w14:paraId="1439F4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w:t>
            </w:r>
          </w:p>
        </w:tc>
        <w:tc>
          <w:tcPr>
            <w:tcW w:w="1127" w:type="dxa"/>
          </w:tcPr>
          <w:p w14:paraId="0E53B1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156,4</w:t>
            </w:r>
          </w:p>
        </w:tc>
        <w:tc>
          <w:tcPr>
            <w:tcW w:w="1127" w:type="dxa"/>
          </w:tcPr>
          <w:p w14:paraId="3BCA3F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1127" w:type="dxa"/>
          </w:tcPr>
          <w:p w14:paraId="59020E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226,4</w:t>
            </w:r>
          </w:p>
        </w:tc>
        <w:tc>
          <w:tcPr>
            <w:tcW w:w="1127" w:type="dxa"/>
          </w:tcPr>
          <w:p w14:paraId="3F00B9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133,3</w:t>
            </w:r>
          </w:p>
        </w:tc>
        <w:tc>
          <w:tcPr>
            <w:tcW w:w="1127" w:type="dxa"/>
          </w:tcPr>
          <w:p w14:paraId="19CC05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127" w:type="dxa"/>
          </w:tcPr>
          <w:p w14:paraId="430D33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183,3</w:t>
            </w:r>
          </w:p>
        </w:tc>
        <w:tc>
          <w:tcPr>
            <w:tcW w:w="1127" w:type="dxa"/>
          </w:tcPr>
          <w:p w14:paraId="6C903C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23,1</w:t>
            </w:r>
          </w:p>
        </w:tc>
        <w:tc>
          <w:tcPr>
            <w:tcW w:w="1127" w:type="dxa"/>
          </w:tcPr>
          <w:p w14:paraId="7465B2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127" w:type="dxa"/>
          </w:tcPr>
          <w:p w14:paraId="7C7928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43,1</w:t>
            </w:r>
          </w:p>
        </w:tc>
      </w:tr>
      <w:tr w:rsidR="007D5DF8" w:rsidRPr="00DB5D0D" w14:paraId="6560C748" w14:textId="77777777" w:rsidTr="00E543D0">
        <w:tc>
          <w:tcPr>
            <w:tcW w:w="1127" w:type="dxa"/>
          </w:tcPr>
          <w:p w14:paraId="773B81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1127" w:type="dxa"/>
          </w:tcPr>
          <w:p w14:paraId="40D351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40,5</w:t>
            </w:r>
          </w:p>
        </w:tc>
        <w:tc>
          <w:tcPr>
            <w:tcW w:w="1127" w:type="dxa"/>
          </w:tcPr>
          <w:p w14:paraId="05F508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w:t>
            </w:r>
          </w:p>
        </w:tc>
        <w:tc>
          <w:tcPr>
            <w:tcW w:w="1127" w:type="dxa"/>
          </w:tcPr>
          <w:p w14:paraId="24599B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57,2</w:t>
            </w:r>
          </w:p>
        </w:tc>
        <w:tc>
          <w:tcPr>
            <w:tcW w:w="1127" w:type="dxa"/>
          </w:tcPr>
          <w:p w14:paraId="1CAE62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w:t>
            </w:r>
          </w:p>
        </w:tc>
        <w:tc>
          <w:tcPr>
            <w:tcW w:w="1127" w:type="dxa"/>
          </w:tcPr>
          <w:p w14:paraId="690A5C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w:t>
            </w:r>
          </w:p>
        </w:tc>
        <w:tc>
          <w:tcPr>
            <w:tcW w:w="1127" w:type="dxa"/>
          </w:tcPr>
          <w:p w14:paraId="4D916C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32,2</w:t>
            </w:r>
          </w:p>
        </w:tc>
        <w:tc>
          <w:tcPr>
            <w:tcW w:w="1127" w:type="dxa"/>
          </w:tcPr>
          <w:p w14:paraId="5EF3B2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w:t>
            </w:r>
          </w:p>
        </w:tc>
        <w:tc>
          <w:tcPr>
            <w:tcW w:w="1127" w:type="dxa"/>
          </w:tcPr>
          <w:p w14:paraId="4602FA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w:t>
            </w:r>
          </w:p>
        </w:tc>
        <w:tc>
          <w:tcPr>
            <w:tcW w:w="1127" w:type="dxa"/>
          </w:tcPr>
          <w:p w14:paraId="7B5420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r w:rsidR="007D5DF8" w:rsidRPr="00DB5D0D" w14:paraId="04BDA47C" w14:textId="77777777" w:rsidTr="00E543D0">
        <w:tc>
          <w:tcPr>
            <w:tcW w:w="1127" w:type="dxa"/>
          </w:tcPr>
          <w:p w14:paraId="4CCA11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1127" w:type="dxa"/>
          </w:tcPr>
          <w:p w14:paraId="7F1842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210,7</w:t>
            </w:r>
          </w:p>
        </w:tc>
        <w:tc>
          <w:tcPr>
            <w:tcW w:w="1127" w:type="dxa"/>
          </w:tcPr>
          <w:p w14:paraId="60B463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119,3</w:t>
            </w:r>
          </w:p>
        </w:tc>
        <w:tc>
          <w:tcPr>
            <w:tcW w:w="1127" w:type="dxa"/>
          </w:tcPr>
          <w:p w14:paraId="03547C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w:t>
            </w:r>
          </w:p>
        </w:tc>
        <w:tc>
          <w:tcPr>
            <w:tcW w:w="1127" w:type="dxa"/>
          </w:tcPr>
          <w:p w14:paraId="5B4240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70,5</w:t>
            </w:r>
          </w:p>
        </w:tc>
        <w:tc>
          <w:tcPr>
            <w:tcW w:w="1127" w:type="dxa"/>
          </w:tcPr>
          <w:p w14:paraId="17C329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34,3</w:t>
            </w:r>
          </w:p>
        </w:tc>
        <w:tc>
          <w:tcPr>
            <w:tcW w:w="1127" w:type="dxa"/>
          </w:tcPr>
          <w:p w14:paraId="351E3E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104,8</w:t>
            </w:r>
          </w:p>
        </w:tc>
        <w:tc>
          <w:tcPr>
            <w:tcW w:w="1127" w:type="dxa"/>
          </w:tcPr>
          <w:p w14:paraId="643E35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140,2</w:t>
            </w:r>
          </w:p>
        </w:tc>
        <w:tc>
          <w:tcPr>
            <w:tcW w:w="1127" w:type="dxa"/>
          </w:tcPr>
          <w:p w14:paraId="418FFC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c>
          <w:tcPr>
            <w:tcW w:w="1127" w:type="dxa"/>
          </w:tcPr>
          <w:p w14:paraId="4BCFFA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224,2</w:t>
            </w:r>
          </w:p>
        </w:tc>
      </w:tr>
      <w:tr w:rsidR="007D5DF8" w:rsidRPr="00DB5D0D" w14:paraId="2E3242EC" w14:textId="77777777" w:rsidTr="00E543D0">
        <w:tc>
          <w:tcPr>
            <w:tcW w:w="1127" w:type="dxa"/>
          </w:tcPr>
          <w:p w14:paraId="7A5BE0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1127" w:type="dxa"/>
          </w:tcPr>
          <w:p w14:paraId="31C02B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67,9</w:t>
            </w:r>
          </w:p>
        </w:tc>
        <w:tc>
          <w:tcPr>
            <w:tcW w:w="1127" w:type="dxa"/>
          </w:tcPr>
          <w:p w14:paraId="34518C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23,8</w:t>
            </w:r>
          </w:p>
        </w:tc>
        <w:tc>
          <w:tcPr>
            <w:tcW w:w="1127" w:type="dxa"/>
          </w:tcPr>
          <w:p w14:paraId="3782B4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91,7</w:t>
            </w:r>
          </w:p>
        </w:tc>
        <w:tc>
          <w:tcPr>
            <w:tcW w:w="1127" w:type="dxa"/>
          </w:tcPr>
          <w:p w14:paraId="2C6042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21,4</w:t>
            </w:r>
          </w:p>
        </w:tc>
        <w:tc>
          <w:tcPr>
            <w:tcW w:w="1127" w:type="dxa"/>
          </w:tcPr>
          <w:p w14:paraId="03E5AF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w:t>
            </w:r>
          </w:p>
        </w:tc>
        <w:tc>
          <w:tcPr>
            <w:tcW w:w="1127" w:type="dxa"/>
          </w:tcPr>
          <w:p w14:paraId="1D8310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w:t>
            </w:r>
          </w:p>
        </w:tc>
        <w:tc>
          <w:tcPr>
            <w:tcW w:w="1127" w:type="dxa"/>
          </w:tcPr>
          <w:p w14:paraId="482BAE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46,5</w:t>
            </w:r>
          </w:p>
        </w:tc>
        <w:tc>
          <w:tcPr>
            <w:tcW w:w="1127" w:type="dxa"/>
          </w:tcPr>
          <w:p w14:paraId="4EC7D8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27" w:type="dxa"/>
          </w:tcPr>
          <w:p w14:paraId="63BB94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62,5</w:t>
            </w:r>
          </w:p>
        </w:tc>
      </w:tr>
      <w:tr w:rsidR="007D5DF8" w:rsidRPr="00DB5D0D" w14:paraId="6848E36A" w14:textId="77777777" w:rsidTr="00E543D0">
        <w:tc>
          <w:tcPr>
            <w:tcW w:w="1127" w:type="dxa"/>
          </w:tcPr>
          <w:p w14:paraId="593E27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w:t>
            </w:r>
          </w:p>
        </w:tc>
        <w:tc>
          <w:tcPr>
            <w:tcW w:w="1127" w:type="dxa"/>
          </w:tcPr>
          <w:p w14:paraId="406B58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53,9</w:t>
            </w:r>
          </w:p>
        </w:tc>
        <w:tc>
          <w:tcPr>
            <w:tcW w:w="1127" w:type="dxa"/>
          </w:tcPr>
          <w:p w14:paraId="7127AD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w:t>
            </w:r>
          </w:p>
        </w:tc>
        <w:tc>
          <w:tcPr>
            <w:tcW w:w="1127" w:type="dxa"/>
          </w:tcPr>
          <w:p w14:paraId="1A3FDE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78,8</w:t>
            </w:r>
          </w:p>
        </w:tc>
        <w:tc>
          <w:tcPr>
            <w:tcW w:w="1127" w:type="dxa"/>
          </w:tcPr>
          <w:p w14:paraId="1F564D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16,4</w:t>
            </w:r>
          </w:p>
        </w:tc>
        <w:tc>
          <w:tcPr>
            <w:tcW w:w="1127" w:type="dxa"/>
          </w:tcPr>
          <w:p w14:paraId="4CF1D4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w:t>
            </w:r>
          </w:p>
        </w:tc>
        <w:tc>
          <w:tcPr>
            <w:tcW w:w="1127" w:type="dxa"/>
          </w:tcPr>
          <w:p w14:paraId="7464E3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w:t>
            </w:r>
          </w:p>
        </w:tc>
        <w:tc>
          <w:tcPr>
            <w:tcW w:w="1127" w:type="dxa"/>
          </w:tcPr>
          <w:p w14:paraId="5D80AD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w:t>
            </w:r>
          </w:p>
        </w:tc>
        <w:tc>
          <w:tcPr>
            <w:tcW w:w="1127" w:type="dxa"/>
          </w:tcPr>
          <w:p w14:paraId="2C8D3F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27" w:type="dxa"/>
          </w:tcPr>
          <w:p w14:paraId="41D375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53,5</w:t>
            </w:r>
          </w:p>
        </w:tc>
      </w:tr>
      <w:tr w:rsidR="007D5DF8" w:rsidRPr="00DB5D0D" w14:paraId="0724317F" w14:textId="77777777" w:rsidTr="00E543D0">
        <w:tc>
          <w:tcPr>
            <w:tcW w:w="1127" w:type="dxa"/>
          </w:tcPr>
          <w:p w14:paraId="4F4959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w:t>
            </w:r>
          </w:p>
        </w:tc>
        <w:tc>
          <w:tcPr>
            <w:tcW w:w="1127" w:type="dxa"/>
          </w:tcPr>
          <w:p w14:paraId="4C064C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38,4</w:t>
            </w:r>
          </w:p>
        </w:tc>
        <w:tc>
          <w:tcPr>
            <w:tcW w:w="1127" w:type="dxa"/>
          </w:tcPr>
          <w:p w14:paraId="28B7C4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1127" w:type="dxa"/>
          </w:tcPr>
          <w:p w14:paraId="2D007C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46,4</w:t>
            </w:r>
          </w:p>
        </w:tc>
        <w:tc>
          <w:tcPr>
            <w:tcW w:w="1127" w:type="dxa"/>
          </w:tcPr>
          <w:p w14:paraId="06AF9D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w:t>
            </w:r>
          </w:p>
        </w:tc>
        <w:tc>
          <w:tcPr>
            <w:tcW w:w="1127" w:type="dxa"/>
          </w:tcPr>
          <w:p w14:paraId="1A3FED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27" w:type="dxa"/>
          </w:tcPr>
          <w:p w14:paraId="21836B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w:t>
            </w:r>
          </w:p>
        </w:tc>
        <w:tc>
          <w:tcPr>
            <w:tcW w:w="1127" w:type="dxa"/>
          </w:tcPr>
          <w:p w14:paraId="49B360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w:t>
            </w:r>
          </w:p>
        </w:tc>
        <w:tc>
          <w:tcPr>
            <w:tcW w:w="1127" w:type="dxa"/>
          </w:tcPr>
          <w:p w14:paraId="0180A5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1127" w:type="dxa"/>
          </w:tcPr>
          <w:p w14:paraId="3F60FF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26,2</w:t>
            </w:r>
          </w:p>
        </w:tc>
      </w:tr>
      <w:tr w:rsidR="007D5DF8" w:rsidRPr="00DB5D0D" w14:paraId="71F82D4C" w14:textId="77777777" w:rsidTr="00E543D0">
        <w:tc>
          <w:tcPr>
            <w:tcW w:w="1127" w:type="dxa"/>
          </w:tcPr>
          <w:p w14:paraId="128B89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1127" w:type="dxa"/>
          </w:tcPr>
          <w:p w14:paraId="0E245F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1988,4</w:t>
            </w:r>
          </w:p>
        </w:tc>
        <w:tc>
          <w:tcPr>
            <w:tcW w:w="1127" w:type="dxa"/>
          </w:tcPr>
          <w:p w14:paraId="246845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744,1</w:t>
            </w:r>
          </w:p>
        </w:tc>
        <w:tc>
          <w:tcPr>
            <w:tcW w:w="1127" w:type="dxa"/>
          </w:tcPr>
          <w:p w14:paraId="4F5000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2732,5</w:t>
            </w:r>
          </w:p>
        </w:tc>
        <w:tc>
          <w:tcPr>
            <w:tcW w:w="1127" w:type="dxa"/>
          </w:tcPr>
          <w:p w14:paraId="4B3F42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1056,5</w:t>
            </w:r>
          </w:p>
        </w:tc>
        <w:tc>
          <w:tcPr>
            <w:tcW w:w="1127" w:type="dxa"/>
          </w:tcPr>
          <w:p w14:paraId="54F79A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325,6</w:t>
            </w:r>
          </w:p>
        </w:tc>
        <w:tc>
          <w:tcPr>
            <w:tcW w:w="1127" w:type="dxa"/>
          </w:tcPr>
          <w:p w14:paraId="39E831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1382,1</w:t>
            </w:r>
          </w:p>
        </w:tc>
        <w:tc>
          <w:tcPr>
            <w:tcW w:w="1127" w:type="dxa"/>
          </w:tcPr>
          <w:p w14:paraId="1BB743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932</w:t>
            </w:r>
          </w:p>
        </w:tc>
        <w:tc>
          <w:tcPr>
            <w:tcW w:w="1127" w:type="dxa"/>
          </w:tcPr>
          <w:p w14:paraId="60A306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418,4</w:t>
            </w:r>
          </w:p>
        </w:tc>
        <w:tc>
          <w:tcPr>
            <w:tcW w:w="1127" w:type="dxa"/>
          </w:tcPr>
          <w:p w14:paraId="694E0A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1350,4</w:t>
            </w:r>
          </w:p>
        </w:tc>
      </w:tr>
      <w:tr w:rsidR="007D5DF8" w:rsidRPr="00DB5D0D" w14:paraId="6CCE123F" w14:textId="77777777" w:rsidTr="00E543D0">
        <w:tc>
          <w:tcPr>
            <w:tcW w:w="1127" w:type="dxa"/>
          </w:tcPr>
          <w:p w14:paraId="58EEA7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w:t>
            </w:r>
          </w:p>
        </w:tc>
        <w:tc>
          <w:tcPr>
            <w:tcW w:w="1127" w:type="dxa"/>
          </w:tcPr>
          <w:p w14:paraId="569DEE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1127" w:type="dxa"/>
          </w:tcPr>
          <w:p w14:paraId="03C1C3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127" w:type="dxa"/>
          </w:tcPr>
          <w:p w14:paraId="3B66DB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1127" w:type="dxa"/>
          </w:tcPr>
          <w:p w14:paraId="741187E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5F981F8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69FD8FA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3F7DA4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1127" w:type="dxa"/>
          </w:tcPr>
          <w:p w14:paraId="52162B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127" w:type="dxa"/>
          </w:tcPr>
          <w:p w14:paraId="378E65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r>
      <w:tr w:rsidR="007D5DF8" w:rsidRPr="00DB5D0D" w14:paraId="387F3394" w14:textId="77777777" w:rsidTr="00E543D0">
        <w:tc>
          <w:tcPr>
            <w:tcW w:w="1127" w:type="dxa"/>
          </w:tcPr>
          <w:p w14:paraId="389EF3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w:t>
            </w:r>
          </w:p>
        </w:tc>
        <w:tc>
          <w:tcPr>
            <w:tcW w:w="1127" w:type="dxa"/>
          </w:tcPr>
          <w:p w14:paraId="44E5A0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148,9</w:t>
            </w:r>
          </w:p>
        </w:tc>
        <w:tc>
          <w:tcPr>
            <w:tcW w:w="1127" w:type="dxa"/>
          </w:tcPr>
          <w:p w14:paraId="3854FE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c>
          <w:tcPr>
            <w:tcW w:w="1127" w:type="dxa"/>
          </w:tcPr>
          <w:p w14:paraId="2FA709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187,7</w:t>
            </w:r>
          </w:p>
        </w:tc>
        <w:tc>
          <w:tcPr>
            <w:tcW w:w="1127" w:type="dxa"/>
          </w:tcPr>
          <w:p w14:paraId="3625D82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64E18AD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3B98F3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75B272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148,9</w:t>
            </w:r>
          </w:p>
        </w:tc>
        <w:tc>
          <w:tcPr>
            <w:tcW w:w="1127" w:type="dxa"/>
          </w:tcPr>
          <w:p w14:paraId="59E62E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c>
          <w:tcPr>
            <w:tcW w:w="1127" w:type="dxa"/>
          </w:tcPr>
          <w:p w14:paraId="6EA484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187,7</w:t>
            </w:r>
          </w:p>
        </w:tc>
      </w:tr>
      <w:tr w:rsidR="007D5DF8" w:rsidRPr="00DB5D0D" w14:paraId="3814A0F9" w14:textId="77777777" w:rsidTr="00E543D0">
        <w:tc>
          <w:tcPr>
            <w:tcW w:w="1127" w:type="dxa"/>
          </w:tcPr>
          <w:p w14:paraId="02EA7A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w:t>
            </w:r>
          </w:p>
        </w:tc>
        <w:tc>
          <w:tcPr>
            <w:tcW w:w="1127" w:type="dxa"/>
          </w:tcPr>
          <w:p w14:paraId="786B44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175,4</w:t>
            </w:r>
          </w:p>
        </w:tc>
        <w:tc>
          <w:tcPr>
            <w:tcW w:w="1127" w:type="dxa"/>
          </w:tcPr>
          <w:p w14:paraId="463518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74,1</w:t>
            </w:r>
          </w:p>
        </w:tc>
        <w:tc>
          <w:tcPr>
            <w:tcW w:w="1127" w:type="dxa"/>
          </w:tcPr>
          <w:p w14:paraId="7E083D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249,5</w:t>
            </w:r>
          </w:p>
        </w:tc>
        <w:tc>
          <w:tcPr>
            <w:tcW w:w="1127" w:type="dxa"/>
          </w:tcPr>
          <w:p w14:paraId="1D2419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0CF8C02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3DF0A9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54B5C7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175,4</w:t>
            </w:r>
          </w:p>
        </w:tc>
        <w:tc>
          <w:tcPr>
            <w:tcW w:w="1127" w:type="dxa"/>
          </w:tcPr>
          <w:p w14:paraId="5CBE86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74,1</w:t>
            </w:r>
          </w:p>
        </w:tc>
        <w:tc>
          <w:tcPr>
            <w:tcW w:w="1127" w:type="dxa"/>
          </w:tcPr>
          <w:p w14:paraId="14450D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249,5</w:t>
            </w:r>
          </w:p>
        </w:tc>
      </w:tr>
      <w:tr w:rsidR="007D5DF8" w:rsidRPr="00DB5D0D" w14:paraId="3F2CC8FF" w14:textId="77777777" w:rsidTr="00E543D0">
        <w:tc>
          <w:tcPr>
            <w:tcW w:w="1127" w:type="dxa"/>
          </w:tcPr>
          <w:p w14:paraId="0A7033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w:t>
            </w:r>
          </w:p>
        </w:tc>
        <w:tc>
          <w:tcPr>
            <w:tcW w:w="1127" w:type="dxa"/>
          </w:tcPr>
          <w:p w14:paraId="0D867D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144,5</w:t>
            </w:r>
          </w:p>
        </w:tc>
        <w:tc>
          <w:tcPr>
            <w:tcW w:w="1127" w:type="dxa"/>
          </w:tcPr>
          <w:p w14:paraId="7B95BB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w:t>
            </w:r>
          </w:p>
        </w:tc>
        <w:tc>
          <w:tcPr>
            <w:tcW w:w="1127" w:type="dxa"/>
          </w:tcPr>
          <w:p w14:paraId="3A38B2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203,3</w:t>
            </w:r>
          </w:p>
        </w:tc>
        <w:tc>
          <w:tcPr>
            <w:tcW w:w="1127" w:type="dxa"/>
          </w:tcPr>
          <w:p w14:paraId="2C2AD6E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02846A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2D092F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546D0E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144,5</w:t>
            </w:r>
          </w:p>
        </w:tc>
        <w:tc>
          <w:tcPr>
            <w:tcW w:w="1127" w:type="dxa"/>
          </w:tcPr>
          <w:p w14:paraId="76E3E4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w:t>
            </w:r>
          </w:p>
        </w:tc>
        <w:tc>
          <w:tcPr>
            <w:tcW w:w="1127" w:type="dxa"/>
          </w:tcPr>
          <w:p w14:paraId="1FB6B4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203,3</w:t>
            </w:r>
          </w:p>
        </w:tc>
      </w:tr>
      <w:tr w:rsidR="007D5DF8" w:rsidRPr="00DB5D0D" w14:paraId="1F0AF57E" w14:textId="77777777" w:rsidTr="00E543D0">
        <w:tc>
          <w:tcPr>
            <w:tcW w:w="1127" w:type="dxa"/>
          </w:tcPr>
          <w:p w14:paraId="3427B3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w:t>
            </w:r>
          </w:p>
        </w:tc>
        <w:tc>
          <w:tcPr>
            <w:tcW w:w="1127" w:type="dxa"/>
          </w:tcPr>
          <w:p w14:paraId="7227DA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212,9</w:t>
            </w:r>
          </w:p>
        </w:tc>
        <w:tc>
          <w:tcPr>
            <w:tcW w:w="1127" w:type="dxa"/>
          </w:tcPr>
          <w:p w14:paraId="7DE867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63,4</w:t>
            </w:r>
          </w:p>
        </w:tc>
        <w:tc>
          <w:tcPr>
            <w:tcW w:w="1127" w:type="dxa"/>
          </w:tcPr>
          <w:p w14:paraId="57D969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276,3</w:t>
            </w:r>
          </w:p>
        </w:tc>
        <w:tc>
          <w:tcPr>
            <w:tcW w:w="1127" w:type="dxa"/>
          </w:tcPr>
          <w:p w14:paraId="4AABBFD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39EC92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3BCECB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1D266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212,9</w:t>
            </w:r>
          </w:p>
        </w:tc>
        <w:tc>
          <w:tcPr>
            <w:tcW w:w="1127" w:type="dxa"/>
          </w:tcPr>
          <w:p w14:paraId="3FA789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63,4</w:t>
            </w:r>
          </w:p>
        </w:tc>
        <w:tc>
          <w:tcPr>
            <w:tcW w:w="1127" w:type="dxa"/>
          </w:tcPr>
          <w:p w14:paraId="194249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276,3</w:t>
            </w:r>
          </w:p>
        </w:tc>
      </w:tr>
      <w:tr w:rsidR="007D5DF8" w:rsidRPr="00DB5D0D" w14:paraId="4AFEAC52" w14:textId="77777777" w:rsidTr="00E543D0">
        <w:tc>
          <w:tcPr>
            <w:tcW w:w="1127" w:type="dxa"/>
          </w:tcPr>
          <w:p w14:paraId="0278A0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w:t>
            </w:r>
          </w:p>
        </w:tc>
        <w:tc>
          <w:tcPr>
            <w:tcW w:w="1127" w:type="dxa"/>
          </w:tcPr>
          <w:p w14:paraId="68B2B5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138,7</w:t>
            </w:r>
          </w:p>
        </w:tc>
        <w:tc>
          <w:tcPr>
            <w:tcW w:w="1127" w:type="dxa"/>
          </w:tcPr>
          <w:p w14:paraId="2ADE70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c>
          <w:tcPr>
            <w:tcW w:w="1127" w:type="dxa"/>
          </w:tcPr>
          <w:p w14:paraId="32812D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177,5</w:t>
            </w:r>
          </w:p>
        </w:tc>
        <w:tc>
          <w:tcPr>
            <w:tcW w:w="1127" w:type="dxa"/>
          </w:tcPr>
          <w:p w14:paraId="20C072C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1200D8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58CB7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27811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138,7</w:t>
            </w:r>
          </w:p>
        </w:tc>
        <w:tc>
          <w:tcPr>
            <w:tcW w:w="1127" w:type="dxa"/>
          </w:tcPr>
          <w:p w14:paraId="134079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c>
          <w:tcPr>
            <w:tcW w:w="1127" w:type="dxa"/>
          </w:tcPr>
          <w:p w14:paraId="2B788E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177,5</w:t>
            </w:r>
          </w:p>
        </w:tc>
      </w:tr>
      <w:tr w:rsidR="007D5DF8" w:rsidRPr="00DB5D0D" w14:paraId="5F4DDC2C" w14:textId="77777777" w:rsidTr="00E543D0">
        <w:tc>
          <w:tcPr>
            <w:tcW w:w="1127" w:type="dxa"/>
          </w:tcPr>
          <w:p w14:paraId="2725A3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w:t>
            </w:r>
          </w:p>
        </w:tc>
        <w:tc>
          <w:tcPr>
            <w:tcW w:w="1127" w:type="dxa"/>
          </w:tcPr>
          <w:p w14:paraId="69EB0F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190,1</w:t>
            </w:r>
          </w:p>
        </w:tc>
        <w:tc>
          <w:tcPr>
            <w:tcW w:w="1127" w:type="dxa"/>
          </w:tcPr>
          <w:p w14:paraId="79B85C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54,8</w:t>
            </w:r>
          </w:p>
        </w:tc>
        <w:tc>
          <w:tcPr>
            <w:tcW w:w="1127" w:type="dxa"/>
          </w:tcPr>
          <w:p w14:paraId="30BC3A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244,9</w:t>
            </w:r>
          </w:p>
        </w:tc>
        <w:tc>
          <w:tcPr>
            <w:tcW w:w="1127" w:type="dxa"/>
          </w:tcPr>
          <w:p w14:paraId="402B43D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56D59BB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5BC39F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7AD6AA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190,1</w:t>
            </w:r>
          </w:p>
        </w:tc>
        <w:tc>
          <w:tcPr>
            <w:tcW w:w="1127" w:type="dxa"/>
          </w:tcPr>
          <w:p w14:paraId="18523C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54,8</w:t>
            </w:r>
          </w:p>
        </w:tc>
        <w:tc>
          <w:tcPr>
            <w:tcW w:w="1127" w:type="dxa"/>
          </w:tcPr>
          <w:p w14:paraId="25F912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244,9</w:t>
            </w:r>
          </w:p>
        </w:tc>
      </w:tr>
      <w:tr w:rsidR="007D5DF8" w:rsidRPr="00DB5D0D" w14:paraId="5544DC6F" w14:textId="77777777" w:rsidTr="00E543D0">
        <w:tc>
          <w:tcPr>
            <w:tcW w:w="1127" w:type="dxa"/>
          </w:tcPr>
          <w:p w14:paraId="49046A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1127" w:type="dxa"/>
          </w:tcPr>
          <w:p w14:paraId="497EA3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184,1</w:t>
            </w:r>
          </w:p>
        </w:tc>
        <w:tc>
          <w:tcPr>
            <w:tcW w:w="1127" w:type="dxa"/>
          </w:tcPr>
          <w:p w14:paraId="1A4323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73,8</w:t>
            </w:r>
          </w:p>
        </w:tc>
        <w:tc>
          <w:tcPr>
            <w:tcW w:w="1127" w:type="dxa"/>
          </w:tcPr>
          <w:p w14:paraId="1CBECB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257,9</w:t>
            </w:r>
          </w:p>
        </w:tc>
        <w:tc>
          <w:tcPr>
            <w:tcW w:w="1127" w:type="dxa"/>
          </w:tcPr>
          <w:p w14:paraId="5E9580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286CB94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6E0BBC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53482B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184,1</w:t>
            </w:r>
          </w:p>
        </w:tc>
        <w:tc>
          <w:tcPr>
            <w:tcW w:w="1127" w:type="dxa"/>
          </w:tcPr>
          <w:p w14:paraId="12B933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73,8</w:t>
            </w:r>
          </w:p>
        </w:tc>
        <w:tc>
          <w:tcPr>
            <w:tcW w:w="1127" w:type="dxa"/>
          </w:tcPr>
          <w:p w14:paraId="65F3CE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257,9</w:t>
            </w:r>
          </w:p>
        </w:tc>
      </w:tr>
      <w:tr w:rsidR="007D5DF8" w:rsidRPr="00DB5D0D" w14:paraId="4BA124E3" w14:textId="77777777" w:rsidTr="00E543D0">
        <w:tc>
          <w:tcPr>
            <w:tcW w:w="1127" w:type="dxa"/>
          </w:tcPr>
          <w:p w14:paraId="4DC97E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w:t>
            </w:r>
          </w:p>
        </w:tc>
        <w:tc>
          <w:tcPr>
            <w:tcW w:w="1127" w:type="dxa"/>
          </w:tcPr>
          <w:p w14:paraId="46039E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168,3</w:t>
            </w:r>
          </w:p>
        </w:tc>
        <w:tc>
          <w:tcPr>
            <w:tcW w:w="1127" w:type="dxa"/>
          </w:tcPr>
          <w:p w14:paraId="13E531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92,3</w:t>
            </w:r>
          </w:p>
        </w:tc>
        <w:tc>
          <w:tcPr>
            <w:tcW w:w="1127" w:type="dxa"/>
          </w:tcPr>
          <w:p w14:paraId="5AA420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260,6</w:t>
            </w:r>
          </w:p>
        </w:tc>
        <w:tc>
          <w:tcPr>
            <w:tcW w:w="1127" w:type="dxa"/>
          </w:tcPr>
          <w:p w14:paraId="65851B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3E7FDB1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A05423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6CA4D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168,3</w:t>
            </w:r>
          </w:p>
        </w:tc>
        <w:tc>
          <w:tcPr>
            <w:tcW w:w="1127" w:type="dxa"/>
          </w:tcPr>
          <w:p w14:paraId="59F950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92,3</w:t>
            </w:r>
          </w:p>
        </w:tc>
        <w:tc>
          <w:tcPr>
            <w:tcW w:w="1127" w:type="dxa"/>
          </w:tcPr>
          <w:p w14:paraId="4C9D5A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260,6</w:t>
            </w:r>
          </w:p>
        </w:tc>
      </w:tr>
      <w:tr w:rsidR="007D5DF8" w:rsidRPr="00DB5D0D" w14:paraId="58B0B122" w14:textId="77777777" w:rsidTr="00E543D0">
        <w:tc>
          <w:tcPr>
            <w:tcW w:w="1127" w:type="dxa"/>
          </w:tcPr>
          <w:p w14:paraId="0010F6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1127" w:type="dxa"/>
          </w:tcPr>
          <w:p w14:paraId="25D324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1512,9</w:t>
            </w:r>
          </w:p>
        </w:tc>
        <w:tc>
          <w:tcPr>
            <w:tcW w:w="1127" w:type="dxa"/>
          </w:tcPr>
          <w:p w14:paraId="302C5F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545</w:t>
            </w:r>
          </w:p>
        </w:tc>
        <w:tc>
          <w:tcPr>
            <w:tcW w:w="1127" w:type="dxa"/>
          </w:tcPr>
          <w:p w14:paraId="316320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2057,9</w:t>
            </w:r>
          </w:p>
        </w:tc>
        <w:tc>
          <w:tcPr>
            <w:tcW w:w="1127" w:type="dxa"/>
          </w:tcPr>
          <w:p w14:paraId="42E3763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2B3BFF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37D49FB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73006A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1512,9</w:t>
            </w:r>
          </w:p>
        </w:tc>
        <w:tc>
          <w:tcPr>
            <w:tcW w:w="1127" w:type="dxa"/>
          </w:tcPr>
          <w:p w14:paraId="720298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545</w:t>
            </w:r>
          </w:p>
        </w:tc>
        <w:tc>
          <w:tcPr>
            <w:tcW w:w="1127" w:type="dxa"/>
          </w:tcPr>
          <w:p w14:paraId="68A9E4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2057,9</w:t>
            </w:r>
          </w:p>
        </w:tc>
      </w:tr>
      <w:tr w:rsidR="007D5DF8" w:rsidRPr="00DB5D0D" w14:paraId="78FCDC5A" w14:textId="77777777" w:rsidTr="00E543D0">
        <w:tc>
          <w:tcPr>
            <w:tcW w:w="1127" w:type="dxa"/>
            <w:tcBorders>
              <w:bottom w:val="single" w:sz="12" w:space="0" w:color="auto"/>
            </w:tcBorders>
          </w:tcPr>
          <w:p w14:paraId="0D8857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127" w:type="dxa"/>
            <w:tcBorders>
              <w:bottom w:val="single" w:sz="12" w:space="0" w:color="auto"/>
            </w:tcBorders>
          </w:tcPr>
          <w:p w14:paraId="42A481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3501,3</w:t>
            </w:r>
          </w:p>
        </w:tc>
        <w:tc>
          <w:tcPr>
            <w:tcW w:w="1127" w:type="dxa"/>
            <w:tcBorders>
              <w:bottom w:val="single" w:sz="12" w:space="0" w:color="auto"/>
            </w:tcBorders>
          </w:tcPr>
          <w:p w14:paraId="3C0F41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1289,1</w:t>
            </w:r>
          </w:p>
        </w:tc>
        <w:tc>
          <w:tcPr>
            <w:tcW w:w="1127" w:type="dxa"/>
            <w:tcBorders>
              <w:bottom w:val="single" w:sz="12" w:space="0" w:color="auto"/>
            </w:tcBorders>
          </w:tcPr>
          <w:p w14:paraId="304372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4790,2</w:t>
            </w:r>
          </w:p>
        </w:tc>
        <w:tc>
          <w:tcPr>
            <w:tcW w:w="1127" w:type="dxa"/>
            <w:tcBorders>
              <w:bottom w:val="single" w:sz="12" w:space="0" w:color="auto"/>
            </w:tcBorders>
          </w:tcPr>
          <w:p w14:paraId="269313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1056,5</w:t>
            </w:r>
          </w:p>
        </w:tc>
        <w:tc>
          <w:tcPr>
            <w:tcW w:w="1127" w:type="dxa"/>
            <w:tcBorders>
              <w:bottom w:val="single" w:sz="12" w:space="0" w:color="auto"/>
            </w:tcBorders>
          </w:tcPr>
          <w:p w14:paraId="736CF3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325,6</w:t>
            </w:r>
          </w:p>
        </w:tc>
        <w:tc>
          <w:tcPr>
            <w:tcW w:w="1127" w:type="dxa"/>
            <w:tcBorders>
              <w:bottom w:val="single" w:sz="12" w:space="0" w:color="auto"/>
            </w:tcBorders>
          </w:tcPr>
          <w:p w14:paraId="35C277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1382,1</w:t>
            </w:r>
          </w:p>
        </w:tc>
        <w:tc>
          <w:tcPr>
            <w:tcW w:w="1127" w:type="dxa"/>
            <w:tcBorders>
              <w:bottom w:val="single" w:sz="12" w:space="0" w:color="auto"/>
            </w:tcBorders>
          </w:tcPr>
          <w:p w14:paraId="006210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2444,9</w:t>
            </w:r>
          </w:p>
        </w:tc>
        <w:tc>
          <w:tcPr>
            <w:tcW w:w="1127" w:type="dxa"/>
            <w:tcBorders>
              <w:bottom w:val="single" w:sz="12" w:space="0" w:color="auto"/>
            </w:tcBorders>
          </w:tcPr>
          <w:p w14:paraId="4D31F9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963,4</w:t>
            </w:r>
          </w:p>
        </w:tc>
        <w:tc>
          <w:tcPr>
            <w:tcW w:w="1127" w:type="dxa"/>
            <w:tcBorders>
              <w:bottom w:val="single" w:sz="12" w:space="0" w:color="auto"/>
            </w:tcBorders>
          </w:tcPr>
          <w:p w14:paraId="1136A8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3408,3</w:t>
            </w:r>
          </w:p>
        </w:tc>
      </w:tr>
    </w:tbl>
    <w:p w14:paraId="179E53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(10498,53).</w:t>
      </w:r>
    </w:p>
    <w:p w14:paraId="2FFAB6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0261E62" w14:textId="77777777" w:rsidR="004546B7" w:rsidRPr="00DB5D0D" w:rsidRDefault="004546B7"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bCs/>
          <w:iCs/>
          <w:color w:val="000000" w:themeColor="text1"/>
          <w:sz w:val="16"/>
          <w:szCs w:val="16"/>
        </w:rPr>
        <w:t>5 августа-28 сентября 1940 г.</w:t>
      </w:r>
      <w:r w:rsidRPr="00DB5D0D">
        <w:rPr>
          <w:rFonts w:ascii="Times New Roman" w:hAnsi="Times New Roman"/>
          <w:color w:val="000000" w:themeColor="text1"/>
          <w:sz w:val="16"/>
          <w:szCs w:val="16"/>
        </w:rPr>
        <w:t xml:space="preserve"> Масштабные опытные химические учения на вновь открывшемся Авиационном химическом полигоне (АХП) в районе ст.Лбищенск (Казахстан). Участвовали три авиационных полка СБ. Опыты включали бомбометание ХАБ-200 с СОВ, выливание СОВ с высоты 6000 метров, выливание дифосгена эскадрильей СБ из ВАП-500 с высоты 30-40 метров. По мнению участников, очень удались опыты по выливанию синильной кислоты. Выводы организаторов: </w:t>
      </w:r>
      <w:r w:rsidRPr="00DB5D0D">
        <w:rPr>
          <w:rFonts w:ascii="Times New Roman" w:hAnsi="Times New Roman"/>
          <w:iCs/>
          <w:color w:val="000000" w:themeColor="text1"/>
          <w:sz w:val="16"/>
          <w:szCs w:val="16"/>
        </w:rPr>
        <w:t>«Проведенные сборы впервые в ВВС КА дали возможность в большом масштабе с линейными частями отработать задачи химической подготовки с реальными БХВ, тогда как до организации химического полигона отработка задач КХП проводилась только на учебных ОВ»</w:t>
      </w:r>
      <w:r w:rsidRPr="00DB5D0D">
        <w:rPr>
          <w:rFonts w:ascii="Times New Roman" w:hAnsi="Times New Roman"/>
          <w:color w:val="000000" w:themeColor="text1"/>
          <w:sz w:val="16"/>
          <w:szCs w:val="16"/>
        </w:rPr>
        <w:t xml:space="preserve"> (17133).</w:t>
      </w:r>
    </w:p>
    <w:p w14:paraId="11686867" w14:textId="77777777" w:rsidR="004546B7" w:rsidRPr="00DB5D0D" w:rsidRDefault="004546B7" w:rsidP="00DB5D0D">
      <w:pPr>
        <w:shd w:val="clear" w:color="auto" w:fill="FFFFFF"/>
        <w:spacing w:after="0" w:line="240" w:lineRule="auto"/>
        <w:jc w:val="both"/>
        <w:rPr>
          <w:rFonts w:ascii="Times New Roman" w:hAnsi="Times New Roman"/>
          <w:color w:val="000000" w:themeColor="text1"/>
          <w:sz w:val="16"/>
          <w:szCs w:val="16"/>
        </w:rPr>
      </w:pPr>
    </w:p>
    <w:p w14:paraId="6D79DFE0" w14:textId="77777777" w:rsidR="008F4879" w:rsidRPr="00DB5D0D" w:rsidRDefault="008F4879"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78E97DF" w14:textId="77777777" w:rsidR="008F4879" w:rsidRPr="00DB5D0D" w:rsidRDefault="008F4879" w:rsidP="00DB5D0D">
      <w:pPr>
        <w:spacing w:after="0" w:line="240" w:lineRule="auto"/>
        <w:jc w:val="both"/>
        <w:rPr>
          <w:rFonts w:ascii="Times New Roman" w:hAnsi="Times New Roman"/>
          <w:iCs/>
          <w:color w:val="000000" w:themeColor="text1"/>
          <w:sz w:val="16"/>
          <w:szCs w:val="16"/>
        </w:rPr>
      </w:pPr>
    </w:p>
    <w:p w14:paraId="34653DD3"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w:t>
      </w:r>
    </w:p>
    <w:p w14:paraId="2B018C37"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Фонд 31811 Опись 2 Дело 1059 листы 154 – 178 </w:t>
      </w:r>
    </w:p>
    <w:p w14:paraId="756CD52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СОВ.СЕКРЕТНО </w:t>
      </w:r>
    </w:p>
    <w:p w14:paraId="6B3AE5D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"СОВРЕМЕННЫЕ ТАНКИ И ИХ ВООРУЖЕНИЕ"</w:t>
      </w:r>
    </w:p>
    <w:p w14:paraId="4D90D98D"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Статья имеет цель выяснить вопрос о перспективном развитии наших механизированных средств с точки зрения их бронирования, вооружения и самоходной артиллерии для их сопровождения. </w:t>
      </w:r>
    </w:p>
    <w:p w14:paraId="48F6CBB7"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последних боевых действий на франко-бельгийско-германском фронте свидетельствуют о значительных преимуществах армии, обладающей мощным механизированным вооружением. </w:t>
      </w:r>
    </w:p>
    <w:p w14:paraId="3EF20EF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Авто-бронетанковые дивизии во взаимодействии с авиацией и при поддержке моточастей, выполняли самостоятельные операции, как по прорыву оборонительных линий, так и по дальнейшему успешному развитию операций. Они стали в полном смысле слова кулаком современной армии, наносящим решающие удары далеко вглубь за линию обороны. </w:t>
      </w:r>
    </w:p>
    <w:p w14:paraId="6735BBC7"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20-ти тонный танк с 30 мм. броней, вооруженный 37 мм. пушкой являлся основным типом боевых машин авто-бронетанковых дивизий. Броня этого танка в основном защищала его от наиболее массового автоматического противотанкового вооружения – 25 мм. пушки французской армии. Его собственное вооружение позволяло поражать все однотипные танки противника. </w:t>
      </w:r>
    </w:p>
    <w:p w14:paraId="1371A028"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более крупных тяжелобронных танков и целей, находящихся за (временным) укрытием, к этим танкам придавались такие же танки, но с усиленным вооружением – 75 мм. пушкой, установленной в невращающейся башне. По-видимому, последнее, представлявшее собой, безусловно, необходимое усиление артиллерийским вооружением сопровождения действий основной массы танков, по оформлению являлось продуктом большой спешки.</w:t>
      </w:r>
    </w:p>
    <w:p w14:paraId="0919D05D"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Недостаточно полные сведения не дают возможность представить ясно всю картину действий авто-бронетанковых частей. Нет ответов на многие вопросы: какие еще типы танков были применены в этих операциях, каково было взаимодействие танков с артиллерией сопровождения, как организована была служба обеспечения, как была организована противотанковая оборона и т.д. </w:t>
      </w:r>
    </w:p>
    <w:p w14:paraId="3E5B2B3E"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Ясно одно, что эти вопросы были разрешены, и успешное действие авто-бронетанковых частей было обеспечено в тесном взаимодействии с другими родами войск. </w:t>
      </w:r>
    </w:p>
    <w:p w14:paraId="4A96D0D9"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 статья имеет целью выяснить вопрос о перспективном развитии наших механизированных средств с точки зрения бронирования и вооружения. </w:t>
      </w:r>
    </w:p>
    <w:p w14:paraId="16D7012E"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1. – ПЕРСПЕКТИВЫ РАЗВИТИЯ ПРОТИВОТАНКОВОЙ АРТИЛЛЕРИИ.</w:t>
      </w:r>
    </w:p>
    <w:p w14:paraId="51550E36"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последних операций дает возможность разделить противотанковую артиллерию на две основные группы, в зависимости от характера операций: противотанковая артиллерия в маневренной войне и противотанковая артиллерия в долговременных фортификационных сооружениях. </w:t>
      </w:r>
    </w:p>
    <w:p w14:paraId="470F18E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Противотанковая артиллерия в маневренной войне. </w:t>
      </w:r>
    </w:p>
    <w:p w14:paraId="293BA70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эта группа противотанковой артиллерии представляет собой системы, состоящие на вооружении основных противотанковых артиллерийских подразделений, дивизий, полков. Ниже приводится таблица основных данных современной противотанковой артиллерии. </w:t>
      </w:r>
    </w:p>
    <w:p w14:paraId="70842942"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мощной из них является наша противотанковая пушка. Основными характерными чертами этой противотанковой артиллерии является: </w:t>
      </w:r>
    </w:p>
    <w:p w14:paraId="192FC822"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Высокая начальная скорость, позволяющая, при высокой скорострельности, пробивать броню танков до 50 мм. </w:t>
      </w:r>
    </w:p>
    <w:p w14:paraId="591D7D44"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Малые габариты, позволяющие разрешить задачу укрытого расположения пушки в передовых линиях обороны. </w:t>
      </w:r>
    </w:p>
    <w:p w14:paraId="5B5B8D64"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Вес 250 – 450 кгр. еще допускающий возможность маневрирования пушкой на поле боя людской тягой. </w:t>
      </w:r>
    </w:p>
    <w:p w14:paraId="624C208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Относительная ограниченность в мощности систем. Дульная энергия колеблется в пределах 22 – 42 тонно-метров. </w:t>
      </w:r>
    </w:p>
    <w:p w14:paraId="1D89984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Перспектива дальнейшего роста мощности артиллерии этого типа (нач. скоростей, веса снарядов, калибра) упирается в вопрос потери маневрирования на поле боя с помощью людской тяги, из-за сильного возрастания веса пушек. Все же следует ожидать, в перспективе, некоторого роста пробивной способности этих пушек на 20 – 25 % за счет повышения дульной энергии и улучшения качества снарядов. </w:t>
      </w:r>
    </w:p>
    <w:p w14:paraId="42A42B45"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этих калибров на поле боя были применены как противотанковые средства – и 75 мм. полковые пушки. Эти пушки характерны: своим относительно большим весом, почти исключающим их маневренность как противотанковых средств, и сравнительно даже меньшей пробивной способностью их снарядов при действии по броне (малая начальная скорость). Поэтому решающим перспективным усилением противотанковой артиллерии они служить не могут. Они являются средством, могущим быть примененным лишь в частных случаях. Тоже можно сказать и о полевой артиллерии. </w:t>
      </w:r>
    </w:p>
    <w:p w14:paraId="2F1CCE7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Конечно, с увеличением калибра повышается не только пробивная способность снарядов, а прежде всего весьма значительно возрастает их разрушительное фугасное действие. </w:t>
      </w:r>
    </w:p>
    <w:p w14:paraId="7F2A2B68"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Противотанковая артиллерия в условиях действий против долговременных оборонительных сооружений. </w:t>
      </w:r>
    </w:p>
    <w:p w14:paraId="0FD0361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 группа противотанковых средств, помимо применения массовых пушек калибра 37 – 45 мм. может быть значительно усилена более мощными артсистемами крупных калибров. Несомненно, этот вывод будет сделан всеми государствами, и прежде всего нашими возможными противниками. Тем более, что вес системы здесь особого значения не имеет, важно только сохранить, сопутственно росту мощности, достаточную скорострельность. </w:t>
      </w:r>
    </w:p>
    <w:p w14:paraId="41B8976E"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счет каких средств может пойти это усиление противотанковой артиллерии: </w:t>
      </w:r>
    </w:p>
    <w:p w14:paraId="619626D5"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а) Применение 75 мм. скорострельных пушек дивизионной артиллерии с начальными скоростями 600 – 700 мт./сек. Пробивная способность этих снарядов доходит до 70 мм. толщины по броне. </w:t>
      </w:r>
    </w:p>
    <w:p w14:paraId="585CAB58"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Применение зенитных пушек калибра 75 – 105 мм. с унитарным патроном и начальными скоростями порядка 800 – 900 мт/сек. Пробивная способность этих скорострельных пушек находится в пределах 90 – 115 и даже до 120 мм. Но применение этих пушек в широких масштабах затруднено из-за огромной потребности в них для противовоздушной обороны. </w:t>
      </w:r>
    </w:p>
    <w:p w14:paraId="7626335F"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Применение более крупных калибров также возможно, но пониженная скорострельность и сравнительно малый эффект в дальнейшей пробивной способности делает маловероятным успех обороны против атаки танкового подразделения. </w:t>
      </w:r>
    </w:p>
    <w:p w14:paraId="328DACA3"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2-й. ТИПЫ ТАНКОВ И ИХ БРОНИРОВАНИЕ</w:t>
      </w:r>
    </w:p>
    <w:p w14:paraId="0024BD1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сказанного выше вытекает, что в зависимости от театра войны и характера операций изменяются и противотанковые артиллерийские средства. В этой связи и необходимо подвергнуть обоснованию вопрос о перспективном развитии типов танков и их бронирования: </w:t>
      </w:r>
    </w:p>
    <w:p w14:paraId="1C75CC1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ОПЕРАЦИИ В МАНЕВРЕННОЙ ВОЙНЕ. </w:t>
      </w:r>
    </w:p>
    <w:p w14:paraId="6E23F19D"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учета все возрастающей количественно противотанковой артиллерии, несомненно необходимо иметь в перспективе такой основной массовый тип танка, который отвечал бы следующим условиям: </w:t>
      </w:r>
    </w:p>
    <w:p w14:paraId="73F8F909"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Бронезащита 55 – 60 мм., обеспечивающая защиту от 37 – 47 мм. снарядов наиболее массовых артиллерийских средств противника. </w:t>
      </w:r>
    </w:p>
    <w:p w14:paraId="3176C8C7"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Большой радиус действия, не меньший 10-ти час. хода. </w:t>
      </w:r>
    </w:p>
    <w:p w14:paraId="35015389"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Запас мощности на тонну веса не ниже 15 л.с. с целью обеспечения достаточной маневренности и подвижности. </w:t>
      </w:r>
    </w:p>
    <w:p w14:paraId="0EEE6F1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Относительная дешевизна и экономичность, т.к. этот тип должен быть наиболее массовым танком. </w:t>
      </w:r>
    </w:p>
    <w:p w14:paraId="6C276671"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тип танка обеспечивает решение задач сопровождения пехоты в прорыве и действия механизированных соединений в рейдах в тылу противника. Место этого танка в первом эшелоне, следом за ним могут быть использованы находящиеся на вооружении в настоящее время танки, располагающие бронезащитой только против пуль. Этот тип массового танка позволит на его базе создать семейство специализированных боевых машин (с увеличенным калибром артсистем, химические, артиллерийский трактор – ог же транспортер пехоты и заправщик и т.д.). </w:t>
      </w:r>
    </w:p>
    <w:p w14:paraId="3E91EEA4"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Создание этого танка является неотложной первоочередной задачей – уже поставленной перед заводом № 174 им. Ворошилова. Этот тип должен заменить собой устаревший танк СП – Т-26. Не исключена и возможность наличия двух типов аналогичного танка – одного более подвижного с бронировкой 45 – 50 мм. с целью действия в рейдах, и другого – вышеупомянутого. Но этот вариант, как по перспективности, так и по экономике вряд ли целесообразен. Исходя из этой точки зрения, нужно признать, что принятый на вооружение танк А-34 с основным бронированием в 45 мм., хотя и является сегодня лучшим, но в свете ближайшей же перспективы является быстро стареющим типом. Все же, на некоторый промежуток времени, танк А-34, безусловно, необходим, т.к. он представляет собой – пока единственно подготовленный к серийному производству, массовый танк с тяжелым бронированием. Технически совершенно возможно, на производственной базе этого танка (заводы № 183 и СТЗ) довести этот тип до другого необходимого класса танков с бронированием до 75 мм. и весом 30 – 35 тонн. В условиях маневренной войны, конечно, не исключается применение в отдельных случаях и более толстобронных танков. </w:t>
      </w:r>
    </w:p>
    <w:p w14:paraId="7F7CF18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разрешить еще один весьма важный для этого типа танка вопрос – это вопрос о качестве брони. Броню 55 – 60 мм., в сварных конструкциях, можно применять двух следующих основных типов: </w:t>
      </w:r>
    </w:p>
    <w:p w14:paraId="7749B93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Броня высокой твердости (твердость по отпечатку Бринелля 2,8 – 3,0) позволит иметь перспективный запас по стойкости на 20 – 30 %. Но производство этой брони будет относительно более дорогим и менее мобильным. </w:t>
      </w:r>
    </w:p>
    <w:p w14:paraId="6253DE7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Броня средней твердости (твердость по отпечатку Бринелля 3,4 – 3,6) не будет располагать перспективным запасом по стойкости. Но по облегчению производства, большей мобильности последнего, и экономике будет превосходить твердую броню в несколько раз. </w:t>
      </w:r>
    </w:p>
    <w:p w14:paraId="468AEAA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задач сегодняшнего дня, необходимость скорейшего массового выпуска танков, при недостаточной подготовленности наших бронезаводов, нужно остановиться на втором варианте брони, но как ближайшая задача необходимо подготовить и обеспечить переход на твердую броню. </w:t>
      </w:r>
    </w:p>
    <w:p w14:paraId="5A57E313"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танк А-34 – применяется 45 мм. броня высокой твердости (45 мм .броня средней твердости не обеспечит от сквозного поражения). Необходимо будет сейчас же принять особые меры к обеспечению развертывающегося массового производства танков, дабы избежать неподготовленности последнего к большому браку и затруднениям в сборке и сварке корпусов. </w:t>
      </w:r>
    </w:p>
    <w:p w14:paraId="78AF3FC4"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ОПЕРАЦИИ ПРИ ПРОРЫВЕ ДОЛГОВРЕМЕННЫХ УКРЕПЛЕННЫХ РАЙОНОВ. </w:t>
      </w:r>
    </w:p>
    <w:p w14:paraId="762E49A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учета сильно возрастающей пробивной способности, усиленной калибром противотанковой артиллерии – необходимо учесть и наличие массовых пассивных противотанковых сооружений (надолбы, рвы, мины и т.д.), сильно затрудняющие маневренность, как отдельного танка, так и танковых подразделений. Несомненно, в боевых операциях в этих условиях нельзя рассчитывать в ближайшем будущем на успешность атаки даже новых конструкций танков с тяжелым бронированием. </w:t>
      </w:r>
    </w:p>
    <w:p w14:paraId="68CD34E8"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Какой же тип танка способен перспективно разрешить вопрос успешного выполнения операций в условиях действий против долговременных укреплений? Правильней искать разрешение этой задачи применением двух типов танков: </w:t>
      </w:r>
    </w:p>
    <w:p w14:paraId="2373980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Первый тип танка – это танк прорыва сегодняшнего дня, он должен удовлетворять следующим основным требованиям: </w:t>
      </w:r>
    </w:p>
    <w:p w14:paraId="249B0B2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Защищенность от действия полевых 75 мм. скорострельных пушек должна быть обеспечена бронированием не ниже 75 мм. толщины. </w:t>
      </w:r>
    </w:p>
    <w:p w14:paraId="6B086249"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Прочная и надежная ходовая часть должна быть стойкой от обстрела противотанковой артиллерией и предохранена от действия противотанковых мин, известных нам в настоящее время. </w:t>
      </w:r>
    </w:p>
    <w:p w14:paraId="3BAF796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Длина базы должна обеспечивать преодоление рвов до 3 мт. </w:t>
      </w:r>
    </w:p>
    <w:p w14:paraId="55D1AAC1"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Основное вооружение 75 мм. пушка достаточной мощности для борьбы с открытыми противотанковыми точками и танками противника. </w:t>
      </w:r>
    </w:p>
    <w:p w14:paraId="67908062"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Как второй вариант вооружения, должна быть обеспечена возможность установки усиленного калибра (152 мм. гаубица). </w:t>
      </w:r>
    </w:p>
    <w:p w14:paraId="2D9A1A6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Радиус действия должен быть обеспечен не менее чем 10-ть часов хода. </w:t>
      </w:r>
    </w:p>
    <w:p w14:paraId="0BF2A88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Обеспечивается возможность перевозки этого танка в сборе по железной дороге. </w:t>
      </w:r>
    </w:p>
    <w:p w14:paraId="7736DEE2"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тип танка потребуется в средних количествах, примерно в пропорции 1 : 20 по отношению к малым танкам. Применение танковых соединений этого типа машин в настоящее время сможет обеспечить достижение успеха в прорыве долговременных укрепрайонов. Следом, по проложенной этим танком тропой, можно будет развить успех применением бронетанковых дивизий танков меньшего веса и большей маневренности. </w:t>
      </w:r>
    </w:p>
    <w:p w14:paraId="0F1180A3"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Конечно, такая операция и сегодня вызовет ощутимые потери в танках, как первого эшелона, так и последующих, ибо применение этих танков, даже во взаимодействии с другими родами войск, не разрешит еще полностью задачи подавления противотанковой обороны. Принятый на вооружение Красной Армии новый танк "КВ" – Кировского завода, в основном решает задачи, поставленные перед этим классом танков. Но до сих пор Кировским заводом не обеспечено выполнение поставленных перед ним Правительством задач по серийному выпуску этого танка. Основной причинной задержки является наличие аварийных дефектов в агрегатах силовых передач. Эти вопросы требуют скорейшей доработки и технически могут быть решены в кратчайшие сроки, при условии мобилизации всех квалифицированных сил, создавших эту машину. </w:t>
      </w:r>
    </w:p>
    <w:p w14:paraId="2D809C7F"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Последнее еще не реализовано полностью из-за большой разбросанности на многообъектность. </w:t>
      </w:r>
    </w:p>
    <w:p w14:paraId="3A007F37"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этого танка крайне необходимо для использования в самоходных установках 152 мм. пушки и 203 мм. гаубицы. Технически это вполне разрешимо, но т.к. основные силовые агрегаты танка "КВ" не доработаны для более легкого танка, то для этих целей унификация агрегатов в ближайшем вряд ли возможна. Кроме того будет недостаточна мощность силовой установки двигателя. </w:t>
      </w:r>
    </w:p>
    <w:p w14:paraId="401D3AF8"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Второй тип танка – это перспективный танк прорыва, он должен удовлетворять следующим основным требованиям: </w:t>
      </w:r>
    </w:p>
    <w:p w14:paraId="3C6C1BB4"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Защищенность от действия 75 – 105 мм. зенитных пушек должна быть обеспечена бронированием 100 – 120 мм. толщиной. </w:t>
      </w:r>
    </w:p>
    <w:p w14:paraId="1A6F998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Основным вооружением должна быть мощная артсистема, способная разрушить бетонные сооружения 1,5 – 2,0 мтр. толщиною и броневые амбразуры. Эта установка должна иметь круговой обстрел с целью повышения маневренности огнем. Такой системой для танка, по условиям внутренних габаритов и обеспечению скорострельности является морская 130 мм пушка Б-13 с начальной скоростью 870 мтр./сек. </w:t>
      </w:r>
    </w:p>
    <w:p w14:paraId="4662121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Ходовая часть танка должна обеспечить надежное траление противотанковых мин. </w:t>
      </w:r>
    </w:p>
    <w:p w14:paraId="3B5D80E2"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Ширина свободно преодолеваемого рва должна быть не ниже 3,5 мтр. </w:t>
      </w:r>
    </w:p>
    <w:p w14:paraId="0D26273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Обеспечивается возможность перевозки этого танка на тяжелых железнодорожных платформах. Причем возможно допустить снятие большой башни. </w:t>
      </w:r>
    </w:p>
    <w:p w14:paraId="0BBBE711"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тип танка потребуется в небольших количествах. Применение этого типа танка, даже в составе небольших подразделений при поддержке танков первого типа и других родов войск, обеспечит надежное решение задачи прорыва укрепленных районов противника. </w:t>
      </w:r>
    </w:p>
    <w:p w14:paraId="429C287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Одним из реальных вариантов этого типа танков является техническая проработка этой задачи в отделе Главного Конструктора завода № 174 им. Ворошилова. </w:t>
      </w:r>
    </w:p>
    <w:p w14:paraId="7BC9BE16"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решении этой задачи необходимо обеспечить создание не только этого танка, но прежде всего, его силовой установки в 1000 – 1200 л.с. в одном агрегате. Последнее возможно разрешить надежно и быстро, как это показывает глубокая техническая проработка этого вопроса, на базе существующего танкового дизеля В-2. Применение скоростных методов в создании опытного образца этого танка может быть разрешено коллективом опытников и всего завода № 174 им. Ворошилова в кратчайшие сроки, при условии кооперации с существующими базами. Организация малосерийного производства на этом же заводе потребует сравнительно небольшого расширения станочного оборудования за счет более крупных станков. Квалифицированные кадры для решения обоих задач имеются. </w:t>
      </w:r>
    </w:p>
    <w:p w14:paraId="058E562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Кроме того, на базе этого же танка , при бронировании не ниже 100 мм., возможно создание еще более мощных самоходных артиллерийских установок с калибром системы в 152 мм и даже в 203 мм. </w:t>
      </w:r>
    </w:p>
    <w:p w14:paraId="408C72F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3-й. ТАНКИ И ИХ ВООРУЖЕНИЕ.</w:t>
      </w:r>
    </w:p>
    <w:p w14:paraId="6723EC56"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условий предстоящих боевых операций в современной войне вытекают требования не только к усилению бронирования, но и в такой же мере, к правильному выбору основного артиллерийского вооружения танков. </w:t>
      </w:r>
    </w:p>
    <w:p w14:paraId="682E8152"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Вышеизложенном этот вопрос подвергся уже предварительному изложению, задачей же этого раздела является более детальное его рассмотрение. Прежде всего необходимо сопоставить возможности существующих на вооружении артсистем с точки зрения не только поражения брони, но и фугасного действия их снарядов. </w:t>
      </w:r>
    </w:p>
    <w:p w14:paraId="5B241E13"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Таблица основных данных артсистем. </w:t>
      </w:r>
    </w:p>
    <w:p w14:paraId="13A29F57"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Таблица действительности огня артсистемы при кинжальном выстреле. </w:t>
      </w:r>
    </w:p>
    <w:p w14:paraId="60C7775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Анализ данных артсистем в этих таблицах дает возможность сделать нижеследующие основные выводы: </w:t>
      </w:r>
    </w:p>
    <w:p w14:paraId="5F39266E"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МЕЛКОКАЛИБЕРНОЙ ПРОТИВОТАНКОВОЙ ПУШКЕ: </w:t>
      </w:r>
    </w:p>
    <w:p w14:paraId="2E843928"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Пробивание брони до 55 мм. </w:t>
      </w:r>
    </w:p>
    <w:p w14:paraId="21917C4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Почти полное отсутствие фугасного эффекта не только по бетону, но и по земляным укрытиям. </w:t>
      </w:r>
    </w:p>
    <w:p w14:paraId="6559E4A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Система дает большую скорострельность. </w:t>
      </w:r>
    </w:p>
    <w:p w14:paraId="44A66064"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СИСТЕМАМ КАЛИБРА 76 мм: </w:t>
      </w:r>
    </w:p>
    <w:p w14:paraId="3DCCC83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Пробивание брони толщиной до 60 мм. обеспечит танковая пушка с начальной скоростью 550 – 600 мт/сек. Пробивание брони до 75 мм. обеспечит полевая пушка с начальной скоростью 660 – 680 мт/сек. Пробивание брони выше 75 мм. обеспечит зенитная пушка с начальной скоростью 900 мт/сек. </w:t>
      </w:r>
    </w:p>
    <w:p w14:paraId="742A221F"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Фугасное действие 76 мм. снаряда достаточно для борьбы только против легких полевых сооружений. </w:t>
      </w:r>
    </w:p>
    <w:p w14:paraId="0F6C034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Из трех типов пушек (танковая, полевая и зенитная) по их габариту и откату: </w:t>
      </w:r>
    </w:p>
    <w:p w14:paraId="3DC6E375"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первая устанавливается в танковые башни и почти не выходит за пределы танка; </w:t>
      </w:r>
    </w:p>
    <w:p w14:paraId="1210D47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вторая и третья не устанавливаются в танковых башнях. Для этой цели требуется пересмотр их противооткатной части (сокращение отката и общее уменьшение габаритов). Обе системы значительно, особенно последняя, выходят за габариты танков, что затруднит маневренность огнем в условиях боя в лесу и в складках местности. </w:t>
      </w:r>
    </w:p>
    <w:p w14:paraId="2AB3FF0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Системы дают достаточную скорострельность. </w:t>
      </w:r>
    </w:p>
    <w:p w14:paraId="564C4813"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СИСТЕМАМ КАЛИБР 122 мм. </w:t>
      </w:r>
    </w:p>
    <w:p w14:paraId="4775DD24"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действию по броне: </w:t>
      </w:r>
    </w:p>
    <w:p w14:paraId="0FB1788F"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Полевая гаубица с начальной скоростью около 400 мт/сек. по расчетам может пробить толщину до 55 мм., но из-за мощного фугасного действия сможет таранить броню 60 – 65 мм. ударно-фугасным снарядом. </w:t>
      </w:r>
    </w:p>
    <w:p w14:paraId="266ACE8E"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Корпусная пушка с начальной скоростью в 800 мт/сек. обеспечит поражение бронелистов до 120 мм., при стрельбе ударно-фугасным снарядом и до 130 – 140 мм. при специальном бронебойном снаряде. </w:t>
      </w:r>
    </w:p>
    <w:p w14:paraId="6A82F7C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фугасному действию: </w:t>
      </w:r>
    </w:p>
    <w:p w14:paraId="3D6941A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Ударно-фугасный снаряд обеспечит разрушение полевых укрытий и легко бетонированных сооружений. Причем полевая гаубица может дать поражение по бетону глубиной 0,7 – 0,8 мт., а корпусная пушка до 1,5 – 1,7 мт. </w:t>
      </w:r>
    </w:p>
    <w:p w14:paraId="0A075BE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 габаритам: </w:t>
      </w:r>
    </w:p>
    <w:p w14:paraId="575DC9BE"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Полевая гаубица имеет большой откат и негабаритность качающей части для установки в танковую башню, за габариты танка не выходит, может устанавливаться в танке при условии внесения изменений в качающуюся часть (уменьшение длины отката и габаритов). </w:t>
      </w:r>
    </w:p>
    <w:p w14:paraId="44115E88"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Корпусная пушка имеет те же недостатки, плюс значительное свешивание за габариты танка в башенной установке. Эта система может быть установлена на самоходной установке среднего танкового шасси (весом 25 – 30 тонн, при бронировании 45 мм.) и может быть установлена в танковой башне перспективного тяжелого танка с небольшими изменениями в части укорочения отката. </w:t>
      </w:r>
    </w:p>
    <w:p w14:paraId="69645F72"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Скорострельность из этой системы значительно снижается в условиях танковой установки, но может еще считаться удовлетворительной. </w:t>
      </w:r>
    </w:p>
    <w:p w14:paraId="4AAE82A9"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СИСТЕМЕ КАЛИБРОМ 130 мм. </w:t>
      </w:r>
    </w:p>
    <w:p w14:paraId="23D77CF7"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поражению брони толщиною 130 – 150 мм. эта система превосходит 122 мм. пушку и 152 мм. гаубицу-пушку. </w:t>
      </w:r>
    </w:p>
    <w:p w14:paraId="1CE1D4F7"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фугасному действию она превосходит 122 мм. пушку и приближается к данным 152 мм. гаубицы-пушки, превосходя последнюю по глубине поражения бетона. Сила фугасного действия достаточна для борьбы с долговременными точками. </w:t>
      </w:r>
    </w:p>
    <w:p w14:paraId="1EB3DB47"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 габаритности, из-за малого отката, эта система может быть установлена без переделок либо в виде башенной установки в перспективном тяжелом танке, либо в виде самоходной установки на шасси этого танка. </w:t>
      </w:r>
    </w:p>
    <w:p w14:paraId="74EFFA92"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 скорострельности эта система не уступает и даже превосходит 122 мм. пушку (из-за наличии в системе специальных приспособлений, облегчающих заряжание). </w:t>
      </w:r>
    </w:p>
    <w:p w14:paraId="356CB3B1"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 СИСТЕМАМ КАЛИБРОВ 152 – 203 мм. </w:t>
      </w:r>
    </w:p>
    <w:p w14:paraId="2636627F"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Действие по броне: Полевая гаубица имеет примерно те же данные, что и 122 мм. пушка. Но пушка 152 мм. и гаубица 203 мм. имеют данные значительно выше. </w:t>
      </w:r>
    </w:p>
    <w:p w14:paraId="0F6D69C5"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фугасному действию данные пушки 152 мм. и 203 мм. гаубицы значительно выше чем у других систем. Этого эффекта вполне достаточно для успешного действия по тяжелым долговременным огневым точкам. </w:t>
      </w:r>
    </w:p>
    <w:p w14:paraId="737F76E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Габариты 152 мм. гаубицы-пушки позволяют ее установку в башне тяжелого танка типа "КВ". Габариты 152 мм. пушки и 203 мм. гаубицы позволяют их использование только в виде самоходной установки н базе перспективного тяжелого танка. </w:t>
      </w:r>
    </w:p>
    <w:p w14:paraId="7C01F2B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 скорострельности: В условиях танковой установки калибр 152 мм. обеспечивает весьма затрудненную и низкую скорострельность. Калибр 203 мм. даже в условиях самоходной установки потребует создания специальных приспособлений для заряжания, что все же не обеспечит повышения скорострельности против 152 мм. калибра. </w:t>
      </w:r>
    </w:p>
    <w:p w14:paraId="71C9D65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 ВООРУЖЕНИЮ ТАНКОВ В УСЛОВИЯХ МАНЕВРЕННОЙ ВОЙНЫ. </w:t>
      </w:r>
    </w:p>
    <w:p w14:paraId="67316CF3"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вышеизложенном материале, исходя из условия обеспечения успешности действия современных танков, сделан был вывод о необходимости для наиболее массового типа танка бронезащиты толщиною 55 – 60 мм. Конечно, эта толщина не является полной гарантией против массовой противотанковой артиллерии. Наш вероятный противник может сделать такие же выводы. В результате на поле боя могут появиться еще более толстобронные танки с более мощной пушкой. Этот момент надо также учесть при определении комплексного вооружения массовых танков. </w:t>
      </w:r>
    </w:p>
    <w:p w14:paraId="6E2D84E9"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Какие основные задачи необходимо решить вооружением массового танка: </w:t>
      </w:r>
    </w:p>
    <w:p w14:paraId="6350C84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Поражение: живой силы, огневых точек, открытых противотанковых точек, легких массовых танков с броней до 50 мм. – решает спаренная установка 45 мм. пушки и пулемета. </w:t>
      </w:r>
    </w:p>
    <w:p w14:paraId="2D20C395"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Поражение живой силы, огневых точек и противотанковых точек, укрытых легкими полевыми сооружениями. Частично эту задачу решает 76 мм. пушка, но полное разрешение дает снаряд калибра 122 мм. </w:t>
      </w:r>
    </w:p>
    <w:p w14:paraId="5CFBF8E7"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Борьба (вернее самооборона) с тяжелыми танками с броней 60 – 75 мм. толщиною – решает 76 мм. пушка с начальной скоростью 660 – 680 мт/сек. </w:t>
      </w:r>
    </w:p>
    <w:p w14:paraId="4988A496"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для решения задач на поле боя массовые танки нуждаются в обеспечении огнем артиллерии калибров 45, 76 и 122 мм. </w:t>
      </w:r>
    </w:p>
    <w:p w14:paraId="1A1EF333"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в условиях боя на переднем рубеже укреплений противника можно рассчитывать на почти комплексное разрешение задач, стоящих перед массовым танком, в сумме 45 мм. пушки в танке, взаимодействие с другими калибрами артсистем и взаимодействие с авиацией, то при прорыве несомненно массовые танки, поддерживаемые в весьма большой степени авиацией, будут ощущать острую необходимость в сопровождении арт-огнем калибров 76 мм. и 122 мм., прежде всего за счет систем, возимых на самих танках. Только это обеспечит нужную маневренность и наискорейшее устранение возникающих на пути танков препятствий. Подтверждение этому имеется хотя бы в том, что немцы вынуждены были, признав эту необходимость, наспех провести довооружение танков 76 мм пушкой без кругового обстрела. Как возможно технически разрешить эту задачу? </w:t>
      </w:r>
    </w:p>
    <w:p w14:paraId="3064A3CD"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Основным вооружением массовых танков является 45 мм. пушка. </w:t>
      </w:r>
    </w:p>
    <w:p w14:paraId="1FECB2C3"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Дублирующим вооружением является 76 мм. пушка с соотношением к 45 мм. пушке как 1 : 5 или 1 : 10. Эта система состоит на вооружении танков командиров взводов или сведена в отдельный взвод в роте. </w:t>
      </w:r>
    </w:p>
    <w:p w14:paraId="56929AA9"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Калибром усиления является 122 мм. гаубица с соотношением к 45 мм. пушке как 1 : 17 или 1 : 20. Эта система является вооружением 2 – 3-х танков артиллерийского резерва командира танкового батальона. </w:t>
      </w:r>
    </w:p>
    <w:p w14:paraId="51442B99"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три типа артсистем могут быть установлены на общем шасси массового танка с изменениями в башне, укладке и частично в корпусе, при условии внесения некоторых конструктивных изменений в артсистемы. </w:t>
      </w:r>
    </w:p>
    <w:p w14:paraId="3F495D21"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45 мм. пушке – необходимо продолжать работы по достижению начальной скорости порядка на ниже 800 мт/сек. </w:t>
      </w:r>
    </w:p>
    <w:p w14:paraId="7C869EF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76 мм. танковой пушке тоже порядка до 660 – 700 мт/сек., при сохранении прежних габаритов качающихся частей системы. </w:t>
      </w:r>
    </w:p>
    <w:p w14:paraId="538C693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122 мм. гаубице изменение в люльке и накатнике (на базе унификации с существующим) с целью уменьшения габаритов качающейся части и укорочения отката до 400 – 500 мм. </w:t>
      </w:r>
    </w:p>
    <w:p w14:paraId="4CADC2A4"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Эти небольшого объема доработки легко могут быть проведены и освоены существующими производственными базами и не могут служить препятствием в достижении поставленной цели оснащения танков вооружением для решения задач современного боя. </w:t>
      </w:r>
    </w:p>
    <w:p w14:paraId="4110EEFC"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 ВООРУЖЕНИЮ ТАНКОВ В УСЛОВИЯХ БОРЬБЫ ПРОТИВ ДОЛГОВРЕМЕННЫХ УКРЕПЛЕНИЙ. </w:t>
      </w:r>
    </w:p>
    <w:p w14:paraId="41AD187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Массовые виды вооружения 45 мм. и 76 мм. калибров, как это видно из анализа, являются недостаточными для решения основной задачи успешного боя, подавления огневых средств противника, укрывшихся за бетоном и броней. </w:t>
      </w:r>
    </w:p>
    <w:p w14:paraId="289105D8"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Эту задачу можно разрешить взаимодействием с артиллерией тяжелых калибров и авиацией. Но опыт показывает, что даже на переднем крае обороны противника, вполне целесообразно было бы применение ряда тяжелых систем, укрытых за тяжелую броню в танках или самоходных установках. Это мероприятие еще тем более необходимо, учитывая отрыв танков от взаимодействия с артиллерией и авиацией, сразу же по переходу через передний рубеж обороны вглубь последней. Конечно, для этих целей, учитывая большие препятствия на поле боя, предпочтительно, прежде всего, использовать артсистемы, позволяющие их установку в башнях тяжелых танков с круговым обстрелом, т.к. они обеспечат наилучшее маневрирование огнем. </w:t>
      </w:r>
    </w:p>
    <w:p w14:paraId="5E99FD2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Какие же артсистемы необходимо выбрать для этой цели? </w:t>
      </w:r>
    </w:p>
    <w:p w14:paraId="54924252"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задачи разрешают успешно, как по поражению брони, так и по фугасному действию: </w:t>
      </w:r>
    </w:p>
    <w:p w14:paraId="0A072C9E"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 мм. корпусная пушка. </w:t>
      </w:r>
    </w:p>
    <w:p w14:paraId="5047614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 мм. морская пушка. </w:t>
      </w:r>
    </w:p>
    <w:p w14:paraId="5D6C676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 мм. тяжелая пушка. </w:t>
      </w:r>
    </w:p>
    <w:p w14:paraId="22C8404D"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 мм. тяжелая гаубица. </w:t>
      </w:r>
    </w:p>
    <w:p w14:paraId="775787EF"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Окончательно при выборе системы необходимо учесть: </w:t>
      </w:r>
    </w:p>
    <w:p w14:paraId="7406E457"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Удобство из установки на танк, исходя из возможностей шасси тяжелых танков, и </w:t>
      </w:r>
    </w:p>
    <w:p w14:paraId="4772DC02"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Скорострельность, вытекающая из удобства наводки и заряжания. </w:t>
      </w:r>
    </w:p>
    <w:p w14:paraId="1C6F230D"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обоим признакам наилучшей системой является установка 130 мм. морской пушки – она может быть установлена в перспективный тяжелый танк в башню с круговым обстрелом, без всяких изменений. Имеющиеся при системе приспособления для заряжания обеспечат ей не меньшую скорострельность, чем для 122 мм. пушки. Вес снарядов примерно одинаков – 26 и 25 кгр. </w:t>
      </w:r>
    </w:p>
    <w:p w14:paraId="6EA079E5"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танках типа "КВ" и на базе их шасси (т.е. унификация агрегатов на производстве) в настоящее время можно рассчитывать только на установку 152 мм. гаубицы или 76 мм. танковой пушки. </w:t>
      </w:r>
    </w:p>
    <w:p w14:paraId="1D712DAB"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 вооружением танка "КВ" является 76 мм. пушка с перспективой повышения ее начальной скорости до 660 – 700 мт/сек. Дублирующим вооружением с соотношением 1 : 5 должна явится установка 152 мм. гаубицы. </w:t>
      </w:r>
    </w:p>
    <w:p w14:paraId="19F1CD1E"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перспективном тяжелом танке основным вооружением его башни должна быть 130 мм. морская пушка или в крайнем случае 122 мм. корпусная пушка. Дублирующим вооружением для этого танка должно быть принято установка 152 мм. пушки БР-2 на самоходном бронированном шасси танка. Соотношение между этими двумя видами вооружения целесообразно определить как 1 : 3 для 130 мм. и 152 мм. Последнюю задачу можно будет без труда реализовать на производственной базе одного танкового завода, из-за сравнительно малосерийного выпуска этого типа машины.</w:t>
      </w:r>
    </w:p>
    <w:p w14:paraId="6C56C32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Главный Конструктор з-да № 174 им. т. ВОРОШИЛОВА</w:t>
      </w:r>
    </w:p>
    <w:p w14:paraId="57888A8D"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 2-го ранга подпись (ГИНЗБУРГ)</w:t>
      </w:r>
    </w:p>
    <w:p w14:paraId="2C381AAA"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 5 экз. </w:t>
      </w:r>
    </w:p>
    <w:p w14:paraId="7F63C49F"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 Гинзбург </w:t>
      </w:r>
    </w:p>
    <w:p w14:paraId="317AF1F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2104 </w:t>
      </w:r>
    </w:p>
    <w:p w14:paraId="54A04680"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5/VIII-40 г. </w:t>
      </w:r>
    </w:p>
    <w:p w14:paraId="23BD6CD3"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 № 3</w:t>
      </w:r>
    </w:p>
    <w:p w14:paraId="3504A9B4" w14:textId="77777777" w:rsidR="008F4879" w:rsidRPr="00DB5D0D" w:rsidRDefault="008F487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(18203).</w:t>
      </w:r>
    </w:p>
    <w:p w14:paraId="0EEF2A12" w14:textId="77777777" w:rsidR="008F4879" w:rsidRPr="00DB5D0D" w:rsidRDefault="008F4879" w:rsidP="00DB5D0D">
      <w:pPr>
        <w:spacing w:after="0" w:line="240" w:lineRule="auto"/>
        <w:jc w:val="both"/>
        <w:rPr>
          <w:rFonts w:ascii="Times New Roman" w:hAnsi="Times New Roman"/>
          <w:color w:val="000000" w:themeColor="text1"/>
          <w:sz w:val="16"/>
          <w:szCs w:val="16"/>
        </w:rPr>
      </w:pPr>
    </w:p>
    <w:p w14:paraId="082DB98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5D3414D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21136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5 по 17 октября 1940 состоялся первый в истории переход п/л Щ-423 из Полярного во Владивосток СМП. В состав экспедиции особого назначения ЭОН-10 включал транспорт А.Серов, л Ленин. 9 сентября уже прибыли в Петропавловск-Камчатский и Советскую Гавань (3398,272).</w:t>
      </w:r>
    </w:p>
    <w:p w14:paraId="5961F32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B8F25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подводная лодка «Щ-423» отправилась из Мурманска во Владивосток по Северному морскому пути. 11 сентября она прибыла в пункт назначения. До сих пор лишь надводным судам удавалось пройти этим маршрутом (4963 ).</w:t>
      </w:r>
    </w:p>
    <w:p w14:paraId="5B3498D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BD754C8" w14:textId="77777777" w:rsidR="00701A88" w:rsidRPr="00DB5D0D" w:rsidRDefault="00701A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в 1940 году начался переход подводной лодки «Щ-423» (капитан 3 ранга И.М.Зайдулин) из Полярного во Владивосток в составе экспедиции особого назначения (ЭОН-10) (начальник экспедиции капитан 1-го ранга И.М.Сопдик). Это был первый поход подводной лодки Северным морским путем. Несмотря на тяжелые климатические условия 17 октября лодка прибыла во владивостокскую бухту «Золотой Рог», пройдя за время похода 7227 миль, из них 682 мили во льдах (14974).</w:t>
      </w:r>
    </w:p>
    <w:p w14:paraId="5EDC41BD" w14:textId="77777777" w:rsidR="00701A88" w:rsidRPr="00DB5D0D" w:rsidRDefault="00701A88" w:rsidP="00DB5D0D">
      <w:pPr>
        <w:spacing w:after="0" w:line="240" w:lineRule="auto"/>
        <w:jc w:val="both"/>
        <w:rPr>
          <w:rFonts w:ascii="Times New Roman" w:hAnsi="Times New Roman"/>
          <w:color w:val="000000" w:themeColor="text1"/>
          <w:sz w:val="16"/>
          <w:szCs w:val="16"/>
        </w:rPr>
      </w:pPr>
    </w:p>
    <w:p w14:paraId="42D2DB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5 августа по 17 октября 1940 был первый в истории переход подводной лодки «Щ-423» из Полярного во Владивосток Северным морским путем. </w:t>
      </w:r>
    </w:p>
    <w:p w14:paraId="2E40A5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состав экспедиции особого назначения (ЭОН-10) были включены транспорт «А. Серов», на котором находилась аварийно-ремонтная партия, и ледокол «Ленин». Командовал ЗОН военинженер 1 ранга И. М. Сендик, инженером был назначен военинженер 2 ранга А. И. Дубравин. Командиром «Щ-423» на переходе был капитан 3 ранга И. М. Зайдулин, комиссаром — старший политрук В. С. Моисеев. Экипаж лодки совершил до этого ряд походов и имел опыт плавания во льдах. Подводная лодка была подготовлена к плаванию в ледовых условиях: корпус защищен деревянно-металлической обшивкой, бронзовые винты заменены стальными со съемными лопастями и т. д. </w:t>
      </w:r>
    </w:p>
    <w:p w14:paraId="01285B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Плавание протекало в сложной ледовой обстановке. «А. Серов» потерял лопасти винта, и вместо него был выделен транспорт «Волга», сопровождавший «Щ-423» от б. Тикси (с 31 авшуста). К экспедиции присоединился также ледорез «Ф. Литке». Экипаж подводной лодки постоянно вел борьбу с обледенением. Корабли упорно продвигались на восток. После Берингова прол. североморцев встретили тихоокеанские подводные лодки «Л-7», «Л-8» и «Л-17». Несмотря на девятибалльный шторм, 9.9 отряд благополучно прибыл в б. Провидения. После захода в Петропавловск-Камчатский и Советскую Гавань «Щ-423» 17 октября прибыла во владивостокскую б. Золотой Рог, пройдя в течение 73 суток 7227 миль, из них 682 мили во льдах (11712).</w:t>
      </w:r>
    </w:p>
    <w:p w14:paraId="045AFC2C" w14:textId="77777777" w:rsidR="003C7E8B" w:rsidRPr="00DB5D0D" w:rsidRDefault="003C7E8B" w:rsidP="00DB5D0D">
      <w:pPr>
        <w:pStyle w:val="Iauiue"/>
        <w:jc w:val="both"/>
        <w:rPr>
          <w:color w:val="000000" w:themeColor="text1"/>
          <w:sz w:val="16"/>
          <w:szCs w:val="16"/>
        </w:rPr>
      </w:pPr>
    </w:p>
    <w:p w14:paraId="2F0243AE" w14:textId="77777777" w:rsidR="004D4205" w:rsidRPr="00DB5D0D" w:rsidRDefault="004D420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период с 5 августа по 17 октября 1940 г. экипаж подводной лодки «Щ-423» под командованием капитана 3-го ранга Зайдулина Измаила Матигулловича впервые в мировой истории совершил переход за одну навигацию по Северному морскому пути с запада на восток (из Полярного во Владивосток).</w:t>
      </w:r>
    </w:p>
    <w:p w14:paraId="04EB427B" w14:textId="77777777" w:rsidR="004D4205" w:rsidRPr="00DB5D0D" w:rsidRDefault="004D420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«...Считаю, что проводка подводных лодок типа «С» и «К» вполне возможна Северным морским путем. Если же вести сразу соединение (3-4 объекта), то необходимо иметь ледоколов не менее двух, кои должны заниматься исключительно проводкой военных объектов. Иначе по времени не уложиться и будет опасность зазимовать».</w:t>
      </w:r>
    </w:p>
    <w:p w14:paraId="50621B1C" w14:textId="77777777" w:rsidR="004D4205" w:rsidRPr="00DB5D0D" w:rsidRDefault="004D420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Это один из выводов, который в своем итоговом донесении по переходу Северным морским путем подводной лодки «Щ-423» сделал ее командир капитан 2 ранга И.М.Зайдулин. Через несколько лет его замысел был успешно реализован.</w:t>
      </w:r>
    </w:p>
    <w:p w14:paraId="5EB6E460" w14:textId="77777777" w:rsidR="004D4205" w:rsidRPr="00DB5D0D" w:rsidRDefault="004D4205"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пути, проложенному «Щ-423», прошли целые караваны подводных лодок послевоенной постройки. С появлением атомных подводных лодок в 60-е гг. советские подводники покорили Северный полюс и стали осуществлять трансарктические переходы в подводном положении. Их подвиги стали возможны благодаря мужеству и героизму тех, кто были первыми. К числу таких первопроходцев по праву можно отнести и экипаж подводной лодки «Щ-423» с командиром И.М.Зайдулиным, первым из подводников покорившим Арктику и открывшим Северный морской путь для подводного флота России (21191).</w:t>
      </w:r>
    </w:p>
    <w:p w14:paraId="29642399" w14:textId="77777777" w:rsidR="004D4205" w:rsidRPr="00DB5D0D" w:rsidRDefault="004D4205" w:rsidP="00DB5D0D">
      <w:pPr>
        <w:spacing w:after="0" w:line="240" w:lineRule="auto"/>
        <w:jc w:val="both"/>
        <w:rPr>
          <w:rFonts w:ascii="Times New Roman" w:hAnsi="Times New Roman"/>
          <w:color w:val="0070C0"/>
          <w:sz w:val="16"/>
          <w:szCs w:val="16"/>
        </w:rPr>
      </w:pPr>
    </w:p>
    <w:p w14:paraId="3188E77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6C25CB5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0F769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к СССР присоединилась Латвия (3908,361).</w:t>
      </w:r>
    </w:p>
    <w:p w14:paraId="2E8E3A0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1552711"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в 1940 году Латвия принимается в состав СССР (14974).</w:t>
      </w:r>
    </w:p>
    <w:p w14:paraId="5AC87434"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571ED9D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598520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F8F4A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было подписано англо-польское соглашение о военном сотрудничестве (2259).</w:t>
      </w:r>
    </w:p>
    <w:p w14:paraId="4734A0A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038014"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5 августа в 1940 году британское правительство подписывает договор с польским правительством в Лондоне (14974).</w:t>
      </w:r>
    </w:p>
    <w:p w14:paraId="26556A91"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35E5F4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Британское правительство подписывает договоры с польским правительством в Лондоне и 7 августа с руководством Свободной Франции, возглавляемым Шарлем де Голлем (7451).</w:t>
      </w:r>
    </w:p>
    <w:p w14:paraId="51DBD29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92B10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был подготовлен 1-й вариант оперативного плана Ост г Маркса. Удары на Москву и Киев. Параллельно разрабатывался и план Этюд Лоссберга с 3 ударами (+ Ленинград) (2536,138).</w:t>
      </w:r>
    </w:p>
    <w:p w14:paraId="041FEFB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83C2C33"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в 1940 году специальный референт при Штабе ОКХ генерал Э.Маркс предоставил на рассмотрение оперативный план «Восток». Это был один из первых вариантов разработки будущего плана «Барбаросса» (14974).</w:t>
      </w:r>
    </w:p>
    <w:p w14:paraId="17788FE0"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073434B5"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в 1940 году Геббельс заявил, что Германия может претендовать на всю французскую Шапмань с Реймсом (14974).</w:t>
      </w:r>
    </w:p>
    <w:p w14:paraId="78D6BD4C"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6128F9A1" w14:textId="77777777" w:rsidR="002B5FF3" w:rsidRPr="00DB5D0D" w:rsidRDefault="002B5FF3"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итальянские войска вторглись в Британское Сомали (4962).</w:t>
      </w:r>
    </w:p>
    <w:p w14:paraId="7BFD7A6A" w14:textId="77777777" w:rsidR="002B5FF3" w:rsidRPr="00DB5D0D" w:rsidRDefault="002B5FF3" w:rsidP="00DB5D0D">
      <w:pPr>
        <w:tabs>
          <w:tab w:val="left" w:pos="11199"/>
        </w:tabs>
        <w:spacing w:after="0" w:line="240" w:lineRule="auto"/>
        <w:jc w:val="both"/>
        <w:rPr>
          <w:rFonts w:ascii="Times New Roman" w:hAnsi="Times New Roman"/>
          <w:color w:val="000000" w:themeColor="text1"/>
          <w:sz w:val="16"/>
          <w:szCs w:val="16"/>
        </w:rPr>
      </w:pPr>
    </w:p>
    <w:p w14:paraId="464E280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F6331C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B7A25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6 по 10 августа 1940 мотор АМ-38 удовлетворительно прошел 50-часовые внутризаводские испытания (6467).</w:t>
      </w:r>
    </w:p>
    <w:p w14:paraId="781054A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8D04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6 по 10 августа 1940 двигатель АМ-38 удовлетворительно про</w:t>
      </w:r>
      <w:r w:rsidRPr="00DB5D0D">
        <w:rPr>
          <w:rFonts w:ascii="Times New Roman" w:hAnsi="Times New Roman"/>
          <w:color w:val="000000" w:themeColor="text1"/>
          <w:sz w:val="16"/>
          <w:szCs w:val="16"/>
        </w:rPr>
        <w:softHyphen/>
        <w:t>шел 50-часовые внутризаводские ис</w:t>
      </w:r>
      <w:r w:rsidRPr="00DB5D0D">
        <w:rPr>
          <w:rFonts w:ascii="Times New Roman" w:hAnsi="Times New Roman"/>
          <w:color w:val="000000" w:themeColor="text1"/>
          <w:sz w:val="16"/>
          <w:szCs w:val="16"/>
        </w:rPr>
        <w:softHyphen/>
        <w:t>пытания (4140).</w:t>
      </w:r>
    </w:p>
    <w:p w14:paraId="2DEBED0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F1B9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года Начальник НИИ ВВС генерал-майор авиации Филин и Военком НИИ ВВС полковой комиссар Холопцев утвердили Отчет по испытанию олеопневматической системы подъема и выпуска шасси на самолете ДБ-3 при различной рабочей жидкости в системе</w:t>
      </w:r>
    </w:p>
    <w:p w14:paraId="2A6F02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ст. инженер 5 отдела НИИ ВВС Обыденков</w:t>
      </w:r>
    </w:p>
    <w:p w14:paraId="7FC520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88BF0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Подбор и проверка единой наивыгоднейшей смеси для обеспечения нормальной работы олеопневматической системы подъема и выпуска шасси самолета ДБ-3, независимо от условий эксплуатации в зимнее и летнее время.</w:t>
      </w:r>
    </w:p>
    <w:p w14:paraId="3BA182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9-м отделом НИИ ВВС и заводом № 22 на испытание были предъявлены следующие спиртоглицериновые и другие рабочие смеси для системы подъема и выпуска шасси самолета ДБ-3:</w:t>
      </w:r>
    </w:p>
    <w:p w14:paraId="3E1736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Смесь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4428"/>
      </w:tblGrid>
      <w:tr w:rsidR="007D5DF8" w:rsidRPr="00DB5D0D" w14:paraId="47455BA0" w14:textId="77777777" w:rsidTr="00E543D0">
        <w:tc>
          <w:tcPr>
            <w:tcW w:w="2160" w:type="dxa"/>
            <w:tcBorders>
              <w:top w:val="single" w:sz="12" w:space="0" w:color="auto"/>
            </w:tcBorders>
          </w:tcPr>
          <w:p w14:paraId="1BA2C2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Глицерин</w:t>
            </w:r>
          </w:p>
        </w:tc>
        <w:tc>
          <w:tcPr>
            <w:tcW w:w="4428" w:type="dxa"/>
            <w:tcBorders>
              <w:top w:val="single" w:sz="12" w:space="0" w:color="auto"/>
            </w:tcBorders>
          </w:tcPr>
          <w:p w14:paraId="4E199A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r>
      <w:tr w:rsidR="007D5DF8" w:rsidRPr="00DB5D0D" w14:paraId="51004B7C" w14:textId="77777777" w:rsidTr="00E543D0">
        <w:tc>
          <w:tcPr>
            <w:tcW w:w="2160" w:type="dxa"/>
          </w:tcPr>
          <w:p w14:paraId="4AD8EC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Спирт-ректификат</w:t>
            </w:r>
          </w:p>
        </w:tc>
        <w:tc>
          <w:tcPr>
            <w:tcW w:w="4428" w:type="dxa"/>
          </w:tcPr>
          <w:p w14:paraId="7F007E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r w:rsidR="007D5DF8" w:rsidRPr="00DB5D0D" w14:paraId="7609B46A" w14:textId="77777777" w:rsidTr="00E543D0">
        <w:tc>
          <w:tcPr>
            <w:tcW w:w="2160" w:type="dxa"/>
            <w:tcBorders>
              <w:bottom w:val="single" w:sz="12" w:space="0" w:color="auto"/>
            </w:tcBorders>
          </w:tcPr>
          <w:p w14:paraId="135CAC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Вода</w:t>
            </w:r>
          </w:p>
        </w:tc>
        <w:tc>
          <w:tcPr>
            <w:tcW w:w="4428" w:type="dxa"/>
            <w:tcBorders>
              <w:bottom w:val="single" w:sz="12" w:space="0" w:color="auto"/>
            </w:tcBorders>
          </w:tcPr>
          <w:p w14:paraId="656530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bl>
    <w:p w14:paraId="6D5B36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Смеь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4428"/>
      </w:tblGrid>
      <w:tr w:rsidR="007D5DF8" w:rsidRPr="00DB5D0D" w14:paraId="5321516E" w14:textId="77777777" w:rsidTr="00E543D0">
        <w:tc>
          <w:tcPr>
            <w:tcW w:w="2160" w:type="dxa"/>
            <w:tcBorders>
              <w:top w:val="single" w:sz="12" w:space="0" w:color="auto"/>
            </w:tcBorders>
          </w:tcPr>
          <w:p w14:paraId="5F4A81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Глицерин</w:t>
            </w:r>
          </w:p>
        </w:tc>
        <w:tc>
          <w:tcPr>
            <w:tcW w:w="4428" w:type="dxa"/>
            <w:tcBorders>
              <w:top w:val="single" w:sz="12" w:space="0" w:color="auto"/>
            </w:tcBorders>
          </w:tcPr>
          <w:p w14:paraId="485A81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r w:rsidR="007D5DF8" w:rsidRPr="00DB5D0D" w14:paraId="6FF2462D" w14:textId="77777777" w:rsidTr="00E543D0">
        <w:tc>
          <w:tcPr>
            <w:tcW w:w="2160" w:type="dxa"/>
          </w:tcPr>
          <w:p w14:paraId="403DCC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Спирт-ректификат</w:t>
            </w:r>
          </w:p>
        </w:tc>
        <w:tc>
          <w:tcPr>
            <w:tcW w:w="4428" w:type="dxa"/>
          </w:tcPr>
          <w:p w14:paraId="1DE832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r>
      <w:tr w:rsidR="007D5DF8" w:rsidRPr="00DB5D0D" w14:paraId="0B7A9DFF" w14:textId="77777777" w:rsidTr="00E543D0">
        <w:tc>
          <w:tcPr>
            <w:tcW w:w="2160" w:type="dxa"/>
            <w:tcBorders>
              <w:bottom w:val="single" w:sz="12" w:space="0" w:color="auto"/>
            </w:tcBorders>
          </w:tcPr>
          <w:p w14:paraId="3C7B2C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Вода</w:t>
            </w:r>
          </w:p>
        </w:tc>
        <w:tc>
          <w:tcPr>
            <w:tcW w:w="4428" w:type="dxa"/>
            <w:tcBorders>
              <w:bottom w:val="single" w:sz="12" w:space="0" w:color="auto"/>
            </w:tcBorders>
          </w:tcPr>
          <w:p w14:paraId="5C718E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r>
    </w:tbl>
    <w:p w14:paraId="7A0C06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Смесь №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4428"/>
      </w:tblGrid>
      <w:tr w:rsidR="007D5DF8" w:rsidRPr="00DB5D0D" w14:paraId="2B58B84B" w14:textId="77777777" w:rsidTr="00E543D0">
        <w:tc>
          <w:tcPr>
            <w:tcW w:w="2160" w:type="dxa"/>
            <w:tcBorders>
              <w:top w:val="single" w:sz="12" w:space="0" w:color="auto"/>
            </w:tcBorders>
          </w:tcPr>
          <w:p w14:paraId="3A6B8F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Глицерин</w:t>
            </w:r>
          </w:p>
        </w:tc>
        <w:tc>
          <w:tcPr>
            <w:tcW w:w="4428" w:type="dxa"/>
            <w:tcBorders>
              <w:top w:val="single" w:sz="12" w:space="0" w:color="auto"/>
            </w:tcBorders>
          </w:tcPr>
          <w:p w14:paraId="4B6636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r>
      <w:tr w:rsidR="007D5DF8" w:rsidRPr="00DB5D0D" w14:paraId="2DD2FE8C" w14:textId="77777777" w:rsidTr="00E543D0">
        <w:tc>
          <w:tcPr>
            <w:tcW w:w="2160" w:type="dxa"/>
          </w:tcPr>
          <w:p w14:paraId="05A2DF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Спирт-ректификат</w:t>
            </w:r>
          </w:p>
        </w:tc>
        <w:tc>
          <w:tcPr>
            <w:tcW w:w="4428" w:type="dxa"/>
          </w:tcPr>
          <w:p w14:paraId="5453CC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r>
      <w:tr w:rsidR="007D5DF8" w:rsidRPr="00DB5D0D" w14:paraId="4E3F8665" w14:textId="77777777" w:rsidTr="00E543D0">
        <w:tc>
          <w:tcPr>
            <w:tcW w:w="2160" w:type="dxa"/>
            <w:tcBorders>
              <w:bottom w:val="single" w:sz="12" w:space="0" w:color="auto"/>
            </w:tcBorders>
          </w:tcPr>
          <w:p w14:paraId="127C0B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Вода</w:t>
            </w:r>
          </w:p>
        </w:tc>
        <w:tc>
          <w:tcPr>
            <w:tcW w:w="4428" w:type="dxa"/>
            <w:tcBorders>
              <w:bottom w:val="single" w:sz="12" w:space="0" w:color="auto"/>
            </w:tcBorders>
          </w:tcPr>
          <w:p w14:paraId="3BD750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bl>
    <w:p w14:paraId="7613A0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Смесь №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4428"/>
      </w:tblGrid>
      <w:tr w:rsidR="007D5DF8" w:rsidRPr="00DB5D0D" w14:paraId="2F5CF46C" w14:textId="77777777" w:rsidTr="00E543D0">
        <w:tc>
          <w:tcPr>
            <w:tcW w:w="2160" w:type="dxa"/>
            <w:tcBorders>
              <w:top w:val="single" w:sz="12" w:space="0" w:color="auto"/>
            </w:tcBorders>
          </w:tcPr>
          <w:p w14:paraId="69FB06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Глицерин</w:t>
            </w:r>
          </w:p>
        </w:tc>
        <w:tc>
          <w:tcPr>
            <w:tcW w:w="4428" w:type="dxa"/>
            <w:tcBorders>
              <w:top w:val="single" w:sz="12" w:space="0" w:color="auto"/>
            </w:tcBorders>
          </w:tcPr>
          <w:p w14:paraId="5E3B98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r>
      <w:tr w:rsidR="007D5DF8" w:rsidRPr="00DB5D0D" w14:paraId="5130C942" w14:textId="77777777" w:rsidTr="00E543D0">
        <w:tc>
          <w:tcPr>
            <w:tcW w:w="2160" w:type="dxa"/>
          </w:tcPr>
          <w:p w14:paraId="1C19A9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Спирт-ректификат</w:t>
            </w:r>
          </w:p>
        </w:tc>
        <w:tc>
          <w:tcPr>
            <w:tcW w:w="4428" w:type="dxa"/>
          </w:tcPr>
          <w:p w14:paraId="1F81CA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w:t>
            </w:r>
          </w:p>
        </w:tc>
      </w:tr>
      <w:tr w:rsidR="007D5DF8" w:rsidRPr="00DB5D0D" w14:paraId="0E2C1247" w14:textId="77777777" w:rsidTr="00E543D0">
        <w:tc>
          <w:tcPr>
            <w:tcW w:w="2160" w:type="dxa"/>
            <w:tcBorders>
              <w:bottom w:val="single" w:sz="12" w:space="0" w:color="auto"/>
            </w:tcBorders>
          </w:tcPr>
          <w:p w14:paraId="57A5CA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Этилен-гликоль</w:t>
            </w:r>
          </w:p>
        </w:tc>
        <w:tc>
          <w:tcPr>
            <w:tcW w:w="4428" w:type="dxa"/>
            <w:tcBorders>
              <w:bottom w:val="single" w:sz="12" w:space="0" w:color="auto"/>
            </w:tcBorders>
          </w:tcPr>
          <w:p w14:paraId="0E632F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r>
    </w:tbl>
    <w:p w14:paraId="4BC5D7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Смесь № 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78"/>
        <w:gridCol w:w="4410"/>
      </w:tblGrid>
      <w:tr w:rsidR="007D5DF8" w:rsidRPr="00DB5D0D" w14:paraId="1D8E2F43" w14:textId="77777777" w:rsidTr="00E543D0">
        <w:tc>
          <w:tcPr>
            <w:tcW w:w="2178" w:type="dxa"/>
            <w:tcBorders>
              <w:top w:val="single" w:sz="12" w:space="0" w:color="auto"/>
              <w:bottom w:val="single" w:sz="12" w:space="0" w:color="auto"/>
            </w:tcBorders>
          </w:tcPr>
          <w:p w14:paraId="7FE476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Вазелиновое масло МВП</w:t>
            </w:r>
          </w:p>
        </w:tc>
        <w:tc>
          <w:tcPr>
            <w:tcW w:w="4410" w:type="dxa"/>
            <w:tcBorders>
              <w:top w:val="single" w:sz="12" w:space="0" w:color="auto"/>
              <w:bottom w:val="single" w:sz="12" w:space="0" w:color="auto"/>
            </w:tcBorders>
          </w:tcPr>
          <w:p w14:paraId="7AAEC3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r>
    </w:tbl>
    <w:p w14:paraId="72B7CE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070F7F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Вазелиновое масло МВП может быть рекомендовано как единая смесь для летнего и зимнего периода эксплуатации в системе уборки шасси самолетов СБ и ДБ-3 (4525).</w:t>
      </w:r>
    </w:p>
    <w:p w14:paraId="58E6BDB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2707F0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состоялся полет ДБ-240 2М105 гл. конструктор Ермолаев, завод N 240 на максимальную дальность. Из-за плохих метеусловий и сильного встречного ветра, самолет прошел 3065 км со средней скоростью 360 км/час. В баках осталось 1000 кг горючего. В полете отказал клапан дополнительного бака, вследствие чего в нем осталось неиспользованными 600 литров горючего. По указанию наркома Авиапрома Шахурина, самолет готовился к повторению полета на дальность. Устанавливались газоанализаторы и др. Вылет намечен на 12-13 августа (3362).</w:t>
      </w:r>
    </w:p>
    <w:p w14:paraId="76AD45C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05ADF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состоялся полет ДБ-240 – гл. конструктор Ермолаев, Завод № 240 на максимальную дальность. Из-за плохих метеоусловий и сильного встречного ветра, самолет прошел 3065 км со средней скоростью 360 км/час.</w:t>
      </w:r>
    </w:p>
    <w:p w14:paraId="6943B7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баках осталось 1000 кг горючего.</w:t>
      </w:r>
    </w:p>
    <w:p w14:paraId="65DFD6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полете отказал клапан дополнительного бака, вследствие чего в нем осталось неиспользованными 600 литров горючего.</w:t>
      </w:r>
    </w:p>
    <w:p w14:paraId="572ACA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посадки, на рулежке вырвало реборду левого колеса и лопнул пневматик. Авария произошла из-за недоброкачественности литья (обнаружены раковины) (3377, 35).</w:t>
      </w:r>
    </w:p>
    <w:p w14:paraId="1FABA47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2F41E2" w14:textId="77777777" w:rsidR="00A978AA" w:rsidRPr="00DB5D0D" w:rsidRDefault="00A978AA"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6 августа 1940 года состоялся полет ДБ- 240 на максимальную дальность. Из-за пло</w:t>
      </w:r>
      <w:r w:rsidRPr="00DB5D0D">
        <w:rPr>
          <w:rFonts w:ascii="Times New Roman" w:hAnsi="Times New Roman"/>
          <w:color w:val="0070C0"/>
          <w:sz w:val="16"/>
          <w:szCs w:val="16"/>
          <w:lang w:eastAsia="ru-RU" w:bidi="ru-RU"/>
        </w:rPr>
        <w:softHyphen/>
        <w:t>хих метеоусловий и сильного встречного ветра, самолет прошел 3065 км со средней скоростью 360 км/час. В баках осталось 1000 кг горючего. В полете отказал клапан допол</w:t>
      </w:r>
      <w:r w:rsidRPr="00DB5D0D">
        <w:rPr>
          <w:rFonts w:ascii="Times New Roman" w:hAnsi="Times New Roman"/>
          <w:color w:val="0070C0"/>
          <w:sz w:val="16"/>
          <w:szCs w:val="16"/>
          <w:lang w:eastAsia="ru-RU" w:bidi="ru-RU"/>
        </w:rPr>
        <w:softHyphen/>
        <w:t>нительного бака, вследствие чего в нем оста</w:t>
      </w:r>
      <w:r w:rsidRPr="00DB5D0D">
        <w:rPr>
          <w:rFonts w:ascii="Times New Roman" w:hAnsi="Times New Roman"/>
          <w:color w:val="0070C0"/>
          <w:sz w:val="16"/>
          <w:szCs w:val="16"/>
          <w:lang w:eastAsia="ru-RU" w:bidi="ru-RU"/>
        </w:rPr>
        <w:softHyphen/>
        <w:t>лось неиспользованными 600 литров го</w:t>
      </w:r>
      <w:r w:rsidRPr="00DB5D0D">
        <w:rPr>
          <w:rFonts w:ascii="Times New Roman" w:hAnsi="Times New Roman"/>
          <w:color w:val="0070C0"/>
          <w:sz w:val="16"/>
          <w:szCs w:val="16"/>
          <w:lang w:eastAsia="ru-RU" w:bidi="ru-RU"/>
        </w:rPr>
        <w:softHyphen/>
        <w:t>рючего. После посадки, на рулении, вырвало реборду левого колеса и лопнул пневматик. Авария произошла из-за недоброкачествен</w:t>
      </w:r>
      <w:r w:rsidRPr="00DB5D0D">
        <w:rPr>
          <w:rFonts w:ascii="Times New Roman" w:hAnsi="Times New Roman"/>
          <w:color w:val="0070C0"/>
          <w:sz w:val="16"/>
          <w:szCs w:val="16"/>
          <w:lang w:eastAsia="ru-RU" w:bidi="ru-RU"/>
        </w:rPr>
        <w:softHyphen/>
        <w:t>ности литья (обнаружены раковины) (21406).</w:t>
      </w:r>
    </w:p>
    <w:p w14:paraId="1CFF5372" w14:textId="77777777" w:rsidR="00A978AA" w:rsidRPr="00DB5D0D" w:rsidRDefault="00A978AA" w:rsidP="00DB5D0D">
      <w:pPr>
        <w:spacing w:after="0" w:line="240" w:lineRule="auto"/>
        <w:jc w:val="both"/>
        <w:rPr>
          <w:rFonts w:ascii="Times New Roman" w:hAnsi="Times New Roman"/>
          <w:color w:val="0070C0"/>
          <w:sz w:val="16"/>
          <w:szCs w:val="16"/>
        </w:rPr>
      </w:pPr>
    </w:p>
    <w:p w14:paraId="0A30F5D0" w14:textId="77777777" w:rsidR="00A978AA" w:rsidRPr="00DB5D0D" w:rsidRDefault="00A978A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августа 1940 под личную ответственность Ермолаев разрешили полет ДБ-240 с весом 13400 кг со старыми моторами. При сильном встречном ветре самолет прошел 3065 км со средней скоростью 360 км/ч, но после отказа насоса одного из баков экипаж прекратил полет. Остаток бензина составил около тонны. На пробеге после посадки лопнула реборда колеса, и хотя причиной был дефект литья, полеты с весом 13100 кг с грунтовых аэродромов запретили (22833).</w:t>
      </w:r>
    </w:p>
    <w:p w14:paraId="1352E549" w14:textId="77777777" w:rsidR="00A978AA" w:rsidRPr="00DB5D0D" w:rsidRDefault="00A978AA" w:rsidP="00DB5D0D">
      <w:pPr>
        <w:spacing w:after="0" w:line="240" w:lineRule="auto"/>
        <w:jc w:val="both"/>
        <w:rPr>
          <w:rFonts w:ascii="Times New Roman" w:hAnsi="Times New Roman"/>
          <w:color w:val="0070C0"/>
          <w:sz w:val="16"/>
          <w:szCs w:val="16"/>
        </w:rPr>
      </w:pPr>
    </w:p>
    <w:p w14:paraId="16D0D1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была подготовлена и подписана директором завода Иосилович программа заводских испытаний самолета 47/10 СБ производства завода 125 на километраж, макс. скорость по высотам, а также проверка открытия бомболюков в воздухе (2698,100).</w:t>
      </w:r>
    </w:p>
    <w:p w14:paraId="6403FF2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5FD7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Протокол № 19. Решения за 20 июля — 24 августа 1940 г.</w:t>
      </w:r>
    </w:p>
    <w:p w14:paraId="5FE0F7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 7. 40 г.</w:t>
      </w:r>
    </w:p>
    <w:p w14:paraId="548DC2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39. Вопрос КО. О дополнительной поставке взрывателей*.</w:t>
      </w:r>
    </w:p>
    <w:p w14:paraId="5D6651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24.7.40 г.</w:t>
      </w:r>
    </w:p>
    <w:p w14:paraId="394E0B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58. Об увеличении выпуска самолетов и авиамоторов на период август-декабрь 1940 года*.</w:t>
      </w:r>
    </w:p>
    <w:p w14:paraId="0208E1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26.7.40 г.</w:t>
      </w:r>
    </w:p>
    <w:p w14:paraId="29BB330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85. О накоплении мобзапасов горючего и смазочных материалов для НКО и НКВМВ (постановление СНК СССР и ЦК ВКП (б))*.</w:t>
      </w:r>
    </w:p>
    <w:p w14:paraId="0DA1B0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96. Об организации производства боевых самолетов и авиационных моторов в Ленинграде (постановление ЦК ВКП (б) и СНК СССР)*.</w:t>
      </w:r>
    </w:p>
    <w:p w14:paraId="0EF23D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 98. Вопрос КО. О производстве танков, арттягачей*.</w:t>
      </w:r>
    </w:p>
    <w:p w14:paraId="7E3E37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147. Вопрос НКАП. О приостановке выпуска мотора М-88 и увеличении - М-87Б*.</w:t>
      </w:r>
    </w:p>
    <w:p w14:paraId="33E75F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06.8.40 г.</w:t>
      </w:r>
    </w:p>
    <w:p w14:paraId="4E53A5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149. О создании одноместного пикирующего бомбардировщика с одним мотором*.</w:t>
      </w:r>
    </w:p>
    <w:p w14:paraId="79F477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10.8.40 г</w:t>
      </w:r>
      <w:r w:rsidRPr="00DB5D0D">
        <w:rPr>
          <w:rFonts w:ascii="Times New Roman" w:hAnsi="Times New Roman"/>
          <w:color w:val="000000" w:themeColor="text1"/>
          <w:sz w:val="16"/>
          <w:szCs w:val="16"/>
        </w:rPr>
        <w:t>.</w:t>
      </w:r>
    </w:p>
    <w:p w14:paraId="329686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160. О снабжении Красной Армии мотоциклами и развитии мотоциклетной промышленности*.</w:t>
      </w:r>
    </w:p>
    <w:p w14:paraId="53BCAB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14.8.40 г.</w:t>
      </w:r>
    </w:p>
    <w:p w14:paraId="080E09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214. Вопрос НКАП. О разработке приспособления по механизации крыла, обеспечивающей безопасность полетов при потере скорости*.</w:t>
      </w:r>
    </w:p>
    <w:p w14:paraId="1D89A6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16.8.40 г.</w:t>
      </w:r>
    </w:p>
    <w:p w14:paraId="44BE95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265. Вопрос КО. Об изготовлении опытного образца орудийной универсальной башенной установки*.</w:t>
      </w:r>
    </w:p>
    <w:p w14:paraId="5E8660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21.8.40 г.</w:t>
      </w:r>
    </w:p>
    <w:p w14:paraId="64386A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292. Об организации производства бронекорпусов и бронебойных снарядов к танкам «KB» на заводе № 78 Наркомбоеприпасов. (постановление СНК СССР и ЦК ВКП (б))*.</w:t>
      </w:r>
    </w:p>
    <w:p w14:paraId="63598D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22.8.40 г.</w:t>
      </w:r>
    </w:p>
    <w:p w14:paraId="7D9D31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302. Вопрос КО. О введение на вооружение КА, Флота и НКВД прибора управления артиллерийским зенитным огнем (11773).</w:t>
      </w:r>
    </w:p>
    <w:p w14:paraId="127B9EDF" w14:textId="77777777" w:rsidR="003C7E8B" w:rsidRPr="00DB5D0D" w:rsidRDefault="003C7E8B" w:rsidP="00DB5D0D">
      <w:pPr>
        <w:shd w:val="clear" w:color="auto" w:fill="FFFFFF"/>
        <w:spacing w:after="0" w:line="240" w:lineRule="auto"/>
        <w:jc w:val="both"/>
        <w:rPr>
          <w:rFonts w:ascii="Times New Roman" w:hAnsi="Times New Roman"/>
          <w:bCs/>
          <w:color w:val="000000" w:themeColor="text1"/>
          <w:sz w:val="16"/>
          <w:szCs w:val="16"/>
        </w:rPr>
      </w:pPr>
    </w:p>
    <w:p w14:paraId="2B8A7B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в ходе заводских испытаний И-200 А.И.М, которые проходили с 31 марта по 17 августа 1940, на И-200-2 был выполнен полет на скороподъемность с форсажем. Неудачно (2988).</w:t>
      </w:r>
    </w:p>
    <w:p w14:paraId="7AB6505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350C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был подготовлен комплект документов по аварии И-135: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7D5DF8" w:rsidRPr="00DB5D0D" w14:paraId="5FB85E14" w14:textId="77777777" w:rsidTr="00E543D0">
        <w:tc>
          <w:tcPr>
            <w:tcW w:w="11210" w:type="dxa"/>
            <w:gridSpan w:val="2"/>
            <w:tcBorders>
              <w:top w:val="single" w:sz="12" w:space="0" w:color="auto"/>
            </w:tcBorders>
          </w:tcPr>
          <w:p w14:paraId="713D82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 отдел № 8</w:t>
            </w:r>
          </w:p>
        </w:tc>
      </w:tr>
      <w:tr w:rsidR="007D5DF8" w:rsidRPr="00DB5D0D" w14:paraId="175FBAF6" w14:textId="77777777" w:rsidTr="00E543D0">
        <w:tc>
          <w:tcPr>
            <w:tcW w:w="5605" w:type="dxa"/>
          </w:tcPr>
          <w:p w14:paraId="3EFDFB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УТВЕРЖДАЮ:</w:t>
            </w:r>
          </w:p>
          <w:p w14:paraId="30B206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отд. 8 ЦАГИ И.Строев.</w:t>
            </w:r>
          </w:p>
          <w:p w14:paraId="38A394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“_____”________194__г.</w:t>
            </w:r>
          </w:p>
        </w:tc>
        <w:tc>
          <w:tcPr>
            <w:tcW w:w="5605" w:type="dxa"/>
          </w:tcPr>
          <w:p w14:paraId="769386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p w14:paraId="14906C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83052</w:t>
            </w:r>
          </w:p>
          <w:p w14:paraId="039F75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Наряд №</w:t>
            </w:r>
          </w:p>
        </w:tc>
      </w:tr>
      <w:tr w:rsidR="007D5DF8" w:rsidRPr="00DB5D0D" w14:paraId="23BECD81" w14:textId="77777777" w:rsidTr="00E543D0">
        <w:tc>
          <w:tcPr>
            <w:tcW w:w="11210" w:type="dxa"/>
            <w:gridSpan w:val="2"/>
          </w:tcPr>
          <w:p w14:paraId="4E9420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Задание на полет</w:t>
            </w:r>
          </w:p>
        </w:tc>
      </w:tr>
      <w:tr w:rsidR="007D5DF8" w:rsidRPr="00DB5D0D" w14:paraId="3BF3C973" w14:textId="77777777" w:rsidTr="00E543D0">
        <w:tc>
          <w:tcPr>
            <w:tcW w:w="5605" w:type="dxa"/>
          </w:tcPr>
          <w:p w14:paraId="69DE9F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полета 5500</w:t>
            </w:r>
          </w:p>
        </w:tc>
        <w:tc>
          <w:tcPr>
            <w:tcW w:w="5605" w:type="dxa"/>
          </w:tcPr>
          <w:p w14:paraId="1C9284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3 августа 1940 г.</w:t>
            </w:r>
          </w:p>
        </w:tc>
      </w:tr>
      <w:tr w:rsidR="007D5DF8" w:rsidRPr="00DB5D0D" w14:paraId="6740211F" w14:textId="77777777" w:rsidTr="00E543D0">
        <w:tc>
          <w:tcPr>
            <w:tcW w:w="5605" w:type="dxa"/>
          </w:tcPr>
          <w:p w14:paraId="12840B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Маршрут или зона полета Зона ЦАГИ</w:t>
            </w:r>
          </w:p>
        </w:tc>
        <w:tc>
          <w:tcPr>
            <w:tcW w:w="5605" w:type="dxa"/>
          </w:tcPr>
          <w:p w14:paraId="6EB66B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полета</w:t>
            </w:r>
          </w:p>
        </w:tc>
      </w:tr>
      <w:tr w:rsidR="007D5DF8" w:rsidRPr="00DB5D0D" w14:paraId="2E0E670E" w14:textId="77777777" w:rsidTr="00E543D0">
        <w:tc>
          <w:tcPr>
            <w:tcW w:w="5605" w:type="dxa"/>
          </w:tcPr>
          <w:p w14:paraId="224397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05" w:type="dxa"/>
          </w:tcPr>
          <w:p w14:paraId="161E93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Продолжительность полета. 35 минут</w:t>
            </w:r>
          </w:p>
        </w:tc>
      </w:tr>
      <w:tr w:rsidR="007D5DF8" w:rsidRPr="00DB5D0D" w14:paraId="2BA51EB9" w14:textId="77777777" w:rsidTr="00E543D0">
        <w:tc>
          <w:tcPr>
            <w:tcW w:w="11210" w:type="dxa"/>
            <w:gridSpan w:val="2"/>
          </w:tcPr>
          <w:p w14:paraId="799442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 режимы полета</w:t>
            </w:r>
          </w:p>
          <w:p w14:paraId="47D0AD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тепловой режим работы мотора на под”еме и горизонт. полете. Под”ем при п = 2500 об./мин на 1000-2000. Горизонталь на У макс. при убранном шасси. Включить и проверить работу ТУ при 1-й скорости ПЦН. Предельные температуры масла 85-110 гр. С</w:t>
            </w:r>
          </w:p>
        </w:tc>
      </w:tr>
      <w:tr w:rsidR="007D5DF8" w:rsidRPr="00DB5D0D" w14:paraId="08945F23" w14:textId="77777777" w:rsidTr="00E543D0">
        <w:tc>
          <w:tcPr>
            <w:tcW w:w="11210" w:type="dxa"/>
            <w:gridSpan w:val="2"/>
          </w:tcPr>
          <w:p w14:paraId="78985F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записывается летчиком и наблюдателем Н, У, п, т масла и воды на входе и выходе, РК и давление за ТК, т нагрева воздуха</w:t>
            </w:r>
          </w:p>
        </w:tc>
      </w:tr>
      <w:tr w:rsidR="007D5DF8" w:rsidRPr="00DB5D0D" w14:paraId="3FF90390" w14:textId="77777777" w:rsidTr="00E543D0">
        <w:tc>
          <w:tcPr>
            <w:tcW w:w="11210" w:type="dxa"/>
            <w:gridSpan w:val="2"/>
          </w:tcPr>
          <w:p w14:paraId="3F1266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Какие приборы установлены (указать №№) барограф ЦАГИ, Спидограф ЦАГИ</w:t>
            </w:r>
          </w:p>
        </w:tc>
      </w:tr>
      <w:tr w:rsidR="007D5DF8" w:rsidRPr="00DB5D0D" w14:paraId="5C497D1D" w14:textId="77777777" w:rsidTr="00E543D0">
        <w:tc>
          <w:tcPr>
            <w:tcW w:w="5605" w:type="dxa"/>
          </w:tcPr>
          <w:p w14:paraId="4F0A7E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самолета</w:t>
            </w:r>
          </w:p>
        </w:tc>
        <w:tc>
          <w:tcPr>
            <w:tcW w:w="5605" w:type="dxa"/>
          </w:tcPr>
          <w:p w14:paraId="60A606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в полете</w:t>
            </w:r>
          </w:p>
        </w:tc>
      </w:tr>
      <w:tr w:rsidR="007D5DF8" w:rsidRPr="00DB5D0D" w14:paraId="483CDE58" w14:textId="77777777" w:rsidTr="00E543D0">
        <w:tc>
          <w:tcPr>
            <w:tcW w:w="5605" w:type="dxa"/>
          </w:tcPr>
          <w:p w14:paraId="0A51BB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И-135 № опытный</w:t>
            </w:r>
          </w:p>
        </w:tc>
        <w:tc>
          <w:tcPr>
            <w:tcW w:w="5605" w:type="dxa"/>
          </w:tcPr>
          <w:p w14:paraId="7C93AC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Чернавский А.П.</w:t>
            </w:r>
          </w:p>
        </w:tc>
      </w:tr>
      <w:tr w:rsidR="007D5DF8" w:rsidRPr="00DB5D0D" w14:paraId="042E3F87" w14:textId="77777777" w:rsidTr="00E543D0">
        <w:tc>
          <w:tcPr>
            <w:tcW w:w="5605" w:type="dxa"/>
          </w:tcPr>
          <w:p w14:paraId="622AAB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М-105 с 2ТК2 № 015-35</w:t>
            </w:r>
          </w:p>
        </w:tc>
        <w:tc>
          <w:tcPr>
            <w:tcW w:w="5605" w:type="dxa"/>
          </w:tcPr>
          <w:p w14:paraId="1A0671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Наблюдатели и борт. техн.</w:t>
            </w:r>
          </w:p>
        </w:tc>
      </w:tr>
      <w:tr w:rsidR="007D5DF8" w:rsidRPr="00DB5D0D" w14:paraId="4F5018F4" w14:textId="77777777" w:rsidTr="00E543D0">
        <w:tc>
          <w:tcPr>
            <w:tcW w:w="5605" w:type="dxa"/>
          </w:tcPr>
          <w:p w14:paraId="7D47D7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Бензин в кг 200</w:t>
            </w:r>
          </w:p>
        </w:tc>
        <w:tc>
          <w:tcPr>
            <w:tcW w:w="5605" w:type="dxa"/>
          </w:tcPr>
          <w:p w14:paraId="481B030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E2B0923" w14:textId="77777777" w:rsidTr="00E543D0">
        <w:tc>
          <w:tcPr>
            <w:tcW w:w="5605" w:type="dxa"/>
          </w:tcPr>
          <w:p w14:paraId="4EDA3A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 в кг 20</w:t>
            </w:r>
          </w:p>
        </w:tc>
        <w:tc>
          <w:tcPr>
            <w:tcW w:w="5605" w:type="dxa"/>
          </w:tcPr>
          <w:p w14:paraId="250A109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2409FA9" w14:textId="77777777" w:rsidTr="00E543D0">
        <w:tc>
          <w:tcPr>
            <w:tcW w:w="5605" w:type="dxa"/>
          </w:tcPr>
          <w:p w14:paraId="240A31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2500</w:t>
            </w:r>
          </w:p>
        </w:tc>
        <w:tc>
          <w:tcPr>
            <w:tcW w:w="5605" w:type="dxa"/>
          </w:tcPr>
          <w:p w14:paraId="3619AE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Земной и обслуживающий персонал</w:t>
            </w:r>
          </w:p>
        </w:tc>
      </w:tr>
      <w:tr w:rsidR="007D5DF8" w:rsidRPr="00DB5D0D" w14:paraId="314B2C7B" w14:textId="77777777" w:rsidTr="00E543D0">
        <w:tc>
          <w:tcPr>
            <w:tcW w:w="5605" w:type="dxa"/>
          </w:tcPr>
          <w:p w14:paraId="5439C8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 тяжести 26% САХ</w:t>
            </w:r>
          </w:p>
        </w:tc>
        <w:tc>
          <w:tcPr>
            <w:tcW w:w="5605" w:type="dxa"/>
          </w:tcPr>
          <w:p w14:paraId="47C024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Борттехники Александров К., Лопухов К.</w:t>
            </w:r>
          </w:p>
        </w:tc>
      </w:tr>
      <w:tr w:rsidR="007D5DF8" w:rsidRPr="00DB5D0D" w14:paraId="1A7D999C" w14:textId="77777777" w:rsidTr="00E543D0">
        <w:tc>
          <w:tcPr>
            <w:tcW w:w="5605" w:type="dxa"/>
          </w:tcPr>
          <w:p w14:paraId="2BF630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Распределение нагрузки</w:t>
            </w:r>
          </w:p>
        </w:tc>
        <w:tc>
          <w:tcPr>
            <w:tcW w:w="5605" w:type="dxa"/>
          </w:tcPr>
          <w:p w14:paraId="1EA77D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Техники</w:t>
            </w:r>
          </w:p>
        </w:tc>
      </w:tr>
      <w:tr w:rsidR="007D5DF8" w:rsidRPr="00DB5D0D" w14:paraId="27E53C52" w14:textId="77777777" w:rsidTr="00E543D0">
        <w:tc>
          <w:tcPr>
            <w:tcW w:w="5605" w:type="dxa"/>
          </w:tcPr>
          <w:p w14:paraId="5F7AAB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05" w:type="dxa"/>
          </w:tcPr>
          <w:p w14:paraId="001104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Мотористы Акатов</w:t>
            </w:r>
          </w:p>
        </w:tc>
      </w:tr>
      <w:tr w:rsidR="007D5DF8" w:rsidRPr="00DB5D0D" w14:paraId="3A63B7BF" w14:textId="77777777" w:rsidTr="00E543D0">
        <w:tc>
          <w:tcPr>
            <w:tcW w:w="5605" w:type="dxa"/>
          </w:tcPr>
          <w:p w14:paraId="2047EF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Изменения, внесенные в конструкцию самолета установлены новые маслорадиаторы</w:t>
            </w:r>
          </w:p>
        </w:tc>
        <w:tc>
          <w:tcPr>
            <w:tcW w:w="5605" w:type="dxa"/>
          </w:tcPr>
          <w:p w14:paraId="02C0D2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 спецслужб Орлова Т.</w:t>
            </w:r>
          </w:p>
        </w:tc>
      </w:tr>
      <w:tr w:rsidR="007D5DF8" w:rsidRPr="00DB5D0D" w14:paraId="0E289E83" w14:textId="77777777" w:rsidTr="00E543D0">
        <w:tc>
          <w:tcPr>
            <w:tcW w:w="5605" w:type="dxa"/>
          </w:tcPr>
          <w:p w14:paraId="1E8CF9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05" w:type="dxa"/>
          </w:tcPr>
          <w:p w14:paraId="2159D4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 Гвоздев</w:t>
            </w:r>
          </w:p>
        </w:tc>
      </w:tr>
      <w:tr w:rsidR="007D5DF8" w:rsidRPr="00DB5D0D" w14:paraId="0B7886F8" w14:textId="77777777" w:rsidTr="00E543D0">
        <w:tc>
          <w:tcPr>
            <w:tcW w:w="5605" w:type="dxa"/>
          </w:tcPr>
          <w:p w14:paraId="4755CC6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05" w:type="dxa"/>
          </w:tcPr>
          <w:p w14:paraId="418E4E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летчик А.Чернавский</w:t>
            </w:r>
          </w:p>
        </w:tc>
      </w:tr>
      <w:tr w:rsidR="007D5DF8" w:rsidRPr="00DB5D0D" w14:paraId="27EEFF22" w14:textId="77777777" w:rsidTr="00E543D0">
        <w:tc>
          <w:tcPr>
            <w:tcW w:w="5605" w:type="dxa"/>
          </w:tcPr>
          <w:p w14:paraId="29DE89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Нач. 8 отд. По летной части Козлов</w:t>
            </w:r>
          </w:p>
        </w:tc>
        <w:tc>
          <w:tcPr>
            <w:tcW w:w="5605" w:type="dxa"/>
          </w:tcPr>
          <w:p w14:paraId="595834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Группы А.Соловьев</w:t>
            </w:r>
          </w:p>
        </w:tc>
      </w:tr>
      <w:tr w:rsidR="007D5DF8" w:rsidRPr="00DB5D0D" w14:paraId="2557CE0A" w14:textId="77777777" w:rsidTr="00E543D0">
        <w:tc>
          <w:tcPr>
            <w:tcW w:w="11210" w:type="dxa"/>
            <w:gridSpan w:val="2"/>
          </w:tcPr>
          <w:p w14:paraId="16BE80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Главный конструктор и представитель завода (при испытании опытных объектов)</w:t>
            </w:r>
          </w:p>
        </w:tc>
      </w:tr>
      <w:tr w:rsidR="007D5DF8" w:rsidRPr="00DB5D0D" w14:paraId="64DD45CB" w14:textId="77777777" w:rsidTr="00E543D0">
        <w:tc>
          <w:tcPr>
            <w:tcW w:w="11210" w:type="dxa"/>
            <w:gridSpan w:val="2"/>
          </w:tcPr>
          <w:p w14:paraId="34881D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задания</w:t>
            </w:r>
          </w:p>
        </w:tc>
      </w:tr>
      <w:tr w:rsidR="007D5DF8" w:rsidRPr="00DB5D0D" w14:paraId="14D1FF8F" w14:textId="77777777" w:rsidTr="00E543D0">
        <w:tc>
          <w:tcPr>
            <w:tcW w:w="5605" w:type="dxa"/>
          </w:tcPr>
          <w:p w14:paraId="17CB78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вылета 11 час. 16 мин.</w:t>
            </w:r>
          </w:p>
        </w:tc>
        <w:tc>
          <w:tcPr>
            <w:tcW w:w="5605" w:type="dxa"/>
          </w:tcPr>
          <w:p w14:paraId="73D030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посадки 11 час. 22 мин.</w:t>
            </w:r>
          </w:p>
        </w:tc>
      </w:tr>
      <w:tr w:rsidR="007D5DF8" w:rsidRPr="00DB5D0D" w14:paraId="2B0BD595" w14:textId="77777777" w:rsidTr="00E543D0">
        <w:tc>
          <w:tcPr>
            <w:tcW w:w="11210" w:type="dxa"/>
            <w:gridSpan w:val="2"/>
          </w:tcPr>
          <w:p w14:paraId="5745C7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Продолжительность работы мотора на земле ___час. 30 мин.</w:t>
            </w:r>
          </w:p>
        </w:tc>
      </w:tr>
      <w:tr w:rsidR="007D5DF8" w:rsidRPr="00DB5D0D" w14:paraId="1EF402A7" w14:textId="77777777" w:rsidTr="00E543D0">
        <w:tc>
          <w:tcPr>
            <w:tcW w:w="11210" w:type="dxa"/>
            <w:gridSpan w:val="2"/>
          </w:tcPr>
          <w:p w14:paraId="000D72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Замечания о работе мотора, самолета, приборов не нормально быстро поднималась в воздухе температура масла, все остальное нормально</w:t>
            </w:r>
          </w:p>
        </w:tc>
      </w:tr>
      <w:tr w:rsidR="007D5DF8" w:rsidRPr="00DB5D0D" w14:paraId="7378F625" w14:textId="77777777" w:rsidTr="00E543D0">
        <w:tc>
          <w:tcPr>
            <w:tcW w:w="11210" w:type="dxa"/>
            <w:gridSpan w:val="2"/>
          </w:tcPr>
          <w:p w14:paraId="12168A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замечаниями ознакомлен:</w:t>
            </w:r>
          </w:p>
          <w:p w14:paraId="05DC67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эксплоатации или нач. приборной группы_______________________________”___”____________194__г.</w:t>
            </w:r>
          </w:p>
        </w:tc>
      </w:tr>
      <w:tr w:rsidR="007D5DF8" w:rsidRPr="00DB5D0D" w14:paraId="33C4C922" w14:textId="77777777" w:rsidTr="00E543D0">
        <w:tc>
          <w:tcPr>
            <w:tcW w:w="11210" w:type="dxa"/>
            <w:gridSpan w:val="2"/>
          </w:tcPr>
          <w:p w14:paraId="0287EE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Отметка о выполнении задания летчиком (выполнено, выполнено не полностью, не выполнено по какой причине</w:t>
            </w:r>
          </w:p>
        </w:tc>
      </w:tr>
      <w:tr w:rsidR="007D5DF8" w:rsidRPr="00DB5D0D" w14:paraId="5FC2337B" w14:textId="77777777" w:rsidTr="00E543D0">
        <w:tc>
          <w:tcPr>
            <w:tcW w:w="11210" w:type="dxa"/>
            <w:gridSpan w:val="2"/>
          </w:tcPr>
          <w:p w14:paraId="1F64F7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Выполненные режимы, записи и наблюдения в полете</w:t>
            </w:r>
          </w:p>
          <w:p w14:paraId="7F801A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полета была проверена работа шасси</w:t>
            </w:r>
          </w:p>
          <w:p w14:paraId="70882C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три раза шасси убиралось и выпускалось при рабботающем моторе моторной помпой</w:t>
            </w:r>
          </w:p>
          <w:p w14:paraId="332E85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один раз шасси было выпущено ручной помпой при остановленном моторе</w:t>
            </w:r>
          </w:p>
          <w:p w14:paraId="1AC3C6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августа_______Гвоздев</w:t>
            </w:r>
          </w:p>
          <w:p w14:paraId="63A22D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Подробности в показаниях по аварии______А.Чернавский</w:t>
            </w:r>
          </w:p>
        </w:tc>
      </w:tr>
      <w:tr w:rsidR="007D5DF8" w:rsidRPr="00DB5D0D" w14:paraId="3982547F" w14:textId="77777777" w:rsidTr="00E543D0">
        <w:tc>
          <w:tcPr>
            <w:tcW w:w="11210" w:type="dxa"/>
            <w:gridSpan w:val="2"/>
          </w:tcPr>
          <w:p w14:paraId="383DE4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результатов полета</w:t>
            </w:r>
          </w:p>
        </w:tc>
      </w:tr>
      <w:tr w:rsidR="007D5DF8" w:rsidRPr="00DB5D0D" w14:paraId="0E196943" w14:textId="77777777" w:rsidTr="00E543D0">
        <w:tc>
          <w:tcPr>
            <w:tcW w:w="5605" w:type="dxa"/>
          </w:tcPr>
          <w:p w14:paraId="57F04D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летчик____________________</w:t>
            </w:r>
          </w:p>
        </w:tc>
        <w:tc>
          <w:tcPr>
            <w:tcW w:w="5605" w:type="dxa"/>
          </w:tcPr>
          <w:p w14:paraId="38EA43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Ведущий инженер______________</w:t>
            </w:r>
          </w:p>
        </w:tc>
      </w:tr>
      <w:tr w:rsidR="007D5DF8" w:rsidRPr="00DB5D0D" w14:paraId="538010A2" w14:textId="77777777" w:rsidTr="00E543D0">
        <w:tc>
          <w:tcPr>
            <w:tcW w:w="5605" w:type="dxa"/>
            <w:tcBorders>
              <w:bottom w:val="single" w:sz="12" w:space="0" w:color="auto"/>
            </w:tcBorders>
          </w:tcPr>
          <w:p w14:paraId="7FE7F8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УТВЕРЖДАЮ Начальник 8 отдела ЦАГИ_______________</w:t>
            </w:r>
          </w:p>
        </w:tc>
        <w:tc>
          <w:tcPr>
            <w:tcW w:w="5605" w:type="dxa"/>
            <w:tcBorders>
              <w:bottom w:val="single" w:sz="12" w:space="0" w:color="auto"/>
            </w:tcBorders>
          </w:tcPr>
          <w:p w14:paraId="013118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Представитель завода________________</w:t>
            </w:r>
          </w:p>
        </w:tc>
      </w:tr>
    </w:tbl>
    <w:p w14:paraId="730AEB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(814).</w:t>
      </w:r>
    </w:p>
    <w:p w14:paraId="0505BB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48041E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ПОКАЗАНИЯ ЛЕТЧИКА-ИСПЫТАТЕЛЯ ЦАГИ ПО АВАРИИ САМОЛЕТА И-135</w:t>
      </w:r>
    </w:p>
    <w:p w14:paraId="610BE2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ЧЕРНАВСКИЙ</w:t>
      </w:r>
    </w:p>
    <w:p w14:paraId="200C1A06" w14:textId="77777777" w:rsidR="003C7E8B" w:rsidRPr="00DB5D0D" w:rsidRDefault="003C7E8B" w:rsidP="00DB5D0D">
      <w:pPr>
        <w:tabs>
          <w:tab w:val="left" w:pos="418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3/8—40 г. я получил задание вылететь на машине И-135 с новым масляным радиатором, для опробованния работы последнего в воздухе. После первого разворота я убрал шасси а начал набор высоты. Шаоси убрались, как будто хорошо. На высоте 400 м т масла с 55 (перед вылетом), выросла быстро до 76 на входе и 100 выходная, т воды 95 гр., к набору 1000 м т масла выросла до 87 вход и 100 выход., т воды 90 гр.</w:t>
      </w:r>
    </w:p>
    <w:p w14:paraId="0B4F1F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Я начал выпускать шасси, шасси не двигалось, горел красный огонь. </w:t>
      </w:r>
    </w:p>
    <w:p w14:paraId="75843AE9" w14:textId="77777777" w:rsidR="003C7E8B" w:rsidRPr="00DB5D0D" w:rsidRDefault="003C7E8B" w:rsidP="00DB5D0D">
      <w:pPr>
        <w:tabs>
          <w:tab w:val="left" w:pos="425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попробовал выпустить ручной помпой, огонь погас, но зеленые огни не загоралимь и нагрузка на ручку помпы бьла такая, что я не мог преодолеть усилий.. Т масла быстро росла и в кабину начал попадать белый дьм. Температура выросла при оставленных оборотах мотора до 90 и на выходе до 120 с тенденцией расти дальше. Я принял решение садиться с убранными шасси. Зашел на посадку по Т, но далеко от Т, так как Т лежало близ дорожки и я но хотел садиться без шасси на дорожку. Приземлился на самый мягкий грунт, предварительно выключив мотор. Повреждения крыльев не было. После посадки загорелся красный огонь.</w:t>
      </w:r>
    </w:p>
    <w:p w14:paraId="6CD500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427BFC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ПЛАНШЕТ ЛЕТЧИКА т. ЧЕРНАВСКОГО</w:t>
      </w:r>
    </w:p>
    <w:p w14:paraId="299578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Н-5000 т масла 85-110</w:t>
      </w:r>
    </w:p>
    <w:p w14:paraId="664D21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убрано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7D5DF8" w:rsidRPr="00DB5D0D" w14:paraId="356064CF" w14:textId="77777777" w:rsidTr="00E543D0">
        <w:tc>
          <w:tcPr>
            <w:tcW w:w="3736" w:type="dxa"/>
            <w:tcBorders>
              <w:top w:val="single" w:sz="12" w:space="0" w:color="auto"/>
            </w:tcBorders>
          </w:tcPr>
          <w:p w14:paraId="37F89F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w:t>
            </w:r>
          </w:p>
        </w:tc>
        <w:tc>
          <w:tcPr>
            <w:tcW w:w="3736" w:type="dxa"/>
            <w:tcBorders>
              <w:top w:val="single" w:sz="12" w:space="0" w:color="auto"/>
            </w:tcBorders>
          </w:tcPr>
          <w:p w14:paraId="580BAD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масла</w:t>
            </w:r>
          </w:p>
        </w:tc>
        <w:tc>
          <w:tcPr>
            <w:tcW w:w="3736" w:type="dxa"/>
            <w:tcBorders>
              <w:top w:val="single" w:sz="12" w:space="0" w:color="auto"/>
            </w:tcBorders>
          </w:tcPr>
          <w:p w14:paraId="5309AD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воды</w:t>
            </w:r>
          </w:p>
        </w:tc>
      </w:tr>
      <w:tr w:rsidR="007D5DF8" w:rsidRPr="00DB5D0D" w14:paraId="7D0C161C" w14:textId="77777777" w:rsidTr="00E543D0">
        <w:tc>
          <w:tcPr>
            <w:tcW w:w="3736" w:type="dxa"/>
          </w:tcPr>
          <w:p w14:paraId="4E082B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3736" w:type="dxa"/>
          </w:tcPr>
          <w:p w14:paraId="2A75A5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75/100</w:t>
            </w:r>
          </w:p>
        </w:tc>
        <w:tc>
          <w:tcPr>
            <w:tcW w:w="3736" w:type="dxa"/>
          </w:tcPr>
          <w:p w14:paraId="7E5AD0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w:t>
            </w:r>
          </w:p>
        </w:tc>
      </w:tr>
      <w:tr w:rsidR="007D5DF8" w:rsidRPr="00DB5D0D" w14:paraId="73FC975E" w14:textId="77777777" w:rsidTr="00E543D0">
        <w:tc>
          <w:tcPr>
            <w:tcW w:w="3736" w:type="dxa"/>
          </w:tcPr>
          <w:p w14:paraId="53B930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1000</w:t>
            </w:r>
          </w:p>
        </w:tc>
        <w:tc>
          <w:tcPr>
            <w:tcW w:w="3736" w:type="dxa"/>
          </w:tcPr>
          <w:p w14:paraId="0281A4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87/110</w:t>
            </w:r>
          </w:p>
        </w:tc>
        <w:tc>
          <w:tcPr>
            <w:tcW w:w="3736" w:type="dxa"/>
          </w:tcPr>
          <w:p w14:paraId="429548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w:t>
            </w:r>
          </w:p>
        </w:tc>
      </w:tr>
      <w:tr w:rsidR="007D5DF8" w:rsidRPr="00DB5D0D" w14:paraId="4BEE1D93" w14:textId="77777777" w:rsidTr="00E543D0">
        <w:tc>
          <w:tcPr>
            <w:tcW w:w="3736" w:type="dxa"/>
            <w:tcBorders>
              <w:bottom w:val="single" w:sz="12" w:space="0" w:color="auto"/>
            </w:tcBorders>
          </w:tcPr>
          <w:p w14:paraId="3C47D4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3736" w:type="dxa"/>
            <w:tcBorders>
              <w:bottom w:val="single" w:sz="12" w:space="0" w:color="auto"/>
            </w:tcBorders>
          </w:tcPr>
          <w:p w14:paraId="2AA78D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90/120</w:t>
            </w:r>
          </w:p>
        </w:tc>
        <w:tc>
          <w:tcPr>
            <w:tcW w:w="3736" w:type="dxa"/>
            <w:tcBorders>
              <w:bottom w:val="single" w:sz="12" w:space="0" w:color="auto"/>
            </w:tcBorders>
          </w:tcPr>
          <w:p w14:paraId="78F0E0D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08F174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3206CC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ЛИСТ ОПРОСА ЛЕТЧИКА т. ЧЕРНАВСКОГО А.П. ПО ПРОИСШЕСТВИЮ НА САМОЛЕТЕ И-135</w:t>
      </w:r>
    </w:p>
    <w:p w14:paraId="49EE2A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Рассказ т Чернавского</w:t>
      </w:r>
    </w:p>
    <w:p w14:paraId="50F0B9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Полчил задание на проверку температурного режима маоло-радиатора (под”ем до возможной высоты под облачностью)</w:t>
      </w:r>
    </w:p>
    <w:p w14:paraId="3E1BB8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полетом было проверено:</w:t>
      </w:r>
    </w:p>
    <w:p w14:paraId="488BDD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под”ем и выпуск шасси, 2 раза нормальным выпуском и один раз аварийным, точно сколько уборок было не знаю.</w:t>
      </w:r>
    </w:p>
    <w:p w14:paraId="38CB5D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Под”ем</w:t>
      </w:r>
      <w:r w:rsidRPr="00DB5D0D">
        <w:rPr>
          <w:rFonts w:ascii="Times New Roman" w:hAnsi="Times New Roman"/>
          <w:iCs/>
          <w:color w:val="000000" w:themeColor="text1"/>
          <w:sz w:val="16"/>
          <w:szCs w:val="16"/>
        </w:rPr>
        <w:t xml:space="preserve"> и</w:t>
      </w:r>
      <w:r w:rsidRPr="00DB5D0D">
        <w:rPr>
          <w:rFonts w:ascii="Times New Roman" w:hAnsi="Times New Roman"/>
          <w:color w:val="000000" w:themeColor="text1"/>
          <w:sz w:val="16"/>
          <w:szCs w:val="16"/>
        </w:rPr>
        <w:t xml:space="preserve"> выпуск показал нормальную работу механизма. Вылет произведен в 11. На взлете поведение мотора и самолета нормальное, набор высоты произведен нормально. После первого разворота убрал</w:t>
      </w:r>
      <w:r w:rsidRPr="00DB5D0D">
        <w:rPr>
          <w:rFonts w:ascii="Times New Roman" w:hAnsi="Times New Roman"/>
          <w:iCs/>
          <w:color w:val="000000" w:themeColor="text1"/>
          <w:sz w:val="16"/>
          <w:szCs w:val="16"/>
        </w:rPr>
        <w:t xml:space="preserve"> шасси.</w:t>
      </w:r>
    </w:p>
    <w:p w14:paraId="6CBB8A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Н-400 температура масла входящего 75, выходящего 100. На Н 1000 встретил облачность, температура масла вход 87, выходящего 110.</w:t>
      </w:r>
    </w:p>
    <w:p w14:paraId="71B12E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Сбавил газ до 2200 об/м и поставил кран шасси на выпуск(ввиду высокой температуры масла решил произвести посадку).</w:t>
      </w:r>
    </w:p>
    <w:p w14:paraId="354B0CBB" w14:textId="77777777" w:rsidR="003C7E8B" w:rsidRPr="00DB5D0D" w:rsidRDefault="003C7E8B" w:rsidP="00DB5D0D">
      <w:pPr>
        <w:tabs>
          <w:tab w:val="left" w:pos="339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поднялсь до: входящего масла 90, выходящего 120 при сбавленных оборотах. При положении крана на “выпуск” шасси не вышла. V была 260 км/час. Стал выпускать ручной помпой, температура поднялась еще выше, от мотора шел дым.</w:t>
      </w:r>
    </w:p>
    <w:p w14:paraId="1B342F0A" w14:textId="77777777" w:rsidR="003C7E8B" w:rsidRPr="00DB5D0D" w:rsidRDefault="003C7E8B" w:rsidP="00DB5D0D">
      <w:pPr>
        <w:tabs>
          <w:tab w:val="left" w:pos="264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Ручку аварийной помпы не мог сдвинуть. Знал, что этот мотор очень боится высоких температур и имелись случаи заклинивания мотора,</w:t>
      </w:r>
    </w:p>
    <w:p w14:paraId="3BFD42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чтобы не разбить машну, в силу этого решил делать посадку на пузо, выбрал место на грунте. Посадку совершил легко. Перед посадкой выключил мотор на выравнивании самолета.</w:t>
      </w:r>
    </w:p>
    <w:p w14:paraId="7DF057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Троссовым управлением выпуска шасси не пользовался, т.к. знал, что он не работает, об этом меня предупредил механик.</w:t>
      </w:r>
    </w:p>
    <w:p w14:paraId="0869D4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5EF6C0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ПРОТОКОЛ</w:t>
      </w:r>
    </w:p>
    <w:p w14:paraId="3B4E04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СОВЕЩАНИЯ АВАРИЙНОЙ КОМИССС ПО ОПРОСУ ЛЕТЧИКА т. ЧЕРНАВСКОГО</w:t>
      </w:r>
    </w:p>
    <w:p w14:paraId="3B20F8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Жилин.- Падала-ли температура с 1000 м.</w:t>
      </w:r>
    </w:p>
    <w:p w14:paraId="7ADAFA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Чернавский.-Не падала.</w:t>
      </w:r>
    </w:p>
    <w:p w14:paraId="3DBA810E" w14:textId="77777777" w:rsidR="003C7E8B" w:rsidRPr="00DB5D0D" w:rsidRDefault="003C7E8B" w:rsidP="00DB5D0D">
      <w:pPr>
        <w:tabs>
          <w:tab w:val="left" w:pos="1238"/>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температурами масла было примерно таже,как на первом радиаторе 252.</w:t>
      </w:r>
    </w:p>
    <w:p w14:paraId="36F5D1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Жилин.-Выла ли установишься температора масла,при гонке на замле.</w:t>
      </w:r>
    </w:p>
    <w:p w14:paraId="0F7006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Чернавский.- Температура не установл.</w:t>
      </w:r>
    </w:p>
    <w:p w14:paraId="57AA0C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Гурко.- Какиа температуры масла при взлете</w:t>
      </w:r>
    </w:p>
    <w:p w14:paraId="31B8B7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Чернавсний-Температура масла на входе была 55-60</w:t>
      </w:r>
    </w:p>
    <w:p w14:paraId="165C3D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спуску с 1000 м. была тенденция к увеличению температуры.</w:t>
      </w:r>
    </w:p>
    <w:p w14:paraId="6BB2B9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Жилин- Уменьшалась ли температура на высоте 300 м. при спуске</w:t>
      </w:r>
    </w:p>
    <w:p w14:paraId="4284E9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Чернавсний.-Нет не уменьшалась.</w:t>
      </w:r>
    </w:p>
    <w:p w14:paraId="7FFDE1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Жилин.-Почему поставлена ручка на выпуск шасси при решении садиться на фюзеляж.</w:t>
      </w:r>
    </w:p>
    <w:p w14:paraId="49BC54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Чернавский.-Забьл поставить на подъем.</w:t>
      </w:r>
    </w:p>
    <w:p w14:paraId="58FAF6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Гаврилов. -Снижалась ли темпратура масла на спуске и какая температура масла на земле.</w:t>
      </w:r>
    </w:p>
    <w:p w14:paraId="2EDACE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Чернавский.-Температура не снижалась на спуске, на земле по</w:t>
      </w:r>
      <w:r w:rsidRPr="00DB5D0D">
        <w:rPr>
          <w:rFonts w:ascii="Times New Roman" w:hAnsi="Times New Roman"/>
          <w:color w:val="000000" w:themeColor="text1"/>
          <w:sz w:val="16"/>
          <w:szCs w:val="16"/>
        </w:rPr>
        <w:softHyphen/>
        <w:t>казания прибора температуры масла на заметил*</w:t>
      </w:r>
    </w:p>
    <w:p w14:paraId="1B2BD9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Соловьев.-Нельзя ли было какими нибудь эволюциями самолета вытряхнуть шасси</w:t>
      </w:r>
    </w:p>
    <w:p w14:paraId="7C3CEB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Чернавский.-Никакими перегрузками из за особенности конструк</w:t>
      </w:r>
      <w:r w:rsidRPr="00DB5D0D">
        <w:rPr>
          <w:rFonts w:ascii="Times New Roman" w:hAnsi="Times New Roman"/>
          <w:color w:val="000000" w:themeColor="text1"/>
          <w:sz w:val="16"/>
          <w:szCs w:val="16"/>
        </w:rPr>
        <w:softHyphen/>
        <w:t>ции шасси вытряхнуть не удалось бы.</w:t>
      </w:r>
    </w:p>
    <w:p w14:paraId="481881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Соловьев.- Был ли белый дым на планировании.</w:t>
      </w:r>
    </w:p>
    <w:p w14:paraId="6F2595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Чернавский-Был</w:t>
      </w:r>
    </w:p>
    <w:p w14:paraId="0FF5AA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Соловьев.-Почему Вы делали посадку сразу, а не пошли на второй круг</w:t>
      </w:r>
    </w:p>
    <w:p w14:paraId="5E93E4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Чернавский -Высокие температуры и дым вызывали опасения пожара и заклиниваания мотора.</w:t>
      </w:r>
    </w:p>
    <w:p w14:paraId="6AA3A5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Соловьев.-Знали-ли Вы, что неработает сирена</w:t>
      </w:r>
    </w:p>
    <w:p w14:paraId="231A6F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Чернавский-3нал, меня предупредил электрик т. Подколзин</w:t>
      </w:r>
    </w:p>
    <w:p w14:paraId="48333B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7085BA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АВАРИЙНУЮ КОМИССИЮ ПО САМОЛЕТУ И-135</w:t>
      </w:r>
    </w:p>
    <w:p w14:paraId="555A8CED" w14:textId="77777777" w:rsidR="003C7E8B" w:rsidRPr="00DB5D0D" w:rsidRDefault="003C7E8B" w:rsidP="00DB5D0D">
      <w:pPr>
        <w:tabs>
          <w:tab w:val="left" w:pos="2805"/>
          <w:tab w:val="left" w:pos="545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Сообщаем, что 3/8-40 г., перед выпуском самолета И-135 в воздух было проделано следующее:</w:t>
      </w:r>
    </w:p>
    <w:p w14:paraId="0DDD4208" w14:textId="77777777" w:rsidR="003C7E8B" w:rsidRPr="00DB5D0D" w:rsidRDefault="003C7E8B" w:rsidP="00DB5D0D">
      <w:pPr>
        <w:tabs>
          <w:tab w:val="left" w:pos="188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проверена работа мотора и масдорадиатора на земле. Гонка мотора на земле. Гонка мотора в течение 7 (семи) минут</w:t>
      </w:r>
    </w:p>
    <w:p w14:paraId="7C3AEF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1500, 2000, 2650 об/мин, температура масла установи</w:t>
      </w:r>
      <w:r w:rsidRPr="00DB5D0D">
        <w:rPr>
          <w:rFonts w:ascii="Times New Roman" w:hAnsi="Times New Roman"/>
          <w:color w:val="000000" w:themeColor="text1"/>
          <w:sz w:val="16"/>
          <w:szCs w:val="16"/>
        </w:rPr>
        <w:softHyphen/>
        <w:t>лась</w:t>
      </w:r>
    </w:p>
    <w:p w14:paraId="7C11E6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 входе</w:t>
      </w:r>
    </w:p>
    <w:p w14:paraId="55C4B3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 - выходящего</w:t>
      </w:r>
    </w:p>
    <w:p w14:paraId="761DE7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и приборы мотора работали нормально.</w:t>
      </w:r>
    </w:p>
    <w:p w14:paraId="74445BD9" w14:textId="77777777" w:rsidR="003C7E8B" w:rsidRPr="00DB5D0D" w:rsidRDefault="003C7E8B" w:rsidP="00DB5D0D">
      <w:pPr>
        <w:tabs>
          <w:tab w:val="left" w:pos="17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Проверена работа шасси</w:t>
      </w:r>
    </w:p>
    <w:p w14:paraId="7D847B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шасси убрано 4 (четыре) раза гидропомпой моторной</w:t>
      </w:r>
    </w:p>
    <w:p w14:paraId="5E8119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выпущено 3 (три) раза гидропомпой мотора</w:t>
      </w:r>
    </w:p>
    <w:p w14:paraId="19B9A0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выпущено один раз ручной помпой</w:t>
      </w:r>
    </w:p>
    <w:p w14:paraId="0158AF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г)проверена работа щитков</w:t>
      </w:r>
    </w:p>
    <w:p w14:paraId="423F92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работало нормально</w:t>
      </w:r>
    </w:p>
    <w:p w14:paraId="1BD50B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Инженер Отд. № 8 (Гзоздов)</w:t>
      </w:r>
    </w:p>
    <w:p w14:paraId="572AC0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В/механик (Лопухов)</w:t>
      </w:r>
    </w:p>
    <w:p w14:paraId="1E1C59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40A7BE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ДОКЛАДНАЯ ЗАПИСКА</w:t>
      </w:r>
    </w:p>
    <w:p w14:paraId="7E4D7A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поручению Нач-ка 8 Отд. ЦАГИ тю Ляпидевского, я записал показания приборов и положение рычагов управления самолета Сухого после происшедшей аварии 3,8-40 г.</w:t>
      </w:r>
    </w:p>
    <w:p w14:paraId="7D6FED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11 чао. 34 мин. (время, когда я вошел в кабину).</w:t>
      </w:r>
    </w:p>
    <w:p w14:paraId="49ED45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входящего масла 67°С</w:t>
      </w:r>
    </w:p>
    <w:p w14:paraId="2E99DC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выходящего 65°С</w:t>
      </w:r>
    </w:p>
    <w:p w14:paraId="5F9B97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Аккумулятор включен. Сигнальные огни горели красные. Ручка была на положение “вышущено” (от себя). Бензиновый кран открыт. Зажигание выключено. Скорость нагнетателя на положении 1-й скорости. Кран щитков на положении “поднято” (убраны). Аварийная ручная помпа шасси имела нормальный свободный ход.</w:t>
      </w:r>
    </w:p>
    <w:p w14:paraId="6F1097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Троссы механической аварийной лебедки были в свободном состоянии.</w:t>
      </w:r>
    </w:p>
    <w:p w14:paraId="6A7E5C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 по электроаппаратуре (Сувиров) (814).</w:t>
      </w:r>
    </w:p>
    <w:p w14:paraId="0CA22CF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5FB1B29"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августа 1940 г.</w:t>
      </w:r>
    </w:p>
    <w:p w14:paraId="4D4DBBFA"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Решение Политбюро, протокол от 06.VIII.40 г.</w:t>
      </w:r>
    </w:p>
    <w:p w14:paraId="3A31359F"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149. О создании одноместного пикирующего бомбардировщика с одним мотором М-90. — ОП (20771).</w:t>
      </w:r>
    </w:p>
    <w:p w14:paraId="0CE2D966" w14:textId="77777777" w:rsidR="00F16E37" w:rsidRPr="00DB5D0D" w:rsidRDefault="00F16E37" w:rsidP="00DB5D0D">
      <w:pPr>
        <w:spacing w:after="0" w:line="240" w:lineRule="auto"/>
        <w:jc w:val="both"/>
        <w:rPr>
          <w:rFonts w:ascii="Times New Roman" w:hAnsi="Times New Roman"/>
          <w:color w:val="0070C0"/>
          <w:sz w:val="16"/>
          <w:szCs w:val="16"/>
        </w:rPr>
      </w:pPr>
    </w:p>
    <w:p w14:paraId="75BAE037"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августа 1940 вышло Постановление Политбюро ЦК ВКП(б) "О создании одноместного пикирующего бомбардировщика с одним мотором М-90" (пр. № 19/19-оп за 22 июля - 24 августа 1940 г., п. 149)</w:t>
      </w:r>
    </w:p>
    <w:p w14:paraId="1D3886BC"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147.- Вопрос НКАП.</w:t>
      </w:r>
    </w:p>
    <w:p w14:paraId="1C958B61"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Разрешить НКАП временно, на август месяц 1940г. приостановить выпуск мотора М-88, увеличив соответствен</w:t>
      </w:r>
      <w:r w:rsidRPr="00DB5D0D">
        <w:rPr>
          <w:rFonts w:ascii="Times New Roman" w:hAnsi="Times New Roman"/>
          <w:color w:val="0070C0"/>
          <w:sz w:val="16"/>
          <w:szCs w:val="16"/>
        </w:rPr>
        <w:softHyphen/>
        <w:t>но программу по М-87Б.</w:t>
      </w:r>
    </w:p>
    <w:p w14:paraId="3010BABE"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Выписки посланы:</w:t>
      </w:r>
    </w:p>
    <w:p w14:paraId="0CD8CED6"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 т .Шахурину, Пугае ву.</w:t>
      </w:r>
    </w:p>
    <w:p w14:paraId="7483A9FA"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 6.УШ.40г.</w:t>
      </w:r>
    </w:p>
    <w:p w14:paraId="7A1CCB89"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149.- О создании одноместного пикирующего бомбардировщика</w:t>
      </w:r>
    </w:p>
    <w:p w14:paraId="3DB94061"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Утвердить следующее постановление КО:</w:t>
      </w:r>
    </w:p>
    <w:p w14:paraId="06E79B97"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"Комитет Обороны при СНК СССР постановляет:</w:t>
      </w:r>
    </w:p>
    <w:p w14:paraId="7E4894DE"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1.Обязать НКАП - директора завода № 156 тов. Ленкина и главного конструктора тов. Кочерыгина спроектиро</w:t>
      </w:r>
      <w:r w:rsidRPr="00DB5D0D">
        <w:rPr>
          <w:rFonts w:ascii="Times New Roman" w:hAnsi="Times New Roman"/>
          <w:color w:val="0070C0"/>
          <w:sz w:val="16"/>
          <w:szCs w:val="16"/>
        </w:rPr>
        <w:softHyphen/>
        <w:t>вать и построить одноместный пикирующий бомбардировщик с мотором М-90 и пред’явить на государственные испыта</w:t>
      </w:r>
      <w:r w:rsidRPr="00DB5D0D">
        <w:rPr>
          <w:rFonts w:ascii="Times New Roman" w:hAnsi="Times New Roman"/>
          <w:color w:val="0070C0"/>
          <w:sz w:val="16"/>
          <w:szCs w:val="16"/>
        </w:rPr>
        <w:softHyphen/>
        <w:t>ния:</w:t>
      </w:r>
    </w:p>
    <w:p w14:paraId="4183FE83"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1-й экземпляр</w:t>
      </w:r>
      <w:r w:rsidRPr="00DB5D0D">
        <w:rPr>
          <w:rFonts w:ascii="Times New Roman" w:hAnsi="Times New Roman"/>
          <w:color w:val="0070C0"/>
          <w:sz w:val="16"/>
          <w:szCs w:val="16"/>
        </w:rPr>
        <w:tab/>
        <w:t>1.П.41Г.</w:t>
      </w:r>
    </w:p>
    <w:p w14:paraId="7FC7B6C9"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2-й экземпляр</w:t>
      </w:r>
      <w:r w:rsidRPr="00DB5D0D">
        <w:rPr>
          <w:rFonts w:ascii="Times New Roman" w:hAnsi="Times New Roman"/>
          <w:color w:val="0070C0"/>
          <w:sz w:val="16"/>
          <w:szCs w:val="16"/>
        </w:rPr>
        <w:tab/>
        <w:t>1.1У.41Г.</w:t>
      </w:r>
    </w:p>
    <w:p w14:paraId="2BBC3D00"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 следующими летно-тактическими данными:</w:t>
      </w:r>
    </w:p>
    <w:p w14:paraId="6F7CE5C4"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Максимальная скорость на высоте 7000 м.</w:t>
      </w:r>
      <w:r w:rsidRPr="00DB5D0D">
        <w:rPr>
          <w:rFonts w:ascii="Times New Roman" w:hAnsi="Times New Roman"/>
          <w:color w:val="0070C0"/>
          <w:sz w:val="16"/>
          <w:szCs w:val="16"/>
        </w:rPr>
        <w:tab/>
        <w:t xml:space="preserve"> 600 к/ч</w:t>
      </w:r>
    </w:p>
    <w:p w14:paraId="258775F5"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Посадочная скорость</w:t>
      </w:r>
      <w:r w:rsidRPr="00DB5D0D">
        <w:rPr>
          <w:rFonts w:ascii="Times New Roman" w:hAnsi="Times New Roman"/>
          <w:color w:val="0070C0"/>
          <w:sz w:val="16"/>
          <w:szCs w:val="16"/>
        </w:rPr>
        <w:tab/>
        <w:t>140 к/ч</w:t>
      </w:r>
    </w:p>
    <w:p w14:paraId="58C50541"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Дальность с нормальной нагрузкой на 0,9 максимальной скорости</w:t>
      </w:r>
      <w:r w:rsidRPr="00DB5D0D">
        <w:rPr>
          <w:rFonts w:ascii="Times New Roman" w:hAnsi="Times New Roman"/>
          <w:color w:val="0070C0"/>
          <w:sz w:val="16"/>
          <w:szCs w:val="16"/>
        </w:rPr>
        <w:tab/>
        <w:t>700 км.</w:t>
      </w:r>
    </w:p>
    <w:p w14:paraId="196772DF"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Дальность с перегрузкой на 0,9 макси</w:t>
      </w:r>
      <w:r w:rsidRPr="00DB5D0D">
        <w:rPr>
          <w:rFonts w:ascii="Times New Roman" w:hAnsi="Times New Roman"/>
          <w:color w:val="0070C0"/>
          <w:sz w:val="16"/>
          <w:szCs w:val="16"/>
        </w:rPr>
        <w:softHyphen/>
        <w:t>мальной скорости</w:t>
      </w:r>
      <w:r w:rsidRPr="00DB5D0D">
        <w:rPr>
          <w:rFonts w:ascii="Times New Roman" w:hAnsi="Times New Roman"/>
          <w:color w:val="0070C0"/>
          <w:sz w:val="16"/>
          <w:szCs w:val="16"/>
        </w:rPr>
        <w:tab/>
      </w:r>
      <w:r w:rsidRPr="00DB5D0D">
        <w:rPr>
          <w:rFonts w:ascii="Times New Roman" w:hAnsi="Times New Roman"/>
          <w:color w:val="0070C0"/>
          <w:sz w:val="16"/>
          <w:szCs w:val="16"/>
        </w:rPr>
        <w:tab/>
        <w:t>1100 км.</w:t>
      </w:r>
    </w:p>
    <w:p w14:paraId="30AE89D6"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Время под”ема на 700 м.</w:t>
      </w:r>
      <w:r w:rsidRPr="00DB5D0D">
        <w:rPr>
          <w:rFonts w:ascii="Times New Roman" w:hAnsi="Times New Roman"/>
          <w:color w:val="0070C0"/>
          <w:sz w:val="16"/>
          <w:szCs w:val="16"/>
        </w:rPr>
        <w:tab/>
        <w:t>8.5 мин.</w:t>
      </w:r>
    </w:p>
    <w:p w14:paraId="32EAB2C1"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Потолок практический</w:t>
      </w:r>
      <w:r w:rsidRPr="00DB5D0D">
        <w:rPr>
          <w:rFonts w:ascii="Times New Roman" w:hAnsi="Times New Roman"/>
          <w:color w:val="0070C0"/>
          <w:sz w:val="16"/>
          <w:szCs w:val="16"/>
        </w:rPr>
        <w:tab/>
        <w:t>10500 мт.</w:t>
      </w:r>
    </w:p>
    <w:p w14:paraId="70D8720C"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Вооружение: - 2 пулемета 7,62 мм и в перегрузку 2 пулемета 12,7 мм. Бомб - внутри фюзеляжа 1x500 или 1x250кг. под крыльями - 2x250 кг.</w:t>
      </w:r>
    </w:p>
    <w:p w14:paraId="3A9C31B1"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2.Обязать ШКФ выделить НКАП (заводу № 156) из резервного фонда СНК СССР для этой работы 7.000 тыс. руб</w:t>
      </w:r>
      <w:r w:rsidRPr="00DB5D0D">
        <w:rPr>
          <w:rFonts w:ascii="Times New Roman" w:hAnsi="Times New Roman"/>
          <w:color w:val="0070C0"/>
          <w:sz w:val="16"/>
          <w:szCs w:val="16"/>
        </w:rPr>
        <w:softHyphen/>
        <w:t>лей .</w:t>
      </w:r>
    </w:p>
    <w:p w14:paraId="152B2C8B"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В целях поощрения конструкторов, инженерно-тех</w:t>
      </w:r>
      <w:r w:rsidRPr="00DB5D0D">
        <w:rPr>
          <w:rFonts w:ascii="Times New Roman" w:hAnsi="Times New Roman"/>
          <w:color w:val="0070C0"/>
          <w:sz w:val="16"/>
          <w:szCs w:val="16"/>
        </w:rPr>
        <w:softHyphen/>
        <w:t>нических работников, служащих и рабочих за выполнение в срок одноместного пикирующего бомбардировщика выделить под отчет в распоряжение Наркома Авиационной Промышлен</w:t>
      </w:r>
      <w:r w:rsidRPr="00DB5D0D">
        <w:rPr>
          <w:rFonts w:ascii="Times New Roman" w:hAnsi="Times New Roman"/>
          <w:color w:val="0070C0"/>
          <w:sz w:val="16"/>
          <w:szCs w:val="16"/>
        </w:rPr>
        <w:softHyphen/>
        <w:t>ности премиальный фонд:</w:t>
      </w:r>
    </w:p>
    <w:p w14:paraId="345890C9"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 1-й экземпляр</w:t>
      </w:r>
      <w:r w:rsidRPr="00DB5D0D">
        <w:rPr>
          <w:rFonts w:ascii="Times New Roman" w:hAnsi="Times New Roman"/>
          <w:color w:val="0070C0"/>
          <w:sz w:val="16"/>
          <w:szCs w:val="16"/>
        </w:rPr>
        <w:tab/>
        <w:t>1.600 тыс. рублей</w:t>
      </w:r>
    </w:p>
    <w:p w14:paraId="44B74304"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 2-й экземпляр 800 тыс. рублей."</w:t>
      </w:r>
    </w:p>
    <w:p w14:paraId="4592BBAE"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Выписки посланы:</w:t>
      </w:r>
    </w:p>
    <w:p w14:paraId="2936EA23"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т.т.Шахурину.Пугаеву - все;</w:t>
      </w:r>
    </w:p>
    <w:p w14:paraId="3AC11815" w14:textId="77777777" w:rsidR="00F16E37" w:rsidRPr="00DB5D0D" w:rsidRDefault="00F16E3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Звереву - 2,3 (22020).</w:t>
      </w:r>
    </w:p>
    <w:p w14:paraId="1CC5AF87" w14:textId="77777777" w:rsidR="00F16E37" w:rsidRPr="00DB5D0D" w:rsidRDefault="00F16E37" w:rsidP="00DB5D0D">
      <w:pPr>
        <w:spacing w:after="0" w:line="240" w:lineRule="auto"/>
        <w:jc w:val="both"/>
        <w:rPr>
          <w:rFonts w:ascii="Times New Roman" w:hAnsi="Times New Roman"/>
          <w:color w:val="0070C0"/>
          <w:sz w:val="16"/>
          <w:szCs w:val="16"/>
        </w:rPr>
      </w:pPr>
    </w:p>
    <w:p w14:paraId="44A4EA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года вышло постановление № 340сс КО О временном прекращении выпуска авиамотора М-88</w:t>
      </w:r>
    </w:p>
    <w:p w14:paraId="05C650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240E0A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Разрешить Наркомавиапрому временно на август 1940 года приостановить выпуск мотора М-88, увеличив соответственно программу по М-87Б (7595, 183).</w:t>
      </w:r>
    </w:p>
    <w:p w14:paraId="49A9DE2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BB7A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вышло постановление КО N 340сс "О временном прекращении выпуска авиамоторов М-88" об остановке серийного выпуска моторов М-88 на заводе 29 (1273):</w:t>
      </w:r>
    </w:p>
    <w:p w14:paraId="7749B5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"Разрешить НКАП временно на август месяц 1940 приостановить выпуск мотора М-88, увеличив соответственно программу по М-87Б" (1277).</w:t>
      </w:r>
    </w:p>
    <w:p w14:paraId="61BE5A3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E96DB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года Постановлением Комитета Обороны при СНК СССР № 340 сс из-за выявленных в воинских частях дефектов серийное производство мотора М-88 было остановлено.</w:t>
      </w:r>
    </w:p>
    <w:p w14:paraId="5C65EA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29 было предписано в месячный срок устранить дефект, после чего возобновить выпуск (ГА РФ. Ф. 8418. Оп. 24. Д. 732. Л. 1, 4.). Н.Н. Поликарпов писал заместителю наркома авиационной промышленности по опытному самолетостроению А.С. Яковлеву, что полеты на самолете И-180 прекращены 13 августа 1940 года на неопределенное время, так как Научно-испытательный институт ВВС считает мотор М-88 ненадежным, и просил его содействия (Иванов В. П. Указ. соч. С. 132-133.).</w:t>
      </w:r>
    </w:p>
    <w:p w14:paraId="4CEB08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производство войсковой серии И-180 было остановлено. В свое время сам Н.Н. Поликарпов говорил, что «успех истребителя на 60% зависит от двигателя» (Адлер Е. Как зарождался Су-7.С. 24-26.) (11672).</w:t>
      </w:r>
    </w:p>
    <w:p w14:paraId="6FC0B71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F3CEA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года секретарь Совета по оборонной промышленности И. Семичастнов писал письмо № 321/оп в НКАП Шахурину</w:t>
      </w:r>
    </w:p>
    <w:p w14:paraId="6EF3DE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Направляю копию письма Громова М., при этом сообщаю, что по указанию Вознесенского Н.А. поставленный в письме Громова вопрос об улучшении летных качеств истребителей включен в повестку дня заседания Совета ориентировочно на 6 августа 1940 года.</w:t>
      </w:r>
    </w:p>
    <w:p w14:paraId="1CA751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Ваши предложения по данному письму прошу срочно прислать в Совет по оборонной промышленности.</w:t>
      </w:r>
    </w:p>
    <w:p w14:paraId="59FB38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копия письма на 2 листах (3377, 1).</w:t>
      </w:r>
    </w:p>
    <w:p w14:paraId="15B3D52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F0511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года вышло постановление № 343сс КО О строительстве авиазаводов самолето- и моторостроения</w:t>
      </w:r>
    </w:p>
    <w:p w14:paraId="708347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7763816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Приступить в 1940 году к строительству трех новых авиазаводов в районе Куйбышева на Безыменской и Падовской площадках, в том числе:</w:t>
      </w:r>
    </w:p>
    <w:p w14:paraId="3F6887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самолетостроительный завод № 122 на выпуск 1500 двухмоторных цельнометаллических бомбардировщиков в год ……………</w:t>
      </w:r>
    </w:p>
    <w:p w14:paraId="28125C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самолетостроительный завод № 295 на выпуск 2000 одномоторных бомбардировщиков в год …………………..</w:t>
      </w:r>
    </w:p>
    <w:p w14:paraId="63789B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моторостроительный завод № 337 на выпуск 12000 моторов типа АМ-35А и М-105 в год ………………..</w:t>
      </w:r>
    </w:p>
    <w:p w14:paraId="24EABAC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следующие сроки окончания строительства, монтажа и пуска заводов:</w:t>
      </w:r>
    </w:p>
    <w:p w14:paraId="5C0B59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самолетостроительный завод № 122 к 31 декабря 1941 года</w:t>
      </w:r>
    </w:p>
    <w:p w14:paraId="3A765A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самолетостроительный завод № 295 к 1 февраля 1942 года</w:t>
      </w:r>
    </w:p>
    <w:p w14:paraId="697E6F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моторостроительный завод № 337 к 1 мая 1942 года</w:t>
      </w:r>
    </w:p>
    <w:p w14:paraId="327B27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………………………………..(7595, 184-192).</w:t>
      </w:r>
    </w:p>
    <w:p w14:paraId="39ABF3A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AF0E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вышло постановление КО N 343с "О строительстве авиазаводов самолето и моторостроения".</w:t>
      </w:r>
    </w:p>
    <w:p w14:paraId="1ADCA2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Приступить в 1940 г к строительству 3-х новых авиаз-в р-не г. Куйбышева на Безымянской и Падовской площадках:</w:t>
      </w:r>
    </w:p>
    <w:p w14:paraId="1D4BDF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самолетостроительного № 122 на выпуск 1500 двухмоторных цельнометаллических бомбардировщиков в год,</w:t>
      </w:r>
    </w:p>
    <w:p w14:paraId="02D5CE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самолетостроительного № 295 на выпуск 2000 одномоторных бомбардировщиков в год,</w:t>
      </w:r>
    </w:p>
    <w:p w14:paraId="5F64EC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моторостроительного № 337 на выпуск 12000 моторов типа АМ-35 и М-105 в год.</w:t>
      </w:r>
    </w:p>
    <w:p w14:paraId="3DDD47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основу взять пр-т действующего самолетостроительного з-да 18 и моторостроительного з-да 26.</w:t>
      </w:r>
    </w:p>
    <w:p w14:paraId="6CFB68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мледующие сроки окончания стр-ва, монтажа и пуска:</w:t>
      </w:r>
    </w:p>
    <w:p w14:paraId="03DC72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122 - к 31.12.1941</w:t>
      </w:r>
    </w:p>
    <w:p w14:paraId="3B24DC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295 - к 01.02.1942</w:t>
      </w:r>
    </w:p>
    <w:p w14:paraId="1018E1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337 - к 01.05.1942</w:t>
      </w:r>
    </w:p>
    <w:p w14:paraId="25898B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Постановления КО № 154сс от 11 июня 1939 и № 346сс от 17 сентября 1939 в части стр-ва в р-не Куйбышевского гидроузла авиамоторного з-да на 6000 моторов М-105 и з-да дальних бомбардировщиков мощностью на 200 с-т в р-не г. Куйбышева - отложить.</w:t>
      </w:r>
    </w:p>
    <w:p w14:paraId="28B26B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Ворошилов, Пугаев (1292, 228-232).</w:t>
      </w:r>
    </w:p>
    <w:p w14:paraId="5FD50B3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B1C14A6" w14:textId="77777777" w:rsidR="003C7E8B" w:rsidRPr="00DB5D0D" w:rsidRDefault="003C7E8B"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6 августа 1940 г. вышло постановление Комитета Обороны (КО) за № 343-с о строительстве куйбышевского комплекса авиазаводов. Решено было сократить количество заводов до трех (два самолетных, один моторный), присвоив им №№ 122, 295, 377. Проектирование новых объектов возлагалось на Наркомат авиапрома. Сроки строительных работ сокращались вдвое, самолетные заводы предполагалось пустить к 31 декабря 1941 г. и 1 января 1942 г., авиамоторный завод - к 1мая 1942 г. (9716)</w:t>
      </w:r>
    </w:p>
    <w:p w14:paraId="4F50EBB6"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p>
    <w:p w14:paraId="6E6F82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г. было подписано постановление Комитета Обороны при СНК СССР о начале строительства трех новых авиационных заводов в районе г. Куйбышева на Безымянской и Падовской площадках: самолетостроительные – №№ 122 и 295 и моторостроительный – № 337). Их проектирование было возложено на 1-й ГПИ НКАП, а «сверхскоростное» строительство заводов – на НКВД СССР. Строительные работы выполняло Управление Особого строительства НКВД СССР с привлечением как труда вольнонаемных рабочих, так и заключенных. Сроки окончания строительства, монтажа и пуска заводов были намечены на конец 1941 – весну 1942 гг. Вместе с заводами в указанные сроки планировалось ввести в эксплуатацию сеть железнодорожных и шоссейных дорог, водопровод, канализацию и теплосеть (ГАСО. Ф. Р-2064. Оп. 2. Д. 3. Л. 1-2. Д. 13. Л. 73.) (11714).</w:t>
      </w:r>
    </w:p>
    <w:p w14:paraId="46FEA7D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2790885"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6 августа 1940 г. вышло:</w:t>
      </w:r>
    </w:p>
    <w:p w14:paraId="68489900"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Из постановления Комитета Обороны при СНК СССР</w:t>
      </w:r>
    </w:p>
    <w:p w14:paraId="4422882A"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lastRenderedPageBreak/>
        <w:t>о строительстве в Куйбышевской области</w:t>
      </w:r>
    </w:p>
    <w:p w14:paraId="7BCE9410"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самолето- и моторостроительных заводов и создании</w:t>
      </w:r>
    </w:p>
    <w:p w14:paraId="3F131DBA"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специального проектного бюро</w:t>
      </w:r>
    </w:p>
    <w:p w14:paraId="5B684268"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Сов. секретно</w:t>
      </w:r>
    </w:p>
    <w:p w14:paraId="49C887D1"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Комитет Обороны при СНК Союза ССР - ПОСТАНОВЛЯЕТ:</w:t>
      </w:r>
    </w:p>
    <w:p w14:paraId="2D0F3651"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1. Приступить в 1940 году к строительству трех новых авиационных заводов в районе г. Куйбышева на Безымянской и Падовской площадках, в том числе:</w:t>
      </w:r>
    </w:p>
    <w:p w14:paraId="3BA38FA7"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Самолетостроительный завод № 122 на выпуск 1500 двухмоторных цельнометаллических бомбардировщиков в год, с трудоемкостью на одну машину 10000 человеко-часов с запасными частями;</w:t>
      </w:r>
    </w:p>
    <w:p w14:paraId="0CCAC56D"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Самолетостроительный завод № 295 на выпуск 2000 одномоторных бомбардировщиков в год, с трудоемкостью на одну машину 7500 человеко-часов с запасными частями;</w:t>
      </w:r>
    </w:p>
    <w:p w14:paraId="5A048C36"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Моторостроительный завод № 337 на выпуск 12000 моторов типа АМ35а-М105 в год, с трудоемкостью на один мотор 1300 человеко-часов...</w:t>
      </w:r>
    </w:p>
    <w:p w14:paraId="7B83D47F"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2. Установить следующие сроки окончания строительства, монтажа и пуска заводов:</w:t>
      </w:r>
    </w:p>
    <w:p w14:paraId="0B7C0706"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самолетостроительный завод № 122 к 31 декабря 1941 г.</w:t>
      </w:r>
    </w:p>
    <w:p w14:paraId="30262076"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самолетостроительный завод № 295 к 1 февраля 1942 г.</w:t>
      </w:r>
    </w:p>
    <w:p w14:paraId="41B819F2"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моторостроительный завод №337 к 1 мая 1942 г.</w:t>
      </w:r>
    </w:p>
    <w:p w14:paraId="4EC832E7"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3. Возложить строительство самолетостроительных и моторостроительных заводов на НКВД СССР.</w:t>
      </w:r>
    </w:p>
    <w:p w14:paraId="7155A786"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4. Проектирование заводов возложить на НКАП (1-й Государственный Проектный Институт), для чего НКАПу организовать специальное проектное бюро...</w:t>
      </w:r>
    </w:p>
    <w:p w14:paraId="7E08B730"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Председатель Комитета Обороны при СНК СССР Ворошилов</w:t>
      </w:r>
    </w:p>
    <w:p w14:paraId="2F68A1DA" w14:textId="77777777" w:rsidR="003C7E8B" w:rsidRPr="00DB5D0D" w:rsidRDefault="003C7E8B" w:rsidP="00DB5D0D">
      <w:pPr>
        <w:pStyle w:val="Blockquote"/>
        <w:spacing w:before="0" w:after="0"/>
        <w:ind w:left="0" w:right="0"/>
        <w:jc w:val="both"/>
        <w:rPr>
          <w:color w:val="000000" w:themeColor="text1"/>
          <w:sz w:val="16"/>
          <w:szCs w:val="16"/>
          <w:lang w:val="ru-RU"/>
        </w:rPr>
      </w:pPr>
      <w:r w:rsidRPr="00DB5D0D">
        <w:rPr>
          <w:color w:val="000000" w:themeColor="text1"/>
          <w:sz w:val="16"/>
          <w:szCs w:val="16"/>
          <w:lang w:val="ru-RU"/>
        </w:rPr>
        <w:t>(ГАСО. Ф. Р- 2064. Oп. 2. Д. 3. Л. 1-2.) (11816).</w:t>
      </w:r>
    </w:p>
    <w:p w14:paraId="5C15F3F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B98E17"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августа 1940 г.</w:t>
      </w:r>
    </w:p>
    <w:p w14:paraId="6F8CCC63"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 постановления Комитета Обороны при СНК СССР о строительстве в Куйбышевской области самолето- и моторостроительных заводов и создании специального проектного бюро</w:t>
      </w:r>
    </w:p>
    <w:p w14:paraId="0789EF79"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августа 1940 г.</w:t>
      </w:r>
    </w:p>
    <w:p w14:paraId="51B4B206"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 секретно</w:t>
      </w:r>
    </w:p>
    <w:p w14:paraId="1C1E6B72"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Обороны при СНК Союза ССР - ПОСТАНОВЛЯЕТ:</w:t>
      </w:r>
    </w:p>
    <w:p w14:paraId="560CB108"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Приступить в 1940 году к строительству трех новых авиационных заводов в районе г. Куйбышева на Безымянской и Падовской площадках, в том числе:</w:t>
      </w:r>
    </w:p>
    <w:p w14:paraId="3FF057B9"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Самолетостроительный завод № 122 на выпуск 1500 двухмоторных цельнометаллических бомбардировщиков в год, с трудоемкостью на одну машину 10000 человеко-часов с запасными частями;</w:t>
      </w:r>
    </w:p>
    <w:p w14:paraId="0262298E"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Самолетостроительный завод № 295 на выпуск 2000 одномоторных бомбардировщиков в год, с трудоемкостью на одну машину 7500 человеко-часов с запасными частями;</w:t>
      </w:r>
    </w:p>
    <w:p w14:paraId="0AE0DBCB"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Моторостроительный завод № 337 на выпуск 12000 моторов типа АМ35а-М105 в год, с трудоемкостью на один мотор 1300 человекочасов...</w:t>
      </w:r>
    </w:p>
    <w:p w14:paraId="6F5CBEDB"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Установить следующие сроки окончания строительства, монтажа и пуска заводов:</w:t>
      </w:r>
    </w:p>
    <w:p w14:paraId="5412CCA9"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самолетостроительный завод № 122 к 31 декабря 1941 г.</w:t>
      </w:r>
    </w:p>
    <w:p w14:paraId="70425CB6"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самолетостроительный завод № 295 к 1 февраля 1942 г.</w:t>
      </w:r>
    </w:p>
    <w:p w14:paraId="3CEBB2D8"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моторостроительный завод № 337 к 1 мая 1942 г.</w:t>
      </w:r>
    </w:p>
    <w:p w14:paraId="3938E4B5"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Возложить строительство самолетостроительных и моторостроительных заводов на НКВД СССР.</w:t>
      </w:r>
    </w:p>
    <w:p w14:paraId="56AABE3B"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Проектирование заводов возложить на НКАП (1-й Государственный Проектный Институт), для чего НКАПу организовать специальное проектное бюро...</w:t>
      </w:r>
    </w:p>
    <w:p w14:paraId="6F50CC66"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Председатель Комитета Обороны при СНК СССР Ворошилов</w:t>
      </w:r>
    </w:p>
    <w:p w14:paraId="09BE65A3"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ГАСО. Ф. Р- 2064. On. 2. Д. 3. Л. 1-2. Копия (20578).</w:t>
      </w:r>
    </w:p>
    <w:p w14:paraId="684DC600" w14:textId="77777777" w:rsidR="00846F3C" w:rsidRPr="00DB5D0D" w:rsidRDefault="00846F3C" w:rsidP="00DB5D0D">
      <w:pPr>
        <w:spacing w:after="0" w:line="240" w:lineRule="auto"/>
        <w:jc w:val="both"/>
        <w:rPr>
          <w:rFonts w:ascii="Times New Roman" w:hAnsi="Times New Roman"/>
          <w:color w:val="0070C0"/>
          <w:sz w:val="16"/>
          <w:szCs w:val="16"/>
        </w:rPr>
      </w:pPr>
    </w:p>
    <w:p w14:paraId="0AB1D927"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августа 1940 вышло Постановление Комитета обороны при СНК СССР № 343сс "О строительстве авиационных заводов самолето- и моторостроения"</w:t>
      </w:r>
    </w:p>
    <w:p w14:paraId="63E456E7"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ОБОРОНЫ при СНК Союза ССР ПОСТАНОВЛЯЕТ:</w:t>
      </w:r>
    </w:p>
    <w:p w14:paraId="49E6BC6D"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Приступить в 1940 году к строительству трех новых авиа</w:t>
      </w:r>
      <w:r w:rsidRPr="00DB5D0D">
        <w:rPr>
          <w:rFonts w:ascii="Times New Roman" w:hAnsi="Times New Roman"/>
          <w:color w:val="0070C0"/>
          <w:sz w:val="16"/>
          <w:szCs w:val="16"/>
        </w:rPr>
        <w:softHyphen/>
        <w:t>ционных заводов в районе г. Куйбышева на Безымянской и Падовской площадках, в том числе:</w:t>
      </w:r>
    </w:p>
    <w:p w14:paraId="33D779A4"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самолетостроительный завод № 122 на выпуск 1500 двух</w:t>
      </w:r>
      <w:r w:rsidRPr="00DB5D0D">
        <w:rPr>
          <w:rFonts w:ascii="Times New Roman" w:hAnsi="Times New Roman"/>
          <w:color w:val="0070C0"/>
          <w:sz w:val="16"/>
          <w:szCs w:val="16"/>
        </w:rPr>
        <w:softHyphen/>
        <w:t>моторных цельнометаллических бомбардировщиков в год, с трудоем</w:t>
      </w:r>
      <w:r w:rsidRPr="00DB5D0D">
        <w:rPr>
          <w:rFonts w:ascii="Times New Roman" w:hAnsi="Times New Roman"/>
          <w:color w:val="0070C0"/>
          <w:sz w:val="16"/>
          <w:szCs w:val="16"/>
        </w:rPr>
        <w:softHyphen/>
        <w:t>костью на одну машину 10.000 человеко-часов с запасными частями;</w:t>
      </w:r>
    </w:p>
    <w:p w14:paraId="6C624C76"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самолетостроительный завод № 295 на выпуск 2000 одно</w:t>
      </w:r>
      <w:r w:rsidRPr="00DB5D0D">
        <w:rPr>
          <w:rFonts w:ascii="Times New Roman" w:hAnsi="Times New Roman"/>
          <w:color w:val="0070C0"/>
          <w:sz w:val="16"/>
          <w:szCs w:val="16"/>
        </w:rPr>
        <w:softHyphen/>
        <w:t>моторных бомбардировщиков в год, с трудоемкостью на одну машину 7.500 человеко-часов с запасными частями;</w:t>
      </w:r>
    </w:p>
    <w:p w14:paraId="121C3A70"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моторостроительный завод № 337 на выпуск 12000 моторов типа АМ35А и М-105 в год, с трудоемкостью на один мотор 1300 че</w:t>
      </w:r>
      <w:r w:rsidRPr="00DB5D0D">
        <w:rPr>
          <w:rFonts w:ascii="Times New Roman" w:hAnsi="Times New Roman"/>
          <w:color w:val="0070C0"/>
          <w:sz w:val="16"/>
          <w:szCs w:val="16"/>
        </w:rPr>
        <w:softHyphen/>
        <w:t>ловеко-часов.</w:t>
      </w:r>
    </w:p>
    <w:p w14:paraId="5FFA9FFF"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 заводы проектируются из расчета двухсменной работы при 8-ми часовом рабочем дне и 7-ми дневной неделе.</w:t>
      </w:r>
    </w:p>
    <w:p w14:paraId="2CD8D427"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Обязать Наркомавиапром и НКВД при проектировании указан</w:t>
      </w:r>
      <w:r w:rsidRPr="00DB5D0D">
        <w:rPr>
          <w:rFonts w:ascii="Times New Roman" w:hAnsi="Times New Roman"/>
          <w:color w:val="0070C0"/>
          <w:sz w:val="16"/>
          <w:szCs w:val="16"/>
        </w:rPr>
        <w:softHyphen/>
        <w:t>ных в пункте 1 заводов взять за основу проект действуищего само</w:t>
      </w:r>
      <w:r w:rsidRPr="00DB5D0D">
        <w:rPr>
          <w:rFonts w:ascii="Times New Roman" w:hAnsi="Times New Roman"/>
          <w:color w:val="0070C0"/>
          <w:sz w:val="16"/>
          <w:szCs w:val="16"/>
        </w:rPr>
        <w:softHyphen/>
        <w:t>летостроительного завода № 18 ( для обоих самолетных заводов ) и моторостроительного завода № 26 (для моторного завода ).</w:t>
      </w:r>
    </w:p>
    <w:p w14:paraId="154F9FD5"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Установить следующие сроки окончания строительства, мон</w:t>
      </w:r>
      <w:r w:rsidRPr="00DB5D0D">
        <w:rPr>
          <w:rFonts w:ascii="Times New Roman" w:hAnsi="Times New Roman"/>
          <w:color w:val="0070C0"/>
          <w:sz w:val="16"/>
          <w:szCs w:val="16"/>
        </w:rPr>
        <w:softHyphen/>
        <w:t>тажа и пуска заводов:</w:t>
      </w:r>
    </w:p>
    <w:p w14:paraId="2AB362AE"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самолетостроительный завод № 122 к 31 декабря 1941 г. самолетостроительный завод № 295 к 1 февраля 1942 г.</w:t>
      </w:r>
    </w:p>
    <w:p w14:paraId="3EDD7ECF"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моторостроительный завод № 337 к 1 мая 1942 г.</w:t>
      </w:r>
    </w:p>
    <w:p w14:paraId="52569D9F"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Возложить строительство самолетостроительных и моторо</w:t>
      </w:r>
      <w:r w:rsidRPr="00DB5D0D">
        <w:rPr>
          <w:rFonts w:ascii="Times New Roman" w:hAnsi="Times New Roman"/>
          <w:color w:val="0070C0"/>
          <w:sz w:val="16"/>
          <w:szCs w:val="16"/>
        </w:rPr>
        <w:softHyphen/>
        <w:t>строительного заводов на НКВД СССР.</w:t>
      </w:r>
    </w:p>
    <w:p w14:paraId="5FE9AF1B"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Проектирование заводов возложить на НКАП ( 1-й Тосударственный Проектный Институт ), для чего Наркомавиапрому организо</w:t>
      </w:r>
      <w:r w:rsidRPr="00DB5D0D">
        <w:rPr>
          <w:rFonts w:ascii="Times New Roman" w:hAnsi="Times New Roman"/>
          <w:color w:val="0070C0"/>
          <w:sz w:val="16"/>
          <w:szCs w:val="16"/>
        </w:rPr>
        <w:softHyphen/>
        <w:t>вать специальное Проектное Бюро.</w:t>
      </w:r>
    </w:p>
    <w:p w14:paraId="22EF908D"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Обязать Наркомсудпром (46-й Проектный трест ), Нарком- электростанций (Темоэлектропроект), Наркомстрой, Проектстрой, Горстройпроект (Центрезнергомонтах ), Наркомкомхоз РСФСР ( (Вододканалпроект ), Наркомтяжмап (ВАТ и Союзпроммеханизация ), Наркомсредмаш (Проектное Бюро завода "Компрессор", Электрохимзащита), Наркомнефть (Газомонтажпроект), Наркомэлектропром (контора Электропечь ), НКПС (Союзтранспроект), Наркомсвязи (5-я Проектно- Монтажная контора), Наркомхимпром (Трест Лакокраспокрытие ), Глав</w:t>
      </w:r>
      <w:r w:rsidRPr="00DB5D0D">
        <w:rPr>
          <w:rFonts w:ascii="Times New Roman" w:hAnsi="Times New Roman"/>
          <w:color w:val="0070C0"/>
          <w:sz w:val="16"/>
          <w:szCs w:val="16"/>
        </w:rPr>
        <w:softHyphen/>
        <w:t>ное Управление Гражданского Воздушного Флота (Аэропроект)- выпол</w:t>
      </w:r>
      <w:r w:rsidRPr="00DB5D0D">
        <w:rPr>
          <w:rFonts w:ascii="Times New Roman" w:hAnsi="Times New Roman"/>
          <w:color w:val="0070C0"/>
          <w:sz w:val="16"/>
          <w:szCs w:val="16"/>
        </w:rPr>
        <w:softHyphen/>
        <w:t>нять проектные работы для 1 ГПИ ИКАП в сроки, обеспечивающие свое</w:t>
      </w:r>
      <w:r w:rsidRPr="00DB5D0D">
        <w:rPr>
          <w:rFonts w:ascii="Times New Roman" w:hAnsi="Times New Roman"/>
          <w:color w:val="0070C0"/>
          <w:sz w:val="16"/>
          <w:szCs w:val="16"/>
        </w:rPr>
        <w:softHyphen/>
        <w:t>временное окончание проекта и монтажные работы во строительству, для чего выделить специальные бригады проектировщиков и монтажни</w:t>
      </w:r>
      <w:r w:rsidRPr="00DB5D0D">
        <w:rPr>
          <w:rFonts w:ascii="Times New Roman" w:hAnsi="Times New Roman"/>
          <w:color w:val="0070C0"/>
          <w:sz w:val="16"/>
          <w:szCs w:val="16"/>
        </w:rPr>
        <w:softHyphen/>
        <w:t>ков, освободив их от всякой другой работы.</w:t>
      </w:r>
    </w:p>
    <w:p w14:paraId="5B8940B8"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Обязать Народного Комиссара Авиационной Промитплянности по согласованию с НКВД СССР утвердить:</w:t>
      </w:r>
    </w:p>
    <w:p w14:paraId="3B84C855"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проектное задание заводов № 122, № 295 и № 337 - к 1 ок</w:t>
      </w:r>
      <w:r w:rsidRPr="00DB5D0D">
        <w:rPr>
          <w:rFonts w:ascii="Times New Roman" w:hAnsi="Times New Roman"/>
          <w:color w:val="0070C0"/>
          <w:sz w:val="16"/>
          <w:szCs w:val="16"/>
        </w:rPr>
        <w:softHyphen/>
        <w:t>тября 1940 года;</w:t>
      </w:r>
      <w:r w:rsidRPr="00DB5D0D">
        <w:rPr>
          <w:rFonts w:ascii="Times New Roman" w:hAnsi="Times New Roman"/>
          <w:color w:val="0070C0"/>
          <w:sz w:val="16"/>
          <w:szCs w:val="16"/>
        </w:rPr>
        <w:tab/>
        <w:t>|</w:t>
      </w:r>
    </w:p>
    <w:p w14:paraId="70063786"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Nirmala UI" w:hAnsi="Nirmala UI" w:cs="Nirmala UI"/>
          <w:color w:val="0070C0"/>
          <w:sz w:val="16"/>
          <w:szCs w:val="16"/>
        </w:rPr>
        <w:t>।</w:t>
      </w:r>
      <w:r w:rsidRPr="00DB5D0D">
        <w:rPr>
          <w:rFonts w:ascii="Times New Roman" w:hAnsi="Times New Roman"/>
          <w:color w:val="0070C0"/>
          <w:sz w:val="16"/>
          <w:szCs w:val="16"/>
        </w:rPr>
        <w:tab/>
        <w:t>б) технические проекты и сметы заводов № 122, № 295 и № 337 - к 1 мая 1941 года.</w:t>
      </w:r>
    </w:p>
    <w:p w14:paraId="398CF6EE"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Разрешить проектирование и строительство основных корпусов указанных заводов в металлоконструкциях.</w:t>
      </w:r>
    </w:p>
    <w:p w14:paraId="6FE9EDFC"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Обязать Наркомавиапром выдать строительству генеральные планы заводов — к 1 сентября 1940 года и с этого же срока начать выдачу рабочих строительных чертежей по первоначальным объектам.</w:t>
      </w:r>
    </w:p>
    <w:p w14:paraId="7C5BE177"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Для обеспечения самолетостроительных и моторостроительного заводов электро и тепло энергией увеличить проектную мощность Безымянской ТЭЦ с 100.000 квт. до 150.000 квт. с отнесением стоимости расширения ТЭЦ на смету авиазаводов.</w:t>
      </w:r>
    </w:p>
    <w:p w14:paraId="6BE59B6C"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Обязать НКВД СССР закончить строительство Безымянской ТЭЦ мощностью 50.000 квт.в 1941 году и на 100.000 квт. к концу 1942 года</w:t>
      </w:r>
    </w:p>
    <w:p w14:paraId="62886E8D"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Изготовление первых двух котлов для Безымянской ТЭЦ возложить на Ленинградский металлический завод им. Сталина Наркомата Вооружения со сроком поставки одного котла в феврале к второго в марте месяце 1941 года, а остальных котлов для этой ТЭЦ на Таганрогский котельный завод Наркомэлектропрома.</w:t>
      </w:r>
    </w:p>
    <w:p w14:paraId="2705FBDA"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Обязать Наркомат Вооружения поставить первую турбину в 25.000 квт. для Безымянской ТЭЦ в 1 квартале 1941 года и вторую турбину в 25.000 квт. в октябре 1941 года.</w:t>
      </w:r>
    </w:p>
    <w:p w14:paraId="2B9BB1DD"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Обязать наркоматы-поставщики оформить в Ш квартале с.г. договоры на поставку оборудования в 1941 г. для Безымянской ТЭЦ в соответствии с установленными в п.п.7 и 8 сроками монтажа и пуска ТЭЦ.</w:t>
      </w:r>
    </w:p>
    <w:p w14:paraId="0F0332B2"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Госплану СССР в плане снабжения на 1941 г. предусмотреть выде</w:t>
      </w:r>
      <w:r w:rsidRPr="00DB5D0D">
        <w:rPr>
          <w:rFonts w:ascii="Times New Roman" w:hAnsi="Times New Roman"/>
          <w:color w:val="0070C0"/>
          <w:sz w:val="16"/>
          <w:szCs w:val="16"/>
        </w:rPr>
        <w:softHyphen/>
        <w:t>ление для Безымянской ТЭЦ необходимого оборудования в соответствии с вводом мощности на зтой станции.</w:t>
      </w:r>
    </w:p>
    <w:p w14:paraId="08BC8E1D"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Обязать НКЭлектростанций обеспечить в 1941 году подачу авиационным заводам электроэнергии мощностью в пределах до 15.000 квт. от Куйбышевской и Безымянской ТЭЦ.</w:t>
      </w:r>
    </w:p>
    <w:p w14:paraId="44A4B1E5"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 Обязать Наркомэлектропром в 1У квартале 1940 года доуком</w:t>
      </w:r>
      <w:r w:rsidRPr="00DB5D0D">
        <w:rPr>
          <w:rFonts w:ascii="Times New Roman" w:hAnsi="Times New Roman"/>
          <w:color w:val="0070C0"/>
          <w:sz w:val="16"/>
          <w:szCs w:val="16"/>
        </w:rPr>
        <w:softHyphen/>
        <w:t>плектовать тепло-електро-оборудованием турбогенератор 12 мгвт. на Куйбышевской ТЭЦ.</w:t>
      </w:r>
    </w:p>
    <w:p w14:paraId="7D498357"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13. Отменить § 10 постановления Экономического Совета при СНК СССР № 447-194с от 26 марта 1940 года о постройке Наркомавиапромом для своих нужд ТЭЦ мощностью в 24.000 квт.</w:t>
      </w:r>
    </w:p>
    <w:p w14:paraId="0840A90E"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Разрешить НКВД для первого периода эксплоатации заводов строить жилье облегченного типа с использованием местных стройматериалов и дерева.</w:t>
      </w:r>
    </w:p>
    <w:p w14:paraId="33A228B9"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Госплану СССР и Наркомавиапрому к 1 октября 1941 года разработать план кооперирования, предусматривающий изготовление другими заводами деталей и оборудования, нужного для укомплектова</w:t>
      </w:r>
      <w:r w:rsidRPr="00DB5D0D">
        <w:rPr>
          <w:rFonts w:ascii="Times New Roman" w:hAnsi="Times New Roman"/>
          <w:color w:val="0070C0"/>
          <w:sz w:val="16"/>
          <w:szCs w:val="16"/>
        </w:rPr>
        <w:softHyphen/>
        <w:t>ния моторов и самолетов, выпускаемых строящимися заводами.</w:t>
      </w:r>
    </w:p>
    <w:p w14:paraId="6F01023E"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Обязать НКВД и Наркомавиапром к 1 сентября 1941 г.представить в Госплан СССР заявку на станки и оборудование для строющихся авиационных заводов №№ 122, 295 и 337.</w:t>
      </w:r>
    </w:p>
    <w:p w14:paraId="14BFF7D7"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 Обязать Экономсовет, Госплан СССР и наркоматы-поставщики предусматривать в годовых народно-хозяйственных планах и кварталь</w:t>
      </w:r>
      <w:r w:rsidRPr="00DB5D0D">
        <w:rPr>
          <w:rFonts w:ascii="Times New Roman" w:hAnsi="Times New Roman"/>
          <w:color w:val="0070C0"/>
          <w:sz w:val="16"/>
          <w:szCs w:val="16"/>
        </w:rPr>
        <w:softHyphen/>
        <w:t>ных балансах выделение фондов на материалы и оборудование для строительства авиационных заводов №№ 122, 295 и 337 - целевым назначением.</w:t>
      </w:r>
    </w:p>
    <w:p w14:paraId="2393BB90"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Реализацию фондов для этих заводов, подачу вагонов и отгруз</w:t>
      </w:r>
      <w:r w:rsidRPr="00DB5D0D">
        <w:rPr>
          <w:rFonts w:ascii="Times New Roman" w:hAnsi="Times New Roman"/>
          <w:color w:val="0070C0"/>
          <w:sz w:val="16"/>
          <w:szCs w:val="16"/>
        </w:rPr>
        <w:softHyphen/>
        <w:t>ку всех материалов и оборудования производить наравне с грузами НКО.</w:t>
      </w:r>
    </w:p>
    <w:p w14:paraId="758F4F96"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Обязать Наркомэлектростанций обеспечить строительство авиационных заводов №№ 122, 295 и 337 электроэнергией по заявкам НКВД.</w:t>
      </w:r>
    </w:p>
    <w:p w14:paraId="15ED2A40"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 Обязать Наркомстрой произвести до договору с НКВД мон</w:t>
      </w:r>
      <w:r w:rsidRPr="00DB5D0D">
        <w:rPr>
          <w:rFonts w:ascii="Times New Roman" w:hAnsi="Times New Roman"/>
          <w:color w:val="0070C0"/>
          <w:sz w:val="16"/>
          <w:szCs w:val="16"/>
        </w:rPr>
        <w:softHyphen/>
        <w:t>таж металлоконструкций на авиационных заводах №№ 122, 295 и 337.</w:t>
      </w:r>
    </w:p>
    <w:p w14:paraId="467A9D5C"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Разрешить НКВД снять со строек других наркоматов, пере</w:t>
      </w:r>
      <w:r w:rsidRPr="00DB5D0D">
        <w:rPr>
          <w:rFonts w:ascii="Times New Roman" w:hAnsi="Times New Roman"/>
          <w:color w:val="0070C0"/>
          <w:sz w:val="16"/>
          <w:szCs w:val="16"/>
        </w:rPr>
        <w:softHyphen/>
        <w:t>численных в приложении и перебросить на строительство авиационных заводов №№ 122, 295 и 337 в 1940 году 25.000 человек лагерников,</w:t>
      </w:r>
    </w:p>
    <w:p w14:paraId="68F3B088"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том числе в августе месяце - 10.000, в сентябре - 10.000 и ок- тя5ре - 5.000 человек.</w:t>
      </w:r>
    </w:p>
    <w:p w14:paraId="67C830A3"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НКПС обеспечить по заявкам НКВД переброску указанного количества лагерников.</w:t>
      </w:r>
    </w:p>
    <w:p w14:paraId="05FED840"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21. Управлению Кадров ЦК ВКП(б) мобилизовать для НКВД на строительство авиационных заводов №№ 122, 295 и 337:</w:t>
      </w:r>
    </w:p>
    <w:p w14:paraId="1CBACC78"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инженеров строителей -</w:t>
      </w:r>
      <w:r w:rsidRPr="00DB5D0D">
        <w:rPr>
          <w:rFonts w:ascii="Times New Roman" w:hAnsi="Times New Roman"/>
          <w:color w:val="0070C0"/>
          <w:sz w:val="16"/>
          <w:szCs w:val="16"/>
        </w:rPr>
        <w:tab/>
        <w:t>80 человек</w:t>
      </w:r>
    </w:p>
    <w:p w14:paraId="4542DA6E"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fldChar w:fldCharType="begin"/>
      </w:r>
      <w:r w:rsidRPr="00DB5D0D">
        <w:rPr>
          <w:rFonts w:ascii="Times New Roman" w:hAnsi="Times New Roman"/>
          <w:color w:val="0070C0"/>
          <w:sz w:val="16"/>
          <w:szCs w:val="16"/>
        </w:rPr>
        <w:instrText xml:space="preserve"> TOC \o "1-5" \h \z </w:instrText>
      </w:r>
      <w:r w:rsidRPr="00DB5D0D">
        <w:rPr>
          <w:rFonts w:ascii="Times New Roman" w:hAnsi="Times New Roman"/>
          <w:color w:val="0070C0"/>
          <w:sz w:val="16"/>
          <w:szCs w:val="16"/>
        </w:rPr>
        <w:fldChar w:fldCharType="separate"/>
      </w:r>
      <w:r w:rsidRPr="00DB5D0D">
        <w:rPr>
          <w:rFonts w:ascii="Times New Roman" w:hAnsi="Times New Roman"/>
          <w:color w:val="0070C0"/>
          <w:sz w:val="16"/>
          <w:szCs w:val="16"/>
        </w:rPr>
        <w:t>инженеров механизаторов</w:t>
      </w:r>
      <w:r w:rsidRPr="00DB5D0D">
        <w:rPr>
          <w:rFonts w:ascii="Times New Roman" w:hAnsi="Times New Roman"/>
          <w:color w:val="0070C0"/>
          <w:sz w:val="16"/>
          <w:szCs w:val="16"/>
        </w:rPr>
        <w:tab/>
        <w:t>-</w:t>
      </w:r>
      <w:r w:rsidRPr="00DB5D0D">
        <w:rPr>
          <w:rFonts w:ascii="Times New Roman" w:hAnsi="Times New Roman"/>
          <w:color w:val="0070C0"/>
          <w:sz w:val="16"/>
          <w:szCs w:val="16"/>
        </w:rPr>
        <w:tab/>
        <w:t>20</w:t>
      </w:r>
      <w:r w:rsidRPr="00DB5D0D">
        <w:rPr>
          <w:rFonts w:ascii="Times New Roman" w:hAnsi="Times New Roman"/>
          <w:color w:val="0070C0"/>
          <w:sz w:val="16"/>
          <w:szCs w:val="16"/>
        </w:rPr>
        <w:tab/>
        <w:t>*</w:t>
      </w:r>
    </w:p>
    <w:p w14:paraId="30C288B3"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инженеров-энергетиков</w:t>
      </w:r>
      <w:r w:rsidRPr="00DB5D0D">
        <w:rPr>
          <w:rFonts w:ascii="Times New Roman" w:hAnsi="Times New Roman"/>
          <w:color w:val="0070C0"/>
          <w:sz w:val="16"/>
          <w:szCs w:val="16"/>
        </w:rPr>
        <w:tab/>
        <w:t>-</w:t>
      </w:r>
      <w:r w:rsidRPr="00DB5D0D">
        <w:rPr>
          <w:rFonts w:ascii="Times New Roman" w:hAnsi="Times New Roman"/>
          <w:color w:val="0070C0"/>
          <w:sz w:val="16"/>
          <w:szCs w:val="16"/>
        </w:rPr>
        <w:tab/>
        <w:t>25</w:t>
      </w:r>
      <w:r w:rsidRPr="00DB5D0D">
        <w:rPr>
          <w:rFonts w:ascii="Times New Roman" w:hAnsi="Times New Roman"/>
          <w:color w:val="0070C0"/>
          <w:sz w:val="16"/>
          <w:szCs w:val="16"/>
        </w:rPr>
        <w:tab/>
        <w:t>’</w:t>
      </w:r>
    </w:p>
    <w:p w14:paraId="32031398"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инженеров-технологов по строительном материалам</w:t>
      </w:r>
      <w:r w:rsidRPr="00DB5D0D">
        <w:rPr>
          <w:rFonts w:ascii="Times New Roman" w:hAnsi="Times New Roman"/>
          <w:color w:val="0070C0"/>
          <w:sz w:val="16"/>
          <w:szCs w:val="16"/>
        </w:rPr>
        <w:tab/>
        <w:t>-</w:t>
      </w:r>
      <w:r w:rsidRPr="00DB5D0D">
        <w:rPr>
          <w:rFonts w:ascii="Times New Roman" w:hAnsi="Times New Roman"/>
          <w:color w:val="0070C0"/>
          <w:sz w:val="16"/>
          <w:szCs w:val="16"/>
        </w:rPr>
        <w:tab/>
        <w:t>15</w:t>
      </w:r>
      <w:r w:rsidRPr="00DB5D0D">
        <w:rPr>
          <w:rFonts w:ascii="Times New Roman" w:hAnsi="Times New Roman"/>
          <w:color w:val="0070C0"/>
          <w:sz w:val="16"/>
          <w:szCs w:val="16"/>
        </w:rPr>
        <w:tab/>
        <w:t>"</w:t>
      </w:r>
    </w:p>
    <w:p w14:paraId="3B137C85"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инженеров-конструкторов по строительному оборудованию</w:t>
      </w:r>
      <w:r w:rsidRPr="00DB5D0D">
        <w:rPr>
          <w:rFonts w:ascii="Times New Roman" w:hAnsi="Times New Roman"/>
          <w:color w:val="0070C0"/>
          <w:sz w:val="16"/>
          <w:szCs w:val="16"/>
        </w:rPr>
        <w:tab/>
      </w:r>
      <w:r w:rsidRPr="00DB5D0D">
        <w:rPr>
          <w:rFonts w:ascii="Times New Roman" w:hAnsi="Times New Roman"/>
          <w:color w:val="0070C0"/>
          <w:sz w:val="16"/>
          <w:szCs w:val="16"/>
        </w:rPr>
        <w:tab/>
        <w:t>8"</w:t>
      </w:r>
    </w:p>
    <w:p w14:paraId="759CCD09"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инженеров-механиков</w:t>
      </w:r>
      <w:r w:rsidRPr="00DB5D0D">
        <w:rPr>
          <w:rFonts w:ascii="Times New Roman" w:hAnsi="Times New Roman"/>
          <w:color w:val="0070C0"/>
          <w:sz w:val="16"/>
          <w:szCs w:val="16"/>
        </w:rPr>
        <w:tab/>
        <w:t>-</w:t>
      </w:r>
      <w:r w:rsidRPr="00DB5D0D">
        <w:rPr>
          <w:rFonts w:ascii="Times New Roman" w:hAnsi="Times New Roman"/>
          <w:color w:val="0070C0"/>
          <w:sz w:val="16"/>
          <w:szCs w:val="16"/>
        </w:rPr>
        <w:tab/>
        <w:t>20</w:t>
      </w:r>
      <w:r w:rsidRPr="00DB5D0D">
        <w:rPr>
          <w:rFonts w:ascii="Times New Roman" w:hAnsi="Times New Roman"/>
          <w:color w:val="0070C0"/>
          <w:sz w:val="16"/>
          <w:szCs w:val="16"/>
        </w:rPr>
        <w:tab/>
        <w:t>в</w:t>
      </w:r>
    </w:p>
    <w:p w14:paraId="1B72C07E"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плановиков-экономистов и финансистов</w:t>
      </w:r>
      <w:r w:rsidRPr="00DB5D0D">
        <w:rPr>
          <w:rFonts w:ascii="Times New Roman" w:hAnsi="Times New Roman"/>
          <w:color w:val="0070C0"/>
          <w:sz w:val="16"/>
          <w:szCs w:val="16"/>
        </w:rPr>
        <w:tab/>
        <w:t>-</w:t>
      </w:r>
      <w:r w:rsidRPr="00DB5D0D">
        <w:rPr>
          <w:rFonts w:ascii="Times New Roman" w:hAnsi="Times New Roman"/>
          <w:color w:val="0070C0"/>
          <w:sz w:val="16"/>
          <w:szCs w:val="16"/>
        </w:rPr>
        <w:tab/>
        <w:t>30</w:t>
      </w:r>
      <w:r w:rsidRPr="00DB5D0D">
        <w:rPr>
          <w:rFonts w:ascii="Times New Roman" w:hAnsi="Times New Roman"/>
          <w:color w:val="0070C0"/>
          <w:sz w:val="16"/>
          <w:szCs w:val="16"/>
        </w:rPr>
        <w:tab/>
        <w:t>"</w:t>
      </w:r>
    </w:p>
    <w:p w14:paraId="1C4F5CBF"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инженеров-транспортников к по заводскому транспорту)</w:t>
      </w:r>
      <w:r w:rsidRPr="00DB5D0D">
        <w:rPr>
          <w:rFonts w:ascii="Times New Roman" w:hAnsi="Times New Roman"/>
          <w:color w:val="0070C0"/>
          <w:sz w:val="16"/>
          <w:szCs w:val="16"/>
        </w:rPr>
        <w:tab/>
        <w:t>-</w:t>
      </w:r>
      <w:r w:rsidRPr="00DB5D0D">
        <w:rPr>
          <w:rFonts w:ascii="Times New Roman" w:hAnsi="Times New Roman"/>
          <w:color w:val="0070C0"/>
          <w:sz w:val="16"/>
          <w:szCs w:val="16"/>
        </w:rPr>
        <w:tab/>
        <w:t>Ю</w:t>
      </w:r>
      <w:r w:rsidRPr="00DB5D0D">
        <w:rPr>
          <w:rFonts w:ascii="Times New Roman" w:hAnsi="Times New Roman"/>
          <w:color w:val="0070C0"/>
          <w:sz w:val="16"/>
          <w:szCs w:val="16"/>
        </w:rPr>
        <w:tab/>
        <w:t>•</w:t>
      </w:r>
    </w:p>
    <w:p w14:paraId="2BA5BCFE"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главных и ст.бухгалтеров</w:t>
      </w:r>
      <w:r w:rsidRPr="00DB5D0D">
        <w:rPr>
          <w:rFonts w:ascii="Times New Roman" w:hAnsi="Times New Roman"/>
          <w:color w:val="0070C0"/>
          <w:sz w:val="16"/>
          <w:szCs w:val="16"/>
        </w:rPr>
        <w:tab/>
        <w:t>-</w:t>
      </w:r>
      <w:r w:rsidRPr="00DB5D0D">
        <w:rPr>
          <w:rFonts w:ascii="Times New Roman" w:hAnsi="Times New Roman"/>
          <w:color w:val="0070C0"/>
          <w:sz w:val="16"/>
          <w:szCs w:val="16"/>
        </w:rPr>
        <w:tab/>
        <w:t>20</w:t>
      </w:r>
      <w:r w:rsidRPr="00DB5D0D">
        <w:rPr>
          <w:rFonts w:ascii="Times New Roman" w:hAnsi="Times New Roman"/>
          <w:color w:val="0070C0"/>
          <w:sz w:val="16"/>
          <w:szCs w:val="16"/>
        </w:rPr>
        <w:tab/>
        <w:t>"</w:t>
      </w:r>
    </w:p>
    <w:p w14:paraId="10501932"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адашнист ративно-хозяйственных работников</w:t>
      </w:r>
      <w:r w:rsidRPr="00DB5D0D">
        <w:rPr>
          <w:rFonts w:ascii="Times New Roman" w:hAnsi="Times New Roman"/>
          <w:color w:val="0070C0"/>
          <w:sz w:val="16"/>
          <w:szCs w:val="16"/>
        </w:rPr>
        <w:tab/>
        <w:t>-</w:t>
      </w:r>
      <w:r w:rsidRPr="00DB5D0D">
        <w:rPr>
          <w:rFonts w:ascii="Times New Roman" w:hAnsi="Times New Roman"/>
          <w:color w:val="0070C0"/>
          <w:sz w:val="16"/>
          <w:szCs w:val="16"/>
        </w:rPr>
        <w:tab/>
        <w:t>20</w:t>
      </w:r>
      <w:r w:rsidRPr="00DB5D0D">
        <w:rPr>
          <w:rFonts w:ascii="Times New Roman" w:hAnsi="Times New Roman"/>
          <w:color w:val="0070C0"/>
          <w:sz w:val="16"/>
          <w:szCs w:val="16"/>
        </w:rPr>
        <w:tab/>
        <w:t>"</w:t>
      </w:r>
      <w:r w:rsidRPr="00DB5D0D">
        <w:rPr>
          <w:rFonts w:ascii="Times New Roman" w:hAnsi="Times New Roman"/>
          <w:color w:val="0070C0"/>
          <w:sz w:val="16"/>
          <w:szCs w:val="16"/>
        </w:rPr>
        <w:fldChar w:fldCharType="end"/>
      </w:r>
    </w:p>
    <w:p w14:paraId="6BE33A20"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 Разрешить НКВД СССР:</w:t>
      </w:r>
    </w:p>
    <w:p w14:paraId="0739C8DA"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организовать специальное управление, на правах Главка по строительству авиационных заводов;</w:t>
      </w:r>
    </w:p>
    <w:p w14:paraId="4EDB03F9"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утвердить ставки для инженерно-технических и админи</w:t>
      </w:r>
      <w:r w:rsidRPr="00DB5D0D">
        <w:rPr>
          <w:rFonts w:ascii="Times New Roman" w:hAnsi="Times New Roman"/>
          <w:color w:val="0070C0"/>
          <w:sz w:val="16"/>
          <w:szCs w:val="16"/>
        </w:rPr>
        <w:softHyphen/>
        <w:t>стративно-хозяйственных работников строительства авиационных заво</w:t>
      </w:r>
      <w:r w:rsidRPr="00DB5D0D">
        <w:rPr>
          <w:rFonts w:ascii="Times New Roman" w:hAnsi="Times New Roman"/>
          <w:color w:val="0070C0"/>
          <w:sz w:val="16"/>
          <w:szCs w:val="16"/>
        </w:rPr>
        <w:softHyphen/>
        <w:t>дов;</w:t>
      </w:r>
    </w:p>
    <w:p w14:paraId="43344AD0"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бронировать до скончания строительства квартиры за ра</w:t>
      </w:r>
      <w:r w:rsidRPr="00DB5D0D">
        <w:rPr>
          <w:rFonts w:ascii="Times New Roman" w:hAnsi="Times New Roman"/>
          <w:color w:val="0070C0"/>
          <w:sz w:val="16"/>
          <w:szCs w:val="16"/>
        </w:rPr>
        <w:softHyphen/>
        <w:t>ботниками, направленными на строительство авиационных заводов;</w:t>
      </w:r>
    </w:p>
    <w:p w14:paraId="4826E1DB"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принять для строительства авиационных заводов тарифный поясной коэфициент - 1,0.</w:t>
      </w:r>
    </w:p>
    <w:p w14:paraId="16B375AA"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 Установить доя строительства авиационных заводов ММ 1??, 295 ж 337 накладные расходы в размере 26% с плановым накоплением, в том числе административно-хозяйственные расходы 10% с пропорци</w:t>
      </w:r>
      <w:r w:rsidRPr="00DB5D0D">
        <w:rPr>
          <w:rFonts w:ascii="Times New Roman" w:hAnsi="Times New Roman"/>
          <w:color w:val="0070C0"/>
          <w:sz w:val="16"/>
          <w:szCs w:val="16"/>
        </w:rPr>
        <w:softHyphen/>
        <w:t>ональным повышением накладных расходов по монтажным работам.</w:t>
      </w:r>
    </w:p>
    <w:p w14:paraId="7DB5ABD5"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 Установить план капитальных работ по авиазаводам №№ 295 и 337 на 1940 год - 80 миллионов рублей, включая удорожающие факторы.</w:t>
      </w:r>
    </w:p>
    <w:p w14:paraId="3D8E099C"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 Выделить НКВД для авиационных заводов из резервного фонда СНК СССР - 139 миллионов рублей, - в том числе:</w:t>
      </w:r>
    </w:p>
    <w:p w14:paraId="0D1369A3"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на финансирование строительства в Ш квартале т.г. на подготовительные мероприятия - 30 млн. рублей;</w:t>
      </w:r>
    </w:p>
    <w:p w14:paraId="3CC83C06"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в оборотные средства 40 млн. рублей с отпуском их в Ш квар</w:t>
      </w:r>
      <w:r w:rsidRPr="00DB5D0D">
        <w:rPr>
          <w:rFonts w:ascii="Times New Roman" w:hAnsi="Times New Roman"/>
          <w:color w:val="0070C0"/>
          <w:sz w:val="16"/>
          <w:szCs w:val="16"/>
        </w:rPr>
        <w:softHyphen/>
        <w:t>тале т.г.;</w:t>
      </w:r>
    </w:p>
    <w:p w14:paraId="68B399A7"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аванс на заготовку материалов и оборудования для обеспече</w:t>
      </w:r>
      <w:r w:rsidRPr="00DB5D0D">
        <w:rPr>
          <w:rFonts w:ascii="Times New Roman" w:hAnsi="Times New Roman"/>
          <w:color w:val="0070C0"/>
          <w:sz w:val="16"/>
          <w:szCs w:val="16"/>
        </w:rPr>
        <w:softHyphen/>
        <w:t>ния программы работ 1941 г.- 60 миллионов рублей;</w:t>
      </w:r>
    </w:p>
    <w:p w14:paraId="4D1A95F3"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на покрытие разрыва по финансовому плану ГУЛАГ”а вследствие снятия рабочей силы с об"ектов других наркоматов - 9 млн.рублей.</w:t>
      </w:r>
    </w:p>
    <w:p w14:paraId="0FF775E7"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Предложить Промбанку СССР финансировать строительство авиазаводов №№ 122, 295 и 337 до утверждения проектов и смет по сметно-финансовым расчетам на отдельные об’екты.</w:t>
      </w:r>
    </w:p>
    <w:p w14:paraId="2372E49A"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27. Обязать Наркомавиапром подготовить к пуску заводов производственные кадры для эксплоатации этих заводов.</w:t>
      </w:r>
    </w:p>
    <w:p w14:paraId="09B8BEF1"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28. Поручить Куйбышевскому Облисполкому провести в месячный срок отвод и отчуждение земель, необходимых для строительства за</w:t>
      </w:r>
      <w:r w:rsidRPr="00DB5D0D">
        <w:rPr>
          <w:rFonts w:ascii="Times New Roman" w:hAnsi="Times New Roman"/>
          <w:color w:val="0070C0"/>
          <w:sz w:val="16"/>
          <w:szCs w:val="16"/>
        </w:rPr>
        <w:softHyphen/>
        <w:t>водов, поселков и аэродромов, с последующим оформлением в установ</w:t>
      </w:r>
      <w:r w:rsidRPr="00DB5D0D">
        <w:rPr>
          <w:rFonts w:ascii="Times New Roman" w:hAnsi="Times New Roman"/>
          <w:color w:val="0070C0"/>
          <w:sz w:val="16"/>
          <w:szCs w:val="16"/>
        </w:rPr>
        <w:softHyphen/>
        <w:t>ленном порядке.</w:t>
      </w:r>
    </w:p>
    <w:p w14:paraId="0F81D29C"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29. Для создания ремонтно-механической базы строительства заводов разрешить НКВД СССР демонтировать Дмитровский завод ГУЛАГ"а НКВД и оборудование полностью перенести на комплектование Куйбы</w:t>
      </w:r>
      <w:r w:rsidRPr="00DB5D0D">
        <w:rPr>
          <w:rFonts w:ascii="Times New Roman" w:hAnsi="Times New Roman"/>
          <w:color w:val="0070C0"/>
          <w:sz w:val="16"/>
          <w:szCs w:val="16"/>
        </w:rPr>
        <w:softHyphen/>
        <w:t>шевского завода ГУЛАГ"а НКВД СССР.</w:t>
      </w:r>
    </w:p>
    <w:p w14:paraId="027960D9"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Госплану СССР программу производства газогенераторных установок Дмитровского завода разместить в десятидневный срок на других заводах промышленности.</w:t>
      </w:r>
    </w:p>
    <w:p w14:paraId="058524D3"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30. Для временного размещения Проектного бюро авиационных заводов обязать Моссовет - тов. Пронина выделить Наркомавиапрому в августе месяце с .г. конторское помещение площадью в 1000 кв. метров.</w:t>
      </w:r>
    </w:p>
    <w:p w14:paraId="5FE26AC6" w14:textId="77777777" w:rsidR="00846F3C" w:rsidRPr="00DB5D0D" w:rsidRDefault="00846F3C"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Постановления Комитета Обороны № 154сс от 11.6.39г. и № 346сс от 17.9.39г. в части строительства в районе Куйбышевского гидроузла авиамоторного завода мощностью на 6000 моторов М-105 и зарода дальних бомбардировщиков мощностью на 2000 самолетов в районе г. Куйбышева -отменить (22021).</w:t>
      </w:r>
    </w:p>
    <w:p w14:paraId="0C2720A4" w14:textId="77777777" w:rsidR="00846F3C" w:rsidRPr="00DB5D0D" w:rsidRDefault="00846F3C" w:rsidP="00DB5D0D">
      <w:pPr>
        <w:spacing w:after="0" w:line="240" w:lineRule="auto"/>
        <w:jc w:val="both"/>
        <w:rPr>
          <w:rFonts w:ascii="Times New Roman" w:hAnsi="Times New Roman"/>
          <w:color w:val="0070C0"/>
          <w:sz w:val="16"/>
          <w:szCs w:val="16"/>
        </w:rPr>
      </w:pPr>
    </w:p>
    <w:p w14:paraId="513C7D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августа 1940 г. </w:t>
      </w:r>
      <w:r w:rsidRPr="00DB5D0D">
        <w:rPr>
          <w:rFonts w:ascii="Times New Roman" w:hAnsi="Times New Roman"/>
          <w:iCs/>
          <w:color w:val="000000" w:themeColor="text1"/>
          <w:sz w:val="16"/>
          <w:szCs w:val="16"/>
        </w:rPr>
        <w:t xml:space="preserve">Сов. Секретно </w:t>
      </w:r>
    </w:p>
    <w:p w14:paraId="189E07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 xml:space="preserve">Из постановления Комитета Обороны при СНК СССР о строительстве в Куйбышевской области самолето - и моторостроительных заводов и создании специального проектного бюро </w:t>
      </w:r>
    </w:p>
    <w:p w14:paraId="019267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Комитет Обороны при СНК Союза ССР - ПОСТАНОВЛЯЕТ: </w:t>
      </w:r>
    </w:p>
    <w:p w14:paraId="689F6D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Приступить в 1940 году к строительству трех новых авиационных заводов в районе г. Куйбышева на Безымянской и Падовской площадках, в том числе: </w:t>
      </w:r>
    </w:p>
    <w:p w14:paraId="473F50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Самолетостроительный завод № 122 на выпуск 1500 двухмоторных цельнометаллических бомбардировщиков в год, с трудоемкостью на одну машину 10000 человеко-часов с запасными частями; </w:t>
      </w:r>
    </w:p>
    <w:p w14:paraId="631079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Самолетостроительный завод № 295 на выпуск 2000 одномоторных бомбардировщиков в год, с трудоемкостью на одну машину 7500 человеко-часов с запасными частями; </w:t>
      </w:r>
    </w:p>
    <w:p w14:paraId="0A13ED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Моторостроительный завод № 337 на выпуск 12000 моторов типа АМ35а-М105 в год, с трудоемкостью на один мотор 1300 человеко-часов... </w:t>
      </w:r>
    </w:p>
    <w:p w14:paraId="39972B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Установить следующие сроки окончания строительства, монтажа и пуска заводов: </w:t>
      </w:r>
    </w:p>
    <w:p w14:paraId="776770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самолетостроительный завод № 122 к 31 декабря 1941 г. </w:t>
      </w:r>
    </w:p>
    <w:p w14:paraId="565C05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самолетостроительный завод № 295 к 1 февраля 1942 г. </w:t>
      </w:r>
    </w:p>
    <w:p w14:paraId="23587E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моторостроительный завод № 337 к 1 мая 1942 г. </w:t>
      </w:r>
    </w:p>
    <w:p w14:paraId="1506DC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 Возложить строительство самолетостроительных и моторостроительных заводов на НКВД СССР. </w:t>
      </w:r>
    </w:p>
    <w:p w14:paraId="4340C8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4. Проектирование заводов возложить на НКАП (1-й Государственный Проектный Институт), для чего НКАПу организовать специальное проектное бюро... </w:t>
      </w:r>
    </w:p>
    <w:p w14:paraId="276A2B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Председатель Комитета Обороны при СНК СССР Ворошилов </w:t>
      </w:r>
    </w:p>
    <w:p w14:paraId="2F10FF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(ГАСО. Ф. Р- 2064. On. 2. Д. 3. Л. 1-2.) (11878)ж</w:t>
      </w:r>
    </w:p>
    <w:p w14:paraId="3A1E9C0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550386" w14:textId="77777777" w:rsidR="001236CC" w:rsidRPr="00DB5D0D" w:rsidRDefault="001236CC" w:rsidP="00DB5D0D">
      <w:pPr>
        <w:pStyle w:val="ae"/>
        <w:shd w:val="clear" w:color="auto" w:fill="FFFFFF"/>
        <w:spacing w:before="0" w:after="0"/>
        <w:jc w:val="both"/>
        <w:rPr>
          <w:rStyle w:val="a7"/>
          <w:rFonts w:eastAsiaTheme="majorEastAsia"/>
          <w:b w:val="0"/>
          <w:color w:val="000000" w:themeColor="text1"/>
          <w:sz w:val="16"/>
          <w:szCs w:val="16"/>
        </w:rPr>
      </w:pPr>
      <w:r w:rsidRPr="00DB5D0D">
        <w:rPr>
          <w:color w:val="000000" w:themeColor="text1"/>
          <w:sz w:val="16"/>
          <w:szCs w:val="16"/>
        </w:rPr>
        <w:t>6 августа 1940 г.</w:t>
      </w:r>
    </w:p>
    <w:p w14:paraId="2F7507FE" w14:textId="77777777" w:rsidR="001236CC" w:rsidRPr="00DB5D0D" w:rsidRDefault="001236CC" w:rsidP="00DB5D0D">
      <w:pPr>
        <w:pStyle w:val="ae"/>
        <w:shd w:val="clear" w:color="auto" w:fill="FFFFFF"/>
        <w:spacing w:before="0" w:after="0"/>
        <w:jc w:val="both"/>
        <w:rPr>
          <w:bCs/>
          <w:color w:val="000000" w:themeColor="text1"/>
          <w:sz w:val="16"/>
          <w:szCs w:val="16"/>
        </w:rPr>
      </w:pPr>
      <w:r w:rsidRPr="00DB5D0D">
        <w:rPr>
          <w:rStyle w:val="a7"/>
          <w:rFonts w:eastAsiaTheme="majorEastAsia"/>
          <w:b w:val="0"/>
          <w:color w:val="000000" w:themeColor="text1"/>
          <w:sz w:val="16"/>
          <w:szCs w:val="16"/>
        </w:rPr>
        <w:t>Из постановления Комитета Обороны при СНК СССР</w:t>
      </w:r>
    </w:p>
    <w:p w14:paraId="37C06CB9"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rStyle w:val="a7"/>
          <w:rFonts w:eastAsiaTheme="majorEastAsia"/>
          <w:b w:val="0"/>
          <w:color w:val="000000" w:themeColor="text1"/>
          <w:sz w:val="16"/>
          <w:szCs w:val="16"/>
        </w:rPr>
        <w:t>о строительстве в Куйбышевской области самолето - и моторостроительных заводов и создании специального проектного бюро</w:t>
      </w:r>
    </w:p>
    <w:p w14:paraId="6C17B9B0"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6 августа 1940 г.</w:t>
      </w:r>
    </w:p>
    <w:p w14:paraId="653B95E3"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Сов.секретно</w:t>
      </w:r>
    </w:p>
    <w:p w14:paraId="39F21688"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Комитет Обороны при СНК Союза ССР - ПОСТАНОВЛЯЕТ:</w:t>
      </w:r>
    </w:p>
    <w:p w14:paraId="17573CEB"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1. Приступить в 1940 году к строительству трех новых авиацион</w:t>
      </w:r>
      <w:r w:rsidRPr="00DB5D0D">
        <w:rPr>
          <w:color w:val="000000" w:themeColor="text1"/>
          <w:sz w:val="16"/>
          <w:szCs w:val="16"/>
        </w:rPr>
        <w:softHyphen/>
        <w:t>ных заводов в районе г. Куйбышева на Безымянской и Падовской площадках, в том числе:</w:t>
      </w:r>
    </w:p>
    <w:p w14:paraId="08C8D13A"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Самолетостроительный завод № 122 на выпуск 1500 двухмотор</w:t>
      </w:r>
      <w:r w:rsidRPr="00DB5D0D">
        <w:rPr>
          <w:color w:val="000000" w:themeColor="text1"/>
          <w:sz w:val="16"/>
          <w:szCs w:val="16"/>
        </w:rPr>
        <w:softHyphen/>
        <w:t>ных цельнометаллических бомбардировщиков в год, с трудоемкос</w:t>
      </w:r>
      <w:r w:rsidRPr="00DB5D0D">
        <w:rPr>
          <w:color w:val="000000" w:themeColor="text1"/>
          <w:sz w:val="16"/>
          <w:szCs w:val="16"/>
        </w:rPr>
        <w:softHyphen/>
        <w:t>тью на одну машину 10000 человеко-часов с запасными частями;</w:t>
      </w:r>
    </w:p>
    <w:p w14:paraId="1B0F46FC"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Самолетостроительный завод № 295 на выпуск 2000 одномотор</w:t>
      </w:r>
      <w:r w:rsidRPr="00DB5D0D">
        <w:rPr>
          <w:color w:val="000000" w:themeColor="text1"/>
          <w:sz w:val="16"/>
          <w:szCs w:val="16"/>
        </w:rPr>
        <w:softHyphen/>
        <w:t>ных бомбардировщиков в год, с трудоемкостью на одну машину 7500 человеко-часов с запасными частями;</w:t>
      </w:r>
    </w:p>
    <w:p w14:paraId="3422EBC4"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Моторостроительный завод № 337 на выпуск 12000 моторов типа АМ35а-М105 в год, с трудоемкостью на один мотор 1300 человеко-часов...</w:t>
      </w:r>
    </w:p>
    <w:p w14:paraId="3ABB9D36"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2. Установить следующие сроки окончания строительства, мон</w:t>
      </w:r>
      <w:r w:rsidRPr="00DB5D0D">
        <w:rPr>
          <w:color w:val="000000" w:themeColor="text1"/>
          <w:sz w:val="16"/>
          <w:szCs w:val="16"/>
        </w:rPr>
        <w:softHyphen/>
        <w:t>тажа и пуска заводов:</w:t>
      </w:r>
    </w:p>
    <w:p w14:paraId="4A8B06BE"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lastRenderedPageBreak/>
        <w:t>самолетостроительный завод № 122 к 31 декабря 1941 г.</w:t>
      </w:r>
    </w:p>
    <w:p w14:paraId="528E96F7"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самолетостроительный завод № 295 к 1 февраля 1942 г.</w:t>
      </w:r>
    </w:p>
    <w:p w14:paraId="434269CE"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моторостроительный завод № 337 к 1 мая 1942 г.</w:t>
      </w:r>
    </w:p>
    <w:p w14:paraId="65E1E923"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3. Возложить строительство самолетостроительных и моторо</w:t>
      </w:r>
      <w:r w:rsidRPr="00DB5D0D">
        <w:rPr>
          <w:color w:val="000000" w:themeColor="text1"/>
          <w:sz w:val="16"/>
          <w:szCs w:val="16"/>
        </w:rPr>
        <w:softHyphen/>
        <w:t>строительных заводов на НКВД СССР.</w:t>
      </w:r>
    </w:p>
    <w:p w14:paraId="26B9D3BC"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4. Проектирование заводов возложить на НКАП (1-й Государ</w:t>
      </w:r>
      <w:r w:rsidRPr="00DB5D0D">
        <w:rPr>
          <w:color w:val="000000" w:themeColor="text1"/>
          <w:sz w:val="16"/>
          <w:szCs w:val="16"/>
        </w:rPr>
        <w:softHyphen/>
        <w:t>ственный Проектный Институт), для чего НКАПу организовать спе</w:t>
      </w:r>
      <w:r w:rsidRPr="00DB5D0D">
        <w:rPr>
          <w:color w:val="000000" w:themeColor="text1"/>
          <w:sz w:val="16"/>
          <w:szCs w:val="16"/>
        </w:rPr>
        <w:softHyphen/>
        <w:t>циальное проектное бюро...</w:t>
      </w:r>
    </w:p>
    <w:p w14:paraId="41FC9BFA" w14:textId="77777777" w:rsidR="001236CC" w:rsidRPr="00DB5D0D" w:rsidRDefault="001236CC" w:rsidP="00DB5D0D">
      <w:pPr>
        <w:pStyle w:val="ae"/>
        <w:shd w:val="clear" w:color="auto" w:fill="FFFFFF"/>
        <w:spacing w:before="0" w:after="0"/>
        <w:jc w:val="both"/>
        <w:rPr>
          <w:bCs/>
          <w:color w:val="000000" w:themeColor="text1"/>
          <w:sz w:val="16"/>
          <w:szCs w:val="16"/>
        </w:rPr>
      </w:pPr>
      <w:r w:rsidRPr="00DB5D0D">
        <w:rPr>
          <w:rStyle w:val="a7"/>
          <w:rFonts w:eastAsiaTheme="majorEastAsia"/>
          <w:b w:val="0"/>
          <w:color w:val="000000" w:themeColor="text1"/>
          <w:sz w:val="16"/>
          <w:szCs w:val="16"/>
        </w:rPr>
        <w:t>Председатель Комитета Обороны при СНК СССР Ворошилов</w:t>
      </w:r>
    </w:p>
    <w:p w14:paraId="12F8A701" w14:textId="77777777" w:rsidR="001236CC" w:rsidRPr="00DB5D0D" w:rsidRDefault="001236CC" w:rsidP="00DB5D0D">
      <w:pPr>
        <w:pStyle w:val="ae"/>
        <w:shd w:val="clear" w:color="auto" w:fill="FFFFFF"/>
        <w:spacing w:before="0" w:after="0"/>
        <w:jc w:val="both"/>
        <w:rPr>
          <w:i/>
          <w:color w:val="000000" w:themeColor="text1"/>
          <w:sz w:val="16"/>
          <w:szCs w:val="16"/>
        </w:rPr>
      </w:pPr>
      <w:r w:rsidRPr="00DB5D0D">
        <w:rPr>
          <w:rStyle w:val="af0"/>
          <w:rFonts w:eastAsiaTheme="majorEastAsia"/>
          <w:bCs/>
          <w:i w:val="0"/>
          <w:color w:val="000000" w:themeColor="text1"/>
          <w:sz w:val="16"/>
          <w:szCs w:val="16"/>
        </w:rPr>
        <w:t>(ГАСО. Ф. Р- 2064. Oп. 2. Д. 3. Л. 1-2.) (19827).</w:t>
      </w:r>
    </w:p>
    <w:p w14:paraId="682B9B64" w14:textId="77777777" w:rsidR="001236CC" w:rsidRPr="00DB5D0D" w:rsidRDefault="001236CC" w:rsidP="00DB5D0D">
      <w:pPr>
        <w:pStyle w:val="ae"/>
        <w:shd w:val="clear" w:color="auto" w:fill="FFFFFF"/>
        <w:spacing w:before="0" w:after="0"/>
        <w:jc w:val="both"/>
        <w:rPr>
          <w:color w:val="000000" w:themeColor="text1"/>
          <w:sz w:val="16"/>
          <w:szCs w:val="16"/>
        </w:rPr>
      </w:pPr>
    </w:p>
    <w:p w14:paraId="6BF536D9"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г. в соответствии с ПСМ в Москве было создано Специальное проектное бюро № 1 (СПБ-1) ГПИ-1, которое Распоряжением НКАП от 3.07.1941 г. переведено в г. Куйбышев. 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1947г. преобразовано в Куйбышевский филиал; СПБ-2; Сибирский филиал, созданный в 1951 г.; СПБ-6 в Казани, созданное 8.12.1941 г., 18.10.1952г. преобразовано в Казанский филиал; Омский филиал, организованный 17.10.1959г.; Уфимский филиал, организованый 18.02.1975г.; СПБ-11 в Ульяновске, созданное в 1976г. (11982).</w:t>
      </w:r>
    </w:p>
    <w:p w14:paraId="394615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Специальное проектное бюро № 1 (СПБ-1) ГПИ-1, Куйбышевский филиал «ГипроНИИавиапрома», Самарский государственный проектно-конструкторский и научно-исследовательский институт авиационной промышленности («Самарский «ГипроНИИавиапром») /443083 г. Самара ул. Физкультурная, 90 тел. (8462) 95-21-65/</w:t>
      </w:r>
    </w:p>
    <w:p w14:paraId="50BE18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Сюда же эвакуирован из Воронежа Юго-Восточный филиал института. В 1947г. преобразовано в Куйбышевский филиал «Гипроавиапрома», ликвидирован в 1959г. Куйбышевский филиал «ГипроНИИавиапрома» вновь создан по приказу МАП от 20.10.1968г. В 1991 г. филиал преобразован в самостоятельный «Самарский ГипроНИИавиапром» в ведении Министерства промышленности.</w:t>
      </w:r>
    </w:p>
    <w:p w14:paraId="27D13D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Разработаны проекты: объектов на Байконуре, в Плесецке; реконструкции заводов «Авиакор», СНТК «Двигатели НК», «Авиастар»; объеков гражданского и жилищного строительства в Самаре.</w:t>
      </w:r>
    </w:p>
    <w:p w14:paraId="211F52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(2002г.): комплексное проектирование и изыскательские работы литейных, кузнечных, малярных, гальванических, механосборочных цехов.</w:t>
      </w:r>
    </w:p>
    <w:p w14:paraId="49B340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(2002г.)-164 чел.</w:t>
      </w:r>
    </w:p>
    <w:p w14:paraId="7CB06C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(2000-е)- А.П. Кончев.</w:t>
      </w:r>
      <w:r w:rsidRPr="00DB5D0D">
        <w:rPr>
          <w:rFonts w:ascii="Times New Roman" w:hAnsi="Times New Roman"/>
          <w:color w:val="000000" w:themeColor="text1"/>
          <w:sz w:val="16"/>
          <w:szCs w:val="16"/>
          <w:vertAlign w:val="superscript"/>
        </w:rPr>
        <w:t>69</w:t>
      </w:r>
      <w:r w:rsidRPr="00DB5D0D">
        <w:rPr>
          <w:rFonts w:ascii="Times New Roman" w:hAnsi="Times New Roman"/>
          <w:color w:val="000000" w:themeColor="text1"/>
          <w:sz w:val="16"/>
          <w:szCs w:val="16"/>
        </w:rPr>
        <w:t xml:space="preserve"> Гендиректор (2002г.)- А.А. Карасельников, (2007г.)- Ю.Б. Додонов.</w:t>
      </w:r>
    </w:p>
    <w:p w14:paraId="17446E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технолог- Б.Н. Уваров.</w:t>
      </w:r>
    </w:p>
    <w:p w14:paraId="3753C5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Гл. конструкторы: В.А. Веденеев, </w:t>
      </w:r>
      <w:r w:rsidRPr="00DB5D0D">
        <w:rPr>
          <w:rFonts w:ascii="Times New Roman" w:hAnsi="Times New Roman"/>
          <w:color w:val="000000" w:themeColor="text1"/>
          <w:sz w:val="16"/>
          <w:szCs w:val="16"/>
          <w:lang w:val="en-US"/>
        </w:rPr>
        <w:t>B</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JI</w:t>
      </w:r>
      <w:r w:rsidRPr="00DB5D0D">
        <w:rPr>
          <w:rFonts w:ascii="Times New Roman" w:hAnsi="Times New Roman"/>
          <w:color w:val="000000" w:themeColor="text1"/>
          <w:sz w:val="16"/>
          <w:szCs w:val="16"/>
        </w:rPr>
        <w:t>. Сагай, Ю.А. Селиванов.</w:t>
      </w:r>
    </w:p>
    <w:p w14:paraId="23C19C75"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Архитекторы: Н.С. Мартынов, Н.Н. Петров (11982).</w:t>
      </w:r>
    </w:p>
    <w:p w14:paraId="559C074C"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5DD0E3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smallCaps/>
          <w:color w:val="000000" w:themeColor="text1"/>
          <w:sz w:val="16"/>
          <w:szCs w:val="16"/>
        </w:rPr>
        <w:t xml:space="preserve">6 </w:t>
      </w:r>
      <w:r w:rsidRPr="00DB5D0D">
        <w:rPr>
          <w:rFonts w:ascii="Times New Roman" w:hAnsi="Times New Roman"/>
          <w:color w:val="000000" w:themeColor="text1"/>
          <w:sz w:val="16"/>
          <w:szCs w:val="16"/>
        </w:rPr>
        <w:t>августа 1940 Директор завод № 148 Грязнов, парторг ЦК ВКП(б) Сураев и ГИ Куликов писали письмо № 3657/4 НКХП тов. ДЕНИСОВУ</w:t>
      </w:r>
    </w:p>
    <w:p w14:paraId="31BFE6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распоряжению НКХП за №2322 от 31/8-1940 г. завод обязан в течение пяти месяцев 1940 г. выдать 150 тн. органического стекла, во исполнение постановления Комитета Обороны СССР за № 335сс от 26 июля 1940 г.</w:t>
      </w:r>
    </w:p>
    <w:p w14:paraId="29F0D0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постановление вынесено на основании сведений, данных Военным Отделом и Главхимсбытом НКХП.</w:t>
      </w:r>
    </w:p>
    <w:p w14:paraId="167257D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Спущенное заводу задание является абсолютно нереальным, составленным отделами НКХП, неосведомленными о фактическом состоянии дел на заводе № 148, несогласованно с заводом и 1-м Главным Управлением НКХП.</w:t>
      </w:r>
    </w:p>
    <w:p w14:paraId="3BA14B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Реально, завод имеет на сегодня цех по </w:t>
      </w:r>
      <w:r w:rsidRPr="00DB5D0D">
        <w:rPr>
          <w:rFonts w:ascii="Times New Roman" w:hAnsi="Times New Roman"/>
          <w:smallCaps/>
          <w:color w:val="000000" w:themeColor="text1"/>
          <w:sz w:val="16"/>
          <w:szCs w:val="16"/>
        </w:rPr>
        <w:t xml:space="preserve">производству </w:t>
      </w:r>
      <w:r w:rsidRPr="00DB5D0D">
        <w:rPr>
          <w:rFonts w:ascii="Times New Roman" w:hAnsi="Times New Roman"/>
          <w:color w:val="000000" w:themeColor="text1"/>
          <w:sz w:val="16"/>
          <w:szCs w:val="16"/>
        </w:rPr>
        <w:t>орга</w:t>
      </w:r>
      <w:r w:rsidRPr="00DB5D0D">
        <w:rPr>
          <w:rFonts w:ascii="Times New Roman" w:hAnsi="Times New Roman"/>
          <w:color w:val="000000" w:themeColor="text1"/>
          <w:sz w:val="16"/>
          <w:szCs w:val="16"/>
        </w:rPr>
        <w:softHyphen/>
        <w:t>нического стекла с проектной мощностью 200 тн. в год. Цех пущен в эксплоатацию в августе 1940 г., еще не освоил проектной мощности и пока не обеспечен сырьем - силикатным стеклом, пос</w:t>
      </w:r>
      <w:r w:rsidRPr="00DB5D0D">
        <w:rPr>
          <w:rFonts w:ascii="Times New Roman" w:hAnsi="Times New Roman"/>
          <w:color w:val="000000" w:themeColor="text1"/>
          <w:sz w:val="16"/>
          <w:szCs w:val="16"/>
        </w:rPr>
        <w:softHyphen/>
        <w:t xml:space="preserve">тавляемым </w:t>
      </w:r>
      <w:r w:rsidRPr="00DB5D0D">
        <w:rPr>
          <w:rFonts w:ascii="Times New Roman" w:hAnsi="Times New Roman"/>
          <w:smallCaps/>
          <w:color w:val="000000" w:themeColor="text1"/>
          <w:sz w:val="16"/>
          <w:szCs w:val="16"/>
        </w:rPr>
        <w:t xml:space="preserve">горьковским </w:t>
      </w:r>
      <w:r w:rsidRPr="00DB5D0D">
        <w:rPr>
          <w:rFonts w:ascii="Times New Roman" w:hAnsi="Times New Roman"/>
          <w:color w:val="000000" w:themeColor="text1"/>
          <w:sz w:val="16"/>
          <w:szCs w:val="16"/>
        </w:rPr>
        <w:t xml:space="preserve">стекольным заводом, </w:t>
      </w:r>
      <w:r w:rsidRPr="00DB5D0D">
        <w:rPr>
          <w:rFonts w:ascii="Times New Roman" w:hAnsi="Times New Roman"/>
          <w:smallCaps/>
          <w:color w:val="000000" w:themeColor="text1"/>
          <w:sz w:val="16"/>
          <w:szCs w:val="16"/>
        </w:rPr>
        <w:t xml:space="preserve">который </w:t>
      </w:r>
      <w:r w:rsidRPr="00DB5D0D">
        <w:rPr>
          <w:rFonts w:ascii="Times New Roman" w:hAnsi="Times New Roman"/>
          <w:color w:val="000000" w:themeColor="text1"/>
          <w:sz w:val="16"/>
          <w:szCs w:val="16"/>
        </w:rPr>
        <w:t xml:space="preserve">так же, в свою очередь, не освоил </w:t>
      </w:r>
      <w:r w:rsidRPr="00DB5D0D">
        <w:rPr>
          <w:rFonts w:ascii="Times New Roman" w:hAnsi="Times New Roman"/>
          <w:smallCaps/>
          <w:color w:val="000000" w:themeColor="text1"/>
          <w:sz w:val="16"/>
          <w:szCs w:val="16"/>
        </w:rPr>
        <w:t xml:space="preserve">производство </w:t>
      </w:r>
      <w:r w:rsidRPr="00DB5D0D">
        <w:rPr>
          <w:rFonts w:ascii="Times New Roman" w:hAnsi="Times New Roman"/>
          <w:color w:val="000000" w:themeColor="text1"/>
          <w:sz w:val="16"/>
          <w:szCs w:val="16"/>
        </w:rPr>
        <w:t>силикатного стекла для завода № 148.</w:t>
      </w:r>
    </w:p>
    <w:p w14:paraId="35D160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условии бесперебойного снабжения завода силикатным стеклом, цех в лучшем случае может в 1940 г. достигнуть проект</w:t>
      </w:r>
      <w:r w:rsidRPr="00DB5D0D">
        <w:rPr>
          <w:rFonts w:ascii="Times New Roman" w:hAnsi="Times New Roman"/>
          <w:color w:val="000000" w:themeColor="text1"/>
          <w:sz w:val="16"/>
          <w:szCs w:val="16"/>
        </w:rPr>
        <w:softHyphen/>
        <w:t xml:space="preserve">ной мощности, выпуская по 18 тн. органического стекла в месяц, и, следовательно, за сентябрь, октябрь, ноябрь и декабрь может выдать готовой </w:t>
      </w:r>
      <w:r w:rsidRPr="00DB5D0D">
        <w:rPr>
          <w:rFonts w:ascii="Times New Roman" w:hAnsi="Times New Roman"/>
          <w:smallCaps/>
          <w:color w:val="000000" w:themeColor="text1"/>
          <w:sz w:val="16"/>
          <w:szCs w:val="16"/>
        </w:rPr>
        <w:t xml:space="preserve">продукции </w:t>
      </w:r>
      <w:r w:rsidRPr="00DB5D0D">
        <w:rPr>
          <w:rFonts w:ascii="Times New Roman" w:hAnsi="Times New Roman"/>
          <w:color w:val="000000" w:themeColor="text1"/>
          <w:sz w:val="16"/>
          <w:szCs w:val="16"/>
        </w:rPr>
        <w:t>не более 72 тн., что для завода будет являться также чрезвычайно напряженным планом.</w:t>
      </w:r>
    </w:p>
    <w:p w14:paraId="3C6903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Просим спущенное заданние заводу № 148 пересмотреть, как нереальное, установив план выпуска органического стекла на 1940 г. в количестве 72 тн.</w:t>
      </w:r>
    </w:p>
    <w:p w14:paraId="23C5A8C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Через К. О. дать категорическое указание Наркомату Строи</w:t>
      </w:r>
      <w:r w:rsidRPr="00DB5D0D">
        <w:rPr>
          <w:rFonts w:ascii="Times New Roman" w:hAnsi="Times New Roman"/>
          <w:color w:val="000000" w:themeColor="text1"/>
          <w:sz w:val="16"/>
          <w:szCs w:val="16"/>
        </w:rPr>
        <w:softHyphen/>
        <w:t>тельных материалов обеспечить завод силикатным стеклом.</w:t>
      </w:r>
    </w:p>
    <w:p w14:paraId="70E880F4"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r w:rsidRPr="00DB5D0D">
        <w:rPr>
          <w:rFonts w:ascii="Times New Roman" w:hAnsi="Times New Roman"/>
          <w:color w:val="000000" w:themeColor="text1"/>
          <w:sz w:val="16"/>
          <w:szCs w:val="16"/>
        </w:rPr>
        <w:t xml:space="preserve">Одновременно </w:t>
      </w:r>
      <w:r w:rsidRPr="00DB5D0D">
        <w:rPr>
          <w:rFonts w:ascii="Times New Roman" w:hAnsi="Times New Roman"/>
          <w:smallCaps/>
          <w:color w:val="000000" w:themeColor="text1"/>
          <w:sz w:val="16"/>
          <w:szCs w:val="16"/>
        </w:rPr>
        <w:t xml:space="preserve">просим </w:t>
      </w:r>
      <w:r w:rsidRPr="00DB5D0D">
        <w:rPr>
          <w:rFonts w:ascii="Times New Roman" w:hAnsi="Times New Roman"/>
          <w:color w:val="000000" w:themeColor="text1"/>
          <w:sz w:val="16"/>
          <w:szCs w:val="16"/>
        </w:rPr>
        <w:t>привлечь к ответственности Главхимсбыт и Военный Отдел НКХП за неправильную информацию Вас и Коми</w:t>
      </w:r>
      <w:r w:rsidRPr="00DB5D0D">
        <w:rPr>
          <w:rFonts w:ascii="Times New Roman" w:hAnsi="Times New Roman"/>
          <w:color w:val="000000" w:themeColor="text1"/>
          <w:sz w:val="16"/>
          <w:szCs w:val="16"/>
        </w:rPr>
        <w:softHyphen/>
        <w:t xml:space="preserve">тета Обороны при СНК СССР </w:t>
      </w:r>
      <w:r w:rsidRPr="00DB5D0D">
        <w:rPr>
          <w:rFonts w:ascii="Times New Roman" w:hAnsi="Times New Roman"/>
          <w:smallCaps/>
          <w:color w:val="000000" w:themeColor="text1"/>
          <w:sz w:val="16"/>
          <w:szCs w:val="16"/>
        </w:rPr>
        <w:t>(10512,31).</w:t>
      </w:r>
    </w:p>
    <w:p w14:paraId="22A8065B"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p>
    <w:p w14:paraId="230892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6 августа по 14 октября 1940 года на ЦХП проводились испытания опытной партии ХАБ-100, снаряженных желтым фосфором</w:t>
      </w:r>
    </w:p>
    <w:p w14:paraId="1AE235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7330DD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боевой эффект ХАБ-100, снаряженных фосфором для постановки наземных дымзавес и ослепления огневых точек противника.</w:t>
      </w:r>
    </w:p>
    <w:p w14:paraId="34A77F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8D66D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Рекомендовать на войсковые испытания ХАБ-100, в снаряжении желтым фосфором для постановки дымзавес в летних и осенних условиях, а в зимних условиях провести дополнительные полигонные испытания (7846).</w:t>
      </w:r>
    </w:p>
    <w:p w14:paraId="75315A9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16E66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года постановление № 341с КО</w:t>
      </w:r>
    </w:p>
    <w:p w14:paraId="034D9D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авиационном празднике 18 августа 1940 года</w:t>
      </w:r>
    </w:p>
    <w:p w14:paraId="53A2C1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25DCD07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Главным руководителем авиационного праздника 18 августа 1940 года назначается 1-й заместитель начальника Главного управления ВВС Рычагов.</w:t>
      </w:r>
    </w:p>
    <w:p w14:paraId="2335208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Кобелев несет ответственность за выполнение всех номеров Осоавиахима (1-ое отделение программы) и подчинен всем указаниям Рычаглва.</w:t>
      </w:r>
    </w:p>
    <w:p w14:paraId="482E55C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Ответственность за выполнение 3 отделения (парашютные прыжки) возлагается на Рычагова.</w:t>
      </w:r>
    </w:p>
    <w:p w14:paraId="349C9E1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Программу праздника, представленную 5 августа 1940 года с поправками – утвердить (7519, 1).</w:t>
      </w:r>
    </w:p>
    <w:p w14:paraId="776A7F9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4BACF7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г. был утвержден акт полигонных испытаний РОФС-203 модели 133900. Входе их под руководством начальника опыт</w:t>
      </w:r>
      <w:r w:rsidRPr="00DB5D0D">
        <w:rPr>
          <w:rFonts w:ascii="Times New Roman" w:hAnsi="Times New Roman"/>
          <w:color w:val="000000" w:themeColor="text1"/>
          <w:sz w:val="16"/>
          <w:szCs w:val="16"/>
        </w:rPr>
        <w:softHyphen/>
        <w:t>ного отделения НИПАВ военинженера 1 ранга С.Г.Онисько, начальника 2 отделения опытного отдела военинженера 1 ранга В.Я.Цилова, ведушего старшего инженера военинженера 3 ранга Беляева состоялся назем</w:t>
      </w:r>
      <w:r w:rsidRPr="00DB5D0D">
        <w:rPr>
          <w:rFonts w:ascii="Times New Roman" w:hAnsi="Times New Roman"/>
          <w:color w:val="000000" w:themeColor="text1"/>
          <w:sz w:val="16"/>
          <w:szCs w:val="16"/>
        </w:rPr>
        <w:softHyphen/>
        <w:t>ный отстрел из РО-203, установленных на наземном стенде (макете кры</w:t>
      </w:r>
      <w:r w:rsidRPr="00DB5D0D">
        <w:rPr>
          <w:rFonts w:ascii="Times New Roman" w:hAnsi="Times New Roman"/>
          <w:color w:val="000000" w:themeColor="text1"/>
          <w:sz w:val="16"/>
          <w:szCs w:val="16"/>
        </w:rPr>
        <w:softHyphen/>
        <w:t>ла) и на самолете ДБ-3 №2412. Инертные снаряды отстреливали одиноч</w:t>
      </w:r>
      <w:r w:rsidRPr="00DB5D0D">
        <w:rPr>
          <w:rFonts w:ascii="Times New Roman" w:hAnsi="Times New Roman"/>
          <w:color w:val="000000" w:themeColor="text1"/>
          <w:sz w:val="16"/>
          <w:szCs w:val="16"/>
        </w:rPr>
        <w:softHyphen/>
        <w:t>но и залпами по две штуки под углом возвышения направляющих 10-15°. Для проверки выброса остатков пороха позади станка натянули белое полотнище размерами 50x5 м. Перед стрельбой хвост ДБ-3 приподнима</w:t>
      </w:r>
      <w:r w:rsidRPr="00DB5D0D">
        <w:rPr>
          <w:rFonts w:ascii="Times New Roman" w:hAnsi="Times New Roman"/>
          <w:color w:val="000000" w:themeColor="text1"/>
          <w:sz w:val="16"/>
          <w:szCs w:val="16"/>
        </w:rPr>
        <w:softHyphen/>
        <w:t>ли на подставке на высоту 400 мм.</w:t>
      </w:r>
    </w:p>
    <w:p w14:paraId="459A26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выхода ДБ-3 из строя, до воздушной стрельбы дело не дошло. Всего израсходовали 8 шт. РОФС-203 «в серном снаряжении» и 20 штук ПП-4. Из выводов: РЗ действует безотказно. Его горение сопровождает</w:t>
      </w:r>
      <w:r w:rsidRPr="00DB5D0D">
        <w:rPr>
          <w:rFonts w:ascii="Times New Roman" w:hAnsi="Times New Roman"/>
          <w:color w:val="000000" w:themeColor="text1"/>
          <w:sz w:val="16"/>
          <w:szCs w:val="16"/>
        </w:rPr>
        <w:softHyphen/>
        <w:t>ся незначительным выбросом пороха. РОФС-203 недостаточно устойчив в полете (3 из 8 имели колебание). При выстреле залпом два РС столкну</w:t>
      </w:r>
      <w:r w:rsidRPr="00DB5D0D">
        <w:rPr>
          <w:rFonts w:ascii="Times New Roman" w:hAnsi="Times New Roman"/>
          <w:color w:val="000000" w:themeColor="text1"/>
          <w:sz w:val="16"/>
          <w:szCs w:val="16"/>
        </w:rPr>
        <w:softHyphen/>
        <w:t>лись на активном участке траектории. Стрельба РОФС-203 деформирует и разрушает матчасть ДБ-3, из-за чего он выведен из строя (сорваны за</w:t>
      </w:r>
      <w:r w:rsidRPr="00DB5D0D">
        <w:rPr>
          <w:rFonts w:ascii="Times New Roman" w:hAnsi="Times New Roman"/>
          <w:color w:val="000000" w:themeColor="text1"/>
          <w:sz w:val="16"/>
          <w:szCs w:val="16"/>
        </w:rPr>
        <w:softHyphen/>
        <w:t>клепки, отстала обшивка, имеются вмятины на кромках крыла, сорваны смотровые лючки, деформирована обшивка в месте крепления розеток, короткие замыкания контактов и пр.).</w:t>
      </w:r>
    </w:p>
    <w:p w14:paraId="45C462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Заряжали РОФС-203 на самолете ДБ-3 при наличии автомашины и подъемника три солдата за 30 мин. Испытатели посчитали, что необхо</w:t>
      </w:r>
      <w:r w:rsidRPr="00DB5D0D">
        <w:rPr>
          <w:rFonts w:ascii="Times New Roman" w:hAnsi="Times New Roman"/>
          <w:color w:val="000000" w:themeColor="text1"/>
          <w:sz w:val="16"/>
          <w:szCs w:val="16"/>
        </w:rPr>
        <w:softHyphen/>
        <w:t>димо изменить направление «газовою потока РЗ» за счет изменения вы</w:t>
      </w:r>
      <w:r w:rsidRPr="00DB5D0D">
        <w:rPr>
          <w:rFonts w:ascii="Times New Roman" w:hAnsi="Times New Roman"/>
          <w:color w:val="000000" w:themeColor="text1"/>
          <w:sz w:val="16"/>
          <w:szCs w:val="16"/>
        </w:rPr>
        <w:softHyphen/>
        <w:t>соты (длины подвесных узлов) и направления РО-203, усилить обшивку самолета в местах расположения РО-203 и действия струи, добиться устойчивости РС в полете. Профессор Ю.А.Победоносцев выразил особое внение «РС-203 в дальнейшем пускать не залпом, ас некоторым интервалом в 0,3-0,5 с” (11402).</w:t>
      </w:r>
    </w:p>
    <w:p w14:paraId="19F947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B45540E"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DB64DD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5D5FAA4" w14:textId="77777777" w:rsidR="003C7E8B" w:rsidRPr="00DB5D0D" w:rsidRDefault="003C7E8B" w:rsidP="00DB5D0D">
      <w:pPr>
        <w:pStyle w:val="a3"/>
        <w:rPr>
          <w:color w:val="000000" w:themeColor="text1"/>
          <w:lang w:val="ru-RU"/>
        </w:rPr>
      </w:pPr>
      <w:r w:rsidRPr="00DB5D0D">
        <w:rPr>
          <w:color w:val="000000" w:themeColor="text1"/>
          <w:lang w:val="ru-RU"/>
        </w:rPr>
        <w:t>6 августа 1940 г. на заводе № 183 состоялось совеща</w:t>
      </w:r>
      <w:r w:rsidRPr="00DB5D0D">
        <w:rPr>
          <w:color w:val="000000" w:themeColor="text1"/>
          <w:lang w:val="ru-RU"/>
        </w:rPr>
        <w:softHyphen/>
        <w:t>ние, на котором было принято решение обрабатывать основа</w:t>
      </w:r>
      <w:r w:rsidRPr="00DB5D0D">
        <w:rPr>
          <w:color w:val="000000" w:themeColor="text1"/>
          <w:lang w:val="ru-RU"/>
        </w:rPr>
        <w:softHyphen/>
        <w:t>ния смотровых приборов на пониженную твердость, а в перс</w:t>
      </w:r>
      <w:r w:rsidRPr="00DB5D0D">
        <w:rPr>
          <w:color w:val="000000" w:themeColor="text1"/>
          <w:lang w:val="ru-RU"/>
        </w:rPr>
        <w:softHyphen/>
        <w:t>пективе - перевести вышеуказанные детали на литье из броне</w:t>
      </w:r>
      <w:r w:rsidRPr="00DB5D0D">
        <w:rPr>
          <w:color w:val="000000" w:themeColor="text1"/>
          <w:lang w:val="ru-RU"/>
        </w:rPr>
        <w:softHyphen/>
        <w:t>вой стали марки МЗ-2.</w:t>
      </w:r>
    </w:p>
    <w:p w14:paraId="0CFD3A07" w14:textId="77777777" w:rsidR="003C7E8B" w:rsidRPr="00DB5D0D" w:rsidRDefault="003C7E8B"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iCs w:val="0"/>
          <w:color w:val="000000" w:themeColor="text1"/>
          <w:sz w:val="16"/>
          <w:szCs w:val="16"/>
        </w:rPr>
        <w:t>Слушали:</w:t>
      </w:r>
    </w:p>
    <w:p w14:paraId="69A7C6DA" w14:textId="77777777" w:rsidR="003C7E8B" w:rsidRPr="00DB5D0D" w:rsidRDefault="003C7E8B"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Информацию - Портного о результатах полигонных испытаний указанных деталей.</w:t>
      </w:r>
    </w:p>
    <w:p w14:paraId="64848EC2" w14:textId="77777777" w:rsidR="003C7E8B" w:rsidRPr="00DB5D0D" w:rsidRDefault="003C7E8B"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iCs w:val="0"/>
          <w:color w:val="000000" w:themeColor="text1"/>
          <w:sz w:val="16"/>
          <w:szCs w:val="16"/>
        </w:rPr>
        <w:t>Принятые решения:</w:t>
      </w:r>
    </w:p>
    <w:p w14:paraId="4C658217" w14:textId="77777777" w:rsidR="003C7E8B" w:rsidRPr="00DB5D0D" w:rsidRDefault="003C7E8B" w:rsidP="00DB5D0D">
      <w:pPr>
        <w:pStyle w:val="212"/>
        <w:shd w:val="clear" w:color="auto" w:fill="auto"/>
        <w:tabs>
          <w:tab w:val="left" w:pos="661"/>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1. Детали№№34-30-051,34-29-729и34-29-783(основаниясмот</w:t>
      </w:r>
      <w:r w:rsidRPr="00DB5D0D">
        <w:rPr>
          <w:rFonts w:ascii="Times New Roman" w:hAnsi="Times New Roman" w:cs="Times New Roman"/>
          <w:i w:val="0"/>
          <w:iCs w:val="0"/>
          <w:color w:val="000000" w:themeColor="text1"/>
          <w:sz w:val="16"/>
          <w:szCs w:val="16"/>
        </w:rPr>
        <w:softHyphen/>
        <w:t>ровых приборов) установленные на машины с твердостью d лунки 2,7-2,9 считать бронестойкими и оставить на машинах.</w:t>
      </w:r>
    </w:p>
    <w:p w14:paraId="6D3C8F7C" w14:textId="77777777" w:rsidR="003C7E8B" w:rsidRPr="00DB5D0D" w:rsidRDefault="003C7E8B" w:rsidP="00DB5D0D">
      <w:pPr>
        <w:pStyle w:val="212"/>
        <w:shd w:val="clear" w:color="auto" w:fill="auto"/>
        <w:tabs>
          <w:tab w:val="left" w:pos="762"/>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 xml:space="preserve">2. В целях дальнейшего повышения бронестойкости за счет уменьшения хрупкости с машины № 16 проводить термообработку указанных деталей на твердость d лунки </w:t>
      </w:r>
      <w:r w:rsidRPr="00DB5D0D">
        <w:rPr>
          <w:rStyle w:val="21pt"/>
          <w:rFonts w:ascii="Times New Roman" w:hAnsi="Times New Roman" w:cs="Times New Roman"/>
          <w:i w:val="0"/>
          <w:iCs w:val="0"/>
          <w:color w:val="000000" w:themeColor="text1"/>
          <w:spacing w:val="0"/>
          <w:sz w:val="16"/>
          <w:szCs w:val="16"/>
        </w:rPr>
        <w:t>3,0-</w:t>
      </w:r>
      <w:r w:rsidRPr="00DB5D0D">
        <w:rPr>
          <w:rFonts w:ascii="Times New Roman" w:hAnsi="Times New Roman" w:cs="Times New Roman"/>
          <w:i w:val="0"/>
          <w:iCs w:val="0"/>
          <w:color w:val="000000" w:themeColor="text1"/>
          <w:sz w:val="16"/>
          <w:szCs w:val="16"/>
        </w:rPr>
        <w:t xml:space="preserve"> 3,3.</w:t>
      </w:r>
    </w:p>
    <w:p w14:paraId="47596DCD" w14:textId="77777777" w:rsidR="003C7E8B" w:rsidRPr="00DB5D0D" w:rsidRDefault="003C7E8B" w:rsidP="00DB5D0D">
      <w:pPr>
        <w:pStyle w:val="212"/>
        <w:shd w:val="clear" w:color="auto" w:fill="auto"/>
        <w:tabs>
          <w:tab w:val="left" w:pos="358"/>
        </w:tabs>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lastRenderedPageBreak/>
        <w:t>3. 34/700 - т. ЗОЛОТАРЕВУ к 20/VIII провести испытания на карточках стали 40СХ размером 600x600x45 мм с различ</w:t>
      </w:r>
      <w:r w:rsidRPr="00DB5D0D">
        <w:rPr>
          <w:rFonts w:ascii="Times New Roman" w:hAnsi="Times New Roman" w:cs="Times New Roman"/>
          <w:i w:val="0"/>
          <w:iCs w:val="0"/>
          <w:color w:val="000000" w:themeColor="text1"/>
          <w:sz w:val="16"/>
          <w:szCs w:val="16"/>
        </w:rPr>
        <w:softHyphen/>
        <w:t xml:space="preserve">ными твердостями (d лунки 3,0 - 3,2; 3,2 - 3,4; 3,4 - 3,6; </w:t>
      </w:r>
      <w:r w:rsidRPr="00DB5D0D">
        <w:rPr>
          <w:rStyle w:val="21pt"/>
          <w:rFonts w:ascii="Times New Roman" w:hAnsi="Times New Roman" w:cs="Times New Roman"/>
          <w:i w:val="0"/>
          <w:iCs w:val="0"/>
          <w:color w:val="000000" w:themeColor="text1"/>
          <w:spacing w:val="0"/>
          <w:sz w:val="16"/>
          <w:szCs w:val="16"/>
        </w:rPr>
        <w:t>3,6-3,8).</w:t>
      </w:r>
    </w:p>
    <w:p w14:paraId="4CD61EB9"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На основании испытаний указанных карточек установить оптимальные твердости и технические условия испытания и приемки оснований смотровых приборов.</w:t>
      </w:r>
    </w:p>
    <w:p w14:paraId="4D658376"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 xml:space="preserve">4. Зам. главного конструктора т. Морозову к </w:t>
      </w:r>
      <w:r w:rsidRPr="00DB5D0D">
        <w:rPr>
          <w:rStyle w:val="21pt1"/>
          <w:rFonts w:ascii="Times New Roman" w:hAnsi="Times New Roman" w:cs="Times New Roman"/>
          <w:iCs/>
          <w:color w:val="000000" w:themeColor="text1"/>
          <w:spacing w:val="0"/>
          <w:sz w:val="16"/>
          <w:szCs w:val="16"/>
        </w:rPr>
        <w:t>12.</w:t>
      </w:r>
      <w:r w:rsidRPr="00DB5D0D">
        <w:rPr>
          <w:rFonts w:ascii="Times New Roman" w:hAnsi="Times New Roman" w:cs="Times New Roman"/>
          <w:i w:val="0"/>
          <w:iCs w:val="0"/>
          <w:color w:val="000000" w:themeColor="text1"/>
          <w:sz w:val="16"/>
          <w:szCs w:val="16"/>
        </w:rPr>
        <w:t xml:space="preserve"> VIII разра</w:t>
      </w:r>
      <w:r w:rsidRPr="00DB5D0D">
        <w:rPr>
          <w:rFonts w:ascii="Times New Roman" w:hAnsi="Times New Roman" w:cs="Times New Roman"/>
          <w:i w:val="0"/>
          <w:iCs w:val="0"/>
          <w:color w:val="000000" w:themeColor="text1"/>
          <w:sz w:val="16"/>
          <w:szCs w:val="16"/>
        </w:rPr>
        <w:softHyphen/>
        <w:t>ботать конструкцию литых деталей оснований смотровых при</w:t>
      </w:r>
      <w:r w:rsidRPr="00DB5D0D">
        <w:rPr>
          <w:rFonts w:ascii="Times New Roman" w:hAnsi="Times New Roman" w:cs="Times New Roman"/>
          <w:i w:val="0"/>
          <w:iCs w:val="0"/>
          <w:color w:val="000000" w:themeColor="text1"/>
          <w:sz w:val="16"/>
          <w:szCs w:val="16"/>
        </w:rPr>
        <w:softHyphen/>
        <w:t>боров с оформлением заказа на отливку в 550 (дет. 34.30.183 правый и левый) и на Марзаводе им. Ильича (дет. люка води</w:t>
      </w:r>
      <w:r w:rsidRPr="00DB5D0D">
        <w:rPr>
          <w:rFonts w:ascii="Times New Roman" w:hAnsi="Times New Roman" w:cs="Times New Roman"/>
          <w:i w:val="0"/>
          <w:iCs w:val="0"/>
          <w:color w:val="000000" w:themeColor="text1"/>
          <w:sz w:val="16"/>
          <w:szCs w:val="16"/>
        </w:rPr>
        <w:softHyphen/>
        <w:t>теля 34.29.877).</w:t>
      </w:r>
    </w:p>
    <w:p w14:paraId="4A71210E"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ЗАМ. ДИРЕКТОРА ЗАВОДА МАХОНИН С. Н.</w:t>
      </w:r>
    </w:p>
    <w:p w14:paraId="710DF218"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РАЙИНЖАБТУ КА КОЗЫРЕВ. [РГВА. Ф.31811. On.2. Д. 1176. Л.228.] (11940).</w:t>
      </w:r>
    </w:p>
    <w:p w14:paraId="3F0D8505" w14:textId="77777777" w:rsidR="003C7E8B" w:rsidRPr="00DB5D0D" w:rsidRDefault="003C7E8B" w:rsidP="00DB5D0D">
      <w:pPr>
        <w:pStyle w:val="a3"/>
        <w:rPr>
          <w:color w:val="000000" w:themeColor="text1"/>
          <w:lang w:val="ru-RU"/>
        </w:rPr>
      </w:pPr>
      <w:r w:rsidRPr="00DB5D0D">
        <w:rPr>
          <w:color w:val="000000" w:themeColor="text1"/>
          <w:lang w:val="ru-RU"/>
        </w:rPr>
        <w:t>Данные решения были утверждены старшим военным представителем на заводе №183 Д.М. Козыревым, присут</w:t>
      </w:r>
      <w:r w:rsidRPr="00DB5D0D">
        <w:rPr>
          <w:color w:val="000000" w:themeColor="text1"/>
          <w:lang w:val="ru-RU"/>
        </w:rPr>
        <w:softHyphen/>
        <w:t>ствовавшим на совещании. Однако то, что бронедетали повышенной хрупкос</w:t>
      </w:r>
      <w:r w:rsidRPr="00DB5D0D">
        <w:rPr>
          <w:color w:val="000000" w:themeColor="text1"/>
          <w:lang w:val="ru-RU"/>
        </w:rPr>
        <w:softHyphen/>
        <w:t>ти решили оставить на уже собранных танках, вызвало недовольство со сторо</w:t>
      </w:r>
      <w:r w:rsidRPr="00DB5D0D">
        <w:rPr>
          <w:color w:val="000000" w:themeColor="text1"/>
          <w:lang w:val="ru-RU"/>
        </w:rPr>
        <w:softHyphen/>
        <w:t>ны руководства ГАБТУ, которое, в свою очередь, 21 августа письмом №76007с уведомило Д.М. Козырева о недопустимости таких действий впредь (11940).</w:t>
      </w:r>
    </w:p>
    <w:p w14:paraId="04B4E5DD" w14:textId="77777777" w:rsidR="003C7E8B" w:rsidRPr="00DB5D0D" w:rsidRDefault="003C7E8B" w:rsidP="00DB5D0D">
      <w:pPr>
        <w:pStyle w:val="a3"/>
        <w:rPr>
          <w:color w:val="000000" w:themeColor="text1"/>
          <w:lang w:val="ru-RU"/>
        </w:rPr>
      </w:pPr>
    </w:p>
    <w:p w14:paraId="2AE308FB"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г.</w:t>
      </w:r>
    </w:p>
    <w:p w14:paraId="62DC59C7"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158. Письмо директора Броневого института А. С. Завьялова секретарю ЦК ВКП(б) И. В. Сталину о производстве корабельной и тяжелой танковой брони[</w:t>
      </w:r>
      <w:hyperlink r:id="rId250"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w:t>
      </w:r>
    </w:p>
    <w:p w14:paraId="3A6D03E8"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033BA23E"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633-640.</w:t>
      </w:r>
    </w:p>
    <w:p w14:paraId="21CBD887"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243E68C5"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 4372. Оп. 92. Д. 251. Л. 2-14. Подлинник.</w:t>
      </w:r>
    </w:p>
    <w:p w14:paraId="0946211D"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62711D51"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корабельной и тяжелой танковой брони у нас в Союзе пока резко отстает от потребностей в ней строительства Военно-морского флота и тяжелых танков. Вследствие этого мы вынуждены даже заказывать корабельную броню в Германии, несмотря на то, что качество немецкой брони и условия приемки ее нас не удовлетворяют.</w:t>
      </w:r>
    </w:p>
    <w:p w14:paraId="287E86B7"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у нас имеются громадные не использованные резервы для очень резкого увеличения выпуска брони, удешевления стоимости ее и снижения расхода импортных ферросплавов, мазута, растительных закалочных масел и других дорогих материалов.</w:t>
      </w:r>
    </w:p>
    <w:p w14:paraId="1902EF9A"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ряд основных, принятых у нас в стране положений из области бронепроизводства, в частности тактико-технические требования к корабельной броне, нуждаются в серьезных изменениях. У нас по некоторым вопросам броневого дела и бронирования пока доминирующую роль играют положения и взгляды, установившиеся на первых порах разворота бронепроизводства и строительства бронируемых кораблей, т. е. когда у работников броневой и судостроительной промышленности и НКВМФ были недостаточны необходимые опыт и знания.</w:t>
      </w:r>
    </w:p>
    <w:p w14:paraId="20AEA79C"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Наши работы и опыт последних лет, а также практика немецкого бронепроизводства, в настоящее время неплохо известная нам, настойчиво диктуют о необходимости серьезных изменений в ряде принципиальных положений, в том числе и в тактико-технических требованиях к броне.</w:t>
      </w:r>
    </w:p>
    <w:p w14:paraId="6760DC25"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отметить, что у нас в бронепроизводстве согласование отдельных вопросов между работниками НКСП, НКВМФ и НКО и даже в пределах одного наркомата проходит очень медленно, новое подчас принимается медленно и нерешительно, что безусловно, отрицательно отражается на работе.</w:t>
      </w:r>
    </w:p>
    <w:p w14:paraId="09EA546E"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О тактико-технических требованиях к корабельной броне</w:t>
      </w:r>
    </w:p>
    <w:p w14:paraId="7DB5C365"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предъявляем к цементованной броне требование, чтобы она, удовлетворяя заданной бронестойкости, в то же время не давала при ударе в нее снаряда значительных хрупких поражений: отколов с тыльной стороны более 2,75 калибра снаряда и трещин. Испытываем мы цементованную броню отстрелом по нормали. Случай попадания снаряда в броневую защиту корабля по нормали исключен вообще: снаряды будут ударять только под углами, величина которых изменяется в зависимости от дистанции и курсовых углов корабля.</w:t>
      </w:r>
    </w:p>
    <w:p w14:paraId="4115E5D0"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Броневой институт (НИИ</w:t>
      </w:r>
      <w:r w:rsidRPr="00DB5D0D">
        <w:rPr>
          <w:rFonts w:ascii="Times New Roman" w:hAnsi="Times New Roman"/>
          <w:color w:val="000000" w:themeColor="text1"/>
          <w:sz w:val="16"/>
          <w:szCs w:val="16"/>
        </w:rPr>
        <w:noBreakHyphen/>
        <w:t>48) разрабатывает новую оборонную науку, названную нами “тактические свойства брони и броневых систем защиты”, дающей правильную возможность выбора типов брони и систем бронирования для всевозможных бронируемых военных объектов.</w:t>
      </w:r>
    </w:p>
    <w:p w14:paraId="001E3A9A"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 из направлений этих работ показало, что в случае глубокой и резкой закалки цементованной брони, естественным спутником которой является повышенная склонность брони к хрупким  поражениям, бронестойкость брони, в особенности при ударе снаряда под углами, резко повышается по сравнению с мелкозакаленной, менее склонной к хрупким поражениям броней. Так, например, если броня закалена на 27</w:t>
      </w:r>
      <w:r w:rsidRPr="00DB5D0D">
        <w:rPr>
          <w:rFonts w:ascii="Times New Roman" w:hAnsi="Times New Roman"/>
          <w:color w:val="000000" w:themeColor="text1"/>
          <w:sz w:val="16"/>
          <w:szCs w:val="16"/>
        </w:rPr>
        <w:noBreakHyphen/>
        <w:t>35% своей толщины, как это делается у нас (цементованная броня закаливается односторонне, лишь на часть своей толщины), то бронестойкость при отстреле под углом 30° от нормали возрастет по сравнению с бронестойкостыо по нормали всего на 5</w:t>
      </w:r>
      <w:r w:rsidRPr="00DB5D0D">
        <w:rPr>
          <w:rFonts w:ascii="Times New Roman" w:hAnsi="Times New Roman"/>
          <w:color w:val="000000" w:themeColor="text1"/>
          <w:sz w:val="16"/>
          <w:szCs w:val="16"/>
        </w:rPr>
        <w:noBreakHyphen/>
        <w:t>8%. Та же броня, но закаленная на 40</w:t>
      </w:r>
      <w:r w:rsidRPr="00DB5D0D">
        <w:rPr>
          <w:rFonts w:ascii="Times New Roman" w:hAnsi="Times New Roman"/>
          <w:color w:val="000000" w:themeColor="text1"/>
          <w:sz w:val="16"/>
          <w:szCs w:val="16"/>
        </w:rPr>
        <w:noBreakHyphen/>
        <w:t>50% своей толщины (более глубоко закаливать опасно — броня будет чрезмерно хрупка), даст прирост бронестойкости, при отстреле под углом 30°, примерно на 15%. С увеличением угла отстрела разница в приросте бронестойкости будет все увеличиваться.</w:t>
      </w:r>
    </w:p>
    <w:p w14:paraId="22BAD7DA"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различных отношениях калибра снаряда к толщине брони цифры прироста бронестойкости под углами будут меняться, но закон изменения бронестойкости останется тем же: глубокозакаленная броня даст больший прирост бронестойкости под углами в процентах к бронестойкости по нормали, чем менее глубоко и резко закаленная броня. Этот закон изменяется лишь при больших отношениях калибра снаряда к толщине брони (порядка 2,0</w:t>
      </w:r>
      <w:r w:rsidRPr="00DB5D0D">
        <w:rPr>
          <w:rFonts w:ascii="Times New Roman" w:hAnsi="Times New Roman"/>
          <w:color w:val="000000" w:themeColor="text1"/>
          <w:sz w:val="16"/>
          <w:szCs w:val="16"/>
        </w:rPr>
        <w:noBreakHyphen/>
        <w:t>2,2 и больше), когда глубокозакаленная броня начинает вести себя хуже, чем мелкозакаленная. Но в этих случаях для бронирования применяется броня уже не цементованная, а гомогенная.</w:t>
      </w:r>
    </w:p>
    <w:p w14:paraId="74F7789F"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Безусловно лучше, если при данной скорости удара снаряда в броню она даст отколы и трещины, но снаряд за броню не пройдет, чем при отсутствии отколов и трещин снаряд сделает “чистую” пробоину, равную его калибру, и пройдет в цитадель корабля.</w:t>
      </w:r>
    </w:p>
    <w:p w14:paraId="54DB5D5A"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на этот путь в тактико-технических требованиях к броне мы пока не встали, а наоборот, даже несколько отошли от него, ограничивши техническими условиями размер допустимых отколов с 3,0 калибра снаряда, как это было в 1939 г., до 2,75 калибра по действующим в настоящее время техусловиям. Вследствие этого броневые заводы продолжают закаливать броню сравнительно неглубоко, а наши испытания цементованной брони по техусловиям только по нормали не вскрывают действительной потери от этого в бронестойкости в тактических условиях, так как при отстреле по нормали глубокозакаленная броня преимущества в бронестойкости перед мелкозакаленной броней практически не имеет.</w:t>
      </w:r>
    </w:p>
    <w:p w14:paraId="7E992D9E"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Довольно основательное ознакомление с немецким бронепроизводством и их тактико-техническими требованиями к броне показало, что немцы броню закаливают очень глубоко (до 50% толщины) и резко. Для возможности этого они совершенно сняли ограничения в величине хрупких поражений, но зато имеют прирост в 6ронестойкости брони под тактическими углами по сравнению с отстрелом по нормали весьма значительный. И если по нормали немецкая цементованная броня имеет бронестойкость ниже нашей в среднем процентов на 15</w:t>
      </w:r>
      <w:r w:rsidRPr="00DB5D0D">
        <w:rPr>
          <w:rFonts w:ascii="Times New Roman" w:hAnsi="Times New Roman"/>
          <w:color w:val="000000" w:themeColor="text1"/>
          <w:sz w:val="16"/>
          <w:szCs w:val="16"/>
        </w:rPr>
        <w:noBreakHyphen/>
        <w:t>20, то под тактическими углами отстрела бронестойкость их брони уже больше приблизится к нашей, правда, давая при этом значительно большие хрупкие поражения.</w:t>
      </w:r>
    </w:p>
    <w:p w14:paraId="55780421"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мы встанем на этот путь, то при наших более качественных металле и технологии мы добьемся значительно большей бронестойкости в тактических условиях работы броневой защиты.</w:t>
      </w:r>
    </w:p>
    <w:p w14:paraId="78433808"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данное изменение в тактико-технических требованиях нам необходимо пойти. Этому должны предшествовать определенные организационно-технические мероприятия: пересмотр технических условий в этой части, организация испытаний плит под углами на полигоне на срубах без рубашки; мероприятия по переходу на глубокую закалку в термических цехах броневых заводов и т. п. Но необходимо учесть, что если моряки не изменят своих требований в части ограничений хрупких поражений брони, то из всего этого ничего не выйдет, так как основная причина, побуждающая броневые заводы давать броне неглубокую закалку, — это боязнь, что броня будет забракована при отстреле по наличию отколов и трещин, выходящих за рамки технических условий.</w:t>
      </w:r>
    </w:p>
    <w:p w14:paraId="45C98723"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Моряки же соприкасающиеся с бронепроизводством, сейчас находятся на распутье: с одной стороны, заявляют, что немцы правильно делают, глубоко закаливая броню, и это надо перенять, этому надо учиться, а, с другой стороны, боятся сделать надлежащие выводы в отношении нашего бронепроизводства: всех пугает возможность снять или даже уменьшить ограничения в хрупких поражениях. Поэтому в данном вопросе мы пока ограничиваемся небольшой кулуарной дискуссией, а не действиями и соответствующими решениями.</w:t>
      </w:r>
    </w:p>
    <w:p w14:paraId="5F5229D9"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Нам Необходимо смелее пересмотреть ряд принципиальных положений из области броневого дела и броневой защиты на основе всего накопленного у нас опыта. Необходимо также использовать и данные практики немецкого бронепроизводства, отметая из нее то, что привито ей капиталистическими условиями производства и монопольным положением Круппа.</w:t>
      </w:r>
    </w:p>
    <w:p w14:paraId="6E1C4564"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О резервах броневых заводов по увеличению выпуска брони в металлургической части</w:t>
      </w:r>
    </w:p>
    <w:p w14:paraId="4D9F0C2E"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Вся бортовая броня, броня барбетов, траверзов, башен, боевых рубок линейных кораблей является в основном цементованной. Следовательно, в ближайшее время цементованная броня в производстве наших броневых заводов будет иметь очень большой удельный вес. А цементованная броня является самой трудоемкой, длительной по процессу изготовления и дорогой броней. Процесс цементации плиты, в зависимости от толщины, требует 200</w:t>
      </w:r>
      <w:r w:rsidRPr="00DB5D0D">
        <w:rPr>
          <w:rFonts w:ascii="Times New Roman" w:hAnsi="Times New Roman"/>
          <w:color w:val="000000" w:themeColor="text1"/>
          <w:sz w:val="16"/>
          <w:szCs w:val="16"/>
        </w:rPr>
        <w:noBreakHyphen/>
        <w:t>450 пече-часов, т. е. до 70</w:t>
      </w:r>
      <w:r w:rsidRPr="00DB5D0D">
        <w:rPr>
          <w:rFonts w:ascii="Times New Roman" w:hAnsi="Times New Roman"/>
          <w:color w:val="000000" w:themeColor="text1"/>
          <w:sz w:val="16"/>
          <w:szCs w:val="16"/>
        </w:rPr>
        <w:noBreakHyphen/>
        <w:t>80% от всего печного времени, требуемого на получение брони. Поэтому в области бронепроизводства вот уже в течение около 50 лет делаются многочисленные попытки заменить цементованную броню другой или ускорить процесс цементации. Сюда относятся:</w:t>
      </w:r>
    </w:p>
    <w:p w14:paraId="69A32E7B"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различные способы получения слойной[</w:t>
      </w:r>
      <w:hyperlink r:id="rId251" w:anchor="p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брони;</w:t>
      </w:r>
    </w:p>
    <w:p w14:paraId="343B027F"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применявшийся в конце прошлого столетия способ Деменжа, который в настоящее время разрабатывается у нас по предложению т. Рудакова, и другие способы цементации брони при отливке;</w:t>
      </w:r>
    </w:p>
    <w:p w14:paraId="56DB857F"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получение гетерогенной брони в слитках: способ Рожкова, способ отливки в изложницу “Виккерса”, над усовершенствованием  которого работает бригада ОТБ НКВД на Мариупольском заводе им. Ильича, и целый ряд других способов.</w:t>
      </w:r>
    </w:p>
    <w:p w14:paraId="3E9D3E4A"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Пока все эти способы не были доведены до возможности их реализации для широкого массового производства брони.</w:t>
      </w:r>
    </w:p>
    <w:p w14:paraId="316B7EF7"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Броневой институт в течение последних лет также упорно работал в этом направлении, разрабатывая различные новые виды брони и технологические процессы.</w:t>
      </w:r>
    </w:p>
    <w:p w14:paraId="03F29AA8"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направления дали очень хорошие результаты:</w:t>
      </w:r>
    </w:p>
    <w:p w14:paraId="0D23D91B"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Разработана броня “БЦ” (без цементации, односторонне закаленная), снижающая затрату печного времени, необходимого для обработки брони, в среднем 70%, резко сокращающая технологический цикл изготовления брони, расход мазута и снижающая стоимость брони более чем на 1 тыс. руб. на тонну годной брони. Испытано уже более 30 плит “БЦ” самых различных толщин (от 125 до 425 мм) на полигоне. По бронестойкосги броня “БЦ” оказалась равноценной броне цементованной, но на части плит “БЦ” отколы с лицевой стороны (по которым вообще-то броня не бракуется) оказались больше, чем на броне цементованной. С тыльной стороны большие отколы оказались лишь на нескольких плитах, а на двух — трещины. И только поэтому данная броня не была принята на вооружение.</w:t>
      </w:r>
    </w:p>
    <w:p w14:paraId="334C8B85"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Вследствие того, что броня “БЦ” не принимается на вооружение, а также потому, что на малых толщинах брони (тоньше 150</w:t>
      </w:r>
      <w:r w:rsidRPr="00DB5D0D">
        <w:rPr>
          <w:rFonts w:ascii="Times New Roman" w:hAnsi="Times New Roman"/>
          <w:color w:val="000000" w:themeColor="text1"/>
          <w:sz w:val="16"/>
          <w:szCs w:val="16"/>
        </w:rPr>
        <w:noBreakHyphen/>
        <w:t>200 мм) она уступает броне цементованной по бронестойкости, нами разработан новый процесс “ускоренной цементации” сокращающий более чем в два раза время на цементацию. Плиты, изготовленные по этому процессу, прошли  государственные испытания и полностью выдержали их. В броне не обнаружено никаких дефектов и она рекомендована в вооружение. Несмотря на это, процесс ускоренной цементации не внедряется в производство. Причина этого — боязнь отдельных работников пойти на резкое изменение привычной технологии, так как это связано с некоторой перестройкой производства.</w:t>
      </w:r>
    </w:p>
    <w:p w14:paraId="1A913553"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срочно пересмотреть вопрос об этих двух замечательнейших достижениях исследовательской работы и нашей броневой промышленности вообще, так как они дают громадные мобилизационно-экономические преимущества и позволяют при тех же мощностях термических цехов броневых заводов увеличить в 1,5</w:t>
      </w:r>
      <w:r w:rsidRPr="00DB5D0D">
        <w:rPr>
          <w:rFonts w:ascii="Times New Roman" w:hAnsi="Times New Roman"/>
          <w:color w:val="000000" w:themeColor="text1"/>
          <w:sz w:val="16"/>
          <w:szCs w:val="16"/>
        </w:rPr>
        <w:noBreakHyphen/>
        <w:t>2 раза выпуск брони.</w:t>
      </w:r>
    </w:p>
    <w:p w14:paraId="4FB779FB"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целесообразно вопрос решить так: гетерогенную броню 200 мм и толще делать типа “БЦ”, а тоньше — по методу “ускоренной цементации”. В крайнем случае, если моряки не согласятся принять броню “БЦ”, всю броню делать по методу “ускоренной цементации”.</w:t>
      </w:r>
    </w:p>
    <w:p w14:paraId="4CCF814D"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О возможностях по снижению расхода импортных ферросплавов и остродефицитных материалов</w:t>
      </w:r>
    </w:p>
    <w:p w14:paraId="4FA04F1F"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Броневая промышленность потребляет громадное количество импортных никеля и молибдена. Исключительно велик также расход остродефицитного растительного масла для закалки некоторых сортов, которого ей расходуется многие сотни и даже тысячи тонн в год.</w:t>
      </w:r>
    </w:p>
    <w:p w14:paraId="54084488"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Вследствие этого проведены большие работы по разработке марок стали, требующих меньшее количество импортных ферросплавов, и которые можно бы было закаливать в воде, а не в масле, а также по изысканию других путей снижения расхода ферросплавов.</w:t>
      </w:r>
    </w:p>
    <w:p w14:paraId="5C3A014D"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Ряд работ дал весьма положительные результаты и совместно с броневыми заводами доведен до конца и внедрен в производство (марочник броневых сталей на  1940 г., использование отходов и др.), давших весьма большой экономический и производственный эффект[</w:t>
      </w:r>
      <w:hyperlink r:id="rId252" w:anchor="p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w:t>
      </w:r>
    </w:p>
    <w:p w14:paraId="3850D664"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самое радикальное средство, в успешность разработки которого многие даже мало верили, — разработанные институтом новые марки стали для корабельной и тяжелой танковой брони с резко сниженным содержанием никеля, броню из которых можно и нужно закаливать не в масле, а в воде, — реализуется крайне медленно и в весьма ограниченном объеме. И это несмотря на то, что:</w:t>
      </w:r>
    </w:p>
    <w:p w14:paraId="103D97FE"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все плиты, изготовленные из этих марок стали, блестяще выдержали полигонные испытания, со значительным превышением технических условий;</w:t>
      </w:r>
    </w:p>
    <w:p w14:paraId="25FCA0B3"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переход на эти марки стали даст дополнительной экономии никеля только по Ижорскому заводу около 700 т в год;</w:t>
      </w:r>
    </w:p>
    <w:p w14:paraId="67ADBA0F"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гомогенную броню совершенно не будет больше расходоваться растительное масло, т. е. будет экономиться его много сотен тонн в год.</w:t>
      </w:r>
    </w:p>
    <w:p w14:paraId="0EC7B2C9"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О возможностях по освобождению правильных и гибочных прессов и прокатных станов</w:t>
      </w:r>
    </w:p>
    <w:p w14:paraId="1E227AA0"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Одним из самых узких мест броневых заводов в настоящее время стали являться правильные и гибочные средства: прессы, вальцы. Гибочно-правильные работы весьма трудоемки.</w:t>
      </w:r>
    </w:p>
    <w:p w14:paraId="2BC7090B"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Самым радикальным средством для высвобождения этих агрегатов является переход, где это возможно, с катаной брони на литую. В этом направлении удалось добиться по ряду объектов весьма положительных результатов, которые необходимо как можно шире и быстрее внедрять в производство.</w:t>
      </w:r>
    </w:p>
    <w:p w14:paraId="0DB2B853"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Броневым институтом разработаны литые трубы защиты проводов для кораблей. Изготовление этих труб, особенно больших толщин, из катаной брони требует очень большой затраты времени на загиб и механическую обработку, и трубы к тому же получаются малопрочными, так как состоят из многочисленных плит, а не мополитные. Разработанная технология изготовления литых труб позволила нам изготовить трубы, успешно выдержавшие госиспытания.</w:t>
      </w:r>
    </w:p>
    <w:p w14:paraId="1C560D04"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2.У нас много идет брони на береговую оборону. С целью упрощения и удешевления производства Броневым институтом разработана литая броня “БЦ” и литая броня гомогенная для береговых укреплений. Броня такая теперь есть, технология изготовления ее тщательно разработана и проверена. Необходимо максимально широкое внедрение этих работ в производство. Эффект экономический и в части высвобождения дефицитных производственных мощностей весьма большой.</w:t>
      </w:r>
    </w:p>
    <w:p w14:paraId="2C3E0328"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Проведенные в течении ряда лет большие работы по различному броневому литью позволили Броневому институту в июне 1939 г. предложить делать наиболее сложные узлы (в первую очередь, башни) тяжелых танков литыми. В соответствии с этим предложением Комитет обороны в декабре 1939 г. вынес постановление о проведении институтом и заводами соответствующих работ.</w:t>
      </w:r>
    </w:p>
    <w:p w14:paraId="620BF1EB"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настоящему времени эта задача, естественно, с некоторым утолщением брони, что, по заявлению конструкторов, не ухудшает тактических данных танков, весьма успешно решена институтом совместно с Мариупольским заводом им. Ильича в части башен и носа танка А</w:t>
      </w:r>
      <w:r w:rsidRPr="00DB5D0D">
        <w:rPr>
          <w:rFonts w:ascii="Times New Roman" w:hAnsi="Times New Roman"/>
          <w:color w:val="000000" w:themeColor="text1"/>
          <w:sz w:val="16"/>
          <w:szCs w:val="16"/>
        </w:rPr>
        <w:noBreakHyphen/>
        <w:t>34 и удовлетворительно решена в части башни КВ в совместной работе с Ижорским заводом.</w:t>
      </w:r>
    </w:p>
    <w:p w14:paraId="7F4C9CC8"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результаты необходимо срочно реализовать в производстве, так как башня танка — это самый сложный с точки зрения производства броневой узел в танке, требующий основную массу затраты гибочных средств при производстве танков. Переход на литые башни — это большая разгрузка дефицитных производственных мощностей, возможность резких увеличений выпуска и снижения стоимости.</w:t>
      </w:r>
    </w:p>
    <w:p w14:paraId="3927B1BF"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отметить, что этим не должно ограничиваться применение броневого литья в танкостроении. Применение его необходимо еще более расширить путем изготовления литыми других сложных узлов танков (кормы, носа и др.). Нам необходимо у нас в стране создавать производственные мощности для разворота изготовления литья. В Германии, например, построен в 1936 г. специальный громадный завод “Бохумер ферайн” в г. Бохуме для производства броневого литья любой сложности и любых габаритов. Завод состоит из мартеновского цеха — 6 печей по 40 т, большого литейного цеха, двух больших прекрасно оборудованных термических цехов и механического цеха, площадью около 25 тыс. кв. м. Хотя завод занят почти полностью производством дотов (различные башни), но в случае нужды он может легко поставлять и любые другие окончательно обработанные отливки. Данный завод, технология изготовления дотов и самые доты описаны в специальной докладной записке т. Завьялова и Лесникова.</w:t>
      </w:r>
    </w:p>
    <w:p w14:paraId="42DAC76D"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этого завода броневое литье в Германии в больших масштабах делается еще на двух прекрасно оборудованных заводах — Круппа и “Шкода”. Заводы делают доты и в настоящее время; следовательно, немцы усиленно укрепляют свою границу с нами. Мы у себя в стране не имеем таких заводов, а нам литейные заводы, могущие полностью обработать литье термически и механически, крайне нужны. Эти заводы, конечно, могут делать не только броневые отливки, а и всякое другое литье.</w:t>
      </w:r>
    </w:p>
    <w:p w14:paraId="5E216EAC"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Обязательное требование к таким заводам: они должны состоять из комплекса цехов, могущих давать литье в окончательно термически и механически обработанном виде, потому что:</w:t>
      </w:r>
    </w:p>
    <w:p w14:paraId="439FA0AA"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термическая обработка литья должна сейчас же следовать за отливкой, иначе это будет связано с дефектами в изделиях;</w:t>
      </w:r>
    </w:p>
    <w:p w14:paraId="5DE36DFA"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для механической обработки литья требуется специальное станочное оборудование, позволяющее обрабатывать всевозможные сложные криволинейные контуры изделий. Изыскание каждый раз подобного оборудования на других заводах будет связано с большими задержками и непроизводительными расходами.</w:t>
      </w:r>
    </w:p>
    <w:p w14:paraId="78FEEFF3"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же время  необходимо изыскать производственные мощности на существующих заводах для изготовления литыми тех броневых объектов, которые уже можно делать таковыми. Это нам высвободит много необходимых мощностей для корабельной и танковой брони, позволит резко увеличить выпуск броневых объектов и снизить их стоимость.</w:t>
      </w:r>
    </w:p>
    <w:p w14:paraId="67483F33"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О возможностях по высвобождению станочного оборудования</w:t>
      </w:r>
    </w:p>
    <w:p w14:paraId="59AD8688"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увеличением программы по тяжелым танкам и некоторым отставаниям строительства на броневых заводах механических цехов механическая обработка брони стала одним из наиболее узких мест. Но в этом направлении у нас также есть большие возможности для расшивки этого узкого места.</w:t>
      </w:r>
    </w:p>
    <w:p w14:paraId="710EE4AC"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Замена сваркой клепки и других видов механического соединения брони исключительно резко снижает объем механической обработки. Броневой институт провел очень большие работы по разработке сварных соединений брони танков КВ и гомогенной корабельной (палубы и т. п.). Широкие испытания этих сварных соединений показали их высокое качество и сопротивляемость пробитию снарядами.</w:t>
      </w:r>
    </w:p>
    <w:p w14:paraId="63678F72"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танки КВ полностью перевести на сварку, за исключением лишь некоторых узлов, которые сваривать нецелесообразно. Кораблестроителям необходимо внедрить сварку на все те узлы, на которые рекомендует НИИ</w:t>
      </w:r>
      <w:r w:rsidRPr="00DB5D0D">
        <w:rPr>
          <w:rFonts w:ascii="Times New Roman" w:hAnsi="Times New Roman"/>
          <w:color w:val="000000" w:themeColor="text1"/>
          <w:sz w:val="16"/>
          <w:szCs w:val="16"/>
        </w:rPr>
        <w:noBreakHyphen/>
        <w:t>48. А мы беремся оказать полную помощь в освоении всего этого в производстве, дать тщательный инструктаж и, если потребуется, техническое руководство на период освоения.</w:t>
      </w:r>
    </w:p>
    <w:p w14:paraId="16F6F716"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Организации, проектирующие корабли, ввели ряд исключительно сложных для механической обработки, но не всегда оправдываемых качеством, соединений брони на кораблях. Особенно сложным  в этом отношении является проект № 23. Когда мы убедились, что немцы таких соединений брони для нас не возьмутся делать, то нашли возможность ряд соединений сильно упростить, без видимой какой-либо потери на качестве этих соединений. Так почему же мы это сочли возможным сделать для немецкой промышленности, а не делаем для своей?</w:t>
      </w:r>
    </w:p>
    <w:p w14:paraId="1B71C556"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обязать НКСП и НКВМФ совместно пересмотреть стыковые соединения брони в сторону упрощения их. Это мероприятие, не отражаясь на качестве кораблей, позволит сильно разгрузить механические цеха.</w:t>
      </w:r>
    </w:p>
    <w:p w14:paraId="76AC2C83"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Необходимо учесть, что наши конструкторские бюро, проектируя корабли, сами учились этому делу в процессе проектирования. Поэтому в проектах немало моментов, бесцельно усложняющих строительство.</w:t>
      </w:r>
    </w:p>
    <w:p w14:paraId="4634873D"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Германии вся гомогенная корабельная броня загибается и механически обрабатывается не на броневом заводе, а на судостроительных заводах, и это, безусловно, правильно, так как представляется возможность многое обработать по месту, избежать многих дефектов и т. п.</w:t>
      </w:r>
    </w:p>
    <w:p w14:paraId="68350D7E"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нас на судостроительных заводах есть станочное оборудование, не всегда загруженное.</w:t>
      </w:r>
      <w:r w:rsidRPr="00DB5D0D">
        <w:rPr>
          <w:rFonts w:ascii="Times New Roman" w:hAnsi="Times New Roman"/>
          <w:color w:val="000000" w:themeColor="text1"/>
          <w:sz w:val="16"/>
          <w:szCs w:val="16"/>
        </w:rPr>
        <w:softHyphen/>
        <w:t>Свидетельством этого является хотя бы то обстоятельство, что ленинградские заводы им. т. Жданова и им. т. Марти согласились производить механическую обработку гомогенной брони толщиной до 30 мм сами.</w:t>
      </w:r>
    </w:p>
    <w:p w14:paraId="56538EE9"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срочно проверить возможности в этой части всех судостроительных заводов и загрузить их обработкой легкой корабельной брони, чтобы тяжелое оборудование механических цехов броневых заводов было бы более целесообразно загружено обработкой тяжелой же брони. Необходимо специально проверить возможности для широкой загрузки сталинградского завода № 264, очень слабо загруженного.</w:t>
      </w:r>
    </w:p>
    <w:p w14:paraId="5E9E6F50"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Необходимо просмотреть производственные площади судостроительных заводов и при наличии таковых свободными использовать их для установки бронеобрабатывающих станков. Станки же закупить с импорта, так как, пожалуй, будет более целесообразным на 10</w:t>
      </w:r>
      <w:r w:rsidRPr="00DB5D0D">
        <w:rPr>
          <w:rFonts w:ascii="Times New Roman" w:hAnsi="Times New Roman"/>
          <w:color w:val="000000" w:themeColor="text1"/>
          <w:sz w:val="16"/>
          <w:szCs w:val="16"/>
        </w:rPr>
        <w:noBreakHyphen/>
        <w:t>20 млн. руб. уменьшить объем заказа на броню, а на эти деньги купить станочное оборудование для обработки брони у себя.</w:t>
      </w:r>
    </w:p>
    <w:p w14:paraId="7F2134C3"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О потерях в бронепроизводстве</w:t>
      </w:r>
    </w:p>
    <w:p w14:paraId="37F221D7"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Потери в нашем бронепроизводстве громадные. Всех статей потерь перечислить не могу — слишком длинный будет список. Остановлюсь на двух видах потерь.</w:t>
      </w:r>
    </w:p>
    <w:p w14:paraId="5F08F877"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контрольные плиты для полигонных испытаний брони мы расходуем до 10% брони. Цифра крайне высокая. Немцы на это расходуют всего около 3%. При работе трех броневых заводов на полную мощность мы в 1943 г. расстреляем брони и снарядов примерно на 100 млн. руб., а пробы на изломы и для механических испытаний и контрольные плиты поглотят 20% готовой брони.</w:t>
      </w:r>
    </w:p>
    <w:p w14:paraId="7630D261"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Лишь в 1940 г. мы для испытания брони израсходуем около 4 тыс. крупнокалиберных снарядов. Ведь немцы и англичане в Ютландском бою выпустили снарядов меньше. Немцы на испытание контрольной плиты расходуют в 3 раза меньше снарядов, давая в плиту всего 1</w:t>
      </w:r>
      <w:r w:rsidRPr="00DB5D0D">
        <w:rPr>
          <w:rFonts w:ascii="Times New Roman" w:hAnsi="Times New Roman"/>
          <w:color w:val="000000" w:themeColor="text1"/>
          <w:sz w:val="16"/>
          <w:szCs w:val="16"/>
        </w:rPr>
        <w:noBreakHyphen/>
        <w:t>2 снаряда, а мы — до 5 снарядов.</w:t>
      </w:r>
    </w:p>
    <w:p w14:paraId="4A03DBAF"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запретить заводам предъявлять маленькие партии плит, а морякам стрелять в плиту более чем 2</w:t>
      </w:r>
      <w:r w:rsidRPr="00DB5D0D">
        <w:rPr>
          <w:rFonts w:ascii="Times New Roman" w:hAnsi="Times New Roman"/>
          <w:color w:val="000000" w:themeColor="text1"/>
          <w:sz w:val="16"/>
          <w:szCs w:val="16"/>
        </w:rPr>
        <w:noBreakHyphen/>
        <w:t>3 снарядами, так как этого вполне достаточно для оценки качества брони. Эти мероприятия заодно помогут несколько расшить еще одно узкое место — артиллерийский полигон.</w:t>
      </w:r>
    </w:p>
    <w:p w14:paraId="110F9993"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также пересмотреть целесообразность столь большого расхода брони на контрольно-заводские испытания.</w:t>
      </w:r>
    </w:p>
    <w:p w14:paraId="1E835D71"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 Предложения</w:t>
      </w:r>
    </w:p>
    <w:p w14:paraId="30A48501"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Указанные в настоящем письме мероприятия отнюдь не охватывают всех наших резервов для увеличения выпуска брони и подлежащих пересмотру положений из области броневого дела и бронирования.</w:t>
      </w:r>
    </w:p>
    <w:p w14:paraId="328F3FBF"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Предлагаемые мероприятия, при реализации их, вызовут серьезную ломку существующих технологических процессов, установившихся взглядов и положений, а в ряде случаев и организационно-техническую перестройку бронепроизводства.</w:t>
      </w:r>
    </w:p>
    <w:p w14:paraId="3C8D47B2"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проведению в жизнь всех как изложенных здесь, так и многих из-за стремления не загромождать данного письма не указанных мероприятий, должна предшествовать серьезная, квалифицированная проработка их.</w:t>
      </w:r>
    </w:p>
    <w:p w14:paraId="1304522E"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этой проработке целесообразно широко использовать высококвалифицированный коллектив броневиков Броневого института (НИИ</w:t>
      </w:r>
      <w:r w:rsidRPr="00DB5D0D">
        <w:rPr>
          <w:rFonts w:ascii="Times New Roman" w:hAnsi="Times New Roman"/>
          <w:color w:val="000000" w:themeColor="text1"/>
          <w:sz w:val="16"/>
          <w:szCs w:val="16"/>
        </w:rPr>
        <w:noBreakHyphen/>
        <w:t>48), так как опыт работников, давших все виды и типы корабельной, танковой, авиационной и другой брони, принятых у нас в стране на вооружение, и технологию их производства, безусловно, целесообразно в таком деле использовать.</w:t>
      </w:r>
    </w:p>
    <w:p w14:paraId="27D1725F"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необходимым просить Вас для реализаций и выявления как указанных в письме, так и многих здесь не указанных мероприятий, поручить Комитету обороны создать небольшую, но с широкими полномочиями квалифицированную, могущую быть, безусловно, объективной комиссию из работников ЦК и Ленинградского горкома ВКП(б), Комитета обороны, НКСП и НКВМФ. В комиссию привлечь руководящих работников НИИ</w:t>
      </w:r>
      <w:r w:rsidRPr="00DB5D0D">
        <w:rPr>
          <w:rFonts w:ascii="Times New Roman" w:hAnsi="Times New Roman"/>
          <w:color w:val="000000" w:themeColor="text1"/>
          <w:sz w:val="16"/>
          <w:szCs w:val="16"/>
        </w:rPr>
        <w:noBreakHyphen/>
        <w:t>48 (гл. инженера т. Каневского, парторга ЦК ВКП(б) т. Усыскина и др.).</w:t>
      </w:r>
    </w:p>
    <w:p w14:paraId="291D812D"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Данной комиссий поручить в жесткие сроки проработать поднятые вопросы и ряд других мероприятий, здесь не освещенных, и представить на утверждение в Комитет обороны при СНК СССР четкий перечень мероприятий, с краткой технико-экономической характеристикой их и тщательно проработанным графиком реализации этих мероприятий.</w:t>
      </w:r>
    </w:p>
    <w:p w14:paraId="6BF16CF1"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Броневого институтаЗавьялов.</w:t>
      </w:r>
    </w:p>
    <w:p w14:paraId="27ED5256"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p w14:paraId="567C7F96"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53"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Копии направлены: в Комитет обороны при СНК СССР К. Е. Ворошилову, секретарю Ленинградского обкома ВКП(б) А. А. Жданову и наркому судостроительной промышленности И. И. Носенко.</w:t>
      </w:r>
    </w:p>
    <w:p w14:paraId="01378F3D"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54" w:anchor="s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Слово вписано над строкой.</w:t>
      </w:r>
    </w:p>
    <w:p w14:paraId="4B7EC04C"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55" w:anchor="s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 Так в тексте.</w:t>
      </w:r>
    </w:p>
    <w:p w14:paraId="58A3F2BC" w14:textId="77777777" w:rsidR="00A9347D" w:rsidRPr="00DB5D0D" w:rsidRDefault="00A9347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 4372. Оп. 92. Д. 251. Л. 2-14. Подлинник (18000).</w:t>
      </w:r>
    </w:p>
    <w:p w14:paraId="24A3F469" w14:textId="77777777" w:rsidR="00A9347D" w:rsidRPr="00DB5D0D" w:rsidRDefault="00A9347D" w:rsidP="00DB5D0D">
      <w:pPr>
        <w:spacing w:after="0" w:line="240" w:lineRule="auto"/>
        <w:jc w:val="both"/>
        <w:rPr>
          <w:rFonts w:ascii="Times New Roman" w:hAnsi="Times New Roman"/>
          <w:color w:val="000000" w:themeColor="text1"/>
          <w:sz w:val="16"/>
          <w:szCs w:val="16"/>
        </w:rPr>
      </w:pPr>
    </w:p>
    <w:p w14:paraId="40E419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катер Д-3 зачислили Черноморского флота. Катер Д-3 был единственным этого типа в Черноморском флоте и не имел другого номера. 15 июля 1944 г. Д-3 был выведен из боевого состава и переклассифицирован в плавсредство (10675).</w:t>
      </w:r>
    </w:p>
    <w:p w14:paraId="09A083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DD31FD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5779644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709DF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к СССР присоединилась Эстония (3908,361).</w:t>
      </w:r>
    </w:p>
    <w:p w14:paraId="00BFB47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57B2DE5"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в 1940 году Эстонская ССР принята в состав Союза ССР (14975).</w:t>
      </w:r>
    </w:p>
    <w:p w14:paraId="719C7CE9"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70C33FD5" w14:textId="77777777" w:rsidR="00AB545D" w:rsidRPr="00DB5D0D" w:rsidRDefault="00AB545D"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августа 1940 Эстонская ССР принята в состав СССР (21190).</w:t>
      </w:r>
    </w:p>
    <w:p w14:paraId="0D74C957" w14:textId="77777777" w:rsidR="00AB545D" w:rsidRPr="00DB5D0D" w:rsidRDefault="00AB545D" w:rsidP="00DB5D0D">
      <w:pPr>
        <w:spacing w:after="0" w:line="240" w:lineRule="auto"/>
        <w:jc w:val="both"/>
        <w:rPr>
          <w:rFonts w:ascii="Times New Roman" w:hAnsi="Times New Roman"/>
          <w:color w:val="0070C0"/>
          <w:sz w:val="16"/>
          <w:szCs w:val="16"/>
        </w:rPr>
      </w:pPr>
    </w:p>
    <w:p w14:paraId="1B70F055"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в 1940 году в Черновцах во время экспедиции в Западную Украину арестован крупнейший советский учёный-генетик, президент Всесоюзного географического общества академик Николай Вавилов. Постановление на арест лично утвердил Л.П.Берия. 9 июля 1941 года решением военной коллегии Верховного суда СССР под председательством В.В.Ульриха по обвинению в принадлежности к антисоветской организации «Трудовая крестьянская партия», во вредительстве и шпионаже Вавилов был приговорен к расстрелу. На суде Вавилов отверг все обвинения. Длительное время провел в камере смертников в Бутырке в ожидании расстрела. Прошение о помиловании, подписанное Вавиловым и другими проходившими по делу учеными, было отклонено, за смертный приговор лично проголосовали Сталин, Калинин, Каганович, Маленков, Шкирятов и другие лица из сталинского окружения. Все проходившие по этому делу осужденные были расстреляны 28 июля 1941 года, в отношении Вавилова исполнение приговора было отложено и позже заменено 20 годами заключения. Изменение приговора было результатом активного вмешательства Д.Н.Прянишникова, который обратился к Берии через его жену и свою ученицу, работавшую на кафедре агрохимии Тимирязевской академии. Расстрел отменили, но это не спасло Вавилова, – он умер в заключении от дистрофии в тюремной больнице 26 января в 1943. Звание академика снято в 1940 без утверждения Общим собранием, вопреки Уставу Академии Наук (14975).</w:t>
      </w:r>
    </w:p>
    <w:p w14:paraId="56C09FC1"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36BD95C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в СССР арестован президент Ленинской академии сельхознаук известный генетик Н. Вавилов (4962).</w:t>
      </w:r>
    </w:p>
    <w:p w14:paraId="2227543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9D5F3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1940 арестовали Н.Вавилова (3481).</w:t>
      </w:r>
    </w:p>
    <w:p w14:paraId="7FF51B0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91B25FF" w14:textId="77777777" w:rsidR="00626354"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18DA00C" w14:textId="77777777" w:rsidR="00626354" w:rsidRPr="00DB5D0D" w:rsidRDefault="00626354" w:rsidP="00DB5D0D">
      <w:pPr>
        <w:spacing w:after="0" w:line="240" w:lineRule="auto"/>
        <w:jc w:val="both"/>
        <w:rPr>
          <w:rFonts w:ascii="Times New Roman" w:hAnsi="Times New Roman"/>
          <w:iCs/>
          <w:color w:val="000000" w:themeColor="text1"/>
          <w:sz w:val="16"/>
          <w:szCs w:val="16"/>
        </w:rPr>
      </w:pPr>
    </w:p>
    <w:p w14:paraId="5141C24D" w14:textId="77777777" w:rsidR="00626354" w:rsidRPr="00DB5D0D" w:rsidRDefault="0062635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6 августа 1940 Кнадсен и Дж. Биггерс, его заместитель по Оборонной консультационной комиссии, собрали совещание в Вашингтоне, в котором участвовали офицеры американской армии, представители Британской закупочной комиссии и Президентского комитета по связям. Немало было там и американских промышленников и инженеров, представителей автомобильной, железнодорожной и других видов тяжелой индустрии. </w:t>
      </w:r>
    </w:p>
    <w:p w14:paraId="62C7EAEC" w14:textId="77777777" w:rsidR="00626354" w:rsidRPr="00DB5D0D" w:rsidRDefault="0062635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Промышленникам и инженерам было сказано, что Англия и США уже почти пришли к соглашению о производстве средних танков для обеих наших армий. За основу был взят наш старый «Генерал Ли», созданный еще в 1937 году, но его предстояло основательно модернизировать с учетом английского военного опыта, когда британские средние танки показали себя наравне с немецкими.</w:t>
      </w:r>
    </w:p>
    <w:p w14:paraId="2A8C4F9B" w14:textId="77777777" w:rsidR="00626354" w:rsidRPr="00DB5D0D" w:rsidRDefault="0062635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Майкл Дьюэн, прибывший в США во главе Английской танковой миссии, сообщил, что, по его мнению, у Англии должно было быть значительное количество танков.</w:t>
      </w:r>
    </w:p>
    <w:p w14:paraId="63D6A80D" w14:textId="77777777" w:rsidR="00626354" w:rsidRPr="00DB5D0D" w:rsidRDefault="0062635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Когда мистер Черчилль стал премьером, — сообщил он, — я вдруг получил телеграмму с предложением явиться к министру снабжения. Он показал мне все меморандумы, которыми я бомбардировал Черчилля, и сказал: «Ну, вот вам и возможность получать эту самую тысячу танков каждый месяц. Не отправиться ли вам в США, чтобы раздобыть хотя бы часть этого количества?» Вот почему я здесь, джентльмены… </w:t>
      </w:r>
    </w:p>
    <w:p w14:paraId="3CF9E426" w14:textId="77777777" w:rsidR="00626354" w:rsidRPr="00DB5D0D" w:rsidRDefault="0062635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По его словам, англичанам, чтобы выполнить их программу, нужно от американцев 600 танков в месяц. </w:t>
      </w:r>
    </w:p>
    <w:p w14:paraId="59B24F15" w14:textId="77777777" w:rsidR="00626354" w:rsidRPr="00DB5D0D" w:rsidRDefault="0062635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Затем американские военные рассказали о танке, по которому они с англичанами должны были достигнуть соглашения. Больше трех часов промышленники и военные обсуждали, как наладить производство этих танков.</w:t>
      </w:r>
    </w:p>
    <w:p w14:paraId="2890CB32" w14:textId="77777777" w:rsidR="00626354" w:rsidRPr="00DB5D0D" w:rsidRDefault="0062635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концу августа было подготовлено оформление стандартной модели «Генерал Грант» — предшественник танка «Генерал Шерман». Дальше следовало заключить контракты. Министерство обороны решило доверить производство основной части танков одному заводу. Сооружение огромного предприятия «Крайслер танк» в Детройте обошлось в 20 миллионов долларов. Англичане заказали 2000 танков в компаниях «Пулман стандард кар», «Пресст стил кар» и «Лайма локомотив». Моторы по заказам обоих правительств поставляла «Континентал моторс корпорэйшн» из Детройта.</w:t>
      </w:r>
    </w:p>
    <w:p w14:paraId="55D00C96" w14:textId="77777777" w:rsidR="00626354" w:rsidRPr="00DB5D0D" w:rsidRDefault="0062635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многими из заводов, выполнявших английские заказы, англичане расплачивались согласно старой практике. Они потратили около 8 миллионов долларов на переоборудование четырех компаний, собиравшихся делать танки, и на концерны вроде Республиканской стальной корпорации, производившие составные части к танкам. Когда же дело дошло до организации производства танковых моторов, Пэрвис спросил, нельзя ли чем-то помочь. У англичан к тому времени оставалось мало золота и долларов. Пэрвис встретился с представителями Президентского комитета по связям, Военного министерства и Финансовой корпорации реконструкции</w:t>
      </w:r>
      <w:r w:rsidR="00835DB6" w:rsidRPr="00DB5D0D">
        <w:rPr>
          <w:rFonts w:ascii="Times New Roman" w:hAnsi="Times New Roman"/>
          <w:color w:val="000000" w:themeColor="text1"/>
          <w:sz w:val="16"/>
          <w:szCs w:val="16"/>
        </w:rPr>
        <w:t xml:space="preserve"> (17417)</w:t>
      </w:r>
      <w:r w:rsidRPr="00DB5D0D">
        <w:rPr>
          <w:rFonts w:ascii="Times New Roman" w:hAnsi="Times New Roman"/>
          <w:color w:val="000000" w:themeColor="text1"/>
          <w:sz w:val="16"/>
          <w:szCs w:val="16"/>
        </w:rPr>
        <w:t>.</w:t>
      </w:r>
    </w:p>
    <w:p w14:paraId="297FC503" w14:textId="77777777" w:rsidR="00835DB6" w:rsidRPr="00DB5D0D" w:rsidRDefault="00835DB6" w:rsidP="00DB5D0D">
      <w:pPr>
        <w:spacing w:after="0" w:line="240" w:lineRule="auto"/>
        <w:jc w:val="both"/>
        <w:rPr>
          <w:rFonts w:ascii="Times New Roman" w:hAnsi="Times New Roman"/>
          <w:color w:val="000000" w:themeColor="text1"/>
          <w:sz w:val="16"/>
          <w:szCs w:val="16"/>
        </w:rPr>
      </w:pPr>
    </w:p>
    <w:p w14:paraId="25B5DAD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C99EA6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7C38D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августа 1940 г. на запрос Поликарпова и руководства завода № 22 о судьбе самолета А.И.Шахурин ответил:</w:t>
      </w:r>
    </w:p>
    <w:p w14:paraId="340DA8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Один самолет СПБ передать на продувки в ЦАГИ.</w:t>
      </w:r>
    </w:p>
    <w:p w14:paraId="0B16C1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Вопрос о возможности дальнейших летных испы</w:t>
      </w:r>
      <w:r w:rsidRPr="00DB5D0D">
        <w:rPr>
          <w:rFonts w:ascii="Times New Roman" w:hAnsi="Times New Roman"/>
          <w:color w:val="000000" w:themeColor="text1"/>
          <w:sz w:val="16"/>
          <w:szCs w:val="16"/>
        </w:rPr>
        <w:softHyphen/>
        <w:t>таний решить по результатам продувок и заключению специалистов по прочности и другим вопросам».</w:t>
      </w:r>
    </w:p>
    <w:p w14:paraId="03187B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Поликарпов надеялся, что положительные результа</w:t>
      </w:r>
      <w:r w:rsidRPr="00DB5D0D">
        <w:rPr>
          <w:rFonts w:ascii="Times New Roman" w:hAnsi="Times New Roman"/>
          <w:color w:val="000000" w:themeColor="text1"/>
          <w:sz w:val="16"/>
          <w:szCs w:val="16"/>
        </w:rPr>
        <w:softHyphen/>
        <w:t>ты продувок СПБ в натурной аэродинамической трубе ЦАГИ смогут изменить отношение к самолету. На на</w:t>
      </w:r>
      <w:r w:rsidRPr="00DB5D0D">
        <w:rPr>
          <w:rFonts w:ascii="Times New Roman" w:hAnsi="Times New Roman"/>
          <w:color w:val="000000" w:themeColor="text1"/>
          <w:sz w:val="16"/>
          <w:szCs w:val="16"/>
        </w:rPr>
        <w:softHyphen/>
        <w:t>ходившемся в ЦАГИ экземпляре № 1-0 консоли крыла были установлены с углом стреловидности для измене</w:t>
      </w:r>
      <w:r w:rsidRPr="00DB5D0D">
        <w:rPr>
          <w:rFonts w:ascii="Times New Roman" w:hAnsi="Times New Roman"/>
          <w:color w:val="000000" w:themeColor="text1"/>
          <w:sz w:val="16"/>
          <w:szCs w:val="16"/>
        </w:rPr>
        <w:softHyphen/>
        <w:t>ния центровки, изменена система охлаждения масла и, соответственно, конструкция капотов двигателя, введе</w:t>
      </w:r>
      <w:r w:rsidRPr="00DB5D0D">
        <w:rPr>
          <w:rFonts w:ascii="Times New Roman" w:hAnsi="Times New Roman"/>
          <w:color w:val="000000" w:themeColor="text1"/>
          <w:sz w:val="16"/>
          <w:szCs w:val="16"/>
        </w:rPr>
        <w:softHyphen/>
        <w:t>ны другие мелкие доработки. В начале 1941 г. специали</w:t>
      </w:r>
      <w:r w:rsidRPr="00DB5D0D">
        <w:rPr>
          <w:rFonts w:ascii="Times New Roman" w:hAnsi="Times New Roman"/>
          <w:color w:val="000000" w:themeColor="text1"/>
          <w:sz w:val="16"/>
          <w:szCs w:val="16"/>
        </w:rPr>
        <w:softHyphen/>
        <w:t>сты ЦАГИ дали заключение о том, что, по их мнению, препятствий для продолжения испытаний СПБ не име</w:t>
      </w:r>
      <w:r w:rsidRPr="00DB5D0D">
        <w:rPr>
          <w:rFonts w:ascii="Times New Roman" w:hAnsi="Times New Roman"/>
          <w:color w:val="000000" w:themeColor="text1"/>
          <w:sz w:val="16"/>
          <w:szCs w:val="16"/>
        </w:rPr>
        <w:softHyphen/>
        <w:t>ется (10667).</w:t>
      </w:r>
    </w:p>
    <w:p w14:paraId="5D3A4E2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0D52216" w14:textId="77777777" w:rsidR="00ED1BC9" w:rsidRPr="00DB5D0D" w:rsidRDefault="00ED1BC9"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 начале августа 1940 г. на НИП АВ ВВС провели опытные стрельбы с самолета СБ ракетными бронебойными снаряда</w:t>
      </w:r>
      <w:r w:rsidRPr="00DB5D0D">
        <w:rPr>
          <w:rFonts w:ascii="Times New Roman" w:hAnsi="Times New Roman"/>
          <w:color w:val="000000" w:themeColor="text1"/>
          <w:spacing w:val="0"/>
          <w:sz w:val="16"/>
          <w:szCs w:val="16"/>
        </w:rPr>
        <w:softHyphen/>
        <w:t>ми РБС-132. По могуществу действия у цели снаряд значительно превзошел РБС-82 (вес боевой части 30 кг против 7 кг у последнего). Было решено с це</w:t>
      </w:r>
      <w:r w:rsidRPr="00DB5D0D">
        <w:rPr>
          <w:rFonts w:ascii="Times New Roman" w:hAnsi="Times New Roman"/>
          <w:color w:val="000000" w:themeColor="text1"/>
          <w:spacing w:val="0"/>
          <w:sz w:val="16"/>
          <w:szCs w:val="16"/>
        </w:rPr>
        <w:softHyphen/>
        <w:t>лью увеличения огневой мощи и обеспечения по</w:t>
      </w:r>
      <w:r w:rsidRPr="00DB5D0D">
        <w:rPr>
          <w:rFonts w:ascii="Times New Roman" w:hAnsi="Times New Roman"/>
          <w:color w:val="000000" w:themeColor="text1"/>
          <w:spacing w:val="0"/>
          <w:sz w:val="16"/>
          <w:szCs w:val="16"/>
        </w:rPr>
        <w:softHyphen/>
        <w:t>ражения трудноуязвимых наземных целей (танки, бронемашины, пулеметные гнезда под бронеколпа</w:t>
      </w:r>
      <w:r w:rsidRPr="00DB5D0D">
        <w:rPr>
          <w:rFonts w:ascii="Times New Roman" w:hAnsi="Times New Roman"/>
          <w:color w:val="000000" w:themeColor="text1"/>
          <w:spacing w:val="0"/>
          <w:sz w:val="16"/>
          <w:szCs w:val="16"/>
        </w:rPr>
        <w:softHyphen/>
        <w:t>ками и т.д.) вооружить этими снарядами самолеты штурмовой авиации, а также истребители в удар</w:t>
      </w:r>
      <w:r w:rsidRPr="00DB5D0D">
        <w:rPr>
          <w:rFonts w:ascii="Times New Roman" w:hAnsi="Times New Roman"/>
          <w:color w:val="000000" w:themeColor="text1"/>
          <w:spacing w:val="0"/>
          <w:sz w:val="16"/>
          <w:szCs w:val="16"/>
        </w:rPr>
        <w:softHyphen/>
        <w:t>ном варианте снаряжения (17500).</w:t>
      </w:r>
    </w:p>
    <w:p w14:paraId="2B897066" w14:textId="77777777" w:rsidR="00ED1BC9" w:rsidRPr="00DB5D0D" w:rsidRDefault="00ED1BC9" w:rsidP="00DB5D0D">
      <w:pPr>
        <w:spacing w:after="0" w:line="240" w:lineRule="auto"/>
        <w:jc w:val="both"/>
        <w:rPr>
          <w:rFonts w:ascii="Times New Roman" w:eastAsia="Times New Roman" w:hAnsi="Times New Roman"/>
          <w:color w:val="000000" w:themeColor="text1"/>
          <w:sz w:val="16"/>
          <w:szCs w:val="16"/>
          <w:lang w:eastAsia="ru-RU"/>
        </w:rPr>
      </w:pPr>
    </w:p>
    <w:p w14:paraId="52A9BA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августа 1940 была подготовлена справка ГККО:</w:t>
      </w:r>
    </w:p>
    <w:p w14:paraId="546BF6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Исключительно в неудовлетворительном состоянии находятся но</w:t>
      </w:r>
      <w:r w:rsidRPr="00DB5D0D">
        <w:rPr>
          <w:rFonts w:ascii="Times New Roman" w:hAnsi="Times New Roman"/>
          <w:color w:val="000000" w:themeColor="text1"/>
          <w:sz w:val="16"/>
          <w:szCs w:val="16"/>
        </w:rPr>
        <w:softHyphen/>
        <w:t>вое троящиеся самолетные заводы: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58"/>
        <w:gridCol w:w="1087"/>
        <w:gridCol w:w="1102"/>
        <w:gridCol w:w="886"/>
        <w:gridCol w:w="806"/>
        <w:gridCol w:w="2441"/>
      </w:tblGrid>
      <w:tr w:rsidR="007D5DF8" w:rsidRPr="00DB5D0D" w14:paraId="74ABF707" w14:textId="77777777" w:rsidTr="00E543D0">
        <w:trPr>
          <w:trHeight w:val="281"/>
        </w:trPr>
        <w:tc>
          <w:tcPr>
            <w:tcW w:w="1058" w:type="dxa"/>
            <w:tcBorders>
              <w:top w:val="single" w:sz="12" w:space="0" w:color="auto"/>
            </w:tcBorders>
          </w:tcPr>
          <w:p w14:paraId="4CE198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1087" w:type="dxa"/>
            <w:tcBorders>
              <w:top w:val="single" w:sz="12" w:space="0" w:color="auto"/>
            </w:tcBorders>
          </w:tcPr>
          <w:p w14:paraId="05B710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окончания стр-ва.</w:t>
            </w:r>
          </w:p>
        </w:tc>
        <w:tc>
          <w:tcPr>
            <w:tcW w:w="1102" w:type="dxa"/>
            <w:tcBorders>
              <w:top w:val="single" w:sz="12" w:space="0" w:color="auto"/>
            </w:tcBorders>
          </w:tcPr>
          <w:p w14:paraId="5B03E2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на 1940 г. т. руб.</w:t>
            </w:r>
          </w:p>
        </w:tc>
        <w:tc>
          <w:tcPr>
            <w:tcW w:w="1692" w:type="dxa"/>
            <w:gridSpan w:val="2"/>
            <w:tcBorders>
              <w:top w:val="single" w:sz="12" w:space="0" w:color="auto"/>
            </w:tcBorders>
          </w:tcPr>
          <w:p w14:paraId="3F13F4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Выполнение плана на 1.8.40 </w:t>
            </w:r>
          </w:p>
        </w:tc>
        <w:tc>
          <w:tcPr>
            <w:tcW w:w="2441" w:type="dxa"/>
            <w:tcBorders>
              <w:top w:val="single" w:sz="12" w:space="0" w:color="auto"/>
            </w:tcBorders>
          </w:tcPr>
          <w:p w14:paraId="7B8D3E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1F774770" w14:textId="77777777" w:rsidTr="00E543D0">
        <w:trPr>
          <w:trHeight w:val="281"/>
        </w:trPr>
        <w:tc>
          <w:tcPr>
            <w:tcW w:w="1058" w:type="dxa"/>
          </w:tcPr>
          <w:p w14:paraId="0430AD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7" w:type="dxa"/>
          </w:tcPr>
          <w:p w14:paraId="5A8928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02" w:type="dxa"/>
          </w:tcPr>
          <w:p w14:paraId="5AF226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886" w:type="dxa"/>
          </w:tcPr>
          <w:p w14:paraId="16BD5E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руб.</w:t>
            </w:r>
          </w:p>
        </w:tc>
        <w:tc>
          <w:tcPr>
            <w:tcW w:w="806" w:type="dxa"/>
          </w:tcPr>
          <w:p w14:paraId="79CE75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41" w:type="dxa"/>
          </w:tcPr>
          <w:p w14:paraId="00718E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519AC60" w14:textId="77777777" w:rsidTr="00E543D0">
        <w:trPr>
          <w:trHeight w:val="281"/>
        </w:trPr>
        <w:tc>
          <w:tcPr>
            <w:tcW w:w="1058" w:type="dxa"/>
          </w:tcPr>
          <w:p w14:paraId="3DFC69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118 (Сталинград)</w:t>
            </w:r>
          </w:p>
        </w:tc>
        <w:tc>
          <w:tcPr>
            <w:tcW w:w="1087" w:type="dxa"/>
          </w:tcPr>
          <w:p w14:paraId="177017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1.1.42 г.</w:t>
            </w:r>
          </w:p>
        </w:tc>
        <w:tc>
          <w:tcPr>
            <w:tcW w:w="1102" w:type="dxa"/>
          </w:tcPr>
          <w:p w14:paraId="424E5A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2910</w:t>
            </w:r>
          </w:p>
        </w:tc>
        <w:tc>
          <w:tcPr>
            <w:tcW w:w="886" w:type="dxa"/>
          </w:tcPr>
          <w:p w14:paraId="52F7CB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06" w:type="dxa"/>
          </w:tcPr>
          <w:p w14:paraId="07356F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41" w:type="dxa"/>
          </w:tcPr>
          <w:p w14:paraId="27F676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Площадка под строительство з-да не выбрана, изыскания ведутся 10 месяцев</w:t>
            </w:r>
          </w:p>
        </w:tc>
      </w:tr>
      <w:tr w:rsidR="007D5DF8" w:rsidRPr="00DB5D0D" w14:paraId="4CBC1EDF" w14:textId="77777777" w:rsidTr="00E543D0">
        <w:trPr>
          <w:trHeight w:val="374"/>
        </w:trPr>
        <w:tc>
          <w:tcPr>
            <w:tcW w:w="1058" w:type="dxa"/>
          </w:tcPr>
          <w:p w14:paraId="34F6B8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121 (Балашов)</w:t>
            </w:r>
          </w:p>
          <w:p w14:paraId="781356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7" w:type="dxa"/>
          </w:tcPr>
          <w:p w14:paraId="18E6DB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1.10.42 г.</w:t>
            </w:r>
          </w:p>
        </w:tc>
        <w:tc>
          <w:tcPr>
            <w:tcW w:w="1102" w:type="dxa"/>
          </w:tcPr>
          <w:p w14:paraId="6B8A2E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2910</w:t>
            </w:r>
          </w:p>
        </w:tc>
        <w:tc>
          <w:tcPr>
            <w:tcW w:w="886" w:type="dxa"/>
          </w:tcPr>
          <w:p w14:paraId="2F33EE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06" w:type="dxa"/>
          </w:tcPr>
          <w:p w14:paraId="76473E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41" w:type="dxa"/>
          </w:tcPr>
          <w:p w14:paraId="263B51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Площадка под стр-во выбрана, ее изыскание велось 6 месяцев</w:t>
            </w:r>
          </w:p>
        </w:tc>
      </w:tr>
      <w:tr w:rsidR="007D5DF8" w:rsidRPr="00DB5D0D" w14:paraId="3CF81E0F" w14:textId="77777777" w:rsidTr="00E543D0">
        <w:trPr>
          <w:trHeight w:val="202"/>
        </w:trPr>
        <w:tc>
          <w:tcPr>
            <w:tcW w:w="1058" w:type="dxa"/>
          </w:tcPr>
          <w:p w14:paraId="67F92E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122 (Куйбышев)</w:t>
            </w:r>
          </w:p>
        </w:tc>
        <w:tc>
          <w:tcPr>
            <w:tcW w:w="1087" w:type="dxa"/>
          </w:tcPr>
          <w:p w14:paraId="5D8BD7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31.12.42 г.</w:t>
            </w:r>
          </w:p>
        </w:tc>
        <w:tc>
          <w:tcPr>
            <w:tcW w:w="1102" w:type="dxa"/>
          </w:tcPr>
          <w:p w14:paraId="58E0E4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3668</w:t>
            </w:r>
          </w:p>
        </w:tc>
        <w:tc>
          <w:tcPr>
            <w:tcW w:w="886" w:type="dxa"/>
          </w:tcPr>
          <w:p w14:paraId="46989D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06" w:type="dxa"/>
          </w:tcPr>
          <w:p w14:paraId="67CC45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41" w:type="dxa"/>
          </w:tcPr>
          <w:p w14:paraId="22A518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Площадка под строительство выбрана. Технический проект и генсмета не закончены.</w:t>
            </w:r>
          </w:p>
          <w:p w14:paraId="32B0A0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 КО № 34сс от 6.8.40 г. стр-во з-да возложено на НКВД</w:t>
            </w:r>
          </w:p>
        </w:tc>
      </w:tr>
      <w:tr w:rsidR="007D5DF8" w:rsidRPr="00DB5D0D" w14:paraId="3427202C" w14:textId="77777777" w:rsidTr="00E543D0">
        <w:trPr>
          <w:trHeight w:val="454"/>
        </w:trPr>
        <w:tc>
          <w:tcPr>
            <w:tcW w:w="1058" w:type="dxa"/>
          </w:tcPr>
          <w:p w14:paraId="15A606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123 (Камененск)</w:t>
            </w:r>
          </w:p>
        </w:tc>
        <w:tc>
          <w:tcPr>
            <w:tcW w:w="1087" w:type="dxa"/>
          </w:tcPr>
          <w:p w14:paraId="1D509F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1.1.42 г.</w:t>
            </w:r>
          </w:p>
        </w:tc>
        <w:tc>
          <w:tcPr>
            <w:tcW w:w="1102" w:type="dxa"/>
          </w:tcPr>
          <w:p w14:paraId="38FAEB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14250</w:t>
            </w:r>
          </w:p>
        </w:tc>
        <w:tc>
          <w:tcPr>
            <w:tcW w:w="886" w:type="dxa"/>
          </w:tcPr>
          <w:p w14:paraId="0D2CCB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590</w:t>
            </w:r>
          </w:p>
        </w:tc>
        <w:tc>
          <w:tcPr>
            <w:tcW w:w="806" w:type="dxa"/>
          </w:tcPr>
          <w:p w14:paraId="0A806C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w:t>
            </w:r>
          </w:p>
        </w:tc>
        <w:tc>
          <w:tcPr>
            <w:tcW w:w="2441" w:type="dxa"/>
          </w:tcPr>
          <w:p w14:paraId="7BC278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Площадки выбраны. Стр-во заводов не раз вернуто</w:t>
            </w:r>
          </w:p>
          <w:p w14:paraId="6E9A652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Техпроекты и генсмета отсутствуют</w:t>
            </w:r>
          </w:p>
        </w:tc>
      </w:tr>
      <w:tr w:rsidR="007D5DF8" w:rsidRPr="00DB5D0D" w14:paraId="076AB1F2" w14:textId="77777777" w:rsidTr="00E543D0">
        <w:trPr>
          <w:trHeight w:val="634"/>
        </w:trPr>
        <w:tc>
          <w:tcPr>
            <w:tcW w:w="1058" w:type="dxa"/>
          </w:tcPr>
          <w:p w14:paraId="5C0A08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127 (Ульяновск)</w:t>
            </w:r>
          </w:p>
        </w:tc>
        <w:tc>
          <w:tcPr>
            <w:tcW w:w="1087" w:type="dxa"/>
          </w:tcPr>
          <w:p w14:paraId="0801AC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1.10.41 г.</w:t>
            </w:r>
          </w:p>
        </w:tc>
        <w:tc>
          <w:tcPr>
            <w:tcW w:w="1102" w:type="dxa"/>
          </w:tcPr>
          <w:p w14:paraId="4350AF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17450</w:t>
            </w:r>
          </w:p>
        </w:tc>
        <w:tc>
          <w:tcPr>
            <w:tcW w:w="886" w:type="dxa"/>
          </w:tcPr>
          <w:p w14:paraId="096FD4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2100</w:t>
            </w:r>
          </w:p>
        </w:tc>
        <w:tc>
          <w:tcPr>
            <w:tcW w:w="806" w:type="dxa"/>
          </w:tcPr>
          <w:p w14:paraId="2233CC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2441" w:type="dxa"/>
          </w:tcPr>
          <w:p w14:paraId="38400C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Площадки выбраны. Стр-во заводов не раз вернуто</w:t>
            </w:r>
          </w:p>
          <w:p w14:paraId="0C2F23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Техпроекты и генсмета отсутствуют</w:t>
            </w:r>
          </w:p>
        </w:tc>
      </w:tr>
      <w:tr w:rsidR="007D5DF8" w:rsidRPr="00DB5D0D" w14:paraId="668EF724" w14:textId="77777777" w:rsidTr="00E543D0">
        <w:trPr>
          <w:trHeight w:val="245"/>
        </w:trPr>
        <w:tc>
          <w:tcPr>
            <w:tcW w:w="1058" w:type="dxa"/>
          </w:tcPr>
          <w:p w14:paraId="23394A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128 (Ртищево-Аткарск)</w:t>
            </w:r>
          </w:p>
          <w:p w14:paraId="67E777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7" w:type="dxa"/>
          </w:tcPr>
          <w:p w14:paraId="35E62AA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1.1.42 г.</w:t>
            </w:r>
          </w:p>
        </w:tc>
        <w:tc>
          <w:tcPr>
            <w:tcW w:w="1102" w:type="dxa"/>
          </w:tcPr>
          <w:p w14:paraId="59FEC1C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1410</w:t>
            </w:r>
          </w:p>
        </w:tc>
        <w:tc>
          <w:tcPr>
            <w:tcW w:w="886" w:type="dxa"/>
          </w:tcPr>
          <w:p w14:paraId="1D5CADD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06" w:type="dxa"/>
          </w:tcPr>
          <w:p w14:paraId="07869E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41" w:type="dxa"/>
          </w:tcPr>
          <w:p w14:paraId="526C02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Площадки выбраны. Стр-во заводов не раз вернуто</w:t>
            </w:r>
          </w:p>
          <w:p w14:paraId="14A3AF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Техпроекты и генсмета отсутствуют</w:t>
            </w:r>
          </w:p>
        </w:tc>
      </w:tr>
      <w:tr w:rsidR="007D5DF8" w:rsidRPr="00DB5D0D" w14:paraId="3DC70A3E" w14:textId="77777777" w:rsidTr="00E543D0">
        <w:trPr>
          <w:trHeight w:val="252"/>
        </w:trPr>
        <w:tc>
          <w:tcPr>
            <w:tcW w:w="1058" w:type="dxa"/>
          </w:tcPr>
          <w:p w14:paraId="15ABFF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129 (Улан-Удэ)</w:t>
            </w:r>
          </w:p>
        </w:tc>
        <w:tc>
          <w:tcPr>
            <w:tcW w:w="1087" w:type="dxa"/>
          </w:tcPr>
          <w:p w14:paraId="027714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1.10.41 г. </w:t>
            </w:r>
          </w:p>
        </w:tc>
        <w:tc>
          <w:tcPr>
            <w:tcW w:w="1102" w:type="dxa"/>
          </w:tcPr>
          <w:p w14:paraId="2D544B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w:t>
            </w:r>
          </w:p>
        </w:tc>
        <w:tc>
          <w:tcPr>
            <w:tcW w:w="886" w:type="dxa"/>
          </w:tcPr>
          <w:p w14:paraId="15D534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06" w:type="dxa"/>
          </w:tcPr>
          <w:p w14:paraId="2F4814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41" w:type="dxa"/>
          </w:tcPr>
          <w:p w14:paraId="7B3CF9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Площадки выбраны. Стр-во заводов не раз вернуто</w:t>
            </w:r>
          </w:p>
          <w:p w14:paraId="6D49A8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Техпроекты и генсмета отсутствуют</w:t>
            </w:r>
          </w:p>
        </w:tc>
      </w:tr>
      <w:tr w:rsidR="007D5DF8" w:rsidRPr="00DB5D0D" w14:paraId="7289CDEE" w14:textId="77777777" w:rsidTr="00E543D0">
        <w:trPr>
          <w:trHeight w:val="223"/>
        </w:trPr>
        <w:tc>
          <w:tcPr>
            <w:tcW w:w="1058" w:type="dxa"/>
          </w:tcPr>
          <w:p w14:paraId="17E0B2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smallCaps/>
                <w:color w:val="000000" w:themeColor="text1"/>
                <w:sz w:val="16"/>
                <w:szCs w:val="16"/>
              </w:rPr>
              <w:t>№ 130 (Комсомольск)</w:t>
            </w:r>
          </w:p>
        </w:tc>
        <w:tc>
          <w:tcPr>
            <w:tcW w:w="1087" w:type="dxa"/>
          </w:tcPr>
          <w:p w14:paraId="222452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1.7.41 г.</w:t>
            </w:r>
          </w:p>
        </w:tc>
        <w:tc>
          <w:tcPr>
            <w:tcW w:w="1102" w:type="dxa"/>
          </w:tcPr>
          <w:p w14:paraId="666F1A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20400</w:t>
            </w:r>
          </w:p>
        </w:tc>
        <w:tc>
          <w:tcPr>
            <w:tcW w:w="886" w:type="dxa"/>
          </w:tcPr>
          <w:p w14:paraId="4F4CCD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2770</w:t>
            </w:r>
          </w:p>
        </w:tc>
        <w:tc>
          <w:tcPr>
            <w:tcW w:w="806" w:type="dxa"/>
          </w:tcPr>
          <w:p w14:paraId="506434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13,6</w:t>
            </w:r>
          </w:p>
        </w:tc>
        <w:tc>
          <w:tcPr>
            <w:tcW w:w="2441" w:type="dxa"/>
          </w:tcPr>
          <w:p w14:paraId="2F47DA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Ведутся подготовительные работы на площад</w:t>
            </w:r>
            <w:r w:rsidRPr="00DB5D0D">
              <w:rPr>
                <w:rFonts w:ascii="Times New Roman" w:hAnsi="Times New Roman"/>
                <w:color w:val="000000" w:themeColor="text1"/>
                <w:sz w:val="16"/>
                <w:szCs w:val="16"/>
              </w:rPr>
              <w:softHyphen/>
              <w:t>ках строительств</w:t>
            </w:r>
          </w:p>
        </w:tc>
      </w:tr>
      <w:tr w:rsidR="007D5DF8" w:rsidRPr="00DB5D0D" w14:paraId="35B25980" w14:textId="77777777" w:rsidTr="00E543D0">
        <w:trPr>
          <w:trHeight w:val="569"/>
        </w:trPr>
        <w:tc>
          <w:tcPr>
            <w:tcW w:w="1058" w:type="dxa"/>
          </w:tcPr>
          <w:p w14:paraId="2BAE1EA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131 (Кутаиси)</w:t>
            </w:r>
          </w:p>
        </w:tc>
        <w:tc>
          <w:tcPr>
            <w:tcW w:w="1087" w:type="dxa"/>
          </w:tcPr>
          <w:p w14:paraId="51DA6B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1.1.42 г.</w:t>
            </w:r>
          </w:p>
        </w:tc>
        <w:tc>
          <w:tcPr>
            <w:tcW w:w="1102" w:type="dxa"/>
          </w:tcPr>
          <w:p w14:paraId="434B58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18000</w:t>
            </w:r>
          </w:p>
        </w:tc>
        <w:tc>
          <w:tcPr>
            <w:tcW w:w="886" w:type="dxa"/>
          </w:tcPr>
          <w:p w14:paraId="3C95C0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5660</w:t>
            </w:r>
          </w:p>
        </w:tc>
        <w:tc>
          <w:tcPr>
            <w:tcW w:w="806" w:type="dxa"/>
          </w:tcPr>
          <w:p w14:paraId="580074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c>
          <w:tcPr>
            <w:tcW w:w="2441" w:type="dxa"/>
          </w:tcPr>
          <w:p w14:paraId="248C4E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Ведутся подготовительные работы на площад</w:t>
            </w:r>
            <w:r w:rsidRPr="00DB5D0D">
              <w:rPr>
                <w:rFonts w:ascii="Times New Roman" w:hAnsi="Times New Roman"/>
                <w:color w:val="000000" w:themeColor="text1"/>
                <w:sz w:val="16"/>
                <w:szCs w:val="16"/>
              </w:rPr>
              <w:softHyphen/>
              <w:t>ках строительств</w:t>
            </w:r>
          </w:p>
        </w:tc>
      </w:tr>
      <w:tr w:rsidR="007D5DF8" w:rsidRPr="00DB5D0D" w14:paraId="4445875D" w14:textId="77777777" w:rsidTr="00E543D0">
        <w:trPr>
          <w:trHeight w:val="554"/>
        </w:trPr>
        <w:tc>
          <w:tcPr>
            <w:tcW w:w="1058" w:type="dxa"/>
            <w:tcBorders>
              <w:bottom w:val="single" w:sz="12" w:space="0" w:color="auto"/>
            </w:tcBorders>
          </w:tcPr>
          <w:p w14:paraId="16204E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087" w:type="dxa"/>
            <w:tcBorders>
              <w:bottom w:val="single" w:sz="12" w:space="0" w:color="auto"/>
            </w:tcBorders>
          </w:tcPr>
          <w:p w14:paraId="70707D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02" w:type="dxa"/>
            <w:tcBorders>
              <w:bottom w:val="single" w:sz="12" w:space="0" w:color="auto"/>
            </w:tcBorders>
          </w:tcPr>
          <w:p w14:paraId="269A2A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82940</w:t>
            </w:r>
          </w:p>
        </w:tc>
        <w:tc>
          <w:tcPr>
            <w:tcW w:w="886" w:type="dxa"/>
            <w:tcBorders>
              <w:bottom w:val="single" w:sz="12" w:space="0" w:color="auto"/>
            </w:tcBorders>
          </w:tcPr>
          <w:p w14:paraId="0369FE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12120</w:t>
            </w:r>
          </w:p>
        </w:tc>
        <w:tc>
          <w:tcPr>
            <w:tcW w:w="806" w:type="dxa"/>
            <w:tcBorders>
              <w:bottom w:val="single" w:sz="12" w:space="0" w:color="auto"/>
            </w:tcBorders>
          </w:tcPr>
          <w:p w14:paraId="144AD0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w:t>
            </w:r>
          </w:p>
        </w:tc>
        <w:tc>
          <w:tcPr>
            <w:tcW w:w="2441" w:type="dxa"/>
            <w:tcBorders>
              <w:bottom w:val="single" w:sz="12" w:space="0" w:color="auto"/>
            </w:tcBorders>
          </w:tcPr>
          <w:p w14:paraId="152EEC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bl>
    <w:p w14:paraId="3A66C72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Ограниченные сроки строительства этих заводов требовали от НКАП принятия энергичных мер, обеспечивающих быструю подготовку к развертыванию стр-ва НКСтроем СССР.</w:t>
      </w:r>
    </w:p>
    <w:p w14:paraId="13F267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(1 Главк, ГУКС, 1 ГПИ) выбор площадок под стройки затянули до 10 месяцев по отдельным стройкам, а генсметы и техпроекты ни по одной стройке до сих пор не готовы.</w:t>
      </w:r>
    </w:p>
    <w:p w14:paraId="55692A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3 Главку НКАП.</w:t>
      </w:r>
    </w:p>
    <w:p w14:paraId="3E83FE3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Комитета Обороны при СНК СССР №</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 xml:space="preserve"> 154сс от 11 июня 1939 г. обязало НКАП произвести реконструкцию действующих моторных заводов №№ 16, 19, 24, 26 и 29.</w:t>
      </w:r>
    </w:p>
    <w:p w14:paraId="68BCD6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Ход выполнения этого задания характеризуют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408"/>
        <w:gridCol w:w="1408"/>
        <w:gridCol w:w="1408"/>
        <w:gridCol w:w="1408"/>
        <w:gridCol w:w="1408"/>
        <w:gridCol w:w="872"/>
      </w:tblGrid>
      <w:tr w:rsidR="007D5DF8" w:rsidRPr="00DB5D0D" w14:paraId="704B415D" w14:textId="77777777" w:rsidTr="00E543D0">
        <w:tc>
          <w:tcPr>
            <w:tcW w:w="1408" w:type="dxa"/>
            <w:tcBorders>
              <w:top w:val="single" w:sz="12" w:space="0" w:color="auto"/>
            </w:tcBorders>
          </w:tcPr>
          <w:p w14:paraId="2F8D41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1408" w:type="dxa"/>
            <w:tcBorders>
              <w:top w:val="single" w:sz="12" w:space="0" w:color="auto"/>
            </w:tcBorders>
          </w:tcPr>
          <w:p w14:paraId="5928B0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1939 г., тыс. руб.</w:t>
            </w:r>
          </w:p>
        </w:tc>
        <w:tc>
          <w:tcPr>
            <w:tcW w:w="2816" w:type="dxa"/>
            <w:gridSpan w:val="2"/>
            <w:tcBorders>
              <w:top w:val="single" w:sz="12" w:space="0" w:color="auto"/>
            </w:tcBorders>
          </w:tcPr>
          <w:p w14:paraId="08F768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плана1939 г.</w:t>
            </w:r>
          </w:p>
        </w:tc>
        <w:tc>
          <w:tcPr>
            <w:tcW w:w="1408" w:type="dxa"/>
            <w:tcBorders>
              <w:top w:val="single" w:sz="12" w:space="0" w:color="auto"/>
            </w:tcBorders>
          </w:tcPr>
          <w:p w14:paraId="166BE9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План1940 г. т. руб.</w:t>
            </w:r>
          </w:p>
        </w:tc>
        <w:tc>
          <w:tcPr>
            <w:tcW w:w="2816" w:type="dxa"/>
            <w:gridSpan w:val="2"/>
            <w:tcBorders>
              <w:top w:val="single" w:sz="12" w:space="0" w:color="auto"/>
            </w:tcBorders>
          </w:tcPr>
          <w:p w14:paraId="44E7613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 на 1.8.40 г.</w:t>
            </w:r>
          </w:p>
        </w:tc>
        <w:tc>
          <w:tcPr>
            <w:tcW w:w="872" w:type="dxa"/>
            <w:tcBorders>
              <w:top w:val="single" w:sz="12" w:space="0" w:color="auto"/>
            </w:tcBorders>
          </w:tcPr>
          <w:p w14:paraId="7B89CB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688A1F9B" w14:textId="77777777" w:rsidTr="00E543D0">
        <w:tc>
          <w:tcPr>
            <w:tcW w:w="1408" w:type="dxa"/>
          </w:tcPr>
          <w:p w14:paraId="12178E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8" w:type="dxa"/>
          </w:tcPr>
          <w:p w14:paraId="2CCD94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8" w:type="dxa"/>
          </w:tcPr>
          <w:p w14:paraId="65C8D5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руб.</w:t>
            </w:r>
          </w:p>
        </w:tc>
        <w:tc>
          <w:tcPr>
            <w:tcW w:w="1408" w:type="dxa"/>
          </w:tcPr>
          <w:p w14:paraId="64BD93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08" w:type="dxa"/>
          </w:tcPr>
          <w:p w14:paraId="57C8B5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8" w:type="dxa"/>
          </w:tcPr>
          <w:p w14:paraId="49E064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руб.</w:t>
            </w:r>
          </w:p>
        </w:tc>
        <w:tc>
          <w:tcPr>
            <w:tcW w:w="1408" w:type="dxa"/>
          </w:tcPr>
          <w:p w14:paraId="4076A3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72" w:type="dxa"/>
          </w:tcPr>
          <w:p w14:paraId="226DC77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4B199DA" w14:textId="77777777" w:rsidTr="00E543D0">
        <w:tc>
          <w:tcPr>
            <w:tcW w:w="1408" w:type="dxa"/>
          </w:tcPr>
          <w:p w14:paraId="15EB75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408" w:type="dxa"/>
          </w:tcPr>
          <w:p w14:paraId="05046A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25690</w:t>
            </w:r>
          </w:p>
        </w:tc>
        <w:tc>
          <w:tcPr>
            <w:tcW w:w="1408" w:type="dxa"/>
          </w:tcPr>
          <w:p w14:paraId="156C23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24921</w:t>
            </w:r>
          </w:p>
        </w:tc>
        <w:tc>
          <w:tcPr>
            <w:tcW w:w="1408" w:type="dxa"/>
          </w:tcPr>
          <w:p w14:paraId="709C31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w:t>
            </w:r>
          </w:p>
        </w:tc>
        <w:tc>
          <w:tcPr>
            <w:tcW w:w="1408" w:type="dxa"/>
          </w:tcPr>
          <w:p w14:paraId="331A9F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21620</w:t>
            </w:r>
          </w:p>
        </w:tc>
        <w:tc>
          <w:tcPr>
            <w:tcW w:w="1408" w:type="dxa"/>
          </w:tcPr>
          <w:p w14:paraId="1F7121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12130</w:t>
            </w:r>
          </w:p>
        </w:tc>
        <w:tc>
          <w:tcPr>
            <w:tcW w:w="1408" w:type="dxa"/>
          </w:tcPr>
          <w:p w14:paraId="521D89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56,1</w:t>
            </w:r>
          </w:p>
        </w:tc>
        <w:tc>
          <w:tcPr>
            <w:tcW w:w="872" w:type="dxa"/>
          </w:tcPr>
          <w:p w14:paraId="52265C5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C2443A0" w14:textId="77777777" w:rsidTr="00E543D0">
        <w:tc>
          <w:tcPr>
            <w:tcW w:w="1408" w:type="dxa"/>
          </w:tcPr>
          <w:p w14:paraId="4C67F9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19</w:t>
            </w:r>
          </w:p>
        </w:tc>
        <w:tc>
          <w:tcPr>
            <w:tcW w:w="1408" w:type="dxa"/>
          </w:tcPr>
          <w:p w14:paraId="4BE1D4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62350</w:t>
            </w:r>
          </w:p>
        </w:tc>
        <w:tc>
          <w:tcPr>
            <w:tcW w:w="1408" w:type="dxa"/>
          </w:tcPr>
          <w:p w14:paraId="31ADF2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65211</w:t>
            </w:r>
          </w:p>
        </w:tc>
        <w:tc>
          <w:tcPr>
            <w:tcW w:w="1408" w:type="dxa"/>
          </w:tcPr>
          <w:p w14:paraId="79306E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104,5</w:t>
            </w:r>
          </w:p>
        </w:tc>
        <w:tc>
          <w:tcPr>
            <w:tcW w:w="1408" w:type="dxa"/>
          </w:tcPr>
          <w:p w14:paraId="51FFBF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66650</w:t>
            </w:r>
          </w:p>
        </w:tc>
        <w:tc>
          <w:tcPr>
            <w:tcW w:w="1408" w:type="dxa"/>
          </w:tcPr>
          <w:p w14:paraId="5B67C3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35820</w:t>
            </w:r>
          </w:p>
        </w:tc>
        <w:tc>
          <w:tcPr>
            <w:tcW w:w="1408" w:type="dxa"/>
          </w:tcPr>
          <w:p w14:paraId="36D080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59,7</w:t>
            </w:r>
          </w:p>
        </w:tc>
        <w:tc>
          <w:tcPr>
            <w:tcW w:w="872" w:type="dxa"/>
          </w:tcPr>
          <w:p w14:paraId="77D5B2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70724B0" w14:textId="77777777" w:rsidTr="00E543D0">
        <w:tc>
          <w:tcPr>
            <w:tcW w:w="1408" w:type="dxa"/>
          </w:tcPr>
          <w:p w14:paraId="76432D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1408" w:type="dxa"/>
          </w:tcPr>
          <w:p w14:paraId="0A2493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39900</w:t>
            </w:r>
          </w:p>
        </w:tc>
        <w:tc>
          <w:tcPr>
            <w:tcW w:w="1408" w:type="dxa"/>
          </w:tcPr>
          <w:p w14:paraId="384638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38419</w:t>
            </w:r>
          </w:p>
        </w:tc>
        <w:tc>
          <w:tcPr>
            <w:tcW w:w="1408" w:type="dxa"/>
          </w:tcPr>
          <w:p w14:paraId="79018F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96,3</w:t>
            </w:r>
          </w:p>
        </w:tc>
        <w:tc>
          <w:tcPr>
            <w:tcW w:w="1408" w:type="dxa"/>
          </w:tcPr>
          <w:p w14:paraId="4BF825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33012</w:t>
            </w:r>
          </w:p>
        </w:tc>
        <w:tc>
          <w:tcPr>
            <w:tcW w:w="1408" w:type="dxa"/>
          </w:tcPr>
          <w:p w14:paraId="09C211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17540</w:t>
            </w:r>
          </w:p>
        </w:tc>
        <w:tc>
          <w:tcPr>
            <w:tcW w:w="1408" w:type="dxa"/>
          </w:tcPr>
          <w:p w14:paraId="75277D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53,1</w:t>
            </w:r>
          </w:p>
        </w:tc>
        <w:tc>
          <w:tcPr>
            <w:tcW w:w="872" w:type="dxa"/>
          </w:tcPr>
          <w:p w14:paraId="06FEC63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363556F" w14:textId="77777777" w:rsidTr="00E543D0">
        <w:tc>
          <w:tcPr>
            <w:tcW w:w="1408" w:type="dxa"/>
          </w:tcPr>
          <w:p w14:paraId="681765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1408" w:type="dxa"/>
          </w:tcPr>
          <w:p w14:paraId="64A493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43910</w:t>
            </w:r>
          </w:p>
        </w:tc>
        <w:tc>
          <w:tcPr>
            <w:tcW w:w="1408" w:type="dxa"/>
          </w:tcPr>
          <w:p w14:paraId="18C93B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48207</w:t>
            </w:r>
          </w:p>
        </w:tc>
        <w:tc>
          <w:tcPr>
            <w:tcW w:w="1408" w:type="dxa"/>
          </w:tcPr>
          <w:p w14:paraId="7B0EFC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109</w:t>
            </w:r>
          </w:p>
        </w:tc>
        <w:tc>
          <w:tcPr>
            <w:tcW w:w="1408" w:type="dxa"/>
          </w:tcPr>
          <w:p w14:paraId="090ADE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46960</w:t>
            </w:r>
          </w:p>
        </w:tc>
        <w:tc>
          <w:tcPr>
            <w:tcW w:w="1408" w:type="dxa"/>
          </w:tcPr>
          <w:p w14:paraId="00FE28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32630</w:t>
            </w:r>
          </w:p>
        </w:tc>
        <w:tc>
          <w:tcPr>
            <w:tcW w:w="1408" w:type="dxa"/>
          </w:tcPr>
          <w:p w14:paraId="315647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69,5</w:t>
            </w:r>
          </w:p>
        </w:tc>
        <w:tc>
          <w:tcPr>
            <w:tcW w:w="872" w:type="dxa"/>
          </w:tcPr>
          <w:p w14:paraId="560BF2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8BB1123" w14:textId="77777777" w:rsidTr="00E543D0">
        <w:tc>
          <w:tcPr>
            <w:tcW w:w="1408" w:type="dxa"/>
            <w:tcBorders>
              <w:bottom w:val="single" w:sz="12" w:space="0" w:color="auto"/>
            </w:tcBorders>
          </w:tcPr>
          <w:p w14:paraId="34D14A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c>
          <w:tcPr>
            <w:tcW w:w="1408" w:type="dxa"/>
            <w:tcBorders>
              <w:bottom w:val="single" w:sz="12" w:space="0" w:color="auto"/>
            </w:tcBorders>
          </w:tcPr>
          <w:p w14:paraId="5C18A6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51180</w:t>
            </w:r>
          </w:p>
        </w:tc>
        <w:tc>
          <w:tcPr>
            <w:tcW w:w="1408" w:type="dxa"/>
            <w:tcBorders>
              <w:bottom w:val="single" w:sz="12" w:space="0" w:color="auto"/>
            </w:tcBorders>
          </w:tcPr>
          <w:p w14:paraId="38BE0E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54369</w:t>
            </w:r>
          </w:p>
        </w:tc>
        <w:tc>
          <w:tcPr>
            <w:tcW w:w="1408" w:type="dxa"/>
            <w:tcBorders>
              <w:bottom w:val="single" w:sz="12" w:space="0" w:color="auto"/>
            </w:tcBorders>
          </w:tcPr>
          <w:p w14:paraId="6E3F9A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106,2</w:t>
            </w:r>
          </w:p>
        </w:tc>
        <w:tc>
          <w:tcPr>
            <w:tcW w:w="1408" w:type="dxa"/>
            <w:tcBorders>
              <w:bottom w:val="single" w:sz="12" w:space="0" w:color="auto"/>
            </w:tcBorders>
          </w:tcPr>
          <w:p w14:paraId="19086B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53250</w:t>
            </w:r>
          </w:p>
        </w:tc>
        <w:tc>
          <w:tcPr>
            <w:tcW w:w="1408" w:type="dxa"/>
            <w:tcBorders>
              <w:bottom w:val="single" w:sz="12" w:space="0" w:color="auto"/>
            </w:tcBorders>
          </w:tcPr>
          <w:p w14:paraId="7315ED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22660</w:t>
            </w:r>
          </w:p>
        </w:tc>
        <w:tc>
          <w:tcPr>
            <w:tcW w:w="1408" w:type="dxa"/>
            <w:tcBorders>
              <w:bottom w:val="single" w:sz="12" w:space="0" w:color="auto"/>
            </w:tcBorders>
          </w:tcPr>
          <w:p w14:paraId="2B4D1A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42,4</w:t>
            </w:r>
          </w:p>
        </w:tc>
        <w:tc>
          <w:tcPr>
            <w:tcW w:w="872" w:type="dxa"/>
            <w:tcBorders>
              <w:bottom w:val="single" w:sz="12" w:space="0" w:color="auto"/>
            </w:tcBorders>
          </w:tcPr>
          <w:p w14:paraId="47EBB63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7B8D30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капитальных работ по реконструкции действующих моторных заводов за 1939 г. в денежном выражении выполнен на 103,8% и введе</w:t>
      </w:r>
      <w:r w:rsidRPr="00DB5D0D">
        <w:rPr>
          <w:rFonts w:ascii="Times New Roman" w:hAnsi="Times New Roman"/>
          <w:color w:val="000000" w:themeColor="text1"/>
          <w:sz w:val="16"/>
          <w:szCs w:val="16"/>
        </w:rPr>
        <w:softHyphen/>
        <w:t>но в эксплоатапдю 59017 м2 производственной площади при плане 50981 м2, что составляет 116% (с учетом переходящего задела 1938 г.)</w:t>
      </w:r>
    </w:p>
    <w:p w14:paraId="72878E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реконструкции действующих заводов за 1940 г. выполняется с опозданием по отдельным стройкам на один-полтора месяца.</w:t>
      </w:r>
    </w:p>
    <w:p w14:paraId="557B5A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154сс от 11.6.39 г. обязало НКАП закончить строительство з-да и 27 в 1940 году и немедленно приступить к изы</w:t>
      </w:r>
      <w:r w:rsidRPr="00DB5D0D">
        <w:rPr>
          <w:rFonts w:ascii="Times New Roman" w:hAnsi="Times New Roman"/>
          <w:color w:val="000000" w:themeColor="text1"/>
          <w:sz w:val="16"/>
          <w:szCs w:val="16"/>
        </w:rPr>
        <w:softHyphen/>
        <w:t>сканию и строительству новнх шести моторных заводов.</w:t>
      </w:r>
    </w:p>
    <w:p w14:paraId="78402E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Положение со строительством новых моторных заводов крайне неудовлетворительное, о чем свидетельствуют следующие данные: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56"/>
        <w:gridCol w:w="756"/>
        <w:gridCol w:w="907"/>
        <w:gridCol w:w="785"/>
        <w:gridCol w:w="1202"/>
        <w:gridCol w:w="965"/>
        <w:gridCol w:w="871"/>
        <w:gridCol w:w="1512"/>
      </w:tblGrid>
      <w:tr w:rsidR="007D5DF8" w:rsidRPr="00DB5D0D" w14:paraId="53062E17" w14:textId="77777777" w:rsidTr="00E543D0">
        <w:trPr>
          <w:trHeight w:val="187"/>
        </w:trPr>
        <w:tc>
          <w:tcPr>
            <w:tcW w:w="756" w:type="dxa"/>
            <w:tcBorders>
              <w:top w:val="single" w:sz="12" w:space="0" w:color="auto"/>
            </w:tcBorders>
          </w:tcPr>
          <w:p w14:paraId="513BDB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756" w:type="dxa"/>
            <w:tcBorders>
              <w:top w:val="single" w:sz="12" w:space="0" w:color="auto"/>
            </w:tcBorders>
          </w:tcPr>
          <w:p w14:paraId="005E57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1939 г., тыс. руб.</w:t>
            </w:r>
          </w:p>
        </w:tc>
        <w:tc>
          <w:tcPr>
            <w:tcW w:w="1692" w:type="dxa"/>
            <w:gridSpan w:val="2"/>
            <w:tcBorders>
              <w:top w:val="single" w:sz="12" w:space="0" w:color="auto"/>
            </w:tcBorders>
          </w:tcPr>
          <w:p w14:paraId="3E5E97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плана1939 г.</w:t>
            </w:r>
          </w:p>
        </w:tc>
        <w:tc>
          <w:tcPr>
            <w:tcW w:w="1202" w:type="dxa"/>
            <w:tcBorders>
              <w:top w:val="single" w:sz="12" w:space="0" w:color="auto"/>
            </w:tcBorders>
          </w:tcPr>
          <w:p w14:paraId="4DE6E2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План1940 г. т. руб.</w:t>
            </w:r>
          </w:p>
        </w:tc>
        <w:tc>
          <w:tcPr>
            <w:tcW w:w="1836" w:type="dxa"/>
            <w:gridSpan w:val="2"/>
            <w:tcBorders>
              <w:top w:val="single" w:sz="12" w:space="0" w:color="auto"/>
            </w:tcBorders>
          </w:tcPr>
          <w:p w14:paraId="2D9B21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 на 1.8.40 г.</w:t>
            </w:r>
          </w:p>
        </w:tc>
        <w:tc>
          <w:tcPr>
            <w:tcW w:w="1512" w:type="dxa"/>
            <w:tcBorders>
              <w:top w:val="single" w:sz="12" w:space="0" w:color="auto"/>
            </w:tcBorders>
          </w:tcPr>
          <w:p w14:paraId="335EB3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119486B7" w14:textId="77777777" w:rsidTr="00E543D0">
        <w:trPr>
          <w:trHeight w:val="245"/>
        </w:trPr>
        <w:tc>
          <w:tcPr>
            <w:tcW w:w="756" w:type="dxa"/>
          </w:tcPr>
          <w:p w14:paraId="2F2304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56" w:type="dxa"/>
          </w:tcPr>
          <w:p w14:paraId="6D6E45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07" w:type="dxa"/>
          </w:tcPr>
          <w:p w14:paraId="3A7E98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 руб.</w:t>
            </w:r>
          </w:p>
        </w:tc>
        <w:tc>
          <w:tcPr>
            <w:tcW w:w="785" w:type="dxa"/>
          </w:tcPr>
          <w:p w14:paraId="25BABC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02" w:type="dxa"/>
          </w:tcPr>
          <w:p w14:paraId="07E754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65" w:type="dxa"/>
          </w:tcPr>
          <w:p w14:paraId="509FF6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 руб. </w:t>
            </w:r>
          </w:p>
        </w:tc>
        <w:tc>
          <w:tcPr>
            <w:tcW w:w="871" w:type="dxa"/>
          </w:tcPr>
          <w:p w14:paraId="23BBB3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12" w:type="dxa"/>
          </w:tcPr>
          <w:p w14:paraId="72F3E4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4C8671AF" w14:textId="77777777" w:rsidTr="00E543D0">
        <w:trPr>
          <w:trHeight w:val="324"/>
        </w:trPr>
        <w:tc>
          <w:tcPr>
            <w:tcW w:w="756" w:type="dxa"/>
          </w:tcPr>
          <w:p w14:paraId="0A00CD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c>
          <w:tcPr>
            <w:tcW w:w="756" w:type="dxa"/>
          </w:tcPr>
          <w:p w14:paraId="5BDE82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29650</w:t>
            </w:r>
          </w:p>
          <w:p w14:paraId="02357B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07" w:type="dxa"/>
          </w:tcPr>
          <w:p w14:paraId="58D668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23105</w:t>
            </w:r>
          </w:p>
        </w:tc>
        <w:tc>
          <w:tcPr>
            <w:tcW w:w="785" w:type="dxa"/>
          </w:tcPr>
          <w:p w14:paraId="3476A9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c>
          <w:tcPr>
            <w:tcW w:w="1202" w:type="dxa"/>
          </w:tcPr>
          <w:p w14:paraId="474798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68500</w:t>
            </w:r>
          </w:p>
        </w:tc>
        <w:tc>
          <w:tcPr>
            <w:tcW w:w="965" w:type="dxa"/>
          </w:tcPr>
          <w:p w14:paraId="20A6AC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35030</w:t>
            </w:r>
          </w:p>
        </w:tc>
        <w:tc>
          <w:tcPr>
            <w:tcW w:w="871" w:type="dxa"/>
          </w:tcPr>
          <w:p w14:paraId="3541F6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51,0</w:t>
            </w:r>
          </w:p>
        </w:tc>
        <w:tc>
          <w:tcPr>
            <w:tcW w:w="1512" w:type="dxa"/>
          </w:tcPr>
          <w:p w14:paraId="3E909A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Строит-во ве</w:t>
            </w:r>
            <w:r w:rsidRPr="00DB5D0D">
              <w:rPr>
                <w:rFonts w:ascii="Times New Roman" w:hAnsi="Times New Roman"/>
                <w:color w:val="000000" w:themeColor="text1"/>
                <w:sz w:val="16"/>
                <w:szCs w:val="16"/>
              </w:rPr>
              <w:softHyphen/>
              <w:t>дет НКАП.</w:t>
            </w:r>
          </w:p>
        </w:tc>
      </w:tr>
      <w:tr w:rsidR="007D5DF8" w:rsidRPr="00DB5D0D" w14:paraId="210D7D2F" w14:textId="77777777" w:rsidTr="00E543D0">
        <w:trPr>
          <w:trHeight w:val="310"/>
        </w:trPr>
        <w:tc>
          <w:tcPr>
            <w:tcW w:w="756" w:type="dxa"/>
          </w:tcPr>
          <w:p w14:paraId="5CC42B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333</w:t>
            </w:r>
          </w:p>
        </w:tc>
        <w:tc>
          <w:tcPr>
            <w:tcW w:w="756" w:type="dxa"/>
          </w:tcPr>
          <w:p w14:paraId="6CC8A0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5500</w:t>
            </w:r>
          </w:p>
        </w:tc>
        <w:tc>
          <w:tcPr>
            <w:tcW w:w="907" w:type="dxa"/>
          </w:tcPr>
          <w:p w14:paraId="67D1E3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4701</w:t>
            </w:r>
          </w:p>
        </w:tc>
        <w:tc>
          <w:tcPr>
            <w:tcW w:w="785" w:type="dxa"/>
          </w:tcPr>
          <w:p w14:paraId="7A1D5C0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85,5</w:t>
            </w:r>
          </w:p>
        </w:tc>
        <w:tc>
          <w:tcPr>
            <w:tcW w:w="1202" w:type="dxa"/>
          </w:tcPr>
          <w:p w14:paraId="536084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9600</w:t>
            </w:r>
          </w:p>
        </w:tc>
        <w:tc>
          <w:tcPr>
            <w:tcW w:w="965" w:type="dxa"/>
          </w:tcPr>
          <w:p w14:paraId="38D994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3080</w:t>
            </w:r>
          </w:p>
        </w:tc>
        <w:tc>
          <w:tcPr>
            <w:tcW w:w="871" w:type="dxa"/>
          </w:tcPr>
          <w:p w14:paraId="0E1489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32,1</w:t>
            </w:r>
          </w:p>
        </w:tc>
        <w:tc>
          <w:tcPr>
            <w:tcW w:w="1512" w:type="dxa"/>
          </w:tcPr>
          <w:p w14:paraId="44F5B4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Строит-во ве</w:t>
            </w:r>
            <w:r w:rsidRPr="00DB5D0D">
              <w:rPr>
                <w:rFonts w:ascii="Times New Roman" w:hAnsi="Times New Roman"/>
                <w:color w:val="000000" w:themeColor="text1"/>
                <w:sz w:val="16"/>
                <w:szCs w:val="16"/>
              </w:rPr>
              <w:softHyphen/>
              <w:t>дет НКАП.</w:t>
            </w:r>
          </w:p>
        </w:tc>
      </w:tr>
      <w:tr w:rsidR="007D5DF8" w:rsidRPr="00DB5D0D" w14:paraId="4F02D863" w14:textId="77777777" w:rsidTr="00E543D0">
        <w:trPr>
          <w:trHeight w:val="346"/>
        </w:trPr>
        <w:tc>
          <w:tcPr>
            <w:tcW w:w="756" w:type="dxa"/>
          </w:tcPr>
          <w:p w14:paraId="1D884A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334</w:t>
            </w:r>
          </w:p>
        </w:tc>
        <w:tc>
          <w:tcPr>
            <w:tcW w:w="756" w:type="dxa"/>
          </w:tcPr>
          <w:p w14:paraId="1097E1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07" w:type="dxa"/>
          </w:tcPr>
          <w:p w14:paraId="2DC1A0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85" w:type="dxa"/>
          </w:tcPr>
          <w:p w14:paraId="784487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02" w:type="dxa"/>
          </w:tcPr>
          <w:p w14:paraId="780CAF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4580</w:t>
            </w:r>
          </w:p>
        </w:tc>
        <w:tc>
          <w:tcPr>
            <w:tcW w:w="965" w:type="dxa"/>
          </w:tcPr>
          <w:p w14:paraId="19A363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760</w:t>
            </w:r>
          </w:p>
        </w:tc>
        <w:tc>
          <w:tcPr>
            <w:tcW w:w="871" w:type="dxa"/>
          </w:tcPr>
          <w:p w14:paraId="2C219C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16,6</w:t>
            </w:r>
          </w:p>
        </w:tc>
        <w:tc>
          <w:tcPr>
            <w:tcW w:w="1512" w:type="dxa"/>
          </w:tcPr>
          <w:p w14:paraId="2082A5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ведет НКСтрой.</w:t>
            </w:r>
          </w:p>
        </w:tc>
      </w:tr>
      <w:tr w:rsidR="007D5DF8" w:rsidRPr="00DB5D0D" w14:paraId="69981600" w14:textId="77777777" w:rsidTr="00E543D0">
        <w:trPr>
          <w:trHeight w:val="346"/>
        </w:trPr>
        <w:tc>
          <w:tcPr>
            <w:tcW w:w="756" w:type="dxa"/>
          </w:tcPr>
          <w:p w14:paraId="3B3420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335</w:t>
            </w:r>
          </w:p>
        </w:tc>
        <w:tc>
          <w:tcPr>
            <w:tcW w:w="756" w:type="dxa"/>
          </w:tcPr>
          <w:p w14:paraId="59D6C7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21500</w:t>
            </w:r>
          </w:p>
        </w:tc>
        <w:tc>
          <w:tcPr>
            <w:tcW w:w="907" w:type="dxa"/>
          </w:tcPr>
          <w:p w14:paraId="1FBB98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5150</w:t>
            </w:r>
          </w:p>
        </w:tc>
        <w:tc>
          <w:tcPr>
            <w:tcW w:w="785" w:type="dxa"/>
          </w:tcPr>
          <w:p w14:paraId="7AC32F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202" w:type="dxa"/>
          </w:tcPr>
          <w:p w14:paraId="2CFCC3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29230</w:t>
            </w:r>
          </w:p>
        </w:tc>
        <w:tc>
          <w:tcPr>
            <w:tcW w:w="965" w:type="dxa"/>
          </w:tcPr>
          <w:p w14:paraId="77F142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4480</w:t>
            </w:r>
          </w:p>
        </w:tc>
        <w:tc>
          <w:tcPr>
            <w:tcW w:w="871" w:type="dxa"/>
          </w:tcPr>
          <w:p w14:paraId="7D94FC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1512" w:type="dxa"/>
          </w:tcPr>
          <w:p w14:paraId="57AED7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ведет НКСтрой.</w:t>
            </w:r>
          </w:p>
        </w:tc>
      </w:tr>
      <w:tr w:rsidR="007D5DF8" w:rsidRPr="00DB5D0D" w14:paraId="4C358C68" w14:textId="77777777" w:rsidTr="00E543D0">
        <w:trPr>
          <w:trHeight w:val="180"/>
        </w:trPr>
        <w:tc>
          <w:tcPr>
            <w:tcW w:w="756" w:type="dxa"/>
          </w:tcPr>
          <w:p w14:paraId="0A90E6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336</w:t>
            </w:r>
          </w:p>
        </w:tc>
        <w:tc>
          <w:tcPr>
            <w:tcW w:w="756" w:type="dxa"/>
          </w:tcPr>
          <w:p w14:paraId="73F12B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13500</w:t>
            </w:r>
          </w:p>
        </w:tc>
        <w:tc>
          <w:tcPr>
            <w:tcW w:w="907" w:type="dxa"/>
          </w:tcPr>
          <w:p w14:paraId="060D0FE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785" w:type="dxa"/>
          </w:tcPr>
          <w:p w14:paraId="3E28C3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02" w:type="dxa"/>
          </w:tcPr>
          <w:p w14:paraId="3CD370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25750</w:t>
            </w:r>
          </w:p>
        </w:tc>
        <w:tc>
          <w:tcPr>
            <w:tcW w:w="965" w:type="dxa"/>
          </w:tcPr>
          <w:p w14:paraId="1695AD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2830</w:t>
            </w:r>
          </w:p>
        </w:tc>
        <w:tc>
          <w:tcPr>
            <w:tcW w:w="871" w:type="dxa"/>
          </w:tcPr>
          <w:p w14:paraId="072B2A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1512" w:type="dxa"/>
          </w:tcPr>
          <w:p w14:paraId="1E1CA6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ведет НКСтрой.</w:t>
            </w:r>
          </w:p>
        </w:tc>
      </w:tr>
      <w:tr w:rsidR="007D5DF8" w:rsidRPr="00DB5D0D" w14:paraId="3C1C2DF1" w14:textId="77777777" w:rsidTr="00E543D0">
        <w:trPr>
          <w:trHeight w:val="180"/>
        </w:trPr>
        <w:tc>
          <w:tcPr>
            <w:tcW w:w="756" w:type="dxa"/>
          </w:tcPr>
          <w:p w14:paraId="3D5853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w:t>
            </w:r>
          </w:p>
        </w:tc>
        <w:tc>
          <w:tcPr>
            <w:tcW w:w="756" w:type="dxa"/>
          </w:tcPr>
          <w:p w14:paraId="007F17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907" w:type="dxa"/>
          </w:tcPr>
          <w:p w14:paraId="26AB80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85" w:type="dxa"/>
          </w:tcPr>
          <w:p w14:paraId="1C6FE2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02" w:type="dxa"/>
          </w:tcPr>
          <w:p w14:paraId="0B4CDF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965" w:type="dxa"/>
          </w:tcPr>
          <w:p w14:paraId="1F2C9F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1260</w:t>
            </w:r>
          </w:p>
        </w:tc>
        <w:tc>
          <w:tcPr>
            <w:tcW w:w="871" w:type="dxa"/>
          </w:tcPr>
          <w:p w14:paraId="0DFBA8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w:t>
            </w:r>
          </w:p>
        </w:tc>
        <w:tc>
          <w:tcPr>
            <w:tcW w:w="1512" w:type="dxa"/>
          </w:tcPr>
          <w:p w14:paraId="0A856F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06.08.40 передано НКВД</w:t>
            </w:r>
          </w:p>
        </w:tc>
      </w:tr>
      <w:tr w:rsidR="007D5DF8" w:rsidRPr="00DB5D0D" w14:paraId="77609CBA" w14:textId="77777777" w:rsidTr="00E543D0">
        <w:trPr>
          <w:trHeight w:val="180"/>
        </w:trPr>
        <w:tc>
          <w:tcPr>
            <w:tcW w:w="756" w:type="dxa"/>
          </w:tcPr>
          <w:p w14:paraId="201B3F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338</w:t>
            </w:r>
          </w:p>
        </w:tc>
        <w:tc>
          <w:tcPr>
            <w:tcW w:w="756" w:type="dxa"/>
          </w:tcPr>
          <w:p w14:paraId="5070EA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07" w:type="dxa"/>
          </w:tcPr>
          <w:p w14:paraId="16DB44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85" w:type="dxa"/>
          </w:tcPr>
          <w:p w14:paraId="74DDF41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02" w:type="dxa"/>
          </w:tcPr>
          <w:p w14:paraId="01EA5A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37400</w:t>
            </w:r>
          </w:p>
        </w:tc>
        <w:tc>
          <w:tcPr>
            <w:tcW w:w="965" w:type="dxa"/>
          </w:tcPr>
          <w:p w14:paraId="16A808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3990</w:t>
            </w:r>
          </w:p>
        </w:tc>
        <w:tc>
          <w:tcPr>
            <w:tcW w:w="871" w:type="dxa"/>
          </w:tcPr>
          <w:p w14:paraId="47481E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w:t>
            </w:r>
          </w:p>
        </w:tc>
        <w:tc>
          <w:tcPr>
            <w:tcW w:w="1512" w:type="dxa"/>
          </w:tcPr>
          <w:p w14:paraId="34C7FD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Передано НКАП</w:t>
            </w:r>
          </w:p>
        </w:tc>
      </w:tr>
      <w:tr w:rsidR="007D5DF8" w:rsidRPr="00DB5D0D" w14:paraId="51E33679" w14:textId="77777777" w:rsidTr="00E543D0">
        <w:trPr>
          <w:trHeight w:val="180"/>
        </w:trPr>
        <w:tc>
          <w:tcPr>
            <w:tcW w:w="756" w:type="dxa"/>
            <w:tcBorders>
              <w:bottom w:val="single" w:sz="12" w:space="0" w:color="auto"/>
            </w:tcBorders>
          </w:tcPr>
          <w:p w14:paraId="506984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56" w:type="dxa"/>
            <w:tcBorders>
              <w:bottom w:val="single" w:sz="12" w:space="0" w:color="auto"/>
            </w:tcBorders>
          </w:tcPr>
          <w:p w14:paraId="7AFBE9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07" w:type="dxa"/>
            <w:tcBorders>
              <w:bottom w:val="single" w:sz="12" w:space="0" w:color="auto"/>
            </w:tcBorders>
          </w:tcPr>
          <w:p w14:paraId="2D49DE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85" w:type="dxa"/>
            <w:tcBorders>
              <w:bottom w:val="single" w:sz="12" w:space="0" w:color="auto"/>
            </w:tcBorders>
          </w:tcPr>
          <w:p w14:paraId="05ED61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202" w:type="dxa"/>
            <w:tcBorders>
              <w:bottom w:val="single" w:sz="12" w:space="0" w:color="auto"/>
            </w:tcBorders>
          </w:tcPr>
          <w:p w14:paraId="7ECB2E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178330</w:t>
            </w:r>
          </w:p>
        </w:tc>
        <w:tc>
          <w:tcPr>
            <w:tcW w:w="965" w:type="dxa"/>
            <w:tcBorders>
              <w:bottom w:val="single" w:sz="12" w:space="0" w:color="auto"/>
            </w:tcBorders>
          </w:tcPr>
          <w:p w14:paraId="53B3AB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28,8</w:t>
            </w:r>
          </w:p>
        </w:tc>
        <w:tc>
          <w:tcPr>
            <w:tcW w:w="871" w:type="dxa"/>
            <w:tcBorders>
              <w:bottom w:val="single" w:sz="12" w:space="0" w:color="auto"/>
            </w:tcBorders>
          </w:tcPr>
          <w:p w14:paraId="2ECFDF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512" w:type="dxa"/>
            <w:tcBorders>
              <w:bottom w:val="single" w:sz="12" w:space="0" w:color="auto"/>
            </w:tcBorders>
          </w:tcPr>
          <w:p w14:paraId="77B0BA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bl>
    <w:p w14:paraId="14ADAF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заводов №№ 334, 335, 336 и 337,осуществляемое НКСтроем, идет крайне неудовлетворительно. Так, при плане капи</w:t>
      </w:r>
      <w:r w:rsidRPr="00DB5D0D">
        <w:rPr>
          <w:rFonts w:ascii="Times New Roman" w:hAnsi="Times New Roman"/>
          <w:color w:val="000000" w:themeColor="text1"/>
          <w:sz w:val="16"/>
          <w:szCs w:val="16"/>
        </w:rPr>
        <w:softHyphen/>
        <w:t>таловложений на 1940 г. в сумме 44530 т. руб. за 7 месяцев -выполнено только 11950 т. руб., что составляет 25% от годового плана.</w:t>
      </w:r>
    </w:p>
    <w:p w14:paraId="6644D2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Основными причинами неудовлетворительного хода строитель</w:t>
      </w:r>
      <w:r w:rsidRPr="00DB5D0D">
        <w:rPr>
          <w:rFonts w:ascii="Times New Roman" w:hAnsi="Times New Roman"/>
          <w:color w:val="000000" w:themeColor="text1"/>
          <w:sz w:val="16"/>
          <w:szCs w:val="16"/>
        </w:rPr>
        <w:softHyphen/>
        <w:t>ства являются:</w:t>
      </w:r>
    </w:p>
    <w:p w14:paraId="794C59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Полная неподготовленность к программе строительства 1940 г. и маломощность строительных организаций НКСтроя на ме</w:t>
      </w:r>
      <w:r w:rsidRPr="00DB5D0D">
        <w:rPr>
          <w:rFonts w:ascii="Times New Roman" w:hAnsi="Times New Roman"/>
          <w:color w:val="000000" w:themeColor="text1"/>
          <w:sz w:val="16"/>
          <w:szCs w:val="16"/>
        </w:rPr>
        <w:softHyphen/>
        <w:t>стах.</w:t>
      </w:r>
    </w:p>
    <w:p w14:paraId="011958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Неудовлетворительное обьспечение технической документа</w:t>
      </w:r>
      <w:r w:rsidRPr="00DB5D0D">
        <w:rPr>
          <w:rFonts w:ascii="Times New Roman" w:hAnsi="Times New Roman"/>
          <w:color w:val="000000" w:themeColor="text1"/>
          <w:sz w:val="16"/>
          <w:szCs w:val="16"/>
        </w:rPr>
        <w:softHyphen/>
        <w:t>цией строек со стороны НКАП.</w:t>
      </w:r>
    </w:p>
    <w:p w14:paraId="4468F7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Отсутствие контроля за ходом строительства как со стороны НКАП'а, так и со стороны НКСтроя.</w:t>
      </w:r>
    </w:p>
    <w:p w14:paraId="09EA83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Фактическое состояние строительства этих заводов не обес</w:t>
      </w:r>
      <w:r w:rsidRPr="00DB5D0D">
        <w:rPr>
          <w:rFonts w:ascii="Times New Roman" w:hAnsi="Times New Roman"/>
          <w:color w:val="000000" w:themeColor="text1"/>
          <w:sz w:val="16"/>
          <w:szCs w:val="16"/>
        </w:rPr>
        <w:softHyphen/>
        <w:t>печивает окончания их в установленные сроки.</w:t>
      </w:r>
    </w:p>
    <w:p w14:paraId="04B706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агрегатным главкам.</w:t>
      </w:r>
    </w:p>
    <w:p w14:paraId="7C7B7C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Постановления КО № 154сс от 11.06.39 г. и № 346сс от 17.9.39 г. обязали НКАП и НКСтрой закончить строительство з-да № 339 в 1940 г. и построить шесть новых заводов (10498,57).</w:t>
      </w:r>
    </w:p>
    <w:p w14:paraId="28679B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9B7E9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августа 1940 Ленинградский горком партии провел заседание бюро, на котором обсуждался вопрос «О реализации решения ЦК ВКП(б) и СНК СССР от 26 июля 1940 года об организации производства боевых самолетов и авиационных моторов в Ленинграде» (Там же. Ф. 25. Оп. 2а. Д. 90. Л. 68.), а также были намечены основные мероприятия по выполнению решения центральных органов власти и определены ответственные лица за организацию этой работы. Спустя несколько дней состоялось еще одно заседание бюро с более конкретной повесткой дня — «О ходе подготовки производства моторов М-40 на Кировском заводе». Поскольку выяснилось, что кировцы не освоят выпуск новой продукции в установленные сроки по вине ряда союзных наркоматов, было принято решение обратиться с письмом в ЦК ВКП(б) с обоснованием своей позиции, что позволило выйти из затруднительной ситуации (11176).</w:t>
      </w:r>
    </w:p>
    <w:p w14:paraId="0F73A4C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285746E"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4D08FC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027B941" w14:textId="77777777" w:rsidR="003C7E8B" w:rsidRPr="00DB5D0D" w:rsidRDefault="003C7E8B" w:rsidP="00DB5D0D">
      <w:pPr>
        <w:pStyle w:val="a3"/>
        <w:rPr>
          <w:color w:val="000000" w:themeColor="text1"/>
          <w:lang w:val="ru-RU"/>
        </w:rPr>
      </w:pPr>
      <w:r w:rsidRPr="00DB5D0D">
        <w:rPr>
          <w:color w:val="000000" w:themeColor="text1"/>
          <w:lang w:val="ru-RU"/>
        </w:rPr>
        <w:t xml:space="preserve">В начале августа месяца 1940 между ГАБТУ и заводом № 183 было заключено дополнительное соглашение №4-529 к основному договору </w:t>
      </w:r>
      <w:r w:rsidRPr="00DB5D0D">
        <w:rPr>
          <w:color w:val="000000" w:themeColor="text1"/>
        </w:rPr>
        <w:t>N</w:t>
      </w:r>
      <w:r w:rsidRPr="00DB5D0D">
        <w:rPr>
          <w:color w:val="000000" w:themeColor="text1"/>
          <w:lang w:val="ru-RU"/>
        </w:rPr>
        <w:t>94-074 от 9 января 1940 г. Необ</w:t>
      </w:r>
      <w:r w:rsidRPr="00DB5D0D">
        <w:rPr>
          <w:color w:val="000000" w:themeColor="text1"/>
          <w:lang w:val="ru-RU"/>
        </w:rPr>
        <w:softHyphen/>
        <w:t>ходимо отметить, что на протяжении лета 1940 г. было проведено несколько совместных совещаний, на которых руководство ГАБТУ и завода №183 согласовывали перечень конструктивных измене</w:t>
      </w:r>
      <w:r w:rsidRPr="00DB5D0D">
        <w:rPr>
          <w:color w:val="000000" w:themeColor="text1"/>
          <w:lang w:val="ru-RU"/>
        </w:rPr>
        <w:softHyphen/>
        <w:t>ний и доработок по танку Т-34, подлежащих обязательному вве</w:t>
      </w:r>
      <w:r w:rsidRPr="00DB5D0D">
        <w:rPr>
          <w:color w:val="000000" w:themeColor="text1"/>
          <w:lang w:val="ru-RU"/>
        </w:rPr>
        <w:softHyphen/>
        <w:t>дению в серийное производство в 1940 г. Результатом этих сове</w:t>
      </w:r>
      <w:r w:rsidRPr="00DB5D0D">
        <w:rPr>
          <w:color w:val="000000" w:themeColor="text1"/>
          <w:lang w:val="ru-RU"/>
        </w:rPr>
        <w:softHyphen/>
        <w:t>щаний как раз и стало дополнительное соглашение №4-529 от 3 августа 1940 г., в котором кроме списка конструктивных изме</w:t>
      </w:r>
      <w:r w:rsidRPr="00DB5D0D">
        <w:rPr>
          <w:color w:val="000000" w:themeColor="text1"/>
          <w:lang w:val="ru-RU"/>
        </w:rPr>
        <w:softHyphen/>
        <w:t>нений был прописан и новый, увеличенный согласно Постановле</w:t>
      </w:r>
      <w:r w:rsidRPr="00DB5D0D">
        <w:rPr>
          <w:color w:val="000000" w:themeColor="text1"/>
          <w:lang w:val="ru-RU"/>
        </w:rPr>
        <w:softHyphen/>
        <w:t>нию СНК СССР и ЦК ВКП (б) №976-368сс от 7 июня 1940 г., план по выпуску танков Т-34 в 1940 г. Включенный в соглашение пере</w:t>
      </w:r>
      <w:r w:rsidRPr="00DB5D0D">
        <w:rPr>
          <w:color w:val="000000" w:themeColor="text1"/>
          <w:lang w:val="ru-RU"/>
        </w:rPr>
        <w:softHyphen/>
        <w:t>чень конструктивных изменений (см. табл. №11) был составлен на основании отчета комиссии по проведению войсковых испыта</w:t>
      </w:r>
      <w:r w:rsidRPr="00DB5D0D">
        <w:rPr>
          <w:color w:val="000000" w:themeColor="text1"/>
          <w:lang w:val="ru-RU"/>
        </w:rPr>
        <w:softHyphen/>
        <w:t>ний двух опытных образцов Т-34, и в него вошли не исправленные на тот момент недостатки и дефекты машины с оговоренными сроками их устранения (11939).</w:t>
      </w:r>
    </w:p>
    <w:p w14:paraId="4EFAB9CB" w14:textId="77777777" w:rsidR="003C7E8B" w:rsidRPr="00DB5D0D" w:rsidRDefault="003C7E8B" w:rsidP="00DB5D0D">
      <w:pPr>
        <w:pStyle w:val="a3"/>
        <w:rPr>
          <w:color w:val="000000" w:themeColor="text1"/>
          <w:lang w:val="ru-RU"/>
        </w:rPr>
      </w:pPr>
    </w:p>
    <w:p w14:paraId="03B6900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0DBFB92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F2FD7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начале августа 1940 года для И.В.Сталина и других руководителей партии и правительства в Кремле был организован сравнительный осмотр малолитражных машин КИМ-10-50 и немецких марки «Опель», закупленных в Германии после заключения с ней Пакта о ненападении. По результатам этого осмотра было принято Постановление ЦК ВКП(б) и СНК СССР от 14 августа 1940 года «О малолитражном автомобиле КИМ-10», в котором перечислялись основные мероприятия по организации массового выпуска этих малолитражек и указывались изменения, которые надлежало в кратчайшие сроки внести в их конструкцию. В частности, предписывалось переделать кузов из двухдверного в четырехдверный и сделать его ниже, убрать подножки, интегрировать в облицовку передка фары, отдельно стоящие на крыльях у первых образцов. Выпуск автомобилей с измененным четырехдверным кузовом, которым был присвоен индекс КИМ-10-52, предполагалось начать уже в 4-м квартале этого же года. Тем временем завод продолжал осваивать выпуск автомобилей с двухдверным кузовом, используя задел кузовных штамповок из их пусконаладочной партии (10766).</w:t>
      </w:r>
    </w:p>
    <w:p w14:paraId="39666A8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91158B1" w14:textId="77777777" w:rsidR="00ED1BC9" w:rsidRPr="00DB5D0D" w:rsidRDefault="00ED1BC9"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984591E" w14:textId="77777777" w:rsidR="00ED1BC9" w:rsidRPr="00DB5D0D" w:rsidRDefault="00ED1BC9" w:rsidP="00DB5D0D">
      <w:pPr>
        <w:spacing w:after="0" w:line="240" w:lineRule="auto"/>
        <w:jc w:val="both"/>
        <w:rPr>
          <w:rFonts w:ascii="Times New Roman" w:hAnsi="Times New Roman"/>
          <w:iCs/>
          <w:color w:val="000000" w:themeColor="text1"/>
          <w:sz w:val="16"/>
          <w:szCs w:val="16"/>
        </w:rPr>
      </w:pPr>
    </w:p>
    <w:p w14:paraId="055B8D13" w14:textId="77777777" w:rsidR="00ED1BC9" w:rsidRPr="00DB5D0D" w:rsidRDefault="00ED1BC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начале августа 1940 года на заводе Daimler-Benz провели совещание, посвящённое производству Pz.Kpfw.III. На нём было принято решение существенно сократить объём выпуска двух модификаций Pz.Kpfw.III. Ausf.G теперь планировалось построить 600 штук вместо изначальных 800, а Ausf.H — 250 вместо 759 танков. Правда, Pz.Kpfw.III Ausf.H построили больше — 286 штук. Уменьшение объёмов производства танков этих двух модификаций сопровождалось резким ростом программы выпуска 8.Serie/Z.W. — до почти 1100 штук.</w:t>
      </w:r>
    </w:p>
    <w:p w14:paraId="243FB5B8" w14:textId="77777777" w:rsidR="00ED1BC9" w:rsidRPr="00DB5D0D" w:rsidRDefault="00ED1BC9" w:rsidP="00DB5D0D">
      <w:pPr>
        <w:pStyle w:val="ae"/>
        <w:shd w:val="clear" w:color="auto" w:fill="FFFFFF"/>
        <w:spacing w:before="0" w:after="0"/>
        <w:jc w:val="both"/>
        <w:rPr>
          <w:color w:val="000000" w:themeColor="text1"/>
          <w:sz w:val="16"/>
          <w:szCs w:val="16"/>
        </w:rPr>
      </w:pPr>
      <w:r w:rsidRPr="00DB5D0D">
        <w:rPr>
          <w:color w:val="000000" w:themeColor="text1"/>
          <w:sz w:val="16"/>
          <w:szCs w:val="16"/>
        </w:rPr>
        <w:t>8-я серия стала более защищённой. Толщина брони лобовой части корпуса и башни этих танков увеличилась до 50 мм. Она позволяла надёжно защитить танк от огня пушек калибра 37–45 мм. В конструкцию шасси нового танка требовалось внести различные улучшения, продиктованные опытом эксплуатации танков предыдущих модификаций. Впрочем, подавляющее большинство изменений уже реализовывалось на Pz.Kpfw.III Ausf.H, что упрощало работу.</w:t>
      </w:r>
    </w:p>
    <w:p w14:paraId="3B2B26F1" w14:textId="77777777" w:rsidR="00ED1BC9" w:rsidRPr="00DB5D0D" w:rsidRDefault="00ED1BC9" w:rsidP="00DB5D0D">
      <w:pPr>
        <w:pStyle w:val="ae"/>
        <w:shd w:val="clear" w:color="auto" w:fill="FFFFFF"/>
        <w:spacing w:before="0" w:after="0"/>
        <w:jc w:val="both"/>
        <w:rPr>
          <w:color w:val="000000" w:themeColor="text1"/>
          <w:sz w:val="16"/>
          <w:szCs w:val="16"/>
        </w:rPr>
      </w:pPr>
      <w:r w:rsidRPr="00DB5D0D">
        <w:rPr>
          <w:color w:val="000000" w:themeColor="text1"/>
          <w:sz w:val="16"/>
          <w:szCs w:val="16"/>
        </w:rPr>
        <w:t xml:space="preserve">Первоначально предполагалось, что 8.Serie/Z.W. будет выпускаться 7-ю предприятиями, но позже 2 завода, Alkett и FAMO, из списка выпали. Завод в Шпандау оказался загружен выпуском StuG III: начиная с модификации StuG III Ausf.B, именно здесь выпускались эти САУ. FAMO было загружено выпуском полугусеничных </w:t>
      </w:r>
      <w:hyperlink r:id="rId256" w:history="1">
        <w:r w:rsidRPr="00DB5D0D">
          <w:rPr>
            <w:rStyle w:val="a5"/>
            <w:color w:val="000000" w:themeColor="text1"/>
            <w:sz w:val="16"/>
            <w:szCs w:val="16"/>
            <w:u w:val="none"/>
          </w:rPr>
          <w:t>тягачей</w:t>
        </w:r>
      </w:hyperlink>
      <w:r w:rsidRPr="00DB5D0D">
        <w:rPr>
          <w:color w:val="000000" w:themeColor="text1"/>
          <w:sz w:val="16"/>
          <w:szCs w:val="16"/>
        </w:rPr>
        <w:t>-</w:t>
      </w:r>
      <w:hyperlink r:id="rId257" w:history="1">
        <w:r w:rsidRPr="00DB5D0D">
          <w:rPr>
            <w:rStyle w:val="a5"/>
            <w:color w:val="000000" w:themeColor="text1"/>
            <w:sz w:val="16"/>
            <w:szCs w:val="16"/>
            <w:u w:val="none"/>
          </w:rPr>
          <w:t>эвакуаторов</w:t>
        </w:r>
      </w:hyperlink>
      <w:r w:rsidRPr="00DB5D0D">
        <w:rPr>
          <w:color w:val="000000" w:themeColor="text1"/>
          <w:sz w:val="16"/>
          <w:szCs w:val="16"/>
        </w:rPr>
        <w:t xml:space="preserve"> Sd.Kfz.9, а с августа 1941 года в Бреслау выпускались лёгкие танки </w:t>
      </w:r>
      <w:hyperlink r:id="rId258" w:history="1">
        <w:r w:rsidRPr="00DB5D0D">
          <w:rPr>
            <w:rStyle w:val="a5"/>
            <w:color w:val="000000" w:themeColor="text1"/>
            <w:sz w:val="16"/>
            <w:szCs w:val="16"/>
            <w:u w:val="none"/>
          </w:rPr>
          <w:t>Pz.Kpfw.II Ausf.F</w:t>
        </w:r>
      </w:hyperlink>
      <w:r w:rsidRPr="00DB5D0D">
        <w:rPr>
          <w:color w:val="000000" w:themeColor="text1"/>
          <w:sz w:val="16"/>
          <w:szCs w:val="16"/>
        </w:rPr>
        <w:t>.</w:t>
      </w:r>
    </w:p>
    <w:p w14:paraId="0181AFE4" w14:textId="77777777" w:rsidR="00ED1BC9" w:rsidRPr="00DB5D0D" w:rsidRDefault="00ED1BC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После этого запланированный объём производства танков 8.Serie/Z.W. уменьшился и составил 779 танков:</w:t>
      </w:r>
    </w:p>
    <w:p w14:paraId="6745641D" w14:textId="77777777" w:rsidR="00ED1BC9" w:rsidRPr="00DB5D0D" w:rsidRDefault="00ED1BC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134 машины с серийными номерами в интервале 68001–68200 выпускал завод Daimler-Benz Werk 40 в Берлине;</w:t>
      </w:r>
    </w:p>
    <w:p w14:paraId="6C1EA5C5" w14:textId="77777777" w:rsidR="00ED1BC9" w:rsidRPr="00DB5D0D" w:rsidRDefault="00ED1BC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 танка с серийными номерами в пределах 68201–68400 изготовлялось на заводе MAN;</w:t>
      </w:r>
    </w:p>
    <w:p w14:paraId="6ECA57D2" w14:textId="77777777" w:rsidR="00ED1BC9" w:rsidRPr="00DB5D0D" w:rsidRDefault="00ED1BC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 танка с серийными номерами 68401–68600 — на MIAG;</w:t>
      </w:r>
    </w:p>
    <w:p w14:paraId="63980ACC" w14:textId="77777777" w:rsidR="00ED1BC9" w:rsidRPr="00DB5D0D" w:rsidRDefault="00ED1BC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100 танков с серийными номерами 68601–68700 — на MNH;</w:t>
      </w:r>
    </w:p>
    <w:p w14:paraId="5AE32985" w14:textId="77777777" w:rsidR="00ED1BC9" w:rsidRPr="00DB5D0D" w:rsidRDefault="00ED1BC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279 танков с серийными номерами от 68701 до 68979 строились на заводе Henschel в Касселе.</w:t>
      </w:r>
    </w:p>
    <w:p w14:paraId="57BCC55B" w14:textId="77777777" w:rsidR="00ED1BC9" w:rsidRPr="00DB5D0D" w:rsidRDefault="00ED1BC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Позже данный заказ был расширен, дополнительно выпускалось ещё 1800 8.Serie/Z.W:</w:t>
      </w:r>
    </w:p>
    <w:p w14:paraId="7FEC1F6D" w14:textId="77777777" w:rsidR="00ED1BC9" w:rsidRPr="00DB5D0D" w:rsidRDefault="00ED1BC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 танков с серийными номерами 72001–72345 выпускал завод Daimler-Benz Werk 40;</w:t>
      </w:r>
    </w:p>
    <w:p w14:paraId="207EA3F7" w14:textId="77777777" w:rsidR="00ED1BC9" w:rsidRPr="00DB5D0D" w:rsidRDefault="00ED1BC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 танков (номера 72401–72725) выпускалось на MAN;</w:t>
      </w:r>
    </w:p>
    <w:p w14:paraId="35650EE0" w14:textId="77777777" w:rsidR="00ED1BC9" w:rsidRPr="00DB5D0D" w:rsidRDefault="00ED1BC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 танков с серийными номерами 72801–73125 изготовлял MIAG;</w:t>
      </w:r>
    </w:p>
    <w:p w14:paraId="00F8808B" w14:textId="77777777" w:rsidR="00ED1BC9" w:rsidRPr="00DB5D0D" w:rsidRDefault="00ED1BC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 танков (номера 73201–73525) выпускал MNH;</w:t>
      </w:r>
    </w:p>
    <w:p w14:paraId="58680DD1" w14:textId="77777777" w:rsidR="00ED1BC9" w:rsidRPr="00DB5D0D" w:rsidRDefault="00ED1BC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 танков с номерами 73601–73900 изготовлялось на Henschel;</w:t>
      </w:r>
    </w:p>
    <w:p w14:paraId="2AE6E30B" w14:textId="77777777" w:rsidR="00ED1BC9" w:rsidRPr="00DB5D0D" w:rsidRDefault="00ED1BC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 танков с номерами 73901–74100 выпускал вернувшийся к производству Pz.Kpfw.III завод Alkett в Шпандау.</w:t>
      </w:r>
    </w:p>
    <w:p w14:paraId="76A0F34F" w14:textId="77777777" w:rsidR="00ED1BC9" w:rsidRPr="00DB5D0D" w:rsidRDefault="00ED1BC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Первые серийные 8.Serie/Z.W., получившие обозначение Pz.Kpfw.III Ausf.J, были построены заводами Daimler-Benz, MAN, Henschel и MNH в марте 1941 года. В следующем месяце танки новой модификации были готовы у MIAG и Alkett. Внешне от предшествующего Pz.Kpfw.III Ausf.H новый танк отличался не сильно. Первые машины новой серии оснащались практически такими же башнями с толщиной лобовых листов 30 мм. Отличалась лишь усиленная конструкция смотровых лючков, расположенных по бокам от орудийной маски.</w:t>
      </w:r>
    </w:p>
    <w:p w14:paraId="17A3277F" w14:textId="77777777" w:rsidR="00ED1BC9" w:rsidRPr="00DB5D0D" w:rsidRDefault="00ED1BC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Впрочем, от предыдущих модификаций Pz.Kpfw.Ausf.J отличить довольно легко. Помимо утолщения лобовых листов корпуса и подбашенной коробки, танк получил новую шаровую установку курсового пулемёта Kugelblende 50 с характерной бронировкой сферической формы. Изменился и смотровой прибор механика-водителя, получивший обозначение Fahrersehklappe 50 (цифра 50 означает толщину броневой заслонки в мм). Одновременно была усилена конструкция кожухов вентиляционных отверстий для охлаждения тормозов. Они стали толще и получили другую форму. Изменилась и конструкция буксирных крюков, которые теперь были одним целым с бортовыми листами корпуса.</w:t>
      </w:r>
    </w:p>
    <w:p w14:paraId="692EE81C" w14:textId="77777777" w:rsidR="00ED1BC9" w:rsidRPr="00DB5D0D" w:rsidRDefault="00ED1BC9" w:rsidP="00DB5D0D">
      <w:pPr>
        <w:pStyle w:val="ae"/>
        <w:shd w:val="clear" w:color="auto" w:fill="FFFFFF"/>
        <w:spacing w:before="0" w:after="0"/>
        <w:jc w:val="both"/>
        <w:rPr>
          <w:color w:val="000000" w:themeColor="text1"/>
          <w:sz w:val="16"/>
          <w:szCs w:val="16"/>
        </w:rPr>
      </w:pPr>
      <w:r w:rsidRPr="00DB5D0D">
        <w:rPr>
          <w:color w:val="000000" w:themeColor="text1"/>
          <w:sz w:val="16"/>
          <w:szCs w:val="16"/>
        </w:rPr>
        <w:t>Новый танк легко отличить и с кормы. Здесь изменились форма верхней кормовой детали и крышка под заводную рукоятку. Кроме того, прибор дымопуска теперь располагался под защитой верхнего кормового листа (17723).</w:t>
      </w:r>
    </w:p>
    <w:p w14:paraId="478B641F" w14:textId="77777777" w:rsidR="00ED1BC9" w:rsidRPr="00DB5D0D" w:rsidRDefault="00ED1BC9" w:rsidP="00DB5D0D">
      <w:pPr>
        <w:spacing w:after="0" w:line="240" w:lineRule="auto"/>
        <w:jc w:val="both"/>
        <w:rPr>
          <w:rFonts w:ascii="Times New Roman" w:eastAsia="Times New Roman" w:hAnsi="Times New Roman"/>
          <w:color w:val="000000" w:themeColor="text1"/>
          <w:sz w:val="16"/>
          <w:szCs w:val="16"/>
          <w:lang w:eastAsia="ru-RU"/>
        </w:rPr>
      </w:pPr>
    </w:p>
    <w:p w14:paraId="498CCCF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99FA8B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D1893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вышло постановление КО N 342cc "О создании одноместного ПБ с одним мотором М-90" о постройке 2 экз. одноместного одномоторного ПБ с М-90 конструкции С.А.Кочеригина на заводе 156. 1-й экз. - к 01.02.1941, 2-й - к 01.04.1941 (822).</w:t>
      </w:r>
    </w:p>
    <w:p w14:paraId="72D5FA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был ОПБ М-90 С.А.Кочеригина (3807,78).</w:t>
      </w:r>
    </w:p>
    <w:p w14:paraId="15F720A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4AD0DD2"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7 августа в 1940 году постановление Комитета Обороны № 342 и приказом НКАП № 399 о создание самолета </w:t>
      </w:r>
      <w:hyperlink r:id="rId259" w:tgtFrame="_blank" w:history="1">
        <w:r w:rsidRPr="00DB5D0D">
          <w:rPr>
            <w:rFonts w:ascii="Times New Roman" w:hAnsi="Times New Roman"/>
            <w:color w:val="000000" w:themeColor="text1"/>
            <w:sz w:val="16"/>
            <w:szCs w:val="16"/>
          </w:rPr>
          <w:t>«ОПБ» «М-90».</w:t>
        </w:r>
      </w:hyperlink>
      <w:r w:rsidRPr="00DB5D0D">
        <w:rPr>
          <w:rFonts w:ascii="Times New Roman" w:hAnsi="Times New Roman"/>
          <w:color w:val="000000" w:themeColor="text1"/>
          <w:sz w:val="16"/>
          <w:szCs w:val="16"/>
        </w:rPr>
        <w:t xml:space="preserve"> Ответственность возлагалась на НКАП, директора завода №156 Ленкина и главного конструктора Кочеригина. Предполагалась постройка двух экземпляров самолета с предъявлением на государственные испытания 1-го экземпляра к 1 февраля, а 2-го - к 1 апреля 1941 г. Согласно заданию, максимальная скорость полета «ОПБ» на высоте 7000 м должна была быть 600 км/ч, посадочная скорость - 140 км/ч. Скоростная дальность полета - 900 км, предельная дальность - 1100 км. Время набора высоты 7000 м - не более 8,5 мин. Практический потолок 10500 м. Вооружение должно было включать два синхронных крупнокалиберных пулемета «БС», два синхронных пулемета «ШКАС» и бомбовой нагрузки в составе одной бомбы калибра 500 кг внутри фюзеляжа или двух бомб калибра 250 кг под крылом (14976).</w:t>
      </w:r>
    </w:p>
    <w:p w14:paraId="3DF818FE"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71E38A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года постановление № 342сс КО</w:t>
      </w:r>
    </w:p>
    <w:p w14:paraId="414E2C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создании одноместного пикирующего бомбардировщика с одним мотором М-90</w:t>
      </w:r>
    </w:p>
    <w:p w14:paraId="6F1030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 постановляет:</w:t>
      </w:r>
    </w:p>
    <w:p w14:paraId="5B310EA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 директора завода № 156 Ленкинаа и гл. конструктора Кочерыгина спроектировать и построить одноместный пикирующий бомбардировщик с мотором М-90 и предъявить на госиспытания:</w:t>
      </w:r>
    </w:p>
    <w:p w14:paraId="040BAC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 1 февраля 1941 года</w:t>
      </w:r>
    </w:p>
    <w:p w14:paraId="4ED92B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 – 15 апреля 1941 года</w:t>
      </w:r>
    </w:p>
    <w:p w14:paraId="7C5ABF67" w14:textId="77777777" w:rsidR="003C7E8B" w:rsidRPr="00DB5D0D" w:rsidRDefault="003C7E8B" w:rsidP="00DB5D0D">
      <w:pPr>
        <w:pStyle w:val="24"/>
        <w:widowControl/>
        <w:rPr>
          <w:color w:val="000000" w:themeColor="text1"/>
        </w:rPr>
      </w:pPr>
      <w:r w:rsidRPr="00DB5D0D">
        <w:rPr>
          <w:color w:val="000000" w:themeColor="text1"/>
        </w:rPr>
        <w:t>со следующими летно-техническими данными:</w:t>
      </w:r>
    </w:p>
    <w:p w14:paraId="406DD2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7000 м – 600 км/час</w:t>
      </w:r>
    </w:p>
    <w:p w14:paraId="50444E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 140 км/час</w:t>
      </w:r>
    </w:p>
    <w:p w14:paraId="678F60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нормальной нагрузкой на 0,9 максимальной скорости - 700 км</w:t>
      </w:r>
    </w:p>
    <w:p w14:paraId="026921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с перегрузкой на 0,9 максимальной скорости - 1100 км</w:t>
      </w:r>
    </w:p>
    <w:p w14:paraId="163F70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7000 м – 8,5 мин.</w:t>
      </w:r>
    </w:p>
    <w:p w14:paraId="1AC604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 практический – 10500 м</w:t>
      </w:r>
    </w:p>
    <w:p w14:paraId="39B0A1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 пулемета 7,62 мм и в перегрузку 2 пулемета 12,7 мм</w:t>
      </w:r>
    </w:p>
    <w:p w14:paraId="48325E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 – внутри фюзеляжа 1х500 или 1х250 кг и под крыльями – 2х250 кг (7611, 238-239).</w:t>
      </w:r>
    </w:p>
    <w:p w14:paraId="4F5ADB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Наркомфин выделить НКАП (заводу № 156) выделить из резервного фонда СНК Союза СССР 7.000 тыс. рублей.</w:t>
      </w:r>
    </w:p>
    <w:p w14:paraId="6BB0C0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целях поощрения конструкторов, ИТР, рабочих и служащих за выполнение в срок одноместного ПБ выделить под отчет в распоряжение НКАП премиальный фонд:</w:t>
      </w:r>
    </w:p>
    <w:p w14:paraId="76E69E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 1-й экз. - 1.600 тыс. руб.</w:t>
      </w:r>
    </w:p>
    <w:p w14:paraId="085634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за 2-й экз. - 800 тысю руб. (10395).</w:t>
      </w:r>
    </w:p>
    <w:p w14:paraId="6E2016D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019969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года вышло постановление Правительства № 342сс и 7 августа 1940 года был издан приказ НКАП № 399сс от, который обязывает директора завода № 156 Ленкина и главного конструктора Кочеригина спроектировать и построить одноместный пикирующий бомбардировщик с мотором М-90 в двух экземпляров. Первый экземпляр самолета ОПБ должен быть сдан на гос. испытания 1 февраля 1941 года, а второй экземпляр 1 апреля 1941 года.</w:t>
      </w:r>
    </w:p>
    <w:p w14:paraId="50B3003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1B09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г. вышло постановление Комитета Обороны № 342 и приказ НКАП № 399, которыми было предусмотрено создание самолета ОПБ М-90 Кочеригина.</w:t>
      </w:r>
    </w:p>
    <w:p w14:paraId="6E4497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Ответственность возлагалась на НКАП, директора завода №156 Ленкина и главного конструктора Кочеригина. Предполагалась постройка двух экземпляров самолета с предъявлением на государственные испытания 1-го экземпляра к 1 февраля, а 2-го - к 1 апреля 1941 г.</w:t>
      </w:r>
    </w:p>
    <w:p w14:paraId="587C7B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заданию, максимальная скорость полета ОПБ на высоте 7000 м должна была быть 600 км/ч, посадочная скорость - 140 км/ч. Скоростная дальность полета - 900 км, предельная дальность - 1100 км. Время набора высоты 7000 м - не более 8,5 мин. Практический потолок 10500 м.</w:t>
      </w:r>
    </w:p>
    <w:p w14:paraId="3A97F6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должно было включать два синхронных крупнокалиберных пулемета БС, два синхронных пулемета ШКАС и бомбовой нагрузки в составе одной бомбы калибра 500 кг внутри фюзеляжа или двух бомб калибра 250 кг под крылом.</w:t>
      </w:r>
    </w:p>
    <w:p w14:paraId="72E656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Отметим, что планом работы конструкторского отдела № 17 завода № 156, которым руководил С.А.Кочеригин, предусматривалась разработка к 15 августа 1940 г. чертежей самолета ОПБ М-90 с нормальным капотом NACA, к 31 октября - ОПБ с мотором М-81 и к 31 декабря - ОПБ с мотором М-71 и с увеличенной механизацией крыла.</w:t>
      </w:r>
    </w:p>
    <w:p w14:paraId="0985BB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постройке ОПБ, несмотря на большой интерес к нему со стороны ВВС разворачивались очень и очень медленно, главным образом, из-за задержки с доводкой моторов М-90 и весьма сильной загрузки завода № 156 приоритетными программами ОТБ НКВД (9649).</w:t>
      </w:r>
    </w:p>
    <w:p w14:paraId="6A6A35F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7A51A4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года КО постановлением обязал Кочеригина и завод № 156 построить пикирующий бомбардировщик с мотором М-90 и предъявить его на госиспытания к 1 февраля 1941 года с максимальной скоростью 600 км/час (4049,28).</w:t>
      </w:r>
    </w:p>
    <w:p w14:paraId="63EEC01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594BC3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года в письме К.Е.Ворошилову Рычагов сообщил, что полигонные и войсковые испытания самолетов СБ и ДБ-3, оборудованных турелями МВ-3 и люковыми установками МВ-2 показали потерю скорости на 34-38 км.</w:t>
      </w:r>
    </w:p>
    <w:p w14:paraId="4AA108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ГУ ВВС отказывается от оборудования этих самолетов турелями МВ-3 и ЛУ-МВ-2 и Рычагов просит снять с обсуждения проголосованный членами КО проект постановления (3366,1).</w:t>
      </w:r>
    </w:p>
    <w:p w14:paraId="1EDF0DD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E2394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состоялось совещание Техсовета НКАП по вопросу оборудования самолетов антиобледенителями. Слушали (1252):</w:t>
      </w:r>
    </w:p>
    <w:p w14:paraId="6604DB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Доклад о химическом антиобледенителе НИИ ГВФ (Фейгельсон);</w:t>
      </w:r>
    </w:p>
    <w:p w14:paraId="636D3C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Доклад о работах ЦАГИ над термическими антиобледенителями (Зуев);</w:t>
      </w:r>
    </w:p>
    <w:p w14:paraId="70C103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Сообщение о немецких антиобледенителях (Баранов).</w:t>
      </w:r>
    </w:p>
    <w:p w14:paraId="37BA6A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Техсовет констатировал, что в настоящее время показал хорошие результаты, отработан и позволяет немедленное оборудование большого числа готовых самолетов антиобледенитель конструкции С.И.Фейгельсона (НИИ ГВФ), обеспечивающих защиту винтов, крыла, оперения (1252).</w:t>
      </w:r>
    </w:p>
    <w:p w14:paraId="05A299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Техсовет считает, что борьбы с обледенением должна быть комплексной и защита должна обеспечиваться для всех наиболее уязвимых частей - винта, крыла, оперения, козырька (1252).</w:t>
      </w:r>
    </w:p>
    <w:p w14:paraId="49E579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Постановили:</w:t>
      </w:r>
    </w:p>
    <w:p w14:paraId="0368F6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Считать необходимым оборудовать в текущем году 500 самолетов (250 СБ и 250 ДБ-3Ф устройством НИИ ГВФ Фейгельсона;</w:t>
      </w:r>
    </w:p>
    <w:p w14:paraId="6CBD92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Учитывая дефицитность кожи, используемой для изготовления антиобледенителей Фельгенсона просить Наркомат легкой промышленности оказать содействие и помощь в создании заменителей, удовлетворяющих условиям конструкции;</w:t>
      </w:r>
    </w:p>
    <w:p w14:paraId="3FBC8B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Поручить ЦАГИ совместно с заводами и привлеченным НИИ ГВФ форсировать разработку термического антиобледенителя (электрического или от выхлопных газов) и обязать ЦАГИ к 1 января дать решение задачи;</w:t>
      </w:r>
    </w:p>
    <w:p w14:paraId="3F2FC3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директоров и ГК заводов 22 по СБ, 39 по ДБ-3Ф, 135 по ББ-1 в четырехмесячный срок полностью оборудовать по два самолета термическими антиобледенителями и испытать их;</w:t>
      </w:r>
    </w:p>
    <w:p w14:paraId="266F95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Поручить ЦАГИ в 2 недельный срок составить полное ТО антиобледенителей английской и немецкой конструкции и подготовить комплект чертежей;</w:t>
      </w:r>
    </w:p>
    <w:p w14:paraId="21D2D5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Поставить перед Наркомлегпром задачу выпуска в 1940 опытной партии стекла для козырьков, армированного внутри электрообогревательной металлической сеткой для проверки возможности применения. Испытание поставить в НИИ ГВФ и ЦАГИ;</w:t>
      </w:r>
    </w:p>
    <w:p w14:paraId="30601A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Обязать конструкторов самолетов предусматривать в конструкции оборудование всех выпускаемых машин полным комплектом антиобледенительных устройств, отвечающих требованиям эксплуатации (1252).</w:t>
      </w:r>
    </w:p>
    <w:p w14:paraId="71DBAC6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37159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вышло постановление КО N 266сс о модификации ДБ-4 под 2АМ-37 (1633,217).</w:t>
      </w:r>
    </w:p>
    <w:p w14:paraId="7E80E0B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13AEF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вышел приказ 7 ГУ N 27:</w:t>
      </w:r>
    </w:p>
    <w:p w14:paraId="3CF0D2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проверки готовности опытного самолета ДБ-4 2АМ37 конструкции С.В.И. к 1 вылету назначить комиссию..." (2031,45).</w:t>
      </w:r>
    </w:p>
    <w:p w14:paraId="7DBF0B5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22C8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вышел приказ 7 ГУ НКАП N 27:</w:t>
      </w:r>
    </w:p>
    <w:p w14:paraId="42736D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проверки готовности опытного ДБ-4 2АМ-37 конструкции С.В.И. к 1 вылету назначаю комиссию..." (2506,45).</w:t>
      </w:r>
    </w:p>
    <w:p w14:paraId="614C441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5DCBB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в ходе доводок ДБ-240 после заводских испытаний, которые окончились 1 июля 1940, при посадке сломалась основная стойка шасси. Поэтому на гос. испытаниях ограничили летный вес. При весе более 13100 кг разрешали взлетать только с бетонной полосы длиной не менее 1000 м (3322,9).</w:t>
      </w:r>
    </w:p>
    <w:p w14:paraId="4014464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18EC356" w14:textId="77777777" w:rsidR="00AC0073" w:rsidRPr="00DB5D0D" w:rsidRDefault="00AC00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августа 1940 г. в приказе по Наркомату авиапромышленности №246сс говорилось: «…Оказать помощь заводу 240 ГУГВФ в постройке 3 опытных образцов самолета ДБ-240…». Т.е. НКАП лишь «помогает» делать новый самолет ведомству ГВФ и ответственности за возможную неудачу не несет. Семьдесят конструкторов ОКБ-240 подготовили эскизные проекты ДБ-240 с моторами М-106 и М-120. По результатам их защиты 20 августа 1939 года машину включили в план опытного строительства на 1940 год. Было задано получить скорость 500 км/ч на высоте 6000 м, потолок 11000 м и дальность 5000 км с тонной бомб. Когда сборка ДБ-240 №1 завершалась, оказалось, что завод №26 не сможет поставить ни моторы М-106, ни М-120 и предлагает взаимозаменяемые по креплению моторы М-105 мощностью всего 1050 л.с. На 2-й экземпляр Главный конструктор КБ-26 Климов обещал поставить 1500- сильные М-107, начать серийный выпуск которых он планировал в 1941 году (22833).</w:t>
      </w:r>
    </w:p>
    <w:p w14:paraId="4CE88339" w14:textId="77777777" w:rsidR="00AC0073" w:rsidRPr="00DB5D0D" w:rsidRDefault="00AC0073" w:rsidP="00DB5D0D">
      <w:pPr>
        <w:spacing w:after="0" w:line="240" w:lineRule="auto"/>
        <w:jc w:val="both"/>
        <w:rPr>
          <w:rFonts w:ascii="Times New Roman" w:hAnsi="Times New Roman"/>
          <w:color w:val="0070C0"/>
          <w:sz w:val="16"/>
          <w:szCs w:val="16"/>
        </w:rPr>
      </w:pPr>
    </w:p>
    <w:p w14:paraId="64D9BA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спец. комиссия произвела подсчет затрат на проектирование СПБ и установили, что было истрачено 33.330 млн. руб. (1365,7).</w:t>
      </w:r>
    </w:p>
    <w:p w14:paraId="0FCC52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Интересно, что есть фото машины в трубе ЦАГИ от 24 ноября 1940</w:t>
      </w:r>
    </w:p>
    <w:p w14:paraId="2C92F7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Известно, что Н.Н.П. предлагал поставить АМ-37, взять 4 стрелка, пересадить пилота вперед для облегчения пикирования. Решили ждать результатов продувок (1365,10).</w:t>
      </w:r>
    </w:p>
    <w:p w14:paraId="1D2E74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7 августа: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6804"/>
      </w:tblGrid>
      <w:tr w:rsidR="007D5DF8" w:rsidRPr="00DB5D0D" w14:paraId="492DD50F" w14:textId="77777777" w:rsidTr="00E543D0">
        <w:tc>
          <w:tcPr>
            <w:tcW w:w="3227" w:type="dxa"/>
            <w:tcBorders>
              <w:top w:val="single" w:sz="12" w:space="0" w:color="auto"/>
            </w:tcBorders>
          </w:tcPr>
          <w:p w14:paraId="1A4B1F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w:t>
            </w:r>
          </w:p>
        </w:tc>
        <w:tc>
          <w:tcPr>
            <w:tcW w:w="6804" w:type="dxa"/>
            <w:tcBorders>
              <w:top w:val="single" w:sz="12" w:space="0" w:color="auto"/>
            </w:tcBorders>
          </w:tcPr>
          <w:p w14:paraId="4F09E1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Использование</w:t>
            </w:r>
          </w:p>
        </w:tc>
      </w:tr>
      <w:tr w:rsidR="007D5DF8" w:rsidRPr="00DB5D0D" w14:paraId="75647A08" w14:textId="77777777" w:rsidTr="00E543D0">
        <w:tc>
          <w:tcPr>
            <w:tcW w:w="3227" w:type="dxa"/>
          </w:tcPr>
          <w:p w14:paraId="7E5379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Нулевая серия</w:t>
            </w:r>
          </w:p>
        </w:tc>
        <w:tc>
          <w:tcPr>
            <w:tcW w:w="6804" w:type="dxa"/>
          </w:tcPr>
          <w:p w14:paraId="636D5BB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E72798E" w14:textId="77777777" w:rsidTr="00E543D0">
        <w:tc>
          <w:tcPr>
            <w:tcW w:w="3227" w:type="dxa"/>
          </w:tcPr>
          <w:p w14:paraId="2AAA7D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1/0</w:t>
            </w:r>
          </w:p>
        </w:tc>
        <w:tc>
          <w:tcPr>
            <w:tcW w:w="6804" w:type="dxa"/>
          </w:tcPr>
          <w:p w14:paraId="698DC2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летала, готовилась к испытаниям в аэродинамической трубе</w:t>
            </w:r>
          </w:p>
        </w:tc>
      </w:tr>
      <w:tr w:rsidR="007D5DF8" w:rsidRPr="00DB5D0D" w14:paraId="6946A8CE" w14:textId="77777777" w:rsidTr="00E543D0">
        <w:tc>
          <w:tcPr>
            <w:tcW w:w="3227" w:type="dxa"/>
          </w:tcPr>
          <w:p w14:paraId="08AE2F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2/0</w:t>
            </w:r>
          </w:p>
        </w:tc>
        <w:tc>
          <w:tcPr>
            <w:tcW w:w="6804" w:type="dxa"/>
          </w:tcPr>
          <w:p w14:paraId="1D5F3A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летала, была готова к полетам</w:t>
            </w:r>
          </w:p>
        </w:tc>
      </w:tr>
      <w:tr w:rsidR="007D5DF8" w:rsidRPr="00DB5D0D" w14:paraId="2620E609" w14:textId="77777777" w:rsidTr="00E543D0">
        <w:tc>
          <w:tcPr>
            <w:tcW w:w="3227" w:type="dxa"/>
          </w:tcPr>
          <w:p w14:paraId="56C6E1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комплект агрегатов</w:t>
            </w:r>
          </w:p>
        </w:tc>
        <w:tc>
          <w:tcPr>
            <w:tcW w:w="6804" w:type="dxa"/>
          </w:tcPr>
          <w:p w14:paraId="26BFC6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передан на стат. Испытания</w:t>
            </w:r>
          </w:p>
        </w:tc>
      </w:tr>
      <w:tr w:rsidR="007D5DF8" w:rsidRPr="00DB5D0D" w14:paraId="599B545F" w14:textId="77777777" w:rsidTr="00E543D0">
        <w:tc>
          <w:tcPr>
            <w:tcW w:w="3227" w:type="dxa"/>
          </w:tcPr>
          <w:p w14:paraId="5725BF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Первая серия</w:t>
            </w:r>
          </w:p>
        </w:tc>
        <w:tc>
          <w:tcPr>
            <w:tcW w:w="6804" w:type="dxa"/>
          </w:tcPr>
          <w:p w14:paraId="5E2C03D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0F84915" w14:textId="77777777" w:rsidTr="00E543D0">
        <w:tc>
          <w:tcPr>
            <w:tcW w:w="3227" w:type="dxa"/>
          </w:tcPr>
          <w:p w14:paraId="3700AC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1/1</w:t>
            </w:r>
          </w:p>
        </w:tc>
        <w:tc>
          <w:tcPr>
            <w:tcW w:w="6804" w:type="dxa"/>
          </w:tcPr>
          <w:p w14:paraId="2FE5E1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летала, разбита в катастрофе л Липкина</w:t>
            </w:r>
          </w:p>
        </w:tc>
      </w:tr>
      <w:tr w:rsidR="007D5DF8" w:rsidRPr="00DB5D0D" w14:paraId="6E1C31C2" w14:textId="77777777" w:rsidTr="00E543D0">
        <w:tc>
          <w:tcPr>
            <w:tcW w:w="3227" w:type="dxa"/>
          </w:tcPr>
          <w:p w14:paraId="701860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2/1</w:t>
            </w:r>
          </w:p>
        </w:tc>
        <w:tc>
          <w:tcPr>
            <w:tcW w:w="6804" w:type="dxa"/>
          </w:tcPr>
          <w:p w14:paraId="72381F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летала, разбита в катастрофе л Головина</w:t>
            </w:r>
          </w:p>
        </w:tc>
      </w:tr>
      <w:tr w:rsidR="007D5DF8" w:rsidRPr="00DB5D0D" w14:paraId="10589C11" w14:textId="77777777" w:rsidTr="00E543D0">
        <w:tc>
          <w:tcPr>
            <w:tcW w:w="3227" w:type="dxa"/>
          </w:tcPr>
          <w:p w14:paraId="4AADC0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3/1</w:t>
            </w:r>
          </w:p>
        </w:tc>
        <w:tc>
          <w:tcPr>
            <w:tcW w:w="6804" w:type="dxa"/>
          </w:tcPr>
          <w:p w14:paraId="06B95E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летала, повреждена в аварии л Липкина, ремонт выполнен на 70%</w:t>
            </w:r>
          </w:p>
        </w:tc>
      </w:tr>
      <w:tr w:rsidR="007D5DF8" w:rsidRPr="00DB5D0D" w14:paraId="36836991" w14:textId="77777777" w:rsidTr="00E543D0">
        <w:tc>
          <w:tcPr>
            <w:tcW w:w="3227" w:type="dxa"/>
          </w:tcPr>
          <w:p w14:paraId="3267FF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4/1</w:t>
            </w:r>
          </w:p>
        </w:tc>
        <w:tc>
          <w:tcPr>
            <w:tcW w:w="6804" w:type="dxa"/>
          </w:tcPr>
          <w:p w14:paraId="5AB395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готова на 100%, ожидает сдачи в Техбюро</w:t>
            </w:r>
          </w:p>
        </w:tc>
      </w:tr>
      <w:tr w:rsidR="007D5DF8" w:rsidRPr="00DB5D0D" w14:paraId="72FDB648" w14:textId="77777777" w:rsidTr="00E543D0">
        <w:tc>
          <w:tcPr>
            <w:tcW w:w="3227" w:type="dxa"/>
          </w:tcPr>
          <w:p w14:paraId="6A75C2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5/1 с ТК-2</w:t>
            </w:r>
          </w:p>
        </w:tc>
        <w:tc>
          <w:tcPr>
            <w:tcW w:w="6804" w:type="dxa"/>
          </w:tcPr>
          <w:p w14:paraId="42B69E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стадии окончательной сборки, готовность 90%</w:t>
            </w:r>
          </w:p>
        </w:tc>
      </w:tr>
      <w:tr w:rsidR="007D5DF8" w:rsidRPr="00DB5D0D" w14:paraId="34A623C2" w14:textId="77777777" w:rsidTr="00E543D0">
        <w:tc>
          <w:tcPr>
            <w:tcW w:w="3227" w:type="dxa"/>
          </w:tcPr>
          <w:p w14:paraId="0A46E3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Вторая серия</w:t>
            </w:r>
          </w:p>
        </w:tc>
        <w:tc>
          <w:tcPr>
            <w:tcW w:w="6804" w:type="dxa"/>
          </w:tcPr>
          <w:p w14:paraId="5C9AAB2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C094559" w14:textId="77777777" w:rsidTr="00E543D0">
        <w:tc>
          <w:tcPr>
            <w:tcW w:w="3227" w:type="dxa"/>
          </w:tcPr>
          <w:p w14:paraId="64B6A2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w:t>
            </w:r>
          </w:p>
        </w:tc>
        <w:tc>
          <w:tcPr>
            <w:tcW w:w="6804" w:type="dxa"/>
          </w:tcPr>
          <w:p w14:paraId="4D8D2D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готова на 75%</w:t>
            </w:r>
          </w:p>
        </w:tc>
      </w:tr>
      <w:tr w:rsidR="007D5DF8" w:rsidRPr="00DB5D0D" w14:paraId="093C8BBF" w14:textId="77777777" w:rsidTr="00E543D0">
        <w:tc>
          <w:tcPr>
            <w:tcW w:w="3227" w:type="dxa"/>
          </w:tcPr>
          <w:p w14:paraId="4AB632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2/2</w:t>
            </w:r>
          </w:p>
        </w:tc>
        <w:tc>
          <w:tcPr>
            <w:tcW w:w="6804" w:type="dxa"/>
          </w:tcPr>
          <w:p w14:paraId="4ABE7F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готова на 60%</w:t>
            </w:r>
          </w:p>
        </w:tc>
      </w:tr>
      <w:tr w:rsidR="007D5DF8" w:rsidRPr="00DB5D0D" w14:paraId="31F5A3FC" w14:textId="77777777" w:rsidTr="00E543D0">
        <w:tc>
          <w:tcPr>
            <w:tcW w:w="3227" w:type="dxa"/>
          </w:tcPr>
          <w:p w14:paraId="72C9C9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3/2</w:t>
            </w:r>
          </w:p>
        </w:tc>
        <w:tc>
          <w:tcPr>
            <w:tcW w:w="6804" w:type="dxa"/>
          </w:tcPr>
          <w:p w14:paraId="42542A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готова на 75%</w:t>
            </w:r>
          </w:p>
        </w:tc>
      </w:tr>
      <w:tr w:rsidR="007D5DF8" w:rsidRPr="00DB5D0D" w14:paraId="1F2FD686" w14:textId="77777777" w:rsidTr="00E543D0">
        <w:tc>
          <w:tcPr>
            <w:tcW w:w="3227" w:type="dxa"/>
          </w:tcPr>
          <w:p w14:paraId="37A0C7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Третья серия</w:t>
            </w:r>
          </w:p>
        </w:tc>
        <w:tc>
          <w:tcPr>
            <w:tcW w:w="6804" w:type="dxa"/>
          </w:tcPr>
          <w:p w14:paraId="2E0F62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изготовлено 40% деталей для сборки</w:t>
            </w:r>
          </w:p>
        </w:tc>
      </w:tr>
      <w:tr w:rsidR="007D5DF8" w:rsidRPr="00DB5D0D" w14:paraId="0A6811D9" w14:textId="77777777" w:rsidTr="00E543D0">
        <w:tc>
          <w:tcPr>
            <w:tcW w:w="3227" w:type="dxa"/>
          </w:tcPr>
          <w:p w14:paraId="094586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Четвертая серия</w:t>
            </w:r>
          </w:p>
        </w:tc>
        <w:tc>
          <w:tcPr>
            <w:tcW w:w="6804" w:type="dxa"/>
          </w:tcPr>
          <w:p w14:paraId="4B43FD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начато изготовление деталей</w:t>
            </w:r>
          </w:p>
        </w:tc>
      </w:tr>
      <w:tr w:rsidR="007D5DF8" w:rsidRPr="00DB5D0D" w14:paraId="7A0793A9" w14:textId="77777777" w:rsidTr="00E543D0">
        <w:tc>
          <w:tcPr>
            <w:tcW w:w="3227" w:type="dxa"/>
            <w:tcBorders>
              <w:bottom w:val="single" w:sz="12" w:space="0" w:color="auto"/>
            </w:tcBorders>
          </w:tcPr>
          <w:p w14:paraId="55815B3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804" w:type="dxa"/>
            <w:tcBorders>
              <w:bottom w:val="single" w:sz="12" w:space="0" w:color="auto"/>
            </w:tcBorders>
          </w:tcPr>
          <w:p w14:paraId="5E944A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(4621, 16).</w:t>
            </w:r>
          </w:p>
        </w:tc>
      </w:tr>
    </w:tbl>
    <w:p w14:paraId="0FB8A2C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9493A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в ходе заводских испытаний И-200 А.И.М, которые проходили с 31 марта по 17 августа 1940, на И-200-2 был выполнен полет на определение скоростей по высотам и полет на скороподъемность с форсажем. Неудачно (2988).</w:t>
      </w:r>
    </w:p>
    <w:p w14:paraId="49545AA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42632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года ст. военпред ГУАС на заводе № 21 в/инженер 1 ранга Белоусов писал письмо № 786с начальнику 1 отдела НИИ ГУ ВВС в/инженеру 1 ранга Рудинцеву.</w:t>
      </w:r>
    </w:p>
    <w:p w14:paraId="0858FD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И-21 летные испытания продолжаются нормально. До 3 августа проведено всего 16 полетов.</w:t>
      </w:r>
    </w:p>
    <w:p w14:paraId="5900CB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испытанию на пилотаж приступают с 5 августа 1940 года (4644,16).</w:t>
      </w:r>
    </w:p>
    <w:p w14:paraId="0E9622F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0C8A5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директор завода 301 Эскин и парторг ЦК Ростовцев писали Секретарю ЦК Г.М.М. и НКАП А.И.Ш. Докладную записку о состоянии реализации постановления Правительство от 16 мая 1940 N 206сс по заводу 301 и изданных в развитие этого постановления приказов НКАП N 235сс и 305сс по постановке производства И-26. В незавершенном производстве было 35 условных машин, в т.ч. в сборочном цехе - 21 машина. Приходилось все время дорабатывать и перерабатывать чертежи. Встретили конструктивные трудности:</w:t>
      </w:r>
    </w:p>
    <w:p w14:paraId="1C846F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перегрев мотора при наборе высоты - т. масла доходит до 115 гр. - требовались радиаторы из 5 мм трубок,</w:t>
      </w:r>
    </w:p>
    <w:p w14:paraId="1FC430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военпред ГУАС КА требовал:</w:t>
      </w:r>
    </w:p>
    <w:p w14:paraId="44724B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установки рации</w:t>
      </w:r>
    </w:p>
    <w:p w14:paraId="6FB86C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установки подвесных баков</w:t>
      </w:r>
    </w:p>
    <w:p w14:paraId="112A49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установку фотокинопулемета</w:t>
      </w:r>
    </w:p>
    <w:p w14:paraId="1E5EF8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установку фары).</w:t>
      </w:r>
    </w:p>
    <w:p w14:paraId="3C6C25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приборной доски с подсветом</w:t>
      </w:r>
    </w:p>
    <w:p w14:paraId="1BDD7A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подвески бомб).</w:t>
      </w:r>
    </w:p>
    <w:p w14:paraId="1AA751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конструкции легкосъемного крыла. ГК принимал только на эталоне 1941... (1295,43).</w:t>
      </w:r>
    </w:p>
    <w:p w14:paraId="1FE5BF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EF65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7 августа 1940 ГКНКО была зарегистрирована Справка о состоянии строительства самолетных, моторных и агрегатных заводов НКАП</w:t>
      </w:r>
    </w:p>
    <w:p w14:paraId="3A031F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 346сс от 17 апреля 1940 “О реконструкции существующих и о строительстве новых самолетных заводов” КО при СНК обязал НКАП:</w:t>
      </w:r>
    </w:p>
    <w:p w14:paraId="24CAEB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Закончить к 1 июля 1941 г. строительство и реконструкцию следующих действующих авиационных заводов:</w:t>
      </w:r>
    </w:p>
    <w:p w14:paraId="17CB76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(Москва), № 18 (Воронеж), № 21 (Горькой), № 23 (Ленинград), № 22 (Москва), № 124 (Казань_, № 84 (Химки), № 30 (Подберезье), № 31 (Таганрог), № 39 (Москва), № 47 (Ленинград), № 81 (Москва), № 125 (Иркутск), № 126 (Комсомольск), № 135 (Харьков), № 153 (Новосибирск), № 301 (Химки), и № 292 (Саратов, бывш. Саркомбайн), доведя их общую мощность к 1 июля 1941 г., исходя из двухсменной работы, до 12450 бомбардировщиков, 12500 истребителей и 1500 разведчиков и штурмовиков (подробно по заводам см. приложение № 1).</w:t>
      </w:r>
    </w:p>
    <w:p w14:paraId="738A9A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Для увеличения мощностей по самолетостроению немедленно приступить к выбору площадок, изысканиям и проектированию следующих 9 самолетных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971"/>
        <w:gridCol w:w="2384"/>
        <w:gridCol w:w="1201"/>
        <w:gridCol w:w="1062"/>
        <w:gridCol w:w="2932"/>
      </w:tblGrid>
      <w:tr w:rsidR="007D5DF8" w:rsidRPr="00DB5D0D" w14:paraId="5D444B13" w14:textId="77777777" w:rsidTr="00E543D0">
        <w:tc>
          <w:tcPr>
            <w:tcW w:w="1908" w:type="dxa"/>
            <w:tcBorders>
              <w:top w:val="single" w:sz="12" w:space="0" w:color="auto"/>
            </w:tcBorders>
          </w:tcPr>
          <w:p w14:paraId="276439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завода</w:t>
            </w:r>
          </w:p>
        </w:tc>
        <w:tc>
          <w:tcPr>
            <w:tcW w:w="971" w:type="dxa"/>
            <w:tcBorders>
              <w:top w:val="single" w:sz="12" w:space="0" w:color="auto"/>
            </w:tcBorders>
          </w:tcPr>
          <w:p w14:paraId="4AEF57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w:t>
            </w:r>
          </w:p>
        </w:tc>
        <w:tc>
          <w:tcPr>
            <w:tcW w:w="2384" w:type="dxa"/>
            <w:tcBorders>
              <w:top w:val="single" w:sz="12" w:space="0" w:color="auto"/>
            </w:tcBorders>
          </w:tcPr>
          <w:p w14:paraId="5AEBD8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Типы самолетов</w:t>
            </w:r>
          </w:p>
        </w:tc>
        <w:tc>
          <w:tcPr>
            <w:tcW w:w="1201" w:type="dxa"/>
            <w:tcBorders>
              <w:top w:val="single" w:sz="12" w:space="0" w:color="auto"/>
            </w:tcBorders>
          </w:tcPr>
          <w:p w14:paraId="24E26D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сдачи в эксплуатацию</w:t>
            </w:r>
          </w:p>
        </w:tc>
        <w:tc>
          <w:tcPr>
            <w:tcW w:w="1062" w:type="dxa"/>
            <w:tcBorders>
              <w:top w:val="single" w:sz="12" w:space="0" w:color="auto"/>
            </w:tcBorders>
          </w:tcPr>
          <w:p w14:paraId="1D9C59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Капвлождения в 1940</w:t>
            </w:r>
          </w:p>
        </w:tc>
        <w:tc>
          <w:tcPr>
            <w:tcW w:w="2932" w:type="dxa"/>
            <w:tcBorders>
              <w:top w:val="single" w:sz="12" w:space="0" w:color="auto"/>
            </w:tcBorders>
          </w:tcPr>
          <w:p w14:paraId="123383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 на 24 июля 1940</w:t>
            </w:r>
          </w:p>
        </w:tc>
      </w:tr>
      <w:tr w:rsidR="007D5DF8" w:rsidRPr="00DB5D0D" w14:paraId="2DE10EEC" w14:textId="77777777" w:rsidTr="00E543D0">
        <w:tc>
          <w:tcPr>
            <w:tcW w:w="1908" w:type="dxa"/>
          </w:tcPr>
          <w:p w14:paraId="2000F7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 (Сталининград)</w:t>
            </w:r>
          </w:p>
        </w:tc>
        <w:tc>
          <w:tcPr>
            <w:tcW w:w="971" w:type="dxa"/>
          </w:tcPr>
          <w:p w14:paraId="6015CE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2384" w:type="dxa"/>
          </w:tcPr>
          <w:p w14:paraId="3F9B69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Ближний бомбардировщик</w:t>
            </w:r>
          </w:p>
        </w:tc>
        <w:tc>
          <w:tcPr>
            <w:tcW w:w="1201" w:type="dxa"/>
          </w:tcPr>
          <w:p w14:paraId="481EF2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01.01.42 г.</w:t>
            </w:r>
          </w:p>
        </w:tc>
        <w:tc>
          <w:tcPr>
            <w:tcW w:w="1062" w:type="dxa"/>
          </w:tcPr>
          <w:p w14:paraId="6659AF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млн.</w:t>
            </w:r>
          </w:p>
        </w:tc>
        <w:tc>
          <w:tcPr>
            <w:tcW w:w="2932" w:type="dxa"/>
          </w:tcPr>
          <w:p w14:paraId="19AA1B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еще не закончен</w:t>
            </w:r>
          </w:p>
        </w:tc>
      </w:tr>
      <w:tr w:rsidR="007D5DF8" w:rsidRPr="00DB5D0D" w14:paraId="7C6A26D1" w14:textId="77777777" w:rsidTr="00E543D0">
        <w:tc>
          <w:tcPr>
            <w:tcW w:w="1908" w:type="dxa"/>
          </w:tcPr>
          <w:p w14:paraId="2E0646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 (Балашев)</w:t>
            </w:r>
          </w:p>
        </w:tc>
        <w:tc>
          <w:tcPr>
            <w:tcW w:w="971" w:type="dxa"/>
          </w:tcPr>
          <w:p w14:paraId="41C9BE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2384" w:type="dxa"/>
          </w:tcPr>
          <w:p w14:paraId="7398B0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Легкий бомбардировщик</w:t>
            </w:r>
          </w:p>
        </w:tc>
        <w:tc>
          <w:tcPr>
            <w:tcW w:w="1201" w:type="dxa"/>
          </w:tcPr>
          <w:p w14:paraId="43BED4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01.10.42 г.</w:t>
            </w:r>
          </w:p>
        </w:tc>
        <w:tc>
          <w:tcPr>
            <w:tcW w:w="1062" w:type="dxa"/>
          </w:tcPr>
          <w:p w14:paraId="0ADFDC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млн.</w:t>
            </w:r>
          </w:p>
        </w:tc>
        <w:tc>
          <w:tcPr>
            <w:tcW w:w="2932" w:type="dxa"/>
          </w:tcPr>
          <w:p w14:paraId="4923C5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еще не закончен</w:t>
            </w:r>
          </w:p>
        </w:tc>
      </w:tr>
      <w:tr w:rsidR="007D5DF8" w:rsidRPr="00DB5D0D" w14:paraId="060D3824" w14:textId="77777777" w:rsidTr="00E543D0">
        <w:tc>
          <w:tcPr>
            <w:tcW w:w="1908" w:type="dxa"/>
          </w:tcPr>
          <w:p w14:paraId="0F600B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 (Куйбышев)</w:t>
            </w:r>
          </w:p>
        </w:tc>
        <w:tc>
          <w:tcPr>
            <w:tcW w:w="971" w:type="dxa"/>
          </w:tcPr>
          <w:p w14:paraId="72B826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2384" w:type="dxa"/>
          </w:tcPr>
          <w:p w14:paraId="1DAD9E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Дальний бомбардировщик</w:t>
            </w:r>
          </w:p>
        </w:tc>
        <w:tc>
          <w:tcPr>
            <w:tcW w:w="1201" w:type="dxa"/>
          </w:tcPr>
          <w:p w14:paraId="28B731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01.01.42 г.</w:t>
            </w:r>
          </w:p>
        </w:tc>
        <w:tc>
          <w:tcPr>
            <w:tcW w:w="1062" w:type="dxa"/>
          </w:tcPr>
          <w:p w14:paraId="16F7E2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млн.</w:t>
            </w:r>
          </w:p>
        </w:tc>
        <w:tc>
          <w:tcPr>
            <w:tcW w:w="2932" w:type="dxa"/>
          </w:tcPr>
          <w:p w14:paraId="3EBA24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еще не закончен</w:t>
            </w:r>
          </w:p>
        </w:tc>
      </w:tr>
      <w:tr w:rsidR="007D5DF8" w:rsidRPr="00DB5D0D" w14:paraId="2307C978" w14:textId="77777777" w:rsidTr="00E543D0">
        <w:tc>
          <w:tcPr>
            <w:tcW w:w="1908" w:type="dxa"/>
          </w:tcPr>
          <w:p w14:paraId="442F79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 (Ульяновск)</w:t>
            </w:r>
          </w:p>
        </w:tc>
        <w:tc>
          <w:tcPr>
            <w:tcW w:w="971" w:type="dxa"/>
          </w:tcPr>
          <w:p w14:paraId="6C6239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2384" w:type="dxa"/>
          </w:tcPr>
          <w:p w14:paraId="0F3A0C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Скоростной бомбардировщик</w:t>
            </w:r>
          </w:p>
        </w:tc>
        <w:tc>
          <w:tcPr>
            <w:tcW w:w="1201" w:type="dxa"/>
          </w:tcPr>
          <w:p w14:paraId="410A37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01.10.42 г.</w:t>
            </w:r>
          </w:p>
        </w:tc>
        <w:tc>
          <w:tcPr>
            <w:tcW w:w="1062" w:type="dxa"/>
          </w:tcPr>
          <w:p w14:paraId="400386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 млн.</w:t>
            </w:r>
          </w:p>
        </w:tc>
        <w:tc>
          <w:tcPr>
            <w:tcW w:w="2932" w:type="dxa"/>
          </w:tcPr>
          <w:p w14:paraId="624242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Идут подготовительные работы, строятся жилые дома и временные сооружения</w:t>
            </w:r>
          </w:p>
        </w:tc>
      </w:tr>
      <w:tr w:rsidR="007D5DF8" w:rsidRPr="00DB5D0D" w14:paraId="6898E186" w14:textId="77777777" w:rsidTr="00E543D0">
        <w:tc>
          <w:tcPr>
            <w:tcW w:w="1908" w:type="dxa"/>
          </w:tcPr>
          <w:p w14:paraId="7CC8D4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 (Каменск)</w:t>
            </w:r>
          </w:p>
        </w:tc>
        <w:tc>
          <w:tcPr>
            <w:tcW w:w="971" w:type="dxa"/>
          </w:tcPr>
          <w:p w14:paraId="3F9BEF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2384" w:type="dxa"/>
          </w:tcPr>
          <w:p w14:paraId="5C4265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w:t>
            </w:r>
          </w:p>
        </w:tc>
        <w:tc>
          <w:tcPr>
            <w:tcW w:w="1201" w:type="dxa"/>
          </w:tcPr>
          <w:p w14:paraId="7A2E08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01.01.42 г.</w:t>
            </w:r>
          </w:p>
        </w:tc>
        <w:tc>
          <w:tcPr>
            <w:tcW w:w="1062" w:type="dxa"/>
          </w:tcPr>
          <w:p w14:paraId="53130B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млн.</w:t>
            </w:r>
          </w:p>
        </w:tc>
        <w:tc>
          <w:tcPr>
            <w:tcW w:w="2932" w:type="dxa"/>
          </w:tcPr>
          <w:p w14:paraId="1C9A5A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Идут подготовительные работы</w:t>
            </w:r>
          </w:p>
        </w:tc>
      </w:tr>
      <w:tr w:rsidR="007D5DF8" w:rsidRPr="00DB5D0D" w14:paraId="2ABD1113" w14:textId="77777777" w:rsidTr="00E543D0">
        <w:tc>
          <w:tcPr>
            <w:tcW w:w="1908" w:type="dxa"/>
          </w:tcPr>
          <w:p w14:paraId="4C10C7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 (Ртищево-Аткарск)</w:t>
            </w:r>
          </w:p>
        </w:tc>
        <w:tc>
          <w:tcPr>
            <w:tcW w:w="971" w:type="dxa"/>
          </w:tcPr>
          <w:p w14:paraId="3AB2AF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2384" w:type="dxa"/>
          </w:tcPr>
          <w:p w14:paraId="73FFA1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w:t>
            </w:r>
          </w:p>
        </w:tc>
        <w:tc>
          <w:tcPr>
            <w:tcW w:w="1201" w:type="dxa"/>
          </w:tcPr>
          <w:p w14:paraId="30D2C7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01.01.42 г.</w:t>
            </w:r>
          </w:p>
        </w:tc>
        <w:tc>
          <w:tcPr>
            <w:tcW w:w="1062" w:type="dxa"/>
          </w:tcPr>
          <w:p w14:paraId="214871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млн.</w:t>
            </w:r>
          </w:p>
        </w:tc>
        <w:tc>
          <w:tcPr>
            <w:tcW w:w="2932" w:type="dxa"/>
          </w:tcPr>
          <w:p w14:paraId="732698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еще не закончен</w:t>
            </w:r>
          </w:p>
        </w:tc>
      </w:tr>
      <w:tr w:rsidR="007D5DF8" w:rsidRPr="00DB5D0D" w14:paraId="1C44BE68" w14:textId="77777777" w:rsidTr="00E543D0">
        <w:tc>
          <w:tcPr>
            <w:tcW w:w="1908" w:type="dxa"/>
          </w:tcPr>
          <w:p w14:paraId="3244DE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 (Улан-Уде)</w:t>
            </w:r>
          </w:p>
        </w:tc>
        <w:tc>
          <w:tcPr>
            <w:tcW w:w="971" w:type="dxa"/>
          </w:tcPr>
          <w:p w14:paraId="170910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2384" w:type="dxa"/>
          </w:tcPr>
          <w:p w14:paraId="51CC65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w:t>
            </w:r>
          </w:p>
        </w:tc>
        <w:tc>
          <w:tcPr>
            <w:tcW w:w="1201" w:type="dxa"/>
          </w:tcPr>
          <w:p w14:paraId="295D25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01.10.41 г.</w:t>
            </w:r>
          </w:p>
        </w:tc>
        <w:tc>
          <w:tcPr>
            <w:tcW w:w="1062" w:type="dxa"/>
          </w:tcPr>
          <w:p w14:paraId="7581E8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млн.</w:t>
            </w:r>
          </w:p>
        </w:tc>
        <w:tc>
          <w:tcPr>
            <w:tcW w:w="2932" w:type="dxa"/>
          </w:tcPr>
          <w:p w14:paraId="13C8DF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еще не закончен</w:t>
            </w:r>
          </w:p>
        </w:tc>
      </w:tr>
      <w:tr w:rsidR="007D5DF8" w:rsidRPr="00DB5D0D" w14:paraId="63F7A272" w14:textId="77777777" w:rsidTr="00E543D0">
        <w:tc>
          <w:tcPr>
            <w:tcW w:w="1908" w:type="dxa"/>
          </w:tcPr>
          <w:p w14:paraId="14494D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 (Комсомольск)</w:t>
            </w:r>
          </w:p>
        </w:tc>
        <w:tc>
          <w:tcPr>
            <w:tcW w:w="971" w:type="dxa"/>
          </w:tcPr>
          <w:p w14:paraId="5B360B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2384" w:type="dxa"/>
          </w:tcPr>
          <w:p w14:paraId="435ED1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w:t>
            </w:r>
          </w:p>
        </w:tc>
        <w:tc>
          <w:tcPr>
            <w:tcW w:w="1201" w:type="dxa"/>
          </w:tcPr>
          <w:p w14:paraId="27AAC3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01.07.41 г.</w:t>
            </w:r>
          </w:p>
        </w:tc>
        <w:tc>
          <w:tcPr>
            <w:tcW w:w="1062" w:type="dxa"/>
          </w:tcPr>
          <w:p w14:paraId="5D1FE6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млн.</w:t>
            </w:r>
          </w:p>
        </w:tc>
        <w:tc>
          <w:tcPr>
            <w:tcW w:w="2932" w:type="dxa"/>
          </w:tcPr>
          <w:p w14:paraId="2BE750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Идут подготовительные работы к строительству основного цеха</w:t>
            </w:r>
          </w:p>
        </w:tc>
      </w:tr>
      <w:tr w:rsidR="007D5DF8" w:rsidRPr="00DB5D0D" w14:paraId="6FF7A722" w14:textId="77777777" w:rsidTr="00E543D0">
        <w:tc>
          <w:tcPr>
            <w:tcW w:w="1908" w:type="dxa"/>
            <w:tcBorders>
              <w:bottom w:val="single" w:sz="12" w:space="0" w:color="auto"/>
            </w:tcBorders>
          </w:tcPr>
          <w:p w14:paraId="2E1FDC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 (Кутаиси)</w:t>
            </w:r>
          </w:p>
        </w:tc>
        <w:tc>
          <w:tcPr>
            <w:tcW w:w="971" w:type="dxa"/>
            <w:tcBorders>
              <w:bottom w:val="single" w:sz="12" w:space="0" w:color="auto"/>
            </w:tcBorders>
          </w:tcPr>
          <w:p w14:paraId="175873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2384" w:type="dxa"/>
            <w:tcBorders>
              <w:bottom w:val="single" w:sz="12" w:space="0" w:color="auto"/>
            </w:tcBorders>
          </w:tcPr>
          <w:p w14:paraId="374771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Транспортный</w:t>
            </w:r>
          </w:p>
        </w:tc>
        <w:tc>
          <w:tcPr>
            <w:tcW w:w="1201" w:type="dxa"/>
            <w:tcBorders>
              <w:bottom w:val="single" w:sz="12" w:space="0" w:color="auto"/>
            </w:tcBorders>
          </w:tcPr>
          <w:p w14:paraId="4AEA25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01.01.42 г.</w:t>
            </w:r>
          </w:p>
        </w:tc>
        <w:tc>
          <w:tcPr>
            <w:tcW w:w="1062" w:type="dxa"/>
            <w:tcBorders>
              <w:bottom w:val="single" w:sz="12" w:space="0" w:color="auto"/>
            </w:tcBorders>
          </w:tcPr>
          <w:p w14:paraId="13B822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млн.</w:t>
            </w:r>
          </w:p>
        </w:tc>
        <w:tc>
          <w:tcPr>
            <w:tcW w:w="2932" w:type="dxa"/>
            <w:tcBorders>
              <w:bottom w:val="single" w:sz="12" w:space="0" w:color="auto"/>
            </w:tcBorders>
          </w:tcPr>
          <w:p w14:paraId="1A05EA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сентябре приступят к строительству основных цехов</w:t>
            </w:r>
          </w:p>
        </w:tc>
      </w:tr>
    </w:tbl>
    <w:p w14:paraId="0AD3AB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этих заводов возложено на Наркомстрой.</w:t>
      </w:r>
    </w:p>
    <w:p w14:paraId="7555FA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Довести мощность завода № 207 (ст. Долгопрудная) до 1000 истребителей в год к 01.07.41 г.</w:t>
      </w:r>
    </w:p>
    <w:p w14:paraId="7E79AB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Авиамоторные заводы</w:t>
      </w:r>
    </w:p>
    <w:p w14:paraId="1CA68B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 154сс от 11.У1-1939 г. "О развитии авиамоторных заводов НКАП", Комитет обороны при СНК Союза ССР обязал НКАП:</w:t>
      </w:r>
    </w:p>
    <w:p w14:paraId="3C37BD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Закончить в течение 1939-40 г.г, строительство я реконструкцию действующих моторных заводов:</w:t>
      </w:r>
    </w:p>
    <w:p w14:paraId="417884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19 (Молот</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ов), № 24 (Москва), № 26 (Рыбинск), № 29 (Запорожье) и № 16 (Воронеж).</w:t>
      </w:r>
    </w:p>
    <w:p w14:paraId="478818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этой реконструкции общая мощность моторных заводов к 01.01.41 года должна была составить 62000 моторов в год (подробно по заводам см. приложение № 2).</w:t>
      </w:r>
    </w:p>
    <w:p w14:paraId="4B30272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3акончить строительство завода № 27 (Казань) и ввести его в эксплоатацию в 1940 году с мощностью в 6000 моторов М-105.</w:t>
      </w:r>
    </w:p>
    <w:p w14:paraId="115A66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Для обеспечения недостащего количества моторов немедленно при</w:t>
      </w:r>
      <w:r w:rsidRPr="00DB5D0D">
        <w:rPr>
          <w:rFonts w:ascii="Times New Roman" w:hAnsi="Times New Roman"/>
          <w:color w:val="000000" w:themeColor="text1"/>
          <w:sz w:val="16"/>
          <w:szCs w:val="16"/>
        </w:rPr>
        <w:softHyphen/>
        <w:t>ступить к изыскательным работам и строительству следующих шести новых моторных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98"/>
        <w:gridCol w:w="1350"/>
        <w:gridCol w:w="1530"/>
        <w:gridCol w:w="1440"/>
        <w:gridCol w:w="4140"/>
      </w:tblGrid>
      <w:tr w:rsidR="007D5DF8" w:rsidRPr="00DB5D0D" w14:paraId="1E992809" w14:textId="77777777" w:rsidTr="00E543D0">
        <w:tc>
          <w:tcPr>
            <w:tcW w:w="1998" w:type="dxa"/>
            <w:tcBorders>
              <w:top w:val="single" w:sz="12" w:space="0" w:color="auto"/>
            </w:tcBorders>
          </w:tcPr>
          <w:p w14:paraId="5408B4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Название завода</w:t>
            </w:r>
          </w:p>
        </w:tc>
        <w:tc>
          <w:tcPr>
            <w:tcW w:w="1350" w:type="dxa"/>
            <w:tcBorders>
              <w:top w:val="single" w:sz="12" w:space="0" w:color="auto"/>
            </w:tcBorders>
          </w:tcPr>
          <w:p w14:paraId="6D0BB3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w:t>
            </w:r>
          </w:p>
        </w:tc>
        <w:tc>
          <w:tcPr>
            <w:tcW w:w="1530" w:type="dxa"/>
            <w:tcBorders>
              <w:top w:val="single" w:sz="12" w:space="0" w:color="auto"/>
            </w:tcBorders>
          </w:tcPr>
          <w:p w14:paraId="74E19A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мотора</w:t>
            </w:r>
          </w:p>
        </w:tc>
        <w:tc>
          <w:tcPr>
            <w:tcW w:w="1440" w:type="dxa"/>
            <w:tcBorders>
              <w:top w:val="single" w:sz="12" w:space="0" w:color="auto"/>
            </w:tcBorders>
          </w:tcPr>
          <w:p w14:paraId="0DF695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Капвложения в 1940 г.</w:t>
            </w:r>
          </w:p>
        </w:tc>
        <w:tc>
          <w:tcPr>
            <w:tcW w:w="4140" w:type="dxa"/>
            <w:tcBorders>
              <w:top w:val="single" w:sz="12" w:space="0" w:color="auto"/>
            </w:tcBorders>
          </w:tcPr>
          <w:p w14:paraId="47CD00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строительства на 24 июля 1940</w:t>
            </w:r>
          </w:p>
        </w:tc>
      </w:tr>
      <w:tr w:rsidR="007D5DF8" w:rsidRPr="00DB5D0D" w14:paraId="764E741D" w14:textId="77777777" w:rsidTr="00E543D0">
        <w:tc>
          <w:tcPr>
            <w:tcW w:w="1998" w:type="dxa"/>
          </w:tcPr>
          <w:p w14:paraId="74A1AC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333 (Комсомольск)</w:t>
            </w:r>
          </w:p>
        </w:tc>
        <w:tc>
          <w:tcPr>
            <w:tcW w:w="1350" w:type="dxa"/>
          </w:tcPr>
          <w:p w14:paraId="79664B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530" w:type="dxa"/>
          </w:tcPr>
          <w:p w14:paraId="647BE3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1440" w:type="dxa"/>
          </w:tcPr>
          <w:p w14:paraId="7FC2FB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млн.</w:t>
            </w:r>
          </w:p>
        </w:tc>
        <w:tc>
          <w:tcPr>
            <w:tcW w:w="4140" w:type="dxa"/>
          </w:tcPr>
          <w:p w14:paraId="7645FE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Развернуты подготовительные работы - строятся временные сооружения</w:t>
            </w:r>
          </w:p>
        </w:tc>
      </w:tr>
      <w:tr w:rsidR="007D5DF8" w:rsidRPr="00DB5D0D" w14:paraId="7F2C7319" w14:textId="77777777" w:rsidTr="00E543D0">
        <w:tc>
          <w:tcPr>
            <w:tcW w:w="1998" w:type="dxa"/>
          </w:tcPr>
          <w:p w14:paraId="3AC980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334 (Иркутск)</w:t>
            </w:r>
          </w:p>
        </w:tc>
        <w:tc>
          <w:tcPr>
            <w:tcW w:w="1350" w:type="dxa"/>
          </w:tcPr>
          <w:p w14:paraId="5F41AA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530" w:type="dxa"/>
          </w:tcPr>
          <w:p w14:paraId="753F19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1440" w:type="dxa"/>
          </w:tcPr>
          <w:p w14:paraId="10BB86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млн.</w:t>
            </w:r>
          </w:p>
        </w:tc>
        <w:tc>
          <w:tcPr>
            <w:tcW w:w="4140" w:type="dxa"/>
          </w:tcPr>
          <w:p w14:paraId="051484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Заканчивается проект завода</w:t>
            </w:r>
          </w:p>
        </w:tc>
      </w:tr>
      <w:tr w:rsidR="007D5DF8" w:rsidRPr="00DB5D0D" w14:paraId="5372E8ED" w14:textId="77777777" w:rsidTr="00E543D0">
        <w:tc>
          <w:tcPr>
            <w:tcW w:w="1998" w:type="dxa"/>
          </w:tcPr>
          <w:p w14:paraId="67487A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335 (Новосибирск)</w:t>
            </w:r>
          </w:p>
        </w:tc>
        <w:tc>
          <w:tcPr>
            <w:tcW w:w="1350" w:type="dxa"/>
          </w:tcPr>
          <w:p w14:paraId="628884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530" w:type="dxa"/>
          </w:tcPr>
          <w:p w14:paraId="2A6192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1440" w:type="dxa"/>
          </w:tcPr>
          <w:p w14:paraId="7C402C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 млн.</w:t>
            </w:r>
          </w:p>
        </w:tc>
        <w:tc>
          <w:tcPr>
            <w:tcW w:w="4140" w:type="dxa"/>
          </w:tcPr>
          <w:p w14:paraId="44F704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Идут подготовительные работы к строительству основных цехов</w:t>
            </w:r>
          </w:p>
        </w:tc>
      </w:tr>
      <w:tr w:rsidR="007D5DF8" w:rsidRPr="00DB5D0D" w14:paraId="5B4FED59" w14:textId="77777777" w:rsidTr="00E543D0">
        <w:tc>
          <w:tcPr>
            <w:tcW w:w="1998" w:type="dxa"/>
          </w:tcPr>
          <w:p w14:paraId="7A5E9F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336 (Саратов)</w:t>
            </w:r>
          </w:p>
        </w:tc>
        <w:tc>
          <w:tcPr>
            <w:tcW w:w="1350" w:type="dxa"/>
          </w:tcPr>
          <w:p w14:paraId="1B1C64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530" w:type="dxa"/>
          </w:tcPr>
          <w:p w14:paraId="2B55DD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1440" w:type="dxa"/>
          </w:tcPr>
          <w:p w14:paraId="182637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 млн.</w:t>
            </w:r>
          </w:p>
        </w:tc>
        <w:tc>
          <w:tcPr>
            <w:tcW w:w="4140" w:type="dxa"/>
          </w:tcPr>
          <w:p w14:paraId="0D3C3F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Строятся временные сооружения и жилье для строителей</w:t>
            </w:r>
          </w:p>
        </w:tc>
      </w:tr>
      <w:tr w:rsidR="007D5DF8" w:rsidRPr="00DB5D0D" w14:paraId="1A452B8C" w14:textId="77777777" w:rsidTr="00E543D0">
        <w:tc>
          <w:tcPr>
            <w:tcW w:w="1998" w:type="dxa"/>
          </w:tcPr>
          <w:p w14:paraId="245146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337 (Куйбышев)</w:t>
            </w:r>
          </w:p>
        </w:tc>
        <w:tc>
          <w:tcPr>
            <w:tcW w:w="1350" w:type="dxa"/>
          </w:tcPr>
          <w:p w14:paraId="5D1AB2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530" w:type="dxa"/>
          </w:tcPr>
          <w:p w14:paraId="644013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1440" w:type="dxa"/>
          </w:tcPr>
          <w:p w14:paraId="0940A3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млн.</w:t>
            </w:r>
          </w:p>
        </w:tc>
        <w:tc>
          <w:tcPr>
            <w:tcW w:w="4140" w:type="dxa"/>
          </w:tcPr>
          <w:p w14:paraId="0FC882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еще не окончен</w:t>
            </w:r>
          </w:p>
        </w:tc>
      </w:tr>
      <w:tr w:rsidR="007D5DF8" w:rsidRPr="00DB5D0D" w14:paraId="39B6E331" w14:textId="77777777" w:rsidTr="00E543D0">
        <w:tc>
          <w:tcPr>
            <w:tcW w:w="1998" w:type="dxa"/>
            <w:tcBorders>
              <w:bottom w:val="single" w:sz="12" w:space="0" w:color="auto"/>
            </w:tcBorders>
          </w:tcPr>
          <w:p w14:paraId="6AA468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338 (Уфа)</w:t>
            </w:r>
          </w:p>
        </w:tc>
        <w:tc>
          <w:tcPr>
            <w:tcW w:w="1350" w:type="dxa"/>
            <w:tcBorders>
              <w:bottom w:val="single" w:sz="12" w:space="0" w:color="auto"/>
            </w:tcBorders>
          </w:tcPr>
          <w:p w14:paraId="40597E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530" w:type="dxa"/>
            <w:tcBorders>
              <w:bottom w:val="single" w:sz="12" w:space="0" w:color="auto"/>
            </w:tcBorders>
          </w:tcPr>
          <w:p w14:paraId="444FFB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1440" w:type="dxa"/>
            <w:tcBorders>
              <w:bottom w:val="single" w:sz="12" w:space="0" w:color="auto"/>
            </w:tcBorders>
          </w:tcPr>
          <w:p w14:paraId="4B6338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 млн.</w:t>
            </w:r>
          </w:p>
        </w:tc>
        <w:tc>
          <w:tcPr>
            <w:tcW w:w="4140" w:type="dxa"/>
            <w:tcBorders>
              <w:bottom w:val="single" w:sz="12" w:space="0" w:color="auto"/>
            </w:tcBorders>
          </w:tcPr>
          <w:p w14:paraId="388AA3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Начато строительство основного цеха</w:t>
            </w:r>
          </w:p>
        </w:tc>
      </w:tr>
    </w:tbl>
    <w:p w14:paraId="3836AE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окончания строительства этих заводов постановлением КО не определены.</w:t>
      </w:r>
    </w:p>
    <w:p w14:paraId="24D0A3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Распоряжением К.О. от 3.1У-40 г. за подписью тов. Вознесенского Н.А. установлены следующие сроки утверждения НКАПом технических проектов и генсмет новых заводов:</w:t>
      </w:r>
    </w:p>
    <w:p w14:paraId="73104D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333 (Комсомольск) - 15 декабря 1940 года</w:t>
      </w:r>
    </w:p>
    <w:p w14:paraId="536B16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334 (Иркутск) - 15 декабря 1940 года</w:t>
      </w:r>
    </w:p>
    <w:p w14:paraId="4E4F97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335 (Новосибирск) - 1 октября 1940 года</w:t>
      </w:r>
    </w:p>
    <w:p w14:paraId="5E74A7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336 (Саратов) - 1 октября 1940 года</w:t>
      </w:r>
    </w:p>
    <w:p w14:paraId="3C4220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337 (Куйбышев) - 15 декабря 1940 года</w:t>
      </w:r>
    </w:p>
    <w:p w14:paraId="4FD5EF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 по этим заводам см. приложение № 3</w:t>
      </w:r>
    </w:p>
    <w:p w14:paraId="5D48E6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Агрегатные заводы.</w:t>
      </w:r>
    </w:p>
    <w:p w14:paraId="50C0DF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Постановлением К.О. (№104сс 1939 г.) оформлено строительство двух агрегатных заводов НКАП:</w:t>
      </w:r>
    </w:p>
    <w:p w14:paraId="1250C0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агрегатов вооружения № 315 (г. Киров) дублер з-да № 32</w:t>
      </w:r>
    </w:p>
    <w:p w14:paraId="3F04BF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самопусков, дублер завода № 132 (г. Сарапул).</w:t>
      </w:r>
    </w:p>
    <w:p w14:paraId="34390E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Распоряжением К.О. от З.У1-40 г. за подписью тов. Вознесенского Н.А. Наркомавиапрому было предложено утвердить техпроекты и генсметы па строительство следующих новых агрегатных заводов:</w:t>
      </w:r>
    </w:p>
    <w:p w14:paraId="0BEC7F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спецпрокладок № 307 (Ржев)</w:t>
      </w:r>
    </w:p>
    <w:p w14:paraId="0AE2AD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свечей а магнето № 306 (Саратов)</w:t>
      </w:r>
    </w:p>
    <w:p w14:paraId="35214D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моторных агрегатов, дублер з-да № 20 (Ульяновск)</w:t>
      </w:r>
    </w:p>
    <w:p w14:paraId="59AA18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приспособлений, дублер зазода № 25 (точка не выбрана)</w:t>
      </w:r>
    </w:p>
    <w:p w14:paraId="6D7DE2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радиаторов, дублер зазода № 34 (Ульяновск)</w:t>
      </w:r>
    </w:p>
    <w:p w14:paraId="116AD2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карбюраторов, дублер зазода № 33 (Куйбышев)</w:t>
      </w:r>
    </w:p>
    <w:p w14:paraId="4A1D97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самолетных колес, дублэр завода № 120 (г. Каменск)</w:t>
      </w:r>
    </w:p>
    <w:p w14:paraId="6C4D40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генераторов, дублер завода № 266 (Уфа)</w:t>
      </w:r>
    </w:p>
    <w:p w14:paraId="6AA464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план капстроитэлоства НКАП на 1940 г., утвержденный посталовлением ЦК ВКП(б) и СНК СССР от 17.12-39 г. все эти заводы включены как новые стройки.</w:t>
      </w:r>
    </w:p>
    <w:p w14:paraId="3FAE89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строительства харахтеризуется следующей таблицей: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68"/>
        <w:gridCol w:w="1530"/>
        <w:gridCol w:w="1710"/>
        <w:gridCol w:w="3690"/>
      </w:tblGrid>
      <w:tr w:rsidR="007D5DF8" w:rsidRPr="00DB5D0D" w14:paraId="168D88FC" w14:textId="77777777" w:rsidTr="00E543D0">
        <w:tc>
          <w:tcPr>
            <w:tcW w:w="2268" w:type="dxa"/>
            <w:tcBorders>
              <w:top w:val="single" w:sz="12" w:space="0" w:color="auto"/>
            </w:tcBorders>
          </w:tcPr>
          <w:p w14:paraId="25CDED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1530" w:type="dxa"/>
            <w:tcBorders>
              <w:top w:val="single" w:sz="12" w:space="0" w:color="auto"/>
            </w:tcBorders>
          </w:tcPr>
          <w:p w14:paraId="6826DA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Ориентировочная стоимость</w:t>
            </w:r>
          </w:p>
        </w:tc>
        <w:tc>
          <w:tcPr>
            <w:tcW w:w="1710" w:type="dxa"/>
            <w:tcBorders>
              <w:top w:val="single" w:sz="12" w:space="0" w:color="auto"/>
            </w:tcBorders>
          </w:tcPr>
          <w:p w14:paraId="358650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Выделено в 1940 г.</w:t>
            </w:r>
          </w:p>
        </w:tc>
        <w:tc>
          <w:tcPr>
            <w:tcW w:w="3690" w:type="dxa"/>
            <w:tcBorders>
              <w:top w:val="single" w:sz="12" w:space="0" w:color="auto"/>
            </w:tcBorders>
          </w:tcPr>
          <w:p w14:paraId="7CD871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строительства</w:t>
            </w:r>
          </w:p>
        </w:tc>
      </w:tr>
      <w:tr w:rsidR="007D5DF8" w:rsidRPr="00DB5D0D" w14:paraId="0EBD4BF6" w14:textId="77777777" w:rsidTr="00E543D0">
        <w:tc>
          <w:tcPr>
            <w:tcW w:w="2268" w:type="dxa"/>
          </w:tcPr>
          <w:p w14:paraId="4ECCF9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спецпрокладок № 307</w:t>
            </w:r>
          </w:p>
        </w:tc>
        <w:tc>
          <w:tcPr>
            <w:tcW w:w="1530" w:type="dxa"/>
          </w:tcPr>
          <w:p w14:paraId="28940CD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710" w:type="dxa"/>
          </w:tcPr>
          <w:p w14:paraId="52BC57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млн.</w:t>
            </w:r>
          </w:p>
        </w:tc>
        <w:tc>
          <w:tcPr>
            <w:tcW w:w="3690" w:type="dxa"/>
          </w:tcPr>
          <w:p w14:paraId="1E7BCE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Будет введен в 1940 г.</w:t>
            </w:r>
          </w:p>
        </w:tc>
      </w:tr>
      <w:tr w:rsidR="007D5DF8" w:rsidRPr="00DB5D0D" w14:paraId="59FD23DA" w14:textId="77777777" w:rsidTr="00E543D0">
        <w:tc>
          <w:tcPr>
            <w:tcW w:w="2268" w:type="dxa"/>
          </w:tcPr>
          <w:p w14:paraId="0F17E0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свечей и магнетов № 306</w:t>
            </w:r>
          </w:p>
        </w:tc>
        <w:tc>
          <w:tcPr>
            <w:tcW w:w="1530" w:type="dxa"/>
          </w:tcPr>
          <w:p w14:paraId="2202E6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 млн.</w:t>
            </w:r>
          </w:p>
        </w:tc>
        <w:tc>
          <w:tcPr>
            <w:tcW w:w="1710" w:type="dxa"/>
          </w:tcPr>
          <w:p w14:paraId="645DCB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 млн.</w:t>
            </w:r>
          </w:p>
        </w:tc>
        <w:tc>
          <w:tcPr>
            <w:tcW w:w="3690" w:type="dxa"/>
          </w:tcPr>
          <w:p w14:paraId="7D55A7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Составлен техпроект. Строится жилье, роются котлованы под производственные корпуса</w:t>
            </w:r>
          </w:p>
        </w:tc>
      </w:tr>
      <w:tr w:rsidR="007D5DF8" w:rsidRPr="00DB5D0D" w14:paraId="52B8ABFF" w14:textId="77777777" w:rsidTr="00E543D0">
        <w:tc>
          <w:tcPr>
            <w:tcW w:w="2268" w:type="dxa"/>
          </w:tcPr>
          <w:p w14:paraId="5F553C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моторных агрегатов № 25 бис</w:t>
            </w:r>
          </w:p>
        </w:tc>
        <w:tc>
          <w:tcPr>
            <w:tcW w:w="1530" w:type="dxa"/>
          </w:tcPr>
          <w:p w14:paraId="6403F5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 млн.</w:t>
            </w:r>
          </w:p>
        </w:tc>
        <w:tc>
          <w:tcPr>
            <w:tcW w:w="1710" w:type="dxa"/>
          </w:tcPr>
          <w:p w14:paraId="06FDA4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млн.</w:t>
            </w:r>
          </w:p>
        </w:tc>
        <w:tc>
          <w:tcPr>
            <w:tcW w:w="3690" w:type="dxa"/>
          </w:tcPr>
          <w:p w14:paraId="4B8BF1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не закончен</w:t>
            </w:r>
          </w:p>
        </w:tc>
      </w:tr>
      <w:tr w:rsidR="007D5DF8" w:rsidRPr="00DB5D0D" w14:paraId="116360E0" w14:textId="77777777" w:rsidTr="00E543D0">
        <w:tc>
          <w:tcPr>
            <w:tcW w:w="2268" w:type="dxa"/>
          </w:tcPr>
          <w:p w14:paraId="11AB3C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радиаторов № 34 бис</w:t>
            </w:r>
          </w:p>
        </w:tc>
        <w:tc>
          <w:tcPr>
            <w:tcW w:w="1530" w:type="dxa"/>
          </w:tcPr>
          <w:p w14:paraId="714036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 млн.</w:t>
            </w:r>
          </w:p>
        </w:tc>
        <w:tc>
          <w:tcPr>
            <w:tcW w:w="1710" w:type="dxa"/>
          </w:tcPr>
          <w:p w14:paraId="477248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 млн</w:t>
            </w:r>
          </w:p>
        </w:tc>
        <w:tc>
          <w:tcPr>
            <w:tcW w:w="3690" w:type="dxa"/>
          </w:tcPr>
          <w:p w14:paraId="06554C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не закончен</w:t>
            </w:r>
          </w:p>
        </w:tc>
      </w:tr>
      <w:tr w:rsidR="007D5DF8" w:rsidRPr="00DB5D0D" w14:paraId="45E3D172" w14:textId="77777777" w:rsidTr="00E543D0">
        <w:tc>
          <w:tcPr>
            <w:tcW w:w="2268" w:type="dxa"/>
          </w:tcPr>
          <w:p w14:paraId="2C883D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карбюраторов № 33бис</w:t>
            </w:r>
          </w:p>
        </w:tc>
        <w:tc>
          <w:tcPr>
            <w:tcW w:w="1530" w:type="dxa"/>
          </w:tcPr>
          <w:p w14:paraId="01AF26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710" w:type="dxa"/>
          </w:tcPr>
          <w:p w14:paraId="3758ED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млн.</w:t>
            </w:r>
          </w:p>
        </w:tc>
        <w:tc>
          <w:tcPr>
            <w:tcW w:w="3690" w:type="dxa"/>
          </w:tcPr>
          <w:p w14:paraId="69ADA6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не закончен</w:t>
            </w:r>
          </w:p>
        </w:tc>
      </w:tr>
      <w:tr w:rsidR="007D5DF8" w:rsidRPr="00DB5D0D" w14:paraId="114F9449" w14:textId="77777777" w:rsidTr="00E543D0">
        <w:tc>
          <w:tcPr>
            <w:tcW w:w="2268" w:type="dxa"/>
          </w:tcPr>
          <w:p w14:paraId="4FE6E2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самолетных колес</w:t>
            </w:r>
          </w:p>
        </w:tc>
        <w:tc>
          <w:tcPr>
            <w:tcW w:w="1530" w:type="dxa"/>
          </w:tcPr>
          <w:p w14:paraId="678270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 млн.</w:t>
            </w:r>
          </w:p>
        </w:tc>
        <w:tc>
          <w:tcPr>
            <w:tcW w:w="1710" w:type="dxa"/>
          </w:tcPr>
          <w:p w14:paraId="123390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млн.</w:t>
            </w:r>
          </w:p>
        </w:tc>
        <w:tc>
          <w:tcPr>
            <w:tcW w:w="3690" w:type="dxa"/>
          </w:tcPr>
          <w:p w14:paraId="5F2E61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не закончен. Приступлено к строительству временных сооружений</w:t>
            </w:r>
          </w:p>
        </w:tc>
      </w:tr>
      <w:tr w:rsidR="007D5DF8" w:rsidRPr="00DB5D0D" w14:paraId="19D95E73" w14:textId="77777777" w:rsidTr="00E543D0">
        <w:tc>
          <w:tcPr>
            <w:tcW w:w="2268" w:type="dxa"/>
          </w:tcPr>
          <w:p w14:paraId="34F881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самопусков</w:t>
            </w:r>
          </w:p>
        </w:tc>
        <w:tc>
          <w:tcPr>
            <w:tcW w:w="1530" w:type="dxa"/>
          </w:tcPr>
          <w:p w14:paraId="3C9466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 млн.</w:t>
            </w:r>
          </w:p>
        </w:tc>
        <w:tc>
          <w:tcPr>
            <w:tcW w:w="1710" w:type="dxa"/>
          </w:tcPr>
          <w:p w14:paraId="243E57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млн.</w:t>
            </w:r>
          </w:p>
        </w:tc>
        <w:tc>
          <w:tcPr>
            <w:tcW w:w="3690" w:type="dxa"/>
          </w:tcPr>
          <w:p w14:paraId="06B2F1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не закончен. Строится жилье</w:t>
            </w:r>
          </w:p>
        </w:tc>
      </w:tr>
      <w:tr w:rsidR="007D5DF8" w:rsidRPr="00DB5D0D" w14:paraId="52DC7B41" w14:textId="77777777" w:rsidTr="00E543D0">
        <w:tc>
          <w:tcPr>
            <w:tcW w:w="2268" w:type="dxa"/>
          </w:tcPr>
          <w:p w14:paraId="430924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генераторов</w:t>
            </w:r>
          </w:p>
        </w:tc>
        <w:tc>
          <w:tcPr>
            <w:tcW w:w="1530" w:type="dxa"/>
          </w:tcPr>
          <w:p w14:paraId="50DCD5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 млн.</w:t>
            </w:r>
          </w:p>
        </w:tc>
        <w:tc>
          <w:tcPr>
            <w:tcW w:w="1710" w:type="dxa"/>
          </w:tcPr>
          <w:p w14:paraId="42E916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млн.</w:t>
            </w:r>
          </w:p>
        </w:tc>
        <w:tc>
          <w:tcPr>
            <w:tcW w:w="3690" w:type="dxa"/>
          </w:tcPr>
          <w:p w14:paraId="032238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не закончен</w:t>
            </w:r>
          </w:p>
        </w:tc>
      </w:tr>
      <w:tr w:rsidR="007D5DF8" w:rsidRPr="00DB5D0D" w14:paraId="5D160B48" w14:textId="77777777" w:rsidTr="00E543D0">
        <w:tc>
          <w:tcPr>
            <w:tcW w:w="2268" w:type="dxa"/>
          </w:tcPr>
          <w:p w14:paraId="6F7140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приспособлений</w:t>
            </w:r>
          </w:p>
        </w:tc>
        <w:tc>
          <w:tcPr>
            <w:tcW w:w="1530" w:type="dxa"/>
          </w:tcPr>
          <w:p w14:paraId="66C5A3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710" w:type="dxa"/>
          </w:tcPr>
          <w:p w14:paraId="470C4D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 млн.</w:t>
            </w:r>
          </w:p>
        </w:tc>
        <w:tc>
          <w:tcPr>
            <w:tcW w:w="3690" w:type="dxa"/>
          </w:tcPr>
          <w:p w14:paraId="3DF438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не закончен, площадка не выбрана</w:t>
            </w:r>
          </w:p>
        </w:tc>
      </w:tr>
      <w:tr w:rsidR="007D5DF8" w:rsidRPr="00DB5D0D" w14:paraId="48F16F8A" w14:textId="77777777" w:rsidTr="00E543D0">
        <w:tc>
          <w:tcPr>
            <w:tcW w:w="2268" w:type="dxa"/>
            <w:tcBorders>
              <w:bottom w:val="single" w:sz="12" w:space="0" w:color="auto"/>
            </w:tcBorders>
          </w:tcPr>
          <w:p w14:paraId="31BB9F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завод агрегатов вооружения</w:t>
            </w:r>
          </w:p>
        </w:tc>
        <w:tc>
          <w:tcPr>
            <w:tcW w:w="1530" w:type="dxa"/>
            <w:tcBorders>
              <w:bottom w:val="single" w:sz="12" w:space="0" w:color="auto"/>
            </w:tcBorders>
          </w:tcPr>
          <w:p w14:paraId="05E1C8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710" w:type="dxa"/>
            <w:tcBorders>
              <w:bottom w:val="single" w:sz="12" w:space="0" w:color="auto"/>
            </w:tcBorders>
          </w:tcPr>
          <w:p w14:paraId="41D159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млн.</w:t>
            </w:r>
          </w:p>
        </w:tc>
        <w:tc>
          <w:tcPr>
            <w:tcW w:w="3690" w:type="dxa"/>
            <w:tcBorders>
              <w:bottom w:val="single" w:sz="12" w:space="0" w:color="auto"/>
            </w:tcBorders>
          </w:tcPr>
          <w:p w14:paraId="1758E9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не закончен</w:t>
            </w:r>
          </w:p>
        </w:tc>
      </w:tr>
    </w:tbl>
    <w:p w14:paraId="7150D6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(10498,22).</w:t>
      </w:r>
    </w:p>
    <w:p w14:paraId="4540DB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7"/>
        <w:gridCol w:w="1791"/>
        <w:gridCol w:w="2340"/>
        <w:gridCol w:w="2250"/>
      </w:tblGrid>
      <w:tr w:rsidR="007D5DF8" w:rsidRPr="00DB5D0D" w14:paraId="52646008" w14:textId="77777777" w:rsidTr="00E543D0">
        <w:tc>
          <w:tcPr>
            <w:tcW w:w="2817" w:type="dxa"/>
            <w:tcBorders>
              <w:top w:val="single" w:sz="12" w:space="0" w:color="auto"/>
            </w:tcBorders>
          </w:tcPr>
          <w:p w14:paraId="64407E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Название завода</w:t>
            </w:r>
          </w:p>
        </w:tc>
        <w:tc>
          <w:tcPr>
            <w:tcW w:w="1791" w:type="dxa"/>
            <w:tcBorders>
              <w:top w:val="single" w:sz="12" w:space="0" w:color="auto"/>
            </w:tcBorders>
          </w:tcPr>
          <w:p w14:paraId="1931FE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Установленная постановлением КО мощность на 01.07.40</w:t>
            </w:r>
          </w:p>
        </w:tc>
        <w:tc>
          <w:tcPr>
            <w:tcW w:w="2340" w:type="dxa"/>
            <w:tcBorders>
              <w:top w:val="single" w:sz="12" w:space="0" w:color="auto"/>
            </w:tcBorders>
          </w:tcPr>
          <w:p w14:paraId="2DEB9C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самолета</w:t>
            </w:r>
          </w:p>
        </w:tc>
        <w:tc>
          <w:tcPr>
            <w:tcW w:w="2250" w:type="dxa"/>
            <w:tcBorders>
              <w:top w:val="single" w:sz="12" w:space="0" w:color="auto"/>
            </w:tcBorders>
          </w:tcPr>
          <w:p w14:paraId="42E47B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Капвложения, предусмотренные на 1940 г.</w:t>
            </w:r>
          </w:p>
        </w:tc>
      </w:tr>
      <w:tr w:rsidR="007D5DF8" w:rsidRPr="00DB5D0D" w14:paraId="3BF03804" w14:textId="77777777" w:rsidTr="00E543D0">
        <w:tc>
          <w:tcPr>
            <w:tcW w:w="2817" w:type="dxa"/>
          </w:tcPr>
          <w:p w14:paraId="6FC4F9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(Москва)</w:t>
            </w:r>
          </w:p>
        </w:tc>
        <w:tc>
          <w:tcPr>
            <w:tcW w:w="1791" w:type="dxa"/>
          </w:tcPr>
          <w:p w14:paraId="729B37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2340" w:type="dxa"/>
          </w:tcPr>
          <w:p w14:paraId="47AB85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w:t>
            </w:r>
          </w:p>
        </w:tc>
        <w:tc>
          <w:tcPr>
            <w:tcW w:w="2250" w:type="dxa"/>
          </w:tcPr>
          <w:p w14:paraId="1A3345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млн.</w:t>
            </w:r>
          </w:p>
        </w:tc>
      </w:tr>
      <w:tr w:rsidR="007D5DF8" w:rsidRPr="00DB5D0D" w14:paraId="1AD32669" w14:textId="77777777" w:rsidTr="00E543D0">
        <w:tc>
          <w:tcPr>
            <w:tcW w:w="2817" w:type="dxa"/>
          </w:tcPr>
          <w:p w14:paraId="09A1C5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21 (Горький)</w:t>
            </w:r>
          </w:p>
        </w:tc>
        <w:tc>
          <w:tcPr>
            <w:tcW w:w="1791" w:type="dxa"/>
          </w:tcPr>
          <w:p w14:paraId="1E1AD8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2340" w:type="dxa"/>
          </w:tcPr>
          <w:p w14:paraId="06E772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w:t>
            </w:r>
          </w:p>
        </w:tc>
        <w:tc>
          <w:tcPr>
            <w:tcW w:w="2250" w:type="dxa"/>
          </w:tcPr>
          <w:p w14:paraId="7820BB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29,5 млн.</w:t>
            </w:r>
          </w:p>
        </w:tc>
      </w:tr>
      <w:tr w:rsidR="007D5DF8" w:rsidRPr="00DB5D0D" w14:paraId="2C3FF181" w14:textId="77777777" w:rsidTr="00E543D0">
        <w:tc>
          <w:tcPr>
            <w:tcW w:w="2817" w:type="dxa"/>
          </w:tcPr>
          <w:p w14:paraId="317555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153 (Новосибирск)</w:t>
            </w:r>
          </w:p>
        </w:tc>
        <w:tc>
          <w:tcPr>
            <w:tcW w:w="1791" w:type="dxa"/>
          </w:tcPr>
          <w:p w14:paraId="7D4AA6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2340" w:type="dxa"/>
          </w:tcPr>
          <w:p w14:paraId="33D25F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w:t>
            </w:r>
          </w:p>
        </w:tc>
        <w:tc>
          <w:tcPr>
            <w:tcW w:w="2250" w:type="dxa"/>
          </w:tcPr>
          <w:p w14:paraId="28AA67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51,8 млн.</w:t>
            </w:r>
          </w:p>
        </w:tc>
      </w:tr>
      <w:tr w:rsidR="007D5DF8" w:rsidRPr="00DB5D0D" w14:paraId="6401A7AA" w14:textId="77777777" w:rsidTr="00E543D0">
        <w:tc>
          <w:tcPr>
            <w:tcW w:w="2817" w:type="dxa"/>
          </w:tcPr>
          <w:p w14:paraId="2C20B9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207 (ст. Долгопрудная)</w:t>
            </w:r>
          </w:p>
        </w:tc>
        <w:tc>
          <w:tcPr>
            <w:tcW w:w="1791" w:type="dxa"/>
          </w:tcPr>
          <w:p w14:paraId="7E88BD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340" w:type="dxa"/>
          </w:tcPr>
          <w:p w14:paraId="5ECDE3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w:t>
            </w:r>
          </w:p>
        </w:tc>
        <w:tc>
          <w:tcPr>
            <w:tcW w:w="2250" w:type="dxa"/>
          </w:tcPr>
          <w:p w14:paraId="1BAA01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млн.</w:t>
            </w:r>
          </w:p>
        </w:tc>
      </w:tr>
      <w:tr w:rsidR="007D5DF8" w:rsidRPr="00DB5D0D" w14:paraId="33C27BC7" w14:textId="77777777" w:rsidTr="00E543D0">
        <w:tc>
          <w:tcPr>
            <w:tcW w:w="2817" w:type="dxa"/>
          </w:tcPr>
          <w:p w14:paraId="2E8A0E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22 (Москва)</w:t>
            </w:r>
          </w:p>
        </w:tc>
        <w:tc>
          <w:tcPr>
            <w:tcW w:w="1791" w:type="dxa"/>
          </w:tcPr>
          <w:p w14:paraId="0165E9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2340" w:type="dxa"/>
          </w:tcPr>
          <w:p w14:paraId="3DB4C0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w:t>
            </w:r>
          </w:p>
        </w:tc>
        <w:tc>
          <w:tcPr>
            <w:tcW w:w="2250" w:type="dxa"/>
          </w:tcPr>
          <w:p w14:paraId="5A4568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 млн.</w:t>
            </w:r>
          </w:p>
        </w:tc>
      </w:tr>
      <w:tr w:rsidR="007D5DF8" w:rsidRPr="00DB5D0D" w14:paraId="519000C2" w14:textId="77777777" w:rsidTr="00E543D0">
        <w:tc>
          <w:tcPr>
            <w:tcW w:w="2817" w:type="dxa"/>
          </w:tcPr>
          <w:p w14:paraId="471344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125 (Иркутск)</w:t>
            </w:r>
          </w:p>
        </w:tc>
        <w:tc>
          <w:tcPr>
            <w:tcW w:w="1791" w:type="dxa"/>
          </w:tcPr>
          <w:p w14:paraId="493D9F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2340" w:type="dxa"/>
          </w:tcPr>
          <w:p w14:paraId="5C291D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w:t>
            </w:r>
          </w:p>
        </w:tc>
        <w:tc>
          <w:tcPr>
            <w:tcW w:w="2250" w:type="dxa"/>
          </w:tcPr>
          <w:p w14:paraId="305896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млн.</w:t>
            </w:r>
          </w:p>
        </w:tc>
      </w:tr>
      <w:tr w:rsidR="007D5DF8" w:rsidRPr="00DB5D0D" w14:paraId="311065A8" w14:textId="77777777" w:rsidTr="00E543D0">
        <w:tc>
          <w:tcPr>
            <w:tcW w:w="2817" w:type="dxa"/>
          </w:tcPr>
          <w:p w14:paraId="1C79E3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153 (Новосибирск)</w:t>
            </w:r>
          </w:p>
        </w:tc>
        <w:tc>
          <w:tcPr>
            <w:tcW w:w="1791" w:type="dxa"/>
          </w:tcPr>
          <w:p w14:paraId="0B1B60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2340" w:type="dxa"/>
          </w:tcPr>
          <w:p w14:paraId="344780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w:t>
            </w:r>
          </w:p>
        </w:tc>
        <w:tc>
          <w:tcPr>
            <w:tcW w:w="2250" w:type="dxa"/>
          </w:tcPr>
          <w:p w14:paraId="361079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 млн.</w:t>
            </w:r>
          </w:p>
        </w:tc>
      </w:tr>
      <w:tr w:rsidR="007D5DF8" w:rsidRPr="00DB5D0D" w14:paraId="03BD5C9C" w14:textId="77777777" w:rsidTr="00E543D0">
        <w:tc>
          <w:tcPr>
            <w:tcW w:w="2817" w:type="dxa"/>
          </w:tcPr>
          <w:p w14:paraId="5D18A3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135 (Харьков)</w:t>
            </w:r>
          </w:p>
        </w:tc>
        <w:tc>
          <w:tcPr>
            <w:tcW w:w="1791" w:type="dxa"/>
          </w:tcPr>
          <w:p w14:paraId="15561A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340" w:type="dxa"/>
          </w:tcPr>
          <w:p w14:paraId="233387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Ближний бомбардировщик</w:t>
            </w:r>
          </w:p>
        </w:tc>
        <w:tc>
          <w:tcPr>
            <w:tcW w:w="2250" w:type="dxa"/>
          </w:tcPr>
          <w:p w14:paraId="0AD0B5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млн.</w:t>
            </w:r>
          </w:p>
        </w:tc>
      </w:tr>
      <w:tr w:rsidR="007D5DF8" w:rsidRPr="00DB5D0D" w14:paraId="02CF0E1B" w14:textId="77777777" w:rsidTr="00E543D0">
        <w:tc>
          <w:tcPr>
            <w:tcW w:w="2817" w:type="dxa"/>
          </w:tcPr>
          <w:p w14:paraId="12966D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126 (Комсомольск)</w:t>
            </w:r>
          </w:p>
        </w:tc>
        <w:tc>
          <w:tcPr>
            <w:tcW w:w="1791" w:type="dxa"/>
          </w:tcPr>
          <w:p w14:paraId="2FED83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2340" w:type="dxa"/>
          </w:tcPr>
          <w:p w14:paraId="45EB66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Дальний бомбардировщик</w:t>
            </w:r>
          </w:p>
        </w:tc>
        <w:tc>
          <w:tcPr>
            <w:tcW w:w="2250" w:type="dxa"/>
          </w:tcPr>
          <w:p w14:paraId="72BAC9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22,5 млн.</w:t>
            </w:r>
          </w:p>
        </w:tc>
      </w:tr>
      <w:tr w:rsidR="007D5DF8" w:rsidRPr="00DB5D0D" w14:paraId="47C2F856" w14:textId="77777777" w:rsidTr="00E543D0">
        <w:tc>
          <w:tcPr>
            <w:tcW w:w="2817" w:type="dxa"/>
          </w:tcPr>
          <w:p w14:paraId="5C5CE6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18 (Воронеж)</w:t>
            </w:r>
          </w:p>
        </w:tc>
        <w:tc>
          <w:tcPr>
            <w:tcW w:w="1791" w:type="dxa"/>
          </w:tcPr>
          <w:p w14:paraId="730A05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2340" w:type="dxa"/>
          </w:tcPr>
          <w:p w14:paraId="6275F5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Дальний бомбардировщик</w:t>
            </w:r>
          </w:p>
        </w:tc>
        <w:tc>
          <w:tcPr>
            <w:tcW w:w="2250" w:type="dxa"/>
          </w:tcPr>
          <w:p w14:paraId="626495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19,5 млн.</w:t>
            </w:r>
          </w:p>
        </w:tc>
      </w:tr>
      <w:tr w:rsidR="007D5DF8" w:rsidRPr="00DB5D0D" w14:paraId="4AF67F02" w14:textId="77777777" w:rsidTr="00E543D0">
        <w:tc>
          <w:tcPr>
            <w:tcW w:w="2817" w:type="dxa"/>
          </w:tcPr>
          <w:p w14:paraId="1DBDD6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39 (Москва)</w:t>
            </w:r>
          </w:p>
        </w:tc>
        <w:tc>
          <w:tcPr>
            <w:tcW w:w="1791" w:type="dxa"/>
          </w:tcPr>
          <w:p w14:paraId="16CC96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2340" w:type="dxa"/>
          </w:tcPr>
          <w:p w14:paraId="41B625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Дальний бомбардировщик</w:t>
            </w:r>
          </w:p>
        </w:tc>
        <w:tc>
          <w:tcPr>
            <w:tcW w:w="2250" w:type="dxa"/>
          </w:tcPr>
          <w:p w14:paraId="03D62F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млн.</w:t>
            </w:r>
          </w:p>
        </w:tc>
      </w:tr>
      <w:tr w:rsidR="007D5DF8" w:rsidRPr="00DB5D0D" w14:paraId="73495058" w14:textId="77777777" w:rsidTr="00E543D0">
        <w:tc>
          <w:tcPr>
            <w:tcW w:w="2817" w:type="dxa"/>
          </w:tcPr>
          <w:p w14:paraId="6D734E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124 (Казань)</w:t>
            </w:r>
          </w:p>
        </w:tc>
        <w:tc>
          <w:tcPr>
            <w:tcW w:w="1791" w:type="dxa"/>
          </w:tcPr>
          <w:p w14:paraId="7B8969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2340" w:type="dxa"/>
          </w:tcPr>
          <w:p w14:paraId="619F9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Тяжелый бомбардировщик</w:t>
            </w:r>
          </w:p>
        </w:tc>
        <w:tc>
          <w:tcPr>
            <w:tcW w:w="2250" w:type="dxa"/>
          </w:tcPr>
          <w:p w14:paraId="429BEF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 млн.</w:t>
            </w:r>
          </w:p>
        </w:tc>
      </w:tr>
      <w:tr w:rsidR="007D5DF8" w:rsidRPr="00DB5D0D" w14:paraId="06E2CEC3" w14:textId="77777777" w:rsidTr="00E543D0">
        <w:tc>
          <w:tcPr>
            <w:tcW w:w="2817" w:type="dxa"/>
          </w:tcPr>
          <w:p w14:paraId="5E9C37A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791" w:type="dxa"/>
          </w:tcPr>
          <w:p w14:paraId="2A0EF8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340" w:type="dxa"/>
          </w:tcPr>
          <w:p w14:paraId="1B5F23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w:t>
            </w:r>
          </w:p>
        </w:tc>
        <w:tc>
          <w:tcPr>
            <w:tcW w:w="2250" w:type="dxa"/>
          </w:tcPr>
          <w:p w14:paraId="2BEB8F3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5E3A1C2" w14:textId="77777777" w:rsidTr="00E543D0">
        <w:tc>
          <w:tcPr>
            <w:tcW w:w="2817" w:type="dxa"/>
          </w:tcPr>
          <w:p w14:paraId="4622B9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30 (Иваньково)</w:t>
            </w:r>
          </w:p>
        </w:tc>
        <w:tc>
          <w:tcPr>
            <w:tcW w:w="1791" w:type="dxa"/>
          </w:tcPr>
          <w:p w14:paraId="3D3DBD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2340" w:type="dxa"/>
          </w:tcPr>
          <w:p w14:paraId="04A8C3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Морской бомбардировщик</w:t>
            </w:r>
          </w:p>
        </w:tc>
        <w:tc>
          <w:tcPr>
            <w:tcW w:w="2250" w:type="dxa"/>
          </w:tcPr>
          <w:p w14:paraId="597198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млн.</w:t>
            </w:r>
          </w:p>
        </w:tc>
      </w:tr>
      <w:tr w:rsidR="007D5DF8" w:rsidRPr="00DB5D0D" w14:paraId="37D6FFC6" w14:textId="77777777" w:rsidTr="00E543D0">
        <w:tc>
          <w:tcPr>
            <w:tcW w:w="2817" w:type="dxa"/>
          </w:tcPr>
          <w:p w14:paraId="38C18A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81 (Тушино)</w:t>
            </w:r>
          </w:p>
        </w:tc>
        <w:tc>
          <w:tcPr>
            <w:tcW w:w="1791" w:type="dxa"/>
          </w:tcPr>
          <w:p w14:paraId="73F140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2340" w:type="dxa"/>
          </w:tcPr>
          <w:p w14:paraId="09461B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w:t>
            </w:r>
          </w:p>
        </w:tc>
        <w:tc>
          <w:tcPr>
            <w:tcW w:w="2250" w:type="dxa"/>
          </w:tcPr>
          <w:p w14:paraId="61A5FC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 млн.</w:t>
            </w:r>
          </w:p>
        </w:tc>
      </w:tr>
      <w:tr w:rsidR="007D5DF8" w:rsidRPr="00DB5D0D" w14:paraId="128DC919" w14:textId="77777777" w:rsidTr="00E543D0">
        <w:tc>
          <w:tcPr>
            <w:tcW w:w="2817" w:type="dxa"/>
          </w:tcPr>
          <w:p w14:paraId="4E1F12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31 (Таганрог)</w:t>
            </w:r>
          </w:p>
        </w:tc>
        <w:tc>
          <w:tcPr>
            <w:tcW w:w="1791" w:type="dxa"/>
          </w:tcPr>
          <w:p w14:paraId="1907C6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2340" w:type="dxa"/>
          </w:tcPr>
          <w:p w14:paraId="5A4F15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Морской бомбардировщик</w:t>
            </w:r>
          </w:p>
        </w:tc>
        <w:tc>
          <w:tcPr>
            <w:tcW w:w="2250" w:type="dxa"/>
          </w:tcPr>
          <w:p w14:paraId="26FB52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млн.</w:t>
            </w:r>
          </w:p>
        </w:tc>
      </w:tr>
      <w:tr w:rsidR="007D5DF8" w:rsidRPr="00DB5D0D" w14:paraId="3775FD4B" w14:textId="77777777" w:rsidTr="00E543D0">
        <w:tc>
          <w:tcPr>
            <w:tcW w:w="2817" w:type="dxa"/>
          </w:tcPr>
          <w:p w14:paraId="646871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791" w:type="dxa"/>
          </w:tcPr>
          <w:p w14:paraId="15DC64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340" w:type="dxa"/>
          </w:tcPr>
          <w:p w14:paraId="431551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Морской разведчик</w:t>
            </w:r>
          </w:p>
        </w:tc>
        <w:tc>
          <w:tcPr>
            <w:tcW w:w="2250" w:type="dxa"/>
          </w:tcPr>
          <w:p w14:paraId="23EF896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0B163D0" w14:textId="77777777" w:rsidTr="00E543D0">
        <w:tc>
          <w:tcPr>
            <w:tcW w:w="2817" w:type="dxa"/>
            <w:tcBorders>
              <w:bottom w:val="single" w:sz="12" w:space="0" w:color="auto"/>
            </w:tcBorders>
          </w:tcPr>
          <w:p w14:paraId="448302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292 (Саркомбайн, Саратов)</w:t>
            </w:r>
          </w:p>
        </w:tc>
        <w:tc>
          <w:tcPr>
            <w:tcW w:w="1791" w:type="dxa"/>
            <w:tcBorders>
              <w:bottom w:val="single" w:sz="12" w:space="0" w:color="auto"/>
            </w:tcBorders>
          </w:tcPr>
          <w:p w14:paraId="710E99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340" w:type="dxa"/>
            <w:tcBorders>
              <w:bottom w:val="single" w:sz="12" w:space="0" w:color="auto"/>
            </w:tcBorders>
          </w:tcPr>
          <w:p w14:paraId="5810C0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Штурмовик</w:t>
            </w:r>
          </w:p>
        </w:tc>
        <w:tc>
          <w:tcPr>
            <w:tcW w:w="2250" w:type="dxa"/>
            <w:tcBorders>
              <w:bottom w:val="single" w:sz="12" w:space="0" w:color="auto"/>
            </w:tcBorders>
          </w:tcPr>
          <w:p w14:paraId="15AAB3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13,9 млн.</w:t>
            </w:r>
          </w:p>
        </w:tc>
      </w:tr>
    </w:tbl>
    <w:p w14:paraId="404F03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2</w:t>
      </w:r>
    </w:p>
    <w:p w14:paraId="325540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Мощности реконструкции авиамоторных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1454"/>
        <w:gridCol w:w="1620"/>
        <w:gridCol w:w="1620"/>
        <w:gridCol w:w="2250"/>
      </w:tblGrid>
      <w:tr w:rsidR="007D5DF8" w:rsidRPr="00DB5D0D" w14:paraId="7334A10E" w14:textId="77777777" w:rsidTr="00E543D0">
        <w:tc>
          <w:tcPr>
            <w:tcW w:w="2254" w:type="dxa"/>
            <w:tcBorders>
              <w:top w:val="single" w:sz="12" w:space="0" w:color="auto"/>
            </w:tcBorders>
          </w:tcPr>
          <w:p w14:paraId="0B8B21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Название завода</w:t>
            </w:r>
          </w:p>
        </w:tc>
        <w:tc>
          <w:tcPr>
            <w:tcW w:w="1454" w:type="dxa"/>
            <w:tcBorders>
              <w:top w:val="single" w:sz="12" w:space="0" w:color="auto"/>
            </w:tcBorders>
          </w:tcPr>
          <w:p w14:paraId="739CF5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Ожидаемая мощность на 01.01.41</w:t>
            </w:r>
          </w:p>
        </w:tc>
        <w:tc>
          <w:tcPr>
            <w:tcW w:w="1620" w:type="dxa"/>
            <w:tcBorders>
              <w:top w:val="single" w:sz="12" w:space="0" w:color="auto"/>
            </w:tcBorders>
          </w:tcPr>
          <w:p w14:paraId="6791F0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мотора</w:t>
            </w:r>
          </w:p>
        </w:tc>
        <w:tc>
          <w:tcPr>
            <w:tcW w:w="1620" w:type="dxa"/>
            <w:tcBorders>
              <w:top w:val="single" w:sz="12" w:space="0" w:color="auto"/>
            </w:tcBorders>
          </w:tcPr>
          <w:p w14:paraId="64CB67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Реальная мощность на 01.01.41</w:t>
            </w:r>
          </w:p>
        </w:tc>
        <w:tc>
          <w:tcPr>
            <w:tcW w:w="2250" w:type="dxa"/>
            <w:tcBorders>
              <w:top w:val="single" w:sz="12" w:space="0" w:color="auto"/>
            </w:tcBorders>
          </w:tcPr>
          <w:p w14:paraId="6A3E4D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Предусмотренные капвложения на 1940</w:t>
            </w:r>
          </w:p>
        </w:tc>
      </w:tr>
      <w:tr w:rsidR="007D5DF8" w:rsidRPr="00DB5D0D" w14:paraId="6556E1DB" w14:textId="77777777" w:rsidTr="00E543D0">
        <w:tc>
          <w:tcPr>
            <w:tcW w:w="2254" w:type="dxa"/>
          </w:tcPr>
          <w:p w14:paraId="45137D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19 (Пермь)</w:t>
            </w:r>
          </w:p>
        </w:tc>
        <w:tc>
          <w:tcPr>
            <w:tcW w:w="1454" w:type="dxa"/>
          </w:tcPr>
          <w:p w14:paraId="17B671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w:t>
            </w:r>
          </w:p>
        </w:tc>
        <w:tc>
          <w:tcPr>
            <w:tcW w:w="1620" w:type="dxa"/>
          </w:tcPr>
          <w:p w14:paraId="4D3B9D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М-63</w:t>
            </w:r>
          </w:p>
        </w:tc>
        <w:tc>
          <w:tcPr>
            <w:tcW w:w="1620" w:type="dxa"/>
          </w:tcPr>
          <w:p w14:paraId="031A07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w:t>
            </w:r>
          </w:p>
        </w:tc>
        <w:tc>
          <w:tcPr>
            <w:tcW w:w="2250" w:type="dxa"/>
          </w:tcPr>
          <w:p w14:paraId="188FF2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 млн.</w:t>
            </w:r>
          </w:p>
        </w:tc>
      </w:tr>
      <w:tr w:rsidR="007D5DF8" w:rsidRPr="00DB5D0D" w14:paraId="7E3D3CC7" w14:textId="77777777" w:rsidTr="00E543D0">
        <w:tc>
          <w:tcPr>
            <w:tcW w:w="2254" w:type="dxa"/>
          </w:tcPr>
          <w:p w14:paraId="512378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24 (Москва)</w:t>
            </w:r>
          </w:p>
        </w:tc>
        <w:tc>
          <w:tcPr>
            <w:tcW w:w="1454" w:type="dxa"/>
          </w:tcPr>
          <w:p w14:paraId="58DB86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1620" w:type="dxa"/>
          </w:tcPr>
          <w:p w14:paraId="78C4FF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w:t>
            </w:r>
          </w:p>
        </w:tc>
        <w:tc>
          <w:tcPr>
            <w:tcW w:w="1620" w:type="dxa"/>
          </w:tcPr>
          <w:p w14:paraId="387C41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w:t>
            </w:r>
          </w:p>
        </w:tc>
        <w:tc>
          <w:tcPr>
            <w:tcW w:w="2250" w:type="dxa"/>
          </w:tcPr>
          <w:p w14:paraId="11F4FA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 млн.</w:t>
            </w:r>
          </w:p>
        </w:tc>
      </w:tr>
      <w:tr w:rsidR="007D5DF8" w:rsidRPr="00DB5D0D" w14:paraId="102C0C7A" w14:textId="77777777" w:rsidTr="00E543D0">
        <w:tc>
          <w:tcPr>
            <w:tcW w:w="2254" w:type="dxa"/>
          </w:tcPr>
          <w:p w14:paraId="0E518FA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54" w:type="dxa"/>
          </w:tcPr>
          <w:p w14:paraId="6A0119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1620" w:type="dxa"/>
          </w:tcPr>
          <w:p w14:paraId="473BBB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1620" w:type="dxa"/>
          </w:tcPr>
          <w:p w14:paraId="5985ED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250" w:type="dxa"/>
          </w:tcPr>
          <w:p w14:paraId="02018A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B27732D" w14:textId="77777777" w:rsidTr="00E543D0">
        <w:tc>
          <w:tcPr>
            <w:tcW w:w="2254" w:type="dxa"/>
          </w:tcPr>
          <w:p w14:paraId="04E756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26 (Рыбинск)</w:t>
            </w:r>
          </w:p>
        </w:tc>
        <w:tc>
          <w:tcPr>
            <w:tcW w:w="1454" w:type="dxa"/>
          </w:tcPr>
          <w:p w14:paraId="3A0077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w:t>
            </w:r>
          </w:p>
        </w:tc>
        <w:tc>
          <w:tcPr>
            <w:tcW w:w="1620" w:type="dxa"/>
          </w:tcPr>
          <w:p w14:paraId="3EEA03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1620" w:type="dxa"/>
          </w:tcPr>
          <w:p w14:paraId="3296DC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w:t>
            </w:r>
          </w:p>
        </w:tc>
        <w:tc>
          <w:tcPr>
            <w:tcW w:w="2250" w:type="dxa"/>
          </w:tcPr>
          <w:p w14:paraId="60A0FD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 млн.</w:t>
            </w:r>
          </w:p>
        </w:tc>
      </w:tr>
      <w:tr w:rsidR="007D5DF8" w:rsidRPr="00DB5D0D" w14:paraId="43D8663B" w14:textId="77777777" w:rsidTr="00E543D0">
        <w:tc>
          <w:tcPr>
            <w:tcW w:w="2254" w:type="dxa"/>
          </w:tcPr>
          <w:p w14:paraId="537A55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29 (Запорожье)</w:t>
            </w:r>
          </w:p>
        </w:tc>
        <w:tc>
          <w:tcPr>
            <w:tcW w:w="1454" w:type="dxa"/>
          </w:tcPr>
          <w:p w14:paraId="173856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620" w:type="dxa"/>
          </w:tcPr>
          <w:p w14:paraId="67579B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1620" w:type="dxa"/>
          </w:tcPr>
          <w:p w14:paraId="26EF1D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2250" w:type="dxa"/>
          </w:tcPr>
          <w:p w14:paraId="3E5E54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 млн.</w:t>
            </w:r>
          </w:p>
        </w:tc>
      </w:tr>
      <w:tr w:rsidR="007D5DF8" w:rsidRPr="00DB5D0D" w14:paraId="199A9F51" w14:textId="77777777" w:rsidTr="00E543D0">
        <w:tc>
          <w:tcPr>
            <w:tcW w:w="2254" w:type="dxa"/>
          </w:tcPr>
          <w:p w14:paraId="5FD6C0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16 (Воронеж)</w:t>
            </w:r>
          </w:p>
        </w:tc>
        <w:tc>
          <w:tcPr>
            <w:tcW w:w="1454" w:type="dxa"/>
          </w:tcPr>
          <w:p w14:paraId="4CA2B0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16000</w:t>
            </w:r>
          </w:p>
        </w:tc>
        <w:tc>
          <w:tcPr>
            <w:tcW w:w="1620" w:type="dxa"/>
          </w:tcPr>
          <w:p w14:paraId="184807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МВ-6</w:t>
            </w:r>
          </w:p>
        </w:tc>
        <w:tc>
          <w:tcPr>
            <w:tcW w:w="1620" w:type="dxa"/>
          </w:tcPr>
          <w:p w14:paraId="1E44AB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250" w:type="dxa"/>
          </w:tcPr>
          <w:p w14:paraId="4B6916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млн.</w:t>
            </w:r>
          </w:p>
        </w:tc>
      </w:tr>
      <w:tr w:rsidR="007D5DF8" w:rsidRPr="00DB5D0D" w14:paraId="0E475F9F" w14:textId="77777777" w:rsidTr="00E543D0">
        <w:tc>
          <w:tcPr>
            <w:tcW w:w="2254" w:type="dxa"/>
          </w:tcPr>
          <w:p w14:paraId="5BDE988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54" w:type="dxa"/>
          </w:tcPr>
          <w:p w14:paraId="058F46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20" w:type="dxa"/>
          </w:tcPr>
          <w:p w14:paraId="64A07C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М-11</w:t>
            </w:r>
          </w:p>
        </w:tc>
        <w:tc>
          <w:tcPr>
            <w:tcW w:w="1620" w:type="dxa"/>
          </w:tcPr>
          <w:p w14:paraId="7BCA11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2250" w:type="dxa"/>
          </w:tcPr>
          <w:p w14:paraId="120CC0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2934F2E" w14:textId="77777777" w:rsidTr="00E543D0">
        <w:tc>
          <w:tcPr>
            <w:tcW w:w="2254" w:type="dxa"/>
            <w:tcBorders>
              <w:bottom w:val="single" w:sz="12" w:space="0" w:color="auto"/>
            </w:tcBorders>
          </w:tcPr>
          <w:p w14:paraId="632C1CE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54" w:type="dxa"/>
            <w:tcBorders>
              <w:bottom w:val="single" w:sz="12" w:space="0" w:color="auto"/>
            </w:tcBorders>
          </w:tcPr>
          <w:p w14:paraId="2E5D57A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20" w:type="dxa"/>
            <w:tcBorders>
              <w:bottom w:val="single" w:sz="12" w:space="0" w:color="auto"/>
            </w:tcBorders>
          </w:tcPr>
          <w:p w14:paraId="4DF79E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1620" w:type="dxa"/>
            <w:tcBorders>
              <w:bottom w:val="single" w:sz="12" w:space="0" w:color="auto"/>
            </w:tcBorders>
          </w:tcPr>
          <w:p w14:paraId="2F8A19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2250" w:type="dxa"/>
            <w:tcBorders>
              <w:bottom w:val="single" w:sz="12" w:space="0" w:color="auto"/>
            </w:tcBorders>
          </w:tcPr>
          <w:p w14:paraId="5FF8B06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48517E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(10498,25).</w:t>
      </w:r>
    </w:p>
    <w:p w14:paraId="797509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9F13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А.И.Ш. писал Г.М.Маленкову письмо N 3466 о передаче завода 379 в систему электропромышленности. До этого была большая переписка, что не надо, но так и не ясно, как решили (1171).</w:t>
      </w:r>
    </w:p>
    <w:p w14:paraId="54DC6ED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94F763"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в 1940 году на совещании Техсовета НКАП рассматривались химический антиобледенитель, разработанный в НИИ ГВФ группой Фейгельсона, и термический антиобледенитель Зуева. Первый, химический антиобледенитель (этиловый спирт – вода), получил предпочтение (14976).</w:t>
      </w:r>
    </w:p>
    <w:p w14:paraId="18E35D2B"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657A0A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7 августа по 10 сентября 1940 года на НИП АВ ВВС проходили заводские испытания САБ-3, САБ-15 и САБ-25 с опытными парашютами, изготовленными из материалов заменителей по предлождению инженеров завода № 2 НКЛП им. Громова Вергасова А.Т. и Тертышника И.Н.</w:t>
      </w:r>
    </w:p>
    <w:p w14:paraId="15E036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55983C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Сатонин</w:t>
      </w:r>
    </w:p>
    <w:p w14:paraId="4C5E45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57A58C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определить:</w:t>
      </w:r>
    </w:p>
    <w:p w14:paraId="05153A4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Прочность парашютов и устойчивость САБ на траектории.</w:t>
      </w:r>
    </w:p>
    <w:p w14:paraId="1A68924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снижения САБ с опытными парашютами в сравнении с САБ валового производства.</w:t>
      </w:r>
    </w:p>
    <w:p w14:paraId="38C160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DAA6C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заводом № 2 САБ-3, САБ-15 и САБ-25 с опытными парашютами по прочности, устойчивости и безотказности в работе показали удовлетворительные результаты (7582).</w:t>
      </w:r>
    </w:p>
    <w:p w14:paraId="3E1A5C3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505D7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A1E232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1384E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г. на заводе № 221 "Баррикады" были изготовлены и доставлены на завод № 172 оба ствола для гаубицы БЛ-39. Образцы имели разные рессоры, разное крепление станин по походному и разные передки (3861).</w:t>
      </w:r>
    </w:p>
    <w:p w14:paraId="083176E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CAAAE37"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1938 г.</w:t>
      </w:r>
    </w:p>
    <w:p w14:paraId="6AEA6652"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31. Постановление Комитета обороны при СНК СССР № 198сс “О системе танкового вооружения РККА”</w:t>
      </w:r>
    </w:p>
    <w:p w14:paraId="3D6438D2"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48E4B2D2"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180-184.</w:t>
      </w:r>
    </w:p>
    <w:p w14:paraId="08ACF6A9"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6E7F7919"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28. Д. 35. Л. 215-225. Подлинник.</w:t>
      </w:r>
    </w:p>
    <w:p w14:paraId="2B55ADC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секретно.</w:t>
      </w:r>
    </w:p>
    <w:p w14:paraId="10F81172"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опыт учебно-боевой работы и предъявляемые требования  к танкам в современном бою, Комитет обороны при СНК Союза ССР постановляет принять следующую систему танкового вооружения.</w:t>
      </w:r>
    </w:p>
    <w:p w14:paraId="17C202B5"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По танкам</w:t>
      </w:r>
    </w:p>
    <w:p w14:paraId="08EE876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Танк прорыва (истребитель ПТО) гусеничного типа изготавливается по тактико-техническим данным АБТУ, выработанным на основе танкового совещания и утвержденным народным комиссаром обороны (приложение № 1[</w:t>
      </w:r>
      <w:hyperlink r:id="rId260"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w:t>
      </w:r>
    </w:p>
    <w:p w14:paraId="41CCAC31"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Обязать НКМаш изготовить и передать НКО на испытания опытный образец танка прорыва к 1 мая 1939 г. Деревянный макет танка прорыва предъявить макетной комиссии к 1 сентября 1938 г.</w:t>
      </w:r>
    </w:p>
    <w:p w14:paraId="63F6BBB9"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НКОП изготовить и передать НКО на испытания опытный образец танка прорыва к 1 июля 1939 г. Деревянный макет танка предъявить макетной комиссии к 1 ноября 1938 г.</w:t>
      </w:r>
    </w:p>
    <w:p w14:paraId="0B8CA5F1"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Обязать НКО подвергнуть опытные образцы танков прорыва всесторонним испытаниям и выбрать для представления на вооружение РККА один образец, наиболее полно удовлетворяющий предъявляемым к танку прорыва требованиям.</w:t>
      </w:r>
    </w:p>
    <w:p w14:paraId="2DC6BA16"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 постановкой на массовое производство танков прорыва танки Т</w:t>
      </w:r>
      <w:r w:rsidRPr="00DB5D0D">
        <w:rPr>
          <w:rFonts w:ascii="Times New Roman" w:hAnsi="Times New Roman"/>
          <w:color w:val="000000" w:themeColor="text1"/>
          <w:sz w:val="16"/>
          <w:szCs w:val="16"/>
        </w:rPr>
        <w:noBreakHyphen/>
        <w:t>28 и Т</w:t>
      </w:r>
      <w:r w:rsidRPr="00DB5D0D">
        <w:rPr>
          <w:rFonts w:ascii="Times New Roman" w:hAnsi="Times New Roman"/>
          <w:color w:val="000000" w:themeColor="text1"/>
          <w:sz w:val="16"/>
          <w:szCs w:val="16"/>
        </w:rPr>
        <w:noBreakHyphen/>
        <w:t>35 с производства снять.</w:t>
      </w:r>
    </w:p>
    <w:p w14:paraId="3BDDA5ED"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В целях дальнейшего совершенствования танков создать по тактико-техническим данным АБТУ, выработанным па танковом совещании и утвержденным народным комиссаром обороны, три опытных образца танков: два гусеничных и один колесно-гусеничный с 6 ведущими колесами (приложение № 2). Один из гусеничных танков изготовить химическим.</w:t>
      </w:r>
    </w:p>
    <w:p w14:paraId="413336F6"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обязать НКОП изготовить и передать НКО на испытания опытные образцы танков к 1 июня 1939 г. Деревянный макет танка предъявить макетной комиссии к 1 октября 1938 г.;</w:t>
      </w:r>
    </w:p>
    <w:p w14:paraId="64D0483E"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НКО подвергнуть опытные образцы танков всесторонним сравнительным испытаниям и выбрать для представления на вооружение один образец, наиболее полно удовлетворяющий предъявляемым к танку требованиям.</w:t>
      </w:r>
    </w:p>
    <w:p w14:paraId="25705A4D"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НКМаш создать по тактико-технической характеристике, утвержденной народным комиссаром обороны (приложение № 3), на Сталинградском тракторном заводе три образца легких танков с усиленным бронированием: два гусеничных и один колесно-гусеничный. Один из гусеничных танков изготовить химическим.</w:t>
      </w:r>
    </w:p>
    <w:p w14:paraId="62450567"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два образца легких танков — гусеничный и колесно-гусеничный — передать НКО на испытание к 1 января 1939 г.; третий образец легкого танка — гусеничный и химический — передать на испытание НКО к 1 июля 1939 г. Деревянный макет танка передать макетной комиссии к 1 сентября 1938 г.;</w:t>
      </w:r>
    </w:p>
    <w:p w14:paraId="0CED1A8F"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обязать НКО опытные образцы танков, изготовленные НКМашем, подвергнуть всесторонним сравнительным испытаниям с танком Т</w:t>
      </w:r>
      <w:r w:rsidRPr="00DB5D0D">
        <w:rPr>
          <w:rFonts w:ascii="Times New Roman" w:hAnsi="Times New Roman"/>
          <w:color w:val="000000" w:themeColor="text1"/>
          <w:sz w:val="16"/>
          <w:szCs w:val="16"/>
        </w:rPr>
        <w:noBreakHyphen/>
        <w:t>26 для решения вопроса о возможности представления лучшего из образцов на вооружение взамен Т-26.</w:t>
      </w:r>
    </w:p>
    <w:p w14:paraId="7F20A721"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Создать по тактико-техническим данным, утвержденным народным комиссаром обороны, плавающий гусеничный танк с более мощным мотором, вооружением и бронированием, предназначаемый взамен существующих Т</w:t>
      </w:r>
      <w:r w:rsidRPr="00DB5D0D">
        <w:rPr>
          <w:rFonts w:ascii="Times New Roman" w:hAnsi="Times New Roman"/>
          <w:color w:val="000000" w:themeColor="text1"/>
          <w:sz w:val="16"/>
          <w:szCs w:val="16"/>
        </w:rPr>
        <w:noBreakHyphen/>
        <w:t>37 и Т</w:t>
      </w:r>
      <w:r w:rsidRPr="00DB5D0D">
        <w:rPr>
          <w:rFonts w:ascii="Times New Roman" w:hAnsi="Times New Roman"/>
          <w:color w:val="000000" w:themeColor="text1"/>
          <w:sz w:val="16"/>
          <w:szCs w:val="16"/>
        </w:rPr>
        <w:noBreakHyphen/>
        <w:t>38 (приложение № 4).</w:t>
      </w:r>
    </w:p>
    <w:p w14:paraId="22B88C42"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НКОП изготовить и передать  НКО на испытания опытный образец плавающего танка к 1 января 1939 г. Деревянный макет плавающего танка предъявить макетной комиссии к 1 сентября 1938 г.</w:t>
      </w:r>
    </w:p>
    <w:p w14:paraId="1CE98FC7"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в 1938 г. изготовить образцы гусениц, выдерживающих пробег не менее 3 тыс. км: НКОП — для танков Т</w:t>
      </w:r>
      <w:r w:rsidRPr="00DB5D0D">
        <w:rPr>
          <w:rFonts w:ascii="Times New Roman" w:hAnsi="Times New Roman"/>
          <w:color w:val="000000" w:themeColor="text1"/>
          <w:sz w:val="16"/>
          <w:szCs w:val="16"/>
        </w:rPr>
        <w:noBreakHyphen/>
        <w:t>26 и БТ; НКМаш — для танка Т</w:t>
      </w:r>
      <w:r w:rsidRPr="00DB5D0D">
        <w:rPr>
          <w:rFonts w:ascii="Times New Roman" w:hAnsi="Times New Roman"/>
          <w:color w:val="000000" w:themeColor="text1"/>
          <w:sz w:val="16"/>
          <w:szCs w:val="16"/>
        </w:rPr>
        <w:noBreakHyphen/>
        <w:t>28.</w:t>
      </w:r>
    </w:p>
    <w:p w14:paraId="473D89ED"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По бронеавтомобилям</w:t>
      </w:r>
    </w:p>
    <w:p w14:paraId="1EE131A0"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Производство бронеавтомобилей БА</w:t>
      </w:r>
      <w:r w:rsidRPr="00DB5D0D">
        <w:rPr>
          <w:rFonts w:ascii="Times New Roman" w:hAnsi="Times New Roman"/>
          <w:color w:val="000000" w:themeColor="text1"/>
          <w:sz w:val="16"/>
          <w:szCs w:val="16"/>
        </w:rPr>
        <w:noBreakHyphen/>
        <w:t>10 и БА</w:t>
      </w:r>
      <w:r w:rsidRPr="00DB5D0D">
        <w:rPr>
          <w:rFonts w:ascii="Times New Roman" w:hAnsi="Times New Roman"/>
          <w:color w:val="000000" w:themeColor="text1"/>
          <w:sz w:val="16"/>
          <w:szCs w:val="16"/>
        </w:rPr>
        <w:noBreakHyphen/>
        <w:t>20 продолжать, совершенствуя их в части усиления шасси, улучшения бронирования и удобства действий внутри машины всего экипажа (перечни № 7, 8, 9 и 10)[</w:t>
      </w:r>
      <w:hyperlink r:id="rId261" w:anchor="p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w:t>
      </w:r>
    </w:p>
    <w:p w14:paraId="40398983"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НКМаш и НКОП изготовить и передать НКО на испытания образцы легкого и среднего бронеавтомобилей к 1 декабря 1938 г. со следующими тактико-техническими требованиями.</w:t>
      </w:r>
    </w:p>
    <w:p w14:paraId="7A5D3DE1"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Легкий бронеавтомобиль на трехосном шасси автозавода им. Молотова: а) броня, защищающая от простой пули калибра 7,62 мм на все дистанции; б) мотор — 6</w:t>
      </w:r>
      <w:r w:rsidRPr="00DB5D0D">
        <w:rPr>
          <w:rFonts w:ascii="Times New Roman" w:hAnsi="Times New Roman"/>
          <w:color w:val="000000" w:themeColor="text1"/>
          <w:sz w:val="16"/>
          <w:szCs w:val="16"/>
        </w:rPr>
        <w:noBreakHyphen/>
        <w:t>цилиндровый, 75 л. с.; в) вооружение — 2 легких пулемета; г) скорость — 70 км/ч.; д) запас хода: по горючему — 300 км; е) боевой вес — 3</w:t>
      </w:r>
      <w:r w:rsidRPr="00DB5D0D">
        <w:rPr>
          <w:rFonts w:ascii="Times New Roman" w:hAnsi="Times New Roman"/>
          <w:color w:val="000000" w:themeColor="text1"/>
          <w:sz w:val="16"/>
          <w:szCs w:val="16"/>
        </w:rPr>
        <w:noBreakHyphen/>
        <w:t>3,5 т.</w:t>
      </w:r>
    </w:p>
    <w:p w14:paraId="661BD207"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Средний бронеавтомобиль на трехосном шасси автозавода им. Сталина: а) броня, защищающая от бронебойной пули калибра 7,62 мм на все дистанции; б) мотор — 90</w:t>
      </w:r>
      <w:r w:rsidRPr="00DB5D0D">
        <w:rPr>
          <w:rFonts w:ascii="Times New Roman" w:hAnsi="Times New Roman"/>
          <w:color w:val="000000" w:themeColor="text1"/>
          <w:sz w:val="16"/>
          <w:szCs w:val="16"/>
        </w:rPr>
        <w:noBreakHyphen/>
        <w:t>100 л. с.; в) вооружение — одна 45</w:t>
      </w:r>
      <w:r w:rsidRPr="00DB5D0D">
        <w:rPr>
          <w:rFonts w:ascii="Times New Roman" w:hAnsi="Times New Roman"/>
          <w:color w:val="000000" w:themeColor="text1"/>
          <w:sz w:val="16"/>
          <w:szCs w:val="16"/>
        </w:rPr>
        <w:noBreakHyphen/>
        <w:t>мм пушка, спаренная с пулеметом, и пулемет рядом с водителем; г) максимальная скорость — 60</w:t>
      </w:r>
      <w:r w:rsidRPr="00DB5D0D">
        <w:rPr>
          <w:rFonts w:ascii="Times New Roman" w:hAnsi="Times New Roman"/>
          <w:color w:val="000000" w:themeColor="text1"/>
          <w:sz w:val="16"/>
          <w:szCs w:val="16"/>
        </w:rPr>
        <w:noBreakHyphen/>
        <w:t>70 км; д) запас хода по горючему — 300 км; е) боевой вес — не более 7 т[</w:t>
      </w:r>
      <w:hyperlink r:id="rId262" w:anchor="p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w:t>
      </w:r>
    </w:p>
    <w:p w14:paraId="545548F5"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w:t>
      </w:r>
    </w:p>
    <w:p w14:paraId="66DCC6DA"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НКОП и НКМаш при разработке опытных образцов боевых машин предусмотреть максимально возможные наклоны бронелистов на корпусах и башнях.</w:t>
      </w:r>
    </w:p>
    <w:p w14:paraId="3EC58FF5"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целях сокращения толщины брони, резкого улучшения пулеснарядной стойкости ее обязать НКОП форсировать работы по производству толстой брони для танков прорыва, двухслойной и экранированной брони. Результаты работ по улучшению бойкости брони доложить Комитету обороны к 1 октября 1938 г.[</w:t>
      </w:r>
      <w:hyperlink r:id="rId263" w:anchor="p4" w:history="1">
        <w:r w:rsidRPr="00DB5D0D">
          <w:rPr>
            <w:rFonts w:ascii="Times New Roman" w:hAnsi="Times New Roman"/>
            <w:color w:val="000000" w:themeColor="text1"/>
            <w:sz w:val="16"/>
            <w:szCs w:val="16"/>
          </w:rPr>
          <w:t>4</w:t>
        </w:r>
      </w:hyperlink>
      <w:r w:rsidRPr="00DB5D0D">
        <w:rPr>
          <w:rFonts w:ascii="Times New Roman" w:hAnsi="Times New Roman"/>
          <w:color w:val="000000" w:themeColor="text1"/>
          <w:sz w:val="16"/>
          <w:szCs w:val="16"/>
        </w:rPr>
        <w:t>]</w:t>
      </w:r>
    </w:p>
    <w:p w14:paraId="3C308006"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w:t>
      </w:r>
    </w:p>
    <w:p w14:paraId="2BAC2DBD"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танках для производства в 1938</w:t>
      </w:r>
      <w:r w:rsidRPr="00DB5D0D">
        <w:rPr>
          <w:rFonts w:ascii="Times New Roman" w:hAnsi="Times New Roman"/>
          <w:color w:val="000000" w:themeColor="text1"/>
          <w:sz w:val="16"/>
          <w:szCs w:val="16"/>
        </w:rPr>
        <w:noBreakHyphen/>
        <w:t>1939 гг.</w:t>
      </w:r>
    </w:p>
    <w:p w14:paraId="0763710C"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174</w:t>
      </w:r>
    </w:p>
    <w:p w14:paraId="0CF4947B"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Серийное производство танков в 1938 г.:</w:t>
      </w:r>
    </w:p>
    <w:p w14:paraId="1DF0F23A"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танк Т</w:t>
      </w:r>
      <w:r w:rsidRPr="00DB5D0D">
        <w:rPr>
          <w:rFonts w:ascii="Times New Roman" w:hAnsi="Times New Roman"/>
          <w:color w:val="000000" w:themeColor="text1"/>
          <w:sz w:val="16"/>
          <w:szCs w:val="16"/>
        </w:rPr>
        <w:noBreakHyphen/>
        <w:t>26 с конической башней — линейный и радио;</w:t>
      </w:r>
    </w:p>
    <w:p w14:paraId="3F894FBF"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химтанк Т</w:t>
      </w:r>
      <w:r w:rsidRPr="00DB5D0D">
        <w:rPr>
          <w:rFonts w:ascii="Times New Roman" w:hAnsi="Times New Roman"/>
          <w:color w:val="000000" w:themeColor="text1"/>
          <w:sz w:val="16"/>
          <w:szCs w:val="16"/>
        </w:rPr>
        <w:noBreakHyphen/>
        <w:t>26 с цилиндрической башней, с подачей химаппаратуры с завода “Компрессор”;</w:t>
      </w:r>
    </w:p>
    <w:p w14:paraId="11C52077"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танк Т</w:t>
      </w:r>
      <w:r w:rsidRPr="00DB5D0D">
        <w:rPr>
          <w:rFonts w:ascii="Times New Roman" w:hAnsi="Times New Roman"/>
          <w:color w:val="000000" w:themeColor="text1"/>
          <w:sz w:val="16"/>
          <w:szCs w:val="16"/>
        </w:rPr>
        <w:noBreakHyphen/>
        <w:t>26, подготовленный под монтаж особой техники.</w:t>
      </w:r>
    </w:p>
    <w:p w14:paraId="527B330C"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Серийное производство танков с 1939 г.:</w:t>
      </w:r>
    </w:p>
    <w:p w14:paraId="5B62279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усовершенствованный танк Т-26 с мотором 120</w:t>
      </w:r>
      <w:r w:rsidRPr="00DB5D0D">
        <w:rPr>
          <w:rFonts w:ascii="Times New Roman" w:hAnsi="Times New Roman"/>
          <w:color w:val="000000" w:themeColor="text1"/>
          <w:sz w:val="16"/>
          <w:szCs w:val="16"/>
        </w:rPr>
        <w:noBreakHyphen/>
        <w:t>130 л. с. увеличенной стойкостью брони, наклонными листами  подбашенной коробки, конической башней, усиленной ходовой частью и вооружением, с конструктивными изменениями по предложениям АБТУ РККА, выработанным на основе танкового совещания (перечни № 1, 2, 4). Усовершенствования производить по принципу полной взаимозаменяемости агрегатов и механизмов на ныне существующем парке машин Т</w:t>
      </w:r>
      <w:r w:rsidRPr="00DB5D0D">
        <w:rPr>
          <w:rFonts w:ascii="Times New Roman" w:hAnsi="Times New Roman"/>
          <w:color w:val="000000" w:themeColor="text1"/>
          <w:sz w:val="16"/>
          <w:szCs w:val="16"/>
        </w:rPr>
        <w:noBreakHyphen/>
        <w:t>26;</w:t>
      </w:r>
    </w:p>
    <w:p w14:paraId="5F9538E6"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арттанк с 76</w:t>
      </w:r>
      <w:r w:rsidRPr="00DB5D0D">
        <w:rPr>
          <w:rFonts w:ascii="Times New Roman" w:hAnsi="Times New Roman"/>
          <w:color w:val="000000" w:themeColor="text1"/>
          <w:sz w:val="16"/>
          <w:szCs w:val="16"/>
        </w:rPr>
        <w:noBreakHyphen/>
        <w:t>мм пушкой Л</w:t>
      </w:r>
      <w:r w:rsidRPr="00DB5D0D">
        <w:rPr>
          <w:rFonts w:ascii="Times New Roman" w:hAnsi="Times New Roman"/>
          <w:color w:val="000000" w:themeColor="text1"/>
          <w:sz w:val="16"/>
          <w:szCs w:val="16"/>
        </w:rPr>
        <w:noBreakHyphen/>
        <w:t>10 в башне, устанавливаемой на усовершенствованном танке Т</w:t>
      </w:r>
      <w:r w:rsidRPr="00DB5D0D">
        <w:rPr>
          <w:rFonts w:ascii="Times New Roman" w:hAnsi="Times New Roman"/>
          <w:color w:val="000000" w:themeColor="text1"/>
          <w:sz w:val="16"/>
          <w:szCs w:val="16"/>
        </w:rPr>
        <w:noBreakHyphen/>
        <w:t>26 с наклонными листами подбашенной коробки;</w:t>
      </w:r>
    </w:p>
    <w:p w14:paraId="7AB4AB1D"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химтанк и танк, оборудованный под особую технику на базе усовершенствованного танка Т</w:t>
      </w:r>
      <w:r w:rsidRPr="00DB5D0D">
        <w:rPr>
          <w:rFonts w:ascii="Times New Roman" w:hAnsi="Times New Roman"/>
          <w:color w:val="000000" w:themeColor="text1"/>
          <w:sz w:val="16"/>
          <w:szCs w:val="16"/>
        </w:rPr>
        <w:noBreakHyphen/>
        <w:t>26;</w:t>
      </w:r>
    </w:p>
    <w:p w14:paraId="00157665"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химизированный (с огнеметом и дымовым прибором) танк на базе усовершенствованного танка Т</w:t>
      </w:r>
      <w:r w:rsidRPr="00DB5D0D">
        <w:rPr>
          <w:rFonts w:ascii="Times New Roman" w:hAnsi="Times New Roman"/>
          <w:color w:val="000000" w:themeColor="text1"/>
          <w:sz w:val="16"/>
          <w:szCs w:val="16"/>
        </w:rPr>
        <w:noBreakHyphen/>
        <w:t>26;</w:t>
      </w:r>
    </w:p>
    <w:p w14:paraId="526BA1BC"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усовершенствованный танк Т</w:t>
      </w:r>
      <w:r w:rsidRPr="00DB5D0D">
        <w:rPr>
          <w:rFonts w:ascii="Times New Roman" w:hAnsi="Times New Roman"/>
          <w:color w:val="000000" w:themeColor="text1"/>
          <w:sz w:val="16"/>
          <w:szCs w:val="16"/>
        </w:rPr>
        <w:noBreakHyphen/>
        <w:t>26 с оборудованием для подводного хождения.</w:t>
      </w:r>
    </w:p>
    <w:p w14:paraId="0628871D"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183</w:t>
      </w:r>
    </w:p>
    <w:p w14:paraId="5BD40E2B"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Серийное производство танков в 1938 г.:</w:t>
      </w:r>
    </w:p>
    <w:p w14:paraId="71306F05"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танк БТ</w:t>
      </w:r>
      <w:r w:rsidRPr="00DB5D0D">
        <w:rPr>
          <w:rFonts w:ascii="Times New Roman" w:hAnsi="Times New Roman"/>
          <w:color w:val="000000" w:themeColor="text1"/>
          <w:sz w:val="16"/>
          <w:szCs w:val="16"/>
        </w:rPr>
        <w:noBreakHyphen/>
        <w:t>7 с конической башней, с мотором М</w:t>
      </w:r>
      <w:r w:rsidRPr="00DB5D0D">
        <w:rPr>
          <w:rFonts w:ascii="Times New Roman" w:hAnsi="Times New Roman"/>
          <w:color w:val="000000" w:themeColor="text1"/>
          <w:sz w:val="16"/>
          <w:szCs w:val="16"/>
        </w:rPr>
        <w:noBreakHyphen/>
        <w:t>17, 45</w:t>
      </w:r>
      <w:r w:rsidRPr="00DB5D0D">
        <w:rPr>
          <w:rFonts w:ascii="Times New Roman" w:hAnsi="Times New Roman"/>
          <w:color w:val="000000" w:themeColor="text1"/>
          <w:sz w:val="16"/>
          <w:szCs w:val="16"/>
        </w:rPr>
        <w:noBreakHyphen/>
        <w:t>мм пушкой — линейный и радио;</w:t>
      </w:r>
    </w:p>
    <w:p w14:paraId="6A200621"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БТ</w:t>
      </w:r>
      <w:r w:rsidRPr="00DB5D0D">
        <w:rPr>
          <w:rFonts w:ascii="Times New Roman" w:hAnsi="Times New Roman"/>
          <w:color w:val="000000" w:themeColor="text1"/>
          <w:sz w:val="16"/>
          <w:szCs w:val="16"/>
        </w:rPr>
        <w:noBreakHyphen/>
        <w:t>8 с конической башней, дизель-мотором, 45</w:t>
      </w:r>
      <w:r w:rsidRPr="00DB5D0D">
        <w:rPr>
          <w:rFonts w:ascii="Times New Roman" w:hAnsi="Times New Roman"/>
          <w:color w:val="000000" w:themeColor="text1"/>
          <w:sz w:val="16"/>
          <w:szCs w:val="16"/>
        </w:rPr>
        <w:noBreakHyphen/>
        <w:t>мм пушкой, линейный и радио — со второго полугодия 1938 г.[</w:t>
      </w:r>
      <w:hyperlink r:id="rId264" w:anchor="p5" w:history="1">
        <w:r w:rsidRPr="00DB5D0D">
          <w:rPr>
            <w:rFonts w:ascii="Times New Roman" w:hAnsi="Times New Roman"/>
            <w:color w:val="000000" w:themeColor="text1"/>
            <w:sz w:val="16"/>
            <w:szCs w:val="16"/>
          </w:rPr>
          <w:t>5</w:t>
        </w:r>
      </w:hyperlink>
      <w:r w:rsidRPr="00DB5D0D">
        <w:rPr>
          <w:rFonts w:ascii="Times New Roman" w:hAnsi="Times New Roman"/>
          <w:color w:val="000000" w:themeColor="text1"/>
          <w:sz w:val="16"/>
          <w:szCs w:val="16"/>
        </w:rPr>
        <w:t>];</w:t>
      </w:r>
    </w:p>
    <w:p w14:paraId="69980ECE"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танк Т</w:t>
      </w:r>
      <w:r w:rsidRPr="00DB5D0D">
        <w:rPr>
          <w:rFonts w:ascii="Times New Roman" w:hAnsi="Times New Roman"/>
          <w:color w:val="000000" w:themeColor="text1"/>
          <w:sz w:val="16"/>
          <w:szCs w:val="16"/>
        </w:rPr>
        <w:noBreakHyphen/>
        <w:t>35 — до IV квартала 1938 г., с цилиндрическими башнями и корпусом из гомогенной брони; в IV квартале 1938 г. — с коническими башнями из гомогенной брони, корпусом из цементованной брони с усиленными лобовыми листами до 60 мм и 76</w:t>
      </w:r>
      <w:r w:rsidRPr="00DB5D0D">
        <w:rPr>
          <w:rFonts w:ascii="Times New Roman" w:hAnsi="Times New Roman"/>
          <w:color w:val="000000" w:themeColor="text1"/>
          <w:sz w:val="16"/>
          <w:szCs w:val="16"/>
        </w:rPr>
        <w:noBreakHyphen/>
        <w:t>мм пушкой Л</w:t>
      </w:r>
      <w:r w:rsidRPr="00DB5D0D">
        <w:rPr>
          <w:rFonts w:ascii="Times New Roman" w:hAnsi="Times New Roman"/>
          <w:color w:val="000000" w:themeColor="text1"/>
          <w:sz w:val="16"/>
          <w:szCs w:val="16"/>
        </w:rPr>
        <w:noBreakHyphen/>
        <w:t>10.</w:t>
      </w:r>
    </w:p>
    <w:p w14:paraId="097CE77B"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Серийное производство танков с 1939 г.:</w:t>
      </w:r>
    </w:p>
    <w:p w14:paraId="17C909B7"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усовершенствованный танк БТ</w:t>
      </w:r>
      <w:r w:rsidRPr="00DB5D0D">
        <w:rPr>
          <w:rFonts w:ascii="Times New Roman" w:hAnsi="Times New Roman"/>
          <w:color w:val="000000" w:themeColor="text1"/>
          <w:sz w:val="16"/>
          <w:szCs w:val="16"/>
        </w:rPr>
        <w:noBreakHyphen/>
        <w:t>8, с дизель-мотором, увеличенной стойкостью брони, улучшенной ходовой частью, усиленный вооружением и с учетом конструктивных изменений по БТ</w:t>
      </w:r>
      <w:r w:rsidRPr="00DB5D0D">
        <w:rPr>
          <w:rFonts w:ascii="Times New Roman" w:hAnsi="Times New Roman"/>
          <w:color w:val="000000" w:themeColor="text1"/>
          <w:sz w:val="16"/>
          <w:szCs w:val="16"/>
        </w:rPr>
        <w:noBreakHyphen/>
        <w:t>7 по предложениям АБТУ РККА, выработанным на основе танкового совещания (перечни № 1, 2, 3). Усовершенствования производить по принципу полной взаимозаменяемости агрегатов и механизмов на ныне существующем парке машин БТ</w:t>
      </w:r>
      <w:r w:rsidRPr="00DB5D0D">
        <w:rPr>
          <w:rFonts w:ascii="Times New Roman" w:hAnsi="Times New Roman"/>
          <w:color w:val="000000" w:themeColor="text1"/>
          <w:sz w:val="16"/>
          <w:szCs w:val="16"/>
        </w:rPr>
        <w:noBreakHyphen/>
        <w:t>7;</w:t>
      </w:r>
    </w:p>
    <w:p w14:paraId="16867585"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арттанки БТ</w:t>
      </w:r>
      <w:r w:rsidRPr="00DB5D0D">
        <w:rPr>
          <w:rFonts w:ascii="Times New Roman" w:hAnsi="Times New Roman"/>
          <w:color w:val="000000" w:themeColor="text1"/>
          <w:sz w:val="16"/>
          <w:szCs w:val="16"/>
        </w:rPr>
        <w:noBreakHyphen/>
        <w:t>8 с установкой в башне 76</w:t>
      </w:r>
      <w:r w:rsidRPr="00DB5D0D">
        <w:rPr>
          <w:rFonts w:ascii="Times New Roman" w:hAnsi="Times New Roman"/>
          <w:color w:val="000000" w:themeColor="text1"/>
          <w:sz w:val="16"/>
          <w:szCs w:val="16"/>
        </w:rPr>
        <w:noBreakHyphen/>
        <w:t>мм пушки Л</w:t>
      </w:r>
      <w:r w:rsidRPr="00DB5D0D">
        <w:rPr>
          <w:rFonts w:ascii="Times New Roman" w:hAnsi="Times New Roman"/>
          <w:color w:val="000000" w:themeColor="text1"/>
          <w:sz w:val="16"/>
          <w:szCs w:val="16"/>
        </w:rPr>
        <w:noBreakHyphen/>
        <w:t>10;</w:t>
      </w:r>
    </w:p>
    <w:p w14:paraId="3F572018"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химтанк БТ</w:t>
      </w:r>
      <w:r w:rsidRPr="00DB5D0D">
        <w:rPr>
          <w:rFonts w:ascii="Times New Roman" w:hAnsi="Times New Roman"/>
          <w:color w:val="000000" w:themeColor="text1"/>
          <w:sz w:val="16"/>
          <w:szCs w:val="16"/>
        </w:rPr>
        <w:noBreakHyphen/>
        <w:t>8 — со второго полугодия 1939 г.;</w:t>
      </w:r>
    </w:p>
    <w:p w14:paraId="0C771C1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танк БТ</w:t>
      </w:r>
      <w:r w:rsidRPr="00DB5D0D">
        <w:rPr>
          <w:rFonts w:ascii="Times New Roman" w:hAnsi="Times New Roman"/>
          <w:color w:val="000000" w:themeColor="text1"/>
          <w:sz w:val="16"/>
          <w:szCs w:val="16"/>
        </w:rPr>
        <w:noBreakHyphen/>
        <w:t>8 с оборудованием для подводного хождения;</w:t>
      </w:r>
    </w:p>
    <w:p w14:paraId="507CD932"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усовершенствованный танк Т</w:t>
      </w:r>
      <w:r w:rsidRPr="00DB5D0D">
        <w:rPr>
          <w:rFonts w:ascii="Times New Roman" w:hAnsi="Times New Roman"/>
          <w:color w:val="000000" w:themeColor="text1"/>
          <w:sz w:val="16"/>
          <w:szCs w:val="16"/>
        </w:rPr>
        <w:noBreakHyphen/>
        <w:t>35 с мотором М</w:t>
      </w:r>
      <w:r w:rsidRPr="00DB5D0D">
        <w:rPr>
          <w:rFonts w:ascii="Times New Roman" w:hAnsi="Times New Roman"/>
          <w:color w:val="000000" w:themeColor="text1"/>
          <w:sz w:val="16"/>
          <w:szCs w:val="16"/>
        </w:rPr>
        <w:noBreakHyphen/>
        <w:t>17 650 л. с., 76</w:t>
      </w:r>
      <w:r w:rsidRPr="00DB5D0D">
        <w:rPr>
          <w:rFonts w:ascii="Times New Roman" w:hAnsi="Times New Roman"/>
          <w:color w:val="000000" w:themeColor="text1"/>
          <w:sz w:val="16"/>
          <w:szCs w:val="16"/>
        </w:rPr>
        <w:noBreakHyphen/>
        <w:t>мм пушкой Л</w:t>
      </w:r>
      <w:r w:rsidRPr="00DB5D0D">
        <w:rPr>
          <w:rFonts w:ascii="Times New Roman" w:hAnsi="Times New Roman"/>
          <w:color w:val="000000" w:themeColor="text1"/>
          <w:sz w:val="16"/>
          <w:szCs w:val="16"/>
        </w:rPr>
        <w:noBreakHyphen/>
        <w:t>10 и с конструктивными изменениями по предложениям АБТУ РККА, выработанным на основе танкового совещания (перечни № 1, 2, 6). Усовершенствования производить по принципу полной взаимозаменяемости агрегатов и механизмов на ныне существующем парке машин Т</w:t>
      </w:r>
      <w:r w:rsidRPr="00DB5D0D">
        <w:rPr>
          <w:rFonts w:ascii="Times New Roman" w:hAnsi="Times New Roman"/>
          <w:color w:val="000000" w:themeColor="text1"/>
          <w:sz w:val="16"/>
          <w:szCs w:val="16"/>
        </w:rPr>
        <w:noBreakHyphen/>
        <w:t>35.</w:t>
      </w:r>
    </w:p>
    <w:p w14:paraId="60A53A4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37</w:t>
      </w:r>
    </w:p>
    <w:p w14:paraId="3DB91A25"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Впредь до постановки на производство нового плавающего танка сохранить мобилизационное задание на танки Т</w:t>
      </w:r>
      <w:r w:rsidRPr="00DB5D0D">
        <w:rPr>
          <w:rFonts w:ascii="Times New Roman" w:hAnsi="Times New Roman"/>
          <w:color w:val="000000" w:themeColor="text1"/>
          <w:sz w:val="16"/>
          <w:szCs w:val="16"/>
        </w:rPr>
        <w:noBreakHyphen/>
        <w:t>38. Серийное производство Т</w:t>
      </w:r>
      <w:r w:rsidRPr="00DB5D0D">
        <w:rPr>
          <w:rFonts w:ascii="Times New Roman" w:hAnsi="Times New Roman"/>
          <w:color w:val="000000" w:themeColor="text1"/>
          <w:sz w:val="16"/>
          <w:szCs w:val="16"/>
        </w:rPr>
        <w:noBreakHyphen/>
        <w:t>38 по мирному времени прекратить.</w:t>
      </w:r>
    </w:p>
    <w:p w14:paraId="012CD64F"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1938 г. подготовить  и испытать образцы усовершенствованных танков Т</w:t>
      </w:r>
      <w:r w:rsidRPr="00DB5D0D">
        <w:rPr>
          <w:rFonts w:ascii="Times New Roman" w:hAnsi="Times New Roman"/>
          <w:color w:val="000000" w:themeColor="text1"/>
          <w:sz w:val="16"/>
          <w:szCs w:val="16"/>
        </w:rPr>
        <w:noBreakHyphen/>
        <w:t>38 с использованием агрегатов трактора “Комсомолец”, подготовив их серийное производство на военный 1939 г.</w:t>
      </w:r>
    </w:p>
    <w:p w14:paraId="30265883"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Усовершенствование танка Т</w:t>
      </w:r>
      <w:r w:rsidRPr="00DB5D0D">
        <w:rPr>
          <w:rFonts w:ascii="Times New Roman" w:hAnsi="Times New Roman"/>
          <w:color w:val="000000" w:themeColor="text1"/>
          <w:sz w:val="16"/>
          <w:szCs w:val="16"/>
        </w:rPr>
        <w:noBreakHyphen/>
        <w:t>38 производить по принципу полной взаимозаменяемости агрегатов и механизмов на ныне существующем парке машин Т</w:t>
      </w:r>
      <w:r w:rsidRPr="00DB5D0D">
        <w:rPr>
          <w:rFonts w:ascii="Times New Roman" w:hAnsi="Times New Roman"/>
          <w:color w:val="000000" w:themeColor="text1"/>
          <w:sz w:val="16"/>
          <w:szCs w:val="16"/>
        </w:rPr>
        <w:noBreakHyphen/>
        <w:t>37 и Т</w:t>
      </w:r>
      <w:r w:rsidRPr="00DB5D0D">
        <w:rPr>
          <w:rFonts w:ascii="Times New Roman" w:hAnsi="Times New Roman"/>
          <w:color w:val="000000" w:themeColor="text1"/>
          <w:sz w:val="16"/>
          <w:szCs w:val="16"/>
        </w:rPr>
        <w:noBreakHyphen/>
        <w:t>38.</w:t>
      </w:r>
    </w:p>
    <w:p w14:paraId="4A1E5BD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48</w:t>
      </w:r>
    </w:p>
    <w:p w14:paraId="09B5A8E0"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Серийное производство танков в 1938 г.: опытная партия танков БТ</w:t>
      </w:r>
      <w:r w:rsidRPr="00DB5D0D">
        <w:rPr>
          <w:rFonts w:ascii="Times New Roman" w:hAnsi="Times New Roman"/>
          <w:color w:val="000000" w:themeColor="text1"/>
          <w:sz w:val="16"/>
          <w:szCs w:val="16"/>
        </w:rPr>
        <w:noBreakHyphen/>
        <w:t>5</w:t>
      </w:r>
      <w:r w:rsidRPr="00DB5D0D">
        <w:rPr>
          <w:rFonts w:ascii="Times New Roman" w:hAnsi="Times New Roman"/>
          <w:color w:val="000000" w:themeColor="text1"/>
          <w:sz w:val="16"/>
          <w:szCs w:val="16"/>
        </w:rPr>
        <w:noBreakHyphen/>
        <w:t>ИС с 6 ведущими колесами.</w:t>
      </w:r>
    </w:p>
    <w:p w14:paraId="191C54DF"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Серийное производство с 1939 г.: химтанк БТ</w:t>
      </w:r>
      <w:r w:rsidRPr="00DB5D0D">
        <w:rPr>
          <w:rFonts w:ascii="Times New Roman" w:hAnsi="Times New Roman"/>
          <w:color w:val="000000" w:themeColor="text1"/>
          <w:sz w:val="16"/>
          <w:szCs w:val="16"/>
        </w:rPr>
        <w:noBreakHyphen/>
        <w:t>7 по образцу, изготовляемому заводом “Компрессор” в 1938 г., с подачей химаппаратуры с завода “Компрессор”[6].</w:t>
      </w:r>
    </w:p>
    <w:p w14:paraId="6EF0AB07"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Кировский завод</w:t>
      </w:r>
    </w:p>
    <w:p w14:paraId="21DE1857"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Серийное производство танков в 1938 г.:</w:t>
      </w:r>
    </w:p>
    <w:p w14:paraId="6058918D"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танки Т</w:t>
      </w:r>
      <w:r w:rsidRPr="00DB5D0D">
        <w:rPr>
          <w:rFonts w:ascii="Times New Roman" w:hAnsi="Times New Roman"/>
          <w:color w:val="000000" w:themeColor="text1"/>
          <w:sz w:val="16"/>
          <w:szCs w:val="16"/>
        </w:rPr>
        <w:noBreakHyphen/>
        <w:t>28 с усиленной ходовой частью, цементированным корпусом и цилиндрической большой башней — в первом полугодии, с конической башней и 76</w:t>
      </w:r>
      <w:r w:rsidRPr="00DB5D0D">
        <w:rPr>
          <w:rFonts w:ascii="Times New Roman" w:hAnsi="Times New Roman"/>
          <w:color w:val="000000" w:themeColor="text1"/>
          <w:sz w:val="16"/>
          <w:szCs w:val="16"/>
        </w:rPr>
        <w:noBreakHyphen/>
        <w:t>мм пушкой Л</w:t>
      </w:r>
      <w:r w:rsidRPr="00DB5D0D">
        <w:rPr>
          <w:rFonts w:ascii="Times New Roman" w:hAnsi="Times New Roman"/>
          <w:color w:val="000000" w:themeColor="text1"/>
          <w:sz w:val="16"/>
          <w:szCs w:val="16"/>
        </w:rPr>
        <w:noBreakHyphen/>
        <w:t>10 — во втором полугодии;</w:t>
      </w:r>
    </w:p>
    <w:p w14:paraId="40D4C728"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изготовить один опытный образец танка Т</w:t>
      </w:r>
      <w:r w:rsidRPr="00DB5D0D">
        <w:rPr>
          <w:rFonts w:ascii="Times New Roman" w:hAnsi="Times New Roman"/>
          <w:color w:val="000000" w:themeColor="text1"/>
          <w:sz w:val="16"/>
          <w:szCs w:val="16"/>
        </w:rPr>
        <w:noBreakHyphen/>
        <w:t>28 с оборудованием для подводного хождения.</w:t>
      </w:r>
    </w:p>
    <w:p w14:paraId="3DE929D1"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Серийное производство танков с 1939 г.:</w:t>
      </w:r>
    </w:p>
    <w:p w14:paraId="34F5FA10"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усовершенствованный танк Т</w:t>
      </w:r>
      <w:r w:rsidRPr="00DB5D0D">
        <w:rPr>
          <w:rFonts w:ascii="Times New Roman" w:hAnsi="Times New Roman"/>
          <w:color w:val="000000" w:themeColor="text1"/>
          <w:sz w:val="16"/>
          <w:szCs w:val="16"/>
        </w:rPr>
        <w:noBreakHyphen/>
        <w:t>28, с увеличенной стойкостью брони, усиленной ходовой частью, конической большой башней, 76</w:t>
      </w:r>
      <w:r w:rsidRPr="00DB5D0D">
        <w:rPr>
          <w:rFonts w:ascii="Times New Roman" w:hAnsi="Times New Roman"/>
          <w:color w:val="000000" w:themeColor="text1"/>
          <w:sz w:val="16"/>
          <w:szCs w:val="16"/>
        </w:rPr>
        <w:noBreakHyphen/>
        <w:t>мм пушкой Л</w:t>
      </w:r>
      <w:r w:rsidRPr="00DB5D0D">
        <w:rPr>
          <w:rFonts w:ascii="Times New Roman" w:hAnsi="Times New Roman"/>
          <w:color w:val="000000" w:themeColor="text1"/>
          <w:sz w:val="16"/>
          <w:szCs w:val="16"/>
        </w:rPr>
        <w:noBreakHyphen/>
        <w:t>10 с конструктивными изменениями по предложениям АБТУ РККА, выработанным на основе танкового совещания (Перечни № 1, 2, 5). Усовершенствования производить по принципу полной взаимозаменяемости агрегатов и механизмов на ныне существующем парке машин Т</w:t>
      </w:r>
      <w:r w:rsidRPr="00DB5D0D">
        <w:rPr>
          <w:rFonts w:ascii="Times New Roman" w:hAnsi="Times New Roman"/>
          <w:color w:val="000000" w:themeColor="text1"/>
          <w:sz w:val="16"/>
          <w:szCs w:val="16"/>
        </w:rPr>
        <w:noBreakHyphen/>
        <w:t>28;</w:t>
      </w:r>
    </w:p>
    <w:p w14:paraId="5B87080F"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усовершенствованный танк Т</w:t>
      </w:r>
      <w:r w:rsidRPr="00DB5D0D">
        <w:rPr>
          <w:rFonts w:ascii="Times New Roman" w:hAnsi="Times New Roman"/>
          <w:color w:val="000000" w:themeColor="text1"/>
          <w:sz w:val="16"/>
          <w:szCs w:val="16"/>
        </w:rPr>
        <w:noBreakHyphen/>
        <w:t>28 с оборудованием для подводного хождения.</w:t>
      </w:r>
    </w:p>
    <w:p w14:paraId="664D15E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Сталинградский тракторный завод</w:t>
      </w:r>
    </w:p>
    <w:p w14:paraId="364DC1FE"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Серийное производство танков в 1938 г.:</w:t>
      </w:r>
    </w:p>
    <w:p w14:paraId="6017F1E8"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установочная партия танков Т</w:t>
      </w:r>
      <w:r w:rsidRPr="00DB5D0D">
        <w:rPr>
          <w:rFonts w:ascii="Times New Roman" w:hAnsi="Times New Roman"/>
          <w:color w:val="000000" w:themeColor="text1"/>
          <w:sz w:val="16"/>
          <w:szCs w:val="16"/>
        </w:rPr>
        <w:noBreakHyphen/>
        <w:t>26 эталона 1937 г. с конической башней для подготовки производства на военный 1939 г.;</w:t>
      </w:r>
    </w:p>
    <w:p w14:paraId="11A839CF"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 танк Т</w:t>
      </w:r>
      <w:r w:rsidRPr="00DB5D0D">
        <w:rPr>
          <w:rFonts w:ascii="Times New Roman" w:hAnsi="Times New Roman"/>
          <w:color w:val="000000" w:themeColor="text1"/>
          <w:sz w:val="16"/>
          <w:szCs w:val="16"/>
        </w:rPr>
        <w:noBreakHyphen/>
        <w:t>26 эталона 1936 г. с цилиндрической башней для производства в военном 1938 г.;</w:t>
      </w:r>
    </w:p>
    <w:p w14:paraId="7DBE7C95"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Красноармейской судоверфи и заводу “Красный Октябрь” мобподготовку на 1938</w:t>
      </w:r>
      <w:r w:rsidRPr="00DB5D0D">
        <w:rPr>
          <w:rFonts w:ascii="Times New Roman" w:hAnsi="Times New Roman"/>
          <w:color w:val="000000" w:themeColor="text1"/>
          <w:sz w:val="16"/>
          <w:szCs w:val="16"/>
        </w:rPr>
        <w:noBreakHyphen/>
        <w:t>1939 военный год вести по эталону танка Т</w:t>
      </w:r>
      <w:r w:rsidRPr="00DB5D0D">
        <w:rPr>
          <w:rFonts w:ascii="Times New Roman" w:hAnsi="Times New Roman"/>
          <w:color w:val="000000" w:themeColor="text1"/>
          <w:sz w:val="16"/>
          <w:szCs w:val="16"/>
        </w:rPr>
        <w:noBreakHyphen/>
        <w:t>26 1937 г. с конической башней.</w:t>
      </w:r>
    </w:p>
    <w:p w14:paraId="0FBE5DC9"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Серийное производство танков с 1939 г.:</w:t>
      </w:r>
    </w:p>
    <w:p w14:paraId="1520B307"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установочная  партия  усовершенствованных танков Т</w:t>
      </w:r>
      <w:r w:rsidRPr="00DB5D0D">
        <w:rPr>
          <w:rFonts w:ascii="Times New Roman" w:hAnsi="Times New Roman"/>
          <w:color w:val="000000" w:themeColor="text1"/>
          <w:sz w:val="16"/>
          <w:szCs w:val="16"/>
        </w:rPr>
        <w:noBreakHyphen/>
        <w:t>26 с мотором 120</w:t>
      </w:r>
      <w:r w:rsidRPr="00DB5D0D">
        <w:rPr>
          <w:rFonts w:ascii="Times New Roman" w:hAnsi="Times New Roman"/>
          <w:color w:val="000000" w:themeColor="text1"/>
          <w:sz w:val="16"/>
          <w:szCs w:val="16"/>
        </w:rPr>
        <w:noBreakHyphen/>
        <w:t>130 л. с., увеличенной стойкостью брони, наклонными листами подбашенной коробки, конической башней, усиленной ходовой частью и вооружением и с конструктивными изменениями по предложениям АБТУ РККА, выработанным на основе танкового совещания (Перечни № 1, 2, 4);</w:t>
      </w:r>
    </w:p>
    <w:p w14:paraId="2280C03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танк Т</w:t>
      </w:r>
      <w:r w:rsidRPr="00DB5D0D">
        <w:rPr>
          <w:rFonts w:ascii="Times New Roman" w:hAnsi="Times New Roman"/>
          <w:color w:val="000000" w:themeColor="text1"/>
          <w:sz w:val="16"/>
          <w:szCs w:val="16"/>
        </w:rPr>
        <w:noBreakHyphen/>
        <w:t>26 эталона 1937 г. с конической башней для производства в военном 1939 г.</w:t>
      </w:r>
    </w:p>
    <w:p w14:paraId="405A4842"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w:t>
      </w:r>
    </w:p>
    <w:p w14:paraId="6292DCBF"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НКОП и НКМаш совместно с НКО (АБТУ) в месячный срок после издания настоящего постановления разработать реальный план внедрения конструктивных улучшений и изменений в танках Т</w:t>
      </w:r>
      <w:r w:rsidRPr="00DB5D0D">
        <w:rPr>
          <w:rFonts w:ascii="Times New Roman" w:hAnsi="Times New Roman"/>
          <w:color w:val="000000" w:themeColor="text1"/>
          <w:sz w:val="16"/>
          <w:szCs w:val="16"/>
        </w:rPr>
        <w:noBreakHyphen/>
        <w:t>26, БТ</w:t>
      </w:r>
      <w:r w:rsidRPr="00DB5D0D">
        <w:rPr>
          <w:rFonts w:ascii="Times New Roman" w:hAnsi="Times New Roman"/>
          <w:color w:val="000000" w:themeColor="text1"/>
          <w:sz w:val="16"/>
          <w:szCs w:val="16"/>
        </w:rPr>
        <w:noBreakHyphen/>
        <w:t>8, Т</w:t>
      </w:r>
      <w:r w:rsidRPr="00DB5D0D">
        <w:rPr>
          <w:rFonts w:ascii="Times New Roman" w:hAnsi="Times New Roman"/>
          <w:color w:val="000000" w:themeColor="text1"/>
          <w:sz w:val="16"/>
          <w:szCs w:val="16"/>
        </w:rPr>
        <w:noBreakHyphen/>
        <w:t>28 и Т</w:t>
      </w:r>
      <w:r w:rsidRPr="00DB5D0D">
        <w:rPr>
          <w:rFonts w:ascii="Times New Roman" w:hAnsi="Times New Roman"/>
          <w:color w:val="000000" w:themeColor="text1"/>
          <w:sz w:val="16"/>
          <w:szCs w:val="16"/>
        </w:rPr>
        <w:noBreakHyphen/>
        <w:t>35 с учетом необходимого времени для подготовки производства (перечни № 1, 2, 3, 4, 5, 6).</w:t>
      </w:r>
    </w:p>
    <w:p w14:paraId="372B843F"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w:t>
      </w:r>
    </w:p>
    <w:p w14:paraId="1B7D3E3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Прекратить работы и снять с производства как не отвечающие тактико-техническим требованиям:</w:t>
      </w:r>
    </w:p>
    <w:p w14:paraId="2EC81826"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Танк Т</w:t>
      </w:r>
      <w:r w:rsidRPr="00DB5D0D">
        <w:rPr>
          <w:rFonts w:ascii="Times New Roman" w:hAnsi="Times New Roman"/>
          <w:color w:val="000000" w:themeColor="text1"/>
          <w:sz w:val="16"/>
          <w:szCs w:val="16"/>
        </w:rPr>
        <w:noBreakHyphen/>
        <w:t>46.</w:t>
      </w:r>
    </w:p>
    <w:p w14:paraId="4D5339AE"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Колесно-гусеничный танк Т</w:t>
      </w:r>
      <w:r w:rsidRPr="00DB5D0D">
        <w:rPr>
          <w:rFonts w:ascii="Times New Roman" w:hAnsi="Times New Roman"/>
          <w:color w:val="000000" w:themeColor="text1"/>
          <w:sz w:val="16"/>
          <w:szCs w:val="16"/>
        </w:rPr>
        <w:noBreakHyphen/>
        <w:t>29.</w:t>
      </w:r>
    </w:p>
    <w:p w14:paraId="0CD893D1"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Колесно-гусеничный разведывательный танк.</w:t>
      </w:r>
    </w:p>
    <w:p w14:paraId="6BAB76F7"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Артиллерийский танк сопровождения АТ</w:t>
      </w:r>
      <w:r w:rsidRPr="00DB5D0D">
        <w:rPr>
          <w:rFonts w:ascii="Times New Roman" w:hAnsi="Times New Roman"/>
          <w:color w:val="000000" w:themeColor="text1"/>
          <w:sz w:val="16"/>
          <w:szCs w:val="16"/>
        </w:rPr>
        <w:noBreakHyphen/>
        <w:t>1.</w:t>
      </w:r>
    </w:p>
    <w:p w14:paraId="2BFFCADB"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Самоходную установку 203</w:t>
      </w:r>
      <w:r w:rsidRPr="00DB5D0D">
        <w:rPr>
          <w:rFonts w:ascii="Times New Roman" w:hAnsi="Times New Roman"/>
          <w:color w:val="000000" w:themeColor="text1"/>
          <w:sz w:val="16"/>
          <w:szCs w:val="16"/>
        </w:rPr>
        <w:noBreakHyphen/>
        <w:t>мм гаубицы Б-4[</w:t>
      </w:r>
      <w:hyperlink r:id="rId265" w:anchor="p7" w:history="1">
        <w:r w:rsidRPr="00DB5D0D">
          <w:rPr>
            <w:rFonts w:ascii="Times New Roman" w:hAnsi="Times New Roman"/>
            <w:color w:val="000000" w:themeColor="text1"/>
            <w:sz w:val="16"/>
            <w:szCs w:val="16"/>
          </w:rPr>
          <w:t>7</w:t>
        </w:r>
      </w:hyperlink>
      <w:r w:rsidRPr="00DB5D0D">
        <w:rPr>
          <w:rFonts w:ascii="Times New Roman" w:hAnsi="Times New Roman"/>
          <w:color w:val="000000" w:themeColor="text1"/>
          <w:sz w:val="16"/>
          <w:szCs w:val="16"/>
        </w:rPr>
        <w:t>].</w:t>
      </w:r>
    </w:p>
    <w:p w14:paraId="0F160768"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VIII.</w:t>
      </w:r>
    </w:p>
    <w:p w14:paraId="5B26DE12"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Комитета обороны при СНК Союза ССР от 15 августа 1937 г. за № 94сс отменить[</w:t>
      </w:r>
      <w:hyperlink r:id="rId266" w:anchor="p8" w:history="1">
        <w:r w:rsidRPr="00DB5D0D">
          <w:rPr>
            <w:rFonts w:ascii="Times New Roman" w:hAnsi="Times New Roman"/>
            <w:color w:val="000000" w:themeColor="text1"/>
            <w:sz w:val="16"/>
            <w:szCs w:val="16"/>
          </w:rPr>
          <w:t>8</w:t>
        </w:r>
      </w:hyperlink>
      <w:r w:rsidRPr="00DB5D0D">
        <w:rPr>
          <w:rFonts w:ascii="Times New Roman" w:hAnsi="Times New Roman"/>
          <w:color w:val="000000" w:themeColor="text1"/>
          <w:sz w:val="16"/>
          <w:szCs w:val="16"/>
        </w:rPr>
        <w:t>].</w:t>
      </w:r>
    </w:p>
    <w:p w14:paraId="7D2248B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Комитета обороны при СНК Союза ССРВ. Молотов[</w:t>
      </w:r>
      <w:hyperlink r:id="rId267" w:anchor="p9" w:history="1">
        <w:r w:rsidRPr="00DB5D0D">
          <w:rPr>
            <w:rFonts w:ascii="Times New Roman" w:hAnsi="Times New Roman"/>
            <w:color w:val="000000" w:themeColor="text1"/>
            <w:sz w:val="16"/>
            <w:szCs w:val="16"/>
          </w:rPr>
          <w:t>9</w:t>
        </w:r>
      </w:hyperlink>
      <w:r w:rsidRPr="00DB5D0D">
        <w:rPr>
          <w:rFonts w:ascii="Times New Roman" w:hAnsi="Times New Roman"/>
          <w:color w:val="000000" w:themeColor="text1"/>
          <w:sz w:val="16"/>
          <w:szCs w:val="16"/>
        </w:rPr>
        <w:t>]</w:t>
      </w:r>
    </w:p>
    <w:p w14:paraId="274C1E5F"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Комитета обороны при СНК Союза ССРБазилевич</w:t>
      </w:r>
    </w:p>
    <w:p w14:paraId="2E35FB7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p w14:paraId="67FC5BEB"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68"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Здесь и далее: приложения не публикуются (см. там же, Л. 238</w:t>
      </w:r>
      <w:r w:rsidRPr="00DB5D0D">
        <w:rPr>
          <w:rFonts w:ascii="Times New Roman" w:hAnsi="Times New Roman"/>
          <w:color w:val="000000" w:themeColor="text1"/>
          <w:sz w:val="16"/>
          <w:szCs w:val="16"/>
        </w:rPr>
        <w:noBreakHyphen/>
        <w:t>312).</w:t>
      </w:r>
    </w:p>
    <w:p w14:paraId="575F2AD9"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69" w:anchor="s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Средний бронеавтомобиль БА</w:t>
      </w:r>
      <w:r w:rsidRPr="00DB5D0D">
        <w:rPr>
          <w:rFonts w:ascii="Times New Roman" w:hAnsi="Times New Roman"/>
          <w:color w:val="000000" w:themeColor="text1"/>
          <w:sz w:val="16"/>
          <w:szCs w:val="16"/>
        </w:rPr>
        <w:noBreakHyphen/>
        <w:t>10 был принят на вооружение в 1938 г. и производился до 1941 г. включительно. Бронеавтомобиль разработала в 1937 г. на Ижорском заводе группа конструкторов во главе с А. А. Лингартом, О. В. Дыбовым и В. А. Грачевым. В основу его было положено модифицированное шасси серийного грузового автомобиля ГАЗ</w:t>
      </w:r>
      <w:r w:rsidRPr="00DB5D0D">
        <w:rPr>
          <w:rFonts w:ascii="Times New Roman" w:hAnsi="Times New Roman"/>
          <w:color w:val="000000" w:themeColor="text1"/>
          <w:sz w:val="16"/>
          <w:szCs w:val="16"/>
        </w:rPr>
        <w:noBreakHyphen/>
        <w:t>ААА. Корпус представлял собой сваренные катаные броневые листы. В задней части бронеавтомобиля располагалась башня, на которой устанавливались 45</w:t>
      </w:r>
      <w:r w:rsidRPr="00DB5D0D">
        <w:rPr>
          <w:rFonts w:ascii="Times New Roman" w:hAnsi="Times New Roman"/>
          <w:color w:val="000000" w:themeColor="text1"/>
          <w:sz w:val="16"/>
          <w:szCs w:val="16"/>
        </w:rPr>
        <w:noBreakHyphen/>
        <w:t>миллиметровая танковая пушка образца 1934 г. и спаренный с ней пулемет. Второй пулемет находился  в шаровой установке в лобовом броневом листе корпуса. Таким образом, вооружение бронеавтомобиля соответствовало вооружению танков Т</w:t>
      </w:r>
      <w:r w:rsidRPr="00DB5D0D">
        <w:rPr>
          <w:rFonts w:ascii="Times New Roman" w:hAnsi="Times New Roman"/>
          <w:color w:val="000000" w:themeColor="text1"/>
          <w:sz w:val="16"/>
          <w:szCs w:val="16"/>
        </w:rPr>
        <w:noBreakHyphen/>
        <w:t>26 и БТ, при этом вес его был в 2</w:t>
      </w:r>
      <w:r w:rsidRPr="00DB5D0D">
        <w:rPr>
          <w:rFonts w:ascii="Times New Roman" w:hAnsi="Times New Roman"/>
          <w:color w:val="000000" w:themeColor="text1"/>
          <w:sz w:val="16"/>
          <w:szCs w:val="16"/>
        </w:rPr>
        <w:noBreakHyphen/>
        <w:t>3 раза меньше. Экипаж бронеавтомобиля состоял из 4 чел.: командира, водителя, наводчика и пулеметчика. Ходовые качества автомобиля позволяли преодолевать подъемы до 24 градусов и форсировать водные преграды глубиной до 0,6 м. Для улучшения проходимости на задние колеса надевали гусеничные ленты типа “Оверолл”, и бронеавтомобиль становился полугусеничным. В 1939 году бронеавтомобиль модернизировали: усовершенствовали рулевое управление, усилили защиту радиатора и установили новую радиостанцию 71</w:t>
      </w:r>
      <w:r w:rsidRPr="00DB5D0D">
        <w:rPr>
          <w:rFonts w:ascii="Times New Roman" w:hAnsi="Times New Roman"/>
          <w:color w:val="000000" w:themeColor="text1"/>
          <w:sz w:val="16"/>
          <w:szCs w:val="16"/>
        </w:rPr>
        <w:noBreakHyphen/>
        <w:t>ТК</w:t>
      </w:r>
      <w:r w:rsidRPr="00DB5D0D">
        <w:rPr>
          <w:rFonts w:ascii="Times New Roman" w:hAnsi="Times New Roman"/>
          <w:color w:val="000000" w:themeColor="text1"/>
          <w:sz w:val="16"/>
          <w:szCs w:val="16"/>
        </w:rPr>
        <w:noBreakHyphen/>
        <w:t>1. Этот бронеавтомобиль был принят на вооружение под названием БА</w:t>
      </w:r>
      <w:r w:rsidRPr="00DB5D0D">
        <w:rPr>
          <w:rFonts w:ascii="Times New Roman" w:hAnsi="Times New Roman"/>
          <w:color w:val="000000" w:themeColor="text1"/>
          <w:sz w:val="16"/>
          <w:szCs w:val="16"/>
        </w:rPr>
        <w:noBreakHyphen/>
        <w:t>10М. Впервые использовался в боевых действиях в 1939 г. во время вооруженного конфликта у реки Халхин-Гол. Они составляли основную часть парка броневиков 7, 8 и 9-й мотобронебригад.</w:t>
      </w:r>
    </w:p>
    <w:p w14:paraId="78FBB6EC"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Легкий бронеавтомобиль БА-20 находился в серийном производстве с  1936 г. до начала Великой  Отечественной войны. Был создан на шасси легкового автомобиля ГАЗ</w:t>
      </w:r>
      <w:r w:rsidRPr="00DB5D0D">
        <w:rPr>
          <w:rFonts w:ascii="Times New Roman" w:hAnsi="Times New Roman"/>
          <w:color w:val="000000" w:themeColor="text1"/>
          <w:sz w:val="16"/>
          <w:szCs w:val="16"/>
        </w:rPr>
        <w:noBreakHyphen/>
        <w:t>М1. Имел сварной корпус из катаных броневых листов. Боевое отделение располагалось в задней части бронеавтомобиля. В смонтированной башне в шаровой опоре устанавливался 7,62</w:t>
      </w:r>
      <w:r w:rsidRPr="00DB5D0D">
        <w:rPr>
          <w:rFonts w:ascii="Times New Roman" w:hAnsi="Times New Roman"/>
          <w:color w:val="000000" w:themeColor="text1"/>
          <w:sz w:val="16"/>
          <w:szCs w:val="16"/>
        </w:rPr>
        <w:noBreakHyphen/>
        <w:t>мм пулемет. На бронеавтомобиле устанавливались пулестойкие шины. В качестве средств связи использовалась радиостанция 71</w:t>
      </w:r>
      <w:r w:rsidRPr="00DB5D0D">
        <w:rPr>
          <w:rFonts w:ascii="Times New Roman" w:hAnsi="Times New Roman"/>
          <w:color w:val="000000" w:themeColor="text1"/>
          <w:sz w:val="16"/>
          <w:szCs w:val="16"/>
        </w:rPr>
        <w:noBreakHyphen/>
        <w:t>ТК</w:t>
      </w:r>
      <w:r w:rsidRPr="00DB5D0D">
        <w:rPr>
          <w:rFonts w:ascii="Times New Roman" w:hAnsi="Times New Roman"/>
          <w:color w:val="000000" w:themeColor="text1"/>
          <w:sz w:val="16"/>
          <w:szCs w:val="16"/>
        </w:rPr>
        <w:noBreakHyphen/>
        <w:t>1. Машина широко использовалась в Красной армии как средство командирской разведки, связи и боевого охранения. Был разработан также вариант для движения по железной дороге со скоростью 80 км/ч. Позднее был разработана его модернизированный вариант БА</w:t>
      </w:r>
      <w:r w:rsidRPr="00DB5D0D">
        <w:rPr>
          <w:rFonts w:ascii="Times New Roman" w:hAnsi="Times New Roman"/>
          <w:color w:val="000000" w:themeColor="text1"/>
          <w:sz w:val="16"/>
          <w:szCs w:val="16"/>
        </w:rPr>
        <w:noBreakHyphen/>
        <w:t>20М. Бронемашины БА</w:t>
      </w:r>
      <w:r w:rsidRPr="00DB5D0D">
        <w:rPr>
          <w:rFonts w:ascii="Times New Roman" w:hAnsi="Times New Roman"/>
          <w:color w:val="000000" w:themeColor="text1"/>
          <w:sz w:val="16"/>
          <w:szCs w:val="16"/>
        </w:rPr>
        <w:noBreakHyphen/>
        <w:t>20 и БА</w:t>
      </w:r>
      <w:r w:rsidRPr="00DB5D0D">
        <w:rPr>
          <w:rFonts w:ascii="Times New Roman" w:hAnsi="Times New Roman"/>
          <w:color w:val="000000" w:themeColor="text1"/>
          <w:sz w:val="16"/>
          <w:szCs w:val="16"/>
        </w:rPr>
        <w:noBreakHyphen/>
        <w:t>20М состояли на вооружении Красной армии и принимали участие в боевых действиях на реке Халхин-Гол, на КВЖД, а затем на фронтах Великой Отечественной войны.</w:t>
      </w:r>
    </w:p>
    <w:p w14:paraId="6BA571BE"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70" w:anchor="s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 Помета: «Предложение НКМаш к п. 2. Образец среднего бронеавтомобиля передать на испытание не к 1 декабря 1938 г., а к 1 февраля 1939 г. Мотивировка: автозавод им. Сталина опоздает на 2 месяца с изготовлением шасси ЗС для бронеавтомобиля. Начальник АБТУ т. Павлов считает: при должном наблюдении и контроле со стороны НКМаша бронеавтомобиль будет изготовлен к 1 декабря 1938 г. Секретариат КО предлагает отклонить предложение НКМаша и оставить п. 2 в редакции НКО. Базилевич».</w:t>
      </w:r>
    </w:p>
    <w:p w14:paraId="45098986"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71" w:anchor="s4" w:history="1">
        <w:r w:rsidRPr="00DB5D0D">
          <w:rPr>
            <w:rFonts w:ascii="Times New Roman" w:hAnsi="Times New Roman"/>
            <w:color w:val="000000" w:themeColor="text1"/>
            <w:sz w:val="16"/>
            <w:szCs w:val="16"/>
          </w:rPr>
          <w:t>4</w:t>
        </w:r>
      </w:hyperlink>
      <w:r w:rsidRPr="00DB5D0D">
        <w:rPr>
          <w:rFonts w:ascii="Times New Roman" w:hAnsi="Times New Roman"/>
          <w:color w:val="000000" w:themeColor="text1"/>
          <w:sz w:val="16"/>
          <w:szCs w:val="16"/>
        </w:rPr>
        <w:t>] Помета: «Дополнительный пункт НКМаша к разделу III: “В связи со снятием с производства танка Т</w:t>
      </w:r>
      <w:r w:rsidRPr="00DB5D0D">
        <w:rPr>
          <w:rFonts w:ascii="Times New Roman" w:hAnsi="Times New Roman"/>
          <w:color w:val="000000" w:themeColor="text1"/>
          <w:sz w:val="16"/>
          <w:szCs w:val="16"/>
        </w:rPr>
        <w:noBreakHyphen/>
        <w:t>29 (танк прорыва) обязать НКО оплатить НКМашу затраты по производству танков Т</w:t>
      </w:r>
      <w:r w:rsidRPr="00DB5D0D">
        <w:rPr>
          <w:rFonts w:ascii="Times New Roman" w:hAnsi="Times New Roman"/>
          <w:color w:val="000000" w:themeColor="text1"/>
          <w:sz w:val="16"/>
          <w:szCs w:val="16"/>
        </w:rPr>
        <w:noBreakHyphen/>
        <w:t>29”. Мотивировка: до апреля месяца сего года на Кировском заводе велись работы по изготовлению двух опытных образцов танка Т</w:t>
      </w:r>
      <w:r w:rsidRPr="00DB5D0D">
        <w:rPr>
          <w:rFonts w:ascii="Times New Roman" w:hAnsi="Times New Roman"/>
          <w:color w:val="000000" w:themeColor="text1"/>
          <w:sz w:val="16"/>
          <w:szCs w:val="16"/>
        </w:rPr>
        <w:noBreakHyphen/>
        <w:t>29 и изготовлялись детали к пяти танкам Т</w:t>
      </w:r>
      <w:r w:rsidRPr="00DB5D0D">
        <w:rPr>
          <w:rFonts w:ascii="Times New Roman" w:hAnsi="Times New Roman"/>
          <w:color w:val="000000" w:themeColor="text1"/>
          <w:sz w:val="16"/>
          <w:szCs w:val="16"/>
        </w:rPr>
        <w:noBreakHyphen/>
        <w:t>29 (по постановлению КО от 15 августа 1938 г. “О танковом вооружении РККА”). НКО забраковал опытный образец Т</w:t>
      </w:r>
      <w:r w:rsidRPr="00DB5D0D">
        <w:rPr>
          <w:rFonts w:ascii="Times New Roman" w:hAnsi="Times New Roman"/>
          <w:color w:val="000000" w:themeColor="text1"/>
          <w:sz w:val="16"/>
          <w:szCs w:val="16"/>
        </w:rPr>
        <w:noBreakHyphen/>
        <w:t>29, имея в виду создание более совершенного образца танка прорыва, который и предусмотрен в настоящем проекте постановления КО. Начальник АБТУ т. Павлов возражает возмещать расходы по Т</w:t>
      </w:r>
      <w:r w:rsidRPr="00DB5D0D">
        <w:rPr>
          <w:rFonts w:ascii="Times New Roman" w:hAnsi="Times New Roman"/>
          <w:color w:val="000000" w:themeColor="text1"/>
          <w:sz w:val="16"/>
          <w:szCs w:val="16"/>
        </w:rPr>
        <w:noBreakHyphen/>
        <w:t>29 за счет НКО и просит эти расходы покрыть из резервного фонда СНК СССР. Секретариат КО считает целесообразным покрыть затраты НКМаша на опытные танки Т</w:t>
      </w:r>
      <w:r w:rsidRPr="00DB5D0D">
        <w:rPr>
          <w:rFonts w:ascii="Times New Roman" w:hAnsi="Times New Roman"/>
          <w:color w:val="000000" w:themeColor="text1"/>
          <w:sz w:val="16"/>
          <w:szCs w:val="16"/>
        </w:rPr>
        <w:noBreakHyphen/>
        <w:t>29 из резервного фонда СНК СССР по представлению НКМашем в КО обоснованного расчета затрат на опытные образцы танка Т</w:t>
      </w:r>
      <w:r w:rsidRPr="00DB5D0D">
        <w:rPr>
          <w:rFonts w:ascii="Times New Roman" w:hAnsi="Times New Roman"/>
          <w:color w:val="000000" w:themeColor="text1"/>
          <w:sz w:val="16"/>
          <w:szCs w:val="16"/>
        </w:rPr>
        <w:noBreakHyphen/>
        <w:t>29. П. 3. “В связи со снятием с производства танка Т</w:t>
      </w:r>
      <w:r w:rsidRPr="00DB5D0D">
        <w:rPr>
          <w:rFonts w:ascii="Times New Roman" w:hAnsi="Times New Roman"/>
          <w:color w:val="000000" w:themeColor="text1"/>
          <w:sz w:val="16"/>
          <w:szCs w:val="16"/>
        </w:rPr>
        <w:noBreakHyphen/>
        <w:t>29 (танк прорыва) НКМашу представить в КО обоснованный расчет затрат на опытные образцы Т</w:t>
      </w:r>
      <w:r w:rsidRPr="00DB5D0D">
        <w:rPr>
          <w:rFonts w:ascii="Times New Roman" w:hAnsi="Times New Roman"/>
          <w:color w:val="000000" w:themeColor="text1"/>
          <w:sz w:val="16"/>
          <w:szCs w:val="16"/>
        </w:rPr>
        <w:noBreakHyphen/>
        <w:t>29 для покрытия производства опытных образцов за счет резервного фонда СНК”. Базилевич».</w:t>
      </w:r>
    </w:p>
    <w:p w14:paraId="19EDAB21"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72" w:anchor="s5" w:history="1">
        <w:r w:rsidRPr="00DB5D0D">
          <w:rPr>
            <w:rFonts w:ascii="Times New Roman" w:hAnsi="Times New Roman"/>
            <w:color w:val="000000" w:themeColor="text1"/>
            <w:sz w:val="16"/>
            <w:szCs w:val="16"/>
          </w:rPr>
          <w:t>5</w:t>
        </w:r>
      </w:hyperlink>
      <w:r w:rsidRPr="00DB5D0D">
        <w:rPr>
          <w:rFonts w:ascii="Times New Roman" w:hAnsi="Times New Roman"/>
          <w:color w:val="000000" w:themeColor="text1"/>
          <w:sz w:val="16"/>
          <w:szCs w:val="16"/>
        </w:rPr>
        <w:t>] Легкий колесно-гусеничный танк БТ-7 стал третьим танком семейства советских легких танков БТ (“быстроходный танк”). Он был изготовлен в 1934 г. в бюро танкостроения Харьковского завода. От своих предшественников — БТ</w:t>
      </w:r>
      <w:r w:rsidRPr="00DB5D0D">
        <w:rPr>
          <w:rFonts w:ascii="Times New Roman" w:hAnsi="Times New Roman"/>
          <w:color w:val="000000" w:themeColor="text1"/>
          <w:sz w:val="16"/>
          <w:szCs w:val="16"/>
        </w:rPr>
        <w:noBreakHyphen/>
        <w:t>2 и БТ</w:t>
      </w:r>
      <w:r w:rsidRPr="00DB5D0D">
        <w:rPr>
          <w:rFonts w:ascii="Times New Roman" w:hAnsi="Times New Roman"/>
          <w:color w:val="000000" w:themeColor="text1"/>
          <w:sz w:val="16"/>
          <w:szCs w:val="16"/>
        </w:rPr>
        <w:noBreakHyphen/>
        <w:t>5 — он отличался сварным корпусом с улучшенной обзорностью для механика-водителя и новым, более надежным двигателем М</w:t>
      </w:r>
      <w:r w:rsidRPr="00DB5D0D">
        <w:rPr>
          <w:rFonts w:ascii="Times New Roman" w:hAnsi="Times New Roman"/>
          <w:color w:val="000000" w:themeColor="text1"/>
          <w:sz w:val="16"/>
          <w:szCs w:val="16"/>
        </w:rPr>
        <w:noBreakHyphen/>
        <w:t>17. В башне цилиндрической формы с развитой кормовой нишей размещалась 45</w:t>
      </w:r>
      <w:r w:rsidRPr="00DB5D0D">
        <w:rPr>
          <w:rFonts w:ascii="Times New Roman" w:hAnsi="Times New Roman"/>
          <w:color w:val="000000" w:themeColor="text1"/>
          <w:sz w:val="16"/>
          <w:szCs w:val="16"/>
        </w:rPr>
        <w:noBreakHyphen/>
        <w:t>мм танковая пушка 20К образца 1934 г. и спаренный с нею пулемет ДТ. На части танков находились кормовые и зенитные пулеметы и радиостанции 71</w:t>
      </w:r>
      <w:r w:rsidRPr="00DB5D0D">
        <w:rPr>
          <w:rFonts w:ascii="Times New Roman" w:hAnsi="Times New Roman"/>
          <w:color w:val="000000" w:themeColor="text1"/>
          <w:sz w:val="16"/>
          <w:szCs w:val="16"/>
        </w:rPr>
        <w:noBreakHyphen/>
        <w:t>ТК с поручневой антенной. Экипаж состоял из 3 чел.: командир (наводчик), заряжающий и механик-водитель. С 1937 г. БТ</w:t>
      </w:r>
      <w:r w:rsidRPr="00DB5D0D">
        <w:rPr>
          <w:rFonts w:ascii="Times New Roman" w:hAnsi="Times New Roman"/>
          <w:color w:val="000000" w:themeColor="text1"/>
          <w:sz w:val="16"/>
          <w:szCs w:val="16"/>
        </w:rPr>
        <w:noBreakHyphen/>
        <w:t>7 стал выпускаться с конической башней. Его вооружение оставили прежним, но боезапас увеличили до 188снарядов. На всех линейных танках установили пулемет ДТ в кормовой нише. Для ведения ночной стрельбы из пушки и спаренного пулемета БТ</w:t>
      </w:r>
      <w:r w:rsidRPr="00DB5D0D">
        <w:rPr>
          <w:rFonts w:ascii="Times New Roman" w:hAnsi="Times New Roman"/>
          <w:color w:val="000000" w:themeColor="text1"/>
          <w:sz w:val="16"/>
          <w:szCs w:val="16"/>
        </w:rPr>
        <w:noBreakHyphen/>
        <w:t>7 оборудовали двумя специальными фарами прожекторного типа, которые располагались на маске пушки. Вместо четырехскоростной коробки передач поставили трехскоростную. Внесли также изменения в трансмиссию, усилили пружины балансирных подвесок ведущих колес колесного хода. В 1938 г. крупнозвенчатую гусеницу начали менять на мелкозвенчатую. В ходе модернизации толщина лобовой брони БТ</w:t>
      </w:r>
      <w:r w:rsidRPr="00DB5D0D">
        <w:rPr>
          <w:rFonts w:ascii="Times New Roman" w:hAnsi="Times New Roman"/>
          <w:color w:val="000000" w:themeColor="text1"/>
          <w:sz w:val="16"/>
          <w:szCs w:val="16"/>
        </w:rPr>
        <w:noBreakHyphen/>
        <w:t>7 достигла 22 мм, а боевая масса — 13,9 т. Всего было выпущено 4727 танков БТ</w:t>
      </w:r>
      <w:r w:rsidRPr="00DB5D0D">
        <w:rPr>
          <w:rFonts w:ascii="Times New Roman" w:hAnsi="Times New Roman"/>
          <w:color w:val="000000" w:themeColor="text1"/>
          <w:sz w:val="16"/>
          <w:szCs w:val="16"/>
        </w:rPr>
        <w:noBreakHyphen/>
        <w:t>7. Впервые они приняли участие в боевых действиях на Халхин-Голе в составе 6</w:t>
      </w:r>
      <w:r w:rsidRPr="00DB5D0D">
        <w:rPr>
          <w:rFonts w:ascii="Times New Roman" w:hAnsi="Times New Roman"/>
          <w:color w:val="000000" w:themeColor="text1"/>
          <w:sz w:val="16"/>
          <w:szCs w:val="16"/>
        </w:rPr>
        <w:noBreakHyphen/>
        <w:t>й и 11</w:t>
      </w:r>
      <w:r w:rsidRPr="00DB5D0D">
        <w:rPr>
          <w:rFonts w:ascii="Times New Roman" w:hAnsi="Times New Roman"/>
          <w:color w:val="000000" w:themeColor="text1"/>
          <w:sz w:val="16"/>
          <w:szCs w:val="16"/>
        </w:rPr>
        <w:noBreakHyphen/>
        <w:t>й танковых бригад.</w:t>
      </w:r>
    </w:p>
    <w:p w14:paraId="4DCAD579"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декабре 1939 г. начался выпуск танка БТ</w:t>
      </w:r>
      <w:r w:rsidRPr="00DB5D0D">
        <w:rPr>
          <w:rFonts w:ascii="Times New Roman" w:hAnsi="Times New Roman"/>
          <w:color w:val="000000" w:themeColor="text1"/>
          <w:sz w:val="16"/>
          <w:szCs w:val="16"/>
        </w:rPr>
        <w:noBreakHyphen/>
        <w:t>7М (другое обозначение — БТ</w:t>
      </w:r>
      <w:r w:rsidRPr="00DB5D0D">
        <w:rPr>
          <w:rFonts w:ascii="Times New Roman" w:hAnsi="Times New Roman"/>
          <w:color w:val="000000" w:themeColor="text1"/>
          <w:sz w:val="16"/>
          <w:szCs w:val="16"/>
        </w:rPr>
        <w:noBreakHyphen/>
        <w:t>8), который внешне практически не отличался от БТ</w:t>
      </w:r>
      <w:r w:rsidRPr="00DB5D0D">
        <w:rPr>
          <w:rFonts w:ascii="Times New Roman" w:hAnsi="Times New Roman"/>
          <w:color w:val="000000" w:themeColor="text1"/>
          <w:sz w:val="16"/>
          <w:szCs w:val="16"/>
        </w:rPr>
        <w:noBreakHyphen/>
        <w:t>7. Основным отличием являлся установленный на танк дизельный двигатель В</w:t>
      </w:r>
      <w:r w:rsidRPr="00DB5D0D">
        <w:rPr>
          <w:rFonts w:ascii="Times New Roman" w:hAnsi="Times New Roman"/>
          <w:color w:val="000000" w:themeColor="text1"/>
          <w:sz w:val="16"/>
          <w:szCs w:val="16"/>
        </w:rPr>
        <w:noBreakHyphen/>
        <w:t>2, заменивший карбюраторный М</w:t>
      </w:r>
      <w:r w:rsidRPr="00DB5D0D">
        <w:rPr>
          <w:rFonts w:ascii="Times New Roman" w:hAnsi="Times New Roman"/>
          <w:color w:val="000000" w:themeColor="text1"/>
          <w:sz w:val="16"/>
          <w:szCs w:val="16"/>
        </w:rPr>
        <w:noBreakHyphen/>
        <w:t>17Т. Дизель стал более экономичен, что позволило сократить возимый запас топлива. В днище сделали подмоторный люк, а также уменьшили размеры колпака воздушного фильтра-пылеулавливателя. БТ</w:t>
      </w:r>
      <w:r w:rsidRPr="00DB5D0D">
        <w:rPr>
          <w:rFonts w:ascii="Times New Roman" w:hAnsi="Times New Roman"/>
          <w:color w:val="000000" w:themeColor="text1"/>
          <w:sz w:val="16"/>
          <w:szCs w:val="16"/>
        </w:rPr>
        <w:noBreakHyphen/>
        <w:t>7М выпускался до конца 1940 г., всего было сдано 706 экз. этого танка.</w:t>
      </w:r>
    </w:p>
    <w:p w14:paraId="796C5D8B"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73" w:anchor="s6" w:history="1">
        <w:r w:rsidRPr="00DB5D0D">
          <w:rPr>
            <w:rFonts w:ascii="Times New Roman" w:hAnsi="Times New Roman"/>
            <w:color w:val="000000" w:themeColor="text1"/>
            <w:sz w:val="16"/>
            <w:szCs w:val="16"/>
          </w:rPr>
          <w:t>6</w:t>
        </w:r>
      </w:hyperlink>
      <w:r w:rsidRPr="00DB5D0D">
        <w:rPr>
          <w:rFonts w:ascii="Times New Roman" w:hAnsi="Times New Roman"/>
          <w:color w:val="000000" w:themeColor="text1"/>
          <w:sz w:val="16"/>
          <w:szCs w:val="16"/>
        </w:rPr>
        <w:t>] Текст п. 2 зачеркнут. К пункту имеется помета: «Изменение НКОП к п. 2. Исключить из проекта изготовления в 1939 г. химтанки БТ</w:t>
      </w:r>
      <w:r w:rsidRPr="00DB5D0D">
        <w:rPr>
          <w:rFonts w:ascii="Times New Roman" w:hAnsi="Times New Roman"/>
          <w:color w:val="000000" w:themeColor="text1"/>
          <w:sz w:val="16"/>
          <w:szCs w:val="16"/>
        </w:rPr>
        <w:noBreakHyphen/>
        <w:t>7 на заводе № 48 (г. Харьков). По постановлению КО завод № 48 уже реконструируется под ремонт танков и выпуск запасных частей. Химтанк БТ</w:t>
      </w:r>
      <w:r w:rsidRPr="00DB5D0D">
        <w:rPr>
          <w:rFonts w:ascii="Times New Roman" w:hAnsi="Times New Roman"/>
          <w:color w:val="000000" w:themeColor="text1"/>
          <w:sz w:val="16"/>
          <w:szCs w:val="16"/>
        </w:rPr>
        <w:noBreakHyphen/>
        <w:t>8, аналогичный БТ</w:t>
      </w:r>
      <w:r w:rsidRPr="00DB5D0D">
        <w:rPr>
          <w:rFonts w:ascii="Times New Roman" w:hAnsi="Times New Roman"/>
          <w:color w:val="000000" w:themeColor="text1"/>
          <w:sz w:val="16"/>
          <w:szCs w:val="16"/>
        </w:rPr>
        <w:noBreakHyphen/>
        <w:t>7, будет производиться в 1939 г. на заводе № 183 — ХПЗ (г. Харьков). Начальник АБТУ т. Павлов не возражает исключить из проекта постановления п. 2. Секретариат КО предлагает п. 2 из проекта исключить. Базилевич».</w:t>
      </w:r>
    </w:p>
    <w:p w14:paraId="4D4D8E7D"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74" w:anchor="s7" w:history="1">
        <w:r w:rsidRPr="00DB5D0D">
          <w:rPr>
            <w:rFonts w:ascii="Times New Roman" w:hAnsi="Times New Roman"/>
            <w:color w:val="000000" w:themeColor="text1"/>
            <w:sz w:val="16"/>
            <w:szCs w:val="16"/>
          </w:rPr>
          <w:t>7</w:t>
        </w:r>
      </w:hyperlink>
      <w:r w:rsidRPr="00DB5D0D">
        <w:rPr>
          <w:rFonts w:ascii="Times New Roman" w:hAnsi="Times New Roman"/>
          <w:color w:val="000000" w:themeColor="text1"/>
          <w:sz w:val="16"/>
          <w:szCs w:val="16"/>
        </w:rPr>
        <w:t>] Далее вставлено: «VII. Дополнительный раздел НКМаша: “Обязать НКО (АБТУ) в двухдекадный срок после издания настоящего постановления заключить договоры с НКМашем на изготовление на заводах НКМаша опытных и усовершенствованных образцов боевых машин (согласно настоящему проекту постановления), с оплатой опытных работ за счет НКО (АБТУ)”. Начальник АБТУ т. Павлов, не возражая против заключения договора с НКМашем по опытным работам, просит на опытные работы ассигновать НКМашу 2500 тыс. руб. из резервного фонда СНК СССР, так как этих денег НКО (АБТУ) не имеет. Секретариат КО считает целесообразным: 1) принять предложение  НКМаша о заключении договора НКО с НКМашем на изготовление опытных образцов боевых машин; 2) плату опытных образцов произвести за счет НКО (по смете). Базилевич».</w:t>
      </w:r>
    </w:p>
    <w:p w14:paraId="336027F4"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75" w:anchor="s8" w:history="1">
        <w:r w:rsidRPr="00DB5D0D">
          <w:rPr>
            <w:rFonts w:ascii="Times New Roman" w:hAnsi="Times New Roman"/>
            <w:color w:val="000000" w:themeColor="text1"/>
            <w:sz w:val="16"/>
            <w:szCs w:val="16"/>
          </w:rPr>
          <w:t>8</w:t>
        </w:r>
      </w:hyperlink>
      <w:r w:rsidRPr="00DB5D0D">
        <w:rPr>
          <w:rFonts w:ascii="Times New Roman" w:hAnsi="Times New Roman"/>
          <w:color w:val="000000" w:themeColor="text1"/>
          <w:sz w:val="16"/>
          <w:szCs w:val="16"/>
        </w:rPr>
        <w:t>] Постановление КО при СНК СССР № 94сс “О типах танков для вооружения танковых войск РККА и о танках для производства в 1938 г.” см.: ГА РФ. Ф. Р</w:t>
      </w:r>
      <w:r w:rsidRPr="00DB5D0D">
        <w:rPr>
          <w:rFonts w:ascii="Times New Roman" w:hAnsi="Times New Roman"/>
          <w:color w:val="000000" w:themeColor="text1"/>
          <w:sz w:val="16"/>
          <w:szCs w:val="16"/>
        </w:rPr>
        <w:noBreakHyphen/>
        <w:t>8418. Оп. 28. Д. 27. Л. 80</w:t>
      </w:r>
      <w:r w:rsidRPr="00DB5D0D">
        <w:rPr>
          <w:rFonts w:ascii="Times New Roman" w:hAnsi="Times New Roman"/>
          <w:color w:val="000000" w:themeColor="text1"/>
          <w:sz w:val="16"/>
          <w:szCs w:val="16"/>
        </w:rPr>
        <w:noBreakHyphen/>
        <w:t>89.</w:t>
      </w:r>
    </w:p>
    <w:p w14:paraId="0AE98D9E"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76" w:anchor="s9" w:history="1">
        <w:r w:rsidRPr="00DB5D0D">
          <w:rPr>
            <w:rFonts w:ascii="Times New Roman" w:hAnsi="Times New Roman"/>
            <w:color w:val="000000" w:themeColor="text1"/>
            <w:sz w:val="16"/>
            <w:szCs w:val="16"/>
          </w:rPr>
          <w:t>9</w:t>
        </w:r>
      </w:hyperlink>
      <w:r w:rsidRPr="00DB5D0D">
        <w:rPr>
          <w:rFonts w:ascii="Times New Roman" w:hAnsi="Times New Roman"/>
          <w:color w:val="000000" w:themeColor="text1"/>
          <w:sz w:val="16"/>
          <w:szCs w:val="16"/>
        </w:rPr>
        <w:t>] Подпись отсутствует. На первом листе — резолюция Молотова: «За — Молотов». Далее помета Базилевича: «Ворошилов — за, Каганович М. — за, Каганович Л. — за. Базилевич».</w:t>
      </w:r>
    </w:p>
    <w:p w14:paraId="3CEA8EEF"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28. Д. 35. Л. 215-225. Подлинник (17782).</w:t>
      </w:r>
    </w:p>
    <w:p w14:paraId="0D7A4AEF" w14:textId="77777777" w:rsidR="004F75CA" w:rsidRPr="00DB5D0D" w:rsidRDefault="004F75CA" w:rsidP="00DB5D0D">
      <w:pPr>
        <w:spacing w:after="0" w:line="240" w:lineRule="auto"/>
        <w:jc w:val="both"/>
        <w:rPr>
          <w:rFonts w:ascii="Times New Roman" w:hAnsi="Times New Roman"/>
          <w:color w:val="000000" w:themeColor="text1"/>
          <w:sz w:val="16"/>
          <w:szCs w:val="16"/>
        </w:rPr>
      </w:pPr>
    </w:p>
    <w:p w14:paraId="279959B7"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w:t>
      </w:r>
    </w:p>
    <w:p w14:paraId="41137F5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Фонд 31811 Опись 2 Дело 1059 листы 151 – 153 </w:t>
      </w:r>
    </w:p>
    <w:p w14:paraId="240A3AB4"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СОВ.СЕКРЕТНО </w:t>
      </w:r>
    </w:p>
    <w:p w14:paraId="377AC10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7/VIII 1940 г. </w:t>
      </w:r>
    </w:p>
    <w:p w14:paraId="7B4C7891"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3600</w:t>
      </w:r>
    </w:p>
    <w:p w14:paraId="3FBA4E02"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Ц.К. ВКП(б) – тов. СТАЛИНУ. </w:t>
      </w:r>
    </w:p>
    <w:p w14:paraId="694F7BF7"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Ц.К. ВКП(б) – тов. ЖДАНОВУ. </w:t>
      </w:r>
    </w:p>
    <w:p w14:paraId="29539962"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КОМИССАРУ ОБОРОНЫ</w:t>
      </w:r>
    </w:p>
    <w:p w14:paraId="0730189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Маршалу Советского Союза – тов. ТИМОШЕНКО. </w:t>
      </w:r>
    </w:p>
    <w:p w14:paraId="5B2C70C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НАРОДНОМУ КОМИССАРУ СРЕДНЕГО</w:t>
      </w:r>
    </w:p>
    <w:p w14:paraId="52F09D20"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МАШИНОСТРОЕНИЯ – тов. ЛИХАЧЕВУ. </w:t>
      </w:r>
    </w:p>
    <w:p w14:paraId="73C8ABF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Москва.</w:t>
      </w:r>
    </w:p>
    <w:p w14:paraId="747B012B"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Препровождения статьи "Современные танки и их вооружение". </w:t>
      </w:r>
    </w:p>
    <w:p w14:paraId="2DE8BCFE"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последних боевых операций Красной Армии и на западном фронте новой империалистической войны дает много ценного материала для выводов о перспективном развитии вооружения, в том числе и танкового вооружения. </w:t>
      </w:r>
    </w:p>
    <w:p w14:paraId="54A7252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Несомненно, Главный Военный Совет СССР подводит итоги и делает необходимые правильные выводы по усилению боевых качеств Красной Армии и ее техники. </w:t>
      </w:r>
    </w:p>
    <w:p w14:paraId="2B4A2570"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налицо не имеет место должная связь между конструкторами танкового, артиллерийского вооружения и технических управлений Красной Армии. Это приводит к тому, что опыт другой стороны не используется в технической подготовке вопросов перспективного развития вооружения. Следствием чего, поставленные перед конструкторами промышленности задачи, встают как бы неожиданно для них, что препятствует наиболее качественному и наискорейшему их разрешению. Одновременно отстает рост квалификации конструкторов и проявления ими встречной инициативы, естественно, вытекающей из-за отсутствия должной связи с руководящими Управлениями Красной Армии. </w:t>
      </w:r>
    </w:p>
    <w:p w14:paraId="568AF75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этому необходимо дополнить, что нам, танковым конструкторам, понятно, что именно сейчас решаются весьма неотложные мероприятия по повышению качества технического вооружения Красной Армии, наряду с усовершенствованием ее тактических приемов. И тем более непонятно почему в последнее время было произведено резкое сокращение финансирования по опытным работам танкового вооружения в НКСМ. </w:t>
      </w:r>
    </w:p>
    <w:p w14:paraId="2C402458"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Считая необходимым поставить на обсуждение актуальные вопросы о перспективах танкового вооружения, я написал при сем прилагаемую статью "Современные танки и их вооружение". </w:t>
      </w:r>
    </w:p>
    <w:p w14:paraId="33BF05FB"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Статья "Современные танки и их вооружение" на ___ листах.</w:t>
      </w:r>
    </w:p>
    <w:p w14:paraId="425548F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з-да № 174 им. т. ВОРОШИЛОВА</w:t>
      </w:r>
    </w:p>
    <w:p w14:paraId="5CDE3E2B"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инженер 2 ранга подпись (ГИНЗБУРГ)</w:t>
      </w:r>
    </w:p>
    <w:p w14:paraId="5503E82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 5 экз. </w:t>
      </w:r>
    </w:p>
    <w:p w14:paraId="11EE665B"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 Гинзбург </w:t>
      </w:r>
    </w:p>
    <w:p w14:paraId="01D97566"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2104 </w:t>
      </w:r>
    </w:p>
    <w:p w14:paraId="0E79705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4/VIII-40 г. </w:t>
      </w:r>
    </w:p>
    <w:p w14:paraId="63D7B2D7"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 № 3  (18203).</w:t>
      </w:r>
    </w:p>
    <w:p w14:paraId="64F4CEE6"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Фонд 31811 Опись 2 Дело 1059 листы 154 – 178 </w:t>
      </w:r>
    </w:p>
    <w:p w14:paraId="1EB243DE"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СОВ.СЕКРЕТНО </w:t>
      </w:r>
    </w:p>
    <w:p w14:paraId="37E26E38"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"СОВРЕМЕННЫЕ ТАНКИ И ИХ ВООРУЖЕНИЕ"</w:t>
      </w:r>
    </w:p>
    <w:p w14:paraId="04AB3AA1"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Статья имеет цель выяснить вопрос о перспективном развитии наших механизированных средств с точки зрения их бронирования, вооружения и самоходной артиллерии для их сопровождения. </w:t>
      </w:r>
    </w:p>
    <w:p w14:paraId="37F4F5A0"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последних боевых действий на франко-бельгийско-германском фронте свидетельствуют о значительных преимуществах армии, обладающей мощным механизированным вооружением. </w:t>
      </w:r>
    </w:p>
    <w:p w14:paraId="4B7FCB5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Авто-бронетанковые дивизии во взаимодействии с авиацией и при поддержке моточастей, выполняли самостоятельные операции, как по прорыву оборонительных линий, так и по дальнейшему успешному развитию операций. Они стали в полном смысле слова кулаком современной армии, наносящим решающие удары далеко вглубь за линию обороны. </w:t>
      </w:r>
    </w:p>
    <w:p w14:paraId="00A9E9F6"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20-ти тонный танк с 30 мм. броней, вооруженный 37 мм. пушкой являлся основным типом боевых машин авто-бронетанковых дивизий. Броня этого танка в основном защищала его от наиболее массового автоматического противотанкового вооружения – 25 мм. пушки французской армии. Его собственное вооружение позволяло поражать все однотипные танки противника. </w:t>
      </w:r>
    </w:p>
    <w:p w14:paraId="11812BCE"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поражения более крупных тяжелобронных танков и целей, находящихся за (временным) укрытием, к этим танкам придавались такие же танки, но с усиленным вооружением – 75 мм. пушкой, установленной в невращающейся башне. По-видимому, последнее, представлявшее собой, безусловно, необходимое усиление артиллерийским вооружением сопровождения действий основной массы танков, по оформлению являлось продуктом большой спешки.</w:t>
      </w:r>
    </w:p>
    <w:p w14:paraId="237A427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Недостаточно полные сведения не дают возможность представить ясно всю картину действий авто-бронетанковых частей. Нет ответов на многие вопросы: какие еще типы танков были применены в этих операциях, каково было взаимодействие танков с артиллерией сопровождения, как организована была служба обеспечения, как была организована противотанковая оборона и т.д. </w:t>
      </w:r>
    </w:p>
    <w:p w14:paraId="2454E99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Ясно одно, что эти вопросы были разрешены, и успешное действие авто-бронетанковых частей было обеспечено в тесном взаимодействии с другими родами войск. </w:t>
      </w:r>
    </w:p>
    <w:p w14:paraId="689349CB"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 статья имеет целью выяснить вопрос о перспективном развитии наших механизированных средств с точки зрения бронирования и вооружения. </w:t>
      </w:r>
    </w:p>
    <w:p w14:paraId="7582EEC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1. – ПЕРСПЕКТИВЫ РАЗВИТИЯ ПРОТИВОТАНКОВОЙ АРТИЛЛЕРИИ.</w:t>
      </w:r>
    </w:p>
    <w:p w14:paraId="3B107FAC"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последних операций дает возможность разделить противотанковую артиллерию на две основные группы, в зависимости от характера операций: противотанковая артиллерия в маневренной войне и противотанковая артиллерия в долговременных фортификационных сооружениях. </w:t>
      </w:r>
    </w:p>
    <w:p w14:paraId="02FEC8B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Противотанковая артиллерия в маневренной войне. </w:t>
      </w:r>
    </w:p>
    <w:p w14:paraId="03670F84"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эта группа противотанковой артиллерии представляет собой системы, состоящие на вооружении основных противотанковых артиллерийских подразделений, дивизий, полков. Ниже приводится таблица основных данных современной противотанковой артиллерии. </w:t>
      </w:r>
    </w:p>
    <w:p w14:paraId="23CAF82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мощной из них является наша противотанковая пушка. Основными характерными чертами этой противотанковой артиллерии является: </w:t>
      </w:r>
    </w:p>
    <w:p w14:paraId="3C9F89D1"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Высокая начальная скорость, позволяющая, при высокой скорострельности, пробивать броню танков до 50 мм. </w:t>
      </w:r>
    </w:p>
    <w:p w14:paraId="4F76D95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Малые габариты, позволяющие разрешить задачу укрытого расположения пушки в передовых линиях обороны. </w:t>
      </w:r>
    </w:p>
    <w:p w14:paraId="1D7D1954"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Вес 250 – 450 кгр. еще допускающий возможность маневрирования пушкой на поле боя людской тягой. </w:t>
      </w:r>
    </w:p>
    <w:p w14:paraId="634177DE"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Относительная ограниченность в мощности систем. Дульная энергия колеблется в пределах 22 – 42 тонно-метров. </w:t>
      </w:r>
    </w:p>
    <w:p w14:paraId="61A05D02"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Перспектива дальнейшего роста мощности артиллерии этого типа (нач. скоростей, веса снарядов, калибра) упирается в вопрос потери маневрирования на поле боя с помощью людской тяги, из-за сильного возрастания веса пушек. Все же следует ожидать, в перспективе, некоторого роста пробивной способности этих пушек на 20 – 25 % за счет повышения дульной энергии и улучшения качества снарядов. </w:t>
      </w:r>
    </w:p>
    <w:p w14:paraId="601CFC01"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этих калибров на поле боя были применены как противотанковые средства – и 75 мм. полковые пушки. Эти пушки характерны: своим относительно большим весом, почти исключающим их маневренность как противотанковых средств, и сравнительно даже меньшей пробивной способностью их снарядов при действии по броне (малая начальная скорость). Поэтому решающим перспективным усилением противотанковой артиллерии они служить не могут. Они являются средством, могущим быть примененным лишь в частных случаях. Тоже можно сказать и о полевой артиллерии. </w:t>
      </w:r>
    </w:p>
    <w:p w14:paraId="52FC89E1"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Конечно, с увеличением калибра повышается не только пробивная способность снарядов, а прежде всего весьма значительно возрастает их разрушительное фугасное действие. </w:t>
      </w:r>
    </w:p>
    <w:p w14:paraId="3D425C92"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Противотанковая артиллерия в условиях действий против долговременных оборонительных сооружений. </w:t>
      </w:r>
    </w:p>
    <w:p w14:paraId="35E63318"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 группа противотанковых средств, помимо применения массовых пушек калибра 37 – 45 мм. может быть значительно усилена более мощными артсистемами крупных калибров. Несомненно, этот вывод будет сделан всеми государствами, и прежде всего нашими возможными противниками. Тем более, что вес системы здесь особого значения не имеет, важно только сохранить, сопутственно росту мощности, достаточную скорострельность. </w:t>
      </w:r>
    </w:p>
    <w:p w14:paraId="5B42E254"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счет каких средств может пойти это усиление противотанковой артиллерии: </w:t>
      </w:r>
    </w:p>
    <w:p w14:paraId="2FF19CB7"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Применение 75 мм. скорострельных пушек дивизионной артиллерии с начальными скоростями 600 – 700 мт./сек. Пробивная способность этих снарядов доходит до 70 мм. толщины по броне. </w:t>
      </w:r>
    </w:p>
    <w:p w14:paraId="6315D70B"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Применение зенитных пушек калибра 75 – 105 мм. с унитарным патроном и начальными скоростями порядка 800 – 900 мт/сек. Пробивная способность этих скорострельных пушек находится в пределах 90 – 115 и даже до 120 мм. Но применение этих пушек в широких масштабах затруднено из-за огромной потребности в них для противовоздушной обороны. </w:t>
      </w:r>
    </w:p>
    <w:p w14:paraId="57E7B48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Применение более крупных калибров также возможно, но пониженная скорострельность и сравнительно малый эффект в дальнейшей пробивной способности делает маловероятным успех обороны против атаки танкового подразделения. </w:t>
      </w:r>
    </w:p>
    <w:p w14:paraId="6F05C90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2-й. ТИПЫ ТАНКОВ И ИХ БРОНИРОВАНИЕ</w:t>
      </w:r>
    </w:p>
    <w:p w14:paraId="4BFEFD6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Из сказанного выше вытекает, что в зависимости от театра войны и характера операций изменяются и противотанковые артиллерийские средства. В этой связи и необходимо подвергнуть обоснованию вопрос о перспективном развитии типов танков и их бронирования: </w:t>
      </w:r>
    </w:p>
    <w:p w14:paraId="104BE75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ОПЕРАЦИИ В МАНЕВРЕННОЙ ВОЙНЕ. </w:t>
      </w:r>
    </w:p>
    <w:p w14:paraId="4AF660F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учета все возрастающей количественно противотанковой артиллерии, несомненно необходимо иметь в перспективе такой основной массовый тип танка, который отвечал бы следующим условиям: </w:t>
      </w:r>
    </w:p>
    <w:p w14:paraId="68F31A07"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Бронезащита 55 – 60 мм., обеспечивающая защиту от 37 – 47 мм. снарядов наиболее массовых артиллерийских средств противника. </w:t>
      </w:r>
    </w:p>
    <w:p w14:paraId="513A7C1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Большой радиус действия, не меньший 10-ти час. хода. </w:t>
      </w:r>
    </w:p>
    <w:p w14:paraId="4BB89B96"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Запас мощности на тонну веса не ниже 15 л.с. с целью обеспечения достаточной маневренности и подвижности. </w:t>
      </w:r>
    </w:p>
    <w:p w14:paraId="043599AB"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Относительная дешевизна и экономичность, т.к. этот тип должен быть наиболее массовым танком. </w:t>
      </w:r>
    </w:p>
    <w:p w14:paraId="1754F63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тип танка обеспечивает решение задач сопровождения пехоты в прорыве и действия механизированных соединений в рейдах в тылу противника. Место этого танка в первом эшелоне, следом за ним могут быть использованы находящиеся на вооружении в настоящее время танки, располагающие бронезащитой только против пуль. Этот тип массового танка позволит на его базе создать семейство специализированных боевых машин (с увеличенным калибром артсистем, химические, артиллерийский трактор – ог же транспортер пехоты и заправщик и т.д.). </w:t>
      </w:r>
    </w:p>
    <w:p w14:paraId="31772FB8"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Создание этого танка является неотложной первоочередной задачей – уже поставленной перед заводом № 174 им. Ворошилова. Этот тип должен заменить собой устаревший танк СП – Т-26. Не исключена и возможность наличия двух типов аналогичного танка – одного более подвижного с бронировкой 45 – 50 мм. с целью действия в рейдах, и другого – вышеупомянутого. Но этот вариант, как по перспективности, так и по экономике вряд ли целесообразен. Исходя из этой точки зрения, нужно признать, что принятый на вооружение танк А-34 с основным бронированием в 45 мм., хотя и является сегодня лучшим, но в свете ближайшей же перспективы является быстро стареющим типом. Все же, на некоторый промежуток времени, танк А-34, безусловно, необходим, т.к. он представляет собой – пока единственно подготовленный к серийному производству, массовый танк с тяжелым бронированием. Технически совершенно возможно, на производственной базе этого танка (заводы № 183 и СТЗ) довести этот тип до другого необходимого класса танков с бронированием до 75 мм. и весом 30 – 35 тонн. В условиях маневренной войны, конечно, не исключается применение в отдельных случаях и более толстобронных танков. </w:t>
      </w:r>
    </w:p>
    <w:p w14:paraId="446E6A1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разрешить еще один весьма важный для этого типа танка вопрос – это вопрос о качестве брони. Броню 55 – 60 мм., в сварных конструкциях, можно применять двух следующих основных типов: </w:t>
      </w:r>
    </w:p>
    <w:p w14:paraId="5AE9537E"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Броня высокой твердости (твердость по отпечатку Бринелля 2,8 – 3,0) позволит иметь перспективный запас по стойкости на 20 – 30 %. Но производство этой брони будет относительно более дорогим и менее мобильным. </w:t>
      </w:r>
    </w:p>
    <w:p w14:paraId="4434DFC4"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Броня средней твердости (твердость по отпечатку Бринелля 3,4 – 3,6) не будет располагать перспективным запасом по стойкости. Но по облегчению производства, большей мобильности последнего, и экономике будет превосходить твердую броню в несколько раз. </w:t>
      </w:r>
    </w:p>
    <w:p w14:paraId="3B79379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задач сегодняшнего дня, необходимость скорейшего массового выпуска танков, при недостаточной подготовленности наших бронезаводов, нужно остановиться на втором варианте брони, но как ближайшая задача необходимо подготовить и обеспечить переход на твердую броню. </w:t>
      </w:r>
    </w:p>
    <w:p w14:paraId="3457AB4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танк А-34 – применяется 45 мм. броня высокой твердости (45 мм .броня средней твердости не обеспечит от сквозного поражения). Необходимо будет сейчас же принять особые меры к обеспечению развертывающегося массового производства танков, дабы избежать неподготовленности последнего к большому браку и затруднениям в сборке и сварке корпусов. </w:t>
      </w:r>
    </w:p>
    <w:p w14:paraId="225368F7"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ОПЕРАЦИИ ПРИ ПРОРЫВЕ ДОЛГОВРЕМЕННЫХ УКРЕПЛЕННЫХ РАЙОНОВ. </w:t>
      </w:r>
    </w:p>
    <w:p w14:paraId="74EE83D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Помимо учета сильно возрастающей пробивной способности, усиленной калибром противотанковой артиллерии – необходимо учесть и наличие массовых пассивных противотанковых сооружений (надолбы, рвы, мины и т.д.), сильно затрудняющие маневренность, как отдельного танка, так и танковых подразделений. Несомненно, в боевых операциях в этих условиях нельзя рассчитывать в ближайшем будущем на успешность атаки даже новых конструкций танков с тяжелым бронированием. </w:t>
      </w:r>
    </w:p>
    <w:p w14:paraId="7D451DE7"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Какой же тип танка способен перспективно разрешить вопрос успешного выполнения операций в условиях действий против долговременных укреплений? Правильней искать разрешение этой задачи применением двух типов танков: </w:t>
      </w:r>
    </w:p>
    <w:p w14:paraId="5F9933B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Первый тип танка – это танк прорыва сегодняшнего дня, он должен удовлетворять следующим основным требованиям: </w:t>
      </w:r>
    </w:p>
    <w:p w14:paraId="13618C4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Защищенность от действия полевых 75 мм. скорострельных пушек должна быть обеспечена бронированием не ниже 75 мм. толщины. </w:t>
      </w:r>
    </w:p>
    <w:p w14:paraId="204F84B8"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Прочная и надежная ходовая часть должна быть стойкой от обстрела противотанковой артиллерией и предохранена от действия противотанковых мин, известных нам в настоящее время. </w:t>
      </w:r>
    </w:p>
    <w:p w14:paraId="25A3432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Длина базы должна обеспечивать преодоление рвов до 3 мт. </w:t>
      </w:r>
    </w:p>
    <w:p w14:paraId="03545E34"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Основное вооружение 75 мм. пушка достаточной мощности для борьбы с открытыми противотанковыми точками и танками противника. </w:t>
      </w:r>
    </w:p>
    <w:p w14:paraId="56AEB05B"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Как второй вариант вооружения, должна быть обеспечена возможность установки усиленного калибра (152 мм. гаубица). </w:t>
      </w:r>
    </w:p>
    <w:p w14:paraId="06B06722"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Радиус действия должен быть обеспечен не менее чем 10-ть часов хода. </w:t>
      </w:r>
    </w:p>
    <w:p w14:paraId="38714630"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Обеспечивается возможность перевозки этого танка в сборе по железной дороге. </w:t>
      </w:r>
    </w:p>
    <w:p w14:paraId="6C9E7A2C"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тип танка потребуется в средних количествах, примерно в пропорции 1 : 20 по отношению к малым танкам. Применение танковых соединений этого типа машин в настоящее время сможет обеспечить достижение успеха в прорыве долговременных укрепрайонов. Следом, по проложенной этим танком тропой, можно будет развить успех применением бронетанковых дивизий танков меньшего веса и большей маневренности. </w:t>
      </w:r>
    </w:p>
    <w:p w14:paraId="16C1E8E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Конечно, такая операция и сегодня вызовет ощутимые потери в танках, как первого эшелона, так и последующих, ибо применение этих танков, даже во взаимодействии с другими родами войск, не разрешит еще полностью задачи подавления противотанковой обороны. Принятый на вооружение Красной Армии новый танк "КВ" – Кировского завода, в основном решает задачи, поставленные перед этим классом танков. Но до сих пор Кировским заводом не обеспечено выполнение поставленных перед ним Правительством задач по серийному выпуску этого танка. Основной причинной задержки является наличие аварийных дефектов в агрегатах силовых передач. Эти вопросы требуют скорейшей доработки и технически могут быть решены в кратчайшие сроки, при условии мобилизации всех квалифицированных сил, создавших эту машину. </w:t>
      </w:r>
    </w:p>
    <w:p w14:paraId="28112776"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Последнее еще не реализовано полностью из-за большой разбросанности на многообъектность. </w:t>
      </w:r>
    </w:p>
    <w:p w14:paraId="3523942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этого танка крайне необходимо для использования в самоходных установках 152 мм. пушки и 203 мм. гаубицы. Технически это вполне разрешимо, но т.к. основные силовые агрегаты танка "КВ" не доработаны для более легкого танка, то для этих целей унификация агрегатов в ближайшем вряд ли возможна. Кроме того будет недостаточна мощность силовой установки двигателя. </w:t>
      </w:r>
    </w:p>
    <w:p w14:paraId="30F7CEE0"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Второй тип танка – это перспективный танк прорыва, он должен удовлетворять следующим основным требованиям: </w:t>
      </w:r>
    </w:p>
    <w:p w14:paraId="2DC8230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Защищенность от действия 75 – 105 мм. зенитных пушек должна быть обеспечена бронированием 100 – 120 мм. толщиной. </w:t>
      </w:r>
    </w:p>
    <w:p w14:paraId="71F440C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Основным вооружением должна быть мощная артсистема, способная разрушить бетонные сооружения 1,5 – 2,0 мтр. толщиною и броневые амбразуры. Эта установка должна иметь круговой обстрел с целью повышения маневренности огнем. Такой системой для танка, по условиям внутренних габаритов и обеспечению скорострельности является морская 130 мм пушка Б-13 с начальной скоростью 870 мтр./сек. </w:t>
      </w:r>
    </w:p>
    <w:p w14:paraId="4265AA1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Ходовая часть танка должна обеспечить надежное траление противотанковых мин. </w:t>
      </w:r>
    </w:p>
    <w:p w14:paraId="513C381C"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Ширина свободно преодолеваемого рва должна быть не ниже 3,5 мтр. </w:t>
      </w:r>
    </w:p>
    <w:p w14:paraId="0E4163A4"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Обеспечивается возможность перевозки этого танка на тяжелых железнодорожных платформах. Причем возможно допустить снятие большой башни. </w:t>
      </w:r>
    </w:p>
    <w:p w14:paraId="7D983968"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тип танка потребуется в небольших количествах. Применение этого типа танка, даже в составе небольших подразделений при поддержке танков первого типа и других родов войск, обеспечит надежное решение задачи прорыва укрепленных районов противника. </w:t>
      </w:r>
    </w:p>
    <w:p w14:paraId="53DF38C6"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Одним из реальных вариантов этого типа танков является техническая проработка этой задачи в отделе Главного Конструктора завода № 174 им. Ворошилова. </w:t>
      </w:r>
    </w:p>
    <w:p w14:paraId="3591F6A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решении этой задачи необходимо обеспечить создание не только этого танка, но прежде всего, его силовой установки в 1000 – 1200 л.с. в одном агрегате. Последнее возможно разрешить надежно и быстро, как это показывает глубокая техническая проработка этого вопроса, на базе существующего танкового дизеля В-2. Применение скоростных методов в создании опытного образца этого танка может быть разрешено коллективом опытников и всего завода № 174 им. Ворошилова в кратчайшие сроки, при условии кооперации с существующими базами. Организация малосерийного производства на этом же заводе потребует сравнительно небольшого расширения станочного оборудования за счет более крупных станков. Квалифицированные кадры для решения обоих задач имеются. </w:t>
      </w:r>
    </w:p>
    <w:p w14:paraId="3BAFF54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на базе этого же танка , при бронировании не ниже 100 мм., возможно создание еще более мощных самоходных артиллерийских установок с калибром системы в 152 мм и даже в 203 мм. </w:t>
      </w:r>
    </w:p>
    <w:p w14:paraId="6862713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Раздел 3-й. ТАНКИ И ИХ ВООРУЖЕНИЕ.</w:t>
      </w:r>
    </w:p>
    <w:p w14:paraId="239F7BC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условий предстоящих боевых операций в современной войне вытекают требования не только к усилению бронирования, но и в такой же мере, к правильному выбору основного артиллерийского вооружения танков. </w:t>
      </w:r>
    </w:p>
    <w:p w14:paraId="385BEE0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Вышеизложенном этот вопрос подвергся уже предварительному изложению, задачей же этого раздела является более детальное его рассмотрение. Прежде всего необходимо сопоставить возможности существующих на вооружении артсистем с точки зрения не только поражения брони, но и фугасного действия их снарядов. </w:t>
      </w:r>
    </w:p>
    <w:p w14:paraId="39C7B553"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Таблица основных данных артсистем. </w:t>
      </w:r>
    </w:p>
    <w:p w14:paraId="3D83F3C4"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Таблица действительности огня артсистемы при кинжальном выстреле. </w:t>
      </w:r>
    </w:p>
    <w:p w14:paraId="0A2B6C0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Анализ данных артсистем в этих таблицах дает возможность сделать нижеследующие основные выводы: </w:t>
      </w:r>
    </w:p>
    <w:p w14:paraId="3EDC7A33"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МЕЛКОКАЛИБЕРНОЙ ПРОТИВОТАНКОВОЙ ПУШКЕ: </w:t>
      </w:r>
    </w:p>
    <w:p w14:paraId="2B48C3B4"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Пробивание брони до 55 мм. </w:t>
      </w:r>
    </w:p>
    <w:p w14:paraId="2188ADAE"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Почти полное отсутствие фугасного эффекта не только по бетону, но и по земляным укрытиям. </w:t>
      </w:r>
    </w:p>
    <w:p w14:paraId="137BA52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Система дает большую скорострельность. </w:t>
      </w:r>
    </w:p>
    <w:p w14:paraId="097BCB2C"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СИСТЕМАМ КАЛИБРА 76 мм: </w:t>
      </w:r>
    </w:p>
    <w:p w14:paraId="6D2E1014"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Пробивание брони толщиной до 60 мм. обеспечит танковая пушка с начальной скоростью 550 – 600 мт/сек. Пробивание брони до 75 мм. обеспечит полевая пушка с начальной скоростью 660 – 680 мт/сек. Пробивание брони выше 75 мм. обеспечит зенитная пушка с начальной скоростью 900 мт/сек. </w:t>
      </w:r>
    </w:p>
    <w:p w14:paraId="1B2BB8D8"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Фугасное действие 76 мм. снаряда достаточно для борьбы только против легких полевых сооружений. </w:t>
      </w:r>
    </w:p>
    <w:p w14:paraId="775EE76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Из трех типов пушек (танковая, полевая и зенитная) по их габариту и откату: </w:t>
      </w:r>
    </w:p>
    <w:p w14:paraId="0EDFFEFC"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первая устанавливается в танковые башни и почти не выходит за пределы танка; </w:t>
      </w:r>
    </w:p>
    <w:p w14:paraId="4245D59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вторая и третья не устанавливаются в танковых башнях. Для этой цели требуется пересмотр их противооткатной части (сокращение отката и общее уменьшение габаритов). Обе системы значительно, особенно последняя, выходят за габариты танков, что затруднит маневренность огнем в условиях боя в лесу и в складках местности. </w:t>
      </w:r>
    </w:p>
    <w:p w14:paraId="0C203670"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Системы дают достаточную скорострельность. </w:t>
      </w:r>
    </w:p>
    <w:p w14:paraId="4AD510B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СИСТЕМАМ КАЛИБР 122 мм. </w:t>
      </w:r>
    </w:p>
    <w:p w14:paraId="6AEF5F3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действию по броне: </w:t>
      </w:r>
    </w:p>
    <w:p w14:paraId="7C24FBA0"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Полевая гаубица с начальной скоростью около 400 мт/сек. по расчетам может пробить толщину до 55 мм., но из-за мощного фугасного действия сможет таранить броню 60 – 65 мм. ударно-фугасным снарядом. </w:t>
      </w:r>
    </w:p>
    <w:p w14:paraId="31D614F3"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Корпусная пушка с начальной скоростью в 800 мт/сек. обеспечит поражение бронелистов до 120 мм., при стрельбе ударно-фугасным снарядом и до 130 – 140 мм. при специальном бронебойном снаряде. </w:t>
      </w:r>
    </w:p>
    <w:p w14:paraId="7CEE7070"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фугасному действию: </w:t>
      </w:r>
    </w:p>
    <w:p w14:paraId="625C616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Ударно-фугасный снаряд обеспечит разрушение полевых укрытий и легко бетонированных сооружений. Причем полевая гаубица может дать поражение по бетону глубиной 0,7 – 0,8 мт., а корпусная пушка до 1,5 – 1,7 мт. </w:t>
      </w:r>
    </w:p>
    <w:p w14:paraId="0D12DD22"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 габаритам: </w:t>
      </w:r>
    </w:p>
    <w:p w14:paraId="27BA13DB"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Полевая гаубица имеет большой откат и негабаритность качающей части для установки в танковую башню, за габариты танка не выходит, может устанавливаться в танке при условии внесения изменений в качающуюся часть (уменьшение длины отката и габаритов). </w:t>
      </w:r>
    </w:p>
    <w:p w14:paraId="28987C5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Корпусная пушка имеет те же недостатки, плюс значительное свешивание за габариты танка в башенной установке. Эта система может быть установлена на самоходной установке среднего танкового шасси (весом 25 – 30 тонн, при бронировании 45 мм.) и может быть установлена в танковой башне перспективного тяжелого танка с небольшими изменениями в части укорочения отката. </w:t>
      </w:r>
    </w:p>
    <w:p w14:paraId="7CE80AB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Скорострельность из этой системы значительно снижается в условиях танковой установки, но может еще считаться удовлетворительной. </w:t>
      </w:r>
    </w:p>
    <w:p w14:paraId="6CF1311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СИСТЕМЕ КАЛИБРОМ 130 мм. </w:t>
      </w:r>
    </w:p>
    <w:p w14:paraId="7BF5AC0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поражению брони толщиною 130 – 150 мм. эта система превосходит 122 мм. пушку и 152 мм. гаубицу-пушку. </w:t>
      </w:r>
    </w:p>
    <w:p w14:paraId="1AD6676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фугасному действию она превосходит 122 мм. пушку и приближается к данным 152 мм. гаубицы-пушки, превосходя последнюю по глубине поражения бетона. Сила фугасного действия достаточна для борьбы с долговременными точками. </w:t>
      </w:r>
    </w:p>
    <w:p w14:paraId="2E4AD8C7"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 габаритности, из-за малого отката, эта система может быть установлена без переделок либо в виде башенной установки в перспективном тяжелом танке, либо в виде самоходной установки на шасси этого танка. </w:t>
      </w:r>
    </w:p>
    <w:p w14:paraId="086B20C4"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 скорострельности эта система не уступает и даже превосходит 122 мм. пушку (из-за наличии в системе специальных приспособлений, облегчающих заряжание). </w:t>
      </w:r>
    </w:p>
    <w:p w14:paraId="10D4A3D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 СИСТЕМАМ КАЛИБРОВ 152 – 203 мм. </w:t>
      </w:r>
    </w:p>
    <w:p w14:paraId="489E687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Действие по броне: Полевая гаубица имеет примерно те же данные, что и 122 мм. пушка. Но пушка 152 мм. и гаубица 203 мм. имеют данные значительно выше. </w:t>
      </w:r>
    </w:p>
    <w:p w14:paraId="001B672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фугасному действию данные пушки 152 мм. и 203 мм. гаубицы значительно выше чем у других систем. Этого эффекта вполне достаточно для успешного действия по тяжелым долговременным огневым точкам. </w:t>
      </w:r>
    </w:p>
    <w:p w14:paraId="3650A0D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Габариты 152 мм. гаубицы-пушки позволяют ее установку в башне тяжелого танка типа "КВ". Габариты 152 мм. пушки и 203 мм. гаубицы позволяют их использование только в виде самоходной установки н базе перспективного тяжелого танка. </w:t>
      </w:r>
    </w:p>
    <w:p w14:paraId="4E379DB1"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 скорострельности: В условиях танковой установки калибр 152 мм. обеспечивает весьма затрудненную и низкую скорострельность. Калибр 203 мм. даже в условиях самоходной установки потребует создания специальных приспособлений для заряжания, что все же не обеспечит повышения скорострельности против 152 мм. калибра. </w:t>
      </w:r>
    </w:p>
    <w:p w14:paraId="46A97700"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 ВООРУЖЕНИЮ ТАНКОВ В УСЛОВИЯХ МАНЕВРЕННОЙ ВОЙНЫ. </w:t>
      </w:r>
    </w:p>
    <w:p w14:paraId="6E4723D2"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вышеизложенном материале, исходя из условия обеспечения успешности действия современных танков, сделан был вывод о необходимости для наиболее массового типа танка бронезащиты толщиною 55 – 60 мм. Конечно, эта толщина не является полной гарантией против массовой противотанковой артиллерии. Наш вероятный противник может сделать такие же выводы. В результате на поле боя могут появиться еще более толстобронные танки с более мощной пушкой. Этот момент надо также учесть при определении комплексного вооружения массовых танков. </w:t>
      </w:r>
    </w:p>
    <w:p w14:paraId="3A3633E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Какие основные задачи необходимо решить вооружением массового танка: </w:t>
      </w:r>
    </w:p>
    <w:p w14:paraId="4C725EF7"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Поражение: живой силы, огневых точек, открытых противотанковых точек, легких массовых танков с броней до 50 мм. – решает спаренная установка 45 мм. пушки и пулемета. </w:t>
      </w:r>
    </w:p>
    <w:p w14:paraId="5AB20418"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Поражение живой силы, огневых точек и противотанковых точек, укрытых легкими полевыми сооружениями. Частично эту задачу решает 76 мм. пушка, но полное разрешение дает снаряд калибра 122 мм. </w:t>
      </w:r>
    </w:p>
    <w:p w14:paraId="7A53E8C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Борьба (вернее самооборона) с тяжелыми танками с броней 60 – 75 мм. толщиною – решает 76 мм. пушка с начальной скоростью 660 – 680 мт/сек. </w:t>
      </w:r>
    </w:p>
    <w:p w14:paraId="001709B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для решения задач на поле боя массовые танки нуждаются в обеспечении огнем артиллерии калибров 45, 76 и 122 мм. </w:t>
      </w:r>
    </w:p>
    <w:p w14:paraId="0EDD8EE0"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в условиях боя на переднем рубеже укреплений противника можно рассчитывать на почти комплексное разрешение задач, стоящих перед массовым танком, в сумме 45 мм. пушки в танке, взаимодействие с другими калибрами артсистем и взаимодействие с авиацией, то при прорыве несомненно массовые танки, поддерживаемые в весьма большой степени авиацией, будут ощущать острую необходимость в сопровождении арт-огнем калибров 76 мм. и 122 мм., прежде всего за счет систем, возимых на самих танках. Только это обеспечит нужную маневренность и наискорейшее устранение возникающих на пути танков препятствий. Подтверждение этому имеется хотя бы в том, что немцы вынуждены были, признав эту необходимость, наспех провести довооружение танков 76 мм пушкой без кругового обстрела. Как возможно технически разрешить эту задачу? </w:t>
      </w:r>
    </w:p>
    <w:p w14:paraId="64BEDA7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Основным вооружением массовых танков является 45 мм. пушка. </w:t>
      </w:r>
    </w:p>
    <w:p w14:paraId="08D05D2C"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Дублирующим вооружением является 76 мм. пушка с соотношением к 45 мм. пушке как 1 : 5 или 1 : 10. Эта система состоит на вооружении танков командиров взводов или сведена в отдельный взвод в роте. </w:t>
      </w:r>
    </w:p>
    <w:p w14:paraId="3C9322F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Калибром усиления является 122 мм. гаубица с соотношением к 45 мм. пушке как 1 : 17 или 1 : 20. Эта система является вооружением 2 – 3-х танков артиллерийского резерва командира танкового батальона. </w:t>
      </w:r>
    </w:p>
    <w:p w14:paraId="73B26B72"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три типа артсистем могут быть установлены на общем шасси массового танка с изменениями в башне, укладке и частично в корпусе, при условии внесения некоторых конструктивных изменений в артсистемы. </w:t>
      </w:r>
    </w:p>
    <w:p w14:paraId="1ED0FA50"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45 мм. пушке – необходимо продолжать работы по достижению начальной скорости порядка на ниже 800 мт/сек. </w:t>
      </w:r>
    </w:p>
    <w:p w14:paraId="521F9951"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76 мм. танковой пушке тоже порядка до 660 – 700 мт/сек., при сохранении прежних габаритов качающихся частей системы. </w:t>
      </w:r>
    </w:p>
    <w:p w14:paraId="2149927E"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122 мм. гаубице изменение в люльке и накатнике (на базе унификации с существующим) с целью уменьшения габаритов качающейся части и укорочения отката до 400 – 500 мм. </w:t>
      </w:r>
    </w:p>
    <w:p w14:paraId="1E85ABF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небольшого объема доработки легко могут быть проведены и освоены существующими производственными базами и не могут служить препятствием в достижении поставленной цели оснащения танков вооружением для решения задач современного боя. </w:t>
      </w:r>
    </w:p>
    <w:p w14:paraId="0923D5F1"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 ВООРУЖЕНИЮ ТАНКОВ В УСЛОВИЯХ БОРЬБЫ ПРОТИВ ДОЛГОВРЕМЕННЫХ УКРЕПЛЕНИЙ. </w:t>
      </w:r>
    </w:p>
    <w:p w14:paraId="3ED3278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Массовые виды вооружения 45 мм. и 76 мм. калибров, как это видно из анализа, являются недостаточными для решения основной задачи успешного боя, подавления огневых средств противника, укрывшихся за бетоном и броней. </w:t>
      </w:r>
    </w:p>
    <w:p w14:paraId="45A09A52"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Эту задачу можно разрешить взаимодействием с артиллерией тяжелых калибров и авиацией. Но опыт показывает, что даже на переднем крае обороны противника, вполне целесообразно было бы применение ряда тяжелых систем, укрытых за тяжелую броню в танках или самоходных установках. Это мероприятие еще тем более необходимо, учитывая отрыв танков от взаимодействия с артиллерией и авиацией, сразу же по переходу через передний рубеж обороны вглубь последней. Конечно, </w:t>
      </w:r>
      <w:r w:rsidRPr="00DB5D0D">
        <w:rPr>
          <w:rFonts w:ascii="Times New Roman" w:hAnsi="Times New Roman"/>
          <w:color w:val="000000" w:themeColor="text1"/>
          <w:sz w:val="16"/>
          <w:szCs w:val="16"/>
        </w:rPr>
        <w:lastRenderedPageBreak/>
        <w:t>для этих целей, учитывая большие препятствия на поле боя, предпочтительно, прежде всего, использовать артсистемы, позволяющие их установку в башнях тяжелых танков с круговым обстрелом, т.к. они обеспечат наилучшее маневрирование огнем. </w:t>
      </w:r>
    </w:p>
    <w:p w14:paraId="3D4D16A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Какие же артсистемы необходимо выбрать для этой цели? </w:t>
      </w:r>
    </w:p>
    <w:p w14:paraId="516BD15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задачи разрешают успешно, как по поражению брони, так и по фугасному действию: </w:t>
      </w:r>
    </w:p>
    <w:p w14:paraId="304B2FC1"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 мм. корпусная пушка. </w:t>
      </w:r>
    </w:p>
    <w:p w14:paraId="4F73D29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 мм. морская пушка. </w:t>
      </w:r>
    </w:p>
    <w:p w14:paraId="2962854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 мм. тяжелая пушка. </w:t>
      </w:r>
    </w:p>
    <w:p w14:paraId="43A0DFB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 мм. тяжелая гаубица. </w:t>
      </w:r>
    </w:p>
    <w:p w14:paraId="0DB47722"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Окончательно при выборе системы необходимо учесть: </w:t>
      </w:r>
    </w:p>
    <w:p w14:paraId="5F4B178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Удобство из установки на танк, исходя из возможностей шасси тяжелых танков, и </w:t>
      </w:r>
    </w:p>
    <w:p w14:paraId="5ED2C7D9"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Скорострельность, вытекающая из удобства наводки и заряжания. </w:t>
      </w:r>
    </w:p>
    <w:p w14:paraId="5749AAF2"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обоим признакам наилучшей системой является установка 130 мм. морской пушки – она может быть установлена в перспективный тяжелый танк в башню с круговым обстрелом, без всяких изменений. Имеющиеся при системе приспособления для заряжания обеспечат ей не меньшую скорострельность, чем для 122 мм. пушки. Вес снарядов примерно одинаков – 26 и 25 кгр. </w:t>
      </w:r>
    </w:p>
    <w:p w14:paraId="402FDAF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танках типа "КВ" и на базе их шасси (т.е. унификация агрегатов на производстве) в настоящее время можно рассчитывать только на установку 152 мм. гаубицы или 76 мм. танковой пушки. </w:t>
      </w:r>
    </w:p>
    <w:p w14:paraId="06EFC911"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 вооружением танка "КВ" является 76 мм. пушка с перспективой повышения ее начальной скорости до 660 – 700 мт/сек. Дублирующим вооружением с соотношением 1 : 5 должна явится установка 152 мм. гаубицы. </w:t>
      </w:r>
    </w:p>
    <w:p w14:paraId="38013F68"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перспективном тяжелом танке основным вооружением его башни должна быть 130 мм. морская пушка или в крайнем случае 122 мм. корпусная пушка. Дублирующим вооружением для этого танка должно быть принято установка 152 мм. пушки БР-2 на самоходном бронированном шасси танка. Соотношение между этими двумя видами вооружения целесообразно определить как 1 : 3 для 130 мм. и 152 мм. Последнюю задачу можно будет без труда реализовать на производственной базе одного танкового завода, из-за сравнительно малосерийного выпуска этого типа машины.</w:t>
      </w:r>
    </w:p>
    <w:p w14:paraId="22EA5565"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Главный Конструктор з-да № 174 им. т. ВОРОШИЛОВА</w:t>
      </w:r>
    </w:p>
    <w:p w14:paraId="12DACAA7"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 2-го ранга подпись (ГИНЗБУРГ)</w:t>
      </w:r>
    </w:p>
    <w:p w14:paraId="6E9D1CAA"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 5 экз. </w:t>
      </w:r>
    </w:p>
    <w:p w14:paraId="1C61A836"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 Гинзбург </w:t>
      </w:r>
    </w:p>
    <w:p w14:paraId="697EDC3B"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2104 </w:t>
      </w:r>
    </w:p>
    <w:p w14:paraId="42D3C19D"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5/VIII-40 г. </w:t>
      </w:r>
    </w:p>
    <w:p w14:paraId="50B77961"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 № 3</w:t>
      </w:r>
    </w:p>
    <w:p w14:paraId="29B853CF" w14:textId="77777777" w:rsidR="0012513E" w:rsidRPr="00DB5D0D" w:rsidRDefault="0012513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(18203).</w:t>
      </w:r>
    </w:p>
    <w:p w14:paraId="1F73F050" w14:textId="77777777" w:rsidR="0012513E" w:rsidRPr="00DB5D0D" w:rsidRDefault="0012513E" w:rsidP="00DB5D0D">
      <w:pPr>
        <w:spacing w:after="0" w:line="240" w:lineRule="auto"/>
        <w:jc w:val="both"/>
        <w:rPr>
          <w:rFonts w:ascii="Times New Roman" w:hAnsi="Times New Roman"/>
          <w:color w:val="000000" w:themeColor="text1"/>
          <w:sz w:val="16"/>
          <w:szCs w:val="16"/>
        </w:rPr>
      </w:pPr>
    </w:p>
    <w:p w14:paraId="3DD6E4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Приказом по Наркомату общего машиностроения (НКОМ) № 102с заводу «ПРОМЕТ» предстояло осуществить подготовку к выпуску в 1941 г. 10 тыс. мотоциклов Л-8 и организовать мотоциклетное бюро. При этом не позднее 10.08.40 получить с завода «Красный Октябрь» рабочие чертежи Л-8, а также технологические карты, копии специального инстру­мента и оснастки; не позднее 15.08.40 создать цех по сборке Л-8 и изготовить в нём 10 опытных «восьмё­рок»; к 25.09.40 сверстать план поставок комплектую­щих изделий заводами-смежниками; в IV кв. 1940 г. се­рийно изготовить 400 экземпляров Л-8. В августе 1940 г. предстояло прекратить выпуск мотоциклов на заводе «Красный Октябрь» и сосредоточить производ­ство Л-8 на заводе «ПРОМЕТ», который с того момен­та - 8 августа 1940 г., в соответствии с приказом по НКОМ № 102с предписывалось именовать как «Ленинградский мотоциклетный завод» (ЛМЗ). Тот же приказ обязывал заводы, подчинённые НКОМ, осуществить переход к массовому производству мотоциклов, причем Л-8 в следующих объёмах: 1940 г. - 1700, 1941 г. - 24 тыс. Предписывалось соз­дать в стране мощности по выпуску мотоциклов: 40 тыс. - к 01.01.42 и 55 тыс. - к 01.01.43. В целом предстояло обеспечить рост выпуска мотопродукции до конца 1942 г. по мотозаводам следующим образом. Ижевскому, ЛМЗ и Серпуховскому нужно было обес­печить годовой выпуск по 10 тыс. машин Л-8, причём, на первом следовало снять с производства ИЖ-8, а на втором - МЛ-3. К тому же сроку ещё не построенным Венюковскому и Пензенскому мотозаводам требова­лось обеспечить годовой выпуск М-72 с колясками - по 15 тыс. Названные мотозаводы, а также велозаво­ды Московский (МВЗ) и ХВЗ предписывалось подчи­нить Главному управлению по производству мотоциклов и велосипедов (Главмотовелопрому), при нём же организовать экспериментальную базу с ЦКБМ и со временем включить в его состав заводы, выпускавшие комплектующие изделия для мотоциклов: электрообо­рудование, ободы, щитки, спицы, ниппели и пр. Главмотовелопром обязали к 20.08.40 привлечь в свой коллектив 20 наиболее опытных специалистов из систе­мы НКОМ, подобрать 12 человек для командировки на мотозаводы Германии, возложить на ЦКБМ ответствен­ность по выпуску мотоциклов М-72 (11290).</w:t>
      </w:r>
    </w:p>
    <w:p w14:paraId="7814B86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F44EFE" w14:textId="77777777" w:rsidR="004F75CA" w:rsidRPr="00DB5D0D" w:rsidRDefault="004F75C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внутреняя политика:</w:t>
      </w:r>
    </w:p>
    <w:p w14:paraId="30874A01" w14:textId="77777777" w:rsidR="004F75CA" w:rsidRPr="00DB5D0D" w:rsidRDefault="004F75CA" w:rsidP="00DB5D0D">
      <w:pPr>
        <w:spacing w:after="0" w:line="240" w:lineRule="auto"/>
        <w:jc w:val="both"/>
        <w:rPr>
          <w:rFonts w:ascii="Times New Roman" w:hAnsi="Times New Roman"/>
          <w:iCs/>
          <w:color w:val="000000" w:themeColor="text1"/>
          <w:sz w:val="16"/>
          <w:szCs w:val="16"/>
        </w:rPr>
      </w:pPr>
    </w:p>
    <w:p w14:paraId="512ED923"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г. законом СССР был утвержден Указ Президиума Верховного совета СССР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от 26 июня 1940 г. Этим указом вводилось следующее: «1. Увеличить продолжительность рабочего дня рабочих и служащих во всех государственных, кооперативных и общественных предприятиях и учреждениях: с семи до восьми часов — на предприятиях с семичасовым рабочим днем; с шести до семи часов — на работах с шестичасовым рабочим днем, за исключением профессий с вредными условиями труда, по спискам, утверждаемым СНК СССР; с шести до восьми часов — для служащих учреждений; с шести до восьми часов — для лиц, достигших 16 лет. 2. Перевести во всех государственных, кооперативных и общественных предприятиях и учреждениях работу с шестидневки на семидневную неделю, считая седьмой день недели — воскресенье — днем отдыха. 3. Запретить самовольный уход рабочих и служащих из государственных, кооперативных и общественных предприятий и учреждений, а также самовольный переход с одного предприятия на другое или из одного учреждения в другое. Уход с предприятия и учреждения или переход с одного предприятия на другое и из одного учреждения в другое может разрешить только директор предприятия или начальник учреждения. 4. Установить, что директор предприятия и начальник учреждения имеет право и обязан дать разрешение на уход рабочего и служащего с предприятия или из учреждения в следующих случаях: а) когда рабочий, работница или служащий согласно заключению врачебно-трудовой экспертной комиссии не может выполнять прежнюю работу вследствие болезни или инвалидности, а администрация не может предоставить ему другую подходящую работу в том же предприятии или учреждении, или когда пенсионер, которому назначена пенсия по старости, желает оставить работу; б) когда рабочий, работница или служащий должен прекратить работу в связи с зачислением его в высшее или среднее специальное учебное заведение. Отпуска работницам и женщинам — служащим по беременности и родам сохраняются в соответствии с действующим законодательством. 5. Установить, что рабочие и служащие, самовольно ушедшие из государственных, кооперативных и общественных предприятий или учреждений, предаются суду и по приговору народного суда подвергаются тюремному заключению сроком от 2 месяцев до 4 месяцев. Установить, что за прогул без уважительной причины рабочие и служащие государственных, кооперативных и общественных предприятий и учреждений предаются суду и по приговору народного суда караются исправительно-трудовыми работами по месту работы на срок до 6 месяцев с удержанием из заработной платы до 25%. В связи с этим отменить обязательное увольнение за прогул без уважительных причин. Предложить народным судам все дела, указанные в настоящей статье, рассматривать не более чем в 5</w:t>
      </w:r>
      <w:r w:rsidRPr="00DB5D0D">
        <w:rPr>
          <w:rFonts w:ascii="Times New Roman" w:hAnsi="Times New Roman"/>
          <w:color w:val="000000" w:themeColor="text1"/>
          <w:sz w:val="16"/>
          <w:szCs w:val="16"/>
        </w:rPr>
        <w:noBreakHyphen/>
        <w:t>дневный срок и приговоры по этим делам приводить в исполнение немедленно. 6. Установить, что директора предприятий и начальники учреждений за уклонение от предания суду лиц, виновных в самовольном уходе с предприятия и из учреждения, и лиц, виновных в прогулах без уважительных причин, — привлекаются к судебной ответственности. Установить также, что директора предприятий и начальники учреждений, принявшие на работу укрывающихся от закона лиц, самовольно ушедших с предприятий и из учреждений, подвергаются судебной ответственности. 7. Настоящий Указ входит в силу с 27 июня 1940 г.».</w:t>
      </w:r>
    </w:p>
    <w:p w14:paraId="0D4CE637" w14:textId="77777777" w:rsidR="004F75CA" w:rsidRPr="00DB5D0D" w:rsidRDefault="004F75CA"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постановлении СНК СССР № 1320 от 20 декабря 1938 г. “О введении трудовых книжек” говорилось, что трудовые книжки вводятся для рабочих и служащих всех государственных и кооперативных предприятий и учреждений с 15 января 1939 г. для упорядочения учета кадров. Трудовые книжки должны были выдаваться администрацией предприятия или учреждения и содержать следующие сведения о владельце: фамилия, имя и отчество, возраст, образование (среднее и высшее образование указываются только на основании документов, а начальное — со слов рабочего или служащего), профессия (основная, заявленная рабочим или служащим) и сведения о его работе (прежде всего — подтвержденный документами и со слов стаж), о всех переходах из одного учреждения или предприятия в другое и о причинах этих переходов, а также о поощрениях и награждениях владельца. Взыскания в трудовую книжку не вносились. При поступлении на работу рабочий или служащий обязан был предъявить трудовую книжку. Граждане, которые впервые устраивались на работу, должны были принести справку из домоуправления или сельского совета о своем последнем занятии. Трудовые книжки должны были оформляться на всех рабочих и служащих, работающих в учреждении или на предприятии свыше 5 дней, к их числу относились также сезонные и временные работники. На лиц, работающих по совместительству, трудовые книжки велись только по месту основной работы. За получение трудовой книжки владелец платил 50 коп., а за ее утерю — 25 руб. (ВВС СССР. 1940. № 20; СЗ СССР. 1926. № 66. Ст. 502.) (18009).</w:t>
      </w:r>
    </w:p>
    <w:p w14:paraId="5A287EEE" w14:textId="77777777" w:rsidR="004F75CA" w:rsidRPr="00DB5D0D" w:rsidRDefault="004F75CA" w:rsidP="00DB5D0D">
      <w:pPr>
        <w:spacing w:after="0" w:line="240" w:lineRule="auto"/>
        <w:jc w:val="both"/>
        <w:rPr>
          <w:rFonts w:ascii="Times New Roman" w:hAnsi="Times New Roman"/>
          <w:color w:val="000000" w:themeColor="text1"/>
          <w:sz w:val="16"/>
          <w:szCs w:val="16"/>
        </w:rPr>
      </w:pPr>
    </w:p>
    <w:p w14:paraId="5E9A5E1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lastRenderedPageBreak/>
        <w:t>Внешняя политика:</w:t>
      </w:r>
    </w:p>
    <w:p w14:paraId="63181B8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EE3EF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года состоялась третья встреча К.А.Уманского и С.Уэллеса, продолжавшаяся 2 часа. Она началась с вопроса о про</w:t>
      </w:r>
      <w:r w:rsidRPr="00DB5D0D">
        <w:rPr>
          <w:rFonts w:ascii="Times New Roman" w:hAnsi="Times New Roman"/>
          <w:color w:val="000000" w:themeColor="text1"/>
          <w:sz w:val="16"/>
          <w:szCs w:val="16"/>
        </w:rPr>
        <w:softHyphen/>
        <w:t>длении торгового соглашения. КА Уманский в телеграмме В.М. Молотову от 8.08.1940 года сообщил, что в ответ на поздравления С. Уэллеса по поводу продления соглашения, он добавил, «что нам не следует обольщаться, ибо со</w:t>
      </w:r>
      <w:r w:rsidRPr="00DB5D0D">
        <w:rPr>
          <w:rFonts w:ascii="Times New Roman" w:hAnsi="Times New Roman"/>
          <w:color w:val="000000" w:themeColor="text1"/>
          <w:sz w:val="16"/>
          <w:szCs w:val="16"/>
        </w:rPr>
        <w:softHyphen/>
        <w:t>глашение заключено на суженной базе, поскольку им не устранены лицензи</w:t>
      </w:r>
      <w:r w:rsidRPr="00DB5D0D">
        <w:rPr>
          <w:rFonts w:ascii="Times New Roman" w:hAnsi="Times New Roman"/>
          <w:color w:val="000000" w:themeColor="text1"/>
          <w:sz w:val="16"/>
          <w:szCs w:val="16"/>
        </w:rPr>
        <w:softHyphen/>
        <w:t>онные ограничения». Второй пункт встречи был посвящен ответу американ</w:t>
      </w:r>
      <w:r w:rsidRPr="00DB5D0D">
        <w:rPr>
          <w:rFonts w:ascii="Times New Roman" w:hAnsi="Times New Roman"/>
          <w:color w:val="000000" w:themeColor="text1"/>
          <w:sz w:val="16"/>
          <w:szCs w:val="16"/>
        </w:rPr>
        <w:softHyphen/>
        <w:t>ской стороны на вопрос о лицензиях. В соответствии с обещанием, данным советскому полпреду 2 августа, С. Уэллес вручил КА Уманскому два списка на 66 страниц, первый из которых включал перечень товаров на общую сумму 1 064 000 долларов, задержанных американским правительством, а второй -на сумму 3317 040 долларов - включал перечень товаров, на которые было разрешено выдать лицензии. КА. Уманский отмечал: «Заявил Уэллесу, что считаю его ответ по вопросу о лицензиях, означающих реквизицию около четверти наших грузов, неудовлетворительным и противоречащим завере</w:t>
      </w:r>
      <w:r w:rsidRPr="00DB5D0D">
        <w:rPr>
          <w:rFonts w:ascii="Times New Roman" w:hAnsi="Times New Roman"/>
          <w:color w:val="000000" w:themeColor="text1"/>
          <w:sz w:val="16"/>
          <w:szCs w:val="16"/>
        </w:rPr>
        <w:softHyphen/>
        <w:t>нию о желании упорядочить торговые и иные отношения и расширить базу торговли. Мне непонятно, почему при выполнении оборонной программы Американское правительство... считает необходимым выполнить эту про</w:t>
      </w:r>
      <w:r w:rsidRPr="00DB5D0D">
        <w:rPr>
          <w:rFonts w:ascii="Times New Roman" w:hAnsi="Times New Roman"/>
          <w:color w:val="000000" w:themeColor="text1"/>
          <w:sz w:val="16"/>
          <w:szCs w:val="16"/>
        </w:rPr>
        <w:softHyphen/>
        <w:t>грамму за счет советских станков, в которые уже вложены наши деньги и силы наших людей. Количественная пропорция между задерживаемым и разрешенным оборудованием представляется мне неприемлемой, что же ка</w:t>
      </w:r>
      <w:r w:rsidRPr="00DB5D0D">
        <w:rPr>
          <w:rFonts w:ascii="Times New Roman" w:hAnsi="Times New Roman"/>
          <w:color w:val="000000" w:themeColor="text1"/>
          <w:sz w:val="16"/>
          <w:szCs w:val="16"/>
        </w:rPr>
        <w:softHyphen/>
        <w:t>сается качественной, то должен посоветоваться с экспертами и только после этого буду иметь точную картину, которую передам своему правительству». Обсуждая третий пункт встречи - моральное эмбарго, в ответ на сообщение С. Уэллеса, что вопрос о нем для американского правительства «сейчас сто</w:t>
      </w:r>
      <w:r w:rsidRPr="00DB5D0D">
        <w:rPr>
          <w:rFonts w:ascii="Times New Roman" w:hAnsi="Times New Roman"/>
          <w:color w:val="000000" w:themeColor="text1"/>
          <w:sz w:val="16"/>
          <w:szCs w:val="16"/>
        </w:rPr>
        <w:softHyphen/>
        <w:t>ит по-новому», КА Уманский «заявил ему, что недостаточно заявлять об этом мне в кабинете, акты морального эмбарго были публичными, их аннулиро</w:t>
      </w:r>
      <w:r w:rsidRPr="00DB5D0D">
        <w:rPr>
          <w:rFonts w:ascii="Times New Roman" w:hAnsi="Times New Roman"/>
          <w:color w:val="000000" w:themeColor="text1"/>
          <w:sz w:val="16"/>
          <w:szCs w:val="16"/>
        </w:rPr>
        <w:softHyphen/>
        <w:t>вание в отношении СССР должно быть публичным же». Пятый пункт встре</w:t>
      </w:r>
      <w:r w:rsidRPr="00DB5D0D">
        <w:rPr>
          <w:rFonts w:ascii="Times New Roman" w:hAnsi="Times New Roman"/>
          <w:color w:val="000000" w:themeColor="text1"/>
          <w:sz w:val="16"/>
          <w:szCs w:val="16"/>
        </w:rPr>
        <w:softHyphen/>
        <w:t>чи был посвящен вопросу о режиме советских инженеров на заводах США, а конкретно - положению советской комиссии на авиамоторном заводе Райта. «Указал, что дискриминация налицо, - сообщал КА Уманский, - ибо китайские инженеры, также действующие по договору техпомощи, допуска</w:t>
      </w:r>
      <w:r w:rsidRPr="00DB5D0D">
        <w:rPr>
          <w:rFonts w:ascii="Times New Roman" w:hAnsi="Times New Roman"/>
          <w:color w:val="000000" w:themeColor="text1"/>
          <w:sz w:val="16"/>
          <w:szCs w:val="16"/>
        </w:rPr>
        <w:softHyphen/>
        <w:t>ются в цеха, без чего техпомощь - фикция» (Документы внешней политики. Т. XXIII. Кн. 1. С. 489-492).</w:t>
      </w:r>
    </w:p>
    <w:p w14:paraId="79668C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ключевые пункты третьей встречи советского полпреда в США с заместителем госсекретаря США касались проблемы закупок СССР в США военных материалов, в том числе и авиационных, а также контактов советских авиаспециалистов с авиапредприятиями США, затрудненных в связи с действием морального эмбарго.</w:t>
      </w:r>
    </w:p>
    <w:p w14:paraId="6E2E0B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американским документам, помимо С. Уэллеса и К. Уманско-го на встрече присутствовали начальник Отдела европейских связей Рэй Аттертон и Лой Гендерсон. Советский посол прямо заявил, касаясь темы морального эмбарго, что «советская промышленность понесла серьезный ущерб в результате невозможности получения американской технической помощи для создания заводов авиабензина, прекращения поставок молиб</w:t>
      </w:r>
      <w:r w:rsidRPr="00DB5D0D">
        <w:rPr>
          <w:rFonts w:ascii="Times New Roman" w:hAnsi="Times New Roman"/>
          <w:color w:val="000000" w:themeColor="text1"/>
          <w:sz w:val="16"/>
          <w:szCs w:val="16"/>
        </w:rPr>
        <w:softHyphen/>
        <w:t>дена и невозможности получения новейших моделей американских само</w:t>
      </w:r>
      <w:r w:rsidRPr="00DB5D0D">
        <w:rPr>
          <w:rFonts w:ascii="Times New Roman" w:hAnsi="Times New Roman"/>
          <w:color w:val="000000" w:themeColor="text1"/>
          <w:sz w:val="16"/>
          <w:szCs w:val="16"/>
        </w:rPr>
        <w:softHyphen/>
        <w:t>летов, которые уже закупались в течение многих лет. Наихудшим результа</w:t>
      </w:r>
      <w:r w:rsidRPr="00DB5D0D">
        <w:rPr>
          <w:rFonts w:ascii="Times New Roman" w:hAnsi="Times New Roman"/>
          <w:color w:val="000000" w:themeColor="text1"/>
          <w:sz w:val="16"/>
          <w:szCs w:val="16"/>
        </w:rPr>
        <w:softHyphen/>
        <w:t>том морального эмбарго, однако, был тот эффект, который оно возымело на поведение американского бизнеса в советской торговле». Посол отме</w:t>
      </w:r>
      <w:r w:rsidRPr="00DB5D0D">
        <w:rPr>
          <w:rFonts w:ascii="Times New Roman" w:hAnsi="Times New Roman"/>
          <w:color w:val="000000" w:themeColor="text1"/>
          <w:sz w:val="16"/>
          <w:szCs w:val="16"/>
        </w:rPr>
        <w:softHyphen/>
        <w:t>тил трудности, с которыми встретились советские инженеры на авиацион</w:t>
      </w:r>
      <w:r w:rsidRPr="00DB5D0D">
        <w:rPr>
          <w:rFonts w:ascii="Times New Roman" w:hAnsi="Times New Roman"/>
          <w:color w:val="000000" w:themeColor="text1"/>
          <w:sz w:val="16"/>
          <w:szCs w:val="16"/>
        </w:rPr>
        <w:softHyphen/>
        <w:t>ном заводе Райта в Паттерсоне, штат Нью-Джерси.</w:t>
      </w:r>
    </w:p>
    <w:p w14:paraId="778E49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Посол также заявил, что в течение прошлого года было отмечено бес</w:t>
      </w:r>
      <w:r w:rsidRPr="00DB5D0D">
        <w:rPr>
          <w:rFonts w:ascii="Times New Roman" w:hAnsi="Times New Roman"/>
          <w:color w:val="000000" w:themeColor="text1"/>
          <w:sz w:val="16"/>
          <w:szCs w:val="16"/>
        </w:rPr>
        <w:softHyphen/>
        <w:t>численное количество инцидентов дурного обращения с советскими граж</w:t>
      </w:r>
      <w:r w:rsidRPr="00DB5D0D">
        <w:rPr>
          <w:rFonts w:ascii="Times New Roman" w:hAnsi="Times New Roman"/>
          <w:color w:val="000000" w:themeColor="text1"/>
          <w:sz w:val="16"/>
          <w:szCs w:val="16"/>
        </w:rPr>
        <w:softHyphen/>
        <w:t>данами в США официальных властей штатов и федеральных властей. К сожалению, число этих случаев возрастает. Многие из 160 представителей Амторга, которые недавно выехали из США, сделали это из-за унижения, ко</w:t>
      </w:r>
      <w:r w:rsidRPr="00DB5D0D">
        <w:rPr>
          <w:rFonts w:ascii="Times New Roman" w:hAnsi="Times New Roman"/>
          <w:color w:val="000000" w:themeColor="text1"/>
          <w:sz w:val="16"/>
          <w:szCs w:val="16"/>
        </w:rPr>
        <w:softHyphen/>
        <w:t>торому они подвергались. Некоторые из них открыто говорили послу, что они не могут терпеть то, как с ними обращаются, и не будут жить в стране, в которой они подвергаются таким унижениям. Посол описал в деталях не</w:t>
      </w:r>
      <w:r w:rsidRPr="00DB5D0D">
        <w:rPr>
          <w:rFonts w:ascii="Times New Roman" w:hAnsi="Times New Roman"/>
          <w:color w:val="000000" w:themeColor="text1"/>
          <w:sz w:val="16"/>
          <w:szCs w:val="16"/>
        </w:rPr>
        <w:softHyphen/>
        <w:t>сколько случаев, когда советские инженеры и другие советские граждане были задержаны или арестованы по подозрению федеральными или мес</w:t>
      </w:r>
      <w:r w:rsidRPr="00DB5D0D">
        <w:rPr>
          <w:rFonts w:ascii="Times New Roman" w:hAnsi="Times New Roman"/>
          <w:color w:val="000000" w:themeColor="text1"/>
          <w:sz w:val="16"/>
          <w:szCs w:val="16"/>
        </w:rPr>
        <w:softHyphen/>
        <w:t>тными властями, подвергались обыску, причем обыск проводился в оскор</w:t>
      </w:r>
      <w:r w:rsidRPr="00DB5D0D">
        <w:rPr>
          <w:rFonts w:ascii="Times New Roman" w:hAnsi="Times New Roman"/>
          <w:color w:val="000000" w:themeColor="text1"/>
          <w:sz w:val="16"/>
          <w:szCs w:val="16"/>
        </w:rPr>
        <w:softHyphen/>
        <w:t>бительной манере. Он отметил случай ареста двух инженеров в Питтсбурге, Пенсильвания, и вспомнил недавний инцидент в Балтиморе, при котором федеральная полиция захватила и обыскала багаж советских инженеров (Это были Виктор Чичков и Виктор Корзун. Позже американские власти «замяли» дело.)и заставила одного из них промаршировать по коридорам отеля в одном нижнем белье.</w:t>
      </w:r>
    </w:p>
    <w:p w14:paraId="28ACE2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Четвертая встреча, материалы которой в отечественном сборнике не при</w:t>
      </w:r>
      <w:r w:rsidRPr="00DB5D0D">
        <w:rPr>
          <w:rFonts w:ascii="Times New Roman" w:hAnsi="Times New Roman"/>
          <w:color w:val="000000" w:themeColor="text1"/>
          <w:sz w:val="16"/>
          <w:szCs w:val="16"/>
        </w:rPr>
        <w:softHyphen/>
        <w:t>водятся, состоялась 12 августа 1940 года. С обеих сторон участниками встречи были те же лица, что и в прошлый раз. Одним из ключевых вопросов встречи был вопрос о закупках промышленного оборудования. Советский посол отме</w:t>
      </w:r>
      <w:r w:rsidRPr="00DB5D0D">
        <w:rPr>
          <w:rFonts w:ascii="Times New Roman" w:hAnsi="Times New Roman"/>
          <w:color w:val="000000" w:themeColor="text1"/>
          <w:sz w:val="16"/>
          <w:szCs w:val="16"/>
        </w:rPr>
        <w:softHyphen/>
        <w:t>тил, что некоторые из заказанных станков находятся в США от 5 до 6 месяцев (то есть с начала весны 1940 года). Относительно оборудования, разрешен</w:t>
      </w:r>
      <w:r w:rsidRPr="00DB5D0D">
        <w:rPr>
          <w:rFonts w:ascii="Times New Roman" w:hAnsi="Times New Roman"/>
          <w:color w:val="000000" w:themeColor="text1"/>
          <w:sz w:val="16"/>
          <w:szCs w:val="16"/>
        </w:rPr>
        <w:softHyphen/>
        <w:t>ного к вывозу из США, Уманский отметил, что его состав только частично компенсирует потери СССР в миллионы долларов. Уманский спросил, воз</w:t>
      </w:r>
      <w:r w:rsidRPr="00DB5D0D">
        <w:rPr>
          <w:rFonts w:ascii="Times New Roman" w:hAnsi="Times New Roman"/>
          <w:color w:val="000000" w:themeColor="text1"/>
          <w:sz w:val="16"/>
          <w:szCs w:val="16"/>
        </w:rPr>
        <w:softHyphen/>
        <w:t>можно ли пригласить на следующую встречу мистера Лукашева - президента Амторга, который может обсудить различные технические проблемы. Уэллес ответил, что нет причин, по которым мистер Лукашев не смог бы присутс</w:t>
      </w:r>
      <w:r w:rsidRPr="00DB5D0D">
        <w:rPr>
          <w:rFonts w:ascii="Times New Roman" w:hAnsi="Times New Roman"/>
          <w:color w:val="000000" w:themeColor="text1"/>
          <w:sz w:val="16"/>
          <w:szCs w:val="16"/>
        </w:rPr>
        <w:softHyphen/>
        <w:t>твовать на встрече. Интересна в связи с этим телеграмма Госсекретаря послу США в СССР. В ней, в частности, говорилось, что в течение августа месяца была проведена серия встреч между советским послом и господином Уэллесом для решения определенных серьезных проблем, в основном коммерческой при</w:t>
      </w:r>
      <w:r w:rsidRPr="00DB5D0D">
        <w:rPr>
          <w:rFonts w:ascii="Times New Roman" w:hAnsi="Times New Roman"/>
          <w:color w:val="000000" w:themeColor="text1"/>
          <w:sz w:val="16"/>
          <w:szCs w:val="16"/>
        </w:rPr>
        <w:softHyphen/>
        <w:t>роды, в советско-американских отношениях. Хотя в некоторых случаях были получены конструктивные результаты, другие проблемы остались нерешен</w:t>
      </w:r>
      <w:r w:rsidRPr="00DB5D0D">
        <w:rPr>
          <w:rFonts w:ascii="Times New Roman" w:hAnsi="Times New Roman"/>
          <w:color w:val="000000" w:themeColor="text1"/>
          <w:sz w:val="16"/>
          <w:szCs w:val="16"/>
        </w:rPr>
        <w:softHyphen/>
        <w:t>ными. По поводу недопущения советских инженеров на авиационный завод Райта говорилось следующее: «В соответствии с требованиями посла были приняты меры в отношении этих инженеров, которые при определенных ог</w:t>
      </w:r>
      <w:r w:rsidRPr="00DB5D0D">
        <w:rPr>
          <w:rFonts w:ascii="Times New Roman" w:hAnsi="Times New Roman"/>
          <w:color w:val="000000" w:themeColor="text1"/>
          <w:sz w:val="16"/>
          <w:szCs w:val="16"/>
        </w:rPr>
        <w:softHyphen/>
        <w:t>раничениях теперь могут получить доступ к различным цехам завода с целью изучения производственных процессов. Думается, что эта проблема теперь решена в удовлетворительном виде для советского посла».</w:t>
      </w:r>
    </w:p>
    <w:p w14:paraId="0B79A6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15.08.1940 года состоялась пятая встреча КА Уманского и С. Уэллеса, при</w:t>
      </w:r>
      <w:r w:rsidRPr="00DB5D0D">
        <w:rPr>
          <w:rFonts w:ascii="Times New Roman" w:hAnsi="Times New Roman"/>
          <w:color w:val="000000" w:themeColor="text1"/>
          <w:sz w:val="16"/>
          <w:szCs w:val="16"/>
        </w:rPr>
        <w:softHyphen/>
        <w:t>чем в торговой части переговоров с советской стороны принял участие пре</w:t>
      </w:r>
      <w:r w:rsidRPr="00DB5D0D">
        <w:rPr>
          <w:rFonts w:ascii="Times New Roman" w:hAnsi="Times New Roman"/>
          <w:color w:val="000000" w:themeColor="text1"/>
          <w:sz w:val="16"/>
          <w:szCs w:val="16"/>
        </w:rPr>
        <w:softHyphen/>
        <w:t>зидент Амторга Лукашев. С американской же стороны никаких изменений в составе участников по сравнению с предыдущей встречей не было.</w:t>
      </w:r>
    </w:p>
    <w:p w14:paraId="54EC0B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Уэллес вручил КА. Уманскому списки запрещенного и разрешенного к вывозу оборудования. Из советских заявок на сумму около 15,5 млн долла</w:t>
      </w:r>
      <w:r w:rsidRPr="00DB5D0D">
        <w:rPr>
          <w:rFonts w:ascii="Times New Roman" w:hAnsi="Times New Roman"/>
          <w:color w:val="000000" w:themeColor="text1"/>
          <w:sz w:val="16"/>
          <w:szCs w:val="16"/>
        </w:rPr>
        <w:softHyphen/>
        <w:t>ров было разрешено к лицензированию товаров на сумму 7058000 долла</w:t>
      </w:r>
      <w:r w:rsidRPr="00DB5D0D">
        <w:rPr>
          <w:rFonts w:ascii="Times New Roman" w:hAnsi="Times New Roman"/>
          <w:color w:val="000000" w:themeColor="text1"/>
          <w:sz w:val="16"/>
          <w:szCs w:val="16"/>
        </w:rPr>
        <w:softHyphen/>
        <w:t>ров, то есть менее половины первоначальной суммы; на остальные заявки был либо наложен запрет (на сумму 3779000 долларов), либо они не были рассмотрены. «Последовал довольно острый обмен мнениями, не внесший ничего нового, в результате которого Уэллес констатировал, что стороны зашли в тупик», - сообщали Уманский и Лукашев в телеграмме в НКИД от 16.08.1940 года. «Не сговорились мы также по вопросу о форме снятия мо</w:t>
      </w:r>
      <w:r w:rsidRPr="00DB5D0D">
        <w:rPr>
          <w:rFonts w:ascii="Times New Roman" w:hAnsi="Times New Roman"/>
          <w:color w:val="000000" w:themeColor="text1"/>
          <w:sz w:val="16"/>
          <w:szCs w:val="16"/>
        </w:rPr>
        <w:softHyphen/>
        <w:t>рального эмбарго», - констатировали они.</w:t>
      </w:r>
    </w:p>
    <w:p w14:paraId="7E7FC3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Подобная информация говорит об остром кризисе в советско-амери</w:t>
      </w:r>
      <w:r w:rsidRPr="00DB5D0D">
        <w:rPr>
          <w:rFonts w:ascii="Times New Roman" w:hAnsi="Times New Roman"/>
          <w:color w:val="000000" w:themeColor="text1"/>
          <w:sz w:val="16"/>
          <w:szCs w:val="16"/>
        </w:rPr>
        <w:softHyphen/>
        <w:t>канских торгово-экономических контактах, касающихся прежде всего во</w:t>
      </w:r>
      <w:r w:rsidRPr="00DB5D0D">
        <w:rPr>
          <w:rFonts w:ascii="Times New Roman" w:hAnsi="Times New Roman"/>
          <w:color w:val="000000" w:themeColor="text1"/>
          <w:sz w:val="16"/>
          <w:szCs w:val="16"/>
        </w:rPr>
        <w:softHyphen/>
        <w:t>енной области и, в частности, области авиации. В течение почти двух меся</w:t>
      </w:r>
      <w:r w:rsidRPr="00DB5D0D">
        <w:rPr>
          <w:rFonts w:ascii="Times New Roman" w:hAnsi="Times New Roman"/>
          <w:color w:val="000000" w:themeColor="text1"/>
          <w:sz w:val="16"/>
          <w:szCs w:val="16"/>
        </w:rPr>
        <w:softHyphen/>
        <w:t>цев эти встречи не проводились. Переговоры прервались из-за значитель</w:t>
      </w:r>
      <w:r w:rsidRPr="00DB5D0D">
        <w:rPr>
          <w:rFonts w:ascii="Times New Roman" w:hAnsi="Times New Roman"/>
          <w:color w:val="000000" w:themeColor="text1"/>
          <w:sz w:val="16"/>
          <w:szCs w:val="16"/>
        </w:rPr>
        <w:softHyphen/>
        <w:t>ного расхождения в позициях сторон. Фактически экономические отноше</w:t>
      </w:r>
      <w:r w:rsidRPr="00DB5D0D">
        <w:rPr>
          <w:rFonts w:ascii="Times New Roman" w:hAnsi="Times New Roman"/>
          <w:color w:val="000000" w:themeColor="text1"/>
          <w:sz w:val="16"/>
          <w:szCs w:val="16"/>
        </w:rPr>
        <w:softHyphen/>
        <w:t>ния оставались в это время замороженными. Только в октябре переговоры были возобновлены.</w:t>
      </w:r>
    </w:p>
    <w:p w14:paraId="06720F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21 / 64 - ОП от 5 октября 1940 года «Вопрос НКВТ» утверждался проект ответной телеграммы К Уманскому (в Вашингтон) и К Лукашеву (в Нью-Йорк) в связи с их переговорами с С. Уэл</w:t>
      </w:r>
      <w:r w:rsidRPr="00DB5D0D">
        <w:rPr>
          <w:rFonts w:ascii="Times New Roman" w:hAnsi="Times New Roman"/>
          <w:color w:val="000000" w:themeColor="text1"/>
          <w:sz w:val="16"/>
          <w:szCs w:val="16"/>
        </w:rPr>
        <w:softHyphen/>
        <w:t>лесом по торговым вопросам. В этом тексте говорилось, что по вопросу о лицензиях на станки Госдепартаменту необходимо было передать сооб</w:t>
      </w:r>
      <w:r w:rsidRPr="00DB5D0D">
        <w:rPr>
          <w:rFonts w:ascii="Times New Roman" w:hAnsi="Times New Roman"/>
          <w:color w:val="000000" w:themeColor="text1"/>
          <w:sz w:val="16"/>
          <w:szCs w:val="16"/>
        </w:rPr>
        <w:softHyphen/>
        <w:t>щение из шести пунктов. В пункте первом сообщалось о том, что советс</w:t>
      </w:r>
      <w:r w:rsidRPr="00DB5D0D">
        <w:rPr>
          <w:rFonts w:ascii="Times New Roman" w:hAnsi="Times New Roman"/>
          <w:color w:val="000000" w:themeColor="text1"/>
          <w:sz w:val="16"/>
          <w:szCs w:val="16"/>
        </w:rPr>
        <w:softHyphen/>
        <w:t>кое правительство считает, что Указ от 6 июля 1940 года не должен иметь применения к советским заказам, которые были выданы фирмам до его опубликования. Подчеркивалось, что применение Указа есть частичное аннулирование торгового соглашения США и СССР. В пунктах 2-5 указыва</w:t>
      </w:r>
      <w:r w:rsidRPr="00DB5D0D">
        <w:rPr>
          <w:rFonts w:ascii="Times New Roman" w:hAnsi="Times New Roman"/>
          <w:color w:val="000000" w:themeColor="text1"/>
          <w:sz w:val="16"/>
          <w:szCs w:val="16"/>
        </w:rPr>
        <w:softHyphen/>
        <w:t>лось, что советская сторона частично согласна отказаться от вывоза части станков, на которые нет лицензий. Также ставился вопрос о компенсации. Пункт шестой проекта гласил: «Все лицензии на вывоз, выдаваемые Пра</w:t>
      </w:r>
      <w:r w:rsidRPr="00DB5D0D">
        <w:rPr>
          <w:rFonts w:ascii="Times New Roman" w:hAnsi="Times New Roman"/>
          <w:color w:val="000000" w:themeColor="text1"/>
          <w:sz w:val="16"/>
          <w:szCs w:val="16"/>
        </w:rPr>
        <w:softHyphen/>
        <w:t>вительством США по размещенным советским заказам на станки и другие предметы и по заказам, которые будут размещены, не могут быть аннулиро</w:t>
      </w:r>
      <w:r w:rsidRPr="00DB5D0D">
        <w:rPr>
          <w:rFonts w:ascii="Times New Roman" w:hAnsi="Times New Roman"/>
          <w:color w:val="000000" w:themeColor="text1"/>
          <w:sz w:val="16"/>
          <w:szCs w:val="16"/>
        </w:rPr>
        <w:softHyphen/>
        <w:t>ваны». В тексте подчеркивалось: «Обращаем Ваше внимание на то, что, как видно из содержания пунктов первого и шестого, они относятся не только к станкам, но и к другому оборудованию». Проект ответной телеграммы был подписан В.М. Молотовым и А.И. Микояном.</w:t>
      </w:r>
    </w:p>
    <w:p w14:paraId="60CA2D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7.10.1940 года К А Уманским была отправлена телеграмма В.М. Молотову с сообщением о его шестой встрече с С. Уэллесом, имевшей место в тот же день. «В устной форме я точно передал ему порученное вами заявление», -сообщал КА Уманский. В данном заявлении в первую очередь вопрос шел о задержанных станках. «Уэллес заявил, что он рассчитывает, что сможет скоро передать мне решение Американского правительства по предложе</w:t>
      </w:r>
      <w:r w:rsidRPr="00DB5D0D">
        <w:rPr>
          <w:rFonts w:ascii="Times New Roman" w:hAnsi="Times New Roman"/>
          <w:color w:val="000000" w:themeColor="text1"/>
          <w:sz w:val="16"/>
          <w:szCs w:val="16"/>
        </w:rPr>
        <w:softHyphen/>
        <w:t>ниям советского правительства о станках. Вопроса «морального» эмбарго и других нерешенных вопросов, фигурировавших в переговорах, ни Уэллес, ни я сегодня не касались», - подводил Уманский итоги своей встречи. При</w:t>
      </w:r>
      <w:r w:rsidRPr="00DB5D0D">
        <w:rPr>
          <w:rFonts w:ascii="Times New Roman" w:hAnsi="Times New Roman"/>
          <w:color w:val="000000" w:themeColor="text1"/>
          <w:sz w:val="16"/>
          <w:szCs w:val="16"/>
        </w:rPr>
        <w:softHyphen/>
        <w:t>мечательно, что на документе рукою В.М. Молотова была сделана пометка, свидетельствующая о том внимании, которое уделялось советским прави</w:t>
      </w:r>
      <w:r w:rsidRPr="00DB5D0D">
        <w:rPr>
          <w:rFonts w:ascii="Times New Roman" w:hAnsi="Times New Roman"/>
          <w:color w:val="000000" w:themeColor="text1"/>
          <w:sz w:val="16"/>
          <w:szCs w:val="16"/>
        </w:rPr>
        <w:softHyphen/>
        <w:t>тельством ходу переговоров с американской стороной: «Тов. Шлякову. Где задержалась телеграмма с 7 по 9 октября? В. Молотов».</w:t>
      </w:r>
    </w:p>
    <w:p w14:paraId="4746D67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Материалы седьмой и восьмой встречи в отечественном сборнике от</w:t>
      </w:r>
      <w:r w:rsidRPr="00DB5D0D">
        <w:rPr>
          <w:rFonts w:ascii="Times New Roman" w:hAnsi="Times New Roman"/>
          <w:color w:val="000000" w:themeColor="text1"/>
          <w:sz w:val="16"/>
          <w:szCs w:val="16"/>
        </w:rPr>
        <w:softHyphen/>
        <w:t>сутствуют. В американских документах нет материалов восьмой встречи, но наличествуют материалы встречи советского полпреда с американски</w:t>
      </w:r>
      <w:r w:rsidRPr="00DB5D0D">
        <w:rPr>
          <w:rFonts w:ascii="Times New Roman" w:hAnsi="Times New Roman"/>
          <w:color w:val="000000" w:themeColor="text1"/>
          <w:sz w:val="16"/>
          <w:szCs w:val="16"/>
        </w:rPr>
        <w:softHyphen/>
        <w:t>ми представителями, состоявшейся 15 октября 1939 года. Встреча прошла без участия Уэллеса. С американской стороны присутствовали Аттертон и Эдвард Пейдж из Отдела европейских связей</w:t>
      </w:r>
      <w:r w:rsidRPr="00DB5D0D">
        <w:rPr>
          <w:rFonts w:ascii="Times New Roman" w:hAnsi="Times New Roman"/>
          <w:color w:val="000000" w:themeColor="text1"/>
          <w:sz w:val="16"/>
          <w:szCs w:val="16"/>
          <w:vertAlign w:val="superscript"/>
        </w:rPr>
        <w:t>108</w:t>
      </w:r>
      <w:r w:rsidRPr="00DB5D0D">
        <w:rPr>
          <w:rFonts w:ascii="Times New Roman" w:hAnsi="Times New Roman"/>
          <w:color w:val="000000" w:themeColor="text1"/>
          <w:sz w:val="16"/>
          <w:szCs w:val="16"/>
        </w:rPr>
        <w:t>. На этой встрече затраги</w:t>
      </w:r>
      <w:r w:rsidRPr="00DB5D0D">
        <w:rPr>
          <w:rFonts w:ascii="Times New Roman" w:hAnsi="Times New Roman"/>
          <w:color w:val="000000" w:themeColor="text1"/>
          <w:sz w:val="16"/>
          <w:szCs w:val="16"/>
        </w:rPr>
        <w:softHyphen/>
        <w:t>вались разные вопросы. Уманский, в частности, потребовал расследовать дело о заявке на экспорт катализатора для крекинга на сумму 74 тысячи долларов. С этим делом американская сторона обещала разобраться.</w:t>
      </w:r>
    </w:p>
    <w:p w14:paraId="039F12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Девятая встреча КА Уманского с С. Уэллесом и рядом американских представителей (Аттертоном, полковником Максуэллом, Пейджем) состо</w:t>
      </w:r>
      <w:r w:rsidRPr="00DB5D0D">
        <w:rPr>
          <w:rFonts w:ascii="Times New Roman" w:hAnsi="Times New Roman"/>
          <w:color w:val="000000" w:themeColor="text1"/>
          <w:sz w:val="16"/>
          <w:szCs w:val="16"/>
        </w:rPr>
        <w:softHyphen/>
        <w:t>ялась 24.10.1940 года. С советской стороны присутствовали также Лукашев (на первой части беседы) и Сельдяков.</w:t>
      </w:r>
    </w:p>
    <w:p w14:paraId="08A73E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советским источникам, С. Уэллес вручил КА Уманскому список, из которого следовало: из числа станков и оборудования на сумму 2001000 долларов, изготовленных по заказу СССР, но реквизированных американской стороной, освобождалось заказов на сумму 489000 долларов. «Иными слова</w:t>
      </w:r>
      <w:r w:rsidRPr="00DB5D0D">
        <w:rPr>
          <w:rFonts w:ascii="Times New Roman" w:hAnsi="Times New Roman"/>
          <w:color w:val="000000" w:themeColor="text1"/>
          <w:sz w:val="16"/>
          <w:szCs w:val="16"/>
        </w:rPr>
        <w:softHyphen/>
        <w:t>ми, - констатировал КА Уманский в телеграмме В.М. Молотову и АИ. Мико</w:t>
      </w:r>
      <w:r w:rsidRPr="00DB5D0D">
        <w:rPr>
          <w:rFonts w:ascii="Times New Roman" w:hAnsi="Times New Roman"/>
          <w:color w:val="000000" w:themeColor="text1"/>
          <w:sz w:val="16"/>
          <w:szCs w:val="16"/>
        </w:rPr>
        <w:softHyphen/>
        <w:t>яну от 24.10.1940 года, - Американское правительство освободило в ценнос</w:t>
      </w:r>
      <w:r w:rsidRPr="00DB5D0D">
        <w:rPr>
          <w:rFonts w:ascii="Times New Roman" w:hAnsi="Times New Roman"/>
          <w:color w:val="000000" w:themeColor="text1"/>
          <w:sz w:val="16"/>
          <w:szCs w:val="16"/>
        </w:rPr>
        <w:softHyphen/>
        <w:t>тном выражении на этот раз одну четверть изготовленного оборудования, реквизировав основное». Касаясь запрещенного к вывозу оборудования, он отмечал: «В число реквизированных станков вошли в основном тяжелые и резьбо-фрезерные станки. По машиноимпорту... реквизированы правильные валки и один гидропресс «Фаррель-Бирмингхэм». В лицензиях на авиачасти отказано». КА Уманский подчеркнул: «Я и Лукашев выразили наше глубокое неудовлетворение этим списком. ..Я заявил, что доложу Советскому прави</w:t>
      </w:r>
      <w:r w:rsidRPr="00DB5D0D">
        <w:rPr>
          <w:rFonts w:ascii="Times New Roman" w:hAnsi="Times New Roman"/>
          <w:color w:val="000000" w:themeColor="text1"/>
          <w:sz w:val="16"/>
          <w:szCs w:val="16"/>
        </w:rPr>
        <w:softHyphen/>
        <w:t xml:space="preserve">тельству о неудовлетворительном решении Американского правительства по вопросу об изготовленном оборудовании, указав, что решение противоречит и его, Уэллеса, заверениям при прошлой встрече (речь идет о восьмой встрече, состоявшейся между 7.10 и 24.10.1940 года, информации о которой в </w:t>
      </w:r>
      <w:r w:rsidRPr="00DB5D0D">
        <w:rPr>
          <w:rFonts w:ascii="Times New Roman" w:hAnsi="Times New Roman"/>
          <w:color w:val="000000" w:themeColor="text1"/>
          <w:sz w:val="16"/>
          <w:szCs w:val="16"/>
        </w:rPr>
        <w:lastRenderedPageBreak/>
        <w:t>сборни</w:t>
      </w:r>
      <w:r w:rsidRPr="00DB5D0D">
        <w:rPr>
          <w:rFonts w:ascii="Times New Roman" w:hAnsi="Times New Roman"/>
          <w:color w:val="000000" w:themeColor="text1"/>
          <w:sz w:val="16"/>
          <w:szCs w:val="16"/>
        </w:rPr>
        <w:softHyphen/>
        <w:t>ке не приводится. - Прим. авт), и его сегодняшнему заявлению о стремлении Американского правительства «максимально» учитывать интересы Советско</w:t>
      </w:r>
      <w:r w:rsidRPr="00DB5D0D">
        <w:rPr>
          <w:rFonts w:ascii="Times New Roman" w:hAnsi="Times New Roman"/>
          <w:color w:val="000000" w:themeColor="text1"/>
          <w:sz w:val="16"/>
          <w:szCs w:val="16"/>
        </w:rPr>
        <w:softHyphen/>
        <w:t>го правительства». Во время дальнейшей полемики с С. Уэллесом КА Уманский настаивал на этой точке зрения - «как пример того состояния неопределен</w:t>
      </w:r>
      <w:r w:rsidRPr="00DB5D0D">
        <w:rPr>
          <w:rFonts w:ascii="Times New Roman" w:hAnsi="Times New Roman"/>
          <w:color w:val="000000" w:themeColor="text1"/>
          <w:sz w:val="16"/>
          <w:szCs w:val="16"/>
        </w:rPr>
        <w:softHyphen/>
        <w:t>ности, которое мешает развитию торговли, привел вопрос о каталитическом крекинговом оборудовании, по которому не могу получить ясного ответа, хотя возвращаюсь к нему третий раз» (Уманский, в частности, поднимал вопрос об этом оборудовании еще во время второй встречи, происходившей 1.08.1940 года, то есть почти три месяца назад.).</w:t>
      </w:r>
    </w:p>
    <w:p w14:paraId="132443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крекинговом оборудовании был поднят сразу же во второй час</w:t>
      </w:r>
      <w:r w:rsidRPr="00DB5D0D">
        <w:rPr>
          <w:rFonts w:ascii="Times New Roman" w:hAnsi="Times New Roman"/>
          <w:color w:val="000000" w:themeColor="text1"/>
          <w:sz w:val="16"/>
          <w:szCs w:val="16"/>
        </w:rPr>
        <w:softHyphen/>
        <w:t>ти беседы, проходившей уже без участия Лукашева и полковника Максуэлла с американской стороны. По этому поводу С Уэллес заявил, что «американское правительство в принципе не возражает против изготовления этого оборудо</w:t>
      </w:r>
      <w:r w:rsidRPr="00DB5D0D">
        <w:rPr>
          <w:rFonts w:ascii="Times New Roman" w:hAnsi="Times New Roman"/>
          <w:color w:val="000000" w:themeColor="text1"/>
          <w:sz w:val="16"/>
          <w:szCs w:val="16"/>
        </w:rPr>
        <w:softHyphen/>
        <w:t>вания фирмой Келлога для СССР», но первой важной предпосылкой для офор</w:t>
      </w:r>
      <w:r w:rsidRPr="00DB5D0D">
        <w:rPr>
          <w:rFonts w:ascii="Times New Roman" w:hAnsi="Times New Roman"/>
          <w:color w:val="000000" w:themeColor="text1"/>
          <w:sz w:val="16"/>
          <w:szCs w:val="16"/>
        </w:rPr>
        <w:softHyphen/>
        <w:t>мления этого разрешения должно стать «снятие морального эмбарго, которое распространяется на оборудование по производству высокооктанового бен</w:t>
      </w:r>
      <w:r w:rsidRPr="00DB5D0D">
        <w:rPr>
          <w:rFonts w:ascii="Times New Roman" w:hAnsi="Times New Roman"/>
          <w:color w:val="000000" w:themeColor="text1"/>
          <w:sz w:val="16"/>
          <w:szCs w:val="16"/>
        </w:rPr>
        <w:softHyphen/>
        <w:t>зина»; после того как в переговорах будет достигнуто соглашение по вопро</w:t>
      </w:r>
      <w:r w:rsidRPr="00DB5D0D">
        <w:rPr>
          <w:rFonts w:ascii="Times New Roman" w:hAnsi="Times New Roman"/>
          <w:color w:val="000000" w:themeColor="text1"/>
          <w:sz w:val="16"/>
          <w:szCs w:val="16"/>
        </w:rPr>
        <w:softHyphen/>
        <w:t>сам, фигурировавшим в этих переговорах, и, как отметил С. Уэллес, «в случае, если тем временем в международной обстановке не произойдет ничего не</w:t>
      </w:r>
      <w:r w:rsidRPr="00DB5D0D">
        <w:rPr>
          <w:rFonts w:ascii="Times New Roman" w:hAnsi="Times New Roman"/>
          <w:color w:val="000000" w:themeColor="text1"/>
          <w:sz w:val="16"/>
          <w:szCs w:val="16"/>
        </w:rPr>
        <w:softHyphen/>
        <w:t>предвиденного», американское правительство «готово завершить переговоры публичным заявлением о том, что причины, вызвавшие введение морального эмбарго, в отношении СССР отпали». Уманский отметил ряд неопределенных формулировок в заявлении Уэллеса, включая «оговорку о «непредвиденных» событиях». В заключение встречи С. Уэллес «предложил встретиться с ним 28 октября для разработки проектов нотами по остальным вопросам».</w:t>
      </w:r>
    </w:p>
    <w:p w14:paraId="714F0D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Подробных американских материалов об этой встрече нет. Имеющийся советский документ о ней дает важную информацию о состоянии советско-американских торгово-экономических контактов, в первую очередь в военной области (о чем, в частности, свидетельствует присутствие на переговорах пред</w:t>
      </w:r>
      <w:r w:rsidRPr="00DB5D0D">
        <w:rPr>
          <w:rFonts w:ascii="Times New Roman" w:hAnsi="Times New Roman"/>
          <w:color w:val="000000" w:themeColor="text1"/>
          <w:sz w:val="16"/>
          <w:szCs w:val="16"/>
        </w:rPr>
        <w:softHyphen/>
        <w:t>ставителя американских вооруженных сил), по состоянию на конец октября 1940 года. С одной стороны, налицо отрицательное действие американских санкций, включая и моральное эмбарго, на поставки в СССР целой гаммы обору</w:t>
      </w:r>
      <w:r w:rsidRPr="00DB5D0D">
        <w:rPr>
          <w:rFonts w:ascii="Times New Roman" w:hAnsi="Times New Roman"/>
          <w:color w:val="000000" w:themeColor="text1"/>
          <w:sz w:val="16"/>
          <w:szCs w:val="16"/>
        </w:rPr>
        <w:softHyphen/>
        <w:t>дования, готовых частей и технологии, необходимых для производства и функ</w:t>
      </w:r>
      <w:r w:rsidRPr="00DB5D0D">
        <w:rPr>
          <w:rFonts w:ascii="Times New Roman" w:hAnsi="Times New Roman"/>
          <w:color w:val="000000" w:themeColor="text1"/>
          <w:sz w:val="16"/>
          <w:szCs w:val="16"/>
        </w:rPr>
        <w:softHyphen/>
        <w:t>ционирования авиации (станки, авиачасти, крекинговое оборудование для про</w:t>
      </w:r>
      <w:r w:rsidRPr="00DB5D0D">
        <w:rPr>
          <w:rFonts w:ascii="Times New Roman" w:hAnsi="Times New Roman"/>
          <w:color w:val="000000" w:themeColor="text1"/>
          <w:sz w:val="16"/>
          <w:szCs w:val="16"/>
        </w:rPr>
        <w:softHyphen/>
        <w:t>изводства высокооктанового авиабензина). С другой стороны, американскими представителями отмечается не только вероятность поставок в СССР, в частнос</w:t>
      </w:r>
      <w:r w:rsidRPr="00DB5D0D">
        <w:rPr>
          <w:rFonts w:ascii="Times New Roman" w:hAnsi="Times New Roman"/>
          <w:color w:val="000000" w:themeColor="text1"/>
          <w:sz w:val="16"/>
          <w:szCs w:val="16"/>
        </w:rPr>
        <w:softHyphen/>
        <w:t>ти, крекингового оборудования, но и возможность в этом случае (пусть даже и со множеством оговорок) отмены как такового морального эмбарго, блокиру</w:t>
      </w:r>
      <w:r w:rsidRPr="00DB5D0D">
        <w:rPr>
          <w:rFonts w:ascii="Times New Roman" w:hAnsi="Times New Roman"/>
          <w:color w:val="000000" w:themeColor="text1"/>
          <w:sz w:val="16"/>
          <w:szCs w:val="16"/>
        </w:rPr>
        <w:softHyphen/>
        <w:t>ющего эту и множество других заявок Приходится также констатировать, что моральное эмбарго, действующее на момент этой встречи почти 11 месяцев и не отмененное до сих пор, уже сумело нанести существенный ущерб оборонос</w:t>
      </w:r>
      <w:r w:rsidRPr="00DB5D0D">
        <w:rPr>
          <w:rFonts w:ascii="Times New Roman" w:hAnsi="Times New Roman"/>
          <w:color w:val="000000" w:themeColor="text1"/>
          <w:sz w:val="16"/>
          <w:szCs w:val="16"/>
        </w:rPr>
        <w:softHyphen/>
        <w:t>пособности СССР вообще и в области военной авиации в частности.</w:t>
      </w:r>
    </w:p>
    <w:p w14:paraId="00D433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Десятая встреча Уманского с Уэллесом, на которой больше никто не присутствовал ни с советской, ни с американской стороны, состоялась 1.11.1940 года. Уэллес констатировал достижение по ряду вопросов в резуль</w:t>
      </w:r>
      <w:r w:rsidRPr="00DB5D0D">
        <w:rPr>
          <w:rFonts w:ascii="Times New Roman" w:hAnsi="Times New Roman"/>
          <w:color w:val="000000" w:themeColor="text1"/>
          <w:sz w:val="16"/>
          <w:szCs w:val="16"/>
        </w:rPr>
        <w:softHyphen/>
        <w:t>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DB5D0D">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DB5D0D">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DB5D0D">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67C2C9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же, по сравнению с предшествующей встречей, десятая не вне</w:t>
      </w:r>
      <w:r w:rsidRPr="00DB5D0D">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36BD04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DB5D0D">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DB5D0D">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0C6FA6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DB5D0D">
        <w:rPr>
          <w:rFonts w:ascii="Times New Roman" w:hAnsi="Times New Roman"/>
          <w:color w:val="000000" w:themeColor="text1"/>
          <w:sz w:val="16"/>
          <w:szCs w:val="16"/>
        </w:rPr>
        <w:softHyphen/>
        <w:t>ках и машинах. Уманский выразил недовольство результатами работы ко</w:t>
      </w:r>
      <w:r w:rsidRPr="00DB5D0D">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DB5D0D">
        <w:rPr>
          <w:rFonts w:ascii="Times New Roman" w:hAnsi="Times New Roman"/>
          <w:color w:val="000000" w:themeColor="text1"/>
          <w:sz w:val="16"/>
          <w:szCs w:val="16"/>
        </w:rPr>
        <w:softHyphen/>
        <w:t>кого правительства, переданных мною Уэллесу 7 октября. Уэллес отве</w:t>
      </w:r>
      <w:r w:rsidRPr="00DB5D0D">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DB5D0D">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DB5D0D">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DB5D0D">
        <w:rPr>
          <w:rFonts w:ascii="Times New Roman" w:hAnsi="Times New Roman"/>
          <w:color w:val="000000" w:themeColor="text1"/>
          <w:sz w:val="16"/>
          <w:szCs w:val="16"/>
        </w:rPr>
        <w:softHyphen/>
        <w:t>на на заводе Райта; несмотря на обещание его, Уэллеса, о допуске к озна</w:t>
      </w:r>
      <w:r w:rsidRPr="00DB5D0D">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DB5D0D">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DB5D0D">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DB5D0D">
        <w:rPr>
          <w:rFonts w:ascii="Times New Roman" w:hAnsi="Times New Roman"/>
          <w:color w:val="000000" w:themeColor="text1"/>
          <w:sz w:val="16"/>
          <w:szCs w:val="16"/>
        </w:rPr>
        <w:softHyphen/>
        <w:t>ведки при заводе, в которой последний, игнорируя договор о техничес</w:t>
      </w:r>
      <w:r w:rsidRPr="00DB5D0D">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DB5D0D">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DB5D0D">
        <w:rPr>
          <w:rFonts w:ascii="Times New Roman" w:hAnsi="Times New Roman"/>
          <w:color w:val="000000" w:themeColor="text1"/>
          <w:sz w:val="16"/>
          <w:szCs w:val="16"/>
          <w:vertAlign w:val="superscript"/>
        </w:rPr>
        <w:t>115</w:t>
      </w:r>
      <w:r w:rsidRPr="00DB5D0D">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32660D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декабря состоялась 12-я встреча с Уэллесом, длившаяся 2 часа», - со</w:t>
      </w:r>
      <w:r w:rsidRPr="00DB5D0D">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DB5D0D">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DB5D0D">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DB5D0D">
        <w:rPr>
          <w:rFonts w:ascii="Times New Roman" w:hAnsi="Times New Roman"/>
          <w:color w:val="000000" w:themeColor="text1"/>
          <w:sz w:val="16"/>
          <w:szCs w:val="16"/>
        </w:rPr>
        <w:softHyphen/>
        <w:t>ны США. В пересмотре списка участвовали представители промышленнос</w:t>
      </w:r>
      <w:r w:rsidRPr="00DB5D0D">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DB5D0D">
        <w:rPr>
          <w:rFonts w:ascii="Times New Roman" w:hAnsi="Times New Roman"/>
          <w:color w:val="000000" w:themeColor="text1"/>
          <w:sz w:val="16"/>
          <w:szCs w:val="16"/>
        </w:rPr>
        <w:softHyphen/>
        <w:t>ти, авиационной, морской и артиллерийской, в этом оборудовании, аме</w:t>
      </w:r>
      <w:r w:rsidRPr="00DB5D0D">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DB5D0D">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DB5D0D">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DB5D0D">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DB5D0D">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DB5D0D">
        <w:rPr>
          <w:rFonts w:ascii="Times New Roman" w:hAnsi="Times New Roman"/>
          <w:color w:val="000000" w:themeColor="text1"/>
          <w:sz w:val="16"/>
          <w:szCs w:val="16"/>
        </w:rPr>
        <w:softHyphen/>
        <w:t>тельство освобождает лишь около 60% принятого и в основном отгружен</w:t>
      </w:r>
      <w:r w:rsidRPr="00DB5D0D">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DB5D0D">
        <w:rPr>
          <w:rFonts w:ascii="Times New Roman" w:hAnsi="Times New Roman"/>
          <w:color w:val="000000" w:themeColor="text1"/>
          <w:sz w:val="16"/>
          <w:szCs w:val="16"/>
        </w:rPr>
        <w:softHyphen/>
        <w:t>ких заказов, находящихся в производстве, К.А. Уманский подчеркнул: «Кон</w:t>
      </w:r>
      <w:r w:rsidRPr="00DB5D0D">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DB5D0D">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DB5D0D">
        <w:rPr>
          <w:rFonts w:ascii="Times New Roman" w:hAnsi="Times New Roman"/>
          <w:color w:val="000000" w:themeColor="text1"/>
          <w:sz w:val="16"/>
          <w:szCs w:val="16"/>
        </w:rPr>
        <w:softHyphen/>
        <w:t>листы видят оборонный характер освобожденных станков и машин, вклю</w:t>
      </w:r>
      <w:r w:rsidRPr="00DB5D0D">
        <w:rPr>
          <w:rFonts w:ascii="Times New Roman" w:hAnsi="Times New Roman"/>
          <w:color w:val="000000" w:themeColor="text1"/>
          <w:sz w:val="16"/>
          <w:szCs w:val="16"/>
        </w:rPr>
        <w:softHyphen/>
        <w:t>чающих тяжелые станки, снарядные прессы, авиамоторы и т.д., безуслов</w:t>
      </w:r>
      <w:r w:rsidRPr="00DB5D0D">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DB5D0D">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DB5D0D">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1022CB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DB5D0D">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DB5D0D">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DB5D0D">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DB5D0D">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DB5D0D">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DB5D0D">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DB5D0D">
        <w:rPr>
          <w:rFonts w:ascii="Times New Roman" w:hAnsi="Times New Roman"/>
          <w:color w:val="000000" w:themeColor="text1"/>
          <w:sz w:val="16"/>
          <w:szCs w:val="16"/>
        </w:rPr>
        <w:softHyphen/>
        <w:t xml:space="preserve">тво не может дать нам ни гарантии неаннулирования выдаваемых лицензий, ни </w:t>
      </w:r>
      <w:r w:rsidRPr="00DB5D0D">
        <w:rPr>
          <w:rFonts w:ascii="Times New Roman" w:hAnsi="Times New Roman"/>
          <w:color w:val="000000" w:themeColor="text1"/>
          <w:sz w:val="16"/>
          <w:szCs w:val="16"/>
        </w:rPr>
        <w:lastRenderedPageBreak/>
        <w:t>автоматического возобновления договоров на запрещаемое к вывозу обо</w:t>
      </w:r>
      <w:r w:rsidRPr="00DB5D0D">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DB5D0D">
        <w:rPr>
          <w:rFonts w:ascii="Times New Roman" w:hAnsi="Times New Roman"/>
          <w:color w:val="000000" w:themeColor="text1"/>
          <w:sz w:val="16"/>
          <w:szCs w:val="16"/>
        </w:rPr>
        <w:softHyphen/>
        <w:t>роительной и машиностроительной промышленности это исключают».</w:t>
      </w:r>
    </w:p>
    <w:p w14:paraId="21EC12C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Пятый вопрос встречи касался поездок в СССР американских специалис</w:t>
      </w:r>
      <w:r w:rsidRPr="00DB5D0D">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DB5D0D">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DB5D0D">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DB5D0D">
        <w:rPr>
          <w:rFonts w:ascii="Times New Roman" w:hAnsi="Times New Roman"/>
          <w:color w:val="000000" w:themeColor="text1"/>
          <w:sz w:val="16"/>
          <w:szCs w:val="16"/>
          <w:vertAlign w:val="superscript"/>
        </w:rPr>
        <w:t>118</w:t>
      </w:r>
      <w:r w:rsidRPr="00DB5D0D">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789808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DB5D0D">
        <w:rPr>
          <w:rFonts w:ascii="Times New Roman" w:hAnsi="Times New Roman"/>
          <w:color w:val="000000" w:themeColor="text1"/>
          <w:sz w:val="16"/>
          <w:szCs w:val="16"/>
          <w:vertAlign w:val="superscript"/>
        </w:rPr>
        <w:t>119</w:t>
      </w:r>
      <w:r w:rsidRPr="00DB5D0D">
        <w:rPr>
          <w:rFonts w:ascii="Times New Roman" w:hAnsi="Times New Roman"/>
          <w:color w:val="000000" w:themeColor="text1"/>
          <w:sz w:val="16"/>
          <w:szCs w:val="16"/>
        </w:rPr>
        <w:t>.</w:t>
      </w:r>
    </w:p>
    <w:p w14:paraId="7B9DEF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Телеграмма Уманского от 17.12.1940 года, вероятно, является самым важ</w:t>
      </w:r>
      <w:r w:rsidRPr="00DB5D0D">
        <w:rPr>
          <w:rFonts w:ascii="Times New Roman" w:hAnsi="Times New Roman"/>
          <w:color w:val="000000" w:themeColor="text1"/>
          <w:sz w:val="16"/>
          <w:szCs w:val="16"/>
        </w:rPr>
        <w:softHyphen/>
        <w:t>ным документом, освещающим переговоры советского полпреда с замес</w:t>
      </w:r>
      <w:r w:rsidRPr="00DB5D0D">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DB5D0D">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DB5D0D">
        <w:rPr>
          <w:rFonts w:ascii="Times New Roman" w:hAnsi="Times New Roman"/>
          <w:color w:val="000000" w:themeColor="text1"/>
          <w:sz w:val="16"/>
          <w:szCs w:val="16"/>
        </w:rPr>
        <w:softHyphen/>
        <w:t>ных советско-американских переговоров, проводившихся в 1940 году в пе</w:t>
      </w:r>
      <w:r w:rsidRPr="00DB5D0D">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DB5D0D">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DB5D0D">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7504C1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Американская сторона отразила ход переговоров встречи в Меморанду</w:t>
      </w:r>
      <w:r w:rsidRPr="00DB5D0D">
        <w:rPr>
          <w:rFonts w:ascii="Times New Roman" w:hAnsi="Times New Roman"/>
          <w:color w:val="000000" w:themeColor="text1"/>
          <w:sz w:val="16"/>
          <w:szCs w:val="16"/>
        </w:rPr>
        <w:softHyphen/>
        <w:t>ме о переговорах, составленном Гендерсоном 16 декабря 1940 года. С аме</w:t>
      </w:r>
      <w:r w:rsidRPr="00DB5D0D">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DB5D0D">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DB5D0D">
        <w:rPr>
          <w:rFonts w:ascii="Times New Roman" w:hAnsi="Times New Roman"/>
          <w:color w:val="000000" w:themeColor="text1"/>
          <w:sz w:val="16"/>
          <w:szCs w:val="16"/>
        </w:rPr>
        <w:softHyphen/>
        <w:t>ки. Обсуждение проблемы морального эмбарго текстуально почти до</w:t>
      </w:r>
      <w:r w:rsidRPr="00DB5D0D">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DB5D0D">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526F9B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DB5D0D">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DB5D0D">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DB5D0D">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DB5D0D">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1EA5584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DB5D0D">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483943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оборудованию, находящемуся в производстве, можно сказать следу</w:t>
      </w:r>
      <w:r w:rsidRPr="00DB5D0D">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DB5D0D">
        <w:rPr>
          <w:rFonts w:ascii="Times New Roman" w:hAnsi="Times New Roman"/>
          <w:color w:val="000000" w:themeColor="text1"/>
          <w:sz w:val="16"/>
          <w:szCs w:val="16"/>
        </w:rPr>
        <w:softHyphen/>
        <w:t>ветственно, 87,5 % не могло быть получено СССР.</w:t>
      </w:r>
    </w:p>
    <w:p w14:paraId="57DDD6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7471C4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поводу режима комиссии НКАПа на заводе Райта: по первую полови</w:t>
      </w:r>
      <w:r w:rsidRPr="00DB5D0D">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DB5D0D">
        <w:rPr>
          <w:rFonts w:ascii="Times New Roman" w:hAnsi="Times New Roman"/>
          <w:color w:val="000000" w:themeColor="text1"/>
          <w:sz w:val="16"/>
          <w:szCs w:val="16"/>
        </w:rPr>
        <w:softHyphen/>
        <w:t>ты комиссии американская сторона не сообщила.</w:t>
      </w:r>
    </w:p>
    <w:p w14:paraId="4B94B4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DB5D0D">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22E788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DB5D0D">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DB5D0D">
        <w:rPr>
          <w:rFonts w:ascii="Times New Roman" w:hAnsi="Times New Roman"/>
          <w:color w:val="000000" w:themeColor="text1"/>
          <w:sz w:val="16"/>
          <w:szCs w:val="16"/>
        </w:rPr>
        <w:softHyphen/>
        <w:t>нии СССР как в экономической, так и в политической области, и послед</w:t>
      </w:r>
      <w:r w:rsidRPr="00DB5D0D">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DB5D0D">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2772A3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404773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A5FADA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3961D4F"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в 1940 году потерян первый английский истребитель-бомбардировщик "Уирлуинд" Westland Whirlwind Mk.1 с номером Р6966. При выполнении взлета у него взорвалась покрышка, и получило повреждение шасси. Летчику все-таки удалось поднять самолет в воздух, и по команде с земли он благополучно покинул его с парашютом (14976).</w:t>
      </w:r>
    </w:p>
    <w:p w14:paraId="60EF55A2"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58B5247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фашисты объявили Эльзас-Лотарингию и Люксембург частью Германии (4962).</w:t>
      </w:r>
    </w:p>
    <w:p w14:paraId="384478F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5E17B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Англия согласилась с предложением Де Голя по созданию вооруженных сил свободной Франции (2259).</w:t>
      </w:r>
    </w:p>
    <w:p w14:paraId="263CEA2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EF426B"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в 1940 году британское правительство подписывает договор с руководством Свободной Франции, возглавляемым Шарлем де Голлем (14976).</w:t>
      </w:r>
    </w:p>
    <w:p w14:paraId="3AD3C675"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69714A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немецкая разведка доложила, что англичане используют радары. В августе 1940 появились радары Mk.IV с максимальной дальностью 20 тыс. футов (2240).</w:t>
      </w:r>
    </w:p>
    <w:p w14:paraId="3A385C3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F37AEE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63EDCB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4A552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А.И.Ш. подписал Отчет об организации и проведении перелета самолета Украина (1313,88).</w:t>
      </w:r>
    </w:p>
    <w:p w14:paraId="755288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постройке материальной части для перелета экипажа Нестеренко НКАП приступил в августе 1939. Организация и подготовка перелета начаты с 1 июня 1940.</w:t>
      </w:r>
    </w:p>
    <w:p w14:paraId="7A3DD4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39 было построено 2 самолета с моторами М-87. Один, названный Украина, предназначался для перелета, другой - для тренировки экипажа.</w:t>
      </w:r>
    </w:p>
    <w:p w14:paraId="310189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Оба самолета, в отличие от серийных ДБ-3, имели увеличенные и дополнительные баки для горючего, второе управление и сидение второго пилота в штурманской кабине, а также иное размещение оборудования в кабине.</w:t>
      </w:r>
    </w:p>
    <w:p w14:paraId="22F1D0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самолет был выпущен в воздух 14 апреля 1940.</w:t>
      </w:r>
    </w:p>
    <w:p w14:paraId="31D09A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Украина был выпущен в воздух 17 мая 1940 и по 26 июня 1940 совершил 20 полетов.</w:t>
      </w:r>
    </w:p>
    <w:p w14:paraId="2AC0FE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48F113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Назначенная комиссия для детального осмотра самолета установила, что материальная часть самолета в порядке, горючего оставалось в баках 910 кг., что обеспечивало продолжение полета на расстояние 1100-1300 км. Причин посадки по вине материальной части и остатку горючего не было обнаружено." (1313,88).</w:t>
      </w:r>
    </w:p>
    <w:p w14:paraId="638ABCC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C7864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вышел приказ НКАП N 406c, согласно которому для проведения заводских испытаний самолета И-190 с М-88 редукторным конструкции тов. Поликарпова Н.Н., л-и был назначен л завода 1 Жуков А.И.. Заводские испытания должны были быть закончены 1 сентября 1940 (411,11).</w:t>
      </w:r>
    </w:p>
    <w:p w14:paraId="11ACA1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Для проведения заводских летных испытаний самолета И-190 с редукторным мотором М-88 конструкции тов. Поликарпова Н.Н., назначаю летчиком-испытателем летчика завода № 1 тов. Жукова А.И.</w:t>
      </w:r>
    </w:p>
    <w:p w14:paraId="26B05F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Заводские испытания самолета И-190 М88Р закончить к 1.IX.1940 года.</w:t>
      </w:r>
    </w:p>
    <w:p w14:paraId="5744843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 проведение заводских испытаний в установленный срок, летчику-испытателю тов. Жукову А.И. установить дополнительную зарплату в сумме 5.000 рублей (411,11).</w:t>
      </w:r>
    </w:p>
    <w:p w14:paraId="7A90B56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8CFE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и 7 ГУ Моторин писал А.С.Я. письмо N 1532 "О ходе работ по самолету И-21 Пашинина":</w:t>
      </w:r>
    </w:p>
    <w:p w14:paraId="67FBF2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самолета проходит заводские летные испытания. 1-й вылет был сделан 11 июля и до 4 августа 1940 было сделано 16 полетов.</w:t>
      </w:r>
    </w:p>
    <w:p w14:paraId="47A22C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2-й экз. заканчивается сборкой и выходит на аэродром 15 августа (2056,126).</w:t>
      </w:r>
    </w:p>
    <w:p w14:paraId="339CDC9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C717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на совместном расширенном заседании НКАП и УВВС было принято решение: "Считать целесообразным для постановки в серийное производство бронированного истребителя ОКО-6-2М-88 определить завод 43. Необходимую подготовку закончить в 1940, построив 10 экз. самолета с безредукторными М-88 различного направления вращения. Предложить тов. Таирову срочно, к 1 августа 1940 выпустить на заводские испытания ОКО-6 с редукторными моторами М-88Р одинакового вращения (степень редукции 0.666) (2181,23).</w:t>
      </w:r>
    </w:p>
    <w:p w14:paraId="27DD350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C4862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был составлен АКТ</w:t>
      </w:r>
    </w:p>
    <w:p w14:paraId="2FEC26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поломку Самолета И-135 М-105П 2ТК-2 конструкции П.О.С.</w:t>
      </w:r>
    </w:p>
    <w:p w14:paraId="119787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производства ОКО з-да № 135, принадлежащий заводу № 289, 3 августа 1940 в 11:25 совершил посадку при убранном шасси на аэродром 8-го отдела ЦАГИ.</w:t>
      </w:r>
    </w:p>
    <w:p w14:paraId="7D255F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Самолет подготавливался к полету ведущими инженерами т.т. ГВОЗДЕВЫМ з.м. (8-й </w:t>
      </w:r>
      <w:r w:rsidRPr="00DB5D0D">
        <w:rPr>
          <w:rFonts w:ascii="Times New Roman" w:hAnsi="Times New Roman"/>
          <w:smallCaps/>
          <w:color w:val="000000" w:themeColor="text1"/>
          <w:sz w:val="16"/>
          <w:szCs w:val="16"/>
        </w:rPr>
        <w:t xml:space="preserve">отд. цаги) </w:t>
      </w:r>
      <w:r w:rsidRPr="00DB5D0D">
        <w:rPr>
          <w:rFonts w:ascii="Times New Roman" w:hAnsi="Times New Roman"/>
          <w:color w:val="000000" w:themeColor="text1"/>
          <w:sz w:val="16"/>
          <w:szCs w:val="16"/>
        </w:rPr>
        <w:t>и ПОЛЕНОВЫМ М.П. ( з-д 289); бортмеханиками т.т. АЛЕКСАНДРОВЫМ К.И. (3-д № 135) и ЛОПУХОВЫМ К.Я. (8-й Отд. ЦАГИ).</w:t>
      </w:r>
    </w:p>
    <w:p w14:paraId="1DCFB6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пилотировал летчик испытатель 1-го класса 8-го Отд. ЦАГИ т. ЧЕРНАВСКИЙ А.П.</w:t>
      </w:r>
    </w:p>
    <w:p w14:paraId="448FDC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внешнему осмотру установлены следующие поломки:</w:t>
      </w:r>
    </w:p>
    <w:p w14:paraId="5E0D71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Погнуты все три лопаоти винта.</w:t>
      </w:r>
    </w:p>
    <w:p w14:paraId="44C093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Разрушен капот масляного радиатора.</w:t>
      </w:r>
    </w:p>
    <w:p w14:paraId="2AF5F0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Радиатор-масляный сдвинут м места назад, с повреждением основания штуцера вход. масла, частично помяты соты и имеются вмятины обечайки.</w:t>
      </w:r>
    </w:p>
    <w:p w14:paraId="382045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Помята передняя кромка центроплана с левой стороны у фюзеляжа.</w:t>
      </w:r>
    </w:p>
    <w:p w14:paraId="49048E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Помяты щитки шасси.</w:t>
      </w:r>
    </w:p>
    <w:p w14:paraId="4EDDD1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Разрушен обтекатель входа воздуха туннеля водяного радиатора.</w:t>
      </w:r>
    </w:p>
    <w:p w14:paraId="2EAF75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Помята -передняя кромка стабилизатора с левой стороны вблизи фюзеляжа.</w:t>
      </w:r>
    </w:p>
    <w:p w14:paraId="1C4654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на месте повадки произвела после подъема самолета, выпуск шасси ручной помпой. Выпуск шасси произошел нормально. Самолет с места посадки был отбуксирован трактором на своем шасся. Самолет у ангара быв поднят на козелки для проверки шаоои: было произведено шесть выпусков шассн ручной помпой (уборка шасси производилась ручной помпой с помощью об</w:t>
      </w:r>
      <w:r w:rsidRPr="00DB5D0D">
        <w:rPr>
          <w:rFonts w:ascii="Times New Roman" w:hAnsi="Times New Roman"/>
          <w:color w:val="000000" w:themeColor="text1"/>
          <w:sz w:val="16"/>
          <w:szCs w:val="16"/>
        </w:rPr>
        <w:softHyphen/>
        <w:t>служивающего персонала).</w:t>
      </w:r>
    </w:p>
    <w:p w14:paraId="5131BE7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о тем, что в ТК при посадке набилась земля и масляная система была повреждена, а такж вследствие деформации лопастей шага, запуск мотора и проверка работы приводной помпы произведена не был. При легком проворачивании вала мотора за винт из нагнетающего штуцера помпы шасси подавалосъ масло (велосид). По внешнему осмотру и при проворачивании за хвостовик помпы 88Р завода № 20 никаких дефектов не замечено. Помпа была отправлена на завод № 20 для осмотра и снятия характеристик по техническим условиям. Помпа техническим условиям соответствует (см. акт приложение 15а).</w:t>
      </w:r>
    </w:p>
    <w:p w14:paraId="7C6550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масляной системы мотора было слито 25 литр. масла и проверен входной фильтр. Стружек и механическ. примесей в фильтре не обна</w:t>
      </w:r>
      <w:r w:rsidRPr="00DB5D0D">
        <w:rPr>
          <w:rFonts w:ascii="Times New Roman" w:hAnsi="Times New Roman"/>
          <w:color w:val="000000" w:themeColor="text1"/>
          <w:sz w:val="16"/>
          <w:szCs w:val="16"/>
        </w:rPr>
        <w:softHyphen/>
        <w:t>ружено. Масляный радиатор типа ОМ 252 № 74011 снят с самолета и был направлен на завод № 34 для снятия тепловых и гидравлических характеристик, о целью сравнения полученнных данных с предыдущим радиатором № 5 стоявшим на самолете.</w:t>
      </w:r>
    </w:p>
    <w:p w14:paraId="55D2B8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анализа прилагаемых материалов (акты, опросные листы и планшет летчика),</w:t>
      </w:r>
    </w:p>
    <w:p w14:paraId="1005B7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считает установленным, что летчик т. Чернавский Алек</w:t>
      </w:r>
      <w:r w:rsidRPr="00DB5D0D">
        <w:rPr>
          <w:rFonts w:ascii="Times New Roman" w:hAnsi="Times New Roman"/>
          <w:color w:val="000000" w:themeColor="text1"/>
          <w:sz w:val="16"/>
          <w:szCs w:val="16"/>
        </w:rPr>
        <w:softHyphen/>
        <w:t>сандр Петрович на высоте 1000 м получил^ высокие температуры масла (вход 90°, выход 120) (см. планшет) , что вынудило его прекра</w:t>
      </w:r>
      <w:r w:rsidRPr="00DB5D0D">
        <w:rPr>
          <w:rFonts w:ascii="Times New Roman" w:hAnsi="Times New Roman"/>
          <w:color w:val="000000" w:themeColor="text1"/>
          <w:sz w:val="16"/>
          <w:szCs w:val="16"/>
        </w:rPr>
        <w:softHyphen/>
        <w:t>тить выполнение задания и итти на посадку;</w:t>
      </w:r>
    </w:p>
    <w:p w14:paraId="4650F9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Рашение, принлтое летчиком Чернавским. комиссия считает правильным. Высокие температуры масла могут быть объяснены несколько худшими тепловыми, по сравнению с предыдущим радиатором, тепловыми характеристиками радиатора типа ОМ 252 № 74011 (см. кривые по акту завода № 34 № 1355/110 от б августа с.г.), а также тем, что летчик непол</w:t>
      </w:r>
      <w:r w:rsidRPr="00DB5D0D">
        <w:rPr>
          <w:rFonts w:ascii="Times New Roman" w:hAnsi="Times New Roman"/>
          <w:color w:val="000000" w:themeColor="text1"/>
          <w:sz w:val="16"/>
          <w:szCs w:val="16"/>
        </w:rPr>
        <w:softHyphen/>
        <w:t>ностью открыл заслонку масляного тунеля, см. приложен. № 8.</w:t>
      </w:r>
    </w:p>
    <w:p w14:paraId="2B85B6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Появление белого дьма, источник которого комиссия установить не удалось, послужила причиной проявленной летчиком поспешности.</w:t>
      </w:r>
    </w:p>
    <w:p w14:paraId="43AC00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характеру снижения о высоты 1000 и и расчета на по</w:t>
      </w:r>
      <w:r w:rsidRPr="00DB5D0D">
        <w:rPr>
          <w:rFonts w:ascii="Times New Roman" w:hAnsi="Times New Roman"/>
          <w:color w:val="000000" w:themeColor="text1"/>
          <w:sz w:val="16"/>
          <w:szCs w:val="16"/>
        </w:rPr>
        <w:softHyphen/>
        <w:t>садку, последнюя нужно харантеризозать как “немедленную" (см. наставл. о производстве полетов).</w:t>
      </w:r>
    </w:p>
    <w:p w14:paraId="38A946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результата проявленной поспешности посадна была произведена без выпуска шасси. Полная исправность гидросистемы шасси (приводной от мотора и ручной помпы и трубопроводов) заставляют признать ссьлку летчика на невозможность выпуска шасси в воздухе не состоятельной.</w:t>
      </w:r>
    </w:p>
    <w:p w14:paraId="50FE68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время планирования летчик не вел наблюдения за температурой масла, которая,несомненно, к концу планирования снизиась. Основанием для этого утверждения слуажит запись термометров, произведенная через 9 мин. после посадки - вход. масла 67° С, выход - 65°С. Остывание на земле на могло быть интенсивным, т.к. запись» произведенная через 1ч. 45 мин. после посадки показала температуры вход. - 38 С, высод. 29° С. Понижение температуры масла на планировании давало возможность лет</w:t>
      </w:r>
      <w:r w:rsidRPr="00DB5D0D">
        <w:rPr>
          <w:rFonts w:ascii="Times New Roman" w:hAnsi="Times New Roman"/>
          <w:color w:val="000000" w:themeColor="text1"/>
          <w:sz w:val="16"/>
          <w:szCs w:val="16"/>
        </w:rPr>
        <w:softHyphen/>
        <w:t>чику продолакть полет с целью принятия мер к выпуску шасси.</w:t>
      </w:r>
    </w:p>
    <w:p w14:paraId="4AEAD9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Посадка с убранным шасси была произведена летчиком без создадзния необходимых мер предосторожности:</w:t>
      </w:r>
    </w:p>
    <w:p w14:paraId="2EA0F3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Пожарньй бензокран оставлен открытым.</w:t>
      </w:r>
    </w:p>
    <w:p w14:paraId="6FA139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Аккумулятор не выключен.</w:t>
      </w:r>
    </w:p>
    <w:p w14:paraId="172A3C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Рукоятка шасса стояла на положения запуска.</w:t>
      </w:r>
    </w:p>
    <w:p w14:paraId="4A61D5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 К Л Ю Ч Е Н И Е</w:t>
      </w:r>
    </w:p>
    <w:p w14:paraId="263AEA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основании вышеизложенного, комиссия относит посадку са-м И-135 с убранным шасси к разряду поломок.</w:t>
      </w:r>
    </w:p>
    <w:p w14:paraId="3D366B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Данная поломка произошла по вине летчика т. Чернавского</w:t>
      </w:r>
    </w:p>
    <w:p w14:paraId="6BD585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ДОПОЛНИТЕЛЬНЫЕ ЗАМЕЧАНИЯ КОМИССИИ.</w:t>
      </w:r>
    </w:p>
    <w:p w14:paraId="795D6C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самолете имеется сирена для сигнализации убранного положения шасси при малом газе, которая не работала.</w:t>
      </w:r>
    </w:p>
    <w:p w14:paraId="100A21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Полетное задание будучи написано на 1-е августа ведущим инжером т. Гвоэдевым, было изменено посредством исправления в полетном листе в части высоты полета. Остальная часть за</w:t>
      </w:r>
      <w:r w:rsidRPr="00DB5D0D">
        <w:rPr>
          <w:rFonts w:ascii="Times New Roman" w:hAnsi="Times New Roman"/>
          <w:color w:val="000000" w:themeColor="text1"/>
          <w:sz w:val="16"/>
          <w:szCs w:val="16"/>
        </w:rPr>
        <w:softHyphen/>
        <w:t>дания несмотря на невозможность его выполнения, вследствие низкой облачности, вычеркнута не была, что является нарушением правил оформления полетов.</w:t>
      </w:r>
    </w:p>
    <w:p w14:paraId="6FAC75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Для дублирования знака запрещения посадки в подобных случаях рекомендовать иметь на старте сигнальные ракеты.</w:t>
      </w:r>
    </w:p>
    <w:p w14:paraId="462FB9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Приложения:</w:t>
      </w:r>
    </w:p>
    <w:p w14:paraId="2FD9F1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Задание на полет</w:t>
      </w:r>
    </w:p>
    <w:p w14:paraId="571B18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Показания летичика т. Чернавского по аварии</w:t>
      </w:r>
    </w:p>
    <w:p w14:paraId="457B6B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Планшет летчика т. Чернавского</w:t>
      </w:r>
    </w:p>
    <w:p w14:paraId="2ADC23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Лист опроса летчика Чернавского</w:t>
      </w:r>
    </w:p>
    <w:p w14:paraId="5A5556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Протокол опроса летчина Чернавского</w:t>
      </w:r>
    </w:p>
    <w:p w14:paraId="16E5F6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Донесение в/инженера Гвоэдева</w:t>
      </w:r>
    </w:p>
    <w:p w14:paraId="0F37FE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Докдадная записка т. Сувирова</w:t>
      </w:r>
    </w:p>
    <w:p w14:paraId="723C19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3аписи летчика т. Гаврилова</w:t>
      </w:r>
    </w:p>
    <w:p w14:paraId="069F95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Сообщение коменданта аэродрома т. Олиферко</w:t>
      </w:r>
    </w:p>
    <w:p w14:paraId="3335CB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Сообщение дежурного по полет. т. Стрельченкова</w:t>
      </w:r>
    </w:p>
    <w:p w14:paraId="31C41C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Сообщение летчика майора т. Селезнева.</w:t>
      </w:r>
    </w:p>
    <w:p w14:paraId="4B85BC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Сообщение летчика-капитана т. Попельнюшенко</w:t>
      </w:r>
    </w:p>
    <w:p w14:paraId="648A4E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Показание дежурного врача на старте т. Поповой</w:t>
      </w:r>
    </w:p>
    <w:p w14:paraId="290493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Акт на отправку гидр. помпы на з-д № 20</w:t>
      </w:r>
    </w:p>
    <w:p w14:paraId="2FA613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Акт с завода № 20 с результатами испыт. гидро помпы</w:t>
      </w:r>
    </w:p>
    <w:p w14:paraId="114CF0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Акт на отправку масло-радиатора на з-д № 34.</w:t>
      </w:r>
    </w:p>
    <w:p w14:paraId="4FA491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Два графика о результатах испытания масло-радиаторов на з-де № 34</w:t>
      </w:r>
    </w:p>
    <w:p w14:paraId="777A5C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Фото - 4 вида посадки с-та И-135 (874).</w:t>
      </w:r>
    </w:p>
    <w:p w14:paraId="2C427F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E1077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г. заместитель на</w:t>
      </w:r>
      <w:r w:rsidRPr="00DB5D0D">
        <w:rPr>
          <w:rFonts w:ascii="Times New Roman" w:hAnsi="Times New Roman"/>
          <w:color w:val="000000" w:themeColor="text1"/>
          <w:sz w:val="16"/>
          <w:szCs w:val="16"/>
        </w:rPr>
        <w:softHyphen/>
        <w:t>чальника 2-го управления ГУ ВВС КА писал помощнику начальника ВВС генерал-лейтенанту Астахову о том, что продолжается выпуск И-16 со следующими дефек</w:t>
      </w:r>
      <w:r w:rsidRPr="00DB5D0D">
        <w:rPr>
          <w:rFonts w:ascii="Times New Roman" w:hAnsi="Times New Roman"/>
          <w:color w:val="000000" w:themeColor="text1"/>
          <w:sz w:val="16"/>
          <w:szCs w:val="16"/>
        </w:rPr>
        <w:softHyphen/>
        <w:t>тами: 1) излом подкосов моторамы; 2) изгиб мягких тяг управления дросселем; 3) обрыв в воздухе выхлопных патрубков и т.д. «На рекламации частей завод № 21 реа</w:t>
      </w:r>
      <w:r w:rsidRPr="00DB5D0D">
        <w:rPr>
          <w:rFonts w:ascii="Times New Roman" w:hAnsi="Times New Roman"/>
          <w:color w:val="000000" w:themeColor="text1"/>
          <w:sz w:val="16"/>
          <w:szCs w:val="16"/>
        </w:rPr>
        <w:softHyphen/>
        <w:t>гирует слабо», - говорилось в документе (10667).</w:t>
      </w:r>
    </w:p>
    <w:p w14:paraId="28D7876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F71CB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г. заместитель наркома авиапромыш</w:t>
      </w:r>
      <w:r w:rsidRPr="00DB5D0D">
        <w:rPr>
          <w:rFonts w:ascii="Times New Roman" w:hAnsi="Times New Roman"/>
          <w:color w:val="000000" w:themeColor="text1"/>
          <w:sz w:val="16"/>
          <w:szCs w:val="16"/>
        </w:rPr>
        <w:softHyphen/>
        <w:t>ленности А.С.Яковлев написал Н.Н.Поликарпову:</w:t>
      </w:r>
    </w:p>
    <w:p w14:paraId="7B9665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протокола совещания в НИИ ГУАС КА от 24-го июля за № 1/0663, самолет И-180 на государствен</w:t>
      </w:r>
      <w:r w:rsidRPr="00DB5D0D">
        <w:rPr>
          <w:rFonts w:ascii="Times New Roman" w:hAnsi="Times New Roman"/>
          <w:color w:val="000000" w:themeColor="text1"/>
          <w:sz w:val="16"/>
          <w:szCs w:val="16"/>
        </w:rPr>
        <w:softHyphen/>
        <w:t>ные испытания принят быть не может по причинам не</w:t>
      </w:r>
      <w:r w:rsidRPr="00DB5D0D">
        <w:rPr>
          <w:rFonts w:ascii="Times New Roman" w:hAnsi="Times New Roman"/>
          <w:color w:val="000000" w:themeColor="text1"/>
          <w:sz w:val="16"/>
          <w:szCs w:val="16"/>
        </w:rPr>
        <w:softHyphen/>
        <w:t>доделок, в основном относящихся к следующему:</w:t>
      </w:r>
    </w:p>
    <w:p w14:paraId="53CC22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Недостаточная прочность отдельных частей конст</w:t>
      </w:r>
      <w:r w:rsidRPr="00DB5D0D">
        <w:rPr>
          <w:rFonts w:ascii="Times New Roman" w:hAnsi="Times New Roman"/>
          <w:color w:val="000000" w:themeColor="text1"/>
          <w:sz w:val="16"/>
          <w:szCs w:val="16"/>
        </w:rPr>
        <w:softHyphen/>
        <w:t>рукции.</w:t>
      </w:r>
    </w:p>
    <w:p w14:paraId="594E5E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Недостаточная продольная устойчивость.</w:t>
      </w:r>
    </w:p>
    <w:p w14:paraId="2E9456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Недостаточная надежность узлов крепления шасси (шасси быстро разлюфтовывается).</w:t>
      </w:r>
    </w:p>
    <w:p w14:paraId="0BCD9C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Дефекты конструкции.</w:t>
      </w:r>
    </w:p>
    <w:p w14:paraId="6A0698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должен быть сдан на госиспытания и внед</w:t>
      </w:r>
      <w:r w:rsidRPr="00DB5D0D">
        <w:rPr>
          <w:rFonts w:ascii="Times New Roman" w:hAnsi="Times New Roman"/>
          <w:color w:val="000000" w:themeColor="text1"/>
          <w:sz w:val="16"/>
          <w:szCs w:val="16"/>
        </w:rPr>
        <w:softHyphen/>
        <w:t>рен в серию в кратчайший срок.</w:t>
      </w:r>
    </w:p>
    <w:p w14:paraId="1A22DE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этой целью предлагаю под Вашу личную ответст</w:t>
      </w:r>
      <w:r w:rsidRPr="00DB5D0D">
        <w:rPr>
          <w:rFonts w:ascii="Times New Roman" w:hAnsi="Times New Roman"/>
          <w:color w:val="000000" w:themeColor="text1"/>
          <w:sz w:val="16"/>
          <w:szCs w:val="16"/>
        </w:rPr>
        <w:softHyphen/>
        <w:t>венность:</w:t>
      </w:r>
    </w:p>
    <w:p w14:paraId="46C29A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Принять от представителя завода № 21 тов. Купри</w:t>
      </w:r>
      <w:r w:rsidRPr="00DB5D0D">
        <w:rPr>
          <w:rFonts w:ascii="Times New Roman" w:hAnsi="Times New Roman"/>
          <w:color w:val="000000" w:themeColor="text1"/>
          <w:sz w:val="16"/>
          <w:szCs w:val="16"/>
        </w:rPr>
        <w:softHyphen/>
        <w:t>янова самолет И-180 № 25211, провести на нем все необ</w:t>
      </w:r>
      <w:r w:rsidRPr="00DB5D0D">
        <w:rPr>
          <w:rFonts w:ascii="Times New Roman" w:hAnsi="Times New Roman"/>
          <w:color w:val="000000" w:themeColor="text1"/>
          <w:sz w:val="16"/>
          <w:szCs w:val="16"/>
        </w:rPr>
        <w:softHyphen/>
        <w:t>ходимые доделки и упрочнения и сдать его для облета и снятия балансировочных кривых в 8-й отдел ЦАГИ к 20 августа.</w:t>
      </w:r>
    </w:p>
    <w:p w14:paraId="329AEC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Изготовить все рабочие чертежи измененных час</w:t>
      </w:r>
      <w:r w:rsidRPr="00DB5D0D">
        <w:rPr>
          <w:rFonts w:ascii="Times New Roman" w:hAnsi="Times New Roman"/>
          <w:color w:val="000000" w:themeColor="text1"/>
          <w:sz w:val="16"/>
          <w:szCs w:val="16"/>
        </w:rPr>
        <w:softHyphen/>
        <w:t>тей конструкции и сдать их заводу № 21 для внедрения в серию к 25-му августа с.г.</w:t>
      </w:r>
    </w:p>
    <w:p w14:paraId="7C814F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Произвести статические испытания всех усилен</w:t>
      </w:r>
      <w:r w:rsidRPr="00DB5D0D">
        <w:rPr>
          <w:rFonts w:ascii="Times New Roman" w:hAnsi="Times New Roman"/>
          <w:color w:val="000000" w:themeColor="text1"/>
          <w:sz w:val="16"/>
          <w:szCs w:val="16"/>
        </w:rPr>
        <w:softHyphen/>
        <w:t>ных и измененных частей конструкции в лаборатории завода № 21 к 1-му сентября с.г.» (10667).</w:t>
      </w:r>
    </w:p>
    <w:p w14:paraId="07D8275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A6AA880" w14:textId="77777777" w:rsidR="000E5980" w:rsidRPr="00DB5D0D" w:rsidRDefault="000E5980" w:rsidP="00DB5D0D">
      <w:pPr>
        <w:pStyle w:val="book-paragraph"/>
        <w:spacing w:before="0" w:beforeAutospacing="0" w:after="0" w:afterAutospacing="0"/>
        <w:jc w:val="both"/>
        <w:rPr>
          <w:color w:val="000000" w:themeColor="text1"/>
          <w:sz w:val="16"/>
          <w:szCs w:val="16"/>
        </w:rPr>
      </w:pPr>
      <w:r w:rsidRPr="00DB5D0D">
        <w:rPr>
          <w:color w:val="000000" w:themeColor="text1"/>
          <w:sz w:val="16"/>
          <w:szCs w:val="16"/>
        </w:rPr>
        <w:t>8 августа 1940 П.Д.Грушин стал главным конструктором КБ Харьковского авиационного завода № 135. Руководимое им конструкторское бюро МАИ в связи с этим прекратило свое существование. Соответствующий приказ НКАП № 607 был подписан 1 ноября 1940 года (18995).</w:t>
      </w:r>
    </w:p>
    <w:p w14:paraId="38CEF331" w14:textId="77777777" w:rsidR="000E5980" w:rsidRPr="00DB5D0D" w:rsidRDefault="000E5980" w:rsidP="00DB5D0D">
      <w:pPr>
        <w:spacing w:after="0" w:line="240" w:lineRule="auto"/>
        <w:jc w:val="both"/>
        <w:rPr>
          <w:rFonts w:ascii="Times New Roman" w:hAnsi="Times New Roman"/>
          <w:color w:val="000000" w:themeColor="text1"/>
          <w:sz w:val="16"/>
          <w:szCs w:val="16"/>
        </w:rPr>
      </w:pPr>
    </w:p>
    <w:p w14:paraId="76547D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(27?) августа 1940 была подготовлена таблица по самолетам авиации ВМФ (2090,190):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749"/>
        <w:gridCol w:w="6047"/>
      </w:tblGrid>
      <w:tr w:rsidR="007D5DF8" w:rsidRPr="00DB5D0D" w14:paraId="33CC4EF1" w14:textId="77777777" w:rsidTr="00E543D0">
        <w:tc>
          <w:tcPr>
            <w:tcW w:w="2660" w:type="dxa"/>
            <w:tcBorders>
              <w:top w:val="single" w:sz="12" w:space="0" w:color="auto"/>
            </w:tcBorders>
          </w:tcPr>
          <w:p w14:paraId="2262B4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w:t>
            </w:r>
          </w:p>
        </w:tc>
        <w:tc>
          <w:tcPr>
            <w:tcW w:w="1749" w:type="dxa"/>
            <w:tcBorders>
              <w:top w:val="single" w:sz="12" w:space="0" w:color="auto"/>
            </w:tcBorders>
          </w:tcPr>
          <w:p w14:paraId="3FBBA6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серии</w:t>
            </w:r>
          </w:p>
        </w:tc>
        <w:tc>
          <w:tcPr>
            <w:tcW w:w="6047" w:type="dxa"/>
            <w:tcBorders>
              <w:top w:val="single" w:sz="12" w:space="0" w:color="auto"/>
            </w:tcBorders>
          </w:tcPr>
          <w:p w14:paraId="1CEC64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Опытные</w:t>
            </w:r>
          </w:p>
        </w:tc>
      </w:tr>
      <w:tr w:rsidR="007D5DF8" w:rsidRPr="00DB5D0D" w14:paraId="33EC425F" w14:textId="77777777" w:rsidTr="00E543D0">
        <w:tc>
          <w:tcPr>
            <w:tcW w:w="2660" w:type="dxa"/>
          </w:tcPr>
          <w:p w14:paraId="3FFD54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Корабельный катапультный</w:t>
            </w:r>
          </w:p>
        </w:tc>
        <w:tc>
          <w:tcPr>
            <w:tcW w:w="1749" w:type="dxa"/>
          </w:tcPr>
          <w:p w14:paraId="74A59A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КОР-1 М-25Е, </w:t>
            </w:r>
          </w:p>
        </w:tc>
        <w:tc>
          <w:tcPr>
            <w:tcW w:w="6047" w:type="dxa"/>
          </w:tcPr>
          <w:p w14:paraId="102343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КОР-2 М-63, Бериев, в постройке</w:t>
            </w:r>
          </w:p>
        </w:tc>
      </w:tr>
      <w:tr w:rsidR="007D5DF8" w:rsidRPr="00DB5D0D" w14:paraId="78CB96E3" w14:textId="77777777" w:rsidTr="00E543D0">
        <w:tc>
          <w:tcPr>
            <w:tcW w:w="2660" w:type="dxa"/>
          </w:tcPr>
          <w:p w14:paraId="09BB13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разведчик</w:t>
            </w:r>
          </w:p>
        </w:tc>
        <w:tc>
          <w:tcPr>
            <w:tcW w:w="1749" w:type="dxa"/>
          </w:tcPr>
          <w:p w14:paraId="68F638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Бериев</w:t>
            </w:r>
          </w:p>
        </w:tc>
        <w:tc>
          <w:tcPr>
            <w:tcW w:w="6047" w:type="dxa"/>
          </w:tcPr>
          <w:p w14:paraId="48DA46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КОР-3 - задание прорабатывается с Бериевым и Москалевым</w:t>
            </w:r>
          </w:p>
        </w:tc>
      </w:tr>
      <w:tr w:rsidR="007D5DF8" w:rsidRPr="00DB5D0D" w14:paraId="1BC1DDF6" w14:textId="77777777" w:rsidTr="00E543D0">
        <w:tc>
          <w:tcPr>
            <w:tcW w:w="2660" w:type="dxa"/>
          </w:tcPr>
          <w:p w14:paraId="356868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Морской базовый разведчик</w:t>
            </w:r>
          </w:p>
        </w:tc>
        <w:tc>
          <w:tcPr>
            <w:tcW w:w="1749" w:type="dxa"/>
          </w:tcPr>
          <w:p w14:paraId="017E79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2М-63</w:t>
            </w:r>
          </w:p>
        </w:tc>
        <w:tc>
          <w:tcPr>
            <w:tcW w:w="6047" w:type="dxa"/>
          </w:tcPr>
          <w:p w14:paraId="6BF7C8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МДР-7 2М-88, Самсонов, 2-й экз. заканчивается постройкой</w:t>
            </w:r>
          </w:p>
        </w:tc>
      </w:tr>
      <w:tr w:rsidR="007D5DF8" w:rsidRPr="00DB5D0D" w14:paraId="555ABBC0" w14:textId="77777777" w:rsidTr="00E543D0">
        <w:tc>
          <w:tcPr>
            <w:tcW w:w="2660" w:type="dxa"/>
          </w:tcPr>
          <w:p w14:paraId="776CD98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749" w:type="dxa"/>
          </w:tcPr>
          <w:p w14:paraId="25E285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Четвериков</w:t>
            </w:r>
          </w:p>
        </w:tc>
        <w:tc>
          <w:tcPr>
            <w:tcW w:w="6047" w:type="dxa"/>
          </w:tcPr>
          <w:p w14:paraId="7E2E68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МДР-6Б 2М-105, Четвериков, в постройке</w:t>
            </w:r>
          </w:p>
        </w:tc>
      </w:tr>
      <w:tr w:rsidR="007D5DF8" w:rsidRPr="00DB5D0D" w14:paraId="2C3E26A7" w14:textId="77777777" w:rsidTr="00E543D0">
        <w:tc>
          <w:tcPr>
            <w:tcW w:w="2660" w:type="dxa"/>
          </w:tcPr>
          <w:p w14:paraId="14E1868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749" w:type="dxa"/>
          </w:tcPr>
          <w:p w14:paraId="2AF196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047" w:type="dxa"/>
          </w:tcPr>
          <w:p w14:paraId="112750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МБР, Четвериков, прорабатывается задание</w:t>
            </w:r>
          </w:p>
        </w:tc>
      </w:tr>
      <w:tr w:rsidR="007D5DF8" w:rsidRPr="00DB5D0D" w14:paraId="7B548518" w14:textId="77777777" w:rsidTr="00E543D0">
        <w:tc>
          <w:tcPr>
            <w:tcW w:w="2660" w:type="dxa"/>
          </w:tcPr>
          <w:p w14:paraId="675D9D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Морской дальний разведчик -</w:t>
            </w:r>
          </w:p>
        </w:tc>
        <w:tc>
          <w:tcPr>
            <w:tcW w:w="1749" w:type="dxa"/>
          </w:tcPr>
          <w:p w14:paraId="0D61A0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047" w:type="dxa"/>
          </w:tcPr>
          <w:p w14:paraId="756694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МД-88 2М-71, планом не утвержден</w:t>
            </w:r>
          </w:p>
        </w:tc>
      </w:tr>
      <w:tr w:rsidR="007D5DF8" w:rsidRPr="00DB5D0D" w14:paraId="388E2FAC" w14:textId="77777777" w:rsidTr="00E543D0">
        <w:tc>
          <w:tcPr>
            <w:tcW w:w="2660" w:type="dxa"/>
          </w:tcPr>
          <w:p w14:paraId="7482E7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минный заградитель</w:t>
            </w:r>
          </w:p>
        </w:tc>
        <w:tc>
          <w:tcPr>
            <w:tcW w:w="1749" w:type="dxa"/>
          </w:tcPr>
          <w:p w14:paraId="5CED592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047" w:type="dxa"/>
          </w:tcPr>
          <w:p w14:paraId="18816F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Самсонов и Голубков прорабатывают эскизный проект</w:t>
            </w:r>
          </w:p>
        </w:tc>
      </w:tr>
      <w:tr w:rsidR="007D5DF8" w:rsidRPr="00DB5D0D" w14:paraId="4623E398" w14:textId="77777777" w:rsidTr="00E543D0">
        <w:tc>
          <w:tcPr>
            <w:tcW w:w="2660" w:type="dxa"/>
          </w:tcPr>
          <w:p w14:paraId="41C7AD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Торпедоносец - ПБ</w:t>
            </w:r>
          </w:p>
        </w:tc>
        <w:tc>
          <w:tcPr>
            <w:tcW w:w="1749" w:type="dxa"/>
          </w:tcPr>
          <w:p w14:paraId="244B93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ДБ-3Т 2М-87</w:t>
            </w:r>
          </w:p>
        </w:tc>
        <w:tc>
          <w:tcPr>
            <w:tcW w:w="6047" w:type="dxa"/>
          </w:tcPr>
          <w:p w14:paraId="0263B5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ДБ-3Т 2М-87, С.В.И., 1-й экз.</w:t>
            </w:r>
          </w:p>
        </w:tc>
      </w:tr>
      <w:tr w:rsidR="007D5DF8" w:rsidRPr="00DB5D0D" w14:paraId="079418F5" w14:textId="77777777" w:rsidTr="00E543D0">
        <w:tc>
          <w:tcPr>
            <w:tcW w:w="2660" w:type="dxa"/>
          </w:tcPr>
          <w:p w14:paraId="69DF1E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(частично в поплавковом варианте)</w:t>
            </w:r>
          </w:p>
        </w:tc>
        <w:tc>
          <w:tcPr>
            <w:tcW w:w="1749" w:type="dxa"/>
          </w:tcPr>
          <w:p w14:paraId="2F9695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Отд. серии</w:t>
            </w:r>
          </w:p>
        </w:tc>
        <w:tc>
          <w:tcPr>
            <w:tcW w:w="6047" w:type="dxa"/>
          </w:tcPr>
          <w:p w14:paraId="3EF2E6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прошел гос. испытания, в серию не принят</w:t>
            </w:r>
          </w:p>
        </w:tc>
      </w:tr>
      <w:tr w:rsidR="007D5DF8" w:rsidRPr="00DB5D0D" w14:paraId="75119ABF" w14:textId="77777777" w:rsidTr="00E543D0">
        <w:tc>
          <w:tcPr>
            <w:tcW w:w="2660" w:type="dxa"/>
          </w:tcPr>
          <w:p w14:paraId="578E26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Морской учебно-тренировочный</w:t>
            </w:r>
          </w:p>
        </w:tc>
        <w:tc>
          <w:tcPr>
            <w:tcW w:w="1749" w:type="dxa"/>
          </w:tcPr>
          <w:p w14:paraId="0365F3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6047" w:type="dxa"/>
          </w:tcPr>
          <w:p w14:paraId="793B5A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САМ-11 МВ-6, Москалева, 1-й прошел заводские, 2-й окончен </w:t>
            </w:r>
          </w:p>
        </w:tc>
      </w:tr>
      <w:tr w:rsidR="007D5DF8" w:rsidRPr="00DB5D0D" w14:paraId="518E7D83" w14:textId="77777777" w:rsidTr="00E543D0">
        <w:tc>
          <w:tcPr>
            <w:tcW w:w="2660" w:type="dxa"/>
          </w:tcPr>
          <w:p w14:paraId="3F6A88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749" w:type="dxa"/>
          </w:tcPr>
          <w:p w14:paraId="750CEED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047" w:type="dxa"/>
          </w:tcPr>
          <w:p w14:paraId="0C3468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постройкой</w:t>
            </w:r>
          </w:p>
        </w:tc>
      </w:tr>
      <w:tr w:rsidR="007D5DF8" w:rsidRPr="00DB5D0D" w14:paraId="4CF6C305" w14:textId="77777777" w:rsidTr="00E543D0">
        <w:tc>
          <w:tcPr>
            <w:tcW w:w="2660" w:type="dxa"/>
          </w:tcPr>
          <w:p w14:paraId="6271F6A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749" w:type="dxa"/>
          </w:tcPr>
          <w:p w14:paraId="490FA2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047" w:type="dxa"/>
          </w:tcPr>
          <w:p w14:paraId="77CEA0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2-х моторный МУТ, Москалев, прорабатывается (2090,190)</w:t>
            </w:r>
          </w:p>
        </w:tc>
      </w:tr>
      <w:tr w:rsidR="007D5DF8" w:rsidRPr="00DB5D0D" w14:paraId="2AF350F3" w14:textId="77777777" w:rsidTr="00E543D0">
        <w:tc>
          <w:tcPr>
            <w:tcW w:w="2660" w:type="dxa"/>
            <w:tcBorders>
              <w:bottom w:val="single" w:sz="12" w:space="0" w:color="auto"/>
            </w:tcBorders>
          </w:tcPr>
          <w:p w14:paraId="31A47D3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749" w:type="dxa"/>
            <w:tcBorders>
              <w:bottom w:val="single" w:sz="12" w:space="0" w:color="auto"/>
            </w:tcBorders>
          </w:tcPr>
          <w:p w14:paraId="0E6598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047" w:type="dxa"/>
            <w:tcBorders>
              <w:bottom w:val="single" w:sz="12" w:space="0" w:color="auto"/>
            </w:tcBorders>
          </w:tcPr>
          <w:p w14:paraId="6AAA86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сух. вар.</w:t>
            </w:r>
          </w:p>
        </w:tc>
      </w:tr>
    </w:tbl>
    <w:p w14:paraId="537535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 морских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374"/>
        <w:gridCol w:w="1461"/>
        <w:gridCol w:w="1559"/>
        <w:gridCol w:w="2691"/>
      </w:tblGrid>
      <w:tr w:rsidR="007D5DF8" w:rsidRPr="00DB5D0D" w14:paraId="4FC870EF" w14:textId="77777777" w:rsidTr="00E543D0">
        <w:tc>
          <w:tcPr>
            <w:tcW w:w="1951" w:type="dxa"/>
            <w:tcBorders>
              <w:top w:val="single" w:sz="12" w:space="0" w:color="auto"/>
            </w:tcBorders>
          </w:tcPr>
          <w:p w14:paraId="529F88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 Характеристика</w:t>
            </w:r>
          </w:p>
        </w:tc>
        <w:tc>
          <w:tcPr>
            <w:tcW w:w="1418" w:type="dxa"/>
            <w:tcBorders>
              <w:top w:val="single" w:sz="12" w:space="0" w:color="auto"/>
            </w:tcBorders>
          </w:tcPr>
          <w:p w14:paraId="4D50A2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КОР-2 М-63</w:t>
            </w:r>
          </w:p>
        </w:tc>
        <w:tc>
          <w:tcPr>
            <w:tcW w:w="1374" w:type="dxa"/>
            <w:tcBorders>
              <w:top w:val="single" w:sz="12" w:space="0" w:color="auto"/>
            </w:tcBorders>
          </w:tcPr>
          <w:p w14:paraId="297ABE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МДР-7 2 М-88</w:t>
            </w:r>
          </w:p>
        </w:tc>
        <w:tc>
          <w:tcPr>
            <w:tcW w:w="1461" w:type="dxa"/>
            <w:tcBorders>
              <w:top w:val="single" w:sz="12" w:space="0" w:color="auto"/>
            </w:tcBorders>
          </w:tcPr>
          <w:p w14:paraId="64E22C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2М-63</w:t>
            </w:r>
          </w:p>
        </w:tc>
        <w:tc>
          <w:tcPr>
            <w:tcW w:w="1559" w:type="dxa"/>
            <w:tcBorders>
              <w:top w:val="single" w:sz="12" w:space="0" w:color="auto"/>
            </w:tcBorders>
          </w:tcPr>
          <w:p w14:paraId="53C346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МДР-6Б 2М-105</w:t>
            </w:r>
          </w:p>
        </w:tc>
        <w:tc>
          <w:tcPr>
            <w:tcW w:w="2691" w:type="dxa"/>
            <w:tcBorders>
              <w:top w:val="single" w:sz="12" w:space="0" w:color="auto"/>
            </w:tcBorders>
          </w:tcPr>
          <w:p w14:paraId="057760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ДБ-3Т 2М-85</w:t>
            </w:r>
          </w:p>
        </w:tc>
      </w:tr>
      <w:tr w:rsidR="007D5DF8" w:rsidRPr="00DB5D0D" w14:paraId="5C67F71B" w14:textId="77777777" w:rsidTr="00E543D0">
        <w:tc>
          <w:tcPr>
            <w:tcW w:w="1951" w:type="dxa"/>
          </w:tcPr>
          <w:p w14:paraId="57A154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Мощность</w:t>
            </w:r>
          </w:p>
        </w:tc>
        <w:tc>
          <w:tcPr>
            <w:tcW w:w="1418" w:type="dxa"/>
          </w:tcPr>
          <w:p w14:paraId="634587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900/4500</w:t>
            </w:r>
          </w:p>
        </w:tc>
        <w:tc>
          <w:tcPr>
            <w:tcW w:w="1374" w:type="dxa"/>
          </w:tcPr>
          <w:p w14:paraId="7D62CE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2х1000/6000</w:t>
            </w:r>
          </w:p>
        </w:tc>
        <w:tc>
          <w:tcPr>
            <w:tcW w:w="1461" w:type="dxa"/>
          </w:tcPr>
          <w:p w14:paraId="529F01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2х900/4500</w:t>
            </w:r>
          </w:p>
        </w:tc>
        <w:tc>
          <w:tcPr>
            <w:tcW w:w="1559" w:type="dxa"/>
          </w:tcPr>
          <w:p w14:paraId="3909C9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2х1050/4500</w:t>
            </w:r>
          </w:p>
        </w:tc>
        <w:tc>
          <w:tcPr>
            <w:tcW w:w="2691" w:type="dxa"/>
          </w:tcPr>
          <w:p w14:paraId="4781DF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2х800/4000</w:t>
            </w:r>
          </w:p>
        </w:tc>
      </w:tr>
      <w:tr w:rsidR="007D5DF8" w:rsidRPr="00DB5D0D" w14:paraId="79F0934D" w14:textId="77777777" w:rsidTr="00E543D0">
        <w:tc>
          <w:tcPr>
            <w:tcW w:w="1951" w:type="dxa"/>
          </w:tcPr>
          <w:p w14:paraId="1B7FBD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Макс. скорость</w:t>
            </w:r>
          </w:p>
        </w:tc>
        <w:tc>
          <w:tcPr>
            <w:tcW w:w="1418" w:type="dxa"/>
          </w:tcPr>
          <w:p w14:paraId="0E8A00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375/4500</w:t>
            </w:r>
          </w:p>
        </w:tc>
        <w:tc>
          <w:tcPr>
            <w:tcW w:w="1374" w:type="dxa"/>
          </w:tcPr>
          <w:p w14:paraId="5F49D5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450/6000</w:t>
            </w:r>
          </w:p>
        </w:tc>
        <w:tc>
          <w:tcPr>
            <w:tcW w:w="1461" w:type="dxa"/>
          </w:tcPr>
          <w:p w14:paraId="2E926C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361/5000</w:t>
            </w:r>
          </w:p>
        </w:tc>
        <w:tc>
          <w:tcPr>
            <w:tcW w:w="1559" w:type="dxa"/>
          </w:tcPr>
          <w:p w14:paraId="4249C7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498/4700</w:t>
            </w:r>
          </w:p>
        </w:tc>
        <w:tc>
          <w:tcPr>
            <w:tcW w:w="2691" w:type="dxa"/>
          </w:tcPr>
          <w:p w14:paraId="23832A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395/4000</w:t>
            </w:r>
          </w:p>
        </w:tc>
      </w:tr>
      <w:tr w:rsidR="007D5DF8" w:rsidRPr="00DB5D0D" w14:paraId="0AE0E7A0" w14:textId="77777777" w:rsidTr="00E543D0">
        <w:tc>
          <w:tcPr>
            <w:tcW w:w="1951" w:type="dxa"/>
          </w:tcPr>
          <w:p w14:paraId="1D4FF0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Посадочная скорость</w:t>
            </w:r>
          </w:p>
        </w:tc>
        <w:tc>
          <w:tcPr>
            <w:tcW w:w="1418" w:type="dxa"/>
          </w:tcPr>
          <w:p w14:paraId="1ED2DD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1374" w:type="dxa"/>
          </w:tcPr>
          <w:p w14:paraId="1A9686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110-120</w:t>
            </w:r>
          </w:p>
        </w:tc>
        <w:tc>
          <w:tcPr>
            <w:tcW w:w="1461" w:type="dxa"/>
          </w:tcPr>
          <w:p w14:paraId="1BBBA2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105-110</w:t>
            </w:r>
          </w:p>
        </w:tc>
        <w:tc>
          <w:tcPr>
            <w:tcW w:w="1559" w:type="dxa"/>
          </w:tcPr>
          <w:p w14:paraId="084893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w:t>
            </w:r>
          </w:p>
        </w:tc>
        <w:tc>
          <w:tcPr>
            <w:tcW w:w="2691" w:type="dxa"/>
          </w:tcPr>
          <w:p w14:paraId="634C8D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90-95</w:t>
            </w:r>
          </w:p>
        </w:tc>
      </w:tr>
      <w:tr w:rsidR="007D5DF8" w:rsidRPr="00DB5D0D" w14:paraId="0C10773E" w14:textId="77777777" w:rsidTr="00E543D0">
        <w:tc>
          <w:tcPr>
            <w:tcW w:w="1951" w:type="dxa"/>
          </w:tcPr>
          <w:p w14:paraId="71228B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Время набора высоты</w:t>
            </w:r>
          </w:p>
        </w:tc>
        <w:tc>
          <w:tcPr>
            <w:tcW w:w="1418" w:type="dxa"/>
          </w:tcPr>
          <w:p w14:paraId="5556B3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11/5000</w:t>
            </w:r>
          </w:p>
        </w:tc>
        <w:tc>
          <w:tcPr>
            <w:tcW w:w="1374" w:type="dxa"/>
          </w:tcPr>
          <w:p w14:paraId="7A3EEA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61" w:type="dxa"/>
          </w:tcPr>
          <w:p w14:paraId="5AC063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18/6000</w:t>
            </w:r>
          </w:p>
        </w:tc>
        <w:tc>
          <w:tcPr>
            <w:tcW w:w="1559" w:type="dxa"/>
          </w:tcPr>
          <w:p w14:paraId="21B4FA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8.5/6000</w:t>
            </w:r>
          </w:p>
        </w:tc>
        <w:tc>
          <w:tcPr>
            <w:tcW w:w="2691" w:type="dxa"/>
          </w:tcPr>
          <w:p w14:paraId="3709BF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13/5000</w:t>
            </w:r>
          </w:p>
        </w:tc>
      </w:tr>
      <w:tr w:rsidR="007D5DF8" w:rsidRPr="00DB5D0D" w14:paraId="2EC11D00" w14:textId="77777777" w:rsidTr="00E543D0">
        <w:tc>
          <w:tcPr>
            <w:tcW w:w="1951" w:type="dxa"/>
          </w:tcPr>
          <w:p w14:paraId="6EBB2F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Дальность</w:t>
            </w:r>
          </w:p>
        </w:tc>
        <w:tc>
          <w:tcPr>
            <w:tcW w:w="1418" w:type="dxa"/>
          </w:tcPr>
          <w:p w14:paraId="1E1977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1374" w:type="dxa"/>
          </w:tcPr>
          <w:p w14:paraId="51FAC5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2750 без бомб</w:t>
            </w:r>
          </w:p>
        </w:tc>
        <w:tc>
          <w:tcPr>
            <w:tcW w:w="1461" w:type="dxa"/>
          </w:tcPr>
          <w:p w14:paraId="1C846E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1800/-</w:t>
            </w:r>
          </w:p>
        </w:tc>
        <w:tc>
          <w:tcPr>
            <w:tcW w:w="1559" w:type="dxa"/>
          </w:tcPr>
          <w:p w14:paraId="1F9869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1100/2900</w:t>
            </w:r>
          </w:p>
        </w:tc>
        <w:tc>
          <w:tcPr>
            <w:tcW w:w="2691" w:type="dxa"/>
          </w:tcPr>
          <w:p w14:paraId="351CD9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r>
      <w:tr w:rsidR="007D5DF8" w:rsidRPr="00DB5D0D" w14:paraId="789E408D" w14:textId="77777777" w:rsidTr="00E543D0">
        <w:tc>
          <w:tcPr>
            <w:tcW w:w="1951" w:type="dxa"/>
          </w:tcPr>
          <w:p w14:paraId="418254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Потолок</w:t>
            </w:r>
          </w:p>
        </w:tc>
        <w:tc>
          <w:tcPr>
            <w:tcW w:w="1418" w:type="dxa"/>
          </w:tcPr>
          <w:p w14:paraId="3FE05D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1374" w:type="dxa"/>
          </w:tcPr>
          <w:p w14:paraId="1D6666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9350</w:t>
            </w:r>
          </w:p>
        </w:tc>
        <w:tc>
          <w:tcPr>
            <w:tcW w:w="1461" w:type="dxa"/>
          </w:tcPr>
          <w:p w14:paraId="7C6C69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9600</w:t>
            </w:r>
          </w:p>
        </w:tc>
        <w:tc>
          <w:tcPr>
            <w:tcW w:w="1559" w:type="dxa"/>
          </w:tcPr>
          <w:p w14:paraId="6625C5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10650</w:t>
            </w:r>
          </w:p>
        </w:tc>
        <w:tc>
          <w:tcPr>
            <w:tcW w:w="2691" w:type="dxa"/>
          </w:tcPr>
          <w:p w14:paraId="5217DD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8800</w:t>
            </w:r>
          </w:p>
        </w:tc>
      </w:tr>
      <w:tr w:rsidR="007D5DF8" w:rsidRPr="00DB5D0D" w14:paraId="22D4E40D" w14:textId="77777777" w:rsidTr="00E543D0">
        <w:tc>
          <w:tcPr>
            <w:tcW w:w="1951" w:type="dxa"/>
            <w:tcBorders>
              <w:bottom w:val="single" w:sz="12" w:space="0" w:color="auto"/>
            </w:tcBorders>
          </w:tcPr>
          <w:p w14:paraId="6A1F63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Вооружение</w:t>
            </w:r>
          </w:p>
        </w:tc>
        <w:tc>
          <w:tcPr>
            <w:tcW w:w="1418" w:type="dxa"/>
            <w:tcBorders>
              <w:bottom w:val="single" w:sz="12" w:space="0" w:color="auto"/>
            </w:tcBorders>
          </w:tcPr>
          <w:p w14:paraId="514B1F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2хШКАС/200</w:t>
            </w:r>
          </w:p>
        </w:tc>
        <w:tc>
          <w:tcPr>
            <w:tcW w:w="1374" w:type="dxa"/>
            <w:tcBorders>
              <w:bottom w:val="single" w:sz="12" w:space="0" w:color="auto"/>
            </w:tcBorders>
          </w:tcPr>
          <w:p w14:paraId="4A1574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3хШКАС/1000</w:t>
            </w:r>
          </w:p>
        </w:tc>
        <w:tc>
          <w:tcPr>
            <w:tcW w:w="1461" w:type="dxa"/>
            <w:tcBorders>
              <w:bottom w:val="single" w:sz="12" w:space="0" w:color="auto"/>
            </w:tcBorders>
          </w:tcPr>
          <w:p w14:paraId="34275B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3хШКАС/0/1200</w:t>
            </w:r>
          </w:p>
        </w:tc>
        <w:tc>
          <w:tcPr>
            <w:tcW w:w="1559" w:type="dxa"/>
            <w:tcBorders>
              <w:bottom w:val="single" w:sz="12" w:space="0" w:color="auto"/>
            </w:tcBorders>
          </w:tcPr>
          <w:p w14:paraId="64EE9E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3хШКС/600/1000</w:t>
            </w:r>
          </w:p>
        </w:tc>
        <w:tc>
          <w:tcPr>
            <w:tcW w:w="2691" w:type="dxa"/>
            <w:tcBorders>
              <w:bottom w:val="single" w:sz="12" w:space="0" w:color="auto"/>
            </w:tcBorders>
          </w:tcPr>
          <w:p w14:paraId="3140ED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2-3хШКАС/1т/400 (2090,191)</w:t>
            </w:r>
          </w:p>
        </w:tc>
      </w:tr>
    </w:tbl>
    <w:p w14:paraId="5C3D85E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4634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приказом НКАП А.Н.Екатов был назначен летчиком инспектором ЛТГ НКАП с освобождением от работы на заводе 1 (863,368).</w:t>
      </w:r>
    </w:p>
    <w:p w14:paraId="0346ACD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6256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вышел приказ НКАП N 223 о передаче 41 завода 6 ГУ в ведение стройтреста N 41 ГУКС (1647,27).</w:t>
      </w:r>
    </w:p>
    <w:p w14:paraId="5C92D4E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7FE66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года вышел приказ НКАП № 346с, которым на базе ОКБ-2 при заводе № 84 МАП и мастерских «Фотолет» был организован Опытный самолетостроительный завод № 293 как самостоятельная единица.</w:t>
      </w:r>
    </w:p>
    <w:p w14:paraId="45B3F7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закончив строительства второй очереди, предусмотренного приказом НКАП от 15 октября 1941 года № 1072, завод эвакуировался в пос. Билимбай Свердловской области 26 января 1941 года.</w:t>
      </w:r>
    </w:p>
    <w:p w14:paraId="242F4D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ГОКО от 9 января 1942 года № 1903 и последующим приказом НКАП № 423сс от 11 июня 1943 года и № 483сс от 16 июня 1942 года завод № 293 МАП реэвакуировался из Билимбая на прежнюю территорию в Химки МО. Реэвакуация завода № 293 МАП была закончена в начале июня 1943 года.</w:t>
      </w:r>
    </w:p>
    <w:p w14:paraId="45AADD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ГОКО от 22 мая 1944 года за № 5945сс и приказом НКАП № 370сс от 30 мая 1944 года завод № 293 МАП был передан НИИ-1 в качестве его филиала.</w:t>
      </w:r>
    </w:p>
    <w:p w14:paraId="46F528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1 января 1944 года завод № 293 МАП работал по тематике утвержденной 7 гл. управлением НКАП с 1 мая 1944 года, находился в системе 8 гл. управления НКАП и занимался проектированием и строительством реактивных самолетов и двигателей разных типов под руководством гл. конструктора и директора завода Болховитинова В.Ф. и гл. инженера Волкова Н.В.</w:t>
      </w:r>
    </w:p>
    <w:p w14:paraId="460D4B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постановления СМ за № 1145-471сс от 31 мая 1946 года филиал НИИ-1 был реорганизован и на базе его организован опытный завод № 293 МАП с ОКБ по проектированию и строительству опытных реактивных самолетов под руководством гл. конструктора и директора Бисноват М.Р. и гл. инженера Морозова П.М.</w:t>
      </w:r>
    </w:p>
    <w:p w14:paraId="072912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СМ № 533-271 от 19 февраля 1953 года завод № 293 МАП был ликвидирован, а промышленная площадка передана предприятию КБ-1 среднего машиностроения под руководством гл. конструктора Берия С.Л. и гл. инженера Сергеева В.С.</w:t>
      </w:r>
    </w:p>
    <w:p w14:paraId="4DBCB6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СМ № 2338-1201 от 20 сентября 1953 года на базе бывш. завода № 293 МАП организовано КБ-2 среднего машиностроения по проектированию и строительству опытных ракет под руководством гл. конструктора и начальника предприятия Грушина П.Д. и гл. инженера Иващенко П.И.</w:t>
      </w:r>
    </w:p>
    <w:p w14:paraId="5B9F26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ЦК КПСС и СМ № 720-435 от 14 апреля 1955 года КБ-2 переведено из министерства среднего машиностроения в Министерство оборонной промышленности.</w:t>
      </w:r>
    </w:p>
    <w:p w14:paraId="0392B4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СМ № 38-19 от 19 января 1958 года КБ-2 переведено в ГК СМ по авиационной технике (9360).</w:t>
      </w:r>
    </w:p>
    <w:p w14:paraId="2E1D27A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F87E8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вышел П Р И К А З НКАП № 403сс</w:t>
      </w:r>
    </w:p>
    <w:p w14:paraId="0BFF6D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дополнение к приказам по НКАП № 261сс/ов от 15 августа 1939 года и № 74сс от 2 марта 1940 года "О постройке самолето-сборочного завода в гор. Урумчн - ПРИКАЗЫВАЮ:</w:t>
      </w:r>
    </w:p>
    <w:p w14:paraId="6121DA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Зам. начальннка Первого Главного Управления тов. Шиц, начальнику ГУКС'а тов. Кац и начальнику ДФО тов. Хавину:</w:t>
      </w:r>
    </w:p>
    <w:p w14:paraId="6AD5CC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принять к руководству генеральную смету на строительст</w:t>
      </w:r>
      <w:r w:rsidRPr="00DB5D0D">
        <w:rPr>
          <w:rFonts w:ascii="Times New Roman" w:hAnsi="Times New Roman"/>
          <w:color w:val="000000" w:themeColor="text1"/>
          <w:sz w:val="16"/>
          <w:szCs w:val="16"/>
        </w:rPr>
        <w:softHyphen/>
        <w:t>во самолетосборочного завода в г. Урумчи (Западный Китай) в сумме 29.474.531 руб. ( в ценах 1939 года) из нихвозвратных сумм 1.225.3 тыс. рублей.</w:t>
      </w:r>
    </w:p>
    <w:p w14:paraId="270C01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оформить получение из резервного флда СНК СССР на строительство самолето-сборочного завода в гор. Урумчи (Западный Китай) 29.474.532 руб. в том числе 25% в иновалюте. с учетом ранее выданных авансов, согласно постановления Правительства № 287 от 11 сентября 1939 года № 62сс от 23 февраля 1940 года.</w:t>
      </w:r>
    </w:p>
    <w:p w14:paraId="1297610B"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r w:rsidRPr="00DB5D0D">
        <w:rPr>
          <w:rFonts w:ascii="Times New Roman" w:hAnsi="Times New Roman"/>
          <w:color w:val="000000" w:themeColor="text1"/>
          <w:sz w:val="16"/>
          <w:szCs w:val="16"/>
        </w:rPr>
        <w:t>в) Отчет об израсходовании иновалют на строительство заво</w:t>
      </w:r>
      <w:r w:rsidRPr="00DB5D0D">
        <w:rPr>
          <w:rFonts w:ascii="Times New Roman" w:hAnsi="Times New Roman"/>
          <w:color w:val="000000" w:themeColor="text1"/>
          <w:sz w:val="16"/>
          <w:szCs w:val="16"/>
        </w:rPr>
        <w:softHyphen/>
        <w:t xml:space="preserve">да в гор. Урумчж представить мне к 25 декабря 1940 года </w:t>
      </w:r>
      <w:r w:rsidRPr="00DB5D0D">
        <w:rPr>
          <w:rFonts w:ascii="Times New Roman" w:hAnsi="Times New Roman"/>
          <w:smallCaps/>
          <w:color w:val="000000" w:themeColor="text1"/>
          <w:sz w:val="16"/>
          <w:szCs w:val="16"/>
        </w:rPr>
        <w:t>(10313).</w:t>
      </w:r>
    </w:p>
    <w:p w14:paraId="5472901A"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p>
    <w:p w14:paraId="4A0F1C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Архиповым была подготовлена СПРАВКА Тов. НОВИКОВУ А.С.</w:t>
      </w:r>
    </w:p>
    <w:p w14:paraId="40C9DE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 200сс от 12.5-40 г. НКСМ обязан организовать на Харьковском Тракторном заводе в кооперации с заводом № 75 производство моторов"М-40".</w:t>
      </w:r>
    </w:p>
    <w:p w14:paraId="1B5D12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1940 г. заводу № 75 установлена программа выпуска 50 моторов (постановлением СНК СССР и ЦК ВКП(б) № 976-368сс от 7.6-40 г. программа на 1940 г, снижена до 10 шт. "М-40").</w:t>
      </w:r>
    </w:p>
    <w:p w14:paraId="5CA454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Харьковскому Тракторному заводу на 1941 г. установлена программа в 1500 шт. моторов, с доведением мощности к 1.4-41 г. - 2000 моторов в год.</w:t>
      </w:r>
    </w:p>
    <w:p w14:paraId="273BE7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Проверкол установлено, что постановление не выполняется:</w:t>
      </w:r>
    </w:p>
    <w:p w14:paraId="403F3C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(ЦИАМ) не полностью выдал чертежи мотора заводам № 75 и ХТЗ.</w:t>
      </w:r>
    </w:p>
    <w:p w14:paraId="551171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ЧТЗ не подготовлен к выпуску топливного насоса мотора"М-40" и до сих нор договора на поставку с заводом № 75 не заключает.</w:t>
      </w:r>
    </w:p>
    <w:p w14:paraId="194A31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75 не окончил разработку технологического процесса. Оснащение технологии инструментарием находится в зачаточном состоянии.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45"/>
        <w:gridCol w:w="1104"/>
        <w:gridCol w:w="1104"/>
        <w:gridCol w:w="1642"/>
      </w:tblGrid>
      <w:tr w:rsidR="007D5DF8" w:rsidRPr="00DB5D0D" w14:paraId="0413B4F7" w14:textId="77777777" w:rsidTr="00E543D0">
        <w:trPr>
          <w:trHeight w:val="662"/>
        </w:trPr>
        <w:tc>
          <w:tcPr>
            <w:tcW w:w="3245" w:type="dxa"/>
            <w:tcBorders>
              <w:top w:val="single" w:sz="12" w:space="0" w:color="auto"/>
            </w:tcBorders>
          </w:tcPr>
          <w:p w14:paraId="4E61C1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Наименование инструментария</w:t>
            </w:r>
          </w:p>
        </w:tc>
        <w:tc>
          <w:tcPr>
            <w:tcW w:w="1104" w:type="dxa"/>
            <w:tcBorders>
              <w:top w:val="single" w:sz="12" w:space="0" w:color="auto"/>
            </w:tcBorders>
          </w:tcPr>
          <w:p w14:paraId="17434F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Подлежит изготовлению</w:t>
            </w:r>
          </w:p>
        </w:tc>
        <w:tc>
          <w:tcPr>
            <w:tcW w:w="1104" w:type="dxa"/>
            <w:tcBorders>
              <w:top w:val="single" w:sz="12" w:space="0" w:color="auto"/>
            </w:tcBorders>
          </w:tcPr>
          <w:p w14:paraId="0C5EBD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w:t>
            </w:r>
            <w:r w:rsidRPr="00DB5D0D">
              <w:rPr>
                <w:rFonts w:ascii="Times New Roman" w:hAnsi="Times New Roman"/>
                <w:color w:val="000000" w:themeColor="text1"/>
                <w:sz w:val="16"/>
                <w:szCs w:val="16"/>
              </w:rPr>
              <w:softHyphen/>
              <w:t>влено</w:t>
            </w:r>
          </w:p>
        </w:tc>
        <w:tc>
          <w:tcPr>
            <w:tcW w:w="1642" w:type="dxa"/>
            <w:tcBorders>
              <w:top w:val="single" w:sz="12" w:space="0" w:color="auto"/>
            </w:tcBorders>
          </w:tcPr>
          <w:p w14:paraId="29A6EE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осна</w:t>
            </w:r>
            <w:r w:rsidRPr="00DB5D0D">
              <w:rPr>
                <w:rFonts w:ascii="Times New Roman" w:hAnsi="Times New Roman"/>
                <w:color w:val="000000" w:themeColor="text1"/>
                <w:sz w:val="16"/>
                <w:szCs w:val="16"/>
              </w:rPr>
              <w:softHyphen/>
              <w:t>щенности</w:t>
            </w:r>
          </w:p>
        </w:tc>
      </w:tr>
      <w:tr w:rsidR="007D5DF8" w:rsidRPr="00DB5D0D" w14:paraId="09A71BEB" w14:textId="77777777" w:rsidTr="00E543D0">
        <w:trPr>
          <w:trHeight w:val="403"/>
        </w:trPr>
        <w:tc>
          <w:tcPr>
            <w:tcW w:w="3245" w:type="dxa"/>
          </w:tcPr>
          <w:p w14:paraId="031224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Приспособления</w:t>
            </w:r>
          </w:p>
        </w:tc>
        <w:tc>
          <w:tcPr>
            <w:tcW w:w="1104" w:type="dxa"/>
          </w:tcPr>
          <w:p w14:paraId="6A0662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1104" w:type="dxa"/>
          </w:tcPr>
          <w:p w14:paraId="11F517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1642" w:type="dxa"/>
          </w:tcPr>
          <w:p w14:paraId="028A2B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w:t>
            </w:r>
          </w:p>
        </w:tc>
      </w:tr>
      <w:tr w:rsidR="007D5DF8" w:rsidRPr="00DB5D0D" w14:paraId="32373ACC" w14:textId="77777777" w:rsidTr="00E543D0">
        <w:trPr>
          <w:trHeight w:val="346"/>
        </w:trPr>
        <w:tc>
          <w:tcPr>
            <w:tcW w:w="3245" w:type="dxa"/>
          </w:tcPr>
          <w:p w14:paraId="6AE6AD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 режущий инструм.</w:t>
            </w:r>
          </w:p>
        </w:tc>
        <w:tc>
          <w:tcPr>
            <w:tcW w:w="1104" w:type="dxa"/>
          </w:tcPr>
          <w:p w14:paraId="2E8ED8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1104" w:type="dxa"/>
          </w:tcPr>
          <w:p w14:paraId="390EE2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1642" w:type="dxa"/>
          </w:tcPr>
          <w:p w14:paraId="0B074D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r>
      <w:tr w:rsidR="007D5DF8" w:rsidRPr="00DB5D0D" w14:paraId="216E5F80" w14:textId="77777777" w:rsidTr="00E543D0">
        <w:trPr>
          <w:trHeight w:val="336"/>
        </w:trPr>
        <w:tc>
          <w:tcPr>
            <w:tcW w:w="3245" w:type="dxa"/>
          </w:tcPr>
          <w:p w14:paraId="0BD761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мерительн.</w:t>
            </w:r>
          </w:p>
        </w:tc>
        <w:tc>
          <w:tcPr>
            <w:tcW w:w="1104" w:type="dxa"/>
          </w:tcPr>
          <w:p w14:paraId="60C076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277</w:t>
            </w:r>
          </w:p>
        </w:tc>
        <w:tc>
          <w:tcPr>
            <w:tcW w:w="1104" w:type="dxa"/>
          </w:tcPr>
          <w:p w14:paraId="52843F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w:t>
            </w:r>
          </w:p>
        </w:tc>
        <w:tc>
          <w:tcPr>
            <w:tcW w:w="1642" w:type="dxa"/>
          </w:tcPr>
          <w:p w14:paraId="367E2C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w:t>
            </w:r>
          </w:p>
        </w:tc>
      </w:tr>
      <w:tr w:rsidR="007D5DF8" w:rsidRPr="00DB5D0D" w14:paraId="05B0CB34" w14:textId="77777777" w:rsidTr="00E543D0">
        <w:trPr>
          <w:trHeight w:val="403"/>
        </w:trPr>
        <w:tc>
          <w:tcPr>
            <w:tcW w:w="3245" w:type="dxa"/>
            <w:tcBorders>
              <w:bottom w:val="single" w:sz="12" w:space="0" w:color="auto"/>
            </w:tcBorders>
          </w:tcPr>
          <w:p w14:paraId="22526F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Вспомогат. инструмент</w:t>
            </w:r>
          </w:p>
        </w:tc>
        <w:tc>
          <w:tcPr>
            <w:tcW w:w="1104" w:type="dxa"/>
            <w:tcBorders>
              <w:bottom w:val="single" w:sz="12" w:space="0" w:color="auto"/>
            </w:tcBorders>
          </w:tcPr>
          <w:p w14:paraId="4F90CA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104" w:type="dxa"/>
            <w:tcBorders>
              <w:bottom w:val="single" w:sz="12" w:space="0" w:color="auto"/>
            </w:tcBorders>
          </w:tcPr>
          <w:p w14:paraId="00A723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642" w:type="dxa"/>
            <w:tcBorders>
              <w:bottom w:val="single" w:sz="12" w:space="0" w:color="auto"/>
            </w:tcBorders>
          </w:tcPr>
          <w:p w14:paraId="270F01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bl>
    <w:p w14:paraId="6A7030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Обработка коленчатых валов мотора "М-40" была поручена заводу № 183, но распоряжению т. Горегляд (Зам. НКСМ) завод № 183 будет производить только грубую обдирку валов. Чистовую обработку коленвала должен делать завод № 75, для чего должна быть проведена переналадка станков, что по мнению директора навода № 75 т. Кочеткова сорвет выпуск серийных коленчатых валов дизеля "В-2" для танков "КВ" и "Т-34".</w:t>
      </w:r>
    </w:p>
    <w:p w14:paraId="6D07D6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ХТЗ, из-за отсутствия специальных станков, не подготовлен к производству ряда операций: шлифовка кулачкового валика, нарезка шевронных шестерен и фрезеровка плоскостей крупных отливок.</w:t>
      </w:r>
    </w:p>
    <w:p w14:paraId="60C605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Фрезеровку плоскостей может выполнять завод № 75. Шевронные шестерни и шлифовка кулачковых валиков могут быть выполнены заводом № 82 НКАП (требуется согласие т. Шахурина). Крайне медленно ведутся работы Стройтрестом № 26 НКСтроя по строительству цеха М-3 на ХТЗ - не закончены земляные работы, что вызывает опасение за окончание стройки к намеченному постановлением сроку (1.4-41 г.).</w:t>
      </w:r>
    </w:p>
    <w:p w14:paraId="27C434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Ваших указаний - направить докладную записку - тов. Лихачеву И.А. для принятия мер (10499,21).</w:t>
      </w:r>
    </w:p>
    <w:p w14:paraId="2D0BD6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A2AA8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Секретарь Совета по оборонной Промышленности при СНК Союза ССР И.Семичастнов писал письмо № 332/соп Н К А П - ТОВ. ШАХУРИНУ А.И., НКВД СССР - тов. ЧЕРНЫШНВУ В.В., ГЛАВНЫЙ КОНТРОЛЬ КО - ТОЗ. НОВИКОВУ Д.С.</w:t>
      </w:r>
    </w:p>
    <w:p w14:paraId="118E97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представленному Вами проекту постановления КО "О расшреаии завода № 82" сообщаю резолюцию тов. Вознесенского Н.А.:</w:t>
      </w:r>
    </w:p>
    <w:p w14:paraId="26675B1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 Вернуть т.т Чернышеву и Шахуриау материал, так как их предложения означают срыв решения КО и обязать их представить новый проект</w:t>
      </w:r>
    </w:p>
    <w:p w14:paraId="661EE5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Поручить тов. Новикову лично проверить как идет выполнение решения КО по 82-му заводу; приняли-ли НКАН и НКВД все меры для выполнения решения КО.</w:t>
      </w:r>
    </w:p>
    <w:p w14:paraId="4A660F7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5 дней.</w:t>
      </w:r>
    </w:p>
    <w:p w14:paraId="486BB4C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г. Вознесенский."</w:t>
      </w:r>
    </w:p>
    <w:p w14:paraId="6701FA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1) НКАП - н/в № 1037 на 2-х листах.</w:t>
      </w:r>
    </w:p>
    <w:p w14:paraId="520318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НКВД - н/в № 1036 на 2-х листах.</w:t>
      </w:r>
    </w:p>
    <w:p w14:paraId="5BD0DE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Главный Контроль КО - копия представленного НКАП'ом и НКВД проек</w:t>
      </w:r>
      <w:r w:rsidRPr="00DB5D0D">
        <w:rPr>
          <w:rFonts w:ascii="Times New Roman" w:hAnsi="Times New Roman"/>
          <w:color w:val="000000" w:themeColor="text1"/>
          <w:sz w:val="16"/>
          <w:szCs w:val="16"/>
        </w:rPr>
        <w:softHyphen/>
        <w:t>та постановления КО на 2-х листах (10499,17).</w:t>
      </w:r>
    </w:p>
    <w:p w14:paraId="76E5EE0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DE967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Нач. Секр. НКАП Фирсаев писал письмо N 946сс в ПГУ Тер-Маркарьяну:</w:t>
      </w:r>
    </w:p>
    <w:p w14:paraId="2E27DA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"Правительство письмом N 7060/ко от 4 августа предложило НКАП обеспечить подготовку и участие в воздушном параде на Тушинском аэродроме 18 августа с.г. автожира А-7 и самолетов Родина, МГ, И-180, Я-22, И-153, Иванов (П.О.С.).</w:t>
      </w:r>
    </w:p>
    <w:p w14:paraId="49FEE0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распоряжению НКАП М.М.К. сообщаю Вам для срочного исполнения." (1354,90).</w:t>
      </w:r>
    </w:p>
    <w:p w14:paraId="51E5007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5007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года А.И. Шахурин информировал И.В. Сталина и В.М.Молотова письмом Н-25/1353 о необходимости закупки не менее 8 тонн кобальта, указывая, что для наварки клапанов авиамоторов М-105, М-107, АМ-35А, АМ-37 «применяется сплав кобальтовый стеллит, содержащий до 63% кобальта высокой чистоты (бельгийский)», а Наркомцветмет «производство кобальта до настоящего времени еще не освоил» (РГАЭ. Ф. 8044. Оп.1. Д. 401. Л. 186.).</w:t>
      </w:r>
    </w:p>
    <w:p w14:paraId="6E4D3D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Начавшаяся Вторая мировая война усугубила и до этого существовавшую определенную зависимость советской авиапромышленности от импорта различных, в том числе и стратегически важных компонентов, необходимых для авиапроизводства. Сыграли свою роль как внешнеполитические обстоятельства, так и возросшая потребность в этих компонентах (11672).</w:t>
      </w:r>
    </w:p>
    <w:p w14:paraId="2449DE5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0E347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вышел приказ НКВМФ и НКСП об испытании катапульты Н-1 Николаевского завода (2555,86).</w:t>
      </w:r>
    </w:p>
    <w:p w14:paraId="6A3B1DE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8F6A1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8 по 25 августа 1940 на НИП АВ ВВС проходили контрольные испытания посадочных шашек белого и черного дыма, авиасигнальных патронов красного, белого и зеленого огня.</w:t>
      </w:r>
    </w:p>
    <w:p w14:paraId="28A248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74C00E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06E7ED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характер действия посадочных шашек и авиасигнальных патронов опытного хранения снаряжения 1936 года.</w:t>
      </w:r>
    </w:p>
    <w:p w14:paraId="0A9D8C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927F5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следующие контрольные испытания в 1941 году:</w:t>
      </w:r>
    </w:p>
    <w:p w14:paraId="6CF54A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посадочных шашек опытного хранения белого, черного и оранжевого дыма;</w:t>
      </w:r>
    </w:p>
    <w:p w14:paraId="1943DF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авиасигнальных патронов опытного хранения красного, белого и зеленого огня (7538).</w:t>
      </w:r>
    </w:p>
    <w:p w14:paraId="5BDD99E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F6705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г. за подписями председателя комиссии старшего инженера 2 от</w:t>
      </w:r>
      <w:r w:rsidRPr="00DB5D0D">
        <w:rPr>
          <w:rFonts w:ascii="Times New Roman" w:hAnsi="Times New Roman"/>
          <w:color w:val="000000" w:themeColor="text1"/>
          <w:sz w:val="16"/>
          <w:szCs w:val="16"/>
        </w:rPr>
        <w:softHyphen/>
        <w:t>деления военинженера 1 ранга Беляева и членов комиссии военинженера 3 ранга Пантелеева и майора Ашиткова было подготовлено донесение начальнику 8-го управления ГУ ВВС КА военинженеру 1 ранга Никонову. «Доношу, что 2 августа 1940 г. при стрельбе РБС-132 в серном снаряжении с бомбардировщика СБ с бортовым №221 во втором полете при втором выстреле с УРО №2 (левая плоскость) газами от РЗ отогнуло осевой компенсатор основной секции элерона на 90° вниз. Стрелял с пикирова</w:t>
      </w:r>
      <w:r w:rsidRPr="00DB5D0D">
        <w:rPr>
          <w:rFonts w:ascii="Times New Roman" w:hAnsi="Times New Roman"/>
          <w:color w:val="000000" w:themeColor="text1"/>
          <w:sz w:val="16"/>
          <w:szCs w:val="16"/>
        </w:rPr>
        <w:softHyphen/>
        <w:t>ния под утлом 45° летчик полковник Борщев. На высоте 1200 м при скоро</w:t>
      </w:r>
      <w:r w:rsidRPr="00DB5D0D">
        <w:rPr>
          <w:rFonts w:ascii="Times New Roman" w:hAnsi="Times New Roman"/>
          <w:color w:val="000000" w:themeColor="text1"/>
          <w:sz w:val="16"/>
          <w:szCs w:val="16"/>
        </w:rPr>
        <w:softHyphen/>
        <w:t>сти 240 км/ч произошел резкий рывок штурвала с отклонением до 30 гр. ле</w:t>
      </w:r>
      <w:r w:rsidRPr="00DB5D0D">
        <w:rPr>
          <w:rFonts w:ascii="Times New Roman" w:hAnsi="Times New Roman"/>
          <w:color w:val="000000" w:themeColor="text1"/>
          <w:sz w:val="16"/>
          <w:szCs w:val="16"/>
        </w:rPr>
        <w:softHyphen/>
        <w:t>вый крен и сильная вибрация всего самолета. Звук от двигателя РС имел усиливающийся двойной характер. Самолет выровняли левым мотором, снятием нагрузки триммером и приложением усилий пилота. Предполагаемая причина - недостаточная прочность элеронов для стрельбы РБС -132 с повышенным РЗ (7,28 кг) и большим критическим сечением сопла. Мною испытания прекращены до доработки самолета под РБС-132».</w:t>
      </w:r>
    </w:p>
    <w:p w14:paraId="0E48B2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Поскольку на Ногинский полигон поступили ракетно-бронебойные снаряды, а обещанный морскими авиаторами бомбардировщик ДБ-3 еще не прибыл, военные решили отстрелять боеприпасы по программе ВВС с бомбардировщика СБ. Заметим, что оперативно и тайком эту затею решили реализовать, в тот же день, утвердив и программу испытаний.</w:t>
      </w:r>
    </w:p>
    <w:p w14:paraId="1604A6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Именно таким образом судьба, образно выражаясь, наказала ВВС за неприличный проступок. Когда в Управлении ВВС ВМФ узнали, что их опытными боеприпасами без уведомления пользуются конкуренты, не</w:t>
      </w:r>
      <w:r w:rsidRPr="00DB5D0D">
        <w:rPr>
          <w:rFonts w:ascii="Times New Roman" w:hAnsi="Times New Roman"/>
          <w:color w:val="000000" w:themeColor="text1"/>
          <w:sz w:val="16"/>
          <w:szCs w:val="16"/>
        </w:rPr>
        <w:softHyphen/>
        <w:t>годованию не было границ. Примерно это могло выглядеть так: «Мы за</w:t>
      </w:r>
      <w:r w:rsidRPr="00DB5D0D">
        <w:rPr>
          <w:rFonts w:ascii="Times New Roman" w:hAnsi="Times New Roman"/>
          <w:color w:val="000000" w:themeColor="text1"/>
          <w:sz w:val="16"/>
          <w:szCs w:val="16"/>
        </w:rPr>
        <w:softHyphen/>
        <w:t>казывали, мы оплачивали, мы создавали, а с нами даже не советуются!». Дабы не создавать более прецедентов, 18 сентября 1940 г. согласно прось</w:t>
      </w:r>
      <w:r w:rsidRPr="00DB5D0D">
        <w:rPr>
          <w:rFonts w:ascii="Times New Roman" w:hAnsi="Times New Roman"/>
          <w:color w:val="000000" w:themeColor="text1"/>
          <w:sz w:val="16"/>
          <w:szCs w:val="16"/>
        </w:rPr>
        <w:softHyphen/>
        <w:t>бы начальника 7 отдела УА ВМФ воснинженера 1 ранга Захаренко и на</w:t>
      </w:r>
      <w:r w:rsidRPr="00DB5D0D">
        <w:rPr>
          <w:rFonts w:ascii="Times New Roman" w:hAnsi="Times New Roman"/>
          <w:color w:val="000000" w:themeColor="text1"/>
          <w:sz w:val="16"/>
          <w:szCs w:val="16"/>
        </w:rPr>
        <w:softHyphen/>
        <w:t>чальника 2 отделения 7 отдела УА ВМФ военинженсра 1 ранга Кудрова оставшиеся 44 штуки РБС-132 с взрывателями АВ-96 отправили в Ленинград. В итоге руководство ВВС ВМФ основательно поссорилось с ГУ ВВС КА и больше не обращалось к ним с просьбами об аренде полигона.</w:t>
      </w:r>
    </w:p>
    <w:p w14:paraId="4B6CDC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Доподлинно не известно, каким образом ГУ ВВС КА компенсиро</w:t>
      </w:r>
      <w:r w:rsidRPr="00DB5D0D">
        <w:rPr>
          <w:rFonts w:ascii="Times New Roman" w:hAnsi="Times New Roman"/>
          <w:color w:val="000000" w:themeColor="text1"/>
          <w:sz w:val="16"/>
          <w:szCs w:val="16"/>
        </w:rPr>
        <w:softHyphen/>
        <w:t>вало финансовый ущерб морским авиаторам, но история получила са</w:t>
      </w:r>
      <w:r w:rsidRPr="00DB5D0D">
        <w:rPr>
          <w:rFonts w:ascii="Times New Roman" w:hAnsi="Times New Roman"/>
          <w:color w:val="000000" w:themeColor="text1"/>
          <w:sz w:val="16"/>
          <w:szCs w:val="16"/>
        </w:rPr>
        <w:softHyphen/>
        <w:t>мое неожиданное продолжение. Во-первых, ВВС ВМФ твердо реши</w:t>
      </w:r>
      <w:r w:rsidRPr="00DB5D0D">
        <w:rPr>
          <w:rFonts w:ascii="Times New Roman" w:hAnsi="Times New Roman"/>
          <w:color w:val="000000" w:themeColor="text1"/>
          <w:sz w:val="16"/>
          <w:szCs w:val="16"/>
        </w:rPr>
        <w:softHyphen/>
        <w:t>ли в дальнейшем испытывать РБС только своими силами, но для за</w:t>
      </w:r>
      <w:r w:rsidRPr="00DB5D0D">
        <w:rPr>
          <w:rFonts w:ascii="Times New Roman" w:hAnsi="Times New Roman"/>
          <w:color w:val="000000" w:themeColor="text1"/>
          <w:sz w:val="16"/>
          <w:szCs w:val="16"/>
        </w:rPr>
        <w:softHyphen/>
        <w:t>вершения программы полигонных испытаний требовалось восстано</w:t>
      </w:r>
      <w:r w:rsidRPr="00DB5D0D">
        <w:rPr>
          <w:rFonts w:ascii="Times New Roman" w:hAnsi="Times New Roman"/>
          <w:color w:val="000000" w:themeColor="text1"/>
          <w:sz w:val="16"/>
          <w:szCs w:val="16"/>
        </w:rPr>
        <w:softHyphen/>
        <w:t>вить необходимое количество снарядов (11402).</w:t>
      </w:r>
    </w:p>
    <w:p w14:paraId="2A4F00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3DDAB1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9F927D5"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67A03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г. вышло Постановление СНК СССР № 1423-559сс, которое обязывало НК боеприпасов (завод № 65) изготовить в 1940 г.:</w:t>
      </w:r>
    </w:p>
    <w:p w14:paraId="51D5C5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 3 квартале 30 машин ТИЗ-50;</w:t>
      </w:r>
    </w:p>
    <w:p w14:paraId="1103BD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 4 квартале 120 машин ТИЗ-50.</w:t>
      </w:r>
    </w:p>
    <w:p w14:paraId="57819F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завод № 65 только в октябре месяце 1940 г. предъявил опытные образцы ТИЗ-50 на окон</w:t>
      </w:r>
      <w:r w:rsidRPr="00DB5D0D">
        <w:rPr>
          <w:rFonts w:ascii="Times New Roman" w:hAnsi="Times New Roman"/>
          <w:color w:val="000000" w:themeColor="text1"/>
          <w:sz w:val="16"/>
          <w:szCs w:val="16"/>
        </w:rPr>
        <w:softHyphen/>
        <w:t>чательные испытания. Испытания проведены в октябре месяце 1941 г.</w:t>
      </w:r>
    </w:p>
    <w:p w14:paraId="22DBF5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надежности конструкции, проходимости и динамическим качествам мотоцикл показал впол</w:t>
      </w:r>
      <w:r w:rsidRPr="00DB5D0D">
        <w:rPr>
          <w:rFonts w:ascii="Times New Roman" w:hAnsi="Times New Roman"/>
          <w:color w:val="000000" w:themeColor="text1"/>
          <w:sz w:val="16"/>
          <w:szCs w:val="16"/>
        </w:rPr>
        <w:softHyphen/>
        <w:t>не удовлетворительные результаты.</w:t>
      </w:r>
    </w:p>
    <w:p w14:paraId="6B6255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Заключение комиссии по испытаниям утверждено Маршалом Советского Союза т. Кулик и НК боеприпасов т. Сергеевым и представлено в КО т. Вознесенскому с проектом постановления КО, обязывающим НК боеприпасов (завод № 65) организовать серийный выпуск ТИЗ-50 (11211).</w:t>
      </w:r>
    </w:p>
    <w:p w14:paraId="366E24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A8062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Контролер КО при СНК СССР писал письмо № 914с Секретарю КО при СНК СССР Главному контролеру т. Новикову на № 737с от 3юУШ.1940 г.</w:t>
      </w:r>
    </w:p>
    <w:p w14:paraId="6A572C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письма тов. КОРОТЕЕВА на имя Пред</w:t>
      </w:r>
      <w:r w:rsidRPr="00DB5D0D">
        <w:rPr>
          <w:rFonts w:ascii="Times New Roman" w:hAnsi="Times New Roman"/>
          <w:color w:val="000000" w:themeColor="text1"/>
          <w:sz w:val="16"/>
          <w:szCs w:val="16"/>
        </w:rPr>
        <w:softHyphen/>
        <w:t>седателя Комитета Обосюны тов. ВОРОШИЛОВА</w:t>
      </w:r>
    </w:p>
    <w:p w14:paraId="2D5591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Коротеев с У.1931 года начал заниматься отработкой бумажных орудийных гильз. С 18.1.1938 г. по 18.Х.1938 г. тов. КОРОТЕЕВ проводил работы на заводе № 58 по отработке гильз 122 мм гакуб. 10/30 г.</w:t>
      </w:r>
    </w:p>
    <w:p w14:paraId="46C3E7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эти работы не дали положительных результатов. После организации специально-гильзового Главка в системе НКБ тов. КОРОТЕЕВ в октябре 1933 года был переведен на постоянную работу в г.Тулу на гильзовый завод № 187 (завод 50 не входил в систему гильзовых заводов).</w:t>
      </w:r>
    </w:p>
    <w:p w14:paraId="649716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 187 тов. КОРОТЕЕВУ были созданы соответствующие условия для продолжения его работы: выделено специальное помещение, дана рабочая бригада, изготовление инструмента было организовано в инструментальном цехе за</w:t>
      </w:r>
      <w:r w:rsidRPr="00DB5D0D">
        <w:rPr>
          <w:rFonts w:ascii="Times New Roman" w:hAnsi="Times New Roman"/>
          <w:color w:val="000000" w:themeColor="text1"/>
          <w:sz w:val="16"/>
          <w:szCs w:val="16"/>
        </w:rPr>
        <w:softHyphen/>
        <w:t>вода и т.д.</w:t>
      </w:r>
    </w:p>
    <w:p w14:paraId="135131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Тов.КОРОТЕЕВ проделал огоомное количество опытов с бумажной гильзой, но все же положительных результатов не получил.. Затраченные за все эти годы большие средства, но гильзы от тов. КОРОТЕЕВА не получены.</w:t>
      </w:r>
    </w:p>
    <w:p w14:paraId="2CE1DC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23.Х1.1939 года при заводе № 187 НКБ было решено организовать опытное конструкторское бюро по гильзовому производству и т. КОРОТЕЕВ 14.ХП-1939 г. был назначен И.О.Начальника этого опытного бюро.</w:t>
      </w:r>
    </w:p>
    <w:p w14:paraId="6FCFDD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Коротеев стал возглавлять около 20 чел. ИТР этого бюро и должен был ывполнять работы по плану, утвержденному Главком для этого бюро.</w:t>
      </w:r>
    </w:p>
    <w:p w14:paraId="147967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размещения работниковы этого бюро было выделено специальное помещение. Т. КОРОТКОВУ при его переводе в Тулу была дана жилплощадь в размере 1 комнаты.</w:t>
      </w:r>
    </w:p>
    <w:p w14:paraId="108893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утверждение т. КОРОТЕЕВА, что оанбыл переведен в Тулу временно на 4 месяца, что ему не были созданы условия как культурно-бытовые, так и для работы и т.д., - не соответствуют действительности.</w:t>
      </w:r>
    </w:p>
    <w:p w14:paraId="627F44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же касается изобретательской деятельности тов. КОРОТЕЕВА по железным гильзам, то по существу она свелась к следующему: в июле месяце 1939 года по инициативе 7-го Главного Управления на заводе № 176 впервые приступили к опытным работам по штамповке корпуса гильзы 122мм гауб. из тонкостенного листового железа.</w:t>
      </w:r>
    </w:p>
    <w:p w14:paraId="476376A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Инициаторами работ по штамповке корпуса из листового металла на заводе № 176, начавшего опытные работы значительно ранее завода № 187, были т.т. СИДОРА, ТОЛСТОВ и др.</w:t>
      </w:r>
    </w:p>
    <w:p w14:paraId="4DCABD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 завода № 187 отработало технологический процесс и инструмент по штамповке этого корпуса, по собственной ини</w:t>
      </w:r>
      <w:r w:rsidRPr="00DB5D0D">
        <w:rPr>
          <w:rFonts w:ascii="Times New Roman" w:hAnsi="Times New Roman"/>
          <w:color w:val="000000" w:themeColor="text1"/>
          <w:sz w:val="16"/>
          <w:szCs w:val="16"/>
        </w:rPr>
        <w:softHyphen/>
        <w:t>циативе. При чем работы по отработке технологического процесса для гильзы 152 мм 9/30 г. были проведены глазным образом инженером тов. СЕРОВВМ, Завод № 187 помимо тов. КОРОТЕЕВА использовал этот цельнотянутый корпус для замены свертного корпуса, в свертной гильзе, которая осваивалась на этом заводе. Таким образом родилась гильза типа -"КД", принятая в настоящее время на вооружение в АУ КА и дающая значительные преимущества по сравнению с железной свертной гильзой, как в отношении качества, так и стоимости.</w:t>
      </w:r>
    </w:p>
    <w:p w14:paraId="75CC2E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КОРОТЕЕВ в своем письме подчеркивает, что он на своих руках вынашивал новое изделие. Учитывая что тов. КОРОТЕЕВУ в силу своих служебных обязанностей в ОКБ обязан был активно заниматься этой работой, всякий завод вынашивает новые изделия, и в этом особенной личной за</w:t>
      </w:r>
      <w:r w:rsidRPr="00DB5D0D">
        <w:rPr>
          <w:rFonts w:ascii="Times New Roman" w:hAnsi="Times New Roman"/>
          <w:color w:val="000000" w:themeColor="text1"/>
          <w:sz w:val="16"/>
          <w:szCs w:val="16"/>
        </w:rPr>
        <w:softHyphen/>
        <w:t>слуги я не вижу.</w:t>
      </w:r>
    </w:p>
    <w:p w14:paraId="352F18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КОРОТЕЕВ применил штампованный корпус из железа для гильзы 122мм гаубицы 10/30 г. использовав для до</w:t>
      </w:r>
      <w:r w:rsidRPr="00DB5D0D">
        <w:rPr>
          <w:rFonts w:ascii="Times New Roman" w:hAnsi="Times New Roman"/>
          <w:color w:val="000000" w:themeColor="text1"/>
          <w:sz w:val="16"/>
          <w:szCs w:val="16"/>
        </w:rPr>
        <w:softHyphen/>
        <w:t>нышка его конструкции, изобретенное им дно для бумажной гильзы. Это дно штампуется из листового металла и в даль</w:t>
      </w:r>
      <w:r w:rsidRPr="00DB5D0D">
        <w:rPr>
          <w:rFonts w:ascii="Times New Roman" w:hAnsi="Times New Roman"/>
          <w:color w:val="000000" w:themeColor="text1"/>
          <w:sz w:val="16"/>
          <w:szCs w:val="16"/>
        </w:rPr>
        <w:softHyphen/>
        <w:t>нейшем не подвергается механической обработке. Дно с кор</w:t>
      </w:r>
      <w:r w:rsidRPr="00DB5D0D">
        <w:rPr>
          <w:rFonts w:ascii="Times New Roman" w:hAnsi="Times New Roman"/>
          <w:color w:val="000000" w:themeColor="text1"/>
          <w:sz w:val="16"/>
          <w:szCs w:val="16"/>
        </w:rPr>
        <w:softHyphen/>
        <w:t>пусом скрепляется при помощи гайки и механически обрабо</w:t>
      </w:r>
      <w:r w:rsidRPr="00DB5D0D">
        <w:rPr>
          <w:rFonts w:ascii="Times New Roman" w:hAnsi="Times New Roman"/>
          <w:color w:val="000000" w:themeColor="text1"/>
          <w:sz w:val="16"/>
          <w:szCs w:val="16"/>
        </w:rPr>
        <w:softHyphen/>
        <w:t>танного гнезда под капсюльную втулку. Между дном и корпусом для амортизации и обтюрации прокладывается слой толстого картона. Такова конструкция гильзы "ШД".</w:t>
      </w:r>
    </w:p>
    <w:p w14:paraId="6AC3FC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Автором штампованного дна из листового металла и применение этого дна к отработанному т. СЕРОВЫМ штампованному из листа корпусу нужно считать т. КОРОТЕЕВА.</w:t>
      </w:r>
    </w:p>
    <w:p w14:paraId="7BA903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решению Правительства, гильзы 122 мм гауб. 10/30 г. типа "ШД" были изготовлены под руководством т. КОРОТЕЕВА в количестве 2500 тыс.шт., из которых 1500 шт. было отрабо</w:t>
      </w:r>
      <w:r w:rsidRPr="00DB5D0D">
        <w:rPr>
          <w:rFonts w:ascii="Times New Roman" w:hAnsi="Times New Roman"/>
          <w:color w:val="000000" w:themeColor="text1"/>
          <w:sz w:val="16"/>
          <w:szCs w:val="16"/>
        </w:rPr>
        <w:softHyphen/>
        <w:t>тано для испытания. При испытании образцов гильз этой конструкции часть давала положительные результаты, часть же не давала экстракции или обтюрации. Размеры донышек зтих 1.500 шт. гильз полученных путем штамповки не были выдержаны, т.к. принятые для гильз допуска в размерах трудно выдержать только одной штамповкой без дальнейшей механической обработки.</w:t>
      </w:r>
    </w:p>
    <w:p w14:paraId="1DE791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Конструкцию этой гильзы нужно было доработать и после доработки 122 мм гауб. провести изыскательные работы в направлении возможности использования подобной кон</w:t>
      </w:r>
      <w:r w:rsidRPr="00DB5D0D">
        <w:rPr>
          <w:rFonts w:ascii="Times New Roman" w:hAnsi="Times New Roman"/>
          <w:color w:val="000000" w:themeColor="text1"/>
          <w:sz w:val="16"/>
          <w:szCs w:val="16"/>
        </w:rPr>
        <w:softHyphen/>
        <w:t>струкции и для других калибров гильз. Недоработанность конструкции гильзы "ШД" не позволила принять эту гильзу</w:t>
      </w:r>
    </w:p>
    <w:p w14:paraId="57C770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КОРОТЕЕВ несмотря на это все же решил устра</w:t>
      </w:r>
      <w:r w:rsidRPr="00DB5D0D">
        <w:rPr>
          <w:rFonts w:ascii="Times New Roman" w:hAnsi="Times New Roman"/>
          <w:color w:val="000000" w:themeColor="text1"/>
          <w:sz w:val="16"/>
          <w:szCs w:val="16"/>
        </w:rPr>
        <w:softHyphen/>
        <w:t>ниться от продолжения этих работ и в последнее время своего пребывания в Туле почти прекратил дальнейшие изыскания.</w:t>
      </w:r>
    </w:p>
    <w:p w14:paraId="193DDEE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19.7.40 г.т. КОРОТЕЕВ подал заявление об освобождении его от работы в ОКБ завода № 187. Так как за время своего пребывания в Туле с октября 38 г. т.е. за 1,5 года, т. КОРОТЕЕВ ничего законченного не дал для гильзовой промышленности и и имея настоичивое стремление т. КОРОТЕЕВА вернуться в Москву, Главное Управление удовлетворило просьбу тов. КОРОТЕЕВА и освободило его 23.7.40 г. от исполнения обязанностей Нач. ОКБ завода № 187.</w:t>
      </w:r>
    </w:p>
    <w:p w14:paraId="759E0E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Зная, что в г. Москве гильзовых заводов нет, что все опытные работы сосредоточены в г. Туле на зав. № 187 и использование т. КОРОТЕЕВА по этой причине в г. Москве невозможно, - т. КОРОТЕЕВ все же не захотел работать в г.Туле и вернулся в г. Москву.</w:t>
      </w:r>
    </w:p>
    <w:p w14:paraId="4B90CE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претензии тов. КОРОТЕЕВА о не предоставлении ему работы в г. Москве и якобы вынужденного перерыва его работы в оборонной промышленности, неосновательны.</w:t>
      </w:r>
    </w:p>
    <w:p w14:paraId="0D4615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КОРОТЕЕВ в своем письме на имя т. ВОРОШИЛОВА спра</w:t>
      </w:r>
      <w:r w:rsidRPr="00DB5D0D">
        <w:rPr>
          <w:rFonts w:ascii="Times New Roman" w:hAnsi="Times New Roman"/>
          <w:color w:val="000000" w:themeColor="text1"/>
          <w:sz w:val="16"/>
          <w:szCs w:val="16"/>
        </w:rPr>
        <w:softHyphen/>
        <w:t>шивает, стоит ли ему впредь заниматься изобретательской деятельностью в области гильз? Это исклютительно зависит от т. КОРОТЕЕВА, т.к. он в любое время может быть принят в число сотрудников опытного конструкторского бюро в г.Туле при заводе № 187, где имеются необходимые условия как для доработки конструкции гильзы "ШД", так и для проведения работ и по другим новым конструкциям гильз, продолжение работ по которым, поручено опытно-конструкторскому бюро этого завода, согласно имеющегося у него утвержденного пла</w:t>
      </w:r>
      <w:r w:rsidRPr="00DB5D0D">
        <w:rPr>
          <w:rFonts w:ascii="Times New Roman" w:hAnsi="Times New Roman"/>
          <w:color w:val="000000" w:themeColor="text1"/>
          <w:sz w:val="16"/>
          <w:szCs w:val="16"/>
        </w:rPr>
        <w:softHyphen/>
        <w:t>на работ (10206,156).</w:t>
      </w:r>
    </w:p>
    <w:p w14:paraId="54B72A9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1EA539A"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1938 г.</w:t>
      </w:r>
    </w:p>
    <w:p w14:paraId="659605DF"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32. Заключение Госплана СССР[</w:t>
      </w:r>
      <w:hyperlink r:id="rId277"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о реализации иностранной технической помощи Наркоматом оборонной промышленности СССР</w:t>
      </w:r>
    </w:p>
    <w:p w14:paraId="476C2E6D"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1C3DF373"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184-188.</w:t>
      </w:r>
    </w:p>
    <w:p w14:paraId="0FB1532E"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20D0BB5E"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 4372. Оп. 92. Д. 136. Л. 173-177. Заверенная копия.</w:t>
      </w:r>
    </w:p>
    <w:p w14:paraId="02B0CCB6"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53AA0123"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Госплан при СНК СССР, проверив реализацию договоров на иностранную техническую помощь по организации производства и освоению новых изделий на заводах Наркомата оборонной промышленности, считает  необходимым отметить, что иностранная техническая помощь Наркоматом оборонной промышленности реализуется неудовлетворительно, новые виды изделий и установок осваиваются медленно, необходимое капитальное строительство для  реализации этой техпомощи затянулось.</w:t>
      </w:r>
    </w:p>
    <w:p w14:paraId="3BFA7D33"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этом свидетельствуют следующие факты:</w:t>
      </w:r>
    </w:p>
    <w:p w14:paraId="13A1E413"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Договор с фирмой “Интернейшинел Резистанс К°” (США), заключенный 5</w:t>
      </w:r>
      <w:r w:rsidRPr="00DB5D0D">
        <w:rPr>
          <w:rFonts w:ascii="Times New Roman" w:hAnsi="Times New Roman"/>
          <w:color w:val="000000" w:themeColor="text1"/>
          <w:sz w:val="16"/>
          <w:szCs w:val="16"/>
        </w:rPr>
        <w:noBreakHyphen/>
        <w:t>м Главным управлением НКОП 30 сентября 1937 г. сроком на 1 год, предусматривает получение технической помощи по всем вопросам создания завода и организации 6 типов сопротивлений. Срок договора истекает 31 августа с. г.</w:t>
      </w:r>
    </w:p>
    <w:p w14:paraId="44B75883"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получены от фирмы спецификации на оборудование, сырье, большое количество технической информации, но использовано как следует быть не может, так как строительство цеха по производству сопротивлений и конденсаторов на Воронежском заводе “Электросигнал” до сего времени еще не начато. Из общего объема капитальных вложений на 1938 г. в размере 3 млн. руб. выполнено на 1 июля 1938 г. 145 тыс. руб., что составляет 4,5% от годового плана. Срок договора (1 год) был установлен нереальным. При заключении договора было очевидно, что за 1 год построить цех и освоить производство сопротивлений невозможно, тем более если иметь в виду, что технологии производства материалов, требующихся для этих изделий, фирма не знает, так как она получает их от других фирм; ряда необходимых материалов в СССР вовсе нет (тунговое масло, цейлонский графит, специальные сорта сажи и т. п.) и необходимо изыскивать заменители. Этим самым был нанесен известный ущерб советскому государству.</w:t>
      </w:r>
    </w:p>
    <w:p w14:paraId="48CB687D"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освоения производства сопротивлений необходимо согласиться с предложением НКОП о продлении договора.</w:t>
      </w:r>
    </w:p>
    <w:p w14:paraId="3E746784"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Договор с доктором Скаини (Италия), заключенный 19</w:t>
      </w:r>
      <w:r w:rsidRPr="00DB5D0D">
        <w:rPr>
          <w:rFonts w:ascii="Times New Roman" w:hAnsi="Times New Roman"/>
          <w:color w:val="000000" w:themeColor="text1"/>
          <w:sz w:val="16"/>
          <w:szCs w:val="16"/>
        </w:rPr>
        <w:noBreakHyphen/>
        <w:t>м Главным управлением 16 июля 1936 г. сроком на 2 года, не выполнен. По этому договору доктор Скаини был обязан построить опытную аккумуляторную батарею для подводных лодок на порошковой основе, организовать их производство на заводе № 223 и обучить наш технический персонал совершенным методам производства такого типа батарей. Доктор Скаини пробыл в Советском Союзе целый год. Перед тем, как приступить к осуществлению своей батареи, он выехал в отпуск (в Италию) и больше не возвратился. Руководство 19</w:t>
      </w:r>
      <w:r w:rsidRPr="00DB5D0D">
        <w:rPr>
          <w:rFonts w:ascii="Times New Roman" w:hAnsi="Times New Roman"/>
          <w:color w:val="000000" w:themeColor="text1"/>
          <w:sz w:val="16"/>
          <w:szCs w:val="16"/>
        </w:rPr>
        <w:noBreakHyphen/>
        <w:t>го управления[</w:t>
      </w:r>
      <w:hyperlink r:id="rId278" w:anchor="p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xml:space="preserve">] отказало предоставить помещение доктору Скаини для производства опытной батареи, что явилось формальным поводом к нарушению договора доктором Скаини. Между тем выплата вознаграждений, </w:t>
      </w:r>
      <w:r w:rsidRPr="00DB5D0D">
        <w:rPr>
          <w:rFonts w:ascii="Times New Roman" w:hAnsi="Times New Roman"/>
          <w:color w:val="000000" w:themeColor="text1"/>
          <w:sz w:val="16"/>
          <w:szCs w:val="16"/>
        </w:rPr>
        <w:lastRenderedPageBreak/>
        <w:t>предусмотренных договором, ему и его сотрудникам производилась аккуратно и в сроки. Доктору Скаини по состоянию на 1 июля 1938 г. выплачено 198 тыс. итальянских лир (сумма договора — 360 тыс. лир плюс 90,45 тыс. лир и 12,5 тыс. руб. совзнаками — суточные), при этом выплачено досрочно 14,4 тыс. итальянских лир.</w:t>
      </w:r>
    </w:p>
    <w:p w14:paraId="12B40035"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имеющихся данных видно, что доктор Скаини не имел опыта по производству предложенной им аккумуляторной батареи, а вел  работу по методологии, уже известной в литературе, которую с успехом осваивают Центральная аккумуляторная лаборатория и завод № 223. Бывшее вредительское руководство завода № 223 и 19</w:t>
      </w:r>
      <w:r w:rsidRPr="00DB5D0D">
        <w:rPr>
          <w:rFonts w:ascii="Times New Roman" w:hAnsi="Times New Roman"/>
          <w:color w:val="000000" w:themeColor="text1"/>
          <w:sz w:val="16"/>
          <w:szCs w:val="16"/>
        </w:rPr>
        <w:noBreakHyphen/>
        <w:t>го управления оттягивало практическое разрешение вопроса как по осуществлению своей технологии, так и по расторжению кабального договора с доктором Скаини. Из этих же материалов видно, что проработанный материал доктора Скаини не представляет большого интереса и практически не используется.</w:t>
      </w:r>
    </w:p>
    <w:p w14:paraId="1E78AF26"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Договор с фирмой “Лип” (Франция), заключенный 14</w:t>
      </w:r>
      <w:r w:rsidRPr="00DB5D0D">
        <w:rPr>
          <w:rFonts w:ascii="Times New Roman" w:hAnsi="Times New Roman"/>
          <w:color w:val="000000" w:themeColor="text1"/>
          <w:sz w:val="16"/>
          <w:szCs w:val="16"/>
        </w:rPr>
        <w:noBreakHyphen/>
        <w:t>м Главным управлением НКОП 28 августа 1936 г. сроком на 5 лет, выполняется неудовлетворительно. По договору фирма “Лип” была обязана в определенные сроки передать 14</w:t>
      </w:r>
      <w:r w:rsidRPr="00DB5D0D">
        <w:rPr>
          <w:rFonts w:ascii="Times New Roman" w:hAnsi="Times New Roman"/>
          <w:color w:val="000000" w:themeColor="text1"/>
          <w:sz w:val="16"/>
          <w:szCs w:val="16"/>
        </w:rPr>
        <w:noBreakHyphen/>
        <w:t>му Главному управлению техническую документацию, штампы и инструмент для производства на заводах № 42 и № 50 карманных и наручных часов трех калибров, а также оказать техническую помощь в организации часового производства на этих заводах путем присылки своих специалистов. Ни один из пунктов договора фирма полностью не выполнила. 14</w:t>
      </w:r>
      <w:r w:rsidRPr="00DB5D0D">
        <w:rPr>
          <w:rFonts w:ascii="Times New Roman" w:hAnsi="Times New Roman"/>
          <w:color w:val="000000" w:themeColor="text1"/>
          <w:sz w:val="16"/>
          <w:szCs w:val="16"/>
        </w:rPr>
        <w:noBreakHyphen/>
        <w:t>е Главное управление (так же, как и 19</w:t>
      </w:r>
      <w:r w:rsidRPr="00DB5D0D">
        <w:rPr>
          <w:rFonts w:ascii="Times New Roman" w:hAnsi="Times New Roman"/>
          <w:color w:val="000000" w:themeColor="text1"/>
          <w:sz w:val="16"/>
          <w:szCs w:val="16"/>
        </w:rPr>
        <w:noBreakHyphen/>
        <w:t>е Управление) оплату вознаграждений фирме производило полностью в установленные сроки, несмотря на то, что были основания уменьшить сумму платежа в зависимости от выполнения обязательств фирмой.</w:t>
      </w:r>
    </w:p>
    <w:p w14:paraId="16E3F9A2"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Более этого, руководство 14</w:t>
      </w:r>
      <w:r w:rsidRPr="00DB5D0D">
        <w:rPr>
          <w:rFonts w:ascii="Times New Roman" w:hAnsi="Times New Roman"/>
          <w:color w:val="000000" w:themeColor="text1"/>
          <w:sz w:val="16"/>
          <w:szCs w:val="16"/>
        </w:rPr>
        <w:noBreakHyphen/>
        <w:t>го Главного управления вместо предъявления претензий к фирме за невыполнение обязательств заключило с ней дополнительное соглашение от 26 мая 1938 г., которым освободило фирму от ответственности за невыполнение договора и уменьшило требования к фирме. По основному договору (сумма договора — 24 865 фунтов стерлингов, или 656,4 тыс. руб.) 14</w:t>
      </w:r>
      <w:r w:rsidRPr="00DB5D0D">
        <w:rPr>
          <w:rFonts w:ascii="Times New Roman" w:hAnsi="Times New Roman"/>
          <w:color w:val="000000" w:themeColor="text1"/>
          <w:sz w:val="16"/>
          <w:szCs w:val="16"/>
        </w:rPr>
        <w:noBreakHyphen/>
        <w:t>е Главное управление было обязано выплатить 50% после того, как заводы достигнут производительности 1 тыс. шт. часов карманных и 500 шт. наручных женских в смену. По новому соглашению эти требования отпали. Невыплаченная сумма по договору и по дополнительному соглашению в размере 1 тыс. фунтов стерлингов забронирована под поставки 55 тыс. комплектов часовых деталей, которые должны быть поставлены фирмой по дополнительному соглашению. Как видно из вышеуказанного, дальнейшая техническая помощь будет производиться за счет ранее оплаченных сумм.</w:t>
      </w:r>
    </w:p>
    <w:p w14:paraId="42EC7180"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 техническую помощь используют слабо. Ни один завод еще не организовал массового выпуска деталей (завод № 50 выпустил пробную партию часов — 50 шт.) и не ведет решительной борьбы за более эффективное использование дорогостоящей технической помощи. Заказанное импортное оборудование на сумму 6</w:t>
      </w:r>
      <w:r w:rsidRPr="00DB5D0D">
        <w:rPr>
          <w:rFonts w:ascii="Times New Roman" w:hAnsi="Times New Roman"/>
          <w:color w:val="000000" w:themeColor="text1"/>
          <w:sz w:val="16"/>
          <w:szCs w:val="16"/>
        </w:rPr>
        <w:noBreakHyphen/>
        <w:t>7 млн. руб. еще не используется, в значительной степени по вине вышеуказанных лиц.</w:t>
      </w:r>
    </w:p>
    <w:p w14:paraId="03CB1771"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Договором с фирмой “Броун-инструмент компании” (США), заключенным Амторгом и ВОТИ 10 января 1936 г. сроком на 3 года, предусматривалась техническая помощь по освоению производства контрольно-измерительных приборов, изготовляемых указанной фирмой. Этот договор по основным обязательствам реализован.</w:t>
      </w:r>
    </w:p>
    <w:p w14:paraId="214EF8A9"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Получены образцы всех основных приборов, технологические карты, спецификации материалов и полуфабрикатов, чертежи приспособлений, детальные и сборочные чертежи, таблицы, монтажные инструкции и другие документы.</w:t>
      </w:r>
    </w:p>
    <w:p w14:paraId="6DA61E1E"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230 уже освоил значительное количество приборов и с 1938 г. перешел полностью на выпуск приборов типа “Броун”. Освоены и выпускаются серийно три прибора потенциометров заводом № 218. Не имея точных данных по учету материальных ценностей, полученных от фирмы “Броун”, установить состояние расчетов с фирмой не представляется возможным.</w:t>
      </w:r>
    </w:p>
    <w:p w14:paraId="18DE63FB"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наличие некоторых успехов по заводу № 230 по использованию иностранной техпомощи, следует отметить, что 10</w:t>
      </w:r>
      <w:r w:rsidRPr="00DB5D0D">
        <w:rPr>
          <w:rFonts w:ascii="Times New Roman" w:hAnsi="Times New Roman"/>
          <w:color w:val="000000" w:themeColor="text1"/>
          <w:sz w:val="16"/>
          <w:szCs w:val="16"/>
        </w:rPr>
        <w:noBreakHyphen/>
        <w:t>е Главное управление реализует техпомощь слабо. На заводе № 230 приборы выпускаются по самой примитивной технологии производства, при этом в основных цехах (сборочном и механическом) исключительная грязь и захламленность. Точнейшие приборы хранятся на складе, где все покрыто пылью. Оснащенность производства приборов очень низкая. Многие из 42 инженерно-технических работников завода № 230, находившихся в командировке за границей у фирмы “Броун”, слабо реализуют приобретенный опыт по приборостроению. В 1938 г. завод должен освоить большую номенклатуру новых приборов, однако за первое полугодие текущего года еще ни одного нового прибора в серийное производство не пущено.</w:t>
      </w:r>
    </w:p>
    <w:p w14:paraId="26AE4A0F"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218 иностранная техпомощь реализуется еще хуже. Производство приборов на этом заводе организовано в небольшой мастерской, а удельный вес приборостроения в программе завода на 1938 г. составляет лишь 10%. Этот завод недооценивает приборостроение и не использует техпомощь в достаточной мере. Достаточно сказать, что из 94 модификаций автоматических потенциометров, подлежащих освоению в 1937/38 г., заводом освоено серийно всего лишь 3 модификации, при этом приборы изготовляются полукустарно, с большими ручными доделками, исключающими взаимозаменяемость. Изготовленный специальный инструмент, а равно полученный из Америки, еще не освоен.</w:t>
      </w:r>
    </w:p>
    <w:p w14:paraId="075BEBEF"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230 и особенно № 218, а также заводы-смежники, несмотря на имеющиеся достижения в освоении приборов, нуждаются в дальнейшей иностранной техпомощи как в освоении отдельных деталей и сборке приборов (отливка литья под давлением, применение более совершенных методов обработки деталей и сборки), так и по освоению полуфабрикатов (манганиновая  проволока, проволока изолированная, красящая трехцветная лента, золотая лента для подвесок и т. д.).</w:t>
      </w:r>
    </w:p>
    <w:p w14:paraId="6C76D210"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Договор с фирмой “Тер-Рар” (Франция) заключен 6</w:t>
      </w:r>
      <w:r w:rsidRPr="00DB5D0D">
        <w:rPr>
          <w:rFonts w:ascii="Times New Roman" w:hAnsi="Times New Roman"/>
          <w:color w:val="000000" w:themeColor="text1"/>
          <w:sz w:val="16"/>
          <w:szCs w:val="16"/>
        </w:rPr>
        <w:noBreakHyphen/>
        <w:t>м Главным управлением НКОП в октябре 1935 г. сроком на 10 лет на техпомощь по организации производства перекиси водорода способом Мерсье на заводе № 96. Указанный завод построенную мощность установки освоил и на базе имеющегося опыта может довести дело до конца. Договор заключен без поставок запасных частей, недостающие детали оборудования (спецстекло) осваиваются заводом им. Ломоносова. Фирма, не имея подобных заводов и опыта эксплуатации, реальной помощи в дальнейшем оказать не в состоянии.</w:t>
      </w:r>
    </w:p>
    <w:p w14:paraId="2565B064"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Договор с фирмой “Катализ” (Франция) заключен 6</w:t>
      </w:r>
      <w:r w:rsidRPr="00DB5D0D">
        <w:rPr>
          <w:rFonts w:ascii="Times New Roman" w:hAnsi="Times New Roman"/>
          <w:color w:val="000000" w:themeColor="text1"/>
          <w:sz w:val="16"/>
          <w:szCs w:val="16"/>
        </w:rPr>
        <w:noBreakHyphen/>
        <w:t>м Главным управлением НКОП в октябре 1935 г. сроком на 3 года на техпомощь по проектированию установки окиси этилена. Построенная установка за год работы не давала выходов, гарантируемых фирмой. 6</w:t>
      </w:r>
      <w:r w:rsidRPr="00DB5D0D">
        <w:rPr>
          <w:rFonts w:ascii="Times New Roman" w:hAnsi="Times New Roman"/>
          <w:color w:val="000000" w:themeColor="text1"/>
          <w:sz w:val="16"/>
          <w:szCs w:val="16"/>
        </w:rPr>
        <w:noBreakHyphen/>
        <w:t>е Главное управление НКОП проводит работы по освоению своего метода получения окиси этилена, показывающего ряд преимуществ по сравнению с методом фирмы (монтаж установки заканчивается в 1938 г.). Поэтому Госплан, не соглашаясь с НКОП, считает целесообразным договор с фирмой расторгнуть, обязав НКОП предъявить фирме претензии в счет уплаченных сумм (200 тыс. франков) в части выполнения последней гарантии по выходам и освоению установки.</w:t>
      </w:r>
    </w:p>
    <w:p w14:paraId="492CBA7A"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Договор с фирмой “Линде” (Германия) 6</w:t>
      </w:r>
      <w:r w:rsidRPr="00DB5D0D">
        <w:rPr>
          <w:rFonts w:ascii="Times New Roman" w:hAnsi="Times New Roman"/>
          <w:color w:val="000000" w:themeColor="text1"/>
          <w:sz w:val="16"/>
          <w:szCs w:val="16"/>
        </w:rPr>
        <w:noBreakHyphen/>
        <w:t>м Главным управлением НКОП заключен в августе 1935 г. сроком на 3 года на поставку и монтаж оборудования по разделению газов пиролиза нефти. В СССР такой установки не имеется. Гарантийный срок истекает в августе-сентябре 1938 г., между тем монтаж установки преступно затянулся и будет закончен только в IV квартале 1938 г. В целях освоения этого важного производства, проверки качества поставленного оборудования и работы всей установки договор необходимо продлить, обязав НКОП предъявить фирме претензии за недоброкачественную упаковку поставленного оборудования.</w:t>
      </w:r>
    </w:p>
    <w:p w14:paraId="53FAC578"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Договор с фирмой “Геркулес паулер” (США) заключен 11</w:t>
      </w:r>
      <w:r w:rsidRPr="00DB5D0D">
        <w:rPr>
          <w:rFonts w:ascii="Times New Roman" w:hAnsi="Times New Roman"/>
          <w:color w:val="000000" w:themeColor="text1"/>
          <w:sz w:val="16"/>
          <w:szCs w:val="16"/>
        </w:rPr>
        <w:noBreakHyphen/>
        <w:t>м Главным управлением НКОП в мае 1937 г. сроком на 5 лет на техпомощь по уменьшению вязкости нитроцеллюлозы. Фирма полностью поставила оборудование и чертежи. В счет уплаченных сумм (выплачено полностью 145тыс. долларов) фирма в течение 5 лет обязана давать информацию о новинках в этой области. Поэтому Госплан считает, что договор целесообразно сохранить. Гарантийный срок в отношении оборудования истекает в декабре 1938 г., между тем как строительство установки затянулось. Это требует сохранить также договор и в отношении гарантии по оборудованию, если это не потребует исполнительных затрат. НКОП должен использовать право посылки советских специалистов в США для изучения указанного производства.</w:t>
      </w:r>
    </w:p>
    <w:p w14:paraId="56765CB1"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Неудовлетворительная реализация иностранной техпомощи в указанных главках НКОП объясняется:</w:t>
      </w:r>
    </w:p>
    <w:p w14:paraId="15CED2D0"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Отсутствием контроля за использованием иностранной техпомощи заводами как со стороны  НКОП, так и отдельных главков (до апреля месяца 1938 г. проверка использования техпомощи не производилась).</w:t>
      </w:r>
    </w:p>
    <w:p w14:paraId="3A7A273E"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Отсутствием конкретного руководства со стороны НКОП и отдельных главков по реализации иностранной техпомощи. Сданные отчеты приехавших товарищей из заграничных командировок никем не обобщались и в большинстве не используются, а накопленный этими товарищами заграничный опыт реализуется слабо, без системы и учета.</w:t>
      </w:r>
    </w:p>
    <w:p w14:paraId="7B403968"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Кабальностыо договоров с иностранной фирмой “Лип” и доктором Скаини.</w:t>
      </w:r>
    </w:p>
    <w:p w14:paraId="69E73A59"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этих договорах не были оговорены  неустойки за невыполнение в срок договорных обязательств и, наоборот, были приняты такие обязательства, которые выполнить не представилось возможным.</w:t>
      </w:r>
    </w:p>
    <w:p w14:paraId="66B65400"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Безответственным отношением главных управлений НКОП к расходованию государственных средств при установлении сроков договоров (5</w:t>
      </w:r>
      <w:r w:rsidRPr="00DB5D0D">
        <w:rPr>
          <w:rFonts w:ascii="Times New Roman" w:hAnsi="Times New Roman"/>
          <w:color w:val="000000" w:themeColor="text1"/>
          <w:sz w:val="16"/>
          <w:szCs w:val="16"/>
        </w:rPr>
        <w:noBreakHyphen/>
        <w:t>е Главное управление) и при расчетах с фирмами. По всем договорам платежи произведены полностью в определенные сроки, несмотря на неудовлетворительное выполнение фирмами своих договорных обязательств.</w:t>
      </w:r>
    </w:p>
    <w:p w14:paraId="7BC184E0"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по реализации иностранной технической помощи по 2</w:t>
      </w:r>
      <w:r w:rsidRPr="00DB5D0D">
        <w:rPr>
          <w:rFonts w:ascii="Times New Roman" w:hAnsi="Times New Roman"/>
          <w:color w:val="000000" w:themeColor="text1"/>
          <w:sz w:val="16"/>
          <w:szCs w:val="16"/>
        </w:rPr>
        <w:noBreakHyphen/>
        <w:t>му Главному управлению НКОП будет представлено дополнительно в ближайшее время. Что касается практических мероприятий НКОП по улучшению реализации иностранной технической помощи, то Госплан считает возможным с ними согласиться.</w:t>
      </w:r>
    </w:p>
    <w:p w14:paraId="4A136F66"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этим нами разработан при этом прилагаемый проект постановления[</w:t>
      </w:r>
      <w:hyperlink r:id="rId279" w:anchor="p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w:t>
      </w:r>
    </w:p>
    <w:p w14:paraId="66A576CA"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председателя Госплана при СНК СССРМ. 3. Сабуров</w:t>
      </w:r>
    </w:p>
    <w:p w14:paraId="74CB224F"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Помета: «Иметь в Амторге постоянных лиц для преемствования; остальные инженеры должны меняться по отдельным вопросам и по замкнутым циклам. В СССР также должны быть постоянные руководители по внедрению опыта. Связь с Амторгом путем посылки отработанных материалов. Создана комиссия: Молотов, Каганович М., Исаков, Галактионов, Сабуров. Срок 10</w:t>
      </w:r>
      <w:r w:rsidRPr="00DB5D0D">
        <w:rPr>
          <w:rFonts w:ascii="Times New Roman" w:hAnsi="Times New Roman"/>
          <w:color w:val="000000" w:themeColor="text1"/>
          <w:sz w:val="16"/>
          <w:szCs w:val="16"/>
        </w:rPr>
        <w:noBreakHyphen/>
        <w:t>дней».</w:t>
      </w:r>
    </w:p>
    <w:p w14:paraId="2FF0255D"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p w14:paraId="2AD63395"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80"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xml:space="preserve">] Государственная плановая комиссия (Госплан) при СНК СССР по Конституции 1936 г. сохранила за собой права постоянной комиссии Совнаркома СССР. В ее задачи входила разработка и  представление правительству перспективных, годовых и квартальных планов, а также разработка отдельных проблем народного </w:t>
      </w:r>
      <w:r w:rsidRPr="00DB5D0D">
        <w:rPr>
          <w:rFonts w:ascii="Times New Roman" w:hAnsi="Times New Roman"/>
          <w:color w:val="000000" w:themeColor="text1"/>
          <w:sz w:val="16"/>
          <w:szCs w:val="16"/>
        </w:rPr>
        <w:lastRenderedPageBreak/>
        <w:t>хозяйства и методологии социалистического планирования. При Госплане СССР в качестве подведомственного, но самостоятельного органа функционировало Центральное управление народнохозяйственного учета (ЦУНХУ) СССР. В 1938г. были образованы аппараты Уполномоченных Госплана СССР в республиках, краях и областях. По постановлению СНК СССР № 479 от 13 апреля 1939 г., в состав Госплана был включен мобилизационный отдел. (РГАЭ. Ф. 4372. Д/ф.)</w:t>
      </w:r>
    </w:p>
    <w:p w14:paraId="7685A9F3"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81" w:anchor="s2" w:history="1">
        <w:r w:rsidRPr="00DB5D0D">
          <w:rPr>
            <w:rFonts w:ascii="Times New Roman" w:hAnsi="Times New Roman"/>
            <w:color w:val="000000" w:themeColor="text1"/>
            <w:sz w:val="16"/>
            <w:szCs w:val="16"/>
          </w:rPr>
          <w:t>2</w:t>
        </w:r>
      </w:hyperlink>
      <w:r w:rsidRPr="00DB5D0D">
        <w:rPr>
          <w:rFonts w:ascii="Times New Roman" w:hAnsi="Times New Roman"/>
          <w:color w:val="000000" w:themeColor="text1"/>
          <w:sz w:val="16"/>
          <w:szCs w:val="16"/>
        </w:rPr>
        <w:t>] Далее были написаны и зачеркнуты слова: «без достаточных оснований категорически».</w:t>
      </w:r>
    </w:p>
    <w:p w14:paraId="00D5D2C8"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82" w:anchor="s3" w:history="1">
        <w:r w:rsidRPr="00DB5D0D">
          <w:rPr>
            <w:rFonts w:ascii="Times New Roman" w:hAnsi="Times New Roman"/>
            <w:color w:val="000000" w:themeColor="text1"/>
            <w:sz w:val="16"/>
            <w:szCs w:val="16"/>
          </w:rPr>
          <w:t>3</w:t>
        </w:r>
      </w:hyperlink>
      <w:r w:rsidRPr="00DB5D0D">
        <w:rPr>
          <w:rFonts w:ascii="Times New Roman" w:hAnsi="Times New Roman"/>
          <w:color w:val="000000" w:themeColor="text1"/>
          <w:sz w:val="16"/>
          <w:szCs w:val="16"/>
        </w:rPr>
        <w:t>] Приложение не публикуется (см. там же, Л. 178</w:t>
      </w:r>
      <w:r w:rsidRPr="00DB5D0D">
        <w:rPr>
          <w:rFonts w:ascii="Times New Roman" w:hAnsi="Times New Roman"/>
          <w:color w:val="000000" w:themeColor="text1"/>
          <w:sz w:val="16"/>
          <w:szCs w:val="16"/>
        </w:rPr>
        <w:noBreakHyphen/>
        <w:t>179).</w:t>
      </w:r>
    </w:p>
    <w:p w14:paraId="2603EDBE" w14:textId="77777777" w:rsidR="00ED1BC9" w:rsidRPr="00DB5D0D" w:rsidRDefault="00ED1BC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РГАЭ. Ф. 4372. Оп. 92. Д. 136. Л. 173-177. Заверенная копия (17783).</w:t>
      </w:r>
    </w:p>
    <w:p w14:paraId="7FC45681" w14:textId="77777777" w:rsidR="00ED1BC9" w:rsidRPr="00DB5D0D" w:rsidRDefault="00ED1BC9" w:rsidP="00DB5D0D">
      <w:pPr>
        <w:spacing w:after="0" w:line="240" w:lineRule="auto"/>
        <w:jc w:val="both"/>
        <w:rPr>
          <w:rFonts w:ascii="Times New Roman" w:hAnsi="Times New Roman"/>
          <w:color w:val="000000" w:themeColor="text1"/>
          <w:sz w:val="16"/>
          <w:szCs w:val="16"/>
        </w:rPr>
      </w:pPr>
    </w:p>
    <w:p w14:paraId="1CDC1A25" w14:textId="68DC9252" w:rsidR="003F15FA" w:rsidRPr="00DB5D0D" w:rsidRDefault="003F15FA" w:rsidP="00DB5D0D">
      <w:pPr>
        <w:spacing w:after="0" w:line="240" w:lineRule="auto"/>
        <w:jc w:val="both"/>
        <w:rPr>
          <w:rFonts w:ascii="Times New Roman" w:hAnsi="Times New Roman"/>
          <w:i/>
          <w:iCs/>
          <w:color w:val="000000" w:themeColor="text1"/>
          <w:sz w:val="16"/>
          <w:szCs w:val="16"/>
        </w:rPr>
      </w:pPr>
      <w:r w:rsidRPr="00DB5D0D">
        <w:rPr>
          <w:rFonts w:ascii="Times New Roman" w:hAnsi="Times New Roman"/>
          <w:i/>
          <w:iCs/>
          <w:color w:val="000000" w:themeColor="text1"/>
          <w:sz w:val="16"/>
          <w:szCs w:val="16"/>
        </w:rPr>
        <w:t>Армия:</w:t>
      </w:r>
    </w:p>
    <w:p w14:paraId="3673DD1C" w14:textId="77777777" w:rsidR="003F15FA" w:rsidRPr="00DB5D0D" w:rsidRDefault="003F15FA" w:rsidP="00DB5D0D">
      <w:pPr>
        <w:spacing w:after="0" w:line="240" w:lineRule="auto"/>
        <w:jc w:val="both"/>
        <w:rPr>
          <w:rFonts w:ascii="Times New Roman" w:hAnsi="Times New Roman"/>
          <w:i/>
          <w:iCs/>
          <w:color w:val="000000" w:themeColor="text1"/>
          <w:sz w:val="16"/>
          <w:szCs w:val="16"/>
        </w:rPr>
      </w:pPr>
    </w:p>
    <w:p w14:paraId="70E64ED2"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августа 1940 г.</w:t>
      </w:r>
    </w:p>
    <w:p w14:paraId="4E6AB1DE"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Секретно</w:t>
      </w:r>
    </w:p>
    <w:p w14:paraId="6E367AEC"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Экз. № 1</w:t>
      </w:r>
    </w:p>
    <w:p w14:paraId="3B169171"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Политбюро ЦК ВКП(б) товарищу Сталину</w:t>
      </w:r>
    </w:p>
    <w:p w14:paraId="6BD6707E"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Председателю СНК СССР товарищу Молотову</w:t>
      </w:r>
    </w:p>
    <w:p w14:paraId="1CA686D0"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Германский военно-воздушный атташе полковник Ашенбреннер обратился с просьбой показать ему авиационные части, разрешить летную тренировку на наших самолетах и ознакомить с опытными самолетами. Кроме того, технический отдел германского авиационного министерства просит дать возможность двум германским инженерам, вместе с полковником Ашенбреннер посетить наши авиационные заводы.</w:t>
      </w:r>
    </w:p>
    <w:p w14:paraId="3B8EA8EA"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Свои просьбы немцы мотивируют тем, что наши командиры и инженеры, бывшие за последнее время в Германии, в связи с закупками, осмотрели почти все отрасли авиационной промышленности,  а помощник военного атташе по авиации в Германии полковник Скорняков осмотрел авиационные части (справка прилагается).</w:t>
      </w:r>
    </w:p>
    <w:p w14:paraId="6AF2DA31"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 своей стороны полагал бы возможным полковнику Ашенбреннер и его помощнику показать три авиационных полка и Военно-воздушную академию имени Жуковского.</w:t>
      </w:r>
    </w:p>
    <w:p w14:paraId="01A98B0E"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Что же касается его просьбы о летной практике и ознакомлении с нашими опытными самолетами считаю, что эту просьбу следует отклонить.</w:t>
      </w:r>
    </w:p>
    <w:p w14:paraId="6048584C"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Просьбу технического отдела германского авиационного министерства об осмотре авиационных заводов двумя инженерами и полковником Ашенбреннер по моему следует также отклонить, так как осмотр объектов германской авиационной промышленности нашими людьми был связан с нашими авиационными заказами в Германии, чего немцы не делают в СССР. Прошу указаний.</w:t>
      </w:r>
    </w:p>
    <w:p w14:paraId="52704F00"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Маршал Советского Союза С. Тимошенко</w:t>
      </w:r>
    </w:p>
    <w:p w14:paraId="39938DD0"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АП РФ. Ф. 3. On. 64. Д. 678. Л. 91. Подлинник.</w:t>
      </w:r>
    </w:p>
    <w:p w14:paraId="6CB44418"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w:t>
      </w:r>
    </w:p>
    <w:p w14:paraId="5AA53D42"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Справка об авиационных объектах, осмотренных помощником военного атташе по авиации в Германии полковником Скорняковым в период с октября 1939 г. по май 1940 г.</w:t>
      </w:r>
    </w:p>
    <w:p w14:paraId="102C0697"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 позднее 8 августа 1940 г.2</w:t>
      </w:r>
    </w:p>
    <w:p w14:paraId="04057AC4"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Секретно</w:t>
      </w:r>
    </w:p>
    <w:p w14:paraId="6143759C"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Подземный узел управления Геринга и казармы авиачастей.</w:t>
      </w:r>
    </w:p>
    <w:p w14:paraId="7403DBA7"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Бомбардировочная авиагруппа (Х-Ш) в Гиссене.</w:t>
      </w:r>
    </w:p>
    <w:p w14:paraId="530E8AC8"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Авиаотряд дальних разведчиков (Д-17) в Кобленце.</w:t>
      </w:r>
    </w:p>
    <w:p w14:paraId="6FEEF0E5"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Эскадрилья пикировщиков (10-87) в Кёльне.</w:t>
      </w:r>
    </w:p>
    <w:p w14:paraId="3C9C8404"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Штаб ПВО промышленной области и участок противовоздушной обороны района Дюссельдорф.</w:t>
      </w:r>
    </w:p>
    <w:p w14:paraId="5B816CFC" w14:textId="77777777" w:rsidR="003F15FA" w:rsidRPr="00DB5D0D" w:rsidRDefault="003F15F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АП РФ. Ф. 3. Оп. 64. Д. 678. Л.92. Копия (20872).</w:t>
      </w:r>
    </w:p>
    <w:p w14:paraId="0F3EF018" w14:textId="77777777" w:rsidR="003F15FA" w:rsidRPr="00DB5D0D" w:rsidRDefault="003F15FA" w:rsidP="00DB5D0D">
      <w:pPr>
        <w:spacing w:after="0" w:line="240" w:lineRule="auto"/>
        <w:jc w:val="both"/>
        <w:rPr>
          <w:rFonts w:ascii="Times New Roman" w:hAnsi="Times New Roman"/>
          <w:color w:val="0070C0"/>
          <w:sz w:val="16"/>
          <w:szCs w:val="16"/>
        </w:rPr>
      </w:pPr>
    </w:p>
    <w:p w14:paraId="2A379F51" w14:textId="42E3C11A"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2E7BFD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FB68326"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в 1940 году в США совершается первый коммерческий полет на самолете с искусственно поддерживаемым давлением внутри салона - Боинг 307 В (14977).</w:t>
      </w:r>
    </w:p>
    <w:p w14:paraId="17D23AEC"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772B3BC9"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производство самолетов в США достигло 900 в месяц (2244,6).</w:t>
      </w:r>
    </w:p>
    <w:p w14:paraId="50A175DF"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5D33BC8F"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в 1940 году начинается операция "Адлертаг" ("День орла") - воздушная война против Британии, "битва за Англию". С августа 1940 по май 1941 немецкая авиация совершит 46 тысяч вылетов, сбросит 60 тысяч бомб. Будет убито и ранено 86 тысяч человек, повреждено свыше миллиона зданий (14977).</w:t>
      </w:r>
    </w:p>
    <w:p w14:paraId="24D59DE8"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32178C99"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состоялся первый массовый налет на Англию в рамках Битвы за Британию (2100). Это была операция Удар орла и Г.Геринг приказал уничтожить систему ПВО (истребители и радары) за 4 дня (2244,6).</w:t>
      </w:r>
    </w:p>
    <w:p w14:paraId="4C798FB7"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6E8B39EB"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в 1940 году произошли крупные воздушные бои над конвоями у островаУайт. Этот день англичане считают началом "битвы за Англию". На эту дату Истребительное командование располагало 720 самолетами. "Харрикейны", "Спитфайры" и все прочие среди них соотносились как 5:3:1. Им противостояли три воздушных флота немцев - 2-й, 3-й и 5-й, общей численностью 2700 машин, из них 970 истребителей (при боеспособности 80-90%). Так вот, если отсчитывать дату по-английски, то первые выстрелы в "битве за Англию" сделали именно "Харрикейны". 8 августа день начался с того, что группа пикировщиков «Ju 87» в сопровождении истребителей «Bf 109» и «Вf 110С» появилась у островаУайт, намереваясь сбросить бомбы на шедший у берега конвой. Немецкие самолеты засекла одна из береговых радиолокационных станций. Наперерез противнику взлетела эскадрилья "Харрикейнов" из Уэстхэмпнетта. Над конвоем она атаковала немцев. За "Харрикейнами" к месту боя прибыли "Спитфайры", немцы тоже пустили в ход солидное подкрепление. В итоге, только с английской стороны в схватке участвовали пять эскадрилий. В этот же день самолеты люфтваффе крупными силами бомбили порт в Дувре и еще один конвой в устье Темзы. Немудрено, что англичане считают 8-е днем начала "битвы за Англию". Тем более что с этого момента все крупные удары сопровождались попытками подавить систему ПВО - разрушить РЛС и взлетно-посадочные полосы аэродромов истребителей. 12 августа налетам подверглись наиболее важные РЛС на южном и юго-восточном побережье и крупные аэродромы в графстве Кент. Одна станция была уничтожена и четыре повреждены, три аэродрома работали вполсилы.</w:t>
      </w:r>
    </w:p>
    <w:p w14:paraId="6E39CF6C"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Сочтя это достаточным успехом, Геринг начал операцию "Адлер ангрифф" (14977).</w:t>
      </w:r>
    </w:p>
    <w:p w14:paraId="3AD76788"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74ABABA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августа 1940 профашистское правительство Франции арестовало бывших премьер-министров Л. Блюма и Э. Даладье (4962).</w:t>
      </w:r>
    </w:p>
    <w:p w14:paraId="78E4873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72255F9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ED2014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986A7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Нач. штаба 1 отд. НИИ ВВС КА Стадник писал письмо N 1/0744 Нач. ГУ ВВС КА и Зам НКАП, а т. ГК Зав. 1 А.И.М. и Ст. военпреду на Заводе 1:</w:t>
      </w:r>
    </w:p>
    <w:p w14:paraId="3DD1DC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"Препровождается заключение по эскизному проекту самолета ПБШ-1 АМ-38." (2063,1).</w:t>
      </w:r>
    </w:p>
    <w:p w14:paraId="370EE88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FA51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года Зам. начальника ГУ ВВС генерал-лейтенант авиации Рычагов утвердил Отчет по проведению в Вазиани (ЗАКВО) сборов по бомбометанию с пикирования с самолетов СБ и ДБ-3</w:t>
      </w:r>
    </w:p>
    <w:p w14:paraId="0B0889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19D68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сборов – в/инженер 3 ранга Минаков</w:t>
      </w:r>
    </w:p>
    <w:p w14:paraId="6ED137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B4C27C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Проведенные сборы полностью подтвердили практическую целесообразность использования СБ и ДБ-3 в качестве пикирующих бомбардировщиков, как временного средства, обеспечивающего повышение меткости бомбометания и дающего возможность готовить специальные кадры пикирующих бомбардировщиков (4381).</w:t>
      </w:r>
    </w:p>
    <w:p w14:paraId="639F19A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69A892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вышел приказ по заводу 125 дир. завода Иосиловича:</w:t>
      </w:r>
    </w:p>
    <w:p w14:paraId="02FFBF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зав. испытаний машины 47/10 назначаю комиссию под председательством ГИ В.Т.Редина. Ви Демидович, вл Тихомиров." (2698,101).</w:t>
      </w:r>
    </w:p>
    <w:p w14:paraId="285C9D3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407FF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августа 1940 г. с самолета №47/11 Иркутский авиазавод №125 начал производить окраску СБ в защитный цвет. Таким образом в Иркутске окрасили 195 СБ в 1940 г, и 168 - в 1941 г., то есть всего 363 самолета (12027).</w:t>
      </w:r>
    </w:p>
    <w:p w14:paraId="41DB1AC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D9EEE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9 августа 1940 был утвержден отчет о гос. испытаниях ЛаГГ-3 М105Ф (796,8).</w:t>
      </w:r>
    </w:p>
    <w:p w14:paraId="2540E18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517B8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закончили работы по доработке И-301-2 и вывели машину на аэродром для наземных испытаний, которые шли до 11 августа 1940 (1204,74).</w:t>
      </w:r>
    </w:p>
    <w:p w14:paraId="3A0C02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через 3 дня во время первого вылета машину сломали (173,319).</w:t>
      </w:r>
    </w:p>
    <w:p w14:paraId="79C993F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53F2B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года во время заводских испытаний потерпел аварию самолет И-26 М-105 П завода № 301. После посадки во время движения начал складываться левый подкос ноги шасси, затем сложилась правая нога.</w:t>
      </w:r>
    </w:p>
    <w:p w14:paraId="2371B8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требует заводского ремонта. Комиссия установила, что конструкция замка ноги неудовлетворительная. Член комиссии майор Мищенко, летчик-испытатель ГУ ВВС КА, указывает, что аналогичные случаи уже бывали на самолетах И-26 завода 115 на центральном аэродроме в Москве в 1940 году» (Самарский филиал РГАНТД. Ф. Р-217. Оп. 1-6. Д. 26. Л. 14.) (11672).</w:t>
      </w:r>
    </w:p>
    <w:p w14:paraId="5CB696A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3BDE3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года дивинженер Сакриер писал письмо № 553543с членам Совета по оборонной промышленности Репину А.К. и Горемыкину</w:t>
      </w:r>
    </w:p>
    <w:p w14:paraId="06C107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И-26 в развале мотора устанавливается 20 мм моторная пушка ШВАК.</w:t>
      </w:r>
    </w:p>
    <w:p w14:paraId="3653E2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нормального питания патронами к пушке предусмотрен специальный подтяг.</w:t>
      </w:r>
    </w:p>
    <w:p w14:paraId="4B34F6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моторная пушка ШВАК изготовляется на заводе № 2 в Коврове (кстати говоря изготовление ее идет неудовлетворительно). Однако подтяг к этой пушке завод № 2 отказывается делать. НКАП же отказывается принимать пушки без подтяга и не согласен ее делать у себя. Договор между НКАП и НКВ на изготовление этих пушек не оформляется. В результате под угрозой срыва находится выпуск самолетов И-26. В частности на заводе № 301 скопилось уже около десятка готовых самолетов, несколько десятков самолетов находятся в заделе. Пушек же ШВАК на заводе № 301 нет и завод совершенно дезориентирован в обеспечении его пушками.</w:t>
      </w:r>
    </w:p>
    <w:p w14:paraId="49DD03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 знаете об особом внимании, оказываемом Правительством к скорейшему выпуску самолета И-26. Поэтому я обращаюсь к Вам с настоятельной просьбой разрешить вопрос:</w:t>
      </w:r>
    </w:p>
    <w:p w14:paraId="3EDABB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 скорейшем изготовлении подтяга с указанием, кто его должен делать;</w:t>
      </w:r>
    </w:p>
    <w:p w14:paraId="685264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 форсировании выпуска моторных пушек к самолету И-26;</w:t>
      </w:r>
    </w:p>
    <w:p w14:paraId="3BEE34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 оформлении договора между НКАП и НКВ по поставке моторных пушек ШВАК самолетным заводам.</w:t>
      </w:r>
    </w:p>
    <w:p w14:paraId="3C665C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особой остроты и важности затронутого вопроса, считал бы целесообразным доложить по вашей линии положение дела Вознесенскому.</w:t>
      </w:r>
    </w:p>
    <w:p w14:paraId="3E08F3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принятых Вами мерах прошу не отказать в любезности поставить меня в известность (3377, 42-43).</w:t>
      </w:r>
    </w:p>
    <w:p w14:paraId="78772C0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EE1A9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9 августа 1940 на завод № 301 не было поставлено ни одной мотор-пушки. Для обеспечения нормального питания патронами к пушке был предусмотрен специальный подтяг. Завод № 2 в Коврове, которому были переданы чертежи для серии, делать подтяг отказывался. НКАП категорически не принимал пушки без этого узла и не соглашался изготовлять его своими силами. Завод № 2 должен был выпустить в первом квартале 1940 г. 25 мотор-пушек. К августу их было собрано 20 штук, но военная приемка, как и НКАП, отказывалась все принимать без механизма подтяга и механизма пневмоперезарядки. Имея готовые машины первой серии на аэродроме и задел в цехах, завод № 301 был совершенно дезориентирован в вопросе снабжения пушками.</w:t>
      </w:r>
    </w:p>
    <w:p w14:paraId="024063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дальнейшем изменения и переделки продолжались. На I августа I940 г. маслосистема изменялась семь раз, воздушная система - четыре раза, вооружение и капоты мотора - по два раза. В августе стали устанавливать воздушный компрессор АК-50, так как АК-30 не обеспечивал необходимого для уборки шасси на взлете давления воздуха. Начиная с первой машины, ввели весовую компенсацию в крыле и руле высоты. В сентябре доработали стойки шасси, добавили новый люк в фюзеляже для подхода к во- дорадиатору, вновь изменили маслосистему и т.д. и т.п. Всего с I февраля по I октября 1940 г. в чертежи И-26 было внесено 3950 изменений, из них:</w:t>
      </w:r>
    </w:p>
    <w:p w14:paraId="7B23E8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конструктивных ...300 штук;</w:t>
      </w:r>
    </w:p>
    <w:p w14:paraId="2B9757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производственно-технологических изменений ...700 штук;</w:t>
      </w:r>
    </w:p>
    <w:p w14:paraId="67FB9D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исправлений в чертежах по причинам выявленных неувязок размеров ...2950 штук.</w:t>
      </w:r>
    </w:p>
    <w:p w14:paraId="3ADFA4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Только с 11 по 27 сентября I940 г. десять истребителей И-26 первой серии завода № 301 были облетаны и приняты военными представителями. Самолеты незамедлительно направили на войсковые испытания, которые проводились в Кубинке в 11-м истребительном авиаполку (иап) с октября по ноябрь 1940 г. включительно.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30BB21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15FC7A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11E9E3C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4D51C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в ходе заводских испытаний И-200 А.И.М, которые проходили с 31 марта по 17 августа 1940, на И-200-2 был выполнен полет на скороподъемность (2988).</w:t>
      </w:r>
    </w:p>
    <w:p w14:paraId="0EB012C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3CC66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вышел приказ НКАП N 411c, согласно которому в целях сокращения сроков проектирования опытных самолетов и создания наилучших условий для выполнения запросов КБ в отношении аэродинамических продувок и исследований, а также в целях равномерного распределения промышленных заданий по аэродинамическим лабораториям и разгрузки новых труб было приказано прикрепить аэродинамические лаборатории и заводам и КБ для постоянного и первоочередного их обслуживания. С.В.И. как ГК ОКБ завода 39 вместе с Н.Н.П. был прикреплен к ЦАГИ - лаборатории N 2, труба Т-103 (411,27).</w:t>
      </w:r>
    </w:p>
    <w:p w14:paraId="2390CD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Конструкторы по заводам сидели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916"/>
        <w:gridCol w:w="2939"/>
      </w:tblGrid>
      <w:tr w:rsidR="007D5DF8" w:rsidRPr="00DB5D0D" w14:paraId="49E6E05C" w14:textId="77777777" w:rsidTr="00E543D0">
        <w:tc>
          <w:tcPr>
            <w:tcW w:w="1916" w:type="dxa"/>
            <w:tcBorders>
              <w:top w:val="single" w:sz="12" w:space="0" w:color="auto"/>
            </w:tcBorders>
          </w:tcPr>
          <w:p w14:paraId="0536A0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1916" w:type="dxa"/>
            <w:tcBorders>
              <w:top w:val="single" w:sz="12" w:space="0" w:color="auto"/>
            </w:tcBorders>
          </w:tcPr>
          <w:p w14:paraId="1BA8F9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w:t>
            </w:r>
          </w:p>
        </w:tc>
        <w:tc>
          <w:tcPr>
            <w:tcW w:w="2939" w:type="dxa"/>
            <w:tcBorders>
              <w:top w:val="single" w:sz="12" w:space="0" w:color="auto"/>
            </w:tcBorders>
          </w:tcPr>
          <w:p w14:paraId="3C6D58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Лаборатория</w:t>
            </w:r>
          </w:p>
        </w:tc>
      </w:tr>
      <w:tr w:rsidR="007D5DF8" w:rsidRPr="00DB5D0D" w14:paraId="1BB4DBD2" w14:textId="77777777" w:rsidTr="00E543D0">
        <w:tc>
          <w:tcPr>
            <w:tcW w:w="1916" w:type="dxa"/>
          </w:tcPr>
          <w:p w14:paraId="393A06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ОКБ</w:t>
            </w:r>
          </w:p>
        </w:tc>
        <w:tc>
          <w:tcPr>
            <w:tcW w:w="1916" w:type="dxa"/>
          </w:tcPr>
          <w:p w14:paraId="020C0D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Архангельский</w:t>
            </w:r>
          </w:p>
        </w:tc>
        <w:tc>
          <w:tcPr>
            <w:tcW w:w="2939" w:type="dxa"/>
          </w:tcPr>
          <w:p w14:paraId="2380B5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ЦАГИ-1, Т-1, Т-5</w:t>
            </w:r>
          </w:p>
        </w:tc>
      </w:tr>
      <w:tr w:rsidR="007D5DF8" w:rsidRPr="00DB5D0D" w14:paraId="331BA527" w14:textId="77777777" w:rsidTr="00E543D0">
        <w:tc>
          <w:tcPr>
            <w:tcW w:w="1916" w:type="dxa"/>
          </w:tcPr>
          <w:p w14:paraId="0461D3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 КБ</w:t>
            </w:r>
          </w:p>
        </w:tc>
        <w:tc>
          <w:tcPr>
            <w:tcW w:w="1916" w:type="dxa"/>
          </w:tcPr>
          <w:p w14:paraId="3806D7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Кочеригин</w:t>
            </w:r>
          </w:p>
        </w:tc>
        <w:tc>
          <w:tcPr>
            <w:tcW w:w="2939" w:type="dxa"/>
          </w:tcPr>
          <w:p w14:paraId="798D0C3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9A33835" w14:textId="77777777" w:rsidTr="00E543D0">
        <w:tc>
          <w:tcPr>
            <w:tcW w:w="1916" w:type="dxa"/>
          </w:tcPr>
          <w:p w14:paraId="469BA2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 КБ</w:t>
            </w:r>
          </w:p>
        </w:tc>
        <w:tc>
          <w:tcPr>
            <w:tcW w:w="1916" w:type="dxa"/>
          </w:tcPr>
          <w:p w14:paraId="5BA6D6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Беляев</w:t>
            </w:r>
          </w:p>
        </w:tc>
        <w:tc>
          <w:tcPr>
            <w:tcW w:w="2939" w:type="dxa"/>
          </w:tcPr>
          <w:p w14:paraId="2A910CC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A460F90" w14:textId="77777777" w:rsidTr="00E543D0">
        <w:tc>
          <w:tcPr>
            <w:tcW w:w="1916" w:type="dxa"/>
          </w:tcPr>
          <w:p w14:paraId="25B018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 ОТБ</w:t>
            </w:r>
          </w:p>
        </w:tc>
        <w:tc>
          <w:tcPr>
            <w:tcW w:w="1916" w:type="dxa"/>
          </w:tcPr>
          <w:p w14:paraId="6FB832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39" w:type="dxa"/>
          </w:tcPr>
          <w:p w14:paraId="0888919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6875012" w14:textId="77777777" w:rsidTr="00E543D0">
        <w:tc>
          <w:tcPr>
            <w:tcW w:w="1916" w:type="dxa"/>
          </w:tcPr>
          <w:p w14:paraId="6CD012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 ОКБ</w:t>
            </w:r>
          </w:p>
        </w:tc>
        <w:tc>
          <w:tcPr>
            <w:tcW w:w="1916" w:type="dxa"/>
          </w:tcPr>
          <w:p w14:paraId="0574F0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Ильюшин</w:t>
            </w:r>
          </w:p>
        </w:tc>
        <w:tc>
          <w:tcPr>
            <w:tcW w:w="2939" w:type="dxa"/>
          </w:tcPr>
          <w:p w14:paraId="724830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ЦАГИ-2, Т-103</w:t>
            </w:r>
          </w:p>
        </w:tc>
      </w:tr>
      <w:tr w:rsidR="007D5DF8" w:rsidRPr="00DB5D0D" w14:paraId="0AAFC3C9" w14:textId="77777777" w:rsidTr="00E543D0">
        <w:tc>
          <w:tcPr>
            <w:tcW w:w="1916" w:type="dxa"/>
          </w:tcPr>
          <w:p w14:paraId="2017AE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 ОКБ</w:t>
            </w:r>
          </w:p>
        </w:tc>
        <w:tc>
          <w:tcPr>
            <w:tcW w:w="1916" w:type="dxa"/>
          </w:tcPr>
          <w:p w14:paraId="479FE6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Поликарпов</w:t>
            </w:r>
          </w:p>
        </w:tc>
        <w:tc>
          <w:tcPr>
            <w:tcW w:w="2939" w:type="dxa"/>
          </w:tcPr>
          <w:p w14:paraId="5C6786E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5D1755E" w14:textId="77777777" w:rsidTr="00E543D0">
        <w:tc>
          <w:tcPr>
            <w:tcW w:w="1916" w:type="dxa"/>
          </w:tcPr>
          <w:p w14:paraId="13F6A4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ОКБ</w:t>
            </w:r>
          </w:p>
        </w:tc>
        <w:tc>
          <w:tcPr>
            <w:tcW w:w="1916" w:type="dxa"/>
          </w:tcPr>
          <w:p w14:paraId="780DC7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Микоян</w:t>
            </w:r>
          </w:p>
        </w:tc>
        <w:tc>
          <w:tcPr>
            <w:tcW w:w="2939" w:type="dxa"/>
          </w:tcPr>
          <w:p w14:paraId="43AF44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МАИ</w:t>
            </w:r>
          </w:p>
        </w:tc>
      </w:tr>
      <w:tr w:rsidR="007D5DF8" w:rsidRPr="00DB5D0D" w14:paraId="48712E6C" w14:textId="77777777" w:rsidTr="00E543D0">
        <w:tc>
          <w:tcPr>
            <w:tcW w:w="1916" w:type="dxa"/>
          </w:tcPr>
          <w:p w14:paraId="3F9073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 ОКБ</w:t>
            </w:r>
          </w:p>
        </w:tc>
        <w:tc>
          <w:tcPr>
            <w:tcW w:w="1916" w:type="dxa"/>
          </w:tcPr>
          <w:p w14:paraId="239EC7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Яковлев</w:t>
            </w:r>
          </w:p>
        </w:tc>
        <w:tc>
          <w:tcPr>
            <w:tcW w:w="2939" w:type="dxa"/>
          </w:tcPr>
          <w:p w14:paraId="1D650B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7EE1BEE" w14:textId="77777777" w:rsidTr="00E543D0">
        <w:tc>
          <w:tcPr>
            <w:tcW w:w="1916" w:type="dxa"/>
          </w:tcPr>
          <w:p w14:paraId="390EBD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 ОКБ</w:t>
            </w:r>
          </w:p>
        </w:tc>
        <w:tc>
          <w:tcPr>
            <w:tcW w:w="1916" w:type="dxa"/>
          </w:tcPr>
          <w:p w14:paraId="0599EF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Яценко</w:t>
            </w:r>
          </w:p>
        </w:tc>
        <w:tc>
          <w:tcPr>
            <w:tcW w:w="2939" w:type="dxa"/>
          </w:tcPr>
          <w:p w14:paraId="7D8665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КАИ</w:t>
            </w:r>
          </w:p>
        </w:tc>
      </w:tr>
      <w:tr w:rsidR="007D5DF8" w:rsidRPr="00DB5D0D" w14:paraId="46FDE565" w14:textId="77777777" w:rsidTr="00E543D0">
        <w:tc>
          <w:tcPr>
            <w:tcW w:w="1916" w:type="dxa"/>
          </w:tcPr>
          <w:p w14:paraId="74B253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 ОКБ</w:t>
            </w:r>
          </w:p>
        </w:tc>
        <w:tc>
          <w:tcPr>
            <w:tcW w:w="1916" w:type="dxa"/>
          </w:tcPr>
          <w:p w14:paraId="7843C1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Боровков</w:t>
            </w:r>
          </w:p>
        </w:tc>
        <w:tc>
          <w:tcPr>
            <w:tcW w:w="2939" w:type="dxa"/>
          </w:tcPr>
          <w:p w14:paraId="5A7148A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8C4AAA1" w14:textId="77777777" w:rsidTr="00E543D0">
        <w:tc>
          <w:tcPr>
            <w:tcW w:w="1916" w:type="dxa"/>
          </w:tcPr>
          <w:p w14:paraId="155637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ОКБ</w:t>
            </w:r>
          </w:p>
        </w:tc>
        <w:tc>
          <w:tcPr>
            <w:tcW w:w="1916" w:type="dxa"/>
          </w:tcPr>
          <w:p w14:paraId="27A19A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Голубков</w:t>
            </w:r>
          </w:p>
        </w:tc>
        <w:tc>
          <w:tcPr>
            <w:tcW w:w="2939" w:type="dxa"/>
          </w:tcPr>
          <w:p w14:paraId="7DB58B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Лаб. фил. ЦАГИ, Воронеж</w:t>
            </w:r>
          </w:p>
        </w:tc>
      </w:tr>
      <w:tr w:rsidR="007D5DF8" w:rsidRPr="00DB5D0D" w14:paraId="56A52220" w14:textId="77777777" w:rsidTr="00E543D0">
        <w:tc>
          <w:tcPr>
            <w:tcW w:w="1916" w:type="dxa"/>
          </w:tcPr>
          <w:p w14:paraId="6BD2C5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288 ОКБ</w:t>
            </w:r>
          </w:p>
        </w:tc>
        <w:tc>
          <w:tcPr>
            <w:tcW w:w="1916" w:type="dxa"/>
          </w:tcPr>
          <w:p w14:paraId="0FF424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Самсонов</w:t>
            </w:r>
          </w:p>
        </w:tc>
        <w:tc>
          <w:tcPr>
            <w:tcW w:w="2939" w:type="dxa"/>
          </w:tcPr>
          <w:p w14:paraId="241BB9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4BBD493" w14:textId="77777777" w:rsidTr="00E543D0">
        <w:tc>
          <w:tcPr>
            <w:tcW w:w="1916" w:type="dxa"/>
          </w:tcPr>
          <w:p w14:paraId="181B00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ОКБ</w:t>
            </w:r>
          </w:p>
        </w:tc>
        <w:tc>
          <w:tcPr>
            <w:tcW w:w="1916" w:type="dxa"/>
          </w:tcPr>
          <w:p w14:paraId="5EFB07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Четвериков</w:t>
            </w:r>
          </w:p>
        </w:tc>
        <w:tc>
          <w:tcPr>
            <w:tcW w:w="2939" w:type="dxa"/>
          </w:tcPr>
          <w:p w14:paraId="5F5E6E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A9703DC" w14:textId="77777777" w:rsidTr="00E543D0">
        <w:tc>
          <w:tcPr>
            <w:tcW w:w="1916" w:type="dxa"/>
          </w:tcPr>
          <w:p w14:paraId="74D6E4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ОКБ</w:t>
            </w:r>
          </w:p>
        </w:tc>
        <w:tc>
          <w:tcPr>
            <w:tcW w:w="1916" w:type="dxa"/>
          </w:tcPr>
          <w:p w14:paraId="73088E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Бериев</w:t>
            </w:r>
          </w:p>
        </w:tc>
        <w:tc>
          <w:tcPr>
            <w:tcW w:w="2939" w:type="dxa"/>
          </w:tcPr>
          <w:p w14:paraId="2A4F2D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55333A1" w14:textId="77777777" w:rsidTr="00E543D0">
        <w:tc>
          <w:tcPr>
            <w:tcW w:w="1916" w:type="dxa"/>
          </w:tcPr>
          <w:p w14:paraId="4E7BDE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293</w:t>
            </w:r>
          </w:p>
        </w:tc>
        <w:tc>
          <w:tcPr>
            <w:tcW w:w="1916" w:type="dxa"/>
          </w:tcPr>
          <w:p w14:paraId="011384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Болховитинов</w:t>
            </w:r>
          </w:p>
        </w:tc>
        <w:tc>
          <w:tcPr>
            <w:tcW w:w="2939" w:type="dxa"/>
          </w:tcPr>
          <w:p w14:paraId="64C499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Лаб. НИИ ВВС</w:t>
            </w:r>
          </w:p>
        </w:tc>
      </w:tr>
      <w:tr w:rsidR="007D5DF8" w:rsidRPr="00DB5D0D" w14:paraId="70A6D708" w14:textId="77777777" w:rsidTr="00E543D0">
        <w:tc>
          <w:tcPr>
            <w:tcW w:w="1916" w:type="dxa"/>
          </w:tcPr>
          <w:p w14:paraId="43F094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1916" w:type="dxa"/>
          </w:tcPr>
          <w:p w14:paraId="7F89A3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w:t>
            </w:r>
          </w:p>
        </w:tc>
        <w:tc>
          <w:tcPr>
            <w:tcW w:w="2939" w:type="dxa"/>
          </w:tcPr>
          <w:p w14:paraId="5E54A76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5202CAD" w14:textId="77777777" w:rsidTr="00E543D0">
        <w:tc>
          <w:tcPr>
            <w:tcW w:w="1916" w:type="dxa"/>
          </w:tcPr>
          <w:p w14:paraId="4B944C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1916" w:type="dxa"/>
          </w:tcPr>
          <w:p w14:paraId="1337BD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Грушин</w:t>
            </w:r>
          </w:p>
        </w:tc>
        <w:tc>
          <w:tcPr>
            <w:tcW w:w="2939" w:type="dxa"/>
          </w:tcPr>
          <w:p w14:paraId="5C6761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Лаб. ХАИ</w:t>
            </w:r>
          </w:p>
        </w:tc>
      </w:tr>
      <w:tr w:rsidR="007D5DF8" w:rsidRPr="00DB5D0D" w14:paraId="708DFCC7" w14:textId="77777777" w:rsidTr="00E543D0">
        <w:tc>
          <w:tcPr>
            <w:tcW w:w="1916" w:type="dxa"/>
          </w:tcPr>
          <w:p w14:paraId="3E5EA0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w:t>
            </w:r>
          </w:p>
        </w:tc>
        <w:tc>
          <w:tcPr>
            <w:tcW w:w="1916" w:type="dxa"/>
          </w:tcPr>
          <w:p w14:paraId="4F43C6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Камов</w:t>
            </w:r>
          </w:p>
        </w:tc>
        <w:tc>
          <w:tcPr>
            <w:tcW w:w="2939" w:type="dxa"/>
          </w:tcPr>
          <w:p w14:paraId="762124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680D7ED" w14:textId="77777777" w:rsidTr="00E543D0">
        <w:tc>
          <w:tcPr>
            <w:tcW w:w="1916" w:type="dxa"/>
          </w:tcPr>
          <w:p w14:paraId="122747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43</w:t>
            </w:r>
          </w:p>
        </w:tc>
        <w:tc>
          <w:tcPr>
            <w:tcW w:w="1916" w:type="dxa"/>
          </w:tcPr>
          <w:p w14:paraId="07F167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Таиров</w:t>
            </w:r>
          </w:p>
        </w:tc>
        <w:tc>
          <w:tcPr>
            <w:tcW w:w="2939" w:type="dxa"/>
          </w:tcPr>
          <w:p w14:paraId="531ACEE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62C2C82" w14:textId="77777777" w:rsidTr="00E543D0">
        <w:tc>
          <w:tcPr>
            <w:tcW w:w="1916" w:type="dxa"/>
          </w:tcPr>
          <w:p w14:paraId="57E86E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ВВА ОКБ</w:t>
            </w:r>
          </w:p>
        </w:tc>
        <w:tc>
          <w:tcPr>
            <w:tcW w:w="1916" w:type="dxa"/>
          </w:tcPr>
          <w:p w14:paraId="0AEA92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Козлов</w:t>
            </w:r>
          </w:p>
        </w:tc>
        <w:tc>
          <w:tcPr>
            <w:tcW w:w="2939" w:type="dxa"/>
          </w:tcPr>
          <w:p w14:paraId="640606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Лаб. ВВА</w:t>
            </w:r>
          </w:p>
        </w:tc>
      </w:tr>
      <w:tr w:rsidR="007D5DF8" w:rsidRPr="00DB5D0D" w14:paraId="09F37E81" w14:textId="77777777" w:rsidTr="00E543D0">
        <w:tc>
          <w:tcPr>
            <w:tcW w:w="1916" w:type="dxa"/>
            <w:tcBorders>
              <w:bottom w:val="single" w:sz="12" w:space="0" w:color="auto"/>
            </w:tcBorders>
          </w:tcPr>
          <w:p w14:paraId="77B459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МАИ ОКБ</w:t>
            </w:r>
          </w:p>
        </w:tc>
        <w:tc>
          <w:tcPr>
            <w:tcW w:w="1916" w:type="dxa"/>
            <w:tcBorders>
              <w:bottom w:val="single" w:sz="12" w:space="0" w:color="auto"/>
            </w:tcBorders>
          </w:tcPr>
          <w:p w14:paraId="5CCA5D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Братухин (411,28)</w:t>
            </w:r>
          </w:p>
        </w:tc>
        <w:tc>
          <w:tcPr>
            <w:tcW w:w="2939" w:type="dxa"/>
            <w:tcBorders>
              <w:bottom w:val="single" w:sz="12" w:space="0" w:color="auto"/>
            </w:tcBorders>
          </w:tcPr>
          <w:p w14:paraId="5A5F02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5D48C2F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Начальнику ЦАГИ генерал-майору авиации тов. ПЕТРОВУ обеспечить методическое руководство всеми аэродинамическими лабораториями, выполняющими задания КБ по опытному самолетостроению.</w:t>
      </w:r>
    </w:p>
    <w:p w14:paraId="4B6BC4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Всем лабораториям производить продувки и исследования на основе хозрасчета по договорам с Конструкторским Бюро.</w:t>
      </w:r>
    </w:p>
    <w:p w14:paraId="006EEA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Загрузку лабораторий, неприкрепленных к заводам и КБ, промышленными заданиями производить с разрешения Заместителя Народного Комиссара тов. ЯКОВЛЕВА.</w:t>
      </w:r>
    </w:p>
    <w:p w14:paraId="3A329C7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Работы но продувкам, уже принятые лабораториями на исполнение, должны быть закончены принявшими их лабора</w:t>
      </w:r>
      <w:r w:rsidRPr="00DB5D0D">
        <w:rPr>
          <w:rFonts w:ascii="Times New Roman" w:hAnsi="Times New Roman"/>
          <w:color w:val="000000" w:themeColor="text1"/>
          <w:sz w:val="16"/>
          <w:szCs w:val="16"/>
        </w:rPr>
        <w:softHyphen/>
        <w:t>ториями.</w:t>
      </w:r>
    </w:p>
    <w:p w14:paraId="42A9E4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Авиационной Промышленности СССР (411,28).</w:t>
      </w:r>
    </w:p>
    <w:p w14:paraId="0AB5313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2E93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вышел приказ НКАП N 410c, согласно которому вводился единый стандарт амортизационных стоек шасси и костыльных установок (1206).</w:t>
      </w:r>
    </w:p>
    <w:p w14:paraId="69DC908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A06E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была подготовлена справка для ГККО</w:t>
      </w:r>
    </w:p>
    <w:p w14:paraId="1ECB0C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Первое главное управление</w:t>
      </w:r>
    </w:p>
    <w:p w14:paraId="6EA5A5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правительства от 17 сентября 1939 г. за № 346сс действующие самолетные заводы должны быть окончены реконструкцией к 1.7.1941 г. и определено стро</w:t>
      </w:r>
      <w:r w:rsidRPr="00DB5D0D">
        <w:rPr>
          <w:rFonts w:ascii="Times New Roman" w:hAnsi="Times New Roman"/>
          <w:color w:val="000000" w:themeColor="text1"/>
          <w:sz w:val="16"/>
          <w:szCs w:val="16"/>
        </w:rPr>
        <w:softHyphen/>
        <w:t>ительство новых заводов в количестве 9.</w:t>
      </w:r>
    </w:p>
    <w:p w14:paraId="63C23A5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действующие заводы планом 1939 года было предусмотрено капиталовложений 406.350 тыс. руб. Годовой план по этим заводам выполнен на сумму 448.331 тыс. руб.,т.е. на 110,3%.</w:t>
      </w:r>
    </w:p>
    <w:p w14:paraId="2D44A8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отдельным заводам выполнение ялялось следующее: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33"/>
        <w:gridCol w:w="1159"/>
        <w:gridCol w:w="1310"/>
        <w:gridCol w:w="1094"/>
      </w:tblGrid>
      <w:tr w:rsidR="007D5DF8" w:rsidRPr="00DB5D0D" w14:paraId="27AFCD2A" w14:textId="77777777" w:rsidTr="00E543D0">
        <w:trPr>
          <w:trHeight w:val="554"/>
        </w:trPr>
        <w:tc>
          <w:tcPr>
            <w:tcW w:w="3233" w:type="dxa"/>
            <w:tcBorders>
              <w:top w:val="single" w:sz="12" w:space="0" w:color="auto"/>
            </w:tcBorders>
          </w:tcPr>
          <w:p w14:paraId="3E0F2C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w:t>
            </w:r>
          </w:p>
        </w:tc>
        <w:tc>
          <w:tcPr>
            <w:tcW w:w="1159" w:type="dxa"/>
            <w:tcBorders>
              <w:top w:val="single" w:sz="12" w:space="0" w:color="auto"/>
            </w:tcBorders>
          </w:tcPr>
          <w:p w14:paraId="6721B1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на 1939 г.</w:t>
            </w:r>
          </w:p>
        </w:tc>
        <w:tc>
          <w:tcPr>
            <w:tcW w:w="1310" w:type="dxa"/>
            <w:tcBorders>
              <w:top w:val="single" w:sz="12" w:space="0" w:color="auto"/>
            </w:tcBorders>
          </w:tcPr>
          <w:p w14:paraId="1294E7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за 1939 г.</w:t>
            </w:r>
          </w:p>
        </w:tc>
        <w:tc>
          <w:tcPr>
            <w:tcW w:w="1094" w:type="dxa"/>
            <w:tcBorders>
              <w:top w:val="single" w:sz="12" w:space="0" w:color="auto"/>
            </w:tcBorders>
          </w:tcPr>
          <w:p w14:paraId="7585C3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D99D852" w14:textId="77777777" w:rsidTr="00E543D0">
        <w:trPr>
          <w:trHeight w:val="310"/>
        </w:trPr>
        <w:tc>
          <w:tcPr>
            <w:tcW w:w="3233" w:type="dxa"/>
          </w:tcPr>
          <w:p w14:paraId="1E5E82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w:t>
            </w:r>
          </w:p>
        </w:tc>
        <w:tc>
          <w:tcPr>
            <w:tcW w:w="1159" w:type="dxa"/>
          </w:tcPr>
          <w:p w14:paraId="2AC226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21900</w:t>
            </w:r>
          </w:p>
        </w:tc>
        <w:tc>
          <w:tcPr>
            <w:tcW w:w="1310" w:type="dxa"/>
          </w:tcPr>
          <w:p w14:paraId="7545EB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26796</w:t>
            </w:r>
          </w:p>
        </w:tc>
        <w:tc>
          <w:tcPr>
            <w:tcW w:w="1094" w:type="dxa"/>
          </w:tcPr>
          <w:p w14:paraId="16718F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122,3</w:t>
            </w:r>
          </w:p>
        </w:tc>
      </w:tr>
      <w:tr w:rsidR="007D5DF8" w:rsidRPr="00DB5D0D" w14:paraId="130D6FEF" w14:textId="77777777" w:rsidTr="00E543D0">
        <w:trPr>
          <w:trHeight w:val="173"/>
        </w:trPr>
        <w:tc>
          <w:tcPr>
            <w:tcW w:w="3233" w:type="dxa"/>
          </w:tcPr>
          <w:p w14:paraId="320C80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18</w:t>
            </w:r>
          </w:p>
        </w:tc>
        <w:tc>
          <w:tcPr>
            <w:tcW w:w="1159" w:type="dxa"/>
          </w:tcPr>
          <w:p w14:paraId="24AD8F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35849</w:t>
            </w:r>
          </w:p>
        </w:tc>
        <w:tc>
          <w:tcPr>
            <w:tcW w:w="1310" w:type="dxa"/>
          </w:tcPr>
          <w:p w14:paraId="317448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41508</w:t>
            </w:r>
          </w:p>
        </w:tc>
        <w:tc>
          <w:tcPr>
            <w:tcW w:w="1094" w:type="dxa"/>
          </w:tcPr>
          <w:p w14:paraId="5517F4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115,.8</w:t>
            </w:r>
          </w:p>
        </w:tc>
      </w:tr>
      <w:tr w:rsidR="007D5DF8" w:rsidRPr="00DB5D0D" w14:paraId="4B6592AA" w14:textId="77777777" w:rsidTr="00E543D0">
        <w:trPr>
          <w:trHeight w:val="173"/>
        </w:trPr>
        <w:tc>
          <w:tcPr>
            <w:tcW w:w="3233" w:type="dxa"/>
          </w:tcPr>
          <w:p w14:paraId="058BEB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21</w:t>
            </w:r>
          </w:p>
        </w:tc>
        <w:tc>
          <w:tcPr>
            <w:tcW w:w="1159" w:type="dxa"/>
          </w:tcPr>
          <w:p w14:paraId="63E313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23300</w:t>
            </w:r>
          </w:p>
        </w:tc>
        <w:tc>
          <w:tcPr>
            <w:tcW w:w="1310" w:type="dxa"/>
          </w:tcPr>
          <w:p w14:paraId="1964C7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26190</w:t>
            </w:r>
          </w:p>
        </w:tc>
        <w:tc>
          <w:tcPr>
            <w:tcW w:w="1094" w:type="dxa"/>
          </w:tcPr>
          <w:p w14:paraId="4A416F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112,4</w:t>
            </w:r>
          </w:p>
        </w:tc>
      </w:tr>
      <w:tr w:rsidR="007D5DF8" w:rsidRPr="00DB5D0D" w14:paraId="2B8C078A" w14:textId="77777777" w:rsidTr="00E543D0">
        <w:trPr>
          <w:trHeight w:val="346"/>
        </w:trPr>
        <w:tc>
          <w:tcPr>
            <w:tcW w:w="3233" w:type="dxa"/>
          </w:tcPr>
          <w:p w14:paraId="12B86F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22</w:t>
            </w:r>
          </w:p>
        </w:tc>
        <w:tc>
          <w:tcPr>
            <w:tcW w:w="1159" w:type="dxa"/>
          </w:tcPr>
          <w:p w14:paraId="48A049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49365</w:t>
            </w:r>
          </w:p>
        </w:tc>
        <w:tc>
          <w:tcPr>
            <w:tcW w:w="1310" w:type="dxa"/>
          </w:tcPr>
          <w:p w14:paraId="4820AE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50755</w:t>
            </w:r>
          </w:p>
        </w:tc>
        <w:tc>
          <w:tcPr>
            <w:tcW w:w="1094" w:type="dxa"/>
          </w:tcPr>
          <w:p w14:paraId="28D918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102,8</w:t>
            </w:r>
          </w:p>
        </w:tc>
      </w:tr>
      <w:tr w:rsidR="007D5DF8" w:rsidRPr="00DB5D0D" w14:paraId="54F55EF5" w14:textId="77777777" w:rsidTr="00E543D0">
        <w:trPr>
          <w:trHeight w:val="173"/>
        </w:trPr>
        <w:tc>
          <w:tcPr>
            <w:tcW w:w="3233" w:type="dxa"/>
          </w:tcPr>
          <w:p w14:paraId="3609F4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23</w:t>
            </w:r>
          </w:p>
        </w:tc>
        <w:tc>
          <w:tcPr>
            <w:tcW w:w="1159" w:type="dxa"/>
          </w:tcPr>
          <w:p w14:paraId="36E661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5750</w:t>
            </w:r>
          </w:p>
        </w:tc>
        <w:tc>
          <w:tcPr>
            <w:tcW w:w="1310" w:type="dxa"/>
          </w:tcPr>
          <w:p w14:paraId="3F33DC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5748</w:t>
            </w:r>
          </w:p>
        </w:tc>
        <w:tc>
          <w:tcPr>
            <w:tcW w:w="1094" w:type="dxa"/>
          </w:tcPr>
          <w:p w14:paraId="439C0E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99.9</w:t>
            </w:r>
          </w:p>
        </w:tc>
      </w:tr>
      <w:tr w:rsidR="007D5DF8" w:rsidRPr="00DB5D0D" w14:paraId="53035C76" w14:textId="77777777" w:rsidTr="00E543D0">
        <w:trPr>
          <w:trHeight w:val="173"/>
        </w:trPr>
        <w:tc>
          <w:tcPr>
            <w:tcW w:w="3233" w:type="dxa"/>
          </w:tcPr>
          <w:p w14:paraId="6448B4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30</w:t>
            </w:r>
          </w:p>
        </w:tc>
        <w:tc>
          <w:tcPr>
            <w:tcW w:w="1159" w:type="dxa"/>
          </w:tcPr>
          <w:p w14:paraId="5430F2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27200</w:t>
            </w:r>
          </w:p>
        </w:tc>
        <w:tc>
          <w:tcPr>
            <w:tcW w:w="1310" w:type="dxa"/>
          </w:tcPr>
          <w:p w14:paraId="74E446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31141</w:t>
            </w:r>
          </w:p>
        </w:tc>
        <w:tc>
          <w:tcPr>
            <w:tcW w:w="1094" w:type="dxa"/>
          </w:tcPr>
          <w:p w14:paraId="7471F6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114,4</w:t>
            </w:r>
          </w:p>
        </w:tc>
      </w:tr>
      <w:tr w:rsidR="007D5DF8" w:rsidRPr="00DB5D0D" w14:paraId="07BA68D5" w14:textId="77777777" w:rsidTr="00E543D0">
        <w:trPr>
          <w:trHeight w:val="353"/>
        </w:trPr>
        <w:tc>
          <w:tcPr>
            <w:tcW w:w="3233" w:type="dxa"/>
          </w:tcPr>
          <w:p w14:paraId="42FF0F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31</w:t>
            </w:r>
          </w:p>
        </w:tc>
        <w:tc>
          <w:tcPr>
            <w:tcW w:w="1159" w:type="dxa"/>
          </w:tcPr>
          <w:p w14:paraId="4DFDE7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13620</w:t>
            </w:r>
          </w:p>
        </w:tc>
        <w:tc>
          <w:tcPr>
            <w:tcW w:w="1310" w:type="dxa"/>
          </w:tcPr>
          <w:p w14:paraId="20A291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15806</w:t>
            </w:r>
          </w:p>
        </w:tc>
        <w:tc>
          <w:tcPr>
            <w:tcW w:w="1094" w:type="dxa"/>
          </w:tcPr>
          <w:p w14:paraId="17A3F3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116,0</w:t>
            </w:r>
          </w:p>
        </w:tc>
      </w:tr>
      <w:tr w:rsidR="007D5DF8" w:rsidRPr="00DB5D0D" w14:paraId="7C16A24C" w14:textId="77777777" w:rsidTr="00E543D0">
        <w:trPr>
          <w:trHeight w:val="173"/>
        </w:trPr>
        <w:tc>
          <w:tcPr>
            <w:tcW w:w="3233" w:type="dxa"/>
          </w:tcPr>
          <w:p w14:paraId="155477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39</w:t>
            </w:r>
          </w:p>
        </w:tc>
        <w:tc>
          <w:tcPr>
            <w:tcW w:w="1159" w:type="dxa"/>
          </w:tcPr>
          <w:p w14:paraId="647034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24570</w:t>
            </w:r>
          </w:p>
        </w:tc>
        <w:tc>
          <w:tcPr>
            <w:tcW w:w="1310" w:type="dxa"/>
          </w:tcPr>
          <w:p w14:paraId="3FAA93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26490</w:t>
            </w:r>
          </w:p>
        </w:tc>
        <w:tc>
          <w:tcPr>
            <w:tcW w:w="1094" w:type="dxa"/>
          </w:tcPr>
          <w:p w14:paraId="0DF7F2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107,8</w:t>
            </w:r>
          </w:p>
        </w:tc>
      </w:tr>
      <w:tr w:rsidR="007D5DF8" w:rsidRPr="00DB5D0D" w14:paraId="3863D1EE" w14:textId="77777777" w:rsidTr="00E543D0">
        <w:trPr>
          <w:trHeight w:val="166"/>
        </w:trPr>
        <w:tc>
          <w:tcPr>
            <w:tcW w:w="3233" w:type="dxa"/>
          </w:tcPr>
          <w:p w14:paraId="0B5D3E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47</w:t>
            </w:r>
          </w:p>
        </w:tc>
        <w:tc>
          <w:tcPr>
            <w:tcW w:w="1159" w:type="dxa"/>
          </w:tcPr>
          <w:p w14:paraId="132A65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4070</w:t>
            </w:r>
          </w:p>
        </w:tc>
        <w:tc>
          <w:tcPr>
            <w:tcW w:w="1310" w:type="dxa"/>
          </w:tcPr>
          <w:p w14:paraId="5C8600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3107</w:t>
            </w:r>
          </w:p>
        </w:tc>
        <w:tc>
          <w:tcPr>
            <w:tcW w:w="1094" w:type="dxa"/>
          </w:tcPr>
          <w:p w14:paraId="1BCA3BC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76,3</w:t>
            </w:r>
          </w:p>
        </w:tc>
      </w:tr>
      <w:tr w:rsidR="007D5DF8" w:rsidRPr="00DB5D0D" w14:paraId="5ACCB3E3" w14:textId="77777777" w:rsidTr="00E543D0">
        <w:trPr>
          <w:trHeight w:val="346"/>
        </w:trPr>
        <w:tc>
          <w:tcPr>
            <w:tcW w:w="3233" w:type="dxa"/>
          </w:tcPr>
          <w:p w14:paraId="687957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49</w:t>
            </w:r>
          </w:p>
        </w:tc>
        <w:tc>
          <w:tcPr>
            <w:tcW w:w="1159" w:type="dxa"/>
          </w:tcPr>
          <w:p w14:paraId="1219D5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2330</w:t>
            </w:r>
          </w:p>
        </w:tc>
        <w:tc>
          <w:tcPr>
            <w:tcW w:w="1310" w:type="dxa"/>
          </w:tcPr>
          <w:p w14:paraId="041C3D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1836</w:t>
            </w:r>
          </w:p>
        </w:tc>
        <w:tc>
          <w:tcPr>
            <w:tcW w:w="1094" w:type="dxa"/>
          </w:tcPr>
          <w:p w14:paraId="4A6333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78,8</w:t>
            </w:r>
          </w:p>
        </w:tc>
      </w:tr>
      <w:tr w:rsidR="007D5DF8" w:rsidRPr="00DB5D0D" w14:paraId="40F36CD2" w14:textId="77777777" w:rsidTr="00E543D0">
        <w:trPr>
          <w:trHeight w:val="173"/>
        </w:trPr>
        <w:tc>
          <w:tcPr>
            <w:tcW w:w="3233" w:type="dxa"/>
          </w:tcPr>
          <w:p w14:paraId="7A1DF7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81</w:t>
            </w:r>
          </w:p>
        </w:tc>
        <w:tc>
          <w:tcPr>
            <w:tcW w:w="1159" w:type="dxa"/>
          </w:tcPr>
          <w:p w14:paraId="6AB2F3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8665</w:t>
            </w:r>
          </w:p>
        </w:tc>
        <w:tc>
          <w:tcPr>
            <w:tcW w:w="1310" w:type="dxa"/>
          </w:tcPr>
          <w:p w14:paraId="6E2D84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9964</w:t>
            </w:r>
          </w:p>
        </w:tc>
        <w:tc>
          <w:tcPr>
            <w:tcW w:w="1094" w:type="dxa"/>
          </w:tcPr>
          <w:p w14:paraId="633D47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w:t>
            </w:r>
          </w:p>
        </w:tc>
      </w:tr>
      <w:tr w:rsidR="007D5DF8" w:rsidRPr="00DB5D0D" w14:paraId="6EEE7EF9" w14:textId="77777777" w:rsidTr="00E543D0">
        <w:trPr>
          <w:trHeight w:val="173"/>
        </w:trPr>
        <w:tc>
          <w:tcPr>
            <w:tcW w:w="3233" w:type="dxa"/>
          </w:tcPr>
          <w:p w14:paraId="55A29E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84</w:t>
            </w:r>
          </w:p>
        </w:tc>
        <w:tc>
          <w:tcPr>
            <w:tcW w:w="1159" w:type="dxa"/>
          </w:tcPr>
          <w:p w14:paraId="5A9D5D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22930</w:t>
            </w:r>
          </w:p>
        </w:tc>
        <w:tc>
          <w:tcPr>
            <w:tcW w:w="1310" w:type="dxa"/>
          </w:tcPr>
          <w:p w14:paraId="622670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25139</w:t>
            </w:r>
          </w:p>
        </w:tc>
        <w:tc>
          <w:tcPr>
            <w:tcW w:w="1094" w:type="dxa"/>
          </w:tcPr>
          <w:p w14:paraId="77AE25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109,6</w:t>
            </w:r>
          </w:p>
        </w:tc>
      </w:tr>
      <w:tr w:rsidR="007D5DF8" w:rsidRPr="00DB5D0D" w14:paraId="3E330BF2" w14:textId="77777777" w:rsidTr="00E543D0">
        <w:trPr>
          <w:trHeight w:val="346"/>
        </w:trPr>
        <w:tc>
          <w:tcPr>
            <w:tcW w:w="3233" w:type="dxa"/>
          </w:tcPr>
          <w:p w14:paraId="4E89F6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124</w:t>
            </w:r>
          </w:p>
        </w:tc>
        <w:tc>
          <w:tcPr>
            <w:tcW w:w="1159" w:type="dxa"/>
          </w:tcPr>
          <w:p w14:paraId="1DC5DA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30240</w:t>
            </w:r>
          </w:p>
        </w:tc>
        <w:tc>
          <w:tcPr>
            <w:tcW w:w="1310" w:type="dxa"/>
          </w:tcPr>
          <w:p w14:paraId="4A5BF3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35277</w:t>
            </w:r>
          </w:p>
        </w:tc>
        <w:tc>
          <w:tcPr>
            <w:tcW w:w="1094" w:type="dxa"/>
          </w:tcPr>
          <w:p w14:paraId="448F08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116,7</w:t>
            </w:r>
          </w:p>
        </w:tc>
      </w:tr>
      <w:tr w:rsidR="007D5DF8" w:rsidRPr="00DB5D0D" w14:paraId="42E8A763" w14:textId="77777777" w:rsidTr="00E543D0">
        <w:trPr>
          <w:trHeight w:val="173"/>
        </w:trPr>
        <w:tc>
          <w:tcPr>
            <w:tcW w:w="3233" w:type="dxa"/>
          </w:tcPr>
          <w:p w14:paraId="475E06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125</w:t>
            </w:r>
          </w:p>
        </w:tc>
        <w:tc>
          <w:tcPr>
            <w:tcW w:w="1159" w:type="dxa"/>
          </w:tcPr>
          <w:p w14:paraId="7D3A8F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21000</w:t>
            </w:r>
          </w:p>
        </w:tc>
        <w:tc>
          <w:tcPr>
            <w:tcW w:w="1310" w:type="dxa"/>
          </w:tcPr>
          <w:p w14:paraId="4AA1D5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21749</w:t>
            </w:r>
          </w:p>
        </w:tc>
        <w:tc>
          <w:tcPr>
            <w:tcW w:w="1094" w:type="dxa"/>
          </w:tcPr>
          <w:p w14:paraId="3D8218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103,6</w:t>
            </w:r>
          </w:p>
        </w:tc>
      </w:tr>
      <w:tr w:rsidR="007D5DF8" w:rsidRPr="00DB5D0D" w14:paraId="1F1F2FFA" w14:textId="77777777" w:rsidTr="00E543D0">
        <w:trPr>
          <w:trHeight w:val="180"/>
        </w:trPr>
        <w:tc>
          <w:tcPr>
            <w:tcW w:w="3233" w:type="dxa"/>
          </w:tcPr>
          <w:p w14:paraId="726A68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126</w:t>
            </w:r>
          </w:p>
        </w:tc>
        <w:tc>
          <w:tcPr>
            <w:tcW w:w="1159" w:type="dxa"/>
          </w:tcPr>
          <w:p w14:paraId="7746CA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30300</w:t>
            </w:r>
          </w:p>
        </w:tc>
        <w:tc>
          <w:tcPr>
            <w:tcW w:w="1310" w:type="dxa"/>
          </w:tcPr>
          <w:p w14:paraId="71C7B2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39189</w:t>
            </w:r>
          </w:p>
        </w:tc>
        <w:tc>
          <w:tcPr>
            <w:tcW w:w="1094" w:type="dxa"/>
          </w:tcPr>
          <w:p w14:paraId="150C97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129,3</w:t>
            </w:r>
          </w:p>
        </w:tc>
      </w:tr>
      <w:tr w:rsidR="007D5DF8" w:rsidRPr="00DB5D0D" w14:paraId="4055818C" w14:textId="77777777" w:rsidTr="00E543D0">
        <w:trPr>
          <w:trHeight w:val="346"/>
        </w:trPr>
        <w:tc>
          <w:tcPr>
            <w:tcW w:w="3233" w:type="dxa"/>
          </w:tcPr>
          <w:p w14:paraId="0A805A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135</w:t>
            </w:r>
          </w:p>
        </w:tc>
        <w:tc>
          <w:tcPr>
            <w:tcW w:w="1159" w:type="dxa"/>
          </w:tcPr>
          <w:p w14:paraId="7914CC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11518</w:t>
            </w:r>
          </w:p>
        </w:tc>
        <w:tc>
          <w:tcPr>
            <w:tcW w:w="1310" w:type="dxa"/>
          </w:tcPr>
          <w:p w14:paraId="2DEBDD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11038</w:t>
            </w:r>
          </w:p>
        </w:tc>
        <w:tc>
          <w:tcPr>
            <w:tcW w:w="1094" w:type="dxa"/>
          </w:tcPr>
          <w:p w14:paraId="4C930C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95,8</w:t>
            </w:r>
          </w:p>
        </w:tc>
      </w:tr>
      <w:tr w:rsidR="007D5DF8" w:rsidRPr="00DB5D0D" w14:paraId="2FAB7EC5" w14:textId="77777777" w:rsidTr="00E543D0">
        <w:trPr>
          <w:trHeight w:val="173"/>
        </w:trPr>
        <w:tc>
          <w:tcPr>
            <w:tcW w:w="3233" w:type="dxa"/>
          </w:tcPr>
          <w:p w14:paraId="2B57A9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153</w:t>
            </w:r>
          </w:p>
        </w:tc>
        <w:tc>
          <w:tcPr>
            <w:tcW w:w="1159" w:type="dxa"/>
          </w:tcPr>
          <w:p w14:paraId="5D0140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32750</w:t>
            </w:r>
          </w:p>
        </w:tc>
        <w:tc>
          <w:tcPr>
            <w:tcW w:w="1310" w:type="dxa"/>
          </w:tcPr>
          <w:p w14:paraId="141211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31851</w:t>
            </w:r>
          </w:p>
        </w:tc>
        <w:tc>
          <w:tcPr>
            <w:tcW w:w="1094" w:type="dxa"/>
          </w:tcPr>
          <w:p w14:paraId="1444D4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97,3</w:t>
            </w:r>
          </w:p>
        </w:tc>
      </w:tr>
      <w:tr w:rsidR="007D5DF8" w:rsidRPr="00DB5D0D" w14:paraId="358252E2" w14:textId="77777777" w:rsidTr="00E543D0">
        <w:trPr>
          <w:trHeight w:val="173"/>
        </w:trPr>
        <w:tc>
          <w:tcPr>
            <w:tcW w:w="3233" w:type="dxa"/>
          </w:tcPr>
          <w:p w14:paraId="612B20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207</w:t>
            </w:r>
          </w:p>
        </w:tc>
        <w:tc>
          <w:tcPr>
            <w:tcW w:w="1159" w:type="dxa"/>
          </w:tcPr>
          <w:p w14:paraId="4E8641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7600</w:t>
            </w:r>
          </w:p>
        </w:tc>
        <w:tc>
          <w:tcPr>
            <w:tcW w:w="1310" w:type="dxa"/>
          </w:tcPr>
          <w:p w14:paraId="0F7CFCD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8287</w:t>
            </w:r>
          </w:p>
        </w:tc>
        <w:tc>
          <w:tcPr>
            <w:tcW w:w="1094" w:type="dxa"/>
          </w:tcPr>
          <w:p w14:paraId="48FD39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109</w:t>
            </w:r>
          </w:p>
        </w:tc>
      </w:tr>
      <w:tr w:rsidR="007D5DF8" w:rsidRPr="00DB5D0D" w14:paraId="2D56D49B" w14:textId="77777777" w:rsidTr="00E543D0">
        <w:trPr>
          <w:trHeight w:val="346"/>
        </w:trPr>
        <w:tc>
          <w:tcPr>
            <w:tcW w:w="3233" w:type="dxa"/>
          </w:tcPr>
          <w:p w14:paraId="63B273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292</w:t>
            </w:r>
          </w:p>
        </w:tc>
        <w:tc>
          <w:tcPr>
            <w:tcW w:w="1159" w:type="dxa"/>
          </w:tcPr>
          <w:p w14:paraId="5007E5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smallCaps/>
                <w:color w:val="000000" w:themeColor="text1"/>
                <w:sz w:val="16"/>
                <w:szCs w:val="16"/>
              </w:rPr>
              <w:t>17900</w:t>
            </w:r>
          </w:p>
        </w:tc>
        <w:tc>
          <w:tcPr>
            <w:tcW w:w="1310" w:type="dxa"/>
          </w:tcPr>
          <w:p w14:paraId="59EB15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19093</w:t>
            </w:r>
          </w:p>
        </w:tc>
        <w:tc>
          <w:tcPr>
            <w:tcW w:w="1094" w:type="dxa"/>
          </w:tcPr>
          <w:p w14:paraId="2A94E6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106,6</w:t>
            </w:r>
          </w:p>
        </w:tc>
      </w:tr>
      <w:tr w:rsidR="007D5DF8" w:rsidRPr="00DB5D0D" w14:paraId="15F6EDF7" w14:textId="77777777" w:rsidTr="00E543D0">
        <w:trPr>
          <w:trHeight w:val="173"/>
        </w:trPr>
        <w:tc>
          <w:tcPr>
            <w:tcW w:w="3233" w:type="dxa"/>
          </w:tcPr>
          <w:p w14:paraId="77270F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301</w:t>
            </w:r>
          </w:p>
        </w:tc>
        <w:tc>
          <w:tcPr>
            <w:tcW w:w="1159" w:type="dxa"/>
          </w:tcPr>
          <w:p w14:paraId="307A6B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10663</w:t>
            </w:r>
          </w:p>
        </w:tc>
        <w:tc>
          <w:tcPr>
            <w:tcW w:w="1310" w:type="dxa"/>
          </w:tcPr>
          <w:p w14:paraId="636C84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11250</w:t>
            </w:r>
          </w:p>
        </w:tc>
        <w:tc>
          <w:tcPr>
            <w:tcW w:w="1094" w:type="dxa"/>
          </w:tcPr>
          <w:p w14:paraId="55115B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105,4</w:t>
            </w:r>
          </w:p>
        </w:tc>
      </w:tr>
      <w:tr w:rsidR="007D5DF8" w:rsidRPr="00DB5D0D" w14:paraId="06D9B6A2" w14:textId="77777777" w:rsidTr="00E543D0">
        <w:trPr>
          <w:trHeight w:val="173"/>
        </w:trPr>
        <w:tc>
          <w:tcPr>
            <w:tcW w:w="3233" w:type="dxa"/>
          </w:tcPr>
          <w:p w14:paraId="3D13E8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365</w:t>
            </w:r>
          </w:p>
        </w:tc>
        <w:tc>
          <w:tcPr>
            <w:tcW w:w="1159" w:type="dxa"/>
          </w:tcPr>
          <w:p w14:paraId="3FD348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4825</w:t>
            </w:r>
          </w:p>
        </w:tc>
        <w:tc>
          <w:tcPr>
            <w:tcW w:w="1310" w:type="dxa"/>
          </w:tcPr>
          <w:p w14:paraId="279669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6164</w:t>
            </w:r>
          </w:p>
        </w:tc>
        <w:tc>
          <w:tcPr>
            <w:tcW w:w="1094" w:type="dxa"/>
          </w:tcPr>
          <w:p w14:paraId="506326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127,7</w:t>
            </w:r>
          </w:p>
        </w:tc>
      </w:tr>
      <w:tr w:rsidR="007D5DF8" w:rsidRPr="00DB5D0D" w14:paraId="7933A629" w14:textId="77777777" w:rsidTr="00E543D0">
        <w:trPr>
          <w:trHeight w:val="367"/>
        </w:trPr>
        <w:tc>
          <w:tcPr>
            <w:tcW w:w="3233" w:type="dxa"/>
            <w:tcBorders>
              <w:bottom w:val="single" w:sz="12" w:space="0" w:color="auto"/>
            </w:tcBorders>
          </w:tcPr>
          <w:p w14:paraId="6940187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159" w:type="dxa"/>
            <w:tcBorders>
              <w:bottom w:val="single" w:sz="12" w:space="0" w:color="auto"/>
            </w:tcBorders>
          </w:tcPr>
          <w:p w14:paraId="5AF7DF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406350</w:t>
            </w:r>
          </w:p>
        </w:tc>
        <w:tc>
          <w:tcPr>
            <w:tcW w:w="1310" w:type="dxa"/>
            <w:tcBorders>
              <w:bottom w:val="single" w:sz="12" w:space="0" w:color="auto"/>
            </w:tcBorders>
          </w:tcPr>
          <w:p w14:paraId="72567E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443381</w:t>
            </w:r>
          </w:p>
        </w:tc>
        <w:tc>
          <w:tcPr>
            <w:tcW w:w="1094" w:type="dxa"/>
            <w:tcBorders>
              <w:bottom w:val="single" w:sz="12" w:space="0" w:color="auto"/>
            </w:tcBorders>
          </w:tcPr>
          <w:p w14:paraId="7B43F5A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110,3</w:t>
            </w:r>
          </w:p>
        </w:tc>
      </w:tr>
    </w:tbl>
    <w:p w14:paraId="4D7A70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новые заводы в 1939 году капиталовложений выделено не было.</w:t>
      </w:r>
    </w:p>
    <w:p w14:paraId="6D36DC7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окончания реконструкции и строительства действующих заводов всего необходимо капиталовложений на сумму 1350 мил. руб. в том числе на промышленное строительство 932 мил. руб.(см. при</w:t>
      </w:r>
      <w:r w:rsidRPr="00DB5D0D">
        <w:rPr>
          <w:rFonts w:ascii="Times New Roman" w:hAnsi="Times New Roman"/>
          <w:color w:val="000000" w:themeColor="text1"/>
          <w:sz w:val="16"/>
          <w:szCs w:val="16"/>
        </w:rPr>
        <w:softHyphen/>
        <w:t>ложение таблица № 1).</w:t>
      </w:r>
    </w:p>
    <w:p w14:paraId="6CB55C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производственная площадь заводов увеличится на 327630 м2.</w:t>
      </w:r>
    </w:p>
    <w:p w14:paraId="04A325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Чтобы выполнить в указанный постановлением Правительства срок все работы, необходимо было выделить на 1940 г. капиталовложений в сумме 635,4 млн. руб., в том числе на промышленное строительство 475,9 мил. Руб. и для полного развертывания строительства новых заводов - 376,0 мил. руб., а всего 1011,4 мил. руб. (см. приложение № 2).</w:t>
      </w:r>
    </w:p>
    <w:p w14:paraId="01EF1B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Титульные списки по заводам на указанную сумму были проработаны и представлены на утверждение.</w:t>
      </w:r>
    </w:p>
    <w:p w14:paraId="4D0C01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Выделено же на 1940 год по действующим заводам 351,5 млн. руб. и по новым заводам 33,9 мил. руб., а всего 475,4 мил. руб., т.е. 47%.</w:t>
      </w:r>
    </w:p>
    <w:p w14:paraId="60A3DD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выделенных капиталовложений в 1940 году производственная площаьдь заводов может быть увеличена только на</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 xml:space="preserve"> 135600 м2.</w:t>
      </w:r>
    </w:p>
    <w:p w14:paraId="096EDA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резкое уменьшение плана капиталовложений на 1940 год, является одной из причин невыполнения постановле</w:t>
      </w:r>
      <w:r w:rsidRPr="00DB5D0D">
        <w:rPr>
          <w:rFonts w:ascii="Times New Roman" w:hAnsi="Times New Roman"/>
          <w:color w:val="000000" w:themeColor="text1"/>
          <w:sz w:val="16"/>
          <w:szCs w:val="16"/>
        </w:rPr>
        <w:softHyphen/>
        <w:t>нная Правительства.</w:t>
      </w:r>
    </w:p>
    <w:p w14:paraId="7CBA70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и уменьшенный план 1940 года по выполнению идет не удовлетворительно.</w:t>
      </w:r>
    </w:p>
    <w:p w14:paraId="178744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6 мес. 1940 года по Первому Главному Управлению план выполнен по действующим заводам на 86,7%, а вместе с новыми заводами лишь на 81,9%, что по отношений к годовому плану составляет 30,0%.</w:t>
      </w:r>
    </w:p>
    <w:p w14:paraId="3B50CB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Причины невыполнения плана 1940 года в основной следующтие:</w:t>
      </w:r>
    </w:p>
    <w:p w14:paraId="25A249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Совершенно недостаточное, заниженное планирование по кварталам, так например:</w:t>
      </w:r>
    </w:p>
    <w:p w14:paraId="5DDFCA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1 кв. составляет 65127 тыс. руб. или 14% от года</w:t>
      </w:r>
    </w:p>
    <w:p w14:paraId="6D7AA6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ув. - 107845 - 23%</w:t>
      </w:r>
    </w:p>
    <w:p w14:paraId="154A84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кв. - 115920 - 25% от года</w:t>
      </w:r>
    </w:p>
    <w:p w14:paraId="66C658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- 288892 тыс. руб. или 62% года</w:t>
      </w:r>
    </w:p>
    <w:p w14:paraId="6244EF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вследствие таких заниженных планов по первым кварталам вместо развертывания строительства были вынуждены местами свертывать работы и сокращать рабочую силу. А план 4 квартала в размере 38% при таком положении является завышенный и не выполнимым. Таким образом само планирование по кварталам как приведено выше способствует невыполнению годово</w:t>
      </w:r>
      <w:r w:rsidRPr="00DB5D0D">
        <w:rPr>
          <w:rFonts w:ascii="Times New Roman" w:hAnsi="Times New Roman"/>
          <w:color w:val="000000" w:themeColor="text1"/>
          <w:sz w:val="16"/>
          <w:szCs w:val="16"/>
        </w:rPr>
        <w:softHyphen/>
        <w:t>го плана.</w:t>
      </w:r>
    </w:p>
    <w:p w14:paraId="099DC3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Планомерному развертыванию работ крайне мешал ежемесяч</w:t>
      </w:r>
      <w:r w:rsidRPr="00DB5D0D">
        <w:rPr>
          <w:rFonts w:ascii="Times New Roman" w:hAnsi="Times New Roman"/>
          <w:color w:val="000000" w:themeColor="text1"/>
          <w:sz w:val="16"/>
          <w:szCs w:val="16"/>
        </w:rPr>
        <w:softHyphen/>
        <w:t>ный отпуск кредитовав первых четырех месяцах года.</w:t>
      </w:r>
    </w:p>
    <w:p w14:paraId="0468A81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Вместо того, чтобы в начале января открыть кредиты сразу на 1-й квартал, Наркомфин делал переводы отдельно на январь (3-го января), на февраль (29-го января) и на март (29 февра</w:t>
      </w:r>
      <w:r w:rsidRPr="00DB5D0D">
        <w:rPr>
          <w:rFonts w:ascii="Times New Roman" w:hAnsi="Times New Roman"/>
          <w:color w:val="000000" w:themeColor="text1"/>
          <w:sz w:val="16"/>
          <w:szCs w:val="16"/>
        </w:rPr>
        <w:softHyphen/>
        <w:t>ля) то же самое было и в апреле (3 апреля), и только 27 апреля были открыты кредиты на май и июнь сразу.</w:t>
      </w:r>
    </w:p>
    <w:p w14:paraId="3E05C8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помесячное фиансирование привело к тому, что стройки лишены были возможности распоряжаться получаемыми деньгами, т.к. большая их часть шла на погашение кредиторской задолжен</w:t>
      </w:r>
      <w:r w:rsidRPr="00DB5D0D">
        <w:rPr>
          <w:rFonts w:ascii="Times New Roman" w:hAnsi="Times New Roman"/>
          <w:color w:val="000000" w:themeColor="text1"/>
          <w:sz w:val="16"/>
          <w:szCs w:val="16"/>
        </w:rPr>
        <w:softHyphen/>
        <w:t>ности, а так как в 1-м квартале план работ был составлен всего лишь на 14% от годового, то отпускаемых помесячно денег вместе с вносимой амортизацией на хватало на покрытие задолженности.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7D5DF8" w:rsidRPr="00DB5D0D" w14:paraId="4C03612C" w14:textId="77777777" w:rsidTr="00E543D0">
        <w:tc>
          <w:tcPr>
            <w:tcW w:w="2254" w:type="dxa"/>
            <w:tcBorders>
              <w:top w:val="single" w:sz="12" w:space="0" w:color="auto"/>
            </w:tcBorders>
          </w:tcPr>
          <w:p w14:paraId="7EEECA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в млн. руб.</w:t>
            </w:r>
          </w:p>
        </w:tc>
        <w:tc>
          <w:tcPr>
            <w:tcW w:w="2254" w:type="dxa"/>
            <w:tcBorders>
              <w:top w:val="single" w:sz="12" w:space="0" w:color="auto"/>
            </w:tcBorders>
          </w:tcPr>
          <w:p w14:paraId="29E95C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На 1/1 </w:t>
            </w:r>
          </w:p>
        </w:tc>
        <w:tc>
          <w:tcPr>
            <w:tcW w:w="2254" w:type="dxa"/>
            <w:tcBorders>
              <w:top w:val="single" w:sz="12" w:space="0" w:color="auto"/>
            </w:tcBorders>
          </w:tcPr>
          <w:p w14:paraId="7883CB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1/П</w:t>
            </w:r>
          </w:p>
        </w:tc>
        <w:tc>
          <w:tcPr>
            <w:tcW w:w="2254" w:type="dxa"/>
            <w:tcBorders>
              <w:top w:val="single" w:sz="12" w:space="0" w:color="auto"/>
            </w:tcBorders>
          </w:tcPr>
          <w:p w14:paraId="732C64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1/Ш</w:t>
            </w:r>
          </w:p>
        </w:tc>
        <w:tc>
          <w:tcPr>
            <w:tcW w:w="2254" w:type="dxa"/>
            <w:tcBorders>
              <w:top w:val="single" w:sz="12" w:space="0" w:color="auto"/>
            </w:tcBorders>
          </w:tcPr>
          <w:p w14:paraId="09242D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1/1У</w:t>
            </w:r>
          </w:p>
        </w:tc>
      </w:tr>
      <w:tr w:rsidR="007D5DF8" w:rsidRPr="00DB5D0D" w14:paraId="6F9344C2" w14:textId="77777777" w:rsidTr="00E543D0">
        <w:tc>
          <w:tcPr>
            <w:tcW w:w="2254" w:type="dxa"/>
          </w:tcPr>
          <w:p w14:paraId="38B3C1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Кредитов</w:t>
            </w:r>
          </w:p>
        </w:tc>
        <w:tc>
          <w:tcPr>
            <w:tcW w:w="2254" w:type="dxa"/>
          </w:tcPr>
          <w:p w14:paraId="630126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2254" w:type="dxa"/>
          </w:tcPr>
          <w:p w14:paraId="3E3E1A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27,3</w:t>
            </w:r>
          </w:p>
        </w:tc>
        <w:tc>
          <w:tcPr>
            <w:tcW w:w="2254" w:type="dxa"/>
          </w:tcPr>
          <w:p w14:paraId="6F9D9E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35,7</w:t>
            </w:r>
          </w:p>
        </w:tc>
        <w:tc>
          <w:tcPr>
            <w:tcW w:w="2254" w:type="dxa"/>
          </w:tcPr>
          <w:p w14:paraId="0CE95C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34,8</w:t>
            </w:r>
          </w:p>
        </w:tc>
      </w:tr>
      <w:tr w:rsidR="007D5DF8" w:rsidRPr="00DB5D0D" w14:paraId="1A3E0032" w14:textId="77777777" w:rsidTr="00E543D0">
        <w:tc>
          <w:tcPr>
            <w:tcW w:w="2254" w:type="dxa"/>
            <w:tcBorders>
              <w:bottom w:val="single" w:sz="12" w:space="0" w:color="auto"/>
            </w:tcBorders>
          </w:tcPr>
          <w:p w14:paraId="7FC1B0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Отпущено денег</w:t>
            </w:r>
          </w:p>
        </w:tc>
        <w:tc>
          <w:tcPr>
            <w:tcW w:w="2254" w:type="dxa"/>
            <w:tcBorders>
              <w:bottom w:val="single" w:sz="12" w:space="0" w:color="auto"/>
            </w:tcBorders>
          </w:tcPr>
          <w:p w14:paraId="448E99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24,7</w:t>
            </w:r>
          </w:p>
        </w:tc>
        <w:tc>
          <w:tcPr>
            <w:tcW w:w="2254" w:type="dxa"/>
            <w:tcBorders>
              <w:bottom w:val="single" w:sz="12" w:space="0" w:color="auto"/>
            </w:tcBorders>
          </w:tcPr>
          <w:p w14:paraId="2DB540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21,7</w:t>
            </w:r>
          </w:p>
        </w:tc>
        <w:tc>
          <w:tcPr>
            <w:tcW w:w="2254" w:type="dxa"/>
            <w:tcBorders>
              <w:bottom w:val="single" w:sz="12" w:space="0" w:color="auto"/>
            </w:tcBorders>
          </w:tcPr>
          <w:p w14:paraId="1D6D73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w:t>
            </w:r>
          </w:p>
        </w:tc>
        <w:tc>
          <w:tcPr>
            <w:tcW w:w="2254" w:type="dxa"/>
            <w:tcBorders>
              <w:bottom w:val="single" w:sz="12" w:space="0" w:color="auto"/>
            </w:tcBorders>
          </w:tcPr>
          <w:p w14:paraId="0AF954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26,2</w:t>
            </w:r>
          </w:p>
        </w:tc>
      </w:tr>
    </w:tbl>
    <w:p w14:paraId="579A3D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получался своего рода заколдованный круг. Из кредитов, пере</w:t>
      </w:r>
      <w:r w:rsidRPr="00DB5D0D">
        <w:rPr>
          <w:rFonts w:ascii="Times New Roman" w:hAnsi="Times New Roman"/>
          <w:color w:val="000000" w:themeColor="text1"/>
          <w:sz w:val="16"/>
          <w:szCs w:val="16"/>
        </w:rPr>
        <w:softHyphen/>
        <w:t>веденных на январь, погасили кредиторскую задолженность на 1-е января, и денег на покупку недостающих материалов и обору</w:t>
      </w:r>
      <w:r w:rsidRPr="00DB5D0D">
        <w:rPr>
          <w:rFonts w:ascii="Times New Roman" w:hAnsi="Times New Roman"/>
          <w:color w:val="000000" w:themeColor="text1"/>
          <w:sz w:val="16"/>
          <w:szCs w:val="16"/>
        </w:rPr>
        <w:softHyphen/>
        <w:t>дования не осталось; работа в январе производилась в кредит; из февральских кредитов погасили задолженность на 1-е февраля, а для нормальной работы в феврале денег снова не было."</w:t>
      </w:r>
    </w:p>
    <w:p w14:paraId="53469D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так продолжалось до мая месяца, что конечно, не только не способствовало нормальной подготовке к строительному сезону, а мешало выполнять и тот заниженные об"ем работ, который был утвержден Наркоматом на 1 и П-й кварталы.</w:t>
      </w:r>
    </w:p>
    <w:p w14:paraId="570370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Материальное снабжение производилось совершенно недостаточно. Так в целом по Первому главному управлению заводы были удовлетворены фондами в следующих количествах в %% от потребности по кварталам: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7D5DF8" w:rsidRPr="00DB5D0D" w14:paraId="4AF2A353" w14:textId="77777777" w:rsidTr="00E543D0">
        <w:tc>
          <w:tcPr>
            <w:tcW w:w="2817" w:type="dxa"/>
            <w:tcBorders>
              <w:top w:val="single" w:sz="12" w:space="0" w:color="auto"/>
            </w:tcBorders>
            <w:shd w:val="clear" w:color="auto" w:fill="FFFFFF"/>
          </w:tcPr>
          <w:p w14:paraId="3A07B50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17" w:type="dxa"/>
            <w:tcBorders>
              <w:top w:val="single" w:sz="12" w:space="0" w:color="auto"/>
            </w:tcBorders>
            <w:shd w:val="clear" w:color="auto" w:fill="FFFFFF"/>
          </w:tcPr>
          <w:p w14:paraId="54B9CA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 кв.</w:t>
            </w:r>
          </w:p>
        </w:tc>
        <w:tc>
          <w:tcPr>
            <w:tcW w:w="2817" w:type="dxa"/>
            <w:tcBorders>
              <w:top w:val="single" w:sz="12" w:space="0" w:color="auto"/>
            </w:tcBorders>
            <w:shd w:val="clear" w:color="auto" w:fill="FFFFFF"/>
          </w:tcPr>
          <w:p w14:paraId="768B36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2 кв.</w:t>
            </w:r>
          </w:p>
        </w:tc>
        <w:tc>
          <w:tcPr>
            <w:tcW w:w="2817" w:type="dxa"/>
            <w:tcBorders>
              <w:top w:val="single" w:sz="12" w:space="0" w:color="auto"/>
            </w:tcBorders>
            <w:shd w:val="clear" w:color="auto" w:fill="FFFFFF"/>
          </w:tcPr>
          <w:p w14:paraId="55B63A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3 кв.</w:t>
            </w:r>
          </w:p>
        </w:tc>
      </w:tr>
      <w:tr w:rsidR="007D5DF8" w:rsidRPr="00DB5D0D" w14:paraId="1AD9DB9E" w14:textId="77777777" w:rsidTr="00E543D0">
        <w:tc>
          <w:tcPr>
            <w:tcW w:w="2817" w:type="dxa"/>
            <w:shd w:val="clear" w:color="auto" w:fill="FFFFFF"/>
          </w:tcPr>
          <w:p w14:paraId="597073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цементу</w:t>
            </w:r>
          </w:p>
        </w:tc>
        <w:tc>
          <w:tcPr>
            <w:tcW w:w="2817" w:type="dxa"/>
            <w:shd w:val="clear" w:color="auto" w:fill="FFFFFF"/>
          </w:tcPr>
          <w:p w14:paraId="4A0359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w:t>
            </w:r>
          </w:p>
        </w:tc>
        <w:tc>
          <w:tcPr>
            <w:tcW w:w="2817" w:type="dxa"/>
            <w:shd w:val="clear" w:color="auto" w:fill="FFFFFF"/>
          </w:tcPr>
          <w:p w14:paraId="7D91A8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w:t>
            </w:r>
          </w:p>
        </w:tc>
        <w:tc>
          <w:tcPr>
            <w:tcW w:w="2817" w:type="dxa"/>
            <w:shd w:val="clear" w:color="auto" w:fill="FFFFFF"/>
          </w:tcPr>
          <w:p w14:paraId="57F2DB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w:t>
            </w:r>
          </w:p>
        </w:tc>
      </w:tr>
      <w:tr w:rsidR="007D5DF8" w:rsidRPr="00DB5D0D" w14:paraId="245538AF" w14:textId="77777777" w:rsidTr="00E543D0">
        <w:tc>
          <w:tcPr>
            <w:tcW w:w="2817" w:type="dxa"/>
            <w:shd w:val="clear" w:color="auto" w:fill="FFFFFF"/>
          </w:tcPr>
          <w:p w14:paraId="32CAF4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рубероиду</w:t>
            </w:r>
          </w:p>
        </w:tc>
        <w:tc>
          <w:tcPr>
            <w:tcW w:w="2817" w:type="dxa"/>
            <w:shd w:val="clear" w:color="auto" w:fill="FFFFFF"/>
          </w:tcPr>
          <w:p w14:paraId="2F050E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w:t>
            </w:r>
          </w:p>
        </w:tc>
        <w:tc>
          <w:tcPr>
            <w:tcW w:w="2817" w:type="dxa"/>
            <w:shd w:val="clear" w:color="auto" w:fill="FFFFFF"/>
          </w:tcPr>
          <w:p w14:paraId="7010D7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2817" w:type="dxa"/>
            <w:shd w:val="clear" w:color="auto" w:fill="FFFFFF"/>
          </w:tcPr>
          <w:p w14:paraId="5128C6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w:t>
            </w:r>
          </w:p>
        </w:tc>
      </w:tr>
      <w:tr w:rsidR="007D5DF8" w:rsidRPr="00DB5D0D" w14:paraId="42E288D1" w14:textId="77777777" w:rsidTr="00E543D0">
        <w:tc>
          <w:tcPr>
            <w:tcW w:w="2817" w:type="dxa"/>
            <w:shd w:val="clear" w:color="auto" w:fill="FFFFFF"/>
          </w:tcPr>
          <w:p w14:paraId="746C4C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толю</w:t>
            </w:r>
          </w:p>
        </w:tc>
        <w:tc>
          <w:tcPr>
            <w:tcW w:w="2817" w:type="dxa"/>
            <w:shd w:val="clear" w:color="auto" w:fill="FFFFFF"/>
          </w:tcPr>
          <w:p w14:paraId="79CFA7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2817" w:type="dxa"/>
            <w:shd w:val="clear" w:color="auto" w:fill="FFFFFF"/>
          </w:tcPr>
          <w:p w14:paraId="2E65CB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c>
          <w:tcPr>
            <w:tcW w:w="2817" w:type="dxa"/>
            <w:shd w:val="clear" w:color="auto" w:fill="FFFFFF"/>
          </w:tcPr>
          <w:p w14:paraId="124382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w:t>
            </w:r>
          </w:p>
        </w:tc>
      </w:tr>
      <w:tr w:rsidR="007D5DF8" w:rsidRPr="00DB5D0D" w14:paraId="71960F04" w14:textId="77777777" w:rsidTr="00E543D0">
        <w:tc>
          <w:tcPr>
            <w:tcW w:w="2817" w:type="dxa"/>
            <w:shd w:val="clear" w:color="auto" w:fill="FFFFFF"/>
          </w:tcPr>
          <w:p w14:paraId="07A799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пергамину</w:t>
            </w:r>
          </w:p>
        </w:tc>
        <w:tc>
          <w:tcPr>
            <w:tcW w:w="2817" w:type="dxa"/>
            <w:shd w:val="clear" w:color="auto" w:fill="FFFFFF"/>
          </w:tcPr>
          <w:p w14:paraId="43B14E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w:t>
            </w:r>
          </w:p>
        </w:tc>
        <w:tc>
          <w:tcPr>
            <w:tcW w:w="2817" w:type="dxa"/>
            <w:shd w:val="clear" w:color="auto" w:fill="FFFFFF"/>
          </w:tcPr>
          <w:p w14:paraId="0415E1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2817" w:type="dxa"/>
            <w:shd w:val="clear" w:color="auto" w:fill="FFFFFF"/>
          </w:tcPr>
          <w:p w14:paraId="567F6D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r>
      <w:tr w:rsidR="007D5DF8" w:rsidRPr="00DB5D0D" w14:paraId="18A2F690" w14:textId="77777777" w:rsidTr="00E543D0">
        <w:tc>
          <w:tcPr>
            <w:tcW w:w="2817" w:type="dxa"/>
            <w:shd w:val="clear" w:color="auto" w:fill="FFFFFF"/>
          </w:tcPr>
          <w:p w14:paraId="24CB08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асфальту</w:t>
            </w:r>
          </w:p>
        </w:tc>
        <w:tc>
          <w:tcPr>
            <w:tcW w:w="2817" w:type="dxa"/>
            <w:shd w:val="clear" w:color="auto" w:fill="FFFFFF"/>
          </w:tcPr>
          <w:p w14:paraId="1C1341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2817" w:type="dxa"/>
            <w:shd w:val="clear" w:color="auto" w:fill="FFFFFF"/>
          </w:tcPr>
          <w:p w14:paraId="29D0C4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w:t>
            </w:r>
          </w:p>
        </w:tc>
        <w:tc>
          <w:tcPr>
            <w:tcW w:w="2817" w:type="dxa"/>
            <w:shd w:val="clear" w:color="auto" w:fill="FFFFFF"/>
          </w:tcPr>
          <w:p w14:paraId="491A7F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w:t>
            </w:r>
          </w:p>
        </w:tc>
      </w:tr>
      <w:tr w:rsidR="007D5DF8" w:rsidRPr="00DB5D0D" w14:paraId="71C6548F" w14:textId="77777777" w:rsidTr="00E543D0">
        <w:tc>
          <w:tcPr>
            <w:tcW w:w="2817" w:type="dxa"/>
            <w:shd w:val="clear" w:color="auto" w:fill="FFFFFF"/>
          </w:tcPr>
          <w:p w14:paraId="3ED9AC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нефтибитуму</w:t>
            </w:r>
          </w:p>
        </w:tc>
        <w:tc>
          <w:tcPr>
            <w:tcW w:w="2817" w:type="dxa"/>
            <w:shd w:val="clear" w:color="auto" w:fill="FFFFFF"/>
          </w:tcPr>
          <w:p w14:paraId="3FC27C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74,6</w:t>
            </w:r>
          </w:p>
        </w:tc>
        <w:tc>
          <w:tcPr>
            <w:tcW w:w="2817" w:type="dxa"/>
            <w:shd w:val="clear" w:color="auto" w:fill="FFFFFF"/>
          </w:tcPr>
          <w:p w14:paraId="2321E8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2817" w:type="dxa"/>
            <w:shd w:val="clear" w:color="auto" w:fill="FFFFFF"/>
          </w:tcPr>
          <w:p w14:paraId="66DE1B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30,6</w:t>
            </w:r>
          </w:p>
        </w:tc>
      </w:tr>
      <w:tr w:rsidR="007D5DF8" w:rsidRPr="00DB5D0D" w14:paraId="739E1431" w14:textId="77777777" w:rsidTr="00E543D0">
        <w:tc>
          <w:tcPr>
            <w:tcW w:w="2817" w:type="dxa"/>
            <w:shd w:val="clear" w:color="auto" w:fill="FFFFFF"/>
          </w:tcPr>
          <w:p w14:paraId="60A6D4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олифе</w:t>
            </w:r>
          </w:p>
        </w:tc>
        <w:tc>
          <w:tcPr>
            <w:tcW w:w="2817" w:type="dxa"/>
            <w:shd w:val="clear" w:color="auto" w:fill="FFFFFF"/>
          </w:tcPr>
          <w:p w14:paraId="7B2F67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w:t>
            </w:r>
          </w:p>
        </w:tc>
        <w:tc>
          <w:tcPr>
            <w:tcW w:w="2817" w:type="dxa"/>
            <w:shd w:val="clear" w:color="auto" w:fill="FFFFFF"/>
          </w:tcPr>
          <w:p w14:paraId="649C01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2817" w:type="dxa"/>
            <w:shd w:val="clear" w:color="auto" w:fill="FFFFFF"/>
          </w:tcPr>
          <w:p w14:paraId="4FF7E1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r>
      <w:tr w:rsidR="007D5DF8" w:rsidRPr="00DB5D0D" w14:paraId="41AA3D17" w14:textId="77777777" w:rsidTr="00E543D0">
        <w:tc>
          <w:tcPr>
            <w:tcW w:w="2817" w:type="dxa"/>
            <w:shd w:val="clear" w:color="auto" w:fill="FFFFFF"/>
          </w:tcPr>
          <w:p w14:paraId="127987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белилам</w:t>
            </w:r>
          </w:p>
        </w:tc>
        <w:tc>
          <w:tcPr>
            <w:tcW w:w="2817" w:type="dxa"/>
            <w:shd w:val="clear" w:color="auto" w:fill="FFFFFF"/>
          </w:tcPr>
          <w:p w14:paraId="5B5A87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w:t>
            </w:r>
          </w:p>
        </w:tc>
        <w:tc>
          <w:tcPr>
            <w:tcW w:w="2817" w:type="dxa"/>
            <w:shd w:val="clear" w:color="auto" w:fill="FFFFFF"/>
          </w:tcPr>
          <w:p w14:paraId="3AFAF8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2817" w:type="dxa"/>
            <w:shd w:val="clear" w:color="auto" w:fill="FFFFFF"/>
          </w:tcPr>
          <w:p w14:paraId="490AE2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w:t>
            </w:r>
          </w:p>
        </w:tc>
      </w:tr>
      <w:tr w:rsidR="007D5DF8" w:rsidRPr="00DB5D0D" w14:paraId="1C76569B" w14:textId="77777777" w:rsidTr="00E543D0">
        <w:tc>
          <w:tcPr>
            <w:tcW w:w="2817" w:type="dxa"/>
            <w:shd w:val="clear" w:color="auto" w:fill="FFFFFF"/>
          </w:tcPr>
          <w:p w14:paraId="3AF664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железу сорт</w:t>
            </w:r>
          </w:p>
        </w:tc>
        <w:tc>
          <w:tcPr>
            <w:tcW w:w="2817" w:type="dxa"/>
            <w:shd w:val="clear" w:color="auto" w:fill="FFFFFF"/>
          </w:tcPr>
          <w:p w14:paraId="197CAD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70,6</w:t>
            </w:r>
          </w:p>
        </w:tc>
        <w:tc>
          <w:tcPr>
            <w:tcW w:w="2817" w:type="dxa"/>
            <w:shd w:val="clear" w:color="auto" w:fill="FFFFFF"/>
          </w:tcPr>
          <w:p w14:paraId="5F1AA7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31,5</w:t>
            </w:r>
          </w:p>
        </w:tc>
        <w:tc>
          <w:tcPr>
            <w:tcW w:w="2817" w:type="dxa"/>
            <w:shd w:val="clear" w:color="auto" w:fill="FFFFFF"/>
          </w:tcPr>
          <w:p w14:paraId="1C9508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w:t>
            </w:r>
          </w:p>
        </w:tc>
      </w:tr>
      <w:tr w:rsidR="007D5DF8" w:rsidRPr="00DB5D0D" w14:paraId="498864D8" w14:textId="77777777" w:rsidTr="00E543D0">
        <w:tc>
          <w:tcPr>
            <w:tcW w:w="2817" w:type="dxa"/>
            <w:shd w:val="clear" w:color="auto" w:fill="FFFFFF"/>
          </w:tcPr>
          <w:p w14:paraId="02E527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железу лист.</w:t>
            </w:r>
          </w:p>
        </w:tc>
        <w:tc>
          <w:tcPr>
            <w:tcW w:w="2817" w:type="dxa"/>
            <w:shd w:val="clear" w:color="auto" w:fill="FFFFFF"/>
          </w:tcPr>
          <w:p w14:paraId="2C1877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35,5</w:t>
            </w:r>
          </w:p>
        </w:tc>
        <w:tc>
          <w:tcPr>
            <w:tcW w:w="2817" w:type="dxa"/>
            <w:shd w:val="clear" w:color="auto" w:fill="FFFFFF"/>
          </w:tcPr>
          <w:p w14:paraId="41BA43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24,5</w:t>
            </w:r>
          </w:p>
        </w:tc>
        <w:tc>
          <w:tcPr>
            <w:tcW w:w="2817" w:type="dxa"/>
            <w:shd w:val="clear" w:color="auto" w:fill="FFFFFF"/>
          </w:tcPr>
          <w:p w14:paraId="21BF78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66,5</w:t>
            </w:r>
          </w:p>
        </w:tc>
      </w:tr>
      <w:tr w:rsidR="007D5DF8" w:rsidRPr="00DB5D0D" w14:paraId="6A322B49" w14:textId="77777777" w:rsidTr="00E543D0">
        <w:tc>
          <w:tcPr>
            <w:tcW w:w="2817" w:type="dxa"/>
            <w:shd w:val="clear" w:color="auto" w:fill="FFFFFF"/>
          </w:tcPr>
          <w:p w14:paraId="10919F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17" w:type="dxa"/>
            <w:shd w:val="clear" w:color="auto" w:fill="FFFFFF"/>
          </w:tcPr>
          <w:p w14:paraId="3D9D83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35,8</w:t>
            </w:r>
          </w:p>
        </w:tc>
        <w:tc>
          <w:tcPr>
            <w:tcW w:w="2817" w:type="dxa"/>
            <w:shd w:val="clear" w:color="auto" w:fill="FFFFFF"/>
          </w:tcPr>
          <w:p w14:paraId="5EC684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2817" w:type="dxa"/>
            <w:shd w:val="clear" w:color="auto" w:fill="FFFFFF"/>
          </w:tcPr>
          <w:p w14:paraId="00C394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r>
      <w:tr w:rsidR="007D5DF8" w:rsidRPr="00DB5D0D" w14:paraId="3AB05B81" w14:textId="77777777" w:rsidTr="00E543D0">
        <w:tc>
          <w:tcPr>
            <w:tcW w:w="2817" w:type="dxa"/>
            <w:shd w:val="clear" w:color="auto" w:fill="FFFFFF"/>
          </w:tcPr>
          <w:p w14:paraId="21B383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балкам и швеллерам</w:t>
            </w:r>
          </w:p>
        </w:tc>
        <w:tc>
          <w:tcPr>
            <w:tcW w:w="2817" w:type="dxa"/>
            <w:shd w:val="clear" w:color="auto" w:fill="FFFFFF"/>
          </w:tcPr>
          <w:p w14:paraId="7EC05E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57,7</w:t>
            </w:r>
          </w:p>
        </w:tc>
        <w:tc>
          <w:tcPr>
            <w:tcW w:w="2817" w:type="dxa"/>
            <w:shd w:val="clear" w:color="auto" w:fill="FFFFFF"/>
          </w:tcPr>
          <w:p w14:paraId="35021C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2817" w:type="dxa"/>
            <w:shd w:val="clear" w:color="auto" w:fill="FFFFFF"/>
          </w:tcPr>
          <w:p w14:paraId="2D0BD9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40,5</w:t>
            </w:r>
          </w:p>
        </w:tc>
      </w:tr>
      <w:tr w:rsidR="007D5DF8" w:rsidRPr="00DB5D0D" w14:paraId="37D31A29" w14:textId="77777777" w:rsidTr="00E543D0">
        <w:tc>
          <w:tcPr>
            <w:tcW w:w="2817" w:type="dxa"/>
            <w:shd w:val="clear" w:color="auto" w:fill="FFFFFF"/>
          </w:tcPr>
          <w:p w14:paraId="1AB334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катанке</w:t>
            </w:r>
          </w:p>
        </w:tc>
        <w:tc>
          <w:tcPr>
            <w:tcW w:w="2817" w:type="dxa"/>
            <w:shd w:val="clear" w:color="auto" w:fill="FFFFFF"/>
          </w:tcPr>
          <w:p w14:paraId="67E8C4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817" w:type="dxa"/>
            <w:shd w:val="clear" w:color="auto" w:fill="FFFFFF"/>
          </w:tcPr>
          <w:p w14:paraId="67C1C4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2817" w:type="dxa"/>
            <w:shd w:val="clear" w:color="auto" w:fill="FFFFFF"/>
          </w:tcPr>
          <w:p w14:paraId="0FAE96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32,6</w:t>
            </w:r>
          </w:p>
        </w:tc>
      </w:tr>
      <w:tr w:rsidR="007D5DF8" w:rsidRPr="00DB5D0D" w14:paraId="7FD3B1A9" w14:textId="77777777" w:rsidTr="00E543D0">
        <w:tc>
          <w:tcPr>
            <w:tcW w:w="2817" w:type="dxa"/>
            <w:tcBorders>
              <w:bottom w:val="single" w:sz="12" w:space="0" w:color="auto"/>
            </w:tcBorders>
            <w:shd w:val="clear" w:color="auto" w:fill="FFFFFF"/>
          </w:tcPr>
          <w:p w14:paraId="389F56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гвоздям</w:t>
            </w:r>
          </w:p>
        </w:tc>
        <w:tc>
          <w:tcPr>
            <w:tcW w:w="2817" w:type="dxa"/>
            <w:tcBorders>
              <w:bottom w:val="single" w:sz="12" w:space="0" w:color="auto"/>
            </w:tcBorders>
            <w:shd w:val="clear" w:color="auto" w:fill="FFFFFF"/>
          </w:tcPr>
          <w:p w14:paraId="53C3BB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2817" w:type="dxa"/>
            <w:tcBorders>
              <w:bottom w:val="single" w:sz="12" w:space="0" w:color="auto"/>
            </w:tcBorders>
            <w:shd w:val="clear" w:color="auto" w:fill="FFFFFF"/>
          </w:tcPr>
          <w:p w14:paraId="16F7AC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w:t>
            </w:r>
          </w:p>
        </w:tc>
        <w:tc>
          <w:tcPr>
            <w:tcW w:w="2817" w:type="dxa"/>
            <w:tcBorders>
              <w:bottom w:val="single" w:sz="12" w:space="0" w:color="auto"/>
            </w:tcBorders>
            <w:shd w:val="clear" w:color="auto" w:fill="FFFFFF"/>
          </w:tcPr>
          <w:p w14:paraId="36AF58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w:t>
            </w:r>
          </w:p>
        </w:tc>
      </w:tr>
    </w:tbl>
    <w:p w14:paraId="7753A6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Такое же положение со снабжением и другими видами материалов, особенно по кабелям и проводам.</w:t>
      </w:r>
    </w:p>
    <w:p w14:paraId="5F3654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недостаточно выделялось автотранспорта, ме</w:t>
      </w:r>
      <w:r w:rsidRPr="00DB5D0D">
        <w:rPr>
          <w:rFonts w:ascii="Times New Roman" w:hAnsi="Times New Roman"/>
          <w:color w:val="000000" w:themeColor="text1"/>
          <w:sz w:val="16"/>
          <w:szCs w:val="16"/>
        </w:rPr>
        <w:softHyphen/>
        <w:t>ханизмов и авторезины.</w:t>
      </w:r>
    </w:p>
    <w:p w14:paraId="425338C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отсутствия резины на каждом заводе имеюнщися парк машин десятками стоит неиспользованным.</w:t>
      </w:r>
    </w:p>
    <w:p w14:paraId="0DB581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Частичная задержка в строительстве происходила из-за проектирования, особенно по специальным работам.</w:t>
      </w:r>
    </w:p>
    <w:p w14:paraId="07315F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Недостаточное выделение фондов на материалы, усугублялось еще более неправильным планированием фондов непосредственно Главснабом назаводы без согласования с главком, вследствие чего материал иногда завозился не туда куда нужно.</w:t>
      </w:r>
    </w:p>
    <w:p w14:paraId="0C311A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 таких стройках как з-ды № 31 и 135 где работу производят тресты Наркомстроя, работа идет неудовлетворитель-но еще п потому, что тресты работающие на этих заводах являютсяочень слабыми, недостаточно оснащенные механизмами и транспортов, недостаточно наделенные оборотными средствами,</w:t>
      </w:r>
    </w:p>
    <w:p w14:paraId="52CD2E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имеющие очень малое количество рабочих, так, например, трест "Севкавтяжстрой" на заводе № 31 имеет в наличии 140 чел. рбочих при потребности в 800 чел.</w:t>
      </w:r>
    </w:p>
    <w:p w14:paraId="247B51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наши неоднократные требования, об усилении -работы до сих пор пололение не улучшилось</w:t>
      </w:r>
      <w:r w:rsidRPr="00DB5D0D">
        <w:rPr>
          <w:rFonts w:ascii="Times New Roman" w:hAnsi="Times New Roman"/>
          <w:smallCaps/>
          <w:color w:val="000000" w:themeColor="text1"/>
          <w:sz w:val="16"/>
          <w:szCs w:val="16"/>
        </w:rPr>
        <w:t>.</w:t>
      </w:r>
    </w:p>
    <w:p w14:paraId="29F4B0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Состояние по строительству новых заводов.</w:t>
      </w:r>
    </w:p>
    <w:p w14:paraId="2B2D42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118</w:t>
      </w:r>
    </w:p>
    <w:p w14:paraId="024B4B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Наркоматом было изыскано два варианта под стройплощадку завода, которые были рассмотрены и не утверждены вследствие отсутствия под"ездных путей воды и проч.</w:t>
      </w:r>
    </w:p>
    <w:p w14:paraId="1D97A8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Комиссия по выбору площадки под строительство завода находится в районе г. Сталинграда на изысканиях. По полученным данным от комиссии площадка изыскана.</w:t>
      </w:r>
    </w:p>
    <w:p w14:paraId="5E2BBF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Остальные стадии проектирования по данному заводу начаты.</w:t>
      </w:r>
    </w:p>
    <w:p w14:paraId="4F65A6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121</w:t>
      </w:r>
    </w:p>
    <w:p w14:paraId="09A0BF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Выбор площадки произведен. Площадка утверждена 15 марта 1940 г.</w:t>
      </w:r>
    </w:p>
    <w:p w14:paraId="76EFDA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Проектное задание утверждено 31 июля 1940 г.</w:t>
      </w:r>
    </w:p>
    <w:p w14:paraId="6AA09C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Имеется решение Правительства об отводе земли под строи</w:t>
      </w:r>
      <w:r w:rsidRPr="00DB5D0D">
        <w:rPr>
          <w:rFonts w:ascii="Times New Roman" w:hAnsi="Times New Roman"/>
          <w:color w:val="000000" w:themeColor="text1"/>
          <w:sz w:val="16"/>
          <w:szCs w:val="16"/>
        </w:rPr>
        <w:softHyphen/>
        <w:t>тельство. К строительству завода не приступили.</w:t>
      </w:r>
    </w:p>
    <w:p w14:paraId="2EA5AF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По_заводу № 122</w:t>
      </w:r>
    </w:p>
    <w:p w14:paraId="255AA5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 выбор площадки.</w:t>
      </w:r>
    </w:p>
    <w:p w14:paraId="21911A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Проектное задание утверждено.</w:t>
      </w:r>
    </w:p>
    <w:p w14:paraId="56BF35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Решения Правительства об отводе земли под строительство авода еще нет.</w:t>
      </w:r>
    </w:p>
    <w:p w14:paraId="006894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проект - в стадии проектирования. К строительству завода не приступили.</w:t>
      </w:r>
    </w:p>
    <w:p w14:paraId="471614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123</w:t>
      </w:r>
    </w:p>
    <w:p w14:paraId="35289A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 выбор площадки.</w:t>
      </w:r>
    </w:p>
    <w:p w14:paraId="71B142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Проектное задание утверждено 14 мая 1940 года.</w:t>
      </w:r>
    </w:p>
    <w:p w14:paraId="385E0C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Имеется решение Правительства об отводе участка под строительство завода, площадью 500 га, вместо необходимых 750 га.</w:t>
      </w:r>
    </w:p>
    <w:p w14:paraId="0B1413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проект в стадии проектирования.</w:t>
      </w:r>
    </w:p>
    <w:p w14:paraId="1C41C6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завода ведет Наркомастрой, осуществляет строительство врееменных сооружений, подъекздных путей и прочих объектов.</w:t>
      </w:r>
    </w:p>
    <w:p w14:paraId="227772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капвложениях в 1941 г. - 90 млн. руб. 1-я очередь может быть обеспечена в 3-м кв. 1942 года.</w:t>
      </w:r>
    </w:p>
    <w:p w14:paraId="5B7D78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127</w:t>
      </w:r>
    </w:p>
    <w:p w14:paraId="7781AA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 выбор площадки.</w:t>
      </w:r>
    </w:p>
    <w:p w14:paraId="447D17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Утверждено проектное задание 9 апреля 1940 года.</w:t>
      </w:r>
    </w:p>
    <w:p w14:paraId="0DE8FDF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Правительства отведен участок под строительство 500 га, вместо необходимых 820 га.</w:t>
      </w:r>
    </w:p>
    <w:p w14:paraId="3E6312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осуществляет временные сооружения, разрабатывае и карьерное хозяйство, производит освоение площадки.</w:t>
      </w:r>
    </w:p>
    <w:p w14:paraId="79CFF7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проект в стадии проектирования.</w:t>
      </w:r>
    </w:p>
    <w:p w14:paraId="3A4C1C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Годовой план по строительству на 01.08-40 г. выполнен на 12, 1%.</w:t>
      </w:r>
    </w:p>
    <w:p w14:paraId="14DBF5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капвложениях в 1941 году - 110 мил. рублей 1-я очередь может быть закончена в 4-м кв. 1942 года.</w:t>
      </w:r>
    </w:p>
    <w:p w14:paraId="556A3C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123</w:t>
      </w:r>
    </w:p>
    <w:p w14:paraId="67B07F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Выбор площадки произведен.</w:t>
      </w:r>
    </w:p>
    <w:p w14:paraId="7923D9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Проектное задание утверждено 31 июля 1940 г., отвод участка под строительство произведен.</w:t>
      </w:r>
    </w:p>
    <w:p w14:paraId="6F61B1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проект в стадии проектирования.</w:t>
      </w:r>
    </w:p>
    <w:p w14:paraId="11D095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строительству завода не приступлено.</w:t>
      </w:r>
    </w:p>
    <w:p w14:paraId="0A0D187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129</w:t>
      </w:r>
    </w:p>
    <w:p w14:paraId="336FD4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Выбор площадки произведен.</w:t>
      </w:r>
    </w:p>
    <w:p w14:paraId="64410B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Проектное задание утверждено 23 июля 1940 года.</w:t>
      </w:r>
    </w:p>
    <w:p w14:paraId="2E6DEF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Правительства об отводе участка под строительство завода нет.</w:t>
      </w:r>
    </w:p>
    <w:p w14:paraId="4A8B72F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проект в стадии проектирования.</w:t>
      </w:r>
    </w:p>
    <w:p w14:paraId="62C5AA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строительству завода не приступили.</w:t>
      </w:r>
    </w:p>
    <w:p w14:paraId="54342C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130</w:t>
      </w:r>
    </w:p>
    <w:p w14:paraId="7097CB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Проектное задание утверждено 4 июня 1940 года.</w:t>
      </w:r>
    </w:p>
    <w:p w14:paraId="0A60F9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Технические проект в стадии проектирования.</w:t>
      </w:r>
    </w:p>
    <w:p w14:paraId="453FAB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осудествляется подрядным Трестом НКАП</w:t>
      </w:r>
    </w:p>
    <w:p w14:paraId="36A94BD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Ведутся подготовительные работы к строительству, строится жилъе, дороги, временнне сооружения и проч.</w:t>
      </w:r>
    </w:p>
    <w:p w14:paraId="17D00C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капвложениях на 1941 год в 110 млн. рублей окончание 1-й очереди завода в 4 квартале 1942 года обеспечивается.</w:t>
      </w:r>
    </w:p>
    <w:p w14:paraId="236DA2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131</w:t>
      </w:r>
    </w:p>
    <w:p w14:paraId="400107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Выбор площадки и проектное задание утверждена.</w:t>
      </w:r>
    </w:p>
    <w:p w14:paraId="02937A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Имеется решение Правительства об отводе участка под строительство завода.</w:t>
      </w:r>
    </w:p>
    <w:p w14:paraId="6EDC4A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осуществляется хозяйственным способом НКАП.</w:t>
      </w:r>
    </w:p>
    <w:p w14:paraId="141079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Строится жилье, временные сооружения, развернуты подготовительные работы, осуществляется строительство жел. дор. под"ездной ветки.</w:t>
      </w:r>
    </w:p>
    <w:p w14:paraId="570BA8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Технический проект в стадии проектирования.</w:t>
      </w:r>
    </w:p>
    <w:p w14:paraId="755731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капиталовложениях на 1941 год в 120 млн. руб. окончание 1-й очереди завода в 1-м кв. 1942 года обеспечивается.</w:t>
      </w:r>
    </w:p>
    <w:p w14:paraId="2D0C95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того чтобы выправить положение со строительством в 1940 году и закончить реконструкцию действующих заводов </w:t>
      </w:r>
      <w:r w:rsidRPr="00DB5D0D">
        <w:rPr>
          <w:rFonts w:ascii="Times New Roman" w:hAnsi="Times New Roman"/>
          <w:smallCaps/>
          <w:color w:val="000000" w:themeColor="text1"/>
          <w:sz w:val="16"/>
          <w:szCs w:val="16"/>
        </w:rPr>
        <w:t xml:space="preserve">б </w:t>
      </w:r>
      <w:r w:rsidRPr="00DB5D0D">
        <w:rPr>
          <w:rFonts w:ascii="Times New Roman" w:hAnsi="Times New Roman"/>
          <w:color w:val="000000" w:themeColor="text1"/>
          <w:sz w:val="16"/>
          <w:szCs w:val="16"/>
        </w:rPr>
        <w:t>1941 году необходимо:</w:t>
      </w:r>
    </w:p>
    <w:p w14:paraId="56E044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Увеличить план 3-го квартала на 13 мил. руб.</w:t>
      </w:r>
    </w:p>
    <w:p w14:paraId="74C1B2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план 4-го квартала в сумме 170 млн. руб.</w:t>
      </w:r>
    </w:p>
    <w:p w14:paraId="45FB3F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 оставшиеся 4 месяца выделить следующее количество основных материалов: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D5DF8" w:rsidRPr="00DB5D0D" w14:paraId="68A1D97F" w14:textId="77777777" w:rsidTr="00E543D0">
        <w:tc>
          <w:tcPr>
            <w:tcW w:w="5636" w:type="dxa"/>
            <w:tcBorders>
              <w:top w:val="single" w:sz="12" w:space="0" w:color="auto"/>
            </w:tcBorders>
            <w:shd w:val="clear" w:color="auto" w:fill="FFFFFF"/>
          </w:tcPr>
          <w:p w14:paraId="52D0B9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цемента</w:t>
            </w:r>
          </w:p>
        </w:tc>
        <w:tc>
          <w:tcPr>
            <w:tcW w:w="5636" w:type="dxa"/>
            <w:tcBorders>
              <w:top w:val="single" w:sz="12" w:space="0" w:color="auto"/>
            </w:tcBorders>
            <w:shd w:val="clear" w:color="auto" w:fill="FFFFFF"/>
          </w:tcPr>
          <w:p w14:paraId="2C6638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45000 тн.</w:t>
            </w:r>
          </w:p>
        </w:tc>
      </w:tr>
      <w:tr w:rsidR="007D5DF8" w:rsidRPr="00DB5D0D" w14:paraId="4D4C94C0" w14:textId="77777777" w:rsidTr="00E543D0">
        <w:tc>
          <w:tcPr>
            <w:tcW w:w="5636" w:type="dxa"/>
            <w:shd w:val="clear" w:color="auto" w:fill="FFFFFF"/>
          </w:tcPr>
          <w:p w14:paraId="2421C6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рубероида</w:t>
            </w:r>
          </w:p>
        </w:tc>
        <w:tc>
          <w:tcPr>
            <w:tcW w:w="5636" w:type="dxa"/>
            <w:shd w:val="clear" w:color="auto" w:fill="FFFFFF"/>
          </w:tcPr>
          <w:p w14:paraId="3EC2AB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2300 рул.</w:t>
            </w:r>
          </w:p>
        </w:tc>
      </w:tr>
      <w:tr w:rsidR="007D5DF8" w:rsidRPr="00DB5D0D" w14:paraId="64C18645" w14:textId="77777777" w:rsidTr="00E543D0">
        <w:tc>
          <w:tcPr>
            <w:tcW w:w="5636" w:type="dxa"/>
            <w:shd w:val="clear" w:color="auto" w:fill="FFFFFF"/>
          </w:tcPr>
          <w:p w14:paraId="0DF358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Пиргамина</w:t>
            </w:r>
          </w:p>
        </w:tc>
        <w:tc>
          <w:tcPr>
            <w:tcW w:w="5636" w:type="dxa"/>
            <w:shd w:val="clear" w:color="auto" w:fill="FFFFFF"/>
          </w:tcPr>
          <w:p w14:paraId="4B85BD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11500 рул.</w:t>
            </w:r>
          </w:p>
        </w:tc>
      </w:tr>
      <w:tr w:rsidR="007D5DF8" w:rsidRPr="00DB5D0D" w14:paraId="7EEFCC47" w14:textId="77777777" w:rsidTr="00E543D0">
        <w:tc>
          <w:tcPr>
            <w:tcW w:w="5636" w:type="dxa"/>
            <w:shd w:val="clear" w:color="auto" w:fill="FFFFFF"/>
          </w:tcPr>
          <w:p w14:paraId="6F48E6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Асфальта</w:t>
            </w:r>
          </w:p>
        </w:tc>
        <w:tc>
          <w:tcPr>
            <w:tcW w:w="5636" w:type="dxa"/>
            <w:shd w:val="clear" w:color="auto" w:fill="FFFFFF"/>
          </w:tcPr>
          <w:p w14:paraId="5AB8CF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1900 тн.</w:t>
            </w:r>
          </w:p>
        </w:tc>
      </w:tr>
      <w:tr w:rsidR="007D5DF8" w:rsidRPr="00DB5D0D" w14:paraId="540CE1BA" w14:textId="77777777" w:rsidTr="00E543D0">
        <w:tc>
          <w:tcPr>
            <w:tcW w:w="5636" w:type="dxa"/>
            <w:shd w:val="clear" w:color="auto" w:fill="FFFFFF"/>
          </w:tcPr>
          <w:p w14:paraId="507CBA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нефтебитума</w:t>
            </w:r>
          </w:p>
        </w:tc>
        <w:tc>
          <w:tcPr>
            <w:tcW w:w="5636" w:type="dxa"/>
            <w:shd w:val="clear" w:color="auto" w:fill="FFFFFF"/>
          </w:tcPr>
          <w:p w14:paraId="5BFB55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 тн.</w:t>
            </w:r>
          </w:p>
        </w:tc>
      </w:tr>
      <w:tr w:rsidR="007D5DF8" w:rsidRPr="00DB5D0D" w14:paraId="649C5278" w14:textId="77777777" w:rsidTr="00E543D0">
        <w:tc>
          <w:tcPr>
            <w:tcW w:w="5636" w:type="dxa"/>
            <w:shd w:val="clear" w:color="auto" w:fill="FFFFFF"/>
          </w:tcPr>
          <w:p w14:paraId="0D3C73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сортового железа</w:t>
            </w:r>
          </w:p>
        </w:tc>
        <w:tc>
          <w:tcPr>
            <w:tcW w:w="5636" w:type="dxa"/>
            <w:shd w:val="clear" w:color="auto" w:fill="FFFFFF"/>
          </w:tcPr>
          <w:p w14:paraId="632A30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 тн</w:t>
            </w:r>
          </w:p>
        </w:tc>
      </w:tr>
      <w:tr w:rsidR="007D5DF8" w:rsidRPr="00DB5D0D" w14:paraId="6A7AC1C4" w14:textId="77777777" w:rsidTr="00E543D0">
        <w:tc>
          <w:tcPr>
            <w:tcW w:w="5636" w:type="dxa"/>
            <w:shd w:val="clear" w:color="auto" w:fill="FFFFFF"/>
          </w:tcPr>
          <w:p w14:paraId="5C14AB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листового железа</w:t>
            </w:r>
          </w:p>
        </w:tc>
        <w:tc>
          <w:tcPr>
            <w:tcW w:w="5636" w:type="dxa"/>
            <w:shd w:val="clear" w:color="auto" w:fill="FFFFFF"/>
          </w:tcPr>
          <w:p w14:paraId="201541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 тн.</w:t>
            </w:r>
          </w:p>
        </w:tc>
      </w:tr>
      <w:tr w:rsidR="007D5DF8" w:rsidRPr="00DB5D0D" w14:paraId="08B0B826" w14:textId="77777777" w:rsidTr="00E543D0">
        <w:tc>
          <w:tcPr>
            <w:tcW w:w="5636" w:type="dxa"/>
            <w:shd w:val="clear" w:color="auto" w:fill="FFFFFF"/>
          </w:tcPr>
          <w:p w14:paraId="026862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кровельного железа</w:t>
            </w:r>
          </w:p>
        </w:tc>
        <w:tc>
          <w:tcPr>
            <w:tcW w:w="5636" w:type="dxa"/>
            <w:shd w:val="clear" w:color="auto" w:fill="FFFFFF"/>
          </w:tcPr>
          <w:p w14:paraId="799C9F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 тн.</w:t>
            </w:r>
          </w:p>
        </w:tc>
      </w:tr>
      <w:tr w:rsidR="007D5DF8" w:rsidRPr="00DB5D0D" w14:paraId="3F2A960E" w14:textId="77777777" w:rsidTr="00E543D0">
        <w:tc>
          <w:tcPr>
            <w:tcW w:w="5636" w:type="dxa"/>
            <w:shd w:val="clear" w:color="auto" w:fill="FFFFFF"/>
          </w:tcPr>
          <w:p w14:paraId="7E953A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Балок и швеллеров</w:t>
            </w:r>
          </w:p>
        </w:tc>
        <w:tc>
          <w:tcPr>
            <w:tcW w:w="5636" w:type="dxa"/>
            <w:shd w:val="clear" w:color="auto" w:fill="FFFFFF"/>
          </w:tcPr>
          <w:p w14:paraId="3E00C8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 тн.</w:t>
            </w:r>
          </w:p>
        </w:tc>
      </w:tr>
      <w:tr w:rsidR="007D5DF8" w:rsidRPr="00DB5D0D" w14:paraId="0F46D410" w14:textId="77777777" w:rsidTr="00E543D0">
        <w:tc>
          <w:tcPr>
            <w:tcW w:w="5636" w:type="dxa"/>
            <w:shd w:val="clear" w:color="auto" w:fill="FFFFFF"/>
          </w:tcPr>
          <w:p w14:paraId="5FCB67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Катанки</w:t>
            </w:r>
          </w:p>
        </w:tc>
        <w:tc>
          <w:tcPr>
            <w:tcW w:w="5636" w:type="dxa"/>
            <w:shd w:val="clear" w:color="auto" w:fill="FFFFFF"/>
          </w:tcPr>
          <w:p w14:paraId="194536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 тн.</w:t>
            </w:r>
          </w:p>
        </w:tc>
      </w:tr>
      <w:tr w:rsidR="007D5DF8" w:rsidRPr="00DB5D0D" w14:paraId="662FD57B" w14:textId="77777777" w:rsidTr="00E543D0">
        <w:tc>
          <w:tcPr>
            <w:tcW w:w="5636" w:type="dxa"/>
            <w:shd w:val="clear" w:color="auto" w:fill="FFFFFF"/>
          </w:tcPr>
          <w:p w14:paraId="2B422E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леса круглого</w:t>
            </w:r>
          </w:p>
        </w:tc>
        <w:tc>
          <w:tcPr>
            <w:tcW w:w="5636" w:type="dxa"/>
            <w:shd w:val="clear" w:color="auto" w:fill="FFFFFF"/>
          </w:tcPr>
          <w:p w14:paraId="24EE549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2D9F58F" w14:textId="77777777" w:rsidTr="00E543D0">
        <w:tc>
          <w:tcPr>
            <w:tcW w:w="5636" w:type="dxa"/>
            <w:shd w:val="clear" w:color="auto" w:fill="FFFFFF"/>
          </w:tcPr>
          <w:p w14:paraId="541DCB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леса пиленого</w:t>
            </w:r>
          </w:p>
        </w:tc>
        <w:tc>
          <w:tcPr>
            <w:tcW w:w="5636" w:type="dxa"/>
            <w:shd w:val="clear" w:color="auto" w:fill="FFFFFF"/>
          </w:tcPr>
          <w:p w14:paraId="161370C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158C9C1" w14:textId="77777777" w:rsidTr="00E543D0">
        <w:tc>
          <w:tcPr>
            <w:tcW w:w="5636" w:type="dxa"/>
            <w:shd w:val="clear" w:color="auto" w:fill="FFFFFF"/>
          </w:tcPr>
          <w:p w14:paraId="7EAE27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1941 год установить годовой план капиталовложений по действующим заводам в сумме</w:t>
            </w:r>
          </w:p>
        </w:tc>
        <w:tc>
          <w:tcPr>
            <w:tcW w:w="5636" w:type="dxa"/>
            <w:shd w:val="clear" w:color="auto" w:fill="FFFFFF"/>
          </w:tcPr>
          <w:p w14:paraId="7A1DB9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650 млн. руб.</w:t>
            </w:r>
          </w:p>
        </w:tc>
      </w:tr>
      <w:tr w:rsidR="007D5DF8" w:rsidRPr="00DB5D0D" w14:paraId="07CAFC76" w14:textId="77777777" w:rsidTr="00E543D0">
        <w:tc>
          <w:tcPr>
            <w:tcW w:w="5636" w:type="dxa"/>
            <w:shd w:val="clear" w:color="auto" w:fill="FFFFFF"/>
          </w:tcPr>
          <w:p w14:paraId="2640D4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по новымзаводам</w:t>
            </w:r>
          </w:p>
        </w:tc>
        <w:tc>
          <w:tcPr>
            <w:tcW w:w="5636" w:type="dxa"/>
            <w:shd w:val="clear" w:color="auto" w:fill="FFFFFF"/>
          </w:tcPr>
          <w:p w14:paraId="2026B3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 млн. руб</w:t>
            </w:r>
          </w:p>
        </w:tc>
      </w:tr>
      <w:tr w:rsidR="007D5DF8" w:rsidRPr="00DB5D0D" w14:paraId="755C7CEB" w14:textId="77777777" w:rsidTr="00E543D0">
        <w:tc>
          <w:tcPr>
            <w:tcW w:w="5636" w:type="dxa"/>
            <w:tcBorders>
              <w:bottom w:val="single" w:sz="12" w:space="0" w:color="auto"/>
            </w:tcBorders>
            <w:shd w:val="clear" w:color="auto" w:fill="FFFFFF"/>
          </w:tcPr>
          <w:p w14:paraId="1143EC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5636" w:type="dxa"/>
            <w:tcBorders>
              <w:bottom w:val="single" w:sz="12" w:space="0" w:color="auto"/>
            </w:tcBorders>
            <w:shd w:val="clear" w:color="auto" w:fill="FFFFFF"/>
          </w:tcPr>
          <w:p w14:paraId="75CDDB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1450</w:t>
            </w:r>
          </w:p>
        </w:tc>
      </w:tr>
    </w:tbl>
    <w:p w14:paraId="78312D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том числе по заводам:</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90"/>
        <w:gridCol w:w="3780"/>
        <w:gridCol w:w="3694"/>
      </w:tblGrid>
      <w:tr w:rsidR="007D5DF8" w:rsidRPr="00DB5D0D" w14:paraId="133D0E89" w14:textId="77777777" w:rsidTr="00E543D0">
        <w:tc>
          <w:tcPr>
            <w:tcW w:w="3690" w:type="dxa"/>
            <w:tcBorders>
              <w:top w:val="single" w:sz="12" w:space="0" w:color="auto"/>
            </w:tcBorders>
            <w:shd w:val="clear" w:color="auto" w:fill="FFFFFF"/>
          </w:tcPr>
          <w:p w14:paraId="11BE55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118</w:t>
            </w:r>
          </w:p>
        </w:tc>
        <w:tc>
          <w:tcPr>
            <w:tcW w:w="3780" w:type="dxa"/>
            <w:tcBorders>
              <w:top w:val="single" w:sz="12" w:space="0" w:color="auto"/>
            </w:tcBorders>
            <w:shd w:val="clear" w:color="auto" w:fill="FFFFFF"/>
          </w:tcPr>
          <w:p w14:paraId="4DDEE1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гор. Сталинград</w:t>
            </w:r>
          </w:p>
        </w:tc>
        <w:tc>
          <w:tcPr>
            <w:tcW w:w="3694" w:type="dxa"/>
            <w:tcBorders>
              <w:top w:val="single" w:sz="12" w:space="0" w:color="auto"/>
            </w:tcBorders>
            <w:shd w:val="clear" w:color="auto" w:fill="FFFFFF"/>
          </w:tcPr>
          <w:p w14:paraId="7A8674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30.000 </w:t>
            </w:r>
            <w:r w:rsidRPr="00DB5D0D">
              <w:rPr>
                <w:rFonts w:ascii="Times New Roman" w:hAnsi="Times New Roman"/>
                <w:smallCaps/>
                <w:color w:val="000000" w:themeColor="text1"/>
                <w:sz w:val="16"/>
                <w:szCs w:val="16"/>
              </w:rPr>
              <w:t>тыс. р</w:t>
            </w:r>
            <w:r w:rsidRPr="00DB5D0D">
              <w:rPr>
                <w:rFonts w:ascii="Times New Roman" w:hAnsi="Times New Roman"/>
                <w:color w:val="000000" w:themeColor="text1"/>
                <w:sz w:val="16"/>
                <w:szCs w:val="16"/>
              </w:rPr>
              <w:t>уб.</w:t>
            </w:r>
          </w:p>
        </w:tc>
      </w:tr>
      <w:tr w:rsidR="007D5DF8" w:rsidRPr="00DB5D0D" w14:paraId="42138361" w14:textId="77777777" w:rsidTr="00E543D0">
        <w:tc>
          <w:tcPr>
            <w:tcW w:w="3690" w:type="dxa"/>
            <w:shd w:val="clear" w:color="auto" w:fill="FFFFFF"/>
          </w:tcPr>
          <w:p w14:paraId="28635A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121</w:t>
            </w:r>
          </w:p>
        </w:tc>
        <w:tc>
          <w:tcPr>
            <w:tcW w:w="3780" w:type="dxa"/>
            <w:shd w:val="clear" w:color="auto" w:fill="FFFFFF"/>
          </w:tcPr>
          <w:p w14:paraId="069ADF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Балашов</w:t>
            </w:r>
          </w:p>
        </w:tc>
        <w:tc>
          <w:tcPr>
            <w:tcW w:w="3694" w:type="dxa"/>
            <w:shd w:val="clear" w:color="auto" w:fill="FFFFFF"/>
          </w:tcPr>
          <w:p w14:paraId="7E73F8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50.000</w:t>
            </w:r>
          </w:p>
        </w:tc>
      </w:tr>
      <w:tr w:rsidR="007D5DF8" w:rsidRPr="00DB5D0D" w14:paraId="7EF810CA" w14:textId="77777777" w:rsidTr="00E543D0">
        <w:tc>
          <w:tcPr>
            <w:tcW w:w="3690" w:type="dxa"/>
            <w:shd w:val="clear" w:color="auto" w:fill="FFFFFF"/>
          </w:tcPr>
          <w:p w14:paraId="01A3FC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122</w:t>
            </w:r>
          </w:p>
        </w:tc>
        <w:tc>
          <w:tcPr>
            <w:tcW w:w="3780" w:type="dxa"/>
            <w:shd w:val="clear" w:color="auto" w:fill="FFFFFF"/>
          </w:tcPr>
          <w:p w14:paraId="0B251E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Куйбышев</w:t>
            </w:r>
          </w:p>
        </w:tc>
        <w:tc>
          <w:tcPr>
            <w:tcW w:w="3694" w:type="dxa"/>
            <w:shd w:val="clear" w:color="auto" w:fill="FFFFFF"/>
          </w:tcPr>
          <w:p w14:paraId="2A078E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150.000</w:t>
            </w:r>
          </w:p>
        </w:tc>
      </w:tr>
      <w:tr w:rsidR="007D5DF8" w:rsidRPr="00DB5D0D" w14:paraId="019EF042" w14:textId="77777777" w:rsidTr="00E543D0">
        <w:tblPrEx>
          <w:tblCellMar>
            <w:left w:w="40" w:type="dxa"/>
            <w:right w:w="40" w:type="dxa"/>
          </w:tblCellMar>
        </w:tblPrEx>
        <w:trPr>
          <w:trHeight w:val="216"/>
        </w:trPr>
        <w:tc>
          <w:tcPr>
            <w:tcW w:w="3690" w:type="dxa"/>
          </w:tcPr>
          <w:p w14:paraId="0DA90A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123 - </w:t>
            </w:r>
          </w:p>
        </w:tc>
        <w:tc>
          <w:tcPr>
            <w:tcW w:w="3780" w:type="dxa"/>
          </w:tcPr>
          <w:p w14:paraId="290310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Каменск</w:t>
            </w:r>
          </w:p>
        </w:tc>
        <w:tc>
          <w:tcPr>
            <w:tcW w:w="3690" w:type="dxa"/>
          </w:tcPr>
          <w:p w14:paraId="759C20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100.000</w:t>
            </w:r>
          </w:p>
        </w:tc>
      </w:tr>
      <w:tr w:rsidR="007D5DF8" w:rsidRPr="00DB5D0D" w14:paraId="6A83AA6D" w14:textId="77777777" w:rsidTr="00E543D0">
        <w:tblPrEx>
          <w:tblCellMar>
            <w:left w:w="40" w:type="dxa"/>
            <w:right w:w="40" w:type="dxa"/>
          </w:tblCellMar>
        </w:tblPrEx>
        <w:trPr>
          <w:trHeight w:val="173"/>
        </w:trPr>
        <w:tc>
          <w:tcPr>
            <w:tcW w:w="3690" w:type="dxa"/>
          </w:tcPr>
          <w:p w14:paraId="4973D2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127</w:t>
            </w:r>
          </w:p>
        </w:tc>
        <w:tc>
          <w:tcPr>
            <w:tcW w:w="3780" w:type="dxa"/>
          </w:tcPr>
          <w:p w14:paraId="7B556C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Ульяновск</w:t>
            </w:r>
          </w:p>
        </w:tc>
        <w:tc>
          <w:tcPr>
            <w:tcW w:w="3690" w:type="dxa"/>
          </w:tcPr>
          <w:p w14:paraId="172466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100.000</w:t>
            </w:r>
          </w:p>
        </w:tc>
      </w:tr>
      <w:tr w:rsidR="007D5DF8" w:rsidRPr="00DB5D0D" w14:paraId="742D4645" w14:textId="77777777" w:rsidTr="00E543D0">
        <w:tblPrEx>
          <w:tblCellMar>
            <w:left w:w="40" w:type="dxa"/>
            <w:right w:w="40" w:type="dxa"/>
          </w:tblCellMar>
        </w:tblPrEx>
        <w:trPr>
          <w:trHeight w:val="252"/>
        </w:trPr>
        <w:tc>
          <w:tcPr>
            <w:tcW w:w="3690" w:type="dxa"/>
          </w:tcPr>
          <w:p w14:paraId="582DFE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128</w:t>
            </w:r>
          </w:p>
        </w:tc>
        <w:tc>
          <w:tcPr>
            <w:tcW w:w="3780" w:type="dxa"/>
          </w:tcPr>
          <w:p w14:paraId="778B30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Аткарск</w:t>
            </w:r>
          </w:p>
        </w:tc>
        <w:tc>
          <w:tcPr>
            <w:tcW w:w="3690" w:type="dxa"/>
          </w:tcPr>
          <w:p w14:paraId="31D930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50.000</w:t>
            </w:r>
          </w:p>
        </w:tc>
      </w:tr>
      <w:tr w:rsidR="007D5DF8" w:rsidRPr="00DB5D0D" w14:paraId="177A94EC" w14:textId="77777777" w:rsidTr="00E543D0">
        <w:tblPrEx>
          <w:tblCellMar>
            <w:left w:w="40" w:type="dxa"/>
            <w:right w:w="40" w:type="dxa"/>
          </w:tblCellMar>
        </w:tblPrEx>
        <w:trPr>
          <w:trHeight w:val="266"/>
        </w:trPr>
        <w:tc>
          <w:tcPr>
            <w:tcW w:w="3690" w:type="dxa"/>
          </w:tcPr>
          <w:p w14:paraId="07EDB4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129</w:t>
            </w:r>
          </w:p>
        </w:tc>
        <w:tc>
          <w:tcPr>
            <w:tcW w:w="3780" w:type="dxa"/>
          </w:tcPr>
          <w:p w14:paraId="453A76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Улан-Уде</w:t>
            </w:r>
          </w:p>
        </w:tc>
        <w:tc>
          <w:tcPr>
            <w:tcW w:w="3690" w:type="dxa"/>
          </w:tcPr>
          <w:p w14:paraId="6EDFB6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50.000</w:t>
            </w:r>
          </w:p>
        </w:tc>
      </w:tr>
      <w:tr w:rsidR="007D5DF8" w:rsidRPr="00DB5D0D" w14:paraId="3CBF2FA6" w14:textId="77777777" w:rsidTr="00E543D0">
        <w:tblPrEx>
          <w:tblCellMar>
            <w:left w:w="40" w:type="dxa"/>
            <w:right w:w="40" w:type="dxa"/>
          </w:tblCellMar>
        </w:tblPrEx>
        <w:trPr>
          <w:trHeight w:val="173"/>
        </w:trPr>
        <w:tc>
          <w:tcPr>
            <w:tcW w:w="3690" w:type="dxa"/>
          </w:tcPr>
          <w:p w14:paraId="54AFD2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130</w:t>
            </w:r>
          </w:p>
        </w:tc>
        <w:tc>
          <w:tcPr>
            <w:tcW w:w="3780" w:type="dxa"/>
          </w:tcPr>
          <w:p w14:paraId="783D0E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Комсомольск</w:t>
            </w:r>
          </w:p>
        </w:tc>
        <w:tc>
          <w:tcPr>
            <w:tcW w:w="3690" w:type="dxa"/>
          </w:tcPr>
          <w:p w14:paraId="595569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120.000</w:t>
            </w:r>
          </w:p>
        </w:tc>
      </w:tr>
      <w:tr w:rsidR="007D5DF8" w:rsidRPr="00DB5D0D" w14:paraId="0AF2E884" w14:textId="77777777" w:rsidTr="00E543D0">
        <w:tblPrEx>
          <w:tblCellMar>
            <w:left w:w="40" w:type="dxa"/>
            <w:right w:w="40" w:type="dxa"/>
          </w:tblCellMar>
        </w:tblPrEx>
        <w:trPr>
          <w:trHeight w:val="223"/>
        </w:trPr>
        <w:tc>
          <w:tcPr>
            <w:tcW w:w="3690" w:type="dxa"/>
            <w:tcBorders>
              <w:bottom w:val="single" w:sz="12" w:space="0" w:color="auto"/>
            </w:tcBorders>
          </w:tcPr>
          <w:p w14:paraId="0D93BC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131</w:t>
            </w:r>
          </w:p>
        </w:tc>
        <w:tc>
          <w:tcPr>
            <w:tcW w:w="3780" w:type="dxa"/>
            <w:tcBorders>
              <w:bottom w:val="single" w:sz="12" w:space="0" w:color="auto"/>
            </w:tcBorders>
          </w:tcPr>
          <w:p w14:paraId="77B692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 Кутаиси</w:t>
            </w:r>
          </w:p>
        </w:tc>
        <w:tc>
          <w:tcPr>
            <w:tcW w:w="3690" w:type="dxa"/>
            <w:tcBorders>
              <w:bottom w:val="single" w:sz="12" w:space="0" w:color="auto"/>
            </w:tcBorders>
          </w:tcPr>
          <w:p w14:paraId="322686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150.000</w:t>
            </w:r>
          </w:p>
        </w:tc>
      </w:tr>
    </w:tbl>
    <w:p w14:paraId="23CEC0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Полностью закончить строительство и реконструкцию в 1941 г. следующих заводов:</w:t>
      </w:r>
    </w:p>
    <w:p w14:paraId="4DB649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 № 18, № 21, № 22, № 23, № 30, № 31, № 31, № 39, № 47, № 84, № 125, № 126, № 135, № 292, № 301, № 305 (10498,29).</w:t>
      </w:r>
    </w:p>
    <w:p w14:paraId="653F3E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августа 1940 Зам. Нач. ПГУ Зориным была подготовлена Справка по полной стоимости заводов ПГУ НКАП - Приложение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7D5DF8" w:rsidRPr="00DB5D0D" w14:paraId="67B55573" w14:textId="77777777" w:rsidTr="00E543D0">
        <w:tc>
          <w:tcPr>
            <w:tcW w:w="1127" w:type="dxa"/>
            <w:tcBorders>
              <w:top w:val="single" w:sz="12" w:space="0" w:color="auto"/>
            </w:tcBorders>
          </w:tcPr>
          <w:p w14:paraId="465624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Заводов</w:t>
            </w:r>
          </w:p>
        </w:tc>
        <w:tc>
          <w:tcPr>
            <w:tcW w:w="3381" w:type="dxa"/>
            <w:gridSpan w:val="3"/>
            <w:tcBorders>
              <w:top w:val="single" w:sz="12" w:space="0" w:color="auto"/>
            </w:tcBorders>
          </w:tcPr>
          <w:p w14:paraId="71C09F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Полная стоимость заводов в млн. руб.</w:t>
            </w:r>
          </w:p>
        </w:tc>
        <w:tc>
          <w:tcPr>
            <w:tcW w:w="3381" w:type="dxa"/>
            <w:gridSpan w:val="3"/>
            <w:tcBorders>
              <w:top w:val="single" w:sz="12" w:space="0" w:color="auto"/>
            </w:tcBorders>
          </w:tcPr>
          <w:p w14:paraId="05AEF2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Вложено на 01.01.40 г. в млн. руб.</w:t>
            </w:r>
          </w:p>
        </w:tc>
        <w:tc>
          <w:tcPr>
            <w:tcW w:w="3381" w:type="dxa"/>
            <w:gridSpan w:val="3"/>
            <w:tcBorders>
              <w:top w:val="single" w:sz="12" w:space="0" w:color="auto"/>
            </w:tcBorders>
          </w:tcPr>
          <w:p w14:paraId="23A0B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Потребно для окончания строит. в млн. руб.</w:t>
            </w:r>
          </w:p>
        </w:tc>
      </w:tr>
      <w:tr w:rsidR="007D5DF8" w:rsidRPr="00DB5D0D" w14:paraId="6D8DB532" w14:textId="77777777" w:rsidTr="00E543D0">
        <w:tc>
          <w:tcPr>
            <w:tcW w:w="1127" w:type="dxa"/>
          </w:tcPr>
          <w:p w14:paraId="329C18C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296FA2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Промышл.</w:t>
            </w:r>
          </w:p>
        </w:tc>
        <w:tc>
          <w:tcPr>
            <w:tcW w:w="1127" w:type="dxa"/>
          </w:tcPr>
          <w:p w14:paraId="3AAA73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Жилое</w:t>
            </w:r>
          </w:p>
        </w:tc>
        <w:tc>
          <w:tcPr>
            <w:tcW w:w="1127" w:type="dxa"/>
          </w:tcPr>
          <w:p w14:paraId="380D59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127" w:type="dxa"/>
          </w:tcPr>
          <w:p w14:paraId="7321D7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Промышл.</w:t>
            </w:r>
          </w:p>
        </w:tc>
        <w:tc>
          <w:tcPr>
            <w:tcW w:w="1127" w:type="dxa"/>
          </w:tcPr>
          <w:p w14:paraId="74667A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Жилое</w:t>
            </w:r>
          </w:p>
        </w:tc>
        <w:tc>
          <w:tcPr>
            <w:tcW w:w="1127" w:type="dxa"/>
          </w:tcPr>
          <w:p w14:paraId="1A7AC4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127" w:type="dxa"/>
          </w:tcPr>
          <w:p w14:paraId="72C7EF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Промышл.</w:t>
            </w:r>
          </w:p>
        </w:tc>
        <w:tc>
          <w:tcPr>
            <w:tcW w:w="1127" w:type="dxa"/>
          </w:tcPr>
          <w:p w14:paraId="7B2D35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Жилое</w:t>
            </w:r>
          </w:p>
        </w:tc>
        <w:tc>
          <w:tcPr>
            <w:tcW w:w="1127" w:type="dxa"/>
          </w:tcPr>
          <w:p w14:paraId="1060D3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r>
      <w:tr w:rsidR="007D5DF8" w:rsidRPr="00DB5D0D" w14:paraId="5DA8F7D6" w14:textId="77777777" w:rsidTr="00E543D0">
        <w:tc>
          <w:tcPr>
            <w:tcW w:w="1127" w:type="dxa"/>
          </w:tcPr>
          <w:p w14:paraId="706D3B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127" w:type="dxa"/>
          </w:tcPr>
          <w:p w14:paraId="2997F1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96,3</w:t>
            </w:r>
          </w:p>
        </w:tc>
        <w:tc>
          <w:tcPr>
            <w:tcW w:w="1127" w:type="dxa"/>
          </w:tcPr>
          <w:p w14:paraId="45112E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28,2</w:t>
            </w:r>
          </w:p>
        </w:tc>
        <w:tc>
          <w:tcPr>
            <w:tcW w:w="1127" w:type="dxa"/>
          </w:tcPr>
          <w:p w14:paraId="3F3F42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124,5</w:t>
            </w:r>
          </w:p>
        </w:tc>
        <w:tc>
          <w:tcPr>
            <w:tcW w:w="1127" w:type="dxa"/>
          </w:tcPr>
          <w:p w14:paraId="78D9AD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80,5</w:t>
            </w:r>
          </w:p>
        </w:tc>
        <w:tc>
          <w:tcPr>
            <w:tcW w:w="1127" w:type="dxa"/>
          </w:tcPr>
          <w:p w14:paraId="51E7D7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w:t>
            </w:r>
          </w:p>
        </w:tc>
        <w:tc>
          <w:tcPr>
            <w:tcW w:w="1127" w:type="dxa"/>
          </w:tcPr>
          <w:p w14:paraId="46452E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97,2</w:t>
            </w:r>
          </w:p>
        </w:tc>
        <w:tc>
          <w:tcPr>
            <w:tcW w:w="1127" w:type="dxa"/>
          </w:tcPr>
          <w:p w14:paraId="67040C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15,8</w:t>
            </w:r>
          </w:p>
        </w:tc>
        <w:tc>
          <w:tcPr>
            <w:tcW w:w="1127" w:type="dxa"/>
          </w:tcPr>
          <w:p w14:paraId="21510C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1127" w:type="dxa"/>
          </w:tcPr>
          <w:p w14:paraId="3D576A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27,3</w:t>
            </w:r>
          </w:p>
        </w:tc>
      </w:tr>
      <w:tr w:rsidR="007D5DF8" w:rsidRPr="00DB5D0D" w14:paraId="3BB0842A" w14:textId="77777777" w:rsidTr="00E543D0">
        <w:tc>
          <w:tcPr>
            <w:tcW w:w="1127" w:type="dxa"/>
          </w:tcPr>
          <w:p w14:paraId="3638C3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1127" w:type="dxa"/>
          </w:tcPr>
          <w:p w14:paraId="3ABF61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136,6</w:t>
            </w:r>
          </w:p>
        </w:tc>
        <w:tc>
          <w:tcPr>
            <w:tcW w:w="1127" w:type="dxa"/>
          </w:tcPr>
          <w:p w14:paraId="5B0214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73,5</w:t>
            </w:r>
          </w:p>
        </w:tc>
        <w:tc>
          <w:tcPr>
            <w:tcW w:w="1127" w:type="dxa"/>
          </w:tcPr>
          <w:p w14:paraId="79CA63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210,1</w:t>
            </w:r>
          </w:p>
        </w:tc>
        <w:tc>
          <w:tcPr>
            <w:tcW w:w="1127" w:type="dxa"/>
          </w:tcPr>
          <w:p w14:paraId="646332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81,5</w:t>
            </w:r>
          </w:p>
        </w:tc>
        <w:tc>
          <w:tcPr>
            <w:tcW w:w="1127" w:type="dxa"/>
          </w:tcPr>
          <w:p w14:paraId="4C99C9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w:t>
            </w:r>
          </w:p>
        </w:tc>
        <w:tc>
          <w:tcPr>
            <w:tcW w:w="1127" w:type="dxa"/>
          </w:tcPr>
          <w:p w14:paraId="42D498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w:t>
            </w:r>
          </w:p>
        </w:tc>
        <w:tc>
          <w:tcPr>
            <w:tcW w:w="1127" w:type="dxa"/>
          </w:tcPr>
          <w:p w14:paraId="70FBC3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55,1</w:t>
            </w:r>
          </w:p>
        </w:tc>
        <w:tc>
          <w:tcPr>
            <w:tcW w:w="1127" w:type="dxa"/>
          </w:tcPr>
          <w:p w14:paraId="0581DB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127" w:type="dxa"/>
          </w:tcPr>
          <w:p w14:paraId="61CE20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98,1</w:t>
            </w:r>
          </w:p>
        </w:tc>
      </w:tr>
      <w:tr w:rsidR="007D5DF8" w:rsidRPr="00DB5D0D" w14:paraId="1D11C708" w14:textId="77777777" w:rsidTr="00E543D0">
        <w:tc>
          <w:tcPr>
            <w:tcW w:w="1127" w:type="dxa"/>
          </w:tcPr>
          <w:p w14:paraId="7DCB19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1127" w:type="dxa"/>
          </w:tcPr>
          <w:p w14:paraId="739465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118,3</w:t>
            </w:r>
          </w:p>
        </w:tc>
        <w:tc>
          <w:tcPr>
            <w:tcW w:w="1127" w:type="dxa"/>
          </w:tcPr>
          <w:p w14:paraId="1F068A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30,7</w:t>
            </w:r>
          </w:p>
        </w:tc>
        <w:tc>
          <w:tcPr>
            <w:tcW w:w="1127" w:type="dxa"/>
          </w:tcPr>
          <w:p w14:paraId="58F3E1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c>
          <w:tcPr>
            <w:tcW w:w="1127" w:type="dxa"/>
          </w:tcPr>
          <w:p w14:paraId="1F2169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52,7</w:t>
            </w:r>
          </w:p>
        </w:tc>
        <w:tc>
          <w:tcPr>
            <w:tcW w:w="1127" w:type="dxa"/>
          </w:tcPr>
          <w:p w14:paraId="5FE17C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w:t>
            </w:r>
          </w:p>
        </w:tc>
        <w:tc>
          <w:tcPr>
            <w:tcW w:w="1127" w:type="dxa"/>
          </w:tcPr>
          <w:p w14:paraId="687F9C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w:t>
            </w:r>
          </w:p>
        </w:tc>
        <w:tc>
          <w:tcPr>
            <w:tcW w:w="1127" w:type="dxa"/>
          </w:tcPr>
          <w:p w14:paraId="029824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65,6</w:t>
            </w:r>
          </w:p>
        </w:tc>
        <w:tc>
          <w:tcPr>
            <w:tcW w:w="1127" w:type="dxa"/>
          </w:tcPr>
          <w:p w14:paraId="21C3B3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w:t>
            </w:r>
          </w:p>
        </w:tc>
        <w:tc>
          <w:tcPr>
            <w:tcW w:w="1127" w:type="dxa"/>
          </w:tcPr>
          <w:p w14:paraId="6BCFC6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w:t>
            </w:r>
          </w:p>
        </w:tc>
      </w:tr>
      <w:tr w:rsidR="007D5DF8" w:rsidRPr="00DB5D0D" w14:paraId="7E47A089" w14:textId="77777777" w:rsidTr="00E543D0">
        <w:tc>
          <w:tcPr>
            <w:tcW w:w="1127" w:type="dxa"/>
          </w:tcPr>
          <w:p w14:paraId="4E0D3F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127" w:type="dxa"/>
          </w:tcPr>
          <w:p w14:paraId="6D5435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w:t>
            </w:r>
          </w:p>
        </w:tc>
        <w:tc>
          <w:tcPr>
            <w:tcW w:w="1127" w:type="dxa"/>
          </w:tcPr>
          <w:p w14:paraId="529317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w:t>
            </w:r>
          </w:p>
        </w:tc>
        <w:tc>
          <w:tcPr>
            <w:tcW w:w="1127" w:type="dxa"/>
          </w:tcPr>
          <w:p w14:paraId="7005E9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c>
          <w:tcPr>
            <w:tcW w:w="1127" w:type="dxa"/>
          </w:tcPr>
          <w:p w14:paraId="2DDC74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76,5</w:t>
            </w:r>
          </w:p>
        </w:tc>
        <w:tc>
          <w:tcPr>
            <w:tcW w:w="1127" w:type="dxa"/>
          </w:tcPr>
          <w:p w14:paraId="7D6B3C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w:t>
            </w:r>
          </w:p>
        </w:tc>
        <w:tc>
          <w:tcPr>
            <w:tcW w:w="1127" w:type="dxa"/>
          </w:tcPr>
          <w:p w14:paraId="1602E8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101,2</w:t>
            </w:r>
          </w:p>
        </w:tc>
        <w:tc>
          <w:tcPr>
            <w:tcW w:w="1127" w:type="dxa"/>
          </w:tcPr>
          <w:p w14:paraId="08A501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w:t>
            </w:r>
          </w:p>
        </w:tc>
        <w:tc>
          <w:tcPr>
            <w:tcW w:w="1127" w:type="dxa"/>
          </w:tcPr>
          <w:p w14:paraId="3D2BDE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127" w:type="dxa"/>
          </w:tcPr>
          <w:p w14:paraId="571290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r>
      <w:tr w:rsidR="007D5DF8" w:rsidRPr="00DB5D0D" w14:paraId="4283E816" w14:textId="77777777" w:rsidTr="00E543D0">
        <w:tc>
          <w:tcPr>
            <w:tcW w:w="1127" w:type="dxa"/>
          </w:tcPr>
          <w:p w14:paraId="1CE6AD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1127" w:type="dxa"/>
          </w:tcPr>
          <w:p w14:paraId="58ACC2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23,6</w:t>
            </w:r>
          </w:p>
        </w:tc>
        <w:tc>
          <w:tcPr>
            <w:tcW w:w="1127" w:type="dxa"/>
          </w:tcPr>
          <w:p w14:paraId="76BC3B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127" w:type="dxa"/>
          </w:tcPr>
          <w:p w14:paraId="2E4385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27,6</w:t>
            </w:r>
          </w:p>
        </w:tc>
        <w:tc>
          <w:tcPr>
            <w:tcW w:w="1127" w:type="dxa"/>
          </w:tcPr>
          <w:p w14:paraId="6F683D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14,7</w:t>
            </w:r>
          </w:p>
        </w:tc>
        <w:tc>
          <w:tcPr>
            <w:tcW w:w="1127" w:type="dxa"/>
          </w:tcPr>
          <w:p w14:paraId="0D16F2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w:t>
            </w:r>
          </w:p>
        </w:tc>
        <w:tc>
          <w:tcPr>
            <w:tcW w:w="1127" w:type="dxa"/>
          </w:tcPr>
          <w:p w14:paraId="445978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w:t>
            </w:r>
          </w:p>
        </w:tc>
        <w:tc>
          <w:tcPr>
            <w:tcW w:w="1127" w:type="dxa"/>
          </w:tcPr>
          <w:p w14:paraId="3778E6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w:t>
            </w:r>
          </w:p>
        </w:tc>
        <w:tc>
          <w:tcPr>
            <w:tcW w:w="1127" w:type="dxa"/>
          </w:tcPr>
          <w:p w14:paraId="341DD4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1127" w:type="dxa"/>
          </w:tcPr>
          <w:p w14:paraId="77603F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r>
      <w:tr w:rsidR="007D5DF8" w:rsidRPr="00DB5D0D" w14:paraId="12E082C5" w14:textId="77777777" w:rsidTr="00E543D0">
        <w:tc>
          <w:tcPr>
            <w:tcW w:w="1127" w:type="dxa"/>
          </w:tcPr>
          <w:p w14:paraId="596B74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127" w:type="dxa"/>
          </w:tcPr>
          <w:p w14:paraId="0A69CA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w:t>
            </w:r>
          </w:p>
        </w:tc>
        <w:tc>
          <w:tcPr>
            <w:tcW w:w="1127" w:type="dxa"/>
          </w:tcPr>
          <w:p w14:paraId="177D18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127" w:type="dxa"/>
          </w:tcPr>
          <w:p w14:paraId="35109B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109</w:t>
            </w:r>
          </w:p>
        </w:tc>
        <w:tc>
          <w:tcPr>
            <w:tcW w:w="1127" w:type="dxa"/>
          </w:tcPr>
          <w:p w14:paraId="592712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w:t>
            </w:r>
          </w:p>
        </w:tc>
        <w:tc>
          <w:tcPr>
            <w:tcW w:w="1127" w:type="dxa"/>
          </w:tcPr>
          <w:p w14:paraId="4AFF1A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127" w:type="dxa"/>
          </w:tcPr>
          <w:p w14:paraId="37ABE0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c>
          <w:tcPr>
            <w:tcW w:w="1127" w:type="dxa"/>
          </w:tcPr>
          <w:p w14:paraId="57C70F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1127" w:type="dxa"/>
          </w:tcPr>
          <w:p w14:paraId="0AB624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1127" w:type="dxa"/>
          </w:tcPr>
          <w:p w14:paraId="08ADE9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r>
      <w:tr w:rsidR="007D5DF8" w:rsidRPr="00DB5D0D" w14:paraId="4AF21BB7" w14:textId="77777777" w:rsidTr="00E543D0">
        <w:tc>
          <w:tcPr>
            <w:tcW w:w="1127" w:type="dxa"/>
          </w:tcPr>
          <w:p w14:paraId="4A056B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1127" w:type="dxa"/>
          </w:tcPr>
          <w:p w14:paraId="4CF32B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56,6</w:t>
            </w:r>
          </w:p>
        </w:tc>
        <w:tc>
          <w:tcPr>
            <w:tcW w:w="1127" w:type="dxa"/>
          </w:tcPr>
          <w:p w14:paraId="27EB64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14,3</w:t>
            </w:r>
          </w:p>
        </w:tc>
        <w:tc>
          <w:tcPr>
            <w:tcW w:w="1127" w:type="dxa"/>
          </w:tcPr>
          <w:p w14:paraId="0C85CD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70,9</w:t>
            </w:r>
          </w:p>
        </w:tc>
        <w:tc>
          <w:tcPr>
            <w:tcW w:w="1127" w:type="dxa"/>
          </w:tcPr>
          <w:p w14:paraId="043A00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40,1</w:t>
            </w:r>
          </w:p>
        </w:tc>
        <w:tc>
          <w:tcPr>
            <w:tcW w:w="1127" w:type="dxa"/>
          </w:tcPr>
          <w:p w14:paraId="40389E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w:t>
            </w:r>
          </w:p>
        </w:tc>
        <w:tc>
          <w:tcPr>
            <w:tcW w:w="1127" w:type="dxa"/>
          </w:tcPr>
          <w:p w14:paraId="5731E4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c>
          <w:tcPr>
            <w:tcW w:w="1127" w:type="dxa"/>
          </w:tcPr>
          <w:p w14:paraId="30146F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w:t>
            </w:r>
          </w:p>
        </w:tc>
        <w:tc>
          <w:tcPr>
            <w:tcW w:w="1127" w:type="dxa"/>
          </w:tcPr>
          <w:p w14:paraId="1AFBF1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w:t>
            </w:r>
          </w:p>
        </w:tc>
        <w:tc>
          <w:tcPr>
            <w:tcW w:w="1127" w:type="dxa"/>
          </w:tcPr>
          <w:p w14:paraId="4E5FC4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23,4</w:t>
            </w:r>
          </w:p>
        </w:tc>
      </w:tr>
      <w:tr w:rsidR="007D5DF8" w:rsidRPr="00DB5D0D" w14:paraId="04B97D57" w14:textId="77777777" w:rsidTr="00E543D0">
        <w:tc>
          <w:tcPr>
            <w:tcW w:w="1127" w:type="dxa"/>
          </w:tcPr>
          <w:p w14:paraId="451E1D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1127" w:type="dxa"/>
          </w:tcPr>
          <w:p w14:paraId="2F556E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66,1</w:t>
            </w:r>
          </w:p>
        </w:tc>
        <w:tc>
          <w:tcPr>
            <w:tcW w:w="1127" w:type="dxa"/>
          </w:tcPr>
          <w:p w14:paraId="7B86AC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1127" w:type="dxa"/>
          </w:tcPr>
          <w:p w14:paraId="789AEB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106,1</w:t>
            </w:r>
          </w:p>
        </w:tc>
        <w:tc>
          <w:tcPr>
            <w:tcW w:w="1127" w:type="dxa"/>
          </w:tcPr>
          <w:p w14:paraId="6A50E1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35,9</w:t>
            </w:r>
          </w:p>
        </w:tc>
        <w:tc>
          <w:tcPr>
            <w:tcW w:w="1127" w:type="dxa"/>
          </w:tcPr>
          <w:p w14:paraId="3BF75D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18,7</w:t>
            </w:r>
          </w:p>
        </w:tc>
        <w:tc>
          <w:tcPr>
            <w:tcW w:w="1127" w:type="dxa"/>
          </w:tcPr>
          <w:p w14:paraId="1BD701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54,6</w:t>
            </w:r>
          </w:p>
        </w:tc>
        <w:tc>
          <w:tcPr>
            <w:tcW w:w="1127" w:type="dxa"/>
          </w:tcPr>
          <w:p w14:paraId="2258DF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30,2</w:t>
            </w:r>
          </w:p>
        </w:tc>
        <w:tc>
          <w:tcPr>
            <w:tcW w:w="1127" w:type="dxa"/>
          </w:tcPr>
          <w:p w14:paraId="467A82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21,3</w:t>
            </w:r>
          </w:p>
        </w:tc>
        <w:tc>
          <w:tcPr>
            <w:tcW w:w="1127" w:type="dxa"/>
          </w:tcPr>
          <w:p w14:paraId="64ED75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w:t>
            </w:r>
          </w:p>
        </w:tc>
      </w:tr>
      <w:tr w:rsidR="007D5DF8" w:rsidRPr="00DB5D0D" w14:paraId="5D666A44" w14:textId="77777777" w:rsidTr="00E543D0">
        <w:tc>
          <w:tcPr>
            <w:tcW w:w="1127" w:type="dxa"/>
          </w:tcPr>
          <w:p w14:paraId="5B0A23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127" w:type="dxa"/>
          </w:tcPr>
          <w:p w14:paraId="2F0D89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127" w:type="dxa"/>
          </w:tcPr>
          <w:p w14:paraId="35548B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1127" w:type="dxa"/>
          </w:tcPr>
          <w:p w14:paraId="077DFB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27" w:type="dxa"/>
          </w:tcPr>
          <w:p w14:paraId="07369B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1127" w:type="dxa"/>
          </w:tcPr>
          <w:p w14:paraId="5502CB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w:t>
            </w:r>
          </w:p>
        </w:tc>
        <w:tc>
          <w:tcPr>
            <w:tcW w:w="1127" w:type="dxa"/>
          </w:tcPr>
          <w:p w14:paraId="673C4B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1127" w:type="dxa"/>
          </w:tcPr>
          <w:p w14:paraId="0F2F84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w:t>
            </w:r>
          </w:p>
        </w:tc>
        <w:tc>
          <w:tcPr>
            <w:tcW w:w="1127" w:type="dxa"/>
          </w:tcPr>
          <w:p w14:paraId="2CF881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1127" w:type="dxa"/>
          </w:tcPr>
          <w:p w14:paraId="54946E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r>
      <w:tr w:rsidR="007D5DF8" w:rsidRPr="00DB5D0D" w14:paraId="7DDDBFCA" w14:textId="77777777" w:rsidTr="00E543D0">
        <w:tc>
          <w:tcPr>
            <w:tcW w:w="1127" w:type="dxa"/>
          </w:tcPr>
          <w:p w14:paraId="3D078B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w:t>
            </w:r>
          </w:p>
        </w:tc>
        <w:tc>
          <w:tcPr>
            <w:tcW w:w="1127" w:type="dxa"/>
          </w:tcPr>
          <w:p w14:paraId="658DA3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w:t>
            </w:r>
          </w:p>
        </w:tc>
        <w:tc>
          <w:tcPr>
            <w:tcW w:w="1127" w:type="dxa"/>
          </w:tcPr>
          <w:p w14:paraId="05BFCC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1127" w:type="dxa"/>
          </w:tcPr>
          <w:p w14:paraId="2A01C0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1127" w:type="dxa"/>
          </w:tcPr>
          <w:p w14:paraId="204266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1127" w:type="dxa"/>
          </w:tcPr>
          <w:p w14:paraId="2E70CB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w:t>
            </w:r>
          </w:p>
        </w:tc>
        <w:tc>
          <w:tcPr>
            <w:tcW w:w="1127" w:type="dxa"/>
          </w:tcPr>
          <w:p w14:paraId="383CF0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w:t>
            </w:r>
          </w:p>
        </w:tc>
        <w:tc>
          <w:tcPr>
            <w:tcW w:w="1127" w:type="dxa"/>
          </w:tcPr>
          <w:p w14:paraId="14E085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1127" w:type="dxa"/>
          </w:tcPr>
          <w:p w14:paraId="046E5B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27" w:type="dxa"/>
          </w:tcPr>
          <w:p w14:paraId="18BF4C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w:t>
            </w:r>
          </w:p>
        </w:tc>
      </w:tr>
      <w:tr w:rsidR="007D5DF8" w:rsidRPr="00DB5D0D" w14:paraId="7868AFEB" w14:textId="77777777" w:rsidTr="00E543D0">
        <w:tc>
          <w:tcPr>
            <w:tcW w:w="1127" w:type="dxa"/>
          </w:tcPr>
          <w:p w14:paraId="3F13A8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1127" w:type="dxa"/>
          </w:tcPr>
          <w:p w14:paraId="703754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47,9</w:t>
            </w:r>
          </w:p>
        </w:tc>
        <w:tc>
          <w:tcPr>
            <w:tcW w:w="1127" w:type="dxa"/>
          </w:tcPr>
          <w:p w14:paraId="15A788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24,1</w:t>
            </w:r>
          </w:p>
        </w:tc>
        <w:tc>
          <w:tcPr>
            <w:tcW w:w="1127" w:type="dxa"/>
          </w:tcPr>
          <w:p w14:paraId="572D20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w:t>
            </w:r>
          </w:p>
        </w:tc>
        <w:tc>
          <w:tcPr>
            <w:tcW w:w="1127" w:type="dxa"/>
          </w:tcPr>
          <w:p w14:paraId="79475B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w:t>
            </w:r>
          </w:p>
        </w:tc>
        <w:tc>
          <w:tcPr>
            <w:tcW w:w="1127" w:type="dxa"/>
          </w:tcPr>
          <w:p w14:paraId="417EDB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w:t>
            </w:r>
          </w:p>
        </w:tc>
        <w:tc>
          <w:tcPr>
            <w:tcW w:w="1127" w:type="dxa"/>
          </w:tcPr>
          <w:p w14:paraId="3AA542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c>
          <w:tcPr>
            <w:tcW w:w="1127" w:type="dxa"/>
          </w:tcPr>
          <w:p w14:paraId="70EC9A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w:t>
            </w:r>
          </w:p>
        </w:tc>
        <w:tc>
          <w:tcPr>
            <w:tcW w:w="1127" w:type="dxa"/>
          </w:tcPr>
          <w:p w14:paraId="3FEEF7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w:t>
            </w:r>
          </w:p>
        </w:tc>
        <w:tc>
          <w:tcPr>
            <w:tcW w:w="1127" w:type="dxa"/>
          </w:tcPr>
          <w:p w14:paraId="4D956C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r>
      <w:tr w:rsidR="007D5DF8" w:rsidRPr="00DB5D0D" w14:paraId="47AB0B9F" w14:textId="77777777" w:rsidTr="00E543D0">
        <w:tc>
          <w:tcPr>
            <w:tcW w:w="1127" w:type="dxa"/>
          </w:tcPr>
          <w:p w14:paraId="6331C4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1127" w:type="dxa"/>
          </w:tcPr>
          <w:p w14:paraId="074985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83,2</w:t>
            </w:r>
          </w:p>
        </w:tc>
        <w:tc>
          <w:tcPr>
            <w:tcW w:w="1127" w:type="dxa"/>
          </w:tcPr>
          <w:p w14:paraId="2A9D16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w:t>
            </w:r>
          </w:p>
        </w:tc>
        <w:tc>
          <w:tcPr>
            <w:tcW w:w="1127" w:type="dxa"/>
          </w:tcPr>
          <w:p w14:paraId="6766C1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116,9</w:t>
            </w:r>
          </w:p>
        </w:tc>
        <w:tc>
          <w:tcPr>
            <w:tcW w:w="1127" w:type="dxa"/>
          </w:tcPr>
          <w:p w14:paraId="6C2329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52,4</w:t>
            </w:r>
          </w:p>
        </w:tc>
        <w:tc>
          <w:tcPr>
            <w:tcW w:w="1127" w:type="dxa"/>
          </w:tcPr>
          <w:p w14:paraId="1C01DC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w:t>
            </w:r>
          </w:p>
        </w:tc>
        <w:tc>
          <w:tcPr>
            <w:tcW w:w="1127" w:type="dxa"/>
          </w:tcPr>
          <w:p w14:paraId="0E66F6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66,8</w:t>
            </w:r>
          </w:p>
        </w:tc>
        <w:tc>
          <w:tcPr>
            <w:tcW w:w="1127" w:type="dxa"/>
          </w:tcPr>
          <w:p w14:paraId="1F1B64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30,9</w:t>
            </w:r>
          </w:p>
        </w:tc>
        <w:tc>
          <w:tcPr>
            <w:tcW w:w="1127" w:type="dxa"/>
          </w:tcPr>
          <w:p w14:paraId="78F6AE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w:t>
            </w:r>
          </w:p>
        </w:tc>
        <w:tc>
          <w:tcPr>
            <w:tcW w:w="1127" w:type="dxa"/>
          </w:tcPr>
          <w:p w14:paraId="2A883D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50,1</w:t>
            </w:r>
          </w:p>
        </w:tc>
      </w:tr>
      <w:tr w:rsidR="007D5DF8" w:rsidRPr="00DB5D0D" w14:paraId="65330DD3" w14:textId="77777777" w:rsidTr="00E543D0">
        <w:tc>
          <w:tcPr>
            <w:tcW w:w="1127" w:type="dxa"/>
          </w:tcPr>
          <w:p w14:paraId="07E9A3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1127" w:type="dxa"/>
          </w:tcPr>
          <w:p w14:paraId="292811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417,6</w:t>
            </w:r>
          </w:p>
        </w:tc>
        <w:tc>
          <w:tcPr>
            <w:tcW w:w="1127" w:type="dxa"/>
          </w:tcPr>
          <w:p w14:paraId="013F0F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131,9</w:t>
            </w:r>
          </w:p>
        </w:tc>
        <w:tc>
          <w:tcPr>
            <w:tcW w:w="1127" w:type="dxa"/>
          </w:tcPr>
          <w:p w14:paraId="6B40C1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549,5</w:t>
            </w:r>
          </w:p>
        </w:tc>
        <w:tc>
          <w:tcPr>
            <w:tcW w:w="1127" w:type="dxa"/>
          </w:tcPr>
          <w:p w14:paraId="2E4305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164,2</w:t>
            </w:r>
          </w:p>
        </w:tc>
        <w:tc>
          <w:tcPr>
            <w:tcW w:w="1127" w:type="dxa"/>
          </w:tcPr>
          <w:p w14:paraId="5C2F37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34,6</w:t>
            </w:r>
          </w:p>
        </w:tc>
        <w:tc>
          <w:tcPr>
            <w:tcW w:w="1127" w:type="dxa"/>
          </w:tcPr>
          <w:p w14:paraId="1A7CDC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198,8</w:t>
            </w:r>
          </w:p>
        </w:tc>
        <w:tc>
          <w:tcPr>
            <w:tcW w:w="1127" w:type="dxa"/>
          </w:tcPr>
          <w:p w14:paraId="43131F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253,3</w:t>
            </w:r>
          </w:p>
        </w:tc>
        <w:tc>
          <w:tcPr>
            <w:tcW w:w="1127" w:type="dxa"/>
          </w:tcPr>
          <w:p w14:paraId="4FB84B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97,4</w:t>
            </w:r>
          </w:p>
        </w:tc>
        <w:tc>
          <w:tcPr>
            <w:tcW w:w="1127" w:type="dxa"/>
          </w:tcPr>
          <w:p w14:paraId="6C3FC3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350,7</w:t>
            </w:r>
          </w:p>
        </w:tc>
      </w:tr>
      <w:tr w:rsidR="007D5DF8" w:rsidRPr="00DB5D0D" w14:paraId="351FF0D0" w14:textId="77777777" w:rsidTr="00E543D0">
        <w:tc>
          <w:tcPr>
            <w:tcW w:w="1127" w:type="dxa"/>
          </w:tcPr>
          <w:p w14:paraId="72A636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1127" w:type="dxa"/>
          </w:tcPr>
          <w:p w14:paraId="6D9477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108,1</w:t>
            </w:r>
          </w:p>
        </w:tc>
        <w:tc>
          <w:tcPr>
            <w:tcW w:w="1127" w:type="dxa"/>
          </w:tcPr>
          <w:p w14:paraId="73AB37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34,6</w:t>
            </w:r>
          </w:p>
        </w:tc>
        <w:tc>
          <w:tcPr>
            <w:tcW w:w="1127" w:type="dxa"/>
          </w:tcPr>
          <w:p w14:paraId="0A6CF1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142,7</w:t>
            </w:r>
          </w:p>
        </w:tc>
        <w:tc>
          <w:tcPr>
            <w:tcW w:w="1127" w:type="dxa"/>
          </w:tcPr>
          <w:p w14:paraId="1078AE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48,5</w:t>
            </w:r>
          </w:p>
        </w:tc>
        <w:tc>
          <w:tcPr>
            <w:tcW w:w="1127" w:type="dxa"/>
          </w:tcPr>
          <w:p w14:paraId="00D90A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22,8</w:t>
            </w:r>
          </w:p>
        </w:tc>
        <w:tc>
          <w:tcPr>
            <w:tcW w:w="1127" w:type="dxa"/>
          </w:tcPr>
          <w:p w14:paraId="2164B1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71,3</w:t>
            </w:r>
          </w:p>
        </w:tc>
        <w:tc>
          <w:tcPr>
            <w:tcW w:w="1127" w:type="dxa"/>
          </w:tcPr>
          <w:p w14:paraId="2EFA6E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59,6</w:t>
            </w:r>
          </w:p>
        </w:tc>
        <w:tc>
          <w:tcPr>
            <w:tcW w:w="1127" w:type="dxa"/>
          </w:tcPr>
          <w:p w14:paraId="58717C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w:t>
            </w:r>
          </w:p>
        </w:tc>
        <w:tc>
          <w:tcPr>
            <w:tcW w:w="1127" w:type="dxa"/>
          </w:tcPr>
          <w:p w14:paraId="14B66A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71,4</w:t>
            </w:r>
          </w:p>
        </w:tc>
      </w:tr>
      <w:tr w:rsidR="007D5DF8" w:rsidRPr="00DB5D0D" w14:paraId="16101C06" w14:textId="77777777" w:rsidTr="00E543D0">
        <w:tc>
          <w:tcPr>
            <w:tcW w:w="1127" w:type="dxa"/>
          </w:tcPr>
          <w:p w14:paraId="256626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w:t>
            </w:r>
          </w:p>
        </w:tc>
        <w:tc>
          <w:tcPr>
            <w:tcW w:w="1127" w:type="dxa"/>
          </w:tcPr>
          <w:p w14:paraId="5AD6DC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156,4</w:t>
            </w:r>
          </w:p>
        </w:tc>
        <w:tc>
          <w:tcPr>
            <w:tcW w:w="1127" w:type="dxa"/>
          </w:tcPr>
          <w:p w14:paraId="7FCAF7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1127" w:type="dxa"/>
          </w:tcPr>
          <w:p w14:paraId="289275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226,4</w:t>
            </w:r>
          </w:p>
        </w:tc>
        <w:tc>
          <w:tcPr>
            <w:tcW w:w="1127" w:type="dxa"/>
          </w:tcPr>
          <w:p w14:paraId="15B868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133,3</w:t>
            </w:r>
          </w:p>
        </w:tc>
        <w:tc>
          <w:tcPr>
            <w:tcW w:w="1127" w:type="dxa"/>
          </w:tcPr>
          <w:p w14:paraId="5E89FE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127" w:type="dxa"/>
          </w:tcPr>
          <w:p w14:paraId="6EE223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183,3</w:t>
            </w:r>
          </w:p>
        </w:tc>
        <w:tc>
          <w:tcPr>
            <w:tcW w:w="1127" w:type="dxa"/>
          </w:tcPr>
          <w:p w14:paraId="748785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23,1</w:t>
            </w:r>
          </w:p>
        </w:tc>
        <w:tc>
          <w:tcPr>
            <w:tcW w:w="1127" w:type="dxa"/>
          </w:tcPr>
          <w:p w14:paraId="0E249D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127" w:type="dxa"/>
          </w:tcPr>
          <w:p w14:paraId="2DC5BD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43,1</w:t>
            </w:r>
          </w:p>
        </w:tc>
      </w:tr>
      <w:tr w:rsidR="007D5DF8" w:rsidRPr="00DB5D0D" w14:paraId="29E916DB" w14:textId="77777777" w:rsidTr="00E543D0">
        <w:tc>
          <w:tcPr>
            <w:tcW w:w="1127" w:type="dxa"/>
          </w:tcPr>
          <w:p w14:paraId="030FD9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1127" w:type="dxa"/>
          </w:tcPr>
          <w:p w14:paraId="1226AC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40,5</w:t>
            </w:r>
          </w:p>
        </w:tc>
        <w:tc>
          <w:tcPr>
            <w:tcW w:w="1127" w:type="dxa"/>
          </w:tcPr>
          <w:p w14:paraId="70BF74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w:t>
            </w:r>
          </w:p>
        </w:tc>
        <w:tc>
          <w:tcPr>
            <w:tcW w:w="1127" w:type="dxa"/>
          </w:tcPr>
          <w:p w14:paraId="7BDC05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57,2</w:t>
            </w:r>
          </w:p>
        </w:tc>
        <w:tc>
          <w:tcPr>
            <w:tcW w:w="1127" w:type="dxa"/>
          </w:tcPr>
          <w:p w14:paraId="42D0E2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w:t>
            </w:r>
          </w:p>
        </w:tc>
        <w:tc>
          <w:tcPr>
            <w:tcW w:w="1127" w:type="dxa"/>
          </w:tcPr>
          <w:p w14:paraId="629BBE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w:t>
            </w:r>
          </w:p>
        </w:tc>
        <w:tc>
          <w:tcPr>
            <w:tcW w:w="1127" w:type="dxa"/>
          </w:tcPr>
          <w:p w14:paraId="0BEDF7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32,2</w:t>
            </w:r>
          </w:p>
        </w:tc>
        <w:tc>
          <w:tcPr>
            <w:tcW w:w="1127" w:type="dxa"/>
          </w:tcPr>
          <w:p w14:paraId="43379D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w:t>
            </w:r>
          </w:p>
        </w:tc>
        <w:tc>
          <w:tcPr>
            <w:tcW w:w="1127" w:type="dxa"/>
          </w:tcPr>
          <w:p w14:paraId="47AD94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w:t>
            </w:r>
          </w:p>
        </w:tc>
        <w:tc>
          <w:tcPr>
            <w:tcW w:w="1127" w:type="dxa"/>
          </w:tcPr>
          <w:p w14:paraId="6920C9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r w:rsidR="007D5DF8" w:rsidRPr="00DB5D0D" w14:paraId="10091997" w14:textId="77777777" w:rsidTr="00E543D0">
        <w:tc>
          <w:tcPr>
            <w:tcW w:w="1127" w:type="dxa"/>
          </w:tcPr>
          <w:p w14:paraId="6E1EA1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1127" w:type="dxa"/>
          </w:tcPr>
          <w:p w14:paraId="281F0D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210,7</w:t>
            </w:r>
          </w:p>
        </w:tc>
        <w:tc>
          <w:tcPr>
            <w:tcW w:w="1127" w:type="dxa"/>
          </w:tcPr>
          <w:p w14:paraId="4A5D2F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119,3</w:t>
            </w:r>
          </w:p>
        </w:tc>
        <w:tc>
          <w:tcPr>
            <w:tcW w:w="1127" w:type="dxa"/>
          </w:tcPr>
          <w:p w14:paraId="740424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w:t>
            </w:r>
          </w:p>
        </w:tc>
        <w:tc>
          <w:tcPr>
            <w:tcW w:w="1127" w:type="dxa"/>
          </w:tcPr>
          <w:p w14:paraId="5DF69C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70,5</w:t>
            </w:r>
          </w:p>
        </w:tc>
        <w:tc>
          <w:tcPr>
            <w:tcW w:w="1127" w:type="dxa"/>
          </w:tcPr>
          <w:p w14:paraId="58EE17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34,3</w:t>
            </w:r>
          </w:p>
        </w:tc>
        <w:tc>
          <w:tcPr>
            <w:tcW w:w="1127" w:type="dxa"/>
          </w:tcPr>
          <w:p w14:paraId="40F5F1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104,8</w:t>
            </w:r>
          </w:p>
        </w:tc>
        <w:tc>
          <w:tcPr>
            <w:tcW w:w="1127" w:type="dxa"/>
          </w:tcPr>
          <w:p w14:paraId="363088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140,2</w:t>
            </w:r>
          </w:p>
        </w:tc>
        <w:tc>
          <w:tcPr>
            <w:tcW w:w="1127" w:type="dxa"/>
          </w:tcPr>
          <w:p w14:paraId="7EFC3B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c>
          <w:tcPr>
            <w:tcW w:w="1127" w:type="dxa"/>
          </w:tcPr>
          <w:p w14:paraId="2D9389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224,2</w:t>
            </w:r>
          </w:p>
        </w:tc>
      </w:tr>
      <w:tr w:rsidR="007D5DF8" w:rsidRPr="00DB5D0D" w14:paraId="38DFA6E7" w14:textId="77777777" w:rsidTr="00E543D0">
        <w:tc>
          <w:tcPr>
            <w:tcW w:w="1127" w:type="dxa"/>
          </w:tcPr>
          <w:p w14:paraId="48276B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1127" w:type="dxa"/>
          </w:tcPr>
          <w:p w14:paraId="2B5F8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67,9</w:t>
            </w:r>
          </w:p>
        </w:tc>
        <w:tc>
          <w:tcPr>
            <w:tcW w:w="1127" w:type="dxa"/>
          </w:tcPr>
          <w:p w14:paraId="0C08A8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23,8</w:t>
            </w:r>
          </w:p>
        </w:tc>
        <w:tc>
          <w:tcPr>
            <w:tcW w:w="1127" w:type="dxa"/>
          </w:tcPr>
          <w:p w14:paraId="432208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91,7</w:t>
            </w:r>
          </w:p>
        </w:tc>
        <w:tc>
          <w:tcPr>
            <w:tcW w:w="1127" w:type="dxa"/>
          </w:tcPr>
          <w:p w14:paraId="0BBE43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21,4</w:t>
            </w:r>
          </w:p>
        </w:tc>
        <w:tc>
          <w:tcPr>
            <w:tcW w:w="1127" w:type="dxa"/>
          </w:tcPr>
          <w:p w14:paraId="1D2784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w:t>
            </w:r>
          </w:p>
        </w:tc>
        <w:tc>
          <w:tcPr>
            <w:tcW w:w="1127" w:type="dxa"/>
          </w:tcPr>
          <w:p w14:paraId="101726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w:t>
            </w:r>
          </w:p>
        </w:tc>
        <w:tc>
          <w:tcPr>
            <w:tcW w:w="1127" w:type="dxa"/>
          </w:tcPr>
          <w:p w14:paraId="633256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46,5</w:t>
            </w:r>
          </w:p>
        </w:tc>
        <w:tc>
          <w:tcPr>
            <w:tcW w:w="1127" w:type="dxa"/>
          </w:tcPr>
          <w:p w14:paraId="1D3A5A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27" w:type="dxa"/>
          </w:tcPr>
          <w:p w14:paraId="62A396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62,5</w:t>
            </w:r>
          </w:p>
        </w:tc>
      </w:tr>
      <w:tr w:rsidR="007D5DF8" w:rsidRPr="00DB5D0D" w14:paraId="5FD9CF84" w14:textId="77777777" w:rsidTr="00E543D0">
        <w:tc>
          <w:tcPr>
            <w:tcW w:w="1127" w:type="dxa"/>
          </w:tcPr>
          <w:p w14:paraId="7712C7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w:t>
            </w:r>
          </w:p>
        </w:tc>
        <w:tc>
          <w:tcPr>
            <w:tcW w:w="1127" w:type="dxa"/>
          </w:tcPr>
          <w:p w14:paraId="266D32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53,9</w:t>
            </w:r>
          </w:p>
        </w:tc>
        <w:tc>
          <w:tcPr>
            <w:tcW w:w="1127" w:type="dxa"/>
          </w:tcPr>
          <w:p w14:paraId="46437E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w:t>
            </w:r>
          </w:p>
        </w:tc>
        <w:tc>
          <w:tcPr>
            <w:tcW w:w="1127" w:type="dxa"/>
          </w:tcPr>
          <w:p w14:paraId="264E4C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78,8</w:t>
            </w:r>
          </w:p>
        </w:tc>
        <w:tc>
          <w:tcPr>
            <w:tcW w:w="1127" w:type="dxa"/>
          </w:tcPr>
          <w:p w14:paraId="24C7F4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16,4</w:t>
            </w:r>
          </w:p>
        </w:tc>
        <w:tc>
          <w:tcPr>
            <w:tcW w:w="1127" w:type="dxa"/>
          </w:tcPr>
          <w:p w14:paraId="260435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w:t>
            </w:r>
          </w:p>
        </w:tc>
        <w:tc>
          <w:tcPr>
            <w:tcW w:w="1127" w:type="dxa"/>
          </w:tcPr>
          <w:p w14:paraId="0A957A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w:t>
            </w:r>
          </w:p>
        </w:tc>
        <w:tc>
          <w:tcPr>
            <w:tcW w:w="1127" w:type="dxa"/>
          </w:tcPr>
          <w:p w14:paraId="239B6C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w:t>
            </w:r>
          </w:p>
        </w:tc>
        <w:tc>
          <w:tcPr>
            <w:tcW w:w="1127" w:type="dxa"/>
          </w:tcPr>
          <w:p w14:paraId="1CAEFB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127" w:type="dxa"/>
          </w:tcPr>
          <w:p w14:paraId="7FFE74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53,5</w:t>
            </w:r>
          </w:p>
        </w:tc>
      </w:tr>
      <w:tr w:rsidR="007D5DF8" w:rsidRPr="00DB5D0D" w14:paraId="52E55700" w14:textId="77777777" w:rsidTr="00E543D0">
        <w:tc>
          <w:tcPr>
            <w:tcW w:w="1127" w:type="dxa"/>
          </w:tcPr>
          <w:p w14:paraId="41FAE6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w:t>
            </w:r>
          </w:p>
        </w:tc>
        <w:tc>
          <w:tcPr>
            <w:tcW w:w="1127" w:type="dxa"/>
          </w:tcPr>
          <w:p w14:paraId="515D23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38,4</w:t>
            </w:r>
          </w:p>
        </w:tc>
        <w:tc>
          <w:tcPr>
            <w:tcW w:w="1127" w:type="dxa"/>
          </w:tcPr>
          <w:p w14:paraId="7D2475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1127" w:type="dxa"/>
          </w:tcPr>
          <w:p w14:paraId="7ACBAA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46,4</w:t>
            </w:r>
          </w:p>
        </w:tc>
        <w:tc>
          <w:tcPr>
            <w:tcW w:w="1127" w:type="dxa"/>
          </w:tcPr>
          <w:p w14:paraId="725CE3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w:t>
            </w:r>
          </w:p>
        </w:tc>
        <w:tc>
          <w:tcPr>
            <w:tcW w:w="1127" w:type="dxa"/>
          </w:tcPr>
          <w:p w14:paraId="707EAB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27" w:type="dxa"/>
          </w:tcPr>
          <w:p w14:paraId="467EC3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14,2</w:t>
            </w:r>
          </w:p>
        </w:tc>
        <w:tc>
          <w:tcPr>
            <w:tcW w:w="1127" w:type="dxa"/>
          </w:tcPr>
          <w:p w14:paraId="082C47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w:t>
            </w:r>
          </w:p>
        </w:tc>
        <w:tc>
          <w:tcPr>
            <w:tcW w:w="1127" w:type="dxa"/>
          </w:tcPr>
          <w:p w14:paraId="25AEBB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1127" w:type="dxa"/>
          </w:tcPr>
          <w:p w14:paraId="3B4EA3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26,2</w:t>
            </w:r>
          </w:p>
        </w:tc>
      </w:tr>
      <w:tr w:rsidR="007D5DF8" w:rsidRPr="00DB5D0D" w14:paraId="3D43C7D1" w14:textId="77777777" w:rsidTr="00E543D0">
        <w:tc>
          <w:tcPr>
            <w:tcW w:w="1127" w:type="dxa"/>
          </w:tcPr>
          <w:p w14:paraId="434781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1127" w:type="dxa"/>
          </w:tcPr>
          <w:p w14:paraId="294897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1988,4</w:t>
            </w:r>
          </w:p>
        </w:tc>
        <w:tc>
          <w:tcPr>
            <w:tcW w:w="1127" w:type="dxa"/>
          </w:tcPr>
          <w:p w14:paraId="60EA29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744,1</w:t>
            </w:r>
          </w:p>
        </w:tc>
        <w:tc>
          <w:tcPr>
            <w:tcW w:w="1127" w:type="dxa"/>
          </w:tcPr>
          <w:p w14:paraId="12555E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2732,5</w:t>
            </w:r>
          </w:p>
        </w:tc>
        <w:tc>
          <w:tcPr>
            <w:tcW w:w="1127" w:type="dxa"/>
          </w:tcPr>
          <w:p w14:paraId="701DE6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1056,5</w:t>
            </w:r>
          </w:p>
        </w:tc>
        <w:tc>
          <w:tcPr>
            <w:tcW w:w="1127" w:type="dxa"/>
          </w:tcPr>
          <w:p w14:paraId="4627F7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325,6</w:t>
            </w:r>
          </w:p>
        </w:tc>
        <w:tc>
          <w:tcPr>
            <w:tcW w:w="1127" w:type="dxa"/>
          </w:tcPr>
          <w:p w14:paraId="06603B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1382,1</w:t>
            </w:r>
          </w:p>
        </w:tc>
        <w:tc>
          <w:tcPr>
            <w:tcW w:w="1127" w:type="dxa"/>
          </w:tcPr>
          <w:p w14:paraId="34E90A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932</w:t>
            </w:r>
          </w:p>
        </w:tc>
        <w:tc>
          <w:tcPr>
            <w:tcW w:w="1127" w:type="dxa"/>
          </w:tcPr>
          <w:p w14:paraId="6B46E0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418,4</w:t>
            </w:r>
          </w:p>
        </w:tc>
        <w:tc>
          <w:tcPr>
            <w:tcW w:w="1127" w:type="dxa"/>
          </w:tcPr>
          <w:p w14:paraId="19250B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1350,4</w:t>
            </w:r>
          </w:p>
        </w:tc>
      </w:tr>
      <w:tr w:rsidR="007D5DF8" w:rsidRPr="00DB5D0D" w14:paraId="503C5EEF" w14:textId="77777777" w:rsidTr="00E543D0">
        <w:tc>
          <w:tcPr>
            <w:tcW w:w="1127" w:type="dxa"/>
          </w:tcPr>
          <w:p w14:paraId="6C5563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w:t>
            </w:r>
          </w:p>
        </w:tc>
        <w:tc>
          <w:tcPr>
            <w:tcW w:w="1127" w:type="dxa"/>
          </w:tcPr>
          <w:p w14:paraId="22E2CF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1127" w:type="dxa"/>
          </w:tcPr>
          <w:p w14:paraId="7242DA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127" w:type="dxa"/>
          </w:tcPr>
          <w:p w14:paraId="09C54A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1127" w:type="dxa"/>
          </w:tcPr>
          <w:p w14:paraId="70B4B23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5F27095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779DD1D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7C8784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1127" w:type="dxa"/>
          </w:tcPr>
          <w:p w14:paraId="75F64E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127" w:type="dxa"/>
          </w:tcPr>
          <w:p w14:paraId="053EAB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r>
      <w:tr w:rsidR="007D5DF8" w:rsidRPr="00DB5D0D" w14:paraId="4BEFE146" w14:textId="77777777" w:rsidTr="00E543D0">
        <w:tc>
          <w:tcPr>
            <w:tcW w:w="1127" w:type="dxa"/>
          </w:tcPr>
          <w:p w14:paraId="3712E8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w:t>
            </w:r>
          </w:p>
        </w:tc>
        <w:tc>
          <w:tcPr>
            <w:tcW w:w="1127" w:type="dxa"/>
          </w:tcPr>
          <w:p w14:paraId="6B7C51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148,9</w:t>
            </w:r>
          </w:p>
        </w:tc>
        <w:tc>
          <w:tcPr>
            <w:tcW w:w="1127" w:type="dxa"/>
          </w:tcPr>
          <w:p w14:paraId="1B557F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c>
          <w:tcPr>
            <w:tcW w:w="1127" w:type="dxa"/>
          </w:tcPr>
          <w:p w14:paraId="39F750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187,7</w:t>
            </w:r>
          </w:p>
        </w:tc>
        <w:tc>
          <w:tcPr>
            <w:tcW w:w="1127" w:type="dxa"/>
          </w:tcPr>
          <w:p w14:paraId="5FD4CBA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0196652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01B3FAB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70A6EF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148,9</w:t>
            </w:r>
          </w:p>
        </w:tc>
        <w:tc>
          <w:tcPr>
            <w:tcW w:w="1127" w:type="dxa"/>
          </w:tcPr>
          <w:p w14:paraId="4F3F6B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c>
          <w:tcPr>
            <w:tcW w:w="1127" w:type="dxa"/>
          </w:tcPr>
          <w:p w14:paraId="4F0D4A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187,7</w:t>
            </w:r>
          </w:p>
        </w:tc>
      </w:tr>
      <w:tr w:rsidR="007D5DF8" w:rsidRPr="00DB5D0D" w14:paraId="3E0B9B8B" w14:textId="77777777" w:rsidTr="00E543D0">
        <w:tc>
          <w:tcPr>
            <w:tcW w:w="1127" w:type="dxa"/>
          </w:tcPr>
          <w:p w14:paraId="4CA20C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w:t>
            </w:r>
          </w:p>
        </w:tc>
        <w:tc>
          <w:tcPr>
            <w:tcW w:w="1127" w:type="dxa"/>
          </w:tcPr>
          <w:p w14:paraId="7FD6B9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175,4</w:t>
            </w:r>
          </w:p>
        </w:tc>
        <w:tc>
          <w:tcPr>
            <w:tcW w:w="1127" w:type="dxa"/>
          </w:tcPr>
          <w:p w14:paraId="6B93DE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74,1</w:t>
            </w:r>
          </w:p>
        </w:tc>
        <w:tc>
          <w:tcPr>
            <w:tcW w:w="1127" w:type="dxa"/>
          </w:tcPr>
          <w:p w14:paraId="22D5D5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249,5</w:t>
            </w:r>
          </w:p>
        </w:tc>
        <w:tc>
          <w:tcPr>
            <w:tcW w:w="1127" w:type="dxa"/>
          </w:tcPr>
          <w:p w14:paraId="005F0BD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595511D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2F993DF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24EA25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175,4</w:t>
            </w:r>
          </w:p>
        </w:tc>
        <w:tc>
          <w:tcPr>
            <w:tcW w:w="1127" w:type="dxa"/>
          </w:tcPr>
          <w:p w14:paraId="45AFC5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74,1</w:t>
            </w:r>
          </w:p>
        </w:tc>
        <w:tc>
          <w:tcPr>
            <w:tcW w:w="1127" w:type="dxa"/>
          </w:tcPr>
          <w:p w14:paraId="032859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249,5</w:t>
            </w:r>
          </w:p>
        </w:tc>
      </w:tr>
      <w:tr w:rsidR="007D5DF8" w:rsidRPr="00DB5D0D" w14:paraId="41C43D00" w14:textId="77777777" w:rsidTr="00E543D0">
        <w:tc>
          <w:tcPr>
            <w:tcW w:w="1127" w:type="dxa"/>
          </w:tcPr>
          <w:p w14:paraId="5E5B08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w:t>
            </w:r>
          </w:p>
        </w:tc>
        <w:tc>
          <w:tcPr>
            <w:tcW w:w="1127" w:type="dxa"/>
          </w:tcPr>
          <w:p w14:paraId="656D81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144,5</w:t>
            </w:r>
          </w:p>
        </w:tc>
        <w:tc>
          <w:tcPr>
            <w:tcW w:w="1127" w:type="dxa"/>
          </w:tcPr>
          <w:p w14:paraId="34FFB4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w:t>
            </w:r>
          </w:p>
        </w:tc>
        <w:tc>
          <w:tcPr>
            <w:tcW w:w="1127" w:type="dxa"/>
          </w:tcPr>
          <w:p w14:paraId="50CE49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203,3</w:t>
            </w:r>
          </w:p>
        </w:tc>
        <w:tc>
          <w:tcPr>
            <w:tcW w:w="1127" w:type="dxa"/>
          </w:tcPr>
          <w:p w14:paraId="14EFA19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817E89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5842B98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12D548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144,5</w:t>
            </w:r>
          </w:p>
        </w:tc>
        <w:tc>
          <w:tcPr>
            <w:tcW w:w="1127" w:type="dxa"/>
          </w:tcPr>
          <w:p w14:paraId="1B3C5D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w:t>
            </w:r>
          </w:p>
        </w:tc>
        <w:tc>
          <w:tcPr>
            <w:tcW w:w="1127" w:type="dxa"/>
          </w:tcPr>
          <w:p w14:paraId="75EDE0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203,3</w:t>
            </w:r>
          </w:p>
        </w:tc>
      </w:tr>
      <w:tr w:rsidR="007D5DF8" w:rsidRPr="00DB5D0D" w14:paraId="13AB708D" w14:textId="77777777" w:rsidTr="00E543D0">
        <w:tc>
          <w:tcPr>
            <w:tcW w:w="1127" w:type="dxa"/>
          </w:tcPr>
          <w:p w14:paraId="206509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w:t>
            </w:r>
          </w:p>
        </w:tc>
        <w:tc>
          <w:tcPr>
            <w:tcW w:w="1127" w:type="dxa"/>
          </w:tcPr>
          <w:p w14:paraId="5F21F8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212,9</w:t>
            </w:r>
          </w:p>
        </w:tc>
        <w:tc>
          <w:tcPr>
            <w:tcW w:w="1127" w:type="dxa"/>
          </w:tcPr>
          <w:p w14:paraId="354D15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63,4</w:t>
            </w:r>
          </w:p>
        </w:tc>
        <w:tc>
          <w:tcPr>
            <w:tcW w:w="1127" w:type="dxa"/>
          </w:tcPr>
          <w:p w14:paraId="693633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276,3</w:t>
            </w:r>
          </w:p>
        </w:tc>
        <w:tc>
          <w:tcPr>
            <w:tcW w:w="1127" w:type="dxa"/>
          </w:tcPr>
          <w:p w14:paraId="5F587AF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6071F40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0EAA8C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3FDDD9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212,9</w:t>
            </w:r>
          </w:p>
        </w:tc>
        <w:tc>
          <w:tcPr>
            <w:tcW w:w="1127" w:type="dxa"/>
          </w:tcPr>
          <w:p w14:paraId="3CEB28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63,4</w:t>
            </w:r>
          </w:p>
        </w:tc>
        <w:tc>
          <w:tcPr>
            <w:tcW w:w="1127" w:type="dxa"/>
          </w:tcPr>
          <w:p w14:paraId="247410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276,3</w:t>
            </w:r>
          </w:p>
        </w:tc>
      </w:tr>
      <w:tr w:rsidR="007D5DF8" w:rsidRPr="00DB5D0D" w14:paraId="79C5A876" w14:textId="77777777" w:rsidTr="00E543D0">
        <w:tc>
          <w:tcPr>
            <w:tcW w:w="1127" w:type="dxa"/>
          </w:tcPr>
          <w:p w14:paraId="330992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w:t>
            </w:r>
          </w:p>
        </w:tc>
        <w:tc>
          <w:tcPr>
            <w:tcW w:w="1127" w:type="dxa"/>
          </w:tcPr>
          <w:p w14:paraId="114E20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138,7</w:t>
            </w:r>
          </w:p>
        </w:tc>
        <w:tc>
          <w:tcPr>
            <w:tcW w:w="1127" w:type="dxa"/>
          </w:tcPr>
          <w:p w14:paraId="7D423D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c>
          <w:tcPr>
            <w:tcW w:w="1127" w:type="dxa"/>
          </w:tcPr>
          <w:p w14:paraId="715041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177,5</w:t>
            </w:r>
          </w:p>
        </w:tc>
        <w:tc>
          <w:tcPr>
            <w:tcW w:w="1127" w:type="dxa"/>
          </w:tcPr>
          <w:p w14:paraId="2EDAFBE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21FF022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F03145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43157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138,7</w:t>
            </w:r>
          </w:p>
        </w:tc>
        <w:tc>
          <w:tcPr>
            <w:tcW w:w="1127" w:type="dxa"/>
          </w:tcPr>
          <w:p w14:paraId="340244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38,8</w:t>
            </w:r>
          </w:p>
        </w:tc>
        <w:tc>
          <w:tcPr>
            <w:tcW w:w="1127" w:type="dxa"/>
          </w:tcPr>
          <w:p w14:paraId="5614DF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177,5</w:t>
            </w:r>
          </w:p>
        </w:tc>
      </w:tr>
      <w:tr w:rsidR="007D5DF8" w:rsidRPr="00DB5D0D" w14:paraId="003674ED" w14:textId="77777777" w:rsidTr="00E543D0">
        <w:tc>
          <w:tcPr>
            <w:tcW w:w="1127" w:type="dxa"/>
          </w:tcPr>
          <w:p w14:paraId="2EDCAD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w:t>
            </w:r>
          </w:p>
        </w:tc>
        <w:tc>
          <w:tcPr>
            <w:tcW w:w="1127" w:type="dxa"/>
          </w:tcPr>
          <w:p w14:paraId="62FDCF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190,1</w:t>
            </w:r>
          </w:p>
        </w:tc>
        <w:tc>
          <w:tcPr>
            <w:tcW w:w="1127" w:type="dxa"/>
          </w:tcPr>
          <w:p w14:paraId="3E1155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54,8</w:t>
            </w:r>
          </w:p>
        </w:tc>
        <w:tc>
          <w:tcPr>
            <w:tcW w:w="1127" w:type="dxa"/>
          </w:tcPr>
          <w:p w14:paraId="3A0FCF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244,9</w:t>
            </w:r>
          </w:p>
        </w:tc>
        <w:tc>
          <w:tcPr>
            <w:tcW w:w="1127" w:type="dxa"/>
          </w:tcPr>
          <w:p w14:paraId="0B90521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3AAA91D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3CA9387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2E763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190,1</w:t>
            </w:r>
          </w:p>
        </w:tc>
        <w:tc>
          <w:tcPr>
            <w:tcW w:w="1127" w:type="dxa"/>
          </w:tcPr>
          <w:p w14:paraId="41E9A9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54,8</w:t>
            </w:r>
          </w:p>
        </w:tc>
        <w:tc>
          <w:tcPr>
            <w:tcW w:w="1127" w:type="dxa"/>
          </w:tcPr>
          <w:p w14:paraId="3C0AAA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244,9</w:t>
            </w:r>
          </w:p>
        </w:tc>
      </w:tr>
      <w:tr w:rsidR="007D5DF8" w:rsidRPr="00DB5D0D" w14:paraId="5BB01B65" w14:textId="77777777" w:rsidTr="00E543D0">
        <w:tc>
          <w:tcPr>
            <w:tcW w:w="1127" w:type="dxa"/>
          </w:tcPr>
          <w:p w14:paraId="443051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1127" w:type="dxa"/>
          </w:tcPr>
          <w:p w14:paraId="0CC5F8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184,1</w:t>
            </w:r>
          </w:p>
        </w:tc>
        <w:tc>
          <w:tcPr>
            <w:tcW w:w="1127" w:type="dxa"/>
          </w:tcPr>
          <w:p w14:paraId="21E016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73,8</w:t>
            </w:r>
          </w:p>
        </w:tc>
        <w:tc>
          <w:tcPr>
            <w:tcW w:w="1127" w:type="dxa"/>
          </w:tcPr>
          <w:p w14:paraId="2CD2AA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257,9</w:t>
            </w:r>
          </w:p>
        </w:tc>
        <w:tc>
          <w:tcPr>
            <w:tcW w:w="1127" w:type="dxa"/>
          </w:tcPr>
          <w:p w14:paraId="28EAF27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5865630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493DCA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7785C5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184,1</w:t>
            </w:r>
          </w:p>
        </w:tc>
        <w:tc>
          <w:tcPr>
            <w:tcW w:w="1127" w:type="dxa"/>
          </w:tcPr>
          <w:p w14:paraId="61F09B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73,8</w:t>
            </w:r>
          </w:p>
        </w:tc>
        <w:tc>
          <w:tcPr>
            <w:tcW w:w="1127" w:type="dxa"/>
          </w:tcPr>
          <w:p w14:paraId="6686C7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257,9</w:t>
            </w:r>
          </w:p>
        </w:tc>
      </w:tr>
      <w:tr w:rsidR="007D5DF8" w:rsidRPr="00DB5D0D" w14:paraId="1B837FD0" w14:textId="77777777" w:rsidTr="00E543D0">
        <w:tc>
          <w:tcPr>
            <w:tcW w:w="1127" w:type="dxa"/>
          </w:tcPr>
          <w:p w14:paraId="0E17E5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w:t>
            </w:r>
          </w:p>
        </w:tc>
        <w:tc>
          <w:tcPr>
            <w:tcW w:w="1127" w:type="dxa"/>
          </w:tcPr>
          <w:p w14:paraId="45BF05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168,3</w:t>
            </w:r>
          </w:p>
        </w:tc>
        <w:tc>
          <w:tcPr>
            <w:tcW w:w="1127" w:type="dxa"/>
          </w:tcPr>
          <w:p w14:paraId="4C5039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92,3</w:t>
            </w:r>
          </w:p>
        </w:tc>
        <w:tc>
          <w:tcPr>
            <w:tcW w:w="1127" w:type="dxa"/>
          </w:tcPr>
          <w:p w14:paraId="3CB19A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260,6</w:t>
            </w:r>
          </w:p>
        </w:tc>
        <w:tc>
          <w:tcPr>
            <w:tcW w:w="1127" w:type="dxa"/>
          </w:tcPr>
          <w:p w14:paraId="0484E8E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79E8A3E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6CE51D5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2CA3DB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168,3</w:t>
            </w:r>
          </w:p>
        </w:tc>
        <w:tc>
          <w:tcPr>
            <w:tcW w:w="1127" w:type="dxa"/>
          </w:tcPr>
          <w:p w14:paraId="252263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92,3</w:t>
            </w:r>
          </w:p>
        </w:tc>
        <w:tc>
          <w:tcPr>
            <w:tcW w:w="1127" w:type="dxa"/>
          </w:tcPr>
          <w:p w14:paraId="3359EA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260,6</w:t>
            </w:r>
          </w:p>
        </w:tc>
      </w:tr>
      <w:tr w:rsidR="007D5DF8" w:rsidRPr="00DB5D0D" w14:paraId="789ACE22" w14:textId="77777777" w:rsidTr="00E543D0">
        <w:tc>
          <w:tcPr>
            <w:tcW w:w="1127" w:type="dxa"/>
          </w:tcPr>
          <w:p w14:paraId="1ECB20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w:t>
            </w:r>
          </w:p>
        </w:tc>
        <w:tc>
          <w:tcPr>
            <w:tcW w:w="1127" w:type="dxa"/>
          </w:tcPr>
          <w:p w14:paraId="719AB7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1512,9</w:t>
            </w:r>
          </w:p>
        </w:tc>
        <w:tc>
          <w:tcPr>
            <w:tcW w:w="1127" w:type="dxa"/>
          </w:tcPr>
          <w:p w14:paraId="577C66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545</w:t>
            </w:r>
          </w:p>
        </w:tc>
        <w:tc>
          <w:tcPr>
            <w:tcW w:w="1127" w:type="dxa"/>
          </w:tcPr>
          <w:p w14:paraId="5A83B7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2057,9</w:t>
            </w:r>
          </w:p>
        </w:tc>
        <w:tc>
          <w:tcPr>
            <w:tcW w:w="1127" w:type="dxa"/>
          </w:tcPr>
          <w:p w14:paraId="0A1A199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2653D1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7899F99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27" w:type="dxa"/>
          </w:tcPr>
          <w:p w14:paraId="4607FB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1512,9</w:t>
            </w:r>
          </w:p>
        </w:tc>
        <w:tc>
          <w:tcPr>
            <w:tcW w:w="1127" w:type="dxa"/>
          </w:tcPr>
          <w:p w14:paraId="3B39F7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545</w:t>
            </w:r>
          </w:p>
        </w:tc>
        <w:tc>
          <w:tcPr>
            <w:tcW w:w="1127" w:type="dxa"/>
          </w:tcPr>
          <w:p w14:paraId="39D9EE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2057,9</w:t>
            </w:r>
          </w:p>
        </w:tc>
      </w:tr>
      <w:tr w:rsidR="007D5DF8" w:rsidRPr="00DB5D0D" w14:paraId="1E3BD8AF" w14:textId="77777777" w:rsidTr="00E543D0">
        <w:tc>
          <w:tcPr>
            <w:tcW w:w="1127" w:type="dxa"/>
            <w:tcBorders>
              <w:bottom w:val="single" w:sz="12" w:space="0" w:color="auto"/>
            </w:tcBorders>
          </w:tcPr>
          <w:p w14:paraId="65E2F8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127" w:type="dxa"/>
            <w:tcBorders>
              <w:bottom w:val="single" w:sz="12" w:space="0" w:color="auto"/>
            </w:tcBorders>
          </w:tcPr>
          <w:p w14:paraId="4F705D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3501,3</w:t>
            </w:r>
          </w:p>
        </w:tc>
        <w:tc>
          <w:tcPr>
            <w:tcW w:w="1127" w:type="dxa"/>
            <w:tcBorders>
              <w:bottom w:val="single" w:sz="12" w:space="0" w:color="auto"/>
            </w:tcBorders>
          </w:tcPr>
          <w:p w14:paraId="24C15B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1289,1</w:t>
            </w:r>
          </w:p>
        </w:tc>
        <w:tc>
          <w:tcPr>
            <w:tcW w:w="1127" w:type="dxa"/>
            <w:tcBorders>
              <w:bottom w:val="single" w:sz="12" w:space="0" w:color="auto"/>
            </w:tcBorders>
          </w:tcPr>
          <w:p w14:paraId="28DBC0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4790,2</w:t>
            </w:r>
          </w:p>
        </w:tc>
        <w:tc>
          <w:tcPr>
            <w:tcW w:w="1127" w:type="dxa"/>
            <w:tcBorders>
              <w:bottom w:val="single" w:sz="12" w:space="0" w:color="auto"/>
            </w:tcBorders>
          </w:tcPr>
          <w:p w14:paraId="116774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1056,5</w:t>
            </w:r>
          </w:p>
        </w:tc>
        <w:tc>
          <w:tcPr>
            <w:tcW w:w="1127" w:type="dxa"/>
            <w:tcBorders>
              <w:bottom w:val="single" w:sz="12" w:space="0" w:color="auto"/>
            </w:tcBorders>
          </w:tcPr>
          <w:p w14:paraId="48E0E4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325,6</w:t>
            </w:r>
          </w:p>
        </w:tc>
        <w:tc>
          <w:tcPr>
            <w:tcW w:w="1127" w:type="dxa"/>
            <w:tcBorders>
              <w:bottom w:val="single" w:sz="12" w:space="0" w:color="auto"/>
            </w:tcBorders>
          </w:tcPr>
          <w:p w14:paraId="76B089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1382,1</w:t>
            </w:r>
          </w:p>
        </w:tc>
        <w:tc>
          <w:tcPr>
            <w:tcW w:w="1127" w:type="dxa"/>
            <w:tcBorders>
              <w:bottom w:val="single" w:sz="12" w:space="0" w:color="auto"/>
            </w:tcBorders>
          </w:tcPr>
          <w:p w14:paraId="6D8F1B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2444,9</w:t>
            </w:r>
          </w:p>
        </w:tc>
        <w:tc>
          <w:tcPr>
            <w:tcW w:w="1127" w:type="dxa"/>
            <w:tcBorders>
              <w:bottom w:val="single" w:sz="12" w:space="0" w:color="auto"/>
            </w:tcBorders>
          </w:tcPr>
          <w:p w14:paraId="261F96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963,4</w:t>
            </w:r>
          </w:p>
        </w:tc>
        <w:tc>
          <w:tcPr>
            <w:tcW w:w="1127" w:type="dxa"/>
            <w:tcBorders>
              <w:bottom w:val="single" w:sz="12" w:space="0" w:color="auto"/>
            </w:tcBorders>
          </w:tcPr>
          <w:p w14:paraId="24CE6D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3408,3</w:t>
            </w:r>
          </w:p>
        </w:tc>
      </w:tr>
    </w:tbl>
    <w:p w14:paraId="78F476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(10498,53).</w:t>
      </w:r>
    </w:p>
    <w:p w14:paraId="557057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1D573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была подготовлена справка для ГККО</w:t>
      </w:r>
    </w:p>
    <w:p w14:paraId="04CACB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ВЫПОЛНЕНИЕ ПОСТАНОВЛЕНИЯ № 154/сс</w:t>
      </w:r>
    </w:p>
    <w:p w14:paraId="72F30A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11.06.39 по заводам 3-го Главн. Управления</w:t>
      </w:r>
    </w:p>
    <w:p w14:paraId="70EE50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А. Действующе заводы</w:t>
      </w:r>
    </w:p>
    <w:p w14:paraId="019C49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Комитета Обороны при СНК СССР № 154/сс от 11-го июня 1939 года предусмотрено окончание реконструкции действующих моторных заводов №№ 16, 19, 24, и 29 в 1940 году.</w:t>
      </w:r>
    </w:p>
    <w:p w14:paraId="63ACB6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выполнения этого постановлением в 1939 г. были увеличены ассигнования 3-го Гл.Управления НКАП на 80,0 млн. руб.</w:t>
      </w:r>
    </w:p>
    <w:p w14:paraId="73E2EA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капитального строительства 1939 г. с дополнительными ассигнованиями выполнен: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7D5DF8" w:rsidRPr="00DB5D0D" w14:paraId="2C89F6BF" w14:textId="77777777" w:rsidTr="00E543D0">
        <w:tc>
          <w:tcPr>
            <w:tcW w:w="2817" w:type="dxa"/>
            <w:tcBorders>
              <w:top w:val="single" w:sz="12" w:space="0" w:color="auto"/>
            </w:tcBorders>
          </w:tcPr>
          <w:p w14:paraId="635981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2817" w:type="dxa"/>
            <w:tcBorders>
              <w:top w:val="single" w:sz="12" w:space="0" w:color="auto"/>
            </w:tcBorders>
          </w:tcPr>
          <w:p w14:paraId="7BCAA5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w:t>
            </w:r>
          </w:p>
        </w:tc>
        <w:tc>
          <w:tcPr>
            <w:tcW w:w="2817" w:type="dxa"/>
            <w:tcBorders>
              <w:top w:val="single" w:sz="12" w:space="0" w:color="auto"/>
            </w:tcBorders>
          </w:tcPr>
          <w:p w14:paraId="2845C0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w:t>
            </w:r>
          </w:p>
        </w:tc>
        <w:tc>
          <w:tcPr>
            <w:tcW w:w="2817" w:type="dxa"/>
            <w:tcBorders>
              <w:top w:val="single" w:sz="12" w:space="0" w:color="auto"/>
            </w:tcBorders>
          </w:tcPr>
          <w:p w14:paraId="16EA1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FD1F138" w14:textId="77777777" w:rsidTr="00E543D0">
        <w:tc>
          <w:tcPr>
            <w:tcW w:w="2817" w:type="dxa"/>
          </w:tcPr>
          <w:p w14:paraId="43CBCB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16</w:t>
            </w:r>
          </w:p>
        </w:tc>
        <w:tc>
          <w:tcPr>
            <w:tcW w:w="2817" w:type="dxa"/>
          </w:tcPr>
          <w:p w14:paraId="7C3AF2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25690</w:t>
            </w:r>
          </w:p>
        </w:tc>
        <w:tc>
          <w:tcPr>
            <w:tcW w:w="2817" w:type="dxa"/>
          </w:tcPr>
          <w:p w14:paraId="7C7D59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24921</w:t>
            </w:r>
          </w:p>
        </w:tc>
        <w:tc>
          <w:tcPr>
            <w:tcW w:w="2817" w:type="dxa"/>
          </w:tcPr>
          <w:p w14:paraId="6FD0FE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w:t>
            </w:r>
          </w:p>
        </w:tc>
      </w:tr>
      <w:tr w:rsidR="007D5DF8" w:rsidRPr="00DB5D0D" w14:paraId="5B0030B1" w14:textId="77777777" w:rsidTr="00E543D0">
        <w:tc>
          <w:tcPr>
            <w:tcW w:w="2817" w:type="dxa"/>
          </w:tcPr>
          <w:p w14:paraId="741FC0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19</w:t>
            </w:r>
          </w:p>
        </w:tc>
        <w:tc>
          <w:tcPr>
            <w:tcW w:w="2817" w:type="dxa"/>
          </w:tcPr>
          <w:p w14:paraId="01302D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62350</w:t>
            </w:r>
          </w:p>
        </w:tc>
        <w:tc>
          <w:tcPr>
            <w:tcW w:w="2817" w:type="dxa"/>
          </w:tcPr>
          <w:p w14:paraId="305BDF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65211</w:t>
            </w:r>
          </w:p>
        </w:tc>
        <w:tc>
          <w:tcPr>
            <w:tcW w:w="2817" w:type="dxa"/>
          </w:tcPr>
          <w:p w14:paraId="4F8FCE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w:t>
            </w:r>
          </w:p>
        </w:tc>
      </w:tr>
      <w:tr w:rsidR="007D5DF8" w:rsidRPr="00DB5D0D" w14:paraId="3E1A83BD" w14:textId="77777777" w:rsidTr="00E543D0">
        <w:tc>
          <w:tcPr>
            <w:tcW w:w="2817" w:type="dxa"/>
          </w:tcPr>
          <w:p w14:paraId="3158D9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24</w:t>
            </w:r>
          </w:p>
        </w:tc>
        <w:tc>
          <w:tcPr>
            <w:tcW w:w="2817" w:type="dxa"/>
          </w:tcPr>
          <w:p w14:paraId="389197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39900</w:t>
            </w:r>
          </w:p>
        </w:tc>
        <w:tc>
          <w:tcPr>
            <w:tcW w:w="2817" w:type="dxa"/>
          </w:tcPr>
          <w:p w14:paraId="445E99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39419</w:t>
            </w:r>
          </w:p>
        </w:tc>
        <w:tc>
          <w:tcPr>
            <w:tcW w:w="2817" w:type="dxa"/>
          </w:tcPr>
          <w:p w14:paraId="7C4354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w:t>
            </w:r>
          </w:p>
        </w:tc>
      </w:tr>
      <w:tr w:rsidR="007D5DF8" w:rsidRPr="00DB5D0D" w14:paraId="0580FBC8" w14:textId="77777777" w:rsidTr="00E543D0">
        <w:tc>
          <w:tcPr>
            <w:tcW w:w="2817" w:type="dxa"/>
          </w:tcPr>
          <w:p w14:paraId="1A3CB6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26</w:t>
            </w:r>
          </w:p>
        </w:tc>
        <w:tc>
          <w:tcPr>
            <w:tcW w:w="2817" w:type="dxa"/>
          </w:tcPr>
          <w:p w14:paraId="261F6E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43910</w:t>
            </w:r>
          </w:p>
        </w:tc>
        <w:tc>
          <w:tcPr>
            <w:tcW w:w="2817" w:type="dxa"/>
          </w:tcPr>
          <w:p w14:paraId="1EDD18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47856</w:t>
            </w:r>
          </w:p>
        </w:tc>
        <w:tc>
          <w:tcPr>
            <w:tcW w:w="2817" w:type="dxa"/>
          </w:tcPr>
          <w:p w14:paraId="22F0A8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109</w:t>
            </w:r>
          </w:p>
        </w:tc>
      </w:tr>
      <w:tr w:rsidR="007D5DF8" w:rsidRPr="00DB5D0D" w14:paraId="61D2049A" w14:textId="77777777" w:rsidTr="00E543D0">
        <w:tc>
          <w:tcPr>
            <w:tcW w:w="2817" w:type="dxa"/>
          </w:tcPr>
          <w:p w14:paraId="4047E7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27</w:t>
            </w:r>
          </w:p>
        </w:tc>
        <w:tc>
          <w:tcPr>
            <w:tcW w:w="2817" w:type="dxa"/>
          </w:tcPr>
          <w:p w14:paraId="218303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29650</w:t>
            </w:r>
          </w:p>
        </w:tc>
        <w:tc>
          <w:tcPr>
            <w:tcW w:w="2817" w:type="dxa"/>
          </w:tcPr>
          <w:p w14:paraId="3A3B20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23105</w:t>
            </w:r>
          </w:p>
        </w:tc>
        <w:tc>
          <w:tcPr>
            <w:tcW w:w="2817" w:type="dxa"/>
          </w:tcPr>
          <w:p w14:paraId="096424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w:t>
            </w:r>
          </w:p>
        </w:tc>
      </w:tr>
      <w:tr w:rsidR="007D5DF8" w:rsidRPr="00DB5D0D" w14:paraId="6639B5C4" w14:textId="77777777" w:rsidTr="00E543D0">
        <w:tc>
          <w:tcPr>
            <w:tcW w:w="2817" w:type="dxa"/>
            <w:tcBorders>
              <w:bottom w:val="single" w:sz="12" w:space="0" w:color="auto"/>
            </w:tcBorders>
          </w:tcPr>
          <w:p w14:paraId="510765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29</w:t>
            </w:r>
          </w:p>
        </w:tc>
        <w:tc>
          <w:tcPr>
            <w:tcW w:w="2817" w:type="dxa"/>
            <w:tcBorders>
              <w:bottom w:val="single" w:sz="12" w:space="0" w:color="auto"/>
            </w:tcBorders>
          </w:tcPr>
          <w:p w14:paraId="23C367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51180</w:t>
            </w:r>
          </w:p>
        </w:tc>
        <w:tc>
          <w:tcPr>
            <w:tcW w:w="2817" w:type="dxa"/>
            <w:tcBorders>
              <w:bottom w:val="single" w:sz="12" w:space="0" w:color="auto"/>
            </w:tcBorders>
          </w:tcPr>
          <w:p w14:paraId="1A6FBF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52800</w:t>
            </w:r>
          </w:p>
        </w:tc>
        <w:tc>
          <w:tcPr>
            <w:tcW w:w="2817" w:type="dxa"/>
            <w:tcBorders>
              <w:bottom w:val="single" w:sz="12" w:space="0" w:color="auto"/>
            </w:tcBorders>
          </w:tcPr>
          <w:p w14:paraId="4C1895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w:t>
            </w:r>
          </w:p>
        </w:tc>
      </w:tr>
    </w:tbl>
    <w:p w14:paraId="4EFF1D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Причинами невыполнения плана явились:</w:t>
      </w:r>
    </w:p>
    <w:p w14:paraId="2C266B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заводу № 27:</w:t>
      </w:r>
    </w:p>
    <w:p w14:paraId="59094C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Слабая работа Госстройконторы 1-го Главного Управ</w:t>
      </w:r>
      <w:r w:rsidRPr="00DB5D0D">
        <w:rPr>
          <w:rFonts w:ascii="Times New Roman" w:hAnsi="Times New Roman"/>
          <w:color w:val="000000" w:themeColor="text1"/>
          <w:sz w:val="16"/>
          <w:szCs w:val="16"/>
        </w:rPr>
        <w:softHyphen/>
        <w:t>ления и Треста № 14 НКАП.</w:t>
      </w:r>
    </w:p>
    <w:p w14:paraId="54C326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Невыделение фондов на оборудование в 1У-м квартале вследствии чего не был начат монтаж обооудования на 30000 кв/мт площади главного корпуса, закончен</w:t>
      </w:r>
      <w:r w:rsidRPr="00DB5D0D">
        <w:rPr>
          <w:rFonts w:ascii="Times New Roman" w:hAnsi="Times New Roman"/>
          <w:color w:val="000000" w:themeColor="text1"/>
          <w:sz w:val="16"/>
          <w:szCs w:val="16"/>
        </w:rPr>
        <w:softHyphen/>
        <w:t>ных строительством.</w:t>
      </w:r>
    </w:p>
    <w:p w14:paraId="5DAA29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заводу № 16:</w:t>
      </w:r>
    </w:p>
    <w:p w14:paraId="640E2F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Неполучение оборудования (плал но обооудованию выполнен на 80,6 %).</w:t>
      </w:r>
    </w:p>
    <w:p w14:paraId="0F436D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заводу № 24</w:t>
      </w:r>
    </w:p>
    <w:p w14:paraId="28B949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Недостаток жилья для расселения строительных рабочих и в связи с этим недостаток рабочей силы для увеличенного объема работ.</w:t>
      </w:r>
    </w:p>
    <w:p w14:paraId="674A7A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1940 г. для окончания реконструкции заводов требовались следующие капвложения: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7D5DF8" w:rsidRPr="00DB5D0D" w14:paraId="625C1A4A" w14:textId="77777777" w:rsidTr="00E543D0">
        <w:tc>
          <w:tcPr>
            <w:tcW w:w="2817" w:type="dxa"/>
            <w:tcBorders>
              <w:top w:val="single" w:sz="12" w:space="0" w:color="auto"/>
            </w:tcBorders>
          </w:tcPr>
          <w:p w14:paraId="2F59F2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2817" w:type="dxa"/>
            <w:tcBorders>
              <w:top w:val="single" w:sz="12" w:space="0" w:color="auto"/>
            </w:tcBorders>
          </w:tcPr>
          <w:p w14:paraId="28C522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Потребности</w:t>
            </w:r>
          </w:p>
        </w:tc>
        <w:tc>
          <w:tcPr>
            <w:tcW w:w="2817" w:type="dxa"/>
            <w:tcBorders>
              <w:top w:val="single" w:sz="12" w:space="0" w:color="auto"/>
            </w:tcBorders>
          </w:tcPr>
          <w:p w14:paraId="2DC0DC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Ассигновано в 1940</w:t>
            </w:r>
          </w:p>
        </w:tc>
        <w:tc>
          <w:tcPr>
            <w:tcW w:w="2817" w:type="dxa"/>
            <w:tcBorders>
              <w:top w:val="single" w:sz="12" w:space="0" w:color="auto"/>
            </w:tcBorders>
          </w:tcPr>
          <w:p w14:paraId="5ACF6B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18B353A" w14:textId="77777777" w:rsidTr="00E543D0">
        <w:tc>
          <w:tcPr>
            <w:tcW w:w="2817" w:type="dxa"/>
          </w:tcPr>
          <w:p w14:paraId="02696E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16</w:t>
            </w:r>
          </w:p>
        </w:tc>
        <w:tc>
          <w:tcPr>
            <w:tcW w:w="2817" w:type="dxa"/>
          </w:tcPr>
          <w:p w14:paraId="21BAB0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35000</w:t>
            </w:r>
          </w:p>
        </w:tc>
        <w:tc>
          <w:tcPr>
            <w:tcW w:w="2817" w:type="dxa"/>
          </w:tcPr>
          <w:p w14:paraId="121EC2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15000</w:t>
            </w:r>
          </w:p>
        </w:tc>
        <w:tc>
          <w:tcPr>
            <w:tcW w:w="2817" w:type="dxa"/>
          </w:tcPr>
          <w:p w14:paraId="410C57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w:t>
            </w:r>
          </w:p>
        </w:tc>
      </w:tr>
      <w:tr w:rsidR="007D5DF8" w:rsidRPr="00DB5D0D" w14:paraId="37DB9E31" w14:textId="77777777" w:rsidTr="00E543D0">
        <w:tc>
          <w:tcPr>
            <w:tcW w:w="2817" w:type="dxa"/>
          </w:tcPr>
          <w:p w14:paraId="2485B5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19</w:t>
            </w:r>
          </w:p>
        </w:tc>
        <w:tc>
          <w:tcPr>
            <w:tcW w:w="2817" w:type="dxa"/>
          </w:tcPr>
          <w:p w14:paraId="388582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87000</w:t>
            </w:r>
          </w:p>
        </w:tc>
        <w:tc>
          <w:tcPr>
            <w:tcW w:w="2817" w:type="dxa"/>
          </w:tcPr>
          <w:p w14:paraId="74EC56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70000</w:t>
            </w:r>
          </w:p>
        </w:tc>
        <w:tc>
          <w:tcPr>
            <w:tcW w:w="2817" w:type="dxa"/>
          </w:tcPr>
          <w:p w14:paraId="29D051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w:t>
            </w:r>
          </w:p>
        </w:tc>
      </w:tr>
      <w:tr w:rsidR="007D5DF8" w:rsidRPr="00DB5D0D" w14:paraId="4CCDE631" w14:textId="77777777" w:rsidTr="00E543D0">
        <w:tc>
          <w:tcPr>
            <w:tcW w:w="2817" w:type="dxa"/>
          </w:tcPr>
          <w:p w14:paraId="7F5086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24</w:t>
            </w:r>
          </w:p>
        </w:tc>
        <w:tc>
          <w:tcPr>
            <w:tcW w:w="2817" w:type="dxa"/>
          </w:tcPr>
          <w:p w14:paraId="4F553D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50000</w:t>
            </w:r>
          </w:p>
        </w:tc>
        <w:tc>
          <w:tcPr>
            <w:tcW w:w="2817" w:type="dxa"/>
          </w:tcPr>
          <w:p w14:paraId="141573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28500</w:t>
            </w:r>
          </w:p>
        </w:tc>
        <w:tc>
          <w:tcPr>
            <w:tcW w:w="2817" w:type="dxa"/>
          </w:tcPr>
          <w:p w14:paraId="15ED54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w:t>
            </w:r>
          </w:p>
        </w:tc>
      </w:tr>
      <w:tr w:rsidR="007D5DF8" w:rsidRPr="00DB5D0D" w14:paraId="04264EAA" w14:textId="77777777" w:rsidTr="00E543D0">
        <w:tc>
          <w:tcPr>
            <w:tcW w:w="2817" w:type="dxa"/>
          </w:tcPr>
          <w:p w14:paraId="1204CF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26</w:t>
            </w:r>
          </w:p>
        </w:tc>
        <w:tc>
          <w:tcPr>
            <w:tcW w:w="2817" w:type="dxa"/>
          </w:tcPr>
          <w:p w14:paraId="5DA88C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68800</w:t>
            </w:r>
          </w:p>
        </w:tc>
        <w:tc>
          <w:tcPr>
            <w:tcW w:w="2817" w:type="dxa"/>
          </w:tcPr>
          <w:p w14:paraId="2616DA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45000</w:t>
            </w:r>
          </w:p>
        </w:tc>
        <w:tc>
          <w:tcPr>
            <w:tcW w:w="2817" w:type="dxa"/>
          </w:tcPr>
          <w:p w14:paraId="55D915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w:t>
            </w:r>
          </w:p>
        </w:tc>
      </w:tr>
      <w:tr w:rsidR="007D5DF8" w:rsidRPr="00DB5D0D" w14:paraId="2C959AEC" w14:textId="77777777" w:rsidTr="00E543D0">
        <w:tc>
          <w:tcPr>
            <w:tcW w:w="2817" w:type="dxa"/>
          </w:tcPr>
          <w:p w14:paraId="4CA486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29</w:t>
            </w:r>
          </w:p>
        </w:tc>
        <w:tc>
          <w:tcPr>
            <w:tcW w:w="2817" w:type="dxa"/>
          </w:tcPr>
          <w:p w14:paraId="5EC9E0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63000</w:t>
            </w:r>
          </w:p>
        </w:tc>
        <w:tc>
          <w:tcPr>
            <w:tcW w:w="2817" w:type="dxa"/>
          </w:tcPr>
          <w:p w14:paraId="01C116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42000</w:t>
            </w:r>
          </w:p>
        </w:tc>
        <w:tc>
          <w:tcPr>
            <w:tcW w:w="2817" w:type="dxa"/>
          </w:tcPr>
          <w:p w14:paraId="677C74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w:t>
            </w:r>
          </w:p>
        </w:tc>
      </w:tr>
      <w:tr w:rsidR="007D5DF8" w:rsidRPr="00DB5D0D" w14:paraId="550DEC78" w14:textId="77777777" w:rsidTr="00E543D0">
        <w:tc>
          <w:tcPr>
            <w:tcW w:w="2817" w:type="dxa"/>
            <w:tcBorders>
              <w:bottom w:val="single" w:sz="12" w:space="0" w:color="auto"/>
            </w:tcBorders>
          </w:tcPr>
          <w:p w14:paraId="02651A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2817" w:type="dxa"/>
            <w:tcBorders>
              <w:bottom w:val="single" w:sz="12" w:space="0" w:color="auto"/>
            </w:tcBorders>
          </w:tcPr>
          <w:p w14:paraId="7BB418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303800</w:t>
            </w:r>
          </w:p>
        </w:tc>
        <w:tc>
          <w:tcPr>
            <w:tcW w:w="2817" w:type="dxa"/>
            <w:tcBorders>
              <w:bottom w:val="single" w:sz="12" w:space="0" w:color="auto"/>
            </w:tcBorders>
          </w:tcPr>
          <w:p w14:paraId="47112A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200500</w:t>
            </w:r>
          </w:p>
        </w:tc>
        <w:tc>
          <w:tcPr>
            <w:tcW w:w="2817" w:type="dxa"/>
            <w:tcBorders>
              <w:bottom w:val="single" w:sz="12" w:space="0" w:color="auto"/>
            </w:tcBorders>
          </w:tcPr>
          <w:p w14:paraId="7893B1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w:t>
            </w:r>
          </w:p>
        </w:tc>
      </w:tr>
    </w:tbl>
    <w:p w14:paraId="123597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Рядом постановлений Правительства в 1940 году предусмотрено строительство новых об"ектов и расширение существующих корпусов заводов, ранее не предусмотренных генсметами, вследствии чего об"емы работ и потребные капиталовложения для окончания строительства увеличились.</w:t>
      </w:r>
    </w:p>
    <w:p w14:paraId="2CFF16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Об"емы капитального строительства по заводам увеличены на следующие об"екты:</w:t>
      </w:r>
    </w:p>
    <w:p w14:paraId="5114C7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 № 16 - ТЭЦ, новый литейный корпус, летно-испытательную станцию.</w:t>
      </w:r>
    </w:p>
    <w:p w14:paraId="252DDA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Завод № 19 - Расширение опытного отдела, ТЭЦ и водо</w:t>
      </w:r>
      <w:r w:rsidRPr="00DB5D0D">
        <w:rPr>
          <w:rFonts w:ascii="Times New Roman" w:hAnsi="Times New Roman"/>
          <w:color w:val="000000" w:themeColor="text1"/>
          <w:sz w:val="16"/>
          <w:szCs w:val="16"/>
        </w:rPr>
        <w:softHyphen/>
        <w:t>заборные сооружения, летно-испытательную станцию.</w:t>
      </w:r>
    </w:p>
    <w:p w14:paraId="6B3700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Завод № 24 - Об"ектьг для опытного производства: ОКБ, механо-сборочного цеха, испытательной станции, лаборатории.</w:t>
      </w:r>
    </w:p>
    <w:p w14:paraId="382805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Завод № 26 - новый термический корпус, расширение об"ектов для опытного производства и литейный корпус.</w:t>
      </w:r>
    </w:p>
    <w:p w14:paraId="725F78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Завод № 29 - Корпус главного механика, заготовительный цех., и новую лабораторию.</w:t>
      </w:r>
    </w:p>
    <w:p w14:paraId="53A226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 капитального строительства на 01.08-1940 г., с учетом дополнительных капиталовложений, отпущенных на 1940 г. постановлениями Правительства за № 1029/394сс от 11.06.40 г. по заводу № 16; № 209/сс от 20.05.40 г. по заводу № 24; № 257/сс от 13.05.40 г. заводу 29, 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698"/>
        <w:gridCol w:w="972"/>
        <w:gridCol w:w="972"/>
        <w:gridCol w:w="828"/>
        <w:gridCol w:w="900"/>
        <w:gridCol w:w="821"/>
        <w:gridCol w:w="979"/>
        <w:gridCol w:w="850"/>
        <w:gridCol w:w="723"/>
      </w:tblGrid>
      <w:tr w:rsidR="007D5DF8" w:rsidRPr="00DB5D0D" w14:paraId="7C061766" w14:textId="77777777" w:rsidTr="00E543D0">
        <w:trPr>
          <w:trHeight w:val="245"/>
        </w:trPr>
        <w:tc>
          <w:tcPr>
            <w:tcW w:w="698" w:type="dxa"/>
            <w:tcBorders>
              <w:top w:val="single" w:sz="12" w:space="0" w:color="auto"/>
              <w:left w:val="single" w:sz="12" w:space="0" w:color="auto"/>
              <w:bottom w:val="single" w:sz="6" w:space="0" w:color="auto"/>
              <w:right w:val="single" w:sz="6" w:space="0" w:color="auto"/>
            </w:tcBorders>
          </w:tcPr>
          <w:p w14:paraId="0E9C86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972" w:type="dxa"/>
            <w:tcBorders>
              <w:top w:val="single" w:sz="12" w:space="0" w:color="auto"/>
              <w:left w:val="single" w:sz="6" w:space="0" w:color="auto"/>
              <w:bottom w:val="single" w:sz="6" w:space="0" w:color="auto"/>
              <w:right w:val="single" w:sz="6" w:space="0" w:color="auto"/>
            </w:tcBorders>
          </w:tcPr>
          <w:p w14:paraId="25F386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Полная стоимость млн/р.</w:t>
            </w:r>
          </w:p>
        </w:tc>
        <w:tc>
          <w:tcPr>
            <w:tcW w:w="972" w:type="dxa"/>
            <w:tcBorders>
              <w:top w:val="single" w:sz="12" w:space="0" w:color="auto"/>
              <w:left w:val="single" w:sz="6" w:space="0" w:color="auto"/>
              <w:bottom w:val="single" w:sz="6" w:space="0" w:color="auto"/>
              <w:right w:val="single" w:sz="6" w:space="0" w:color="auto"/>
            </w:tcBorders>
          </w:tcPr>
          <w:p w14:paraId="0A6AA1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Затраты на 1/1-1940 г. млн/р.</w:t>
            </w:r>
          </w:p>
        </w:tc>
        <w:tc>
          <w:tcPr>
            <w:tcW w:w="1728" w:type="dxa"/>
            <w:gridSpan w:val="2"/>
            <w:tcBorders>
              <w:top w:val="single" w:sz="12" w:space="0" w:color="auto"/>
              <w:left w:val="single" w:sz="6" w:space="0" w:color="auto"/>
              <w:bottom w:val="single" w:sz="6" w:space="0" w:color="auto"/>
              <w:right w:val="single" w:sz="6" w:space="0" w:color="auto"/>
            </w:tcBorders>
          </w:tcPr>
          <w:p w14:paraId="37BDB4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Ассигновано на 1940</w:t>
            </w:r>
          </w:p>
        </w:tc>
        <w:tc>
          <w:tcPr>
            <w:tcW w:w="1800" w:type="dxa"/>
            <w:gridSpan w:val="2"/>
            <w:tcBorders>
              <w:top w:val="single" w:sz="12" w:space="0" w:color="auto"/>
              <w:left w:val="single" w:sz="6" w:space="0" w:color="auto"/>
              <w:bottom w:val="single" w:sz="6" w:space="0" w:color="auto"/>
              <w:right w:val="single" w:sz="6" w:space="0" w:color="auto"/>
            </w:tcBorders>
          </w:tcPr>
          <w:p w14:paraId="03D55B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Выполнено работ на 01.08.40 г.</w:t>
            </w:r>
          </w:p>
        </w:tc>
        <w:tc>
          <w:tcPr>
            <w:tcW w:w="1573" w:type="dxa"/>
            <w:gridSpan w:val="2"/>
            <w:tcBorders>
              <w:top w:val="single" w:sz="12" w:space="0" w:color="auto"/>
              <w:left w:val="single" w:sz="6" w:space="0" w:color="auto"/>
              <w:bottom w:val="single" w:sz="6" w:space="0" w:color="auto"/>
              <w:right w:val="single" w:sz="6" w:space="0" w:color="auto"/>
            </w:tcBorders>
          </w:tcPr>
          <w:p w14:paraId="2B1C69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выполнения плана на 1/8-40 г.</w:t>
            </w:r>
          </w:p>
        </w:tc>
      </w:tr>
      <w:tr w:rsidR="007D5DF8" w:rsidRPr="00DB5D0D" w14:paraId="36245B12" w14:textId="77777777" w:rsidTr="00E543D0">
        <w:trPr>
          <w:trHeight w:val="245"/>
        </w:trPr>
        <w:tc>
          <w:tcPr>
            <w:tcW w:w="698" w:type="dxa"/>
            <w:tcBorders>
              <w:top w:val="single" w:sz="12" w:space="0" w:color="auto"/>
              <w:left w:val="single" w:sz="12" w:space="0" w:color="auto"/>
              <w:bottom w:val="single" w:sz="6" w:space="0" w:color="auto"/>
              <w:right w:val="single" w:sz="6" w:space="0" w:color="auto"/>
            </w:tcBorders>
          </w:tcPr>
          <w:p w14:paraId="10BC8D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72" w:type="dxa"/>
            <w:tcBorders>
              <w:top w:val="single" w:sz="12" w:space="0" w:color="auto"/>
              <w:left w:val="single" w:sz="6" w:space="0" w:color="auto"/>
              <w:bottom w:val="single" w:sz="6" w:space="0" w:color="auto"/>
              <w:right w:val="single" w:sz="6" w:space="0" w:color="auto"/>
            </w:tcBorders>
          </w:tcPr>
          <w:p w14:paraId="2C9AD0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72" w:type="dxa"/>
            <w:tcBorders>
              <w:top w:val="single" w:sz="12" w:space="0" w:color="auto"/>
              <w:left w:val="single" w:sz="6" w:space="0" w:color="auto"/>
              <w:bottom w:val="single" w:sz="6" w:space="0" w:color="auto"/>
              <w:right w:val="single" w:sz="6" w:space="0" w:color="auto"/>
            </w:tcBorders>
          </w:tcPr>
          <w:p w14:paraId="4A3691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828" w:type="dxa"/>
            <w:tcBorders>
              <w:top w:val="single" w:sz="12" w:space="0" w:color="auto"/>
              <w:left w:val="single" w:sz="6" w:space="0" w:color="auto"/>
              <w:bottom w:val="single" w:sz="6" w:space="0" w:color="auto"/>
              <w:right w:val="single" w:sz="6" w:space="0" w:color="auto"/>
            </w:tcBorders>
          </w:tcPr>
          <w:p w14:paraId="2A7454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МЛН. РУб.</w:t>
            </w:r>
          </w:p>
        </w:tc>
        <w:tc>
          <w:tcPr>
            <w:tcW w:w="900" w:type="dxa"/>
            <w:tcBorders>
              <w:top w:val="single" w:sz="12" w:space="0" w:color="auto"/>
              <w:left w:val="single" w:sz="6" w:space="0" w:color="auto"/>
              <w:bottom w:val="single" w:sz="6" w:space="0" w:color="auto"/>
              <w:right w:val="single" w:sz="6" w:space="0" w:color="auto"/>
            </w:tcBorders>
          </w:tcPr>
          <w:p w14:paraId="4BD16B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строит, работ млн/р.</w:t>
            </w:r>
          </w:p>
        </w:tc>
        <w:tc>
          <w:tcPr>
            <w:tcW w:w="821" w:type="dxa"/>
            <w:tcBorders>
              <w:top w:val="single" w:sz="12" w:space="0" w:color="auto"/>
              <w:left w:val="single" w:sz="6" w:space="0" w:color="auto"/>
              <w:bottom w:val="single" w:sz="6" w:space="0" w:color="auto"/>
              <w:right w:val="single" w:sz="6" w:space="0" w:color="auto"/>
            </w:tcBorders>
          </w:tcPr>
          <w:p w14:paraId="3C0C59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млн. руб.</w:t>
            </w:r>
          </w:p>
        </w:tc>
        <w:tc>
          <w:tcPr>
            <w:tcW w:w="979" w:type="dxa"/>
            <w:tcBorders>
              <w:top w:val="single" w:sz="12" w:space="0" w:color="auto"/>
              <w:left w:val="single" w:sz="6" w:space="0" w:color="auto"/>
              <w:bottom w:val="single" w:sz="6" w:space="0" w:color="auto"/>
              <w:right w:val="single" w:sz="6" w:space="0" w:color="auto"/>
            </w:tcBorders>
          </w:tcPr>
          <w:p w14:paraId="40C244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строит. работ млн/р.</w:t>
            </w:r>
          </w:p>
        </w:tc>
        <w:tc>
          <w:tcPr>
            <w:tcW w:w="850" w:type="dxa"/>
            <w:tcBorders>
              <w:top w:val="single" w:sz="12" w:space="0" w:color="auto"/>
              <w:left w:val="single" w:sz="6" w:space="0" w:color="auto"/>
              <w:bottom w:val="single" w:sz="6" w:space="0" w:color="auto"/>
              <w:right w:val="single" w:sz="6" w:space="0" w:color="auto"/>
            </w:tcBorders>
          </w:tcPr>
          <w:p w14:paraId="77CB0C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в т.ч.</w:t>
            </w:r>
          </w:p>
          <w:p w14:paraId="43B75C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12" w:space="0" w:color="auto"/>
              <w:left w:val="single" w:sz="6" w:space="0" w:color="auto"/>
              <w:bottom w:val="single" w:sz="6" w:space="0" w:color="auto"/>
              <w:right w:val="single" w:sz="6" w:space="0" w:color="auto"/>
            </w:tcBorders>
          </w:tcPr>
          <w:p w14:paraId="6C5FE6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строит. работ млн/р.</w:t>
            </w:r>
          </w:p>
        </w:tc>
      </w:tr>
      <w:tr w:rsidR="007D5DF8" w:rsidRPr="00DB5D0D" w14:paraId="695AF982" w14:textId="77777777" w:rsidTr="00E543D0">
        <w:trPr>
          <w:trHeight w:val="245"/>
        </w:trPr>
        <w:tc>
          <w:tcPr>
            <w:tcW w:w="698" w:type="dxa"/>
            <w:tcBorders>
              <w:top w:val="single" w:sz="6" w:space="0" w:color="auto"/>
              <w:left w:val="single" w:sz="12" w:space="0" w:color="auto"/>
              <w:bottom w:val="single" w:sz="6" w:space="0" w:color="auto"/>
              <w:right w:val="single" w:sz="6" w:space="0" w:color="auto"/>
            </w:tcBorders>
          </w:tcPr>
          <w:p w14:paraId="2BC69D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16</w:t>
            </w:r>
          </w:p>
        </w:tc>
        <w:tc>
          <w:tcPr>
            <w:tcW w:w="972" w:type="dxa"/>
            <w:tcBorders>
              <w:top w:val="single" w:sz="6" w:space="0" w:color="auto"/>
              <w:left w:val="single" w:sz="6" w:space="0" w:color="auto"/>
              <w:bottom w:val="single" w:sz="6" w:space="0" w:color="auto"/>
              <w:right w:val="single" w:sz="6" w:space="0" w:color="auto"/>
            </w:tcBorders>
          </w:tcPr>
          <w:p w14:paraId="7D88A6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187</w:t>
            </w:r>
          </w:p>
        </w:tc>
        <w:tc>
          <w:tcPr>
            <w:tcW w:w="972" w:type="dxa"/>
            <w:tcBorders>
              <w:top w:val="single" w:sz="6" w:space="0" w:color="auto"/>
              <w:left w:val="single" w:sz="6" w:space="0" w:color="auto"/>
              <w:bottom w:val="single" w:sz="6" w:space="0" w:color="auto"/>
              <w:right w:val="single" w:sz="6" w:space="0" w:color="auto"/>
            </w:tcBorders>
          </w:tcPr>
          <w:p w14:paraId="7E7416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w:t>
            </w:r>
          </w:p>
        </w:tc>
        <w:tc>
          <w:tcPr>
            <w:tcW w:w="828" w:type="dxa"/>
            <w:tcBorders>
              <w:top w:val="single" w:sz="6" w:space="0" w:color="auto"/>
              <w:left w:val="single" w:sz="6" w:space="0" w:color="auto"/>
              <w:bottom w:val="single" w:sz="6" w:space="0" w:color="auto"/>
              <w:right w:val="single" w:sz="6" w:space="0" w:color="auto"/>
            </w:tcBorders>
          </w:tcPr>
          <w:p w14:paraId="468C91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w:t>
            </w:r>
          </w:p>
        </w:tc>
        <w:tc>
          <w:tcPr>
            <w:tcW w:w="900" w:type="dxa"/>
            <w:tcBorders>
              <w:top w:val="single" w:sz="6" w:space="0" w:color="auto"/>
              <w:left w:val="single" w:sz="6" w:space="0" w:color="auto"/>
              <w:bottom w:val="single" w:sz="6" w:space="0" w:color="auto"/>
              <w:right w:val="single" w:sz="6" w:space="0" w:color="auto"/>
            </w:tcBorders>
          </w:tcPr>
          <w:p w14:paraId="19B440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w:t>
            </w:r>
          </w:p>
        </w:tc>
        <w:tc>
          <w:tcPr>
            <w:tcW w:w="821" w:type="dxa"/>
            <w:tcBorders>
              <w:top w:val="single" w:sz="6" w:space="0" w:color="auto"/>
              <w:left w:val="single" w:sz="6" w:space="0" w:color="auto"/>
              <w:bottom w:val="single" w:sz="6" w:space="0" w:color="auto"/>
              <w:right w:val="single" w:sz="6" w:space="0" w:color="auto"/>
            </w:tcBorders>
          </w:tcPr>
          <w:p w14:paraId="332299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w:t>
            </w:r>
          </w:p>
        </w:tc>
        <w:tc>
          <w:tcPr>
            <w:tcW w:w="979" w:type="dxa"/>
            <w:tcBorders>
              <w:top w:val="single" w:sz="6" w:space="0" w:color="auto"/>
              <w:left w:val="single" w:sz="6" w:space="0" w:color="auto"/>
              <w:bottom w:val="single" w:sz="6" w:space="0" w:color="auto"/>
              <w:right w:val="single" w:sz="6" w:space="0" w:color="auto"/>
            </w:tcBorders>
          </w:tcPr>
          <w:p w14:paraId="5160C2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w:t>
            </w:r>
          </w:p>
        </w:tc>
        <w:tc>
          <w:tcPr>
            <w:tcW w:w="850" w:type="dxa"/>
            <w:tcBorders>
              <w:top w:val="single" w:sz="6" w:space="0" w:color="auto"/>
              <w:left w:val="single" w:sz="6" w:space="0" w:color="auto"/>
              <w:bottom w:val="single" w:sz="6" w:space="0" w:color="auto"/>
              <w:right w:val="single" w:sz="6" w:space="0" w:color="auto"/>
            </w:tcBorders>
          </w:tcPr>
          <w:p w14:paraId="081339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w:t>
            </w:r>
          </w:p>
        </w:tc>
        <w:tc>
          <w:tcPr>
            <w:tcW w:w="720" w:type="dxa"/>
            <w:tcBorders>
              <w:top w:val="single" w:sz="6" w:space="0" w:color="auto"/>
              <w:left w:val="single" w:sz="6" w:space="0" w:color="auto"/>
              <w:bottom w:val="single" w:sz="6" w:space="0" w:color="auto"/>
              <w:right w:val="single" w:sz="6" w:space="0" w:color="auto"/>
            </w:tcBorders>
          </w:tcPr>
          <w:p w14:paraId="6481F9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47,5</w:t>
            </w:r>
          </w:p>
        </w:tc>
      </w:tr>
      <w:tr w:rsidR="007D5DF8" w:rsidRPr="00DB5D0D" w14:paraId="3EA1C495" w14:textId="77777777" w:rsidTr="00E543D0">
        <w:trPr>
          <w:trHeight w:val="245"/>
        </w:trPr>
        <w:tc>
          <w:tcPr>
            <w:tcW w:w="698" w:type="dxa"/>
            <w:tcBorders>
              <w:top w:val="single" w:sz="6" w:space="0" w:color="auto"/>
              <w:left w:val="single" w:sz="12" w:space="0" w:color="auto"/>
              <w:bottom w:val="single" w:sz="6" w:space="0" w:color="auto"/>
              <w:right w:val="single" w:sz="6" w:space="0" w:color="auto"/>
            </w:tcBorders>
          </w:tcPr>
          <w:p w14:paraId="6222DD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19</w:t>
            </w:r>
          </w:p>
        </w:tc>
        <w:tc>
          <w:tcPr>
            <w:tcW w:w="972" w:type="dxa"/>
            <w:tcBorders>
              <w:top w:val="single" w:sz="6" w:space="0" w:color="auto"/>
              <w:left w:val="single" w:sz="6" w:space="0" w:color="auto"/>
              <w:bottom w:val="single" w:sz="6" w:space="0" w:color="auto"/>
              <w:right w:val="single" w:sz="6" w:space="0" w:color="auto"/>
            </w:tcBorders>
          </w:tcPr>
          <w:p w14:paraId="6EA59D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972" w:type="dxa"/>
            <w:tcBorders>
              <w:top w:val="single" w:sz="6" w:space="0" w:color="auto"/>
              <w:left w:val="single" w:sz="6" w:space="0" w:color="auto"/>
              <w:bottom w:val="single" w:sz="6" w:space="0" w:color="auto"/>
              <w:right w:val="single" w:sz="6" w:space="0" w:color="auto"/>
            </w:tcBorders>
          </w:tcPr>
          <w:p w14:paraId="629FF4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w:t>
            </w:r>
          </w:p>
        </w:tc>
        <w:tc>
          <w:tcPr>
            <w:tcW w:w="828" w:type="dxa"/>
            <w:tcBorders>
              <w:top w:val="single" w:sz="6" w:space="0" w:color="auto"/>
              <w:left w:val="single" w:sz="6" w:space="0" w:color="auto"/>
              <w:bottom w:val="single" w:sz="6" w:space="0" w:color="auto"/>
              <w:right w:val="single" w:sz="6" w:space="0" w:color="auto"/>
            </w:tcBorders>
          </w:tcPr>
          <w:p w14:paraId="2D6E2B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66.5</w:t>
            </w:r>
          </w:p>
        </w:tc>
        <w:tc>
          <w:tcPr>
            <w:tcW w:w="900" w:type="dxa"/>
            <w:tcBorders>
              <w:top w:val="single" w:sz="6" w:space="0" w:color="auto"/>
              <w:left w:val="single" w:sz="6" w:space="0" w:color="auto"/>
              <w:bottom w:val="single" w:sz="6" w:space="0" w:color="auto"/>
              <w:right w:val="single" w:sz="6" w:space="0" w:color="auto"/>
            </w:tcBorders>
          </w:tcPr>
          <w:p w14:paraId="768916D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42.7</w:t>
            </w:r>
          </w:p>
        </w:tc>
        <w:tc>
          <w:tcPr>
            <w:tcW w:w="821" w:type="dxa"/>
            <w:tcBorders>
              <w:top w:val="single" w:sz="6" w:space="0" w:color="auto"/>
              <w:left w:val="single" w:sz="6" w:space="0" w:color="auto"/>
              <w:bottom w:val="single" w:sz="6" w:space="0" w:color="auto"/>
              <w:right w:val="single" w:sz="6" w:space="0" w:color="auto"/>
            </w:tcBorders>
          </w:tcPr>
          <w:p w14:paraId="043EEB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35.8</w:t>
            </w:r>
          </w:p>
        </w:tc>
        <w:tc>
          <w:tcPr>
            <w:tcW w:w="979" w:type="dxa"/>
            <w:tcBorders>
              <w:top w:val="single" w:sz="6" w:space="0" w:color="auto"/>
              <w:left w:val="single" w:sz="6" w:space="0" w:color="auto"/>
              <w:bottom w:val="single" w:sz="6" w:space="0" w:color="auto"/>
              <w:right w:val="single" w:sz="6" w:space="0" w:color="auto"/>
            </w:tcBorders>
          </w:tcPr>
          <w:p w14:paraId="7CEE0C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w:t>
            </w:r>
          </w:p>
        </w:tc>
        <w:tc>
          <w:tcPr>
            <w:tcW w:w="850" w:type="dxa"/>
            <w:tcBorders>
              <w:top w:val="single" w:sz="6" w:space="0" w:color="auto"/>
              <w:left w:val="single" w:sz="6" w:space="0" w:color="auto"/>
              <w:bottom w:val="single" w:sz="6" w:space="0" w:color="auto"/>
              <w:right w:val="single" w:sz="6" w:space="0" w:color="auto"/>
            </w:tcBorders>
          </w:tcPr>
          <w:p w14:paraId="53740A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w:t>
            </w:r>
          </w:p>
        </w:tc>
        <w:tc>
          <w:tcPr>
            <w:tcW w:w="720" w:type="dxa"/>
            <w:tcBorders>
              <w:top w:val="single" w:sz="6" w:space="0" w:color="auto"/>
              <w:left w:val="single" w:sz="6" w:space="0" w:color="auto"/>
              <w:bottom w:val="single" w:sz="6" w:space="0" w:color="auto"/>
              <w:right w:val="single" w:sz="6" w:space="0" w:color="auto"/>
            </w:tcBorders>
          </w:tcPr>
          <w:p w14:paraId="25CCD8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r>
      <w:tr w:rsidR="007D5DF8" w:rsidRPr="00DB5D0D" w14:paraId="5E9A8537" w14:textId="77777777" w:rsidTr="00E543D0">
        <w:trPr>
          <w:trHeight w:val="259"/>
        </w:trPr>
        <w:tc>
          <w:tcPr>
            <w:tcW w:w="698" w:type="dxa"/>
            <w:tcBorders>
              <w:top w:val="single" w:sz="6" w:space="0" w:color="auto"/>
              <w:left w:val="single" w:sz="12" w:space="0" w:color="auto"/>
              <w:bottom w:val="single" w:sz="6" w:space="0" w:color="auto"/>
              <w:right w:val="single" w:sz="6" w:space="0" w:color="auto"/>
            </w:tcBorders>
          </w:tcPr>
          <w:p w14:paraId="5EFF708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24</w:t>
            </w:r>
          </w:p>
        </w:tc>
        <w:tc>
          <w:tcPr>
            <w:tcW w:w="972" w:type="dxa"/>
            <w:tcBorders>
              <w:top w:val="single" w:sz="6" w:space="0" w:color="auto"/>
              <w:left w:val="single" w:sz="6" w:space="0" w:color="auto"/>
              <w:bottom w:val="single" w:sz="6" w:space="0" w:color="auto"/>
              <w:right w:val="single" w:sz="6" w:space="0" w:color="auto"/>
            </w:tcBorders>
          </w:tcPr>
          <w:p w14:paraId="088BDF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295</w:t>
            </w:r>
          </w:p>
        </w:tc>
        <w:tc>
          <w:tcPr>
            <w:tcW w:w="972" w:type="dxa"/>
            <w:tcBorders>
              <w:top w:val="single" w:sz="6" w:space="0" w:color="auto"/>
              <w:left w:val="single" w:sz="6" w:space="0" w:color="auto"/>
              <w:bottom w:val="single" w:sz="6" w:space="0" w:color="auto"/>
              <w:right w:val="single" w:sz="6" w:space="0" w:color="auto"/>
            </w:tcBorders>
          </w:tcPr>
          <w:p w14:paraId="7910CF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205</w:t>
            </w:r>
          </w:p>
        </w:tc>
        <w:tc>
          <w:tcPr>
            <w:tcW w:w="828" w:type="dxa"/>
            <w:tcBorders>
              <w:top w:val="single" w:sz="6" w:space="0" w:color="auto"/>
              <w:left w:val="single" w:sz="6" w:space="0" w:color="auto"/>
              <w:bottom w:val="single" w:sz="6" w:space="0" w:color="auto"/>
              <w:right w:val="single" w:sz="6" w:space="0" w:color="auto"/>
            </w:tcBorders>
          </w:tcPr>
          <w:p w14:paraId="14F0AC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32.8</w:t>
            </w:r>
          </w:p>
        </w:tc>
        <w:tc>
          <w:tcPr>
            <w:tcW w:w="900" w:type="dxa"/>
            <w:tcBorders>
              <w:top w:val="single" w:sz="6" w:space="0" w:color="auto"/>
              <w:left w:val="single" w:sz="6" w:space="0" w:color="auto"/>
              <w:bottom w:val="single" w:sz="6" w:space="0" w:color="auto"/>
              <w:right w:val="single" w:sz="6" w:space="0" w:color="auto"/>
            </w:tcBorders>
          </w:tcPr>
          <w:p w14:paraId="702147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w:t>
            </w:r>
          </w:p>
        </w:tc>
        <w:tc>
          <w:tcPr>
            <w:tcW w:w="821" w:type="dxa"/>
            <w:tcBorders>
              <w:top w:val="single" w:sz="6" w:space="0" w:color="auto"/>
              <w:left w:val="single" w:sz="6" w:space="0" w:color="auto"/>
              <w:bottom w:val="single" w:sz="6" w:space="0" w:color="auto"/>
              <w:right w:val="single" w:sz="6" w:space="0" w:color="auto"/>
            </w:tcBorders>
          </w:tcPr>
          <w:p w14:paraId="47D03B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15.9</w:t>
            </w:r>
          </w:p>
        </w:tc>
        <w:tc>
          <w:tcPr>
            <w:tcW w:w="979" w:type="dxa"/>
            <w:tcBorders>
              <w:top w:val="single" w:sz="6" w:space="0" w:color="auto"/>
              <w:left w:val="single" w:sz="6" w:space="0" w:color="auto"/>
              <w:bottom w:val="single" w:sz="6" w:space="0" w:color="auto"/>
              <w:right w:val="single" w:sz="6" w:space="0" w:color="auto"/>
            </w:tcBorders>
          </w:tcPr>
          <w:p w14:paraId="1A7B8B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w:t>
            </w:r>
          </w:p>
        </w:tc>
        <w:tc>
          <w:tcPr>
            <w:tcW w:w="850" w:type="dxa"/>
            <w:tcBorders>
              <w:top w:val="single" w:sz="6" w:space="0" w:color="auto"/>
              <w:left w:val="single" w:sz="6" w:space="0" w:color="auto"/>
              <w:bottom w:val="single" w:sz="6" w:space="0" w:color="auto"/>
              <w:right w:val="single" w:sz="6" w:space="0" w:color="auto"/>
            </w:tcBorders>
          </w:tcPr>
          <w:p w14:paraId="109E29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w:t>
            </w:r>
          </w:p>
        </w:tc>
        <w:tc>
          <w:tcPr>
            <w:tcW w:w="720" w:type="dxa"/>
            <w:tcBorders>
              <w:top w:val="single" w:sz="6" w:space="0" w:color="auto"/>
              <w:left w:val="single" w:sz="6" w:space="0" w:color="auto"/>
              <w:bottom w:val="single" w:sz="6" w:space="0" w:color="auto"/>
              <w:right w:val="single" w:sz="6" w:space="0" w:color="auto"/>
            </w:tcBorders>
          </w:tcPr>
          <w:p w14:paraId="1EBD48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w:t>
            </w:r>
          </w:p>
        </w:tc>
      </w:tr>
      <w:tr w:rsidR="007D5DF8" w:rsidRPr="00DB5D0D" w14:paraId="786D95BA" w14:textId="77777777" w:rsidTr="00E543D0">
        <w:trPr>
          <w:trHeight w:val="209"/>
        </w:trPr>
        <w:tc>
          <w:tcPr>
            <w:tcW w:w="698" w:type="dxa"/>
            <w:tcBorders>
              <w:top w:val="single" w:sz="6" w:space="0" w:color="auto"/>
              <w:left w:val="single" w:sz="12" w:space="0" w:color="auto"/>
              <w:bottom w:val="single" w:sz="6" w:space="0" w:color="auto"/>
              <w:right w:val="single" w:sz="6" w:space="0" w:color="auto"/>
            </w:tcBorders>
          </w:tcPr>
          <w:p w14:paraId="68F583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26</w:t>
            </w:r>
          </w:p>
        </w:tc>
        <w:tc>
          <w:tcPr>
            <w:tcW w:w="972" w:type="dxa"/>
            <w:tcBorders>
              <w:top w:val="single" w:sz="6" w:space="0" w:color="auto"/>
              <w:left w:val="single" w:sz="6" w:space="0" w:color="auto"/>
              <w:bottom w:val="single" w:sz="6" w:space="0" w:color="auto"/>
              <w:right w:val="single" w:sz="6" w:space="0" w:color="auto"/>
            </w:tcBorders>
          </w:tcPr>
          <w:p w14:paraId="2DCDE3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972" w:type="dxa"/>
            <w:tcBorders>
              <w:top w:val="single" w:sz="6" w:space="0" w:color="auto"/>
              <w:left w:val="single" w:sz="6" w:space="0" w:color="auto"/>
              <w:bottom w:val="single" w:sz="6" w:space="0" w:color="auto"/>
              <w:right w:val="single" w:sz="6" w:space="0" w:color="auto"/>
            </w:tcBorders>
          </w:tcPr>
          <w:p w14:paraId="4E99CC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82</w:t>
            </w:r>
          </w:p>
        </w:tc>
        <w:tc>
          <w:tcPr>
            <w:tcW w:w="828" w:type="dxa"/>
            <w:tcBorders>
              <w:top w:val="single" w:sz="6" w:space="0" w:color="auto"/>
              <w:left w:val="single" w:sz="6" w:space="0" w:color="auto"/>
              <w:bottom w:val="single" w:sz="6" w:space="0" w:color="auto"/>
              <w:right w:val="single" w:sz="6" w:space="0" w:color="auto"/>
            </w:tcBorders>
          </w:tcPr>
          <w:p w14:paraId="7D4320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46.8</w:t>
            </w:r>
          </w:p>
        </w:tc>
        <w:tc>
          <w:tcPr>
            <w:tcW w:w="900" w:type="dxa"/>
            <w:tcBorders>
              <w:top w:val="single" w:sz="6" w:space="0" w:color="auto"/>
              <w:left w:val="single" w:sz="6" w:space="0" w:color="auto"/>
              <w:bottom w:val="single" w:sz="6" w:space="0" w:color="auto"/>
              <w:right w:val="single" w:sz="6" w:space="0" w:color="auto"/>
            </w:tcBorders>
          </w:tcPr>
          <w:p w14:paraId="134A3C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26.5</w:t>
            </w:r>
          </w:p>
        </w:tc>
        <w:tc>
          <w:tcPr>
            <w:tcW w:w="821" w:type="dxa"/>
            <w:tcBorders>
              <w:top w:val="single" w:sz="6" w:space="0" w:color="auto"/>
              <w:left w:val="single" w:sz="6" w:space="0" w:color="auto"/>
              <w:bottom w:val="single" w:sz="6" w:space="0" w:color="auto"/>
              <w:right w:val="single" w:sz="6" w:space="0" w:color="auto"/>
            </w:tcBorders>
          </w:tcPr>
          <w:p w14:paraId="22124D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30.6</w:t>
            </w:r>
          </w:p>
        </w:tc>
        <w:tc>
          <w:tcPr>
            <w:tcW w:w="979" w:type="dxa"/>
            <w:tcBorders>
              <w:top w:val="single" w:sz="6" w:space="0" w:color="auto"/>
              <w:left w:val="single" w:sz="6" w:space="0" w:color="auto"/>
              <w:bottom w:val="single" w:sz="6" w:space="0" w:color="auto"/>
              <w:right w:val="single" w:sz="6" w:space="0" w:color="auto"/>
            </w:tcBorders>
          </w:tcPr>
          <w:p w14:paraId="333FFC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11.9</w:t>
            </w:r>
          </w:p>
        </w:tc>
        <w:tc>
          <w:tcPr>
            <w:tcW w:w="850" w:type="dxa"/>
            <w:tcBorders>
              <w:top w:val="single" w:sz="6" w:space="0" w:color="auto"/>
              <w:left w:val="single" w:sz="6" w:space="0" w:color="auto"/>
              <w:bottom w:val="single" w:sz="6" w:space="0" w:color="auto"/>
              <w:right w:val="single" w:sz="6" w:space="0" w:color="auto"/>
            </w:tcBorders>
          </w:tcPr>
          <w:p w14:paraId="38BC2A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w:t>
            </w:r>
          </w:p>
        </w:tc>
        <w:tc>
          <w:tcPr>
            <w:tcW w:w="720" w:type="dxa"/>
            <w:tcBorders>
              <w:top w:val="single" w:sz="6" w:space="0" w:color="auto"/>
              <w:left w:val="single" w:sz="6" w:space="0" w:color="auto"/>
              <w:bottom w:val="single" w:sz="6" w:space="0" w:color="auto"/>
              <w:right w:val="single" w:sz="6" w:space="0" w:color="auto"/>
            </w:tcBorders>
          </w:tcPr>
          <w:p w14:paraId="25C457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r>
      <w:tr w:rsidR="007D5DF8" w:rsidRPr="00DB5D0D" w14:paraId="3F19EFA5" w14:textId="77777777" w:rsidTr="00E543D0">
        <w:trPr>
          <w:trHeight w:val="209"/>
        </w:trPr>
        <w:tc>
          <w:tcPr>
            <w:tcW w:w="698" w:type="dxa"/>
            <w:tcBorders>
              <w:top w:val="single" w:sz="6" w:space="0" w:color="auto"/>
              <w:left w:val="single" w:sz="12" w:space="0" w:color="auto"/>
              <w:bottom w:val="single" w:sz="6" w:space="0" w:color="auto"/>
              <w:right w:val="single" w:sz="6" w:space="0" w:color="auto"/>
            </w:tcBorders>
          </w:tcPr>
          <w:p w14:paraId="1F160C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29</w:t>
            </w:r>
          </w:p>
        </w:tc>
        <w:tc>
          <w:tcPr>
            <w:tcW w:w="972" w:type="dxa"/>
            <w:tcBorders>
              <w:top w:val="single" w:sz="6" w:space="0" w:color="auto"/>
              <w:left w:val="single" w:sz="6" w:space="0" w:color="auto"/>
              <w:bottom w:val="single" w:sz="6" w:space="0" w:color="auto"/>
              <w:right w:val="single" w:sz="6" w:space="0" w:color="auto"/>
            </w:tcBorders>
          </w:tcPr>
          <w:p w14:paraId="2BDA8A3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w:t>
            </w:r>
          </w:p>
        </w:tc>
        <w:tc>
          <w:tcPr>
            <w:tcW w:w="972" w:type="dxa"/>
            <w:tcBorders>
              <w:top w:val="single" w:sz="6" w:space="0" w:color="auto"/>
              <w:left w:val="single" w:sz="6" w:space="0" w:color="auto"/>
              <w:bottom w:val="single" w:sz="6" w:space="0" w:color="auto"/>
              <w:right w:val="single" w:sz="6" w:space="0" w:color="auto"/>
            </w:tcBorders>
          </w:tcPr>
          <w:p w14:paraId="79F58B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143</w:t>
            </w:r>
          </w:p>
        </w:tc>
        <w:tc>
          <w:tcPr>
            <w:tcW w:w="828" w:type="dxa"/>
            <w:tcBorders>
              <w:top w:val="single" w:sz="6" w:space="0" w:color="auto"/>
              <w:left w:val="single" w:sz="6" w:space="0" w:color="auto"/>
              <w:bottom w:val="single" w:sz="6" w:space="0" w:color="auto"/>
              <w:right w:val="single" w:sz="6" w:space="0" w:color="auto"/>
            </w:tcBorders>
          </w:tcPr>
          <w:p w14:paraId="5BF811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54.0</w:t>
            </w:r>
          </w:p>
        </w:tc>
        <w:tc>
          <w:tcPr>
            <w:tcW w:w="900" w:type="dxa"/>
            <w:tcBorders>
              <w:top w:val="single" w:sz="6" w:space="0" w:color="auto"/>
              <w:left w:val="single" w:sz="6" w:space="0" w:color="auto"/>
              <w:bottom w:val="single" w:sz="6" w:space="0" w:color="auto"/>
              <w:right w:val="single" w:sz="6" w:space="0" w:color="auto"/>
            </w:tcBorders>
          </w:tcPr>
          <w:p w14:paraId="56D243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w:t>
            </w:r>
          </w:p>
        </w:tc>
        <w:tc>
          <w:tcPr>
            <w:tcW w:w="821" w:type="dxa"/>
            <w:tcBorders>
              <w:top w:val="single" w:sz="6" w:space="0" w:color="auto"/>
              <w:left w:val="single" w:sz="6" w:space="0" w:color="auto"/>
              <w:bottom w:val="single" w:sz="6" w:space="0" w:color="auto"/>
              <w:right w:val="single" w:sz="6" w:space="0" w:color="auto"/>
            </w:tcBorders>
          </w:tcPr>
          <w:p w14:paraId="5B7619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w:t>
            </w:r>
          </w:p>
        </w:tc>
        <w:tc>
          <w:tcPr>
            <w:tcW w:w="979" w:type="dxa"/>
            <w:tcBorders>
              <w:top w:val="single" w:sz="6" w:space="0" w:color="auto"/>
              <w:left w:val="single" w:sz="6" w:space="0" w:color="auto"/>
              <w:bottom w:val="single" w:sz="6" w:space="0" w:color="auto"/>
              <w:right w:val="single" w:sz="6" w:space="0" w:color="auto"/>
            </w:tcBorders>
          </w:tcPr>
          <w:p w14:paraId="5CC842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w:t>
            </w:r>
          </w:p>
        </w:tc>
        <w:tc>
          <w:tcPr>
            <w:tcW w:w="850" w:type="dxa"/>
            <w:tcBorders>
              <w:top w:val="single" w:sz="6" w:space="0" w:color="auto"/>
              <w:left w:val="single" w:sz="6" w:space="0" w:color="auto"/>
              <w:bottom w:val="single" w:sz="6" w:space="0" w:color="auto"/>
              <w:right w:val="single" w:sz="6" w:space="0" w:color="auto"/>
            </w:tcBorders>
          </w:tcPr>
          <w:p w14:paraId="09B027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w:t>
            </w:r>
          </w:p>
        </w:tc>
        <w:tc>
          <w:tcPr>
            <w:tcW w:w="720" w:type="dxa"/>
            <w:tcBorders>
              <w:top w:val="single" w:sz="6" w:space="0" w:color="auto"/>
              <w:left w:val="single" w:sz="6" w:space="0" w:color="auto"/>
              <w:bottom w:val="single" w:sz="6" w:space="0" w:color="auto"/>
              <w:right w:val="single" w:sz="6" w:space="0" w:color="auto"/>
            </w:tcBorders>
          </w:tcPr>
          <w:p w14:paraId="45EA0D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w:t>
            </w:r>
          </w:p>
        </w:tc>
      </w:tr>
    </w:tbl>
    <w:p w14:paraId="610B67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Технической документацией об"ем работ 1940 года обеспечен.</w:t>
      </w:r>
    </w:p>
    <w:p w14:paraId="0D7E57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Материальное снабжение строек в 1 полугодии было достаточно удовлетворительное, ощущался острый недоста</w:t>
      </w:r>
      <w:r w:rsidRPr="00DB5D0D">
        <w:rPr>
          <w:rFonts w:ascii="Times New Roman" w:hAnsi="Times New Roman"/>
          <w:color w:val="000000" w:themeColor="text1"/>
          <w:sz w:val="16"/>
          <w:szCs w:val="16"/>
        </w:rPr>
        <w:softHyphen/>
        <w:t>ток металла, это задергало разворот строительства новых литейных цехов на заводах №№ 16 и 26.</w:t>
      </w:r>
    </w:p>
    <w:p w14:paraId="42FB8F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Реконструкция действующих моторных заводов в 1940 г. закончена не будет в связи:</w:t>
      </w:r>
    </w:p>
    <w:p w14:paraId="47BBBE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недостаточными ассигнованиям на 1940 г. (требовалось - 303.8 млн. руб. ассигновано - 200.5 млн.р. - 6о %.</w:t>
      </w:r>
    </w:p>
    <w:p w14:paraId="08810D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недостаточным финансированием в 1 полугодии 1940 г., план 1 полугодия составляет 39% от плана года (годовой рлан - 221,6 млн.руб., план 1 полугодия - 85.1 млн.руб).</w:t>
      </w:r>
    </w:p>
    <w:p w14:paraId="59EE07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недовыполнением плана в 1939 году по заводам № 27,24 и 16.</w:t>
      </w:r>
    </w:p>
    <w:p w14:paraId="1BAD92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дополнительным строительством переходящим на 1941 г предусмотренным последующими постановлениями Правительства.</w:t>
      </w:r>
    </w:p>
    <w:p w14:paraId="6CD6078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окончания промышленного строительства действую</w:t>
      </w:r>
      <w:r w:rsidRPr="00DB5D0D">
        <w:rPr>
          <w:rFonts w:ascii="Times New Roman" w:hAnsi="Times New Roman"/>
          <w:color w:val="000000" w:themeColor="text1"/>
          <w:sz w:val="16"/>
          <w:szCs w:val="16"/>
        </w:rPr>
        <w:softHyphen/>
        <w:t>щих моторных заводов в 1941 году необходимы следующие ка-щтало вложения: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7D5DF8" w:rsidRPr="00DB5D0D" w14:paraId="19EB98B0" w14:textId="77777777" w:rsidTr="00E543D0">
        <w:tc>
          <w:tcPr>
            <w:tcW w:w="2254" w:type="dxa"/>
            <w:tcBorders>
              <w:top w:val="single" w:sz="12" w:space="0" w:color="auto"/>
            </w:tcBorders>
          </w:tcPr>
          <w:p w14:paraId="69EABF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2254" w:type="dxa"/>
            <w:tcBorders>
              <w:top w:val="single" w:sz="12" w:space="0" w:color="auto"/>
            </w:tcBorders>
          </w:tcPr>
          <w:p w14:paraId="6DBD76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Полная стоимость завода</w:t>
            </w:r>
          </w:p>
        </w:tc>
        <w:tc>
          <w:tcPr>
            <w:tcW w:w="2254" w:type="dxa"/>
            <w:tcBorders>
              <w:top w:val="single" w:sz="12" w:space="0" w:color="auto"/>
            </w:tcBorders>
          </w:tcPr>
          <w:p w14:paraId="18708E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"ем вы полненых работ на 1/1-40 г.</w:t>
            </w:r>
          </w:p>
        </w:tc>
        <w:tc>
          <w:tcPr>
            <w:tcW w:w="2254" w:type="dxa"/>
            <w:tcBorders>
              <w:top w:val="single" w:sz="12" w:space="0" w:color="auto"/>
            </w:tcBorders>
          </w:tcPr>
          <w:p w14:paraId="3121B5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Потребные ассигнования на 1941 г.</w:t>
            </w:r>
          </w:p>
        </w:tc>
        <w:tc>
          <w:tcPr>
            <w:tcW w:w="2254" w:type="dxa"/>
            <w:tcBorders>
              <w:top w:val="single" w:sz="12" w:space="0" w:color="auto"/>
            </w:tcBorders>
          </w:tcPr>
          <w:p w14:paraId="753F56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Об"емы работ переходящие на 1942 г. по жилкультбытовым об"ектам и ТЭЦ</w:t>
            </w:r>
          </w:p>
        </w:tc>
      </w:tr>
      <w:tr w:rsidR="007D5DF8" w:rsidRPr="00DB5D0D" w14:paraId="06209BC1" w14:textId="77777777" w:rsidTr="00E543D0">
        <w:tc>
          <w:tcPr>
            <w:tcW w:w="2254" w:type="dxa"/>
          </w:tcPr>
          <w:p w14:paraId="7E4D59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16</w:t>
            </w:r>
          </w:p>
        </w:tc>
        <w:tc>
          <w:tcPr>
            <w:tcW w:w="2254" w:type="dxa"/>
          </w:tcPr>
          <w:p w14:paraId="78809A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137</w:t>
            </w:r>
          </w:p>
        </w:tc>
        <w:tc>
          <w:tcPr>
            <w:tcW w:w="2254" w:type="dxa"/>
          </w:tcPr>
          <w:p w14:paraId="78A443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w:t>
            </w:r>
          </w:p>
        </w:tc>
        <w:tc>
          <w:tcPr>
            <w:tcW w:w="2254" w:type="dxa"/>
          </w:tcPr>
          <w:p w14:paraId="50CD4C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2254" w:type="dxa"/>
          </w:tcPr>
          <w:p w14:paraId="6EEC9B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w:t>
            </w:r>
          </w:p>
        </w:tc>
      </w:tr>
      <w:tr w:rsidR="007D5DF8" w:rsidRPr="00DB5D0D" w14:paraId="285E2FC2" w14:textId="77777777" w:rsidTr="00E543D0">
        <w:tc>
          <w:tcPr>
            <w:tcW w:w="2254" w:type="dxa"/>
          </w:tcPr>
          <w:p w14:paraId="2C03DD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19</w:t>
            </w:r>
          </w:p>
        </w:tc>
        <w:tc>
          <w:tcPr>
            <w:tcW w:w="2254" w:type="dxa"/>
          </w:tcPr>
          <w:p w14:paraId="2B6105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313</w:t>
            </w:r>
          </w:p>
        </w:tc>
        <w:tc>
          <w:tcPr>
            <w:tcW w:w="2254" w:type="dxa"/>
          </w:tcPr>
          <w:p w14:paraId="441CB4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235</w:t>
            </w:r>
          </w:p>
        </w:tc>
        <w:tc>
          <w:tcPr>
            <w:tcW w:w="2254" w:type="dxa"/>
          </w:tcPr>
          <w:p w14:paraId="1C55AF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w:t>
            </w:r>
          </w:p>
        </w:tc>
        <w:tc>
          <w:tcPr>
            <w:tcW w:w="2254" w:type="dxa"/>
          </w:tcPr>
          <w:p w14:paraId="1E2C66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33D5726" w14:textId="77777777" w:rsidTr="00E543D0">
        <w:tc>
          <w:tcPr>
            <w:tcW w:w="2254" w:type="dxa"/>
          </w:tcPr>
          <w:p w14:paraId="405AE2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24</w:t>
            </w:r>
          </w:p>
        </w:tc>
        <w:tc>
          <w:tcPr>
            <w:tcW w:w="2254" w:type="dxa"/>
          </w:tcPr>
          <w:p w14:paraId="79AC0A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295</w:t>
            </w:r>
          </w:p>
        </w:tc>
        <w:tc>
          <w:tcPr>
            <w:tcW w:w="2254" w:type="dxa"/>
          </w:tcPr>
          <w:p w14:paraId="580926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238</w:t>
            </w:r>
          </w:p>
        </w:tc>
        <w:tc>
          <w:tcPr>
            <w:tcW w:w="2254" w:type="dxa"/>
          </w:tcPr>
          <w:p w14:paraId="721D91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2254" w:type="dxa"/>
          </w:tcPr>
          <w:p w14:paraId="73767A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r>
      <w:tr w:rsidR="007D5DF8" w:rsidRPr="00DB5D0D" w14:paraId="2B7054DA" w14:textId="77777777" w:rsidTr="00E543D0">
        <w:tc>
          <w:tcPr>
            <w:tcW w:w="2254" w:type="dxa"/>
          </w:tcPr>
          <w:p w14:paraId="03451B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2254" w:type="dxa"/>
          </w:tcPr>
          <w:p w14:paraId="0D3EEC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2254" w:type="dxa"/>
          </w:tcPr>
          <w:p w14:paraId="420D7D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w:t>
            </w:r>
          </w:p>
        </w:tc>
        <w:tc>
          <w:tcPr>
            <w:tcW w:w="2254" w:type="dxa"/>
          </w:tcPr>
          <w:p w14:paraId="1A989D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2254" w:type="dxa"/>
          </w:tcPr>
          <w:p w14:paraId="6BEAD8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r>
      <w:tr w:rsidR="007D5DF8" w:rsidRPr="00DB5D0D" w14:paraId="13721868" w14:textId="77777777" w:rsidTr="00E543D0">
        <w:tc>
          <w:tcPr>
            <w:tcW w:w="2254" w:type="dxa"/>
            <w:tcBorders>
              <w:bottom w:val="single" w:sz="12" w:space="0" w:color="auto"/>
            </w:tcBorders>
          </w:tcPr>
          <w:p w14:paraId="0F7404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w:t>
            </w:r>
          </w:p>
        </w:tc>
        <w:tc>
          <w:tcPr>
            <w:tcW w:w="2254" w:type="dxa"/>
            <w:tcBorders>
              <w:bottom w:val="single" w:sz="12" w:space="0" w:color="auto"/>
            </w:tcBorders>
          </w:tcPr>
          <w:p w14:paraId="70CDB8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w:t>
            </w:r>
          </w:p>
        </w:tc>
        <w:tc>
          <w:tcPr>
            <w:tcW w:w="2254" w:type="dxa"/>
            <w:tcBorders>
              <w:bottom w:val="single" w:sz="12" w:space="0" w:color="auto"/>
            </w:tcBorders>
          </w:tcPr>
          <w:p w14:paraId="1F2AFD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196</w:t>
            </w:r>
          </w:p>
        </w:tc>
        <w:tc>
          <w:tcPr>
            <w:tcW w:w="2254" w:type="dxa"/>
            <w:tcBorders>
              <w:bottom w:val="single" w:sz="12" w:space="0" w:color="auto"/>
            </w:tcBorders>
          </w:tcPr>
          <w:p w14:paraId="4F3EC3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2254" w:type="dxa"/>
            <w:tcBorders>
              <w:bottom w:val="single" w:sz="12" w:space="0" w:color="auto"/>
            </w:tcBorders>
          </w:tcPr>
          <w:p w14:paraId="35DDA7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r>
    </w:tbl>
    <w:p w14:paraId="1B1F002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1941 г. подлежат выполнению следующие об"екты:</w:t>
      </w:r>
    </w:p>
    <w:p w14:paraId="0F54F4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16</w:t>
      </w:r>
    </w:p>
    <w:p w14:paraId="49380F5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Новый литейный цех (строит. и монтаж)</w:t>
      </w:r>
    </w:p>
    <w:p w14:paraId="06B11E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Окончание </w:t>
      </w:r>
      <w:r w:rsidRPr="00DB5D0D">
        <w:rPr>
          <w:rFonts w:ascii="Times New Roman" w:hAnsi="Times New Roman"/>
          <w:smallCaps/>
          <w:color w:val="000000" w:themeColor="text1"/>
          <w:sz w:val="16"/>
          <w:szCs w:val="16"/>
        </w:rPr>
        <w:t xml:space="preserve">строит. </w:t>
      </w:r>
      <w:r w:rsidRPr="00DB5D0D">
        <w:rPr>
          <w:rFonts w:ascii="Times New Roman" w:hAnsi="Times New Roman"/>
          <w:color w:val="000000" w:themeColor="text1"/>
          <w:sz w:val="16"/>
          <w:szCs w:val="16"/>
        </w:rPr>
        <w:t>и монтажа опытного отд. и спец</w:t>
      </w:r>
      <w:r w:rsidRPr="00DB5D0D">
        <w:rPr>
          <w:rFonts w:ascii="Times New Roman" w:hAnsi="Times New Roman"/>
          <w:color w:val="000000" w:themeColor="text1"/>
          <w:sz w:val="16"/>
          <w:szCs w:val="16"/>
        </w:rPr>
        <w:softHyphen/>
        <w:t>установки</w:t>
      </w:r>
    </w:p>
    <w:p w14:paraId="53F945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Достройка ЛИС и аэродрома</w:t>
      </w:r>
    </w:p>
    <w:p w14:paraId="1CDAAB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Достройка испытательных кабин и бензохранилища</w:t>
      </w:r>
    </w:p>
    <w:p w14:paraId="0BF285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Достройка главного корпуса (бытовок)</w:t>
      </w:r>
    </w:p>
    <w:p w14:paraId="71F383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Дооборудоваяие цехов</w:t>
      </w:r>
    </w:p>
    <w:p w14:paraId="261AC7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Начало строительства ТЭЦ</w:t>
      </w:r>
    </w:p>
    <w:p w14:paraId="6C7626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Начало строительства Дворца Культуры</w:t>
      </w:r>
    </w:p>
    <w:p w14:paraId="0BBA3D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9. Жилищное строительство</w:t>
      </w:r>
    </w:p>
    <w:p w14:paraId="02E244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19</w:t>
      </w:r>
    </w:p>
    <w:p w14:paraId="3D6251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Достройка и монтаж 1-й очереди ТЭЦ</w:t>
      </w:r>
    </w:p>
    <w:p w14:paraId="7FD6CE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Окончание строительства и монтаа литерного цеха</w:t>
      </w:r>
    </w:p>
    <w:p w14:paraId="6EC92D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Строительство новой кузницы</w:t>
      </w:r>
    </w:p>
    <w:p w14:paraId="36EFC1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Расширение сборочно-переборочного цеха и бытозок</w:t>
      </w:r>
    </w:p>
    <w:p w14:paraId="26EEBB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Достройка и монтаж водозаборных сооружении и сетей</w:t>
      </w:r>
    </w:p>
    <w:p w14:paraId="2F98E5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Строительство 10 кабин новой испытат.станции (6x6),</w:t>
      </w:r>
    </w:p>
    <w:p w14:paraId="17A602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Смена перекрытий литейного и пр.цехов</w:t>
      </w:r>
    </w:p>
    <w:p w14:paraId="56C55C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Достройка бытовых гл.корпуса</w:t>
      </w:r>
    </w:p>
    <w:p w14:paraId="6C67E97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Дооборудозание цехов</w:t>
      </w:r>
    </w:p>
    <w:p w14:paraId="697500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Строительство Дворца Культуры</w:t>
      </w:r>
    </w:p>
    <w:p w14:paraId="489A7F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Жил.строительство</w:t>
      </w:r>
    </w:p>
    <w:p w14:paraId="6A088B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w:t>
      </w:r>
    </w:p>
    <w:p w14:paraId="64D805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Достройка корпуса № 8 (испытат. станции и экспедиц.)</w:t>
      </w:r>
    </w:p>
    <w:p w14:paraId="4E66ED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Строит. опытных об"ектов:</w:t>
      </w:r>
    </w:p>
    <w:p w14:paraId="5DA38A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механо-сборочного цеха</w:t>
      </w:r>
    </w:p>
    <w:p w14:paraId="65FE06E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 К Б</w:t>
      </w:r>
    </w:p>
    <w:p w14:paraId="5D5C0F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smallCaps/>
          <w:color w:val="000000" w:themeColor="text1"/>
          <w:sz w:val="16"/>
          <w:szCs w:val="16"/>
        </w:rPr>
        <w:t xml:space="preserve">в) </w:t>
      </w:r>
      <w:r w:rsidRPr="00DB5D0D">
        <w:rPr>
          <w:rFonts w:ascii="Times New Roman" w:hAnsi="Times New Roman"/>
          <w:color w:val="000000" w:themeColor="text1"/>
          <w:sz w:val="16"/>
          <w:szCs w:val="16"/>
        </w:rPr>
        <w:t>лаборатории агрегатов</w:t>
      </w:r>
    </w:p>
    <w:p w14:paraId="2FC7DE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испытательной станции</w:t>
      </w:r>
    </w:p>
    <w:p w14:paraId="21BB26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Дооборудование цехов</w:t>
      </w:r>
    </w:p>
    <w:p w14:paraId="23AEC6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Смена деревянного перекрытия главн. корпуса (на 50%)</w:t>
      </w:r>
    </w:p>
    <w:p w14:paraId="02F9E6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Начало строительства Дворца Культуры</w:t>
      </w:r>
    </w:p>
    <w:p w14:paraId="480763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Жил. строительство</w:t>
      </w:r>
    </w:p>
    <w:p w14:paraId="5E8831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26</w:t>
      </w:r>
    </w:p>
    <w:p w14:paraId="29F228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Достройка и монтаж оборудования литейного цеха</w:t>
      </w:r>
    </w:p>
    <w:p w14:paraId="4A17DA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Монтаж оборудования термического цеха</w:t>
      </w:r>
    </w:p>
    <w:p w14:paraId="102CA7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Достройка корпуса № 43 и монтаж спец.установок</w:t>
      </w:r>
    </w:p>
    <w:p w14:paraId="1C15D6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Смена деревянных перекрытий цехов</w:t>
      </w:r>
    </w:p>
    <w:p w14:paraId="0CCBB6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Строительство Ц.М.С.</w:t>
      </w:r>
    </w:p>
    <w:p w14:paraId="7E12BA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Дооборудование цехов</w:t>
      </w:r>
    </w:p>
    <w:p w14:paraId="2F86D4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Жил. строительство</w:t>
      </w:r>
    </w:p>
    <w:p w14:paraId="62A315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29</w:t>
      </w:r>
    </w:p>
    <w:p w14:paraId="258889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Достройка испытательной станции</w:t>
      </w:r>
    </w:p>
    <w:p w14:paraId="020661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Строительство заготовительного цеха</w:t>
      </w:r>
    </w:p>
    <w:p w14:paraId="49D357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Строительство электронного цеха</w:t>
      </w:r>
    </w:p>
    <w:p w14:paraId="4BC814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Строительство отдела главного механика</w:t>
      </w:r>
    </w:p>
    <w:p w14:paraId="55D06E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Строительство лабораторного корпуса</w:t>
      </w:r>
    </w:p>
    <w:p w14:paraId="382274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Монтаж и оборудование главного корпуса</w:t>
      </w:r>
    </w:p>
    <w:p w14:paraId="1CCAF8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Достройка складских помещений</w:t>
      </w:r>
    </w:p>
    <w:p w14:paraId="31B208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Строительство Дворца Культуры</w:t>
      </w:r>
    </w:p>
    <w:p w14:paraId="15EA6A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своевременного разворота работ обеспечивающего выполнение программы 1941 г. и для выполнения плана 1У кы. 1940 г. необходимо провести следующие мероприятия:</w:t>
      </w:r>
    </w:p>
    <w:p w14:paraId="5CF644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Обеспечить программу 1У квартала материалами по прилагаемой ведомости и в первую очередь металлом в количестве 10.000 тн для металлоконструкций. (Приложение № 1).</w:t>
      </w:r>
    </w:p>
    <w:p w14:paraId="6EA780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ГУЛАГ НКВД немедленно доукомплектовать лагеря до количества указанного в Постановлении № 154/сс, т.е. на</w:t>
      </w:r>
    </w:p>
    <w:p w14:paraId="2AEAA4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заводе № 19</w:t>
      </w:r>
      <w:r w:rsidRPr="00DB5D0D">
        <w:rPr>
          <w:rFonts w:ascii="Times New Roman" w:hAnsi="Times New Roman"/>
          <w:color w:val="000000" w:themeColor="text1"/>
          <w:sz w:val="16"/>
          <w:szCs w:val="16"/>
        </w:rPr>
        <w:tab/>
        <w:t>до 5000 чел</w:t>
      </w:r>
    </w:p>
    <w:p w14:paraId="06AA972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 26</w:t>
      </w:r>
      <w:r w:rsidRPr="00DB5D0D">
        <w:rPr>
          <w:rFonts w:ascii="Times New Roman" w:hAnsi="Times New Roman"/>
          <w:color w:val="000000" w:themeColor="text1"/>
          <w:sz w:val="16"/>
          <w:szCs w:val="16"/>
        </w:rPr>
        <w:tab/>
        <w:t>2000</w:t>
      </w:r>
    </w:p>
    <w:p w14:paraId="59750C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 27</w:t>
      </w:r>
      <w:r w:rsidRPr="00DB5D0D">
        <w:rPr>
          <w:rFonts w:ascii="Times New Roman" w:hAnsi="Times New Roman"/>
          <w:color w:val="000000" w:themeColor="text1"/>
          <w:sz w:val="16"/>
          <w:szCs w:val="16"/>
        </w:rPr>
        <w:tab/>
        <w:t>2500</w:t>
      </w:r>
    </w:p>
    <w:p w14:paraId="7A7354E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 29 1000</w:t>
      </w:r>
    </w:p>
    <w:p w14:paraId="358E2E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Выделить авторезину строительству заводов:</w:t>
      </w:r>
    </w:p>
    <w:p w14:paraId="2AA3E14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16</w:t>
      </w:r>
      <w:r w:rsidRPr="00DB5D0D">
        <w:rPr>
          <w:rFonts w:ascii="Times New Roman" w:hAnsi="Times New Roman"/>
          <w:color w:val="000000" w:themeColor="text1"/>
          <w:sz w:val="16"/>
          <w:szCs w:val="16"/>
        </w:rPr>
        <w:tab/>
        <w:t xml:space="preserve"> - 200 комплектов</w:t>
      </w:r>
    </w:p>
    <w:p w14:paraId="6C071C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19</w:t>
      </w:r>
      <w:r w:rsidRPr="00DB5D0D">
        <w:rPr>
          <w:rFonts w:ascii="Times New Roman" w:hAnsi="Times New Roman"/>
          <w:color w:val="000000" w:themeColor="text1"/>
          <w:sz w:val="16"/>
          <w:szCs w:val="16"/>
        </w:rPr>
        <w:tab/>
        <w:t xml:space="preserve"> - 200</w:t>
      </w:r>
    </w:p>
    <w:p w14:paraId="67D345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24</w:t>
      </w:r>
      <w:r w:rsidRPr="00DB5D0D">
        <w:rPr>
          <w:rFonts w:ascii="Times New Roman" w:hAnsi="Times New Roman"/>
          <w:color w:val="000000" w:themeColor="text1"/>
          <w:sz w:val="16"/>
          <w:szCs w:val="16"/>
        </w:rPr>
        <w:tab/>
        <w:t xml:space="preserve"> - 500</w:t>
      </w:r>
    </w:p>
    <w:p w14:paraId="2F0FA4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26</w:t>
      </w:r>
      <w:r w:rsidRPr="00DB5D0D">
        <w:rPr>
          <w:rFonts w:ascii="Times New Roman" w:hAnsi="Times New Roman"/>
          <w:color w:val="000000" w:themeColor="text1"/>
          <w:sz w:val="16"/>
          <w:szCs w:val="16"/>
        </w:rPr>
        <w:tab/>
        <w:t xml:space="preserve"> - 200</w:t>
      </w:r>
    </w:p>
    <w:p w14:paraId="063723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27</w:t>
      </w:r>
      <w:r w:rsidRPr="00DB5D0D">
        <w:rPr>
          <w:rFonts w:ascii="Times New Roman" w:hAnsi="Times New Roman"/>
          <w:color w:val="000000" w:themeColor="text1"/>
          <w:sz w:val="16"/>
          <w:szCs w:val="16"/>
        </w:rPr>
        <w:tab/>
        <w:t xml:space="preserve"> - 300</w:t>
      </w:r>
    </w:p>
    <w:p w14:paraId="0C4CE0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29</w:t>
      </w:r>
      <w:r w:rsidRPr="00DB5D0D">
        <w:rPr>
          <w:rFonts w:ascii="Times New Roman" w:hAnsi="Times New Roman"/>
          <w:color w:val="000000" w:themeColor="text1"/>
          <w:sz w:val="16"/>
          <w:szCs w:val="16"/>
        </w:rPr>
        <w:tab/>
        <w:t xml:space="preserve"> - 200</w:t>
      </w:r>
    </w:p>
    <w:p w14:paraId="7C5C74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Госплану выделить НКАПу фонды на недостающее оборудование для базисных бензохранилищ по прилагаемой спесификации. (приложение № 2).</w:t>
      </w:r>
    </w:p>
    <w:p w14:paraId="01ED4A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Обязать Трест Стальконструкция Наркомстроявыполнить на заводах №№ 16, 19, 24, 26 и 29 все металлоконструкции в 1940 и 1941 году.</w:t>
      </w:r>
    </w:p>
    <w:p w14:paraId="07501D2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Глав</w:t>
      </w:r>
      <w:r w:rsidRPr="00DB5D0D">
        <w:rPr>
          <w:rFonts w:ascii="Times New Roman" w:hAnsi="Times New Roman"/>
          <w:smallCaps/>
          <w:color w:val="000000" w:themeColor="text1"/>
          <w:sz w:val="16"/>
          <w:szCs w:val="16"/>
        </w:rPr>
        <w:t>строй</w:t>
      </w:r>
      <w:r w:rsidRPr="00DB5D0D">
        <w:rPr>
          <w:rFonts w:ascii="Times New Roman" w:hAnsi="Times New Roman"/>
          <w:color w:val="000000" w:themeColor="text1"/>
          <w:sz w:val="16"/>
          <w:szCs w:val="16"/>
        </w:rPr>
        <w:t>проект Наркомстроя выполнить по договору с 1-ГПИ все строительные и сантехнические проекты по об"ектам заводов №№ 16, 19, 24, 27 и 29 до 1-го апреля 1940 г.</w:t>
      </w:r>
    </w:p>
    <w:p w14:paraId="277AC5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 связи с недостаточными годовыми ассигнованиями для выкупа поступающего на заводы № 16, 24 и 26 оборудования, требуется увеличить на П-е полугодие годовые капиталовложения:</w:t>
      </w:r>
    </w:p>
    <w:p w14:paraId="2BFB4F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заводу № 16 </w:t>
      </w:r>
      <w:r w:rsidRPr="00DB5D0D">
        <w:rPr>
          <w:rFonts w:ascii="Times New Roman" w:hAnsi="Times New Roman"/>
          <w:color w:val="000000" w:themeColor="text1"/>
          <w:sz w:val="16"/>
          <w:szCs w:val="16"/>
        </w:rPr>
        <w:tab/>
        <w:t>на 6 млн. руб.</w:t>
      </w:r>
    </w:p>
    <w:p w14:paraId="63144D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 24</w:t>
      </w:r>
      <w:r w:rsidRPr="00DB5D0D">
        <w:rPr>
          <w:rFonts w:ascii="Times New Roman" w:hAnsi="Times New Roman"/>
          <w:color w:val="000000" w:themeColor="text1"/>
          <w:sz w:val="16"/>
          <w:szCs w:val="16"/>
        </w:rPr>
        <w:tab/>
        <w:t>на 15</w:t>
      </w:r>
    </w:p>
    <w:p w14:paraId="1CDE90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 26</w:t>
      </w:r>
      <w:r w:rsidRPr="00DB5D0D">
        <w:rPr>
          <w:rFonts w:ascii="Times New Roman" w:hAnsi="Times New Roman"/>
          <w:color w:val="000000" w:themeColor="text1"/>
          <w:sz w:val="16"/>
          <w:szCs w:val="16"/>
        </w:rPr>
        <w:tab/>
        <w:t>на 26</w:t>
      </w:r>
    </w:p>
    <w:p w14:paraId="214A6F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Нозостроящиеся заводы</w:t>
      </w:r>
    </w:p>
    <w:p w14:paraId="3FA8A8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 № 27</w:t>
      </w:r>
    </w:p>
    <w:p w14:paraId="445FFD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Комитета Обороны при СНК СССР № 154/сс от 11/У1-39 г. срок окончания строительства завода установлен 1940 год.</w:t>
      </w:r>
    </w:p>
    <w:p w14:paraId="3180EF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Затраты прошлых лет и ассигнования 1940 г. были недостаточны для полного окончания строительства завод; в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7D5DF8" w:rsidRPr="00DB5D0D" w14:paraId="622F8D01" w14:textId="77777777" w:rsidTr="00E543D0">
        <w:tc>
          <w:tcPr>
            <w:tcW w:w="1610" w:type="dxa"/>
            <w:tcBorders>
              <w:top w:val="single" w:sz="12" w:space="0" w:color="auto"/>
            </w:tcBorders>
          </w:tcPr>
          <w:p w14:paraId="3A8160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1610" w:type="dxa"/>
            <w:tcBorders>
              <w:top w:val="single" w:sz="12" w:space="0" w:color="auto"/>
            </w:tcBorders>
          </w:tcPr>
          <w:p w14:paraId="1071C5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Полная стоимость з-да, млн. руб.</w:t>
            </w:r>
          </w:p>
        </w:tc>
        <w:tc>
          <w:tcPr>
            <w:tcW w:w="1610" w:type="dxa"/>
            <w:tcBorders>
              <w:top w:val="single" w:sz="12" w:space="0" w:color="auto"/>
            </w:tcBorders>
          </w:tcPr>
          <w:p w14:paraId="77C44D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Затраты на 01.01.40 г млн. руб.</w:t>
            </w:r>
          </w:p>
        </w:tc>
        <w:tc>
          <w:tcPr>
            <w:tcW w:w="1610" w:type="dxa"/>
            <w:tcBorders>
              <w:top w:val="single" w:sz="12" w:space="0" w:color="auto"/>
            </w:tcBorders>
          </w:tcPr>
          <w:p w14:paraId="40D382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Ассигн. в 1940 г. млн/р.</w:t>
            </w:r>
          </w:p>
        </w:tc>
        <w:tc>
          <w:tcPr>
            <w:tcW w:w="1610" w:type="dxa"/>
            <w:tcBorders>
              <w:top w:val="single" w:sz="12" w:space="0" w:color="auto"/>
            </w:tcBorders>
          </w:tcPr>
          <w:p w14:paraId="0D3916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Предпол. затраты на 1/1-1941 г., млн/руб.</w:t>
            </w:r>
          </w:p>
        </w:tc>
        <w:tc>
          <w:tcPr>
            <w:tcW w:w="1610" w:type="dxa"/>
            <w:tcBorders>
              <w:top w:val="single" w:sz="12" w:space="0" w:color="auto"/>
            </w:tcBorders>
          </w:tcPr>
          <w:p w14:paraId="6216EA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Невыпол. об"ем работ по заводу на 1/1-1941 г., млн/руб</w:t>
            </w:r>
          </w:p>
        </w:tc>
        <w:tc>
          <w:tcPr>
            <w:tcW w:w="1610" w:type="dxa"/>
            <w:tcBorders>
              <w:top w:val="single" w:sz="12" w:space="0" w:color="auto"/>
            </w:tcBorders>
          </w:tcPr>
          <w:p w14:paraId="241F5C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Требует</w:t>
            </w:r>
            <w:r w:rsidRPr="00DB5D0D">
              <w:rPr>
                <w:rFonts w:ascii="Times New Roman" w:hAnsi="Times New Roman"/>
                <w:color w:val="000000" w:themeColor="text1"/>
                <w:sz w:val="16"/>
                <w:szCs w:val="16"/>
              </w:rPr>
              <w:softHyphen/>
              <w:t>ся капиталовложений на 1941, млн. руб.</w:t>
            </w:r>
          </w:p>
        </w:tc>
      </w:tr>
      <w:tr w:rsidR="007D5DF8" w:rsidRPr="00DB5D0D" w14:paraId="5E9AF842" w14:textId="77777777" w:rsidTr="00E543D0">
        <w:tc>
          <w:tcPr>
            <w:tcW w:w="1610" w:type="dxa"/>
            <w:tcBorders>
              <w:bottom w:val="single" w:sz="12" w:space="0" w:color="auto"/>
            </w:tcBorders>
          </w:tcPr>
          <w:p w14:paraId="554147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c>
          <w:tcPr>
            <w:tcW w:w="1610" w:type="dxa"/>
            <w:tcBorders>
              <w:bottom w:val="single" w:sz="12" w:space="0" w:color="auto"/>
            </w:tcBorders>
          </w:tcPr>
          <w:p w14:paraId="4452F9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283</w:t>
            </w:r>
          </w:p>
        </w:tc>
        <w:tc>
          <w:tcPr>
            <w:tcW w:w="1610" w:type="dxa"/>
            <w:tcBorders>
              <w:bottom w:val="single" w:sz="12" w:space="0" w:color="auto"/>
            </w:tcBorders>
          </w:tcPr>
          <w:p w14:paraId="3E3ACA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1610" w:type="dxa"/>
            <w:tcBorders>
              <w:bottom w:val="single" w:sz="12" w:space="0" w:color="auto"/>
            </w:tcBorders>
          </w:tcPr>
          <w:p w14:paraId="70723F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68,5</w:t>
            </w:r>
          </w:p>
        </w:tc>
        <w:tc>
          <w:tcPr>
            <w:tcW w:w="1610" w:type="dxa"/>
            <w:tcBorders>
              <w:bottom w:val="single" w:sz="12" w:space="0" w:color="auto"/>
            </w:tcBorders>
          </w:tcPr>
          <w:p w14:paraId="69F468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108,5</w:t>
            </w:r>
          </w:p>
        </w:tc>
        <w:tc>
          <w:tcPr>
            <w:tcW w:w="1610" w:type="dxa"/>
            <w:tcBorders>
              <w:bottom w:val="single" w:sz="12" w:space="0" w:color="auto"/>
            </w:tcBorders>
          </w:tcPr>
          <w:p w14:paraId="6064B6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174,5</w:t>
            </w:r>
          </w:p>
        </w:tc>
        <w:tc>
          <w:tcPr>
            <w:tcW w:w="1610" w:type="dxa"/>
            <w:tcBorders>
              <w:bottom w:val="single" w:sz="12" w:space="0" w:color="auto"/>
            </w:tcBorders>
          </w:tcPr>
          <w:p w14:paraId="12C65A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r>
    </w:tbl>
    <w:p w14:paraId="7A32E4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Проводимые меоопоиятия Наркоматом и Главком (приказ НКАП № 234 от 27/У-40 г.) обеспечивают выполне</w:t>
      </w:r>
      <w:r w:rsidRPr="00DB5D0D">
        <w:rPr>
          <w:rFonts w:ascii="Times New Roman" w:hAnsi="Times New Roman"/>
          <w:color w:val="000000" w:themeColor="text1"/>
          <w:sz w:val="16"/>
          <w:szCs w:val="16"/>
        </w:rPr>
        <w:softHyphen/>
        <w:t>ние строительства текущего года.</w:t>
      </w:r>
    </w:p>
    <w:p w14:paraId="0D7D8A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1У квартале с.г. будет сдано в эксплоатацию:</w:t>
      </w:r>
    </w:p>
    <w:p w14:paraId="24450B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Главный корпус - 57000 кв. мт. (из 70000 кв. мт. по проекту и 1200 станков из 2500 станков по проекту).</w:t>
      </w:r>
    </w:p>
    <w:p w14:paraId="07CEE8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1-я очередь испытательной станции - 12 кабин (из 22 по проекту) с переборочным цехом и экспедицией.</w:t>
      </w:r>
    </w:p>
    <w:p w14:paraId="27C9C9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Вспомогательные и складские об"екты.</w:t>
      </w:r>
    </w:p>
    <w:p w14:paraId="0349B6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Технической документацией строительство обеспечено. Материальное снабжение стройки удовлетворительное за ис</w:t>
      </w:r>
      <w:r w:rsidRPr="00DB5D0D">
        <w:rPr>
          <w:rFonts w:ascii="Times New Roman" w:hAnsi="Times New Roman"/>
          <w:color w:val="000000" w:themeColor="text1"/>
          <w:sz w:val="16"/>
          <w:szCs w:val="16"/>
        </w:rPr>
        <w:softHyphen/>
        <w:t>ключением металла, отсутствие которого лимитирует начало строительства литейного корпуса. Так же задерживается обо</w:t>
      </w:r>
      <w:r w:rsidRPr="00DB5D0D">
        <w:rPr>
          <w:rFonts w:ascii="Times New Roman" w:hAnsi="Times New Roman"/>
          <w:color w:val="000000" w:themeColor="text1"/>
          <w:sz w:val="16"/>
          <w:szCs w:val="16"/>
        </w:rPr>
        <w:softHyphen/>
        <w:t>рудование термического корпуса из-за отсутствия печей и крайнего недостатка электоооборудования, о чем поставлен вопрос перед Правительством.</w:t>
      </w:r>
    </w:p>
    <w:p w14:paraId="3DDAEF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оплаты поступающего на завод оборудования на П-е полугодие требуется увеличить годовые калиталовложения на 20 млн. руб.</w:t>
      </w:r>
    </w:p>
    <w:p w14:paraId="132CE5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Капиталовложения в сумме 130 млн. руб. в 1941 г. обеспечат полностью окончание промышленного строительства:</w:t>
      </w:r>
    </w:p>
    <w:p w14:paraId="3C600D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Достройку и монтаж оборудования главного корпуса (13000 кв. мт).</w:t>
      </w:r>
    </w:p>
    <w:p w14:paraId="4BFDEB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Тоже испытательной станции, экспедиции и переборочного цеха.</w:t>
      </w:r>
    </w:p>
    <w:p w14:paraId="674273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Строительство опытного отдела</w:t>
      </w:r>
    </w:p>
    <w:p w14:paraId="7B431E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Достройку и монтаж оборудования кузницы</w:t>
      </w:r>
    </w:p>
    <w:p w14:paraId="58F2D10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Тоже литейного корпуса</w:t>
      </w:r>
    </w:p>
    <w:p w14:paraId="7649D1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Строительство складских об"ектов</w:t>
      </w:r>
    </w:p>
    <w:p w14:paraId="08FA2B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Строительство ФЗУ и вспомогательных об"ектов</w:t>
      </w:r>
    </w:p>
    <w:p w14:paraId="005EF1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Жилищное строительство</w:t>
      </w:r>
    </w:p>
    <w:p w14:paraId="556727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1942 год пеоейдут лишь об"екты жилищного и культурнобытового строительства.</w:t>
      </w:r>
    </w:p>
    <w:p w14:paraId="715EF2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Заводы № № 333, 334, 355, 336, 337 и 338</w:t>
      </w:r>
    </w:p>
    <w:p w14:paraId="628F07C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Постановлением Правительства № 1063 от 17/12-1939 г. прилож. 139/с установлены следующие </w:t>
      </w:r>
      <w:r w:rsidRPr="00DB5D0D">
        <w:rPr>
          <w:rFonts w:ascii="Times New Roman" w:hAnsi="Times New Roman"/>
          <w:smallCaps/>
          <w:color w:val="000000" w:themeColor="text1"/>
          <w:sz w:val="16"/>
          <w:szCs w:val="16"/>
        </w:rPr>
        <w:t xml:space="preserve">сроки </w:t>
      </w:r>
      <w:r w:rsidRPr="00DB5D0D">
        <w:rPr>
          <w:rFonts w:ascii="Times New Roman" w:hAnsi="Times New Roman"/>
          <w:color w:val="000000" w:themeColor="text1"/>
          <w:sz w:val="16"/>
          <w:szCs w:val="16"/>
        </w:rPr>
        <w:t>окончания стро</w:t>
      </w:r>
      <w:r w:rsidRPr="00DB5D0D">
        <w:rPr>
          <w:rFonts w:ascii="Times New Roman" w:hAnsi="Times New Roman"/>
          <w:color w:val="000000" w:themeColor="text1"/>
          <w:sz w:val="16"/>
          <w:szCs w:val="16"/>
        </w:rPr>
        <w:softHyphen/>
        <w:t>ительства новых заводов:</w:t>
      </w:r>
    </w:p>
    <w:p w14:paraId="2429DF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завода № 333</w:t>
      </w:r>
      <w:r w:rsidRPr="00DB5D0D">
        <w:rPr>
          <w:rFonts w:ascii="Times New Roman" w:hAnsi="Times New Roman"/>
          <w:color w:val="000000" w:themeColor="text1"/>
          <w:sz w:val="16"/>
          <w:szCs w:val="16"/>
        </w:rPr>
        <w:tab/>
        <w:t xml:space="preserve"> - 1942 год</w:t>
      </w:r>
    </w:p>
    <w:p w14:paraId="755D7D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 334</w:t>
      </w:r>
      <w:r w:rsidRPr="00DB5D0D">
        <w:rPr>
          <w:rFonts w:ascii="Times New Roman" w:hAnsi="Times New Roman"/>
          <w:color w:val="000000" w:themeColor="text1"/>
          <w:sz w:val="16"/>
          <w:szCs w:val="16"/>
        </w:rPr>
        <w:tab/>
        <w:t xml:space="preserve"> - 1942</w:t>
      </w:r>
    </w:p>
    <w:p w14:paraId="1E9581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 335</w:t>
      </w:r>
      <w:r w:rsidRPr="00DB5D0D">
        <w:rPr>
          <w:rFonts w:ascii="Times New Roman" w:hAnsi="Times New Roman"/>
          <w:color w:val="000000" w:themeColor="text1"/>
          <w:sz w:val="16"/>
          <w:szCs w:val="16"/>
        </w:rPr>
        <w:tab/>
        <w:t xml:space="preserve"> - 1942</w:t>
      </w:r>
    </w:p>
    <w:p w14:paraId="688870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 336</w:t>
      </w:r>
      <w:r w:rsidRPr="00DB5D0D">
        <w:rPr>
          <w:rFonts w:ascii="Times New Roman" w:hAnsi="Times New Roman"/>
          <w:color w:val="000000" w:themeColor="text1"/>
          <w:sz w:val="16"/>
          <w:szCs w:val="16"/>
        </w:rPr>
        <w:tab/>
        <w:t>- 1941</w:t>
      </w:r>
    </w:p>
    <w:p w14:paraId="555F85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 337</w:t>
      </w:r>
      <w:r w:rsidRPr="00DB5D0D">
        <w:rPr>
          <w:rFonts w:ascii="Times New Roman" w:hAnsi="Times New Roman"/>
          <w:color w:val="000000" w:themeColor="text1"/>
          <w:sz w:val="16"/>
          <w:szCs w:val="16"/>
        </w:rPr>
        <w:tab/>
        <w:t xml:space="preserve"> - 1942</w:t>
      </w:r>
    </w:p>
    <w:p w14:paraId="4C8D07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 338</w:t>
      </w:r>
      <w:r w:rsidRPr="00DB5D0D">
        <w:rPr>
          <w:rFonts w:ascii="Times New Roman" w:hAnsi="Times New Roman"/>
          <w:color w:val="000000" w:themeColor="text1"/>
          <w:sz w:val="16"/>
          <w:szCs w:val="16"/>
        </w:rPr>
        <w:tab/>
        <w:t xml:space="preserve"> - 1941</w:t>
      </w:r>
    </w:p>
    <w:p w14:paraId="5961A5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этих заводов возложено на Наркомстрой, за исключением завода № 333 (г. Комсомольск), строительство которого ведет трест НКАП.</w:t>
      </w:r>
    </w:p>
    <w:p w14:paraId="1208AA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Переданные НКАП"ом в 1939 г. средства в сумме 13,5 млн. руб. на строительство подсобных предприятий и жилья для строительных рабочих, Наркомстооём были освоены лишь в сумме около 4 млн. руб.</w:t>
      </w:r>
    </w:p>
    <w:p w14:paraId="7194C1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Годовой план капитального строительства 1940 г. по новостройкам предусматривал:</w:t>
      </w:r>
    </w:p>
    <w:p w14:paraId="72CEE1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строительства подсобных предприятий и жилья для рабочих, кроме этого на заводах №№ 335, 336 и 338 намечалось в П-м полугодии выполнении строительства опытных цехов (цех малых серий) инструментальных и 1-й очереди главных корпусов.</w:t>
      </w:r>
    </w:p>
    <w:p w14:paraId="05A7FB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Установленные сроки комплексного окончания проектов заводов не вылолнены, однако задержек строительства из-за отсутствия проектов и смет не было. Финанспрование строительства по всем заводам </w:t>
      </w:r>
      <w:r w:rsidRPr="00DB5D0D">
        <w:rPr>
          <w:rFonts w:ascii="Times New Roman" w:hAnsi="Times New Roman"/>
          <w:smallCaps/>
          <w:color w:val="000000" w:themeColor="text1"/>
          <w:sz w:val="16"/>
          <w:szCs w:val="16"/>
        </w:rPr>
        <w:t xml:space="preserve">производится </w:t>
      </w:r>
      <w:r w:rsidRPr="00DB5D0D">
        <w:rPr>
          <w:rFonts w:ascii="Times New Roman" w:hAnsi="Times New Roman"/>
          <w:color w:val="000000" w:themeColor="text1"/>
          <w:sz w:val="16"/>
          <w:szCs w:val="16"/>
        </w:rPr>
        <w:t>в соответствии с постановлением № 5203/5 КО о 03.06 по сметам на отдельные об"екты и виды работ. Обеспечение работ технической доку</w:t>
      </w:r>
      <w:r w:rsidRPr="00DB5D0D">
        <w:rPr>
          <w:rFonts w:ascii="Times New Roman" w:hAnsi="Times New Roman"/>
          <w:color w:val="000000" w:themeColor="text1"/>
          <w:sz w:val="16"/>
          <w:szCs w:val="16"/>
        </w:rPr>
        <w:softHyphen/>
        <w:t>ментацией указано в приложении № 3.</w:t>
      </w:r>
    </w:p>
    <w:p w14:paraId="186A69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Годовой план капитального строительства за 6 месяцев выполнен: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1170"/>
        <w:gridCol w:w="1170"/>
        <w:gridCol w:w="1171"/>
        <w:gridCol w:w="1170"/>
        <w:gridCol w:w="1170"/>
        <w:gridCol w:w="1171"/>
        <w:gridCol w:w="1170"/>
        <w:gridCol w:w="1170"/>
        <w:gridCol w:w="1171"/>
      </w:tblGrid>
      <w:tr w:rsidR="007D5DF8" w:rsidRPr="00DB5D0D" w14:paraId="09BF521C" w14:textId="77777777" w:rsidTr="00E543D0">
        <w:tc>
          <w:tcPr>
            <w:tcW w:w="738" w:type="dxa"/>
            <w:tcBorders>
              <w:top w:val="single" w:sz="12" w:space="0" w:color="auto"/>
            </w:tcBorders>
          </w:tcPr>
          <w:p w14:paraId="456D8B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3511" w:type="dxa"/>
            <w:gridSpan w:val="3"/>
            <w:tcBorders>
              <w:top w:val="single" w:sz="12" w:space="0" w:color="auto"/>
            </w:tcBorders>
          </w:tcPr>
          <w:p w14:paraId="1685CE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Годовой план 1940</w:t>
            </w:r>
          </w:p>
        </w:tc>
        <w:tc>
          <w:tcPr>
            <w:tcW w:w="3511" w:type="dxa"/>
            <w:gridSpan w:val="3"/>
            <w:tcBorders>
              <w:top w:val="single" w:sz="12" w:space="0" w:color="auto"/>
            </w:tcBorders>
          </w:tcPr>
          <w:p w14:paraId="26477A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годового плана на 01.08</w:t>
            </w:r>
          </w:p>
        </w:tc>
        <w:tc>
          <w:tcPr>
            <w:tcW w:w="3511" w:type="dxa"/>
            <w:gridSpan w:val="3"/>
            <w:tcBorders>
              <w:top w:val="single" w:sz="12" w:space="0" w:color="auto"/>
            </w:tcBorders>
          </w:tcPr>
          <w:p w14:paraId="1F39DC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выполнения</w:t>
            </w:r>
          </w:p>
        </w:tc>
      </w:tr>
      <w:tr w:rsidR="007D5DF8" w:rsidRPr="00DB5D0D" w14:paraId="1CC8A5EF" w14:textId="77777777" w:rsidTr="00E543D0">
        <w:tc>
          <w:tcPr>
            <w:tcW w:w="738" w:type="dxa"/>
          </w:tcPr>
          <w:p w14:paraId="0BBDA76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70" w:type="dxa"/>
          </w:tcPr>
          <w:p w14:paraId="05CC13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млн. руб.</w:t>
            </w:r>
          </w:p>
        </w:tc>
        <w:tc>
          <w:tcPr>
            <w:tcW w:w="1170" w:type="dxa"/>
          </w:tcPr>
          <w:p w14:paraId="010984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строит. млн. руб.</w:t>
            </w:r>
          </w:p>
        </w:tc>
        <w:tc>
          <w:tcPr>
            <w:tcW w:w="1170" w:type="dxa"/>
          </w:tcPr>
          <w:p w14:paraId="6522E3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оборуд. Млн. руб.</w:t>
            </w:r>
          </w:p>
        </w:tc>
        <w:tc>
          <w:tcPr>
            <w:tcW w:w="1170" w:type="dxa"/>
          </w:tcPr>
          <w:p w14:paraId="067FF4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млн. руб.</w:t>
            </w:r>
          </w:p>
        </w:tc>
        <w:tc>
          <w:tcPr>
            <w:tcW w:w="1170" w:type="dxa"/>
          </w:tcPr>
          <w:p w14:paraId="75D8C5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строит. млн. руб.</w:t>
            </w:r>
          </w:p>
        </w:tc>
        <w:tc>
          <w:tcPr>
            <w:tcW w:w="1170" w:type="dxa"/>
          </w:tcPr>
          <w:p w14:paraId="181B4A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оборуд. Млн. руб.</w:t>
            </w:r>
          </w:p>
        </w:tc>
        <w:tc>
          <w:tcPr>
            <w:tcW w:w="1170" w:type="dxa"/>
          </w:tcPr>
          <w:p w14:paraId="6A0CCB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млн. руб.</w:t>
            </w:r>
          </w:p>
        </w:tc>
        <w:tc>
          <w:tcPr>
            <w:tcW w:w="1170" w:type="dxa"/>
          </w:tcPr>
          <w:p w14:paraId="07F17D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строит. млн. руб.</w:t>
            </w:r>
          </w:p>
        </w:tc>
        <w:tc>
          <w:tcPr>
            <w:tcW w:w="1170" w:type="dxa"/>
          </w:tcPr>
          <w:p w14:paraId="565883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оборуд. Млн. руб.</w:t>
            </w:r>
          </w:p>
        </w:tc>
      </w:tr>
      <w:tr w:rsidR="007D5DF8" w:rsidRPr="00DB5D0D" w14:paraId="1A83E109" w14:textId="77777777" w:rsidTr="00E543D0">
        <w:tc>
          <w:tcPr>
            <w:tcW w:w="738" w:type="dxa"/>
          </w:tcPr>
          <w:p w14:paraId="58928F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333</w:t>
            </w:r>
          </w:p>
        </w:tc>
        <w:tc>
          <w:tcPr>
            <w:tcW w:w="1170" w:type="dxa"/>
          </w:tcPr>
          <w:p w14:paraId="0987B0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w:t>
            </w:r>
          </w:p>
        </w:tc>
        <w:tc>
          <w:tcPr>
            <w:tcW w:w="1170" w:type="dxa"/>
          </w:tcPr>
          <w:p w14:paraId="357DC9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1170" w:type="dxa"/>
          </w:tcPr>
          <w:p w14:paraId="35B073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w:t>
            </w:r>
          </w:p>
        </w:tc>
        <w:tc>
          <w:tcPr>
            <w:tcW w:w="1170" w:type="dxa"/>
          </w:tcPr>
          <w:p w14:paraId="4D5974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1170" w:type="dxa"/>
          </w:tcPr>
          <w:p w14:paraId="7BD701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1170" w:type="dxa"/>
          </w:tcPr>
          <w:p w14:paraId="025241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0" w:type="dxa"/>
          </w:tcPr>
          <w:p w14:paraId="28B6ED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36,7</w:t>
            </w:r>
          </w:p>
        </w:tc>
        <w:tc>
          <w:tcPr>
            <w:tcW w:w="1170" w:type="dxa"/>
          </w:tcPr>
          <w:p w14:paraId="0CBC2C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1170" w:type="dxa"/>
          </w:tcPr>
          <w:p w14:paraId="29F797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9628FFC" w14:textId="77777777" w:rsidTr="00E543D0">
        <w:tc>
          <w:tcPr>
            <w:tcW w:w="738" w:type="dxa"/>
          </w:tcPr>
          <w:p w14:paraId="505CC7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334</w:t>
            </w:r>
          </w:p>
        </w:tc>
        <w:tc>
          <w:tcPr>
            <w:tcW w:w="1170" w:type="dxa"/>
          </w:tcPr>
          <w:p w14:paraId="125B5A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1170" w:type="dxa"/>
          </w:tcPr>
          <w:p w14:paraId="559B24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c>
          <w:tcPr>
            <w:tcW w:w="1170" w:type="dxa"/>
          </w:tcPr>
          <w:p w14:paraId="3BC9AE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0,04</w:t>
            </w:r>
          </w:p>
        </w:tc>
        <w:tc>
          <w:tcPr>
            <w:tcW w:w="1170" w:type="dxa"/>
          </w:tcPr>
          <w:p w14:paraId="4326C8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w:t>
            </w:r>
          </w:p>
        </w:tc>
        <w:tc>
          <w:tcPr>
            <w:tcW w:w="1170" w:type="dxa"/>
          </w:tcPr>
          <w:p w14:paraId="41DAE4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w:t>
            </w:r>
          </w:p>
        </w:tc>
        <w:tc>
          <w:tcPr>
            <w:tcW w:w="1170" w:type="dxa"/>
          </w:tcPr>
          <w:p w14:paraId="0585A7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0" w:type="dxa"/>
          </w:tcPr>
          <w:p w14:paraId="7368BA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w:t>
            </w:r>
          </w:p>
        </w:tc>
        <w:tc>
          <w:tcPr>
            <w:tcW w:w="1170" w:type="dxa"/>
          </w:tcPr>
          <w:p w14:paraId="13C5F9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14,3</w:t>
            </w:r>
          </w:p>
        </w:tc>
        <w:tc>
          <w:tcPr>
            <w:tcW w:w="1170" w:type="dxa"/>
          </w:tcPr>
          <w:p w14:paraId="2D0D7C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4794C35" w14:textId="77777777" w:rsidTr="00E543D0">
        <w:tc>
          <w:tcPr>
            <w:tcW w:w="738" w:type="dxa"/>
          </w:tcPr>
          <w:p w14:paraId="553AA0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335</w:t>
            </w:r>
          </w:p>
        </w:tc>
        <w:tc>
          <w:tcPr>
            <w:tcW w:w="1170" w:type="dxa"/>
          </w:tcPr>
          <w:p w14:paraId="451D9C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w:t>
            </w:r>
          </w:p>
        </w:tc>
        <w:tc>
          <w:tcPr>
            <w:tcW w:w="1170" w:type="dxa"/>
          </w:tcPr>
          <w:p w14:paraId="1C0BBE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24,7</w:t>
            </w:r>
          </w:p>
        </w:tc>
        <w:tc>
          <w:tcPr>
            <w:tcW w:w="1170" w:type="dxa"/>
          </w:tcPr>
          <w:p w14:paraId="09989A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0,15</w:t>
            </w:r>
          </w:p>
        </w:tc>
        <w:tc>
          <w:tcPr>
            <w:tcW w:w="1170" w:type="dxa"/>
          </w:tcPr>
          <w:p w14:paraId="3E5900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w:t>
            </w:r>
          </w:p>
        </w:tc>
        <w:tc>
          <w:tcPr>
            <w:tcW w:w="1170" w:type="dxa"/>
          </w:tcPr>
          <w:p w14:paraId="776A0E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1170" w:type="dxa"/>
          </w:tcPr>
          <w:p w14:paraId="3AB675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0,02</w:t>
            </w:r>
          </w:p>
        </w:tc>
        <w:tc>
          <w:tcPr>
            <w:tcW w:w="1170" w:type="dxa"/>
          </w:tcPr>
          <w:p w14:paraId="04BD2C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w:t>
            </w:r>
          </w:p>
        </w:tc>
        <w:tc>
          <w:tcPr>
            <w:tcW w:w="1170" w:type="dxa"/>
          </w:tcPr>
          <w:p w14:paraId="686249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w:t>
            </w:r>
          </w:p>
        </w:tc>
        <w:tc>
          <w:tcPr>
            <w:tcW w:w="1170" w:type="dxa"/>
          </w:tcPr>
          <w:p w14:paraId="1D9D3E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2B41728" w14:textId="77777777" w:rsidTr="00E543D0">
        <w:tc>
          <w:tcPr>
            <w:tcW w:w="738" w:type="dxa"/>
          </w:tcPr>
          <w:p w14:paraId="2C6D68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336</w:t>
            </w:r>
          </w:p>
        </w:tc>
        <w:tc>
          <w:tcPr>
            <w:tcW w:w="1170" w:type="dxa"/>
          </w:tcPr>
          <w:p w14:paraId="7C46D3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25,8</w:t>
            </w:r>
          </w:p>
        </w:tc>
        <w:tc>
          <w:tcPr>
            <w:tcW w:w="1170" w:type="dxa"/>
          </w:tcPr>
          <w:p w14:paraId="4425D4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1170" w:type="dxa"/>
          </w:tcPr>
          <w:p w14:paraId="7A6802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0,4</w:t>
            </w:r>
          </w:p>
        </w:tc>
        <w:tc>
          <w:tcPr>
            <w:tcW w:w="1170" w:type="dxa"/>
          </w:tcPr>
          <w:p w14:paraId="033077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1170" w:type="dxa"/>
          </w:tcPr>
          <w:p w14:paraId="75549E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170" w:type="dxa"/>
          </w:tcPr>
          <w:p w14:paraId="4A55EC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0" w:type="dxa"/>
          </w:tcPr>
          <w:p w14:paraId="5D55C7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w:t>
            </w:r>
          </w:p>
        </w:tc>
        <w:tc>
          <w:tcPr>
            <w:tcW w:w="1170" w:type="dxa"/>
          </w:tcPr>
          <w:p w14:paraId="3ED6D2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w:t>
            </w:r>
          </w:p>
        </w:tc>
        <w:tc>
          <w:tcPr>
            <w:tcW w:w="1170" w:type="dxa"/>
          </w:tcPr>
          <w:p w14:paraId="5250D9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99E2EE5" w14:textId="77777777" w:rsidTr="00E543D0">
        <w:tc>
          <w:tcPr>
            <w:tcW w:w="738" w:type="dxa"/>
          </w:tcPr>
          <w:p w14:paraId="51E91A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w:t>
            </w:r>
          </w:p>
        </w:tc>
        <w:tc>
          <w:tcPr>
            <w:tcW w:w="1170" w:type="dxa"/>
          </w:tcPr>
          <w:p w14:paraId="76A480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w:t>
            </w:r>
          </w:p>
        </w:tc>
        <w:tc>
          <w:tcPr>
            <w:tcW w:w="1170" w:type="dxa"/>
          </w:tcPr>
          <w:p w14:paraId="1FDDF4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170" w:type="dxa"/>
          </w:tcPr>
          <w:p w14:paraId="210C49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0,03</w:t>
            </w:r>
          </w:p>
        </w:tc>
        <w:tc>
          <w:tcPr>
            <w:tcW w:w="1170" w:type="dxa"/>
          </w:tcPr>
          <w:p w14:paraId="6F6037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w:t>
            </w:r>
          </w:p>
        </w:tc>
        <w:tc>
          <w:tcPr>
            <w:tcW w:w="1170" w:type="dxa"/>
          </w:tcPr>
          <w:p w14:paraId="5931FF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w:t>
            </w:r>
          </w:p>
        </w:tc>
        <w:tc>
          <w:tcPr>
            <w:tcW w:w="1170" w:type="dxa"/>
          </w:tcPr>
          <w:p w14:paraId="6E196F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0" w:type="dxa"/>
          </w:tcPr>
          <w:p w14:paraId="60DEE3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tc>
        <w:tc>
          <w:tcPr>
            <w:tcW w:w="1170" w:type="dxa"/>
          </w:tcPr>
          <w:p w14:paraId="61D4C9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14,3</w:t>
            </w:r>
          </w:p>
        </w:tc>
        <w:tc>
          <w:tcPr>
            <w:tcW w:w="1170" w:type="dxa"/>
          </w:tcPr>
          <w:p w14:paraId="3B4F3B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4680104" w14:textId="77777777" w:rsidTr="00E543D0">
        <w:tc>
          <w:tcPr>
            <w:tcW w:w="738" w:type="dxa"/>
          </w:tcPr>
          <w:p w14:paraId="747A09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338</w:t>
            </w:r>
          </w:p>
        </w:tc>
        <w:tc>
          <w:tcPr>
            <w:tcW w:w="1170" w:type="dxa"/>
          </w:tcPr>
          <w:p w14:paraId="08CDDB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37,6</w:t>
            </w:r>
          </w:p>
        </w:tc>
        <w:tc>
          <w:tcPr>
            <w:tcW w:w="1170" w:type="dxa"/>
          </w:tcPr>
          <w:p w14:paraId="5C6EEB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30,3</w:t>
            </w:r>
          </w:p>
        </w:tc>
        <w:tc>
          <w:tcPr>
            <w:tcW w:w="1170" w:type="dxa"/>
          </w:tcPr>
          <w:p w14:paraId="263D3E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w:t>
            </w:r>
          </w:p>
        </w:tc>
        <w:tc>
          <w:tcPr>
            <w:tcW w:w="1170" w:type="dxa"/>
          </w:tcPr>
          <w:p w14:paraId="168CCA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170" w:type="dxa"/>
          </w:tcPr>
          <w:p w14:paraId="324ADE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170" w:type="dxa"/>
          </w:tcPr>
          <w:p w14:paraId="7D336C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0" w:type="dxa"/>
          </w:tcPr>
          <w:p w14:paraId="38E7CD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w:t>
            </w:r>
          </w:p>
        </w:tc>
        <w:tc>
          <w:tcPr>
            <w:tcW w:w="1170" w:type="dxa"/>
          </w:tcPr>
          <w:p w14:paraId="2FBE6B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w:t>
            </w:r>
          </w:p>
        </w:tc>
        <w:tc>
          <w:tcPr>
            <w:tcW w:w="1170" w:type="dxa"/>
          </w:tcPr>
          <w:p w14:paraId="372A7F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97E8225" w14:textId="77777777" w:rsidTr="00E543D0">
        <w:tc>
          <w:tcPr>
            <w:tcW w:w="738" w:type="dxa"/>
            <w:tcBorders>
              <w:bottom w:val="single" w:sz="12" w:space="0" w:color="auto"/>
            </w:tcBorders>
          </w:tcPr>
          <w:p w14:paraId="54FBF7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170" w:type="dxa"/>
            <w:tcBorders>
              <w:bottom w:val="single" w:sz="12" w:space="0" w:color="auto"/>
            </w:tcBorders>
          </w:tcPr>
          <w:p w14:paraId="6140BC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110,1</w:t>
            </w:r>
          </w:p>
        </w:tc>
        <w:tc>
          <w:tcPr>
            <w:tcW w:w="1170" w:type="dxa"/>
            <w:tcBorders>
              <w:bottom w:val="single" w:sz="12" w:space="0" w:color="auto"/>
            </w:tcBorders>
          </w:tcPr>
          <w:p w14:paraId="0B7B50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87,4</w:t>
            </w:r>
          </w:p>
        </w:tc>
        <w:tc>
          <w:tcPr>
            <w:tcW w:w="1170" w:type="dxa"/>
            <w:tcBorders>
              <w:bottom w:val="single" w:sz="12" w:space="0" w:color="auto"/>
            </w:tcBorders>
          </w:tcPr>
          <w:p w14:paraId="14C1DD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tc>
        <w:tc>
          <w:tcPr>
            <w:tcW w:w="1170" w:type="dxa"/>
            <w:tcBorders>
              <w:bottom w:val="single" w:sz="12" w:space="0" w:color="auto"/>
            </w:tcBorders>
          </w:tcPr>
          <w:p w14:paraId="6C6A7A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w:t>
            </w:r>
          </w:p>
        </w:tc>
        <w:tc>
          <w:tcPr>
            <w:tcW w:w="1170" w:type="dxa"/>
            <w:tcBorders>
              <w:bottom w:val="single" w:sz="12" w:space="0" w:color="auto"/>
            </w:tcBorders>
          </w:tcPr>
          <w:p w14:paraId="4BF1FD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w:t>
            </w:r>
          </w:p>
        </w:tc>
        <w:tc>
          <w:tcPr>
            <w:tcW w:w="1170" w:type="dxa"/>
            <w:tcBorders>
              <w:bottom w:val="single" w:sz="12" w:space="0" w:color="auto"/>
            </w:tcBorders>
          </w:tcPr>
          <w:p w14:paraId="1D865F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0,02</w:t>
            </w:r>
          </w:p>
        </w:tc>
        <w:tc>
          <w:tcPr>
            <w:tcW w:w="1170" w:type="dxa"/>
            <w:tcBorders>
              <w:bottom w:val="single" w:sz="12" w:space="0" w:color="auto"/>
            </w:tcBorders>
          </w:tcPr>
          <w:p w14:paraId="470A81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w:t>
            </w:r>
          </w:p>
        </w:tc>
        <w:tc>
          <w:tcPr>
            <w:tcW w:w="1170" w:type="dxa"/>
            <w:tcBorders>
              <w:bottom w:val="single" w:sz="12" w:space="0" w:color="auto"/>
            </w:tcBorders>
          </w:tcPr>
          <w:p w14:paraId="791D8A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w:t>
            </w:r>
          </w:p>
        </w:tc>
        <w:tc>
          <w:tcPr>
            <w:tcW w:w="1170" w:type="dxa"/>
            <w:tcBorders>
              <w:bottom w:val="single" w:sz="12" w:space="0" w:color="auto"/>
            </w:tcBorders>
          </w:tcPr>
          <w:p w14:paraId="7D68D3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45538B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полугодия не выполнен. К строительству промшленных об"ектов не преступлено вследствии:</w:t>
      </w:r>
    </w:p>
    <w:p w14:paraId="311001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полной неподготовленности и маломощности Трестов Наркомстроя,</w:t>
      </w:r>
    </w:p>
    <w:p w14:paraId="4E15E9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Плохого, случайного подбора руководящих кадров трестов,</w:t>
      </w:r>
    </w:p>
    <w:p w14:paraId="39B3A1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Созершенно неудовлетворительного снабжения строек материлами, строймеханизмами и транспортом.</w:t>
      </w:r>
    </w:p>
    <w:p w14:paraId="3B4DD9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Такое положение вызвало необходимость из"ятия строительства завода № 333 из системы Наркомстроя и передачй такового ГУКСу НКАП.</w:t>
      </w:r>
    </w:p>
    <w:p w14:paraId="34A13F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Положение на новостоойках (заводах №№ 334, 335, 336 и 337) продолжает попреэнему оставаться крайне неудовлетворительным и если в 3-м квартале с.г. Наркомстроем не будут приняты действенные меры к развороту работ на этих новостройках, то план 1940 г. будет окончательно сорван.</w:t>
      </w:r>
    </w:p>
    <w:p w14:paraId="2916EC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окончания строптельства заводов в установленные необходимо:</w:t>
      </w:r>
    </w:p>
    <w:p w14:paraId="6F8A6E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Предусмотреть в 1941 году следующие капиталовловложения:</w:t>
      </w:r>
    </w:p>
    <w:p w14:paraId="2CCE1E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335</w:t>
      </w:r>
      <w:r w:rsidRPr="00DB5D0D">
        <w:rPr>
          <w:rFonts w:ascii="Times New Roman" w:hAnsi="Times New Roman"/>
          <w:color w:val="000000" w:themeColor="text1"/>
          <w:sz w:val="16"/>
          <w:szCs w:val="16"/>
        </w:rPr>
        <w:tab/>
        <w:t>100 млн. руб.</w:t>
      </w:r>
    </w:p>
    <w:p w14:paraId="7A83CB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336</w:t>
      </w:r>
      <w:r w:rsidRPr="00DB5D0D">
        <w:rPr>
          <w:rFonts w:ascii="Times New Roman" w:hAnsi="Times New Roman"/>
          <w:color w:val="000000" w:themeColor="text1"/>
          <w:sz w:val="16"/>
          <w:szCs w:val="16"/>
        </w:rPr>
        <w:tab/>
        <w:t>110</w:t>
      </w:r>
    </w:p>
    <w:p w14:paraId="2D22A9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w:t>
      </w:r>
      <w:r w:rsidRPr="00DB5D0D">
        <w:rPr>
          <w:rFonts w:ascii="Times New Roman" w:hAnsi="Times New Roman"/>
          <w:color w:val="000000" w:themeColor="text1"/>
          <w:sz w:val="16"/>
          <w:szCs w:val="16"/>
        </w:rPr>
        <w:tab/>
        <w:t>160</w:t>
      </w:r>
    </w:p>
    <w:p w14:paraId="25D0F9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338</w:t>
      </w:r>
      <w:r w:rsidRPr="00DB5D0D">
        <w:rPr>
          <w:rFonts w:ascii="Times New Roman" w:hAnsi="Times New Roman"/>
          <w:color w:val="000000" w:themeColor="text1"/>
          <w:sz w:val="16"/>
          <w:szCs w:val="16"/>
        </w:rPr>
        <w:tab/>
        <w:t>100</w:t>
      </w:r>
    </w:p>
    <w:p w14:paraId="5D0AD4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333</w:t>
      </w:r>
      <w:r w:rsidRPr="00DB5D0D">
        <w:rPr>
          <w:rFonts w:ascii="Times New Roman" w:hAnsi="Times New Roman"/>
          <w:color w:val="000000" w:themeColor="text1"/>
          <w:sz w:val="16"/>
          <w:szCs w:val="16"/>
        </w:rPr>
        <w:tab/>
        <w:t>100</w:t>
      </w:r>
    </w:p>
    <w:p w14:paraId="03808B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334</w:t>
      </w:r>
      <w:r w:rsidRPr="00DB5D0D">
        <w:rPr>
          <w:rFonts w:ascii="Times New Roman" w:hAnsi="Times New Roman"/>
          <w:color w:val="000000" w:themeColor="text1"/>
          <w:sz w:val="16"/>
          <w:szCs w:val="16"/>
        </w:rPr>
        <w:tab/>
        <w:t>80</w:t>
      </w:r>
    </w:p>
    <w:p w14:paraId="7577B0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Разрешить НКАП организовать строительный Трест в Новосибирске (з-д 335).</w:t>
      </w:r>
    </w:p>
    <w:p w14:paraId="0BC051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Пооучить ГУЛАГУ строительство завода № 337 (гор. Куйбышев).</w:t>
      </w:r>
    </w:p>
    <w:p w14:paraId="6C00B8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Обязать Наркомстрой обеспечить окончание стро</w:t>
      </w:r>
      <w:r w:rsidRPr="00DB5D0D">
        <w:rPr>
          <w:rFonts w:ascii="Times New Roman" w:hAnsi="Times New Roman"/>
          <w:color w:val="000000" w:themeColor="text1"/>
          <w:sz w:val="16"/>
          <w:szCs w:val="16"/>
        </w:rPr>
        <w:softHyphen/>
        <w:t>ительства заводов №№ 336 и 334 в установленные сроки (10498,36).</w:t>
      </w:r>
    </w:p>
    <w:p w14:paraId="72AB96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BAFF0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была подготовлена справка для ГККО:</w:t>
      </w:r>
    </w:p>
    <w:p w14:paraId="67A215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Состояние строительства новых агреагатных заводов в соответствии с решениями Правительства № 154сс от 11.-04.39 г. и № 343сс от 17.1Х.39 г.</w:t>
      </w:r>
    </w:p>
    <w:p w14:paraId="500DBF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агрегатами намеченного выпуска самоле</w:t>
      </w:r>
      <w:r w:rsidRPr="00DB5D0D">
        <w:rPr>
          <w:rFonts w:ascii="Times New Roman" w:hAnsi="Times New Roman"/>
          <w:color w:val="000000" w:themeColor="text1"/>
          <w:sz w:val="16"/>
          <w:szCs w:val="16"/>
        </w:rPr>
        <w:softHyphen/>
        <w:t>тов и моторов необходимо было закончить строительство 339 завода в 1940 г. и построить 306, 307, 281, 282, 283 и 284 заводы со следующими сроками их окончания:</w:t>
      </w:r>
    </w:p>
    <w:p w14:paraId="3A674C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 № 305</w:t>
      </w:r>
      <w:r w:rsidRPr="00DB5D0D">
        <w:rPr>
          <w:rFonts w:ascii="Times New Roman" w:hAnsi="Times New Roman"/>
          <w:color w:val="000000" w:themeColor="text1"/>
          <w:sz w:val="16"/>
          <w:szCs w:val="16"/>
        </w:rPr>
        <w:tab/>
        <w:t>1.1.42 года</w:t>
      </w:r>
    </w:p>
    <w:p w14:paraId="27E287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 307</w:t>
      </w:r>
      <w:r w:rsidRPr="00DB5D0D">
        <w:rPr>
          <w:rFonts w:ascii="Times New Roman" w:hAnsi="Times New Roman"/>
          <w:color w:val="000000" w:themeColor="text1"/>
          <w:sz w:val="16"/>
          <w:szCs w:val="16"/>
        </w:rPr>
        <w:tab/>
        <w:t>1.1.41</w:t>
      </w:r>
    </w:p>
    <w:p w14:paraId="387837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 281</w:t>
      </w:r>
      <w:r w:rsidRPr="00DB5D0D">
        <w:rPr>
          <w:rFonts w:ascii="Times New Roman" w:hAnsi="Times New Roman"/>
          <w:color w:val="000000" w:themeColor="text1"/>
          <w:sz w:val="16"/>
          <w:szCs w:val="16"/>
        </w:rPr>
        <w:tab/>
        <w:t>1.1.42</w:t>
      </w:r>
    </w:p>
    <w:p w14:paraId="76E956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 282</w:t>
      </w:r>
      <w:r w:rsidRPr="00DB5D0D">
        <w:rPr>
          <w:rFonts w:ascii="Times New Roman" w:hAnsi="Times New Roman"/>
          <w:color w:val="000000" w:themeColor="text1"/>
          <w:sz w:val="16"/>
          <w:szCs w:val="16"/>
        </w:rPr>
        <w:tab/>
        <w:t>1.Х.41</w:t>
      </w:r>
    </w:p>
    <w:p w14:paraId="70B672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 283</w:t>
      </w:r>
      <w:r w:rsidRPr="00DB5D0D">
        <w:rPr>
          <w:rFonts w:ascii="Times New Roman" w:hAnsi="Times New Roman"/>
          <w:color w:val="000000" w:themeColor="text1"/>
          <w:sz w:val="16"/>
          <w:szCs w:val="16"/>
        </w:rPr>
        <w:tab/>
        <w:t>1.1.42</w:t>
      </w:r>
    </w:p>
    <w:p w14:paraId="224893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 284</w:t>
      </w:r>
      <w:r w:rsidRPr="00DB5D0D">
        <w:rPr>
          <w:rFonts w:ascii="Times New Roman" w:hAnsi="Times New Roman"/>
          <w:color w:val="000000" w:themeColor="text1"/>
          <w:sz w:val="16"/>
          <w:szCs w:val="16"/>
        </w:rPr>
        <w:tab/>
        <w:t>1.1-42</w:t>
      </w:r>
    </w:p>
    <w:p w14:paraId="555548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завода № 339 было начато еще в 1938 году; строительство заводов №№ 307 и 305 в середине 1939 г., а к строительству заводов №№ 281, 282, 283 и 284, согласно постановления ЦК ВКП (б) и СНС СССР от 17.12.39 г. № 2063 было приступлено только в 1940 г.</w:t>
      </w:r>
    </w:p>
    <w:p w14:paraId="43C1D6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 строительства по данным заводам следующее:</w:t>
      </w:r>
    </w:p>
    <w:tbl>
      <w:tblPr>
        <w:tblW w:w="0" w:type="auto"/>
        <w:tblInd w:w="43" w:type="dxa"/>
        <w:tblLayout w:type="fixed"/>
        <w:tblCellMar>
          <w:left w:w="144" w:type="dxa"/>
          <w:right w:w="144" w:type="dxa"/>
        </w:tblCellMar>
        <w:tblLook w:val="0000" w:firstRow="0" w:lastRow="0" w:firstColumn="0" w:lastColumn="0" w:noHBand="0" w:noVBand="0"/>
      </w:tblPr>
      <w:tblGrid>
        <w:gridCol w:w="1584"/>
        <w:gridCol w:w="1584"/>
        <w:gridCol w:w="1584"/>
        <w:gridCol w:w="1584"/>
        <w:gridCol w:w="1584"/>
      </w:tblGrid>
      <w:tr w:rsidR="007D5DF8" w:rsidRPr="00DB5D0D" w14:paraId="06F65B9D" w14:textId="77777777" w:rsidTr="00E543D0">
        <w:trPr>
          <w:trHeight w:val="40"/>
        </w:trPr>
        <w:tc>
          <w:tcPr>
            <w:tcW w:w="1584" w:type="dxa"/>
            <w:tcBorders>
              <w:top w:val="single" w:sz="12" w:space="0" w:color="auto"/>
              <w:left w:val="single" w:sz="12" w:space="0" w:color="auto"/>
              <w:bottom w:val="single" w:sz="6" w:space="0" w:color="auto"/>
              <w:right w:val="single" w:sz="6" w:space="0" w:color="auto"/>
            </w:tcBorders>
          </w:tcPr>
          <w:p w14:paraId="7E52CE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 завод</w:t>
            </w:r>
          </w:p>
        </w:tc>
        <w:tc>
          <w:tcPr>
            <w:tcW w:w="1584" w:type="dxa"/>
            <w:tcBorders>
              <w:top w:val="single" w:sz="12" w:space="0" w:color="auto"/>
              <w:left w:val="single" w:sz="6" w:space="0" w:color="auto"/>
              <w:bottom w:val="single" w:sz="6" w:space="0" w:color="auto"/>
              <w:right w:val="single" w:sz="6" w:space="0" w:color="auto"/>
            </w:tcBorders>
          </w:tcPr>
          <w:p w14:paraId="49D653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Полная стоимость завода</w:t>
            </w:r>
          </w:p>
        </w:tc>
        <w:tc>
          <w:tcPr>
            <w:tcW w:w="1584" w:type="dxa"/>
            <w:tcBorders>
              <w:top w:val="single" w:sz="12" w:space="0" w:color="auto"/>
              <w:left w:val="single" w:sz="6" w:space="0" w:color="auto"/>
              <w:bottom w:val="single" w:sz="6" w:space="0" w:color="auto"/>
              <w:right w:val="single" w:sz="6" w:space="0" w:color="auto"/>
            </w:tcBorders>
          </w:tcPr>
          <w:p w14:paraId="3E4167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Затрачено 1.1.40 г.</w:t>
            </w:r>
            <w:r w:rsidRPr="00DB5D0D">
              <w:rPr>
                <w:rFonts w:ascii="Times New Roman" w:hAnsi="Times New Roman"/>
                <w:color w:val="000000" w:themeColor="text1"/>
                <w:sz w:val="16"/>
                <w:szCs w:val="16"/>
                <w:vertAlign w:val="subscript"/>
              </w:rPr>
              <w:t>у</w:t>
            </w:r>
          </w:p>
          <w:p w14:paraId="6E32FD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ы млн. руб.</w:t>
            </w:r>
          </w:p>
        </w:tc>
        <w:tc>
          <w:tcPr>
            <w:tcW w:w="1584" w:type="dxa"/>
            <w:tcBorders>
              <w:top w:val="single" w:sz="12" w:space="0" w:color="auto"/>
              <w:left w:val="single" w:sz="6" w:space="0" w:color="auto"/>
              <w:bottom w:val="single" w:sz="6" w:space="0" w:color="auto"/>
              <w:right w:val="single" w:sz="6" w:space="0" w:color="auto"/>
            </w:tcBorders>
          </w:tcPr>
          <w:p w14:paraId="3526F9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Ассигновано на 1940 г.</w:t>
            </w:r>
          </w:p>
          <w:p w14:paraId="33358A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584" w:type="dxa"/>
            <w:tcBorders>
              <w:top w:val="single" w:sz="12" w:space="0" w:color="auto"/>
              <w:left w:val="single" w:sz="6" w:space="0" w:color="auto"/>
              <w:bottom w:val="single" w:sz="6" w:space="0" w:color="auto"/>
              <w:right w:val="single" w:sz="12" w:space="0" w:color="auto"/>
            </w:tcBorders>
          </w:tcPr>
          <w:p w14:paraId="2819F5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работ по плану 40 г. на 01.08 в млн. руб.</w:t>
            </w:r>
          </w:p>
        </w:tc>
      </w:tr>
      <w:tr w:rsidR="007D5DF8" w:rsidRPr="00DB5D0D" w14:paraId="3911C863" w14:textId="77777777" w:rsidTr="00E543D0">
        <w:trPr>
          <w:trHeight w:val="40"/>
        </w:trPr>
        <w:tc>
          <w:tcPr>
            <w:tcW w:w="1584" w:type="dxa"/>
            <w:tcBorders>
              <w:top w:val="single" w:sz="6" w:space="0" w:color="auto"/>
              <w:left w:val="single" w:sz="12" w:space="0" w:color="auto"/>
              <w:bottom w:val="single" w:sz="6" w:space="0" w:color="auto"/>
              <w:right w:val="single" w:sz="6" w:space="0" w:color="auto"/>
            </w:tcBorders>
          </w:tcPr>
          <w:p w14:paraId="34254F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339</w:t>
            </w:r>
          </w:p>
        </w:tc>
        <w:tc>
          <w:tcPr>
            <w:tcW w:w="1584" w:type="dxa"/>
            <w:tcBorders>
              <w:top w:val="single" w:sz="6" w:space="0" w:color="auto"/>
              <w:left w:val="single" w:sz="6" w:space="0" w:color="auto"/>
              <w:bottom w:val="single" w:sz="6" w:space="0" w:color="auto"/>
              <w:right w:val="single" w:sz="6" w:space="0" w:color="auto"/>
            </w:tcBorders>
          </w:tcPr>
          <w:p w14:paraId="16708D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1584" w:type="dxa"/>
            <w:tcBorders>
              <w:top w:val="single" w:sz="6" w:space="0" w:color="auto"/>
              <w:left w:val="single" w:sz="6" w:space="0" w:color="auto"/>
              <w:bottom w:val="single" w:sz="6" w:space="0" w:color="auto"/>
              <w:right w:val="single" w:sz="6" w:space="0" w:color="auto"/>
            </w:tcBorders>
          </w:tcPr>
          <w:p w14:paraId="76F250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1584" w:type="dxa"/>
            <w:tcBorders>
              <w:top w:val="single" w:sz="6" w:space="0" w:color="auto"/>
              <w:left w:val="single" w:sz="6" w:space="0" w:color="auto"/>
              <w:bottom w:val="single" w:sz="6" w:space="0" w:color="auto"/>
              <w:right w:val="single" w:sz="6" w:space="0" w:color="auto"/>
            </w:tcBorders>
          </w:tcPr>
          <w:p w14:paraId="490D03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18,5</w:t>
            </w:r>
          </w:p>
        </w:tc>
        <w:tc>
          <w:tcPr>
            <w:tcW w:w="1584" w:type="dxa"/>
            <w:tcBorders>
              <w:top w:val="single" w:sz="6" w:space="0" w:color="auto"/>
              <w:left w:val="single" w:sz="6" w:space="0" w:color="auto"/>
              <w:bottom w:val="single" w:sz="6" w:space="0" w:color="auto"/>
              <w:right w:val="single" w:sz="12" w:space="0" w:color="auto"/>
            </w:tcBorders>
          </w:tcPr>
          <w:p w14:paraId="135EDB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w:t>
            </w:r>
          </w:p>
        </w:tc>
      </w:tr>
      <w:tr w:rsidR="007D5DF8" w:rsidRPr="00DB5D0D" w14:paraId="2EB6C68B" w14:textId="77777777" w:rsidTr="00E543D0">
        <w:trPr>
          <w:trHeight w:val="40"/>
        </w:trPr>
        <w:tc>
          <w:tcPr>
            <w:tcW w:w="1584" w:type="dxa"/>
            <w:tcBorders>
              <w:top w:val="single" w:sz="6" w:space="0" w:color="auto"/>
              <w:left w:val="single" w:sz="12" w:space="0" w:color="auto"/>
              <w:bottom w:val="single" w:sz="6" w:space="0" w:color="auto"/>
              <w:right w:val="single" w:sz="6" w:space="0" w:color="auto"/>
            </w:tcBorders>
          </w:tcPr>
          <w:p w14:paraId="7A415C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306</w:t>
            </w:r>
          </w:p>
        </w:tc>
        <w:tc>
          <w:tcPr>
            <w:tcW w:w="1584" w:type="dxa"/>
            <w:tcBorders>
              <w:top w:val="single" w:sz="6" w:space="0" w:color="auto"/>
              <w:left w:val="single" w:sz="6" w:space="0" w:color="auto"/>
              <w:bottom w:val="single" w:sz="6" w:space="0" w:color="auto"/>
              <w:right w:val="single" w:sz="6" w:space="0" w:color="auto"/>
            </w:tcBorders>
          </w:tcPr>
          <w:p w14:paraId="389002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w:t>
            </w:r>
          </w:p>
        </w:tc>
        <w:tc>
          <w:tcPr>
            <w:tcW w:w="1584" w:type="dxa"/>
            <w:tcBorders>
              <w:top w:val="single" w:sz="6" w:space="0" w:color="auto"/>
              <w:left w:val="single" w:sz="6" w:space="0" w:color="auto"/>
              <w:bottom w:val="single" w:sz="6" w:space="0" w:color="auto"/>
              <w:right w:val="single" w:sz="6" w:space="0" w:color="auto"/>
            </w:tcBorders>
          </w:tcPr>
          <w:p w14:paraId="07CEE0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w:t>
            </w:r>
          </w:p>
        </w:tc>
        <w:tc>
          <w:tcPr>
            <w:tcW w:w="1584" w:type="dxa"/>
            <w:tcBorders>
              <w:top w:val="single" w:sz="6" w:space="0" w:color="auto"/>
              <w:left w:val="single" w:sz="6" w:space="0" w:color="auto"/>
              <w:bottom w:val="single" w:sz="6" w:space="0" w:color="auto"/>
              <w:right w:val="single" w:sz="6" w:space="0" w:color="auto"/>
            </w:tcBorders>
          </w:tcPr>
          <w:p w14:paraId="268390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32,6</w:t>
            </w:r>
          </w:p>
        </w:tc>
        <w:tc>
          <w:tcPr>
            <w:tcW w:w="1584" w:type="dxa"/>
            <w:tcBorders>
              <w:top w:val="single" w:sz="6" w:space="0" w:color="auto"/>
              <w:left w:val="single" w:sz="6" w:space="0" w:color="auto"/>
              <w:bottom w:val="single" w:sz="6" w:space="0" w:color="auto"/>
              <w:right w:val="single" w:sz="12" w:space="0" w:color="auto"/>
            </w:tcBorders>
          </w:tcPr>
          <w:p w14:paraId="203866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w:t>
            </w:r>
          </w:p>
        </w:tc>
      </w:tr>
      <w:tr w:rsidR="007D5DF8" w:rsidRPr="00DB5D0D" w14:paraId="014F6511" w14:textId="77777777" w:rsidTr="00E543D0">
        <w:trPr>
          <w:trHeight w:val="40"/>
        </w:trPr>
        <w:tc>
          <w:tcPr>
            <w:tcW w:w="1584" w:type="dxa"/>
            <w:tcBorders>
              <w:top w:val="single" w:sz="6" w:space="0" w:color="auto"/>
              <w:left w:val="single" w:sz="12" w:space="0" w:color="auto"/>
              <w:bottom w:val="single" w:sz="6" w:space="0" w:color="auto"/>
              <w:right w:val="single" w:sz="6" w:space="0" w:color="auto"/>
            </w:tcBorders>
          </w:tcPr>
          <w:p w14:paraId="34EB85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307</w:t>
            </w:r>
          </w:p>
        </w:tc>
        <w:tc>
          <w:tcPr>
            <w:tcW w:w="1584" w:type="dxa"/>
            <w:tcBorders>
              <w:top w:val="single" w:sz="6" w:space="0" w:color="auto"/>
              <w:left w:val="single" w:sz="6" w:space="0" w:color="auto"/>
              <w:bottom w:val="single" w:sz="6" w:space="0" w:color="auto"/>
              <w:right w:val="single" w:sz="6" w:space="0" w:color="auto"/>
            </w:tcBorders>
          </w:tcPr>
          <w:p w14:paraId="4A6F88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tc>
        <w:tc>
          <w:tcPr>
            <w:tcW w:w="1584" w:type="dxa"/>
            <w:tcBorders>
              <w:top w:val="single" w:sz="6" w:space="0" w:color="auto"/>
              <w:left w:val="single" w:sz="6" w:space="0" w:color="auto"/>
              <w:bottom w:val="single" w:sz="6" w:space="0" w:color="auto"/>
              <w:right w:val="single" w:sz="6" w:space="0" w:color="auto"/>
            </w:tcBorders>
          </w:tcPr>
          <w:p w14:paraId="33CA0B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1584" w:type="dxa"/>
            <w:tcBorders>
              <w:top w:val="single" w:sz="6" w:space="0" w:color="auto"/>
              <w:left w:val="single" w:sz="6" w:space="0" w:color="auto"/>
              <w:bottom w:val="single" w:sz="6" w:space="0" w:color="auto"/>
              <w:right w:val="single" w:sz="6" w:space="0" w:color="auto"/>
            </w:tcBorders>
          </w:tcPr>
          <w:p w14:paraId="692D3B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1584" w:type="dxa"/>
            <w:tcBorders>
              <w:top w:val="single" w:sz="6" w:space="0" w:color="auto"/>
              <w:left w:val="single" w:sz="6" w:space="0" w:color="auto"/>
              <w:bottom w:val="single" w:sz="6" w:space="0" w:color="auto"/>
              <w:right w:val="single" w:sz="12" w:space="0" w:color="auto"/>
            </w:tcBorders>
          </w:tcPr>
          <w:p w14:paraId="0755CA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w:t>
            </w:r>
          </w:p>
        </w:tc>
      </w:tr>
      <w:tr w:rsidR="007D5DF8" w:rsidRPr="00DB5D0D" w14:paraId="11A8CC82" w14:textId="77777777" w:rsidTr="00E543D0">
        <w:trPr>
          <w:trHeight w:val="40"/>
        </w:trPr>
        <w:tc>
          <w:tcPr>
            <w:tcW w:w="1584" w:type="dxa"/>
            <w:tcBorders>
              <w:top w:val="single" w:sz="6" w:space="0" w:color="auto"/>
              <w:left w:val="single" w:sz="12" w:space="0" w:color="auto"/>
              <w:bottom w:val="single" w:sz="6" w:space="0" w:color="auto"/>
              <w:right w:val="single" w:sz="6" w:space="0" w:color="auto"/>
            </w:tcBorders>
          </w:tcPr>
          <w:p w14:paraId="5DE4FD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281</w:t>
            </w:r>
          </w:p>
        </w:tc>
        <w:tc>
          <w:tcPr>
            <w:tcW w:w="1584" w:type="dxa"/>
            <w:tcBorders>
              <w:top w:val="single" w:sz="6" w:space="0" w:color="auto"/>
              <w:left w:val="single" w:sz="6" w:space="0" w:color="auto"/>
              <w:bottom w:val="single" w:sz="6" w:space="0" w:color="auto"/>
              <w:right w:val="single" w:sz="6" w:space="0" w:color="auto"/>
            </w:tcBorders>
          </w:tcPr>
          <w:p w14:paraId="34E531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1584" w:type="dxa"/>
            <w:tcBorders>
              <w:top w:val="single" w:sz="6" w:space="0" w:color="auto"/>
              <w:left w:val="single" w:sz="6" w:space="0" w:color="auto"/>
              <w:bottom w:val="single" w:sz="6" w:space="0" w:color="auto"/>
              <w:right w:val="single" w:sz="6" w:space="0" w:color="auto"/>
            </w:tcBorders>
          </w:tcPr>
          <w:p w14:paraId="57B5CF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84" w:type="dxa"/>
            <w:tcBorders>
              <w:top w:val="single" w:sz="6" w:space="0" w:color="auto"/>
              <w:left w:val="single" w:sz="6" w:space="0" w:color="auto"/>
              <w:bottom w:val="single" w:sz="6" w:space="0" w:color="auto"/>
              <w:right w:val="single" w:sz="6" w:space="0" w:color="auto"/>
            </w:tcBorders>
          </w:tcPr>
          <w:p w14:paraId="74E3B6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584" w:type="dxa"/>
            <w:tcBorders>
              <w:top w:val="single" w:sz="6" w:space="0" w:color="auto"/>
              <w:left w:val="single" w:sz="6" w:space="0" w:color="auto"/>
              <w:bottom w:val="single" w:sz="6" w:space="0" w:color="auto"/>
              <w:right w:val="single" w:sz="12" w:space="0" w:color="auto"/>
            </w:tcBorders>
          </w:tcPr>
          <w:p w14:paraId="5ED7A3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разрабатывается проектное задание</w:t>
            </w:r>
          </w:p>
        </w:tc>
      </w:tr>
      <w:tr w:rsidR="007D5DF8" w:rsidRPr="00DB5D0D" w14:paraId="21A10ABE" w14:textId="77777777" w:rsidTr="00E543D0">
        <w:trPr>
          <w:trHeight w:val="40"/>
        </w:trPr>
        <w:tc>
          <w:tcPr>
            <w:tcW w:w="1584" w:type="dxa"/>
            <w:tcBorders>
              <w:top w:val="single" w:sz="6" w:space="0" w:color="auto"/>
              <w:left w:val="single" w:sz="12" w:space="0" w:color="auto"/>
              <w:bottom w:val="single" w:sz="6" w:space="0" w:color="auto"/>
              <w:right w:val="single" w:sz="6" w:space="0" w:color="auto"/>
            </w:tcBorders>
          </w:tcPr>
          <w:p w14:paraId="13BA4A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282</w:t>
            </w:r>
          </w:p>
        </w:tc>
        <w:tc>
          <w:tcPr>
            <w:tcW w:w="1584" w:type="dxa"/>
            <w:tcBorders>
              <w:top w:val="single" w:sz="6" w:space="0" w:color="auto"/>
              <w:left w:val="single" w:sz="6" w:space="0" w:color="auto"/>
              <w:bottom w:val="single" w:sz="6" w:space="0" w:color="auto"/>
              <w:right w:val="single" w:sz="6" w:space="0" w:color="auto"/>
            </w:tcBorders>
          </w:tcPr>
          <w:p w14:paraId="6CCDCD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1584" w:type="dxa"/>
            <w:tcBorders>
              <w:top w:val="single" w:sz="6" w:space="0" w:color="auto"/>
              <w:left w:val="single" w:sz="6" w:space="0" w:color="auto"/>
              <w:bottom w:val="single" w:sz="6" w:space="0" w:color="auto"/>
              <w:right w:val="single" w:sz="6" w:space="0" w:color="auto"/>
            </w:tcBorders>
          </w:tcPr>
          <w:p w14:paraId="2E45AE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84" w:type="dxa"/>
            <w:tcBorders>
              <w:top w:val="single" w:sz="6" w:space="0" w:color="auto"/>
              <w:left w:val="single" w:sz="6" w:space="0" w:color="auto"/>
              <w:bottom w:val="single" w:sz="6" w:space="0" w:color="auto"/>
              <w:right w:val="single" w:sz="6" w:space="0" w:color="auto"/>
            </w:tcBorders>
          </w:tcPr>
          <w:p w14:paraId="423D00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w:t>
            </w:r>
          </w:p>
        </w:tc>
        <w:tc>
          <w:tcPr>
            <w:tcW w:w="1584" w:type="dxa"/>
            <w:tcBorders>
              <w:top w:val="single" w:sz="6" w:space="0" w:color="auto"/>
              <w:left w:val="single" w:sz="6" w:space="0" w:color="auto"/>
              <w:bottom w:val="single" w:sz="6" w:space="0" w:color="auto"/>
              <w:right w:val="single" w:sz="12" w:space="0" w:color="auto"/>
            </w:tcBorders>
          </w:tcPr>
          <w:p w14:paraId="3958E0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Составлены проектные задания и приступлено к подготовительным работам</w:t>
            </w:r>
          </w:p>
        </w:tc>
      </w:tr>
      <w:tr w:rsidR="007D5DF8" w:rsidRPr="00DB5D0D" w14:paraId="54922A0C" w14:textId="77777777" w:rsidTr="00E543D0">
        <w:trPr>
          <w:trHeight w:val="40"/>
        </w:trPr>
        <w:tc>
          <w:tcPr>
            <w:tcW w:w="1584" w:type="dxa"/>
            <w:tcBorders>
              <w:top w:val="single" w:sz="6" w:space="0" w:color="auto"/>
              <w:left w:val="single" w:sz="12" w:space="0" w:color="auto"/>
              <w:bottom w:val="single" w:sz="12" w:space="0" w:color="auto"/>
              <w:right w:val="single" w:sz="6" w:space="0" w:color="auto"/>
            </w:tcBorders>
          </w:tcPr>
          <w:p w14:paraId="3A25D3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283</w:t>
            </w:r>
          </w:p>
        </w:tc>
        <w:tc>
          <w:tcPr>
            <w:tcW w:w="1584" w:type="dxa"/>
            <w:tcBorders>
              <w:top w:val="single" w:sz="6" w:space="0" w:color="auto"/>
              <w:left w:val="single" w:sz="6" w:space="0" w:color="auto"/>
              <w:bottom w:val="single" w:sz="12" w:space="0" w:color="auto"/>
              <w:right w:val="single" w:sz="6" w:space="0" w:color="auto"/>
            </w:tcBorders>
          </w:tcPr>
          <w:p w14:paraId="58362D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w:t>
            </w:r>
          </w:p>
        </w:tc>
        <w:tc>
          <w:tcPr>
            <w:tcW w:w="1584" w:type="dxa"/>
            <w:tcBorders>
              <w:top w:val="single" w:sz="6" w:space="0" w:color="auto"/>
              <w:left w:val="single" w:sz="6" w:space="0" w:color="auto"/>
              <w:bottom w:val="single" w:sz="12" w:space="0" w:color="auto"/>
              <w:right w:val="single" w:sz="6" w:space="0" w:color="auto"/>
            </w:tcBorders>
          </w:tcPr>
          <w:p w14:paraId="3172B9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84" w:type="dxa"/>
            <w:tcBorders>
              <w:top w:val="single" w:sz="6" w:space="0" w:color="auto"/>
              <w:left w:val="single" w:sz="6" w:space="0" w:color="auto"/>
              <w:bottom w:val="single" w:sz="12" w:space="0" w:color="auto"/>
              <w:right w:val="single" w:sz="6" w:space="0" w:color="auto"/>
            </w:tcBorders>
          </w:tcPr>
          <w:p w14:paraId="194FE2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w:t>
            </w:r>
          </w:p>
        </w:tc>
        <w:tc>
          <w:tcPr>
            <w:tcW w:w="1584" w:type="dxa"/>
            <w:tcBorders>
              <w:top w:val="single" w:sz="6" w:space="0" w:color="auto"/>
              <w:left w:val="single" w:sz="6" w:space="0" w:color="auto"/>
              <w:bottom w:val="single" w:sz="12" w:space="0" w:color="auto"/>
              <w:right w:val="single" w:sz="12" w:space="0" w:color="auto"/>
            </w:tcBorders>
          </w:tcPr>
          <w:p w14:paraId="28A171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51556E4" w14:textId="77777777" w:rsidTr="00E543D0">
        <w:trPr>
          <w:trHeight w:val="40"/>
        </w:trPr>
        <w:tc>
          <w:tcPr>
            <w:tcW w:w="1584" w:type="dxa"/>
            <w:tcBorders>
              <w:top w:val="single" w:sz="6" w:space="0" w:color="auto"/>
              <w:left w:val="single" w:sz="12" w:space="0" w:color="auto"/>
              <w:bottom w:val="single" w:sz="12" w:space="0" w:color="auto"/>
              <w:right w:val="single" w:sz="6" w:space="0" w:color="auto"/>
            </w:tcBorders>
          </w:tcPr>
          <w:p w14:paraId="0663FD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vertAlign w:val="subscript"/>
              </w:rPr>
            </w:pPr>
            <w:r w:rsidRPr="00DB5D0D">
              <w:rPr>
                <w:rFonts w:ascii="Times New Roman" w:hAnsi="Times New Roman"/>
                <w:color w:val="000000" w:themeColor="text1"/>
                <w:sz w:val="16"/>
                <w:szCs w:val="16"/>
              </w:rPr>
              <w:lastRenderedPageBreak/>
              <w:t>284</w:t>
            </w:r>
          </w:p>
        </w:tc>
        <w:tc>
          <w:tcPr>
            <w:tcW w:w="1584" w:type="dxa"/>
            <w:tcBorders>
              <w:top w:val="single" w:sz="6" w:space="0" w:color="auto"/>
              <w:left w:val="single" w:sz="6" w:space="0" w:color="auto"/>
              <w:bottom w:val="single" w:sz="12" w:space="0" w:color="auto"/>
              <w:right w:val="single" w:sz="6" w:space="0" w:color="auto"/>
            </w:tcBorders>
          </w:tcPr>
          <w:p w14:paraId="44FD39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w:t>
            </w:r>
          </w:p>
        </w:tc>
        <w:tc>
          <w:tcPr>
            <w:tcW w:w="1584" w:type="dxa"/>
            <w:tcBorders>
              <w:top w:val="single" w:sz="6" w:space="0" w:color="auto"/>
              <w:left w:val="single" w:sz="6" w:space="0" w:color="auto"/>
              <w:bottom w:val="single" w:sz="12" w:space="0" w:color="auto"/>
              <w:right w:val="single" w:sz="6" w:space="0" w:color="auto"/>
            </w:tcBorders>
          </w:tcPr>
          <w:p w14:paraId="419792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84" w:type="dxa"/>
            <w:tcBorders>
              <w:top w:val="single" w:sz="6" w:space="0" w:color="auto"/>
              <w:left w:val="single" w:sz="6" w:space="0" w:color="auto"/>
              <w:bottom w:val="single" w:sz="12" w:space="0" w:color="auto"/>
              <w:right w:val="single" w:sz="6" w:space="0" w:color="auto"/>
            </w:tcBorders>
          </w:tcPr>
          <w:p w14:paraId="6EEE45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w:t>
            </w:r>
          </w:p>
        </w:tc>
        <w:tc>
          <w:tcPr>
            <w:tcW w:w="1584" w:type="dxa"/>
            <w:tcBorders>
              <w:top w:val="single" w:sz="6" w:space="0" w:color="auto"/>
              <w:left w:val="single" w:sz="6" w:space="0" w:color="auto"/>
              <w:bottom w:val="single" w:sz="12" w:space="0" w:color="auto"/>
              <w:right w:val="single" w:sz="12" w:space="0" w:color="auto"/>
            </w:tcBorders>
          </w:tcPr>
          <w:p w14:paraId="45FF7A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bl>
    <w:p w14:paraId="4EB350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339 (дублер завода № 33) - г. Молотов</w:t>
      </w:r>
    </w:p>
    <w:p w14:paraId="502AF3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закончен строительством главный корпус и сдан во временную эксплоатацию. Для окончания строительства завода необходимо закончить в 1941 г. строительство следующих цехов:</w:t>
      </w:r>
    </w:p>
    <w:p w14:paraId="1AD63D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Литейный</w:t>
      </w:r>
    </w:p>
    <w:p w14:paraId="27FF8A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Произзодственный корпус № 3</w:t>
      </w:r>
    </w:p>
    <w:p w14:paraId="11767B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Опытный</w:t>
      </w:r>
    </w:p>
    <w:p w14:paraId="0974CF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Кузницу</w:t>
      </w:r>
    </w:p>
    <w:p w14:paraId="614B5D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Складские объекты</w:t>
      </w:r>
    </w:p>
    <w:p w14:paraId="23543B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Прочие вспомогательные объекты</w:t>
      </w:r>
    </w:p>
    <w:p w14:paraId="717630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306 (магнето и свечи) гор. Саратов.</w:t>
      </w:r>
    </w:p>
    <w:p w14:paraId="5E1C92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Технической документацией строительство завода обеспечено.</w:t>
      </w:r>
    </w:p>
    <w:p w14:paraId="093391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ведет трест № 13 Наркомстроя.</w:t>
      </w:r>
    </w:p>
    <w:p w14:paraId="1A542F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настоящего времени Наркомстрой еще не обеспечил даже проведение подготовительных работ и к строительству основных цехов (цеха № 1 и 3) только приступил в июле месяце.</w:t>
      </w:r>
    </w:p>
    <w:p w14:paraId="2AA693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smallCaps/>
          <w:color w:val="000000" w:themeColor="text1"/>
          <w:sz w:val="16"/>
          <w:szCs w:val="16"/>
        </w:rPr>
        <w:t>Завод № 3</w:t>
      </w:r>
      <w:r w:rsidRPr="00DB5D0D">
        <w:rPr>
          <w:rFonts w:ascii="Times New Roman" w:hAnsi="Times New Roman"/>
          <w:color w:val="000000" w:themeColor="text1"/>
          <w:sz w:val="16"/>
          <w:szCs w:val="16"/>
        </w:rPr>
        <w:t>07 (прокладки) - гор. Ржев.</w:t>
      </w:r>
    </w:p>
    <w:p w14:paraId="538023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Построен глазный корпус и другие вспомогательные цеха, но окончание завода и сдача его во временную эксплоатацию главным образом задерживается в виду отсутствия электроэнергии.</w:t>
      </w:r>
    </w:p>
    <w:p w14:paraId="75CF15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281 (дублер завода № 339) г. Куйбышев.</w:t>
      </w:r>
    </w:p>
    <w:p w14:paraId="2477C7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Площадка утверждена. Проектное задание не разработано, вследстзии задержки утверждения планового задания.</w:t>
      </w:r>
    </w:p>
    <w:p w14:paraId="2224E6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282 (дублер завода № 286) г. Уфа.</w:t>
      </w:r>
    </w:p>
    <w:p w14:paraId="7CAF8C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Площадка утверждена. Проектное задание утверждено. Работы ведет трест № 3 НКАП. Приступлено к подготовительным работам в июле мес.</w:t>
      </w:r>
    </w:p>
    <w:p w14:paraId="75B9225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Зазод № 283 (дублер завода № 20) г.Ульяновск.</w:t>
      </w:r>
    </w:p>
    <w:p w14:paraId="5A6707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Площадка выбрана. Проектное задание утверждено. К подготовительным работам приступлено в конце июня.</w:t>
      </w:r>
    </w:p>
    <w:p w14:paraId="3DA8AC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284 (дублер завода самопусков) г. Сарапул</w:t>
      </w:r>
    </w:p>
    <w:p w14:paraId="0AEE7F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Выбрана площадка. Проектное задание утверждено. К подготовительным работам приступлено в июне мес.</w:t>
      </w:r>
    </w:p>
    <w:p w14:paraId="7A9737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Неудовлетворительное заполнение плана строительства данных заводов вызвано в основном следующими причинами:</w:t>
      </w:r>
    </w:p>
    <w:p w14:paraId="1649F9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339</w:t>
      </w:r>
    </w:p>
    <w:p w14:paraId="2EF5CB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данного завода главным образом задежалось изменением планового задания вызванного решением КО № 154сс вследствии чего завод был на ходу перепроектирован. Наряду с этим имело место недостаточное финансирование особенно в 1939г. Имеется возможность в основном закончить строительство завода в году.</w:t>
      </w:r>
    </w:p>
    <w:p w14:paraId="269ABC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307</w:t>
      </w:r>
    </w:p>
    <w:p w14:paraId="1947AE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завода и пуск его в данный момент задерживается отсутствием энерго-силового оборудования, если будут выделены локомобили и котлы то завод может быть полностью закончен не позднее 1.6.41 г.</w:t>
      </w:r>
    </w:p>
    <w:p w14:paraId="6E01FA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306</w:t>
      </w:r>
    </w:p>
    <w:p w14:paraId="5CFF4E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Задержки со строительством данного завода происходят исключительно по вине Наркомстроя, который до сего времени не обеспечил стройку рабсилой, материалами, транспортом и не произвел подготовительных работ.</w:t>
      </w:r>
    </w:p>
    <w:p w14:paraId="4970C8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Площадки укомплектованы рабсилой в пределах только на 20-25%.</w:t>
      </w:r>
    </w:p>
    <w:p w14:paraId="06CB77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Снабжение стройки помимо основных материалов: как </w:t>
      </w:r>
      <w:r w:rsidRPr="00DB5D0D">
        <w:rPr>
          <w:rFonts w:ascii="Times New Roman" w:hAnsi="Times New Roman"/>
          <w:smallCaps/>
          <w:color w:val="000000" w:themeColor="text1"/>
          <w:sz w:val="16"/>
          <w:szCs w:val="16"/>
        </w:rPr>
        <w:t xml:space="preserve">лес </w:t>
      </w:r>
      <w:r w:rsidRPr="00DB5D0D">
        <w:rPr>
          <w:rFonts w:ascii="Times New Roman" w:hAnsi="Times New Roman"/>
          <w:color w:val="000000" w:themeColor="text1"/>
          <w:sz w:val="16"/>
          <w:szCs w:val="16"/>
        </w:rPr>
        <w:t>за первое полугодие совершенно не производилось.</w:t>
      </w:r>
    </w:p>
    <w:p w14:paraId="46B39F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Автотранспортом площадки укомплектованы только на 50%.</w:t>
      </w:r>
    </w:p>
    <w:p w14:paraId="74080C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того, чтобы закончить 1-ю очередь завода к 1.6-41 г. весь завод к 1.1.42 г. необходимо обязать Наркомстрой:</w:t>
      </w:r>
    </w:p>
    <w:p w14:paraId="73D319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Закончить в 40 г. и сдать под монтаж цеха №№ 1 и 3 (магнето и инструментальный) и</w:t>
      </w:r>
    </w:p>
    <w:p w14:paraId="048FE9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Остальные все цеха, временную котельную и подсобную во 2-мквартале 1941 г.</w:t>
      </w:r>
    </w:p>
    <w:p w14:paraId="200E7A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 №№ 281, 282, 283 и 289, 282, 283 и 284</w:t>
      </w:r>
    </w:p>
    <w:p w14:paraId="667F347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строительству заводов были утверждены плановые задания в феврале месяце 40 г., а по заводу № 281 только в мае 40 г., что, конечно, не дало возможности в больших размерах развернуть по ниим работы.</w:t>
      </w:r>
    </w:p>
    <w:p w14:paraId="390C34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перечисленных причин строительство всех заводов задерживается неудовлетворительным снабжением стройматериалами. Потребность строительства по некоторым основным материалам удовлетворяется в пределах от 10 до 25% (сортовой маталл, балки, цемент, лес)</w:t>
      </w:r>
    </w:p>
    <w:p w14:paraId="2452CD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(10498,47).</w:t>
      </w:r>
    </w:p>
    <w:p w14:paraId="17B1F5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1260B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по 17 августа 1940 года проходили полигонные испытания авиабомб ФАБ-50 и 100 (цельнокованных) с упрощенным подвесным ушком конструкции ГСКБ-47, которые проходили (3004).</w:t>
      </w:r>
    </w:p>
    <w:p w14:paraId="4BA248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2BB88C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Сатонин.</w:t>
      </w:r>
    </w:p>
    <w:p w14:paraId="61EDC2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9530A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установить:</w:t>
      </w:r>
    </w:p>
    <w:p w14:paraId="01CB35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Возможность подвески авиабомб с упрощенной подвесной системой на все типы бомбодержателей, состоящие на вооружении ВВС, для ФАБ-50 и 100 кг.</w:t>
      </w:r>
    </w:p>
    <w:p w14:paraId="6BC006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Прочность приварки подвесных ушков.</w:t>
      </w:r>
    </w:p>
    <w:p w14:paraId="40C531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Возможность сбрасывания АБ с самолетов (3004).</w:t>
      </w:r>
    </w:p>
    <w:p w14:paraId="6803B2C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0EF19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г. была шифртелеграмма Главнокомандующего КА№ 10/27 (исх. 2294) командующим ВВС ок</w:t>
      </w:r>
      <w:r w:rsidRPr="00DB5D0D">
        <w:rPr>
          <w:rFonts w:ascii="Times New Roman" w:hAnsi="Times New Roman"/>
          <w:color w:val="000000" w:themeColor="text1"/>
          <w:sz w:val="16"/>
          <w:szCs w:val="16"/>
        </w:rPr>
        <w:softHyphen/>
        <w:t>угов и ДВФ, подписанная заместителем начальника 2 отдела 8-го уп-ления военным представителем 1 ранга Аристарховым, которая гласила, что при стрельбе РС на И-15 бис и И-153 деформируется обшивка ребра атаки крыла и металлическая обшивка над реактивными орудиями. До усиления обшивки заводом стрельбу РС на всех машинах требовалось запретить.</w:t>
      </w:r>
    </w:p>
    <w:p w14:paraId="1FA577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Подробнее эту ситуацию разъясняет Научно-технический журнал главного управления ГУ ВВС КА по 1-му отделу №0217 от 9 декабря 1940 г. Из войсковых частей Красной Армии поступили сообщения, что на самолете И-153 «Чайка», вооруженных ракетными установками, после неболь</w:t>
      </w:r>
      <w:r w:rsidRPr="00DB5D0D">
        <w:rPr>
          <w:rFonts w:ascii="Times New Roman" w:hAnsi="Times New Roman"/>
          <w:color w:val="000000" w:themeColor="text1"/>
          <w:sz w:val="16"/>
          <w:szCs w:val="16"/>
        </w:rPr>
        <w:softHyphen/>
        <w:t>шого числа выстрелов (1-2 на орудие) появляются дефекты, влияющие аэродинамику, прочность и боевые свойства самолета. На нижних оскостях обоих крыльев появились следующие дефекты, не позволяю-&amp; в дальнейшем эксплуатировать самолет и ракетные орудия:</w:t>
      </w:r>
    </w:p>
    <w:p w14:paraId="29E1F9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Металлическая обшивка (дюраль), предохраняющая плоскость от ОДеиствия газовой струи РС, рвется вместе с заклепками;</w:t>
      </w:r>
    </w:p>
    <w:p w14:paraId="5D1BD9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 время выстрела происходит срыв обтекателя стоек, и открыва-</w:t>
      </w:r>
      <w:r w:rsidRPr="00DB5D0D">
        <w:rPr>
          <w:rFonts w:ascii="Times New Roman" w:hAnsi="Times New Roman"/>
          <w:color w:val="000000" w:themeColor="text1"/>
          <w:sz w:val="16"/>
          <w:szCs w:val="16"/>
          <w:vertAlign w:val="superscript"/>
        </w:rPr>
        <w:t>с</w:t>
      </w:r>
      <w:r w:rsidRPr="00DB5D0D">
        <w:rPr>
          <w:rFonts w:ascii="Times New Roman" w:hAnsi="Times New Roman"/>
          <w:color w:val="000000" w:themeColor="text1"/>
          <w:sz w:val="16"/>
          <w:szCs w:val="16"/>
        </w:rPr>
        <w:t>я дверца нижнего лючка;</w:t>
      </w:r>
    </w:p>
    <w:p w14:paraId="108495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 стрельбе серией залпов и отдельными залпами ослабляется Княя обшивка, и псе покрытие в целом гофрируется;</w:t>
      </w:r>
    </w:p>
    <w:p w14:paraId="497548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При стрельбе в результате воздействия газовой струи и выороса несгореиших частиц пороха происходит намин лобовой части крыла.</w:t>
      </w:r>
    </w:p>
    <w:p w14:paraId="335DBA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Создавшееся положение можно объяснить тем, что при запуске И-153 с ракетными установками с серию, не было произведено отстрела, а также тем, что завод №1 совершенно не учел опыта установки РО на другие существующие типы самолетов (И-16)».</w:t>
      </w:r>
    </w:p>
    <w:p w14:paraId="2DDB45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примеру, на нижней плоскости нижнего крыла ткань обшивки в районе установки РО-82 дополнительно защищали дюралюминиевой обшивкой. Пластина толщиной 0,5 мм. которую можно считать толстой фольгой, после выстрелов рвалась по многих местах, а шурупы ее креп</w:t>
      </w:r>
      <w:r w:rsidRPr="00DB5D0D">
        <w:rPr>
          <w:rFonts w:ascii="Times New Roman" w:hAnsi="Times New Roman"/>
          <w:color w:val="000000" w:themeColor="text1"/>
          <w:sz w:val="16"/>
          <w:szCs w:val="16"/>
        </w:rPr>
        <w:softHyphen/>
        <w:t>ления выдергивало из гнезд вместе с фрагментами древесины силового набора. На некоторых машинах при стрельбе РОС-82 срывало обтекате</w:t>
      </w:r>
      <w:r w:rsidRPr="00DB5D0D">
        <w:rPr>
          <w:rFonts w:ascii="Times New Roman" w:hAnsi="Times New Roman"/>
          <w:color w:val="000000" w:themeColor="text1"/>
          <w:sz w:val="16"/>
          <w:szCs w:val="16"/>
        </w:rPr>
        <w:softHyphen/>
        <w:t>ли стоек шасси и распахивало «дверцу нижнего лючка». В случае стрель</w:t>
      </w:r>
      <w:r w:rsidRPr="00DB5D0D">
        <w:rPr>
          <w:rFonts w:ascii="Times New Roman" w:hAnsi="Times New Roman"/>
          <w:color w:val="000000" w:themeColor="text1"/>
          <w:sz w:val="16"/>
          <w:szCs w:val="16"/>
        </w:rPr>
        <w:softHyphen/>
        <w:t>бы залпами или серией снарядов, локальная металлическая обшивка крыла, а также основная полотняная сильно деформировались, приоб тая вид стиральной доски. Кроме того, выброшенными из сопел не-1ими осколками пороха РЗ боеприпасов, по утверждению летчи-</w:t>
      </w:r>
      <w:r w:rsidRPr="00DB5D0D">
        <w:rPr>
          <w:rFonts w:ascii="Times New Roman" w:hAnsi="Times New Roman"/>
          <w:color w:val="000000" w:themeColor="text1"/>
          <w:sz w:val="16"/>
          <w:szCs w:val="16"/>
          <w:vertAlign w:val="subscript"/>
        </w:rPr>
        <w:t>О</w:t>
      </w:r>
      <w:r w:rsidRPr="00DB5D0D">
        <w:rPr>
          <w:rFonts w:ascii="Times New Roman" w:hAnsi="Times New Roman"/>
          <w:color w:val="000000" w:themeColor="text1"/>
          <w:sz w:val="16"/>
          <w:szCs w:val="16"/>
        </w:rPr>
        <w:t>в «происходит намин лобовой части крыла». То есть, деформировалась его передняя кромка.</w:t>
      </w:r>
    </w:p>
    <w:p w14:paraId="5016F3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Анализ причин столь неприятного явления заставил военное руко-1СТВО вспомнить о том, что при запуске истребителей этого типа в се-1пию, машины не проходили ни наземных огневых, ни летных испытаний 1в варианте ракетоносиев. А конструкторы машины и ее изготовители на Гваводе №1 НКАП «совершенно не учли опыта установки РО на другие ^существующие типы самолетов (И-16)». Таким образом, до вынесения ^«езолюпии испытателей НИИ ВВС о возможности оборудования само</w:t>
      </w:r>
      <w:r w:rsidRPr="00DB5D0D">
        <w:rPr>
          <w:rFonts w:ascii="Times New Roman" w:hAnsi="Times New Roman"/>
          <w:color w:val="000000" w:themeColor="text1"/>
          <w:sz w:val="16"/>
          <w:szCs w:val="16"/>
        </w:rPr>
        <w:softHyphen/>
        <w:t>летов И-153 ракетными орудиями, все однотипные машины в строевых частях временно разоружили, а изготовление партии ракетоносцев при</w:t>
      </w:r>
      <w:r w:rsidRPr="00DB5D0D">
        <w:rPr>
          <w:rFonts w:ascii="Times New Roman" w:hAnsi="Times New Roman"/>
          <w:color w:val="000000" w:themeColor="text1"/>
          <w:sz w:val="16"/>
          <w:szCs w:val="16"/>
        </w:rPr>
        <w:softHyphen/>
        <w:t>остановили.</w:t>
      </w:r>
    </w:p>
    <w:p w14:paraId="1B9059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1.56 Результаты наземной стрельбы снарядами РОС-82 с самолета И-153. установленного с углом возвышения 13° (первый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476"/>
        <w:gridCol w:w="1087"/>
        <w:gridCol w:w="3348"/>
      </w:tblGrid>
      <w:tr w:rsidR="007D5DF8" w:rsidRPr="00DB5D0D" w14:paraId="0189BB10" w14:textId="77777777" w:rsidTr="00E543D0">
        <w:trPr>
          <w:trHeight w:val="583"/>
        </w:trPr>
        <w:tc>
          <w:tcPr>
            <w:tcW w:w="1476" w:type="dxa"/>
            <w:tcBorders>
              <w:top w:val="single" w:sz="6" w:space="0" w:color="auto"/>
              <w:left w:val="single" w:sz="6" w:space="0" w:color="auto"/>
              <w:bottom w:val="single" w:sz="6" w:space="0" w:color="auto"/>
              <w:right w:val="single" w:sz="6" w:space="0" w:color="auto"/>
            </w:tcBorders>
          </w:tcPr>
          <w:p w14:paraId="0BCDCD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Режим ведения огня</w:t>
            </w:r>
          </w:p>
          <w:p w14:paraId="71540D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7" w:type="dxa"/>
            <w:tcBorders>
              <w:top w:val="single" w:sz="6" w:space="0" w:color="auto"/>
              <w:left w:val="single" w:sz="6" w:space="0" w:color="auto"/>
              <w:bottom w:val="single" w:sz="6" w:space="0" w:color="auto"/>
              <w:right w:val="single" w:sz="6" w:space="0" w:color="auto"/>
            </w:tcBorders>
          </w:tcPr>
          <w:p w14:paraId="409A32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отстрелянных снарядов</w:t>
            </w:r>
          </w:p>
          <w:p w14:paraId="7690077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3348" w:type="dxa"/>
            <w:tcBorders>
              <w:top w:val="single" w:sz="6" w:space="0" w:color="auto"/>
              <w:left w:val="single" w:sz="6" w:space="0" w:color="auto"/>
              <w:bottom w:val="single" w:sz="6" w:space="0" w:color="auto"/>
              <w:right w:val="single" w:sz="6" w:space="0" w:color="auto"/>
            </w:tcBorders>
          </w:tcPr>
          <w:p w14:paraId="0E7BCF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 воздействия стрельбы на планер машины</w:t>
            </w:r>
          </w:p>
          <w:p w14:paraId="3ECAB4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CCBC9B0" w14:textId="77777777" w:rsidTr="00E543D0">
        <w:trPr>
          <w:trHeight w:val="403"/>
        </w:trPr>
        <w:tc>
          <w:tcPr>
            <w:tcW w:w="1476" w:type="dxa"/>
            <w:tcBorders>
              <w:top w:val="single" w:sz="6" w:space="0" w:color="auto"/>
              <w:left w:val="single" w:sz="6" w:space="0" w:color="auto"/>
              <w:bottom w:val="single" w:sz="6" w:space="0" w:color="auto"/>
              <w:right w:val="single" w:sz="6" w:space="0" w:color="auto"/>
            </w:tcBorders>
          </w:tcPr>
          <w:p w14:paraId="1BDA05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по 4 снаряда</w:t>
            </w:r>
          </w:p>
          <w:p w14:paraId="160F95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7" w:type="dxa"/>
            <w:tcBorders>
              <w:top w:val="single" w:sz="6" w:space="0" w:color="auto"/>
              <w:left w:val="single" w:sz="6" w:space="0" w:color="auto"/>
              <w:bottom w:val="single" w:sz="6" w:space="0" w:color="auto"/>
              <w:right w:val="single" w:sz="6" w:space="0" w:color="auto"/>
            </w:tcBorders>
          </w:tcPr>
          <w:p w14:paraId="6EE604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p w14:paraId="094C89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3348" w:type="dxa"/>
            <w:tcBorders>
              <w:top w:val="single" w:sz="6" w:space="0" w:color="auto"/>
              <w:left w:val="single" w:sz="6" w:space="0" w:color="auto"/>
              <w:bottom w:val="single" w:sz="6" w:space="0" w:color="auto"/>
              <w:right w:val="single" w:sz="6" w:space="0" w:color="auto"/>
            </w:tcBorders>
          </w:tcPr>
          <w:p w14:paraId="58435F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нижней плоскости в месте установка I'*-</w:t>
            </w:r>
            <w:r w:rsidRPr="00DB5D0D">
              <w:rPr>
                <w:rFonts w:ascii="Times New Roman" w:hAnsi="Times New Roman"/>
                <w:color w:val="000000" w:themeColor="text1"/>
                <w:sz w:val="16"/>
                <w:szCs w:val="16"/>
                <w:vertAlign w:val="superscript"/>
              </w:rPr>
              <w:t xml:space="preserve">1 </w:t>
            </w:r>
            <w:r w:rsidRPr="00DB5D0D">
              <w:rPr>
                <w:rFonts w:ascii="Times New Roman" w:hAnsi="Times New Roman"/>
                <w:color w:val="000000" w:themeColor="text1"/>
                <w:sz w:val="16"/>
                <w:szCs w:val="16"/>
              </w:rPr>
              <w:t>ослабла верхняя обшивка</w:t>
            </w:r>
          </w:p>
          <w:p w14:paraId="2BAD92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5A6DDD4" w14:textId="77777777" w:rsidTr="00E543D0">
        <w:trPr>
          <w:trHeight w:val="605"/>
        </w:trPr>
        <w:tc>
          <w:tcPr>
            <w:tcW w:w="1476" w:type="dxa"/>
            <w:tcBorders>
              <w:top w:val="single" w:sz="6" w:space="0" w:color="auto"/>
              <w:left w:val="single" w:sz="6" w:space="0" w:color="auto"/>
              <w:bottom w:val="single" w:sz="6" w:space="0" w:color="auto"/>
              <w:right w:val="single" w:sz="6" w:space="0" w:color="auto"/>
            </w:tcBorders>
          </w:tcPr>
          <w:p w14:paraId="71054C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Залп из 8 снарядов</w:t>
            </w:r>
          </w:p>
          <w:p w14:paraId="7359F20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7" w:type="dxa"/>
            <w:tcBorders>
              <w:top w:val="single" w:sz="6" w:space="0" w:color="auto"/>
              <w:left w:val="single" w:sz="6" w:space="0" w:color="auto"/>
              <w:bottom w:val="single" w:sz="6" w:space="0" w:color="auto"/>
              <w:right w:val="single" w:sz="6" w:space="0" w:color="auto"/>
            </w:tcBorders>
          </w:tcPr>
          <w:p w14:paraId="5CA747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p w14:paraId="1880C2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3348" w:type="dxa"/>
            <w:tcBorders>
              <w:top w:val="single" w:sz="6" w:space="0" w:color="auto"/>
              <w:left w:val="single" w:sz="6" w:space="0" w:color="auto"/>
              <w:bottom w:val="single" w:sz="6" w:space="0" w:color="auto"/>
              <w:right w:val="single" w:sz="6" w:space="0" w:color="auto"/>
            </w:tcBorders>
          </w:tcPr>
          <w:p w14:paraId="1EC38D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Ослабло 10 шурупов дюралевой обшиики нижней плоскости, а также обшивка страна на фюзеляжа и хвостового оперения</w:t>
            </w:r>
          </w:p>
          <w:p w14:paraId="4F0C4B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bl>
    <w:p w14:paraId="0D98CD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1.57 Результаты воздушной стрельбы снарядами РОС-82 с самолета И-153 (первый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231"/>
        <w:gridCol w:w="713"/>
        <w:gridCol w:w="756"/>
        <w:gridCol w:w="1058"/>
        <w:gridCol w:w="2174"/>
      </w:tblGrid>
      <w:tr w:rsidR="007D5DF8" w:rsidRPr="00DB5D0D" w14:paraId="77751CBF" w14:textId="77777777" w:rsidTr="00E543D0">
        <w:trPr>
          <w:trHeight w:val="778"/>
        </w:trPr>
        <w:tc>
          <w:tcPr>
            <w:tcW w:w="1231" w:type="dxa"/>
            <w:tcBorders>
              <w:top w:val="single" w:sz="6" w:space="0" w:color="auto"/>
              <w:left w:val="single" w:sz="6" w:space="0" w:color="auto"/>
              <w:bottom w:val="single" w:sz="6" w:space="0" w:color="auto"/>
              <w:right w:val="single" w:sz="6" w:space="0" w:color="auto"/>
            </w:tcBorders>
          </w:tcPr>
          <w:p w14:paraId="3A1B3B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Режим полета (угол пикирования)</w:t>
            </w:r>
          </w:p>
          <w:p w14:paraId="41BC54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7110D4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полета (ввода в пике), м</w:t>
            </w:r>
          </w:p>
          <w:p w14:paraId="2DADF1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5067B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 отстрел-х снарядов</w:t>
            </w:r>
          </w:p>
          <w:p w14:paraId="64B846C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0C7F20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Режим ведения огня</w:t>
            </w:r>
          </w:p>
          <w:p w14:paraId="03FC4B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00F174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 воздействия стрельбы на планер машины</w:t>
            </w:r>
          </w:p>
          <w:p w14:paraId="4A1089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19544AF" w14:textId="77777777" w:rsidTr="00E543D0">
        <w:trPr>
          <w:trHeight w:val="598"/>
        </w:trPr>
        <w:tc>
          <w:tcPr>
            <w:tcW w:w="1231" w:type="dxa"/>
            <w:tcBorders>
              <w:top w:val="single" w:sz="6" w:space="0" w:color="auto"/>
              <w:left w:val="single" w:sz="6" w:space="0" w:color="auto"/>
              <w:bottom w:val="single" w:sz="6" w:space="0" w:color="auto"/>
              <w:right w:val="single" w:sz="6" w:space="0" w:color="auto"/>
            </w:tcBorders>
          </w:tcPr>
          <w:p w14:paraId="62DCC4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Горизонтальный</w:t>
            </w:r>
          </w:p>
          <w:p w14:paraId="4A617E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193638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500FE3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C9A24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p w14:paraId="10648E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7CB54D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Одиночная стрельба</w:t>
            </w:r>
          </w:p>
          <w:p w14:paraId="5275077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6EACEB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левой нижней плоскости в месте усч ановки РО ослабла обшивка</w:t>
            </w:r>
          </w:p>
          <w:p w14:paraId="7AC7E47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4C13C174" w14:textId="77777777" w:rsidTr="00E543D0">
        <w:trPr>
          <w:trHeight w:val="598"/>
        </w:trPr>
        <w:tc>
          <w:tcPr>
            <w:tcW w:w="1231" w:type="dxa"/>
            <w:tcBorders>
              <w:top w:val="single" w:sz="6" w:space="0" w:color="auto"/>
              <w:left w:val="single" w:sz="6" w:space="0" w:color="auto"/>
              <w:bottom w:val="single" w:sz="6" w:space="0" w:color="auto"/>
              <w:right w:val="single" w:sz="6" w:space="0" w:color="auto"/>
            </w:tcBorders>
          </w:tcPr>
          <w:p w14:paraId="3678CD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Горизонтальный</w:t>
            </w:r>
          </w:p>
        </w:tc>
        <w:tc>
          <w:tcPr>
            <w:tcW w:w="713" w:type="dxa"/>
            <w:tcBorders>
              <w:top w:val="single" w:sz="6" w:space="0" w:color="auto"/>
              <w:left w:val="single" w:sz="6" w:space="0" w:color="auto"/>
              <w:bottom w:val="single" w:sz="6" w:space="0" w:color="auto"/>
              <w:right w:val="single" w:sz="6" w:space="0" w:color="auto"/>
            </w:tcBorders>
          </w:tcPr>
          <w:p w14:paraId="536175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5CDFD0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1159C0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p w14:paraId="3B2AB2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700647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по 2 снаряда</w:t>
            </w:r>
          </w:p>
          <w:p w14:paraId="3BDFAD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0F0995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правой нижней плоскости ослабли шурупы крепления дюрали обшивки к лонжеронам, обгорела краска на передней кромке крыла</w:t>
            </w:r>
          </w:p>
          <w:p w14:paraId="7DB2B6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4EE620D4" w14:textId="77777777" w:rsidTr="00E543D0">
        <w:trPr>
          <w:trHeight w:val="799"/>
        </w:trPr>
        <w:tc>
          <w:tcPr>
            <w:tcW w:w="1231" w:type="dxa"/>
            <w:tcBorders>
              <w:top w:val="nil"/>
              <w:left w:val="single" w:sz="6" w:space="0" w:color="auto"/>
              <w:bottom w:val="single" w:sz="6" w:space="0" w:color="auto"/>
              <w:right w:val="single" w:sz="6" w:space="0" w:color="auto"/>
            </w:tcBorders>
          </w:tcPr>
          <w:p w14:paraId="2CF170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Горизонтальный</w:t>
            </w:r>
          </w:p>
          <w:p w14:paraId="4564BF0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45011F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57198E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A8E0E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p w14:paraId="06C628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7B0ED8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по 8 снаряда и залп из 4 снарядов</w:t>
            </w:r>
          </w:p>
          <w:p w14:paraId="038DFB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78EEFC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Дальнейшего разрушения и деформации плоскостей и фюзеляжа нет</w:t>
            </w:r>
          </w:p>
          <w:p w14:paraId="0346D1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B837BE5" w14:textId="77777777" w:rsidTr="00E543D0">
        <w:trPr>
          <w:trHeight w:val="950"/>
        </w:trPr>
        <w:tc>
          <w:tcPr>
            <w:tcW w:w="1231" w:type="dxa"/>
            <w:tcBorders>
              <w:top w:val="single" w:sz="6" w:space="0" w:color="auto"/>
              <w:left w:val="single" w:sz="6" w:space="0" w:color="auto"/>
              <w:bottom w:val="single" w:sz="6" w:space="0" w:color="auto"/>
              <w:right w:val="single" w:sz="6" w:space="0" w:color="auto"/>
            </w:tcBorders>
          </w:tcPr>
          <w:p w14:paraId="6D8636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(30°)</w:t>
            </w:r>
          </w:p>
          <w:p w14:paraId="50D5EF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3A4CA8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29F8E2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4C197C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p w14:paraId="08CCAB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2EEE85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по 4 снаряда</w:t>
            </w:r>
          </w:p>
          <w:p w14:paraId="0F9151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54FB6D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правой нижней плоскости распахнуло нижний лючок, возросла деформация обшивки и ослабло 5 шурупов</w:t>
            </w:r>
          </w:p>
          <w:p w14:paraId="4C992D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C09F8C7" w14:textId="77777777" w:rsidTr="00E543D0">
        <w:trPr>
          <w:trHeight w:val="583"/>
        </w:trPr>
        <w:tc>
          <w:tcPr>
            <w:tcW w:w="1231" w:type="dxa"/>
            <w:tcBorders>
              <w:top w:val="single" w:sz="6" w:space="0" w:color="auto"/>
              <w:left w:val="single" w:sz="6" w:space="0" w:color="auto"/>
              <w:bottom w:val="single" w:sz="6" w:space="0" w:color="auto"/>
              <w:right w:val="single" w:sz="6" w:space="0" w:color="auto"/>
            </w:tcBorders>
          </w:tcPr>
          <w:p w14:paraId="6E34CCC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(60°)</w:t>
            </w:r>
          </w:p>
          <w:p w14:paraId="7AA06D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77946E9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146329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B47E8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p w14:paraId="50B905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652589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по 4 снаряда</w:t>
            </w:r>
          </w:p>
          <w:p w14:paraId="6C0B63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0BE79B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Значительно обгорела краска па обеих плоскостях, лючок отогнут</w:t>
            </w:r>
          </w:p>
          <w:p w14:paraId="4F4BDA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5A14450D" w14:textId="77777777" w:rsidTr="00E543D0">
        <w:trPr>
          <w:trHeight w:val="778"/>
        </w:trPr>
        <w:tc>
          <w:tcPr>
            <w:tcW w:w="1231" w:type="dxa"/>
            <w:tcBorders>
              <w:top w:val="single" w:sz="6" w:space="0" w:color="auto"/>
              <w:left w:val="single" w:sz="6" w:space="0" w:color="auto"/>
              <w:bottom w:val="single" w:sz="6" w:space="0" w:color="auto"/>
              <w:right w:val="single" w:sz="6" w:space="0" w:color="auto"/>
            </w:tcBorders>
          </w:tcPr>
          <w:p w14:paraId="1599BE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(60°)</w:t>
            </w:r>
          </w:p>
          <w:p w14:paraId="462BA7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13D335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28C6D0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6E472C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p w14:paraId="3B7FA3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2AB3C3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Залп из 8 снарядов</w:t>
            </w:r>
          </w:p>
          <w:p w14:paraId="4D722B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300668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Оторвана обшивка нижнего крыла, ослабла верхняя обшивка левой плоскости, самолет вышел из строя</w:t>
            </w:r>
          </w:p>
          <w:p w14:paraId="00F535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bl>
    <w:p w14:paraId="56A9F3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(11402).</w:t>
      </w:r>
    </w:p>
    <w:p w14:paraId="510133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62C4C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г. Научно-техническим журналом №0111 по 1 отделу 3-го управления ГУАС КА и 7 отдела УА ВМФ, составленном началь</w:t>
      </w:r>
      <w:r w:rsidRPr="00DB5D0D">
        <w:rPr>
          <w:rFonts w:ascii="Times New Roman" w:hAnsi="Times New Roman"/>
          <w:color w:val="000000" w:themeColor="text1"/>
          <w:sz w:val="16"/>
          <w:szCs w:val="16"/>
        </w:rPr>
        <w:softHyphen/>
        <w:t>ником 1 отдела 3-го управления ГУАС КА бригадным инженером Пономаревым, временным начальником 7 отдела УА ВМФ военинженером 1 ранга Кудровым и начальником 4 отделения 1 отдела 3-го управления ГУАС КА военинженером 1 ранга Л.П.Лобачевым. а также утвержден</w:t>
      </w:r>
      <w:r w:rsidRPr="00DB5D0D">
        <w:rPr>
          <w:rFonts w:ascii="Times New Roman" w:hAnsi="Times New Roman"/>
          <w:color w:val="000000" w:themeColor="text1"/>
          <w:sz w:val="16"/>
          <w:szCs w:val="16"/>
        </w:rPr>
        <w:softHyphen/>
        <w:t>ным начальником 8 управления ГУ ВВС КА военинженером 1 ранга Никоновым и заместителем начальника УА ВМФ СССР генерал-майором авиации Коробковым, новому варианту БЕТАБ-750ДС присвоили номер модели 3-0756 и индекс ВВС 7-БТ-313 (11402).</w:t>
      </w:r>
    </w:p>
    <w:p w14:paraId="5C7E05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99E9B9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04C4AFC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89916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г. ВРИД начальника ВВС КА гене</w:t>
      </w:r>
      <w:r w:rsidRPr="00DB5D0D">
        <w:rPr>
          <w:rFonts w:ascii="Times New Roman" w:hAnsi="Times New Roman"/>
          <w:color w:val="000000" w:themeColor="text1"/>
          <w:sz w:val="16"/>
          <w:szCs w:val="16"/>
        </w:rPr>
        <w:softHyphen/>
        <w:t>рал-лейтенантом Рычагов подписал план перевооружения ВВС на 1940 год, в котором заранее предусматрива</w:t>
      </w:r>
      <w:r w:rsidRPr="00DB5D0D">
        <w:rPr>
          <w:rFonts w:ascii="Times New Roman" w:hAnsi="Times New Roman"/>
          <w:color w:val="000000" w:themeColor="text1"/>
          <w:sz w:val="16"/>
          <w:szCs w:val="16"/>
        </w:rPr>
        <w:softHyphen/>
        <w:t>лось формирование штурмовых авиаполков (ШАП) на И-153, в числе первых - 5-го ШАП в составе Прибалтий</w:t>
      </w:r>
      <w:r w:rsidRPr="00DB5D0D">
        <w:rPr>
          <w:rFonts w:ascii="Times New Roman" w:hAnsi="Times New Roman"/>
          <w:color w:val="000000" w:themeColor="text1"/>
          <w:sz w:val="16"/>
          <w:szCs w:val="16"/>
        </w:rPr>
        <w:softHyphen/>
        <w:t>ского военного округа и 7-го ШАП в составе Киевского особого военного округа (10667).</w:t>
      </w:r>
    </w:p>
    <w:p w14:paraId="73F499D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BF5A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г. последовало распоряжение Генштаба РККА (шифротелеграмма №10/27 с категорией срочности "молния") для командующих ВВС округов и Дальневосточного фронта (ДВФ). требующее снять все ракетное вооружение с самолетов. Далее его следовало сдать на склады, а технические инструкции и описания РО и PC летчикам и офицерскому составу не выдавать до особого распоряжения (12015).</w:t>
      </w:r>
    </w:p>
    <w:p w14:paraId="0D0A2D4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77E458" w14:textId="77777777" w:rsidR="00C321CB" w:rsidRPr="00DB5D0D" w:rsidRDefault="00C321CB"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9 августа 1940 г. Генштаб РККА направил командующим ВВС округов и Дальневосточного фронта срочную шифротелеграм- му № 10/27, в которой потребовал снять ракетное вооружение с самолетов и сдать на склады, а соответствующие технические инструкции и описания личному составу не выдавать до особого распоряжения. Однако производство самих реактивных снарядов и установок для их использования (орудий РО) продолжалось. Согласно докладу Главного управления ВВС начальнику ВВС П.Ф. Жигареву от 14 апреля 1941 г. в 1939 г. было выпущено 28 экземпляров И-16 с таким вооружением, в 1940 г. — 275 машин и в 1941 г. — еще 38. В дальнейшем, в связи с прекращением производства «ишачков», это количество практически не изменилось (19109).</w:t>
      </w:r>
    </w:p>
    <w:p w14:paraId="447FDEDB" w14:textId="77777777" w:rsidR="00C321CB" w:rsidRPr="00DB5D0D" w:rsidRDefault="00C321CB" w:rsidP="00DB5D0D">
      <w:pPr>
        <w:pStyle w:val="a8"/>
        <w:jc w:val="both"/>
        <w:rPr>
          <w:rFonts w:ascii="Times New Roman" w:hAnsi="Times New Roman" w:cs="Times New Roman"/>
          <w:color w:val="000000" w:themeColor="text1"/>
        </w:rPr>
      </w:pPr>
    </w:p>
    <w:p w14:paraId="78955E0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54651E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3F357B8" w14:textId="77777777" w:rsidR="00A62789" w:rsidRPr="00DB5D0D" w:rsidRDefault="00A627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августа 1940 Министерство Авиации обратилось со специальным запросом к Муссолини, в котором говорилось: «Прежде чем принять решение по этому вопросу (лот на истребители Fiat CR.42 «Falco» для несрочной поставки), мы передаем этот вопрос Вам, Дуче, чтобы узнать, можем ли мы с политической точки зрения заключать коммерческие соглашения с русской делегацией». Дуче надписал резолюцию: «Одобряю».</w:t>
      </w:r>
    </w:p>
    <w:p w14:paraId="597914CB" w14:textId="77777777" w:rsidR="00A62789" w:rsidRPr="00DB5D0D" w:rsidRDefault="00A627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Советской делегации разрешили посетить завод «Изотта-Фраскини», но не «Капрони», однако позволили присутствовать на испытаниях двигателей в закрытых помещениях и самолета Ca.313 на летном поле. На летном же поле русские присутствовали при испытаниях самолета «Falco», однако разрешение на его поставку СССР не было получено. (21410).</w:t>
      </w:r>
    </w:p>
    <w:p w14:paraId="151F9FC4" w14:textId="77777777" w:rsidR="00A62789" w:rsidRPr="00DB5D0D" w:rsidRDefault="00A62789" w:rsidP="00DB5D0D">
      <w:pPr>
        <w:spacing w:after="0" w:line="240" w:lineRule="auto"/>
        <w:jc w:val="both"/>
        <w:rPr>
          <w:rFonts w:ascii="Times New Roman" w:hAnsi="Times New Roman"/>
          <w:color w:val="0070C0"/>
          <w:sz w:val="16"/>
          <w:szCs w:val="16"/>
        </w:rPr>
      </w:pPr>
    </w:p>
    <w:p w14:paraId="45BFAB8F"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августа в 1940 году состоялся первый полет вертолета Сикорского </w:t>
      </w:r>
      <w:hyperlink r:id="rId283" w:tgtFrame="_blank" w:history="1">
        <w:r w:rsidRPr="00DB5D0D">
          <w:rPr>
            <w:rFonts w:ascii="Times New Roman" w:hAnsi="Times New Roman"/>
            <w:color w:val="000000" w:themeColor="text1"/>
            <w:sz w:val="16"/>
            <w:szCs w:val="16"/>
          </w:rPr>
          <w:t xml:space="preserve">«VS-300» </w:t>
        </w:r>
      </w:hyperlink>
      <w:r w:rsidRPr="00DB5D0D">
        <w:rPr>
          <w:rFonts w:ascii="Times New Roman" w:hAnsi="Times New Roman"/>
          <w:color w:val="000000" w:themeColor="text1"/>
          <w:sz w:val="16"/>
          <w:szCs w:val="16"/>
        </w:rPr>
        <w:t>на расстояние 250 м. В июле 1940-го "Лайкоминг" мощностью 65 л.с. заменили на "Франклин" в 90 л.с. Вертолет, как и прежде, осуществлял уверенные полеты вбок и назад, но при полете вперед по-прежнему оставался необузданным, как выразился Сикорский. Вскоре выяснилась причина этого недостатка. Из-за попадания рулевых винтов в индуктивный поток от несущего винта при полете со скоростью 30–40 км/ч машина становилась неустойчивой и почти неуправляемой. Характеристики машины при полете вперед улучшили, подняв рулевые винты и вынеся их из зоны влияния несущего винта. Теперь аппарат мог развивать большую скорость (14978).</w:t>
      </w:r>
    </w:p>
    <w:p w14:paraId="652554BB"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64306438" w14:textId="77777777" w:rsidR="002B5FF3" w:rsidRPr="00DB5D0D" w:rsidRDefault="002B5FF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в 1940 году ОКВ (начальник оперативного отдела Йодль и его заместитель, генерал Варлимонт) разрабатывает один из вариантов плана нападения на СССР — так называемый «Этюд Лоссберга» (14978).</w:t>
      </w:r>
    </w:p>
    <w:p w14:paraId="2F81B3D4" w14:textId="77777777" w:rsidR="002B5FF3" w:rsidRPr="00DB5D0D" w:rsidRDefault="002B5FF3" w:rsidP="00DB5D0D">
      <w:pPr>
        <w:spacing w:after="0" w:line="240" w:lineRule="auto"/>
        <w:jc w:val="both"/>
        <w:rPr>
          <w:rFonts w:ascii="Times New Roman" w:hAnsi="Times New Roman"/>
          <w:color w:val="000000" w:themeColor="text1"/>
          <w:sz w:val="16"/>
          <w:szCs w:val="16"/>
        </w:rPr>
      </w:pPr>
    </w:p>
    <w:p w14:paraId="1DDC8C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вышла директива германского командования о подготовке театра военных действий для нападения на СССР (директива Ауфбау Ост) (3186).</w:t>
      </w:r>
    </w:p>
    <w:p w14:paraId="310DBFA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7F798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августа 1940 завершено строительство железной дороги Берлин-Багдад (4962).</w:t>
      </w:r>
    </w:p>
    <w:p w14:paraId="70674CB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5F8278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C10844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0AED6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Зам. нач. 1 отд. 7 ГУ Алексеев писал письмо N 2684 Сравнительную таблицу самолетов ДБ-240, СБ-2М-105, ДБ-3 и ДБ-3Ф (1207):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134"/>
        <w:gridCol w:w="1134"/>
        <w:gridCol w:w="1134"/>
        <w:gridCol w:w="4820"/>
      </w:tblGrid>
      <w:tr w:rsidR="007D5DF8" w:rsidRPr="00DB5D0D" w14:paraId="2459C799" w14:textId="77777777" w:rsidTr="00E543D0">
        <w:tc>
          <w:tcPr>
            <w:tcW w:w="2376" w:type="dxa"/>
            <w:tcBorders>
              <w:top w:val="single" w:sz="12" w:space="0" w:color="auto"/>
            </w:tcBorders>
          </w:tcPr>
          <w:p w14:paraId="4E6BD11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34" w:type="dxa"/>
            <w:tcBorders>
              <w:top w:val="single" w:sz="12" w:space="0" w:color="auto"/>
            </w:tcBorders>
          </w:tcPr>
          <w:p w14:paraId="19418F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СБ-2М-105</w:t>
            </w:r>
          </w:p>
        </w:tc>
        <w:tc>
          <w:tcPr>
            <w:tcW w:w="1134" w:type="dxa"/>
            <w:tcBorders>
              <w:top w:val="single" w:sz="12" w:space="0" w:color="auto"/>
            </w:tcBorders>
          </w:tcPr>
          <w:p w14:paraId="0322DB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w:t>
            </w:r>
          </w:p>
        </w:tc>
        <w:tc>
          <w:tcPr>
            <w:tcW w:w="1134" w:type="dxa"/>
            <w:tcBorders>
              <w:top w:val="single" w:sz="12" w:space="0" w:color="auto"/>
            </w:tcBorders>
          </w:tcPr>
          <w:p w14:paraId="6B536F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w:t>
            </w:r>
          </w:p>
        </w:tc>
        <w:tc>
          <w:tcPr>
            <w:tcW w:w="4820" w:type="dxa"/>
            <w:tcBorders>
              <w:top w:val="single" w:sz="12" w:space="0" w:color="auto"/>
            </w:tcBorders>
          </w:tcPr>
          <w:p w14:paraId="7AF1AB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 (1207)</w:t>
            </w:r>
          </w:p>
        </w:tc>
      </w:tr>
      <w:tr w:rsidR="007D5DF8" w:rsidRPr="00DB5D0D" w14:paraId="128F70A0" w14:textId="77777777" w:rsidTr="00E543D0">
        <w:tc>
          <w:tcPr>
            <w:tcW w:w="2376" w:type="dxa"/>
          </w:tcPr>
          <w:p w14:paraId="234AFB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w:t>
            </w:r>
          </w:p>
        </w:tc>
        <w:tc>
          <w:tcPr>
            <w:tcW w:w="1134" w:type="dxa"/>
          </w:tcPr>
          <w:p w14:paraId="0E9EF2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2М-105</w:t>
            </w:r>
          </w:p>
        </w:tc>
        <w:tc>
          <w:tcPr>
            <w:tcW w:w="1134" w:type="dxa"/>
          </w:tcPr>
          <w:p w14:paraId="02C92D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2М-105</w:t>
            </w:r>
          </w:p>
        </w:tc>
        <w:tc>
          <w:tcPr>
            <w:tcW w:w="1134" w:type="dxa"/>
          </w:tcPr>
          <w:p w14:paraId="7AD519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2М-87А</w:t>
            </w:r>
          </w:p>
        </w:tc>
        <w:tc>
          <w:tcPr>
            <w:tcW w:w="4820" w:type="dxa"/>
          </w:tcPr>
          <w:p w14:paraId="5C465D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2М-88</w:t>
            </w:r>
          </w:p>
        </w:tc>
      </w:tr>
      <w:tr w:rsidR="007D5DF8" w:rsidRPr="00DB5D0D" w14:paraId="6AAE7D4B" w14:textId="77777777" w:rsidTr="00E543D0">
        <w:tc>
          <w:tcPr>
            <w:tcW w:w="2376" w:type="dxa"/>
          </w:tcPr>
          <w:p w14:paraId="23E05D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у земли</w:t>
            </w:r>
          </w:p>
        </w:tc>
        <w:tc>
          <w:tcPr>
            <w:tcW w:w="1134" w:type="dxa"/>
          </w:tcPr>
          <w:p w14:paraId="717C4E3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34" w:type="dxa"/>
          </w:tcPr>
          <w:p w14:paraId="48D1FA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34" w:type="dxa"/>
          </w:tcPr>
          <w:p w14:paraId="3A82503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820" w:type="dxa"/>
          </w:tcPr>
          <w:p w14:paraId="344C358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7ADDC8F" w14:textId="77777777" w:rsidTr="00E543D0">
        <w:tc>
          <w:tcPr>
            <w:tcW w:w="2376" w:type="dxa"/>
          </w:tcPr>
          <w:p w14:paraId="43098C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(км/час)</w:t>
            </w:r>
          </w:p>
        </w:tc>
        <w:tc>
          <w:tcPr>
            <w:tcW w:w="1134" w:type="dxa"/>
          </w:tcPr>
          <w:p w14:paraId="606967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411</w:t>
            </w:r>
          </w:p>
        </w:tc>
        <w:tc>
          <w:tcPr>
            <w:tcW w:w="1134" w:type="dxa"/>
          </w:tcPr>
          <w:p w14:paraId="46C043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385</w:t>
            </w:r>
          </w:p>
        </w:tc>
        <w:tc>
          <w:tcPr>
            <w:tcW w:w="1134" w:type="dxa"/>
          </w:tcPr>
          <w:p w14:paraId="58F0DE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345</w:t>
            </w:r>
          </w:p>
        </w:tc>
        <w:tc>
          <w:tcPr>
            <w:tcW w:w="4820" w:type="dxa"/>
          </w:tcPr>
          <w:p w14:paraId="2B8CE8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360</w:t>
            </w:r>
          </w:p>
        </w:tc>
      </w:tr>
      <w:tr w:rsidR="007D5DF8" w:rsidRPr="00DB5D0D" w14:paraId="6DEB8725" w14:textId="77777777" w:rsidTr="00E543D0">
        <w:tc>
          <w:tcPr>
            <w:tcW w:w="2376" w:type="dxa"/>
          </w:tcPr>
          <w:p w14:paraId="43F344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гр.</w:t>
            </w:r>
          </w:p>
        </w:tc>
        <w:tc>
          <w:tcPr>
            <w:tcW w:w="1134" w:type="dxa"/>
          </w:tcPr>
          <w:p w14:paraId="6697A13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34" w:type="dxa"/>
          </w:tcPr>
          <w:p w14:paraId="6210961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34" w:type="dxa"/>
          </w:tcPr>
          <w:p w14:paraId="315AEB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820" w:type="dxa"/>
          </w:tcPr>
          <w:p w14:paraId="081377E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1FE9381" w14:textId="77777777" w:rsidTr="00E543D0">
        <w:tc>
          <w:tcPr>
            <w:tcW w:w="2376" w:type="dxa"/>
          </w:tcPr>
          <w:p w14:paraId="7FAC99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Высотности (км/час)</w:t>
            </w:r>
          </w:p>
        </w:tc>
        <w:tc>
          <w:tcPr>
            <w:tcW w:w="1134" w:type="dxa"/>
          </w:tcPr>
          <w:p w14:paraId="1B8664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480/4.7</w:t>
            </w:r>
          </w:p>
        </w:tc>
        <w:tc>
          <w:tcPr>
            <w:tcW w:w="1134" w:type="dxa"/>
          </w:tcPr>
          <w:p w14:paraId="0DD6F3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450/4.7</w:t>
            </w:r>
          </w:p>
        </w:tc>
        <w:tc>
          <w:tcPr>
            <w:tcW w:w="1134" w:type="dxa"/>
          </w:tcPr>
          <w:p w14:paraId="0A468C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437/4.7</w:t>
            </w:r>
          </w:p>
        </w:tc>
        <w:tc>
          <w:tcPr>
            <w:tcW w:w="4820" w:type="dxa"/>
          </w:tcPr>
          <w:p w14:paraId="4F7D38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445/6.75</w:t>
            </w:r>
          </w:p>
        </w:tc>
      </w:tr>
      <w:tr w:rsidR="007D5DF8" w:rsidRPr="00DB5D0D" w14:paraId="7AAB5FB5" w14:textId="77777777" w:rsidTr="00E543D0">
        <w:tc>
          <w:tcPr>
            <w:tcW w:w="2376" w:type="dxa"/>
          </w:tcPr>
          <w:p w14:paraId="6E6D6B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 набора высоты (мин.)</w:t>
            </w:r>
          </w:p>
        </w:tc>
        <w:tc>
          <w:tcPr>
            <w:tcW w:w="1134" w:type="dxa"/>
          </w:tcPr>
          <w:p w14:paraId="76BFB5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8.55/5</w:t>
            </w:r>
          </w:p>
        </w:tc>
        <w:tc>
          <w:tcPr>
            <w:tcW w:w="1134" w:type="dxa"/>
          </w:tcPr>
          <w:p w14:paraId="338FB1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17.5/4.7</w:t>
            </w:r>
          </w:p>
        </w:tc>
        <w:tc>
          <w:tcPr>
            <w:tcW w:w="1134" w:type="dxa"/>
          </w:tcPr>
          <w:p w14:paraId="2A86D5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13.6/5</w:t>
            </w:r>
          </w:p>
        </w:tc>
        <w:tc>
          <w:tcPr>
            <w:tcW w:w="4820" w:type="dxa"/>
          </w:tcPr>
          <w:p w14:paraId="11BC2A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52AEA2D" w14:textId="77777777" w:rsidTr="00E543D0">
        <w:tc>
          <w:tcPr>
            <w:tcW w:w="2376" w:type="dxa"/>
          </w:tcPr>
          <w:p w14:paraId="1B838E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 потолок</w:t>
            </w:r>
          </w:p>
        </w:tc>
        <w:tc>
          <w:tcPr>
            <w:tcW w:w="1134" w:type="dxa"/>
          </w:tcPr>
          <w:p w14:paraId="210465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10100</w:t>
            </w:r>
          </w:p>
        </w:tc>
        <w:tc>
          <w:tcPr>
            <w:tcW w:w="1134" w:type="dxa"/>
          </w:tcPr>
          <w:p w14:paraId="40BF47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6900</w:t>
            </w:r>
          </w:p>
        </w:tc>
        <w:tc>
          <w:tcPr>
            <w:tcW w:w="1134" w:type="dxa"/>
          </w:tcPr>
          <w:p w14:paraId="0534EB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4820" w:type="dxa"/>
          </w:tcPr>
          <w:p w14:paraId="5A38EE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r>
      <w:tr w:rsidR="007D5DF8" w:rsidRPr="00DB5D0D" w14:paraId="22376AC9" w14:textId="77777777" w:rsidTr="00E543D0">
        <w:tc>
          <w:tcPr>
            <w:tcW w:w="2376" w:type="dxa"/>
          </w:tcPr>
          <w:p w14:paraId="6A6698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(км)</w:t>
            </w:r>
          </w:p>
        </w:tc>
        <w:tc>
          <w:tcPr>
            <w:tcW w:w="1134" w:type="dxa"/>
          </w:tcPr>
          <w:p w14:paraId="7CEE185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34" w:type="dxa"/>
          </w:tcPr>
          <w:p w14:paraId="5528B54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34" w:type="dxa"/>
          </w:tcPr>
          <w:p w14:paraId="15BFE97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4820" w:type="dxa"/>
          </w:tcPr>
          <w:p w14:paraId="7E6C77A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040BE44" w14:textId="77777777" w:rsidTr="00E543D0">
        <w:tc>
          <w:tcPr>
            <w:tcW w:w="2376" w:type="dxa"/>
          </w:tcPr>
          <w:p w14:paraId="430853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норм/перегрузка</w:t>
            </w:r>
          </w:p>
        </w:tc>
        <w:tc>
          <w:tcPr>
            <w:tcW w:w="1134" w:type="dxa"/>
          </w:tcPr>
          <w:p w14:paraId="316AA0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1134" w:type="dxa"/>
          </w:tcPr>
          <w:p w14:paraId="628E35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2600/</w:t>
            </w:r>
          </w:p>
        </w:tc>
        <w:tc>
          <w:tcPr>
            <w:tcW w:w="1134" w:type="dxa"/>
          </w:tcPr>
          <w:p w14:paraId="04A976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4820" w:type="dxa"/>
          </w:tcPr>
          <w:p w14:paraId="74313E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r>
      <w:tr w:rsidR="007D5DF8" w:rsidRPr="00DB5D0D" w14:paraId="21FEEF67" w14:textId="77777777" w:rsidTr="00E543D0">
        <w:tc>
          <w:tcPr>
            <w:tcW w:w="2376" w:type="dxa"/>
          </w:tcPr>
          <w:p w14:paraId="6ECFF5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34" w:type="dxa"/>
          </w:tcPr>
          <w:p w14:paraId="3B1824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134" w:type="dxa"/>
          </w:tcPr>
          <w:p w14:paraId="2831E8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1134" w:type="dxa"/>
          </w:tcPr>
          <w:p w14:paraId="1DA15D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3400</w:t>
            </w:r>
          </w:p>
        </w:tc>
        <w:tc>
          <w:tcPr>
            <w:tcW w:w="4820" w:type="dxa"/>
          </w:tcPr>
          <w:p w14:paraId="529B11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3400</w:t>
            </w:r>
          </w:p>
        </w:tc>
      </w:tr>
      <w:tr w:rsidR="007D5DF8" w:rsidRPr="00DB5D0D" w14:paraId="79FE5C71" w14:textId="77777777" w:rsidTr="00E543D0">
        <w:tc>
          <w:tcPr>
            <w:tcW w:w="2376" w:type="dxa"/>
          </w:tcPr>
          <w:p w14:paraId="4C330D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(кг)</w:t>
            </w:r>
          </w:p>
        </w:tc>
        <w:tc>
          <w:tcPr>
            <w:tcW w:w="1134" w:type="dxa"/>
          </w:tcPr>
          <w:p w14:paraId="5D9C7A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6305</w:t>
            </w:r>
          </w:p>
        </w:tc>
        <w:tc>
          <w:tcPr>
            <w:tcW w:w="1134" w:type="dxa"/>
          </w:tcPr>
          <w:p w14:paraId="572764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11300</w:t>
            </w:r>
          </w:p>
        </w:tc>
        <w:tc>
          <w:tcPr>
            <w:tcW w:w="1134" w:type="dxa"/>
          </w:tcPr>
          <w:p w14:paraId="1D38F1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7600/9860</w:t>
            </w:r>
          </w:p>
        </w:tc>
        <w:tc>
          <w:tcPr>
            <w:tcW w:w="4820" w:type="dxa"/>
          </w:tcPr>
          <w:p w14:paraId="2C880A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7900/10250</w:t>
            </w:r>
          </w:p>
        </w:tc>
      </w:tr>
      <w:tr w:rsidR="007D5DF8" w:rsidRPr="00DB5D0D" w14:paraId="7B144412" w14:textId="77777777" w:rsidTr="00E543D0">
        <w:tc>
          <w:tcPr>
            <w:tcW w:w="2376" w:type="dxa"/>
          </w:tcPr>
          <w:p w14:paraId="2E2D4C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 нагрузка (кг)</w:t>
            </w:r>
          </w:p>
        </w:tc>
        <w:tc>
          <w:tcPr>
            <w:tcW w:w="1134" w:type="dxa"/>
          </w:tcPr>
          <w:p w14:paraId="1AD977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600/1500</w:t>
            </w:r>
          </w:p>
        </w:tc>
        <w:tc>
          <w:tcPr>
            <w:tcW w:w="1134" w:type="dxa"/>
          </w:tcPr>
          <w:p w14:paraId="23DC29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1000/4000</w:t>
            </w:r>
          </w:p>
        </w:tc>
        <w:tc>
          <w:tcPr>
            <w:tcW w:w="1134" w:type="dxa"/>
          </w:tcPr>
          <w:p w14:paraId="502E2D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1000/2500</w:t>
            </w:r>
          </w:p>
        </w:tc>
        <w:tc>
          <w:tcPr>
            <w:tcW w:w="4820" w:type="dxa"/>
          </w:tcPr>
          <w:p w14:paraId="1698B2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1000/2500</w:t>
            </w:r>
          </w:p>
        </w:tc>
      </w:tr>
      <w:tr w:rsidR="007D5DF8" w:rsidRPr="00DB5D0D" w14:paraId="6121BAEE" w14:textId="77777777" w:rsidTr="00E543D0">
        <w:tc>
          <w:tcPr>
            <w:tcW w:w="2376" w:type="dxa"/>
          </w:tcPr>
          <w:p w14:paraId="538465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крыла (м)</w:t>
            </w:r>
          </w:p>
        </w:tc>
        <w:tc>
          <w:tcPr>
            <w:tcW w:w="1134" w:type="dxa"/>
          </w:tcPr>
          <w:p w14:paraId="1946BA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tc>
        <w:tc>
          <w:tcPr>
            <w:tcW w:w="1134" w:type="dxa"/>
          </w:tcPr>
          <w:p w14:paraId="495EF1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21.65</w:t>
            </w:r>
          </w:p>
        </w:tc>
        <w:tc>
          <w:tcPr>
            <w:tcW w:w="1134" w:type="dxa"/>
          </w:tcPr>
          <w:p w14:paraId="5A5A3B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21.4</w:t>
            </w:r>
          </w:p>
        </w:tc>
        <w:tc>
          <w:tcPr>
            <w:tcW w:w="4820" w:type="dxa"/>
          </w:tcPr>
          <w:p w14:paraId="529960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568A852" w14:textId="77777777" w:rsidTr="00E543D0">
        <w:tc>
          <w:tcPr>
            <w:tcW w:w="2376" w:type="dxa"/>
            <w:tcBorders>
              <w:bottom w:val="single" w:sz="12" w:space="0" w:color="auto"/>
            </w:tcBorders>
          </w:tcPr>
          <w:p w14:paraId="660D2F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(кв. м)</w:t>
            </w:r>
          </w:p>
        </w:tc>
        <w:tc>
          <w:tcPr>
            <w:tcW w:w="1134" w:type="dxa"/>
            <w:tcBorders>
              <w:bottom w:val="single" w:sz="12" w:space="0" w:color="auto"/>
            </w:tcBorders>
          </w:tcPr>
          <w:p w14:paraId="22D4CE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48.2</w:t>
            </w:r>
          </w:p>
        </w:tc>
        <w:tc>
          <w:tcPr>
            <w:tcW w:w="1134" w:type="dxa"/>
            <w:tcBorders>
              <w:bottom w:val="single" w:sz="12" w:space="0" w:color="auto"/>
            </w:tcBorders>
          </w:tcPr>
          <w:p w14:paraId="590FD2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72.1</w:t>
            </w:r>
          </w:p>
        </w:tc>
        <w:tc>
          <w:tcPr>
            <w:tcW w:w="1134" w:type="dxa"/>
            <w:tcBorders>
              <w:bottom w:val="single" w:sz="12" w:space="0" w:color="auto"/>
            </w:tcBorders>
          </w:tcPr>
          <w:p w14:paraId="4EFD86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65.6</w:t>
            </w:r>
          </w:p>
        </w:tc>
        <w:tc>
          <w:tcPr>
            <w:tcW w:w="4820" w:type="dxa"/>
            <w:tcBorders>
              <w:bottom w:val="single" w:sz="12" w:space="0" w:color="auto"/>
            </w:tcBorders>
          </w:tcPr>
          <w:p w14:paraId="6F12F5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66.7 (1207)</w:t>
            </w:r>
          </w:p>
        </w:tc>
      </w:tr>
    </w:tbl>
    <w:p w14:paraId="5B0E38F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AC3A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вышел совместный приказ N 0341 (1077,313)/416 НКВД и НКАП О мероприятиях по внедрению на заводах 22 и 39 НКАП самолета 100. Приказ вышел в исполнение постановления Правительства о внедрении в серию на заводах 22 и 39 НКАП самолета 100 в варианте пикирующего бомбардировщика и постройке на заводе 39 войсковой серии самолета 100 в варианте истребителя (высотного и средних высот) (279,1).</w:t>
      </w:r>
    </w:p>
    <w:p w14:paraId="293F4B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Вот текст приказа:</w:t>
      </w:r>
    </w:p>
    <w:p w14:paraId="7C4CA1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"Параграф 1.</w:t>
      </w:r>
    </w:p>
    <w:p w14:paraId="22E973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выполнения постановления Правительства о внедрении в серию на заводах 22 и 39 НКАП самолета "100" в варианте пикирующего бомбардировщика и постройке на заводе 39 войсковой серии самолета 100 в варианте истребителя (высотного и средних высот):</w:t>
      </w:r>
    </w:p>
    <w:p w14:paraId="710D1A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Организовать на заводе N 39 НКАП опытно-серийный конструкторский отдел, возложив на него следующие задачи:</w:t>
      </w:r>
    </w:p>
    <w:p w14:paraId="1EBD96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обеспечение внедрения в серию на заводе N 39 самолета "100-ПБ",</w:t>
      </w:r>
    </w:p>
    <w:p w14:paraId="6A3D16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техническую помощь и общее наблюдение по внедрению в серию самолета "100-ПБ" на заводе 22,</w:t>
      </w:r>
    </w:p>
    <w:p w14:paraId="44A124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проработку чертежей по самолету "100" в варианте высотного истребителя и наблюдение за постройкой группы машин этого типа на заводе N 39,</w:t>
      </w:r>
    </w:p>
    <w:p w14:paraId="75113E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проработку самолета "100" в варианте истребителя средних высот,</w:t>
      </w:r>
    </w:p>
    <w:p w14:paraId="318F28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работу по дальнейшей модификации и модернизации самолета "100-ПБ".</w:t>
      </w:r>
    </w:p>
    <w:p w14:paraId="5C1FCF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НАЗНАЧИТЬ:</w:t>
      </w:r>
    </w:p>
    <w:p w14:paraId="4B5E94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Начальником конструкторского отдела и гл. конструктором завода N 39 инженера ОТБ НКВД - В.М. ПЕТЛЯКОВА</w:t>
      </w:r>
    </w:p>
    <w:p w14:paraId="067C92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 С.В.И. то что?).</w:t>
      </w:r>
    </w:p>
    <w:p w14:paraId="740E92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Начальнику ОТБ НКВД тов. Кравченко прикомандировать на завод N 39 в состав конструкторского отдела группу инженеров ОТБ НКВД, согласно прилагаемого списка.</w:t>
      </w:r>
    </w:p>
    <w:p w14:paraId="6E112E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Директору завода N 156 тов. Ленкину прикомандировать на завод N 39 группу конструкторского персонала, согласно прилагаемого списка, сроком по 1 января 1941 г.</w:t>
      </w:r>
    </w:p>
    <w:p w14:paraId="24310F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Начальнику ОТБ НКВД тов. Кравченко и директору завода N 39 тов. Журавлеву на основе настоящего приказа разработать положение о конструкторском отделе завода N 39.</w:t>
      </w:r>
    </w:p>
    <w:p w14:paraId="093C0E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Параграф 2.</w:t>
      </w:r>
    </w:p>
    <w:p w14:paraId="600228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Представленную программу по испытанию и доводке самолета "100" и сроки по 1-му этапу - Утвердить.</w:t>
      </w:r>
    </w:p>
    <w:p w14:paraId="4DDBFD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Для летных испытаний самолета "100" - Назначить: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5A3B2A12" w14:textId="77777777" w:rsidTr="00E543D0">
        <w:tc>
          <w:tcPr>
            <w:tcW w:w="5749" w:type="dxa"/>
            <w:tcBorders>
              <w:top w:val="single" w:sz="12" w:space="0" w:color="auto"/>
            </w:tcBorders>
          </w:tcPr>
          <w:p w14:paraId="0B8B81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Ведущим летчиков - летчика а N 39</w:t>
            </w:r>
          </w:p>
        </w:tc>
        <w:tc>
          <w:tcPr>
            <w:tcW w:w="5749" w:type="dxa"/>
            <w:tcBorders>
              <w:top w:val="single" w:sz="12" w:space="0" w:color="auto"/>
            </w:tcBorders>
          </w:tcPr>
          <w:p w14:paraId="020378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Федорова Н.К.</w:t>
            </w:r>
          </w:p>
        </w:tc>
      </w:tr>
      <w:tr w:rsidR="007D5DF8" w:rsidRPr="00DB5D0D" w14:paraId="366CD87F" w14:textId="77777777" w:rsidTr="00E543D0">
        <w:tc>
          <w:tcPr>
            <w:tcW w:w="5749" w:type="dxa"/>
          </w:tcPr>
          <w:p w14:paraId="2AC9DE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Ведущим инженером по испытанию - инженера</w:t>
            </w:r>
          </w:p>
        </w:tc>
        <w:tc>
          <w:tcPr>
            <w:tcW w:w="5749" w:type="dxa"/>
          </w:tcPr>
          <w:p w14:paraId="1D71EBB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EA480B1" w14:textId="77777777" w:rsidTr="00E543D0">
        <w:tc>
          <w:tcPr>
            <w:tcW w:w="5749" w:type="dxa"/>
          </w:tcPr>
          <w:p w14:paraId="08BA54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ОТБ НКВД</w:t>
            </w:r>
          </w:p>
        </w:tc>
        <w:tc>
          <w:tcPr>
            <w:tcW w:w="5749" w:type="dxa"/>
          </w:tcPr>
          <w:p w14:paraId="6F3A67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Стоман Е.К.</w:t>
            </w:r>
          </w:p>
        </w:tc>
      </w:tr>
      <w:tr w:rsidR="007D5DF8" w:rsidRPr="00DB5D0D" w14:paraId="4CFEE0CA" w14:textId="77777777" w:rsidTr="00E543D0">
        <w:tc>
          <w:tcPr>
            <w:tcW w:w="5749" w:type="dxa"/>
            <w:tcBorders>
              <w:bottom w:val="single" w:sz="12" w:space="0" w:color="auto"/>
            </w:tcBorders>
          </w:tcPr>
          <w:p w14:paraId="77E9DD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Штурманом самолета - летнаба завода N 39</w:t>
            </w:r>
          </w:p>
        </w:tc>
        <w:tc>
          <w:tcPr>
            <w:tcW w:w="5749" w:type="dxa"/>
            <w:tcBorders>
              <w:bottom w:val="single" w:sz="12" w:space="0" w:color="auto"/>
            </w:tcBorders>
          </w:tcPr>
          <w:p w14:paraId="61EC9A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Виноградова А.П.</w:t>
            </w:r>
          </w:p>
        </w:tc>
      </w:tr>
    </w:tbl>
    <w:p w14:paraId="690275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обслуживания самолета "100" при летных испытаниях директору завода N 39 тов. Журавлеву выделить обслуживающий экипаж (279).</w:t>
      </w:r>
    </w:p>
    <w:p w14:paraId="1E64B01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C329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г. для доводки и внедрения в серию самолета «100» приказом НКВД/НКАП № 0341/416с было принято решение об организации на заводе № 39 Опытно-серийного Конструкторского отдела. Для этого из ОТБ НКВД завода № 156 сюда переведена группа конструкоров (42 чел.) во главе с В.М. Петляковьм. Планировалось (приказ № 612сс от 2.11.1940 г.) создать на заводе № 39 опытно-производственную базу для доводки ВБ-100 и ВИ-100, а коллектив Ильюшина перевести в другое место. Но затем по приказу № 112с от 5.02.1941 г. для скорейшего внедрения в серию Пе-2 ОКБ было переведено на завод № 22 с назначением Петлякова гл. конструктором завода и передачей ему опытной базы А.А. Архангельского.</w:t>
      </w:r>
    </w:p>
    <w:p w14:paraId="3524D5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КО/ гл. конструктор завода (08.194002.1941 г.)- В.М. Петляков.</w:t>
      </w:r>
    </w:p>
    <w:p w14:paraId="612194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бригады оборудования (1940-41 г.)- А. А. Енгибарян (11982).</w:t>
      </w:r>
    </w:p>
    <w:p w14:paraId="604FE1D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97F0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в Контрольном листе учета выполнения постановления КО СНК СССР № 116сс от 4 марта 1940 г. представителем КО СНК СССР - контролером Вахрушевым была сделана запись:</w:t>
      </w:r>
    </w:p>
    <w:p w14:paraId="270111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 М-105 Стронгина</w:t>
      </w:r>
    </w:p>
    <w:p w14:paraId="6EF613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закончен производством и в ближайшие дни (15-20 августа) поступит для окончания заводских испытаний (10395,44).</w:t>
      </w:r>
    </w:p>
    <w:p w14:paraId="7154220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AB24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в ходе заводских испытаний И-200 А.И.М, которые проходили с 31 марта по 17 августа 1940, на И-200-2 был выполнен полет на километраж (2988).</w:t>
      </w:r>
    </w:p>
    <w:p w14:paraId="17A2B7A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86D6E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в ходе заводских испытаний И-200 А.И.М, которые проходили с 31 марта по 17 августа 1940, на И-200-3 состоялся полет на проверку работы карбюратора на фигурах. Потом до 13 августа ремонтировали (2988).</w:t>
      </w:r>
    </w:p>
    <w:p w14:paraId="7943209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F477C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в Контрольном листе учета выполнения постановления КО СНК СССР № 103сс от 4 марта 1940 г. представителем КО СНК СССР - контролером Вахрушевым была сделана запись:</w:t>
      </w:r>
    </w:p>
    <w:p w14:paraId="1471EE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И-200</w:t>
      </w:r>
    </w:p>
    <w:p w14:paraId="71D00A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Представление на госиспытания задерживается из-за неудовлетворительной работы ВМГ. Сейчас ВМГ работает удовлетворительно.</w:t>
      </w:r>
    </w:p>
    <w:p w14:paraId="553E9D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Предлагается передать И-200 на госиспытания к 15-20 августа 1940 г. (10395,33).</w:t>
      </w:r>
    </w:p>
    <w:p w14:paraId="5E2E0FA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1B11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закончились заводские испытания И-200 АМ-37 1-го (2090,147).</w:t>
      </w:r>
    </w:p>
    <w:p w14:paraId="3175461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B0EDA7C" w14:textId="77777777" w:rsidR="00147062" w:rsidRPr="00DB5D0D" w:rsidRDefault="0014706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10 августа И-301 выполнил 79 полетов общей продолжи</w:t>
      </w:r>
      <w:r w:rsidRPr="00DB5D0D">
        <w:rPr>
          <w:rFonts w:ascii="Times New Roman" w:hAnsi="Times New Roman"/>
          <w:color w:val="000000" w:themeColor="text1"/>
          <w:sz w:val="16"/>
          <w:szCs w:val="16"/>
        </w:rPr>
        <w:softHyphen/>
        <w:t>тельностью свыше 32 ч. Однако в тот день произошла авария. А. Никашин, поддавшись на уговоры руководства завода ускорить испытания, взлетел на опытном ис</w:t>
      </w:r>
      <w:r w:rsidRPr="00DB5D0D">
        <w:rPr>
          <w:rFonts w:ascii="Times New Roman" w:hAnsi="Times New Roman"/>
          <w:color w:val="000000" w:themeColor="text1"/>
          <w:sz w:val="16"/>
          <w:szCs w:val="16"/>
        </w:rPr>
        <w:softHyphen/>
        <w:t>требителе уже ближе к вечеру, а при заходе на посадку против закатного солнца не смог точно определить вы</w:t>
      </w:r>
      <w:r w:rsidRPr="00DB5D0D">
        <w:rPr>
          <w:rFonts w:ascii="Times New Roman" w:hAnsi="Times New Roman"/>
          <w:color w:val="000000" w:themeColor="text1"/>
          <w:sz w:val="16"/>
          <w:szCs w:val="16"/>
        </w:rPr>
        <w:softHyphen/>
        <w:t>соту и произвел жесткое приземле</w:t>
      </w:r>
      <w:r w:rsidRPr="00DB5D0D">
        <w:rPr>
          <w:rFonts w:ascii="Times New Roman" w:hAnsi="Times New Roman"/>
          <w:color w:val="000000" w:themeColor="text1"/>
          <w:sz w:val="16"/>
          <w:szCs w:val="16"/>
        </w:rPr>
        <w:softHyphen/>
        <w:t>ние. Ремонт машины затянулся до 25 октября. Параллельно шла построй</w:t>
      </w:r>
      <w:r w:rsidRPr="00DB5D0D">
        <w:rPr>
          <w:rFonts w:ascii="Times New Roman" w:hAnsi="Times New Roman"/>
          <w:color w:val="000000" w:themeColor="text1"/>
          <w:sz w:val="16"/>
          <w:szCs w:val="16"/>
        </w:rPr>
        <w:softHyphen/>
        <w:t>ка второго прототипа (19106).</w:t>
      </w:r>
    </w:p>
    <w:p w14:paraId="03E0CA1A" w14:textId="77777777" w:rsidR="00147062" w:rsidRPr="00DB5D0D" w:rsidRDefault="00147062" w:rsidP="00DB5D0D">
      <w:pPr>
        <w:spacing w:after="0" w:line="240" w:lineRule="auto"/>
        <w:jc w:val="both"/>
        <w:rPr>
          <w:rFonts w:ascii="Times New Roman" w:hAnsi="Times New Roman"/>
          <w:color w:val="000000" w:themeColor="text1"/>
          <w:sz w:val="16"/>
          <w:szCs w:val="16"/>
        </w:rPr>
      </w:pPr>
    </w:p>
    <w:p w14:paraId="61B5EF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в Контрольном листе учета выполнения постановления КО СНК СССР № 106сс от 4 марта 1940 г. представителем КО СНК СССР - контролером Вахрушевым была сделана запись:</w:t>
      </w:r>
    </w:p>
    <w:p w14:paraId="1BA1D5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И-21 Пашинина</w:t>
      </w:r>
    </w:p>
    <w:p w14:paraId="2A9571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Закончен производством и поступил на заводские испытания. 2-й экз. Находится в агрегатной сборке. (10395,36).</w:t>
      </w:r>
    </w:p>
    <w:p w14:paraId="422E022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A1631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в Контрольном листе учета выполнения постановления КО СНК СССР № 102сс от 4 марта 1940 г. была сделана запись:</w:t>
      </w:r>
    </w:p>
    <w:p w14:paraId="406546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И-185</w:t>
      </w:r>
    </w:p>
    <w:p w14:paraId="0845B0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Три экземпляра И-185 закончены производством. До сих пор отсутствует мотор М-90. Т. Шахурин просит решение на 1-й экз. Поставить М-81и на 2-й и 3-й - М-90. Кроме указанных в решении 3-х экземпляров построено еще 2, на которых предполагается установить мотор М-71 (10395,28).</w:t>
      </w:r>
    </w:p>
    <w:p w14:paraId="749FDCE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3EADE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состоялось совещание постоянной комиссии НКАП по рассмотрению эскизных проектов самолетов (протокол 10):</w:t>
      </w:r>
    </w:p>
    <w:p w14:paraId="5471C6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Рассмотрели:</w:t>
      </w:r>
    </w:p>
    <w:p w14:paraId="2BE72A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учебный пикирующий 2-х моторный бомбардировщик УПБ-2МВ-6 Бакшаева - 47 завод. Моноплан с низкорасположенным крылом смешанной конструкции с металлическим центропланом и хвостовой частью фюзеляжа, а также убирающимися шасси. Решили, что новый самолет строить нецелесообразно и следует модифицировать УТ-3, совместив в нем качества Фокке-Вульф (1448,93).</w:t>
      </w:r>
    </w:p>
    <w:p w14:paraId="5E57953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C2230D5" w14:textId="77777777" w:rsidR="00A62789" w:rsidRPr="00DB5D0D" w:rsidRDefault="00A627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августа 1940 УПБ-2МВ-6 Бакшаева в НКАП отклонили. Постоянная экс</w:t>
      </w:r>
      <w:r w:rsidRPr="00DB5D0D">
        <w:rPr>
          <w:rFonts w:ascii="Times New Roman" w:hAnsi="Times New Roman"/>
          <w:color w:val="0070C0"/>
          <w:sz w:val="16"/>
          <w:szCs w:val="16"/>
        </w:rPr>
        <w:softHyphen/>
        <w:t>пертная комиссии НКАП по рассмотрению</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эскизных проектов самолетов (протокол №</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10) решила, что новый самолет строить</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нецелесообразно и следует модифициро</w:t>
      </w:r>
      <w:r w:rsidRPr="00DB5D0D">
        <w:rPr>
          <w:rFonts w:ascii="Times New Roman" w:hAnsi="Times New Roman"/>
          <w:color w:val="0070C0"/>
          <w:sz w:val="16"/>
          <w:szCs w:val="16"/>
        </w:rPr>
        <w:softHyphen/>
        <w:t>вать УТ-3, «совместив в нем качества Фокке-</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Вульфа». А ленинградские коммунисты в</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лице Андрея Александровича Жданова оза</w:t>
      </w:r>
      <w:r w:rsidRPr="00DB5D0D">
        <w:rPr>
          <w:rFonts w:ascii="Times New Roman" w:hAnsi="Times New Roman"/>
          <w:color w:val="0070C0"/>
          <w:sz w:val="16"/>
          <w:szCs w:val="16"/>
        </w:rPr>
        <w:softHyphen/>
        <w:t>ботились не столько сохранением опытного</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КБ на заводе № 47, сколько положением</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рабочих. в условиях нестабильного про</w:t>
      </w:r>
      <w:r w:rsidRPr="00DB5D0D">
        <w:rPr>
          <w:rFonts w:ascii="Times New Roman" w:hAnsi="Times New Roman"/>
          <w:color w:val="0070C0"/>
          <w:sz w:val="16"/>
          <w:szCs w:val="16"/>
        </w:rPr>
        <w:softHyphen/>
        <w:t>изводства. Вопрос, что называется, был</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«взят на контроль». 1 ноября 1940 года А.И.</w:t>
      </w:r>
      <w:r w:rsidRPr="00DB5D0D">
        <w:rPr>
          <w:rStyle w:val="761"/>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Шахурин даже отвечал на запрос А.А. Жда</w:t>
      </w:r>
      <w:r w:rsidRPr="00DB5D0D">
        <w:rPr>
          <w:rFonts w:ascii="Times New Roman" w:hAnsi="Times New Roman"/>
          <w:color w:val="0070C0"/>
          <w:sz w:val="16"/>
          <w:szCs w:val="16"/>
        </w:rPr>
        <w:softHyphen/>
        <w:t>нова о загрузке завода (19942).</w:t>
      </w:r>
    </w:p>
    <w:p w14:paraId="46B86027" w14:textId="77777777" w:rsidR="00A62789" w:rsidRPr="00DB5D0D" w:rsidRDefault="00A62789" w:rsidP="00DB5D0D">
      <w:pPr>
        <w:spacing w:after="0" w:line="240" w:lineRule="auto"/>
        <w:jc w:val="both"/>
        <w:rPr>
          <w:rFonts w:ascii="Times New Roman" w:hAnsi="Times New Roman"/>
          <w:color w:val="0070C0"/>
          <w:sz w:val="16"/>
          <w:szCs w:val="16"/>
        </w:rPr>
      </w:pPr>
    </w:p>
    <w:p w14:paraId="610482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года было письмо заместителя нарко</w:t>
      </w:r>
      <w:r w:rsidRPr="00DB5D0D">
        <w:rPr>
          <w:rFonts w:ascii="Times New Roman" w:hAnsi="Times New Roman"/>
          <w:color w:val="000000" w:themeColor="text1"/>
          <w:sz w:val="16"/>
          <w:szCs w:val="16"/>
        </w:rPr>
        <w:softHyphen/>
        <w:t>ма внешней торговли В.И. Кушарова АИ. Шахурину № 7032/10947, подготовленное в ответ на упомянутые выше письма наркома авиапромышленности № Н-32/909 и № Н-32/9Ю от 4 июня 1940 года. В нем сообщались результаты переговоров «Станкоимпорта» с германской фирмой «Гайнеман» и указывалось, что 200 револьверных станков В-32 не имеют не</w:t>
      </w:r>
      <w:r w:rsidRPr="00DB5D0D">
        <w:rPr>
          <w:rFonts w:ascii="Times New Roman" w:hAnsi="Times New Roman"/>
          <w:color w:val="000000" w:themeColor="text1"/>
          <w:sz w:val="16"/>
          <w:szCs w:val="16"/>
        </w:rPr>
        <w:softHyphen/>
        <w:t>обходимой для авиапромышленности оснастки, в связи с чем «предложение на станки Вашими работниками отклонено». На револьверные станки «Гилле-Верке» - малоскоростные - «представители НКАП не подтвердили необходи</w:t>
      </w:r>
      <w:r w:rsidRPr="00DB5D0D">
        <w:rPr>
          <w:rFonts w:ascii="Times New Roman" w:hAnsi="Times New Roman"/>
          <w:color w:val="000000" w:themeColor="text1"/>
          <w:sz w:val="16"/>
          <w:szCs w:val="16"/>
        </w:rPr>
        <w:softHyphen/>
        <w:t>мости заказа». По токарно-затыловочным станкам «Гилле-Верке» указывалось, что их качество хуже, чем у «Рейнекер», поэтому заказа не выдано. Координат-но-расточные станки будут заказываться в счет постановлений Правительства. Четырехшпиндельные вертикально-сверлильные станки - «слишком доро</w:t>
      </w:r>
      <w:r w:rsidRPr="00DB5D0D">
        <w:rPr>
          <w:rFonts w:ascii="Times New Roman" w:hAnsi="Times New Roman"/>
          <w:color w:val="000000" w:themeColor="text1"/>
          <w:sz w:val="16"/>
          <w:szCs w:val="16"/>
        </w:rPr>
        <w:softHyphen/>
        <w:t>гие». Аналогичные заказаны в Швеции у фирмы «Асеа», из которых для НКАП заказано 41, а остальные - другим наркоматам. Револьверные станки «Ганн и Кольб» уступают «Питтлер» и дороже на 30%, «поэтому заказов фирме не выда</w:t>
      </w:r>
      <w:r w:rsidRPr="00DB5D0D">
        <w:rPr>
          <w:rFonts w:ascii="Times New Roman" w:hAnsi="Times New Roman"/>
          <w:color w:val="000000" w:themeColor="text1"/>
          <w:sz w:val="16"/>
          <w:szCs w:val="16"/>
        </w:rPr>
        <w:softHyphen/>
        <w:t>но». «Индекс» (автоматы) заказаны для НКАП в количестве 38 шт., остальные -для других наркоматов. Пилы «Геллер» для резки металлов по ценам дороже, чем у «Вогнер», «ввиду чего заказов фирме не выдано». Универсально-фрезер</w:t>
      </w:r>
      <w:r w:rsidRPr="00DB5D0D">
        <w:rPr>
          <w:rFonts w:ascii="Times New Roman" w:hAnsi="Times New Roman"/>
          <w:color w:val="000000" w:themeColor="text1"/>
          <w:sz w:val="16"/>
          <w:szCs w:val="16"/>
        </w:rPr>
        <w:softHyphen/>
        <w:t>ные станки «Тиль» для НКАП заказаны в 12 экземплярах, а «остальные заказы выданы другим наркоматам» (</w:t>
      </w:r>
      <w:r w:rsidRPr="00DB5D0D">
        <w:rPr>
          <w:rFonts w:ascii="Times New Roman" w:hAnsi="Times New Roman"/>
          <w:smallCaps/>
          <w:color w:val="000000" w:themeColor="text1"/>
          <w:sz w:val="16"/>
          <w:szCs w:val="16"/>
        </w:rPr>
        <w:t xml:space="preserve">российский </w:t>
      </w:r>
      <w:r w:rsidRPr="00DB5D0D">
        <w:rPr>
          <w:rFonts w:ascii="Times New Roman" w:hAnsi="Times New Roman"/>
          <w:color w:val="000000" w:themeColor="text1"/>
          <w:sz w:val="16"/>
          <w:szCs w:val="16"/>
        </w:rPr>
        <w:t>государственный архив экономики (РГАЭ). Ф. 8044. Оп. 1. Д. 436. Л. 141-142.).</w:t>
      </w:r>
    </w:p>
    <w:p w14:paraId="0502C3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ответ на это начальник Особой Группы НКАП И. Фролов направил В.И. Кушарову письмо за Н-32/1729 от 25 августа 1940 года. По распоряже</w:t>
      </w:r>
      <w:r w:rsidRPr="00DB5D0D">
        <w:rPr>
          <w:rFonts w:ascii="Times New Roman" w:hAnsi="Times New Roman"/>
          <w:color w:val="000000" w:themeColor="text1"/>
          <w:sz w:val="16"/>
          <w:szCs w:val="16"/>
        </w:rPr>
        <w:softHyphen/>
        <w:t>нию А.И. Шахурина, ему также была отправлена копия справки от 17 августа 1940 года за подписью начальника ИНО НКАП Романова по вопросу закуп</w:t>
      </w:r>
      <w:r w:rsidRPr="00DB5D0D">
        <w:rPr>
          <w:rFonts w:ascii="Times New Roman" w:hAnsi="Times New Roman"/>
          <w:color w:val="000000" w:themeColor="text1"/>
          <w:sz w:val="16"/>
          <w:szCs w:val="16"/>
        </w:rPr>
        <w:softHyphen/>
        <w:t>ки металлообрабатывающего оборудования.</w:t>
      </w:r>
    </w:p>
    <w:p w14:paraId="560D26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справке сообщалось, что в первых числах июня «Станкоимпорт» сде</w:t>
      </w:r>
      <w:r w:rsidRPr="00DB5D0D">
        <w:rPr>
          <w:rFonts w:ascii="Times New Roman" w:hAnsi="Times New Roman"/>
          <w:color w:val="000000" w:themeColor="text1"/>
          <w:sz w:val="16"/>
          <w:szCs w:val="16"/>
        </w:rPr>
        <w:softHyphen/>
        <w:t>лал предложение ИНО НКАП заказать по импортным предложениям фирм сверх обусловленного правительственными решениями различные стан</w:t>
      </w:r>
      <w:r w:rsidRPr="00DB5D0D">
        <w:rPr>
          <w:rFonts w:ascii="Times New Roman" w:hAnsi="Times New Roman"/>
          <w:color w:val="000000" w:themeColor="text1"/>
          <w:sz w:val="16"/>
          <w:szCs w:val="16"/>
        </w:rPr>
        <w:softHyphen/>
        <w:t>ки (Речь идет о 718 станках вместо 693 фигурирующих в двух письмах из переписки Шахурина и Микояна от 4 июня, также несколько изменены названия фирм.). В справке решительно отрицалась информация, которую излагал В.И. Кушаров: «Никаких отказов от этой заявки по тем или другим причинам Иносектор НКАП «Станкоимпорту» не заявлял и оформил свою заявку соот</w:t>
      </w:r>
      <w:r w:rsidRPr="00DB5D0D">
        <w:rPr>
          <w:rFonts w:ascii="Times New Roman" w:hAnsi="Times New Roman"/>
          <w:color w:val="000000" w:themeColor="text1"/>
          <w:sz w:val="16"/>
          <w:szCs w:val="16"/>
        </w:rPr>
        <w:softHyphen/>
        <w:t>ветственно импортными картами. При выяснении этого вопроса в Станко-импорте было установлено, например, что фирма «Гейнеман» (200 токар-но-револьверных станков) письмом от 10/УП на запрос «Станкоимпорта» отказала в поставке станков вне всякой зависимости от каких-либо требо</w:t>
      </w:r>
      <w:r w:rsidRPr="00DB5D0D">
        <w:rPr>
          <w:rFonts w:ascii="Times New Roman" w:hAnsi="Times New Roman"/>
          <w:color w:val="000000" w:themeColor="text1"/>
          <w:sz w:val="16"/>
          <w:szCs w:val="16"/>
        </w:rPr>
        <w:softHyphen/>
        <w:t>ваний НКАП. По всем же остальным позициям, как видно из письма НКВТ, заявка НКАП не реализована по соображениям, не зависящим от НКАП» (РГАЭ. Ф. 8044. Оп. 1. Д. 436. Л. 139 - 140.). Таким образом, из первоначального заказа НКАП от 4 июня на примерно 700 сверхлимитных германских станков осталось всего 50 единиц. В це</w:t>
      </w:r>
      <w:r w:rsidRPr="00DB5D0D">
        <w:rPr>
          <w:rFonts w:ascii="Times New Roman" w:hAnsi="Times New Roman"/>
          <w:color w:val="000000" w:themeColor="text1"/>
          <w:sz w:val="16"/>
          <w:szCs w:val="16"/>
        </w:rPr>
        <w:softHyphen/>
        <w:t>лях экономии или без объяснения причин была урезана заявка примерно на 270 станков, последующий отказ германской стороны сократил ее еще на 200, другим наркоматам было передано заявок на 143 станка (с учетом заказов, переадресованных в другую страну - Швецию), заказов для НКАПа - на 41 станок. Из вышеизложенной информации нельзя не сделать вы</w:t>
      </w:r>
      <w:r w:rsidRPr="00DB5D0D">
        <w:rPr>
          <w:rFonts w:ascii="Times New Roman" w:hAnsi="Times New Roman"/>
          <w:color w:val="000000" w:themeColor="text1"/>
          <w:sz w:val="16"/>
          <w:szCs w:val="16"/>
        </w:rPr>
        <w:softHyphen/>
        <w:t>вод о жестких межведомственных трениях между НКАП и НКВТ, а также об ожесточенной борьбе различных наркоматов за дефицитное импортное оборудование.</w:t>
      </w:r>
    </w:p>
    <w:p w14:paraId="51931E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Обращают на себя внимание и программы закупок с длительными срока</w:t>
      </w:r>
      <w:r w:rsidRPr="00DB5D0D">
        <w:rPr>
          <w:rFonts w:ascii="Times New Roman" w:hAnsi="Times New Roman"/>
          <w:color w:val="000000" w:themeColor="text1"/>
          <w:sz w:val="16"/>
          <w:szCs w:val="16"/>
        </w:rPr>
        <w:softHyphen/>
        <w:t>ми реализации. Так, в письме наркома авиапромышленности А.И. Шахури</w:t>
      </w:r>
      <w:r w:rsidRPr="00DB5D0D">
        <w:rPr>
          <w:rFonts w:ascii="Times New Roman" w:hAnsi="Times New Roman"/>
          <w:color w:val="000000" w:themeColor="text1"/>
          <w:sz w:val="16"/>
          <w:szCs w:val="16"/>
        </w:rPr>
        <w:softHyphen/>
        <w:t>на наркому внешней торговли А.И. Микояну Н-32/478 от 21 марта 1940 года речь шла о предложении фирмы «Ганн и Кольб» 267 автоматов типа «Ин</w:t>
      </w:r>
      <w:r w:rsidRPr="00DB5D0D">
        <w:rPr>
          <w:rFonts w:ascii="Times New Roman" w:hAnsi="Times New Roman"/>
          <w:color w:val="000000" w:themeColor="text1"/>
          <w:sz w:val="16"/>
          <w:szCs w:val="16"/>
        </w:rPr>
        <w:softHyphen/>
        <w:t>декс» со сроками поставок 30 из них в 1940 году и 237 - в 1941 году. А.И. Ша-хурин просил решений о реализации всей предлагаемой партии, указав, что эти станки необходимы НКАП и что они будут использованы на мото</w:t>
      </w:r>
      <w:r w:rsidRPr="00DB5D0D">
        <w:rPr>
          <w:rFonts w:ascii="Times New Roman" w:hAnsi="Times New Roman"/>
          <w:color w:val="000000" w:themeColor="text1"/>
          <w:sz w:val="16"/>
          <w:szCs w:val="16"/>
        </w:rPr>
        <w:softHyphen/>
        <w:t>ростроительных, самолетостроительных и агрегатных заводах отрасли (РГАЭ. Ф. 8044. Оп. 1. Д. 436. Л. 35.). А в письме А.И. Шахурина А.И. Микояну Н-32/1867 от 4 сентября 1940 года содержалась просьба о приобретении 152 токарно-револьверных станков «Питтлер» со сроками поставки с мая по декабрь 1942 года (РГАЭ. Ф. 8044. Оп. 1. Д. 436. Л. 145.).</w:t>
      </w:r>
    </w:p>
    <w:p w14:paraId="13FACE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Были и противоположные примеры. В письме А.И. Шахурина А.И. Мико</w:t>
      </w:r>
      <w:r w:rsidRPr="00DB5D0D">
        <w:rPr>
          <w:rFonts w:ascii="Times New Roman" w:hAnsi="Times New Roman"/>
          <w:color w:val="000000" w:themeColor="text1"/>
          <w:sz w:val="16"/>
          <w:szCs w:val="16"/>
        </w:rPr>
        <w:softHyphen/>
        <w:t>яну Н-32/319 от 28 февраля 1940 года сообщалось, что германская фирма «Питтлер» предлагает 271 револьверный станок со сроками поставок 2 36 из них во второй половине 1940 года и 35-в 1941 году. А.И. Шахурин под</w:t>
      </w:r>
      <w:r w:rsidRPr="00DB5D0D">
        <w:rPr>
          <w:rFonts w:ascii="Times New Roman" w:hAnsi="Times New Roman"/>
          <w:color w:val="000000" w:themeColor="text1"/>
          <w:sz w:val="16"/>
          <w:szCs w:val="16"/>
        </w:rPr>
        <w:softHyphen/>
        <w:t>черкивал: «Револьверные станки типа «Питтлер» необходимы авиационной промышленности». Предполагалось, что они будут использоваться на заво</w:t>
      </w:r>
      <w:r w:rsidRPr="00DB5D0D">
        <w:rPr>
          <w:rFonts w:ascii="Times New Roman" w:hAnsi="Times New Roman"/>
          <w:color w:val="000000" w:themeColor="text1"/>
          <w:sz w:val="16"/>
          <w:szCs w:val="16"/>
        </w:rPr>
        <w:softHyphen/>
        <w:t>дах № 27, № 339, «Панель» и других для производства авиационных норма</w:t>
      </w:r>
      <w:r w:rsidRPr="00DB5D0D">
        <w:rPr>
          <w:rFonts w:ascii="Times New Roman" w:hAnsi="Times New Roman"/>
          <w:color w:val="000000" w:themeColor="text1"/>
          <w:sz w:val="16"/>
          <w:szCs w:val="16"/>
        </w:rPr>
        <w:softHyphen/>
        <w:t>лей и специальной арматуры. А.И. Шахурин просил положительно решить вопрос о закупках 193 станков в счет германского кредита, «учитывая су</w:t>
      </w:r>
      <w:r w:rsidRPr="00DB5D0D">
        <w:rPr>
          <w:rFonts w:ascii="Times New Roman" w:hAnsi="Times New Roman"/>
          <w:color w:val="000000" w:themeColor="text1"/>
          <w:sz w:val="16"/>
          <w:szCs w:val="16"/>
        </w:rPr>
        <w:softHyphen/>
        <w:t>ществующий разрыв между потребностями НКАП и получаемых союзными фондами по револьверным станкам» (РГАЭ. Ф. 8044. Оп. 1. Д. 436. Л. 189.) (11710,258).</w:t>
      </w:r>
    </w:p>
    <w:p w14:paraId="17CCA4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0DC0B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10 августа 1940 в ЦКБ-14 проходили заводские испытания пулемет калибра 7,62 мм СН-2 и пулемет калибра 7,62 мм Акулинина (7713, 12).</w:t>
      </w:r>
    </w:p>
    <w:p w14:paraId="34C3F05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BE87C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10 августа 1940 на НИП АВ проходили заводские испытания установки для буксировки конуса (7713, 12).</w:t>
      </w:r>
    </w:p>
    <w:p w14:paraId="00FFB8A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D5B4F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по 15 августа 1940 на научно-исследовательском полигоне АВ ВВС проходили наземные полигонные испытания люковой установки КЛУ-2 конструкции завода N 32 (2986).</w:t>
      </w:r>
    </w:p>
    <w:p w14:paraId="631839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в/инж. 2 ранга Успенский.</w:t>
      </w:r>
    </w:p>
    <w:p w14:paraId="335B6B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5527E7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Определить стрельбой надежность и безотказность работы автоматики пулемета ШКАС с данной установки на земле.</w:t>
      </w:r>
    </w:p>
    <w:p w14:paraId="76DEC4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Определить удобство эксплуатации данной установки на земле:</w:t>
      </w:r>
    </w:p>
    <w:p w14:paraId="5B1736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Зарядка.</w:t>
      </w:r>
    </w:p>
    <w:p w14:paraId="248AFB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Разрядка.</w:t>
      </w:r>
    </w:p>
    <w:p w14:paraId="02EB64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Пристрелка.</w:t>
      </w:r>
    </w:p>
    <w:p w14:paraId="1B7E71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Постановка и снятие пулемета.</w:t>
      </w:r>
    </w:p>
    <w:p w14:paraId="5CE5B4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34842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Предъявленная на наземные полигонные испытания люковая установка КЛУ-2 конструкции завода N 32 наземных полигонных испытаний не выдержала (2986).</w:t>
      </w:r>
    </w:p>
    <w:p w14:paraId="363EF25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E425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г. по итогам осмотра заместителем начальника НИ</w:t>
      </w:r>
      <w:r w:rsidRPr="00DB5D0D">
        <w:rPr>
          <w:rFonts w:ascii="Times New Roman" w:hAnsi="Times New Roman"/>
          <w:color w:val="000000" w:themeColor="text1"/>
          <w:sz w:val="16"/>
          <w:szCs w:val="16"/>
        </w:rPr>
        <w:softHyphen/>
        <w:t>ПАВ ВВС КА полковником Фаддеевым и заместителем начальника опытного отдела НИПАВ военинженером 2 ранга Сатониным ракетного вооружения на самолетах И-153 4-й аэ 27-го иап, прибывших на НИПАВ обучения летного состава стрельбе РС: «Самолеты прибыли с РО, которых ни разу не стреляли, но выполнили по 30-40 посадок. Пиро-нстолеты разболтаны и 32 из 120 подлежат замене. На одном РО отсут-вуют карабины для крепления боевой чеки. На всех самолетах отсутствуют предохранители на РУС - тумблер или откидной колпачок. После выстрелов РО стала приходить в негодность электропроводка, крепление замков пиропистолетов».</w:t>
      </w:r>
    </w:p>
    <w:p w14:paraId="768787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До начала войны на НИПАВ ВВС КА успели провести еще одни сбо</w:t>
      </w:r>
      <w:r w:rsidRPr="00DB5D0D">
        <w:rPr>
          <w:rFonts w:ascii="Times New Roman" w:hAnsi="Times New Roman"/>
          <w:color w:val="000000" w:themeColor="text1"/>
          <w:sz w:val="16"/>
          <w:szCs w:val="16"/>
        </w:rPr>
        <w:softHyphen/>
        <w:t>ры. На сборы прибыли 15 истребителей И-153 из состава 2-й аэ майора М.И.Королева из 27-го иап (г.Клин) с заводскими номерами 7101-7104, 7106-7108, 7110-7116 и 7120, оснащенные РО уже на заводе. В этот раз летчиков «пестовали» начальник 2 отделения опытного отдела НИПАВ военинженер 1 ранга В.Я.Цилов и старший техник этого отделения воен</w:t>
      </w:r>
      <w:r w:rsidRPr="00DB5D0D">
        <w:rPr>
          <w:rFonts w:ascii="Times New Roman" w:hAnsi="Times New Roman"/>
          <w:color w:val="000000" w:themeColor="text1"/>
          <w:sz w:val="16"/>
          <w:szCs w:val="16"/>
        </w:rPr>
        <w:softHyphen/>
        <w:t>техник 1 ранга А.Г.Губин. До сборов полковые пилоты ни разу не стреля</w:t>
      </w:r>
      <w:r w:rsidRPr="00DB5D0D">
        <w:rPr>
          <w:rFonts w:ascii="Times New Roman" w:hAnsi="Times New Roman"/>
          <w:color w:val="000000" w:themeColor="text1"/>
          <w:sz w:val="16"/>
          <w:szCs w:val="16"/>
        </w:rPr>
        <w:softHyphen/>
        <w:t>ли РС, поэтому потребовался осмотр матчасти до и после стрельбы РС. После предварительного осмотра пришлось заменить 15 пиропистолетов на РО и усилить перкалем нижние плоскости. Ни в одно РО самолетов снаряды (РС-82 партий №3 и!3/1939 г. и №75/1940 г.) не вошли, пока не отпустили на 0,5 или 0,75 оборота ведущие штифты боеприпасов, что по инструкции (кстати) категорически запрещалось. В результате трениро</w:t>
      </w:r>
      <w:r w:rsidRPr="00DB5D0D">
        <w:rPr>
          <w:rFonts w:ascii="Times New Roman" w:hAnsi="Times New Roman"/>
          <w:color w:val="000000" w:themeColor="text1"/>
          <w:sz w:val="16"/>
          <w:szCs w:val="16"/>
        </w:rPr>
        <w:softHyphen/>
        <w:t>вок летчиков, на каждое РО пришлось от двух до трех выстрелов. После стрельбы резюме «все в порядке» можно было отнести только к трем ма</w:t>
      </w:r>
      <w:r w:rsidRPr="00DB5D0D">
        <w:rPr>
          <w:rFonts w:ascii="Times New Roman" w:hAnsi="Times New Roman"/>
          <w:color w:val="000000" w:themeColor="text1"/>
          <w:sz w:val="16"/>
          <w:szCs w:val="16"/>
        </w:rPr>
        <w:softHyphen/>
        <w:t>шинам. В итоге замены требовали 39 пиропистолетов, из которых 28 можно отремонтировать и вернуть в эксплуатацию.</w:t>
      </w:r>
    </w:p>
    <w:p w14:paraId="486F48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5.2 Дислокация ракетоносной авиации ВВС Красной Армии в предвоенный период</w:t>
      </w:r>
    </w:p>
    <w:tbl>
      <w:tblPr>
        <w:tblW w:w="0" w:type="auto"/>
        <w:tblInd w:w="40" w:type="dxa"/>
        <w:tblLayout w:type="fixed"/>
        <w:tblCellMar>
          <w:left w:w="40" w:type="dxa"/>
          <w:right w:w="40" w:type="dxa"/>
        </w:tblCellMar>
        <w:tblLook w:val="0000" w:firstRow="0" w:lastRow="0" w:firstColumn="0" w:lastColumn="0" w:noHBand="0" w:noVBand="0"/>
      </w:tblPr>
      <w:tblGrid>
        <w:gridCol w:w="826"/>
        <w:gridCol w:w="1104"/>
        <w:gridCol w:w="1738"/>
        <w:gridCol w:w="1085"/>
        <w:gridCol w:w="1171"/>
      </w:tblGrid>
      <w:tr w:rsidR="007D5DF8" w:rsidRPr="00DB5D0D" w14:paraId="348696B7" w14:textId="77777777" w:rsidTr="00E543D0">
        <w:trPr>
          <w:trHeight w:val="854"/>
        </w:trPr>
        <w:tc>
          <w:tcPr>
            <w:tcW w:w="826" w:type="dxa"/>
            <w:tcBorders>
              <w:top w:val="single" w:sz="6" w:space="0" w:color="auto"/>
              <w:left w:val="single" w:sz="6" w:space="0" w:color="auto"/>
              <w:bottom w:val="single" w:sz="6" w:space="0" w:color="auto"/>
              <w:right w:val="single" w:sz="6" w:space="0" w:color="auto"/>
            </w:tcBorders>
          </w:tcPr>
          <w:p w14:paraId="70405D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 Военного округа</w:t>
            </w:r>
          </w:p>
          <w:p w14:paraId="7059CF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407329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Номер авиационной дивизии</w:t>
            </w:r>
          </w:p>
          <w:p w14:paraId="1D06FE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05878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Номер и наименование авиаполка, место дислокации</w:t>
            </w:r>
          </w:p>
          <w:p w14:paraId="4D07E4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C8FC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самолетов-ракетоносцев</w:t>
            </w:r>
          </w:p>
          <w:p w14:paraId="338A5F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E8F33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самолетов-ракетоносцев</w:t>
            </w:r>
          </w:p>
          <w:p w14:paraId="36BABA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7068DF0" w14:textId="77777777" w:rsidTr="00E543D0">
        <w:trPr>
          <w:trHeight w:val="202"/>
        </w:trPr>
        <w:tc>
          <w:tcPr>
            <w:tcW w:w="826" w:type="dxa"/>
            <w:tcBorders>
              <w:top w:val="single" w:sz="6" w:space="0" w:color="auto"/>
              <w:left w:val="single" w:sz="6" w:space="0" w:color="auto"/>
              <w:bottom w:val="single" w:sz="6" w:space="0" w:color="auto"/>
              <w:right w:val="single" w:sz="6" w:space="0" w:color="auto"/>
            </w:tcBorders>
          </w:tcPr>
          <w:p w14:paraId="2A50AF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ЗабВО</w:t>
            </w:r>
          </w:p>
          <w:p w14:paraId="747A72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88CB9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w:t>
            </w:r>
          </w:p>
          <w:p w14:paraId="69A1EA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39F9F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иап (Баин-Тумень)</w:t>
            </w:r>
          </w:p>
          <w:p w14:paraId="1DA940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112FA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p w14:paraId="501EB2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4AF85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И-16-РС</w:t>
            </w:r>
          </w:p>
          <w:p w14:paraId="1CB06B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5C8631E4" w14:textId="77777777" w:rsidTr="00E543D0">
        <w:trPr>
          <w:trHeight w:val="202"/>
        </w:trPr>
        <w:tc>
          <w:tcPr>
            <w:tcW w:w="826" w:type="dxa"/>
            <w:tcBorders>
              <w:top w:val="single" w:sz="6" w:space="0" w:color="auto"/>
              <w:left w:val="single" w:sz="6" w:space="0" w:color="auto"/>
              <w:bottom w:val="single" w:sz="6" w:space="0" w:color="auto"/>
              <w:right w:val="single" w:sz="6" w:space="0" w:color="auto"/>
            </w:tcBorders>
          </w:tcPr>
          <w:p w14:paraId="117FF1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ЗакВО</w:t>
            </w:r>
          </w:p>
          <w:p w14:paraId="7472C9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2B1D0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w:t>
            </w:r>
          </w:p>
          <w:p w14:paraId="2A9754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A9742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 сбп (Сарван)</w:t>
            </w:r>
          </w:p>
          <w:p w14:paraId="67CD5C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C5E2B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w:t>
            </w:r>
          </w:p>
          <w:p w14:paraId="53ADA4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79AAD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СБ-РС</w:t>
            </w:r>
          </w:p>
          <w:p w14:paraId="13EF40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055501C" w14:textId="77777777" w:rsidTr="00E543D0">
        <w:trPr>
          <w:trHeight w:val="202"/>
        </w:trPr>
        <w:tc>
          <w:tcPr>
            <w:tcW w:w="826" w:type="dxa"/>
            <w:tcBorders>
              <w:top w:val="single" w:sz="6" w:space="0" w:color="auto"/>
              <w:left w:val="single" w:sz="6" w:space="0" w:color="auto"/>
              <w:bottom w:val="single" w:sz="6" w:space="0" w:color="auto"/>
              <w:right w:val="single" w:sz="6" w:space="0" w:color="auto"/>
            </w:tcBorders>
          </w:tcPr>
          <w:p w14:paraId="2334D1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ЛВО</w:t>
            </w:r>
          </w:p>
          <w:p w14:paraId="3C53BF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3DA2D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p w14:paraId="140EFB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DCCC2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иап (Горелово)</w:t>
            </w:r>
          </w:p>
          <w:p w14:paraId="5345BB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5359B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w:t>
            </w:r>
          </w:p>
          <w:p w14:paraId="64966E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A280E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И-15-РС</w:t>
            </w:r>
          </w:p>
          <w:p w14:paraId="6DD21A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1AF54F1" w14:textId="77777777" w:rsidTr="00E543D0">
        <w:trPr>
          <w:trHeight w:val="202"/>
        </w:trPr>
        <w:tc>
          <w:tcPr>
            <w:tcW w:w="826" w:type="dxa"/>
            <w:tcBorders>
              <w:top w:val="single" w:sz="6" w:space="0" w:color="auto"/>
              <w:left w:val="single" w:sz="6" w:space="0" w:color="auto"/>
              <w:bottom w:val="single" w:sz="6" w:space="0" w:color="auto"/>
              <w:right w:val="single" w:sz="6" w:space="0" w:color="auto"/>
            </w:tcBorders>
          </w:tcPr>
          <w:p w14:paraId="53EF1B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ЛВО</w:t>
            </w:r>
          </w:p>
          <w:p w14:paraId="16EFF2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E2FCB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p w14:paraId="5AA05D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52549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сбп (Африканда)</w:t>
            </w:r>
          </w:p>
          <w:p w14:paraId="1289F4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18532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w:t>
            </w:r>
          </w:p>
          <w:p w14:paraId="7DF64B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CBE24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СБ-РС</w:t>
            </w:r>
          </w:p>
          <w:p w14:paraId="559434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1426FD5" w14:textId="77777777" w:rsidTr="00E543D0">
        <w:trPr>
          <w:trHeight w:val="192"/>
        </w:trPr>
        <w:tc>
          <w:tcPr>
            <w:tcW w:w="826" w:type="dxa"/>
            <w:tcBorders>
              <w:top w:val="single" w:sz="6" w:space="0" w:color="auto"/>
              <w:left w:val="single" w:sz="6" w:space="0" w:color="auto"/>
              <w:bottom w:val="single" w:sz="6" w:space="0" w:color="auto"/>
              <w:right w:val="single" w:sz="6" w:space="0" w:color="auto"/>
            </w:tcBorders>
          </w:tcPr>
          <w:p w14:paraId="2E5A62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МВО</w:t>
            </w:r>
          </w:p>
          <w:p w14:paraId="5C8AC7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53162C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p w14:paraId="14B0B1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9A37E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иап (Кубинка)</w:t>
            </w:r>
          </w:p>
          <w:p w14:paraId="7049A4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43362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w:t>
            </w:r>
          </w:p>
          <w:p w14:paraId="524AEC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F6F6A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И-16-РС</w:t>
            </w:r>
          </w:p>
          <w:p w14:paraId="10622C1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88404B9" w14:textId="77777777" w:rsidTr="00E543D0">
        <w:trPr>
          <w:trHeight w:val="202"/>
        </w:trPr>
        <w:tc>
          <w:tcPr>
            <w:tcW w:w="826" w:type="dxa"/>
            <w:tcBorders>
              <w:top w:val="single" w:sz="6" w:space="0" w:color="auto"/>
              <w:left w:val="single" w:sz="6" w:space="0" w:color="auto"/>
              <w:bottom w:val="single" w:sz="6" w:space="0" w:color="auto"/>
              <w:right w:val="single" w:sz="6" w:space="0" w:color="auto"/>
            </w:tcBorders>
          </w:tcPr>
          <w:p w14:paraId="0CC913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МВО</w:t>
            </w:r>
          </w:p>
          <w:p w14:paraId="18FAF6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EC76F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p w14:paraId="741A67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409C4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иап (Клин)</w:t>
            </w:r>
          </w:p>
          <w:p w14:paraId="75CFC6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F0EBB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p w14:paraId="3343A0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482DC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И-153-РС</w:t>
            </w:r>
          </w:p>
          <w:p w14:paraId="6B52F4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63A1C22" w14:textId="77777777" w:rsidTr="00E543D0">
        <w:trPr>
          <w:trHeight w:val="202"/>
        </w:trPr>
        <w:tc>
          <w:tcPr>
            <w:tcW w:w="826" w:type="dxa"/>
            <w:tcBorders>
              <w:top w:val="single" w:sz="6" w:space="0" w:color="auto"/>
              <w:left w:val="single" w:sz="6" w:space="0" w:color="auto"/>
              <w:bottom w:val="single" w:sz="6" w:space="0" w:color="auto"/>
              <w:right w:val="single" w:sz="6" w:space="0" w:color="auto"/>
            </w:tcBorders>
          </w:tcPr>
          <w:p w14:paraId="2BB6160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ОдВО</w:t>
            </w:r>
          </w:p>
          <w:p w14:paraId="03780F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2FEAAB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p w14:paraId="58BF67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1EE25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 сбп (Вознесенск)</w:t>
            </w:r>
          </w:p>
          <w:p w14:paraId="681990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7C597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p w14:paraId="324A8E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136DA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СБ-РС</w:t>
            </w:r>
          </w:p>
          <w:p w14:paraId="606AA4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0AC1EF3" w14:textId="77777777" w:rsidTr="00E543D0">
        <w:trPr>
          <w:trHeight w:val="230"/>
        </w:trPr>
        <w:tc>
          <w:tcPr>
            <w:tcW w:w="826" w:type="dxa"/>
            <w:tcBorders>
              <w:top w:val="single" w:sz="6" w:space="0" w:color="auto"/>
              <w:left w:val="single" w:sz="6" w:space="0" w:color="auto"/>
              <w:bottom w:val="single" w:sz="6" w:space="0" w:color="auto"/>
              <w:right w:val="single" w:sz="6" w:space="0" w:color="auto"/>
            </w:tcBorders>
          </w:tcPr>
          <w:p w14:paraId="2E5643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ПрибВО</w:t>
            </w:r>
          </w:p>
          <w:p w14:paraId="3E5FEF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177ED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p w14:paraId="70F102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901BB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 сбп (Шавли-Литва)</w:t>
            </w:r>
          </w:p>
          <w:p w14:paraId="028CFD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5DF89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p w14:paraId="1BA656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75E1F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СБ-РС</w:t>
            </w:r>
          </w:p>
          <w:p w14:paraId="50E15C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bl>
    <w:p w14:paraId="162C37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(11402).</w:t>
      </w:r>
    </w:p>
    <w:p w14:paraId="395B1B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73D8E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авгу</w:t>
      </w:r>
      <w:r w:rsidRPr="00DB5D0D">
        <w:rPr>
          <w:rFonts w:ascii="Times New Roman" w:hAnsi="Times New Roman"/>
          <w:color w:val="000000" w:themeColor="text1"/>
          <w:sz w:val="16"/>
          <w:szCs w:val="16"/>
        </w:rPr>
        <w:softHyphen/>
        <w:t>ста 1940 г. была шифртелеграмма из Генштаба РККА №10/27 (исх. 2294) с категорией срочности «молния» для командующих ВВС ок</w:t>
      </w:r>
      <w:r w:rsidRPr="00DB5D0D">
        <w:rPr>
          <w:rFonts w:ascii="Times New Roman" w:hAnsi="Times New Roman"/>
          <w:color w:val="000000" w:themeColor="text1"/>
          <w:sz w:val="16"/>
          <w:szCs w:val="16"/>
        </w:rPr>
        <w:softHyphen/>
        <w:t>ругов и ДВФ, требующая все ракетное вооружение с самолетов снять, сдать на склады и в спецчасти не выдавать техописания на РО и РС лет</w:t>
      </w:r>
      <w:r w:rsidRPr="00DB5D0D">
        <w:rPr>
          <w:rFonts w:ascii="Times New Roman" w:hAnsi="Times New Roman"/>
          <w:color w:val="000000" w:themeColor="text1"/>
          <w:sz w:val="16"/>
          <w:szCs w:val="16"/>
        </w:rPr>
        <w:softHyphen/>
        <w:t>чикам и офицерскому составу до особого распоряжения. Телеграмм с «особыми распоряжениями» относительно отмены данного приказа не обнаружено (11402).</w:t>
      </w:r>
    </w:p>
    <w:p w14:paraId="0F9466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B23FAB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E5651A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086D0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года был утвержден Устав завода № 367 (9188)</w:t>
      </w:r>
    </w:p>
    <w:p w14:paraId="1EFA9D9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F7D7052"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августа 1940 г. в танке А-34 № 311-18-3 вторично вышел из строя вентилятор системы охлаждения двигателя. С 11 по 13 августа 1940 г. на танке А-34 № 311-18-3 устранялись все выявленные накануне неисправности, и проводилось его техническое обслуживание – машина готовилась к запланированному на 14 августа 1940 г. совместному выезду со своим «старшим братом» танком А-34 № 311-11-3. </w:t>
      </w:r>
    </w:p>
    <w:p w14:paraId="5A4ABCEC"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Около полудня 14 августа 1940 г. оба танка отправились в длительный пробег, который был завершен только во второй половине 16 августа. За время пробега дизель М-250 № 4 в танке А-34 № 311-11-3 проработал 27 часов, а дизель М-250 № 3 в танке А-34 № 311-18-3 – 30 часов. Весь следующий день оба танка проходили техническое обслуживание, в ходе которого на танке А-34 № 311-18-3 из-за разрушения резинового массива грузошины были заменены два опорных катка. </w:t>
      </w:r>
    </w:p>
    <w:p w14:paraId="003EA05A"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 20 августа 1940 г. стали последними днями, когда в ходе государственных испытаний дизелей М-250 танки А-34 совместно участвовали в пробегах. После возвращения на завод танк А-34 № 311-11-3 встал на ремонт. </w:t>
      </w:r>
    </w:p>
    <w:p w14:paraId="7D9A3E69"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Из-за повышенной температуры масла комиссией, проводившей испытания было решено опытные масляные баки без радиаторов заменить на серийные баки-радиаторы. Ремонт танка был закончен только к вечеру 22 августа 1940 г. К этому времени танк А-34 № 311-18-3 уже 4 часа находился в движении. О том, что этот выезд будет последним, участники испытаний вряд ли догадывались. Ближе к полудню, когда танк А-34 № 311-18-3 подъезжал к заводу № 183, в системе смазки двигателя резко повысилась температура масла. Оставшуюся часть пути испытателям пришлось пройти при частоте вращения коленчатого вала двигателя, не превышающей 1200 об/мин. После проведенного технического осмотра танка комиссия пришла к выводу, что дизель М-250 № 3 </w:t>
      </w:r>
      <w:r w:rsidRPr="00DB5D0D">
        <w:rPr>
          <w:rFonts w:ascii="Times New Roman" w:hAnsi="Times New Roman"/>
          <w:iCs/>
          <w:color w:val="000000" w:themeColor="text1"/>
          <w:sz w:val="16"/>
          <w:szCs w:val="16"/>
        </w:rPr>
        <w:t xml:space="preserve">«из-за потери работоспособности на 114 час. 32 мин. работы его в танке А-34 под нагрузкой </w:t>
      </w:r>
      <w:r w:rsidRPr="00DB5D0D">
        <w:rPr>
          <w:rFonts w:ascii="Times New Roman" w:hAnsi="Times New Roman"/>
          <w:color w:val="000000" w:themeColor="text1"/>
          <w:sz w:val="16"/>
          <w:szCs w:val="16"/>
        </w:rPr>
        <w:t>[необходимо]</w:t>
      </w:r>
      <w:r w:rsidRPr="00DB5D0D">
        <w:rPr>
          <w:rFonts w:ascii="Times New Roman" w:hAnsi="Times New Roman"/>
          <w:iCs/>
          <w:color w:val="000000" w:themeColor="text1"/>
          <w:sz w:val="16"/>
          <w:szCs w:val="16"/>
        </w:rPr>
        <w:t xml:space="preserve"> снять с испытаний»</w:t>
      </w:r>
      <w:r w:rsidRPr="00DB5D0D">
        <w:rPr>
          <w:rFonts w:ascii="Times New Roman" w:hAnsi="Times New Roman"/>
          <w:color w:val="000000" w:themeColor="text1"/>
          <w:sz w:val="16"/>
          <w:szCs w:val="16"/>
        </w:rPr>
        <w:t xml:space="preserve">. Не в лучшем состоянии находилась и ходовая часть танка – практически на всех опорных катках танка резиновый массив грузошин к дальнейшей эксплуатации был не пригоден. Танк А-34 № 311-18-3 требовал как минимум среднего ремонта. </w:t>
      </w:r>
    </w:p>
    <w:p w14:paraId="2159384F"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танка А-34 № 311-11-3 день 23 августа 1940 г. был более удачным. После двух дней нахождения в ремонте, танк ранним утром продолжил выполнение программы государственных испытаний дизеля М-250 № 4. Очередной пробег был завершен 25 августа 1940 г. ближе к обеду, за двое с лишним суток двигатель проработал в танке около 32 часов. Замена масляных баков желаемого результата не дала, по-прежнему температура масла, входящего в двигатель и выходящего из него, превышала температуру, заданную техническими условиями. Чтобы избежать участи, постигшей дизель М-250 № 3, комиссией было решено переделать систему смазки двигателя. В опытном цехе «540» к 16 сентября 1940 г. в системе смазки были проведены следующие изменения: гофрированные радиаторы на масляных баках были заменены трубчатыми воздухомасляными радиаторами с пластинчатыми ребрами охлаждения. Эти радиаторы были установлены между масляными баками и радиаторами жидкостной системы охлаждения справа и слева от двигателя. Включение радиаторов в систему смазки было параллельное, в связи с чем, расположение масляных трубопроводов в моторном отделении танка практически не изменилось, а было добавлено только 8 трубок, соединявших баки с радиаторами. </w:t>
      </w:r>
    </w:p>
    <w:p w14:paraId="76D201CB"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с измененной системой смазки двигателя утром 17 сентября 1940 г. покинул территорию завода, но уже через 3 часа был вынужден вернуться из-за разрушения лопастей вентилятора системы охлаждения двигателя. Хотя пробег был не продолжительным, но он всё же показал, что проведенные изменения в системе смазки двигателя не обеспечили достаточного охлаждения масла. Танк снова поставили в цех «540» на ремонт. Одновременно с заменой вентилятора вторично была переделана система смазки. Теперь за основу была взята схема охлаждения масла, примененная в системе смазки силовой установки танка БТ-7М, т. е. масляные радиаторы были включены последовательно. Кроме того, для увеличения производительности масляных радиаторов в них были установлены завихрители, представлявшие собой латунные спирали с высеченными на них «шипами-ершами» высотой 3 мм. Завихрители были установлены внутри каждой трубки маслорадиатора. Конструкция бачка-суфлера дизеля так же была изменена. Теперь сконденсированное из паров масло стекало обратно в картер двигателя и в моторное отделение танка не выбрасывалось. Большинство медных трубок было заменено стальными, которые не ломались от вибрации. </w:t>
      </w:r>
    </w:p>
    <w:p w14:paraId="719BB371"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сентября 1940 г. испытания дизеля М-250 № 4 в танке А-34 № 311-11-3 были возобновлены. В этот день двигатель проработал около 8 часов. После обеда на заводе № 183 было произведено техническое обслуживание танка, а утром следующего дня испытания продолжились. Результат – 10 часов работы дизеля под нагрузкой.</w:t>
      </w:r>
    </w:p>
    <w:p w14:paraId="7D3FE910"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время очередного испытательного пробега, 27 сентября 1940 г., около полудня на 103 часе работы дизель М-250 № 4 вышел из строя. На следующий день дизель был демонтирован из танка и передан в отдел «1600» завода № 75 для исследования. </w:t>
      </w:r>
    </w:p>
    <w:p w14:paraId="17DD0420"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концу сентября 1940 г. государственные испытания дизеля М-250 больше напоминали опытные работы по доводке дизеля на машине, а не полноценную </w:t>
      </w:r>
      <w:r w:rsidRPr="00DB5D0D">
        <w:rPr>
          <w:rFonts w:ascii="Times New Roman" w:hAnsi="Times New Roman"/>
          <w:iCs/>
          <w:color w:val="000000" w:themeColor="text1"/>
          <w:sz w:val="16"/>
          <w:szCs w:val="16"/>
        </w:rPr>
        <w:t>«проверку по определению надежности работы дизеля типа М-250 в танке А-34 в течение гарантийного срока – 250 часов работы под нагрузкой»</w:t>
      </w:r>
      <w:r w:rsidRPr="00DB5D0D">
        <w:rPr>
          <w:rFonts w:ascii="Times New Roman" w:hAnsi="Times New Roman"/>
          <w:color w:val="000000" w:themeColor="text1"/>
          <w:sz w:val="16"/>
          <w:szCs w:val="16"/>
        </w:rPr>
        <w:t xml:space="preserve">. В связи с этим комиссией было принято решение: </w:t>
      </w:r>
      <w:r w:rsidRPr="00DB5D0D">
        <w:rPr>
          <w:rFonts w:ascii="Times New Roman" w:hAnsi="Times New Roman"/>
          <w:iCs/>
          <w:color w:val="000000" w:themeColor="text1"/>
          <w:sz w:val="16"/>
          <w:szCs w:val="16"/>
        </w:rPr>
        <w:t>«государственное испытание дизеля М-250 прекратить, все результаты работы Госкомиссии перевести в разряд внутризаводских испытаний с целью доводки двигателя»</w:t>
      </w:r>
      <w:r w:rsidRPr="00DB5D0D">
        <w:rPr>
          <w:rFonts w:ascii="Times New Roman" w:hAnsi="Times New Roman"/>
          <w:color w:val="000000" w:themeColor="text1"/>
          <w:sz w:val="16"/>
          <w:szCs w:val="16"/>
        </w:rPr>
        <w:t xml:space="preserve">. А в заключении по результатам проведенных государственных испытаний дизелей М-250, в частности, было записано следующее: </w:t>
      </w:r>
    </w:p>
    <w:p w14:paraId="14F3F61A"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Государственные испытания дизелей М-250 прекратить. В предъявленном виде, дизель М-250 не может быть рекомендован для Т-34».</w:t>
      </w:r>
      <w:r w:rsidRPr="00DB5D0D">
        <w:rPr>
          <w:rFonts w:ascii="Times New Roman" w:hAnsi="Times New Roman"/>
          <w:color w:val="000000" w:themeColor="text1"/>
          <w:sz w:val="16"/>
          <w:szCs w:val="16"/>
        </w:rPr>
        <w:t xml:space="preserve"> </w:t>
      </w:r>
    </w:p>
    <w:p w14:paraId="6E34F8F1" w14:textId="77777777" w:rsidR="00F81A27" w:rsidRPr="00DB5D0D" w:rsidRDefault="00F81A27" w:rsidP="00DB5D0D">
      <w:pPr>
        <w:pStyle w:val="ae"/>
        <w:spacing w:before="0" w:after="0"/>
        <w:jc w:val="both"/>
        <w:rPr>
          <w:color w:val="000000" w:themeColor="text1"/>
          <w:sz w:val="16"/>
          <w:szCs w:val="16"/>
        </w:rPr>
      </w:pPr>
      <w:r w:rsidRPr="00DB5D0D">
        <w:rPr>
          <w:bCs/>
          <w:color w:val="000000" w:themeColor="text1"/>
          <w:sz w:val="16"/>
          <w:szCs w:val="16"/>
        </w:rPr>
        <w:t>[РГВА. Ф. 31811. Оп. 3. Д. 2035. Л. 3]</w:t>
      </w:r>
    </w:p>
    <w:p w14:paraId="013F29EB"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выходом из строя дизеля М-250 № 4 единственной надеждой на успешное проведение заводских испытаний оставался последний из пяти изготовленных заводом № 75 двигателей М-250. Дизель с пятым порядковым номером 24 сентября 1940 г. был установлен в танк А-34 № 311-18-3. Испытания дизеля затянулись на месяц, </w:t>
      </w:r>
      <w:r w:rsidRPr="00DB5D0D">
        <w:rPr>
          <w:rFonts w:ascii="Times New Roman" w:hAnsi="Times New Roman"/>
          <w:color w:val="000000" w:themeColor="text1"/>
          <w:sz w:val="16"/>
          <w:szCs w:val="16"/>
        </w:rPr>
        <w:lastRenderedPageBreak/>
        <w:t xml:space="preserve">25 октября 1940 г. в системе смазки дизеля М-250 № 5 было обнаружено падение давления. На следующий день двигатель в опытном цехе «540» завода № 183 был демонтирован из танка и передан отделу «1600» завода № 75 для исследования. 27 октября 1940 г. при разборке дизеля М-250 № 5 в коленчатом валу в районе пятой коренной шейки была обнаружена продольная трещина. К моменту аварии двигатель проработал около 48 часов на стенде и 75 часов 21 минуту в танке. </w:t>
      </w:r>
    </w:p>
    <w:p w14:paraId="6F37D34A"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после прекращения государственных испытаний также был использован в опытных работах по доводке дизеля М-250. В начале октября 1940 г. на танк был установлен дизель М-250 № 2, отработавший в период с 16 апреля по 8 мая 1940 г. на заводских стендовых испытаниях 349 часов 41 минуту. Также на машину был установлен опытный главный фрикцион, отличавшийся от серийного главного фрикциона танка Т-34 тем, что вместо восьми ведущих чугунных и десяти ведомых стальных дисков в нем имелось двенадцать ведомых и десять ведущих стальных дисков. Кроме этого диски опытного главного фрикциона имели вырезы, предназначавшиеся для уменьшения коробления дисков при их нагреве и прерывания образовывавшихся на них круговых задиров. В каждом ведомом и ведущем диске было сделано по 4 выреза глубиной 13 мм и шириной 10 мм, расположенных на равном расстоянии друг от друга на тех сторонах дисков, на которых не было зубьев. </w:t>
      </w:r>
    </w:p>
    <w:p w14:paraId="4BB1C38E"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Однако завершить заводские испытания дизеля М-250 № 2 и опытного главного фрикциона в танке А-34 не удалось потому, что интенсивно эксплуатировавшиеся на протяжении 9 месяцев опытные танки А-34 в начале ноября 1940 г. было решено капитально отремонтировать. </w:t>
      </w:r>
    </w:p>
    <w:p w14:paraId="7DA805C2"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отметить, что, несмотря на то, что дизели М-250 государственных испытаний не выдержали, некоторые примененные в них удачные технические решения в 1941 г. были реализованы в конструкции дизеля В-2 четвертой серии. </w:t>
      </w:r>
    </w:p>
    <w:p w14:paraId="31F1E840" w14:textId="77777777" w:rsidR="00F81A27" w:rsidRPr="00DB5D0D" w:rsidRDefault="00F81A2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Что же касается танков А-34, то с 15 ноября и до середины декабря 1940 г. оба они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2867B3FF" w14:textId="77777777" w:rsidR="00F81A27" w:rsidRPr="00DB5D0D" w:rsidRDefault="00F81A2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D7101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г. вышло постановление ЦК ВКП(б) и СНК СССР "О развертывании производства мотоциклов на Ижевском мотозаводе" (ныне АО "Ижевский мотозавод "Аксион-холдинг") поставило перед коллективом завода задачу оснащения Красной Армии новыми видами мотоциклов. Началась реконструкция завода, строились новые производственные здания. Од-нако этим планам не суждено было сбыться (9681).</w:t>
      </w:r>
    </w:p>
    <w:p w14:paraId="635FBA5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0A0468F" w14:textId="77777777" w:rsidR="00A62789" w:rsidRPr="00DB5D0D" w:rsidRDefault="00A627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августа 1940 г.</w:t>
      </w:r>
    </w:p>
    <w:p w14:paraId="4FBFD449" w14:textId="77777777" w:rsidR="00A62789" w:rsidRPr="00DB5D0D" w:rsidRDefault="00A627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Решение Политбюро, протокол от 10.VIII.40 г.</w:t>
      </w:r>
    </w:p>
    <w:p w14:paraId="0D3FC393" w14:textId="77777777" w:rsidR="00A62789" w:rsidRPr="00DB5D0D" w:rsidRDefault="00A627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160. О снабжении Красной Армии мотоциклами и развитии мотоциклетной промышленности. — ОП (20771).</w:t>
      </w:r>
    </w:p>
    <w:p w14:paraId="623E83B7" w14:textId="77777777" w:rsidR="00A62789" w:rsidRPr="00DB5D0D" w:rsidRDefault="00A62789" w:rsidP="00DB5D0D">
      <w:pPr>
        <w:spacing w:after="0" w:line="240" w:lineRule="auto"/>
        <w:jc w:val="both"/>
        <w:rPr>
          <w:rFonts w:ascii="Times New Roman" w:hAnsi="Times New Roman"/>
          <w:color w:val="0070C0"/>
          <w:sz w:val="16"/>
          <w:szCs w:val="16"/>
        </w:rPr>
      </w:pPr>
    </w:p>
    <w:p w14:paraId="6A7D8342" w14:textId="77777777" w:rsidR="00147062" w:rsidRPr="00DB5D0D" w:rsidRDefault="0014706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Постановлением ЦК ВКП(б) и СНК СССР № 1423–559сс Главмотовелопром Наркомобщемаша получил задание освоить на Ижевском, Серпуховском (СМЗ) и Ленинградском заводах производство мотоцикла Л-8. Освоение нового мотоцикла шло тяжело, с отставанием от заданных сроков, поскольку требовала существенной реорганизации производства. Хотя для легких мотоциклов обоих заводов была утверждена единая спецификация, в Ижевске в ходе адаптации конструкторской документации с учетом имевшегося оборудования спроектировали практически новый образец «мотоцикла Л-8 на базе экипажной части мотоцикла Ижевского завода ИЖ-9, с сохранением двигателя и коробки передач мотоцикла Л-8». Мотоцикл успешно прошел испытания и Нарком общего машиностроения А. Паршин 12 ноября 1940 письмом № 8564с обратился в Правительство с просьбой разрешить поставить на производство на Ижевском мотоциклетном заводе «частично модернизированный мотоцикл Л-8 /мотор и коробка скоростей Л-8 на экипажной части ИЖ-9/» с организацией его выпуска в течение III квартала 1941 г., с тем чтобы с IV квартала 1941 перейти на производство мотоцикла Л-8, модернизированного в соответствии с требованиями ГАБТУ КА. Оценка ГАБТУ модернизированного мотоцикла оказалась даже выше чем у Л-8: «произведенная Ижевским мотозаводом частичная модернизация удовлетворяет основные требования ГАБТУ как существующей конструкции мотоцикла Л-8 по снижению веса и повышению клиренса». Новый мотоцикл был одобрен военными, поэтому с планов производства Л-8 был снят, и 4 марта 1941 г. правительственным Постановлением он был утвержден к серийному производству в качестве основного легкого армейского мотоцикла под маркой ИЖ-12. Серийное производство ИЖ-12 предполагалось начать не только в Ижевске, но и в Серпухове вместо мопедов («малолитражных мотоциклов»). На Серпуховском заводе (СМЗ) выпуск ИЖ-12 должен был начаться с 1 декабря 1941 г. с одновременным прекращением постройки Л-8. В 3 квартале 1942 г. планировалось окончание реконструкции завода с выходом на мощность 10 000 мотоциклов в год. Начать выпуск мотоциклов ИЖ-12 на Ижевском заводе предполагали с мая 1941 г, прекратив производство мотоциклов ИЖ-9 с июля 1941 года. Реконструкцию Ижевского завода, с выходом на мощность 10 000 мотоциклов в год, следовало закончить в 1 квартале 1942 г. Завод № 234 планировалось перевести на выпуск военного мотоцикла с коляской. Еще одним заводом для выпуска ИЖ-12 намечался новостроящемся Рижском. К 1944 выпуск легких мотоциклов должен был составить 40 тыс. шт в год. Однако война разрушила все планы и Рижский завод в строй действующих вступить не успел. Освоение производства мотоциклов шло с отставанием от утвержденного Правительством графика, и 19 июня 1941 г вышло Постановление СНК СССР № 1674–702сс «О производстве мото циклов». В постановлении отмечалось не</w:t>
      </w:r>
      <w:r w:rsidRPr="00DB5D0D">
        <w:rPr>
          <w:rFonts w:ascii="Times New Roman" w:hAnsi="Times New Roman"/>
          <w:color w:val="000000" w:themeColor="text1"/>
          <w:sz w:val="16"/>
          <w:szCs w:val="16"/>
        </w:rPr>
        <w:softHyphen/>
        <w:t>выполнение НКСМ и НКБ плана производства мотоциклов за 5 месяцев 1941 г., а также отставание по срокам в подготовке производства и мощностей к выпуску новых типов мотоциклов. СНК поручал «принять все меры» и доложить о результатах в комиссию по военным и военно-морским делам при Правительстве к 10 июля. Постановлением был утвержден новый план производства мотоциклов на 3 квартал в объеме 15 600 шт., в том числе 2200 Иж-12 и 900 Л-8. Уже через три дня Постановление потеряло актуальность. Руководителями заводов были вскрыты мобилизационные пакеты, и предприятия переключились на выпуск новой продукции. С приближением германских войск к Москве, Серпуховский завод был эвакуирован в Ижевск, а на оставшемся оборудовании стали выполняться текущие военные заказы. До начала октября СМЗ сдал 280 мотоциклов Л-8. Ижевский мотозавод к этому времени сдал 3500 мотоциклов ИЖ-9 при плане в 3050. Однако темп освоения ИЖ-12 был неудовлетворительным — в январе сдали три мотоцикла, в апреле и июне по одному, в июле девять и в августе 15. Кроме того, СМЗ вне плана успел до эвакуации сдать 48 мопедов, собранных из задела прошлых лет (19776).</w:t>
      </w:r>
    </w:p>
    <w:p w14:paraId="6C217662" w14:textId="77777777" w:rsidR="00147062" w:rsidRPr="00DB5D0D" w:rsidRDefault="00147062" w:rsidP="00DB5D0D">
      <w:pPr>
        <w:spacing w:after="0" w:line="240" w:lineRule="auto"/>
        <w:jc w:val="both"/>
        <w:rPr>
          <w:rFonts w:ascii="Times New Roman" w:hAnsi="Times New Roman"/>
          <w:color w:val="000000" w:themeColor="text1"/>
          <w:sz w:val="16"/>
          <w:szCs w:val="16"/>
        </w:rPr>
      </w:pPr>
    </w:p>
    <w:p w14:paraId="5AC76DA9" w14:textId="77777777" w:rsidR="001722E4" w:rsidRPr="00DB5D0D" w:rsidRDefault="001722E4" w:rsidP="00DB5D0D">
      <w:pPr>
        <w:spacing w:after="0" w:line="240" w:lineRule="auto"/>
        <w:jc w:val="both"/>
        <w:rPr>
          <w:rStyle w:val="aff6"/>
          <w:rFonts w:ascii="Times New Roman" w:eastAsia="Arial Narrow" w:hAnsi="Times New Roman" w:cs="Times New Roman"/>
          <w:i w:val="0"/>
          <w:color w:val="000000" w:themeColor="text1"/>
        </w:rPr>
      </w:pPr>
      <w:r w:rsidRPr="00DB5D0D">
        <w:rPr>
          <w:rFonts w:ascii="Times New Roman" w:hAnsi="Times New Roman"/>
          <w:color w:val="000000" w:themeColor="text1"/>
          <w:sz w:val="16"/>
          <w:szCs w:val="16"/>
        </w:rPr>
        <w:t>10 ав</w:t>
      </w:r>
      <w:r w:rsidRPr="00DB5D0D">
        <w:rPr>
          <w:rFonts w:ascii="Times New Roman" w:hAnsi="Times New Roman"/>
          <w:color w:val="000000" w:themeColor="text1"/>
          <w:sz w:val="16"/>
          <w:szCs w:val="16"/>
        </w:rPr>
        <w:softHyphen/>
        <w:t>густа 1940 г. согласно постановлению ЦК ВКП(б) и СНК Союза ССР за №П19/160, на Кара</w:t>
      </w:r>
      <w:r w:rsidRPr="00DB5D0D">
        <w:rPr>
          <w:rFonts w:ascii="Times New Roman" w:hAnsi="Times New Roman"/>
          <w:color w:val="000000" w:themeColor="text1"/>
          <w:sz w:val="16"/>
          <w:szCs w:val="16"/>
        </w:rPr>
        <w:softHyphen/>
        <w:t>чаровский механический заводе Наркомата коммунального хозяйства возлагалось изготовле</w:t>
      </w:r>
      <w:r w:rsidRPr="00DB5D0D">
        <w:rPr>
          <w:rFonts w:ascii="Times New Roman" w:hAnsi="Times New Roman"/>
          <w:color w:val="000000" w:themeColor="text1"/>
          <w:sz w:val="16"/>
          <w:szCs w:val="16"/>
        </w:rPr>
        <w:softHyphen/>
        <w:t>ние в 1940 г, - 100 шт. и в 1941 г. 5500 шт. прицепных колясок к мотоци</w:t>
      </w:r>
      <w:r w:rsidRPr="00DB5D0D">
        <w:rPr>
          <w:rFonts w:ascii="Times New Roman" w:hAnsi="Times New Roman"/>
          <w:color w:val="000000" w:themeColor="text1"/>
          <w:sz w:val="16"/>
          <w:szCs w:val="16"/>
        </w:rPr>
        <w:softHyphen/>
        <w:t>клам</w:t>
      </w:r>
      <w:r w:rsidRPr="00DB5D0D">
        <w:rPr>
          <w:rStyle w:val="aff6"/>
          <w:rFonts w:ascii="Times New Roman" w:eastAsia="Arial Narrow" w:hAnsi="Times New Roman" w:cs="Times New Roman"/>
          <w:i w:val="0"/>
          <w:color w:val="000000" w:themeColor="text1"/>
        </w:rPr>
        <w:t xml:space="preserve"> «нового типа» (15769).</w:t>
      </w:r>
    </w:p>
    <w:p w14:paraId="2FC6C124" w14:textId="77777777" w:rsidR="001722E4" w:rsidRPr="00DB5D0D" w:rsidRDefault="001722E4" w:rsidP="00DB5D0D">
      <w:pPr>
        <w:spacing w:after="0" w:line="240" w:lineRule="auto"/>
        <w:jc w:val="both"/>
        <w:rPr>
          <w:rStyle w:val="aff6"/>
          <w:rFonts w:ascii="Times New Roman" w:eastAsia="Arial Narrow" w:hAnsi="Times New Roman" w:cs="Times New Roman"/>
          <w:i w:val="0"/>
          <w:color w:val="000000" w:themeColor="text1"/>
        </w:rPr>
      </w:pPr>
    </w:p>
    <w:p w14:paraId="76EC4643" w14:textId="77777777" w:rsidR="00147062" w:rsidRPr="00DB5D0D" w:rsidRDefault="0014706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г. Постановлением ЦК ВКП(б) и СНК Союза ССР за №П19/160 на Карачаровский завод было возложено изготовление в 1940 г. — 100 шт и в 1941 г. 5500 шт. прицепных колясок к мотоциклам «нового типа». Однако до октября 1940 г. техническая документация на завод так и не поступила, в вязи с чем глава Наркомхоза РСФСР В. Макаров писал маршалу Ворошилову: «Вся техническая документация (чертежи и технические условия) на прицепную коляску должна быть представлена Карачаровскому заводу Главмотовелопромом […]. Главмотовелопром […] приступил к проектированию коляски образца БМВ-К-71 и может дать техническую документацию Карачаровскому заводу после опробирования образца и корректировки чертежей. Не имея технической документации, Наркомхоз РСФСР лишен возможности организовать выпуск в 1У квартале 1940 года — 100 шт. прицепных колясок, а также произвести подготовку производства к выпуску прицепных колясок с начала 1941 года. Прошу дать указание […] обеспечить изготовление и передачу Наркомхозу РСФСР чертежей и технических условий коляски БМВ-К-71 не позже 15 декабря 1940 г. Это даст возможность подготовить производство к выпуску прицепных колясок в 1941 г.».</w:t>
      </w:r>
    </w:p>
    <w:p w14:paraId="61505D6B" w14:textId="77777777" w:rsidR="00147062" w:rsidRPr="00DB5D0D" w:rsidRDefault="0014706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Техническая документация на коляски своевременно Карачаровскому заводу передана не была, и он был загружен выпуском другой продукции. После утверждения технической документации, заказ на коляски передали на завод в Горьком. Затем ему же поручили изготовление карданного вала и колес. План выпуска колясок для завода был установлен в соответствии с общим планом развития производства мотоциклов М-72 с колясками на 1941 год в количестве до 40 000 шт. К началу войны автозавод в Горьком наладил серийное производство колясок и был готов обеспечить ими мотозаводы полностью. Но сначала возникла задержка освоения в производстве мотоцикла М-72, позже эвакуация мотозаводов на Восток, и потребность в колясках была незначительна. В результате завод свернул производство колясок, переключившись на изготовление танковых деталей. В итоге выпуск мотоколясок в 1942 году сократился (19776).</w:t>
      </w:r>
    </w:p>
    <w:p w14:paraId="631CAD0F" w14:textId="77777777" w:rsidR="00147062" w:rsidRPr="00DB5D0D" w:rsidRDefault="00147062" w:rsidP="00DB5D0D">
      <w:pPr>
        <w:spacing w:after="0" w:line="240" w:lineRule="auto"/>
        <w:jc w:val="both"/>
        <w:rPr>
          <w:rFonts w:ascii="Times New Roman" w:hAnsi="Times New Roman"/>
          <w:color w:val="000000" w:themeColor="text1"/>
          <w:sz w:val="16"/>
          <w:szCs w:val="16"/>
        </w:rPr>
      </w:pPr>
    </w:p>
    <w:p w14:paraId="5E27F47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3DDA2EC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64269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вышел указ об уголовной ответственности за мелкие кражи на производстве (69,179).</w:t>
      </w:r>
    </w:p>
    <w:p w14:paraId="6CE1DCE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754BF6" w14:textId="77777777" w:rsidR="00A62789" w:rsidRPr="00DB5D0D" w:rsidRDefault="00A6278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августа 1940 в СССР наказание за хулиганство увеличили до трех лет тюрьмы (21190).</w:t>
      </w:r>
    </w:p>
    <w:p w14:paraId="53F00005" w14:textId="77777777" w:rsidR="00A62789" w:rsidRPr="00DB5D0D" w:rsidRDefault="00A62789" w:rsidP="00DB5D0D">
      <w:pPr>
        <w:spacing w:after="0" w:line="240" w:lineRule="auto"/>
        <w:jc w:val="both"/>
        <w:rPr>
          <w:rFonts w:ascii="Times New Roman" w:hAnsi="Times New Roman"/>
          <w:color w:val="0070C0"/>
          <w:sz w:val="16"/>
          <w:szCs w:val="16"/>
        </w:rPr>
      </w:pPr>
    </w:p>
    <w:p w14:paraId="2FE548E4" w14:textId="77777777" w:rsidR="001722E4" w:rsidRPr="00DB5D0D" w:rsidRDefault="001722E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августа в 1940 году </w:t>
      </w:r>
      <w:hyperlink r:id="rId284" w:tgtFrame="_blank" w:history="1">
        <w:r w:rsidRPr="00DB5D0D">
          <w:rPr>
            <w:rFonts w:ascii="Times New Roman" w:hAnsi="Times New Roman"/>
            <w:color w:val="000000" w:themeColor="text1"/>
            <w:sz w:val="16"/>
            <w:szCs w:val="16"/>
          </w:rPr>
          <w:t xml:space="preserve">Указ Президиума ВС СССР от 10.08.1940 "Об уголовной ответственности за мелкие кражи на производстве и за хулиганство" </w:t>
        </w:r>
      </w:hyperlink>
      <w:r w:rsidRPr="00DB5D0D">
        <w:rPr>
          <w:rFonts w:ascii="Times New Roman" w:hAnsi="Times New Roman"/>
          <w:color w:val="000000" w:themeColor="text1"/>
          <w:sz w:val="16"/>
          <w:szCs w:val="16"/>
        </w:rPr>
        <w:t>(14979).</w:t>
      </w:r>
    </w:p>
    <w:p w14:paraId="0A2A0FC0" w14:textId="77777777" w:rsidR="001722E4" w:rsidRPr="00DB5D0D" w:rsidRDefault="001722E4" w:rsidP="00DB5D0D">
      <w:pPr>
        <w:spacing w:after="0" w:line="240" w:lineRule="auto"/>
        <w:jc w:val="both"/>
        <w:rPr>
          <w:rFonts w:ascii="Times New Roman" w:hAnsi="Times New Roman"/>
          <w:color w:val="000000" w:themeColor="text1"/>
          <w:sz w:val="16"/>
          <w:szCs w:val="16"/>
        </w:rPr>
      </w:pPr>
    </w:p>
    <w:p w14:paraId="585534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августа 1940 был принят новый Указ Верховного Совета СССР, который ужесточил ответственность за мелкие кражи на производстве, заменив увольнение годом тюремного заключения. Данный Указ был принят одновременно с Указом, упростившим процедуру судебных рассмотрений дел о нарушении трудовой дисциплины. Отныне дела о прогулах и самовольном уходе с предприятий и учреждений должны были рассматриваться без участия адвокатов и народных заседателей. 5 августа </w:t>
      </w:r>
      <w:r w:rsidRPr="00DB5D0D">
        <w:rPr>
          <w:rFonts w:ascii="Times New Roman" w:hAnsi="Times New Roman"/>
          <w:color w:val="000000" w:themeColor="text1"/>
          <w:sz w:val="16"/>
          <w:szCs w:val="16"/>
        </w:rPr>
        <w:lastRenderedPageBreak/>
        <w:t>была опубликована передовая "Правды" "Покровительство прогульщикам - преступление против государства", в которой осуждались "гнилые либералы" - руководители предприятий и работники судов, не проявляющие должной жестокости к рабочим, допускающим прогулы и опоздания на работу (9492).</w:t>
      </w:r>
    </w:p>
    <w:p w14:paraId="57C5C4A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16D6D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года вышел закон, приговаривающий к одному-трем годам лагерей за хулиганство, за брак на производстве, а также за мелкие хищения на месте работы (6804).</w:t>
      </w:r>
    </w:p>
    <w:p w14:paraId="5C3E016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1C99953" w14:textId="77777777" w:rsidR="005F324E" w:rsidRPr="00DB5D0D" w:rsidRDefault="005F324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г. в соответствии с Указом “Об уголовной ответственности за мелкие кражи на производстве и за хулиганство” рабочие и служащие за мелкую кражу «независимо от ее размеров» и хулиганство, совершенные на предприятии или в учреждении, не увольнялись с работы (как это было ранее и чем пользовались многие, чтобы сменить работу), а карались тюремным заключением (17460).</w:t>
      </w:r>
    </w:p>
    <w:p w14:paraId="3E0BE01E" w14:textId="77777777" w:rsidR="005F324E" w:rsidRPr="00DB5D0D" w:rsidRDefault="005F324E" w:rsidP="00DB5D0D">
      <w:pPr>
        <w:spacing w:after="0" w:line="240" w:lineRule="auto"/>
        <w:jc w:val="both"/>
        <w:rPr>
          <w:rFonts w:ascii="Times New Roman" w:hAnsi="Times New Roman"/>
          <w:color w:val="000000" w:themeColor="text1"/>
          <w:sz w:val="16"/>
          <w:szCs w:val="16"/>
        </w:rPr>
      </w:pPr>
    </w:p>
    <w:p w14:paraId="68A1A60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в СССР наказание за хулиганство увеличено до трех лет тюрьмы (4962).</w:t>
      </w:r>
    </w:p>
    <w:p w14:paraId="1C6A5CA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771B99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0EA2C9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2BDD9C0" w14:textId="77777777" w:rsidR="001722E4" w:rsidRPr="00DB5D0D" w:rsidRDefault="001722E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августа в 1940 году, день начала массированных налётов на Британские острова , началась воздушная наступательная операция получила название </w:t>
      </w:r>
      <w:hyperlink r:id="rId285" w:tgtFrame="_blank" w:history="1">
        <w:r w:rsidRPr="00DB5D0D">
          <w:rPr>
            <w:rFonts w:ascii="Times New Roman" w:hAnsi="Times New Roman"/>
            <w:color w:val="000000" w:themeColor="text1"/>
            <w:sz w:val="16"/>
            <w:szCs w:val="16"/>
          </w:rPr>
          <w:t xml:space="preserve">«Adlerangriff» </w:t>
        </w:r>
      </w:hyperlink>
      <w:r w:rsidRPr="00DB5D0D">
        <w:rPr>
          <w:rFonts w:ascii="Times New Roman" w:hAnsi="Times New Roman"/>
          <w:color w:val="000000" w:themeColor="text1"/>
          <w:sz w:val="16"/>
          <w:szCs w:val="16"/>
        </w:rPr>
        <w:t>(орлиная атака). Перед немецкой авиацией ставилась задача в первую очередь сокрушить боевые авиационные части противника, его аэродромы и органы снабжения, а также авиационную промышленность и заводы, производящие зенитное вооружение (14979).</w:t>
      </w:r>
    </w:p>
    <w:p w14:paraId="5857715E" w14:textId="77777777" w:rsidR="001722E4" w:rsidRPr="00DB5D0D" w:rsidRDefault="001722E4" w:rsidP="00DB5D0D">
      <w:pPr>
        <w:spacing w:after="0" w:line="240" w:lineRule="auto"/>
        <w:jc w:val="both"/>
        <w:rPr>
          <w:rFonts w:ascii="Times New Roman" w:hAnsi="Times New Roman"/>
          <w:color w:val="000000" w:themeColor="text1"/>
          <w:sz w:val="16"/>
          <w:szCs w:val="16"/>
        </w:rPr>
      </w:pPr>
    </w:p>
    <w:p w14:paraId="2DA4FC1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вишистское правительство Франции предложило Германии 200 французских пилотов для участия во вторжении в Англию (4962).</w:t>
      </w:r>
    </w:p>
    <w:p w14:paraId="2D67C92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19C01D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1940 у берегов Ирландии немецкой подлодкой затоплен английский торговый корабль «Трансильвания» (4962).</w:t>
      </w:r>
    </w:p>
    <w:p w14:paraId="58FF121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C668BD2" w14:textId="77777777" w:rsidR="001722E4" w:rsidRPr="00DB5D0D" w:rsidRDefault="001722E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августа в 1940 году Испания предъявила Великобритании требования о возврате Гибралтара (14979).</w:t>
      </w:r>
    </w:p>
    <w:p w14:paraId="150EDFD1" w14:textId="77777777" w:rsidR="001722E4" w:rsidRPr="00DB5D0D" w:rsidRDefault="001722E4" w:rsidP="00DB5D0D">
      <w:pPr>
        <w:spacing w:after="0" w:line="240" w:lineRule="auto"/>
        <w:jc w:val="both"/>
        <w:rPr>
          <w:rFonts w:ascii="Times New Roman" w:hAnsi="Times New Roman"/>
          <w:color w:val="000000" w:themeColor="text1"/>
          <w:sz w:val="16"/>
          <w:szCs w:val="16"/>
        </w:rPr>
      </w:pPr>
    </w:p>
    <w:p w14:paraId="76AD174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9642F5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37981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1940 г. закончились полеты па пикирование на СБ-РК (запускался в серию как пикирующий бомбардировщик с подвижными тормозными решетками и установкой автомата выхода из пикирования), которые велись с 27 июля. Тормозные решетки создавали кабрирующий момент, способствуя выводу из пикирования. Впервые эти приспособления установили на самолете № 1/281 (8286,27).</w:t>
      </w:r>
    </w:p>
    <w:p w14:paraId="275915D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FA770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1940 г. закончились испытания пикирующего варианта СБ-РК, оснащенного подвижными тормозными решетками и автоматом вывода самолета из пикирования по типу Ju88, которые проходили с 27 июля 1940 (9655).</w:t>
      </w:r>
    </w:p>
    <w:p w14:paraId="7584B2F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D1C0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1940 года работы по доводке самолета И-301 М-105П – гл. конструкторы Горбунов, Лавочкин и Гудков, Завод № 301были окончены. После госиспытаний в НИИ ВВС в машине были сделаны следующие основные изменения:</w:t>
      </w:r>
    </w:p>
    <w:p w14:paraId="4FCF55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Увеличена жесткость лонжерона руля глубины в расчете на производство полетов на пикирование.</w:t>
      </w:r>
    </w:p>
    <w:p w14:paraId="601137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Переделана заслонка водяного радиатора.</w:t>
      </w:r>
    </w:p>
    <w:p w14:paraId="0F7A80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Поставлено вооружение: 2 ШКАС и 2 БС.</w:t>
      </w:r>
    </w:p>
    <w:p w14:paraId="699752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Изменена система креплений привязных ремней.</w:t>
      </w:r>
    </w:p>
    <w:p w14:paraId="6D3929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Улучшена вентиляция кабины и устранены некоторые мелкие производственные дефекты.</w:t>
      </w:r>
    </w:p>
    <w:p w14:paraId="44F6E5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 часов на аэродроме завода № 301 был совершен первый полет после доводки самолета. Полет продолжительностью 20 минут имел целью опробывание в воздухе агрегатов самолета и освоение летчика с машиной перед тренировочными полетами по подготовке к параду 18 августа 1940 года.</w:t>
      </w:r>
    </w:p>
    <w:p w14:paraId="4EC4EF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инженер 1 ранга Никашин, взлет произвел нормально, набрал высоту 1000 м, убрал шасси и сделал несколько кругов над аэродромом на Н=1000 м, затем проделал несколько правых и левых виражей, затем крутым планированием снизился и пошел на большой скорости (475 км/час по прибору) на высоте 100 м. Потом самолет взял горку и после разворота пошел на посадку.</w:t>
      </w:r>
    </w:p>
    <w:p w14:paraId="743491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были выпущены своевременно, заход на посадку был произведен со стороны ангаров завода № 301. Самолет шел строго по "Т" против солнца. Посадка была произведена с недомазом до "Т". При выравнивании самолет ударился о бугор, его взмыло и после второго удара шасси были вырваны из узлов и пробило верхнюю обшивку плоскостей, самолет затем протянул по земле несколько метров, развернулся влево и лег на фюзеляж.</w:t>
      </w:r>
    </w:p>
    <w:p w14:paraId="1FC12B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невредим. У самолета вырван костыль, пробиты плоскости, повреждена нижняя обшивка фюзеляжа, сорвана заслонка водяного радиатора, помят нижний капот мотора (3377, 35).</w:t>
      </w:r>
    </w:p>
    <w:p w14:paraId="50BF5BF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83730D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1940 года работы по доводке самолета были окончены. После гос. испытаний в НИИ ВВС в машине были сделаны следующие основные изменения:</w:t>
      </w:r>
    </w:p>
    <w:p w14:paraId="585AD2A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Увеличена жесткость лонжерона руля глубины в расчете на производство полетов на пикирование.</w:t>
      </w:r>
    </w:p>
    <w:p w14:paraId="2F50ED6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Переделана заслонка водяного радиатора.</w:t>
      </w:r>
    </w:p>
    <w:p w14:paraId="4EB01E8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Поставлено вооружение: 2 ШКАС и 2 БС.</w:t>
      </w:r>
    </w:p>
    <w:p w14:paraId="558FC48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Изменена система креплений привязных ремней.</w:t>
      </w:r>
    </w:p>
    <w:p w14:paraId="07747F8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Улучшена вентиляция кабины и устранены некоторые мелкие производственные дефекты.</w:t>
      </w:r>
    </w:p>
    <w:p w14:paraId="1B4D7F9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 часов на аэродроме завода № 301 был совершен первый полет после доводки самолета. Полет продолжительностью 20 минут имел целью опробование в воздухе агрегатов самолета и освоение летчика с машиной перед тренировочными полетами по подготовке к параду 18 августа 1940 года.</w:t>
      </w:r>
    </w:p>
    <w:p w14:paraId="07248F0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в/инженер 1 ранга Никашин взлет произвел нормально, набрал высоту 1000 метров, затем проделал несколько правых и левых виражей, затем крутым планированием снизился и прошел на большой скорости (475 км/час по прибору) на высоте 100 м. Потом самолет взял горку и после разворота пошел на посадку.</w:t>
      </w:r>
    </w:p>
    <w:p w14:paraId="208F20B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были выпущены своевременно, заход на посадку был произведен со стороны ангаров завода № 301. Самолет шел строго по "Т" против солнца. Посадка была произведена с недомазом по "Т". При выравнивании самолет ударился о бугор, его взмыло и после второго удара шасси были вырваны из узлов и пробило верхнюю обшивку плоскостей, самолет затем протянул по земле несколько метров, развернулся влево и лег на фюзеляж. Летчик невредим. У самолета вырван костыль, пробиты плоскости, повреждена нижняя обшивка фюзеляжа, сорвана заслонка водяного радиатора, помят нижний капот мотора (3420, 64-68).</w:t>
      </w:r>
    </w:p>
    <w:p w14:paraId="2DE5B51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605FF8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1940 были окончены работы по доводке самолета И-301 М-105П гл. констр. Горбунов, Лавочкин и Гудков. Завод N 301. В 19 час. на аэродроме завода N 301 был совершен первый полет после доводки самолета. Полет продолжительностью 20 мин., имел целью - опробование в воздухе агрегатов самолета и освоение летчика с машиной перед тренировочными полетами по подготовке к параду 18 августа 1904 г.</w:t>
      </w:r>
    </w:p>
    <w:p w14:paraId="5CC6C6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в/инженер 1 ранга Никашин.</w:t>
      </w:r>
    </w:p>
    <w:p w14:paraId="50C171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посадке самолет ударился о бугор. У самолета вырван костыль, пробиты плоскости, повреждена нижняя обшивка фюзеляжа и др. НКАП отмечал, что необходимо дать указание заводу N 301 о производстве срочных работ по окончании постройки 2-го экз. самолета И-301. Кроме того, необходимо не прекращать работы по постройке войсковой серии машин И-301 на заводе N 23 (3362).</w:t>
      </w:r>
    </w:p>
    <w:p w14:paraId="281DF05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F9AA6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1940 состоялся первый вылет И-301-2 ЛаГГ. Летал А.И.Никашин от НИИ ВВС в качестве заводского летчика. Попал на посадке на кочку и подломил шасси - стойки вылезли из крыла сверху. Приехал А.С.Я., позлорадствовал, сказал, что ЛаГГ отстанет на несколько месяцев (1204,74).</w:t>
      </w:r>
    </w:p>
    <w:p w14:paraId="0AE231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это был 1-й экз. И-301 после доводки на 301 заводе по результатам гос. испытаний, которые не закончились в части полетов на пикирование, штопор и бочки. Авария была по вине л. Потом ремонтировали (2090,147).</w:t>
      </w:r>
    </w:p>
    <w:p w14:paraId="227E776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B416E78"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«11 августа 1940 года, согласно сводке о ходе испытаний опытных самолетов на 12 августа 1940 года, работы по доводке самолета И-301 были окончены. После госиспытаний в НИИ ВВС в машине были сделаны следующие основные изменения: Увеличена жесткость лонжерона руля глубины в расчете на производство полетов на пикирование, переделана заслонка водяного радиатора, поставлено вооружение: 2 ШКАС и 2 БС, изменена система креплений привязных ремней, улучшена вентиляция кабины и устранены некоторые мелкие производственные дефекты. В 19 часов на аэродроме завода № 301 был совершен первый полет после доводки самолета. Полет продолжительностью 20 минут имел целью опробование в воздухе агрегатов самолета и освоение летчика с машиной перед тренировочными полетами по подготовке к параду 18 августа 1940 года. Летчик, инженер 1 ранга Никашин, взлет произвел нормально, набрал высоту 1000 м, убрал шасси и сделал </w:t>
      </w:r>
      <w:r w:rsidRPr="00DB5D0D">
        <w:rPr>
          <w:rFonts w:ascii="Times New Roman" w:hAnsi="Times New Roman"/>
          <w:color w:val="0070C0"/>
          <w:sz w:val="16"/>
          <w:szCs w:val="16"/>
        </w:rPr>
        <w:lastRenderedPageBreak/>
        <w:t>несколько кругов над аэродромом на Н=1000 м, затем проделал несколько правых и левых виражей, затем крутым планированием снизился и пошел на большой скорости (475 км/час по прибору) на высоте 100 м. Потом самолет взял горку и после разворота пошел на посадку. Шасси были выпущены своевременно, заход на посадку был произведен со стороны ангаров завода № 301. Самолет шел строго по «Т» против солнца. Посадка была произведена с недомазом до «Т». При выравнивании самолет ударился о бугор, его взмыло, и после второго удара шасси были вырваны из узлов и пробили верхнюю обшивку плоскостей, самолет затем протянул по земле несколько метров, развернулся влево и лег на фюзеляж. Летчик невредим. У самолета вырван костыль, пробиты плоскости, повреждена нижняя обшивка фюзеляжа, сорвана заслонка водяного радиатора, помят нижний капот мотора» (23183).</w:t>
      </w:r>
    </w:p>
    <w:p w14:paraId="4837CFA1" w14:textId="77777777" w:rsidR="00B91173" w:rsidRPr="00DB5D0D" w:rsidRDefault="00B91173" w:rsidP="00DB5D0D">
      <w:pPr>
        <w:spacing w:after="0" w:line="240" w:lineRule="auto"/>
        <w:jc w:val="both"/>
        <w:rPr>
          <w:rFonts w:ascii="Times New Roman" w:hAnsi="Times New Roman"/>
          <w:color w:val="0070C0"/>
          <w:sz w:val="16"/>
          <w:szCs w:val="16"/>
        </w:rPr>
      </w:pPr>
    </w:p>
    <w:p w14:paraId="68B7C9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1840 И-301 подготовили к полету лишь к вечеру. Около 19 часов Никашин вырулил на старт. Полет проходил нормально, и через полчаса истребитель зашел на посадку против солнца. Именно это обстоятельство в совокупности с малыми размерами заводского аэродрома привело к грубой посадке с поломкой шасси. Машину после госиспытаний отправили в Химки на переделку. После доработки заводские испытания первого образца И-301 продолжили, но в августе 1940 г. он потерпел аварию. К этому времени было совершено 79 полетов общей продолжительностью свыше 32 ч. Первый образец И-301 потом отремонтировали, а попутно внесли некоторые изменения в планер и оборудование. В частности, на машине появился радиополукомпас. На этом самолете проводили испытания на пикирование и отстрел вооружения. Машина летала до 4 января 1941 г., когда в полете расплавились коренные подшипники мотора. Летчик из НИИ ВВС совершил посадку на "брюхо", но истребитель получил тяжелые повреждения и более не восстанавливался. Постройка второго образца задержалась до октября 1940 г. Поскольку заводские испытания он не прошел, то и на государственные его не допустили. Зато в ноябре на этом самолете впервые опробовали в полете вооружение. Надо сказать, что первые летные испытания магазинной пушки ПТБ-23 конструкции Н.Б. Таубина и М.Н. Бабурина на будущем Ил-2 показали ее непригодность для эксплуатации на самолете из- за чрезмерной отдачи при выстреле. Доработанный вариант, предназначенный для установки в развале цилиндров мотора М-105П, получил обозначение МП-6. По результатам испытаний на втором И-301 в ноябре 1940 г. МП-6 внедрили в серийное производство сразу на двух заводах (хотя на вооружение официально не приняли). Таубина и Бабурина наградили орденами Ленина (11983).</w:t>
      </w:r>
    </w:p>
    <w:p w14:paraId="6DBF71E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8125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1939 вышло ПОСТАНОВЛЕНИЕ КО при СНК СССР № 287сс О постройке самолетосборочного завода в гор. Урумчи.</w:t>
      </w:r>
    </w:p>
    <w:p w14:paraId="49867C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КОМИТЕТ ОБОРОНЫ при СНК Союза ССР П О С Т Л Н О В Л Я Е Т:</w:t>
      </w:r>
    </w:p>
    <w:p w14:paraId="476BBE2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Утвердить представленный НКАП проект строительства самолетосборочного завода в г. Урумчи.</w:t>
      </w:r>
    </w:p>
    <w:p w14:paraId="0B6A4B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мощность самолетосборочного завода в 300 шт. самолетов типа И-16 со сроком постройки б месяцев.</w:t>
      </w:r>
    </w:p>
    <w:p w14:paraId="07D9F1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Разрешить НКАП организовать для строительства заво</w:t>
      </w:r>
      <w:r w:rsidRPr="00DB5D0D">
        <w:rPr>
          <w:rFonts w:ascii="Times New Roman" w:hAnsi="Times New Roman"/>
          <w:color w:val="000000" w:themeColor="text1"/>
          <w:sz w:val="16"/>
          <w:szCs w:val="16"/>
        </w:rPr>
        <w:softHyphen/>
        <w:t>да специальную строительно-монтажную контору и перебросить в район постройки необходимое количество квалифицированных рабочих и ИТР.</w:t>
      </w:r>
    </w:p>
    <w:p w14:paraId="4F22BA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Установить ориентировочную стоимость постройки сборочного завода в 25 млн. рублей,с последующим уточнением - после составления проекта.</w:t>
      </w:r>
    </w:p>
    <w:p w14:paraId="026C1D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Разрешить НКФ СССР финансировать строительство самолетного завода в г. Урумчи без утвержденных проектов и смет.</w:t>
      </w:r>
    </w:p>
    <w:p w14:paraId="08B979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Обязать НКФ СССР отпустить НКАП на заготовку мате</w:t>
      </w:r>
      <w:r w:rsidRPr="00DB5D0D">
        <w:rPr>
          <w:rFonts w:ascii="Times New Roman" w:hAnsi="Times New Roman"/>
          <w:color w:val="000000" w:themeColor="text1"/>
          <w:sz w:val="16"/>
          <w:szCs w:val="16"/>
        </w:rPr>
        <w:softHyphen/>
        <w:t>риале в, оборудования, про ектно-изыскательские и подготовитель</w:t>
      </w:r>
      <w:r w:rsidRPr="00DB5D0D">
        <w:rPr>
          <w:rFonts w:ascii="Times New Roman" w:hAnsi="Times New Roman"/>
          <w:color w:val="000000" w:themeColor="text1"/>
          <w:sz w:val="16"/>
          <w:szCs w:val="16"/>
        </w:rPr>
        <w:softHyphen/>
        <w:t>ные работы и проч. на второе полугодие 1939 года, из резервно</w:t>
      </w:r>
      <w:r w:rsidRPr="00DB5D0D">
        <w:rPr>
          <w:rFonts w:ascii="Times New Roman" w:hAnsi="Times New Roman"/>
          <w:color w:val="000000" w:themeColor="text1"/>
          <w:sz w:val="16"/>
          <w:szCs w:val="16"/>
        </w:rPr>
        <w:softHyphen/>
        <w:t>го фонда СНК СССР, 15 млн.рублей,из них 30% в инвалюте.</w:t>
      </w:r>
    </w:p>
    <w:p w14:paraId="4E6ED0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Обязать комиссии в декадный срок оформлять заграничные командировки отобранных НКАП руководителей, ИТР,мастеров, рабочих и служащих, направляемых на. постройку и эксплоатацию завода.</w:t>
      </w:r>
    </w:p>
    <w:p w14:paraId="0C42577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НКИД оформить разрешение на перелеты в г. Урумчи руководящего состава строительств а, также проектно-изыска</w:t>
      </w:r>
      <w:r w:rsidRPr="00DB5D0D">
        <w:rPr>
          <w:rFonts w:ascii="Times New Roman" w:hAnsi="Times New Roman"/>
          <w:color w:val="000000" w:themeColor="text1"/>
          <w:sz w:val="16"/>
          <w:szCs w:val="16"/>
        </w:rPr>
        <w:softHyphen/>
        <w:t>тельских работников.</w:t>
      </w:r>
    </w:p>
    <w:p w14:paraId="68228D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Экономсовету при СНК Союза ССР выделить НКАП для строительства завода в г. Урумчи целевые фонды на строитель</w:t>
      </w:r>
      <w:r w:rsidRPr="00DB5D0D">
        <w:rPr>
          <w:rFonts w:ascii="Times New Roman" w:hAnsi="Times New Roman"/>
          <w:color w:val="000000" w:themeColor="text1"/>
          <w:sz w:val="16"/>
          <w:szCs w:val="16"/>
        </w:rPr>
        <w:softHyphen/>
        <w:t>ные материалы, согласно приложению № 1,на оборудование, сог</w:t>
      </w:r>
      <w:r w:rsidRPr="00DB5D0D">
        <w:rPr>
          <w:rFonts w:ascii="Times New Roman" w:hAnsi="Times New Roman"/>
          <w:color w:val="000000" w:themeColor="text1"/>
          <w:sz w:val="16"/>
          <w:szCs w:val="16"/>
        </w:rPr>
        <w:softHyphen/>
        <w:t>ласно приложению №2, с обеспечением отгрузки в третьем и четвертом кварталах 1939 года.</w:t>
      </w:r>
    </w:p>
    <w:p w14:paraId="1095B214"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r w:rsidRPr="00DB5D0D">
        <w:rPr>
          <w:rFonts w:ascii="Times New Roman" w:hAnsi="Times New Roman"/>
          <w:color w:val="000000" w:themeColor="text1"/>
          <w:sz w:val="16"/>
          <w:szCs w:val="16"/>
        </w:rPr>
        <w:t>9. Обязать НКСтрой (т. Гинзбург) изготовить и отгрузить в октябре 1939 года металлоконструкции для завода в г. Урумчи общим весом около 400 тн. и командировать бригаду монтажников для сборки конструкций на мосте в течение ноября 1939 года.</w:t>
      </w:r>
    </w:p>
    <w:p w14:paraId="59DD70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Обязать Наркома Черной Металлургии тов. Меркулова изготовить в четвертом квартале 1939 года 100 тонн волнистого железа по спесификации НКАП.</w:t>
      </w:r>
    </w:p>
    <w:p w14:paraId="1F3E14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Экономсовету при СНК Союза ССР выделить фонды, а Наркома</w:t>
      </w:r>
      <w:r w:rsidRPr="00DB5D0D">
        <w:rPr>
          <w:rFonts w:ascii="Times New Roman" w:hAnsi="Times New Roman"/>
          <w:color w:val="000000" w:themeColor="text1"/>
          <w:sz w:val="16"/>
          <w:szCs w:val="16"/>
        </w:rPr>
        <w:softHyphen/>
        <w:t>ту Среднего Машиностроения (т. Лихачеву) отгрузить в третьем квартале с.г.:</w:t>
      </w:r>
    </w:p>
    <w:p w14:paraId="2B937E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грузовых автомобилей 1,5 тонны - 10 шт.</w:t>
      </w:r>
    </w:p>
    <w:p w14:paraId="547271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 3,0 тонны - 40 "</w:t>
      </w:r>
    </w:p>
    <w:p w14:paraId="457EEE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тонн - 10</w:t>
      </w:r>
    </w:p>
    <w:p w14:paraId="319863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Самосвалов ЯЗ - 8</w:t>
      </w:r>
    </w:p>
    <w:p w14:paraId="3E3AA0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Пикапов - 5</w:t>
      </w:r>
    </w:p>
    <w:p w14:paraId="6A2072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Автобусов ЗИС - 5</w:t>
      </w:r>
    </w:p>
    <w:p w14:paraId="79D0F9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Легковых автомобилей М-1 - 5</w:t>
      </w:r>
    </w:p>
    <w:p w14:paraId="61097CD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Прицепов к 3 тн. автомобилю - 25</w:t>
      </w:r>
    </w:p>
    <w:p w14:paraId="4407DC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Прицепов к 5 тн. - 5</w:t>
      </w:r>
    </w:p>
    <w:p w14:paraId="7CA5559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Тракторов дизельных на гусенич ном ходу ЧТЗ - 5</w:t>
      </w:r>
    </w:p>
    <w:p w14:paraId="6DD103BA"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r w:rsidRPr="00DB5D0D">
        <w:rPr>
          <w:rFonts w:ascii="Times New Roman" w:hAnsi="Times New Roman"/>
          <w:color w:val="000000" w:themeColor="text1"/>
          <w:sz w:val="16"/>
          <w:szCs w:val="16"/>
        </w:rPr>
        <w:t xml:space="preserve">12. НКПС (Ковровскому заводу ) отгрузить для строительства в г. Урумчи в августе один экскаватор ЛК-0,56 </w:t>
      </w:r>
      <w:r w:rsidRPr="00DB5D0D">
        <w:rPr>
          <w:rFonts w:ascii="Times New Roman" w:hAnsi="Times New Roman"/>
          <w:smallCaps/>
          <w:color w:val="000000" w:themeColor="text1"/>
          <w:sz w:val="16"/>
          <w:szCs w:val="16"/>
        </w:rPr>
        <w:t>(10313,1).</w:t>
      </w:r>
    </w:p>
    <w:p w14:paraId="0688E53E"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p>
    <w:p w14:paraId="18AC526C" w14:textId="0978E6C2" w:rsidR="00B91173" w:rsidRPr="00DB5D0D" w:rsidRDefault="00B91173" w:rsidP="00DB5D0D">
      <w:pPr>
        <w:spacing w:after="0" w:line="240" w:lineRule="auto"/>
        <w:jc w:val="both"/>
        <w:rPr>
          <w:rFonts w:ascii="Times New Roman" w:hAnsi="Times New Roman"/>
          <w:i/>
          <w:iCs/>
          <w:color w:val="000000" w:themeColor="text1"/>
          <w:sz w:val="16"/>
          <w:szCs w:val="16"/>
        </w:rPr>
      </w:pPr>
      <w:r w:rsidRPr="00DB5D0D">
        <w:rPr>
          <w:rFonts w:ascii="Times New Roman" w:hAnsi="Times New Roman"/>
          <w:i/>
          <w:iCs/>
          <w:color w:val="000000" w:themeColor="text1"/>
          <w:sz w:val="16"/>
          <w:szCs w:val="16"/>
        </w:rPr>
        <w:t>Внешняя политика:</w:t>
      </w:r>
    </w:p>
    <w:p w14:paraId="07E5674E" w14:textId="77777777" w:rsidR="00B91173" w:rsidRPr="00DB5D0D" w:rsidRDefault="00B91173" w:rsidP="00DB5D0D">
      <w:pPr>
        <w:spacing w:after="0" w:line="240" w:lineRule="auto"/>
        <w:jc w:val="both"/>
        <w:rPr>
          <w:rFonts w:ascii="Times New Roman" w:hAnsi="Times New Roman"/>
          <w:i/>
          <w:iCs/>
          <w:color w:val="000000" w:themeColor="text1"/>
          <w:sz w:val="16"/>
          <w:szCs w:val="16"/>
        </w:rPr>
      </w:pPr>
    </w:p>
    <w:p w14:paraId="7E39469A"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состоянию на 11 августа 1940 г.</w:t>
      </w:r>
    </w:p>
    <w:p w14:paraId="76568458"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Меморандум об итогах выполнения советско-германского хозяйственного соглашения от 11 февраля 1940 г. за первый шестимесячный период</w:t>
      </w:r>
    </w:p>
    <w:p w14:paraId="70202DC2"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Советско-германское хозяйственное соглашение от 11 февраля 1940 г. предусматривает в статье 9-й, что по истечении первых 6 месяцев действия соглашения 50-ти %, предусмотренных на первый договорный период советских поставок, должны противостоять 40%, предусмотренных за тот же промежуток времени германских поставок, то есть советские и германские поставки должны находиться в соотношении 5:4.</w:t>
      </w:r>
    </w:p>
    <w:p w14:paraId="1D886D2E"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Между тем по состоянию на 11 августа 1940 г. советской стороной поставлено германской стороне товаров на сумму 190,0 млн германских марок, в то время как германской стороной доставлено советской стороне товаров на сумму 78,9 млн германских марок. </w:t>
      </w:r>
    </w:p>
    <w:p w14:paraId="15D14160"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Таким образом, германской стороной недопоставлено товаров на сумму 73,1 млн германских марок, или другими словами, поставки германской стороны вместо 80% советских поставок составили в действительности лишь 51,9 %.</w:t>
      </w:r>
    </w:p>
    <w:p w14:paraId="17C5B42D"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Нарушение соотношения, установленного в ст. 9 хозяйственного соглашения, явились следствием того, что в отношении принятия советских заказов и выполнения поставок для советской стороны многие германские фирмы, а иногда и правительственные органы, не соблюдали постановления хозяйственного соглашения. Выразилось это в ряде фактов, которые упомянуты в качестве примеров в представляемых одновременно отдельных меморандумах. К таким фактам относятся: случаи необоснованных отказов германских фирм от дачи предложений на изготовление объектов, вошедших в списки № 2 и 3 хозяйственного соглашения; случаи требования чрезмерно высоких цен, не вызываемых ни условиями производства, ни состоянием рынка; случаи отказа германских фирм в удовлетворении обоснованных требований в отношении качества объектов, предусмотренных соглашением к поставке; отказы германских фирм от принятия заказов с поставкой в сроки, установленные в списках №№ 2 и 3 хозяйственного соглашения; факты отказа от принятия “Общих условий поставок”; случаи нарушения комплектности поставок из-за отказа некоторых германских фирм поставлять предусмотренное списками хозяйственного соглашения оборудование в сроки, обеспечивающие комплектность поставок по другим заказам.</w:t>
      </w:r>
    </w:p>
    <w:p w14:paraId="169DF3F3"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Одной из существенных причин нарушения установленного в ст. 9 соотношения между поставками являлось стремление германских фирм относить поставки почти исключительно к концу первого периода действия хозяйственного соглашения даже в случаях соблюдения предельных сроков, установленных в хозяйственном соглашении, и несогласие на включение в заказы более ранних сроков.</w:t>
      </w:r>
    </w:p>
    <w:p w14:paraId="44A45D56"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Перечисленные причины недопоставок германской стороны имели тем большее значение, что в ряде случаев германские правительственные органы не оказывали советской стороне необходимого содействия, а иногда даже своими распоряжениями создавали прямые препятствия к выполнению хозяйственного соглашения, как это подтверждается материалами, имеющимися у советской стороны.</w:t>
      </w:r>
    </w:p>
    <w:p w14:paraId="709D7E96"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Наряду с нарушением германской стороной установленного хозяйственным соглашением соответствия между поставками, советская сторона лишена была возможности использовать свои права по списку № 6 в отношении заключения коммерческих договоров на установки, оборудование и способы производства из-за явно неприемлемых условий, выдвинутых германскими фирмами и ввиду невыполнения германской стороной своих обязательств по статье 7 хозяйственного соглашения, о принятии всех мер, которые окажутся необходимыми, чтобы такие договоры были как можно скорее заключены. Одним из важных последствий этого было накопление к 11 августа 1940 г. на особых счетах Союза ССР в Германии неиспользованной суммы 134,8 млн германских марок, образовавшейся из поступлений за экспорт из Союза ССР и из других поступлений на указанные счета, в том числе за транзит, и невозможность для советской стороны использовать эту сумму в соответствии с упомянутой статьей 7 для балансирования поступлений за советские поставки, предусмотренные в статье 1 хозяйственного соглашения.</w:t>
      </w:r>
    </w:p>
    <w:p w14:paraId="650E323B"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В связи с невыполнением германской стороной предусмотренных в статье 4-й хозяйственного соглашения обязательств по поставкам за период времени по 11 августа 1940 г. на сумму 73,1 млн германских марок, советская сторона на основании ст. 10-й хозяйственного соглашения, для устранения в кратчайший срок несоответствия соотношений между германскими и советскими поставками, считает необходимым проведение мер, указанных в заключительной части настоящего меморандума.</w:t>
      </w:r>
    </w:p>
    <w:p w14:paraId="6CA9F771"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 этом следует учесть, что советские экспортные организации по уже заключенным сделкам приняли на себя обязательства поставок товаров в Германию в период времени до 11 феврале 1941 г. на общую сумму 363,5 млн германских марок; между тем германские поставки за тот же период времени по принятым фирмами заказам, составят лишь сумму 222,2 млн германских марок или 61,1% от суммы советских поставок вместо предусмотренных хозяйственным соглашением 80%; однако, германские фирмы отказываются принимать новые заказы на объекты, предусмотренные списками №№ 2 и 3 хозяйственного соглашения, со сроками поставки до 11 февраля 1941 г.</w:t>
      </w:r>
    </w:p>
    <w:p w14:paraId="4F86AD79"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устранения в кратчайший срок имевшего место за истекшие шесть месяцев действия хозяйственного соглашения нарушения германской стороной соотношения поставок, которое установлено статьей 9-ой, предлагаются следующие меры:</w:t>
      </w:r>
    </w:p>
    <w:p w14:paraId="7CB9EBDF"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Сократить установленные германскими фирмами поздние сроки поставок по заказам на котлы, турбины, буровые станки и локомобили и за счет этого увеличить поставки:</w:t>
      </w:r>
    </w:p>
    <w:p w14:paraId="039ABFF4"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ab/>
      </w:r>
      <w:r w:rsidRPr="00DB5D0D">
        <w:rPr>
          <w:rFonts w:ascii="Times New Roman" w:hAnsi="Times New Roman"/>
          <w:color w:val="0070C0"/>
          <w:sz w:val="16"/>
          <w:szCs w:val="16"/>
        </w:rPr>
        <w:tab/>
        <w:t>До 11 февраля 1941 г.</w:t>
      </w:r>
      <w:r w:rsidRPr="00DB5D0D">
        <w:rPr>
          <w:rFonts w:ascii="Times New Roman" w:hAnsi="Times New Roman"/>
          <w:color w:val="0070C0"/>
          <w:sz w:val="16"/>
          <w:szCs w:val="16"/>
        </w:rPr>
        <w:tab/>
        <w:t>С 11 февраля по 11 мая 1941 г.</w:t>
      </w:r>
    </w:p>
    <w:p w14:paraId="62C2A385"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Котлы</w:t>
      </w:r>
      <w:r w:rsidRPr="00DB5D0D">
        <w:rPr>
          <w:rFonts w:ascii="Times New Roman" w:hAnsi="Times New Roman"/>
          <w:color w:val="0070C0"/>
          <w:sz w:val="16"/>
          <w:szCs w:val="16"/>
        </w:rPr>
        <w:tab/>
        <w:t>на сумму</w:t>
      </w:r>
      <w:r w:rsidRPr="00DB5D0D">
        <w:rPr>
          <w:rFonts w:ascii="Times New Roman" w:hAnsi="Times New Roman"/>
          <w:color w:val="0070C0"/>
          <w:sz w:val="16"/>
          <w:szCs w:val="16"/>
        </w:rPr>
        <w:tab/>
        <w:t>5,0 м. г.м.</w:t>
      </w:r>
      <w:r w:rsidRPr="00DB5D0D">
        <w:rPr>
          <w:rFonts w:ascii="Times New Roman" w:hAnsi="Times New Roman"/>
          <w:color w:val="0070C0"/>
          <w:sz w:val="16"/>
          <w:szCs w:val="16"/>
        </w:rPr>
        <w:tab/>
        <w:t>15,5 м.г.м.</w:t>
      </w:r>
    </w:p>
    <w:p w14:paraId="600801C7"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Локомобили</w:t>
      </w:r>
      <w:r w:rsidRPr="00DB5D0D">
        <w:rPr>
          <w:rFonts w:ascii="Times New Roman" w:hAnsi="Times New Roman"/>
          <w:color w:val="0070C0"/>
          <w:sz w:val="16"/>
          <w:szCs w:val="16"/>
        </w:rPr>
        <w:tab/>
        <w:t>на сумму</w:t>
      </w:r>
      <w:r w:rsidRPr="00DB5D0D">
        <w:rPr>
          <w:rFonts w:ascii="Times New Roman" w:hAnsi="Times New Roman"/>
          <w:color w:val="0070C0"/>
          <w:sz w:val="16"/>
          <w:szCs w:val="16"/>
        </w:rPr>
        <w:tab/>
        <w:t>1,8 м. г.м.</w:t>
      </w:r>
      <w:r w:rsidRPr="00DB5D0D">
        <w:rPr>
          <w:rFonts w:ascii="Times New Roman" w:hAnsi="Times New Roman"/>
          <w:color w:val="0070C0"/>
          <w:sz w:val="16"/>
          <w:szCs w:val="16"/>
        </w:rPr>
        <w:tab/>
        <w:t>4,2 м.г.м.</w:t>
      </w:r>
    </w:p>
    <w:p w14:paraId="2E390EAE"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Турбины</w:t>
      </w:r>
      <w:r w:rsidRPr="00DB5D0D">
        <w:rPr>
          <w:rFonts w:ascii="Times New Roman" w:hAnsi="Times New Roman"/>
          <w:color w:val="0070C0"/>
          <w:sz w:val="16"/>
          <w:szCs w:val="16"/>
        </w:rPr>
        <w:tab/>
        <w:t>на сумму</w:t>
      </w:r>
      <w:r w:rsidRPr="00DB5D0D">
        <w:rPr>
          <w:rFonts w:ascii="Times New Roman" w:hAnsi="Times New Roman"/>
          <w:color w:val="0070C0"/>
          <w:sz w:val="16"/>
          <w:szCs w:val="16"/>
        </w:rPr>
        <w:tab/>
        <w:t>1,2 м. г.м.</w:t>
      </w:r>
      <w:r w:rsidRPr="00DB5D0D">
        <w:rPr>
          <w:rFonts w:ascii="Times New Roman" w:hAnsi="Times New Roman"/>
          <w:color w:val="0070C0"/>
          <w:sz w:val="16"/>
          <w:szCs w:val="16"/>
        </w:rPr>
        <w:tab/>
        <w:t>5,7 м.г.м.</w:t>
      </w:r>
    </w:p>
    <w:p w14:paraId="5DF4E574"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Буровые станки</w:t>
      </w:r>
      <w:r w:rsidRPr="00DB5D0D">
        <w:rPr>
          <w:rFonts w:ascii="Times New Roman" w:hAnsi="Times New Roman"/>
          <w:color w:val="0070C0"/>
          <w:sz w:val="16"/>
          <w:szCs w:val="16"/>
        </w:rPr>
        <w:tab/>
        <w:t>на сумму</w:t>
      </w:r>
      <w:r w:rsidRPr="00DB5D0D">
        <w:rPr>
          <w:rFonts w:ascii="Times New Roman" w:hAnsi="Times New Roman"/>
          <w:color w:val="0070C0"/>
          <w:sz w:val="16"/>
          <w:szCs w:val="16"/>
        </w:rPr>
        <w:tab/>
        <w:t>2,0 м. г.м.</w:t>
      </w:r>
      <w:r w:rsidRPr="00DB5D0D">
        <w:rPr>
          <w:rFonts w:ascii="Times New Roman" w:hAnsi="Times New Roman"/>
          <w:color w:val="0070C0"/>
          <w:sz w:val="16"/>
          <w:szCs w:val="16"/>
        </w:rPr>
        <w:tab/>
        <w:t>2,4 м.г.м.</w:t>
      </w:r>
    </w:p>
    <w:p w14:paraId="17136E7B"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ab/>
      </w:r>
      <w:r w:rsidRPr="00DB5D0D">
        <w:rPr>
          <w:rFonts w:ascii="Times New Roman" w:hAnsi="Times New Roman"/>
          <w:color w:val="0070C0"/>
          <w:sz w:val="16"/>
          <w:szCs w:val="16"/>
        </w:rPr>
        <w:tab/>
        <w:t>10,0 млн германских</w:t>
      </w:r>
      <w:r w:rsidRPr="00DB5D0D">
        <w:rPr>
          <w:rFonts w:ascii="Times New Roman" w:hAnsi="Times New Roman"/>
          <w:color w:val="0070C0"/>
          <w:sz w:val="16"/>
          <w:szCs w:val="16"/>
        </w:rPr>
        <w:tab/>
        <w:t>27,8 млн германских</w:t>
      </w:r>
    </w:p>
    <w:p w14:paraId="5F822844"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ab/>
      </w:r>
      <w:r w:rsidRPr="00DB5D0D">
        <w:rPr>
          <w:rFonts w:ascii="Times New Roman" w:hAnsi="Times New Roman"/>
          <w:color w:val="0070C0"/>
          <w:sz w:val="16"/>
          <w:szCs w:val="16"/>
        </w:rPr>
        <w:tab/>
        <w:t>марок</w:t>
      </w:r>
      <w:r w:rsidRPr="00DB5D0D">
        <w:rPr>
          <w:rFonts w:ascii="Times New Roman" w:hAnsi="Times New Roman"/>
          <w:color w:val="0070C0"/>
          <w:sz w:val="16"/>
          <w:szCs w:val="16"/>
        </w:rPr>
        <w:tab/>
        <w:t>марок</w:t>
      </w:r>
    </w:p>
    <w:p w14:paraId="1F4FB2C3"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Ускорить поставки угля, предусмотренные хозяйственным соглашением и соответствующими коммерческими договорами путем увеличения ежемесячных поставок до 600 т. тонн, за время с сентября по ноябрь 1940 г. включительно, в том числе:</w:t>
      </w:r>
    </w:p>
    <w:p w14:paraId="4F89B88F"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Поставок Верхне-Силезского синдиката: а) водным путем до 375 тыс. тонн в месяц; б) железнодорожным путем - до</w:t>
      </w:r>
    </w:p>
    <w:p w14:paraId="717A17FE"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225 тыс. тонн в месяц;</w:t>
      </w:r>
    </w:p>
    <w:p w14:paraId="73F76780"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Поставок Рейнско-Вестфальского синдиката с таким расчетом, чтобы все подлежащие поставке количества в 400 т. тонн были сданы до 1 ноября 1940 г.</w:t>
      </w:r>
    </w:p>
    <w:p w14:paraId="754A9FFE"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 остальное количество угля, подлежащее поставке по договору “Союзпромэкспорта” с Верхне-Силезским синдикатом, должно быть поставлено до 11 февраля 1941 г.</w:t>
      </w:r>
    </w:p>
    <w:p w14:paraId="4AE8D546"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Произвести дополнительную поставку 1 млн тонн угля в период с 1 декабря 1940 г. по 11 мая 1941 г. сверх общего количества, предусмотренного хозяйственным соглашением.</w:t>
      </w:r>
    </w:p>
    <w:p w14:paraId="614ABDF6"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Ускорить поставки стальных труб для нефтяной промышленности, предусмотренные хозяйственным соглашением, путем увеличения ежемесячных количеств, с тем, чтобы поставки 50 тыс. тонн этих труб были закончены полностью до 11 февраля 1941 г.</w:t>
      </w:r>
    </w:p>
    <w:p w14:paraId="0B6676EA"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Произвести поставку 15 тыс. тонн стальных труб для нефтяной промышленности сверх общего количества, предусмотренного хозяйственным соглашением, в срок с 11 февраля 1941 г. по 11 мая 1941 г.</w:t>
      </w:r>
    </w:p>
    <w:p w14:paraId="74EC9BBD"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Произвести в период времени с 11 октября 1940 г. по 11 мая 1941 г. поставку 10 тыс. тонн алюминия.</w:t>
      </w:r>
    </w:p>
    <w:p w14:paraId="341F8C5C"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Обеспечить заключение в течение двух месяцев на приемлемых условиях договоров на передачу советской стороне способов производства и договоров на поставку относящегося к ним оборудования, а именно:</w:t>
      </w:r>
    </w:p>
    <w:p w14:paraId="39587213"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производство магниевых сплавов;</w:t>
      </w:r>
    </w:p>
    <w:p w14:paraId="111D15C7"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производство аккумуляторных батарей для подводных лодок;</w:t>
      </w:r>
    </w:p>
    <w:p w14:paraId="23D922BA"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производство поршневых колец;</w:t>
      </w:r>
    </w:p>
    <w:p w14:paraId="5C15EC38"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 производство магнето и свеч;</w:t>
      </w:r>
    </w:p>
    <w:p w14:paraId="50141874"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 производство вспрыскивающей аппаратуры к авиамоторам;</w:t>
      </w:r>
    </w:p>
    <w:p w14:paraId="2DFAFA80"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е) производство прицела “Лотфе 7”б.</w:t>
      </w:r>
    </w:p>
    <w:p w14:paraId="1068CA9B"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В соответствии со статьями 4-ой и 6-ой хозяйственного соглашения обеспечить внесение в выданные уже заказы и в другие заключенные, на основе того же соглашения, коммерческие договоры изменений, вытекающих из пунктов 1, 2 и 4 настоящего меморандума.</w:t>
      </w:r>
    </w:p>
    <w:p w14:paraId="1F316870"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Наряду с изложенными мероприятиями советская сторона, на основании ст. 12 хозяйственного соглашения, предлагает германской стороне обеспечить в целях использования марочных накоплений от поступлений за транзит и от других поступлений на особые счета Союза ССР в Германии, принятие в кратчайший срок на приемлемых условиях заказов на металлорежущие станки в общей сумме 20 млн германских марок, с поставкой до 11 мая 1941 г. и заключение на приемлемых условиях договоров в отношении технических способов производства и установок, предусмотренных хозяйственным соглашением от 11 февраля 1940 г.</w:t>
      </w:r>
    </w:p>
    <w:p w14:paraId="45805925"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Советская сторона предлагает германской стороне не позднее 15 сентября 1940 г. обеспечить принятие германскими фирмами заказов по морской артиллерии, броне, кабелю и др. объектам военных заказов с поставками в сроки, в соответствии с хозяйственным соглашением, не допускающие нарушения установленных на 11 февраля и 11 мая 1941 г. соотношений между советскими и германскими поставками.</w:t>
      </w:r>
    </w:p>
    <w:p w14:paraId="67E8ACB7"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Расчет покрытия разрыва между советскими и германскими поставками на 11 августа 1940 г. в размере 73,1 млн марок</w:t>
      </w:r>
    </w:p>
    <w:p w14:paraId="6436E53C"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Сокращение сроков поставок оборудования</w:t>
      </w:r>
    </w:p>
    <w:p w14:paraId="29051932"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Сокращение сроков поставок угля</w:t>
      </w:r>
    </w:p>
    <w:p w14:paraId="43A46A4E"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Сокращение сроков поставок труб</w:t>
      </w:r>
    </w:p>
    <w:p w14:paraId="158F15B2"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Поставки алюминия</w:t>
      </w:r>
    </w:p>
    <w:p w14:paraId="2D3FFB99"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Поставки дюралюминия</w:t>
      </w:r>
    </w:p>
    <w:p w14:paraId="0AA3DD53"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Поставки магниевых сплавов</w:t>
      </w:r>
    </w:p>
    <w:p w14:paraId="4B6E6A3B"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Платежи по договорам на технические способы производства и установки</w:t>
      </w:r>
    </w:p>
    <w:p w14:paraId="65EE324C"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r w:rsidRPr="00DB5D0D">
        <w:rPr>
          <w:rFonts w:ascii="Times New Roman" w:hAnsi="Times New Roman"/>
          <w:color w:val="0070C0"/>
          <w:sz w:val="16"/>
          <w:szCs w:val="16"/>
        </w:rPr>
        <w:tab/>
        <w:t>10</w:t>
      </w:r>
      <w:r w:rsidRPr="00DB5D0D">
        <w:rPr>
          <w:rFonts w:ascii="Times New Roman" w:hAnsi="Times New Roman"/>
          <w:color w:val="0070C0"/>
          <w:sz w:val="16"/>
          <w:szCs w:val="16"/>
        </w:rPr>
        <w:tab/>
        <w:t>млн</w:t>
      </w:r>
      <w:r w:rsidRPr="00DB5D0D">
        <w:rPr>
          <w:rFonts w:ascii="Times New Roman" w:hAnsi="Times New Roman"/>
          <w:color w:val="0070C0"/>
          <w:sz w:val="16"/>
          <w:szCs w:val="16"/>
        </w:rPr>
        <w:tab/>
        <w:t>марок</w:t>
      </w:r>
    </w:p>
    <w:p w14:paraId="7E0C77C8"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r w:rsidRPr="00DB5D0D">
        <w:rPr>
          <w:rFonts w:ascii="Times New Roman" w:hAnsi="Times New Roman"/>
          <w:color w:val="0070C0"/>
          <w:sz w:val="16"/>
          <w:szCs w:val="16"/>
        </w:rPr>
        <w:tab/>
        <w:t>9</w:t>
      </w:r>
      <w:r w:rsidRPr="00DB5D0D">
        <w:rPr>
          <w:rFonts w:ascii="Times New Roman" w:hAnsi="Times New Roman"/>
          <w:color w:val="0070C0"/>
          <w:sz w:val="16"/>
          <w:szCs w:val="16"/>
        </w:rPr>
        <w:tab/>
        <w:t>млн</w:t>
      </w:r>
      <w:r w:rsidRPr="00DB5D0D">
        <w:rPr>
          <w:rFonts w:ascii="Times New Roman" w:hAnsi="Times New Roman"/>
          <w:color w:val="0070C0"/>
          <w:sz w:val="16"/>
          <w:szCs w:val="16"/>
        </w:rPr>
        <w:tab/>
        <w:t>марок</w:t>
      </w:r>
    </w:p>
    <w:p w14:paraId="3F5C1C42"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r w:rsidRPr="00DB5D0D">
        <w:rPr>
          <w:rFonts w:ascii="Times New Roman" w:hAnsi="Times New Roman"/>
          <w:color w:val="0070C0"/>
          <w:sz w:val="16"/>
          <w:szCs w:val="16"/>
        </w:rPr>
        <w:tab/>
        <w:t>10,5 млн марок</w:t>
      </w:r>
    </w:p>
    <w:p w14:paraId="4BB4D955"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r w:rsidRPr="00DB5D0D">
        <w:rPr>
          <w:rFonts w:ascii="Times New Roman" w:hAnsi="Times New Roman"/>
          <w:color w:val="0070C0"/>
          <w:sz w:val="16"/>
          <w:szCs w:val="16"/>
        </w:rPr>
        <w:tab/>
        <w:t>10</w:t>
      </w:r>
      <w:r w:rsidRPr="00DB5D0D">
        <w:rPr>
          <w:rFonts w:ascii="Times New Roman" w:hAnsi="Times New Roman"/>
          <w:color w:val="0070C0"/>
          <w:sz w:val="16"/>
          <w:szCs w:val="16"/>
        </w:rPr>
        <w:tab/>
        <w:t>млн</w:t>
      </w:r>
      <w:r w:rsidRPr="00DB5D0D">
        <w:rPr>
          <w:rFonts w:ascii="Times New Roman" w:hAnsi="Times New Roman"/>
          <w:color w:val="0070C0"/>
          <w:sz w:val="16"/>
          <w:szCs w:val="16"/>
        </w:rPr>
        <w:tab/>
        <w:t>марок</w:t>
      </w:r>
    </w:p>
    <w:p w14:paraId="7402650C"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r w:rsidRPr="00DB5D0D">
        <w:rPr>
          <w:rFonts w:ascii="Times New Roman" w:hAnsi="Times New Roman"/>
          <w:color w:val="0070C0"/>
          <w:sz w:val="16"/>
          <w:szCs w:val="16"/>
        </w:rPr>
        <w:tab/>
        <w:t>14,0 млн марок</w:t>
      </w:r>
    </w:p>
    <w:p w14:paraId="1AEB6F07"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r w:rsidRPr="00DB5D0D">
        <w:rPr>
          <w:rFonts w:ascii="Times New Roman" w:hAnsi="Times New Roman"/>
          <w:color w:val="0070C0"/>
          <w:sz w:val="16"/>
          <w:szCs w:val="16"/>
        </w:rPr>
        <w:tab/>
        <w:t>11 млн марок</w:t>
      </w:r>
    </w:p>
    <w:p w14:paraId="550F2826"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w:t>
      </w:r>
      <w:r w:rsidRPr="00DB5D0D">
        <w:rPr>
          <w:rFonts w:ascii="Times New Roman" w:hAnsi="Times New Roman"/>
          <w:color w:val="0070C0"/>
          <w:sz w:val="16"/>
          <w:szCs w:val="16"/>
        </w:rPr>
        <w:tab/>
        <w:t>8,6</w:t>
      </w:r>
      <w:r w:rsidRPr="00DB5D0D">
        <w:rPr>
          <w:rFonts w:ascii="Times New Roman" w:hAnsi="Times New Roman"/>
          <w:color w:val="0070C0"/>
          <w:sz w:val="16"/>
          <w:szCs w:val="16"/>
        </w:rPr>
        <w:tab/>
        <w:t>млн</w:t>
      </w:r>
      <w:r w:rsidRPr="00DB5D0D">
        <w:rPr>
          <w:rFonts w:ascii="Times New Roman" w:hAnsi="Times New Roman"/>
          <w:color w:val="0070C0"/>
          <w:sz w:val="16"/>
          <w:szCs w:val="16"/>
        </w:rPr>
        <w:tab/>
        <w:t>марок</w:t>
      </w:r>
    </w:p>
    <w:p w14:paraId="41841405"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Итого:</w:t>
      </w:r>
      <w:r w:rsidRPr="00DB5D0D">
        <w:rPr>
          <w:rFonts w:ascii="Times New Roman" w:hAnsi="Times New Roman"/>
          <w:color w:val="0070C0"/>
          <w:sz w:val="16"/>
          <w:szCs w:val="16"/>
        </w:rPr>
        <w:tab/>
        <w:t>73,1 млн марок.</w:t>
      </w:r>
    </w:p>
    <w:p w14:paraId="0300D1F8"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АП РФ. Ф. 3. On. 64. Д. 678. Л. 8-14. Копия (21130).</w:t>
      </w:r>
    </w:p>
    <w:p w14:paraId="5183DBE1" w14:textId="77777777" w:rsidR="00B91173" w:rsidRPr="00DB5D0D" w:rsidRDefault="00B91173" w:rsidP="00DB5D0D">
      <w:pPr>
        <w:spacing w:after="0" w:line="240" w:lineRule="auto"/>
        <w:jc w:val="both"/>
        <w:rPr>
          <w:rFonts w:ascii="Times New Roman" w:hAnsi="Times New Roman"/>
          <w:color w:val="0070C0"/>
          <w:sz w:val="16"/>
          <w:szCs w:val="16"/>
        </w:rPr>
      </w:pPr>
    </w:p>
    <w:p w14:paraId="4CCF39F0" w14:textId="25E2C67D"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4EE91C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F5BD7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1940 Англия увеличила число боеготовых истребителей до 704 (340,11).</w:t>
      </w:r>
    </w:p>
    <w:p w14:paraId="5176E43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1D819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5C00A05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F1435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согласно письму А.И.Шахурина N 3744 (1269) Пред. СНК В.М.Молотову, Пред. КО СНК К.Е.В., Пред. совета по ОП СНК Н.А.Вознесенскому, Секретарю ЦК Г.М.Маленкову и тов. И.В.С. от 17 августа 1940, удовлетворительно прошел сточасовое гос. испытания 12-ти цилиндровый мотор АМ-35А водяного охлаждения под давлением конструктора Микулина производства 24 завода (1269)....Серийный выпуск моторов АМ-35А предназначается для установки на самолеты И-200 (констр. Микоян-Гуревич), ТБ-7 (АНТ-42), БШ (бронированный штурмовик, констр. Ильюшина) (468).</w:t>
      </w:r>
    </w:p>
    <w:p w14:paraId="6560A72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7FA61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вышел приказ НКАП N 418сс, согласно которому:</w:t>
      </w:r>
    </w:p>
    <w:p w14:paraId="6B8AE5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Во исполнение постановления Правительства организовать:</w:t>
      </w:r>
    </w:p>
    <w:p w14:paraId="4A8354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самолетостроительный завод в г. Ленинграде на базе переданного из системы НКПС Вагоноремонтного завода Ленсовета и</w:t>
      </w:r>
    </w:p>
    <w:p w14:paraId="2B567E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самолетостроительный завод в г. Ленинграде на базе переданного из системы НКСМ завода "Ленметаллургстрой".</w:t>
      </w:r>
    </w:p>
    <w:p w14:paraId="304946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Организованному заводу на базе Вагоноремонтного завода им. Ленсовета присвоить номер 380 и впредь его именовать: "Государственный Союзный завод N 380 НКАП".</w:t>
      </w:r>
    </w:p>
    <w:p w14:paraId="0610F9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Организованному заводу на базе завода "Ленметаллургстрой" присвоить номер 381 и впредь его именовать: "Государственный Союзный завод N 381 НКАП"</w:t>
      </w:r>
    </w:p>
    <w:p w14:paraId="5452A7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Заводы N 380 и N 381 подчинить непосредственно руководству 1-го Главного Управления...." (279,18).</w:t>
      </w:r>
    </w:p>
    <w:p w14:paraId="01EF4A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важно только в связи с тем, что 381 завод потом будет связан с производством БШ-2/Ил-2. Не ясно, только, как же с приказом 387 от 1 августа, согласно которому в производство БШ вовлекался не только Ленметаллургстрой, но и другие заводы, а вагоноремонтный завод предполагался для ББ-22, хотя потом также подключился к программе 381 завода и стал чуть ли не основным.</w:t>
      </w:r>
    </w:p>
    <w:p w14:paraId="53FDD1A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5FDE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 по приказу № 418сс Вагоноремонтный завод им. Ленсовета НКПС передан в ведение 1ГУ НКАП для производства самолетов (Завод № 380 НКАП, Вагоноремонтный завод им. Ленсовета НКПС /г. Ленинград/). 1940 г. Началось освоение производства Як-4. Приказами НКАП от 7.01.1941 г. и от 14.02.1941 г. на заводе запускался в серию Ил-2, план на 1941 г. - 165 машин (выполнен не был).</w:t>
      </w:r>
    </w:p>
    <w:p w14:paraId="37DBB9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02.1941 г. заводу передан от НИИ-22 НКАП ангар на Комендантском аэродроме.</w:t>
      </w:r>
    </w:p>
    <w:p w14:paraId="037A33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262сс от 22.03.1941 г. завод передан в 10ГУ НКАП.</w:t>
      </w:r>
    </w:p>
    <w:p w14:paraId="021523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началом войны завод эвакуирован в Нижний Тагил и по приказу № 657с от 14.07.1941 г. влит в состав завода № 381 НКАП и перестал существовать (но по другой информации завод еще действовал в Ленинграде в 10.1941 г.).</w:t>
      </w:r>
      <w:r w:rsidRPr="00DB5D0D">
        <w:rPr>
          <w:rFonts w:ascii="Times New Roman" w:hAnsi="Times New Roman"/>
          <w:color w:val="000000" w:themeColor="text1"/>
          <w:sz w:val="16"/>
          <w:szCs w:val="16"/>
          <w:vertAlign w:val="superscript"/>
        </w:rPr>
        <w:t>65</w:t>
      </w:r>
    </w:p>
    <w:p w14:paraId="001081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(07.1940 г.-)- С.С. Б(3)аринов, (1941 г.)- В.И. Ленкин.</w:t>
      </w:r>
    </w:p>
    <w:p w14:paraId="14453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 ОКО завода № 380 НКАП /г. Ленинград/</w:t>
      </w:r>
    </w:p>
    <w:p w14:paraId="3D879F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приказу № 564с от 15.10.1940 г. </w:t>
      </w:r>
      <w:r w:rsidRPr="00DB5D0D">
        <w:rPr>
          <w:rFonts w:ascii="Times New Roman" w:hAnsi="Times New Roman"/>
          <w:color w:val="000000" w:themeColor="text1"/>
          <w:sz w:val="16"/>
          <w:szCs w:val="16"/>
          <w:lang w:val="en-US"/>
        </w:rPr>
        <w:t>O</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K</w:t>
      </w:r>
      <w:r w:rsidRPr="00DB5D0D">
        <w:rPr>
          <w:rFonts w:ascii="Times New Roman" w:hAnsi="Times New Roman"/>
          <w:color w:val="000000" w:themeColor="text1"/>
          <w:sz w:val="16"/>
          <w:szCs w:val="16"/>
        </w:rPr>
        <w:t>. Антонов освобожден от должности гл. конструктора завода № 23 и назначен начальником Опытного конструкторского отдела завода № 380 для продолжения работ по самолету ОКА-38 «Аист». Вместе с Антоновым переведена группа ИТР с завода № 23.</w:t>
      </w:r>
    </w:p>
    <w:p w14:paraId="170D5B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02.1941 г. ОКО был влит в состав СКО завода. По приказу № 281сс от 29.03.1941 г. личный состав ОКО гл. конструктора </w:t>
      </w:r>
      <w:r w:rsidRPr="00DB5D0D">
        <w:rPr>
          <w:rFonts w:ascii="Times New Roman" w:hAnsi="Times New Roman"/>
          <w:color w:val="000000" w:themeColor="text1"/>
          <w:sz w:val="16"/>
          <w:szCs w:val="16"/>
          <w:lang w:val="en-US"/>
        </w:rPr>
        <w:t>O</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K</w:t>
      </w:r>
      <w:r w:rsidRPr="00DB5D0D">
        <w:rPr>
          <w:rFonts w:ascii="Times New Roman" w:hAnsi="Times New Roman"/>
          <w:color w:val="000000" w:themeColor="text1"/>
          <w:sz w:val="16"/>
          <w:szCs w:val="16"/>
        </w:rPr>
        <w:t>. Антонова и 23 конструктора с завода № 380 вместе с техдокументацией были переведены на завод № 465 НКАП в Каунас для организации и сопровождения серии самолета ОКА-38 и планера «Рот-Фронт- 8». Антонов назначен гл. инженером (конструктором) завода № 465 (11982).</w:t>
      </w:r>
    </w:p>
    <w:p w14:paraId="766B2836" w14:textId="77777777" w:rsidR="001722E4" w:rsidRPr="00DB5D0D" w:rsidRDefault="001722E4" w:rsidP="00DB5D0D">
      <w:pPr>
        <w:spacing w:after="0" w:line="240" w:lineRule="auto"/>
        <w:jc w:val="both"/>
        <w:rPr>
          <w:rFonts w:ascii="Times New Roman" w:hAnsi="Times New Roman"/>
          <w:color w:val="000000" w:themeColor="text1"/>
          <w:sz w:val="16"/>
          <w:szCs w:val="16"/>
        </w:rPr>
      </w:pPr>
    </w:p>
    <w:p w14:paraId="07F290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 приказом № 418сс в соответствии с пост. СНК № 1369-385с от 26.07.1940 г. на территории завода «Ленкранстрой» НКСМ размещен вновь образованный зав»д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7FA56728" w14:textId="77777777" w:rsidR="001722E4" w:rsidRPr="00DB5D0D" w:rsidRDefault="001722E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w:t>
      </w:r>
    </w:p>
    <w:p w14:paraId="077364B8" w14:textId="77777777" w:rsidR="001722E4" w:rsidRPr="00DB5D0D" w:rsidRDefault="001722E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Ленинградский завод строительного машиностроения (ЛЗСМ), Машиностроительная фирма (МФ) «ЛЗСМ», МФ «Барс», АООТ «МФ «Барс»</w:t>
      </w:r>
    </w:p>
    <w:p w14:paraId="70EB8B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1758A6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3F042E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DB5D0D">
        <w:rPr>
          <w:rFonts w:ascii="Times New Roman" w:hAnsi="Times New Roman"/>
          <w:color w:val="000000" w:themeColor="text1"/>
          <w:sz w:val="16"/>
          <w:szCs w:val="16"/>
          <w:vertAlign w:val="superscript"/>
        </w:rPr>
        <w:t>131</w:t>
      </w:r>
    </w:p>
    <w:p w14:paraId="1E85A734" w14:textId="77777777" w:rsidR="001722E4" w:rsidRPr="00DB5D0D" w:rsidRDefault="001722E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НПО «Ленстройробот»</w:t>
      </w:r>
    </w:p>
    <w:p w14:paraId="086C39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3AD771AA" w14:textId="77777777" w:rsidR="001722E4" w:rsidRPr="00DB5D0D" w:rsidRDefault="001722E4" w:rsidP="00DB5D0D">
      <w:pPr>
        <w:spacing w:after="0" w:line="240" w:lineRule="auto"/>
        <w:jc w:val="both"/>
        <w:rPr>
          <w:rFonts w:ascii="Times New Roman" w:hAnsi="Times New Roman"/>
          <w:color w:val="000000" w:themeColor="text1"/>
          <w:sz w:val="16"/>
          <w:szCs w:val="16"/>
        </w:rPr>
      </w:pPr>
    </w:p>
    <w:p w14:paraId="76304A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 приказом № 418сс в соответствии с пост. СНК № 1369-385с от 26.07.1940 г. будущему заводу (Завод № 381 НКАП, МАП /г. Ленинград ст. Ижора;  г. Нижний Тагил Свердловской обл.;  г. Москва Ленинградское ш., 31/33/) для производства Ил-2 была отведена большая площадь на территории завода «Ленкранстрой» НКСМ, который вошел в состав завода № 381, а также еще три территории, действовавшие как филиалы: Ремонтно-механический завод НКПС, корпус завода «Красный металлист» НКТМ и корпус завода подъемных сооружений им. Кирова НКТМ.</w:t>
      </w:r>
    </w:p>
    <w:p w14:paraId="35AF45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НКАП от 3.10.1940 г. на заводе запущен в серию двухместный БШ-2 с АМ-35 с выпуском в 1940 г. 10 машин. Этим же приказом Ильюшина обязали передать заводу к 1 ноября БШ-2 № 2, а к 5 ноября- всю техдокументацию. Приказ выполнен не был. Приказами НКАП от 7.01.1941 г. и от 14.02.1941 г. в серию был запущен одноместный Ил-2 с АМ-38, план на 1941 г. - 300 машин.</w:t>
      </w:r>
    </w:p>
    <w:p w14:paraId="1FF792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262сс от 22.03.1941 г. завод передан в ЮГУ НКАП.</w:t>
      </w:r>
    </w:p>
    <w:p w14:paraId="77ABEB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06.1941 г. на завод № 381 из ОКБ завода № 39 переведена группа конструкторов во главе с В.Н. Бугайским для освоения производства Ил-2, затем из ОКБ переведено еще 30 чел. Бугайский назначен зам. гл. конструктора по Ил-2.</w:t>
      </w:r>
    </w:p>
    <w:p w14:paraId="1967E6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начала войны была объединена производственная деятельность заводов № 381 и № 380 для обеспечения выполнения программы выпуска Ил-2.</w:t>
      </w:r>
    </w:p>
    <w:p w14:paraId="42080E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729 от 1941 г. завод был эвакуирован в Нижний Тагил на часть площадки Уралвагонзавода. Переезд проходил с 1.07 по 5.08.1941 г. По приказу № 675с от 14.07.1941 г. в состав завода № 381 был влит эвакуированный завод № 380 НКАП. По приказу № 79сс от 26.01.1942 г. на завод № 381 передана часть оборудования и кадров расформированного завода № 135 НКАП.</w:t>
      </w:r>
    </w:p>
    <w:p w14:paraId="4A1F28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ГКО № 559 от 22.08.1941 г. заводу поручено производство Ил-2. Пост. ГКО № 1376сс от 3.03.1942 г. заводу утвержден суточный план на 03.1942 г. по выпуску Ил-2: с 1 по 10 марта - 5 машин, с 11 по 20 - 7 и с 21 по 31 - 8 машин. Пост. ГКО № 2378 от 7.10.1942 г. и приказом НКАП № 763 от 10.10.1942 г. производство Ил-2 прекращено, и завод перешел на выпуск Ла-5.</w:t>
      </w:r>
    </w:p>
    <w:p w14:paraId="286903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ГКО № 1502 от 28.03.1942 г. на заводе запускался в серию Ил-2 с М-82ИР с выпуском 1-й серийной машины к 1.05.1942 г. Однако пост. ГКО № 1658 от 26.04.1942 г. все работы по Ил-2 с М-82ИР были прекращены, продолжен выпуск Ил-2 с АМ-38.</w:t>
      </w:r>
    </w:p>
    <w:p w14:paraId="5FA950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7D764D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3E92AD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1C0F2C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0D3B64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1943 г. на заводе организован филиал ОКБ-21 С.А. Лавочкина.</w:t>
      </w:r>
    </w:p>
    <w:p w14:paraId="3A912B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6E3980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2F0A4A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38D099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359CB7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1.12.1946 г. завод передан из 1ГУ в ЮГУ, затем с 1.11.1948 г. обратно, из ЮГУ в 1ГУ.</w:t>
      </w:r>
    </w:p>
    <w:p w14:paraId="583F90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199D86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4B3608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(05.1943-10.1946 г.)- П.Д. Грушин, (1947 г.)- В.И. Засульский.</w:t>
      </w:r>
    </w:p>
    <w:p w14:paraId="72FD39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Начальники цехов: (1945 г.)- А.К. Кулагин.</w:t>
      </w:r>
    </w:p>
    <w:p w14:paraId="779D76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Производство; самолеты:</w:t>
      </w:r>
      <w:r w:rsidRPr="00DB5D0D">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6ED07C67" w14:textId="77777777" w:rsidR="003C7E8B" w:rsidRPr="00DB5D0D" w:rsidRDefault="003C7E8B"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Заводской номер: Ил-2 М 381355 (11982).</w:t>
      </w:r>
    </w:p>
    <w:p w14:paraId="4F41752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391F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вышел приказ НКАП N 417с, согласно которому для выполнения работ по выпуску комбинированной артиллерийско-бомбардировочной установки конструкции Веневидова и Можаровского:</w:t>
      </w:r>
    </w:p>
    <w:p w14:paraId="337F4C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Директору завода N 1 выделяется в распоряжение директора завода N 32 один самолет "ББ-22" для монтажа на нем указанной установки (279,15).</w:t>
      </w:r>
    </w:p>
    <w:p w14:paraId="35B956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Зам. ГК завода N 115 (это ОКБ А.С.Я.) совместно с конструкторами В и М произвести полную увязку компоновки батареи с самолетом по чертежам КБ завода 32 и произвести необходимые аэродинамические расчеты и поверочный расчет прочности (279,15).</w:t>
      </w:r>
    </w:p>
    <w:p w14:paraId="222B2A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Заводу N 32 монтажные работы по самолету "ББ-22" - производить на заводе N 81 (279,15).</w:t>
      </w:r>
    </w:p>
    <w:p w14:paraId="6D1C88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Директору завода N 32 обеспечить развертывание работ по изготовлению указанной установки и самолет с полным оборудованием предъявить на гос. испытания не позднее 1.XI.40</w:t>
      </w:r>
    </w:p>
    <w:p w14:paraId="7AB200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Начальнику финансового отдела тов. Хавину выделить 400.000 руб. На финансирование данной работы"(279,15).</w:t>
      </w:r>
    </w:p>
    <w:p w14:paraId="19C60B3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DA925CE" w14:textId="77777777" w:rsidR="000E6EB8" w:rsidRPr="00DB5D0D" w:rsidRDefault="000E6EB8"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12 августа 1940 г. с целью практической отработки конструкции подвижной батареи, в том числе стрельбой в воздухе, приказом Шахурина Яковлев, Веневидов и Можаров- ский должны были установить на Як-2 (решением Политбюро ЦК ВКП(б) от 6 декабря и приказом НКАП от 9 декабря 1940 г. самолет ББ-22 2М-103 был переименован в Як-2</w:t>
      </w:r>
      <w:r w:rsidRPr="00DB5D0D">
        <w:rPr>
          <w:rStyle w:val="BodytextItalic"/>
          <w:i w:val="0"/>
          <w:color w:val="000000" w:themeColor="text1"/>
          <w:sz w:val="16"/>
          <w:szCs w:val="16"/>
        </w:rPr>
        <w:t>)</w:t>
      </w:r>
      <w:r w:rsidRPr="00DB5D0D">
        <w:rPr>
          <w:rFonts w:ascii="Times New Roman" w:hAnsi="Times New Roman"/>
          <w:color w:val="000000" w:themeColor="text1"/>
          <w:spacing w:val="0"/>
          <w:sz w:val="16"/>
          <w:szCs w:val="16"/>
        </w:rPr>
        <w:t xml:space="preserve"> комбинирован</w:t>
      </w:r>
      <w:r w:rsidRPr="00DB5D0D">
        <w:rPr>
          <w:rFonts w:ascii="Times New Roman" w:hAnsi="Times New Roman"/>
          <w:color w:val="000000" w:themeColor="text1"/>
          <w:spacing w:val="0"/>
          <w:sz w:val="16"/>
          <w:szCs w:val="16"/>
        </w:rPr>
        <w:softHyphen/>
        <w:t>ную артиллерийско-бомбардировочную батарею (КАББ) с двумя пушками ШВАК и двумя пулемета</w:t>
      </w:r>
      <w:r w:rsidRPr="00DB5D0D">
        <w:rPr>
          <w:rFonts w:ascii="Times New Roman" w:hAnsi="Times New Roman"/>
          <w:color w:val="000000" w:themeColor="text1"/>
          <w:spacing w:val="0"/>
          <w:sz w:val="16"/>
          <w:szCs w:val="16"/>
        </w:rPr>
        <w:softHyphen/>
        <w:t>ми ШКАС. Работы по переделке Як-2 под установку КАББ поручались заводу № 81 со</w:t>
      </w:r>
      <w:r w:rsidRPr="00DB5D0D">
        <w:rPr>
          <w:rFonts w:ascii="Times New Roman" w:hAnsi="Times New Roman"/>
          <w:color w:val="000000" w:themeColor="text1"/>
          <w:spacing w:val="0"/>
          <w:sz w:val="16"/>
          <w:szCs w:val="16"/>
        </w:rPr>
        <w:softHyphen/>
        <w:t>вместно с заводом № 32. Самолет выделялся заводом № 1. На госу</w:t>
      </w:r>
      <w:r w:rsidRPr="00DB5D0D">
        <w:rPr>
          <w:rFonts w:ascii="Times New Roman" w:hAnsi="Times New Roman"/>
          <w:color w:val="000000" w:themeColor="text1"/>
          <w:spacing w:val="0"/>
          <w:sz w:val="16"/>
          <w:szCs w:val="16"/>
        </w:rPr>
        <w:softHyphen/>
        <w:t>дарственные испытания Як-2 с КАББ требовалось предъявить не позже 1 ноября 1940 г.</w:t>
      </w:r>
    </w:p>
    <w:p w14:paraId="3D1C2E19" w14:textId="77777777" w:rsidR="000E6EB8" w:rsidRPr="00DB5D0D" w:rsidRDefault="000E6EB8"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Однако объем доработок само</w:t>
      </w:r>
      <w:r w:rsidRPr="00DB5D0D">
        <w:rPr>
          <w:rFonts w:ascii="Times New Roman" w:hAnsi="Times New Roman"/>
          <w:color w:val="000000" w:themeColor="text1"/>
          <w:spacing w:val="0"/>
          <w:sz w:val="16"/>
          <w:szCs w:val="16"/>
        </w:rPr>
        <w:softHyphen/>
        <w:t>лета оказался заметно больше, чем это предполагалось первоначаль</w:t>
      </w:r>
      <w:r w:rsidRPr="00DB5D0D">
        <w:rPr>
          <w:rFonts w:ascii="Times New Roman" w:hAnsi="Times New Roman"/>
          <w:color w:val="000000" w:themeColor="text1"/>
          <w:spacing w:val="0"/>
          <w:sz w:val="16"/>
          <w:szCs w:val="16"/>
        </w:rPr>
        <w:softHyphen/>
        <w:t>ными планами. Поэтому передача Як-2 с КАББ на государственные испытания в НИИ ВВС планиро</w:t>
      </w:r>
      <w:r w:rsidRPr="00DB5D0D">
        <w:rPr>
          <w:rFonts w:ascii="Times New Roman" w:hAnsi="Times New Roman"/>
          <w:color w:val="000000" w:themeColor="text1"/>
          <w:spacing w:val="0"/>
          <w:sz w:val="16"/>
          <w:szCs w:val="16"/>
        </w:rPr>
        <w:softHyphen/>
        <w:t>валась не раньше конца февраля 1941 г. (17500)</w:t>
      </w:r>
    </w:p>
    <w:p w14:paraId="7D213BE3" w14:textId="77777777" w:rsidR="000E6EB8" w:rsidRPr="00DB5D0D" w:rsidRDefault="000E6EB8" w:rsidP="00DB5D0D">
      <w:pPr>
        <w:spacing w:after="0" w:line="240" w:lineRule="auto"/>
        <w:jc w:val="both"/>
        <w:rPr>
          <w:rFonts w:ascii="Times New Roman" w:eastAsia="Times New Roman" w:hAnsi="Times New Roman"/>
          <w:color w:val="000000" w:themeColor="text1"/>
          <w:sz w:val="16"/>
          <w:szCs w:val="16"/>
          <w:lang w:eastAsia="ru-RU"/>
        </w:rPr>
      </w:pPr>
    </w:p>
    <w:p w14:paraId="7F0366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Сводка о ходе испытаний опытных самолетов на 12 августа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7D5DF8" w:rsidRPr="00DB5D0D" w14:paraId="0F33E185" w14:textId="77777777" w:rsidTr="00E543D0">
        <w:tc>
          <w:tcPr>
            <w:tcW w:w="3119" w:type="dxa"/>
          </w:tcPr>
          <w:p w14:paraId="4076AF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самолета</w:t>
            </w:r>
          </w:p>
        </w:tc>
        <w:tc>
          <w:tcPr>
            <w:tcW w:w="8448" w:type="dxa"/>
          </w:tcPr>
          <w:p w14:paraId="244892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tc>
      </w:tr>
      <w:tr w:rsidR="007D5DF8" w:rsidRPr="00DB5D0D" w14:paraId="1ABEA4DF" w14:textId="77777777" w:rsidTr="00E543D0">
        <w:tc>
          <w:tcPr>
            <w:tcW w:w="3119" w:type="dxa"/>
          </w:tcPr>
          <w:p w14:paraId="545F5D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М-105П – гл. Конструкторы Горбунов, Лавочкин и Гудков</w:t>
            </w:r>
          </w:p>
          <w:p w14:paraId="698526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301</w:t>
            </w:r>
          </w:p>
        </w:tc>
        <w:tc>
          <w:tcPr>
            <w:tcW w:w="8448" w:type="dxa"/>
          </w:tcPr>
          <w:p w14:paraId="3419BF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1940 года работы по доводке самолета были окончены. После госиспытаний в НИИ ВВС в машине были сделаны следующие основные изменения:</w:t>
            </w:r>
          </w:p>
          <w:p w14:paraId="5ADAC9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Увеличена жесткость лонжерона руля глубины в расчете на производство полетов на пикирование.</w:t>
            </w:r>
          </w:p>
          <w:p w14:paraId="1661DD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Переделана заслонка водяного радиатора.</w:t>
            </w:r>
          </w:p>
          <w:p w14:paraId="43740A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Поставлено вооружение: 2 ШКАС и 2 БС.</w:t>
            </w:r>
          </w:p>
          <w:p w14:paraId="55D6B6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Изменена система креплений привязных ремней.</w:t>
            </w:r>
          </w:p>
          <w:p w14:paraId="292ABC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Улучшена вентиляция кабины и устранены некоторые мелкие производственные дефекты.</w:t>
            </w:r>
          </w:p>
          <w:p w14:paraId="6797EA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 часов на аэродроме завода № 301 был совершен первый полет после доводки самолета. Полет продолжительностью 20 минут имел целью опробывание в воздухе агрегатов самолета и освоение летчика с машиной перед тренировочными полетами по подготовке к параду 18 августа 1940 года.</w:t>
            </w:r>
          </w:p>
          <w:p w14:paraId="4A0D93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инженер 1 ранга Никашин, взлет произвел нормально, набрал высоту 1000 м, убрал шасси и сделал несколько кругов над аэродромом на Н=1000 м, затем проделал несколько правых и левых виражей, затем крутым планированием снизился и пошел на большой скорости (475 км/час по прибору) на высоте 100 м. Потом самолет взял горку и после разворота пошел на посадку.</w:t>
            </w:r>
          </w:p>
          <w:p w14:paraId="05DA36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были выпущены своевременно, заход на посадку был произведен со стороны ангаров завода № 301. Самолет шел строго по "Т" против солнца. Посадка была произведена с недомазом до "Т". При выравнивании самолет ударился о бугор, его взмыло и после второго удара шасси были вырваны из узлов и пробило верхнюю обшивку плоскостей, самолет затем протянул по земле несколько метров, развернулся влево и лег на фюзеляж.</w:t>
            </w:r>
          </w:p>
          <w:p w14:paraId="1F7B6A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невредим. У самолета вырван костыль, пробиты плоскости, повреждена нижняя обшивка фюзеляжа, сорвана заслонка водяного радиатора, помят нижний капот мотора.</w:t>
            </w:r>
          </w:p>
          <w:p w14:paraId="5CB99E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работает комиссия по выявлению всех обстоятельств аварии.</w:t>
            </w:r>
          </w:p>
          <w:p w14:paraId="580E4B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уже совершенно очевидно, что на аэродроме, подобном аэродрому завода № 301, никаких испытательных полетов производить нельзя. Его поверхность неровная, имеются многочисленные бугры и выбоины, что приводило уже к неоднократным авариям и поломкам самолета.</w:t>
            </w:r>
          </w:p>
          <w:p w14:paraId="376437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дать указание заводу № 301 о производстве срочных работ по окончании постройки второго экземпляра самолета И-301. Кроме того, необходимо не прекращать работы по постройке войсковой серии машины "И-301" на заводе № 23.</w:t>
            </w:r>
          </w:p>
        </w:tc>
      </w:tr>
      <w:tr w:rsidR="007D5DF8" w:rsidRPr="00DB5D0D" w14:paraId="7AD9FD44" w14:textId="77777777" w:rsidTr="00E543D0">
        <w:tc>
          <w:tcPr>
            <w:tcW w:w="3119" w:type="dxa"/>
          </w:tcPr>
          <w:p w14:paraId="1EC7C5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И-135 "330" – гл. конструктор Сухой П.О.</w:t>
            </w:r>
          </w:p>
          <w:p w14:paraId="70E5D6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135</w:t>
            </w:r>
          </w:p>
        </w:tc>
        <w:tc>
          <w:tcPr>
            <w:tcW w:w="8448" w:type="dxa"/>
          </w:tcPr>
          <w:p w14:paraId="3C6C62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посадки с убранными шасси, произведенной летчиком ЦАГИ Чернавским 3 августа 1940 года самолет был перевезен в Подлипки на завод № 289, для устранения полученных поломок.</w:t>
            </w:r>
          </w:p>
          <w:p w14:paraId="2512B2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Поломки были следующие: сорвана и помята заслонка водяного радиатора, помят нижний капот мотора, погнут винт, имеются вмятины на консоли стабилизатора и на консоли крыла. Кроме того, необходимо произвести замену мотора, осмотр ТК и других агрегатов.</w:t>
            </w:r>
          </w:p>
          <w:p w14:paraId="596283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работы, производящиеся на заводе № 289, будут по заявлению главного конструктора окончены приблизительно к 15 августа. Задержку вызовет отсутствие мотора, который должен выслать завод № 26 в Рыбинске. ТК снят и отправлен в ЦИАМ для осмотра.</w:t>
            </w:r>
          </w:p>
          <w:p w14:paraId="3369BF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дать указание заводу № 135 в Харькове о форсировании постройки дублера самолета "И-135", обеспечив этот завод всеми недостающими агрегатами, как например: водяной и масляный радиаторы, гидропомпа уборки шасси и т.д.</w:t>
            </w:r>
          </w:p>
        </w:tc>
      </w:tr>
      <w:tr w:rsidR="007D5DF8" w:rsidRPr="00DB5D0D" w14:paraId="18B2D2C9" w14:textId="77777777" w:rsidTr="00E543D0">
        <w:tc>
          <w:tcPr>
            <w:tcW w:w="3119" w:type="dxa"/>
          </w:tcPr>
          <w:p w14:paraId="17D61A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 гл. конструктор Ермолаев</w:t>
            </w:r>
          </w:p>
          <w:p w14:paraId="0BCF29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240</w:t>
            </w:r>
          </w:p>
        </w:tc>
        <w:tc>
          <w:tcPr>
            <w:tcW w:w="8448" w:type="dxa"/>
          </w:tcPr>
          <w:p w14:paraId="257702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 поставлен дополнительный бензобак емкостью 1000 литров.</w:t>
            </w:r>
          </w:p>
          <w:p w14:paraId="61AB29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состоялся полет на максимальную дальность. Из-за плохих метеоусловий и сильного встречного ветра, самолет прошел 3065 км со средней скоростью 360 км/час.</w:t>
            </w:r>
          </w:p>
          <w:p w14:paraId="7E6235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баках осталось 1000 кг горючего.</w:t>
            </w:r>
          </w:p>
          <w:p w14:paraId="18B44B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полете отказал клапан дополнительного бака, вследствие чего в нем осталось неиспользованными 600 литров горючего.</w:t>
            </w:r>
          </w:p>
          <w:p w14:paraId="57AF54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посадки, на рулежке вырвало реборду левого колеса и лопнул пневматик. Авария произошла из-за недоброкачественности литья (обнаружены раковины).</w:t>
            </w:r>
          </w:p>
          <w:p w14:paraId="7C52A08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E5AB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указанию наркома Авиапрома Шахурина, самолет готовится к повторению полета на дальность. Устанавливаются газоанализаторы, тарируются "баузеры".</w:t>
            </w:r>
          </w:p>
          <w:p w14:paraId="6DF986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Вылет намечался на 12-13 августа.</w:t>
            </w:r>
          </w:p>
        </w:tc>
      </w:tr>
      <w:tr w:rsidR="007D5DF8" w:rsidRPr="00DB5D0D" w14:paraId="4EC795F2" w14:textId="77777777" w:rsidTr="00E543D0">
        <w:tc>
          <w:tcPr>
            <w:tcW w:w="3119" w:type="dxa"/>
          </w:tcPr>
          <w:p w14:paraId="1F4D1F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АМ-35А – гл. конструктор Микоян</w:t>
            </w:r>
          </w:p>
          <w:p w14:paraId="6CBE00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w:t>
            </w:r>
          </w:p>
        </w:tc>
        <w:tc>
          <w:tcPr>
            <w:tcW w:w="8448" w:type="dxa"/>
          </w:tcPr>
          <w:p w14:paraId="502B3B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2 с начала заводских испытаний выполнено 19 полетов, общей продолжительностью 7 часов 24 минуты.</w:t>
            </w:r>
          </w:p>
          <w:p w14:paraId="258B8A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последнюю неделю с 5 августа по 12 августа 1940 года произведено 7 полетов продолжительностью 3 часа 10 минут, из них 6 полетов на скороподъемность и скорость по высотам с форсажем и один полет на километраж.</w:t>
            </w:r>
          </w:p>
          <w:p w14:paraId="754432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выполнении всех полетов на скороподъемность на высотах 4800-8000 м, мотор трясет и плохо работает, особенно при пониженных Рк-600 м рт. ст.</w:t>
            </w:r>
          </w:p>
          <w:p w14:paraId="543F78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второго полета была обнаружена лопнувшая трубка, подходящая к бензопомпе, из-за чего получился подсос, но после устранения дефекта мотор по-прежнему работал плохо. Причины неудовлетворительной работы мотора на больших высотах выясняются.</w:t>
            </w:r>
          </w:p>
          <w:p w14:paraId="220757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Предполагают повысить давление бензина с 0,27 до 0,34 атм. При уборке шасси, правая нога, из-за раздутия покрышки колеса не садится полностью и не становится на замок.</w:t>
            </w:r>
          </w:p>
          <w:p w14:paraId="0EA570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километраж – задание не выполнено. Правая нога шасси не стала на замок.</w:t>
            </w:r>
          </w:p>
          <w:p w14:paraId="7BEC6D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выполнения пикирования до скорости 650 км/час установленными новыми масляными радиаторами и капотами Микоян отказался.</w:t>
            </w:r>
          </w:p>
          <w:p w14:paraId="381EAA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3 с начала заводских испытаний выполнено 13 полетов общей продолжительностью 4 часа 30 минут. За последнюю неделю с 5 августа – 12 августа 1940 года произведено 2 полета продолжительностью 59 минут, из них:</w:t>
            </w:r>
          </w:p>
          <w:p w14:paraId="0B6EF4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проверку температур, режима мотора с маслорадиатором самолета Ме-109; в этом полете температура масла получилась также как и с радиатором завода № 34, т.е. 85/113 градусов С. Было принято решение установить два 9-ти дюймовых маслорадиатора по типу экземпляра № 2.</w:t>
            </w:r>
          </w:p>
          <w:p w14:paraId="3AA54C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установки маслорадиаторов, был произведен второй полет на снятие температурных характеристик. В этом полете температуры масла получились такие же как и на экземпляре № 2, т.е. на входе 70 градусов С и на выходе 105 градусов С, т.е. в пределах нормы.</w:t>
            </w:r>
          </w:p>
          <w:p w14:paraId="726557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Уборка шасси происходит ненормально, т.е., то становится на замки, то не доходит до замков.</w:t>
            </w:r>
          </w:p>
          <w:p w14:paraId="34D098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на земле, шасси убираются хорошо.</w:t>
            </w:r>
          </w:p>
          <w:p w14:paraId="416AC8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Причины выявляются.</w:t>
            </w:r>
          </w:p>
          <w:p w14:paraId="388B21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1 с начала заводских испытаний произведено 54 полета общей продолжительностью 20 часов 54 минуты. За последнюю неделю на самолете полетов не производилось.</w:t>
            </w:r>
          </w:p>
          <w:p w14:paraId="4C80C6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устанавливаются два 9-ти дюймовых радиатора по типу экземпляров №№ 2 и 3 и готовится для участия в параде 18 августа.</w:t>
            </w:r>
          </w:p>
          <w:p w14:paraId="0346F6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Ориентировочный срок готовности 12-13 августа.</w:t>
            </w:r>
          </w:p>
          <w:p w14:paraId="5470BA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начала заводских испытаний на всех самолетах произведено всего 86 полетов продолжительностью 32 часа 48 минут.</w:t>
            </w:r>
          </w:p>
          <w:p w14:paraId="039DB7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заводских испытаний выполнена на 80-85%.</w:t>
            </w:r>
          </w:p>
          <w:p w14:paraId="549763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доведенности шасси, нормальной работы мотора с форсажем до Н=8000 м и контрольного полета на пикирование с новыми радиаторами и капотами на госиспытание принят быть не может.</w:t>
            </w:r>
          </w:p>
        </w:tc>
      </w:tr>
      <w:tr w:rsidR="007D5DF8" w:rsidRPr="00DB5D0D" w14:paraId="73AA9F1F" w14:textId="77777777" w:rsidTr="00E543D0">
        <w:tc>
          <w:tcPr>
            <w:tcW w:w="3119" w:type="dxa"/>
          </w:tcPr>
          <w:p w14:paraId="59D03C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И-190 М-88Р – гл. конструктор Поликарпов</w:t>
            </w:r>
          </w:p>
          <w:p w14:paraId="24BC67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w:t>
            </w:r>
          </w:p>
        </w:tc>
        <w:tc>
          <w:tcPr>
            <w:tcW w:w="8448" w:type="dxa"/>
          </w:tcPr>
          <w:p w14:paraId="6AC8F8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последнюю неделю с 5 августа по 12 августа 1940 года полетов не производилось, так как самолет к первому вылету еще не готов.</w:t>
            </w:r>
          </w:p>
          <w:p w14:paraId="3AE468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осмотра мотора М-88Р представителями завода № 29 было выявлено, что мотор работал на обедненной смеси и недостаточной прогонки масла, что вызвало перегрев головок цилиндров.</w:t>
            </w:r>
          </w:p>
          <w:p w14:paraId="678229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Принято решение снять карбюратор для проверки "АК" "Стоп крана" и его регулировки, после чего произвести гонку мотора.</w:t>
            </w:r>
          </w:p>
          <w:p w14:paraId="077020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 нелетном состоянии.</w:t>
            </w:r>
          </w:p>
        </w:tc>
      </w:tr>
      <w:tr w:rsidR="007D5DF8" w:rsidRPr="00DB5D0D" w14:paraId="4BB23B9C" w14:textId="77777777" w:rsidTr="00E543D0">
        <w:tc>
          <w:tcPr>
            <w:tcW w:w="3119" w:type="dxa"/>
          </w:tcPr>
          <w:p w14:paraId="73A74F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М-105П – гл. конструктор Яковлев</w:t>
            </w:r>
          </w:p>
          <w:p w14:paraId="749C7A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115</w:t>
            </w:r>
          </w:p>
        </w:tc>
        <w:tc>
          <w:tcPr>
            <w:tcW w:w="8448" w:type="dxa"/>
          </w:tcPr>
          <w:p w14:paraId="3209DC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Экземпляр № 3 за последнюю неделю (5-12 августа) самолет не летал. Производился ремонт самолета после поломки, произошедшей 3 августа. Ремонтируется крыло, элерон, шасси; устанавливаются новые замки и проч. Ремонт предположено закончить 14 августа.</w:t>
            </w:r>
          </w:p>
          <w:p w14:paraId="3F4A29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 нелетном состоянии и находится на заводе № 115.</w:t>
            </w:r>
          </w:p>
          <w:p w14:paraId="1B37EE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Экземпляр № 2 не летал. Находится на заводе № 115, где ведется работа по переделке этого самолета: устанавливается мотор с трехскоростным нагнетателем, крыло с отъемными консолями, новое шасси, спецоборудование по ТТТ.</w:t>
            </w:r>
          </w:p>
        </w:tc>
      </w:tr>
      <w:tr w:rsidR="007D5DF8" w:rsidRPr="00DB5D0D" w14:paraId="6359324F" w14:textId="77777777" w:rsidTr="00E543D0">
        <w:tc>
          <w:tcPr>
            <w:tcW w:w="3119" w:type="dxa"/>
          </w:tcPr>
          <w:p w14:paraId="0FA59F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УТИ-6 М-105 – гл. конструктор Яковлев</w:t>
            </w:r>
          </w:p>
          <w:p w14:paraId="5FEC49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115</w:t>
            </w:r>
          </w:p>
        </w:tc>
        <w:tc>
          <w:tcPr>
            <w:tcW w:w="8448" w:type="dxa"/>
          </w:tcPr>
          <w:p w14:paraId="06C12C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неделю, с 5 по 12 августа произведено 4 полета общей продолжительностью 2 часа 43 минуты. Два полета были сделаны на стрельбу в воздухе – в обоих полетах был прострелен винт. Был произведен полет на штопор до 2-х витков – самолет выходил без запаздывания.</w:t>
            </w:r>
          </w:p>
          <w:p w14:paraId="3BC3D8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самолет был исправлен.</w:t>
            </w:r>
          </w:p>
        </w:tc>
      </w:tr>
    </w:tbl>
    <w:p w14:paraId="6FEBDA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(3377, 35-39).</w:t>
      </w:r>
    </w:p>
    <w:p w14:paraId="462BB1C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55105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12 августа 1940 закончили доработки по первому экземпляру И-301 и машину в воздух опять поднял Никашин. К сожалению, Алексей Иванович поддался на уговоры представителей 301-го завода сэкономить день и полетел уже под вечер. Сам полет прошел успешно, но посадку пришлось выполнять против заходящего солнца; в этих условиях Никашин не смог правильно определить высоту на выравнивании - шасси не выдержало удара при грубой посадке, стойки основных опор пробили обшивку центроплана, узел крепления костыля также сломался. Поломка первого опытного экземпляра сорвала сроки предъявления истребителя на повторные госиспытания, но все же поломка - не катастрофа. В Химках удвоенными темпами велись работы по ремонту первого И-301 и постройке "дублера". К октябрю ожидалось, что обе машины будут готовы к полетам. Как известно, беда не приходит одна: в сентябре завод посетили нарком А.И.Шахурин и начальник ВВС РККА Я.В.Смушкевич. Они осмотрели оба истребителя, после чего на совещании с руководством КБ объявили о необходимости увеличения дальности полета с 600 км до 1000 км. Это была действительно беда - дополнительное топливо ухудшало летные характеристики самолета, увеличивало нагрузку (и без того предельную) на опоры шасси. Кроме того, это самое топливо требовалось где-то разместить, что на уже построенных самолетах сделать совсем не просто. Пришлось в отъемных частях крыла оборудовать два кессон-бака. В кратчайшие сроки эту работу проделали лучшие инженеры и рабочие КБ под руководством Ю.Б.Струцеля. И-301 с тремя топливными баками известен так же, как ЛаГГ-1 (4707).</w:t>
      </w:r>
    </w:p>
    <w:p w14:paraId="6048100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79C132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 старший военпред военинженер 1-го ранга Белоусов на заводе № 21 писал в донесении:</w:t>
      </w:r>
    </w:p>
    <w:p w14:paraId="49973F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состояние работ по И-180 не улучшилось. Все сроки выпуска машин сорвались, новых сроков ус</w:t>
      </w:r>
      <w:r w:rsidRPr="00DB5D0D">
        <w:rPr>
          <w:rFonts w:ascii="Times New Roman" w:hAnsi="Times New Roman"/>
          <w:color w:val="000000" w:themeColor="text1"/>
          <w:sz w:val="16"/>
          <w:szCs w:val="16"/>
        </w:rPr>
        <w:softHyphen/>
        <w:t>тановить довольно трудно. Машины №№ 25214, 25215 собраны, но благодаря большому количеству обнару</w:t>
      </w:r>
      <w:r w:rsidRPr="00DB5D0D">
        <w:rPr>
          <w:rFonts w:ascii="Times New Roman" w:hAnsi="Times New Roman"/>
          <w:color w:val="000000" w:themeColor="text1"/>
          <w:sz w:val="16"/>
          <w:szCs w:val="16"/>
        </w:rPr>
        <w:softHyphen/>
        <w:t>женных при осмотре дефектов (более 200), машины вновь задержаны для устранения дефектов. Монтаж ма</w:t>
      </w:r>
      <w:r w:rsidRPr="00DB5D0D">
        <w:rPr>
          <w:rFonts w:ascii="Times New Roman" w:hAnsi="Times New Roman"/>
          <w:color w:val="000000" w:themeColor="text1"/>
          <w:sz w:val="16"/>
          <w:szCs w:val="16"/>
        </w:rPr>
        <w:softHyphen/>
        <w:t>шин №№ 25216, 25217, 25218 задержался из-за отсутст</w:t>
      </w:r>
      <w:r w:rsidRPr="00DB5D0D">
        <w:rPr>
          <w:rFonts w:ascii="Times New Roman" w:hAnsi="Times New Roman"/>
          <w:color w:val="000000" w:themeColor="text1"/>
          <w:sz w:val="16"/>
          <w:szCs w:val="16"/>
        </w:rPr>
        <w:softHyphen/>
        <w:t>вия шасси.</w:t>
      </w:r>
    </w:p>
    <w:p w14:paraId="4A5F2E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анализе причин плохого качества монтажа вы</w:t>
      </w:r>
      <w:r w:rsidRPr="00DB5D0D">
        <w:rPr>
          <w:rFonts w:ascii="Times New Roman" w:hAnsi="Times New Roman"/>
          <w:color w:val="000000" w:themeColor="text1"/>
          <w:sz w:val="16"/>
          <w:szCs w:val="16"/>
        </w:rPr>
        <w:softHyphen/>
        <w:t>явлено, что квалифицированных работников, собираю</w:t>
      </w:r>
      <w:r w:rsidRPr="00DB5D0D">
        <w:rPr>
          <w:rFonts w:ascii="Times New Roman" w:hAnsi="Times New Roman"/>
          <w:color w:val="000000" w:themeColor="text1"/>
          <w:sz w:val="16"/>
          <w:szCs w:val="16"/>
        </w:rPr>
        <w:softHyphen/>
        <w:t>щих и руководящих сборкой этих машин, недоста</w:t>
      </w:r>
      <w:r w:rsidRPr="00DB5D0D">
        <w:rPr>
          <w:rFonts w:ascii="Times New Roman" w:hAnsi="Times New Roman"/>
          <w:color w:val="000000" w:themeColor="text1"/>
          <w:sz w:val="16"/>
          <w:szCs w:val="16"/>
        </w:rPr>
        <w:softHyphen/>
        <w:t>точно. Всех хороших мастеров - тт. Привалова, Козио-нова сняли и перевели на 21 машину (И-21. - В.И.). Тов. Ракадов работает на 29 машине (И-16 тип 29. - В.И.). Старых опытных мастеров на машине почти нет, рабо</w:t>
      </w:r>
      <w:r w:rsidRPr="00DB5D0D">
        <w:rPr>
          <w:rFonts w:ascii="Times New Roman" w:hAnsi="Times New Roman"/>
          <w:color w:val="000000" w:themeColor="text1"/>
          <w:sz w:val="16"/>
          <w:szCs w:val="16"/>
        </w:rPr>
        <w:softHyphen/>
        <w:t>чий состав в большинстве молодой, незнакомый не только с машиной 25 (И-180 или тип 25. - В.И.), но даже и 18-24 (И-16 тип 18 и тип 24. - В.И.)... Ведущие сбор</w:t>
      </w:r>
      <w:r w:rsidRPr="00DB5D0D">
        <w:rPr>
          <w:rFonts w:ascii="Times New Roman" w:hAnsi="Times New Roman"/>
          <w:color w:val="000000" w:themeColor="text1"/>
          <w:sz w:val="16"/>
          <w:szCs w:val="16"/>
        </w:rPr>
        <w:softHyphen/>
        <w:t>кой машины также не соответствуют своему назначе</w:t>
      </w:r>
      <w:r w:rsidRPr="00DB5D0D">
        <w:rPr>
          <w:rFonts w:ascii="Times New Roman" w:hAnsi="Times New Roman"/>
          <w:color w:val="000000" w:themeColor="text1"/>
          <w:sz w:val="16"/>
          <w:szCs w:val="16"/>
        </w:rPr>
        <w:softHyphen/>
        <w:t>нию как по руководству, так и по квалификации (оружейник). По требованию Военного Представитель</w:t>
      </w:r>
      <w:r w:rsidRPr="00DB5D0D">
        <w:rPr>
          <w:rFonts w:ascii="Times New Roman" w:hAnsi="Times New Roman"/>
          <w:color w:val="000000" w:themeColor="text1"/>
          <w:sz w:val="16"/>
          <w:szCs w:val="16"/>
        </w:rPr>
        <w:softHyphen/>
        <w:t>ства к участку с 10 августа уже прикрепили хорошего мастера т. Ракадова и обещают т. Козионова. Лучшим руководителем участка был бы т. Привалов, но дирек</w:t>
      </w:r>
      <w:r w:rsidRPr="00DB5D0D">
        <w:rPr>
          <w:rFonts w:ascii="Times New Roman" w:hAnsi="Times New Roman"/>
          <w:color w:val="000000" w:themeColor="text1"/>
          <w:sz w:val="16"/>
          <w:szCs w:val="16"/>
        </w:rPr>
        <w:softHyphen/>
        <w:t>тор дать категорически отказался.</w:t>
      </w:r>
    </w:p>
    <w:p w14:paraId="408636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Бумажных и словесных мероприятий со стороны ди</w:t>
      </w:r>
      <w:r w:rsidRPr="00DB5D0D">
        <w:rPr>
          <w:rFonts w:ascii="Times New Roman" w:hAnsi="Times New Roman"/>
          <w:color w:val="000000" w:themeColor="text1"/>
          <w:sz w:val="16"/>
          <w:szCs w:val="16"/>
        </w:rPr>
        <w:softHyphen/>
        <w:t>рекции принято много, но конкретного и живого руко</w:t>
      </w:r>
      <w:r w:rsidRPr="00DB5D0D">
        <w:rPr>
          <w:rFonts w:ascii="Times New Roman" w:hAnsi="Times New Roman"/>
          <w:color w:val="000000" w:themeColor="text1"/>
          <w:sz w:val="16"/>
          <w:szCs w:val="16"/>
        </w:rPr>
        <w:softHyphen/>
        <w:t>водства до сих пор не принято...</w:t>
      </w:r>
    </w:p>
    <w:p w14:paraId="77E725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потребовать от дирекции усиления сбо</w:t>
      </w:r>
      <w:r w:rsidRPr="00DB5D0D">
        <w:rPr>
          <w:rFonts w:ascii="Times New Roman" w:hAnsi="Times New Roman"/>
          <w:color w:val="000000" w:themeColor="text1"/>
          <w:sz w:val="16"/>
          <w:szCs w:val="16"/>
        </w:rPr>
        <w:softHyphen/>
        <w:t>рочной группы и устранения всех недоделок по маши</w:t>
      </w:r>
      <w:r w:rsidRPr="00DB5D0D">
        <w:rPr>
          <w:rFonts w:ascii="Times New Roman" w:hAnsi="Times New Roman"/>
          <w:color w:val="000000" w:themeColor="text1"/>
          <w:sz w:val="16"/>
          <w:szCs w:val="16"/>
        </w:rPr>
        <w:softHyphen/>
        <w:t>не» (10667).</w:t>
      </w:r>
    </w:p>
    <w:p w14:paraId="799753E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D7AB70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года А. Шахурин писал письмо Н-20/1426 секретарю КО Пугаеву</w:t>
      </w:r>
    </w:p>
    <w:p w14:paraId="27CCA05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Ваш № 5295/5ко</w:t>
      </w:r>
    </w:p>
    <w:p w14:paraId="702F51A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решением КО о прекращении серийного производства самолетов И-28, отпадает необходимость модификации этого самолета под новый мотор, так как в данной модификации не могут быть выполнены требования НИИ ВВС в части летных характеристик и устранения конструктивных дефектов, отмеченных при гос. испытаниях самолета И-28.</w:t>
      </w:r>
    </w:p>
    <w:p w14:paraId="625BD0F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нами предложено Яценко проработать эскизный проект нового самолета истребителя с летными характеристиками, отвечающими современным требованиям.</w:t>
      </w:r>
    </w:p>
    <w:p w14:paraId="776CDCE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указанной предварительной работы Яценко выделено 100 кв. м площади под КБ в помещении цеха Ширпотреба на заводе № 81.</w:t>
      </w:r>
    </w:p>
    <w:p w14:paraId="2663CB8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предоставлении базы для опытного производства Яценко будет решен в случае утверждения ему нового задания по опытному строительству вместо модификации И-28.</w:t>
      </w:r>
    </w:p>
    <w:p w14:paraId="5D84080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(Пометка: Справка. 12 сентября 1940 года Шахурин представил проект постановления КО о создании самолета И-29 Яценко вместо модификации И-28. С резолюцией КВ это письмо направлено обратно для доработки.) (3420,86).</w:t>
      </w:r>
    </w:p>
    <w:p w14:paraId="2D34FCC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64D1A7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 Шахурин писал письмо N Н-20/1426 секретарю КО Пугаеву.</w:t>
      </w:r>
    </w:p>
    <w:p w14:paraId="5A08FC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связи с решением КО о прекращении серийного производства самолетов И-28, отпадает необходимость модификации этого самолета под новый мотор, т.к. в данной модификации не могут быть выполнены требования НИИ ВВС в части летных характеристик и устранения конструктивных дефектов, отмеченных при гос. испытаниях самолета И-28.</w:t>
      </w:r>
    </w:p>
    <w:p w14:paraId="25BDC1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нами предложено Яценко проработать эскизный проект нового самолета истребителя с летными характеристиками, отвечающими современным требованиям.</w:t>
      </w:r>
    </w:p>
    <w:p w14:paraId="7BA2FC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указанной предварительной работы Яценко выделено 100 кв. м площади под КБ в помещении цеха ширпотреба на заводе N 81.</w:t>
      </w:r>
    </w:p>
    <w:p w14:paraId="36AEC4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предоставлении базы для опытного производства Яценко будет решен в случае утверждения ему нового задания по опытному строительству вместо модификации И-28 (3362,86).</w:t>
      </w:r>
    </w:p>
    <w:p w14:paraId="69C16F7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CDF58B8" w14:textId="77777777" w:rsidR="001722E4" w:rsidRPr="00DB5D0D" w:rsidRDefault="001722E4" w:rsidP="00DB5D0D">
      <w:pPr>
        <w:pStyle w:val="a3"/>
        <w:tabs>
          <w:tab w:val="left" w:pos="4306"/>
        </w:tabs>
        <w:rPr>
          <w:color w:val="000000" w:themeColor="text1"/>
          <w:lang w:val="ru-RU"/>
        </w:rPr>
      </w:pPr>
      <w:r w:rsidRPr="00DB5D0D">
        <w:rPr>
          <w:color w:val="000000" w:themeColor="text1"/>
          <w:lang w:val="ru-RU"/>
        </w:rPr>
        <w:t>12 августа 1940 А.И. Шахурин направил секретарю КО при СНК СССР М.И. Пугаеву свой взгляд на про</w:t>
      </w:r>
      <w:r w:rsidRPr="00DB5D0D">
        <w:rPr>
          <w:color w:val="000000" w:themeColor="text1"/>
          <w:lang w:val="ru-RU"/>
        </w:rPr>
        <w:softHyphen/>
        <w:t>блему Яценко. Нарком авиационной промыш</w:t>
      </w:r>
      <w:r w:rsidRPr="00DB5D0D">
        <w:rPr>
          <w:color w:val="000000" w:themeColor="text1"/>
          <w:lang w:val="ru-RU"/>
        </w:rPr>
        <w:softHyphen/>
        <w:t>ленности сообщал, что в связи с реше</w:t>
      </w:r>
      <w:r w:rsidRPr="00DB5D0D">
        <w:rPr>
          <w:color w:val="000000" w:themeColor="text1"/>
          <w:lang w:val="ru-RU"/>
        </w:rPr>
        <w:softHyphen/>
        <w:t>нием Комитета Обороны о прекраще</w:t>
      </w:r>
      <w:r w:rsidRPr="00DB5D0D">
        <w:rPr>
          <w:color w:val="000000" w:themeColor="text1"/>
          <w:lang w:val="ru-RU"/>
        </w:rPr>
        <w:softHyphen/>
        <w:t>нии серийного производства И-28 отпа</w:t>
      </w:r>
      <w:r w:rsidRPr="00DB5D0D">
        <w:rPr>
          <w:color w:val="000000" w:themeColor="text1"/>
          <w:lang w:val="ru-RU"/>
        </w:rPr>
        <w:softHyphen/>
        <w:t>дает необходимость модификации этого самолёта под мотор М-90, так как в этой модификации не могут быть выполненытребования НИИ ВВС КА в части лётных</w:t>
      </w:r>
      <w:r w:rsidRPr="00DB5D0D">
        <w:rPr>
          <w:rStyle w:val="7b"/>
          <w:rFonts w:eastAsia="Arial Unicode MS"/>
          <w:b w:val="0"/>
          <w:color w:val="000000" w:themeColor="text1"/>
          <w:spacing w:val="0"/>
          <w:sz w:val="16"/>
          <w:szCs w:val="16"/>
          <w:lang w:val="ru-RU"/>
        </w:rPr>
        <w:tab/>
      </w:r>
      <w:bookmarkStart w:id="51" w:name="bookmark34"/>
      <w:r w:rsidRPr="00DB5D0D">
        <w:rPr>
          <w:color w:val="000000" w:themeColor="text1"/>
          <w:lang w:val="ru-RU"/>
        </w:rPr>
        <w:t>характеристик и устранения отмеченныхна госиспытаниях И-28 конструктивных де</w:t>
      </w:r>
      <w:bookmarkEnd w:id="51"/>
      <w:r w:rsidRPr="00DB5D0D">
        <w:rPr>
          <w:color w:val="000000" w:themeColor="text1"/>
          <w:lang w:val="ru-RU"/>
        </w:rPr>
        <w:t>фектов. В связи с этим В.П. Яценко было предложено проработать эскизный проект новой машины с лётными характеристиками, отвечающими современным требованиям. Для проведения предварительных работ конст</w:t>
      </w:r>
      <w:r w:rsidRPr="00DB5D0D">
        <w:rPr>
          <w:color w:val="000000" w:themeColor="text1"/>
          <w:lang w:val="ru-RU"/>
        </w:rPr>
        <w:softHyphen/>
        <w:t>рукторскому бюро выделялось 100 м</w:t>
      </w:r>
      <w:r w:rsidRPr="00DB5D0D">
        <w:rPr>
          <w:color w:val="000000" w:themeColor="text1"/>
          <w:vertAlign w:val="superscript"/>
          <w:lang w:val="ru-RU"/>
        </w:rPr>
        <w:t>2</w:t>
      </w:r>
      <w:r w:rsidRPr="00DB5D0D">
        <w:rPr>
          <w:color w:val="000000" w:themeColor="text1"/>
          <w:lang w:val="ru-RU"/>
        </w:rPr>
        <w:t xml:space="preserve"> площади в цехе ширпотреба на заводе № 81. Вопрос о предоставлении В.П. Яценко базы для опытного производства будет решён в случае утверждения ему нового задания по опытному строительству вместо модификации И-28 (15737).</w:t>
      </w:r>
    </w:p>
    <w:p w14:paraId="5F5B4ECD" w14:textId="77777777" w:rsidR="001722E4" w:rsidRPr="00DB5D0D" w:rsidRDefault="001722E4" w:rsidP="00DB5D0D">
      <w:pPr>
        <w:pStyle w:val="a3"/>
        <w:tabs>
          <w:tab w:val="left" w:pos="4306"/>
        </w:tabs>
        <w:rPr>
          <w:color w:val="000000" w:themeColor="text1"/>
          <w:lang w:val="ru-RU"/>
        </w:rPr>
      </w:pPr>
    </w:p>
    <w:p w14:paraId="4CEB0502" w14:textId="77777777" w:rsidR="000E6EB8" w:rsidRPr="00DB5D0D" w:rsidRDefault="000E6EB8"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12 августа 1940 А.И. Шахурин направил секретарю КО при СНК СССР М.И. Пугаеву свой взгляд на проблему КБ Яценко. Нарком авиационной промышленности сообщал, что в связи с решением Комитета Обороны о прекращении серийного производства И-28, отпадает необходимость модификации этого самолета под мотор М-90, так как в данной модификации не могут быть выполнены требования НИИ ВВС КА в части летных характеристик и устранения отмеченных на госиспытаниях И-28 конструктивных дефектов. В связи с этим В.П. Яценко было предложено проработать эскизный проект новой машины с летными характеристиками, отвечающими современным требованиям. Для проведения предварительных работ конструкторскому бюро выделялось 100 м</w:t>
      </w:r>
      <w:r w:rsidRPr="00DB5D0D">
        <w:rPr>
          <w:rFonts w:ascii="Times New Roman" w:eastAsia="Times New Roman" w:hAnsi="Times New Roman"/>
          <w:color w:val="000000" w:themeColor="text1"/>
          <w:sz w:val="16"/>
          <w:szCs w:val="16"/>
          <w:vertAlign w:val="superscript"/>
          <w:lang w:eastAsia="ru-RU"/>
        </w:rPr>
        <w:t>2</w:t>
      </w:r>
      <w:r w:rsidRPr="00DB5D0D">
        <w:rPr>
          <w:rFonts w:ascii="Times New Roman" w:eastAsia="Times New Roman" w:hAnsi="Times New Roman"/>
          <w:color w:val="000000" w:themeColor="text1"/>
          <w:sz w:val="16"/>
          <w:szCs w:val="16"/>
          <w:lang w:eastAsia="ru-RU"/>
        </w:rPr>
        <w:t xml:space="preserve"> площади в цехе ширпотреба на заводе №81. Вопрос о предоставлении В.П. Яценко базы для опытного производства будет решен в случае утверждения ему нового задания по опытному строительству вместо модификации И-28 (17738).</w:t>
      </w:r>
    </w:p>
    <w:p w14:paraId="6F2C0533" w14:textId="77777777" w:rsidR="000E6EB8" w:rsidRPr="00DB5D0D" w:rsidRDefault="000E6EB8" w:rsidP="00DB5D0D">
      <w:pPr>
        <w:spacing w:after="0" w:line="240" w:lineRule="auto"/>
        <w:jc w:val="both"/>
        <w:rPr>
          <w:rFonts w:ascii="Times New Roman" w:eastAsia="Times New Roman" w:hAnsi="Times New Roman"/>
          <w:color w:val="000000" w:themeColor="text1"/>
          <w:sz w:val="16"/>
          <w:szCs w:val="16"/>
          <w:lang w:eastAsia="ru-RU"/>
        </w:rPr>
      </w:pPr>
    </w:p>
    <w:p w14:paraId="06D06F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Только 12 августа 1940 г. заводу № 292 сдали полный комплект всех чертежей И-26, который должны были передать к 1 июля. Имелись и внутренние заводские трудности. Тяжело поддавался освоению фюзеляж с моторамой (до Як-1 завод № 292 выпускал сельскохозяйственные комбайны, затем разведчики Р-10 конструктора И.Г. Немана и небольшую серию истребителей И-28 В.П. Яценко, имевших цельнодеревянную конструкцию). Первые опыты сварки фермы фюзеляжа были неудачными - непровар, пережог, коробление. Сложное крыло потребовало большого количества оснастки, ее доводки, выдерживания технологической температуры и влажности при склейке. Для ускорения освоения нового типа самолета наркомат авиапромышленности предпринял попытку организовать к 15 июля 1940 г. сборку 50 фюзеляжей по чертежам завода № 301 на старейшем в СССР заводе № 1, обладавшем опытным персоналом. Но завод № I, загруженный уже планом по изготовлению И-200, вынужден был от этого задания отказаться.</w:t>
      </w:r>
    </w:p>
    <w:p w14:paraId="055E42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внедрения нового истребителя на должность директора Саратовского авиазавода 8 июня 1940 г. назначили Израиля Соломоновича Левина, занимавшего до того аналогичную позицию на заводе № 125 в Иркутске. В помощь коллективу завода № 292 ОКБ направило группу лучших конструкторов во главе с ведущим конструктором Як-1 Константином Синельщиковым.</w:t>
      </w:r>
    </w:p>
    <w:p w14:paraId="0C365E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трудности, коллектив завода выпустил первые три самолета И-26 в срок (два из трех самолетов были собраны из агрегатов, присланных россыпью с завода № 301). Первую машину вывезли на аэродром 22 сентября, вторую - 1 октября, а третью - 3 октября 1940 г. После проверки их систем и подготовки к облету летчик-испытатель полковник П.Н. Шустов поднял эти самолеты в воздух.</w:t>
      </w:r>
    </w:p>
    <w:p w14:paraId="1CCDE0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Дальнейшая сборка и выпуск машин задерживались из-за отсутствия моторов и винтов. К 10 октября в наличии было всего пять моторов (7 - к 28 октября), а к 10 ноября 1940 г. - три комплекта винтов.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толше, увеличили угол отклонения хвостовой опоры шасси). В связи с этим 12 ноября 1940 г. план по выпуску И-26 завода № 292 (табл.2, с.25) был скорректирован: три машины головной серии следовало выпустить до 1 ноября, 20 машин - до 25 ноября, Цех начинки а 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2120333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B59A1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в ходе заводских испытаний И-200 А.И.М, которые проходили с 31 марта по 17 августа 1940, на И-200-2 был выполнен полет на уборку шасси и полет на километраж. Неудачно с километражем (2988).</w:t>
      </w:r>
    </w:p>
    <w:p w14:paraId="68962B4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082D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12 по 19 августа 1940 года проходили испытания серийного самолета И-16 М-63 № 24п21ж69</w:t>
      </w:r>
    </w:p>
    <w:p w14:paraId="28D86C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11D093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и вед. летчик – в/инженер 2 ранга Кочетков</w:t>
      </w:r>
    </w:p>
    <w:p w14:paraId="09AC3E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серийного самолета И-16 М-63 тип 24, полученного для этой цели из Люберецкой авиабригады, были проведены с целью уточнения летных данных самолета И-16 М-63 типа 24 и выявления причин снижения максимальной скорости серийного самолета по сравнению с опытным самолетом И-16 М-63 тип 24.</w:t>
      </w:r>
    </w:p>
    <w:p w14:paraId="2FE4DF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самолет И-16 М-63 тип 24 испытывался в НИИ ВВС в 1939 году и показал максимальную скорость 485 км/час, тогда как на эталоне 1940 года самолета И-16 М-63, проходившего испытания в НИИ ВВС в мае 1940 года, была получена максимальная скорость 462 км/час).</w:t>
      </w:r>
    </w:p>
    <w:p w14:paraId="7A4DD9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17A4A78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летных характеристик.</w:t>
      </w:r>
    </w:p>
    <w:p w14:paraId="22BBAC4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p w14:paraId="14CBF4A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маневренности.</w:t>
      </w:r>
    </w:p>
    <w:p w14:paraId="6F75AFF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Летная оценка самолета.</w:t>
      </w:r>
    </w:p>
    <w:p w14:paraId="10EC75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Эталон самолета И-16 М-63 предполагалось получить в декабре 1939 года, фактически завод представил эталон в апреле 1940 года после того как значительная серия самолетов И-16 М-63 тип 24 уже поступила в строевые части. Конструктивные изменения эталона 1940 года будут проведены на серийных самолетах И-16 М-63 тип 29.</w:t>
      </w:r>
    </w:p>
    <w:p w14:paraId="5A7379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начаты 12 августа 1940 года.</w:t>
      </w:r>
    </w:p>
    <w:p w14:paraId="1B0FD7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проведено 25 полетов с налетом 7 час. 25 мин.</w:t>
      </w:r>
    </w:p>
    <w:p w14:paraId="49CA90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B1B4F7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Серийный самолет И-16 М-63 имеет разницу в максимальной скорости на расчетной высоте по сравнению с опытным экземпляром на 11 км/час (470 км/час вместо 481 км/час).</w:t>
      </w:r>
    </w:p>
    <w:p w14:paraId="61C5A1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4428"/>
      </w:tblGrid>
      <w:tr w:rsidR="007D5DF8" w:rsidRPr="00DB5D0D" w14:paraId="28A43FC7" w14:textId="77777777" w:rsidTr="00E543D0">
        <w:tc>
          <w:tcPr>
            <w:tcW w:w="3024" w:type="dxa"/>
            <w:tcBorders>
              <w:top w:val="single" w:sz="12" w:space="0" w:color="auto"/>
            </w:tcBorders>
          </w:tcPr>
          <w:p w14:paraId="75C877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года</w:t>
            </w:r>
          </w:p>
        </w:tc>
        <w:tc>
          <w:tcPr>
            <w:tcW w:w="4428" w:type="dxa"/>
            <w:tcBorders>
              <w:top w:val="single" w:sz="12" w:space="0" w:color="auto"/>
            </w:tcBorders>
          </w:tcPr>
          <w:p w14:paraId="2697CD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Проведено три полета на скороподъемность</w:t>
            </w:r>
          </w:p>
        </w:tc>
      </w:tr>
      <w:tr w:rsidR="007D5DF8" w:rsidRPr="00DB5D0D" w14:paraId="0755B14E" w14:textId="77777777" w:rsidTr="00E543D0">
        <w:tc>
          <w:tcPr>
            <w:tcW w:w="3024" w:type="dxa"/>
          </w:tcPr>
          <w:p w14:paraId="402F8D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w:t>
            </w:r>
          </w:p>
        </w:tc>
        <w:tc>
          <w:tcPr>
            <w:tcW w:w="4428" w:type="dxa"/>
          </w:tcPr>
          <w:p w14:paraId="7B4B00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один полет на километраж</w:t>
            </w:r>
          </w:p>
        </w:tc>
      </w:tr>
      <w:tr w:rsidR="007D5DF8" w:rsidRPr="00DB5D0D" w14:paraId="0F9FE6F9" w14:textId="77777777" w:rsidTr="00E543D0">
        <w:tc>
          <w:tcPr>
            <w:tcW w:w="3024" w:type="dxa"/>
          </w:tcPr>
          <w:p w14:paraId="7D7FC2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w:t>
            </w:r>
          </w:p>
        </w:tc>
        <w:tc>
          <w:tcPr>
            <w:tcW w:w="4428" w:type="dxa"/>
          </w:tcPr>
          <w:p w14:paraId="2949CF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один полет на потолок</w:t>
            </w:r>
          </w:p>
        </w:tc>
      </w:tr>
      <w:tr w:rsidR="007D5DF8" w:rsidRPr="00DB5D0D" w14:paraId="7310A844" w14:textId="77777777" w:rsidTr="00E543D0">
        <w:tc>
          <w:tcPr>
            <w:tcW w:w="3024" w:type="dxa"/>
          </w:tcPr>
          <w:p w14:paraId="046C9E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w:t>
            </w:r>
          </w:p>
        </w:tc>
        <w:tc>
          <w:tcPr>
            <w:tcW w:w="4428" w:type="dxa"/>
          </w:tcPr>
          <w:p w14:paraId="560759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один полет на скороподъемность</w:t>
            </w:r>
          </w:p>
        </w:tc>
      </w:tr>
      <w:tr w:rsidR="007D5DF8" w:rsidRPr="00DB5D0D" w14:paraId="4B351883" w14:textId="77777777" w:rsidTr="00E543D0">
        <w:tc>
          <w:tcPr>
            <w:tcW w:w="3024" w:type="dxa"/>
          </w:tcPr>
          <w:p w14:paraId="61141F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w:t>
            </w:r>
          </w:p>
        </w:tc>
        <w:tc>
          <w:tcPr>
            <w:tcW w:w="4428" w:type="dxa"/>
          </w:tcPr>
          <w:p w14:paraId="5BFB1A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один полет на засечку виражей</w:t>
            </w:r>
          </w:p>
        </w:tc>
      </w:tr>
      <w:tr w:rsidR="007D5DF8" w:rsidRPr="00DB5D0D" w14:paraId="69C5F356" w14:textId="77777777" w:rsidTr="00E543D0">
        <w:tc>
          <w:tcPr>
            <w:tcW w:w="3024" w:type="dxa"/>
          </w:tcPr>
          <w:p w14:paraId="4EFA3C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w:t>
            </w:r>
          </w:p>
        </w:tc>
        <w:tc>
          <w:tcPr>
            <w:tcW w:w="4428" w:type="dxa"/>
          </w:tcPr>
          <w:p w14:paraId="70E705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контрольный полет на скороподъемность</w:t>
            </w:r>
          </w:p>
        </w:tc>
      </w:tr>
      <w:tr w:rsidR="007D5DF8" w:rsidRPr="00DB5D0D" w14:paraId="68EF9AB0" w14:textId="77777777" w:rsidTr="00E543D0">
        <w:tc>
          <w:tcPr>
            <w:tcW w:w="3024" w:type="dxa"/>
          </w:tcPr>
          <w:p w14:paraId="6A1524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года</w:t>
            </w:r>
          </w:p>
        </w:tc>
        <w:tc>
          <w:tcPr>
            <w:tcW w:w="4428" w:type="dxa"/>
          </w:tcPr>
          <w:p w14:paraId="482FB2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Проведено 15 полетов на замер взлетно-посадочных свойств</w:t>
            </w:r>
          </w:p>
        </w:tc>
      </w:tr>
      <w:tr w:rsidR="007D5DF8" w:rsidRPr="00DB5D0D" w14:paraId="6B401BA7" w14:textId="77777777" w:rsidTr="00E543D0">
        <w:tc>
          <w:tcPr>
            <w:tcW w:w="3024" w:type="dxa"/>
            <w:tcBorders>
              <w:bottom w:val="single" w:sz="12" w:space="0" w:color="auto"/>
            </w:tcBorders>
          </w:tcPr>
          <w:p w14:paraId="4B0E50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года</w:t>
            </w:r>
          </w:p>
        </w:tc>
        <w:tc>
          <w:tcPr>
            <w:tcW w:w="4428" w:type="dxa"/>
            <w:tcBorders>
              <w:bottom w:val="single" w:sz="12" w:space="0" w:color="auto"/>
            </w:tcBorders>
          </w:tcPr>
          <w:p w14:paraId="7F2FE3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Проведено 8 полетов на замер взлетно-посадочных свойств</w:t>
            </w:r>
          </w:p>
        </w:tc>
      </w:tr>
    </w:tbl>
    <w:p w14:paraId="1571C1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(4428).</w:t>
      </w:r>
    </w:p>
    <w:p w14:paraId="4824406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1C821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И.Фирсаев писал НКАП А.И.Ш. докладную справку о том, что директор и парторг ЦК ВКП(б) на заводе 301 Эскин и Ростовцев доложили о состоянии работ по постройке И-26.</w:t>
      </w:r>
    </w:p>
    <w:p w14:paraId="65AC14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"Основными причинами, тормозящими выпуск и сдачу машин являются: ряд незавершенных конструктивных вопросов, предъявленных военпредом ВВСКА, которые требуют полной модернизации машины, а также неудовлетворительное снабжение агрегатами, инструментом и стройматериалами." (1295).</w:t>
      </w:r>
    </w:p>
    <w:p w14:paraId="159B7C1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F384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года ст. военпред ГУАС на заводе № 21 в/инженер 1 ранга Белоусов писал письмо № 797с начальнику 1 отдела НИИ ГУ ВВС в/инженеру 1 ранга Рудинцеву.</w:t>
      </w:r>
    </w:p>
    <w:p w14:paraId="013E34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И-21 летные испытания проходят нормально. До 10 августа проведено 23 полета.</w:t>
      </w:r>
    </w:p>
    <w:p w14:paraId="4A7242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проведены на определение: скорости, посадочных свойств, дальности и проведено три полета на пилотаж. В настоящее время машина готовится к полету на определение потолка самолета (4644,17).</w:t>
      </w:r>
    </w:p>
    <w:p w14:paraId="1C6C88C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AC80C6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года вышел приказ НИИ ВВС № 0157</w:t>
      </w:r>
    </w:p>
    <w:p w14:paraId="37911B5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проведении боевого бомбометания с пикирования на самолете «Ю-88» (6890, 32).</w:t>
      </w:r>
    </w:p>
    <w:p w14:paraId="54D2DAD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821EB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А.И.Ш. писал Вознесенскому:</w:t>
      </w:r>
    </w:p>
    <w:p w14:paraId="084FC5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А.И.Ш. писал это письмо за N 3744 (1269).</w:t>
      </w:r>
    </w:p>
    <w:p w14:paraId="7756A5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решению Правительства № 1169-456 от 5 июля с.г. з-д 161 Наркомлеса передан в систему НКАП для организации производства авиасвечей.</w:t>
      </w:r>
    </w:p>
    <w:p w14:paraId="52094F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этой же цели ф-л з-да 28 передан мною в систему 4 ГУ НКАП (1320, 52).</w:t>
      </w:r>
    </w:p>
    <w:p w14:paraId="4A41BF4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75368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 в Научно-техническом журнале №061 м по 7-му отделу УА ВМФ, подготовленном начальником отдела военинжснсром Захаренко и начальником 2 отделения 7 отдела УА ВМФ военинженером 1 Ранга Кудровым, изложены некоторые подробности полигонных испы</w:t>
      </w:r>
      <w:r w:rsidRPr="00DB5D0D">
        <w:rPr>
          <w:rFonts w:ascii="Times New Roman" w:hAnsi="Times New Roman"/>
          <w:color w:val="000000" w:themeColor="text1"/>
          <w:sz w:val="16"/>
          <w:szCs w:val="16"/>
        </w:rPr>
        <w:softHyphen/>
        <w:t>таний снарядов РБС-82. Поскольку взрыватели АВ-96 в ЦКБ-22 еше не были готовы, испытания в мае 1940 г. на полигоне НИМАП ВМФ прове</w:t>
      </w:r>
      <w:r w:rsidRPr="00DB5D0D">
        <w:rPr>
          <w:rFonts w:ascii="Times New Roman" w:hAnsi="Times New Roman"/>
          <w:color w:val="000000" w:themeColor="text1"/>
          <w:sz w:val="16"/>
          <w:szCs w:val="16"/>
        </w:rPr>
        <w:softHyphen/>
        <w:t>ли только для исследования кинетических возможностей боеприпаса. Входе их удалось выполнить программу наземного и воздушного отстре</w:t>
      </w:r>
      <w:r w:rsidRPr="00DB5D0D">
        <w:rPr>
          <w:rFonts w:ascii="Times New Roman" w:hAnsi="Times New Roman"/>
          <w:color w:val="000000" w:themeColor="text1"/>
          <w:sz w:val="16"/>
          <w:szCs w:val="16"/>
        </w:rPr>
        <w:softHyphen/>
        <w:t>ла РБС-82 с истребителя И-16 на пикировании по бронеплитам толщи</w:t>
      </w:r>
      <w:r w:rsidRPr="00DB5D0D">
        <w:rPr>
          <w:rFonts w:ascii="Times New Roman" w:hAnsi="Times New Roman"/>
          <w:color w:val="000000" w:themeColor="text1"/>
          <w:sz w:val="16"/>
          <w:szCs w:val="16"/>
        </w:rPr>
        <w:softHyphen/>
        <w:t>ной 40 и 50 мм, выложенным на площади 400 м</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 xml:space="preserve"> в районе 17-го километра полигона. Из 70 боеприпасов, поданных на испытания, 30 штук были инертными.</w:t>
      </w:r>
    </w:p>
    <w:p w14:paraId="35D7E8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Полный боезапас самолета — восемь ракетных снарядов. Система воспламенения РБС-82 была организована от одного пиропатрона в пи-росвече, установленной в переднем центрирующем утолщении боопри-паса. Для этого ракетные орудия пришлось переоборудовать с пиропи-столетов на электроконтакты. Выбор режима огня был организован с пульта ЭСБР-Зп в кабине пилота. Боевая кнопка установлена на пучке управления самолетом.</w:t>
      </w:r>
    </w:p>
    <w:p w14:paraId="36EFA3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земле испытатели отстреляли 14 снарядов. Из них девять выстре</w:t>
      </w:r>
      <w:r w:rsidRPr="00DB5D0D">
        <w:rPr>
          <w:rFonts w:ascii="Times New Roman" w:hAnsi="Times New Roman"/>
          <w:color w:val="000000" w:themeColor="text1"/>
          <w:sz w:val="16"/>
          <w:szCs w:val="16"/>
        </w:rPr>
        <w:softHyphen/>
        <w:t>лов были одиночными, а далее последовал залп двумя и тремя сшфяда-ми. В первом же вылете летчик выполнил в зоне программу пи.итажа с полным боекомплектом и в пробных целях выстрелил двумя снаряда-ми. Огонь по бронеплитам вели на пикировании под углами 65-70' с дистанции около 600 м при скорости самолета 450 км/ч. Сколько из 48 выпущенных боеприпасов попали в цель, в документе не говорится. Работу ракетной части снарядов морские летчики и наземный техни</w:t>
      </w:r>
      <w:r w:rsidRPr="00DB5D0D">
        <w:rPr>
          <w:rFonts w:ascii="Times New Roman" w:hAnsi="Times New Roman"/>
          <w:color w:val="000000" w:themeColor="text1"/>
          <w:sz w:val="16"/>
          <w:szCs w:val="16"/>
        </w:rPr>
        <w:softHyphen/>
        <w:t>ческий персонал оценили довольно высоко. Струя продуктов горения РЗ при выстреле обшивку самолета не разрушала, хотя в нескольких случаях переднюю кромку крыла и пробивали мелкие гвозди, которыми кре</w:t>
      </w:r>
      <w:r w:rsidRPr="00DB5D0D">
        <w:rPr>
          <w:rFonts w:ascii="Times New Roman" w:hAnsi="Times New Roman"/>
          <w:color w:val="000000" w:themeColor="text1"/>
          <w:sz w:val="16"/>
          <w:szCs w:val="16"/>
        </w:rPr>
        <w:softHyphen/>
        <w:t>пили фанерные диски диафрагм пороховых воспламенителей снарядов. Отдельно отмечено, что фактов догорания РЗ, прерывистого или затяжного горения, а также случаев выброса кусков пороха зафиксировано не было.</w:t>
      </w:r>
    </w:p>
    <w:p w14:paraId="226259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попадании в бронсплиту толщиной 50 мм БЧ снаряда пробила ее навылет полным калибром. Судя по тому, сколь сухо испытатели сообщили об этом любопытном факте, в остальных случаях летчику, по-видимому, просто не удалось попасть в контур корабля, выложенный бронеплитами. В заключении отчета военные констатировали: «снаряд по устойчивости полета и надежности действия РЗ испытания выдержал».</w:t>
      </w:r>
    </w:p>
    <w:p w14:paraId="32099D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хотя первые ТТТ на РБС-82 требовати, чтобы он пробивал 30-35 мм бронб, конструкторы допустили просчет, благодаря которому проникающая способность БЧ боеприпаса только улучшилась. Зато специали</w:t>
      </w:r>
      <w:r w:rsidRPr="00DB5D0D">
        <w:rPr>
          <w:rFonts w:ascii="Times New Roman" w:hAnsi="Times New Roman"/>
          <w:color w:val="000000" w:themeColor="text1"/>
          <w:sz w:val="16"/>
          <w:szCs w:val="16"/>
        </w:rPr>
        <w:softHyphen/>
        <w:t>сты ЛФ НИИ-24 могли рапортовать о том, что ракетный снаряд облада</w:t>
      </w:r>
      <w:r w:rsidRPr="00DB5D0D">
        <w:rPr>
          <w:rFonts w:ascii="Times New Roman" w:hAnsi="Times New Roman"/>
          <w:color w:val="000000" w:themeColor="text1"/>
          <w:sz w:val="16"/>
          <w:szCs w:val="16"/>
        </w:rPr>
        <w:softHyphen/>
        <w:t>ет достаточной прочностью для гарантированной победы в борьбе с бро</w:t>
      </w:r>
      <w:r w:rsidRPr="00DB5D0D">
        <w:rPr>
          <w:rFonts w:ascii="Times New Roman" w:hAnsi="Times New Roman"/>
          <w:color w:val="000000" w:themeColor="text1"/>
          <w:sz w:val="16"/>
          <w:szCs w:val="16"/>
        </w:rPr>
        <w:softHyphen/>
        <w:t>ней толщиной 40 мм. Воодушевление и заказчиков, и разработчиков бы</w:t>
      </w:r>
      <w:r w:rsidRPr="00DB5D0D">
        <w:rPr>
          <w:rFonts w:ascii="Times New Roman" w:hAnsi="Times New Roman"/>
          <w:color w:val="000000" w:themeColor="text1"/>
          <w:sz w:val="16"/>
          <w:szCs w:val="16"/>
        </w:rPr>
        <w:softHyphen/>
        <w:t>ло настолько велико, что тут же приказом по НКВМФ №00207 от 13 ав</w:t>
      </w:r>
      <w:r w:rsidRPr="00DB5D0D">
        <w:rPr>
          <w:rFonts w:ascii="Times New Roman" w:hAnsi="Times New Roman"/>
          <w:color w:val="000000" w:themeColor="text1"/>
          <w:sz w:val="16"/>
          <w:szCs w:val="16"/>
        </w:rPr>
        <w:softHyphen/>
        <w:t>густа 1940 г. РБС-82 даже без испытаний взрывателя приняли на вооружение (11402).</w:t>
      </w:r>
    </w:p>
    <w:p w14:paraId="35F46A2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C98E0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 ЦКБ-22 просило военных испытать авиационные взрыватели АВ-100 к РС «в серно-пороховом снаряжении». 23 ноября 1940 г. они потребовали от директора завода № 12 снарядить нейтральной смесью с пороховой подсыпкой 100 штук РС-82 для испытания АВ-100. РС надлежало напра</w:t>
      </w:r>
      <w:r w:rsidRPr="00DB5D0D">
        <w:rPr>
          <w:rFonts w:ascii="Times New Roman" w:hAnsi="Times New Roman"/>
          <w:color w:val="000000" w:themeColor="text1"/>
          <w:sz w:val="16"/>
          <w:szCs w:val="16"/>
        </w:rPr>
        <w:softHyphen/>
        <w:t>вить на НИ ПАВ ВВС к 30 ноября 1940 г. Кроме того, в 1939 г. в ЦКБ-22 специально для оснащения ракетных снарядов разработали еще один ди</w:t>
      </w:r>
      <w:r w:rsidRPr="00DB5D0D">
        <w:rPr>
          <w:rFonts w:ascii="Times New Roman" w:hAnsi="Times New Roman"/>
          <w:color w:val="000000" w:themeColor="text1"/>
          <w:sz w:val="16"/>
          <w:szCs w:val="16"/>
        </w:rPr>
        <w:softHyphen/>
        <w:t>станционный взрыватель - АВ-89, но более подробных сведений о нем практически не встречается (11402).</w:t>
      </w:r>
    </w:p>
    <w:p w14:paraId="0FDC73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73900D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0E31C9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3CD96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 Пр. НКЭП № 32сс элементному заводу в Тбилиси присвоен № 329. 26 июля 1940 г. По пр. НКЭП № 30сс начато проектирование в Тбилиси завода анодных батарей (ГПИ-9) (Завод № 329 НКЭП, Тбилисский элементный завод НКЭП /г. Тбилиси/). Проектное задание требовалось представить к 1.10.1940 г., техпроект - к 15.03.1941 г., срок ввода завода в эксплуатацию - 1.06.1943 г. Проектная мощность завода: анодных батарей: БАС-80 - 1750 тыс. шт. в год, БАС-60 — 1200 тыс. шт.; элементов: 1В, 1С - 50 тыс. шт., 2В, 2С - 1 млн. шт., ЗВ, ЗС - 350 тыс. шт. (11982).</w:t>
      </w:r>
    </w:p>
    <w:p w14:paraId="210C6EC1" w14:textId="77777777" w:rsidR="00DF6950" w:rsidRPr="00DB5D0D" w:rsidRDefault="00DF6950" w:rsidP="00DB5D0D">
      <w:pPr>
        <w:spacing w:after="0" w:line="240" w:lineRule="auto"/>
        <w:jc w:val="both"/>
        <w:rPr>
          <w:rFonts w:ascii="Times New Roman" w:hAnsi="Times New Roman"/>
          <w:color w:val="000000" w:themeColor="text1"/>
          <w:sz w:val="16"/>
          <w:szCs w:val="16"/>
        </w:rPr>
      </w:pPr>
    </w:p>
    <w:p w14:paraId="7501B2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 Пр. № 32сс элементному заводу в Ташкенте присвоен № 357. 26 июля 1940 г. по пр. НКЭП № 30сс было начато проектирование в Ташкенте завода анодных батарей (ГПИ-9). Проектное задание требовалось представить к 1.10.1940 г., техпроект - к 15.03.1941 г., срок ввода завода в эксплуатацию - 1.06.1943 г. Проектная мощность завода: анодных батарей: БАС-80 - 750 тыс. шт. в год, БАС-60 - 1200 тыс. шт.; элементов: 1В, 1С - 50 тыс. шт., 2В, 2С - 1 млн. шт., ЗВ, ЗС - 350 тыс. шт. (11982).</w:t>
      </w:r>
    </w:p>
    <w:p w14:paraId="5D28B1A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34F05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72F455A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286B5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Президиум ВС принял указ "Об укреплении единоначалия в КА и ВМФ" - упразднило комиссаров, введенных в мае 1937 и ввели замполитов (356,80).</w:t>
      </w:r>
    </w:p>
    <w:p w14:paraId="24F9FE2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97CEE0"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в 1940 году Указ Президиума Верховного Совета СССР "Об укреплении единоначалия в Красной Армии и Военно-Морском Флоте" (14981).</w:t>
      </w:r>
    </w:p>
    <w:p w14:paraId="4BE81D66"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22BCAA7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AE4A45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080B8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12 по 15 августа 1940 г., за первые четыре дня авиационного наступления (операция „Адлертаг“), немцы уничтожили на аэродромах 47 английских истребителей, потеряв при этом 122 собственных самолета! И это при том, что общая численность трех Воздушных флотов Германии, участвовавших в операции „Адлертаг“, была ничуть не меньшей, чем в начале „Барбароссы“, и единственной боевой задачей этой воздушной армады было подавление английской авиации, в то время как при вторжении в СССР люфтваффе пришлось выделить значительную часть сил на огневую поддержку сухопутных войск, разрушение дорог и переправ в тылы Красной Армии, оперативную и стратегическую разведку и т. д. (11652).</w:t>
      </w:r>
    </w:p>
    <w:p w14:paraId="153C8B3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B5CBB8" w14:textId="77777777" w:rsidR="00DF6950" w:rsidRPr="00DB5D0D" w:rsidRDefault="00DF6950"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color w:val="000000" w:themeColor="text1"/>
          <w:sz w:val="16"/>
          <w:szCs w:val="16"/>
        </w:rPr>
        <w:t xml:space="preserve">12 августа 1940 г. считается начаоом т.н. </w:t>
      </w:r>
      <w:r w:rsidRPr="00DB5D0D">
        <w:rPr>
          <w:rFonts w:ascii="Times New Roman" w:hAnsi="Times New Roman"/>
          <w:bCs/>
          <w:iCs/>
          <w:color w:val="000000" w:themeColor="text1"/>
          <w:sz w:val="16"/>
          <w:szCs w:val="16"/>
        </w:rPr>
        <w:t>«Битве за Британию».</w:t>
      </w:r>
      <w:r w:rsidRPr="00DB5D0D">
        <w:rPr>
          <w:rFonts w:ascii="Times New Roman" w:hAnsi="Times New Roman"/>
          <w:color w:val="000000" w:themeColor="text1"/>
          <w:sz w:val="16"/>
          <w:szCs w:val="16"/>
        </w:rPr>
        <w:t xml:space="preserve"> Через 19 дней августа и 18 дней сентября англичане сумели достичь перевеса в воздухе. Потери люфтваффе превосходили потери британцев в 2 раза, к концу битвы у британцев было сбито около 900 самолетов, у немцев около 1.700 самолетов. Выяснилось, что английские самолеты «Спитфайр» и «Харрикейн» (конструктор Томас Сопвич) имеют преимущество (17398).</w:t>
      </w:r>
    </w:p>
    <w:p w14:paraId="2F552CA8" w14:textId="77777777" w:rsidR="00DF6950" w:rsidRPr="00DB5D0D" w:rsidRDefault="00DF6950" w:rsidP="00DB5D0D">
      <w:pPr>
        <w:spacing w:after="0" w:line="240" w:lineRule="auto"/>
        <w:jc w:val="both"/>
        <w:rPr>
          <w:rFonts w:ascii="Times New Roman" w:hAnsi="Times New Roman"/>
          <w:iCs/>
          <w:color w:val="000000" w:themeColor="text1"/>
          <w:sz w:val="16"/>
          <w:szCs w:val="16"/>
        </w:rPr>
      </w:pPr>
    </w:p>
    <w:p w14:paraId="3EA6CF41" w14:textId="4E9B273A"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12–23 августа 1940 - Военно-воздушные силы Германии (Люфтваффе ) проводят операцию «Атака орла» (Адлерангриф), нацеливаясь на британские радиолокационные станции, внутренние аэродромы истребительного командования ВВС Великобритании и центры связи Королевских ВВС во время битвы за Британию  (20795).</w:t>
      </w:r>
    </w:p>
    <w:p w14:paraId="2069BAF2" w14:textId="77777777" w:rsidR="00B91173" w:rsidRPr="00DB5D0D" w:rsidRDefault="00B91173" w:rsidP="00DB5D0D">
      <w:pPr>
        <w:spacing w:after="0" w:line="240" w:lineRule="auto"/>
        <w:jc w:val="both"/>
        <w:rPr>
          <w:rFonts w:ascii="Times New Roman" w:hAnsi="Times New Roman"/>
          <w:color w:val="0070C0"/>
          <w:sz w:val="16"/>
          <w:szCs w:val="16"/>
        </w:rPr>
      </w:pPr>
    </w:p>
    <w:p w14:paraId="719F08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в Англии был испытан радар 10 мм диапазона (2240).</w:t>
      </w:r>
    </w:p>
    <w:p w14:paraId="7D186CD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D14E0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Люфтваффе поразили несколько станций РЛС, но быстрая замена оборудования мобильным создала у немцев впечатление в низкой уязвимости радаров (2240).</w:t>
      </w:r>
    </w:p>
    <w:p w14:paraId="1501112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FD03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12-13 августа 1940 была начата операция Адлерангриф - массированные удары по британским аэродромам - и начало Битвы за Англию (223,65). Нет это был День орла (2244,6).</w:t>
      </w:r>
    </w:p>
    <w:p w14:paraId="597A48A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418AB4"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12 августа в 1940 году немецкая авиация проводит первые массированные налеты на английские аэродромы (14981).</w:t>
      </w:r>
    </w:p>
    <w:p w14:paraId="4472EE09"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0822B686"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в 1940 году ОКВ отдало распоряжение подготовиться к возможной переброске танковых сил в Северную Африку для наступления на Суэцкий канал, если “операция “Морской лев” не будет проводиться в этом году” (14981).</w:t>
      </w:r>
    </w:p>
    <w:p w14:paraId="36C0F1B2"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23050A4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в Албании началось антифашистское восстание (4962).</w:t>
      </w:r>
    </w:p>
    <w:p w14:paraId="13687D7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AA1399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62BDC2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BAAA7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вышло постановление Правительства N 352сс "Об обеспечении бомбардировочной авиации радиополукомпасами" (1277):</w:t>
      </w:r>
    </w:p>
    <w:p w14:paraId="3CED99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развитие постановления КО N 183сс от 27 апреля 1940 "Об обеспечении бомбардировочной авиации радиополукомпасами" КО постановляет:</w:t>
      </w:r>
    </w:p>
    <w:p w14:paraId="02376C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НКАП выпускать все бомбардировщики с установкой РПК-2 (Чайка)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40DD4B31" w14:textId="77777777" w:rsidTr="00E543D0">
        <w:tc>
          <w:tcPr>
            <w:tcW w:w="5749" w:type="dxa"/>
            <w:tcBorders>
              <w:top w:val="single" w:sz="12" w:space="0" w:color="auto"/>
            </w:tcBorders>
          </w:tcPr>
          <w:p w14:paraId="23578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ДБ-3Ф, 100 и ТБ-7</w:t>
            </w:r>
          </w:p>
        </w:tc>
        <w:tc>
          <w:tcPr>
            <w:tcW w:w="5749" w:type="dxa"/>
            <w:tcBorders>
              <w:top w:val="single" w:sz="12" w:space="0" w:color="auto"/>
            </w:tcBorders>
          </w:tcPr>
          <w:p w14:paraId="6EE777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сентября</w:t>
            </w:r>
          </w:p>
        </w:tc>
      </w:tr>
      <w:tr w:rsidR="007D5DF8" w:rsidRPr="00DB5D0D" w14:paraId="0D35FF05" w14:textId="77777777" w:rsidTr="00E543D0">
        <w:tc>
          <w:tcPr>
            <w:tcW w:w="5749" w:type="dxa"/>
            <w:tcBorders>
              <w:bottom w:val="single" w:sz="12" w:space="0" w:color="auto"/>
            </w:tcBorders>
          </w:tcPr>
          <w:p w14:paraId="049A72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w:t>
            </w:r>
          </w:p>
        </w:tc>
        <w:tc>
          <w:tcPr>
            <w:tcW w:w="5749" w:type="dxa"/>
            <w:tcBorders>
              <w:bottom w:val="single" w:sz="12" w:space="0" w:color="auto"/>
            </w:tcBorders>
          </w:tcPr>
          <w:p w14:paraId="342512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октября</w:t>
            </w:r>
          </w:p>
        </w:tc>
      </w:tr>
    </w:tbl>
    <w:p w14:paraId="6B8513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Ворошилов, Пугаев (1277).</w:t>
      </w:r>
    </w:p>
    <w:p w14:paraId="6B5071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Интересно, что нет Ил-2</w:t>
      </w:r>
    </w:p>
    <w:p w14:paraId="081CF2A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962B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ГК завода 39 С.В.И. писал письмо N 73к/окб директору завода 126 и ст. военпреду на заводе 126:</w:t>
      </w:r>
    </w:p>
    <w:p w14:paraId="711F86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период времени с 1 января с.г. нами был выпущен ряд извещений по самолету ЦКБ-30Ф на те или иные изменения конструкции его.</w:t>
      </w:r>
    </w:p>
    <w:p w14:paraId="618240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говоря о такого рода изменениях, как установка колодцев подогрева масла в маслобаках (изв. N 174 от 17 марта 1940 и N 184 от 26 марта 1940), установка масляных радиаторов тандем (изв. N 224 от 22 июня 1940), внедрение нового замка шасси (изв. N 202 от 22 апреля 1940 и N 220 от 21 июня 1940) важность и существенность которых ясна сама по себе и которые безусловно подлежат внедрению с первой, выпускаемой заводом 126 машины ЦКБ-30Ф, а также ряд извещений (список прилагается) имеющих прямое указание в самом извещении о необходимости внедрения его с 1 машины, нами был спущен ряд извещений, которые такого указания не имеют.</w:t>
      </w:r>
    </w:p>
    <w:p w14:paraId="5CFD07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 не менее, большинство этих извещений спущено ими по прямому требованию НИИ ВВС на основе испытаний ЦКБ-30Ф или в порядке устранения дефектов, выявившихся при эксплуатации этих самолетов в частях ВВС и на заводах 39 и 18.</w:t>
      </w:r>
    </w:p>
    <w:p w14:paraId="72217C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Совершенно очевидно, что этого типа извещения также д.б. внедрены с 1-й машины завода 126 во избежание повторения тех же дефектов, которые уже выявлены и устранены на машинах заводов 39 и 18.</w:t>
      </w:r>
    </w:p>
    <w:p w14:paraId="09AE13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Извещения эти следующие:</w:t>
      </w:r>
    </w:p>
    <w:p w14:paraId="763388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N 120 от 30 декабря 1939, N 129 от 7 января 1940, N 194 от 7 апреля 1940 - новая электросхема</w:t>
      </w:r>
    </w:p>
    <w:p w14:paraId="31F5BF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N 125 от 30 декабря 1939 - разрезной чехол на прицеле НУ</w:t>
      </w:r>
    </w:p>
    <w:p w14:paraId="3BBA6E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N 164 от 22 февраля 1940 - связано с уменьшением усилия на рычаге нормального газа</w:t>
      </w:r>
    </w:p>
    <w:p w14:paraId="7A2690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N 165 от 22 февраля 1940 - переход на потайную клепку</w:t>
      </w:r>
    </w:p>
    <w:p w14:paraId="347A14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N 167 от 26 февраля 1940 - касается троса подвески</w:t>
      </w:r>
    </w:p>
    <w:p w14:paraId="4A6657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N 178 от 13 марта - улучшение э/щитка л</w:t>
      </w:r>
    </w:p>
    <w:p w14:paraId="53421F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N 185 от 26 марта 1940 - улучшение снятия фильтра карбюратора</w:t>
      </w:r>
    </w:p>
    <w:p w14:paraId="2AD058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N 189 от 31 марта 1940 - устранение влияния электропроводки на компас</w:t>
      </w:r>
    </w:p>
    <w:p w14:paraId="15E62B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N 192 от 4 апреля 1940 и N 240 от 10 июля 1940 - доработка сидения стрелка</w:t>
      </w:r>
    </w:p>
    <w:p w14:paraId="3A2955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N 195 от 9 апреля 1940, N 213 от 13 мая 1940 - касается управления ВИШ, компрессора Вьет, масломера масла с приемником</w:t>
      </w:r>
    </w:p>
    <w:p w14:paraId="5EB711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N 197 от 11 апреля 1940 - изменение флетнера-триммера</w:t>
      </w:r>
    </w:p>
    <w:p w14:paraId="302617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N 205 от 27 апреля 1940 - касается управления люками от АСБР</w:t>
      </w:r>
    </w:p>
    <w:p w14:paraId="405D09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N 207 от 4 мая 1940 - отверстия во всасывающем патрубке</w:t>
      </w:r>
    </w:p>
    <w:p w14:paraId="4C4D3A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N 208 от 5 мая 1940 - улучшение обтекания передней части фюзеляжа</w:t>
      </w:r>
    </w:p>
    <w:p w14:paraId="49C6B8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N 209 от 9 мая 1940 - изменение перекрывных лент</w:t>
      </w:r>
    </w:p>
    <w:p w14:paraId="67A283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N 10 от 9 мая 1940 - устранение помех работы рации</w:t>
      </w:r>
    </w:p>
    <w:p w14:paraId="60A0E7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N 211 от 10 мая 1940, N 219 от 14 мая 1940, N 219 от 17 июня 1940, N 242 от 15 июля 1940 - усиление кольца НАСА и ужесточения заборного донышка бензобака</w:t>
      </w:r>
    </w:p>
    <w:p w14:paraId="17E0A0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N 222 от 22 июня 1940 - усиление качалки щитков</w:t>
      </w:r>
    </w:p>
    <w:p w14:paraId="1F73C3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N 223 от 21 июня 1940 - доработка замка крышки коробки управления штурмана</w:t>
      </w:r>
    </w:p>
    <w:p w14:paraId="37324B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N 225 от 25 июня 1940 - 2-й поручень кабины ш</w:t>
      </w:r>
    </w:p>
    <w:p w14:paraId="1F8C11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N 227 от 22 июня 1940 - установка ВК-350 на сигнализацию шасси</w:t>
      </w:r>
    </w:p>
    <w:p w14:paraId="5B9B01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N 228 от 27 июня 1940 - усиление вилки костыля</w:t>
      </w:r>
    </w:p>
    <w:p w14:paraId="64856B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N 229 от 27 июня 1940 - облегчение управления нормальным баком</w:t>
      </w:r>
    </w:p>
    <w:p w14:paraId="6D6F7F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N 231 от 1 июля 1940 и N 244 от 17 июля 1940 - усиление кронштейна противовеса РВ</w:t>
      </w:r>
    </w:p>
    <w:p w14:paraId="69863B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N 232 от 3 июля 1940 - касается: а) усиления капотов; б) усиления всасывающего патрубка; в) усиления кока винта; г) дюралевого ролика Р-2; д) усиление пола штурмана и е) переход на арматуру ОСЛ-1</w:t>
      </w:r>
    </w:p>
    <w:p w14:paraId="5DA782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N 243 от 17 июля 1940 - установка шланга аварийного слива</w:t>
      </w:r>
    </w:p>
    <w:p w14:paraId="7E3490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N 245 от 17 июля 1940 - ограничение отклонения юбок капота</w:t>
      </w:r>
    </w:p>
    <w:p w14:paraId="41890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N 246 от 18 июля 1940 - усиление сидения ш</w:t>
      </w:r>
    </w:p>
    <w:p w14:paraId="3FE30E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N 248 от 22 июля 1940 - касается: а) установки СПУ-3; б) графико-держателей и др.</w:t>
      </w:r>
    </w:p>
    <w:p w14:paraId="04BE6B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N 249 от 20 июля 1940 - касается крепления сетки всасывающего патрубка</w:t>
      </w:r>
    </w:p>
    <w:p w14:paraId="1836F1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N 250 от 26 июля 1940 - усиление люков и установка доп. стрингеров на ОЧК</w:t>
      </w:r>
    </w:p>
    <w:p w14:paraId="0EE5E5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 N 252 от 26 июля 1940 - заклейка полотном концевых нервюр центроплана против проникания выхлопных газов</w:t>
      </w:r>
    </w:p>
    <w:p w14:paraId="249FCF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 N 253 от 29 июля 1940 - касается обеспечения правильности работы актива-пассива</w:t>
      </w:r>
    </w:p>
    <w:p w14:paraId="21E77A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 N 255 от 1 августа 1940 - ряд изменений по ВМГ</w:t>
      </w:r>
    </w:p>
    <w:p w14:paraId="485AF6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 N 256 от 2 августа 1940 - усиление фермы костыля</w:t>
      </w:r>
    </w:p>
    <w:p w14:paraId="64B9EA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Секретные извещения</w:t>
      </w:r>
    </w:p>
    <w:p w14:paraId="4B5DE2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 N 127 от 7 января 1940 - антенны рации и РПК-2</w:t>
      </w:r>
    </w:p>
    <w:p w14:paraId="6BD9D0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N 163 от 22 февраля 1940 - схема заполнения Со2</w:t>
      </w:r>
    </w:p>
    <w:p w14:paraId="1E0ED8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 N 168 от 27 февраля 1940 - отработка направляющих для бомб</w:t>
      </w:r>
    </w:p>
    <w:p w14:paraId="3A84B6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 N 186 от 27 марта и N 199 от 13 апреля 1940 - расположение РПК-2 под носом фюзеляжа (при установке РПК-2).</w:t>
      </w:r>
    </w:p>
    <w:p w14:paraId="10621B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 N 190 от 2 апреля 1940 - установка МВ-2</w:t>
      </w:r>
    </w:p>
    <w:p w14:paraId="1EB70D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перечисленные изменения необходимо внедрить с 1-й выпускаемой машины ЦКБ-30Ф, т.б., что при том положении, в котором находится работа по этому самолету, это не должно представить особых затруднений.</w:t>
      </w:r>
    </w:p>
    <w:p w14:paraId="6F99BC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обратить особое внимание на немедленное внедрение тех изменений, которые связаны с прочностью машины и с заделом модельных агрегатов чтобы избежать в дальнейшем переделок или забраковывания деталей, как, например, усиление люков и дополнение стрингера ОЧК (N 250), изменение перекрывных лент (N 209), усиление кольца НАСА и усиление донышка бензобака ОЧК (N 211 и 218), усиление качалки щитков (N 222), усиление вилки костыля (N 228), усиление кронштейна противовеса РВ (N 234), усиление фермы костыля (N 256).</w:t>
      </w:r>
    </w:p>
    <w:p w14:paraId="77D12B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Вместе с тем, настойчиво рекомендуем тщательно проработать ведомость дефектов, обнаруженных при гос. испытаниях в НИИ ГУАСК самолета N 390204 выпуска 39 завода, посланную Вам при письме N 714с/окб от 5 августа 1940 с тем, чтобы отмеченные в ней дефекты были предупреждены и не повторились в машинах выпуска 126 завода (2700,150).</w:t>
      </w:r>
    </w:p>
    <w:p w14:paraId="2E6F443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9895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 было проведено летное испытание самолета "Украина" на выработку остатков горючего. Испытание проводилось на летно-испытательной станции завода 3 39. Пилотировал самолет летчик-испытатель Федоров.</w:t>
      </w:r>
    </w:p>
    <w:p w14:paraId="61A367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54B77E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Результаты испытания полностью подтверждают выводы 31 июля 1940 года, а именно:</w:t>
      </w:r>
    </w:p>
    <w:p w14:paraId="1E7CF2D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 для прекращения полета и производства вынужденной посадки самолета "Украина" по вине материальной части и остатков горючего не было. Остатка горючего хватило бы для продолжения полета на расстояние минимум 1300 км.</w:t>
      </w:r>
    </w:p>
    <w:p w14:paraId="3A7C924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Нестеренко, очевидно неправильно пользовалась кранами и поэтому не смогла выработать остатка горючего (7627, 95-96).</w:t>
      </w:r>
    </w:p>
    <w:p w14:paraId="58053AE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5BB2CE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 было проведено летное испытание самолета «Украина» на выработку остатков горючего. Испытание проводилось на летно-испытательной станции завода № 39. Пилотировал самолет летчик-испытатель Федоров.</w:t>
      </w:r>
    </w:p>
    <w:p w14:paraId="759779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4F1A26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испытаний полностью подтверждают выводы 31 июля 1940 года, а именно:</w:t>
      </w:r>
    </w:p>
    <w:p w14:paraId="39566A0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 для прекращения полета и производства вынужденной посадки самолета «Украина» по вине материальной части и остатков горючего не было. Остатка горючего хватило бы для продолжения полета на расстояние минимум 1300 км.</w:t>
      </w:r>
    </w:p>
    <w:p w14:paraId="432EC8F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Нестеренко, очевидно, неправильно пользовалась кранами и поэтому не смогла выработать остатка горючего (7711, 47-49).</w:t>
      </w:r>
    </w:p>
    <w:p w14:paraId="74E0829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63FE08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было проведено летное испытание самолета Украина на выработку остатков горючего на ЛИС завода 39. Пилотировал Федоров, а б/м был Дроздов. Результаты испытания полностью подтвердили выводы комиссии от 31 июля 1941, а именно:</w:t>
      </w:r>
    </w:p>
    <w:p w14:paraId="23A7AB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Причин для прекращения полета и производства вынужденной посадки самолета Украина по вине матчасти и остатков горючего - не было. Остатка горючего хватило бы для продолжения полета минимум на 1300 км</w:t>
      </w:r>
    </w:p>
    <w:p w14:paraId="72591F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Тов. Нестеренко, очевидно, неправильно пользовалась кранами и поэтому не смогла выработать остатков горючего (2134,201).</w:t>
      </w:r>
    </w:p>
    <w:p w14:paraId="600A45E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529016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 в НИИ ВВС был выдан наряд-приказ № 0155</w:t>
      </w:r>
    </w:p>
    <w:p w14:paraId="11273BF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самолета ДБ-3 № 341 с амортизатором на ручку управления (по предложению 8 отдела ЦАГИ) (6890, 27).</w:t>
      </w:r>
    </w:p>
    <w:p w14:paraId="29331B2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8A5DD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 закончилось заводское испытание пикирующего бомбодержателя ПБ-5 конструкции завода N 32 на самолете СБ, которое проходило с 30 июля 1940 (2999).</w:t>
      </w:r>
    </w:p>
    <w:p w14:paraId="7E3C7B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в/инженер 2 ранга Ефимов.</w:t>
      </w:r>
    </w:p>
    <w:p w14:paraId="714DCF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испытаний.</w:t>
      </w:r>
    </w:p>
    <w:p w14:paraId="51307B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Проводились на самолете СБ N 15/266.</w:t>
      </w:r>
    </w:p>
    <w:p w14:paraId="4C0CC9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19E8C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Пикирующий бомбодержатель ПБ-5 конструкции завода N 32 по безотказности сбрасывания, вывода бомб из бомбового отсека самолета при бомбометании с пикирования при углах до 80 градусов заводские испытания выдержал.</w:t>
      </w:r>
    </w:p>
    <w:p w14:paraId="5A8CAA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 полигонные испытания ПБ-5 должен быть предъявлен смонтированным на серийном пикирующем самолете СБ.</w:t>
      </w:r>
    </w:p>
    <w:p w14:paraId="617D9C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произведено 18 полетов на самолете СБ общей продолжительностью 7 часов 30 минут (2999).</w:t>
      </w:r>
    </w:p>
    <w:p w14:paraId="2AE99D9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F4E66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 закончились заводские полигонные испытания бомбодержателя для бомбометания с пикирования ПБ5, которые проходили с 30 июля.</w:t>
      </w:r>
    </w:p>
    <w:p w14:paraId="5DC2A1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отчету об испытаниях ПБ5:</w:t>
      </w:r>
    </w:p>
    <w:p w14:paraId="0EB77B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работает безотказно;</w:t>
      </w:r>
    </w:p>
    <w:p w14:paraId="300FCA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полностью обеспечивает вывод бомбы при углах пикирования 6О°-70°-80</w:t>
      </w:r>
      <w:r w:rsidRPr="00DB5D0D">
        <w:rPr>
          <w:rFonts w:ascii="Times New Roman" w:hAnsi="Times New Roman"/>
          <w:color w:val="000000" w:themeColor="text1"/>
          <w:sz w:val="16"/>
          <w:szCs w:val="16"/>
          <w:vertAlign w:val="superscript"/>
        </w:rPr>
        <w:t>0</w:t>
      </w:r>
      <w:r w:rsidRPr="00DB5D0D">
        <w:rPr>
          <w:rFonts w:ascii="Times New Roman" w:hAnsi="Times New Roman"/>
          <w:color w:val="000000" w:themeColor="text1"/>
          <w:sz w:val="16"/>
          <w:szCs w:val="16"/>
        </w:rPr>
        <w:t>;</w:t>
      </w:r>
    </w:p>
    <w:p w14:paraId="68DA59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вес уменьшается на 13,5 кг (ПБ3 весит 35 кг.; ПБ5 - 21.5 кг.);</w:t>
      </w:r>
    </w:p>
    <w:p w14:paraId="1BBB25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проводка управления используется одна и для ПБ5 и для ДЕР34, что при установке ПБ3 невозможно;</w:t>
      </w:r>
    </w:p>
    <w:p w14:paraId="75A578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установлена сигнализация сброшенных бомб;</w:t>
      </w:r>
    </w:p>
    <w:p w14:paraId="681CB4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монтаж на самолете занимает вместо 5-6 часов не более 40-45 минут;</w:t>
      </w:r>
    </w:p>
    <w:p w14:paraId="30493A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в изготовлении ПБ5 более прост по сравнению с ПБЗ;</w:t>
      </w:r>
    </w:p>
    <w:p w14:paraId="045E05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недостатки выявленные при заводских испытаниях ПБ5 незначительны и легко устранимы (10493,190).</w:t>
      </w:r>
    </w:p>
    <w:p w14:paraId="2606C2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C5B5E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закончились испытания самолета СБ 2М105 с винтами ВИШ-22Е № 1/227, которые проходили с 16 июля 1940</w:t>
      </w:r>
    </w:p>
    <w:p w14:paraId="0834D5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DE1C8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3 ранга Мальцев</w:t>
      </w:r>
    </w:p>
    <w:p w14:paraId="09E805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капитан майор Автономов</w:t>
      </w:r>
    </w:p>
    <w:p w14:paraId="251B47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2297620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летные характеристики самолета СБ с моторами М-105 и винтами ВИШ-22Е.</w:t>
      </w:r>
    </w:p>
    <w:p w14:paraId="249944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Испытанию подвергался самолет СБ 2М-105 с винтами ВИШ-22Е № 1/227 ранее проходивший испытание по снятию летных характеристик на лыжах в 1 отделе НИИ ВВС в марте 1940 года.</w:t>
      </w:r>
    </w:p>
    <w:p w14:paraId="26E76E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 момента выхода с завода № 22 с 11 декабря 1939 года по 10 августа 1940 года работал в воздухе 156 час. 25 мин. и имел 159 посадок. Сменено 11 моторов – из них правых – 4, левых – 7.</w:t>
      </w:r>
    </w:p>
    <w:p w14:paraId="178E99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начато 16 июля 1940 года</w:t>
      </w:r>
    </w:p>
    <w:p w14:paraId="54A680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закончено 13 августа 1940 года</w:t>
      </w:r>
    </w:p>
    <w:p w14:paraId="129708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самолет произвел 18 полетов с количеством налета в воздухе – 9 час. 21 мин.</w:t>
      </w:r>
    </w:p>
    <w:p w14:paraId="473700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426463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Полученные летные данные самолета СБ 2М105 № 1/227 с ВИШ-22Е не являются максимальными для самолетов СБ 2М-105 и требуют проверки их на другом самолете СБ с мотором М-105 (4481).</w:t>
      </w:r>
    </w:p>
    <w:p w14:paraId="6B5F5C2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445E3C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А.А.А. приказом НКАП был утвержден ГК завода 22 (863,362).</w:t>
      </w:r>
    </w:p>
    <w:p w14:paraId="6E4E493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5C12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13/14 августа 1940 г. по приказу НКАП № 315к от Архангельский назначен гл. конструктором завода № 22. Продолжены работы над «СБ», налажено его серийное производство. Разработан и запущен в серию Ар-2, проект «СБ-Б1». Приказом № 00109 от 19.05.1937 г. КБ поручено к 20.05.1937 г. разработать конструкцию бронесиденья для СБ.</w:t>
      </w:r>
    </w:p>
    <w:p w14:paraId="03510A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02.1941 г. началось снятие с производства Ар-2 с целью расширения выпуска Пе-2. По приказу НКАП № 112с от 5.02.1941 г. опытная база ОКБ Архангельского со всем оборудованием была передана переведенному сюда ОКБ В.М. Петлякова. Дня КБ Архангельского тем же приказом начальник 7ГУ был обязан в течение двух недель подыскать опытную базу. Сначала планировалось передать в НКАП завод № 445 НКСП и отдать его Архангельскому для размещения и продолжения работ.</w:t>
      </w:r>
    </w:p>
    <w:p w14:paraId="56FA05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НКАП № 309с от 10.04.1941 г. А.А. Архангельский назначен гл. конструктором КБ завода № 32 для разработки планера бронированного штурмовика МоВ-2 (</w:t>
      </w:r>
      <w:r w:rsidRPr="00DB5D0D">
        <w:rPr>
          <w:rFonts w:ascii="Times New Roman" w:hAnsi="Times New Roman"/>
          <w:color w:val="000000" w:themeColor="text1"/>
          <w:sz w:val="16"/>
          <w:szCs w:val="16"/>
          <w:lang w:val="en-US"/>
        </w:rPr>
        <w:t>MB</w:t>
      </w:r>
      <w:r w:rsidRPr="00DB5D0D">
        <w:rPr>
          <w:rFonts w:ascii="Times New Roman" w:hAnsi="Times New Roman"/>
          <w:color w:val="000000" w:themeColor="text1"/>
          <w:sz w:val="16"/>
          <w:szCs w:val="16"/>
        </w:rPr>
        <w:t>). Личный состав КБ (89 чел.) переведены с завода № 22 на завод № 32, а все материалы и имущество КБ оставлены на заводе № 22. В 1941 г. после начала войны КБ во главе с Архангельским эвакуировано в Омск на завод № 166 и влито в состав ОКБ-166.</w:t>
      </w:r>
    </w:p>
    <w:p w14:paraId="50AB6B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(1936-41 г.)- А.А. Архангельский.</w:t>
      </w:r>
    </w:p>
    <w:p w14:paraId="5B46A0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конструктора (12.1940 г.-)-  Г.Е. Болотов (11982).</w:t>
      </w:r>
    </w:p>
    <w:p w14:paraId="3F76FB2C" w14:textId="77777777" w:rsidR="003C7E8B" w:rsidRPr="00DB5D0D" w:rsidRDefault="003C7E8B" w:rsidP="00DB5D0D">
      <w:pPr>
        <w:tabs>
          <w:tab w:val="left" w:pos="296"/>
        </w:tabs>
        <w:spacing w:after="0" w:line="240" w:lineRule="auto"/>
        <w:jc w:val="both"/>
        <w:rPr>
          <w:rFonts w:ascii="Times New Roman" w:hAnsi="Times New Roman"/>
          <w:color w:val="000000" w:themeColor="text1"/>
          <w:sz w:val="16"/>
          <w:szCs w:val="16"/>
        </w:rPr>
      </w:pPr>
    </w:p>
    <w:p w14:paraId="528EA8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полеты на И-180 запретил НКАП. 6 июля 1940 была авария, а потом сняли с производства М-88 (129,13).</w:t>
      </w:r>
    </w:p>
    <w:p w14:paraId="45ED429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2171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 с завода № 21 прислали справку о состоянии производства самолета И-180 в Особую (контрольную) группу Секретариата НКАП. В ней отмечалось общее положение с постройкой И-180, утверждалось, что летные испытания прекращены в свя</w:t>
      </w:r>
      <w:r w:rsidRPr="00DB5D0D">
        <w:rPr>
          <w:rFonts w:ascii="Times New Roman" w:hAnsi="Times New Roman"/>
          <w:color w:val="000000" w:themeColor="text1"/>
          <w:sz w:val="16"/>
          <w:szCs w:val="16"/>
        </w:rPr>
        <w:softHyphen/>
        <w:t>зи с недостаточной прочностью крыла, что не устранена путевая неустойчивость, не усилена прочность узлов уп</w:t>
      </w:r>
      <w:r w:rsidRPr="00DB5D0D">
        <w:rPr>
          <w:rFonts w:ascii="Times New Roman" w:hAnsi="Times New Roman"/>
          <w:color w:val="000000" w:themeColor="text1"/>
          <w:sz w:val="16"/>
          <w:szCs w:val="16"/>
        </w:rPr>
        <w:softHyphen/>
        <w:t>равления (чего не было на самом деле). Далее опять идет не соответствующая истине информация: «У завода име</w:t>
      </w:r>
      <w:r w:rsidRPr="00DB5D0D">
        <w:rPr>
          <w:rFonts w:ascii="Times New Roman" w:hAnsi="Times New Roman"/>
          <w:color w:val="000000" w:themeColor="text1"/>
          <w:sz w:val="16"/>
          <w:szCs w:val="16"/>
        </w:rPr>
        <w:softHyphen/>
        <w:t>ются затруднения с разработкой чертежей из-за недо</w:t>
      </w:r>
      <w:r w:rsidRPr="00DB5D0D">
        <w:rPr>
          <w:rFonts w:ascii="Times New Roman" w:hAnsi="Times New Roman"/>
          <w:color w:val="000000" w:themeColor="text1"/>
          <w:sz w:val="16"/>
          <w:szCs w:val="16"/>
        </w:rPr>
        <w:softHyphen/>
        <w:t>статка конструкторов (в основном они были брошены на разработку истребителя И-21 Пашинина. - В.И.). Вы</w:t>
      </w:r>
      <w:r w:rsidRPr="00DB5D0D">
        <w:rPr>
          <w:rFonts w:ascii="Times New Roman" w:hAnsi="Times New Roman"/>
          <w:color w:val="000000" w:themeColor="text1"/>
          <w:sz w:val="16"/>
          <w:szCs w:val="16"/>
        </w:rPr>
        <w:softHyphen/>
        <w:t>деленные согласно приказа Наркомата конструктора из КБ т. Поликарпова в количестве 20 человек до настояще</w:t>
      </w:r>
      <w:r w:rsidRPr="00DB5D0D">
        <w:rPr>
          <w:rFonts w:ascii="Times New Roman" w:hAnsi="Times New Roman"/>
          <w:color w:val="000000" w:themeColor="text1"/>
          <w:sz w:val="16"/>
          <w:szCs w:val="16"/>
        </w:rPr>
        <w:softHyphen/>
        <w:t>го времени на завод № 21 не выехали». Снова Поли</w:t>
      </w:r>
      <w:r w:rsidRPr="00DB5D0D">
        <w:rPr>
          <w:rFonts w:ascii="Times New Roman" w:hAnsi="Times New Roman"/>
          <w:color w:val="000000" w:themeColor="text1"/>
          <w:sz w:val="16"/>
          <w:szCs w:val="16"/>
        </w:rPr>
        <w:softHyphen/>
        <w:t>карпова обвиняли в том, что именно он виноват в плохой организации производства И-180 на заводе № 21 (10667).</w:t>
      </w:r>
    </w:p>
    <w:p w14:paraId="301D6D3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F3AD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13 августа 1940 г. после ряда аварий из-за ненадежной работы М-88 последовал приказ о запрещении поле</w:t>
      </w:r>
      <w:r w:rsidRPr="00DB5D0D">
        <w:rPr>
          <w:rFonts w:ascii="Times New Roman" w:hAnsi="Times New Roman"/>
          <w:color w:val="000000" w:themeColor="text1"/>
          <w:sz w:val="16"/>
          <w:szCs w:val="16"/>
        </w:rPr>
        <w:softHyphen/>
        <w:t>тов всех самолетов с указанными двигателями. М-88 был на время снят с серийного производства. А.Г.Тростянский вспоминал: «Сообщив мне все это, Николай Николаевич задумался. Нервно перекладывая на столе карандаши, сказал: "Война не за горами. На чем будем воевать?"». Пока наркомат и моторный завод № 29 решали про</w:t>
      </w:r>
      <w:r w:rsidRPr="00DB5D0D">
        <w:rPr>
          <w:rFonts w:ascii="Times New Roman" w:hAnsi="Times New Roman"/>
          <w:color w:val="000000" w:themeColor="text1"/>
          <w:sz w:val="16"/>
          <w:szCs w:val="16"/>
        </w:rPr>
        <w:softHyphen/>
        <w:t>блемы М-88, работы над И-180 решили продолжить. По указанию Первого главного управления НКАП произ</w:t>
      </w:r>
      <w:r w:rsidRPr="00DB5D0D">
        <w:rPr>
          <w:rFonts w:ascii="Times New Roman" w:hAnsi="Times New Roman"/>
          <w:color w:val="000000" w:themeColor="text1"/>
          <w:sz w:val="16"/>
          <w:szCs w:val="16"/>
        </w:rPr>
        <w:softHyphen/>
        <w:t>водилась разработка конструкции козырька из прозрач</w:t>
      </w:r>
      <w:r w:rsidRPr="00DB5D0D">
        <w:rPr>
          <w:rFonts w:ascii="Times New Roman" w:hAnsi="Times New Roman"/>
          <w:color w:val="000000" w:themeColor="text1"/>
          <w:sz w:val="16"/>
          <w:szCs w:val="16"/>
        </w:rPr>
        <w:softHyphen/>
        <w:t>ной брони для кабины летчика. После полигонных испытаний ее предполагалось установить на И-180 эта</w:t>
      </w:r>
      <w:r w:rsidRPr="00DB5D0D">
        <w:rPr>
          <w:rFonts w:ascii="Times New Roman" w:hAnsi="Times New Roman"/>
          <w:color w:val="000000" w:themeColor="text1"/>
          <w:sz w:val="16"/>
          <w:szCs w:val="16"/>
        </w:rPr>
        <w:softHyphen/>
        <w:t>лон 1941 г. (10667).</w:t>
      </w:r>
    </w:p>
    <w:p w14:paraId="664380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6A2BD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Зам. наркома П.А.Воронин писал зам. пред. КПК при ЦК ВКП(б) Ивановскому письмо N 3664 о заводах 135 и 31 и предлагал оставить только МДР-6 и ББ-1 (1171).</w:t>
      </w:r>
    </w:p>
    <w:p w14:paraId="6C42159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4217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 инженер Вахмистров писал письмо N Р1-14 зам. председателя СНК А.Я. Вышинскому.</w:t>
      </w:r>
    </w:p>
    <w:p w14:paraId="0893CE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1931 г. я предложил установить на тяжелом бомбардировщике два истребителя, с тем чтобы они могли сопровождать ТБ в тыл противника при надобности, отцепившись в воздухе, вступали в бой с истребителями врага.</w:t>
      </w:r>
    </w:p>
    <w:p w14:paraId="295944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тех пор я занимался дальнейшим развитием своей идеи...</w:t>
      </w:r>
    </w:p>
    <w:p w14:paraId="60B520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1938 г. успешно прошел гос. испытания объект моей конструкции "Звено СПБ фаб-250" (ТБ3 - 2416 с двумя бомбами ФАБ-250 - каждый).</w:t>
      </w:r>
    </w:p>
    <w:p w14:paraId="1FA796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этом случае истребитель И-16 использовался в качестве пикирующего бомбардировщика, несущего на себе 2 бомбы по 250 кг. испытания показали меткость бомбометания с пикирования этим самолетом намного превышающую меткость при бомбометании с горизонтального полета... "Звено" было принято к серийному производству, но благодаря всяческому торможению со стороны НКАП к настоящему времени изготовлено оборудование лишь на 5 самолетов ТБ3 и 10 самолетов И-16, в строю же имеется только 1 самолет ТБ3 и 2 самолета И-16 в авиации черного моря.</w:t>
      </w:r>
    </w:p>
    <w:p w14:paraId="7B5142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стороны командования Черноморским флотом "Звено СПБ" получило весьма высокую оценку.</w:t>
      </w:r>
    </w:p>
    <w:p w14:paraId="777D07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Звено будет демонстрироваться на празднике авиации 18 августа 1940 г.</w:t>
      </w:r>
    </w:p>
    <w:p w14:paraId="129835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положительные оценки со стороны заказчиков и требование продолжить эти работы, применительно к современным самолетам ТБ3 и истребителям, в НКАП поставили вопрос о ликвидации моих работ и расформировании моей группы, базирующейся сейчас на заводе N 289 НКАП (3371,30-31).</w:t>
      </w:r>
    </w:p>
    <w:p w14:paraId="745C35E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08CB6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Солдатов и Казаманов подготовили:</w:t>
      </w:r>
    </w:p>
    <w:p w14:paraId="014560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 Р А В К А о строительстве завода № 82 НКАП.</w:t>
      </w:r>
    </w:p>
    <w:p w14:paraId="5D82981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завода № 82 осуществляется с 1938 года с объемом строительства 1-й очереди в 74 млн. руб., в том числе Строительная часть составляет 25-30 млн. руб.</w:t>
      </w:r>
    </w:p>
    <w:p w14:paraId="761225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строительства на 1940 год определена в сумме 34,6 млн. рублей, в том числе строительная часть в 17,6 млн. руб.</w:t>
      </w:r>
    </w:p>
    <w:p w14:paraId="312D79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решению КО от 12.5.40 г. № 200 НКВД обязывался закончить строительство 1-й очереди завода № 82 НКАП, в том числе: главный корпус, литейный корпус, кузнечный корпус и испытательную станцию к 1-му сентября 1940 г., и строительство жилого дома к 1-му де</w:t>
      </w:r>
      <w:r w:rsidRPr="00DB5D0D">
        <w:rPr>
          <w:rFonts w:ascii="Times New Roman" w:hAnsi="Times New Roman"/>
          <w:color w:val="000000" w:themeColor="text1"/>
          <w:sz w:val="16"/>
          <w:szCs w:val="16"/>
        </w:rPr>
        <w:softHyphen/>
        <w:t>кабря 1940 г.</w:t>
      </w:r>
    </w:p>
    <w:p w14:paraId="38915F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Этим же постановлением НКВД обязан был закончить все строи</w:t>
      </w:r>
      <w:r w:rsidRPr="00DB5D0D">
        <w:rPr>
          <w:rFonts w:ascii="Times New Roman" w:hAnsi="Times New Roman"/>
          <w:color w:val="000000" w:themeColor="text1"/>
          <w:sz w:val="16"/>
          <w:szCs w:val="16"/>
        </w:rPr>
        <w:softHyphen/>
        <w:t>тельные работы по расширению завода № 82 к 1.4.1941 г.</w:t>
      </w:r>
    </w:p>
    <w:p w14:paraId="3C039D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Ориентировочная стоимость строительства 2-й очереди (по подсчетам укрупненных измерителей, произведенных НКАП'ом) определяется в 100-120 млн. рублей, в том числе строительная часть в об'еме 55-50 млн. рублей.</w:t>
      </w:r>
    </w:p>
    <w:p w14:paraId="71C475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хода строительства завода № 82 Главным Контро</w:t>
      </w:r>
      <w:r w:rsidRPr="00DB5D0D">
        <w:rPr>
          <w:rFonts w:ascii="Times New Roman" w:hAnsi="Times New Roman"/>
          <w:color w:val="000000" w:themeColor="text1"/>
          <w:sz w:val="16"/>
          <w:szCs w:val="16"/>
        </w:rPr>
        <w:softHyphen/>
        <w:t>лем КО установлено:</w:t>
      </w:r>
    </w:p>
    <w:p w14:paraId="18E6FF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 подработке решения КО № 200 от 12.5.40 г. со сторо</w:t>
      </w:r>
      <w:r w:rsidRPr="00DB5D0D">
        <w:rPr>
          <w:rFonts w:ascii="Times New Roman" w:hAnsi="Times New Roman"/>
          <w:color w:val="000000" w:themeColor="text1"/>
          <w:sz w:val="16"/>
          <w:szCs w:val="16"/>
        </w:rPr>
        <w:softHyphen/>
        <w:t>ны НКАП'а было допущено безответственное отношение, что подтвер</w:t>
      </w:r>
      <w:r w:rsidRPr="00DB5D0D">
        <w:rPr>
          <w:rFonts w:ascii="Times New Roman" w:hAnsi="Times New Roman"/>
          <w:color w:val="000000" w:themeColor="text1"/>
          <w:sz w:val="16"/>
          <w:szCs w:val="16"/>
        </w:rPr>
        <w:softHyphen/>
        <w:t>ждается следующими фактами:</w:t>
      </w:r>
    </w:p>
    <w:p w14:paraId="70F031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2-й очереди завода № 82 не было обеспечено ни денежными средствами, ни материалами. Техническая документация по строительству 2-й очереди до настоящего времени не только не подготовлена и не выдана строительству, но даже не закончены геологические изыскания для проектирования.</w:t>
      </w:r>
    </w:p>
    <w:p w14:paraId="49A496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изданном НКАП'ом приказе, во исполнение постановления КО № 200, за подписью Наркома т. Шахурина также отсутствуют какие либо указания по обеспечению строительства завода № 82 как пер</w:t>
      </w:r>
      <w:r w:rsidRPr="00DB5D0D">
        <w:rPr>
          <w:rFonts w:ascii="Times New Roman" w:hAnsi="Times New Roman"/>
          <w:color w:val="000000" w:themeColor="text1"/>
          <w:sz w:val="16"/>
          <w:szCs w:val="16"/>
        </w:rPr>
        <w:softHyphen/>
        <w:t>вой, так и второй очереди, материалами, денежными средствами, оборудованием и технической документацией. В этом приказе фор</w:t>
      </w:r>
      <w:r w:rsidRPr="00DB5D0D">
        <w:rPr>
          <w:rFonts w:ascii="Times New Roman" w:hAnsi="Times New Roman"/>
          <w:color w:val="000000" w:themeColor="text1"/>
          <w:sz w:val="16"/>
          <w:szCs w:val="16"/>
        </w:rPr>
        <w:softHyphen/>
        <w:t>мально был возложен контроль за строительством завода № 82 на Н-ка КУКС - НКАП т. КАЦ А.В. Каких либо других документов, обеспечивающих выполнение данного решения, издано не было.Таким образом, строительство завода № 82 с самого начала выхода в свет Постановления ничем не обеспечивалось и НКАП'ом (т.т. Шахурин А.И., Кузнецов В.П., Кац А.В.) никаких мер до настоящего времени не принималось.</w:t>
      </w:r>
    </w:p>
    <w:p w14:paraId="4A2CF6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отметить и то, что строительная программа, утвержденная на 1940 год в об'еме 17,6 млн.руб., также не обеспечива со стороны НКАП'а строительными материалами и технической документацией.</w:t>
      </w:r>
    </w:p>
    <w:p w14:paraId="39FA3B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НКВД (т.т. Чернышев, Маневич) неоднократно обращались в НКАП (к т. Шахурину и т. Кац) по вопросу явно неудовлетворительного снабжения НКАП'ом строительной площадки завода № 82 необходимыми строительными материалами, однако, ни тов. Шахурин А.И., ни т.Кац никаких мер до сих пор не приняли, и строительство по-прежнему испытывает острый недостаток в стройматериалах.</w:t>
      </w:r>
    </w:p>
    <w:p w14:paraId="4FC419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привело к тому, что за 1-е полугодие 1940 г. НКВД выолнено работ на сумму 5,6 млн. руб. вместо 6,5 млн. руб. по утвержденному НКАП'ом плану.</w:t>
      </w:r>
    </w:p>
    <w:p w14:paraId="311719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из-за отсутствия строительных материалов использование рабочей силы происходит явно неудовлетворительно (ежедневные простои рабочих).</w:t>
      </w:r>
    </w:p>
    <w:p w14:paraId="5E33E3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вышеизложенные факты свидетельствуют о том, что НКАП на всем протяжении 1940 г. систематически не выполнял постановления Комитета Обороны и тем самым поставил под угрозу срыва строительство на заводе № 82 как первой очереди, так и по распирению завода в целом (10499,21).</w:t>
      </w:r>
    </w:p>
    <w:p w14:paraId="07B5A2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E329E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 по приказу № 422с на заводе (ГС завод № 218 НКОП, НКАП, МАП, Телеграфно-телефоностроительный завод Лоренца, Петроградский электротехнический завод, Государственный гидротехнический завод, Завод «Термоэлектроприбор» ВСНХ, Ленинградский государственный завод электроизмерительных приборов электротехнического контроля «Пирометр» НКТП, Ленинградский государственный завод измерительных приборов «Пирометр» НКТП, НКОП, ОАО «Пирометр» /г. Санкт-Петербург,  г. Петроград,  г. Ленинград ул. Скороходова, 16 (1940 г.);  г. Казань/ /197101  г. Санкт-Петербург ул. Б. Монетная, 16 (19) тел. 498-57-45/)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 (11982).</w:t>
      </w:r>
    </w:p>
    <w:p w14:paraId="56F9ADD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8FCFED"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в 1940 году образовано ФГУП "123 Авиационный ремонтный завод" Минобороны России (14981).</w:t>
      </w:r>
    </w:p>
    <w:p w14:paraId="7F288C5D"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519DC0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вышло постановление КО N 346 "Об изготовлении деревянных гладилок для зимней эксплуатации аэродромов."</w:t>
      </w:r>
    </w:p>
    <w:p w14:paraId="2BF84E0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FD753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 в НИИ-3 НКБ во 2-й лаборатории В.Г.Бессонова закончили расчеты и опытные проверки горения семишашечного РЗ из полноразмерных пороховых шашек рецептуры НГВ габаритами 40/8-288 мм в двигателях штатных снарчядов РОС-132 модели 3-00498 производства завода № 70 в двигателях штатных снарчядов РОС-132 модели 3-00498 производства завода № 70 Однако, в 1940 представлять собой проблему стало уже изготовление коротких шашек. Во-первых, на серийных заводах давно ос</w:t>
      </w:r>
      <w:r w:rsidRPr="00DB5D0D">
        <w:rPr>
          <w:rFonts w:ascii="Times New Roman" w:hAnsi="Times New Roman"/>
          <w:color w:val="000000" w:themeColor="text1"/>
          <w:sz w:val="16"/>
          <w:szCs w:val="16"/>
        </w:rPr>
        <w:softHyphen/>
        <w:t>воили проходную технологию непрерывного производства толстосводных пороховых трубок большой длины, так что, по мнению заводчан, РЗ сна</w:t>
      </w:r>
      <w:r w:rsidRPr="00DB5D0D">
        <w:rPr>
          <w:rFonts w:ascii="Times New Roman" w:hAnsi="Times New Roman"/>
          <w:color w:val="000000" w:themeColor="text1"/>
          <w:sz w:val="16"/>
          <w:szCs w:val="16"/>
        </w:rPr>
        <w:softHyphen/>
        <w:t>ряда РОС-132 до сих пор больше «напоминал позавчерашний день». Во-вторых, короткие шашки требовали «торцовки» на токарных станках. В третьих, на снаряжательных заводах формирование составных РЗ зани</w:t>
      </w:r>
      <w:r w:rsidRPr="00DB5D0D">
        <w:rPr>
          <w:rFonts w:ascii="Times New Roman" w:hAnsi="Times New Roman"/>
          <w:color w:val="000000" w:themeColor="text1"/>
          <w:sz w:val="16"/>
          <w:szCs w:val="16"/>
        </w:rPr>
        <w:softHyphen/>
        <w:t>мало много больше времени и требовало помещения на строго определен</w:t>
      </w:r>
      <w:r w:rsidRPr="00DB5D0D">
        <w:rPr>
          <w:rFonts w:ascii="Times New Roman" w:hAnsi="Times New Roman"/>
          <w:color w:val="000000" w:themeColor="text1"/>
          <w:sz w:val="16"/>
          <w:szCs w:val="16"/>
        </w:rPr>
        <w:softHyphen/>
        <w:t>ные места двух разрезных шашек габаритами 40/8-48 мм.</w:t>
      </w:r>
    </w:p>
    <w:p w14:paraId="32B64B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короткие РЗ обладали «более дегрессивным характером го</w:t>
      </w:r>
      <w:r w:rsidRPr="00DB5D0D">
        <w:rPr>
          <w:rFonts w:ascii="Times New Roman" w:hAnsi="Times New Roman"/>
          <w:color w:val="000000" w:themeColor="text1"/>
          <w:sz w:val="16"/>
          <w:szCs w:val="16"/>
        </w:rPr>
        <w:softHyphen/>
        <w:t>рения», на которое существенно влияла даже масса навески черного пороха в воспламенителе. От этого значение максимального давления в камере двигателя даже у снарядов одной партии существенно отличалось, особен</w:t>
      </w:r>
      <w:r w:rsidRPr="00DB5D0D">
        <w:rPr>
          <w:rFonts w:ascii="Times New Roman" w:hAnsi="Times New Roman"/>
          <w:color w:val="000000" w:themeColor="text1"/>
          <w:sz w:val="16"/>
          <w:szCs w:val="16"/>
        </w:rPr>
        <w:softHyphen/>
        <w:t>но при высоких начальных температурах РЗ. Наряду с этим, такие заряды сообщали боеприпасу меньший единичный импульс реактивной силы из-за большого числа фрагментов, на которые обычно распадаются пороховые шашки в конечной фазе горения, а также менее устойчивый газовый баланс.</w:t>
      </w:r>
    </w:p>
    <w:p w14:paraId="1668C2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отработке нового полноразмерного РЗ конструкторам разрешили изменить лишь одну деталь снаряда — крышку-сопло, поскольку полноразмерный порох нормально горел при несколько больших давлениях, чем в камере двигателя, нежели из коротких шашек. Новое сопло подобрали опытным путем. В отличие от старого, с диаметром критического сечения сопла в 28 мм, новое ограничили 25,5 мм. Это обеспечило нормальное горение РЗ во всем диапазоне температур — от —50 до +50°С. Однако, гарантированно запускать его могли только одновременно два воспламенителя из пороха ДРП №2 на торцах РЗ — 20-граммовый донный 15-граммовый сопловой. Переоснащение на новые РЗ провели в рам</w:t>
      </w:r>
      <w:r w:rsidRPr="00DB5D0D">
        <w:rPr>
          <w:rFonts w:ascii="Times New Roman" w:hAnsi="Times New Roman"/>
          <w:color w:val="000000" w:themeColor="text1"/>
          <w:sz w:val="16"/>
          <w:szCs w:val="16"/>
        </w:rPr>
        <w:softHyphen/>
        <w:t>кахизменений конструкции РОС-132 модели 3-004986 (11204).</w:t>
      </w:r>
    </w:p>
    <w:p w14:paraId="4BEE1D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8EE99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w:t>
      </w:r>
      <w:r w:rsidRPr="00DB5D0D">
        <w:rPr>
          <w:rFonts w:ascii="Times New Roman" w:hAnsi="Times New Roman"/>
          <w:color w:val="000000" w:themeColor="text1"/>
          <w:sz w:val="16"/>
          <w:szCs w:val="16"/>
        </w:rPr>
        <w:softHyphen/>
        <w:t>густа 1940 г. приказом по НКВМФ №00207 РБС-82 даже без испытаний взрывателя приняли на вооружение (11402). В НТЖ также постановили просить Наркомат боеприпасов подать к сентябрю 1940 г. установочную партию из 200 снарядов РБС-82 л ш го</w:t>
      </w:r>
      <w:r w:rsidRPr="00DB5D0D">
        <w:rPr>
          <w:rFonts w:ascii="Times New Roman" w:hAnsi="Times New Roman"/>
          <w:color w:val="000000" w:themeColor="text1"/>
          <w:sz w:val="16"/>
          <w:szCs w:val="16"/>
        </w:rPr>
        <w:softHyphen/>
        <w:t>сиспытаний донных взрывателей АВ-96 «в процессе пробивания брони». А от НИИ-3 НКБ -требовать разработки комплекта заводской документации на серийное производство РБС-82 не позже 10 октября 1940 г. с учетом всех замечаний (существующих и возможных в ходе сентябрьских испытаний). В постановлении также значилось, что заказ УА ВМФ па 1941 г по РБС-82 составит 8000 штук. Из них в первом квартале долж</w:t>
      </w:r>
      <w:r w:rsidRPr="00DB5D0D">
        <w:rPr>
          <w:rFonts w:ascii="Times New Roman" w:hAnsi="Times New Roman"/>
          <w:color w:val="000000" w:themeColor="text1"/>
          <w:sz w:val="16"/>
          <w:szCs w:val="16"/>
        </w:rPr>
        <w:softHyphen/>
        <w:t>ны быть готовы 2000 штук (11402).</w:t>
      </w:r>
    </w:p>
    <w:p w14:paraId="4486BA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F9C6527" w14:textId="77777777" w:rsidR="000E6EB8" w:rsidRPr="00DB5D0D" w:rsidRDefault="000E6EB8"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13 августа 1940 г. по результатам испытаний приказом наркома ВМФ КА адмирала Н. Г. Куз</w:t>
      </w:r>
      <w:r w:rsidRPr="00DB5D0D">
        <w:rPr>
          <w:rFonts w:ascii="Times New Roman" w:hAnsi="Times New Roman"/>
          <w:color w:val="000000" w:themeColor="text1"/>
          <w:spacing w:val="0"/>
          <w:sz w:val="16"/>
          <w:szCs w:val="16"/>
        </w:rPr>
        <w:softHyphen/>
        <w:t>нецова РБС-82 был принят на вооружение ВВС флота (17500).</w:t>
      </w:r>
    </w:p>
    <w:p w14:paraId="2DE1809B" w14:textId="77777777" w:rsidR="000E6EB8" w:rsidRPr="00DB5D0D" w:rsidRDefault="000E6EB8" w:rsidP="00DB5D0D">
      <w:pPr>
        <w:pStyle w:val="128"/>
        <w:shd w:val="clear" w:color="auto" w:fill="auto"/>
        <w:spacing w:before="0" w:line="240" w:lineRule="auto"/>
        <w:ind w:firstLine="0"/>
        <w:rPr>
          <w:rFonts w:ascii="Times New Roman" w:hAnsi="Times New Roman"/>
          <w:color w:val="000000" w:themeColor="text1"/>
          <w:spacing w:val="0"/>
          <w:sz w:val="16"/>
          <w:szCs w:val="16"/>
        </w:rPr>
      </w:pPr>
    </w:p>
    <w:p w14:paraId="3F0F827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10CE5F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6E04E83"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период 13-31 августа 1940 г. прошли пов</w:t>
      </w:r>
      <w:r w:rsidRPr="00DB5D0D">
        <w:rPr>
          <w:rFonts w:ascii="Times New Roman" w:hAnsi="Times New Roman"/>
          <w:color w:val="000000" w:themeColor="text1"/>
          <w:sz w:val="16"/>
          <w:szCs w:val="16"/>
        </w:rPr>
        <w:softHyphen/>
        <w:t>торные заводские испытания танка КВ №У-7 с малой башней. На машине установили новые сухие воздушные фильтры, радиаторы систе</w:t>
      </w:r>
      <w:r w:rsidRPr="00DB5D0D">
        <w:rPr>
          <w:rFonts w:ascii="Times New Roman" w:hAnsi="Times New Roman"/>
          <w:color w:val="000000" w:themeColor="text1"/>
          <w:sz w:val="16"/>
          <w:szCs w:val="16"/>
        </w:rPr>
        <w:softHyphen/>
        <w:t>мы охлаждения производства ХПЗ, применили новые топливную и масляную системы. В ходо</w:t>
      </w:r>
      <w:r w:rsidRPr="00DB5D0D">
        <w:rPr>
          <w:rFonts w:ascii="Times New Roman" w:hAnsi="Times New Roman"/>
          <w:color w:val="000000" w:themeColor="text1"/>
          <w:sz w:val="16"/>
          <w:szCs w:val="16"/>
        </w:rPr>
        <w:softHyphen/>
        <w:t>вой части установили катки с амортизаторами, запрессованными на различное давление: на левом борту машины - 11 т, на правом - 13 т. Гусеничные ленты укомплектовали на 75% но</w:t>
      </w:r>
      <w:r w:rsidRPr="00DB5D0D">
        <w:rPr>
          <w:rFonts w:ascii="Times New Roman" w:hAnsi="Times New Roman"/>
          <w:color w:val="000000" w:themeColor="text1"/>
          <w:sz w:val="16"/>
          <w:szCs w:val="16"/>
        </w:rPr>
        <w:softHyphen/>
        <w:t>выми усиленными траками.</w:t>
      </w:r>
    </w:p>
    <w:p w14:paraId="1630E07E"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испытания проводились в предель</w:t>
      </w:r>
      <w:r w:rsidRPr="00DB5D0D">
        <w:rPr>
          <w:rFonts w:ascii="Times New Roman" w:hAnsi="Times New Roman"/>
          <w:color w:val="000000" w:themeColor="text1"/>
          <w:sz w:val="16"/>
          <w:szCs w:val="16"/>
        </w:rPr>
        <w:softHyphen/>
        <w:t>но сжатые сроки и только как ходовые, что</w:t>
      </w:r>
      <w:r w:rsidRPr="00DB5D0D">
        <w:rPr>
          <w:rFonts w:ascii="Times New Roman" w:hAnsi="Times New Roman"/>
          <w:color w:val="000000" w:themeColor="text1"/>
          <w:sz w:val="16"/>
          <w:szCs w:val="16"/>
        </w:rPr>
        <w:softHyphen/>
        <w:t>бы проверить эффективность реализованных конструктивных изменений. При этом отсут</w:t>
      </w:r>
      <w:r w:rsidRPr="00DB5D0D">
        <w:rPr>
          <w:rFonts w:ascii="Times New Roman" w:hAnsi="Times New Roman"/>
          <w:color w:val="000000" w:themeColor="text1"/>
          <w:sz w:val="16"/>
          <w:szCs w:val="16"/>
        </w:rPr>
        <w:softHyphen/>
        <w:t>ствовали заболоченные участки, водные прег</w:t>
      </w:r>
      <w:r w:rsidRPr="00DB5D0D">
        <w:rPr>
          <w:rFonts w:ascii="Times New Roman" w:hAnsi="Times New Roman"/>
          <w:color w:val="000000" w:themeColor="text1"/>
          <w:sz w:val="16"/>
          <w:szCs w:val="16"/>
        </w:rPr>
        <w:softHyphen/>
        <w:t>рады, лесные участки и искусственные пре</w:t>
      </w:r>
      <w:r w:rsidRPr="00DB5D0D">
        <w:rPr>
          <w:rFonts w:ascii="Times New Roman" w:hAnsi="Times New Roman"/>
          <w:color w:val="000000" w:themeColor="text1"/>
          <w:sz w:val="16"/>
          <w:szCs w:val="16"/>
        </w:rPr>
        <w:softHyphen/>
        <w:t>пятствия (15767).</w:t>
      </w:r>
    </w:p>
    <w:p w14:paraId="6C2100A3"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сентября 1940, с отставанием от установленных сроков на 52 дня, первый опытный образец качающейся ча</w:t>
      </w:r>
      <w:r w:rsidRPr="00DB5D0D">
        <w:rPr>
          <w:rFonts w:ascii="Times New Roman" w:hAnsi="Times New Roman"/>
          <w:color w:val="000000" w:themeColor="text1"/>
          <w:sz w:val="16"/>
          <w:szCs w:val="16"/>
        </w:rPr>
        <w:softHyphen/>
        <w:t>сти артиллерийской системы М-10 (проект 402) с завода №172 им. Молотова поступил на Кировский завод. Изменен</w:t>
      </w:r>
      <w:r w:rsidRPr="00DB5D0D">
        <w:rPr>
          <w:rFonts w:ascii="Times New Roman" w:hAnsi="Times New Roman"/>
          <w:color w:val="000000" w:themeColor="text1"/>
          <w:sz w:val="16"/>
          <w:szCs w:val="16"/>
        </w:rPr>
        <w:softHyphen/>
        <w:t>ная большая («пониженная» или «уменьшен</w:t>
      </w:r>
      <w:r w:rsidRPr="00DB5D0D">
        <w:rPr>
          <w:rFonts w:ascii="Times New Roman" w:hAnsi="Times New Roman"/>
          <w:color w:val="000000" w:themeColor="text1"/>
          <w:sz w:val="16"/>
          <w:szCs w:val="16"/>
        </w:rPr>
        <w:softHyphen/>
        <w:t>ная») башня под его монтаж прибыла с Ижорского завода только 5 октября 1940 г. (15767).</w:t>
      </w:r>
    </w:p>
    <w:p w14:paraId="49225644"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45543BA8" w14:textId="77777777" w:rsidR="000E6EB8" w:rsidRPr="00DB5D0D" w:rsidRDefault="000E6E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 Постановлением Комитета обороны № 351сс завод № 264 обязан был в 1940 г. изготовить для Сталинградского тракторного завода НКСМ опытную партию бронекорпусов и башен танка Т</w:t>
      </w:r>
      <w:r w:rsidRPr="00DB5D0D">
        <w:rPr>
          <w:rFonts w:ascii="Times New Roman" w:hAnsi="Times New Roman"/>
          <w:color w:val="000000" w:themeColor="text1"/>
          <w:sz w:val="16"/>
          <w:szCs w:val="16"/>
        </w:rPr>
        <w:noBreakHyphen/>
        <w:t>34 в количестве 20 комплектов и к 1941 г. подготовить выпуск их в количестве 2 тыс. комплектов. Это задание заводом № 264 полностью сорвано. На 1 марта 1941 г. заводом не изготовлено ни одного корпуса.</w:t>
      </w:r>
    </w:p>
    <w:p w14:paraId="4B816469" w14:textId="77777777" w:rsidR="000E6EB8" w:rsidRPr="00DB5D0D" w:rsidRDefault="000E6EB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Технология производства корпусов и башен Т</w:t>
      </w:r>
      <w:r w:rsidRPr="00DB5D0D">
        <w:rPr>
          <w:rFonts w:ascii="Times New Roman" w:hAnsi="Times New Roman"/>
          <w:color w:val="000000" w:themeColor="text1"/>
          <w:sz w:val="16"/>
          <w:szCs w:val="16"/>
        </w:rPr>
        <w:noBreakHyphen/>
        <w:t>34 не оснащена штампами, инструментом, приспособлениями и оборудованием (18033).</w:t>
      </w:r>
    </w:p>
    <w:p w14:paraId="3DF5FBD1" w14:textId="77777777" w:rsidR="000E6EB8" w:rsidRPr="00DB5D0D" w:rsidRDefault="000E6EB8" w:rsidP="00DB5D0D">
      <w:pPr>
        <w:spacing w:after="0" w:line="240" w:lineRule="auto"/>
        <w:jc w:val="both"/>
        <w:rPr>
          <w:rFonts w:ascii="Times New Roman" w:hAnsi="Times New Roman"/>
          <w:color w:val="000000" w:themeColor="text1"/>
          <w:sz w:val="16"/>
          <w:szCs w:val="16"/>
        </w:rPr>
      </w:pPr>
    </w:p>
    <w:p w14:paraId="51A3F171"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13 августа 1940 вышло Постановление Комитета обороны при № 351сс СНК СССР "О производстве бронекорпусов "Т-34" на заводе № 264 НКСП" (22023).</w:t>
      </w:r>
    </w:p>
    <w:p w14:paraId="19725944" w14:textId="77777777" w:rsidR="00B91173" w:rsidRPr="00DB5D0D" w:rsidRDefault="00B91173" w:rsidP="00DB5D0D">
      <w:pPr>
        <w:spacing w:after="0" w:line="240" w:lineRule="auto"/>
        <w:jc w:val="both"/>
        <w:rPr>
          <w:rFonts w:ascii="Times New Roman" w:hAnsi="Times New Roman"/>
          <w:color w:val="0070C0"/>
          <w:sz w:val="16"/>
          <w:szCs w:val="16"/>
        </w:rPr>
      </w:pPr>
    </w:p>
    <w:p w14:paraId="6C0F4B03"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13 августа 1940 года </w:t>
      </w:r>
    </w:p>
    <w:p w14:paraId="21BDB1D8"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РГВА Фонд 4 Опись 14 Дело 2831 лист 42</w:t>
      </w:r>
    </w:p>
    <w:p w14:paraId="055C79C6"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Секретно</w:t>
      </w:r>
    </w:p>
    <w:p w14:paraId="47B84D49"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Экз. № ___</w:t>
      </w:r>
    </w:p>
    <w:p w14:paraId="0479D7BE"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Тов. ТИМОШЕНКО С.К.!</w:t>
      </w:r>
    </w:p>
    <w:p w14:paraId="51564EEB"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июня с/г. КО при СНК СССР дано распоряжение Наркомсредмашу и Наркомтяжмашу на их заводах – Кировском и № 183 выполнить к 1/VIII с.г. технический проект танкового механизма, применительно к танку КВ и Т-34, предложенного т. Данченко и ст. преподавателем Академии механизации и моторизации тов. Благонравовым. Механизм по отзывам Наркоматов, АБТУ и конструкторских бюро заводов является ценным. Успешное выполнение этого предложения может быть обеспечено только при условии непосредственного участия т. Благонравова.</w:t>
      </w:r>
    </w:p>
    <w:p w14:paraId="771E5E5E"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Прошу дать распоряжение начальнику Академии механизации и моторизации о командировании тов. Благонравова на эти заводы сроком до двух месяцев.</w:t>
      </w:r>
    </w:p>
    <w:p w14:paraId="6317238C"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подпись ВОРОШИЛОВ К.Е.</w:t>
      </w:r>
    </w:p>
    <w:p w14:paraId="09BBA52D"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августа 1940 года</w:t>
      </w:r>
    </w:p>
    <w:p w14:paraId="7EBC77BA"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20689</w:t>
      </w:r>
    </w:p>
    <w:p w14:paraId="1F4A063F"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10.VIII. ау/рр</w:t>
      </w:r>
    </w:p>
    <w:p w14:paraId="75DE531C"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Отп. 2 экз..</w:t>
      </w:r>
    </w:p>
    <w:p w14:paraId="6D274A29"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документе резолюция С.К. Тимошенко: «т. Федоренко. Командировать» (20380)</w:t>
      </w:r>
    </w:p>
    <w:p w14:paraId="175503CE" w14:textId="77777777" w:rsidR="00B91173" w:rsidRPr="00DB5D0D" w:rsidRDefault="00B91173" w:rsidP="00DB5D0D">
      <w:pPr>
        <w:spacing w:after="0" w:line="240" w:lineRule="auto"/>
        <w:jc w:val="both"/>
        <w:rPr>
          <w:rFonts w:ascii="Times New Roman" w:hAnsi="Times New Roman"/>
          <w:color w:val="0070C0"/>
          <w:sz w:val="16"/>
          <w:szCs w:val="16"/>
        </w:rPr>
      </w:pPr>
    </w:p>
    <w:p w14:paraId="6F3FA67E"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августа 1940 была Записка наркома внешней торговли СССР А. И. Микояна в ЦК ВКП(б) - И. В. Сталину и Совнарком СССР - В. М. Молотову о целесообразности направления в Германию комиссии по вопросам станкостроения</w:t>
      </w:r>
    </w:p>
    <w:p w14:paraId="77E3342B"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ЦК ВКП(б) - тов. С ТАЛИНУ Л.В.</w:t>
      </w:r>
    </w:p>
    <w:p w14:paraId="62555453"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СНК СССР - тов. МОЛОТОВУ В.М.</w:t>
      </w:r>
    </w:p>
    <w:p w14:paraId="7E90D3FB"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Сотрудник Германского посольства г-н Кегель сделал Наркомвнешторгу следующее заявление:</w:t>
      </w:r>
    </w:p>
    <w:p w14:paraId="1521509A"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"За последние годы в станкостроении были достигнуты значительные технические успехи, которые связаны, между прочим, и с изменениями в материальной части. Так, например, станкостроительные заводы используют с большим успехом уже в течение ряда лет материалы, которые не были и не могли еще быть предусмотрены техническими условиями 1932 года, тогда как использовавшиеся прежде материалы в настоящее время используются уже лишь в значительном об’еме. Таким образом, технические условия 1932 года весьма устарели и затрудняют текущую работу немецких станкостроительных заво</w:t>
      </w:r>
      <w:r w:rsidRPr="00DB5D0D">
        <w:rPr>
          <w:rFonts w:ascii="Times New Roman" w:hAnsi="Times New Roman"/>
          <w:color w:val="0070C0"/>
          <w:sz w:val="16"/>
          <w:szCs w:val="16"/>
        </w:rPr>
        <w:softHyphen/>
        <w:t>дов, занятых поставками в СССР.</w:t>
      </w:r>
    </w:p>
    <w:p w14:paraId="3A1DE6B5"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этих основаниях Министерство хозяйства в Берлине уме обратилось письмом от 4 июня 1940г. к Торговому Предста</w:t>
      </w:r>
      <w:r w:rsidRPr="00DB5D0D">
        <w:rPr>
          <w:rFonts w:ascii="Times New Roman" w:hAnsi="Times New Roman"/>
          <w:color w:val="0070C0"/>
          <w:sz w:val="16"/>
          <w:szCs w:val="16"/>
        </w:rPr>
        <w:softHyphen/>
        <w:t>вительству СССР в Берлине с предложением послать в Германию комиссию советских инженеров с целью изучения основ произ</w:t>
      </w:r>
      <w:r w:rsidRPr="00DB5D0D">
        <w:rPr>
          <w:rFonts w:ascii="Times New Roman" w:hAnsi="Times New Roman"/>
          <w:color w:val="0070C0"/>
          <w:sz w:val="16"/>
          <w:szCs w:val="16"/>
        </w:rPr>
        <w:softHyphen/>
        <w:t>водства немецких станкостроительных заводов и с целью на</w:t>
      </w:r>
      <w:r w:rsidRPr="00DB5D0D">
        <w:rPr>
          <w:rFonts w:ascii="Times New Roman" w:hAnsi="Times New Roman"/>
          <w:color w:val="0070C0"/>
          <w:sz w:val="16"/>
          <w:szCs w:val="16"/>
        </w:rPr>
        <w:softHyphen/>
        <w:t>чала переговоров о соответствующем обновлении технических условий 1932 года.</w:t>
      </w:r>
    </w:p>
    <w:p w14:paraId="28288187"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Немецкое Посольство было бы благодарно Народному Комис</w:t>
      </w:r>
      <w:r w:rsidRPr="00DB5D0D">
        <w:rPr>
          <w:rFonts w:ascii="Times New Roman" w:hAnsi="Times New Roman"/>
          <w:color w:val="0070C0"/>
          <w:sz w:val="16"/>
          <w:szCs w:val="16"/>
        </w:rPr>
        <w:softHyphen/>
        <w:t>сариату Внешней Торговли, если бы он принял участие в этом деле и ходатайствовал бы о посылке комиссии в Германию”.</w:t>
      </w:r>
    </w:p>
    <w:p w14:paraId="34FDCE5E"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Наркомвнешторг считает целесообразным это предложение принять, чтобы:</w:t>
      </w:r>
    </w:p>
    <w:p w14:paraId="07E2BA14"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ликвидировать недоразумения, возникшие между Станко- импортом и станкостроительными заводами Германии по техниче</w:t>
      </w:r>
      <w:r w:rsidRPr="00DB5D0D">
        <w:rPr>
          <w:rFonts w:ascii="Times New Roman" w:hAnsi="Times New Roman"/>
          <w:color w:val="0070C0"/>
          <w:sz w:val="16"/>
          <w:szCs w:val="16"/>
        </w:rPr>
        <w:softHyphen/>
        <w:t>ским условиям поставки станков;</w:t>
      </w:r>
    </w:p>
    <w:p w14:paraId="20094126"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выяснить конструктивные изменения в станкостроении, происшедшие за период 1932 года по настоящее время, а также применение заменителей вместо дефицитных цветных металлов и улучшение марок сталей, употребляемых на изготовление основ</w:t>
      </w:r>
      <w:r w:rsidRPr="00DB5D0D">
        <w:rPr>
          <w:rFonts w:ascii="Times New Roman" w:hAnsi="Times New Roman"/>
          <w:color w:val="0070C0"/>
          <w:sz w:val="16"/>
          <w:szCs w:val="16"/>
        </w:rPr>
        <w:softHyphen/>
        <w:t>ных деталей станков;</w:t>
      </w:r>
    </w:p>
    <w:p w14:paraId="1E1504E8"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перенести в СССР технический опыт германского станко</w:t>
      </w:r>
      <w:r w:rsidRPr="00DB5D0D">
        <w:rPr>
          <w:rFonts w:ascii="Times New Roman" w:hAnsi="Times New Roman"/>
          <w:color w:val="0070C0"/>
          <w:sz w:val="16"/>
          <w:szCs w:val="16"/>
        </w:rPr>
        <w:softHyphen/>
        <w:t>строения посредством ознакомления с организацией процесса производства станкостроительных заводов, цехов, конструктор</w:t>
      </w:r>
      <w:r w:rsidRPr="00DB5D0D">
        <w:rPr>
          <w:rFonts w:ascii="Times New Roman" w:hAnsi="Times New Roman"/>
          <w:color w:val="0070C0"/>
          <w:sz w:val="16"/>
          <w:szCs w:val="16"/>
        </w:rPr>
        <w:softHyphen/>
        <w:t>ских бюро и лабораторий.</w:t>
      </w:r>
    </w:p>
    <w:p w14:paraId="2769F14E"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этой цели Наркомвнешторг предлагает назначить и направить в Германию комиссию инженеров-станкостроителей в следующем составе:</w:t>
      </w:r>
    </w:p>
    <w:p w14:paraId="265AF995"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Будяков - председатель комиссии, зам.Торгпреда СССР в Берлине.</w:t>
      </w:r>
    </w:p>
    <w:p w14:paraId="0B257E1B"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Рыбкин А.П. - главный инженер Станкостроительного завода им.Орджоникидзе.</w:t>
      </w:r>
    </w:p>
    <w:p w14:paraId="38639565"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Дикушин В.Л. - главный конструктор Экспериментально</w:t>
      </w:r>
      <w:r w:rsidRPr="00DB5D0D">
        <w:rPr>
          <w:rFonts w:ascii="Times New Roman" w:hAnsi="Times New Roman"/>
          <w:color w:val="0070C0"/>
          <w:sz w:val="16"/>
          <w:szCs w:val="16"/>
        </w:rPr>
        <w:softHyphen/>
        <w:t>го научно-исследовательского института металлорежущих стан</w:t>
      </w:r>
      <w:r w:rsidRPr="00DB5D0D">
        <w:rPr>
          <w:rFonts w:ascii="Times New Roman" w:hAnsi="Times New Roman"/>
          <w:color w:val="0070C0"/>
          <w:sz w:val="16"/>
          <w:szCs w:val="16"/>
        </w:rPr>
        <w:softHyphen/>
        <w:t>ков Наркоытяжмаша.</w:t>
      </w:r>
    </w:p>
    <w:p w14:paraId="5F671762"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Соболев К.А. - главный инженер завода "Стапколит” Наркоытяжмаша.</w:t>
      </w:r>
    </w:p>
    <w:p w14:paraId="10F906B0"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Марданян М.Е. - главный конструктор завода фрезер</w:t>
      </w:r>
      <w:r w:rsidRPr="00DB5D0D">
        <w:rPr>
          <w:rFonts w:ascii="Times New Roman" w:hAnsi="Times New Roman"/>
          <w:color w:val="0070C0"/>
          <w:sz w:val="16"/>
          <w:szCs w:val="16"/>
        </w:rPr>
        <w:softHyphen/>
        <w:t>ных станков Наркоытяжмаша в г.Горьком.</w:t>
      </w:r>
    </w:p>
    <w:p w14:paraId="3C82399F"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noProof/>
          <w:color w:val="0070C0"/>
          <w:sz w:val="16"/>
          <w:szCs w:val="16"/>
        </w:rPr>
        <mc:AlternateContent>
          <mc:Choice Requires="wps">
            <w:drawing>
              <wp:anchor distT="0" distB="0" distL="114300" distR="114300" simplePos="0" relativeHeight="251666432" behindDoc="0" locked="0" layoutInCell="1" allowOverlap="1" wp14:anchorId="15E02679" wp14:editId="5330BDA8">
                <wp:simplePos x="0" y="0"/>
                <wp:positionH relativeFrom="page">
                  <wp:posOffset>7434580</wp:posOffset>
                </wp:positionH>
                <wp:positionV relativeFrom="paragraph">
                  <wp:posOffset>660400</wp:posOffset>
                </wp:positionV>
                <wp:extent cx="528320" cy="149860"/>
                <wp:effectExtent l="0" t="0" r="0" b="0"/>
                <wp:wrapSquare wrapText="left"/>
                <wp:docPr id="24" name="Надпись 24"/>
                <wp:cNvGraphicFramePr/>
                <a:graphic xmlns:a="http://schemas.openxmlformats.org/drawingml/2006/main">
                  <a:graphicData uri="http://schemas.microsoft.com/office/word/2010/wordprocessingShape">
                    <wps:wsp>
                      <wps:cNvSpPr txBox="1"/>
                      <wps:spPr>
                        <a:xfrm>
                          <a:off x="0" y="0"/>
                          <a:ext cx="528320" cy="149860"/>
                        </a:xfrm>
                        <a:prstGeom prst="rect">
                          <a:avLst/>
                        </a:prstGeom>
                        <a:noFill/>
                      </wps:spPr>
                      <wps:txbx>
                        <w:txbxContent>
                          <w:p w14:paraId="0C71489C" w14:textId="77777777" w:rsidR="00B91173" w:rsidRDefault="00B91173" w:rsidP="00B91173">
                            <w:pPr>
                              <w:spacing w:line="240" w:lineRule="auto"/>
                            </w:pPr>
                            <w:r>
                              <w:rPr>
                                <w:color w:val="000000"/>
                              </w:rPr>
                              <w:t>А.Микоян</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 w14:anchorId="15E02679" id="Надпись 24" o:spid="_x0000_s1029" type="#_x0000_t202" style="position:absolute;left:0;text-align:left;margin-left:585.4pt;margin-top:52pt;width:41.6pt;height:11.8pt;z-index:251666432;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" filled="f" stroked="f">
                <v:textbox inset="0,0,0,0">
                  <w:txbxContent>
                    <w:p w14:paraId="0C71489C" w14:textId="77777777" w:rsidR="00B91173" w:rsidRDefault="00B91173" w:rsidP="00B91173">
                      <w:pPr>
                        <w:spacing w:line="240" w:lineRule="auto"/>
                      </w:pPr>
                      <w:proofErr w:type="spellStart"/>
                      <w:r>
                        <w:rPr>
                          <w:color w:val="000000"/>
                        </w:rPr>
                        <w:t>А.Микоян</w:t>
                      </w:r>
                      <w:proofErr w:type="spellEnd"/>
                    </w:p>
                  </w:txbxContent>
                </v:textbox>
                <w10:wrap type="square" side="left" anchorx="page"/>
              </v:shape>
            </w:pict>
          </mc:Fallback>
        </mc:AlternateContent>
      </w:r>
      <w:r w:rsidRPr="00DB5D0D">
        <w:rPr>
          <w:rFonts w:ascii="Times New Roman" w:hAnsi="Times New Roman"/>
          <w:color w:val="0070C0"/>
          <w:sz w:val="16"/>
          <w:szCs w:val="16"/>
        </w:rPr>
        <w:t>Ермолаев К.Г1. - главный технолог Московского завода шлифовальных станков Наркоытяжмаша (22022).</w:t>
      </w:r>
    </w:p>
    <w:p w14:paraId="6AE95EA1" w14:textId="77777777" w:rsidR="00B91173" w:rsidRPr="00DB5D0D" w:rsidRDefault="00B91173" w:rsidP="00DB5D0D">
      <w:pPr>
        <w:spacing w:after="0" w:line="240" w:lineRule="auto"/>
        <w:jc w:val="both"/>
        <w:rPr>
          <w:rFonts w:ascii="Times New Roman" w:hAnsi="Times New Roman"/>
          <w:color w:val="0070C0"/>
          <w:sz w:val="16"/>
          <w:szCs w:val="16"/>
        </w:rPr>
      </w:pPr>
    </w:p>
    <w:p w14:paraId="20CA5B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 Проектно-монтажная контора "Проектмонтажприбор", приказом наркомата переименована в Производственную контору по проектированию и монтажу контрольно-измерительных приборов "Проектмонтажприбор". В июне 1942 г. переименована в Производственно-техническое предприятие по проектированию и монтажу установок теплового контроля, автоматики, сигнализации и связи "Проектмонтажприбор". В 1941 - 1 943 гг. предприятие находилось в эвакуации в пос. Тирлян Белорецкого Р-на Башкирской АССР. В январе 1948 г. переименовано в Производственно-техническое предприятие по проектированию, монтажу, комплектованию и ремонту контрольно-измерительных приборов, производственной сигнализации и связи "Проектмонтажприбор", в ноябре 1948 г. - в Производственно-техническое предприятие по проектированию, монтажу, наладке и комплектованию установок теплового контроля, автоматического регулирования и производственной сигнализации "Проектмонтажприбор". Ликвидировано приказом Министерства металлургической промышленности СССР от 22 августа 1953 г. Проектный отдел предприятия стал базой вновь созданного ЦПКБ (12102).</w:t>
      </w:r>
    </w:p>
    <w:p w14:paraId="0E22C1B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66E3DC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2E44F34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634D7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должность комиссара была заменена на замполита (3908,361).</w:t>
      </w:r>
    </w:p>
    <w:p w14:paraId="542A469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4E3E6C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66192FC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F4B4D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 на «Комете» была получена телеграмма из Берлина: «Русские предлагают, чтобы корабль направился в пролив Маточкин Шар, где его будет ждать ледокол «Ленин» ». В радиограмме особо отмечалось, что «следует торопиться» (10670,266).</w:t>
      </w:r>
    </w:p>
    <w:p w14:paraId="36FA16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33F1C2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728A9B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45D63E1"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августа 1940 авиалайнеров Королевских ВВС Австралии Lockheed Hudson терпит крушение возле Канберры, Австралия , в результате чего погибли все 10 человек на борту. Среди погибших - Джеффри Стрит, министр обороны и репатриации Австралии; Джеймс Фэйрберн, министр авиации и гражданской авиации Австралии; Сэр Генри Галлетт, вице-президент Исполнительного совета Австралии и министр по научным и промышленным исследованиям; и генерал сэр Бруденелл Уайт, начальник Генерального штаба Австралии  (20795).</w:t>
      </w:r>
    </w:p>
    <w:p w14:paraId="3DCD9CCF" w14:textId="77777777" w:rsidR="00B91173" w:rsidRPr="00DB5D0D" w:rsidRDefault="00B91173" w:rsidP="00DB5D0D">
      <w:pPr>
        <w:spacing w:after="0" w:line="240" w:lineRule="auto"/>
        <w:jc w:val="both"/>
        <w:rPr>
          <w:rFonts w:ascii="Times New Roman" w:hAnsi="Times New Roman"/>
          <w:color w:val="0070C0"/>
          <w:sz w:val="16"/>
          <w:szCs w:val="16"/>
        </w:rPr>
      </w:pPr>
    </w:p>
    <w:p w14:paraId="14058499"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13 августа 1940 года началась операция «День Орла»: немецкая армада, ядро которой составляли 463 полностью загруженных бомбами Не.111, обрушилась на Англию. Это была страшная сила, но она впервые встретила отпор. За август английские зенитчики и истребители сбили 60 «хейнкелей» — больше, чем бомбардировщиков любого другого типа. Это заставило перейти к ночным налетам, используя радиосистемы дистанционного наведения самолетов на цель, но англичане быстро научились ставить помехи станциям наведения бомбардировщиков. Они имели и самую мощную сеть наземных РЛС, они первыми широко применили и ночные перехватчики с бортовыми радарами. Потери Не.111 ночью снизились, но за первые три месяца они все равно перевалили за 150 «бортов». Темп же поставок Не.111 был снижен в пользу других типов (в 1939 году Люфтваффе получили 1399 самолетов этого типа, а в 1940-м лишь 827), а пополнение Королевских ВВС, несмотря на бомбардировки авиазаводов, шло все быстрее (22822).</w:t>
      </w:r>
    </w:p>
    <w:p w14:paraId="32BC9B6E" w14:textId="77777777" w:rsidR="00B91173" w:rsidRPr="00DB5D0D" w:rsidRDefault="00B91173" w:rsidP="00DB5D0D">
      <w:pPr>
        <w:spacing w:after="0" w:line="240" w:lineRule="auto"/>
        <w:jc w:val="both"/>
        <w:rPr>
          <w:rFonts w:ascii="Times New Roman" w:hAnsi="Times New Roman"/>
          <w:color w:val="0070C0"/>
          <w:sz w:val="16"/>
          <w:szCs w:val="16"/>
        </w:rPr>
      </w:pPr>
    </w:p>
    <w:p w14:paraId="0E0484C4"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в 1940 году начинаются массированные авианалеты немцев на Британию ("Битва за Англию"). С этого дня до мая 1941 года немецкая авиация совершала до полутора тысяч самолетовылетов и до пяти сотен бомбардировок практически ежедневно. Англия, после июньской капитуляции Франции, была единственной страной, остававшейся военным противником Германии. Тогда погибло свыше 40 тысяч англичан, около 50 тысяч получили тяжелые ранения, сильно пострадали многие города, однако планы гитлеровцев принудить Англию к капитуляции сокрушили умелые действия Королевского воздушного флота, мужество, проявленное населением, и несравненно более эффективные, нежели немецкие, британские радары (14982).</w:t>
      </w:r>
    </w:p>
    <w:p w14:paraId="5E660328"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0A93F8F7"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в 1940 году во второй половине дня, с опозданием на три дня из-за погодных условий, план "Адлерангрифф" был пущен в ход. С этого момента немцы и отсчитывают "битву за Англию". Британские же источники начинают с 8 августа, когда произошли крупные бои над конвоями у о.Уайт (14982).</w:t>
      </w:r>
    </w:p>
    <w:p w14:paraId="69C2D0A1"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71CA937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 xml:space="preserve">13 августа 1940 начались авианалеты немцев на Британию </w:t>
      </w:r>
      <w:r w:rsidRPr="00DB5D0D">
        <w:rPr>
          <w:rFonts w:ascii="Times New Roman" w:hAnsi="Times New Roman"/>
          <w:color w:val="000000" w:themeColor="text1"/>
          <w:sz w:val="16"/>
          <w:szCs w:val="16"/>
          <w:lang w:val="en-US"/>
        </w:rPr>
        <w:t>(«</w:t>
      </w:r>
      <w:r w:rsidRPr="00DB5D0D">
        <w:rPr>
          <w:rFonts w:ascii="Times New Roman" w:hAnsi="Times New Roman"/>
          <w:color w:val="000000" w:themeColor="text1"/>
          <w:sz w:val="16"/>
          <w:szCs w:val="16"/>
        </w:rPr>
        <w:t>БитвазаАнглию</w:t>
      </w:r>
      <w:r w:rsidRPr="00DB5D0D">
        <w:rPr>
          <w:rFonts w:ascii="Times New Roman" w:hAnsi="Times New Roman"/>
          <w:color w:val="000000" w:themeColor="text1"/>
          <w:sz w:val="16"/>
          <w:szCs w:val="16"/>
          <w:lang w:val="en-US"/>
        </w:rPr>
        <w:t>») (4962).</w:t>
      </w:r>
    </w:p>
    <w:p w14:paraId="03883A6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lang w:val="en-US"/>
        </w:rPr>
      </w:pPr>
    </w:p>
    <w:p w14:paraId="1C35A37E"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August 13 1940 German bombing offensive against airfields and factories in England (1050).</w:t>
      </w:r>
    </w:p>
    <w:p w14:paraId="50CDC7FA"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017DAC4C"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August 13 1940 Der Alder Tag (Eagle Day), the start of the all out air offensive in southern England (1242).</w:t>
      </w:r>
    </w:p>
    <w:p w14:paraId="4D47975B"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4E865D4B"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August 13, 1940: Adler-Tag: First day of the maximum offensive by the Luftwaffe to destroy RAF airfields and gain air supremacy over England in preparation of Operation Sea Lion (3819).</w:t>
      </w:r>
    </w:p>
    <w:p w14:paraId="13B5E662"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4453F2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началось немецкое воздушное наступление против аэродромов и фабрик в Южной Англии (1050). Бомбардировка аэродромов и фабрик (1797). День орла (1242).</w:t>
      </w:r>
    </w:p>
    <w:p w14:paraId="63967AF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F81D1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в вишистской Франции запрещены все масонские ложи (4962).</w:t>
      </w:r>
    </w:p>
    <w:p w14:paraId="2F7FC5A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3CE858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4E4D75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A2716C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 начальник Штаба НИИ ВВС бригинженер Щербаков подписал</w:t>
      </w:r>
    </w:p>
    <w:p w14:paraId="58A0A94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Сводка о ходе испытаний опытных самолетов на 12 августа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8"/>
        <w:gridCol w:w="8618"/>
      </w:tblGrid>
      <w:tr w:rsidR="007D5DF8" w:rsidRPr="00DB5D0D" w14:paraId="0664272F" w14:textId="77777777" w:rsidTr="00E543D0">
        <w:tc>
          <w:tcPr>
            <w:tcW w:w="2948" w:type="dxa"/>
          </w:tcPr>
          <w:p w14:paraId="268AE75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самолетов</w:t>
            </w:r>
          </w:p>
        </w:tc>
        <w:tc>
          <w:tcPr>
            <w:tcW w:w="8618" w:type="dxa"/>
          </w:tcPr>
          <w:p w14:paraId="39DA4A6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tc>
      </w:tr>
      <w:tr w:rsidR="007D5DF8" w:rsidRPr="00DB5D0D" w14:paraId="3ACAA605" w14:textId="77777777" w:rsidTr="00E543D0">
        <w:tc>
          <w:tcPr>
            <w:tcW w:w="2948" w:type="dxa"/>
          </w:tcPr>
          <w:p w14:paraId="4B3FF58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М-105П гл. Конструкторы Горбунов, Лавочкин и Гудков.</w:t>
            </w:r>
          </w:p>
          <w:p w14:paraId="6FBB833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301.</w:t>
            </w:r>
          </w:p>
        </w:tc>
        <w:tc>
          <w:tcPr>
            <w:tcW w:w="8618" w:type="dxa"/>
          </w:tcPr>
          <w:p w14:paraId="07A5341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1940 года работы по доводке самолета были окончены. После гос. испытаний в НИИ ВВС в машине были сделаны следующие основные изменения:</w:t>
            </w:r>
          </w:p>
          <w:p w14:paraId="67CC13D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Увеличена жесткость лонжерона руля глубины в расчете на производство полетов на пикирование.</w:t>
            </w:r>
          </w:p>
          <w:p w14:paraId="1B2330B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Переделана заслонка водяного радиатора.</w:t>
            </w:r>
          </w:p>
          <w:p w14:paraId="3010F37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Поставлено вооружение: 2 ШКАС и 2 БС.</w:t>
            </w:r>
          </w:p>
          <w:p w14:paraId="1558CFE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Изменена система креплений привязных ремней.</w:t>
            </w:r>
          </w:p>
          <w:p w14:paraId="0B2DC40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Улучшена вентиляция кабины и устранены некоторые мелкие производственные дефекты.</w:t>
            </w:r>
          </w:p>
          <w:p w14:paraId="75C680A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 часов на аэродроме завода № 301 был совершен первый полет после доводки самолета. Полет продолжительностью 20 минут имел целью опробование в воздухе агрегатов самолета и освоение летчика с машиной перед тренировочными полетами по подготовке к параду 18 августа 1940 года.</w:t>
            </w:r>
          </w:p>
          <w:p w14:paraId="5B42A2B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в/инженер 1 ранга Никашин взлет произвел нормально, набрал высоту 1000 метров, затем проделал несколько правых и левых виражей, затем крутым планированием снизился и прошел на большой скорости (475 км/час по прибору) на высоте 100 м. Потом самолет взял горку и после разворота пошел на посадку.</w:t>
            </w:r>
          </w:p>
          <w:p w14:paraId="266A3AA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были выпущены своевременно, заход на посадку был произведен со стороны ангаров завода № 301. Самолет шел строго по "Т" против солнца. Посадка была произведена с недомазом по "Т". При выравнивании самолет ударился о бугор, его взмыло и после второго удара шасси были вырваны из узлов и пробило верхнюю обшивку плоскостей, самолет затем протянул по земле несколько метров, развернулся влево и лег на фюзеляж. Летчик невредим. У самолета вырван костыль, пробиты плоскости, повреждена нижняя обшивка фюзеляжа, сорвана заслонка водяного радиатора, помят нижний капот мотора.</w:t>
            </w:r>
          </w:p>
          <w:p w14:paraId="5458D42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работает комиссия по выявлению всех обстоятельств аварии.</w:t>
            </w:r>
          </w:p>
          <w:p w14:paraId="6ED00B4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уже совершенно очевидно, что на аэродроме, подобном аэродрому завода № 301, никаких испытательных полетов производить нельзя. Его поверхность неровная, имеются многочисленные бугры и выбоины, что приводило уже к неоднократным авариям и поломкам самолета.</w:t>
            </w:r>
          </w:p>
          <w:p w14:paraId="3E4D693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дать указание заводу № 301 о производстве срочных работ по окончании постройки второго экземпляра самолета И-301. Кроме того, необходимо не прекращать работы по постройке войсковой серии машин "И-301" на заводе № 23.</w:t>
            </w:r>
          </w:p>
        </w:tc>
      </w:tr>
      <w:tr w:rsidR="007D5DF8" w:rsidRPr="00DB5D0D" w14:paraId="31E5719D" w14:textId="77777777" w:rsidTr="00E543D0">
        <w:tc>
          <w:tcPr>
            <w:tcW w:w="2948" w:type="dxa"/>
          </w:tcPr>
          <w:p w14:paraId="0B4FE06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И-135 "330" главный конструктор Сухой П.О., завод № 135.</w:t>
            </w:r>
          </w:p>
        </w:tc>
        <w:tc>
          <w:tcPr>
            <w:tcW w:w="8618" w:type="dxa"/>
          </w:tcPr>
          <w:p w14:paraId="1260164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посадки с убранными шасси, произведенной летчиком ЦАГИ Чернавским 3 августа 1940 года, самолет был перевезен в Подлипки на завод № 289 для устранения полученных поломок.</w:t>
            </w:r>
          </w:p>
          <w:p w14:paraId="0B42586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Поломки были следующие: сорвана и помята заслонка водяного радиатора, помят нижний капот мотора, погнут винт, имеются вмятины на консоли стабилизатора и на консоли крыла. Кроме того, необходимо произвести замену мотора, осмотр ТК и других агрегатов.</w:t>
            </w:r>
          </w:p>
          <w:p w14:paraId="0B459E3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работы, производящиеся на заводе № 289 будут по заявлению главного конструктора окончены приблизительно к 15 августа. Задержку вызовет отсутствие мотора, который должен выслать завод № 26 в Рыбинске. ТК снят и отправлен в ЦИАМ для осмотра.</w:t>
            </w:r>
          </w:p>
          <w:p w14:paraId="08D36C1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дать указание заводу № 135 в Харькове о форсировании постройки дублера самолета "И-135", обеспечив этот завод всеми недостающими агрегатами, как например: водяной и масляный радиаторы, гидропомпа уборки шасси и т.д.</w:t>
            </w:r>
          </w:p>
        </w:tc>
      </w:tr>
      <w:tr w:rsidR="007D5DF8" w:rsidRPr="00DB5D0D" w14:paraId="6F69F082" w14:textId="77777777" w:rsidTr="00E543D0">
        <w:tc>
          <w:tcPr>
            <w:tcW w:w="2948" w:type="dxa"/>
          </w:tcPr>
          <w:p w14:paraId="4A4458A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2М105 главный конструктор Ермолаев, завод № 240.</w:t>
            </w:r>
          </w:p>
        </w:tc>
        <w:tc>
          <w:tcPr>
            <w:tcW w:w="8618" w:type="dxa"/>
          </w:tcPr>
          <w:p w14:paraId="3B0A80A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 поставлен дополнительный бензобак емкостью 1000 литров.</w:t>
            </w:r>
          </w:p>
          <w:p w14:paraId="1CF622B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состоялся полет на максимальную дальность. Из-за плохих метеоусловий и сильного встречного ветра, самолет прошел 3065 км со средней скоростью 360 км/час.</w:t>
            </w:r>
          </w:p>
          <w:p w14:paraId="299DB79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баках осталось 1000 кг горючего.</w:t>
            </w:r>
          </w:p>
          <w:p w14:paraId="22990D2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полете отказал клапан дополнительного бака, вследствие чего в нем остались неиспользованными 600 литров горючего.</w:t>
            </w:r>
          </w:p>
          <w:p w14:paraId="649A36D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После посадки, на рулежке, вырвало реборду левого колеса и лопнул пневматик. Авария произошла из-за недоброкачественности литья (обнаружены раковины).</w:t>
            </w:r>
          </w:p>
          <w:p w14:paraId="0B37576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6521278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указанию наркома Авиапрома Шахурина, самолет готовится к повторению полета на дальность. Устанавливаются газоанализаторы, тарируются "баузеры".</w:t>
            </w:r>
          </w:p>
          <w:p w14:paraId="43F6D58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Вылет намечался на 12-13 августа.</w:t>
            </w:r>
          </w:p>
        </w:tc>
      </w:tr>
      <w:tr w:rsidR="007D5DF8" w:rsidRPr="00DB5D0D" w14:paraId="1DA96554" w14:textId="77777777" w:rsidTr="00E543D0">
        <w:tc>
          <w:tcPr>
            <w:tcW w:w="2948" w:type="dxa"/>
          </w:tcPr>
          <w:p w14:paraId="4E3C96F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И-200 АМ-35А главный конструктор Микоян, завод № 1.</w:t>
            </w:r>
          </w:p>
        </w:tc>
        <w:tc>
          <w:tcPr>
            <w:tcW w:w="8618" w:type="dxa"/>
          </w:tcPr>
          <w:p w14:paraId="0578B01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2 с начала заводских испытаний выполнено 19 полетов общей продолжительностью 7 час. 24 мин.</w:t>
            </w:r>
          </w:p>
          <w:p w14:paraId="02082FD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последнюю неделю с 5 августа по 12 августа 1940 года произведено 7 полетов продолжительностью 3 час. 10 мин., из них: 6 полетов на скороподъемность и скорости по высотам с форсажем и один полет на километраж.</w:t>
            </w:r>
          </w:p>
          <w:p w14:paraId="0F1FD12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выполнении всех полетов на скороподъемность на высотах 4800-8000 м мотор трясет и плохо работает, особенно при пониженных Рк=600 мм рт. ст.</w:t>
            </w:r>
          </w:p>
          <w:p w14:paraId="52A87A2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второго полета была обнаружена лопнувшая трубка, подходящая к бензопомпе, из-за чего получился подсос, но после устранения дефекта мотор по-прежнему плохо работал. Причины неудовлетворительной работы мотора на больших высотах выясняются.</w:t>
            </w:r>
          </w:p>
          <w:p w14:paraId="2463DE2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Предполагают повысить давление бензина с 0,27 до 0,34 атм. При уборке шасси, правая нога, из-за раздутия покрышки колеса, не садится полностью и не становится на азмок.</w:t>
            </w:r>
          </w:p>
          <w:p w14:paraId="264D39E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километраж – задание не выполнено. Правая нога шасси не стала на замок.</w:t>
            </w:r>
          </w:p>
          <w:p w14:paraId="7BB4442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выполнения пикирования до скорости 650 км/час установленными новыми масляными радиаторами и капотами Микоян отказался.</w:t>
            </w:r>
          </w:p>
          <w:p w14:paraId="4DA7DDE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3 с начала заводских испытаний выполнено 13 полетов общей продолжительностью 4 часа 30 минут. За последнюю неделю с 5 августа по 12 августа 1940 года произведено 2 полета продолжительностью 59 минут, из них:</w:t>
            </w:r>
          </w:p>
          <w:p w14:paraId="3BF85D8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проверку температур, режима мотора с маслорадиатором самолета Ме-109; в этом полете температура масла получилась также как и с радиатором завода № 34, т.е.=85/113 градусов С. Было принято решение установить два 9-ти дюймовых маслорадиатора по типу экземпляра № 2.</w:t>
            </w:r>
          </w:p>
          <w:p w14:paraId="4229CF6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установки маслорадиаторов был произведен второй полет на снятие температурных характеристик. В этом полете температуры масла получились такие же, как и на экземпляре № 2, т.е. на входе 70 градусов С и на выходе 105 градусов С, т.е. в пределах нормы.</w:t>
            </w:r>
          </w:p>
          <w:p w14:paraId="590577F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Уборка шасси происходит ненормально, т.е., то становится на замки, то не доходят до замков.</w:t>
            </w:r>
          </w:p>
          <w:p w14:paraId="41D7C2E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на земле шасси убираются хорошо.</w:t>
            </w:r>
          </w:p>
          <w:p w14:paraId="0D5DDE8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Причины выясняются.</w:t>
            </w:r>
          </w:p>
          <w:p w14:paraId="652ED87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1 с начала заводских испытаний произведено 54 полета общей продолжительностью 20 час. 54 мин. За последнюю неделю на самолете полетов не производилось.</w:t>
            </w:r>
          </w:p>
          <w:p w14:paraId="5133AEB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устанавливаются два 9-ти дюймовых радиатора по типу экземпляров №№ 2 и 3 и готовится для участия в параде 18 августа 1940 года.</w:t>
            </w:r>
          </w:p>
          <w:p w14:paraId="46C1852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Ориентировочный срок готовности 12-13 августа.</w:t>
            </w:r>
          </w:p>
          <w:p w14:paraId="091D321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начала заводских испытаний на всех самолетах произведено всего 86 полетов продолжительностью 32 часа 48 минут.</w:t>
            </w:r>
          </w:p>
          <w:p w14:paraId="40181DF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заводских испытаний выполнена на 80-85%.</w:t>
            </w:r>
          </w:p>
          <w:p w14:paraId="78422C4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доведенности шасси, нормальной работы мотора с форсажем до Н – 8000 м и контрольного полета на пикирование с новыми радиаторами и капотами – самолет на гос. испытание принят быть не может.</w:t>
            </w:r>
          </w:p>
        </w:tc>
      </w:tr>
      <w:tr w:rsidR="007D5DF8" w:rsidRPr="00DB5D0D" w14:paraId="30AC891A" w14:textId="77777777" w:rsidTr="00E543D0">
        <w:tc>
          <w:tcPr>
            <w:tcW w:w="2948" w:type="dxa"/>
          </w:tcPr>
          <w:p w14:paraId="06A1109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 М-88Р главный конструктор Поликарпов, завод № 1.</w:t>
            </w:r>
          </w:p>
        </w:tc>
        <w:tc>
          <w:tcPr>
            <w:tcW w:w="8618" w:type="dxa"/>
          </w:tcPr>
          <w:p w14:paraId="6C058EB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последнюю неделю с 5 августа по 12 августа 1940 года полетов не производилось, так как самолет к первому вылету еще не готов.</w:t>
            </w:r>
          </w:p>
          <w:p w14:paraId="2C4044D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осмотра мотора М-88Р представителями завода № 29 было выявлено, что мотор работал на обедненной смеси и недостаточной подгонки масла, что вызывало перегрев головок цилиндров.</w:t>
            </w:r>
          </w:p>
          <w:p w14:paraId="389CCD0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Принято решение снять карбюратор для проверки "АК" "Стоп крана" и его регулировки, после чего произвести гонку мотора.</w:t>
            </w:r>
          </w:p>
          <w:p w14:paraId="7272943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 нелетном состоянии.</w:t>
            </w:r>
          </w:p>
        </w:tc>
      </w:tr>
      <w:tr w:rsidR="007D5DF8" w:rsidRPr="00DB5D0D" w14:paraId="672DFD13" w14:textId="77777777" w:rsidTr="00E543D0">
        <w:tc>
          <w:tcPr>
            <w:tcW w:w="2948" w:type="dxa"/>
          </w:tcPr>
          <w:p w14:paraId="661467C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М-105П главный конструктор Яковлев, завод № 115.</w:t>
            </w:r>
          </w:p>
        </w:tc>
        <w:tc>
          <w:tcPr>
            <w:tcW w:w="8618" w:type="dxa"/>
          </w:tcPr>
          <w:p w14:paraId="37DF675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Экземпляр № 3 за последнюю неделю (5-12 августа 1940 года) самолет не летал. Производился ремонт самолета после поломки, произошедшей 3 августа. Ремонтируется крыло, элерон, шасси; устанавливаются новые замки и проч. Ремонт предположено закончить 14 августа.</w:t>
            </w:r>
          </w:p>
          <w:p w14:paraId="108C20B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 нелетном состоянии и находится на заводе № 115.</w:t>
            </w:r>
          </w:p>
          <w:p w14:paraId="6AD0CBF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Экземпляр № 2 не летал. Находится на заводе № 115, где ведется работа по переделке этого самолета: устанавливается мотор с трехскоростным нагнетателем, крыло с отъемными консолями, новое шасси, спецоборудование по Т.Т.Т.</w:t>
            </w:r>
          </w:p>
        </w:tc>
      </w:tr>
      <w:tr w:rsidR="007D5DF8" w:rsidRPr="00DB5D0D" w14:paraId="1E57C35E" w14:textId="77777777" w:rsidTr="00E543D0">
        <w:tc>
          <w:tcPr>
            <w:tcW w:w="2948" w:type="dxa"/>
          </w:tcPr>
          <w:p w14:paraId="6A52B83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УТИ-26 М-105 главный конструктор Яковлев, завод № 115.</w:t>
            </w:r>
          </w:p>
        </w:tc>
        <w:tc>
          <w:tcPr>
            <w:tcW w:w="8618" w:type="dxa"/>
          </w:tcPr>
          <w:p w14:paraId="0271E88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неделю с 5 по 12 августа 1940 года произведено 4 полета общей продолжительностью 2 час. 43 мин. Два полета были сделаны на стрельбу в воздухе – в обоих полетах был прострелен винт. Был проведен полет на штопор до двух витков – самолет выходил без запаздывания.</w:t>
            </w:r>
          </w:p>
          <w:p w14:paraId="66F3498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 самолет будет исправлен.</w:t>
            </w:r>
          </w:p>
        </w:tc>
      </w:tr>
    </w:tbl>
    <w:p w14:paraId="27EEAE0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(3420, 64-68).</w:t>
      </w:r>
    </w:p>
    <w:p w14:paraId="0A9774A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6F62D4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в ходе заводских испытаний И-200 А.И.М, которые проходили с 31 марта по 17 августа 1940, на И-200-3 состоялся полет на в Чкаловск на отстрел. Потом до 20 августа ремонтировали (2988).</w:t>
      </w:r>
    </w:p>
    <w:p w14:paraId="3D8F730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3C68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в ходе заводских испытаний И-200 А.И.М, которые проходили с 31 марта по 17 августа 1940, на И-200-? была выполнена репетиция парада (2988).</w:t>
      </w:r>
    </w:p>
    <w:p w14:paraId="7F7FD14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637DAFE"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14 августа 1940 Начальник штаба НИИ ВВС бригадный инженер Щербаков объяснял задержку передачи И-200 на госиспытания своему началь</w:t>
      </w:r>
      <w:r w:rsidRPr="00DB5D0D">
        <w:rPr>
          <w:rFonts w:ascii="Times New Roman" w:hAnsi="Times New Roman"/>
          <w:color w:val="0070C0"/>
          <w:sz w:val="16"/>
          <w:szCs w:val="16"/>
          <w:lang w:eastAsia="ru-RU" w:bidi="ru-RU"/>
        </w:rPr>
        <w:softHyphen/>
        <w:t>ству так:</w:t>
      </w:r>
    </w:p>
    <w:p w14:paraId="37D91C30" w14:textId="77777777" w:rsidR="00B91173" w:rsidRPr="00DB5D0D" w:rsidRDefault="00B91173" w:rsidP="00DB5D0D">
      <w:pPr>
        <w:pStyle w:val="28"/>
        <w:spacing w:before="0" w:line="240" w:lineRule="auto"/>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lang w:eastAsia="ru-RU" w:bidi="ru-RU"/>
        </w:rPr>
        <w:t>«На экземпляре №2 с начала заводских испытаний выполнено 19 полетов об</w:t>
      </w:r>
      <w:r w:rsidRPr="00DB5D0D">
        <w:rPr>
          <w:rFonts w:ascii="Times New Roman" w:hAnsi="Times New Roman" w:cs="Times New Roman"/>
          <w:color w:val="0070C0"/>
          <w:sz w:val="16"/>
          <w:szCs w:val="16"/>
          <w:lang w:eastAsia="ru-RU" w:bidi="ru-RU"/>
        </w:rPr>
        <w:softHyphen/>
        <w:t>щей продолжительностью 7 часов 24 ми</w:t>
      </w:r>
      <w:r w:rsidRPr="00DB5D0D">
        <w:rPr>
          <w:rFonts w:ascii="Times New Roman" w:hAnsi="Times New Roman" w:cs="Times New Roman"/>
          <w:color w:val="0070C0"/>
          <w:sz w:val="16"/>
          <w:szCs w:val="16"/>
          <w:lang w:eastAsia="ru-RU" w:bidi="ru-RU"/>
        </w:rPr>
        <w:softHyphen/>
        <w:t>нуты. За последнюю неделю с 5 августа по 12 августа 1940 года произведено 7 по</w:t>
      </w:r>
      <w:r w:rsidRPr="00DB5D0D">
        <w:rPr>
          <w:rFonts w:ascii="Times New Roman" w:hAnsi="Times New Roman" w:cs="Times New Roman"/>
          <w:color w:val="0070C0"/>
          <w:sz w:val="16"/>
          <w:szCs w:val="16"/>
          <w:lang w:eastAsia="ru-RU" w:bidi="ru-RU"/>
        </w:rPr>
        <w:softHyphen/>
        <w:t>летов продолжительностью 3 часа 10 ми</w:t>
      </w:r>
      <w:r w:rsidRPr="00DB5D0D">
        <w:rPr>
          <w:rFonts w:ascii="Times New Roman" w:hAnsi="Times New Roman" w:cs="Times New Roman"/>
          <w:color w:val="0070C0"/>
          <w:sz w:val="16"/>
          <w:szCs w:val="16"/>
          <w:lang w:eastAsia="ru-RU" w:bidi="ru-RU"/>
        </w:rPr>
        <w:softHyphen/>
        <w:t>нут, из них 6 полетов на скороподъем</w:t>
      </w:r>
      <w:r w:rsidRPr="00DB5D0D">
        <w:rPr>
          <w:rFonts w:ascii="Times New Roman" w:hAnsi="Times New Roman" w:cs="Times New Roman"/>
          <w:color w:val="0070C0"/>
          <w:sz w:val="16"/>
          <w:szCs w:val="16"/>
          <w:lang w:eastAsia="ru-RU" w:bidi="ru-RU"/>
        </w:rPr>
        <w:softHyphen/>
        <w:t>ность и скорость по высотам с форсажем и один полет на километраж. При выпол</w:t>
      </w:r>
      <w:r w:rsidRPr="00DB5D0D">
        <w:rPr>
          <w:rFonts w:ascii="Times New Roman" w:hAnsi="Times New Roman" w:cs="Times New Roman"/>
          <w:color w:val="0070C0"/>
          <w:sz w:val="16"/>
          <w:szCs w:val="16"/>
          <w:lang w:eastAsia="ru-RU" w:bidi="ru-RU"/>
        </w:rPr>
        <w:softHyphen/>
        <w:t>нении всех полетов на скороподъемность на высотах 4800-8000 м, мотор трясет и плохо работает, особенно при понижен</w:t>
      </w:r>
      <w:r w:rsidRPr="00DB5D0D">
        <w:rPr>
          <w:rFonts w:ascii="Times New Roman" w:hAnsi="Times New Roman" w:cs="Times New Roman"/>
          <w:color w:val="0070C0"/>
          <w:sz w:val="16"/>
          <w:szCs w:val="16"/>
          <w:lang w:eastAsia="ru-RU" w:bidi="ru-RU"/>
        </w:rPr>
        <w:softHyphen/>
        <w:t>ных Рк-600 мм рт.ст (речь идет о дав</w:t>
      </w:r>
      <w:r w:rsidRPr="00DB5D0D">
        <w:rPr>
          <w:rFonts w:ascii="Times New Roman" w:hAnsi="Times New Roman" w:cs="Times New Roman"/>
          <w:color w:val="0070C0"/>
          <w:sz w:val="16"/>
          <w:szCs w:val="16"/>
          <w:lang w:eastAsia="ru-RU" w:bidi="ru-RU"/>
        </w:rPr>
        <w:softHyphen/>
        <w:t>лении наддува. - Прим. авт.). После вто</w:t>
      </w:r>
      <w:r w:rsidRPr="00DB5D0D">
        <w:rPr>
          <w:rFonts w:ascii="Times New Roman" w:hAnsi="Times New Roman" w:cs="Times New Roman"/>
          <w:color w:val="0070C0"/>
          <w:sz w:val="16"/>
          <w:szCs w:val="16"/>
          <w:lang w:eastAsia="ru-RU" w:bidi="ru-RU"/>
        </w:rPr>
        <w:softHyphen/>
        <w:t>рого полета была обнаружена лопнувшая трубка, подходящая к бензопомпе, из-за чего получился подсос, но после устра</w:t>
      </w:r>
      <w:r w:rsidRPr="00DB5D0D">
        <w:rPr>
          <w:rFonts w:ascii="Times New Roman" w:hAnsi="Times New Roman" w:cs="Times New Roman"/>
          <w:color w:val="0070C0"/>
          <w:sz w:val="16"/>
          <w:szCs w:val="16"/>
          <w:lang w:eastAsia="ru-RU" w:bidi="ru-RU"/>
        </w:rPr>
        <w:softHyphen/>
        <w:t>нения дефекта мотор по-прежнему ра</w:t>
      </w:r>
      <w:r w:rsidRPr="00DB5D0D">
        <w:rPr>
          <w:rFonts w:ascii="Times New Roman" w:hAnsi="Times New Roman" w:cs="Times New Roman"/>
          <w:color w:val="0070C0"/>
          <w:sz w:val="16"/>
          <w:szCs w:val="16"/>
          <w:lang w:eastAsia="ru-RU" w:bidi="ru-RU"/>
        </w:rPr>
        <w:softHyphen/>
        <w:t>ботал плохо. Причины неудовлетвори</w:t>
      </w:r>
      <w:r w:rsidRPr="00DB5D0D">
        <w:rPr>
          <w:rFonts w:ascii="Times New Roman" w:hAnsi="Times New Roman" w:cs="Times New Roman"/>
          <w:color w:val="0070C0"/>
          <w:sz w:val="16"/>
          <w:szCs w:val="16"/>
          <w:lang w:eastAsia="ru-RU" w:bidi="ru-RU"/>
        </w:rPr>
        <w:softHyphen/>
        <w:t>тельной работы мотора на больших вы</w:t>
      </w:r>
      <w:r w:rsidRPr="00DB5D0D">
        <w:rPr>
          <w:rFonts w:ascii="Times New Roman" w:hAnsi="Times New Roman" w:cs="Times New Roman"/>
          <w:color w:val="0070C0"/>
          <w:sz w:val="16"/>
          <w:szCs w:val="16"/>
          <w:lang w:eastAsia="ru-RU" w:bidi="ru-RU"/>
        </w:rPr>
        <w:softHyphen/>
        <w:t>сотах выясняются. Предполагают повы</w:t>
      </w:r>
      <w:r w:rsidRPr="00DB5D0D">
        <w:rPr>
          <w:rFonts w:ascii="Times New Roman" w:hAnsi="Times New Roman" w:cs="Times New Roman"/>
          <w:color w:val="0070C0"/>
          <w:sz w:val="16"/>
          <w:szCs w:val="16"/>
          <w:lang w:eastAsia="ru-RU" w:bidi="ru-RU"/>
        </w:rPr>
        <w:softHyphen/>
        <w:t>сить давление бензина с 0,27 до 0,34 атм. При уборке шасси, правая нога, из-за раз</w:t>
      </w:r>
      <w:r w:rsidRPr="00DB5D0D">
        <w:rPr>
          <w:rFonts w:ascii="Times New Roman" w:hAnsi="Times New Roman" w:cs="Times New Roman"/>
          <w:color w:val="0070C0"/>
          <w:sz w:val="16"/>
          <w:szCs w:val="16"/>
          <w:lang w:eastAsia="ru-RU" w:bidi="ru-RU"/>
        </w:rPr>
        <w:softHyphen/>
        <w:t>дутия покрышки колеса не садится полно</w:t>
      </w:r>
      <w:r w:rsidRPr="00DB5D0D">
        <w:rPr>
          <w:rFonts w:ascii="Times New Roman" w:hAnsi="Times New Roman" w:cs="Times New Roman"/>
          <w:color w:val="0070C0"/>
          <w:sz w:val="16"/>
          <w:szCs w:val="16"/>
          <w:lang w:eastAsia="ru-RU" w:bidi="ru-RU"/>
        </w:rPr>
        <w:softHyphen/>
        <w:t>стью и не становится на замок. Один по</w:t>
      </w:r>
      <w:r w:rsidRPr="00DB5D0D">
        <w:rPr>
          <w:rFonts w:ascii="Times New Roman" w:hAnsi="Times New Roman" w:cs="Times New Roman"/>
          <w:color w:val="0070C0"/>
          <w:sz w:val="16"/>
          <w:szCs w:val="16"/>
          <w:lang w:eastAsia="ru-RU" w:bidi="ru-RU"/>
        </w:rPr>
        <w:softHyphen/>
        <w:t>лет на километраж - задание не выпол</w:t>
      </w:r>
      <w:r w:rsidRPr="00DB5D0D">
        <w:rPr>
          <w:rFonts w:ascii="Times New Roman" w:hAnsi="Times New Roman" w:cs="Times New Roman"/>
          <w:color w:val="0070C0"/>
          <w:sz w:val="16"/>
          <w:szCs w:val="16"/>
          <w:lang w:eastAsia="ru-RU" w:bidi="ru-RU"/>
        </w:rPr>
        <w:softHyphen/>
        <w:t>нено. Правая нога шасси не стала на замок. От выполнения пикирования до скорости 650 км/час с установленными новыми ма</w:t>
      </w:r>
      <w:r w:rsidRPr="00DB5D0D">
        <w:rPr>
          <w:rFonts w:ascii="Times New Roman" w:hAnsi="Times New Roman" w:cs="Times New Roman"/>
          <w:color w:val="0070C0"/>
          <w:sz w:val="16"/>
          <w:szCs w:val="16"/>
          <w:lang w:eastAsia="ru-RU" w:bidi="ru-RU"/>
        </w:rPr>
        <w:softHyphen/>
        <w:t>сляными радиаторами и капотами Ми</w:t>
      </w:r>
      <w:r w:rsidRPr="00DB5D0D">
        <w:rPr>
          <w:rFonts w:ascii="Times New Roman" w:hAnsi="Times New Roman" w:cs="Times New Roman"/>
          <w:color w:val="0070C0"/>
          <w:sz w:val="16"/>
          <w:szCs w:val="16"/>
          <w:lang w:eastAsia="ru-RU" w:bidi="ru-RU"/>
        </w:rPr>
        <w:softHyphen/>
        <w:t>коян отказался.</w:t>
      </w:r>
    </w:p>
    <w:p w14:paraId="1F1B3614" w14:textId="77777777" w:rsidR="00B91173" w:rsidRPr="00DB5D0D" w:rsidRDefault="00B91173" w:rsidP="00DB5D0D">
      <w:pPr>
        <w:pStyle w:val="28"/>
        <w:spacing w:before="0" w:line="240" w:lineRule="auto"/>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lang w:eastAsia="ru-RU" w:bidi="ru-RU"/>
        </w:rPr>
        <w:t>На экземпляре №3 с начала заводских испытаний выполнено 13 полетов общей продолжительностью 4 часа 30 минут. За последнюю неделю с 5 августа - 12 ав</w:t>
      </w:r>
      <w:r w:rsidRPr="00DB5D0D">
        <w:rPr>
          <w:rFonts w:ascii="Times New Roman" w:hAnsi="Times New Roman" w:cs="Times New Roman"/>
          <w:color w:val="0070C0"/>
          <w:sz w:val="16"/>
          <w:szCs w:val="16"/>
          <w:lang w:eastAsia="ru-RU" w:bidi="ru-RU"/>
        </w:rPr>
        <w:softHyphen/>
        <w:t>густа 1940 года произведено 2 полета продолжительностью 59 минут, из них: один полет на проверку температур, ре</w:t>
      </w:r>
      <w:r w:rsidRPr="00DB5D0D">
        <w:rPr>
          <w:rFonts w:ascii="Times New Roman" w:hAnsi="Times New Roman" w:cs="Times New Roman"/>
          <w:color w:val="0070C0"/>
          <w:sz w:val="16"/>
          <w:szCs w:val="16"/>
          <w:lang w:eastAsia="ru-RU" w:bidi="ru-RU"/>
        </w:rPr>
        <w:softHyphen/>
        <w:t>жима мотора с маслорадиатором само</w:t>
      </w:r>
      <w:r w:rsidRPr="00DB5D0D">
        <w:rPr>
          <w:rFonts w:ascii="Times New Roman" w:hAnsi="Times New Roman" w:cs="Times New Roman"/>
          <w:color w:val="0070C0"/>
          <w:sz w:val="16"/>
          <w:szCs w:val="16"/>
          <w:lang w:eastAsia="ru-RU" w:bidi="ru-RU"/>
        </w:rPr>
        <w:softHyphen/>
        <w:t>лета Ме-109; в этом полете темпера</w:t>
      </w:r>
      <w:r w:rsidRPr="00DB5D0D">
        <w:rPr>
          <w:rFonts w:ascii="Times New Roman" w:hAnsi="Times New Roman" w:cs="Times New Roman"/>
          <w:color w:val="0070C0"/>
          <w:sz w:val="16"/>
          <w:szCs w:val="16"/>
          <w:lang w:eastAsia="ru-RU" w:bidi="ru-RU"/>
        </w:rPr>
        <w:softHyphen/>
        <w:t>тура масла получилась также как и с ра</w:t>
      </w:r>
      <w:r w:rsidRPr="00DB5D0D">
        <w:rPr>
          <w:rFonts w:ascii="Times New Roman" w:hAnsi="Times New Roman" w:cs="Times New Roman"/>
          <w:color w:val="0070C0"/>
          <w:sz w:val="16"/>
          <w:szCs w:val="16"/>
          <w:lang w:eastAsia="ru-RU" w:bidi="ru-RU"/>
        </w:rPr>
        <w:softHyphen/>
        <w:t>диатором завода №34, т.е. 85/113 граду</w:t>
      </w:r>
      <w:r w:rsidRPr="00DB5D0D">
        <w:rPr>
          <w:rFonts w:ascii="Times New Roman" w:hAnsi="Times New Roman" w:cs="Times New Roman"/>
          <w:color w:val="0070C0"/>
          <w:sz w:val="16"/>
          <w:szCs w:val="16"/>
          <w:lang w:eastAsia="ru-RU" w:bidi="ru-RU"/>
        </w:rPr>
        <w:softHyphen/>
        <w:t>сов С. Было принято решение установить два 9-ти дюймовых маслорадиатора по типу экземпляра №2. После установки ма- слорадиаторов был произведен второй полет на снятие температурных харак</w:t>
      </w:r>
      <w:r w:rsidRPr="00DB5D0D">
        <w:rPr>
          <w:rFonts w:ascii="Times New Roman" w:hAnsi="Times New Roman" w:cs="Times New Roman"/>
          <w:color w:val="0070C0"/>
          <w:sz w:val="16"/>
          <w:szCs w:val="16"/>
          <w:lang w:eastAsia="ru-RU" w:bidi="ru-RU"/>
        </w:rPr>
        <w:softHyphen/>
        <w:t>теристик. В этом полете температуры масла получились такие же, как и на эк</w:t>
      </w:r>
      <w:r w:rsidRPr="00DB5D0D">
        <w:rPr>
          <w:rFonts w:ascii="Times New Roman" w:hAnsi="Times New Roman" w:cs="Times New Roman"/>
          <w:color w:val="0070C0"/>
          <w:sz w:val="16"/>
          <w:szCs w:val="16"/>
          <w:lang w:eastAsia="ru-RU" w:bidi="ru-RU"/>
        </w:rPr>
        <w:softHyphen/>
        <w:t>земпляре №2, т.е. на входе 70 градусов С и на выходе 105 градусов С, т.е. в преде</w:t>
      </w:r>
      <w:r w:rsidRPr="00DB5D0D">
        <w:rPr>
          <w:rFonts w:ascii="Times New Roman" w:hAnsi="Times New Roman" w:cs="Times New Roman"/>
          <w:color w:val="0070C0"/>
          <w:sz w:val="16"/>
          <w:szCs w:val="16"/>
          <w:lang w:eastAsia="ru-RU" w:bidi="ru-RU"/>
        </w:rPr>
        <w:softHyphen/>
        <w:t>лах нормы. Уборка шасси происходит не</w:t>
      </w:r>
      <w:r w:rsidRPr="00DB5D0D">
        <w:rPr>
          <w:rFonts w:ascii="Times New Roman" w:hAnsi="Times New Roman" w:cs="Times New Roman"/>
          <w:color w:val="0070C0"/>
          <w:sz w:val="16"/>
          <w:szCs w:val="16"/>
          <w:lang w:eastAsia="ru-RU" w:bidi="ru-RU"/>
        </w:rPr>
        <w:softHyphen/>
        <w:t>нормально, т.е., то становится на замки, то не доходит до замков. При проверке на земле, шасси убираются хорошо. При</w:t>
      </w:r>
      <w:r w:rsidRPr="00DB5D0D">
        <w:rPr>
          <w:rFonts w:ascii="Times New Roman" w:hAnsi="Times New Roman" w:cs="Times New Roman"/>
          <w:color w:val="0070C0"/>
          <w:sz w:val="16"/>
          <w:szCs w:val="16"/>
          <w:lang w:eastAsia="ru-RU" w:bidi="ru-RU"/>
        </w:rPr>
        <w:softHyphen/>
        <w:t>чины выявляются.</w:t>
      </w:r>
    </w:p>
    <w:p w14:paraId="71F67288" w14:textId="77777777" w:rsidR="00B91173" w:rsidRPr="00DB5D0D" w:rsidRDefault="00B91173" w:rsidP="00DB5D0D">
      <w:pPr>
        <w:pStyle w:val="28"/>
        <w:spacing w:before="0" w:line="240" w:lineRule="auto"/>
        <w:jc w:val="both"/>
        <w:rPr>
          <w:rFonts w:ascii="Times New Roman" w:hAnsi="Times New Roman" w:cs="Times New Roman"/>
          <w:color w:val="0070C0"/>
          <w:sz w:val="16"/>
          <w:szCs w:val="16"/>
        </w:rPr>
      </w:pPr>
      <w:r w:rsidRPr="00DB5D0D">
        <w:rPr>
          <w:rFonts w:ascii="Times New Roman" w:hAnsi="Times New Roman" w:cs="Times New Roman"/>
          <w:color w:val="0070C0"/>
          <w:sz w:val="16"/>
          <w:szCs w:val="16"/>
          <w:lang w:eastAsia="ru-RU" w:bidi="ru-RU"/>
        </w:rPr>
        <w:t>На экземпляре №1 с начала заводских испытаний произведено 54 полета общей продолжительностью 20 часов 54 минуты. За последнюю неделю на самолете поле</w:t>
      </w:r>
      <w:r w:rsidRPr="00DB5D0D">
        <w:rPr>
          <w:rFonts w:ascii="Times New Roman" w:hAnsi="Times New Roman" w:cs="Times New Roman"/>
          <w:color w:val="0070C0"/>
          <w:sz w:val="16"/>
          <w:szCs w:val="16"/>
          <w:lang w:eastAsia="ru-RU" w:bidi="ru-RU"/>
        </w:rPr>
        <w:softHyphen/>
        <w:t>тов не производилось. На самолете уста</w:t>
      </w:r>
      <w:r w:rsidRPr="00DB5D0D">
        <w:rPr>
          <w:rFonts w:ascii="Times New Roman" w:hAnsi="Times New Roman" w:cs="Times New Roman"/>
          <w:color w:val="0070C0"/>
          <w:sz w:val="16"/>
          <w:szCs w:val="16"/>
          <w:lang w:eastAsia="ru-RU" w:bidi="ru-RU"/>
        </w:rPr>
        <w:softHyphen/>
        <w:t>навливаются два 9-ти дюймовых радиа</w:t>
      </w:r>
      <w:r w:rsidRPr="00DB5D0D">
        <w:rPr>
          <w:rFonts w:ascii="Times New Roman" w:hAnsi="Times New Roman" w:cs="Times New Roman"/>
          <w:color w:val="0070C0"/>
          <w:sz w:val="16"/>
          <w:szCs w:val="16"/>
          <w:lang w:eastAsia="ru-RU" w:bidi="ru-RU"/>
        </w:rPr>
        <w:softHyphen/>
        <w:t>тора по типу экземпляров №№2 и 3 и го</w:t>
      </w:r>
      <w:r w:rsidRPr="00DB5D0D">
        <w:rPr>
          <w:rFonts w:ascii="Times New Roman" w:hAnsi="Times New Roman" w:cs="Times New Roman"/>
          <w:color w:val="0070C0"/>
          <w:sz w:val="16"/>
          <w:szCs w:val="16"/>
          <w:lang w:eastAsia="ru-RU" w:bidi="ru-RU"/>
        </w:rPr>
        <w:softHyphen/>
        <w:t>товится для участия в параде 18 авгу</w:t>
      </w:r>
      <w:r w:rsidRPr="00DB5D0D">
        <w:rPr>
          <w:rFonts w:ascii="Times New Roman" w:hAnsi="Times New Roman" w:cs="Times New Roman"/>
          <w:color w:val="0070C0"/>
          <w:sz w:val="16"/>
          <w:szCs w:val="16"/>
          <w:lang w:eastAsia="ru-RU" w:bidi="ru-RU"/>
        </w:rPr>
        <w:softHyphen/>
        <w:t>ста (по случаю Дня авиации. - Прим. авт). Ориентировочный срок готовности 12</w:t>
      </w:r>
      <w:r w:rsidRPr="00DB5D0D">
        <w:rPr>
          <w:rFonts w:ascii="Times New Roman" w:hAnsi="Times New Roman" w:cs="Times New Roman"/>
          <w:color w:val="0070C0"/>
          <w:sz w:val="16"/>
          <w:szCs w:val="16"/>
          <w:lang w:eastAsia="ru-RU" w:bidi="ru-RU"/>
        </w:rPr>
        <w:softHyphen/>
        <w:t>13 августа. С начала заводских испыта</w:t>
      </w:r>
      <w:r w:rsidRPr="00DB5D0D">
        <w:rPr>
          <w:rFonts w:ascii="Times New Roman" w:hAnsi="Times New Roman" w:cs="Times New Roman"/>
          <w:color w:val="0070C0"/>
          <w:sz w:val="16"/>
          <w:szCs w:val="16"/>
          <w:lang w:eastAsia="ru-RU" w:bidi="ru-RU"/>
        </w:rPr>
        <w:softHyphen/>
        <w:t>ний на всех самолетах произведено всего 86 полетов продолжительностью 32 часа 48 минут.</w:t>
      </w:r>
    </w:p>
    <w:p w14:paraId="1694C05F" w14:textId="77777777" w:rsidR="00B91173" w:rsidRPr="00DB5D0D" w:rsidRDefault="00B91173"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Программа заводских испытаний вы</w:t>
      </w:r>
      <w:r w:rsidRPr="00DB5D0D">
        <w:rPr>
          <w:rFonts w:ascii="Times New Roman" w:hAnsi="Times New Roman"/>
          <w:color w:val="0070C0"/>
          <w:sz w:val="16"/>
          <w:szCs w:val="16"/>
          <w:lang w:eastAsia="ru-RU" w:bidi="ru-RU"/>
        </w:rPr>
        <w:softHyphen/>
        <w:t>полнена на 80-85%. Без доведенности шасси, нормальной работы мотора с фор</w:t>
      </w:r>
      <w:r w:rsidRPr="00DB5D0D">
        <w:rPr>
          <w:rFonts w:ascii="Times New Roman" w:hAnsi="Times New Roman"/>
          <w:color w:val="0070C0"/>
          <w:sz w:val="16"/>
          <w:szCs w:val="16"/>
          <w:lang w:eastAsia="ru-RU" w:bidi="ru-RU"/>
        </w:rPr>
        <w:softHyphen/>
        <w:t>сажем до Н = 8000 м и контрольного по</w:t>
      </w:r>
      <w:r w:rsidRPr="00DB5D0D">
        <w:rPr>
          <w:rFonts w:ascii="Times New Roman" w:hAnsi="Times New Roman"/>
          <w:color w:val="0070C0"/>
          <w:sz w:val="16"/>
          <w:szCs w:val="16"/>
          <w:lang w:eastAsia="ru-RU" w:bidi="ru-RU"/>
        </w:rPr>
        <w:softHyphen/>
        <w:t>лета на пикирование с новыми радиато</w:t>
      </w:r>
      <w:r w:rsidRPr="00DB5D0D">
        <w:rPr>
          <w:rFonts w:ascii="Times New Roman" w:hAnsi="Times New Roman"/>
          <w:color w:val="0070C0"/>
          <w:sz w:val="16"/>
          <w:szCs w:val="16"/>
          <w:lang w:eastAsia="ru-RU" w:bidi="ru-RU"/>
        </w:rPr>
        <w:softHyphen/>
        <w:t>рами и капотами на госиспытание при</w:t>
      </w:r>
      <w:r w:rsidRPr="00DB5D0D">
        <w:rPr>
          <w:rFonts w:ascii="Times New Roman" w:hAnsi="Times New Roman"/>
          <w:color w:val="0070C0"/>
          <w:sz w:val="16"/>
          <w:szCs w:val="16"/>
          <w:lang w:eastAsia="ru-RU" w:bidi="ru-RU"/>
        </w:rPr>
        <w:softHyphen/>
        <w:t>нят быть не может».</w:t>
      </w:r>
    </w:p>
    <w:p w14:paraId="63A4C4D1" w14:textId="77777777" w:rsidR="00B91173" w:rsidRPr="00DB5D0D" w:rsidRDefault="00B91173"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lastRenderedPageBreak/>
        <w:t>Из 118 дней заводских испытаний И-200-1 на доработки, ремонты и замены моторов было потрачено 53. На завод</w:t>
      </w:r>
      <w:r w:rsidRPr="00DB5D0D">
        <w:rPr>
          <w:rFonts w:ascii="Times New Roman" w:hAnsi="Times New Roman"/>
          <w:color w:val="0070C0"/>
          <w:sz w:val="16"/>
          <w:szCs w:val="16"/>
          <w:lang w:eastAsia="ru-RU" w:bidi="ru-RU"/>
        </w:rPr>
        <w:softHyphen/>
        <w:t>ских испытаниях И-200-2 на аэродроме провел 56 дней, а в цехе - 61, у И-200-3 было 42 летных дня, 49 заняли доводка и ремонты. Именно замены двигателя были основной причиной задержек - их на трех машинах в марте-августе 1940 г. переставляли семь раз (21696).</w:t>
      </w:r>
    </w:p>
    <w:p w14:paraId="431F6AA1" w14:textId="77777777" w:rsidR="00B91173" w:rsidRPr="00DB5D0D" w:rsidRDefault="00B91173" w:rsidP="00DB5D0D">
      <w:pPr>
        <w:spacing w:after="0" w:line="240" w:lineRule="auto"/>
        <w:jc w:val="both"/>
        <w:rPr>
          <w:rFonts w:ascii="Times New Roman" w:hAnsi="Times New Roman"/>
          <w:color w:val="0070C0"/>
          <w:sz w:val="16"/>
          <w:szCs w:val="16"/>
        </w:rPr>
      </w:pPr>
    </w:p>
    <w:p w14:paraId="658B7D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 Начальник ВВС генерал-лейтенант авиации Рычагов утвердил Заключение по эскизному проекту пушечного истребителя И-П-201 с мотором АМ-35А</w:t>
      </w:r>
    </w:p>
    <w:p w14:paraId="3356F4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Строящая организация – КБ завода № 1</w:t>
      </w:r>
    </w:p>
    <w:p w14:paraId="29DD2E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конструктор –Микоян</w:t>
      </w:r>
    </w:p>
    <w:p w14:paraId="253E68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w:t>
      </w:r>
    </w:p>
    <w:p w14:paraId="664358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ИП-201 является дальнейшим развитием скоростного истребителя И-200 в сторону увеличения его огневой мощи.</w:t>
      </w:r>
    </w:p>
    <w:p w14:paraId="40B70A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своему назначению – скоростной, одноместный истребитель-перехватчик. Может быть использован как штурмовик по бронетанковым частям противника.</w:t>
      </w:r>
    </w:p>
    <w:p w14:paraId="491CEB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(Отличие ИП-201 от И-200 только пушечной установкой).</w:t>
      </w:r>
    </w:p>
    <w:p w14:paraId="759518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состоит из 2-х скорострельных синхронных пулеметов Шкас с общей емкостью патронных коробок 1500 штук на два пулемета; двух пушек МП-3 калибром 23 мм магазинного питания, с общей емкостью магазинов на 120 снарядов.</w:t>
      </w:r>
    </w:p>
    <w:p w14:paraId="73D23D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Расположение Шкас такое же как у И-200.</w:t>
      </w:r>
    </w:p>
    <w:p w14:paraId="6386B2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Пуши установлены в обтекателях под крылом в консолях.</w:t>
      </w:r>
    </w:p>
    <w:p w14:paraId="417D98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Крепление пушек осуществляется на специальной металлической раме, расположенной между первой и четвертой нервюрами консоли ……………</w:t>
      </w:r>
    </w:p>
    <w:p w14:paraId="0A4204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перегрузочном варианте одновременно можно подвесить 2х100 кг или 2х50 кг и все варианты с мелкими бомбами.</w:t>
      </w:r>
    </w:p>
    <w:p w14:paraId="21C4CB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(Возможна подвеска на эти же балки 2-х подвесных бензобаков по 150 литров каждый).</w:t>
      </w:r>
    </w:p>
    <w:p w14:paraId="15C946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5A9A1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Предложить конструктору ИП-201 – инженеру Микояну, вместо двух пушек Таубина кал. 23 мм, разработать установку на самолете И-200 2-х пулеметов Березина 12,72 мм с запасом патрон по 300 шт. на каждый, с сохранением той же максимальной скорости, полученной на самолете И-200 (4615).</w:t>
      </w:r>
    </w:p>
    <w:p w14:paraId="37B0595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35F1B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 было утверждено заключение НИИ ВВС по эскиз</w:t>
      </w:r>
      <w:r w:rsidRPr="00DB5D0D">
        <w:rPr>
          <w:rFonts w:ascii="Times New Roman" w:hAnsi="Times New Roman"/>
          <w:color w:val="000000" w:themeColor="text1"/>
          <w:sz w:val="16"/>
          <w:szCs w:val="16"/>
        </w:rPr>
        <w:softHyphen/>
        <w:t>ному проекту ИП—201, в котором НИИ высказался против предложенной схемы во</w:t>
      </w:r>
      <w:r w:rsidRPr="00DB5D0D">
        <w:rPr>
          <w:rFonts w:ascii="Times New Roman" w:hAnsi="Times New Roman"/>
          <w:color w:val="000000" w:themeColor="text1"/>
          <w:sz w:val="16"/>
          <w:szCs w:val="16"/>
        </w:rPr>
        <w:softHyphen/>
        <w:t>оружения. Военные сочли, что скорострельность пу</w:t>
      </w:r>
      <w:r w:rsidRPr="00DB5D0D">
        <w:rPr>
          <w:rFonts w:ascii="Times New Roman" w:hAnsi="Times New Roman"/>
          <w:color w:val="000000" w:themeColor="text1"/>
          <w:sz w:val="16"/>
          <w:szCs w:val="16"/>
        </w:rPr>
        <w:softHyphen/>
        <w:t>шек МП—3 (300 выстр./мин.) недостаточна для по</w:t>
      </w:r>
      <w:r w:rsidRPr="00DB5D0D">
        <w:rPr>
          <w:rFonts w:ascii="Times New Roman" w:hAnsi="Times New Roman"/>
          <w:color w:val="000000" w:themeColor="text1"/>
          <w:sz w:val="16"/>
          <w:szCs w:val="16"/>
        </w:rPr>
        <w:softHyphen/>
        <w:t>ражения вражеских самолетов в маневренном воздушном бою. Специалисты НИИ ВВС предложи</w:t>
      </w:r>
      <w:r w:rsidRPr="00DB5D0D">
        <w:rPr>
          <w:rFonts w:ascii="Times New Roman" w:hAnsi="Times New Roman"/>
          <w:color w:val="000000" w:themeColor="text1"/>
          <w:sz w:val="16"/>
          <w:szCs w:val="16"/>
        </w:rPr>
        <w:softHyphen/>
        <w:t>ли вместо пушек МП—3 смонтировать на самолете И—200 два пулемета БК с боезапасом по 300 патро</w:t>
      </w:r>
      <w:r w:rsidRPr="00DB5D0D">
        <w:rPr>
          <w:rFonts w:ascii="Times New Roman" w:hAnsi="Times New Roman"/>
          <w:color w:val="000000" w:themeColor="text1"/>
          <w:sz w:val="16"/>
          <w:szCs w:val="16"/>
        </w:rPr>
        <w:softHyphen/>
        <w:t>нов (9984).</w:t>
      </w:r>
    </w:p>
    <w:p w14:paraId="72BCEA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4740B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НИИ ВВС в заключении по эскизному проекту ИП-201 - И-200 с 2хПТБ под крылом - отметил, что схема вооружения является неприемлемой из-за недостаточной скорострельности пушек МП-3 - 300 выстрелов в минуту). Предложили поставить 2хБС с боезапасом по 300 патронов (4415,35).</w:t>
      </w:r>
    </w:p>
    <w:p w14:paraId="02EF83C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99FEE32" w14:textId="77777777" w:rsidR="00072647" w:rsidRPr="00DB5D0D" w:rsidRDefault="00072647"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14 августа 1940 г. Заместитель начальника ГУ ВВС КА генерал П. В. Рычагов утвердил заключение по эскизному проекту пушеч</w:t>
      </w:r>
      <w:r w:rsidRPr="00DB5D0D">
        <w:rPr>
          <w:rFonts w:ascii="Times New Roman" w:hAnsi="Times New Roman"/>
          <w:color w:val="000000" w:themeColor="text1"/>
          <w:spacing w:val="0"/>
          <w:sz w:val="16"/>
          <w:szCs w:val="16"/>
        </w:rPr>
        <w:softHyphen/>
        <w:t>ного истребителя ИП-201 (17599).</w:t>
      </w:r>
    </w:p>
    <w:p w14:paraId="4781B9C6" w14:textId="77777777" w:rsidR="00072647" w:rsidRPr="00DB5D0D" w:rsidRDefault="00072647" w:rsidP="00DB5D0D">
      <w:pPr>
        <w:spacing w:after="0" w:line="240" w:lineRule="auto"/>
        <w:jc w:val="both"/>
        <w:rPr>
          <w:rFonts w:ascii="Times New Roman" w:hAnsi="Times New Roman"/>
          <w:color w:val="000000" w:themeColor="text1"/>
          <w:sz w:val="16"/>
          <w:szCs w:val="16"/>
        </w:rPr>
      </w:pPr>
    </w:p>
    <w:p w14:paraId="56C0C7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Зам. Нач. ВВС КА га П.В.Рычагов утвердил Заключение по эскизному проекту пушечного истребителя И-П-201 с АМ-35А ОКБ завода 1 А.И.М</w:t>
      </w:r>
    </w:p>
    <w:p w14:paraId="3CC3D2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П.В.Р надписал от руки</w:t>
      </w:r>
    </w:p>
    <w:p w14:paraId="3F6E6F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предложить т. Микояну разработать вопрос о постановке на другом варианте 2 пулеметов М.Е.Березина 12.7 мм;</w:t>
      </w:r>
    </w:p>
    <w:p w14:paraId="0AB0ED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Разработать и предложить оборудование самолета И-201 под установку РО". </w:t>
      </w:r>
    </w:p>
    <w:p w14:paraId="40861D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Исполнитель Алексеенко</w:t>
      </w:r>
    </w:p>
    <w:p w14:paraId="742588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Назначение</w:t>
      </w:r>
    </w:p>
    <w:p w14:paraId="5F0270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ИП-201 является дальнейшим развитием скоростного истребителя И-200 в сторону увеличенимя его огневой мощи.</w:t>
      </w:r>
    </w:p>
    <w:p w14:paraId="7BA92D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своему назначению - скоростной одноместный истребитель-перехватчик</w:t>
      </w:r>
    </w:p>
    <w:p w14:paraId="24344E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Может быть использован как штурмовик по бронированным частям противника</w:t>
      </w:r>
    </w:p>
    <w:p w14:paraId="05B87C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Отличия от И-200 - только пушечная установка</w:t>
      </w:r>
    </w:p>
    <w:p w14:paraId="118A65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2хШКАС с б/з 1500 на две и 2хМП-3 23 мм магазинного питания с б/з 120 в обтекателе под крылом на спец. металлической раме.</w:t>
      </w:r>
    </w:p>
    <w:p w14:paraId="0574E0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перегрузочном варианте одновременно можно подвесить</w:t>
      </w:r>
    </w:p>
    <w:p w14:paraId="6FC36F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эти же замки возхможно подвесить 2хбомбы по 100 кг</w:t>
      </w:r>
    </w:p>
    <w:p w14:paraId="37A587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полезной нагрузки 677,9 кг, в т.ч. горючего 290 кг, смазочного 28 кг, экипаж 80 кг, 2хМП-3 и 2хШКАС - 279,9 кг</w:t>
      </w:r>
    </w:p>
    <w:p w14:paraId="6455E7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3200</w:t>
      </w:r>
    </w:p>
    <w:p w14:paraId="4E9C4B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 корость у земли 540 км/ча, на 7000 м - 635 км/час</w:t>
      </w:r>
    </w:p>
    <w:p w14:paraId="5D09D7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5000 м 5,6</w:t>
      </w:r>
    </w:p>
    <w:p w14:paraId="5DA2ED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11250 м</w:t>
      </w:r>
    </w:p>
    <w:p w14:paraId="4E7274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 22,4</w:t>
      </w:r>
    </w:p>
    <w:p w14:paraId="17EFFE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123 км/час, разбег/пробег - 339/210</w:t>
      </w:r>
    </w:p>
    <w:p w14:paraId="6D0FDE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17,44</w:t>
      </w:r>
    </w:p>
    <w:p w14:paraId="14D442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На сновании принятой нач. ВВС системы вооружения существующих с-тов предложить конструктору ИП-201 т. А.И.М. вместио 2х пушек таубина разработать установку на с-те 2х пулеметов Березина 12,7 мм с б/з 300 шт. На каждую с сохранеием той же макс. скорости, полученной на И-2000</w:t>
      </w:r>
    </w:p>
    <w:p w14:paraId="2E0259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Подписали Филин и Холопцев 31 июля 1940(782,2).</w:t>
      </w:r>
    </w:p>
    <w:p w14:paraId="2B25DA7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639E8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Нач. штаба 1 отд. НИИ ВВС КА Стадник писал письмо N 1/0760 Зам. НКАП, Нач. штаба ГУ ВВС, Нач. оперуправления Генштаба, Нач. ЦАГИ, Нач. 29 отд. завода 156 и дир. завода 47 о том, что в отчете по испытанию Фокке-Вульф в определении САХ вкралась ошибка и вместо 2.045 д.б. 2.45 м. Соответственно изменились данные по центровке (2535,11).</w:t>
      </w:r>
    </w:p>
    <w:p w14:paraId="56A32DC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20C4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А.И.Ш. писал К.Е.В. письмо N 2522, что на основании постановления ВНК от 5 января 1939 N 12/3сс для организации рекордного перелета Громова и Байдукова заводом 289 спроектировано и построено два самолета БОК-15... В связи с отменой перелета отпадает необходимость окончания постройки и подготовки к перелету самолетов БОК-15 конструкции и Каштанова. Построенные самолеты предназначены для испытания дизелей в полете (1265).</w:t>
      </w:r>
    </w:p>
    <w:p w14:paraId="7D1970F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41047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Протокол № 19. Решения за 20 июля — 24 августа 1940 г.</w:t>
      </w:r>
    </w:p>
    <w:p w14:paraId="0F956A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 7. 40 г.</w:t>
      </w:r>
    </w:p>
    <w:p w14:paraId="722F03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39. Вопрос КО. О дополнительной поставке взрывателей*.</w:t>
      </w:r>
    </w:p>
    <w:p w14:paraId="109310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24.7.40 г.</w:t>
      </w:r>
    </w:p>
    <w:p w14:paraId="74F103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58. Об увеличении выпуска самолетов и авиамоторов на период август-декабрь 1940 года*.</w:t>
      </w:r>
    </w:p>
    <w:p w14:paraId="5D0DA2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26.7.40 г.</w:t>
      </w:r>
    </w:p>
    <w:p w14:paraId="6F1427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85. О накоплении мобзапасов горючего и смазочных материалов для НКО и НКВМВ (постановление СНК СССР и ЦК ВКП (б))*.</w:t>
      </w:r>
    </w:p>
    <w:p w14:paraId="734833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96. Об организации производства боевых самолетов и авиационных моторов в Ленинграде (постановление ЦК ВКП (б) и СНК СССР)*.</w:t>
      </w:r>
    </w:p>
    <w:p w14:paraId="33F14B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98. Вопрос КО. О производстве танков, арттягачей*.</w:t>
      </w:r>
    </w:p>
    <w:p w14:paraId="4AF121D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147. Вопрос НКАП. О приостановке выпуска мотора М-88 и увеличении - М-87Б*.</w:t>
      </w:r>
    </w:p>
    <w:p w14:paraId="1FACD1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06.8.40 г.</w:t>
      </w:r>
    </w:p>
    <w:p w14:paraId="44007AF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149. О создании одноместного пикирующего бомбардировщика с одним мотором*.</w:t>
      </w:r>
    </w:p>
    <w:p w14:paraId="6179A4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10.8.40 г</w:t>
      </w:r>
      <w:r w:rsidRPr="00DB5D0D">
        <w:rPr>
          <w:rFonts w:ascii="Times New Roman" w:hAnsi="Times New Roman"/>
          <w:color w:val="000000" w:themeColor="text1"/>
          <w:sz w:val="16"/>
          <w:szCs w:val="16"/>
        </w:rPr>
        <w:t>.</w:t>
      </w:r>
    </w:p>
    <w:p w14:paraId="12A016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160. О снабжении Красной Армии мотоциклами и развитии мотоциклетной промышленности*.</w:t>
      </w:r>
    </w:p>
    <w:p w14:paraId="227DBDC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14.8.40 г.</w:t>
      </w:r>
    </w:p>
    <w:p w14:paraId="4CE5D0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214. Вопрос НКАП. О разработке приспособления по механизации крыла, обеспечивающей безопасность полетов при потере скорости*.</w:t>
      </w:r>
    </w:p>
    <w:p w14:paraId="277CEF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16.8.40 г.</w:t>
      </w:r>
    </w:p>
    <w:p w14:paraId="7F0D5C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265. Вопрос КО. Об изготовлении опытного образца орудийной универсальной башенной установки*.</w:t>
      </w:r>
    </w:p>
    <w:p w14:paraId="3E92EE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21.8.40 г.</w:t>
      </w:r>
    </w:p>
    <w:p w14:paraId="25CF6A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 292. Об организации производства бронекорпусов и бронебойных снарядов к танкам «KB» на заводе № 78 Наркомбоеприпасов. (постановление СНК СССР и ЦК ВКП (б))*.</w:t>
      </w:r>
    </w:p>
    <w:p w14:paraId="2134E4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22.8.40 г.</w:t>
      </w:r>
    </w:p>
    <w:p w14:paraId="053B3A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302. Вопрос КО. О введение на вооружение КА, Флота и НКВД прибора управления артиллерийским зенитным огнем (11773).</w:t>
      </w:r>
    </w:p>
    <w:p w14:paraId="4C51ADB5" w14:textId="77777777" w:rsidR="003C7E8B" w:rsidRPr="00DB5D0D" w:rsidRDefault="003C7E8B" w:rsidP="00DB5D0D">
      <w:pPr>
        <w:shd w:val="clear" w:color="auto" w:fill="FFFFFF"/>
        <w:spacing w:after="0" w:line="240" w:lineRule="auto"/>
        <w:jc w:val="both"/>
        <w:rPr>
          <w:rFonts w:ascii="Times New Roman" w:hAnsi="Times New Roman"/>
          <w:bCs/>
          <w:color w:val="000000" w:themeColor="text1"/>
          <w:sz w:val="16"/>
          <w:szCs w:val="16"/>
        </w:rPr>
      </w:pPr>
    </w:p>
    <w:p w14:paraId="7481D7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 постановление № 365сс КО</w:t>
      </w:r>
    </w:p>
    <w:p w14:paraId="3430DA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мероприятиях по улучшению устойчивости самолетов</w:t>
      </w:r>
    </w:p>
    <w:p w14:paraId="513F97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целях улучшения устойчивости самолетов, имеющих большую удельную нагрузку на крыло и повышения безопасности полета и управляемости на больших углах атаки, при которых самолеты имеют тенденцию сваливаться на крыло и срываться в штопор, КО постановляет:</w:t>
      </w:r>
    </w:p>
    <w:p w14:paraId="0F9EE54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НКАП разработать и применить на всех вновь проектируемых и строящихся скоростных самолетах и их модификациях, имеющих удельную нагрузку свыше 150 кг/м кв. приспособления по механизации крыла (предкрылки автоматические или механические, щель Локхида и т.д.), обеспечивающие безопасность полета при потере скорости (7611,240).</w:t>
      </w:r>
    </w:p>
    <w:p w14:paraId="5DCF10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Обеспечить на всех выпускаемых вновь опытных самолетах устойчивый полет со свободными рулями при всех эксплуатационных центровках и скоростях.</w:t>
      </w:r>
    </w:p>
    <w:p w14:paraId="6BACE6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…………………………….(955,204).</w:t>
      </w:r>
    </w:p>
    <w:p w14:paraId="6305D1B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14B1C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вышло постановление КО N 365сс "О мероприятиях по увеличению устойчивости самолетов" "...Обязать НКАП разработать и установить на всех вновь проектируемых и строящихся самолетах и их модификациях, имеющих нагрузку более 150 кг/м приспособления по механизации крыла (предкрылки автоматические или механические, щели Локхид и т.д., обеспечивающие безопасность полета при потере скорости....Обеспечить на всех вновь выпускаемых опытных самолетах устойчивый полет со свободными рулями при всех эксплуатационных центровках и скоростях (955,204).</w:t>
      </w:r>
    </w:p>
    <w:p w14:paraId="699E49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Интересно, почему не затронуло БШ С.В.И., тем более, что по результатам гос. испытаний устойчивость была недостаточно и все равно должен был перепроектировать консоли в приказе по вооружению.</w:t>
      </w:r>
    </w:p>
    <w:p w14:paraId="786D4B3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2C34FF"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 августа 1940 вышло Постановление Комитета обороны при СНК СССР № 355сс "О мероприятиях по улучшению устойчивости самолетов" с приложением</w:t>
      </w:r>
    </w:p>
    <w:p w14:paraId="11F9EB6A"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 мероприятиях по улучшении устойчивости самолетов.</w:t>
      </w:r>
    </w:p>
    <w:p w14:paraId="3BC8EDA4"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целях улучшения устойчивости самолетов, имеющих большую удельную нагрузку на крыло и повышения безопасности полета и управляемости на больших углах атаки, при которых самолеты имеют тенден</w:t>
      </w:r>
      <w:r w:rsidRPr="00DB5D0D">
        <w:rPr>
          <w:rFonts w:ascii="Times New Roman" w:hAnsi="Times New Roman"/>
          <w:color w:val="0070C0"/>
          <w:sz w:val="16"/>
          <w:szCs w:val="16"/>
        </w:rPr>
        <w:softHyphen/>
        <w:t>цию сваливаться на крыло и срываться в штопор, КОМИТЕТ ОБОРОНЫ при СНК Союза ССР ПОСТАНОВЛЯЕТ:</w:t>
      </w:r>
    </w:p>
    <w:p w14:paraId="265185E5"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Обязать Наркомавиапром разработать и применить на всех вновь проектируемых и строящихся опытных скоростных самолетах и их модификациях, имеющих удельную нагрузку свыше 150 кг/мт.кв. приспо</w:t>
      </w:r>
      <w:r w:rsidRPr="00DB5D0D">
        <w:rPr>
          <w:rFonts w:ascii="Times New Roman" w:hAnsi="Times New Roman"/>
          <w:color w:val="0070C0"/>
          <w:sz w:val="16"/>
          <w:szCs w:val="16"/>
        </w:rPr>
        <w:softHyphen/>
        <w:t>собления по механизации крыла (предкрылки автоматические или механические, щель Локхида и т.д.), обеспечивающие безопасность полета при потере скорости.</w:t>
      </w:r>
    </w:p>
    <w:p w14:paraId="208A6973"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На построенных опытных самолетах применить и испытать приспособления по механизации крыла на вторых экземплярах самоле</w:t>
      </w:r>
      <w:r w:rsidRPr="00DB5D0D">
        <w:rPr>
          <w:rFonts w:ascii="Times New Roman" w:hAnsi="Times New Roman"/>
          <w:color w:val="0070C0"/>
          <w:sz w:val="16"/>
          <w:szCs w:val="16"/>
        </w:rPr>
        <w:softHyphen/>
        <w:t>тов, согласно приложенного списка, разрешив для них перенести на два месяца утвержденные ранее сроки сдачи на государственные испытания.</w:t>
      </w:r>
    </w:p>
    <w:p w14:paraId="78FC30A6"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Ввести приспособления по механизации крыла на самоле</w:t>
      </w:r>
      <w:r w:rsidRPr="00DB5D0D">
        <w:rPr>
          <w:rFonts w:ascii="Times New Roman" w:hAnsi="Times New Roman"/>
          <w:color w:val="0070C0"/>
          <w:sz w:val="16"/>
          <w:szCs w:val="16"/>
        </w:rPr>
        <w:softHyphen/>
        <w:t>тах, находящихся в серийной постройке, согласно приложенного списка.</w:t>
      </w:r>
    </w:p>
    <w:p w14:paraId="7DE34244"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Предварительно произвести в двухмесячный срок установ</w:t>
      </w:r>
      <w:r w:rsidRPr="00DB5D0D">
        <w:rPr>
          <w:rFonts w:ascii="Times New Roman" w:hAnsi="Times New Roman"/>
          <w:color w:val="0070C0"/>
          <w:sz w:val="16"/>
          <w:szCs w:val="16"/>
        </w:rPr>
        <w:softHyphen/>
        <w:t>ки приспособлений на одном серийном самолете каждого типа, указанного в списке новых опытных самолетах и проверить их на летных испытаниях.</w:t>
      </w:r>
    </w:p>
    <w:p w14:paraId="1272358C"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Обязать Наркомавиапром обеспечить на всех вновь выпускаемых опытных самолетах устойчивый полет со свободными рулями при всех эксплоатационных центровках и скоростях</w:t>
      </w:r>
    </w:p>
    <w:p w14:paraId="427D05AA"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Опытные самолеты</w:t>
      </w:r>
    </w:p>
    <w:tbl>
      <w:tblPr>
        <w:tblW w:w="0" w:type="auto"/>
        <w:tblLook w:val="04A0" w:firstRow="1" w:lastRow="0" w:firstColumn="1" w:lastColumn="0" w:noHBand="0" w:noVBand="1"/>
      </w:tblPr>
      <w:tblGrid>
        <w:gridCol w:w="2614"/>
        <w:gridCol w:w="2614"/>
        <w:gridCol w:w="2614"/>
      </w:tblGrid>
      <w:tr w:rsidR="006A57A9" w:rsidRPr="00DB5D0D" w14:paraId="099A01E0" w14:textId="77777777" w:rsidTr="007609C9">
        <w:tc>
          <w:tcPr>
            <w:tcW w:w="2614" w:type="dxa"/>
          </w:tcPr>
          <w:p w14:paraId="514F2160"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МДР7</w:t>
            </w:r>
          </w:p>
        </w:tc>
        <w:tc>
          <w:tcPr>
            <w:tcW w:w="2614" w:type="dxa"/>
          </w:tcPr>
          <w:p w14:paraId="63C038D0"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2М-88</w:t>
            </w:r>
          </w:p>
        </w:tc>
        <w:tc>
          <w:tcPr>
            <w:tcW w:w="2614" w:type="dxa"/>
          </w:tcPr>
          <w:p w14:paraId="605074B4"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Самсонов</w:t>
            </w:r>
          </w:p>
        </w:tc>
      </w:tr>
      <w:tr w:rsidR="006A57A9" w:rsidRPr="00DB5D0D" w14:paraId="239A3923" w14:textId="77777777" w:rsidTr="007609C9">
        <w:tc>
          <w:tcPr>
            <w:tcW w:w="2614" w:type="dxa"/>
          </w:tcPr>
          <w:p w14:paraId="744691BD"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И-200</w:t>
            </w:r>
          </w:p>
        </w:tc>
        <w:tc>
          <w:tcPr>
            <w:tcW w:w="2614" w:type="dxa"/>
          </w:tcPr>
          <w:p w14:paraId="5251F5AC"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АМ-35А</w:t>
            </w:r>
          </w:p>
        </w:tc>
        <w:tc>
          <w:tcPr>
            <w:tcW w:w="2614" w:type="dxa"/>
          </w:tcPr>
          <w:p w14:paraId="2D4AA49F"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Микоян, Гуревич</w:t>
            </w:r>
          </w:p>
        </w:tc>
      </w:tr>
      <w:tr w:rsidR="006A57A9" w:rsidRPr="00DB5D0D" w14:paraId="44E9C2CE" w14:textId="77777777" w:rsidTr="007609C9">
        <w:tc>
          <w:tcPr>
            <w:tcW w:w="2614" w:type="dxa"/>
          </w:tcPr>
          <w:p w14:paraId="6E8EB13A"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И-21</w:t>
            </w:r>
          </w:p>
        </w:tc>
        <w:tc>
          <w:tcPr>
            <w:tcW w:w="2614" w:type="dxa"/>
          </w:tcPr>
          <w:p w14:paraId="73320324"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М-105П</w:t>
            </w:r>
          </w:p>
        </w:tc>
        <w:tc>
          <w:tcPr>
            <w:tcW w:w="2614" w:type="dxa"/>
          </w:tcPr>
          <w:p w14:paraId="60AF6CB2"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Пашинки</w:t>
            </w:r>
          </w:p>
        </w:tc>
      </w:tr>
      <w:tr w:rsidR="006A57A9" w:rsidRPr="00DB5D0D" w14:paraId="33915E7E" w14:textId="77777777" w:rsidTr="007609C9">
        <w:tc>
          <w:tcPr>
            <w:tcW w:w="2614" w:type="dxa"/>
          </w:tcPr>
          <w:p w14:paraId="56E32004"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И-301</w:t>
            </w:r>
          </w:p>
        </w:tc>
        <w:tc>
          <w:tcPr>
            <w:tcW w:w="2614" w:type="dxa"/>
          </w:tcPr>
          <w:p w14:paraId="625028B8"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М-105П</w:t>
            </w:r>
          </w:p>
        </w:tc>
        <w:tc>
          <w:tcPr>
            <w:tcW w:w="2614" w:type="dxa"/>
          </w:tcPr>
          <w:p w14:paraId="383710EE"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Горбунов, Лавочкин, Гудков</w:t>
            </w:r>
          </w:p>
        </w:tc>
      </w:tr>
      <w:tr w:rsidR="006A57A9" w:rsidRPr="00DB5D0D" w14:paraId="207A669E" w14:textId="77777777" w:rsidTr="007609C9">
        <w:tc>
          <w:tcPr>
            <w:tcW w:w="2614" w:type="dxa"/>
          </w:tcPr>
          <w:p w14:paraId="6AE2CE0E"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И-135</w:t>
            </w:r>
          </w:p>
        </w:tc>
        <w:tc>
          <w:tcPr>
            <w:tcW w:w="2614" w:type="dxa"/>
          </w:tcPr>
          <w:p w14:paraId="1A07D777"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М-105П</w:t>
            </w:r>
          </w:p>
        </w:tc>
        <w:tc>
          <w:tcPr>
            <w:tcW w:w="2614" w:type="dxa"/>
          </w:tcPr>
          <w:p w14:paraId="39E1A4C2"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Сухой</w:t>
            </w:r>
          </w:p>
        </w:tc>
      </w:tr>
      <w:tr w:rsidR="006A57A9" w:rsidRPr="00DB5D0D" w14:paraId="57171843" w14:textId="77777777" w:rsidTr="007609C9">
        <w:tc>
          <w:tcPr>
            <w:tcW w:w="2614" w:type="dxa"/>
          </w:tcPr>
          <w:p w14:paraId="12BF8176"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ОКО6</w:t>
            </w:r>
          </w:p>
        </w:tc>
        <w:tc>
          <w:tcPr>
            <w:tcW w:w="2614" w:type="dxa"/>
          </w:tcPr>
          <w:p w14:paraId="57D638F9"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2М-88</w:t>
            </w:r>
          </w:p>
        </w:tc>
        <w:tc>
          <w:tcPr>
            <w:tcW w:w="2614" w:type="dxa"/>
          </w:tcPr>
          <w:p w14:paraId="50548FA2"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Таиров</w:t>
            </w:r>
          </w:p>
        </w:tc>
      </w:tr>
      <w:tr w:rsidR="006A57A9" w:rsidRPr="00DB5D0D" w14:paraId="7E0AEAB5" w14:textId="77777777" w:rsidTr="007609C9">
        <w:tc>
          <w:tcPr>
            <w:tcW w:w="2614" w:type="dxa"/>
          </w:tcPr>
          <w:p w14:paraId="2C0A9716"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 САМ-13</w:t>
            </w:r>
          </w:p>
        </w:tc>
        <w:tc>
          <w:tcPr>
            <w:tcW w:w="2614" w:type="dxa"/>
          </w:tcPr>
          <w:p w14:paraId="2D52EB2E"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2М-36</w:t>
            </w:r>
          </w:p>
        </w:tc>
        <w:tc>
          <w:tcPr>
            <w:tcW w:w="2614" w:type="dxa"/>
          </w:tcPr>
          <w:p w14:paraId="6115026D"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Москалев</w:t>
            </w:r>
          </w:p>
        </w:tc>
      </w:tr>
      <w:tr w:rsidR="006A57A9" w:rsidRPr="00DB5D0D" w14:paraId="301DAA4D" w14:textId="77777777" w:rsidTr="007609C9">
        <w:tc>
          <w:tcPr>
            <w:tcW w:w="2614" w:type="dxa"/>
          </w:tcPr>
          <w:p w14:paraId="03DB1D2A"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 СК</w:t>
            </w:r>
          </w:p>
        </w:tc>
        <w:tc>
          <w:tcPr>
            <w:tcW w:w="2614" w:type="dxa"/>
          </w:tcPr>
          <w:p w14:paraId="07FA8E08"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М-105</w:t>
            </w:r>
          </w:p>
        </w:tc>
        <w:tc>
          <w:tcPr>
            <w:tcW w:w="2614" w:type="dxa"/>
          </w:tcPr>
          <w:p w14:paraId="32277E1B"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Бисноват</w:t>
            </w:r>
          </w:p>
        </w:tc>
      </w:tr>
      <w:tr w:rsidR="006A57A9" w:rsidRPr="00DB5D0D" w14:paraId="3910F673" w14:textId="77777777" w:rsidTr="007609C9">
        <w:tc>
          <w:tcPr>
            <w:tcW w:w="2614" w:type="dxa"/>
          </w:tcPr>
          <w:p w14:paraId="7D1B134D"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9. ББС</w:t>
            </w:r>
          </w:p>
        </w:tc>
        <w:tc>
          <w:tcPr>
            <w:tcW w:w="2614" w:type="dxa"/>
          </w:tcPr>
          <w:p w14:paraId="12C06E2E"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2М-103</w:t>
            </w:r>
          </w:p>
        </w:tc>
        <w:tc>
          <w:tcPr>
            <w:tcW w:w="2614" w:type="dxa"/>
          </w:tcPr>
          <w:p w14:paraId="7B4FA244"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Болховитинов</w:t>
            </w:r>
          </w:p>
        </w:tc>
      </w:tr>
      <w:tr w:rsidR="006A57A9" w:rsidRPr="00DB5D0D" w14:paraId="18B482C7" w14:textId="77777777" w:rsidTr="007609C9">
        <w:tc>
          <w:tcPr>
            <w:tcW w:w="2614" w:type="dxa"/>
          </w:tcPr>
          <w:p w14:paraId="5ACB7B68"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 ДБ-240</w:t>
            </w:r>
          </w:p>
        </w:tc>
        <w:tc>
          <w:tcPr>
            <w:tcW w:w="2614" w:type="dxa"/>
          </w:tcPr>
          <w:p w14:paraId="4B4A389F"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2М-37</w:t>
            </w:r>
          </w:p>
        </w:tc>
        <w:tc>
          <w:tcPr>
            <w:tcW w:w="2614" w:type="dxa"/>
          </w:tcPr>
          <w:p w14:paraId="796AFE8E"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Ермолаев</w:t>
            </w:r>
          </w:p>
        </w:tc>
      </w:tr>
      <w:tr w:rsidR="006A57A9" w:rsidRPr="00DB5D0D" w14:paraId="30ACAB72" w14:textId="77777777" w:rsidTr="007609C9">
        <w:tc>
          <w:tcPr>
            <w:tcW w:w="2614" w:type="dxa"/>
          </w:tcPr>
          <w:p w14:paraId="6009C310"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11. 100</w:t>
            </w:r>
          </w:p>
        </w:tc>
        <w:tc>
          <w:tcPr>
            <w:tcW w:w="2614" w:type="dxa"/>
          </w:tcPr>
          <w:p w14:paraId="718D348C"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2М-105</w:t>
            </w:r>
          </w:p>
        </w:tc>
        <w:tc>
          <w:tcPr>
            <w:tcW w:w="2614" w:type="dxa"/>
          </w:tcPr>
          <w:p w14:paraId="5125C2BD"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ОТБ НКВД</w:t>
            </w:r>
          </w:p>
        </w:tc>
      </w:tr>
    </w:tbl>
    <w:p w14:paraId="6B3A05A2"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Серийные самолеты</w:t>
      </w:r>
    </w:p>
    <w:tbl>
      <w:tblPr>
        <w:tblW w:w="0" w:type="auto"/>
        <w:tblLook w:val="04A0" w:firstRow="1" w:lastRow="0" w:firstColumn="1" w:lastColumn="0" w:noHBand="0" w:noVBand="1"/>
      </w:tblPr>
      <w:tblGrid>
        <w:gridCol w:w="2614"/>
        <w:gridCol w:w="2614"/>
        <w:gridCol w:w="2614"/>
      </w:tblGrid>
      <w:tr w:rsidR="006A57A9" w:rsidRPr="00DB5D0D" w14:paraId="7B1BC338" w14:textId="77777777" w:rsidTr="007609C9">
        <w:tc>
          <w:tcPr>
            <w:tcW w:w="2614" w:type="dxa"/>
            <w:vAlign w:val="bottom"/>
          </w:tcPr>
          <w:p w14:paraId="2BF71429"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И16</w:t>
            </w:r>
          </w:p>
        </w:tc>
        <w:tc>
          <w:tcPr>
            <w:tcW w:w="2614" w:type="dxa"/>
            <w:vAlign w:val="bottom"/>
          </w:tcPr>
          <w:p w14:paraId="40CD298F"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М-63</w:t>
            </w:r>
          </w:p>
        </w:tc>
        <w:tc>
          <w:tcPr>
            <w:tcW w:w="2614" w:type="dxa"/>
            <w:vAlign w:val="bottom"/>
          </w:tcPr>
          <w:p w14:paraId="19C0236D"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Поликарпов</w:t>
            </w:r>
          </w:p>
        </w:tc>
      </w:tr>
      <w:tr w:rsidR="006A57A9" w:rsidRPr="00DB5D0D" w14:paraId="3689F894" w14:textId="77777777" w:rsidTr="007609C9">
        <w:tc>
          <w:tcPr>
            <w:tcW w:w="2614" w:type="dxa"/>
          </w:tcPr>
          <w:p w14:paraId="731D2524"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МДР-6</w:t>
            </w:r>
          </w:p>
        </w:tc>
        <w:tc>
          <w:tcPr>
            <w:tcW w:w="2614" w:type="dxa"/>
          </w:tcPr>
          <w:p w14:paraId="4026C233"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2М-63</w:t>
            </w:r>
          </w:p>
        </w:tc>
        <w:tc>
          <w:tcPr>
            <w:tcW w:w="2614" w:type="dxa"/>
          </w:tcPr>
          <w:p w14:paraId="29F4FC90"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Четвериков</w:t>
            </w:r>
          </w:p>
        </w:tc>
      </w:tr>
      <w:tr w:rsidR="006A57A9" w:rsidRPr="00DB5D0D" w14:paraId="1FCD8ECB" w14:textId="77777777" w:rsidTr="007609C9">
        <w:tc>
          <w:tcPr>
            <w:tcW w:w="2614" w:type="dxa"/>
          </w:tcPr>
          <w:p w14:paraId="66121E8E"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И180</w:t>
            </w:r>
          </w:p>
        </w:tc>
        <w:tc>
          <w:tcPr>
            <w:tcW w:w="2614" w:type="dxa"/>
          </w:tcPr>
          <w:p w14:paraId="602B10CA"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М-88</w:t>
            </w:r>
          </w:p>
        </w:tc>
        <w:tc>
          <w:tcPr>
            <w:tcW w:w="2614" w:type="dxa"/>
          </w:tcPr>
          <w:p w14:paraId="6F30021A"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Поликарпов</w:t>
            </w:r>
          </w:p>
        </w:tc>
      </w:tr>
      <w:tr w:rsidR="006A57A9" w:rsidRPr="00DB5D0D" w14:paraId="5D6AC59A" w14:textId="77777777" w:rsidTr="007609C9">
        <w:tc>
          <w:tcPr>
            <w:tcW w:w="2614" w:type="dxa"/>
          </w:tcPr>
          <w:p w14:paraId="2BEBB23A"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ББ-22</w:t>
            </w:r>
          </w:p>
        </w:tc>
        <w:tc>
          <w:tcPr>
            <w:tcW w:w="2614" w:type="dxa"/>
          </w:tcPr>
          <w:p w14:paraId="0C21228E"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2М-103</w:t>
            </w:r>
          </w:p>
        </w:tc>
        <w:tc>
          <w:tcPr>
            <w:tcW w:w="2614" w:type="dxa"/>
          </w:tcPr>
          <w:p w14:paraId="6E376000"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Яковлев</w:t>
            </w:r>
          </w:p>
        </w:tc>
      </w:tr>
      <w:tr w:rsidR="006A57A9" w:rsidRPr="00DB5D0D" w14:paraId="343F9D3C" w14:textId="77777777" w:rsidTr="007609C9">
        <w:tc>
          <w:tcPr>
            <w:tcW w:w="2614" w:type="dxa"/>
          </w:tcPr>
          <w:p w14:paraId="642B8A79"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И-26</w:t>
            </w:r>
          </w:p>
        </w:tc>
        <w:tc>
          <w:tcPr>
            <w:tcW w:w="2614" w:type="dxa"/>
          </w:tcPr>
          <w:p w14:paraId="756C2283"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М-105П</w:t>
            </w:r>
          </w:p>
        </w:tc>
        <w:tc>
          <w:tcPr>
            <w:tcW w:w="2614" w:type="dxa"/>
          </w:tcPr>
          <w:p w14:paraId="507504A2"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Яковлев</w:t>
            </w:r>
            <w:r w:rsidRPr="00DB5D0D">
              <w:rPr>
                <w:rFonts w:ascii="Times New Roman" w:eastAsia="Arial" w:hAnsi="Times New Roman"/>
                <w:b/>
                <w:bCs/>
                <w:color w:val="0070C0"/>
                <w:sz w:val="16"/>
                <w:szCs w:val="16"/>
              </w:rPr>
              <w:t xml:space="preserve"> я</w:t>
            </w:r>
          </w:p>
        </w:tc>
      </w:tr>
    </w:tbl>
    <w:p w14:paraId="077FCD3C" w14:textId="77777777" w:rsidR="006A57A9" w:rsidRPr="00DB5D0D" w:rsidRDefault="006A57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(22025).</w:t>
      </w:r>
    </w:p>
    <w:p w14:paraId="4CF12062" w14:textId="77777777" w:rsidR="006A57A9" w:rsidRPr="00DB5D0D" w:rsidRDefault="006A57A9" w:rsidP="00DB5D0D">
      <w:pPr>
        <w:spacing w:after="0" w:line="240" w:lineRule="auto"/>
        <w:jc w:val="both"/>
        <w:rPr>
          <w:rFonts w:ascii="Times New Roman" w:hAnsi="Times New Roman"/>
          <w:color w:val="0070C0"/>
          <w:sz w:val="16"/>
          <w:szCs w:val="16"/>
        </w:rPr>
      </w:pPr>
    </w:p>
    <w:p w14:paraId="13EB0F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вышел приказ НКАП N 426сс: "В мае-июне 1940 в в/ч и на войсковых испытаниях появилось значительное количество случаев разрушения муфты первой скорости нагнетателя М-88.</w:t>
      </w:r>
    </w:p>
    <w:p w14:paraId="3BAFA3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явилось результатом того, что завод 29 своевременно не обеспечил всестороннего и систематического наблюдения за поведением мотора на летных испытаниях и в эксплуатации в частях ВВС.</w:t>
      </w:r>
    </w:p>
    <w:p w14:paraId="5C2EA8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Отмечая недопустимое ослабление внимания со стороны директора завода Громова ГК Туманского и ГИ Кононенко к вопросу изучения дефектов мотора на первых этапах эксплуатации, а также задержку в предъявлении моторов на войсковые испытания, приказываю (1277):</w:t>
      </w:r>
    </w:p>
    <w:p w14:paraId="04F4FF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Директору завода 29 Громову:</w:t>
      </w:r>
    </w:p>
    <w:p w14:paraId="45F832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разрешить временно на август месяц 1940 приостановить выпуск моторов М-88, увеличив соответственно выпуск моторов М-87Б в течение августа месяца с.г.</w:t>
      </w:r>
    </w:p>
    <w:p w14:paraId="5DB31E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к 1 сентября 1940 обеспечить устранение дефектов муфты первой скорости нагнетателя и провести длительные испытания мотора М-88 с конструктивными улучшениями, устраняющими дефекты, выявленные на гос. и летных испытаниях.</w:t>
      </w:r>
    </w:p>
    <w:p w14:paraId="3BAD54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летные испытания и полную обработку надежной конструкции нагнетателя М-88 закончить в ЛИСе завода 29 и на самолетных заводах N 18, и 39 к 1 сентября (1277).</w:t>
      </w:r>
    </w:p>
    <w:p w14:paraId="03992B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этому же сроку предъявить М-88 на войсковые испытания.</w:t>
      </w:r>
    </w:p>
    <w:p w14:paraId="2627DB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 окончании войсковых испытаний М-88 произвести замену муфты на улучшенный вариант на всех ранее выпущенных моторах М-88 в двухмесячный срок.</w:t>
      </w:r>
    </w:p>
    <w:p w14:paraId="6228D1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Директорам заводов 29 Громову , 18 А.Б.Шенкману и 39 Журавлеву к 20 августа т.г. произвести проверку взлета самолете ДБ-3Ф с мотором М-88 на второй скорости нагнетателя по программе, разработанной НИИ ВВС и к 21 августа представить отчет и инструкции о порядке пользования двухскоростным нагнетателем на взлете в 8 ГУ.</w:t>
      </w:r>
    </w:p>
    <w:p w14:paraId="53071B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Директорам заводов 18 А.Б.Шенкману и 39 Журавлеву устранить дефект управления скоростей нагнетателя на ДБ-3Ф, обеспечив мягкое и плавное переключение скорости (1277).</w:t>
      </w:r>
    </w:p>
    <w:p w14:paraId="52A54B1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A3E7F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Архипов писал Справку т. Новикову А.С.</w:t>
      </w:r>
    </w:p>
    <w:p w14:paraId="3ABCC2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 200сс от 12.5.40 г. НКТМ обязан организовать на Кировском заводе производство авиамоторов "М-40" с выпуском в 1940 г. - 50 шт. и в 1941 г. - 1500 шт., создав мощности в 2000 шт.моторов "М-40" в год к 1.4.41 г.</w:t>
      </w:r>
    </w:p>
    <w:p w14:paraId="76794B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Проверкой установлено, что постановление не вы полняется. Совершенно неудовлетворительно идет подготовка производства.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1190"/>
        <w:gridCol w:w="989"/>
        <w:gridCol w:w="778"/>
        <w:gridCol w:w="1325"/>
      </w:tblGrid>
      <w:tr w:rsidR="007D5DF8" w:rsidRPr="00DB5D0D" w14:paraId="5F09D644" w14:textId="77777777" w:rsidTr="00E543D0">
        <w:trPr>
          <w:trHeight w:val="576"/>
        </w:trPr>
        <w:tc>
          <w:tcPr>
            <w:tcW w:w="1786" w:type="dxa"/>
            <w:tcBorders>
              <w:top w:val="single" w:sz="12" w:space="0" w:color="auto"/>
            </w:tcBorders>
          </w:tcPr>
          <w:p w14:paraId="2657B4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оснастки</w:t>
            </w:r>
          </w:p>
        </w:tc>
        <w:tc>
          <w:tcPr>
            <w:tcW w:w="1190" w:type="dxa"/>
            <w:tcBorders>
              <w:top w:val="single" w:sz="12" w:space="0" w:color="auto"/>
            </w:tcBorders>
          </w:tcPr>
          <w:p w14:paraId="0DC607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Запроек</w:t>
            </w:r>
            <w:r w:rsidRPr="00DB5D0D">
              <w:rPr>
                <w:rFonts w:ascii="Times New Roman" w:hAnsi="Times New Roman"/>
                <w:color w:val="000000" w:themeColor="text1"/>
                <w:sz w:val="16"/>
                <w:szCs w:val="16"/>
              </w:rPr>
              <w:softHyphen/>
              <w:t>тировано</w:t>
            </w:r>
          </w:p>
        </w:tc>
        <w:tc>
          <w:tcPr>
            <w:tcW w:w="989" w:type="dxa"/>
            <w:tcBorders>
              <w:top w:val="single" w:sz="12" w:space="0" w:color="auto"/>
            </w:tcBorders>
          </w:tcPr>
          <w:p w14:paraId="0128F3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w:t>
            </w:r>
            <w:r w:rsidRPr="00DB5D0D">
              <w:rPr>
                <w:rFonts w:ascii="Times New Roman" w:hAnsi="Times New Roman"/>
                <w:color w:val="000000" w:themeColor="text1"/>
                <w:sz w:val="16"/>
                <w:szCs w:val="16"/>
              </w:rPr>
              <w:softHyphen/>
              <w:t>тано в чертежах</w:t>
            </w:r>
          </w:p>
        </w:tc>
        <w:tc>
          <w:tcPr>
            <w:tcW w:w="778" w:type="dxa"/>
            <w:tcBorders>
              <w:top w:val="single" w:sz="12" w:space="0" w:color="auto"/>
            </w:tcBorders>
          </w:tcPr>
          <w:p w14:paraId="1B0A52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w:t>
            </w:r>
            <w:r w:rsidRPr="00DB5D0D">
              <w:rPr>
                <w:rFonts w:ascii="Times New Roman" w:hAnsi="Times New Roman"/>
                <w:color w:val="000000" w:themeColor="text1"/>
                <w:sz w:val="16"/>
                <w:szCs w:val="16"/>
              </w:rPr>
              <w:softHyphen/>
              <w:t>товле</w:t>
            </w:r>
            <w:r w:rsidRPr="00DB5D0D">
              <w:rPr>
                <w:rFonts w:ascii="Times New Roman" w:hAnsi="Times New Roman"/>
                <w:color w:val="000000" w:themeColor="text1"/>
                <w:sz w:val="16"/>
                <w:szCs w:val="16"/>
              </w:rPr>
              <w:softHyphen/>
              <w:t>но</w:t>
            </w:r>
          </w:p>
        </w:tc>
        <w:tc>
          <w:tcPr>
            <w:tcW w:w="1325" w:type="dxa"/>
            <w:tcBorders>
              <w:top w:val="single" w:sz="12" w:space="0" w:color="auto"/>
            </w:tcBorders>
          </w:tcPr>
          <w:p w14:paraId="761357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3F43F4D2" w14:textId="77777777" w:rsidTr="00E543D0">
        <w:trPr>
          <w:trHeight w:val="413"/>
        </w:trPr>
        <w:tc>
          <w:tcPr>
            <w:tcW w:w="1786" w:type="dxa"/>
          </w:tcPr>
          <w:p w14:paraId="176DDF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Приспособления</w:t>
            </w:r>
          </w:p>
        </w:tc>
        <w:tc>
          <w:tcPr>
            <w:tcW w:w="1190" w:type="dxa"/>
          </w:tcPr>
          <w:p w14:paraId="6D22E6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989" w:type="dxa"/>
          </w:tcPr>
          <w:p w14:paraId="6EF533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778" w:type="dxa"/>
          </w:tcPr>
          <w:p w14:paraId="4FC79C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325" w:type="dxa"/>
          </w:tcPr>
          <w:p w14:paraId="37C944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23.7.40</w:t>
            </w:r>
          </w:p>
        </w:tc>
      </w:tr>
      <w:tr w:rsidR="007D5DF8" w:rsidRPr="00DB5D0D" w14:paraId="50E32023" w14:textId="77777777" w:rsidTr="00E543D0">
        <w:trPr>
          <w:trHeight w:val="230"/>
        </w:trPr>
        <w:tc>
          <w:tcPr>
            <w:tcW w:w="1786" w:type="dxa"/>
          </w:tcPr>
          <w:p w14:paraId="2D13F7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 режущий инструмент</w:t>
            </w:r>
          </w:p>
        </w:tc>
        <w:tc>
          <w:tcPr>
            <w:tcW w:w="1190" w:type="dxa"/>
          </w:tcPr>
          <w:p w14:paraId="71FE5F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2500</w:t>
            </w:r>
          </w:p>
        </w:tc>
        <w:tc>
          <w:tcPr>
            <w:tcW w:w="989" w:type="dxa"/>
          </w:tcPr>
          <w:p w14:paraId="46AFF4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78" w:type="dxa"/>
          </w:tcPr>
          <w:p w14:paraId="673A35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325" w:type="dxa"/>
          </w:tcPr>
          <w:p w14:paraId="3F162D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4ACA15D" w14:textId="77777777" w:rsidTr="00E543D0">
        <w:trPr>
          <w:trHeight w:val="211"/>
        </w:trPr>
        <w:tc>
          <w:tcPr>
            <w:tcW w:w="1786" w:type="dxa"/>
          </w:tcPr>
          <w:p w14:paraId="3454B3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 мерит. Инструмент</w:t>
            </w:r>
          </w:p>
        </w:tc>
        <w:tc>
          <w:tcPr>
            <w:tcW w:w="1190" w:type="dxa"/>
          </w:tcPr>
          <w:p w14:paraId="3083D9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c>
          <w:tcPr>
            <w:tcW w:w="989" w:type="dxa"/>
          </w:tcPr>
          <w:p w14:paraId="4D383B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778" w:type="dxa"/>
          </w:tcPr>
          <w:p w14:paraId="014609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325" w:type="dxa"/>
          </w:tcPr>
          <w:p w14:paraId="76EB1C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008A920" w14:textId="77777777" w:rsidTr="00E543D0">
        <w:trPr>
          <w:trHeight w:val="259"/>
        </w:trPr>
        <w:tc>
          <w:tcPr>
            <w:tcW w:w="1786" w:type="dxa"/>
          </w:tcPr>
          <w:p w14:paraId="5DB72F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Горячие штампы</w:t>
            </w:r>
          </w:p>
        </w:tc>
        <w:tc>
          <w:tcPr>
            <w:tcW w:w="1190" w:type="dxa"/>
          </w:tcPr>
          <w:p w14:paraId="57B920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 компл.</w:t>
            </w:r>
          </w:p>
        </w:tc>
        <w:tc>
          <w:tcPr>
            <w:tcW w:w="989" w:type="dxa"/>
          </w:tcPr>
          <w:p w14:paraId="742E35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w:t>
            </w:r>
          </w:p>
        </w:tc>
        <w:tc>
          <w:tcPr>
            <w:tcW w:w="778" w:type="dxa"/>
          </w:tcPr>
          <w:p w14:paraId="2BC7FF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325" w:type="dxa"/>
          </w:tcPr>
          <w:p w14:paraId="32A146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16.7.40</w:t>
            </w:r>
          </w:p>
        </w:tc>
      </w:tr>
      <w:tr w:rsidR="007D5DF8" w:rsidRPr="00DB5D0D" w14:paraId="1EDD242D" w14:textId="77777777" w:rsidTr="00E543D0">
        <w:trPr>
          <w:trHeight w:val="480"/>
        </w:trPr>
        <w:tc>
          <w:tcPr>
            <w:tcW w:w="1786" w:type="dxa"/>
            <w:tcBorders>
              <w:bottom w:val="single" w:sz="12" w:space="0" w:color="auto"/>
            </w:tcBorders>
          </w:tcPr>
          <w:p w14:paraId="174D13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Холодные штампы</w:t>
            </w:r>
          </w:p>
        </w:tc>
        <w:tc>
          <w:tcPr>
            <w:tcW w:w="1190" w:type="dxa"/>
            <w:tcBorders>
              <w:bottom w:val="single" w:sz="12" w:space="0" w:color="auto"/>
            </w:tcBorders>
          </w:tcPr>
          <w:p w14:paraId="02DEFA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989" w:type="dxa"/>
            <w:tcBorders>
              <w:bottom w:val="single" w:sz="12" w:space="0" w:color="auto"/>
            </w:tcBorders>
          </w:tcPr>
          <w:p w14:paraId="3F32A6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778" w:type="dxa"/>
            <w:tcBorders>
              <w:bottom w:val="single" w:sz="12" w:space="0" w:color="auto"/>
            </w:tcBorders>
          </w:tcPr>
          <w:p w14:paraId="153288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325" w:type="dxa"/>
            <w:tcBorders>
              <w:bottom w:val="single" w:sz="12" w:space="0" w:color="auto"/>
            </w:tcBorders>
          </w:tcPr>
          <w:p w14:paraId="4EBC0A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bl>
    <w:p w14:paraId="24C18E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общей потребности в отечественном оборудовании (на полную программу 1941 г.) 209 станков, занаряжено на 3 кв. 121 станок, из которых получено заводом в июне-июле месяцах - 43 станка.</w:t>
      </w:r>
    </w:p>
    <w:p w14:paraId="3090B1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Подлежащее получению с импорта оборудование в количестве 97 станков полностью не размещено: заказано 70 станков со сроками поставки</w:t>
      </w:r>
    </w:p>
    <w:p w14:paraId="3A02096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6 мес.</w:t>
      </w:r>
      <w:r w:rsidRPr="00DB5D0D">
        <w:rPr>
          <w:rFonts w:ascii="Times New Roman" w:hAnsi="Times New Roman"/>
          <w:color w:val="000000" w:themeColor="text1"/>
          <w:sz w:val="16"/>
          <w:szCs w:val="16"/>
        </w:rPr>
        <w:tab/>
        <w:t>8 станков</w:t>
      </w:r>
    </w:p>
    <w:p w14:paraId="7B3049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12 мес.</w:t>
      </w:r>
      <w:r w:rsidRPr="00DB5D0D">
        <w:rPr>
          <w:rFonts w:ascii="Times New Roman" w:hAnsi="Times New Roman"/>
          <w:color w:val="000000" w:themeColor="text1"/>
          <w:sz w:val="16"/>
          <w:szCs w:val="16"/>
        </w:rPr>
        <w:tab/>
        <w:t>18</w:t>
      </w:r>
    </w:p>
    <w:p w14:paraId="066F69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18 мес.</w:t>
      </w:r>
      <w:r w:rsidRPr="00DB5D0D">
        <w:rPr>
          <w:rFonts w:ascii="Times New Roman" w:hAnsi="Times New Roman"/>
          <w:color w:val="000000" w:themeColor="text1"/>
          <w:sz w:val="16"/>
          <w:szCs w:val="16"/>
        </w:rPr>
        <w:tab/>
        <w:t>18</w:t>
      </w:r>
    </w:p>
    <w:p w14:paraId="7B252A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24 мес.</w:t>
      </w:r>
      <w:r w:rsidRPr="00DB5D0D">
        <w:rPr>
          <w:rFonts w:ascii="Times New Roman" w:hAnsi="Times New Roman"/>
          <w:color w:val="000000" w:themeColor="text1"/>
          <w:sz w:val="16"/>
          <w:szCs w:val="16"/>
        </w:rPr>
        <w:tab/>
        <w:t>25</w:t>
      </w:r>
    </w:p>
    <w:p w14:paraId="5BD07C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Свыше 24 мес.</w:t>
      </w:r>
      <w:r w:rsidRPr="00DB5D0D">
        <w:rPr>
          <w:rFonts w:ascii="Times New Roman" w:hAnsi="Times New Roman"/>
          <w:color w:val="000000" w:themeColor="text1"/>
          <w:sz w:val="16"/>
          <w:szCs w:val="16"/>
        </w:rPr>
        <w:tab/>
        <w:t>1</w:t>
      </w:r>
    </w:p>
    <w:p w14:paraId="683BBD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основная масса оборудования прибудет в 1941-42 г.г. На имеющемся парке оборудования и прибывающем отечественного производства, по заявлению Кировского завода, не может бытъ выполнены следующие работы:</w:t>
      </w:r>
    </w:p>
    <w:p w14:paraId="56E2BD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Шлифовка коренных и шатунных шеек коленчатого вала;</w:t>
      </w:r>
    </w:p>
    <w:p w14:paraId="539878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Нарезка шевронного зуба венца п малой шестерни редуктора;</w:t>
      </w:r>
    </w:p>
    <w:p w14:paraId="1B6313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Шлифовка резьбы шпилек;</w:t>
      </w:r>
    </w:p>
    <w:p w14:paraId="42ED30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Азотирование и окончательная шлифовка гилъзы (цилиндра) мотора;</w:t>
      </w:r>
    </w:p>
    <w:p w14:paraId="20766A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Окончательная шлифовка отверстии под амортизатор собранного барабана с венцом шестерни редуктора.</w:t>
      </w:r>
    </w:p>
    <w:p w14:paraId="79ED74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Проектирование и строительство</w:t>
      </w:r>
    </w:p>
    <w:p w14:paraId="259473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выполнены проектные работы об'екта № 4 (маслохранилище) - выданы чертежи только на земляные работы, наружные сети водопровода и канализации.</w:t>
      </w:r>
    </w:p>
    <w:p w14:paraId="4B12D2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Строительные черте:ки бензохранилища (об'ект № 3) закончены.</w:t>
      </w:r>
    </w:p>
    <w:p w14:paraId="2C0FF9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об'екту № 2 (Переборочный цех) - закончены земляные работы, забивка железо-бетонных свай (под стенды для испытания моторов), уложен щебень (5000 кубометров) и производится бетонировка.</w:t>
      </w:r>
    </w:p>
    <w:p w14:paraId="7BED6F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Отстают изготовлением металло-конструкции. По заявке НКТМЭкономсовет постановлением № 1124-319сс от 20.6.40 г. выделил фонд на балки и швеллера в количестве 400 тонн. По расчетам завода выявилась потребность в 920 тонн. Недостающий металл частич</w:t>
      </w:r>
      <w:r w:rsidRPr="00DB5D0D">
        <w:rPr>
          <w:rFonts w:ascii="Times New Roman" w:hAnsi="Times New Roman"/>
          <w:color w:val="000000" w:themeColor="text1"/>
          <w:sz w:val="16"/>
          <w:szCs w:val="16"/>
        </w:rPr>
        <w:softHyphen/>
        <w:t>но изыскан из внутренних ресурсов Наркомата (завод "Красный Профинтерн").</w:t>
      </w:r>
    </w:p>
    <w:p w14:paraId="5EDD59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Неудовлетворительный ход подготовки производства и отдаленные сроки получения оборудования по импорту ставят под угрозу срыва развертывание производства и создание мощностей по выпуску торов "М-40" к установленному постановлением КО в 1941 году (10499,23).</w:t>
      </w:r>
    </w:p>
    <w:p w14:paraId="6CC059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A3DF0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Маршал Советского Союза С.Тимошенко писал письмо № 17158с</w:t>
      </w:r>
    </w:p>
    <w:p w14:paraId="254831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ЗАМЕСТИТЕЛЮ ПРЕДСЕДАТЕЛЯ КОМИТЕТА ОБОРОНЫ ПРИ СНК СССР</w:t>
      </w:r>
    </w:p>
    <w:p w14:paraId="5D8FF0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ВОЗНЕСЕНСКОМУ: (вход. КО № 7520 от 21 августа 1940).</w:t>
      </w:r>
    </w:p>
    <w:p w14:paraId="761BCA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 7197/ко</w:t>
      </w:r>
    </w:p>
    <w:p w14:paraId="232C1F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последние три с лишним года в Главное Управление ВВС Красной Армии от тов. Гроховского на ни одного предложения по технической оснастке авиаде</w:t>
      </w:r>
      <w:r w:rsidRPr="00DB5D0D">
        <w:rPr>
          <w:rFonts w:ascii="Times New Roman" w:hAnsi="Times New Roman"/>
          <w:color w:val="000000" w:themeColor="text1"/>
          <w:sz w:val="16"/>
          <w:szCs w:val="16"/>
        </w:rPr>
        <w:softHyphen/>
        <w:t>сантов не поступало.</w:t>
      </w:r>
    </w:p>
    <w:p w14:paraId="6ECE8C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Конструкторское бюро при Мосгорисполкоме (руководитель тов. Гроховский) по договору с ГУ ВВС от июля 1940 г. выполняет только агрегат для расчи</w:t>
      </w:r>
      <w:r w:rsidRPr="00DB5D0D">
        <w:rPr>
          <w:rFonts w:ascii="Times New Roman" w:hAnsi="Times New Roman"/>
          <w:color w:val="000000" w:themeColor="text1"/>
          <w:sz w:val="16"/>
          <w:szCs w:val="16"/>
        </w:rPr>
        <w:softHyphen/>
        <w:t>стки аэродромов от снега.</w:t>
      </w:r>
    </w:p>
    <w:p w14:paraId="04F839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Утверждения тов. Гроховского, что разработка парашютно-десантных средств совершенно заброшена не совсем соответствует действительности.</w:t>
      </w:r>
    </w:p>
    <w:p w14:paraId="41BDA7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Разработкой парашютно-десантных средств зани</w:t>
      </w:r>
      <w:r w:rsidRPr="00DB5D0D">
        <w:rPr>
          <w:rFonts w:ascii="Times New Roman" w:hAnsi="Times New Roman"/>
          <w:color w:val="000000" w:themeColor="text1"/>
          <w:sz w:val="16"/>
          <w:szCs w:val="16"/>
        </w:rPr>
        <w:softHyphen/>
        <w:t>мается бригада "Д" Конструкторского Бюро № 29 НКАП, составленная из конструкторов бывшего Экспериментам ного Института, но из-за отсутствия заданий об"ем работ этой бригады невелик.</w:t>
      </w:r>
    </w:p>
    <w:p w14:paraId="23D6CAE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имеющимся сведениям, НКАП сейчас укрепляет эту бригаду и дает производственную базу, пригодную для выполнения серийных заказов.</w:t>
      </w:r>
    </w:p>
    <w:p w14:paraId="0233C4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считал бы целесообразным перревод в КБ-29 НКАП и группу с тов. Гроховским.</w:t>
      </w:r>
    </w:p>
    <w:p w14:paraId="170963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Учитывая формирование в НИИ ВВС КА парашютно-десантного отдела и расширение-бригады "Д” в КБ-29 НКАП, считал бы возможным воздержаться от создания самостоятельной организации под руководством тов. Гроховского.</w:t>
      </w:r>
    </w:p>
    <w:p w14:paraId="5E4815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формировании парашютно-десантного ГУ ВВС КА кандидатура тов. Гроховского будет учтена (10516, 33).|</w:t>
      </w:r>
    </w:p>
    <w:p w14:paraId="0E6EFE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33432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 Начальник НИП АВ ВВС полковник Шевченко и Военком НИП АВ ВВС в/инженер 2-го ранга Щербинин 14 августа 1940 года утвердили Отчет по наземным полигонным испытаниям двух турелей конструкции завода N 39 под два пулемета Шкас, которые проходили с 20 по 31 июля 1940 года (2977).</w:t>
      </w:r>
    </w:p>
    <w:p w14:paraId="148E16D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A0E7E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А.И.Ш. писал Нач. моб.-планового отдела КО при СНК СССР (?) Сафонову, что разработан единый сортамент авиаколес, единый стандарт амортизационных стоек и отработаны стандарты по химическому вооружению, которые будут утверждены в ближайшие дни. В августе на утверждение также передаются на гос. испытания стандартные лафеты для пулеметов калибра 7.62 и 12.7 мм. Типизация замков держателей и сбрасывателей по бомбардировочному вооружению будет проведена в течение 3-х месяцев (1206).</w:t>
      </w:r>
    </w:p>
    <w:p w14:paraId="0918239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1ADE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 Зам. НКАП П.Воронин писал письмо № Н-20/1474 ГЛАВНОМУ КОНТРОЛЮ КО при СНК СССР тов. НОВИКОВУ А.С.</w:t>
      </w:r>
    </w:p>
    <w:p w14:paraId="67C781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протяжении всего прошедшего периода заводы авиарромышленности испытывали исключительные трудности работе из-за несвоевременной и неполной поставки ряда изде</w:t>
      </w:r>
      <w:r w:rsidRPr="00DB5D0D">
        <w:rPr>
          <w:rFonts w:ascii="Times New Roman" w:hAnsi="Times New Roman"/>
          <w:color w:val="000000" w:themeColor="text1"/>
          <w:sz w:val="16"/>
          <w:szCs w:val="16"/>
        </w:rPr>
        <w:softHyphen/>
        <w:t>лий для комплектации самолетов, что вызывало,помимо значитель</w:t>
      </w:r>
      <w:r w:rsidRPr="00DB5D0D">
        <w:rPr>
          <w:rFonts w:ascii="Times New Roman" w:hAnsi="Times New Roman"/>
          <w:color w:val="000000" w:themeColor="text1"/>
          <w:sz w:val="16"/>
          <w:szCs w:val="16"/>
        </w:rPr>
        <w:softHyphen/>
        <w:t>ных простоев,задержку в сдаче самолетов.</w:t>
      </w:r>
    </w:p>
    <w:p w14:paraId="6BC9C2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тормозит работу заводов по сборке и сдаче самолетов отсутствие ряда изделий, как-то: осветитель-ной_арматуры и электрооборудования, поставляемых заводами "Электросвет" и "Электрик" НКЭП; переговорных устройств, поставляемых заводом № 197 НКЭП; кислородных приборов и редукторов, поставляемых заводами им. Матвеева и Орехово-Зуевским НКОМ; пулеметов ШКАС и ПАН-23 (приборов автомати</w:t>
      </w:r>
      <w:r w:rsidRPr="00DB5D0D">
        <w:rPr>
          <w:rFonts w:ascii="Times New Roman" w:hAnsi="Times New Roman"/>
          <w:color w:val="000000" w:themeColor="text1"/>
          <w:sz w:val="16"/>
          <w:szCs w:val="16"/>
        </w:rPr>
        <w:softHyphen/>
        <w:t>ческой наводки), поставляемых, заводами НКВ.</w:t>
      </w:r>
    </w:p>
    <w:p w14:paraId="362906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ряд специальных постановлений Правительства и приказы соответствующих Наркомов, заводы-поставщики своих обязательств не выполняют.</w:t>
      </w:r>
    </w:p>
    <w:p w14:paraId="5EEBB5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Представляя ведомость дефицитных номенклатур электро</w:t>
      </w:r>
      <w:r w:rsidRPr="00DB5D0D">
        <w:rPr>
          <w:rFonts w:ascii="Times New Roman" w:hAnsi="Times New Roman"/>
          <w:color w:val="000000" w:themeColor="text1"/>
          <w:sz w:val="16"/>
          <w:szCs w:val="16"/>
        </w:rPr>
        <w:softHyphen/>
        <w:t>изделий, прошу Вас вызвать представителей НКЭП, НКСМ, НКВооружения и обязать их выполнить заказы НКАП.</w:t>
      </w:r>
    </w:p>
    <w:p w14:paraId="13901E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условиях необходимости увеличенного выпуска авиамоторов и самолетов в Ш и 1У кварталах 1940 года делается абсолютно нетерпимым такое отношение заводов-поставщиков к заказам НКАП (10493,181).</w:t>
      </w:r>
    </w:p>
    <w:p w14:paraId="1AED5130" w14:textId="77777777" w:rsidR="003C7E8B" w:rsidRPr="00DB5D0D" w:rsidRDefault="003C7E8B" w:rsidP="00DB5D0D">
      <w:pPr>
        <w:pStyle w:val="47"/>
        <w:shd w:val="clear" w:color="auto" w:fill="auto"/>
        <w:spacing w:line="240" w:lineRule="auto"/>
        <w:ind w:firstLine="0"/>
        <w:jc w:val="both"/>
        <w:rPr>
          <w:rStyle w:val="4pt"/>
          <w:rFonts w:ascii="Times New Roman" w:hAnsi="Times New Roman" w:cs="Times New Roman"/>
          <w:color w:val="000000" w:themeColor="text1"/>
          <w:spacing w:val="0"/>
          <w:sz w:val="16"/>
          <w:szCs w:val="16"/>
          <w:u w:val="none"/>
        </w:rPr>
      </w:pPr>
      <w:r w:rsidRPr="00DB5D0D">
        <w:rPr>
          <w:rStyle w:val="4pt"/>
          <w:rFonts w:ascii="Times New Roman" w:hAnsi="Times New Roman" w:cs="Times New Roman"/>
          <w:color w:val="000000" w:themeColor="text1"/>
          <w:spacing w:val="0"/>
          <w:sz w:val="16"/>
          <w:szCs w:val="16"/>
          <w:u w:val="none"/>
        </w:rPr>
        <w:t>ДЕФИЦИТКА</w:t>
      </w:r>
    </w:p>
    <w:p w14:paraId="1D505A6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самолетному оборудованию</w:t>
      </w:r>
      <w:r w:rsidRPr="00DB5D0D">
        <w:rPr>
          <w:rStyle w:val="16"/>
          <w:rFonts w:ascii="Times New Roman" w:hAnsi="Times New Roman" w:cs="Times New Roman"/>
          <w:color w:val="000000" w:themeColor="text1"/>
          <w:spacing w:val="0"/>
        </w:rPr>
        <w:t xml:space="preserve"> Н.К.Э.П.</w:t>
      </w:r>
    </w:p>
    <w:p w14:paraId="2EA82111"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т. БОГАТЫРЕВ НКЭП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1465"/>
        <w:gridCol w:w="1465"/>
        <w:gridCol w:w="1465"/>
        <w:gridCol w:w="1465"/>
      </w:tblGrid>
      <w:tr w:rsidR="007D5DF8" w:rsidRPr="00DB5D0D" w14:paraId="5A302C16" w14:textId="77777777" w:rsidTr="00E543D0">
        <w:tc>
          <w:tcPr>
            <w:tcW w:w="5353" w:type="dxa"/>
            <w:tcBorders>
              <w:top w:val="single" w:sz="12" w:space="0" w:color="auto"/>
            </w:tcBorders>
          </w:tcPr>
          <w:p w14:paraId="03095D4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Наименование</w:t>
            </w:r>
          </w:p>
        </w:tc>
        <w:tc>
          <w:tcPr>
            <w:tcW w:w="1465" w:type="dxa"/>
            <w:tcBorders>
              <w:top w:val="single" w:sz="12" w:space="0" w:color="auto"/>
            </w:tcBorders>
          </w:tcPr>
          <w:p w14:paraId="194B0C1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Потреб. До 1.Х</w:t>
            </w:r>
          </w:p>
        </w:tc>
        <w:tc>
          <w:tcPr>
            <w:tcW w:w="1465" w:type="dxa"/>
            <w:tcBorders>
              <w:top w:val="single" w:sz="12" w:space="0" w:color="auto"/>
            </w:tcBorders>
          </w:tcPr>
          <w:p w14:paraId="6F1B656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Выполн. До 1.УШ</w:t>
            </w:r>
          </w:p>
        </w:tc>
        <w:tc>
          <w:tcPr>
            <w:tcW w:w="1465" w:type="dxa"/>
            <w:tcBorders>
              <w:top w:val="single" w:sz="12" w:space="0" w:color="auto"/>
            </w:tcBorders>
          </w:tcPr>
          <w:p w14:paraId="090F421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Выполн. На 10 авг.</w:t>
            </w:r>
          </w:p>
        </w:tc>
        <w:tc>
          <w:tcPr>
            <w:tcW w:w="1465" w:type="dxa"/>
            <w:tcBorders>
              <w:top w:val="single" w:sz="12" w:space="0" w:color="auto"/>
            </w:tcBorders>
          </w:tcPr>
          <w:p w14:paraId="2966720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Итого выполн.</w:t>
            </w:r>
          </w:p>
        </w:tc>
      </w:tr>
      <w:tr w:rsidR="007D5DF8" w:rsidRPr="00DB5D0D" w14:paraId="5BA96747" w14:textId="77777777" w:rsidTr="00E543D0">
        <w:tc>
          <w:tcPr>
            <w:tcW w:w="5353" w:type="dxa"/>
          </w:tcPr>
          <w:p w14:paraId="051829C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заводу "Электрик" (т. Огурцов)</w:t>
            </w:r>
          </w:p>
        </w:tc>
        <w:tc>
          <w:tcPr>
            <w:tcW w:w="1465" w:type="dxa"/>
          </w:tcPr>
          <w:p w14:paraId="0B076C5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36D4368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063C824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5A5DCDB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5C3561C4" w14:textId="77777777" w:rsidTr="00E543D0">
        <w:tc>
          <w:tcPr>
            <w:tcW w:w="5353" w:type="dxa"/>
          </w:tcPr>
          <w:p w14:paraId="0CEBF66C"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Американск. Выключ. 15 амп.</w:t>
            </w:r>
          </w:p>
        </w:tc>
        <w:tc>
          <w:tcPr>
            <w:tcW w:w="1465" w:type="dxa"/>
          </w:tcPr>
          <w:p w14:paraId="535948BA"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90.000</w:t>
            </w:r>
          </w:p>
        </w:tc>
        <w:tc>
          <w:tcPr>
            <w:tcW w:w="1465" w:type="dxa"/>
          </w:tcPr>
          <w:p w14:paraId="2347E9F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54.780</w:t>
            </w:r>
          </w:p>
        </w:tc>
        <w:tc>
          <w:tcPr>
            <w:tcW w:w="1465" w:type="dxa"/>
          </w:tcPr>
          <w:p w14:paraId="18E6FC1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706134D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54.780</w:t>
            </w:r>
          </w:p>
        </w:tc>
      </w:tr>
      <w:tr w:rsidR="007D5DF8" w:rsidRPr="00DB5D0D" w14:paraId="2C479AB8" w14:textId="77777777" w:rsidTr="00E543D0">
        <w:tc>
          <w:tcPr>
            <w:tcW w:w="5353" w:type="dxa"/>
          </w:tcPr>
          <w:p w14:paraId="06F47CA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35 амп.</w:t>
            </w:r>
          </w:p>
        </w:tc>
        <w:tc>
          <w:tcPr>
            <w:tcW w:w="1465" w:type="dxa"/>
          </w:tcPr>
          <w:p w14:paraId="6C5E4A4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18.166</w:t>
            </w:r>
          </w:p>
        </w:tc>
        <w:tc>
          <w:tcPr>
            <w:tcW w:w="1465" w:type="dxa"/>
          </w:tcPr>
          <w:p w14:paraId="7854C0E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10.475</w:t>
            </w:r>
          </w:p>
        </w:tc>
        <w:tc>
          <w:tcPr>
            <w:tcW w:w="1465" w:type="dxa"/>
          </w:tcPr>
          <w:p w14:paraId="6678B3BB"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3F94031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10.475</w:t>
            </w:r>
          </w:p>
        </w:tc>
      </w:tr>
      <w:tr w:rsidR="007D5DF8" w:rsidRPr="00DB5D0D" w14:paraId="11B4F47A" w14:textId="77777777" w:rsidTr="00E543D0">
        <w:tc>
          <w:tcPr>
            <w:tcW w:w="5353" w:type="dxa"/>
          </w:tcPr>
          <w:p w14:paraId="52074701"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переключ. 35 амп.</w:t>
            </w:r>
          </w:p>
        </w:tc>
        <w:tc>
          <w:tcPr>
            <w:tcW w:w="1465" w:type="dxa"/>
          </w:tcPr>
          <w:p w14:paraId="7C3BDA1C"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15.000</w:t>
            </w:r>
          </w:p>
        </w:tc>
        <w:tc>
          <w:tcPr>
            <w:tcW w:w="1465" w:type="dxa"/>
          </w:tcPr>
          <w:p w14:paraId="1F2B61D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10.030</w:t>
            </w:r>
          </w:p>
        </w:tc>
        <w:tc>
          <w:tcPr>
            <w:tcW w:w="1465" w:type="dxa"/>
          </w:tcPr>
          <w:p w14:paraId="5E54CD0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764A0BD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10.030</w:t>
            </w:r>
          </w:p>
        </w:tc>
      </w:tr>
      <w:tr w:rsidR="007D5DF8" w:rsidRPr="00DB5D0D" w14:paraId="3F995817" w14:textId="77777777" w:rsidTr="00E543D0">
        <w:tc>
          <w:tcPr>
            <w:tcW w:w="5353" w:type="dxa"/>
          </w:tcPr>
          <w:p w14:paraId="661396C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15 амп.</w:t>
            </w:r>
          </w:p>
        </w:tc>
        <w:tc>
          <w:tcPr>
            <w:tcW w:w="1465" w:type="dxa"/>
          </w:tcPr>
          <w:p w14:paraId="188D364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10.500</w:t>
            </w:r>
          </w:p>
        </w:tc>
        <w:tc>
          <w:tcPr>
            <w:tcW w:w="1465" w:type="dxa"/>
          </w:tcPr>
          <w:p w14:paraId="7C68FD2A"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FrankRuehl"/>
                <w:rFonts w:ascii="Times New Roman" w:hAnsi="Times New Roman" w:cs="Times New Roman"/>
                <w:color w:val="000000" w:themeColor="text1"/>
                <w:sz w:val="16"/>
                <w:szCs w:val="16"/>
              </w:rPr>
              <w:t>8.660</w:t>
            </w:r>
          </w:p>
        </w:tc>
        <w:tc>
          <w:tcPr>
            <w:tcW w:w="1465" w:type="dxa"/>
          </w:tcPr>
          <w:p w14:paraId="62C5224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3FBFE3F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FrankRuehl"/>
                <w:rFonts w:ascii="Times New Roman" w:hAnsi="Times New Roman" w:cs="Times New Roman"/>
                <w:color w:val="000000" w:themeColor="text1"/>
                <w:sz w:val="16"/>
                <w:szCs w:val="16"/>
              </w:rPr>
              <w:t>8.660</w:t>
            </w:r>
          </w:p>
        </w:tc>
      </w:tr>
      <w:tr w:rsidR="007D5DF8" w:rsidRPr="00DB5D0D" w14:paraId="572C31C3" w14:textId="77777777" w:rsidTr="00E543D0">
        <w:tc>
          <w:tcPr>
            <w:tcW w:w="5353" w:type="dxa"/>
          </w:tcPr>
          <w:p w14:paraId="78D550A1"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Патрон Сван-Миньон.</w:t>
            </w:r>
          </w:p>
        </w:tc>
        <w:tc>
          <w:tcPr>
            <w:tcW w:w="1465" w:type="dxa"/>
          </w:tcPr>
          <w:p w14:paraId="2A832E5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39.166</w:t>
            </w:r>
          </w:p>
        </w:tc>
        <w:tc>
          <w:tcPr>
            <w:tcW w:w="1465" w:type="dxa"/>
          </w:tcPr>
          <w:p w14:paraId="0596ABFC"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27.025</w:t>
            </w:r>
          </w:p>
        </w:tc>
        <w:tc>
          <w:tcPr>
            <w:tcW w:w="1465" w:type="dxa"/>
          </w:tcPr>
          <w:p w14:paraId="0050A23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306CC0C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27.025</w:t>
            </w:r>
          </w:p>
        </w:tc>
      </w:tr>
      <w:tr w:rsidR="007D5DF8" w:rsidRPr="00DB5D0D" w14:paraId="513CAD48" w14:textId="77777777" w:rsidTr="00E543D0">
        <w:tc>
          <w:tcPr>
            <w:tcW w:w="5353" w:type="dxa"/>
          </w:tcPr>
          <w:p w14:paraId="557DF92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lastRenderedPageBreak/>
              <w:t>Аварийн. Рубильник 45К</w:t>
            </w:r>
          </w:p>
        </w:tc>
        <w:tc>
          <w:tcPr>
            <w:tcW w:w="1465" w:type="dxa"/>
          </w:tcPr>
          <w:p w14:paraId="5CCC3BE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2.958</w:t>
            </w:r>
          </w:p>
        </w:tc>
        <w:tc>
          <w:tcPr>
            <w:tcW w:w="1465" w:type="dxa"/>
          </w:tcPr>
          <w:p w14:paraId="2223455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2.658</w:t>
            </w:r>
          </w:p>
        </w:tc>
        <w:tc>
          <w:tcPr>
            <w:tcW w:w="1465" w:type="dxa"/>
          </w:tcPr>
          <w:p w14:paraId="3E270EF1"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7B74F73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2.658</w:t>
            </w:r>
          </w:p>
        </w:tc>
      </w:tr>
      <w:tr w:rsidR="007D5DF8" w:rsidRPr="00DB5D0D" w14:paraId="1658B743" w14:textId="77777777" w:rsidTr="00E543D0">
        <w:tc>
          <w:tcPr>
            <w:tcW w:w="5353" w:type="dxa"/>
          </w:tcPr>
          <w:p w14:paraId="1FD074E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82К</w:t>
            </w:r>
          </w:p>
        </w:tc>
        <w:tc>
          <w:tcPr>
            <w:tcW w:w="1465" w:type="dxa"/>
          </w:tcPr>
          <w:p w14:paraId="1B21A24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50</w:t>
            </w:r>
          </w:p>
        </w:tc>
        <w:tc>
          <w:tcPr>
            <w:tcW w:w="1465" w:type="dxa"/>
          </w:tcPr>
          <w:p w14:paraId="745B47E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6CE20EA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375A180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r>
      <w:tr w:rsidR="007D5DF8" w:rsidRPr="00DB5D0D" w14:paraId="5B0032F7" w14:textId="77777777" w:rsidTr="00E543D0">
        <w:tc>
          <w:tcPr>
            <w:tcW w:w="5353" w:type="dxa"/>
          </w:tcPr>
          <w:p w14:paraId="647B3C5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(выполнение других заказов и латунь с карболитом)</w:t>
            </w:r>
          </w:p>
        </w:tc>
        <w:tc>
          <w:tcPr>
            <w:tcW w:w="1465" w:type="dxa"/>
          </w:tcPr>
          <w:p w14:paraId="66C6958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6B62E6D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4C3E593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0EF152B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1603D765" w14:textId="77777777" w:rsidTr="00E543D0">
        <w:tc>
          <w:tcPr>
            <w:tcW w:w="5353" w:type="dxa"/>
          </w:tcPr>
          <w:p w14:paraId="31B015C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заводу "Электросвет"</w:t>
            </w:r>
          </w:p>
        </w:tc>
        <w:tc>
          <w:tcPr>
            <w:tcW w:w="1465" w:type="dxa"/>
          </w:tcPr>
          <w:p w14:paraId="4B41652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26D1DFBC"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5C80F7FA"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5AB6130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19F87BBC" w14:textId="77777777" w:rsidTr="00E543D0">
        <w:tc>
          <w:tcPr>
            <w:tcW w:w="5353" w:type="dxa"/>
          </w:tcPr>
          <w:p w14:paraId="2C6B02DA"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Бортовые огни БС-35</w:t>
            </w:r>
          </w:p>
        </w:tc>
        <w:tc>
          <w:tcPr>
            <w:tcW w:w="1465" w:type="dxa"/>
          </w:tcPr>
          <w:p w14:paraId="205931C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5.430</w:t>
            </w:r>
          </w:p>
        </w:tc>
        <w:tc>
          <w:tcPr>
            <w:tcW w:w="1465" w:type="dxa"/>
          </w:tcPr>
          <w:p w14:paraId="18D744D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pt"/>
                <w:rFonts w:ascii="Times New Roman" w:hAnsi="Times New Roman" w:cs="Times New Roman"/>
                <w:color w:val="000000" w:themeColor="text1"/>
                <w:spacing w:val="0"/>
                <w:sz w:val="16"/>
                <w:szCs w:val="16"/>
              </w:rPr>
              <w:t>5.969</w:t>
            </w:r>
          </w:p>
        </w:tc>
        <w:tc>
          <w:tcPr>
            <w:tcW w:w="1465" w:type="dxa"/>
          </w:tcPr>
          <w:p w14:paraId="1578794C"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49D20AE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pt"/>
                <w:rFonts w:ascii="Times New Roman" w:hAnsi="Times New Roman" w:cs="Times New Roman"/>
                <w:color w:val="000000" w:themeColor="text1"/>
                <w:spacing w:val="0"/>
                <w:sz w:val="16"/>
                <w:szCs w:val="16"/>
              </w:rPr>
              <w:t>5.969</w:t>
            </w:r>
          </w:p>
        </w:tc>
      </w:tr>
      <w:tr w:rsidR="007D5DF8" w:rsidRPr="00DB5D0D" w14:paraId="19EB2672" w14:textId="77777777" w:rsidTr="00E543D0">
        <w:tc>
          <w:tcPr>
            <w:tcW w:w="5353" w:type="dxa"/>
          </w:tcPr>
          <w:p w14:paraId="6CAFA9E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АБ-37</w:t>
            </w:r>
          </w:p>
        </w:tc>
        <w:tc>
          <w:tcPr>
            <w:tcW w:w="1465" w:type="dxa"/>
          </w:tcPr>
          <w:p w14:paraId="2A15A4CA"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3.660</w:t>
            </w:r>
          </w:p>
        </w:tc>
        <w:tc>
          <w:tcPr>
            <w:tcW w:w="1465" w:type="dxa"/>
          </w:tcPr>
          <w:p w14:paraId="1B5F90C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996</w:t>
            </w:r>
          </w:p>
        </w:tc>
        <w:tc>
          <w:tcPr>
            <w:tcW w:w="1465" w:type="dxa"/>
          </w:tcPr>
          <w:p w14:paraId="3C411ED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294A13E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996</w:t>
            </w:r>
          </w:p>
        </w:tc>
      </w:tr>
      <w:tr w:rsidR="007D5DF8" w:rsidRPr="00DB5D0D" w14:paraId="4520A50A" w14:textId="77777777" w:rsidTr="00E543D0">
        <w:tc>
          <w:tcPr>
            <w:tcW w:w="5353" w:type="dxa"/>
          </w:tcPr>
          <w:p w14:paraId="6D2E917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АБ-40</w:t>
            </w:r>
          </w:p>
        </w:tc>
        <w:tc>
          <w:tcPr>
            <w:tcW w:w="1465" w:type="dxa"/>
          </w:tcPr>
          <w:p w14:paraId="2E9083D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500</w:t>
            </w:r>
          </w:p>
        </w:tc>
        <w:tc>
          <w:tcPr>
            <w:tcW w:w="1465" w:type="dxa"/>
          </w:tcPr>
          <w:p w14:paraId="791D91E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7E737F31"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2FE37C3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r>
      <w:tr w:rsidR="007D5DF8" w:rsidRPr="00DB5D0D" w14:paraId="501E2269" w14:textId="77777777" w:rsidTr="00E543D0">
        <w:tc>
          <w:tcPr>
            <w:tcW w:w="5353" w:type="dxa"/>
          </w:tcPr>
          <w:p w14:paraId="10685BC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Хвостовые огни ХС-35</w:t>
            </w:r>
          </w:p>
        </w:tc>
        <w:tc>
          <w:tcPr>
            <w:tcW w:w="1465" w:type="dxa"/>
          </w:tcPr>
          <w:p w14:paraId="0E95D7C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13.200</w:t>
            </w:r>
          </w:p>
        </w:tc>
        <w:tc>
          <w:tcPr>
            <w:tcW w:w="1465" w:type="dxa"/>
          </w:tcPr>
          <w:p w14:paraId="2582E79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6.853</w:t>
            </w:r>
          </w:p>
        </w:tc>
        <w:tc>
          <w:tcPr>
            <w:tcW w:w="1465" w:type="dxa"/>
          </w:tcPr>
          <w:p w14:paraId="29FC96C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5A3220B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6.853</w:t>
            </w:r>
          </w:p>
        </w:tc>
      </w:tr>
      <w:tr w:rsidR="007D5DF8" w:rsidRPr="00DB5D0D" w14:paraId="617D2220" w14:textId="77777777" w:rsidTr="00E543D0">
        <w:tc>
          <w:tcPr>
            <w:tcW w:w="5353" w:type="dxa"/>
          </w:tcPr>
          <w:p w14:paraId="2F1B01B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ХС-39</w:t>
            </w:r>
          </w:p>
        </w:tc>
        <w:tc>
          <w:tcPr>
            <w:tcW w:w="1465" w:type="dxa"/>
          </w:tcPr>
          <w:p w14:paraId="3A1EA99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455C0DD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778B0B9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2C4801E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r>
      <w:tr w:rsidR="007D5DF8" w:rsidRPr="00DB5D0D" w14:paraId="5D86FEF7" w14:textId="77777777" w:rsidTr="00E543D0">
        <w:tc>
          <w:tcPr>
            <w:tcW w:w="5353" w:type="dxa"/>
          </w:tcPr>
          <w:p w14:paraId="18931C7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Реостаты РЛ-24</w:t>
            </w:r>
          </w:p>
        </w:tc>
        <w:tc>
          <w:tcPr>
            <w:tcW w:w="1465" w:type="dxa"/>
          </w:tcPr>
          <w:p w14:paraId="5EB7B7DA"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12.595</w:t>
            </w:r>
          </w:p>
        </w:tc>
        <w:tc>
          <w:tcPr>
            <w:tcW w:w="1465" w:type="dxa"/>
          </w:tcPr>
          <w:p w14:paraId="49150FF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11.533</w:t>
            </w:r>
          </w:p>
        </w:tc>
        <w:tc>
          <w:tcPr>
            <w:tcW w:w="1465" w:type="dxa"/>
          </w:tcPr>
          <w:p w14:paraId="48136F6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29</w:t>
            </w:r>
          </w:p>
        </w:tc>
        <w:tc>
          <w:tcPr>
            <w:tcW w:w="1465" w:type="dxa"/>
          </w:tcPr>
          <w:p w14:paraId="2CA553A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11.562</w:t>
            </w:r>
          </w:p>
        </w:tc>
      </w:tr>
      <w:tr w:rsidR="007D5DF8" w:rsidRPr="00DB5D0D" w14:paraId="0FF885FD" w14:textId="77777777" w:rsidTr="00E543D0">
        <w:tc>
          <w:tcPr>
            <w:tcW w:w="5353" w:type="dxa"/>
          </w:tcPr>
          <w:p w14:paraId="1EF026A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РЛ-23</w:t>
            </w:r>
          </w:p>
        </w:tc>
        <w:tc>
          <w:tcPr>
            <w:tcW w:w="1465" w:type="dxa"/>
          </w:tcPr>
          <w:p w14:paraId="7E07446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4.510</w:t>
            </w:r>
          </w:p>
        </w:tc>
        <w:tc>
          <w:tcPr>
            <w:tcW w:w="1465" w:type="dxa"/>
          </w:tcPr>
          <w:p w14:paraId="77D83A0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120</w:t>
            </w:r>
          </w:p>
        </w:tc>
        <w:tc>
          <w:tcPr>
            <w:tcW w:w="1465" w:type="dxa"/>
          </w:tcPr>
          <w:p w14:paraId="3D36D5EA"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7BB954D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120</w:t>
            </w:r>
          </w:p>
        </w:tc>
      </w:tr>
      <w:tr w:rsidR="007D5DF8" w:rsidRPr="00DB5D0D" w14:paraId="1C30F1CB" w14:textId="77777777" w:rsidTr="00E543D0">
        <w:tc>
          <w:tcPr>
            <w:tcW w:w="5353" w:type="dxa"/>
          </w:tcPr>
          <w:p w14:paraId="4C38F24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Блок защиты БЗ-30</w:t>
            </w:r>
          </w:p>
        </w:tc>
        <w:tc>
          <w:tcPr>
            <w:tcW w:w="1465" w:type="dxa"/>
          </w:tcPr>
          <w:p w14:paraId="3FB396E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55.750</w:t>
            </w:r>
          </w:p>
        </w:tc>
        <w:tc>
          <w:tcPr>
            <w:tcW w:w="1465" w:type="dxa"/>
          </w:tcPr>
          <w:p w14:paraId="67B151EB"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34.645</w:t>
            </w:r>
          </w:p>
        </w:tc>
        <w:tc>
          <w:tcPr>
            <w:tcW w:w="1465" w:type="dxa"/>
          </w:tcPr>
          <w:p w14:paraId="18A0861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614481B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34.645</w:t>
            </w:r>
          </w:p>
        </w:tc>
      </w:tr>
      <w:tr w:rsidR="007D5DF8" w:rsidRPr="00DB5D0D" w14:paraId="2C9E5F0D" w14:textId="77777777" w:rsidTr="00E543D0">
        <w:tc>
          <w:tcPr>
            <w:tcW w:w="5353" w:type="dxa"/>
          </w:tcPr>
          <w:p w14:paraId="1CB8C7F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БЗ-20</w:t>
            </w:r>
          </w:p>
        </w:tc>
        <w:tc>
          <w:tcPr>
            <w:tcW w:w="1465" w:type="dxa"/>
          </w:tcPr>
          <w:p w14:paraId="77DB688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35.575</w:t>
            </w:r>
          </w:p>
        </w:tc>
        <w:tc>
          <w:tcPr>
            <w:tcW w:w="1465" w:type="dxa"/>
          </w:tcPr>
          <w:p w14:paraId="3745E62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15.722</w:t>
            </w:r>
          </w:p>
        </w:tc>
        <w:tc>
          <w:tcPr>
            <w:tcW w:w="1465" w:type="dxa"/>
          </w:tcPr>
          <w:p w14:paraId="0F9C0BD1"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342</w:t>
            </w:r>
          </w:p>
        </w:tc>
        <w:tc>
          <w:tcPr>
            <w:tcW w:w="1465" w:type="dxa"/>
          </w:tcPr>
          <w:p w14:paraId="707DFEA1"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16.064</w:t>
            </w:r>
          </w:p>
        </w:tc>
      </w:tr>
      <w:tr w:rsidR="007D5DF8" w:rsidRPr="00DB5D0D" w14:paraId="4D1813A7" w14:textId="77777777" w:rsidTr="00E543D0">
        <w:tc>
          <w:tcPr>
            <w:tcW w:w="5353" w:type="dxa"/>
          </w:tcPr>
          <w:p w14:paraId="52B1333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Лампы сигнальные ОСЛ-1</w:t>
            </w:r>
          </w:p>
        </w:tc>
        <w:tc>
          <w:tcPr>
            <w:tcW w:w="1465" w:type="dxa"/>
          </w:tcPr>
          <w:p w14:paraId="730789D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76.000</w:t>
            </w:r>
          </w:p>
        </w:tc>
        <w:tc>
          <w:tcPr>
            <w:tcW w:w="1465" w:type="dxa"/>
          </w:tcPr>
          <w:p w14:paraId="0340FA4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43.124</w:t>
            </w:r>
          </w:p>
        </w:tc>
        <w:tc>
          <w:tcPr>
            <w:tcW w:w="1465" w:type="dxa"/>
          </w:tcPr>
          <w:p w14:paraId="6ECDDCD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939</w:t>
            </w:r>
          </w:p>
        </w:tc>
        <w:tc>
          <w:tcPr>
            <w:tcW w:w="1465" w:type="dxa"/>
          </w:tcPr>
          <w:p w14:paraId="6A9E11A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44.063</w:t>
            </w:r>
          </w:p>
        </w:tc>
      </w:tr>
      <w:tr w:rsidR="007D5DF8" w:rsidRPr="00DB5D0D" w14:paraId="4758668D" w14:textId="77777777" w:rsidTr="00E543D0">
        <w:tc>
          <w:tcPr>
            <w:tcW w:w="5353" w:type="dxa"/>
          </w:tcPr>
          <w:p w14:paraId="2FB6BB4C"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ОСЛ-39</w:t>
            </w:r>
          </w:p>
        </w:tc>
        <w:tc>
          <w:tcPr>
            <w:tcW w:w="1465" w:type="dxa"/>
          </w:tcPr>
          <w:p w14:paraId="103C0CFB"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13.450</w:t>
            </w:r>
          </w:p>
        </w:tc>
        <w:tc>
          <w:tcPr>
            <w:tcW w:w="1465" w:type="dxa"/>
          </w:tcPr>
          <w:p w14:paraId="6ACABFC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2.204</w:t>
            </w:r>
          </w:p>
        </w:tc>
        <w:tc>
          <w:tcPr>
            <w:tcW w:w="1465" w:type="dxa"/>
          </w:tcPr>
          <w:p w14:paraId="7F2BA01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47A95CC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2.204</w:t>
            </w:r>
          </w:p>
        </w:tc>
      </w:tr>
      <w:tr w:rsidR="007D5DF8" w:rsidRPr="00DB5D0D" w14:paraId="32B11581" w14:textId="77777777" w:rsidTr="00E543D0">
        <w:tc>
          <w:tcPr>
            <w:tcW w:w="5353" w:type="dxa"/>
          </w:tcPr>
          <w:p w14:paraId="2563148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Плафоны П-33</w:t>
            </w:r>
          </w:p>
        </w:tc>
        <w:tc>
          <w:tcPr>
            <w:tcW w:w="1465" w:type="dxa"/>
          </w:tcPr>
          <w:p w14:paraId="651748B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9.790</w:t>
            </w:r>
          </w:p>
        </w:tc>
        <w:tc>
          <w:tcPr>
            <w:tcW w:w="1465" w:type="dxa"/>
          </w:tcPr>
          <w:p w14:paraId="494CC3B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3.602</w:t>
            </w:r>
          </w:p>
        </w:tc>
        <w:tc>
          <w:tcPr>
            <w:tcW w:w="1465" w:type="dxa"/>
          </w:tcPr>
          <w:p w14:paraId="20FCD7F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154</w:t>
            </w:r>
          </w:p>
        </w:tc>
        <w:tc>
          <w:tcPr>
            <w:tcW w:w="1465" w:type="dxa"/>
          </w:tcPr>
          <w:p w14:paraId="1EF4DC3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3.756</w:t>
            </w:r>
          </w:p>
        </w:tc>
      </w:tr>
      <w:tr w:rsidR="007D5DF8" w:rsidRPr="00DB5D0D" w14:paraId="3D722C5B" w14:textId="77777777" w:rsidTr="00E543D0">
        <w:tc>
          <w:tcPr>
            <w:tcW w:w="5353" w:type="dxa"/>
          </w:tcPr>
          <w:p w14:paraId="4E92C27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ПЭ-39</w:t>
            </w:r>
          </w:p>
        </w:tc>
        <w:tc>
          <w:tcPr>
            <w:tcW w:w="1465" w:type="dxa"/>
          </w:tcPr>
          <w:p w14:paraId="6F3A34F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270E4E8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6AE8763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730C645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r>
      <w:tr w:rsidR="007D5DF8" w:rsidRPr="00DB5D0D" w14:paraId="3FA83E6D" w14:textId="77777777" w:rsidTr="00E543D0">
        <w:tc>
          <w:tcPr>
            <w:tcW w:w="5353" w:type="dxa"/>
          </w:tcPr>
          <w:p w14:paraId="601C754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Лампы створч. КЛС-39</w:t>
            </w:r>
          </w:p>
        </w:tc>
        <w:tc>
          <w:tcPr>
            <w:tcW w:w="1465" w:type="dxa"/>
          </w:tcPr>
          <w:p w14:paraId="3ECCE76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30.570</w:t>
            </w:r>
          </w:p>
        </w:tc>
        <w:tc>
          <w:tcPr>
            <w:tcW w:w="1465" w:type="dxa"/>
          </w:tcPr>
          <w:p w14:paraId="55D76CB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12.135</w:t>
            </w:r>
          </w:p>
        </w:tc>
        <w:tc>
          <w:tcPr>
            <w:tcW w:w="1465" w:type="dxa"/>
          </w:tcPr>
          <w:p w14:paraId="44723E5C"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638</w:t>
            </w:r>
          </w:p>
        </w:tc>
        <w:tc>
          <w:tcPr>
            <w:tcW w:w="1465" w:type="dxa"/>
          </w:tcPr>
          <w:p w14:paraId="6DCF2AC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12.773</w:t>
            </w:r>
          </w:p>
        </w:tc>
      </w:tr>
      <w:tr w:rsidR="007D5DF8" w:rsidRPr="00DB5D0D" w14:paraId="1430452E" w14:textId="77777777" w:rsidTr="00E543D0">
        <w:tc>
          <w:tcPr>
            <w:tcW w:w="5353" w:type="dxa"/>
          </w:tcPr>
          <w:p w14:paraId="346FAF7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(латунь, бронза)</w:t>
            </w:r>
          </w:p>
        </w:tc>
        <w:tc>
          <w:tcPr>
            <w:tcW w:w="1465" w:type="dxa"/>
          </w:tcPr>
          <w:p w14:paraId="3BAA65B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130C9A9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6592369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3544319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2562F329" w14:textId="77777777" w:rsidTr="00E543D0">
        <w:tc>
          <w:tcPr>
            <w:tcW w:w="5353" w:type="dxa"/>
          </w:tcPr>
          <w:p w14:paraId="1ADAB3D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заводу № 197 - т. Добров</w:t>
            </w:r>
          </w:p>
        </w:tc>
        <w:tc>
          <w:tcPr>
            <w:tcW w:w="1465" w:type="dxa"/>
          </w:tcPr>
          <w:p w14:paraId="533195B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304A900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3784865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7222354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25A0BC1B" w14:textId="77777777" w:rsidTr="00E543D0">
        <w:tc>
          <w:tcPr>
            <w:tcW w:w="5353" w:type="dxa"/>
            <w:tcBorders>
              <w:bottom w:val="single" w:sz="12" w:space="0" w:color="auto"/>
            </w:tcBorders>
          </w:tcPr>
          <w:p w14:paraId="601723D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Переговорные устройства СПУ-3</w:t>
            </w:r>
          </w:p>
        </w:tc>
        <w:tc>
          <w:tcPr>
            <w:tcW w:w="1465" w:type="dxa"/>
            <w:tcBorders>
              <w:bottom w:val="single" w:sz="12" w:space="0" w:color="auto"/>
            </w:tcBorders>
          </w:tcPr>
          <w:p w14:paraId="72C7C96C"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4.093</w:t>
            </w:r>
          </w:p>
        </w:tc>
        <w:tc>
          <w:tcPr>
            <w:tcW w:w="1465" w:type="dxa"/>
            <w:tcBorders>
              <w:bottom w:val="single" w:sz="12" w:space="0" w:color="auto"/>
            </w:tcBorders>
          </w:tcPr>
          <w:p w14:paraId="758722E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1.704</w:t>
            </w:r>
          </w:p>
        </w:tc>
        <w:tc>
          <w:tcPr>
            <w:tcW w:w="1465" w:type="dxa"/>
            <w:tcBorders>
              <w:bottom w:val="single" w:sz="12" w:space="0" w:color="auto"/>
            </w:tcBorders>
          </w:tcPr>
          <w:p w14:paraId="5C52DCB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Borders>
              <w:bottom w:val="single" w:sz="12" w:space="0" w:color="auto"/>
            </w:tcBorders>
          </w:tcPr>
          <w:p w14:paraId="71E97E5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1.704</w:t>
            </w:r>
          </w:p>
        </w:tc>
      </w:tr>
    </w:tbl>
    <w:p w14:paraId="225D0BE3" w14:textId="77777777" w:rsidR="003C7E8B" w:rsidRPr="00DB5D0D" w:rsidRDefault="003C7E8B" w:rsidP="00DB5D0D">
      <w:pPr>
        <w:pStyle w:val="47"/>
        <w:shd w:val="clear" w:color="auto" w:fill="auto"/>
        <w:spacing w:line="240" w:lineRule="auto"/>
        <w:ind w:firstLine="0"/>
        <w:jc w:val="both"/>
        <w:rPr>
          <w:rStyle w:val="16"/>
          <w:rFonts w:ascii="Times New Roman" w:hAnsi="Times New Roman" w:cs="Times New Roman"/>
          <w:color w:val="000000" w:themeColor="text1"/>
          <w:spacing w:val="0"/>
        </w:rPr>
      </w:pPr>
      <w:r w:rsidRPr="00DB5D0D">
        <w:rPr>
          <w:rStyle w:val="16"/>
          <w:rFonts w:ascii="Times New Roman" w:hAnsi="Times New Roman" w:cs="Times New Roman"/>
          <w:color w:val="000000" w:themeColor="text1"/>
          <w:spacing w:val="0"/>
        </w:rPr>
        <w:t>(10493)</w:t>
      </w:r>
    </w:p>
    <w:p w14:paraId="669DC028" w14:textId="77777777" w:rsidR="003C7E8B" w:rsidRPr="00DB5D0D" w:rsidRDefault="003C7E8B" w:rsidP="00DB5D0D">
      <w:pPr>
        <w:pStyle w:val="27"/>
        <w:shd w:val="clear" w:color="auto" w:fill="auto"/>
        <w:spacing w:after="0" w:line="240" w:lineRule="auto"/>
        <w:ind w:firstLine="0"/>
        <w:rPr>
          <w:rStyle w:val="3pt"/>
          <w:rFonts w:ascii="Times New Roman" w:cs="Times New Roman"/>
          <w:color w:val="000000" w:themeColor="text1"/>
          <w:spacing w:val="0"/>
          <w:sz w:val="16"/>
          <w:szCs w:val="16"/>
        </w:rPr>
      </w:pPr>
      <w:r w:rsidRPr="00DB5D0D">
        <w:rPr>
          <w:rStyle w:val="3pt"/>
          <w:rFonts w:ascii="Times New Roman" w:cs="Times New Roman"/>
          <w:color w:val="000000" w:themeColor="text1"/>
          <w:spacing w:val="0"/>
          <w:sz w:val="16"/>
          <w:szCs w:val="16"/>
        </w:rPr>
        <w:t>ДЕФИЦИТКА</w:t>
      </w:r>
    </w:p>
    <w:p w14:paraId="4CE19D5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 самолетному оборудований Н.К.О.М.</w:t>
      </w:r>
    </w:p>
    <w:p w14:paraId="065CFDA7" w14:textId="77777777" w:rsidR="003C7E8B" w:rsidRPr="00DB5D0D" w:rsidRDefault="003C7E8B" w:rsidP="00DB5D0D">
      <w:pPr>
        <w:pStyle w:val="27"/>
        <w:shd w:val="clear" w:color="auto" w:fill="auto"/>
        <w:spacing w:after="0" w:line="240" w:lineRule="auto"/>
        <w:ind w:firstLine="0"/>
        <w:rPr>
          <w:rStyle w:val="16"/>
          <w:rFonts w:ascii="Times New Roman" w:cs="Times New Roman"/>
          <w:color w:val="000000" w:themeColor="text1"/>
          <w:spacing w:val="0"/>
        </w:rPr>
      </w:pPr>
      <w:r w:rsidRPr="00DB5D0D">
        <w:rPr>
          <w:rStyle w:val="16"/>
          <w:rFonts w:ascii="Times New Roman" w:cs="Times New Roman"/>
          <w:color w:val="000000" w:themeColor="text1"/>
          <w:spacing w:val="0"/>
        </w:rPr>
        <w:t>Нар. Ком. т. ПАРШИН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1465"/>
        <w:gridCol w:w="1465"/>
        <w:gridCol w:w="1465"/>
        <w:gridCol w:w="1465"/>
      </w:tblGrid>
      <w:tr w:rsidR="007D5DF8" w:rsidRPr="00DB5D0D" w14:paraId="75480883" w14:textId="77777777" w:rsidTr="00E543D0">
        <w:tc>
          <w:tcPr>
            <w:tcW w:w="5353" w:type="dxa"/>
            <w:tcBorders>
              <w:top w:val="single" w:sz="12" w:space="0" w:color="auto"/>
            </w:tcBorders>
          </w:tcPr>
          <w:p w14:paraId="387B9F4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Наименование</w:t>
            </w:r>
          </w:p>
        </w:tc>
        <w:tc>
          <w:tcPr>
            <w:tcW w:w="1465" w:type="dxa"/>
            <w:tcBorders>
              <w:top w:val="single" w:sz="12" w:space="0" w:color="auto"/>
            </w:tcBorders>
          </w:tcPr>
          <w:p w14:paraId="79991AD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Потреб. До 1.Х</w:t>
            </w:r>
          </w:p>
        </w:tc>
        <w:tc>
          <w:tcPr>
            <w:tcW w:w="1465" w:type="dxa"/>
            <w:tcBorders>
              <w:top w:val="single" w:sz="12" w:space="0" w:color="auto"/>
            </w:tcBorders>
          </w:tcPr>
          <w:p w14:paraId="01A7739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Выполн. До 1.УШ</w:t>
            </w:r>
          </w:p>
        </w:tc>
        <w:tc>
          <w:tcPr>
            <w:tcW w:w="1465" w:type="dxa"/>
            <w:tcBorders>
              <w:top w:val="single" w:sz="12" w:space="0" w:color="auto"/>
            </w:tcBorders>
          </w:tcPr>
          <w:p w14:paraId="100B08DB"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Выполн. На 10 авг.</w:t>
            </w:r>
          </w:p>
        </w:tc>
        <w:tc>
          <w:tcPr>
            <w:tcW w:w="1465" w:type="dxa"/>
            <w:tcBorders>
              <w:top w:val="single" w:sz="12" w:space="0" w:color="auto"/>
            </w:tcBorders>
          </w:tcPr>
          <w:p w14:paraId="125F839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Итого выполн.</w:t>
            </w:r>
          </w:p>
        </w:tc>
      </w:tr>
      <w:tr w:rsidR="007D5DF8" w:rsidRPr="00DB5D0D" w14:paraId="5599DB64" w14:textId="77777777" w:rsidTr="00E543D0">
        <w:tc>
          <w:tcPr>
            <w:tcW w:w="5353" w:type="dxa"/>
          </w:tcPr>
          <w:p w14:paraId="677B8B2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xml:space="preserve">По заводу "Манометр” </w:t>
            </w:r>
            <w:r w:rsidRPr="00DB5D0D">
              <w:rPr>
                <w:rStyle w:val="16"/>
                <w:rFonts w:ascii="Times New Roman" w:hAnsi="Times New Roman" w:cs="Times New Roman"/>
                <w:color w:val="000000" w:themeColor="text1"/>
                <w:spacing w:val="0"/>
              </w:rPr>
              <w:t>- т. КИСЕЛЕВ</w:t>
            </w:r>
          </w:p>
        </w:tc>
        <w:tc>
          <w:tcPr>
            <w:tcW w:w="1465" w:type="dxa"/>
          </w:tcPr>
          <w:p w14:paraId="09973011"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081BB32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29B5854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33C632DB"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21B5CB91" w14:textId="77777777" w:rsidTr="00E543D0">
        <w:tc>
          <w:tcPr>
            <w:tcW w:w="5353" w:type="dxa"/>
          </w:tcPr>
          <w:p w14:paraId="0A82716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Манометр сжат.воздуха</w:t>
            </w:r>
          </w:p>
        </w:tc>
        <w:tc>
          <w:tcPr>
            <w:tcW w:w="1465" w:type="dxa"/>
          </w:tcPr>
          <w:p w14:paraId="49447F3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63D126D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69CADE7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26C654F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267F5A27" w14:textId="77777777" w:rsidTr="00E543D0">
        <w:tc>
          <w:tcPr>
            <w:tcW w:w="5353" w:type="dxa"/>
          </w:tcPr>
          <w:p w14:paraId="564F329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250 кг/см</w:t>
            </w:r>
            <w:r w:rsidRPr="00DB5D0D">
              <w:rPr>
                <w:rFonts w:ascii="Times New Roman" w:hAnsi="Times New Roman" w:cs="Times New Roman"/>
                <w:color w:val="000000" w:themeColor="text1"/>
                <w:sz w:val="16"/>
                <w:szCs w:val="16"/>
                <w:vertAlign w:val="superscript"/>
              </w:rPr>
              <w:t>4</w:t>
            </w:r>
          </w:p>
        </w:tc>
        <w:tc>
          <w:tcPr>
            <w:tcW w:w="1465" w:type="dxa"/>
          </w:tcPr>
          <w:p w14:paraId="3755D96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5.125</w:t>
            </w:r>
          </w:p>
        </w:tc>
        <w:tc>
          <w:tcPr>
            <w:tcW w:w="1465" w:type="dxa"/>
          </w:tcPr>
          <w:p w14:paraId="7381FD8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3.750</w:t>
            </w:r>
          </w:p>
        </w:tc>
        <w:tc>
          <w:tcPr>
            <w:tcW w:w="1465" w:type="dxa"/>
          </w:tcPr>
          <w:p w14:paraId="5CE7742A"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3660468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3.750</w:t>
            </w:r>
          </w:p>
        </w:tc>
      </w:tr>
      <w:tr w:rsidR="007D5DF8" w:rsidRPr="00DB5D0D" w14:paraId="22688C7B" w14:textId="77777777" w:rsidTr="00E543D0">
        <w:tc>
          <w:tcPr>
            <w:tcW w:w="5353" w:type="dxa"/>
          </w:tcPr>
          <w:p w14:paraId="7EB2563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60 кг/см</w:t>
            </w:r>
            <w:r w:rsidRPr="00DB5D0D">
              <w:rPr>
                <w:rFonts w:ascii="Times New Roman" w:hAnsi="Times New Roman" w:cs="Times New Roman"/>
                <w:color w:val="000000" w:themeColor="text1"/>
                <w:sz w:val="16"/>
                <w:szCs w:val="16"/>
                <w:vertAlign w:val="superscript"/>
              </w:rPr>
              <w:t>2</w:t>
            </w:r>
          </w:p>
        </w:tc>
        <w:tc>
          <w:tcPr>
            <w:tcW w:w="1465" w:type="dxa"/>
          </w:tcPr>
          <w:p w14:paraId="1AA28A3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4.500</w:t>
            </w:r>
          </w:p>
        </w:tc>
        <w:tc>
          <w:tcPr>
            <w:tcW w:w="1465" w:type="dxa"/>
          </w:tcPr>
          <w:p w14:paraId="689C70B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3.170</w:t>
            </w:r>
          </w:p>
        </w:tc>
        <w:tc>
          <w:tcPr>
            <w:tcW w:w="1465" w:type="dxa"/>
          </w:tcPr>
          <w:p w14:paraId="549CDA1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2066CA3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3.170</w:t>
            </w:r>
          </w:p>
        </w:tc>
      </w:tr>
      <w:tr w:rsidR="007D5DF8" w:rsidRPr="00DB5D0D" w14:paraId="444A7437" w14:textId="77777777" w:rsidTr="00E543D0">
        <w:tc>
          <w:tcPr>
            <w:tcW w:w="5353" w:type="dxa"/>
          </w:tcPr>
          <w:p w14:paraId="1FE1FEC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 кислорода, не поставляются заводу им. МАТВЕЕВА, в течение Июня-Июля и Августа /трубка с кольчугинского завода/</w:t>
            </w:r>
          </w:p>
        </w:tc>
        <w:tc>
          <w:tcPr>
            <w:tcW w:w="1465" w:type="dxa"/>
          </w:tcPr>
          <w:p w14:paraId="3BF73B8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16B3AF3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0654BC0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7BBE081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4DF2BB08" w14:textId="77777777" w:rsidTr="00E543D0">
        <w:tc>
          <w:tcPr>
            <w:tcW w:w="5353" w:type="dxa"/>
          </w:tcPr>
          <w:p w14:paraId="77592BA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По заводу им. МАТВЕЕВА - тов. БУЛЫШКИН</w:t>
            </w:r>
          </w:p>
        </w:tc>
        <w:tc>
          <w:tcPr>
            <w:tcW w:w="1465" w:type="dxa"/>
          </w:tcPr>
          <w:p w14:paraId="32EBD4E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1C53368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3F5F8AA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4F56BF3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70BBF591" w14:textId="77777777" w:rsidTr="00E543D0">
        <w:tc>
          <w:tcPr>
            <w:tcW w:w="5353" w:type="dxa"/>
          </w:tcPr>
          <w:p w14:paraId="73FE0D20" w14:textId="77777777" w:rsidR="003C7E8B" w:rsidRPr="00DB5D0D" w:rsidRDefault="003C7E8B" w:rsidP="00DB5D0D">
            <w:pPr>
              <w:pStyle w:val="47"/>
              <w:shd w:val="clear" w:color="auto" w:fill="auto"/>
              <w:spacing w:line="240" w:lineRule="auto"/>
              <w:ind w:firstLine="0"/>
              <w:jc w:val="both"/>
              <w:rPr>
                <w:rStyle w:val="16"/>
                <w:rFonts w:ascii="Times New Roman" w:hAnsi="Times New Roman" w:cs="Times New Roman"/>
                <w:color w:val="000000" w:themeColor="text1"/>
                <w:spacing w:val="0"/>
              </w:rPr>
            </w:pPr>
            <w:r w:rsidRPr="00DB5D0D">
              <w:rPr>
                <w:rFonts w:ascii="Times New Roman" w:hAnsi="Times New Roman" w:cs="Times New Roman"/>
                <w:color w:val="000000" w:themeColor="text1"/>
                <w:sz w:val="16"/>
                <w:szCs w:val="16"/>
              </w:rPr>
              <w:t>Кислородн. прибор КПА-3 бис</w:t>
            </w:r>
          </w:p>
        </w:tc>
        <w:tc>
          <w:tcPr>
            <w:tcW w:w="1465" w:type="dxa"/>
          </w:tcPr>
          <w:p w14:paraId="744A820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17.150</w:t>
            </w:r>
          </w:p>
        </w:tc>
        <w:tc>
          <w:tcPr>
            <w:tcW w:w="1465" w:type="dxa"/>
          </w:tcPr>
          <w:p w14:paraId="696C2F9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8.240</w:t>
            </w:r>
          </w:p>
        </w:tc>
        <w:tc>
          <w:tcPr>
            <w:tcW w:w="1465" w:type="dxa"/>
          </w:tcPr>
          <w:p w14:paraId="766BCD3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540</w:t>
            </w:r>
          </w:p>
        </w:tc>
        <w:tc>
          <w:tcPr>
            <w:tcW w:w="1465" w:type="dxa"/>
          </w:tcPr>
          <w:p w14:paraId="20AB8FE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8.780</w:t>
            </w:r>
          </w:p>
        </w:tc>
      </w:tr>
      <w:tr w:rsidR="007D5DF8" w:rsidRPr="00DB5D0D" w14:paraId="7189228F" w14:textId="77777777" w:rsidTr="00E543D0">
        <w:tc>
          <w:tcPr>
            <w:tcW w:w="5353" w:type="dxa"/>
          </w:tcPr>
          <w:p w14:paraId="75C8B069" w14:textId="77777777" w:rsidR="003C7E8B" w:rsidRPr="00DB5D0D" w:rsidRDefault="003C7E8B" w:rsidP="00DB5D0D">
            <w:pPr>
              <w:pStyle w:val="47"/>
              <w:shd w:val="clear" w:color="auto" w:fill="auto"/>
              <w:spacing w:line="240" w:lineRule="auto"/>
              <w:ind w:firstLine="0"/>
              <w:jc w:val="both"/>
              <w:rPr>
                <w:rStyle w:val="16"/>
                <w:rFonts w:ascii="Times New Roman" w:hAnsi="Times New Roman" w:cs="Times New Roman"/>
                <w:color w:val="000000" w:themeColor="text1"/>
                <w:spacing w:val="0"/>
              </w:rPr>
            </w:pPr>
            <w:r w:rsidRPr="00DB5D0D">
              <w:rPr>
                <w:rFonts w:ascii="Times New Roman" w:hAnsi="Times New Roman" w:cs="Times New Roman"/>
                <w:color w:val="000000" w:themeColor="text1"/>
                <w:sz w:val="16"/>
                <w:szCs w:val="16"/>
              </w:rPr>
              <w:t>/неувязки производства и манометры с завода "Манометр", индикатора потока с завода № 213/</w:t>
            </w:r>
          </w:p>
        </w:tc>
        <w:tc>
          <w:tcPr>
            <w:tcW w:w="1465" w:type="dxa"/>
          </w:tcPr>
          <w:p w14:paraId="2F24AC5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2CF4A41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404773A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102B8B3B"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209DFA22" w14:textId="77777777" w:rsidTr="00E543D0">
        <w:tc>
          <w:tcPr>
            <w:tcW w:w="5353" w:type="dxa"/>
          </w:tcPr>
          <w:p w14:paraId="34FFB6C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Редуктор Т-2</w:t>
            </w:r>
          </w:p>
        </w:tc>
        <w:tc>
          <w:tcPr>
            <w:tcW w:w="1465" w:type="dxa"/>
          </w:tcPr>
          <w:p w14:paraId="51136FEB"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2.400</w:t>
            </w:r>
          </w:p>
        </w:tc>
        <w:tc>
          <w:tcPr>
            <w:tcW w:w="1465" w:type="dxa"/>
          </w:tcPr>
          <w:p w14:paraId="71B967BB"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1.600</w:t>
            </w:r>
          </w:p>
        </w:tc>
        <w:tc>
          <w:tcPr>
            <w:tcW w:w="1465" w:type="dxa"/>
          </w:tcPr>
          <w:p w14:paraId="70CD573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10978A3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1.600</w:t>
            </w:r>
          </w:p>
        </w:tc>
      </w:tr>
      <w:tr w:rsidR="007D5DF8" w:rsidRPr="00DB5D0D" w14:paraId="21754A78" w14:textId="77777777" w:rsidTr="00E543D0">
        <w:tc>
          <w:tcPr>
            <w:tcW w:w="5353" w:type="dxa"/>
          </w:tcPr>
          <w:p w14:paraId="6791ACE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/Манометры с завода "Манометр"/</w:t>
            </w:r>
          </w:p>
        </w:tc>
        <w:tc>
          <w:tcPr>
            <w:tcW w:w="1465" w:type="dxa"/>
          </w:tcPr>
          <w:p w14:paraId="5AA265B1"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2324205A"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3BF9E97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7D7F8DF1"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14257AAC" w14:textId="77777777" w:rsidTr="00E543D0">
        <w:tc>
          <w:tcPr>
            <w:tcW w:w="5353" w:type="dxa"/>
          </w:tcPr>
          <w:p w14:paraId="2BB6911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заводу</w:t>
            </w:r>
            <w:r w:rsidRPr="00DB5D0D">
              <w:rPr>
                <w:rStyle w:val="10pt"/>
                <w:rFonts w:ascii="Times New Roman" w:hAnsi="Times New Roman" w:cs="Times New Roman"/>
                <w:color w:val="000000" w:themeColor="text1"/>
                <w:spacing w:val="0"/>
                <w:sz w:val="16"/>
                <w:szCs w:val="16"/>
              </w:rPr>
              <w:t xml:space="preserve"> Б</w:t>
            </w:r>
            <w:r w:rsidRPr="00DB5D0D">
              <w:rPr>
                <w:rStyle w:val="aff9"/>
                <w:rFonts w:ascii="Times New Roman" w:hAnsi="Times New Roman" w:cs="Times New Roman"/>
                <w:b w:val="0"/>
                <w:bCs w:val="0"/>
                <w:color w:val="000000" w:themeColor="text1"/>
                <w:spacing w:val="0"/>
                <w:sz w:val="16"/>
                <w:szCs w:val="16"/>
              </w:rPr>
              <w:t>рянский</w:t>
            </w:r>
            <w:r w:rsidRPr="00DB5D0D">
              <w:rPr>
                <w:rStyle w:val="16"/>
                <w:rFonts w:ascii="Times New Roman" w:hAnsi="Times New Roman" w:cs="Times New Roman"/>
                <w:color w:val="000000" w:themeColor="text1"/>
                <w:spacing w:val="0"/>
              </w:rPr>
              <w:t xml:space="preserve"> ППО - тов</w:t>
            </w:r>
            <w:r w:rsidRPr="00DB5D0D">
              <w:rPr>
                <w:rStyle w:val="10pt"/>
                <w:rFonts w:ascii="Times New Roman" w:hAnsi="Times New Roman" w:cs="Times New Roman"/>
                <w:color w:val="000000" w:themeColor="text1"/>
                <w:spacing w:val="0"/>
                <w:sz w:val="16"/>
                <w:szCs w:val="16"/>
              </w:rPr>
              <w:t xml:space="preserve"> ЛАНЕВСКИЙ.</w:t>
            </w:r>
          </w:p>
        </w:tc>
        <w:tc>
          <w:tcPr>
            <w:tcW w:w="1465" w:type="dxa"/>
          </w:tcPr>
          <w:p w14:paraId="15E8313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07B4BE0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3BEA20F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1FFEFC6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7F150106" w14:textId="77777777" w:rsidTr="00E543D0">
        <w:tc>
          <w:tcPr>
            <w:tcW w:w="5353" w:type="dxa"/>
          </w:tcPr>
          <w:p w14:paraId="7CDFD30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Звеньевые валики</w:t>
            </w:r>
          </w:p>
        </w:tc>
        <w:tc>
          <w:tcPr>
            <w:tcW w:w="1465" w:type="dxa"/>
          </w:tcPr>
          <w:p w14:paraId="31AEA1E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6.025</w:t>
            </w:r>
          </w:p>
        </w:tc>
        <w:tc>
          <w:tcPr>
            <w:tcW w:w="1465" w:type="dxa"/>
          </w:tcPr>
          <w:p w14:paraId="138530B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2.540</w:t>
            </w:r>
          </w:p>
        </w:tc>
        <w:tc>
          <w:tcPr>
            <w:tcW w:w="1465" w:type="dxa"/>
          </w:tcPr>
          <w:p w14:paraId="77ABDA7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w:t>
            </w:r>
          </w:p>
        </w:tc>
        <w:tc>
          <w:tcPr>
            <w:tcW w:w="1465" w:type="dxa"/>
          </w:tcPr>
          <w:p w14:paraId="16E8E13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2.540</w:t>
            </w:r>
          </w:p>
        </w:tc>
      </w:tr>
      <w:tr w:rsidR="007D5DF8" w:rsidRPr="00DB5D0D" w14:paraId="14B62BC2" w14:textId="77777777" w:rsidTr="00E543D0">
        <w:tc>
          <w:tcPr>
            <w:tcW w:w="5353" w:type="dxa"/>
            <w:tcBorders>
              <w:bottom w:val="single" w:sz="12" w:space="0" w:color="auto"/>
            </w:tcBorders>
          </w:tcPr>
          <w:p w14:paraId="63D541A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/Латунь, инструменты, неквалифицированная бригада/</w:t>
            </w:r>
          </w:p>
        </w:tc>
        <w:tc>
          <w:tcPr>
            <w:tcW w:w="1465" w:type="dxa"/>
            <w:tcBorders>
              <w:bottom w:val="single" w:sz="12" w:space="0" w:color="auto"/>
            </w:tcBorders>
          </w:tcPr>
          <w:p w14:paraId="0744BB4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Borders>
              <w:bottom w:val="single" w:sz="12" w:space="0" w:color="auto"/>
            </w:tcBorders>
          </w:tcPr>
          <w:p w14:paraId="72D04B5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Borders>
              <w:bottom w:val="single" w:sz="12" w:space="0" w:color="auto"/>
            </w:tcBorders>
          </w:tcPr>
          <w:p w14:paraId="3BE6E7DA"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Borders>
              <w:bottom w:val="single" w:sz="12" w:space="0" w:color="auto"/>
            </w:tcBorders>
          </w:tcPr>
          <w:p w14:paraId="2459664C"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bl>
    <w:p w14:paraId="2BB96328" w14:textId="77777777" w:rsidR="003C7E8B" w:rsidRPr="00DB5D0D" w:rsidRDefault="003C7E8B" w:rsidP="00DB5D0D">
      <w:pPr>
        <w:pStyle w:val="27"/>
        <w:shd w:val="clear" w:color="auto" w:fill="auto"/>
        <w:spacing w:after="0" w:line="240" w:lineRule="auto"/>
        <w:ind w:firstLine="0"/>
        <w:rPr>
          <w:rStyle w:val="16"/>
          <w:rFonts w:ascii="Times New Roman" w:cs="Times New Roman"/>
          <w:color w:val="000000" w:themeColor="text1"/>
          <w:spacing w:val="0"/>
        </w:rPr>
      </w:pPr>
      <w:r w:rsidRPr="00DB5D0D">
        <w:rPr>
          <w:rStyle w:val="16"/>
          <w:rFonts w:ascii="Times New Roman" w:cs="Times New Roman"/>
          <w:color w:val="000000" w:themeColor="text1"/>
          <w:spacing w:val="0"/>
        </w:rPr>
        <w:t>Нач. 6-го Отдела ПГУ НКАП Дымов (10493).</w:t>
      </w:r>
    </w:p>
    <w:p w14:paraId="021DB96C" w14:textId="77777777" w:rsidR="003C7E8B" w:rsidRPr="00DB5D0D" w:rsidRDefault="003C7E8B" w:rsidP="00DB5D0D">
      <w:pPr>
        <w:pStyle w:val="27"/>
        <w:shd w:val="clear" w:color="auto" w:fill="auto"/>
        <w:spacing w:after="0" w:line="240" w:lineRule="auto"/>
        <w:ind w:firstLine="0"/>
        <w:rPr>
          <w:rStyle w:val="4pt"/>
          <w:rFonts w:ascii="Times New Roman" w:hAnsi="Times New Roman" w:cs="Times New Roman"/>
          <w:color w:val="000000" w:themeColor="text1"/>
          <w:spacing w:val="0"/>
          <w:sz w:val="16"/>
          <w:szCs w:val="16"/>
          <w:u w:val="none"/>
        </w:rPr>
      </w:pPr>
      <w:r w:rsidRPr="00DB5D0D">
        <w:rPr>
          <w:rStyle w:val="4pt"/>
          <w:rFonts w:ascii="Times New Roman" w:hAnsi="Times New Roman" w:cs="Times New Roman"/>
          <w:color w:val="000000" w:themeColor="text1"/>
          <w:spacing w:val="0"/>
          <w:sz w:val="16"/>
          <w:szCs w:val="16"/>
          <w:u w:val="none"/>
        </w:rPr>
        <w:t>ДЕФИЦИТКА</w:t>
      </w:r>
    </w:p>
    <w:p w14:paraId="495F071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По самолетному оборудованию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1465"/>
        <w:gridCol w:w="1465"/>
        <w:gridCol w:w="1465"/>
        <w:gridCol w:w="1465"/>
      </w:tblGrid>
      <w:tr w:rsidR="007D5DF8" w:rsidRPr="00DB5D0D" w14:paraId="29D1DD03" w14:textId="77777777" w:rsidTr="00E543D0">
        <w:tc>
          <w:tcPr>
            <w:tcW w:w="5353" w:type="dxa"/>
            <w:tcBorders>
              <w:top w:val="single" w:sz="12" w:space="0" w:color="auto"/>
            </w:tcBorders>
          </w:tcPr>
          <w:p w14:paraId="5D9F4F8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Наименование</w:t>
            </w:r>
          </w:p>
        </w:tc>
        <w:tc>
          <w:tcPr>
            <w:tcW w:w="1465" w:type="dxa"/>
            <w:tcBorders>
              <w:top w:val="single" w:sz="12" w:space="0" w:color="auto"/>
            </w:tcBorders>
          </w:tcPr>
          <w:p w14:paraId="43B9CC0C"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Потреб. До 1.Х</w:t>
            </w:r>
          </w:p>
        </w:tc>
        <w:tc>
          <w:tcPr>
            <w:tcW w:w="1465" w:type="dxa"/>
            <w:tcBorders>
              <w:top w:val="single" w:sz="12" w:space="0" w:color="auto"/>
            </w:tcBorders>
          </w:tcPr>
          <w:p w14:paraId="49D5CD7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Выполн. До 1.УШ</w:t>
            </w:r>
          </w:p>
        </w:tc>
        <w:tc>
          <w:tcPr>
            <w:tcW w:w="1465" w:type="dxa"/>
            <w:tcBorders>
              <w:top w:val="single" w:sz="12" w:space="0" w:color="auto"/>
            </w:tcBorders>
          </w:tcPr>
          <w:p w14:paraId="2A371CC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Выполн. На 10 авг.</w:t>
            </w:r>
          </w:p>
        </w:tc>
        <w:tc>
          <w:tcPr>
            <w:tcW w:w="1465" w:type="dxa"/>
            <w:tcBorders>
              <w:top w:val="single" w:sz="12" w:space="0" w:color="auto"/>
            </w:tcBorders>
          </w:tcPr>
          <w:p w14:paraId="1F58B98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Итого выполн.</w:t>
            </w:r>
          </w:p>
        </w:tc>
      </w:tr>
      <w:tr w:rsidR="007D5DF8" w:rsidRPr="00DB5D0D" w14:paraId="03073EE5" w14:textId="77777777" w:rsidTr="00E543D0">
        <w:tc>
          <w:tcPr>
            <w:tcW w:w="5353" w:type="dxa"/>
          </w:tcPr>
          <w:p w14:paraId="731890A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Style w:val="16"/>
                <w:rFonts w:ascii="Times New Roman" w:hAnsi="Times New Roman" w:cs="Times New Roman"/>
                <w:color w:val="000000" w:themeColor="text1"/>
                <w:spacing w:val="0"/>
              </w:rPr>
              <w:t>По заводу № 20 - т. БОРИСОВ</w:t>
            </w:r>
          </w:p>
        </w:tc>
        <w:tc>
          <w:tcPr>
            <w:tcW w:w="1465" w:type="dxa"/>
          </w:tcPr>
          <w:p w14:paraId="1073663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3624066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1F162B0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c>
          <w:tcPr>
            <w:tcW w:w="1465" w:type="dxa"/>
          </w:tcPr>
          <w:p w14:paraId="307E942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0F34BACB" w14:textId="77777777" w:rsidTr="00E543D0">
        <w:tc>
          <w:tcPr>
            <w:tcW w:w="5353" w:type="dxa"/>
          </w:tcPr>
          <w:p w14:paraId="480481AD" w14:textId="77777777" w:rsidR="003C7E8B" w:rsidRPr="00DB5D0D" w:rsidRDefault="003C7E8B" w:rsidP="00DB5D0D">
            <w:pPr>
              <w:pStyle w:val="47"/>
              <w:shd w:val="clear" w:color="auto" w:fill="auto"/>
              <w:spacing w:line="240" w:lineRule="auto"/>
              <w:ind w:firstLine="0"/>
              <w:jc w:val="both"/>
              <w:rPr>
                <w:rStyle w:val="16"/>
                <w:rFonts w:ascii="Times New Roman" w:hAnsi="Times New Roman" w:cs="Times New Roman"/>
                <w:color w:val="000000" w:themeColor="text1"/>
                <w:spacing w:val="0"/>
              </w:rPr>
            </w:pPr>
            <w:r w:rsidRPr="00DB5D0D">
              <w:rPr>
                <w:rStyle w:val="16"/>
                <w:rFonts w:ascii="Times New Roman" w:hAnsi="Times New Roman" w:cs="Times New Roman"/>
                <w:color w:val="000000" w:themeColor="text1"/>
                <w:spacing w:val="0"/>
              </w:rPr>
              <w:t>Вукуумпомпа</w:t>
            </w:r>
          </w:p>
        </w:tc>
        <w:tc>
          <w:tcPr>
            <w:tcW w:w="1465" w:type="dxa"/>
          </w:tcPr>
          <w:p w14:paraId="6FEFA350"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4.630</w:t>
            </w:r>
          </w:p>
        </w:tc>
        <w:tc>
          <w:tcPr>
            <w:tcW w:w="1465" w:type="dxa"/>
          </w:tcPr>
          <w:p w14:paraId="57592042"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2.510</w:t>
            </w:r>
          </w:p>
        </w:tc>
        <w:tc>
          <w:tcPr>
            <w:tcW w:w="1465" w:type="dxa"/>
          </w:tcPr>
          <w:p w14:paraId="113768E8"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87</w:t>
            </w:r>
          </w:p>
        </w:tc>
        <w:tc>
          <w:tcPr>
            <w:tcW w:w="1465" w:type="dxa"/>
          </w:tcPr>
          <w:p w14:paraId="15C0597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2.657</w:t>
            </w:r>
          </w:p>
        </w:tc>
      </w:tr>
      <w:tr w:rsidR="007D5DF8" w:rsidRPr="00DB5D0D" w14:paraId="7EAF4725" w14:textId="77777777" w:rsidTr="00E543D0">
        <w:tc>
          <w:tcPr>
            <w:tcW w:w="5353" w:type="dxa"/>
          </w:tcPr>
          <w:p w14:paraId="74EEB6B0" w14:textId="77777777" w:rsidR="003C7E8B" w:rsidRPr="00DB5D0D" w:rsidRDefault="003C7E8B" w:rsidP="00DB5D0D">
            <w:pPr>
              <w:pStyle w:val="47"/>
              <w:shd w:val="clear" w:color="auto" w:fill="auto"/>
              <w:spacing w:line="240" w:lineRule="auto"/>
              <w:ind w:firstLine="0"/>
              <w:jc w:val="both"/>
              <w:rPr>
                <w:rStyle w:val="16"/>
                <w:rFonts w:ascii="Times New Roman" w:hAnsi="Times New Roman" w:cs="Times New Roman"/>
                <w:color w:val="000000" w:themeColor="text1"/>
                <w:spacing w:val="0"/>
              </w:rPr>
            </w:pPr>
            <w:r w:rsidRPr="00DB5D0D">
              <w:rPr>
                <w:rFonts w:ascii="Times New Roman" w:hAnsi="Times New Roman" w:cs="Times New Roman"/>
                <w:color w:val="000000" w:themeColor="text1"/>
                <w:sz w:val="16"/>
                <w:szCs w:val="16"/>
              </w:rPr>
              <w:t>Плохое литье/</w:t>
            </w:r>
          </w:p>
        </w:tc>
        <w:tc>
          <w:tcPr>
            <w:tcW w:w="1465" w:type="dxa"/>
          </w:tcPr>
          <w:p w14:paraId="04E37FF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26AFF9B9"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480BF86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0E44C11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475B2F98" w14:textId="77777777" w:rsidTr="00E543D0">
        <w:tc>
          <w:tcPr>
            <w:tcW w:w="5353" w:type="dxa"/>
          </w:tcPr>
          <w:p w14:paraId="2549497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заводу №</w:t>
            </w:r>
            <w:r w:rsidRPr="00DB5D0D">
              <w:rPr>
                <w:rStyle w:val="-1pt"/>
                <w:rFonts w:ascii="Times New Roman" w:hAnsi="Times New Roman" w:cs="Times New Roman"/>
                <w:color w:val="000000" w:themeColor="text1"/>
                <w:spacing w:val="0"/>
                <w:sz w:val="16"/>
                <w:szCs w:val="16"/>
              </w:rPr>
              <w:t>213 -</w:t>
            </w:r>
            <w:r w:rsidRPr="00DB5D0D">
              <w:rPr>
                <w:rStyle w:val="16"/>
                <w:rFonts w:ascii="Times New Roman" w:hAnsi="Times New Roman" w:cs="Times New Roman"/>
                <w:color w:val="000000" w:themeColor="text1"/>
                <w:spacing w:val="0"/>
              </w:rPr>
              <w:t xml:space="preserve"> тов. МИХАЙЛОВ</w:t>
            </w:r>
          </w:p>
        </w:tc>
        <w:tc>
          <w:tcPr>
            <w:tcW w:w="1465" w:type="dxa"/>
          </w:tcPr>
          <w:p w14:paraId="0793E074"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4F16788A"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2C1B1B0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26E8ADAB"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0AB1B95E" w14:textId="77777777" w:rsidTr="00E543D0">
        <w:tc>
          <w:tcPr>
            <w:tcW w:w="5353" w:type="dxa"/>
          </w:tcPr>
          <w:p w14:paraId="103DB61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Индикатор кислор. потока. Не поставляется заводу им. МАТВЕЕВА в тече</w:t>
            </w:r>
            <w:r w:rsidRPr="00DB5D0D">
              <w:rPr>
                <w:rFonts w:ascii="Times New Roman" w:hAnsi="Times New Roman" w:cs="Times New Roman"/>
                <w:color w:val="000000" w:themeColor="text1"/>
                <w:sz w:val="16"/>
                <w:szCs w:val="16"/>
              </w:rPr>
              <w:softHyphen/>
              <w:t>ние Июня, Июля и Августа.</w:t>
            </w:r>
          </w:p>
        </w:tc>
        <w:tc>
          <w:tcPr>
            <w:tcW w:w="1465" w:type="dxa"/>
          </w:tcPr>
          <w:p w14:paraId="2A7F11A2"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67D42AB2"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5176ED5E"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5A7D0EE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094E5A17" w14:textId="77777777" w:rsidTr="00E543D0">
        <w:tc>
          <w:tcPr>
            <w:tcW w:w="5353" w:type="dxa"/>
          </w:tcPr>
          <w:p w14:paraId="5F2111E1"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/Брак корпусов/</w:t>
            </w:r>
          </w:p>
        </w:tc>
        <w:tc>
          <w:tcPr>
            <w:tcW w:w="1465" w:type="dxa"/>
          </w:tcPr>
          <w:p w14:paraId="12B7D090"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30C8E66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263BB8D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5C2EC52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27ED42E3" w14:textId="77777777" w:rsidTr="00E543D0">
        <w:tc>
          <w:tcPr>
            <w:tcW w:w="5353" w:type="dxa"/>
          </w:tcPr>
          <w:p w14:paraId="1DE2CD9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2-х стрелочн. Указатель скорости</w:t>
            </w:r>
          </w:p>
        </w:tc>
        <w:tc>
          <w:tcPr>
            <w:tcW w:w="1465" w:type="dxa"/>
          </w:tcPr>
          <w:p w14:paraId="20F509C5"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900</w:t>
            </w:r>
          </w:p>
        </w:tc>
        <w:tc>
          <w:tcPr>
            <w:tcW w:w="1465" w:type="dxa"/>
          </w:tcPr>
          <w:p w14:paraId="7384991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492</w:t>
            </w:r>
          </w:p>
        </w:tc>
        <w:tc>
          <w:tcPr>
            <w:tcW w:w="1465" w:type="dxa"/>
          </w:tcPr>
          <w:p w14:paraId="40F1EEFB"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15</w:t>
            </w:r>
          </w:p>
        </w:tc>
        <w:tc>
          <w:tcPr>
            <w:tcW w:w="1465" w:type="dxa"/>
          </w:tcPr>
          <w:p w14:paraId="1C69F51E"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507</w:t>
            </w:r>
          </w:p>
        </w:tc>
      </w:tr>
      <w:tr w:rsidR="007D5DF8" w:rsidRPr="00DB5D0D" w14:paraId="02682C57" w14:textId="77777777" w:rsidTr="00E543D0">
        <w:tc>
          <w:tcPr>
            <w:tcW w:w="5353" w:type="dxa"/>
          </w:tcPr>
          <w:p w14:paraId="542BC0C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/врак деталей/</w:t>
            </w:r>
          </w:p>
        </w:tc>
        <w:tc>
          <w:tcPr>
            <w:tcW w:w="1465" w:type="dxa"/>
          </w:tcPr>
          <w:p w14:paraId="2D8F629E"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70C71672"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20B50575"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5B9F1EA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4DC19B4D" w14:textId="77777777" w:rsidTr="00E543D0">
        <w:tc>
          <w:tcPr>
            <w:tcW w:w="5353" w:type="dxa"/>
          </w:tcPr>
          <w:p w14:paraId="7179AB2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Авиагоримзонт пикирующий</w:t>
            </w:r>
          </w:p>
        </w:tc>
        <w:tc>
          <w:tcPr>
            <w:tcW w:w="1465" w:type="dxa"/>
          </w:tcPr>
          <w:p w14:paraId="63A7845B"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800</w:t>
            </w:r>
          </w:p>
        </w:tc>
        <w:tc>
          <w:tcPr>
            <w:tcW w:w="1465" w:type="dxa"/>
          </w:tcPr>
          <w:p w14:paraId="2C8D86C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312</w:t>
            </w:r>
          </w:p>
        </w:tc>
        <w:tc>
          <w:tcPr>
            <w:tcW w:w="1465" w:type="dxa"/>
          </w:tcPr>
          <w:p w14:paraId="4C78537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6</w:t>
            </w:r>
          </w:p>
        </w:tc>
        <w:tc>
          <w:tcPr>
            <w:tcW w:w="1465" w:type="dxa"/>
          </w:tcPr>
          <w:p w14:paraId="3F26C78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318</w:t>
            </w:r>
          </w:p>
        </w:tc>
      </w:tr>
      <w:tr w:rsidR="007D5DF8" w:rsidRPr="00DB5D0D" w14:paraId="0D4E3FCE" w14:textId="77777777" w:rsidTr="00E543D0">
        <w:tc>
          <w:tcPr>
            <w:tcW w:w="5353" w:type="dxa"/>
          </w:tcPr>
          <w:p w14:paraId="176FAC3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/Морозостойкость/</w:t>
            </w:r>
          </w:p>
        </w:tc>
        <w:tc>
          <w:tcPr>
            <w:tcW w:w="1465" w:type="dxa"/>
          </w:tcPr>
          <w:p w14:paraId="322EB29E"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44871BCF"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0E42A7D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2E2CF20A"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7A2E277E" w14:textId="77777777" w:rsidTr="00E543D0">
        <w:tc>
          <w:tcPr>
            <w:tcW w:w="5353" w:type="dxa"/>
          </w:tcPr>
          <w:p w14:paraId="0DF270F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Автопилот АВП-200</w:t>
            </w:r>
          </w:p>
        </w:tc>
        <w:tc>
          <w:tcPr>
            <w:tcW w:w="1465" w:type="dxa"/>
          </w:tcPr>
          <w:p w14:paraId="28E4973D"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45</w:t>
            </w:r>
          </w:p>
        </w:tc>
        <w:tc>
          <w:tcPr>
            <w:tcW w:w="1465" w:type="dxa"/>
          </w:tcPr>
          <w:p w14:paraId="648ABB0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23</w:t>
            </w:r>
          </w:p>
        </w:tc>
        <w:tc>
          <w:tcPr>
            <w:tcW w:w="1465" w:type="dxa"/>
          </w:tcPr>
          <w:p w14:paraId="3935DA6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w:t>
            </w:r>
          </w:p>
        </w:tc>
        <w:tc>
          <w:tcPr>
            <w:tcW w:w="1465" w:type="dxa"/>
          </w:tcPr>
          <w:p w14:paraId="6208799B"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22</w:t>
            </w:r>
          </w:p>
        </w:tc>
      </w:tr>
      <w:tr w:rsidR="007D5DF8" w:rsidRPr="00DB5D0D" w14:paraId="48F3A2E1" w14:textId="77777777" w:rsidTr="00E543D0">
        <w:tc>
          <w:tcPr>
            <w:tcW w:w="5353" w:type="dxa"/>
          </w:tcPr>
          <w:p w14:paraId="57ADF41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/Литье с завода № 219/</w:t>
            </w:r>
          </w:p>
        </w:tc>
        <w:tc>
          <w:tcPr>
            <w:tcW w:w="1465" w:type="dxa"/>
          </w:tcPr>
          <w:p w14:paraId="477A4F8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3A48DB5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1813330F"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339A7E7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0F788529" w14:textId="77777777" w:rsidTr="00E543D0">
        <w:tc>
          <w:tcPr>
            <w:tcW w:w="5353" w:type="dxa"/>
          </w:tcPr>
          <w:p w14:paraId="45BC7C4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Сигнализаторы перегрузки</w:t>
            </w:r>
          </w:p>
        </w:tc>
        <w:tc>
          <w:tcPr>
            <w:tcW w:w="1465" w:type="dxa"/>
          </w:tcPr>
          <w:p w14:paraId="6AF8E198"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900</w:t>
            </w:r>
          </w:p>
        </w:tc>
        <w:tc>
          <w:tcPr>
            <w:tcW w:w="1465" w:type="dxa"/>
          </w:tcPr>
          <w:p w14:paraId="68F385B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482</w:t>
            </w:r>
          </w:p>
        </w:tc>
        <w:tc>
          <w:tcPr>
            <w:tcW w:w="1465" w:type="dxa"/>
          </w:tcPr>
          <w:p w14:paraId="615CD2B5"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89</w:t>
            </w:r>
          </w:p>
        </w:tc>
        <w:tc>
          <w:tcPr>
            <w:tcW w:w="1465" w:type="dxa"/>
          </w:tcPr>
          <w:p w14:paraId="410C49D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571</w:t>
            </w:r>
          </w:p>
        </w:tc>
      </w:tr>
      <w:tr w:rsidR="007D5DF8" w:rsidRPr="00DB5D0D" w14:paraId="72E2B17D" w14:textId="77777777" w:rsidTr="00E543D0">
        <w:tc>
          <w:tcPr>
            <w:tcW w:w="5353" w:type="dxa"/>
          </w:tcPr>
          <w:p w14:paraId="1D992C25"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заводу № 214 т. Гоцеридзе</w:t>
            </w:r>
          </w:p>
        </w:tc>
        <w:tc>
          <w:tcPr>
            <w:tcW w:w="1465" w:type="dxa"/>
          </w:tcPr>
          <w:p w14:paraId="183F4E67"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4FAF796B"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19D1D9F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22A36EE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2CBBEAC3" w14:textId="77777777" w:rsidTr="00E543D0">
        <w:tc>
          <w:tcPr>
            <w:tcW w:w="5353" w:type="dxa"/>
          </w:tcPr>
          <w:p w14:paraId="7DC0083C"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Автопилоты АПГ-1</w:t>
            </w:r>
          </w:p>
        </w:tc>
        <w:tc>
          <w:tcPr>
            <w:tcW w:w="1465" w:type="dxa"/>
          </w:tcPr>
          <w:p w14:paraId="4B08E18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25</w:t>
            </w:r>
          </w:p>
        </w:tc>
        <w:tc>
          <w:tcPr>
            <w:tcW w:w="1465" w:type="dxa"/>
          </w:tcPr>
          <w:p w14:paraId="2EBFE782"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8</w:t>
            </w:r>
          </w:p>
        </w:tc>
        <w:tc>
          <w:tcPr>
            <w:tcW w:w="1465" w:type="dxa"/>
          </w:tcPr>
          <w:p w14:paraId="1321314F"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w:t>
            </w:r>
          </w:p>
        </w:tc>
        <w:tc>
          <w:tcPr>
            <w:tcW w:w="1465" w:type="dxa"/>
          </w:tcPr>
          <w:p w14:paraId="7B6D575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8</w:t>
            </w:r>
          </w:p>
        </w:tc>
      </w:tr>
      <w:tr w:rsidR="007D5DF8" w:rsidRPr="00DB5D0D" w14:paraId="196E90F2" w14:textId="77777777" w:rsidTr="00E543D0">
        <w:tc>
          <w:tcPr>
            <w:tcW w:w="5353" w:type="dxa"/>
          </w:tcPr>
          <w:p w14:paraId="402A0BF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/отсутствие литья с завода № 219/</w:t>
            </w:r>
          </w:p>
        </w:tc>
        <w:tc>
          <w:tcPr>
            <w:tcW w:w="1465" w:type="dxa"/>
          </w:tcPr>
          <w:p w14:paraId="281AB7E3"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240D442D"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2BFD3B7B"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2CDF9BF3"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646418B2" w14:textId="77777777" w:rsidTr="00E543D0">
        <w:tc>
          <w:tcPr>
            <w:tcW w:w="5353" w:type="dxa"/>
          </w:tcPr>
          <w:p w14:paraId="41BB5B52"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завожду № 218 т. Соколовский</w:t>
            </w:r>
          </w:p>
        </w:tc>
        <w:tc>
          <w:tcPr>
            <w:tcW w:w="1465" w:type="dxa"/>
          </w:tcPr>
          <w:p w14:paraId="4BAB3699"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025A754F"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6353167D"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05929B7F"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369B5895" w14:textId="77777777" w:rsidTr="00E543D0">
        <w:tc>
          <w:tcPr>
            <w:tcW w:w="5353" w:type="dxa"/>
          </w:tcPr>
          <w:p w14:paraId="6F146264"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Бензиномеры БЗ-09 или БЗ-07</w:t>
            </w:r>
          </w:p>
        </w:tc>
        <w:tc>
          <w:tcPr>
            <w:tcW w:w="1465" w:type="dxa"/>
          </w:tcPr>
          <w:p w14:paraId="7C0F8E9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2.050</w:t>
            </w:r>
          </w:p>
        </w:tc>
        <w:tc>
          <w:tcPr>
            <w:tcW w:w="1465" w:type="dxa"/>
          </w:tcPr>
          <w:p w14:paraId="7BDDFEDC"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1.261</w:t>
            </w:r>
          </w:p>
        </w:tc>
        <w:tc>
          <w:tcPr>
            <w:tcW w:w="1465" w:type="dxa"/>
          </w:tcPr>
          <w:p w14:paraId="0E872D32"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w:t>
            </w:r>
          </w:p>
        </w:tc>
        <w:tc>
          <w:tcPr>
            <w:tcW w:w="1465" w:type="dxa"/>
          </w:tcPr>
          <w:p w14:paraId="72DD809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1.261</w:t>
            </w:r>
          </w:p>
        </w:tc>
      </w:tr>
      <w:tr w:rsidR="007D5DF8" w:rsidRPr="00DB5D0D" w14:paraId="57C5EE6F" w14:textId="77777777" w:rsidTr="00E543D0">
        <w:tc>
          <w:tcPr>
            <w:tcW w:w="5353" w:type="dxa"/>
          </w:tcPr>
          <w:p w14:paraId="00A20E4B"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/брак литья/</w:t>
            </w:r>
          </w:p>
        </w:tc>
        <w:tc>
          <w:tcPr>
            <w:tcW w:w="1465" w:type="dxa"/>
          </w:tcPr>
          <w:p w14:paraId="640B15A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1849BF2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6036C4D5"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302A09C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21D22F02" w14:textId="77777777" w:rsidTr="00E543D0">
        <w:tc>
          <w:tcPr>
            <w:tcW w:w="5353" w:type="dxa"/>
          </w:tcPr>
          <w:p w14:paraId="5F58FBAD"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По заводу № 276 т. Зернов</w:t>
            </w:r>
          </w:p>
        </w:tc>
        <w:tc>
          <w:tcPr>
            <w:tcW w:w="1465" w:type="dxa"/>
          </w:tcPr>
          <w:p w14:paraId="73BC1681"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11B839F8"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6394902C"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Pr>
          <w:p w14:paraId="556BC0D9"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r w:rsidR="007D5DF8" w:rsidRPr="00DB5D0D" w14:paraId="014B68B8" w14:textId="77777777" w:rsidTr="00E543D0">
        <w:tc>
          <w:tcPr>
            <w:tcW w:w="5353" w:type="dxa"/>
          </w:tcPr>
          <w:p w14:paraId="176221F7"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газоанализаторы ГЗА-50</w:t>
            </w:r>
          </w:p>
        </w:tc>
        <w:tc>
          <w:tcPr>
            <w:tcW w:w="1465" w:type="dxa"/>
          </w:tcPr>
          <w:p w14:paraId="2ABDCA1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6.700</w:t>
            </w:r>
          </w:p>
        </w:tc>
        <w:tc>
          <w:tcPr>
            <w:tcW w:w="1465" w:type="dxa"/>
          </w:tcPr>
          <w:p w14:paraId="4DFE8129"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3.766</w:t>
            </w:r>
          </w:p>
        </w:tc>
        <w:tc>
          <w:tcPr>
            <w:tcW w:w="1465" w:type="dxa"/>
          </w:tcPr>
          <w:p w14:paraId="37ADF390"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156</w:t>
            </w:r>
          </w:p>
        </w:tc>
        <w:tc>
          <w:tcPr>
            <w:tcW w:w="1465" w:type="dxa"/>
          </w:tcPr>
          <w:p w14:paraId="2765A3D8"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3.924</w:t>
            </w:r>
          </w:p>
        </w:tc>
      </w:tr>
      <w:tr w:rsidR="007D5DF8" w:rsidRPr="00DB5D0D" w14:paraId="0825F865" w14:textId="77777777" w:rsidTr="00E543D0">
        <w:tc>
          <w:tcPr>
            <w:tcW w:w="5353" w:type="dxa"/>
            <w:tcBorders>
              <w:bottom w:val="single" w:sz="12" w:space="0" w:color="auto"/>
            </w:tcBorders>
          </w:tcPr>
          <w:p w14:paraId="44FD06C0"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/барретора завода № 211 НКЭП/</w:t>
            </w:r>
          </w:p>
        </w:tc>
        <w:tc>
          <w:tcPr>
            <w:tcW w:w="1465" w:type="dxa"/>
            <w:tcBorders>
              <w:bottom w:val="single" w:sz="12" w:space="0" w:color="auto"/>
            </w:tcBorders>
          </w:tcPr>
          <w:p w14:paraId="39F8DE8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Borders>
              <w:bottom w:val="single" w:sz="12" w:space="0" w:color="auto"/>
            </w:tcBorders>
          </w:tcPr>
          <w:p w14:paraId="1B7D99C4"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Borders>
              <w:bottom w:val="single" w:sz="12" w:space="0" w:color="auto"/>
            </w:tcBorders>
          </w:tcPr>
          <w:p w14:paraId="3C80BAF0"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tc>
        <w:tc>
          <w:tcPr>
            <w:tcW w:w="1465" w:type="dxa"/>
            <w:tcBorders>
              <w:bottom w:val="single" w:sz="12" w:space="0" w:color="auto"/>
            </w:tcBorders>
          </w:tcPr>
          <w:p w14:paraId="31904EA6" w14:textId="77777777" w:rsidR="003C7E8B" w:rsidRPr="00DB5D0D" w:rsidRDefault="003C7E8B" w:rsidP="00DB5D0D">
            <w:pPr>
              <w:pStyle w:val="47"/>
              <w:shd w:val="clear" w:color="auto" w:fill="auto"/>
              <w:spacing w:line="240" w:lineRule="auto"/>
              <w:ind w:firstLine="0"/>
              <w:jc w:val="both"/>
              <w:rPr>
                <w:rFonts w:ascii="Times New Roman" w:hAnsi="Times New Roman" w:cs="Times New Roman"/>
                <w:color w:val="000000" w:themeColor="text1"/>
                <w:sz w:val="16"/>
                <w:szCs w:val="16"/>
              </w:rPr>
            </w:pPr>
          </w:p>
        </w:tc>
      </w:tr>
    </w:tbl>
    <w:p w14:paraId="33B6F61C" w14:textId="77777777" w:rsidR="003C7E8B" w:rsidRPr="00DB5D0D" w:rsidRDefault="003C7E8B" w:rsidP="00DB5D0D">
      <w:pPr>
        <w:pStyle w:val="27"/>
        <w:shd w:val="clear" w:color="auto" w:fill="auto"/>
        <w:spacing w:after="0" w:line="240" w:lineRule="auto"/>
        <w:ind w:firstLine="0"/>
        <w:rPr>
          <w:rStyle w:val="16"/>
          <w:rFonts w:ascii="Times New Roman" w:cs="Times New Roman"/>
          <w:color w:val="000000" w:themeColor="text1"/>
          <w:spacing w:val="0"/>
        </w:rPr>
      </w:pPr>
      <w:r w:rsidRPr="00DB5D0D">
        <w:rPr>
          <w:rStyle w:val="16"/>
          <w:rFonts w:ascii="Times New Roman" w:cs="Times New Roman"/>
          <w:color w:val="000000" w:themeColor="text1"/>
          <w:spacing w:val="0"/>
        </w:rPr>
        <w:t>Нач. 6-го Отдела ПГУ НКАП Дымов (10493).</w:t>
      </w:r>
    </w:p>
    <w:p w14:paraId="0D0C6B96" w14:textId="77777777" w:rsidR="003C7E8B" w:rsidRPr="00DB5D0D" w:rsidRDefault="003C7E8B" w:rsidP="00DB5D0D">
      <w:pPr>
        <w:pStyle w:val="27"/>
        <w:shd w:val="clear" w:color="auto" w:fill="auto"/>
        <w:spacing w:after="0" w:line="240" w:lineRule="auto"/>
        <w:ind w:firstLine="0"/>
        <w:rPr>
          <w:rFonts w:ascii="Times New Roman" w:cs="Times New Roman"/>
          <w:color w:val="000000" w:themeColor="text1"/>
          <w:spacing w:val="0"/>
        </w:rPr>
      </w:pPr>
    </w:p>
    <w:p w14:paraId="3088240C"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августа в 1940 году образовано ОАО "Пермское агрегатное объединение "Инкар". Открытое акционерное общество «Пермское агрегатное объединение «Инкар», находящееся на Западном Урале, образовано в 1992 г. и является правопреемником Пермского агрегатного производственного объединения имени М.И.Калинина, ведущего свою историю с 1940 года. Начав с изготовления карбюраторов для авиационных поршневых двигателей, ОАО «ПАО «Инкар» в настоящее время является ведущим в России предприятием по производству систем топливно-регулирующей автоматики (ТРА) газотурбинных двигателей самолетов и вертолетов. Помимо изготовления агрегатов ТРА, ОАО «ПАО «Инкар» производит капитальный ремонт агрегатов. При этом, отремонтированным агрегатам даются полные сроки складского хранения и эксплуатации со 100%-ной гарантией качества и надежности. Новым направлением в деятельности предприятия становится производство комплектующих для наземных силовых установок, а также насосов для закачки воды в пласты для нефтедобывающей промышленности. ОАО «ПАО «Инкар» </w:t>
      </w:r>
      <w:r w:rsidRPr="00DB5D0D">
        <w:rPr>
          <w:rFonts w:ascii="Times New Roman" w:hAnsi="Times New Roman"/>
          <w:color w:val="000000" w:themeColor="text1"/>
          <w:sz w:val="16"/>
          <w:szCs w:val="16"/>
        </w:rPr>
        <w:lastRenderedPageBreak/>
        <w:t>располагает мощным производственным потенциалом, включающим в себя литейное, штамповочное, гальваническое и инструментальное производства, весь необходимый комплекс металлорежущего оборудования, прогрессивные методы контроля за качеством изделий, современный испытательный комплекс (14983).</w:t>
      </w:r>
    </w:p>
    <w:p w14:paraId="71DBAFEE"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13F939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 5-й инструментальный завод треста Оргавиапром НКАП был передан в систему НКАП согласно приказу НКАП № 424/с. До передачи данный завод находился в системе «Мосгорметпромсоюза» Всекопромсовета и именовался Артель «Дисковый фрез» (9374).</w:t>
      </w:r>
    </w:p>
    <w:p w14:paraId="5B2FBAF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24AA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году приказом по НКАП за № 424 инструментальный завод артели «Мосгорметпромсоюза», каковой существовал на позднее занимаемой заводом № 492 территории с 1928-30 гг., был передан в ведение НКАП треста «Оргавиапром», артельная форма была ликвидирована и завод получил наименование 3-й инструментальный завод треста «Оргавиапром».</w:t>
      </w:r>
    </w:p>
    <w:p w14:paraId="06B4FF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выпускал инструмент: напильники, ножовочные полотна, напильники и бортовой инструмент. В октябре 1941 года завод был эвакуирован в Тавду Свердловской области, где слился с 5-м инструментальным заводом ОАП НКАП, получил его наименование и на старую территорию в Москву больше не возвращался. В ноябре 1941 года на базе оборудования оставленного при эвакуации завода были начаты работы по изготовлению в помощь фронту оборонной продукции – ручных гранат и танковых ломов. К концу 1941 года, что возрождающееся предприятие было оформлено, как филиал завода № 478 (приказ НКАП от 17 декабря 1941 года).</w:t>
      </w:r>
    </w:p>
    <w:p w14:paraId="68C14C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по НКАП от 1 июня 1942 года за № 18 заводу было присвоено наименование «Завод № 3 Оргавиапрома НКАП».</w:t>
      </w:r>
    </w:p>
    <w:p w14:paraId="5A96A9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по НКАП от 1 июня 1944 года за № 377 завод был переименован в завод № 492.</w:t>
      </w:r>
    </w:p>
    <w:p w14:paraId="60EEE9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Поскольку завод № 492 организован лишь на территории ранее занимаемой 3-м инструментальным заводом и никакой организационной связи с этим заводом не имел, то официальной датой организации завода № 492 следует считать 17 декабря 1941 года. В 1951 году завод был реорганизован под выпуск пневматического инструмента.</w:t>
      </w:r>
    </w:p>
    <w:p w14:paraId="486EAC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от 2 сентября 1957 года за № 5 завод № 492 был передан из Управления авиапромышленности Мосгорсовнархоза в Управление межотраслевых организаций и производств с сохранением производства пневматического инструмента.</w:t>
      </w:r>
    </w:p>
    <w:p w14:paraId="58D6C7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 А. Терехин</w:t>
      </w:r>
    </w:p>
    <w:p w14:paraId="42AB56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Адрес: Москва, Большой Трехгорный пер., д. 3 (9859).</w:t>
      </w:r>
    </w:p>
    <w:p w14:paraId="422A5DB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E5AB2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 было письмо директору завода №1 от начальника НИПАВ ВВС полковника Шевченко: «14 августа 1940 г. Ваш рабочий тов. Чернышев доставил на НИ ПАВ две плоскости к самолету И-153 с РО на автомоби</w:t>
      </w:r>
      <w:r w:rsidRPr="00DB5D0D">
        <w:rPr>
          <w:rFonts w:ascii="Times New Roman" w:hAnsi="Times New Roman"/>
          <w:color w:val="000000" w:themeColor="text1"/>
          <w:sz w:val="16"/>
          <w:szCs w:val="16"/>
        </w:rPr>
        <w:softHyphen/>
        <w:t>ле в открытом виде. Плоскости находились на высоких козлах, так что были доступны для полного обозрения посторонних лиц от завода № 1 до НИПАВ».</w:t>
      </w:r>
    </w:p>
    <w:p w14:paraId="286DF5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D7288EE" w14:textId="77777777" w:rsidR="002E682E"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DFBD05A" w14:textId="77777777" w:rsidR="002E682E" w:rsidRPr="00DB5D0D" w:rsidRDefault="002E682E" w:rsidP="00DB5D0D">
      <w:pPr>
        <w:spacing w:after="0" w:line="240" w:lineRule="auto"/>
        <w:jc w:val="both"/>
        <w:rPr>
          <w:rFonts w:ascii="Times New Roman" w:hAnsi="Times New Roman"/>
          <w:iCs/>
          <w:color w:val="000000" w:themeColor="text1"/>
          <w:sz w:val="16"/>
          <w:szCs w:val="16"/>
        </w:rPr>
      </w:pPr>
    </w:p>
    <w:p w14:paraId="7CBF76E7"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14 августа 1940 вышло Постановление Комитета обороны при СНК СССР № 353сс "Об изготовлении полевых мин заграждения "ПМЗ-40" с приложением (22024).</w:t>
      </w:r>
    </w:p>
    <w:p w14:paraId="5841686A" w14:textId="77777777" w:rsidR="005E0A8B" w:rsidRPr="00DB5D0D" w:rsidRDefault="005E0A8B" w:rsidP="00DB5D0D">
      <w:pPr>
        <w:spacing w:after="0" w:line="240" w:lineRule="auto"/>
        <w:jc w:val="both"/>
        <w:rPr>
          <w:rFonts w:ascii="Times New Roman" w:hAnsi="Times New Roman"/>
          <w:color w:val="0070C0"/>
          <w:sz w:val="16"/>
          <w:szCs w:val="16"/>
        </w:rPr>
      </w:pPr>
    </w:p>
    <w:p w14:paraId="5074E7E2"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августа 1940 г. около полудня оба танка А-34 № 311-18-3 и А-34 № 311-11-3 с дизелем М-250 отправились в длительный пробег, который был завершен только во второй половине 16 августа. За время пробега дизель М-250 № 4 в танке А-34 № 311-11-3 проработал 27 часов, а дизель М-250 № 3 в танке А-34 № 311-18-3 – 30 часов. Весь следующий день оба танка проходили техническое обслуживание, в ходе которого на танке А-34 № 311-18-3 из-за разрушения резинового массива грузошины были заменены два опорных катка. </w:t>
      </w:r>
    </w:p>
    <w:p w14:paraId="2FF0A51D"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 20 августа 1940 г. стали последними днями, когда в ходе государственных испытаний дизелей М-250 танки А-34 совместно участвовали в пробегах. После возвращения на завод танк А-34 № 311-11-3 встал на ремонт. </w:t>
      </w:r>
    </w:p>
    <w:p w14:paraId="3DFB2579"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Из-за повышенной температуры масла комиссией, проводившей испытания было решено опытные масляные баки без радиаторов заменить на серийные баки-радиаторы. Ремонт танка был закончен только к вечеру 22 августа 1940 г. К этому времени танк А-34 № 311-18-3 уже 4 часа находился в движении. О том, что этот выезд будет последним, участники испытаний вряд ли догадывались. Ближе к полудню, когда танк А-34 № 311-18-3 подъезжал к заводу № 183, в системе смазки двигателя резко повысилась температура масла. Оставшуюся часть пути испытателям пришлось пройти при частоте вращения коленчатого вала двигателя, не превышающей 1200 об/мин. После проведенного технического осмотра танка комиссия пришла к выводу, что дизель М-250 № 3 </w:t>
      </w:r>
      <w:r w:rsidRPr="00DB5D0D">
        <w:rPr>
          <w:rFonts w:ascii="Times New Roman" w:hAnsi="Times New Roman"/>
          <w:iCs/>
          <w:color w:val="000000" w:themeColor="text1"/>
          <w:sz w:val="16"/>
          <w:szCs w:val="16"/>
        </w:rPr>
        <w:t xml:space="preserve">«из-за потери работоспособности на 114 час. 32 мин. работы его в танке А-34 под нагрузкой </w:t>
      </w:r>
      <w:r w:rsidRPr="00DB5D0D">
        <w:rPr>
          <w:rFonts w:ascii="Times New Roman" w:hAnsi="Times New Roman"/>
          <w:color w:val="000000" w:themeColor="text1"/>
          <w:sz w:val="16"/>
          <w:szCs w:val="16"/>
        </w:rPr>
        <w:t>[необходимо]</w:t>
      </w:r>
      <w:r w:rsidRPr="00DB5D0D">
        <w:rPr>
          <w:rFonts w:ascii="Times New Roman" w:hAnsi="Times New Roman"/>
          <w:iCs/>
          <w:color w:val="000000" w:themeColor="text1"/>
          <w:sz w:val="16"/>
          <w:szCs w:val="16"/>
        </w:rPr>
        <w:t xml:space="preserve"> снять с испытаний»</w:t>
      </w:r>
      <w:r w:rsidRPr="00DB5D0D">
        <w:rPr>
          <w:rFonts w:ascii="Times New Roman" w:hAnsi="Times New Roman"/>
          <w:color w:val="000000" w:themeColor="text1"/>
          <w:sz w:val="16"/>
          <w:szCs w:val="16"/>
        </w:rPr>
        <w:t xml:space="preserve">. Не в лучшем состоянии находилась и ходовая часть танка – практически на всех опорных катках танка резиновый массив грузошин к дальнейшей эксплуатации был не пригоден. Танк А-34 № 311-18-3 требовал как минимум среднего ремонта. </w:t>
      </w:r>
    </w:p>
    <w:p w14:paraId="66D967EC"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танка А-34 № 311-11-3 день 23 августа 1940 г. был более удачным. После двух дней нахождения в ремонте, танк ранним утром продолжил выполнение программы государственных испытаний дизеля М-250 № 4. Очередной пробег был завершен 25 августа 1940 г. ближе к обеду, за двое с лишним суток двигатель проработал в танке около 32 часов. Замена масляных баков желаемого результата не дала, по-прежнему температура масла, входящего в двигатель и выходящего из него, превышала температуру, заданную техническими условиями. Чтобы избежать участи, постигшей дизель М-250 № 3, комиссией было решено переделать систему смазки двигателя. В опытном цехе «540» к 16 сентября 1940 г. в системе смазки были проведены следующие изменения: гофрированные радиаторы на масляных баках были заменены трубчатыми воздухомасляными радиаторами с пластинчатыми ребрами охлаждения. Эти радиаторы были установлены между масляными баками и радиаторами жидкостной системы охлаждения справа и слева от двигателя. Включение радиаторов в систему смазки было параллельное, в связи с чем, расположение масляных трубопроводов в моторном отделении танка практически не изменилось, а было добавлено только 8 трубок, соединявших баки с радиаторами. </w:t>
      </w:r>
    </w:p>
    <w:p w14:paraId="3D74C830"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с измененной системой смазки двигателя утром 17 сентября 1940 г. покинул территорию завода, но уже через 3 часа был вынужден вернуться из-за разрушения лопастей вентилятора системы охлаждения двигателя. Хотя пробег был не продолжительным, но он всё же показал, что проведенные изменения в системе смазки двигателя не обеспечили достаточного охлаждения масла. Танк снова поставили в цех «540» на ремонт. Одновременно с заменой вентилятора вторично была переделана система смазки. Теперь за основу была взята схема охлаждения масла, примененная в системе смазки силовой установки танка БТ-7М, т. е. масляные радиаторы были включены последовательно. Кроме того, для увеличения производительности масляных радиаторов в них были установлены завихрители, представлявшие собой латунные спирали с высеченными на них «шипами-ершами» высотой 3 мм. Завихрители были установлены внутри каждой трубки маслорадиатора. Конструкция бачка-суфлера дизеля так же была изменена. Теперь сконденсированное из паров масло стекало обратно в картер двигателя и в моторное отделение танка не выбрасывалось. Большинство медных трубок было заменено стальными, которые не ломались от вибрации. </w:t>
      </w:r>
    </w:p>
    <w:p w14:paraId="4430B227"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сентября 1940 г. испытания дизеля М-250 № 4 в танке А-34 № 311-11-3 были возобновлены. В этот день двигатель проработал около 8 часов. После обеда на заводе № 183 было произведено техническое обслуживание танка, а утром следующего дня испытания продолжились. Результат – 10 часов работы дизеля под нагрузкой.</w:t>
      </w:r>
    </w:p>
    <w:p w14:paraId="1B2F5E68"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время очередного испытательного пробега, 27 сентября 1940 г., около полудня на 103 часе работы дизель М-250 № 4 вышел из строя. На следующий день дизель был демонтирован из танка и передан в отдел «1600» завода № 75 для исследования. </w:t>
      </w:r>
    </w:p>
    <w:p w14:paraId="03458644"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концу сентября 1940 г. государственные испытания дизеля М-250 больше напоминали опытные работы по доводке дизеля на машине, а не полноценную </w:t>
      </w:r>
      <w:r w:rsidRPr="00DB5D0D">
        <w:rPr>
          <w:rFonts w:ascii="Times New Roman" w:hAnsi="Times New Roman"/>
          <w:iCs/>
          <w:color w:val="000000" w:themeColor="text1"/>
          <w:sz w:val="16"/>
          <w:szCs w:val="16"/>
        </w:rPr>
        <w:t>«проверку по определению надежности работы дизеля типа М-250 в танке А-34 в течение гарантийного срока – 250 часов работы под нагрузкой»</w:t>
      </w:r>
      <w:r w:rsidRPr="00DB5D0D">
        <w:rPr>
          <w:rFonts w:ascii="Times New Roman" w:hAnsi="Times New Roman"/>
          <w:color w:val="000000" w:themeColor="text1"/>
          <w:sz w:val="16"/>
          <w:szCs w:val="16"/>
        </w:rPr>
        <w:t xml:space="preserve">. В связи с этим комиссией было принято решение: </w:t>
      </w:r>
      <w:r w:rsidRPr="00DB5D0D">
        <w:rPr>
          <w:rFonts w:ascii="Times New Roman" w:hAnsi="Times New Roman"/>
          <w:iCs/>
          <w:color w:val="000000" w:themeColor="text1"/>
          <w:sz w:val="16"/>
          <w:szCs w:val="16"/>
        </w:rPr>
        <w:t>«государственное испытание дизеля М-250 прекратить, все результаты работы Госкомиссии перевести в разряд внутризаводских испытаний с целью доводки двигателя»</w:t>
      </w:r>
      <w:r w:rsidRPr="00DB5D0D">
        <w:rPr>
          <w:rFonts w:ascii="Times New Roman" w:hAnsi="Times New Roman"/>
          <w:color w:val="000000" w:themeColor="text1"/>
          <w:sz w:val="16"/>
          <w:szCs w:val="16"/>
        </w:rPr>
        <w:t xml:space="preserve">. А в заключении по результатам проведенных государственных испытаний дизелей М-250, в частности, было записано следующее: </w:t>
      </w:r>
    </w:p>
    <w:p w14:paraId="1D3C80F3"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Государственные испытания дизелей М-250 прекратить. В предъявленном виде, дизель М-250 не может быть рекомендован для Т-34».</w:t>
      </w:r>
      <w:r w:rsidRPr="00DB5D0D">
        <w:rPr>
          <w:rFonts w:ascii="Times New Roman" w:hAnsi="Times New Roman"/>
          <w:color w:val="000000" w:themeColor="text1"/>
          <w:sz w:val="16"/>
          <w:szCs w:val="16"/>
        </w:rPr>
        <w:t xml:space="preserve"> </w:t>
      </w:r>
    </w:p>
    <w:p w14:paraId="352B9E22" w14:textId="77777777" w:rsidR="00072647" w:rsidRPr="00DB5D0D" w:rsidRDefault="00072647" w:rsidP="00DB5D0D">
      <w:pPr>
        <w:pStyle w:val="ae"/>
        <w:spacing w:before="0" w:after="0"/>
        <w:jc w:val="both"/>
        <w:rPr>
          <w:color w:val="000000" w:themeColor="text1"/>
          <w:sz w:val="16"/>
          <w:szCs w:val="16"/>
        </w:rPr>
      </w:pPr>
      <w:r w:rsidRPr="00DB5D0D">
        <w:rPr>
          <w:bCs/>
          <w:color w:val="000000" w:themeColor="text1"/>
          <w:sz w:val="16"/>
          <w:szCs w:val="16"/>
        </w:rPr>
        <w:t>[РГВА. Ф. 31811. Оп. 3. Д. 2035. Л. 3]</w:t>
      </w:r>
    </w:p>
    <w:p w14:paraId="655E3D24"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выходом из строя дизеля М-250 № 4 единственной надеждой на успешное проведение заводских испытаний оставался последний из пяти изготовленных заводом № 75 двигателей М-250. Дизель с пятым порядковым номером 24 сентября 1940 г. был установлен в танк А-34 № 311-18-3. Испытания дизеля затянулись на месяц, 25 октября 1940 г. в системе смазки дизеля М-250 № 5 было обнаружено падение давления. На следующий день двигатель в опытном цехе «540» завода № 183 был демонтирован из танка и передан отделу «1600» завода № 75 для исследования. 27 октября 1940 г. при разборке дизеля М-250 № 5 в коленчатом валу в районе пятой коренной шейки была обнаружена продольная трещина. К моменту аварии двигатель проработал около 48 часов на стенде и 75 часов 21 минуту в танке. </w:t>
      </w:r>
    </w:p>
    <w:p w14:paraId="6B5C7028"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после прекращения государственных испытаний также был использован в опытных работах по доводке дизеля М-250. В начале октября 1940 г. на танк был установлен дизель М-250 № 2, отработавший в период с 16 апреля по 8 мая 1940 г. на заводских стендовых испытаниях 349 часов 41 минуту. Также на машину был установлен опытный главный фрикцион, отличавшийся от серийного главного фрикциона танка Т-34 тем, что вместо восьми ведущих чугунных и десяти ведомых стальных дисков в нем имелось двенадцать ведомых и десять ведущих стальных дисков. Кроме этого диски опытного главного фрикциона имели вырезы, предназначавшиеся для уменьшения коробления дисков при их нагреве и прерывания образовывавшихся на них круговых задиров. В каждом ведомом и ведущем диске было сделано по 4 выреза глубиной 13 мм и шириной 10 мм, расположенных на равном расстоянии друг от друга на тех сторонах дисков, на которых не было зубьев. </w:t>
      </w:r>
    </w:p>
    <w:p w14:paraId="5447A5D1"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Однако завершить заводские испытания дизеля М-250 № 2 и опытного главного фрикциона в танке А-34 не удалось потому, что интенсивно эксплуатировавшиеся на протяжении 9 месяцев опытные танки А-34 в начале ноября 1940 г. было решено капитально отремонтировать. </w:t>
      </w:r>
    </w:p>
    <w:p w14:paraId="5BB1235B"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Необходимо отметить, что, несмотря на то, что дизели М-250 государственных испытаний не выдержали, некоторые примененные в них удачные технические решения в 1941 г. были реализованы в конструкции дизеля В-2 четвертой серии. </w:t>
      </w:r>
    </w:p>
    <w:p w14:paraId="35A6517F" w14:textId="77777777" w:rsidR="00072647" w:rsidRPr="00DB5D0D" w:rsidRDefault="00072647"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Что же касается танков А-34, то с 15 ноября и до середины декабря 1940 г. оба они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48913D25" w14:textId="77777777" w:rsidR="00072647" w:rsidRPr="00DB5D0D" w:rsidRDefault="00072647"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6E37D47"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w:t>
      </w:r>
    </w:p>
    <w:p w14:paraId="6049AF2F"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Фонд 31811 Опись 2 Дело 1053 листы 136 – 139</w:t>
      </w:r>
    </w:p>
    <w:p w14:paraId="05D2863A"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СЕКРЕТНО</w:t>
      </w:r>
    </w:p>
    <w:p w14:paraId="787424FA"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 № 2</w:t>
      </w:r>
    </w:p>
    <w:p w14:paraId="1ABB76B8"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453785с от 14.8.1940</w:t>
      </w:r>
    </w:p>
    <w:p w14:paraId="24C639E7"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4 Отдела АБТУ</w:t>
      </w:r>
    </w:p>
    <w:p w14:paraId="63A80A37"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"УТВЕРЖДАЮ"</w:t>
      </w:r>
    </w:p>
    <w:p w14:paraId="409CBBC5"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 НАЧАЛЬНИК АРТ. УПРАВЛЕНИЯ КРАСНОЙ АРМИИ ГЕНЕРАЛ-МАЙОР АРТИЛЛЕРИИ (САВЧЕНКО)</w:t>
      </w:r>
    </w:p>
    <w:p w14:paraId="57DC3B99"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июля 1940 г.</w:t>
      </w:r>
    </w:p>
    <w:p w14:paraId="36E73DEA"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КОМИССАР АРТ. УПРАВЛЕНИЯ КРАСНОЙ АРМИИ ДИВИЗИОННЫЙ КОМИССАР (ЛЯПИН)</w:t>
      </w:r>
    </w:p>
    <w:p w14:paraId="603F11F9"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"___" июля 1940 г.</w:t>
      </w:r>
    </w:p>
    <w:p w14:paraId="6EA160BC"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"УТВЕРЖДАЮ"</w:t>
      </w:r>
    </w:p>
    <w:p w14:paraId="4008FFFD"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 НАЧАЛЬНИК АВТОБРОНЕТАНКОВОГО УПРАВЛЕНИЯ КА ГЕНЕРАЛ-ЛЕЙТЕНАНТ ТАНКОВЫХ ВОЙСК (ФЕДОРЕНКО)</w:t>
      </w:r>
    </w:p>
    <w:p w14:paraId="345151C5"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июля 1940 г.</w:t>
      </w:r>
    </w:p>
    <w:p w14:paraId="2EBAC9A2"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ВОЕННЫЙ КОМИССАР АВТОБРОНЕТАНКОВОГО УПРАВЛЕНИЯ КА ВОЕНИНЖЕНЕР 2 РАНГА (ЧУРИН)</w:t>
      </w:r>
    </w:p>
    <w:p w14:paraId="4ED6283D"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"___" июля 1940 г.</w:t>
      </w:r>
    </w:p>
    <w:p w14:paraId="08D28494"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w:t>
      </w:r>
    </w:p>
    <w:p w14:paraId="0F34E222"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Полигонных испытаний танка Т-34 с пушкой Л-11</w:t>
      </w:r>
    </w:p>
    <w:p w14:paraId="7AD3E6F3"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(задание №___)</w:t>
      </w:r>
    </w:p>
    <w:p w14:paraId="2E4FE5C0"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ЦЕЛЬ ИСПЫТАНИЯ.</w:t>
      </w:r>
    </w:p>
    <w:p w14:paraId="4A2DB8C3"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Проверить прочность крепления артиллерийской системы в башне танка.</w:t>
      </w:r>
    </w:p>
    <w:p w14:paraId="5715EBA7"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Отстрел углов вылета.</w:t>
      </w:r>
    </w:p>
    <w:p w14:paraId="7EFE4533"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Установить надежность защиты артсистемы и смотровых приборов путем обстрела башни танка бронебойными пулями, бронебойными и осколочно-фугасными снарядами калибра 37, 45 и 76 мм.</w:t>
      </w:r>
    </w:p>
    <w:p w14:paraId="7BB1A611"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Проверить вентиляцию танка при стрельбе.</w:t>
      </w:r>
    </w:p>
    <w:p w14:paraId="693CD3C8"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Установить удобство обслуживания и эксплоатации артсистемы в боевых условиях, а также монтажа и демонтажа в войсках.</w:t>
      </w:r>
    </w:p>
    <w:p w14:paraId="5D95985D"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Определение мертвых пространств.</w:t>
      </w:r>
    </w:p>
    <w:p w14:paraId="4F031987"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Определение меткости стрельбы.</w:t>
      </w:r>
    </w:p>
    <w:p w14:paraId="44F71F8B"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ПОРЯДОК ИСПЫТАНИЯ.</w:t>
      </w:r>
    </w:p>
    <w:p w14:paraId="5781E69F"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Отстрел углов вылета – по 21 выстрелу на каждом снаряде (заряд полный).</w:t>
      </w:r>
    </w:p>
    <w:p w14:paraId="2D793469"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76 мм осколочно-фугасных – 21 выстрел.</w:t>
      </w:r>
    </w:p>
    <w:p w14:paraId="1DDC6109"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76 мм осколочно-фугасных дальнобойных – 21 выстрел.</w:t>
      </w:r>
    </w:p>
    <w:p w14:paraId="2A835549"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76 мм бронебойных – 21 выстрел.</w:t>
      </w:r>
    </w:p>
    <w:p w14:paraId="0B6BA225"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Стрельба на прочность крепления артсистемы под углами: – 5°, 0°, + 10°, + 20° и + 30°, при курсовых углах: 0°, 90° и 180° по 15 выстрелов на каждом угле возвышения при данном курсовом угле, итого 225 выстрелов усиленным зарядом.</w:t>
      </w:r>
    </w:p>
    <w:p w14:paraId="3B382A00"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Стрельба на меткость по щиту с дистанции 1000 метров – 100 выстрелов.</w:t>
      </w:r>
    </w:p>
    <w:p w14:paraId="74B0238E"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Стрельба из пулемета бронебойными пулями на дистанцию 100 метров по башне танка, смотровым приборам и бронезащите.</w:t>
      </w:r>
    </w:p>
    <w:p w14:paraId="2450EB75"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Обстрел башни снарядами 37, 45 и 76 мм в порядке постепенность, как бронебойными, так и осколочно-фугасными.</w:t>
      </w:r>
    </w:p>
    <w:p w14:paraId="4F65BE7F"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обстреле количество попаданий должно быть:</w:t>
      </w:r>
    </w:p>
    <w:p w14:paraId="0D49E38F"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бронировке артсистемы – 3 попадания.</w:t>
      </w:r>
    </w:p>
    <w:p w14:paraId="66AB9B1F"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Смотровые щели – 2 попадания.</w:t>
      </w:r>
    </w:p>
    <w:p w14:paraId="606ADA9D"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Погон – 2 попадания.</w:t>
      </w:r>
    </w:p>
    <w:p w14:paraId="7E519784"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Борта – 2 попадания.</w:t>
      </w:r>
    </w:p>
    <w:p w14:paraId="1B2EA508"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По нише башни – 2 попадания.</w:t>
      </w:r>
    </w:p>
    <w:p w14:paraId="677DE3F8"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каждого калибра (при условии непробивания снарядами меньших калибров).</w:t>
      </w:r>
    </w:p>
    <w:p w14:paraId="639F868B"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попаданий ориентировочно и в случае необходимости полигону разрешается увеличить или уменьшить.</w:t>
      </w:r>
    </w:p>
    <w:p w14:paraId="79F98073"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Обстрел производить по неподвижному танку на дистанцию 100 метров. Приведенными скоростями, соответствующим ПТП и ПСП, и с замером скорости.</w:t>
      </w:r>
    </w:p>
    <w:p w14:paraId="73C1A293"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Проверка вентиляции боевого отделения танка при стрельбе производится на месте и на ходу с работающим мотором и без него. Замеры производятся врачом Научно-Исследовательского полигона АБТУ.</w:t>
      </w:r>
    </w:p>
    <w:p w14:paraId="6686E9B2"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Замеры мертвых пространств обзора и обстрела производятся при нахождении танка на горизонтальной площадке по фактически полученным результатам.</w:t>
      </w:r>
    </w:p>
    <w:p w14:paraId="60C03B16"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ОБЕСПЕЧЕНИЕ ИСПЫТАНИЙ.</w:t>
      </w:r>
    </w:p>
    <w:p w14:paraId="49A7AAA3"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Танк Т-34 подается распоряжением АБТУ с завода № 183 на АНИОП г. Ленинград, ст. Ржевка.</w:t>
      </w:r>
    </w:p>
    <w:p w14:paraId="4049FB6B"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Боеприпасы в количестве:</w:t>
      </w:r>
    </w:p>
    <w:p w14:paraId="713F074B"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76 мм осколочно-фугасных – 350 выстрелов.</w:t>
      </w:r>
    </w:p>
    <w:p w14:paraId="1A07B6C5"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76 мм осколочно-фугасных дальнобойных – 21 выстрел.</w:t>
      </w:r>
    </w:p>
    <w:p w14:paraId="34FB540C"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76 мм бронебойных – 21 – 25 выстрелов.</w:t>
      </w:r>
    </w:p>
    <w:p w14:paraId="28D417D8"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45 мм бронебойных и осколочных в пределах программы испытаний.</w:t>
      </w:r>
    </w:p>
    <w:p w14:paraId="6BA377E2"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37 мм бронебойных и осколочных в пределах программы испытаний. (37 мм бронебойный снаряд черт. № 152, 37 мм осколочный снаряд черт. № 154).</w:t>
      </w:r>
    </w:p>
    <w:p w14:paraId="793AFEB3"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7,62 мм винтовочных патрон бронебойных – 500 шт.</w:t>
      </w:r>
    </w:p>
    <w:p w14:paraId="674A24EB"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расходного запаса АНИОПа.</w:t>
      </w:r>
    </w:p>
    <w:p w14:paraId="22772A02"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ДОПОЛНИТЕЛЬНЫЕ УСЛОВИЯ.</w:t>
      </w:r>
    </w:p>
    <w:p w14:paraId="50935203"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процессе испытания разрешается расстрел одной башни с вооружением и приборами.</w:t>
      </w:r>
    </w:p>
    <w:p w14:paraId="3EBE1B46"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Испытание проводит АНИОП в присутствии представителей от Арткома АУ, АБТУ, Главспецмаша и заводов № 183 и Кировского.</w:t>
      </w:r>
    </w:p>
    <w:p w14:paraId="1E2932A2"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этого АНИОП обязан сообщить Арткому о дне начала испытаний.</w:t>
      </w:r>
    </w:p>
    <w:p w14:paraId="2D884167"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результатам полигонных испытаний представить к 25 августа 1940 г. АБТУ КА, Арткому АУ КА, Главспецмашу, заводам № 183 и Кировскому.</w:t>
      </w:r>
    </w:p>
    <w:p w14:paraId="5F41CA02"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 НАЧАЛЬНИК 2 ОТДЕЛА АРТКОМА АУ КРАСНОЙ АРМИИ</w:t>
      </w:r>
    </w:p>
    <w:p w14:paraId="79EF9467"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МАЙОР (ЖЕВАНИК)</w:t>
      </w:r>
    </w:p>
    <w:p w14:paraId="771D1FE9"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 НАЧАЛЬНИК 8 ОТДЕЛА АБТУ КРАСНОЙ АРМИИ</w:t>
      </w:r>
    </w:p>
    <w:p w14:paraId="335E2E73"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ВОЕНИНЖЕНЕР 1 РАНГА (АФОНИН)</w:t>
      </w:r>
    </w:p>
    <w:p w14:paraId="3F28AE8B"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Отп. четыре экз.</w:t>
      </w:r>
    </w:p>
    <w:p w14:paraId="16BCF040"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19.7.1940</w:t>
      </w:r>
    </w:p>
    <w:p w14:paraId="69599459"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4224</w:t>
      </w:r>
    </w:p>
    <w:p w14:paraId="2C9D1704"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 Подрига Панов (19577).</w:t>
      </w:r>
    </w:p>
    <w:p w14:paraId="2188B186" w14:textId="77777777" w:rsidR="00416045" w:rsidRPr="00DB5D0D" w:rsidRDefault="00416045" w:rsidP="00DB5D0D">
      <w:pPr>
        <w:spacing w:after="0" w:line="240" w:lineRule="auto"/>
        <w:jc w:val="both"/>
        <w:rPr>
          <w:rFonts w:ascii="Times New Roman" w:hAnsi="Times New Roman"/>
          <w:color w:val="000000" w:themeColor="text1"/>
          <w:sz w:val="16"/>
          <w:szCs w:val="16"/>
        </w:rPr>
      </w:pPr>
    </w:p>
    <w:p w14:paraId="140F1695" w14:textId="77777777" w:rsidR="002E682E" w:rsidRPr="00DB5D0D" w:rsidRDefault="002E682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14  августа  </w:t>
      </w:r>
      <w:bookmarkStart w:id="52" w:name="YANDEX_8"/>
      <w:bookmarkEnd w:id="52"/>
      <w:r w:rsidRPr="00DB5D0D">
        <w:rPr>
          <w:rFonts w:ascii="Times New Roman" w:eastAsia="Times New Roman" w:hAnsi="Times New Roman"/>
          <w:color w:val="000000" w:themeColor="text1"/>
          <w:sz w:val="16"/>
          <w:szCs w:val="16"/>
          <w:lang w:eastAsia="ru-RU"/>
        </w:rPr>
        <w:t xml:space="preserve"> 1940  г. </w:t>
      </w:r>
      <w:bookmarkStart w:id="53" w:name="YANDEX_9"/>
      <w:bookmarkEnd w:id="53"/>
      <w:r w:rsidRPr="00DB5D0D">
        <w:rPr>
          <w:rFonts w:ascii="Times New Roman" w:eastAsia="Times New Roman" w:hAnsi="Times New Roman"/>
          <w:color w:val="000000" w:themeColor="text1"/>
          <w:sz w:val="16"/>
          <w:szCs w:val="16"/>
          <w:lang w:eastAsia="ru-RU"/>
        </w:rPr>
        <w:t xml:space="preserve">постановлением СНК СССР завод  «Тосмаре» передали в подчинение Наркомата ВМФ. В это время рабочих и служащих на </w:t>
      </w:r>
      <w:bookmarkStart w:id="54" w:name="YANDEX_10"/>
      <w:bookmarkEnd w:id="54"/>
      <w:r w:rsidRPr="00DB5D0D">
        <w:rPr>
          <w:rFonts w:ascii="Times New Roman" w:eastAsia="Times New Roman" w:hAnsi="Times New Roman"/>
          <w:color w:val="000000" w:themeColor="text1"/>
          <w:sz w:val="16"/>
          <w:szCs w:val="16"/>
          <w:lang w:eastAsia="ru-RU"/>
        </w:rPr>
        <w:t> заводе  было 1570 человек (из них производственных рабочих основных профессий — 1023, вспомогательных рабочих — 175, ИТР и служащих — 154, учеников и практикантов — 183, строительных рабочих — 35).</w:t>
      </w:r>
    </w:p>
    <w:p w14:paraId="21E20EC0" w14:textId="77777777" w:rsidR="002E682E" w:rsidRPr="00DB5D0D" w:rsidRDefault="002E682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В декабре 1884 года на Особом совещании руководителей Морского и Военного министерств Российской империи было принято решение о необходимости создания на Балтике незамерзающего военного порта, способного обеспечить базирование крупных сил российского флота.</w:t>
      </w:r>
    </w:p>
    <w:p w14:paraId="785C8D33" w14:textId="77777777" w:rsidR="002E682E" w:rsidRPr="00DB5D0D" w:rsidRDefault="002E682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15 января 1890 года император Александр III на докладе о необходимости строительства военного порта в Либаве собственноручно начертал «Согласен».</w:t>
      </w:r>
    </w:p>
    <w:p w14:paraId="11A1D93D" w14:textId="77777777" w:rsidR="002E682E" w:rsidRPr="00DB5D0D" w:rsidRDefault="002E682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 лету 1898 года удалось построить один сухой док, судостроительную и механическую мастерские, кузницу, склады. Для подхода кораблей к стенке завода и строившимся докам был выкопан канал с двумя бассейнами: один для стоянки, второй ремонтный.</w:t>
      </w:r>
    </w:p>
    <w:p w14:paraId="0917A872" w14:textId="77777777" w:rsidR="002E682E" w:rsidRPr="00DB5D0D" w:rsidRDefault="002E682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 окончанием строительства судоремонтные мастерские получили название «Мастерские Либавского порта императора Александра III». В их состав к 1900 году входили 8 зданий цехов, 12 складских помещений и 9 жилых домов для персонала мастерских. По оценке специалистов, мастерские Либавского военного порта того времени были одним из наиболее крупных государственных предприятий данного типа на восточном побережье Балтийского моря.</w:t>
      </w:r>
    </w:p>
    <w:p w14:paraId="6BA5C220" w14:textId="77777777" w:rsidR="002E682E" w:rsidRPr="00DB5D0D" w:rsidRDefault="002E682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Оба сухих дока - Императрица Мария и Императрица Александра, были открыты в июне 1901 года. Они могли обеспечивать доковый ремонт всех эскадренных броненосцев и крейсеров I ранга, находившихся в боевом составе и строившихся в то время.</w:t>
      </w:r>
    </w:p>
    <w:p w14:paraId="511545FA" w14:textId="77777777" w:rsidR="002E682E" w:rsidRPr="00DB5D0D" w:rsidRDefault="002E682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После начала Первой мировой войны при эвакуации военного порта были подорваны оба сухих дока, сожжена главная контора  завода  и уничтожена небольшая часть оборудования - 17 апреля 1915 года приказом командующего Балтийским флотом Российская Императорская армия оставила Либаву.</w:t>
      </w:r>
    </w:p>
    <w:p w14:paraId="382A6781" w14:textId="77777777" w:rsidR="002E682E" w:rsidRPr="00DB5D0D" w:rsidRDefault="002E682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 1920-е годы правительство Латвийской Республики пыталось продать  завод  западным предпринимателям, а в 1933 году часть территории предприятия с находящимися на ней постройками продали сахарному </w:t>
      </w:r>
      <w:bookmarkStart w:id="55" w:name="YANDEX_3"/>
      <w:bookmarkEnd w:id="55"/>
      <w:r w:rsidRPr="00DB5D0D">
        <w:rPr>
          <w:rFonts w:ascii="Times New Roman" w:eastAsia="Times New Roman" w:hAnsi="Times New Roman"/>
          <w:color w:val="000000" w:themeColor="text1"/>
          <w:sz w:val="16"/>
          <w:szCs w:val="16"/>
          <w:lang w:eastAsia="ru-RU"/>
        </w:rPr>
        <w:t> заводу .</w:t>
      </w:r>
    </w:p>
    <w:p w14:paraId="4DD197FA" w14:textId="77777777" w:rsidR="002E682E" w:rsidRPr="00DB5D0D" w:rsidRDefault="002E682E"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«Liepajas kara ostas darbnīcas», сокращенно LKOD (Лиепайского военного порта мастерские), под которым мастерские просуществовали до 1938 года, когда было создано акционерное общество, назвавшее мастерские </w:t>
      </w:r>
      <w:bookmarkStart w:id="56" w:name="YANDEX_4"/>
      <w:bookmarkEnd w:id="56"/>
      <w:r w:rsidRPr="00DB5D0D">
        <w:rPr>
          <w:rFonts w:ascii="Times New Roman" w:eastAsia="Times New Roman" w:hAnsi="Times New Roman"/>
          <w:color w:val="000000" w:themeColor="text1"/>
          <w:sz w:val="16"/>
          <w:szCs w:val="16"/>
          <w:lang w:eastAsia="ru-RU"/>
        </w:rPr>
        <w:t> заводом  «Тосмаре».</w:t>
      </w:r>
    </w:p>
    <w:p w14:paraId="7CC04309" w14:textId="77777777" w:rsidR="002E682E" w:rsidRPr="00DB5D0D" w:rsidRDefault="002E682E"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eastAsia="Times New Roman" w:hAnsi="Times New Roman"/>
          <w:color w:val="000000" w:themeColor="text1"/>
          <w:sz w:val="16"/>
          <w:szCs w:val="16"/>
          <w:lang w:eastAsia="ru-RU"/>
        </w:rPr>
        <w:t xml:space="preserve">7 октября </w:t>
      </w:r>
      <w:bookmarkStart w:id="57" w:name="YANDEX_11"/>
      <w:bookmarkEnd w:id="57"/>
      <w:r w:rsidRPr="00DB5D0D">
        <w:rPr>
          <w:rFonts w:ascii="Times New Roman" w:eastAsia="Times New Roman" w:hAnsi="Times New Roman"/>
          <w:color w:val="000000" w:themeColor="text1"/>
          <w:sz w:val="16"/>
          <w:szCs w:val="16"/>
          <w:lang w:eastAsia="ru-RU"/>
        </w:rPr>
        <w:t xml:space="preserve"> 1940  года приказом наркома ВМФ Н. Г. Кузнецова предприятие получило название «Судоремонтный </w:t>
      </w:r>
      <w:bookmarkStart w:id="58" w:name="YANDEX_12"/>
      <w:bookmarkEnd w:id="58"/>
      <w:r w:rsidRPr="00DB5D0D">
        <w:rPr>
          <w:rFonts w:ascii="Times New Roman" w:eastAsia="Times New Roman" w:hAnsi="Times New Roman"/>
          <w:color w:val="000000" w:themeColor="text1"/>
          <w:sz w:val="16"/>
          <w:szCs w:val="16"/>
          <w:lang w:eastAsia="ru-RU"/>
        </w:rPr>
        <w:t> завод  “Тосмаре” Краснознаменного Балтийского флота».</w:t>
      </w:r>
    </w:p>
    <w:p w14:paraId="76D89BB7" w14:textId="77777777" w:rsidR="002E682E" w:rsidRPr="00DB5D0D" w:rsidRDefault="002E682E" w:rsidP="00DB5D0D">
      <w:pPr>
        <w:spacing w:after="0" w:line="240" w:lineRule="auto"/>
        <w:jc w:val="both"/>
        <w:rPr>
          <w:rFonts w:ascii="Times New Roman" w:hAnsi="Times New Roman"/>
          <w:color w:val="000000" w:themeColor="text1"/>
          <w:sz w:val="16"/>
          <w:szCs w:val="16"/>
          <w:lang w:eastAsia="ru-RU"/>
        </w:rPr>
      </w:pPr>
      <w:r w:rsidRPr="00DB5D0D">
        <w:rPr>
          <w:rFonts w:ascii="Times New Roman" w:hAnsi="Times New Roman"/>
          <w:color w:val="000000" w:themeColor="text1"/>
          <w:sz w:val="16"/>
          <w:szCs w:val="16"/>
        </w:rPr>
        <w:t>В 1940-1950-е годы неоднократно изменялось наименование и подчиненность предприятия. Оно называлось:</w:t>
      </w:r>
    </w:p>
    <w:p w14:paraId="6EDAA799" w14:textId="77777777" w:rsidR="002E682E" w:rsidRPr="00DB5D0D" w:rsidRDefault="002E682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1945—1947 — Лиепайский морской завод при ТУ 4-го ВМФ;</w:t>
      </w:r>
    </w:p>
    <w:p w14:paraId="555C9CFB" w14:textId="77777777" w:rsidR="002E682E" w:rsidRPr="00DB5D0D" w:rsidRDefault="002E682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1947—1949 — Лиепайский морской завод при 4-м ВМФ;</w:t>
      </w:r>
    </w:p>
    <w:p w14:paraId="5CFF2186" w14:textId="77777777" w:rsidR="002E682E" w:rsidRPr="00DB5D0D" w:rsidRDefault="002E682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1950—1951 — Лиепайский морской завод при ГУСПиД;</w:t>
      </w:r>
    </w:p>
    <w:p w14:paraId="42B5F170" w14:textId="77777777" w:rsidR="002E682E" w:rsidRPr="00DB5D0D" w:rsidRDefault="002E682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1951—1953 — Судоремонтный завод № 29 при 4-м ВМФ;</w:t>
      </w:r>
    </w:p>
    <w:p w14:paraId="58FC34C5" w14:textId="77777777" w:rsidR="002E682E" w:rsidRPr="00DB5D0D" w:rsidRDefault="002E682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1954—1960 — Судоремонтный завод № 29 ГУ СРЗ;</w:t>
      </w:r>
    </w:p>
    <w:p w14:paraId="5E8156A9" w14:textId="77777777" w:rsidR="002E682E" w:rsidRPr="00DB5D0D" w:rsidRDefault="002E682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1960 года — Морской завод № 29.</w:t>
      </w:r>
    </w:p>
    <w:p w14:paraId="22E67D38" w14:textId="77777777" w:rsidR="002E682E" w:rsidRPr="00DB5D0D" w:rsidRDefault="002E682E"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марта—июнь 1961 — завод имел только условное наименование «Войсковая часть 26930» (17414).</w:t>
      </w:r>
    </w:p>
    <w:p w14:paraId="7F5E8F6D" w14:textId="77777777" w:rsidR="002E682E" w:rsidRPr="00DB5D0D" w:rsidRDefault="002E682E" w:rsidP="00DB5D0D">
      <w:pPr>
        <w:shd w:val="clear" w:color="auto" w:fill="FFFFFF"/>
        <w:spacing w:after="0" w:line="240" w:lineRule="auto"/>
        <w:jc w:val="both"/>
        <w:rPr>
          <w:rFonts w:ascii="Times New Roman" w:hAnsi="Times New Roman"/>
          <w:color w:val="000000" w:themeColor="text1"/>
          <w:sz w:val="16"/>
          <w:szCs w:val="16"/>
        </w:rPr>
      </w:pPr>
    </w:p>
    <w:p w14:paraId="69B150BD"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 НКВМФ Н. Г. Кузнецов обратился к Наркому Внешней торговли А. И. Микояну: «Наркомат ВМФ крайне заинтересован в изучении военных действий германской армии и флота, береговой обороны и авиации. Бои, происходившие на территории и у берегов Дании, Норвегии, Бельгии и Голландии, высадка морских и парашютных десантов, а также бои германского Военно-морского флота в Северном море засняты на кинопленку и демонстрируются в кинотеатрах Германии как хроникальные фильмы. Прошу Вашего указания торговому представительству в Германии о приобретении для Наркома ВМФ хроникальных кинофильмов, заснятых с натуры, в первую очередь боевых действий на море, ориентировочно на сумму 12000-15000 германских марок» [Там же, л. 278]. Данный заказ Наркома ВМФ был выполнен (18259).</w:t>
      </w:r>
    </w:p>
    <w:p w14:paraId="52736483" w14:textId="77777777" w:rsidR="00416045" w:rsidRPr="00DB5D0D" w:rsidRDefault="00416045" w:rsidP="00DB5D0D">
      <w:pPr>
        <w:spacing w:after="0" w:line="240" w:lineRule="auto"/>
        <w:jc w:val="both"/>
        <w:rPr>
          <w:rFonts w:ascii="Times New Roman" w:hAnsi="Times New Roman"/>
          <w:color w:val="000000" w:themeColor="text1"/>
          <w:sz w:val="16"/>
          <w:szCs w:val="16"/>
        </w:rPr>
      </w:pPr>
    </w:p>
    <w:p w14:paraId="2FE3C71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505A6EF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860B6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 вышел Приказ НКО с объявлением Указа Президиума Верховного Совета СССР «Об укреплении единоначалия в Красной Армии и Военно-Морском Флоте» № 262.</w:t>
      </w:r>
    </w:p>
    <w:p w14:paraId="714172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Объявляю Указ Президиума Верховного Совета Союза ССР от 12 августа 1940 г. «Об укреплении единоначалия в Красной Армии и Военно-Морском Флоте»:</w:t>
      </w:r>
    </w:p>
    <w:p w14:paraId="76C887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 Президиума Верховного Совета СССР об укреплении единоначалия в Красной Армии и Военно-Морском Флоте</w:t>
      </w:r>
    </w:p>
    <w:p w14:paraId="0604C3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тем, что институт комиссаров уже выполнил свои основные задачи, что командные кадры Красной Армии и Военно-Морского Флота за последние годы серьезно окрепли, а также в целях осуществления в частях и соединениях полного единоначалия и дальнейшего повышения авторитета командира — полновластного руководителя войск, несущего полную ответственность также и за политическую работу в частях, Президиум Верховного Совета Союза ССР постановляет:</w:t>
      </w:r>
    </w:p>
    <w:p w14:paraId="7FC258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Отменить Положение о военных комиссарах Рабоче-Крестьянской Красной Армии, утвержденное Центральным Исполнительным Комитетом и Советом Народных Комиссаров СССР от 15 августа 1937 г.</w:t>
      </w:r>
    </w:p>
    <w:p w14:paraId="5DDA08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Ввести в соединениях (корпусах, дивизиях, бригадах), частях, кораблях, подразделениях, военно-учебных заведениях и учреждениях Красной Армии и Военно-Морского Флота институт заместителей командиров (начальников) по политической части.</w:t>
      </w:r>
    </w:p>
    <w:p w14:paraId="1091CF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Обязать военные советы округов, фронтов и армий осуществлять повседневный живой контроль за политической работой в корпусах, дивизиях, бригадах.</w:t>
      </w:r>
    </w:p>
    <w:p w14:paraId="44C254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Президиума Верховного Совета СССР М. Калинин</w:t>
      </w:r>
    </w:p>
    <w:p w14:paraId="6E32DC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Секретарь Президиума Верховного Совета СССР А. Горкин</w:t>
      </w:r>
    </w:p>
    <w:p w14:paraId="303EF9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 Кремль. 12 августа 1940 г.</w:t>
      </w:r>
    </w:p>
    <w:p w14:paraId="7AF084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 исполнение Указа Президиума Верховного Совета Союза ССР освобождаю военных комиссаров всех корпусов, дивизий, бригад, учебных заведений, учреждений, управлений, отдельных частей, неотдельных батальонов и дивизионов и политруков подразделений от занимаемой должности и назначаю их заместителями соответствующих командиров (начальников) по политической части.</w:t>
      </w:r>
    </w:p>
    <w:p w14:paraId="780C93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Заместителей командиров (начальников) соединений, военно-учебных заведений и учреждений, имеющих по штату отделы политической пропаганды, назначаю одновременно начальниками этих отделов политической пропаганды.</w:t>
      </w:r>
    </w:p>
    <w:p w14:paraId="1585B8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Начальников отделов политической пропаганды соединений, военно-учебных заведений освобождаю от занимаемой должности и назначаю заместителями начальников тех же отделов политической пропаганды.</w:t>
      </w:r>
    </w:p>
    <w:p w14:paraId="460ABC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Ввести в штаты отделов политической пропаганды соединений и военно-учебных заведений должность заместителя начальника отдела политической пропаганды.</w:t>
      </w:r>
    </w:p>
    <w:p w14:paraId="24DD64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Заместителям командиров (начальников) по политической части, заместителям начальников отделов политической пропаганды, назначенным этим приказом, сохранить прежний оклад денежного содержания и должностную категорию.</w:t>
      </w:r>
    </w:p>
    <w:p w14:paraId="5C753A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Приказ разъяснить всему личному составу частей и соединений.</w:t>
      </w:r>
    </w:p>
    <w:p w14:paraId="1846A4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Приказы НКО 1937 г. № № 165, 073, 085, 086, 087, 089, 090, 091, 093, 0178; 1938 г. № № 131, 211, 093, 099, 0113, 0149, 0220 отменить.</w:t>
      </w:r>
    </w:p>
    <w:p w14:paraId="692275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Приказ военным советам округов и ДВФронта передать по телеграфу.</w:t>
      </w:r>
    </w:p>
    <w:p w14:paraId="69F091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 (10611).</w:t>
      </w:r>
    </w:p>
    <w:p w14:paraId="4D01C3F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7C84BB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3A0CF1D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DA76A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 было принято Постановление ЦК ВКП(б) и СНК СССР от «О малолитражном автомобиле КИМ-10», в котором перечислялись основные мероприятия по организации массового выпуска этих малолитражек и указывались изменения, которые надлежало в кратчайшие сроки внести в их конструкцию. В частности, предписывалось переделать кузов из двухдверного в четырехдверный и сделать его ниже, убрать подножки, интегрировать в облицовку передка фары, отдельно стоящие на крыльях у первых образцов. Выпуск автомобилей с измененным четырехдверным кузовом, которым был присвоен индекс КИМ-10-52, предполагалось начать уже в 4-м квартале этого же года. Тем временем завод продолжал осваивать выпуск автомобилей с двухдверным кузовом, используя задел кузовных штамповок из их пусконаладочной партии (10766).</w:t>
      </w:r>
    </w:p>
    <w:p w14:paraId="3ABFBB6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86572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04CA7E7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76242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вспомогательный крейсер «Комет», замаскированный под немецкое торговое судно «Донау », вошел в пролив Маточкин Шар, разделяющий северный и южный острова Новой Земли. Но ни ледокола, ни других судов там не оказалось. По сему поводу капитан рейдера Роберт Эйссен записал в своем дневнике: «Советский балаган», и приказал пройти пролив без лоцмана. Но вскоре «Комет» нашел на берегу пролива Маточкин Шар 2 наших лоцманов, оставленных 8 дней назад ледоколом «Ленин» перед уходом предыдущего каравана. Два лоцмана повели рейдер дальше. Руководитель лоцманской группы капитан дальнего плавания Д. Н. Сергиевский говорил только по-русски, ничем не выдавая знание английского, зато второй лоцман, А. Г. Карельских, хорошо говорил по-английски и вел переговоры. Передвижения советских лоцманов были ограничены ходовым мостиком, штурманской рубкой и своей каютой. Тем не менее они поняли, что “Комет” является вспомогательным крейсером, о чем позже сообщили в своем рейсовом отчете, направленном в Управление Главсевморпуги (10670,266).</w:t>
      </w:r>
    </w:p>
    <w:p w14:paraId="3F8C7D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BAF127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lastRenderedPageBreak/>
        <w:t>За рубежом:</w:t>
      </w:r>
    </w:p>
    <w:p w14:paraId="56643AD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E33361B"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14 августа в 1940 году под пилотированием летчика Марио ди Бернарди был облетан первый прототип </w:t>
      </w:r>
      <w:hyperlink r:id="rId286" w:tgtFrame="_blank" w:history="1">
        <w:r w:rsidRPr="00DB5D0D">
          <w:rPr>
            <w:rFonts w:ascii="Times New Roman" w:hAnsi="Times New Roman"/>
            <w:color w:val="000000" w:themeColor="text1"/>
            <w:sz w:val="16"/>
            <w:szCs w:val="16"/>
          </w:rPr>
          <w:t xml:space="preserve">«Са.316» </w:t>
        </w:r>
      </w:hyperlink>
      <w:r w:rsidRPr="00DB5D0D">
        <w:rPr>
          <w:rFonts w:ascii="Times New Roman" w:hAnsi="Times New Roman"/>
          <w:color w:val="000000" w:themeColor="text1"/>
          <w:sz w:val="16"/>
          <w:szCs w:val="16"/>
        </w:rPr>
        <w:t>(«ММ 27193»). «Caproni» «Ca 316» - морской разведчик. Создан на базе поплавкового самолета «Ca.310» «Idro». Предназначался для использования на линкоре "Литторио". Взлет с палубы осуществлялся при помощью катапульты. «Ca.316» был поплавковый низкоплан оборудованный двумя двигателями «Piaggio» «P.VII C.16» мощностью 430 л.с. Самолет мог нести до 400 килограмм легких бомб и был вооружен 7.7-мм пулеметом на подвижной турели установленным сверху фюзеляжа и одним 12.7-мм пулеметом смонтированном на крыле (14983).</w:t>
      </w:r>
    </w:p>
    <w:p w14:paraId="6DAF9361"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03B5EDD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германское правительство заявило, что в Люксембурге устанавливается немецкое гражданское правление (4962).</w:t>
      </w:r>
    </w:p>
    <w:p w14:paraId="7571553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7E0486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2473ED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2435F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закончились работы по устранению недостатков, отмеченных в ходе гос. испытаний (кроме обзора) ЦКБ-55, которые проводились с 15 мая 1940. При этом, добиться безотказной работы двигателя так и не удалось, в связи с чем, самолет возвратили на завод для замены АМ-35 на АМ-38 (187,8).</w:t>
      </w:r>
    </w:p>
    <w:p w14:paraId="7DBE37A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56AAE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вышел приказ НКАП N 444с, согласно которому:</w:t>
      </w:r>
    </w:p>
    <w:p w14:paraId="68ACD0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затяжным характером работ по ряду опытных самолетов и излишних усложнений, вводимых в конструкцию самолетов, необоснованно затрудняющих технологию производства ПРИКАЗЫВАЮ:</w:t>
      </w:r>
    </w:p>
    <w:p w14:paraId="48B86E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Параграф 1.</w:t>
      </w:r>
    </w:p>
    <w:p w14:paraId="666F5F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проверки работ опытных самолетов "Ш" (Кочеригина), "СК" (Бисноват), "ИС" (Шевченко), "ЭОИ" (Беляева) и самолета Козлова (ВВА) [вычеркнуто], назначить комиссию в следующем составе: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3833"/>
      </w:tblGrid>
      <w:tr w:rsidR="007D5DF8" w:rsidRPr="00DB5D0D" w14:paraId="549B6DC2" w14:textId="77777777" w:rsidTr="00E543D0">
        <w:tc>
          <w:tcPr>
            <w:tcW w:w="3833" w:type="dxa"/>
            <w:tcBorders>
              <w:top w:val="single" w:sz="12" w:space="0" w:color="auto"/>
            </w:tcBorders>
          </w:tcPr>
          <w:p w14:paraId="59B05A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Сеньков А.А.</w:t>
            </w:r>
          </w:p>
        </w:tc>
        <w:tc>
          <w:tcPr>
            <w:tcW w:w="3833" w:type="dxa"/>
            <w:tcBorders>
              <w:top w:val="single" w:sz="12" w:space="0" w:color="auto"/>
            </w:tcBorders>
          </w:tcPr>
          <w:p w14:paraId="5D98D4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Нач. КБ ЦАГИ</w:t>
            </w:r>
          </w:p>
        </w:tc>
        <w:tc>
          <w:tcPr>
            <w:tcW w:w="3833" w:type="dxa"/>
            <w:tcBorders>
              <w:top w:val="single" w:sz="12" w:space="0" w:color="auto"/>
            </w:tcBorders>
          </w:tcPr>
          <w:p w14:paraId="4B108A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Председатель</w:t>
            </w:r>
          </w:p>
        </w:tc>
      </w:tr>
      <w:tr w:rsidR="007D5DF8" w:rsidRPr="00DB5D0D" w14:paraId="6063DC9D" w14:textId="77777777" w:rsidTr="00E543D0">
        <w:tc>
          <w:tcPr>
            <w:tcW w:w="3833" w:type="dxa"/>
          </w:tcPr>
          <w:p w14:paraId="69CE96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А.Б.Юмашев А.Б.</w:t>
            </w:r>
          </w:p>
        </w:tc>
        <w:tc>
          <w:tcPr>
            <w:tcW w:w="3833" w:type="dxa"/>
          </w:tcPr>
          <w:p w14:paraId="356F88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Л-и</w:t>
            </w:r>
          </w:p>
        </w:tc>
        <w:tc>
          <w:tcPr>
            <w:tcW w:w="3833" w:type="dxa"/>
          </w:tcPr>
          <w:p w14:paraId="12D3BF7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98DAB64" w14:textId="77777777" w:rsidTr="00E543D0">
        <w:tc>
          <w:tcPr>
            <w:tcW w:w="3833" w:type="dxa"/>
            <w:tcBorders>
              <w:bottom w:val="single" w:sz="12" w:space="0" w:color="auto"/>
            </w:tcBorders>
          </w:tcPr>
          <w:p w14:paraId="721364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Беляев П.А.</w:t>
            </w:r>
          </w:p>
        </w:tc>
        <w:tc>
          <w:tcPr>
            <w:tcW w:w="3833" w:type="dxa"/>
            <w:tcBorders>
              <w:bottom w:val="single" w:sz="12" w:space="0" w:color="auto"/>
            </w:tcBorders>
          </w:tcPr>
          <w:p w14:paraId="6CFCB6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Нач. 3 Отд. 7-го ГУ</w:t>
            </w:r>
          </w:p>
        </w:tc>
        <w:tc>
          <w:tcPr>
            <w:tcW w:w="3833" w:type="dxa"/>
            <w:tcBorders>
              <w:bottom w:val="single" w:sz="12" w:space="0" w:color="auto"/>
            </w:tcBorders>
          </w:tcPr>
          <w:p w14:paraId="35F4C09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1AF4CD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Параграф 2.</w:t>
      </w:r>
    </w:p>
    <w:p w14:paraId="3C8928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Комиссии закончить свою работу к 20 августа и результаты доложить мне. Зам. Наркома А.С.Я. (280,30).</w:t>
      </w:r>
    </w:p>
    <w:p w14:paraId="74D7A20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F7022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 была подготовлена докладная записка о результатах летных испытаний самолета "Украина" на выработку остатков горючего (7627, 95-96).</w:t>
      </w:r>
    </w:p>
    <w:p w14:paraId="5BFB17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 было проведено летное испытание самолета "Украина" на выработку остатков горючего. Испытание проводилось на летно-испытательной станции завода 3 39. Пилотировал самолет летчик-испытатель Федоров.</w:t>
      </w:r>
    </w:p>
    <w:p w14:paraId="4AB42B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7D0142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испытания полностью подтверждают выводы 31 июля 1940 года, а именно:</w:t>
      </w:r>
    </w:p>
    <w:p w14:paraId="34573E8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 для прекращения полета и производства вынужденной посадки самолета "Украина" по вине материальной части и остатков горючего не было. Остатка горючего хватило бы для продолжения полета на расстояние минимум 1300 км.</w:t>
      </w:r>
    </w:p>
    <w:p w14:paraId="1205CFF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Нестеренко, очевидно неправильно пользовалась кранами и поэтому не смогла выработать остатка горючего (7627, 95-96).</w:t>
      </w:r>
    </w:p>
    <w:p w14:paraId="04087FF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5522E2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15 августа 1940, согласно беседе контролера Вахрушева - представителя КО СНК СССР - с Нач. Производственного отдела ПГУ от 17 августа 1940 и журнала Учета выполнения постановлени правительства в отношении постановления КО N236сс "О постановке серийного производства самолетов ДБ-240 конструкции Ермолаева":</w:t>
      </w:r>
    </w:p>
    <w:p w14:paraId="36546C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КБ тов. Ермолаева полностью заводу № 18 не выданы.</w:t>
      </w:r>
    </w:p>
    <w:p w14:paraId="5FE37B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Полученные чертежи спущены в производство. То же в отношении шаблонов. Оснащение производства идет удовлетворительно.</w:t>
      </w:r>
    </w:p>
    <w:p w14:paraId="351791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Имеются задержки из-за хромансилевых труб и хромансилевых профилей.</w:t>
      </w:r>
    </w:p>
    <w:p w14:paraId="643926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для детальной проверки хода проихзводства с-та ДБ-240 выехать в Воронеж (10395)</w:t>
      </w:r>
    </w:p>
    <w:p w14:paraId="7F756C2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6C408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 зам. начальника вооружения и снабжения ВВС бригинженер П. Федоров писал письмо № 501202сс члену Хозяйственного совета по оборонной промышленности дивинженеру Репину</w:t>
      </w:r>
    </w:p>
    <w:p w14:paraId="39752D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Направляю сводку о ходе испытаний опытных самолетов по состоянию на 12 августа 1940 года.</w:t>
      </w:r>
    </w:p>
    <w:p w14:paraId="5F66B2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упомянутое на 5 листах (3377, 34).</w:t>
      </w:r>
    </w:p>
    <w:p w14:paraId="01E516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Сводка о ходе испытаний опытных самолетов на 12 августа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7D5DF8" w:rsidRPr="00DB5D0D" w14:paraId="3AC785BA" w14:textId="77777777" w:rsidTr="00E543D0">
        <w:tc>
          <w:tcPr>
            <w:tcW w:w="3119" w:type="dxa"/>
          </w:tcPr>
          <w:p w14:paraId="4CA655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самолета</w:t>
            </w:r>
          </w:p>
        </w:tc>
        <w:tc>
          <w:tcPr>
            <w:tcW w:w="8448" w:type="dxa"/>
          </w:tcPr>
          <w:p w14:paraId="242858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tc>
      </w:tr>
      <w:tr w:rsidR="007D5DF8" w:rsidRPr="00DB5D0D" w14:paraId="4079A62C" w14:textId="77777777" w:rsidTr="00E543D0">
        <w:tc>
          <w:tcPr>
            <w:tcW w:w="3119" w:type="dxa"/>
          </w:tcPr>
          <w:p w14:paraId="13620C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М-105П – гл. конструкторы Горбунов, Лавочкин и Гудков</w:t>
            </w:r>
          </w:p>
          <w:p w14:paraId="33898C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301</w:t>
            </w:r>
          </w:p>
        </w:tc>
        <w:tc>
          <w:tcPr>
            <w:tcW w:w="8448" w:type="dxa"/>
          </w:tcPr>
          <w:p w14:paraId="3ECF3D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1940 года работы по доводке самолета были окончены. После госиспытаний в НИИ ВВС в машине были сделаны следующие основные изменения:</w:t>
            </w:r>
          </w:p>
          <w:p w14:paraId="2F698D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Увеличена жесткость лонжерона руля глубины в расчете на производство полетов на пикирование.</w:t>
            </w:r>
          </w:p>
          <w:p w14:paraId="7F6773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Переделана заслонка водяного радиатора.</w:t>
            </w:r>
          </w:p>
          <w:p w14:paraId="3EB848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Поставлено вооружение: 2 ШКАС и 2 БС.</w:t>
            </w:r>
          </w:p>
          <w:p w14:paraId="3EC221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Изменена система креплений привязных ремней.</w:t>
            </w:r>
          </w:p>
          <w:p w14:paraId="387AE5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Улучшена вентиляция кабины и устранены некоторые мелкие производственные дефекты.</w:t>
            </w:r>
          </w:p>
          <w:p w14:paraId="5DC95A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 часов на аэродроме завода № 301 был совершен первый полет после доводки самолета. Полет продолжительностью 20 минут имел целью опробывание в воздухе агрегатов самолета и освоение летчика с машиной перед тренировочными полетами по подготовке к параду 18 августа 1940 года.</w:t>
            </w:r>
          </w:p>
          <w:p w14:paraId="10A13B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инженер 1 ранга Никашин, взлет произвел нормально, набрал высоту 1000 м, убрал шасси и сделал несколько кругов над аэродромом на Н=1000 м, затем проделал несколько правых и левых виражей, затем крутым планированием снизился и пошел на большой скорости (475 км/час по прибору) на высоте 100 м. Потом самолет взял горку и после разворота пошел на посадку.</w:t>
            </w:r>
          </w:p>
          <w:p w14:paraId="148527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были выпущены своевременно, заход на посадку был произведен со стороны ангаров завода № 301. Самолет шел строго по "Т" против солнца. Посадка была произведена с недомазом до "Т". При выравнивании самолет ударился о бугор, его взмыло и после второго удара шасси были вырваны из узлов и пробило верхнюю обшивку плоскостей, самолет затем протянул по земле несколько метров, развернулся влево и лег на фюзеляж.</w:t>
            </w:r>
          </w:p>
          <w:p w14:paraId="534748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невредим. У самолета вырван костыль, пробиты плоскости, повреждена нижняя обшивка фюзеляжа, сорвана заслонка водяного радиатора, помят нижний капот мотора.</w:t>
            </w:r>
          </w:p>
          <w:p w14:paraId="70BA51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работает комиссия по выявлению всех обстоятельств аварии.</w:t>
            </w:r>
          </w:p>
          <w:p w14:paraId="36CB31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уже совершенно очевидно, что на аэродроме, подобном аэродрому завода № 301, никаких испытательных полетов производить нельзя. Его поверхность неровная, имеются многочисленные бугры и выбоины, что приводило уже к неоднократным авариям и поломкам самолета.</w:t>
            </w:r>
          </w:p>
          <w:p w14:paraId="2C2C74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дать указание заводу № 301 о производстве срочных работ по окончании постройки второго экземпляра самолета И-301. Кроме того, необходимо не прекращать работы по постройке войсковой серии машины "И-301" на заводе № 23.</w:t>
            </w:r>
          </w:p>
        </w:tc>
      </w:tr>
      <w:tr w:rsidR="007D5DF8" w:rsidRPr="00DB5D0D" w14:paraId="1100C123" w14:textId="77777777" w:rsidTr="00E543D0">
        <w:tc>
          <w:tcPr>
            <w:tcW w:w="3119" w:type="dxa"/>
          </w:tcPr>
          <w:p w14:paraId="15E8C6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И-135 "330" – гл. конструктор Сухой П.О.</w:t>
            </w:r>
          </w:p>
          <w:p w14:paraId="1E0B08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135</w:t>
            </w:r>
          </w:p>
        </w:tc>
        <w:tc>
          <w:tcPr>
            <w:tcW w:w="8448" w:type="dxa"/>
          </w:tcPr>
          <w:p w14:paraId="284683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посадки с убранными шасси, произведенной летчиком ЦАГИ Чернавским 3 августа 1940 года самолет был перевезен в Подлипки на завод № 289, для устранения полученных поломок.</w:t>
            </w:r>
          </w:p>
          <w:p w14:paraId="3421C4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Поломки были следующие: сорвана и помята заслонка водяного радиатора, помят нижний капот мотора, погнут винт, имеются вмятины на консоли стабилизатора и на консоли крыла. Кроме того, необходимо произвести замену мотора, осмотр ТК и других агрегатов.</w:t>
            </w:r>
          </w:p>
          <w:p w14:paraId="0E6F28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Все работы, производящиеся на заводе № 289, будут по заявлению главного конструктора окончены приблизительно к 15 августа. Задержку вызовет отсутствие мотора, который должен выслать завод № 26 в Рыбинске. ТК снят и отправлен в ЦИАМ для осмотра.</w:t>
            </w:r>
          </w:p>
          <w:p w14:paraId="5978F9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дать указание заводу № 135 в Харькове о форсировании постройки дублера самолета "И-135", обеспечив этот завод всеми недостающими агрегатами, как например: водяной и масляный радиаторы, гидропомпа уборки шасси и т.д.</w:t>
            </w:r>
          </w:p>
        </w:tc>
      </w:tr>
      <w:tr w:rsidR="007D5DF8" w:rsidRPr="00DB5D0D" w14:paraId="7645393A" w14:textId="77777777" w:rsidTr="00E543D0">
        <w:tc>
          <w:tcPr>
            <w:tcW w:w="3119" w:type="dxa"/>
          </w:tcPr>
          <w:p w14:paraId="64FE1E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ДБ-240 – гл. конструктор Ермолаев</w:t>
            </w:r>
          </w:p>
          <w:p w14:paraId="03D5A2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240</w:t>
            </w:r>
          </w:p>
        </w:tc>
        <w:tc>
          <w:tcPr>
            <w:tcW w:w="8448" w:type="dxa"/>
          </w:tcPr>
          <w:p w14:paraId="35D0F7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 поставлен дополнительный бензобак емкостью 1000 литров.</w:t>
            </w:r>
          </w:p>
          <w:p w14:paraId="2CB727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состоялся полет на максимальную дальность. Из-за плохих метеоусловий и сильного встречного ветра, самолет прошел 3065 км со средней скоростью 360 км/час.</w:t>
            </w:r>
          </w:p>
          <w:p w14:paraId="0982D7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баках осталось 1000 кг горючего.</w:t>
            </w:r>
          </w:p>
          <w:p w14:paraId="7B8403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полете отказал клапан дополнительного бака, вследствие чего в нем осталось неиспользованными 600 литров горючего.</w:t>
            </w:r>
          </w:p>
          <w:p w14:paraId="1290B2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посадки, на рулежке вырвало реборду левого колеса и лопнул пневматик. Авария произошла из-за недоброкачественности литья (обнаружены раковины).</w:t>
            </w:r>
          </w:p>
          <w:p w14:paraId="5426F71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5E34C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указанию наркома Авиапрома Шахурина, самолет готовится к повторению полета на дальность. Устанавливаются газоанализаторы, тарируются "баузеры".</w:t>
            </w:r>
          </w:p>
          <w:p w14:paraId="2BE7CA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Вылет намечался на 12-13 августа.</w:t>
            </w:r>
          </w:p>
        </w:tc>
      </w:tr>
      <w:tr w:rsidR="007D5DF8" w:rsidRPr="00DB5D0D" w14:paraId="7A13BA79" w14:textId="77777777" w:rsidTr="00E543D0">
        <w:tc>
          <w:tcPr>
            <w:tcW w:w="3119" w:type="dxa"/>
          </w:tcPr>
          <w:p w14:paraId="58B16E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АМ-35А – гл. конструктор Микоян</w:t>
            </w:r>
          </w:p>
          <w:p w14:paraId="29E6AF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w:t>
            </w:r>
          </w:p>
        </w:tc>
        <w:tc>
          <w:tcPr>
            <w:tcW w:w="8448" w:type="dxa"/>
          </w:tcPr>
          <w:p w14:paraId="11D49D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2 с начала заводских испытаний выполнено 19 полетов, общей продолжительностью 7 часов 24 минуты.</w:t>
            </w:r>
          </w:p>
          <w:p w14:paraId="24BB11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последнюю неделю с 5 августа по 12 августа 1940 года произведено 7 полетов продолжительностью 3 часа 10 минут, из них 6 полетов на скороподъемность и скорость по высотам с форсажем и один полет на километраж.</w:t>
            </w:r>
          </w:p>
          <w:p w14:paraId="378AAB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выполнении всех полетов на скороподъемность на высотах 4800-8000 м, мотор трясет и плохо работает, особенно при пониженных Рк-600 м рт. ст.</w:t>
            </w:r>
          </w:p>
          <w:p w14:paraId="5DD188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второго полета была обнаружена лопнувшая трубка, подходящая к бензопомпе, из-за чего получился подсос, но после устранения дефекта мотор по-прежнему работал плохо. Причины неудовлетворительной работы мотора на больших высотах выясняются.</w:t>
            </w:r>
          </w:p>
          <w:p w14:paraId="4A72B5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Предполагают повысить давление бензина с 0,27 до 0,34 атм. При уборке шасси, правая нога, из-за раздутия покрышки колеса не садится полностью и не становится на замок.</w:t>
            </w:r>
          </w:p>
          <w:p w14:paraId="2DB9CB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километраж – задание не выполнено. Правая нога шасси не стала на замок.</w:t>
            </w:r>
          </w:p>
          <w:p w14:paraId="4BCAFE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выполнения пикирования до скорости 650 км/час установленными новыми масляными радиаторами и капотами Микоян отказался.</w:t>
            </w:r>
          </w:p>
          <w:p w14:paraId="458EE4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3 с начала заводских испытаний выполнено 13 полетов общей продолжительностью 4 часа 30 минут. За последнюю неделю с 5 августа – 12 августа 1940 года произведено 2 полета продолжительностью 59 минут, из них:</w:t>
            </w:r>
          </w:p>
          <w:p w14:paraId="15E795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проверку температур, режима мотора с маслорадиатором самолета Ме-109; в этом полете температура масла получилась также как и с радиатором завода № 34, т.е. 85/113 градусов С. Было принято решение установить два 9-ти дюймовых маслорадиатора по типу экземпляра № 2.</w:t>
            </w:r>
          </w:p>
          <w:p w14:paraId="70544D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установки маслорадиаторов, был произведен второй полет на снятие температурных характеристик. В этом полете температуры масла получились такие же как и на экземпляре № 2, т.е. на входе 70 градусов С и на выходе 105 градусов С, т.е. в пределах нормы.</w:t>
            </w:r>
          </w:p>
          <w:p w14:paraId="6D1CBF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Уборка шасси происходит ненормально, т.е., то становится на замки, то не доходит до замков.</w:t>
            </w:r>
          </w:p>
          <w:p w14:paraId="02D9E2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на земле, шасси убираются хорошо.</w:t>
            </w:r>
          </w:p>
          <w:p w14:paraId="7BC8FE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Причины выявляются.</w:t>
            </w:r>
          </w:p>
          <w:p w14:paraId="68D935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1 с начала заводских испытаний произведено 54 полета общей продолжительностью 20 часов 54 минуты. За последнюю неделю на самолете полетов не производилось.</w:t>
            </w:r>
          </w:p>
          <w:p w14:paraId="6FEBD9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устанавливаются два 9-ти дюймовых радиатора по типу экземпляров №№ 2 и 3 и готовится для участия в параде 18 августа.</w:t>
            </w:r>
          </w:p>
          <w:p w14:paraId="45F586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Ориентировочный срок готовности 12-13 августа.</w:t>
            </w:r>
          </w:p>
          <w:p w14:paraId="774243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начала заводских испытаний на всех самолетах произведено всего 86 полетов продолжительностью 32 часа 48 минут.</w:t>
            </w:r>
          </w:p>
          <w:p w14:paraId="4426CF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заводских испытаний выполнена на 80-85%.</w:t>
            </w:r>
          </w:p>
          <w:p w14:paraId="1FEA49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доведенности шасси, нормальной работы мотора с форсажем до Н=8000 м и контрольного полета на пикирование с новыми радиаторами и капотами на госиспытание принят быть не может.</w:t>
            </w:r>
          </w:p>
        </w:tc>
      </w:tr>
      <w:tr w:rsidR="007D5DF8" w:rsidRPr="00DB5D0D" w14:paraId="6111A366" w14:textId="77777777" w:rsidTr="00E543D0">
        <w:tc>
          <w:tcPr>
            <w:tcW w:w="3119" w:type="dxa"/>
          </w:tcPr>
          <w:p w14:paraId="61E5AC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 М-88Р – гл. конструктор Поликарпов</w:t>
            </w:r>
          </w:p>
          <w:p w14:paraId="431827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w:t>
            </w:r>
          </w:p>
        </w:tc>
        <w:tc>
          <w:tcPr>
            <w:tcW w:w="8448" w:type="dxa"/>
          </w:tcPr>
          <w:p w14:paraId="10BCF5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последнюю неделю с 5 августа по 12 августа 1940 года полетов не производилось, так как самолет к первому вылету еще не готов.</w:t>
            </w:r>
          </w:p>
          <w:p w14:paraId="3C133D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осмотра мотора М-88Р представителями завода № 29 было выявлено, что мотор работал на обедненной смеси и недостаточной прогонки масла, что вызвало перегрев головок цилиндров.</w:t>
            </w:r>
          </w:p>
          <w:p w14:paraId="492F63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Принято решение снять карбюратор для проверки "АК" "Стоп крана" и его регулировки, после чего произвести гонку мотора.</w:t>
            </w:r>
          </w:p>
          <w:p w14:paraId="3A1209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 нелетном состоянии.</w:t>
            </w:r>
          </w:p>
        </w:tc>
      </w:tr>
      <w:tr w:rsidR="007D5DF8" w:rsidRPr="00DB5D0D" w14:paraId="244F9D81" w14:textId="77777777" w:rsidTr="00E543D0">
        <w:tc>
          <w:tcPr>
            <w:tcW w:w="3119" w:type="dxa"/>
          </w:tcPr>
          <w:p w14:paraId="7CB675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М-105П – гл. конструктор Яковлев</w:t>
            </w:r>
          </w:p>
          <w:p w14:paraId="7ED0C7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115</w:t>
            </w:r>
          </w:p>
        </w:tc>
        <w:tc>
          <w:tcPr>
            <w:tcW w:w="8448" w:type="dxa"/>
          </w:tcPr>
          <w:p w14:paraId="2A8C12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Экземпляр № 3 за последнюю неделю (5-12 августа) самолет не летал. Производился ремонт самолета после поломки, произошедшей 3 августа. Ремонтируется крыло, элерон, шасси; устанавливаются новые замки и проч. Ремонт предположено закончить 14 августа.</w:t>
            </w:r>
          </w:p>
          <w:p w14:paraId="5AA130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 нелетном состоянии и находится на заводе № 115.</w:t>
            </w:r>
          </w:p>
          <w:p w14:paraId="74C77E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Экземпляр № 2 не летал. Находится на заводе № 115, где ведется работа по переделке этого самолета: устанавливается мотор с трехскоростным нагнетателем, крыло с отъемными консолями, новое шасси, спецоборудование по ТТТ.</w:t>
            </w:r>
          </w:p>
        </w:tc>
      </w:tr>
      <w:tr w:rsidR="007D5DF8" w:rsidRPr="00DB5D0D" w14:paraId="26C22EF0" w14:textId="77777777" w:rsidTr="00E543D0">
        <w:tc>
          <w:tcPr>
            <w:tcW w:w="3119" w:type="dxa"/>
          </w:tcPr>
          <w:p w14:paraId="1D5A18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УТИ-6 М-105 – гл. конструктор Яковлев</w:t>
            </w:r>
          </w:p>
          <w:p w14:paraId="245ABC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115</w:t>
            </w:r>
          </w:p>
        </w:tc>
        <w:tc>
          <w:tcPr>
            <w:tcW w:w="8448" w:type="dxa"/>
          </w:tcPr>
          <w:p w14:paraId="48039F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неделю, с 5 по 12 августа произведено 4 полета общей продолжительностью 2 часа 43 минуты. Два полета были сделаны на стрельбу в воздухе – в обоих полетах был прострелен винт. Был произведен полет на штопор до 2-х витков – самолет выходил без запаздывания.</w:t>
            </w:r>
          </w:p>
          <w:p w14:paraId="4E04BC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самолет был исправлен.</w:t>
            </w:r>
          </w:p>
        </w:tc>
      </w:tr>
    </w:tbl>
    <w:p w14:paraId="028F6C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(3377, 35-39).</w:t>
      </w:r>
    </w:p>
    <w:p w14:paraId="5333F7A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BB03DA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 зам. начальника вооружения и снабжения ВВС бригинженер П. Федоров писал письмо № 501202сс секретарю КО Пугаеву</w:t>
      </w:r>
    </w:p>
    <w:p w14:paraId="0338F4F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Направляю сводку о ходе испытаний опытных самолетов по состоянию на 12 августа 1940 года.</w:t>
      </w:r>
    </w:p>
    <w:p w14:paraId="3B19CF3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упомянутое на 5 листах (3420, 63).</w:t>
      </w:r>
    </w:p>
    <w:p w14:paraId="6830438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 начальник Штаба НИИ ВВС бригинженер Щербаков подписал</w:t>
      </w:r>
    </w:p>
    <w:p w14:paraId="1E9AB5B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Сводка о ходе испытаний опытных самолетов на 12 августа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8481"/>
      </w:tblGrid>
      <w:tr w:rsidR="007D5DF8" w:rsidRPr="00DB5D0D" w14:paraId="0D174A18" w14:textId="77777777" w:rsidTr="00E543D0">
        <w:tc>
          <w:tcPr>
            <w:tcW w:w="3085" w:type="dxa"/>
          </w:tcPr>
          <w:p w14:paraId="303AA92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самолетов</w:t>
            </w:r>
          </w:p>
        </w:tc>
        <w:tc>
          <w:tcPr>
            <w:tcW w:w="8481" w:type="dxa"/>
          </w:tcPr>
          <w:p w14:paraId="55788F1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w:t>
            </w:r>
          </w:p>
        </w:tc>
      </w:tr>
      <w:tr w:rsidR="007D5DF8" w:rsidRPr="00DB5D0D" w14:paraId="7EC13256" w14:textId="77777777" w:rsidTr="00E543D0">
        <w:tc>
          <w:tcPr>
            <w:tcW w:w="3085" w:type="dxa"/>
          </w:tcPr>
          <w:p w14:paraId="5182262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М-105П гл. конструкторы Горбунов, Лавочкин и Гудков.</w:t>
            </w:r>
          </w:p>
          <w:p w14:paraId="08FF73A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301.</w:t>
            </w:r>
          </w:p>
        </w:tc>
        <w:tc>
          <w:tcPr>
            <w:tcW w:w="8481" w:type="dxa"/>
          </w:tcPr>
          <w:p w14:paraId="4B0579D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1940 года работы по доводке самолета были окончены. После гос. испытаний в НИИ ВВС в машине были сделаны следующие основные изменения:</w:t>
            </w:r>
          </w:p>
          <w:p w14:paraId="2C1FACE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Увеличена жесткость лонжерона руля глубины в расчете на производство полетов на пикирование.</w:t>
            </w:r>
          </w:p>
          <w:p w14:paraId="56381F0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Переделана заслонка водяного радиатора.</w:t>
            </w:r>
          </w:p>
          <w:p w14:paraId="420B7A4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Поставлено вооружение: 2 ШКАС и 2 БС.</w:t>
            </w:r>
          </w:p>
          <w:p w14:paraId="4D5FDA9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Изменена система креплений привязных ремней.</w:t>
            </w:r>
          </w:p>
          <w:p w14:paraId="71521EB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Улучшена вентиляция кабины и устранены некоторые мелкие производственные дефекты.</w:t>
            </w:r>
          </w:p>
          <w:p w14:paraId="7671F58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19 часов на аэродроме завода № 301 был совершен первый полет после доводки самолета. Полет продолжительностью 20 минут имел целью опробование в воздухе агрегатов самолета и освоение летчика с машиной перед тренировочными полетами по подготовке к параду 18 августа 1940 года.</w:t>
            </w:r>
          </w:p>
          <w:p w14:paraId="0CE41C3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в/инженер 1 ранга Никашин взлет произвел нормально, набрал высоту 1000 метров, затем проделал несколько правых и левых виражей, затем крутым планированием снизился и прошел на большой скорости (475 км/час по прибору) на высоте 100 м. Потом самолет взял горку и после разворота пошел на посадку.</w:t>
            </w:r>
          </w:p>
          <w:p w14:paraId="261B7FC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были выпущены своевременно, заход на посадку был произведен со стороны ангаров завода № 301. Самолет шел строго по "Т" против солнца. Посадка была произведена с недомазом по "Т". При выравнивании самолет ударился о бугор, его взмыло и после второго удара шасси были вырваны из узлов и пробило верхнюю обшивку плоскостей, самолет затем протянул по земле несколько метров, развернулся влево и лег на фюзеляж. Летчик невредим. У самолета вырван костыль, пробиты плоскости, повреждена нижняя обшивка фюзеляжа, сорвана заслонка водяного радиатора, помят нижний капот мотора.</w:t>
            </w:r>
          </w:p>
          <w:p w14:paraId="0801398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работает комиссия по выявлению всех обстоятельств аварии.</w:t>
            </w:r>
          </w:p>
          <w:p w14:paraId="3207BF4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уже совершенно очевидно, что на аэродроме, подобном аэродрому завода № 301, никаких испытательных полетов производить нельзя. Его поверхность неровная, имеются многочисленные бугры и выбоины, что приводило уже к неоднократным авариям и поломкам самолета.</w:t>
            </w:r>
          </w:p>
          <w:p w14:paraId="6E4240E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дать указание заводу № 301 о производстве срочных работ по окончании постройки второго экземпляра самолета И-301. Кроме того, необходимо не прекращать работы по постройке войсковой серии машин "И-301" на заводе № 23.</w:t>
            </w:r>
          </w:p>
        </w:tc>
      </w:tr>
      <w:tr w:rsidR="007D5DF8" w:rsidRPr="00DB5D0D" w14:paraId="1162911B" w14:textId="77777777" w:rsidTr="00E543D0">
        <w:tc>
          <w:tcPr>
            <w:tcW w:w="3085" w:type="dxa"/>
          </w:tcPr>
          <w:p w14:paraId="54B50BA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И-135 "330" главный конструктор Сухой П.О., завод № 135.</w:t>
            </w:r>
          </w:p>
        </w:tc>
        <w:tc>
          <w:tcPr>
            <w:tcW w:w="8481" w:type="dxa"/>
          </w:tcPr>
          <w:p w14:paraId="408CA34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посадки с убранными шасси, произведенной летчиком ЦАГИ Чернавским 3 августа 1940 года, самолет был перевезен в Подлипки на завод № 289 для устранения полученных поломок.</w:t>
            </w:r>
          </w:p>
          <w:p w14:paraId="6E6037E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Поломки были следующие: сорвана и помята заслонка водяного радиатора, помят нижний капот мотора, погнут винт, имеются вмятины на консоли стабилизатора и на консоли крыла. Кроме того, необходимо произвести замену мотора, осмотр ТК и других агрегатов.</w:t>
            </w:r>
          </w:p>
          <w:p w14:paraId="7C4C73D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работы, производящиеся на заводе № 289 будут по заявлению главного конструктора окончены приблизительно к 15 августа. Задержку вызовет отсутствие мотора, который должен выслать завод № 26 в Рыбинске. ТК снят и отправлен в ЦИАМ для осмотра.</w:t>
            </w:r>
          </w:p>
          <w:p w14:paraId="1C05463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дать указание заводу № 135 в Харькове о форсировании постройки дублера самолета "И-135", обеспечив этот завод всеми недостающими агрегатами, как например: водяной и масляный радиаторы, гидропомпа уборки шасси и т.д.</w:t>
            </w:r>
          </w:p>
        </w:tc>
      </w:tr>
      <w:tr w:rsidR="007D5DF8" w:rsidRPr="00DB5D0D" w14:paraId="347C40E5" w14:textId="77777777" w:rsidTr="00E543D0">
        <w:tc>
          <w:tcPr>
            <w:tcW w:w="3085" w:type="dxa"/>
          </w:tcPr>
          <w:p w14:paraId="0D65815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2М105 главный конструктор Ермолаев, завод № 240.</w:t>
            </w:r>
          </w:p>
        </w:tc>
        <w:tc>
          <w:tcPr>
            <w:tcW w:w="8481" w:type="dxa"/>
          </w:tcPr>
          <w:p w14:paraId="0A1FB9D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 поставлен дополнительный бензобак емкостью 1000 литров.</w:t>
            </w:r>
          </w:p>
          <w:p w14:paraId="7E29B27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состоялся полет на максимальную дальность. Из-за плохих метеоусловий и сильного встречного ветра, самолет прошел 3065 км со средней скоростью 360 км/час.</w:t>
            </w:r>
          </w:p>
          <w:p w14:paraId="20B06A0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баках осталось 1000 кг горючего.</w:t>
            </w:r>
          </w:p>
          <w:p w14:paraId="2ADF7C0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полете отказал клапан дополнительного бака, вследствие чего в нем остались неиспользованными 600 литров горючего.</w:t>
            </w:r>
          </w:p>
          <w:p w14:paraId="5AA7212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посадки, на рулежке, вырвало реборду левого колеса и лопнул пневматик. Авария произошла из-за недоброкачественности литья (обнаружены раковины).</w:t>
            </w:r>
          </w:p>
          <w:p w14:paraId="58B040A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7CADB5F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указанию наркома Авиапрома Шахурина, самолет готовится к повторению полета на дальность. Устанавливаются газоанализаторы, тарируются "баузеры".</w:t>
            </w:r>
          </w:p>
          <w:p w14:paraId="2F2B8AE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Вылет намечался на 12-13 августа.</w:t>
            </w:r>
          </w:p>
        </w:tc>
      </w:tr>
      <w:tr w:rsidR="007D5DF8" w:rsidRPr="00DB5D0D" w14:paraId="32C6CEE5" w14:textId="77777777" w:rsidTr="00E543D0">
        <w:tc>
          <w:tcPr>
            <w:tcW w:w="3085" w:type="dxa"/>
          </w:tcPr>
          <w:p w14:paraId="1DD2528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АМ-35А главный конструктор Микоян, завод № 1.</w:t>
            </w:r>
          </w:p>
        </w:tc>
        <w:tc>
          <w:tcPr>
            <w:tcW w:w="8481" w:type="dxa"/>
          </w:tcPr>
          <w:p w14:paraId="28B4EDD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2 с начала заводских испытаний выполнено 19 полетов общей продолжительностью 7 час. 24 мин.</w:t>
            </w:r>
          </w:p>
          <w:p w14:paraId="40163BE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последнюю неделю с 5 августа по 12 августа 1940 года произведено 7 полетов продолжительностью 3 час. 10 мин., из них: 6 полетов на скороподъемность и скорости по высотам с форсажем и один полет на километраж.</w:t>
            </w:r>
          </w:p>
          <w:p w14:paraId="3005207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выполнении всех полетов на скороподъемность на высотах 4800-8000 м мотор трясет и плохо работает, особенно при пониженных Рк=600 мм рт. ст.</w:t>
            </w:r>
          </w:p>
          <w:p w14:paraId="4FBACE9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второго полета была обнаружена лопнувшая трубка, подходящая к бензопомпе, из-за чего получился подсос, но после устранения дефекта мотор по-прежнему плохо работал. Причины неудовлетворительной работы мотора на больших высотах выясняются.</w:t>
            </w:r>
          </w:p>
          <w:p w14:paraId="4C93750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Предполагают повысить давление бензина с 0,27 до 0,34 атм. При уборке шасси, правая нога, из-за раздутия покрышки колеса, не садится полностью и не становится на азмок.</w:t>
            </w:r>
          </w:p>
          <w:p w14:paraId="4FFC898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километраж – задание не выполнено. Правая нога шасси не стала на замок.</w:t>
            </w:r>
          </w:p>
          <w:p w14:paraId="26348B3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 выполнения пикирования до скорости 650 км/час установленными новыми масляными радиаторами и капотами Микоян отказался.</w:t>
            </w:r>
          </w:p>
          <w:p w14:paraId="48CD4C9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3 с начала заводских испытаний выполнено 13 полетов общей продолжительностью 4 часа 30 минут. За последнюю неделю с 5 августа по 12 августа 1940 года произведено 2 полета продолжительностью 59 минут, из них:</w:t>
            </w:r>
          </w:p>
          <w:p w14:paraId="06FF282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проверку температур, режима мотора с маслорадиатором самолета Ме-109; в этом полете температура масла получилась также как и с радиатором завода № 34, т.е.=85/113 градусов С. Было принято решение установить два 9-ти дюймовых маслорадиатора по типу экземпляра № 2.</w:t>
            </w:r>
          </w:p>
          <w:p w14:paraId="05B3181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установки маслорадиаторов был произведен второй полет на снятие температурных характеристик. В этом полете температуры масла получились такие же, как и на экземпляре № 2, т.е. на входе 70 градусов С и на выходе 105 градусов С, т.е. в пределах нормы.</w:t>
            </w:r>
          </w:p>
          <w:p w14:paraId="42B0C4C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Уборка шасси происходит ненормально, т.е., то становится на замки, то не доходят до замков.</w:t>
            </w:r>
          </w:p>
          <w:p w14:paraId="1279377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на земле шасси убираются хорошо.</w:t>
            </w:r>
          </w:p>
          <w:p w14:paraId="4F51CD2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Причины выясняются.</w:t>
            </w:r>
          </w:p>
          <w:p w14:paraId="103789B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экземпляре № 1 с начала заводских испытаний произведено 54 полета общей продолжительностью 20 час. 54 мин. За последнюю неделю на самолете полетов не производилось.</w:t>
            </w:r>
          </w:p>
          <w:p w14:paraId="3DA9F3D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устанавливаются два 9-ти дюймовых радиатора по типу экземпляров №№ 2 и 3 и готовится для участия в параде 18 августа 1940 года.</w:t>
            </w:r>
          </w:p>
          <w:p w14:paraId="3BFC3CD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Ориентировочный срок готовности 12-13 августа.</w:t>
            </w:r>
          </w:p>
          <w:p w14:paraId="56B71E1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начала заводских испытаний на всех самолетах произведено всего 86 полетов продолжительностью 32 часа 48 минут.</w:t>
            </w:r>
          </w:p>
          <w:p w14:paraId="4A09EFE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заводских испытаний выполнена на 80-85%.</w:t>
            </w:r>
          </w:p>
          <w:p w14:paraId="7A448C4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доведенности шасси, нормальной работы мотора с форсажем до Н – 8000 м и контрольного полета на пикирование с новыми радиаторами и капотами – самолет на гос. испытание принят быть не может.</w:t>
            </w:r>
          </w:p>
        </w:tc>
      </w:tr>
      <w:tr w:rsidR="007D5DF8" w:rsidRPr="00DB5D0D" w14:paraId="610A1ACA" w14:textId="77777777" w:rsidTr="00E543D0">
        <w:tc>
          <w:tcPr>
            <w:tcW w:w="3085" w:type="dxa"/>
          </w:tcPr>
          <w:p w14:paraId="0FFC032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 М-88Р главный конструктор Поликарпов, завод № 1.</w:t>
            </w:r>
          </w:p>
        </w:tc>
        <w:tc>
          <w:tcPr>
            <w:tcW w:w="8481" w:type="dxa"/>
          </w:tcPr>
          <w:p w14:paraId="5210DDF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последнюю неделю с 5 августа по 12 августа 1940 года полетов не производилось, так как самолет к первому вылету еще не готов.</w:t>
            </w:r>
          </w:p>
          <w:p w14:paraId="6C1FD91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осмотра мотора М-88Р представителями завода № 29 было выявлено, что мотор работал на обедненной смеси и недостаточной подгонки масла, что вызывало перегрев головок цилиндров.</w:t>
            </w:r>
          </w:p>
          <w:p w14:paraId="1CD8467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Принято решение снять карбюратор для проверки "АК" "Стоп крана" и его регулировки, после чего произвести гонку мотора.</w:t>
            </w:r>
          </w:p>
          <w:p w14:paraId="3012EC9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 нелетном состоянии.</w:t>
            </w:r>
          </w:p>
        </w:tc>
      </w:tr>
      <w:tr w:rsidR="007D5DF8" w:rsidRPr="00DB5D0D" w14:paraId="3E5AEB29" w14:textId="77777777" w:rsidTr="00E543D0">
        <w:tc>
          <w:tcPr>
            <w:tcW w:w="3085" w:type="dxa"/>
          </w:tcPr>
          <w:p w14:paraId="5BB2A65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М-105П главный конструктор Яковлев, завод № 115.</w:t>
            </w:r>
          </w:p>
        </w:tc>
        <w:tc>
          <w:tcPr>
            <w:tcW w:w="8481" w:type="dxa"/>
          </w:tcPr>
          <w:p w14:paraId="6FA4A4E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Экземпляр № 3 за последнюю неделю (5-12 августа 1940 года) самолет не летал. Производился ремонт самолета после поломки, произошедшей 3 августа. Ремонтируется крыло, элерон, шасси; устанавливаются новые замки и проч. Ремонт предположено закончить 14 августа.</w:t>
            </w:r>
          </w:p>
          <w:p w14:paraId="1A574CC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Самолет в нелетном состоянии и находится на заводе № 115.</w:t>
            </w:r>
          </w:p>
          <w:p w14:paraId="2229F2F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Экземпляр № 2 не летал. Находится на заводе № 115, где ведется работа по переделке этого самолета: устанавливается мотор с трехскоростным нагнетателем, крыло с отъемными консолями, новое шасси, спецоборудование по Т.Т.Т.</w:t>
            </w:r>
          </w:p>
        </w:tc>
      </w:tr>
      <w:tr w:rsidR="007D5DF8" w:rsidRPr="00DB5D0D" w14:paraId="466C972B" w14:textId="77777777" w:rsidTr="00E543D0">
        <w:tc>
          <w:tcPr>
            <w:tcW w:w="3085" w:type="dxa"/>
          </w:tcPr>
          <w:p w14:paraId="40FC604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УТИ-26 М-105 главный конструктор Яковлев, завод № 115.</w:t>
            </w:r>
          </w:p>
        </w:tc>
        <w:tc>
          <w:tcPr>
            <w:tcW w:w="8481" w:type="dxa"/>
          </w:tcPr>
          <w:p w14:paraId="2D06829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неделю с 5 по 12 августа 1940 года произведено 4 полета общей продолжительностью 2 час. 43 мин. Два полета были сделаны на стрельбу в воздухе – в обоих полетах был прострелен винт. Был проведен полет на штопор до двух витков – самолет выходил без запаздывания.</w:t>
            </w:r>
          </w:p>
          <w:p w14:paraId="6DCC01C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 самолет будет исправлен.</w:t>
            </w:r>
          </w:p>
        </w:tc>
      </w:tr>
    </w:tbl>
    <w:p w14:paraId="4EF013E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(3420, 64-68).</w:t>
      </w:r>
    </w:p>
    <w:p w14:paraId="6B376E9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489B48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 зам. начальника вооружения и снабжения ВВС бригинженер Федоров писал письмо N 501202сс секретарю КО Пугаеву.</w:t>
      </w:r>
    </w:p>
    <w:p w14:paraId="083E79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Сводка</w:t>
      </w:r>
    </w:p>
    <w:p w14:paraId="5FCF6B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ходе испытаний опытных самолетов на 12 августа 1940 г.</w:t>
      </w:r>
    </w:p>
    <w:p w14:paraId="3357D1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М-105П гл. констр. Горбунов, Лавочкин и Гудков. Завод N 301.</w:t>
      </w:r>
    </w:p>
    <w:p w14:paraId="4B06D3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августа работы по доводке самолета были окончены. После гос. испытаний в НИИ ВВС в машине были сделаны изменения.</w:t>
      </w:r>
    </w:p>
    <w:p w14:paraId="5FF311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 час. на аэродроме завода N 301 был совершен первый полет после доводки самолета. Полет продолжительностью 20 мин., имел целью - опробование в воздухе агрегатов самолета и освоение летчика с машиной перед тренировочными полетами по подготовке к параду 18 августа 1904 г.</w:t>
      </w:r>
    </w:p>
    <w:p w14:paraId="0AF429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в/инженер 1 ранга Никашин.</w:t>
      </w:r>
    </w:p>
    <w:p w14:paraId="53EFD6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посадке самолет ударился о бугор. У самолета вырван костыль, пробиты плоскости, повреждена нижняя обшивка фюзеляжа и др.</w:t>
      </w:r>
    </w:p>
    <w:p w14:paraId="330686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работает комиссия по выявлению всех обстоятельств аварии.</w:t>
      </w:r>
    </w:p>
    <w:p w14:paraId="1C67E3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дать указание заводу N 301 о производстве срочных работ по окончании постройки 2-го экз. самолета И-301. Кроме того, необходимо не прекращать работы по постройке войсковой серии машин И-301 на заводе N 23.</w:t>
      </w:r>
    </w:p>
    <w:p w14:paraId="58904A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И=135 "330" гл. конструктор Сухой, завод N 135.</w:t>
      </w:r>
    </w:p>
    <w:p w14:paraId="327480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посадки с убранными шасси, произведенной летчиком ЦАГИ Чернавским 3 августа 1940 г., самолет был перевезен в Подлипки на завод N 289 для устранения полученных поломок.</w:t>
      </w:r>
    </w:p>
    <w:p w14:paraId="3A70A5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дать указание заводу N 135 в Харькове о форсировании постройки дублера самолета И-135, обеспечив этот завод всеми недостающими агрегатами.</w:t>
      </w:r>
    </w:p>
    <w:p w14:paraId="0E8724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2М105 гл. конструктор Ермолаев, завод N 240.</w:t>
      </w:r>
    </w:p>
    <w:p w14:paraId="719AF2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 поставлен дополнительный)бензобак емкостью 1000 литров.</w:t>
      </w:r>
    </w:p>
    <w:p w14:paraId="6063B2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августа состоялся полет на максимальную дальность. Из-за плохих метеусловий и сильного встречного ветра, самолет прошел 3065 км со средней скоростью 360 км/час.</w:t>
      </w:r>
    </w:p>
    <w:p w14:paraId="6BC289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баках осталось 1000 кг горючего.</w:t>
      </w:r>
    </w:p>
    <w:p w14:paraId="212685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полете отказал клапан дополнительного бака, вследствие чего в нем осталось неиспользованными 600 литров горючего.</w:t>
      </w:r>
    </w:p>
    <w:p w14:paraId="5DD8CF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указанию наркома Авиапрома Шахурина, самолет готовится к повторению полета на дальность. Устанавливаются газоанализаторы и др.</w:t>
      </w:r>
    </w:p>
    <w:p w14:paraId="6195CC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Вылет намечен на 12-13 августа.</w:t>
      </w:r>
    </w:p>
    <w:p w14:paraId="4AC33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 гл. конструктор Микоян, завод N 1.</w:t>
      </w:r>
    </w:p>
    <w:p w14:paraId="3F5F9E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 N 2 с начала заводских испытаний выполнено 19 полетов, общей продолжительностью 7 час. 24 мин.</w:t>
      </w:r>
    </w:p>
    <w:p w14:paraId="524E6D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5 августа по 12 августа 1940 г. произведено 7 полетов продолжительностью 3 час. 10 мин., из них 6 полетов на скороподъемность и скорости по высотам с форсажем и один полет на километраж.</w:t>
      </w:r>
    </w:p>
    <w:p w14:paraId="25D845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выполнении всех полетов на скороподъемность на высотах 4800-8000 м мотор трясет и плохо работает.</w:t>
      </w:r>
    </w:p>
    <w:p w14:paraId="74FD26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Обнаружены дефекты.</w:t>
      </w:r>
    </w:p>
    <w:p w14:paraId="2EA970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 N 3 с начала заводских испытаний выполнено 13 полетов, общей продолжительностью 4 час. 30 мин. С 5 августа по 12 августа произведено 2 полета, продолжительностью 59 мин.</w:t>
      </w:r>
    </w:p>
    <w:p w14:paraId="354900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экз. N 1 с начала заводских испытаний произведено 54 полета, общей продолжительностью 20 час. 54 мин. С 5 по 12 августа на самолете полетов не производилось.</w:t>
      </w:r>
    </w:p>
    <w:p w14:paraId="4CB057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начала заводских испытаний на всех самолетах произведено всего 86 полетов продолжительностью 32 час. 48 мин.</w:t>
      </w:r>
    </w:p>
    <w:p w14:paraId="24195E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заводских испытаний выполнена на 80-85%.</w:t>
      </w:r>
    </w:p>
    <w:p w14:paraId="7C41C9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доведенности шасси, нормальной работы мотора с форсажем до Н - 8000 м и контрольного полета на пикирование с новыми радиаторами и капотами - самолет на гос. испытание принят быть не может.</w:t>
      </w:r>
    </w:p>
    <w:p w14:paraId="02DCA7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И-190 М-88Р гл. конструктор Поликарпов, завод N 1.</w:t>
      </w:r>
    </w:p>
    <w:p w14:paraId="662589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5 по 12 августа 1940 г. полетов не производилось, т.к. самолет к первому вылету еще не готов.</w:t>
      </w:r>
    </w:p>
    <w:p w14:paraId="4915DF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 нелетном состоянии.</w:t>
      </w:r>
    </w:p>
    <w:p w14:paraId="672799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М-105П гл. конструктор Яковлев, завод N 115.</w:t>
      </w:r>
    </w:p>
    <w:p w14:paraId="754065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 N 3 с 5 по 12 августа 1940 г. не летал. Производился ремонт самолета после поломки, произошедшей 3 августа.</w:t>
      </w:r>
    </w:p>
    <w:p w14:paraId="428F75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в нелетном состоянии и находится на заводе N 115, где ведется работа по переделке этого самолета.</w:t>
      </w:r>
    </w:p>
    <w:p w14:paraId="1491B5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УТИ-26 М-105 гл. конструктор Яковлев, завод N 115.</w:t>
      </w:r>
    </w:p>
    <w:p w14:paraId="34FA16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5 по 12 августа произведено 4 полета, общей продолжительностью 2 час. 43 мин. Два полета были сделаны на стрельбу в воздухе - в обоих полетах был прострелен винт. Был проведен полет на штопор до 2-х витков - самолет выходил без запаздывания.</w:t>
      </w:r>
    </w:p>
    <w:p w14:paraId="792B0B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самолет будет исправлен (3362,63-68).</w:t>
      </w:r>
    </w:p>
    <w:p w14:paraId="03720B0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1DCF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в ходе заводских испытаний И-200 А.И.М, которые проходили с 31 марта по 17 августа 1940, на И-200-1 был выполнен контрольный полет (2988).</w:t>
      </w:r>
    </w:p>
    <w:p w14:paraId="17B9D78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F8DE0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 закончились войсковые испытания самолетов УТ-3 с двумя моторами МВ-6 конструкции инженера Яковлева, производства завода № 301, которые проходили с 15 мая 1940</w:t>
      </w:r>
    </w:p>
    <w:p w14:paraId="10E30C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7154B7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Лысков</w:t>
      </w:r>
    </w:p>
    <w:p w14:paraId="5A0E03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66AFE27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качество самолета УТ-3 как учебного для двухмоторных самолетов, условия работы инструктора-летчика и курсанта-летчика.</w:t>
      </w:r>
    </w:p>
    <w:p w14:paraId="0490725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время необходимое для обучения курсантов-летчиков на самолете УТ-3, окончивших самолеты У-2 и Р-5, а также только У-2 или УТ-2.</w:t>
      </w:r>
    </w:p>
    <w:p w14:paraId="347F051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продолжительность обучения курсанта-летчика на самолете УТ-3 для перехода на самолете СБ и быстроту освоения техники пилотирования на самолете СБ.</w:t>
      </w:r>
    </w:p>
    <w:p w14:paraId="07F21D0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возможность самостоятельного вылета на самолете СБ курсантов-летчиков, окончивших курс обучения на самолете УТ-3.</w:t>
      </w:r>
    </w:p>
    <w:p w14:paraId="6E4FF30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Дать оценку летно-пилотажным качествам самолета УТ-3.</w:t>
      </w:r>
    </w:p>
    <w:p w14:paraId="0C2A2AF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устранение заводом и качество устранения конструктивных и производственных дефектов, выявленных при гос. испытаниях головного серийного самолета и выявить новые дефекты.</w:t>
      </w:r>
    </w:p>
    <w:p w14:paraId="48BEB878" w14:textId="77777777" w:rsidR="003C7E8B" w:rsidRPr="00DB5D0D" w:rsidRDefault="003C7E8B" w:rsidP="00DB5D0D">
      <w:pPr>
        <w:pStyle w:val="a3"/>
        <w:widowControl/>
        <w:rPr>
          <w:color w:val="000000" w:themeColor="text1"/>
          <w:lang w:val="ru-RU"/>
        </w:rPr>
      </w:pPr>
      <w:r w:rsidRPr="00DB5D0D">
        <w:rPr>
          <w:color w:val="000000" w:themeColor="text1"/>
          <w:lang w:val="ru-RU"/>
        </w:rPr>
        <w:t>Установить практически межремонтные ресурсы самолета и мотора и основных агрегатов.</w:t>
      </w:r>
    </w:p>
    <w:p w14:paraId="57B7A7A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Дать анализ эксплуатационным качествам самолета УТ-3.</w:t>
      </w:r>
    </w:p>
    <w:p w14:paraId="3BA7F6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испытании находились 9 самолетов УТ-3 с двумя моторами МВ-6, производства завода № 301 за №№ 102, 103, 201, 202, 203, 204, 301, 302 и 303.</w:t>
      </w:r>
    </w:p>
    <w:p w14:paraId="35B9D2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УТ-3 моноплан, смешанной конструкции, с убирающимися в полете шасси, крыло деревянное, состоит из трех частей: центроплана и консолей. Фюзеляж металлический.</w:t>
      </w:r>
    </w:p>
    <w:p w14:paraId="34CB37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предъявленные на войсковые испытания отличаются от головного серийного следующим:</w:t>
      </w:r>
    </w:p>
    <w:p w14:paraId="730FC7E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переоборудован только для вывозного варианта, для чего снято все вооружение.</w:t>
      </w:r>
    </w:p>
    <w:p w14:paraId="3F74E8F9" w14:textId="77777777" w:rsidR="003C7E8B" w:rsidRPr="00DB5D0D" w:rsidRDefault="003C7E8B" w:rsidP="00DB5D0D">
      <w:pPr>
        <w:pStyle w:val="a3"/>
        <w:widowControl/>
        <w:rPr>
          <w:color w:val="000000" w:themeColor="text1"/>
          <w:lang w:val="ru-RU"/>
        </w:rPr>
      </w:pPr>
      <w:r w:rsidRPr="00DB5D0D">
        <w:rPr>
          <w:color w:val="000000" w:themeColor="text1"/>
          <w:lang w:val="ru-RU"/>
        </w:rPr>
        <w:t>…………………..</w:t>
      </w:r>
    </w:p>
    <w:p w14:paraId="031A5C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мая по 15 августа 1940 года самолеты выходили в полеты 54 дня. Всего налет на 9 самолетов 436 час. 49 мин.</w:t>
      </w:r>
    </w:p>
    <w:p w14:paraId="255285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Средний налет на все самолеты в 1 летный день – 8 час. 50 мин.</w:t>
      </w:r>
    </w:p>
    <w:p w14:paraId="69D0CA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число полетов на все самолеты – 2270.</w:t>
      </w:r>
    </w:p>
    <w:p w14:paraId="09FCD2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Среднее число полетов на все самолеты за 1 летный день – 42 полета.</w:t>
      </w:r>
    </w:p>
    <w:p w14:paraId="432354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Среднее число полетов на один самолет за 1 летный день – 4,7 полета.</w:t>
      </w:r>
    </w:p>
    <w:p w14:paraId="3D6FBB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Заключение</w:t>
      </w:r>
    </w:p>
    <w:p w14:paraId="027172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УТ-3 2МВ-6 конструкции инженера Яковлева в предъявленном варианте войсковые испытания не выдержали (4603).</w:t>
      </w:r>
    </w:p>
    <w:p w14:paraId="5542B08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A7B19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в Энгельсской авиашколе закончились войсковые испытания УТ-3 301 завода, которые шли с 15 мая 1940. Машинами А.С.Я. укомплектовали 1-й отряд 2-й эскадрильи к л Кулишин. В отличии от головного не было вооружения, был усилен костыль, изменены выхлопные патрубки и не было двери между кабинами. Налетали 436:49 и отчет был разгромным. "Большое количество дефектов по самолету, мотору и ВМГ выводило из строя 5-6 самолетов ежедневно, а оставшиеся 3-4 из-за вновь появляющихся дефектов использовались малоэффективно" "Самолеты УТ-3 2МВ-6 конструкции А.С.Я. в предъявленном варианте войсковые испытания не выдержали" (2200,29).</w:t>
      </w:r>
    </w:p>
    <w:p w14:paraId="5F9EF66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060F00A"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августа в 1940 году завершились (с 15 мая) войсковые испытания девяти </w:t>
      </w:r>
      <w:hyperlink r:id="rId287" w:tgtFrame="_blank" w:history="1">
        <w:r w:rsidRPr="00DB5D0D">
          <w:rPr>
            <w:rFonts w:ascii="Times New Roman" w:hAnsi="Times New Roman"/>
            <w:color w:val="000000" w:themeColor="text1"/>
            <w:sz w:val="16"/>
            <w:szCs w:val="16"/>
          </w:rPr>
          <w:t xml:space="preserve">«УТ-3» </w:t>
        </w:r>
      </w:hyperlink>
      <w:r w:rsidRPr="00DB5D0D">
        <w:rPr>
          <w:rFonts w:ascii="Times New Roman" w:hAnsi="Times New Roman"/>
          <w:color w:val="000000" w:themeColor="text1"/>
          <w:sz w:val="16"/>
          <w:szCs w:val="16"/>
        </w:rPr>
        <w:t>первых серий. Они проводились в Энгельсской авиашколе. Налетали в общей сложности 436 часов и 49 минут. От головного «УТ-3» серийные самолеты отличались отсутствием вооружения, усиленным костылем, измененными выхлопными патрубками и отсутствием двери между кабинами. Инструкторы летной школы оказались куда придирчивее, нежели испытатели НИИ ВВС. Их отчет был совершенно разгромным - досталось и конструкторам, и серийному заводу (14984).</w:t>
      </w:r>
    </w:p>
    <w:p w14:paraId="51E5A92A"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7297A2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на 21 заводе был закончен строительством УТ с автомобильным мотором конструкции Смолина. Начались наземные испытания (2090,147).</w:t>
      </w:r>
    </w:p>
    <w:p w14:paraId="3E31895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D6FCC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 d письме заместителя наркома авиапромышленности АС. Яковлева заместителю наркома внешней торговли В.И. Кушарову Н-32/1490 была представлена Спецификации на самолеты и другое оборудование, подлежащее заказу в Германии для 7-го Главного Управления НКАП (РГАЭ. Ф. 8044. Оп. 1. Д. 436. Л. 104).</w:t>
      </w:r>
    </w:p>
    <w:p w14:paraId="150B76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36 (Составлена по Спецификации на самолеты и другое оборудование, подлежащее заказу в Германии для 7-го Главного Управления НКАП, приводимой в письме заместителя наркома авиапромышленности АС. Яковлева заместителю наркома внешней торговли В.И. Кушарову Н-32/1490 от 15 августа 1940 г. (РГАЭ. Ф. 8044. Оп. 1. Д. 436. Л. 104).</w:t>
      </w:r>
    </w:p>
    <w:p w14:paraId="73D625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предполагавшиеся к заказу Советским Союзом в Германии во второй половине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20"/>
        <w:gridCol w:w="4010"/>
        <w:gridCol w:w="1282"/>
      </w:tblGrid>
      <w:tr w:rsidR="007D5DF8" w:rsidRPr="00DB5D0D" w14:paraId="4FDA55A2" w14:textId="77777777" w:rsidTr="00E543D0">
        <w:trPr>
          <w:trHeight w:val="562"/>
        </w:trPr>
        <w:tc>
          <w:tcPr>
            <w:tcW w:w="1620" w:type="dxa"/>
            <w:tcBorders>
              <w:top w:val="single" w:sz="12" w:space="0" w:color="auto"/>
            </w:tcBorders>
          </w:tcPr>
          <w:p w14:paraId="797B6C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Номер в спецификации</w:t>
            </w:r>
          </w:p>
        </w:tc>
        <w:tc>
          <w:tcPr>
            <w:tcW w:w="4010" w:type="dxa"/>
            <w:tcBorders>
              <w:top w:val="single" w:sz="12" w:space="0" w:color="auto"/>
            </w:tcBorders>
          </w:tcPr>
          <w:p w14:paraId="0F02B4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(Наименование типов заказываемых машин приводится с минимальными уточнениями. Так, исправлены очевидные грамматические ошибки в названиях фирм; после названия в неизмен</w:t>
            </w:r>
            <w:r w:rsidRPr="00DB5D0D">
              <w:rPr>
                <w:rFonts w:ascii="Times New Roman" w:hAnsi="Times New Roman"/>
                <w:color w:val="000000" w:themeColor="text1"/>
                <w:sz w:val="16"/>
                <w:szCs w:val="16"/>
              </w:rPr>
              <w:softHyphen/>
              <w:t>ном виде дается соответствующий цифровой индекс.)</w:t>
            </w:r>
          </w:p>
        </w:tc>
        <w:tc>
          <w:tcPr>
            <w:tcW w:w="1282" w:type="dxa"/>
            <w:tcBorders>
              <w:top w:val="single" w:sz="12" w:space="0" w:color="auto"/>
            </w:tcBorders>
          </w:tcPr>
          <w:p w14:paraId="75E0E5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w:t>
            </w:r>
          </w:p>
        </w:tc>
      </w:tr>
      <w:tr w:rsidR="007D5DF8" w:rsidRPr="00DB5D0D" w14:paraId="6BD96EDB" w14:textId="77777777" w:rsidTr="00E543D0">
        <w:trPr>
          <w:trHeight w:val="281"/>
        </w:trPr>
        <w:tc>
          <w:tcPr>
            <w:tcW w:w="1620" w:type="dxa"/>
          </w:tcPr>
          <w:p w14:paraId="0613F6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4010" w:type="dxa"/>
          </w:tcPr>
          <w:p w14:paraId="46F3C7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Модернизированный Хейнкель-111</w:t>
            </w:r>
          </w:p>
        </w:tc>
        <w:tc>
          <w:tcPr>
            <w:tcW w:w="1282" w:type="dxa"/>
          </w:tcPr>
          <w:p w14:paraId="113CFD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6D0F14E3" w14:textId="77777777" w:rsidTr="00E543D0">
        <w:trPr>
          <w:trHeight w:val="238"/>
        </w:trPr>
        <w:tc>
          <w:tcPr>
            <w:tcW w:w="1620" w:type="dxa"/>
          </w:tcPr>
          <w:p w14:paraId="0F7EC2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4010" w:type="dxa"/>
          </w:tcPr>
          <w:p w14:paraId="0CE7DF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Хейнкель-113 (Это наименование якобы состоявшего на вооружении истребителя использовалось нацистской пропагандой для дезинформации потенциальных противников. В действительности под ним скрывался произведенный малой серией самолет фирмы «Хейнкель» Хе-100)</w:t>
            </w:r>
          </w:p>
        </w:tc>
        <w:tc>
          <w:tcPr>
            <w:tcW w:w="1282" w:type="dxa"/>
          </w:tcPr>
          <w:p w14:paraId="3672CC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0DEC0746" w14:textId="77777777" w:rsidTr="00E543D0">
        <w:trPr>
          <w:trHeight w:val="266"/>
        </w:trPr>
        <w:tc>
          <w:tcPr>
            <w:tcW w:w="1620" w:type="dxa"/>
          </w:tcPr>
          <w:p w14:paraId="76A13A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4010" w:type="dxa"/>
          </w:tcPr>
          <w:p w14:paraId="223D13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Дорнье-217</w:t>
            </w:r>
          </w:p>
        </w:tc>
        <w:tc>
          <w:tcPr>
            <w:tcW w:w="1282" w:type="dxa"/>
          </w:tcPr>
          <w:p w14:paraId="1C0F31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2E8D7356" w14:textId="77777777" w:rsidTr="00E543D0">
        <w:trPr>
          <w:trHeight w:val="259"/>
        </w:trPr>
        <w:tc>
          <w:tcPr>
            <w:tcW w:w="1620" w:type="dxa"/>
          </w:tcPr>
          <w:p w14:paraId="32DFCC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4010" w:type="dxa"/>
          </w:tcPr>
          <w:p w14:paraId="4EAB28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Мессершмитг-209 (В оригинальном документе именуется «Мессершмидт»)</w:t>
            </w:r>
          </w:p>
        </w:tc>
        <w:tc>
          <w:tcPr>
            <w:tcW w:w="1282" w:type="dxa"/>
          </w:tcPr>
          <w:p w14:paraId="17478A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18A070AD" w14:textId="77777777" w:rsidTr="00E543D0">
        <w:trPr>
          <w:trHeight w:val="252"/>
        </w:trPr>
        <w:tc>
          <w:tcPr>
            <w:tcW w:w="1620" w:type="dxa"/>
          </w:tcPr>
          <w:p w14:paraId="038E75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4010" w:type="dxa"/>
          </w:tcPr>
          <w:p w14:paraId="0B4044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Мессершмитт- 108</w:t>
            </w:r>
          </w:p>
        </w:tc>
        <w:tc>
          <w:tcPr>
            <w:tcW w:w="1282" w:type="dxa"/>
          </w:tcPr>
          <w:p w14:paraId="3B8C83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2502730C" w14:textId="77777777" w:rsidTr="00E543D0">
        <w:trPr>
          <w:trHeight w:val="259"/>
        </w:trPr>
        <w:tc>
          <w:tcPr>
            <w:tcW w:w="1620" w:type="dxa"/>
          </w:tcPr>
          <w:p w14:paraId="5E0F61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c>
          <w:tcPr>
            <w:tcW w:w="4010" w:type="dxa"/>
          </w:tcPr>
          <w:p w14:paraId="0F12F4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Юнкерс-52</w:t>
            </w:r>
          </w:p>
        </w:tc>
        <w:tc>
          <w:tcPr>
            <w:tcW w:w="1282" w:type="dxa"/>
          </w:tcPr>
          <w:p w14:paraId="653E60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r>
      <w:tr w:rsidR="007D5DF8" w:rsidRPr="00DB5D0D" w14:paraId="035209D7" w14:textId="77777777" w:rsidTr="00E543D0">
        <w:trPr>
          <w:trHeight w:val="252"/>
        </w:trPr>
        <w:tc>
          <w:tcPr>
            <w:tcW w:w="1620" w:type="dxa"/>
          </w:tcPr>
          <w:p w14:paraId="6A0468D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w:t>
            </w:r>
          </w:p>
        </w:tc>
        <w:tc>
          <w:tcPr>
            <w:tcW w:w="4010" w:type="dxa"/>
          </w:tcPr>
          <w:p w14:paraId="463756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Юнкерс-87</w:t>
            </w:r>
          </w:p>
        </w:tc>
        <w:tc>
          <w:tcPr>
            <w:tcW w:w="1282" w:type="dxa"/>
          </w:tcPr>
          <w:p w14:paraId="5405F3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30680A38" w14:textId="77777777" w:rsidTr="00E543D0">
        <w:trPr>
          <w:trHeight w:val="259"/>
        </w:trPr>
        <w:tc>
          <w:tcPr>
            <w:tcW w:w="1620" w:type="dxa"/>
            <w:tcBorders>
              <w:bottom w:val="single" w:sz="12" w:space="0" w:color="auto"/>
            </w:tcBorders>
          </w:tcPr>
          <w:p w14:paraId="7D502EE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c>
          <w:tcPr>
            <w:tcW w:w="4010" w:type="dxa"/>
            <w:tcBorders>
              <w:bottom w:val="single" w:sz="12" w:space="0" w:color="auto"/>
            </w:tcBorders>
          </w:tcPr>
          <w:p w14:paraId="082558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Бюккер учебный: двухместный и одноместный (В оригинальном документе индекс отсутствует. Данные самолеты-бипланы в действительности име</w:t>
            </w:r>
            <w:r w:rsidRPr="00DB5D0D">
              <w:rPr>
                <w:rFonts w:ascii="Times New Roman" w:hAnsi="Times New Roman"/>
                <w:color w:val="000000" w:themeColor="text1"/>
                <w:sz w:val="16"/>
                <w:szCs w:val="16"/>
              </w:rPr>
              <w:softHyphen/>
              <w:t>новались Бю-131 «Юнгманн» и Бю-133 «Юнгмейсгер»)</w:t>
            </w:r>
          </w:p>
        </w:tc>
        <w:tc>
          <w:tcPr>
            <w:tcW w:w="1282" w:type="dxa"/>
            <w:tcBorders>
              <w:bottom w:val="single" w:sz="12" w:space="0" w:color="auto"/>
            </w:tcBorders>
          </w:tcPr>
          <w:p w14:paraId="1BC6B0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поЗ</w:t>
            </w:r>
          </w:p>
        </w:tc>
      </w:tr>
    </w:tbl>
    <w:p w14:paraId="225CCF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(11710,511).</w:t>
      </w:r>
    </w:p>
    <w:p w14:paraId="5D93197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F4471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закончились повторные специальные летные испытания моторов М-105П N 025-2 и 015-2 производства завода 26 на самолете СБ (АНТ-40) завода 22, которые начались 13 июня 1940 (831).</w:t>
      </w:r>
    </w:p>
    <w:p w14:paraId="2FB1C78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23F7A4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 вышла Спецификация от по импортному оборудованию для Уфимского моторного завода насчитывала 372 станка различных ти</w:t>
      </w:r>
      <w:r w:rsidRPr="00DB5D0D">
        <w:rPr>
          <w:rFonts w:ascii="Times New Roman" w:hAnsi="Times New Roman"/>
          <w:color w:val="000000" w:themeColor="text1"/>
          <w:sz w:val="16"/>
          <w:szCs w:val="16"/>
        </w:rPr>
        <w:softHyphen/>
        <w:t>пов. Эти станки должны были поставить 30 фирм-производителей (ГА РФ. Ф. 8418. Оп. 24. Д. 649- Л. 86-89.). США, в частности, были представлены фирмами «Брайант», «Валькотт», «Лендис», «Нортон», «Пр. Витней», «Хилд», «Эксцелло» и др. (11710,242).</w:t>
      </w:r>
    </w:p>
    <w:p w14:paraId="6843BF0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A044E5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 была подготовлена Спецификация от по импортному оборудованию для Уфимского моторного завода, которая на</w:t>
      </w:r>
      <w:r w:rsidRPr="00DB5D0D">
        <w:rPr>
          <w:rFonts w:ascii="Times New Roman" w:hAnsi="Times New Roman"/>
          <w:color w:val="000000" w:themeColor="text1"/>
          <w:sz w:val="16"/>
          <w:szCs w:val="16"/>
        </w:rPr>
        <w:softHyphen/>
        <w:t>считывала 372 станка различных типов. Эти станки должны были поста</w:t>
      </w:r>
      <w:r w:rsidRPr="00DB5D0D">
        <w:rPr>
          <w:rFonts w:ascii="Times New Roman" w:hAnsi="Times New Roman"/>
          <w:color w:val="000000" w:themeColor="text1"/>
          <w:sz w:val="16"/>
          <w:szCs w:val="16"/>
        </w:rPr>
        <w:softHyphen/>
        <w:t>вить 30 фирм-производителей (ГА РФ. Ф. 8418. Оп. 24. Д. 649. Л. 86,89). Германия, в частности, была представлена фирмами «Магдебург», «Рейнекер», «Шкода», «А. Шутте» и др. (11710,259).</w:t>
      </w:r>
    </w:p>
    <w:p w14:paraId="623DBD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5A4D1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 Директор комбината № 150 Визирян писал письмо № 2295с в ГЛАВНЫЙ КОНТРОЛЬ при КОМИТЕТЕ ОБОРОНЫ СНК СССР</w:t>
      </w:r>
    </w:p>
    <w:p w14:paraId="4F09E7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письмом военпреда на Комбинате № 150 т. ЧУЙКИНА о, якобы, имевших место случаях завышения показателей по выполнению производственного плана в корыстных целях (в интересах выплаты завышенной премии), сосбщаю:</w:t>
      </w:r>
    </w:p>
    <w:p w14:paraId="4A122C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Из прилагаемых справок № 1 и № 3 о балансе винтов АВ-1 и ВИШ-23 за период их производства с начала выпуска по 10.08 - видно, что пеказанные в отчете цифры изготовления винтов полностью соответствуют количеству винтов, отпущенных заказчикам по 10.08 и имеющихся в наличии на складе экспедиции.</w:t>
      </w:r>
    </w:p>
    <w:p w14:paraId="3636DC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Такое же положение, как видно из прилагаемых справок № 2 и №, было и на 1 августа.</w:t>
      </w:r>
    </w:p>
    <w:p w14:paraId="71AE30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При.завышении нами показателей в июле месяце никак не могло бы расти выполнение плана по месяцам и, в частности, должен был бы быть "прорыв" в июле месяце.</w:t>
      </w:r>
    </w:p>
    <w:p w14:paraId="4292A5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Прилагаемая справка № 5 показывает как из месяца в месяц шло нарастание выполнения плана, достигнув в июле максимального процента и дав на 10/УШ - уже 25,5% от месячного плана, что является весьма благоприятным показателем.</w:t>
      </w:r>
    </w:p>
    <w:p w14:paraId="0EEE88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Прилагаемые справки № 6 и 7 о причитавшихся ежемесячно суммах прогрессивных доплат и о фактически заплаченных показызателях показывают всяю абсурдность утверждения тов. ЧУЙКИНА о наличии корысти среди руководяцего состава Комбината. Наоборот, при огромном росте из месяца в месяц выпуска продукции, сумма доплат не только не росла, но даже и уменьшилась.</w:t>
      </w:r>
    </w:p>
    <w:p w14:paraId="6FF596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цели и помыслы были, наоборот, направлены на максималь</w:t>
      </w:r>
      <w:r w:rsidRPr="00DB5D0D">
        <w:rPr>
          <w:rFonts w:ascii="Times New Roman" w:hAnsi="Times New Roman"/>
          <w:color w:val="000000" w:themeColor="text1"/>
          <w:sz w:val="16"/>
          <w:szCs w:val="16"/>
        </w:rPr>
        <w:softHyphen/>
        <w:t>ное увеличение фактического выпуска винтов и повыпение отдачи в текущем месяце, что стимулировало борьбу за увеличения выпуска в следующем месяце.</w:t>
      </w:r>
    </w:p>
    <w:p w14:paraId="3BA3DC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действительности, в июне - июле имели место некоторые доделки винтов и задержка оформления готовых винтов но вине военной приемки, в частности нредъявившей требование: из каждых десяти готовых винтов один разбиратъ и посылать крестовину на рентген для просвечивания в 9 положениях. В конце месяца по этой причине накопилось много винтов не оформленных; таким же образом задерживалось оформление винтов и из-за заведенного военпредом тов. ЧУЙКИНВМ порядка " партионной" приемки, когда по незначи</w:t>
      </w:r>
      <w:r w:rsidRPr="00DB5D0D">
        <w:rPr>
          <w:rFonts w:ascii="Times New Roman" w:hAnsi="Times New Roman"/>
          <w:color w:val="000000" w:themeColor="text1"/>
          <w:sz w:val="16"/>
          <w:szCs w:val="16"/>
        </w:rPr>
        <w:softHyphen/>
        <w:t>тельному недостатку одного винта отклоняется вся партия (10 шт.)</w:t>
      </w:r>
    </w:p>
    <w:p w14:paraId="185865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Прилагаемая копия нашего письма Заместителю Народного Комиссара Авиационной Промышленности т. БАЛАНДИНУ, показывает вообще поведение работников военной приемки на Комбинате и их “роль" в борьбе за программу и улучшение работы Комбината (10493,165).</w:t>
      </w:r>
    </w:p>
    <w:p w14:paraId="1235F3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ACAAD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на НИП АВ проходили заводские испытания 23 мм бронебойно-зажигательных снарядов ВВ 15 г Заводские испытания дали положительные результаты, принято решение о изготовлении полигонной партии (7313, 12).</w:t>
      </w:r>
    </w:p>
    <w:p w14:paraId="0C63262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2BAF7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ГЛАВНЫЙ КОНТРОЛЕР КОМИТЕТА ОБОРОНЫ при СНК СССР ТОВ. НОВИКОВ подготовил Справку тов. Ворошилову К.Е.</w:t>
      </w:r>
    </w:p>
    <w:p w14:paraId="69C0C9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течение ряда месяцев между НКАП -т. Шахуриным и НКВ - т. Ванниковым идет спор по вопросу изготовлении механизма принудительного подтяга патронной ленты к 20 мм. моторным пушкам Швак.</w:t>
      </w:r>
    </w:p>
    <w:p w14:paraId="23FF8B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 считает, что что изготовление подтяга должно пооизводиться НКАП мотивируя это особенностями установки пушки на самолете. НКАП, наоборот, считает, что подтяг должен изготавливаться на заводе НКВ.</w:t>
      </w:r>
    </w:p>
    <w:p w14:paraId="1D8CBB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20мм моторные птшки, изготовляемые заводом № 2 НКВ являются некомплектными и не могут быть установлены на самолеты. В 1-м полугодии таких пушек изготовлено 20 шт.</w:t>
      </w:r>
    </w:p>
    <w:p w14:paraId="3AEF29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Главный Контролер КО проверил этот вопрос и считает:</w:t>
      </w:r>
    </w:p>
    <w:p w14:paraId="0417CAF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Изготовление подтяга 20 мм моторной пушки должно производиться на одном из заводов НКВ, т.к. подтяг конструктивно крепится на пушке, кинематически с ней связан и входит в комплект пушки.</w:t>
      </w:r>
    </w:p>
    <w:p w14:paraId="1FD18F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ИРЕДЛОЖЕНИЕ:</w:t>
      </w:r>
    </w:p>
    <w:p w14:paraId="458045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Предложить НКВ -т. Ванникову изготовление, комплектова</w:t>
      </w:r>
      <w:r w:rsidRPr="00DB5D0D">
        <w:rPr>
          <w:rFonts w:ascii="Times New Roman" w:hAnsi="Times New Roman"/>
          <w:color w:val="000000" w:themeColor="text1"/>
          <w:sz w:val="16"/>
          <w:szCs w:val="16"/>
        </w:rPr>
        <w:softHyphen/>
        <w:t>ние, испытания и сдачу НКАП 20 мм. авиационной моторной пушки Швак, включая и подтяг, производить на заводах НКВ.</w:t>
      </w:r>
    </w:p>
    <w:p w14:paraId="64F209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подписать проект распоряжения (10520,104).</w:t>
      </w:r>
    </w:p>
    <w:p w14:paraId="3458ED5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2969C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Зам. НКАП Воронин писал письмо № Н-20/1493 ГЛАВНОМУ КОНТРОЛЕРУ КОМИТЕТА ОБОРОНЫ при СНК СССР ТОВ. НОВИКОВУ.</w:t>
      </w:r>
    </w:p>
    <w:p w14:paraId="76FE5E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Удовлетворение потребности НКАП в оружии со стороны НКВ характеризуется следующими цифрами:</w:t>
      </w:r>
    </w:p>
    <w:p w14:paraId="178972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синхронным пулеметам Шкас. НКВ</w:t>
      </w:r>
    </w:p>
    <w:p w14:paraId="0F076B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выполнил свои обязательства на 56% или</w:t>
      </w:r>
    </w:p>
    <w:p w14:paraId="2AA121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Подлежало поставке в 1 полуг.1940 г. 9120 шт.</w:t>
      </w:r>
    </w:p>
    <w:p w14:paraId="029B0C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Поставлено с 1.1 по 1.УП с.г. 5090</w:t>
      </w:r>
    </w:p>
    <w:p w14:paraId="113EE98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Недопоставлено 4030 "</w:t>
      </w:r>
    </w:p>
    <w:p w14:paraId="3590BB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том числе Недопоставлено 2600 пулеметов, предназначен</w:t>
      </w:r>
      <w:r w:rsidRPr="00DB5D0D">
        <w:rPr>
          <w:rFonts w:ascii="Times New Roman" w:hAnsi="Times New Roman"/>
          <w:color w:val="000000" w:themeColor="text1"/>
          <w:sz w:val="16"/>
          <w:szCs w:val="16"/>
        </w:rPr>
        <w:softHyphen/>
        <w:t>ных на перевооружение И-16 тип 10, на И-16 тип 18 и 1430 пуле</w:t>
      </w:r>
      <w:r w:rsidRPr="00DB5D0D">
        <w:rPr>
          <w:rFonts w:ascii="Times New Roman" w:hAnsi="Times New Roman"/>
          <w:color w:val="000000" w:themeColor="text1"/>
          <w:sz w:val="16"/>
          <w:szCs w:val="16"/>
        </w:rPr>
        <w:softHyphen/>
        <w:t>метов на основную программу, которые получены заимообразно в ГУ ВВС КА.</w:t>
      </w:r>
    </w:p>
    <w:p w14:paraId="0C8472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_турельным.пулеметам "Шкас".</w:t>
      </w:r>
    </w:p>
    <w:p w14:paraId="501D98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Подлежало поставке в 1 полуг.1940 г. 7565 шт.</w:t>
      </w:r>
    </w:p>
    <w:p w14:paraId="1A675A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Поставлено с 1.1 по 1.УП. с.г. 4910</w:t>
      </w:r>
    </w:p>
    <w:p w14:paraId="09F737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Недопоставлено 2655</w:t>
      </w:r>
    </w:p>
    <w:p w14:paraId="6C1B4C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1 полугодия обеспечена на 65%. 900 пулеметов из числа недопоставленяых взяты заимообразно в ГУ ВВС КА.</w:t>
      </w:r>
    </w:p>
    <w:p w14:paraId="6E597F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крыльевым пулеметам Шкас.</w:t>
      </w:r>
    </w:p>
    <w:p w14:paraId="7A8FB9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Подлежало поставке в 1 полугодии 2480 шт.</w:t>
      </w:r>
    </w:p>
    <w:p w14:paraId="76C074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Поставлено с 1.1-по 1.7. с.г. 1190</w:t>
      </w:r>
    </w:p>
    <w:p w14:paraId="5033DC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Недопоставлено 1290</w:t>
      </w:r>
    </w:p>
    <w:p w14:paraId="708D8B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Обеспеченность программы 1 полугодия - 48.</w:t>
      </w:r>
    </w:p>
    <w:p w14:paraId="013D0B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Недопоставлено в 1 полугодии</w:t>
      </w:r>
    </w:p>
    <w:p w14:paraId="1DDE3F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пулеметов всех типов 7975 шт.</w:t>
      </w:r>
    </w:p>
    <w:p w14:paraId="722D5D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составляет от плана 41,8%</w:t>
      </w:r>
    </w:p>
    <w:p w14:paraId="516163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 зная, что потребность НКАП в пулеметах систематически не покрывается, плана производства своевременно не увеличил и завод № 66 работал 1 полугодие по плану, утвержденному в декаб</w:t>
      </w:r>
      <w:r w:rsidRPr="00DB5D0D">
        <w:rPr>
          <w:rFonts w:ascii="Times New Roman" w:hAnsi="Times New Roman"/>
          <w:color w:val="000000" w:themeColor="text1"/>
          <w:sz w:val="16"/>
          <w:szCs w:val="16"/>
        </w:rPr>
        <w:softHyphen/>
        <w:t>ре месяце 1939 г., тогда как Авиационная Промышлеялостъ руко</w:t>
      </w:r>
      <w:r w:rsidRPr="00DB5D0D">
        <w:rPr>
          <w:rFonts w:ascii="Times New Roman" w:hAnsi="Times New Roman"/>
          <w:color w:val="000000" w:themeColor="text1"/>
          <w:sz w:val="16"/>
          <w:szCs w:val="16"/>
        </w:rPr>
        <w:softHyphen/>
        <w:t>водствовалась решением КО № 77 от 19.П.40 г.</w:t>
      </w:r>
    </w:p>
    <w:p w14:paraId="2037AA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месяце НКАП была заявлена потребность в 3240 шт. пулеметов всех типов</w:t>
      </w:r>
    </w:p>
    <w:p w14:paraId="129E2F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поставлено за июль 2480 шт.</w:t>
      </w:r>
    </w:p>
    <w:p w14:paraId="597E66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дефицит на 1.УШ с.г. 760</w:t>
      </w:r>
    </w:p>
    <w:p w14:paraId="613B73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август запланировано 3750 пулеметов всех типов, на 14.УШ поставлено самолетным заводам - 200 штук.</w:t>
      </w:r>
    </w:p>
    <w:p w14:paraId="40C0A2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дефицит по состоянию на 14.УШ составляет 2435 пулеметов всех типов.</w:t>
      </w:r>
    </w:p>
    <w:p w14:paraId="392DDD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 крупно-калиберным пулеметам Березина</w:t>
      </w:r>
    </w:p>
    <w:p w14:paraId="2FA6C7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 был спущен план НКАПм на 1 полугодие 326 шт.</w:t>
      </w:r>
    </w:p>
    <w:p w14:paraId="2C5197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Количественно план был выполнен полностью, но часть пуле</w:t>
      </w:r>
      <w:r w:rsidRPr="00DB5D0D">
        <w:rPr>
          <w:rFonts w:ascii="Times New Roman" w:hAnsi="Times New Roman"/>
          <w:color w:val="000000" w:themeColor="text1"/>
          <w:sz w:val="16"/>
          <w:szCs w:val="16"/>
        </w:rPr>
        <w:softHyphen/>
        <w:t>метов была запрещена к установке ГУ ВВС КА, как имеющие малую живучесть, что составило на заводах НМЛ остаток пулеметов в 120 - 130 шт. (изготовленных из деталей производства 1939г.)</w:t>
      </w:r>
    </w:p>
    <w:p w14:paraId="5136D4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По моторным пушкам Швак</w:t>
      </w:r>
    </w:p>
    <w:p w14:paraId="3F8AA2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Подлежало поставке в1 полугодии - 25 пушек. 20 пушек, изготовленннх заводом № 2 не принимаются В/предста</w:t>
      </w:r>
      <w:r w:rsidRPr="00DB5D0D">
        <w:rPr>
          <w:rFonts w:ascii="Times New Roman" w:hAnsi="Times New Roman"/>
          <w:color w:val="000000" w:themeColor="text1"/>
          <w:sz w:val="16"/>
          <w:szCs w:val="16"/>
        </w:rPr>
        <w:softHyphen/>
        <w:t>вителем ГУ ВВС КА по причине некомплектности; отсутствует ме</w:t>
      </w:r>
      <w:r w:rsidRPr="00DB5D0D">
        <w:rPr>
          <w:rFonts w:ascii="Times New Roman" w:hAnsi="Times New Roman"/>
          <w:color w:val="000000" w:themeColor="text1"/>
          <w:sz w:val="16"/>
          <w:szCs w:val="16"/>
        </w:rPr>
        <w:softHyphen/>
        <w:t>ханизм принудительного подтяга патронной ленты и механизм пневмоперезаряжения.</w:t>
      </w:r>
    </w:p>
    <w:p w14:paraId="44967E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Ваших указаний народному Комиссару Вооружения СССР тов. ВАННИКОВУ о покрытии дефицита по пулеметам и сдаче комплектных пушек самолетным заводам НКАП (10520,108).</w:t>
      </w:r>
    </w:p>
    <w:p w14:paraId="5C7FF7A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44B8A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 Нач. Группы контроля ВВС КА гма Михайлов писал письмо № 500081сс ВРЯД. НАЧАЛЬНИКА ВОЕННЫХ ВОЗДУШНЫХ СИЛ КРАСНОЙ АРМИИ генерал-лейтенанту авиации тов. Р Ы Ч А Г О В У</w:t>
      </w:r>
    </w:p>
    <w:p w14:paraId="50FAB3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сем представляю справку по службе воздушного транспорта и десанта ВВС Красной Армии, прошу Вашего распоряжения Начальнику 1 Управления генерал-лейтенанту т. ПУРПУР, Начальнику 10 Управления в/инженеру I ранга т. БАКИНУ, Начальнику 6 Управления военинженеру I ранга т. ЛАПИНУ и председателю Н.Т.К военинженеру I ранга т. ЗНАМЕНСКОМУ доложить Вам свои соображения по обеспе</w:t>
      </w:r>
      <w:r w:rsidRPr="00DB5D0D">
        <w:rPr>
          <w:rFonts w:ascii="Times New Roman" w:hAnsi="Times New Roman"/>
          <w:color w:val="000000" w:themeColor="text1"/>
          <w:sz w:val="16"/>
          <w:szCs w:val="16"/>
        </w:rPr>
        <w:softHyphen/>
        <w:t>чению частей ВВС Красной Армии специальным десантным оборудованием и снаряжением на 1940-41 г.г. и предста</w:t>
      </w:r>
      <w:r w:rsidRPr="00DB5D0D">
        <w:rPr>
          <w:rFonts w:ascii="Times New Roman" w:hAnsi="Times New Roman"/>
          <w:color w:val="000000" w:themeColor="text1"/>
          <w:sz w:val="16"/>
          <w:szCs w:val="16"/>
        </w:rPr>
        <w:softHyphen/>
        <w:t>вить план обеспечения к 25.8.40 г. Крайне целесообразно провести специальное совещание при Начальнике ГУВВС Крас</w:t>
      </w:r>
      <w:r w:rsidRPr="00DB5D0D">
        <w:rPr>
          <w:rFonts w:ascii="Times New Roman" w:hAnsi="Times New Roman"/>
          <w:color w:val="000000" w:themeColor="text1"/>
          <w:sz w:val="16"/>
          <w:szCs w:val="16"/>
        </w:rPr>
        <w:softHyphen/>
        <w:t>ной Армии в августе-сентябре с/г. по службе воздушного транспорта и десанта с основным докладом Начальника Штаба ГУВВС Красной Армии.</w:t>
      </w:r>
    </w:p>
    <w:p w14:paraId="3CD5DB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упомянутое к экз. № 1 (10493,187).</w:t>
      </w:r>
    </w:p>
    <w:p w14:paraId="734051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w:t>
      </w:r>
    </w:p>
    <w:p w14:paraId="0571E1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СОСТОЙНШ ОБОРУДОВАНИЯ ПО СЛУЖБЕ ВОЗДУШНОГО ТРАНСПОРТА И ДЕСАНТА</w:t>
      </w:r>
    </w:p>
    <w:p w14:paraId="7CD173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Неудовлетворительное состояние оборудования по службе воздушного транспорта и десанта, а также и самой службы в ВВС Красной Армии было определено решением военного Совета ВВС РККА от 9.3.38 г. Состояние этой службы не изменилось в лучшую сторону и до настоя</w:t>
      </w:r>
      <w:r w:rsidRPr="00DB5D0D">
        <w:rPr>
          <w:rFonts w:ascii="Times New Roman" w:hAnsi="Times New Roman"/>
          <w:color w:val="000000" w:themeColor="text1"/>
          <w:sz w:val="16"/>
          <w:szCs w:val="16"/>
        </w:rPr>
        <w:softHyphen/>
        <w:t>щего времени:</w:t>
      </w:r>
    </w:p>
    <w:p w14:paraId="0A5904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Ранее созданная промышленная база в лице КБ-29 НКАП для про</w:t>
      </w:r>
      <w:r w:rsidRPr="00DB5D0D">
        <w:rPr>
          <w:rFonts w:ascii="Times New Roman" w:hAnsi="Times New Roman"/>
          <w:color w:val="000000" w:themeColor="text1"/>
          <w:sz w:val="16"/>
          <w:szCs w:val="16"/>
        </w:rPr>
        <w:softHyphen/>
        <w:t>изводства оборудования десантных средств в 1939 г. решением НКАП передана для выполнения других работ.</w:t>
      </w:r>
    </w:p>
    <w:p w14:paraId="13FCF5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Имеющиеся на снабжении ВВС Красной Армии оборудования: а) тяжелые подвески к самолету ТБ-3 ДПТ-2 и ПГ-12 с грузовой платформой для транспортировки воинских грузов общим весом до 3,5 тонн; б) парашютные бензобаки емкостью 100, 250 и 400 литров, парашютные короба, до последнего времени применялись недостаточно.</w:t>
      </w:r>
    </w:p>
    <w:p w14:paraId="6A6827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До сих пор нет технических кадров по эксплоатации парашютно-десантного и транспортного оборудования, а Начальники ПДС частей большинстве своем этого оборудования не знали и совершенно недо</w:t>
      </w:r>
      <w:r w:rsidRPr="00DB5D0D">
        <w:rPr>
          <w:rFonts w:ascii="Times New Roman" w:hAnsi="Times New Roman"/>
          <w:color w:val="000000" w:themeColor="text1"/>
          <w:sz w:val="16"/>
          <w:szCs w:val="16"/>
        </w:rPr>
        <w:softHyphen/>
        <w:t>статочно знают и в настоящее время.</w:t>
      </w:r>
    </w:p>
    <w:p w14:paraId="38B8EB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Отсутствие промышленной базы задерживает производство опытных серий следующих объектов, прошедших полигонные испытания.</w:t>
      </w:r>
    </w:p>
    <w:p w14:paraId="2926B3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Подвеска мотоциклов с вооружением</w:t>
      </w:r>
    </w:p>
    <w:p w14:paraId="4CC6AB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Грузовой мост к самолету ТБ-3 (для транспортировки парашютных грузов общим весом до 3,5 тонн).</w:t>
      </w:r>
    </w:p>
    <w:p w14:paraId="7CA51F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Короб для беспарашютного сбрасывания горючего, продоволь</w:t>
      </w:r>
      <w:r w:rsidRPr="00DB5D0D">
        <w:rPr>
          <w:rFonts w:ascii="Times New Roman" w:hAnsi="Times New Roman"/>
          <w:color w:val="000000" w:themeColor="text1"/>
          <w:sz w:val="16"/>
          <w:szCs w:val="16"/>
        </w:rPr>
        <w:softHyphen/>
        <w:t>ствия, боеприпасов, снаряжения и т.п. общим весом до 100 кг.</w:t>
      </w:r>
    </w:p>
    <w:p w14:paraId="65C4BB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Автоотцепки (грузов от парашюта в момент приземления) кон</w:t>
      </w:r>
      <w:r w:rsidRPr="00DB5D0D">
        <w:rPr>
          <w:rFonts w:ascii="Times New Roman" w:hAnsi="Times New Roman"/>
          <w:color w:val="000000" w:themeColor="text1"/>
          <w:sz w:val="16"/>
          <w:szCs w:val="16"/>
        </w:rPr>
        <w:softHyphen/>
        <w:t>струкции бр. Дорониных и завода № 1.</w:t>
      </w:r>
    </w:p>
    <w:p w14:paraId="47676E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Транспортный бензо-масло бак емкостью в 4000 литров.</w:t>
      </w:r>
    </w:p>
    <w:p w14:paraId="65FB190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Парторганизация ОСС НИИ ВВС Красной Армии обо всем этом писала Секретарю ЦК ВКП(б) тов. МАЛЕНКОВУ 5.2.1940 г. Копия этого письма была послана секретариатом тов. Маленкова Наркому Авиационной Промышленности и председателю Комитета Обороны при СНК Союза ССР, но действенных решений по этому письму до сих пор нет.</w:t>
      </w:r>
    </w:p>
    <w:p w14:paraId="6CFC09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ПРАКТИЧЕСКИЕ ПРЕДЛОЖНИЯ.</w:t>
      </w:r>
    </w:p>
    <w:p w14:paraId="1C0417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Срочно выделить промышленную базу для изготовления опытного и серийного оборудования десантно-транспортных средств.</w:t>
      </w:r>
    </w:p>
    <w:p w14:paraId="64180A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 Все вновь строящиеся самолеты типа средних и тяжелых бомбардировциков должны с самого начала их строительства приспосабливать</w:t>
      </w:r>
      <w:r w:rsidRPr="00DB5D0D">
        <w:rPr>
          <w:rFonts w:ascii="Times New Roman" w:hAnsi="Times New Roman"/>
          <w:color w:val="000000" w:themeColor="text1"/>
          <w:sz w:val="16"/>
          <w:szCs w:val="16"/>
        </w:rPr>
        <w:softHyphen/>
        <w:t>ся для службы воздушного транспорта и десанта.</w:t>
      </w:r>
    </w:p>
    <w:p w14:paraId="09545A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Необходимо в десантных частях, а также в частях ВВС КА, предназначенных для обслуживания десантных частей иметь технический состав по эксплоатации десантно-транспортных средств, которых в настоящее время в указанных частях нет.</w:t>
      </w:r>
    </w:p>
    <w:p w14:paraId="041BF4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 целью выявления эксплоатационшх качеств оборудования, транспортировки десантных и летных частей по службе воздушного транспорта и десанта, необходимо ежегодно по округам проводить. сборы и ученья по десантно-транспортной службе.</w:t>
      </w:r>
    </w:p>
    <w:p w14:paraId="3F8D69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 НАЧ. ОТДЕЛЕНИЯ ВОЗДУШНОГО ТРАНСПОРТА И ДЕСАНТА 14 ОТДЕЛА НИИ ВВС КРАСНОЙ АРМИИ в/инженер 3 ранга А.ГГЫЗЛОВ (10439,188).</w:t>
      </w:r>
    </w:p>
    <w:p w14:paraId="2F1700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07E8DCE" w14:textId="77777777" w:rsidR="003C7E8B" w:rsidRPr="00DB5D0D" w:rsidRDefault="00B30AFA"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212CF5C" w14:textId="77777777" w:rsidR="003C7E8B" w:rsidRPr="00DB5D0D" w:rsidRDefault="003C7E8B" w:rsidP="00DB5D0D">
      <w:pPr>
        <w:shd w:val="clear" w:color="auto" w:fill="FFFFFF"/>
        <w:spacing w:after="0" w:line="240" w:lineRule="auto"/>
        <w:jc w:val="both"/>
        <w:rPr>
          <w:rFonts w:ascii="Times New Roman" w:hAnsi="Times New Roman"/>
          <w:iCs/>
          <w:color w:val="000000" w:themeColor="text1"/>
          <w:sz w:val="16"/>
          <w:szCs w:val="16"/>
        </w:rPr>
      </w:pPr>
    </w:p>
    <w:p w14:paraId="396F1A73"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августа 1940 вышло Постановление Комитета обороны при СНК СССР № 361сс "О работе снаряжательных заводов Наркомбоеприпасов за 6 месяцев 1940 г."</w:t>
      </w:r>
    </w:p>
    <w:p w14:paraId="76566DC3" w14:textId="77777777" w:rsidR="005E0A8B" w:rsidRPr="00DB5D0D" w:rsidRDefault="005E0A8B" w:rsidP="00DB5D0D">
      <w:pPr>
        <w:spacing w:after="0" w:line="240" w:lineRule="auto"/>
        <w:jc w:val="both"/>
        <w:rPr>
          <w:rFonts w:ascii="Times New Roman" w:hAnsi="Times New Roman"/>
          <w:color w:val="0070C0"/>
          <w:sz w:val="16"/>
          <w:szCs w:val="16"/>
        </w:rPr>
      </w:pPr>
    </w:p>
    <w:p w14:paraId="16A9C6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 вышел ПРИКАЗ НКО СССР О КОМИССИИ ПО ТЕЛЕТАНКАМ ПОДВОЗА ЗАРЯДОВ С ВЗРЫВЧАТЫМИ ВЕЩЕСТВАМИ № 0042</w:t>
      </w:r>
    </w:p>
    <w:p w14:paraId="0A3A94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Москва</w:t>
      </w:r>
    </w:p>
    <w:p w14:paraId="046A9F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определения целесообразности дальнейших работ над специальными телетанками подвоза заря</w:t>
      </w:r>
      <w:r w:rsidRPr="00DB5D0D">
        <w:rPr>
          <w:rFonts w:ascii="Times New Roman" w:hAnsi="Times New Roman"/>
          <w:color w:val="000000" w:themeColor="text1"/>
          <w:sz w:val="16"/>
          <w:szCs w:val="16"/>
        </w:rPr>
        <w:softHyphen/>
        <w:t>дов с взрывчатыми веществами на базе танка Т-26 для разрушения ДОТов, назначаю комиссию в составе;</w:t>
      </w:r>
    </w:p>
    <w:p w14:paraId="0966E8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комиссии: начальник 2 отдела БТУ полковник т. Иванов</w:t>
      </w:r>
    </w:p>
    <w:p w14:paraId="4C030B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 комиссии: пом. начальника НИ полигона ГАБТУ военинженер 1 ранга; ст. инженер БТУ майор т. Ковалев; ст. инженер БТУ подполковник т. Дорофеев; ст. пом. нач. отделения Генштаба ка</w:t>
      </w:r>
      <w:r w:rsidRPr="00DB5D0D">
        <w:rPr>
          <w:rFonts w:ascii="Times New Roman" w:hAnsi="Times New Roman"/>
          <w:color w:val="000000" w:themeColor="text1"/>
          <w:sz w:val="16"/>
          <w:szCs w:val="16"/>
        </w:rPr>
        <w:softHyphen/>
        <w:t>питан т. Краснов; нач. проектного бюро ГВИУ полковник т. Игнатов; начальник отделения АН ГАУ I военинженер 1 ранга т. Якимов.</w:t>
      </w:r>
    </w:p>
    <w:p w14:paraId="2BCA6B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Комиссии всесторонне изучить образцы на НИ полигоне ГАБТУ, провести показную работу под телеуправлением и в ручную на условных объектах по сбрасыванию зарядов.</w:t>
      </w:r>
    </w:p>
    <w:p w14:paraId="0F8704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и заключение представить мне на утверждение к 1 сентября 1940 года.</w:t>
      </w:r>
    </w:p>
    <w:p w14:paraId="49D09A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Заместитель Народного комиссара обороны СССР Маршал Советского Союза Кулик</w:t>
      </w:r>
    </w:p>
    <w:p w14:paraId="62D03C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31811. Оп. 16. Д. 110. л. 3. Копия (11210).</w:t>
      </w:r>
    </w:p>
    <w:p w14:paraId="69AA64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8F0CD0C"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 «Приказ НКО СССР о комиссии по телетанкам подвоза зарядов с взрывчатыми веществами №0042г.</w:t>
      </w:r>
    </w:p>
    <w:p w14:paraId="58F7135C"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Москва, 15 августа 1940 г.</w:t>
      </w:r>
    </w:p>
    <w:p w14:paraId="19AE8DA3"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определения целесообразности дальнейших работ над специальными телетанками подвоза зарядов с взрывчатыми веществами на базе танка Т-26 для разрушения ДОТов назначаю комиссию в составе:</w:t>
      </w:r>
    </w:p>
    <w:p w14:paraId="587C5831"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комиссии: начальник 2 отдела БТУ полковник т.Иванов</w:t>
      </w:r>
    </w:p>
    <w:p w14:paraId="35502F8F"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 комиссии: пом. начальника НИ полигона ГАБТУ военинженер 1 ранга [фамилия неразборчива]; ст. инженер БТУ майор т. Ковалев; ст. инженер БТУ подполковник т. Дорофеев; ст. помощник нач. отделения Генштаба капитан т. Краснов; нач. проектного бюро ГВИУ полковник т. Игнатов; начальник отделения АН ГАУ военинженер 1 ранга т. Якимов.</w:t>
      </w:r>
    </w:p>
    <w:p w14:paraId="603D6008"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Комиссии всесторонне изучить образцы на НИ полигоне ГАБТУ, провести показную работу над телеуправлением и в ручную на условных объектах по сбрасыванию зарядов.</w:t>
      </w:r>
    </w:p>
    <w:p w14:paraId="2D9A0001"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и заключение представить мне на утверждение к 1 сентября 1940 года.</w:t>
      </w:r>
    </w:p>
    <w:p w14:paraId="07FEEBD3"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Заместитель Народного комиссара обороны СССР Маршал Советского Союза Кулик»</w:t>
      </w:r>
    </w:p>
    <w:p w14:paraId="59A9BFBD"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(ГАБТУ. Люди, события, факты в документах. Т.1, док №444, с.650) (15722).</w:t>
      </w:r>
    </w:p>
    <w:p w14:paraId="602D9771"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5017A5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 Приказ по НКОМ № 202с предписывал начальнику Главмотовелопрома Власову до 20 августа 1940 г. организовать Центральное конструкторское бюро по мотоциклостроению (ЦКБМ), поручить руководство этим коллективом И.П. Сердюкову и обязать его до 1 октября 1940 г. изготовить комплект чертежей нового мотоцикла, взяв за основу ВMW R-71 [4.177] (11429).</w:t>
      </w:r>
    </w:p>
    <w:p w14:paraId="363390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3463E97"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 Наркомобщемаш выпустил приказ № 202с, которым утверждались планы вступления в строй для производства с 1942 г. мотоцикла БМВ-750 новых мотоциклетных заводов (Венюковского и Пензенского) с доведением их мощности к 1 января 1943 г. до расчетной. Кроме того, производить новые мотоциклы предполагалось на Ленинградском, Харьковском и Московском мотоциклетных заводах, а также таганрогском заводе № 65 Наркомата боеприпасов.</w:t>
      </w:r>
    </w:p>
    <w:p w14:paraId="68DC234F"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 предприятий, подлежащих передаче в состав Главного Управления мотоциклетной и велосипедной промышленности Наркомата Общего Машиностроения СССР (Главмотовелопром) Мотоцикл М-72 одиночка 1 Ижевский мотоциклетный завод г. Ижевск УАССР 2 Серпуховской мотоциклетный завод г. Серпухов, МО 3 Венюковский мотоциклетный завод ст. Лопасня МО 4 Люберецкий мотоциклетный завод г. Люберцы МО 5 Карачаровский завод мотоциклетных колясок с. Карачарово МО 6 Ленинградский мотоциклетный завод г. Ленинград 7 Ленинградский мото-карбюраторный завод г. Ленинград 8 Владыкинский завод мотоарматуры с. Владыкино МО 9 Липецкий завод мотоинструмента и запчастей г. Липецк 10 Кировский завод мотоэлектрооборудования г. Кировск 11 Пензенский мотоциклетный завод (новое строительство) г. Пенза 12 Московский велосипедный завод г. Москва 13 Харьковский велосипедный завод г. Харьков 14 Московский экспериментальный мотоциклетный завод г. Москва 15 Центральное конструкторское бюро машиностроения г. Москва (19776).</w:t>
      </w:r>
    </w:p>
    <w:p w14:paraId="604382A9" w14:textId="77777777" w:rsidR="00416045" w:rsidRPr="00DB5D0D" w:rsidRDefault="00416045" w:rsidP="00DB5D0D">
      <w:pPr>
        <w:spacing w:after="0" w:line="240" w:lineRule="auto"/>
        <w:jc w:val="both"/>
        <w:rPr>
          <w:rFonts w:ascii="Times New Roman" w:hAnsi="Times New Roman"/>
          <w:color w:val="000000" w:themeColor="text1"/>
          <w:sz w:val="16"/>
          <w:szCs w:val="16"/>
        </w:rPr>
      </w:pPr>
    </w:p>
    <w:p w14:paraId="18F87B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 Приказом № 202с НКОМ в связи с тем, что руководство страны решило организовать выпуск мотоцик</w:t>
      </w:r>
      <w:r w:rsidRPr="00DB5D0D">
        <w:rPr>
          <w:rFonts w:ascii="Times New Roman" w:hAnsi="Times New Roman"/>
          <w:color w:val="000000" w:themeColor="text1"/>
          <w:sz w:val="16"/>
          <w:szCs w:val="16"/>
        </w:rPr>
        <w:softHyphen/>
        <w:t>лов М-72 помимо Москвы (на ММЗ) в Ленинграде, Харькове и Киеве, завод ПРОМЕТ, входивший в противопожарное управление, перевели в прямое подчинение НКОМ (позже - НКСМ) и назвали Ленин</w:t>
      </w:r>
      <w:r w:rsidRPr="00DB5D0D">
        <w:rPr>
          <w:rFonts w:ascii="Times New Roman" w:hAnsi="Times New Roman"/>
          <w:color w:val="000000" w:themeColor="text1"/>
          <w:sz w:val="16"/>
          <w:szCs w:val="16"/>
        </w:rPr>
        <w:softHyphen/>
        <w:t>градским мотоциклетным заводом (ЛМЗ) [4.177]. Приказом № 104/190 НКСМ от 11.03.1941 г. киевский завод № 225 с 1 апре</w:t>
      </w:r>
      <w:r w:rsidRPr="00DB5D0D">
        <w:rPr>
          <w:rFonts w:ascii="Times New Roman" w:hAnsi="Times New Roman"/>
          <w:color w:val="000000" w:themeColor="text1"/>
          <w:sz w:val="16"/>
          <w:szCs w:val="16"/>
        </w:rPr>
        <w:softHyphen/>
        <w:t>ля 1941 г. перевели из Главспецмаша в Главмотовелопром, с це</w:t>
      </w:r>
      <w:r w:rsidRPr="00DB5D0D">
        <w:rPr>
          <w:rFonts w:ascii="Times New Roman" w:hAnsi="Times New Roman"/>
          <w:color w:val="000000" w:themeColor="text1"/>
          <w:sz w:val="16"/>
          <w:szCs w:val="16"/>
        </w:rPr>
        <w:softHyphen/>
        <w:t>лью развёртывания на нём серийного производства мотоциклов М-72 [4.187]. Приказом № 213 НКСМ от 20 марта 1941 г. Харь</w:t>
      </w:r>
      <w:r w:rsidRPr="00DB5D0D">
        <w:rPr>
          <w:rFonts w:ascii="Times New Roman" w:hAnsi="Times New Roman"/>
          <w:color w:val="000000" w:themeColor="text1"/>
          <w:sz w:val="16"/>
          <w:szCs w:val="16"/>
        </w:rPr>
        <w:softHyphen/>
        <w:t>ковский механический завод (ХМЗ) «Серп и Молот» перевели из Главсельмаша в Главмотовелопром НКСМ, на ХМЗ (в дальней</w:t>
      </w:r>
      <w:r w:rsidRPr="00DB5D0D">
        <w:rPr>
          <w:rFonts w:ascii="Times New Roman" w:hAnsi="Times New Roman"/>
          <w:color w:val="000000" w:themeColor="text1"/>
          <w:sz w:val="16"/>
          <w:szCs w:val="16"/>
        </w:rPr>
        <w:softHyphen/>
        <w:t>шем по тексту эта аббревиатура означает Харьковский мотоцик</w:t>
      </w:r>
      <w:r w:rsidRPr="00DB5D0D">
        <w:rPr>
          <w:rFonts w:ascii="Times New Roman" w:hAnsi="Times New Roman"/>
          <w:color w:val="000000" w:themeColor="text1"/>
          <w:sz w:val="16"/>
          <w:szCs w:val="16"/>
        </w:rPr>
        <w:softHyphen/>
        <w:t>летный завод) передали чертежи мотоцикла М-72 (22 марта 1941 г.) и типовую технологию (25 марта 1941), утвердили график подготовки производства, исключив двигатели и КП [4.188]. Пе</w:t>
      </w:r>
      <w:r w:rsidRPr="00DB5D0D">
        <w:rPr>
          <w:rFonts w:ascii="Times New Roman" w:hAnsi="Times New Roman"/>
          <w:color w:val="000000" w:themeColor="text1"/>
          <w:sz w:val="16"/>
          <w:szCs w:val="16"/>
        </w:rPr>
        <w:softHyphen/>
        <w:t>ремены на ЛМЗ потребовали свёртывания неотлаженного произ</w:t>
      </w:r>
      <w:r w:rsidRPr="00DB5D0D">
        <w:rPr>
          <w:rFonts w:ascii="Times New Roman" w:hAnsi="Times New Roman"/>
          <w:color w:val="000000" w:themeColor="text1"/>
          <w:sz w:val="16"/>
          <w:szCs w:val="16"/>
        </w:rPr>
        <w:softHyphen/>
        <w:t>водства мотоциклов Л-8 и передачу его на СМЗ. Подготовка ХМЗ к выпуску М-72 шла полным ходом [4.177].</w:t>
      </w:r>
    </w:p>
    <w:p w14:paraId="0FB976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освоении серийного выпуска мотоцикла М-72 предпола</w:t>
      </w:r>
      <w:r w:rsidRPr="00DB5D0D">
        <w:rPr>
          <w:rFonts w:ascii="Times New Roman" w:hAnsi="Times New Roman"/>
          <w:color w:val="000000" w:themeColor="text1"/>
          <w:sz w:val="16"/>
          <w:szCs w:val="16"/>
        </w:rPr>
        <w:softHyphen/>
        <w:t>галось, что со временем изготавливать силовой агрегат (двига</w:t>
      </w:r>
      <w:r w:rsidRPr="00DB5D0D">
        <w:rPr>
          <w:rFonts w:ascii="Times New Roman" w:hAnsi="Times New Roman"/>
          <w:color w:val="000000" w:themeColor="text1"/>
          <w:sz w:val="16"/>
          <w:szCs w:val="16"/>
        </w:rPr>
        <w:softHyphen/>
        <w:t>тель и КП) будут на Киевском и Московском заводах мотоцик</w:t>
      </w:r>
      <w:r w:rsidRPr="00DB5D0D">
        <w:rPr>
          <w:rFonts w:ascii="Times New Roman" w:hAnsi="Times New Roman"/>
          <w:color w:val="000000" w:themeColor="text1"/>
          <w:sz w:val="16"/>
          <w:szCs w:val="16"/>
        </w:rPr>
        <w:softHyphen/>
        <w:t>летных моторов (КЗММ и МЗММ). Директора КЗММ Максимо</w:t>
      </w:r>
      <w:r w:rsidRPr="00DB5D0D">
        <w:rPr>
          <w:rFonts w:ascii="Times New Roman" w:hAnsi="Times New Roman"/>
          <w:color w:val="000000" w:themeColor="text1"/>
          <w:sz w:val="16"/>
          <w:szCs w:val="16"/>
        </w:rPr>
        <w:softHyphen/>
        <w:t>ва обязали в июне 1941 г. сдать на ХМЗ 100 двигателей для мото</w:t>
      </w:r>
      <w:r w:rsidRPr="00DB5D0D">
        <w:rPr>
          <w:rFonts w:ascii="Times New Roman" w:hAnsi="Times New Roman"/>
          <w:color w:val="000000" w:themeColor="text1"/>
          <w:sz w:val="16"/>
          <w:szCs w:val="16"/>
        </w:rPr>
        <w:softHyphen/>
        <w:t>цикла М-72 [4.189]. Директору МЗММ Шлионского поручили в 3 квартале того же года изготовить 900 силовых агрегатов для М-72 [4.190]. По замыслу руководства НКСМ в июне 1941 г. на трёх мотоциклетных заводах - ЛМЗ, ММЗ и ХМЗ предполага</w:t>
      </w:r>
      <w:r w:rsidRPr="00DB5D0D">
        <w:rPr>
          <w:rFonts w:ascii="Times New Roman" w:hAnsi="Times New Roman"/>
          <w:color w:val="000000" w:themeColor="text1"/>
          <w:sz w:val="16"/>
          <w:szCs w:val="16"/>
        </w:rPr>
        <w:softHyphen/>
        <w:t>лось изготовить по 100 первых мотоциклов М-72 [4.191].</w:t>
      </w:r>
    </w:p>
    <w:p w14:paraId="59097A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стране ощущалась потребность поставок мототехники, осо</w:t>
      </w:r>
      <w:r w:rsidRPr="00DB5D0D">
        <w:rPr>
          <w:rFonts w:ascii="Times New Roman" w:hAnsi="Times New Roman"/>
          <w:color w:val="000000" w:themeColor="text1"/>
          <w:sz w:val="16"/>
          <w:szCs w:val="16"/>
        </w:rPr>
        <w:softHyphen/>
        <w:t>бенно армейских мотоциклов, поскольку шла подготовка мото</w:t>
      </w:r>
      <w:r w:rsidRPr="00DB5D0D">
        <w:rPr>
          <w:rFonts w:ascii="Times New Roman" w:hAnsi="Times New Roman"/>
          <w:color w:val="000000" w:themeColor="text1"/>
          <w:sz w:val="16"/>
          <w:szCs w:val="16"/>
        </w:rPr>
        <w:softHyphen/>
        <w:t>циклистов и широко проводились военно-спортивные соревнова</w:t>
      </w:r>
      <w:r w:rsidRPr="00DB5D0D">
        <w:rPr>
          <w:rFonts w:ascii="Times New Roman" w:hAnsi="Times New Roman"/>
          <w:color w:val="000000" w:themeColor="text1"/>
          <w:sz w:val="16"/>
          <w:szCs w:val="16"/>
        </w:rPr>
        <w:softHyphen/>
        <w:t>ния [4.192], военизированные мотокроссы - Ворошиловский и др. [4.193], военные игры мотоциклистов [4.194], подготовка оборон</w:t>
      </w:r>
      <w:r w:rsidRPr="00DB5D0D">
        <w:rPr>
          <w:rFonts w:ascii="Times New Roman" w:hAnsi="Times New Roman"/>
          <w:color w:val="000000" w:themeColor="text1"/>
          <w:sz w:val="16"/>
          <w:szCs w:val="16"/>
        </w:rPr>
        <w:softHyphen/>
        <w:t>ных кадров среди населения [4.195] и другие мероприятия. В прес</w:t>
      </w:r>
      <w:r w:rsidRPr="00DB5D0D">
        <w:rPr>
          <w:rFonts w:ascii="Times New Roman" w:hAnsi="Times New Roman"/>
          <w:color w:val="000000" w:themeColor="text1"/>
          <w:sz w:val="16"/>
          <w:szCs w:val="16"/>
        </w:rPr>
        <w:softHyphen/>
        <w:t>се пропагандировали получение молодежью военных знаний и навыков вождения мотоциклов [4.196], что способствовало под</w:t>
      </w:r>
      <w:r w:rsidRPr="00DB5D0D">
        <w:rPr>
          <w:rFonts w:ascii="Times New Roman" w:hAnsi="Times New Roman"/>
          <w:color w:val="000000" w:themeColor="text1"/>
          <w:sz w:val="16"/>
          <w:szCs w:val="16"/>
        </w:rPr>
        <w:softHyphen/>
        <w:t>готовке молодёжи к службе в Красной Армии [4.197]. Приоритет отдавали людям, ставшим военнослужащими, освоившими управ</w:t>
      </w:r>
      <w:r w:rsidRPr="00DB5D0D">
        <w:rPr>
          <w:rFonts w:ascii="Times New Roman" w:hAnsi="Times New Roman"/>
          <w:color w:val="000000" w:themeColor="text1"/>
          <w:sz w:val="16"/>
          <w:szCs w:val="16"/>
        </w:rPr>
        <w:softHyphen/>
        <w:t>ление мотоциклом и самолётом [4.198].</w:t>
      </w:r>
    </w:p>
    <w:p w14:paraId="5BB4E7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 работа положительно сказалась на подготовке будущих мотоциклистов. Когда началась Великая Отечественная война, в стране было много специалистов мотоциклетного дела (11429).</w:t>
      </w:r>
    </w:p>
    <w:p w14:paraId="4632C3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30F2300"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15 августа 1940 </w:t>
      </w:r>
      <w:r w:rsidRPr="00DB5D0D">
        <w:rPr>
          <w:rFonts w:ascii="Times New Roman" w:hAnsi="Times New Roman"/>
          <w:color w:val="0070C0"/>
          <w:sz w:val="16"/>
          <w:szCs w:val="16"/>
          <w:shd w:val="clear" w:color="auto" w:fill="FFFFFF"/>
        </w:rPr>
        <w:t>Выписка из протокола № 19 заседания Политбюро ЦК ВКП(б) - о посылке в Германию комиссии по вопросам станкостроения</w:t>
      </w:r>
    </w:p>
    <w:p w14:paraId="26BEBE19"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243. - О</w:t>
      </w:r>
      <w:r w:rsidRPr="00DB5D0D">
        <w:rPr>
          <w:rFonts w:ascii="Times New Roman" w:hAnsi="Times New Roman"/>
          <w:color w:val="0070C0"/>
          <w:sz w:val="16"/>
          <w:szCs w:val="16"/>
          <w:u w:val="single"/>
        </w:rPr>
        <w:t xml:space="preserve"> </w:t>
      </w:r>
      <w:r w:rsidRPr="00DB5D0D">
        <w:rPr>
          <w:rFonts w:ascii="Times New Roman" w:hAnsi="Times New Roman"/>
          <w:color w:val="0070C0"/>
          <w:sz w:val="16"/>
          <w:szCs w:val="16"/>
        </w:rPr>
        <w:t>посылке в Германию комиссии по вопросам станкостроения</w:t>
      </w:r>
    </w:p>
    <w:p w14:paraId="7E8F8BBC"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Направить в Германию по вопросам станкостроения комиссию инженеров-станкостроителей в следующем со</w:t>
      </w:r>
      <w:r w:rsidRPr="00DB5D0D">
        <w:rPr>
          <w:rFonts w:ascii="Times New Roman" w:hAnsi="Times New Roman"/>
          <w:color w:val="0070C0"/>
          <w:sz w:val="16"/>
          <w:szCs w:val="16"/>
        </w:rPr>
        <w:softHyphen/>
        <w:t>ставе… (22028).</w:t>
      </w:r>
    </w:p>
    <w:p w14:paraId="63F0B683" w14:textId="77777777" w:rsidR="005E0A8B" w:rsidRPr="00DB5D0D" w:rsidRDefault="005E0A8B" w:rsidP="00DB5D0D">
      <w:pPr>
        <w:spacing w:after="0" w:line="240" w:lineRule="auto"/>
        <w:jc w:val="both"/>
        <w:rPr>
          <w:rFonts w:ascii="Times New Roman" w:hAnsi="Times New Roman"/>
          <w:color w:val="0070C0"/>
          <w:sz w:val="16"/>
          <w:szCs w:val="16"/>
        </w:rPr>
      </w:pPr>
    </w:p>
    <w:p w14:paraId="2491FC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 на основании приказа № 202 НКОМ из наркомата тек</w:t>
      </w:r>
      <w:r w:rsidRPr="00DB5D0D">
        <w:rPr>
          <w:rFonts w:ascii="Times New Roman" w:hAnsi="Times New Roman"/>
          <w:color w:val="000000" w:themeColor="text1"/>
          <w:sz w:val="16"/>
          <w:szCs w:val="16"/>
        </w:rPr>
        <w:softHyphen/>
        <w:t>стильной промышленности 31 августа 1940 г. в Главмотовелопром перевели Венюковский завод текстильного оборудования. Посёлок Венюково находился в 80 км от Москвы и 4 км от же</w:t>
      </w:r>
      <w:r w:rsidRPr="00DB5D0D">
        <w:rPr>
          <w:rFonts w:ascii="Times New Roman" w:hAnsi="Times New Roman"/>
          <w:color w:val="000000" w:themeColor="text1"/>
          <w:sz w:val="16"/>
          <w:szCs w:val="16"/>
        </w:rPr>
        <w:softHyphen/>
        <w:t>лезнодорожной станции Лопасня. Предполагалось создать Ве</w:t>
      </w:r>
      <w:r w:rsidRPr="00DB5D0D">
        <w:rPr>
          <w:rFonts w:ascii="Times New Roman" w:hAnsi="Times New Roman"/>
          <w:color w:val="000000" w:themeColor="text1"/>
          <w:sz w:val="16"/>
          <w:szCs w:val="16"/>
        </w:rPr>
        <w:softHyphen/>
        <w:t>нюковский мотозавод (ВенМЗ). На территории (13,2 га) распола</w:t>
      </w:r>
      <w:r w:rsidRPr="00DB5D0D">
        <w:rPr>
          <w:rFonts w:ascii="Times New Roman" w:hAnsi="Times New Roman"/>
          <w:color w:val="000000" w:themeColor="text1"/>
          <w:sz w:val="16"/>
          <w:szCs w:val="16"/>
        </w:rPr>
        <w:softHyphen/>
        <w:t>гались здания (24 тыс.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производственной площадью 11 тыс. м</w:t>
      </w:r>
      <w:r w:rsidRPr="00DB5D0D">
        <w:rPr>
          <w:rFonts w:ascii="Times New Roman" w:hAnsi="Times New Roman"/>
          <w:color w:val="000000" w:themeColor="text1"/>
          <w:sz w:val="16"/>
          <w:szCs w:val="16"/>
          <w:vertAlign w:val="superscript"/>
        </w:rPr>
        <w:t xml:space="preserve">2 </w:t>
      </w:r>
      <w:r w:rsidRPr="00DB5D0D">
        <w:rPr>
          <w:rFonts w:ascii="Times New Roman" w:hAnsi="Times New Roman"/>
          <w:color w:val="000000" w:themeColor="text1"/>
          <w:sz w:val="16"/>
          <w:szCs w:val="16"/>
        </w:rPr>
        <w:t>с 308 станками, а также теплоэлектростанция мощностью 600 кВт. На заводе числилось 2507 человек: 1845 рабочих и 238 ИТР [4.204]. Директору Яковлеву поручили на ВенМЗ освоить изготовление инструмента и оснастки для СМЗ, а директору за</w:t>
      </w:r>
      <w:r w:rsidRPr="00DB5D0D">
        <w:rPr>
          <w:rFonts w:ascii="Times New Roman" w:hAnsi="Times New Roman"/>
          <w:color w:val="000000" w:themeColor="text1"/>
          <w:sz w:val="16"/>
          <w:szCs w:val="16"/>
        </w:rPr>
        <w:softHyphen/>
        <w:t>вода «Искра» - производство деталей к мотоциклу М-72. Одна</w:t>
      </w:r>
      <w:r w:rsidRPr="00DB5D0D">
        <w:rPr>
          <w:rFonts w:ascii="Times New Roman" w:hAnsi="Times New Roman"/>
          <w:color w:val="000000" w:themeColor="text1"/>
          <w:sz w:val="16"/>
          <w:szCs w:val="16"/>
        </w:rPr>
        <w:softHyphen/>
        <w:t>ко вскоре, согласно приказу № 95 от 7 декабря 1940 г., на ВенМЗ прекратили работы по мотоциклам, заменив их выпуском дру</w:t>
      </w:r>
      <w:r w:rsidRPr="00DB5D0D">
        <w:rPr>
          <w:rFonts w:ascii="Times New Roman" w:hAnsi="Times New Roman"/>
          <w:color w:val="000000" w:themeColor="text1"/>
          <w:sz w:val="16"/>
          <w:szCs w:val="16"/>
        </w:rPr>
        <w:softHyphen/>
        <w:t>гой продукции [4.205] (11429).</w:t>
      </w:r>
    </w:p>
    <w:p w14:paraId="0F95C7E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22450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lastRenderedPageBreak/>
        <w:t>Жизнь и внутренняя политика:</w:t>
      </w:r>
    </w:p>
    <w:p w14:paraId="3DBEF72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22D2DE4"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августа 1940 вышло Постановление Комитета обороны при СНК СССР № 362сс "Об окончании работ по светомаскировке и устройству централизованного оповещения граждан г. Москвы в условиях воздушного нападения" с приложением</w:t>
      </w:r>
    </w:p>
    <w:p w14:paraId="1A463941"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целях обеспечения устройства централизованного выключения освещения в г. Москве и оповещения граждан в условиях воздушной бое</w:t>
      </w:r>
      <w:r w:rsidRPr="00DB5D0D">
        <w:rPr>
          <w:rFonts w:ascii="Times New Roman" w:hAnsi="Times New Roman"/>
          <w:color w:val="0070C0"/>
          <w:sz w:val="16"/>
          <w:szCs w:val="16"/>
        </w:rPr>
        <w:softHyphen/>
        <w:t>вой тревоги, КОМИТЕТ ОБОРОНЫ при СНК Союза ССР ПОСТАНОВЛЯЕТ:</w:t>
      </w:r>
    </w:p>
    <w:p w14:paraId="130F39A7"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Обязать Мосгорисполком (т. Пронина):</w:t>
      </w:r>
    </w:p>
    <w:p w14:paraId="4A236747"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к 1 января 1941 года перевести освещение г. Москвы на централизованное управление из одного пункта (вместо ныне ствующих 900)</w:t>
      </w:r>
    </w:p>
    <w:p w14:paraId="4B3DDDB1"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организовать централизованное оповещение граждан о воздушной тревоге.</w:t>
      </w:r>
    </w:p>
    <w:p w14:paraId="1F6EB368"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Обязать Наркомсвязи (т. Пересыпкина) обеспечить в Ш квартале 1940 г. монтаж оборудования для централизованного управления уличным освещением г. Москвы.</w:t>
      </w:r>
    </w:p>
    <w:p w14:paraId="74E56A08"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В целях осуществления единого командования местной противовоздушной обороной г. Москвы подчинить всю местную противовоздушную оборону наркоматов, ведомств и железно-дорожного транспорта, и работу по светомаскировке 100 километровой зоны начальнику МПВО г. Москвы.</w:t>
      </w:r>
    </w:p>
    <w:p w14:paraId="2021992A"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связи с этим разрешить Мосгорисполкому организовать при штабе МПВО г. Москвы отдел по светомаскировке 100 километровой зоне.</w:t>
      </w:r>
    </w:p>
    <w:p w14:paraId="43FD953B"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Обязать Наркомэлектропром (т.Богатырева), Наркомхимпром (т. Денисова) и Наркомат Целлюлозной и Бумажной промышленности (т. Чеботарева) выделить и отгрузить Мосгорисполкому для проведе</w:t>
      </w:r>
      <w:r w:rsidRPr="00DB5D0D">
        <w:rPr>
          <w:rFonts w:ascii="Times New Roman" w:hAnsi="Times New Roman"/>
          <w:color w:val="0070C0"/>
          <w:sz w:val="16"/>
          <w:szCs w:val="16"/>
        </w:rPr>
        <w:softHyphen/>
        <w:t>ния указанных работ материалы и оборудование в количествах и сроки, согласно приложению (22027).</w:t>
      </w:r>
    </w:p>
    <w:p w14:paraId="7252E261" w14:textId="77777777" w:rsidR="005E0A8B" w:rsidRPr="00DB5D0D" w:rsidRDefault="005E0A8B" w:rsidP="00DB5D0D">
      <w:pPr>
        <w:spacing w:after="0" w:line="240" w:lineRule="auto"/>
        <w:jc w:val="both"/>
        <w:rPr>
          <w:rFonts w:ascii="Times New Roman" w:hAnsi="Times New Roman"/>
          <w:color w:val="0070C0"/>
          <w:sz w:val="16"/>
          <w:szCs w:val="16"/>
        </w:rPr>
      </w:pPr>
    </w:p>
    <w:p w14:paraId="621C9CA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в занятой советскими войсками Буковине национализированы земля и предприятия (4962).</w:t>
      </w:r>
    </w:p>
    <w:p w14:paraId="7EB2F38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235971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4CF198A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B7B30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 состоялась пятая встреча КА Уманского и С. Уэллеса, при</w:t>
      </w:r>
      <w:r w:rsidRPr="00DB5D0D">
        <w:rPr>
          <w:rFonts w:ascii="Times New Roman" w:hAnsi="Times New Roman"/>
          <w:color w:val="000000" w:themeColor="text1"/>
          <w:sz w:val="16"/>
          <w:szCs w:val="16"/>
        </w:rPr>
        <w:softHyphen/>
        <w:t>чем в торговой части переговоров с советской стороны принял участие пре</w:t>
      </w:r>
      <w:r w:rsidRPr="00DB5D0D">
        <w:rPr>
          <w:rFonts w:ascii="Times New Roman" w:hAnsi="Times New Roman"/>
          <w:color w:val="000000" w:themeColor="text1"/>
          <w:sz w:val="16"/>
          <w:szCs w:val="16"/>
        </w:rPr>
        <w:softHyphen/>
        <w:t>зидент Амторга Лукашев. С американской же стороны никаких изменений в составе участников по сравнению с предыдущей встречей не было.</w:t>
      </w:r>
    </w:p>
    <w:p w14:paraId="700C81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Уэллес вручил КА. Уманскому списки запрещенного и разрешенного к вывозу оборудования. Из советских заявок на сумму около 15,5 млн долла</w:t>
      </w:r>
      <w:r w:rsidRPr="00DB5D0D">
        <w:rPr>
          <w:rFonts w:ascii="Times New Roman" w:hAnsi="Times New Roman"/>
          <w:color w:val="000000" w:themeColor="text1"/>
          <w:sz w:val="16"/>
          <w:szCs w:val="16"/>
        </w:rPr>
        <w:softHyphen/>
        <w:t>ров было разрешено к лицензированию товаров на сумму 7058000 долла</w:t>
      </w:r>
      <w:r w:rsidRPr="00DB5D0D">
        <w:rPr>
          <w:rFonts w:ascii="Times New Roman" w:hAnsi="Times New Roman"/>
          <w:color w:val="000000" w:themeColor="text1"/>
          <w:sz w:val="16"/>
          <w:szCs w:val="16"/>
        </w:rPr>
        <w:softHyphen/>
        <w:t>ров, то есть менее половины первоначальной суммы; на остальные заявки был либо наложен запрет (на сумму 3779000 долларов), либо они не были рассмотрены. «Последовал довольно острый обмен мнениями, не внесший ничего нового, в результате которого Уэллес констатировал, что стороны зашли в тупик», - сообщали Уманский и Лукашев в телеграмме в НКИД от 16.08.1940 года. «Не сговорились мы также по вопросу о форме снятия мо</w:t>
      </w:r>
      <w:r w:rsidRPr="00DB5D0D">
        <w:rPr>
          <w:rFonts w:ascii="Times New Roman" w:hAnsi="Times New Roman"/>
          <w:color w:val="000000" w:themeColor="text1"/>
          <w:sz w:val="16"/>
          <w:szCs w:val="16"/>
        </w:rPr>
        <w:softHyphen/>
        <w:t>рального эмбарго», - констатировали они.</w:t>
      </w:r>
    </w:p>
    <w:p w14:paraId="2AC12D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Подобная информация говорит об остром кризисе в советско-амери</w:t>
      </w:r>
      <w:r w:rsidRPr="00DB5D0D">
        <w:rPr>
          <w:rFonts w:ascii="Times New Roman" w:hAnsi="Times New Roman"/>
          <w:color w:val="000000" w:themeColor="text1"/>
          <w:sz w:val="16"/>
          <w:szCs w:val="16"/>
        </w:rPr>
        <w:softHyphen/>
        <w:t>канских торгово-экономических контактах, касающихся прежде всего во</w:t>
      </w:r>
      <w:r w:rsidRPr="00DB5D0D">
        <w:rPr>
          <w:rFonts w:ascii="Times New Roman" w:hAnsi="Times New Roman"/>
          <w:color w:val="000000" w:themeColor="text1"/>
          <w:sz w:val="16"/>
          <w:szCs w:val="16"/>
        </w:rPr>
        <w:softHyphen/>
        <w:t>енной области и, в частности, области авиации. В течение почти двух меся</w:t>
      </w:r>
      <w:r w:rsidRPr="00DB5D0D">
        <w:rPr>
          <w:rFonts w:ascii="Times New Roman" w:hAnsi="Times New Roman"/>
          <w:color w:val="000000" w:themeColor="text1"/>
          <w:sz w:val="16"/>
          <w:szCs w:val="16"/>
        </w:rPr>
        <w:softHyphen/>
        <w:t>цев эти встречи не проводились. Переговоры прервались из-за значитель</w:t>
      </w:r>
      <w:r w:rsidRPr="00DB5D0D">
        <w:rPr>
          <w:rFonts w:ascii="Times New Roman" w:hAnsi="Times New Roman"/>
          <w:color w:val="000000" w:themeColor="text1"/>
          <w:sz w:val="16"/>
          <w:szCs w:val="16"/>
        </w:rPr>
        <w:softHyphen/>
        <w:t>ного расхождения в позициях сторон. Фактически экономические отноше</w:t>
      </w:r>
      <w:r w:rsidRPr="00DB5D0D">
        <w:rPr>
          <w:rFonts w:ascii="Times New Roman" w:hAnsi="Times New Roman"/>
          <w:color w:val="000000" w:themeColor="text1"/>
          <w:sz w:val="16"/>
          <w:szCs w:val="16"/>
        </w:rPr>
        <w:softHyphen/>
        <w:t>ния оставались в это время замороженными. Только в октябре переговоры были возобновлены.</w:t>
      </w:r>
    </w:p>
    <w:p w14:paraId="500E2C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Политбюро ЦК ВКП(б) № П 21 / 64 - ОП от 5 октября 1940 года «Вопрос НКВТ» утверждался проект ответной телеграммы К Уманскому (в Вашингтон) и К Лукашеву (в Нью-Йорк) в связи с их переговорами с С. Уэл</w:t>
      </w:r>
      <w:r w:rsidRPr="00DB5D0D">
        <w:rPr>
          <w:rFonts w:ascii="Times New Roman" w:hAnsi="Times New Roman"/>
          <w:color w:val="000000" w:themeColor="text1"/>
          <w:sz w:val="16"/>
          <w:szCs w:val="16"/>
        </w:rPr>
        <w:softHyphen/>
        <w:t>лесом по торговым вопросам. В этом тексте говорилось, что по вопросу о лицензиях на станки Госдепартаменту необходимо было передать сооб</w:t>
      </w:r>
      <w:r w:rsidRPr="00DB5D0D">
        <w:rPr>
          <w:rFonts w:ascii="Times New Roman" w:hAnsi="Times New Roman"/>
          <w:color w:val="000000" w:themeColor="text1"/>
          <w:sz w:val="16"/>
          <w:szCs w:val="16"/>
        </w:rPr>
        <w:softHyphen/>
        <w:t>щение из шести пунктов. В пункте первом сообщалось о том, что советс</w:t>
      </w:r>
      <w:r w:rsidRPr="00DB5D0D">
        <w:rPr>
          <w:rFonts w:ascii="Times New Roman" w:hAnsi="Times New Roman"/>
          <w:color w:val="000000" w:themeColor="text1"/>
          <w:sz w:val="16"/>
          <w:szCs w:val="16"/>
        </w:rPr>
        <w:softHyphen/>
        <w:t>кое правительство считает, что Указ от 6 июля 1940 года не должен иметь применения к советским заказам, которые были выданы фирмам до его опубликования. Подчеркивалось, что применение Указа есть частичное аннулирование торгового соглашения США и СССР. В пунктах 2-5 указыва</w:t>
      </w:r>
      <w:r w:rsidRPr="00DB5D0D">
        <w:rPr>
          <w:rFonts w:ascii="Times New Roman" w:hAnsi="Times New Roman"/>
          <w:color w:val="000000" w:themeColor="text1"/>
          <w:sz w:val="16"/>
          <w:szCs w:val="16"/>
        </w:rPr>
        <w:softHyphen/>
        <w:t>лось, что советская сторона частично согласна отказаться от вывоза части станков, на которые нет лицензий. Также ставился вопрос о компенсации. Пункт шестой проекта гласил: «Все лицензии на вывоз, выдаваемые Пра</w:t>
      </w:r>
      <w:r w:rsidRPr="00DB5D0D">
        <w:rPr>
          <w:rFonts w:ascii="Times New Roman" w:hAnsi="Times New Roman"/>
          <w:color w:val="000000" w:themeColor="text1"/>
          <w:sz w:val="16"/>
          <w:szCs w:val="16"/>
        </w:rPr>
        <w:softHyphen/>
        <w:t>вительством США по размещенным советским заказам на станки и другие предметы и по заказам, которые будут размещены, не могут быть аннулиро</w:t>
      </w:r>
      <w:r w:rsidRPr="00DB5D0D">
        <w:rPr>
          <w:rFonts w:ascii="Times New Roman" w:hAnsi="Times New Roman"/>
          <w:color w:val="000000" w:themeColor="text1"/>
          <w:sz w:val="16"/>
          <w:szCs w:val="16"/>
        </w:rPr>
        <w:softHyphen/>
        <w:t>ваны». В тексте подчеркивалось: «Обращаем Ваше внимание на то, что, как видно из содержания пунктов первого и шестого, они относятся не только к станкам, но и к другому оборудованию». Проект ответной телеграммы был подписан В.М. Молотовым и А.И. Микояном.</w:t>
      </w:r>
    </w:p>
    <w:p w14:paraId="4AD328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7.10.1940 года К А Уманским была отправлена телеграмма В.М. Молотову с сообщением о его шестой встрече с С. Уэллесом, имевшей место в тот же день. «В устной форме я точно передал ему порученное вами заявление», -сообщал КА Уманский. В данном заявлении в первую очередь вопрос шел о задержанных станках. «Уэллес заявил, что он рассчитывает, что сможет скоро передать мне решение Американского правительства по предложе</w:t>
      </w:r>
      <w:r w:rsidRPr="00DB5D0D">
        <w:rPr>
          <w:rFonts w:ascii="Times New Roman" w:hAnsi="Times New Roman"/>
          <w:color w:val="000000" w:themeColor="text1"/>
          <w:sz w:val="16"/>
          <w:szCs w:val="16"/>
        </w:rPr>
        <w:softHyphen/>
        <w:t>ниям советского правительства о станках. Вопроса «морального» эмбарго и других нерешенных вопросов, фигурировавших в переговорах, ни Уэллес, ни я сегодня не касались», - подводил Уманский итоги своей встречи. При</w:t>
      </w:r>
      <w:r w:rsidRPr="00DB5D0D">
        <w:rPr>
          <w:rFonts w:ascii="Times New Roman" w:hAnsi="Times New Roman"/>
          <w:color w:val="000000" w:themeColor="text1"/>
          <w:sz w:val="16"/>
          <w:szCs w:val="16"/>
        </w:rPr>
        <w:softHyphen/>
        <w:t>мечательно, что на документе рукою В.М. Молотова была сделана пометка, свидетельствующая о том внимании, которое уделялось советским прави</w:t>
      </w:r>
      <w:r w:rsidRPr="00DB5D0D">
        <w:rPr>
          <w:rFonts w:ascii="Times New Roman" w:hAnsi="Times New Roman"/>
          <w:color w:val="000000" w:themeColor="text1"/>
          <w:sz w:val="16"/>
          <w:szCs w:val="16"/>
        </w:rPr>
        <w:softHyphen/>
        <w:t>тельством ходу переговоров с американской стороной: «Тов. Шлякову. Где задержалась телеграмма с 7 по 9 октября? В. Молотов».</w:t>
      </w:r>
    </w:p>
    <w:p w14:paraId="21B290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Материалы седьмой и восьмой встречи в отечественном сборнике от</w:t>
      </w:r>
      <w:r w:rsidRPr="00DB5D0D">
        <w:rPr>
          <w:rFonts w:ascii="Times New Roman" w:hAnsi="Times New Roman"/>
          <w:color w:val="000000" w:themeColor="text1"/>
          <w:sz w:val="16"/>
          <w:szCs w:val="16"/>
        </w:rPr>
        <w:softHyphen/>
        <w:t>сутствуют. В американских документах нет материалов восьмой встречи, но наличествуют материалы встречи советского полпреда с американски</w:t>
      </w:r>
      <w:r w:rsidRPr="00DB5D0D">
        <w:rPr>
          <w:rFonts w:ascii="Times New Roman" w:hAnsi="Times New Roman"/>
          <w:color w:val="000000" w:themeColor="text1"/>
          <w:sz w:val="16"/>
          <w:szCs w:val="16"/>
        </w:rPr>
        <w:softHyphen/>
        <w:t>ми представителями, состоявшейся 15 октября 1939 года. Встреча прошла без участия Уэллеса. С американской стороны присутствовали Аттертон и Эдвард Пейдж из Отдела европейских связей</w:t>
      </w:r>
      <w:r w:rsidRPr="00DB5D0D">
        <w:rPr>
          <w:rFonts w:ascii="Times New Roman" w:hAnsi="Times New Roman"/>
          <w:color w:val="000000" w:themeColor="text1"/>
          <w:sz w:val="16"/>
          <w:szCs w:val="16"/>
          <w:vertAlign w:val="superscript"/>
        </w:rPr>
        <w:t>108</w:t>
      </w:r>
      <w:r w:rsidRPr="00DB5D0D">
        <w:rPr>
          <w:rFonts w:ascii="Times New Roman" w:hAnsi="Times New Roman"/>
          <w:color w:val="000000" w:themeColor="text1"/>
          <w:sz w:val="16"/>
          <w:szCs w:val="16"/>
        </w:rPr>
        <w:t>. На этой встрече затраги</w:t>
      </w:r>
      <w:r w:rsidRPr="00DB5D0D">
        <w:rPr>
          <w:rFonts w:ascii="Times New Roman" w:hAnsi="Times New Roman"/>
          <w:color w:val="000000" w:themeColor="text1"/>
          <w:sz w:val="16"/>
          <w:szCs w:val="16"/>
        </w:rPr>
        <w:softHyphen/>
        <w:t>вались разные вопросы. Уманский, в частности, потребовал расследовать дело о заявке на экспорт катализатора для крекинга на сумму 74 тысячи долларов. С этим делом американская сторона обещала разобраться.</w:t>
      </w:r>
    </w:p>
    <w:p w14:paraId="5A5C36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Девятая встреча КА Уманского с С. Уэллесом и рядом американских представителей (Аттертоном, полковником Максуэллом, Пейджем) состо</w:t>
      </w:r>
      <w:r w:rsidRPr="00DB5D0D">
        <w:rPr>
          <w:rFonts w:ascii="Times New Roman" w:hAnsi="Times New Roman"/>
          <w:color w:val="000000" w:themeColor="text1"/>
          <w:sz w:val="16"/>
          <w:szCs w:val="16"/>
        </w:rPr>
        <w:softHyphen/>
        <w:t>ялась 24.10.1940 года. С советской стороны присутствовали также Лукашев (на первой части беседы) и Сельдяков.</w:t>
      </w:r>
    </w:p>
    <w:p w14:paraId="1E9D61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советским источникам, С. Уэллес вручил КА Уманскому список, из которого следовало: из числа станков и оборудования на сумму 2001000 долларов, изготовленных по заказу СССР, но реквизированных американской стороной, освобождалось заказов на сумму 489000 долларов. «Иными слова</w:t>
      </w:r>
      <w:r w:rsidRPr="00DB5D0D">
        <w:rPr>
          <w:rFonts w:ascii="Times New Roman" w:hAnsi="Times New Roman"/>
          <w:color w:val="000000" w:themeColor="text1"/>
          <w:sz w:val="16"/>
          <w:szCs w:val="16"/>
        </w:rPr>
        <w:softHyphen/>
        <w:t>ми, - констатировал КА Уманский в телеграмме В.М. Молотову и АИ. Мико</w:t>
      </w:r>
      <w:r w:rsidRPr="00DB5D0D">
        <w:rPr>
          <w:rFonts w:ascii="Times New Roman" w:hAnsi="Times New Roman"/>
          <w:color w:val="000000" w:themeColor="text1"/>
          <w:sz w:val="16"/>
          <w:szCs w:val="16"/>
        </w:rPr>
        <w:softHyphen/>
        <w:t>яну от 24.10.1940 года, - Американское правительство освободило в ценнос</w:t>
      </w:r>
      <w:r w:rsidRPr="00DB5D0D">
        <w:rPr>
          <w:rFonts w:ascii="Times New Roman" w:hAnsi="Times New Roman"/>
          <w:color w:val="000000" w:themeColor="text1"/>
          <w:sz w:val="16"/>
          <w:szCs w:val="16"/>
        </w:rPr>
        <w:softHyphen/>
        <w:t>тном выражении на этот раз одну четверть изготовленного оборудования, реквизировав основное». Касаясь запрещенного к вывозу оборудования, он отмечал: «В число реквизированных станков вошли в основном тяжелые и резьбо-фрезерные станки. По машиноимпорту... реквизированы правильные валки и один гидропресс «Фаррель-Бирмингхэм». В лицензиях на авиачасти отказано». КА Уманский подчеркнул: «Я и Лукашев выразили наше глубокое неудовлетворение этим списком. ..Я заявил, что доложу Советскому прави</w:t>
      </w:r>
      <w:r w:rsidRPr="00DB5D0D">
        <w:rPr>
          <w:rFonts w:ascii="Times New Roman" w:hAnsi="Times New Roman"/>
          <w:color w:val="000000" w:themeColor="text1"/>
          <w:sz w:val="16"/>
          <w:szCs w:val="16"/>
        </w:rPr>
        <w:softHyphen/>
        <w:t>тельству о неудовлетворительном решении Американского правительства по вопросу об изготовленном оборудовании, указав, что решение противоречит и его, Уэллеса, заверениям при прошлой встрече (речь идет о восьмой встрече, состоявшейся между 7.10 и 24.10.1940 года, информации о которой в сборни</w:t>
      </w:r>
      <w:r w:rsidRPr="00DB5D0D">
        <w:rPr>
          <w:rFonts w:ascii="Times New Roman" w:hAnsi="Times New Roman"/>
          <w:color w:val="000000" w:themeColor="text1"/>
          <w:sz w:val="16"/>
          <w:szCs w:val="16"/>
        </w:rPr>
        <w:softHyphen/>
        <w:t>ке не приводится. - Прим. авт), и его сегодняшнему заявлению о стремлении Американского правительства «максимально» учитывать интересы Советско</w:t>
      </w:r>
      <w:r w:rsidRPr="00DB5D0D">
        <w:rPr>
          <w:rFonts w:ascii="Times New Roman" w:hAnsi="Times New Roman"/>
          <w:color w:val="000000" w:themeColor="text1"/>
          <w:sz w:val="16"/>
          <w:szCs w:val="16"/>
        </w:rPr>
        <w:softHyphen/>
        <w:t>го правительства». Во время дальнейшей полемики с С. Уэллесом КА Уманский настаивал на этой точке зрения - «как пример того состояния неопределен</w:t>
      </w:r>
      <w:r w:rsidRPr="00DB5D0D">
        <w:rPr>
          <w:rFonts w:ascii="Times New Roman" w:hAnsi="Times New Roman"/>
          <w:color w:val="000000" w:themeColor="text1"/>
          <w:sz w:val="16"/>
          <w:szCs w:val="16"/>
        </w:rPr>
        <w:softHyphen/>
        <w:t>ности, которое мешает развитию торговли, привел вопрос о каталитическом крекинговом оборудовании, по которому не могу получить ясного ответа, хотя возвращаюсь к нему третий раз» (Уманский, в частности, поднимал вопрос об этом оборудовании еще во время второй встречи, происходившей 1.08.1940 года, то есть почти три месяца назад.).</w:t>
      </w:r>
    </w:p>
    <w:p w14:paraId="16B8FA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крекинговом оборудовании был поднят сразу же во второй час</w:t>
      </w:r>
      <w:r w:rsidRPr="00DB5D0D">
        <w:rPr>
          <w:rFonts w:ascii="Times New Roman" w:hAnsi="Times New Roman"/>
          <w:color w:val="000000" w:themeColor="text1"/>
          <w:sz w:val="16"/>
          <w:szCs w:val="16"/>
        </w:rPr>
        <w:softHyphen/>
        <w:t>ти беседы, проходившей уже без участия Лукашева и полковника Максуэлла с американской стороны. По этому поводу С Уэллес заявил, что «американское правительство в принципе не возражает против изготовления этого оборудо</w:t>
      </w:r>
      <w:r w:rsidRPr="00DB5D0D">
        <w:rPr>
          <w:rFonts w:ascii="Times New Roman" w:hAnsi="Times New Roman"/>
          <w:color w:val="000000" w:themeColor="text1"/>
          <w:sz w:val="16"/>
          <w:szCs w:val="16"/>
        </w:rPr>
        <w:softHyphen/>
        <w:t>вания фирмой Келлога для СССР», но первой важной предпосылкой для офор</w:t>
      </w:r>
      <w:r w:rsidRPr="00DB5D0D">
        <w:rPr>
          <w:rFonts w:ascii="Times New Roman" w:hAnsi="Times New Roman"/>
          <w:color w:val="000000" w:themeColor="text1"/>
          <w:sz w:val="16"/>
          <w:szCs w:val="16"/>
        </w:rPr>
        <w:softHyphen/>
        <w:t>мления этого разрешения должно стать «снятие морального эмбарго, которое распространяется на оборудование по производству высокооктанового бен</w:t>
      </w:r>
      <w:r w:rsidRPr="00DB5D0D">
        <w:rPr>
          <w:rFonts w:ascii="Times New Roman" w:hAnsi="Times New Roman"/>
          <w:color w:val="000000" w:themeColor="text1"/>
          <w:sz w:val="16"/>
          <w:szCs w:val="16"/>
        </w:rPr>
        <w:softHyphen/>
        <w:t>зина»; после того как в переговорах будет достигнуто соглашение по вопро</w:t>
      </w:r>
      <w:r w:rsidRPr="00DB5D0D">
        <w:rPr>
          <w:rFonts w:ascii="Times New Roman" w:hAnsi="Times New Roman"/>
          <w:color w:val="000000" w:themeColor="text1"/>
          <w:sz w:val="16"/>
          <w:szCs w:val="16"/>
        </w:rPr>
        <w:softHyphen/>
        <w:t>сам, фигурировавшим в этих переговорах, и, как отметил С. Уэллес, «в случае, если тем временем в международной обстановке не произойдет ничего не</w:t>
      </w:r>
      <w:r w:rsidRPr="00DB5D0D">
        <w:rPr>
          <w:rFonts w:ascii="Times New Roman" w:hAnsi="Times New Roman"/>
          <w:color w:val="000000" w:themeColor="text1"/>
          <w:sz w:val="16"/>
          <w:szCs w:val="16"/>
        </w:rPr>
        <w:softHyphen/>
        <w:t>предвиденного», американское правительство «готово завершить переговоры публичным заявлением о том, что причины, вызвавшие введение морального эмбарго, в отношении СССР отпали». Уманский отметил ряд неопределенных формулировок в заявлении Уэллеса, включая «оговорку о «непредвиденных» событиях». В заключение встречи С. Уэллес «предложил встретиться с ним 28 октября для разработки проектов нотами по остальным вопросам».</w:t>
      </w:r>
    </w:p>
    <w:p w14:paraId="517EF7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Подробных американских материалов об этой встрече нет. Имеющийся советский документ о ней дает важную информацию о состоянии советско-американских торгово-экономических контактов, в первую очередь в военной области (о чем, в частности, свидетельствует присутствие на переговорах пред</w:t>
      </w:r>
      <w:r w:rsidRPr="00DB5D0D">
        <w:rPr>
          <w:rFonts w:ascii="Times New Roman" w:hAnsi="Times New Roman"/>
          <w:color w:val="000000" w:themeColor="text1"/>
          <w:sz w:val="16"/>
          <w:szCs w:val="16"/>
        </w:rPr>
        <w:softHyphen/>
        <w:t>ставителя американских вооруженных сил), по состоянию на конец октября 1940 года. С одной стороны, налицо отрицательное действие американских санкций, включая и моральное эмбарго, на поставки в СССР целой гаммы обору</w:t>
      </w:r>
      <w:r w:rsidRPr="00DB5D0D">
        <w:rPr>
          <w:rFonts w:ascii="Times New Roman" w:hAnsi="Times New Roman"/>
          <w:color w:val="000000" w:themeColor="text1"/>
          <w:sz w:val="16"/>
          <w:szCs w:val="16"/>
        </w:rPr>
        <w:softHyphen/>
        <w:t>дования, готовых частей и технологии, необходимых для производства и функ</w:t>
      </w:r>
      <w:r w:rsidRPr="00DB5D0D">
        <w:rPr>
          <w:rFonts w:ascii="Times New Roman" w:hAnsi="Times New Roman"/>
          <w:color w:val="000000" w:themeColor="text1"/>
          <w:sz w:val="16"/>
          <w:szCs w:val="16"/>
        </w:rPr>
        <w:softHyphen/>
        <w:t>ционирования авиации (станки, авиачасти, крекинговое оборудование для про</w:t>
      </w:r>
      <w:r w:rsidRPr="00DB5D0D">
        <w:rPr>
          <w:rFonts w:ascii="Times New Roman" w:hAnsi="Times New Roman"/>
          <w:color w:val="000000" w:themeColor="text1"/>
          <w:sz w:val="16"/>
          <w:szCs w:val="16"/>
        </w:rPr>
        <w:softHyphen/>
        <w:t>изводства высокооктанового авиабензина). С другой стороны, американскими представителями отмечается не только вероятность поставок в СССР, в частнос</w:t>
      </w:r>
      <w:r w:rsidRPr="00DB5D0D">
        <w:rPr>
          <w:rFonts w:ascii="Times New Roman" w:hAnsi="Times New Roman"/>
          <w:color w:val="000000" w:themeColor="text1"/>
          <w:sz w:val="16"/>
          <w:szCs w:val="16"/>
        </w:rPr>
        <w:softHyphen/>
        <w:t>ти, крекингового оборудования, но и возможность в этом случае (пусть даже и со множеством оговорок) отмены как такового морального эмбарго, блокиру</w:t>
      </w:r>
      <w:r w:rsidRPr="00DB5D0D">
        <w:rPr>
          <w:rFonts w:ascii="Times New Roman" w:hAnsi="Times New Roman"/>
          <w:color w:val="000000" w:themeColor="text1"/>
          <w:sz w:val="16"/>
          <w:szCs w:val="16"/>
        </w:rPr>
        <w:softHyphen/>
        <w:t>ющего эту и множество других заявок Приходится также констатировать, что моральное эмбарго, действующее на момент этой встречи почти 11 месяцев и не отмененное до сих пор, уже сумело нанести существенный ущерб оборонос</w:t>
      </w:r>
      <w:r w:rsidRPr="00DB5D0D">
        <w:rPr>
          <w:rFonts w:ascii="Times New Roman" w:hAnsi="Times New Roman"/>
          <w:color w:val="000000" w:themeColor="text1"/>
          <w:sz w:val="16"/>
          <w:szCs w:val="16"/>
        </w:rPr>
        <w:softHyphen/>
        <w:t>пособности СССР вообще и в области военной авиации в частности.</w:t>
      </w:r>
    </w:p>
    <w:p w14:paraId="0EF2FC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Десятая встреча Уманского с Уэллесом, на которой больше никто не присутствовал ни с советской, ни с американской стороны, состоялась 1.11.1940 года. Уэллес констатировал достижение по ряду вопросов в резуль</w:t>
      </w:r>
      <w:r w:rsidRPr="00DB5D0D">
        <w:rPr>
          <w:rFonts w:ascii="Times New Roman" w:hAnsi="Times New Roman"/>
          <w:color w:val="000000" w:themeColor="text1"/>
          <w:sz w:val="16"/>
          <w:szCs w:val="16"/>
        </w:rPr>
        <w:softHyphen/>
        <w:t xml:space="preserve">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w:t>
      </w:r>
      <w:r w:rsidRPr="00DB5D0D">
        <w:rPr>
          <w:rFonts w:ascii="Times New Roman" w:hAnsi="Times New Roman"/>
          <w:color w:val="000000" w:themeColor="text1"/>
          <w:sz w:val="16"/>
          <w:szCs w:val="16"/>
        </w:rPr>
        <w:lastRenderedPageBreak/>
        <w:t>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DB5D0D">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DB5D0D">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DB5D0D">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1ADB26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же, по сравнению с предшествующей встречей, десятая не вне</w:t>
      </w:r>
      <w:r w:rsidRPr="00DB5D0D">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6459B3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DB5D0D">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DB5D0D">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603D0A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DB5D0D">
        <w:rPr>
          <w:rFonts w:ascii="Times New Roman" w:hAnsi="Times New Roman"/>
          <w:color w:val="000000" w:themeColor="text1"/>
          <w:sz w:val="16"/>
          <w:szCs w:val="16"/>
        </w:rPr>
        <w:softHyphen/>
        <w:t>ках и машинах. Уманский выразил недовольство результатами работы ко</w:t>
      </w:r>
      <w:r w:rsidRPr="00DB5D0D">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DB5D0D">
        <w:rPr>
          <w:rFonts w:ascii="Times New Roman" w:hAnsi="Times New Roman"/>
          <w:color w:val="000000" w:themeColor="text1"/>
          <w:sz w:val="16"/>
          <w:szCs w:val="16"/>
        </w:rPr>
        <w:softHyphen/>
        <w:t>кого правительства, переданных мною Уэллесу 7 октября. Уэллес отве</w:t>
      </w:r>
      <w:r w:rsidRPr="00DB5D0D">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DB5D0D">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DB5D0D">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DB5D0D">
        <w:rPr>
          <w:rFonts w:ascii="Times New Roman" w:hAnsi="Times New Roman"/>
          <w:color w:val="000000" w:themeColor="text1"/>
          <w:sz w:val="16"/>
          <w:szCs w:val="16"/>
        </w:rPr>
        <w:softHyphen/>
        <w:t>на на заводе Райта; несмотря на обещание его, Уэллеса, о допуске к озна</w:t>
      </w:r>
      <w:r w:rsidRPr="00DB5D0D">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DB5D0D">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DB5D0D">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DB5D0D">
        <w:rPr>
          <w:rFonts w:ascii="Times New Roman" w:hAnsi="Times New Roman"/>
          <w:color w:val="000000" w:themeColor="text1"/>
          <w:sz w:val="16"/>
          <w:szCs w:val="16"/>
        </w:rPr>
        <w:softHyphen/>
        <w:t>ведки при заводе, в которой последний, игнорируя договор о техничес</w:t>
      </w:r>
      <w:r w:rsidRPr="00DB5D0D">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DB5D0D">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DB5D0D">
        <w:rPr>
          <w:rFonts w:ascii="Times New Roman" w:hAnsi="Times New Roman"/>
          <w:color w:val="000000" w:themeColor="text1"/>
          <w:sz w:val="16"/>
          <w:szCs w:val="16"/>
          <w:vertAlign w:val="superscript"/>
        </w:rPr>
        <w:t>115</w:t>
      </w:r>
      <w:r w:rsidRPr="00DB5D0D">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20D792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декабря состоялась 12-я встреча с Уэллесом, длившаяся 2 часа», - со</w:t>
      </w:r>
      <w:r w:rsidRPr="00DB5D0D">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DB5D0D">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DB5D0D">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DB5D0D">
        <w:rPr>
          <w:rFonts w:ascii="Times New Roman" w:hAnsi="Times New Roman"/>
          <w:color w:val="000000" w:themeColor="text1"/>
          <w:sz w:val="16"/>
          <w:szCs w:val="16"/>
        </w:rPr>
        <w:softHyphen/>
        <w:t>ны США. В пересмотре списка участвовали представители промышленнос</w:t>
      </w:r>
      <w:r w:rsidRPr="00DB5D0D">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DB5D0D">
        <w:rPr>
          <w:rFonts w:ascii="Times New Roman" w:hAnsi="Times New Roman"/>
          <w:color w:val="000000" w:themeColor="text1"/>
          <w:sz w:val="16"/>
          <w:szCs w:val="16"/>
        </w:rPr>
        <w:softHyphen/>
        <w:t>ти, авиационной, морской и артиллерийской, в этом оборудовании, аме</w:t>
      </w:r>
      <w:r w:rsidRPr="00DB5D0D">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DB5D0D">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DB5D0D">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DB5D0D">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DB5D0D">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DB5D0D">
        <w:rPr>
          <w:rFonts w:ascii="Times New Roman" w:hAnsi="Times New Roman"/>
          <w:color w:val="000000" w:themeColor="text1"/>
          <w:sz w:val="16"/>
          <w:szCs w:val="16"/>
        </w:rPr>
        <w:softHyphen/>
        <w:t>тельство освобождает лишь около 60% принятого и в основном отгружен</w:t>
      </w:r>
      <w:r w:rsidRPr="00DB5D0D">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DB5D0D">
        <w:rPr>
          <w:rFonts w:ascii="Times New Roman" w:hAnsi="Times New Roman"/>
          <w:color w:val="000000" w:themeColor="text1"/>
          <w:sz w:val="16"/>
          <w:szCs w:val="16"/>
        </w:rPr>
        <w:softHyphen/>
        <w:t>ких заказов, находящихся в производстве, К.А. Уманский подчеркнул: «Кон</w:t>
      </w:r>
      <w:r w:rsidRPr="00DB5D0D">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DB5D0D">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DB5D0D">
        <w:rPr>
          <w:rFonts w:ascii="Times New Roman" w:hAnsi="Times New Roman"/>
          <w:color w:val="000000" w:themeColor="text1"/>
          <w:sz w:val="16"/>
          <w:szCs w:val="16"/>
        </w:rPr>
        <w:softHyphen/>
        <w:t>листы видят оборонный характер освобожденных станков и машин, вклю</w:t>
      </w:r>
      <w:r w:rsidRPr="00DB5D0D">
        <w:rPr>
          <w:rFonts w:ascii="Times New Roman" w:hAnsi="Times New Roman"/>
          <w:color w:val="000000" w:themeColor="text1"/>
          <w:sz w:val="16"/>
          <w:szCs w:val="16"/>
        </w:rPr>
        <w:softHyphen/>
        <w:t>чающих тяжелые станки, снарядные прессы, авиамоторы и т.д., безуслов</w:t>
      </w:r>
      <w:r w:rsidRPr="00DB5D0D">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DB5D0D">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DB5D0D">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0916C2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DB5D0D">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DB5D0D">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DB5D0D">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DB5D0D">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DB5D0D">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DB5D0D">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DB5D0D">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DB5D0D">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DB5D0D">
        <w:rPr>
          <w:rFonts w:ascii="Times New Roman" w:hAnsi="Times New Roman"/>
          <w:color w:val="000000" w:themeColor="text1"/>
          <w:sz w:val="16"/>
          <w:szCs w:val="16"/>
        </w:rPr>
        <w:softHyphen/>
        <w:t>роительной и машиностроительной промышленности это исключают».</w:t>
      </w:r>
    </w:p>
    <w:p w14:paraId="493D8FC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Пятый вопрос встречи касался поездок в СССР американских специалис</w:t>
      </w:r>
      <w:r w:rsidRPr="00DB5D0D">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DB5D0D">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DB5D0D">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DB5D0D">
        <w:rPr>
          <w:rFonts w:ascii="Times New Roman" w:hAnsi="Times New Roman"/>
          <w:color w:val="000000" w:themeColor="text1"/>
          <w:sz w:val="16"/>
          <w:szCs w:val="16"/>
          <w:vertAlign w:val="superscript"/>
        </w:rPr>
        <w:t>118</w:t>
      </w:r>
      <w:r w:rsidRPr="00DB5D0D">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59C12D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DB5D0D">
        <w:rPr>
          <w:rFonts w:ascii="Times New Roman" w:hAnsi="Times New Roman"/>
          <w:color w:val="000000" w:themeColor="text1"/>
          <w:sz w:val="16"/>
          <w:szCs w:val="16"/>
          <w:vertAlign w:val="superscript"/>
        </w:rPr>
        <w:t>119</w:t>
      </w:r>
      <w:r w:rsidRPr="00DB5D0D">
        <w:rPr>
          <w:rFonts w:ascii="Times New Roman" w:hAnsi="Times New Roman"/>
          <w:color w:val="000000" w:themeColor="text1"/>
          <w:sz w:val="16"/>
          <w:szCs w:val="16"/>
        </w:rPr>
        <w:t>.</w:t>
      </w:r>
    </w:p>
    <w:p w14:paraId="630E30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Телеграмма Уманского от 17.12.1940 года, вероятно, является самым важ</w:t>
      </w:r>
      <w:r w:rsidRPr="00DB5D0D">
        <w:rPr>
          <w:rFonts w:ascii="Times New Roman" w:hAnsi="Times New Roman"/>
          <w:color w:val="000000" w:themeColor="text1"/>
          <w:sz w:val="16"/>
          <w:szCs w:val="16"/>
        </w:rPr>
        <w:softHyphen/>
        <w:t>ным документом, освещающим переговоры советского полпреда с замес</w:t>
      </w:r>
      <w:r w:rsidRPr="00DB5D0D">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DB5D0D">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DB5D0D">
        <w:rPr>
          <w:rFonts w:ascii="Times New Roman" w:hAnsi="Times New Roman"/>
          <w:color w:val="000000" w:themeColor="text1"/>
          <w:sz w:val="16"/>
          <w:szCs w:val="16"/>
        </w:rPr>
        <w:softHyphen/>
        <w:t>ных советско-американских переговоров, проводившихся в 1940 году в пе</w:t>
      </w:r>
      <w:r w:rsidRPr="00DB5D0D">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DB5D0D">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DB5D0D">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326001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Американская сторона отразила ход переговоров встречи в Меморанду</w:t>
      </w:r>
      <w:r w:rsidRPr="00DB5D0D">
        <w:rPr>
          <w:rFonts w:ascii="Times New Roman" w:hAnsi="Times New Roman"/>
          <w:color w:val="000000" w:themeColor="text1"/>
          <w:sz w:val="16"/>
          <w:szCs w:val="16"/>
        </w:rPr>
        <w:softHyphen/>
        <w:t>ме о переговорах, составленном Гендерсоном 16 декабря 1940 года. С аме</w:t>
      </w:r>
      <w:r w:rsidRPr="00DB5D0D">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DB5D0D">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DB5D0D">
        <w:rPr>
          <w:rFonts w:ascii="Times New Roman" w:hAnsi="Times New Roman"/>
          <w:color w:val="000000" w:themeColor="text1"/>
          <w:sz w:val="16"/>
          <w:szCs w:val="16"/>
        </w:rPr>
        <w:softHyphen/>
        <w:t>ки. Обсуждение проблемы морального эмбарго текстуально почти до</w:t>
      </w:r>
      <w:r w:rsidRPr="00DB5D0D">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DB5D0D">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282CD5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DB5D0D">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DB5D0D">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DB5D0D">
        <w:rPr>
          <w:rFonts w:ascii="Times New Roman" w:hAnsi="Times New Roman"/>
          <w:color w:val="000000" w:themeColor="text1"/>
          <w:sz w:val="16"/>
          <w:szCs w:val="16"/>
        </w:rPr>
        <w:softHyphen/>
        <w:t xml:space="preserve">лучить часть заказанного в США </w:t>
      </w:r>
      <w:r w:rsidRPr="00DB5D0D">
        <w:rPr>
          <w:rFonts w:ascii="Times New Roman" w:hAnsi="Times New Roman"/>
          <w:color w:val="000000" w:themeColor="text1"/>
          <w:sz w:val="16"/>
          <w:szCs w:val="16"/>
        </w:rPr>
        <w:lastRenderedPageBreak/>
        <w:t>промышленного оборудования. Более того, не было никаких гарантий в связи с целым комплексом причин, что вновь за</w:t>
      </w:r>
      <w:r w:rsidRPr="00DB5D0D">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5AF790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DB5D0D">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66669A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оборудованию, находящемуся в производстве, можно сказать следу</w:t>
      </w:r>
      <w:r w:rsidRPr="00DB5D0D">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DB5D0D">
        <w:rPr>
          <w:rFonts w:ascii="Times New Roman" w:hAnsi="Times New Roman"/>
          <w:color w:val="000000" w:themeColor="text1"/>
          <w:sz w:val="16"/>
          <w:szCs w:val="16"/>
        </w:rPr>
        <w:softHyphen/>
        <w:t>ветственно, 87,5 % не могло быть получено СССР.</w:t>
      </w:r>
    </w:p>
    <w:p w14:paraId="094BC9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3B77BF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поводу режима комиссии НКАПа на заводе Райта: по первую полови</w:t>
      </w:r>
      <w:r w:rsidRPr="00DB5D0D">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DB5D0D">
        <w:rPr>
          <w:rFonts w:ascii="Times New Roman" w:hAnsi="Times New Roman"/>
          <w:color w:val="000000" w:themeColor="text1"/>
          <w:sz w:val="16"/>
          <w:szCs w:val="16"/>
        </w:rPr>
        <w:softHyphen/>
        <w:t>ты комиссии американская сторона не сообщила.</w:t>
      </w:r>
    </w:p>
    <w:p w14:paraId="7BF316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DB5D0D">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37A322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DB5D0D">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DB5D0D">
        <w:rPr>
          <w:rFonts w:ascii="Times New Roman" w:hAnsi="Times New Roman"/>
          <w:color w:val="000000" w:themeColor="text1"/>
          <w:sz w:val="16"/>
          <w:szCs w:val="16"/>
        </w:rPr>
        <w:softHyphen/>
        <w:t>нии СССР как в экономической, так и в политической области, и послед</w:t>
      </w:r>
      <w:r w:rsidRPr="00DB5D0D">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DB5D0D">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086BD6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C11143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64062E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F1F4696"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в 1940 году имели место крупнейшие воздушные бои "Битвы за Британию". Наиболее обширные за весь период сражения площади подверглись бомбардировкам, в которых приняли участие все три Люфтфлотте, участвовавшие в атаках на Великобританию. Рейды Люфтваффе были организованы настолько плотно, что над некоторыми районами Великобритании немецкие бомбардировщики находились практически весь день. Люфтваффе подверглось ожесточенным контратакам. Наиболее сильно пострадал Люфтфлотте V, базировавшийся Норвегии и Дании. Он был перехвачен истребительной группой 13 Королевских ВВС над Северным морем и потерял 8 бомбардировщиков и 7 истребителей, при этом британцы не понесли никаких потерь. Всего за этот день немцы потеряли 77 самолетов, британцы - 34. На следующий день соотношение потерь составило 45 сбитых немецких самолетов против 21 британского. Немцы достигли некоторых успехов в атаках на аэродромы, практически выведя из строя летное поле Тэнгмир (Tangmere)(около 120 км к западу от Саутхэмптона) (14984).</w:t>
      </w:r>
    </w:p>
    <w:p w14:paraId="3DE395F9"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5EFD551C"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15 августа в 1940 году итальянская экспериментальная эскадрилья торпедоносцев </w:t>
      </w:r>
      <w:hyperlink r:id="rId288" w:tgtFrame="_blank" w:history="1">
        <w:r w:rsidRPr="00DB5D0D">
          <w:rPr>
            <w:rFonts w:ascii="Times New Roman" w:hAnsi="Times New Roman"/>
            <w:color w:val="000000" w:themeColor="text1"/>
            <w:sz w:val="16"/>
            <w:szCs w:val="16"/>
          </w:rPr>
          <w:t xml:space="preserve">«S.79» </w:t>
        </w:r>
      </w:hyperlink>
      <w:r w:rsidRPr="00DB5D0D">
        <w:rPr>
          <w:rFonts w:ascii="Times New Roman" w:hAnsi="Times New Roman"/>
          <w:color w:val="000000" w:themeColor="text1"/>
          <w:sz w:val="16"/>
          <w:szCs w:val="16"/>
        </w:rPr>
        <w:t>из пяти самолетов нанесла первый торпедный удар по судам в порту Александрии. Первый "блин" вышел "комом" - ни одна торпеда в цель не попала. Торпедоносцы мало отличались от обычных «S.79». Экипаж их увеличили на одного человека - морского офицера-наблюдателя; он сидел между радистом и бортмехаником (14984).</w:t>
      </w:r>
    </w:p>
    <w:p w14:paraId="37B70357"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41348C14" w14:textId="77777777" w:rsidR="005E0A8B" w:rsidRPr="00DB5D0D" w:rsidRDefault="005E0A8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 августа 1940 - происходят самые ожесточенные бои в битве за Британию, с потерями 46 британских и 76 немецких самолетов (20795).</w:t>
      </w:r>
    </w:p>
    <w:p w14:paraId="17EEAEBD" w14:textId="77777777" w:rsidR="005E0A8B" w:rsidRPr="00DB5D0D" w:rsidRDefault="005E0A8B" w:rsidP="00DB5D0D">
      <w:pPr>
        <w:spacing w:after="0" w:line="240" w:lineRule="auto"/>
        <w:jc w:val="both"/>
        <w:rPr>
          <w:rFonts w:ascii="Times New Roman" w:hAnsi="Times New Roman"/>
          <w:color w:val="0070C0"/>
          <w:sz w:val="16"/>
          <w:szCs w:val="16"/>
        </w:rPr>
      </w:pPr>
    </w:p>
    <w:p w14:paraId="0307F73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rPr>
        <w:t xml:space="preserve">15 августа 1940 немецкая авиация в один день потеряла 75 самолетов - рекордное количество в ходе войны за Британию </w:t>
      </w:r>
      <w:r w:rsidRPr="00DB5D0D">
        <w:rPr>
          <w:rFonts w:ascii="Times New Roman" w:hAnsi="Times New Roman"/>
          <w:color w:val="000000" w:themeColor="text1"/>
          <w:sz w:val="16"/>
          <w:szCs w:val="16"/>
          <w:lang w:val="en-US"/>
        </w:rPr>
        <w:t>(4962).</w:t>
      </w:r>
    </w:p>
    <w:p w14:paraId="63A41EA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lang w:val="en-US"/>
        </w:rPr>
      </w:pPr>
    </w:p>
    <w:p w14:paraId="2A389116"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August 15 1940 Air battles and daylight raids over Britain (1050).</w:t>
      </w:r>
    </w:p>
    <w:p w14:paraId="5722CE1C"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6D49EF32"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 xml:space="preserve">15 </w:t>
      </w:r>
      <w:r w:rsidRPr="00DB5D0D">
        <w:rPr>
          <w:rFonts w:ascii="Times New Roman" w:hAnsi="Times New Roman"/>
          <w:color w:val="000000" w:themeColor="text1"/>
          <w:sz w:val="16"/>
          <w:szCs w:val="16"/>
        </w:rPr>
        <w:t>августа</w:t>
      </w:r>
      <w:r w:rsidRPr="00DB5D0D">
        <w:rPr>
          <w:rFonts w:ascii="Times New Roman" w:hAnsi="Times New Roman"/>
          <w:color w:val="000000" w:themeColor="text1"/>
          <w:sz w:val="16"/>
          <w:szCs w:val="16"/>
          <w:lang w:val="en-US"/>
        </w:rPr>
        <w:t xml:space="preserve"> 1940 </w:t>
      </w:r>
      <w:r w:rsidRPr="00DB5D0D">
        <w:rPr>
          <w:rFonts w:ascii="Times New Roman" w:hAnsi="Times New Roman"/>
          <w:color w:val="000000" w:themeColor="text1"/>
          <w:sz w:val="16"/>
          <w:szCs w:val="16"/>
        </w:rPr>
        <w:t>началисьдневныеналетынаАнглию</w:t>
      </w:r>
      <w:r w:rsidRPr="00DB5D0D">
        <w:rPr>
          <w:rFonts w:ascii="Times New Roman" w:hAnsi="Times New Roman"/>
          <w:color w:val="000000" w:themeColor="text1"/>
          <w:sz w:val="16"/>
          <w:szCs w:val="16"/>
          <w:lang w:val="en-US"/>
        </w:rPr>
        <w:t>(1050).</w:t>
      </w:r>
    </w:p>
    <w:p w14:paraId="486A4800"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305905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один из тяжелейших дней в Битве за Англию, так как в боях приняли участие все три немецких воздушных флота. Англичане выполнили 974 вылета и потеряли 34. Немцы - 1786 и потеряли 79 (2240). По другим данным - сбили 180 немецких за одну ночь (3907,224).</w:t>
      </w:r>
    </w:p>
    <w:p w14:paraId="6226E11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95ECE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в оккупированном немцами Брюсселе вышел первый номер подпольной антифашистской газеты «Свободная Бельгия» (4962).</w:t>
      </w:r>
    </w:p>
    <w:p w14:paraId="7AAD05B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AC154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Эйхман предложил депортацию евреев на Мадагаскар. План был поддержан А.Гитлером и Г.Гимлером. Считалось, что остров не имеет стратегического значения и почти непригоден для жизни европейцев (2240).</w:t>
      </w:r>
    </w:p>
    <w:p w14:paraId="45D20D0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49CCE9" w14:textId="77777777" w:rsidR="00416045" w:rsidRPr="00DB5D0D" w:rsidRDefault="00416045"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846CF8C" w14:textId="77777777" w:rsidR="00416045" w:rsidRPr="00DB5D0D" w:rsidRDefault="00416045" w:rsidP="00DB5D0D">
      <w:pPr>
        <w:spacing w:after="0" w:line="240" w:lineRule="auto"/>
        <w:jc w:val="both"/>
        <w:rPr>
          <w:rFonts w:ascii="Times New Roman" w:hAnsi="Times New Roman"/>
          <w:iCs/>
          <w:color w:val="000000" w:themeColor="text1"/>
          <w:sz w:val="16"/>
          <w:szCs w:val="16"/>
        </w:rPr>
      </w:pPr>
    </w:p>
    <w:p w14:paraId="4F9523F2"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первой половине августа 1940 г. программа полигонных испытаний Т-34, разработанная специалистами ГАБТУ КА и ГАУ КА совместно в середине июля 1940 г., была утверждена начальником ГАБТУ КА Я.Н. Федоренко и начальником ГАУ КА Г.К. Савченко и вместе с предписанием Артиллерийского комитета (далее – Артком) ГАУ КА № 453785с о проведении испытаний 14 августа 1940 г. отправлена начальнику АНИОПа для исполнения (19575).</w:t>
      </w:r>
    </w:p>
    <w:p w14:paraId="2790DEF2" w14:textId="77777777" w:rsidR="00416045" w:rsidRPr="00DB5D0D" w:rsidRDefault="00416045" w:rsidP="00DB5D0D">
      <w:pPr>
        <w:spacing w:after="0" w:line="240" w:lineRule="auto"/>
        <w:jc w:val="both"/>
        <w:rPr>
          <w:rFonts w:ascii="Times New Roman" w:hAnsi="Times New Roman"/>
          <w:color w:val="000000" w:themeColor="text1"/>
          <w:sz w:val="16"/>
          <w:szCs w:val="16"/>
        </w:rPr>
      </w:pPr>
    </w:p>
    <w:p w14:paraId="7BC5B03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A05568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9D5C7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августа 1940 контролер Вахрушев - представитель КО СНК СССР - в журнале Учета выполнения постановлени правительства в отношении постановления КО N 240сс 1940 “О переводе самолетов СБ на пикирующие бомбардировщики и внедрении пикирующего вооружения на эти бомбардировщики” отметил:</w:t>
      </w:r>
    </w:p>
    <w:p w14:paraId="4940F1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пар. 1 - Выпуска самолетов с моторами М-105 не было из-за отсутствия моторов</w:t>
      </w:r>
    </w:p>
    <w:p w14:paraId="5B769C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пар. 3 - эталон СБ-РК в пикирующем варианте находится в состоянии окончания. Контрольный полет назначен на 19-25 августа 1940</w:t>
      </w:r>
    </w:p>
    <w:p w14:paraId="706C04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пар. 4 - Работы ведутся, но не закончены. На днях назначены контрольные полеты</w:t>
      </w:r>
    </w:p>
    <w:p w14:paraId="7AEDE5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пар. 15 - Работы по указанию т. Шахурина над самолетом СПБ прекращены ввиду неудовлетворительной прочности и плохой устойчивости</w:t>
      </w:r>
    </w:p>
    <w:p w14:paraId="137CC1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производства по самолету СБ-РК:</w:t>
      </w:r>
    </w:p>
    <w:p w14:paraId="34100F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Чертежное хозяйство закончено вчерне</w:t>
      </w:r>
    </w:p>
    <w:p w14:paraId="673600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Разработка технологического процесса на серийное производство должно быть закончено 20 августа</w:t>
      </w:r>
    </w:p>
    <w:p w14:paraId="1DBEA9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1-я очередь остастки производства проектированием закончена</w:t>
      </w:r>
    </w:p>
    <w:p w14:paraId="36712D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Предположительно будет 6998 единиц оснастки, изготовлено 479 (часть оснастки будет использована с самолета СБ)</w:t>
      </w:r>
    </w:p>
    <w:p w14:paraId="2EEAD1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Запуск самолета в серию осуществлен, должны 6 машин выпустить в августе (10395).</w:t>
      </w:r>
    </w:p>
    <w:p w14:paraId="016D50D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C33354"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середине августа 1940 г. А.И. Шахурин направил на имя секретаря ЦК ВКП(б) г.М. Маленкова материалы, связанные с деятельностью группы авантюристов Голосова-Репкина, действовавших при поддержке инструктора ЦК ВКП(б) Положинцева и имитировавших научно-исследовательскую работу в интересах ВВС, которые около года не производя абсолютно никаких работ , присвоили 70 тыс. рублей, отпущенных Первым г лавным (Самолетостроительным) управлением НКАП, «одолжили» 16 тыс. рублей в Московской Пролетарской дивизии и требовали от НКАПа еще 550 тыс. рублей ! Поражает не сам факт аферы этой группы как таковой, а то обстоятельство, что, в течение пяти предшествующих лет , незаконно присвоивший себе форму майора РККА мошенник Голосов благополучно сумел «проработать» на десяти (!) оборонных объектах СССР . С 1939 г . он «ознакомился» и с работой КБ-29 и трех заводов (№№ 22, 81, 145) НКАП 50 (19541).</w:t>
      </w:r>
    </w:p>
    <w:p w14:paraId="3094F496" w14:textId="77777777" w:rsidR="00416045" w:rsidRPr="00DB5D0D" w:rsidRDefault="00416045" w:rsidP="00DB5D0D">
      <w:pPr>
        <w:spacing w:after="0" w:line="240" w:lineRule="auto"/>
        <w:jc w:val="both"/>
        <w:rPr>
          <w:rFonts w:ascii="Times New Roman" w:hAnsi="Times New Roman"/>
          <w:color w:val="000000" w:themeColor="text1"/>
          <w:sz w:val="16"/>
          <w:szCs w:val="16"/>
        </w:rPr>
      </w:pPr>
    </w:p>
    <w:p w14:paraId="5D77DFF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AD87095"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C63DA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середине августа 1940 во время сдачи ВП на з-де № 183 испытали пробегом 24 собранных Т-34. В июне сделали всего 4, в июле - 1. 18 с первого предъявления не прошли. Три - дважды, а две - трижды возвращались. Основные дефекты - дымление двигателей, низкое давление масла, тугое переключение 1 и 2 передач. Пробегом сдали за август 28, но окончательно сдать не могли и-за отсутствия пушек Л-11 (4829, 22).</w:t>
      </w:r>
    </w:p>
    <w:p w14:paraId="5DB4AB5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1ED42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lastRenderedPageBreak/>
        <w:t>Авиапромышленность:</w:t>
      </w:r>
    </w:p>
    <w:p w14:paraId="74BE571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52066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доработанный самолет БШ-2 № 1 был предъявлен в НИИ ВВС на повторные государственные испытания. Однако из-за неудовлетворительной работы мотора АМ-35 испытания не были закончены и 23 августа машина была возвращена заводу для установки на самолет мотора АМ-38, который с 6 по 10 августа удовлетворительно прошел 50-часовые внутризаводские испытания (9649).</w:t>
      </w:r>
    </w:p>
    <w:p w14:paraId="07061F5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0EC37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г. доработанный БШ-2 предъявили в НИИ ВВС на повторные госиспытания. Однако ввиду неудовлетворительной работы АМ-35 испытания прервали, и через неделю самолет возвратили на завод для замены АМ-35 на АМ-38 (9528).</w:t>
      </w:r>
    </w:p>
    <w:p w14:paraId="511431C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EC5FD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доработанный самолет БШ-2 № 1был предъявлен в НИИ ВВС на повторные государственные испытания. Однако из-за неудовлетворительной работы мото</w:t>
      </w:r>
      <w:r w:rsidRPr="00DB5D0D">
        <w:rPr>
          <w:rFonts w:ascii="Times New Roman" w:hAnsi="Times New Roman"/>
          <w:color w:val="000000" w:themeColor="text1"/>
          <w:sz w:val="16"/>
          <w:szCs w:val="16"/>
        </w:rPr>
        <w:softHyphen/>
        <w:t>ра АМ-35 испытания не были законче</w:t>
      </w:r>
      <w:r w:rsidRPr="00DB5D0D">
        <w:rPr>
          <w:rFonts w:ascii="Times New Roman" w:hAnsi="Times New Roman"/>
          <w:color w:val="000000" w:themeColor="text1"/>
          <w:sz w:val="16"/>
          <w:szCs w:val="16"/>
        </w:rPr>
        <w:softHyphen/>
        <w:t>ны, и 23 августа машина была возвра</w:t>
      </w:r>
      <w:r w:rsidRPr="00DB5D0D">
        <w:rPr>
          <w:rFonts w:ascii="Times New Roman" w:hAnsi="Times New Roman"/>
          <w:color w:val="000000" w:themeColor="text1"/>
          <w:sz w:val="16"/>
          <w:szCs w:val="16"/>
        </w:rPr>
        <w:softHyphen/>
        <w:t>щена заводу для установки на самолет мотора АМ-38, который с 6 по 10 августа удовлетворительно прошел 50-часовые внутризаводские испытания (6467).</w:t>
      </w:r>
    </w:p>
    <w:p w14:paraId="5C9254C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4CC05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доработанный самолет БШ-2 N 1 был предъявлен в НИИ ВВС на повторные испытания. Однако, из-за неудовлетворительной работы мотора АМ-35 испытания не закончи</w:t>
      </w:r>
      <w:r w:rsidRPr="00DB5D0D">
        <w:rPr>
          <w:rFonts w:ascii="Times New Roman" w:hAnsi="Times New Roman"/>
          <w:color w:val="000000" w:themeColor="text1"/>
          <w:sz w:val="16"/>
          <w:szCs w:val="16"/>
        </w:rPr>
        <w:softHyphen/>
        <w:t>лись, и 23 августа машина была воз</w:t>
      </w:r>
      <w:r w:rsidRPr="00DB5D0D">
        <w:rPr>
          <w:rFonts w:ascii="Times New Roman" w:hAnsi="Times New Roman"/>
          <w:color w:val="000000" w:themeColor="text1"/>
          <w:sz w:val="16"/>
          <w:szCs w:val="16"/>
        </w:rPr>
        <w:softHyphen/>
        <w:t>вращена заводу для установки на са</w:t>
      </w:r>
      <w:r w:rsidRPr="00DB5D0D">
        <w:rPr>
          <w:rFonts w:ascii="Times New Roman" w:hAnsi="Times New Roman"/>
          <w:color w:val="000000" w:themeColor="text1"/>
          <w:sz w:val="16"/>
          <w:szCs w:val="16"/>
        </w:rPr>
        <w:softHyphen/>
        <w:t>молет АМ-38 — с 6 по 10 августа этот двигатель удовлетворительно про</w:t>
      </w:r>
      <w:r w:rsidRPr="00DB5D0D">
        <w:rPr>
          <w:rFonts w:ascii="Times New Roman" w:hAnsi="Times New Roman"/>
          <w:color w:val="000000" w:themeColor="text1"/>
          <w:sz w:val="16"/>
          <w:szCs w:val="16"/>
        </w:rPr>
        <w:softHyphen/>
        <w:t>шел 50-часовые внутризаводские ис</w:t>
      </w:r>
      <w:r w:rsidRPr="00DB5D0D">
        <w:rPr>
          <w:rFonts w:ascii="Times New Roman" w:hAnsi="Times New Roman"/>
          <w:color w:val="000000" w:themeColor="text1"/>
          <w:sz w:val="16"/>
          <w:szCs w:val="16"/>
        </w:rPr>
        <w:softHyphen/>
        <w:t>пытания (4140).</w:t>
      </w:r>
    </w:p>
    <w:p w14:paraId="51F44A1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BFDD54A" w14:textId="77777777" w:rsidR="006650AF" w:rsidRPr="00DB5D0D" w:rsidRDefault="006650AF"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16 </w:t>
      </w:r>
      <w:r w:rsidRPr="00DB5D0D">
        <w:rPr>
          <w:rFonts w:ascii="Times New Roman" w:eastAsia="Times New Roman" w:hAnsi="Times New Roman"/>
          <w:color w:val="0070C0"/>
          <w:sz w:val="16"/>
          <w:szCs w:val="16"/>
        </w:rPr>
        <w:t>августа 1940 доработанный самолет был предъявлен в НИИ ВВС на по</w:t>
      </w:r>
      <w:r w:rsidRPr="00DB5D0D">
        <w:rPr>
          <w:rFonts w:ascii="Times New Roman" w:eastAsia="Times New Roman" w:hAnsi="Times New Roman"/>
          <w:color w:val="0070C0"/>
          <w:sz w:val="16"/>
          <w:szCs w:val="16"/>
        </w:rPr>
        <w:softHyphen/>
        <w:t>вторные государственные испытания. Однако из-за неудовлетворительной работы мотора АМ-35 испытания не были закончены, и 23 августа машина была возвращена заводу для установки на самолет мотора АМ-38, который с 6 по 10 августа удовлетворительно прошел 50-часовые внутризаводские ис</w:t>
      </w:r>
      <w:r w:rsidRPr="00DB5D0D">
        <w:rPr>
          <w:rFonts w:ascii="Times New Roman" w:eastAsia="Times New Roman" w:hAnsi="Times New Roman"/>
          <w:color w:val="0070C0"/>
          <w:sz w:val="16"/>
          <w:szCs w:val="16"/>
        </w:rPr>
        <w:softHyphen/>
        <w:t>пытания (20186).</w:t>
      </w:r>
    </w:p>
    <w:p w14:paraId="23EC21FF" w14:textId="77777777" w:rsidR="006650AF" w:rsidRPr="00DB5D0D" w:rsidRDefault="006650AF" w:rsidP="00DB5D0D">
      <w:pPr>
        <w:shd w:val="clear" w:color="auto" w:fill="FFFFFF"/>
        <w:spacing w:after="0" w:line="240" w:lineRule="auto"/>
        <w:jc w:val="both"/>
        <w:rPr>
          <w:rFonts w:ascii="Times New Roman" w:hAnsi="Times New Roman"/>
          <w:color w:val="0070C0"/>
          <w:sz w:val="16"/>
          <w:szCs w:val="16"/>
        </w:rPr>
      </w:pPr>
    </w:p>
    <w:p w14:paraId="34E0EA43" w14:textId="77777777" w:rsidR="006650AF" w:rsidRPr="00DB5D0D" w:rsidRDefault="006650AF" w:rsidP="00DB5D0D">
      <w:pPr>
        <w:shd w:val="clear" w:color="auto" w:fill="FFFFFF"/>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августа 1940 г. доработанный второй экземпляр БШ С.В.И. с двумя 23-мм пушками МП-6 и двумя пулеметами ШКАС был передан на госиспытания, но уже через шесть дней возвращен на завод по причине неудовлетворительной работы двигателя. Первый же экземпляр подвергся более существенной переделке — он стал одноместным. Отказ от штурмана позволил сделать бронекорпус более коротким и легким, усилить вооружение, сохранив полетный вес в приемлемых пределах (21241).</w:t>
      </w:r>
    </w:p>
    <w:p w14:paraId="3387CFC7" w14:textId="77777777" w:rsidR="006650AF" w:rsidRPr="00DB5D0D" w:rsidRDefault="006650AF" w:rsidP="00DB5D0D">
      <w:pPr>
        <w:shd w:val="clear" w:color="auto" w:fill="FFFFFF"/>
        <w:spacing w:after="0" w:line="240" w:lineRule="auto"/>
        <w:jc w:val="both"/>
        <w:rPr>
          <w:rFonts w:ascii="Times New Roman" w:hAnsi="Times New Roman"/>
          <w:color w:val="0070C0"/>
          <w:sz w:val="16"/>
          <w:szCs w:val="16"/>
        </w:rPr>
      </w:pPr>
    </w:p>
    <w:p w14:paraId="23CB3C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самолет БШ-2 был предъявлен на гос. испытания в НИИ ВВС. Однако, ввиду неудовлетворительной работы мотора испытания не были закончены и 23 августа самолет был возвращен заводу 39 для замены мотора АМ-35 на АМ-38 (462,9).</w:t>
      </w:r>
    </w:p>
    <w:p w14:paraId="46DFED0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942724" w14:textId="77777777" w:rsidR="00416045" w:rsidRPr="00DB5D0D" w:rsidRDefault="00416045"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16 августа 1940 в НИИ ВВС для прохождения повторных государственных испытаний поступил БШ-2 №1, но с мотором АМ-35 вместо низковысотного АМ-38. По официальной версии испытания прекратили из-за неу</w:t>
      </w:r>
      <w:r w:rsidRPr="00DB5D0D">
        <w:rPr>
          <w:rFonts w:ascii="Times New Roman" w:hAnsi="Times New Roman" w:cs="Times New Roman"/>
          <w:color w:val="000000" w:themeColor="text1"/>
          <w:sz w:val="16"/>
          <w:szCs w:val="16"/>
        </w:rPr>
        <w:softHyphen/>
        <w:t>довлетворительной работы мотора. К тому же не были устранены многие замечания и нелостатки самолета, отмеченные ранее ециалистами НИИ ВВС. Решили нетратить время на отладку «неправильного» мотора АМ-35,а провести испытания БШ-2 № 1 сразу с мотором «штурмового" типа АМ-38. Уже 23 августа военные возвратили самолет заводу №39.</w:t>
      </w:r>
    </w:p>
    <w:p w14:paraId="29AE5982" w14:textId="77777777" w:rsidR="00416045" w:rsidRPr="00DB5D0D" w:rsidRDefault="00416045"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Основания для такого шага имелись: в период с 6 по 10 августа первый лпытный экземпляр мотора АМ-38 (переделан из мотора АМ-35 зав. №166) удовлетворительно прошел внутризаводские 50-часовые испытания режимной работы. В стадии окончательной сборки находился второй экземпляр мотора АМ-38 (переделан из мотора АМ-35 № 183), который предназначался для завода №39. Эти обстоятельства позволяли надеяться на скорую передачу НИИ ВВС самолета БШ-2 №1 с вполне кондиционным мотором АМ-38 (19087).</w:t>
      </w:r>
    </w:p>
    <w:p w14:paraId="20ACAA5E" w14:textId="77777777" w:rsidR="00416045" w:rsidRPr="00DB5D0D" w:rsidRDefault="00416045"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1B109F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доработанный БШ-2 №1 поступил в НИИ ВВС, но через шесть дней был возвращен заводу ввиду неудовлетворительной работы мотора.</w:t>
      </w:r>
    </w:p>
    <w:p w14:paraId="67BD48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этому времени успешно завершились 50-часовые заводские испытания мотора АМ-38, что позволило моторостроителям 12 сентября передать один из таких моторов на завод №39.</w:t>
      </w:r>
    </w:p>
    <w:p w14:paraId="639E16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установкой на БШ-2 № 1 мотора АМ-38 начались работы по его переделке в одноместный вариант. Это позволяло сделать бронекорпус более коротким и легким. Появлялась возможность установить внутри бронекорпуса позади летчика дополнительный бензобак, усилить бронирование и вооружение, сохранив полетный вес в пределах допустимого.</w:t>
      </w:r>
    </w:p>
    <w:p w14:paraId="42DB5B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Принятое решение в известной мере было вынужденным. Ильюшин прекрасно понимал, что доводка БШ-2 до уровня ТТТ за счет изыскания внутренних резервов самолета потребует много времени, причем сроки окончания этих работ не устроят ни правительство, ни военных (12020).</w:t>
      </w:r>
    </w:p>
    <w:p w14:paraId="7440EE5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A0574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16 августа по 13 сентября 1940 проходили совместные 100 часовые испытания АМ-35А производства 24 завода на станке (801).</w:t>
      </w:r>
    </w:p>
    <w:p w14:paraId="3E5413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испытания велись с 16 июля.</w:t>
      </w:r>
    </w:p>
    <w:p w14:paraId="3A7F884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9AF2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дир. завода 156 Ленкин писал А.С.Я. письмо N 1852 (1207) о том, что утвержденные по плану 156 завода машины КБ ВВА (заказ 151) и малая модификация машины Ш (штурмовика) (заказ 206) до сих пор не выполнены (1207). По заказу 151 машина была начата постройкой 22 декабря 1939 и по состоянию на 17 августа техническая готовность составляла 50%. По заказу 206 - еще хуже (1207).</w:t>
      </w:r>
    </w:p>
    <w:p w14:paraId="585B4CE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1A307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Дир. завода 22 В.Окулов и ГК А.А.А. писали А.И.Ш. письмо N 9337с о том, что в течение ближайших 2-3 дней выходит на испытание СБ со смонтированными на нем тормозными щитками и автоматом вывода из пикирования. Просил командировать Ю.К.Станкевича с 19 августа 1940 (1293,263).</w:t>
      </w:r>
    </w:p>
    <w:p w14:paraId="2669463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FB6AC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В.Ф.Болховитинов приказом НКАП был утвержден ГК завода 293 (863,362).</w:t>
      </w:r>
    </w:p>
    <w:p w14:paraId="0DFCF26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BEBE0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вышел приказ НКАП N 429сс о сдаче 9 шт. ТБ-7, подлежащих сдаче в 1940, с АМ-35 (1295,348).</w:t>
      </w:r>
    </w:p>
    <w:p w14:paraId="63036C1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555CCF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года А. Шахурин писал письмо № Н-20/1511 председателю КО маршалу Ворошилову К.Е.</w:t>
      </w:r>
    </w:p>
    <w:p w14:paraId="17A45B0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Направляю справку о предварительных результатах заводских испытаний самолета И-21 с мотором М-105П конструкции Пашинина, производства завода № 21, Горький (3420, 60).</w:t>
      </w:r>
    </w:p>
    <w:p w14:paraId="1744B95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428809D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года директор завода № 21 Воронин и главный конструктор Пашинин писали наркому Авиапрома Шахурину А.И.</w:t>
      </w:r>
    </w:p>
    <w:p w14:paraId="77EF3E6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самолете И-21 (М-105П) производства завода № 21</w:t>
      </w:r>
    </w:p>
    <w:p w14:paraId="3039A41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Начато проектирование самолета в январе 1940 года.</w:t>
      </w:r>
    </w:p>
    <w:p w14:paraId="2E59333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Выведена готовая машина на аэродром в июне 1940 года.</w:t>
      </w:r>
    </w:p>
    <w:p w14:paraId="2F0EA08B"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проведении заводских испытаний было сделано 28 полетов, с общим налетом до 12 часов. За 28 полетов полностью отработана винтомоторная группа; сделаны замеры скоростей по высотам (до высоты 5000 метров); проделан пилотаж: петли, боевые развороты, перевороты, виражи, бочки; проведено пикирование до разрешенных НКАП скоростей (650 км/час по прибору или 825 км/час истинной скорости); замеры взлетно-посадочных свойств самолета и определение дальности полета.</w:t>
      </w:r>
    </w:p>
    <w:p w14:paraId="5F31CCF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программы заводских испытаний пока не выполнено: полет на высоту 8000 метров, штопор и отстрел вооружения.</w:t>
      </w:r>
    </w:p>
    <w:p w14:paraId="1491CD3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определения скоростей по высотам и у земли проведены полеты на тарировку прибора-указателя скорости и километраж.</w:t>
      </w:r>
    </w:p>
    <w:p w14:paraId="387B9A5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заводских испытаний следующие:</w:t>
      </w:r>
    </w:p>
    <w:p w14:paraId="78DDCFA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5260 м – 628 км/час</w:t>
      </w:r>
    </w:p>
    <w:p w14:paraId="7073384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 – 520 км/час</w:t>
      </w:r>
    </w:p>
    <w:p w14:paraId="0F426E6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 по 5-ти замерам – от 120 до 130 км/час</w:t>
      </w:r>
    </w:p>
    <w:p w14:paraId="02916BD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при взлете – 270-290 метров</w:t>
      </w:r>
    </w:p>
    <w:p w14:paraId="1FE1C59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при посадке – 300-380 км/час</w:t>
      </w:r>
    </w:p>
    <w:p w14:paraId="3366AA3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высоте 2330 м при скорости 475 км/час – 760 км</w:t>
      </w:r>
    </w:p>
    <w:p w14:paraId="049E02B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Показания винтомоторной группы в полете – все в норме:</w:t>
      </w:r>
    </w:p>
    <w:p w14:paraId="3CD9DE9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воды на выходе – до 100 градусов</w:t>
      </w:r>
    </w:p>
    <w:p w14:paraId="0D3C6F9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температура масла на выходе – до 110 градусов</w:t>
      </w:r>
    </w:p>
    <w:p w14:paraId="6290D00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Вооружение самолета:</w:t>
      </w:r>
    </w:p>
    <w:p w14:paraId="688ACD1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одна крупно-калиберная пушка Таубена калибр 23 мм</w:t>
      </w:r>
    </w:p>
    <w:p w14:paraId="2FEB4FB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2 синхронизированных пулемета Шкасс калибра 7,62 мм (3420, 61-62).</w:t>
      </w:r>
    </w:p>
    <w:p w14:paraId="715ED1B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5DA01A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г. Шахурин писал письмо N Н-20/1511 Ворошилову.</w:t>
      </w:r>
    </w:p>
    <w:p w14:paraId="62376C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Направляю справку о предварительных результатах заводских испытаний самолета И-21 с мотором М-105П конструкции Пашинина, производства завода N 21, г. Горький.</w:t>
      </w:r>
    </w:p>
    <w:p w14:paraId="034FB3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w:t>
      </w:r>
    </w:p>
    <w:p w14:paraId="23A74E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Начато проектирование самолета в январе 1940 г.</w:t>
      </w:r>
    </w:p>
    <w:p w14:paraId="646B6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Выведена готовая машина на аэродром в июне 1940 г.</w:t>
      </w:r>
    </w:p>
    <w:p w14:paraId="078685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проведении заводских испытаний было сделано 28 полетов, с общим налетом до 12 часов.</w:t>
      </w:r>
    </w:p>
    <w:p w14:paraId="4EABB7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заводских испытаний следующие:</w:t>
      </w:r>
    </w:p>
    <w:p w14:paraId="2C9EA5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высоте 5260 м - 628 км/час</w:t>
      </w:r>
    </w:p>
    <w:p w14:paraId="5D4E06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у земли - 520 км/час</w:t>
      </w:r>
    </w:p>
    <w:p w14:paraId="15678F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Воружение самолета:</w:t>
      </w:r>
    </w:p>
    <w:p w14:paraId="40E903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одна крупнокалиберная пушка Таубина кал. 23 мм</w:t>
      </w:r>
    </w:p>
    <w:p w14:paraId="463FD9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2 синхронизированных пулемета Шкас кал. 7,62 мм (3362,60-62).</w:t>
      </w:r>
    </w:p>
    <w:p w14:paraId="1A88A7F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79FC695"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17 августа 1940 г. в ЦАГИ были закончены испытания И-16 с мотором М-62 с турбокомпрессором и реактором Ефремова. Скорость на высоте 3000 м возросла на 16 км/час; а на высоте 8000 м - на 26 км/ час. Кроме того, было установлено, что яркое пламя выхлопа мотора, сопутствующее обычному самолету с турбокомпрессором, устраняется при применении реактора Ефремова, благодаря чему улучшается маскировка самолета и снижается ослепление летчика во время ночных полетов. Результаты показывают, что предложение Ефремова является ценным и заслуживает внимания, как дающее значительное увеличение скорости самолета с турбокомпрессорами. При этом вес установки составлял 25 кг. Было очевидно, что положительный эффект должен был повышаться на самолетах с большими скоростями полета. В связи с этим, целесообразно провести эксперимент на одном из существующих скоростных самолетов. Строить специальный самолет преждевременно (15531).</w:t>
      </w:r>
    </w:p>
    <w:p w14:paraId="1792098A"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5884AA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в ходе испытаний схем камуфляжей рядом с самолетами СБ и истребителями был установлен недавно закупленный в Германии Вf 109 в стандартном немецком камуфляже. Со всех высот (500, 1000, 2000, 3000 и 4000 м) "мессершмитт" был отлично виден. Из донесений наблюдателей: "... лучше всего виден самолет МШ-109, который своей темной окраской сразу бросается в глаза", "МШ-109 замечательно виден" (2771,23).</w:t>
      </w:r>
    </w:p>
    <w:p w14:paraId="7490D97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F475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года состоялось совещание у зам. начальника ВВС генерал-лейтенантом Астахова в НИИ ВВС по вопросам:</w:t>
      </w:r>
    </w:p>
    <w:p w14:paraId="044EF78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Установки турбокомпрессора на самолетах.</w:t>
      </w:r>
    </w:p>
    <w:p w14:paraId="647B6E6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с карбюраторами АК-62, АК-63 и АК-88.</w:t>
      </w:r>
    </w:p>
    <w:p w14:paraId="6E48511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установки ТК на самолетах:</w:t>
      </w:r>
    </w:p>
    <w:p w14:paraId="675CDF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Совещанием установлено:</w:t>
      </w:r>
    </w:p>
    <w:p w14:paraId="7108C8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Производством ТК заводы НКАП занимаются с 1938 года, а ЦИАМ с 1935 года. За это время было оборудовано следующее количество самолетов:</w:t>
      </w:r>
    </w:p>
    <w:p w14:paraId="78F2FC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с М103 и М105 – 3</w:t>
      </w:r>
    </w:p>
    <w:p w14:paraId="1CDBD1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И-15бис с М25В – 10</w:t>
      </w:r>
    </w:p>
    <w:p w14:paraId="37F38C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с М25В и М62 – 2</w:t>
      </w:r>
    </w:p>
    <w:p w14:paraId="155F0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с М62 – 24</w:t>
      </w:r>
    </w:p>
    <w:p w14:paraId="78C84A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СБ с М105 до настоящего времени не закончили заводских испытаний. На самолете за № 1/242 с ТК конструкции ЦИАМ проведено несколько полетов, в результате которых выявлено, что горят жаростойкие листы обшивки самолета и наблюдается сильная вибрация хвостового оперения вследствие срыва струй с капота мотора. Самолет № 8/242 с ТК конструкции завода № 26 находится в опытному цеху завода № 22. К летным испытаниям этого самолета не приступлено, так как ожидаются результаты испытаний самолета № 1/242.</w:t>
      </w:r>
    </w:p>
    <w:p w14:paraId="36E134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 2М-103 с ТК заводских испытаний не проходил – завод № 22 производство работ на нем прекратил.</w:t>
      </w:r>
    </w:p>
    <w:p w14:paraId="78A249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И-15 бис с М25В и ТК прошел заводские и войсковые испытания.</w:t>
      </w:r>
    </w:p>
    <w:p w14:paraId="04F6D1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самолета И-153 с М62 оборудованные ТК-1 проходили войсковые испытания в полку боевого применения НИИ ВВС с 2 октября 1939 года по 6 июля 1940 года. В результате испытаний установлено:</w:t>
      </w:r>
    </w:p>
    <w:p w14:paraId="0BBF09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самолеты И-153 М-62 с ТК имеют ухудшенную аэродинамику винтомоторной группы за счет выступающих ТК и плохо изготовленных капотов; это обстоятельство приводит к ухудшению, особенно на малых и средних высотах, летных качеств самолета:</w:t>
      </w:r>
    </w:p>
    <w:p w14:paraId="3AD411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высотах до 5000 м самолет И-153 без ТК имеет большее преимущество над самолетом И-153 М62 с ТК; скорость самолета И-153 без ТК на земле и высотах 2400 и 4500 м на 25-30 км/час больше, чем у самолета И-153 с ТК;</w:t>
      </w:r>
    </w:p>
    <w:p w14:paraId="74ABAA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высотах 5-6000 м самолеты И-153 М62 с ТК и без ТК имеют равные боевые качества;</w:t>
      </w:r>
    </w:p>
    <w:p w14:paraId="78BCB3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высотах свыше 6000 м самолеты И-153 М62 с ТК имеют боевые преимущества над самолетами И-153 М62 без ТК, обладая большими горизонтальными скоростями, скороподъемностью и маневренностью; так скорость самолета И-153 ТК на высоте 8000 и 9000 м больше, чем у самолета И-153 без ТК.</w:t>
      </w:r>
    </w:p>
    <w:p w14:paraId="7A31DD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 10500 м меньше на 6 минут.</w:t>
      </w:r>
    </w:p>
    <w:p w14:paraId="661993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увеличением полетного веса самолета благодаря установке ТК и подвесных бензобаков на самолете И-153 введены следующие ограничения:</w:t>
      </w:r>
    </w:p>
    <w:p w14:paraId="7E49AB9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Боевые развороты и горка производятся при скоростях не свыше 300 км/час.</w:t>
      </w:r>
    </w:p>
    <w:p w14:paraId="6B48D62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производить многократные и восходящие бочки.</w:t>
      </w:r>
    </w:p>
    <w:p w14:paraId="644CCB1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пикирования не должна превышать 500 км/час по прибору.</w:t>
      </w:r>
    </w:p>
    <w:p w14:paraId="7119313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 с подвесными бензобаками разрешается только с хорошего аэродрома.</w:t>
      </w:r>
    </w:p>
    <w:p w14:paraId="6E81D35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Посадка с заполненными подвесными бензобаками запрещается.</w:t>
      </w:r>
    </w:p>
    <w:p w14:paraId="05965C3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наличии подвесных бензобаков запрещается производство фигур, вызывающих значительные перегрузки (иммельман, бочка, горка на повышенных скоростях и резкий выход из пикирования).</w:t>
      </w:r>
    </w:p>
    <w:p w14:paraId="745D9F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установки ТК на самолете И-153 не доведена.</w:t>
      </w:r>
    </w:p>
    <w:p w14:paraId="46AB78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самолета И-153 с М-63 ТК показывают такие результаты, что и с М-62 с некоторым уменьшением разницы с скоростях до 15-18 км/час на малых и средних высотах.</w:t>
      </w:r>
    </w:p>
    <w:p w14:paraId="3B2BA1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И-16 с М-25В ТК прошел заводские и специальные летные испытания и показал большое преимущество в скоростях по сравнению с И-16 без ТК, начиная с 4500 м, доходящей на 8000 м до 100 км/час; на высотах же ниже 4500 м он дает скорость на 18-25 км/час меньше. Время набора высоты 8000 м самолета И-16 с ТК на 8 минут меньше, чем самолета И-16 без ТК.</w:t>
      </w:r>
    </w:p>
    <w:p w14:paraId="13E3DC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Принятое решение</w:t>
      </w:r>
    </w:p>
    <w:p w14:paraId="279E4DB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w:t>
      </w:r>
    </w:p>
    <w:p w14:paraId="7F18C12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кратчайший срок довести и закончить заводские испытания 2-х самолетов СБ М-105 и передать в НИИ ВВС на госиспытания.</w:t>
      </w:r>
    </w:p>
    <w:p w14:paraId="73B77E5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ожидая окончания результатов госиспытаний, изготовить к 1 октября 1940 года 20 самолетов СБ М105 с ТК для войсковых испытаний.</w:t>
      </w:r>
    </w:p>
    <w:p w14:paraId="6176A2D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Срочно развернуть работы по доводке ТК на самолетах СБ М103.</w:t>
      </w:r>
    </w:p>
    <w:p w14:paraId="1F52578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Предъявить 1 октября 1940 года на войсковые испытания 20 самолетов И-16 М63 с установкой на них ТК-1.</w:t>
      </w:r>
    </w:p>
    <w:p w14:paraId="34F53A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1. Обязать 7 управление ГУ ВВС срочно принять и направить имеющиеся на заводе № 1 самолеты И-153 М62 ТК в количестве 20 самолетов на войсковые испытания.</w:t>
      </w:r>
    </w:p>
    <w:p w14:paraId="3EE072E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ВВС войсковые испытания провести к 15 октября 1940 года.</w:t>
      </w:r>
    </w:p>
    <w:p w14:paraId="43A3CA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Считать нецелесообразным оборудование самолетов И-15 бис турбокомпрессорами по причинам:</w:t>
      </w:r>
    </w:p>
    <w:p w14:paraId="7D9C632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Недостаточной прочности самолетов (на испытании в ЦАГИ полет И-15 бис М25В ТК на переворот, иммельманы, штопор и пикирование с различными перегрузками на выходе не производились, так как гл. конструктор не дал заключения по допускаемым скоростям и перегрузкам).</w:t>
      </w:r>
    </w:p>
    <w:p w14:paraId="739469B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Большие сроки службы самолетов И-15 бис в частях ВВС (самолет И-15 бис снят с серийного производства в 1939 году).</w:t>
      </w:r>
    </w:p>
    <w:p w14:paraId="1FA790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Окончательное решение об оборудовании самолетов СБ, И-153 и И-16 ТК принять на прохождении ими войсковых испытаний.</w:t>
      </w:r>
    </w:p>
    <w:p w14:paraId="7A6BF3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Просить начальника ГУ ВВС о даче распоряжения Штабу ГУ ВВС отработать тактическое применение самолетов СБ, И-16 и И-153 с ТК.</w:t>
      </w:r>
    </w:p>
    <w:p w14:paraId="1A6F10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…………..(7712, 428-433).</w:t>
      </w:r>
    </w:p>
    <w:p w14:paraId="31EA3EF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27ECA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Солдатов подготовил Справку К.Е.В. О строительстве завода № 82 НКАП</w:t>
      </w:r>
    </w:p>
    <w:p w14:paraId="552F17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завода № 82 осуществляется с 1938 г. со стоимостью первой очереди 74 млн. руб., в том числе строительная часть составляет 25-30 млн. руб.</w:t>
      </w:r>
    </w:p>
    <w:p w14:paraId="0AB444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Программа строительства на 1940 г. НКАП'ом била определена в сумме 34,3 млн. руб., в том числе строительная часть в 17,6 млн. руб.</w:t>
      </w:r>
    </w:p>
    <w:p w14:paraId="40A81B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решению Комитета Обороны от 12.5.40 г. № 200сс НКВД обя</w:t>
      </w:r>
      <w:r w:rsidRPr="00DB5D0D">
        <w:rPr>
          <w:rFonts w:ascii="Times New Roman" w:hAnsi="Times New Roman"/>
          <w:color w:val="000000" w:themeColor="text1"/>
          <w:sz w:val="16"/>
          <w:szCs w:val="16"/>
        </w:rPr>
        <w:softHyphen/>
        <w:t>зывался закончить строительство завода № 82 НКАП, в том числе: главный корпус, литейный корпус, кузнечный корпус и испытательную станцию к 1-му сентября 1940 г. и строительство жилого дома к 1-му декабря 1940 г.</w:t>
      </w:r>
    </w:p>
    <w:p w14:paraId="0C2A939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Этим же постановлением НКВД обязан был закончить все строи</w:t>
      </w:r>
      <w:r w:rsidRPr="00DB5D0D">
        <w:rPr>
          <w:rFonts w:ascii="Times New Roman" w:hAnsi="Times New Roman"/>
          <w:color w:val="000000" w:themeColor="text1"/>
          <w:sz w:val="16"/>
          <w:szCs w:val="16"/>
        </w:rPr>
        <w:softHyphen/>
        <w:t>тельные работа по расширению завода № 82 к 1.4.1941 г.</w:t>
      </w:r>
    </w:p>
    <w:p w14:paraId="586BB3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хода строительства завода № 82 Главным Контролем КО установлено:</w:t>
      </w:r>
    </w:p>
    <w:p w14:paraId="36E3A4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 строительства завода № 82 первой очереди НКАПом (Шахурин А.И., Кац В.А.) сорвано, что подтверждается следующими фактами:</w:t>
      </w:r>
    </w:p>
    <w:p w14:paraId="561C75E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в течение 1 и 2 квартала 1940 г. не обеспечивал строи</w:t>
      </w:r>
      <w:r w:rsidRPr="00DB5D0D">
        <w:rPr>
          <w:rFonts w:ascii="Times New Roman" w:hAnsi="Times New Roman"/>
          <w:color w:val="000000" w:themeColor="text1"/>
          <w:sz w:val="16"/>
          <w:szCs w:val="16"/>
        </w:rPr>
        <w:softHyphen/>
        <w:t>тельную площадку потребным количеством стройматермалов. Строитель</w:t>
      </w:r>
      <w:r w:rsidRPr="00DB5D0D">
        <w:rPr>
          <w:rFonts w:ascii="Times New Roman" w:hAnsi="Times New Roman"/>
          <w:color w:val="000000" w:themeColor="text1"/>
          <w:sz w:val="16"/>
          <w:szCs w:val="16"/>
        </w:rPr>
        <w:softHyphen/>
        <w:t>ство до сих пор не обеспечено полностью технической документа</w:t>
      </w:r>
      <w:r w:rsidRPr="00DB5D0D">
        <w:rPr>
          <w:rFonts w:ascii="Times New Roman" w:hAnsi="Times New Roman"/>
          <w:color w:val="000000" w:themeColor="text1"/>
          <w:sz w:val="16"/>
          <w:szCs w:val="16"/>
        </w:rPr>
        <w:softHyphen/>
        <w:t>цией корпусов первой очереди.</w:t>
      </w:r>
    </w:p>
    <w:p w14:paraId="1CE513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изданном НКАП'ом приказе, во исполнение постановления КО № 200сс, за подписью Наркома Шахурина А.И., отсутствуют какие-либо указания по обеспечению строительства завода № 82 стройматериалами, технической документацией и оборудовалнем.</w:t>
      </w:r>
    </w:p>
    <w:p w14:paraId="1B2B54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Этим приказом контроль за ходом строительства завода № 82 был возложен на Н-ка ГУКС НКАП Кац В.А. Однако т. Кац до настоящего времени никаких распоряжений а указаний, обеспечивающих выполнение постановления КО, не издавал. Таким образом, строитель</w:t>
      </w:r>
      <w:r w:rsidRPr="00DB5D0D">
        <w:rPr>
          <w:rFonts w:ascii="Times New Roman" w:hAnsi="Times New Roman"/>
          <w:color w:val="000000" w:themeColor="text1"/>
          <w:sz w:val="16"/>
          <w:szCs w:val="16"/>
        </w:rPr>
        <w:softHyphen/>
        <w:t>ство завода № 82 (первая очередь) с самого начала выхода в свет решения НКАП'ом (т. Шахурин А.И. Кац В.А.) ничем не обеспечива</w:t>
      </w:r>
      <w:r w:rsidRPr="00DB5D0D">
        <w:rPr>
          <w:rFonts w:ascii="Times New Roman" w:hAnsi="Times New Roman"/>
          <w:color w:val="000000" w:themeColor="text1"/>
          <w:sz w:val="16"/>
          <w:szCs w:val="16"/>
        </w:rPr>
        <w:softHyphen/>
        <w:t>лось.</w:t>
      </w:r>
    </w:p>
    <w:p w14:paraId="684526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Неоднократные обращения НКВД (т.т. Чернышов, Маневич) к т. Шахурину А.И. и Кад А.В. по вопросу явно неудовлетворительного снаб</w:t>
      </w:r>
      <w:r w:rsidRPr="00DB5D0D">
        <w:rPr>
          <w:rFonts w:ascii="Times New Roman" w:hAnsi="Times New Roman"/>
          <w:color w:val="000000" w:themeColor="text1"/>
          <w:sz w:val="16"/>
          <w:szCs w:val="16"/>
        </w:rPr>
        <w:softHyphen/>
        <w:t>жения НКАП'ом строительной площадки завода № 82 необходимыми стройматериалами, остались без результатов, и строительство по-прежнему испытывает острый недостаток в стройматериалах.</w:t>
      </w:r>
    </w:p>
    <w:p w14:paraId="3FE504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привело к тому,что за 2-е полугодие 1940 г. НКВД выполнил работ всего лшь на 5,6 млн. руб.</w:t>
      </w:r>
    </w:p>
    <w:p w14:paraId="4FEF75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Стоимость по расширению завода № 82 НКАП'ом была определена в сумме 190 мл.руб., что является явно завышенной, т.к. принятая при проектировании трудоемкость 2500 часов на один мотор, не соот</w:t>
      </w:r>
      <w:r w:rsidRPr="00DB5D0D">
        <w:rPr>
          <w:rFonts w:ascii="Times New Roman" w:hAnsi="Times New Roman"/>
          <w:color w:val="000000" w:themeColor="text1"/>
          <w:sz w:val="16"/>
          <w:szCs w:val="16"/>
        </w:rPr>
        <w:softHyphen/>
        <w:t>ветствует действительности, что видно лз следущей таблицы: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95"/>
        <w:gridCol w:w="2004"/>
        <w:gridCol w:w="1521"/>
        <w:gridCol w:w="1636"/>
        <w:gridCol w:w="1348"/>
      </w:tblGrid>
      <w:tr w:rsidR="007D5DF8" w:rsidRPr="00DB5D0D" w14:paraId="636E9D95" w14:textId="77777777" w:rsidTr="00E543D0">
        <w:trPr>
          <w:trHeight w:val="645"/>
        </w:trPr>
        <w:tc>
          <w:tcPr>
            <w:tcW w:w="495" w:type="dxa"/>
            <w:tcBorders>
              <w:top w:val="single" w:sz="12" w:space="0" w:color="auto"/>
            </w:tcBorders>
          </w:tcPr>
          <w:p w14:paraId="308211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п/п</w:t>
            </w:r>
          </w:p>
        </w:tc>
        <w:tc>
          <w:tcPr>
            <w:tcW w:w="2004" w:type="dxa"/>
            <w:tcBorders>
              <w:top w:val="single" w:sz="12" w:space="0" w:color="auto"/>
            </w:tcBorders>
          </w:tcPr>
          <w:p w14:paraId="08E6BA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Заводы</w:t>
            </w:r>
          </w:p>
        </w:tc>
        <w:tc>
          <w:tcPr>
            <w:tcW w:w="1521" w:type="dxa"/>
            <w:tcBorders>
              <w:top w:val="single" w:sz="12" w:space="0" w:color="auto"/>
            </w:tcBorders>
          </w:tcPr>
          <w:p w14:paraId="167EB7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моторов</w:t>
            </w:r>
          </w:p>
        </w:tc>
        <w:tc>
          <w:tcPr>
            <w:tcW w:w="1636" w:type="dxa"/>
            <w:tcBorders>
              <w:top w:val="single" w:sz="12" w:space="0" w:color="auto"/>
            </w:tcBorders>
          </w:tcPr>
          <w:p w14:paraId="16439F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Трудоемкость на один мотор</w:t>
            </w:r>
          </w:p>
        </w:tc>
        <w:tc>
          <w:tcPr>
            <w:tcW w:w="1348" w:type="dxa"/>
            <w:tcBorders>
              <w:top w:val="single" w:sz="12" w:space="0" w:color="auto"/>
            </w:tcBorders>
          </w:tcPr>
          <w:p w14:paraId="3B4865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2E35AFDA" w14:textId="77777777" w:rsidTr="00E543D0">
        <w:trPr>
          <w:trHeight w:val="380"/>
        </w:trPr>
        <w:tc>
          <w:tcPr>
            <w:tcW w:w="495" w:type="dxa"/>
          </w:tcPr>
          <w:p w14:paraId="25A058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2004" w:type="dxa"/>
          </w:tcPr>
          <w:p w14:paraId="1379FF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26</w:t>
            </w:r>
          </w:p>
          <w:p w14:paraId="4A495A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521" w:type="dxa"/>
          </w:tcPr>
          <w:p w14:paraId="7B1959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1636" w:type="dxa"/>
          </w:tcPr>
          <w:p w14:paraId="169A62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875 часов</w:t>
            </w:r>
          </w:p>
          <w:p w14:paraId="3BC4D7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348" w:type="dxa"/>
          </w:tcPr>
          <w:p w14:paraId="098E2B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63B5D36" w14:textId="77777777" w:rsidTr="00E543D0">
        <w:trPr>
          <w:trHeight w:val="265"/>
        </w:trPr>
        <w:tc>
          <w:tcPr>
            <w:tcW w:w="495" w:type="dxa"/>
          </w:tcPr>
          <w:p w14:paraId="5CA80D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2004" w:type="dxa"/>
          </w:tcPr>
          <w:p w14:paraId="361F54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w:t>
            </w:r>
          </w:p>
        </w:tc>
        <w:tc>
          <w:tcPr>
            <w:tcW w:w="1521" w:type="dxa"/>
          </w:tcPr>
          <w:p w14:paraId="6B09922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smallCaps/>
                <w:color w:val="000000" w:themeColor="text1"/>
                <w:sz w:val="16"/>
                <w:szCs w:val="16"/>
              </w:rPr>
              <w:t>АМ-</w:t>
            </w:r>
            <w:r w:rsidRPr="00DB5D0D">
              <w:rPr>
                <w:rFonts w:ascii="Times New Roman" w:hAnsi="Times New Roman"/>
                <w:color w:val="000000" w:themeColor="text1"/>
                <w:sz w:val="16"/>
                <w:szCs w:val="16"/>
              </w:rPr>
              <w:t>35</w:t>
            </w:r>
          </w:p>
        </w:tc>
        <w:tc>
          <w:tcPr>
            <w:tcW w:w="1636" w:type="dxa"/>
          </w:tcPr>
          <w:p w14:paraId="69382F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 часов</w:t>
            </w:r>
          </w:p>
        </w:tc>
        <w:tc>
          <w:tcPr>
            <w:tcW w:w="1348" w:type="dxa"/>
          </w:tcPr>
          <w:p w14:paraId="2B869C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07122D7A" w14:textId="77777777" w:rsidTr="00E543D0">
        <w:trPr>
          <w:trHeight w:val="253"/>
        </w:trPr>
        <w:tc>
          <w:tcPr>
            <w:tcW w:w="495" w:type="dxa"/>
          </w:tcPr>
          <w:p w14:paraId="0E73C5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004" w:type="dxa"/>
          </w:tcPr>
          <w:p w14:paraId="0A6E59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75</w:t>
            </w:r>
          </w:p>
        </w:tc>
        <w:tc>
          <w:tcPr>
            <w:tcW w:w="1521" w:type="dxa"/>
          </w:tcPr>
          <w:p w14:paraId="465A8B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w:t>
            </w:r>
          </w:p>
        </w:tc>
        <w:tc>
          <w:tcPr>
            <w:tcW w:w="1636" w:type="dxa"/>
          </w:tcPr>
          <w:p w14:paraId="1AA8A5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 часов</w:t>
            </w:r>
          </w:p>
        </w:tc>
        <w:tc>
          <w:tcPr>
            <w:tcW w:w="1348" w:type="dxa"/>
          </w:tcPr>
          <w:p w14:paraId="52F11D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4D62837" w14:textId="77777777" w:rsidTr="00E543D0">
        <w:trPr>
          <w:trHeight w:val="495"/>
        </w:trPr>
        <w:tc>
          <w:tcPr>
            <w:tcW w:w="495" w:type="dxa"/>
            <w:tcBorders>
              <w:bottom w:val="single" w:sz="12" w:space="0" w:color="auto"/>
            </w:tcBorders>
          </w:tcPr>
          <w:p w14:paraId="5F6764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2004" w:type="dxa"/>
            <w:tcBorders>
              <w:bottom w:val="single" w:sz="12" w:space="0" w:color="auto"/>
            </w:tcBorders>
          </w:tcPr>
          <w:p w14:paraId="1C888CA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Кировский з-д</w:t>
            </w:r>
          </w:p>
        </w:tc>
        <w:tc>
          <w:tcPr>
            <w:tcW w:w="1521" w:type="dxa"/>
            <w:tcBorders>
              <w:bottom w:val="single" w:sz="12" w:space="0" w:color="auto"/>
            </w:tcBorders>
          </w:tcPr>
          <w:p w14:paraId="3D879A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М-40</w:t>
            </w:r>
          </w:p>
        </w:tc>
        <w:tc>
          <w:tcPr>
            <w:tcW w:w="1636" w:type="dxa"/>
            <w:tcBorders>
              <w:bottom w:val="single" w:sz="12" w:space="0" w:color="auto"/>
            </w:tcBorders>
          </w:tcPr>
          <w:p w14:paraId="162F0E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 часов</w:t>
            </w:r>
          </w:p>
        </w:tc>
        <w:tc>
          <w:tcPr>
            <w:tcW w:w="1348" w:type="dxa"/>
            <w:tcBorders>
              <w:bottom w:val="single" w:sz="12" w:space="0" w:color="auto"/>
            </w:tcBorders>
          </w:tcPr>
          <w:p w14:paraId="263F48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bl>
    <w:p w14:paraId="06D1B0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выяснении стоимости строительства на совещания в Главном Контроле с представителями НКАП (т.т. Кузнецов В.П., Кац А.В.) было установлено, что реальная трудоемкость на один мотор определяется в 1500 часов, что соответственно снижает стоимость по расширению завода № 82 до 74 млн. руб., в том числе строительную часть до 30-35 млн. руб. вместо 100-120 млн. руб.</w:t>
      </w:r>
    </w:p>
    <w:p w14:paraId="3570EF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Следовательно, указанные сроки в постановлении КО по расши</w:t>
      </w:r>
      <w:r w:rsidRPr="00DB5D0D">
        <w:rPr>
          <w:rFonts w:ascii="Times New Roman" w:hAnsi="Times New Roman"/>
          <w:color w:val="000000" w:themeColor="text1"/>
          <w:sz w:val="16"/>
          <w:szCs w:val="16"/>
        </w:rPr>
        <w:softHyphen/>
        <w:t>рению завода № 82 к 1.4.41 г. были вполне реальными, но из-за непо</w:t>
      </w:r>
      <w:r w:rsidRPr="00DB5D0D">
        <w:rPr>
          <w:rFonts w:ascii="Times New Roman" w:hAnsi="Times New Roman"/>
          <w:color w:val="000000" w:themeColor="text1"/>
          <w:sz w:val="16"/>
          <w:szCs w:val="16"/>
        </w:rPr>
        <w:softHyphen/>
        <w:t>воротливости и неорганизованности НКАП</w:t>
      </w:r>
      <w:r w:rsidRPr="00DB5D0D">
        <w:rPr>
          <w:rFonts w:ascii="Times New Roman" w:hAnsi="Times New Roman"/>
          <w:color w:val="000000" w:themeColor="text1"/>
          <w:sz w:val="16"/>
          <w:szCs w:val="16"/>
          <w:vertAlign w:val="superscript"/>
        </w:rPr>
        <w:t>г</w:t>
      </w:r>
      <w:r w:rsidRPr="00DB5D0D">
        <w:rPr>
          <w:rFonts w:ascii="Times New Roman" w:hAnsi="Times New Roman"/>
          <w:color w:val="000000" w:themeColor="text1"/>
          <w:sz w:val="16"/>
          <w:szCs w:val="16"/>
        </w:rPr>
        <w:t>а (т. Шахурин А.И., Кац А.В,) строительство было сорвано, т.к. в течение 3-х месяцев никаких мер по выполнению постановления не принималось.</w:t>
      </w:r>
    </w:p>
    <w:p w14:paraId="48B3BA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настоящего времени работа по расширении завода № 822 НКАП'ом не обеспечено как денежными средствами, так и строймате</w:t>
      </w:r>
      <w:r w:rsidRPr="00DB5D0D">
        <w:rPr>
          <w:rFonts w:ascii="Times New Roman" w:hAnsi="Times New Roman"/>
          <w:color w:val="000000" w:themeColor="text1"/>
          <w:sz w:val="16"/>
          <w:szCs w:val="16"/>
        </w:rPr>
        <w:softHyphen/>
        <w:t>риалами. Техническая документация не только не подготоэлзна, но даже не закончены геологические изыскания.</w:t>
      </w:r>
    </w:p>
    <w:p w14:paraId="31FD98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вышеизложенные факты свидетелъствуют о том, что НКАП на всем протяжении 1940 г.систематически не выполнял постановления КО и тем самым не обеспечил окончание строительства первой очереди и поставил под угрозу срыва работы по расширению завода № 82.</w:t>
      </w:r>
    </w:p>
    <w:p w14:paraId="68C1B9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постановления прилагаю (10499,44).</w:t>
      </w:r>
    </w:p>
    <w:p w14:paraId="6B01AD7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6866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года Первый заместитель наркома авиапромышленности В.П. Баландин на</w:t>
      </w:r>
      <w:r w:rsidRPr="00DB5D0D">
        <w:rPr>
          <w:rFonts w:ascii="Times New Roman" w:hAnsi="Times New Roman"/>
          <w:color w:val="000000" w:themeColor="text1"/>
          <w:sz w:val="16"/>
          <w:szCs w:val="16"/>
        </w:rPr>
        <w:softHyphen/>
        <w:t>правил письмо заместителю наркома внешней торговли АД. Крутикову Н-32/1515. Через последнего, в частности, осущест</w:t>
      </w:r>
      <w:r w:rsidRPr="00DB5D0D">
        <w:rPr>
          <w:rFonts w:ascii="Times New Roman" w:hAnsi="Times New Roman"/>
          <w:color w:val="000000" w:themeColor="text1"/>
          <w:sz w:val="16"/>
          <w:szCs w:val="16"/>
        </w:rPr>
        <w:softHyphen/>
        <w:t>влялся выход Наркомата внешней торговли на германские и бывшие чехос</w:t>
      </w:r>
      <w:r w:rsidRPr="00DB5D0D">
        <w:rPr>
          <w:rFonts w:ascii="Times New Roman" w:hAnsi="Times New Roman"/>
          <w:color w:val="000000" w:themeColor="text1"/>
          <w:sz w:val="16"/>
          <w:szCs w:val="16"/>
        </w:rPr>
        <w:softHyphen/>
        <w:t>ловацкие фирмы. Этот статус был закреплен вторым пунктом Постанов</w:t>
      </w:r>
      <w:r w:rsidRPr="00DB5D0D">
        <w:rPr>
          <w:rFonts w:ascii="Times New Roman" w:hAnsi="Times New Roman"/>
          <w:color w:val="000000" w:themeColor="text1"/>
          <w:sz w:val="16"/>
          <w:szCs w:val="16"/>
        </w:rPr>
        <w:softHyphen/>
        <w:t>ления Политбюро ЦК ВКП(б) №П 9 / 21 от 13 ноября 1939 года «Вопросы НКВТ», в котором предписывалось: «Возложить ведение всех дел Наркомв-нешторга с Германией и Чехословакией на заместителя народного комис</w:t>
      </w:r>
      <w:r w:rsidRPr="00DB5D0D">
        <w:rPr>
          <w:rFonts w:ascii="Times New Roman" w:hAnsi="Times New Roman"/>
          <w:color w:val="000000" w:themeColor="text1"/>
          <w:sz w:val="16"/>
          <w:szCs w:val="16"/>
        </w:rPr>
        <w:softHyphen/>
        <w:t>сара внешней торговли т. Крутикова Алексея Дмитриевича, освободив его от работы по кадрам в Наркомвнешторге» (РГАСПИ.Ф. 17.ОП.З.Д. 1016. Л. 8.). В письме В.П. Баландин сооб</w:t>
      </w:r>
      <w:r w:rsidRPr="00DB5D0D">
        <w:rPr>
          <w:rFonts w:ascii="Times New Roman" w:hAnsi="Times New Roman"/>
          <w:color w:val="000000" w:themeColor="text1"/>
          <w:sz w:val="16"/>
          <w:szCs w:val="16"/>
        </w:rPr>
        <w:softHyphen/>
        <w:t>щал о необходимости реализации для НКАП через В/О «Станкоимпорт» 19 полуавтоматов «Монфортс» фирмы «Ганн и Кольб» со сроками поставки 8-10 месяцев, то есть незадолго до начала войны (РГАЭ. Ф. 8044. Оп. 1. Д. 436. Л. 106.). Это является нагляд</w:t>
      </w:r>
      <w:r w:rsidRPr="00DB5D0D">
        <w:rPr>
          <w:rFonts w:ascii="Times New Roman" w:hAnsi="Times New Roman"/>
          <w:color w:val="000000" w:themeColor="text1"/>
          <w:sz w:val="16"/>
          <w:szCs w:val="16"/>
        </w:rPr>
        <w:softHyphen/>
        <w:t>ным примером того, что многие более поздние заказы до начала военных действий получить было бы весьма проблематично.</w:t>
      </w:r>
    </w:p>
    <w:p w14:paraId="522B667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Подобное письмо Н-32/1623 от 23 августа 1940 года было направлено АД. Крутикову М.В. Хруничевым. В нем сообщалось о желательности приоб</w:t>
      </w:r>
      <w:r w:rsidRPr="00DB5D0D">
        <w:rPr>
          <w:rFonts w:ascii="Times New Roman" w:hAnsi="Times New Roman"/>
          <w:color w:val="000000" w:themeColor="text1"/>
          <w:sz w:val="16"/>
          <w:szCs w:val="16"/>
        </w:rPr>
        <w:softHyphen/>
        <w:t>ретения у фирмы «Л. Леве» 10 токарно-револьверных станков марки ОК-34 Р2С со сроками поставки в 1940 году (РГАЭ. Ф. 8044. Оп. 1. Д. 436. Л. 109.).</w:t>
      </w:r>
    </w:p>
    <w:p w14:paraId="66076A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Представляет интерес письмо М.В. Хруничева АД Крутикову Н-32/3950 от 2 5 декабря 1940 года. К нему прилагалась ведомость «особо остродефицитных станков», необходимых для моторо- и самолетостроительных заводов НКАП. В соответствующей ведомости было представлено десять позиций по типам станков (специальные токарные, балансировочные, специальные шлифо</w:t>
      </w:r>
      <w:r w:rsidRPr="00DB5D0D">
        <w:rPr>
          <w:rFonts w:ascii="Times New Roman" w:hAnsi="Times New Roman"/>
          <w:color w:val="000000" w:themeColor="text1"/>
          <w:sz w:val="16"/>
          <w:szCs w:val="16"/>
        </w:rPr>
        <w:softHyphen/>
        <w:t>вальные и др.), которые охватывали 97 единиц станочного оборудования. По</w:t>
      </w:r>
      <w:r w:rsidRPr="00DB5D0D">
        <w:rPr>
          <w:rFonts w:ascii="Times New Roman" w:hAnsi="Times New Roman"/>
          <w:color w:val="000000" w:themeColor="text1"/>
          <w:sz w:val="16"/>
          <w:szCs w:val="16"/>
        </w:rPr>
        <w:softHyphen/>
        <w:t>мимо американских и швейцарских фирм, в числе производителей значилось и большое количество немецких, в том числе «Берингер», «Билетер», «Вотан», «Кольман», «Лозенгаузен», «Людвиг Леве», «Наксос Унион», «Унгер». Практичес</w:t>
      </w:r>
      <w:r w:rsidRPr="00DB5D0D">
        <w:rPr>
          <w:rFonts w:ascii="Times New Roman" w:hAnsi="Times New Roman"/>
          <w:color w:val="000000" w:themeColor="text1"/>
          <w:sz w:val="16"/>
          <w:szCs w:val="16"/>
        </w:rPr>
        <w:softHyphen/>
        <w:t>ки все позиции включали продукцию Германии, а некоторые, например про</w:t>
      </w:r>
      <w:r w:rsidRPr="00DB5D0D">
        <w:rPr>
          <w:rFonts w:ascii="Times New Roman" w:hAnsi="Times New Roman"/>
          <w:color w:val="000000" w:themeColor="text1"/>
          <w:sz w:val="16"/>
          <w:szCs w:val="16"/>
        </w:rPr>
        <w:softHyphen/>
        <w:t>дольно-фрезерные (быстроходные) или продольно-шлифовальные станки, были представлены исключительно немецкими образцами (РГАЭ. Ф. 8044. Оп. 1. Д. 436. Л. 109.).</w:t>
      </w:r>
    </w:p>
    <w:p w14:paraId="457D62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Примечательна и другая тенденция - попытка компенсировать срыв поставок станков из США немецким оборудованием. В письме замнаркома авиапромышленности Кузнецова замнаркома внешней торговли Бабкину № Н-32/103 от 8 января 1941 года сообщалось следующее: «Предлагаемая «Станкоимпортом» замена специального американского оборудования на немецкое должна быть всесторонне изучена непосредственно у фирм с точки зрения конкретных эксплуатационных данных». Далее, в частнос</w:t>
      </w:r>
      <w:r w:rsidRPr="00DB5D0D">
        <w:rPr>
          <w:rFonts w:ascii="Times New Roman" w:hAnsi="Times New Roman"/>
          <w:color w:val="000000" w:themeColor="text1"/>
          <w:sz w:val="16"/>
          <w:szCs w:val="16"/>
        </w:rPr>
        <w:softHyphen/>
        <w:t>ти, содержалась просьба включить в план предполагаемых командировок в Германию на 1941 год работников авиационной промышленности по вопросам приемки и инспектирования станочного оборудования (РГАЭ. Ф. 8044. Оп. 1. Д. 436. Л. 229.). В дей</w:t>
      </w:r>
      <w:r w:rsidRPr="00DB5D0D">
        <w:rPr>
          <w:rFonts w:ascii="Times New Roman" w:hAnsi="Times New Roman"/>
          <w:color w:val="000000" w:themeColor="text1"/>
          <w:sz w:val="16"/>
          <w:szCs w:val="16"/>
        </w:rPr>
        <w:softHyphen/>
        <w:t>ствительности, однако, к этому времени размещать в Германии заказы на станки было уже бессмысленно — до начала военных действий оставалось немногим более пяти месяцев (11710,260).</w:t>
      </w:r>
    </w:p>
    <w:p w14:paraId="763C5F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52A61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года наркомат авиационной промышленности СССР издал приказ о создании в Москве Государственного Специального проектного бюро (СПБ-1 ГПИ-1) для проектирования авиационных заводов на территории Куйбышевской области. Его начальник Байдаков был наделен правом привлекать к работе в бюро специалистов и целых бригад из крупнейших проектных организаций страны, чтобы обеспечить строительство на Безымянке в сроки, установленные Комитетом Обороны (11816).</w:t>
      </w:r>
    </w:p>
    <w:p w14:paraId="45DD6F7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13E252A"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августа 1940 г.</w:t>
      </w:r>
    </w:p>
    <w:p w14:paraId="48247953"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Из приказа Наркома авиационной промышленности СССР о создании в Москве Специального проектного бюро для проектирования авиационных заводов на территории Куйбышевской области</w:t>
      </w:r>
    </w:p>
    <w:p w14:paraId="3A4F406B"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августа 1940 г.</w:t>
      </w:r>
    </w:p>
    <w:p w14:paraId="0D6710F5"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Сов. секретно</w:t>
      </w:r>
    </w:p>
    <w:p w14:paraId="46023070"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В соответствии с постановлением Правительства от 6 августа 1940 года о строительстве авиационных заводов самолето- и моторостроения </w:t>
      </w:r>
    </w:p>
    <w:p w14:paraId="5D0923AF"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ПРИКАЗЫВАЮ:</w:t>
      </w:r>
    </w:p>
    <w:p w14:paraId="42AAD919"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Возложить на ГПИ-1 комплексное проектирование заводов №№ 122, 295 и 337, для чего организовать в гор. Москве Специальное проектное бюро.</w:t>
      </w:r>
    </w:p>
    <w:p w14:paraId="2F577CD5"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Начальнику ГПИ-1 тов. Байдакову:</w:t>
      </w:r>
    </w:p>
    <w:p w14:paraId="4A5CCEAC"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укомплектовать не позднее 20 августа с.г. Специальное проектное бюро из состава проектировщиков ГПИ-1, ЦИТа, Оргоборонпрома и нижеследующих организаций:</w:t>
      </w:r>
    </w:p>
    <w:p w14:paraId="65716769"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46 Проектный трест НКСП; Теплоэлектропроект НКЭС; Промстройпроект; Горстройпроект; Центроэлектромонтаж НКСтроя; Госводоканал проект НКХоза РСФСР; ВАТ и Союзпроммеханизация НКТМ; Проектномонтажная контора и Электрохимзащита НКОМ; Газомонтажпроект НКНефти; Контора Электропечь и 5-й Проектно-монтажный трест НКЭП; Союзтранспроект НКПС; Трест «Лакокраспокрытие» НКХимпрома; «Аэропроект», ГУГВФ, которые Правительство обязало выполнить проектные работы ГПИ-1 в сроки, обеспечивающие своевременное окончание проектно-монтажных работ по строительству, с выделением в указанное Бюро специальных бригад проектировщиков, освобожденных от всякой другой работы...</w:t>
      </w:r>
    </w:p>
    <w:p w14:paraId="4A99198F"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Народный комиссар</w:t>
      </w:r>
    </w:p>
    <w:p w14:paraId="6E766ACC"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авиационной промышленности</w:t>
      </w:r>
      <w:r w:rsidRPr="00DB5D0D">
        <w:rPr>
          <w:rFonts w:ascii="Times New Roman" w:hAnsi="Times New Roman"/>
          <w:color w:val="0070C0"/>
          <w:sz w:val="16"/>
          <w:szCs w:val="16"/>
        </w:rPr>
        <w:tab/>
        <w:t>А. Шахурин</w:t>
      </w:r>
    </w:p>
    <w:p w14:paraId="4FEC0ADF"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ГАСО</w:t>
      </w:r>
      <w:r w:rsidRPr="00DB5D0D">
        <w:rPr>
          <w:rFonts w:ascii="Times New Roman" w:hAnsi="Times New Roman"/>
          <w:color w:val="0070C0"/>
          <w:sz w:val="16"/>
          <w:szCs w:val="16"/>
          <w:lang w:val="en-US"/>
        </w:rPr>
        <w:t xml:space="preserve">. </w:t>
      </w:r>
      <w:r w:rsidRPr="00DB5D0D">
        <w:rPr>
          <w:rFonts w:ascii="Times New Roman" w:hAnsi="Times New Roman"/>
          <w:color w:val="0070C0"/>
          <w:sz w:val="16"/>
          <w:szCs w:val="16"/>
        </w:rPr>
        <w:t>Ф</w:t>
      </w:r>
      <w:r w:rsidRPr="00DB5D0D">
        <w:rPr>
          <w:rFonts w:ascii="Times New Roman" w:hAnsi="Times New Roman"/>
          <w:color w:val="0070C0"/>
          <w:sz w:val="16"/>
          <w:szCs w:val="16"/>
          <w:lang w:val="en-US"/>
        </w:rPr>
        <w:t xml:space="preserve">. P-2064. On. 2. </w:t>
      </w:r>
      <w:r w:rsidRPr="00DB5D0D">
        <w:rPr>
          <w:rFonts w:ascii="Times New Roman" w:hAnsi="Times New Roman"/>
          <w:color w:val="0070C0"/>
          <w:sz w:val="16"/>
          <w:szCs w:val="16"/>
        </w:rPr>
        <w:t>Д</w:t>
      </w:r>
      <w:r w:rsidRPr="00DB5D0D">
        <w:rPr>
          <w:rFonts w:ascii="Times New Roman" w:hAnsi="Times New Roman"/>
          <w:color w:val="0070C0"/>
          <w:sz w:val="16"/>
          <w:szCs w:val="16"/>
          <w:lang w:val="en-US"/>
        </w:rPr>
        <w:t xml:space="preserve">. 13. </w:t>
      </w:r>
      <w:r w:rsidRPr="00DB5D0D">
        <w:rPr>
          <w:rFonts w:ascii="Times New Roman" w:hAnsi="Times New Roman"/>
          <w:color w:val="0070C0"/>
          <w:sz w:val="16"/>
          <w:szCs w:val="16"/>
        </w:rPr>
        <w:t>Л</w:t>
      </w:r>
      <w:r w:rsidRPr="00DB5D0D">
        <w:rPr>
          <w:rFonts w:ascii="Times New Roman" w:hAnsi="Times New Roman"/>
          <w:color w:val="0070C0"/>
          <w:sz w:val="16"/>
          <w:szCs w:val="16"/>
          <w:lang w:val="en-US"/>
        </w:rPr>
        <w:t xml:space="preserve">. 1. </w:t>
      </w:r>
      <w:r w:rsidRPr="00DB5D0D">
        <w:rPr>
          <w:rFonts w:ascii="Times New Roman" w:hAnsi="Times New Roman"/>
          <w:color w:val="0070C0"/>
          <w:sz w:val="16"/>
          <w:szCs w:val="16"/>
        </w:rPr>
        <w:t>Копия (20624).</w:t>
      </w:r>
    </w:p>
    <w:p w14:paraId="2D69E31B" w14:textId="77777777" w:rsidR="006650AF" w:rsidRPr="00DB5D0D" w:rsidRDefault="006650AF" w:rsidP="00DB5D0D">
      <w:pPr>
        <w:spacing w:after="0" w:line="240" w:lineRule="auto"/>
        <w:jc w:val="both"/>
        <w:rPr>
          <w:rFonts w:ascii="Times New Roman" w:hAnsi="Times New Roman"/>
          <w:color w:val="0070C0"/>
          <w:sz w:val="16"/>
          <w:szCs w:val="16"/>
        </w:rPr>
      </w:pPr>
    </w:p>
    <w:p w14:paraId="6731962E"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16 августа 1940 было Письмо наркома вооружения СССР Б. Л. Ванникова председателю Комитета обороны при СНК СССР К. Е. Ворошилову и председателю Совета оборонной промышленности при СНК СССР Н. А. Вознесенскому о принятии на вооружение авиационного пулемета "СН"</w:t>
      </w:r>
    </w:p>
    <w:p w14:paraId="745B5905"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Оборона при СНК СССР 1-го Августа с/г. за № 71О2/ко прислал на заключение Наркомату Вооружения проект постановления КО - о введении на вооружение пу</w:t>
      </w:r>
      <w:r w:rsidRPr="00DB5D0D">
        <w:rPr>
          <w:rFonts w:ascii="Times New Roman" w:hAnsi="Times New Roman"/>
          <w:color w:val="0070C0"/>
          <w:sz w:val="16"/>
          <w:szCs w:val="16"/>
        </w:rPr>
        <w:softHyphen/>
        <w:t>лемета "СН" и изготовление в 1940 году - 500 штук этих пулеметов.</w:t>
      </w:r>
    </w:p>
    <w:p w14:paraId="6F730DC0"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настоящее время Наркомат Обороны вносит проект постановления о принятии на вооружение и дачи в производство в 1940 году - 500 штук пулеметов "СН”, хотя Наркомат Обороны знает, что "СН" недостаточно отрабо</w:t>
      </w:r>
      <w:r w:rsidRPr="00DB5D0D">
        <w:rPr>
          <w:rFonts w:ascii="Times New Roman" w:hAnsi="Times New Roman"/>
          <w:color w:val="0070C0"/>
          <w:sz w:val="16"/>
          <w:szCs w:val="16"/>
        </w:rPr>
        <w:softHyphen/>
        <w:t>таны и что принимать их на вооружение нельзя, об этом имеется акт Комиссии Комитета Обороны, в которой при</w:t>
      </w:r>
      <w:r w:rsidRPr="00DB5D0D">
        <w:rPr>
          <w:rFonts w:ascii="Times New Roman" w:hAnsi="Times New Roman"/>
          <w:color w:val="0070C0"/>
          <w:sz w:val="16"/>
          <w:szCs w:val="16"/>
        </w:rPr>
        <w:softHyphen/>
        <w:t>нимали участие представители Наркомата Обороны - т.т. Сакриер, Бульба и др..</w:t>
      </w:r>
    </w:p>
    <w:p w14:paraId="2BE35F2F"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Внесение с Комитет Обороны Наркоматом Обороны проекта этого постановления я расцениваю, как исключи</w:t>
      </w:r>
      <w:r w:rsidRPr="00DB5D0D">
        <w:rPr>
          <w:rFonts w:ascii="Times New Roman" w:hAnsi="Times New Roman"/>
          <w:color w:val="0070C0"/>
          <w:sz w:val="16"/>
          <w:szCs w:val="16"/>
        </w:rPr>
        <w:softHyphen/>
        <w:t>тельную безответственность, исходящую из того, что виновники в принятии недоброкачественного вооружения на производство и на вооружение его - ни разу не по</w:t>
      </w:r>
      <w:r w:rsidRPr="00DB5D0D">
        <w:rPr>
          <w:rFonts w:ascii="Times New Roman" w:hAnsi="Times New Roman"/>
          <w:color w:val="0070C0"/>
          <w:sz w:val="16"/>
          <w:szCs w:val="16"/>
        </w:rPr>
        <w:softHyphen/>
        <w:t>несли наказания</w:t>
      </w:r>
    </w:p>
    <w:p w14:paraId="4CC75F39"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Обращаю Ваше внимание на недопустимую практику введения на вооружение непроверенной продукции, ввиду чего страна терпит колоссальные убытки: затрату ин</w:t>
      </w:r>
      <w:r w:rsidRPr="00DB5D0D">
        <w:rPr>
          <w:rFonts w:ascii="Times New Roman" w:hAnsi="Times New Roman"/>
          <w:color w:val="0070C0"/>
          <w:sz w:val="16"/>
          <w:szCs w:val="16"/>
        </w:rPr>
        <w:softHyphen/>
        <w:t>струмента, мощностей, ценного металла, рабсилы и т.п.</w:t>
      </w:r>
    </w:p>
    <w:p w14:paraId="179CDCAF"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Для примера укажу, что введением на вооружение и дачей заказа на 500 штук пулеметов "Ультра-Шкас", без достаточной проверки, в 1939 году Наркомат Воору</w:t>
      </w:r>
      <w:r w:rsidRPr="00DB5D0D">
        <w:rPr>
          <w:rFonts w:ascii="Times New Roman" w:hAnsi="Times New Roman"/>
          <w:color w:val="0070C0"/>
          <w:sz w:val="16"/>
          <w:szCs w:val="16"/>
        </w:rPr>
        <w:softHyphen/>
        <w:t>жения понес большие убытки , а Наркомат Обороны не принял пи одного пулемета и поставил вопрос о снятии их с вооружения.</w:t>
      </w:r>
    </w:p>
    <w:p w14:paraId="77CAEA48"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существу проекта постановления - сообщаю, что если этот проект будет принят, то в результате завод № 66, который за последнюю часть 1940 года получил исклю</w:t>
      </w:r>
      <w:r w:rsidRPr="00DB5D0D">
        <w:rPr>
          <w:rFonts w:ascii="Times New Roman" w:hAnsi="Times New Roman"/>
          <w:color w:val="0070C0"/>
          <w:sz w:val="16"/>
          <w:szCs w:val="16"/>
        </w:rPr>
        <w:softHyphen/>
        <w:t>чительно большую программу по авиационным пулеметам, - сорвет всю программу, и оборона страны не только не полу</w:t>
      </w:r>
      <w:r w:rsidRPr="00DB5D0D">
        <w:rPr>
          <w:rFonts w:ascii="Times New Roman" w:hAnsi="Times New Roman"/>
          <w:color w:val="0070C0"/>
          <w:sz w:val="16"/>
          <w:szCs w:val="16"/>
        </w:rPr>
        <w:softHyphen/>
        <w:t>чит пулеметов "СН", но не получит также и пулеметов "Шкас" - для вооружения авиации.</w:t>
      </w:r>
    </w:p>
    <w:p w14:paraId="3E8ABBA6"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Приложение: проект на 1 л. (22029).</w:t>
      </w:r>
    </w:p>
    <w:p w14:paraId="6B4DB3EE" w14:textId="77777777" w:rsidR="006650AF" w:rsidRPr="00DB5D0D" w:rsidRDefault="006650AF" w:rsidP="00DB5D0D">
      <w:pPr>
        <w:spacing w:after="0" w:line="240" w:lineRule="auto"/>
        <w:jc w:val="both"/>
        <w:rPr>
          <w:rFonts w:ascii="Times New Roman" w:hAnsi="Times New Roman"/>
          <w:color w:val="0070C0"/>
          <w:sz w:val="16"/>
          <w:szCs w:val="16"/>
        </w:rPr>
      </w:pPr>
    </w:p>
    <w:p w14:paraId="5B0A8D8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3EE3AD8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F853D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был принят новый Указ Президиума Верховного Совета, распространявший карательные меры и на работников сельского хозяйства - "О запрещении самовольного ухода с работы трактористов и комбайнеров, работающих в машинно-тракторных станциях". А спустя ещё три месяца Указом Президиума Верховного Совета "О порядке обязательного перевода инженеров, техников, мастеров, служащих и квалифицированных рабочих с одних предприятий и учреждений в другие" была установлена уголовная ответственность не только за попытку покинуть предприятие, но и за отказ на требование перейти на другое предприятие. Указ об уголовной ответственности за мелкие хищения был опубликован в "Правде" 17 августа, а уже 22 августа в той же газете был опубликован обширный список рабочих, осуждённых на год тюремного заключения за кражу, например, двух метров сатина или двух дверных замков (9492).</w:t>
      </w:r>
    </w:p>
    <w:p w14:paraId="75965F4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4D2DF1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8C5788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AAEBB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немецкие истребители изменили тактику и стали летать ближе к бомбардировщикам вместо того, чтобы прикрывать сверху. За день потеряли 45 (2240).</w:t>
      </w:r>
    </w:p>
    <w:p w14:paraId="7C59F8C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2A9C78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657783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4AB42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со А.И.Шахурин написал письмо N 3744 (1269) Пред. СНК В.М.Молотову, Пред. КО СНК К.Е.В., Пред. совета по ОП СНК Н.А.Вознесенскому, Секретарю ЦК Г.М.Маленкову и тов. И.В.С. о том, что 12 августа 1940 прошел сточасовое гос. испытания 12-ти цилиндровый мотор АМ-35А водяного охлаждения под давлением конструктора Микулина 24 завода....Серийный выпуск моторов АМ-35А предназначается для установки на самолеты И-200 (констр. Микоян-Гуревич), ТБ-7 (АНТ-42), БШ (бронированный штурмовик, констр. Ильюшина) (468).</w:t>
      </w:r>
    </w:p>
    <w:p w14:paraId="7928B9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товарищу СТАЛИНУ И.В.</w:t>
      </w:r>
    </w:p>
    <w:p w14:paraId="2A5CF8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года прошел сточасовое государственое испытание 12-ти цилиндровый мотор АМ-35А водяного охлаждения: под давлением, конструкшя тов. Мякулина, производства - завода № 24 им.Фрунзе.</w:t>
      </w:r>
    </w:p>
    <w:p w14:paraId="4BA543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АМ-35А имеет следущие технические данные:</w:t>
      </w:r>
    </w:p>
    <w:p w14:paraId="1E1296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w:t>
      </w:r>
      <w:r w:rsidRPr="00DB5D0D">
        <w:rPr>
          <w:rFonts w:ascii="Times New Roman" w:hAnsi="Times New Roman"/>
          <w:color w:val="000000" w:themeColor="text1"/>
          <w:sz w:val="16"/>
          <w:szCs w:val="16"/>
        </w:rPr>
        <w:tab/>
        <w:t>1350 л.с.</w:t>
      </w:r>
    </w:p>
    <w:p w14:paraId="4A2527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Номинальная мощность</w:t>
      </w:r>
      <w:r w:rsidRPr="00DB5D0D">
        <w:rPr>
          <w:rFonts w:ascii="Times New Roman" w:hAnsi="Times New Roman"/>
          <w:color w:val="000000" w:themeColor="text1"/>
          <w:sz w:val="16"/>
          <w:szCs w:val="16"/>
        </w:rPr>
        <w:tab/>
        <w:t>1200 л.с.</w:t>
      </w:r>
    </w:p>
    <w:p w14:paraId="0E7232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 вес мотора</w:t>
      </w:r>
      <w:r w:rsidRPr="00DB5D0D">
        <w:rPr>
          <w:rFonts w:ascii="Times New Roman" w:hAnsi="Times New Roman"/>
          <w:color w:val="000000" w:themeColor="text1"/>
          <w:sz w:val="16"/>
          <w:szCs w:val="16"/>
        </w:rPr>
        <w:tab/>
        <w:t>830' кг</w:t>
      </w:r>
    </w:p>
    <w:p w14:paraId="4E103A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Габаритные размеры:</w:t>
      </w:r>
    </w:p>
    <w:p w14:paraId="5FA7A8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- 2402 мм</w:t>
      </w:r>
    </w:p>
    <w:p w14:paraId="3DE71D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- 862 мм</w:t>
      </w:r>
    </w:p>
    <w:p w14:paraId="66652C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- 1088,8 мм.</w:t>
      </w:r>
    </w:p>
    <w:p w14:paraId="5256A3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Разборка мотора после государственных испытаний -что износ деталей находится в пределах, установленых допуском.</w:t>
      </w:r>
    </w:p>
    <w:p w14:paraId="60C907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испытания проходил второй мотор АМ-35А по сточасовой программе госиспытания. При разборке и этого мото</w:t>
      </w:r>
      <w:r w:rsidRPr="00DB5D0D">
        <w:rPr>
          <w:rFonts w:ascii="Times New Roman" w:hAnsi="Times New Roman"/>
          <w:color w:val="000000" w:themeColor="text1"/>
          <w:sz w:val="16"/>
          <w:szCs w:val="16"/>
        </w:rPr>
        <w:softHyphen/>
        <w:t>ра - детали его оказались также в удовлетворительном состоянии</w:t>
      </w:r>
    </w:p>
    <w:p w14:paraId="1B4131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Государственное сточасовое испытание прошло удовлетворительно.</w:t>
      </w:r>
    </w:p>
    <w:p w14:paraId="2F1B0D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Серийный выпуск моторов АМ-35А предназначается для установки на самолеты И-200 ( кон стр. Микоян - Гуревич, ТБ-7, БШ (бронированный штурмовик констр. Ильюшина) (469,236)</w:t>
      </w:r>
    </w:p>
    <w:p w14:paraId="3BD5E0C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1BF8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П.А.Воронин писал Зам. Нач. УВВС П.В.Рычагову письмо N 3732 (1272):</w:t>
      </w:r>
    </w:p>
    <w:p w14:paraId="271242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решением Правительства от 26 июля 1940 N 335сс заводам 18, 39, 126 установлена увеличенная программа по выпуску боевых машин, а также внедрению новых типов самолетов, однако, для доводки самолета ДБ-3Ф заводу 39 и ГК С.В.И. даны указания проработать возможность доводки указанной машины согласно Ваших требований.</w:t>
      </w:r>
    </w:p>
    <w:p w14:paraId="027D96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этим сообщаю, что самолет ДБ-3Ф завода 39 за N 801, на котором устранены дефекты, отмеченные в п. 4, 6, 7, 8, 15 и 17 ведомости дефектов в настоящее время проходит испытания в НИИ ВВС.</w:t>
      </w:r>
    </w:p>
    <w:p w14:paraId="26F1CD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разрешения всех вопросов, связанных с доводкой машины по устранению дефектов ПГУ будет созвано совещание с представителями ГУАС КА.</w:t>
      </w:r>
    </w:p>
    <w:p w14:paraId="25741F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совещания для высылки представителя будет дополнительно Вам сообщен (1272).</w:t>
      </w:r>
    </w:p>
    <w:p w14:paraId="72DD34E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B4257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года председатель комиссии генерал-майор авиации Петров И.Ф. и начальник Штаба перелета Антонов писали письмо наркому авиапрома Шахурину А.И.</w:t>
      </w:r>
    </w:p>
    <w:p w14:paraId="2B1C34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что 13 августа 1940 года было проведено летное испытание самолета «Украина» на выработку остатков горючего. Испытание проводилось на летно-испытательной станции завода № 39. Пилотировал самолет летчик-испытатель Федоров.</w:t>
      </w:r>
    </w:p>
    <w:p w14:paraId="7420E6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2D28FF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испытаний полностью подтверждают выводы 31 июля 1940 года, а именно:</w:t>
      </w:r>
    </w:p>
    <w:p w14:paraId="18DD47B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 для прекращения полета и производства вынужденной посадки самолета «Украина» по вине материальной части и остатков горючего не было. Остатка горючего хватило бы для продолжения полета на расстояние минимум 1300 км.</w:t>
      </w:r>
    </w:p>
    <w:p w14:paraId="7C15A00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Нестеренко, очевидно, неправильно пользовалась кранами и поэтому не смогла выработать остатка горючего (7711, 47-49).</w:t>
      </w:r>
    </w:p>
    <w:p w14:paraId="64AA321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7050AA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1-й экз. ББ МАИ Грушина, только что законченный производством, перевезли в ЦАГИ-Раменское и начали наземные испытания (2090,147).</w:t>
      </w:r>
    </w:p>
    <w:p w14:paraId="6198545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BE880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была проведены беседа контролера Вахрушева - представителя КО СНК СССР - с Нач. Производственного отдела ПГУ и в журнале Учета выполнения постановлени правительства в отношении постановления КО N236сс "О постановке серийного производства самолетов ДБ-240 конструкции Ермолаева" сказано:</w:t>
      </w:r>
    </w:p>
    <w:p w14:paraId="119B26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2 Ведется подготовка производства</w:t>
      </w:r>
    </w:p>
    <w:p w14:paraId="0825EA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15 августа 1940 чертежи КБ тов. Ермолаева полностью заводу № 18 не выданы.</w:t>
      </w:r>
    </w:p>
    <w:p w14:paraId="31A794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Полученные чертежи спущены в производство. То же в отношении шаблонов. Оснащение производства идет удовлетворительно.</w:t>
      </w:r>
    </w:p>
    <w:p w14:paraId="050A4C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Имеются задержки из-за хромансилевых труб и хромансилевых профилей.</w:t>
      </w:r>
    </w:p>
    <w:p w14:paraId="772F42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для детальной проверки хода проихзводства с-та ДБ-240 выехать в Воронеж (10395)</w:t>
      </w:r>
    </w:p>
    <w:p w14:paraId="6B07F64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B7FCD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в Контрольном листе учета выполнения постановления КО СНК СССР № 239сс от 1 июня 1940 г. представителем КО СНК СССР - контролером Вахрушевым была сделана запись:</w:t>
      </w:r>
    </w:p>
    <w:p w14:paraId="610E7F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100 в варианте ПБ</w:t>
      </w:r>
    </w:p>
    <w:p w14:paraId="043030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39</w:t>
      </w:r>
    </w:p>
    <w:p w14:paraId="47CE7A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Ведется подготовка производства.</w:t>
      </w:r>
    </w:p>
    <w:p w14:paraId="5747FF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Чертежи выданы полностью 31 июля 1940 и спущены в производство</w:t>
      </w:r>
    </w:p>
    <w:p w14:paraId="000E88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Плазы и шаблоны заводом № 156 изготавливаются с опозданием. Т. Воронин принял конкретные меры по их изготовлению на заводе № 156</w:t>
      </w:r>
    </w:p>
    <w:p w14:paraId="4892C1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производство запущены механические детали и дюралевые заготовки.</w:t>
      </w:r>
    </w:p>
    <w:p w14:paraId="4123FF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30 самолетов в 1940 опасений не вызывает. Подготовка к крупносерийному производству на 1941 ведется слабо. Т. Воронин наметил конкретные меры к ускорению подготовки производства.</w:t>
      </w:r>
    </w:p>
    <w:p w14:paraId="1D1AF0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декабре месяце будут изготовлены 86 самолетов из всего количества 360 ед. Заделанных на 5 месяцев. Завод переходит на выпуск 4-х самолетов в день. На 23 декабря на аэродром выпущено 48-50 самолетов. Работы по изготовлению СБ-РК - развернуты (10395).</w:t>
      </w:r>
    </w:p>
    <w:p w14:paraId="2D8F72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22</w:t>
      </w:r>
    </w:p>
    <w:p w14:paraId="7328F3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Ведется подготовка производства.</w:t>
      </w:r>
    </w:p>
    <w:p w14:paraId="051B85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чертежами, плазами и шабланами та же картина, что и назаводе № 39</w:t>
      </w:r>
    </w:p>
    <w:p w14:paraId="0BEDE7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Развернутой подготовки к серийному производству с-та ПБ-100 на заводе № 22 нет. Также неудовлетворительно идет работа по подготовке к выпуску головной серии (10395).</w:t>
      </w:r>
    </w:p>
    <w:p w14:paraId="40D45D5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E0DF8DF" w14:textId="77777777" w:rsidR="001236CC" w:rsidRPr="00DB5D0D" w:rsidRDefault="001236CC"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года в Харькове для организации производства пикирующего бомбардировщика ПБ-100 (Пе-2) был сформирован Завод № 450. В начале июля 1941 для улучшения хозяйственных связей? завод № 450 преобразовали в филиал воронежского завода № 450? И тут же 5 июля 1941 года харьковский завод (или уже филиал) стал филиалом завода № 135 и затем (уже в составе завода № 135) был эвакуирован в Молотов на участок завода № 19 (п/я 1), прежде, чем был открыт и оборудован (19829).</w:t>
      </w:r>
    </w:p>
    <w:p w14:paraId="69115F2C" w14:textId="77777777" w:rsidR="001236CC" w:rsidRPr="00DB5D0D" w:rsidRDefault="001236CC" w:rsidP="00DB5D0D">
      <w:pPr>
        <w:spacing w:after="0" w:line="240" w:lineRule="auto"/>
        <w:jc w:val="both"/>
        <w:rPr>
          <w:rFonts w:ascii="Times New Roman" w:hAnsi="Times New Roman"/>
          <w:color w:val="000000" w:themeColor="text1"/>
          <w:sz w:val="16"/>
          <w:szCs w:val="16"/>
        </w:rPr>
      </w:pPr>
    </w:p>
    <w:p w14:paraId="5A7D04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А.Н.Т. в ОТБ НКВД закончил и полностью передал чертежи 103 2АМ-37 в производство (2090,147).</w:t>
      </w:r>
    </w:p>
    <w:p w14:paraId="093038A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9FA12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17 августа 1940 г., на две недели раньше срока, конструкторы завершили выпуск комплекта чертежей на первый опытный образец. Интересно, что Туполев заложил в проект не моторы АМ-35А, а более мощные АМ-37, существовавшие тогда только в опытных образцах. Этот двигатель мощностью 1500 л.с. представлял собой дальнейшее развитие АМ-35А с форсированием по наддуву и введением водо-воздушного интеркулера (промежуточного радиатора) за нагнетателем (11988).</w:t>
      </w:r>
    </w:p>
    <w:p w14:paraId="2996E71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2D1C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 (...), согласно рапорту руководства ОТБ, закончено проектирование самолета "103" полностью... Установленный правительством срок окончания проектирования выполнен досрочно...</w:t>
      </w:r>
    </w:p>
    <w:p w14:paraId="66BB7E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сжатых сроках проектирования самолета "103" и при недостатке в сотрудниках с этой работой удалось справиться благодаря производственному энтузиазму работников КБ-1 29-го отдела, не считавшихся с продолжительностью рабочего дня, а также в результате проведения ряда организационных мероприятий..." (12035).</w:t>
      </w:r>
    </w:p>
    <w:p w14:paraId="41EA01E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57ED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года Начальник НИП АВ ВВС полковник Шевченко утвердил Отчет по заводским испытаниям пикирующего бомбодержателя ПБ-5 конструкции завода N 32 на самолете СБ, которые проходили с 30 июля по 13 августа 1940 года (2999).</w:t>
      </w:r>
    </w:p>
    <w:p w14:paraId="4D35DDD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8D15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состоялось заседание КО по авиации, на которое были приглашены Нач. 9 ГУ Д.Е.Кофман, Дир. завода 21 В.П.Воронин, ГК Зав. 21 М.М.Пашинин (1354).</w:t>
      </w:r>
    </w:p>
    <w:p w14:paraId="0D7C65B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85628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в ЦАГИ были закончены испытания И-16 М-62 с ТК, оборудованного реактором Ефремова, своего рода ПВРД, одобренным коллегией НКАП в 1939. Испытания проводились в соответствии с решением экспертной комиссии НКАП под пред. Б.Н.Юрьева, на которой 3 августа 1940 был рассмотрен проект скоростного двухмоторного двухместного истребителя Ефремова. Комиссия сделала заключение о целесообразности экспериментальной проверки предложения и рекомендовала оборудовать реактором Ефремова самолет и провести испытания в ЦАГИ. Скорость на высоте 3000 м возросла на 16 км/час, а на 8000 м - на 26 км/час. Кроме того, устранялось яркое пламя выхлопа, характерное для машин с ТК и тем самым улучшалась маскировка самолета и снижалось ослепление л.</w:t>
      </w:r>
    </w:p>
    <w:p w14:paraId="1C65DB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установки - 25 кг. Было очевидно, что положительный эффект д.б. повышаться на самолетах с большими скоростями (3844,37).</w:t>
      </w:r>
    </w:p>
    <w:p w14:paraId="0A8FE1C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D541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 20 августа 1940 заводом № 21 были сданы ВВС первые самолеты с мотором М-63. Этот двигатель, как и предшествующие, был запущен в серийное производство на заводах-поставщиках в конструктивно недоработанном виде и в таком же состоянии приходил на заводы — производители истребителей. В полете наблюдались его переохлаждение и заклинивание, а также чрезмерная раскрутка винта АВ-1. Согласно расчетным данным, дальность полета И-16 с мотором М-63 на высоте 7000 метров должна была составить 1070 км, а на высоте 3000 метров — 485 км. Однако в ходе серийных испытаний, проведенных на заводском аэродроме, оказалось, что самолеты имеют гораздо более низкие летные данные, в т. ч. горизонтальную скорость значительно ниже расчетной. Основная причина — опять же низкое качество моторов. Были выявлены следующие дефекты: отказ свечей 3-ЭМТ, отказ РПД, слабая компрессовка цилиндров, низкое качество поршневых колец. [279 — Там же, Д. 519, Л. 114.] Обо всем этом директор Воронин уведомил авиамоторный завод № 19.</w:t>
      </w:r>
    </w:p>
    <w:p w14:paraId="2C2D34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дальнейшего производства возникали новые проблемы (11741).</w:t>
      </w:r>
    </w:p>
    <w:p w14:paraId="5D38E7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B053C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закончились заводские испытания самолета И-200 и мотора АМ-35А, которые проходили с 31 марта 1940 (2988).</w:t>
      </w:r>
    </w:p>
    <w:p w14:paraId="42F9BB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1896E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по самолету Брунов</w:t>
      </w:r>
    </w:p>
    <w:p w14:paraId="106259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Ведущие летчики - Екатов А.Н., Марцелюк М.И., Якушин М.Н.</w:t>
      </w:r>
    </w:p>
    <w:p w14:paraId="2820E9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1A460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прошел заводские испытания по программе заводских летных испытаний утвержденной директором завода N 1, кроме:</w:t>
      </w:r>
    </w:p>
    <w:p w14:paraId="6A15C4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Определения расходов горючего и дальности полета (сделано не полностью).</w:t>
      </w:r>
    </w:p>
    <w:p w14:paraId="60102B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Определение скороподъемности на максимальной мощности мотора.</w:t>
      </w:r>
    </w:p>
    <w:p w14:paraId="6769D1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подлежит передаче на государственные испытания (2988).</w:t>
      </w:r>
    </w:p>
    <w:p w14:paraId="619B4E7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91420C"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17 августа 1940 г. И-200 сдали на Государственные испыта</w:t>
      </w:r>
      <w:r w:rsidRPr="00DB5D0D">
        <w:rPr>
          <w:rFonts w:ascii="Times New Roman" w:hAnsi="Times New Roman"/>
          <w:color w:val="0070C0"/>
          <w:sz w:val="16"/>
          <w:szCs w:val="16"/>
          <w:lang w:eastAsia="ru-RU" w:bidi="ru-RU"/>
        </w:rPr>
        <w:softHyphen/>
        <w:t>ния. 21-го на «тройке» отстреляли оружие в воздухе, а 22-го заводские испытания завершились (21696).</w:t>
      </w:r>
    </w:p>
    <w:p w14:paraId="359FA67E" w14:textId="77777777" w:rsidR="006650AF" w:rsidRPr="00DB5D0D" w:rsidRDefault="006650AF" w:rsidP="00DB5D0D">
      <w:pPr>
        <w:spacing w:after="0" w:line="240" w:lineRule="auto"/>
        <w:jc w:val="both"/>
        <w:rPr>
          <w:rFonts w:ascii="Times New Roman" w:hAnsi="Times New Roman"/>
          <w:color w:val="0070C0"/>
          <w:sz w:val="16"/>
          <w:szCs w:val="16"/>
        </w:rPr>
      </w:pPr>
    </w:p>
    <w:p w14:paraId="1E1E5B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были закончены заводские испытания И-200-1 А.И.М, которые проходили с 31 марта (2988).</w:t>
      </w:r>
    </w:p>
    <w:p w14:paraId="0D9660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w:t>
      </w:r>
    </w:p>
    <w:p w14:paraId="5D0F42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Машина находилась на аэродроме 65 дней.</w:t>
      </w:r>
    </w:p>
    <w:p w14:paraId="2D7ABD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Машина находилась в цехе на смене мотора и доводках 53 дня.</w:t>
      </w:r>
    </w:p>
    <w:p w14:paraId="58C5A4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Нелетные дни и выходные - 7 дней.</w:t>
      </w:r>
    </w:p>
    <w:p w14:paraId="3149A4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118 дней.</w:t>
      </w:r>
    </w:p>
    <w:p w14:paraId="713318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закончились летные испытания самолета И-200 второй опытный экземпляр, который был закончен в производстве и сдан на заводские летные испытания 25 апреля 1940 (2988).</w:t>
      </w:r>
    </w:p>
    <w:p w14:paraId="5032EC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 время испытаний:</w:t>
      </w:r>
    </w:p>
    <w:p w14:paraId="4CAEBE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находился на аэродроме 56 дней.</w:t>
      </w:r>
    </w:p>
    <w:p w14:paraId="66DF83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Самолет находился в цехе на сменах мотора и доводках 61 день (2988).</w:t>
      </w:r>
    </w:p>
    <w:p w14:paraId="27C9A92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6B2C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контролер Вахрушев - представитель КО СНК СССР - в журнале Учета выполнения постановлени правительства в отношении постановления КО N224сс 1940 “Об организации серийного производства самолета И-200 на заводе № 1 и о снятии с производства самолета ББ-22” отметил:</w:t>
      </w:r>
    </w:p>
    <w:p w14:paraId="708635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8 - НКВнешторг в указанные сроки разместить заказы не смог. Заказы размещены со сроками поставки, помеченными на постановлении</w:t>
      </w:r>
    </w:p>
    <w:p w14:paraId="67AE52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11 - НКЛес поставил 23,2 куб. Деловой древесины, а также поставляет бакелитовую фанеру</w:t>
      </w:r>
    </w:p>
    <w:p w14:paraId="25AB27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10 - з-д “Серп и Молот” задание выполняет. Отгружено тавриков 21,5 тонн</w:t>
      </w:r>
    </w:p>
    <w:p w14:paraId="321995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9 и 10 с контроля снят, т.к. постановлением № 335 от 26 июля 1940 предусматривает поставку на 2 полугодие</w:t>
      </w:r>
    </w:p>
    <w:p w14:paraId="1A93E4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13. НКстрой выполнил этот пункт</w:t>
      </w:r>
    </w:p>
    <w:p w14:paraId="36B7FA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1 Ведется подготовка производства</w:t>
      </w:r>
    </w:p>
    <w:p w14:paraId="4B0E98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Чертежи КБ изготовило и сдало производству</w:t>
      </w:r>
    </w:p>
    <w:p w14:paraId="09F32C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Технологический процесс серийного производства разработан полностью</w:t>
      </w:r>
    </w:p>
    <w:p w14:paraId="510F9F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Оснастки производства спроектировано 82% и изготовлено в металле 50%</w:t>
      </w:r>
    </w:p>
    <w:p w14:paraId="5F5FE6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запущен в серию. Головная серия в 5 самолетов будет выпущена (закончена производством).</w:t>
      </w:r>
    </w:p>
    <w:p w14:paraId="7D0B61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Сомнений в выполнении постановления в срок - нет за исключением моторов АМ-35</w:t>
      </w:r>
    </w:p>
    <w:p w14:paraId="389799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11 НКЛес издал приказ № 119 от 26 июня. Поставлено на 15 августа з-ду № 1 дельта-древесины 23,2 куб., бакелитовой фанеры 8 куб. (10395)</w:t>
      </w:r>
    </w:p>
    <w:p w14:paraId="2AD753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1AA3B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в Контрольном листе учета выполнения постановления КО СНК СССР № 106сс от 4 марта 1940 г. представителем КО СНК СССР - контролером Вахрушевым была сделана запись:</w:t>
      </w:r>
    </w:p>
    <w:p w14:paraId="1AB1B3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И-21 Пашинина</w:t>
      </w:r>
    </w:p>
    <w:p w14:paraId="2E3FBD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закончены (10395,36).</w:t>
      </w:r>
    </w:p>
    <w:p w14:paraId="5E4DBBE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72DE4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 кроме указанного в заводской сводке сводке И-180 тип 25 с подвесными баками из цеха окончательной сборки вывели машину №25214, на которой при проверке насчитали более сот</w:t>
      </w:r>
      <w:r w:rsidRPr="00DB5D0D">
        <w:rPr>
          <w:rFonts w:ascii="Times New Roman" w:hAnsi="Times New Roman"/>
          <w:color w:val="000000" w:themeColor="text1"/>
          <w:sz w:val="16"/>
          <w:szCs w:val="16"/>
        </w:rPr>
        <w:softHyphen/>
        <w:t>ни дефектов и по этой причине не приняли. Ука</w:t>
      </w:r>
      <w:r w:rsidRPr="00DB5D0D">
        <w:rPr>
          <w:rFonts w:ascii="Times New Roman" w:hAnsi="Times New Roman"/>
          <w:color w:val="000000" w:themeColor="text1"/>
          <w:sz w:val="16"/>
          <w:szCs w:val="16"/>
        </w:rPr>
        <w:softHyphen/>
        <w:t>зывалось, что к сентябрю будут готовы: №25215, №25216, №25217. На сборке в этот период находились два фюзеляжа из войсковой серии (10 самолетов), однако дальнейшая судьба их оставалась неяс</w:t>
      </w:r>
      <w:r w:rsidRPr="00DB5D0D">
        <w:rPr>
          <w:rFonts w:ascii="Times New Roman" w:hAnsi="Times New Roman"/>
          <w:color w:val="000000" w:themeColor="text1"/>
          <w:sz w:val="16"/>
          <w:szCs w:val="16"/>
        </w:rPr>
        <w:softHyphen/>
        <w:t xml:space="preserve">ной. Старший военпред на авиазаводе №21 Белоусов докладывал: </w:t>
      </w:r>
      <w:r w:rsidRPr="00DB5D0D">
        <w:rPr>
          <w:rFonts w:ascii="Times New Roman" w:hAnsi="Times New Roman"/>
          <w:iCs/>
          <w:color w:val="000000" w:themeColor="text1"/>
          <w:sz w:val="16"/>
          <w:szCs w:val="16"/>
        </w:rPr>
        <w:t>«Недостаточное внимание машине со стороны руководства завода... Луч</w:t>
      </w:r>
      <w:r w:rsidRPr="00DB5D0D">
        <w:rPr>
          <w:rFonts w:ascii="Times New Roman" w:hAnsi="Times New Roman"/>
          <w:iCs/>
          <w:color w:val="000000" w:themeColor="text1"/>
          <w:sz w:val="16"/>
          <w:szCs w:val="16"/>
        </w:rPr>
        <w:softHyphen/>
        <w:t>ших мастеров с машины сняли и перевели на И-21... На рабочих участках машины И-180 Во</w:t>
      </w:r>
      <w:r w:rsidRPr="00DB5D0D">
        <w:rPr>
          <w:rFonts w:ascii="Times New Roman" w:hAnsi="Times New Roman"/>
          <w:iCs/>
          <w:color w:val="000000" w:themeColor="text1"/>
          <w:sz w:val="16"/>
          <w:szCs w:val="16"/>
        </w:rPr>
        <w:softHyphen/>
        <w:t>ронин почти не бывает, тогда как ежедневно по несколько раз приходит на машину И-21</w:t>
      </w:r>
      <w:r w:rsidRPr="00DB5D0D">
        <w:rPr>
          <w:rFonts w:ascii="Times New Roman" w:hAnsi="Times New Roman"/>
          <w:color w:val="000000" w:themeColor="text1"/>
          <w:sz w:val="16"/>
          <w:szCs w:val="16"/>
        </w:rPr>
        <w:t>...» (9979).</w:t>
      </w:r>
    </w:p>
    <w:p w14:paraId="66B372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D33A0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в Контрольном листе учета выполнения постановления КО СНК СССР № 223сс от 25 мая 1940 г. представителем КО СНК СССР - контролером Вахрушевым была сделана запись:</w:t>
      </w:r>
    </w:p>
    <w:p w14:paraId="10A7DE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И-180</w:t>
      </w:r>
    </w:p>
    <w:p w14:paraId="12FC4E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Беседа с Тихомировым.</w:t>
      </w:r>
    </w:p>
    <w:p w14:paraId="7460A1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заготовке находится 50 самолетов и в сборке 5 самолетов. Положение на заводе № 21 явно ненормальное. Так как самолет И-180 не удовлетворяет производственным возможностям по всем основным агрегатам и неустойчив в пути, завод сейчас ведет доводку и фактически координирует изменения с конструкции самолета (10395).</w:t>
      </w:r>
    </w:p>
    <w:p w14:paraId="3A29E58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456DD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А.С.Я. получил справку основные данные самолетов N Д-23/1621:</w:t>
      </w:r>
    </w:p>
    <w:p w14:paraId="437F74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У-2 с М-11</w:t>
      </w:r>
    </w:p>
    <w:p w14:paraId="0BB07D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УТ-1 с М-11</w:t>
      </w:r>
    </w:p>
    <w:p w14:paraId="0CD1CE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УТ-2 с М-11</w:t>
      </w:r>
    </w:p>
    <w:p w14:paraId="67EC0C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УТИ-4 с М-25</w:t>
      </w:r>
    </w:p>
    <w:p w14:paraId="65A271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И-26 с М-105П</w:t>
      </w:r>
    </w:p>
    <w:p w14:paraId="23F753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И-200 с АМ-35А</w:t>
      </w:r>
    </w:p>
    <w:p w14:paraId="6239E7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И-21 с М-105П</w:t>
      </w:r>
    </w:p>
    <w:p w14:paraId="627E61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100 с 2М-105</w:t>
      </w:r>
    </w:p>
    <w:p w14:paraId="256728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ДБ-240 с 2М-105</w:t>
      </w:r>
    </w:p>
    <w:p w14:paraId="017A4D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ДБ-ЛК с 2М-87Б</w:t>
      </w:r>
    </w:p>
    <w:p w14:paraId="4BFF02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ББ-22 с 2М-103</w:t>
      </w:r>
    </w:p>
    <w:p w14:paraId="110929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ТБ-7 с 4АМ-34ФРН (2090,138).</w:t>
      </w:r>
    </w:p>
    <w:p w14:paraId="2777048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BF55782" w14:textId="77777777" w:rsidR="003C7E8B" w:rsidRPr="00DB5D0D" w:rsidRDefault="003C7E8B" w:rsidP="00DB5D0D">
      <w:pPr>
        <w:tabs>
          <w:tab w:val="left" w:pos="41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 вышло постановление ЦК ВКП(б) и СНК СССР «Об организации производства самолетов и моторов на юге». Этот документ предписывал организовать авиапро</w:t>
      </w:r>
      <w:r w:rsidRPr="00DB5D0D">
        <w:rPr>
          <w:rFonts w:ascii="Times New Roman" w:hAnsi="Times New Roman"/>
          <w:color w:val="000000" w:themeColor="text1"/>
          <w:sz w:val="16"/>
          <w:szCs w:val="16"/>
        </w:rPr>
        <w:softHyphen/>
        <w:t>изводство в Киеве, Харькове, Днепропетровске и Запорожье, исходя из следующих объемов авиавыпуска:</w:t>
      </w:r>
    </w:p>
    <w:p w14:paraId="2E2ACD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Планируемый авиавыпуск заводов, подлежащих созданию на Украине согласно постановлению 17 августа 1940 г. (РГАЭ. Ф. 8044. </w:t>
      </w:r>
      <w:r w:rsidRPr="00DB5D0D">
        <w:rPr>
          <w:rFonts w:ascii="Times New Roman" w:hAnsi="Times New Roman"/>
          <w:color w:val="000000" w:themeColor="text1"/>
          <w:sz w:val="16"/>
          <w:szCs w:val="16"/>
          <w:lang w:val="en-US"/>
        </w:rPr>
        <w:t xml:space="preserve">On. </w:t>
      </w:r>
      <w:r w:rsidRPr="00DB5D0D">
        <w:rPr>
          <w:rFonts w:ascii="Times New Roman" w:hAnsi="Times New Roman"/>
          <w:color w:val="000000" w:themeColor="text1"/>
          <w:sz w:val="16"/>
          <w:szCs w:val="16"/>
        </w:rPr>
        <w:t>1. Д. 203. Л. 20.)</w:t>
      </w:r>
    </w:p>
    <w:tbl>
      <w:tblPr>
        <w:tblW w:w="0" w:type="auto"/>
        <w:tblInd w:w="8" w:type="dxa"/>
        <w:tblLayout w:type="fixed"/>
        <w:tblCellMar>
          <w:left w:w="0" w:type="dxa"/>
          <w:right w:w="0" w:type="dxa"/>
        </w:tblCellMar>
        <w:tblLook w:val="0000" w:firstRow="0" w:lastRow="0" w:firstColumn="0" w:lastColumn="0" w:noHBand="0" w:noVBand="0"/>
      </w:tblPr>
      <w:tblGrid>
        <w:gridCol w:w="1488"/>
        <w:gridCol w:w="1478"/>
        <w:gridCol w:w="1478"/>
        <w:gridCol w:w="1493"/>
      </w:tblGrid>
      <w:tr w:rsidR="007D5DF8" w:rsidRPr="00DB5D0D" w14:paraId="4504609B" w14:textId="77777777" w:rsidTr="00E543D0">
        <w:trPr>
          <w:trHeight w:val="230"/>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3B074A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самолёта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1BD02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в 1940 г.</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6B1195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в 1941 г.</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1C8F6A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в 1942 с</w:t>
            </w:r>
          </w:p>
        </w:tc>
      </w:tr>
      <w:tr w:rsidR="007D5DF8" w:rsidRPr="00DB5D0D" w14:paraId="5DBF70D7" w14:textId="77777777" w:rsidTr="00E543D0">
        <w:trPr>
          <w:trHeight w:val="226"/>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53FAE1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ПБ-100</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AA967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FFB4D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56E9AD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5FF638DA" w14:textId="77777777" w:rsidTr="00E543D0">
        <w:trPr>
          <w:trHeight w:val="221"/>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1458D0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E42D9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59EBC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45B8DC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r>
      <w:tr w:rsidR="007D5DF8" w:rsidRPr="00DB5D0D" w14:paraId="2A13AC12" w14:textId="77777777" w:rsidTr="00E543D0">
        <w:trPr>
          <w:trHeight w:val="221"/>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03EFED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68636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5F2CF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4F0912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0CC5109" w14:textId="77777777" w:rsidTr="00E543D0">
        <w:trPr>
          <w:trHeight w:val="221"/>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4FBD00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Двухмотор. истр.</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0C0D0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01A11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232B57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7795C0B1" w14:textId="77777777" w:rsidTr="00E543D0">
        <w:trPr>
          <w:trHeight w:val="226"/>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494DB8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45BB99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48EAD8A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7486EF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00982A7" w14:textId="77777777" w:rsidTr="00E543D0">
        <w:trPr>
          <w:trHeight w:val="221"/>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470E41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8E49D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458B3C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9AC3F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5A569103" w14:textId="77777777" w:rsidTr="00E543D0">
        <w:trPr>
          <w:trHeight w:val="235"/>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77E5FC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4D15F2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E09E2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C4FBE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r>
    </w:tbl>
    <w:p w14:paraId="46060D2F" w14:textId="77777777" w:rsidR="003C7E8B" w:rsidRPr="00DB5D0D" w:rsidRDefault="003C7E8B" w:rsidP="00DB5D0D">
      <w:pPr>
        <w:tabs>
          <w:tab w:val="left" w:pos="39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Судя по всему, постановление готовилось в спешке. Во всяком случае, сейчас трудно понять, с какой целью перед новыми заводами ставилась задача произвести пять бом</w:t>
      </w:r>
      <w:r w:rsidRPr="00DB5D0D">
        <w:rPr>
          <w:rFonts w:ascii="Times New Roman" w:hAnsi="Times New Roman"/>
          <w:color w:val="000000" w:themeColor="text1"/>
          <w:sz w:val="16"/>
          <w:szCs w:val="16"/>
        </w:rPr>
        <w:softHyphen/>
        <w:t>бардировщиков ДБ-240, если в дальнейшем их производить не предполагалось. В отличие от Куйбышева, где новые за</w:t>
      </w:r>
      <w:r w:rsidRPr="00DB5D0D">
        <w:rPr>
          <w:rFonts w:ascii="Times New Roman" w:hAnsi="Times New Roman"/>
          <w:color w:val="000000" w:themeColor="text1"/>
          <w:sz w:val="16"/>
          <w:szCs w:val="16"/>
        </w:rPr>
        <w:softHyphen/>
        <w:t>воды предполагалось построить, на Украине предприятия передавались в НКАП из других ведомств. По мере дета</w:t>
      </w:r>
      <w:r w:rsidRPr="00DB5D0D">
        <w:rPr>
          <w:rFonts w:ascii="Times New Roman" w:hAnsi="Times New Roman"/>
          <w:color w:val="000000" w:themeColor="text1"/>
          <w:sz w:val="16"/>
          <w:szCs w:val="16"/>
        </w:rPr>
        <w:softHyphen/>
        <w:t>лизации постановления определялся конкретный перечень заводов, передаваемых наркомату: № 449, 452, 462 (Вскоре, однако, либо 449-й, либо 462-й завод изменили наименование. Во всяком случае, уже к концу 1940 г. по документам НКАП в Днепропетров</w:t>
      </w:r>
      <w:r w:rsidRPr="00DB5D0D">
        <w:rPr>
          <w:rFonts w:ascii="Times New Roman" w:hAnsi="Times New Roman"/>
          <w:color w:val="000000" w:themeColor="text1"/>
          <w:sz w:val="16"/>
          <w:szCs w:val="16"/>
        </w:rPr>
        <w:softHyphen/>
        <w:t>ске строились 2 завода — самолётостроительный (№ 165) и моторострои</w:t>
      </w:r>
      <w:r w:rsidRPr="00DB5D0D">
        <w:rPr>
          <w:rFonts w:ascii="Times New Roman" w:hAnsi="Times New Roman"/>
          <w:color w:val="000000" w:themeColor="text1"/>
          <w:sz w:val="16"/>
          <w:szCs w:val="16"/>
        </w:rPr>
        <w:softHyphen/>
        <w:t xml:space="preserve">тельный (№ 452).) (все — Днепропетровск), 450 (Харьков), 454, 455 (оба — в Киеве), 458 (Ростов-на-Дону) и 457 (Запорожье)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203. Л. 132.). С другой стороны, различие между «поволжским» и «украинским» вариантами были не так уж велики — ведь практически все переданные предприятия были не заводами в подлинном значении этого слова, а лишь стройками, которые ещё предстояло достроить, оснастить оборудованием и станками, и запустить в серийное производство. Результаты аврального планирования и испол</w:t>
      </w:r>
      <w:r w:rsidRPr="00DB5D0D">
        <w:rPr>
          <w:rFonts w:ascii="Times New Roman" w:hAnsi="Times New Roman"/>
          <w:color w:val="000000" w:themeColor="text1"/>
          <w:sz w:val="16"/>
          <w:szCs w:val="16"/>
        </w:rPr>
        <w:softHyphen/>
        <w:t>нения не заставили себя ждать. Хотя к производству на заводе № 452 (старая площадка завода «Днепромаш») предполага</w:t>
      </w:r>
      <w:r w:rsidRPr="00DB5D0D">
        <w:rPr>
          <w:rFonts w:ascii="Times New Roman" w:hAnsi="Times New Roman"/>
          <w:color w:val="000000" w:themeColor="text1"/>
          <w:sz w:val="16"/>
          <w:szCs w:val="16"/>
        </w:rPr>
        <w:softHyphen/>
        <w:t xml:space="preserve">лись моторы, аналогичные продукции завода № 24 (АМ-35 и его модификации), рабочих из Днепропетровска удалось на стажировку отправить только в Запорожье, на завод № 29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203. Л. 228.). Разумеется, это было ближе, но вот помог бы в производстве моторов серийной линии «АМ» жидкостного охлаждения опыт производства моторов М-87 охлаждения воздушного — вопрос сложный. Строительство заводов шло очень медленно и с постоянными перебоями. Так, ноябрьский план (1940 г.) строительства завода № 455 в Киеве был выполнен по стои</w:t>
      </w:r>
      <w:r w:rsidRPr="00DB5D0D">
        <w:rPr>
          <w:rFonts w:ascii="Times New Roman" w:hAnsi="Times New Roman"/>
          <w:color w:val="000000" w:themeColor="text1"/>
          <w:sz w:val="16"/>
          <w:szCs w:val="16"/>
        </w:rPr>
        <w:softHyphen/>
        <w:t>мости лишь на 27,4 %, а монтажные работы — на 33 %. Фор</w:t>
      </w:r>
      <w:r w:rsidRPr="00DB5D0D">
        <w:rPr>
          <w:rFonts w:ascii="Times New Roman" w:hAnsi="Times New Roman"/>
          <w:color w:val="000000" w:themeColor="text1"/>
          <w:sz w:val="16"/>
          <w:szCs w:val="16"/>
        </w:rPr>
        <w:softHyphen/>
        <w:t>сированные темпы, продиктованные августовским постанов</w:t>
      </w:r>
      <w:r w:rsidRPr="00DB5D0D">
        <w:rPr>
          <w:rFonts w:ascii="Times New Roman" w:hAnsi="Times New Roman"/>
          <w:color w:val="000000" w:themeColor="text1"/>
          <w:sz w:val="16"/>
          <w:szCs w:val="16"/>
        </w:rPr>
        <w:softHyphen/>
        <w:t>лением, ставили исполнителей в невыносимые условия. Про</w:t>
      </w:r>
      <w:r w:rsidRPr="00DB5D0D">
        <w:rPr>
          <w:rFonts w:ascii="Times New Roman" w:hAnsi="Times New Roman"/>
          <w:color w:val="000000" w:themeColor="text1"/>
          <w:sz w:val="16"/>
          <w:szCs w:val="16"/>
        </w:rPr>
        <w:softHyphen/>
        <w:t>ектный институт Наркомата авиапромышленности был готов представить планы и сметы реконструкции только к 31 дека</w:t>
      </w:r>
      <w:r w:rsidRPr="00DB5D0D">
        <w:rPr>
          <w:rFonts w:ascii="Times New Roman" w:hAnsi="Times New Roman"/>
          <w:color w:val="000000" w:themeColor="text1"/>
          <w:sz w:val="16"/>
          <w:szCs w:val="16"/>
        </w:rPr>
        <w:softHyphen/>
        <w:t>бря 1941 г., то есть после того как (согласно постановлению) первые самолеты уже должны были быть приняты военпри- емкой. Поскольку переоборудование заводов не было пред</w:t>
      </w:r>
      <w:r w:rsidRPr="00DB5D0D">
        <w:rPr>
          <w:rFonts w:ascii="Times New Roman" w:hAnsi="Times New Roman"/>
          <w:color w:val="000000" w:themeColor="text1"/>
          <w:sz w:val="16"/>
          <w:szCs w:val="16"/>
        </w:rPr>
        <w:softHyphen/>
        <w:t>усмотрено в пятилетнем (да и вообще ни в каком) плане (этот момент вызывает некоторое удивление. Так как новостройки пе</w:t>
      </w:r>
      <w:r w:rsidRPr="00DB5D0D">
        <w:rPr>
          <w:rFonts w:ascii="Times New Roman" w:hAnsi="Times New Roman"/>
          <w:color w:val="000000" w:themeColor="text1"/>
          <w:sz w:val="16"/>
          <w:szCs w:val="16"/>
        </w:rPr>
        <w:softHyphen/>
        <w:t>редавались в НКАП из других ведомств, формально на строительство этих объектов должны были быть зарезервированы (в планах соответствующих ведомств) определённые фонды. Видимо, либо указанные ведомства, пере</w:t>
      </w:r>
      <w:r w:rsidRPr="00DB5D0D">
        <w:rPr>
          <w:rFonts w:ascii="Times New Roman" w:hAnsi="Times New Roman"/>
          <w:color w:val="000000" w:themeColor="text1"/>
          <w:sz w:val="16"/>
          <w:szCs w:val="16"/>
        </w:rPr>
        <w:softHyphen/>
        <w:t>дав объекты, оставили причитающиеся фонды себе в рамках ведомственных споров, либо НКАПу спихнули заведомый «долгострой», вообще никакими фондами не обеспеченный), на эти работы не были зарезервированы фонды строительных материалов. Было решительно непонятно, как вести монтаж</w:t>
      </w:r>
      <w:r w:rsidRPr="00DB5D0D">
        <w:rPr>
          <w:rFonts w:ascii="Times New Roman" w:hAnsi="Times New Roman"/>
          <w:color w:val="000000" w:themeColor="text1"/>
          <w:sz w:val="16"/>
          <w:szCs w:val="16"/>
        </w:rPr>
        <w:softHyphen/>
        <w:t>ные работы при полном отсутствии строительного леса и ме</w:t>
      </w:r>
      <w:r w:rsidRPr="00DB5D0D">
        <w:rPr>
          <w:rFonts w:ascii="Times New Roman" w:hAnsi="Times New Roman"/>
          <w:color w:val="000000" w:themeColor="text1"/>
          <w:sz w:val="16"/>
          <w:szCs w:val="16"/>
        </w:rPr>
        <w:softHyphen/>
        <w:t xml:space="preserve">таллоконструкций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xml:space="preserve">. 1. Д. 203. Л. 267.). Киевские новостройки вообще не </w:t>
      </w:r>
      <w:r w:rsidRPr="00DB5D0D">
        <w:rPr>
          <w:rFonts w:ascii="Times New Roman" w:hAnsi="Times New Roman"/>
          <w:color w:val="000000" w:themeColor="text1"/>
          <w:sz w:val="16"/>
          <w:szCs w:val="16"/>
        </w:rPr>
        <w:lastRenderedPageBreak/>
        <w:t>полу</w:t>
      </w:r>
      <w:r w:rsidRPr="00DB5D0D">
        <w:rPr>
          <w:rFonts w:ascii="Times New Roman" w:hAnsi="Times New Roman"/>
          <w:color w:val="000000" w:themeColor="text1"/>
          <w:sz w:val="16"/>
          <w:szCs w:val="16"/>
        </w:rPr>
        <w:softHyphen/>
        <w:t>чали стройматериалов, да и на прочие новые авиазаводы они поступали в явно недостаточных количествах. Так, в Днепропетровске на заводы № 165 и 452 вместо необходимых 10 тыс. м</w:t>
      </w:r>
      <w:r w:rsidRPr="00DB5D0D">
        <w:rPr>
          <w:rFonts w:ascii="Times New Roman" w:hAnsi="Times New Roman"/>
          <w:color w:val="000000" w:themeColor="text1"/>
          <w:sz w:val="16"/>
          <w:szCs w:val="16"/>
          <w:vertAlign w:val="superscript"/>
        </w:rPr>
        <w:t>3</w:t>
      </w:r>
      <w:r w:rsidRPr="00DB5D0D">
        <w:rPr>
          <w:rFonts w:ascii="Times New Roman" w:hAnsi="Times New Roman"/>
          <w:color w:val="000000" w:themeColor="text1"/>
          <w:sz w:val="16"/>
          <w:szCs w:val="16"/>
        </w:rPr>
        <w:t xml:space="preserve"> леса поступило лишь 400 м\ На стройках не хватало не только материалов, но и рабочих. Вместо положенных по плану 1475 человек на строительстве завода № 455 реально работали лишь 975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203. Л. 234—235.). Республиканское руководство пыталось решить проблему проведением мобилизации комсомольцев, но существенно это ситуацию не изменило. Как видим, став</w:t>
      </w:r>
      <w:r w:rsidRPr="00DB5D0D">
        <w:rPr>
          <w:rFonts w:ascii="Times New Roman" w:hAnsi="Times New Roman"/>
          <w:color w:val="000000" w:themeColor="text1"/>
          <w:sz w:val="16"/>
          <w:szCs w:val="16"/>
        </w:rPr>
        <w:softHyphen/>
        <w:t>ка на дислоцирование новых авиапредприятий пусть сравни</w:t>
      </w:r>
      <w:r w:rsidRPr="00DB5D0D">
        <w:rPr>
          <w:rFonts w:ascii="Times New Roman" w:hAnsi="Times New Roman"/>
          <w:color w:val="000000" w:themeColor="text1"/>
          <w:sz w:val="16"/>
          <w:szCs w:val="16"/>
        </w:rPr>
        <w:softHyphen/>
        <w:t>тельно близко от границы, но зато в густонаселённом райо</w:t>
      </w:r>
      <w:r w:rsidRPr="00DB5D0D">
        <w:rPr>
          <w:rFonts w:ascii="Times New Roman" w:hAnsi="Times New Roman"/>
          <w:color w:val="000000" w:themeColor="text1"/>
          <w:sz w:val="16"/>
          <w:szCs w:val="16"/>
        </w:rPr>
        <w:softHyphen/>
        <w:t>не, себя не оправдала. Рабочая сила так и осталась одним из основных камней преткновения новостроек.</w:t>
      </w:r>
    </w:p>
    <w:p w14:paraId="7134AF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Технологическое руководство киевским предприятием должен был осуществлять завод № 1, но легендарный «Авиахим» и без того был перегружен текущим плановым задани</w:t>
      </w:r>
      <w:r w:rsidRPr="00DB5D0D">
        <w:rPr>
          <w:rFonts w:ascii="Times New Roman" w:hAnsi="Times New Roman"/>
          <w:color w:val="000000" w:themeColor="text1"/>
          <w:sz w:val="16"/>
          <w:szCs w:val="16"/>
        </w:rPr>
        <w:softHyphen/>
        <w:t>ем, поэтому изготовление шаблонов и оснастки для киевско</w:t>
      </w:r>
      <w:r w:rsidRPr="00DB5D0D">
        <w:rPr>
          <w:rFonts w:ascii="Times New Roman" w:hAnsi="Times New Roman"/>
          <w:color w:val="000000" w:themeColor="text1"/>
          <w:sz w:val="16"/>
          <w:szCs w:val="16"/>
        </w:rPr>
        <w:softHyphen/>
        <w:t>го предприятия шло по остаточному принципу. В результате 20—30 % станочного парка завода № 455 было загружено изготовлением приспособлений и инструментов. В дальней</w:t>
      </w:r>
      <w:r w:rsidRPr="00DB5D0D">
        <w:rPr>
          <w:rFonts w:ascii="Times New Roman" w:hAnsi="Times New Roman"/>
          <w:color w:val="000000" w:themeColor="text1"/>
          <w:sz w:val="16"/>
          <w:szCs w:val="16"/>
        </w:rPr>
        <w:softHyphen/>
        <w:t>шем ситуация еще более ухудшилась. К 21 января 1941 г. все действующие цеха завода № 455 работали на изготовление оснастки. Несмотря на все усилия, совокупный объем изго</w:t>
      </w:r>
      <w:r w:rsidRPr="00DB5D0D">
        <w:rPr>
          <w:rFonts w:ascii="Times New Roman" w:hAnsi="Times New Roman"/>
          <w:color w:val="000000" w:themeColor="text1"/>
          <w:sz w:val="16"/>
          <w:szCs w:val="16"/>
        </w:rPr>
        <w:softHyphen/>
        <w:t>товленной оснастки составлял лишь 10 % от потребного. На упомянутых заводах было установлено 49 % (от планового уровня) металлорежущих станков, 80 % ковочного оборудо</w:t>
      </w:r>
      <w:r w:rsidRPr="00DB5D0D">
        <w:rPr>
          <w:rFonts w:ascii="Times New Roman" w:hAnsi="Times New Roman"/>
          <w:color w:val="000000" w:themeColor="text1"/>
          <w:sz w:val="16"/>
          <w:szCs w:val="16"/>
        </w:rPr>
        <w:softHyphen/>
        <w:t>вания и лишь 8 % прессового оборудования.</w:t>
      </w:r>
    </w:p>
    <w:p w14:paraId="0D4CCC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Ещё хуже обстояли дела с поставкой документации. На 4 декабря 1940 г. завод № 455 получил 5 % чертежей на при</w:t>
      </w:r>
      <w:r w:rsidRPr="00DB5D0D">
        <w:rPr>
          <w:rFonts w:ascii="Times New Roman" w:hAnsi="Times New Roman"/>
          <w:color w:val="000000" w:themeColor="text1"/>
          <w:sz w:val="16"/>
          <w:szCs w:val="16"/>
        </w:rPr>
        <w:softHyphen/>
        <w:t>способления, а заводы № 43 и 454 вообще не получили ни одного такого чертежа. Не в последнюю очередь именно ма</w:t>
      </w:r>
      <w:r w:rsidRPr="00DB5D0D">
        <w:rPr>
          <w:rFonts w:ascii="Times New Roman" w:hAnsi="Times New Roman"/>
          <w:color w:val="000000" w:themeColor="text1"/>
          <w:sz w:val="16"/>
          <w:szCs w:val="16"/>
        </w:rPr>
        <w:softHyphen/>
        <w:t>лыми надеждами на получение документации и оснастки с за</w:t>
      </w:r>
      <w:r w:rsidRPr="00DB5D0D">
        <w:rPr>
          <w:rFonts w:ascii="Times New Roman" w:hAnsi="Times New Roman"/>
          <w:color w:val="000000" w:themeColor="text1"/>
          <w:sz w:val="16"/>
          <w:szCs w:val="16"/>
        </w:rPr>
        <w:softHyphen/>
        <w:t>вода № 1 объясняются метания с назначением модели для вы</w:t>
      </w:r>
      <w:r w:rsidRPr="00DB5D0D">
        <w:rPr>
          <w:rFonts w:ascii="Times New Roman" w:hAnsi="Times New Roman"/>
          <w:color w:val="000000" w:themeColor="text1"/>
          <w:sz w:val="16"/>
          <w:szCs w:val="16"/>
        </w:rPr>
        <w:softHyphen/>
        <w:t>пуска на заводе № 165. Хотя первоначально предполагалось, что там также будут выпускаться И-200, 29 декабря 1940 г. было решено переориентировать завод на выпуск И-301. Го</w:t>
      </w:r>
      <w:r w:rsidRPr="00DB5D0D">
        <w:rPr>
          <w:rFonts w:ascii="Times New Roman" w:hAnsi="Times New Roman"/>
          <w:color w:val="000000" w:themeColor="text1"/>
          <w:sz w:val="16"/>
          <w:szCs w:val="16"/>
        </w:rPr>
        <w:softHyphen/>
        <w:t>ловным заводом, с которого в Днепропетровск должны были поступать чертежи и приспособления, был назначен ленин</w:t>
      </w:r>
      <w:r w:rsidRPr="00DB5D0D">
        <w:rPr>
          <w:rFonts w:ascii="Times New Roman" w:hAnsi="Times New Roman"/>
          <w:color w:val="000000" w:themeColor="text1"/>
          <w:sz w:val="16"/>
          <w:szCs w:val="16"/>
        </w:rPr>
        <w:softHyphen/>
        <w:t xml:space="preserve">градский завод № 23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203. Л. 278.).</w:t>
      </w:r>
    </w:p>
    <w:p w14:paraId="565391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Попытка авральными мерами ввести в строй сразу ряд новых заводов, строительство и оснащение которых не были предусмотрены в планах пятилетки, привела к срыву сроков строительства и предприятий, оснащавшихся согласно го</w:t>
      </w:r>
      <w:r w:rsidRPr="00DB5D0D">
        <w:rPr>
          <w:rFonts w:ascii="Times New Roman" w:hAnsi="Times New Roman"/>
          <w:color w:val="000000" w:themeColor="text1"/>
          <w:sz w:val="16"/>
          <w:szCs w:val="16"/>
        </w:rPr>
        <w:softHyphen/>
        <w:t xml:space="preserve">довой программе. Так, годовой план строительства завода № 135 в Харькове был выполнен в 1940 г. лишь на 40 %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203. Л. 240). Не выполнялись сроки постройки моторных заводов, строитель</w:t>
      </w:r>
      <w:r w:rsidRPr="00DB5D0D">
        <w:rPr>
          <w:rFonts w:ascii="Times New Roman" w:hAnsi="Times New Roman"/>
          <w:color w:val="000000" w:themeColor="text1"/>
          <w:sz w:val="16"/>
          <w:szCs w:val="16"/>
        </w:rPr>
        <w:softHyphen/>
        <w:t>ство которых было изначально предусмотрено планом нарко</w:t>
      </w:r>
      <w:r w:rsidRPr="00DB5D0D">
        <w:rPr>
          <w:rFonts w:ascii="Times New Roman" w:hAnsi="Times New Roman"/>
          <w:color w:val="000000" w:themeColor="text1"/>
          <w:sz w:val="16"/>
          <w:szCs w:val="16"/>
        </w:rPr>
        <w:softHyphen/>
        <w:t xml:space="preserve">мата — № 335 и 339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401. Л. 302,304,305.). В результате 6 марта 1941 г. строитель</w:t>
      </w:r>
      <w:r w:rsidRPr="00DB5D0D">
        <w:rPr>
          <w:rFonts w:ascii="Times New Roman" w:hAnsi="Times New Roman"/>
          <w:color w:val="000000" w:themeColor="text1"/>
          <w:sz w:val="16"/>
          <w:szCs w:val="16"/>
        </w:rPr>
        <w:softHyphen/>
        <w:t xml:space="preserve">ство завода № 335 было официально прекращено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684. Л. 270.).</w:t>
      </w:r>
    </w:p>
    <w:p w14:paraId="5F0211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на весну 1941 г. — срез ситуации. На 1941 г. пред</w:t>
      </w:r>
      <w:r w:rsidRPr="00DB5D0D">
        <w:rPr>
          <w:rFonts w:ascii="Times New Roman" w:hAnsi="Times New Roman"/>
          <w:color w:val="000000" w:themeColor="text1"/>
          <w:sz w:val="16"/>
          <w:szCs w:val="16"/>
        </w:rPr>
        <w:softHyphen/>
        <w:t>полагался не менее бурный рост авиапромышленности. Осо</w:t>
      </w:r>
      <w:r w:rsidRPr="00DB5D0D">
        <w:rPr>
          <w:rFonts w:ascii="Times New Roman" w:hAnsi="Times New Roman"/>
          <w:color w:val="000000" w:themeColor="text1"/>
          <w:sz w:val="16"/>
          <w:szCs w:val="16"/>
        </w:rPr>
        <w:softHyphen/>
        <w:t>бый интерес в этом смысле представляет «Ведомость потреб</w:t>
      </w:r>
      <w:r w:rsidRPr="00DB5D0D">
        <w:rPr>
          <w:rFonts w:ascii="Times New Roman" w:hAnsi="Times New Roman"/>
          <w:color w:val="000000" w:themeColor="text1"/>
          <w:sz w:val="16"/>
          <w:szCs w:val="16"/>
        </w:rPr>
        <w:softHyphen/>
        <w:t xml:space="preserve">ности металлорежущего оборудования по заводам I ГУ НКАП на 1941 г.»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413. Л. 156.). Согласно этому документу, общая потребность самолётостроительных заводов в подобных станках на 1941 г. составляла 31 632 единицы, а на 1 октября 1940 г. в наличии состояло лишь 12 985. Таким образом, НКАП ожидал при</w:t>
      </w:r>
      <w:r w:rsidRPr="00DB5D0D">
        <w:rPr>
          <w:rFonts w:ascii="Times New Roman" w:hAnsi="Times New Roman"/>
          <w:color w:val="000000" w:themeColor="text1"/>
          <w:sz w:val="16"/>
          <w:szCs w:val="16"/>
        </w:rPr>
        <w:softHyphen/>
        <w:t>бытия ещё 14 400 отечественных металлорежущих станков и 4247 — импортных. По сути, станочный парк I ГУ должен был более чем удвоиться! (12011).</w:t>
      </w:r>
    </w:p>
    <w:p w14:paraId="6D691D1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48D58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 в соответствии с пост. правительства на базе ГАРЗ-1 НКАТ для организации производства самолета ПБ-100 создан ГС Завод № 450 НКАП, Государственный авторемонтный завод № 1 (ГАРЗ-1) НКАТ /Украина  г. Харьков;  г. Молотов/. Ремонт автомашин был передан на ГАРЗ-2, ГАРЗ-З и Механическую мастерскую Главсахара. Перед войной начато освоение производства Пе-2, заводу выдан план на 1941 г. - 100 машин. По приказу № 262сс от 22.03.1941 г. завод передан в ЮГУ НКАП.</w:t>
      </w:r>
    </w:p>
    <w:p w14:paraId="6D8C67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1941 г. по приказу № 626с завод (Завод № 450 НКАП, Государственный авторемонтный завод № 1 (ГАРЗ-1) НКАТ /Украина  г. Харьков;  г. Молотов/.) преобразован в филиал завода № 135 НКАП. Затем завод № 450 1ГУ НКАП эвакуирован в Молотов на площадку строящегося завода № 19 НКАП.</w:t>
      </w:r>
    </w:p>
    <w:p w14:paraId="3E7AFB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529с от 16.07.1942 г. основная часть завода № 450 со всем личным составом и оборудованием была переведена в Пензу и влита в состав завода № 163 НКАП, а часть завода (и завод № 135) вошла в состав завода № 30 НКАП ( г. Москва). По приказу № 679сс от 6.09.1942 г. завод исключен из числа действующих.</w:t>
      </w:r>
    </w:p>
    <w:p w14:paraId="0EFD54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1945 г. территории эвакуированного завода в Харькове действовал филиал завода № 135 НКАП. По приказу № 414с/0192 от 17/26.10.1945 г. площадка и аэродром переданы в ведение 181-й Центральной ремонтной базы ВВС.</w:t>
      </w:r>
    </w:p>
    <w:p w14:paraId="2798B5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(10.1940 г.-&gt; И.А. Иванов, (07.1942 г.)- Сердюк (11982).</w:t>
      </w:r>
    </w:p>
    <w:p w14:paraId="287D24F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0060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 в соответствии с пост. правительства завод № 14 (ГС Завод № 462 НКАП, Завод физприборов № 14 им. В.П. Затонского /Украина  г. Днепропетровск/) передан из НКпроса Украины в 4ГУ НКАП и по приказу № 673с от 29.11.1940 г. получил название ГС завод № 462. Заводу дополнительно к прежней продукции поручено производство поршневых колец для авиадвигателей.</w:t>
      </w:r>
    </w:p>
    <w:p w14:paraId="7D8FDF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1940 г. строится новый производственный корпус, введены в строй литейный цех, котельная, электроподстанция, заводоуправление. К 1941 г. завод имел 11 корпусов общей площадью 3000 м".</w:t>
      </w:r>
    </w:p>
    <w:p w14:paraId="138442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07.1941 г. завод эвакуирован в Пермь и влит в качестве цеха поршневых колец в состав завода № 19 НКАП.</w:t>
      </w:r>
    </w:p>
    <w:p w14:paraId="53EA40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приказу № 679с от 15.11.1943 г. на старом месте организованы Ремонтно-механические мастерские НКАП. В 02.1944 г. мастерские преобразованы в завод № 489 4ГУ НКАП.</w:t>
      </w:r>
    </w:p>
    <w:p w14:paraId="5CC15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Численность персонала (1.01.1941 г.)- более 1000 чел.</w:t>
      </w:r>
    </w:p>
    <w:p w14:paraId="7FB0C1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(11.1940 г.-)- Н.Ф. Иванов.</w:t>
      </w:r>
    </w:p>
    <w:p w14:paraId="3AE985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Производство:</w:t>
      </w:r>
      <w:r w:rsidRPr="00DB5D0D">
        <w:rPr>
          <w:rFonts w:ascii="Times New Roman" w:hAnsi="Times New Roman"/>
          <w:color w:val="000000" w:themeColor="text1"/>
          <w:sz w:val="16"/>
          <w:szCs w:val="16"/>
        </w:rPr>
        <w:t xml:space="preserve"> токарно-винторезные станки ТВ-1, ТВ-2 (1935-38 г.); корпуса 45-мм противотанковых снарядов (1939); школьные наглядные пособия.</w:t>
      </w:r>
    </w:p>
    <w:p w14:paraId="2BAAD1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Станкостроительный завод № 2 им.  Г. Димитрова /Украина  г. Днепропетровск/</w:t>
      </w:r>
    </w:p>
    <w:p w14:paraId="534468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1926 г. были организованы мастерские «Маната» по выпуску школьных наглядных пособий и слесарного инструмента. В 1932 г. мастерские преобразованы в Станкостроительный завод № 2. В 1934 г. заводу присвоено имя  Г. Димитрова. В 1935 г. из состава завода выделяется самостоятельный завод физприборов № 14 им. В.П. Затонского, который становится головным предприятием (11982).</w:t>
      </w:r>
    </w:p>
    <w:p w14:paraId="0276974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A959D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года за подписью начальника ИНО НКАП Романова была подготовлена справка по вопросу закуп</w:t>
      </w:r>
      <w:r w:rsidRPr="00DB5D0D">
        <w:rPr>
          <w:rFonts w:ascii="Times New Roman" w:hAnsi="Times New Roman"/>
          <w:color w:val="000000" w:themeColor="text1"/>
          <w:sz w:val="16"/>
          <w:szCs w:val="16"/>
        </w:rPr>
        <w:softHyphen/>
        <w:t>ки металлообрабатывающего оборудования.</w:t>
      </w:r>
    </w:p>
    <w:p w14:paraId="78CF33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справке сообщалось, что в первых числах июня «Станкоимпорт» сде</w:t>
      </w:r>
      <w:r w:rsidRPr="00DB5D0D">
        <w:rPr>
          <w:rFonts w:ascii="Times New Roman" w:hAnsi="Times New Roman"/>
          <w:color w:val="000000" w:themeColor="text1"/>
          <w:sz w:val="16"/>
          <w:szCs w:val="16"/>
        </w:rPr>
        <w:softHyphen/>
        <w:t>лал предложение ИНО НКАП заказать по импортным предложениям фирм сверх обусловленного правительственными решениями различные стан</w:t>
      </w:r>
      <w:r w:rsidRPr="00DB5D0D">
        <w:rPr>
          <w:rFonts w:ascii="Times New Roman" w:hAnsi="Times New Roman"/>
          <w:color w:val="000000" w:themeColor="text1"/>
          <w:sz w:val="16"/>
          <w:szCs w:val="16"/>
        </w:rPr>
        <w:softHyphen/>
        <w:t>ки (Речь идет о 718 станках вместо 693 фигурирующих в двух письмах из переписки Шахурина и Микояна от 4 июня, также несколько изменены названия фирм.). В справке решительно отрицалась информация, которую излагал В.И. Кушаров: «Никаких отказов от этой заявки по тем или другим причинам Иносектор НКАП «Станкоимпорту» не заявлял и оформил свою заявку соот</w:t>
      </w:r>
      <w:r w:rsidRPr="00DB5D0D">
        <w:rPr>
          <w:rFonts w:ascii="Times New Roman" w:hAnsi="Times New Roman"/>
          <w:color w:val="000000" w:themeColor="text1"/>
          <w:sz w:val="16"/>
          <w:szCs w:val="16"/>
        </w:rPr>
        <w:softHyphen/>
        <w:t>ветственно импортными картами. При выяснении этого вопроса в Станко-импорте было установлено, например, что фирма «Гейнеман» (200 токар-но-револьверных станков) письмом от 10/УП на запрос «Станкоимпорта» отказала в поставке станков вне всякой зависимости от каких-либо требо</w:t>
      </w:r>
      <w:r w:rsidRPr="00DB5D0D">
        <w:rPr>
          <w:rFonts w:ascii="Times New Roman" w:hAnsi="Times New Roman"/>
          <w:color w:val="000000" w:themeColor="text1"/>
          <w:sz w:val="16"/>
          <w:szCs w:val="16"/>
        </w:rPr>
        <w:softHyphen/>
        <w:t>ваний НКАП. По всем же остальным позициям, как видно из письма НКВТ, заявка НКАП не реализована по соображениям, не зависящим от НКАП» (РГАЭ. Ф. 8044. Оп. 1. Д. 436. Л. 139 - 140.). Таким образом, из первоначального заказа НКАП от 4 июня на примерно 700 сверхлимитных германских станков осталось всего 50 единиц. В це</w:t>
      </w:r>
      <w:r w:rsidRPr="00DB5D0D">
        <w:rPr>
          <w:rFonts w:ascii="Times New Roman" w:hAnsi="Times New Roman"/>
          <w:color w:val="000000" w:themeColor="text1"/>
          <w:sz w:val="16"/>
          <w:szCs w:val="16"/>
        </w:rPr>
        <w:softHyphen/>
        <w:t>лях экономии или без объяснения причин была урезана заявка примерно на 270 станков, последующий отказ германской стороны сократил ее еще на 200, другим наркоматам было передано заявок на 143 станка (с учетом заказов, переадресованных в другую страну - Швецию), заказов для НКАПа - на 41 станок. Из вышеизложенной информации нельзя не сделать вы</w:t>
      </w:r>
      <w:r w:rsidRPr="00DB5D0D">
        <w:rPr>
          <w:rFonts w:ascii="Times New Roman" w:hAnsi="Times New Roman"/>
          <w:color w:val="000000" w:themeColor="text1"/>
          <w:sz w:val="16"/>
          <w:szCs w:val="16"/>
        </w:rPr>
        <w:softHyphen/>
        <w:t>вод о жестких межведомственных трениях между НКАП и НКВТ, а также об ожесточенной борьбе различных наркоматов за дефицитное импортное оборудование.</w:t>
      </w:r>
    </w:p>
    <w:p w14:paraId="3FEBCF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Обращают на себя внимание и программы закупок с длительными срока</w:t>
      </w:r>
      <w:r w:rsidRPr="00DB5D0D">
        <w:rPr>
          <w:rFonts w:ascii="Times New Roman" w:hAnsi="Times New Roman"/>
          <w:color w:val="000000" w:themeColor="text1"/>
          <w:sz w:val="16"/>
          <w:szCs w:val="16"/>
        </w:rPr>
        <w:softHyphen/>
        <w:t>ми реализации. Так, в письме наркома авиапромышленности А.И. Шахури</w:t>
      </w:r>
      <w:r w:rsidRPr="00DB5D0D">
        <w:rPr>
          <w:rFonts w:ascii="Times New Roman" w:hAnsi="Times New Roman"/>
          <w:color w:val="000000" w:themeColor="text1"/>
          <w:sz w:val="16"/>
          <w:szCs w:val="16"/>
        </w:rPr>
        <w:softHyphen/>
        <w:t>на наркому внешней торговли А.И. Микояну Н-32/478 от 21 марта 1940 года речь шла о предложении фирмы «Ганн и Кольб» 267 автоматов типа «Ин</w:t>
      </w:r>
      <w:r w:rsidRPr="00DB5D0D">
        <w:rPr>
          <w:rFonts w:ascii="Times New Roman" w:hAnsi="Times New Roman"/>
          <w:color w:val="000000" w:themeColor="text1"/>
          <w:sz w:val="16"/>
          <w:szCs w:val="16"/>
        </w:rPr>
        <w:softHyphen/>
        <w:t>декс» со сроками поставок 30 из них в 1940 году и 237 - в 1941 году. А.И. Ша-хурин просил решений о реализации всей предлагаемой партии, указав, что эти станки необходимы НКАП и что они будут использованы на мото</w:t>
      </w:r>
      <w:r w:rsidRPr="00DB5D0D">
        <w:rPr>
          <w:rFonts w:ascii="Times New Roman" w:hAnsi="Times New Roman"/>
          <w:color w:val="000000" w:themeColor="text1"/>
          <w:sz w:val="16"/>
          <w:szCs w:val="16"/>
        </w:rPr>
        <w:softHyphen/>
        <w:t>ростроительных, самолетостроительных и агрегатных заводах отрасли (РГАЭ. Ф. 8044. Оп. 1. Д. 436. Л. 35.). А в письме А.И. Шахурина А.И. Микояну Н-32/1867 от 4 сентября 1940 года содержалась просьба о приобретении 152 токарно-револьверных станков «Питтлер» со сроками поставки с мая по декабрь 1942 года (РГАЭ. Ф. 8044. Оп. 1. Д. 436. Л. 145.).</w:t>
      </w:r>
    </w:p>
    <w:p w14:paraId="549255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Были и противоположные примеры. В письме А.И. Шахурина А.И. Мико</w:t>
      </w:r>
      <w:r w:rsidRPr="00DB5D0D">
        <w:rPr>
          <w:rFonts w:ascii="Times New Roman" w:hAnsi="Times New Roman"/>
          <w:color w:val="000000" w:themeColor="text1"/>
          <w:sz w:val="16"/>
          <w:szCs w:val="16"/>
        </w:rPr>
        <w:softHyphen/>
        <w:t>яну Н-32/319 от 28 февраля 1940 года сообщалось, что германская фирма «Питтлер» предлагает 271 револьверный станок со сроками поставок 2 36 из них во второй половине 1940 года и 35-в 1941 году. А.И. Шахурин под</w:t>
      </w:r>
      <w:r w:rsidRPr="00DB5D0D">
        <w:rPr>
          <w:rFonts w:ascii="Times New Roman" w:hAnsi="Times New Roman"/>
          <w:color w:val="000000" w:themeColor="text1"/>
          <w:sz w:val="16"/>
          <w:szCs w:val="16"/>
        </w:rPr>
        <w:softHyphen/>
        <w:t>черкивал: «Револьверные станки типа «Питтлер» необходимы авиационной промышленности». Предполагалось, что они будут использоваться на заво</w:t>
      </w:r>
      <w:r w:rsidRPr="00DB5D0D">
        <w:rPr>
          <w:rFonts w:ascii="Times New Roman" w:hAnsi="Times New Roman"/>
          <w:color w:val="000000" w:themeColor="text1"/>
          <w:sz w:val="16"/>
          <w:szCs w:val="16"/>
        </w:rPr>
        <w:softHyphen/>
        <w:t>дах № 27, № 339, «Панель» и других для производства авиационных норма</w:t>
      </w:r>
      <w:r w:rsidRPr="00DB5D0D">
        <w:rPr>
          <w:rFonts w:ascii="Times New Roman" w:hAnsi="Times New Roman"/>
          <w:color w:val="000000" w:themeColor="text1"/>
          <w:sz w:val="16"/>
          <w:szCs w:val="16"/>
        </w:rPr>
        <w:softHyphen/>
        <w:t>лей и специальной арматуры. А.И. Шахурин просил положительно решить вопрос о закупках 193 станков в счет германского кредита, «учитывая су</w:t>
      </w:r>
      <w:r w:rsidRPr="00DB5D0D">
        <w:rPr>
          <w:rFonts w:ascii="Times New Roman" w:hAnsi="Times New Roman"/>
          <w:color w:val="000000" w:themeColor="text1"/>
          <w:sz w:val="16"/>
          <w:szCs w:val="16"/>
        </w:rPr>
        <w:softHyphen/>
        <w:t>ществующий разрыв между потребностями НКАП и получаемых союзными фондами по револьверным станкам» (РГАЭ. Ф. 8044. Оп. 1. Д. 436. Л. 189.) (11710,258).</w:t>
      </w:r>
    </w:p>
    <w:p w14:paraId="0CDCB3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9E37F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года закончились полигонные испытания авиабомб ФАБ-50 и 100 (цельнокованных) с упрощенным подвесным ушком конструкции ГСКБ-47, которые проходили c 9 августа (3004).</w:t>
      </w:r>
    </w:p>
    <w:p w14:paraId="77A125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7C1C31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Сатонин.</w:t>
      </w:r>
    </w:p>
    <w:p w14:paraId="609843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C53F5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Упрощенное подвесное ушко для ФАБ-50 и 100 кг конструкции ГСКБ-47 полигонные испытания не выдержало (3004).</w:t>
      </w:r>
    </w:p>
    <w:p w14:paraId="4BEF7F9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DFE18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 было письмо Шевченко и Онисько Никонову: «За</w:t>
      </w:r>
      <w:r w:rsidRPr="00DB5D0D">
        <w:rPr>
          <w:rFonts w:ascii="Times New Roman" w:hAnsi="Times New Roman"/>
          <w:color w:val="000000" w:themeColor="text1"/>
          <w:sz w:val="16"/>
          <w:szCs w:val="16"/>
        </w:rPr>
        <w:softHyphen/>
        <w:t>водские испытания ракетно-планирующей мины калибра 203 мм конст</w:t>
      </w:r>
      <w:r w:rsidRPr="00DB5D0D">
        <w:rPr>
          <w:rFonts w:ascii="Times New Roman" w:hAnsi="Times New Roman"/>
          <w:color w:val="000000" w:themeColor="text1"/>
          <w:sz w:val="16"/>
          <w:szCs w:val="16"/>
        </w:rPr>
        <w:softHyphen/>
        <w:t>рукции НИИ-3 прекращены ввиду неустойчивости ее в полете. Воздуш</w:t>
      </w:r>
      <w:r w:rsidRPr="00DB5D0D">
        <w:rPr>
          <w:rFonts w:ascii="Times New Roman" w:hAnsi="Times New Roman"/>
          <w:color w:val="000000" w:themeColor="text1"/>
          <w:sz w:val="16"/>
          <w:szCs w:val="16"/>
        </w:rPr>
        <w:softHyphen/>
        <w:t>ные испытания считаю возможным проводить только после отработки баллистики мины, так как, ввиду малой скорости схода (11,3 м/с), боль</w:t>
      </w:r>
      <w:r w:rsidRPr="00DB5D0D">
        <w:rPr>
          <w:rFonts w:ascii="Times New Roman" w:hAnsi="Times New Roman"/>
          <w:color w:val="000000" w:themeColor="text1"/>
          <w:sz w:val="16"/>
          <w:szCs w:val="16"/>
        </w:rPr>
        <w:softHyphen/>
        <w:t>ших базовых отклонений и малого расстояния от консоли крыла мины до плоскости, сметаемой винтом (30 см) создается опасность ее столкно</w:t>
      </w:r>
      <w:r w:rsidRPr="00DB5D0D">
        <w:rPr>
          <w:rFonts w:ascii="Times New Roman" w:hAnsi="Times New Roman"/>
          <w:color w:val="000000" w:themeColor="text1"/>
          <w:sz w:val="16"/>
          <w:szCs w:val="16"/>
        </w:rPr>
        <w:softHyphen/>
        <w:t>вения с винтом и подсасывания под крылья самолета» (11402).</w:t>
      </w:r>
    </w:p>
    <w:p w14:paraId="57EC6E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04D9D45"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 августа 1940 г. в записке H.A. Вознесенского (Госплан при СНК СССР) от в адрес В.М. Молотова в плане развития народного хозяйства СССР на 1941 г. только начинает наращиваться доля специального металлорежущего оборудования в авиации - 16 тыс. единиц и на недавно организованный Наркомат боеприпасов, в ведение которого была передана реактивная техника, - 10 тыс. единиц оборудования, притом в плане не предусмотрено производство реактивных снарядов и РСЗО (РГАСПИ, ф. 82, оп. 2, д. 522, л. 4-5).</w:t>
      </w:r>
    </w:p>
    <w:p w14:paraId="4C97425F"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плану уже за первый квартал 1941 г. Наркомат боеприпасов должен был освоить 32 вида изделий, из которых фактически было освоено только 7 (РГАСПИ, ф. 82. Оп. 2, д. 523, л. 211). Из-за завышенного плана по снижению себестоимости на продукцию (7,6%) Наркомат боеприпасов вынужден был отказаться от введения нового более дорогого оборудования, в результате план первого квартала 1941 г. был выполнен на 87,5% (РГАСПИ, ф. 82. Оп. 2, д. 523, л. 225,241.). В Постановлении СНК СССР «О союзном бюджете на третий квартал 1941 г.» от 2.07.41 № 1804/804с расходы на Наркомат боеприпасов составляют свыше 500 тыс. руб., в аналогичном плане на четвертый квартал 1941 г. уже - 738 тыс. руб." (РГАСПИ, ф. 82. Оп. 2, д.522, л. 65.). Реактивных установок в плане нет. Из-за неумения А.Г. Костикова довести до стадии промышленного образца экспериментальную РСЗО, РККА в 1941 г. остается без «Катюши». Их серийное производство фактически начинается с конца 1942 г. и к 1 января 1944 г. достигает достаточного для нужд Красной Армии объема - 15 тыс. пусковых установок и 1 млн. реактивных снарядов (РГАЭ, ф. 4372, оп. 82, д. 1875, л. 104.) (22685).</w:t>
      </w:r>
    </w:p>
    <w:p w14:paraId="61DA1C56" w14:textId="77777777" w:rsidR="006650AF" w:rsidRPr="00DB5D0D" w:rsidRDefault="006650AF" w:rsidP="00DB5D0D">
      <w:pPr>
        <w:spacing w:after="0" w:line="240" w:lineRule="auto"/>
        <w:jc w:val="both"/>
        <w:rPr>
          <w:rFonts w:ascii="Times New Roman" w:hAnsi="Times New Roman"/>
          <w:color w:val="0070C0"/>
          <w:sz w:val="16"/>
          <w:szCs w:val="16"/>
        </w:rPr>
      </w:pPr>
    </w:p>
    <w:p w14:paraId="2446DAB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D40765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D08D0B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17—19 августа 1940 состоялось заседание ГАУ, после которого существовавшая в РККА классификация тан</w:t>
      </w:r>
      <w:r w:rsidRPr="00DB5D0D">
        <w:rPr>
          <w:rFonts w:ascii="Times New Roman" w:hAnsi="Times New Roman"/>
          <w:color w:val="000000" w:themeColor="text1"/>
          <w:sz w:val="16"/>
          <w:szCs w:val="16"/>
        </w:rPr>
        <w:softHyphen/>
        <w:t>ковых пушек по калибрам была пересмотрена. Если прежде калибр 45-мм считался «средним», то теперь относился к «малому». Принятая 1 октября 1940 г. классификация танко</w:t>
      </w:r>
      <w:r w:rsidRPr="00DB5D0D">
        <w:rPr>
          <w:rFonts w:ascii="Times New Roman" w:hAnsi="Times New Roman"/>
          <w:color w:val="000000" w:themeColor="text1"/>
          <w:sz w:val="16"/>
          <w:szCs w:val="16"/>
        </w:rPr>
        <w:softHyphen/>
        <w:t>вых орудий по калибрам выглядела следующим образом:</w:t>
      </w:r>
    </w:p>
    <w:p w14:paraId="163C69B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малокалиберные танковые орудия — до 45-мм (считать временной мерой вплоть до разработки специальных танко</w:t>
      </w:r>
      <w:r w:rsidRPr="00DB5D0D">
        <w:rPr>
          <w:rFonts w:ascii="Times New Roman" w:hAnsi="Times New Roman"/>
          <w:color w:val="000000" w:themeColor="text1"/>
          <w:sz w:val="16"/>
          <w:szCs w:val="16"/>
        </w:rPr>
        <w:softHyphen/>
        <w:t>вых пушек калибра 55-60-мм);</w:t>
      </w:r>
    </w:p>
    <w:p w14:paraId="26AFFB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танковые орудия средних калибров — от 76-мм до 95-мм;</w:t>
      </w:r>
    </w:p>
    <w:p w14:paraId="483FFC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танковые орудия больших калибров — более 95-мм (с 1941 г. более 107мм)» (10782).</w:t>
      </w:r>
    </w:p>
    <w:p w14:paraId="59BABA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B8014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был подготовлен:</w:t>
      </w:r>
    </w:p>
    <w:p w14:paraId="2B9DAB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Протокол совещания комиссий по передаче и приемке Венюковского механического завода № 13 из системы Наркомтекстильпрома в систему Наркомобщемаша в соответствии с приказом НКОМ и НКТП № 212 от 17 августа 1940 года</w:t>
      </w:r>
    </w:p>
    <w:p w14:paraId="5AD806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 г. Венюково Лопасненского района Московской области (8658,47).</w:t>
      </w:r>
    </w:p>
    <w:p w14:paraId="2C709BC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13D4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 Л. М. Галлер утвердил ОТЗ на мониторы для реки Дунай (3898).</w:t>
      </w:r>
    </w:p>
    <w:p w14:paraId="4EC1160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077C31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6D8354E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25D8A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по случаю 8 годовщины Дня авиации, В президиуме собрания было 39 человек, руководителей, гостей, отличников боевой и политической подготовки и среди них шеф-повар летно- курсантской столовой - Исаев Матвей Яковлевич. Отмечая 30-летие школы, Нарком Обороны СССР Маршал Советского Союза С. К. Тимошенко приказом № 406 от 11 ноября 1940 г. поощрил начальника МТО подполковника Горинова Василия Петровича золотыми часами, интенданта 2-го ранга Приходько Степана Федоровича ценным подарком, шеф-повара школы Исаева Матвея Яковлевича, старшую прачку Ефанову Надежду Михайловну и сторожа авиамастерских Халтурина Федора Федоровича - месячным окладом содержания. За 30 летнюю деятельность школы в Крыму освоено во время обучения летчиков и всестороннего материального и аэродромно-технического обеспечения самолетов и ремонта 11 типов (31 модификация) иностранных самолетов, 12 типов (13 моделей) отечественных и два самолета, сконструированные качинцами, изготовленные в авиамастерских школы, всего 25 типов (44 модели) и один планер. 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 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Мамашайской долине, №3 - восточная площадка, №4 - Альма-Томак,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 Значительно увеличилось количество специалистов и специальностей после перехода к обеспечению полетов на отечественных самолетах, более сложных по устройству и эксплуатации, требовавшие сложной и надежной наземной обслуживающей спецавтотехники. Расчеты и практическая деятельность показали, что для грамотного применения специальных автомобилей обеспечивающих подготовку и полеты отечественных самолетов требовалось, чтобы водители знали и умели применять не менее 16 типов спецмашин (АКЗС, БЗ, ВМЗ, автостартер и др.), трактористы - более трех типов тракторов. Для проведения ремонта, регламентных работ, требуются специалисты: автослесарь, слесарь тракторный, электрик автотракторный, токарь, аккумуляторщик, вулканизаторщик, электрогазосварщик и др., всего — 28 специальностей. В аэродромной службе: специалисты по прицепной аэродромной технике (катки, гладкие и шиповые), гладилки, волокуши, конусу, плугам, боронам зубчатым, сенокосилкам и граблям конным и тракторным, рамщик, столяр - плотник, электрогазосварщик, и др. - всего 25 специалистов. Службы, обеспечивающие непосредственно полеты: лаборант ГСМ, пожарный, компрессорщик, механик кислородно-зарядной станции, механик аккумуляторной зарядной станции, метеонаблюдатель, прожекторист, радист стартовой радиостанции, фельдшер (сестра медицинская), всего не менее 9 специальностей. Также увеличивается количество специальностей по хозяйственно-бытовым службам, сдали в эксплуатацию жилой дом - сразу требуется обслуживающий персонал и соответствующие специалисты. Их постоянно необходимо готовить, обучать и тренировать. На крымской земле Качинская авиашкола была передовой в стране в организации летного обучения, быта, материального и аэродромно-технического обеспечения полетов, ведении войскового хозяйства. Однако, немецко-фашистское нашествие 22 июня 1941 г. отрицательно повлияло и затормозило по многим вопросам деятельность школы, которая была переведена в суровые материально- климатические условия на Краснокутский аэроузел в Саратовской области (11139).</w:t>
      </w:r>
    </w:p>
    <w:p w14:paraId="39A55C3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CF5D3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0938839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81C11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 В составе НКВД СССР сформировано Главное управление политпропаганды войск НКВД СССР (10303).</w:t>
      </w:r>
    </w:p>
    <w:p w14:paraId="47C7864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77281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24A9D9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38CF835"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 августа в 1940 году взлетел второй прототип английского тяжелого дальнего бомбардировщика </w:t>
      </w:r>
      <w:hyperlink r:id="rId289" w:tgtFrame="_blank" w:history="1">
        <w:r w:rsidRPr="00DB5D0D">
          <w:rPr>
            <w:rFonts w:ascii="Times New Roman" w:hAnsi="Times New Roman"/>
            <w:color w:val="000000" w:themeColor="text1"/>
            <w:sz w:val="16"/>
            <w:szCs w:val="16"/>
          </w:rPr>
          <w:t xml:space="preserve">«Handley Page» «Halifax». </w:t>
        </w:r>
      </w:hyperlink>
      <w:r w:rsidRPr="00DB5D0D">
        <w:rPr>
          <w:rFonts w:ascii="Times New Roman" w:hAnsi="Times New Roman"/>
          <w:color w:val="000000" w:themeColor="text1"/>
          <w:sz w:val="16"/>
          <w:szCs w:val="16"/>
        </w:rPr>
        <w:t>Он имел в носу турель «Боултон-Пол» "тип С" с двумя пулеметами, а в хвосте - четырехпулеметную "тип I". На нем стояли деревянные четырехлопастные винты постоянной скорости "Ротол", как и на первых сериях. На нем также было поставлено двойное управление, предполагая его использование в качестве учебного через некоторое время после проведения испытаний в ААЕЕ (14986).</w:t>
      </w:r>
    </w:p>
    <w:p w14:paraId="621AEC3C"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5A0B8CAF"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 августа 1940-го был облетан полностью вооруженный второй опытный самолет «Галифакс». Его испытания шли трудно, самолет тяжелел с каждой новой доработкой, а дальность все равно была меньше заданной. Воздушные винты «Де Хевиленд» имели два фиксированных значения шага и не подходили для крейсерского режима полета. Их заменили всережимными винтамиавтоматами постоянных оборотов «Ротол», но те пока были ненадежны. Дефектов оставалось множество, и только решение начать серийный выпуск до их устранения давало возможность надеяться начать поставки «галифаксов» в строевые части в обозримом будущем (22824).</w:t>
      </w:r>
    </w:p>
    <w:p w14:paraId="08210EBD" w14:textId="77777777" w:rsidR="006650AF" w:rsidRPr="00DB5D0D" w:rsidRDefault="006650AF" w:rsidP="00DB5D0D">
      <w:pPr>
        <w:spacing w:after="0" w:line="240" w:lineRule="auto"/>
        <w:jc w:val="both"/>
        <w:rPr>
          <w:rFonts w:ascii="Times New Roman" w:hAnsi="Times New Roman"/>
          <w:color w:val="0070C0"/>
          <w:sz w:val="16"/>
          <w:szCs w:val="16"/>
        </w:rPr>
      </w:pPr>
    </w:p>
    <w:p w14:paraId="3DE5919D"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 Caproni-Campini CC-2 совершившего первый полет (15579).</w:t>
      </w:r>
    </w:p>
    <w:p w14:paraId="2B100961"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2144A3C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Гитлер объявил полную блокаду Британии (4962).</w:t>
      </w:r>
    </w:p>
    <w:p w14:paraId="614D004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6211B4CF"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August 17, 1940: Hitler orders the total blockade of Britain by sea and air (3819).</w:t>
      </w:r>
    </w:p>
    <w:p w14:paraId="5C52486F"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5BB19EFE"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August 17 1940 Hitler declares blockade of British Isles (1050).</w:t>
      </w:r>
    </w:p>
    <w:p w14:paraId="482D59DA"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0EDCE9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А.Гитлер объявил блокаду Британских островов (1050).</w:t>
      </w:r>
    </w:p>
    <w:p w14:paraId="4BF2A26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64E2E87"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в 1940 году Адольф Гитлер объявляет полную блокаду Британиских островов (14986).</w:t>
      </w:r>
    </w:p>
    <w:p w14:paraId="705BBF57"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0AC865B1" w14:textId="77777777" w:rsidR="00447B0B" w:rsidRPr="00DB5D0D" w:rsidRDefault="00447B0B"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17 августа 1940 г. Гитлер объявил полную морскую блокаду Британии. Уничтожению подлежали все суда, плывущие к островам, включая торговые, гражданские и нейтральные. Война на море носила волновой характер. Для подтверждения этого приведу три цифры (точные!):</w:t>
      </w:r>
    </w:p>
    <w:p w14:paraId="44F1FF28" w14:textId="77777777" w:rsidR="00447B0B" w:rsidRPr="00DB5D0D" w:rsidRDefault="00447B0B"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 1 июня 1940 г. по 1 июля 1941 г. Британия потеряла 899 кораблей;</w:t>
      </w:r>
    </w:p>
    <w:p w14:paraId="12D682CB" w14:textId="77777777" w:rsidR="00447B0B" w:rsidRPr="00DB5D0D" w:rsidRDefault="00447B0B"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Германия начала войну с небольшим количеством подлодок, британцы за 1940 г. потопили 31 немецкую подлодку, у Германии осталось только 22 лодки;</w:t>
      </w:r>
    </w:p>
    <w:p w14:paraId="4A645061" w14:textId="77777777" w:rsidR="00447B0B" w:rsidRPr="00DB5D0D" w:rsidRDefault="00447B0B"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Дело Германии улучшилось в 1941 г. – они стали выпускать 18 лодок в месяц, или 216 в год (17398).</w:t>
      </w:r>
    </w:p>
    <w:p w14:paraId="056C80A5" w14:textId="77777777" w:rsidR="00447B0B" w:rsidRPr="00DB5D0D" w:rsidRDefault="00447B0B" w:rsidP="00DB5D0D">
      <w:pPr>
        <w:tabs>
          <w:tab w:val="left" w:pos="11199"/>
        </w:tabs>
        <w:spacing w:after="0" w:line="240" w:lineRule="auto"/>
        <w:jc w:val="both"/>
        <w:rPr>
          <w:rFonts w:ascii="Times New Roman" w:hAnsi="Times New Roman"/>
          <w:color w:val="000000" w:themeColor="text1"/>
          <w:sz w:val="16"/>
          <w:szCs w:val="16"/>
        </w:rPr>
      </w:pPr>
    </w:p>
    <w:p w14:paraId="2E8FE08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в Греции объявлена мобилизация армии (4962).</w:t>
      </w:r>
    </w:p>
    <w:p w14:paraId="60A589C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9A3CFB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США и Канада договорились о создании единого оборонного ведомства (4962).</w:t>
      </w:r>
    </w:p>
    <w:p w14:paraId="2C6393D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32A7C97" w14:textId="77777777" w:rsidR="00447B0B" w:rsidRPr="00DB5D0D" w:rsidRDefault="00447B0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 — 18 августа 1940 г. </w:t>
      </w:r>
      <w:r w:rsidRPr="00DB5D0D">
        <w:rPr>
          <w:rFonts w:ascii="Times New Roman" w:hAnsi="Times New Roman"/>
          <w:bCs/>
          <w:color w:val="000000" w:themeColor="text1"/>
          <w:sz w:val="16"/>
          <w:szCs w:val="16"/>
        </w:rPr>
        <w:t>в городе Огденсберге (штат Нью-Йорк) Ф.Рузвельт и Кинг договорились о создании Постоянного объединенного совета обороны США и Канады, о возможности размещения американских войск и проведения маневров на территории Канады, о военных поставках, о планировании совместных действий и консультациях (17398).</w:t>
      </w:r>
    </w:p>
    <w:p w14:paraId="0FFA6129" w14:textId="77777777" w:rsidR="00447B0B" w:rsidRPr="00DB5D0D" w:rsidRDefault="00447B0B" w:rsidP="00DB5D0D">
      <w:pPr>
        <w:tabs>
          <w:tab w:val="left" w:pos="11199"/>
        </w:tabs>
        <w:spacing w:after="0" w:line="240" w:lineRule="auto"/>
        <w:jc w:val="both"/>
        <w:rPr>
          <w:rFonts w:ascii="Times New Roman" w:hAnsi="Times New Roman"/>
          <w:color w:val="000000" w:themeColor="text1"/>
          <w:sz w:val="16"/>
          <w:szCs w:val="16"/>
        </w:rPr>
      </w:pPr>
    </w:p>
    <w:p w14:paraId="136E0D22" w14:textId="77777777" w:rsidR="00447B0B" w:rsidRPr="00DB5D0D" w:rsidRDefault="00447B0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 августа 1940 г. погиб Вильям Фиске – двукратный олимпийский чемпион по бобслею, летчик, первый американец, поступивший на службу в Британские Королевские ВВС. </w:t>
      </w:r>
      <w:r w:rsidRPr="00DB5D0D">
        <w:rPr>
          <w:rFonts w:ascii="Times New Roman" w:hAnsi="Times New Roman"/>
          <w:bCs/>
          <w:color w:val="000000" w:themeColor="text1"/>
          <w:sz w:val="16"/>
          <w:szCs w:val="16"/>
        </w:rPr>
        <w:t xml:space="preserve">В воздушном сражении над Англией получил тяжелое ранение, скончался </w:t>
      </w:r>
      <w:r w:rsidRPr="00DB5D0D">
        <w:rPr>
          <w:rFonts w:ascii="Times New Roman" w:hAnsi="Times New Roman"/>
          <w:color w:val="000000" w:themeColor="text1"/>
          <w:sz w:val="16"/>
          <w:szCs w:val="16"/>
        </w:rPr>
        <w:t>17 августа 1940 г.</w:t>
      </w:r>
      <w:r w:rsidRPr="00DB5D0D">
        <w:rPr>
          <w:rFonts w:ascii="Times New Roman" w:hAnsi="Times New Roman"/>
          <w:bCs/>
          <w:color w:val="000000" w:themeColor="text1"/>
          <w:sz w:val="16"/>
          <w:szCs w:val="16"/>
        </w:rPr>
        <w:t>, этому замечательному человеку на тот момент не было и тридцати лет (17398).</w:t>
      </w:r>
    </w:p>
    <w:p w14:paraId="7FFA9469" w14:textId="77777777" w:rsidR="00447B0B" w:rsidRPr="00DB5D0D" w:rsidRDefault="00447B0B" w:rsidP="00DB5D0D">
      <w:pPr>
        <w:tabs>
          <w:tab w:val="left" w:pos="11199"/>
        </w:tabs>
        <w:spacing w:after="0" w:line="240" w:lineRule="auto"/>
        <w:jc w:val="both"/>
        <w:rPr>
          <w:rFonts w:ascii="Times New Roman" w:hAnsi="Times New Roman"/>
          <w:color w:val="000000" w:themeColor="text1"/>
          <w:sz w:val="16"/>
          <w:szCs w:val="16"/>
        </w:rPr>
      </w:pPr>
    </w:p>
    <w:p w14:paraId="4B1C6F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немецкий рейдер Орион потопил французский пароход Нота (3481).</w:t>
      </w:r>
    </w:p>
    <w:p w14:paraId="1CF964B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9A5DA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B07DC5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79B9A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в Контрольном листе учета выполнения постановления КО СНК СССР № 239сс от 1 июня 1940 г. представителем КО СНК СССР - контролером Вахрушевым была сделана запись:</w:t>
      </w:r>
    </w:p>
    <w:p w14:paraId="37780F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СБ-РК</w:t>
      </w:r>
    </w:p>
    <w:p w14:paraId="140384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Выпуска сомаолетов с М-105 не было из-за отсутствия моторов.</w:t>
      </w:r>
    </w:p>
    <w:p w14:paraId="660364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Эталон СБ-РК в пикирующем варианте находится в состоянии окончания. Контрольные Первые полеты СБ РК назначены на 19-25 августа 1940.</w:t>
      </w:r>
    </w:p>
    <w:p w14:paraId="2B208C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над СПБ по указанию т. Шахурина прекращены ввиду неудовлетворительной прочности и плохой устойчивости.</w:t>
      </w:r>
    </w:p>
    <w:p w14:paraId="1ACB1E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производства по самолету СБ-РК:</w:t>
      </w:r>
    </w:p>
    <w:p w14:paraId="7D642C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Чертежное хозяйство закончено в черне</w:t>
      </w:r>
    </w:p>
    <w:p w14:paraId="071CAA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Разработка технологического процесса на серийном производстве должна быть закончена к 20 августу</w:t>
      </w:r>
    </w:p>
    <w:p w14:paraId="71B6D3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1-я очередь оснастки производства проектированием закончена</w:t>
      </w:r>
    </w:p>
    <w:p w14:paraId="0DDED1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Предполагается иметь 6988 единиц оснастки, изготовлено 479 единиц (часть оснастки будет использована с самолета СБ)</w:t>
      </w:r>
    </w:p>
    <w:p w14:paraId="380C20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Запуск машины в серию осуществим, должны машину выпустить в августе (10395).</w:t>
      </w:r>
    </w:p>
    <w:p w14:paraId="4439C8A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D3F5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на параде был показан И-21 М.М.Пашинина (4,73) и МиГ-1 (4,243). На МиГ-1 летал А.Н.Екатов (563,59).</w:t>
      </w:r>
    </w:p>
    <w:p w14:paraId="197C38D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9E21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г. И-21 был показан в Тушино на воз</w:t>
      </w:r>
      <w:r w:rsidRPr="00DB5D0D">
        <w:rPr>
          <w:rFonts w:ascii="Times New Roman" w:hAnsi="Times New Roman"/>
          <w:color w:val="000000" w:themeColor="text1"/>
          <w:sz w:val="16"/>
          <w:szCs w:val="16"/>
        </w:rPr>
        <w:softHyphen/>
        <w:t>душном параде в честь дня Воздушного флота. Самолет имел неудовлетворительную продольную и попереч</w:t>
      </w:r>
      <w:r w:rsidRPr="00DB5D0D">
        <w:rPr>
          <w:rFonts w:ascii="Times New Roman" w:hAnsi="Times New Roman"/>
          <w:color w:val="000000" w:themeColor="text1"/>
          <w:sz w:val="16"/>
          <w:szCs w:val="16"/>
        </w:rPr>
        <w:softHyphen/>
        <w:t>ную устойчивость, особенно на больших углах атаки, плохие взлетно-посадочные характеристики, большую посадочную скорость. Имелись многочисленные дефек</w:t>
      </w:r>
      <w:r w:rsidRPr="00DB5D0D">
        <w:rPr>
          <w:rFonts w:ascii="Times New Roman" w:hAnsi="Times New Roman"/>
          <w:color w:val="000000" w:themeColor="text1"/>
          <w:sz w:val="16"/>
          <w:szCs w:val="16"/>
        </w:rPr>
        <w:softHyphen/>
        <w:t>ты. Тем не менее, в начале сентября 1940 г. еще до госу</w:t>
      </w:r>
      <w:r w:rsidRPr="00DB5D0D">
        <w:rPr>
          <w:rFonts w:ascii="Times New Roman" w:hAnsi="Times New Roman"/>
          <w:color w:val="000000" w:themeColor="text1"/>
          <w:sz w:val="16"/>
          <w:szCs w:val="16"/>
        </w:rPr>
        <w:softHyphen/>
        <w:t>дарственных испытаний, под давлением директора и при содействии наркомата состоялось решение о запус</w:t>
      </w:r>
      <w:r w:rsidRPr="00DB5D0D">
        <w:rPr>
          <w:rFonts w:ascii="Times New Roman" w:hAnsi="Times New Roman"/>
          <w:color w:val="000000" w:themeColor="text1"/>
          <w:sz w:val="16"/>
          <w:szCs w:val="16"/>
        </w:rPr>
        <w:softHyphen/>
        <w:t>ке И-21 в серийное производство на заводе № 21. 9 сентября 1940 г., в тот момент, когда все основные технологические проблемы удалось преодолеть, произ</w:t>
      </w:r>
      <w:r w:rsidRPr="00DB5D0D">
        <w:rPr>
          <w:rFonts w:ascii="Times New Roman" w:hAnsi="Times New Roman"/>
          <w:color w:val="000000" w:themeColor="text1"/>
          <w:sz w:val="16"/>
          <w:szCs w:val="16"/>
        </w:rPr>
        <w:softHyphen/>
        <w:t>водство И-180 было остановлено. Главный инженер завода пытался отстоять построй</w:t>
      </w:r>
      <w:r w:rsidRPr="00DB5D0D">
        <w:rPr>
          <w:rFonts w:ascii="Times New Roman" w:hAnsi="Times New Roman"/>
          <w:color w:val="000000" w:themeColor="text1"/>
          <w:sz w:val="16"/>
          <w:szCs w:val="16"/>
        </w:rPr>
        <w:softHyphen/>
        <w:t>ку хотя бы эталона 1941 г., но в ответ на его просьбу пришел ответ, подписанный А.С.Яковлевым: «Возоб</w:t>
      </w:r>
      <w:r w:rsidRPr="00DB5D0D">
        <w:rPr>
          <w:rFonts w:ascii="Times New Roman" w:hAnsi="Times New Roman"/>
          <w:color w:val="000000" w:themeColor="text1"/>
          <w:sz w:val="16"/>
          <w:szCs w:val="16"/>
        </w:rPr>
        <w:softHyphen/>
        <w:t>новление работ по трем самолетам И-180, строившимся как эталон для серийного производства завода № 21, не может быть разрешено. Производство дальнейших ра</w:t>
      </w:r>
      <w:r w:rsidRPr="00DB5D0D">
        <w:rPr>
          <w:rFonts w:ascii="Times New Roman" w:hAnsi="Times New Roman"/>
          <w:color w:val="000000" w:themeColor="text1"/>
          <w:sz w:val="16"/>
          <w:szCs w:val="16"/>
        </w:rPr>
        <w:softHyphen/>
        <w:t>бот по доводкам и испытаниям этих самолетов нецеле</w:t>
      </w:r>
      <w:r w:rsidRPr="00DB5D0D">
        <w:rPr>
          <w:rFonts w:ascii="Times New Roman" w:hAnsi="Times New Roman"/>
          <w:color w:val="000000" w:themeColor="text1"/>
          <w:sz w:val="16"/>
          <w:szCs w:val="16"/>
        </w:rPr>
        <w:softHyphen/>
        <w:t>сообразно, ввиду имеющегося решения по программам завода на 1941 год. В настоящее время все внимание должно быть обращено на выполнении нового задания, полученного заводом» (10667).</w:t>
      </w:r>
    </w:p>
    <w:p w14:paraId="4689FC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6BA495A"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августа в 1940 году на авиационном празднике в День Воздушного Флота над аэродромом Тушино а числе новых самолетов пролетел опытный скоростной истребитель </w:t>
      </w:r>
      <w:hyperlink r:id="rId290" w:tgtFrame="_blank" w:history="1">
        <w:r w:rsidRPr="00DB5D0D">
          <w:rPr>
            <w:rFonts w:ascii="Times New Roman" w:hAnsi="Times New Roman"/>
            <w:color w:val="000000" w:themeColor="text1"/>
            <w:sz w:val="16"/>
            <w:szCs w:val="16"/>
          </w:rPr>
          <w:t xml:space="preserve">«И-21» </w:t>
        </w:r>
      </w:hyperlink>
      <w:r w:rsidRPr="00DB5D0D">
        <w:rPr>
          <w:rFonts w:ascii="Times New Roman" w:hAnsi="Times New Roman"/>
          <w:color w:val="000000" w:themeColor="text1"/>
          <w:sz w:val="16"/>
          <w:szCs w:val="16"/>
        </w:rPr>
        <w:t>(заводское обозначение «ИП-21»), созданный группой инженеров одного из самолетостроительных заводов под руководством М.M.Пашинина. Авиационные специалисты отметили чистые аэродинамические формы этого моноплана с убранными основными колесами шасси и хвостовым колесом, рациональную форму фонаря кабины летчика, обеспечивающую хороший обзор передней и задней полусферы. Этот истребитель разрабатывался под новый двигатель жидкостного охлаждения «М-107» мощностью 1650 л.с. С ним по расчетам конструкторов максимальная скорость на высоте 7 тыс. м могла превысить 680 км/ч. Однако доводка «М-107» задерживалась, и опытный экземпляр «И-21» оснастили серийным двигателем «М-105» мощностью 1050 л.с. По скорости, скороподъемности и вооружению И-21 и с мотором М-105 превосходил находившийся в это время на вооружении авиации фашистской Германии истребитель «Ме-109». Помимо того горьковчане видели в своем самолете возможности для повышения его боевых качеств и стремились использовать эти возможности в последующих опытных экземплярах. Конструкция низкоплана «И-21» смешанная. Передняя часть фюзеляжа до кабины пилота представляла собой пространственную ферму из стальных труб, обшитую дюралевыми листами. Кабина пилота - закрытая с фонарем, имеющим хороший обзор назад. Правда, фонарь был не сдвижной назад, а открывался вправо. Этого недостатка конструкторы А.Яковлев и С.Лавочкин не допускали, применяя с 1942 года фонари такого типа на своих истребителях. Хвостовая часть фюзеляжа типа монокок выполнялась из деревянного шпона. Центроплан из хромансилевых труб имел несущую фанерную обшивку. Крыло «И-21» профиля «НАСА-0012» с щитками и закрылками трапециевидное в плане с закругленными концами. Консоли деревянные с работающей фанерной обшивкой (14987).</w:t>
      </w:r>
    </w:p>
    <w:p w14:paraId="239CCF53"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51CA5D85" w14:textId="77777777" w:rsidR="004E09D3" w:rsidRPr="00DB5D0D" w:rsidRDefault="004E09D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первый ИП-21 совершил демонстрационный полет на празднике, посвященном Дню авиации. Затем самолет некоторое время находился на Центральном аэродроме в Москве. В этот период ИП-21 облетали летчики НИИ ВВС, которые отметили тенденцию машины к сваливанию на крыло при посадке на больших углах атаки. Для устранения этого недостатка Пашинину предложили второй опытный экземпляр оборудовать автоматическими предкрылками на отъемных частях крыла (15561).</w:t>
      </w:r>
    </w:p>
    <w:p w14:paraId="5B72A443" w14:textId="77777777" w:rsidR="004E09D3" w:rsidRPr="00DB5D0D" w:rsidRDefault="004E09D3" w:rsidP="00DB5D0D">
      <w:pPr>
        <w:spacing w:after="0" w:line="240" w:lineRule="auto"/>
        <w:jc w:val="both"/>
        <w:rPr>
          <w:rFonts w:ascii="Times New Roman" w:hAnsi="Times New Roman"/>
          <w:color w:val="000000" w:themeColor="text1"/>
          <w:sz w:val="16"/>
          <w:szCs w:val="16"/>
        </w:rPr>
      </w:pPr>
    </w:p>
    <w:p w14:paraId="58147C39" w14:textId="77777777" w:rsidR="0098719B" w:rsidRPr="00DB5D0D" w:rsidRDefault="0098719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г. закончили второй опытный экземпляр ИП-21 с заводским № 21А213 Судя по заводскому номеру, это 3-й экземпляр самолета 21-го типа, 21-го завода. Таким образом, можно предположить, что в отношении ИП-21 непродолжительное время использовалось внутризаводское обозначение «тип 21». Что касается третьего порядкового экземпляра, то здесь ситуация несколько сложнее. Каких-либо объяснений этому необычному номеру автор материала не обнаружил, поэтому склоняется к элементарной описке в документации.</w:t>
      </w:r>
    </w:p>
    <w:p w14:paraId="24EE8767" w14:textId="77777777" w:rsidR="0098719B" w:rsidRPr="00DB5D0D" w:rsidRDefault="0098719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Второй опытный ИП-21 достраивался под впечатлением полетных испытаний первого экземпляра, поэтому на нем решили улучшить продольную устойчивость в полете путем изменения центровки до значения 23—25% САХ. Первоначально предлагалось удлинить мотораму и передвинуть двигатель вперед. После рассмотрения всех вариантов решили увеличить стреловидность отъемных частей крыла. Для этого стыковые узлы переднего лонжерона крыла и центроплана удлинили, а задние укоротили. В образовавшееся пространство вставили две дополнительные металлические силовые ферменные нервюры. Проведенная доработка позволила передвинуть концевой участок крыла назад на 300 мм, что обеспечило более переднюю центровку. Помимо доработки крыла на втором экземпляре установили </w:t>
      </w:r>
      <w:r w:rsidRPr="00DB5D0D">
        <w:rPr>
          <w:rFonts w:ascii="Times New Roman" w:hAnsi="Times New Roman"/>
          <w:color w:val="000000" w:themeColor="text1"/>
          <w:sz w:val="16"/>
          <w:szCs w:val="16"/>
        </w:rPr>
        <w:lastRenderedPageBreak/>
        <w:t>триммер на руле поворота, увеличили компенсацию на рулях высоты. Металлический ролик на костыльной установке заменили небольшим обрезиненным колесом (15561).</w:t>
      </w:r>
    </w:p>
    <w:p w14:paraId="6DCD3516" w14:textId="77777777" w:rsidR="0098719B" w:rsidRPr="00DB5D0D" w:rsidRDefault="0098719B" w:rsidP="00DB5D0D">
      <w:pPr>
        <w:spacing w:after="0" w:line="240" w:lineRule="auto"/>
        <w:jc w:val="both"/>
        <w:rPr>
          <w:rFonts w:ascii="Times New Roman" w:hAnsi="Times New Roman"/>
          <w:color w:val="000000" w:themeColor="text1"/>
          <w:sz w:val="16"/>
          <w:szCs w:val="16"/>
        </w:rPr>
      </w:pPr>
    </w:p>
    <w:p w14:paraId="747A6F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на параде был ДБ-240 и в газетах были его фотографии, но ЦКБ-57 - не было (3322,8).</w:t>
      </w:r>
    </w:p>
    <w:p w14:paraId="18125C5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36CDC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на параде в Тушино был Ми-200-1 (4415,32).</w:t>
      </w:r>
    </w:p>
    <w:p w14:paraId="524E60B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E1BF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w:t>
      </w:r>
      <w:r w:rsidRPr="00DB5D0D">
        <w:rPr>
          <w:rFonts w:ascii="Times New Roman" w:hAnsi="Times New Roman"/>
          <w:color w:val="000000" w:themeColor="text1"/>
          <w:sz w:val="16"/>
          <w:szCs w:val="16"/>
        </w:rPr>
        <w:softHyphen/>
        <w:t>та 1940 г. в Тушине на параде, по</w:t>
      </w:r>
      <w:r w:rsidRPr="00DB5D0D">
        <w:rPr>
          <w:rFonts w:ascii="Times New Roman" w:hAnsi="Times New Roman"/>
          <w:color w:val="000000" w:themeColor="text1"/>
          <w:sz w:val="16"/>
          <w:szCs w:val="16"/>
        </w:rPr>
        <w:softHyphen/>
        <w:t>свящённом Дню авиации, машину впервые показали широкой публи</w:t>
      </w:r>
      <w:r w:rsidRPr="00DB5D0D">
        <w:rPr>
          <w:rFonts w:ascii="Times New Roman" w:hAnsi="Times New Roman"/>
          <w:color w:val="000000" w:themeColor="text1"/>
          <w:sz w:val="16"/>
          <w:szCs w:val="16"/>
        </w:rPr>
        <w:softHyphen/>
        <w:t>ке. Показательный полёт на И-200 №01 выполнил М.Н. Якушин (11757).</w:t>
      </w:r>
    </w:p>
    <w:p w14:paraId="2675A1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9BCD1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г. на авиационном празднике в Туши</w:t>
      </w:r>
      <w:r w:rsidRPr="00DB5D0D">
        <w:rPr>
          <w:rFonts w:ascii="Times New Roman" w:hAnsi="Times New Roman"/>
          <w:color w:val="000000" w:themeColor="text1"/>
          <w:sz w:val="16"/>
          <w:szCs w:val="16"/>
        </w:rPr>
        <w:softHyphen/>
        <w:t>но И-200 впервые показали широкой публике. Показательный полет на самолете И—200 зав. № 01 совершил М.Н. Якушин (9984).</w:t>
      </w:r>
    </w:p>
    <w:p w14:paraId="2BD0C9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3C57D23" w14:textId="77777777" w:rsidR="0098719B" w:rsidRPr="00DB5D0D" w:rsidRDefault="0098719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августа в 1940 году в Тушине на параде, посвященном Дню авиации, </w:t>
      </w:r>
      <w:hyperlink r:id="rId291" w:tgtFrame="_blank" w:history="1">
        <w:r w:rsidRPr="00DB5D0D">
          <w:rPr>
            <w:rFonts w:ascii="Times New Roman" w:hAnsi="Times New Roman"/>
            <w:color w:val="000000" w:themeColor="text1"/>
            <w:sz w:val="16"/>
            <w:szCs w:val="16"/>
          </w:rPr>
          <w:t xml:space="preserve">«И-200» </w:t>
        </w:r>
      </w:hyperlink>
      <w:r w:rsidRPr="00DB5D0D">
        <w:rPr>
          <w:rFonts w:ascii="Times New Roman" w:hAnsi="Times New Roman"/>
          <w:color w:val="000000" w:themeColor="text1"/>
          <w:sz w:val="16"/>
          <w:szCs w:val="16"/>
        </w:rPr>
        <w:t>№1 впервые показали широкой публике. Показательный полет на «И-200» №01 совершил М.Н.Якушин (14987).</w:t>
      </w:r>
    </w:p>
    <w:p w14:paraId="4A5E55DF" w14:textId="77777777" w:rsidR="0098719B" w:rsidRPr="00DB5D0D" w:rsidRDefault="0098719B" w:rsidP="00DB5D0D">
      <w:pPr>
        <w:spacing w:after="0" w:line="240" w:lineRule="auto"/>
        <w:jc w:val="both"/>
        <w:rPr>
          <w:rFonts w:ascii="Times New Roman" w:hAnsi="Times New Roman"/>
          <w:color w:val="000000" w:themeColor="text1"/>
          <w:sz w:val="16"/>
          <w:szCs w:val="16"/>
        </w:rPr>
      </w:pPr>
    </w:p>
    <w:p w14:paraId="201121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в ходе заводских испытаний И-200 А.И.М, которые проходили с 31 марта по 17 августа 1940, на И-200-? был выполнен показательный полет в Тушино (2988).</w:t>
      </w:r>
    </w:p>
    <w:p w14:paraId="4C44F51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C7C0D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г. экипажи 18-го транспортного отряда и 32-го истребительного полка ЧМФ эффектно продемонстрировали «Звено-СПБ» на воздушном празднике в Тушино. От носителя отцепились два И-16, вступившие в «бой» с истребителями «противника» (9807).</w:t>
      </w:r>
    </w:p>
    <w:p w14:paraId="0E11BD8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9FCF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на параде был и СПБ - ТБ-3 (АНТ-6) + 2хИ-16 (685,190) и они после отцепки продемонстрировали бой (1854,11).</w:t>
      </w:r>
    </w:p>
    <w:p w14:paraId="62D5751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1F8D1E3" w14:textId="77777777" w:rsidR="00CC0C8B" w:rsidRPr="00DB5D0D" w:rsidRDefault="00CC0C8B" w:rsidP="00DB5D0D">
      <w:pPr>
        <w:pStyle w:val="5b"/>
        <w:shd w:val="clear" w:color="auto" w:fill="auto"/>
        <w:spacing w:line="240" w:lineRule="auto"/>
        <w:jc w:val="both"/>
        <w:rPr>
          <w:rFonts w:ascii="Times New Roman" w:hAnsi="Times New Roman" w:cs="Times New Roman"/>
          <w:color w:val="000000" w:themeColor="text1"/>
          <w:sz w:val="16"/>
          <w:szCs w:val="16"/>
          <w:lang w:val="ru-RU"/>
        </w:rPr>
      </w:pPr>
      <w:r w:rsidRPr="00DB5D0D">
        <w:rPr>
          <w:rStyle w:val="5c"/>
          <w:rFonts w:ascii="Times New Roman" w:hAnsi="Times New Roman" w:cs="Times New Roman"/>
          <w:i w:val="0"/>
          <w:color w:val="000000" w:themeColor="text1"/>
          <w:sz w:val="16"/>
          <w:szCs w:val="16"/>
          <w:lang w:val="ru-RU"/>
        </w:rPr>
        <w:t>18 августа 1940 г. из газет:</w:t>
      </w:r>
      <w:r w:rsidRPr="00DB5D0D">
        <w:rPr>
          <w:rFonts w:ascii="Times New Roman" w:hAnsi="Times New Roman" w:cs="Times New Roman"/>
          <w:color w:val="000000" w:themeColor="text1"/>
          <w:sz w:val="16"/>
          <w:szCs w:val="16"/>
          <w:lang w:val="ru-RU"/>
        </w:rPr>
        <w:t xml:space="preserve"> «Тре</w:t>
      </w:r>
      <w:r w:rsidRPr="00DB5D0D">
        <w:rPr>
          <w:rFonts w:ascii="Times New Roman" w:hAnsi="Times New Roman" w:cs="Times New Roman"/>
          <w:color w:val="000000" w:themeColor="text1"/>
          <w:sz w:val="16"/>
          <w:szCs w:val="16"/>
          <w:lang w:val="ru-RU"/>
        </w:rPr>
        <w:softHyphen/>
        <w:t>вожно ревет сирена. Ее звуки несут</w:t>
      </w:r>
      <w:r w:rsidRPr="00DB5D0D">
        <w:rPr>
          <w:rFonts w:ascii="Times New Roman" w:hAnsi="Times New Roman" w:cs="Times New Roman"/>
          <w:color w:val="000000" w:themeColor="text1"/>
          <w:sz w:val="16"/>
          <w:szCs w:val="16"/>
          <w:lang w:val="ru-RU"/>
        </w:rPr>
        <w:softHyphen/>
        <w:t>ся со стороны заводских корпусов, выросших но границе летного поля. Это макет большого завода. Сюда мчатся сопутствуемые истребителями, скоро</w:t>
      </w:r>
      <w:r w:rsidRPr="00DB5D0D">
        <w:rPr>
          <w:rFonts w:ascii="Times New Roman" w:hAnsi="Times New Roman" w:cs="Times New Roman"/>
          <w:color w:val="000000" w:themeColor="text1"/>
          <w:sz w:val="16"/>
          <w:szCs w:val="16"/>
          <w:lang w:val="ru-RU"/>
        </w:rPr>
        <w:softHyphen/>
        <w:t>стные бомбардировщики. Навстречу взлетают истребители обороны. Залп зениток; взрывы бомб воссоздают зре</w:t>
      </w:r>
      <w:r w:rsidRPr="00DB5D0D">
        <w:rPr>
          <w:rFonts w:ascii="Times New Roman" w:hAnsi="Times New Roman" w:cs="Times New Roman"/>
          <w:color w:val="000000" w:themeColor="text1"/>
          <w:sz w:val="16"/>
          <w:szCs w:val="16"/>
          <w:lang w:val="ru-RU"/>
        </w:rPr>
        <w:softHyphen/>
        <w:t>лище настоящего военного действия. Груз бомб обрушивается точно в цель и взрывает заводские корпуса. Под ударами истребителей замолкают зенитные батареи».</w:t>
      </w:r>
    </w:p>
    <w:p w14:paraId="3198BA99" w14:textId="77777777" w:rsidR="00CC0C8B" w:rsidRPr="00DB5D0D" w:rsidRDefault="00CC0C8B" w:rsidP="00DB5D0D">
      <w:pPr>
        <w:pStyle w:val="83"/>
        <w:shd w:val="clear" w:color="auto" w:fill="auto"/>
        <w:spacing w:after="0" w:line="240" w:lineRule="auto"/>
        <w:ind w:firstLine="0"/>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Подобные демонстрации к концу тридцатых годов стали «модными» и на провинциальных авиационных праз</w:t>
      </w:r>
      <w:r w:rsidRPr="00DB5D0D">
        <w:rPr>
          <w:rFonts w:ascii="Times New Roman" w:hAnsi="Times New Roman"/>
          <w:color w:val="000000" w:themeColor="text1"/>
          <w:sz w:val="16"/>
          <w:szCs w:val="16"/>
        </w:rPr>
        <w:softHyphen/>
        <w:t>дниках. Естественно, масштабы были поскромнее, самолетов поменьше, взрывы потише, а вместо макета стан</w:t>
      </w:r>
      <w:r w:rsidRPr="00DB5D0D">
        <w:rPr>
          <w:rFonts w:ascii="Times New Roman" w:hAnsi="Times New Roman"/>
          <w:color w:val="000000" w:themeColor="text1"/>
          <w:sz w:val="16"/>
          <w:szCs w:val="16"/>
        </w:rPr>
        <w:softHyphen/>
        <w:t>ции или большого завода — дровя</w:t>
      </w:r>
      <w:r w:rsidRPr="00DB5D0D">
        <w:rPr>
          <w:rFonts w:ascii="Times New Roman" w:hAnsi="Times New Roman"/>
          <w:color w:val="000000" w:themeColor="text1"/>
          <w:sz w:val="16"/>
          <w:szCs w:val="16"/>
        </w:rPr>
        <w:softHyphen/>
        <w:t>ной сарайчик (12118).</w:t>
      </w:r>
    </w:p>
    <w:p w14:paraId="4B3B3DD9" w14:textId="77777777" w:rsidR="00CC0C8B" w:rsidRPr="00DB5D0D" w:rsidRDefault="00CC0C8B" w:rsidP="00DB5D0D">
      <w:pPr>
        <w:spacing w:after="0" w:line="240" w:lineRule="auto"/>
        <w:jc w:val="both"/>
        <w:rPr>
          <w:rFonts w:ascii="Times New Roman" w:hAnsi="Times New Roman"/>
          <w:color w:val="000000" w:themeColor="text1"/>
          <w:sz w:val="16"/>
          <w:szCs w:val="16"/>
        </w:rPr>
      </w:pPr>
    </w:p>
    <w:p w14:paraId="3AC085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Правда писала "И когда маршал революции товарищ Сталин даст сигнал, сотни тысяч пилотов, штурманов, парашютистов обрушатся на голову врага всей силой своего оружия, оружия социалистической справедливости. Советские воздушные армии понесут счастье человечеству" (68,168).</w:t>
      </w:r>
    </w:p>
    <w:p w14:paraId="06CE46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Г.Байдуков писал в Правде "Я ясно представляю: бомбардировщики, разрушающие заводы, железнодорожные узлы, мосты, склады и позиции противника, штурмовики атакующие ливнем огня колонны войск, артиллерийские позиции; десантные корабли, высаживающие свои дивизии в глубине расположения противника. Могучий и грозный флот Страны Советов вместе с пехотой, артиллеристами, танкистами свято выполнит свой долг и поможет угнетенным народам избавиться от палачей (68,334).</w:t>
      </w:r>
    </w:p>
    <w:p w14:paraId="3283101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738BBD"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 августа 1940 г. в Тушино, как обыч</w:t>
      </w:r>
      <w:r w:rsidRPr="00DB5D0D">
        <w:rPr>
          <w:rFonts w:ascii="Times New Roman" w:hAnsi="Times New Roman"/>
          <w:color w:val="0070C0"/>
          <w:sz w:val="16"/>
          <w:szCs w:val="16"/>
        </w:rPr>
        <w:softHyphen/>
        <w:t>но, состоялся воздушный парад — вось</w:t>
      </w:r>
      <w:r w:rsidRPr="00DB5D0D">
        <w:rPr>
          <w:rFonts w:ascii="Times New Roman" w:hAnsi="Times New Roman"/>
          <w:color w:val="0070C0"/>
          <w:sz w:val="16"/>
          <w:szCs w:val="16"/>
        </w:rPr>
        <w:softHyphen/>
        <w:t>мой воздушный праздник Страны Сове</w:t>
      </w:r>
      <w:r w:rsidRPr="00DB5D0D">
        <w:rPr>
          <w:rFonts w:ascii="Times New Roman" w:hAnsi="Times New Roman"/>
          <w:color w:val="0070C0"/>
          <w:sz w:val="16"/>
          <w:szCs w:val="16"/>
        </w:rPr>
        <w:softHyphen/>
        <w:t>тов. Пресса писала: «Полет воздушного корабля «СССР Л-760» (типа «Максим Горький») завершил торжественный пра</w:t>
      </w:r>
      <w:r w:rsidRPr="00DB5D0D">
        <w:rPr>
          <w:rFonts w:ascii="Times New Roman" w:hAnsi="Times New Roman"/>
          <w:color w:val="0070C0"/>
          <w:sz w:val="16"/>
          <w:szCs w:val="16"/>
        </w:rPr>
        <w:softHyphen/>
        <w:t>здник. Пилотировал машину М.М. Громов. Она шла со стороны деревни Щукино на вы</w:t>
      </w:r>
      <w:r w:rsidRPr="00DB5D0D">
        <w:rPr>
          <w:rFonts w:ascii="Times New Roman" w:hAnsi="Times New Roman"/>
          <w:color w:val="0070C0"/>
          <w:sz w:val="16"/>
          <w:szCs w:val="16"/>
        </w:rPr>
        <w:softHyphen/>
        <w:t>соте примерно 200 м. Зрители восторжен</w:t>
      </w:r>
      <w:r w:rsidRPr="00DB5D0D">
        <w:rPr>
          <w:rFonts w:ascii="Times New Roman" w:hAnsi="Times New Roman"/>
          <w:color w:val="0070C0"/>
          <w:sz w:val="16"/>
          <w:szCs w:val="16"/>
        </w:rPr>
        <w:softHyphen/>
        <w:t>но приветствовали «Л- 760» (21240).</w:t>
      </w:r>
    </w:p>
    <w:p w14:paraId="40C4B28B" w14:textId="77777777" w:rsidR="006650AF" w:rsidRPr="00DB5D0D" w:rsidRDefault="006650AF" w:rsidP="00DB5D0D">
      <w:pPr>
        <w:spacing w:after="0" w:line="240" w:lineRule="auto"/>
        <w:jc w:val="both"/>
        <w:rPr>
          <w:rFonts w:ascii="Times New Roman" w:hAnsi="Times New Roman"/>
          <w:color w:val="0070C0"/>
          <w:sz w:val="16"/>
          <w:szCs w:val="16"/>
        </w:rPr>
      </w:pPr>
    </w:p>
    <w:p w14:paraId="55025304"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августа 1940 года парашютная часть программы в этот день включала в себя одиночные прыжки с различных самолетов при горизонтальном полете, одиночные прыжки при фигурных полетах при виражах, пикировании, перевернутом полете, петле. Тогда совершались групповой затяжной прыжок в 10 секунд 10 парашютистов и групповой прыжок 3-х парашютистов с малой высоты методом «срыва». Наконец, был осуществлен массовый групповой прыжок 200 парашютистов Красной Армии и 100 парашютистов Осоавиахима (АП РФ. Ф. 3. Оп. 50. Д. 660. Л. 153-154.) (21402).</w:t>
      </w:r>
    </w:p>
    <w:p w14:paraId="55379618" w14:textId="77777777" w:rsidR="006650AF" w:rsidRPr="00DB5D0D" w:rsidRDefault="006650AF" w:rsidP="00DB5D0D">
      <w:pPr>
        <w:spacing w:after="0" w:line="240" w:lineRule="auto"/>
        <w:jc w:val="both"/>
        <w:rPr>
          <w:rFonts w:ascii="Times New Roman" w:hAnsi="Times New Roman"/>
          <w:color w:val="0070C0"/>
          <w:sz w:val="16"/>
          <w:szCs w:val="16"/>
        </w:rPr>
      </w:pPr>
    </w:p>
    <w:p w14:paraId="690D2C1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3960E06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48E4AF4"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18 – 20 августа 1940 г. стали последними днями, когда в ходе государственных испытаний дизелей М-250 танки А-34 совместно участвовали в пробегах. После возвращения на завод танк А-34 № 311-11-3 встал на ремонт. </w:t>
      </w:r>
    </w:p>
    <w:p w14:paraId="71DE438F"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Из-за повышенной температуры масла комиссией, проводившей испытания было решено опытные масляные баки без радиаторов заменить на серийные баки-радиаторы. Ремонт танка был закончен только к вечеру 22 августа 1940 г. К этому времени танк А-34 № 311-18-3 уже 4 часа находился в движении. О том, что этот выезд будет последним, участники испытаний вряд ли догадывались. Ближе к полудню, когда танк А-34 № 311-18-3 подъезжал к заводу № 183, в системе смазки двигателя резко повысилась температура масла. Оставшуюся часть пути испытателям пришлось пройти при частоте вращения коленчатого вала двигателя, не превышающей 1200 об/мин. После проведенного технического осмотра танка комиссия пришла к выводу, что дизель М-250 № 3 </w:t>
      </w:r>
      <w:r w:rsidRPr="00DB5D0D">
        <w:rPr>
          <w:rFonts w:ascii="Times New Roman" w:hAnsi="Times New Roman"/>
          <w:iCs/>
          <w:color w:val="000000" w:themeColor="text1"/>
          <w:sz w:val="16"/>
          <w:szCs w:val="16"/>
        </w:rPr>
        <w:t xml:space="preserve">«из-за потери работоспособности на 114 час. 32 мин. работы его в танке А-34 под нагрузкой </w:t>
      </w:r>
      <w:r w:rsidRPr="00DB5D0D">
        <w:rPr>
          <w:rFonts w:ascii="Times New Roman" w:hAnsi="Times New Roman"/>
          <w:color w:val="000000" w:themeColor="text1"/>
          <w:sz w:val="16"/>
          <w:szCs w:val="16"/>
        </w:rPr>
        <w:t>[необходимо]</w:t>
      </w:r>
      <w:r w:rsidRPr="00DB5D0D">
        <w:rPr>
          <w:rFonts w:ascii="Times New Roman" w:hAnsi="Times New Roman"/>
          <w:iCs/>
          <w:color w:val="000000" w:themeColor="text1"/>
          <w:sz w:val="16"/>
          <w:szCs w:val="16"/>
        </w:rPr>
        <w:t xml:space="preserve"> снять с испытаний»</w:t>
      </w:r>
      <w:r w:rsidRPr="00DB5D0D">
        <w:rPr>
          <w:rFonts w:ascii="Times New Roman" w:hAnsi="Times New Roman"/>
          <w:color w:val="000000" w:themeColor="text1"/>
          <w:sz w:val="16"/>
          <w:szCs w:val="16"/>
        </w:rPr>
        <w:t xml:space="preserve">. Не в лучшем состоянии находилась и ходовая часть танка – практически на всех опорных катках танка резиновый массив грузошин к дальнейшей эксплуатации был не пригоден. Танк А-34 № 311-18-3 требовал как минимум среднего ремонта. </w:t>
      </w:r>
    </w:p>
    <w:p w14:paraId="76D2CBBE"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Для танка А-34 № 311-11-3 день 23 августа 1940 г. был более удачным. После двух дней нахождения в ремонте, танк ранним утром продолжил выполнение программы государственных испытаний дизеля М-250 № 4. Очередной пробег был завершен 25 августа 1940 г. ближе к обеду, за двое с лишним суток двигатель проработал в танке около 32 часов. Замена масляных баков желаемого результата не дала, по-прежнему температура масла, входящего в двигатель и выходящего из него, превышала температуру, заданную техническими условиями. Чтобы избежать участи, постигшей дизель М-250 № 3, комиссией было решено переделать систему смазки двигателя. В опытном цехе «540» к 16 сентября 1940 г. в системе смазки были проведены следующие изменения: гофрированные радиаторы на масляных баках были заменены трубчатыми воздухомасляными радиаторами с пластинчатыми ребрами охлаждения. Эти радиаторы были установлены между масляными баками и радиаторами жидкостной системы охлаждения справа и слева от двигателя. Включение радиаторов в систему смазки было параллельное, в связи с чем, расположение масляных трубопроводов в моторном отделении танка практически не изменилось, а было добавлено только 8 трубок, соединявших баки с радиаторами. </w:t>
      </w:r>
    </w:p>
    <w:p w14:paraId="0FDF2F8A"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с измененной системой смазки двигателя утром 17 сентября 1940 г. покинул территорию завода, но уже через 3 часа был вынужден вернуться из-за разрушения лопастей вентилятора системы охлаждения двигателя. Хотя пробег был не продолжительным, но он всё же показал, что проведенные изменения в системе смазки двигателя не обеспечили достаточного охлаждения масла. Танк снова поставили в цех «540» на ремонт. Одновременно с заменой вентилятора вторично была переделана система смазки. Теперь за основу была взята схема охлаждения масла, примененная в системе смазки силовой установки танка БТ-7М, т. е. масляные радиаторы были включены последовательно. Кроме того, для увеличения производительности масляных радиаторов в них были установлены завихрители, представлявшие собой латунные спирали с высеченными на них «шипами-ершами» высотой 3 мм. Завихрители были установлены внутри каждой трубки маслорадиатора. Конструкция бачка-суфлера дизеля так же была изменена. Теперь сконденсированное из паров масло стекало обратно в картер двигателя и в моторное отделение танка не выбрасывалось. Большинство медных трубок было заменено стальными, которые не ломались от вибрации. </w:t>
      </w:r>
    </w:p>
    <w:p w14:paraId="002F69D3"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сентября 1940 г. испытания дизеля М-250 № 4 в танке А-34 № 311-11-3 были возобновлены. В этот день двигатель проработал около 8 часов. После обеда на заводе № 183 было произведено техническое обслуживание танка, а утром следующего дня испытания продолжились. Результат – 10 часов работы дизеля под нагрузкой.</w:t>
      </w:r>
    </w:p>
    <w:p w14:paraId="35FB68F8"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Во время очередного испытательного пробега, 27 сентября 1940 г., около полудня на 103 часе работы дизель М-250 № 4 вышел из строя. На следующий день дизель был демонтирован из танка и передан в отдел «1600» завода № 75 для исследования. </w:t>
      </w:r>
    </w:p>
    <w:p w14:paraId="08F6B71C"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концу сентября 1940 г. государственные испытания дизеля М-250 больше напоминали опытные работы по доводке дизеля на машине, а не полноценную </w:t>
      </w:r>
      <w:r w:rsidRPr="00DB5D0D">
        <w:rPr>
          <w:rFonts w:ascii="Times New Roman" w:hAnsi="Times New Roman"/>
          <w:iCs/>
          <w:color w:val="000000" w:themeColor="text1"/>
          <w:sz w:val="16"/>
          <w:szCs w:val="16"/>
        </w:rPr>
        <w:t>«проверку по определению надежности работы дизеля типа М-250 в танке А-34 в течение гарантийного срока – 250 часов работы под нагрузкой»</w:t>
      </w:r>
      <w:r w:rsidRPr="00DB5D0D">
        <w:rPr>
          <w:rFonts w:ascii="Times New Roman" w:hAnsi="Times New Roman"/>
          <w:color w:val="000000" w:themeColor="text1"/>
          <w:sz w:val="16"/>
          <w:szCs w:val="16"/>
        </w:rPr>
        <w:t xml:space="preserve">. В связи с этим комиссией было принято решение: </w:t>
      </w:r>
      <w:r w:rsidRPr="00DB5D0D">
        <w:rPr>
          <w:rFonts w:ascii="Times New Roman" w:hAnsi="Times New Roman"/>
          <w:iCs/>
          <w:color w:val="000000" w:themeColor="text1"/>
          <w:sz w:val="16"/>
          <w:szCs w:val="16"/>
        </w:rPr>
        <w:t>«государственное испытание дизеля М-250 прекратить, все результаты работы Госкомиссии перевести в разряд внутризаводских испытаний с целью доводки двигателя»</w:t>
      </w:r>
      <w:r w:rsidRPr="00DB5D0D">
        <w:rPr>
          <w:rFonts w:ascii="Times New Roman" w:hAnsi="Times New Roman"/>
          <w:color w:val="000000" w:themeColor="text1"/>
          <w:sz w:val="16"/>
          <w:szCs w:val="16"/>
        </w:rPr>
        <w:t xml:space="preserve">. А в заключении по результатам проведенных государственных испытаний дизелей М-250, в частности, было записано следующее: </w:t>
      </w:r>
    </w:p>
    <w:p w14:paraId="7BDB53D5"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«1. Государственные испытания дизелей М-250 прекратить. В предъявленном виде, дизель М-250 не может быть рекомендован для Т-34».</w:t>
      </w:r>
      <w:r w:rsidRPr="00DB5D0D">
        <w:rPr>
          <w:rFonts w:ascii="Times New Roman" w:hAnsi="Times New Roman"/>
          <w:color w:val="000000" w:themeColor="text1"/>
          <w:sz w:val="16"/>
          <w:szCs w:val="16"/>
        </w:rPr>
        <w:t xml:space="preserve"> </w:t>
      </w:r>
    </w:p>
    <w:p w14:paraId="282C0818" w14:textId="77777777" w:rsidR="00C47A72" w:rsidRPr="00DB5D0D" w:rsidRDefault="00C47A72" w:rsidP="00DB5D0D">
      <w:pPr>
        <w:pStyle w:val="ae"/>
        <w:spacing w:before="0" w:after="0"/>
        <w:jc w:val="both"/>
        <w:rPr>
          <w:color w:val="000000" w:themeColor="text1"/>
          <w:sz w:val="16"/>
          <w:szCs w:val="16"/>
        </w:rPr>
      </w:pPr>
      <w:r w:rsidRPr="00DB5D0D">
        <w:rPr>
          <w:bCs/>
          <w:color w:val="000000" w:themeColor="text1"/>
          <w:sz w:val="16"/>
          <w:szCs w:val="16"/>
        </w:rPr>
        <w:t>[РГВА. Ф. 31811. Оп. 3. Д. 2035. Л. 3]</w:t>
      </w:r>
    </w:p>
    <w:p w14:paraId="3C3F41FB"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С выходом из строя дизеля М-250 № 4 единственной надеждой на успешное проведение заводских испытаний оставался последний из пяти изготовленных заводом № 75 двигателей М-250. Дизель с пятым порядковым номером 24 сентября 1940 г. был установлен в танк А-34 № 311-18-3. Испытания дизеля затянулись на месяц, 25 октября 1940 г. в системе смазки дизеля М-250 № 5 было обнаружено падение давления. На следующий день двигатель в опытном цехе «540» завода № 183 был демонтирован из танка и передан отделу «1600» завода № 75 для исследования. 27 октября 1940 г. при разборке дизеля М-250 № 5 в коленчатом валу в районе пятой коренной шейки была обнаружена продольная трещина. К моменту аварии двигатель проработал около 48 часов на стенде и 75 часов 21 минуту в танке. </w:t>
      </w:r>
    </w:p>
    <w:p w14:paraId="61D31C0A"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Танк А-34 № 311-11-3 после прекращения государственных испытаний также был использован в опытных работах по доводке дизеля М-250. В начале октября 1940 г. на танк был установлен дизель М-250 № 2, отработавший в период с 16 апреля по 8 мая 1940 г. на заводских стендовых испытаниях 349 часов 41 минуту. Также на машину был установлен опытный главный фрикцион, отличавшийся от серийного главного фрикциона танка Т-34 тем, что вместо восьми ведущих чугунных и десяти ведомых стальных дисков в нем имелось двенадцать ведомых и десять ведущих стальных дисков. Кроме этого диски опытного главного фрикциона имели вырезы, предназначавшиеся для уменьшения коробления дисков при их нагреве и прерывания образовывавшихся на них круговых задиров. В каждом ведомом и ведущем диске было сделано по 4 выреза глубиной 13 мм и шириной 10 мм, расположенных на равном расстоянии друг от друга на тех сторонах дисков, на которых не было зубьев. </w:t>
      </w:r>
    </w:p>
    <w:p w14:paraId="7AE78E03"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Однако завершить заводские испытания дизеля М-250 № 2 и опытного главного фрикциона в танке А-34 не удалось потому, что интенсивно эксплуатировавшиеся на протяжении 9 месяцев опытные танки А-34 в начале ноября 1940 г. было решено капитально отремонтировать. </w:t>
      </w:r>
    </w:p>
    <w:p w14:paraId="203FF5E3"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Необходимо отметить, что, несмотря на то, что дизели М-250 государственных испытаний не выдержали, некоторые примененные в них удачные технические решения в 1941 г. были реализованы в конструкции дизеля В-2 четвертой серии. </w:t>
      </w:r>
    </w:p>
    <w:p w14:paraId="50C8D56A" w14:textId="77777777" w:rsidR="00C47A72" w:rsidRPr="00DB5D0D" w:rsidRDefault="00C47A7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Что же касается танков А-34, то с 15 ноября и до середины декабря 1940 г. оба они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43B01614" w14:textId="77777777" w:rsidR="00C47A72" w:rsidRPr="00DB5D0D" w:rsidRDefault="00C47A72"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54BDD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г. был подписан Акт об окончании монтажа МП-10 на НИМАПе. Полигонная установка МП-10 была спроектирована в КБ ЛМЗ для испытания пушки Б-37 406/50-мм для вооружения линкора типа "Советский Союз" (проект 23). Изготовление и монтаж ее на НИМАПе произвел Новокраматорский завод им. Сталина. МП-10 была установлена на железобетонном блоке весом 720 т. Вместо жесткого барабана было применено литое стальное кольцо массой 60 т и диаметром 8 м. Вращающаяся часть установки покоилась на 96 шарах диаметром 203 мм, расположенных на шаровом погоне диаметром 7460 мм. Длина станка без орудия составляла 13,2 м, а его высота от плоскости шарового погона 5,8 м. Снаряды и полузаряды сгружались с автомобиля на загрузочный стол МП-10, с него переносились на лоток заряжания, расположенный на оси канала. Досылка осуществлялась штатным цепным прибойником МК-1 (3861).</w:t>
      </w:r>
    </w:p>
    <w:p w14:paraId="5A7F2D5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BFBF2AB"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6B99789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9B32279" w14:textId="77777777" w:rsidR="00DD4123" w:rsidRPr="00DB5D0D" w:rsidRDefault="00DD41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г. Нарком Обороны СССР маршал Семён Тимошенко и начальник Генштаба генерал Кирилл Мерецков подали на утверждение волновому герою Иосифу Сталину «План действий Красной Армии на Западе и на Востоке в 1940-1941 годах» (17398).</w:t>
      </w:r>
    </w:p>
    <w:p w14:paraId="683E6707" w14:textId="77777777" w:rsidR="00DD4123" w:rsidRPr="00DB5D0D" w:rsidRDefault="00DD4123" w:rsidP="00DB5D0D">
      <w:pPr>
        <w:spacing w:after="0" w:line="240" w:lineRule="auto"/>
        <w:jc w:val="both"/>
        <w:rPr>
          <w:rFonts w:ascii="Times New Roman" w:hAnsi="Times New Roman"/>
          <w:color w:val="000000" w:themeColor="text1"/>
          <w:sz w:val="16"/>
          <w:szCs w:val="16"/>
        </w:rPr>
      </w:pPr>
    </w:p>
    <w:p w14:paraId="3D0367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К.А.Мерецков сменил Б.М.Шапошникова на посту начальника Генштаба (512,25).</w:t>
      </w:r>
    </w:p>
    <w:p w14:paraId="469788C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66C11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070B3D5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53C26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началась проводка Северным морским путем в Тихий океан из Баренцова моря немецкого вспомогательного крейсера Комет. В Маточкином шаре его ждал ледокол Ленин (2536,146).</w:t>
      </w:r>
    </w:p>
    <w:p w14:paraId="7FA60F9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0B1479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C14FC3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13F740C" w14:textId="77777777" w:rsidR="006650AF" w:rsidRPr="00DB5D0D" w:rsidRDefault="006650AF"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 августа 1940 - «Самый тяжелый день» в битве за Британию: в этот день обе стороны потеряли больше самолетов, чем в любой другой момент кампании, когда Люфтваффе не добилось доминирования над истребительным командованием Королевских ВВС (20795).</w:t>
      </w:r>
    </w:p>
    <w:p w14:paraId="1A53C136" w14:textId="77777777" w:rsidR="006650AF" w:rsidRPr="00DB5D0D" w:rsidRDefault="006650AF" w:rsidP="00DB5D0D">
      <w:pPr>
        <w:spacing w:after="0" w:line="240" w:lineRule="auto"/>
        <w:jc w:val="both"/>
        <w:rPr>
          <w:rFonts w:ascii="Times New Roman" w:hAnsi="Times New Roman"/>
          <w:color w:val="0070C0"/>
          <w:sz w:val="16"/>
          <w:szCs w:val="16"/>
        </w:rPr>
      </w:pPr>
    </w:p>
    <w:p w14:paraId="5C1CD44C"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в 1940 году во время бомбежки радара около Поилинг (Англия) истребители 43-го и 152-го "скуадрона" RAF сбили при выходе из пикирования 12 и повредили шесть «Ju-87B». Всего в тот день были сбито и повреждено тридцать "Штук". Слишком высокой ценой показались эти потери руководству Люфтваффе и по приказу Геринга пикировщики были выведены в резерв. В вылете 14 ноября 1940 г. III/StG1 потеряла четвертую часть своих "Штук". После этого «Ju-87B» был окончательно отстранен от участия в боях над Англией.</w:t>
      </w:r>
    </w:p>
    <w:p w14:paraId="59094D49"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этот же день «Do 17Z» из III/KG 76 участвовали в налетах на Биггин Хилл, Кройдон и Кенли. Над Кройдоном было потеряно четыре «Do 17», Еще три бомбардировщика получили сильные повреждения, но дотянули до Франции. В одном из них был убит летчик, и самолет привел обратно и посадил на "брюхо" штурман - оберфельдфебель Илльг. За этот мужественный поступок он был награжден рыцарским крестом. К концу августа стало ясно что подавить военно-воздушные силы Великобритании не удалось. Если с 13 по 23 августа немцы бомбили английские аэродромы и авиазаводы, то с 25 августа 1940 года Люфтваффе пытаются наносить удары по столице Великобритании - Лондону. 4 сентября 1940 года Гитлер окончательно определил новую задачу для воздушных сил Германии. Теперь целью немецких бомбардировщиков становится Лондон и другие города Англии. Это решение возникло как ответ на начавшиеся бомбардировки немецких городов английской авиацией (14987).</w:t>
      </w:r>
    </w:p>
    <w:p w14:paraId="54E6D604"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36AD31E4"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после того как немцы потеряли 71 самолет против 27 английских было принять решение не использовать больше Ю-87 (2240).</w:t>
      </w:r>
    </w:p>
    <w:p w14:paraId="2D5FDAE3"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515CEE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18 августа 1940 с июля Германия потеряла 367 самолетов, а Англия - 213 (340,11).</w:t>
      </w:r>
    </w:p>
    <w:p w14:paraId="75454BA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7574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было подписано Огденское соглашение между США и Канадой по совместным оборонительным мероприятиям (3186).</w:t>
      </w:r>
    </w:p>
    <w:p w14:paraId="7B11C2C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69A9C0" w14:textId="77777777" w:rsidR="00DD4123" w:rsidRPr="00DB5D0D" w:rsidRDefault="00DD41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августа 1940 г. Итальянцы занимают Британский Сомалиленд. Авантюризм этого шага вскоре стал очевиден — у итальянцев нет танков и современной артиллерии, слабая авиации и отсутствует возможность поставки продовольствия из метрополии (17398).</w:t>
      </w:r>
    </w:p>
    <w:p w14:paraId="37A20EC8" w14:textId="77777777" w:rsidR="00DD4123" w:rsidRPr="00DB5D0D" w:rsidRDefault="00DD4123" w:rsidP="00DB5D0D">
      <w:pPr>
        <w:spacing w:after="0" w:line="240" w:lineRule="auto"/>
        <w:jc w:val="both"/>
        <w:rPr>
          <w:rFonts w:ascii="Times New Roman" w:hAnsi="Times New Roman"/>
          <w:color w:val="000000" w:themeColor="text1"/>
          <w:sz w:val="16"/>
          <w:szCs w:val="16"/>
        </w:rPr>
      </w:pPr>
    </w:p>
    <w:p w14:paraId="5F1DD50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681C37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B3350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директор завода 156 Ленкин и ГК Кочеригин писали письмо N 2021с Зам. нач. 7 ГУ С.Н.Шишкину:</w:t>
      </w:r>
    </w:p>
    <w:p w14:paraId="4A9189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исполнение указания Наркома А.И.Ш. просим Вашего распоряжения заводу 19 о срочной отгрузке в адрес завода 156 макетного мотора М-71 с удлиненным валом для постройки макета самолета ОПБ с означенным мотором." (2062,80).</w:t>
      </w:r>
    </w:p>
    <w:p w14:paraId="4C4F7B7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03F82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года А.И.Шахурин писал письмо № Н-20/1562 зам. начальника ВВС генерал-лейтенанту Рычагову</w:t>
      </w:r>
    </w:p>
    <w:p w14:paraId="3F8DC4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Направляю копию докладной записки от 15 августа 1940 года о результатах летных испытаний самолета "Украина" на выработку остатков горючего.</w:t>
      </w:r>
    </w:p>
    <w:p w14:paraId="3CB7D0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 было проведено летное испытание самолета "Украина" на выработку остатков горючего. Испытание проводилось на летно-испытательной станции завода 3 39. Пилотировал самолет летчик-испытатель Федоров.</w:t>
      </w:r>
    </w:p>
    <w:p w14:paraId="72D2C0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1A3D97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испытания полностью подтверждают выводы 31 июля 1940 года, а именно:</w:t>
      </w:r>
    </w:p>
    <w:p w14:paraId="47D9CE7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Причин для прекращения полета и производства вынужденной посадки самолета "Украина" по вине материальной части и остатков горючего не было. Остатка горючего хватило бы для продолжения полета на расстояние минимум 1300 км.</w:t>
      </w:r>
    </w:p>
    <w:p w14:paraId="09D313F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Нестеренко, очевидно неправильно пользовалась кранами и поэтому не смогла выработать остатка горючего (7627, 95-96).</w:t>
      </w:r>
    </w:p>
    <w:p w14:paraId="01B17E9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11521F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года первый экземпляр ОКО-6 2М-88 б/р поступил на повторные заводские испытания. После переделок первые 2 полета показали:</w:t>
      </w:r>
    </w:p>
    <w:p w14:paraId="168F57A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Устойчивость на разбеге и пробеге по заявлению летчика стала хорошей. В смысле продольной устойчивости в полете улучшений нет:</w:t>
      </w:r>
    </w:p>
    <w:p w14:paraId="14219C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 зажатой ручкой на планировании небольшой запас устойчивости, на наборе самолет неустойчив;</w:t>
      </w:r>
    </w:p>
    <w:p w14:paraId="686D3D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 со свободной ручкой и на планировании и на наборе – самолет неустойчив.</w:t>
      </w:r>
    </w:p>
    <w:p w14:paraId="41DF09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рулежке проворачиваются покрышки колес шасси из-за отсутствия фиксаторов покрышек.</w:t>
      </w:r>
    </w:p>
    <w:p w14:paraId="248EF8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Потом самолет не летал в ожидании новых колес и покрышек. Кроме того, убиралась стреловидность крыла в плане вперед, посредством поворота консолей вокруг одного из узлов крепления крыла (это дает на 3% более переднюю центровку) (3377, 31).</w:t>
      </w:r>
    </w:p>
    <w:p w14:paraId="1BDFBB7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12869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Нач. Секр. НКАП И.Фирсаев писал письмо N 1060сс в ПГУ Леонтьеву:</w:t>
      </w:r>
    </w:p>
    <w:p w14:paraId="365E6B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резолюцией НКАП М.М.К. направляю Вам для проработки письмо УВВС РККА N 368699сс с проектом постановления КО "О создании в 1939-40 нового экспериментального скоростного истребителя с изменяющейся в полете площадью крыльев." (1354,109).</w:t>
      </w:r>
    </w:p>
    <w:p w14:paraId="5F49247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40837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года закончились испытания серийного самолета И-16 М-63 № 24п21ж69, которые проходили с 12 августа 1940</w:t>
      </w:r>
    </w:p>
    <w:p w14:paraId="1A566B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061E1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и вед. летчик – в/инженер 2 ранга Кочетков</w:t>
      </w:r>
    </w:p>
    <w:p w14:paraId="460352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серийного самолета И-16 М-63 тип 24, полученного для этой цели из Люберецкой авиабригады, были проведены с целью уточнения летных данных самолета И-16 М-63 типа 24 и выявления причин снижения максимальной скорости серийного самолета по сравнению с опытным самолетом И-16 М-63 тип 24.</w:t>
      </w:r>
    </w:p>
    <w:p w14:paraId="087D8A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(Опытный самолет И-16 М-63 тип 24 испытывался в НИИ ВВС в 1939 году и показал максимальную скорость 485 км/час, тогда как на эталоне 1940 года самолета И-16 М-63, проходившего испытания в НИИ ВВС в мае 1940 года, была получена максимальная скорость 462 км/час).</w:t>
      </w:r>
    </w:p>
    <w:p w14:paraId="532A7D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2028BD5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Снятие летных характеристик.</w:t>
      </w:r>
    </w:p>
    <w:p w14:paraId="55F4C8B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взлетно-посадочных свойств.</w:t>
      </w:r>
    </w:p>
    <w:p w14:paraId="2AC3DB1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Определение маневренности.</w:t>
      </w:r>
    </w:p>
    <w:p w14:paraId="36B98C7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Летная оценка самолета.</w:t>
      </w:r>
    </w:p>
    <w:p w14:paraId="074EEC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Эталон самолета И-16 М-63 предполагалось получить в декабре 1939 года, фактически завод представил эталон в апреле 1940 года после того как значительная серия самолетов И-16 М-63 тип 24 уже поступила в строевые части. Конструктивные изменения эталона 1940 года будут проведены на серийных самолетах И-16 М-63 тип 29.</w:t>
      </w:r>
    </w:p>
    <w:p w14:paraId="79E13A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 проведено 25 полетов с налетом 7 час. 25 мин.</w:t>
      </w:r>
    </w:p>
    <w:p w14:paraId="508BD3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F36DBB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Серийный самолет И-16 М-63 имеет разницу в максимальной скорости на расчетной высоте по сравнению с опытным экземпляром на 11 км/час (470 км/час вместо 481 км/час).</w:t>
      </w:r>
    </w:p>
    <w:p w14:paraId="1697B6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4428"/>
      </w:tblGrid>
      <w:tr w:rsidR="007D5DF8" w:rsidRPr="00DB5D0D" w14:paraId="4B765345" w14:textId="77777777" w:rsidTr="00E543D0">
        <w:tc>
          <w:tcPr>
            <w:tcW w:w="3024" w:type="dxa"/>
            <w:tcBorders>
              <w:top w:val="single" w:sz="12" w:space="0" w:color="auto"/>
            </w:tcBorders>
          </w:tcPr>
          <w:p w14:paraId="5547D1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августа 1940 года</w:t>
            </w:r>
          </w:p>
        </w:tc>
        <w:tc>
          <w:tcPr>
            <w:tcW w:w="4428" w:type="dxa"/>
            <w:tcBorders>
              <w:top w:val="single" w:sz="12" w:space="0" w:color="auto"/>
            </w:tcBorders>
          </w:tcPr>
          <w:p w14:paraId="3F3766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Проведено три полета на скороподъемность</w:t>
            </w:r>
          </w:p>
        </w:tc>
      </w:tr>
      <w:tr w:rsidR="007D5DF8" w:rsidRPr="00DB5D0D" w14:paraId="456C7E15" w14:textId="77777777" w:rsidTr="00E543D0">
        <w:tc>
          <w:tcPr>
            <w:tcW w:w="3024" w:type="dxa"/>
          </w:tcPr>
          <w:p w14:paraId="15655E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w:t>
            </w:r>
          </w:p>
        </w:tc>
        <w:tc>
          <w:tcPr>
            <w:tcW w:w="4428" w:type="dxa"/>
          </w:tcPr>
          <w:p w14:paraId="6CEFC5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один полет на километраж</w:t>
            </w:r>
          </w:p>
        </w:tc>
      </w:tr>
      <w:tr w:rsidR="007D5DF8" w:rsidRPr="00DB5D0D" w14:paraId="7CC67F6B" w14:textId="77777777" w:rsidTr="00E543D0">
        <w:tc>
          <w:tcPr>
            <w:tcW w:w="3024" w:type="dxa"/>
          </w:tcPr>
          <w:p w14:paraId="6E2DB5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августа 1940 года</w:t>
            </w:r>
          </w:p>
        </w:tc>
        <w:tc>
          <w:tcPr>
            <w:tcW w:w="4428" w:type="dxa"/>
          </w:tcPr>
          <w:p w14:paraId="6A9BF9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один полет на потолок</w:t>
            </w:r>
          </w:p>
        </w:tc>
      </w:tr>
      <w:tr w:rsidR="007D5DF8" w:rsidRPr="00DB5D0D" w14:paraId="3C3EDD15" w14:textId="77777777" w:rsidTr="00E543D0">
        <w:tc>
          <w:tcPr>
            <w:tcW w:w="3024" w:type="dxa"/>
          </w:tcPr>
          <w:p w14:paraId="66132B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w:t>
            </w:r>
          </w:p>
        </w:tc>
        <w:tc>
          <w:tcPr>
            <w:tcW w:w="4428" w:type="dxa"/>
          </w:tcPr>
          <w:p w14:paraId="088047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один полет на скороподъемность</w:t>
            </w:r>
          </w:p>
        </w:tc>
      </w:tr>
      <w:tr w:rsidR="007D5DF8" w:rsidRPr="00DB5D0D" w14:paraId="5CA616CD" w14:textId="77777777" w:rsidTr="00E543D0">
        <w:tc>
          <w:tcPr>
            <w:tcW w:w="3024" w:type="dxa"/>
          </w:tcPr>
          <w:p w14:paraId="52B432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августа 1940 года</w:t>
            </w:r>
          </w:p>
        </w:tc>
        <w:tc>
          <w:tcPr>
            <w:tcW w:w="4428" w:type="dxa"/>
          </w:tcPr>
          <w:p w14:paraId="660B5A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один полет на засечку виражей</w:t>
            </w:r>
          </w:p>
        </w:tc>
      </w:tr>
      <w:tr w:rsidR="007D5DF8" w:rsidRPr="00DB5D0D" w14:paraId="0933614F" w14:textId="77777777" w:rsidTr="00E543D0">
        <w:tc>
          <w:tcPr>
            <w:tcW w:w="3024" w:type="dxa"/>
          </w:tcPr>
          <w:p w14:paraId="6AC58B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w:t>
            </w:r>
          </w:p>
        </w:tc>
        <w:tc>
          <w:tcPr>
            <w:tcW w:w="4428" w:type="dxa"/>
          </w:tcPr>
          <w:p w14:paraId="3777C7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 контрольный полет на скороподъемность</w:t>
            </w:r>
          </w:p>
        </w:tc>
      </w:tr>
      <w:tr w:rsidR="007D5DF8" w:rsidRPr="00DB5D0D" w14:paraId="325996BA" w14:textId="77777777" w:rsidTr="00E543D0">
        <w:tc>
          <w:tcPr>
            <w:tcW w:w="3024" w:type="dxa"/>
          </w:tcPr>
          <w:p w14:paraId="1328CF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года</w:t>
            </w:r>
          </w:p>
        </w:tc>
        <w:tc>
          <w:tcPr>
            <w:tcW w:w="4428" w:type="dxa"/>
          </w:tcPr>
          <w:p w14:paraId="1F9BAD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Проведено 15 полетов на замер взлетно-посадочных свойств</w:t>
            </w:r>
          </w:p>
        </w:tc>
      </w:tr>
      <w:tr w:rsidR="007D5DF8" w:rsidRPr="00DB5D0D" w14:paraId="0BE8D6D8" w14:textId="77777777" w:rsidTr="00E543D0">
        <w:tc>
          <w:tcPr>
            <w:tcW w:w="3024" w:type="dxa"/>
            <w:tcBorders>
              <w:bottom w:val="single" w:sz="12" w:space="0" w:color="auto"/>
            </w:tcBorders>
          </w:tcPr>
          <w:p w14:paraId="31F82C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года</w:t>
            </w:r>
          </w:p>
        </w:tc>
        <w:tc>
          <w:tcPr>
            <w:tcW w:w="4428" w:type="dxa"/>
            <w:tcBorders>
              <w:bottom w:val="single" w:sz="12" w:space="0" w:color="auto"/>
            </w:tcBorders>
          </w:tcPr>
          <w:p w14:paraId="18DA5B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Проведено 8 полетов на замер взлетно-посадочных свойств</w:t>
            </w:r>
          </w:p>
        </w:tc>
      </w:tr>
    </w:tbl>
    <w:p w14:paraId="7E86DB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(4428).</w:t>
      </w:r>
    </w:p>
    <w:p w14:paraId="16AD540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27D40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НКСМ т. Лихачев писал письмо № 690/ог на № 749сс от 10 августа 1940 СЕКРЕТАРЮ КОМИТЕТА ОБОРОНЫ при СНК СССР ГЛАВНОМУ КОНТРОЛЕРУ тов. НОВИКОВУ А.С.</w:t>
      </w:r>
    </w:p>
    <w:p w14:paraId="6A230B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выполнении постановления КО № 2ООсс от 12.05.40 г.</w:t>
      </w:r>
    </w:p>
    <w:p w14:paraId="5D7A9E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докладной запиской контролера КО тов. Архипова, присланной при Вашем письме от 10/УШ-40 г. № 749сс сообщаю состояние подготовки производства дизелей М-40.</w:t>
      </w:r>
    </w:p>
    <w:p w14:paraId="442C0E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Обеспечение производства технической документацией</w:t>
      </w:r>
    </w:p>
    <w:p w14:paraId="693026C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(ЦИАМ) обязан был передать заводу № 75 к 15/У-с.г. 3 комплекта чертежей мотора М-40, а к 15/06 с.г. еще 9 компл. окончательно отработанных серийных рабочих чертежей.</w:t>
      </w:r>
    </w:p>
    <w:p w14:paraId="774D93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получении первых 3-х компл. чертежей в них были обнаружены неточности, неувязки и недоработка о чем немедленно было сообщено Народному комиссару авиационное промышленности т. Шахурину А.И. По распоряжению тов. Шахурина в Харьков на завод № 75 вые</w:t>
      </w:r>
      <w:r w:rsidRPr="00DB5D0D">
        <w:rPr>
          <w:rFonts w:ascii="Times New Roman" w:hAnsi="Times New Roman"/>
          <w:color w:val="000000" w:themeColor="text1"/>
          <w:sz w:val="16"/>
          <w:szCs w:val="16"/>
        </w:rPr>
        <w:softHyphen/>
        <w:t>хал Начальник ЦИАМа тов. Каширин, который установил на заводе №75 наличие недостатков в чертежах и зафиксировал это актом.</w:t>
      </w:r>
    </w:p>
    <w:p w14:paraId="763135A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Установив наличие неточностей в чертежах, ЦИАМ, прежде, чем отправлять 9 компл. рабочих чертежей, предварительно выверил их с эталоном и 9 компл. вывереннкх чертежей отправил заводу № 75 вместо 15/06, 26/VI, т.е. с опозданием на 11 дней.</w:t>
      </w:r>
    </w:p>
    <w:p w14:paraId="58E33A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получении рабочих чертежей завод № 75 не</w:t>
      </w:r>
      <w:r w:rsidRPr="00DB5D0D">
        <w:rPr>
          <w:rFonts w:ascii="Times New Roman" w:hAnsi="Times New Roman"/>
          <w:color w:val="000000" w:themeColor="text1"/>
          <w:sz w:val="16"/>
          <w:szCs w:val="16"/>
        </w:rPr>
        <w:softHyphen/>
        <w:t>медленно приступил к проектированию и изготовлении приспособлений, штампов, инструмента, обеспечению производства материалами и заключению договоров на поставку деталей получаемых с других заводов.</w:t>
      </w:r>
    </w:p>
    <w:p w14:paraId="204558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ЦИАМ, после отправки "окончательно выверенных" рабочих чертежей, начал присылать карточки-изменения чертежей и с 26/УI по 26/УП прислал 174 карточек-изменений, причем какдая карточка, как правило, имеет несколько изменений по геометрическим размерам и допускам.</w:t>
      </w:r>
    </w:p>
    <w:p w14:paraId="1F6D0F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присланных ЦИАМ-ом изменениях имеются не только уточнения чертежей, но и исправления основных деталей, например: бурт гильзы цилиндра изменен с 5,5 мм до 7 мм, присланы новые чертежи поршня и т.д. и результате присланных изменений ряд при</w:t>
      </w:r>
      <w:r w:rsidRPr="00DB5D0D">
        <w:rPr>
          <w:rFonts w:ascii="Times New Roman" w:hAnsi="Times New Roman"/>
          <w:color w:val="000000" w:themeColor="text1"/>
          <w:sz w:val="16"/>
          <w:szCs w:val="16"/>
        </w:rPr>
        <w:softHyphen/>
        <w:t>способлений, находящихся в производстве, пришлось заново переделать и это, естественно, вызвало за</w:t>
      </w:r>
      <w:r w:rsidRPr="00DB5D0D">
        <w:rPr>
          <w:rFonts w:ascii="Times New Roman" w:hAnsi="Times New Roman"/>
          <w:color w:val="000000" w:themeColor="text1"/>
          <w:sz w:val="16"/>
          <w:szCs w:val="16"/>
        </w:rPr>
        <w:softHyphen/>
        <w:t>держку подготовки производства.</w:t>
      </w:r>
    </w:p>
    <w:p w14:paraId="35E5AB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предотвращения срыва выполнения задания прошу обязать НКАП:</w:t>
      </w:r>
    </w:p>
    <w:p w14:paraId="46F8C2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прекратить изменения чертежей по М-40 по серии 1940 г.</w:t>
      </w:r>
    </w:p>
    <w:p w14:paraId="503946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в)изготовить и передать заводу № 75 к 1 октября с.г. окончательно выверенные кальки рабочих чертежей, так как переданных ЦИАМ-ом 9 комп. абсолютно недостаточно: для производства на заводе № 75, проектирования цеха М-3, зака</w:t>
      </w:r>
      <w:r w:rsidRPr="00DB5D0D">
        <w:rPr>
          <w:rFonts w:ascii="Times New Roman" w:hAnsi="Times New Roman"/>
          <w:color w:val="000000" w:themeColor="text1"/>
          <w:sz w:val="16"/>
          <w:szCs w:val="16"/>
        </w:rPr>
        <w:softHyphen/>
        <w:t>зов на оборудование и подготовки производства на ХТЗ и, наконец для замены приходящих в негодность синек.</w:t>
      </w:r>
    </w:p>
    <w:p w14:paraId="404954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Подготовка производства топливных насосов на ЧТЗ</w:t>
      </w:r>
    </w:p>
    <w:p w14:paraId="583B9C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насосов ТН12А для дизелей М-40 ЧТЗ получены получены и завод приступил к проектированию производства насосов. Распоряжение о заключении до</w:t>
      </w:r>
      <w:r w:rsidRPr="00DB5D0D">
        <w:rPr>
          <w:rFonts w:ascii="Times New Roman" w:hAnsi="Times New Roman"/>
          <w:color w:val="000000" w:themeColor="text1"/>
          <w:sz w:val="16"/>
          <w:szCs w:val="16"/>
        </w:rPr>
        <w:softHyphen/>
        <w:t>говоров на поставку насовов для завода № 75 и Кировского дано.</w:t>
      </w:r>
    </w:p>
    <w:p w14:paraId="01EADB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нецелесообразности изготовления 3 различных типов 12-плунжерных насосов для дизелей М-40; М-20 и В-2, прошу обязать НКАП:</w:t>
      </w:r>
    </w:p>
    <w:p w14:paraId="29F77C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разработать к 15/1Х с.г. совместно с НКСМ конструкцию унифицированного топливного насоса для М-40, М-30 и В-2;</w:t>
      </w:r>
    </w:p>
    <w:p w14:paraId="167AFC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провести государственные испытания унифи</w:t>
      </w:r>
      <w:r w:rsidRPr="00DB5D0D">
        <w:rPr>
          <w:rFonts w:ascii="Times New Roman" w:hAnsi="Times New Roman"/>
          <w:color w:val="000000" w:themeColor="text1"/>
          <w:sz w:val="16"/>
          <w:szCs w:val="16"/>
        </w:rPr>
        <w:softHyphen/>
        <w:t>цированных топливных насосов, которые будут изготовлены ЧТЗ и сделать рабочие чертежи для серийного производства к 1 января 1941 г.</w:t>
      </w:r>
    </w:p>
    <w:p w14:paraId="073D02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Изготовление приспособлений и инструментов</w:t>
      </w:r>
    </w:p>
    <w:p w14:paraId="4A9D2B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 75 задержка в изготовлении приспособление и инструментов, как указы</w:t>
      </w:r>
      <w:r w:rsidRPr="00DB5D0D">
        <w:rPr>
          <w:rFonts w:ascii="Times New Roman" w:hAnsi="Times New Roman"/>
          <w:color w:val="000000" w:themeColor="text1"/>
          <w:sz w:val="16"/>
          <w:szCs w:val="16"/>
        </w:rPr>
        <w:softHyphen/>
        <w:t>валось, выше произошла потому, что ЦИАМ менял чертежи.</w:t>
      </w:r>
    </w:p>
    <w:p w14:paraId="0AA70A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состоянию на 14/У111 с.г. изготовлено: </w:t>
      </w:r>
    </w:p>
    <w:p w14:paraId="454045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приспособлении 10 наименований из 25, т.ею 8%</w:t>
      </w:r>
    </w:p>
    <w:p w14:paraId="4DB0CE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инструмента специального, мерительного и вспомогательного 128 наименований из 486, т.е. 26%.</w:t>
      </w:r>
    </w:p>
    <w:p w14:paraId="12E1AD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Обработка коленвалов.</w:t>
      </w:r>
    </w:p>
    <w:p w14:paraId="76BD46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Телеграммою 10471 12 /УШ дано распоряжение директору завода № 183 тов. Максареву произвести полную обработку коленвалов.</w:t>
      </w:r>
    </w:p>
    <w:p w14:paraId="563CFA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Изготовление шевронных шестерен редукторов, шлифовка кулачковых валиков и обработка плоскостей крупных отливок</w:t>
      </w:r>
    </w:p>
    <w:p w14:paraId="7C57D8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отсутствия на заводах НКСМ специального ооорудования - станков Паркинсона - изготовление шевронных шестерен редукторов не возможно - прошу обязать НКАП изготовить 15 комплектов шестерен редуктора и произвести шлифовку кулачковых валиков на заводе № 82 НКАП к 15/11 с. г.; обработка плоскостей крупных отливок будет произ</w:t>
      </w:r>
      <w:r w:rsidRPr="00DB5D0D">
        <w:rPr>
          <w:rFonts w:ascii="Times New Roman" w:hAnsi="Times New Roman"/>
          <w:color w:val="000000" w:themeColor="text1"/>
          <w:sz w:val="16"/>
          <w:szCs w:val="16"/>
        </w:rPr>
        <w:softHyphen/>
        <w:t>ведена на заводе № 75.</w:t>
      </w:r>
    </w:p>
    <w:p w14:paraId="51114D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Строительство цеха М-3 на ХТЗ</w:t>
      </w:r>
    </w:p>
    <w:p w14:paraId="1FCC62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Подробная информация о ходе стролтельства дана в письме на Вашеше имя от 12/УШ с. г. № 666 о.г.</w:t>
      </w:r>
    </w:p>
    <w:p w14:paraId="7EE58D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7. Обеспечение зав. НКАП электронными деталями</w:t>
      </w:r>
    </w:p>
    <w:p w14:paraId="4768D4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Проверкой выполнения договора на поставку заводом № 219 НКАП электронного литья установлено, что по состоянию на 15/УШ с.г. ни одна деталь еще не отлита, еще не готовы все модели, а часть моделей находится на доводке.</w:t>
      </w:r>
    </w:p>
    <w:p w14:paraId="1BB87C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Такое же неудовлетворительное положение на заводе № 20 НКАП, который должен поставив заводу № 75 поршневые кольца, клапана, топ</w:t>
      </w:r>
      <w:r w:rsidRPr="00DB5D0D">
        <w:rPr>
          <w:rFonts w:ascii="Times New Roman" w:hAnsi="Times New Roman"/>
          <w:color w:val="000000" w:themeColor="text1"/>
          <w:sz w:val="16"/>
          <w:szCs w:val="16"/>
        </w:rPr>
        <w:softHyphen/>
        <w:t>ливные, масляные и водяные помпы. Эти изде</w:t>
      </w:r>
      <w:r w:rsidRPr="00DB5D0D">
        <w:rPr>
          <w:rFonts w:ascii="Times New Roman" w:hAnsi="Times New Roman"/>
          <w:color w:val="000000" w:themeColor="text1"/>
          <w:sz w:val="16"/>
          <w:szCs w:val="16"/>
        </w:rPr>
        <w:softHyphen/>
        <w:t>лия в производство еще не пущены, так как согласовываются технические условия между заводом и ЦИАМю Нет еще всех чертежей для изготовления всех агрегатов и завод № 20 не обеспечен электронным литьем, которое должны давать другие заводы НКАП.</w:t>
      </w:r>
    </w:p>
    <w:p w14:paraId="0F88B9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Такое состояние на заводах №№ 219 и 20 вызывает опасения, что сроки поставки будут сорваны. Поэтому прощу обязать НКАП форсировать работы по изготовлению вышеперечисленных изделий.</w:t>
      </w:r>
    </w:p>
    <w:p w14:paraId="0B4083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Обеспечение цеха М-3 на ХТЗ импортным оборудованием</w:t>
      </w:r>
    </w:p>
    <w:p w14:paraId="450245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Цех М-3 для производства дизелей М-40 должен быть сдан в эксплоатацию к 1/1У -41 г., следовательно, оборудование цеха, в том числе и импортное, должно оыть завезено на плосадку ХТЗ до конца января 1941 года.</w:t>
      </w:r>
    </w:p>
    <w:p w14:paraId="031E20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Между тем из 259 единиц импортного обо</w:t>
      </w:r>
      <w:r w:rsidRPr="00DB5D0D">
        <w:rPr>
          <w:rFonts w:ascii="Times New Roman" w:hAnsi="Times New Roman"/>
          <w:color w:val="000000" w:themeColor="text1"/>
          <w:sz w:val="16"/>
          <w:szCs w:val="16"/>
        </w:rPr>
        <w:softHyphen/>
        <w:t>рудования Наркомвнешторг разместил на импорт по состоянию на 1/УШ с.г. только 19 станков, из них: 7 станков с поставкой в 1940 г., 11 с поставкой в 1941 г., 1 станок с поставкой в 1942 г. Дальнейшее размещение станков,по сведениям, полученным в Наркомвнешторге воз</w:t>
      </w:r>
      <w:r w:rsidRPr="00DB5D0D">
        <w:rPr>
          <w:rFonts w:ascii="Times New Roman" w:hAnsi="Times New Roman"/>
          <w:color w:val="000000" w:themeColor="text1"/>
          <w:sz w:val="16"/>
          <w:szCs w:val="16"/>
        </w:rPr>
        <w:softHyphen/>
        <w:t>можно только со сроками поставки в 1942 г. и даже в 1943 г.</w:t>
      </w:r>
    </w:p>
    <w:p w14:paraId="35CB6F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Поставка оборудования с такими сроками не обеспечит пуска цеха в обусловленный поста новлением КО срок.</w:t>
      </w:r>
    </w:p>
    <w:p w14:paraId="587F00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обязать Наркоывнешторг обеспечить завоз всего импортного оборудования не позже конца января 1941 года (10499, 25).</w:t>
      </w:r>
    </w:p>
    <w:p w14:paraId="1B4791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3A8AE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Коллегия НКАП (прот. 20) обсудила вопрос "О ходе строительства НИИ и опытных баз НКАП и мероприятиях по развитию опытной работы на заводах НКАП (1002,3).</w:t>
      </w:r>
    </w:p>
    <w:p w14:paraId="194DD9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w:t>
      </w:r>
    </w:p>
    <w:p w14:paraId="5AA4C3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итоги хоз. деятельности авиапромышленности за 1 полугодие 1940 и мероприятиях по обеспечению выполнения плана 3 кв. по снижению себестоимости (и.о. нач. планово-экономического отдела НКАП Куксина и нач. централизованной бухгалтерии НКАП В.П.Соколова) (1164).</w:t>
      </w:r>
    </w:p>
    <w:p w14:paraId="7DF75B6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57B05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года Начальник научно-исследовательского полигона АВ ВВС полковник Шевченко утвердил Отчет по наземным полигонным испытаниям люковой установки КЛУ-2 конструкции завода N 32, которые проходили с 10 по 15 августа 1940 г. (2996).</w:t>
      </w:r>
    </w:p>
    <w:p w14:paraId="2B91628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37D4FCD"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96B29E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F32CF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г. вышел приказ № 245 НКВ, в котором констатировалось неудовлетворительное состояние качества выпускаемой продукции на ряде предприятий (заводы № 314, 235, 371 и 71), большие проблемы в технологической дисциплине на нескольких заводах, а по Горьковскому заводу отмечен только «бесконтрольный расход режущего инструмента в огромных количествах». [80 — Там же, Д. 436. Л. 87.] (11835).</w:t>
      </w:r>
    </w:p>
    <w:p w14:paraId="7B3EA4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D416B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года была подготовлена справка:</w:t>
      </w:r>
    </w:p>
    <w:p w14:paraId="41D72C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314 – директор Медведев</w:t>
      </w:r>
    </w:p>
    <w:p w14:paraId="76C3F8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235 – директор Фирсов</w:t>
      </w:r>
    </w:p>
    <w:p w14:paraId="570FE8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371 – директор Никитин (9188).</w:t>
      </w:r>
    </w:p>
    <w:p w14:paraId="184FF39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40E05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29EB467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1FA38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нарком Берия подписал приказ № 001019 «О переустройстве ГУЛАГа НКВД СССР», по которому аппарат главка сокращался до девяти управлений и восьми отделов, а также производились назначения 11 заместителей начальника ГУЛАГа:</w:t>
      </w:r>
    </w:p>
    <w:p w14:paraId="376637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первый заместитель начальника ГУЛАГа - Г. М. Орлов;</w:t>
      </w:r>
    </w:p>
    <w:p w14:paraId="675924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начальник ЦПФО НКВД и заместитель начальника ГУЛАГа (по совместительству) - Л. И. Берензон;</w:t>
      </w:r>
    </w:p>
    <w:p w14:paraId="61EAE3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начальник ГУЖДС НКВД и заместитель начальника ГУЛАГа (по совместительству) - Н. А. Френкель;</w:t>
      </w:r>
    </w:p>
    <w:p w14:paraId="0B2791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Управление по строительству заводов и горнорудных предприятий черной металлургии (начальник, он же заместитель начальника ГУЛАГа - комиссар ГБ 2 ранга К. А. Павлов);</w:t>
      </w:r>
    </w:p>
    <w:p w14:paraId="081144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Управление исправительно-трудовых колоний и трудовых поселений (начальник, он же заместитель начальника ГУЛАГа - капитан ГБ Г. С. Завгородний, ранее руководивший 7 отделением 3 отдела ГЭУ НКВД СССР);</w:t>
      </w:r>
    </w:p>
    <w:p w14:paraId="197FE8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Управление снабжения лагерей и строек НКВД СССР (начальник В. А. Уваров);</w:t>
      </w:r>
    </w:p>
    <w:p w14:paraId="5B0E47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Управление охраны и режима (начальник, он же заместитель начальника ГУЛАГа - майор ГБ Г. П. Добрынин);</w:t>
      </w:r>
    </w:p>
    <w:p w14:paraId="4DC7E6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Управление горно-металлургической промышленности (начальник, он же заместитель начальника ГУЛАГа - П. А. Захаров); </w:t>
      </w:r>
    </w:p>
    <w:p w14:paraId="08DD12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Управление лесной промышленности (начальник, он же заместитель начальника ГУЛАГа - майор ГБ И. Т. Сергеев);</w:t>
      </w:r>
    </w:p>
    <w:p w14:paraId="24289D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Управление промышленного и специального (капитального) строительства (начальник, он же заместитель начальника ГУЛАГа - майор ГБ М. Н. Попов);</w:t>
      </w:r>
    </w:p>
    <w:p w14:paraId="452FC1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Управление строительства авиационных заводов (начальник, он же заместитель начальника ГУЛАГа - А. П. Лепилов);</w:t>
      </w:r>
    </w:p>
    <w:p w14:paraId="542D57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Управление топливной промышленности;</w:t>
      </w:r>
    </w:p>
    <w:p w14:paraId="6A85EB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Политотдел (начальник - капитан ГБ М. Е. Горбачев);</w:t>
      </w:r>
    </w:p>
    <w:p w14:paraId="2EABA8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отдел кадров (начальник, он же заместитель начальника ГУЛАГа - капитан ГБ С. С. Кузнецов); </w:t>
      </w:r>
    </w:p>
    <w:p w14:paraId="0A5989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отдел учета и распределения заключенных (начальник - лейтенант ГБ Г. М. Грановский);</w:t>
      </w:r>
    </w:p>
    <w:p w14:paraId="27ECA6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санитарный отдел (начальник - Д. М. Лойдин); </w:t>
      </w:r>
    </w:p>
    <w:p w14:paraId="3CADD5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мобилизационный отдел (начальник - младший лейтенант ГБ П. К. Остапов); </w:t>
      </w:r>
    </w:p>
    <w:p w14:paraId="73E9E1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ветеринарный отдел; </w:t>
      </w:r>
    </w:p>
    <w:p w14:paraId="6E77EF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отдел общего снабжения (начальник - интендант 1 ранга В. В. Силин); </w:t>
      </w:r>
    </w:p>
    <w:p w14:paraId="0A3844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административно-хозяйственный отдел (начальник - Н. А. Маслихов);</w:t>
      </w:r>
    </w:p>
    <w:p w14:paraId="2BA0FE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Контрольно-инспекторская группа при начальнике ГУЛАГа (начальник - старший лейтенант ГБ А. Н. Карамышев, ранее помощник начальника Следчасти ГЭУ);</w:t>
      </w:r>
    </w:p>
    <w:p w14:paraId="5A6103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горно-техническая инспекция;</w:t>
      </w:r>
    </w:p>
    <w:p w14:paraId="56C37B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бюро рационализации и изобретательства (начальник - Б. Д. Стратьев); </w:t>
      </w:r>
    </w:p>
    <w:p w14:paraId="24652F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секретариат;</w:t>
      </w:r>
    </w:p>
    <w:p w14:paraId="58D621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архив.</w:t>
      </w:r>
    </w:p>
    <w:p w14:paraId="29BCFB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Отделы ГУЛАГа - плановый, финансовый, труда и зарплаты, главная бухгалтерия - упразднялись с возложением их функций на ЦПФО НКВД СССР, начальник ЦПФО (на тот момент Л. И. Берензон) теперь одновременно был заместителем начальника ГУЛАГа по вопросам организации труда и зарплаты, планирования, финансирования и бухгалтерской отчетности лагерей, колоний и производств ГУЛАГа.</w:t>
      </w:r>
    </w:p>
    <w:p w14:paraId="520E28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Функции упраздняемых отделов ГУЛАГа передавались: отдела железнодорожных и водных перевозок - Отделу железнодорожных и водных перевозок НКВД; отдела технического снабжения - Управлению снабжения лагерей и строек НКВД СССР. Отдел трудовых колоний несовершеннолетних преступников, отдел трудовых и спецпоселков, отдел сельхозлагерей вливались в состав Управления ИТК и трудпоселков; автотракторная инспекция ГУЛАГа - в Управление снабжения; отдел культурно-воспитательной работы - в состав Политотдела ГУЛАГа.</w:t>
      </w:r>
    </w:p>
    <w:p w14:paraId="042C0F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сентябре на базе Гидротехнического отдела ГУЛАГа будет организовано Главное управление гидротехнического строительства НКВД (Главгидрострой), а его начальник также станет (по совместительству) заместителем начальника ГУЛАГа - двенадцатым по счету.</w:t>
      </w:r>
    </w:p>
    <w:p w14:paraId="294839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 была последняя реорганизация главка перед его кардинальным разукрупнением (весной 1941-го, при разделении НКВД на два наркомата), когда аппарат ГУЛАГа разделят на самостоятельные отраслевые главки и управления, а сам ГУЛАГ превратится в мобильный аппарат с функциями управления рядом отдельных ИТЛ, всеми ИТК, детскими колониями и спецпереселенцами, а также лагерными секторами тех ИТЛ, которые подчинялись производственным главкам (7560).</w:t>
      </w:r>
    </w:p>
    <w:p w14:paraId="52CD476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39111D" w14:textId="77777777" w:rsidR="00DD4123"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30523F15" w14:textId="77777777" w:rsidR="00DD4123" w:rsidRPr="00DB5D0D" w:rsidRDefault="00DD4123" w:rsidP="00DB5D0D">
      <w:pPr>
        <w:spacing w:after="0" w:line="240" w:lineRule="auto"/>
        <w:jc w:val="both"/>
        <w:rPr>
          <w:rFonts w:ascii="Times New Roman" w:hAnsi="Times New Roman"/>
          <w:iCs/>
          <w:color w:val="000000" w:themeColor="text1"/>
          <w:sz w:val="16"/>
          <w:szCs w:val="16"/>
        </w:rPr>
      </w:pPr>
    </w:p>
    <w:p w14:paraId="5E4ACF49" w14:textId="77777777" w:rsidR="00DD4123" w:rsidRPr="00DB5D0D" w:rsidRDefault="00DD41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19 по 25 августа (1940)немецкому крейсеру «Комет», — пароходу «Донау»</w:t>
      </w:r>
      <w:r w:rsidRPr="00DB5D0D">
        <w:rPr>
          <w:rFonts w:ascii="Times New Roman" w:hAnsi="Times New Roman"/>
          <w:bCs/>
          <w:color w:val="000000" w:themeColor="text1"/>
          <w:sz w:val="16"/>
          <w:szCs w:val="16"/>
        </w:rPr>
        <w:t xml:space="preserve"> пришлось закрываться от шторма в проливе Матисена (архипелаг Норденшельда). Эта еще одна вынужденная стоянка рейдера представляется весьма интересной, так как именно в проливе Матисена, возможно, находится тот самый район, где в 1942-</w:t>
      </w:r>
      <w:r w:rsidRPr="00DB5D0D">
        <w:rPr>
          <w:rFonts w:ascii="Times New Roman" w:hAnsi="Times New Roman"/>
          <w:bCs/>
          <w:color w:val="000000" w:themeColor="text1"/>
          <w:sz w:val="16"/>
          <w:szCs w:val="16"/>
        </w:rPr>
        <w:lastRenderedPageBreak/>
        <w:t xml:space="preserve">1944 годах немцы добывали </w:t>
      </w:r>
      <w:r w:rsidRPr="00DB5D0D">
        <w:rPr>
          <w:rFonts w:ascii="Times New Roman" w:hAnsi="Times New Roman"/>
          <w:bCs/>
          <w:iCs/>
          <w:color w:val="000000" w:themeColor="text1"/>
          <w:sz w:val="16"/>
          <w:szCs w:val="16"/>
        </w:rPr>
        <w:t>нечто</w:t>
      </w:r>
      <w:r w:rsidRPr="00DB5D0D">
        <w:rPr>
          <w:rFonts w:ascii="Times New Roman" w:hAnsi="Times New Roman"/>
          <w:bCs/>
          <w:color w:val="000000" w:themeColor="text1"/>
          <w:sz w:val="16"/>
          <w:szCs w:val="16"/>
        </w:rPr>
        <w:t xml:space="preserve">, перевозимое затем на борту «серых волков» в порт Лиинахамари для какой-то переработки, после чего это </w:t>
      </w:r>
      <w:r w:rsidRPr="00DB5D0D">
        <w:rPr>
          <w:rFonts w:ascii="Times New Roman" w:hAnsi="Times New Roman"/>
          <w:bCs/>
          <w:iCs/>
          <w:color w:val="000000" w:themeColor="text1"/>
          <w:sz w:val="16"/>
          <w:szCs w:val="16"/>
        </w:rPr>
        <w:t xml:space="preserve">нечто </w:t>
      </w:r>
      <w:r w:rsidRPr="00DB5D0D">
        <w:rPr>
          <w:rFonts w:ascii="Times New Roman" w:hAnsi="Times New Roman"/>
          <w:bCs/>
          <w:color w:val="000000" w:themeColor="text1"/>
          <w:sz w:val="16"/>
          <w:szCs w:val="16"/>
        </w:rPr>
        <w:t>срочно доставлялось куда-то на территорию рейха. Такое предположение подтверждается тем, что поиском серебряно-свинцовых месторождений в проливе Маточкин Шар на Новой Земле могли заниматься только высококлассные специалисты-геологи, которые, вероятно, были в составе экипажа рейдера (</w:t>
      </w:r>
      <w:r w:rsidRPr="00DB5D0D">
        <w:rPr>
          <w:rFonts w:ascii="Times New Roman" w:hAnsi="Times New Roman"/>
          <w:bCs/>
          <w:iCs/>
          <w:color w:val="000000" w:themeColor="text1"/>
          <w:sz w:val="16"/>
          <w:szCs w:val="16"/>
        </w:rPr>
        <w:t>С.Ковалев и др. «Арктические тайны Третьего рейха, СПб, Вектор, 2008</w:t>
      </w:r>
      <w:r w:rsidRPr="00DB5D0D">
        <w:rPr>
          <w:rFonts w:ascii="Times New Roman" w:hAnsi="Times New Roman"/>
          <w:bCs/>
          <w:color w:val="000000" w:themeColor="text1"/>
          <w:sz w:val="16"/>
          <w:szCs w:val="16"/>
        </w:rPr>
        <w:t>) (17328).</w:t>
      </w:r>
    </w:p>
    <w:p w14:paraId="76FF085F" w14:textId="77777777" w:rsidR="00DD4123" w:rsidRPr="00DB5D0D" w:rsidRDefault="00DD4123" w:rsidP="00DB5D0D">
      <w:pPr>
        <w:spacing w:after="0" w:line="240" w:lineRule="auto"/>
        <w:jc w:val="both"/>
        <w:rPr>
          <w:rFonts w:ascii="Times New Roman" w:hAnsi="Times New Roman"/>
          <w:color w:val="000000" w:themeColor="text1"/>
          <w:sz w:val="16"/>
          <w:szCs w:val="16"/>
        </w:rPr>
      </w:pPr>
    </w:p>
    <w:p w14:paraId="30F11116"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в 1940 году Шведский МИД заявил, что в случае притязаний СССР на Аландские острова, «Швеция окажет Финляндии военную помощь» (14988).</w:t>
      </w:r>
    </w:p>
    <w:p w14:paraId="2B29341D"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66C0FC1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14933FF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008CEA0"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19 августа в 1940 году первый полет американского бомбардировщика </w:t>
      </w:r>
      <w:hyperlink r:id="rId292" w:tgtFrame="_blank" w:history="1">
        <w:r w:rsidRPr="00DB5D0D">
          <w:rPr>
            <w:rFonts w:ascii="Times New Roman" w:hAnsi="Times New Roman"/>
            <w:color w:val="000000" w:themeColor="text1"/>
            <w:sz w:val="16"/>
            <w:szCs w:val="16"/>
          </w:rPr>
          <w:t xml:space="preserve">«В-25» «Митчелл» </w:t>
        </w:r>
      </w:hyperlink>
      <w:r w:rsidRPr="00DB5D0D">
        <w:rPr>
          <w:rFonts w:ascii="Times New Roman" w:hAnsi="Times New Roman"/>
          <w:color w:val="000000" w:themeColor="text1"/>
          <w:sz w:val="16"/>
          <w:szCs w:val="16"/>
        </w:rPr>
        <w:t xml:space="preserve">(40-2165). Машину закончили в первые недели июня 1940 года. Экипаж самолета состоял из пяти человек. Двое пилотов сидели бок обок в остекленной кабине. Хвостовой стрелок лежал в районе хвостового оперения и обслуживал пулемет «Colt-Browning» калибра 12,7 мм, оснащенный телескопическим прицелом. Другой пулемет калибра 7,62 мм стоял в носовом обтекателе фюзеляжа и обслуживался штурманом. У этого пулемета был весьма ограниченный сектор обстрела. Еще два 7,62-мм пулемета находились в задней части фюзеляжа. Один пулемет вел огонь через боковые окна, а другой был выставлен в бойницу в днище. В бомбоотсек самолет мог брать бомбы общей массой полторы тоны. Фюзеляж целиком изготавливался из металлических деталей. Часть фюзеляжа, находящаяся выше крыльев, составляла с ними одно целое и демонтировалась вместе с крыльями. Под хвостом имелся выдвигаемый при взлете и посадке костыль, который предохранял хвостовую часть самолета от повреждений в том случае, если пилот слишком сильно задирал нос машины. Крылья свободно-несущие, крепились к фюзеляжу на середине его высоты. Крылья состояли из пяти секций, в том числе одну, включавшую в себя часть фюзеляжа. Две консоли находились за мотогондолами. Внешние секции имели однолонжеронную конструкцию и оснащались цельнометаллическими элеронами. В крыльях находились четыре бензобака общим объемом 916 галлонов (3467 л). В фюзеляже стоял сбрасываемый бак объемом 420 галлонов (1590 л). На секциях центроплана подвешивались закрылки с гидравлическим приводом. Хвостовое оперение цельнометаллическое с концевыми шайбами. Трехстоечное шасси с носовой опорой убиралось в полете с помощью гидравлического привода. Бронирование на самолете отсутствовало. Двигатели «Wright» "Cyclone" «GR-2600-A5B» стартовой мощностью 1600 л.с. при 2400 об./мин и рабочей мощностью 1350 л.с. при 2300 об./мин на высоте 1524 м. Двигатели вращали трехлопастные винты с автоматической регулировкой шага типа «Hamilton Standard». Винты оснащались системой антиобледенения, а при выключении автоматически переходили в режим наименьшего сопротивления. На двигателях стояли карбюраторы «Bendix Stromberg» «PD-13E-2». Бомбардировщики </w:t>
      </w:r>
      <w:hyperlink r:id="rId293" w:tgtFrame="_blank" w:history="1">
        <w:r w:rsidRPr="00DB5D0D">
          <w:rPr>
            <w:rFonts w:ascii="Times New Roman" w:hAnsi="Times New Roman"/>
            <w:color w:val="000000" w:themeColor="text1"/>
            <w:sz w:val="16"/>
            <w:szCs w:val="16"/>
          </w:rPr>
          <w:t xml:space="preserve">«В-25» </w:t>
        </w:r>
      </w:hyperlink>
      <w:r w:rsidRPr="00DB5D0D">
        <w:rPr>
          <w:rFonts w:ascii="Times New Roman" w:hAnsi="Times New Roman"/>
          <w:color w:val="000000" w:themeColor="text1"/>
          <w:sz w:val="16"/>
          <w:szCs w:val="16"/>
        </w:rPr>
        <w:t>развивали скорость 534 км/ч на высоте 4572 м. Первые попытки рулежки на земле выявили неисправность амортизатора переднего колеса. Дефект удалось устранить, и в середине августа самолет был готов к полетам (14988).</w:t>
      </w:r>
    </w:p>
    <w:p w14:paraId="1CEBB44E"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1970E8A2"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в 1940 году первый полет американского бомбардировщика «В-25» «Митчелл». В-25 отличался прекрасными пилотажными характеристиками. Самолет имел высокорасположенные крылья, двухкилевое хвостовое оперение и двигатели воздушного охлаждения. Скорость на высоте 5 км достигала 490 км/ч, дальность полета - 2170 км. В зависимости от модификаций на самолете устанавливалось от 5 до 14 пулеметов (14988).</w:t>
      </w:r>
    </w:p>
    <w:p w14:paraId="1B994F98"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638F2B4C" w14:textId="77777777" w:rsidR="00DD4123" w:rsidRPr="00DB5D0D" w:rsidRDefault="00DD41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года первый В-25 приступил к летным испытаниям. Проект штурмовика-бомбардировщика NA-40 готовился по тому же техническому заданию, что и будущий А-20 и вместе с ним участвовал в конкурсе 1938 года. В-25 превосходил А-20 по размерам и имел экипаж из шести человек - двух пилотов, штурмана, бомбардира, бортмеханика н хвостового стрелка. Бомбардировщик был скомпонован но схеме свободнонесущего двухмоторного моноплана с разнесенным оперением. Все было по самой последней моде - цельнометаллическая конструкция с работающей обшивкой, шасси с носовой стойкой, мощные моторы Райт R-2600-A58 по 1350 л.с. с винтами-автоматами, система аптиобледенителей, сильное оборонительное вооружение. В 1941 году В-25А стали поступать на вооружение американской армейской авиации. Когда началась Великая Отечественная война и президент Рузвельт заявил об оказании помощи Советскому Союзу, среди предложенных нам типов самолетов оказались и В-25 (3457,90).</w:t>
      </w:r>
    </w:p>
    <w:p w14:paraId="067CDB7A" w14:textId="77777777" w:rsidR="00DD4123" w:rsidRPr="00DB5D0D" w:rsidRDefault="00DD4123" w:rsidP="00DB5D0D">
      <w:pPr>
        <w:spacing w:after="0" w:line="240" w:lineRule="auto"/>
        <w:jc w:val="both"/>
        <w:rPr>
          <w:rFonts w:ascii="Times New Roman" w:hAnsi="Times New Roman"/>
          <w:color w:val="000000" w:themeColor="text1"/>
          <w:sz w:val="16"/>
          <w:szCs w:val="16"/>
        </w:rPr>
      </w:pPr>
    </w:p>
    <w:p w14:paraId="3EC599F5" w14:textId="77777777" w:rsidR="00A5681A" w:rsidRPr="00DB5D0D" w:rsidRDefault="00A568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 августа 1940 - Первый полёт бомбардировщика Норт Америкен В-25 "Митчелл" (США). Самолётом управлял лётчик-испытатель фирмы North American Вэнс Бриз, ему помогал инженер Рой Феррен (22394).</w:t>
      </w:r>
    </w:p>
    <w:p w14:paraId="3DB02492" w14:textId="77777777" w:rsidR="00A5681A" w:rsidRPr="00DB5D0D" w:rsidRDefault="00A5681A" w:rsidP="00DB5D0D">
      <w:pPr>
        <w:spacing w:after="0" w:line="240" w:lineRule="auto"/>
        <w:jc w:val="both"/>
        <w:rPr>
          <w:rFonts w:ascii="Times New Roman" w:hAnsi="Times New Roman"/>
          <w:color w:val="0070C0"/>
          <w:sz w:val="16"/>
          <w:szCs w:val="16"/>
        </w:rPr>
      </w:pPr>
    </w:p>
    <w:p w14:paraId="7EFC9B20"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19 августа в 1940 году ВМС США заказали 100 экземпляров УТ самолетов </w:t>
      </w:r>
      <w:hyperlink r:id="rId294" w:tgtFrame="_blank" w:history="1">
        <w:r w:rsidRPr="00DB5D0D">
          <w:rPr>
            <w:rFonts w:ascii="Times New Roman" w:hAnsi="Times New Roman"/>
            <w:color w:val="000000" w:themeColor="text1"/>
            <w:sz w:val="16"/>
            <w:szCs w:val="16"/>
          </w:rPr>
          <w:t xml:space="preserve">«PT-21/22» «Recruit» </w:t>
        </w:r>
      </w:hyperlink>
      <w:r w:rsidRPr="00DB5D0D">
        <w:rPr>
          <w:rFonts w:ascii="Times New Roman" w:hAnsi="Times New Roman"/>
          <w:color w:val="000000" w:themeColor="text1"/>
          <w:sz w:val="16"/>
          <w:szCs w:val="16"/>
        </w:rPr>
        <w:t>модификации «Ryan» «S-T-3» (обозначение в ВМС «NR-1» "Recruit") с двигателями «Kinner» «R-440-3», которые эксплуатировались до середины 1944 года (14988).</w:t>
      </w:r>
    </w:p>
    <w:p w14:paraId="3BD82997"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64AEBDF8" w14:textId="77777777" w:rsidR="00A5681A" w:rsidRPr="00DB5D0D" w:rsidRDefault="00A5681A"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 августа 1940 состоялся первый боевой вылет Mitsubishi A6M Зеро (Allied название „Зик“) Императорского японского флота, когда 12 Зеро сопровождали 54 бомбардировщиков Mitsubishi G3M (Allied отчетности название „Нелл“) над Чунцином. Им навстречу поднимаются китайские самолеты (20795).</w:t>
      </w:r>
    </w:p>
    <w:p w14:paraId="1EBAAF7C" w14:textId="77777777" w:rsidR="00A5681A" w:rsidRPr="00DB5D0D" w:rsidRDefault="00A5681A" w:rsidP="00DB5D0D">
      <w:pPr>
        <w:spacing w:after="0" w:line="240" w:lineRule="auto"/>
        <w:jc w:val="both"/>
        <w:rPr>
          <w:rFonts w:ascii="Times New Roman" w:hAnsi="Times New Roman"/>
          <w:color w:val="0070C0"/>
          <w:sz w:val="16"/>
          <w:szCs w:val="16"/>
        </w:rPr>
      </w:pPr>
    </w:p>
    <w:p w14:paraId="6EC04F35"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боевая 151-я эскадрилья приняла опытный Харрикейн с четырьмя пушками на войсковые испытания. Документальных свидетельств участия пушечного "Харрикейна" в воздушных боях, увы, не сохранилось (15129).</w:t>
      </w:r>
    </w:p>
    <w:p w14:paraId="62AB9DC9"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6CD119D5" w14:textId="77777777" w:rsidR="00DD4123" w:rsidRPr="00DB5D0D" w:rsidRDefault="00DD412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года</w:t>
      </w:r>
      <w:r w:rsidRPr="00DB5D0D">
        <w:rPr>
          <w:rFonts w:ascii="Times New Roman" w:hAnsi="Times New Roman"/>
          <w:bCs/>
          <w:color w:val="000000" w:themeColor="text1"/>
          <w:sz w:val="16"/>
          <w:szCs w:val="16"/>
        </w:rPr>
        <w:t xml:space="preserve"> первый боевой вылет совершил новый японский истребитель морской авиации «Зеро», сопровождавший бомбардировщики, наносившие удар по Чунцину. Месяц спустя «Зеро» был испытан в воздушном бою: звено из 13 японских истребителей напало на 27 истребителей И-15 и И-16 конструкции Поликарпова. Все китайские самолеты были сбиты, при этом японцы не потеряли ни одного истребителя (17398).</w:t>
      </w:r>
    </w:p>
    <w:p w14:paraId="2CD8FD36" w14:textId="77777777" w:rsidR="00DD4123" w:rsidRPr="00DB5D0D" w:rsidRDefault="00DD4123" w:rsidP="00DB5D0D">
      <w:pPr>
        <w:spacing w:after="0" w:line="240" w:lineRule="auto"/>
        <w:jc w:val="both"/>
        <w:rPr>
          <w:rFonts w:ascii="Times New Roman" w:hAnsi="Times New Roman"/>
          <w:color w:val="000000" w:themeColor="text1"/>
          <w:sz w:val="16"/>
          <w:szCs w:val="16"/>
        </w:rPr>
      </w:pPr>
    </w:p>
    <w:p w14:paraId="1B76CB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Г.Геринг в резиденции в Каринхолле собрал совещание командующих воздушными флотами и нач. штабов. Поставил задачу уничтожения английских истребителей (2536,147).</w:t>
      </w:r>
    </w:p>
    <w:p w14:paraId="3774258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D061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19-21 августа 1940 г. после переговоров с Болгарией Румыния вернула Болгарии Южную Добруджу (3871).</w:t>
      </w:r>
    </w:p>
    <w:p w14:paraId="3E2C802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3CD6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августа 1940 английские войска оставили Сомали (2259).</w:t>
      </w:r>
    </w:p>
    <w:p w14:paraId="550CE5A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AD34F6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799CF1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2A9EFA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года вышел приказ НИИ ВВС № 0161</w:t>
      </w:r>
    </w:p>
    <w:p w14:paraId="7C5AEA9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второго опытного самолета БШ-2 АМ-35 (6890, 36).</w:t>
      </w:r>
    </w:p>
    <w:p w14:paraId="46E7CEC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5F442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после ремонта в результате двух аварий (посадка на брюхо и ошибка л) ББ-2 М-88 вновь поступил на заводские испытания, которые шли с 26 мая 1940 (2090,147).</w:t>
      </w:r>
    </w:p>
    <w:p w14:paraId="46B7112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81AB7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года начальник НИИ ВВС генерал-майор авиации Филин писал письмо № МТ/0618с зам. начальника ГУ ВВС по вооружению и снабжению генерал-лейтенанту авиации Астахову</w:t>
      </w:r>
    </w:p>
    <w:p w14:paraId="340BEB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Докладываю о ходе войсковых испытаний моторов М-105 на самолете СБ в 95 СБП г. Калинин.</w:t>
      </w:r>
    </w:p>
    <w:p w14:paraId="48482F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приказа начальника ГУ ВВС за № 096 от 1 июля 1940 года войсковые испытания моторов М-105 на самолете СБ должны быть начаты 10 июля 1940 года и закончены 15 августа 1940 года.</w:t>
      </w:r>
    </w:p>
    <w:p w14:paraId="1440D1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СБ-2М-105 поступили в 95 СБП 14 июля 1940 года и войсковые испытания их начались 15 июля 1940 года.</w:t>
      </w:r>
    </w:p>
    <w:p w14:paraId="15AFDB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……………………..(7712, 376).</w:t>
      </w:r>
    </w:p>
    <w:p w14:paraId="16793D1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429AE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г. после успешного прохождения системы наполнения бензобаков отработанными выхлопными газами на самолете СБ, приказом НКАП № 280с ОКБ завода № 115 была доведена задача разработать систему, использующую это принцип, для истребителей Як.</w:t>
      </w:r>
    </w:p>
    <w:p w14:paraId="0E15EE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Первый вариант системы заполнения баков нейтральными газами оказался неудачным. При испытаниях в НИИ ВВС на Як-1 № 2029 ее даже сняли с самолета по причине раздутия (из-за чрезмерного повышения внутреннего давления) баков и появления течи. </w:t>
      </w:r>
    </w:p>
    <w:p w14:paraId="7A597F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5 января 1942 г. завод № 292 изготовил опытный образец системы нейтрального газа (НГ) и провел почти полностью ее заводские испытания. ВНИИ ВВС она проверялась на Як-1 № 3855. Основное отличие этой системы НГ от предыдущей заключалось в том, что в качестве рабочего тела применялся углекислый газ (из специального двухлитрового баллона), а не выхлопные газы. Давление зарядки контролировалось по манометру, а расход газа регулировался редуктором с отверстием </w:t>
      </w:r>
      <w:r w:rsidRPr="00DB5D0D">
        <w:rPr>
          <w:rFonts w:ascii="Times New Roman" w:hAnsi="Times New Roman"/>
          <w:color w:val="000000" w:themeColor="text1"/>
          <w:sz w:val="16"/>
          <w:szCs w:val="16"/>
        </w:rPr>
        <w:lastRenderedPageBreak/>
        <w:t>в 0,7 мм. После открытия крана углекислый газ поступал в бензобаки под избыточным давлением 0,1 кг/см:. При этом его концентрация в баках была от 4,9 до 34,2 %. Вытеснение паров бензина происходило через дренаж. При испытаниях эта система работала надежно, но требовала специальной зарядки углекислым газом, что не всегда было возможно во фронтовых условиях.</w:t>
      </w:r>
    </w:p>
    <w:p w14:paraId="5680F0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 апреля 1942 г. на заводе вернулись к прежней системе НГ по схеме завода № 115, утвержденной при совместных испытаниях ЛИИ НКАП и НИИ ВВС, которая требовала повышения надежности работы: фиксировались случаи выбрасывания бензина через дренаж после включения системы. Поэтому использование системы НГ в частях не разрешалось до ее окончательной доводки. </w:t>
      </w:r>
    </w:p>
    <w:p w14:paraId="2B96D8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Чтобы положить конец этим мучениям и не возить на самолете лишний вес нарком авиационной промышленности приказом от 2 июля 1942 г. обязал КБ завода № 156 разработать и изготовить усовершенствованную систему НГ для Як-1, Як-7 и других самолетов. К 15 июля ее следовало смонтировать на Як-1 и далее, в десятидневный срок, совместно с ЛИ И НКАП испытать. Этим же приказом КБ поручалось разработать мероприятия по устранению конструктивных дефектов существующих систем к I августа и в десятидневный срок провести и их испытания.</w:t>
      </w:r>
    </w:p>
    <w:p w14:paraId="54F9D8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Новая система НГ была спроектирована, успешно прошла испытания, была утверждена, и с сентября 1942 г. (со 102-й серии) ее начали устанавливать на самолетах. По указанию Главного инженера ВВС КА № 88 от 14 сентября 1942 г. истребители Як-1 более ранних серий выпуска должны были пройти доработку.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на нравом пульте кабины сообщал баки или с системой НГ, или, для заправки топливом на земле, с атмосферой.</w:t>
      </w:r>
    </w:p>
    <w:p w14:paraId="0FFF90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наступления холодов в эксплуатации не представилось возможным испытать эту схему. При понижении температуры наружного воздуха завод получил много 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 КАП, Н И И ВВС и завода № 156 во главе с Хайкешиевым и Погосским. В процессе жарких теоретических споров по схеме НГ был разработан ряд 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5A4949C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89F7669"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20 августа 1938, согласно письму начальника ВВС РККА А. Д. Локтионова и члена Военного совета И. И. Овчинкина, направленного наркому оборонной промышленности СССР М. М. Кагановичу 23 августа, 1</w:t>
      </w:r>
      <w:r w:rsidRPr="00DB5D0D">
        <w:rPr>
          <w:rFonts w:ascii="Times New Roman" w:hAnsi="Times New Roman"/>
          <w:color w:val="000000" w:themeColor="text1"/>
          <w:sz w:val="16"/>
          <w:szCs w:val="16"/>
        </w:rPr>
        <w:noBreakHyphen/>
        <w:t>е Главное управление, 10</w:t>
      </w:r>
      <w:r w:rsidRPr="00DB5D0D">
        <w:rPr>
          <w:rFonts w:ascii="Times New Roman" w:hAnsi="Times New Roman"/>
          <w:color w:val="000000" w:themeColor="text1"/>
          <w:sz w:val="16"/>
          <w:szCs w:val="16"/>
        </w:rPr>
        <w:noBreakHyphen/>
        <w:t>е Главное управление НКОП и НИИ</w:t>
      </w:r>
      <w:r w:rsidRPr="00DB5D0D">
        <w:rPr>
          <w:rFonts w:ascii="Times New Roman" w:hAnsi="Times New Roman"/>
          <w:color w:val="000000" w:themeColor="text1"/>
          <w:sz w:val="16"/>
          <w:szCs w:val="16"/>
        </w:rPr>
        <w:noBreakHyphen/>
        <w:t>12 НКОП приказа Наркомата оборонной промышленности о работах по реализации постановления Комитета обороны при СНК СССР № 152сс не получили и к указанным работам не приступали. Над объектами, перечисленными в указанном постановлении, ведется некоторая работа по инициативе предприятий. Эта работа часто не совпадает с требованиями, предъявляемыми постановлением. Так, на заводе № 39 НКОП к 15 августа 1938 г. должны быть оборудованы автопилотами АВП</w:t>
      </w:r>
      <w:r w:rsidRPr="00DB5D0D">
        <w:rPr>
          <w:rFonts w:ascii="Times New Roman" w:hAnsi="Times New Roman"/>
          <w:color w:val="000000" w:themeColor="text1"/>
          <w:sz w:val="16"/>
          <w:szCs w:val="16"/>
        </w:rPr>
        <w:noBreakHyphen/>
        <w:t>12 и предоставлены для войсковых испытаний 5 самолетов ДБ</w:t>
      </w:r>
      <w:r w:rsidRPr="00DB5D0D">
        <w:rPr>
          <w:rFonts w:ascii="Times New Roman" w:hAnsi="Times New Roman"/>
          <w:color w:val="000000" w:themeColor="text1"/>
          <w:sz w:val="16"/>
          <w:szCs w:val="16"/>
        </w:rPr>
        <w:noBreakHyphen/>
        <w:t>3. Фактически оборудован автопилотом АВП</w:t>
      </w:r>
      <w:r w:rsidRPr="00DB5D0D">
        <w:rPr>
          <w:rFonts w:ascii="Times New Roman" w:hAnsi="Times New Roman"/>
          <w:color w:val="000000" w:themeColor="text1"/>
          <w:sz w:val="16"/>
          <w:szCs w:val="16"/>
        </w:rPr>
        <w:noBreakHyphen/>
        <w:t>12 и подготовлен к испытанию один самолет ДБ</w:t>
      </w:r>
      <w:r w:rsidRPr="00DB5D0D">
        <w:rPr>
          <w:rFonts w:ascii="Times New Roman" w:hAnsi="Times New Roman"/>
          <w:color w:val="000000" w:themeColor="text1"/>
          <w:sz w:val="16"/>
          <w:szCs w:val="16"/>
        </w:rPr>
        <w:noBreakHyphen/>
        <w:t>3. НИИ</w:t>
      </w:r>
      <w:r w:rsidRPr="00DB5D0D">
        <w:rPr>
          <w:rFonts w:ascii="Times New Roman" w:hAnsi="Times New Roman"/>
          <w:color w:val="000000" w:themeColor="text1"/>
          <w:sz w:val="16"/>
          <w:szCs w:val="16"/>
        </w:rPr>
        <w:noBreakHyphen/>
        <w:t>12 НКОП должен смонтировать и представить на госиспытания к 1 сентября с. г. автопилот “Гироскоп” на самолете СБ обр. 1937 г. Не зная о постановлении правительства и не имея самолета СБ</w:t>
      </w:r>
      <w:r w:rsidRPr="00DB5D0D">
        <w:rPr>
          <w:rFonts w:ascii="Times New Roman" w:hAnsi="Times New Roman"/>
          <w:color w:val="000000" w:themeColor="text1"/>
          <w:sz w:val="16"/>
          <w:szCs w:val="16"/>
        </w:rPr>
        <w:noBreakHyphen/>
        <w:t>37, НИИ</w:t>
      </w:r>
      <w:r w:rsidRPr="00DB5D0D">
        <w:rPr>
          <w:rFonts w:ascii="Times New Roman" w:hAnsi="Times New Roman"/>
          <w:color w:val="000000" w:themeColor="text1"/>
          <w:sz w:val="16"/>
          <w:szCs w:val="16"/>
        </w:rPr>
        <w:noBreakHyphen/>
        <w:t>12 ведет работу по монтажу автопилота “Гироскоп” на самолете Р</w:t>
      </w:r>
      <w:r w:rsidRPr="00DB5D0D">
        <w:rPr>
          <w:rFonts w:ascii="Times New Roman" w:hAnsi="Times New Roman"/>
          <w:color w:val="000000" w:themeColor="text1"/>
          <w:sz w:val="16"/>
          <w:szCs w:val="16"/>
        </w:rPr>
        <w:noBreakHyphen/>
        <w:t>зет. Монтаж должен быть закончен к 1 сентября с. г.». (РГАЭ. Ф. 8044. Оп. 1. Д. 483а. Л. 89</w:t>
      </w:r>
      <w:r w:rsidRPr="00DB5D0D">
        <w:rPr>
          <w:rFonts w:ascii="Times New Roman" w:hAnsi="Times New Roman"/>
          <w:color w:val="000000" w:themeColor="text1"/>
          <w:sz w:val="16"/>
          <w:szCs w:val="16"/>
        </w:rPr>
        <w:noBreakHyphen/>
        <w:t>96, 121.)</w:t>
      </w:r>
    </w:p>
    <w:p w14:paraId="288E794E"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28. Д. 34. Л. 365-376. Подлинник (17778).</w:t>
      </w:r>
    </w:p>
    <w:p w14:paraId="7CD07308" w14:textId="77777777" w:rsidR="00C9640B" w:rsidRPr="00DB5D0D" w:rsidRDefault="00C9640B" w:rsidP="00DB5D0D">
      <w:pPr>
        <w:spacing w:after="0" w:line="240" w:lineRule="auto"/>
        <w:jc w:val="both"/>
        <w:rPr>
          <w:rFonts w:ascii="Times New Roman" w:hAnsi="Times New Roman"/>
          <w:color w:val="000000" w:themeColor="text1"/>
          <w:sz w:val="16"/>
          <w:szCs w:val="16"/>
        </w:rPr>
      </w:pPr>
    </w:p>
    <w:p w14:paraId="42AA56FF"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августа 1939 года состоялась защита эскизных проектов ДБ-240 с моторами М-106 и М-120, разработанных семьюдесятью конструкторами ОКБ-240. По результатам их защиты машину включили в план опытного строительства на 1940 год. Было задано получить скорость 500 км/ч на высоте 6000 м, потолок 11000 м и дальность 5000 км с тонной бомб. Когда сборка ДБ-240 №1 завершалась, оказалось, что завод №26 не сможет поставить ни моторы М-106, ни М-120 и предлагает взаимозаменяемые по креплению моторы М-105 мощностью всего 1050 л.с. На 2-й экземпляр Главный конструктор КБ-26 Климов обещал поставить 1500- сильные М-107, начать серийный выпуск которых он планировал в 1941 году (22833).</w:t>
      </w:r>
    </w:p>
    <w:p w14:paraId="1BD83FF1" w14:textId="77777777" w:rsidR="00CE1460" w:rsidRPr="00DB5D0D" w:rsidRDefault="00CE1460" w:rsidP="00DB5D0D">
      <w:pPr>
        <w:spacing w:after="0" w:line="240" w:lineRule="auto"/>
        <w:jc w:val="both"/>
        <w:rPr>
          <w:rFonts w:ascii="Times New Roman" w:hAnsi="Times New Roman"/>
          <w:color w:val="0070C0"/>
          <w:sz w:val="16"/>
          <w:szCs w:val="16"/>
        </w:rPr>
      </w:pPr>
    </w:p>
    <w:p w14:paraId="63DA07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в Контрольном листе учета выполнения постановления КО СНК СССР № 125сс от 4 марта 1940 г. представителем КО СНК СССР - контролером Вахрушевым была сделана запись:</w:t>
      </w:r>
    </w:p>
    <w:p w14:paraId="3E709D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КОР-2 М-63</w:t>
      </w:r>
    </w:p>
    <w:p w14:paraId="01671E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1-й экз. чертежи полностью запущены в производство. Изготовлены отдельные агрегаты, часть находится в агрегатной сборке.</w:t>
      </w:r>
    </w:p>
    <w:p w14:paraId="6C0EF3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2-й экз. Заготавливаются детали в заготовительных цехах. Срок постройки самолета находится под угрозой срыва о чем обращено внимание т. Шишкина (10395,87).</w:t>
      </w:r>
    </w:p>
    <w:p w14:paraId="14A666D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C37628"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г. по результатам в целом успешного прохо</w:t>
      </w:r>
      <w:r w:rsidRPr="00DB5D0D">
        <w:rPr>
          <w:rFonts w:ascii="Times New Roman" w:hAnsi="Times New Roman"/>
          <w:color w:val="000000" w:themeColor="text1"/>
          <w:sz w:val="16"/>
          <w:szCs w:val="16"/>
        </w:rPr>
        <w:softHyphen/>
        <w:t>ждения государственных испытаний системы наполнения бензобаков отработанными газами на самолете СБ приказом НКАП была поставлена задача разработать подобную систему для боевых самолетов но</w:t>
      </w:r>
      <w:r w:rsidRPr="00DB5D0D">
        <w:rPr>
          <w:rFonts w:ascii="Times New Roman" w:hAnsi="Times New Roman"/>
          <w:color w:val="000000" w:themeColor="text1"/>
          <w:sz w:val="16"/>
          <w:szCs w:val="16"/>
        </w:rPr>
        <w:softHyphen/>
        <w:t>вого типа. К началу 1941 г. системы нейтраль</w:t>
      </w:r>
      <w:r w:rsidRPr="00DB5D0D">
        <w:rPr>
          <w:rFonts w:ascii="Times New Roman" w:hAnsi="Times New Roman"/>
          <w:color w:val="000000" w:themeColor="text1"/>
          <w:sz w:val="16"/>
          <w:szCs w:val="16"/>
        </w:rPr>
        <w:softHyphen/>
        <w:t>ного газа от баллонов с углекислотой высоко</w:t>
      </w:r>
      <w:r w:rsidRPr="00DB5D0D">
        <w:rPr>
          <w:rFonts w:ascii="Times New Roman" w:hAnsi="Times New Roman"/>
          <w:color w:val="000000" w:themeColor="text1"/>
          <w:sz w:val="16"/>
          <w:szCs w:val="16"/>
        </w:rPr>
        <w:softHyphen/>
        <w:t>го давления нашли применение на СБ, ДБ-3 и Ил-2, а от баллона с азотом - на Пе-2 и Ер-2.</w:t>
      </w:r>
    </w:p>
    <w:p w14:paraId="3B98BDA4"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Более современные системы нейтраль</w:t>
      </w:r>
      <w:r w:rsidRPr="00DB5D0D">
        <w:rPr>
          <w:rFonts w:ascii="Times New Roman" w:hAnsi="Times New Roman"/>
          <w:color w:val="000000" w:themeColor="text1"/>
          <w:sz w:val="16"/>
          <w:szCs w:val="16"/>
        </w:rPr>
        <w:softHyphen/>
        <w:t>ного газа от выхлопа мотора с закрытым дре</w:t>
      </w:r>
      <w:r w:rsidRPr="00DB5D0D">
        <w:rPr>
          <w:rFonts w:ascii="Times New Roman" w:hAnsi="Times New Roman"/>
          <w:color w:val="000000" w:themeColor="text1"/>
          <w:sz w:val="16"/>
          <w:szCs w:val="16"/>
        </w:rPr>
        <w:softHyphen/>
        <w:t>нажом внедрили в производство только для МиГ-3 (с 1 июля) и ЛаГГ-3 (с 1 августа). К это</w:t>
      </w:r>
      <w:r w:rsidRPr="00DB5D0D">
        <w:rPr>
          <w:rFonts w:ascii="Times New Roman" w:hAnsi="Times New Roman"/>
          <w:color w:val="000000" w:themeColor="text1"/>
          <w:sz w:val="16"/>
          <w:szCs w:val="16"/>
        </w:rPr>
        <w:softHyphen/>
        <w:t>му времени аналогичные системы НГ в целом положительно прошли испытания на Пе-2 и Су-2 и находились в стадии доводки на Ер-2, ТБ-7 и «103» (15768).</w:t>
      </w:r>
    </w:p>
    <w:p w14:paraId="6DAFFFA3"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13EEFF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в Контрольном листе учета выполнения постановления КО СНК СССР № 123сс от 4 марта 1940 г. представителем КО СНК СССР - контролером Вахрушевым была сделана запись:</w:t>
      </w:r>
    </w:p>
    <w:p w14:paraId="52DA67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МДР-7 Самсонова</w:t>
      </w:r>
    </w:p>
    <w:p w14:paraId="1FB8C5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Самолета МДР-7 при первом испытательном полете потерпел катастрофу.</w:t>
      </w:r>
    </w:p>
    <w:p w14:paraId="0E88BC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Находится в общей сборке.</w:t>
      </w:r>
    </w:p>
    <w:p w14:paraId="2EBA76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самолета оттянется на 2 месяца согласно постановлению КО об улучшении устойчивости при малой скорости (10395,82).</w:t>
      </w:r>
    </w:p>
    <w:p w14:paraId="4270A8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6FC365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20 августа 1940 года на заводе № 28 - КБ Заславского был изготовлен и собран винт для мотора М-71. Испытание не было проведено из-за отсутствия мотора. Винт переделан под мотор М-120, на котором и будет испытан (4048, 4).</w:t>
      </w:r>
    </w:p>
    <w:p w14:paraId="44BEC37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655E58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Начальник ЦАГИ генерал-майор авиации И.Ф. Петров писал запрос за №-7/2040с в Управление Авиации НК ВМФ вопросу «Об аварийных бюллетенях ВВС КА» (Самарский филиал РГАНТД. Ф. Р-217. Оп. 1-6. Д. 19. Л. 9.) (11672).</w:t>
      </w:r>
    </w:p>
    <w:p w14:paraId="6F6F075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178C4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20 августа 1940 на НИП АВ проходили заводские испытания автоматического синхронизатора под трехлопастный винти для буксировки конуса (7713, 12).</w:t>
      </w:r>
    </w:p>
    <w:p w14:paraId="610C02F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4DB86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на НИП АВ закончились полигонные испытания синхронизатора ЦАГИ, которые проходили с 15 июля (7313, 12).</w:t>
      </w:r>
    </w:p>
    <w:p w14:paraId="14CA110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FC41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года состоялся III пленум ЦК профсоюза авиапромышленности, который был посвящен сокращению профсоюзных штатов в соответствии с постановлением Президиума ВЦСПС. Выступал секретарь ЦК профсоюза А.С. Пигарев: ..Хочу показать на отдельных примерах, несколько огромно было количество штатных работников в нашем профсоюзе - в заводских и местных организациях, а также в ЦК нашего союза…Например, на заводе № 26 имелось 377 платных профсоюзных работников. Из них только в ДК - 258. Всего вместе с аппаратом ЦК союза завкомы, месткомы, клубы, "Крылья Советов" и прочие имели у себя 3881 платного работника…На отдельных заводах на 40-50 членов профсоюза был один платный работник... (11764).</w:t>
      </w:r>
    </w:p>
    <w:p w14:paraId="366DF87B"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33E255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20 августа 1940 на НИП АВ в соответствии с распоряжением Начальника 8 управления проходили полигонные испытания 23 мм пушка Волкова-Ярцева (7313, 12).</w:t>
      </w:r>
    </w:p>
    <w:p w14:paraId="0CF179A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C051F56"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 августа 1940 была Докладная записка секретаря Комитета обороны при СНК СССР М. П. Пугаева председателю Комитета обороны при СНК СССР К. Е. Ворошилову о принятии на вооружение авиационного пулемета "СН"</w:t>
      </w:r>
    </w:p>
    <w:p w14:paraId="2B8FF9DD"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НКО - тов.Тимошепко 25 мая 1940 г. представил проект постановления КО о принятии на вооружение ВВС РККА 7, 62мм авиационного пулемета «СН» (конструкции Савина Норова)</w:t>
      </w:r>
    </w:p>
    <w:p w14:paraId="4D716209"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данному вопросу, распоряжением КО от 5 июня 1940 г. для проведения сравнительных полигонных испытаний пулеметов ”СН", ”Улътра-Шкас ОКБ-15" и "Ультра-Шкас завода № 66" была назначена комиссия (председатель т.Горемыкин).</w:t>
      </w:r>
    </w:p>
    <w:p w14:paraId="11CAC971"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В своих выводах комиссия не поддерживает предложение НIKO о немедленном принятии на вооружение пулемета «СН», а рекомендует изготовить 20-25 штук пулеметов «СН»для повторных контрольных испытаний.</w:t>
      </w:r>
    </w:p>
    <w:p w14:paraId="2B9EA32F"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Тов. Тимошенко 26 июля с.г. вторично ставит вопрос о принятии на вооружение пулемета СН с просьбой обязать НКВ изготовить в 1940 году, считая, что имеющиеся недостатки у пулемета СН могут быть устранены в процессе в процессе производства.</w:t>
      </w:r>
    </w:p>
    <w:p w14:paraId="7FE6FF36"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НКВ – тов. Ванников категорически возражает против принятия пулемета СН из-за его недоработанности и большой загрузки завода № 65 по Шкас.</w:t>
      </w:r>
    </w:p>
    <w:p w14:paraId="5BD9C336"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Секретариат КО, учитывая недостаточную отработку пулемета СН и возражения тов. Ваникова, считает целесообразным:</w:t>
      </w:r>
    </w:p>
    <w:p w14:paraId="4C22CD8D"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от принятия на вооружение пулемета СН воздержаться до полной его отработки.</w:t>
      </w:r>
    </w:p>
    <w:p w14:paraId="6E347961"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предложить НКВ изготовить к 1 октября 5 штук пулеметов ”СН" для проведения контрольных полигонных испытаний.</w:t>
      </w:r>
    </w:p>
    <w:p w14:paraId="6E21724D"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Прошу Ваших указаний (22030).</w:t>
      </w:r>
    </w:p>
    <w:p w14:paraId="142ADBC0" w14:textId="77777777" w:rsidR="00CE1460" w:rsidRPr="00DB5D0D" w:rsidRDefault="00CE1460" w:rsidP="00DB5D0D">
      <w:pPr>
        <w:spacing w:after="0" w:line="240" w:lineRule="auto"/>
        <w:jc w:val="both"/>
        <w:rPr>
          <w:rFonts w:ascii="Times New Roman" w:hAnsi="Times New Roman"/>
          <w:color w:val="0070C0"/>
          <w:sz w:val="16"/>
          <w:szCs w:val="16"/>
        </w:rPr>
      </w:pPr>
    </w:p>
    <w:p w14:paraId="26D3A2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20 по 27 августа 1940 г. испытания РО на И-153 продолжились. За эту неделю удалось отстрелять 135 снарядов РОС-82 и боевом снаряжении. С наземного постамента провели всего одну контрольную стрельбу серией залпов по два снаряда. Не обнаружив деформаций плоскостей и фюзеляжа, решили сразу перейти к воздушной стрельбе.</w:t>
      </w:r>
    </w:p>
    <w:p w14:paraId="200920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1.58 Результаты воздушной стрельбы снарядами РОС-82 с самолета И-153 в период 24-25 августа 1940 г. {второй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289"/>
        <w:gridCol w:w="713"/>
        <w:gridCol w:w="742"/>
        <w:gridCol w:w="1130"/>
        <w:gridCol w:w="2030"/>
      </w:tblGrid>
      <w:tr w:rsidR="007D5DF8" w:rsidRPr="00DB5D0D" w14:paraId="63A23B58" w14:textId="77777777" w:rsidTr="00E543D0">
        <w:trPr>
          <w:trHeight w:val="806"/>
        </w:trPr>
        <w:tc>
          <w:tcPr>
            <w:tcW w:w="1289" w:type="dxa"/>
            <w:tcBorders>
              <w:top w:val="single" w:sz="6" w:space="0" w:color="auto"/>
              <w:left w:val="single" w:sz="6" w:space="0" w:color="auto"/>
              <w:bottom w:val="single" w:sz="6" w:space="0" w:color="auto"/>
              <w:right w:val="single" w:sz="6" w:space="0" w:color="auto"/>
            </w:tcBorders>
          </w:tcPr>
          <w:p w14:paraId="191DAC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Режим полета (угол пикирования)</w:t>
            </w:r>
          </w:p>
          <w:p w14:paraId="2260C8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75E57E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полета (ввода в пике), м</w:t>
            </w:r>
          </w:p>
          <w:p w14:paraId="002BCCD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2B5EC8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Кол-во отстрел -х е наряде в</w:t>
            </w:r>
          </w:p>
          <w:p w14:paraId="6E4DE32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3D0FBE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Режим ведения огня</w:t>
            </w:r>
          </w:p>
          <w:p w14:paraId="1FFEFB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141241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 воздействия стрельбы на планер машины</w:t>
            </w:r>
          </w:p>
          <w:p w14:paraId="1B5D41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42691FAA" w14:textId="77777777" w:rsidTr="00E543D0">
        <w:trPr>
          <w:trHeight w:val="382"/>
        </w:trPr>
        <w:tc>
          <w:tcPr>
            <w:tcW w:w="1289" w:type="dxa"/>
            <w:tcBorders>
              <w:top w:val="single" w:sz="6" w:space="0" w:color="auto"/>
              <w:left w:val="single" w:sz="6" w:space="0" w:color="auto"/>
              <w:bottom w:val="single" w:sz="6" w:space="0" w:color="auto"/>
              <w:right w:val="single" w:sz="6" w:space="0" w:color="auto"/>
            </w:tcBorders>
          </w:tcPr>
          <w:p w14:paraId="61CB8A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Горизонтальный</w:t>
            </w:r>
          </w:p>
          <w:p w14:paraId="589290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09AEAC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0D17DF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67F572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p w14:paraId="4E3704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2FAFA9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по 2 снаряда</w:t>
            </w:r>
          </w:p>
          <w:p w14:paraId="00FBBB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54450A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Деформации плоскостей и фюзеляжа нет</w:t>
            </w:r>
          </w:p>
          <w:p w14:paraId="77B052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58CF01C5" w14:textId="77777777" w:rsidTr="00E543D0">
        <w:trPr>
          <w:trHeight w:val="763"/>
        </w:trPr>
        <w:tc>
          <w:tcPr>
            <w:tcW w:w="1289" w:type="dxa"/>
            <w:tcBorders>
              <w:top w:val="single" w:sz="6" w:space="0" w:color="auto"/>
              <w:left w:val="single" w:sz="6" w:space="0" w:color="auto"/>
              <w:bottom w:val="single" w:sz="6" w:space="0" w:color="auto"/>
              <w:right w:val="single" w:sz="6" w:space="0" w:color="auto"/>
            </w:tcBorders>
          </w:tcPr>
          <w:p w14:paraId="55F09B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Горизонтальный</w:t>
            </w:r>
          </w:p>
          <w:p w14:paraId="0A9D33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4BDE88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331943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6B3363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p w14:paraId="2D708D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520118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но 4 снаряда и 2 залпа по 8 снарядов</w:t>
            </w:r>
          </w:p>
          <w:p w14:paraId="0F1421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124907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Деформации плоскостей и фюзеляжа нет</w:t>
            </w:r>
          </w:p>
          <w:p w14:paraId="16BFD8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1F10160" w14:textId="77777777" w:rsidTr="00E543D0">
        <w:trPr>
          <w:trHeight w:val="389"/>
        </w:trPr>
        <w:tc>
          <w:tcPr>
            <w:tcW w:w="1289" w:type="dxa"/>
            <w:tcBorders>
              <w:top w:val="single" w:sz="6" w:space="0" w:color="auto"/>
              <w:left w:val="single" w:sz="6" w:space="0" w:color="auto"/>
              <w:bottom w:val="single" w:sz="6" w:space="0" w:color="auto"/>
              <w:right w:val="single" w:sz="6" w:space="0" w:color="auto"/>
            </w:tcBorders>
          </w:tcPr>
          <w:p w14:paraId="1883C7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(60°)</w:t>
            </w:r>
          </w:p>
          <w:p w14:paraId="127AC0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0A4968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3D49F6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598745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w:t>
            </w:r>
          </w:p>
          <w:p w14:paraId="357D20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1C6444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по 4 снаряда</w:t>
            </w:r>
          </w:p>
          <w:p w14:paraId="4DA451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33E85E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Деформации плоскостей и фюзеляжа нет</w:t>
            </w:r>
          </w:p>
          <w:p w14:paraId="748E4B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FA440B4" w14:textId="77777777" w:rsidTr="00E543D0">
        <w:trPr>
          <w:trHeight w:val="382"/>
        </w:trPr>
        <w:tc>
          <w:tcPr>
            <w:tcW w:w="1289" w:type="dxa"/>
            <w:tcBorders>
              <w:top w:val="single" w:sz="6" w:space="0" w:color="auto"/>
              <w:left w:val="single" w:sz="6" w:space="0" w:color="auto"/>
              <w:bottom w:val="single" w:sz="6" w:space="0" w:color="auto"/>
              <w:right w:val="single" w:sz="6" w:space="0" w:color="auto"/>
            </w:tcBorders>
          </w:tcPr>
          <w:p w14:paraId="65CE72C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Бреющий</w:t>
            </w:r>
          </w:p>
          <w:p w14:paraId="3C1516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100941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4E1F4A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2182F6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p w14:paraId="382CC0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27D16A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по 4 снаряда</w:t>
            </w:r>
          </w:p>
          <w:p w14:paraId="27FB02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639811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Деформации плоскостей и фюзеляжа нет _____</w:t>
            </w:r>
          </w:p>
          <w:p w14:paraId="5BE9B3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3E859AC" w14:textId="77777777" w:rsidTr="00E543D0">
        <w:trPr>
          <w:trHeight w:val="972"/>
        </w:trPr>
        <w:tc>
          <w:tcPr>
            <w:tcW w:w="1289" w:type="dxa"/>
            <w:tcBorders>
              <w:top w:val="single" w:sz="6" w:space="0" w:color="auto"/>
              <w:left w:val="single" w:sz="6" w:space="0" w:color="auto"/>
              <w:bottom w:val="single" w:sz="6" w:space="0" w:color="auto"/>
              <w:right w:val="single" w:sz="6" w:space="0" w:color="auto"/>
            </w:tcBorders>
          </w:tcPr>
          <w:p w14:paraId="4B5302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(60°)</w:t>
            </w:r>
          </w:p>
          <w:p w14:paraId="4AA00C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79099F2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012B17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6D2B81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p w14:paraId="3905B9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2BBCEC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Залп из 8 снарядов</w:t>
            </w:r>
          </w:p>
          <w:p w14:paraId="09CE04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3F8A99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левой плоское 1 и ослабла и вздулась перкалевая обшивка между 5 и 8 нервюрами за стойкой крыла</w:t>
            </w:r>
          </w:p>
          <w:p w14:paraId="4329568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2AA76C9" w14:textId="77777777" w:rsidTr="00E543D0">
        <w:trPr>
          <w:trHeight w:val="749"/>
        </w:trPr>
        <w:tc>
          <w:tcPr>
            <w:tcW w:w="1289" w:type="dxa"/>
            <w:tcBorders>
              <w:top w:val="single" w:sz="6" w:space="0" w:color="auto"/>
              <w:left w:val="single" w:sz="6" w:space="0" w:color="auto"/>
              <w:bottom w:val="single" w:sz="6" w:space="0" w:color="auto"/>
              <w:right w:val="single" w:sz="6" w:space="0" w:color="auto"/>
            </w:tcBorders>
          </w:tcPr>
          <w:p w14:paraId="23C4E7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(60°)</w:t>
            </w:r>
          </w:p>
          <w:p w14:paraId="5401B9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614867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31BBC9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0C3E65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p w14:paraId="50C53E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39FF11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но 4 снаряда</w:t>
            </w:r>
          </w:p>
          <w:p w14:paraId="095700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69CD67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правой плоское] и ослабла и вздулас . перкалевая обшивка \'сжл&gt; 5 и 7 нсрвюрамг1_____</w:t>
            </w:r>
          </w:p>
          <w:p w14:paraId="08146D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168CBBF0" w14:textId="77777777" w:rsidTr="00E543D0">
        <w:trPr>
          <w:trHeight w:val="454"/>
        </w:trPr>
        <w:tc>
          <w:tcPr>
            <w:tcW w:w="1289" w:type="dxa"/>
            <w:tcBorders>
              <w:top w:val="single" w:sz="6" w:space="0" w:color="auto"/>
              <w:left w:val="single" w:sz="6" w:space="0" w:color="auto"/>
              <w:bottom w:val="single" w:sz="6" w:space="0" w:color="auto"/>
              <w:right w:val="single" w:sz="6" w:space="0" w:color="auto"/>
            </w:tcBorders>
          </w:tcPr>
          <w:p w14:paraId="309BA5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(60°)</w:t>
            </w:r>
          </w:p>
          <w:p w14:paraId="5E2B1C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36F87F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p w14:paraId="764228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6317AB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w:t>
            </w:r>
          </w:p>
          <w:p w14:paraId="1E1B76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1E96BD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Залп из 5 снарядов</w:t>
            </w:r>
          </w:p>
          <w:p w14:paraId="1802A3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38582E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Новых деформации плоскостей и фюзеляжа нет</w:t>
            </w:r>
          </w:p>
          <w:p w14:paraId="29EA24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bl>
    <w:p w14:paraId="3012B2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1.59 Результаты воздушной стрельбы снарядами РОС-82 с самолета И-153 №8627 (третий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202"/>
        <w:gridCol w:w="691"/>
        <w:gridCol w:w="958"/>
        <w:gridCol w:w="994"/>
        <w:gridCol w:w="864"/>
        <w:gridCol w:w="1210"/>
      </w:tblGrid>
      <w:tr w:rsidR="007D5DF8" w:rsidRPr="00DB5D0D" w14:paraId="7A5398EC" w14:textId="77777777" w:rsidTr="00E543D0">
        <w:trPr>
          <w:trHeight w:val="936"/>
        </w:trPr>
        <w:tc>
          <w:tcPr>
            <w:tcW w:w="1202" w:type="dxa"/>
            <w:tcBorders>
              <w:top w:val="single" w:sz="6" w:space="0" w:color="auto"/>
              <w:left w:val="single" w:sz="6" w:space="0" w:color="auto"/>
              <w:bottom w:val="single" w:sz="6" w:space="0" w:color="auto"/>
              <w:right w:val="single" w:sz="6" w:space="0" w:color="auto"/>
            </w:tcBorders>
          </w:tcPr>
          <w:p w14:paraId="585835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Режим полета (угол пикирования)</w:t>
            </w:r>
          </w:p>
          <w:p w14:paraId="4B0909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4AD0F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полета (ввода в пике), м</w:t>
            </w:r>
          </w:p>
          <w:p w14:paraId="6E2E76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0797D4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вы л его в/о тс треля иных снарядов</w:t>
            </w:r>
          </w:p>
          <w:p w14:paraId="66B95D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703C40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Режим целения огня</w:t>
            </w:r>
          </w:p>
          <w:p w14:paraId="5285B0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DE41A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взрывателя</w:t>
            </w:r>
          </w:p>
          <w:p w14:paraId="62ECAC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C976B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 воздействия стрельбы на планер машины</w:t>
            </w:r>
          </w:p>
          <w:p w14:paraId="481575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40FBDFC3" w14:textId="77777777" w:rsidTr="00E543D0">
        <w:trPr>
          <w:trHeight w:val="598"/>
        </w:trPr>
        <w:tc>
          <w:tcPr>
            <w:tcW w:w="1202" w:type="dxa"/>
            <w:tcBorders>
              <w:top w:val="single" w:sz="6" w:space="0" w:color="auto"/>
              <w:left w:val="single" w:sz="6" w:space="0" w:color="auto"/>
              <w:bottom w:val="single" w:sz="6" w:space="0" w:color="auto"/>
              <w:right w:val="single" w:sz="6" w:space="0" w:color="auto"/>
            </w:tcBorders>
          </w:tcPr>
          <w:p w14:paraId="741E82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Горизонтальный</w:t>
            </w:r>
          </w:p>
          <w:p w14:paraId="518DEA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C76FC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p w14:paraId="0BB8A5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45B02A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w:t>
            </w:r>
          </w:p>
          <w:p w14:paraId="1258AF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6F481C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по 2 снаряда</w:t>
            </w:r>
          </w:p>
          <w:p w14:paraId="3C808D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AC56A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АГДТ-А</w:t>
            </w:r>
          </w:p>
          <w:p w14:paraId="7288CA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4C5AB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Деформации плоскостей нет</w:t>
            </w:r>
          </w:p>
          <w:p w14:paraId="2E48FC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5B1EC46" w14:textId="77777777" w:rsidTr="00E543D0">
        <w:trPr>
          <w:trHeight w:val="562"/>
        </w:trPr>
        <w:tc>
          <w:tcPr>
            <w:tcW w:w="1202" w:type="dxa"/>
            <w:tcBorders>
              <w:top w:val="single" w:sz="6" w:space="0" w:color="auto"/>
              <w:left w:val="single" w:sz="6" w:space="0" w:color="auto"/>
              <w:bottom w:val="single" w:sz="6" w:space="0" w:color="auto"/>
              <w:right w:val="single" w:sz="6" w:space="0" w:color="auto"/>
            </w:tcBorders>
          </w:tcPr>
          <w:p w14:paraId="19C41A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Горизонтальный</w:t>
            </w:r>
          </w:p>
          <w:p w14:paraId="1343FD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25129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p w14:paraId="6EA0E5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2D9C38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10/152</w:t>
            </w:r>
          </w:p>
          <w:p w14:paraId="5D3D94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1E8270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Серии залпов по 4 снаряда</w:t>
            </w:r>
          </w:p>
          <w:p w14:paraId="0D26FF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C1E915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АГДТ-А</w:t>
            </w:r>
          </w:p>
          <w:p w14:paraId="2BB962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1FE40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Деформации плоскостей пет</w:t>
            </w:r>
          </w:p>
          <w:p w14:paraId="11FE59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99B6489" w14:textId="77777777" w:rsidTr="00E543D0">
        <w:trPr>
          <w:trHeight w:val="749"/>
        </w:trPr>
        <w:tc>
          <w:tcPr>
            <w:tcW w:w="1202" w:type="dxa"/>
            <w:tcBorders>
              <w:top w:val="single" w:sz="6" w:space="0" w:color="auto"/>
              <w:left w:val="single" w:sz="6" w:space="0" w:color="auto"/>
              <w:bottom w:val="single" w:sz="6" w:space="0" w:color="auto"/>
              <w:right w:val="single" w:sz="6" w:space="0" w:color="auto"/>
            </w:tcBorders>
          </w:tcPr>
          <w:p w14:paraId="75C220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(60")</w:t>
            </w:r>
          </w:p>
          <w:p w14:paraId="337818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14051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p w14:paraId="3B74B8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07E72B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8/64</w:t>
            </w:r>
          </w:p>
          <w:p w14:paraId="4A7A9B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5CBE2D9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по 4 снаряда</w:t>
            </w:r>
          </w:p>
          <w:p w14:paraId="06E8EC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0D51F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АМ-А</w:t>
            </w:r>
          </w:p>
          <w:p w14:paraId="7B388D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39137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Деформации плоскостей не'г, слегка обгорела краска</w:t>
            </w:r>
          </w:p>
          <w:p w14:paraId="34FA18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A90955B" w14:textId="77777777" w:rsidTr="00E543D0">
        <w:trPr>
          <w:trHeight w:val="569"/>
        </w:trPr>
        <w:tc>
          <w:tcPr>
            <w:tcW w:w="1202" w:type="dxa"/>
            <w:tcBorders>
              <w:top w:val="single" w:sz="6" w:space="0" w:color="auto"/>
              <w:left w:val="single" w:sz="6" w:space="0" w:color="auto"/>
              <w:bottom w:val="single" w:sz="6" w:space="0" w:color="auto"/>
              <w:right w:val="single" w:sz="6" w:space="0" w:color="auto"/>
            </w:tcBorders>
          </w:tcPr>
          <w:p w14:paraId="596CC2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(60°)</w:t>
            </w:r>
          </w:p>
          <w:p w14:paraId="3C62DD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7DFADD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p w14:paraId="1B1DB3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5D7FFD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2/16</w:t>
            </w:r>
          </w:p>
          <w:p w14:paraId="122366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730FE15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Одиночная в каждом заходе</w:t>
            </w:r>
          </w:p>
          <w:p w14:paraId="434472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3E716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АМ-А</w:t>
            </w:r>
          </w:p>
          <w:p w14:paraId="4359976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F117B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Деформации плоскостей нет</w:t>
            </w:r>
          </w:p>
          <w:p w14:paraId="3CB0ED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9ADCEB8" w14:textId="77777777" w:rsidTr="00E543D0">
        <w:trPr>
          <w:trHeight w:val="619"/>
        </w:trPr>
        <w:tc>
          <w:tcPr>
            <w:tcW w:w="1202" w:type="dxa"/>
            <w:tcBorders>
              <w:top w:val="single" w:sz="6" w:space="0" w:color="auto"/>
              <w:left w:val="single" w:sz="6" w:space="0" w:color="auto"/>
              <w:bottom w:val="single" w:sz="6" w:space="0" w:color="auto"/>
              <w:right w:val="single" w:sz="6" w:space="0" w:color="auto"/>
            </w:tcBorders>
          </w:tcPr>
          <w:p w14:paraId="47BEB7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Пикирование (60</w:t>
            </w:r>
            <w:r w:rsidRPr="00DB5D0D">
              <w:rPr>
                <w:rFonts w:ascii="Times New Roman" w:hAnsi="Times New Roman"/>
                <w:color w:val="000000" w:themeColor="text1"/>
                <w:sz w:val="16"/>
                <w:szCs w:val="16"/>
                <w:vertAlign w:val="superscript"/>
              </w:rPr>
              <w:t>е</w:t>
            </w:r>
            <w:r w:rsidRPr="00DB5D0D">
              <w:rPr>
                <w:rFonts w:ascii="Times New Roman" w:hAnsi="Times New Roman"/>
                <w:color w:val="000000" w:themeColor="text1"/>
                <w:sz w:val="16"/>
                <w:szCs w:val="16"/>
              </w:rPr>
              <w:t>)</w:t>
            </w:r>
          </w:p>
          <w:p w14:paraId="7A9086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57661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800 до 400</w:t>
            </w:r>
          </w:p>
          <w:p w14:paraId="797AD6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787F620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16/112</w:t>
            </w:r>
          </w:p>
          <w:p w14:paraId="49E0FD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577BA8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Серия залпов по 4 снаряда</w:t>
            </w:r>
          </w:p>
          <w:p w14:paraId="3DFFD4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A85CB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АМ-А</w:t>
            </w:r>
          </w:p>
          <w:p w14:paraId="19D2DB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935A6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Деформации плоскостей нет</w:t>
            </w:r>
          </w:p>
          <w:p w14:paraId="2A3977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bl>
    <w:p w14:paraId="1BE0542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этот раз по завершении программы отстрела обшивка самолета №8152 хоть и осталась на месте, но признать ее состояние нормальной было невозможно. На чаволе №1 НКАП решили не отступать и довести машину до требуемой кондиции. Укрепление силового набора нижнего крыла на самолете №8627 выполнили по иной технологии, более ради</w:t>
      </w:r>
      <w:r w:rsidRPr="00DB5D0D">
        <w:rPr>
          <w:rFonts w:ascii="Times New Roman" w:hAnsi="Times New Roman"/>
          <w:color w:val="000000" w:themeColor="text1"/>
          <w:sz w:val="16"/>
          <w:szCs w:val="16"/>
        </w:rPr>
        <w:softHyphen/>
        <w:t>кальной. Кроме того, ширину предохранительного листа дюралевой об</w:t>
      </w:r>
      <w:r w:rsidRPr="00DB5D0D">
        <w:rPr>
          <w:rFonts w:ascii="Times New Roman" w:hAnsi="Times New Roman"/>
          <w:color w:val="000000" w:themeColor="text1"/>
          <w:sz w:val="16"/>
          <w:szCs w:val="16"/>
        </w:rPr>
        <w:softHyphen/>
        <w:t>шивки увеличили, а по верхней части консолей нижнего крыла продол</w:t>
      </w:r>
      <w:r w:rsidRPr="00DB5D0D">
        <w:rPr>
          <w:rFonts w:ascii="Times New Roman" w:hAnsi="Times New Roman"/>
          <w:color w:val="000000" w:themeColor="text1"/>
          <w:sz w:val="16"/>
          <w:szCs w:val="16"/>
        </w:rPr>
        <w:softHyphen/>
        <w:t>жили до заднего лонжерона. Образно выражаясь, еше немного, и крыло стало бы цельнометаллическим... А чтобы дюралюминиевая защита не демаскировала доработанный истребитель, ее выкрасили эмалью в обычные цвета с горячей просушкой (11402).</w:t>
      </w:r>
    </w:p>
    <w:p w14:paraId="0808C71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8DAD90C"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20-21 августа 1940 г., в полетах «СССР ВР-72», в котором участвовали пи</w:t>
      </w:r>
      <w:r w:rsidRPr="00DB5D0D">
        <w:rPr>
          <w:rFonts w:ascii="Times New Roman" w:hAnsi="Times New Roman"/>
          <w:color w:val="0070C0"/>
          <w:sz w:val="16"/>
          <w:szCs w:val="16"/>
        </w:rPr>
        <w:softHyphen/>
        <w:t>лот Г.И. Голышев, научный наблюдатель Н.П. Коноплёв и синоптик Н.В. Орлов осущетвляли наблюдения над видимостью на высотах 3-3,5 км. Наблюдения осуществлялись визированием предметов, при этом луч зрения проходил разные толщи атмос</w:t>
      </w:r>
      <w:r w:rsidRPr="00DB5D0D">
        <w:rPr>
          <w:rFonts w:ascii="Times New Roman" w:hAnsi="Times New Roman"/>
          <w:color w:val="0070C0"/>
          <w:sz w:val="16"/>
          <w:szCs w:val="16"/>
        </w:rPr>
        <w:softHyphen/>
        <w:t>феры, начиная от объектов, находящихся на го</w:t>
      </w:r>
      <w:r w:rsidRPr="00DB5D0D">
        <w:rPr>
          <w:rFonts w:ascii="Times New Roman" w:hAnsi="Times New Roman"/>
          <w:color w:val="0070C0"/>
          <w:sz w:val="16"/>
          <w:szCs w:val="16"/>
        </w:rPr>
        <w:softHyphen/>
        <w:t>ризонте, и далее, проходя через ряд промежуточ</w:t>
      </w:r>
      <w:r w:rsidRPr="00DB5D0D">
        <w:rPr>
          <w:rFonts w:ascii="Times New Roman" w:hAnsi="Times New Roman"/>
          <w:color w:val="0070C0"/>
          <w:sz w:val="16"/>
          <w:szCs w:val="16"/>
        </w:rPr>
        <w:softHyphen/>
        <w:t>ных слоев, до пунктов, лежащих непосредствен</w:t>
      </w:r>
      <w:r w:rsidRPr="00DB5D0D">
        <w:rPr>
          <w:rFonts w:ascii="Times New Roman" w:hAnsi="Times New Roman"/>
          <w:color w:val="0070C0"/>
          <w:sz w:val="16"/>
          <w:szCs w:val="16"/>
        </w:rPr>
        <w:softHyphen/>
        <w:t>но в надире аэростата. Последние наблюдения — определение вертикальной видимости — пред</w:t>
      </w:r>
      <w:r w:rsidRPr="00DB5D0D">
        <w:rPr>
          <w:rFonts w:ascii="Times New Roman" w:hAnsi="Times New Roman"/>
          <w:color w:val="0070C0"/>
          <w:sz w:val="16"/>
          <w:szCs w:val="16"/>
        </w:rPr>
        <w:softHyphen/>
        <w:t>ставлялись особо актуальными.</w:t>
      </w:r>
    </w:p>
    <w:p w14:paraId="1EC55FDA" w14:textId="77777777" w:rsidR="00CE1460" w:rsidRPr="00DB5D0D" w:rsidRDefault="00CE146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Для определения видимости использовались приборы Виганда (клиновой измеритель) и Ша</w:t>
      </w:r>
      <w:r w:rsidRPr="00DB5D0D">
        <w:rPr>
          <w:rFonts w:ascii="Times New Roman" w:hAnsi="Times New Roman"/>
          <w:color w:val="0070C0"/>
          <w:sz w:val="16"/>
          <w:szCs w:val="16"/>
        </w:rPr>
        <w:softHyphen/>
        <w:t>ронова (дымкомер). Для визирования под опре</w:t>
      </w:r>
      <w:r w:rsidRPr="00DB5D0D">
        <w:rPr>
          <w:rFonts w:ascii="Times New Roman" w:hAnsi="Times New Roman"/>
          <w:color w:val="0070C0"/>
          <w:sz w:val="16"/>
          <w:szCs w:val="16"/>
        </w:rPr>
        <w:softHyphen/>
        <w:t>делёнными углами к горизонту, изготовили про</w:t>
      </w:r>
      <w:r w:rsidRPr="00DB5D0D">
        <w:rPr>
          <w:rFonts w:ascii="Times New Roman" w:hAnsi="Times New Roman"/>
          <w:color w:val="0070C0"/>
          <w:sz w:val="16"/>
          <w:szCs w:val="16"/>
        </w:rPr>
        <w:softHyphen/>
        <w:t>стейшие штативы и круги для угловых измере</w:t>
      </w:r>
      <w:r w:rsidRPr="00DB5D0D">
        <w:rPr>
          <w:rFonts w:ascii="Times New Roman" w:hAnsi="Times New Roman"/>
          <w:color w:val="0070C0"/>
          <w:sz w:val="16"/>
          <w:szCs w:val="16"/>
        </w:rPr>
        <w:softHyphen/>
        <w:t>ний. Приборы Виганда и Шаронова установили на специальном столике у борта корзины. Из-за качки корзины велись наблюдения одной только вертикальной видимости, где ошибка в опреде</w:t>
      </w:r>
      <w:r w:rsidRPr="00DB5D0D">
        <w:rPr>
          <w:rFonts w:ascii="Times New Roman" w:hAnsi="Times New Roman"/>
          <w:color w:val="0070C0"/>
          <w:sz w:val="16"/>
          <w:szCs w:val="16"/>
        </w:rPr>
        <w:softHyphen/>
        <w:t>лении пройденной лучом зрения массы воздуха была минимальной (20120).</w:t>
      </w:r>
    </w:p>
    <w:p w14:paraId="14FAF468" w14:textId="77777777" w:rsidR="00CE1460" w:rsidRPr="00DB5D0D" w:rsidRDefault="00CE1460" w:rsidP="00DB5D0D">
      <w:pPr>
        <w:spacing w:after="0" w:line="240" w:lineRule="auto"/>
        <w:jc w:val="both"/>
        <w:rPr>
          <w:rFonts w:ascii="Times New Roman" w:hAnsi="Times New Roman"/>
          <w:color w:val="0070C0"/>
          <w:sz w:val="16"/>
          <w:szCs w:val="16"/>
        </w:rPr>
      </w:pPr>
    </w:p>
    <w:p w14:paraId="53CB7BCD"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года III пленум ЦК профсоюза был посвящен сокращению профсоюзных штатов в соответствии с постановлением Президиума ВЦСПС. Выступал секретарь ЦК профсоюза А. С. Пигарев: ...Хочу показать на отдельных примерах, несколько огромно было количество штатных работников в нашем профсоюзе – в заводских и местных организациях, а также в ЦК нашего союза... Например, на заводе № 26 имелось 377 платных профсоюзных работников. Из них только в ДК – 258. Всего вместе с аппаратом ЦК союза завкомы, месткомы, клубы, "Крылья Советов" и прочие имели у себя 3881 платного работника... На отдельных заводах на 40-50 членов профсоюза был один платный работник...(15496).</w:t>
      </w:r>
    </w:p>
    <w:p w14:paraId="40594043"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3B032D8C" w14:textId="77777777" w:rsidR="00297B06"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3F71A39" w14:textId="77777777" w:rsidR="00297B06" w:rsidRPr="00DB5D0D" w:rsidRDefault="00297B06" w:rsidP="00DB5D0D">
      <w:pPr>
        <w:spacing w:after="0" w:line="240" w:lineRule="auto"/>
        <w:jc w:val="both"/>
        <w:rPr>
          <w:rFonts w:ascii="Times New Roman" w:hAnsi="Times New Roman"/>
          <w:iCs/>
          <w:color w:val="000000" w:themeColor="text1"/>
          <w:sz w:val="16"/>
          <w:szCs w:val="16"/>
        </w:rPr>
      </w:pPr>
    </w:p>
    <w:p w14:paraId="39B59F53"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г. в Коврове Г.С. Шпагиным был создан новый образец пистолета-пулемета и представлен на заводские испытания. По результатам полигонных испытаний указывалось, что пи</w:t>
      </w:r>
      <w:r w:rsidRPr="00DB5D0D">
        <w:rPr>
          <w:rFonts w:ascii="Times New Roman" w:hAnsi="Times New Roman"/>
          <w:color w:val="000000" w:themeColor="text1"/>
          <w:sz w:val="16"/>
          <w:szCs w:val="16"/>
        </w:rPr>
        <w:softHyphen/>
        <w:t>столет-пулемет Шпагина</w:t>
      </w:r>
      <w:r w:rsidRPr="00DB5D0D">
        <w:rPr>
          <w:rStyle w:val="aff6"/>
          <w:rFonts w:ascii="Times New Roman" w:eastAsia="Arial Narrow" w:hAnsi="Times New Roman" w:cs="Times New Roman"/>
          <w:i w:val="0"/>
          <w:color w:val="000000" w:themeColor="text1"/>
        </w:rPr>
        <w:t xml:space="preserve"> «имеет преимущест</w:t>
      </w:r>
      <w:r w:rsidRPr="00DB5D0D">
        <w:rPr>
          <w:rStyle w:val="aff6"/>
          <w:rFonts w:ascii="Times New Roman" w:eastAsia="Arial Narrow" w:hAnsi="Times New Roman" w:cs="Times New Roman"/>
          <w:i w:val="0"/>
          <w:color w:val="000000" w:themeColor="text1"/>
        </w:rPr>
        <w:softHyphen/>
        <w:t>ва перед ППД в отношении надежности работы автоматики в различных условиях эксплуатации, в простоте конструкции и в незначительном улучшении кучности стрельбы».</w:t>
      </w:r>
      <w:r w:rsidRPr="00DB5D0D">
        <w:rPr>
          <w:rFonts w:ascii="Times New Roman" w:hAnsi="Times New Roman"/>
          <w:color w:val="000000" w:themeColor="text1"/>
          <w:sz w:val="16"/>
          <w:szCs w:val="16"/>
        </w:rPr>
        <w:t xml:space="preserve"> Постановлени</w:t>
      </w:r>
      <w:r w:rsidRPr="00DB5D0D">
        <w:rPr>
          <w:rFonts w:ascii="Times New Roman" w:hAnsi="Times New Roman"/>
          <w:color w:val="000000" w:themeColor="text1"/>
          <w:sz w:val="16"/>
          <w:szCs w:val="16"/>
        </w:rPr>
        <w:softHyphen/>
        <w:t>ем Комитета обороны при СНК СССР от 21 дека</w:t>
      </w:r>
      <w:r w:rsidRPr="00DB5D0D">
        <w:rPr>
          <w:rFonts w:ascii="Times New Roman" w:hAnsi="Times New Roman"/>
          <w:color w:val="000000" w:themeColor="text1"/>
          <w:sz w:val="16"/>
          <w:szCs w:val="16"/>
        </w:rPr>
        <w:softHyphen/>
        <w:t>бря 1940 г. на вооружение был принят «7,62-мм пистолет-пулемет обр. 1941 г., ППШ (пистолет- пулемет Шпагина)» (15770).</w:t>
      </w:r>
    </w:p>
    <w:p w14:paraId="07AE09D9"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3ABC8361"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г.</w:t>
      </w:r>
    </w:p>
    <w:p w14:paraId="6D08E6E5"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159. Докладная записка руководства специального конструкторского экспериментального отдела и моторостроительного конструкторского бюро Сталинградского тракторного завода в ЦК ВКП(б) о работе по созданию нового танкового двигателя</w:t>
      </w:r>
    </w:p>
    <w:p w14:paraId="098EC40C"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Источник: </w:t>
      </w:r>
    </w:p>
    <w:p w14:paraId="4503C6B8"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640-642.</w:t>
      </w:r>
    </w:p>
    <w:p w14:paraId="3CEB49D3"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Архив: </w:t>
      </w:r>
    </w:p>
    <w:p w14:paraId="297BFA59"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24. Д. 954. Л. 6-7. Заверенная копия.</w:t>
      </w:r>
    </w:p>
    <w:p w14:paraId="143FE1E1"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Танковое моторостроение находится в Советском  Союзе в исключительно тяжелом состоянии. Употребление в течение ряда лет на большинстве танков авиационных двигателей и ошибочные выводы, сделанные на основании этого о качествах двигателей для танков, отвлекли внимание и силы конструкторов и руководителей АБТУ КА и НКСМ от задачи создания специального танкового двигателя, что задержало не только создание его, но и выявление требований, которые должны быть к танковому двигателю предъявлены.</w:t>
      </w:r>
    </w:p>
    <w:p w14:paraId="71C93B65"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Вместо тщательно подуманной организации конструкторских и экспериментальных работ и приложения максимума усилий для создания двигателей большой мощности, способных обеспечить бесперебойную работу танка в продолжение 500</w:t>
      </w:r>
      <w:r w:rsidRPr="00DB5D0D">
        <w:rPr>
          <w:rFonts w:ascii="Times New Roman" w:hAnsi="Times New Roman"/>
          <w:color w:val="000000" w:themeColor="text1"/>
          <w:sz w:val="16"/>
          <w:szCs w:val="16"/>
        </w:rPr>
        <w:noBreakHyphen/>
        <w:t>600 часов, имеющих минимальные габариты для возможности уменьшения веса брони современных мощно бронированных танков и годных для дешевого производства в массовых масштабах из недефицитных и дешевых материалов, до сего времени пропагандируются ориентировки на авиационные двигатели как на полноценные заменители танковых двигателей, хотя двигатели эти не обладают ни одним из перечисленных выше качеств.</w:t>
      </w:r>
    </w:p>
    <w:p w14:paraId="4FF8768B"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Только отсутствие сознательной заботы о качестве советских танков и о сокращении расходов на изготовление и содержание каждого танка привело к тому, что в настоящее время проектирование новых танков тормозится отсутствием двигателей для них требуемых мощностей, а эксплуатация существующих танков весьма усложнилась и удорожилась применением на них единственного дизеля В</w:t>
      </w:r>
      <w:r w:rsidRPr="00DB5D0D">
        <w:rPr>
          <w:rFonts w:ascii="Times New Roman" w:hAnsi="Times New Roman"/>
          <w:color w:val="000000" w:themeColor="text1"/>
          <w:sz w:val="16"/>
          <w:szCs w:val="16"/>
        </w:rPr>
        <w:noBreakHyphen/>
        <w:t>2, который является недоработанным образцом авиационного дизеля и который не является ни надежным, ни весьма контактным и достаточно мощным, ни сколько-нибудь дешевым двигателем. Все это относится и к двигателям, полученным на основе В</w:t>
      </w:r>
      <w:r w:rsidRPr="00DB5D0D">
        <w:rPr>
          <w:rFonts w:ascii="Times New Roman" w:hAnsi="Times New Roman"/>
          <w:color w:val="000000" w:themeColor="text1"/>
          <w:sz w:val="16"/>
          <w:szCs w:val="16"/>
        </w:rPr>
        <w:noBreakHyphen/>
        <w:t>2 (для Т</w:t>
      </w:r>
      <w:r w:rsidRPr="00DB5D0D">
        <w:rPr>
          <w:rFonts w:ascii="Times New Roman" w:hAnsi="Times New Roman"/>
          <w:color w:val="000000" w:themeColor="text1"/>
          <w:sz w:val="16"/>
          <w:szCs w:val="16"/>
        </w:rPr>
        <w:noBreakHyphen/>
        <w:t>26 и к двигателю В</w:t>
      </w:r>
      <w:r w:rsidRPr="00DB5D0D">
        <w:rPr>
          <w:rFonts w:ascii="Times New Roman" w:hAnsi="Times New Roman"/>
          <w:color w:val="000000" w:themeColor="text1"/>
          <w:sz w:val="16"/>
          <w:szCs w:val="16"/>
        </w:rPr>
        <w:noBreakHyphen/>
        <w:t>3). Кроме указанного, производство двигателя В</w:t>
      </w:r>
      <w:r w:rsidRPr="00DB5D0D">
        <w:rPr>
          <w:rFonts w:ascii="Times New Roman" w:hAnsi="Times New Roman"/>
          <w:color w:val="000000" w:themeColor="text1"/>
          <w:sz w:val="16"/>
          <w:szCs w:val="16"/>
        </w:rPr>
        <w:noBreakHyphen/>
        <w:t>2 ведется на одном заводе, выход из строя которого лишает танковые заводы источника получения двигателей.</w:t>
      </w:r>
    </w:p>
    <w:p w14:paraId="09E89F38"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Сказанное кратко подтверждает неблагополучие в области танкового моторостроения.</w:t>
      </w:r>
    </w:p>
    <w:p w14:paraId="3C30F053"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Развитие танков и способов борьбы с ними, а также применение их в современной войне в качестве основного вида массового наступательного оружия требует от танкового двигателя, кроме достаточной мощности возможного уменьшения габаритов, увеличения сроков службы и надежности, простоты обслуживания и ремонта и дешевизны изготовления.</w:t>
      </w:r>
    </w:p>
    <w:p w14:paraId="3C8076D8"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 требования совершенно не удовлетворяются авиационными двигателями, и поэтому создание танковых двигателей дизеля должно проводиться не на базе авиационных двигателей, но на основе элементов конструкции автотракторных двигателей с использованием специфических моментов проектирования мощных двигателей авиационного типа по схемам расположения агрегатов и кинематике рабочего и распределительного механизмов.</w:t>
      </w:r>
    </w:p>
    <w:p w14:paraId="275C1C61"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 создание двигателя и его конструктивное оформление должно предусматривать упрощение технологии изготовления всех его деталей. Особо важно, чтобы создаваемый двигатель позволял на его основе получить ряд двигателей с широким диапазоном мощностей, но с едиными запасными частями и единообразными правилами эксплуатации.</w:t>
      </w:r>
    </w:p>
    <w:p w14:paraId="13B97BE6"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Подобный тип двигателя мощностью 500 л. с. разработан специально-конструкторским отделом Сталинградского тракторного завода на основе работ завода по тракторным двигателям дизеля и в разрезе требований автотракторной технологии его изготовления. По габаритам двигатель СТЗ марки 2М</w:t>
      </w:r>
      <w:r w:rsidRPr="00DB5D0D">
        <w:rPr>
          <w:rFonts w:ascii="Times New Roman" w:hAnsi="Times New Roman"/>
          <w:color w:val="000000" w:themeColor="text1"/>
          <w:sz w:val="16"/>
          <w:szCs w:val="16"/>
        </w:rPr>
        <w:noBreakHyphen/>
        <w:t>16 значительно меньше двигателя В</w:t>
      </w:r>
      <w:r w:rsidRPr="00DB5D0D">
        <w:rPr>
          <w:rFonts w:ascii="Times New Roman" w:hAnsi="Times New Roman"/>
          <w:color w:val="000000" w:themeColor="text1"/>
          <w:sz w:val="16"/>
          <w:szCs w:val="16"/>
        </w:rPr>
        <w:noBreakHyphen/>
        <w:t>2 и равен ему по мощности.</w:t>
      </w:r>
    </w:p>
    <w:p w14:paraId="4DD2E50B"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Система смесеобразования, примененная на этом двигателе, показала на тракторном дизеле, который принят на массовое производство, хорошие результаты и гарантирует получение требуемой мощности двигателя. На основе этого двигателя (меняя число цилиндров и некоторые детали его) можно одновременно с ним получать двигатели мощностью 60, 90, 125, 185, 250; 375, 500, 650, 750, 1000, 1300 л. с. Весь ряд может производиться на одном оборудовании одновременно, так как он имеет всего три типа меняющихся деталей, обработка которых может быть совмещена на одном оборудовании.</w:t>
      </w:r>
    </w:p>
    <w:p w14:paraId="2EA9C392"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Удельные давления на трущиеся поверхности всех двигателей ряда в 3</w:t>
      </w:r>
      <w:r w:rsidRPr="00DB5D0D">
        <w:rPr>
          <w:rFonts w:ascii="Times New Roman" w:hAnsi="Times New Roman"/>
          <w:color w:val="000000" w:themeColor="text1"/>
          <w:sz w:val="16"/>
          <w:szCs w:val="16"/>
        </w:rPr>
        <w:noBreakHyphen/>
        <w:t>5 раз менее удельных давлений дизеля В</w:t>
      </w:r>
      <w:r w:rsidRPr="00DB5D0D">
        <w:rPr>
          <w:rFonts w:ascii="Times New Roman" w:hAnsi="Times New Roman"/>
          <w:color w:val="000000" w:themeColor="text1"/>
          <w:sz w:val="16"/>
          <w:szCs w:val="16"/>
        </w:rPr>
        <w:noBreakHyphen/>
        <w:t>2, что гарантирует срок работ каждого двигателя до ремонта 500</w:t>
      </w:r>
      <w:r w:rsidRPr="00DB5D0D">
        <w:rPr>
          <w:rFonts w:ascii="Times New Roman" w:hAnsi="Times New Roman"/>
          <w:color w:val="000000" w:themeColor="text1"/>
          <w:sz w:val="16"/>
          <w:szCs w:val="16"/>
        </w:rPr>
        <w:noBreakHyphen/>
        <w:t>600 часов. Двигатели 60 и 90 л. с., имеющие пониженные обороты, рассчитаны на постановку на тракторы, выпускаемые заводом в настоящее время, и срок службы их должен достигать 1,5</w:t>
      </w:r>
      <w:r w:rsidRPr="00DB5D0D">
        <w:rPr>
          <w:rFonts w:ascii="Times New Roman" w:hAnsi="Times New Roman"/>
          <w:color w:val="000000" w:themeColor="text1"/>
          <w:sz w:val="16"/>
          <w:szCs w:val="16"/>
        </w:rPr>
        <w:noBreakHyphen/>
        <w:t>2 тыс. часов.</w:t>
      </w:r>
    </w:p>
    <w:p w14:paraId="41C07315"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головного 500</w:t>
      </w:r>
      <w:r w:rsidRPr="00DB5D0D">
        <w:rPr>
          <w:rFonts w:ascii="Times New Roman" w:hAnsi="Times New Roman"/>
          <w:color w:val="000000" w:themeColor="text1"/>
          <w:sz w:val="16"/>
          <w:szCs w:val="16"/>
        </w:rPr>
        <w:noBreakHyphen/>
        <w:t>сильного двигателя был изготовлен в начале января 1940 г., но до сих пор не рассматривался  Наркомсредмашем, несмотря  на неоднократные обращения завода. В апреле 1940 г. нарком т. Лихачев вообще запретил СТЗ заниматься танковыми двигателями дизеля, не имея еще представления о проделанной на СТЗ работе.</w:t>
      </w:r>
    </w:p>
    <w:p w14:paraId="0F0BCB91"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Считая такое положение не отвечающим интересам обороны страны, просим разрешить вопрос о продолжении на СТЗ работ по танковым двигателям дизеля для получения необходимых двигателей и создания со временем новой моторостроительной базы танкостроения.</w:t>
      </w:r>
    </w:p>
    <w:p w14:paraId="528D3278"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конструкторы моторного конструкторского бюро специального КЭО СТЗ не связаны с производством Т</w:t>
      </w:r>
      <w:r w:rsidRPr="00DB5D0D">
        <w:rPr>
          <w:rFonts w:ascii="Times New Roman" w:hAnsi="Times New Roman"/>
          <w:color w:val="000000" w:themeColor="text1"/>
          <w:sz w:val="16"/>
          <w:szCs w:val="16"/>
        </w:rPr>
        <w:noBreakHyphen/>
        <w:t>34, так как двигатели на Т</w:t>
      </w:r>
      <w:r w:rsidRPr="00DB5D0D">
        <w:rPr>
          <w:rFonts w:ascii="Times New Roman" w:hAnsi="Times New Roman"/>
          <w:color w:val="000000" w:themeColor="text1"/>
          <w:sz w:val="16"/>
          <w:szCs w:val="16"/>
        </w:rPr>
        <w:noBreakHyphen/>
        <w:t>34 поставляет 75</w:t>
      </w:r>
      <w:r w:rsidRPr="00DB5D0D">
        <w:rPr>
          <w:rFonts w:ascii="Times New Roman" w:hAnsi="Times New Roman"/>
          <w:color w:val="000000" w:themeColor="text1"/>
          <w:sz w:val="16"/>
          <w:szCs w:val="16"/>
        </w:rPr>
        <w:noBreakHyphen/>
        <w:t>й завод, и это вдвойне обязывает нас употребить все силы на создание в течение 1</w:t>
      </w:r>
      <w:r w:rsidRPr="00DB5D0D">
        <w:rPr>
          <w:rFonts w:ascii="Times New Roman" w:hAnsi="Times New Roman"/>
          <w:color w:val="000000" w:themeColor="text1"/>
          <w:sz w:val="16"/>
          <w:szCs w:val="16"/>
        </w:rPr>
        <w:noBreakHyphen/>
        <w:t>1,5 лет танковых двигателей дизеля, вполне удовлетворяющих всем требованиям эксплуатации и производства[</w:t>
      </w:r>
      <w:hyperlink r:id="rId295" w:anchor="p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w:t>
      </w:r>
    </w:p>
    <w:p w14:paraId="0DD619A9"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специального КЭО СТЗВернер.</w:t>
      </w:r>
    </w:p>
    <w:p w14:paraId="69A329BB"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 КБ</w:t>
      </w:r>
      <w:r w:rsidRPr="00DB5D0D">
        <w:rPr>
          <w:rFonts w:ascii="Times New Roman" w:hAnsi="Times New Roman"/>
          <w:color w:val="000000" w:themeColor="text1"/>
          <w:sz w:val="16"/>
          <w:szCs w:val="16"/>
        </w:rPr>
        <w:noBreakHyphen/>
        <w:t>2Корчагин.</w:t>
      </w:r>
    </w:p>
    <w:p w14:paraId="3384D3C2"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p w14:paraId="09BC97BD"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hyperlink r:id="rId296" w:anchor="s1" w:history="1">
        <w:r w:rsidRPr="00DB5D0D">
          <w:rPr>
            <w:rFonts w:ascii="Times New Roman" w:hAnsi="Times New Roman"/>
            <w:color w:val="000000" w:themeColor="text1"/>
            <w:sz w:val="16"/>
            <w:szCs w:val="16"/>
          </w:rPr>
          <w:t>1</w:t>
        </w:r>
      </w:hyperlink>
      <w:r w:rsidRPr="00DB5D0D">
        <w:rPr>
          <w:rFonts w:ascii="Times New Roman" w:hAnsi="Times New Roman"/>
          <w:color w:val="000000" w:themeColor="text1"/>
          <w:sz w:val="16"/>
          <w:szCs w:val="16"/>
        </w:rPr>
        <w:t>] 20 ноября 1940 г. Комитет обороны при СНК СССР принял постановление № 426сс “О создании на СТЗ нового танкового двигателя мощностью 500 л. с. и большим сроком службы”. В нем говорилось: «1. Обязать Наркомсредмаш — т. Малышева В. А. изготовить на СТЗ к 21 января 1941 г. 5 танковых двигателей-дизелей мощностью 500 л. с. и сроком службы не менее 500 часов по проекту, разработанному специальным конструкторским отделом СТЗ. 2. Поручить Наркомсредмаш — т. Малышеву В. А. совместно с НКО в течение I квартала 1941 г. провести всесторонние испытания изготовленных дизелей на танке Т</w:t>
      </w:r>
      <w:r w:rsidRPr="00DB5D0D">
        <w:rPr>
          <w:rFonts w:ascii="Times New Roman" w:hAnsi="Times New Roman"/>
          <w:color w:val="000000" w:themeColor="text1"/>
          <w:sz w:val="16"/>
          <w:szCs w:val="16"/>
        </w:rPr>
        <w:noBreakHyphen/>
        <w:t>34, на стенде и в НАТИ. Результаты испытаний вместе со своими предложениями по организации новой базы по производству танковых дизелей СТЗ представить в Комитет обороны не позднее 15 апреля 1941 г. 3. Наркомсредмаш — т. Малышеву В. А. выделить из средств наркомата необходимые ассигнования на финансирование работ, указанных в п. 1 и 2 настоящего постановления». (ГАРФ. Ф. Р</w:t>
      </w:r>
      <w:r w:rsidRPr="00DB5D0D">
        <w:rPr>
          <w:rFonts w:ascii="Times New Roman" w:hAnsi="Times New Roman"/>
          <w:color w:val="000000" w:themeColor="text1"/>
          <w:sz w:val="16"/>
          <w:szCs w:val="16"/>
        </w:rPr>
        <w:noBreakHyphen/>
        <w:t>8418. Оп. 24. Д. 954. Л. 1.)</w:t>
      </w:r>
    </w:p>
    <w:p w14:paraId="2315F478" w14:textId="77777777" w:rsidR="00C9640B" w:rsidRPr="00DB5D0D" w:rsidRDefault="00C9640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24. Д. 954. Л. 6-7. Заверенная копия (18001).</w:t>
      </w:r>
    </w:p>
    <w:p w14:paraId="1C506C06" w14:textId="77777777" w:rsidR="00C9640B" w:rsidRPr="00DB5D0D" w:rsidRDefault="00C9640B" w:rsidP="00DB5D0D">
      <w:pPr>
        <w:spacing w:after="0" w:line="240" w:lineRule="auto"/>
        <w:jc w:val="both"/>
        <w:rPr>
          <w:rFonts w:ascii="Times New Roman" w:hAnsi="Times New Roman"/>
          <w:color w:val="000000" w:themeColor="text1"/>
          <w:sz w:val="16"/>
          <w:szCs w:val="16"/>
        </w:rPr>
      </w:pPr>
    </w:p>
    <w:p w14:paraId="544CE025" w14:textId="77777777" w:rsidR="00416045" w:rsidRPr="00DB5D0D" w:rsidRDefault="0041604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 августа 1940 помимо серийных заводов в Главмотовелопроме была организована конструкторско-экспериментальная база — Центральное конструкторское бюро по мотоциклостроению (ЦКБМ), позднее — Ведущее конструкторское бюро (ВКБ) и Центральное конструкторско-экспериментальное бюро мотоциклостроения (ЦКЭБМ). Главным конструктором ЦКБМ был назначен Н. П. Сердюков. Выпускник Военно-воздушной Академии Сердюков имел опыт работы в торгпредстве в Германии с 1928 по 1930 гг. (как раз в то время, когда при участии германских фирм предполагалось организовать производство мотоциклов в Ижевске), а позднее трудился в институте ЦИАМ и на спецпроизводстве завода «Компрессор». ЦКБМ в срок до 1 октября 1940 г. должен был выполнить следующие задачи: а. </w:t>
      </w:r>
      <w:r w:rsidRPr="00DB5D0D">
        <w:rPr>
          <w:rFonts w:ascii="Times New Roman" w:hAnsi="Times New Roman"/>
          <w:color w:val="000000" w:themeColor="text1"/>
          <w:sz w:val="16"/>
          <w:szCs w:val="16"/>
        </w:rPr>
        <w:lastRenderedPageBreak/>
        <w:t>Изготовление рабочих чертежей мотоцикла типа БМВ-750; б. Выбор типов электрооборудования, необходимых для комплектования мотоциклов, с обеспечением изготовления рабочих чертежей; в. Разработка рабочих чертежей прицепных колясок к мотоциклам с обеспечением передачи этих чертежей Карачаровскому заводу Наркомхоза РСФСР. Промышленной базой для экспериментальных работ ЦКБМ был утвержден московский завод «Искра». Технологию изготовления и рабочие чертежи для серийного производства следовало разработать к 1 декабря 1940 г. В специальную командировку в Германию с целью ознакомления с технологией производства мотоциклов 15 сентября 1940 г. отправилась специальная комиссия из дюжины специалистов ГАБТУ, Наркомобщемаша и Наркомата боеприпасов (19776).</w:t>
      </w:r>
    </w:p>
    <w:p w14:paraId="243FCD99" w14:textId="77777777" w:rsidR="00416045" w:rsidRPr="00DB5D0D" w:rsidRDefault="00416045" w:rsidP="00DB5D0D">
      <w:pPr>
        <w:spacing w:after="0" w:line="240" w:lineRule="auto"/>
        <w:jc w:val="both"/>
        <w:rPr>
          <w:rFonts w:ascii="Times New Roman" w:hAnsi="Times New Roman"/>
          <w:color w:val="000000" w:themeColor="text1"/>
          <w:sz w:val="16"/>
          <w:szCs w:val="16"/>
        </w:rPr>
      </w:pPr>
    </w:p>
    <w:p w14:paraId="3EBF3E7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49CC8445"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5FB1C83" w14:textId="77777777" w:rsidR="00297B06" w:rsidRPr="00DB5D0D" w:rsidRDefault="00297B06" w:rsidP="00DB5D0D">
      <w:pPr>
        <w:pStyle w:val="af2"/>
        <w:jc w:val="both"/>
        <w:rPr>
          <w:i w:val="0"/>
          <w:iCs w:val="0"/>
          <w:color w:val="000000" w:themeColor="text1"/>
          <w:spacing w:val="0"/>
          <w:kern w:val="0"/>
          <w:position w:val="0"/>
          <w:sz w:val="16"/>
          <w:szCs w:val="16"/>
          <w:lang w:val="ru-RU"/>
        </w:rPr>
      </w:pPr>
      <w:r w:rsidRPr="00DB5D0D">
        <w:rPr>
          <w:bCs/>
          <w:i w:val="0"/>
          <w:color w:val="000000" w:themeColor="text1"/>
          <w:spacing w:val="0"/>
          <w:kern w:val="0"/>
          <w:position w:val="0"/>
          <w:sz w:val="16"/>
          <w:szCs w:val="16"/>
          <w:lang w:val="ru-RU"/>
        </w:rPr>
        <w:t>20 августа 1940 г.ИЗ ПРИКАЗА НКВД СССР ОБ УСИЛЕНИИ БОРЬБЫ С ИЗМЕНОЙ РОДИНЕ</w:t>
      </w:r>
    </w:p>
    <w:p w14:paraId="4D81B870"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Для усиления борьбы с изменниками Родины в соответствии с постановлением Совета Народных Комиссаров Союза ССР № 1486-578сс от 17 августа 1940 г. </w:t>
      </w:r>
    </w:p>
    <w:p w14:paraId="048D7B48"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ПРИКАЗЫВАЮ: </w:t>
      </w:r>
    </w:p>
    <w:p w14:paraId="42BF1D6C"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1. Начальникам особых отделов НКВД округов, армий, флотов и флотилий во всех случаях измены Родине (побег или перелет за границу) со стороны военнослужащих производить расследование. </w:t>
      </w:r>
    </w:p>
    <w:p w14:paraId="38D88EC7"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Расследование заканчивать и материалы передавать в военные трибуналы для предания изменников Родины суду в 10-дневный срок со дня установления факта измены Родине. (...) </w:t>
      </w:r>
    </w:p>
    <w:p w14:paraId="66EA3A43"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4. Учет изменников Родины... возложить на особый Отдел ГУГБ НКВД СССР... </w:t>
      </w:r>
    </w:p>
    <w:p w14:paraId="42CA119A"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Народный комиссар внутренних дел Союза ССР Л. Берия </w:t>
      </w:r>
    </w:p>
    <w:p w14:paraId="5D12250C"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ЦА ФСБ РФ. Ф.66. Оп.1-т. Пор. № 62. Лл.65-66. Типографский текст (11447).</w:t>
      </w:r>
    </w:p>
    <w:p w14:paraId="1C2430FA"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3377A4B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0FF6B54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6964D5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Италия объявила блокаду английских портов в Средиземном море (4962).</w:t>
      </w:r>
    </w:p>
    <w:p w14:paraId="4F222B4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6CE2CB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Италия объявила о полной блокаде Средиземного моря и африканских владений Англии (2259).</w:t>
      </w:r>
    </w:p>
    <w:p w14:paraId="5393F15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D9F2F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немцы бомбили английские аэродромы и авиазаводы (3907,224).</w:t>
      </w:r>
    </w:p>
    <w:p w14:paraId="0EE30DD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961E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20 августа по 5 декабря 1940 было наступление НОА Китая против японцев (битва ста полков) (3186).</w:t>
      </w:r>
    </w:p>
    <w:p w14:paraId="150A221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0C9E33B"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в 1940 году началась наступательная операция 8-й Национально Революционной армии Китая на японские оккупационные войска , вошедшая в китайскую историографию под названием "Битва ста полков" (14989).</w:t>
      </w:r>
    </w:p>
    <w:p w14:paraId="1C1F2E58"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7341ACA0"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в 1940 году на вилле Койоакан в пригороде Мехико агент НКВД испанский коммунист Рамон Меркадер, выдававший себя за американского журналиста, ударом ледоруба по голове смертельно ранил лидера антисталинской оппозиции 60-летнего Льва Троцкого, скончавшегося на следующий день (14989).</w:t>
      </w:r>
    </w:p>
    <w:p w14:paraId="39885AFB"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3F17158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в Мексике агент НКВД Рамон Меркадер ледорубом смертельно ранил лидера русской революции, создателя IV Интернационала Льва Троцкого (4962).</w:t>
      </w:r>
    </w:p>
    <w:p w14:paraId="73A23E7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3243A5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в Мехико Р.Меркадор убил Л.Д.Т. (1348,245).</w:t>
      </w:r>
    </w:p>
    <w:p w14:paraId="681E441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C265A8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166BCDC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0C211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в ходе заводских испытаний И-200 А.И.М, которые проходили с 31 марта по 17 августа 1940, на И-200-3 состоялся полет на в Чкаловск на отстрел вооружения в воздухе (2988).</w:t>
      </w:r>
    </w:p>
    <w:p w14:paraId="70377C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испытаний:</w:t>
      </w:r>
    </w:p>
    <w:p w14:paraId="1BA1EA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Машина находилась на аэродроме 49 дней.</w:t>
      </w:r>
    </w:p>
    <w:p w14:paraId="2DB051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Машина находилась в цехе на перестановках мотора и доводках 42 дня (2988).</w:t>
      </w:r>
    </w:p>
    <w:p w14:paraId="6030CED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7CCF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21 августа по 12 сентября 1940 на гос. испытаниях И-200 с АМ-35А было произведено 83 полета продолжительностью 24:15 (1295,129).</w:t>
      </w:r>
    </w:p>
    <w:p w14:paraId="0E2A713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D46A2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в Контрольном листе учета выполнения постановления КО СНК СССР № 122сс от 4 марта 1940 г. представителем КО СНК СССР - контролером Вахрушевым была сделана запись:</w:t>
      </w:r>
    </w:p>
    <w:p w14:paraId="69CB45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МДР-6Б Четверикова</w:t>
      </w:r>
    </w:p>
    <w:p w14:paraId="3634EC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Изготавливаются рабочие чертежи. Ведется подготовка производственной оснастки. Сроки по этой машине находятся под угрозой срыва. Поставлен вопрос перед НКАП (т. Шишкин) о необходимости форсирования работ (10395,79).</w:t>
      </w:r>
    </w:p>
    <w:p w14:paraId="276A772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692B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вышел приказ НКАП N 436с, согласно которому ввиду неполучения на 1940 год заказа от ВВС КА по тематике конструкторской бригады тов. Вахмистрова, директору завода N 289 тов. Голубкову П.Н. приказано прекратить все работы бригады тов. Вахмистрова. Бригаду в количестве пяти человек передать в распоряжение ГК завода N 289 тов. Сухого П.О. Подписал А.С.Я. (280,1).</w:t>
      </w:r>
    </w:p>
    <w:p w14:paraId="6FC3C4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неполучения на 1940 год заказа от ВВС КА по тематике конструкторской бригады тов. Вахмистрова, ПРИКАЗЫВАЮ:</w:t>
      </w:r>
    </w:p>
    <w:p w14:paraId="4461C3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Директору завода № 289 тов. Голубкову П.Н, прекратить все работы бригады тов. Вахмистрова. На затраты по данным работам составить акт и представить в Седьмое Главное Управле</w:t>
      </w:r>
      <w:r w:rsidRPr="00DB5D0D">
        <w:rPr>
          <w:rFonts w:ascii="Times New Roman" w:hAnsi="Times New Roman"/>
          <w:color w:val="000000" w:themeColor="text1"/>
          <w:sz w:val="16"/>
          <w:szCs w:val="16"/>
        </w:rPr>
        <w:softHyphen/>
        <w:t>ние для списания за счет бюджетного финансирования.</w:t>
      </w:r>
    </w:p>
    <w:p w14:paraId="758EC1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Бригаду тов. Вахмистрова;в количестве пяти человек передать в распоряжение главного конструктора завода № 289 тов. Сухого П.О.</w:t>
      </w:r>
    </w:p>
    <w:p w14:paraId="00B4A5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Самолеты, И-16 в количестве двух штук, полученные от ВВС КА, передать с завода № 289 по принадлежности (280,1).</w:t>
      </w:r>
    </w:p>
    <w:p w14:paraId="2D4E7D1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21CF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Иванов подготовил справку А.С.Новикову о ходе выполнения Постановления КО № 200сс от 12.05.40 г. по производству моторов М-40 на з-х ХТЗ, № 75, и Кировском НКТМ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900"/>
        <w:gridCol w:w="5490"/>
      </w:tblGrid>
      <w:tr w:rsidR="007D5DF8" w:rsidRPr="00DB5D0D" w14:paraId="0F6993A2" w14:textId="77777777" w:rsidTr="00E543D0">
        <w:tc>
          <w:tcPr>
            <w:tcW w:w="4788" w:type="dxa"/>
            <w:tcBorders>
              <w:top w:val="single" w:sz="12" w:space="0" w:color="auto"/>
            </w:tcBorders>
          </w:tcPr>
          <w:p w14:paraId="27168F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Краткое содержание задания по постановлению и кто выполняет</w:t>
            </w:r>
          </w:p>
        </w:tc>
        <w:tc>
          <w:tcPr>
            <w:tcW w:w="900" w:type="dxa"/>
            <w:tcBorders>
              <w:top w:val="single" w:sz="12" w:space="0" w:color="auto"/>
            </w:tcBorders>
          </w:tcPr>
          <w:p w14:paraId="278A7F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w:t>
            </w:r>
          </w:p>
        </w:tc>
        <w:tc>
          <w:tcPr>
            <w:tcW w:w="5490" w:type="dxa"/>
            <w:tcBorders>
              <w:top w:val="single" w:sz="12" w:space="0" w:color="auto"/>
            </w:tcBorders>
          </w:tcPr>
          <w:p w14:paraId="07457A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сделано</w:t>
            </w:r>
          </w:p>
        </w:tc>
      </w:tr>
      <w:tr w:rsidR="007D5DF8" w:rsidRPr="00DB5D0D" w14:paraId="1CDDF47E" w14:textId="77777777" w:rsidTr="00E543D0">
        <w:tc>
          <w:tcPr>
            <w:tcW w:w="4788" w:type="dxa"/>
          </w:tcPr>
          <w:p w14:paraId="605168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НКСМ</w:t>
            </w:r>
          </w:p>
        </w:tc>
        <w:tc>
          <w:tcPr>
            <w:tcW w:w="900" w:type="dxa"/>
          </w:tcPr>
          <w:p w14:paraId="2E12598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110235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E34A435" w14:textId="77777777" w:rsidTr="00E543D0">
        <w:tc>
          <w:tcPr>
            <w:tcW w:w="4788" w:type="dxa"/>
          </w:tcPr>
          <w:p w14:paraId="09F947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 2. Установить на 40-й и 41-й год следующую программу и </w:t>
            </w:r>
            <w:r w:rsidRPr="00DB5D0D">
              <w:rPr>
                <w:rFonts w:ascii="Times New Roman" w:hAnsi="Times New Roman"/>
                <w:smallCaps/>
                <w:color w:val="000000" w:themeColor="text1"/>
                <w:sz w:val="16"/>
                <w:szCs w:val="16"/>
              </w:rPr>
              <w:t xml:space="preserve">производственные </w:t>
            </w:r>
            <w:r w:rsidRPr="00DB5D0D">
              <w:rPr>
                <w:rFonts w:ascii="Times New Roman" w:hAnsi="Times New Roman"/>
                <w:color w:val="000000" w:themeColor="text1"/>
                <w:sz w:val="16"/>
                <w:szCs w:val="16"/>
              </w:rPr>
              <w:t>мощности:</w:t>
            </w:r>
          </w:p>
        </w:tc>
        <w:tc>
          <w:tcPr>
            <w:tcW w:w="900" w:type="dxa"/>
          </w:tcPr>
          <w:p w14:paraId="3B3845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w:t>
            </w:r>
          </w:p>
        </w:tc>
        <w:tc>
          <w:tcPr>
            <w:tcW w:w="5490" w:type="dxa"/>
          </w:tcPr>
          <w:p w14:paraId="78C957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Пост.ЦК ВКП(б) и СНК СССР № 976-368сс от 7.6.40 г. для НКСМ снижена программа по мо</w:t>
            </w:r>
            <w:r w:rsidRPr="00DB5D0D">
              <w:rPr>
                <w:rFonts w:ascii="Times New Roman" w:hAnsi="Times New Roman"/>
                <w:color w:val="000000" w:themeColor="text1"/>
                <w:sz w:val="16"/>
                <w:szCs w:val="16"/>
              </w:rPr>
              <w:softHyphen/>
              <w:t>торам М-40 в 1940 г. до 10 шт.</w:t>
            </w:r>
          </w:p>
          <w:p w14:paraId="5F28E0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графику сборка моторов должна быть начата 1.10.40 г.</w:t>
            </w:r>
          </w:p>
        </w:tc>
      </w:tr>
      <w:tr w:rsidR="007D5DF8" w:rsidRPr="00DB5D0D" w14:paraId="5A7B9111" w14:textId="77777777" w:rsidTr="00E543D0">
        <w:tc>
          <w:tcPr>
            <w:tcW w:w="4788" w:type="dxa"/>
          </w:tcPr>
          <w:p w14:paraId="048C5D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Заводу № 75 в кооперации с ХТЗ в 40 г. - 50 шт.; построить при ХТЗ механо-сборочный цех, ко</w:t>
            </w:r>
            <w:r w:rsidRPr="00DB5D0D">
              <w:rPr>
                <w:rFonts w:ascii="Times New Roman" w:hAnsi="Times New Roman"/>
                <w:color w:val="000000" w:themeColor="text1"/>
                <w:sz w:val="16"/>
                <w:szCs w:val="16"/>
              </w:rPr>
              <w:softHyphen/>
              <w:t>торому определить в кооперации с заводом № 75 программу 41 г. 1500 шт., а мощность на 1.4.41 г. 2000 шт.</w:t>
            </w:r>
          </w:p>
        </w:tc>
        <w:tc>
          <w:tcPr>
            <w:tcW w:w="900" w:type="dxa"/>
          </w:tcPr>
          <w:p w14:paraId="17E110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w:t>
            </w:r>
          </w:p>
          <w:p w14:paraId="304797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1.4.41</w:t>
            </w:r>
          </w:p>
        </w:tc>
        <w:tc>
          <w:tcPr>
            <w:tcW w:w="5490" w:type="dxa"/>
          </w:tcPr>
          <w:p w14:paraId="458A02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Технологический процесс закан</w:t>
            </w:r>
            <w:r w:rsidRPr="00DB5D0D">
              <w:rPr>
                <w:rFonts w:ascii="Times New Roman" w:hAnsi="Times New Roman"/>
                <w:color w:val="000000" w:themeColor="text1"/>
                <w:sz w:val="16"/>
                <w:szCs w:val="16"/>
              </w:rPr>
              <w:softHyphen/>
              <w:t>чивается. В металл. инструментария изготовлено лишь 10% от требуемого. Из-за отсутствия нужного оборудования з-д № 75 и ХТЗ не может изготовить ряд деталей мотора</w:t>
            </w:r>
          </w:p>
        </w:tc>
      </w:tr>
      <w:tr w:rsidR="007D5DF8" w:rsidRPr="00DB5D0D" w14:paraId="50D46192" w14:textId="77777777" w:rsidTr="00E543D0">
        <w:tc>
          <w:tcPr>
            <w:tcW w:w="4788" w:type="dxa"/>
          </w:tcPr>
          <w:p w14:paraId="517915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Спроектировать и достроить на ХТЗ механо-сборочнъп цех с испытательной станцией, мощностью на 2000 моторов в год к 1.4.41 г. и с программой 41 г. в 1500 шт.</w:t>
            </w:r>
          </w:p>
        </w:tc>
        <w:tc>
          <w:tcPr>
            <w:tcW w:w="900" w:type="dxa"/>
          </w:tcPr>
          <w:p w14:paraId="2D3D0D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1.4.41</w:t>
            </w:r>
          </w:p>
        </w:tc>
        <w:tc>
          <w:tcPr>
            <w:tcW w:w="5490" w:type="dxa"/>
          </w:tcPr>
          <w:p w14:paraId="1A447F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Строительство на ХТЗ механо</w:t>
            </w:r>
            <w:r w:rsidRPr="00DB5D0D">
              <w:rPr>
                <w:rFonts w:ascii="Times New Roman" w:hAnsi="Times New Roman"/>
                <w:color w:val="000000" w:themeColor="text1"/>
                <w:sz w:val="16"/>
                <w:szCs w:val="16"/>
              </w:rPr>
              <w:softHyphen/>
              <w:t xml:space="preserve">сборочного цеха (цех М-3) идет медленно. Производятся только земляные работы под фундамент. Работы </w:t>
            </w:r>
            <w:r w:rsidRPr="00DB5D0D">
              <w:rPr>
                <w:rFonts w:ascii="Times New Roman" w:hAnsi="Times New Roman"/>
                <w:smallCaps/>
                <w:color w:val="000000" w:themeColor="text1"/>
                <w:sz w:val="16"/>
                <w:szCs w:val="16"/>
              </w:rPr>
              <w:t xml:space="preserve">производит </w:t>
            </w:r>
            <w:r w:rsidRPr="00DB5D0D">
              <w:rPr>
                <w:rFonts w:ascii="Times New Roman" w:hAnsi="Times New Roman"/>
                <w:color w:val="000000" w:themeColor="text1"/>
                <w:sz w:val="16"/>
                <w:szCs w:val="16"/>
              </w:rPr>
              <w:t>26-й трест НКСтроя</w:t>
            </w:r>
            <w:r w:rsidRPr="00DB5D0D">
              <w:rPr>
                <w:rFonts w:ascii="Times New Roman" w:hAnsi="Times New Roman"/>
                <w:smallCaps/>
                <w:color w:val="000000" w:themeColor="text1"/>
                <w:sz w:val="16"/>
                <w:szCs w:val="16"/>
              </w:rPr>
              <w:t xml:space="preserve">. </w:t>
            </w:r>
            <w:r w:rsidRPr="00DB5D0D">
              <w:rPr>
                <w:rFonts w:ascii="Times New Roman" w:hAnsi="Times New Roman"/>
                <w:color w:val="000000" w:themeColor="text1"/>
                <w:sz w:val="16"/>
                <w:szCs w:val="16"/>
              </w:rPr>
              <w:t>Ссылается на отсут</w:t>
            </w:r>
            <w:r w:rsidRPr="00DB5D0D">
              <w:rPr>
                <w:rFonts w:ascii="Times New Roman" w:hAnsi="Times New Roman"/>
                <w:color w:val="000000" w:themeColor="text1"/>
                <w:sz w:val="16"/>
                <w:szCs w:val="16"/>
              </w:rPr>
              <w:softHyphen/>
              <w:t>ствие раб. Силы</w:t>
            </w:r>
          </w:p>
        </w:tc>
      </w:tr>
      <w:tr w:rsidR="007D5DF8" w:rsidRPr="00DB5D0D" w14:paraId="03D1F020" w14:textId="77777777" w:rsidTr="00E543D0">
        <w:tc>
          <w:tcPr>
            <w:tcW w:w="4788" w:type="dxa"/>
          </w:tcPr>
          <w:p w14:paraId="7EB00B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 Организовать комплектное производство топливной аппапаратуры для мотопов М-30 и М-40 на заводах ЧТЗ, № 75 и Куйбишевском Карбюраторном с выпуском в 1940 г. - 150 комплектов и в 1941 г. - 5000 комплектов </w:t>
            </w:r>
            <w:r w:rsidRPr="00DB5D0D">
              <w:rPr>
                <w:rFonts w:ascii="Times New Roman" w:hAnsi="Times New Roman"/>
                <w:smallCaps/>
                <w:color w:val="000000" w:themeColor="text1"/>
                <w:sz w:val="16"/>
                <w:szCs w:val="16"/>
              </w:rPr>
              <w:t>тоПЛИВНОЙ аппаратуры</w:t>
            </w:r>
          </w:p>
        </w:tc>
        <w:tc>
          <w:tcPr>
            <w:tcW w:w="900" w:type="dxa"/>
          </w:tcPr>
          <w:p w14:paraId="42B662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1940-1941</w:t>
            </w:r>
          </w:p>
        </w:tc>
        <w:tc>
          <w:tcPr>
            <w:tcW w:w="5490" w:type="dxa"/>
          </w:tcPr>
          <w:p w14:paraId="69EEA8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НКСМ поручено ЧТЗ изготовить топливную аппаратуру М-40 и Куйбышевскому кар</w:t>
            </w:r>
            <w:r w:rsidRPr="00DB5D0D">
              <w:rPr>
                <w:rFonts w:ascii="Times New Roman" w:hAnsi="Times New Roman"/>
                <w:color w:val="000000" w:themeColor="text1"/>
                <w:sz w:val="16"/>
                <w:szCs w:val="16"/>
              </w:rPr>
              <w:softHyphen/>
              <w:t>бюраторному з-ду М-30. Задание было перепутано и ЧТЗ подготовляется к выпуску топ</w:t>
            </w:r>
            <w:r w:rsidRPr="00DB5D0D">
              <w:rPr>
                <w:rFonts w:ascii="Times New Roman" w:hAnsi="Times New Roman"/>
                <w:color w:val="000000" w:themeColor="text1"/>
                <w:sz w:val="16"/>
                <w:szCs w:val="16"/>
              </w:rPr>
              <w:softHyphen/>
              <w:t>ливной аппаратуры М-30, а Куйбышевскии з-д к М-40.</w:t>
            </w:r>
            <w:r w:rsidRPr="00DB5D0D">
              <w:rPr>
                <w:rFonts w:ascii="Times New Roman" w:hAnsi="Times New Roman"/>
                <w:color w:val="000000" w:themeColor="text1"/>
                <w:sz w:val="16"/>
                <w:szCs w:val="16"/>
                <w:vertAlign w:val="superscript"/>
              </w:rPr>
              <w:t>:</w:t>
            </w:r>
            <w:r w:rsidRPr="00DB5D0D">
              <w:rPr>
                <w:rFonts w:ascii="Times New Roman" w:hAnsi="Times New Roman"/>
                <w:color w:val="000000" w:themeColor="text1"/>
                <w:sz w:val="16"/>
                <w:szCs w:val="16"/>
              </w:rPr>
              <w:t>ЧТЗне заключает договоров с з-дом № 75, Кировским и № 82 НКАП на поставку топливной аппаратуры</w:t>
            </w:r>
          </w:p>
        </w:tc>
      </w:tr>
      <w:tr w:rsidR="007D5DF8" w:rsidRPr="00DB5D0D" w14:paraId="5768EBB7" w14:textId="77777777" w:rsidTr="00E543D0">
        <w:tc>
          <w:tcPr>
            <w:tcW w:w="4788" w:type="dxa"/>
          </w:tcPr>
          <w:p w14:paraId="27F59F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Организовать с 4 кв. 40 г. на ХТХ производство новых гусеничных пропашников взамен снммаемых с Программы Кировского з -да</w:t>
            </w:r>
          </w:p>
        </w:tc>
        <w:tc>
          <w:tcPr>
            <w:tcW w:w="900" w:type="dxa"/>
          </w:tcPr>
          <w:p w14:paraId="14E425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кв. 1940</w:t>
            </w:r>
          </w:p>
        </w:tc>
        <w:tc>
          <w:tcPr>
            <w:tcW w:w="5490" w:type="dxa"/>
          </w:tcPr>
          <w:p w14:paraId="0F8AB5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НКСМ поручено ХТЗ организовать с 4 кв. 40 г. производство пропашников</w:t>
            </w:r>
          </w:p>
        </w:tc>
      </w:tr>
      <w:tr w:rsidR="007D5DF8" w:rsidRPr="00DB5D0D" w14:paraId="6A0602FE" w14:textId="77777777" w:rsidTr="00E543D0">
        <w:tc>
          <w:tcPr>
            <w:tcW w:w="4788" w:type="dxa"/>
          </w:tcPr>
          <w:p w14:paraId="6F27AF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Организовать с 17 кв.1340 г. изготовлени запчастей.</w:t>
            </w:r>
          </w:p>
        </w:tc>
        <w:tc>
          <w:tcPr>
            <w:tcW w:w="900" w:type="dxa"/>
          </w:tcPr>
          <w:p w14:paraId="60963A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кв. 1940</w:t>
            </w:r>
          </w:p>
        </w:tc>
        <w:tc>
          <w:tcPr>
            <w:tcW w:w="5490" w:type="dxa"/>
          </w:tcPr>
          <w:p w14:paraId="7E3FA0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Кировский завод передает только 60% оборудования, за</w:t>
            </w:r>
            <w:r w:rsidRPr="00DB5D0D">
              <w:rPr>
                <w:rFonts w:ascii="Times New Roman" w:hAnsi="Times New Roman"/>
                <w:color w:val="000000" w:themeColor="text1"/>
                <w:sz w:val="16"/>
                <w:szCs w:val="16"/>
              </w:rPr>
              <w:softHyphen/>
              <w:t>нятого изготовлением запчастей, то НКСМ вошел с ходатайством в Совет Машиностроения о разрешении вопроса с передачей оборудования</w:t>
            </w:r>
          </w:p>
        </w:tc>
      </w:tr>
      <w:tr w:rsidR="007D5DF8" w:rsidRPr="00DB5D0D" w14:paraId="287F969F" w14:textId="77777777" w:rsidTr="00E543D0">
        <w:tc>
          <w:tcPr>
            <w:tcW w:w="4788" w:type="dxa"/>
          </w:tcPr>
          <w:p w14:paraId="03ADBB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19. Установить для з-да № 75 и ХТЗ следующую кооперацию по изготовлению мотора М-40 в 1940 и 1941 г.г.</w:t>
            </w:r>
          </w:p>
        </w:tc>
        <w:tc>
          <w:tcPr>
            <w:tcW w:w="900" w:type="dxa"/>
          </w:tcPr>
          <w:p w14:paraId="3AF316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1940-1941</w:t>
            </w:r>
          </w:p>
        </w:tc>
        <w:tc>
          <w:tcPr>
            <w:tcW w:w="5490" w:type="dxa"/>
          </w:tcPr>
          <w:p w14:paraId="1AAE36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Договора на поставку заключены</w:t>
            </w:r>
          </w:p>
        </w:tc>
      </w:tr>
      <w:tr w:rsidR="007D5DF8" w:rsidRPr="00DB5D0D" w14:paraId="3F2FA31A" w14:textId="77777777" w:rsidTr="00E543D0">
        <w:tc>
          <w:tcPr>
            <w:tcW w:w="4788" w:type="dxa"/>
          </w:tcPr>
          <w:p w14:paraId="41C213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НКАП поставляет - клапана, поршневые кольца, вакуумпомпы, регулятор оборотов винта, генераторы. Турбокомпрессора только в 1949 г., а роторы и крыльчатки турбокомпрессоров в 1941 г.</w:t>
            </w:r>
          </w:p>
        </w:tc>
        <w:tc>
          <w:tcPr>
            <w:tcW w:w="900" w:type="dxa"/>
          </w:tcPr>
          <w:p w14:paraId="4D60AF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1127CE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53CB842" w14:textId="77777777" w:rsidTr="00E543D0">
        <w:tc>
          <w:tcPr>
            <w:tcW w:w="4788" w:type="dxa"/>
          </w:tcPr>
          <w:p w14:paraId="2190EC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НКЧМ - поставляет трубки топливной аппаратуры</w:t>
            </w:r>
          </w:p>
        </w:tc>
        <w:tc>
          <w:tcPr>
            <w:tcW w:w="900" w:type="dxa"/>
          </w:tcPr>
          <w:p w14:paraId="4FC9B1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07A237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3-д № 75 заказал трубки Днепро</w:t>
            </w:r>
            <w:r w:rsidRPr="00DB5D0D">
              <w:rPr>
                <w:rFonts w:ascii="Times New Roman" w:hAnsi="Times New Roman"/>
                <w:color w:val="000000" w:themeColor="text1"/>
                <w:sz w:val="16"/>
                <w:szCs w:val="16"/>
              </w:rPr>
              <w:softHyphen/>
              <w:t>петровскому заводу им. Ленина НКЧМ</w:t>
            </w:r>
          </w:p>
        </w:tc>
      </w:tr>
      <w:tr w:rsidR="007D5DF8" w:rsidRPr="00DB5D0D" w14:paraId="66862895" w14:textId="77777777" w:rsidTr="00E543D0">
        <w:tc>
          <w:tcPr>
            <w:tcW w:w="4788" w:type="dxa"/>
          </w:tcPr>
          <w:p w14:paraId="3575B2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20 Установить необходимое для производства мотора М-40 отечественного оборудованИЯ ПО ХТЗ И ПОДГОТОВИТЬ в 10 невный срок проект решения Совета о целевом выделении оборудования в Ш кв. 1940 г.</w:t>
            </w:r>
          </w:p>
        </w:tc>
        <w:tc>
          <w:tcPr>
            <w:tcW w:w="900" w:type="dxa"/>
          </w:tcPr>
          <w:p w14:paraId="7F5113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дней, 3 и 4 кв. 1940</w:t>
            </w:r>
          </w:p>
        </w:tc>
        <w:tc>
          <w:tcPr>
            <w:tcW w:w="5490" w:type="dxa"/>
          </w:tcPr>
          <w:p w14:paraId="645330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постановления послан (№ 599/ог от 17.7.40 г.) и нахо</w:t>
            </w:r>
            <w:r w:rsidRPr="00DB5D0D">
              <w:rPr>
                <w:rFonts w:ascii="Times New Roman" w:hAnsi="Times New Roman"/>
                <w:color w:val="000000" w:themeColor="text1"/>
                <w:sz w:val="16"/>
                <w:szCs w:val="16"/>
              </w:rPr>
              <w:softHyphen/>
              <w:t>дится в Совете Машиностроения</w:t>
            </w:r>
          </w:p>
        </w:tc>
      </w:tr>
      <w:tr w:rsidR="007D5DF8" w:rsidRPr="00DB5D0D" w14:paraId="0F4439F9" w14:textId="77777777" w:rsidTr="00E543D0">
        <w:tc>
          <w:tcPr>
            <w:tcW w:w="4788" w:type="dxa"/>
          </w:tcPr>
          <w:p w14:paraId="43CFD2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21 Разрешить НКСМ вести строительные работы по механо-сборочному цеху ХТЗ без проекта и смет</w:t>
            </w:r>
          </w:p>
        </w:tc>
        <w:tc>
          <w:tcPr>
            <w:tcW w:w="900" w:type="dxa"/>
          </w:tcPr>
          <w:p w14:paraId="16DD2A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w:t>
            </w:r>
          </w:p>
          <w:p w14:paraId="3DBC98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1.4.41</w:t>
            </w:r>
          </w:p>
        </w:tc>
        <w:tc>
          <w:tcPr>
            <w:tcW w:w="5490" w:type="dxa"/>
          </w:tcPr>
          <w:p w14:paraId="072AC7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Выполняется</w:t>
            </w:r>
          </w:p>
        </w:tc>
      </w:tr>
      <w:tr w:rsidR="007D5DF8" w:rsidRPr="00DB5D0D" w14:paraId="74DCD926" w14:textId="77777777" w:rsidTr="00E543D0">
        <w:tc>
          <w:tcPr>
            <w:tcW w:w="4788" w:type="dxa"/>
          </w:tcPr>
          <w:p w14:paraId="4770B0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Разрешитъ НКСМ (хтз) импортный контингент для закупки оборудования на сумму 6415000 руб.</w:t>
            </w:r>
          </w:p>
        </w:tc>
        <w:tc>
          <w:tcPr>
            <w:tcW w:w="900" w:type="dxa"/>
          </w:tcPr>
          <w:p w14:paraId="492BC93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2FD40B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15.8 оформлено с фирмами 35 станков (заключены договора) из общего количества в 84 станка со сроками поставок в 40, 41 и 42 г.г.</w:t>
            </w:r>
          </w:p>
        </w:tc>
      </w:tr>
      <w:tr w:rsidR="007D5DF8" w:rsidRPr="00DB5D0D" w14:paraId="693E326A" w14:textId="77777777" w:rsidTr="00E543D0">
        <w:tc>
          <w:tcPr>
            <w:tcW w:w="4788" w:type="dxa"/>
          </w:tcPr>
          <w:p w14:paraId="57838A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25 Обязатъ НКСМ обеспечить строительство механо-сборочного цеза ХТЗ фондами на строительные материалы и оборудование целеввым назначением для подготовки производства к выпуску моторов М-40.</w:t>
            </w:r>
          </w:p>
          <w:p w14:paraId="6C6EE3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Госплану СССР предусмотреть необходимое увеличение фондов НКСМ</w:t>
            </w:r>
          </w:p>
        </w:tc>
        <w:tc>
          <w:tcPr>
            <w:tcW w:w="900" w:type="dxa"/>
          </w:tcPr>
          <w:p w14:paraId="750795D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3F0C82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постановления послан и на</w:t>
            </w:r>
            <w:r w:rsidRPr="00DB5D0D">
              <w:rPr>
                <w:rFonts w:ascii="Times New Roman" w:hAnsi="Times New Roman"/>
                <w:color w:val="000000" w:themeColor="text1"/>
                <w:sz w:val="16"/>
                <w:szCs w:val="16"/>
              </w:rPr>
              <w:softHyphen/>
              <w:t>ходится в Совете Машиностроения (№ 599/ог от 17.7.40 г.). Первый проект (№ 443/ог от 29.5.40 г.) был забракован.</w:t>
            </w:r>
          </w:p>
          <w:p w14:paraId="5DFDB6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3C78920" w14:textId="77777777" w:rsidTr="00E543D0">
        <w:tc>
          <w:tcPr>
            <w:tcW w:w="4788" w:type="dxa"/>
          </w:tcPr>
          <w:p w14:paraId="12210B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w:t>
            </w:r>
          </w:p>
        </w:tc>
        <w:tc>
          <w:tcPr>
            <w:tcW w:w="900" w:type="dxa"/>
          </w:tcPr>
          <w:p w14:paraId="18D4B5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3333C2D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93538C7" w14:textId="77777777" w:rsidTr="00E543D0">
        <w:tc>
          <w:tcPr>
            <w:tcW w:w="4788" w:type="dxa"/>
          </w:tcPr>
          <w:p w14:paraId="78E47F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Изготовить ЦИАМ и передать заводу № 75 НКСМ и Кировскому заводу НКТМ к 15.5.40 г. 3 комплектов окончательных чертежей мотора М-40 и к 15.6.40 г. 9 комплектов окончательно отработанных чертежей и ТУ на поставку деталей</w:t>
            </w:r>
          </w:p>
        </w:tc>
        <w:tc>
          <w:tcPr>
            <w:tcW w:w="900" w:type="dxa"/>
          </w:tcPr>
          <w:p w14:paraId="70FFC4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15.5.40</w:t>
            </w:r>
          </w:p>
          <w:p w14:paraId="1F1FA4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15.6.40</w:t>
            </w:r>
          </w:p>
        </w:tc>
        <w:tc>
          <w:tcPr>
            <w:tcW w:w="5490" w:type="dxa"/>
          </w:tcPr>
          <w:p w14:paraId="1BF5A1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Выполнено</w:t>
            </w:r>
          </w:p>
        </w:tc>
      </w:tr>
      <w:tr w:rsidR="007D5DF8" w:rsidRPr="00DB5D0D" w14:paraId="3AA08729" w14:textId="77777777" w:rsidTr="00E543D0">
        <w:tc>
          <w:tcPr>
            <w:tcW w:w="4788" w:type="dxa"/>
          </w:tcPr>
          <w:p w14:paraId="49D006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Командировать ЦИАМ к 15.5.40 г на з-д № 75 НКСМ и Кировский завод НКТМ группы конст-йов и технологов по 5 чел для оказания тех. помощи</w:t>
            </w:r>
          </w:p>
        </w:tc>
        <w:tc>
          <w:tcPr>
            <w:tcW w:w="900" w:type="dxa"/>
          </w:tcPr>
          <w:p w14:paraId="4C9D19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w:t>
            </w:r>
          </w:p>
        </w:tc>
        <w:tc>
          <w:tcPr>
            <w:tcW w:w="5490" w:type="dxa"/>
          </w:tcPr>
          <w:p w14:paraId="41ECF5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Выполнено</w:t>
            </w:r>
          </w:p>
        </w:tc>
      </w:tr>
      <w:tr w:rsidR="007D5DF8" w:rsidRPr="00DB5D0D" w14:paraId="145BF995" w14:textId="77777777" w:rsidTr="00E543D0">
        <w:tc>
          <w:tcPr>
            <w:tcW w:w="4788" w:type="dxa"/>
          </w:tcPr>
          <w:p w14:paraId="3B6DF7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9. в) Обеспечить поставку з-ду № 75 и Кировскому заводу в 1940 собранных турбокомпрессоров (ТКЭ-88)</w:t>
            </w:r>
          </w:p>
        </w:tc>
        <w:tc>
          <w:tcPr>
            <w:tcW w:w="900" w:type="dxa"/>
          </w:tcPr>
          <w:p w14:paraId="04A9A3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7AEA94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Договор на поставку заключен. Есть разногласия: з-д № 75 требу</w:t>
            </w:r>
            <w:r w:rsidRPr="00DB5D0D">
              <w:rPr>
                <w:rFonts w:ascii="Times New Roman" w:hAnsi="Times New Roman"/>
                <w:color w:val="000000" w:themeColor="text1"/>
                <w:sz w:val="16"/>
                <w:szCs w:val="16"/>
              </w:rPr>
              <w:softHyphen/>
              <w:t>ет поставить 2 турбокомпрессора к 15.9.40 г.,а з-д Оргоборонпром поставляет их с октября м-ца</w:t>
            </w:r>
          </w:p>
        </w:tc>
      </w:tr>
      <w:tr w:rsidR="007D5DF8" w:rsidRPr="00DB5D0D" w14:paraId="6241BF75" w14:textId="77777777" w:rsidTr="00E543D0">
        <w:tc>
          <w:tcPr>
            <w:tcW w:w="4788" w:type="dxa"/>
          </w:tcPr>
          <w:p w14:paraId="278293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Передать Кировскому з-ду на постоянную работу к 15.6.40 - 10 чел. инженер. Конетрукторов из числа лиц, работавших над мотором М-40, для организации на Кировском з-де серийного конструкторского бюро по авиадизелям</w:t>
            </w:r>
          </w:p>
        </w:tc>
        <w:tc>
          <w:tcPr>
            <w:tcW w:w="900" w:type="dxa"/>
          </w:tcPr>
          <w:p w14:paraId="575171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15.6.40</w:t>
            </w:r>
          </w:p>
        </w:tc>
        <w:tc>
          <w:tcPr>
            <w:tcW w:w="5490" w:type="dxa"/>
          </w:tcPr>
          <w:p w14:paraId="6A6FE8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Выполнено</w:t>
            </w:r>
          </w:p>
        </w:tc>
      </w:tr>
      <w:tr w:rsidR="007D5DF8" w:rsidRPr="00DB5D0D" w14:paraId="72F6E00D" w14:textId="77777777" w:rsidTr="00E543D0">
        <w:tc>
          <w:tcPr>
            <w:tcW w:w="4788" w:type="dxa"/>
          </w:tcPr>
          <w:p w14:paraId="0F5AC8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Обязать 1 ГПИ с привлечением работнлков Кировского завода разработать к 1.8.40 г. проект переоборудования тракторного цеха Кировского з-да для производства мотора М-40</w:t>
            </w:r>
          </w:p>
        </w:tc>
        <w:tc>
          <w:tcPr>
            <w:tcW w:w="900" w:type="dxa"/>
          </w:tcPr>
          <w:p w14:paraId="28DB8C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1.8.40</w:t>
            </w:r>
          </w:p>
        </w:tc>
        <w:tc>
          <w:tcPr>
            <w:tcW w:w="5490" w:type="dxa"/>
          </w:tcPr>
          <w:p w14:paraId="09A751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Выполнено</w:t>
            </w:r>
          </w:p>
        </w:tc>
      </w:tr>
      <w:tr w:rsidR="007D5DF8" w:rsidRPr="00DB5D0D" w14:paraId="647F5BD3" w14:textId="77777777" w:rsidTr="00E543D0">
        <w:tc>
          <w:tcPr>
            <w:tcW w:w="4788" w:type="dxa"/>
          </w:tcPr>
          <w:p w14:paraId="03FE35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НКТМ</w:t>
            </w:r>
          </w:p>
        </w:tc>
        <w:tc>
          <w:tcPr>
            <w:tcW w:w="900" w:type="dxa"/>
          </w:tcPr>
          <w:p w14:paraId="4A4DD30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26A6B5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9D523EF" w14:textId="77777777" w:rsidTr="00E543D0">
        <w:tc>
          <w:tcPr>
            <w:tcW w:w="4788" w:type="dxa"/>
          </w:tcPr>
          <w:p w14:paraId="04F287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 Установить на 40-й и 41-й год следующую программу и производственные мощности:</w:t>
            </w:r>
          </w:p>
          <w:p w14:paraId="673C1E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Кировскому з-ду НКТМ по мотору М-40 программу 40 г. - 50 шт., 41 г. - 1500 шт., мощность на 1.4.41 мощность - 2000 шт.</w:t>
            </w:r>
          </w:p>
        </w:tc>
        <w:tc>
          <w:tcPr>
            <w:tcW w:w="900" w:type="dxa"/>
          </w:tcPr>
          <w:p w14:paraId="0877B7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и 1941,</w:t>
            </w:r>
          </w:p>
          <w:p w14:paraId="73B96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1.4.41</w:t>
            </w:r>
          </w:p>
        </w:tc>
        <w:tc>
          <w:tcPr>
            <w:tcW w:w="5490" w:type="dxa"/>
          </w:tcPr>
          <w:p w14:paraId="29B618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Изготовлено вчертежах всего 1,5% оснащения от потребного количества. В металле изготовлен</w:t>
            </w:r>
            <w:r w:rsidRPr="00DB5D0D">
              <w:rPr>
                <w:rFonts w:ascii="Times New Roman" w:hAnsi="Times New Roman"/>
                <w:color w:val="000000" w:themeColor="text1"/>
                <w:sz w:val="16"/>
                <w:szCs w:val="16"/>
              </w:rPr>
              <w:softHyphen/>
              <w:t>ного оснащения нет. До сего дня не размещены заказы на ряд ответ</w:t>
            </w:r>
            <w:r w:rsidRPr="00DB5D0D">
              <w:rPr>
                <w:rFonts w:ascii="Times New Roman" w:hAnsi="Times New Roman"/>
                <w:color w:val="000000" w:themeColor="text1"/>
                <w:sz w:val="16"/>
                <w:szCs w:val="16"/>
              </w:rPr>
              <w:softHyphen/>
              <w:t>ственных деталей (поковка на цилиндры)</w:t>
            </w:r>
          </w:p>
        </w:tc>
      </w:tr>
      <w:tr w:rsidR="007D5DF8" w:rsidRPr="00DB5D0D" w14:paraId="2C53E7C6" w14:textId="77777777" w:rsidTr="00E543D0">
        <w:tc>
          <w:tcPr>
            <w:tcW w:w="4788" w:type="dxa"/>
          </w:tcPr>
          <w:p w14:paraId="10D063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 Снять с производства Кировскогго завода изготовление пропашника У1 и У2 и зпчастей к ним с 1.9.40 г. и, сократить, в связи с этим годовую программу по трактору-пропашнику на 3500 шт. и по запчастям к ним на 25 млн. руб.</w:t>
            </w:r>
          </w:p>
        </w:tc>
        <w:tc>
          <w:tcPr>
            <w:tcW w:w="900" w:type="dxa"/>
          </w:tcPr>
          <w:p w14:paraId="257625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w:t>
            </w:r>
          </w:p>
        </w:tc>
        <w:tc>
          <w:tcPr>
            <w:tcW w:w="5490" w:type="dxa"/>
          </w:tcPr>
          <w:p w14:paraId="409B99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Выполняется</w:t>
            </w:r>
          </w:p>
        </w:tc>
      </w:tr>
      <w:tr w:rsidR="007D5DF8" w:rsidRPr="00DB5D0D" w14:paraId="2A557BE4" w14:textId="77777777" w:rsidTr="00E543D0">
        <w:tc>
          <w:tcPr>
            <w:tcW w:w="4788" w:type="dxa"/>
          </w:tcPr>
          <w:p w14:paraId="29EF6C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Передать НКСМ (Глававтотрактородеталь) оборудование тракторного цеха Кировского з-да, занятое изготовлением запчастей к тракторам и не могущее быть использовано для производства мотора М-40</w:t>
            </w:r>
          </w:p>
        </w:tc>
        <w:tc>
          <w:tcPr>
            <w:tcW w:w="900" w:type="dxa"/>
          </w:tcPr>
          <w:p w14:paraId="61222E9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7762F4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439 станков, занятых на Киров</w:t>
            </w:r>
            <w:r w:rsidRPr="00DB5D0D">
              <w:rPr>
                <w:rFonts w:ascii="Times New Roman" w:hAnsi="Times New Roman"/>
                <w:color w:val="000000" w:themeColor="text1"/>
                <w:sz w:val="16"/>
                <w:szCs w:val="16"/>
              </w:rPr>
              <w:softHyphen/>
              <w:t>ском заводе изготовлением запча</w:t>
            </w:r>
            <w:r w:rsidRPr="00DB5D0D">
              <w:rPr>
                <w:rFonts w:ascii="Times New Roman" w:hAnsi="Times New Roman"/>
                <w:color w:val="000000" w:themeColor="text1"/>
                <w:sz w:val="16"/>
                <w:szCs w:val="16"/>
              </w:rPr>
              <w:softHyphen/>
              <w:t>стей, НКТМ передает только 260 станков. Для разбора споров ме:пду НКСМ и НКТМ о количестве переда</w:t>
            </w:r>
            <w:r w:rsidRPr="00DB5D0D">
              <w:rPr>
                <w:rFonts w:ascii="Times New Roman" w:hAnsi="Times New Roman"/>
                <w:color w:val="000000" w:themeColor="text1"/>
                <w:sz w:val="16"/>
                <w:szCs w:val="16"/>
              </w:rPr>
              <w:softHyphen/>
              <w:t>ваемых станков т. Малышев созывает совещание</w:t>
            </w:r>
          </w:p>
        </w:tc>
      </w:tr>
      <w:tr w:rsidR="007D5DF8" w:rsidRPr="00DB5D0D" w14:paraId="6AB00826" w14:textId="77777777" w:rsidTr="00E543D0">
        <w:tc>
          <w:tcPr>
            <w:tcW w:w="4788" w:type="dxa"/>
          </w:tcPr>
          <w:p w14:paraId="2C7EAE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Выделить Кировскому заводу целевым назначением для организации производства мотора М-40 за счет резерва Эконом. Совета в течение 40 г. нормального, мерительного и режущего инструмента на 1 млн. руб. по специфиакции Кировского завода</w:t>
            </w:r>
          </w:p>
        </w:tc>
        <w:tc>
          <w:tcPr>
            <w:tcW w:w="900" w:type="dxa"/>
          </w:tcPr>
          <w:p w14:paraId="12FC01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w:t>
            </w:r>
          </w:p>
        </w:tc>
        <w:tc>
          <w:tcPr>
            <w:tcW w:w="5490" w:type="dxa"/>
          </w:tcPr>
          <w:p w14:paraId="68D5BC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Спесификации на нормальный инстру</w:t>
            </w:r>
            <w:r w:rsidRPr="00DB5D0D">
              <w:rPr>
                <w:rFonts w:ascii="Times New Roman" w:hAnsi="Times New Roman"/>
                <w:color w:val="000000" w:themeColor="text1"/>
                <w:sz w:val="16"/>
                <w:szCs w:val="16"/>
              </w:rPr>
              <w:softHyphen/>
              <w:t>мент Кировский з—д представил в конце июня и начале июля и на колибры 14.8.40 г. видано нарядов на 3 4 кв. на сумму 716 т.р. и подготавливается к сдаче на 370 т.р. Отгруж:ено на 1.8.40 г. на 44,1 т.р. (еще дополнительно на 1 млн. руб. выделяется инструмента по пост. № 885-368сс от 28.5.40 г.</w:t>
            </w:r>
          </w:p>
        </w:tc>
      </w:tr>
      <w:tr w:rsidR="007D5DF8" w:rsidRPr="00DB5D0D" w14:paraId="62228067" w14:textId="77777777" w:rsidTr="00E543D0">
        <w:tc>
          <w:tcPr>
            <w:tcW w:w="4788" w:type="dxa"/>
          </w:tcPr>
          <w:p w14:paraId="7E3595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Провести переоборудование новых чугунно-литейного и кузнечного цехов Кировского з-да для обеспечения производства мототоров М-40 собственными цветными и стальными поковками, начиная, с 1.10.41 г.</w:t>
            </w:r>
          </w:p>
        </w:tc>
        <w:tc>
          <w:tcPr>
            <w:tcW w:w="900" w:type="dxa"/>
          </w:tcPr>
          <w:p w14:paraId="68AA18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1.10.41</w:t>
            </w:r>
          </w:p>
        </w:tc>
        <w:tc>
          <w:tcPr>
            <w:tcW w:w="5490" w:type="dxa"/>
          </w:tcPr>
          <w:p w14:paraId="608179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Ведутся проектные работы</w:t>
            </w:r>
          </w:p>
        </w:tc>
      </w:tr>
      <w:tr w:rsidR="007D5DF8" w:rsidRPr="00DB5D0D" w14:paraId="5EBDB84D" w14:textId="77777777" w:rsidTr="00E543D0">
        <w:tc>
          <w:tcPr>
            <w:tcW w:w="4788" w:type="dxa"/>
          </w:tcPr>
          <w:p w14:paraId="60A4D4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12. Установить на 1940-й и 1941-й г.г. для изготовления Кировским заводом моторов М-40 следующую кооперацию:</w:t>
            </w:r>
          </w:p>
        </w:tc>
        <w:tc>
          <w:tcPr>
            <w:tcW w:w="900" w:type="dxa"/>
          </w:tcPr>
          <w:p w14:paraId="2E78E7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6F4C57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ЦК ВКП(б) и СНК СССР № 976-368сс от 7.6.40 г. з-д № 75 освобожден от поставки Кировскому з-ду цветного литья и штамповок колен. вала. Штамповку коленч. вала должен поставлять з-д Электросталь НКЧМ, а цветное литье - НКАП</w:t>
            </w:r>
          </w:p>
        </w:tc>
      </w:tr>
      <w:tr w:rsidR="007D5DF8" w:rsidRPr="00DB5D0D" w14:paraId="565800B1" w14:textId="77777777" w:rsidTr="00E543D0">
        <w:tc>
          <w:tcPr>
            <w:tcW w:w="4788" w:type="dxa"/>
          </w:tcPr>
          <w:p w14:paraId="2F545D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НКОМ (з-д № 75) поставляет цветное литъе, штамповку коленчатого вала и топливную аппаратуру</w:t>
            </w:r>
          </w:p>
        </w:tc>
        <w:tc>
          <w:tcPr>
            <w:tcW w:w="900" w:type="dxa"/>
          </w:tcPr>
          <w:p w14:paraId="5283B2D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216FBA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Договора заключены,за исключением ЧТЗ, который от заключения договора отказывается</w:t>
            </w:r>
          </w:p>
        </w:tc>
      </w:tr>
      <w:tr w:rsidR="007D5DF8" w:rsidRPr="00DB5D0D" w14:paraId="217E2F54" w14:textId="77777777" w:rsidTr="00E543D0">
        <w:tc>
          <w:tcPr>
            <w:tcW w:w="4788" w:type="dxa"/>
          </w:tcPr>
          <w:p w14:paraId="091F5B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НКАП поставляет - клапана, вакуумпомпы, регуляторы оборотов винта, генераторы, поршневые кольца и крыльчатки турбокомпрессоров в 1941</w:t>
            </w:r>
          </w:p>
        </w:tc>
        <w:tc>
          <w:tcPr>
            <w:tcW w:w="900" w:type="dxa"/>
          </w:tcPr>
          <w:p w14:paraId="13001F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и 1941</w:t>
            </w:r>
          </w:p>
        </w:tc>
        <w:tc>
          <w:tcPr>
            <w:tcW w:w="5490" w:type="dxa"/>
          </w:tcPr>
          <w:p w14:paraId="06B324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A42FCBE" w14:textId="77777777" w:rsidTr="00E543D0">
        <w:tc>
          <w:tcPr>
            <w:tcW w:w="4788" w:type="dxa"/>
          </w:tcPr>
          <w:p w14:paraId="00EA707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НКЧМ поставляет трубки для топливной аппаратуры</w:t>
            </w:r>
          </w:p>
        </w:tc>
        <w:tc>
          <w:tcPr>
            <w:tcW w:w="900" w:type="dxa"/>
          </w:tcPr>
          <w:p w14:paraId="3CE9AC5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6B84A1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Трубки заказаны НКЧМ в счет фондов НКТМ</w:t>
            </w:r>
          </w:p>
        </w:tc>
      </w:tr>
      <w:tr w:rsidR="007D5DF8" w:rsidRPr="00DB5D0D" w14:paraId="604EA786" w14:textId="77777777" w:rsidTr="00E543D0">
        <w:tc>
          <w:tcPr>
            <w:tcW w:w="4788" w:type="dxa"/>
          </w:tcPr>
          <w:p w14:paraId="56E6F4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 20 Установить необходимое для производства </w:t>
            </w:r>
            <w:r w:rsidRPr="00DB5D0D">
              <w:rPr>
                <w:rFonts w:ascii="Times New Roman" w:hAnsi="Times New Roman"/>
                <w:smallCaps/>
                <w:color w:val="000000" w:themeColor="text1"/>
                <w:sz w:val="16"/>
                <w:szCs w:val="16"/>
              </w:rPr>
              <w:t>моторов М-40 отечественное оборудование по Кировскому заводу и подготовить в 10 дневный срок проект решения Эконом. Совета о целевом выделении оборудования по указанному заводу в 3 и 4 кв. 1940 г.</w:t>
            </w:r>
          </w:p>
        </w:tc>
        <w:tc>
          <w:tcPr>
            <w:tcW w:w="900" w:type="dxa"/>
          </w:tcPr>
          <w:p w14:paraId="7536B0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дней, 4 и 4 кв. 1940</w:t>
            </w:r>
          </w:p>
        </w:tc>
        <w:tc>
          <w:tcPr>
            <w:tcW w:w="5490" w:type="dxa"/>
          </w:tcPr>
          <w:p w14:paraId="4E2FFE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Выполнено</w:t>
            </w:r>
          </w:p>
          <w:p w14:paraId="2234D7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Обеспечивается постановлением Эконом. Сов. № 1124-319сс от 20.5.40 г.</w:t>
            </w:r>
          </w:p>
        </w:tc>
      </w:tr>
      <w:tr w:rsidR="007D5DF8" w:rsidRPr="00DB5D0D" w14:paraId="1F4B6280" w14:textId="77777777" w:rsidTr="00E543D0">
        <w:tc>
          <w:tcPr>
            <w:tcW w:w="4788" w:type="dxa"/>
          </w:tcPr>
          <w:p w14:paraId="447DBC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 21. Разрешитъ вести строительные работы по цеху Кировского завода без проектов и смет</w:t>
            </w:r>
          </w:p>
        </w:tc>
        <w:tc>
          <w:tcPr>
            <w:tcW w:w="900" w:type="dxa"/>
          </w:tcPr>
          <w:p w14:paraId="26BE58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6F4AAF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Выполняется</w:t>
            </w:r>
          </w:p>
        </w:tc>
      </w:tr>
      <w:tr w:rsidR="007D5DF8" w:rsidRPr="00DB5D0D" w14:paraId="2FD0B79D" w14:textId="77777777" w:rsidTr="00E543D0">
        <w:tc>
          <w:tcPr>
            <w:tcW w:w="4788" w:type="dxa"/>
          </w:tcPr>
          <w:p w14:paraId="2A0E8ED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22 Разрешить НКТМ (Кировский завод) импортный контингент в сумме 5895 тыс. руб. для закупки оборудования</w:t>
            </w:r>
          </w:p>
        </w:tc>
        <w:tc>
          <w:tcPr>
            <w:tcW w:w="900" w:type="dxa"/>
          </w:tcPr>
          <w:p w14:paraId="0B8B56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7B91B2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Заказано фирмам 45 станков из потребныз 90</w:t>
            </w:r>
          </w:p>
          <w:p w14:paraId="1F7DEA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поставок:</w:t>
            </w:r>
          </w:p>
          <w:p w14:paraId="3C9D1C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 - 11 станков</w:t>
            </w:r>
          </w:p>
          <w:p w14:paraId="72662F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1941 г. - 24 станков</w:t>
            </w:r>
          </w:p>
          <w:p w14:paraId="55476A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1942 г. - 10 станков</w:t>
            </w:r>
          </w:p>
        </w:tc>
      </w:tr>
      <w:tr w:rsidR="007D5DF8" w:rsidRPr="00DB5D0D" w14:paraId="3C5E0FF2" w14:textId="77777777" w:rsidTr="00E543D0">
        <w:tc>
          <w:tcPr>
            <w:tcW w:w="4788" w:type="dxa"/>
          </w:tcPr>
          <w:p w14:paraId="7520C1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Обеспечить строителъство цеха Кировского з-да фондами на строительные материалы и оборудование целевым назначением для подготовки производства моторов М-40</w:t>
            </w:r>
          </w:p>
        </w:tc>
        <w:tc>
          <w:tcPr>
            <w:tcW w:w="900" w:type="dxa"/>
          </w:tcPr>
          <w:p w14:paraId="04AEFF7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488A60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Выполнено.</w:t>
            </w:r>
          </w:p>
          <w:p w14:paraId="7F996F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Обеспечивается постановлением Экон. Сов. № 1124-319сс от 20.6.40 г.</w:t>
            </w:r>
          </w:p>
        </w:tc>
      </w:tr>
      <w:tr w:rsidR="007D5DF8" w:rsidRPr="00DB5D0D" w14:paraId="791C099E" w14:textId="77777777" w:rsidTr="00E543D0">
        <w:tc>
          <w:tcPr>
            <w:tcW w:w="4788" w:type="dxa"/>
          </w:tcPr>
          <w:p w14:paraId="7F9697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Госплану СССР предусмотреть необходимое увеличение фондов</w:t>
            </w:r>
          </w:p>
        </w:tc>
        <w:tc>
          <w:tcPr>
            <w:tcW w:w="900" w:type="dxa"/>
          </w:tcPr>
          <w:p w14:paraId="4F3EC22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35AAEB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33ED135" w14:textId="77777777" w:rsidTr="00E543D0">
        <w:tc>
          <w:tcPr>
            <w:tcW w:w="4788" w:type="dxa"/>
          </w:tcPr>
          <w:p w14:paraId="43A9DA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НКСтрой</w:t>
            </w:r>
          </w:p>
        </w:tc>
        <w:tc>
          <w:tcPr>
            <w:tcW w:w="900" w:type="dxa"/>
          </w:tcPr>
          <w:p w14:paraId="662F395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3CB768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11EB8D3" w14:textId="77777777" w:rsidTr="00E543D0">
        <w:tc>
          <w:tcPr>
            <w:tcW w:w="4788" w:type="dxa"/>
          </w:tcPr>
          <w:p w14:paraId="7BECBF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17 Возложить на НКСтрой т. Гинзбурга строительство механо-обрабатывающего цеха при ХТЗ и считать это строительство первоочередным и скоростным</w:t>
            </w:r>
          </w:p>
        </w:tc>
        <w:tc>
          <w:tcPr>
            <w:tcW w:w="900" w:type="dxa"/>
          </w:tcPr>
          <w:p w14:paraId="4487551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Pr>
          <w:p w14:paraId="16D76A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работ на 1.8.40 г.- составляет 0,5% годового плана. На стройке занято 130 чел. рабочих.</w:t>
            </w:r>
          </w:p>
        </w:tc>
      </w:tr>
      <w:tr w:rsidR="007D5DF8" w:rsidRPr="00DB5D0D" w14:paraId="70E54519" w14:textId="77777777" w:rsidTr="00E543D0">
        <w:tc>
          <w:tcPr>
            <w:tcW w:w="4788" w:type="dxa"/>
            <w:tcBorders>
              <w:bottom w:val="single" w:sz="12" w:space="0" w:color="auto"/>
            </w:tcBorders>
          </w:tcPr>
          <w:p w14:paraId="72A553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10 Обеспечить первоочередное выполнение строительных работ Кировского з-да по графику, утвержденному НКТМ, обеспечивающему ввод мощностей по мотору М-40 в установленный срок</w:t>
            </w:r>
          </w:p>
        </w:tc>
        <w:tc>
          <w:tcPr>
            <w:tcW w:w="900" w:type="dxa"/>
            <w:tcBorders>
              <w:bottom w:val="single" w:sz="12" w:space="0" w:color="auto"/>
            </w:tcBorders>
          </w:tcPr>
          <w:p w14:paraId="4B753E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490" w:type="dxa"/>
            <w:tcBorders>
              <w:bottom w:val="single" w:sz="12" w:space="0" w:color="auto"/>
            </w:tcBorders>
          </w:tcPr>
          <w:p w14:paraId="6BF6AA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Строительные работы по состоянию на 15. 8.40 г. отстают от графика на 8-10 дней</w:t>
            </w:r>
          </w:p>
        </w:tc>
      </w:tr>
    </w:tbl>
    <w:p w14:paraId="2698D4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Преждожение:</w:t>
      </w:r>
    </w:p>
    <w:p w14:paraId="5027CA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Созвать совещание в Главном Контроле КО с участием представителей НКТМ, НКСМ, НКСтрой и НКАП.</w:t>
      </w:r>
    </w:p>
    <w:p w14:paraId="2190AC8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Предложить НКАП (ЦИАМ) разработать унифицированный тип топливного насоса к моторам М-40, М-30 и В-2, испытать и изготовить рабочие чертежи к 1.4.41 г. (10499,28).</w:t>
      </w:r>
    </w:p>
    <w:p w14:paraId="46368B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58283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Гроховский писал письмо в КО (вход. № 7520 от 21 августа 1040)</w:t>
      </w:r>
    </w:p>
    <w:p w14:paraId="6B00EA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Вячеслав Михайлович!</w:t>
      </w:r>
    </w:p>
    <w:p w14:paraId="1D2AFB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1933 году я был принят Вами и в продолжение пяти часов Вы знакомились с парашютно-десантными объектами, которые давали возможность создать у нас новый род войск - а в и а - д е с а н т.</w:t>
      </w:r>
    </w:p>
    <w:p w14:paraId="150112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 был вызван в то время неверием в это дело некоторых лиц в Армии.</w:t>
      </w:r>
    </w:p>
    <w:p w14:paraId="651FA2D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Всему этому Вы придали большое значение и заставили его проводить в армии, а, кроме того, Вы предложили разрешить новую проблему - беспарашютное сбрасывание десантов посредством авиабусов, сбрасываемых на бреющем полете с самолетов и десатных планеров для тех же целей.</w:t>
      </w:r>
    </w:p>
    <w:p w14:paraId="09B806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Ваших указаний мноюбыл тщательно проработан весь комп</w:t>
      </w:r>
      <w:r w:rsidRPr="00DB5D0D">
        <w:rPr>
          <w:rFonts w:ascii="Times New Roman" w:hAnsi="Times New Roman"/>
          <w:color w:val="000000" w:themeColor="text1"/>
          <w:sz w:val="16"/>
          <w:szCs w:val="16"/>
        </w:rPr>
        <w:softHyphen/>
        <w:t>лекс десантных объектов, результат чего неоднократно подтверждался на маневрах в разных округам/</w:t>
      </w:r>
    </w:p>
    <w:p w14:paraId="73DB4D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было выполено Ваше предложение и проведены удачные опыты по сбрасыванию тяжелых грузов с бреющего полета с самолетов без парашютов и опыты с местными буксируемыми планерами.</w:t>
      </w:r>
    </w:p>
    <w:p w14:paraId="3F26DF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Неожиданно, в 1936 году, Институт, который выполнял мои предложения был расформирован, а вместо него было создано Конструкторское бюро, которое также в 1937 году было расформировано.</w:t>
      </w:r>
    </w:p>
    <w:p w14:paraId="516003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созданное мною на протяжении длительного времени было заброшено, а объекты, состоящие на вооружении, стали сниматься. Самолеты не стали оборудоваться десантными подвесками, сбрасывание тяжелых грузов не стали применять, без всяких на то причин прекратили развивать новые объекты, дающие большие тактические преимущества, несмотря на полное их подтверждение в проведенных опытах беспарашютного сбрасывания десантов.</w:t>
      </w:r>
    </w:p>
    <w:p w14:paraId="6B7FD2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Мои неоднократные попытки воссоздать работу в этой области не увенчались успехом и обращения в различные инстанции с указанием на значение уничтоженного Института, давшего ряд ценных работ, вошедших в обиход Красной - результатов не дали.</w:t>
      </w:r>
    </w:p>
    <w:p w14:paraId="21B1D3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Последняя Комиссия ,назначенная Н.А.Вознесенским под председательством генерала тов. Репина нашла нужным дать мне возможность работать, но в последний момент почему-то изменила свое решение,и вопрос остался опять открытым.</w:t>
      </w:r>
    </w:p>
    <w:p w14:paraId="3E00C9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это вынуждает меня обратиться к Вам, Вячеслав Михайлович, с вопросом:</w:t>
      </w:r>
    </w:p>
    <w:p w14:paraId="3F3D7D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Почему я, никогда и ничем не скомпрометированный, предложивший впервые, еще в 1929 году, авиа-десант и в продолжение 7-ми лет с большим риском для жизни создавал десантные объекты, в результате чего была проработана вся тематика авиа-десантов для Красной Армии,- теперь, когда этот род войск признан бесспорным, я должен быть отстранен от этого дела и не используюсь по моему прямому назначению военного конструктора?</w:t>
      </w:r>
    </w:p>
    <w:p w14:paraId="350826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Почему я, предлагающий вновь проекты, которые несут Красной Армии новые большие тактические достижения, встречаю в точности такие же препятствия, какие я встречал с авиа-десантным делом в период его возникновения. Неужели никто не хочет брать на себя ответственность и в каждом отдельном случае нужно решение СНК СССР?</w:t>
      </w:r>
    </w:p>
    <w:p w14:paraId="14AF82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Почему я, имеющий все авторские свидетельства на все об'екты авиа-десанта, не могу добиться законного получения причитающейся компенсации авторского гонорара. На эти средства я хотел органи</w:t>
      </w:r>
      <w:r w:rsidRPr="00DB5D0D">
        <w:rPr>
          <w:rFonts w:ascii="Times New Roman" w:hAnsi="Times New Roman"/>
          <w:color w:val="000000" w:themeColor="text1"/>
          <w:sz w:val="16"/>
          <w:szCs w:val="16"/>
        </w:rPr>
        <w:softHyphen/>
        <w:t>зовать хотя бы небольшую исследовательскую лабораторию.</w:t>
      </w:r>
    </w:p>
    <w:p w14:paraId="2C2E0C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Видимо, ведшаяся против меня врагами народа травля оставила еще свои следы и лишает меня возможности применить на деле мои силы и способности.</w:t>
      </w:r>
    </w:p>
    <w:p w14:paraId="7DA3F2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 осмеливаюсь просить Вас, Вячеслав Михайлович, положить конец такому неопределенному ко мне отношению.</w:t>
      </w:r>
    </w:p>
    <w:p w14:paraId="158CE0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Вас вернуть меня на путь больших работ и дать мне возмож</w:t>
      </w:r>
      <w:r w:rsidRPr="00DB5D0D">
        <w:rPr>
          <w:rFonts w:ascii="Times New Roman" w:hAnsi="Times New Roman"/>
          <w:color w:val="000000" w:themeColor="text1"/>
          <w:sz w:val="16"/>
          <w:szCs w:val="16"/>
        </w:rPr>
        <w:softHyphen/>
        <w:t>ность все силы моей конструкторской мысли использовать в полной мере на благо народа и защиту Великой Страны.</w:t>
      </w:r>
    </w:p>
    <w:p w14:paraId="58948D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 ВКП(б) с 1919 г., летчик-испытатель, мастер парашютного спорта, орденоносец Ордена Ленина полковник запаса - Гроховский П.И.</w:t>
      </w:r>
    </w:p>
    <w:p w14:paraId="56104D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Адрес: Москва, Старая пл.,д.10/4, Центральное Конструкторское Производственное Бюро УКПП Мосгорисполкома, тел. К-5-56-68 (10516, 51).</w:t>
      </w:r>
    </w:p>
    <w:p w14:paraId="4A8006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C8A94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был подготовлен:</w:t>
      </w:r>
    </w:p>
    <w:p w14:paraId="5B5E50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РАВОТЫ</w:t>
      </w:r>
    </w:p>
    <w:p w14:paraId="4C34A53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комиссии по разбору заявлений и материала, представленного Гроховским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58"/>
        <w:gridCol w:w="2416"/>
        <w:gridCol w:w="2174"/>
      </w:tblGrid>
      <w:tr w:rsidR="007D5DF8" w:rsidRPr="00DB5D0D" w14:paraId="0068C6C8" w14:textId="77777777" w:rsidTr="00E543D0">
        <w:tc>
          <w:tcPr>
            <w:tcW w:w="5958" w:type="dxa"/>
            <w:tcBorders>
              <w:top w:val="single" w:sz="12" w:space="0" w:color="auto"/>
            </w:tcBorders>
          </w:tcPr>
          <w:p w14:paraId="1AB2A3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работ</w:t>
            </w:r>
          </w:p>
        </w:tc>
        <w:tc>
          <w:tcPr>
            <w:tcW w:w="2416" w:type="dxa"/>
            <w:tcBorders>
              <w:top w:val="single" w:sz="12" w:space="0" w:color="auto"/>
            </w:tcBorders>
          </w:tcPr>
          <w:p w14:paraId="524920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Кто проводит</w:t>
            </w:r>
          </w:p>
        </w:tc>
        <w:tc>
          <w:tcPr>
            <w:tcW w:w="2174" w:type="dxa"/>
            <w:tcBorders>
              <w:top w:val="single" w:sz="12" w:space="0" w:color="auto"/>
            </w:tcBorders>
          </w:tcPr>
          <w:p w14:paraId="5A5EC2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выполнения</w:t>
            </w:r>
          </w:p>
        </w:tc>
      </w:tr>
      <w:tr w:rsidR="007D5DF8" w:rsidRPr="00DB5D0D" w14:paraId="4A35B0B2" w14:textId="77777777" w:rsidTr="00E543D0">
        <w:tc>
          <w:tcPr>
            <w:tcW w:w="5958" w:type="dxa"/>
          </w:tcPr>
          <w:p w14:paraId="4E9EA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Изучение материала, представленного Гроховским и составление писем-запросов в НКО и НКВМФ</w:t>
            </w:r>
          </w:p>
        </w:tc>
        <w:tc>
          <w:tcPr>
            <w:tcW w:w="2416" w:type="dxa"/>
          </w:tcPr>
          <w:p w14:paraId="36A58F5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Авиация - СОЛДАТОВ</w:t>
            </w:r>
          </w:p>
          <w:p w14:paraId="0879433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Артиллер. ДУБОВСКИЙ</w:t>
            </w:r>
          </w:p>
          <w:p w14:paraId="2F1569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ВМФ ХАРИТОНОВ</w:t>
            </w:r>
          </w:p>
          <w:p w14:paraId="6375AF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Общевойсковые вопросы</w:t>
            </w:r>
          </w:p>
          <w:p w14:paraId="34DF62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ЗОЛОТОЧУБ</w:t>
            </w:r>
          </w:p>
        </w:tc>
        <w:tc>
          <w:tcPr>
            <w:tcW w:w="2174" w:type="dxa"/>
          </w:tcPr>
          <w:p w14:paraId="78C8CB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27.8.40 г.</w:t>
            </w:r>
          </w:p>
        </w:tc>
      </w:tr>
      <w:tr w:rsidR="007D5DF8" w:rsidRPr="00DB5D0D" w14:paraId="681D1D0A" w14:textId="77777777" w:rsidTr="00E543D0">
        <w:tc>
          <w:tcPr>
            <w:tcW w:w="5958" w:type="dxa"/>
          </w:tcPr>
          <w:p w14:paraId="08C879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Вызватъ т. Гроховского для беседы по его материалам</w:t>
            </w:r>
          </w:p>
        </w:tc>
        <w:tc>
          <w:tcPr>
            <w:tcW w:w="2416" w:type="dxa"/>
          </w:tcPr>
          <w:p w14:paraId="0DF57E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ЗОЛОТОЧУБ</w:t>
            </w:r>
          </w:p>
        </w:tc>
        <w:tc>
          <w:tcPr>
            <w:tcW w:w="2174" w:type="dxa"/>
          </w:tcPr>
          <w:p w14:paraId="1E1008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27.8.40 г. 18.00</w:t>
            </w:r>
          </w:p>
        </w:tc>
      </w:tr>
      <w:tr w:rsidR="007D5DF8" w:rsidRPr="00DB5D0D" w14:paraId="3F256DAE" w14:textId="77777777" w:rsidTr="00E543D0">
        <w:tc>
          <w:tcPr>
            <w:tcW w:w="5958" w:type="dxa"/>
          </w:tcPr>
          <w:p w14:paraId="3FEFF9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прежнюю работу Гроховского</w:t>
            </w:r>
          </w:p>
        </w:tc>
        <w:tc>
          <w:tcPr>
            <w:tcW w:w="2416" w:type="dxa"/>
          </w:tcPr>
          <w:p w14:paraId="7439E6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ЗОЛОТОЧУБ</w:t>
            </w:r>
          </w:p>
        </w:tc>
        <w:tc>
          <w:tcPr>
            <w:tcW w:w="2174" w:type="dxa"/>
          </w:tcPr>
          <w:p w14:paraId="6C4571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w:t>
            </w:r>
          </w:p>
        </w:tc>
      </w:tr>
      <w:tr w:rsidR="007D5DF8" w:rsidRPr="00DB5D0D" w14:paraId="698B9886" w14:textId="77777777" w:rsidTr="00E543D0">
        <w:tc>
          <w:tcPr>
            <w:tcW w:w="5958" w:type="dxa"/>
          </w:tcPr>
          <w:p w14:paraId="19ED82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Обработка материала, представлен-ого т. Гроховским и добытым из других источников и составление заключения о материалах</w:t>
            </w:r>
          </w:p>
        </w:tc>
        <w:tc>
          <w:tcPr>
            <w:tcW w:w="2416" w:type="dxa"/>
          </w:tcPr>
          <w:p w14:paraId="47B838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члены комиссии по своей специаль</w:t>
            </w:r>
            <w:r w:rsidRPr="00DB5D0D">
              <w:rPr>
                <w:rFonts w:ascii="Times New Roman" w:hAnsi="Times New Roman"/>
                <w:color w:val="000000" w:themeColor="text1"/>
                <w:sz w:val="16"/>
                <w:szCs w:val="16"/>
              </w:rPr>
              <w:softHyphen/>
              <w:t>ности с привлечением специалистов</w:t>
            </w:r>
          </w:p>
        </w:tc>
        <w:tc>
          <w:tcPr>
            <w:tcW w:w="2174" w:type="dxa"/>
          </w:tcPr>
          <w:p w14:paraId="01565F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w:t>
            </w:r>
          </w:p>
        </w:tc>
      </w:tr>
      <w:tr w:rsidR="007D5DF8" w:rsidRPr="00DB5D0D" w14:paraId="4D8E6648" w14:textId="77777777" w:rsidTr="00E543D0">
        <w:tc>
          <w:tcPr>
            <w:tcW w:w="5958" w:type="dxa"/>
            <w:tcBorders>
              <w:bottom w:val="single" w:sz="12" w:space="0" w:color="auto"/>
            </w:tcBorders>
          </w:tcPr>
          <w:p w14:paraId="2B6747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Составление общего заключения (докладной записки) о целесооб</w:t>
            </w:r>
            <w:r w:rsidRPr="00DB5D0D">
              <w:rPr>
                <w:rFonts w:ascii="Times New Roman" w:hAnsi="Times New Roman"/>
                <w:color w:val="000000" w:themeColor="text1"/>
                <w:sz w:val="16"/>
                <w:szCs w:val="16"/>
              </w:rPr>
              <w:softHyphen/>
              <w:t>разности использования предло-кений, выдвигаемых Гроховскии</w:t>
            </w:r>
          </w:p>
        </w:tc>
        <w:tc>
          <w:tcPr>
            <w:tcW w:w="2416" w:type="dxa"/>
            <w:tcBorders>
              <w:bottom w:val="single" w:sz="12" w:space="0" w:color="auto"/>
            </w:tcBorders>
          </w:tcPr>
          <w:p w14:paraId="3428A0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Совместно все члены комиссии</w:t>
            </w:r>
          </w:p>
        </w:tc>
        <w:tc>
          <w:tcPr>
            <w:tcW w:w="2174" w:type="dxa"/>
            <w:tcBorders>
              <w:bottom w:val="single" w:sz="12" w:space="0" w:color="auto"/>
            </w:tcBorders>
          </w:tcPr>
          <w:p w14:paraId="15ADF4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3.9.40 г.</w:t>
            </w:r>
          </w:p>
        </w:tc>
      </w:tr>
    </w:tbl>
    <w:p w14:paraId="6AF6AE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комиссии: ЗОЛОТОЧУБ (10516,2).</w:t>
      </w:r>
    </w:p>
    <w:p w14:paraId="14A17A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1E99BA6" w14:textId="77777777" w:rsidR="003C7E8B" w:rsidRPr="00DB5D0D" w:rsidRDefault="00B30AFA"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A04F523" w14:textId="77777777" w:rsidR="003C7E8B" w:rsidRPr="00DB5D0D" w:rsidRDefault="003C7E8B" w:rsidP="00DB5D0D">
      <w:pPr>
        <w:shd w:val="clear" w:color="auto" w:fill="FFFFFF"/>
        <w:spacing w:after="0" w:line="240" w:lineRule="auto"/>
        <w:jc w:val="both"/>
        <w:rPr>
          <w:rFonts w:ascii="Times New Roman" w:hAnsi="Times New Roman"/>
          <w:iCs/>
          <w:color w:val="000000" w:themeColor="text1"/>
          <w:sz w:val="16"/>
          <w:szCs w:val="16"/>
        </w:rPr>
      </w:pPr>
    </w:p>
    <w:p w14:paraId="04A11218" w14:textId="77777777" w:rsidR="00A5272B" w:rsidRPr="00DB5D0D" w:rsidRDefault="00A5272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shd w:val="clear" w:color="auto" w:fill="FFFFFF"/>
        </w:rPr>
        <w:t>21 августа 1940 вышло Постановление Комитета обороны при СНК СССР № 366сс "О введении на вооружение частей Красной армии, флота и НКВД нового прибора управления артиллерийским зенитным огнем и мероприятиях по развертыванию его производства в 1940-1941 гг." с приложениями (22032).</w:t>
      </w:r>
    </w:p>
    <w:p w14:paraId="323FD299" w14:textId="77777777" w:rsidR="00A5272B" w:rsidRPr="00DB5D0D" w:rsidRDefault="00A5272B" w:rsidP="00DB5D0D">
      <w:pPr>
        <w:spacing w:after="0" w:line="240" w:lineRule="auto"/>
        <w:jc w:val="both"/>
        <w:rPr>
          <w:rFonts w:ascii="Times New Roman" w:hAnsi="Times New Roman"/>
          <w:color w:val="0070C0"/>
          <w:sz w:val="16"/>
          <w:szCs w:val="16"/>
        </w:rPr>
      </w:pPr>
    </w:p>
    <w:p w14:paraId="3B3D24A5" w14:textId="77777777" w:rsidR="003C7E8B" w:rsidRPr="00DB5D0D" w:rsidRDefault="003C7E8B" w:rsidP="00DB5D0D">
      <w:pPr>
        <w:pStyle w:val="a3"/>
        <w:rPr>
          <w:color w:val="000000" w:themeColor="text1"/>
          <w:lang w:val="ru-RU"/>
        </w:rPr>
      </w:pPr>
      <w:r w:rsidRPr="00DB5D0D">
        <w:rPr>
          <w:color w:val="000000" w:themeColor="text1"/>
          <w:lang w:val="ru-RU"/>
        </w:rPr>
        <w:lastRenderedPageBreak/>
        <w:t>21 августа 1940 руководство ГАБТУ письмом №76007с уведомило Д.М. Козырева.</w:t>
      </w:r>
    </w:p>
    <w:p w14:paraId="33B39B1E"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РАЙОННОМУ ИНЖЕНЕРУ БРОНЕ-ТАНКОВОГО УПРАВЛЕНИЯ КРАСНОЙ АРМИИ НА ЗАВОДЕ № 183 т. КОЗЫРЕВУ</w:t>
      </w:r>
    </w:p>
    <w:p w14:paraId="0C52AB30"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гор. Харьков</w:t>
      </w:r>
    </w:p>
    <w:p w14:paraId="5A7E0962"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Как Вам известно, при полигонных испытаниях обстрелом, ос</w:t>
      </w:r>
      <w:r w:rsidRPr="00DB5D0D">
        <w:rPr>
          <w:rFonts w:ascii="Times New Roman" w:hAnsi="Times New Roman" w:cs="Times New Roman"/>
          <w:i w:val="0"/>
          <w:iCs w:val="0"/>
          <w:color w:val="000000" w:themeColor="text1"/>
          <w:sz w:val="16"/>
          <w:szCs w:val="16"/>
        </w:rPr>
        <w:softHyphen/>
        <w:t>нования смотровых приборов дали хрупкие поражения. Непонятно, почему Вы считаете в протоколе технического совещания, при глав</w:t>
      </w:r>
      <w:r w:rsidRPr="00DB5D0D">
        <w:rPr>
          <w:rFonts w:ascii="Times New Roman" w:hAnsi="Times New Roman" w:cs="Times New Roman"/>
          <w:i w:val="0"/>
          <w:iCs w:val="0"/>
          <w:color w:val="000000" w:themeColor="text1"/>
          <w:sz w:val="16"/>
          <w:szCs w:val="16"/>
        </w:rPr>
        <w:softHyphen/>
        <w:t>ном инженере завода № 183 от 6.8.40 г., что «основание смотровых приборов, установленные на машины с твердостью d лунки 2,7-2,9 считать бронестойкими».</w:t>
      </w:r>
    </w:p>
    <w:p w14:paraId="303AD03D"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Всякие отступления от чертежей и техусловий, влияющие на пуле-снарядостойкость, могут быть допущены только с разреше</w:t>
      </w:r>
      <w:r w:rsidRPr="00DB5D0D">
        <w:rPr>
          <w:rFonts w:ascii="Times New Roman" w:hAnsi="Times New Roman" w:cs="Times New Roman"/>
          <w:i w:val="0"/>
          <w:iCs w:val="0"/>
          <w:color w:val="000000" w:themeColor="text1"/>
          <w:sz w:val="16"/>
          <w:szCs w:val="16"/>
        </w:rPr>
        <w:softHyphen/>
        <w:t>ния БТУ К. А.</w:t>
      </w:r>
    </w:p>
    <w:p w14:paraId="5B53939E"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Еще раз предупреждаю Вас, что Вы не имеете права допускать к постановке на танк ни одного узла, ни одной детали, не проверен</w:t>
      </w:r>
      <w:r w:rsidRPr="00DB5D0D">
        <w:rPr>
          <w:rFonts w:ascii="Times New Roman" w:hAnsi="Times New Roman" w:cs="Times New Roman"/>
          <w:i w:val="0"/>
          <w:iCs w:val="0"/>
          <w:color w:val="000000" w:themeColor="text1"/>
          <w:sz w:val="16"/>
          <w:szCs w:val="16"/>
        </w:rPr>
        <w:softHyphen/>
        <w:t>ных обстрелом и не давших при этом положительных результатов. За качество продукции Вы несете полную ответственность наравне с заводом.</w:t>
      </w:r>
    </w:p>
    <w:p w14:paraId="3052FDF9"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При повторении подобных случаев на Вас будет наложено дис</w:t>
      </w:r>
      <w:r w:rsidRPr="00DB5D0D">
        <w:rPr>
          <w:rFonts w:ascii="Times New Roman" w:hAnsi="Times New Roman" w:cs="Times New Roman"/>
          <w:i w:val="0"/>
          <w:iCs w:val="0"/>
          <w:color w:val="000000" w:themeColor="text1"/>
          <w:sz w:val="16"/>
          <w:szCs w:val="16"/>
        </w:rPr>
        <w:softHyphen/>
        <w:t>циплинарное взыскание.</w:t>
      </w:r>
    </w:p>
    <w:p w14:paraId="7AE610AC"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 xml:space="preserve">НАЧАЛЬНИК </w:t>
      </w:r>
      <w:r w:rsidRPr="00DB5D0D">
        <w:rPr>
          <w:rStyle w:val="2-1pt"/>
          <w:rFonts w:ascii="Times New Roman" w:hAnsi="Times New Roman" w:cs="Times New Roman"/>
          <w:iCs/>
          <w:color w:val="000000" w:themeColor="text1"/>
          <w:spacing w:val="0"/>
          <w:sz w:val="16"/>
          <w:szCs w:val="16"/>
        </w:rPr>
        <w:t>БТУ</w:t>
      </w:r>
      <w:r w:rsidRPr="00DB5D0D">
        <w:rPr>
          <w:rFonts w:ascii="Times New Roman" w:hAnsi="Times New Roman" w:cs="Times New Roman"/>
          <w:i w:val="0"/>
          <w:iCs w:val="0"/>
          <w:color w:val="000000" w:themeColor="text1"/>
          <w:sz w:val="16"/>
          <w:szCs w:val="16"/>
        </w:rPr>
        <w:t xml:space="preserve"> КРАСНОЙ АРМИИ ВОЕНИНЖЕНЕР 1 РАНГА КОРОБКОВ </w:t>
      </w:r>
      <w:r w:rsidRPr="00DB5D0D">
        <w:rPr>
          <w:rStyle w:val="TrebuchetMS155ptArialNarrow17Tahoma0pt1211"/>
          <w:rFonts w:ascii="Times New Roman" w:hAnsi="Times New Roman" w:cs="Times New Roman"/>
          <w:i w:val="0"/>
          <w:iCs w:val="0"/>
          <w:color w:val="000000" w:themeColor="text1"/>
          <w:sz w:val="16"/>
          <w:szCs w:val="16"/>
        </w:rPr>
        <w:t xml:space="preserve">(подписано Н.Н. Алымовым) </w:t>
      </w:r>
      <w:r w:rsidRPr="00DB5D0D">
        <w:rPr>
          <w:rFonts w:ascii="Times New Roman" w:hAnsi="Times New Roman" w:cs="Times New Roman"/>
          <w:i w:val="0"/>
          <w:iCs w:val="0"/>
          <w:color w:val="000000" w:themeColor="text1"/>
          <w:sz w:val="16"/>
          <w:szCs w:val="16"/>
        </w:rPr>
        <w:t>НАЧАЛЬНИК 3 ОТДЕЛА БТУ КР. АРМИИ ВОЕНИНЖЕНЕР 1 РАНГА АФОНИН.</w:t>
      </w:r>
      <w:r w:rsidRPr="00DB5D0D">
        <w:rPr>
          <w:rStyle w:val="TrebuchetMS155ptArialNarrow17Tahoma0pt1211"/>
          <w:rFonts w:ascii="Times New Roman" w:hAnsi="Times New Roman" w:cs="Times New Roman"/>
          <w:i w:val="0"/>
          <w:iCs w:val="0"/>
          <w:color w:val="000000" w:themeColor="text1"/>
          <w:sz w:val="16"/>
          <w:szCs w:val="16"/>
        </w:rPr>
        <w:t xml:space="preserve"> [</w:t>
      </w:r>
      <w:r w:rsidRPr="00DB5D0D">
        <w:rPr>
          <w:rFonts w:ascii="Times New Roman" w:hAnsi="Times New Roman" w:cs="Times New Roman"/>
          <w:i w:val="0"/>
          <w:iCs w:val="0"/>
          <w:color w:val="000000" w:themeColor="text1"/>
          <w:sz w:val="16"/>
          <w:szCs w:val="16"/>
        </w:rPr>
        <w:t>РГВА. Ф.31811. On.2. Д. 1176. Л.229.</w:t>
      </w:r>
      <w:r w:rsidRPr="00DB5D0D">
        <w:rPr>
          <w:rStyle w:val="TrebuchetMS155ptArialNarrow17Tahoma0pt1211"/>
          <w:rFonts w:ascii="Times New Roman" w:hAnsi="Times New Roman" w:cs="Times New Roman"/>
          <w:i w:val="0"/>
          <w:iCs w:val="0"/>
          <w:color w:val="000000" w:themeColor="text1"/>
          <w:sz w:val="16"/>
          <w:szCs w:val="16"/>
        </w:rPr>
        <w:t>]</w:t>
      </w:r>
    </w:p>
    <w:p w14:paraId="671A80CE" w14:textId="77777777" w:rsidR="003C7E8B" w:rsidRPr="00DB5D0D" w:rsidRDefault="003C7E8B" w:rsidP="00DB5D0D">
      <w:pPr>
        <w:pStyle w:val="a3"/>
        <w:rPr>
          <w:color w:val="000000" w:themeColor="text1"/>
          <w:lang w:val="ru-RU"/>
        </w:rPr>
      </w:pPr>
      <w:r w:rsidRPr="00DB5D0D">
        <w:rPr>
          <w:color w:val="000000" w:themeColor="text1"/>
          <w:lang w:val="ru-RU"/>
        </w:rPr>
        <w:t>В конечном итоге основания смотровых приборов на уже собран</w:t>
      </w:r>
      <w:r w:rsidRPr="00DB5D0D">
        <w:rPr>
          <w:color w:val="000000" w:themeColor="text1"/>
          <w:lang w:val="ru-RU"/>
        </w:rPr>
        <w:softHyphen/>
        <w:t>ных башнях менять не стали, а в дальнейшем, осенью 1940 г., пере</w:t>
      </w:r>
      <w:r w:rsidRPr="00DB5D0D">
        <w:rPr>
          <w:color w:val="000000" w:themeColor="text1"/>
          <w:lang w:val="ru-RU"/>
        </w:rPr>
        <w:softHyphen/>
        <w:t>вели эти детали на изготовление методом литья (11940).</w:t>
      </w:r>
    </w:p>
    <w:p w14:paraId="7ECC5572" w14:textId="77777777" w:rsidR="003C7E8B" w:rsidRPr="00DB5D0D" w:rsidRDefault="003C7E8B" w:rsidP="00DB5D0D">
      <w:pPr>
        <w:pStyle w:val="a3"/>
        <w:rPr>
          <w:color w:val="000000" w:themeColor="text1"/>
          <w:lang w:val="ru-RU"/>
        </w:rPr>
      </w:pPr>
    </w:p>
    <w:p w14:paraId="7FF6E4DB" w14:textId="77777777" w:rsidR="006D3176" w:rsidRPr="00DB5D0D" w:rsidRDefault="006D317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г. Постановлением СНК СССР и ЦК ВКП(б) № 1505</w:t>
      </w:r>
      <w:r w:rsidRPr="00DB5D0D">
        <w:rPr>
          <w:rFonts w:ascii="Times New Roman" w:hAnsi="Times New Roman"/>
          <w:color w:val="000000" w:themeColor="text1"/>
          <w:sz w:val="16"/>
          <w:szCs w:val="16"/>
        </w:rPr>
        <w:noBreakHyphen/>
        <w:t>584сс завод № 78 НКБ обязан был организовать производство бронекорпусов и бронебашен к танкам КВ. В IV квартале 1940 г. завод должен был изготовить и сдать Челябинскому тракторному заводу 5 комплектов бронекорпусов и бронебашен к танкам КВ и подготовить мощности к выпуску в 1941 г. 300 комплектов начиная с января месяца 1941 г. Завод не выполнил этого задания. На 1 февраля 1941 г. производство бронекорпусов и бронебашен к танку КВ даже не было еще начато.</w:t>
      </w:r>
    </w:p>
    <w:p w14:paraId="3DB69BDF" w14:textId="77777777" w:rsidR="006D3176" w:rsidRPr="00DB5D0D" w:rsidRDefault="006D317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78 обязан был к 1 января 1941 г. организовать производство литых броневых башен к танку КВ для Челябинского тракторного завода на мощность 300 танков в год с тем, чтобы по освоении литых башен заменить ими башни из катаной брони. Это задание заводом также не выполнено и к производству литых башен еще не приступлено. Разработка рабочих чертежей по литым башням начата только с конца ноября 1940 г. и на 1 февраля 1941 г. закончена не была (18033).</w:t>
      </w:r>
    </w:p>
    <w:p w14:paraId="21868CA9" w14:textId="77777777" w:rsidR="006D3176" w:rsidRPr="00DB5D0D" w:rsidRDefault="006D3176" w:rsidP="00DB5D0D">
      <w:pPr>
        <w:spacing w:after="0" w:line="240" w:lineRule="auto"/>
        <w:jc w:val="both"/>
        <w:rPr>
          <w:rFonts w:ascii="Times New Roman" w:hAnsi="Times New Roman"/>
          <w:color w:val="000000" w:themeColor="text1"/>
          <w:sz w:val="16"/>
          <w:szCs w:val="16"/>
        </w:rPr>
      </w:pPr>
    </w:p>
    <w:p w14:paraId="41CEF04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21 по 29 августа 1940 г. на Полигоне ГАБТУ КА прошли испытанияТЕЛЕТАНКОВ ПОДВОЗА ЗАРЯДОВ С ВЗРЫВЧАТЫМИ ВЕЩЕСТВАМИ для определения целесообразности дальнейших работ над специальными телетанками подвоза заря</w:t>
      </w:r>
      <w:r w:rsidRPr="00DB5D0D">
        <w:rPr>
          <w:rFonts w:ascii="Times New Roman" w:hAnsi="Times New Roman"/>
          <w:color w:val="000000" w:themeColor="text1"/>
          <w:sz w:val="16"/>
          <w:szCs w:val="16"/>
        </w:rPr>
        <w:softHyphen/>
        <w:t>дов с взрывчатыми веществами на базе танка Т-26 для разрушения ДОТов.</w:t>
      </w:r>
    </w:p>
    <w:p w14:paraId="3AE4DF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Проводила комиссия в составе:</w:t>
      </w:r>
    </w:p>
    <w:p w14:paraId="79605B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комиссии: начальник 2 отдела БТУ полковник т. Иванов</w:t>
      </w:r>
    </w:p>
    <w:p w14:paraId="009EF6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 комиссии: пом. начальника НИ полигона ГАБТУ военинженер 1 ранга; ст. инженер БТУ майор т. Ковалев; ст. инженер БТУ подполковник т. Дорофеев; ст. пом. нач. отделения Генштаба ка</w:t>
      </w:r>
      <w:r w:rsidRPr="00DB5D0D">
        <w:rPr>
          <w:rFonts w:ascii="Times New Roman" w:hAnsi="Times New Roman"/>
          <w:color w:val="000000" w:themeColor="text1"/>
          <w:sz w:val="16"/>
          <w:szCs w:val="16"/>
        </w:rPr>
        <w:softHyphen/>
        <w:t>питан т. Краснов; нач. проектного бюро ГВИУ полковник т. Игнатов; начальник отделения АН ГАУ военинженер 1 ранга т. Якимов.</w:t>
      </w:r>
    </w:p>
    <w:p w14:paraId="6D59D6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Комиссии всесторонне изучила образцы на НИ полигоне ГАБТУ, провела показную работу под телеуправлением и в ручную на условных объектах по сбрасыванию зарядов.</w:t>
      </w:r>
    </w:p>
    <w:p w14:paraId="2A9569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31811. Оп. 16. Д. 110. л. 3. Копия (11210).</w:t>
      </w:r>
    </w:p>
    <w:p w14:paraId="410031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F688039"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lang w:val="en-US"/>
        </w:rPr>
        <w:t>C</w:t>
      </w:r>
      <w:r w:rsidRPr="00DB5D0D">
        <w:rPr>
          <w:rFonts w:ascii="Times New Roman" w:hAnsi="Times New Roman"/>
          <w:color w:val="000000" w:themeColor="text1"/>
          <w:sz w:val="16"/>
          <w:szCs w:val="16"/>
        </w:rPr>
        <w:t xml:space="preserve"> 21 по 29 августа 1940 г. Комиссия пом. начальника НИ полигона ГАБТУ военинженер 1 ранга [фамилия неразборчива]; ст. инженер БТУ майор т. Ковалев; ст. инженер БТУ подполковник т. Дорофеев; ст. помощник нач. отделения Генштаба капитан т. Краснов; нач. проектного бюро ГВИУ полковник т. Игнатов; начальник отделения АН ГАУ военинженер 1 ранга т. Якимовпровела испытания телетанков на Полигоне ГАБТУ и представила свои выводы и предложения руководству НКО СССР (15722).</w:t>
      </w:r>
    </w:p>
    <w:p w14:paraId="270BD304"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0BAAFEC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9FD906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F98C2E3"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21 августа 1940 в США был создан комитет из представителей вооруженных сил США и Британской авиационной комиссии, к которым позднее присоединились представители Комитета по связям, а также Оборонной консультативной комиссии. Новый орган получил название Объединенного авиационного комитета, члены которого имели власть, как выразился министр обороны Стимсон, «действовать от имени и брать на себя обязательства» своих правительств. Это был важный шаг на пути к эффективному повседневному сотрудничеству в военном производстве, и новый комитет стал предшественником объединенных советов, возникших после Пёрл-Харбора. </w:t>
      </w:r>
    </w:p>
    <w:p w14:paraId="32795CA7"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Принципом работы этого комитета было эффективное распределение планов, которое должно было как можно скорее дать результаты: либо в войне против стран оси, как в случае с самолетами для Анг лии, либо для укрепления обороноспособности</w:t>
      </w:r>
      <w:r w:rsidR="00D440A3" w:rsidRPr="00DB5D0D">
        <w:rPr>
          <w:rFonts w:ascii="Times New Roman" w:hAnsi="Times New Roman"/>
          <w:color w:val="000000" w:themeColor="text1"/>
          <w:sz w:val="16"/>
          <w:szCs w:val="16"/>
        </w:rPr>
        <w:t xml:space="preserve"> США</w:t>
      </w:r>
      <w:r w:rsidRPr="00DB5D0D">
        <w:rPr>
          <w:rFonts w:ascii="Times New Roman" w:hAnsi="Times New Roman"/>
          <w:color w:val="000000" w:themeColor="text1"/>
          <w:sz w:val="16"/>
          <w:szCs w:val="16"/>
        </w:rPr>
        <w:t xml:space="preserve">. Ни в одной из стран не должны были накопляться лишние моторы, пропеллеры, пушки и т. д., если в другой стране есть самолеты, которые в этом нуждаются. </w:t>
      </w:r>
    </w:p>
    <w:p w14:paraId="74E43281"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Была у Объединенного авиационного комитета и другая задача, не менее важная: стандартизация военных самолетов и авиационного вооружения для нужд обоих правительств. Прежде всего комитет обратил внимание на самолет Р-40. Хотя американский и английский варианты этой машины были в принципе одинаковыми, между ними существовало множество мелких различий, и каждое из правительств постоянно меняло спецификацию независимо от другого. Результатом была головная боль промышленников и низкая производительность труда. В сентябре 1940 года комитет собрался на Буффалском заводе корпорации «Кэррис-Райт». Заседание продолжалось два дня и кончилось решением о стандартизации модели и о том, чтобы законсервировать образец на полгода. В результате почти сразу произошел значительный рост производства. В дальнейшем подобные совещания по стандартизации были проведены и на других авиазаводах, и результатом в каждом случае также являлся рост производства и у нас, и у англичан.</w:t>
      </w:r>
    </w:p>
    <w:p w14:paraId="717275C6"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Была у Объединенного авиационного комитета и другая задача, не менее важная: стандартизация военных самолетов и авиационного вооружения для нужд обоих правительств. Прежде всего комитет обратил внимание на самолет </w:t>
      </w:r>
      <w:r w:rsidR="00CE2790" w:rsidRPr="00DB5D0D">
        <w:rPr>
          <w:rFonts w:ascii="Times New Roman" w:hAnsi="Times New Roman"/>
          <w:color w:val="000000" w:themeColor="text1"/>
          <w:sz w:val="16"/>
          <w:szCs w:val="16"/>
        </w:rPr>
        <w:t>Р</w:t>
      </w:r>
      <w:r w:rsidRPr="00DB5D0D">
        <w:rPr>
          <w:rFonts w:ascii="Times New Roman" w:hAnsi="Times New Roman"/>
          <w:color w:val="000000" w:themeColor="text1"/>
          <w:sz w:val="16"/>
          <w:szCs w:val="16"/>
        </w:rPr>
        <w:t xml:space="preserve">-40. Хотя американский и английский варианты этой машины были в принципе одинаковыми, между ними существовало множество мелких различий, и каждое из правительств постоянно меняло спецификацию независимо от другого. Результатом была головная боль промышленников и низкая производительность труда. В сентябре 1940 года комитет собрался на Буффалском заводе корпорации «Кэррис-Райт». Заседание продолжалось два дня и кончилось решением о стандартизации модели и о том, чтобы законсервировать образец на полгода. В результате почти сразу произошел значительный рост производства. В дальнейшем подобные совещания по стандартизации были проведены и на других авиазаводах, и результатом в каждом случае также являлся рост производства и у нас, и у англичан. </w:t>
      </w:r>
    </w:p>
    <w:p w14:paraId="4F1D10F5"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Работа по стандартизации в других сферах производства была предпринята в том же сентябре, когда к нам прибыл сэр Уолтер Лейтон, спецпредставитель английского Министерства снабжения. Он подчеркнул, что англичане нуждаются в военном оборудовании разных видов для сухопутных войск, однако эта цель не может быть достигнута без гораздо более высокой степени стандартизации, чем нынешняя. Англичане могут сделать большие заказы в Канаде, но значительное их количество могли бы выполнить в США, где производят оружие, которое могут использовать как американцы, так и англичане. Лейтон сказал, что для начала Британия хотела бы снабдить американскими стандартными военными материалами до 10 дивизий для боевых действий на Ближнем Востоке. 29 ноября этот план был согласован, но с условием, что заказы будут проверены военным министерством и что они будут размещены незамедлительно, чтобы сразу наладить развертывание производства. Английское решение покупать американские военные материалы воплотилось в «соглашение Стимсона-Лейтона», и это было не просто принятие ими наших стандартов — тут было также предложение о совместной работе в области создания новых и модернизации старых видов оружия для нужд обеих стран. Предложение было принято, и обе наши армии стали обмениваться военными материалами для их проверки. Каждая страна производила основательную экспертизу оружия другой страны. Английские 40-миллиметровые зенитные пушки «Бофор» показали себя настолько хорошо, что </w:t>
      </w:r>
      <w:r w:rsidR="00D440A3" w:rsidRPr="00DB5D0D">
        <w:rPr>
          <w:rFonts w:ascii="Times New Roman" w:hAnsi="Times New Roman"/>
          <w:color w:val="000000" w:themeColor="text1"/>
          <w:sz w:val="16"/>
          <w:szCs w:val="16"/>
        </w:rPr>
        <w:t>США</w:t>
      </w:r>
      <w:r w:rsidRPr="00DB5D0D">
        <w:rPr>
          <w:rFonts w:ascii="Times New Roman" w:hAnsi="Times New Roman"/>
          <w:color w:val="000000" w:themeColor="text1"/>
          <w:sz w:val="16"/>
          <w:szCs w:val="16"/>
        </w:rPr>
        <w:t xml:space="preserve"> утвердили их для </w:t>
      </w:r>
      <w:r w:rsidR="00D440A3" w:rsidRPr="00DB5D0D">
        <w:rPr>
          <w:rFonts w:ascii="Times New Roman" w:hAnsi="Times New Roman"/>
          <w:color w:val="000000" w:themeColor="text1"/>
          <w:sz w:val="16"/>
          <w:szCs w:val="16"/>
        </w:rPr>
        <w:t>своей</w:t>
      </w:r>
      <w:r w:rsidRPr="00DB5D0D">
        <w:rPr>
          <w:rFonts w:ascii="Times New Roman" w:hAnsi="Times New Roman"/>
          <w:color w:val="000000" w:themeColor="text1"/>
          <w:sz w:val="16"/>
          <w:szCs w:val="16"/>
        </w:rPr>
        <w:t xml:space="preserve"> армии и начали их производство в США. Англичане же приняли на вооружение американские 105-миллиметровые гаубицы и еще кое-какие виды пушек. Некоторые виды оружия были усовершенствованы с учетом лучшего из достигнутого в обеих странах. Это была одна из форм взаимопомощи — обмен идеями, который теперь стал неотъемлемой частью нашего военного сотрудничества. </w:t>
      </w:r>
    </w:p>
    <w:p w14:paraId="292073BA" w14:textId="77777777" w:rsidR="00BE1588" w:rsidRPr="00DB5D0D" w:rsidRDefault="00BE158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Сначала препятствием с обеих сторон была официальная гордыня, но по мере того как идеи одной стороны заимствовались другой обе армии все охотнее воспринимали новые идеи и новое оружие. Теперь мы уже стали гордиться каждый своим вкладом в совместно разработанное оружие (17417).</w:t>
      </w:r>
    </w:p>
    <w:p w14:paraId="5D046F8D" w14:textId="77777777" w:rsidR="00BE1588" w:rsidRPr="00DB5D0D" w:rsidRDefault="00BE1588" w:rsidP="00DB5D0D">
      <w:pPr>
        <w:spacing w:after="0" w:line="240" w:lineRule="auto"/>
        <w:jc w:val="both"/>
        <w:rPr>
          <w:rFonts w:ascii="Times New Roman" w:hAnsi="Times New Roman"/>
          <w:color w:val="000000" w:themeColor="text1"/>
          <w:sz w:val="16"/>
          <w:szCs w:val="16"/>
        </w:rPr>
      </w:pPr>
    </w:p>
    <w:p w14:paraId="0E384AEB"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в 1940 году Мацуока объявил французскому послу о желании Японии построить в Индокитае несколько аэродромов и обеспечить их гарнизонами общей численностью до 60 тысяч человек, а также взять под свой контроль железные дороги. Правительство Виши обратилось к Чан Кайши, информировав его о требованиях Японии; кроме того, французы просили довести их до сведения Англии и США (14995).</w:t>
      </w:r>
    </w:p>
    <w:p w14:paraId="209ED2EB"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080E48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был убит Л.Д.Т. (3263,457).</w:t>
      </w:r>
    </w:p>
    <w:p w14:paraId="26EE196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512444" w14:textId="77777777" w:rsidR="003B6509" w:rsidRPr="00DB5D0D" w:rsidRDefault="003B650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21 августа 1940 Троцкий зарублен в Мексике Рамоном Меркадером. Разрабатывали операцию Павел Судоплатов и генерал Эйтингон (Наумов). Судоплатов в своей книге высказался так: "Мотивы репрессий, в которых повинны руководство страны и  органы  безопасности, были связаны  не с личными амбициями Сталина и других "вождей", но с той  борьбой за власть,  которая постоянно  шла внутри их окружения. Эту борьбу всегда умело прикрывали  громкими  лозунгами - "борьба  с уклонами"  в  правящей  партии "ускоренного строительства коммунизма", "борьба с врагами народа", "борьба с космополитами",  "перестройка"...  Ликвидации  Льва  Троцкого,  Коновальца   были   продолжением  кровавой гражданской  войны,  только  уже  за пределами  СССР, боевыми акциями против злейших   врагов  советского  государства". Первая попытка убийства была провальной - группа Сикейроса ворвалась в комнату "Старика" и изрешетила ее из автоматов. А Троцкий отсиделся под кроватью, куда пламенные бойцы заглянуть не удосужились. Вторая попытка - Рамон Меркадер под именем Фрэнка Джексона втерся в доверие к Троцкому и пробил ему темечко ледорубом. После этого сидел в мексиканской тюрьме под тем же вымышленным именем. Через 6 лет мексиканцы узнали, кто он на самом деле - от бежавшего на Запад чекиста. Рамон признал, что он - это он, но никогда ни словом не обмолвился о принадлежности к советской разведке (в отличие от "героя" Зорге, который не только был двойным агентом, но еще и раскололся на первом же допросе и выложил японцам всю подноготную). Меркадер отсидел 20 лет, приехал в Москву, получил Героя Советского Союза, квартиру, дачу и пенсию. Позже уехал жить на Кубу (12629). </w:t>
      </w:r>
    </w:p>
    <w:p w14:paraId="1EE8FFC0" w14:textId="77777777" w:rsidR="003B6509" w:rsidRPr="00DB5D0D" w:rsidRDefault="003B6509" w:rsidP="00DB5D0D">
      <w:pPr>
        <w:spacing w:after="0" w:line="240" w:lineRule="auto"/>
        <w:jc w:val="both"/>
        <w:rPr>
          <w:rFonts w:ascii="Times New Roman" w:hAnsi="Times New Roman"/>
          <w:iCs/>
          <w:color w:val="000000" w:themeColor="text1"/>
          <w:sz w:val="16"/>
          <w:szCs w:val="16"/>
        </w:rPr>
      </w:pPr>
    </w:p>
    <w:p w14:paraId="6BA8215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C1325F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5A3A92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22/14 августа 1940 года Назаров, помощник главного конструктора, Крисанов, ведущий инженер, Батэнин, парторг писали письмо Сталину</w:t>
      </w:r>
    </w:p>
    <w:p w14:paraId="229C2644"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Дорогой Иосиф Виссарионович!</w:t>
      </w:r>
    </w:p>
    <w:p w14:paraId="5B74B91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Конструкторский № 17 завода № 156 НКАП (главный конструктор Кочеригин С.А.) в феврале 1940 года предложил НКАП и ВВС предварительный проект одноместного пикирующего бомбардировщика ("ОПБ") с мотором М-90 (и, как варианты, с мотором М-81 и М-71).</w:t>
      </w:r>
    </w:p>
    <w:p w14:paraId="27ECD47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Получив в марте 1940 года согласие НКАП и ГУАС (заключение по проекту утверждено начальником ГУАСКА Алексеевым 17 марта 1940 года), КО –17 приступил 15 апреля 1940 года к разработке, а 11 июля 1940 года досрочно сдал в производство рабочие чертежи для постройки трех экземпляров самолета "ОПБ".</w:t>
      </w:r>
    </w:p>
    <w:p w14:paraId="43A076E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Макетная комиссия и командование ВВС в лице генерал-лейтенанта Смушкевича утвердил макет самолета и в заключении записали "что предъявленный самолет представляет значительный интерес для ВВС, а поэтому считает необходимым войти с ходатайством в КО о скорейшем разрешении вопроса о постройке самолета".</w:t>
      </w:r>
    </w:p>
    <w:p w14:paraId="7DFF7926"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макетом нашего самолета лично ознакомился нарком Шахурин, его заместитель Воронин, начальник ВВС Смушкевич, герой Советского Союза Пумпур и ряд других руководящих работников авиации.</w:t>
      </w:r>
    </w:p>
    <w:p w14:paraId="4CD7AE3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Их единодушный отзыв о самолете "ОПБ", как о весьма необходимом и нужном в самое ближайшее время для укрепления обороноспособности нашей Родины, воодушевлял наш коллектив и заставлял работать с еще большим напряжением, максимально сокращая сроки выпуска чертежей.</w:t>
      </w:r>
    </w:p>
    <w:p w14:paraId="0942BD10"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несмотря на интерес, проявленный руководителями НКАП и ВВС и их заявления о необходимости форсировать постройку опытных экземпляров самолета "ОПБ", в НКАП нашлись люди, которые с февраля по июнь затягивали отправку проекта постановления Правительства в КО, одновременно вводя в заблуждение наркома Шахурина своими сообщениями, что проект постановления, якобы отправлен.</w:t>
      </w:r>
    </w:p>
    <w:p w14:paraId="605BBCD1"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касается завода № 156, то у руководства завода существует весьма "прохладное", если не сказать больше, отношение к постройке самолета, чертежи по которому полностью сданы 11 июля 1940 года.</w:t>
      </w:r>
    </w:p>
    <w:p w14:paraId="3A678BF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сего времени машина не запущена как следует в производство, а если и запускаются какие-либо детали, то некомплектно и с одной лишь целью – загрузить недогруженное оборудование.</w:t>
      </w:r>
    </w:p>
    <w:p w14:paraId="317288F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Такое отношение к постройке самолета "ОПБ" директор завода прикрывает отсутствием постановления Правительства, упуская из виду, что самый большой враг в развитии авиации – черепашьи темпы строительства опытных самолетов.</w:t>
      </w:r>
    </w:p>
    <w:p w14:paraId="11FCF83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полагаем, что если самолет "ОПБ" действительно нужен для обороны нашей Родины, как об этом нам заявляли руководители НКАП и ВВС, то никакая задержка с постановлением Правительства не должна служить основанием для проволочек в постройке самолетов, тем более опытных.</w:t>
      </w:r>
    </w:p>
    <w:p w14:paraId="30CC492D"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 не менее, мы вынуждены обратиться к Вам с просьбой содействовать ускорению в утверждении самолета "ОПБ" с тем, чтобы лишить некоторых руководителей завода № 156 той ширмы, за которую они пытаются спрятаться в поисках спокойствия и не желая по большевистски форсировать постройку самолета "ОПБ".</w:t>
      </w:r>
    </w:p>
    <w:p w14:paraId="28201758"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своей стороны мы примем все меры к еще большему улучшению и упрощению конструкции и подготовим чертежи для быстрого внедрения самолета в серию.</w:t>
      </w:r>
    </w:p>
    <w:p w14:paraId="722C5632"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Надеемся, что наше искреннее стремление дать Родине хорошую боевую машину, при вашей поддержке будет воплощено в жизнь в кратчайшие сроки, которые будут указаны постановлением Правительства (3420, 110-111).</w:t>
      </w:r>
    </w:p>
    <w:p w14:paraId="29F3A417"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02EADD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контролер Вахрушев - представитель КО СНК СССР - в журнале Учета выполнения постановлени правительства в отношении постановления КО N 235сс 1940 “О постановке серийного производства самолетов ББ-1 на заводах №№ 31 и 207 в 1940 году” отметил:</w:t>
      </w:r>
    </w:p>
    <w:p w14:paraId="074BB3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Сделал запрос в ПГУ о ходе производства на заводах 31, 207 и 135 (10395).</w:t>
      </w:r>
    </w:p>
    <w:p w14:paraId="7E4441A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B96BD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в Контрольном листе учета выполнения постановления КО СНК СССР № 108сс от 4 марта 1940 г. представителем КО СНК СССР - контролером Вахрушевым была сделана запись:</w:t>
      </w:r>
    </w:p>
    <w:p w14:paraId="00E0A6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СББ с М-105ТК Архангельского</w:t>
      </w:r>
    </w:p>
    <w:p w14:paraId="454FD9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Д.б. предъявлен 15 ноября 1940 и 2-й - 1 января 1940.</w:t>
      </w:r>
    </w:p>
    <w:p w14:paraId="23542E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начали проектировать в 1939.</w:t>
      </w:r>
    </w:p>
    <w:p w14:paraId="6F8C4A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1939 был утвержден эскизный проект.</w:t>
      </w:r>
    </w:p>
    <w:p w14:paraId="742301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ноября 1939 был утвержден макет.</w:t>
      </w:r>
    </w:p>
    <w:p w14:paraId="7DECF8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самолет запущен в производство на заводах №№ 156 и 22. Общая техническая готовность - 50%.</w:t>
      </w:r>
    </w:p>
    <w:p w14:paraId="0700E6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20 августа 1940 отдельные агрегаты проходят статиспытания.</w:t>
      </w:r>
    </w:p>
    <w:p w14:paraId="488901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строительству 2-го экз. Еще не приступали.</w:t>
      </w:r>
    </w:p>
    <w:p w14:paraId="4AFC84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Отставание от графика на 2,5 мес. И есть опасение, что отсутствие мотора М-105ТК и винтов замедлит сроки постройки самолета (10395,38).</w:t>
      </w:r>
    </w:p>
    <w:p w14:paraId="547FD9C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7D2AC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контролер Вахрушев - представитель КО СНК СССР - в журнале Учета выполнения постановлени правительства в отношении постановления КО N 240сс 1940 “О переводе самолетов СБ на пикирующие бомбардировщики и внедрении пикирующего вооружения на эти бомбардировщики” отметил:</w:t>
      </w:r>
    </w:p>
    <w:p w14:paraId="7836DB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НКСМ будет приказ № 126сс от 16 июня 1940</w:t>
      </w:r>
    </w:p>
    <w:p w14:paraId="6B9E5D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16 июля 1940 заводы ГАЗ и ЗИС не получили чертежей на штампы от завода № 22. Директор завода № 22 т. Окулов сообщил, что чертежи будут даны 20 июля 1940 (10395).</w:t>
      </w:r>
    </w:p>
    <w:p w14:paraId="3564573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572F2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контролер Вахрушев - представитель КО СНК СССР - в журнале Учета выполнения постановлени правительства в отношении постановления КО N 275сс 1940 “О внедрении в серийное производство самолетов “100” в варианте ПБ” отметил:</w:t>
      </w:r>
    </w:p>
    <w:p w14:paraId="05D405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Дано указание...о выполнении этого постановления.</w:t>
      </w:r>
    </w:p>
    <w:p w14:paraId="31EE68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Сообщение т. Михайлова:</w:t>
      </w:r>
    </w:p>
    <w:p w14:paraId="222FB6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Распоряжение по НУЧМ издано 28 июня 1940 за № ог 873сс</w:t>
      </w:r>
    </w:p>
    <w:p w14:paraId="1B7790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Ежедневно уточняется с потребителями с 4 июля 1940</w:t>
      </w:r>
    </w:p>
    <w:p w14:paraId="54F065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Заказы выданы 4-6 июня 1940</w:t>
      </w:r>
    </w:p>
    <w:p w14:paraId="257AA2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состояние отгрузки по июльскому плану поставок: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631"/>
        <w:gridCol w:w="630"/>
        <w:gridCol w:w="1574"/>
        <w:gridCol w:w="5104"/>
      </w:tblGrid>
      <w:tr w:rsidR="007D5DF8" w:rsidRPr="00DB5D0D" w14:paraId="60C2F04D" w14:textId="77777777" w:rsidTr="00E543D0">
        <w:tc>
          <w:tcPr>
            <w:tcW w:w="3085" w:type="dxa"/>
            <w:tcBorders>
              <w:top w:val="single" w:sz="12" w:space="0" w:color="auto"/>
            </w:tcBorders>
          </w:tcPr>
          <w:p w14:paraId="6CB329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Марка</w:t>
            </w:r>
          </w:p>
        </w:tc>
        <w:tc>
          <w:tcPr>
            <w:tcW w:w="631" w:type="dxa"/>
            <w:tcBorders>
              <w:top w:val="single" w:sz="12" w:space="0" w:color="auto"/>
            </w:tcBorders>
          </w:tcPr>
          <w:p w14:paraId="303D36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w:t>
            </w:r>
          </w:p>
        </w:tc>
        <w:tc>
          <w:tcPr>
            <w:tcW w:w="630" w:type="dxa"/>
            <w:tcBorders>
              <w:top w:val="single" w:sz="12" w:space="0" w:color="auto"/>
            </w:tcBorders>
          </w:tcPr>
          <w:p w14:paraId="3756DA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w:t>
            </w:r>
          </w:p>
        </w:tc>
        <w:tc>
          <w:tcPr>
            <w:tcW w:w="1574" w:type="dxa"/>
            <w:tcBorders>
              <w:top w:val="single" w:sz="12" w:space="0" w:color="auto"/>
            </w:tcBorders>
          </w:tcPr>
          <w:p w14:paraId="1A0312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Поставил</w:t>
            </w:r>
          </w:p>
        </w:tc>
        <w:tc>
          <w:tcPr>
            <w:tcW w:w="5104" w:type="dxa"/>
            <w:tcBorders>
              <w:top w:val="single" w:sz="12" w:space="0" w:color="auto"/>
            </w:tcBorders>
          </w:tcPr>
          <w:p w14:paraId="02D92D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Примечания</w:t>
            </w:r>
          </w:p>
        </w:tc>
      </w:tr>
      <w:tr w:rsidR="007D5DF8" w:rsidRPr="00DB5D0D" w14:paraId="51435280" w14:textId="77777777" w:rsidTr="00E543D0">
        <w:tc>
          <w:tcPr>
            <w:tcW w:w="3085" w:type="dxa"/>
          </w:tcPr>
          <w:p w14:paraId="31899D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22</w:t>
            </w:r>
          </w:p>
        </w:tc>
        <w:tc>
          <w:tcPr>
            <w:tcW w:w="631" w:type="dxa"/>
          </w:tcPr>
          <w:p w14:paraId="0773EA2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30" w:type="dxa"/>
          </w:tcPr>
          <w:p w14:paraId="04EB3D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574" w:type="dxa"/>
          </w:tcPr>
          <w:p w14:paraId="4F91F5D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104" w:type="dxa"/>
          </w:tcPr>
          <w:p w14:paraId="2D91E6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08B4B2D" w14:textId="77777777" w:rsidTr="00E543D0">
        <w:tc>
          <w:tcPr>
            <w:tcW w:w="3085" w:type="dxa"/>
          </w:tcPr>
          <w:p w14:paraId="1EC0C8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Лист нержавеющий ЭИ-10</w:t>
            </w:r>
          </w:p>
        </w:tc>
        <w:tc>
          <w:tcPr>
            <w:tcW w:w="631" w:type="dxa"/>
          </w:tcPr>
          <w:p w14:paraId="64CE16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2,75</w:t>
            </w:r>
          </w:p>
        </w:tc>
        <w:tc>
          <w:tcPr>
            <w:tcW w:w="630" w:type="dxa"/>
          </w:tcPr>
          <w:p w14:paraId="514B16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74" w:type="dxa"/>
          </w:tcPr>
          <w:p w14:paraId="48BC03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6FEF75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не обеспечен заготовкой, нет легированной стали</w:t>
            </w:r>
          </w:p>
        </w:tc>
      </w:tr>
      <w:tr w:rsidR="007D5DF8" w:rsidRPr="00DB5D0D" w14:paraId="6DDCE013" w14:textId="77777777" w:rsidTr="00E543D0">
        <w:tc>
          <w:tcPr>
            <w:tcW w:w="3085" w:type="dxa"/>
          </w:tcPr>
          <w:p w14:paraId="0ACFED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Лента нержавеющая ЭИ-10</w:t>
            </w:r>
          </w:p>
        </w:tc>
        <w:tc>
          <w:tcPr>
            <w:tcW w:w="631" w:type="dxa"/>
          </w:tcPr>
          <w:p w14:paraId="65E8F6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3,65</w:t>
            </w:r>
          </w:p>
        </w:tc>
        <w:tc>
          <w:tcPr>
            <w:tcW w:w="630" w:type="dxa"/>
          </w:tcPr>
          <w:p w14:paraId="3550B0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74" w:type="dxa"/>
          </w:tcPr>
          <w:p w14:paraId="73892D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70970D0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FA2E82B" w14:textId="77777777" w:rsidTr="00E543D0">
        <w:tc>
          <w:tcPr>
            <w:tcW w:w="3085" w:type="dxa"/>
          </w:tcPr>
          <w:p w14:paraId="4D8D1A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Лента нихромовая</w:t>
            </w:r>
          </w:p>
        </w:tc>
        <w:tc>
          <w:tcPr>
            <w:tcW w:w="631" w:type="dxa"/>
          </w:tcPr>
          <w:p w14:paraId="394B46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630" w:type="dxa"/>
          </w:tcPr>
          <w:p w14:paraId="17E816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74" w:type="dxa"/>
          </w:tcPr>
          <w:p w14:paraId="3DA549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08F239D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CDF6A15" w14:textId="77777777" w:rsidTr="00E543D0">
        <w:tc>
          <w:tcPr>
            <w:tcW w:w="3085" w:type="dxa"/>
          </w:tcPr>
          <w:p w14:paraId="37B190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Сорт нержавеющий</w:t>
            </w:r>
          </w:p>
        </w:tc>
        <w:tc>
          <w:tcPr>
            <w:tcW w:w="631" w:type="dxa"/>
          </w:tcPr>
          <w:p w14:paraId="31FD0C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15,25</w:t>
            </w:r>
          </w:p>
        </w:tc>
        <w:tc>
          <w:tcPr>
            <w:tcW w:w="630" w:type="dxa"/>
          </w:tcPr>
          <w:p w14:paraId="53E27D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74" w:type="dxa"/>
          </w:tcPr>
          <w:p w14:paraId="32E274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Электросталь</w:t>
            </w:r>
          </w:p>
        </w:tc>
        <w:tc>
          <w:tcPr>
            <w:tcW w:w="5104" w:type="dxa"/>
          </w:tcPr>
          <w:p w14:paraId="349FAD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D721F44" w14:textId="77777777" w:rsidTr="00E543D0">
        <w:tc>
          <w:tcPr>
            <w:tcW w:w="3085" w:type="dxa"/>
          </w:tcPr>
          <w:p w14:paraId="51F588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Сорт нержавеющий</w:t>
            </w:r>
          </w:p>
        </w:tc>
        <w:tc>
          <w:tcPr>
            <w:tcW w:w="631" w:type="dxa"/>
          </w:tcPr>
          <w:p w14:paraId="537FFE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15,55</w:t>
            </w:r>
          </w:p>
        </w:tc>
        <w:tc>
          <w:tcPr>
            <w:tcW w:w="630" w:type="dxa"/>
          </w:tcPr>
          <w:p w14:paraId="704943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w:t>
            </w:r>
          </w:p>
        </w:tc>
        <w:tc>
          <w:tcPr>
            <w:tcW w:w="1574" w:type="dxa"/>
          </w:tcPr>
          <w:p w14:paraId="45BFA5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Югосталь</w:t>
            </w:r>
          </w:p>
        </w:tc>
        <w:tc>
          <w:tcPr>
            <w:tcW w:w="5104" w:type="dxa"/>
          </w:tcPr>
          <w:p w14:paraId="6448870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5786920" w14:textId="77777777" w:rsidTr="00E543D0">
        <w:tc>
          <w:tcPr>
            <w:tcW w:w="3085" w:type="dxa"/>
          </w:tcPr>
          <w:p w14:paraId="2E2665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Лист нержавеющий</w:t>
            </w:r>
          </w:p>
        </w:tc>
        <w:tc>
          <w:tcPr>
            <w:tcW w:w="631" w:type="dxa"/>
          </w:tcPr>
          <w:p w14:paraId="1205F6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2,75</w:t>
            </w:r>
          </w:p>
        </w:tc>
        <w:tc>
          <w:tcPr>
            <w:tcW w:w="630" w:type="dxa"/>
          </w:tcPr>
          <w:p w14:paraId="09C6C3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3,35</w:t>
            </w:r>
          </w:p>
        </w:tc>
        <w:tc>
          <w:tcPr>
            <w:tcW w:w="1574" w:type="dxa"/>
          </w:tcPr>
          <w:p w14:paraId="294557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643662C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C1209B3" w14:textId="77777777" w:rsidTr="00E543D0">
        <w:tc>
          <w:tcPr>
            <w:tcW w:w="3085" w:type="dxa"/>
          </w:tcPr>
          <w:p w14:paraId="4765BB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Лента нержавеющая</w:t>
            </w:r>
          </w:p>
        </w:tc>
        <w:tc>
          <w:tcPr>
            <w:tcW w:w="631" w:type="dxa"/>
          </w:tcPr>
          <w:p w14:paraId="24DBE2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6,15</w:t>
            </w:r>
          </w:p>
        </w:tc>
        <w:tc>
          <w:tcPr>
            <w:tcW w:w="630" w:type="dxa"/>
          </w:tcPr>
          <w:p w14:paraId="228D78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5,31</w:t>
            </w:r>
          </w:p>
        </w:tc>
        <w:tc>
          <w:tcPr>
            <w:tcW w:w="1574" w:type="dxa"/>
          </w:tcPr>
          <w:p w14:paraId="28661F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70DDE7C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FF016BB" w14:textId="77777777" w:rsidTr="00E543D0">
        <w:tc>
          <w:tcPr>
            <w:tcW w:w="3085" w:type="dxa"/>
          </w:tcPr>
          <w:p w14:paraId="2B0AD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Лента хромансилевая</w:t>
            </w:r>
          </w:p>
        </w:tc>
        <w:tc>
          <w:tcPr>
            <w:tcW w:w="631" w:type="dxa"/>
          </w:tcPr>
          <w:p w14:paraId="5B24C3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w:t>
            </w:r>
          </w:p>
        </w:tc>
        <w:tc>
          <w:tcPr>
            <w:tcW w:w="630" w:type="dxa"/>
          </w:tcPr>
          <w:p w14:paraId="2C68C5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9,77</w:t>
            </w:r>
          </w:p>
        </w:tc>
        <w:tc>
          <w:tcPr>
            <w:tcW w:w="1574" w:type="dxa"/>
          </w:tcPr>
          <w:p w14:paraId="4A65B2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3A83736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29C9BC2" w14:textId="77777777" w:rsidTr="00E543D0">
        <w:tc>
          <w:tcPr>
            <w:tcW w:w="3085" w:type="dxa"/>
          </w:tcPr>
          <w:p w14:paraId="18A4E0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Сталь калиброванная</w:t>
            </w:r>
          </w:p>
        </w:tc>
        <w:tc>
          <w:tcPr>
            <w:tcW w:w="631" w:type="dxa"/>
          </w:tcPr>
          <w:p w14:paraId="084A01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w:t>
            </w:r>
          </w:p>
        </w:tc>
        <w:tc>
          <w:tcPr>
            <w:tcW w:w="630" w:type="dxa"/>
          </w:tcPr>
          <w:p w14:paraId="1A2F93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39,9</w:t>
            </w:r>
          </w:p>
        </w:tc>
        <w:tc>
          <w:tcPr>
            <w:tcW w:w="1574" w:type="dxa"/>
          </w:tcPr>
          <w:p w14:paraId="2E2E28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3BC7FF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2FBF346" w14:textId="77777777" w:rsidTr="00E543D0">
        <w:tc>
          <w:tcPr>
            <w:tcW w:w="3085" w:type="dxa"/>
          </w:tcPr>
          <w:p w14:paraId="4D1016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Сортамент электронный легированный</w:t>
            </w:r>
          </w:p>
        </w:tc>
        <w:tc>
          <w:tcPr>
            <w:tcW w:w="631" w:type="dxa"/>
          </w:tcPr>
          <w:p w14:paraId="7D3A23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w:t>
            </w:r>
          </w:p>
        </w:tc>
        <w:tc>
          <w:tcPr>
            <w:tcW w:w="630" w:type="dxa"/>
          </w:tcPr>
          <w:p w14:paraId="3A7981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32,5</w:t>
            </w:r>
          </w:p>
        </w:tc>
        <w:tc>
          <w:tcPr>
            <w:tcW w:w="1574" w:type="dxa"/>
          </w:tcPr>
          <w:p w14:paraId="626100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Днепроспецсталь</w:t>
            </w:r>
          </w:p>
        </w:tc>
        <w:tc>
          <w:tcPr>
            <w:tcW w:w="5104" w:type="dxa"/>
          </w:tcPr>
          <w:p w14:paraId="3E6565B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E9A46E9" w14:textId="77777777" w:rsidTr="00E543D0">
        <w:tc>
          <w:tcPr>
            <w:tcW w:w="3085" w:type="dxa"/>
          </w:tcPr>
          <w:p w14:paraId="26B09D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Сортамент электронный легированный</w:t>
            </w:r>
          </w:p>
        </w:tc>
        <w:tc>
          <w:tcPr>
            <w:tcW w:w="631" w:type="dxa"/>
          </w:tcPr>
          <w:p w14:paraId="6094F0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630" w:type="dxa"/>
          </w:tcPr>
          <w:p w14:paraId="4CCE35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1574" w:type="dxa"/>
          </w:tcPr>
          <w:p w14:paraId="1DDDC8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Электросталь</w:t>
            </w:r>
          </w:p>
        </w:tc>
        <w:tc>
          <w:tcPr>
            <w:tcW w:w="5104" w:type="dxa"/>
          </w:tcPr>
          <w:p w14:paraId="606A06F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55143D6" w14:textId="77777777" w:rsidTr="00E543D0">
        <w:tc>
          <w:tcPr>
            <w:tcW w:w="3085" w:type="dxa"/>
          </w:tcPr>
          <w:p w14:paraId="5F9F4B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Калиброваный углерод</w:t>
            </w:r>
          </w:p>
        </w:tc>
        <w:tc>
          <w:tcPr>
            <w:tcW w:w="631" w:type="dxa"/>
          </w:tcPr>
          <w:p w14:paraId="7D1805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630" w:type="dxa"/>
          </w:tcPr>
          <w:p w14:paraId="1DA7A6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574" w:type="dxa"/>
          </w:tcPr>
          <w:p w14:paraId="4399CB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Красный Октябрь</w:t>
            </w:r>
          </w:p>
        </w:tc>
        <w:tc>
          <w:tcPr>
            <w:tcW w:w="5104" w:type="dxa"/>
          </w:tcPr>
          <w:p w14:paraId="7E12E11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A742415" w14:textId="77777777" w:rsidTr="00E543D0">
        <w:tc>
          <w:tcPr>
            <w:tcW w:w="3085" w:type="dxa"/>
          </w:tcPr>
          <w:p w14:paraId="09A429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Уголки 45х45</w:t>
            </w:r>
          </w:p>
        </w:tc>
        <w:tc>
          <w:tcPr>
            <w:tcW w:w="631" w:type="dxa"/>
          </w:tcPr>
          <w:p w14:paraId="79DB0A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630" w:type="dxa"/>
          </w:tcPr>
          <w:p w14:paraId="6341AD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74" w:type="dxa"/>
          </w:tcPr>
          <w:p w14:paraId="69A54C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Дзержинского</w:t>
            </w:r>
          </w:p>
        </w:tc>
        <w:tc>
          <w:tcPr>
            <w:tcW w:w="5104" w:type="dxa"/>
          </w:tcPr>
          <w:p w14:paraId="05827F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Разногласия по программе</w:t>
            </w:r>
          </w:p>
        </w:tc>
      </w:tr>
      <w:tr w:rsidR="007D5DF8" w:rsidRPr="00DB5D0D" w14:paraId="69E37FB7" w14:textId="77777777" w:rsidTr="00E543D0">
        <w:tc>
          <w:tcPr>
            <w:tcW w:w="3085" w:type="dxa"/>
          </w:tcPr>
          <w:p w14:paraId="549935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39</w:t>
            </w:r>
          </w:p>
        </w:tc>
        <w:tc>
          <w:tcPr>
            <w:tcW w:w="631" w:type="dxa"/>
          </w:tcPr>
          <w:p w14:paraId="14A2D9A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30" w:type="dxa"/>
          </w:tcPr>
          <w:p w14:paraId="4685CE9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574" w:type="dxa"/>
          </w:tcPr>
          <w:p w14:paraId="165248C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104" w:type="dxa"/>
          </w:tcPr>
          <w:p w14:paraId="6DBF95D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ABD7365" w14:textId="77777777" w:rsidTr="00E543D0">
        <w:tc>
          <w:tcPr>
            <w:tcW w:w="3085" w:type="dxa"/>
          </w:tcPr>
          <w:p w14:paraId="57A775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Лента нихромовая</w:t>
            </w:r>
          </w:p>
        </w:tc>
        <w:tc>
          <w:tcPr>
            <w:tcW w:w="631" w:type="dxa"/>
          </w:tcPr>
          <w:p w14:paraId="4E40AC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630" w:type="dxa"/>
          </w:tcPr>
          <w:p w14:paraId="221E4F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74" w:type="dxa"/>
          </w:tcPr>
          <w:p w14:paraId="7FD139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18A486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не обеспечен заготовкой, нет легированной стали</w:t>
            </w:r>
          </w:p>
        </w:tc>
      </w:tr>
      <w:tr w:rsidR="007D5DF8" w:rsidRPr="00DB5D0D" w14:paraId="2747FE97" w14:textId="77777777" w:rsidTr="00E543D0">
        <w:tc>
          <w:tcPr>
            <w:tcW w:w="3085" w:type="dxa"/>
          </w:tcPr>
          <w:p w14:paraId="5100E9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Сорт нержавеющий</w:t>
            </w:r>
          </w:p>
        </w:tc>
        <w:tc>
          <w:tcPr>
            <w:tcW w:w="631" w:type="dxa"/>
          </w:tcPr>
          <w:p w14:paraId="2AFFE9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w:t>
            </w:r>
          </w:p>
        </w:tc>
        <w:tc>
          <w:tcPr>
            <w:tcW w:w="630" w:type="dxa"/>
          </w:tcPr>
          <w:p w14:paraId="36A149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74" w:type="dxa"/>
          </w:tcPr>
          <w:p w14:paraId="6489B7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Электросталь</w:t>
            </w:r>
          </w:p>
        </w:tc>
        <w:tc>
          <w:tcPr>
            <w:tcW w:w="5104" w:type="dxa"/>
          </w:tcPr>
          <w:p w14:paraId="123F73B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133C67A" w14:textId="77777777" w:rsidTr="00E543D0">
        <w:tc>
          <w:tcPr>
            <w:tcW w:w="3085" w:type="dxa"/>
          </w:tcPr>
          <w:p w14:paraId="0FFEB4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Сорт нержавеющий</w:t>
            </w:r>
          </w:p>
        </w:tc>
        <w:tc>
          <w:tcPr>
            <w:tcW w:w="631" w:type="dxa"/>
          </w:tcPr>
          <w:p w14:paraId="394D74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13,55</w:t>
            </w:r>
          </w:p>
        </w:tc>
        <w:tc>
          <w:tcPr>
            <w:tcW w:w="630" w:type="dxa"/>
          </w:tcPr>
          <w:p w14:paraId="6B6F5B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74" w:type="dxa"/>
          </w:tcPr>
          <w:p w14:paraId="2A071C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Югосталь</w:t>
            </w:r>
          </w:p>
        </w:tc>
        <w:tc>
          <w:tcPr>
            <w:tcW w:w="5104" w:type="dxa"/>
          </w:tcPr>
          <w:p w14:paraId="6DE910B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0EA0732" w14:textId="77777777" w:rsidTr="00E543D0">
        <w:tc>
          <w:tcPr>
            <w:tcW w:w="3085" w:type="dxa"/>
          </w:tcPr>
          <w:p w14:paraId="5A5209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 калиброванная</w:t>
            </w:r>
          </w:p>
        </w:tc>
        <w:tc>
          <w:tcPr>
            <w:tcW w:w="631" w:type="dxa"/>
          </w:tcPr>
          <w:p w14:paraId="1845D1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5,10</w:t>
            </w:r>
          </w:p>
        </w:tc>
        <w:tc>
          <w:tcPr>
            <w:tcW w:w="630" w:type="dxa"/>
          </w:tcPr>
          <w:p w14:paraId="49941B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4,14</w:t>
            </w:r>
          </w:p>
        </w:tc>
        <w:tc>
          <w:tcPr>
            <w:tcW w:w="1574" w:type="dxa"/>
          </w:tcPr>
          <w:p w14:paraId="51F702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0C29F6B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8261A40" w14:textId="77777777" w:rsidTr="00E543D0">
        <w:tc>
          <w:tcPr>
            <w:tcW w:w="3085" w:type="dxa"/>
          </w:tcPr>
          <w:p w14:paraId="6D22DE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Лента нержавеющая</w:t>
            </w:r>
          </w:p>
        </w:tc>
        <w:tc>
          <w:tcPr>
            <w:tcW w:w="631" w:type="dxa"/>
          </w:tcPr>
          <w:p w14:paraId="6DC4B6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2,98</w:t>
            </w:r>
          </w:p>
        </w:tc>
        <w:tc>
          <w:tcPr>
            <w:tcW w:w="630" w:type="dxa"/>
          </w:tcPr>
          <w:p w14:paraId="2E9B88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3,071</w:t>
            </w:r>
          </w:p>
        </w:tc>
        <w:tc>
          <w:tcPr>
            <w:tcW w:w="1574" w:type="dxa"/>
          </w:tcPr>
          <w:p w14:paraId="1FBD46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3B571DF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90A9EE3" w14:textId="77777777" w:rsidTr="00E543D0">
        <w:tc>
          <w:tcPr>
            <w:tcW w:w="3085" w:type="dxa"/>
          </w:tcPr>
          <w:p w14:paraId="08C9CA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Лента хромансилевая</w:t>
            </w:r>
          </w:p>
        </w:tc>
        <w:tc>
          <w:tcPr>
            <w:tcW w:w="631" w:type="dxa"/>
          </w:tcPr>
          <w:p w14:paraId="406DC5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5,31</w:t>
            </w:r>
          </w:p>
        </w:tc>
        <w:tc>
          <w:tcPr>
            <w:tcW w:w="630" w:type="dxa"/>
          </w:tcPr>
          <w:p w14:paraId="4E3792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2,51</w:t>
            </w:r>
          </w:p>
        </w:tc>
        <w:tc>
          <w:tcPr>
            <w:tcW w:w="1574" w:type="dxa"/>
          </w:tcPr>
          <w:p w14:paraId="450330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2671DBD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08CFAAB" w14:textId="77777777" w:rsidTr="00E543D0">
        <w:tc>
          <w:tcPr>
            <w:tcW w:w="3085" w:type="dxa"/>
          </w:tcPr>
          <w:p w14:paraId="277E72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 листовая углеродистая</w:t>
            </w:r>
          </w:p>
        </w:tc>
        <w:tc>
          <w:tcPr>
            <w:tcW w:w="631" w:type="dxa"/>
          </w:tcPr>
          <w:p w14:paraId="390E05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31,6</w:t>
            </w:r>
          </w:p>
        </w:tc>
        <w:tc>
          <w:tcPr>
            <w:tcW w:w="630" w:type="dxa"/>
          </w:tcPr>
          <w:p w14:paraId="69F935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37,42</w:t>
            </w:r>
          </w:p>
        </w:tc>
        <w:tc>
          <w:tcPr>
            <w:tcW w:w="1574" w:type="dxa"/>
          </w:tcPr>
          <w:p w14:paraId="188F83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54AA33A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F5EF373" w14:textId="77777777" w:rsidTr="00E543D0">
        <w:tc>
          <w:tcPr>
            <w:tcW w:w="3085" w:type="dxa"/>
          </w:tcPr>
          <w:p w14:paraId="5B7939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Сортамент электронный легированный</w:t>
            </w:r>
          </w:p>
        </w:tc>
        <w:tc>
          <w:tcPr>
            <w:tcW w:w="631" w:type="dxa"/>
          </w:tcPr>
          <w:p w14:paraId="54AF2D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79,35</w:t>
            </w:r>
          </w:p>
        </w:tc>
        <w:tc>
          <w:tcPr>
            <w:tcW w:w="630" w:type="dxa"/>
          </w:tcPr>
          <w:p w14:paraId="5F661F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42,3</w:t>
            </w:r>
          </w:p>
        </w:tc>
        <w:tc>
          <w:tcPr>
            <w:tcW w:w="1574" w:type="dxa"/>
          </w:tcPr>
          <w:p w14:paraId="6BCE66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Днепроспецсталь</w:t>
            </w:r>
          </w:p>
        </w:tc>
        <w:tc>
          <w:tcPr>
            <w:tcW w:w="5104" w:type="dxa"/>
          </w:tcPr>
          <w:p w14:paraId="68408C9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28662C2" w14:textId="77777777" w:rsidTr="00E543D0">
        <w:tc>
          <w:tcPr>
            <w:tcW w:w="3085" w:type="dxa"/>
          </w:tcPr>
          <w:p w14:paraId="48AE2D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Сортамент электронный легированный</w:t>
            </w:r>
          </w:p>
        </w:tc>
        <w:tc>
          <w:tcPr>
            <w:tcW w:w="631" w:type="dxa"/>
          </w:tcPr>
          <w:p w14:paraId="5D1F5B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68,85</w:t>
            </w:r>
          </w:p>
        </w:tc>
        <w:tc>
          <w:tcPr>
            <w:tcW w:w="630" w:type="dxa"/>
          </w:tcPr>
          <w:p w14:paraId="171565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18,8</w:t>
            </w:r>
          </w:p>
        </w:tc>
        <w:tc>
          <w:tcPr>
            <w:tcW w:w="1574" w:type="dxa"/>
          </w:tcPr>
          <w:p w14:paraId="2ADAAB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Электросталь</w:t>
            </w:r>
          </w:p>
        </w:tc>
        <w:tc>
          <w:tcPr>
            <w:tcW w:w="5104" w:type="dxa"/>
          </w:tcPr>
          <w:p w14:paraId="2203B01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F7AE10A" w14:textId="77777777" w:rsidTr="00E543D0">
        <w:tc>
          <w:tcPr>
            <w:tcW w:w="3085" w:type="dxa"/>
          </w:tcPr>
          <w:p w14:paraId="788753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Уголки 45х45</w:t>
            </w:r>
          </w:p>
        </w:tc>
        <w:tc>
          <w:tcPr>
            <w:tcW w:w="631" w:type="dxa"/>
          </w:tcPr>
          <w:p w14:paraId="7A8D5B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25,5</w:t>
            </w:r>
          </w:p>
        </w:tc>
        <w:tc>
          <w:tcPr>
            <w:tcW w:w="630" w:type="dxa"/>
          </w:tcPr>
          <w:p w14:paraId="1BF963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574" w:type="dxa"/>
          </w:tcPr>
          <w:p w14:paraId="495DA1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Дзержинского</w:t>
            </w:r>
          </w:p>
        </w:tc>
        <w:tc>
          <w:tcPr>
            <w:tcW w:w="5104" w:type="dxa"/>
          </w:tcPr>
          <w:p w14:paraId="27F8D11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512E852" w14:textId="77777777" w:rsidTr="00E543D0">
        <w:tc>
          <w:tcPr>
            <w:tcW w:w="3085" w:type="dxa"/>
          </w:tcPr>
          <w:p w14:paraId="7817E3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Главснаб НКАП</w:t>
            </w:r>
          </w:p>
        </w:tc>
        <w:tc>
          <w:tcPr>
            <w:tcW w:w="631" w:type="dxa"/>
          </w:tcPr>
          <w:p w14:paraId="4771EA3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630" w:type="dxa"/>
          </w:tcPr>
          <w:p w14:paraId="78332FD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574" w:type="dxa"/>
          </w:tcPr>
          <w:p w14:paraId="5EBF78F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104" w:type="dxa"/>
          </w:tcPr>
          <w:p w14:paraId="728F789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125F9CD" w14:textId="77777777" w:rsidTr="00E543D0">
        <w:tc>
          <w:tcPr>
            <w:tcW w:w="3085" w:type="dxa"/>
          </w:tcPr>
          <w:p w14:paraId="416737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 калиброванная</w:t>
            </w:r>
          </w:p>
        </w:tc>
        <w:tc>
          <w:tcPr>
            <w:tcW w:w="631" w:type="dxa"/>
          </w:tcPr>
          <w:p w14:paraId="2FD3AA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39,0</w:t>
            </w:r>
          </w:p>
        </w:tc>
        <w:tc>
          <w:tcPr>
            <w:tcW w:w="630" w:type="dxa"/>
          </w:tcPr>
          <w:p w14:paraId="6646AE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32,66</w:t>
            </w:r>
          </w:p>
        </w:tc>
        <w:tc>
          <w:tcPr>
            <w:tcW w:w="1574" w:type="dxa"/>
          </w:tcPr>
          <w:p w14:paraId="40B251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Pr>
          <w:p w14:paraId="13EAC8C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EB57513" w14:textId="77777777" w:rsidTr="00E543D0">
        <w:tc>
          <w:tcPr>
            <w:tcW w:w="3085" w:type="dxa"/>
            <w:tcBorders>
              <w:bottom w:val="single" w:sz="12" w:space="0" w:color="auto"/>
            </w:tcBorders>
          </w:tcPr>
          <w:p w14:paraId="18ECF0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 углеродистая</w:t>
            </w:r>
          </w:p>
        </w:tc>
        <w:tc>
          <w:tcPr>
            <w:tcW w:w="631" w:type="dxa"/>
            <w:tcBorders>
              <w:bottom w:val="single" w:sz="12" w:space="0" w:color="auto"/>
            </w:tcBorders>
          </w:tcPr>
          <w:p w14:paraId="54C341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21,8</w:t>
            </w:r>
          </w:p>
        </w:tc>
        <w:tc>
          <w:tcPr>
            <w:tcW w:w="630" w:type="dxa"/>
            <w:tcBorders>
              <w:bottom w:val="single" w:sz="12" w:space="0" w:color="auto"/>
            </w:tcBorders>
          </w:tcPr>
          <w:p w14:paraId="61C120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20,30</w:t>
            </w:r>
          </w:p>
        </w:tc>
        <w:tc>
          <w:tcPr>
            <w:tcW w:w="1574" w:type="dxa"/>
            <w:tcBorders>
              <w:bottom w:val="single" w:sz="12" w:space="0" w:color="auto"/>
            </w:tcBorders>
          </w:tcPr>
          <w:p w14:paraId="490BC1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Серп и Молот</w:t>
            </w:r>
          </w:p>
        </w:tc>
        <w:tc>
          <w:tcPr>
            <w:tcW w:w="5104" w:type="dxa"/>
            <w:tcBorders>
              <w:bottom w:val="single" w:sz="12" w:space="0" w:color="auto"/>
            </w:tcBorders>
          </w:tcPr>
          <w:p w14:paraId="6303AA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32590F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(10395).</w:t>
      </w:r>
    </w:p>
    <w:p w14:paraId="1DA810C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39998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контролер Вахрушев - представитель КО СНК СССР - в журнале Учета выполнения постановлени правительства в отношении постановления КО N 116сс 1940 “О модификации ближнего бомбардировщика (ББ-22) конструкции тов. Яклвлева” отметил:</w:t>
      </w:r>
    </w:p>
    <w:p w14:paraId="4678CB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приступил к заводским испытаниям 20 августа 1940 (10395).</w:t>
      </w:r>
    </w:p>
    <w:p w14:paraId="231E72B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224D9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в Контрольном листе учета выполнения постановления КО СНК СССР № 109сс от 4 марта 1940 г. представителем КО СНК СССР - контролером Вахрушевым была сделана запись:</w:t>
      </w:r>
    </w:p>
    <w:p w14:paraId="3ABB2A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моторный средний бомбардировщик с 2хМ-120 А.П.Голубкова СБ-30</w:t>
      </w:r>
    </w:p>
    <w:p w14:paraId="39576B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закончен.</w:t>
      </w:r>
    </w:p>
    <w:p w14:paraId="69C491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Изготавливается макет и его техническая готовность 70%.</w:t>
      </w:r>
    </w:p>
    <w:p w14:paraId="3511A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НКО предъявил новые требования, а именно, чтобы самолет был пикирующим бомбардировщиком с расположением экипажа в одной точке. В силу этого конструкторам необходимо фактически приступить к выработке новой схемы.</w:t>
      </w:r>
    </w:p>
    <w:p w14:paraId="004532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сего дня НКО и НКАП этот вопрос не решили (10395,38).</w:t>
      </w:r>
    </w:p>
    <w:p w14:paraId="79B984F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D2F94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в Контрольном листе учета выполнения постановления КО СНК СССР № 104сс от 4 марта 1940 г. представителем КО СНК СССР - контролером Вахрушевым была сделана запись:</w:t>
      </w:r>
    </w:p>
    <w:p w14:paraId="0550DE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Таирова ОКО-8 с АМ-36</w:t>
      </w:r>
    </w:p>
    <w:p w14:paraId="0A7275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ГК самолета ОКО-8 с АМ-36 или М-120 т. Таиров еще не выбрал мотор и сейчас намерен от задания отказаться.</w:t>
      </w:r>
    </w:p>
    <w:p w14:paraId="641A86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(т. Шахурин и т. Яковлев) в течение 7 месяцев не могут решить вопрос о базе для КБ. В результате 7 месяцев т. Таиров живет в командировке в Москве (10395,34).</w:t>
      </w:r>
    </w:p>
    <w:p w14:paraId="68AF95F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31808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г. были окончательно закончены заводские летные испытания самолета И-200 третий опытный экземпляр, который был закончен в производстве и сдан на проведение заводских летных испытаний 1 июня 1940 (2988), хотя официально испытания закончились еще 17 августа (3549).</w:t>
      </w:r>
    </w:p>
    <w:p w14:paraId="3C0B216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20DD6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г. старший военпред военинженер 1-го ранга Белоусов на заводе № 21 писал в донесении:</w:t>
      </w:r>
    </w:p>
    <w:p w14:paraId="37ED6A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25214 из цеха сборки выведена 17/УШ-с.г. на аэродром. 20-го числа будут произведены стрельбы. Машина военным представительством отклонена из-за ряда недоделок, которые будут устранены перед поле</w:t>
      </w:r>
      <w:r w:rsidRPr="00DB5D0D">
        <w:rPr>
          <w:rFonts w:ascii="Times New Roman" w:hAnsi="Times New Roman"/>
          <w:color w:val="000000" w:themeColor="text1"/>
          <w:sz w:val="16"/>
          <w:szCs w:val="16"/>
        </w:rPr>
        <w:softHyphen/>
        <w:t>том. Машины 25215, 25216, 25217 по плану должны быть выпущены к 1 сентября. На машинах стоят мото</w:t>
      </w:r>
      <w:r w:rsidRPr="00DB5D0D">
        <w:rPr>
          <w:rFonts w:ascii="Times New Roman" w:hAnsi="Times New Roman"/>
          <w:color w:val="000000" w:themeColor="text1"/>
          <w:sz w:val="16"/>
          <w:szCs w:val="16"/>
        </w:rPr>
        <w:softHyphen/>
        <w:t>ры, шасси, производится монтаж остальных агрегатов. На сборку поставлено еще два фюзеляжа, таким обра</w:t>
      </w:r>
      <w:r w:rsidRPr="00DB5D0D">
        <w:rPr>
          <w:rFonts w:ascii="Times New Roman" w:hAnsi="Times New Roman"/>
          <w:color w:val="000000" w:themeColor="text1"/>
          <w:sz w:val="16"/>
          <w:szCs w:val="16"/>
        </w:rPr>
        <w:softHyphen/>
        <w:t>зом, все машины войсковой серии находятся на сборке...</w:t>
      </w:r>
    </w:p>
    <w:p w14:paraId="2A1E1A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Готовых крыльев на 1-ю серию нет. Собрано 7,5 ком</w:t>
      </w:r>
      <w:r w:rsidRPr="00DB5D0D">
        <w:rPr>
          <w:rFonts w:ascii="Times New Roman" w:hAnsi="Times New Roman"/>
          <w:color w:val="000000" w:themeColor="text1"/>
          <w:sz w:val="16"/>
          <w:szCs w:val="16"/>
        </w:rPr>
        <w:softHyphen/>
        <w:t>плекта лонжеронов, стыковано лонжеронов 5 комплек</w:t>
      </w:r>
      <w:r w:rsidRPr="00DB5D0D">
        <w:rPr>
          <w:rFonts w:ascii="Times New Roman" w:hAnsi="Times New Roman"/>
          <w:color w:val="000000" w:themeColor="text1"/>
          <w:sz w:val="16"/>
          <w:szCs w:val="16"/>
        </w:rPr>
        <w:softHyphen/>
        <w:t>тов. Необходимо стапелей и приспособлений 136 ком</w:t>
      </w:r>
      <w:r w:rsidRPr="00DB5D0D">
        <w:rPr>
          <w:rFonts w:ascii="Times New Roman" w:hAnsi="Times New Roman"/>
          <w:color w:val="000000" w:themeColor="text1"/>
          <w:sz w:val="16"/>
          <w:szCs w:val="16"/>
        </w:rPr>
        <w:softHyphen/>
        <w:t>плектов. Имеется 58 комплектов.</w:t>
      </w:r>
    </w:p>
    <w:p w14:paraId="5FDC91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Готовых центропланов нет. Идет подготовка к сбор</w:t>
      </w:r>
      <w:r w:rsidRPr="00DB5D0D">
        <w:rPr>
          <w:rFonts w:ascii="Times New Roman" w:hAnsi="Times New Roman"/>
          <w:color w:val="000000" w:themeColor="text1"/>
          <w:sz w:val="16"/>
          <w:szCs w:val="16"/>
        </w:rPr>
        <w:softHyphen/>
        <w:t>ке. Сварено 4 комплекта лонжеронов.</w:t>
      </w:r>
    </w:p>
    <w:p w14:paraId="2BC3894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Готовых состыкованных с центропланом фюзеляжей нет. Задел фюзеляжей (без центропланов) 26 шт...</w:t>
      </w:r>
    </w:p>
    <w:p w14:paraId="0775D5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Вышеприведенные цифры говорят о том, что при данных темпах работы план 3-го квартала - выпустить 20 машин сверх 10 войсковой серии - будет сорван. Ос</w:t>
      </w:r>
      <w:r w:rsidRPr="00DB5D0D">
        <w:rPr>
          <w:rFonts w:ascii="Times New Roman" w:hAnsi="Times New Roman"/>
          <w:color w:val="000000" w:themeColor="text1"/>
          <w:sz w:val="16"/>
          <w:szCs w:val="16"/>
        </w:rPr>
        <w:softHyphen/>
        <w:t>новная причина срыва будет: недостаточное внимание машине 25 со стороны руководства завода. Подготовка производства реально началась с середины июля меся</w:t>
      </w:r>
      <w:r w:rsidRPr="00DB5D0D">
        <w:rPr>
          <w:rFonts w:ascii="Times New Roman" w:hAnsi="Times New Roman"/>
          <w:color w:val="000000" w:themeColor="text1"/>
          <w:sz w:val="16"/>
          <w:szCs w:val="16"/>
        </w:rPr>
        <w:softHyphen/>
        <w:t>ца. Кадры на сборку И-180 поставили недостаточно ква</w:t>
      </w:r>
      <w:r w:rsidRPr="00DB5D0D">
        <w:rPr>
          <w:rFonts w:ascii="Times New Roman" w:hAnsi="Times New Roman"/>
          <w:color w:val="000000" w:themeColor="text1"/>
          <w:sz w:val="16"/>
          <w:szCs w:val="16"/>
        </w:rPr>
        <w:softHyphen/>
        <w:t>лифицированные, лучших мастеров с машины сняли и перевели на И-21.</w:t>
      </w:r>
    </w:p>
    <w:p w14:paraId="4E9C2E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Прогрессивка построена так, что стимула за выпол</w:t>
      </w:r>
      <w:r w:rsidRPr="00DB5D0D">
        <w:rPr>
          <w:rFonts w:ascii="Times New Roman" w:hAnsi="Times New Roman"/>
          <w:color w:val="000000" w:themeColor="text1"/>
          <w:sz w:val="16"/>
          <w:szCs w:val="16"/>
        </w:rPr>
        <w:softHyphen/>
        <w:t>нение программы своего участка нет. В результате этого на машине 25214 обнаружено при техническом осмотре более 500 дефектов. Характерный штрих отношения ди</w:t>
      </w:r>
      <w:r w:rsidRPr="00DB5D0D">
        <w:rPr>
          <w:rFonts w:ascii="Times New Roman" w:hAnsi="Times New Roman"/>
          <w:color w:val="000000" w:themeColor="text1"/>
          <w:sz w:val="16"/>
          <w:szCs w:val="16"/>
        </w:rPr>
        <w:softHyphen/>
        <w:t>ректора завода т. Воронина к машине И-180 - на рабо</w:t>
      </w:r>
      <w:r w:rsidRPr="00DB5D0D">
        <w:rPr>
          <w:rFonts w:ascii="Times New Roman" w:hAnsi="Times New Roman"/>
          <w:color w:val="000000" w:themeColor="text1"/>
          <w:sz w:val="16"/>
          <w:szCs w:val="16"/>
        </w:rPr>
        <w:softHyphen/>
        <w:t>чих участках машины И-180 т. Воронин почти не бывает, тогда как ежедневно по несколько раз приходит на машину И-21. Естественно, все его разговоры о необходимости выпуска И-180 остаются только словами, а машины стоят на месте.</w:t>
      </w:r>
    </w:p>
    <w:p w14:paraId="58A448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еще раз предупредить дирекцию завода о необходимости серьезно взяться за нормальный вы</w:t>
      </w:r>
      <w:r w:rsidRPr="00DB5D0D">
        <w:rPr>
          <w:rFonts w:ascii="Times New Roman" w:hAnsi="Times New Roman"/>
          <w:color w:val="000000" w:themeColor="text1"/>
          <w:sz w:val="16"/>
          <w:szCs w:val="16"/>
        </w:rPr>
        <w:softHyphen/>
        <w:t>пуск И-180, а для этого все условия у завода есть».</w:t>
      </w:r>
    </w:p>
    <w:p w14:paraId="318682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ни наркомат, ни ВВС никаких мер для улуч</w:t>
      </w:r>
      <w:r w:rsidRPr="00DB5D0D">
        <w:rPr>
          <w:rFonts w:ascii="Times New Roman" w:hAnsi="Times New Roman"/>
          <w:color w:val="000000" w:themeColor="text1"/>
          <w:sz w:val="16"/>
          <w:szCs w:val="16"/>
        </w:rPr>
        <w:softHyphen/>
        <w:t>шения положения не приняли (10667).</w:t>
      </w:r>
    </w:p>
    <w:p w14:paraId="104B2E8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F4563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контролер Вахрушев - представитель КО СНК СССР - в журнале Учета выполнения постановлени правительства в отношении постановления КО N 112сс 1940 “О модификации одноместного истребителя И-26 с мотором М-105 конструкции тов. Яковлева в двухместный с двойным управлением” отметил:</w:t>
      </w:r>
    </w:p>
    <w:p w14:paraId="141009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с контроля снято как отмененное Постановлением КО № 325 от 23 июня 1940 (10395).</w:t>
      </w:r>
    </w:p>
    <w:p w14:paraId="465A834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96ADF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года все работы по модификации И-26 под М-107, ведущиеся с марта 10940 были свернуты в связи с тем, что КБ В.Я.Климова начало усиленно работать по теме М-107 тоже только в марте 1940 года, и надежды на скорое появление работоспособного мотора не было. В настоящее время пока не найдено более подробное описание проекта модификации с мотором М-107, но изданный 12 сентября 1940 г. приказ наркома авиапромышленности № 484сс косвенно свидетельствует о проработке комплекта сгрелково-пушечного вооружения, состоявшего из одной мотор-пушки с боекомплектом 160 снарядов и батареи из четырех синхронных пулеметов ШКАС с общим запасом 2500 патронов. По этому приказу с аналогичным составом вооружения должны были выпускаться серийные истребители И-26 в 1941 году.</w:t>
      </w:r>
    </w:p>
    <w:p w14:paraId="341317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истребителю возобновились 8 октября 1940 г. в инициативном порядке (официальное задание на создание И-30 ОКБ получило только 21 апреля 1941 г.). Вышедшее 2 октября постановление Правительства № 1854-773сс предписывало серийным заводам № 23, 153 и 292 перейти с 1 января, а заводу № 301 с I апреля 1941 г. на серийный выпуск улучшенного И-26 с разъемным крылом и дальностью полета 1100 км на скорости 0,9 максимальной. Данную задачу можно было реализовать только путем замены деревянного крыла металлическим. Поэтому работы по самолету продолжил ведущий конструктор С.Д. Трефилов, под руководством которого в рамках создания И-26-3 в периоде 26 мая по 18 июля 1940 года проводилось проектирование и изготовление металлического крыла. В связи доводкой и постановкой в серию истребителя Як-1 и его учебного варианта Як-7 работы по машине Як-3, как стал называться И-30 после смены обозначений, несколько застопорились (к концу года техническая готовность машины составляла всего 10 %). В связи с этим планы по переходу серийных заводов на изготовление новой машины были пересмотрены. В 1941 году выпуск Як-3 должен был начаться со второго квартала и уже на заводах №№ 83, 99, 292, 301.</w:t>
      </w:r>
    </w:p>
    <w:p w14:paraId="5B8AE9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 вобрал в себя весь накопленный в ОКБ опыт по созданию истребителей. В его конструкции были максимально учтены требования ВВС по исправлению недостатков И-26, выявленных в процессе испытаний. Главный конструктор и специалисты ОКБ считали и обещали Правительству и ВВС, что эта машина заменит собой в серийном производстве самолет Як-1. Винтомоторная группа, шасси и металлическое хвостовое оперение были целиком взяты с машины И-28. Мотор М-</w:t>
      </w:r>
      <w:r w:rsidRPr="00DB5D0D">
        <w:rPr>
          <w:rFonts w:ascii="Times New Roman" w:hAnsi="Times New Roman"/>
          <w:color w:val="000000" w:themeColor="text1"/>
          <w:sz w:val="16"/>
          <w:szCs w:val="16"/>
        </w:rPr>
        <w:lastRenderedPageBreak/>
        <w:t>105ПД, большей мощности, чем М-105П, позволил не только вернуться к исходному варианту вооружения (мотор- пушка ШВАК и четыре ШКАСа), но и добавить еще две пушки ШВАК в крыло. В свою очередь металлическое разъемное крыло, состоявшее из центроплана и двух консолей, дало возможность не только увеличить запас горючего (с 305 до 383 кг), но и разместить в центроплане маслорадиаторы. Беспереплетный козырек фонаря кабины, установка радиостанции с мачтой антенны, отъемная моторама, ручка управления с кнопочными гашетками оружия, как на "Мессершмитте", тяги управления рулем высоты, проходящие над водорадиатором (а не сквозь как на Як-1), тяги управления элеронами, вынесенные за задний лонжерон, управление триммерами руля поворота и элеронов, предкрылки, посадочная фара - вот далеко не полный перечень произведенных улучшений.</w:t>
      </w:r>
    </w:p>
    <w:p w14:paraId="7B27B3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Вопрос о смене типа самолета ОКБ Яковлева для серийного производства возник в связи с требованием увеличения дальности полета серийных истребителей до 1000 км на скорости 0,9 максимальной. КБ Яковлева попыталось добавить горючего на самолет Як-1. Машина № 0412 получила на заводе дополнительный бензобак, расположенный под поляком и сиденьем пилота. Материалы испытаний этого самолета пока не найдены, но то, что распространения этот вариант не получил, позволяет предположить, что и здесь выигрыш в дальности полета вступил в противоречие с ограничением полетного веса Як-1 по прочности шасси (12048).</w:t>
      </w:r>
    </w:p>
    <w:p w14:paraId="3D1A8B1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5640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в Контрольном листе учета выполнения постановления КО СНК СССР № 117сс от 4 марта 1940 г. представителем КО СНК СССР - контролером Вахрушевым была сделана запись:</w:t>
      </w:r>
    </w:p>
    <w:p w14:paraId="0DE6FE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Аист О.К.А.</w:t>
      </w:r>
    </w:p>
    <w:p w14:paraId="71CC4C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самолета находится в агрегатной сборке с технической готовностью 50%.</w:t>
      </w:r>
    </w:p>
    <w:p w14:paraId="458ECB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Находится в заготовительных цехах.</w:t>
      </w:r>
    </w:p>
    <w:p w14:paraId="1217E3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в срок сомнений не вызывает (10395,50).</w:t>
      </w:r>
    </w:p>
    <w:p w14:paraId="3985B7F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EE61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в НКАП была подготовлена справка по состоянию опытных работ на 20 августа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169"/>
        <w:gridCol w:w="851"/>
        <w:gridCol w:w="992"/>
        <w:gridCol w:w="5671"/>
      </w:tblGrid>
      <w:tr w:rsidR="007D5DF8" w:rsidRPr="00DB5D0D" w14:paraId="033F84C3" w14:textId="77777777" w:rsidTr="00E543D0">
        <w:tc>
          <w:tcPr>
            <w:tcW w:w="1916" w:type="dxa"/>
            <w:tcBorders>
              <w:top w:val="single" w:sz="12" w:space="0" w:color="auto"/>
            </w:tcBorders>
          </w:tcPr>
          <w:p w14:paraId="291D95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NN наименование</w:t>
            </w:r>
          </w:p>
        </w:tc>
        <w:tc>
          <w:tcPr>
            <w:tcW w:w="1169" w:type="dxa"/>
            <w:tcBorders>
              <w:top w:val="single" w:sz="12" w:space="0" w:color="auto"/>
            </w:tcBorders>
          </w:tcPr>
          <w:p w14:paraId="6EF2B6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851" w:type="dxa"/>
            <w:tcBorders>
              <w:top w:val="single" w:sz="12" w:space="0" w:color="auto"/>
            </w:tcBorders>
          </w:tcPr>
          <w:p w14:paraId="7040C9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w:t>
            </w:r>
          </w:p>
        </w:tc>
        <w:tc>
          <w:tcPr>
            <w:tcW w:w="992" w:type="dxa"/>
            <w:tcBorders>
              <w:top w:val="single" w:sz="12" w:space="0" w:color="auto"/>
            </w:tcBorders>
          </w:tcPr>
          <w:p w14:paraId="0087CD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w:t>
            </w:r>
          </w:p>
        </w:tc>
        <w:tc>
          <w:tcPr>
            <w:tcW w:w="5671" w:type="dxa"/>
            <w:tcBorders>
              <w:top w:val="single" w:sz="12" w:space="0" w:color="auto"/>
            </w:tcBorders>
          </w:tcPr>
          <w:p w14:paraId="74D3FA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на 30 августа 1940</w:t>
            </w:r>
          </w:p>
        </w:tc>
      </w:tr>
      <w:tr w:rsidR="007D5DF8" w:rsidRPr="00DB5D0D" w14:paraId="29CB279A" w14:textId="77777777" w:rsidTr="00E543D0">
        <w:tc>
          <w:tcPr>
            <w:tcW w:w="1916" w:type="dxa"/>
          </w:tcPr>
          <w:p w14:paraId="36D4D8D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E8EE2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6A8233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w:t>
            </w:r>
          </w:p>
        </w:tc>
        <w:tc>
          <w:tcPr>
            <w:tcW w:w="992" w:type="dxa"/>
          </w:tcPr>
          <w:p w14:paraId="1FFB09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экз.</w:t>
            </w:r>
          </w:p>
        </w:tc>
        <w:tc>
          <w:tcPr>
            <w:tcW w:w="5671" w:type="dxa"/>
          </w:tcPr>
          <w:p w14:paraId="7C9CE3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сдач.</w:t>
            </w:r>
          </w:p>
        </w:tc>
      </w:tr>
      <w:tr w:rsidR="007D5DF8" w:rsidRPr="00DB5D0D" w14:paraId="2BA1E731" w14:textId="77777777" w:rsidTr="00E543D0">
        <w:tc>
          <w:tcPr>
            <w:tcW w:w="1916" w:type="dxa"/>
          </w:tcPr>
          <w:p w14:paraId="71BAF7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 плану опытных работ 1939 (переходящих на 1940)</w:t>
            </w:r>
          </w:p>
        </w:tc>
        <w:tc>
          <w:tcPr>
            <w:tcW w:w="1169" w:type="dxa"/>
          </w:tcPr>
          <w:p w14:paraId="2CA522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563844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7B7C4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6FF1D5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B6B2C7" w14:textId="77777777" w:rsidTr="00E543D0">
        <w:tc>
          <w:tcPr>
            <w:tcW w:w="1916" w:type="dxa"/>
          </w:tcPr>
          <w:p w14:paraId="7D2EFE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И-28 М-88</w:t>
            </w:r>
          </w:p>
        </w:tc>
        <w:tc>
          <w:tcPr>
            <w:tcW w:w="1169" w:type="dxa"/>
          </w:tcPr>
          <w:p w14:paraId="0EE145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81</w:t>
            </w:r>
          </w:p>
        </w:tc>
        <w:tc>
          <w:tcPr>
            <w:tcW w:w="851" w:type="dxa"/>
          </w:tcPr>
          <w:p w14:paraId="733401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2D3C18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08.39</w:t>
            </w:r>
          </w:p>
        </w:tc>
        <w:tc>
          <w:tcPr>
            <w:tcW w:w="5671" w:type="dxa"/>
          </w:tcPr>
          <w:p w14:paraId="75899F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Закончены гос. испытания 14 мая 1940</w:t>
            </w:r>
          </w:p>
        </w:tc>
      </w:tr>
      <w:tr w:rsidR="007D5DF8" w:rsidRPr="00DB5D0D" w14:paraId="4E3AA7E4" w14:textId="77777777" w:rsidTr="00E543D0">
        <w:tc>
          <w:tcPr>
            <w:tcW w:w="1916" w:type="dxa"/>
          </w:tcPr>
          <w:p w14:paraId="6AF558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15223E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273784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Яценко</w:t>
            </w:r>
          </w:p>
        </w:tc>
        <w:tc>
          <w:tcPr>
            <w:tcW w:w="992" w:type="dxa"/>
          </w:tcPr>
          <w:p w14:paraId="17D840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5E2F0E0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8006F5F" w14:textId="77777777" w:rsidTr="00E543D0">
        <w:tc>
          <w:tcPr>
            <w:tcW w:w="1916" w:type="dxa"/>
          </w:tcPr>
          <w:p w14:paraId="3B47C5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И-26 М-105П</w:t>
            </w:r>
          </w:p>
        </w:tc>
        <w:tc>
          <w:tcPr>
            <w:tcW w:w="1169" w:type="dxa"/>
          </w:tcPr>
          <w:p w14:paraId="4B66DF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851" w:type="dxa"/>
          </w:tcPr>
          <w:p w14:paraId="449AD9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039C7C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01.02.40</w:t>
            </w:r>
          </w:p>
        </w:tc>
        <w:tc>
          <w:tcPr>
            <w:tcW w:w="5671" w:type="dxa"/>
          </w:tcPr>
          <w:p w14:paraId="255AD0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27 апреля во время заводских потерпел катастрофу</w:t>
            </w:r>
          </w:p>
        </w:tc>
      </w:tr>
      <w:tr w:rsidR="007D5DF8" w:rsidRPr="00DB5D0D" w14:paraId="2A379A9C" w14:textId="77777777" w:rsidTr="00E543D0">
        <w:tc>
          <w:tcPr>
            <w:tcW w:w="1916" w:type="dxa"/>
          </w:tcPr>
          <w:p w14:paraId="33BD4C6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0029E5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w:t>
            </w:r>
          </w:p>
        </w:tc>
        <w:tc>
          <w:tcPr>
            <w:tcW w:w="851" w:type="dxa"/>
          </w:tcPr>
          <w:p w14:paraId="624E0C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674BAC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01.04.40</w:t>
            </w:r>
          </w:p>
        </w:tc>
        <w:tc>
          <w:tcPr>
            <w:tcW w:w="5671" w:type="dxa"/>
          </w:tcPr>
          <w:p w14:paraId="5D15D9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прошел гос. испытания 15 июня 1940 за исключением пикирования и штопора</w:t>
            </w:r>
          </w:p>
        </w:tc>
      </w:tr>
      <w:tr w:rsidR="007D5DF8" w:rsidRPr="00DB5D0D" w14:paraId="029E1A06" w14:textId="77777777" w:rsidTr="00E543D0">
        <w:tc>
          <w:tcPr>
            <w:tcW w:w="1916" w:type="dxa"/>
          </w:tcPr>
          <w:p w14:paraId="323321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И-190 М-88</w:t>
            </w:r>
          </w:p>
        </w:tc>
        <w:tc>
          <w:tcPr>
            <w:tcW w:w="1169" w:type="dxa"/>
          </w:tcPr>
          <w:p w14:paraId="6E9602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51" w:type="dxa"/>
          </w:tcPr>
          <w:p w14:paraId="0BE6FE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37CE14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10.39</w:t>
            </w:r>
          </w:p>
        </w:tc>
        <w:tc>
          <w:tcPr>
            <w:tcW w:w="5671" w:type="dxa"/>
          </w:tcPr>
          <w:p w14:paraId="77EAB7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Закончены заводские испытания с М-88 б/р. Машина показала</w:t>
            </w:r>
          </w:p>
        </w:tc>
      </w:tr>
      <w:tr w:rsidR="007D5DF8" w:rsidRPr="00DB5D0D" w14:paraId="620A6287" w14:textId="77777777" w:rsidTr="00E543D0">
        <w:tc>
          <w:tcPr>
            <w:tcW w:w="1916" w:type="dxa"/>
          </w:tcPr>
          <w:p w14:paraId="06590A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0F2FF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Н.Н.П.</w:t>
            </w:r>
          </w:p>
        </w:tc>
        <w:tc>
          <w:tcPr>
            <w:tcW w:w="851" w:type="dxa"/>
          </w:tcPr>
          <w:p w14:paraId="254B34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512ACEF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725280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неудовлетворительные данные по скоростям и не была допущена на гос. </w:t>
            </w:r>
          </w:p>
        </w:tc>
      </w:tr>
      <w:tr w:rsidR="007D5DF8" w:rsidRPr="00DB5D0D" w14:paraId="2FF0A4A3" w14:textId="77777777" w:rsidTr="00E543D0">
        <w:tc>
          <w:tcPr>
            <w:tcW w:w="1916" w:type="dxa"/>
          </w:tcPr>
          <w:p w14:paraId="4372CE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66EAEF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F3A17F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2B60BF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4CF6B7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Установлен М-88Р и машина повторно поступает на заводские.</w:t>
            </w:r>
          </w:p>
        </w:tc>
      </w:tr>
      <w:tr w:rsidR="007D5DF8" w:rsidRPr="00DB5D0D" w14:paraId="064C2EB2" w14:textId="77777777" w:rsidTr="00E543D0">
        <w:tc>
          <w:tcPr>
            <w:tcW w:w="1916" w:type="dxa"/>
          </w:tcPr>
          <w:p w14:paraId="3DE8DD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И-180 М-88</w:t>
            </w:r>
          </w:p>
        </w:tc>
        <w:tc>
          <w:tcPr>
            <w:tcW w:w="1169" w:type="dxa"/>
          </w:tcPr>
          <w:p w14:paraId="298D15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51" w:type="dxa"/>
          </w:tcPr>
          <w:p w14:paraId="24745B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1ED569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10.39</w:t>
            </w:r>
          </w:p>
        </w:tc>
        <w:tc>
          <w:tcPr>
            <w:tcW w:w="5671" w:type="dxa"/>
          </w:tcPr>
          <w:p w14:paraId="7C4F39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закончены 27 июня. Передан на гос. испытания и</w:t>
            </w:r>
          </w:p>
        </w:tc>
      </w:tr>
      <w:tr w:rsidR="007D5DF8" w:rsidRPr="00DB5D0D" w14:paraId="0B268721" w14:textId="77777777" w:rsidTr="00E543D0">
        <w:tc>
          <w:tcPr>
            <w:tcW w:w="1916" w:type="dxa"/>
          </w:tcPr>
          <w:p w14:paraId="33A8121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51CAFB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Н.Н.П.</w:t>
            </w:r>
          </w:p>
        </w:tc>
        <w:tc>
          <w:tcPr>
            <w:tcW w:w="851" w:type="dxa"/>
          </w:tcPr>
          <w:p w14:paraId="73282D0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6754DF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E0970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июля 1940 разбился</w:t>
            </w:r>
          </w:p>
        </w:tc>
      </w:tr>
      <w:tr w:rsidR="007D5DF8" w:rsidRPr="00DB5D0D" w14:paraId="19B98F29" w14:textId="77777777" w:rsidTr="00E543D0">
        <w:tc>
          <w:tcPr>
            <w:tcW w:w="1916" w:type="dxa"/>
          </w:tcPr>
          <w:p w14:paraId="601ABD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ОКО-6 М-88</w:t>
            </w:r>
          </w:p>
        </w:tc>
        <w:tc>
          <w:tcPr>
            <w:tcW w:w="1169" w:type="dxa"/>
          </w:tcPr>
          <w:p w14:paraId="7CD940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851" w:type="dxa"/>
          </w:tcPr>
          <w:p w14:paraId="359C46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4751E8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10.39</w:t>
            </w:r>
          </w:p>
        </w:tc>
        <w:tc>
          <w:tcPr>
            <w:tcW w:w="5671" w:type="dxa"/>
          </w:tcPr>
          <w:p w14:paraId="2C5025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закончил гос. испытания 9 мая 1940. На гос. испытания не передавался</w:t>
            </w:r>
          </w:p>
        </w:tc>
      </w:tr>
      <w:tr w:rsidR="007D5DF8" w:rsidRPr="00DB5D0D" w14:paraId="16F16F7D" w14:textId="77777777" w:rsidTr="00E543D0">
        <w:tc>
          <w:tcPr>
            <w:tcW w:w="1916" w:type="dxa"/>
          </w:tcPr>
          <w:p w14:paraId="7EB5DE5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21F0C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Таиров</w:t>
            </w:r>
          </w:p>
        </w:tc>
        <w:tc>
          <w:tcPr>
            <w:tcW w:w="851" w:type="dxa"/>
          </w:tcPr>
          <w:p w14:paraId="1C2E03E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2C578F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12.39</w:t>
            </w:r>
          </w:p>
        </w:tc>
        <w:tc>
          <w:tcPr>
            <w:tcW w:w="5671" w:type="dxa"/>
          </w:tcPr>
          <w:p w14:paraId="362DD2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неудовл. устойчивости. Закончены работы по переделке оперения. Передан</w:t>
            </w:r>
          </w:p>
        </w:tc>
      </w:tr>
      <w:tr w:rsidR="007D5DF8" w:rsidRPr="00DB5D0D" w14:paraId="1E05BED4" w14:textId="77777777" w:rsidTr="00E543D0">
        <w:tc>
          <w:tcPr>
            <w:tcW w:w="1916" w:type="dxa"/>
          </w:tcPr>
          <w:p w14:paraId="474ED2F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60055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45E2AE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2440CB4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64C2BE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дополнительные заводские испытания. 2-й модернизированный</w:t>
            </w:r>
          </w:p>
        </w:tc>
      </w:tr>
      <w:tr w:rsidR="007D5DF8" w:rsidRPr="00DB5D0D" w14:paraId="314DEE93" w14:textId="77777777" w:rsidTr="00E543D0">
        <w:tc>
          <w:tcPr>
            <w:tcW w:w="1916" w:type="dxa"/>
          </w:tcPr>
          <w:p w14:paraId="5D768AA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7B124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51D1E61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C74E4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2B7E8F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заканчивается в производстве 1 сентября 1940</w:t>
            </w:r>
          </w:p>
        </w:tc>
      </w:tr>
      <w:tr w:rsidR="007D5DF8" w:rsidRPr="00DB5D0D" w14:paraId="288A1EE6" w14:textId="77777777" w:rsidTr="00E543D0">
        <w:tc>
          <w:tcPr>
            <w:tcW w:w="1916" w:type="dxa"/>
          </w:tcPr>
          <w:p w14:paraId="15C63B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ББ-22 2М-103</w:t>
            </w:r>
          </w:p>
        </w:tc>
        <w:tc>
          <w:tcPr>
            <w:tcW w:w="1169" w:type="dxa"/>
          </w:tcPr>
          <w:p w14:paraId="70E347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851" w:type="dxa"/>
          </w:tcPr>
          <w:p w14:paraId="5A2E5D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3FB724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15.09.39</w:t>
            </w:r>
          </w:p>
        </w:tc>
        <w:tc>
          <w:tcPr>
            <w:tcW w:w="5671" w:type="dxa"/>
          </w:tcPr>
          <w:p w14:paraId="70091C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Сдан на гос. испытания 22 февраля 1940 и завершил их 25 апреля 1940</w:t>
            </w:r>
          </w:p>
        </w:tc>
      </w:tr>
      <w:tr w:rsidR="007D5DF8" w:rsidRPr="00DB5D0D" w14:paraId="394DAD7A" w14:textId="77777777" w:rsidTr="00E543D0">
        <w:tc>
          <w:tcPr>
            <w:tcW w:w="1916" w:type="dxa"/>
          </w:tcPr>
          <w:p w14:paraId="55D0147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AAE6BA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0063DB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w:t>
            </w:r>
          </w:p>
        </w:tc>
        <w:tc>
          <w:tcPr>
            <w:tcW w:w="992" w:type="dxa"/>
          </w:tcPr>
          <w:p w14:paraId="11DA3A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7BF3213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7B1A93E" w14:textId="77777777" w:rsidTr="00E543D0">
        <w:tc>
          <w:tcPr>
            <w:tcW w:w="1916" w:type="dxa"/>
          </w:tcPr>
          <w:p w14:paraId="7404E8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ББ-1 М-88</w:t>
            </w:r>
          </w:p>
        </w:tc>
        <w:tc>
          <w:tcPr>
            <w:tcW w:w="1169" w:type="dxa"/>
          </w:tcPr>
          <w:p w14:paraId="7B5585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851" w:type="dxa"/>
          </w:tcPr>
          <w:p w14:paraId="1AFE9C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34C2D8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08.39</w:t>
            </w:r>
          </w:p>
        </w:tc>
        <w:tc>
          <w:tcPr>
            <w:tcW w:w="5671" w:type="dxa"/>
          </w:tcPr>
          <w:p w14:paraId="320367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апреле 1940 закончились гос. испытания с неудовл. заключением по </w:t>
            </w:r>
          </w:p>
        </w:tc>
      </w:tr>
      <w:tr w:rsidR="007D5DF8" w:rsidRPr="00DB5D0D" w14:paraId="33A397C2" w14:textId="77777777" w:rsidTr="00E543D0">
        <w:tc>
          <w:tcPr>
            <w:tcW w:w="1916" w:type="dxa"/>
          </w:tcPr>
          <w:p w14:paraId="05B688D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46AC67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w:t>
            </w:r>
          </w:p>
        </w:tc>
        <w:tc>
          <w:tcPr>
            <w:tcW w:w="851" w:type="dxa"/>
          </w:tcPr>
          <w:p w14:paraId="5F062AA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A9F610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1F58FB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охлаждению ВМГ и скоростям. После доводок в июле закончились повторные</w:t>
            </w:r>
          </w:p>
        </w:tc>
      </w:tr>
      <w:tr w:rsidR="007D5DF8" w:rsidRPr="00DB5D0D" w14:paraId="7D13CB92" w14:textId="77777777" w:rsidTr="00E543D0">
        <w:tc>
          <w:tcPr>
            <w:tcW w:w="1916" w:type="dxa"/>
          </w:tcPr>
          <w:p w14:paraId="2601C1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C5F6A9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6388575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08B07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70B579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 добились удовл. охлаждения ВМГ</w:t>
            </w:r>
          </w:p>
        </w:tc>
      </w:tr>
      <w:tr w:rsidR="007D5DF8" w:rsidRPr="00DB5D0D" w14:paraId="5D27043E" w14:textId="77777777" w:rsidTr="00E543D0">
        <w:tc>
          <w:tcPr>
            <w:tcW w:w="1916" w:type="dxa"/>
          </w:tcPr>
          <w:p w14:paraId="7B758E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100 2М-105ТК</w:t>
            </w:r>
          </w:p>
        </w:tc>
        <w:tc>
          <w:tcPr>
            <w:tcW w:w="1169" w:type="dxa"/>
          </w:tcPr>
          <w:p w14:paraId="67DF5B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851" w:type="dxa"/>
          </w:tcPr>
          <w:p w14:paraId="7EBEBD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7681E5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01.10.39</w:t>
            </w:r>
          </w:p>
        </w:tc>
        <w:tc>
          <w:tcPr>
            <w:tcW w:w="5671" w:type="dxa"/>
          </w:tcPr>
          <w:p w14:paraId="705DE4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закончил гос. испытания и передан 39 заводу</w:t>
            </w:r>
          </w:p>
        </w:tc>
      </w:tr>
      <w:tr w:rsidR="007D5DF8" w:rsidRPr="00DB5D0D" w14:paraId="6C68FC8E" w14:textId="77777777" w:rsidTr="00E543D0">
        <w:tc>
          <w:tcPr>
            <w:tcW w:w="1916" w:type="dxa"/>
          </w:tcPr>
          <w:p w14:paraId="3CDAB73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DB444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7A841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ОТБ НКВД</w:t>
            </w:r>
          </w:p>
        </w:tc>
        <w:tc>
          <w:tcPr>
            <w:tcW w:w="992" w:type="dxa"/>
          </w:tcPr>
          <w:p w14:paraId="0CF2F0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01.01.40</w:t>
            </w:r>
          </w:p>
        </w:tc>
        <w:tc>
          <w:tcPr>
            <w:tcW w:w="5671" w:type="dxa"/>
          </w:tcPr>
          <w:p w14:paraId="5F12B9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потерпел аварию при гос. испытаниях и ремонтируется на 39</w:t>
            </w:r>
          </w:p>
        </w:tc>
      </w:tr>
      <w:tr w:rsidR="007D5DF8" w:rsidRPr="00DB5D0D" w14:paraId="54BCA5E0" w14:textId="77777777" w:rsidTr="00E543D0">
        <w:tc>
          <w:tcPr>
            <w:tcW w:w="1916" w:type="dxa"/>
          </w:tcPr>
          <w:p w14:paraId="12ADB8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СПБ 2М-105</w:t>
            </w:r>
          </w:p>
        </w:tc>
        <w:tc>
          <w:tcPr>
            <w:tcW w:w="1169" w:type="dxa"/>
          </w:tcPr>
          <w:p w14:paraId="2D9DAC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851" w:type="dxa"/>
          </w:tcPr>
          <w:p w14:paraId="14ECC3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5A146F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5671" w:type="dxa"/>
          </w:tcPr>
          <w:p w14:paraId="5D139E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проходили заводские испытания с января по 19 июля с.г. В</w:t>
            </w:r>
          </w:p>
        </w:tc>
      </w:tr>
      <w:tr w:rsidR="007D5DF8" w:rsidRPr="00DB5D0D" w14:paraId="43E3EEF8" w14:textId="77777777" w:rsidTr="00E543D0">
        <w:tc>
          <w:tcPr>
            <w:tcW w:w="1916" w:type="dxa"/>
          </w:tcPr>
          <w:p w14:paraId="6434629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48B6D0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Н.Н.П.</w:t>
            </w:r>
          </w:p>
        </w:tc>
        <w:tc>
          <w:tcPr>
            <w:tcW w:w="851" w:type="dxa"/>
          </w:tcPr>
          <w:p w14:paraId="286FB7C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60E9A1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7DF53A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связи с катострофой 19 июля приказом НКАП работы прекратили</w:t>
            </w:r>
          </w:p>
        </w:tc>
      </w:tr>
      <w:tr w:rsidR="007D5DF8" w:rsidRPr="00DB5D0D" w14:paraId="3E564F40" w14:textId="77777777" w:rsidTr="00E543D0">
        <w:tc>
          <w:tcPr>
            <w:tcW w:w="1916" w:type="dxa"/>
          </w:tcPr>
          <w:p w14:paraId="1A5386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ББ С 2М-103П</w:t>
            </w:r>
          </w:p>
        </w:tc>
        <w:tc>
          <w:tcPr>
            <w:tcW w:w="1169" w:type="dxa"/>
          </w:tcPr>
          <w:p w14:paraId="116801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851" w:type="dxa"/>
          </w:tcPr>
          <w:p w14:paraId="5E04E1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7C5438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08.39</w:t>
            </w:r>
          </w:p>
        </w:tc>
        <w:tc>
          <w:tcPr>
            <w:tcW w:w="5671" w:type="dxa"/>
          </w:tcPr>
          <w:p w14:paraId="45FAB7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прошел совместные испытания с одним мотором. Производятся</w:t>
            </w:r>
          </w:p>
        </w:tc>
      </w:tr>
      <w:tr w:rsidR="007D5DF8" w:rsidRPr="00DB5D0D" w14:paraId="2A19A29F" w14:textId="77777777" w:rsidTr="00E543D0">
        <w:tc>
          <w:tcPr>
            <w:tcW w:w="1916" w:type="dxa"/>
          </w:tcPr>
          <w:p w14:paraId="102B1B0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0B887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Болховитинов</w:t>
            </w:r>
          </w:p>
        </w:tc>
        <w:tc>
          <w:tcPr>
            <w:tcW w:w="851" w:type="dxa"/>
          </w:tcPr>
          <w:p w14:paraId="2239D1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F19FF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12.39</w:t>
            </w:r>
          </w:p>
        </w:tc>
        <w:tc>
          <w:tcPr>
            <w:tcW w:w="5671" w:type="dxa"/>
          </w:tcPr>
          <w:p w14:paraId="436C3A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по переделке системы охлаждения. Потом поступит на заводские</w:t>
            </w:r>
          </w:p>
        </w:tc>
      </w:tr>
      <w:tr w:rsidR="007D5DF8" w:rsidRPr="00DB5D0D" w14:paraId="3467A049" w14:textId="77777777" w:rsidTr="00E543D0">
        <w:tc>
          <w:tcPr>
            <w:tcW w:w="1916" w:type="dxa"/>
          </w:tcPr>
          <w:p w14:paraId="34806B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DB480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50B641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AF5F6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48F9DB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экспериментальные испытания.</w:t>
            </w:r>
          </w:p>
        </w:tc>
      </w:tr>
      <w:tr w:rsidR="007D5DF8" w:rsidRPr="00DB5D0D" w14:paraId="29576E31" w14:textId="77777777" w:rsidTr="00E543D0">
        <w:tc>
          <w:tcPr>
            <w:tcW w:w="1916" w:type="dxa"/>
          </w:tcPr>
          <w:p w14:paraId="067CECF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019C38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6132F5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AF8A67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01825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прошел гос. испытания в августе 1940</w:t>
            </w:r>
          </w:p>
        </w:tc>
      </w:tr>
      <w:tr w:rsidR="007D5DF8" w:rsidRPr="00DB5D0D" w14:paraId="0F703671" w14:textId="77777777" w:rsidTr="00E543D0">
        <w:tc>
          <w:tcPr>
            <w:tcW w:w="1916" w:type="dxa"/>
          </w:tcPr>
          <w:p w14:paraId="1A2B19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БШ АМ-35</w:t>
            </w:r>
          </w:p>
        </w:tc>
        <w:tc>
          <w:tcPr>
            <w:tcW w:w="1169" w:type="dxa"/>
          </w:tcPr>
          <w:p w14:paraId="0288C8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851" w:type="dxa"/>
          </w:tcPr>
          <w:p w14:paraId="54743A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0A032C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09.39</w:t>
            </w:r>
          </w:p>
        </w:tc>
        <w:tc>
          <w:tcPr>
            <w:tcW w:w="5671" w:type="dxa"/>
          </w:tcPr>
          <w:p w14:paraId="36C71B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Прошел гос. испытания 30 апреля с.г. с удовлетворительной оценкой</w:t>
            </w:r>
          </w:p>
        </w:tc>
      </w:tr>
      <w:tr w:rsidR="007D5DF8" w:rsidRPr="00DB5D0D" w14:paraId="18E4D5D4" w14:textId="77777777" w:rsidTr="00E543D0">
        <w:tc>
          <w:tcPr>
            <w:tcW w:w="1916" w:type="dxa"/>
          </w:tcPr>
          <w:p w14:paraId="5EE547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CE641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w:t>
            </w:r>
          </w:p>
        </w:tc>
        <w:tc>
          <w:tcPr>
            <w:tcW w:w="851" w:type="dxa"/>
          </w:tcPr>
          <w:p w14:paraId="486548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09188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11.39</w:t>
            </w:r>
          </w:p>
        </w:tc>
        <w:tc>
          <w:tcPr>
            <w:tcW w:w="5671" w:type="dxa"/>
          </w:tcPr>
          <w:p w14:paraId="1A1E56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1-м экз. производятся работы по изменению ВМГ под АМ-38 (2090,147)</w:t>
            </w:r>
          </w:p>
        </w:tc>
      </w:tr>
      <w:tr w:rsidR="007D5DF8" w:rsidRPr="00DB5D0D" w14:paraId="757B6FEF" w14:textId="77777777" w:rsidTr="00E543D0">
        <w:tc>
          <w:tcPr>
            <w:tcW w:w="1916" w:type="dxa"/>
          </w:tcPr>
          <w:p w14:paraId="1DEBF2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ДБ-4 2М-120ТК</w:t>
            </w:r>
          </w:p>
        </w:tc>
        <w:tc>
          <w:tcPr>
            <w:tcW w:w="1169" w:type="dxa"/>
          </w:tcPr>
          <w:p w14:paraId="7FD1FC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851" w:type="dxa"/>
          </w:tcPr>
          <w:p w14:paraId="35D48F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369B1F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01.08.40</w:t>
            </w:r>
          </w:p>
        </w:tc>
        <w:tc>
          <w:tcPr>
            <w:tcW w:w="5671" w:type="dxa"/>
          </w:tcPr>
          <w:p w14:paraId="781FC2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с АМ-37 передается на заводские 25 августа 1940</w:t>
            </w:r>
          </w:p>
        </w:tc>
      </w:tr>
      <w:tr w:rsidR="007D5DF8" w:rsidRPr="00DB5D0D" w14:paraId="4C284564" w14:textId="77777777" w:rsidTr="00E543D0">
        <w:tc>
          <w:tcPr>
            <w:tcW w:w="1916" w:type="dxa"/>
          </w:tcPr>
          <w:p w14:paraId="1B8219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92BC3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w:t>
            </w:r>
          </w:p>
        </w:tc>
        <w:tc>
          <w:tcPr>
            <w:tcW w:w="851" w:type="dxa"/>
          </w:tcPr>
          <w:p w14:paraId="4EFC73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5F6D6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01.10.40</w:t>
            </w:r>
          </w:p>
        </w:tc>
        <w:tc>
          <w:tcPr>
            <w:tcW w:w="5671" w:type="dxa"/>
          </w:tcPr>
          <w:p w14:paraId="298E1E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2-й экз. закончена сборка планера. Устан. ВМГ задерживается из-за</w:t>
            </w:r>
          </w:p>
        </w:tc>
      </w:tr>
      <w:tr w:rsidR="007D5DF8" w:rsidRPr="00DB5D0D" w14:paraId="61D045B9" w14:textId="77777777" w:rsidTr="00E543D0">
        <w:tc>
          <w:tcPr>
            <w:tcW w:w="1916" w:type="dxa"/>
          </w:tcPr>
          <w:p w14:paraId="3FFAEB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81B877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327B8D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55EAF2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159EC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отсутствия моторов М-120 и АМ-37</w:t>
            </w:r>
          </w:p>
        </w:tc>
      </w:tr>
      <w:tr w:rsidR="007D5DF8" w:rsidRPr="00DB5D0D" w14:paraId="1248974F" w14:textId="77777777" w:rsidTr="00E543D0">
        <w:tc>
          <w:tcPr>
            <w:tcW w:w="1916" w:type="dxa"/>
          </w:tcPr>
          <w:p w14:paraId="0E0FBD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И-207 М-63</w:t>
            </w:r>
          </w:p>
        </w:tc>
        <w:tc>
          <w:tcPr>
            <w:tcW w:w="1169" w:type="dxa"/>
          </w:tcPr>
          <w:p w14:paraId="0CE686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851" w:type="dxa"/>
          </w:tcPr>
          <w:p w14:paraId="02B1D9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7BE354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08.39</w:t>
            </w:r>
          </w:p>
        </w:tc>
        <w:tc>
          <w:tcPr>
            <w:tcW w:w="5671" w:type="dxa"/>
          </w:tcPr>
          <w:p w14:paraId="5B3819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прошел заводские исп. в июне и из-за неудовл. скорости на гос.</w:t>
            </w:r>
          </w:p>
        </w:tc>
      </w:tr>
      <w:tr w:rsidR="007D5DF8" w:rsidRPr="00DB5D0D" w14:paraId="7F291C5F" w14:textId="77777777" w:rsidTr="00E543D0">
        <w:tc>
          <w:tcPr>
            <w:tcW w:w="1916" w:type="dxa"/>
          </w:tcPr>
          <w:p w14:paraId="05E17A3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61AFC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 Фл.</w:t>
            </w:r>
          </w:p>
        </w:tc>
        <w:tc>
          <w:tcPr>
            <w:tcW w:w="851" w:type="dxa"/>
          </w:tcPr>
          <w:p w14:paraId="445C717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297A66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10.39</w:t>
            </w:r>
          </w:p>
        </w:tc>
        <w:tc>
          <w:tcPr>
            <w:tcW w:w="5671" w:type="dxa"/>
          </w:tcPr>
          <w:p w14:paraId="57B96A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не был допущен.</w:t>
            </w:r>
          </w:p>
        </w:tc>
      </w:tr>
      <w:tr w:rsidR="007D5DF8" w:rsidRPr="00DB5D0D" w14:paraId="40FE2ABF" w14:textId="77777777" w:rsidTr="00E543D0">
        <w:tc>
          <w:tcPr>
            <w:tcW w:w="1916" w:type="dxa"/>
          </w:tcPr>
          <w:p w14:paraId="6732650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35B2C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2BCC5AA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59BEB90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04CCD4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3-й экз. прошел заводские 7 июня с.г. На гос. испытания б. передан в</w:t>
            </w:r>
          </w:p>
        </w:tc>
      </w:tr>
      <w:tr w:rsidR="007D5DF8" w:rsidRPr="00DB5D0D" w14:paraId="45864C78" w14:textId="77777777" w:rsidTr="00E543D0">
        <w:tc>
          <w:tcPr>
            <w:tcW w:w="1916" w:type="dxa"/>
          </w:tcPr>
          <w:p w14:paraId="71BAB05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20CA4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5A0F655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BAFA6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C87EC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конце августа после установки крупнокалиб. бомбовой подвески</w:t>
            </w:r>
          </w:p>
        </w:tc>
      </w:tr>
      <w:tr w:rsidR="007D5DF8" w:rsidRPr="00DB5D0D" w14:paraId="62A0783E" w14:textId="77777777" w:rsidTr="00E543D0">
        <w:tc>
          <w:tcPr>
            <w:tcW w:w="1916" w:type="dxa"/>
          </w:tcPr>
          <w:p w14:paraId="4C3071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ДБЛК 2М-88</w:t>
            </w:r>
          </w:p>
        </w:tc>
        <w:tc>
          <w:tcPr>
            <w:tcW w:w="1169" w:type="dxa"/>
          </w:tcPr>
          <w:p w14:paraId="798DC0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851" w:type="dxa"/>
          </w:tcPr>
          <w:p w14:paraId="4E140B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72050C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08.39</w:t>
            </w:r>
          </w:p>
        </w:tc>
        <w:tc>
          <w:tcPr>
            <w:tcW w:w="5671" w:type="dxa"/>
          </w:tcPr>
          <w:p w14:paraId="46AC7F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закончились 25 июня с.г.</w:t>
            </w:r>
          </w:p>
        </w:tc>
      </w:tr>
      <w:tr w:rsidR="007D5DF8" w:rsidRPr="00DB5D0D" w14:paraId="68B83346" w14:textId="77777777" w:rsidTr="00E543D0">
        <w:tc>
          <w:tcPr>
            <w:tcW w:w="1916" w:type="dxa"/>
          </w:tcPr>
          <w:p w14:paraId="4131DCF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0F675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9FB09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Беляев</w:t>
            </w:r>
          </w:p>
        </w:tc>
        <w:tc>
          <w:tcPr>
            <w:tcW w:w="992" w:type="dxa"/>
          </w:tcPr>
          <w:p w14:paraId="2EA1D9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1226773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F17BDBB" w14:textId="77777777" w:rsidTr="00E543D0">
        <w:tc>
          <w:tcPr>
            <w:tcW w:w="1916" w:type="dxa"/>
          </w:tcPr>
          <w:p w14:paraId="7D93EA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СК М-105П</w:t>
            </w:r>
          </w:p>
        </w:tc>
        <w:tc>
          <w:tcPr>
            <w:tcW w:w="1169" w:type="dxa"/>
          </w:tcPr>
          <w:p w14:paraId="2E9479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ЦАГИ</w:t>
            </w:r>
          </w:p>
        </w:tc>
        <w:tc>
          <w:tcPr>
            <w:tcW w:w="851" w:type="dxa"/>
          </w:tcPr>
          <w:p w14:paraId="111104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54E03B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12.39</w:t>
            </w:r>
          </w:p>
        </w:tc>
        <w:tc>
          <w:tcPr>
            <w:tcW w:w="5671" w:type="dxa"/>
          </w:tcPr>
          <w:p w14:paraId="3962D1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Находится на заводских испытаниях с января с.г. Летные характеристики</w:t>
            </w:r>
          </w:p>
        </w:tc>
      </w:tr>
      <w:tr w:rsidR="007D5DF8" w:rsidRPr="00DB5D0D" w14:paraId="2483C205" w14:textId="77777777" w:rsidTr="00E543D0">
        <w:tc>
          <w:tcPr>
            <w:tcW w:w="1916" w:type="dxa"/>
          </w:tcPr>
          <w:p w14:paraId="6CD6660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781421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Бисноват</w:t>
            </w:r>
          </w:p>
        </w:tc>
        <w:tc>
          <w:tcPr>
            <w:tcW w:w="851" w:type="dxa"/>
          </w:tcPr>
          <w:p w14:paraId="375A313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A1EF9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14AFA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сняты из-за высоких температур ВМГ, плохой продольной и поперечной</w:t>
            </w:r>
          </w:p>
        </w:tc>
      </w:tr>
      <w:tr w:rsidR="007D5DF8" w:rsidRPr="00DB5D0D" w14:paraId="4D8C612C" w14:textId="77777777" w:rsidTr="00E543D0">
        <w:tc>
          <w:tcPr>
            <w:tcW w:w="1916" w:type="dxa"/>
          </w:tcPr>
          <w:p w14:paraId="6DB6FA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FC2708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01631A0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51EB0A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4103E5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устойчивости и конструктивных недостатков шасси</w:t>
            </w:r>
          </w:p>
        </w:tc>
      </w:tr>
      <w:tr w:rsidR="007D5DF8" w:rsidRPr="00DB5D0D" w14:paraId="3BC362B9" w14:textId="77777777" w:rsidTr="00E543D0">
        <w:tc>
          <w:tcPr>
            <w:tcW w:w="1916" w:type="dxa"/>
          </w:tcPr>
          <w:p w14:paraId="1D78A4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И-301 М-105ТК</w:t>
            </w:r>
          </w:p>
        </w:tc>
        <w:tc>
          <w:tcPr>
            <w:tcW w:w="1169" w:type="dxa"/>
          </w:tcPr>
          <w:p w14:paraId="383C98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w:t>
            </w:r>
          </w:p>
        </w:tc>
        <w:tc>
          <w:tcPr>
            <w:tcW w:w="851" w:type="dxa"/>
          </w:tcPr>
          <w:p w14:paraId="07BF71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5665B0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02.40</w:t>
            </w:r>
          </w:p>
        </w:tc>
        <w:tc>
          <w:tcPr>
            <w:tcW w:w="5671" w:type="dxa"/>
          </w:tcPr>
          <w:p w14:paraId="1639A0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прошел гос. испытания за исключением пикирования, штопора и</w:t>
            </w:r>
          </w:p>
        </w:tc>
      </w:tr>
      <w:tr w:rsidR="007D5DF8" w:rsidRPr="00DB5D0D" w14:paraId="6CEA7B7A" w14:textId="77777777" w:rsidTr="00E543D0">
        <w:tc>
          <w:tcPr>
            <w:tcW w:w="1916" w:type="dxa"/>
          </w:tcPr>
          <w:p w14:paraId="51AF34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М-106П</w:t>
            </w:r>
          </w:p>
        </w:tc>
        <w:tc>
          <w:tcPr>
            <w:tcW w:w="1169" w:type="dxa"/>
          </w:tcPr>
          <w:p w14:paraId="498809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ЛаГГ</w:t>
            </w:r>
          </w:p>
        </w:tc>
        <w:tc>
          <w:tcPr>
            <w:tcW w:w="851" w:type="dxa"/>
          </w:tcPr>
          <w:p w14:paraId="02E9620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E62C1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05.40</w:t>
            </w:r>
          </w:p>
        </w:tc>
        <w:tc>
          <w:tcPr>
            <w:tcW w:w="5671" w:type="dxa"/>
          </w:tcPr>
          <w:p w14:paraId="3DAE90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бочки. Потерпел аварию 11 августа после доводки на 301 по вине л</w:t>
            </w:r>
          </w:p>
        </w:tc>
      </w:tr>
      <w:tr w:rsidR="007D5DF8" w:rsidRPr="00DB5D0D" w14:paraId="64E9D283" w14:textId="77777777" w:rsidTr="00E543D0">
        <w:tc>
          <w:tcPr>
            <w:tcW w:w="1916" w:type="dxa"/>
          </w:tcPr>
          <w:p w14:paraId="7A8FF6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7FF522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A4BBC5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68548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Ремонтируется</w:t>
            </w:r>
          </w:p>
        </w:tc>
        <w:tc>
          <w:tcPr>
            <w:tcW w:w="5671" w:type="dxa"/>
          </w:tcPr>
          <w:p w14:paraId="023FCEB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FA3AA99" w14:textId="77777777" w:rsidTr="00E543D0">
        <w:tc>
          <w:tcPr>
            <w:tcW w:w="1916" w:type="dxa"/>
          </w:tcPr>
          <w:p w14:paraId="793DE6D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56CDFBF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3747B9D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55B19D7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19F38E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находится в общей сборке и выпуск на заводские намечен на</w:t>
            </w:r>
          </w:p>
        </w:tc>
      </w:tr>
      <w:tr w:rsidR="007D5DF8" w:rsidRPr="00DB5D0D" w14:paraId="49A75B1D" w14:textId="77777777" w:rsidTr="00E543D0">
        <w:tc>
          <w:tcPr>
            <w:tcW w:w="1916" w:type="dxa"/>
          </w:tcPr>
          <w:p w14:paraId="34D488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588647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327037F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620884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7918DB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 1940</w:t>
            </w:r>
          </w:p>
        </w:tc>
      </w:tr>
      <w:tr w:rsidR="007D5DF8" w:rsidRPr="00DB5D0D" w14:paraId="6B50A9F7" w14:textId="77777777" w:rsidTr="00E543D0">
        <w:tc>
          <w:tcPr>
            <w:tcW w:w="1916" w:type="dxa"/>
          </w:tcPr>
          <w:p w14:paraId="345F32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И-135 М-105ТК</w:t>
            </w:r>
          </w:p>
        </w:tc>
        <w:tc>
          <w:tcPr>
            <w:tcW w:w="1169" w:type="dxa"/>
          </w:tcPr>
          <w:p w14:paraId="43116B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851" w:type="dxa"/>
          </w:tcPr>
          <w:p w14:paraId="0E665F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086C99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03.40</w:t>
            </w:r>
          </w:p>
        </w:tc>
        <w:tc>
          <w:tcPr>
            <w:tcW w:w="5671" w:type="dxa"/>
          </w:tcPr>
          <w:p w14:paraId="493AAE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с мая на заводских испытаниях. Испытания задерживаются из-за</w:t>
            </w:r>
          </w:p>
        </w:tc>
      </w:tr>
      <w:tr w:rsidR="007D5DF8" w:rsidRPr="00DB5D0D" w14:paraId="69D470DF" w14:textId="77777777" w:rsidTr="00E543D0">
        <w:tc>
          <w:tcPr>
            <w:tcW w:w="1916" w:type="dxa"/>
          </w:tcPr>
          <w:p w14:paraId="10954B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М-106ТК</w:t>
            </w:r>
          </w:p>
        </w:tc>
        <w:tc>
          <w:tcPr>
            <w:tcW w:w="1169" w:type="dxa"/>
          </w:tcPr>
          <w:p w14:paraId="4A6F5E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w:t>
            </w:r>
          </w:p>
        </w:tc>
        <w:tc>
          <w:tcPr>
            <w:tcW w:w="851" w:type="dxa"/>
          </w:tcPr>
          <w:p w14:paraId="2D77A2E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61B1B9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07.40</w:t>
            </w:r>
          </w:p>
        </w:tc>
        <w:tc>
          <w:tcPr>
            <w:tcW w:w="5671" w:type="dxa"/>
          </w:tcPr>
          <w:p w14:paraId="7A249E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высоких температурных режимов масла и аварии машины 4 августа по</w:t>
            </w:r>
          </w:p>
        </w:tc>
      </w:tr>
      <w:tr w:rsidR="007D5DF8" w:rsidRPr="00DB5D0D" w14:paraId="649D7A88" w14:textId="77777777" w:rsidTr="00E543D0">
        <w:tc>
          <w:tcPr>
            <w:tcW w:w="1916" w:type="dxa"/>
          </w:tcPr>
          <w:p w14:paraId="15FAFD1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58CC52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318B3E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5D6CA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5C1675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вине л. Ремонтируется на 289 заводе.</w:t>
            </w:r>
          </w:p>
        </w:tc>
      </w:tr>
      <w:tr w:rsidR="007D5DF8" w:rsidRPr="00DB5D0D" w14:paraId="206735C3" w14:textId="77777777" w:rsidTr="00E543D0">
        <w:tc>
          <w:tcPr>
            <w:tcW w:w="1916" w:type="dxa"/>
          </w:tcPr>
          <w:p w14:paraId="0872A2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0D1D6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D2B6F4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6592F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267CE4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находится в окончательной сборке. Задержка из-за отсутствия</w:t>
            </w:r>
          </w:p>
        </w:tc>
      </w:tr>
      <w:tr w:rsidR="007D5DF8" w:rsidRPr="00DB5D0D" w14:paraId="654C308F" w14:textId="77777777" w:rsidTr="00E543D0">
        <w:tc>
          <w:tcPr>
            <w:tcW w:w="1916" w:type="dxa"/>
          </w:tcPr>
          <w:p w14:paraId="32862F4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0D00AB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2838AFA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21B68B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7310C4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ТК-2, радиаторов, винта и колес</w:t>
            </w:r>
          </w:p>
        </w:tc>
      </w:tr>
      <w:tr w:rsidR="007D5DF8" w:rsidRPr="00DB5D0D" w14:paraId="163A154F" w14:textId="77777777" w:rsidTr="00E543D0">
        <w:tc>
          <w:tcPr>
            <w:tcW w:w="1916" w:type="dxa"/>
          </w:tcPr>
          <w:p w14:paraId="36EFC9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И-153 М-62 ГК</w:t>
            </w:r>
          </w:p>
        </w:tc>
        <w:tc>
          <w:tcPr>
            <w:tcW w:w="1169" w:type="dxa"/>
          </w:tcPr>
          <w:p w14:paraId="280574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851" w:type="dxa"/>
          </w:tcPr>
          <w:p w14:paraId="7441F3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211851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11.39</w:t>
            </w:r>
          </w:p>
        </w:tc>
        <w:tc>
          <w:tcPr>
            <w:tcW w:w="5671" w:type="dxa"/>
          </w:tcPr>
          <w:p w14:paraId="3CFECE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были закончены гос. испытания с удовлетворительной</w:t>
            </w:r>
          </w:p>
        </w:tc>
      </w:tr>
      <w:tr w:rsidR="007D5DF8" w:rsidRPr="00DB5D0D" w14:paraId="2E877327" w14:textId="77777777" w:rsidTr="00E543D0">
        <w:tc>
          <w:tcPr>
            <w:tcW w:w="1916" w:type="dxa"/>
          </w:tcPr>
          <w:p w14:paraId="4D503E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A864D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Щербаков</w:t>
            </w:r>
          </w:p>
        </w:tc>
        <w:tc>
          <w:tcPr>
            <w:tcW w:w="851" w:type="dxa"/>
          </w:tcPr>
          <w:p w14:paraId="2D4A0B9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CAA509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7CE314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оценкой</w:t>
            </w:r>
          </w:p>
        </w:tc>
      </w:tr>
      <w:tr w:rsidR="007D5DF8" w:rsidRPr="00DB5D0D" w14:paraId="1A9F510E" w14:textId="77777777" w:rsidTr="00E543D0">
        <w:tc>
          <w:tcPr>
            <w:tcW w:w="1916" w:type="dxa"/>
          </w:tcPr>
          <w:p w14:paraId="1D5978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И-220 М-88</w:t>
            </w:r>
          </w:p>
        </w:tc>
        <w:tc>
          <w:tcPr>
            <w:tcW w:w="1169" w:type="dxa"/>
          </w:tcPr>
          <w:p w14:paraId="0C6194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851" w:type="dxa"/>
          </w:tcPr>
          <w:p w14:paraId="169C12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7C8866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10.39</w:t>
            </w:r>
          </w:p>
        </w:tc>
        <w:tc>
          <w:tcPr>
            <w:tcW w:w="5671" w:type="dxa"/>
          </w:tcPr>
          <w:p w14:paraId="17C5CE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НКАП работы прекращены из-за полной негодности машины</w:t>
            </w:r>
          </w:p>
        </w:tc>
      </w:tr>
      <w:tr w:rsidR="007D5DF8" w:rsidRPr="00DB5D0D" w14:paraId="5D369730" w14:textId="77777777" w:rsidTr="00E543D0">
        <w:tc>
          <w:tcPr>
            <w:tcW w:w="1916" w:type="dxa"/>
          </w:tcPr>
          <w:p w14:paraId="6CF557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B29076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100D19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Сильванский</w:t>
            </w:r>
          </w:p>
        </w:tc>
        <w:tc>
          <w:tcPr>
            <w:tcW w:w="992" w:type="dxa"/>
          </w:tcPr>
          <w:p w14:paraId="6193BC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12.39</w:t>
            </w:r>
          </w:p>
        </w:tc>
        <w:tc>
          <w:tcPr>
            <w:tcW w:w="5671" w:type="dxa"/>
          </w:tcPr>
          <w:p w14:paraId="7BA7536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6B6A50A" w14:textId="77777777" w:rsidTr="00E543D0">
        <w:tc>
          <w:tcPr>
            <w:tcW w:w="1916" w:type="dxa"/>
          </w:tcPr>
          <w:p w14:paraId="1252FC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САМ-13 2МВ-6</w:t>
            </w:r>
          </w:p>
        </w:tc>
        <w:tc>
          <w:tcPr>
            <w:tcW w:w="1169" w:type="dxa"/>
          </w:tcPr>
          <w:p w14:paraId="14ABDD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КБ-31</w:t>
            </w:r>
          </w:p>
        </w:tc>
        <w:tc>
          <w:tcPr>
            <w:tcW w:w="851" w:type="dxa"/>
          </w:tcPr>
          <w:p w14:paraId="205135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6674EF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09.39</w:t>
            </w:r>
          </w:p>
        </w:tc>
        <w:tc>
          <w:tcPr>
            <w:tcW w:w="5671" w:type="dxa"/>
          </w:tcPr>
          <w:p w14:paraId="2F01E4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20 июня 1940 проходил заводские испытания. При рулежках поломали</w:t>
            </w:r>
          </w:p>
        </w:tc>
      </w:tr>
      <w:tr w:rsidR="007D5DF8" w:rsidRPr="00DB5D0D" w14:paraId="6C57CDE4" w14:textId="77777777" w:rsidTr="00E543D0">
        <w:tc>
          <w:tcPr>
            <w:tcW w:w="1916" w:type="dxa"/>
          </w:tcPr>
          <w:p w14:paraId="57E662E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C6CEB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Москалев</w:t>
            </w:r>
          </w:p>
        </w:tc>
        <w:tc>
          <w:tcPr>
            <w:tcW w:w="851" w:type="dxa"/>
          </w:tcPr>
          <w:p w14:paraId="3995131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270AC3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шасси. </w:t>
            </w:r>
          </w:p>
        </w:tc>
        <w:tc>
          <w:tcPr>
            <w:tcW w:w="5671" w:type="dxa"/>
          </w:tcPr>
          <w:p w14:paraId="630C5C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Произвели 2 полета. На 2-м полете сгорел мотор. За время</w:t>
            </w:r>
          </w:p>
        </w:tc>
      </w:tr>
      <w:tr w:rsidR="007D5DF8" w:rsidRPr="00DB5D0D" w14:paraId="516BB87A" w14:textId="77777777" w:rsidTr="00E543D0">
        <w:tc>
          <w:tcPr>
            <w:tcW w:w="1916" w:type="dxa"/>
          </w:tcPr>
          <w:p w14:paraId="7F82935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4F5A95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6123019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701B2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7263F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испытаний отработали уборку трехколесного шасси</w:t>
            </w:r>
          </w:p>
        </w:tc>
      </w:tr>
      <w:tr w:rsidR="007D5DF8" w:rsidRPr="00DB5D0D" w14:paraId="71B2D74E" w14:textId="77777777" w:rsidTr="00E543D0">
        <w:tc>
          <w:tcPr>
            <w:tcW w:w="1916" w:type="dxa"/>
          </w:tcPr>
          <w:p w14:paraId="2C9101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ДБ-240 2М-105</w:t>
            </w:r>
          </w:p>
        </w:tc>
        <w:tc>
          <w:tcPr>
            <w:tcW w:w="1169" w:type="dxa"/>
          </w:tcPr>
          <w:p w14:paraId="5204BB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851" w:type="dxa"/>
          </w:tcPr>
          <w:p w14:paraId="1A8B40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6B3DBB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01.04.40</w:t>
            </w:r>
          </w:p>
        </w:tc>
        <w:tc>
          <w:tcPr>
            <w:tcW w:w="5671" w:type="dxa"/>
          </w:tcPr>
          <w:p w14:paraId="3A4E87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с 14 мая по 1 июня 1940 проходил заводские испытания. В</w:t>
            </w:r>
          </w:p>
        </w:tc>
      </w:tr>
      <w:tr w:rsidR="007D5DF8" w:rsidRPr="00DB5D0D" w14:paraId="2F853E72" w14:textId="77777777" w:rsidTr="00E543D0">
        <w:tc>
          <w:tcPr>
            <w:tcW w:w="1916" w:type="dxa"/>
          </w:tcPr>
          <w:p w14:paraId="74FAB62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512C03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Ермолаев</w:t>
            </w:r>
          </w:p>
        </w:tc>
        <w:tc>
          <w:tcPr>
            <w:tcW w:w="851" w:type="dxa"/>
          </w:tcPr>
          <w:p w14:paraId="209B1B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96F6F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01.05.40</w:t>
            </w:r>
          </w:p>
        </w:tc>
        <w:tc>
          <w:tcPr>
            <w:tcW w:w="5671" w:type="dxa"/>
          </w:tcPr>
          <w:p w14:paraId="430846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настоящее время выполняет дополнительное задание И.В.С. по перелету</w:t>
            </w:r>
          </w:p>
        </w:tc>
      </w:tr>
      <w:tr w:rsidR="007D5DF8" w:rsidRPr="00DB5D0D" w14:paraId="64BD5384" w14:textId="77777777" w:rsidTr="00E543D0">
        <w:tc>
          <w:tcPr>
            <w:tcW w:w="1916" w:type="dxa"/>
          </w:tcPr>
          <w:p w14:paraId="25B959C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52B51F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098FCC0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6C93537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6AF56F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дальность 4000 км. Стоят моторы М-105</w:t>
            </w:r>
          </w:p>
        </w:tc>
      </w:tr>
      <w:tr w:rsidR="007D5DF8" w:rsidRPr="00DB5D0D" w14:paraId="339D7837" w14:textId="77777777" w:rsidTr="00E543D0">
        <w:tc>
          <w:tcPr>
            <w:tcW w:w="1916" w:type="dxa"/>
          </w:tcPr>
          <w:p w14:paraId="4E39D2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B5FD3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464E546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6085B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499D53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заканчивается производством 1 сентября 1940. Вместо М-106</w:t>
            </w:r>
          </w:p>
        </w:tc>
      </w:tr>
      <w:tr w:rsidR="007D5DF8" w:rsidRPr="00DB5D0D" w14:paraId="500A6CD7" w14:textId="77777777" w:rsidTr="00E543D0">
        <w:tc>
          <w:tcPr>
            <w:tcW w:w="1916" w:type="dxa"/>
          </w:tcPr>
          <w:p w14:paraId="3B19A91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27828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36BA68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284B887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74BE9F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поставлены АМ-37</w:t>
            </w:r>
          </w:p>
        </w:tc>
      </w:tr>
      <w:tr w:rsidR="007D5DF8" w:rsidRPr="00DB5D0D" w14:paraId="1D5F9C27" w14:textId="77777777" w:rsidTr="00E543D0">
        <w:tc>
          <w:tcPr>
            <w:tcW w:w="1916" w:type="dxa"/>
          </w:tcPr>
          <w:p w14:paraId="3AFE45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ББ МАИ М-105</w:t>
            </w:r>
          </w:p>
        </w:tc>
        <w:tc>
          <w:tcPr>
            <w:tcW w:w="1169" w:type="dxa"/>
          </w:tcPr>
          <w:p w14:paraId="47CA9C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КБМАИ</w:t>
            </w:r>
          </w:p>
        </w:tc>
        <w:tc>
          <w:tcPr>
            <w:tcW w:w="851" w:type="dxa"/>
          </w:tcPr>
          <w:p w14:paraId="42E4BD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5C4DFB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07.40</w:t>
            </w:r>
          </w:p>
        </w:tc>
        <w:tc>
          <w:tcPr>
            <w:tcW w:w="5671" w:type="dxa"/>
          </w:tcPr>
          <w:p w14:paraId="36B373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закончен в производстве и 17 августа перевезен в ЦАГИ</w:t>
            </w:r>
          </w:p>
        </w:tc>
      </w:tr>
      <w:tr w:rsidR="007D5DF8" w:rsidRPr="00DB5D0D" w14:paraId="71F09F0F" w14:textId="77777777" w:rsidTr="00E543D0">
        <w:tc>
          <w:tcPr>
            <w:tcW w:w="1916" w:type="dxa"/>
          </w:tcPr>
          <w:p w14:paraId="77F6343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B3D4C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Грушин</w:t>
            </w:r>
          </w:p>
        </w:tc>
        <w:tc>
          <w:tcPr>
            <w:tcW w:w="851" w:type="dxa"/>
          </w:tcPr>
          <w:p w14:paraId="39AF077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ABDD0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09.40</w:t>
            </w:r>
          </w:p>
        </w:tc>
        <w:tc>
          <w:tcPr>
            <w:tcW w:w="5671" w:type="dxa"/>
          </w:tcPr>
          <w:p w14:paraId="2EF46C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Раменское, где производятся наземные испытания</w:t>
            </w:r>
          </w:p>
        </w:tc>
      </w:tr>
      <w:tr w:rsidR="007D5DF8" w:rsidRPr="00DB5D0D" w14:paraId="5ACF5BC1" w14:textId="77777777" w:rsidTr="00E543D0">
        <w:tc>
          <w:tcPr>
            <w:tcW w:w="1916" w:type="dxa"/>
          </w:tcPr>
          <w:p w14:paraId="3713004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EFD968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118590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C0024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C81CE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2-й экз. изготовлены лонжероны крыла и каркас фюзеляжа</w:t>
            </w:r>
          </w:p>
        </w:tc>
      </w:tr>
      <w:tr w:rsidR="007D5DF8" w:rsidRPr="00DB5D0D" w14:paraId="2927F8B8" w14:textId="77777777" w:rsidTr="00E543D0">
        <w:tc>
          <w:tcPr>
            <w:tcW w:w="1916" w:type="dxa"/>
          </w:tcPr>
          <w:p w14:paraId="5FFFD8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ББ-2 М-88</w:t>
            </w:r>
          </w:p>
        </w:tc>
        <w:tc>
          <w:tcPr>
            <w:tcW w:w="1169" w:type="dxa"/>
          </w:tcPr>
          <w:p w14:paraId="7531BF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851" w:type="dxa"/>
          </w:tcPr>
          <w:p w14:paraId="108AD0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38739F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09.39</w:t>
            </w:r>
          </w:p>
        </w:tc>
        <w:tc>
          <w:tcPr>
            <w:tcW w:w="5671" w:type="dxa"/>
          </w:tcPr>
          <w:p w14:paraId="46B1AC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мая с.г. поступил на заводские испытания. При проведении испытаний</w:t>
            </w:r>
          </w:p>
        </w:tc>
      </w:tr>
      <w:tr w:rsidR="007D5DF8" w:rsidRPr="00DB5D0D" w14:paraId="1680A83C" w14:textId="77777777" w:rsidTr="00E543D0">
        <w:tc>
          <w:tcPr>
            <w:tcW w:w="1916" w:type="dxa"/>
          </w:tcPr>
          <w:p w14:paraId="7D7D7CA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52246D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w:t>
            </w:r>
          </w:p>
        </w:tc>
        <w:tc>
          <w:tcPr>
            <w:tcW w:w="851" w:type="dxa"/>
          </w:tcPr>
          <w:p w14:paraId="5A79AB0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8A3E53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129C6F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потерпел две аварии: из-за посадки при не выпущенных шасси и из-за</w:t>
            </w:r>
          </w:p>
        </w:tc>
      </w:tr>
      <w:tr w:rsidR="007D5DF8" w:rsidRPr="00DB5D0D" w14:paraId="6A1B1D3E" w14:textId="77777777" w:rsidTr="00E543D0">
        <w:tc>
          <w:tcPr>
            <w:tcW w:w="1916" w:type="dxa"/>
          </w:tcPr>
          <w:p w14:paraId="60C2B4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8870CE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6006924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7263C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10DF85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ошибки л. 20 августа вновь поступил на испытания после ремонта</w:t>
            </w:r>
          </w:p>
        </w:tc>
      </w:tr>
      <w:tr w:rsidR="007D5DF8" w:rsidRPr="00DB5D0D" w14:paraId="4AB1AA0B" w14:textId="77777777" w:rsidTr="00E543D0">
        <w:tc>
          <w:tcPr>
            <w:tcW w:w="1916" w:type="dxa"/>
          </w:tcPr>
          <w:p w14:paraId="2D3DD5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ИС М-63 и</w:t>
            </w:r>
          </w:p>
        </w:tc>
        <w:tc>
          <w:tcPr>
            <w:tcW w:w="1169" w:type="dxa"/>
          </w:tcPr>
          <w:p w14:paraId="383275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851" w:type="dxa"/>
          </w:tcPr>
          <w:p w14:paraId="02C99F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0BF4E2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10.39</w:t>
            </w:r>
          </w:p>
        </w:tc>
        <w:tc>
          <w:tcPr>
            <w:tcW w:w="5671" w:type="dxa"/>
          </w:tcPr>
          <w:p w14:paraId="4CB159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поступил на заводские испытания 14 мая 1940. Произведено 8</w:t>
            </w:r>
          </w:p>
        </w:tc>
      </w:tr>
      <w:tr w:rsidR="007D5DF8" w:rsidRPr="00DB5D0D" w14:paraId="3D7B27D7" w14:textId="77777777" w:rsidTr="00E543D0">
        <w:tc>
          <w:tcPr>
            <w:tcW w:w="1916" w:type="dxa"/>
          </w:tcPr>
          <w:p w14:paraId="1CD535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tc>
        <w:tc>
          <w:tcPr>
            <w:tcW w:w="1169" w:type="dxa"/>
          </w:tcPr>
          <w:p w14:paraId="3A6896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Шевч./Ник.</w:t>
            </w:r>
          </w:p>
        </w:tc>
        <w:tc>
          <w:tcPr>
            <w:tcW w:w="851" w:type="dxa"/>
          </w:tcPr>
          <w:p w14:paraId="5954BE4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231412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12.39</w:t>
            </w:r>
          </w:p>
        </w:tc>
        <w:tc>
          <w:tcPr>
            <w:tcW w:w="5671" w:type="dxa"/>
          </w:tcPr>
          <w:p w14:paraId="541ED2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полетов на малых скоростях. Из-за плохой продольной и поперечной</w:t>
            </w:r>
          </w:p>
        </w:tc>
      </w:tr>
      <w:tr w:rsidR="007D5DF8" w:rsidRPr="00DB5D0D" w14:paraId="31BDE5DF" w14:textId="77777777" w:rsidTr="00E543D0">
        <w:tc>
          <w:tcPr>
            <w:tcW w:w="1916" w:type="dxa"/>
          </w:tcPr>
          <w:p w14:paraId="38B43C3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757622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5024ED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33CA5A6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74F9E4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устойчивости переделывали оперение. Испытывается на вибропрочность с</w:t>
            </w:r>
          </w:p>
        </w:tc>
      </w:tr>
      <w:tr w:rsidR="007D5DF8" w:rsidRPr="00DB5D0D" w14:paraId="48E73D9F" w14:textId="77777777" w:rsidTr="00E543D0">
        <w:tc>
          <w:tcPr>
            <w:tcW w:w="1916" w:type="dxa"/>
          </w:tcPr>
          <w:p w14:paraId="5D286A9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728ED1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6BFEFB7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3000DA8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2BCBEA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новым оперением</w:t>
            </w:r>
          </w:p>
        </w:tc>
      </w:tr>
      <w:tr w:rsidR="007D5DF8" w:rsidRPr="00DB5D0D" w14:paraId="36E2D711" w14:textId="77777777" w:rsidTr="00E543D0">
        <w:tc>
          <w:tcPr>
            <w:tcW w:w="1916" w:type="dxa"/>
          </w:tcPr>
          <w:p w14:paraId="6A33CD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05DF36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0F4F472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6F6883D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1797D5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закончен постройкой. Поставят новое оперение после испытаний</w:t>
            </w:r>
          </w:p>
        </w:tc>
      </w:tr>
      <w:tr w:rsidR="007D5DF8" w:rsidRPr="00DB5D0D" w14:paraId="410E250E" w14:textId="77777777" w:rsidTr="00E543D0">
        <w:tc>
          <w:tcPr>
            <w:tcW w:w="1916" w:type="dxa"/>
          </w:tcPr>
          <w:p w14:paraId="37616A5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F384F5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1E47782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36D8F33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BF856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1-м</w:t>
            </w:r>
          </w:p>
        </w:tc>
      </w:tr>
      <w:tr w:rsidR="007D5DF8" w:rsidRPr="00DB5D0D" w14:paraId="079E85CD" w14:textId="77777777" w:rsidTr="00E543D0">
        <w:tc>
          <w:tcPr>
            <w:tcW w:w="1916" w:type="dxa"/>
          </w:tcPr>
          <w:p w14:paraId="56B072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БОК-15 М-40</w:t>
            </w:r>
          </w:p>
        </w:tc>
        <w:tc>
          <w:tcPr>
            <w:tcW w:w="1169" w:type="dxa"/>
          </w:tcPr>
          <w:p w14:paraId="4A3253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851" w:type="dxa"/>
          </w:tcPr>
          <w:p w14:paraId="07A84B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5E59AF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1B1A8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Решением Правительства от 24 апреля с.г. работы были прекращены</w:t>
            </w:r>
          </w:p>
        </w:tc>
      </w:tr>
      <w:tr w:rsidR="007D5DF8" w:rsidRPr="00DB5D0D" w14:paraId="312B01BE" w14:textId="77777777" w:rsidTr="00E543D0">
        <w:tc>
          <w:tcPr>
            <w:tcW w:w="1916" w:type="dxa"/>
          </w:tcPr>
          <w:p w14:paraId="677FB92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9EDEE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Каштанов</w:t>
            </w:r>
          </w:p>
        </w:tc>
        <w:tc>
          <w:tcPr>
            <w:tcW w:w="851" w:type="dxa"/>
          </w:tcPr>
          <w:p w14:paraId="27E5363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F5ECA0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12786E4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6FA084B" w14:textId="77777777" w:rsidTr="00E543D0">
        <w:tc>
          <w:tcPr>
            <w:tcW w:w="1916" w:type="dxa"/>
          </w:tcPr>
          <w:p w14:paraId="59EEA4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ПС-84 М-62Р</w:t>
            </w:r>
          </w:p>
        </w:tc>
        <w:tc>
          <w:tcPr>
            <w:tcW w:w="1169" w:type="dxa"/>
          </w:tcPr>
          <w:p w14:paraId="331A37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84</w:t>
            </w:r>
          </w:p>
        </w:tc>
        <w:tc>
          <w:tcPr>
            <w:tcW w:w="851" w:type="dxa"/>
          </w:tcPr>
          <w:p w14:paraId="0FC6D9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5A9523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12.39</w:t>
            </w:r>
          </w:p>
        </w:tc>
        <w:tc>
          <w:tcPr>
            <w:tcW w:w="5671" w:type="dxa"/>
          </w:tcPr>
          <w:p w14:paraId="266FB8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закончил гос. испытания</w:t>
            </w:r>
          </w:p>
        </w:tc>
      </w:tr>
      <w:tr w:rsidR="007D5DF8" w:rsidRPr="00DB5D0D" w14:paraId="2CD1B67C" w14:textId="77777777" w:rsidTr="00E543D0">
        <w:tc>
          <w:tcPr>
            <w:tcW w:w="1916" w:type="dxa"/>
          </w:tcPr>
          <w:p w14:paraId="611CEC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w:t>
            </w:r>
          </w:p>
        </w:tc>
        <w:tc>
          <w:tcPr>
            <w:tcW w:w="1169" w:type="dxa"/>
          </w:tcPr>
          <w:p w14:paraId="2DACC0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Сеньков</w:t>
            </w:r>
          </w:p>
        </w:tc>
        <w:tc>
          <w:tcPr>
            <w:tcW w:w="851" w:type="dxa"/>
          </w:tcPr>
          <w:p w14:paraId="5765E82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B8804F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2C329D8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72DBE2A" w14:textId="77777777" w:rsidTr="00E543D0">
        <w:tc>
          <w:tcPr>
            <w:tcW w:w="1916" w:type="dxa"/>
          </w:tcPr>
          <w:p w14:paraId="04526B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УТ с авто-</w:t>
            </w:r>
          </w:p>
        </w:tc>
        <w:tc>
          <w:tcPr>
            <w:tcW w:w="1169" w:type="dxa"/>
          </w:tcPr>
          <w:p w14:paraId="68E90C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851" w:type="dxa"/>
          </w:tcPr>
          <w:p w14:paraId="4F8609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641BA8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142EEC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Закончен производством 15 августа 1940. Производятся наземные</w:t>
            </w:r>
          </w:p>
        </w:tc>
      </w:tr>
      <w:tr w:rsidR="007D5DF8" w:rsidRPr="00DB5D0D" w14:paraId="1E49F9B5" w14:textId="77777777" w:rsidTr="00E543D0">
        <w:tc>
          <w:tcPr>
            <w:tcW w:w="1916" w:type="dxa"/>
          </w:tcPr>
          <w:p w14:paraId="60E535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мотором</w:t>
            </w:r>
          </w:p>
        </w:tc>
        <w:tc>
          <w:tcPr>
            <w:tcW w:w="1169" w:type="dxa"/>
          </w:tcPr>
          <w:p w14:paraId="54317E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Смолин</w:t>
            </w:r>
          </w:p>
        </w:tc>
        <w:tc>
          <w:tcPr>
            <w:tcW w:w="851" w:type="dxa"/>
          </w:tcPr>
          <w:p w14:paraId="09D0DBF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2C93460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28F371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w:t>
            </w:r>
          </w:p>
        </w:tc>
      </w:tr>
      <w:tr w:rsidR="007D5DF8" w:rsidRPr="00DB5D0D" w14:paraId="5C99D84F" w14:textId="77777777" w:rsidTr="00E543D0">
        <w:tc>
          <w:tcPr>
            <w:tcW w:w="1916" w:type="dxa"/>
          </w:tcPr>
          <w:p w14:paraId="16FD62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Г11 ЭА</w:t>
            </w:r>
          </w:p>
        </w:tc>
        <w:tc>
          <w:tcPr>
            <w:tcW w:w="1169" w:type="dxa"/>
          </w:tcPr>
          <w:p w14:paraId="11AE44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851" w:type="dxa"/>
          </w:tcPr>
          <w:p w14:paraId="657C5A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6E9F731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760FF0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Геликоптер поступил на испытания в январе 1940 и проводились только</w:t>
            </w:r>
          </w:p>
        </w:tc>
      </w:tr>
      <w:tr w:rsidR="007D5DF8" w:rsidRPr="00DB5D0D" w14:paraId="23D8B130" w14:textId="77777777" w:rsidTr="00E543D0">
        <w:tc>
          <w:tcPr>
            <w:tcW w:w="1916" w:type="dxa"/>
          </w:tcPr>
          <w:p w14:paraId="150C3B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15067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Братухин</w:t>
            </w:r>
          </w:p>
        </w:tc>
        <w:tc>
          <w:tcPr>
            <w:tcW w:w="851" w:type="dxa"/>
          </w:tcPr>
          <w:p w14:paraId="54947FA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5FF2C96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0024EE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наземные испытания</w:t>
            </w:r>
          </w:p>
        </w:tc>
      </w:tr>
      <w:tr w:rsidR="007D5DF8" w:rsidRPr="00DB5D0D" w14:paraId="3D66E018" w14:textId="77777777" w:rsidTr="00E543D0">
        <w:tc>
          <w:tcPr>
            <w:tcW w:w="1916" w:type="dxa"/>
          </w:tcPr>
          <w:p w14:paraId="4B1244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МБР-7 М-103</w:t>
            </w:r>
          </w:p>
        </w:tc>
        <w:tc>
          <w:tcPr>
            <w:tcW w:w="1169" w:type="dxa"/>
          </w:tcPr>
          <w:p w14:paraId="16E05D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851" w:type="dxa"/>
          </w:tcPr>
          <w:p w14:paraId="3878CF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0DBAC2D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50D2AD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июне 1940 самолет прошел наземные испытания. На гос. испытания будет</w:t>
            </w:r>
          </w:p>
        </w:tc>
      </w:tr>
      <w:tr w:rsidR="007D5DF8" w:rsidRPr="00DB5D0D" w14:paraId="174872AC" w14:textId="77777777" w:rsidTr="00E543D0">
        <w:tc>
          <w:tcPr>
            <w:tcW w:w="1916" w:type="dxa"/>
          </w:tcPr>
          <w:p w14:paraId="2EAFDC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BB478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Бериев</w:t>
            </w:r>
          </w:p>
        </w:tc>
        <w:tc>
          <w:tcPr>
            <w:tcW w:w="851" w:type="dxa"/>
          </w:tcPr>
          <w:p w14:paraId="456DB3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C83AB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026928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передан после доводок взлетно-посадочных свойств</w:t>
            </w:r>
          </w:p>
        </w:tc>
      </w:tr>
      <w:tr w:rsidR="007D5DF8" w:rsidRPr="00DB5D0D" w14:paraId="54EE3C61" w14:textId="77777777" w:rsidTr="00E543D0">
        <w:tc>
          <w:tcPr>
            <w:tcW w:w="1916" w:type="dxa"/>
          </w:tcPr>
          <w:p w14:paraId="5163DD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плану опытных работ 1940</w:t>
            </w:r>
          </w:p>
        </w:tc>
        <w:tc>
          <w:tcPr>
            <w:tcW w:w="1169" w:type="dxa"/>
          </w:tcPr>
          <w:p w14:paraId="7F2A88A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1DCA652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897A9B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6D579B5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F9ADD0C" w14:textId="77777777" w:rsidTr="00E543D0">
        <w:tc>
          <w:tcPr>
            <w:tcW w:w="1916" w:type="dxa"/>
          </w:tcPr>
          <w:p w14:paraId="528F39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И-185 М-90</w:t>
            </w:r>
          </w:p>
        </w:tc>
        <w:tc>
          <w:tcPr>
            <w:tcW w:w="1169" w:type="dxa"/>
          </w:tcPr>
          <w:p w14:paraId="5BABD1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51" w:type="dxa"/>
          </w:tcPr>
          <w:p w14:paraId="6989D7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992" w:type="dxa"/>
          </w:tcPr>
          <w:p w14:paraId="6829E4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01.09.40</w:t>
            </w:r>
          </w:p>
        </w:tc>
        <w:tc>
          <w:tcPr>
            <w:tcW w:w="5671" w:type="dxa"/>
          </w:tcPr>
          <w:p w14:paraId="2A23EF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Закончена общая сборка и монтаж без установки ВМГ</w:t>
            </w:r>
          </w:p>
        </w:tc>
      </w:tr>
      <w:tr w:rsidR="007D5DF8" w:rsidRPr="00DB5D0D" w14:paraId="0C439B02" w14:textId="77777777" w:rsidTr="00E543D0">
        <w:tc>
          <w:tcPr>
            <w:tcW w:w="1916" w:type="dxa"/>
          </w:tcPr>
          <w:p w14:paraId="331EF77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46077A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Н.Н.П.</w:t>
            </w:r>
          </w:p>
        </w:tc>
        <w:tc>
          <w:tcPr>
            <w:tcW w:w="851" w:type="dxa"/>
          </w:tcPr>
          <w:p w14:paraId="280582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67B35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5671" w:type="dxa"/>
          </w:tcPr>
          <w:p w14:paraId="6FCFA6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Задержка из-за подачи мотора М-90 29 заводом</w:t>
            </w:r>
          </w:p>
        </w:tc>
      </w:tr>
      <w:tr w:rsidR="007D5DF8" w:rsidRPr="00DB5D0D" w14:paraId="0DEC3280" w14:textId="77777777" w:rsidTr="00E543D0">
        <w:tc>
          <w:tcPr>
            <w:tcW w:w="1916" w:type="dxa"/>
          </w:tcPr>
          <w:p w14:paraId="189E45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0AD020E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6D8AB3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D0F6C7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53C028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01.10.40</w:t>
            </w:r>
          </w:p>
        </w:tc>
      </w:tr>
      <w:tr w:rsidR="007D5DF8" w:rsidRPr="00DB5D0D" w14:paraId="28ABEB5B" w14:textId="77777777" w:rsidTr="00E543D0">
        <w:tc>
          <w:tcPr>
            <w:tcW w:w="1916" w:type="dxa"/>
          </w:tcPr>
          <w:p w14:paraId="395A23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И-200 АМ-37</w:t>
            </w:r>
          </w:p>
        </w:tc>
        <w:tc>
          <w:tcPr>
            <w:tcW w:w="1169" w:type="dxa"/>
          </w:tcPr>
          <w:p w14:paraId="52083F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51" w:type="dxa"/>
          </w:tcPr>
          <w:p w14:paraId="21702A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92" w:type="dxa"/>
          </w:tcPr>
          <w:p w14:paraId="670E36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5671" w:type="dxa"/>
          </w:tcPr>
          <w:p w14:paraId="274F4F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1-му экз. 10 августа закончены заводские испытания</w:t>
            </w:r>
          </w:p>
        </w:tc>
      </w:tr>
      <w:tr w:rsidR="007D5DF8" w:rsidRPr="00DB5D0D" w14:paraId="18A21D29" w14:textId="77777777" w:rsidTr="00E543D0">
        <w:tc>
          <w:tcPr>
            <w:tcW w:w="1916" w:type="dxa"/>
          </w:tcPr>
          <w:p w14:paraId="6670C3B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0F1062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МиГ</w:t>
            </w:r>
          </w:p>
        </w:tc>
        <w:tc>
          <w:tcPr>
            <w:tcW w:w="851" w:type="dxa"/>
          </w:tcPr>
          <w:p w14:paraId="028C67C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5F7605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15.07.40</w:t>
            </w:r>
          </w:p>
        </w:tc>
        <w:tc>
          <w:tcPr>
            <w:tcW w:w="5671" w:type="dxa"/>
          </w:tcPr>
          <w:p w14:paraId="4DC1A3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и 3-й экз. готовятся к сдаче на гос. испытания</w:t>
            </w:r>
          </w:p>
        </w:tc>
      </w:tr>
      <w:tr w:rsidR="007D5DF8" w:rsidRPr="00DB5D0D" w14:paraId="189E639C" w14:textId="77777777" w:rsidTr="00E543D0">
        <w:tc>
          <w:tcPr>
            <w:tcW w:w="1916" w:type="dxa"/>
          </w:tcPr>
          <w:p w14:paraId="1E4568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7B7FF8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18D35DA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FBB8C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01.08.40</w:t>
            </w:r>
          </w:p>
        </w:tc>
        <w:tc>
          <w:tcPr>
            <w:tcW w:w="5671" w:type="dxa"/>
          </w:tcPr>
          <w:p w14:paraId="5911BD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Производится отстрел вооружения в воздухе</w:t>
            </w:r>
          </w:p>
        </w:tc>
      </w:tr>
      <w:tr w:rsidR="007D5DF8" w:rsidRPr="00DB5D0D" w14:paraId="3B3D8D71" w14:textId="77777777" w:rsidTr="00E543D0">
        <w:tc>
          <w:tcPr>
            <w:tcW w:w="1916" w:type="dxa"/>
          </w:tcPr>
          <w:p w14:paraId="0F6028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ББ-22 2М-105</w:t>
            </w:r>
          </w:p>
        </w:tc>
        <w:tc>
          <w:tcPr>
            <w:tcW w:w="1169" w:type="dxa"/>
          </w:tcPr>
          <w:p w14:paraId="76F6B0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851" w:type="dxa"/>
          </w:tcPr>
          <w:p w14:paraId="70D143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270B02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5671" w:type="dxa"/>
          </w:tcPr>
          <w:p w14:paraId="6C66B5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закончен постройкой 1 апреля 1940 и проходил заводские</w:t>
            </w:r>
          </w:p>
        </w:tc>
      </w:tr>
      <w:tr w:rsidR="007D5DF8" w:rsidRPr="00DB5D0D" w14:paraId="662DB097" w14:textId="77777777" w:rsidTr="00E543D0">
        <w:tc>
          <w:tcPr>
            <w:tcW w:w="1916" w:type="dxa"/>
          </w:tcPr>
          <w:p w14:paraId="4368057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08A753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Стронгин</w:t>
            </w:r>
          </w:p>
        </w:tc>
        <w:tc>
          <w:tcPr>
            <w:tcW w:w="851" w:type="dxa"/>
          </w:tcPr>
          <w:p w14:paraId="163337A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5EA6E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15.02.41</w:t>
            </w:r>
          </w:p>
        </w:tc>
        <w:tc>
          <w:tcPr>
            <w:tcW w:w="5671" w:type="dxa"/>
          </w:tcPr>
          <w:p w14:paraId="4DA8F7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а в конце потерпел аварию. Сняли основные ЛТД</w:t>
            </w:r>
          </w:p>
        </w:tc>
      </w:tr>
      <w:tr w:rsidR="007D5DF8" w:rsidRPr="00DB5D0D" w14:paraId="3F28105F" w14:textId="77777777" w:rsidTr="00E543D0">
        <w:tc>
          <w:tcPr>
            <w:tcW w:w="1916" w:type="dxa"/>
          </w:tcPr>
          <w:p w14:paraId="01DC7EE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02FE1D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69BB6B1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56090ED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48A77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Закончена общая сборка серийного самолета с М-105, выделенного</w:t>
            </w:r>
          </w:p>
        </w:tc>
      </w:tr>
      <w:tr w:rsidR="007D5DF8" w:rsidRPr="00DB5D0D" w14:paraId="1A24BE2B" w14:textId="77777777" w:rsidTr="00E543D0">
        <w:tc>
          <w:tcPr>
            <w:tcW w:w="1916" w:type="dxa"/>
          </w:tcPr>
          <w:p w14:paraId="7F08F2B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554270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586A1B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9B09CA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0777CD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взамен утраченного и подготовлен к испытаниям</w:t>
            </w:r>
          </w:p>
        </w:tc>
      </w:tr>
      <w:tr w:rsidR="007D5DF8" w:rsidRPr="00DB5D0D" w14:paraId="76CA7956" w14:textId="77777777" w:rsidTr="00E543D0">
        <w:tc>
          <w:tcPr>
            <w:tcW w:w="1916" w:type="dxa"/>
          </w:tcPr>
          <w:p w14:paraId="0EA037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387F9E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028AC00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FF58D5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2A3CBA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передачи серии 81 заводу постройка 2-го экз. буден на 81</w:t>
            </w:r>
          </w:p>
        </w:tc>
      </w:tr>
      <w:tr w:rsidR="007D5DF8" w:rsidRPr="00DB5D0D" w14:paraId="594C8E5E" w14:textId="77777777" w:rsidTr="00E543D0">
        <w:tc>
          <w:tcPr>
            <w:tcW w:w="1916" w:type="dxa"/>
          </w:tcPr>
          <w:p w14:paraId="509DE0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53AA91F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51AEB91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36FFE46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11EA01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варианте ПБ 2М-105</w:t>
            </w:r>
          </w:p>
        </w:tc>
      </w:tr>
      <w:tr w:rsidR="007D5DF8" w:rsidRPr="00DB5D0D" w14:paraId="1293B133" w14:textId="77777777" w:rsidTr="00E543D0">
        <w:tc>
          <w:tcPr>
            <w:tcW w:w="1916" w:type="dxa"/>
          </w:tcPr>
          <w:p w14:paraId="68FE9E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ОКО-8 М-36</w:t>
            </w:r>
          </w:p>
        </w:tc>
        <w:tc>
          <w:tcPr>
            <w:tcW w:w="1169" w:type="dxa"/>
          </w:tcPr>
          <w:p w14:paraId="0B01C3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851" w:type="dxa"/>
          </w:tcPr>
          <w:p w14:paraId="5DA550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2A0B12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01.07.41</w:t>
            </w:r>
          </w:p>
        </w:tc>
        <w:tc>
          <w:tcPr>
            <w:tcW w:w="5671" w:type="dxa"/>
          </w:tcPr>
          <w:p w14:paraId="05D68A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Производится эскизное проектирование</w:t>
            </w:r>
          </w:p>
        </w:tc>
      </w:tr>
      <w:tr w:rsidR="007D5DF8" w:rsidRPr="00DB5D0D" w14:paraId="11963EA2" w14:textId="77777777" w:rsidTr="00E543D0">
        <w:tc>
          <w:tcPr>
            <w:tcW w:w="1916" w:type="dxa"/>
          </w:tcPr>
          <w:p w14:paraId="47019F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45212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Таиров</w:t>
            </w:r>
          </w:p>
        </w:tc>
        <w:tc>
          <w:tcPr>
            <w:tcW w:w="851" w:type="dxa"/>
          </w:tcPr>
          <w:p w14:paraId="7B9BA5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D2E5D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01.08.41</w:t>
            </w:r>
          </w:p>
        </w:tc>
        <w:tc>
          <w:tcPr>
            <w:tcW w:w="5671" w:type="dxa"/>
          </w:tcPr>
          <w:p w14:paraId="16D201A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680564D" w14:textId="77777777" w:rsidTr="00E543D0">
        <w:tc>
          <w:tcPr>
            <w:tcW w:w="1916" w:type="dxa"/>
          </w:tcPr>
          <w:p w14:paraId="4BED93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ЭОИ М-105ТК-2</w:t>
            </w:r>
          </w:p>
        </w:tc>
        <w:tc>
          <w:tcPr>
            <w:tcW w:w="1169" w:type="dxa"/>
          </w:tcPr>
          <w:p w14:paraId="745206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851" w:type="dxa"/>
          </w:tcPr>
          <w:p w14:paraId="09C8B2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736872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15.10.40</w:t>
            </w:r>
          </w:p>
        </w:tc>
        <w:tc>
          <w:tcPr>
            <w:tcW w:w="5671" w:type="dxa"/>
          </w:tcPr>
          <w:p w14:paraId="08FB29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июня сданы чертежи в производство. Изготовлены шаблоны и</w:t>
            </w:r>
          </w:p>
        </w:tc>
      </w:tr>
      <w:tr w:rsidR="007D5DF8" w:rsidRPr="00DB5D0D" w14:paraId="0D007AE0" w14:textId="77777777" w:rsidTr="00E543D0">
        <w:tc>
          <w:tcPr>
            <w:tcW w:w="1916" w:type="dxa"/>
          </w:tcPr>
          <w:p w14:paraId="247B88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23E45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Беляев</w:t>
            </w:r>
          </w:p>
        </w:tc>
        <w:tc>
          <w:tcPr>
            <w:tcW w:w="851" w:type="dxa"/>
          </w:tcPr>
          <w:p w14:paraId="19F56B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72D91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01.12.40</w:t>
            </w:r>
          </w:p>
        </w:tc>
        <w:tc>
          <w:tcPr>
            <w:tcW w:w="5671" w:type="dxa"/>
          </w:tcPr>
          <w:p w14:paraId="2A25F3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плазы. На 90% закончены мех. детали. Общая готовность - 40%,</w:t>
            </w:r>
          </w:p>
        </w:tc>
      </w:tr>
      <w:tr w:rsidR="007D5DF8" w:rsidRPr="00DB5D0D" w14:paraId="44D50004" w14:textId="77777777" w:rsidTr="00E543D0">
        <w:tc>
          <w:tcPr>
            <w:tcW w:w="1916" w:type="dxa"/>
          </w:tcPr>
          <w:p w14:paraId="6676A1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702C87D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764BDF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6ED88BA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0472D7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т.ч. готовы лонжероны и подмоторные рамы</w:t>
            </w:r>
          </w:p>
        </w:tc>
      </w:tr>
      <w:tr w:rsidR="007D5DF8" w:rsidRPr="00DB5D0D" w14:paraId="0B560D94" w14:textId="77777777" w:rsidTr="00E543D0">
        <w:tc>
          <w:tcPr>
            <w:tcW w:w="1916" w:type="dxa"/>
          </w:tcPr>
          <w:p w14:paraId="3A6E84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И-21 М-105</w:t>
            </w:r>
          </w:p>
        </w:tc>
        <w:tc>
          <w:tcPr>
            <w:tcW w:w="1169" w:type="dxa"/>
          </w:tcPr>
          <w:p w14:paraId="3CCAD9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851" w:type="dxa"/>
          </w:tcPr>
          <w:p w14:paraId="4CF6AF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2EB2F1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5671" w:type="dxa"/>
          </w:tcPr>
          <w:p w14:paraId="21DF37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в июне закончен производством и находится на</w:t>
            </w:r>
          </w:p>
        </w:tc>
      </w:tr>
      <w:tr w:rsidR="007D5DF8" w:rsidRPr="00DB5D0D" w14:paraId="313F4425" w14:textId="77777777" w:rsidTr="00E543D0">
        <w:tc>
          <w:tcPr>
            <w:tcW w:w="1916" w:type="dxa"/>
          </w:tcPr>
          <w:p w14:paraId="7F539D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45BB69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Пашинин</w:t>
            </w:r>
          </w:p>
        </w:tc>
        <w:tc>
          <w:tcPr>
            <w:tcW w:w="851" w:type="dxa"/>
          </w:tcPr>
          <w:p w14:paraId="41C7BB9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267426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01.11.40</w:t>
            </w:r>
          </w:p>
        </w:tc>
        <w:tc>
          <w:tcPr>
            <w:tcW w:w="5671" w:type="dxa"/>
          </w:tcPr>
          <w:p w14:paraId="50E9B7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заводских испытаниях. Сняты основные ЛТХ</w:t>
            </w:r>
          </w:p>
        </w:tc>
      </w:tr>
      <w:tr w:rsidR="007D5DF8" w:rsidRPr="00DB5D0D" w14:paraId="645CA586" w14:textId="77777777" w:rsidTr="00E543D0">
        <w:tc>
          <w:tcPr>
            <w:tcW w:w="1916" w:type="dxa"/>
          </w:tcPr>
          <w:p w14:paraId="6326156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470F37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2DD30C1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483AF7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1AEF2B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2-м заканчивается монтаж ВМГ и машина поступает на</w:t>
            </w:r>
          </w:p>
        </w:tc>
      </w:tr>
      <w:tr w:rsidR="007D5DF8" w:rsidRPr="00DB5D0D" w14:paraId="2D5C8E01" w14:textId="77777777" w:rsidTr="00E543D0">
        <w:tc>
          <w:tcPr>
            <w:tcW w:w="1916" w:type="dxa"/>
          </w:tcPr>
          <w:p w14:paraId="5146F83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AAE585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D7EBD3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22DE4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594ED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25 августа 1940</w:t>
            </w:r>
          </w:p>
        </w:tc>
      </w:tr>
      <w:tr w:rsidR="007D5DF8" w:rsidRPr="00DB5D0D" w14:paraId="1A309966" w14:textId="77777777" w:rsidTr="00E543D0">
        <w:tc>
          <w:tcPr>
            <w:tcW w:w="1916" w:type="dxa"/>
          </w:tcPr>
          <w:p w14:paraId="52C089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ОБШ М-71</w:t>
            </w:r>
          </w:p>
        </w:tc>
        <w:tc>
          <w:tcPr>
            <w:tcW w:w="1169" w:type="dxa"/>
          </w:tcPr>
          <w:p w14:paraId="3F7A8F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289</w:t>
            </w:r>
          </w:p>
        </w:tc>
        <w:tc>
          <w:tcPr>
            <w:tcW w:w="851" w:type="dxa"/>
          </w:tcPr>
          <w:p w14:paraId="5BE573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0C8DB9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15.11.40</w:t>
            </w:r>
          </w:p>
        </w:tc>
        <w:tc>
          <w:tcPr>
            <w:tcW w:w="5671" w:type="dxa"/>
          </w:tcPr>
          <w:p w14:paraId="3414BA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закончена сдача чертежей в производство. Изготовлены</w:t>
            </w:r>
          </w:p>
        </w:tc>
      </w:tr>
      <w:tr w:rsidR="007D5DF8" w:rsidRPr="00DB5D0D" w14:paraId="3E2A7E06" w14:textId="77777777" w:rsidTr="00E543D0">
        <w:tc>
          <w:tcPr>
            <w:tcW w:w="1916" w:type="dxa"/>
          </w:tcPr>
          <w:p w14:paraId="55799A2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51B71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w:t>
            </w:r>
          </w:p>
        </w:tc>
        <w:tc>
          <w:tcPr>
            <w:tcW w:w="851" w:type="dxa"/>
          </w:tcPr>
          <w:p w14:paraId="78D2CA1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99F5A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15.15.40</w:t>
            </w:r>
          </w:p>
        </w:tc>
        <w:tc>
          <w:tcPr>
            <w:tcW w:w="5671" w:type="dxa"/>
          </w:tcPr>
          <w:p w14:paraId="016296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плазы, шаблоны, болванки для выклейки, часть стапелей.</w:t>
            </w:r>
          </w:p>
        </w:tc>
      </w:tr>
      <w:tr w:rsidR="007D5DF8" w:rsidRPr="00DB5D0D" w14:paraId="23567014" w14:textId="77777777" w:rsidTr="00E543D0">
        <w:tc>
          <w:tcPr>
            <w:tcW w:w="1916" w:type="dxa"/>
          </w:tcPr>
          <w:p w14:paraId="7F317A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8291F6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4CA5E95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3F66A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6F6C28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Заготавливаются узлы и детали</w:t>
            </w:r>
          </w:p>
        </w:tc>
      </w:tr>
      <w:tr w:rsidR="007D5DF8" w:rsidRPr="00DB5D0D" w14:paraId="7548152C" w14:textId="77777777" w:rsidTr="00E543D0">
        <w:tc>
          <w:tcPr>
            <w:tcW w:w="1916" w:type="dxa"/>
          </w:tcPr>
          <w:p w14:paraId="46166A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СБ Б 2М105ТК2</w:t>
            </w:r>
          </w:p>
        </w:tc>
        <w:tc>
          <w:tcPr>
            <w:tcW w:w="1169" w:type="dxa"/>
          </w:tcPr>
          <w:p w14:paraId="6501D7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851" w:type="dxa"/>
          </w:tcPr>
          <w:p w14:paraId="12AB5E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535C2E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15.11.40</w:t>
            </w:r>
          </w:p>
        </w:tc>
        <w:tc>
          <w:tcPr>
            <w:tcW w:w="5671" w:type="dxa"/>
          </w:tcPr>
          <w:p w14:paraId="126CDC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в производстве, заканчивается агрегатная сборка</w:t>
            </w:r>
          </w:p>
        </w:tc>
      </w:tr>
      <w:tr w:rsidR="007D5DF8" w:rsidRPr="00DB5D0D" w14:paraId="009F332E" w14:textId="77777777" w:rsidTr="00E543D0">
        <w:tc>
          <w:tcPr>
            <w:tcW w:w="1916" w:type="dxa"/>
          </w:tcPr>
          <w:p w14:paraId="69611C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4D9D29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А.А.А.</w:t>
            </w:r>
          </w:p>
        </w:tc>
        <w:tc>
          <w:tcPr>
            <w:tcW w:w="851" w:type="dxa"/>
          </w:tcPr>
          <w:p w14:paraId="213D68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BE8D6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01.01.40</w:t>
            </w:r>
          </w:p>
        </w:tc>
        <w:tc>
          <w:tcPr>
            <w:tcW w:w="5671" w:type="dxa"/>
          </w:tcPr>
          <w:p w14:paraId="3E849D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готовность - 60%</w:t>
            </w:r>
          </w:p>
        </w:tc>
      </w:tr>
      <w:tr w:rsidR="007D5DF8" w:rsidRPr="00DB5D0D" w14:paraId="371967B0" w14:textId="77777777" w:rsidTr="00E543D0">
        <w:tc>
          <w:tcPr>
            <w:tcW w:w="1916" w:type="dxa"/>
          </w:tcPr>
          <w:p w14:paraId="767B267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D7F199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4004A4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D2A473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29FBAC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2-го не начато</w:t>
            </w:r>
          </w:p>
        </w:tc>
      </w:tr>
      <w:tr w:rsidR="007D5DF8" w:rsidRPr="00DB5D0D" w14:paraId="5E69A88C" w14:textId="77777777" w:rsidTr="00E543D0">
        <w:tc>
          <w:tcPr>
            <w:tcW w:w="1916" w:type="dxa"/>
          </w:tcPr>
          <w:p w14:paraId="64AB99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СБ 2М-120</w:t>
            </w:r>
          </w:p>
        </w:tc>
        <w:tc>
          <w:tcPr>
            <w:tcW w:w="1169" w:type="dxa"/>
          </w:tcPr>
          <w:p w14:paraId="26256B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851" w:type="dxa"/>
          </w:tcPr>
          <w:p w14:paraId="04A38E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11ABFC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01.05.41</w:t>
            </w:r>
          </w:p>
        </w:tc>
        <w:tc>
          <w:tcPr>
            <w:tcW w:w="5671" w:type="dxa"/>
          </w:tcPr>
          <w:p w14:paraId="0E012E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Производится проектирование, изготовление чертежей и макета</w:t>
            </w:r>
          </w:p>
        </w:tc>
      </w:tr>
      <w:tr w:rsidR="007D5DF8" w:rsidRPr="00DB5D0D" w14:paraId="47B6F35A" w14:textId="77777777" w:rsidTr="00E543D0">
        <w:tc>
          <w:tcPr>
            <w:tcW w:w="1916" w:type="dxa"/>
          </w:tcPr>
          <w:p w14:paraId="1673F80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79FFC17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63AEF6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Голубков</w:t>
            </w:r>
          </w:p>
        </w:tc>
        <w:tc>
          <w:tcPr>
            <w:tcW w:w="992" w:type="dxa"/>
          </w:tcPr>
          <w:p w14:paraId="4A33BD4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DF053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01.06.41</w:t>
            </w:r>
          </w:p>
        </w:tc>
      </w:tr>
      <w:tr w:rsidR="007D5DF8" w:rsidRPr="00DB5D0D" w14:paraId="78E7CE9E" w14:textId="77777777" w:rsidTr="00E543D0">
        <w:tc>
          <w:tcPr>
            <w:tcW w:w="1916" w:type="dxa"/>
          </w:tcPr>
          <w:p w14:paraId="50A29E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ПБ 2М-120</w:t>
            </w:r>
          </w:p>
        </w:tc>
        <w:tc>
          <w:tcPr>
            <w:tcW w:w="1169" w:type="dxa"/>
          </w:tcPr>
          <w:p w14:paraId="09A7C0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w:t>
            </w:r>
          </w:p>
        </w:tc>
        <w:tc>
          <w:tcPr>
            <w:tcW w:w="851" w:type="dxa"/>
          </w:tcPr>
          <w:p w14:paraId="039AC3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633869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15.03.41</w:t>
            </w:r>
          </w:p>
        </w:tc>
        <w:tc>
          <w:tcPr>
            <w:tcW w:w="5671" w:type="dxa"/>
          </w:tcPr>
          <w:p w14:paraId="0643FA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Проектировали, хотели сдать проект 1 октября, но КО снял задание</w:t>
            </w:r>
          </w:p>
        </w:tc>
      </w:tr>
      <w:tr w:rsidR="007D5DF8" w:rsidRPr="00DB5D0D" w14:paraId="75EA52F5" w14:textId="77777777" w:rsidTr="00E543D0">
        <w:tc>
          <w:tcPr>
            <w:tcW w:w="1916" w:type="dxa"/>
          </w:tcPr>
          <w:p w14:paraId="6FEE7CA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B3028C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199DA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Незваль</w:t>
            </w:r>
          </w:p>
        </w:tc>
        <w:tc>
          <w:tcPr>
            <w:tcW w:w="992" w:type="dxa"/>
          </w:tcPr>
          <w:p w14:paraId="366AAE6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35B182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01.04.41</w:t>
            </w:r>
          </w:p>
        </w:tc>
      </w:tr>
      <w:tr w:rsidR="007D5DF8" w:rsidRPr="00DB5D0D" w14:paraId="28178BCF" w14:textId="77777777" w:rsidTr="00E543D0">
        <w:tc>
          <w:tcPr>
            <w:tcW w:w="1916" w:type="dxa"/>
          </w:tcPr>
          <w:p w14:paraId="397D64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И-26 М-107</w:t>
            </w:r>
          </w:p>
        </w:tc>
        <w:tc>
          <w:tcPr>
            <w:tcW w:w="1169" w:type="dxa"/>
          </w:tcPr>
          <w:p w14:paraId="1A9410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851" w:type="dxa"/>
          </w:tcPr>
          <w:p w14:paraId="3D58A5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0CD926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c>
          <w:tcPr>
            <w:tcW w:w="5671" w:type="dxa"/>
          </w:tcPr>
          <w:p w14:paraId="01B56C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Заканчивается проектирование и сдача чертежей в производство</w:t>
            </w:r>
          </w:p>
        </w:tc>
      </w:tr>
      <w:tr w:rsidR="007D5DF8" w:rsidRPr="00DB5D0D" w14:paraId="36E92C72" w14:textId="77777777" w:rsidTr="00E543D0">
        <w:tc>
          <w:tcPr>
            <w:tcW w:w="1916" w:type="dxa"/>
          </w:tcPr>
          <w:p w14:paraId="2A5B3EF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098AA3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w:t>
            </w:r>
          </w:p>
        </w:tc>
        <w:tc>
          <w:tcPr>
            <w:tcW w:w="851" w:type="dxa"/>
          </w:tcPr>
          <w:p w14:paraId="26C1946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6B66DA1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63C926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Проектируется под М-105П с нагнетателем Доллежаля. В производстве</w:t>
            </w:r>
          </w:p>
        </w:tc>
      </w:tr>
      <w:tr w:rsidR="007D5DF8" w:rsidRPr="00DB5D0D" w14:paraId="0237732C" w14:textId="77777777" w:rsidTr="00E543D0">
        <w:tc>
          <w:tcPr>
            <w:tcW w:w="1916" w:type="dxa"/>
          </w:tcPr>
          <w:p w14:paraId="2A5AF34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7E33807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18D3823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53721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2F0F8A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шасси, оперение, моторама</w:t>
            </w:r>
          </w:p>
        </w:tc>
      </w:tr>
      <w:tr w:rsidR="007D5DF8" w:rsidRPr="00DB5D0D" w14:paraId="6DB281F1" w14:textId="77777777" w:rsidTr="00E543D0">
        <w:tc>
          <w:tcPr>
            <w:tcW w:w="1916" w:type="dxa"/>
          </w:tcPr>
          <w:p w14:paraId="244A22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УТИ-26 М-105П</w:t>
            </w:r>
          </w:p>
        </w:tc>
        <w:tc>
          <w:tcPr>
            <w:tcW w:w="1169" w:type="dxa"/>
          </w:tcPr>
          <w:p w14:paraId="4B0BCF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851" w:type="dxa"/>
          </w:tcPr>
          <w:p w14:paraId="1F24B3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5E0DBA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01.08.40</w:t>
            </w:r>
          </w:p>
        </w:tc>
        <w:tc>
          <w:tcPr>
            <w:tcW w:w="5671" w:type="dxa"/>
          </w:tcPr>
          <w:p w14:paraId="4FBBAB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1-му экз. летные испытания окончены. Испытывается спец. обор.</w:t>
            </w:r>
          </w:p>
        </w:tc>
      </w:tr>
      <w:tr w:rsidR="007D5DF8" w:rsidRPr="00DB5D0D" w14:paraId="40232B00" w14:textId="77777777" w:rsidTr="00E543D0">
        <w:tc>
          <w:tcPr>
            <w:tcW w:w="1916" w:type="dxa"/>
          </w:tcPr>
          <w:p w14:paraId="742FDC5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B2484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w:t>
            </w:r>
          </w:p>
        </w:tc>
        <w:tc>
          <w:tcPr>
            <w:tcW w:w="851" w:type="dxa"/>
          </w:tcPr>
          <w:p w14:paraId="72F6DBB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35900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5671" w:type="dxa"/>
          </w:tcPr>
          <w:p w14:paraId="0883B7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2-му заканчивается монтаж и машина будет сдана на исп. 1 сент.</w:t>
            </w:r>
          </w:p>
        </w:tc>
      </w:tr>
      <w:tr w:rsidR="007D5DF8" w:rsidRPr="00DB5D0D" w14:paraId="01A395B7" w14:textId="77777777" w:rsidTr="00E543D0">
        <w:tc>
          <w:tcPr>
            <w:tcW w:w="1916" w:type="dxa"/>
          </w:tcPr>
          <w:p w14:paraId="20356A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И-282 М-90</w:t>
            </w:r>
          </w:p>
        </w:tc>
        <w:tc>
          <w:tcPr>
            <w:tcW w:w="1169" w:type="dxa"/>
          </w:tcPr>
          <w:p w14:paraId="3C4D3A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851" w:type="dxa"/>
          </w:tcPr>
          <w:p w14:paraId="79BA653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ECAA9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01.12.40</w:t>
            </w:r>
          </w:p>
        </w:tc>
        <w:tc>
          <w:tcPr>
            <w:tcW w:w="5671" w:type="dxa"/>
          </w:tcPr>
          <w:p w14:paraId="3FDC4D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представлен эскизный проект. Снят КО. По распоряжению</w:t>
            </w:r>
          </w:p>
        </w:tc>
      </w:tr>
      <w:tr w:rsidR="007D5DF8" w:rsidRPr="00DB5D0D" w14:paraId="3EB6271A" w14:textId="77777777" w:rsidTr="00E543D0">
        <w:tc>
          <w:tcPr>
            <w:tcW w:w="1916" w:type="dxa"/>
          </w:tcPr>
          <w:p w14:paraId="7BB348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w:t>
            </w:r>
          </w:p>
        </w:tc>
        <w:tc>
          <w:tcPr>
            <w:tcW w:w="1169" w:type="dxa"/>
          </w:tcPr>
          <w:p w14:paraId="27E0DC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Яценеко</w:t>
            </w:r>
          </w:p>
        </w:tc>
        <w:tc>
          <w:tcPr>
            <w:tcW w:w="851" w:type="dxa"/>
          </w:tcPr>
          <w:p w14:paraId="7873C5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C6B37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15.12.40</w:t>
            </w:r>
          </w:p>
        </w:tc>
        <w:tc>
          <w:tcPr>
            <w:tcW w:w="5671" w:type="dxa"/>
          </w:tcPr>
          <w:p w14:paraId="0840F2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 проектируется новый под тот же мотор</w:t>
            </w:r>
          </w:p>
        </w:tc>
      </w:tr>
      <w:tr w:rsidR="007D5DF8" w:rsidRPr="00DB5D0D" w14:paraId="04ED2A71" w14:textId="77777777" w:rsidTr="00E543D0">
        <w:tc>
          <w:tcPr>
            <w:tcW w:w="1916" w:type="dxa"/>
          </w:tcPr>
          <w:p w14:paraId="6D06F8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И-207 М-65Р</w:t>
            </w:r>
          </w:p>
        </w:tc>
        <w:tc>
          <w:tcPr>
            <w:tcW w:w="1169" w:type="dxa"/>
          </w:tcPr>
          <w:p w14:paraId="3F846B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207</w:t>
            </w:r>
          </w:p>
        </w:tc>
        <w:tc>
          <w:tcPr>
            <w:tcW w:w="851" w:type="dxa"/>
          </w:tcPr>
          <w:p w14:paraId="560DA3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64589E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5671" w:type="dxa"/>
          </w:tcPr>
          <w:p w14:paraId="36C028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Изготовлены все агрегаты, производится сборка. Задержка из-за</w:t>
            </w:r>
          </w:p>
        </w:tc>
      </w:tr>
      <w:tr w:rsidR="007D5DF8" w:rsidRPr="00DB5D0D" w14:paraId="32E3AA74" w14:textId="77777777" w:rsidTr="00E543D0">
        <w:tc>
          <w:tcPr>
            <w:tcW w:w="1916" w:type="dxa"/>
          </w:tcPr>
          <w:p w14:paraId="1981D7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w:t>
            </w:r>
          </w:p>
        </w:tc>
        <w:tc>
          <w:tcPr>
            <w:tcW w:w="1169" w:type="dxa"/>
          </w:tcPr>
          <w:p w14:paraId="252EF7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Бор./Флор.</w:t>
            </w:r>
          </w:p>
        </w:tc>
        <w:tc>
          <w:tcPr>
            <w:tcW w:w="851" w:type="dxa"/>
          </w:tcPr>
          <w:p w14:paraId="15D8D9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3B0E06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неподачи мотора М-</w:t>
            </w:r>
            <w:r w:rsidRPr="00DB5D0D">
              <w:rPr>
                <w:rFonts w:ascii="Times New Roman" w:hAnsi="Times New Roman"/>
                <w:color w:val="000000" w:themeColor="text1"/>
                <w:sz w:val="16"/>
                <w:szCs w:val="16"/>
              </w:rPr>
              <w:lastRenderedPageBreak/>
              <w:t>65Р заводом 19</w:t>
            </w:r>
          </w:p>
        </w:tc>
        <w:tc>
          <w:tcPr>
            <w:tcW w:w="5671" w:type="dxa"/>
          </w:tcPr>
          <w:p w14:paraId="241E20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C788807" w14:textId="77777777" w:rsidTr="00E543D0">
        <w:tc>
          <w:tcPr>
            <w:tcW w:w="1916" w:type="dxa"/>
          </w:tcPr>
          <w:p w14:paraId="630EEE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ББ-3 М-90</w:t>
            </w:r>
          </w:p>
        </w:tc>
        <w:tc>
          <w:tcPr>
            <w:tcW w:w="1169" w:type="dxa"/>
          </w:tcPr>
          <w:p w14:paraId="4ED6B3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851" w:type="dxa"/>
          </w:tcPr>
          <w:p w14:paraId="1D9E68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612B7E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01.09.40</w:t>
            </w:r>
          </w:p>
        </w:tc>
        <w:tc>
          <w:tcPr>
            <w:tcW w:w="5671" w:type="dxa"/>
          </w:tcPr>
          <w:p w14:paraId="5CB0FA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Закончено проектирование и изготовление чертежей. Из-за непод.</w:t>
            </w:r>
          </w:p>
        </w:tc>
      </w:tr>
      <w:tr w:rsidR="007D5DF8" w:rsidRPr="00DB5D0D" w14:paraId="6A644500" w14:textId="77777777" w:rsidTr="00E543D0">
        <w:tc>
          <w:tcPr>
            <w:tcW w:w="1916" w:type="dxa"/>
          </w:tcPr>
          <w:p w14:paraId="0707255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82F9E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w:t>
            </w:r>
          </w:p>
        </w:tc>
        <w:tc>
          <w:tcPr>
            <w:tcW w:w="851" w:type="dxa"/>
          </w:tcPr>
          <w:p w14:paraId="15D2C5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51F8A4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5671" w:type="dxa"/>
          </w:tcPr>
          <w:p w14:paraId="4AC7B4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мотора начато проектирование и изг. чертежей под М-81</w:t>
            </w:r>
          </w:p>
        </w:tc>
      </w:tr>
      <w:tr w:rsidR="007D5DF8" w:rsidRPr="00DB5D0D" w14:paraId="5B52FB64" w14:textId="77777777" w:rsidTr="00E543D0">
        <w:tc>
          <w:tcPr>
            <w:tcW w:w="1916" w:type="dxa"/>
          </w:tcPr>
          <w:p w14:paraId="23B7FB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42BAF9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AFBD6D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2A6E160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5C4EEF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производстве изготовлены детали, начата сборка капота, коллект.</w:t>
            </w:r>
          </w:p>
        </w:tc>
      </w:tr>
      <w:tr w:rsidR="007D5DF8" w:rsidRPr="00DB5D0D" w14:paraId="6F1B626F" w14:textId="77777777" w:rsidTr="00E543D0">
        <w:tc>
          <w:tcPr>
            <w:tcW w:w="1916" w:type="dxa"/>
          </w:tcPr>
          <w:p w14:paraId="19831CB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55F0ABA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0CF73C4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3D14D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0F87FD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Сборка крыльев и фюзеляжа - в серийных цехах</w:t>
            </w:r>
          </w:p>
        </w:tc>
      </w:tr>
      <w:tr w:rsidR="007D5DF8" w:rsidRPr="00DB5D0D" w14:paraId="60C5288E" w14:textId="77777777" w:rsidTr="00E543D0">
        <w:tc>
          <w:tcPr>
            <w:tcW w:w="1916" w:type="dxa"/>
          </w:tcPr>
          <w:p w14:paraId="089C29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CC МВ-6</w:t>
            </w:r>
          </w:p>
        </w:tc>
        <w:tc>
          <w:tcPr>
            <w:tcW w:w="1169" w:type="dxa"/>
          </w:tcPr>
          <w:p w14:paraId="6A01F8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851" w:type="dxa"/>
          </w:tcPr>
          <w:p w14:paraId="68B508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042199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15.11.40</w:t>
            </w:r>
          </w:p>
        </w:tc>
        <w:tc>
          <w:tcPr>
            <w:tcW w:w="5671" w:type="dxa"/>
          </w:tcPr>
          <w:p w14:paraId="1817B6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сданы в производство. Самолет в общей сборке. Монтаж ВМГ</w:t>
            </w:r>
          </w:p>
        </w:tc>
      </w:tr>
      <w:tr w:rsidR="007D5DF8" w:rsidRPr="00DB5D0D" w14:paraId="2331BA30" w14:textId="77777777" w:rsidTr="00E543D0">
        <w:tc>
          <w:tcPr>
            <w:tcW w:w="1916" w:type="dxa"/>
          </w:tcPr>
          <w:p w14:paraId="06B1BE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BD408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О.К.А.</w:t>
            </w:r>
          </w:p>
        </w:tc>
        <w:tc>
          <w:tcPr>
            <w:tcW w:w="851" w:type="dxa"/>
          </w:tcPr>
          <w:p w14:paraId="405ECC6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FD3DA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c>
          <w:tcPr>
            <w:tcW w:w="5671" w:type="dxa"/>
          </w:tcPr>
          <w:p w14:paraId="4D71D6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сдерживается отсутствием мотора</w:t>
            </w:r>
          </w:p>
        </w:tc>
      </w:tr>
      <w:tr w:rsidR="007D5DF8" w:rsidRPr="00DB5D0D" w14:paraId="09F1B15B" w14:textId="77777777" w:rsidTr="00E543D0">
        <w:tc>
          <w:tcPr>
            <w:tcW w:w="1916" w:type="dxa"/>
          </w:tcPr>
          <w:p w14:paraId="45C08E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072278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506A24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13026D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5F34DC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спроектирован в санитарном варианте, черт. сданы в пр-во</w:t>
            </w:r>
          </w:p>
        </w:tc>
      </w:tr>
      <w:tr w:rsidR="007D5DF8" w:rsidRPr="00DB5D0D" w14:paraId="4B4B6D7A" w14:textId="77777777" w:rsidTr="00E543D0">
        <w:tc>
          <w:tcPr>
            <w:tcW w:w="1916" w:type="dxa"/>
          </w:tcPr>
          <w:p w14:paraId="182DB57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C9691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2759F45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0FE55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782C01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с.г. Приступили к изготовлению деталей</w:t>
            </w:r>
          </w:p>
        </w:tc>
      </w:tr>
      <w:tr w:rsidR="007D5DF8" w:rsidRPr="00DB5D0D" w14:paraId="4D80FEE2" w14:textId="77777777" w:rsidTr="00E543D0">
        <w:tc>
          <w:tcPr>
            <w:tcW w:w="1916" w:type="dxa"/>
          </w:tcPr>
          <w:p w14:paraId="27B3B5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УТ-1 трен.</w:t>
            </w:r>
          </w:p>
        </w:tc>
        <w:tc>
          <w:tcPr>
            <w:tcW w:w="1169" w:type="dxa"/>
          </w:tcPr>
          <w:p w14:paraId="344B2F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c>
          <w:tcPr>
            <w:tcW w:w="851" w:type="dxa"/>
          </w:tcPr>
          <w:p w14:paraId="435C29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41A3BC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5671" w:type="dxa"/>
          </w:tcPr>
          <w:p w14:paraId="417F58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закончен в производстве и сдан на заводские испытания в</w:t>
            </w:r>
          </w:p>
        </w:tc>
      </w:tr>
      <w:tr w:rsidR="007D5DF8" w:rsidRPr="00DB5D0D" w14:paraId="781C59DF" w14:textId="77777777" w:rsidTr="00E543D0">
        <w:tc>
          <w:tcPr>
            <w:tcW w:w="1916" w:type="dxa"/>
          </w:tcPr>
          <w:p w14:paraId="68BF13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 Модиф.</w:t>
            </w:r>
          </w:p>
        </w:tc>
        <w:tc>
          <w:tcPr>
            <w:tcW w:w="1169" w:type="dxa"/>
          </w:tcPr>
          <w:p w14:paraId="056832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Адлер</w:t>
            </w:r>
          </w:p>
        </w:tc>
        <w:tc>
          <w:tcPr>
            <w:tcW w:w="851" w:type="dxa"/>
          </w:tcPr>
          <w:p w14:paraId="0964A42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4FAF4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15.07.40</w:t>
            </w:r>
          </w:p>
        </w:tc>
        <w:tc>
          <w:tcPr>
            <w:tcW w:w="5671" w:type="dxa"/>
          </w:tcPr>
          <w:p w14:paraId="5A833F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июне с.г. Произведены полеты для подбора винта. Винты не годятся.</w:t>
            </w:r>
          </w:p>
        </w:tc>
      </w:tr>
      <w:tr w:rsidR="007D5DF8" w:rsidRPr="00DB5D0D" w14:paraId="5E4443CF" w14:textId="77777777" w:rsidTr="00E543D0">
        <w:tc>
          <w:tcPr>
            <w:tcW w:w="1916" w:type="dxa"/>
          </w:tcPr>
          <w:p w14:paraId="72B0B1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7FA008C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397CFD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0B28314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1FF6E8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Новые винты заказаны 167 заводу со сроком 1 сентября.</w:t>
            </w:r>
          </w:p>
        </w:tc>
      </w:tr>
      <w:tr w:rsidR="007D5DF8" w:rsidRPr="00DB5D0D" w14:paraId="4066668E" w14:textId="77777777" w:rsidTr="00E543D0">
        <w:tc>
          <w:tcPr>
            <w:tcW w:w="1916" w:type="dxa"/>
          </w:tcPr>
          <w:p w14:paraId="7BEA4D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6A0275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29122D0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3955C85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2AF2D1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закончен производством, но стоит из-за отсутствия винта</w:t>
            </w:r>
          </w:p>
        </w:tc>
      </w:tr>
      <w:tr w:rsidR="007D5DF8" w:rsidRPr="00DB5D0D" w14:paraId="7136F44E" w14:textId="77777777" w:rsidTr="00E543D0">
        <w:tc>
          <w:tcPr>
            <w:tcW w:w="1916" w:type="dxa"/>
          </w:tcPr>
          <w:p w14:paraId="337936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АК МВ-6</w:t>
            </w:r>
          </w:p>
        </w:tc>
        <w:tc>
          <w:tcPr>
            <w:tcW w:w="1169" w:type="dxa"/>
          </w:tcPr>
          <w:p w14:paraId="4C25AE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851" w:type="dxa"/>
          </w:tcPr>
          <w:p w14:paraId="5C9F50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66DC23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01.07.41</w:t>
            </w:r>
          </w:p>
        </w:tc>
        <w:tc>
          <w:tcPr>
            <w:tcW w:w="5671" w:type="dxa"/>
          </w:tcPr>
          <w:p w14:paraId="264647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1 сентября заканчивается эскизный проект. Изготавливается макет</w:t>
            </w:r>
          </w:p>
        </w:tc>
      </w:tr>
      <w:tr w:rsidR="007D5DF8" w:rsidRPr="00DB5D0D" w14:paraId="299AE59C" w14:textId="77777777" w:rsidTr="00E543D0">
        <w:tc>
          <w:tcPr>
            <w:tcW w:w="1916" w:type="dxa"/>
          </w:tcPr>
          <w:p w14:paraId="6447481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DA5D9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E9005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Камов</w:t>
            </w:r>
          </w:p>
        </w:tc>
        <w:tc>
          <w:tcPr>
            <w:tcW w:w="992" w:type="dxa"/>
          </w:tcPr>
          <w:p w14:paraId="76261A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2ED482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01.09.41</w:t>
            </w:r>
          </w:p>
        </w:tc>
      </w:tr>
      <w:tr w:rsidR="007D5DF8" w:rsidRPr="00DB5D0D" w14:paraId="4D6734B6" w14:textId="77777777" w:rsidTr="00E543D0">
        <w:tc>
          <w:tcPr>
            <w:tcW w:w="1916" w:type="dxa"/>
          </w:tcPr>
          <w:p w14:paraId="36675C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Гелик. 2МВ-6</w:t>
            </w:r>
          </w:p>
        </w:tc>
        <w:tc>
          <w:tcPr>
            <w:tcW w:w="1169" w:type="dxa"/>
          </w:tcPr>
          <w:p w14:paraId="365E0B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МАИ</w:t>
            </w:r>
          </w:p>
        </w:tc>
        <w:tc>
          <w:tcPr>
            <w:tcW w:w="851" w:type="dxa"/>
          </w:tcPr>
          <w:p w14:paraId="50F531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696FF5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01.05.41</w:t>
            </w:r>
          </w:p>
        </w:tc>
        <w:tc>
          <w:tcPr>
            <w:tcW w:w="5671" w:type="dxa"/>
          </w:tcPr>
          <w:p w14:paraId="071F0D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октябре будет закончено проектирование и изготовление чертежей</w:t>
            </w:r>
          </w:p>
        </w:tc>
      </w:tr>
      <w:tr w:rsidR="007D5DF8" w:rsidRPr="00DB5D0D" w14:paraId="0F4512C9" w14:textId="77777777" w:rsidTr="00E543D0">
        <w:tc>
          <w:tcPr>
            <w:tcW w:w="1916" w:type="dxa"/>
          </w:tcPr>
          <w:p w14:paraId="0B5E199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4095A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Юр./Брат.</w:t>
            </w:r>
          </w:p>
        </w:tc>
        <w:tc>
          <w:tcPr>
            <w:tcW w:w="851" w:type="dxa"/>
          </w:tcPr>
          <w:p w14:paraId="65DA13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A3041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01.07.41</w:t>
            </w:r>
          </w:p>
        </w:tc>
        <w:tc>
          <w:tcPr>
            <w:tcW w:w="5671" w:type="dxa"/>
          </w:tcPr>
          <w:p w14:paraId="28603E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Изготавливается макет</w:t>
            </w:r>
          </w:p>
        </w:tc>
      </w:tr>
      <w:tr w:rsidR="007D5DF8" w:rsidRPr="00DB5D0D" w14:paraId="729B3152" w14:textId="77777777" w:rsidTr="00E543D0">
        <w:tc>
          <w:tcPr>
            <w:tcW w:w="1916" w:type="dxa"/>
          </w:tcPr>
          <w:p w14:paraId="67EE67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МДР-6Б 2М-120</w:t>
            </w:r>
          </w:p>
        </w:tc>
        <w:tc>
          <w:tcPr>
            <w:tcW w:w="1169" w:type="dxa"/>
          </w:tcPr>
          <w:p w14:paraId="401152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851" w:type="dxa"/>
          </w:tcPr>
          <w:p w14:paraId="738E65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38C890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15.02.41</w:t>
            </w:r>
          </w:p>
        </w:tc>
        <w:tc>
          <w:tcPr>
            <w:tcW w:w="5671" w:type="dxa"/>
          </w:tcPr>
          <w:p w14:paraId="0163F4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Заканчивается изготовление чертежей. Изготовляются плазы, шаблоны,</w:t>
            </w:r>
          </w:p>
        </w:tc>
      </w:tr>
      <w:tr w:rsidR="007D5DF8" w:rsidRPr="00DB5D0D" w14:paraId="4F7478BB" w14:textId="77777777" w:rsidTr="00E543D0">
        <w:tc>
          <w:tcPr>
            <w:tcW w:w="1916" w:type="dxa"/>
          </w:tcPr>
          <w:p w14:paraId="46C001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4F14500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594F07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Четвериков</w:t>
            </w:r>
          </w:p>
        </w:tc>
        <w:tc>
          <w:tcPr>
            <w:tcW w:w="992" w:type="dxa"/>
          </w:tcPr>
          <w:p w14:paraId="47CFE2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15.03.41</w:t>
            </w:r>
          </w:p>
        </w:tc>
        <w:tc>
          <w:tcPr>
            <w:tcW w:w="5671" w:type="dxa"/>
          </w:tcPr>
          <w:p w14:paraId="0D2E97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стапеля, начаты заготовительные работы</w:t>
            </w:r>
          </w:p>
        </w:tc>
      </w:tr>
      <w:tr w:rsidR="007D5DF8" w:rsidRPr="00DB5D0D" w14:paraId="1A23F08C" w14:textId="77777777" w:rsidTr="00E543D0">
        <w:tc>
          <w:tcPr>
            <w:tcW w:w="1916" w:type="dxa"/>
          </w:tcPr>
          <w:p w14:paraId="42487D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МДР-7 2М-88</w:t>
            </w:r>
          </w:p>
        </w:tc>
        <w:tc>
          <w:tcPr>
            <w:tcW w:w="1169" w:type="dxa"/>
          </w:tcPr>
          <w:p w14:paraId="72164D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851" w:type="dxa"/>
          </w:tcPr>
          <w:p w14:paraId="5CB61A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288</w:t>
            </w:r>
          </w:p>
        </w:tc>
        <w:tc>
          <w:tcPr>
            <w:tcW w:w="992" w:type="dxa"/>
          </w:tcPr>
          <w:p w14:paraId="511A43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5671" w:type="dxa"/>
          </w:tcPr>
          <w:p w14:paraId="779494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потерпел катастрофу в первом полете 23 июля 1940</w:t>
            </w:r>
          </w:p>
        </w:tc>
      </w:tr>
      <w:tr w:rsidR="007D5DF8" w:rsidRPr="00DB5D0D" w14:paraId="7D43D534" w14:textId="77777777" w:rsidTr="00E543D0">
        <w:tc>
          <w:tcPr>
            <w:tcW w:w="1916" w:type="dxa"/>
          </w:tcPr>
          <w:p w14:paraId="6FCFE77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5F00B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Самсонов</w:t>
            </w:r>
          </w:p>
        </w:tc>
        <w:tc>
          <w:tcPr>
            <w:tcW w:w="851" w:type="dxa"/>
          </w:tcPr>
          <w:p w14:paraId="34E8130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62FFC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01.08.40</w:t>
            </w:r>
          </w:p>
        </w:tc>
        <w:tc>
          <w:tcPr>
            <w:tcW w:w="5671" w:type="dxa"/>
          </w:tcPr>
          <w:p w14:paraId="39E40F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2-й экз. изготовлены агрегаты, производится сборка и монтаж</w:t>
            </w:r>
          </w:p>
        </w:tc>
      </w:tr>
      <w:tr w:rsidR="007D5DF8" w:rsidRPr="00DB5D0D" w14:paraId="3C27EFBA" w14:textId="77777777" w:rsidTr="00E543D0">
        <w:tc>
          <w:tcPr>
            <w:tcW w:w="1916" w:type="dxa"/>
          </w:tcPr>
          <w:p w14:paraId="2E5731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МДР-6 2М-62</w:t>
            </w:r>
          </w:p>
        </w:tc>
        <w:tc>
          <w:tcPr>
            <w:tcW w:w="1169" w:type="dxa"/>
          </w:tcPr>
          <w:p w14:paraId="62125D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851" w:type="dxa"/>
          </w:tcPr>
          <w:p w14:paraId="758C8B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992" w:type="dxa"/>
          </w:tcPr>
          <w:p w14:paraId="2BD8D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01.06.40</w:t>
            </w:r>
          </w:p>
        </w:tc>
        <w:tc>
          <w:tcPr>
            <w:tcW w:w="5671" w:type="dxa"/>
          </w:tcPr>
          <w:p w14:paraId="37C5D9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завершил заводские испытания. Задерживаелся из-за</w:t>
            </w:r>
          </w:p>
        </w:tc>
      </w:tr>
      <w:tr w:rsidR="007D5DF8" w:rsidRPr="00DB5D0D" w14:paraId="00DC5F99" w14:textId="77777777" w:rsidTr="00E543D0">
        <w:tc>
          <w:tcPr>
            <w:tcW w:w="1916" w:type="dxa"/>
          </w:tcPr>
          <w:p w14:paraId="63248E8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0C7BE63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083AE5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Четвериков</w:t>
            </w:r>
          </w:p>
        </w:tc>
        <w:tc>
          <w:tcPr>
            <w:tcW w:w="992" w:type="dxa"/>
          </w:tcPr>
          <w:p w14:paraId="5679C7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5671" w:type="dxa"/>
          </w:tcPr>
          <w:p w14:paraId="18E0BD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отсутствия заключения ЦАГИ по флаттеру. Передается в НКВМФ</w:t>
            </w:r>
          </w:p>
        </w:tc>
      </w:tr>
      <w:tr w:rsidR="007D5DF8" w:rsidRPr="00DB5D0D" w14:paraId="4051F485" w14:textId="77777777" w:rsidTr="00E543D0">
        <w:tc>
          <w:tcPr>
            <w:tcW w:w="1916" w:type="dxa"/>
          </w:tcPr>
          <w:p w14:paraId="214C12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КОР-2 М-63</w:t>
            </w:r>
          </w:p>
        </w:tc>
        <w:tc>
          <w:tcPr>
            <w:tcW w:w="1169" w:type="dxa"/>
          </w:tcPr>
          <w:p w14:paraId="7E7B02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w:t>
            </w:r>
          </w:p>
        </w:tc>
        <w:tc>
          <w:tcPr>
            <w:tcW w:w="851" w:type="dxa"/>
          </w:tcPr>
          <w:p w14:paraId="5029D84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705BD5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c>
          <w:tcPr>
            <w:tcW w:w="5671" w:type="dxa"/>
          </w:tcPr>
          <w:p w14:paraId="0E1B17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сданы в производство 1 августа 1940. Изготовлены</w:t>
            </w:r>
          </w:p>
        </w:tc>
      </w:tr>
      <w:tr w:rsidR="007D5DF8" w:rsidRPr="00DB5D0D" w14:paraId="2C459B88" w14:textId="77777777" w:rsidTr="00E543D0">
        <w:tc>
          <w:tcPr>
            <w:tcW w:w="1916" w:type="dxa"/>
          </w:tcPr>
          <w:p w14:paraId="231E756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62899C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Бериев</w:t>
            </w:r>
          </w:p>
        </w:tc>
        <w:tc>
          <w:tcPr>
            <w:tcW w:w="851" w:type="dxa"/>
          </w:tcPr>
          <w:p w14:paraId="543DE0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64E721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c>
          <w:tcPr>
            <w:tcW w:w="5671" w:type="dxa"/>
          </w:tcPr>
          <w:p w14:paraId="11F62D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агрегаты для стат. испытаний. Производится агрегатная сборка</w:t>
            </w:r>
          </w:p>
        </w:tc>
      </w:tr>
      <w:tr w:rsidR="007D5DF8" w:rsidRPr="00DB5D0D" w14:paraId="3069BF28" w14:textId="77777777" w:rsidTr="00E543D0">
        <w:tc>
          <w:tcPr>
            <w:tcW w:w="1916" w:type="dxa"/>
          </w:tcPr>
          <w:p w14:paraId="056C6B2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B577A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55F8F2B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A8422A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4A3362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лодки, крыла, оперения</w:t>
            </w:r>
          </w:p>
        </w:tc>
      </w:tr>
      <w:tr w:rsidR="007D5DF8" w:rsidRPr="00DB5D0D" w14:paraId="3C68F8CA" w14:textId="77777777" w:rsidTr="00E543D0">
        <w:tc>
          <w:tcPr>
            <w:tcW w:w="1916" w:type="dxa"/>
          </w:tcPr>
          <w:p w14:paraId="63D738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САМ-11 МВ-6</w:t>
            </w:r>
          </w:p>
        </w:tc>
        <w:tc>
          <w:tcPr>
            <w:tcW w:w="1169" w:type="dxa"/>
          </w:tcPr>
          <w:p w14:paraId="5297A2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КБ-31</w:t>
            </w:r>
          </w:p>
        </w:tc>
        <w:tc>
          <w:tcPr>
            <w:tcW w:w="851" w:type="dxa"/>
          </w:tcPr>
          <w:p w14:paraId="1E4157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4BD7C4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01.05.40</w:t>
            </w:r>
          </w:p>
        </w:tc>
        <w:tc>
          <w:tcPr>
            <w:tcW w:w="5671" w:type="dxa"/>
          </w:tcPr>
          <w:p w14:paraId="2F8C82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закончил заводские испытания в июле 1940</w:t>
            </w:r>
          </w:p>
        </w:tc>
      </w:tr>
      <w:tr w:rsidR="007D5DF8" w:rsidRPr="00DB5D0D" w14:paraId="35DA3F13" w14:textId="77777777" w:rsidTr="00E543D0">
        <w:tc>
          <w:tcPr>
            <w:tcW w:w="1916" w:type="dxa"/>
          </w:tcPr>
          <w:p w14:paraId="221D3E3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56E7AB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Москалев</w:t>
            </w:r>
          </w:p>
        </w:tc>
        <w:tc>
          <w:tcPr>
            <w:tcW w:w="851" w:type="dxa"/>
          </w:tcPr>
          <w:p w14:paraId="10A575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3697FA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01.06.40</w:t>
            </w:r>
          </w:p>
        </w:tc>
        <w:tc>
          <w:tcPr>
            <w:tcW w:w="5671" w:type="dxa"/>
          </w:tcPr>
          <w:p w14:paraId="7F7490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заканчивается в производстве 25 июля 1940</w:t>
            </w:r>
          </w:p>
        </w:tc>
      </w:tr>
      <w:tr w:rsidR="007D5DF8" w:rsidRPr="00DB5D0D" w14:paraId="65DF8700" w14:textId="77777777" w:rsidTr="00E543D0">
        <w:tc>
          <w:tcPr>
            <w:tcW w:w="1916" w:type="dxa"/>
          </w:tcPr>
          <w:p w14:paraId="10B28B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ОПБ М-90</w:t>
            </w:r>
          </w:p>
        </w:tc>
        <w:tc>
          <w:tcPr>
            <w:tcW w:w="1169" w:type="dxa"/>
          </w:tcPr>
          <w:p w14:paraId="2C94FD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851" w:type="dxa"/>
          </w:tcPr>
          <w:p w14:paraId="6AD97C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3484BB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01.02.41</w:t>
            </w:r>
          </w:p>
        </w:tc>
        <w:tc>
          <w:tcPr>
            <w:tcW w:w="5671" w:type="dxa"/>
          </w:tcPr>
          <w:p w14:paraId="632A39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июля 1940 были закончены чертежи и сданы в производство</w:t>
            </w:r>
          </w:p>
        </w:tc>
      </w:tr>
      <w:tr w:rsidR="007D5DF8" w:rsidRPr="00DB5D0D" w14:paraId="09FC3966" w14:textId="77777777" w:rsidTr="00E543D0">
        <w:tc>
          <w:tcPr>
            <w:tcW w:w="1916" w:type="dxa"/>
          </w:tcPr>
          <w:p w14:paraId="4B4AF22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53986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Кочеригин</w:t>
            </w:r>
          </w:p>
        </w:tc>
        <w:tc>
          <w:tcPr>
            <w:tcW w:w="851" w:type="dxa"/>
          </w:tcPr>
          <w:p w14:paraId="5AF3953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DB06F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01.04.41</w:t>
            </w:r>
          </w:p>
        </w:tc>
        <w:tc>
          <w:tcPr>
            <w:tcW w:w="5671" w:type="dxa"/>
          </w:tcPr>
          <w:p w14:paraId="04C162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Оснастка изготовлена на 75%, плазы и шаблоны на 90%. Приступили</w:t>
            </w:r>
          </w:p>
        </w:tc>
      </w:tr>
      <w:tr w:rsidR="007D5DF8" w:rsidRPr="00DB5D0D" w14:paraId="1B898167" w14:textId="77777777" w:rsidTr="00E543D0">
        <w:tc>
          <w:tcPr>
            <w:tcW w:w="1916" w:type="dxa"/>
          </w:tcPr>
          <w:p w14:paraId="2C32AC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F19885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0190DFA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2DE0E6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27EF1F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изготовлению деталей для статиспытаний и на летный экземпляр</w:t>
            </w:r>
          </w:p>
        </w:tc>
      </w:tr>
      <w:tr w:rsidR="007D5DF8" w:rsidRPr="00DB5D0D" w14:paraId="30FE877A" w14:textId="77777777" w:rsidTr="00E543D0">
        <w:tc>
          <w:tcPr>
            <w:tcW w:w="1916" w:type="dxa"/>
          </w:tcPr>
          <w:p w14:paraId="053610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102 2М-120ТК</w:t>
            </w:r>
          </w:p>
        </w:tc>
        <w:tc>
          <w:tcPr>
            <w:tcW w:w="1169" w:type="dxa"/>
          </w:tcPr>
          <w:p w14:paraId="062EF8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851" w:type="dxa"/>
          </w:tcPr>
          <w:p w14:paraId="5307CF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6D9DC8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01.05.41</w:t>
            </w:r>
          </w:p>
        </w:tc>
        <w:tc>
          <w:tcPr>
            <w:tcW w:w="5671" w:type="dxa"/>
          </w:tcPr>
          <w:p w14:paraId="592D11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Производится проектирование и изготовление рабочих чертежей,</w:t>
            </w:r>
          </w:p>
        </w:tc>
      </w:tr>
      <w:tr w:rsidR="007D5DF8" w:rsidRPr="00DB5D0D" w14:paraId="35262908" w14:textId="77777777" w:rsidTr="00E543D0">
        <w:tc>
          <w:tcPr>
            <w:tcW w:w="1916" w:type="dxa"/>
          </w:tcPr>
          <w:p w14:paraId="2FA023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D7E80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ОТБ НКВД</w:t>
            </w:r>
          </w:p>
        </w:tc>
        <w:tc>
          <w:tcPr>
            <w:tcW w:w="851" w:type="dxa"/>
          </w:tcPr>
          <w:p w14:paraId="690AEB2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62ECBB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01.06.41</w:t>
            </w:r>
          </w:p>
        </w:tc>
        <w:tc>
          <w:tcPr>
            <w:tcW w:w="5671" w:type="dxa"/>
          </w:tcPr>
          <w:p w14:paraId="2ED825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плазов и шаблонов. Готовность чертежей 48%</w:t>
            </w:r>
          </w:p>
        </w:tc>
      </w:tr>
      <w:tr w:rsidR="007D5DF8" w:rsidRPr="00DB5D0D" w14:paraId="367713A6" w14:textId="77777777" w:rsidTr="00E543D0">
        <w:tc>
          <w:tcPr>
            <w:tcW w:w="1916" w:type="dxa"/>
          </w:tcPr>
          <w:p w14:paraId="1400ED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103 2АМ-37</w:t>
            </w:r>
          </w:p>
        </w:tc>
        <w:tc>
          <w:tcPr>
            <w:tcW w:w="1169" w:type="dxa"/>
          </w:tcPr>
          <w:p w14:paraId="029D65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851" w:type="dxa"/>
          </w:tcPr>
          <w:p w14:paraId="6B52F7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992" w:type="dxa"/>
          </w:tcPr>
          <w:p w14:paraId="68E5B0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01.01.41</w:t>
            </w:r>
          </w:p>
        </w:tc>
        <w:tc>
          <w:tcPr>
            <w:tcW w:w="5671" w:type="dxa"/>
          </w:tcPr>
          <w:p w14:paraId="4EABF8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закончено проектирование и чертежи сданы в производство</w:t>
            </w:r>
          </w:p>
        </w:tc>
      </w:tr>
      <w:tr w:rsidR="007D5DF8" w:rsidRPr="00DB5D0D" w14:paraId="33FCE2A2" w14:textId="77777777" w:rsidTr="00E543D0">
        <w:tc>
          <w:tcPr>
            <w:tcW w:w="1916" w:type="dxa"/>
          </w:tcPr>
          <w:p w14:paraId="113987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или М-120</w:t>
            </w:r>
          </w:p>
        </w:tc>
        <w:tc>
          <w:tcPr>
            <w:tcW w:w="1169" w:type="dxa"/>
          </w:tcPr>
          <w:p w14:paraId="670546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ОТБ НКВД</w:t>
            </w:r>
          </w:p>
        </w:tc>
        <w:tc>
          <w:tcPr>
            <w:tcW w:w="851" w:type="dxa"/>
          </w:tcPr>
          <w:p w14:paraId="507C45C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4A8CE3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01.03.41</w:t>
            </w:r>
          </w:p>
        </w:tc>
        <w:tc>
          <w:tcPr>
            <w:tcW w:w="5671" w:type="dxa"/>
          </w:tcPr>
          <w:p w14:paraId="19F3AB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Изготовляются оснастка, планы, шаблоны, производятся заготовительные</w:t>
            </w:r>
          </w:p>
        </w:tc>
      </w:tr>
      <w:tr w:rsidR="007D5DF8" w:rsidRPr="00DB5D0D" w14:paraId="6FF624EC" w14:textId="77777777" w:rsidTr="00E543D0">
        <w:tc>
          <w:tcPr>
            <w:tcW w:w="1916" w:type="dxa"/>
          </w:tcPr>
          <w:p w14:paraId="078F1F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18B5190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68EBE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Pr>
          <w:p w14:paraId="5D349F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01.05.41</w:t>
            </w:r>
          </w:p>
        </w:tc>
        <w:tc>
          <w:tcPr>
            <w:tcW w:w="5671" w:type="dxa"/>
          </w:tcPr>
          <w:p w14:paraId="46CE35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работы и изготавливаются агрегаты для статиспытаний. Готовность - 5%</w:t>
            </w:r>
          </w:p>
        </w:tc>
      </w:tr>
      <w:tr w:rsidR="007D5DF8" w:rsidRPr="00DB5D0D" w14:paraId="158699D2" w14:textId="77777777" w:rsidTr="00E543D0">
        <w:tc>
          <w:tcPr>
            <w:tcW w:w="1916" w:type="dxa"/>
          </w:tcPr>
          <w:p w14:paraId="50F35B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УТ М-11</w:t>
            </w:r>
          </w:p>
        </w:tc>
        <w:tc>
          <w:tcPr>
            <w:tcW w:w="1169" w:type="dxa"/>
          </w:tcPr>
          <w:p w14:paraId="2302BC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w:t>
            </w:r>
          </w:p>
        </w:tc>
        <w:tc>
          <w:tcPr>
            <w:tcW w:w="851" w:type="dxa"/>
          </w:tcPr>
          <w:p w14:paraId="3B1927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4F01C1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01.05.41</w:t>
            </w:r>
          </w:p>
        </w:tc>
        <w:tc>
          <w:tcPr>
            <w:tcW w:w="5671" w:type="dxa"/>
          </w:tcPr>
          <w:p w14:paraId="117A22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Производится эскизное проектирование</w:t>
            </w:r>
          </w:p>
        </w:tc>
      </w:tr>
      <w:tr w:rsidR="007D5DF8" w:rsidRPr="00DB5D0D" w14:paraId="5C41B9E1" w14:textId="77777777" w:rsidTr="00E543D0">
        <w:tc>
          <w:tcPr>
            <w:tcW w:w="1916" w:type="dxa"/>
          </w:tcPr>
          <w:p w14:paraId="67C7BCF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74A857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793082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О.К.А.</w:t>
            </w:r>
          </w:p>
        </w:tc>
        <w:tc>
          <w:tcPr>
            <w:tcW w:w="992" w:type="dxa"/>
          </w:tcPr>
          <w:p w14:paraId="5505253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417262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01.06.41</w:t>
            </w:r>
          </w:p>
        </w:tc>
      </w:tr>
      <w:tr w:rsidR="007D5DF8" w:rsidRPr="00DB5D0D" w14:paraId="72898104" w14:textId="77777777" w:rsidTr="00E543D0">
        <w:tc>
          <w:tcPr>
            <w:tcW w:w="1916" w:type="dxa"/>
          </w:tcPr>
          <w:p w14:paraId="6084DD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ТИ МВ-6</w:t>
            </w:r>
          </w:p>
        </w:tc>
        <w:tc>
          <w:tcPr>
            <w:tcW w:w="1169" w:type="dxa"/>
          </w:tcPr>
          <w:p w14:paraId="643E05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КБ-28</w:t>
            </w:r>
          </w:p>
        </w:tc>
        <w:tc>
          <w:tcPr>
            <w:tcW w:w="851" w:type="dxa"/>
          </w:tcPr>
          <w:p w14:paraId="3A5FF5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0E4DDB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01.03.41</w:t>
            </w:r>
          </w:p>
        </w:tc>
        <w:tc>
          <w:tcPr>
            <w:tcW w:w="5671" w:type="dxa"/>
          </w:tcPr>
          <w:p w14:paraId="5BE4C5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Разработан и утвержден эскизный проект</w:t>
            </w:r>
          </w:p>
        </w:tc>
      </w:tr>
      <w:tr w:rsidR="007D5DF8" w:rsidRPr="00DB5D0D" w14:paraId="06D61278" w14:textId="77777777" w:rsidTr="00E543D0">
        <w:tc>
          <w:tcPr>
            <w:tcW w:w="1916" w:type="dxa"/>
          </w:tcPr>
          <w:p w14:paraId="20275C9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211789C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1F0DAC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Грибовский</w:t>
            </w:r>
          </w:p>
        </w:tc>
        <w:tc>
          <w:tcPr>
            <w:tcW w:w="992" w:type="dxa"/>
          </w:tcPr>
          <w:p w14:paraId="6AA730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01.04.41</w:t>
            </w:r>
          </w:p>
        </w:tc>
        <w:tc>
          <w:tcPr>
            <w:tcW w:w="5671" w:type="dxa"/>
          </w:tcPr>
          <w:p w14:paraId="2AF151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Приступили к изготовлению чертежей</w:t>
            </w:r>
          </w:p>
        </w:tc>
      </w:tr>
      <w:tr w:rsidR="007D5DF8" w:rsidRPr="00DB5D0D" w14:paraId="7664C03A" w14:textId="77777777" w:rsidTr="00E543D0">
        <w:tc>
          <w:tcPr>
            <w:tcW w:w="1916" w:type="dxa"/>
          </w:tcPr>
          <w:p w14:paraId="5D8F2B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УТ-23 МВ-6</w:t>
            </w:r>
          </w:p>
        </w:tc>
        <w:tc>
          <w:tcPr>
            <w:tcW w:w="1169" w:type="dxa"/>
          </w:tcPr>
          <w:p w14:paraId="589070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851" w:type="dxa"/>
          </w:tcPr>
          <w:p w14:paraId="38296F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c>
          <w:tcPr>
            <w:tcW w:w="992" w:type="dxa"/>
          </w:tcPr>
          <w:p w14:paraId="28A1F51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68433C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Изготовлены чертежи</w:t>
            </w:r>
          </w:p>
        </w:tc>
      </w:tr>
      <w:tr w:rsidR="007D5DF8" w:rsidRPr="00DB5D0D" w14:paraId="582BCFCB" w14:textId="77777777" w:rsidTr="00E543D0">
        <w:tc>
          <w:tcPr>
            <w:tcW w:w="1916" w:type="dxa"/>
          </w:tcPr>
          <w:p w14:paraId="122F5FA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Pr>
          <w:p w14:paraId="3E75DA7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4A4BF6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w:t>
            </w:r>
          </w:p>
        </w:tc>
        <w:tc>
          <w:tcPr>
            <w:tcW w:w="992" w:type="dxa"/>
          </w:tcPr>
          <w:p w14:paraId="5F3D825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Pr>
          <w:p w14:paraId="55BD3F2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5F19EEA" w14:textId="77777777" w:rsidTr="00E543D0">
        <w:tc>
          <w:tcPr>
            <w:tcW w:w="1916" w:type="dxa"/>
          </w:tcPr>
          <w:p w14:paraId="23CF93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ДБ-240 МВ-30</w:t>
            </w:r>
          </w:p>
        </w:tc>
        <w:tc>
          <w:tcPr>
            <w:tcW w:w="1169" w:type="dxa"/>
          </w:tcPr>
          <w:p w14:paraId="6D6555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851" w:type="dxa"/>
          </w:tcPr>
          <w:p w14:paraId="63831E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992" w:type="dxa"/>
          </w:tcPr>
          <w:p w14:paraId="384780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01.10.40</w:t>
            </w:r>
          </w:p>
        </w:tc>
        <w:tc>
          <w:tcPr>
            <w:tcW w:w="5671" w:type="dxa"/>
          </w:tcPr>
          <w:p w14:paraId="2A0B7E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Производится эскизное проектирование</w:t>
            </w:r>
          </w:p>
        </w:tc>
      </w:tr>
      <w:tr w:rsidR="007D5DF8" w:rsidRPr="00DB5D0D" w14:paraId="68A66166" w14:textId="77777777" w:rsidTr="00E543D0">
        <w:tc>
          <w:tcPr>
            <w:tcW w:w="1916" w:type="dxa"/>
            <w:tcBorders>
              <w:bottom w:val="single" w:sz="12" w:space="0" w:color="auto"/>
            </w:tcBorders>
          </w:tcPr>
          <w:p w14:paraId="716A26F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69" w:type="dxa"/>
            <w:tcBorders>
              <w:bottom w:val="single" w:sz="12" w:space="0" w:color="auto"/>
            </w:tcBorders>
          </w:tcPr>
          <w:p w14:paraId="10658E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Ермолаев</w:t>
            </w:r>
          </w:p>
        </w:tc>
        <w:tc>
          <w:tcPr>
            <w:tcW w:w="851" w:type="dxa"/>
            <w:tcBorders>
              <w:bottom w:val="single" w:sz="12" w:space="0" w:color="auto"/>
            </w:tcBorders>
          </w:tcPr>
          <w:p w14:paraId="2324037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37A5165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671" w:type="dxa"/>
            <w:tcBorders>
              <w:bottom w:val="single" w:sz="12" w:space="0" w:color="auto"/>
            </w:tcBorders>
          </w:tcPr>
          <w:p w14:paraId="5357C1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производстве изготовляется оснастка и ведутся заготовки (2090,117)</w:t>
            </w:r>
          </w:p>
        </w:tc>
      </w:tr>
    </w:tbl>
    <w:p w14:paraId="51F37E7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54771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года генерал-лейтенант авиации Астахов и генерал-майор авиации Филин писали письмо № 01541</w:t>
      </w:r>
    </w:p>
    <w:p w14:paraId="20CAAC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года протокол совещания проведенного зам. начальника ВВС генерал-лейтенантом Астаховым в НИИ ВВС по вопросам:</w:t>
      </w:r>
    </w:p>
    <w:p w14:paraId="1A37D5C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Установки турбокомпрессора на самолетах.</w:t>
      </w:r>
    </w:p>
    <w:p w14:paraId="6B11FA3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с карбюраторами АК-62, АК-63 и АК-88.</w:t>
      </w:r>
    </w:p>
    <w:p w14:paraId="2BB889D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установки ТК на самолетах:</w:t>
      </w:r>
    </w:p>
    <w:p w14:paraId="618CB4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Совещанием установлено:</w:t>
      </w:r>
    </w:p>
    <w:p w14:paraId="6E000E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Производством ТК заводы НКАП занимаются с 1938 года, а ЦИАМ с 1935 года. За это время было оборудовано следующее количество самолетов:</w:t>
      </w:r>
    </w:p>
    <w:p w14:paraId="133B5C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с М103 и М105 – 3</w:t>
      </w:r>
    </w:p>
    <w:p w14:paraId="6761A1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И-15бис с М25В – 10</w:t>
      </w:r>
    </w:p>
    <w:p w14:paraId="278E67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с М25В и М62 – 2</w:t>
      </w:r>
    </w:p>
    <w:p w14:paraId="1D33E7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И-153 с М62 – 24</w:t>
      </w:r>
    </w:p>
    <w:p w14:paraId="6B48AF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СБ с М105 до настоящего времени не закончили заводских испытаний. На самолете за № 1/242 с ТК конструкции ЦИАМ проведено несколько полетов, в результате которых выявлено, что горят жаростойкие листы обшивки самолета и наблюдается сильная вибрация хвостового оперения вследствие срыва струй с капота мотора. Самолет № 8/242 с ТК конструкции завода № 26 находится в опытному цеху завода № 22. К летным испытаниям этого самолета не приступлено, так как ожидаются результаты испытаний самолета № 1/242.</w:t>
      </w:r>
    </w:p>
    <w:p w14:paraId="5E874F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СБ 2М-103 с ТК заводских испытаний не проходил – завод № 22 производство работ на нем прекратил.</w:t>
      </w:r>
    </w:p>
    <w:p w14:paraId="080911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И-15 бис с М25В и ТК прошел заводские и войсковые испытания.</w:t>
      </w:r>
    </w:p>
    <w:p w14:paraId="5EFC60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самолета И-153 с М62 оборудованные ТК-1 проходили войсковые испытания в полку боевого применения НИИ ВВС с 2 октября 1939 года по 6 июля 1940 года. В результате испытаний установлено:</w:t>
      </w:r>
    </w:p>
    <w:p w14:paraId="12FEB6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что самолеты И-153 М-62 с ТК имеют ухудшенную аэродинамику винтомоторной группы за счет выступающих ТК и плохо изготовленных капотов; это обстоятельство приводит к ухудшению, особенно на малых и средних высотах, летных качеств самолета:</w:t>
      </w:r>
    </w:p>
    <w:p w14:paraId="509D17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высотах до 5000 м самолет И-153 без ТК имеет большее преимущество над самолетом И-153 М62 с ТК; скорость самолета И-153 без ТК на земле и высотах 2400 и 4500 м на 25-30 км/час больше, чем у самолета И-153 с ТК;</w:t>
      </w:r>
    </w:p>
    <w:p w14:paraId="35A146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высотах 5-6000 м самолеты И-153 М62 с ТК и без ТК имеют равные боевые качества;</w:t>
      </w:r>
    </w:p>
    <w:p w14:paraId="071869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 высотах свыше 6000 м самолеты И-153 М62 с ТК имеют боевые преимущества над самолетами И-153 М62 без ТК, обладая большими горизонтальными скоростями, скороподъемностью и маневренностью; так скорость самолета И-153 ТК на высоте 8000 и 9000 м больше, чем у самолета И-153 без ТК.</w:t>
      </w:r>
    </w:p>
    <w:p w14:paraId="4E81A3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 10500 м меньше на 6 минут.</w:t>
      </w:r>
    </w:p>
    <w:p w14:paraId="5E7CB2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увеличением полетного веса самолета благодаря установке ТК и подвесных бензобаков на самолете И-153 введены следующие ограничения:</w:t>
      </w:r>
    </w:p>
    <w:p w14:paraId="70E205B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Боевые развороты и горка производятся при скоростях не свыше 300 км/час.</w:t>
      </w:r>
    </w:p>
    <w:p w14:paraId="2A01ACB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производить многократные и восходящие бочки.</w:t>
      </w:r>
    </w:p>
    <w:p w14:paraId="1D4B0E7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пикирования не должна превышать 500 км/час по прибору.</w:t>
      </w:r>
    </w:p>
    <w:p w14:paraId="6377CBD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 с подвесными бензобаками разрешается только с хорошего аэродрома.</w:t>
      </w:r>
    </w:p>
    <w:p w14:paraId="05D3EFA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Посадка с заполненными подвесными бензобаками запрещается.</w:t>
      </w:r>
    </w:p>
    <w:p w14:paraId="2E9E309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наличии подвесных бензобаков запрещается производство фигур, вызывающих значительные перегрузки (иммельман, бочка, горка на повышенных скоростях и резкий выход из пикирования).</w:t>
      </w:r>
    </w:p>
    <w:p w14:paraId="05B9DC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установки ТК на самолете И-153 не доведена.</w:t>
      </w:r>
    </w:p>
    <w:p w14:paraId="463BD3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самолета И-153 с М-63 ТК показывают такие результаты, что и с М-62 с некоторым уменьшением разницы с скоростях до 15-18 км/час на малых и средних высотах.</w:t>
      </w:r>
    </w:p>
    <w:p w14:paraId="002C2F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И-16 с М-25В ТК прошел заводские и специальные летные испытания и показал большое преимущество в скоростях по сравнению с И-16 без ТК, начиная с 4500 м, доходящей на 8000 м до 100 км/час; на высотах же ниже 4500 м он дает скорость на 18-25 км/час меньше. Время набора высоты 8000 м самолета И-16 с ТК на 8 минут меньше, чем самолета И-16 без ТК.</w:t>
      </w:r>
    </w:p>
    <w:p w14:paraId="3A2944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Принятое решение</w:t>
      </w:r>
    </w:p>
    <w:p w14:paraId="5C3CCF3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w:t>
      </w:r>
    </w:p>
    <w:p w14:paraId="23E6001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кратчайший срок довести и закончить заводские испытания 2-х самолетов СБ М-105 и передать в НИИ ВВС на госиспытания.</w:t>
      </w:r>
    </w:p>
    <w:p w14:paraId="499F4CE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ожидая окончания результатов госиспытаний, изготовить к 1 октября 1940 года 20 самолетов СБ М105 с ТК для войсковых испытаний.</w:t>
      </w:r>
    </w:p>
    <w:p w14:paraId="7F55F0C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Срочно развернуть работы по доводке ТК на самолетах СБ М103.</w:t>
      </w:r>
    </w:p>
    <w:p w14:paraId="1F02678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Предъявить 1 октября 1940 года на войсковые испытания 20 самолетов И-16 М63 с установкой на них ТК-1.</w:t>
      </w:r>
    </w:p>
    <w:p w14:paraId="3A4B1F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 1. Обязать 7 управление ГУ ВВС срочно принять и направить имеющиеся на заводе № 1 самолеты И-153 М62 ТК в количестве 20 самолетов на войсковые испытания.</w:t>
      </w:r>
    </w:p>
    <w:p w14:paraId="6EFDBF9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ВВС войсковые испытания провести к 15 октября 1940 года.</w:t>
      </w:r>
    </w:p>
    <w:p w14:paraId="17AB06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Считать нецелесообразным оборудование самолетов И-15 бис турбокомпрессорами по причинам:</w:t>
      </w:r>
    </w:p>
    <w:p w14:paraId="172AFA9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Недостаточной прочности самолетов (на испытании в ЦАГИ полет И-15 бис М25В ТК на переворот, иммельманы, штопор и пикирование с различными перегрузками на выходе не производились, так как гл. конструктор не дал заключения по допускаемым скоростям и перегрузкам).</w:t>
      </w:r>
    </w:p>
    <w:p w14:paraId="66DBC54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Большие сроки службы самолетов И-15 бис в частях ВВС (самолет И-15 бис снят с серийного производства в 1939 году).</w:t>
      </w:r>
    </w:p>
    <w:p w14:paraId="182CE4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Окончательное решение об оборудовании самолетов СБ, И-153 и И-16 ТК принять на прохождении ими войсковых испытаний.</w:t>
      </w:r>
    </w:p>
    <w:p w14:paraId="0D34BE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Просить начальника ГУ ВВС о даче распоряжения Штабу ГУ ВВС отработать тактическое применение самолетов СБ, И-16 и И-153 с ТК.</w:t>
      </w:r>
    </w:p>
    <w:p w14:paraId="3B71AC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…………..(7712, 428-433).</w:t>
      </w:r>
    </w:p>
    <w:p w14:paraId="12FA563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CB69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был готов И-26 для М-107, но мотора не было и поставили М-105 ПД с Э-100 - N 30 или Як-3-1 (198,37).</w:t>
      </w:r>
    </w:p>
    <w:p w14:paraId="1EA8CE8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07CD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контролер Вахрушев - представитель КО СНК СССР - в журнале Учета выполнения постановлени правительства в отношении постановления КО N 318сс 1940 “О создании двухместного самолета первоначального обучения с мотором М-11” отметил:</w:t>
      </w:r>
    </w:p>
    <w:p w14:paraId="3F7523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Заканчивается эскизное проектирование (10395).</w:t>
      </w:r>
    </w:p>
    <w:p w14:paraId="0BE7288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0A73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вышел приказ НКАП и НКсредмаш N 440сс/199сс о разрешении всех конструктивных вопросов, связанных с серийным производством и доводкой мотора М-40 (1296,117).</w:t>
      </w:r>
    </w:p>
    <w:p w14:paraId="320742C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B997E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вышло постановление КО N 367 "О производстве авиамоторов М-105 на Уфимском моторном заводе."</w:t>
      </w:r>
    </w:p>
    <w:p w14:paraId="2A90DCB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26F73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года начальник НИП АВ ВВС полковник Шевченко утвердил:</w:t>
      </w:r>
    </w:p>
    <w:p w14:paraId="58B3AE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Отчет по полигонным испытаниям ХАБ-200 со стабилизатором от ФАБ-250 на устойчивость</w:t>
      </w:r>
    </w:p>
    <w:p w14:paraId="003DE5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начаты 28 июля 1940 года</w:t>
      </w:r>
    </w:p>
    <w:p w14:paraId="619AF3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окончены 3 августа 1940 года</w:t>
      </w:r>
    </w:p>
    <w:p w14:paraId="106F4F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194BAC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инженер 4 отделения опытного отдела НИИ АВ ВВС в/инженер 2 ранга Рублев</w:t>
      </w:r>
    </w:p>
    <w:p w14:paraId="072230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5A4ED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устойчивость ХАБ-200 при падении со стабилизатором от ФАБ-250.</w:t>
      </w:r>
    </w:p>
    <w:p w14:paraId="63453D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химической авиабомбы (ХАБ-200 м) разработана ГСКБ-47 в 1939 году взамен старой конструкции ХАБ-200.</w:t>
      </w:r>
    </w:p>
    <w:p w14:paraId="725357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ХАБ-200 м выдержала заводские и полигонные испытания и сейчас проходит войсковые испытания на ЦХП. ХАБ-200 м изготовлена в габаритах ФАБ-250 и предназначается для поражения живой силы и заражения местности БХВ.</w:t>
      </w:r>
    </w:p>
    <w:p w14:paraId="025619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C2B846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ХАБ-200 м со стабилизатором от ФАБ-250 полигонных испытаний на устойчивость при падении не выдержала (7839).</w:t>
      </w:r>
    </w:p>
    <w:p w14:paraId="6C83886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0D1513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И.О. Нач. Главнефтеспецстроя Юрин писал письмо № 902с в Главный контроль КО СНК тов. ЛЕОНТЬЕВУ.</w:t>
      </w:r>
    </w:p>
    <w:p w14:paraId="7CAAB8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Ваш личный запросу сообщаю сведения о ходе строи</w:t>
      </w:r>
      <w:r w:rsidRPr="00DB5D0D">
        <w:rPr>
          <w:rFonts w:ascii="Times New Roman" w:hAnsi="Times New Roman"/>
          <w:color w:val="000000" w:themeColor="text1"/>
          <w:sz w:val="16"/>
          <w:szCs w:val="16"/>
        </w:rPr>
        <w:softHyphen/>
        <w:t>тельства, выполняемого трестом "Леннефтестрой" Главнефтеспецстроя по объекту № 700 Кировского завода, по состоянию на 20.08-с.г.:</w:t>
      </w:r>
    </w:p>
    <w:p w14:paraId="3C6E35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 об"ем работ по об"екту № 700 входит цех № 3 (маслосклад, с установкой 5-тя цистерн: нижняя часть -железобетонная и верхняя часть - кирпичная), цех № 4 (полуподземпый - железобетонный, размером в плане 65 х 12 мт).</w:t>
      </w:r>
    </w:p>
    <w:p w14:paraId="6B0EDD1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Стоимость работ по заключенному договору от 26.06-с/г. составляет 600 т.р. (предварительная - ориентировоч</w:t>
      </w:r>
      <w:r w:rsidRPr="00DB5D0D">
        <w:rPr>
          <w:rFonts w:ascii="Times New Roman" w:hAnsi="Times New Roman"/>
          <w:color w:val="000000" w:themeColor="text1"/>
          <w:sz w:val="16"/>
          <w:szCs w:val="16"/>
        </w:rPr>
        <w:softHyphen/>
        <w:t>ная). В настоящее время по предлагаемьш заводом работам, стоимость таковых по цене, определенной последним, состав</w:t>
      </w:r>
      <w:r w:rsidRPr="00DB5D0D">
        <w:rPr>
          <w:rFonts w:ascii="Times New Roman" w:hAnsi="Times New Roman"/>
          <w:color w:val="000000" w:themeColor="text1"/>
          <w:sz w:val="16"/>
          <w:szCs w:val="16"/>
        </w:rPr>
        <w:softHyphen/>
        <w:t>ляет: по строительной части - 1,271 т.р., а по монтаж</w:t>
      </w:r>
      <w:r w:rsidRPr="00DB5D0D">
        <w:rPr>
          <w:rFonts w:ascii="Times New Roman" w:hAnsi="Times New Roman"/>
          <w:color w:val="000000" w:themeColor="text1"/>
          <w:sz w:val="16"/>
          <w:szCs w:val="16"/>
        </w:rPr>
        <w:softHyphen/>
        <w:t>ной - 1,637 т.р., а всего 2,908 т.р.</w:t>
      </w:r>
    </w:p>
    <w:p w14:paraId="34444C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"Главнефтеспецстрои" настаивает на исключение из этого об"ема несвойственных Ленлефтестрою строительных ра</w:t>
      </w:r>
      <w:r w:rsidRPr="00DB5D0D">
        <w:rPr>
          <w:rFonts w:ascii="Times New Roman" w:hAnsi="Times New Roman"/>
          <w:color w:val="000000" w:themeColor="text1"/>
          <w:sz w:val="16"/>
          <w:szCs w:val="16"/>
        </w:rPr>
        <w:softHyphen/>
        <w:t>бот на сумму 399 т.р. по корпусу № 4 и 140 т.р. - по цистернам, т.е. на выполнение всех работ па сумму 1,869 т.р.</w:t>
      </w:r>
    </w:p>
    <w:p w14:paraId="3B2F8E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Срок выполнения первопачального объема работ по договору - 15/Х-с.г.</w:t>
      </w:r>
    </w:p>
    <w:p w14:paraId="2A86E3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Заказчик, в основном, должен предоставить тресту Леннефтестрой полную техническую документацию, материалы на месте работ, в т.ч. цистерны и помещение на размеще</w:t>
      </w:r>
      <w:r w:rsidRPr="00DB5D0D">
        <w:rPr>
          <w:rFonts w:ascii="Times New Roman" w:hAnsi="Times New Roman"/>
          <w:color w:val="000000" w:themeColor="text1"/>
          <w:sz w:val="16"/>
          <w:szCs w:val="16"/>
        </w:rPr>
        <w:softHyphen/>
        <w:t>ние 100 человек рабочих.</w:t>
      </w:r>
    </w:p>
    <w:p w14:paraId="13C934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 20/УШ-с.г. помещение для рабочих предоставлено не было, за исключением бывшей греческой церкви, на перео</w:t>
      </w:r>
      <w:r w:rsidRPr="00DB5D0D">
        <w:rPr>
          <w:rFonts w:ascii="Times New Roman" w:hAnsi="Times New Roman"/>
          <w:color w:val="000000" w:themeColor="text1"/>
          <w:sz w:val="16"/>
          <w:szCs w:val="16"/>
        </w:rPr>
        <w:softHyphen/>
        <w:t>борудование которой потребуется затратить средств не мень</w:t>
      </w:r>
      <w:r w:rsidRPr="00DB5D0D">
        <w:rPr>
          <w:rFonts w:ascii="Times New Roman" w:hAnsi="Times New Roman"/>
          <w:color w:val="000000" w:themeColor="text1"/>
          <w:sz w:val="16"/>
          <w:szCs w:val="16"/>
        </w:rPr>
        <w:softHyphen/>
        <w:t>ше, чем на работы по договору.</w:t>
      </w:r>
    </w:p>
    <w:p w14:paraId="28DF48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Чертежей технологической части проекта на 20.08 имеется в размере не более 30%,</w:t>
      </w:r>
    </w:p>
    <w:p w14:paraId="18FC2F1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Учитывая, что площадка под цех № 3-4 была загро</w:t>
      </w:r>
      <w:r w:rsidRPr="00DB5D0D">
        <w:rPr>
          <w:rFonts w:ascii="Times New Roman" w:hAnsi="Times New Roman"/>
          <w:color w:val="000000" w:themeColor="text1"/>
          <w:sz w:val="16"/>
          <w:szCs w:val="16"/>
        </w:rPr>
        <w:softHyphen/>
        <w:t>мождена болванками, приступить к земляным рабогам фактичес</w:t>
      </w:r>
      <w:r w:rsidRPr="00DB5D0D">
        <w:rPr>
          <w:rFonts w:ascii="Times New Roman" w:hAnsi="Times New Roman"/>
          <w:color w:val="000000" w:themeColor="text1"/>
          <w:sz w:val="16"/>
          <w:szCs w:val="16"/>
        </w:rPr>
        <w:softHyphen/>
        <w:t>ки возможно было по цеху № 3 - с опозданием свыше 2-х не</w:t>
      </w:r>
      <w:r w:rsidRPr="00DB5D0D">
        <w:rPr>
          <w:rFonts w:ascii="Times New Roman" w:hAnsi="Times New Roman"/>
          <w:color w:val="000000" w:themeColor="text1"/>
          <w:sz w:val="16"/>
          <w:szCs w:val="16"/>
        </w:rPr>
        <w:softHyphen/>
        <w:t>дель и по цеху № 4 - месяца.</w:t>
      </w:r>
    </w:p>
    <w:p w14:paraId="1DA669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В настоящее время на этях объектах работают 120 человек рабочих треста "Леннефтестроя", проживающих в стро</w:t>
      </w:r>
      <w:r w:rsidRPr="00DB5D0D">
        <w:rPr>
          <w:rFonts w:ascii="Times New Roman" w:hAnsi="Times New Roman"/>
          <w:color w:val="000000" w:themeColor="text1"/>
          <w:sz w:val="16"/>
          <w:szCs w:val="16"/>
        </w:rPr>
        <w:softHyphen/>
        <w:t>ящемся доме треста (помещение заводом не представлено).</w:t>
      </w:r>
    </w:p>
    <w:p w14:paraId="14301A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До сего времени Кировским заводом не изготовлены цистерны.</w:t>
      </w:r>
    </w:p>
    <w:p w14:paraId="147AB9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На 30/08 приблизительный % выполнения работ составляет: по цеху № 3 - 45-50% и по цеху № 4 - 13%. Фактическое состояние работ: по цеху № 3 - здание возведе</w:t>
      </w:r>
      <w:r w:rsidRPr="00DB5D0D">
        <w:rPr>
          <w:rFonts w:ascii="Times New Roman" w:hAnsi="Times New Roman"/>
          <w:color w:val="000000" w:themeColor="text1"/>
          <w:sz w:val="16"/>
          <w:szCs w:val="16"/>
        </w:rPr>
        <w:softHyphen/>
        <w:t>но под перекрытие, а по цеху № 4 - заканчивается подземная часть.</w:t>
      </w:r>
    </w:p>
    <w:p w14:paraId="43287F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При предоставлении к 1/1Х-с.г. заводом технической Документации, цистерн, всех материалов и плодади для разме</w:t>
      </w:r>
      <w:r w:rsidRPr="00DB5D0D">
        <w:rPr>
          <w:rFonts w:ascii="Times New Roman" w:hAnsi="Times New Roman"/>
          <w:color w:val="000000" w:themeColor="text1"/>
          <w:sz w:val="16"/>
          <w:szCs w:val="16"/>
        </w:rPr>
        <w:softHyphen/>
        <w:t>щения рабочих, - на окончание работ потребуется от 1,5 до 2-х месяцев. Необходимо иметь в виду, что в настояние вре</w:t>
      </w:r>
      <w:r w:rsidRPr="00DB5D0D">
        <w:rPr>
          <w:rFonts w:ascii="Times New Roman" w:hAnsi="Times New Roman"/>
          <w:color w:val="000000" w:themeColor="text1"/>
          <w:sz w:val="16"/>
          <w:szCs w:val="16"/>
        </w:rPr>
        <w:softHyphen/>
        <w:t>мя из помещения, занимаемого рабочими, выселяется 60 чело</w:t>
      </w:r>
      <w:r w:rsidRPr="00DB5D0D">
        <w:rPr>
          <w:rFonts w:ascii="Times New Roman" w:hAnsi="Times New Roman"/>
          <w:color w:val="000000" w:themeColor="text1"/>
          <w:sz w:val="16"/>
          <w:szCs w:val="16"/>
        </w:rPr>
        <w:softHyphen/>
        <w:t>век, т.к. площадь эта передается студентам.</w:t>
      </w:r>
    </w:p>
    <w:p w14:paraId="03A140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По распоряжению Народного Комиссара по Строитель</w:t>
      </w:r>
      <w:r w:rsidRPr="00DB5D0D">
        <w:rPr>
          <w:rFonts w:ascii="Times New Roman" w:hAnsi="Times New Roman"/>
          <w:color w:val="000000" w:themeColor="text1"/>
          <w:sz w:val="16"/>
          <w:szCs w:val="16"/>
        </w:rPr>
        <w:softHyphen/>
        <w:t>ству, Леннефтестрой должен приступить к работам по подводке трубопровода к цеху № 2 и к оборудованию зданий емкостями для нефтепродукта и связанной с этим коммуникацией трубопро</w:t>
      </w:r>
      <w:r w:rsidRPr="00DB5D0D">
        <w:rPr>
          <w:rFonts w:ascii="Times New Roman" w:hAnsi="Times New Roman"/>
          <w:color w:val="000000" w:themeColor="text1"/>
          <w:sz w:val="16"/>
          <w:szCs w:val="16"/>
        </w:rPr>
        <w:softHyphen/>
        <w:t>вода и их изоляции.</w:t>
      </w:r>
    </w:p>
    <w:p w14:paraId="5C2D59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По имеющимся сведениям Кировский з-д настаивает па изготовление железобетонных коробов для трубопроводов, от выполнения которых Глаапефтеспецстрой категорически от</w:t>
      </w:r>
      <w:r w:rsidRPr="00DB5D0D">
        <w:rPr>
          <w:rFonts w:ascii="Times New Roman" w:hAnsi="Times New Roman"/>
          <w:color w:val="000000" w:themeColor="text1"/>
          <w:sz w:val="16"/>
          <w:szCs w:val="16"/>
        </w:rPr>
        <w:softHyphen/>
        <w:t>казывается, т.к. он не имеет необходимых специалистов и рабсилы.</w:t>
      </w:r>
    </w:p>
    <w:p w14:paraId="52DE39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Договор на дополнительные работы не заключен, находится в стадии переговоров.</w:t>
      </w:r>
    </w:p>
    <w:p w14:paraId="3262DD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следует учесть, что распоряжение Народного Комис</w:t>
      </w:r>
      <w:r w:rsidRPr="00DB5D0D">
        <w:rPr>
          <w:rFonts w:ascii="Times New Roman" w:hAnsi="Times New Roman"/>
          <w:color w:val="000000" w:themeColor="text1"/>
          <w:sz w:val="16"/>
          <w:szCs w:val="16"/>
        </w:rPr>
        <w:softHyphen/>
        <w:t>сара на дополнительные работы последовало только 20/УШ-с.г. (10499,53).</w:t>
      </w:r>
    </w:p>
    <w:p w14:paraId="15D83B6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6B0E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Дубовский подготовил Справку для тов. Новикова А.С. по вооружению самолетов.</w:t>
      </w:r>
    </w:p>
    <w:p w14:paraId="5D0B733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 335сс от 26.7.40 г. определено количество и сроки поставки НКВ предметов стрелкового вооружения НКАП на август - декабрь 1940 года.</w:t>
      </w:r>
    </w:p>
    <w:p w14:paraId="1B4FFE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Во исполнение указанного постановления Зам. Нач. 1 Главного Управления т. Шиц представил НКВ заниженную заявку на вооружение самолетов (документы 1 Гл.Упр. НКАП №№ Д1052/5547 и Д1052/5548 от 3.8.40 г.), которая НКВ принята к исполнению.</w:t>
      </w:r>
    </w:p>
    <w:p w14:paraId="66F238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Разница в заявке НКАП и постановлении КО № 335 от 26.7.40 г. характеризуется следующими данными: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669"/>
        <w:gridCol w:w="1430"/>
        <w:gridCol w:w="1152"/>
        <w:gridCol w:w="970"/>
        <w:gridCol w:w="931"/>
      </w:tblGrid>
      <w:tr w:rsidR="007D5DF8" w:rsidRPr="00DB5D0D" w14:paraId="46755DB8" w14:textId="77777777" w:rsidTr="00E543D0">
        <w:trPr>
          <w:trHeight w:val="739"/>
        </w:trPr>
        <w:tc>
          <w:tcPr>
            <w:tcW w:w="2669" w:type="dxa"/>
            <w:tcBorders>
              <w:top w:val="single" w:sz="12" w:space="0" w:color="auto"/>
            </w:tcBorders>
          </w:tcPr>
          <w:p w14:paraId="757292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воору</w:t>
            </w:r>
            <w:r w:rsidRPr="00DB5D0D">
              <w:rPr>
                <w:rFonts w:ascii="Times New Roman" w:hAnsi="Times New Roman"/>
                <w:color w:val="000000" w:themeColor="text1"/>
                <w:sz w:val="16"/>
                <w:szCs w:val="16"/>
              </w:rPr>
              <w:softHyphen/>
              <w:t>жения</w:t>
            </w:r>
          </w:p>
        </w:tc>
        <w:tc>
          <w:tcPr>
            <w:tcW w:w="1430" w:type="dxa"/>
            <w:tcBorders>
              <w:top w:val="single" w:sz="12" w:space="0" w:color="auto"/>
            </w:tcBorders>
          </w:tcPr>
          <w:p w14:paraId="477CBC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по постановлению КО № 335 от 26.7.40 г.</w:t>
            </w:r>
          </w:p>
        </w:tc>
        <w:tc>
          <w:tcPr>
            <w:tcW w:w="1152" w:type="dxa"/>
            <w:tcBorders>
              <w:top w:val="single" w:sz="12" w:space="0" w:color="auto"/>
            </w:tcBorders>
          </w:tcPr>
          <w:p w14:paraId="1757C8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Колич.по заявке НКАП</w:t>
            </w:r>
          </w:p>
        </w:tc>
        <w:tc>
          <w:tcPr>
            <w:tcW w:w="970" w:type="dxa"/>
            <w:tcBorders>
              <w:top w:val="single" w:sz="12" w:space="0" w:color="auto"/>
            </w:tcBorders>
          </w:tcPr>
          <w:p w14:paraId="1DA3516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Разница</w:t>
            </w:r>
          </w:p>
        </w:tc>
        <w:tc>
          <w:tcPr>
            <w:tcW w:w="931" w:type="dxa"/>
            <w:tcBorders>
              <w:top w:val="single" w:sz="12" w:space="0" w:color="auto"/>
            </w:tcBorders>
          </w:tcPr>
          <w:p w14:paraId="1D75AC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меча ние</w:t>
            </w:r>
          </w:p>
        </w:tc>
      </w:tr>
      <w:tr w:rsidR="007D5DF8" w:rsidRPr="00DB5D0D" w14:paraId="0F08F131" w14:textId="77777777" w:rsidTr="00E543D0">
        <w:trPr>
          <w:trHeight w:val="528"/>
        </w:trPr>
        <w:tc>
          <w:tcPr>
            <w:tcW w:w="2669" w:type="dxa"/>
          </w:tcPr>
          <w:p w14:paraId="1F9947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 Шкас 7,62 мм. синхронный.</w:t>
            </w:r>
          </w:p>
        </w:tc>
        <w:tc>
          <w:tcPr>
            <w:tcW w:w="1430" w:type="dxa"/>
          </w:tcPr>
          <w:p w14:paraId="566AAC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9.330</w:t>
            </w:r>
          </w:p>
        </w:tc>
        <w:tc>
          <w:tcPr>
            <w:tcW w:w="1152" w:type="dxa"/>
          </w:tcPr>
          <w:p w14:paraId="556FD3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8.768</w:t>
            </w:r>
          </w:p>
        </w:tc>
        <w:tc>
          <w:tcPr>
            <w:tcW w:w="970" w:type="dxa"/>
          </w:tcPr>
          <w:p w14:paraId="3E1571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562</w:t>
            </w:r>
          </w:p>
        </w:tc>
        <w:tc>
          <w:tcPr>
            <w:tcW w:w="931" w:type="dxa"/>
          </w:tcPr>
          <w:p w14:paraId="57AFD1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6D1D240E" w14:textId="77777777" w:rsidTr="00E543D0">
        <w:trPr>
          <w:trHeight w:val="614"/>
        </w:trPr>
        <w:tc>
          <w:tcPr>
            <w:tcW w:w="2669" w:type="dxa"/>
          </w:tcPr>
          <w:p w14:paraId="65199C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 турельный</w:t>
            </w:r>
          </w:p>
        </w:tc>
        <w:tc>
          <w:tcPr>
            <w:tcW w:w="1430" w:type="dxa"/>
          </w:tcPr>
          <w:p w14:paraId="228367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10.220</w:t>
            </w:r>
          </w:p>
        </w:tc>
        <w:tc>
          <w:tcPr>
            <w:tcW w:w="1152" w:type="dxa"/>
          </w:tcPr>
          <w:p w14:paraId="261336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9.783</w:t>
            </w:r>
          </w:p>
        </w:tc>
        <w:tc>
          <w:tcPr>
            <w:tcW w:w="970" w:type="dxa"/>
          </w:tcPr>
          <w:p w14:paraId="4A1157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437</w:t>
            </w:r>
          </w:p>
        </w:tc>
        <w:tc>
          <w:tcPr>
            <w:tcW w:w="931" w:type="dxa"/>
          </w:tcPr>
          <w:p w14:paraId="164842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3E3BE3D8" w14:textId="77777777" w:rsidTr="00E543D0">
        <w:trPr>
          <w:trHeight w:val="614"/>
        </w:trPr>
        <w:tc>
          <w:tcPr>
            <w:tcW w:w="2669" w:type="dxa"/>
          </w:tcPr>
          <w:p w14:paraId="11FD1E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крыльевой</w:t>
            </w:r>
          </w:p>
        </w:tc>
        <w:tc>
          <w:tcPr>
            <w:tcW w:w="1430" w:type="dxa"/>
          </w:tcPr>
          <w:p w14:paraId="36975A7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3.245</w:t>
            </w:r>
          </w:p>
        </w:tc>
        <w:tc>
          <w:tcPr>
            <w:tcW w:w="1152" w:type="dxa"/>
          </w:tcPr>
          <w:p w14:paraId="677632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2.984</w:t>
            </w:r>
          </w:p>
        </w:tc>
        <w:tc>
          <w:tcPr>
            <w:tcW w:w="970" w:type="dxa"/>
          </w:tcPr>
          <w:p w14:paraId="3C8931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261</w:t>
            </w:r>
          </w:p>
        </w:tc>
        <w:tc>
          <w:tcPr>
            <w:tcW w:w="931" w:type="dxa"/>
          </w:tcPr>
          <w:p w14:paraId="7629D7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537ADC0B" w14:textId="77777777" w:rsidTr="00E543D0">
        <w:trPr>
          <w:trHeight w:val="307"/>
        </w:trPr>
        <w:tc>
          <w:tcPr>
            <w:tcW w:w="2669" w:type="dxa"/>
          </w:tcPr>
          <w:p w14:paraId="1AA0B9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Шкас</w:t>
            </w:r>
          </w:p>
        </w:tc>
        <w:tc>
          <w:tcPr>
            <w:tcW w:w="1430" w:type="dxa"/>
          </w:tcPr>
          <w:p w14:paraId="2304A94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22.795</w:t>
            </w:r>
          </w:p>
        </w:tc>
        <w:tc>
          <w:tcPr>
            <w:tcW w:w="1152" w:type="dxa"/>
          </w:tcPr>
          <w:p w14:paraId="04DE6D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21.535</w:t>
            </w:r>
          </w:p>
        </w:tc>
        <w:tc>
          <w:tcPr>
            <w:tcW w:w="970" w:type="dxa"/>
          </w:tcPr>
          <w:p w14:paraId="641F3C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1.260</w:t>
            </w:r>
          </w:p>
        </w:tc>
        <w:tc>
          <w:tcPr>
            <w:tcW w:w="931" w:type="dxa"/>
          </w:tcPr>
          <w:p w14:paraId="1D61FE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5121F913" w14:textId="77777777" w:rsidTr="00E543D0">
        <w:trPr>
          <w:trHeight w:val="480"/>
        </w:trPr>
        <w:tc>
          <w:tcPr>
            <w:tcW w:w="2669" w:type="dxa"/>
          </w:tcPr>
          <w:p w14:paraId="2B586C9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 мм. пулемет Березина синхрон.</w:t>
            </w:r>
          </w:p>
        </w:tc>
        <w:tc>
          <w:tcPr>
            <w:tcW w:w="1430" w:type="dxa"/>
          </w:tcPr>
          <w:p w14:paraId="7A4A81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1.726</w:t>
            </w:r>
          </w:p>
        </w:tc>
        <w:tc>
          <w:tcPr>
            <w:tcW w:w="1152" w:type="dxa"/>
          </w:tcPr>
          <w:p w14:paraId="174858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1.559</w:t>
            </w:r>
          </w:p>
        </w:tc>
        <w:tc>
          <w:tcPr>
            <w:tcW w:w="970" w:type="dxa"/>
          </w:tcPr>
          <w:p w14:paraId="4D83A8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167</w:t>
            </w:r>
          </w:p>
        </w:tc>
        <w:tc>
          <w:tcPr>
            <w:tcW w:w="931" w:type="dxa"/>
          </w:tcPr>
          <w:p w14:paraId="4EF2BB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44595E1F" w14:textId="77777777" w:rsidTr="00E543D0">
        <w:trPr>
          <w:trHeight w:val="422"/>
        </w:trPr>
        <w:tc>
          <w:tcPr>
            <w:tcW w:w="2669" w:type="dxa"/>
          </w:tcPr>
          <w:p w14:paraId="1F5D41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турельный</w:t>
            </w:r>
          </w:p>
        </w:tc>
        <w:tc>
          <w:tcPr>
            <w:tcW w:w="1430" w:type="dxa"/>
          </w:tcPr>
          <w:p w14:paraId="57B5A8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1152" w:type="dxa"/>
          </w:tcPr>
          <w:p w14:paraId="6F1062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w:t>
            </w:r>
          </w:p>
        </w:tc>
        <w:tc>
          <w:tcPr>
            <w:tcW w:w="970" w:type="dxa"/>
          </w:tcPr>
          <w:p w14:paraId="62AEC9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931" w:type="dxa"/>
          </w:tcPr>
          <w:p w14:paraId="6664CE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5AA39476" w14:textId="77777777" w:rsidTr="00E543D0">
        <w:trPr>
          <w:trHeight w:val="317"/>
        </w:trPr>
        <w:tc>
          <w:tcPr>
            <w:tcW w:w="2669" w:type="dxa"/>
          </w:tcPr>
          <w:p w14:paraId="337CA9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Березина</w:t>
            </w:r>
          </w:p>
        </w:tc>
        <w:tc>
          <w:tcPr>
            <w:tcW w:w="1430" w:type="dxa"/>
          </w:tcPr>
          <w:p w14:paraId="508320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1.871</w:t>
            </w:r>
          </w:p>
        </w:tc>
        <w:tc>
          <w:tcPr>
            <w:tcW w:w="1152" w:type="dxa"/>
          </w:tcPr>
          <w:p w14:paraId="517D31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1.704</w:t>
            </w:r>
          </w:p>
        </w:tc>
        <w:tc>
          <w:tcPr>
            <w:tcW w:w="970" w:type="dxa"/>
          </w:tcPr>
          <w:p w14:paraId="4AE991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931" w:type="dxa"/>
          </w:tcPr>
          <w:p w14:paraId="7D7709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25E17F10" w14:textId="77777777" w:rsidTr="00E543D0">
        <w:trPr>
          <w:trHeight w:val="461"/>
        </w:trPr>
        <w:tc>
          <w:tcPr>
            <w:tcW w:w="2669" w:type="dxa"/>
          </w:tcPr>
          <w:p w14:paraId="5083513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Швак 20 мм. Крыльевая</w:t>
            </w:r>
          </w:p>
          <w:p w14:paraId="58CF05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c>
          <w:tcPr>
            <w:tcW w:w="1430" w:type="dxa"/>
          </w:tcPr>
          <w:p w14:paraId="191939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1152" w:type="dxa"/>
          </w:tcPr>
          <w:p w14:paraId="77BCEF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w:t>
            </w:r>
          </w:p>
        </w:tc>
        <w:tc>
          <w:tcPr>
            <w:tcW w:w="970" w:type="dxa"/>
          </w:tcPr>
          <w:p w14:paraId="26353B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931" w:type="dxa"/>
          </w:tcPr>
          <w:p w14:paraId="633C93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7C5AF438" w14:textId="77777777" w:rsidTr="00E543D0">
        <w:trPr>
          <w:trHeight w:val="739"/>
        </w:trPr>
        <w:tc>
          <w:tcPr>
            <w:tcW w:w="2669" w:type="dxa"/>
          </w:tcPr>
          <w:p w14:paraId="56D4448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моторная</w:t>
            </w:r>
          </w:p>
        </w:tc>
        <w:tc>
          <w:tcPr>
            <w:tcW w:w="1430" w:type="dxa"/>
          </w:tcPr>
          <w:p w14:paraId="2855E65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c>
          <w:tcPr>
            <w:tcW w:w="1152" w:type="dxa"/>
          </w:tcPr>
          <w:p w14:paraId="027204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c>
          <w:tcPr>
            <w:tcW w:w="970" w:type="dxa"/>
          </w:tcPr>
          <w:p w14:paraId="6B34AF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931" w:type="dxa"/>
          </w:tcPr>
          <w:p w14:paraId="5F37D7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5B38AAC1" w14:textId="77777777" w:rsidTr="00E543D0">
        <w:trPr>
          <w:trHeight w:val="739"/>
        </w:trPr>
        <w:tc>
          <w:tcPr>
            <w:tcW w:w="2669" w:type="dxa"/>
          </w:tcPr>
          <w:p w14:paraId="485814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турельная</w:t>
            </w:r>
          </w:p>
        </w:tc>
        <w:tc>
          <w:tcPr>
            <w:tcW w:w="1430" w:type="dxa"/>
          </w:tcPr>
          <w:p w14:paraId="76213F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1152" w:type="dxa"/>
          </w:tcPr>
          <w:p w14:paraId="7491CAB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w:t>
            </w:r>
          </w:p>
        </w:tc>
        <w:tc>
          <w:tcPr>
            <w:tcW w:w="970" w:type="dxa"/>
          </w:tcPr>
          <w:p w14:paraId="181AAB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931" w:type="dxa"/>
          </w:tcPr>
          <w:p w14:paraId="522B1E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r w:rsidR="007D5DF8" w:rsidRPr="00DB5D0D" w14:paraId="0F2FCEE0" w14:textId="77777777" w:rsidTr="00E543D0">
        <w:trPr>
          <w:trHeight w:val="451"/>
        </w:trPr>
        <w:tc>
          <w:tcPr>
            <w:tcW w:w="2669" w:type="dxa"/>
            <w:tcBorders>
              <w:bottom w:val="single" w:sz="12" w:space="0" w:color="auto"/>
            </w:tcBorders>
          </w:tcPr>
          <w:p w14:paraId="27FB873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Итого Швак</w:t>
            </w:r>
          </w:p>
        </w:tc>
        <w:tc>
          <w:tcPr>
            <w:tcW w:w="1430" w:type="dxa"/>
            <w:tcBorders>
              <w:bottom w:val="single" w:sz="12" w:space="0" w:color="auto"/>
            </w:tcBorders>
          </w:tcPr>
          <w:p w14:paraId="777EAE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390</w:t>
            </w:r>
          </w:p>
        </w:tc>
        <w:tc>
          <w:tcPr>
            <w:tcW w:w="1152" w:type="dxa"/>
            <w:tcBorders>
              <w:bottom w:val="single" w:sz="12" w:space="0" w:color="auto"/>
            </w:tcBorders>
          </w:tcPr>
          <w:p w14:paraId="51FD4C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356</w:t>
            </w:r>
          </w:p>
        </w:tc>
        <w:tc>
          <w:tcPr>
            <w:tcW w:w="970" w:type="dxa"/>
            <w:tcBorders>
              <w:bottom w:val="single" w:sz="12" w:space="0" w:color="auto"/>
            </w:tcBorders>
          </w:tcPr>
          <w:p w14:paraId="7D6E61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931" w:type="dxa"/>
            <w:tcBorders>
              <w:bottom w:val="single" w:sz="12" w:space="0" w:color="auto"/>
            </w:tcBorders>
          </w:tcPr>
          <w:p w14:paraId="0E9BEF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tc>
      </w:tr>
    </w:tbl>
    <w:p w14:paraId="38201D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дальнейшем Зам. НКАП т. Воронин письмом № Н-20/1493 от 15.8.-40 г. в Главный Контроль КО сообщает о невыполнении НКВ плана поставок вооружения для НКАП в первом полугодии и июле месяце 1940 г. и просит о покрытии дефицита за июль и 14 дней августа 1940 г., выразившегося в 2.435 шт.. пулеметов Шкас всех типов. Дефицит в 2.435 пулеметов составляется из недопоставок в июле мес. 760 шт. и в половине месяца августа (уже по постановлению КО № 335) 1675 пулеметов.</w:t>
      </w:r>
    </w:p>
    <w:p w14:paraId="43178A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Большая недопоставка пулеметов в августе.об'ясняется тем, что на 21.8.40 г. на заводе № 66 НКВ (Тула) имеется неукомплектован</w:t>
      </w:r>
      <w:r w:rsidRPr="00DB5D0D">
        <w:rPr>
          <w:rFonts w:ascii="Times New Roman" w:hAnsi="Times New Roman"/>
          <w:color w:val="000000" w:themeColor="text1"/>
          <w:sz w:val="16"/>
          <w:szCs w:val="16"/>
        </w:rPr>
        <w:softHyphen/>
        <w:t>ных около 2000 пулеметов - недостает буферной пружины..Проволоку для пружины заводу № 66 подает завод № 71 (Ижевск), на котором 5ыло ее забраковано 900 кг. 20-21.8. отправлено годной проволоки 1 тн. и до концагбудет покрыт дефицит июня, июля и весь август в количестве 4,З тн.</w:t>
      </w:r>
    </w:p>
    <w:p w14:paraId="79230E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Таким образом НКАП, представляя заявку 3.8.40 г. в НКВ на стрелковое вооружение по постановлению КО № 335 от 26 июля 1940 дает заниженную цифру пулеметов ШКАС на 1260 шт., а 15 августа 1940 г. просит о покрытии дефицита июля месяца 1940 г. в 760 пулеметов.</w:t>
      </w:r>
    </w:p>
    <w:p w14:paraId="50E508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совещании в главном Контроле КО представитель НКАП т. Шкварченко подтвердил претензию на покрытие дефицита только по июль</w:t>
      </w:r>
      <w:r w:rsidRPr="00DB5D0D">
        <w:rPr>
          <w:rFonts w:ascii="Times New Roman" w:hAnsi="Times New Roman"/>
          <w:color w:val="000000" w:themeColor="text1"/>
          <w:sz w:val="16"/>
          <w:szCs w:val="16"/>
        </w:rPr>
        <w:softHyphen/>
        <w:t>ской программе в количестве 760 шт., а расхождение заявки с по</w:t>
      </w:r>
      <w:r w:rsidRPr="00DB5D0D">
        <w:rPr>
          <w:rFonts w:ascii="Times New Roman" w:hAnsi="Times New Roman"/>
          <w:color w:val="000000" w:themeColor="text1"/>
          <w:sz w:val="16"/>
          <w:szCs w:val="16"/>
        </w:rPr>
        <w:softHyphen/>
        <w:t>становлением КО об'яснил тем, что к моменту выхода постановления КО № 335 от 26.7.40 г. не могли выявить остаток пулеметов на за</w:t>
      </w:r>
      <w:r w:rsidRPr="00DB5D0D">
        <w:rPr>
          <w:rFonts w:ascii="Times New Roman" w:hAnsi="Times New Roman"/>
          <w:color w:val="000000" w:themeColor="text1"/>
          <w:sz w:val="16"/>
          <w:szCs w:val="16"/>
        </w:rPr>
        <w:softHyphen/>
        <w:t>водах НКАП на 1.8.40 г.</w:t>
      </w:r>
    </w:p>
    <w:p w14:paraId="7D9562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Требование на покрытие дефицита за июль месяц об'ясняется тем, что к 3.8.40 г. (дата заявки) не смогли точно учесть заделе самолетов на заводах НКАП.</w:t>
      </w:r>
    </w:p>
    <w:p w14:paraId="66F6EE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изложенного следует, что НКАП самовольно нарушил постанов</w:t>
      </w:r>
      <w:r w:rsidRPr="00DB5D0D">
        <w:rPr>
          <w:rFonts w:ascii="Times New Roman" w:hAnsi="Times New Roman"/>
          <w:color w:val="000000" w:themeColor="text1"/>
          <w:sz w:val="16"/>
          <w:szCs w:val="16"/>
        </w:rPr>
        <w:softHyphen/>
        <w:t>ление КО № 335 от 26.7.40 г., дав НКВ заниженную заявку, а в письме от 15.8.40 г. правильно требует покрытия дефицита за-июль 40 г.</w:t>
      </w:r>
    </w:p>
    <w:p w14:paraId="2A2576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w:t>
      </w:r>
    </w:p>
    <w:p w14:paraId="7A525B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Вызвать в Главный Контроль КО Зам. НКАП т. Воронина и Зам.НКВ т. Барсукова и предложить им решить этот вопрос (10520,107).</w:t>
      </w:r>
    </w:p>
    <w:p w14:paraId="448EAD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0A6B926" w14:textId="77777777" w:rsidR="004B4675" w:rsidRPr="00DB5D0D" w:rsidRDefault="004B4675"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года  директор Рыбинского завода №26 на котором, под руководством В.Я. Климова было развернуто серийное производство М-105, П. Д. Лаврентьев заключил договор с заводом № 234 об оказании технической помощи в освоении производства стопятых. В декабре 1940 года в Ленинграде  из «рыбинских» деталей,  собрали два первых двигателя. А всего до войны успели собрать  68 единиц (17415).</w:t>
      </w:r>
    </w:p>
    <w:p w14:paraId="0719B63C" w14:textId="77777777" w:rsidR="004B4675" w:rsidRPr="00DB5D0D" w:rsidRDefault="004B4675" w:rsidP="00DB5D0D">
      <w:pPr>
        <w:shd w:val="clear" w:color="auto" w:fill="FFFFFF"/>
        <w:spacing w:after="0" w:line="240" w:lineRule="auto"/>
        <w:jc w:val="both"/>
        <w:rPr>
          <w:rFonts w:ascii="Times New Roman" w:hAnsi="Times New Roman"/>
          <w:color w:val="000000" w:themeColor="text1"/>
          <w:sz w:val="16"/>
          <w:szCs w:val="16"/>
        </w:rPr>
      </w:pPr>
    </w:p>
    <w:p w14:paraId="0070BD98" w14:textId="77777777" w:rsidR="0021596E" w:rsidRPr="00DB5D0D" w:rsidRDefault="0021596E"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г. Приказ наркома авиационной промышленности СССР обязывал директора завода № 26 П. Д. Лаврентьева заключить договоры с заводами-дублерами на оказание технической помощи в постановке и освоении производства моторов М-105. Головному заводу необходимо было немедленно передать заводам № 384, № 234 и № 451 все основные материалы, общие, узловые и детальные чертежи двигателя, спецификации узлов и деталей, технические условия, материальные спецификации, технологии обработки по всем цехам, чертежи и спецификации инструмента, приспособлений и штампов, специальные станки и оборудование, все материалы по организации труда. Все это требовалось выполнить к 1 ноября 1940 г., передав в том числе по одному макету двигателя М-105 с разрезами, по пять моторов для освоения и изучения и одному эталонному двигателю (19705).</w:t>
      </w:r>
    </w:p>
    <w:p w14:paraId="002620A0" w14:textId="77777777" w:rsidR="0021596E" w:rsidRPr="00DB5D0D" w:rsidRDefault="0021596E" w:rsidP="00DB5D0D">
      <w:pPr>
        <w:spacing w:after="0" w:line="240" w:lineRule="auto"/>
        <w:jc w:val="both"/>
        <w:rPr>
          <w:rFonts w:ascii="Times New Roman" w:hAnsi="Times New Roman"/>
          <w:color w:val="000000" w:themeColor="text1"/>
          <w:sz w:val="16"/>
          <w:szCs w:val="16"/>
        </w:rPr>
      </w:pPr>
    </w:p>
    <w:p w14:paraId="51BE5A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22/31 августа 1940 г. приказами № 7/458с и № 302 от 4.10.1940 г. в соответствии с пост, правительства от 17.08.1940 г. был создан ГС Завод № 449 им. Красина НКАП /Украина  г. Днепропетровск/. Трактороремонтный завод им. Красина (или это филиал завода № 452 НКАП) был передан в НКАП из НК автомобильного транспорта УССР с присвоением названия ГС завод № 449 им. Красина при 2ГУ НКАП.</w:t>
      </w:r>
    </w:p>
    <w:p w14:paraId="0EA813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заводе начата организация работ по производству лопастей винтов.</w:t>
      </w:r>
    </w:p>
    <w:p w14:paraId="61054D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(Затем, вероятно, мощности эвакуированы в Саратов, где образован новый завод № 449 НКАП; либо еще в 1940 г. завод переименован в завод № 165</w:t>
      </w:r>
      <w:r w:rsidRPr="00DB5D0D">
        <w:rPr>
          <w:rFonts w:ascii="Times New Roman" w:hAnsi="Times New Roman"/>
          <w:color w:val="000000" w:themeColor="text1"/>
          <w:sz w:val="16"/>
          <w:szCs w:val="16"/>
          <w:vertAlign w:val="superscript"/>
        </w:rPr>
        <w:t>144</w:t>
      </w:r>
      <w:r w:rsidRPr="00DB5D0D">
        <w:rPr>
          <w:rFonts w:ascii="Times New Roman" w:hAnsi="Times New Roman"/>
          <w:color w:val="000000" w:themeColor="text1"/>
          <w:sz w:val="16"/>
          <w:szCs w:val="16"/>
        </w:rPr>
        <w:t>) (11982).</w:t>
      </w:r>
    </w:p>
    <w:p w14:paraId="238643D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0E5091C" w14:textId="77777777" w:rsidR="00BC1882" w:rsidRPr="00DB5D0D" w:rsidRDefault="00BC188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г. Заместитель наркома авиапромышленности Баландин в письме Н-32 / 1619 на имя заместителя Наркома внешней торговли Ю.М. Кагановича сообщал, что для выполнения спецпостановления Правительства № 82 сс НКАП командирует в Урумчи (Западный Китай) большую группу высококвалифицированных авиаспециалистов. Просил дать Указания Совсиньторгу (г. Урумчи) отпустить в IV кв. 1940 г. для рабочих и ИТР завода промтоваров на 50000 американских долларов. (18512).</w:t>
      </w:r>
    </w:p>
    <w:p w14:paraId="1D9B62FF" w14:textId="77777777" w:rsidR="00BC1882" w:rsidRPr="00DB5D0D" w:rsidRDefault="00BC1882" w:rsidP="00DB5D0D">
      <w:pPr>
        <w:spacing w:after="0" w:line="240" w:lineRule="auto"/>
        <w:jc w:val="both"/>
        <w:rPr>
          <w:rFonts w:ascii="Times New Roman" w:hAnsi="Times New Roman"/>
          <w:color w:val="000000" w:themeColor="text1"/>
          <w:sz w:val="16"/>
          <w:szCs w:val="16"/>
        </w:rPr>
      </w:pPr>
    </w:p>
    <w:p w14:paraId="6D3192CC" w14:textId="77777777" w:rsidR="00BC1882" w:rsidRPr="00DB5D0D" w:rsidRDefault="00BC188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г. Заместитель наркома авиапромышленности Баландин в письме Н-32 / 1619 на имя заместителя Наркома внешней торговли Ю.М. Кагановича сообщал, что для выполнения спецпостановления Правительства № 82 сс НКАП командирует в Урумчи (Западный Китай) большую группу высококвалифицированных авиаспециалистов. Просил дать Указания Совсиньторгу (г. Урумчи) отпустить в IV кв. 1940 г. для рабочих и ИТР завода промтоваров на 50000 американских долларов.</w:t>
      </w:r>
    </w:p>
    <w:p w14:paraId="21D984DC" w14:textId="77777777" w:rsidR="00BC1882" w:rsidRPr="00DB5D0D" w:rsidRDefault="00BC188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Политбюро ЦК ВКП(б) № П 21/336 - ОП от 25 октября 1940 г.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 в 1940 г., 16 млн рублей и 375 тысяч американских долларов».</w:t>
      </w:r>
    </w:p>
    <w:p w14:paraId="30CAC35D" w14:textId="77777777" w:rsidR="00BC1882" w:rsidRPr="00DB5D0D" w:rsidRDefault="00BC1882"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 данным М.Ю. Мухина, несмотря на то, что завод № 600 официально еще не был принят в эксплуатацию, «на 1941 г. ему уже назначили план по сборке и облету 143 самолетов И-16 (тип 24), которые предназначались для последующего перегона вглубь Китая»43. Но в связи с последующем отказом китайских властей от участия в строительстве завода, его продукция после начала Великой Отечественной войны поставлялась в СССР (18261).</w:t>
      </w:r>
    </w:p>
    <w:p w14:paraId="6DB59FA6" w14:textId="77777777" w:rsidR="00BC1882" w:rsidRPr="00DB5D0D" w:rsidRDefault="00BC1882" w:rsidP="00DB5D0D">
      <w:pPr>
        <w:spacing w:after="0" w:line="240" w:lineRule="auto"/>
        <w:jc w:val="both"/>
        <w:rPr>
          <w:rFonts w:ascii="Times New Roman" w:hAnsi="Times New Roman"/>
          <w:color w:val="000000" w:themeColor="text1"/>
          <w:sz w:val="16"/>
          <w:szCs w:val="16"/>
        </w:rPr>
      </w:pPr>
    </w:p>
    <w:p w14:paraId="6BBA8D7A" w14:textId="77777777" w:rsidR="003C7E8B" w:rsidRPr="00DB5D0D" w:rsidRDefault="00B30AFA"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ED269FE" w14:textId="77777777" w:rsidR="003C7E8B" w:rsidRPr="00DB5D0D" w:rsidRDefault="003C7E8B" w:rsidP="00DB5D0D">
      <w:pPr>
        <w:shd w:val="clear" w:color="auto" w:fill="FFFFFF"/>
        <w:spacing w:after="0" w:line="240" w:lineRule="auto"/>
        <w:jc w:val="both"/>
        <w:rPr>
          <w:rFonts w:ascii="Times New Roman" w:hAnsi="Times New Roman"/>
          <w:iCs/>
          <w:color w:val="000000" w:themeColor="text1"/>
          <w:sz w:val="16"/>
          <w:szCs w:val="16"/>
        </w:rPr>
      </w:pPr>
    </w:p>
    <w:p w14:paraId="19392C0A"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22 августа 1940 г.:</w:t>
      </w:r>
    </w:p>
    <w:p w14:paraId="415B2B5D"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Записка сотрудника ЛУН УФТИ АН УССР </w:t>
      </w:r>
    </w:p>
    <w:p w14:paraId="619B5D4F"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В.А.Маслова1 в АН СССР о мерах, </w:t>
      </w:r>
    </w:p>
    <w:p w14:paraId="20578754"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необходимых для организации работ по проблеме урана </w:t>
      </w:r>
    </w:p>
    <w:p w14:paraId="58EF5D02"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Главным вопросом урановой проблемы, разрешению которой должно быть уделено максимальное внимание, является в настоящее время разделение изотопов урана. Для решения этой проблемы необходимо немедленно сделать следующее: </w:t>
      </w:r>
    </w:p>
    <w:p w14:paraId="71CFF81B"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1. Поручить одному или нескольким институтам (в зависимости от того, насколько химикам эта задача покажется трудной) заняться получением жидких и газообразных соединений урана, что требуется для многих методов разделения изотопов. </w:t>
      </w:r>
    </w:p>
    <w:p w14:paraId="526E109B"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2. Предложить одному из институтов заняться разработкой центрифугального метода с целью применения его для разделения изотопов урана. </w:t>
      </w:r>
    </w:p>
    <w:p w14:paraId="637FDA41"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3. Обеспечить т. Виноградова необходимыми ему материалами и приборами. </w:t>
      </w:r>
    </w:p>
    <w:p w14:paraId="3AE4E88C"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4. Предложить УФТИ создать (немедленно) условия тт. Ланге и Маслову для проверки и разработки циклотронного метода разделения изотопов. Отпустить УФТИ для этой цели 50 тыс. руб. Наряду с этим выяснить возможность для Ланге проверить его метод на циклотроне Радиевого института АН в Ленинграде. Для этого на этом циклотроне понадобится только на время изменить частоту электрического поля. </w:t>
      </w:r>
    </w:p>
    <w:p w14:paraId="7ABA2324"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5. Предложить всем институтам и лабораториям, занимающимся разделением изотопов (в частности, т. Бродскому2 в Киеве), приступить к разработке эффективных методов разделения3 изотопов урана. </w:t>
      </w:r>
    </w:p>
    <w:p w14:paraId="51E30594"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6. Поручить лаборатории И.В. Курчатова вести работы по окончательному выяснению возможности возбуждения цепной реакции в природной смеси изотопов урана. </w:t>
      </w:r>
    </w:p>
    <w:p w14:paraId="0D59CF04"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7. По примеру заграницы засекретить работы, связанные с разделением изотопов урана. </w:t>
      </w:r>
    </w:p>
    <w:p w14:paraId="49679489"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8. Создать при АН СССР оперативную группу по урановой проблеме с введением в ее состав представителей заинтересованных и могущих быть полезными в этом вопросе ведомств (оборонные организации, учреждения по редким металлам и др.). </w:t>
      </w:r>
    </w:p>
    <w:p w14:paraId="25BA1B92"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9. Предложить всем организациям и лицам, занимающимся урановыми вопросами, представить в кратчайший срок подробно мотивированные заявки на изготовление необходимых им приборов и деталей, а также на необходимые им материалы и средства. </w:t>
      </w:r>
    </w:p>
    <w:p w14:paraId="6FC074AC"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Кандидат физ[ико]-мат[ематических] наук В. Маслов </w:t>
      </w:r>
    </w:p>
    <w:p w14:paraId="4548D302"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22.VIII.40 г. </w:t>
      </w:r>
    </w:p>
    <w:p w14:paraId="15D3DC8E"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rPr>
        <w:t xml:space="preserve">Архив РАН. Ф.2, оп.1а(40), д.216, л.35-36. Автограф. </w:t>
      </w:r>
    </w:p>
    <w:p w14:paraId="7BC0EB7B"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vertAlign w:val="superscript"/>
        </w:rPr>
        <w:t xml:space="preserve">1 </w:t>
      </w:r>
      <w:r w:rsidRPr="00DB5D0D">
        <w:rPr>
          <w:color w:val="000000" w:themeColor="text1"/>
          <w:sz w:val="16"/>
          <w:szCs w:val="16"/>
        </w:rPr>
        <w:t xml:space="preserve">Возможно, что этот документ и ряд последующих подготовлены по поручению секретаря Президиума АН СССР П.А. Светлова. Далее в заголовках документов: В.А. Маслов; ФТИ АН УССР – УФТИ. </w:t>
      </w:r>
    </w:p>
    <w:p w14:paraId="3316BADB"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vertAlign w:val="superscript"/>
        </w:rPr>
        <w:t xml:space="preserve">2 </w:t>
      </w:r>
      <w:r w:rsidRPr="00DB5D0D">
        <w:rPr>
          <w:color w:val="000000" w:themeColor="text1"/>
          <w:sz w:val="16"/>
          <w:szCs w:val="16"/>
        </w:rPr>
        <w:t xml:space="preserve">В документе ошибка: А.И. Бродский работал в г. Днепропетровске. </w:t>
      </w:r>
    </w:p>
    <w:p w14:paraId="0A0B3010" w14:textId="77777777" w:rsidR="003C7E8B" w:rsidRPr="00DB5D0D" w:rsidRDefault="003C7E8B" w:rsidP="00DB5D0D">
      <w:pPr>
        <w:pStyle w:val="Default"/>
        <w:jc w:val="both"/>
        <w:rPr>
          <w:color w:val="000000" w:themeColor="text1"/>
          <w:sz w:val="16"/>
          <w:szCs w:val="16"/>
        </w:rPr>
      </w:pPr>
      <w:r w:rsidRPr="00DB5D0D">
        <w:rPr>
          <w:color w:val="000000" w:themeColor="text1"/>
          <w:sz w:val="16"/>
          <w:szCs w:val="16"/>
          <w:vertAlign w:val="superscript"/>
        </w:rPr>
        <w:t xml:space="preserve">3 </w:t>
      </w:r>
      <w:r w:rsidRPr="00DB5D0D">
        <w:rPr>
          <w:color w:val="000000" w:themeColor="text1"/>
          <w:sz w:val="16"/>
          <w:szCs w:val="16"/>
        </w:rPr>
        <w:t>Далее одно слово вписано автором над строкой (11323).</w:t>
      </w:r>
    </w:p>
    <w:p w14:paraId="6A3F9ABF" w14:textId="77777777" w:rsidR="003C7E8B" w:rsidRPr="00DB5D0D" w:rsidRDefault="003C7E8B" w:rsidP="00DB5D0D">
      <w:pPr>
        <w:pStyle w:val="Default"/>
        <w:jc w:val="both"/>
        <w:rPr>
          <w:color w:val="000000" w:themeColor="text1"/>
          <w:sz w:val="16"/>
          <w:szCs w:val="16"/>
        </w:rPr>
      </w:pPr>
    </w:p>
    <w:p w14:paraId="25206F6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685F5A7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D1FB9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августа 1940 года Заместитель наркома авиапромышленности Баландин в письме Н-32 / 1619 на имя заместителя Наркома внешней торговли Кагановича Ю.М. сообщал, что для выполнения спецпостановления Правительства № 82 сс НКАП командирует в Урумчи (Западный Китай) большую группу высококвалифицированных авиаспециалистов. Просил дать Указания Совсиньторгу (г. Урумчи) отпустить в IV квартале 1940 года для рабочих и ИТР завода промтоваров на 50000 американских долларов (РГАЭ. Ф. 8044. Оп. 1. Д. 436. Л. 108.).</w:t>
      </w:r>
    </w:p>
    <w:p w14:paraId="35142F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Политбюро ЦК ВКП(б) № П 21/336 – ОП от 25 октября 1940 года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«600»169 в 1940 году, 16 млн рублей и 375 тысяч американских долларов» (РГАСПИ. Ф. 17. Оп. 162. Д. 29. Л. 141.).</w:t>
      </w:r>
    </w:p>
    <w:p w14:paraId="625F4B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данным М.Ю. Мухина, несмотря на то, что завод № 600 официально еще не был принят в эксплуатацию, «на 1941 год ему уже назначили план по сборке и облету 143 самолетов И-16 (тип 24), которые предназначались для последующего перегона вглубь Китая» (Мухин М.Ю. Указ. соч. С. 87.). Но в связи с последующим отказом китайских властей от участия в строительстве завода его продукция после начала Великой Отечественной войны поставлялась в СССР (М.И. Сладковский. История торгово-экономических отношений СССР с Китаем (1917 – 1974). С. 140.) (11672).</w:t>
      </w:r>
    </w:p>
    <w:p w14:paraId="7CE8747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CC8A98E" w14:textId="77777777" w:rsidR="00297B06"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91DB2EF" w14:textId="77777777" w:rsidR="00297B06" w:rsidRPr="00DB5D0D" w:rsidRDefault="00297B06" w:rsidP="00DB5D0D">
      <w:pPr>
        <w:spacing w:after="0" w:line="240" w:lineRule="auto"/>
        <w:jc w:val="both"/>
        <w:rPr>
          <w:rFonts w:ascii="Times New Roman" w:hAnsi="Times New Roman"/>
          <w:iCs/>
          <w:color w:val="000000" w:themeColor="text1"/>
          <w:sz w:val="16"/>
          <w:szCs w:val="16"/>
        </w:rPr>
      </w:pPr>
    </w:p>
    <w:p w14:paraId="43664886" w14:textId="77777777" w:rsidR="00297B06" w:rsidRPr="00DB5D0D" w:rsidRDefault="00297B0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22 августа в 1940 году звено английских торпедоносцев </w:t>
      </w:r>
      <w:hyperlink r:id="rId297" w:tgtFrame="_blank" w:history="1">
        <w:r w:rsidRPr="00DB5D0D">
          <w:rPr>
            <w:rFonts w:ascii="Times New Roman" w:hAnsi="Times New Roman"/>
            <w:color w:val="000000" w:themeColor="text1"/>
            <w:sz w:val="16"/>
            <w:szCs w:val="16"/>
          </w:rPr>
          <w:t xml:space="preserve">«Fairey Swordfish» </w:t>
        </w:r>
      </w:hyperlink>
      <w:r w:rsidRPr="00DB5D0D">
        <w:rPr>
          <w:rFonts w:ascii="Times New Roman" w:hAnsi="Times New Roman"/>
          <w:color w:val="000000" w:themeColor="text1"/>
          <w:sz w:val="16"/>
          <w:szCs w:val="16"/>
        </w:rPr>
        <w:t>под командой капитана Пэтча обнаружило в гавани Сиди-Баррани скопление кораблей противника. Они стояли так плотно, что летчикам не пришлось даже как следует прицеливаться. Тремя торпедами были подорваны две подводные лодки и транспорт, груженный, как оказалось, боеприпасами. Взрыв на его борту разнес вдребезги не только сам корабль, но и пришвартованный к нему эсминец. Это был, пожалуй, единственный в истории случай, когда тремя торпедами удалось уничтожить четыре судна (14990).</w:t>
      </w:r>
    </w:p>
    <w:p w14:paraId="45F92461" w14:textId="77777777" w:rsidR="00297B06" w:rsidRPr="00DB5D0D" w:rsidRDefault="00297B06" w:rsidP="00DB5D0D">
      <w:pPr>
        <w:spacing w:after="0" w:line="240" w:lineRule="auto"/>
        <w:jc w:val="both"/>
        <w:rPr>
          <w:rFonts w:ascii="Times New Roman" w:hAnsi="Times New Roman"/>
          <w:color w:val="000000" w:themeColor="text1"/>
          <w:sz w:val="16"/>
          <w:szCs w:val="16"/>
        </w:rPr>
      </w:pPr>
    </w:p>
    <w:p w14:paraId="01F5861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324F21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B6789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БШ-2 № 1 был возвращен заводу для установки на самолет мотора АМ-38, который с 6 по 10 августа удовлетворительно прошел 50-часовые внутризаводские испытания (9649).</w:t>
      </w:r>
    </w:p>
    <w:p w14:paraId="4E1AEE8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A3E4C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БШ-2 № 1, который был предъявлен в НИИ ВВС на повторные государственные испытания 16 августа, был возвра</w:t>
      </w:r>
      <w:r w:rsidRPr="00DB5D0D">
        <w:rPr>
          <w:rFonts w:ascii="Times New Roman" w:hAnsi="Times New Roman"/>
          <w:color w:val="000000" w:themeColor="text1"/>
          <w:sz w:val="16"/>
          <w:szCs w:val="16"/>
        </w:rPr>
        <w:softHyphen/>
        <w:t>щен заводу для установки на самолет мотора АМ-38, который с 6 по 10 августа удовлетворительно прошел 50-часовые внутризаводские испытания (6467).</w:t>
      </w:r>
    </w:p>
    <w:p w14:paraId="42FE041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F0A0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машина БШ-2 N 1 была воз</w:t>
      </w:r>
      <w:r w:rsidRPr="00DB5D0D">
        <w:rPr>
          <w:rFonts w:ascii="Times New Roman" w:hAnsi="Times New Roman"/>
          <w:color w:val="000000" w:themeColor="text1"/>
          <w:sz w:val="16"/>
          <w:szCs w:val="16"/>
        </w:rPr>
        <w:softHyphen/>
        <w:t>вращена с гос. испытаний, начавшихся 16 августа 1940, заводу 39 для установки на са</w:t>
      </w:r>
      <w:r w:rsidRPr="00DB5D0D">
        <w:rPr>
          <w:rFonts w:ascii="Times New Roman" w:hAnsi="Times New Roman"/>
          <w:color w:val="000000" w:themeColor="text1"/>
          <w:sz w:val="16"/>
          <w:szCs w:val="16"/>
        </w:rPr>
        <w:softHyphen/>
        <w:t>молет АМ-38 — с 6 по 10 августа этот двигатель удовлетворительно про</w:t>
      </w:r>
      <w:r w:rsidRPr="00DB5D0D">
        <w:rPr>
          <w:rFonts w:ascii="Times New Roman" w:hAnsi="Times New Roman"/>
          <w:color w:val="000000" w:themeColor="text1"/>
          <w:sz w:val="16"/>
          <w:szCs w:val="16"/>
        </w:rPr>
        <w:softHyphen/>
        <w:t>шел 50-часовые внутризаводские ис</w:t>
      </w:r>
      <w:r w:rsidRPr="00DB5D0D">
        <w:rPr>
          <w:rFonts w:ascii="Times New Roman" w:hAnsi="Times New Roman"/>
          <w:color w:val="000000" w:themeColor="text1"/>
          <w:sz w:val="16"/>
          <w:szCs w:val="16"/>
        </w:rPr>
        <w:softHyphen/>
        <w:t>пытания (4140).</w:t>
      </w:r>
    </w:p>
    <w:p w14:paraId="1B458CE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63AF6FF" w14:textId="77777777" w:rsidR="006D2834" w:rsidRPr="00DB5D0D" w:rsidRDefault="006D2834"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23 августа 1940 военные возвратили самолет БШ-2 № 2 заводу №39. Основания для такого шага имелись: в период с 6 по 10 августа первый лпытный экземпляр мотора АМ-38 (переделан из мотора АМ-35 зав. №166) удовлетворительно прошел внутризаводские 50-часовые испытания режимной работы. В стадии окончательной сборки находился второй экземпляр мотора АМ-38 (переделан из мотора АМ-35 № 183), который предназначался для завода №39. Эти обстоятельства позволяли надеяться на скорую передачу НИИ ВВС самолета БШ-2 №1 с вполне кондиционным мотором АМ-38 (19087).</w:t>
      </w:r>
    </w:p>
    <w:p w14:paraId="2F226B41" w14:textId="77777777" w:rsidR="006D2834" w:rsidRPr="00DB5D0D" w:rsidRDefault="006D2834"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567975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закончились гос. испытания серийного ДБ-3Ф N 390801 производства 39 завода, которые начались 16 июля 1940 (796,29). На машине клепку крыла и фюзеляжа сделали впотай и обводы передней части сделали более гнутыми, улучшили укладку плексигласа, сделали убирающимся хвостовое колесо, увеличили сектор обстрела МВ-2. На двигателях появились новые капоты с увеличенным входным сечением, а маслорадиаторы переместили в переднюю кромку крыла. В испытаниях участвовали и Н.М.Кокорин, л А.П.Сыроегин и ш Л.М.Гоптарев (2467,6).</w:t>
      </w:r>
    </w:p>
    <w:p w14:paraId="0C9F935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0E53B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августа 1940 г. в НИИ ВВС закончились контрольные государственные испытания самолета ДБ-3Ф с двигателями М-88 и воздушными винтами ВИШ-23Т диаметром 3,4 м с регулятором постоянных оборотов Р-2 - эталон для серийного производства во второй половине 1940 г., которые проходили с 16 июля. Как и на ранее выпущенных ДБ-3, экипаж самолета-эталона состоял из трех человек, но в конструкцию машины был внесен ряд улучшений. На ней клепка крыла и фюзеляжа выполнялась заклепками с потайными головками, была улучшена укладка остекления в кабине штурмана, установлена убирающаяся в полете хвостовая опора, маслорадиаторы убраны внутрь передней кромки крыла, самолет окрашен по шпаклевке эмалевой краской: сверху - темно-зеленой, снизу - светло-голубой. Усилили оборонительное вооружение: верхняя стрелковая установка типа СУ и нижняя люковая установка типа ЛУ были заменены более современными установками МВ-3 и МВ-2 с пулеметами ШКАС, уже прошедшими испытания на ДБ-3. В заключении по результатам государственных испытаний, закончившихся 23 августа 1940 г., </w:t>
      </w:r>
      <w:r w:rsidRPr="00DB5D0D">
        <w:rPr>
          <w:rFonts w:ascii="Times New Roman" w:hAnsi="Times New Roman"/>
          <w:color w:val="000000" w:themeColor="text1"/>
          <w:sz w:val="16"/>
          <w:szCs w:val="16"/>
        </w:rPr>
        <w:lastRenderedPageBreak/>
        <w:t>отмечалась недоведенность двигателей М-88, выявленная в процессе эксплуатации в строевых частях самолетов с этими двигателями. К этому добавились несколько аварий опытных самолетов других ОКБ, на которых были установлены те же М-88 (9528).</w:t>
      </w:r>
    </w:p>
    <w:p w14:paraId="551F69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Сравнение летно-технических характеристик бомбардировщиков ДБ-3Ф и He-111H-1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7D5DF8" w:rsidRPr="00DB5D0D" w14:paraId="36B895D8" w14:textId="77777777" w:rsidTr="00E543D0">
        <w:tc>
          <w:tcPr>
            <w:tcW w:w="2840" w:type="dxa"/>
            <w:tcBorders>
              <w:top w:val="single" w:sz="12" w:space="0" w:color="auto"/>
            </w:tcBorders>
          </w:tcPr>
          <w:p w14:paraId="311C96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2840" w:type="dxa"/>
            <w:tcBorders>
              <w:top w:val="single" w:sz="12" w:space="0" w:color="auto"/>
            </w:tcBorders>
          </w:tcPr>
          <w:p w14:paraId="30D8AB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w:t>
            </w:r>
          </w:p>
        </w:tc>
        <w:tc>
          <w:tcPr>
            <w:tcW w:w="2840" w:type="dxa"/>
            <w:tcBorders>
              <w:top w:val="single" w:sz="12" w:space="0" w:color="auto"/>
            </w:tcBorders>
          </w:tcPr>
          <w:p w14:paraId="0338D7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He-111H-1</w:t>
            </w:r>
          </w:p>
        </w:tc>
      </w:tr>
      <w:tr w:rsidR="007D5DF8" w:rsidRPr="00DB5D0D" w14:paraId="64227ABE" w14:textId="77777777" w:rsidTr="00E543D0">
        <w:tc>
          <w:tcPr>
            <w:tcW w:w="2840" w:type="dxa"/>
          </w:tcPr>
          <w:p w14:paraId="62595D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 выпуска</w:t>
            </w:r>
          </w:p>
        </w:tc>
        <w:tc>
          <w:tcPr>
            <w:tcW w:w="2840" w:type="dxa"/>
          </w:tcPr>
          <w:p w14:paraId="19708C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w:t>
            </w:r>
          </w:p>
        </w:tc>
        <w:tc>
          <w:tcPr>
            <w:tcW w:w="2840" w:type="dxa"/>
          </w:tcPr>
          <w:p w14:paraId="0DCF48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1939</w:t>
            </w:r>
          </w:p>
        </w:tc>
      </w:tr>
      <w:tr w:rsidR="007D5DF8" w:rsidRPr="00DB5D0D" w14:paraId="7DE2D8B0" w14:textId="77777777" w:rsidTr="00E543D0">
        <w:tc>
          <w:tcPr>
            <w:tcW w:w="2840" w:type="dxa"/>
          </w:tcPr>
          <w:p w14:paraId="19CBA9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членов экипажа</w:t>
            </w:r>
          </w:p>
        </w:tc>
        <w:tc>
          <w:tcPr>
            <w:tcW w:w="2840" w:type="dxa"/>
          </w:tcPr>
          <w:p w14:paraId="35359B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840" w:type="dxa"/>
          </w:tcPr>
          <w:p w14:paraId="64A736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r>
      <w:tr w:rsidR="007D5DF8" w:rsidRPr="00DB5D0D" w14:paraId="786D5F79" w14:textId="77777777" w:rsidTr="00E543D0">
        <w:tc>
          <w:tcPr>
            <w:tcW w:w="2840" w:type="dxa"/>
          </w:tcPr>
          <w:p w14:paraId="029FD2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и тип двигателей</w:t>
            </w:r>
          </w:p>
        </w:tc>
        <w:tc>
          <w:tcPr>
            <w:tcW w:w="2840" w:type="dxa"/>
          </w:tcPr>
          <w:p w14:paraId="485658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2хМ-88</w:t>
            </w:r>
          </w:p>
        </w:tc>
        <w:tc>
          <w:tcPr>
            <w:tcW w:w="2840" w:type="dxa"/>
          </w:tcPr>
          <w:p w14:paraId="339BBB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2xJumo 211</w:t>
            </w:r>
          </w:p>
        </w:tc>
      </w:tr>
      <w:tr w:rsidR="007D5DF8" w:rsidRPr="00DB5D0D" w14:paraId="7E5B31C2" w14:textId="77777777" w:rsidTr="00E543D0">
        <w:tc>
          <w:tcPr>
            <w:tcW w:w="2840" w:type="dxa"/>
          </w:tcPr>
          <w:p w14:paraId="16F491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мощность двигателей, л.с.</w:t>
            </w:r>
          </w:p>
        </w:tc>
        <w:tc>
          <w:tcPr>
            <w:tcW w:w="2840" w:type="dxa"/>
          </w:tcPr>
          <w:p w14:paraId="3F7A09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2х1100</w:t>
            </w:r>
          </w:p>
        </w:tc>
        <w:tc>
          <w:tcPr>
            <w:tcW w:w="2840" w:type="dxa"/>
          </w:tcPr>
          <w:p w14:paraId="47D62B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2х1010</w:t>
            </w:r>
          </w:p>
        </w:tc>
      </w:tr>
      <w:tr w:rsidR="007D5DF8" w:rsidRPr="00DB5D0D" w14:paraId="7363CD39" w14:textId="77777777" w:rsidTr="00E543D0">
        <w:tc>
          <w:tcPr>
            <w:tcW w:w="2840" w:type="dxa"/>
          </w:tcPr>
          <w:p w14:paraId="0B90DA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Максимальный взлетный вес, кг</w:t>
            </w:r>
          </w:p>
        </w:tc>
        <w:tc>
          <w:tcPr>
            <w:tcW w:w="2840" w:type="dxa"/>
          </w:tcPr>
          <w:p w14:paraId="4F2CD0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10153</w:t>
            </w:r>
          </w:p>
        </w:tc>
        <w:tc>
          <w:tcPr>
            <w:tcW w:w="2840" w:type="dxa"/>
          </w:tcPr>
          <w:p w14:paraId="053593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13500</w:t>
            </w:r>
          </w:p>
        </w:tc>
      </w:tr>
      <w:tr w:rsidR="007D5DF8" w:rsidRPr="00DB5D0D" w14:paraId="3DFDAA86" w14:textId="77777777" w:rsidTr="00E543D0">
        <w:tc>
          <w:tcPr>
            <w:tcW w:w="2840" w:type="dxa"/>
          </w:tcPr>
          <w:p w14:paraId="56C4ED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км/ч</w:t>
            </w:r>
          </w:p>
        </w:tc>
        <w:tc>
          <w:tcPr>
            <w:tcW w:w="2840" w:type="dxa"/>
          </w:tcPr>
          <w:p w14:paraId="5BD859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429</w:t>
            </w:r>
          </w:p>
        </w:tc>
        <w:tc>
          <w:tcPr>
            <w:tcW w:w="2840" w:type="dxa"/>
          </w:tcPr>
          <w:p w14:paraId="1600F6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395</w:t>
            </w:r>
          </w:p>
        </w:tc>
      </w:tr>
      <w:tr w:rsidR="007D5DF8" w:rsidRPr="00DB5D0D" w14:paraId="5E7F6E82" w14:textId="77777777" w:rsidTr="00E543D0">
        <w:tc>
          <w:tcPr>
            <w:tcW w:w="2840" w:type="dxa"/>
          </w:tcPr>
          <w:p w14:paraId="4783B3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 5000 м, мин</w:t>
            </w:r>
          </w:p>
        </w:tc>
        <w:tc>
          <w:tcPr>
            <w:tcW w:w="2840" w:type="dxa"/>
          </w:tcPr>
          <w:p w14:paraId="228D8A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w:t>
            </w:r>
          </w:p>
        </w:tc>
        <w:tc>
          <w:tcPr>
            <w:tcW w:w="2840" w:type="dxa"/>
          </w:tcPr>
          <w:p w14:paraId="2B0E4B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r>
      <w:tr w:rsidR="007D5DF8" w:rsidRPr="00DB5D0D" w14:paraId="70396529" w14:textId="77777777" w:rsidTr="00E543D0">
        <w:tc>
          <w:tcPr>
            <w:tcW w:w="2840" w:type="dxa"/>
          </w:tcPr>
          <w:p w14:paraId="59BF6C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дальность полета, км</w:t>
            </w:r>
          </w:p>
        </w:tc>
        <w:tc>
          <w:tcPr>
            <w:tcW w:w="2840" w:type="dxa"/>
          </w:tcPr>
          <w:p w14:paraId="1FAEC3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3300</w:t>
            </w:r>
          </w:p>
        </w:tc>
        <w:tc>
          <w:tcPr>
            <w:tcW w:w="2840" w:type="dxa"/>
          </w:tcPr>
          <w:p w14:paraId="0E871B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2300</w:t>
            </w:r>
          </w:p>
        </w:tc>
      </w:tr>
      <w:tr w:rsidR="007D5DF8" w:rsidRPr="00DB5D0D" w14:paraId="7A8B2B94" w14:textId="77777777" w:rsidTr="00E543D0">
        <w:tc>
          <w:tcPr>
            <w:tcW w:w="2840" w:type="dxa"/>
          </w:tcPr>
          <w:p w14:paraId="64EACD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 Груз, норм./макс., кг</w:t>
            </w:r>
          </w:p>
        </w:tc>
        <w:tc>
          <w:tcPr>
            <w:tcW w:w="2840" w:type="dxa"/>
          </w:tcPr>
          <w:p w14:paraId="1EE53D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1000/2500</w:t>
            </w:r>
          </w:p>
        </w:tc>
        <w:tc>
          <w:tcPr>
            <w:tcW w:w="2840" w:type="dxa"/>
          </w:tcPr>
          <w:p w14:paraId="5B6631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1000/2000</w:t>
            </w:r>
          </w:p>
        </w:tc>
      </w:tr>
      <w:tr w:rsidR="007D5DF8" w:rsidRPr="00DB5D0D" w14:paraId="1AF979FF" w14:textId="77777777" w:rsidTr="00E543D0">
        <w:tc>
          <w:tcPr>
            <w:tcW w:w="2840" w:type="dxa"/>
          </w:tcPr>
          <w:p w14:paraId="4813C6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Оборонительное вооружение</w:t>
            </w:r>
          </w:p>
        </w:tc>
        <w:tc>
          <w:tcPr>
            <w:tcW w:w="2840" w:type="dxa"/>
          </w:tcPr>
          <w:p w14:paraId="39A583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840" w:type="dxa"/>
          </w:tcPr>
          <w:p w14:paraId="1DB3EF8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540ED9E" w14:textId="77777777" w:rsidTr="00E543D0">
        <w:tc>
          <w:tcPr>
            <w:tcW w:w="2840" w:type="dxa"/>
          </w:tcPr>
          <w:p w14:paraId="6FC9DE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количество пулеметов</w:t>
            </w:r>
          </w:p>
        </w:tc>
        <w:tc>
          <w:tcPr>
            <w:tcW w:w="2840" w:type="dxa"/>
          </w:tcPr>
          <w:p w14:paraId="2E6D0E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2840" w:type="dxa"/>
          </w:tcPr>
          <w:p w14:paraId="28C33E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3FD1F63B" w14:textId="77777777" w:rsidTr="00E543D0">
        <w:tc>
          <w:tcPr>
            <w:tcW w:w="2840" w:type="dxa"/>
            <w:tcBorders>
              <w:bottom w:val="single" w:sz="12" w:space="0" w:color="auto"/>
            </w:tcBorders>
          </w:tcPr>
          <w:p w14:paraId="06E8A6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калибр пулеметов, мм</w:t>
            </w:r>
          </w:p>
        </w:tc>
        <w:tc>
          <w:tcPr>
            <w:tcW w:w="2840" w:type="dxa"/>
            <w:tcBorders>
              <w:bottom w:val="single" w:sz="12" w:space="0" w:color="auto"/>
            </w:tcBorders>
          </w:tcPr>
          <w:p w14:paraId="264F4A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7,62</w:t>
            </w:r>
          </w:p>
        </w:tc>
        <w:tc>
          <w:tcPr>
            <w:tcW w:w="2840" w:type="dxa"/>
            <w:tcBorders>
              <w:bottom w:val="single" w:sz="12" w:space="0" w:color="auto"/>
            </w:tcBorders>
          </w:tcPr>
          <w:p w14:paraId="4AF1F8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 (9528)</w:t>
            </w:r>
          </w:p>
        </w:tc>
      </w:tr>
    </w:tbl>
    <w:p w14:paraId="74E005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13593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вышел приказ НКАП N 443с о назначении В.К.К. л-и для проведения заводских испытаний ДБ-4 и проведении испытаний в течение 2.5 месяцев (280,28).</w:t>
      </w:r>
    </w:p>
    <w:p w14:paraId="0F65CB7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заводских испытаний самолета ДБ-4 конструкции тов. Ильюшина, ПРИ НАЗЫВАЮ:</w:t>
      </w:r>
    </w:p>
    <w:p w14:paraId="4F3C3C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Тов. Коккинаки В.К. назначить летчиком-испытате</w:t>
      </w:r>
      <w:r w:rsidRPr="00DB5D0D">
        <w:rPr>
          <w:rFonts w:ascii="Times New Roman" w:hAnsi="Times New Roman"/>
          <w:color w:val="000000" w:themeColor="text1"/>
          <w:sz w:val="16"/>
          <w:szCs w:val="16"/>
        </w:rPr>
        <w:softHyphen/>
        <w:t>лем на машину ДБ-4 для проведения заводских; испытании самолета.</w:t>
      </w:r>
    </w:p>
    <w:p w14:paraId="54F535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Заводские испытания провести в течение двух с половиной месяцев с сего числа.</w:t>
      </w:r>
    </w:p>
    <w:p w14:paraId="5E0E7B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Установить дополнительную зарплату тов. Коккинаки В.К. за полное проведение заводских испытаний в срок 60.000 рублей (280,28).</w:t>
      </w:r>
    </w:p>
    <w:p w14:paraId="6C9ED16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D384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начались заводские испытания ДБ-4 2АМ-37 С.В.И. (2090,232).</w:t>
      </w:r>
    </w:p>
    <w:p w14:paraId="048D26B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61211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 макет самолета «103У» 2АМ-37 был осмотрен и одоб</w:t>
      </w:r>
      <w:r w:rsidRPr="00DB5D0D">
        <w:rPr>
          <w:rFonts w:ascii="Times New Roman" w:hAnsi="Times New Roman"/>
          <w:color w:val="000000" w:themeColor="text1"/>
          <w:sz w:val="16"/>
          <w:szCs w:val="16"/>
        </w:rPr>
        <w:softHyphen/>
        <w:t>рен комиссией ВВС, 4 ноября закон</w:t>
      </w:r>
      <w:r w:rsidRPr="00DB5D0D">
        <w:rPr>
          <w:rFonts w:ascii="Times New Roman" w:hAnsi="Times New Roman"/>
          <w:color w:val="000000" w:themeColor="text1"/>
          <w:sz w:val="16"/>
          <w:szCs w:val="16"/>
        </w:rPr>
        <w:softHyphen/>
        <w:t>чилась передача рабочих чертежей в опытное производство. 9 апреля 1941 г. постройка самолета была законче</w:t>
      </w:r>
      <w:r w:rsidRPr="00DB5D0D">
        <w:rPr>
          <w:rFonts w:ascii="Times New Roman" w:hAnsi="Times New Roman"/>
          <w:color w:val="000000" w:themeColor="text1"/>
          <w:sz w:val="16"/>
          <w:szCs w:val="16"/>
        </w:rPr>
        <w:softHyphen/>
        <w:t>на, 15 мая летчик-испытатель М А.Нюх</w:t>
      </w:r>
      <w:r w:rsidRPr="00DB5D0D">
        <w:rPr>
          <w:rFonts w:ascii="Times New Roman" w:hAnsi="Times New Roman"/>
          <w:color w:val="000000" w:themeColor="text1"/>
          <w:sz w:val="16"/>
          <w:szCs w:val="16"/>
        </w:rPr>
        <w:softHyphen/>
        <w:t>тиков совершил на «103У» первый полет. В июне - июле самолет вместе с первой машиной «103» проходил го</w:t>
      </w:r>
      <w:r w:rsidRPr="00DB5D0D">
        <w:rPr>
          <w:rFonts w:ascii="Times New Roman" w:hAnsi="Times New Roman"/>
          <w:color w:val="000000" w:themeColor="text1"/>
          <w:sz w:val="16"/>
          <w:szCs w:val="16"/>
        </w:rPr>
        <w:softHyphen/>
        <w:t>сударственные испытания (10728).</w:t>
      </w:r>
    </w:p>
    <w:p w14:paraId="6E453D8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1556A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состоялась макетная комиссия (вторая) по 103, а 28 августа 1940 П.В.Рычаговым был утвержден этот второй Протокол макетной комиссии</w:t>
      </w:r>
    </w:p>
    <w:p w14:paraId="74DE25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гла Арженухин (нач. Штаба ВВС)</w:t>
      </w:r>
    </w:p>
    <w:p w14:paraId="095F4C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 комиссии: Филин, Теплинский, Платов, Цветков, Нюхтиков, Опадчий, Мируц, Ссорин, Бровко, Иванов, Пономарев, Кравченко, Куьепов, Балакирев от НКВД и конструкторы</w:t>
      </w:r>
    </w:p>
    <w:p w14:paraId="27F574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Подпись Кутепова от 30 августа (780,27).</w:t>
      </w:r>
    </w:p>
    <w:p w14:paraId="0E85194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2824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 был одобрен макет 103У 2АМ-37 (2348,44).</w:t>
      </w:r>
    </w:p>
    <w:p w14:paraId="560AE6D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B4737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 комиссия ВВС одобрила макет второго варианта самолета 103 конструкции ОТБ НКВД, в котором в целях обеспечения наиболее удобного ведения боевой работы экипажа, произведена перекомпоновка носовой части фюзеляжа. Летчик и штурман размещены вместе в передней кабине, а в задней кабине размещены два стрелка, из которых один введен дополнительно для защиты верхней задней полусферы, защищаемой теперь 2 пулеметами (штурмана и стрелка-радиста). Первый вариант макета самолета 103 конструкции ОТБ НКВД с размещением экипажа: впереди летчик, сзади в отдельной кабине штурман и стрелок был утвержден 31 апреля 1940 года (7711, 114).</w:t>
      </w:r>
    </w:p>
    <w:p w14:paraId="7621535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8757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полноразмерный деревянный макет 103У показали комиссии во главе с генерал-лейтенантом Арженухиным. Комиссия макет в целом одобрила, отметив, что машина представляет "исключительный интерес" для ВВС РККА. Из наиболее существенных недостатков было выделено отсутствие отопления кабин. Его предложили скопировать с немецкого бомбардировщика Ju 88А-1, так же как и раскраску приборов, кнопку сброса бомб и еще кое-какие мелочи. Комиссия также потребовала установки более мощных тормозов типа "Дуглас". Применение на самолете большого количества гидравлических механизмов, являвшихся в то время в СССР редкостью, вызвало требование предварительно проверить их на заводских стендах и в НИИ ВВС, и лишь "после предварительного получения положительных результатов" новые механизмы разрешалось монтировать на опытном бомбардировщике. Протокол макетной комиссии 29 августа 1940 г. утвердил новый начальник ВВС РККА генерал-лейтенант П.В. Рычагов.</w:t>
      </w:r>
    </w:p>
    <w:p w14:paraId="1E2804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Обозначение "103У" получил второй экземпляр туполевского самолета. Главным его отличием являлась перекомпоновка кабин. Ознакомившись с купленными в Германии бомбардировщиками Юнкере Ju 88А и Дорнье Do 215В, советские специалисты обратили внимание на то, что члены экипажа размещены так, что могут непосредственно общаться и помогать друг другу. На советских машинах, таких, как СБ и ДБ-3, пилот и штурман сидели по отдельности. Решили, что немецкий подход лучше.</w:t>
      </w:r>
    </w:p>
    <w:p w14:paraId="004A5A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управление ВВС выдвинуло дополнительные требования ко второму экземпляру, которые конструкторы постарались выполнить. Пилот и штурман теперь сидели в общей кабине друг за другом. Ее большой фонарь в аварийной ситуации сбрасывался. У штурмана стоял пулемет ШКАС в блистерной установке. Нижнюю часть носа фюзеляжа застеклили, обеспечив хороший обзор вниз. Попасть в кабину можно было через откидную часть фонаря с крыла или через люк снизу.</w:t>
      </w:r>
    </w:p>
    <w:p w14:paraId="3F7999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отличие от первой машины, полноценное управление монтировалось только у летчика. Штурману оставили педали и съемную ручку управления, так что он мог ненадолго подменить пилота.</w:t>
      </w:r>
    </w:p>
    <w:p w14:paraId="36F7E7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задней кабине тоже располагались двое: стрелок-радист, отвечавший за верхний пулемет на установке ТСС-1, и стрелок, работавший с люковой установкой. Фонарь над ТСС-1 состоял из двух частей. Задняя из них в боевом положении уходила вперед, открывая для пулемета поле обстрела. Это улучшило обороноспособность машины сверху-сзади, что всегда считалось самым важным ракурсом. Теперь самолет был вооружен пятью пулеметами ШКАС и двумя пушками ШВАК Два пулемета, стоявшие сверху в носовой части фюзеляжа, имели боезапас по 500 - 600 патронов, пушки в центроплане - по 100 - 150. Но мидельное сечение перекомпонованного фюзеляжа стало больше, что, по расчетам, уменьшало максимальную скорость на 15 - 20 км/ч.</w:t>
      </w:r>
    </w:p>
    <w:p w14:paraId="5F812E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Передняя и задняя кабины соединялись узким туннелем, проходившим над бомбоотсеком. Он позволял осуществлять визуальную связь между членами экипажа.</w:t>
      </w:r>
    </w:p>
    <w:p w14:paraId="79E94C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Стабилизатор выполнили управляемым. При отклонении щитков более чем на 27° он автоматически менял угол установки в пределах 4°, поворачиваясь относительно передних узлов крепления.</w:t>
      </w:r>
    </w:p>
    <w:p w14:paraId="063B56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Бензобаков стало 14 общей емкостью 2500 л. Основные баки протек- тировались и имели систему заполнения пустого пространства нейтральным газом.</w:t>
      </w:r>
    </w:p>
    <w:p w14:paraId="2D624B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Моторы М-120ТК, предусмотренные постановлением Комитета обороны, так и не поступили, поэтому решили опять поставить АМ-37, но с редукцией 0,59, повышавшей эффективность работы винтов. На двигателях монтировали реактивные выхлопные патрубки, добавлявшие примерно 5% к тяге мотоустановки. Моторы снабдили интеркулерами, охлаждавшими воздух перед карбюраторами. Воздух к ним поступал через отверстия диаметром 150 мм, сделанные по оси коков винтов.</w:t>
      </w:r>
    </w:p>
    <w:p w14:paraId="2EEDDE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дополнили реактивными снарядами - неуправляемыми ракетами. "ЮЗУ" мог нести под консолями десять "ракетных орудий" (РО) - пусковых балок для РС-132 (калибра 132 мм). В перспективе предусматривалось и размещение более мощных ракет РС-203 (калибра 203 мм).</w:t>
      </w:r>
    </w:p>
    <w:p w14:paraId="767C83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Внутреннее размещение бомб дополнили наружным. Добавили два бомбодержателя под центропланом. Общая нагрузка осталась той же, что и раньше: нормальная - 1000 кг, максимальная - 2000 кг. Предусматривалось использование бомб калибра от 10 до 1000 кг. Мелкие бомбы размещались пакетами-связками (например, осколочные АО-Ю - по 34 бомбы в пакете). Связки можно было сбрасывать и с горизонтального полета, и с пикирования.</w:t>
      </w:r>
    </w:p>
    <w:p w14:paraId="21DFD4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Прицеливание при стрельбе из пушек и носовых пулеметов осуществлялось стрелковым прицелом ПБП-1, стоявшим у летчика. Он же служил для бомбометания с пикирования. В горизонтальном полете прицеливание проводил штурман. Он мог пользоваться синхронным прицелом ПС-1 (основным) или более простым ОПБ-1 (дополнительным). Второй использовался и как навигационный визир.</w:t>
      </w:r>
    </w:p>
    <w:p w14:paraId="22DE91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комплект оборудования машины входили радиостанция РСБ-бис, радиополукомпас РПК-2, переговорное устройство СПУ-Збис и трехцветная сигнализация.</w:t>
      </w:r>
    </w:p>
    <w:p w14:paraId="4F8313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Те узлы "103У", которые переходили от первой машины без изменений, начали изготовлять в июне 1940 г. Параллельно строился деревянный полноразмерный макет. </w:t>
      </w:r>
    </w:p>
    <w:p w14:paraId="729EA5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доработали в соответствии с заключением комиссии. Он был завершен в ноябре 1940 г.</w:t>
      </w:r>
    </w:p>
    <w:p w14:paraId="4B3B8A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Параллельно в ЦАГИ провели статические испытания крыла и сделали расчеты его поведения при флаттере. Был сделан вывод, что при скоростях до 900 км/ч (достигавшихся при отвесном пикировании) появление флаттера на самолете "103" невозможно (11988).</w:t>
      </w:r>
    </w:p>
    <w:p w14:paraId="462DD7B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FDC8C2" w14:textId="77777777" w:rsidR="009E5CA9" w:rsidRPr="00DB5D0D" w:rsidRDefault="009E5CA9"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23 августа 1940 деревянный полно</w:t>
      </w:r>
      <w:r w:rsidRPr="00DB5D0D">
        <w:rPr>
          <w:rFonts w:ascii="Times New Roman" w:hAnsi="Times New Roman"/>
          <w:color w:val="0070C0"/>
          <w:sz w:val="16"/>
          <w:szCs w:val="16"/>
          <w:lang w:eastAsia="ru-RU" w:bidi="ru-RU"/>
        </w:rPr>
        <w:softHyphen/>
        <w:t>размерный макет самолета 103У (или второго АНТ-58) пока</w:t>
      </w:r>
      <w:r w:rsidRPr="00DB5D0D">
        <w:rPr>
          <w:rFonts w:ascii="Times New Roman" w:hAnsi="Times New Roman"/>
          <w:color w:val="0070C0"/>
          <w:sz w:val="16"/>
          <w:szCs w:val="16"/>
          <w:lang w:eastAsia="ru-RU" w:bidi="ru-RU"/>
        </w:rPr>
        <w:softHyphen/>
        <w:t>зали комиссии во главе с генерал-лейте</w:t>
      </w:r>
      <w:r w:rsidRPr="00DB5D0D">
        <w:rPr>
          <w:rFonts w:ascii="Times New Roman" w:hAnsi="Times New Roman"/>
          <w:color w:val="0070C0"/>
          <w:sz w:val="16"/>
          <w:szCs w:val="16"/>
          <w:lang w:eastAsia="ru-RU" w:bidi="ru-RU"/>
        </w:rPr>
        <w:softHyphen/>
        <w:t>нантом Ф.К.Арженухиным, начальником штаба ВВС. Комиссия макет в целом одо</w:t>
      </w:r>
      <w:r w:rsidRPr="00DB5D0D">
        <w:rPr>
          <w:rFonts w:ascii="Times New Roman" w:hAnsi="Times New Roman"/>
          <w:color w:val="0070C0"/>
          <w:sz w:val="16"/>
          <w:szCs w:val="16"/>
          <w:lang w:eastAsia="ru-RU" w:bidi="ru-RU"/>
        </w:rPr>
        <w:softHyphen/>
        <w:t>брила, отметив, что машина представ</w:t>
      </w:r>
      <w:r w:rsidRPr="00DB5D0D">
        <w:rPr>
          <w:rFonts w:ascii="Times New Roman" w:hAnsi="Times New Roman"/>
          <w:color w:val="0070C0"/>
          <w:sz w:val="16"/>
          <w:szCs w:val="16"/>
          <w:lang w:eastAsia="ru-RU" w:bidi="ru-RU"/>
        </w:rPr>
        <w:softHyphen/>
        <w:t>ляет «исключительный интерес» для ВВС РККА. Из наиболее существенных не</w:t>
      </w:r>
      <w:r w:rsidRPr="00DB5D0D">
        <w:rPr>
          <w:rFonts w:ascii="Times New Roman" w:hAnsi="Times New Roman"/>
          <w:color w:val="0070C0"/>
          <w:sz w:val="16"/>
          <w:szCs w:val="16"/>
          <w:lang w:eastAsia="ru-RU" w:bidi="ru-RU"/>
        </w:rPr>
        <w:softHyphen/>
        <w:t>достатков выделили отсутствие отопле</w:t>
      </w:r>
      <w:r w:rsidRPr="00DB5D0D">
        <w:rPr>
          <w:rFonts w:ascii="Times New Roman" w:hAnsi="Times New Roman"/>
          <w:color w:val="0070C0"/>
          <w:sz w:val="16"/>
          <w:szCs w:val="16"/>
          <w:lang w:eastAsia="ru-RU" w:bidi="ru-RU"/>
        </w:rPr>
        <w:softHyphen/>
        <w:t xml:space="preserve">ния кабин. Его предложили скопировать с немецкого бомбардировщика </w:t>
      </w:r>
      <w:r w:rsidRPr="00DB5D0D">
        <w:rPr>
          <w:rFonts w:ascii="Times New Roman" w:hAnsi="Times New Roman"/>
          <w:color w:val="0070C0"/>
          <w:sz w:val="16"/>
          <w:szCs w:val="16"/>
          <w:lang w:val="en-US" w:bidi="en-US"/>
        </w:rPr>
        <w:t>Ju</w:t>
      </w:r>
      <w:r w:rsidRPr="00DB5D0D">
        <w:rPr>
          <w:rFonts w:ascii="Times New Roman" w:hAnsi="Times New Roman"/>
          <w:color w:val="0070C0"/>
          <w:sz w:val="16"/>
          <w:szCs w:val="16"/>
          <w:lang w:bidi="en-US"/>
        </w:rPr>
        <w:t xml:space="preserve"> </w:t>
      </w:r>
      <w:r w:rsidRPr="00DB5D0D">
        <w:rPr>
          <w:rFonts w:ascii="Times New Roman" w:hAnsi="Times New Roman"/>
          <w:color w:val="0070C0"/>
          <w:sz w:val="16"/>
          <w:szCs w:val="16"/>
          <w:lang w:eastAsia="ru-RU" w:bidi="ru-RU"/>
        </w:rPr>
        <w:t xml:space="preserve">88А- </w:t>
      </w:r>
      <w:r w:rsidRPr="00DB5D0D">
        <w:rPr>
          <w:rFonts w:ascii="Times New Roman" w:hAnsi="Times New Roman"/>
          <w:color w:val="0070C0"/>
          <w:sz w:val="16"/>
          <w:szCs w:val="16"/>
          <w:lang w:bidi="en-US"/>
        </w:rPr>
        <w:t xml:space="preserve">1, </w:t>
      </w:r>
      <w:r w:rsidRPr="00DB5D0D">
        <w:rPr>
          <w:rFonts w:ascii="Times New Roman" w:hAnsi="Times New Roman"/>
          <w:color w:val="0070C0"/>
          <w:sz w:val="16"/>
          <w:szCs w:val="16"/>
          <w:lang w:eastAsia="ru-RU" w:bidi="ru-RU"/>
        </w:rPr>
        <w:t>так же, как и раскраску приборов, кнопку сброса бомб и еще кое-какие ме</w:t>
      </w:r>
      <w:r w:rsidRPr="00DB5D0D">
        <w:rPr>
          <w:rFonts w:ascii="Times New Roman" w:hAnsi="Times New Roman"/>
          <w:color w:val="0070C0"/>
          <w:sz w:val="16"/>
          <w:szCs w:val="16"/>
          <w:lang w:eastAsia="ru-RU" w:bidi="ru-RU"/>
        </w:rPr>
        <w:softHyphen/>
        <w:t>лочи. Комиссия также потребовала уста</w:t>
      </w:r>
      <w:r w:rsidRPr="00DB5D0D">
        <w:rPr>
          <w:rFonts w:ascii="Times New Roman" w:hAnsi="Times New Roman"/>
          <w:color w:val="0070C0"/>
          <w:sz w:val="16"/>
          <w:szCs w:val="16"/>
          <w:lang w:eastAsia="ru-RU" w:bidi="ru-RU"/>
        </w:rPr>
        <w:softHyphen/>
        <w:t>новки более мощных тормозов типа «Дуглас». Применение на самолете боль</w:t>
      </w:r>
      <w:r w:rsidRPr="00DB5D0D">
        <w:rPr>
          <w:rFonts w:ascii="Times New Roman" w:hAnsi="Times New Roman"/>
          <w:color w:val="0070C0"/>
          <w:sz w:val="16"/>
          <w:szCs w:val="16"/>
          <w:lang w:eastAsia="ru-RU" w:bidi="ru-RU"/>
        </w:rPr>
        <w:softHyphen/>
        <w:t>шого количества гидравлических меха</w:t>
      </w:r>
      <w:r w:rsidRPr="00DB5D0D">
        <w:rPr>
          <w:rFonts w:ascii="Times New Roman" w:hAnsi="Times New Roman"/>
          <w:color w:val="0070C0"/>
          <w:sz w:val="16"/>
          <w:szCs w:val="16"/>
          <w:lang w:eastAsia="ru-RU" w:bidi="ru-RU"/>
        </w:rPr>
        <w:softHyphen/>
        <w:t>низмов, являвшихся в то время в СССР редкостью, вызвало требование пред</w:t>
      </w:r>
      <w:r w:rsidRPr="00DB5D0D">
        <w:rPr>
          <w:rFonts w:ascii="Times New Roman" w:hAnsi="Times New Roman"/>
          <w:color w:val="0070C0"/>
          <w:sz w:val="16"/>
          <w:szCs w:val="16"/>
          <w:lang w:eastAsia="ru-RU" w:bidi="ru-RU"/>
        </w:rPr>
        <w:softHyphen/>
        <w:t>варительно проверить их на заводских стендах и в НИИ ВВС, и лишь «после предварительного получения положи</w:t>
      </w:r>
      <w:r w:rsidRPr="00DB5D0D">
        <w:rPr>
          <w:rFonts w:ascii="Times New Roman" w:hAnsi="Times New Roman"/>
          <w:color w:val="0070C0"/>
          <w:sz w:val="16"/>
          <w:szCs w:val="16"/>
          <w:lang w:eastAsia="ru-RU" w:bidi="ru-RU"/>
        </w:rPr>
        <w:softHyphen/>
        <w:t>тельных результатов» новые механизмы разрешалось монтировать на втором опытном образце бомбардировщика. Протокол макетной комиссии 29 августа 1940 г. утвердил новый начальник ВВС генерал-лейтенант П.В. Рычагов.</w:t>
      </w:r>
    </w:p>
    <w:p w14:paraId="680B6F39"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Глав</w:t>
      </w:r>
      <w:r w:rsidRPr="00DB5D0D">
        <w:rPr>
          <w:rFonts w:ascii="Times New Roman" w:hAnsi="Times New Roman"/>
          <w:color w:val="0070C0"/>
          <w:sz w:val="16"/>
          <w:szCs w:val="16"/>
          <w:lang w:eastAsia="ru-RU" w:bidi="ru-RU"/>
        </w:rPr>
        <w:softHyphen/>
        <w:t>ным отличием второго экземпляра туполевского само</w:t>
      </w:r>
      <w:r w:rsidRPr="00DB5D0D">
        <w:rPr>
          <w:rFonts w:ascii="Times New Roman" w:hAnsi="Times New Roman"/>
          <w:color w:val="0070C0"/>
          <w:sz w:val="16"/>
          <w:szCs w:val="16"/>
          <w:lang w:eastAsia="ru-RU" w:bidi="ru-RU"/>
        </w:rPr>
        <w:softHyphen/>
        <w:t>лета, который получил обозначение «103У». являлась перекомпо</w:t>
      </w:r>
      <w:r w:rsidRPr="00DB5D0D">
        <w:rPr>
          <w:rFonts w:ascii="Times New Roman" w:hAnsi="Times New Roman"/>
          <w:color w:val="0070C0"/>
          <w:sz w:val="16"/>
          <w:szCs w:val="16"/>
          <w:lang w:eastAsia="ru-RU" w:bidi="ru-RU"/>
        </w:rPr>
        <w:softHyphen/>
        <w:t>новка кабин. Ознакомившись с куплен</w:t>
      </w:r>
      <w:r w:rsidRPr="00DB5D0D">
        <w:rPr>
          <w:rFonts w:ascii="Times New Roman" w:hAnsi="Times New Roman"/>
          <w:color w:val="0070C0"/>
          <w:sz w:val="16"/>
          <w:szCs w:val="16"/>
          <w:lang w:eastAsia="ru-RU" w:bidi="ru-RU"/>
        </w:rPr>
        <w:softHyphen/>
        <w:t xml:space="preserve">ными в Германии бомбардировщиками Юнкерс </w:t>
      </w:r>
      <w:r w:rsidRPr="00DB5D0D">
        <w:rPr>
          <w:rFonts w:ascii="Times New Roman" w:hAnsi="Times New Roman"/>
          <w:color w:val="0070C0"/>
          <w:sz w:val="16"/>
          <w:szCs w:val="16"/>
          <w:lang w:val="en-US" w:bidi="en-US"/>
        </w:rPr>
        <w:t>Ju</w:t>
      </w:r>
      <w:r w:rsidRPr="00DB5D0D">
        <w:rPr>
          <w:rFonts w:ascii="Times New Roman" w:hAnsi="Times New Roman"/>
          <w:color w:val="0070C0"/>
          <w:sz w:val="16"/>
          <w:szCs w:val="16"/>
          <w:lang w:bidi="en-US"/>
        </w:rPr>
        <w:t xml:space="preserve"> </w:t>
      </w:r>
      <w:r w:rsidRPr="00DB5D0D">
        <w:rPr>
          <w:rFonts w:ascii="Times New Roman" w:hAnsi="Times New Roman"/>
          <w:color w:val="0070C0"/>
          <w:sz w:val="16"/>
          <w:szCs w:val="16"/>
          <w:lang w:eastAsia="ru-RU" w:bidi="ru-RU"/>
        </w:rPr>
        <w:t xml:space="preserve">88А и Дорнье </w:t>
      </w:r>
      <w:r w:rsidRPr="00DB5D0D">
        <w:rPr>
          <w:rFonts w:ascii="Times New Roman" w:hAnsi="Times New Roman"/>
          <w:color w:val="0070C0"/>
          <w:sz w:val="16"/>
          <w:szCs w:val="16"/>
          <w:lang w:val="en-US" w:bidi="en-US"/>
        </w:rPr>
        <w:t>Do</w:t>
      </w:r>
      <w:r w:rsidRPr="00DB5D0D">
        <w:rPr>
          <w:rFonts w:ascii="Times New Roman" w:hAnsi="Times New Roman"/>
          <w:color w:val="0070C0"/>
          <w:sz w:val="16"/>
          <w:szCs w:val="16"/>
          <w:lang w:bidi="en-US"/>
        </w:rPr>
        <w:t xml:space="preserve"> </w:t>
      </w:r>
      <w:r w:rsidRPr="00DB5D0D">
        <w:rPr>
          <w:rFonts w:ascii="Times New Roman" w:hAnsi="Times New Roman"/>
          <w:color w:val="0070C0"/>
          <w:sz w:val="16"/>
          <w:szCs w:val="16"/>
          <w:lang w:eastAsia="ru-RU" w:bidi="ru-RU"/>
        </w:rPr>
        <w:t>215В, совет</w:t>
      </w:r>
      <w:r w:rsidRPr="00DB5D0D">
        <w:rPr>
          <w:rFonts w:ascii="Times New Roman" w:hAnsi="Times New Roman"/>
          <w:color w:val="0070C0"/>
          <w:sz w:val="16"/>
          <w:szCs w:val="16"/>
          <w:lang w:eastAsia="ru-RU" w:bidi="ru-RU"/>
        </w:rPr>
        <w:softHyphen/>
        <w:t>ские специалисты обратили внимание на то, что члены экипажа размещены так, что могут непосредственно общаться и помогать друг другу. На советских маши</w:t>
      </w:r>
      <w:r w:rsidRPr="00DB5D0D">
        <w:rPr>
          <w:rFonts w:ascii="Times New Roman" w:hAnsi="Times New Roman"/>
          <w:color w:val="0070C0"/>
          <w:sz w:val="16"/>
          <w:szCs w:val="16"/>
          <w:lang w:eastAsia="ru-RU" w:bidi="ru-RU"/>
        </w:rPr>
        <w:softHyphen/>
        <w:t>нах, таких, как СБ и ДБ-3, пилот и штур</w:t>
      </w:r>
      <w:r w:rsidRPr="00DB5D0D">
        <w:rPr>
          <w:rFonts w:ascii="Times New Roman" w:hAnsi="Times New Roman"/>
          <w:color w:val="0070C0"/>
          <w:sz w:val="16"/>
          <w:szCs w:val="16"/>
          <w:lang w:eastAsia="ru-RU" w:bidi="ru-RU"/>
        </w:rPr>
        <w:softHyphen/>
        <w:t>ман сидели по отдельности. Решили, что немецкий подход лучше.</w:t>
      </w:r>
    </w:p>
    <w:p w14:paraId="19B6D91E"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Поэтому Главное управление ВВС выдвинуло дополнительные требования ко второму экземпляру самолета «103», которые конструкторы постарались вы</w:t>
      </w:r>
      <w:r w:rsidRPr="00DB5D0D">
        <w:rPr>
          <w:rFonts w:ascii="Times New Roman" w:hAnsi="Times New Roman"/>
          <w:color w:val="0070C0"/>
          <w:sz w:val="16"/>
          <w:szCs w:val="16"/>
          <w:lang w:eastAsia="ru-RU" w:bidi="ru-RU"/>
        </w:rPr>
        <w:softHyphen/>
        <w:t>полнить. Пилот и штурман теперь сидели в общей кабине друг за другом. Ее боль</w:t>
      </w:r>
      <w:r w:rsidRPr="00DB5D0D">
        <w:rPr>
          <w:rFonts w:ascii="Times New Roman" w:hAnsi="Times New Roman"/>
          <w:color w:val="0070C0"/>
          <w:sz w:val="16"/>
          <w:szCs w:val="16"/>
          <w:lang w:eastAsia="ru-RU" w:bidi="ru-RU"/>
        </w:rPr>
        <w:softHyphen/>
        <w:t>шой фонарь в аварийной ситуации сбра</w:t>
      </w:r>
      <w:r w:rsidRPr="00DB5D0D">
        <w:rPr>
          <w:rFonts w:ascii="Times New Roman" w:hAnsi="Times New Roman"/>
          <w:color w:val="0070C0"/>
          <w:sz w:val="16"/>
          <w:szCs w:val="16"/>
          <w:lang w:eastAsia="ru-RU" w:bidi="ru-RU"/>
        </w:rPr>
        <w:softHyphen/>
        <w:t>сывался. У штурмана стоял пулемет ШКАС в блистерной установке. Нижнюю часть носа фюзеляжа застеклили, обеспечив хороший обзор вниз. Попасть в кабину можно было через откидную часть фо</w:t>
      </w:r>
      <w:r w:rsidRPr="00DB5D0D">
        <w:rPr>
          <w:rFonts w:ascii="Times New Roman" w:hAnsi="Times New Roman"/>
          <w:color w:val="0070C0"/>
          <w:sz w:val="16"/>
          <w:szCs w:val="16"/>
          <w:lang w:eastAsia="ru-RU" w:bidi="ru-RU"/>
        </w:rPr>
        <w:softHyphen/>
        <w:t>наря с крыла или через люк снизу.</w:t>
      </w:r>
    </w:p>
    <w:p w14:paraId="16B40D99"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В отличие от первой машины, полно</w:t>
      </w:r>
      <w:r w:rsidRPr="00DB5D0D">
        <w:rPr>
          <w:rFonts w:ascii="Times New Roman" w:hAnsi="Times New Roman"/>
          <w:color w:val="0070C0"/>
          <w:sz w:val="16"/>
          <w:szCs w:val="16"/>
          <w:lang w:eastAsia="ru-RU" w:bidi="ru-RU"/>
        </w:rPr>
        <w:softHyphen/>
        <w:t>ценное управление монтировалось только у летчика. Штурману оставили педали и съемную ручку управления, так что он мог ненадолго подменить пилота.</w:t>
      </w:r>
    </w:p>
    <w:p w14:paraId="147A54D1"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В задней кабине тоже располагались двое: стрелок-радист, отвечавший за верх</w:t>
      </w:r>
      <w:r w:rsidRPr="00DB5D0D">
        <w:rPr>
          <w:rFonts w:ascii="Times New Roman" w:hAnsi="Times New Roman"/>
          <w:color w:val="0070C0"/>
          <w:sz w:val="16"/>
          <w:szCs w:val="16"/>
          <w:lang w:eastAsia="ru-RU" w:bidi="ru-RU"/>
        </w:rPr>
        <w:softHyphen/>
        <w:t>ний пулемет на установке ТСС-1, и стрелок, работавший с люковой установкой. Фонарь над ТСС-1 состоял из двух частей. Задняя из них в боевом положении уходила впе</w:t>
      </w:r>
      <w:r w:rsidRPr="00DB5D0D">
        <w:rPr>
          <w:rFonts w:ascii="Times New Roman" w:hAnsi="Times New Roman"/>
          <w:color w:val="0070C0"/>
          <w:sz w:val="16"/>
          <w:szCs w:val="16"/>
          <w:lang w:eastAsia="ru-RU" w:bidi="ru-RU"/>
        </w:rPr>
        <w:softHyphen/>
        <w:t>ред, открывая для пулемета поле обстрела. Это улучшило обороноспособность ма</w:t>
      </w:r>
      <w:r w:rsidRPr="00DB5D0D">
        <w:rPr>
          <w:rFonts w:ascii="Times New Roman" w:hAnsi="Times New Roman"/>
          <w:color w:val="0070C0"/>
          <w:sz w:val="16"/>
          <w:szCs w:val="16"/>
          <w:lang w:eastAsia="ru-RU" w:bidi="ru-RU"/>
        </w:rPr>
        <w:softHyphen/>
        <w:t>шины сверху-сзади, что всегда считалось самым важным ракурсом. Теперь самолет был вооружен пятью пулеметами ШКАС и двумя пушками ШВАК. Два пулемета, сто</w:t>
      </w:r>
      <w:r w:rsidRPr="00DB5D0D">
        <w:rPr>
          <w:rFonts w:ascii="Times New Roman" w:hAnsi="Times New Roman"/>
          <w:color w:val="0070C0"/>
          <w:sz w:val="16"/>
          <w:szCs w:val="16"/>
          <w:lang w:eastAsia="ru-RU" w:bidi="ru-RU"/>
        </w:rPr>
        <w:softHyphen/>
        <w:t>явшие сверху в носовой части фюзе</w:t>
      </w:r>
      <w:r w:rsidRPr="00DB5D0D">
        <w:rPr>
          <w:rFonts w:ascii="Times New Roman" w:hAnsi="Times New Roman"/>
          <w:color w:val="0070C0"/>
          <w:sz w:val="16"/>
          <w:szCs w:val="16"/>
          <w:lang w:eastAsia="ru-RU" w:bidi="ru-RU"/>
        </w:rPr>
        <w:softHyphen/>
        <w:t>ляжа, имели боезапас по 500-600 патро</w:t>
      </w:r>
      <w:r w:rsidRPr="00DB5D0D">
        <w:rPr>
          <w:rFonts w:ascii="Times New Roman" w:hAnsi="Times New Roman"/>
          <w:color w:val="0070C0"/>
          <w:sz w:val="16"/>
          <w:szCs w:val="16"/>
          <w:lang w:eastAsia="ru-RU" w:bidi="ru-RU"/>
        </w:rPr>
        <w:softHyphen/>
        <w:t>нов, пушки в центроплане - по 100-150. Но миделевое сечение перекомпонован</w:t>
      </w:r>
      <w:r w:rsidRPr="00DB5D0D">
        <w:rPr>
          <w:rFonts w:ascii="Times New Roman" w:hAnsi="Times New Roman"/>
          <w:color w:val="0070C0"/>
          <w:sz w:val="16"/>
          <w:szCs w:val="16"/>
          <w:lang w:eastAsia="ru-RU" w:bidi="ru-RU"/>
        </w:rPr>
        <w:softHyphen/>
        <w:t>ного фюзеляжа стало больше, что, по рас</w:t>
      </w:r>
      <w:r w:rsidRPr="00DB5D0D">
        <w:rPr>
          <w:rFonts w:ascii="Times New Roman" w:hAnsi="Times New Roman"/>
          <w:color w:val="0070C0"/>
          <w:sz w:val="16"/>
          <w:szCs w:val="16"/>
          <w:lang w:eastAsia="ru-RU" w:bidi="ru-RU"/>
        </w:rPr>
        <w:softHyphen/>
        <w:t>четам, уменьшало максимальную скорость на 15-20 км/ч.</w:t>
      </w:r>
    </w:p>
    <w:p w14:paraId="34148C2D"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Передняя и задняя кабины соединя</w:t>
      </w:r>
      <w:r w:rsidRPr="00DB5D0D">
        <w:rPr>
          <w:rFonts w:ascii="Times New Roman" w:hAnsi="Times New Roman"/>
          <w:color w:val="0070C0"/>
          <w:sz w:val="16"/>
          <w:szCs w:val="16"/>
          <w:lang w:eastAsia="ru-RU" w:bidi="ru-RU"/>
        </w:rPr>
        <w:softHyphen/>
        <w:t>лись узким туннелем, проходившим над бомбоотсеком. Он позволял осуществлять визуальную связь между членами экипажа.</w:t>
      </w:r>
    </w:p>
    <w:p w14:paraId="1352614F"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Стабилизатор выполнили управляе</w:t>
      </w:r>
      <w:r w:rsidRPr="00DB5D0D">
        <w:rPr>
          <w:rFonts w:ascii="Times New Roman" w:hAnsi="Times New Roman"/>
          <w:color w:val="0070C0"/>
          <w:sz w:val="16"/>
          <w:szCs w:val="16"/>
          <w:lang w:eastAsia="ru-RU" w:bidi="ru-RU"/>
        </w:rPr>
        <w:softHyphen/>
        <w:t>мым. При отклонении щитков более чем на 27° он автоматически менял угол уста</w:t>
      </w:r>
      <w:r w:rsidRPr="00DB5D0D">
        <w:rPr>
          <w:rFonts w:ascii="Times New Roman" w:hAnsi="Times New Roman"/>
          <w:color w:val="0070C0"/>
          <w:sz w:val="16"/>
          <w:szCs w:val="16"/>
          <w:lang w:eastAsia="ru-RU" w:bidi="ru-RU"/>
        </w:rPr>
        <w:softHyphen/>
        <w:t>новки в пределах 4°, поворачиваясь отно</w:t>
      </w:r>
      <w:r w:rsidRPr="00DB5D0D">
        <w:rPr>
          <w:rFonts w:ascii="Times New Roman" w:hAnsi="Times New Roman"/>
          <w:color w:val="0070C0"/>
          <w:sz w:val="16"/>
          <w:szCs w:val="16"/>
          <w:lang w:eastAsia="ru-RU" w:bidi="ru-RU"/>
        </w:rPr>
        <w:softHyphen/>
        <w:t>сительно передних узлов крепления.</w:t>
      </w:r>
    </w:p>
    <w:p w14:paraId="5A6BC7B3"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Бензобаков стало 14 общей емкостью 2500 л. Основные баки протектировались и имели систему заполнения нейтраль</w:t>
      </w:r>
      <w:r w:rsidRPr="00DB5D0D">
        <w:rPr>
          <w:rFonts w:ascii="Times New Roman" w:hAnsi="Times New Roman"/>
          <w:color w:val="0070C0"/>
          <w:sz w:val="16"/>
          <w:szCs w:val="16"/>
          <w:lang w:eastAsia="ru-RU" w:bidi="ru-RU"/>
        </w:rPr>
        <w:softHyphen/>
        <w:t>ным газом.</w:t>
      </w:r>
    </w:p>
    <w:p w14:paraId="73D8FA1D"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Моторы М-120ТК, предусмотренные постановлением Комитета обороны, так и не поступили, поэтому решили опять поставить АМ-37, но с редукцией 0,59, повышавшей эффективность работы винтов. На двигателях монтировали ре</w:t>
      </w:r>
      <w:r w:rsidRPr="00DB5D0D">
        <w:rPr>
          <w:rFonts w:ascii="Times New Roman" w:hAnsi="Times New Roman"/>
          <w:color w:val="0070C0"/>
          <w:sz w:val="16"/>
          <w:szCs w:val="16"/>
          <w:lang w:eastAsia="ru-RU" w:bidi="ru-RU"/>
        </w:rPr>
        <w:softHyphen/>
        <w:t>активные выхлопные патрубки, добав</w:t>
      </w:r>
      <w:r w:rsidRPr="00DB5D0D">
        <w:rPr>
          <w:rFonts w:ascii="Times New Roman" w:hAnsi="Times New Roman"/>
          <w:color w:val="0070C0"/>
          <w:sz w:val="16"/>
          <w:szCs w:val="16"/>
          <w:lang w:eastAsia="ru-RU" w:bidi="ru-RU"/>
        </w:rPr>
        <w:softHyphen/>
        <w:t>лявшие примерно 5% к тяге мотоуста</w:t>
      </w:r>
      <w:r w:rsidRPr="00DB5D0D">
        <w:rPr>
          <w:rFonts w:ascii="Times New Roman" w:hAnsi="Times New Roman"/>
          <w:color w:val="0070C0"/>
          <w:sz w:val="16"/>
          <w:szCs w:val="16"/>
          <w:lang w:eastAsia="ru-RU" w:bidi="ru-RU"/>
        </w:rPr>
        <w:softHyphen/>
        <w:t>новки. Моторы снабдили интеркулерами, охлаждавшими воздух перед карбюра</w:t>
      </w:r>
      <w:r w:rsidRPr="00DB5D0D">
        <w:rPr>
          <w:rFonts w:ascii="Times New Roman" w:hAnsi="Times New Roman"/>
          <w:color w:val="0070C0"/>
          <w:sz w:val="16"/>
          <w:szCs w:val="16"/>
          <w:lang w:eastAsia="ru-RU" w:bidi="ru-RU"/>
        </w:rPr>
        <w:softHyphen/>
        <w:t>торами. Воздух к ним поступал через от</w:t>
      </w:r>
      <w:r w:rsidRPr="00DB5D0D">
        <w:rPr>
          <w:rFonts w:ascii="Times New Roman" w:hAnsi="Times New Roman"/>
          <w:color w:val="0070C0"/>
          <w:sz w:val="16"/>
          <w:szCs w:val="16"/>
          <w:lang w:eastAsia="ru-RU" w:bidi="ru-RU"/>
        </w:rPr>
        <w:softHyphen/>
        <w:t>верстия диаметром 150 мм, сделанные по оси коков винтов.</w:t>
      </w:r>
    </w:p>
    <w:p w14:paraId="66000D70"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Вооружение дополнили реактивными снарядами - неуправляемыми ракетами. «103У» мог нести под консолями десять «ракетных орудий» (РО) - пусковых ба</w:t>
      </w:r>
      <w:r w:rsidRPr="00DB5D0D">
        <w:rPr>
          <w:rFonts w:ascii="Times New Roman" w:hAnsi="Times New Roman"/>
          <w:color w:val="0070C0"/>
          <w:sz w:val="16"/>
          <w:szCs w:val="16"/>
          <w:lang w:eastAsia="ru-RU" w:bidi="ru-RU"/>
        </w:rPr>
        <w:softHyphen/>
        <w:t>лок для РС-132 (калибра 132 мм). В пер</w:t>
      </w:r>
      <w:r w:rsidRPr="00DB5D0D">
        <w:rPr>
          <w:rFonts w:ascii="Times New Roman" w:hAnsi="Times New Roman"/>
          <w:color w:val="0070C0"/>
          <w:sz w:val="16"/>
          <w:szCs w:val="16"/>
          <w:lang w:eastAsia="ru-RU" w:bidi="ru-RU"/>
        </w:rPr>
        <w:softHyphen/>
        <w:t>спективе предусматривалось и размеще</w:t>
      </w:r>
      <w:r w:rsidRPr="00DB5D0D">
        <w:rPr>
          <w:rFonts w:ascii="Times New Roman" w:hAnsi="Times New Roman"/>
          <w:color w:val="0070C0"/>
          <w:sz w:val="16"/>
          <w:szCs w:val="16"/>
          <w:lang w:eastAsia="ru-RU" w:bidi="ru-RU"/>
        </w:rPr>
        <w:softHyphen/>
        <w:t>ние более мощных ракет РС-203 (кали</w:t>
      </w:r>
      <w:r w:rsidRPr="00DB5D0D">
        <w:rPr>
          <w:rFonts w:ascii="Times New Roman" w:hAnsi="Times New Roman"/>
          <w:color w:val="0070C0"/>
          <w:sz w:val="16"/>
          <w:szCs w:val="16"/>
          <w:lang w:eastAsia="ru-RU" w:bidi="ru-RU"/>
        </w:rPr>
        <w:softHyphen/>
        <w:t>бра 203 мм).</w:t>
      </w:r>
    </w:p>
    <w:p w14:paraId="2B1078E6"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Внутреннее размещение бомб до</w:t>
      </w:r>
      <w:r w:rsidRPr="00DB5D0D">
        <w:rPr>
          <w:rFonts w:ascii="Times New Roman" w:hAnsi="Times New Roman"/>
          <w:color w:val="0070C0"/>
          <w:sz w:val="16"/>
          <w:szCs w:val="16"/>
          <w:lang w:eastAsia="ru-RU" w:bidi="ru-RU"/>
        </w:rPr>
        <w:softHyphen/>
        <w:t>полнили наружным: добавили два бом</w:t>
      </w:r>
      <w:r w:rsidRPr="00DB5D0D">
        <w:rPr>
          <w:rFonts w:ascii="Times New Roman" w:hAnsi="Times New Roman"/>
          <w:color w:val="0070C0"/>
          <w:sz w:val="16"/>
          <w:szCs w:val="16"/>
          <w:lang w:eastAsia="ru-RU" w:bidi="ru-RU"/>
        </w:rPr>
        <w:softHyphen/>
        <w:t>бодержателя под центропланом. Общая нагрузка осталась той же, что и раньше: нормальная - 1000 кг, максимальная - 2000 кг. Предусматривалось использова</w:t>
      </w:r>
      <w:r w:rsidRPr="00DB5D0D">
        <w:rPr>
          <w:rFonts w:ascii="Times New Roman" w:hAnsi="Times New Roman"/>
          <w:color w:val="0070C0"/>
          <w:sz w:val="16"/>
          <w:szCs w:val="16"/>
          <w:lang w:eastAsia="ru-RU" w:bidi="ru-RU"/>
        </w:rPr>
        <w:softHyphen/>
        <w:t>ние бомб калибра от 10 до 1000 кг. Мел</w:t>
      </w:r>
      <w:r w:rsidRPr="00DB5D0D">
        <w:rPr>
          <w:rFonts w:ascii="Times New Roman" w:hAnsi="Times New Roman"/>
          <w:color w:val="0070C0"/>
          <w:sz w:val="16"/>
          <w:szCs w:val="16"/>
          <w:lang w:eastAsia="ru-RU" w:bidi="ru-RU"/>
        </w:rPr>
        <w:softHyphen/>
        <w:t>кие бомбы размещались пакетами-связ</w:t>
      </w:r>
      <w:r w:rsidRPr="00DB5D0D">
        <w:rPr>
          <w:rFonts w:ascii="Times New Roman" w:hAnsi="Times New Roman"/>
          <w:color w:val="0070C0"/>
          <w:sz w:val="16"/>
          <w:szCs w:val="16"/>
          <w:lang w:eastAsia="ru-RU" w:bidi="ru-RU"/>
        </w:rPr>
        <w:softHyphen/>
        <w:t>ками (например, осколочные АО-10 - по 34 бомбы в пакете). Связки можно было сбрасывать и с горизонтального по</w:t>
      </w:r>
      <w:r w:rsidRPr="00DB5D0D">
        <w:rPr>
          <w:rFonts w:ascii="Times New Roman" w:hAnsi="Times New Roman"/>
          <w:color w:val="0070C0"/>
          <w:sz w:val="16"/>
          <w:szCs w:val="16"/>
          <w:lang w:eastAsia="ru-RU" w:bidi="ru-RU"/>
        </w:rPr>
        <w:softHyphen/>
        <w:t>лета, и с пикирования.</w:t>
      </w:r>
    </w:p>
    <w:p w14:paraId="31FAE905"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Прицеливание при стрельбе из пу</w:t>
      </w:r>
      <w:r w:rsidRPr="00DB5D0D">
        <w:rPr>
          <w:rFonts w:ascii="Times New Roman" w:hAnsi="Times New Roman"/>
          <w:color w:val="0070C0"/>
          <w:sz w:val="16"/>
          <w:szCs w:val="16"/>
          <w:lang w:eastAsia="ru-RU" w:bidi="ru-RU"/>
        </w:rPr>
        <w:softHyphen/>
        <w:t>шек и носовых пулеметов осуществлялось стрелковым прицелом ПБП-1, стоявшим у летчика. Он же служил для бомбометания с пикирования. В горизонтальном полете прицеливание проводил штурман. Он мог пользоваться синхронным прицелом ПС-1 (основным) или более простым ОПБ-1 (дополнительным). Второй использовался и как навигационный визир.</w:t>
      </w:r>
    </w:p>
    <w:p w14:paraId="01CA3A04" w14:textId="77777777" w:rsidR="009E5CA9" w:rsidRPr="00DB5D0D" w:rsidRDefault="009E5CA9"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В комплект оборудования машины входили радиостанция РСБ-бис, радиопо</w:t>
      </w:r>
      <w:r w:rsidRPr="00DB5D0D">
        <w:rPr>
          <w:rFonts w:ascii="Times New Roman" w:hAnsi="Times New Roman"/>
          <w:color w:val="0070C0"/>
          <w:sz w:val="16"/>
          <w:szCs w:val="16"/>
          <w:lang w:eastAsia="ru-RU" w:bidi="ru-RU"/>
        </w:rPr>
        <w:softHyphen/>
        <w:t>лукомпас РПК-2, переговорное устройство СПУ-3бис и трехцветная сигнализация (21061).</w:t>
      </w:r>
    </w:p>
    <w:p w14:paraId="46204CB9" w14:textId="77777777" w:rsidR="009E5CA9" w:rsidRPr="00DB5D0D" w:rsidRDefault="009E5CA9" w:rsidP="00DB5D0D">
      <w:pPr>
        <w:spacing w:after="0" w:line="240" w:lineRule="auto"/>
        <w:jc w:val="both"/>
        <w:rPr>
          <w:rFonts w:ascii="Times New Roman" w:hAnsi="Times New Roman"/>
          <w:color w:val="0070C0"/>
          <w:sz w:val="16"/>
          <w:szCs w:val="16"/>
        </w:rPr>
      </w:pPr>
    </w:p>
    <w:p w14:paraId="67B88F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 был утвержден протокол макетной комиссии по второму экземпляру самолета "103-У" с двигателями AM-37, вместо предполагавшихся М-120ТК-2. В документе, в частности, отмечалось: "Макет самолета предъявлен с моторами АМ-37 вместо М-120 согласно постановлению Комитета Обороны за № 239, так как по срокам отработки и поставки на самолет мотор АМ-37 является более реальным".</w:t>
      </w:r>
    </w:p>
    <w:p w14:paraId="2E6F62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"103-У" отличался от предшественника не только передней двухместной кабиной, но и дополнительным постом управления самолетом штурманом со съемной ручкой (вместо штурвала). В задней кабине рядом со стрелком-радистом расположили воздушного стрелка люковой установки. Для визуальной связи членов экипажа обеих кабин предусмотрели смотровой канал, проходивший над центропланом крыла. Кроме этого, стабилизатор стал управляемым и отклонялся синхронно с выпуском закрылков, компенсируя пикирующий момент. Количество топливных баков (протектированных) возросло до 14, а их общий объем до 2500 литров.</w:t>
      </w:r>
    </w:p>
    <w:p w14:paraId="021690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и бомбовое вооружение оставалось как и у машины "103", но дополнительно предусмотрели бомбодержатели под центропланом, а под консолями крыла - подвеску десяти реактивных установок (направляющих с замками и электрозапалами) под снаряды PC-132.</w:t>
      </w:r>
    </w:p>
    <w:p w14:paraId="36A1EB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Машины собрали в начале апреля 1941 года, но из-за отсутствия моторов АМ-37 М.А. Нюхтиков опробовал ее в полете лишь 18 мая. Заводские испытания заняли чуть больше недели и в начале июня машину передали специалистам НИИ ВВС. На этапе государственных испытаний выявилась недостаточная путевая устойчивость "103-У" и пришлось увеличивать площадь вертикального оперения. Благо, рядом был Опытный завод института с прекрасным оборудованием и рабочими высокой квалификации. Пока выполняли эту доработку началась Великая Отечественная война (12035).</w:t>
      </w:r>
    </w:p>
    <w:p w14:paraId="7CC3AD9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9E65B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Врид. Нач. СКО завода 125 Вербицкий писал Нач. 1 ГУ НКАП Шиц, ст. военпреду на заводе 125 Корневу письмо N 01295с:</w:t>
      </w:r>
    </w:p>
    <w:p w14:paraId="155531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этом высылаю отчет по заводским испытаниям серийного СБ 2М-103А N 47/12 производства завода 125." Ви Демидович, вл Тихомиров. Заключение:</w:t>
      </w:r>
    </w:p>
    <w:p w14:paraId="005A21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Проходившая испытания серийная машина СБ 2М-103А N 47/12 завода 125 показала макс. скорость 422 км/час</w:t>
      </w:r>
    </w:p>
    <w:p w14:paraId="1CCC7E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Необходимо КБ завода совместно с ГК решить вопрос улучшения охлаждения воды и масла с целью полного использования ВМГ." (2698,109).</w:t>
      </w:r>
    </w:p>
    <w:p w14:paraId="6C212C2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FA830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Ефремов направил в КО письмо с просьбой решить вопрос о строительстве предлагаемого им самолета - скоростного двухмоторного двухместного истребителя, оборудованного специальным реактором, своего рода ПВРД, одобренным коллегией НКАП в 1939. В нем он отмечал, что по результатам испытаний его реактора на И-16 М-62 с ТК на высоте 3000 м прибавка скорости составила 16 км/час, что соответствует приросту эквивалентной мощности мотора на 100 нр (12.2%), на высоте 7000 м - 20 км, что соответствовало приросту мощности в 110 нр (14.4%) и на высоте 8000 км - 26.5 км/час - 140 нр (17%). Тем самым создаются новые ресурсы для увеличения скорости полета (3844,37).</w:t>
      </w:r>
    </w:p>
    <w:p w14:paraId="024C53C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53622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9 июня по 23 августа 1940 года самолет ОКО-6 находился на заводе N 81. На самолете установлено новое разнесенное оперение. 23 августа самолет переправлен на аэродром ЦАГИ для окончания заводских испытаний (3370).</w:t>
      </w:r>
    </w:p>
    <w:p w14:paraId="48D761D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D193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самолет ОКО-6 2М-88, который находился на заводе № 81 для доделок по результатам заводских испытаний с 9 июня 1940, был переправлен на аэродром ЦАГИ-Раменское для окончания заводских испытаний. За это время на самолете установлено новое, разнесенное оперение (7711, 71-75).</w:t>
      </w:r>
    </w:p>
    <w:p w14:paraId="480BF5A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DDB6F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 на заводе № 81 закончились работы по устранению недостатков ОКО-6, отмеченных на испытаниях, которые велись с 9 июня. На самолете было установлено новое разнесенное оперение, удлинен фюзеляж. Затем машина была передана в ЦАГИ для производства повторных испытаний (9649).</w:t>
      </w:r>
    </w:p>
    <w:p w14:paraId="36448F4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3860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 Зам начальника ГУ ВВС генерал-лейтенант авиации Астахов утвердил Заключение по эскизному проекту одноместного истребителя И-287 с мотором М-90 конструкции Яценко В.П.</w:t>
      </w:r>
    </w:p>
    <w:p w14:paraId="30E61D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Исполнитель в/инженер 3 ранга Розанов А.С.</w:t>
      </w:r>
    </w:p>
    <w:p w14:paraId="070EEA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самолета</w:t>
      </w:r>
    </w:p>
    <w:p w14:paraId="62561E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И-287 одноместный истребитель имеет назначение подобное самолету И-28 с мотором М-88.</w:t>
      </w:r>
    </w:p>
    <w:p w14:paraId="1CEB16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И-287 свободнонесущий моноплан деревянной конструкции с убирающимися шасси и хвостовым колесом. Самолет по конструкции значительно отличается от самолета И-28.</w:t>
      </w:r>
    </w:p>
    <w:p w14:paraId="01B8A2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 вооружение состоит из двух тяжелых пулеметов Березина и 2-х пулеметов Шкас. Все они стреляют через винт и установлены над мотором вне капота.</w:t>
      </w:r>
    </w:p>
    <w:p w14:paraId="234B26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патронов на каждый тяжелый пулемет 200 штук.</w:t>
      </w:r>
    </w:p>
    <w:p w14:paraId="150E49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Запас патронов на каждый легкий пулемет 500 штук.</w:t>
      </w:r>
    </w:p>
    <w:p w14:paraId="602637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Имеется бомбовое вооружение.</w:t>
      </w:r>
    </w:p>
    <w:p w14:paraId="351C89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2C5A90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И-287 – утвердить (4634).</w:t>
      </w:r>
    </w:p>
    <w:p w14:paraId="13F25CE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53E362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в Контрольном листе учета выполнения постановления КО СНК СССР № 103сс от 4 марта 1940 г. представителем КО СНК СССР - контролером Вахрушевым была сделана запись:</w:t>
      </w:r>
    </w:p>
    <w:p w14:paraId="5533E1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И-200</w:t>
      </w:r>
    </w:p>
    <w:p w14:paraId="425493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экземпляра самолета, давно законченные производством, до сих пор не могут закончить заводские испытания. Так на проектирование и производство требовалось 3,5 мес., тогда как испытывается и доводится истребитель 4,5 мес.</w:t>
      </w:r>
    </w:p>
    <w:p w14:paraId="41BD24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самолеты в летном состоянии.</w:t>
      </w:r>
    </w:p>
    <w:p w14:paraId="101CDE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Производится отстрел вооружения.</w:t>
      </w:r>
    </w:p>
    <w:p w14:paraId="3E9DA8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ТТТ задание ГК т. Микояном выполнено (10395,33).</w:t>
      </w:r>
    </w:p>
    <w:p w14:paraId="4167AA7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102E9C0" w14:textId="77777777" w:rsidR="005C6611" w:rsidRPr="00DB5D0D" w:rsidRDefault="005C661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 Ефремов направил в Комитет Обороны письмо с просьбой решить вопрос о строительстве предлагаемого им самолета. В нем он отмечал, что по результатам испытаний реактора на И-16 с мотором М-62 и турбокомпрессором на высоте 3000 м прибавка скорости полета составила 16 км/час, что соответствовало приросту эквивалентной мощности мотора равной 100 л.с. (12,2%), на высоте 7000 м - 20 км/час, соответственно, прирост мощности - 110 л.с. (14,4 %) и на высоте 8000 м - 26,5 км/час, 140 л. с. (17 %). Тем самым создаются новые ресурсы для увеличения скорости полета.</w:t>
      </w:r>
    </w:p>
    <w:p w14:paraId="27CE3AC6" w14:textId="77777777" w:rsidR="005C6611" w:rsidRPr="00DB5D0D" w:rsidRDefault="005C661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Секретариат Комитета Обороны 25 октября 1940 г. посчитал целесообразным письмо Ефремова с обсуждения снять и просьбу о постройке самолета отклонить. В результате ни один из основных главных конструкторов, создававших в то время скоростные истребители, не взял на себя обузу оборудовать свой самолет реактором Ефремова. Исключение составили лишь Н.И. Гудков, разработавший эскизный проект модификации истребителя ЛаГГ-3 под реактор, и М.М.Пашинин предусмотревший в эскизном проекте первого варианта истребителя И-21 использование реактора. Но эти проекты не были реализованы. Вскоре грянула война, и на скоростных самолетах ограничились лишь использованием реактивных патрубков. Прибавка в скорости при этом была менее существенной и не использовался важный для ночных истребителей эффект снижения яркости выхлопа, который обеспечивал реактор (15431).</w:t>
      </w:r>
    </w:p>
    <w:p w14:paraId="2DB19778" w14:textId="77777777" w:rsidR="005C6611" w:rsidRPr="00DB5D0D" w:rsidRDefault="005C6611" w:rsidP="00DB5D0D">
      <w:pPr>
        <w:spacing w:after="0" w:line="240" w:lineRule="auto"/>
        <w:jc w:val="both"/>
        <w:rPr>
          <w:rFonts w:ascii="Times New Roman" w:hAnsi="Times New Roman"/>
          <w:color w:val="000000" w:themeColor="text1"/>
          <w:sz w:val="16"/>
          <w:szCs w:val="16"/>
        </w:rPr>
      </w:pPr>
    </w:p>
    <w:p w14:paraId="110CB2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в Контрольном листе учета выполнения постановления КО СНК СССР № 119сс от 4 марта 1940 г. представителем КО СНК СССР - контролером Вахрушевым была сделана запись:</w:t>
      </w:r>
    </w:p>
    <w:p w14:paraId="2F327F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УТ-1 модифицированный</w:t>
      </w:r>
    </w:p>
    <w:p w14:paraId="3F64D9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Заводские испытания прошел неудовлетворительно. ГК т. Яковлев принял решение на госиспытания не передавать, а подобрать винт с более высоким кпд.</w:t>
      </w:r>
    </w:p>
    <w:p w14:paraId="1AFE1C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Заканчивается производствлм (10395,74).</w:t>
      </w:r>
    </w:p>
    <w:p w14:paraId="218716C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680E9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закончились заводские испытания самолета УТ-1 в варианте учебно-тренировочного истребителя (УТИ), которые проходили с 19 мая 1940.</w:t>
      </w:r>
    </w:p>
    <w:p w14:paraId="2A98B7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был установлен синхронный пулемет ШКАС, прицел ПБП-1 и фотокинопулемет ПАУ-22. Это был первый вооруженный вариант УТ-1.</w:t>
      </w:r>
    </w:p>
    <w:p w14:paraId="3FD2D8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Модификация УТ-1 в УТИ была осуществлена в соответствии с Постановлением Комитета Обороны при СНК СССР от 4 марта 1940 г. главным конструктором завода № 47 Е.Г.Адлером.</w:t>
      </w:r>
    </w:p>
    <w:p w14:paraId="16BA35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был забракован из-за недостаточных запасов устойчивости (9649).</w:t>
      </w:r>
    </w:p>
    <w:p w14:paraId="00B5259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070CC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в Контрольном листе учета выполнения постановления КО СНК СССР № 124сс от 4 марта 1940 г. представителем КО СНК СССР - контролером Вахрушевым была сделана запись:</w:t>
      </w:r>
    </w:p>
    <w:p w14:paraId="426439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2М-63 Четверикова</w:t>
      </w:r>
    </w:p>
    <w:p w14:paraId="19F462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Закончились заводские испытания, к 1 сеньтября 1940 самолет поступит на госиспытанияю</w:t>
      </w:r>
    </w:p>
    <w:p w14:paraId="4F85E2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МДР-2 с 2М-62 закончен производством 20 августа 1940, к 1 сентября 1940 поступит на заводские испытания.</w:t>
      </w:r>
    </w:p>
    <w:p w14:paraId="5E5A54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сентября 1940 была запись:</w:t>
      </w:r>
    </w:p>
    <w:p w14:paraId="4A6E22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2М-63 Четверикова - закончены заводские испытания, обнаружена сильная коррозия дюралевых частей самолета. Принято решение на госиспытания этот самолет не передавать. Передать один из самолетов из серийного производства (10395,84).</w:t>
      </w:r>
    </w:p>
    <w:p w14:paraId="7E1CF3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МДР-6 2М-62 Четверикова</w:t>
      </w:r>
    </w:p>
    <w:p w14:paraId="37BA8B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полетам допущен не был из-за ошибок в расчете на дальность, которые сейчас заканчиваются проверкой (10395,84).</w:t>
      </w:r>
    </w:p>
    <w:p w14:paraId="0A96DE7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8E032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 произошла катастрофа МДР-7 2М-88 конструкции Самсонова, изготовленной 12 июня 1940 года заводом № 288. Погибли пилот Рябенко и борттехник Орлов. По мнению комиссии, причиной явилась потеря скорости на глубоком вираже. «Комиссия считает необходимым перед выпуском в полет дублера продуть его модель в ЦАГИ. Считает недопустимым выпуск ЦАГИ недоработанных отчетов с непонятными заключениями.</w:t>
      </w:r>
    </w:p>
    <w:p w14:paraId="2BF57B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устойчивости МДР-7 имелись замечания: «Наблюдались непонятные или необъяснимые явления», или «Нельзя считать, что данный вариант модели обладает окончательно отработанной продольной и путевой устойчивостью».</w:t>
      </w:r>
    </w:p>
    <w:p w14:paraId="038150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отзыв ЦАГИ был положительным (об устойчивости)» (Самарский филиал РГАНТД. Ф. Р-217. Оп. 1-6. Д. 26. Л. 12-13.). По этому поводу в докладе командующего авиацией Военно-Морского Флота генераллейтенанта авиации С.Ф. Жаворонкова говорилось: «Должны были быть закончены государственные испытания к концу этого года, но так как первый самолет был разбит, мы приступаем к заводским испытаниям этого самолета только сейчас. Самолет этот был запущен в опытное строительство по предложению НКАП. В 1938 году с его характеристикой согласились, т.к. промышленность ничего другого предложить не могла. ...Есть основания полагать, что одной из причин катастрофы явились... недостатки гидродинамики самолета, не допускающие сколь-нибудь глубоких виражей, требующие очень внимательного пилотирования. Так, по крайней мере, не совсем определенно нам было сказано комиссией, которая расследовала причины катастрофы. Больше всего причины катастрофы сваливали на летчика. Во всяком случае, ближайшее будущее покажет, пойдет ли этот самолет как серийный самолет» (Русский архив: Великая Отечественная. Накануне войны. Т. 12 (1-2). Материалы совещания высшего руководящего состава ВМФ СССР в конце 1940 г. / Под общ. ред. Золотарева В.А.М., 1997. С. 370-371.). Выше уже говорилось, что Комитет Обороны не санкционировал серийный выпуск МДР-7 на 1941 год (11672).</w:t>
      </w:r>
    </w:p>
    <w:p w14:paraId="12F4120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63F9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 начальник 7 управления ГУ ВВС в/инженер 1 ранга Бибиков</w:t>
      </w:r>
    </w:p>
    <w:p w14:paraId="6E609E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по моторам, проходящим заводские, совместные и войсковые испытания по состоянию на 20 августа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91"/>
        <w:gridCol w:w="1027"/>
        <w:gridCol w:w="992"/>
        <w:gridCol w:w="1134"/>
        <w:gridCol w:w="1134"/>
        <w:gridCol w:w="1276"/>
        <w:gridCol w:w="1179"/>
        <w:gridCol w:w="1328"/>
        <w:gridCol w:w="1179"/>
      </w:tblGrid>
      <w:tr w:rsidR="007D5DF8" w:rsidRPr="00DB5D0D" w14:paraId="74BA0E27" w14:textId="77777777" w:rsidTr="00E543D0">
        <w:tc>
          <w:tcPr>
            <w:tcW w:w="1491" w:type="dxa"/>
          </w:tcPr>
          <w:p w14:paraId="0BB7DF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объекта и основные данные</w:t>
            </w:r>
          </w:p>
        </w:tc>
        <w:tc>
          <w:tcPr>
            <w:tcW w:w="1027" w:type="dxa"/>
          </w:tcPr>
          <w:p w14:paraId="28082B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 и № постановления КО или приказа ВВС</w:t>
            </w:r>
          </w:p>
        </w:tc>
        <w:tc>
          <w:tcPr>
            <w:tcW w:w="992" w:type="dxa"/>
          </w:tcPr>
          <w:p w14:paraId="5C72AF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испытаний, указанные в решение КО или приказе ВВС (заводские)</w:t>
            </w:r>
          </w:p>
        </w:tc>
        <w:tc>
          <w:tcPr>
            <w:tcW w:w="1134" w:type="dxa"/>
          </w:tcPr>
          <w:p w14:paraId="36BEAD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испытаний, указанные в решение КО или приказе ВВС (совместные)</w:t>
            </w:r>
          </w:p>
        </w:tc>
        <w:tc>
          <w:tcPr>
            <w:tcW w:w="1134" w:type="dxa"/>
          </w:tcPr>
          <w:p w14:paraId="4C0EEC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испытаний, указанные в решение КО или приказе ВВС (государствен.)</w:t>
            </w:r>
          </w:p>
        </w:tc>
        <w:tc>
          <w:tcPr>
            <w:tcW w:w="1276" w:type="dxa"/>
          </w:tcPr>
          <w:p w14:paraId="738F4C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испытаний, указанные в решение КО или приказе ВВС (войсковые)</w:t>
            </w:r>
          </w:p>
        </w:tc>
        <w:tc>
          <w:tcPr>
            <w:tcW w:w="1179" w:type="dxa"/>
          </w:tcPr>
          <w:p w14:paraId="5B7BC5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Кто проводит испытания</w:t>
            </w:r>
          </w:p>
        </w:tc>
        <w:tc>
          <w:tcPr>
            <w:tcW w:w="1328" w:type="dxa"/>
          </w:tcPr>
          <w:p w14:paraId="364D35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работы на 20 августа 1940 года</w:t>
            </w:r>
          </w:p>
        </w:tc>
        <w:tc>
          <w:tcPr>
            <w:tcW w:w="1179" w:type="dxa"/>
          </w:tcPr>
          <w:p w14:paraId="4B00B2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76776E8A" w14:textId="77777777" w:rsidTr="00E543D0">
        <w:tc>
          <w:tcPr>
            <w:tcW w:w="1491" w:type="dxa"/>
          </w:tcPr>
          <w:p w14:paraId="20BDF2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p w14:paraId="31FB5D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1350 л.с.</w:t>
            </w:r>
          </w:p>
          <w:p w14:paraId="134C1D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1200 л.с.</w:t>
            </w:r>
          </w:p>
          <w:p w14:paraId="6A0575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tc>
        <w:tc>
          <w:tcPr>
            <w:tcW w:w="1027" w:type="dxa"/>
          </w:tcPr>
          <w:p w14:paraId="6E755C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209 от 20 мая 1940 года</w:t>
            </w:r>
          </w:p>
        </w:tc>
        <w:tc>
          <w:tcPr>
            <w:tcW w:w="992" w:type="dxa"/>
          </w:tcPr>
          <w:p w14:paraId="276435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4A6047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6A9705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w:t>
            </w:r>
          </w:p>
        </w:tc>
        <w:tc>
          <w:tcPr>
            <w:tcW w:w="1276" w:type="dxa"/>
          </w:tcPr>
          <w:p w14:paraId="3EB33C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7D1794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w:t>
            </w:r>
          </w:p>
        </w:tc>
        <w:tc>
          <w:tcPr>
            <w:tcW w:w="1328" w:type="dxa"/>
          </w:tcPr>
          <w:p w14:paraId="0CAB1D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закончил госиспытания, подготоавл. отчет Правит. комиссии. Предварит. данные о прохождении испытаний – удовлетоврит.</w:t>
            </w:r>
          </w:p>
        </w:tc>
        <w:tc>
          <w:tcPr>
            <w:tcW w:w="1179" w:type="dxa"/>
          </w:tcPr>
          <w:p w14:paraId="1B96779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A9BBBEA" w14:textId="77777777" w:rsidTr="00E543D0">
        <w:tc>
          <w:tcPr>
            <w:tcW w:w="1491" w:type="dxa"/>
          </w:tcPr>
          <w:p w14:paraId="5ED8A0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АМ-37</w:t>
            </w:r>
          </w:p>
          <w:p w14:paraId="378A0F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1400 л.с.</w:t>
            </w:r>
          </w:p>
          <w:p w14:paraId="46939C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1400 л.с.</w:t>
            </w:r>
          </w:p>
          <w:p w14:paraId="27DB20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tc>
        <w:tc>
          <w:tcPr>
            <w:tcW w:w="1027" w:type="dxa"/>
          </w:tcPr>
          <w:p w14:paraId="1C6FF5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222сс от 20 мая 1940 года</w:t>
            </w:r>
          </w:p>
        </w:tc>
        <w:tc>
          <w:tcPr>
            <w:tcW w:w="992" w:type="dxa"/>
          </w:tcPr>
          <w:p w14:paraId="0E1DFB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2F34AF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133278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сентября 1940 года</w:t>
            </w:r>
          </w:p>
        </w:tc>
        <w:tc>
          <w:tcPr>
            <w:tcW w:w="1276" w:type="dxa"/>
          </w:tcPr>
          <w:p w14:paraId="124FE2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1DAB66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w:t>
            </w:r>
          </w:p>
        </w:tc>
        <w:tc>
          <w:tcPr>
            <w:tcW w:w="1328" w:type="dxa"/>
          </w:tcPr>
          <w:p w14:paraId="53935A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 подготовляет два мотора на заводские 100 часовые испытания – начнет их 25-26 августа 1940 года и два мотора на госиспытания.</w:t>
            </w:r>
          </w:p>
        </w:tc>
        <w:tc>
          <w:tcPr>
            <w:tcW w:w="1179" w:type="dxa"/>
          </w:tcPr>
          <w:p w14:paraId="56FA47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C5D5894" w14:textId="77777777" w:rsidTr="00E543D0">
        <w:tc>
          <w:tcPr>
            <w:tcW w:w="1491" w:type="dxa"/>
          </w:tcPr>
          <w:p w14:paraId="2384EF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АМ-36</w:t>
            </w:r>
          </w:p>
          <w:p w14:paraId="3DE7C6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2250 л.с.</w:t>
            </w:r>
          </w:p>
          <w:p w14:paraId="7FA3C1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2000 л.с.</w:t>
            </w:r>
          </w:p>
          <w:p w14:paraId="4844DF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tc>
        <w:tc>
          <w:tcPr>
            <w:tcW w:w="1027" w:type="dxa"/>
          </w:tcPr>
          <w:p w14:paraId="154471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91сс от 26 апреля 1939 года</w:t>
            </w:r>
          </w:p>
        </w:tc>
        <w:tc>
          <w:tcPr>
            <w:tcW w:w="992" w:type="dxa"/>
          </w:tcPr>
          <w:p w14:paraId="7DB089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ноября 1941</w:t>
            </w:r>
          </w:p>
        </w:tc>
        <w:tc>
          <w:tcPr>
            <w:tcW w:w="1134" w:type="dxa"/>
          </w:tcPr>
          <w:p w14:paraId="78981F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7EEA87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6" w:type="dxa"/>
          </w:tcPr>
          <w:p w14:paraId="0658BD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157BFD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w:t>
            </w:r>
          </w:p>
        </w:tc>
        <w:tc>
          <w:tcPr>
            <w:tcW w:w="1328" w:type="dxa"/>
          </w:tcPr>
          <w:p w14:paraId="50AB8D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Проводятся доводочные работы до ресурса 50 часов.</w:t>
            </w:r>
          </w:p>
        </w:tc>
        <w:tc>
          <w:tcPr>
            <w:tcW w:w="1179" w:type="dxa"/>
          </w:tcPr>
          <w:p w14:paraId="606F64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КО № 91сс о выпуске к 1 сентября 1940 года первой серии моторов – 50 штук не выполнено, т.к. мотор недоведен.</w:t>
            </w:r>
          </w:p>
        </w:tc>
      </w:tr>
      <w:tr w:rsidR="007D5DF8" w:rsidRPr="00DB5D0D" w14:paraId="6F3AE4E3" w14:textId="77777777" w:rsidTr="00E543D0">
        <w:tc>
          <w:tcPr>
            <w:tcW w:w="1491" w:type="dxa"/>
          </w:tcPr>
          <w:p w14:paraId="141BFF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АМ-38</w:t>
            </w:r>
          </w:p>
          <w:p w14:paraId="11186F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1600 л.с.</w:t>
            </w:r>
          </w:p>
          <w:p w14:paraId="718431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1590 л.с.</w:t>
            </w:r>
          </w:p>
          <w:p w14:paraId="776170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1770 м</w:t>
            </w:r>
          </w:p>
        </w:tc>
        <w:tc>
          <w:tcPr>
            <w:tcW w:w="1027" w:type="dxa"/>
          </w:tcPr>
          <w:p w14:paraId="70224D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Решения Правительства нет</w:t>
            </w:r>
          </w:p>
        </w:tc>
        <w:tc>
          <w:tcPr>
            <w:tcW w:w="992" w:type="dxa"/>
          </w:tcPr>
          <w:p w14:paraId="6EF799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2BD721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7720D6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6" w:type="dxa"/>
          </w:tcPr>
          <w:p w14:paraId="41DE32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045077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w:t>
            </w:r>
          </w:p>
        </w:tc>
        <w:tc>
          <w:tcPr>
            <w:tcW w:w="1328" w:type="dxa"/>
          </w:tcPr>
          <w:p w14:paraId="1E15D6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 к 1 августа 1940 года закончил 50 час. заводские испытания. Под мотор АМ-38 имеются два самолета: один построен на заводе 39, другой запроектиров. на заводе № 1.</w:t>
            </w:r>
          </w:p>
        </w:tc>
        <w:tc>
          <w:tcPr>
            <w:tcW w:w="1179" w:type="dxa"/>
          </w:tcPr>
          <w:p w14:paraId="46E235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 испытаний задерживается отсутствием ТТТ на мотор АМ-38</w:t>
            </w:r>
          </w:p>
        </w:tc>
      </w:tr>
      <w:tr w:rsidR="007D5DF8" w:rsidRPr="00DB5D0D" w14:paraId="4B271817" w14:textId="77777777" w:rsidTr="00E543D0">
        <w:tc>
          <w:tcPr>
            <w:tcW w:w="1491" w:type="dxa"/>
          </w:tcPr>
          <w:p w14:paraId="416BCF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p w14:paraId="601678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1100 л.с.</w:t>
            </w:r>
          </w:p>
          <w:p w14:paraId="5927CE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1050 л.с.</w:t>
            </w:r>
          </w:p>
          <w:p w14:paraId="673121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4000 м</w:t>
            </w:r>
          </w:p>
        </w:tc>
        <w:tc>
          <w:tcPr>
            <w:tcW w:w="1027" w:type="dxa"/>
          </w:tcPr>
          <w:p w14:paraId="62D7B8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385с от 2 октября 1939 года</w:t>
            </w:r>
          </w:p>
        </w:tc>
        <w:tc>
          <w:tcPr>
            <w:tcW w:w="992" w:type="dxa"/>
          </w:tcPr>
          <w:p w14:paraId="08D5A5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073C51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30201D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октября 1939</w:t>
            </w:r>
          </w:p>
        </w:tc>
        <w:tc>
          <w:tcPr>
            <w:tcW w:w="1276" w:type="dxa"/>
          </w:tcPr>
          <w:p w14:paraId="5B18DC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63C9E6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26</w:t>
            </w:r>
          </w:p>
        </w:tc>
        <w:tc>
          <w:tcPr>
            <w:tcW w:w="1328" w:type="dxa"/>
          </w:tcPr>
          <w:p w14:paraId="53A8F1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Госиспытания закончены 20 апреля 1940 года.</w:t>
            </w:r>
          </w:p>
        </w:tc>
        <w:tc>
          <w:tcPr>
            <w:tcW w:w="1179" w:type="dxa"/>
          </w:tcPr>
          <w:p w14:paraId="134EA5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 М-105 в августе 1940 года прошел 150 час. комиссионные испытания.</w:t>
            </w:r>
          </w:p>
        </w:tc>
      </w:tr>
      <w:tr w:rsidR="007D5DF8" w:rsidRPr="00DB5D0D" w14:paraId="6C9A01FA" w14:textId="77777777" w:rsidTr="00E543D0">
        <w:tc>
          <w:tcPr>
            <w:tcW w:w="1491" w:type="dxa"/>
          </w:tcPr>
          <w:p w14:paraId="35D403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p w14:paraId="21A644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1100 л.с.</w:t>
            </w:r>
          </w:p>
          <w:p w14:paraId="02991A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1050 л.с.</w:t>
            </w:r>
          </w:p>
          <w:p w14:paraId="469D1F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4000 м</w:t>
            </w:r>
          </w:p>
        </w:tc>
        <w:tc>
          <w:tcPr>
            <w:tcW w:w="1027" w:type="dxa"/>
          </w:tcPr>
          <w:p w14:paraId="14D87C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 ВВС № 096 от 3 июля 1940 года</w:t>
            </w:r>
          </w:p>
        </w:tc>
        <w:tc>
          <w:tcPr>
            <w:tcW w:w="992" w:type="dxa"/>
          </w:tcPr>
          <w:p w14:paraId="501B9A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4E0988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5ED23C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6" w:type="dxa"/>
          </w:tcPr>
          <w:p w14:paraId="425E2E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Начать 10 июля 1940 года</w:t>
            </w:r>
          </w:p>
          <w:p w14:paraId="323B25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Закончить 15 августа</w:t>
            </w:r>
          </w:p>
        </w:tc>
        <w:tc>
          <w:tcPr>
            <w:tcW w:w="1179" w:type="dxa"/>
          </w:tcPr>
          <w:p w14:paraId="221951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Калинин</w:t>
            </w:r>
          </w:p>
        </w:tc>
        <w:tc>
          <w:tcPr>
            <w:tcW w:w="1328" w:type="dxa"/>
          </w:tcPr>
          <w:p w14:paraId="405C2E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не закончены</w:t>
            </w:r>
          </w:p>
        </w:tc>
        <w:tc>
          <w:tcPr>
            <w:tcW w:w="1179" w:type="dxa"/>
          </w:tcPr>
          <w:p w14:paraId="2B796E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CD133F8" w14:textId="77777777" w:rsidTr="00E543D0">
        <w:tc>
          <w:tcPr>
            <w:tcW w:w="1491" w:type="dxa"/>
          </w:tcPr>
          <w:p w14:paraId="6B4AD2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 с ТК-2</w:t>
            </w:r>
          </w:p>
          <w:p w14:paraId="30729E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1100 л.с.</w:t>
            </w:r>
          </w:p>
          <w:p w14:paraId="3843F0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950 л.с.</w:t>
            </w:r>
          </w:p>
          <w:p w14:paraId="2161BA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10000 м</w:t>
            </w:r>
          </w:p>
        </w:tc>
        <w:tc>
          <w:tcPr>
            <w:tcW w:w="1027" w:type="dxa"/>
          </w:tcPr>
          <w:p w14:paraId="3D4CE2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Акт утверждения совместного 50 час. испытания август 1940 года</w:t>
            </w:r>
          </w:p>
        </w:tc>
        <w:tc>
          <w:tcPr>
            <w:tcW w:w="992" w:type="dxa"/>
          </w:tcPr>
          <w:p w14:paraId="4986F3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594830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417F25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6" w:type="dxa"/>
          </w:tcPr>
          <w:p w14:paraId="45D147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октября 1940 года</w:t>
            </w:r>
          </w:p>
        </w:tc>
        <w:tc>
          <w:tcPr>
            <w:tcW w:w="1179" w:type="dxa"/>
          </w:tcPr>
          <w:p w14:paraId="089DB9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ЦИАМ</w:t>
            </w:r>
          </w:p>
        </w:tc>
        <w:tc>
          <w:tcPr>
            <w:tcW w:w="1328" w:type="dxa"/>
          </w:tcPr>
          <w:p w14:paraId="25E5D9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Проводится подготовка по войсковым испытаниям на самолетах СБ.</w:t>
            </w:r>
          </w:p>
        </w:tc>
        <w:tc>
          <w:tcPr>
            <w:tcW w:w="1179" w:type="dxa"/>
          </w:tcPr>
          <w:p w14:paraId="7DE7486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3B10E6E" w14:textId="77777777" w:rsidTr="00E543D0">
        <w:tc>
          <w:tcPr>
            <w:tcW w:w="1491" w:type="dxa"/>
          </w:tcPr>
          <w:p w14:paraId="70C36C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М-107П</w:t>
            </w:r>
          </w:p>
          <w:p w14:paraId="1426B9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1250 л.с.</w:t>
            </w:r>
          </w:p>
          <w:p w14:paraId="2C9425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1150 л.с.</w:t>
            </w:r>
          </w:p>
          <w:p w14:paraId="4A7F77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tc>
        <w:tc>
          <w:tcPr>
            <w:tcW w:w="1027" w:type="dxa"/>
          </w:tcPr>
          <w:p w14:paraId="172955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226 от 25 мая 1940 года</w:t>
            </w:r>
          </w:p>
        </w:tc>
        <w:tc>
          <w:tcPr>
            <w:tcW w:w="992" w:type="dxa"/>
          </w:tcPr>
          <w:p w14:paraId="27AEFC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7F100A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 1940</w:t>
            </w:r>
          </w:p>
        </w:tc>
        <w:tc>
          <w:tcPr>
            <w:tcW w:w="1134" w:type="dxa"/>
          </w:tcPr>
          <w:p w14:paraId="257E15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декабря 1940</w:t>
            </w:r>
          </w:p>
        </w:tc>
        <w:tc>
          <w:tcPr>
            <w:tcW w:w="1276" w:type="dxa"/>
          </w:tcPr>
          <w:p w14:paraId="71015A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5C0B8A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26</w:t>
            </w:r>
          </w:p>
        </w:tc>
        <w:tc>
          <w:tcPr>
            <w:tcW w:w="1328" w:type="dxa"/>
          </w:tcPr>
          <w:p w14:paraId="41BDCF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Проводится доводочная работа до ресурса 50 час.</w:t>
            </w:r>
          </w:p>
        </w:tc>
        <w:tc>
          <w:tcPr>
            <w:tcW w:w="1179" w:type="dxa"/>
          </w:tcPr>
          <w:p w14:paraId="29C69E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42D964A" w14:textId="77777777" w:rsidTr="00E543D0">
        <w:tc>
          <w:tcPr>
            <w:tcW w:w="1491" w:type="dxa"/>
          </w:tcPr>
          <w:p w14:paraId="7A8379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М-120</w:t>
            </w:r>
          </w:p>
          <w:p w14:paraId="20D3B1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1800 л.с.</w:t>
            </w:r>
          </w:p>
          <w:p w14:paraId="745668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1500 л.с.</w:t>
            </w:r>
          </w:p>
          <w:p w14:paraId="31E513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tc>
        <w:tc>
          <w:tcPr>
            <w:tcW w:w="1027" w:type="dxa"/>
          </w:tcPr>
          <w:p w14:paraId="3C1D7B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91сс от 26 апреля 1939 года</w:t>
            </w:r>
          </w:p>
        </w:tc>
        <w:tc>
          <w:tcPr>
            <w:tcW w:w="992" w:type="dxa"/>
          </w:tcPr>
          <w:p w14:paraId="5226AB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ноября 1939</w:t>
            </w:r>
          </w:p>
        </w:tc>
        <w:tc>
          <w:tcPr>
            <w:tcW w:w="1134" w:type="dxa"/>
          </w:tcPr>
          <w:p w14:paraId="3099A6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11906E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6" w:type="dxa"/>
          </w:tcPr>
          <w:p w14:paraId="6CF070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5F1E74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26</w:t>
            </w:r>
          </w:p>
        </w:tc>
        <w:tc>
          <w:tcPr>
            <w:tcW w:w="1328" w:type="dxa"/>
          </w:tcPr>
          <w:p w14:paraId="2E6A6D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Проводится доводочная работа до ресурса 50 час.</w:t>
            </w:r>
          </w:p>
        </w:tc>
        <w:tc>
          <w:tcPr>
            <w:tcW w:w="1179" w:type="dxa"/>
          </w:tcPr>
          <w:p w14:paraId="43EF73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Решение КО № 91сс обязавшее завод № 26 выпустить первую серию моторов М-120, кол-во 50 штук к 1 сентября 1940 года – не выполнено, т.к. мотор не доведен.</w:t>
            </w:r>
          </w:p>
        </w:tc>
      </w:tr>
      <w:tr w:rsidR="007D5DF8" w:rsidRPr="00DB5D0D" w14:paraId="1251D23A" w14:textId="77777777" w:rsidTr="00E543D0">
        <w:tc>
          <w:tcPr>
            <w:tcW w:w="1491" w:type="dxa"/>
          </w:tcPr>
          <w:p w14:paraId="73EB6A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М-90</w:t>
            </w:r>
          </w:p>
          <w:p w14:paraId="296567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1750 л.с.</w:t>
            </w:r>
          </w:p>
          <w:p w14:paraId="325351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номинал. мощн. на 1-й ск. – 1650 л.с.</w:t>
            </w:r>
          </w:p>
          <w:p w14:paraId="415F91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на 2-й ск. – 1500 л.с.</w:t>
            </w:r>
          </w:p>
          <w:p w14:paraId="0A6E47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Н=3000 м на 1-й ск. –</w:t>
            </w:r>
          </w:p>
          <w:p w14:paraId="43B342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Н=6000 м на 2-й ск.</w:t>
            </w:r>
          </w:p>
        </w:tc>
        <w:tc>
          <w:tcPr>
            <w:tcW w:w="1027" w:type="dxa"/>
          </w:tcPr>
          <w:p w14:paraId="4F0FB7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Постановление КО № 91сс от 26 </w:t>
            </w:r>
            <w:r w:rsidRPr="00DB5D0D">
              <w:rPr>
                <w:rFonts w:ascii="Times New Roman" w:hAnsi="Times New Roman"/>
                <w:color w:val="000000" w:themeColor="text1"/>
                <w:sz w:val="16"/>
                <w:szCs w:val="16"/>
              </w:rPr>
              <w:lastRenderedPageBreak/>
              <w:t>апреля 1939 года</w:t>
            </w:r>
          </w:p>
        </w:tc>
        <w:tc>
          <w:tcPr>
            <w:tcW w:w="992" w:type="dxa"/>
          </w:tcPr>
          <w:p w14:paraId="28F375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января 1940</w:t>
            </w:r>
          </w:p>
        </w:tc>
        <w:tc>
          <w:tcPr>
            <w:tcW w:w="1134" w:type="dxa"/>
          </w:tcPr>
          <w:p w14:paraId="1EF7E0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265AFB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6" w:type="dxa"/>
          </w:tcPr>
          <w:p w14:paraId="0B7A16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65B193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29</w:t>
            </w:r>
          </w:p>
        </w:tc>
        <w:tc>
          <w:tcPr>
            <w:tcW w:w="1328" w:type="dxa"/>
          </w:tcPr>
          <w:p w14:paraId="6865A6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Мотор проходит доводки до ресурса 50 час. </w:t>
            </w:r>
            <w:r w:rsidRPr="00DB5D0D">
              <w:rPr>
                <w:rFonts w:ascii="Times New Roman" w:hAnsi="Times New Roman"/>
                <w:color w:val="000000" w:themeColor="text1"/>
                <w:sz w:val="16"/>
                <w:szCs w:val="16"/>
              </w:rPr>
              <w:lastRenderedPageBreak/>
              <w:t>За июнь проведено 4 испытания на 8-ми моторах, наработали на режимной работе 5-48 часов. За июль по 15 августа проведено 29 испытаний на 9 моторах. Моторы наработали на режимной работе от 15 до 69 часов. После разборки обнаружены дефекты.</w:t>
            </w:r>
          </w:p>
        </w:tc>
        <w:tc>
          <w:tcPr>
            <w:tcW w:w="1179" w:type="dxa"/>
          </w:tcPr>
          <w:p w14:paraId="1EADF30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8F8CBDB" w14:textId="77777777" w:rsidTr="00E543D0">
        <w:tc>
          <w:tcPr>
            <w:tcW w:w="1491" w:type="dxa"/>
          </w:tcPr>
          <w:p w14:paraId="67FABD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М-89</w:t>
            </w:r>
          </w:p>
          <w:p w14:paraId="194E88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1300 л.с.</w:t>
            </w:r>
          </w:p>
          <w:p w14:paraId="74CEEC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1150 л.с.</w:t>
            </w:r>
          </w:p>
          <w:p w14:paraId="41579D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tc>
        <w:tc>
          <w:tcPr>
            <w:tcW w:w="1027" w:type="dxa"/>
          </w:tcPr>
          <w:p w14:paraId="5941EA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263с от 15 июня 1940 года</w:t>
            </w:r>
          </w:p>
        </w:tc>
        <w:tc>
          <w:tcPr>
            <w:tcW w:w="992" w:type="dxa"/>
          </w:tcPr>
          <w:p w14:paraId="50E04A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47969D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декабря 1940 </w:t>
            </w:r>
          </w:p>
        </w:tc>
        <w:tc>
          <w:tcPr>
            <w:tcW w:w="1134" w:type="dxa"/>
          </w:tcPr>
          <w:p w14:paraId="781822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марта 1941</w:t>
            </w:r>
          </w:p>
        </w:tc>
        <w:tc>
          <w:tcPr>
            <w:tcW w:w="1276" w:type="dxa"/>
          </w:tcPr>
          <w:p w14:paraId="50EFBA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17DE16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29</w:t>
            </w:r>
          </w:p>
        </w:tc>
        <w:tc>
          <w:tcPr>
            <w:tcW w:w="1328" w:type="dxa"/>
          </w:tcPr>
          <w:p w14:paraId="3E12FA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Проходит заводские испытания по доводке до ресурса 50 час.</w:t>
            </w:r>
          </w:p>
        </w:tc>
        <w:tc>
          <w:tcPr>
            <w:tcW w:w="1179" w:type="dxa"/>
          </w:tcPr>
          <w:p w14:paraId="792203C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D8488E7" w14:textId="77777777" w:rsidTr="00E543D0">
        <w:tc>
          <w:tcPr>
            <w:tcW w:w="1491" w:type="dxa"/>
          </w:tcPr>
          <w:p w14:paraId="6BB158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М-88</w:t>
            </w:r>
          </w:p>
          <w:p w14:paraId="0D8E3C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1100 л.с.</w:t>
            </w:r>
          </w:p>
          <w:p w14:paraId="24AB77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на 1-й ск. – 1100 л.с.</w:t>
            </w:r>
          </w:p>
          <w:p w14:paraId="611F4D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на 1-й ск. – 4000 м</w:t>
            </w:r>
          </w:p>
          <w:p w14:paraId="08FAC3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на 2-й ск. – 1000 л.с.</w:t>
            </w:r>
          </w:p>
          <w:p w14:paraId="173338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на 2-й ск. – 6000 м</w:t>
            </w:r>
          </w:p>
        </w:tc>
        <w:tc>
          <w:tcPr>
            <w:tcW w:w="1027" w:type="dxa"/>
          </w:tcPr>
          <w:p w14:paraId="2311D5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91сс от 26 апреля 1939 года</w:t>
            </w:r>
          </w:p>
          <w:p w14:paraId="7E2F165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F79383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86E4E6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C296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 ВВС № 094 от 1 июля 1940 года</w:t>
            </w:r>
          </w:p>
        </w:tc>
        <w:tc>
          <w:tcPr>
            <w:tcW w:w="992" w:type="dxa"/>
          </w:tcPr>
          <w:p w14:paraId="761CC7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491A2A2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BD030D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EED96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2167BA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392F44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B271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03CAA1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0FB1722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75499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F93FBC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B2E81F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23CD2E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747A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099341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октября 1939</w:t>
            </w:r>
          </w:p>
          <w:p w14:paraId="7156C25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6AC8D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A6D6C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289D2B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C6511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6" w:type="dxa"/>
          </w:tcPr>
          <w:p w14:paraId="1C5906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декабря 1939</w:t>
            </w:r>
          </w:p>
          <w:p w14:paraId="1E5CB4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58465B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3EFC9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6C0D6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64B3A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Начать 15 июля 1940</w:t>
            </w:r>
          </w:p>
        </w:tc>
        <w:tc>
          <w:tcPr>
            <w:tcW w:w="1179" w:type="dxa"/>
          </w:tcPr>
          <w:p w14:paraId="4F140E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29</w:t>
            </w:r>
          </w:p>
          <w:p w14:paraId="4F791A7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F96F5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325A1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B60DD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3D34B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31C1B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 авиабригада ст. Мокрое ОдВО</w:t>
            </w:r>
          </w:p>
        </w:tc>
        <w:tc>
          <w:tcPr>
            <w:tcW w:w="1328" w:type="dxa"/>
          </w:tcPr>
          <w:p w14:paraId="4845F7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Госиспытания закончены 22 ноября 1939 года.</w:t>
            </w:r>
          </w:p>
          <w:p w14:paraId="3F41EF9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F9035D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6E3A5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1C20A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прерваны по дефектам моторов (по отказу первой скорости нагнетателя)</w:t>
            </w:r>
          </w:p>
        </w:tc>
        <w:tc>
          <w:tcPr>
            <w:tcW w:w="1179" w:type="dxa"/>
          </w:tcPr>
          <w:p w14:paraId="7C06AAB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D127D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0F1733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9DEBDB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1218F3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801A7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084B0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29 проводит конструктивн. доводку передачи первой скорости к нагнетателю.</w:t>
            </w:r>
          </w:p>
        </w:tc>
      </w:tr>
      <w:tr w:rsidR="007D5DF8" w:rsidRPr="00DB5D0D" w14:paraId="6B8BDC02" w14:textId="77777777" w:rsidTr="00E543D0">
        <w:tc>
          <w:tcPr>
            <w:tcW w:w="1491" w:type="dxa"/>
          </w:tcPr>
          <w:p w14:paraId="1084FC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М-63</w:t>
            </w:r>
          </w:p>
          <w:p w14:paraId="58C776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1100 л.с.</w:t>
            </w:r>
          </w:p>
          <w:p w14:paraId="7713B0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900 л.с.</w:t>
            </w:r>
          </w:p>
          <w:p w14:paraId="497000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4500</w:t>
            </w:r>
          </w:p>
        </w:tc>
        <w:tc>
          <w:tcPr>
            <w:tcW w:w="1027" w:type="dxa"/>
          </w:tcPr>
          <w:p w14:paraId="68E05B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 начальника ВВС от 21 июня 1940 года за №085/087</w:t>
            </w:r>
          </w:p>
        </w:tc>
        <w:tc>
          <w:tcPr>
            <w:tcW w:w="992" w:type="dxa"/>
          </w:tcPr>
          <w:p w14:paraId="023015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09B4E9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7C69CB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6" w:type="dxa"/>
          </w:tcPr>
          <w:p w14:paraId="01B518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июля по 10 августа 1940</w:t>
            </w:r>
          </w:p>
        </w:tc>
        <w:tc>
          <w:tcPr>
            <w:tcW w:w="1179" w:type="dxa"/>
          </w:tcPr>
          <w:p w14:paraId="1B71F7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 истребит. полк ОдВД</w:t>
            </w:r>
          </w:p>
        </w:tc>
        <w:tc>
          <w:tcPr>
            <w:tcW w:w="1328" w:type="dxa"/>
          </w:tcPr>
          <w:p w14:paraId="7E270B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наачты 15-20 июля 1940 года.</w:t>
            </w:r>
          </w:p>
        </w:tc>
        <w:tc>
          <w:tcPr>
            <w:tcW w:w="1179" w:type="dxa"/>
          </w:tcPr>
          <w:p w14:paraId="3AEB2F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Проверяется втулка гл. шатуна с новой подводкой масла по типу ДЖИ-200.</w:t>
            </w:r>
          </w:p>
        </w:tc>
      </w:tr>
      <w:tr w:rsidR="007D5DF8" w:rsidRPr="00DB5D0D" w14:paraId="6CFA5D9A" w14:textId="77777777" w:rsidTr="00E543D0">
        <w:tc>
          <w:tcPr>
            <w:tcW w:w="1491" w:type="dxa"/>
          </w:tcPr>
          <w:p w14:paraId="6F8423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М-63 с ТК</w:t>
            </w:r>
          </w:p>
          <w:p w14:paraId="3B6118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1100 л.с.</w:t>
            </w:r>
          </w:p>
          <w:p w14:paraId="16FA7A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810 л.с.</w:t>
            </w:r>
          </w:p>
          <w:p w14:paraId="2231F2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10000 м</w:t>
            </w:r>
          </w:p>
        </w:tc>
        <w:tc>
          <w:tcPr>
            <w:tcW w:w="1027" w:type="dxa"/>
          </w:tcPr>
          <w:p w14:paraId="71412E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225сс от 25 мая 1940 года</w:t>
            </w:r>
          </w:p>
        </w:tc>
        <w:tc>
          <w:tcPr>
            <w:tcW w:w="992" w:type="dxa"/>
          </w:tcPr>
          <w:p w14:paraId="6CA5FF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w:t>
            </w:r>
          </w:p>
        </w:tc>
        <w:tc>
          <w:tcPr>
            <w:tcW w:w="1134" w:type="dxa"/>
          </w:tcPr>
          <w:p w14:paraId="374A69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3CB53E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6" w:type="dxa"/>
          </w:tcPr>
          <w:p w14:paraId="10381E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5401E1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ЦИАМ</w:t>
            </w:r>
          </w:p>
        </w:tc>
        <w:tc>
          <w:tcPr>
            <w:tcW w:w="1328" w:type="dxa"/>
          </w:tcPr>
          <w:p w14:paraId="673CAA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Заводские испытания на самолете И-153 на нормальных режимах мотора проверены. Проводится испытание на форсирован. режимах. </w:t>
            </w:r>
          </w:p>
        </w:tc>
        <w:tc>
          <w:tcPr>
            <w:tcW w:w="1179" w:type="dxa"/>
          </w:tcPr>
          <w:p w14:paraId="1D6CAB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Отработать на станке и на самолете М-63 с ТК.</w:t>
            </w:r>
          </w:p>
        </w:tc>
      </w:tr>
      <w:tr w:rsidR="007D5DF8" w:rsidRPr="00DB5D0D" w14:paraId="4F4018F1" w14:textId="77777777" w:rsidTr="00E543D0">
        <w:tc>
          <w:tcPr>
            <w:tcW w:w="1491" w:type="dxa"/>
          </w:tcPr>
          <w:p w14:paraId="5BE5BC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М-64</w:t>
            </w:r>
          </w:p>
          <w:p w14:paraId="1776C5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1200 л.с.</w:t>
            </w:r>
          </w:p>
          <w:p w14:paraId="4277F1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900 л.с.</w:t>
            </w:r>
          </w:p>
          <w:p w14:paraId="0E776E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tc>
        <w:tc>
          <w:tcPr>
            <w:tcW w:w="1027" w:type="dxa"/>
          </w:tcPr>
          <w:p w14:paraId="16D3F9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225сс от 25 мая 1940 года</w:t>
            </w:r>
          </w:p>
        </w:tc>
        <w:tc>
          <w:tcPr>
            <w:tcW w:w="992" w:type="dxa"/>
          </w:tcPr>
          <w:p w14:paraId="5D0FF7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489800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июня 1940</w:t>
            </w:r>
          </w:p>
        </w:tc>
        <w:tc>
          <w:tcPr>
            <w:tcW w:w="1134" w:type="dxa"/>
          </w:tcPr>
          <w:p w14:paraId="0A4CEF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октября 1940</w:t>
            </w:r>
          </w:p>
        </w:tc>
        <w:tc>
          <w:tcPr>
            <w:tcW w:w="1276" w:type="dxa"/>
          </w:tcPr>
          <w:p w14:paraId="44876A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1A18ED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19</w:t>
            </w:r>
          </w:p>
        </w:tc>
        <w:tc>
          <w:tcPr>
            <w:tcW w:w="1328" w:type="dxa"/>
          </w:tcPr>
          <w:p w14:paraId="496795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Находится в стадии доводки заводских испытаний до ресурса 50 час.</w:t>
            </w:r>
          </w:p>
        </w:tc>
        <w:tc>
          <w:tcPr>
            <w:tcW w:w="1179" w:type="dxa"/>
          </w:tcPr>
          <w:p w14:paraId="25D3F3E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0D4B100" w14:textId="77777777" w:rsidTr="00E543D0">
        <w:tc>
          <w:tcPr>
            <w:tcW w:w="1491" w:type="dxa"/>
          </w:tcPr>
          <w:p w14:paraId="6909A8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М-81</w:t>
            </w:r>
          </w:p>
          <w:p w14:paraId="328C2D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1600 л.с.</w:t>
            </w:r>
          </w:p>
          <w:p w14:paraId="46AD34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1300 л.с.</w:t>
            </w:r>
          </w:p>
          <w:p w14:paraId="7DCA55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5000 м</w:t>
            </w:r>
          </w:p>
        </w:tc>
        <w:tc>
          <w:tcPr>
            <w:tcW w:w="1027" w:type="dxa"/>
          </w:tcPr>
          <w:p w14:paraId="563EA6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225сс от 25 мая 1940 года</w:t>
            </w:r>
          </w:p>
        </w:tc>
        <w:tc>
          <w:tcPr>
            <w:tcW w:w="992" w:type="dxa"/>
          </w:tcPr>
          <w:p w14:paraId="3C8C33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699EBA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09605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 1940</w:t>
            </w:r>
          </w:p>
        </w:tc>
        <w:tc>
          <w:tcPr>
            <w:tcW w:w="1276" w:type="dxa"/>
          </w:tcPr>
          <w:p w14:paraId="501261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6C341B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19</w:t>
            </w:r>
          </w:p>
        </w:tc>
        <w:tc>
          <w:tcPr>
            <w:tcW w:w="1328" w:type="dxa"/>
          </w:tcPr>
          <w:p w14:paraId="2603BB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 25 апреля 1940 года, испытания окончены 11 июня 1940 года, результаты испытания удолветоврит.</w:t>
            </w:r>
          </w:p>
        </w:tc>
        <w:tc>
          <w:tcPr>
            <w:tcW w:w="1179" w:type="dxa"/>
          </w:tcPr>
          <w:p w14:paraId="7830BD2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882869D" w14:textId="77777777" w:rsidTr="00E543D0">
        <w:tc>
          <w:tcPr>
            <w:tcW w:w="1491" w:type="dxa"/>
          </w:tcPr>
          <w:p w14:paraId="7A96F2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М-71</w:t>
            </w:r>
          </w:p>
          <w:p w14:paraId="0BF4B1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2000 л.с.</w:t>
            </w:r>
          </w:p>
          <w:p w14:paraId="454195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мощн. – 1700 л.с.</w:t>
            </w:r>
          </w:p>
          <w:p w14:paraId="001FD5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5000 м</w:t>
            </w:r>
          </w:p>
        </w:tc>
        <w:tc>
          <w:tcPr>
            <w:tcW w:w="1027" w:type="dxa"/>
          </w:tcPr>
          <w:p w14:paraId="60510D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91сс от 26 апреля 1939 года</w:t>
            </w:r>
          </w:p>
        </w:tc>
        <w:tc>
          <w:tcPr>
            <w:tcW w:w="992" w:type="dxa"/>
          </w:tcPr>
          <w:p w14:paraId="206E32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ноября 1939</w:t>
            </w:r>
          </w:p>
        </w:tc>
        <w:tc>
          <w:tcPr>
            <w:tcW w:w="1134" w:type="dxa"/>
          </w:tcPr>
          <w:p w14:paraId="3E81B5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111F6E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6" w:type="dxa"/>
          </w:tcPr>
          <w:p w14:paraId="7DCC70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26FE67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19</w:t>
            </w:r>
          </w:p>
        </w:tc>
        <w:tc>
          <w:tcPr>
            <w:tcW w:w="1328" w:type="dxa"/>
          </w:tcPr>
          <w:p w14:paraId="08DF79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17 апреля 1940 года был предъявлен на совместные 50-час. испытания. С испытания снят, находится в стадии доводки </w:t>
            </w:r>
            <w:r w:rsidRPr="00DB5D0D">
              <w:rPr>
                <w:rFonts w:ascii="Times New Roman" w:hAnsi="Times New Roman"/>
                <w:color w:val="000000" w:themeColor="text1"/>
                <w:sz w:val="16"/>
                <w:szCs w:val="16"/>
              </w:rPr>
              <w:lastRenderedPageBreak/>
              <w:t>заводских испытаний.</w:t>
            </w:r>
          </w:p>
        </w:tc>
        <w:tc>
          <w:tcPr>
            <w:tcW w:w="1179" w:type="dxa"/>
          </w:tcPr>
          <w:p w14:paraId="004455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Постановление 91сс о выпуске малой серии в кол-ве 50 штук к 1 июля 1940 года не выполнено, т.к. мотор не доведен.</w:t>
            </w:r>
          </w:p>
        </w:tc>
      </w:tr>
      <w:tr w:rsidR="007D5DF8" w:rsidRPr="00DB5D0D" w14:paraId="76537F71" w14:textId="77777777" w:rsidTr="00E543D0">
        <w:tc>
          <w:tcPr>
            <w:tcW w:w="1491" w:type="dxa"/>
          </w:tcPr>
          <w:p w14:paraId="227314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Авиадизель М-20</w:t>
            </w:r>
          </w:p>
          <w:p w14:paraId="33EBDD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1359 л.с.</w:t>
            </w:r>
          </w:p>
          <w:p w14:paraId="7A9C5B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 мощн. – 1100 л.с.</w:t>
            </w:r>
          </w:p>
          <w:p w14:paraId="5B6F10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7000 м</w:t>
            </w:r>
          </w:p>
        </w:tc>
        <w:tc>
          <w:tcPr>
            <w:tcW w:w="1027" w:type="dxa"/>
          </w:tcPr>
          <w:p w14:paraId="4EDC81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92" w:type="dxa"/>
          </w:tcPr>
          <w:p w14:paraId="7C73C0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7FBBDF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658AF6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276" w:type="dxa"/>
          </w:tcPr>
          <w:p w14:paraId="1F2AA6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4239FE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82</w:t>
            </w:r>
          </w:p>
        </w:tc>
        <w:tc>
          <w:tcPr>
            <w:tcW w:w="1328" w:type="dxa"/>
          </w:tcPr>
          <w:p w14:paraId="45E59F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стадии доводки.</w:t>
            </w:r>
          </w:p>
        </w:tc>
        <w:tc>
          <w:tcPr>
            <w:tcW w:w="1179" w:type="dxa"/>
          </w:tcPr>
          <w:p w14:paraId="152CE4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E60B053" w14:textId="77777777" w:rsidTr="00E543D0">
        <w:tc>
          <w:tcPr>
            <w:tcW w:w="1491" w:type="dxa"/>
          </w:tcPr>
          <w:p w14:paraId="7C4CF7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Авиадизель М-30</w:t>
            </w:r>
          </w:p>
          <w:p w14:paraId="2FBFE7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1500 л.с.</w:t>
            </w:r>
          </w:p>
          <w:p w14:paraId="7024F3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 мощн. – 1250 л.с.</w:t>
            </w:r>
          </w:p>
          <w:p w14:paraId="54A83A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tc>
        <w:tc>
          <w:tcPr>
            <w:tcW w:w="1027" w:type="dxa"/>
          </w:tcPr>
          <w:p w14:paraId="54CB10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200сс от 12 мая 1940 года</w:t>
            </w:r>
          </w:p>
        </w:tc>
        <w:tc>
          <w:tcPr>
            <w:tcW w:w="992" w:type="dxa"/>
          </w:tcPr>
          <w:p w14:paraId="0D4408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05FDDA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В мае 1940</w:t>
            </w:r>
          </w:p>
        </w:tc>
        <w:tc>
          <w:tcPr>
            <w:tcW w:w="1134" w:type="dxa"/>
          </w:tcPr>
          <w:p w14:paraId="76B0F9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w:t>
            </w:r>
          </w:p>
        </w:tc>
        <w:tc>
          <w:tcPr>
            <w:tcW w:w="1276" w:type="dxa"/>
          </w:tcPr>
          <w:p w14:paraId="7E6C6A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2033AF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82</w:t>
            </w:r>
          </w:p>
        </w:tc>
        <w:tc>
          <w:tcPr>
            <w:tcW w:w="1328" w:type="dxa"/>
          </w:tcPr>
          <w:p w14:paraId="79D13A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Находится в стадии доводки заводских испытаний.</w:t>
            </w:r>
          </w:p>
        </w:tc>
        <w:tc>
          <w:tcPr>
            <w:tcW w:w="1179" w:type="dxa"/>
          </w:tcPr>
          <w:p w14:paraId="6AB6B59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B71ADAA" w14:textId="77777777" w:rsidTr="00E543D0">
        <w:tc>
          <w:tcPr>
            <w:tcW w:w="1491" w:type="dxa"/>
          </w:tcPr>
          <w:p w14:paraId="5E595D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Авиадизель М-40</w:t>
            </w:r>
          </w:p>
          <w:p w14:paraId="257379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1500 л.с.</w:t>
            </w:r>
          </w:p>
          <w:p w14:paraId="59FB7C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 мощн. – 1000 л.с.</w:t>
            </w:r>
          </w:p>
          <w:p w14:paraId="1FEAB2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5500 м</w:t>
            </w:r>
          </w:p>
          <w:p w14:paraId="09CD73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Форсированный</w:t>
            </w:r>
          </w:p>
          <w:p w14:paraId="29CA0C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взлетная мощн. – 1500 л.с.</w:t>
            </w:r>
          </w:p>
          <w:p w14:paraId="473E21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 мощн. – 1250 л.с.</w:t>
            </w:r>
          </w:p>
          <w:p w14:paraId="35A55F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 6000 м</w:t>
            </w:r>
          </w:p>
        </w:tc>
        <w:tc>
          <w:tcPr>
            <w:tcW w:w="1027" w:type="dxa"/>
          </w:tcPr>
          <w:p w14:paraId="2455E0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 200сс от 12 мая 1940 года</w:t>
            </w:r>
          </w:p>
        </w:tc>
        <w:tc>
          <w:tcPr>
            <w:tcW w:w="992" w:type="dxa"/>
          </w:tcPr>
          <w:p w14:paraId="0D85D9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62E350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Pr>
          <w:p w14:paraId="45A3C8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w:t>
            </w:r>
          </w:p>
          <w:p w14:paraId="373E403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A31446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19405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6C704A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0B59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w:t>
            </w:r>
          </w:p>
        </w:tc>
        <w:tc>
          <w:tcPr>
            <w:tcW w:w="1276" w:type="dxa"/>
          </w:tcPr>
          <w:p w14:paraId="7A71CE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7B0F283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F87544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5B7D59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88AFB5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6D93C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79" w:type="dxa"/>
          </w:tcPr>
          <w:p w14:paraId="670067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ЦИАМ</w:t>
            </w:r>
          </w:p>
        </w:tc>
        <w:tc>
          <w:tcPr>
            <w:tcW w:w="1328" w:type="dxa"/>
          </w:tcPr>
          <w:p w14:paraId="159E50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мая 1940 года предъявлен на госиспытание.</w:t>
            </w:r>
          </w:p>
          <w:p w14:paraId="7582FA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Госиспытание не закончено.</w:t>
            </w:r>
          </w:p>
        </w:tc>
        <w:tc>
          <w:tcPr>
            <w:tcW w:w="1179" w:type="dxa"/>
          </w:tcPr>
          <w:p w14:paraId="3CD466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13202C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(7713, 16-18)</w:t>
      </w:r>
    </w:p>
    <w:p w14:paraId="545E9B2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71EFE5" w14:textId="77777777" w:rsidR="006D3176" w:rsidRPr="00DB5D0D" w:rsidRDefault="006D317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1938 г. начальник ВВС РККА А. Д. Локтионов и член Военного совета И. И. Овчинкин направили наркому оборонной промышленности СССР М. М. Кагановичу письмо о результатах проверки хода работ по реализации постановления. В нем говорилось: «К 20 августа с. г. 1</w:t>
      </w:r>
      <w:r w:rsidRPr="00DB5D0D">
        <w:rPr>
          <w:rFonts w:ascii="Times New Roman" w:hAnsi="Times New Roman"/>
          <w:color w:val="000000" w:themeColor="text1"/>
          <w:sz w:val="16"/>
          <w:szCs w:val="16"/>
        </w:rPr>
        <w:noBreakHyphen/>
        <w:t>е Главное управление, 10</w:t>
      </w:r>
      <w:r w:rsidRPr="00DB5D0D">
        <w:rPr>
          <w:rFonts w:ascii="Times New Roman" w:hAnsi="Times New Roman"/>
          <w:color w:val="000000" w:themeColor="text1"/>
          <w:sz w:val="16"/>
          <w:szCs w:val="16"/>
        </w:rPr>
        <w:noBreakHyphen/>
        <w:t>е Главное управление НКОП и НИИ</w:t>
      </w:r>
      <w:r w:rsidRPr="00DB5D0D">
        <w:rPr>
          <w:rFonts w:ascii="Times New Roman" w:hAnsi="Times New Roman"/>
          <w:color w:val="000000" w:themeColor="text1"/>
          <w:sz w:val="16"/>
          <w:szCs w:val="16"/>
        </w:rPr>
        <w:noBreakHyphen/>
        <w:t>12 НКОП приказа Наркомата оборонной промышленности о работах по реализации этого постановления не получили и к указанным работам не приступали. Над объектами, перечисленными в указанном постановлении, ведется некоторая работа по инициативе предприятий. Эта работа часто не совпадает с требованиями, предъявляемыми постановлением. Так, на заводе № 39 НКОП к 15 августа 1938 г. должны быть оборудованы автопилотами АВП</w:t>
      </w:r>
      <w:r w:rsidRPr="00DB5D0D">
        <w:rPr>
          <w:rFonts w:ascii="Times New Roman" w:hAnsi="Times New Roman"/>
          <w:color w:val="000000" w:themeColor="text1"/>
          <w:sz w:val="16"/>
          <w:szCs w:val="16"/>
        </w:rPr>
        <w:noBreakHyphen/>
        <w:t>12 и предоставлены для войсковых испытаний 5 самолетов ДБ</w:t>
      </w:r>
      <w:r w:rsidRPr="00DB5D0D">
        <w:rPr>
          <w:rFonts w:ascii="Times New Roman" w:hAnsi="Times New Roman"/>
          <w:color w:val="000000" w:themeColor="text1"/>
          <w:sz w:val="16"/>
          <w:szCs w:val="16"/>
        </w:rPr>
        <w:noBreakHyphen/>
        <w:t>3. Фактически оборудован автопилотом АВП</w:t>
      </w:r>
      <w:r w:rsidRPr="00DB5D0D">
        <w:rPr>
          <w:rFonts w:ascii="Times New Roman" w:hAnsi="Times New Roman"/>
          <w:color w:val="000000" w:themeColor="text1"/>
          <w:sz w:val="16"/>
          <w:szCs w:val="16"/>
        </w:rPr>
        <w:noBreakHyphen/>
        <w:t>12 и подготовлен к испытанию один самолет ДБ</w:t>
      </w:r>
      <w:r w:rsidRPr="00DB5D0D">
        <w:rPr>
          <w:rFonts w:ascii="Times New Roman" w:hAnsi="Times New Roman"/>
          <w:color w:val="000000" w:themeColor="text1"/>
          <w:sz w:val="16"/>
          <w:szCs w:val="16"/>
        </w:rPr>
        <w:noBreakHyphen/>
        <w:t>3. НИИ</w:t>
      </w:r>
      <w:r w:rsidRPr="00DB5D0D">
        <w:rPr>
          <w:rFonts w:ascii="Times New Roman" w:hAnsi="Times New Roman"/>
          <w:color w:val="000000" w:themeColor="text1"/>
          <w:sz w:val="16"/>
          <w:szCs w:val="16"/>
        </w:rPr>
        <w:noBreakHyphen/>
        <w:t>12 НКОП должен смонтировать и представить на госиспытания к 1 сентября с. г. автопилот “Гироскоп” на самолете СБ обр. 1937 г. Не зная о постановлении правительства и не имея самолета СБ</w:t>
      </w:r>
      <w:r w:rsidRPr="00DB5D0D">
        <w:rPr>
          <w:rFonts w:ascii="Times New Roman" w:hAnsi="Times New Roman"/>
          <w:color w:val="000000" w:themeColor="text1"/>
          <w:sz w:val="16"/>
          <w:szCs w:val="16"/>
        </w:rPr>
        <w:noBreakHyphen/>
        <w:t>37, НИИ</w:t>
      </w:r>
      <w:r w:rsidRPr="00DB5D0D">
        <w:rPr>
          <w:rFonts w:ascii="Times New Roman" w:hAnsi="Times New Roman"/>
          <w:color w:val="000000" w:themeColor="text1"/>
          <w:sz w:val="16"/>
          <w:szCs w:val="16"/>
        </w:rPr>
        <w:noBreakHyphen/>
        <w:t>12 ведет работу по монтажу автопилота “Гироскоп” на самолете Р</w:t>
      </w:r>
      <w:r w:rsidRPr="00DB5D0D">
        <w:rPr>
          <w:rFonts w:ascii="Times New Roman" w:hAnsi="Times New Roman"/>
          <w:color w:val="000000" w:themeColor="text1"/>
          <w:sz w:val="16"/>
          <w:szCs w:val="16"/>
        </w:rPr>
        <w:noBreakHyphen/>
        <w:t>зет. Монтаж должен быть закончен к 1 сентября с. г.». (РГАЭ. Ф. 8044. Оп. 1. Д. 483а. Л. 89</w:t>
      </w:r>
      <w:r w:rsidRPr="00DB5D0D">
        <w:rPr>
          <w:rFonts w:ascii="Times New Roman" w:hAnsi="Times New Roman"/>
          <w:color w:val="000000" w:themeColor="text1"/>
          <w:sz w:val="16"/>
          <w:szCs w:val="16"/>
        </w:rPr>
        <w:noBreakHyphen/>
        <w:t>96, 121.)</w:t>
      </w:r>
    </w:p>
    <w:p w14:paraId="4A0CF2CA" w14:textId="77777777" w:rsidR="006D3176" w:rsidRPr="00DB5D0D" w:rsidRDefault="006D3176"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 РФ. Ф. Р-8418. Оп. 28. Д. 34. Л. 365-376. Подлинник (17778).</w:t>
      </w:r>
    </w:p>
    <w:p w14:paraId="6DCB1DF9" w14:textId="77777777" w:rsidR="006D3176" w:rsidRPr="00DB5D0D" w:rsidRDefault="006D3176" w:rsidP="00DB5D0D">
      <w:pPr>
        <w:spacing w:after="0" w:line="240" w:lineRule="auto"/>
        <w:jc w:val="both"/>
        <w:rPr>
          <w:rFonts w:ascii="Times New Roman" w:hAnsi="Times New Roman"/>
          <w:color w:val="000000" w:themeColor="text1"/>
          <w:sz w:val="16"/>
          <w:szCs w:val="16"/>
        </w:rPr>
      </w:pPr>
    </w:p>
    <w:p w14:paraId="2449DD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 М.В. Хруничевым было направлено АД. Крутикову письмо Н-32/1623 от. В нем сообщалось о желательности приоб</w:t>
      </w:r>
      <w:r w:rsidRPr="00DB5D0D">
        <w:rPr>
          <w:rFonts w:ascii="Times New Roman" w:hAnsi="Times New Roman"/>
          <w:color w:val="000000" w:themeColor="text1"/>
          <w:sz w:val="16"/>
          <w:szCs w:val="16"/>
        </w:rPr>
        <w:softHyphen/>
        <w:t>ретения у фирмы «Л. Леве» 10 токарно-револьверных станков марки ОК-34 Р2С со сроками поставки в 1940 году (РГАЭ. Ф. 8044. Оп. 1. Д. 436. Л. 109.).</w:t>
      </w:r>
    </w:p>
    <w:p w14:paraId="40C573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Представляет интерес письмо М.В. Хруничева АД Крутикову Н-32/3950 от 2 5 декабря 1940 года. К нему прилагалась ведомость «особо остродефицитных станков», необходимых для моторо- и самолетостроительных заводов НКАП. В соответствующей ведомости было представлено десять позиций по типам станков (специальные токарные, балансировочные, специальные шлифо</w:t>
      </w:r>
      <w:r w:rsidRPr="00DB5D0D">
        <w:rPr>
          <w:rFonts w:ascii="Times New Roman" w:hAnsi="Times New Roman"/>
          <w:color w:val="000000" w:themeColor="text1"/>
          <w:sz w:val="16"/>
          <w:szCs w:val="16"/>
        </w:rPr>
        <w:softHyphen/>
        <w:t>вальные и др.), которые охватывали 97 единиц станочного оборудования. По</w:t>
      </w:r>
      <w:r w:rsidRPr="00DB5D0D">
        <w:rPr>
          <w:rFonts w:ascii="Times New Roman" w:hAnsi="Times New Roman"/>
          <w:color w:val="000000" w:themeColor="text1"/>
          <w:sz w:val="16"/>
          <w:szCs w:val="16"/>
        </w:rPr>
        <w:softHyphen/>
        <w:t>мимо американских и швейцарских фирм, в числе производителей значилось и большое количество немецких, в том числе «Берингер», «Билетер», «Вотан», «Кольман», «Лозенгаузен», «Людвиг Леве», «Наксос Унион», «Унгер». Практичес</w:t>
      </w:r>
      <w:r w:rsidRPr="00DB5D0D">
        <w:rPr>
          <w:rFonts w:ascii="Times New Roman" w:hAnsi="Times New Roman"/>
          <w:color w:val="000000" w:themeColor="text1"/>
          <w:sz w:val="16"/>
          <w:szCs w:val="16"/>
        </w:rPr>
        <w:softHyphen/>
        <w:t>ки все позиции включали продукцию Германии, а некоторые, например про</w:t>
      </w:r>
      <w:r w:rsidRPr="00DB5D0D">
        <w:rPr>
          <w:rFonts w:ascii="Times New Roman" w:hAnsi="Times New Roman"/>
          <w:color w:val="000000" w:themeColor="text1"/>
          <w:sz w:val="16"/>
          <w:szCs w:val="16"/>
        </w:rPr>
        <w:softHyphen/>
        <w:t>дольно-фрезерные (быстроходные) или продольно-шлифовальные станки, были представлены исключительно немецкими образцами (РГАЭ. Ф. 8044. Оп. 1. Д. 436. Л. 109.).</w:t>
      </w:r>
    </w:p>
    <w:p w14:paraId="71E999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Примечательна и другая тенденция - попытка компенсировать срыв поставок станков из США немецким оборудованием. В письме замнаркома авиапромышленности Кузнецова замнаркома внешней торговли Бабкину № Н-32/103 от 8 января 1941 года сообщалось следующее: «Предлагаемая «Станкоимпортом» замена специального американского оборудования на немецкое должна быть всесторонне изучена непосредственно у фирм с точки зрения конкретных эксплуатационных данных». Далее, в частнос</w:t>
      </w:r>
      <w:r w:rsidRPr="00DB5D0D">
        <w:rPr>
          <w:rFonts w:ascii="Times New Roman" w:hAnsi="Times New Roman"/>
          <w:color w:val="000000" w:themeColor="text1"/>
          <w:sz w:val="16"/>
          <w:szCs w:val="16"/>
        </w:rPr>
        <w:softHyphen/>
        <w:t>ти, содержалась просьба включить в план предполагаемых командировок в Германию на 1941 год работников авиационной промышленности по вопросам приемки и инспектирования станочного оборудования (РГАЭ. Ф. 8044. Оп. 1. Д. 436. Л. 229.). В дей</w:t>
      </w:r>
      <w:r w:rsidRPr="00DB5D0D">
        <w:rPr>
          <w:rFonts w:ascii="Times New Roman" w:hAnsi="Times New Roman"/>
          <w:color w:val="000000" w:themeColor="text1"/>
          <w:sz w:val="16"/>
          <w:szCs w:val="16"/>
        </w:rPr>
        <w:softHyphen/>
        <w:t>ствительности, однако, к этому времени размещать в Германии заказы на станки было уже бессмысленно — до начала военных действий оставалось немногим более пяти месяцев (11710,260).</w:t>
      </w:r>
    </w:p>
    <w:p w14:paraId="29BC385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4CA10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состоялось совещание у А.И.Ш. по вопросу выполнения программы августа 1940 (1238).</w:t>
      </w:r>
    </w:p>
    <w:p w14:paraId="46D9E0D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F934E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СНК утвердил решение экономсовета "Об отмене ориентировочных цен на военную продукцию, вырабатываемую заводами наркоматов АП, Б, ТМ, ЦМ и стройматериалов" и цены стали считать на основе нормативов. НКАП мог увеличивать цену на 50% (1566,131).</w:t>
      </w:r>
    </w:p>
    <w:p w14:paraId="413A5FA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73717C"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 после утверждения СНК СССР решения Экономсовета «Об отмене ориентировочных цен на военную продукцию, вырабатываемую заводами наркоматов авиационной промышленности, вооружений, боеприпасов, тяжелого машиностроения, цветной металлургии и стройматериалов, возможности повышением цен исправить ошибки в планировании оказались ограниченными. Свое решение об отмене ориентировочных цен Экономсовет мотивировал тем, что, дескать, практика их применения «приводит к безответственности поставщиков и создает возможность бесхозяйственного расходования средств» (18676).</w:t>
      </w:r>
    </w:p>
    <w:p w14:paraId="22D5A5A0" w14:textId="77777777" w:rsidR="006D2834" w:rsidRPr="00DB5D0D" w:rsidRDefault="006D2834" w:rsidP="00DB5D0D">
      <w:pPr>
        <w:spacing w:after="0" w:line="240" w:lineRule="auto"/>
        <w:jc w:val="both"/>
        <w:rPr>
          <w:rFonts w:ascii="Times New Roman" w:hAnsi="Times New Roman"/>
          <w:color w:val="000000" w:themeColor="text1"/>
          <w:sz w:val="16"/>
          <w:szCs w:val="16"/>
        </w:rPr>
      </w:pPr>
    </w:p>
    <w:p w14:paraId="793F9D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августа 1940 г. Приказом НКВД было образовано Управление особого строительства (УОС) под руководством заместителя начальника ГУЛАГа старшего майора госбезопасности А.П. Лепилова, целью которого было строительство в районе Куйбышева двух авиастроительных (№ 122 и 295) и одного моторостроительного (№ 377) завода (ГА РФ. Ф. 9401.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1а. Д. 58. Л. 44.). При этом заводам предписывались следующие показатели (Военно-промышленный комплекс Куйбышевской области в годы Вели</w:t>
      </w:r>
      <w:r w:rsidRPr="00DB5D0D">
        <w:rPr>
          <w:rFonts w:ascii="Times New Roman" w:hAnsi="Times New Roman"/>
          <w:color w:val="000000" w:themeColor="text1"/>
          <w:sz w:val="16"/>
          <w:szCs w:val="16"/>
        </w:rPr>
        <w:softHyphen/>
        <w:t>кой Отечественной войны (1941—1945). Сб. док. Самара, 2005. С. 14.):</w:t>
      </w:r>
    </w:p>
    <w:tbl>
      <w:tblPr>
        <w:tblW w:w="0" w:type="auto"/>
        <w:tblInd w:w="8" w:type="dxa"/>
        <w:tblLayout w:type="fixed"/>
        <w:tblCellMar>
          <w:left w:w="0" w:type="dxa"/>
          <w:right w:w="0" w:type="dxa"/>
        </w:tblCellMar>
        <w:tblLook w:val="0000" w:firstRow="0" w:lastRow="0" w:firstColumn="0" w:lastColumn="0" w:noHBand="0" w:noVBand="0"/>
      </w:tblPr>
      <w:tblGrid>
        <w:gridCol w:w="706"/>
        <w:gridCol w:w="2626"/>
        <w:gridCol w:w="1234"/>
        <w:gridCol w:w="1358"/>
      </w:tblGrid>
      <w:tr w:rsidR="007D5DF8" w:rsidRPr="00DB5D0D" w14:paraId="1B0247DB" w14:textId="77777777" w:rsidTr="00E543D0">
        <w:trPr>
          <w:trHeight w:val="422"/>
        </w:trPr>
        <w:tc>
          <w:tcPr>
            <w:tcW w:w="706" w:type="dxa"/>
            <w:tcBorders>
              <w:top w:val="single" w:sz="6" w:space="0" w:color="auto"/>
              <w:left w:val="single" w:sz="6" w:space="0" w:color="auto"/>
              <w:bottom w:val="single" w:sz="6" w:space="0" w:color="auto"/>
              <w:right w:val="single" w:sz="6" w:space="0" w:color="auto"/>
            </w:tcBorders>
            <w:shd w:val="clear" w:color="auto" w:fill="FFFFFF"/>
          </w:tcPr>
          <w:p w14:paraId="187ACE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завода</w:t>
            </w:r>
          </w:p>
        </w:tc>
        <w:tc>
          <w:tcPr>
            <w:tcW w:w="2626" w:type="dxa"/>
            <w:tcBorders>
              <w:top w:val="single" w:sz="6" w:space="0" w:color="auto"/>
              <w:left w:val="single" w:sz="6" w:space="0" w:color="auto"/>
              <w:bottom w:val="single" w:sz="6" w:space="0" w:color="auto"/>
              <w:right w:val="single" w:sz="6" w:space="0" w:color="auto"/>
            </w:tcBorders>
            <w:shd w:val="clear" w:color="auto" w:fill="FFFFFF"/>
          </w:tcPr>
          <w:p w14:paraId="3A4580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Продукция</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175120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масштаб выпуска (в год)</w:t>
            </w:r>
          </w:p>
        </w:tc>
        <w:tc>
          <w:tcPr>
            <w:tcW w:w="1358" w:type="dxa"/>
            <w:tcBorders>
              <w:top w:val="single" w:sz="6" w:space="0" w:color="auto"/>
              <w:left w:val="single" w:sz="6" w:space="0" w:color="auto"/>
              <w:bottom w:val="single" w:sz="6" w:space="0" w:color="auto"/>
              <w:right w:val="single" w:sz="6" w:space="0" w:color="auto"/>
            </w:tcBorders>
            <w:shd w:val="clear" w:color="auto" w:fill="FFFFFF"/>
          </w:tcPr>
          <w:p w14:paraId="1E50C0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окончании строительства</w:t>
            </w:r>
          </w:p>
        </w:tc>
      </w:tr>
      <w:tr w:rsidR="007D5DF8" w:rsidRPr="00DB5D0D" w14:paraId="5D6E5D79" w14:textId="77777777" w:rsidTr="00E543D0">
        <w:trPr>
          <w:trHeight w:val="605"/>
        </w:trPr>
        <w:tc>
          <w:tcPr>
            <w:tcW w:w="706" w:type="dxa"/>
            <w:tcBorders>
              <w:top w:val="single" w:sz="6" w:space="0" w:color="auto"/>
              <w:left w:val="single" w:sz="6" w:space="0" w:color="auto"/>
              <w:bottom w:val="single" w:sz="6" w:space="0" w:color="auto"/>
              <w:right w:val="single" w:sz="6" w:space="0" w:color="auto"/>
            </w:tcBorders>
            <w:shd w:val="clear" w:color="auto" w:fill="FFFFFF"/>
          </w:tcPr>
          <w:p w14:paraId="418B50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w:t>
            </w:r>
          </w:p>
        </w:tc>
        <w:tc>
          <w:tcPr>
            <w:tcW w:w="2626" w:type="dxa"/>
            <w:tcBorders>
              <w:top w:val="single" w:sz="6" w:space="0" w:color="auto"/>
              <w:left w:val="single" w:sz="6" w:space="0" w:color="auto"/>
              <w:bottom w:val="single" w:sz="6" w:space="0" w:color="auto"/>
              <w:right w:val="single" w:sz="6" w:space="0" w:color="auto"/>
            </w:tcBorders>
            <w:shd w:val="clear" w:color="auto" w:fill="FFFFFF"/>
          </w:tcPr>
          <w:p w14:paraId="18ACB9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двухмоторные металлические бомбарди</w:t>
            </w:r>
            <w:r w:rsidRPr="00DB5D0D">
              <w:rPr>
                <w:rFonts w:ascii="Times New Roman" w:hAnsi="Times New Roman"/>
                <w:color w:val="000000" w:themeColor="text1"/>
                <w:sz w:val="16"/>
                <w:szCs w:val="16"/>
              </w:rPr>
              <w:softHyphen/>
              <w:t>ровщики с трудоемкостью 10 000 челА с запасными частями</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3550FF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 машин</w:t>
            </w:r>
          </w:p>
        </w:tc>
        <w:tc>
          <w:tcPr>
            <w:tcW w:w="1358" w:type="dxa"/>
            <w:tcBorders>
              <w:top w:val="single" w:sz="6" w:space="0" w:color="auto"/>
              <w:left w:val="single" w:sz="6" w:space="0" w:color="auto"/>
              <w:bottom w:val="single" w:sz="6" w:space="0" w:color="auto"/>
              <w:right w:val="single" w:sz="6" w:space="0" w:color="auto"/>
            </w:tcBorders>
            <w:shd w:val="clear" w:color="auto" w:fill="FFFFFF"/>
          </w:tcPr>
          <w:p w14:paraId="7F6B96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декабря 1941 г.</w:t>
            </w:r>
          </w:p>
        </w:tc>
      </w:tr>
      <w:tr w:rsidR="007D5DF8" w:rsidRPr="00DB5D0D" w14:paraId="704801EC" w14:textId="77777777" w:rsidTr="00E543D0">
        <w:trPr>
          <w:trHeight w:val="413"/>
        </w:trPr>
        <w:tc>
          <w:tcPr>
            <w:tcW w:w="706" w:type="dxa"/>
            <w:tcBorders>
              <w:top w:val="single" w:sz="6" w:space="0" w:color="auto"/>
              <w:left w:val="single" w:sz="6" w:space="0" w:color="auto"/>
              <w:bottom w:val="single" w:sz="6" w:space="0" w:color="auto"/>
              <w:right w:val="single" w:sz="6" w:space="0" w:color="auto"/>
            </w:tcBorders>
            <w:shd w:val="clear" w:color="auto" w:fill="FFFFFF"/>
          </w:tcPr>
          <w:p w14:paraId="6E04CC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295</w:t>
            </w:r>
          </w:p>
        </w:tc>
        <w:tc>
          <w:tcPr>
            <w:tcW w:w="2626" w:type="dxa"/>
            <w:tcBorders>
              <w:top w:val="single" w:sz="6" w:space="0" w:color="auto"/>
              <w:left w:val="single" w:sz="6" w:space="0" w:color="auto"/>
              <w:bottom w:val="single" w:sz="6" w:space="0" w:color="auto"/>
              <w:right w:val="single" w:sz="6" w:space="0" w:color="auto"/>
            </w:tcBorders>
            <w:shd w:val="clear" w:color="auto" w:fill="FFFFFF"/>
          </w:tcPr>
          <w:p w14:paraId="491E0A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одномоторные бомбардировщики с трудоёмко</w:t>
            </w:r>
            <w:r w:rsidRPr="00DB5D0D">
              <w:rPr>
                <w:rFonts w:ascii="Times New Roman" w:hAnsi="Times New Roman"/>
                <w:color w:val="000000" w:themeColor="text1"/>
                <w:sz w:val="16"/>
                <w:szCs w:val="16"/>
              </w:rPr>
              <w:softHyphen/>
              <w:t>стью 7500 чел. с запасными частями</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20930A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358" w:type="dxa"/>
            <w:tcBorders>
              <w:top w:val="single" w:sz="6" w:space="0" w:color="auto"/>
              <w:left w:val="single" w:sz="6" w:space="0" w:color="auto"/>
              <w:bottom w:val="single" w:sz="6" w:space="0" w:color="auto"/>
              <w:right w:val="single" w:sz="6" w:space="0" w:color="auto"/>
            </w:tcBorders>
            <w:shd w:val="clear" w:color="auto" w:fill="FFFFFF"/>
          </w:tcPr>
          <w:p w14:paraId="43FD87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февраля 1942 г.</w:t>
            </w:r>
          </w:p>
        </w:tc>
      </w:tr>
      <w:tr w:rsidR="007D5DF8" w:rsidRPr="00DB5D0D" w14:paraId="4D0AC5AC" w14:textId="77777777" w:rsidTr="00E543D0">
        <w:trPr>
          <w:trHeight w:val="432"/>
        </w:trPr>
        <w:tc>
          <w:tcPr>
            <w:tcW w:w="706" w:type="dxa"/>
            <w:tcBorders>
              <w:top w:val="single" w:sz="6" w:space="0" w:color="auto"/>
              <w:left w:val="single" w:sz="6" w:space="0" w:color="auto"/>
              <w:bottom w:val="single" w:sz="6" w:space="0" w:color="auto"/>
              <w:right w:val="single" w:sz="6" w:space="0" w:color="auto"/>
            </w:tcBorders>
            <w:shd w:val="clear" w:color="auto" w:fill="FFFFFF"/>
          </w:tcPr>
          <w:p w14:paraId="157EB8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w:t>
            </w:r>
          </w:p>
        </w:tc>
        <w:tc>
          <w:tcPr>
            <w:tcW w:w="2626" w:type="dxa"/>
            <w:tcBorders>
              <w:top w:val="single" w:sz="6" w:space="0" w:color="auto"/>
              <w:left w:val="single" w:sz="6" w:space="0" w:color="auto"/>
              <w:bottom w:val="single" w:sz="6" w:space="0" w:color="auto"/>
              <w:right w:val="single" w:sz="6" w:space="0" w:color="auto"/>
            </w:tcBorders>
            <w:shd w:val="clear" w:color="auto" w:fill="FFFFFF"/>
          </w:tcPr>
          <w:p w14:paraId="3988BE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меггеры типа АМ-35а—М-105 с с трудоёмко</w:t>
            </w:r>
            <w:r w:rsidRPr="00DB5D0D">
              <w:rPr>
                <w:rFonts w:ascii="Times New Roman" w:hAnsi="Times New Roman"/>
                <w:color w:val="000000" w:themeColor="text1"/>
                <w:sz w:val="16"/>
                <w:szCs w:val="16"/>
              </w:rPr>
              <w:softHyphen/>
              <w:t>стью 1300чел-ч.</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4DFB58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ял</w:t>
            </w:r>
          </w:p>
        </w:tc>
        <w:tc>
          <w:tcPr>
            <w:tcW w:w="1358" w:type="dxa"/>
            <w:tcBorders>
              <w:top w:val="single" w:sz="6" w:space="0" w:color="auto"/>
              <w:left w:val="single" w:sz="6" w:space="0" w:color="auto"/>
              <w:bottom w:val="single" w:sz="6" w:space="0" w:color="auto"/>
              <w:right w:val="single" w:sz="6" w:space="0" w:color="auto"/>
            </w:tcBorders>
            <w:shd w:val="clear" w:color="auto" w:fill="FFFFFF"/>
          </w:tcPr>
          <w:p w14:paraId="3E75EC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1942 г.</w:t>
            </w:r>
          </w:p>
        </w:tc>
      </w:tr>
    </w:tbl>
    <w:p w14:paraId="314E36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Задания Управления особого строительства были конкре</w:t>
      </w:r>
      <w:r w:rsidRPr="00DB5D0D">
        <w:rPr>
          <w:rFonts w:ascii="Times New Roman" w:hAnsi="Times New Roman"/>
          <w:color w:val="000000" w:themeColor="text1"/>
          <w:sz w:val="16"/>
          <w:szCs w:val="16"/>
        </w:rPr>
        <w:softHyphen/>
        <w:t>тизированы в Титульном списке капитального строитель</w:t>
      </w:r>
      <w:r w:rsidRPr="00DB5D0D">
        <w:rPr>
          <w:rFonts w:ascii="Times New Roman" w:hAnsi="Times New Roman"/>
          <w:color w:val="000000" w:themeColor="text1"/>
          <w:sz w:val="16"/>
          <w:szCs w:val="16"/>
        </w:rPr>
        <w:softHyphen/>
        <w:t xml:space="preserve">ства оборонных проектов НКВД на 1941 г., утверждённом совместным постановлением СНК СССР и ЦК ВКП (б) от 17.01.1941 г. (ГА РФ. Ф. 8418. </w:t>
      </w:r>
      <w:r w:rsidRPr="00DB5D0D">
        <w:rPr>
          <w:rFonts w:ascii="Times New Roman" w:hAnsi="Times New Roman"/>
          <w:color w:val="000000" w:themeColor="text1"/>
          <w:sz w:val="16"/>
          <w:szCs w:val="16"/>
          <w:lang w:val="en-US"/>
        </w:rPr>
        <w:t xml:space="preserve">On. </w:t>
      </w:r>
      <w:r w:rsidRPr="00DB5D0D">
        <w:rPr>
          <w:rFonts w:ascii="Times New Roman" w:hAnsi="Times New Roman"/>
          <w:color w:val="000000" w:themeColor="text1"/>
          <w:sz w:val="16"/>
          <w:szCs w:val="16"/>
        </w:rPr>
        <w:t>25. Д. 44. Л. 74—75.) (стоимостные показатели — в тыс. руб.):</w:t>
      </w:r>
    </w:p>
    <w:tbl>
      <w:tblPr>
        <w:tblW w:w="0" w:type="auto"/>
        <w:tblInd w:w="8" w:type="dxa"/>
        <w:tblLayout w:type="fixed"/>
        <w:tblCellMar>
          <w:left w:w="0" w:type="dxa"/>
          <w:right w:w="0" w:type="dxa"/>
        </w:tblCellMar>
        <w:tblLook w:val="0000" w:firstRow="0" w:lastRow="0" w:firstColumn="0" w:lastColumn="0" w:noHBand="0" w:noVBand="0"/>
      </w:tblPr>
      <w:tblGrid>
        <w:gridCol w:w="1152"/>
        <w:gridCol w:w="1205"/>
        <w:gridCol w:w="926"/>
        <w:gridCol w:w="1666"/>
        <w:gridCol w:w="970"/>
      </w:tblGrid>
      <w:tr w:rsidR="007D5DF8" w:rsidRPr="00DB5D0D" w14:paraId="667E5478" w14:textId="77777777" w:rsidTr="00E543D0">
        <w:trPr>
          <w:trHeight w:val="427"/>
        </w:trPr>
        <w:tc>
          <w:tcPr>
            <w:tcW w:w="1152" w:type="dxa"/>
            <w:tcBorders>
              <w:top w:val="single" w:sz="6" w:space="0" w:color="auto"/>
              <w:left w:val="single" w:sz="6" w:space="0" w:color="auto"/>
              <w:bottom w:val="single" w:sz="6" w:space="0" w:color="auto"/>
              <w:right w:val="single" w:sz="6" w:space="0" w:color="auto"/>
            </w:tcBorders>
            <w:shd w:val="clear" w:color="auto" w:fill="FFFFFF"/>
          </w:tcPr>
          <w:p w14:paraId="209605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Номер завода</w:t>
            </w:r>
          </w:p>
        </w:tc>
        <w:tc>
          <w:tcPr>
            <w:tcW w:w="1205" w:type="dxa"/>
            <w:tcBorders>
              <w:top w:val="single" w:sz="6" w:space="0" w:color="auto"/>
              <w:left w:val="single" w:sz="6" w:space="0" w:color="auto"/>
              <w:bottom w:val="single" w:sz="6" w:space="0" w:color="auto"/>
              <w:right w:val="single" w:sz="6" w:space="0" w:color="auto"/>
            </w:tcBorders>
            <w:shd w:val="clear" w:color="auto" w:fill="FFFFFF"/>
          </w:tcPr>
          <w:p w14:paraId="365E56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постройки</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5C1C98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Сметная стоимость</w:t>
            </w:r>
          </w:p>
        </w:tc>
        <w:tc>
          <w:tcPr>
            <w:tcW w:w="1666" w:type="dxa"/>
            <w:tcBorders>
              <w:top w:val="single" w:sz="6" w:space="0" w:color="auto"/>
              <w:left w:val="single" w:sz="6" w:space="0" w:color="auto"/>
              <w:bottom w:val="single" w:sz="6" w:space="0" w:color="auto"/>
              <w:right w:val="single" w:sz="6" w:space="0" w:color="auto"/>
            </w:tcBorders>
            <w:shd w:val="clear" w:color="auto" w:fill="FFFFFF"/>
          </w:tcPr>
          <w:p w14:paraId="501F8B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Выполнено работ на 01.01.1941 г.</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652564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Плавна 1941 г.</w:t>
            </w:r>
          </w:p>
        </w:tc>
      </w:tr>
      <w:tr w:rsidR="007D5DF8" w:rsidRPr="00DB5D0D" w14:paraId="73CD14AE" w14:textId="77777777" w:rsidTr="00E543D0">
        <w:trPr>
          <w:trHeight w:val="221"/>
        </w:trPr>
        <w:tc>
          <w:tcPr>
            <w:tcW w:w="1152" w:type="dxa"/>
            <w:tcBorders>
              <w:top w:val="single" w:sz="6" w:space="0" w:color="auto"/>
              <w:left w:val="single" w:sz="6" w:space="0" w:color="auto"/>
              <w:bottom w:val="single" w:sz="6" w:space="0" w:color="auto"/>
              <w:right w:val="single" w:sz="6" w:space="0" w:color="auto"/>
            </w:tcBorders>
            <w:shd w:val="clear" w:color="auto" w:fill="FFFFFF"/>
          </w:tcPr>
          <w:p w14:paraId="177B78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w:t>
            </w:r>
          </w:p>
        </w:tc>
        <w:tc>
          <w:tcPr>
            <w:tcW w:w="1205" w:type="dxa"/>
            <w:tcBorders>
              <w:top w:val="single" w:sz="6" w:space="0" w:color="auto"/>
              <w:left w:val="single" w:sz="6" w:space="0" w:color="auto"/>
              <w:bottom w:val="single" w:sz="6" w:space="0" w:color="auto"/>
              <w:right w:val="single" w:sz="6" w:space="0" w:color="auto"/>
            </w:tcBorders>
            <w:shd w:val="clear" w:color="auto" w:fill="FFFFFF"/>
          </w:tcPr>
          <w:p w14:paraId="76D173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1940—1941</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5C3834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223 000</w:t>
            </w:r>
          </w:p>
        </w:tc>
        <w:tc>
          <w:tcPr>
            <w:tcW w:w="1666" w:type="dxa"/>
            <w:tcBorders>
              <w:top w:val="single" w:sz="6" w:space="0" w:color="auto"/>
              <w:left w:val="single" w:sz="6" w:space="0" w:color="auto"/>
              <w:bottom w:val="single" w:sz="6" w:space="0" w:color="auto"/>
              <w:right w:val="single" w:sz="6" w:space="0" w:color="auto"/>
            </w:tcBorders>
            <w:shd w:val="clear" w:color="auto" w:fill="FFFFFF"/>
          </w:tcPr>
          <w:p w14:paraId="734057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06688B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170 000</w:t>
            </w:r>
          </w:p>
        </w:tc>
      </w:tr>
      <w:tr w:rsidR="007D5DF8" w:rsidRPr="00DB5D0D" w14:paraId="3897BD57" w14:textId="77777777" w:rsidTr="00E543D0">
        <w:trPr>
          <w:trHeight w:val="221"/>
        </w:trPr>
        <w:tc>
          <w:tcPr>
            <w:tcW w:w="1152" w:type="dxa"/>
            <w:tcBorders>
              <w:top w:val="single" w:sz="6" w:space="0" w:color="auto"/>
              <w:left w:val="single" w:sz="6" w:space="0" w:color="auto"/>
              <w:bottom w:val="single" w:sz="6" w:space="0" w:color="auto"/>
              <w:right w:val="single" w:sz="6" w:space="0" w:color="auto"/>
            </w:tcBorders>
            <w:shd w:val="clear" w:color="auto" w:fill="FFFFFF"/>
          </w:tcPr>
          <w:p w14:paraId="1D9F54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295</w:t>
            </w:r>
          </w:p>
        </w:tc>
        <w:tc>
          <w:tcPr>
            <w:tcW w:w="1205" w:type="dxa"/>
            <w:tcBorders>
              <w:top w:val="single" w:sz="6" w:space="0" w:color="auto"/>
              <w:left w:val="single" w:sz="6" w:space="0" w:color="auto"/>
              <w:bottom w:val="single" w:sz="6" w:space="0" w:color="auto"/>
              <w:right w:val="single" w:sz="6" w:space="0" w:color="auto"/>
            </w:tcBorders>
            <w:shd w:val="clear" w:color="auto" w:fill="FFFFFF"/>
          </w:tcPr>
          <w:p w14:paraId="047EF4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1940-1942</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1567E2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218000</w:t>
            </w:r>
          </w:p>
        </w:tc>
        <w:tc>
          <w:tcPr>
            <w:tcW w:w="1666" w:type="dxa"/>
            <w:tcBorders>
              <w:top w:val="single" w:sz="6" w:space="0" w:color="auto"/>
              <w:left w:val="single" w:sz="6" w:space="0" w:color="auto"/>
              <w:bottom w:val="single" w:sz="6" w:space="0" w:color="auto"/>
              <w:right w:val="single" w:sz="6" w:space="0" w:color="auto"/>
            </w:tcBorders>
            <w:shd w:val="clear" w:color="auto" w:fill="FFFFFF"/>
          </w:tcPr>
          <w:p w14:paraId="4D77FC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0F2FD1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146 000</w:t>
            </w:r>
          </w:p>
        </w:tc>
      </w:tr>
      <w:tr w:rsidR="007D5DF8" w:rsidRPr="00DB5D0D" w14:paraId="0B9D64F3" w14:textId="77777777" w:rsidTr="00E543D0">
        <w:trPr>
          <w:trHeight w:val="235"/>
        </w:trPr>
        <w:tc>
          <w:tcPr>
            <w:tcW w:w="1152" w:type="dxa"/>
            <w:tcBorders>
              <w:top w:val="single" w:sz="6" w:space="0" w:color="auto"/>
              <w:left w:val="single" w:sz="6" w:space="0" w:color="auto"/>
              <w:bottom w:val="single" w:sz="6" w:space="0" w:color="auto"/>
              <w:right w:val="single" w:sz="6" w:space="0" w:color="auto"/>
            </w:tcBorders>
            <w:shd w:val="clear" w:color="auto" w:fill="FFFFFF"/>
          </w:tcPr>
          <w:p w14:paraId="304771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w:t>
            </w:r>
          </w:p>
        </w:tc>
        <w:tc>
          <w:tcPr>
            <w:tcW w:w="1205" w:type="dxa"/>
            <w:tcBorders>
              <w:top w:val="single" w:sz="6" w:space="0" w:color="auto"/>
              <w:left w:val="single" w:sz="6" w:space="0" w:color="auto"/>
              <w:bottom w:val="single" w:sz="6" w:space="0" w:color="auto"/>
              <w:right w:val="single" w:sz="6" w:space="0" w:color="auto"/>
            </w:tcBorders>
            <w:shd w:val="clear" w:color="auto" w:fill="FFFFFF"/>
          </w:tcPr>
          <w:p w14:paraId="3FE191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1940-1942</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4B8E51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310000</w:t>
            </w:r>
          </w:p>
        </w:tc>
        <w:tc>
          <w:tcPr>
            <w:tcW w:w="1666" w:type="dxa"/>
            <w:tcBorders>
              <w:top w:val="single" w:sz="6" w:space="0" w:color="auto"/>
              <w:left w:val="single" w:sz="6" w:space="0" w:color="auto"/>
              <w:bottom w:val="single" w:sz="6" w:space="0" w:color="auto"/>
              <w:right w:val="single" w:sz="6" w:space="0" w:color="auto"/>
            </w:tcBorders>
            <w:shd w:val="clear" w:color="auto" w:fill="FFFFFF"/>
          </w:tcPr>
          <w:p w14:paraId="2DD631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0D337F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181600</w:t>
            </w:r>
          </w:p>
        </w:tc>
      </w:tr>
    </w:tbl>
    <w:p w14:paraId="303668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выполнения этих заданий ГУЛАГу было предписано выделить на строительство около 4500 человек (Военно-промышленный комплекс Куйбышевской области... С. 16.). Строго го</w:t>
      </w:r>
      <w:r w:rsidRPr="00DB5D0D">
        <w:rPr>
          <w:rFonts w:ascii="Times New Roman" w:hAnsi="Times New Roman"/>
          <w:color w:val="000000" w:themeColor="text1"/>
          <w:sz w:val="16"/>
          <w:szCs w:val="16"/>
        </w:rPr>
        <w:softHyphen/>
        <w:t>воря, заключенные и ранее использовалась на строительстве авиазаводов. Так, в 1938 г. на территории завода № 124 для форсирования работ был организован трудовой лагерь в 1 000—1500 человек (ГА РФ. Ф. 8418. Оп. 22 Д. 267. Л. 22.), а на строительстве завода № 153 в1940 г. трудилось почти 2 тыс. заключённых Сиблага (Савицкий ИМ. Важнейший арсенал Сибири. Новосибирск, 2005. С. 32.). Всего к 1940 г. на объектах авиастроительной индустрии работало 13 440 за</w:t>
      </w:r>
      <w:r w:rsidRPr="00DB5D0D">
        <w:rPr>
          <w:rFonts w:ascii="Times New Roman" w:hAnsi="Times New Roman"/>
          <w:color w:val="000000" w:themeColor="text1"/>
          <w:sz w:val="16"/>
          <w:szCs w:val="16"/>
        </w:rPr>
        <w:softHyphen/>
        <w:t>ключенных (Самолётостроение в СССР. 1917—1945. Книга 1. М., 1992. С. 427.). Однако никогда ранее заключенные не составля</w:t>
      </w:r>
      <w:r w:rsidRPr="00DB5D0D">
        <w:rPr>
          <w:rFonts w:ascii="Times New Roman" w:hAnsi="Times New Roman"/>
          <w:color w:val="000000" w:themeColor="text1"/>
          <w:sz w:val="16"/>
          <w:szCs w:val="16"/>
        </w:rPr>
        <w:softHyphen/>
        <w:t>ли основную массу рабочей силы на строительстве авиапред</w:t>
      </w:r>
      <w:r w:rsidRPr="00DB5D0D">
        <w:rPr>
          <w:rFonts w:ascii="Times New Roman" w:hAnsi="Times New Roman"/>
          <w:color w:val="000000" w:themeColor="text1"/>
          <w:sz w:val="16"/>
          <w:szCs w:val="16"/>
        </w:rPr>
        <w:softHyphen/>
        <w:t>приятий. К лету 1941 г. производственные корпуса куйбышев</w:t>
      </w:r>
      <w:r w:rsidRPr="00DB5D0D">
        <w:rPr>
          <w:rFonts w:ascii="Times New Roman" w:hAnsi="Times New Roman"/>
          <w:color w:val="000000" w:themeColor="text1"/>
          <w:sz w:val="16"/>
          <w:szCs w:val="16"/>
        </w:rPr>
        <w:softHyphen/>
        <w:t>ских авиазаводов уже возвели. Из суммарной стоимости трёх авиазаводов (1408,6 млн руб.) (Выше, в выдержке из «Титульного плана» приводятся меньшие цифры. Очевидно, в указанные 1,4 млрд руб. входили также расходы на создание не</w:t>
      </w:r>
      <w:r w:rsidRPr="00DB5D0D">
        <w:rPr>
          <w:rFonts w:ascii="Times New Roman" w:hAnsi="Times New Roman"/>
          <w:color w:val="000000" w:themeColor="text1"/>
          <w:sz w:val="16"/>
          <w:szCs w:val="16"/>
        </w:rPr>
        <w:softHyphen/>
        <w:t>обходимой инфраструктуры, коммуникаций и объектов соцкультбыта.) в 1940 г. было освоено 56,5 млн руб., а в 1941 г. план капвложений Куйбышевского авиастрои</w:t>
      </w:r>
      <w:r w:rsidRPr="00DB5D0D">
        <w:rPr>
          <w:rFonts w:ascii="Times New Roman" w:hAnsi="Times New Roman"/>
          <w:color w:val="000000" w:themeColor="text1"/>
          <w:sz w:val="16"/>
          <w:szCs w:val="16"/>
        </w:rPr>
        <w:softHyphen/>
        <w:t>тельного комплекса составил 700,6 млн руб. (Военно-промышленный комплекс Куйбышевской области... С. 18.) Объёмы стро</w:t>
      </w:r>
      <w:r w:rsidRPr="00DB5D0D">
        <w:rPr>
          <w:rFonts w:ascii="Times New Roman" w:hAnsi="Times New Roman"/>
          <w:color w:val="000000" w:themeColor="text1"/>
          <w:sz w:val="16"/>
          <w:szCs w:val="16"/>
        </w:rPr>
        <w:softHyphen/>
        <w:t>ительства были столь велики, что УОС поставило вопрос о строительстве трамвайной линии, связывающей Куйбышев и строительные площадки (Военно-промышленный комплекс Куйбышевской области... С. 20). Всё это позволило в годы войны оперативно перебросить туда оборудование эвакуированных авиастроительных и моторостроительных предприятий (12011).</w:t>
      </w:r>
    </w:p>
    <w:p w14:paraId="3249BB3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9FD2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 начальник 8 управления ГУ ВВС в/инженер 1 ранга Никонов и начальник 1 отдела 8 управления ГУ ВВС бригинженер Пономарев</w:t>
      </w:r>
    </w:p>
    <w:p w14:paraId="7B5372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Сведения о ходе войсковых и полигонных испытаний по 8-му управлению ГУ ВВС по состоянию на 23 августа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38"/>
        <w:gridCol w:w="1214"/>
        <w:gridCol w:w="1985"/>
        <w:gridCol w:w="992"/>
        <w:gridCol w:w="992"/>
        <w:gridCol w:w="2977"/>
      </w:tblGrid>
      <w:tr w:rsidR="007D5DF8" w:rsidRPr="00DB5D0D" w14:paraId="4E57681B" w14:textId="77777777" w:rsidTr="00E543D0">
        <w:tc>
          <w:tcPr>
            <w:tcW w:w="2438" w:type="dxa"/>
          </w:tcPr>
          <w:p w14:paraId="4B60FC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объекта</w:t>
            </w:r>
          </w:p>
        </w:tc>
        <w:tc>
          <w:tcPr>
            <w:tcW w:w="1214" w:type="dxa"/>
          </w:tcPr>
          <w:p w14:paraId="62BFCF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Место испытания</w:t>
            </w:r>
          </w:p>
        </w:tc>
        <w:tc>
          <w:tcPr>
            <w:tcW w:w="1985" w:type="dxa"/>
          </w:tcPr>
          <w:p w14:paraId="738AA0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Основание испытания</w:t>
            </w:r>
          </w:p>
        </w:tc>
        <w:tc>
          <w:tcPr>
            <w:tcW w:w="992" w:type="dxa"/>
          </w:tcPr>
          <w:p w14:paraId="283B48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Начало испытания</w:t>
            </w:r>
          </w:p>
        </w:tc>
        <w:tc>
          <w:tcPr>
            <w:tcW w:w="992" w:type="dxa"/>
          </w:tcPr>
          <w:p w14:paraId="054626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Конец испытания</w:t>
            </w:r>
          </w:p>
        </w:tc>
        <w:tc>
          <w:tcPr>
            <w:tcW w:w="2977" w:type="dxa"/>
          </w:tcPr>
          <w:p w14:paraId="6F41E7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испытания</w:t>
            </w:r>
          </w:p>
        </w:tc>
      </w:tr>
      <w:tr w:rsidR="007D5DF8" w:rsidRPr="00DB5D0D" w14:paraId="46698FCB" w14:textId="77777777" w:rsidTr="00E543D0">
        <w:tc>
          <w:tcPr>
            <w:tcW w:w="2438" w:type="dxa"/>
          </w:tcPr>
          <w:p w14:paraId="0A41C0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 калибра 7,62 мм СН-2</w:t>
            </w:r>
          </w:p>
        </w:tc>
        <w:tc>
          <w:tcPr>
            <w:tcW w:w="1214" w:type="dxa"/>
          </w:tcPr>
          <w:p w14:paraId="17786A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ЦКБ-14</w:t>
            </w:r>
          </w:p>
        </w:tc>
        <w:tc>
          <w:tcPr>
            <w:tcW w:w="1985" w:type="dxa"/>
          </w:tcPr>
          <w:p w14:paraId="01AA07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992" w:type="dxa"/>
          </w:tcPr>
          <w:p w14:paraId="72DF02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августа </w:t>
            </w:r>
          </w:p>
        </w:tc>
        <w:tc>
          <w:tcPr>
            <w:tcW w:w="992" w:type="dxa"/>
          </w:tcPr>
          <w:p w14:paraId="706180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 1940 года</w:t>
            </w:r>
          </w:p>
        </w:tc>
        <w:tc>
          <w:tcPr>
            <w:tcW w:w="2977" w:type="dxa"/>
          </w:tcPr>
          <w:p w14:paraId="67947C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не окончены.</w:t>
            </w:r>
          </w:p>
        </w:tc>
      </w:tr>
      <w:tr w:rsidR="007D5DF8" w:rsidRPr="00DB5D0D" w14:paraId="4D3B0C73" w14:textId="77777777" w:rsidTr="00E543D0">
        <w:tc>
          <w:tcPr>
            <w:tcW w:w="2438" w:type="dxa"/>
          </w:tcPr>
          <w:p w14:paraId="5ABE27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 калибра 7,62 мм Акулинина</w:t>
            </w:r>
          </w:p>
        </w:tc>
        <w:tc>
          <w:tcPr>
            <w:tcW w:w="1214" w:type="dxa"/>
          </w:tcPr>
          <w:p w14:paraId="4C0CA1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ЦКБ-14</w:t>
            </w:r>
          </w:p>
        </w:tc>
        <w:tc>
          <w:tcPr>
            <w:tcW w:w="1985" w:type="dxa"/>
          </w:tcPr>
          <w:p w14:paraId="1B897B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992" w:type="dxa"/>
          </w:tcPr>
          <w:p w14:paraId="0441A9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августа </w:t>
            </w:r>
          </w:p>
        </w:tc>
        <w:tc>
          <w:tcPr>
            <w:tcW w:w="992" w:type="dxa"/>
          </w:tcPr>
          <w:p w14:paraId="66093F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 1940 года</w:t>
            </w:r>
          </w:p>
        </w:tc>
        <w:tc>
          <w:tcPr>
            <w:tcW w:w="2977" w:type="dxa"/>
          </w:tcPr>
          <w:p w14:paraId="0BE437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не окончены.</w:t>
            </w:r>
          </w:p>
        </w:tc>
      </w:tr>
      <w:tr w:rsidR="007D5DF8" w:rsidRPr="00DB5D0D" w14:paraId="346CE573" w14:textId="77777777" w:rsidTr="00E543D0">
        <w:tc>
          <w:tcPr>
            <w:tcW w:w="2438" w:type="dxa"/>
          </w:tcPr>
          <w:p w14:paraId="6D5979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Машинка для набивания патрон в звенья (Коробова)</w:t>
            </w:r>
          </w:p>
        </w:tc>
        <w:tc>
          <w:tcPr>
            <w:tcW w:w="1214" w:type="dxa"/>
          </w:tcPr>
          <w:p w14:paraId="1CA4BD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7713E7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992" w:type="dxa"/>
          </w:tcPr>
          <w:p w14:paraId="51B459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августа </w:t>
            </w:r>
          </w:p>
        </w:tc>
        <w:tc>
          <w:tcPr>
            <w:tcW w:w="992" w:type="dxa"/>
          </w:tcPr>
          <w:p w14:paraId="0EED2D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сентября 1940 года</w:t>
            </w:r>
          </w:p>
        </w:tc>
        <w:tc>
          <w:tcPr>
            <w:tcW w:w="2977" w:type="dxa"/>
          </w:tcPr>
          <w:p w14:paraId="3BF4AB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не окончены.</w:t>
            </w:r>
          </w:p>
        </w:tc>
      </w:tr>
      <w:tr w:rsidR="007D5DF8" w:rsidRPr="00DB5D0D" w14:paraId="36144788" w14:textId="77777777" w:rsidTr="00E543D0">
        <w:tc>
          <w:tcPr>
            <w:tcW w:w="2438" w:type="dxa"/>
          </w:tcPr>
          <w:p w14:paraId="50AB2F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для буксирования конуса</w:t>
            </w:r>
          </w:p>
        </w:tc>
        <w:tc>
          <w:tcPr>
            <w:tcW w:w="1214" w:type="dxa"/>
          </w:tcPr>
          <w:p w14:paraId="5242F5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6DC900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992" w:type="dxa"/>
          </w:tcPr>
          <w:p w14:paraId="53359D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10 августа </w:t>
            </w:r>
          </w:p>
        </w:tc>
        <w:tc>
          <w:tcPr>
            <w:tcW w:w="992" w:type="dxa"/>
          </w:tcPr>
          <w:p w14:paraId="4AECE4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сентября 1940 года</w:t>
            </w:r>
          </w:p>
        </w:tc>
        <w:tc>
          <w:tcPr>
            <w:tcW w:w="2977" w:type="dxa"/>
          </w:tcPr>
          <w:p w14:paraId="7CF3F5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не окончены.</w:t>
            </w:r>
          </w:p>
        </w:tc>
      </w:tr>
      <w:tr w:rsidR="007D5DF8" w:rsidRPr="00DB5D0D" w14:paraId="439FB620" w14:textId="77777777" w:rsidTr="00E543D0">
        <w:tc>
          <w:tcPr>
            <w:tcW w:w="2438" w:type="dxa"/>
          </w:tcPr>
          <w:p w14:paraId="4308F7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Автоматический синхронизатор под трехлопастной винт</w:t>
            </w:r>
          </w:p>
        </w:tc>
        <w:tc>
          <w:tcPr>
            <w:tcW w:w="1214" w:type="dxa"/>
          </w:tcPr>
          <w:p w14:paraId="4A0E09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179EE4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992" w:type="dxa"/>
          </w:tcPr>
          <w:p w14:paraId="45BB2B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20 августа </w:t>
            </w:r>
          </w:p>
        </w:tc>
        <w:tc>
          <w:tcPr>
            <w:tcW w:w="992" w:type="dxa"/>
          </w:tcPr>
          <w:p w14:paraId="3870DC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сентября 1940 года</w:t>
            </w:r>
          </w:p>
        </w:tc>
        <w:tc>
          <w:tcPr>
            <w:tcW w:w="2977" w:type="dxa"/>
          </w:tcPr>
          <w:p w14:paraId="5CD3C7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не окончены.</w:t>
            </w:r>
          </w:p>
        </w:tc>
      </w:tr>
      <w:tr w:rsidR="007D5DF8" w:rsidRPr="00DB5D0D" w14:paraId="06B380D1" w14:textId="77777777" w:rsidTr="00E543D0">
        <w:tc>
          <w:tcPr>
            <w:tcW w:w="2438" w:type="dxa"/>
          </w:tcPr>
          <w:p w14:paraId="611ABC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Синхронизаторы ЦАГИ</w:t>
            </w:r>
          </w:p>
        </w:tc>
        <w:tc>
          <w:tcPr>
            <w:tcW w:w="1214" w:type="dxa"/>
          </w:tcPr>
          <w:p w14:paraId="59C3E9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4BE83C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w:t>
            </w:r>
          </w:p>
        </w:tc>
        <w:tc>
          <w:tcPr>
            <w:tcW w:w="992" w:type="dxa"/>
          </w:tcPr>
          <w:p w14:paraId="275C82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июля</w:t>
            </w:r>
          </w:p>
        </w:tc>
        <w:tc>
          <w:tcPr>
            <w:tcW w:w="992" w:type="dxa"/>
          </w:tcPr>
          <w:p w14:paraId="230635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 1940 года</w:t>
            </w:r>
          </w:p>
        </w:tc>
        <w:tc>
          <w:tcPr>
            <w:tcW w:w="2977" w:type="dxa"/>
          </w:tcPr>
          <w:p w14:paraId="403685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выдержал.</w:t>
            </w:r>
          </w:p>
        </w:tc>
      </w:tr>
      <w:tr w:rsidR="007D5DF8" w:rsidRPr="00DB5D0D" w14:paraId="11D921F6" w14:textId="77777777" w:rsidTr="00E543D0">
        <w:tc>
          <w:tcPr>
            <w:tcW w:w="2438" w:type="dxa"/>
          </w:tcPr>
          <w:p w14:paraId="2F6177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Турель под два спаренные пулемета Шкас конструкции Можаровского-Веневидова</w:t>
            </w:r>
          </w:p>
        </w:tc>
        <w:tc>
          <w:tcPr>
            <w:tcW w:w="1214" w:type="dxa"/>
          </w:tcPr>
          <w:p w14:paraId="49256A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3B79BE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w:t>
            </w:r>
          </w:p>
        </w:tc>
        <w:tc>
          <w:tcPr>
            <w:tcW w:w="992" w:type="dxa"/>
          </w:tcPr>
          <w:p w14:paraId="488EC8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w:t>
            </w:r>
          </w:p>
        </w:tc>
        <w:tc>
          <w:tcPr>
            <w:tcW w:w="992" w:type="dxa"/>
          </w:tcPr>
          <w:p w14:paraId="289ED0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w:t>
            </w:r>
          </w:p>
        </w:tc>
        <w:tc>
          <w:tcPr>
            <w:tcW w:w="2977" w:type="dxa"/>
          </w:tcPr>
          <w:p w14:paraId="6FB871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выдержала.</w:t>
            </w:r>
          </w:p>
        </w:tc>
      </w:tr>
      <w:tr w:rsidR="007D5DF8" w:rsidRPr="00DB5D0D" w14:paraId="407B67E6" w14:textId="77777777" w:rsidTr="00E543D0">
        <w:tc>
          <w:tcPr>
            <w:tcW w:w="2438" w:type="dxa"/>
          </w:tcPr>
          <w:p w14:paraId="51F890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Турель под два спаренные пулемета Шкас конструкции Шибанова</w:t>
            </w:r>
          </w:p>
        </w:tc>
        <w:tc>
          <w:tcPr>
            <w:tcW w:w="1214" w:type="dxa"/>
          </w:tcPr>
          <w:p w14:paraId="47CDE4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40C347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w:t>
            </w:r>
          </w:p>
        </w:tc>
        <w:tc>
          <w:tcPr>
            <w:tcW w:w="992" w:type="dxa"/>
          </w:tcPr>
          <w:p w14:paraId="1E9C08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w:t>
            </w:r>
          </w:p>
        </w:tc>
        <w:tc>
          <w:tcPr>
            <w:tcW w:w="992" w:type="dxa"/>
          </w:tcPr>
          <w:p w14:paraId="62F04D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w:t>
            </w:r>
          </w:p>
        </w:tc>
        <w:tc>
          <w:tcPr>
            <w:tcW w:w="2977" w:type="dxa"/>
          </w:tcPr>
          <w:p w14:paraId="37D34E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выдержала.</w:t>
            </w:r>
          </w:p>
        </w:tc>
      </w:tr>
      <w:tr w:rsidR="007D5DF8" w:rsidRPr="00DB5D0D" w14:paraId="16FB58D5" w14:textId="77777777" w:rsidTr="00E543D0">
        <w:tc>
          <w:tcPr>
            <w:tcW w:w="2438" w:type="dxa"/>
          </w:tcPr>
          <w:p w14:paraId="594DC9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Турель под два пулемета Шкас конструкции Михайлова</w:t>
            </w:r>
          </w:p>
        </w:tc>
        <w:tc>
          <w:tcPr>
            <w:tcW w:w="1214" w:type="dxa"/>
          </w:tcPr>
          <w:p w14:paraId="183289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65E498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w:t>
            </w:r>
          </w:p>
        </w:tc>
        <w:tc>
          <w:tcPr>
            <w:tcW w:w="992" w:type="dxa"/>
          </w:tcPr>
          <w:p w14:paraId="0DB204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w:t>
            </w:r>
          </w:p>
        </w:tc>
        <w:tc>
          <w:tcPr>
            <w:tcW w:w="992" w:type="dxa"/>
          </w:tcPr>
          <w:p w14:paraId="01694A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w:t>
            </w:r>
          </w:p>
        </w:tc>
        <w:tc>
          <w:tcPr>
            <w:tcW w:w="2977" w:type="dxa"/>
          </w:tcPr>
          <w:p w14:paraId="3F6EC1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выдержала.</w:t>
            </w:r>
          </w:p>
        </w:tc>
      </w:tr>
      <w:tr w:rsidR="007D5DF8" w:rsidRPr="00DB5D0D" w14:paraId="1172994D" w14:textId="77777777" w:rsidTr="00E543D0">
        <w:tc>
          <w:tcPr>
            <w:tcW w:w="2438" w:type="dxa"/>
          </w:tcPr>
          <w:p w14:paraId="438BB3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Люковая установка МВ-2 на самолете СБ</w:t>
            </w:r>
          </w:p>
        </w:tc>
        <w:tc>
          <w:tcPr>
            <w:tcW w:w="1214" w:type="dxa"/>
          </w:tcPr>
          <w:p w14:paraId="617F8F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75A4C1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w:t>
            </w:r>
          </w:p>
        </w:tc>
        <w:tc>
          <w:tcPr>
            <w:tcW w:w="992" w:type="dxa"/>
          </w:tcPr>
          <w:p w14:paraId="4CA084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w:t>
            </w:r>
          </w:p>
        </w:tc>
        <w:tc>
          <w:tcPr>
            <w:tcW w:w="992" w:type="dxa"/>
          </w:tcPr>
          <w:p w14:paraId="450228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w:t>
            </w:r>
          </w:p>
        </w:tc>
        <w:tc>
          <w:tcPr>
            <w:tcW w:w="2977" w:type="dxa"/>
          </w:tcPr>
          <w:p w14:paraId="7ED376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выдержала.</w:t>
            </w:r>
          </w:p>
        </w:tc>
      </w:tr>
      <w:tr w:rsidR="007D5DF8" w:rsidRPr="00DB5D0D" w14:paraId="3222955F" w14:textId="77777777" w:rsidTr="00E543D0">
        <w:tc>
          <w:tcPr>
            <w:tcW w:w="2438" w:type="dxa"/>
          </w:tcPr>
          <w:p w14:paraId="746FDB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Турель под два пулемета Шкас дуговой системы завода № 39</w:t>
            </w:r>
          </w:p>
        </w:tc>
        <w:tc>
          <w:tcPr>
            <w:tcW w:w="1214" w:type="dxa"/>
          </w:tcPr>
          <w:p w14:paraId="025387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5974CE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w:t>
            </w:r>
          </w:p>
        </w:tc>
        <w:tc>
          <w:tcPr>
            <w:tcW w:w="992" w:type="dxa"/>
          </w:tcPr>
          <w:p w14:paraId="711EA9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w:t>
            </w:r>
          </w:p>
        </w:tc>
        <w:tc>
          <w:tcPr>
            <w:tcW w:w="992" w:type="dxa"/>
          </w:tcPr>
          <w:p w14:paraId="40557B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w:t>
            </w:r>
          </w:p>
        </w:tc>
        <w:tc>
          <w:tcPr>
            <w:tcW w:w="2977" w:type="dxa"/>
          </w:tcPr>
          <w:p w14:paraId="2A5FA3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выдержала.</w:t>
            </w:r>
          </w:p>
        </w:tc>
      </w:tr>
      <w:tr w:rsidR="007D5DF8" w:rsidRPr="00DB5D0D" w14:paraId="2C571233" w14:textId="77777777" w:rsidTr="00E543D0">
        <w:tc>
          <w:tcPr>
            <w:tcW w:w="2438" w:type="dxa"/>
          </w:tcPr>
          <w:p w14:paraId="73C938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Турель под два пулемета Шкас клычной системы завода № 39</w:t>
            </w:r>
          </w:p>
        </w:tc>
        <w:tc>
          <w:tcPr>
            <w:tcW w:w="1214" w:type="dxa"/>
          </w:tcPr>
          <w:p w14:paraId="098587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62AE3F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w:t>
            </w:r>
          </w:p>
        </w:tc>
        <w:tc>
          <w:tcPr>
            <w:tcW w:w="992" w:type="dxa"/>
          </w:tcPr>
          <w:p w14:paraId="51B403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июля</w:t>
            </w:r>
          </w:p>
        </w:tc>
        <w:tc>
          <w:tcPr>
            <w:tcW w:w="992" w:type="dxa"/>
          </w:tcPr>
          <w:p w14:paraId="01EB7C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w:t>
            </w:r>
          </w:p>
        </w:tc>
        <w:tc>
          <w:tcPr>
            <w:tcW w:w="2977" w:type="dxa"/>
          </w:tcPr>
          <w:p w14:paraId="420DF4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выдержала.</w:t>
            </w:r>
          </w:p>
        </w:tc>
      </w:tr>
      <w:tr w:rsidR="007D5DF8" w:rsidRPr="00DB5D0D" w14:paraId="6DEEB8B6" w14:textId="77777777" w:rsidTr="00E543D0">
        <w:tc>
          <w:tcPr>
            <w:tcW w:w="2438" w:type="dxa"/>
          </w:tcPr>
          <w:p w14:paraId="236209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мм синхронные пушки Швак</w:t>
            </w:r>
          </w:p>
        </w:tc>
        <w:tc>
          <w:tcPr>
            <w:tcW w:w="1214" w:type="dxa"/>
          </w:tcPr>
          <w:p w14:paraId="031B8D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 авиабригада г. Люберцы</w:t>
            </w:r>
          </w:p>
        </w:tc>
        <w:tc>
          <w:tcPr>
            <w:tcW w:w="1985" w:type="dxa"/>
          </w:tcPr>
          <w:p w14:paraId="530FF6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 НКО № 0139</w:t>
            </w:r>
          </w:p>
        </w:tc>
        <w:tc>
          <w:tcPr>
            <w:tcW w:w="992" w:type="dxa"/>
          </w:tcPr>
          <w:p w14:paraId="267879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июля</w:t>
            </w:r>
          </w:p>
        </w:tc>
        <w:tc>
          <w:tcPr>
            <w:tcW w:w="992" w:type="dxa"/>
          </w:tcPr>
          <w:p w14:paraId="76CA31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 1940 года</w:t>
            </w:r>
          </w:p>
        </w:tc>
        <w:tc>
          <w:tcPr>
            <w:tcW w:w="2977" w:type="dxa"/>
          </w:tcPr>
          <w:p w14:paraId="45C9E8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закончены</w:t>
            </w:r>
          </w:p>
        </w:tc>
      </w:tr>
      <w:tr w:rsidR="007D5DF8" w:rsidRPr="00DB5D0D" w14:paraId="5F2029FB" w14:textId="77777777" w:rsidTr="00E543D0">
        <w:tc>
          <w:tcPr>
            <w:tcW w:w="2438" w:type="dxa"/>
          </w:tcPr>
          <w:p w14:paraId="7A3115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мм пушка Волкова-Ярцева</w:t>
            </w:r>
          </w:p>
        </w:tc>
        <w:tc>
          <w:tcPr>
            <w:tcW w:w="1214" w:type="dxa"/>
          </w:tcPr>
          <w:p w14:paraId="482030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15E6E7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Распоряжен. Начальника 8 управления о полигонных испытаниях</w:t>
            </w:r>
          </w:p>
        </w:tc>
        <w:tc>
          <w:tcPr>
            <w:tcW w:w="992" w:type="dxa"/>
          </w:tcPr>
          <w:p w14:paraId="56492F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августа</w:t>
            </w:r>
          </w:p>
        </w:tc>
        <w:tc>
          <w:tcPr>
            <w:tcW w:w="992" w:type="dxa"/>
          </w:tcPr>
          <w:p w14:paraId="50C107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сентября 1940 года</w:t>
            </w:r>
          </w:p>
        </w:tc>
        <w:tc>
          <w:tcPr>
            <w:tcW w:w="2977" w:type="dxa"/>
          </w:tcPr>
          <w:p w14:paraId="183FB5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закончены</w:t>
            </w:r>
          </w:p>
        </w:tc>
      </w:tr>
      <w:tr w:rsidR="007D5DF8" w:rsidRPr="00DB5D0D" w14:paraId="36C4C612" w14:textId="77777777" w:rsidTr="00E543D0">
        <w:tc>
          <w:tcPr>
            <w:tcW w:w="2438" w:type="dxa"/>
          </w:tcPr>
          <w:p w14:paraId="6FF767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мм патроны к пушке ШВАК (синхронные)</w:t>
            </w:r>
          </w:p>
        </w:tc>
        <w:tc>
          <w:tcPr>
            <w:tcW w:w="1214" w:type="dxa"/>
          </w:tcPr>
          <w:p w14:paraId="0138B0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76E509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Распоряжен. Начальника 8 управления о полигонных испытаниях</w:t>
            </w:r>
          </w:p>
        </w:tc>
        <w:tc>
          <w:tcPr>
            <w:tcW w:w="992" w:type="dxa"/>
          </w:tcPr>
          <w:p w14:paraId="4BADA5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92" w:type="dxa"/>
          </w:tcPr>
          <w:p w14:paraId="5FAEFA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года</w:t>
            </w:r>
          </w:p>
        </w:tc>
        <w:tc>
          <w:tcPr>
            <w:tcW w:w="2977" w:type="dxa"/>
          </w:tcPr>
          <w:p w14:paraId="56C3F6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закончены</w:t>
            </w:r>
          </w:p>
        </w:tc>
      </w:tr>
      <w:tr w:rsidR="007D5DF8" w:rsidRPr="00DB5D0D" w14:paraId="24A542CB" w14:textId="77777777" w:rsidTr="00E543D0">
        <w:tc>
          <w:tcPr>
            <w:tcW w:w="2438" w:type="dxa"/>
          </w:tcPr>
          <w:p w14:paraId="35EF61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мм осколочные снаряды с весом ВВ 15 гр.</w:t>
            </w:r>
          </w:p>
        </w:tc>
        <w:tc>
          <w:tcPr>
            <w:tcW w:w="1214" w:type="dxa"/>
          </w:tcPr>
          <w:p w14:paraId="3B84F7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77162A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Распоряжен. Начальника 8 управления о полигонных испытаниях</w:t>
            </w:r>
          </w:p>
        </w:tc>
        <w:tc>
          <w:tcPr>
            <w:tcW w:w="992" w:type="dxa"/>
          </w:tcPr>
          <w:p w14:paraId="285654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августа</w:t>
            </w:r>
          </w:p>
        </w:tc>
        <w:tc>
          <w:tcPr>
            <w:tcW w:w="992" w:type="dxa"/>
          </w:tcPr>
          <w:p w14:paraId="12FF76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сентября 1940 года</w:t>
            </w:r>
          </w:p>
        </w:tc>
        <w:tc>
          <w:tcPr>
            <w:tcW w:w="2977" w:type="dxa"/>
          </w:tcPr>
          <w:p w14:paraId="6D7460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закончены</w:t>
            </w:r>
          </w:p>
        </w:tc>
      </w:tr>
      <w:tr w:rsidR="007D5DF8" w:rsidRPr="00DB5D0D" w14:paraId="4E002E48" w14:textId="77777777" w:rsidTr="00E543D0">
        <w:tc>
          <w:tcPr>
            <w:tcW w:w="2438" w:type="dxa"/>
          </w:tcPr>
          <w:p w14:paraId="73003A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мм бронебойно-зажигательные снаряды</w:t>
            </w:r>
          </w:p>
        </w:tc>
        <w:tc>
          <w:tcPr>
            <w:tcW w:w="1214" w:type="dxa"/>
          </w:tcPr>
          <w:p w14:paraId="6AE1F7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79D492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992" w:type="dxa"/>
          </w:tcPr>
          <w:p w14:paraId="6B023D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92" w:type="dxa"/>
          </w:tcPr>
          <w:p w14:paraId="4FEC49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w:t>
            </w:r>
          </w:p>
        </w:tc>
        <w:tc>
          <w:tcPr>
            <w:tcW w:w="2977" w:type="dxa"/>
          </w:tcPr>
          <w:p w14:paraId="36C210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дали положительные результаты, принято решение о изготовлении полигонной партии</w:t>
            </w:r>
          </w:p>
        </w:tc>
      </w:tr>
      <w:tr w:rsidR="007D5DF8" w:rsidRPr="00DB5D0D" w14:paraId="1D6B8C58" w14:textId="77777777" w:rsidTr="00E543D0">
        <w:tc>
          <w:tcPr>
            <w:tcW w:w="2438" w:type="dxa"/>
          </w:tcPr>
          <w:p w14:paraId="77FC5E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Бронебойные снаряды 23 мм калибра</w:t>
            </w:r>
          </w:p>
        </w:tc>
        <w:tc>
          <w:tcPr>
            <w:tcW w:w="1214" w:type="dxa"/>
          </w:tcPr>
          <w:p w14:paraId="27D314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67D0C5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992" w:type="dxa"/>
          </w:tcPr>
          <w:p w14:paraId="4F43E2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92" w:type="dxa"/>
          </w:tcPr>
          <w:p w14:paraId="7A66E7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года</w:t>
            </w:r>
          </w:p>
        </w:tc>
        <w:tc>
          <w:tcPr>
            <w:tcW w:w="2977" w:type="dxa"/>
          </w:tcPr>
          <w:p w14:paraId="58C1C9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закончены</w:t>
            </w:r>
          </w:p>
        </w:tc>
      </w:tr>
      <w:tr w:rsidR="007D5DF8" w:rsidRPr="00DB5D0D" w14:paraId="4D471116" w14:textId="77777777" w:rsidTr="00E543D0">
        <w:tc>
          <w:tcPr>
            <w:tcW w:w="2438" w:type="dxa"/>
          </w:tcPr>
          <w:p w14:paraId="41F3D5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Осколочно-трассирующие снаряды 23 мм калибра</w:t>
            </w:r>
          </w:p>
        </w:tc>
        <w:tc>
          <w:tcPr>
            <w:tcW w:w="1214" w:type="dxa"/>
          </w:tcPr>
          <w:p w14:paraId="4248C4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7CA565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992" w:type="dxa"/>
          </w:tcPr>
          <w:p w14:paraId="703633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992" w:type="dxa"/>
          </w:tcPr>
          <w:p w14:paraId="6A6F49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 1940 года</w:t>
            </w:r>
          </w:p>
        </w:tc>
        <w:tc>
          <w:tcPr>
            <w:tcW w:w="2977" w:type="dxa"/>
          </w:tcPr>
          <w:p w14:paraId="4A58D7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закончены</w:t>
            </w:r>
          </w:p>
        </w:tc>
      </w:tr>
      <w:tr w:rsidR="007D5DF8" w:rsidRPr="00DB5D0D" w14:paraId="2224BECE" w14:textId="77777777" w:rsidTr="00E543D0">
        <w:tc>
          <w:tcPr>
            <w:tcW w:w="2438" w:type="dxa"/>
          </w:tcPr>
          <w:p w14:paraId="3A675A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Турельные пулеметы калибра 12,7 мм</w:t>
            </w:r>
          </w:p>
        </w:tc>
        <w:tc>
          <w:tcPr>
            <w:tcW w:w="1214" w:type="dxa"/>
          </w:tcPr>
          <w:p w14:paraId="2A06B9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5F1507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w:t>
            </w:r>
          </w:p>
        </w:tc>
        <w:tc>
          <w:tcPr>
            <w:tcW w:w="992" w:type="dxa"/>
          </w:tcPr>
          <w:p w14:paraId="44DF36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w:t>
            </w:r>
          </w:p>
        </w:tc>
        <w:tc>
          <w:tcPr>
            <w:tcW w:w="992" w:type="dxa"/>
          </w:tcPr>
          <w:p w14:paraId="423871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сентября 1940 года</w:t>
            </w:r>
          </w:p>
        </w:tc>
        <w:tc>
          <w:tcPr>
            <w:tcW w:w="2977" w:type="dxa"/>
          </w:tcPr>
          <w:p w14:paraId="0A5CB8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закончены</w:t>
            </w:r>
          </w:p>
        </w:tc>
      </w:tr>
      <w:tr w:rsidR="007D5DF8" w:rsidRPr="00DB5D0D" w14:paraId="36ABE2DA" w14:textId="77777777" w:rsidTr="00E543D0">
        <w:tc>
          <w:tcPr>
            <w:tcW w:w="2438" w:type="dxa"/>
          </w:tcPr>
          <w:p w14:paraId="76B89A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Фугасная авиабомба в 500 кг цельнокованого корпуса ФАБ-500цк</w:t>
            </w:r>
          </w:p>
        </w:tc>
        <w:tc>
          <w:tcPr>
            <w:tcW w:w="1214" w:type="dxa"/>
          </w:tcPr>
          <w:p w14:paraId="22FA23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713AB7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7494C9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992" w:type="dxa"/>
          </w:tcPr>
          <w:p w14:paraId="0B0A9B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2977" w:type="dxa"/>
          </w:tcPr>
          <w:p w14:paraId="30F80A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 выдержали.</w:t>
            </w:r>
          </w:p>
        </w:tc>
      </w:tr>
      <w:tr w:rsidR="007D5DF8" w:rsidRPr="00DB5D0D" w14:paraId="0C5B7787" w14:textId="77777777" w:rsidTr="00E543D0">
        <w:tc>
          <w:tcPr>
            <w:tcW w:w="2438" w:type="dxa"/>
          </w:tcPr>
          <w:p w14:paraId="7B2A91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Фугасная авиабомба в 1000 кг цельнокованого корпуса ФАБ-1000цк</w:t>
            </w:r>
          </w:p>
        </w:tc>
        <w:tc>
          <w:tcPr>
            <w:tcW w:w="1214" w:type="dxa"/>
          </w:tcPr>
          <w:p w14:paraId="2B2FC4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Евпатория</w:t>
            </w:r>
          </w:p>
          <w:p w14:paraId="629016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4CCDDB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106A61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Октябрь 1939</w:t>
            </w:r>
          </w:p>
        </w:tc>
        <w:tc>
          <w:tcPr>
            <w:tcW w:w="992" w:type="dxa"/>
          </w:tcPr>
          <w:p w14:paraId="5C3852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2977" w:type="dxa"/>
          </w:tcPr>
          <w:p w14:paraId="77C645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 выдержали.</w:t>
            </w:r>
          </w:p>
        </w:tc>
      </w:tr>
      <w:tr w:rsidR="007D5DF8" w:rsidRPr="00DB5D0D" w14:paraId="739E3497" w14:textId="77777777" w:rsidTr="00E543D0">
        <w:tc>
          <w:tcPr>
            <w:tcW w:w="2438" w:type="dxa"/>
          </w:tcPr>
          <w:p w14:paraId="2C0530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Фугасная авиабомба в 250 кг из сталистого чугуна ФАБ-250сч</w:t>
            </w:r>
          </w:p>
        </w:tc>
        <w:tc>
          <w:tcPr>
            <w:tcW w:w="1214" w:type="dxa"/>
          </w:tcPr>
          <w:p w14:paraId="5E1F19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6A1265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5EC2C5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712D1D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Январь 1941 года</w:t>
            </w:r>
          </w:p>
        </w:tc>
        <w:tc>
          <w:tcPr>
            <w:tcW w:w="2977" w:type="dxa"/>
          </w:tcPr>
          <w:p w14:paraId="6AC71C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 не закончены.</w:t>
            </w:r>
          </w:p>
        </w:tc>
      </w:tr>
      <w:tr w:rsidR="007D5DF8" w:rsidRPr="00DB5D0D" w14:paraId="7C61799D" w14:textId="77777777" w:rsidTr="00E543D0">
        <w:tc>
          <w:tcPr>
            <w:tcW w:w="2438" w:type="dxa"/>
          </w:tcPr>
          <w:p w14:paraId="175485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Ротативно-рассеивающие авиабомбы в габарите ФАБ-500 РРАБ-500</w:t>
            </w:r>
          </w:p>
        </w:tc>
        <w:tc>
          <w:tcPr>
            <w:tcW w:w="1214" w:type="dxa"/>
          </w:tcPr>
          <w:p w14:paraId="208162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Крымский авиаполигон НКБ</w:t>
            </w:r>
          </w:p>
        </w:tc>
        <w:tc>
          <w:tcPr>
            <w:tcW w:w="1985" w:type="dxa"/>
          </w:tcPr>
          <w:p w14:paraId="1EA0F8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206AF6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428A49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977" w:type="dxa"/>
          </w:tcPr>
          <w:p w14:paraId="4E24FF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не закончены.</w:t>
            </w:r>
          </w:p>
        </w:tc>
      </w:tr>
      <w:tr w:rsidR="007D5DF8" w:rsidRPr="00DB5D0D" w14:paraId="51FE35BF" w14:textId="77777777" w:rsidTr="00E543D0">
        <w:tc>
          <w:tcPr>
            <w:tcW w:w="2438" w:type="dxa"/>
          </w:tcPr>
          <w:p w14:paraId="428378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Упрощенная подвесная система фугасных авиабомб весом в 50 и 100 кг</w:t>
            </w:r>
          </w:p>
        </w:tc>
        <w:tc>
          <w:tcPr>
            <w:tcW w:w="1214" w:type="dxa"/>
          </w:tcPr>
          <w:p w14:paraId="48BDC7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33A8FA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74A551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052EE4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977" w:type="dxa"/>
          </w:tcPr>
          <w:p w14:paraId="730997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 не закончены.</w:t>
            </w:r>
          </w:p>
        </w:tc>
      </w:tr>
      <w:tr w:rsidR="007D5DF8" w:rsidRPr="00DB5D0D" w14:paraId="3CEE6016" w14:textId="77777777" w:rsidTr="00E543D0">
        <w:tc>
          <w:tcPr>
            <w:tcW w:w="2438" w:type="dxa"/>
          </w:tcPr>
          <w:p w14:paraId="2060B3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Фугасные авиабомбы мгновенного действия с корпусом из целлюлозы ФАБ-250цл</w:t>
            </w:r>
          </w:p>
        </w:tc>
        <w:tc>
          <w:tcPr>
            <w:tcW w:w="1214" w:type="dxa"/>
          </w:tcPr>
          <w:p w14:paraId="38C121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6421E0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02BE1B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5228EA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977" w:type="dxa"/>
          </w:tcPr>
          <w:p w14:paraId="06BDDD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не закончены.</w:t>
            </w:r>
          </w:p>
        </w:tc>
      </w:tr>
      <w:tr w:rsidR="007D5DF8" w:rsidRPr="00DB5D0D" w14:paraId="75029155" w14:textId="77777777" w:rsidTr="00E543D0">
        <w:tc>
          <w:tcPr>
            <w:tcW w:w="2438" w:type="dxa"/>
          </w:tcPr>
          <w:p w14:paraId="1FE8F9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Фугасная реактивная авиамина ФРАМ</w:t>
            </w:r>
          </w:p>
        </w:tc>
        <w:tc>
          <w:tcPr>
            <w:tcW w:w="1214" w:type="dxa"/>
          </w:tcPr>
          <w:p w14:paraId="47C5A2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Софринский артполигон НКБ</w:t>
            </w:r>
          </w:p>
        </w:tc>
        <w:tc>
          <w:tcPr>
            <w:tcW w:w="1985" w:type="dxa"/>
          </w:tcPr>
          <w:p w14:paraId="040133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3D25A0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678429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977" w:type="dxa"/>
          </w:tcPr>
          <w:p w14:paraId="543AF6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не закончены.</w:t>
            </w:r>
          </w:p>
        </w:tc>
      </w:tr>
      <w:tr w:rsidR="007D5DF8" w:rsidRPr="00DB5D0D" w14:paraId="035CD438" w14:textId="77777777" w:rsidTr="00E543D0">
        <w:tc>
          <w:tcPr>
            <w:tcW w:w="2438" w:type="dxa"/>
          </w:tcPr>
          <w:p w14:paraId="7E8E4F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Зажигательная авиабомба 10 кг фонтанирующая ЗАБ-10 ф</w:t>
            </w:r>
          </w:p>
        </w:tc>
        <w:tc>
          <w:tcPr>
            <w:tcW w:w="1214" w:type="dxa"/>
          </w:tcPr>
          <w:p w14:paraId="34808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 завода № 80</w:t>
            </w:r>
          </w:p>
        </w:tc>
        <w:tc>
          <w:tcPr>
            <w:tcW w:w="1985" w:type="dxa"/>
          </w:tcPr>
          <w:p w14:paraId="41E3D9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5D231D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271FC1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2977" w:type="dxa"/>
          </w:tcPr>
          <w:p w14:paraId="084613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выдержала.</w:t>
            </w:r>
          </w:p>
        </w:tc>
      </w:tr>
      <w:tr w:rsidR="007D5DF8" w:rsidRPr="00DB5D0D" w14:paraId="1D82A7B5" w14:textId="77777777" w:rsidTr="00E543D0">
        <w:tc>
          <w:tcPr>
            <w:tcW w:w="2438" w:type="dxa"/>
          </w:tcPr>
          <w:p w14:paraId="1B461F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Зажигательная авиабомба 10 кг фонтанирующая ЗАБ-50ф</w:t>
            </w:r>
          </w:p>
        </w:tc>
        <w:tc>
          <w:tcPr>
            <w:tcW w:w="1214" w:type="dxa"/>
          </w:tcPr>
          <w:p w14:paraId="6C38B2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 завода № 80</w:t>
            </w:r>
          </w:p>
        </w:tc>
        <w:tc>
          <w:tcPr>
            <w:tcW w:w="1985" w:type="dxa"/>
          </w:tcPr>
          <w:p w14:paraId="561F87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1291D1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7F0D6A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2977" w:type="dxa"/>
          </w:tcPr>
          <w:p w14:paraId="40CD42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выдержала.</w:t>
            </w:r>
          </w:p>
        </w:tc>
      </w:tr>
      <w:tr w:rsidR="007D5DF8" w:rsidRPr="00DB5D0D" w14:paraId="6E963E34" w14:textId="77777777" w:rsidTr="00E543D0">
        <w:tc>
          <w:tcPr>
            <w:tcW w:w="2438" w:type="dxa"/>
          </w:tcPr>
          <w:p w14:paraId="386896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Взрыватель к осколочным авиабомбам для штурмовой авиации АВ-2</w:t>
            </w:r>
          </w:p>
        </w:tc>
        <w:tc>
          <w:tcPr>
            <w:tcW w:w="1214" w:type="dxa"/>
          </w:tcPr>
          <w:p w14:paraId="1F65A5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197AA6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11589C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0F7E84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977" w:type="dxa"/>
          </w:tcPr>
          <w:p w14:paraId="03B916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не закончены.</w:t>
            </w:r>
          </w:p>
        </w:tc>
      </w:tr>
      <w:tr w:rsidR="007D5DF8" w:rsidRPr="00DB5D0D" w14:paraId="1A633519" w14:textId="77777777" w:rsidTr="00E543D0">
        <w:tc>
          <w:tcPr>
            <w:tcW w:w="2438" w:type="dxa"/>
          </w:tcPr>
          <w:p w14:paraId="14DD45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Механическая дистанционная трубка ТМ-27</w:t>
            </w:r>
          </w:p>
        </w:tc>
        <w:tc>
          <w:tcPr>
            <w:tcW w:w="1214" w:type="dxa"/>
          </w:tcPr>
          <w:p w14:paraId="07B6AB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05ED75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01CF7A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0FAB8F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977" w:type="dxa"/>
          </w:tcPr>
          <w:p w14:paraId="43A134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не закончены.</w:t>
            </w:r>
          </w:p>
        </w:tc>
      </w:tr>
      <w:tr w:rsidR="007D5DF8" w:rsidRPr="00DB5D0D" w14:paraId="0CF2E7E0" w14:textId="77777777" w:rsidTr="00E543D0">
        <w:tc>
          <w:tcPr>
            <w:tcW w:w="2438" w:type="dxa"/>
          </w:tcPr>
          <w:p w14:paraId="6AF8BA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Взрыватель для реактивных снарядов АВ-89</w:t>
            </w:r>
          </w:p>
        </w:tc>
        <w:tc>
          <w:tcPr>
            <w:tcW w:w="1214" w:type="dxa"/>
          </w:tcPr>
          <w:p w14:paraId="6329D9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Софринский артполигон НКБ</w:t>
            </w:r>
          </w:p>
        </w:tc>
        <w:tc>
          <w:tcPr>
            <w:tcW w:w="1985" w:type="dxa"/>
          </w:tcPr>
          <w:p w14:paraId="57960E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32B359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257722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977" w:type="dxa"/>
          </w:tcPr>
          <w:p w14:paraId="668164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не закончены.</w:t>
            </w:r>
          </w:p>
        </w:tc>
      </w:tr>
      <w:tr w:rsidR="007D5DF8" w:rsidRPr="00DB5D0D" w14:paraId="7E3EF54F" w14:textId="77777777" w:rsidTr="00E543D0">
        <w:tc>
          <w:tcPr>
            <w:tcW w:w="2438" w:type="dxa"/>
          </w:tcPr>
          <w:p w14:paraId="5DB62B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Бомбодержатель для пикирующих бомбардировщиков ПБ-5</w:t>
            </w:r>
          </w:p>
        </w:tc>
        <w:tc>
          <w:tcPr>
            <w:tcW w:w="1214" w:type="dxa"/>
          </w:tcPr>
          <w:p w14:paraId="30ACF7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769FA9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6635FE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408072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2977" w:type="dxa"/>
          </w:tcPr>
          <w:p w14:paraId="1AC7CE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выдержали.</w:t>
            </w:r>
          </w:p>
        </w:tc>
      </w:tr>
      <w:tr w:rsidR="007D5DF8" w:rsidRPr="00DB5D0D" w14:paraId="0E698FC2" w14:textId="77777777" w:rsidTr="00E543D0">
        <w:tc>
          <w:tcPr>
            <w:tcW w:w="2438" w:type="dxa"/>
          </w:tcPr>
          <w:p w14:paraId="5055D6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Бомбодержатель для пикирующих бомбардировщиков модернизированные ПБ-7</w:t>
            </w:r>
          </w:p>
        </w:tc>
        <w:tc>
          <w:tcPr>
            <w:tcW w:w="1214" w:type="dxa"/>
          </w:tcPr>
          <w:p w14:paraId="0800AD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1D1F04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w:t>
            </w:r>
          </w:p>
        </w:tc>
        <w:tc>
          <w:tcPr>
            <w:tcW w:w="992" w:type="dxa"/>
          </w:tcPr>
          <w:p w14:paraId="4A04E9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398B1B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977" w:type="dxa"/>
          </w:tcPr>
          <w:p w14:paraId="28A99F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не закончены.</w:t>
            </w:r>
          </w:p>
        </w:tc>
      </w:tr>
      <w:tr w:rsidR="007D5DF8" w:rsidRPr="00DB5D0D" w14:paraId="7DCE289C" w14:textId="77777777" w:rsidTr="00E543D0">
        <w:tc>
          <w:tcPr>
            <w:tcW w:w="2438" w:type="dxa"/>
          </w:tcPr>
          <w:p w14:paraId="02BCC9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пиротехническая ракета весом 8 кг ПР-8</w:t>
            </w:r>
          </w:p>
        </w:tc>
        <w:tc>
          <w:tcPr>
            <w:tcW w:w="1214" w:type="dxa"/>
          </w:tcPr>
          <w:p w14:paraId="1F8E5D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33A9BC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 по ГУ ВВС № 058-40 г.</w:t>
            </w:r>
          </w:p>
        </w:tc>
        <w:tc>
          <w:tcPr>
            <w:tcW w:w="992" w:type="dxa"/>
          </w:tcPr>
          <w:p w14:paraId="11A51C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992" w:type="dxa"/>
          </w:tcPr>
          <w:p w14:paraId="063EB6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2977" w:type="dxa"/>
          </w:tcPr>
          <w:p w14:paraId="2EDD6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закончены.</w:t>
            </w:r>
          </w:p>
        </w:tc>
      </w:tr>
      <w:tr w:rsidR="007D5DF8" w:rsidRPr="00DB5D0D" w14:paraId="0B33780A" w14:textId="77777777" w:rsidTr="00E543D0">
        <w:tc>
          <w:tcPr>
            <w:tcW w:w="2438" w:type="dxa"/>
          </w:tcPr>
          <w:p w14:paraId="68F8E0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ХАБ-100, ХАБ-200М, ХАБ-500М ударного действия, снаряженные НОВ</w:t>
            </w:r>
          </w:p>
        </w:tc>
        <w:tc>
          <w:tcPr>
            <w:tcW w:w="1214" w:type="dxa"/>
          </w:tcPr>
          <w:p w14:paraId="2ECE79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ЦХП (Вольск)</w:t>
            </w:r>
          </w:p>
        </w:tc>
        <w:tc>
          <w:tcPr>
            <w:tcW w:w="1985" w:type="dxa"/>
          </w:tcPr>
          <w:p w14:paraId="421224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приказ НКО №0022 от 16 мая 1940 г.</w:t>
            </w:r>
          </w:p>
        </w:tc>
        <w:tc>
          <w:tcPr>
            <w:tcW w:w="992" w:type="dxa"/>
          </w:tcPr>
          <w:p w14:paraId="4D14BB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w:t>
            </w:r>
          </w:p>
        </w:tc>
        <w:tc>
          <w:tcPr>
            <w:tcW w:w="992" w:type="dxa"/>
          </w:tcPr>
          <w:p w14:paraId="2F6C53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w:t>
            </w:r>
          </w:p>
        </w:tc>
        <w:tc>
          <w:tcPr>
            <w:tcW w:w="2977" w:type="dxa"/>
          </w:tcPr>
          <w:p w14:paraId="69C024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закончены, ХАБ-100, ХАБ-500М – результаты положительные. ХАБ-200М – результаты отрицательные. Отчета еще нет.</w:t>
            </w:r>
          </w:p>
        </w:tc>
      </w:tr>
      <w:tr w:rsidR="007D5DF8" w:rsidRPr="00DB5D0D" w14:paraId="1912BD7F" w14:textId="77777777" w:rsidTr="00E543D0">
        <w:tc>
          <w:tcPr>
            <w:tcW w:w="2438" w:type="dxa"/>
          </w:tcPr>
          <w:p w14:paraId="5090DA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ХАБ-100 ударного действия снаряженные СОВ и вязкими ОВ</w:t>
            </w:r>
          </w:p>
        </w:tc>
        <w:tc>
          <w:tcPr>
            <w:tcW w:w="1214" w:type="dxa"/>
          </w:tcPr>
          <w:p w14:paraId="601728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ЦХП (Вольск)</w:t>
            </w:r>
          </w:p>
        </w:tc>
        <w:tc>
          <w:tcPr>
            <w:tcW w:w="1985" w:type="dxa"/>
          </w:tcPr>
          <w:p w14:paraId="737813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приказ НКО №0022 от 16 мая 1940 г.</w:t>
            </w:r>
          </w:p>
        </w:tc>
        <w:tc>
          <w:tcPr>
            <w:tcW w:w="992" w:type="dxa"/>
          </w:tcPr>
          <w:p w14:paraId="6092FC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w:t>
            </w:r>
          </w:p>
        </w:tc>
        <w:tc>
          <w:tcPr>
            <w:tcW w:w="992" w:type="dxa"/>
          </w:tcPr>
          <w:p w14:paraId="01EE03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w:t>
            </w:r>
          </w:p>
        </w:tc>
        <w:tc>
          <w:tcPr>
            <w:tcW w:w="2977" w:type="dxa"/>
          </w:tcPr>
          <w:p w14:paraId="2315DE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закончены, ХАБ-100с СОВ – результаты положительные. ХАБ-100 с вязкими ОВ – результаты отрицательные. Отчета еще нет.</w:t>
            </w:r>
          </w:p>
        </w:tc>
      </w:tr>
      <w:tr w:rsidR="007D5DF8" w:rsidRPr="00DB5D0D" w14:paraId="43E90CB9" w14:textId="77777777" w:rsidTr="00E543D0">
        <w:tc>
          <w:tcPr>
            <w:tcW w:w="2438" w:type="dxa"/>
          </w:tcPr>
          <w:p w14:paraId="7EFC5E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ХАБ-200М, ХАБ-500М дистанционного действия снаряженные СОВ</w:t>
            </w:r>
          </w:p>
        </w:tc>
        <w:tc>
          <w:tcPr>
            <w:tcW w:w="1214" w:type="dxa"/>
          </w:tcPr>
          <w:p w14:paraId="32AFB8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ЦХП (Вольск)</w:t>
            </w:r>
          </w:p>
        </w:tc>
        <w:tc>
          <w:tcPr>
            <w:tcW w:w="1985" w:type="dxa"/>
          </w:tcPr>
          <w:p w14:paraId="1A360E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приказ НКО №0022 от 16 мая 1940 г.</w:t>
            </w:r>
          </w:p>
        </w:tc>
        <w:tc>
          <w:tcPr>
            <w:tcW w:w="992" w:type="dxa"/>
          </w:tcPr>
          <w:p w14:paraId="26E708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w:t>
            </w:r>
          </w:p>
        </w:tc>
        <w:tc>
          <w:tcPr>
            <w:tcW w:w="992" w:type="dxa"/>
          </w:tcPr>
          <w:p w14:paraId="084069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w:t>
            </w:r>
          </w:p>
        </w:tc>
        <w:tc>
          <w:tcPr>
            <w:tcW w:w="2977" w:type="dxa"/>
          </w:tcPr>
          <w:p w14:paraId="2A1006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закончены, ХАБ-500М – результаты положительные. ХАБ-200М – окончательные результаты не известны. Отчета еще нет.</w:t>
            </w:r>
          </w:p>
        </w:tc>
      </w:tr>
      <w:tr w:rsidR="007D5DF8" w:rsidRPr="00DB5D0D" w14:paraId="7CB16E78" w14:textId="77777777" w:rsidTr="00E543D0">
        <w:tc>
          <w:tcPr>
            <w:tcW w:w="2438" w:type="dxa"/>
          </w:tcPr>
          <w:p w14:paraId="5E99F5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ХАРП-500 (разовый прибор) дистанционного действия снаряженный стойкими ОВ и гранулированным фосфором</w:t>
            </w:r>
          </w:p>
        </w:tc>
        <w:tc>
          <w:tcPr>
            <w:tcW w:w="1214" w:type="dxa"/>
          </w:tcPr>
          <w:p w14:paraId="537A05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ЦХП (Вольск)</w:t>
            </w:r>
          </w:p>
        </w:tc>
        <w:tc>
          <w:tcPr>
            <w:tcW w:w="1985" w:type="dxa"/>
          </w:tcPr>
          <w:p w14:paraId="0B28BD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приказ НКО №0022 от 16 мая 1940 г.</w:t>
            </w:r>
          </w:p>
        </w:tc>
        <w:tc>
          <w:tcPr>
            <w:tcW w:w="992" w:type="dxa"/>
          </w:tcPr>
          <w:p w14:paraId="34F4C9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w:t>
            </w:r>
          </w:p>
        </w:tc>
        <w:tc>
          <w:tcPr>
            <w:tcW w:w="992" w:type="dxa"/>
          </w:tcPr>
          <w:p w14:paraId="2DDADA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w:t>
            </w:r>
          </w:p>
        </w:tc>
        <w:tc>
          <w:tcPr>
            <w:tcW w:w="2977" w:type="dxa"/>
          </w:tcPr>
          <w:p w14:paraId="3FECDB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закончены, окончательные результаты не известны. Отчета еще нет.</w:t>
            </w:r>
          </w:p>
        </w:tc>
      </w:tr>
      <w:tr w:rsidR="007D5DF8" w:rsidRPr="00DB5D0D" w14:paraId="3735AF90" w14:textId="77777777" w:rsidTr="00E543D0">
        <w:tc>
          <w:tcPr>
            <w:tcW w:w="2438" w:type="dxa"/>
          </w:tcPr>
          <w:p w14:paraId="3DE7F5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ЗАРП-500 зажигательный прибор дистанционного действия снаряженный термитными шарами</w:t>
            </w:r>
          </w:p>
        </w:tc>
        <w:tc>
          <w:tcPr>
            <w:tcW w:w="1214" w:type="dxa"/>
          </w:tcPr>
          <w:p w14:paraId="06BDEA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ЦХП (Вольск)</w:t>
            </w:r>
          </w:p>
        </w:tc>
        <w:tc>
          <w:tcPr>
            <w:tcW w:w="1985" w:type="dxa"/>
          </w:tcPr>
          <w:p w14:paraId="3EDFBC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 испытания приказ НКО №0022 от 16 мая 1940 г.</w:t>
            </w:r>
          </w:p>
        </w:tc>
        <w:tc>
          <w:tcPr>
            <w:tcW w:w="992" w:type="dxa"/>
          </w:tcPr>
          <w:p w14:paraId="2855C8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июня</w:t>
            </w:r>
          </w:p>
        </w:tc>
        <w:tc>
          <w:tcPr>
            <w:tcW w:w="992" w:type="dxa"/>
          </w:tcPr>
          <w:p w14:paraId="7DEE7C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сентября</w:t>
            </w:r>
          </w:p>
        </w:tc>
        <w:tc>
          <w:tcPr>
            <w:tcW w:w="2977" w:type="dxa"/>
          </w:tcPr>
          <w:p w14:paraId="411E01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закончены, окончательные результаты не известны. Отчета еще нет.</w:t>
            </w:r>
          </w:p>
        </w:tc>
      </w:tr>
      <w:tr w:rsidR="007D5DF8" w:rsidRPr="00DB5D0D" w14:paraId="19DE19EB" w14:textId="77777777" w:rsidTr="00E543D0">
        <w:tc>
          <w:tcPr>
            <w:tcW w:w="2438" w:type="dxa"/>
          </w:tcPr>
          <w:p w14:paraId="219D03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Ампульно-бомбовая кассета на самолет ДБ-3 (АБК-3)</w:t>
            </w:r>
          </w:p>
        </w:tc>
        <w:tc>
          <w:tcPr>
            <w:tcW w:w="1214" w:type="dxa"/>
          </w:tcPr>
          <w:p w14:paraId="1F9B22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1D9412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 по плану</w:t>
            </w:r>
          </w:p>
        </w:tc>
        <w:tc>
          <w:tcPr>
            <w:tcW w:w="992" w:type="dxa"/>
          </w:tcPr>
          <w:p w14:paraId="54876F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w:t>
            </w:r>
          </w:p>
        </w:tc>
        <w:tc>
          <w:tcPr>
            <w:tcW w:w="992" w:type="dxa"/>
          </w:tcPr>
          <w:p w14:paraId="6AD304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2977" w:type="dxa"/>
          </w:tcPr>
          <w:p w14:paraId="3C72C4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закончены на 90%, остались высотные полеты. Результаты испытаний положительные.</w:t>
            </w:r>
          </w:p>
        </w:tc>
      </w:tr>
      <w:tr w:rsidR="007D5DF8" w:rsidRPr="00DB5D0D" w14:paraId="5D6B2C37" w14:textId="77777777" w:rsidTr="00E543D0">
        <w:tc>
          <w:tcPr>
            <w:tcW w:w="2438" w:type="dxa"/>
          </w:tcPr>
          <w:p w14:paraId="78951F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Химическое вооружение (ВАП-6М) на самолете И-153</w:t>
            </w:r>
          </w:p>
        </w:tc>
        <w:tc>
          <w:tcPr>
            <w:tcW w:w="1214" w:type="dxa"/>
          </w:tcPr>
          <w:p w14:paraId="0BD6A3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ЦХП (Вольск)</w:t>
            </w:r>
          </w:p>
        </w:tc>
        <w:tc>
          <w:tcPr>
            <w:tcW w:w="1985" w:type="dxa"/>
          </w:tcPr>
          <w:p w14:paraId="444E1F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 по плану</w:t>
            </w:r>
          </w:p>
        </w:tc>
        <w:tc>
          <w:tcPr>
            <w:tcW w:w="992" w:type="dxa"/>
          </w:tcPr>
          <w:p w14:paraId="042447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992" w:type="dxa"/>
          </w:tcPr>
          <w:p w14:paraId="7ECEB89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977" w:type="dxa"/>
          </w:tcPr>
          <w:p w14:paraId="5B8D79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подан на ЦХП 17 августа. Результаты испытаний не известны.</w:t>
            </w:r>
          </w:p>
        </w:tc>
      </w:tr>
      <w:tr w:rsidR="007D5DF8" w:rsidRPr="00DB5D0D" w14:paraId="2556A969" w14:textId="77777777" w:rsidTr="00E543D0">
        <w:tc>
          <w:tcPr>
            <w:tcW w:w="2438" w:type="dxa"/>
          </w:tcPr>
          <w:p w14:paraId="738C11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Дымовая фосфорная бомба (ХАБ-100)</w:t>
            </w:r>
          </w:p>
        </w:tc>
        <w:tc>
          <w:tcPr>
            <w:tcW w:w="1214" w:type="dxa"/>
          </w:tcPr>
          <w:p w14:paraId="5F76D5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ЦХП (Вольск)</w:t>
            </w:r>
          </w:p>
        </w:tc>
        <w:tc>
          <w:tcPr>
            <w:tcW w:w="1985" w:type="dxa"/>
          </w:tcPr>
          <w:p w14:paraId="6CF2D8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 по плану</w:t>
            </w:r>
          </w:p>
        </w:tc>
        <w:tc>
          <w:tcPr>
            <w:tcW w:w="992" w:type="dxa"/>
          </w:tcPr>
          <w:p w14:paraId="3B76F7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992" w:type="dxa"/>
          </w:tcPr>
          <w:p w14:paraId="5DF144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977" w:type="dxa"/>
          </w:tcPr>
          <w:p w14:paraId="0BD92B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закончены. Предварительные данные положительные. Окончательные результаты не известны.</w:t>
            </w:r>
          </w:p>
        </w:tc>
      </w:tr>
      <w:tr w:rsidR="007D5DF8" w:rsidRPr="00DB5D0D" w14:paraId="67E2D406" w14:textId="77777777" w:rsidTr="00E543D0">
        <w:tc>
          <w:tcPr>
            <w:tcW w:w="2438" w:type="dxa"/>
          </w:tcPr>
          <w:p w14:paraId="08ADE0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Химическое вооружение (ВАП-200) на самолете ББ-1</w:t>
            </w:r>
          </w:p>
        </w:tc>
        <w:tc>
          <w:tcPr>
            <w:tcW w:w="1214" w:type="dxa"/>
          </w:tcPr>
          <w:p w14:paraId="1185F5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 АВ</w:t>
            </w:r>
          </w:p>
        </w:tc>
        <w:tc>
          <w:tcPr>
            <w:tcW w:w="1985" w:type="dxa"/>
          </w:tcPr>
          <w:p w14:paraId="5B19D1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 по плану</w:t>
            </w:r>
          </w:p>
        </w:tc>
        <w:tc>
          <w:tcPr>
            <w:tcW w:w="992" w:type="dxa"/>
          </w:tcPr>
          <w:p w14:paraId="0888CA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w:t>
            </w:r>
          </w:p>
        </w:tc>
        <w:tc>
          <w:tcPr>
            <w:tcW w:w="992" w:type="dxa"/>
          </w:tcPr>
          <w:p w14:paraId="02CEF2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2977" w:type="dxa"/>
          </w:tcPr>
          <w:p w14:paraId="583798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Наземные испытания проведены. Воздушные испытания не проводятся, так как завод № 135 запретил летать до перем. шасси самолета.</w:t>
            </w:r>
          </w:p>
        </w:tc>
      </w:tr>
    </w:tbl>
    <w:p w14:paraId="03ECD3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(7713, 12-15)</w:t>
      </w:r>
    </w:p>
    <w:p w14:paraId="2F760AF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E8FF1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23 августа по 4 декабря 1940 года на НИП АВ ВВС проходили полигонные испытания подкрыльной ампульно-бомбовой кассеты (АБК-II) конструкции завода № 145 на самолете СБ</w:t>
      </w:r>
    </w:p>
    <w:p w14:paraId="532C31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616AD0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59CAAD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F6D1C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полигонных испытаний ампульно-бомбовой кассеты (АБК-II) являлось определение следующих конструктивно-эксплуатационных и боевых качеств:</w:t>
      </w:r>
    </w:p>
    <w:p w14:paraId="27E7460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Прочности и надежность конструкции.</w:t>
      </w:r>
    </w:p>
    <w:p w14:paraId="6E77481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Безотказности работы механизма кассеты при нормальных и низких температурах.</w:t>
      </w:r>
    </w:p>
    <w:p w14:paraId="7116C09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Вариантов бомбовой нагрузки.</w:t>
      </w:r>
    </w:p>
    <w:p w14:paraId="10E6B63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Характера распределения бомб на площади при сбрасывании с различных высот.</w:t>
      </w:r>
    </w:p>
    <w:p w14:paraId="7DE9750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Удобства и безопасности в эксплуатации</w:t>
      </w:r>
    </w:p>
    <w:p w14:paraId="003C9D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Подкрыльная ампульная кассета (АК-II) предназначалась для ампулометания с самолета СБ.</w:t>
      </w:r>
    </w:p>
    <w:p w14:paraId="307EF4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Кассета испытывалась в 1939 году на ампулах АК-2 с диаметром 125 мм и диаметром 260 мм и показала удовлетворительные боевые качества, простоту конструкции, безотказность работы ее механизмов в нормальных условиях и при низких температурах.</w:t>
      </w:r>
    </w:p>
    <w:p w14:paraId="117B83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заводом № 145 была поставлена задача пересмотреть конструкцию подкрыльной ампульной кассеты с целью создания универсального прибора разового действия для применения из нее не только ампул, но и бомб мелкого калибра.</w:t>
      </w:r>
    </w:p>
    <w:p w14:paraId="4A73AA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526A1D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внесения изменений в конструкцию кассеты на заводских испытаниях с бомбами в феврале 1940 года был выявлен ряд дополнительных конструктивных недостатков ………………..</w:t>
      </w:r>
    </w:p>
    <w:p w14:paraId="4BE885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32642D7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Подкрыльная ампульно-бомбовая кассета (АБК-II) конструкции завода № 145 полигонные испытания выдержала (7843).</w:t>
      </w:r>
    </w:p>
    <w:p w14:paraId="4831720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2BEFF5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23 августа по 4 декабря 1940 года в НИИ ВВС проходили полигонные испытания подкрыльной ампульно-бомбовой кассеты (АБК-П) конструкции завода № 145 на самолете СБ</w:t>
      </w:r>
    </w:p>
    <w:p w14:paraId="2FA40E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43C972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2240B7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27BF33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полигонных испытаний ампульно-бомбовой кассеты (АБК-П) явилось определение следующих конструктивно-эксплуатационных и боевых качеств:</w:t>
      </w:r>
    </w:p>
    <w:p w14:paraId="6D22CC67" w14:textId="77777777" w:rsidR="003C7E8B" w:rsidRPr="00DB5D0D" w:rsidRDefault="003C7E8B" w:rsidP="00DB5D0D">
      <w:pPr>
        <w:pStyle w:val="24"/>
        <w:widowControl/>
        <w:tabs>
          <w:tab w:val="left" w:pos="360"/>
        </w:tabs>
        <w:rPr>
          <w:color w:val="000000" w:themeColor="text1"/>
        </w:rPr>
      </w:pPr>
      <w:r w:rsidRPr="00DB5D0D">
        <w:rPr>
          <w:color w:val="000000" w:themeColor="text1"/>
        </w:rPr>
        <w:t>Прочности и надежности конструкции.</w:t>
      </w:r>
    </w:p>
    <w:p w14:paraId="6B088626" w14:textId="77777777" w:rsidR="003C7E8B" w:rsidRPr="00DB5D0D" w:rsidRDefault="003C7E8B" w:rsidP="00DB5D0D">
      <w:pPr>
        <w:pStyle w:val="24"/>
        <w:widowControl/>
        <w:tabs>
          <w:tab w:val="left" w:pos="360"/>
        </w:tabs>
        <w:rPr>
          <w:color w:val="000000" w:themeColor="text1"/>
        </w:rPr>
      </w:pPr>
      <w:r w:rsidRPr="00DB5D0D">
        <w:rPr>
          <w:color w:val="000000" w:themeColor="text1"/>
        </w:rPr>
        <w:t>Безотказности работы механизма кассеты при нормальных и низких температурах.</w:t>
      </w:r>
    </w:p>
    <w:p w14:paraId="410F4E0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Вариантов бомбовой загрузки.</w:t>
      </w:r>
    </w:p>
    <w:p w14:paraId="03311D8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Характера распределения бомб на площади при сбрасывании с различных высот.</w:t>
      </w:r>
    </w:p>
    <w:p w14:paraId="0E46028F" w14:textId="77777777" w:rsidR="003C7E8B" w:rsidRPr="00DB5D0D" w:rsidRDefault="003C7E8B" w:rsidP="00DB5D0D">
      <w:pPr>
        <w:pStyle w:val="24"/>
        <w:widowControl/>
        <w:tabs>
          <w:tab w:val="left" w:pos="360"/>
        </w:tabs>
        <w:rPr>
          <w:color w:val="000000" w:themeColor="text1"/>
        </w:rPr>
      </w:pPr>
      <w:r w:rsidRPr="00DB5D0D">
        <w:rPr>
          <w:color w:val="000000" w:themeColor="text1"/>
        </w:rPr>
        <w:t>Удобства и безопасности в эксплуатации.</w:t>
      </w:r>
    </w:p>
    <w:p w14:paraId="2EDCE4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Подкрыльная ампульная кассета (АК-П) предназначалась для ампулометания с с самолета СБ. Перед заводом № 145 была поставлена задача пересмотреть конструкцию подкрыльной ампульной кассеты с целью создания универсального прибора разового действия для применения из нее не только ампул, но и бомб мелкого калибра.</w:t>
      </w:r>
    </w:p>
    <w:p w14:paraId="6B44FC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0A9E4F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Предъявленная на полигонные испытания подкрыльная ампульно-бомбовая кассета (АБК-П) конструкции завода № 145 полигонные испытания выдержала (7406).</w:t>
      </w:r>
    </w:p>
    <w:p w14:paraId="20C222D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52C03C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вышло:</w:t>
      </w:r>
    </w:p>
    <w:p w14:paraId="33D12D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РАСПОРЯЖЕНИЕ</w:t>
      </w:r>
    </w:p>
    <w:p w14:paraId="7ABF76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поручению Председателя КО т.Ворошилова, назначаю комиссию для тщательного и подробного разбора дел и изобрете</w:t>
      </w:r>
      <w:r w:rsidRPr="00DB5D0D">
        <w:rPr>
          <w:rFonts w:ascii="Times New Roman" w:hAnsi="Times New Roman"/>
          <w:color w:val="000000" w:themeColor="text1"/>
          <w:sz w:val="16"/>
          <w:szCs w:val="16"/>
        </w:rPr>
        <w:softHyphen/>
        <w:t>ний тов. Гроховского П. И. и дачи по ним заключения о целесооб</w:t>
      </w:r>
      <w:r w:rsidRPr="00DB5D0D">
        <w:rPr>
          <w:rFonts w:ascii="Times New Roman" w:hAnsi="Times New Roman"/>
          <w:color w:val="000000" w:themeColor="text1"/>
          <w:sz w:val="16"/>
          <w:szCs w:val="16"/>
        </w:rPr>
        <w:softHyphen/>
        <w:t>разности их использования для военных нужд, в следующем со</w:t>
      </w:r>
      <w:r w:rsidRPr="00DB5D0D">
        <w:rPr>
          <w:rFonts w:ascii="Times New Roman" w:hAnsi="Times New Roman"/>
          <w:color w:val="000000" w:themeColor="text1"/>
          <w:sz w:val="16"/>
          <w:szCs w:val="16"/>
        </w:rPr>
        <w:softHyphen/>
        <w:t>ставе :</w:t>
      </w:r>
    </w:p>
    <w:p w14:paraId="1E200A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 Комиссии: Старшего Контролера КО - подполковника т. ЗОЛОТОЧУБ И. И.</w:t>
      </w:r>
    </w:p>
    <w:p w14:paraId="4E4BBB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Членами Комиссии:</w:t>
      </w:r>
    </w:p>
    <w:p w14:paraId="4A6FC8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Старшего Контролера КО - военного инженера 1 ранга -т. ДУБОВСКОГО В.И.</w:t>
      </w:r>
    </w:p>
    <w:p w14:paraId="3D7B8A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Старшего Контролера КО - военного инженера 1 ранга - т.ХАРИТОНОВА С.И.</w:t>
      </w:r>
    </w:p>
    <w:p w14:paraId="476A2FC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Старшего Контролера КО - военного инженера 1 ранга - т. СОЛДАТОВА А.З.</w:t>
      </w:r>
    </w:p>
    <w:p w14:paraId="4FB73F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Комиссии закончить работу в 10-ти дневный срок и выводы представить мне (10516,1).</w:t>
      </w:r>
    </w:p>
    <w:p w14:paraId="43FEA9E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был подготовлен:</w:t>
      </w:r>
    </w:p>
    <w:p w14:paraId="1BC93B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 РАВОТЫ</w:t>
      </w:r>
    </w:p>
    <w:p w14:paraId="11F56C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комиссии по разбору заявлений и материала, представленного Гроховским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58"/>
        <w:gridCol w:w="2416"/>
        <w:gridCol w:w="2174"/>
      </w:tblGrid>
      <w:tr w:rsidR="007D5DF8" w:rsidRPr="00DB5D0D" w14:paraId="4E68A089" w14:textId="77777777" w:rsidTr="00E543D0">
        <w:tc>
          <w:tcPr>
            <w:tcW w:w="5958" w:type="dxa"/>
            <w:tcBorders>
              <w:top w:val="single" w:sz="12" w:space="0" w:color="auto"/>
            </w:tcBorders>
          </w:tcPr>
          <w:p w14:paraId="0F611D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работ</w:t>
            </w:r>
          </w:p>
        </w:tc>
        <w:tc>
          <w:tcPr>
            <w:tcW w:w="2416" w:type="dxa"/>
            <w:tcBorders>
              <w:top w:val="single" w:sz="12" w:space="0" w:color="auto"/>
            </w:tcBorders>
          </w:tcPr>
          <w:p w14:paraId="1BAA7B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Кто проводит</w:t>
            </w:r>
          </w:p>
        </w:tc>
        <w:tc>
          <w:tcPr>
            <w:tcW w:w="2174" w:type="dxa"/>
            <w:tcBorders>
              <w:top w:val="single" w:sz="12" w:space="0" w:color="auto"/>
            </w:tcBorders>
          </w:tcPr>
          <w:p w14:paraId="76484A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выполнения</w:t>
            </w:r>
          </w:p>
        </w:tc>
      </w:tr>
      <w:tr w:rsidR="007D5DF8" w:rsidRPr="00DB5D0D" w14:paraId="0F7F26B6" w14:textId="77777777" w:rsidTr="00E543D0">
        <w:tc>
          <w:tcPr>
            <w:tcW w:w="5958" w:type="dxa"/>
          </w:tcPr>
          <w:p w14:paraId="1EE37A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Изучение материала, представленного Гроховским и составление писем-запросов в НКО и НКВМФ</w:t>
            </w:r>
          </w:p>
        </w:tc>
        <w:tc>
          <w:tcPr>
            <w:tcW w:w="2416" w:type="dxa"/>
          </w:tcPr>
          <w:p w14:paraId="17D09C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Авиация - СОЛДАТОВ</w:t>
            </w:r>
          </w:p>
          <w:p w14:paraId="39081F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Артиллер. ДУБОВСКИЙ</w:t>
            </w:r>
          </w:p>
          <w:p w14:paraId="07A54F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ВМФ ХАРИТОНОВ</w:t>
            </w:r>
          </w:p>
          <w:p w14:paraId="6BE2C2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Общевойсковые вопросы</w:t>
            </w:r>
          </w:p>
          <w:p w14:paraId="753F5F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ЗОЛОТОЧУБ</w:t>
            </w:r>
          </w:p>
        </w:tc>
        <w:tc>
          <w:tcPr>
            <w:tcW w:w="2174" w:type="dxa"/>
          </w:tcPr>
          <w:p w14:paraId="1B4A61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27.8.40 г.</w:t>
            </w:r>
          </w:p>
        </w:tc>
      </w:tr>
      <w:tr w:rsidR="007D5DF8" w:rsidRPr="00DB5D0D" w14:paraId="3839FC5A" w14:textId="77777777" w:rsidTr="00E543D0">
        <w:tc>
          <w:tcPr>
            <w:tcW w:w="5958" w:type="dxa"/>
          </w:tcPr>
          <w:p w14:paraId="1BFCD7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Вызватъ т. Гроховского для беседы по его материалам</w:t>
            </w:r>
          </w:p>
        </w:tc>
        <w:tc>
          <w:tcPr>
            <w:tcW w:w="2416" w:type="dxa"/>
          </w:tcPr>
          <w:p w14:paraId="4DE068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ЗОЛОТОЧУБ</w:t>
            </w:r>
          </w:p>
        </w:tc>
        <w:tc>
          <w:tcPr>
            <w:tcW w:w="2174" w:type="dxa"/>
          </w:tcPr>
          <w:p w14:paraId="3519C2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27.8.40 г. 18.00</w:t>
            </w:r>
          </w:p>
        </w:tc>
      </w:tr>
      <w:tr w:rsidR="007D5DF8" w:rsidRPr="00DB5D0D" w14:paraId="292FFBA7" w14:textId="77777777" w:rsidTr="00E543D0">
        <w:tc>
          <w:tcPr>
            <w:tcW w:w="5958" w:type="dxa"/>
          </w:tcPr>
          <w:p w14:paraId="2392EC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прежнюю работу Гроховского</w:t>
            </w:r>
          </w:p>
        </w:tc>
        <w:tc>
          <w:tcPr>
            <w:tcW w:w="2416" w:type="dxa"/>
          </w:tcPr>
          <w:p w14:paraId="568D81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ЗОЛОТОЧУБ</w:t>
            </w:r>
          </w:p>
        </w:tc>
        <w:tc>
          <w:tcPr>
            <w:tcW w:w="2174" w:type="dxa"/>
          </w:tcPr>
          <w:p w14:paraId="0DC066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w:t>
            </w:r>
          </w:p>
        </w:tc>
      </w:tr>
      <w:tr w:rsidR="007D5DF8" w:rsidRPr="00DB5D0D" w14:paraId="63A93A43" w14:textId="77777777" w:rsidTr="00E543D0">
        <w:tc>
          <w:tcPr>
            <w:tcW w:w="5958" w:type="dxa"/>
          </w:tcPr>
          <w:p w14:paraId="30D5F2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Обработка материала, представлен-ого т. Гроховским и добытым из других источников и составление заключения о материалах</w:t>
            </w:r>
          </w:p>
        </w:tc>
        <w:tc>
          <w:tcPr>
            <w:tcW w:w="2416" w:type="dxa"/>
          </w:tcPr>
          <w:p w14:paraId="1ABF92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члены комиссии по своей специаль</w:t>
            </w:r>
            <w:r w:rsidRPr="00DB5D0D">
              <w:rPr>
                <w:rFonts w:ascii="Times New Roman" w:hAnsi="Times New Roman"/>
                <w:color w:val="000000" w:themeColor="text1"/>
                <w:sz w:val="16"/>
                <w:szCs w:val="16"/>
              </w:rPr>
              <w:softHyphen/>
              <w:t>ности с привлечением специалистов</w:t>
            </w:r>
          </w:p>
        </w:tc>
        <w:tc>
          <w:tcPr>
            <w:tcW w:w="2174" w:type="dxa"/>
          </w:tcPr>
          <w:p w14:paraId="4258CC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 г.</w:t>
            </w:r>
          </w:p>
        </w:tc>
      </w:tr>
      <w:tr w:rsidR="007D5DF8" w:rsidRPr="00DB5D0D" w14:paraId="6E79ADDA" w14:textId="77777777" w:rsidTr="00E543D0">
        <w:tc>
          <w:tcPr>
            <w:tcW w:w="5958" w:type="dxa"/>
            <w:tcBorders>
              <w:bottom w:val="single" w:sz="12" w:space="0" w:color="auto"/>
            </w:tcBorders>
          </w:tcPr>
          <w:p w14:paraId="6E2D03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Составление общего заключения (докладной записки) о целесооб</w:t>
            </w:r>
            <w:r w:rsidRPr="00DB5D0D">
              <w:rPr>
                <w:rFonts w:ascii="Times New Roman" w:hAnsi="Times New Roman"/>
                <w:color w:val="000000" w:themeColor="text1"/>
                <w:sz w:val="16"/>
                <w:szCs w:val="16"/>
              </w:rPr>
              <w:softHyphen/>
              <w:t>разности использования предло-кений, выдвигаемых Гроховскии</w:t>
            </w:r>
          </w:p>
        </w:tc>
        <w:tc>
          <w:tcPr>
            <w:tcW w:w="2416" w:type="dxa"/>
            <w:tcBorders>
              <w:bottom w:val="single" w:sz="12" w:space="0" w:color="auto"/>
            </w:tcBorders>
          </w:tcPr>
          <w:p w14:paraId="4FE41D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Совместно все члены комиссии</w:t>
            </w:r>
          </w:p>
        </w:tc>
        <w:tc>
          <w:tcPr>
            <w:tcW w:w="2174" w:type="dxa"/>
            <w:tcBorders>
              <w:bottom w:val="single" w:sz="12" w:space="0" w:color="auto"/>
            </w:tcBorders>
          </w:tcPr>
          <w:p w14:paraId="7D562F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3.9.40 г.</w:t>
            </w:r>
          </w:p>
        </w:tc>
      </w:tr>
    </w:tbl>
    <w:p w14:paraId="4D0F6F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комиссии: ЗОЛОТОЧУБ (10516,2).</w:t>
      </w:r>
    </w:p>
    <w:p w14:paraId="643DB2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DF585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 для ведения работ в интересах НКАП по строительству в районе Куйбышева авиационных заводов №№ 122 и 295, а также моторостроительного завода №377 приказом НКВД было создано Управление особого строительства под руководством заместителя начальника ГУЛАГ старшего майора госбезопасности А.П. Лепилова (9056). Общая стоимость необходимых работ определялась в 130 млн. руб., включая все производственные и бытовые объекты (9057).</w:t>
      </w:r>
    </w:p>
    <w:p w14:paraId="3EFC738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5E88E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 на совещании у главного инженера НИИ-3 НКБ о состо</w:t>
      </w:r>
      <w:r w:rsidRPr="00DB5D0D">
        <w:rPr>
          <w:rFonts w:ascii="Times New Roman" w:hAnsi="Times New Roman"/>
          <w:color w:val="000000" w:themeColor="text1"/>
          <w:sz w:val="16"/>
          <w:szCs w:val="16"/>
        </w:rPr>
        <w:softHyphen/>
        <w:t>янии работ по изготовлению РБС-82 ситуацию восприняли не столь оптимистично. До присутствую</w:t>
      </w:r>
      <w:r w:rsidRPr="00DB5D0D">
        <w:rPr>
          <w:rFonts w:ascii="Times New Roman" w:hAnsi="Times New Roman"/>
          <w:color w:val="000000" w:themeColor="text1"/>
          <w:sz w:val="16"/>
          <w:szCs w:val="16"/>
        </w:rPr>
        <w:softHyphen/>
        <w:t>щих довели, что в начале года прошла отработка пороховых шашек «ро</w:t>
      </w:r>
      <w:r w:rsidRPr="00DB5D0D">
        <w:rPr>
          <w:rFonts w:ascii="Times New Roman" w:hAnsi="Times New Roman"/>
          <w:color w:val="000000" w:themeColor="text1"/>
          <w:sz w:val="16"/>
          <w:szCs w:val="16"/>
        </w:rPr>
        <w:softHyphen/>
        <w:t>зочка»» длиной 650 мм. Такой одношашечный РЗ был способен разогнать РБС-82 до максимальной скорости 500 м/с. Но поскольку поступивше</w:t>
      </w:r>
      <w:r w:rsidRPr="00DB5D0D">
        <w:rPr>
          <w:rFonts w:ascii="Times New Roman" w:hAnsi="Times New Roman"/>
          <w:color w:val="000000" w:themeColor="text1"/>
          <w:sz w:val="16"/>
          <w:szCs w:val="16"/>
        </w:rPr>
        <w:softHyphen/>
        <w:t>му на вооружение снаряду 50-мм броня оказалась вполне по силам, про</w:t>
      </w:r>
      <w:r w:rsidRPr="00DB5D0D">
        <w:rPr>
          <w:rFonts w:ascii="Times New Roman" w:hAnsi="Times New Roman"/>
          <w:color w:val="000000" w:themeColor="text1"/>
          <w:sz w:val="16"/>
          <w:szCs w:val="16"/>
        </w:rPr>
        <w:softHyphen/>
        <w:t>блема увеличения скорости боеприпаса уже потеряла актуальность. Для стрельбы снарядами РБС-82 со штатных пусковых установок, осна</w:t>
      </w:r>
      <w:r w:rsidRPr="00DB5D0D">
        <w:rPr>
          <w:rFonts w:ascii="Times New Roman" w:hAnsi="Times New Roman"/>
          <w:color w:val="000000" w:themeColor="text1"/>
          <w:sz w:val="16"/>
          <w:szCs w:val="16"/>
        </w:rPr>
        <w:softHyphen/>
        <w:t>щенных пиропистолетами, с положительным результатом отработали и одношашечные семиканальные РЗ длиной 550 мм с двумя пороховыми воспламенителями, расположенными по торцам.</w:t>
      </w:r>
    </w:p>
    <w:p w14:paraId="75A924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Далее речь пошла о недостатках РЗ из шашек семиканальной конфи</w:t>
      </w:r>
      <w:r w:rsidRPr="00DB5D0D">
        <w:rPr>
          <w:rFonts w:ascii="Times New Roman" w:hAnsi="Times New Roman"/>
          <w:color w:val="000000" w:themeColor="text1"/>
          <w:sz w:val="16"/>
          <w:szCs w:val="16"/>
        </w:rPr>
        <w:softHyphen/>
        <w:t>гурации, зафиксированных в ходе стендовых испытаний в декабре 1939 г. Среди них — «большой процент выброса остатков топлива и самопроиз</w:t>
      </w:r>
      <w:r w:rsidRPr="00DB5D0D">
        <w:rPr>
          <w:rFonts w:ascii="Times New Roman" w:hAnsi="Times New Roman"/>
          <w:color w:val="000000" w:themeColor="text1"/>
          <w:sz w:val="16"/>
          <w:szCs w:val="16"/>
        </w:rPr>
        <w:softHyphen/>
        <w:t>вольное затухание при температурах ниже 10 гр.». Однако в отчете Ю.А.Победоносцева от 9 апреля 1939 г. было зафиксировано, что отработку проходили одношашечныс РЗ типа «розочка» длиной 750 мм при лоложительных температурах, поскольку при -21 гр. порох продемонст</w:t>
      </w:r>
      <w:r w:rsidRPr="00DB5D0D">
        <w:rPr>
          <w:rFonts w:ascii="Times New Roman" w:hAnsi="Times New Roman"/>
          <w:color w:val="000000" w:themeColor="text1"/>
          <w:sz w:val="16"/>
          <w:szCs w:val="16"/>
        </w:rPr>
        <w:softHyphen/>
        <w:t>рировал неудовлетворительные результаты. Тогда же Победоносцев отметил, что шашки были некондиционными, и требуются их повторные испытания для «выяснения пригодности к работе в РО» (11402).</w:t>
      </w:r>
    </w:p>
    <w:p w14:paraId="74EEEE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D42B5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 состоялось совещание у главного инжене</w:t>
      </w:r>
      <w:r w:rsidRPr="00DB5D0D">
        <w:rPr>
          <w:rFonts w:ascii="Times New Roman" w:hAnsi="Times New Roman"/>
          <w:color w:val="000000" w:themeColor="text1"/>
          <w:sz w:val="16"/>
          <w:szCs w:val="16"/>
        </w:rPr>
        <w:softHyphen/>
        <w:t>ра НИИ-3 НКБ о состоянии работ по изготовлению РБС-82. В нем также участвовали начальник 3-го отдела НИИ-3 воепииженер 2 ранга Шварц, начальник 7-го отдела УА ВМФ военинженер 1 ранга Захаренко, начальник 2-го отделения 7-го отдела УА ВМФ военинженер 1 ранга Кукрос и районный инженер 4-го отдела УА военинженер 1 ран</w:t>
      </w:r>
      <w:r w:rsidRPr="00DB5D0D">
        <w:rPr>
          <w:rFonts w:ascii="Times New Roman" w:hAnsi="Times New Roman"/>
          <w:color w:val="000000" w:themeColor="text1"/>
          <w:sz w:val="16"/>
          <w:szCs w:val="16"/>
        </w:rPr>
        <w:softHyphen/>
        <w:t>га Малышев. Именно тогда А.Г.Костиков стал проталкивать свою идею о замене семиканальных пороховых РЗ с шашками типа «розоч</w:t>
      </w:r>
      <w:r w:rsidRPr="00DB5D0D">
        <w:rPr>
          <w:rFonts w:ascii="Times New Roman" w:hAnsi="Times New Roman"/>
          <w:color w:val="000000" w:themeColor="text1"/>
          <w:sz w:val="16"/>
          <w:szCs w:val="16"/>
        </w:rPr>
        <w:softHyphen/>
        <w:t>ка» и электровоспламенением на трехканальные пороха с воспламене</w:t>
      </w:r>
      <w:r w:rsidRPr="00DB5D0D">
        <w:rPr>
          <w:rFonts w:ascii="Times New Roman" w:hAnsi="Times New Roman"/>
          <w:color w:val="000000" w:themeColor="text1"/>
          <w:sz w:val="16"/>
          <w:szCs w:val="16"/>
        </w:rPr>
        <w:softHyphen/>
        <w:t>нием от пиропистолета. В итоге разработчики договорились с моряка</w:t>
      </w:r>
      <w:r w:rsidRPr="00DB5D0D">
        <w:rPr>
          <w:rFonts w:ascii="Times New Roman" w:hAnsi="Times New Roman"/>
          <w:color w:val="000000" w:themeColor="text1"/>
          <w:sz w:val="16"/>
          <w:szCs w:val="16"/>
        </w:rPr>
        <w:softHyphen/>
        <w:t>ми, что не позднее 10 сентября 1940 г. отработают систему зажигания РБС-82 от пиропистолета на штатных (укороченных) РО. А из общего заказа на 200 штук удлиненных РО изготовят 100 штук с электрически</w:t>
      </w:r>
      <w:r w:rsidRPr="00DB5D0D">
        <w:rPr>
          <w:rFonts w:ascii="Times New Roman" w:hAnsi="Times New Roman"/>
          <w:color w:val="000000" w:themeColor="text1"/>
          <w:sz w:val="16"/>
          <w:szCs w:val="16"/>
        </w:rPr>
        <w:softHyphen/>
        <w:t>ми контактами и шинами и оборудуют штатные пусковые контактами. Остальные 100 из заказанных РО изготовят с воспламенением РЗ от пиропистолстов (11402).</w:t>
      </w:r>
    </w:p>
    <w:p w14:paraId="532A4F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92A970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1F0D2E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ED8400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23 ав</w:t>
      </w:r>
      <w:r w:rsidRPr="00DB5D0D">
        <w:rPr>
          <w:rFonts w:ascii="Times New Roman" w:hAnsi="Times New Roman"/>
          <w:color w:val="000000" w:themeColor="text1"/>
          <w:sz w:val="16"/>
          <w:szCs w:val="16"/>
        </w:rPr>
        <w:softHyphen/>
        <w:t>густа 1940 г. СНК СССР утвердил решение Экономсовета «Об отмене ориентировочных цен на военную про</w:t>
      </w:r>
      <w:r w:rsidRPr="00DB5D0D">
        <w:rPr>
          <w:rFonts w:ascii="Times New Roman" w:hAnsi="Times New Roman"/>
          <w:color w:val="000000" w:themeColor="text1"/>
          <w:sz w:val="16"/>
          <w:szCs w:val="16"/>
        </w:rPr>
        <w:softHyphen/>
        <w:t>дукцию, вырабатываемую заводами наркоматов авиационной про</w:t>
      </w:r>
      <w:r w:rsidRPr="00DB5D0D">
        <w:rPr>
          <w:rFonts w:ascii="Times New Roman" w:hAnsi="Times New Roman"/>
          <w:color w:val="000000" w:themeColor="text1"/>
          <w:sz w:val="16"/>
          <w:szCs w:val="16"/>
        </w:rPr>
        <w:softHyphen/>
        <w:t>мышленности, вооружений, боеприпасов, тяжелого машиностро</w:t>
      </w:r>
      <w:r w:rsidRPr="00DB5D0D">
        <w:rPr>
          <w:rFonts w:ascii="Times New Roman" w:hAnsi="Times New Roman"/>
          <w:color w:val="000000" w:themeColor="text1"/>
          <w:sz w:val="16"/>
          <w:szCs w:val="16"/>
        </w:rPr>
        <w:softHyphen/>
        <w:t>ения, цветной металлургии и стройматериалов» возможности по</w:t>
      </w:r>
      <w:r w:rsidRPr="00DB5D0D">
        <w:rPr>
          <w:rFonts w:ascii="Times New Roman" w:hAnsi="Times New Roman"/>
          <w:color w:val="000000" w:themeColor="text1"/>
          <w:sz w:val="16"/>
          <w:szCs w:val="16"/>
        </w:rPr>
        <w:softHyphen/>
        <w:t>вышением цен исправить ошибки в планировании оказались ог</w:t>
      </w:r>
      <w:r w:rsidRPr="00DB5D0D">
        <w:rPr>
          <w:rFonts w:ascii="Times New Roman" w:hAnsi="Times New Roman"/>
          <w:color w:val="000000" w:themeColor="text1"/>
          <w:sz w:val="16"/>
          <w:szCs w:val="16"/>
        </w:rPr>
        <w:softHyphen/>
        <w:t>раниченными. Свое решение об отмене ориентировочных цен Экономсовет мотивировал тем, что, дескать, практика их приме</w:t>
      </w:r>
      <w:r w:rsidRPr="00DB5D0D">
        <w:rPr>
          <w:rFonts w:ascii="Times New Roman" w:hAnsi="Times New Roman"/>
          <w:color w:val="000000" w:themeColor="text1"/>
          <w:sz w:val="16"/>
          <w:szCs w:val="16"/>
        </w:rPr>
        <w:softHyphen/>
        <w:t>нения «приводит к безответственности поставщиков и создает возможность бесхозяйственного расходования средств» (ГАРФ ф 8418, оп. 24, д. 1449, л. 51) (1566).</w:t>
      </w:r>
    </w:p>
    <w:p w14:paraId="291C87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67CE1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 - Предложение А.П. Виноградова о необходимости поисков новых летучих соединений урана (кроме гексафторида UF6), необходимых для решения проблемы изотопного разделения урана (10549).</w:t>
      </w:r>
    </w:p>
    <w:p w14:paraId="3FF57A0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7581CD7" w14:textId="77777777" w:rsidR="005C6611" w:rsidRPr="00DB5D0D" w:rsidRDefault="005C661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 приемная комиссия в заключительном приемо-сдаточном акте указала, что мореходность катера Г-8 при состоянии моря до 5 баллов включительно и при скорости до 48 узлов вполне удовлетворительная; прочность катера удовлетворительная; скорость катера — при водоизмещении 29 т 48 узлов, а при водоизмещении 25,7 т 52 узла — является удовлетворительной.</w:t>
      </w:r>
    </w:p>
    <w:p w14:paraId="1A572EF6" w14:textId="77777777" w:rsidR="005C6611" w:rsidRPr="00DB5D0D" w:rsidRDefault="005C661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поиску вражеских кораблей, но все они закончились безрезультатно. А в ночь на 21 мая 1943 г. при попытке доставить боеприпасы на Малую землю Г-8 был атакован тремя германскими торпедными катерами, но его спасли сторожевые катера № 0016, 032 и 0141 (15117).</w:t>
      </w:r>
    </w:p>
    <w:p w14:paraId="1DB15874" w14:textId="77777777" w:rsidR="005C6611" w:rsidRPr="00DB5D0D" w:rsidRDefault="005C6611" w:rsidP="00DB5D0D">
      <w:pPr>
        <w:spacing w:after="0" w:line="240" w:lineRule="auto"/>
        <w:jc w:val="both"/>
        <w:rPr>
          <w:rFonts w:ascii="Times New Roman" w:hAnsi="Times New Roman"/>
          <w:color w:val="000000" w:themeColor="text1"/>
          <w:sz w:val="16"/>
          <w:szCs w:val="16"/>
        </w:rPr>
      </w:pPr>
    </w:p>
    <w:p w14:paraId="379B1F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 Приемная комиссия в заключительном приемо-сдаточном акте указала, что мореходность катера Г-8 при состоянии моря до 5 баллов включительно и при ско</w:t>
      </w:r>
      <w:r w:rsidRPr="00DB5D0D">
        <w:rPr>
          <w:rFonts w:ascii="Times New Roman" w:hAnsi="Times New Roman"/>
          <w:color w:val="000000" w:themeColor="text1"/>
          <w:sz w:val="16"/>
          <w:szCs w:val="16"/>
        </w:rPr>
        <w:softHyphen/>
        <w:t>рости до 48 узлов вполне удовлетворительная; прочность ка</w:t>
      </w:r>
      <w:r w:rsidRPr="00DB5D0D">
        <w:rPr>
          <w:rFonts w:ascii="Times New Roman" w:hAnsi="Times New Roman"/>
          <w:color w:val="000000" w:themeColor="text1"/>
          <w:sz w:val="16"/>
          <w:szCs w:val="16"/>
        </w:rPr>
        <w:softHyphen/>
        <w:t>тера удовлетворительная; скорость катера — при водоизмеще</w:t>
      </w:r>
      <w:r w:rsidRPr="00DB5D0D">
        <w:rPr>
          <w:rFonts w:ascii="Times New Roman" w:hAnsi="Times New Roman"/>
          <w:color w:val="000000" w:themeColor="text1"/>
          <w:sz w:val="16"/>
          <w:szCs w:val="16"/>
        </w:rPr>
        <w:softHyphen/>
        <w:t>нии 29 т 48 узлов, а при водоизмещении 25,7 т 52 узла —яв</w:t>
      </w:r>
      <w:r w:rsidRPr="00DB5D0D">
        <w:rPr>
          <w:rFonts w:ascii="Times New Roman" w:hAnsi="Times New Roman"/>
          <w:color w:val="000000" w:themeColor="text1"/>
          <w:sz w:val="16"/>
          <w:szCs w:val="16"/>
        </w:rPr>
        <w:softHyphen/>
        <w:t>ляется удовлетворительной (10675).</w:t>
      </w:r>
    </w:p>
    <w:p w14:paraId="551DD8C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511FD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 катер Г-8 прошел государственные испытания, которые наачлись с 20 августа 1939 г. (10675).</w:t>
      </w:r>
    </w:p>
    <w:p w14:paraId="4E35C0C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309622" w14:textId="77777777" w:rsidR="006D2834" w:rsidRPr="00DB5D0D" w:rsidRDefault="006D2834"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05FC9762" w14:textId="77777777" w:rsidR="006D2834" w:rsidRPr="00DB5D0D" w:rsidRDefault="006D2834" w:rsidP="00DB5D0D">
      <w:pPr>
        <w:spacing w:after="0" w:line="240" w:lineRule="auto"/>
        <w:jc w:val="both"/>
        <w:rPr>
          <w:rFonts w:ascii="Times New Roman" w:hAnsi="Times New Roman"/>
          <w:iCs/>
          <w:color w:val="000000" w:themeColor="text1"/>
          <w:sz w:val="16"/>
          <w:szCs w:val="16"/>
        </w:rPr>
      </w:pPr>
    </w:p>
    <w:p w14:paraId="464835FC" w14:textId="77777777" w:rsidR="006D2834" w:rsidRPr="00DB5D0D" w:rsidRDefault="006D2834" w:rsidP="00DB5D0D">
      <w:pPr>
        <w:spacing w:after="0" w:line="240" w:lineRule="auto"/>
        <w:jc w:val="both"/>
        <w:rPr>
          <w:rFonts w:ascii="Times New Roman" w:hAnsi="Times New Roman"/>
          <w:color w:val="000000" w:themeColor="text1"/>
          <w:sz w:val="16"/>
          <w:szCs w:val="16"/>
          <w:shd w:val="clear" w:color="auto" w:fill="FFFFFF"/>
        </w:rPr>
      </w:pPr>
      <w:r w:rsidRPr="00DB5D0D">
        <w:rPr>
          <w:rFonts w:ascii="Times New Roman" w:hAnsi="Times New Roman"/>
          <w:color w:val="000000" w:themeColor="text1"/>
          <w:sz w:val="16"/>
          <w:szCs w:val="16"/>
          <w:shd w:val="clear" w:color="auto" w:fill="FFFFFF"/>
        </w:rPr>
        <w:t>23 августа 1940</w:t>
      </w:r>
    </w:p>
    <w:p w14:paraId="5B4BE4E7"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Цены на плодово-овощную продукцию по г.Саратову с 23 августа 1940 г. Важное уточнение: это цены </w:t>
      </w:r>
      <w:r w:rsidRPr="00DB5D0D">
        <w:rPr>
          <w:rFonts w:ascii="Times New Roman" w:hAnsi="Times New Roman"/>
          <w:bCs/>
          <w:color w:val="000000" w:themeColor="text1"/>
          <w:sz w:val="16"/>
          <w:szCs w:val="16"/>
          <w:shd w:val="clear" w:color="auto" w:fill="FFFFFF"/>
        </w:rPr>
        <w:t>на стандартную продукцию 1-го сорта.</w:t>
      </w:r>
      <w:r w:rsidRPr="00DB5D0D">
        <w:rPr>
          <w:rFonts w:ascii="Times New Roman" w:hAnsi="Times New Roman"/>
          <w:color w:val="000000" w:themeColor="text1"/>
          <w:sz w:val="16"/>
          <w:szCs w:val="16"/>
          <w:shd w:val="clear" w:color="auto" w:fill="FFFFFF"/>
        </w:rPr>
        <w:t> </w:t>
      </w:r>
      <w:r w:rsidRPr="00DB5D0D">
        <w:rPr>
          <w:rFonts w:ascii="Times New Roman" w:hAnsi="Times New Roman"/>
          <w:bCs/>
          <w:color w:val="000000" w:themeColor="text1"/>
          <w:sz w:val="16"/>
          <w:szCs w:val="16"/>
          <w:shd w:val="clear" w:color="auto" w:fill="FFFFFF"/>
        </w:rPr>
        <w:t>2-ой сорт дешевле, нестандарт существенно дешевле</w:t>
      </w:r>
      <w:r w:rsidRPr="00DB5D0D">
        <w:rPr>
          <w:rFonts w:ascii="Times New Roman" w:hAnsi="Times New Roman"/>
          <w:color w:val="000000" w:themeColor="text1"/>
          <w:sz w:val="16"/>
          <w:szCs w:val="16"/>
          <w:shd w:val="clear" w:color="auto" w:fill="FFFFFF"/>
        </w:rPr>
        <w:t>. Соответственно и для наших дней я буду брать цену на продукцию отличного качества. Цены выписаны из архивного дела Сектора товарооборота управления статистики Саратовской области при Уполномоченном Госплана СССР. В рублях за кг, если не указано иное.</w:t>
      </w:r>
    </w:p>
    <w:p w14:paraId="09996264"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Лук зеленый 1 руб.</w:t>
      </w:r>
    </w:p>
    <w:p w14:paraId="5C603C17"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Лук батун 0,8</w:t>
      </w:r>
    </w:p>
    <w:p w14:paraId="72EE2D2C"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Редис 1,5</w:t>
      </w:r>
    </w:p>
    <w:p w14:paraId="3647E3A0"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Укроп 0,75</w:t>
      </w:r>
    </w:p>
    <w:p w14:paraId="7EF447AA"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Петрушка 1,5</w:t>
      </w:r>
    </w:p>
    <w:p w14:paraId="7C6E3D17"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Салат и шпинат 1</w:t>
      </w:r>
    </w:p>
    <w:p w14:paraId="2C2A90C5"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Горох на лопатку 0,7</w:t>
      </w:r>
    </w:p>
    <w:p w14:paraId="7800A151"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Картофель ранний 1,5 (падает осенью до 0.65 руб.)</w:t>
      </w:r>
    </w:p>
    <w:p w14:paraId="4B3992C4"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Капуста ранняя 0,8</w:t>
      </w:r>
    </w:p>
    <w:p w14:paraId="7AC04A3B"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Морковь обрезная 0,8</w:t>
      </w:r>
    </w:p>
    <w:p w14:paraId="3DECC241"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Свекла обрезная 0,6</w:t>
      </w:r>
    </w:p>
    <w:p w14:paraId="3EE5052A"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Огурцы свежие 0,55</w:t>
      </w:r>
    </w:p>
    <w:p w14:paraId="7303F605"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Помидоры 1,5</w:t>
      </w:r>
    </w:p>
    <w:p w14:paraId="7A020EE1"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Лук репчатый 1,2</w:t>
      </w:r>
    </w:p>
    <w:p w14:paraId="3C01D1B0"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Слива 4</w:t>
      </w:r>
    </w:p>
    <w:p w14:paraId="2CD621D5"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Торнослив 3,4</w:t>
      </w:r>
    </w:p>
    <w:p w14:paraId="2DDCBA80"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Черная смородина 3,5</w:t>
      </w:r>
    </w:p>
    <w:p w14:paraId="07EB9D57"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Красная смородина 2</w:t>
      </w:r>
    </w:p>
    <w:p w14:paraId="74FFC81A"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Крыжовник 2</w:t>
      </w:r>
    </w:p>
    <w:p w14:paraId="13AC81D0"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Вишня 2,5</w:t>
      </w:r>
    </w:p>
    <w:p w14:paraId="5BFCBF7C"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Чеснок 3,5</w:t>
      </w:r>
    </w:p>
    <w:p w14:paraId="0A4AD75C"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Кабачки 0,2</w:t>
      </w:r>
    </w:p>
    <w:p w14:paraId="743499B1"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Баклажаны 0,6</w:t>
      </w:r>
    </w:p>
    <w:p w14:paraId="20F92120"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Перец сладкий 0,7</w:t>
      </w:r>
    </w:p>
    <w:p w14:paraId="10788BFD"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Виноград ранний 6,5</w:t>
      </w:r>
    </w:p>
    <w:p w14:paraId="7B9F27B2"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Арбузы и дыни 1.</w:t>
      </w:r>
    </w:p>
    <w:p w14:paraId="23C2E01C"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Чуть ранее в сезон с 25 июля стоили:</w:t>
      </w:r>
    </w:p>
    <w:p w14:paraId="061C632C"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Земляника 4</w:t>
      </w:r>
    </w:p>
    <w:p w14:paraId="0A155007"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Черешня-морель 2</w:t>
      </w:r>
    </w:p>
    <w:p w14:paraId="6EABC321"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Малина 4,5</w:t>
      </w:r>
    </w:p>
    <w:p w14:paraId="4E69B7BB"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Советские мандарины — в зависимости от размера от 0,1 до 0,6 руб. за одну штуку.</w:t>
      </w:r>
    </w:p>
    <w:p w14:paraId="48BA6CC1"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Осенние цены на фрукты:</w:t>
      </w:r>
    </w:p>
    <w:p w14:paraId="32EB1090"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Яблоки: от 4,3 до 8 (местные-привозные)</w:t>
      </w:r>
    </w:p>
    <w:p w14:paraId="7EE74617"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Груши: 8-10</w:t>
      </w:r>
    </w:p>
    <w:p w14:paraId="0978E223"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Айва: 3,5</w:t>
      </w:r>
    </w:p>
    <w:p w14:paraId="7D87FCE7"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Гранат 5</w:t>
      </w:r>
    </w:p>
    <w:p w14:paraId="64FE1FDA"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shd w:val="clear" w:color="auto" w:fill="FFFFFF"/>
        </w:rPr>
        <w:t>Виноград 6-8</w:t>
      </w:r>
    </w:p>
    <w:p w14:paraId="0418EACE" w14:textId="77777777" w:rsidR="006D2834" w:rsidRPr="00DB5D0D" w:rsidRDefault="006D2834"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(19653).</w:t>
      </w:r>
    </w:p>
    <w:p w14:paraId="4AF496EF" w14:textId="77777777" w:rsidR="006D2834" w:rsidRPr="00DB5D0D" w:rsidRDefault="006D2834" w:rsidP="00DB5D0D">
      <w:pPr>
        <w:spacing w:after="0" w:line="240" w:lineRule="auto"/>
        <w:jc w:val="both"/>
        <w:rPr>
          <w:rFonts w:ascii="Times New Roman" w:hAnsi="Times New Roman"/>
          <w:color w:val="000000" w:themeColor="text1"/>
          <w:sz w:val="16"/>
          <w:szCs w:val="16"/>
        </w:rPr>
      </w:pPr>
    </w:p>
    <w:p w14:paraId="244F2E3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0CAC89D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23198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в Правде была одобрительная статья в честь годовщины подписания советско-немецкого пакта (2536,149).</w:t>
      </w:r>
    </w:p>
    <w:p w14:paraId="53AB05E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30F28C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79CC97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4E9AC47" w14:textId="77777777" w:rsidR="002D432D" w:rsidRPr="00DB5D0D" w:rsidRDefault="002D43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23 августа в 1940 году взлетел второй прототип («ММ.502») самолета разведчика </w:t>
      </w:r>
      <w:hyperlink r:id="rId298" w:tgtFrame="_blank" w:history="1">
        <w:r w:rsidRPr="00DB5D0D">
          <w:rPr>
            <w:rFonts w:ascii="Times New Roman" w:hAnsi="Times New Roman"/>
            <w:color w:val="000000" w:themeColor="text1"/>
            <w:sz w:val="16"/>
            <w:szCs w:val="16"/>
          </w:rPr>
          <w:t xml:space="preserve">«Caproni» «Ca.134». </w:t>
        </w:r>
      </w:hyperlink>
      <w:r w:rsidRPr="00DB5D0D">
        <w:rPr>
          <w:rFonts w:ascii="Times New Roman" w:hAnsi="Times New Roman"/>
          <w:color w:val="000000" w:themeColor="text1"/>
          <w:sz w:val="16"/>
          <w:szCs w:val="16"/>
        </w:rPr>
        <w:t>Самолет разведчик «Caproni» «Ca.134» был построен в 1937 году по спецификации «Ricognitore Strategico Terrestre 36». Он представлял собой цельнометаллический биплан оборудованный двигателем «Isotta Fraschini» «Asso XI». «RC.40» мощностью 900 л.с. Вооружение самолета состояло из 12.7-мм пулемета направленного вперед и одного 7.7-м пулемета на турели у наблюдателя. Первый полет прототипа самолета («ММ.330») состоялся 23 января 1937 года. Испытания самолета продолжались целых два года, а затем был заказан второй прототип. Больше о судьбе этого самолета ничего не известно (14991).</w:t>
      </w:r>
    </w:p>
    <w:p w14:paraId="0382F5AA" w14:textId="77777777" w:rsidR="002D432D" w:rsidRPr="00DB5D0D" w:rsidRDefault="002D432D" w:rsidP="00DB5D0D">
      <w:pPr>
        <w:spacing w:after="0" w:line="240" w:lineRule="auto"/>
        <w:jc w:val="both"/>
        <w:rPr>
          <w:rFonts w:ascii="Times New Roman" w:hAnsi="Times New Roman"/>
          <w:color w:val="000000" w:themeColor="text1"/>
          <w:sz w:val="16"/>
          <w:szCs w:val="16"/>
        </w:rPr>
      </w:pPr>
    </w:p>
    <w:p w14:paraId="52173460" w14:textId="77777777" w:rsidR="002D432D" w:rsidRPr="00DB5D0D" w:rsidRDefault="002D43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в 1940 году из-за навигационной ошибки самолёты Люфтваффе сбросили бомбы на жилые кварталы Лондона, повреждена церковь Сэнт Джайлс постройки 1090-го года. Берлин не успевает извиниться: разъярённые королевские ВВС наносят удар по немецкой столице. В ответ Гитлер и Геринг санкционируют начало полномасштабных воздушных ударов по гражданским объектам английских городов - по мнению историков крупнейшая ошибка Гитлера, не позволившая ему завоевать близкую к капитуляции Англию и втянувшая в войну США (14991).</w:t>
      </w:r>
    </w:p>
    <w:p w14:paraId="5F413ADD" w14:textId="77777777" w:rsidR="002D432D" w:rsidRPr="00DB5D0D" w:rsidRDefault="002D432D" w:rsidP="00DB5D0D">
      <w:pPr>
        <w:spacing w:after="0" w:line="240" w:lineRule="auto"/>
        <w:jc w:val="both"/>
        <w:rPr>
          <w:rFonts w:ascii="Times New Roman" w:hAnsi="Times New Roman"/>
          <w:color w:val="000000" w:themeColor="text1"/>
          <w:sz w:val="16"/>
          <w:szCs w:val="16"/>
        </w:rPr>
      </w:pPr>
    </w:p>
    <w:p w14:paraId="647C11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23 августа 1940 состоялся первый массированный налет на Лондон (74,142).</w:t>
      </w:r>
    </w:p>
    <w:p w14:paraId="06A5B36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E02D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23/24 августа 1940 был первый немецкий налет на центральную часть Лондона (1797). Это был случайный налет и бомбардировщики просто не нашли цели, а приказа не было (2240).</w:t>
      </w:r>
    </w:p>
    <w:p w14:paraId="3C4F40E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778D8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23-24 августа 1940 погода над Ла-Маншем позволила Г.Герингу возобновить воздушное наступление. Из-за ошибки вместо аэродромов и заводов ударили по центру Лондона (2536,149).</w:t>
      </w:r>
    </w:p>
    <w:p w14:paraId="0220E00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3F139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8DF06F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F1ACE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Зам. НКАП П.Вороин писал Зам. Нач. УВВС КА г-л Рычагову письмо N Н-36/1651 на N 507689с по вопросу доводки ДБ-3Ф:</w:t>
      </w:r>
    </w:p>
    <w:p w14:paraId="72823A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решением Правительства от 26 июля с.г. N 335сс заводам 18, 39 и 126 установлена увеличенная программа по выпуску боевых машин, а также внедрению новых типов самолетов, однако, для доводки ДБ-3Ф заводу 39 и ГК С.В.И., даны указания проработать возможность доводки указанной машины согласно Ваших требований.</w:t>
      </w:r>
    </w:p>
    <w:p w14:paraId="0904CB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этим сообщаю, что ДБ-3Ф завода 39 N 801 в настоящее время проходит гос. испытания в НИИ ВВС и на нем устранены дефекты, отмеченные в п. 4, 6, 7, 8, 15 и 17 в приложенной ведомости.</w:t>
      </w:r>
    </w:p>
    <w:p w14:paraId="17EDF1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разрешения всех вопросов, связанных с доводкой машины по устранению дефектов, ПГУ будет созвано совещание с представителями ГУАС КА.</w:t>
      </w:r>
    </w:p>
    <w:p w14:paraId="1E512F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совещания для высылки представителя будет Вам дополнительно сообщен." (1272,219).</w:t>
      </w:r>
    </w:p>
    <w:p w14:paraId="2B8A2DF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F11B4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года в НИИ ВВС закончились гос. испытания самолета ДБ3Ф-2М88 с ВИШ-23 за № 39801 эталона второй половины 1940 года, которые проходили с 16 июля 1940</w:t>
      </w:r>
    </w:p>
    <w:p w14:paraId="1537D1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197B0B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2 отделения 1 отдела НИИ ВВС в/инженер 1 ранга Марков И.В.</w:t>
      </w:r>
    </w:p>
    <w:p w14:paraId="2085CB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НИИ ВВС в/инженер 2 ранга Кокорин Н.М.</w:t>
      </w:r>
    </w:p>
    <w:p w14:paraId="47D556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Летчик-испытатель капитан Сыроегин А.Л.</w:t>
      </w:r>
    </w:p>
    <w:p w14:paraId="5E5EFE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7D4D06F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Снять летные характеристики самолета ДБ3Ф-2М88 с ВИШ-23 за № 39801 со стрелковыми установками МВ-2 и МВ-3 и с СУ-ДБ3.</w:t>
      </w:r>
    </w:p>
    <w:p w14:paraId="0F10F52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винтомоторной группы самолета ДБ3Ф с 2М88 и ВИШ-23 с улучшенной ВМГ.</w:t>
      </w:r>
    </w:p>
    <w:p w14:paraId="189A386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стрелкового и бомбардировочного вооружения.</w:t>
      </w:r>
    </w:p>
    <w:p w14:paraId="6F71BF3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спецоборудования в дневных условиях.</w:t>
      </w:r>
    </w:p>
    <w:p w14:paraId="79C0D8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Заводом № 39 предъявлен на испытание в качестве образца для строительства самолетов 2-й половины 1940 года самолет ДБ3Ф-2М88 с ВИШ-23 за № 390801. Самолет № 390801 отличается от ранее испытанных самолетов ДБ3Ф-2М88 рядом улучшений:</w:t>
      </w:r>
    </w:p>
    <w:p w14:paraId="764AF3A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планеру самолета. Клепка крыла и фюзеляжа произведена впотай. Улучшена укладка плексигласа – в носовой части фюзеляжа – кабина штурмана. Передняя часть колпака летчика остеклена гнутым плексигласом взамен плоского. Установлен убирающийся в полете костыль. Масляные радиаторы убраны вовнутрь передней кромки крыла. Самолет окрашен по шпаклевке эмалевой краской: сверху темно зеленой, снизу – светло голубой.</w:t>
      </w:r>
    </w:p>
    <w:p w14:paraId="34719E1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капотированию моторов. Вместо капотов типа "Ф" с уменьшенным входным сечением, установлены капоты типа "Б" с входным сечением большим, чем у капота "Ф". Всасывающий патрубок капота "Б" удлинен до переднего обреза кольца "NACA". Управление юбками капота установлено механическое, вместо гидравлического.</w:t>
      </w:r>
    </w:p>
    <w:p w14:paraId="05CAA52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системе воздушно-масляного охлаждения. На самолете поставлены 2 восьмидюймовых радиатора на мотор. Горячее масло, поступившее для охлаждения в радиаторы из мотора движется навстречу потока воздуха.</w:t>
      </w:r>
    </w:p>
    <w:p w14:paraId="4A2ED057" w14:textId="77777777" w:rsidR="003C7E8B" w:rsidRPr="00DB5D0D" w:rsidRDefault="003C7E8B" w:rsidP="00DB5D0D">
      <w:pPr>
        <w:pStyle w:val="24"/>
        <w:widowControl/>
        <w:rPr>
          <w:color w:val="000000" w:themeColor="text1"/>
        </w:rPr>
      </w:pPr>
      <w:r w:rsidRPr="00DB5D0D">
        <w:rPr>
          <w:color w:val="000000" w:themeColor="text1"/>
        </w:rPr>
        <w:t>Масло сперва поступает в радиатор, расположенный ближе к мотору, из этого радиатора в другой, расположенный дальше от мотора. Воздух, поступивший для охлаждения масла, в первую очередь проходит через соты радиатора, удаленного от мотора и потом только попадает в радиатор, расположенный ближе к мотору.</w:t>
      </w:r>
    </w:p>
    <w:p w14:paraId="00FB672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спецоборудованию. В основном электрооборудование изменено в части устранения дефектов, указанных ранее в отчетах по испытаниям самолета ДБ3Ф. Кроме того, установлен фотоаппарат "АФА-Б" и кассеты под парашютные ракеты "КАС-8".</w:t>
      </w:r>
    </w:p>
    <w:p w14:paraId="47B1434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вооружению. Установлены стрелковые установки МВ-2 и МВ-3 вместо СУ и ДУ.</w:t>
      </w:r>
    </w:p>
    <w:p w14:paraId="766F85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38 дней, из них летных испытаний 13 дней</w:t>
      </w:r>
    </w:p>
    <w:p w14:paraId="2F5A37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полетов – 29 общей продолжительностью 28 час. 37 мин, из них 8 полетов свыше 8000 м</w:t>
      </w:r>
    </w:p>
    <w:p w14:paraId="32FE40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полетов вне плана по программе испытаний взлетов на 2-й скорости нагнетателя – 26 полетов продолжительностью 4 часа 33 мин.</w:t>
      </w:r>
    </w:p>
    <w:p w14:paraId="5EFEDA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произведено полетов за 38 дней – 55, продолжительностью 33 час. 10 мин.</w:t>
      </w:r>
    </w:p>
    <w:p w14:paraId="71FF2D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659314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 летно-тактическим данным</w:t>
      </w:r>
    </w:p>
    <w:p w14:paraId="56742C7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максимальные горизонтальные скорости полета самолета ДБ3Ф-2М88 с ВИШ-23 со стрелковыми установками СУ-ДБ3 и ЛУ-ДБ3 получены:</w:t>
      </w:r>
    </w:p>
    <w:p w14:paraId="41DB3F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на испытываемом самолете-эталоне второй половины 1940 года 448 км/час на Н=6700 м;</w:t>
      </w:r>
    </w:p>
    <w:p w14:paraId="1325C2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на серийном самолете первой половины 1940 года 425 км/час на Н=6200 м, т.е. получаем на эталоне прирост скорости на 23 км/час и высотности мотора на самолете на 500 м.</w:t>
      </w:r>
    </w:p>
    <w:p w14:paraId="2AAD653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Увеличение скорости полета самолета на 23 км/час произошло за счет:</w:t>
      </w:r>
    </w:p>
    <w:p w14:paraId="590FE5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улучшения всасывающей системы капота "Б";</w:t>
      </w:r>
    </w:p>
    <w:p w14:paraId="51D27B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нового расположения воздушно-масляных радиаторов, вписывающихся в габариты крыла и лучшей отделки фюзеляжа и крыла.</w:t>
      </w:r>
    </w:p>
    <w:p w14:paraId="12C9D02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Максимальные горизонтальные скорости полета самолета ДБ3Ф-2М88 с ВИШ-23 эталона второй половины 1940 года на высоте 6700 м, получены:</w:t>
      </w:r>
    </w:p>
    <w:p w14:paraId="6342CF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 СУ-ДБ3 и ЛУ-ДБ3 в боевом положении – 448 км/час</w:t>
      </w:r>
    </w:p>
    <w:p w14:paraId="15173E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 МВ-2 и МВ-3 в боевом положении – 429 км/час</w:t>
      </w:r>
    </w:p>
    <w:p w14:paraId="37C193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 уменьшение скорости для боевого положения за счет замены СУ-ДБ3 и ЛУ-ДБ3 на МВ-2 и МВ-3 соответствует 19 км/час, из которых за счет:</w:t>
      </w:r>
    </w:p>
    <w:p w14:paraId="18516F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МВ-2 – на 6 км/час</w:t>
      </w:r>
    </w:p>
    <w:p w14:paraId="0723FE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Мв-3 – на 13 км/час</w:t>
      </w:r>
    </w:p>
    <w:p w14:paraId="0AE3671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самолета эталона второй половины 1940 года с моторами М-88 с стрелковыми установками СУ и ЛУ, получено:</w:t>
      </w:r>
    </w:p>
    <w:p w14:paraId="50F6ED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5000 м – 10, 54 мин.</w:t>
      </w:r>
    </w:p>
    <w:p w14:paraId="2C140C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практического потолка – 40 мин.</w:t>
      </w:r>
    </w:p>
    <w:p w14:paraId="1828AB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практического потолка – 10000 м</w:t>
      </w:r>
    </w:p>
    <w:p w14:paraId="6B3CE3C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этого же самолета, но со стрелковыми установками МВ02 и МВ-3:</w:t>
      </w:r>
    </w:p>
    <w:p w14:paraId="19FBF7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5000 м</w:t>
      </w:r>
    </w:p>
    <w:p w14:paraId="724953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практического потолка</w:t>
      </w:r>
    </w:p>
    <w:p w14:paraId="0203FC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практического потолка – 9700 м</w:t>
      </w:r>
    </w:p>
    <w:p w14:paraId="6E053D3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походном положении МВ-2 убирается полностью вовнутрь фюзеляжа и тогда самолет увеличивает максимальную скорость полета на 6 км/час.</w:t>
      </w:r>
    </w:p>
    <w:p w14:paraId="5A0AB93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Влияние на изменение максимальных скоростей полета от положения турели СУ в походном и боевом положении – не обнаружено в практических полетах на самолете ДБ3Ф на всем диапазоне высот.</w:t>
      </w:r>
    </w:p>
    <w:p w14:paraId="6870F13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самолета увеличился на 51 кг за счет установки:</w:t>
      </w:r>
    </w:p>
    <w:p w14:paraId="4FE28A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убирающегося костыля с механическим управлением</w:t>
      </w:r>
    </w:p>
    <w:p w14:paraId="40DD6B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оборудования под фотоаппарат АФА-Б</w:t>
      </w:r>
    </w:p>
    <w:p w14:paraId="098028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кассет "КАС-8"</w:t>
      </w:r>
    </w:p>
    <w:p w14:paraId="14A14B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окраски и шпаклевки самолета</w:t>
      </w:r>
    </w:p>
    <w:p w14:paraId="0AE2B42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Пилотирование самолета осталось одинаковым с ранее испытанными самолетами ДБ3Ф, за исключением того, что при повороте пулемета на стрелковой установке МВ-2 в ту или иную сторону, самолет ходит по горизонту, создавая крен до 3 градусов. Этот крен легко парируется рулем поворота.</w:t>
      </w:r>
    </w:p>
    <w:p w14:paraId="3625FBA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отклонении юбок капотов выше линии капотов более чем на 5-10 градусов в горизонтальном полете и особенно на разворотах и виражах, вибрирует хвостовое оперение.</w:t>
      </w:r>
    </w:p>
    <w:p w14:paraId="6A3349E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Благодаря убиранию хвостового колеса увеличились углы обстрела из МВ-2 вверх по оси самолета на 5 градусов.</w:t>
      </w:r>
    </w:p>
    <w:p w14:paraId="4CA7B4E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Механическое управление убирающимся хвостовым колесом не отработано, так как запереть колесо в верхнем положении с мечта стрелка-радиста не всегда удается. Для запирания колеса лебедкой, расположенной на 34 раме, стрелку необходимо подлезать под лонжероны стабилизатора, для чего требуется снять парашют и вращать лебедку в положении лежа.</w:t>
      </w:r>
    </w:p>
    <w:p w14:paraId="58D4F2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 винтомоторной группе</w:t>
      </w:r>
    </w:p>
    <w:p w14:paraId="7C5EF27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Схема последовательного включения воздушно-масляных радиаторов и расположение их внутри крыла увеличило их эффективность по сравнению с установкой на серийных самолетах ДБ3Ф.</w:t>
      </w:r>
    </w:p>
    <w:p w14:paraId="6187CDC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Система охлаждения масла обеспечивает нормальную эксплуатацию моторов М-88 на всех режимах и видах полетов.</w:t>
      </w:r>
    </w:p>
    <w:p w14:paraId="31EE9839"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Капоты типа "Б" по температурным режимам практически одинаковы как и капоты типа "Ф" при всех видах и режимах полетов.</w:t>
      </w:r>
    </w:p>
    <w:p w14:paraId="29529461"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Высотность мотора М-88 на самолете ДБ3Ф с капотами типа "Б" равна 6700 м, т.е. на 500 м выше, чем с капотами "Ф".</w:t>
      </w:r>
    </w:p>
    <w:p w14:paraId="601326A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Обтекание крыла за ВМГ при наличии капотов "Б" происходит более плавно, без срывов, что улучшает поведение самолета на всех режимах полета.</w:t>
      </w:r>
    </w:p>
    <w:p w14:paraId="59BDBCB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удлинением всасывающего патрубка капота "Б", устраняется возможность засорения сетки карбюратора снегом и травой на взлете.</w:t>
      </w:r>
    </w:p>
    <w:p w14:paraId="5EFD843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Механическое управление юбками капотов лучше, чем гидравлическое, но требует много движений – 26-30 перехватов рукой, для открытия юбок из закрытого положения.</w:t>
      </w:r>
    </w:p>
    <w:p w14:paraId="3EC6BD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довести до 8-10 перехватов, без снижения легкости управления.</w:t>
      </w:r>
    </w:p>
    <w:p w14:paraId="696B35C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Газоанализаторы типа ГА-50 работали неудовлетворительно.</w:t>
      </w:r>
    </w:p>
    <w:p w14:paraId="50FC41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 стрелковому вооружению.</w:t>
      </w:r>
    </w:p>
    <w:p w14:paraId="7859984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стрелковая установка НУ-ДБ3Ф работает безотказно на всех скоростях и высотах. Установка обладает хорошей маневренностью и удобством эксплуатации.</w:t>
      </w:r>
    </w:p>
    <w:p w14:paraId="2033808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Недостатком прицела НУ-ДБ3Ф является невозможность учета собственной скорости самолета менее 400 км/час.</w:t>
      </w:r>
    </w:p>
    <w:p w14:paraId="72D5D55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Установленная экранированная турель МВ-3имеет ряд преимуществ в сравнении с турелью СУ-ДБ3 завода № 39:</w:t>
      </w:r>
    </w:p>
    <w:p w14:paraId="10673E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турель легко вращается на 360 градусов при всех скоростях самолета и на всех высотах;</w:t>
      </w:r>
    </w:p>
    <w:p w14:paraId="63CF0B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обеспечивает лучший маневр оружием в горизонтальной и вертикальной плоскостях;</w:t>
      </w:r>
    </w:p>
    <w:p w14:paraId="1909AD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стрелок полностью защищен от воздушного потока;</w:t>
      </w:r>
    </w:p>
    <w:p w14:paraId="235149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ведение стрельбы вниз облегчено за счет полного экранирования стрелка при всех возможных вертикальных углах стрельбы;</w:t>
      </w:r>
    </w:p>
    <w:p w14:paraId="008A5D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улучшает обзор и подход к МВ-2;</w:t>
      </w:r>
    </w:p>
    <w:p w14:paraId="573C56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при любом положении турели МВ-3, рации РСБ, пульт с ключом и приборы: часы, высотомер, указатель скорости, КПА-3 бис – не загораживаются патронным ящиком.</w:t>
      </w:r>
    </w:p>
    <w:p w14:paraId="40C6204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Стрелковая установка МВ-2 с оптическим прицелом ОП-2 имеет большое преимущество перед ранее установленной ЛУ-ДБ3, так как:</w:t>
      </w:r>
    </w:p>
    <w:p w14:paraId="0BD23F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усиливает оборону самолета от атак противника под хвост;</w:t>
      </w:r>
    </w:p>
    <w:p w14:paraId="1BCACD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установка позволяет вести огонь:</w:t>
      </w:r>
    </w:p>
    <w:p w14:paraId="4E4B4A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выше горизонта на +9 градусов, по вертикали строго по оси самолета от +4 градусов до – 62 градусов по горизонтали влево от оси самолета 25 градусов и вправо 30 градусов.</w:t>
      </w:r>
    </w:p>
    <w:p w14:paraId="397D9F0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сравнению с ЛУ-ДБ3 увеличивается обстрел в задней полусфере на 5,7%.</w:t>
      </w:r>
    </w:p>
    <w:p w14:paraId="234B906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требования в отчете по испытанию самолета ДБ3Ф № 204, пол в кабине стрелка-радиста не обеспечивает удобств для стрельбы лежа, вследствие чего для ведения огня с МВ-2 стрелку приходится очень сильно изгибать шею, что усугубляется отсутствием упоров для тела, как при стрельбе лежа, так и с колен.</w:t>
      </w:r>
    </w:p>
    <w:p w14:paraId="24EEF79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Установленная на 34-й раме шкворневая стрелковая установка под пулемет ШКАС калибра 7,62 мм имеет преимущество перед люковой установкой МВ-2 в том отношении, что она допускает непосредственный обзор задней полусферы. Окончательный вывод об установке дать нельзя, так как она не была полностью смонтирована.</w:t>
      </w:r>
    </w:p>
    <w:p w14:paraId="7E9C21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По бомбардировочному вооружению.</w:t>
      </w:r>
    </w:p>
    <w:p w14:paraId="46C6FBA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Бомбардировочное вооружение работает удовлетворительно.</w:t>
      </w:r>
    </w:p>
    <w:p w14:paraId="5AB0B46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увеличения вариантов загрузок бомбами ФАБ-100 и ФАБ-50 на замках Дер-19, установить переходники под бомбы ФАБ-100 и ФАБ-50 конструкции завода № 32.</w:t>
      </w:r>
    </w:p>
    <w:p w14:paraId="48055D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0D3B8E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ДБ-3ф 2М-88 № 390801 с винтом ВИШ-23, с пулеметными установками МВ2 и МВ3 в боевом положении – эталон второй половины 1940 года дал прирост максимальной скорости по сравнению с аналогичным серийным самолетом, но с расположением воздушно-масляных радиаторов в носке крыла – снаружи – 19 км/час.</w:t>
      </w:r>
    </w:p>
    <w:p w14:paraId="25692294"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Недоведенность мотора М-88, выявленная в процессе эксплуатации в строевых частях ВВС, в НИИ ВВС и на заводах НКАП самолетов с этими моторами, ставит вопрос о невозможности принятия самолета ДБ3Ф-2М-88 в качестве эталона на вторую половину 1940 года.</w:t>
      </w:r>
    </w:p>
    <w:p w14:paraId="4D60452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доводки мотора М-88 на выпускаемые самолеты ДБ3ф устанавливать моторы М-87Б.</w:t>
      </w:r>
    </w:p>
    <w:p w14:paraId="0148FA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Дефекты отмеченные настоящим отчетом по планеру самолета, вооружению и оборудованию подлежат устранению в очередных сериях.</w:t>
      </w:r>
    </w:p>
    <w:p w14:paraId="67B070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Прирост максимальной скорости полета самолета в 23 км/час, на самолете ДБ3ф с установками СУ и ЛУ и 19 км/час на самолете ДБ3ф с установками МВ2 и МВ3 в боевом положении, полученный в основном за счет нового расположения воздушно-масляных радиаторов делает целесообразным установку их на всех ранее выпущенных самолетах ДБ-3ф по образцу самолета ДБ-3ф 2М-88 № 390801, о чем необходимо возбудить ходатайство перед КО при СНК.</w:t>
      </w:r>
    </w:p>
    <w:p w14:paraId="76CA2E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108"/>
        <w:gridCol w:w="1256"/>
      </w:tblGrid>
      <w:tr w:rsidR="007D5DF8" w:rsidRPr="00DB5D0D" w14:paraId="1ECE445E" w14:textId="77777777" w:rsidTr="00E543D0">
        <w:tc>
          <w:tcPr>
            <w:tcW w:w="1809" w:type="dxa"/>
          </w:tcPr>
          <w:p w14:paraId="4569B6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7108" w:type="dxa"/>
          </w:tcPr>
          <w:p w14:paraId="038AA1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Краткое содержание работ </w:t>
            </w:r>
          </w:p>
        </w:tc>
        <w:tc>
          <w:tcPr>
            <w:tcW w:w="1256" w:type="dxa"/>
          </w:tcPr>
          <w:p w14:paraId="78598E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Продолжительность полета</w:t>
            </w:r>
          </w:p>
        </w:tc>
      </w:tr>
      <w:tr w:rsidR="007D5DF8" w:rsidRPr="00DB5D0D" w14:paraId="040DC8EE" w14:textId="77777777" w:rsidTr="00E543D0">
        <w:tc>
          <w:tcPr>
            <w:tcW w:w="1809" w:type="dxa"/>
          </w:tcPr>
          <w:p w14:paraId="6A218B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июля 1940 года</w:t>
            </w:r>
          </w:p>
        </w:tc>
        <w:tc>
          <w:tcPr>
            <w:tcW w:w="7108" w:type="dxa"/>
          </w:tcPr>
          <w:p w14:paraId="23E85D43"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r w:rsidRPr="00DB5D0D">
              <w:rPr>
                <w:rFonts w:ascii="Times New Roman" w:hAnsi="Times New Roman"/>
                <w:color w:val="000000" w:themeColor="text1"/>
                <w:sz w:val="16"/>
                <w:szCs w:val="16"/>
              </w:rPr>
              <w:tab/>
              <w:t>Проверка работы шасси.</w:t>
            </w:r>
          </w:p>
          <w:p w14:paraId="244E979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r w:rsidRPr="00DB5D0D">
              <w:rPr>
                <w:rFonts w:ascii="Times New Roman" w:hAnsi="Times New Roman"/>
                <w:color w:val="000000" w:themeColor="text1"/>
                <w:sz w:val="16"/>
                <w:szCs w:val="16"/>
              </w:rPr>
              <w:tab/>
              <w:t>Проверка работы костыля.</w:t>
            </w:r>
          </w:p>
          <w:p w14:paraId="761AB4A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r w:rsidRPr="00DB5D0D">
              <w:rPr>
                <w:rFonts w:ascii="Times New Roman" w:hAnsi="Times New Roman"/>
                <w:color w:val="000000" w:themeColor="text1"/>
                <w:sz w:val="16"/>
                <w:szCs w:val="16"/>
              </w:rPr>
              <w:tab/>
              <w:t>Полеты на опробывание аппаратуры, моторов и тренировка.</w:t>
            </w:r>
          </w:p>
        </w:tc>
        <w:tc>
          <w:tcPr>
            <w:tcW w:w="1256" w:type="dxa"/>
          </w:tcPr>
          <w:p w14:paraId="79905B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полетов</w:t>
            </w:r>
          </w:p>
          <w:p w14:paraId="321253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35 мин.</w:t>
            </w:r>
          </w:p>
        </w:tc>
      </w:tr>
      <w:tr w:rsidR="007D5DF8" w:rsidRPr="00DB5D0D" w14:paraId="53067C59" w14:textId="77777777" w:rsidTr="00E543D0">
        <w:tc>
          <w:tcPr>
            <w:tcW w:w="1809" w:type="dxa"/>
          </w:tcPr>
          <w:p w14:paraId="1FE215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w:t>
            </w:r>
          </w:p>
        </w:tc>
        <w:tc>
          <w:tcPr>
            <w:tcW w:w="7108" w:type="dxa"/>
          </w:tcPr>
          <w:p w14:paraId="3F57DF59" w14:textId="77777777" w:rsidR="003C7E8B" w:rsidRPr="00DB5D0D" w:rsidRDefault="003C7E8B" w:rsidP="00DB5D0D">
            <w:pPr>
              <w:pStyle w:val="24"/>
              <w:widowControl/>
              <w:tabs>
                <w:tab w:val="left" w:pos="360"/>
              </w:tabs>
              <w:rPr>
                <w:color w:val="000000" w:themeColor="text1"/>
              </w:rPr>
            </w:pPr>
            <w:r w:rsidRPr="00DB5D0D">
              <w:rPr>
                <w:color w:val="000000" w:themeColor="text1"/>
              </w:rPr>
              <w:t>1.</w:t>
            </w:r>
            <w:r w:rsidRPr="00DB5D0D">
              <w:rPr>
                <w:color w:val="000000" w:themeColor="text1"/>
              </w:rPr>
              <w:tab/>
              <w:t>Полет на скороподъемность и скорости по высотам с капотом "Б" и стрелковыми установками СУ и ЛУ.</w:t>
            </w:r>
          </w:p>
          <w:p w14:paraId="292031E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r w:rsidRPr="00DB5D0D">
              <w:rPr>
                <w:rFonts w:ascii="Times New Roman" w:hAnsi="Times New Roman"/>
                <w:color w:val="000000" w:themeColor="text1"/>
                <w:sz w:val="16"/>
                <w:szCs w:val="16"/>
              </w:rPr>
              <w:tab/>
              <w:t>Полет на километраж.</w:t>
            </w:r>
          </w:p>
        </w:tc>
        <w:tc>
          <w:tcPr>
            <w:tcW w:w="1256" w:type="dxa"/>
          </w:tcPr>
          <w:p w14:paraId="532712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55 мин.</w:t>
            </w:r>
          </w:p>
          <w:p w14:paraId="1D0B2E4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0FB48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15 мин.</w:t>
            </w:r>
          </w:p>
        </w:tc>
      </w:tr>
      <w:tr w:rsidR="007D5DF8" w:rsidRPr="00DB5D0D" w14:paraId="072222DC" w14:textId="77777777" w:rsidTr="00E543D0">
        <w:tc>
          <w:tcPr>
            <w:tcW w:w="1809" w:type="dxa"/>
          </w:tcPr>
          <w:p w14:paraId="3ADD33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7108" w:type="dxa"/>
          </w:tcPr>
          <w:p w14:paraId="530704EA" w14:textId="77777777" w:rsidR="003C7E8B" w:rsidRPr="00DB5D0D" w:rsidRDefault="003C7E8B" w:rsidP="00DB5D0D">
            <w:pPr>
              <w:pStyle w:val="24"/>
              <w:widowControl/>
              <w:tabs>
                <w:tab w:val="left" w:pos="360"/>
              </w:tabs>
              <w:rPr>
                <w:color w:val="000000" w:themeColor="text1"/>
              </w:rPr>
            </w:pPr>
            <w:r w:rsidRPr="00DB5D0D">
              <w:rPr>
                <w:color w:val="000000" w:themeColor="text1"/>
              </w:rPr>
              <w:t>1.</w:t>
            </w:r>
            <w:r w:rsidRPr="00DB5D0D">
              <w:rPr>
                <w:color w:val="000000" w:themeColor="text1"/>
              </w:rPr>
              <w:tab/>
              <w:t>Полет на скороподъемность и скорости по высотам.</w:t>
            </w:r>
          </w:p>
          <w:p w14:paraId="4F547852" w14:textId="77777777" w:rsidR="003C7E8B" w:rsidRPr="00DB5D0D" w:rsidRDefault="003C7E8B" w:rsidP="00DB5D0D">
            <w:pPr>
              <w:pStyle w:val="24"/>
              <w:widowControl/>
              <w:tabs>
                <w:tab w:val="left" w:pos="360"/>
              </w:tabs>
              <w:rPr>
                <w:color w:val="000000" w:themeColor="text1"/>
              </w:rPr>
            </w:pPr>
            <w:r w:rsidRPr="00DB5D0D">
              <w:rPr>
                <w:color w:val="000000" w:themeColor="text1"/>
              </w:rPr>
              <w:t>2.</w:t>
            </w:r>
            <w:r w:rsidRPr="00DB5D0D">
              <w:rPr>
                <w:color w:val="000000" w:themeColor="text1"/>
              </w:rPr>
              <w:tab/>
              <w:t>Полет на стабилизацию температур.</w:t>
            </w:r>
          </w:p>
        </w:tc>
        <w:tc>
          <w:tcPr>
            <w:tcW w:w="1256" w:type="dxa"/>
          </w:tcPr>
          <w:p w14:paraId="7698D0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час. 00 мин.</w:t>
            </w:r>
          </w:p>
          <w:p w14:paraId="5F84DD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45 мин.</w:t>
            </w:r>
          </w:p>
        </w:tc>
      </w:tr>
      <w:tr w:rsidR="007D5DF8" w:rsidRPr="00DB5D0D" w14:paraId="24B4CE6E" w14:textId="77777777" w:rsidTr="00E543D0">
        <w:tc>
          <w:tcPr>
            <w:tcW w:w="1809" w:type="dxa"/>
          </w:tcPr>
          <w:p w14:paraId="439FF6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7108" w:type="dxa"/>
          </w:tcPr>
          <w:p w14:paraId="6AB465FA" w14:textId="77777777" w:rsidR="003C7E8B" w:rsidRPr="00DB5D0D" w:rsidRDefault="003C7E8B" w:rsidP="00DB5D0D">
            <w:pPr>
              <w:pStyle w:val="24"/>
              <w:widowControl/>
              <w:tabs>
                <w:tab w:val="left" w:pos="360"/>
              </w:tabs>
              <w:rPr>
                <w:color w:val="000000" w:themeColor="text1"/>
              </w:rPr>
            </w:pPr>
            <w:r w:rsidRPr="00DB5D0D">
              <w:rPr>
                <w:color w:val="000000" w:themeColor="text1"/>
              </w:rPr>
              <w:t>1.</w:t>
            </w:r>
            <w:r w:rsidRPr="00DB5D0D">
              <w:rPr>
                <w:color w:val="000000" w:themeColor="text1"/>
              </w:rPr>
              <w:tab/>
              <w:t>Полет на километраж.</w:t>
            </w:r>
          </w:p>
          <w:p w14:paraId="25B92028" w14:textId="77777777" w:rsidR="003C7E8B" w:rsidRPr="00DB5D0D" w:rsidRDefault="003C7E8B" w:rsidP="00DB5D0D">
            <w:pPr>
              <w:pStyle w:val="24"/>
              <w:widowControl/>
              <w:tabs>
                <w:tab w:val="left" w:pos="360"/>
              </w:tabs>
              <w:rPr>
                <w:color w:val="000000" w:themeColor="text1"/>
              </w:rPr>
            </w:pPr>
            <w:r w:rsidRPr="00DB5D0D">
              <w:rPr>
                <w:color w:val="000000" w:themeColor="text1"/>
              </w:rPr>
              <w:t>2.</w:t>
            </w:r>
            <w:r w:rsidRPr="00DB5D0D">
              <w:rPr>
                <w:color w:val="000000" w:themeColor="text1"/>
              </w:rPr>
              <w:tab/>
              <w:t>Полет-перегонка на ЦА.</w:t>
            </w:r>
          </w:p>
        </w:tc>
        <w:tc>
          <w:tcPr>
            <w:tcW w:w="1256" w:type="dxa"/>
          </w:tcPr>
          <w:p w14:paraId="4A136D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07 мин.</w:t>
            </w:r>
          </w:p>
          <w:p w14:paraId="6659F9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мин.</w:t>
            </w:r>
          </w:p>
        </w:tc>
      </w:tr>
      <w:tr w:rsidR="007D5DF8" w:rsidRPr="00DB5D0D" w14:paraId="450C62F9" w14:textId="77777777" w:rsidTr="00E543D0">
        <w:tc>
          <w:tcPr>
            <w:tcW w:w="1809" w:type="dxa"/>
          </w:tcPr>
          <w:p w14:paraId="47600F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7108" w:type="dxa"/>
          </w:tcPr>
          <w:p w14:paraId="4B4CF962" w14:textId="77777777" w:rsidR="003C7E8B" w:rsidRPr="00DB5D0D" w:rsidRDefault="003C7E8B" w:rsidP="00DB5D0D">
            <w:pPr>
              <w:pStyle w:val="24"/>
              <w:widowControl/>
              <w:rPr>
                <w:color w:val="000000" w:themeColor="text1"/>
              </w:rPr>
            </w:pPr>
            <w:r w:rsidRPr="00DB5D0D">
              <w:rPr>
                <w:color w:val="000000" w:themeColor="text1"/>
              </w:rPr>
              <w:t>Полет-перегонка с ЦА в Чкаловскую.</w:t>
            </w:r>
          </w:p>
        </w:tc>
        <w:tc>
          <w:tcPr>
            <w:tcW w:w="1256" w:type="dxa"/>
          </w:tcPr>
          <w:p w14:paraId="630800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мин.</w:t>
            </w:r>
          </w:p>
        </w:tc>
      </w:tr>
      <w:tr w:rsidR="007D5DF8" w:rsidRPr="00DB5D0D" w14:paraId="400113E8" w14:textId="77777777" w:rsidTr="00E543D0">
        <w:tc>
          <w:tcPr>
            <w:tcW w:w="1809" w:type="dxa"/>
          </w:tcPr>
          <w:p w14:paraId="073DBF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7108" w:type="dxa"/>
          </w:tcPr>
          <w:p w14:paraId="66E591AF" w14:textId="77777777" w:rsidR="003C7E8B" w:rsidRPr="00DB5D0D" w:rsidRDefault="003C7E8B" w:rsidP="00DB5D0D">
            <w:pPr>
              <w:pStyle w:val="24"/>
              <w:widowControl/>
              <w:tabs>
                <w:tab w:val="left" w:pos="360"/>
              </w:tabs>
              <w:rPr>
                <w:color w:val="000000" w:themeColor="text1"/>
              </w:rPr>
            </w:pPr>
            <w:r w:rsidRPr="00DB5D0D">
              <w:rPr>
                <w:color w:val="000000" w:themeColor="text1"/>
              </w:rPr>
              <w:t>1.</w:t>
            </w:r>
            <w:r w:rsidRPr="00DB5D0D">
              <w:rPr>
                <w:color w:val="000000" w:themeColor="text1"/>
              </w:rPr>
              <w:tab/>
              <w:t>Полет на стабилизацию температур с капотом "Ф".</w:t>
            </w:r>
          </w:p>
        </w:tc>
        <w:tc>
          <w:tcPr>
            <w:tcW w:w="1256" w:type="dxa"/>
          </w:tcPr>
          <w:p w14:paraId="1012E5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50 мин.</w:t>
            </w:r>
          </w:p>
        </w:tc>
      </w:tr>
      <w:tr w:rsidR="007D5DF8" w:rsidRPr="00DB5D0D" w14:paraId="5D4962E2" w14:textId="77777777" w:rsidTr="00E543D0">
        <w:tc>
          <w:tcPr>
            <w:tcW w:w="1809" w:type="dxa"/>
          </w:tcPr>
          <w:p w14:paraId="046575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w:t>
            </w:r>
          </w:p>
        </w:tc>
        <w:tc>
          <w:tcPr>
            <w:tcW w:w="7108" w:type="dxa"/>
          </w:tcPr>
          <w:p w14:paraId="43638272" w14:textId="77777777" w:rsidR="003C7E8B" w:rsidRPr="00DB5D0D" w:rsidRDefault="003C7E8B" w:rsidP="00DB5D0D">
            <w:pPr>
              <w:pStyle w:val="24"/>
              <w:widowControl/>
              <w:rPr>
                <w:color w:val="000000" w:themeColor="text1"/>
              </w:rPr>
            </w:pPr>
            <w:r w:rsidRPr="00DB5D0D">
              <w:rPr>
                <w:color w:val="000000" w:themeColor="text1"/>
              </w:rPr>
              <w:t>Полет на скороподъемность с капотом "Ф".</w:t>
            </w:r>
          </w:p>
        </w:tc>
        <w:tc>
          <w:tcPr>
            <w:tcW w:w="1256" w:type="dxa"/>
          </w:tcPr>
          <w:p w14:paraId="5B9029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полета</w:t>
            </w:r>
          </w:p>
          <w:p w14:paraId="4499D3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час. 00 мин.</w:t>
            </w:r>
          </w:p>
          <w:p w14:paraId="5C58FF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40 мин.</w:t>
            </w:r>
          </w:p>
        </w:tc>
      </w:tr>
      <w:tr w:rsidR="007D5DF8" w:rsidRPr="00DB5D0D" w14:paraId="5A4CFF81" w14:textId="77777777" w:rsidTr="00E543D0">
        <w:tc>
          <w:tcPr>
            <w:tcW w:w="1809" w:type="dxa"/>
          </w:tcPr>
          <w:p w14:paraId="636358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июля 1940 года</w:t>
            </w:r>
          </w:p>
        </w:tc>
        <w:tc>
          <w:tcPr>
            <w:tcW w:w="7108" w:type="dxa"/>
          </w:tcPr>
          <w:p w14:paraId="754B30B6" w14:textId="77777777" w:rsidR="003C7E8B" w:rsidRPr="00DB5D0D" w:rsidRDefault="003C7E8B" w:rsidP="00DB5D0D">
            <w:pPr>
              <w:pStyle w:val="24"/>
              <w:widowControl/>
              <w:rPr>
                <w:color w:val="000000" w:themeColor="text1"/>
              </w:rPr>
            </w:pPr>
            <w:r w:rsidRPr="00DB5D0D">
              <w:rPr>
                <w:color w:val="000000" w:themeColor="text1"/>
              </w:rPr>
              <w:t>Полет на скороподъемность с капотом "Ф".</w:t>
            </w:r>
          </w:p>
        </w:tc>
        <w:tc>
          <w:tcPr>
            <w:tcW w:w="1256" w:type="dxa"/>
          </w:tcPr>
          <w:p w14:paraId="6098A0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23 мин.</w:t>
            </w:r>
          </w:p>
        </w:tc>
      </w:tr>
      <w:tr w:rsidR="007D5DF8" w:rsidRPr="00DB5D0D" w14:paraId="5E941211" w14:textId="77777777" w:rsidTr="00E543D0">
        <w:tc>
          <w:tcPr>
            <w:tcW w:w="1809" w:type="dxa"/>
          </w:tcPr>
          <w:p w14:paraId="56F2CB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августа 1940 года</w:t>
            </w:r>
          </w:p>
        </w:tc>
        <w:tc>
          <w:tcPr>
            <w:tcW w:w="7108" w:type="dxa"/>
          </w:tcPr>
          <w:p w14:paraId="3B63E393" w14:textId="77777777" w:rsidR="003C7E8B" w:rsidRPr="00DB5D0D" w:rsidRDefault="003C7E8B" w:rsidP="00DB5D0D">
            <w:pPr>
              <w:pStyle w:val="24"/>
              <w:widowControl/>
              <w:rPr>
                <w:color w:val="000000" w:themeColor="text1"/>
              </w:rPr>
            </w:pPr>
            <w:r w:rsidRPr="00DB5D0D">
              <w:rPr>
                <w:color w:val="000000" w:themeColor="text1"/>
              </w:rPr>
              <w:t>Полет-перегонка на ЦА.</w:t>
            </w:r>
          </w:p>
        </w:tc>
        <w:tc>
          <w:tcPr>
            <w:tcW w:w="1256" w:type="dxa"/>
          </w:tcPr>
          <w:p w14:paraId="021E46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мин.</w:t>
            </w:r>
          </w:p>
        </w:tc>
      </w:tr>
      <w:tr w:rsidR="007D5DF8" w:rsidRPr="00DB5D0D" w14:paraId="3E8FCB73" w14:textId="77777777" w:rsidTr="00E543D0">
        <w:tc>
          <w:tcPr>
            <w:tcW w:w="1809" w:type="dxa"/>
          </w:tcPr>
          <w:p w14:paraId="71860E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w:t>
            </w:r>
          </w:p>
        </w:tc>
        <w:tc>
          <w:tcPr>
            <w:tcW w:w="7108" w:type="dxa"/>
          </w:tcPr>
          <w:p w14:paraId="3EF31CFA" w14:textId="77777777" w:rsidR="003C7E8B" w:rsidRPr="00DB5D0D" w:rsidRDefault="003C7E8B" w:rsidP="00DB5D0D">
            <w:pPr>
              <w:pStyle w:val="24"/>
              <w:widowControl/>
              <w:rPr>
                <w:color w:val="000000" w:themeColor="text1"/>
              </w:rPr>
            </w:pPr>
            <w:r w:rsidRPr="00DB5D0D">
              <w:rPr>
                <w:color w:val="000000" w:themeColor="text1"/>
              </w:rPr>
              <w:t>Полет-перегонка с ЦА в Чкаловскую.</w:t>
            </w:r>
          </w:p>
        </w:tc>
        <w:tc>
          <w:tcPr>
            <w:tcW w:w="1256" w:type="dxa"/>
          </w:tcPr>
          <w:p w14:paraId="0FAB6D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мин.</w:t>
            </w:r>
          </w:p>
        </w:tc>
      </w:tr>
      <w:tr w:rsidR="007D5DF8" w:rsidRPr="00DB5D0D" w14:paraId="410B288C" w14:textId="77777777" w:rsidTr="00E543D0">
        <w:tc>
          <w:tcPr>
            <w:tcW w:w="1809" w:type="dxa"/>
          </w:tcPr>
          <w:p w14:paraId="2D7CD0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августа 1940 года</w:t>
            </w:r>
          </w:p>
        </w:tc>
        <w:tc>
          <w:tcPr>
            <w:tcW w:w="7108" w:type="dxa"/>
          </w:tcPr>
          <w:p w14:paraId="2865C98A" w14:textId="77777777" w:rsidR="003C7E8B" w:rsidRPr="00DB5D0D" w:rsidRDefault="003C7E8B" w:rsidP="00DB5D0D">
            <w:pPr>
              <w:pStyle w:val="24"/>
              <w:widowControl/>
              <w:rPr>
                <w:color w:val="000000" w:themeColor="text1"/>
              </w:rPr>
            </w:pPr>
            <w:r w:rsidRPr="00DB5D0D">
              <w:rPr>
                <w:color w:val="000000" w:themeColor="text1"/>
              </w:rPr>
              <w:t>Полет на скороподъемность и скорости по высотам.</w:t>
            </w:r>
          </w:p>
        </w:tc>
        <w:tc>
          <w:tcPr>
            <w:tcW w:w="1256" w:type="dxa"/>
          </w:tcPr>
          <w:p w14:paraId="63F174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час. 00 мин.</w:t>
            </w:r>
          </w:p>
        </w:tc>
      </w:tr>
      <w:tr w:rsidR="007D5DF8" w:rsidRPr="00DB5D0D" w14:paraId="0EBA9A37" w14:textId="77777777" w:rsidTr="00E543D0">
        <w:tc>
          <w:tcPr>
            <w:tcW w:w="1809" w:type="dxa"/>
          </w:tcPr>
          <w:p w14:paraId="641F65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августа 1940 года</w:t>
            </w:r>
          </w:p>
        </w:tc>
        <w:tc>
          <w:tcPr>
            <w:tcW w:w="7108" w:type="dxa"/>
          </w:tcPr>
          <w:p w14:paraId="237BC1F5" w14:textId="77777777" w:rsidR="003C7E8B" w:rsidRPr="00DB5D0D" w:rsidRDefault="003C7E8B" w:rsidP="00DB5D0D">
            <w:pPr>
              <w:pStyle w:val="24"/>
              <w:widowControl/>
              <w:rPr>
                <w:color w:val="000000" w:themeColor="text1"/>
              </w:rPr>
            </w:pPr>
            <w:r w:rsidRPr="00DB5D0D">
              <w:rPr>
                <w:color w:val="000000" w:themeColor="text1"/>
              </w:rPr>
              <w:t>Полет на фотографирование маршрута и опробование работ КАС-8.</w:t>
            </w:r>
          </w:p>
        </w:tc>
        <w:tc>
          <w:tcPr>
            <w:tcW w:w="1256" w:type="dxa"/>
          </w:tcPr>
          <w:p w14:paraId="5DCCA3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20 мин.</w:t>
            </w:r>
          </w:p>
        </w:tc>
      </w:tr>
      <w:tr w:rsidR="007D5DF8" w:rsidRPr="00DB5D0D" w14:paraId="2F990653" w14:textId="77777777" w:rsidTr="00E543D0">
        <w:tc>
          <w:tcPr>
            <w:tcW w:w="1809" w:type="dxa"/>
          </w:tcPr>
          <w:p w14:paraId="27BAE9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августа 1940 года</w:t>
            </w:r>
          </w:p>
        </w:tc>
        <w:tc>
          <w:tcPr>
            <w:tcW w:w="7108" w:type="dxa"/>
          </w:tcPr>
          <w:p w14:paraId="48AC060E" w14:textId="77777777" w:rsidR="003C7E8B" w:rsidRPr="00DB5D0D" w:rsidRDefault="003C7E8B" w:rsidP="00DB5D0D">
            <w:pPr>
              <w:pStyle w:val="24"/>
              <w:widowControl/>
              <w:rPr>
                <w:color w:val="000000" w:themeColor="text1"/>
              </w:rPr>
            </w:pPr>
            <w:r w:rsidRPr="00DB5D0D">
              <w:rPr>
                <w:color w:val="000000" w:themeColor="text1"/>
              </w:rPr>
              <w:t>Полет на километраж.</w:t>
            </w:r>
          </w:p>
        </w:tc>
        <w:tc>
          <w:tcPr>
            <w:tcW w:w="1256" w:type="dxa"/>
          </w:tcPr>
          <w:p w14:paraId="0A7117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00 мин.</w:t>
            </w:r>
          </w:p>
        </w:tc>
      </w:tr>
      <w:tr w:rsidR="007D5DF8" w:rsidRPr="00DB5D0D" w14:paraId="773A0863" w14:textId="77777777" w:rsidTr="00E543D0">
        <w:tc>
          <w:tcPr>
            <w:tcW w:w="1809" w:type="dxa"/>
          </w:tcPr>
          <w:p w14:paraId="1C946D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года</w:t>
            </w:r>
          </w:p>
        </w:tc>
        <w:tc>
          <w:tcPr>
            <w:tcW w:w="7108" w:type="dxa"/>
          </w:tcPr>
          <w:p w14:paraId="054AEE47" w14:textId="77777777" w:rsidR="003C7E8B" w:rsidRPr="00DB5D0D" w:rsidRDefault="003C7E8B" w:rsidP="00DB5D0D">
            <w:pPr>
              <w:pStyle w:val="24"/>
              <w:widowControl/>
              <w:rPr>
                <w:color w:val="000000" w:themeColor="text1"/>
              </w:rPr>
            </w:pPr>
            <w:r w:rsidRPr="00DB5D0D">
              <w:rPr>
                <w:color w:val="000000" w:themeColor="text1"/>
              </w:rPr>
              <w:t>Полет на скороподъемность и скорости по высотам.</w:t>
            </w:r>
          </w:p>
        </w:tc>
        <w:tc>
          <w:tcPr>
            <w:tcW w:w="1256" w:type="dxa"/>
          </w:tcPr>
          <w:p w14:paraId="26A3DB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час. 07 мин.</w:t>
            </w:r>
          </w:p>
        </w:tc>
      </w:tr>
      <w:tr w:rsidR="007D5DF8" w:rsidRPr="00DB5D0D" w14:paraId="54374D70" w14:textId="77777777" w:rsidTr="00E543D0">
        <w:tc>
          <w:tcPr>
            <w:tcW w:w="1809" w:type="dxa"/>
          </w:tcPr>
          <w:p w14:paraId="0860BB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августа 1940 года</w:t>
            </w:r>
          </w:p>
        </w:tc>
        <w:tc>
          <w:tcPr>
            <w:tcW w:w="7108" w:type="dxa"/>
          </w:tcPr>
          <w:p w14:paraId="020A8DC5" w14:textId="77777777" w:rsidR="003C7E8B" w:rsidRPr="00DB5D0D" w:rsidRDefault="003C7E8B" w:rsidP="00DB5D0D">
            <w:pPr>
              <w:pStyle w:val="24"/>
              <w:widowControl/>
              <w:rPr>
                <w:color w:val="000000" w:themeColor="text1"/>
              </w:rPr>
            </w:pPr>
            <w:r w:rsidRPr="00DB5D0D">
              <w:rPr>
                <w:color w:val="000000" w:themeColor="text1"/>
              </w:rPr>
              <w:t>Полет на стрельбу по земным мишеням.</w:t>
            </w:r>
          </w:p>
        </w:tc>
        <w:tc>
          <w:tcPr>
            <w:tcW w:w="1256" w:type="dxa"/>
          </w:tcPr>
          <w:p w14:paraId="69ED6B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10 мин.</w:t>
            </w:r>
          </w:p>
        </w:tc>
      </w:tr>
      <w:tr w:rsidR="007D5DF8" w:rsidRPr="00DB5D0D" w14:paraId="26E5138C" w14:textId="77777777" w:rsidTr="00E543D0">
        <w:tc>
          <w:tcPr>
            <w:tcW w:w="1809" w:type="dxa"/>
          </w:tcPr>
          <w:p w14:paraId="68A2A9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августа 1940 года</w:t>
            </w:r>
          </w:p>
        </w:tc>
        <w:tc>
          <w:tcPr>
            <w:tcW w:w="7108" w:type="dxa"/>
          </w:tcPr>
          <w:p w14:paraId="434C03A9" w14:textId="77777777" w:rsidR="003C7E8B" w:rsidRPr="00DB5D0D" w:rsidRDefault="003C7E8B" w:rsidP="00DB5D0D">
            <w:pPr>
              <w:pStyle w:val="24"/>
              <w:widowControl/>
              <w:rPr>
                <w:color w:val="000000" w:themeColor="text1"/>
              </w:rPr>
            </w:pPr>
            <w:r w:rsidRPr="00DB5D0D">
              <w:rPr>
                <w:color w:val="000000" w:themeColor="text1"/>
              </w:rPr>
              <w:t>Полеты в Ногинск для бомбометания с фотографированием и отстрелом пулеметов.</w:t>
            </w:r>
          </w:p>
        </w:tc>
        <w:tc>
          <w:tcPr>
            <w:tcW w:w="1256" w:type="dxa"/>
          </w:tcPr>
          <w:p w14:paraId="563544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полета</w:t>
            </w:r>
          </w:p>
          <w:p w14:paraId="549302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час. 45 мин.</w:t>
            </w:r>
          </w:p>
        </w:tc>
      </w:tr>
      <w:tr w:rsidR="007D5DF8" w:rsidRPr="00DB5D0D" w14:paraId="0DF672BA" w14:textId="77777777" w:rsidTr="00E543D0">
        <w:tc>
          <w:tcPr>
            <w:tcW w:w="1809" w:type="dxa"/>
          </w:tcPr>
          <w:p w14:paraId="3D2BB1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года</w:t>
            </w:r>
          </w:p>
        </w:tc>
        <w:tc>
          <w:tcPr>
            <w:tcW w:w="7108" w:type="dxa"/>
          </w:tcPr>
          <w:p w14:paraId="50488528" w14:textId="77777777" w:rsidR="003C7E8B" w:rsidRPr="00DB5D0D" w:rsidRDefault="003C7E8B" w:rsidP="00DB5D0D">
            <w:pPr>
              <w:pStyle w:val="24"/>
              <w:widowControl/>
              <w:rPr>
                <w:color w:val="000000" w:themeColor="text1"/>
              </w:rPr>
            </w:pPr>
            <w:r w:rsidRPr="00DB5D0D">
              <w:rPr>
                <w:color w:val="000000" w:themeColor="text1"/>
              </w:rPr>
              <w:t>Полет-перегонка на ЦА для установки удлиненного подголовника летчика.</w:t>
            </w:r>
          </w:p>
        </w:tc>
        <w:tc>
          <w:tcPr>
            <w:tcW w:w="1256" w:type="dxa"/>
          </w:tcPr>
          <w:p w14:paraId="09293C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мин.</w:t>
            </w:r>
          </w:p>
        </w:tc>
      </w:tr>
    </w:tbl>
    <w:p w14:paraId="429BFE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(7764).</w:t>
      </w:r>
    </w:p>
    <w:p w14:paraId="756CE55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DA777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24 августа 1940 ДБ-240 В.Г.Ермолаева под управлением Н.П.Шебанова (ш Н.И.Байкузов, б/м Л.А.Забалуев, т П.Н.Шатров) взлетел из Раменского и прошел по маршруту Москва - Куйбышев - Сталинград - Ростов - Воронеж - Раменское - Саранск - Раменское - Рязань - Серпухов - Москва с посадкой на ЦА. Нес 1000 кг бомб и имел взлетный вес 13460 кг, включая 4680 кг. Показали 4111 км по прямой за 10:37 на 390 км/час. Приблизительно на 800 км и по скорости 60-70 км/час - больше ДБ-3Ф с М-88 (3322,8).</w:t>
      </w:r>
    </w:p>
    <w:p w14:paraId="4CAE9F9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C5E728" w14:textId="77777777" w:rsidR="009E5CA9" w:rsidRPr="00DB5D0D" w:rsidRDefault="009E5CA9"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24 августа 1940 года ДБ-240 под управ</w:t>
      </w:r>
      <w:r w:rsidRPr="00DB5D0D">
        <w:rPr>
          <w:rFonts w:ascii="Times New Roman" w:hAnsi="Times New Roman"/>
          <w:color w:val="0070C0"/>
          <w:sz w:val="16"/>
          <w:szCs w:val="16"/>
          <w:lang w:eastAsia="ru-RU" w:bidi="ru-RU"/>
        </w:rPr>
        <w:softHyphen/>
        <w:t>лением Н.П. Шебанова (штурман Н.И. Байкузов, бортмеханик Л.А. Забалуев, техник П.Н. Шатров) взлетел из Раменского и прошел по маршруту Москва - Куйбышев - Сталинград - Ростов - Воронеж - Раменское - Саранск - Раменское - Рязань - Серпухов - Москва с посадкой на Центральном аэродроме. Само</w:t>
      </w:r>
      <w:r w:rsidRPr="00DB5D0D">
        <w:rPr>
          <w:rFonts w:ascii="Times New Roman" w:hAnsi="Times New Roman"/>
          <w:color w:val="0070C0"/>
          <w:sz w:val="16"/>
          <w:szCs w:val="16"/>
          <w:lang w:eastAsia="ru-RU" w:bidi="ru-RU"/>
        </w:rPr>
        <w:softHyphen/>
        <w:t>лет нес 1000 кг бомб и имел взлетный вес 13460 кг, включая 4680 кг топлива. Прошли 4111 км по прямой за 10 часов 37минут на скорости 390 км/час (21406).</w:t>
      </w:r>
    </w:p>
    <w:p w14:paraId="6841EAA2" w14:textId="77777777" w:rsidR="009E5CA9" w:rsidRPr="00DB5D0D" w:rsidRDefault="009E5CA9" w:rsidP="00DB5D0D">
      <w:pPr>
        <w:spacing w:after="0" w:line="240" w:lineRule="auto"/>
        <w:jc w:val="both"/>
        <w:rPr>
          <w:rFonts w:ascii="Times New Roman" w:hAnsi="Times New Roman"/>
          <w:color w:val="0070C0"/>
          <w:sz w:val="16"/>
          <w:szCs w:val="16"/>
        </w:rPr>
      </w:pPr>
    </w:p>
    <w:p w14:paraId="622E691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года вышел приказ НИИ ВВС № 0165</w:t>
      </w:r>
    </w:p>
    <w:p w14:paraId="2983228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мин аэростатов заграждения на самолете СБ «воздушный тральщик» (6890, 44).</w:t>
      </w:r>
    </w:p>
    <w:p w14:paraId="26D14AB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62C6A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года врид начальника ВВС генерал-лейтенант авиации Рычагов писал письмо № 501652 наркому обороны маршалу Тимошенко С.К.</w:t>
      </w:r>
    </w:p>
    <w:p w14:paraId="30F811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постройке одного экземпляра самолета «102» с двумя моторами М-20 ходатайствую.</w:t>
      </w:r>
    </w:p>
    <w:p w14:paraId="37C528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самолета рассмотрен и утвержден НИИ ВВС (7711, 64).</w:t>
      </w:r>
    </w:p>
    <w:p w14:paraId="21C017D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15F63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контролер Вахрушев - представитель КО СНК СССР - в журнале Учета выполнения постановлени правительства в отношении постановления КО N 238сс 1940 “О создании высотного дальнего бомбардировщика "102" с двумя мотрами М-120 2ТК” отметил:</w:t>
      </w:r>
    </w:p>
    <w:p w14:paraId="2381C1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Эскизный проект и макет утверждены.</w:t>
      </w:r>
    </w:p>
    <w:p w14:paraId="43E8E0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Изготовлены рабочие чертежи</w:t>
      </w:r>
    </w:p>
    <w:p w14:paraId="57F2E3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производство на 24 августа 1940 сдано 3000 чертежей из общего количества 11-12000</w:t>
      </w:r>
    </w:p>
    <w:p w14:paraId="1C0A23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Заготовка опытных деталей в цехах завода № 156 идет медленно</w:t>
      </w:r>
    </w:p>
    <w:p w14:paraId="4C0F63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Плазы и шаблоны совершенно не изготавливаются, что ставит под угрозу срыва сроки</w:t>
      </w:r>
    </w:p>
    <w:p w14:paraId="056AF8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Этапу на работы утверждены 16 июня 1940.</w:t>
      </w:r>
    </w:p>
    <w:p w14:paraId="73DAB5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Сквозной планировки по этому самолету на заводе № 156 нет</w:t>
      </w:r>
    </w:p>
    <w:p w14:paraId="287A0F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вызвать директора з-да № 156 т. Ленкина для дачи объяснений.</w:t>
      </w:r>
    </w:p>
    <w:p w14:paraId="6DB0F8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НКСредмашу спецификации и заявки даны</w:t>
      </w:r>
    </w:p>
    <w:p w14:paraId="3934EC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НКХП заявки также спущены</w:t>
      </w:r>
    </w:p>
    <w:p w14:paraId="3E5B96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НКЧМ заявки даны</w:t>
      </w:r>
    </w:p>
    <w:p w14:paraId="5AA7B9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п.п. 6.7.8 спецификации и заявки также даны Выполнение этих заказов идет нормально (10395).</w:t>
      </w:r>
    </w:p>
    <w:p w14:paraId="6F88448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B8D0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в Контрольном листе учета выполнения постановления КО СНК СССР № 238сс от 1 июня 1940 г. представителем КО СНК СССР - контролером Вахрушевым была сделана запись:</w:t>
      </w:r>
    </w:p>
    <w:p w14:paraId="222364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102 или ДВБ ОТБ НКВД</w:t>
      </w:r>
    </w:p>
    <w:p w14:paraId="42D2EC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Эскизный проект и макет утверждены. Изготавливаются рабочие чертежи. В производство на 24 августа сдано 3000 чертежей из общего количества 11-12 тыс.</w:t>
      </w:r>
    </w:p>
    <w:p w14:paraId="30D227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Заготовка опытных деталей в цехаха з-да № 156 идет медленно.</w:t>
      </w:r>
    </w:p>
    <w:p w14:paraId="094F60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Плазы и шаблоны совершенно не изготавливаются, что ставит под угрозу срыв сроков.</w:t>
      </w:r>
    </w:p>
    <w:p w14:paraId="454883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Этапы на работы утверждены 16 июня 1940.</w:t>
      </w:r>
    </w:p>
    <w:p w14:paraId="09E506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Сквозной планировки по этому самолету на заводе № 156 нет.</w:t>
      </w:r>
    </w:p>
    <w:p w14:paraId="322F2D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НКСМ спецификации и заявки - даны.</w:t>
      </w:r>
    </w:p>
    <w:p w14:paraId="56FF16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НКХимП заявки также спущены.</w:t>
      </w:r>
    </w:p>
    <w:p w14:paraId="1318CF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НКЧМ заявки даны</w:t>
      </w:r>
    </w:p>
    <w:p w14:paraId="39CBA6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машины идет медленно, т.к. НКАП т. Шахурин определил первоочередными работы по 103 и ПБ т. Кочеригина. Директор завод т. Ленкин с работы снят (10395).</w:t>
      </w:r>
    </w:p>
    <w:p w14:paraId="54B2C34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FA0D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в Контрольном листе учета выполнения постановления КО СНК СССР № 239сс от 1 июня 1940 г. представителем КО СНК СССР - контролером Вахрушевым была сделана запись:</w:t>
      </w:r>
    </w:p>
    <w:p w14:paraId="5BDFF7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103 ОТБ НКВД</w:t>
      </w:r>
    </w:p>
    <w:p w14:paraId="3A273C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22 июня 1940 НКАП представлены в НКХП спецификации и ТУ.</w:t>
      </w:r>
    </w:p>
    <w:p w14:paraId="0E3781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НКЦМ 13 июля 1940 издано распоряжение № 01678 Главметаллосбыту об отгрузке материалов по согласованной спецификации.</w:t>
      </w:r>
    </w:p>
    <w:p w14:paraId="028085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Макет самолета утвержден. Чертежи в количестве 15000 полностью сданы на 14 дней раньше установленного срока.</w:t>
      </w:r>
    </w:p>
    <w:p w14:paraId="177CBA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идет исключительно медленным темпом и выпуск самолета в срок стоит под угрозой срыва.</w:t>
      </w:r>
    </w:p>
    <w:p w14:paraId="271D19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проверить ход производства самолета на заводе № 156 (10395).</w:t>
      </w:r>
    </w:p>
    <w:p w14:paraId="225BD1D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78D7C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контролер Вахрушев - представитель КО СНК СССР - в журнале Учета выполнения постановлени правительства в отношении постановления КО N 239сс 1940 “О создании высотного дальнего бомбардировщика "103" с двумя мотрами М-120 2ТК” отметил:</w:t>
      </w:r>
    </w:p>
    <w:p w14:paraId="49FC3C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НКАП представил в НКЦМ спецификации и ТУ 22 июня 1940</w:t>
      </w:r>
    </w:p>
    <w:p w14:paraId="6C9A50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 НКЦМ издано распоряжение 13 июля 1940 № 01676 - Главметаллосбыту НУЦМ (копия директору 156 завода НКАП) об отгрузке материалов по согласованной спецификации</w:t>
      </w:r>
    </w:p>
    <w:p w14:paraId="771666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Эскизный проект и макет утверждены.</w:t>
      </w:r>
    </w:p>
    <w:p w14:paraId="316057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в количестве 15000 полностью сданы на 14 дней раньше установленного срока.</w:t>
      </w:r>
    </w:p>
    <w:p w14:paraId="5810FD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идет исключительно медленным темпом и выпуск самолета в срок стоит под угрозой срыва.</w:t>
      </w:r>
    </w:p>
    <w:p w14:paraId="1EDB61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проверить ход производства самолета на заводе № 156.</w:t>
      </w:r>
    </w:p>
    <w:p w14:paraId="613C8C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Пп. 3 и 11 спецификации заводом сданы и выполнение сомнений не вызывает</w:t>
      </w:r>
    </w:p>
    <w:p w14:paraId="6AEC49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11 НКО не выполнил. Необходимо запросить ВВА о состоянии работ</w:t>
      </w:r>
    </w:p>
    <w:p w14:paraId="05D7BE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заводу № 217 НКВ</w:t>
      </w:r>
    </w:p>
    <w:p w14:paraId="40C342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Оптическая система к прицелу для бомбометания с пикирования на заводе № 217 получила наименование КАП-103. Заводом № 217 НКВ заключен договор на КАП-103 с з-дом № 339 НКАП со следующим сроками поставки:</w:t>
      </w:r>
    </w:p>
    <w:p w14:paraId="1DD7B3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обр. КАП-103 в сентябре</w:t>
      </w:r>
    </w:p>
    <w:p w14:paraId="7710EA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обр. КАА-103 в ноябре</w:t>
      </w:r>
    </w:p>
    <w:p w14:paraId="5F0C1F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обр. КАП-103 в декабре</w:t>
      </w:r>
    </w:p>
    <w:p w14:paraId="6F2CBB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Разработка КАП-103 идет нормально и 1-й обр. Будет изготовлен в сентябре. Детали прицела заготовлены полностью, через несколько дней приступят к сборке.</w:t>
      </w:r>
    </w:p>
    <w:p w14:paraId="222EDB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Изготовление 8 коллиматорных прицелов для з-да № 156 НКАП записано з-ду № 217 ошибочно (10395).</w:t>
      </w:r>
    </w:p>
    <w:p w14:paraId="7AAF760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4F20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в Контрольном листе учета выполнения постановления КО СНК СССР № 111сс от 4 марта 1940 г. представителем КО СНК СССР - контролером Вахрушевым была сделана запись:</w:t>
      </w:r>
    </w:p>
    <w:p w14:paraId="4EB06F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с М-107</w:t>
      </w:r>
    </w:p>
    <w:p w14:paraId="61B1B4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заканчиваются сдачей в производство.</w:t>
      </w:r>
    </w:p>
    <w:p w14:paraId="79542B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сборке находятся агрегаты самолета.</w:t>
      </w:r>
    </w:p>
    <w:p w14:paraId="2D04D9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Опасений в срыве сроков - нет (10395,38).</w:t>
      </w:r>
    </w:p>
    <w:p w14:paraId="2E12678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31A4A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в Контрольном листе учета выполнения постановления КО СНК СССР № 120сс от 4 марта 1940 г. представителем КО СНК СССР - контролером Вахрушевым была сделана запись:</w:t>
      </w:r>
    </w:p>
    <w:p w14:paraId="72B2CE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Автожир Камова</w:t>
      </w:r>
    </w:p>
    <w:p w14:paraId="50A78A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Заканчивается эскизный проект (1 сентября 1940). Макет автожира находится в производстве. Строительство с завода № 156 перенесено на завод № 290 (з-д винтокрылых машин) (10395,79).</w:t>
      </w:r>
    </w:p>
    <w:p w14:paraId="46862B4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4362B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24 по 26 августа 1940 года проходили гос. испытания серийного самолета И-153 № 8609 с мотором М-63 на штопор</w:t>
      </w:r>
    </w:p>
    <w:p w14:paraId="4D3304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3942F7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1 ранга Никитченко</w:t>
      </w:r>
    </w:p>
    <w:p w14:paraId="59297E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ст. лейтенант Кубышкин</w:t>
      </w:r>
    </w:p>
    <w:p w14:paraId="27E572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2875A8F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степень безопасности производства штопора на самолете И-153 с мотором М-63 и винтом АВ-I.</w:t>
      </w:r>
    </w:p>
    <w:p w14:paraId="44DFC32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поведение самолета при вводе в штопор, на штопоре и при выводе из штопора в соответствии с инструкцией по штопору, составленной для самолета И-153 с мотором М-62.</w:t>
      </w:r>
    </w:p>
    <w:p w14:paraId="574F7F1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результатам проведенных испытаний внести изменения и дополнения в инструкцию по выполнению штопора на самолете И-153 с мотором М-62.</w:t>
      </w:r>
    </w:p>
    <w:p w14:paraId="1FCABA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результатов войсковых испытаний самолетов И-153 М-25В в январе-мае 1939 года в Баку заводу № 1 было поручено провести полное испытание серийного самолета с мотором М-62 на штопор совместно с ЦАГИ.</w:t>
      </w:r>
    </w:p>
    <w:p w14:paraId="3F68FA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1939 года в НИИ ВВС поступил на испытание серийный самолет И-153 М-62 № 6019 с винтом ВФШ, где одновременно со снятием летных характеристик и оценкой эксплуатационных качеств было принято решение произвести испытания на определение штопорных свойств самолета для дачи указаний строевым частям.</w:t>
      </w:r>
    </w:p>
    <w:p w14:paraId="395A52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испытаний было выявлено “заглохание” мотора на штопоре.</w:t>
      </w:r>
    </w:p>
    <w:p w14:paraId="591CBF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этого производство штопора на самолете И-153 было прекращено.</w:t>
      </w:r>
    </w:p>
    <w:p w14:paraId="3EDC8C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Осенью 1939 года приказом по НКАП была создана комиссия при заводе № 1 (по штопору) – испытания были проведены на заводе № 1 совместно с ЦАГИ.</w:t>
      </w:r>
    </w:p>
    <w:p w14:paraId="2E0B04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проверки рекомендуемого комиссией вывода самолета И-153 М-62 из штопора 1-м отделом НИИ ВВС в марте-апреле 1940 года были проведены испытания серийного самолета И-153 с мотором М-62 на штопор по результатам которых была составлена инструкция.</w:t>
      </w:r>
    </w:p>
    <w:p w14:paraId="77BF50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требованию НИИ ВВС завод № 1 провел проверочные испытания на штопор с мотором М-63 и в августе 1940 года предъявил на гос. испытания.</w:t>
      </w:r>
    </w:p>
    <w:p w14:paraId="016E7E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гос. испытаний произведено 10 полетов.</w:t>
      </w:r>
    </w:p>
    <w:p w14:paraId="070173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DCB0AB2"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Штопор на самолете И-153 М-63 не отличается от штопора на самолете И-153 М-62 и при строгом соблюдении Инструкции – безопасен.</w:t>
      </w:r>
    </w:p>
    <w:p w14:paraId="516641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p w14:paraId="5AFC92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испытание 24 августа 1940 года</w:t>
      </w:r>
    </w:p>
    <w:p w14:paraId="269374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закончил испытания 27 августа 1940 года</w:t>
      </w:r>
    </w:p>
    <w:p w14:paraId="01FB5F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 3 дня</w:t>
      </w:r>
    </w:p>
    <w:p w14:paraId="239B0C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 1,5 дня (4429).</w:t>
      </w:r>
    </w:p>
    <w:p w14:paraId="0E4A56D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4F2D9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 зам. директора завода N 51 Янгель М.К. писал письмо N 8487 с Молотову.</w:t>
      </w:r>
    </w:p>
    <w:p w14:paraId="0397FA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ОКБ по самолетостроению, руководимое инж. Поликарповым Н.Н., в течение ряда лет находится без твердой производственной базы, вследствие чего имеют место частые переезды конструкторского коллектива с одного завода на другой (с 1936 г. заводы NN 39, 84, 156, 1).</w:t>
      </w:r>
    </w:p>
    <w:p w14:paraId="787BA8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феврале 1940 г. на основании постановления Правительства от 26 января с.г. за N 132-60сс наркомом Авиапрома Шахуриным был издан приказ об организации для конструкторского коллектива Поликарпова самостоятельного опытного завода за N 51.</w:t>
      </w:r>
    </w:p>
    <w:p w14:paraId="3B0800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Базой организации завода явился ангар на территории Центрального аэродрома.</w:t>
      </w:r>
    </w:p>
    <w:p w14:paraId="3CFD10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отпущенные средства совершенно немыслимо организовать опытный завод...</w:t>
      </w:r>
    </w:p>
    <w:p w14:paraId="537F30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Особо обращаю Ваше внимание на плохое моральное и физическое состояние Поликарпова, явившееся следствием катастроф с самолетом СПБ, изготовления завода N 22 и отсутствия каких-либо перспектив в дальнейшей работе из-за положения с производственной базой (3370,117-120).</w:t>
      </w:r>
    </w:p>
    <w:p w14:paraId="51823CD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C63F0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 Янгель, действуя от име</w:t>
      </w:r>
      <w:r w:rsidRPr="00DB5D0D">
        <w:rPr>
          <w:rFonts w:ascii="Times New Roman" w:hAnsi="Times New Roman"/>
          <w:color w:val="000000" w:themeColor="text1"/>
          <w:sz w:val="16"/>
          <w:szCs w:val="16"/>
        </w:rPr>
        <w:softHyphen/>
        <w:t>ни коллектива ОКБ Н.Н.П. направил письмо председателю Совета Народных Комиссаров СССР В.М.Молотову:</w:t>
      </w:r>
    </w:p>
    <w:p w14:paraId="70FCD9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«Опытно-конструкторское бюро по самолетострое</w:t>
      </w:r>
      <w:r w:rsidRPr="00DB5D0D">
        <w:rPr>
          <w:rFonts w:ascii="Times New Roman" w:hAnsi="Times New Roman"/>
          <w:color w:val="000000" w:themeColor="text1"/>
          <w:sz w:val="16"/>
          <w:szCs w:val="16"/>
        </w:rPr>
        <w:softHyphen/>
        <w:t>нию, руководимое инженером т. Поликарповым Н.Н., в течение ряда лет находится без твердой производствен</w:t>
      </w:r>
      <w:r w:rsidRPr="00DB5D0D">
        <w:rPr>
          <w:rFonts w:ascii="Times New Roman" w:hAnsi="Times New Roman"/>
          <w:color w:val="000000" w:themeColor="text1"/>
          <w:sz w:val="16"/>
          <w:szCs w:val="16"/>
        </w:rPr>
        <w:softHyphen/>
        <w:t>ной базы, вследствие чего имеют место частые переезды конструкторского коллектива с одного завода на другой (с 1936 г.: заводы № 39, № 84, № 156, № 1).</w:t>
      </w:r>
    </w:p>
    <w:p w14:paraId="2F252F0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Отсутствие своей постоянной производственной ба</w:t>
      </w:r>
      <w:r w:rsidRPr="00DB5D0D">
        <w:rPr>
          <w:rFonts w:ascii="Times New Roman" w:hAnsi="Times New Roman"/>
          <w:color w:val="000000" w:themeColor="text1"/>
          <w:sz w:val="16"/>
          <w:szCs w:val="16"/>
        </w:rPr>
        <w:softHyphen/>
        <w:t>зы ставит коллектив в исключительно тяжелые условия и делает проводимую им большую конструкторскую работу по созданию современных боевых самолетов неэффективной, так как хорошие проекты им вовсе не ре</w:t>
      </w:r>
      <w:r w:rsidRPr="00DB5D0D">
        <w:rPr>
          <w:rFonts w:ascii="Times New Roman" w:hAnsi="Times New Roman"/>
          <w:color w:val="000000" w:themeColor="text1"/>
          <w:sz w:val="16"/>
          <w:szCs w:val="16"/>
        </w:rPr>
        <w:softHyphen/>
        <w:t>ализуются или реализуются с невероятно большими трудностями и большими сроками.</w:t>
      </w:r>
    </w:p>
    <w:p w14:paraId="4089ED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феврале месяце с.г. на основании постановления Правительства от 26 января с.г. за № 132-60сс Наркомом Авиационной Промышленности т. Шахуриным был из</w:t>
      </w:r>
      <w:r w:rsidRPr="00DB5D0D">
        <w:rPr>
          <w:rFonts w:ascii="Times New Roman" w:hAnsi="Times New Roman"/>
          <w:color w:val="000000" w:themeColor="text1"/>
          <w:sz w:val="16"/>
          <w:szCs w:val="16"/>
        </w:rPr>
        <w:softHyphen/>
        <w:t>дан приказ об организации для конструкторского кол</w:t>
      </w:r>
      <w:r w:rsidRPr="00DB5D0D">
        <w:rPr>
          <w:rFonts w:ascii="Times New Roman" w:hAnsi="Times New Roman"/>
          <w:color w:val="000000" w:themeColor="text1"/>
          <w:sz w:val="16"/>
          <w:szCs w:val="16"/>
        </w:rPr>
        <w:softHyphen/>
        <w:t>лектива тов. Поликарпова самостоятельного опытного завода за № 51.</w:t>
      </w:r>
    </w:p>
    <w:p w14:paraId="06708A7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Базой организации завода явился ангар на террито</w:t>
      </w:r>
      <w:r w:rsidRPr="00DB5D0D">
        <w:rPr>
          <w:rFonts w:ascii="Times New Roman" w:hAnsi="Times New Roman"/>
          <w:color w:val="000000" w:themeColor="text1"/>
          <w:sz w:val="16"/>
          <w:szCs w:val="16"/>
        </w:rPr>
        <w:softHyphen/>
        <w:t>рии Центрального аэродрома, ранее эксплуатировав</w:t>
      </w:r>
      <w:r w:rsidRPr="00DB5D0D">
        <w:rPr>
          <w:rFonts w:ascii="Times New Roman" w:hAnsi="Times New Roman"/>
          <w:color w:val="000000" w:themeColor="text1"/>
          <w:sz w:val="16"/>
          <w:szCs w:val="16"/>
        </w:rPr>
        <w:softHyphen/>
        <w:t>шийся 8-м отделом ЦАГИ.</w:t>
      </w:r>
    </w:p>
    <w:p w14:paraId="267C2D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Ангар по своему состоянию и наличию производст</w:t>
      </w:r>
      <w:r w:rsidRPr="00DB5D0D">
        <w:rPr>
          <w:rFonts w:ascii="Times New Roman" w:hAnsi="Times New Roman"/>
          <w:color w:val="000000" w:themeColor="text1"/>
          <w:sz w:val="16"/>
          <w:szCs w:val="16"/>
        </w:rPr>
        <w:softHyphen/>
        <w:t>венных площадей является совершенно неприспособ</w:t>
      </w:r>
      <w:r w:rsidRPr="00DB5D0D">
        <w:rPr>
          <w:rFonts w:ascii="Times New Roman" w:hAnsi="Times New Roman"/>
          <w:color w:val="000000" w:themeColor="text1"/>
          <w:sz w:val="16"/>
          <w:szCs w:val="16"/>
        </w:rPr>
        <w:softHyphen/>
        <w:t>ленным для развертывания производственных работ (необорудованный, холодный, нет площадей для орга</w:t>
      </w:r>
      <w:r w:rsidRPr="00DB5D0D">
        <w:rPr>
          <w:rFonts w:ascii="Times New Roman" w:hAnsi="Times New Roman"/>
          <w:color w:val="000000" w:themeColor="text1"/>
          <w:sz w:val="16"/>
          <w:szCs w:val="16"/>
        </w:rPr>
        <w:softHyphen/>
        <w:t>низации таких технологических процессов как антикор</w:t>
      </w:r>
      <w:r w:rsidRPr="00DB5D0D">
        <w:rPr>
          <w:rFonts w:ascii="Times New Roman" w:hAnsi="Times New Roman"/>
          <w:color w:val="000000" w:themeColor="text1"/>
          <w:sz w:val="16"/>
          <w:szCs w:val="16"/>
        </w:rPr>
        <w:softHyphen/>
        <w:t>розионные покрытия, термообработка, штамповка, литье цветных металлов и т.п.). На отведенной заводу территории нет помещений для размещения конструк</w:t>
      </w:r>
      <w:r w:rsidRPr="00DB5D0D">
        <w:rPr>
          <w:rFonts w:ascii="Times New Roman" w:hAnsi="Times New Roman"/>
          <w:color w:val="000000" w:themeColor="text1"/>
          <w:sz w:val="16"/>
          <w:szCs w:val="16"/>
        </w:rPr>
        <w:softHyphen/>
        <w:t>торского отдела, организации складского хозяйства, хранения транспорта и т.д. Территория завода неблаго</w:t>
      </w:r>
      <w:r w:rsidRPr="00DB5D0D">
        <w:rPr>
          <w:rFonts w:ascii="Times New Roman" w:hAnsi="Times New Roman"/>
          <w:color w:val="000000" w:themeColor="text1"/>
          <w:sz w:val="16"/>
          <w:szCs w:val="16"/>
        </w:rPr>
        <w:softHyphen/>
        <w:t>устроенна, захламлена.</w:t>
      </w:r>
    </w:p>
    <w:p w14:paraId="04F8CAE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Мы представили Наркому Авиационной Промыш</w:t>
      </w:r>
      <w:r w:rsidRPr="00DB5D0D">
        <w:rPr>
          <w:rFonts w:ascii="Times New Roman" w:hAnsi="Times New Roman"/>
          <w:color w:val="000000" w:themeColor="text1"/>
          <w:sz w:val="16"/>
          <w:szCs w:val="16"/>
        </w:rPr>
        <w:softHyphen/>
        <w:t>ленности свои соображения и сметно-финансовые рас</w:t>
      </w:r>
      <w:r w:rsidRPr="00DB5D0D">
        <w:rPr>
          <w:rFonts w:ascii="Times New Roman" w:hAnsi="Times New Roman"/>
          <w:color w:val="000000" w:themeColor="text1"/>
          <w:sz w:val="16"/>
          <w:szCs w:val="16"/>
        </w:rPr>
        <w:softHyphen/>
        <w:t>четы стоимости организации завода на общую сумму 13123 тыс. рублей, в том числе жилой дом стоимостью в 3750 тысяч рублей...</w:t>
      </w:r>
    </w:p>
    <w:p w14:paraId="578C182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Особо обращаю Ваше внимание, тов. Молотов, на плохое моральное и физическое состояние руководителя коллектива тов. Поликарпова Н.Н., явившееся следстви</w:t>
      </w:r>
      <w:r w:rsidRPr="00DB5D0D">
        <w:rPr>
          <w:rFonts w:ascii="Times New Roman" w:hAnsi="Times New Roman"/>
          <w:color w:val="000000" w:themeColor="text1"/>
          <w:sz w:val="16"/>
          <w:szCs w:val="16"/>
        </w:rPr>
        <w:softHyphen/>
        <w:t>ем катастроф с самолетом СПБ изготовления завода № 22 и отсутствия каких-либо перспектив в дальнейшей работе из-за положения с производственной базой.</w:t>
      </w:r>
    </w:p>
    <w:p w14:paraId="3487075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Поликарпов на почве нервного истощения и физического переутомления болен и уже несколько дней не выходит на работу.</w:t>
      </w:r>
    </w:p>
    <w:p w14:paraId="3B30EAB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Поликарпов, много сделав для укрепления обо</w:t>
      </w:r>
      <w:r w:rsidRPr="00DB5D0D">
        <w:rPr>
          <w:rFonts w:ascii="Times New Roman" w:hAnsi="Times New Roman"/>
          <w:color w:val="000000" w:themeColor="text1"/>
          <w:sz w:val="16"/>
          <w:szCs w:val="16"/>
        </w:rPr>
        <w:softHyphen/>
        <w:t>ронной мощи нашего Союза, мог бы сделать и может сделать в дальнейшем еще больше, если ему и руково</w:t>
      </w:r>
      <w:r w:rsidRPr="00DB5D0D">
        <w:rPr>
          <w:rFonts w:ascii="Times New Roman" w:hAnsi="Times New Roman"/>
          <w:color w:val="000000" w:themeColor="text1"/>
          <w:sz w:val="16"/>
          <w:szCs w:val="16"/>
        </w:rPr>
        <w:softHyphen/>
        <w:t>димому им коллективу конструкторов будут созданы соответствующие условия.</w:t>
      </w:r>
    </w:p>
    <w:p w14:paraId="5EA980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Вашего, тов. Молотов, вмешательства в раз</w:t>
      </w:r>
      <w:r w:rsidRPr="00DB5D0D">
        <w:rPr>
          <w:rFonts w:ascii="Times New Roman" w:hAnsi="Times New Roman"/>
          <w:color w:val="000000" w:themeColor="text1"/>
          <w:sz w:val="16"/>
          <w:szCs w:val="16"/>
        </w:rPr>
        <w:softHyphen/>
        <w:t>решение вышеизложенных вопросов, так как Наркомат Авиационной Промышленности этих вопросов не раз</w:t>
      </w:r>
      <w:r w:rsidRPr="00DB5D0D">
        <w:rPr>
          <w:rFonts w:ascii="Times New Roman" w:hAnsi="Times New Roman"/>
          <w:color w:val="000000" w:themeColor="text1"/>
          <w:sz w:val="16"/>
          <w:szCs w:val="16"/>
        </w:rPr>
        <w:softHyphen/>
        <w:t>решает» (10667). Молотов, не решаясь самостоятельно принять необ</w:t>
      </w:r>
      <w:r w:rsidRPr="00DB5D0D">
        <w:rPr>
          <w:rFonts w:ascii="Times New Roman" w:hAnsi="Times New Roman"/>
          <w:color w:val="000000" w:themeColor="text1"/>
          <w:sz w:val="16"/>
          <w:szCs w:val="16"/>
        </w:rPr>
        <w:softHyphen/>
        <w:t>ходимые меры, передал это письмо Сталину. Вопрос о Поликарпове разбирался при обсуждении авиационных дел на заседании ЦК ВКП(б). А.С.Яковлев воспоминал:</w:t>
      </w:r>
    </w:p>
    <w:p w14:paraId="27B142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«Нашлись любители при удобном случае лягнуть этого заслуженного человека. В Центральном Комитете это заметили, и однажды на реплику о том, что «давно надо прикрыть конструкторское бюро Поликарпова», что он «выдохся», Сталин сказал:</w:t>
      </w:r>
    </w:p>
    <w:p w14:paraId="5654AF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Даже если забыть о заслугах Поликарпова в облас</w:t>
      </w:r>
      <w:r w:rsidRPr="00DB5D0D">
        <w:rPr>
          <w:rFonts w:ascii="Times New Roman" w:hAnsi="Times New Roman"/>
          <w:color w:val="000000" w:themeColor="text1"/>
          <w:sz w:val="16"/>
          <w:szCs w:val="16"/>
        </w:rPr>
        <w:softHyphen/>
        <w:t>ти истребителей, а этого забывать нельзя, - он построил нам У-2...</w:t>
      </w:r>
    </w:p>
    <w:p w14:paraId="09D85D1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Когда построен У-2? - спросил он меня.</w:t>
      </w:r>
    </w:p>
    <w:p w14:paraId="4C77770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1927 году.</w:t>
      </w:r>
    </w:p>
    <w:p w14:paraId="1E1DE1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Ну вот, видите, пятнадцать лет готовим летные ка</w:t>
      </w:r>
      <w:r w:rsidRPr="00DB5D0D">
        <w:rPr>
          <w:rFonts w:ascii="Times New Roman" w:hAnsi="Times New Roman"/>
          <w:color w:val="000000" w:themeColor="text1"/>
          <w:sz w:val="16"/>
          <w:szCs w:val="16"/>
        </w:rPr>
        <w:softHyphen/>
        <w:t>дры на его машинах.</w:t>
      </w:r>
    </w:p>
    <w:p w14:paraId="7B6DEB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Этим разговорам был положен конец злословию в адрес Поликарпова».</w:t>
      </w:r>
    </w:p>
    <w:p w14:paraId="430159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Положение постепенно стало меняться в лучшую сторону. Наркомат выделил средства, началось строи</w:t>
      </w:r>
      <w:r w:rsidRPr="00DB5D0D">
        <w:rPr>
          <w:rFonts w:ascii="Times New Roman" w:hAnsi="Times New Roman"/>
          <w:color w:val="000000" w:themeColor="text1"/>
          <w:sz w:val="16"/>
          <w:szCs w:val="16"/>
        </w:rPr>
        <w:softHyphen/>
        <w:t>тельство завода №51.(10667).</w:t>
      </w:r>
    </w:p>
    <w:p w14:paraId="25D4C6A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ED574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состоялось совещание постоянной комиссии НКАП по рассмотрению эскизных проектов самолетов (протокол 11). Рассмотрели:</w:t>
      </w:r>
    </w:p>
    <w:p w14:paraId="0DE99D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проект скоростного пикирующего бомбардировщика т. Жиганова, 135 завод, - двухмоторного моноплана с двумя хвостовыми балками - продолжениями мотогондол и фюзеляжем на крыле по оси машины c кабинами пилота и стрелка с 2хМ-82 с удлиненным валом. Выводы: "Ввиду того, что к моменту окончания постройки самолет окажется с устаревшими данными, комиссия считает продолжение работы нецелесообразным (1448,129);</w:t>
      </w:r>
    </w:p>
    <w:p w14:paraId="565DB8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эскизный проект маневренно-скоростного истребителя с М-71 самолет 11 ГК завода 207 Боровкова. Свободнонесущий биплан с крыльями типа чайки и скоростью 654 км/час. Заключение: "Ввиду установки на самолет ВРД и закрытых капотов на мотор с удлиненным валом необходимо самолет считать экспериментальным.</w:t>
      </w:r>
    </w:p>
    <w:p w14:paraId="646D10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постройку самолета для проведения эксперимента по применению ВРД целесообразной. Для отработки ВМГ и отработке в трубе ЦАГИ построить работающий макет самолета (1448,133).</w:t>
      </w:r>
    </w:p>
    <w:p w14:paraId="472DEB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эскизный проект пикирующего бомбардировщика-истребителя В.Н.Беляева, 156 завода - высокоплана с М-107, толкающим винтом и оперением на 2-х балках и 3-х колесным шасси смешанной конструкции. Основан на принципиальной схеме экспериментального одноместного истребителя, строящегося на 156 заводе. Вывод: Ввиду того, что предлагаемый самолет ПБИ основан на принципиальной схеме непроверенного еще экспериментально ЭОИ, комиссия считает, что впредь до выяснения результатов испытаний этого самолета работу по ПБИ вести нецелесообразно (1448,150).</w:t>
      </w:r>
    </w:p>
    <w:p w14:paraId="47A88EB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78B1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в первый полет на УПО-21 конструкции А.А.Смолина вышел л И.А.Квасов. Летали до 27 августа 1940 пока директор 21 завода Воронин сославшись на НКАП запретил полеты без соответствующих документов о прочности (2080,182).</w:t>
      </w:r>
    </w:p>
    <w:p w14:paraId="392F982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1EDCC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УПО-21 выкатили на летное поле (10212).</w:t>
      </w:r>
    </w:p>
    <w:p w14:paraId="4AD4590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AFC023F"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 августа 1940 - Первый полёт учебного первоначального обучения самолёта УПО-21 (УТ-8). Лётчик-испытатель Квасов Иван Андреевич (22388).</w:t>
      </w:r>
    </w:p>
    <w:p w14:paraId="20EEFDC2" w14:textId="77777777" w:rsidR="009E5CA9" w:rsidRPr="00DB5D0D" w:rsidRDefault="009E5CA9" w:rsidP="00DB5D0D">
      <w:pPr>
        <w:spacing w:after="0" w:line="240" w:lineRule="auto"/>
        <w:jc w:val="both"/>
        <w:rPr>
          <w:rFonts w:ascii="Times New Roman" w:hAnsi="Times New Roman"/>
          <w:color w:val="0070C0"/>
          <w:sz w:val="16"/>
          <w:szCs w:val="16"/>
        </w:rPr>
      </w:pPr>
    </w:p>
    <w:p w14:paraId="4F696B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в 14:27 на УПО-21 были начаты пробежки и в 17:30 был выполнен первый подлет, а в 19:20 - Квасов выполнил первый 4-минутный полет (10212).</w:t>
      </w:r>
    </w:p>
    <w:p w14:paraId="1A51633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57E2E9" w14:textId="77777777" w:rsidR="002D432D" w:rsidRPr="00DB5D0D" w:rsidRDefault="002D43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в 1940 году первый полет самолета</w:t>
      </w:r>
      <w:hyperlink r:id="rId299" w:tgtFrame="_blank" w:history="1">
        <w:r w:rsidRPr="00DB5D0D">
          <w:rPr>
            <w:rFonts w:ascii="Times New Roman" w:hAnsi="Times New Roman"/>
            <w:color w:val="000000" w:themeColor="text1"/>
            <w:sz w:val="16"/>
            <w:szCs w:val="16"/>
          </w:rPr>
          <w:t xml:space="preserve"> «УПО-21» </w:t>
        </w:r>
      </w:hyperlink>
      <w:r w:rsidRPr="00DB5D0D">
        <w:rPr>
          <w:rFonts w:ascii="Times New Roman" w:hAnsi="Times New Roman"/>
          <w:color w:val="000000" w:themeColor="text1"/>
          <w:sz w:val="16"/>
          <w:szCs w:val="16"/>
        </w:rPr>
        <w:t>с мотором "Додж" (заводской №633329-9), что привело к увеличению полной длины «УТ-8» на 20 мм. «УПО-21» выкатили на летное поле 24 августа, в 14.27 были начались пробежки, в 17.30 - выполнен первый подлет, а в 19.20 пилот Квасов совершил 5-ти минутный полет. 26 и 27-го августа Квасов и А.Смолин (пассажир) совершили 3 полета, примерно по полчаса каждый. После самолет поставили в ангар - для проведения испытаний требовалось разрешение наркомата (14992).</w:t>
      </w:r>
    </w:p>
    <w:p w14:paraId="29A8EBBF" w14:textId="77777777" w:rsidR="002D432D" w:rsidRPr="00DB5D0D" w:rsidRDefault="002D432D" w:rsidP="00DB5D0D">
      <w:pPr>
        <w:spacing w:after="0" w:line="240" w:lineRule="auto"/>
        <w:jc w:val="both"/>
        <w:rPr>
          <w:rFonts w:ascii="Times New Roman" w:hAnsi="Times New Roman"/>
          <w:color w:val="000000" w:themeColor="text1"/>
          <w:sz w:val="16"/>
          <w:szCs w:val="16"/>
        </w:rPr>
      </w:pPr>
    </w:p>
    <w:p w14:paraId="5068D5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контролер Вахрушев - представитель КО СНК СССР - в журнале Учета выполнения постановлени правительства в отношении постановления КО N 126сс 1940 “О достройке одномоторного морского УТ с-та” отметил:</w:t>
      </w:r>
    </w:p>
    <w:p w14:paraId="60DFFE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 самолета САМ-11 с МВ-6 находится на госипытаниях (с мая м-ца) (10395).</w:t>
      </w:r>
    </w:p>
    <w:p w14:paraId="0C41E7E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76ABE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 начальник авиации ВМФ генерал-лейтенант авиации Жаворонков писал письмо N 58330 сс секретарю Совета оборонной промышленности при СНК Семичастнову.</w:t>
      </w:r>
    </w:p>
    <w:p w14:paraId="351140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N 376/соп от 20 августа 1904 г.</w:t>
      </w:r>
    </w:p>
    <w:p w14:paraId="71DA5D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наркома ВМФ адмирала Кузнецова N 00154 от 19 июня 1940 г. работы по соединенным самолетам (СПБ) конструктора Вахмистрова прекращены.</w:t>
      </w:r>
    </w:p>
    <w:p w14:paraId="614940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Пять комплектов приспособлений СПБ, уже изготовленных заводом N 207 решено использовать для войсковых испытаний.</w:t>
      </w:r>
    </w:p>
    <w:p w14:paraId="524E32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этой целью на Черном море сформирована специальная часть, которая начнет полеты в сентябре-октябре 1940 г.</w:t>
      </w:r>
    </w:p>
    <w:p w14:paraId="1CFBD7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качестве технического консультанта на испытания приглашен Вахмистров.</w:t>
      </w:r>
    </w:p>
    <w:p w14:paraId="047D33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Продолжать опытные работы Вахмистрова на ТБ-3 нецелесообразно.</w:t>
      </w:r>
    </w:p>
    <w:p w14:paraId="523438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целесообразности работ Вахмистрова на новых ТБ может дать заключение ГУ ВВС.</w:t>
      </w:r>
    </w:p>
    <w:p w14:paraId="386D6E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Авиация ВМФ на вооружении их не имеет и не получает в 1941 г. (3371,32).</w:t>
      </w:r>
    </w:p>
    <w:p w14:paraId="594640C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3037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года начальник 6 управления ГУ ВВС бригинженер Лапин писал письмо № 507949 зам. начальника ВВС генерал-лейтенанту авиации Астахову</w:t>
      </w:r>
    </w:p>
    <w:p w14:paraId="0FBD24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Вашего приказания представляю при сем справку о проводимых испытаниях по серийным самолетам выпускаемых заводами НКАП.</w:t>
      </w:r>
    </w:p>
    <w:p w14:paraId="6635B0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упомянутое на 2 листах.</w:t>
      </w:r>
    </w:p>
    <w:p w14:paraId="34BC72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 о проводимых испытаниях по серийным самолетам бомбардировщикам на 23 августа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851"/>
        <w:gridCol w:w="1428"/>
        <w:gridCol w:w="1417"/>
        <w:gridCol w:w="1418"/>
        <w:gridCol w:w="1417"/>
        <w:gridCol w:w="2126"/>
      </w:tblGrid>
      <w:tr w:rsidR="007D5DF8" w:rsidRPr="00DB5D0D" w14:paraId="0E07987D" w14:textId="77777777" w:rsidTr="00E543D0">
        <w:tc>
          <w:tcPr>
            <w:tcW w:w="1657" w:type="dxa"/>
          </w:tcPr>
          <w:p w14:paraId="3C8BE1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самолета</w:t>
            </w:r>
          </w:p>
        </w:tc>
        <w:tc>
          <w:tcPr>
            <w:tcW w:w="851" w:type="dxa"/>
          </w:tcPr>
          <w:p w14:paraId="5D4C83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заводов</w:t>
            </w:r>
          </w:p>
        </w:tc>
        <w:tc>
          <w:tcPr>
            <w:tcW w:w="1428" w:type="dxa"/>
          </w:tcPr>
          <w:p w14:paraId="5B5700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Какие испытания проходит</w:t>
            </w:r>
          </w:p>
        </w:tc>
        <w:tc>
          <w:tcPr>
            <w:tcW w:w="1417" w:type="dxa"/>
          </w:tcPr>
          <w:p w14:paraId="33C50B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Где проводятся испытания</w:t>
            </w:r>
          </w:p>
        </w:tc>
        <w:tc>
          <w:tcPr>
            <w:tcW w:w="1418" w:type="dxa"/>
          </w:tcPr>
          <w:p w14:paraId="29481B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какого времени</w:t>
            </w:r>
          </w:p>
        </w:tc>
        <w:tc>
          <w:tcPr>
            <w:tcW w:w="1417" w:type="dxa"/>
          </w:tcPr>
          <w:p w14:paraId="4E64E6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постановления КО</w:t>
            </w:r>
          </w:p>
        </w:tc>
        <w:tc>
          <w:tcPr>
            <w:tcW w:w="2126" w:type="dxa"/>
          </w:tcPr>
          <w:p w14:paraId="0FECE4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Краткие результаты испытаний</w:t>
            </w:r>
          </w:p>
        </w:tc>
      </w:tr>
      <w:tr w:rsidR="007D5DF8" w:rsidRPr="00DB5D0D" w14:paraId="6326B9EB" w14:textId="77777777" w:rsidTr="00E543D0">
        <w:tc>
          <w:tcPr>
            <w:tcW w:w="1657" w:type="dxa"/>
          </w:tcPr>
          <w:p w14:paraId="5471A2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СБ-РК</w:t>
            </w:r>
          </w:p>
        </w:tc>
        <w:tc>
          <w:tcPr>
            <w:tcW w:w="851" w:type="dxa"/>
          </w:tcPr>
          <w:p w14:paraId="26756B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28" w:type="dxa"/>
          </w:tcPr>
          <w:p w14:paraId="01AF2E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w:t>
            </w:r>
          </w:p>
        </w:tc>
        <w:tc>
          <w:tcPr>
            <w:tcW w:w="1417" w:type="dxa"/>
          </w:tcPr>
          <w:p w14:paraId="3895AA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22</w:t>
            </w:r>
          </w:p>
        </w:tc>
        <w:tc>
          <w:tcPr>
            <w:tcW w:w="1418" w:type="dxa"/>
          </w:tcPr>
          <w:p w14:paraId="60B217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15 июля</w:t>
            </w:r>
          </w:p>
        </w:tc>
        <w:tc>
          <w:tcPr>
            <w:tcW w:w="1417" w:type="dxa"/>
          </w:tcPr>
          <w:p w14:paraId="2B4117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240сс</w:t>
            </w:r>
          </w:p>
        </w:tc>
        <w:tc>
          <w:tcPr>
            <w:tcW w:w="2126" w:type="dxa"/>
          </w:tcPr>
          <w:p w14:paraId="7B32B3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занимаются доводкой ВМГ.</w:t>
            </w:r>
          </w:p>
        </w:tc>
      </w:tr>
      <w:tr w:rsidR="007D5DF8" w:rsidRPr="00DB5D0D" w14:paraId="72173639" w14:textId="77777777" w:rsidTr="00E543D0">
        <w:tc>
          <w:tcPr>
            <w:tcW w:w="1657" w:type="dxa"/>
          </w:tcPr>
          <w:p w14:paraId="5FB75F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w:t>
            </w:r>
          </w:p>
        </w:tc>
        <w:tc>
          <w:tcPr>
            <w:tcW w:w="851" w:type="dxa"/>
          </w:tcPr>
          <w:p w14:paraId="18CD6C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28" w:type="dxa"/>
          </w:tcPr>
          <w:p w14:paraId="1BB8B2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w:t>
            </w:r>
          </w:p>
        </w:tc>
        <w:tc>
          <w:tcPr>
            <w:tcW w:w="1417" w:type="dxa"/>
          </w:tcPr>
          <w:p w14:paraId="17AE6E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22</w:t>
            </w:r>
          </w:p>
        </w:tc>
        <w:tc>
          <w:tcPr>
            <w:tcW w:w="1418" w:type="dxa"/>
          </w:tcPr>
          <w:p w14:paraId="19CD58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10 августа</w:t>
            </w:r>
          </w:p>
        </w:tc>
        <w:tc>
          <w:tcPr>
            <w:tcW w:w="1417" w:type="dxa"/>
          </w:tcPr>
          <w:p w14:paraId="75B6E7B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126" w:type="dxa"/>
          </w:tcPr>
          <w:p w14:paraId="04E577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по открытию бомболюков и эксплуатационные испытания схемы нейтрального газа (100 час.). Испытания не закончены.</w:t>
            </w:r>
          </w:p>
        </w:tc>
      </w:tr>
      <w:tr w:rsidR="007D5DF8" w:rsidRPr="00DB5D0D" w14:paraId="4CEAA5D0" w14:textId="77777777" w:rsidTr="00E543D0">
        <w:tc>
          <w:tcPr>
            <w:tcW w:w="1657" w:type="dxa"/>
          </w:tcPr>
          <w:p w14:paraId="7F882C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2М-105 с ТК ЦИАМ</w:t>
            </w:r>
          </w:p>
        </w:tc>
        <w:tc>
          <w:tcPr>
            <w:tcW w:w="851" w:type="dxa"/>
          </w:tcPr>
          <w:p w14:paraId="2628DD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28" w:type="dxa"/>
          </w:tcPr>
          <w:p w14:paraId="08D489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w:t>
            </w:r>
          </w:p>
        </w:tc>
        <w:tc>
          <w:tcPr>
            <w:tcW w:w="1417" w:type="dxa"/>
          </w:tcPr>
          <w:p w14:paraId="5C9ABE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22</w:t>
            </w:r>
          </w:p>
        </w:tc>
        <w:tc>
          <w:tcPr>
            <w:tcW w:w="1418" w:type="dxa"/>
          </w:tcPr>
          <w:p w14:paraId="377D66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марта 1940 года</w:t>
            </w:r>
          </w:p>
        </w:tc>
        <w:tc>
          <w:tcPr>
            <w:tcW w:w="1417" w:type="dxa"/>
          </w:tcPr>
          <w:p w14:paraId="60C043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240сс</w:t>
            </w:r>
          </w:p>
        </w:tc>
        <w:tc>
          <w:tcPr>
            <w:tcW w:w="2126" w:type="dxa"/>
          </w:tcPr>
          <w:p w14:paraId="4AF8FC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 новый вариант тоннеля. Положительный результатов испытаний нет ввиду вибрации оперения.</w:t>
            </w:r>
          </w:p>
        </w:tc>
      </w:tr>
      <w:tr w:rsidR="007D5DF8" w:rsidRPr="00DB5D0D" w14:paraId="66F01C74" w14:textId="77777777" w:rsidTr="00E543D0">
        <w:tc>
          <w:tcPr>
            <w:tcW w:w="1657" w:type="dxa"/>
          </w:tcPr>
          <w:p w14:paraId="60E7F8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2М-103 с ТК</w:t>
            </w:r>
          </w:p>
        </w:tc>
        <w:tc>
          <w:tcPr>
            <w:tcW w:w="851" w:type="dxa"/>
          </w:tcPr>
          <w:p w14:paraId="3E3ADB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28" w:type="dxa"/>
          </w:tcPr>
          <w:p w14:paraId="72F877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w:t>
            </w:r>
          </w:p>
        </w:tc>
        <w:tc>
          <w:tcPr>
            <w:tcW w:w="1417" w:type="dxa"/>
          </w:tcPr>
          <w:p w14:paraId="410BE9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22</w:t>
            </w:r>
          </w:p>
        </w:tc>
        <w:tc>
          <w:tcPr>
            <w:tcW w:w="1418" w:type="dxa"/>
          </w:tcPr>
          <w:p w14:paraId="011127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февраля 1940 года</w:t>
            </w:r>
          </w:p>
        </w:tc>
        <w:tc>
          <w:tcPr>
            <w:tcW w:w="1417" w:type="dxa"/>
          </w:tcPr>
          <w:p w14:paraId="0A124D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240сс</w:t>
            </w:r>
          </w:p>
        </w:tc>
        <w:tc>
          <w:tcPr>
            <w:tcW w:w="2126" w:type="dxa"/>
          </w:tcPr>
          <w:p w14:paraId="7B2C20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прекращены и перенесены на М-105. Самолет законсервирован.</w:t>
            </w:r>
          </w:p>
        </w:tc>
      </w:tr>
      <w:tr w:rsidR="007D5DF8" w:rsidRPr="00DB5D0D" w14:paraId="441908C2" w14:textId="77777777" w:rsidTr="00E543D0">
        <w:tc>
          <w:tcPr>
            <w:tcW w:w="1657" w:type="dxa"/>
          </w:tcPr>
          <w:p w14:paraId="24807C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2М-105</w:t>
            </w:r>
          </w:p>
        </w:tc>
        <w:tc>
          <w:tcPr>
            <w:tcW w:w="851" w:type="dxa"/>
          </w:tcPr>
          <w:p w14:paraId="702437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28" w:type="dxa"/>
          </w:tcPr>
          <w:p w14:paraId="38665A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w:t>
            </w:r>
          </w:p>
        </w:tc>
        <w:tc>
          <w:tcPr>
            <w:tcW w:w="1417" w:type="dxa"/>
          </w:tcPr>
          <w:p w14:paraId="49B051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22</w:t>
            </w:r>
          </w:p>
        </w:tc>
        <w:tc>
          <w:tcPr>
            <w:tcW w:w="1418" w:type="dxa"/>
          </w:tcPr>
          <w:p w14:paraId="0C4386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года</w:t>
            </w:r>
          </w:p>
        </w:tc>
        <w:tc>
          <w:tcPr>
            <w:tcW w:w="1417" w:type="dxa"/>
          </w:tcPr>
          <w:p w14:paraId="158701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240сс</w:t>
            </w:r>
          </w:p>
        </w:tc>
        <w:tc>
          <w:tcPr>
            <w:tcW w:w="2126" w:type="dxa"/>
          </w:tcPr>
          <w:p w14:paraId="774599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2 полета, в результате отказа прибора "Наяда" полеты прекращены.</w:t>
            </w:r>
          </w:p>
        </w:tc>
      </w:tr>
      <w:tr w:rsidR="007D5DF8" w:rsidRPr="00DB5D0D" w14:paraId="2AA93FAA" w14:textId="77777777" w:rsidTr="00E543D0">
        <w:tc>
          <w:tcPr>
            <w:tcW w:w="1657" w:type="dxa"/>
          </w:tcPr>
          <w:p w14:paraId="0F71C6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2М-103</w:t>
            </w:r>
          </w:p>
        </w:tc>
        <w:tc>
          <w:tcPr>
            <w:tcW w:w="851" w:type="dxa"/>
          </w:tcPr>
          <w:p w14:paraId="1AC8D1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28" w:type="dxa"/>
          </w:tcPr>
          <w:p w14:paraId="252076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w:t>
            </w:r>
          </w:p>
        </w:tc>
        <w:tc>
          <w:tcPr>
            <w:tcW w:w="1417" w:type="dxa"/>
          </w:tcPr>
          <w:p w14:paraId="696522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22</w:t>
            </w:r>
          </w:p>
        </w:tc>
        <w:tc>
          <w:tcPr>
            <w:tcW w:w="1418" w:type="dxa"/>
          </w:tcPr>
          <w:p w14:paraId="67EF63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августа 1940 года</w:t>
            </w:r>
          </w:p>
        </w:tc>
        <w:tc>
          <w:tcPr>
            <w:tcW w:w="1417" w:type="dxa"/>
          </w:tcPr>
          <w:p w14:paraId="65D157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240сс</w:t>
            </w:r>
          </w:p>
        </w:tc>
        <w:tc>
          <w:tcPr>
            <w:tcW w:w="2126" w:type="dxa"/>
          </w:tcPr>
          <w:p w14:paraId="2B20F6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три полета по испытанию схемы газоанализаторов. Испытания продолжаются.</w:t>
            </w:r>
          </w:p>
        </w:tc>
      </w:tr>
      <w:tr w:rsidR="007D5DF8" w:rsidRPr="00DB5D0D" w14:paraId="512802A3" w14:textId="77777777" w:rsidTr="00E543D0">
        <w:tc>
          <w:tcPr>
            <w:tcW w:w="1657" w:type="dxa"/>
          </w:tcPr>
          <w:p w14:paraId="39FC15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2М-105</w:t>
            </w:r>
          </w:p>
        </w:tc>
        <w:tc>
          <w:tcPr>
            <w:tcW w:w="851" w:type="dxa"/>
          </w:tcPr>
          <w:p w14:paraId="16DC55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28" w:type="dxa"/>
          </w:tcPr>
          <w:p w14:paraId="1DD833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Войсковые</w:t>
            </w:r>
          </w:p>
        </w:tc>
        <w:tc>
          <w:tcPr>
            <w:tcW w:w="1417" w:type="dxa"/>
          </w:tcPr>
          <w:p w14:paraId="0A4B9B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Калинин</w:t>
            </w:r>
          </w:p>
        </w:tc>
        <w:tc>
          <w:tcPr>
            <w:tcW w:w="1418" w:type="dxa"/>
          </w:tcPr>
          <w:p w14:paraId="11A3F4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14 июля</w:t>
            </w:r>
          </w:p>
        </w:tc>
        <w:tc>
          <w:tcPr>
            <w:tcW w:w="1417" w:type="dxa"/>
          </w:tcPr>
          <w:p w14:paraId="59FA63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 ВВС</w:t>
            </w:r>
          </w:p>
        </w:tc>
        <w:tc>
          <w:tcPr>
            <w:tcW w:w="2126" w:type="dxa"/>
          </w:tcPr>
          <w:p w14:paraId="75CCE9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процессе испытаний моторов М-105 произведена их замена. Испытания не закончены.</w:t>
            </w:r>
          </w:p>
        </w:tc>
      </w:tr>
      <w:tr w:rsidR="007D5DF8" w:rsidRPr="00DB5D0D" w14:paraId="78EA532B" w14:textId="77777777" w:rsidTr="00E543D0">
        <w:tc>
          <w:tcPr>
            <w:tcW w:w="1657" w:type="dxa"/>
          </w:tcPr>
          <w:p w14:paraId="06FA07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СПБ</w:t>
            </w:r>
          </w:p>
        </w:tc>
        <w:tc>
          <w:tcPr>
            <w:tcW w:w="851" w:type="dxa"/>
          </w:tcPr>
          <w:p w14:paraId="40F8BC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28" w:type="dxa"/>
          </w:tcPr>
          <w:p w14:paraId="217375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w:t>
            </w:r>
          </w:p>
        </w:tc>
        <w:tc>
          <w:tcPr>
            <w:tcW w:w="1417" w:type="dxa"/>
          </w:tcPr>
          <w:p w14:paraId="657681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22</w:t>
            </w:r>
          </w:p>
        </w:tc>
        <w:tc>
          <w:tcPr>
            <w:tcW w:w="1418" w:type="dxa"/>
          </w:tcPr>
          <w:p w14:paraId="0E627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января по 20 июля</w:t>
            </w:r>
          </w:p>
        </w:tc>
        <w:tc>
          <w:tcPr>
            <w:tcW w:w="1417" w:type="dxa"/>
          </w:tcPr>
          <w:p w14:paraId="72A72B1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126" w:type="dxa"/>
          </w:tcPr>
          <w:p w14:paraId="122D8F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Проведены заводские испытания кроме флаттера. Испытания прекращены по приказу НКАП.</w:t>
            </w:r>
          </w:p>
        </w:tc>
      </w:tr>
      <w:tr w:rsidR="007D5DF8" w:rsidRPr="00DB5D0D" w14:paraId="46742CF0" w14:textId="77777777" w:rsidTr="00E543D0">
        <w:tc>
          <w:tcPr>
            <w:tcW w:w="1657" w:type="dxa"/>
          </w:tcPr>
          <w:p w14:paraId="508585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w:t>
            </w:r>
          </w:p>
        </w:tc>
        <w:tc>
          <w:tcPr>
            <w:tcW w:w="851" w:type="dxa"/>
          </w:tcPr>
          <w:p w14:paraId="2D50AA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28" w:type="dxa"/>
          </w:tcPr>
          <w:p w14:paraId="0AA388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Государственные</w:t>
            </w:r>
          </w:p>
        </w:tc>
        <w:tc>
          <w:tcPr>
            <w:tcW w:w="1417" w:type="dxa"/>
          </w:tcPr>
          <w:p w14:paraId="3EB0AA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ВВС</w:t>
            </w:r>
          </w:p>
        </w:tc>
        <w:tc>
          <w:tcPr>
            <w:tcW w:w="1418" w:type="dxa"/>
          </w:tcPr>
          <w:p w14:paraId="1A85B5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августа 1940 года</w:t>
            </w:r>
          </w:p>
        </w:tc>
        <w:tc>
          <w:tcPr>
            <w:tcW w:w="1417" w:type="dxa"/>
          </w:tcPr>
          <w:p w14:paraId="16A0A7F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126" w:type="dxa"/>
          </w:tcPr>
          <w:p w14:paraId="2C57FC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убирающегося МВ-2. Не закончен отчет.</w:t>
            </w:r>
          </w:p>
        </w:tc>
      </w:tr>
      <w:tr w:rsidR="007D5DF8" w:rsidRPr="00DB5D0D" w14:paraId="07883888" w14:textId="77777777" w:rsidTr="00E543D0">
        <w:tc>
          <w:tcPr>
            <w:tcW w:w="1657" w:type="dxa"/>
          </w:tcPr>
          <w:p w14:paraId="71ECD4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ДБ-3ф</w:t>
            </w:r>
          </w:p>
        </w:tc>
        <w:tc>
          <w:tcPr>
            <w:tcW w:w="851" w:type="dxa"/>
          </w:tcPr>
          <w:p w14:paraId="25992A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1428" w:type="dxa"/>
          </w:tcPr>
          <w:p w14:paraId="0006D1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Государственные</w:t>
            </w:r>
          </w:p>
        </w:tc>
        <w:tc>
          <w:tcPr>
            <w:tcW w:w="1417" w:type="dxa"/>
          </w:tcPr>
          <w:p w14:paraId="20ACF8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ВВС</w:t>
            </w:r>
          </w:p>
        </w:tc>
        <w:tc>
          <w:tcPr>
            <w:tcW w:w="1418" w:type="dxa"/>
          </w:tcPr>
          <w:p w14:paraId="26BD87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8 июля</w:t>
            </w:r>
          </w:p>
        </w:tc>
        <w:tc>
          <w:tcPr>
            <w:tcW w:w="1417" w:type="dxa"/>
          </w:tcPr>
          <w:p w14:paraId="4FF4A0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201сс от 23 мая</w:t>
            </w:r>
          </w:p>
        </w:tc>
        <w:tc>
          <w:tcPr>
            <w:tcW w:w="2126" w:type="dxa"/>
          </w:tcPr>
          <w:p w14:paraId="76B48C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не закончены, устанавливается МВ-2 и МВ-3.</w:t>
            </w:r>
          </w:p>
        </w:tc>
      </w:tr>
      <w:tr w:rsidR="007D5DF8" w:rsidRPr="00DB5D0D" w14:paraId="66DF8155" w14:textId="77777777" w:rsidTr="00E543D0">
        <w:tc>
          <w:tcPr>
            <w:tcW w:w="1657" w:type="dxa"/>
          </w:tcPr>
          <w:p w14:paraId="0FED75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w:t>
            </w:r>
          </w:p>
        </w:tc>
        <w:tc>
          <w:tcPr>
            <w:tcW w:w="851" w:type="dxa"/>
          </w:tcPr>
          <w:p w14:paraId="23B8DD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1428" w:type="dxa"/>
          </w:tcPr>
          <w:p w14:paraId="060E38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w:t>
            </w:r>
          </w:p>
        </w:tc>
        <w:tc>
          <w:tcPr>
            <w:tcW w:w="1417" w:type="dxa"/>
          </w:tcPr>
          <w:p w14:paraId="6A8A02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240</w:t>
            </w:r>
          </w:p>
        </w:tc>
        <w:tc>
          <w:tcPr>
            <w:tcW w:w="1418" w:type="dxa"/>
          </w:tcPr>
          <w:p w14:paraId="4B975A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июня</w:t>
            </w:r>
          </w:p>
        </w:tc>
        <w:tc>
          <w:tcPr>
            <w:tcW w:w="1417" w:type="dxa"/>
          </w:tcPr>
          <w:p w14:paraId="0878FF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227сс от 29 июля</w:t>
            </w:r>
          </w:p>
        </w:tc>
        <w:tc>
          <w:tcPr>
            <w:tcW w:w="2126" w:type="dxa"/>
          </w:tcPr>
          <w:p w14:paraId="24F85B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не закончено, производится подготовка к полету на дальность.</w:t>
            </w:r>
          </w:p>
        </w:tc>
      </w:tr>
      <w:tr w:rsidR="007D5DF8" w:rsidRPr="00DB5D0D" w14:paraId="46AB90F4" w14:textId="77777777" w:rsidTr="00E543D0">
        <w:tc>
          <w:tcPr>
            <w:tcW w:w="1657" w:type="dxa"/>
          </w:tcPr>
          <w:p w14:paraId="277177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w:t>
            </w:r>
          </w:p>
        </w:tc>
        <w:tc>
          <w:tcPr>
            <w:tcW w:w="851" w:type="dxa"/>
          </w:tcPr>
          <w:p w14:paraId="471224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1428" w:type="dxa"/>
          </w:tcPr>
          <w:p w14:paraId="1E066A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Государственные испытания вооружения</w:t>
            </w:r>
          </w:p>
        </w:tc>
        <w:tc>
          <w:tcPr>
            <w:tcW w:w="1417" w:type="dxa"/>
          </w:tcPr>
          <w:p w14:paraId="7725C9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НИПАВ</w:t>
            </w:r>
          </w:p>
        </w:tc>
        <w:tc>
          <w:tcPr>
            <w:tcW w:w="1418" w:type="dxa"/>
          </w:tcPr>
          <w:p w14:paraId="7FB1EC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июня 1940 года</w:t>
            </w:r>
          </w:p>
        </w:tc>
        <w:tc>
          <w:tcPr>
            <w:tcW w:w="1417" w:type="dxa"/>
          </w:tcPr>
          <w:p w14:paraId="67CDD92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126" w:type="dxa"/>
          </w:tcPr>
          <w:p w14:paraId="5F11BD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Закончены только наземные испытания. Испытания в полете не проводились ввиду дефекта шасси (излом амортизационных стоек) и мотора (первая скорость нагнетателя).</w:t>
            </w:r>
          </w:p>
        </w:tc>
      </w:tr>
    </w:tbl>
    <w:p w14:paraId="3EE4C9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Справка об испытаниях опытных самолетов на заводах НКАП по 2 отделу 6 управления ГУ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2304"/>
        <w:gridCol w:w="1098"/>
        <w:gridCol w:w="1701"/>
        <w:gridCol w:w="2636"/>
        <w:gridCol w:w="908"/>
        <w:gridCol w:w="851"/>
      </w:tblGrid>
      <w:tr w:rsidR="007D5DF8" w:rsidRPr="00DB5D0D" w14:paraId="4DBFBE22" w14:textId="77777777" w:rsidTr="00E543D0">
        <w:tc>
          <w:tcPr>
            <w:tcW w:w="1242" w:type="dxa"/>
          </w:tcPr>
          <w:p w14:paraId="6A22F7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объекта</w:t>
            </w:r>
          </w:p>
        </w:tc>
        <w:tc>
          <w:tcPr>
            <w:tcW w:w="2304" w:type="dxa"/>
          </w:tcPr>
          <w:p w14:paraId="5A85FB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испытания объекта</w:t>
            </w:r>
          </w:p>
        </w:tc>
        <w:tc>
          <w:tcPr>
            <w:tcW w:w="1098" w:type="dxa"/>
          </w:tcPr>
          <w:p w14:paraId="611E81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Где производились испытания</w:t>
            </w:r>
          </w:p>
        </w:tc>
        <w:tc>
          <w:tcPr>
            <w:tcW w:w="1701" w:type="dxa"/>
          </w:tcPr>
          <w:p w14:paraId="6A655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w:t>
            </w:r>
          </w:p>
        </w:tc>
        <w:tc>
          <w:tcPr>
            <w:tcW w:w="2636" w:type="dxa"/>
          </w:tcPr>
          <w:p w14:paraId="4CF2C3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 испытаний на 20 августа 1940 года</w:t>
            </w:r>
          </w:p>
        </w:tc>
        <w:tc>
          <w:tcPr>
            <w:tcW w:w="908" w:type="dxa"/>
          </w:tcPr>
          <w:p w14:paraId="1846CE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Начало</w:t>
            </w:r>
          </w:p>
        </w:tc>
        <w:tc>
          <w:tcPr>
            <w:tcW w:w="851" w:type="dxa"/>
          </w:tcPr>
          <w:p w14:paraId="6F5C94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Окончание</w:t>
            </w:r>
          </w:p>
        </w:tc>
      </w:tr>
      <w:tr w:rsidR="007D5DF8" w:rsidRPr="00DB5D0D" w14:paraId="535C6D55" w14:textId="77777777" w:rsidTr="00E543D0">
        <w:tc>
          <w:tcPr>
            <w:tcW w:w="1242" w:type="dxa"/>
          </w:tcPr>
          <w:p w14:paraId="4FEDF4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И-301 с мотором М-105П</w:t>
            </w:r>
          </w:p>
        </w:tc>
        <w:tc>
          <w:tcPr>
            <w:tcW w:w="2304" w:type="dxa"/>
          </w:tcPr>
          <w:p w14:paraId="76D307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одноместного цельно деревянного скоростного истребителя</w:t>
            </w:r>
          </w:p>
        </w:tc>
        <w:tc>
          <w:tcPr>
            <w:tcW w:w="1098" w:type="dxa"/>
          </w:tcPr>
          <w:p w14:paraId="18D091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301</w:t>
            </w:r>
          </w:p>
        </w:tc>
        <w:tc>
          <w:tcPr>
            <w:tcW w:w="1701" w:type="dxa"/>
          </w:tcPr>
          <w:p w14:paraId="1465F3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построен по постановлению КО за № 243 от 29 июля 1939 года</w:t>
            </w:r>
          </w:p>
        </w:tc>
        <w:tc>
          <w:tcPr>
            <w:tcW w:w="2636" w:type="dxa"/>
          </w:tcPr>
          <w:p w14:paraId="2633D2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Признать целесообразным начать подготовку серийного выпуска самолетов.</w:t>
            </w:r>
          </w:p>
        </w:tc>
        <w:tc>
          <w:tcPr>
            <w:tcW w:w="908" w:type="dxa"/>
          </w:tcPr>
          <w:p w14:paraId="2D231A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Март</w:t>
            </w:r>
          </w:p>
        </w:tc>
        <w:tc>
          <w:tcPr>
            <w:tcW w:w="851" w:type="dxa"/>
          </w:tcPr>
          <w:p w14:paraId="36BEDE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Июнь</w:t>
            </w:r>
          </w:p>
        </w:tc>
      </w:tr>
      <w:tr w:rsidR="007D5DF8" w:rsidRPr="00DB5D0D" w14:paraId="64275EE1" w14:textId="77777777" w:rsidTr="00E543D0">
        <w:tc>
          <w:tcPr>
            <w:tcW w:w="1242" w:type="dxa"/>
          </w:tcPr>
          <w:p w14:paraId="1BDB2B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И-21</w:t>
            </w:r>
          </w:p>
        </w:tc>
        <w:tc>
          <w:tcPr>
            <w:tcW w:w="2304" w:type="dxa"/>
          </w:tcPr>
          <w:p w14:paraId="421E9E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1098" w:type="dxa"/>
          </w:tcPr>
          <w:p w14:paraId="2BC248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21</w:t>
            </w:r>
          </w:p>
        </w:tc>
        <w:tc>
          <w:tcPr>
            <w:tcW w:w="1701" w:type="dxa"/>
          </w:tcPr>
          <w:p w14:paraId="57670E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 106сс от 4 апреля 1940 года</w:t>
            </w:r>
          </w:p>
        </w:tc>
        <w:tc>
          <w:tcPr>
            <w:tcW w:w="2636" w:type="dxa"/>
          </w:tcPr>
          <w:p w14:paraId="27A957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закончены.</w:t>
            </w:r>
          </w:p>
        </w:tc>
        <w:tc>
          <w:tcPr>
            <w:tcW w:w="908" w:type="dxa"/>
          </w:tcPr>
          <w:p w14:paraId="269D5C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w:t>
            </w:r>
          </w:p>
        </w:tc>
        <w:tc>
          <w:tcPr>
            <w:tcW w:w="851" w:type="dxa"/>
          </w:tcPr>
          <w:p w14:paraId="7DF968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w:t>
            </w:r>
          </w:p>
        </w:tc>
      </w:tr>
      <w:tr w:rsidR="007D5DF8" w:rsidRPr="00DB5D0D" w14:paraId="08F2EB81" w14:textId="77777777" w:rsidTr="00E543D0">
        <w:tc>
          <w:tcPr>
            <w:tcW w:w="1242" w:type="dxa"/>
          </w:tcPr>
          <w:p w14:paraId="556FDC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И-200</w:t>
            </w:r>
          </w:p>
        </w:tc>
        <w:tc>
          <w:tcPr>
            <w:tcW w:w="2304" w:type="dxa"/>
          </w:tcPr>
          <w:p w14:paraId="3F743A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 летные и вооружения:</w:t>
            </w:r>
          </w:p>
          <w:p w14:paraId="68ED1D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 2 экз. заводские летные испытания со снятием летной характеристики</w:t>
            </w:r>
          </w:p>
          <w:p w14:paraId="6B9ED6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экз. заводские испытания вооружения самолета</w:t>
            </w:r>
          </w:p>
        </w:tc>
        <w:tc>
          <w:tcPr>
            <w:tcW w:w="1098" w:type="dxa"/>
          </w:tcPr>
          <w:p w14:paraId="478701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w:t>
            </w:r>
          </w:p>
          <w:p w14:paraId="21533AB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0FF622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0665C4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1EFA4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НИИ ВВС</w:t>
            </w:r>
          </w:p>
        </w:tc>
        <w:tc>
          <w:tcPr>
            <w:tcW w:w="1701" w:type="dxa"/>
          </w:tcPr>
          <w:p w14:paraId="4183DB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 103 от 4 апреля 1940 года</w:t>
            </w:r>
          </w:p>
        </w:tc>
        <w:tc>
          <w:tcPr>
            <w:tcW w:w="2636" w:type="dxa"/>
          </w:tcPr>
          <w:p w14:paraId="7A79C8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Заводские летные испытания на двух самолетах закончены, самолеты подготавливаются на госиспытания;</w:t>
            </w:r>
          </w:p>
          <w:p w14:paraId="2D0D65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один самолет на заводских испытаниях вооружения, заводские испытания показали:</w:t>
            </w:r>
          </w:p>
          <w:p w14:paraId="75F28C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Vmax 649 км/час</w:t>
            </w:r>
          </w:p>
          <w:p w14:paraId="7515A5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Задание проверялось, выполнено, самолет подготовлен для госиспытаний в НИИ ВВС.</w:t>
            </w:r>
          </w:p>
        </w:tc>
        <w:tc>
          <w:tcPr>
            <w:tcW w:w="908" w:type="dxa"/>
          </w:tcPr>
          <w:p w14:paraId="5A7F24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Апрель</w:t>
            </w:r>
          </w:p>
          <w:p w14:paraId="5A959F4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90BF08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A1782C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300B8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c>
          <w:tcPr>
            <w:tcW w:w="851" w:type="dxa"/>
          </w:tcPr>
          <w:p w14:paraId="1DC426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w:t>
            </w:r>
          </w:p>
        </w:tc>
      </w:tr>
      <w:tr w:rsidR="007D5DF8" w:rsidRPr="00DB5D0D" w14:paraId="0CF7B7F9" w14:textId="77777777" w:rsidTr="00E543D0">
        <w:tc>
          <w:tcPr>
            <w:tcW w:w="1242" w:type="dxa"/>
          </w:tcPr>
          <w:p w14:paraId="6A415F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 М105</w:t>
            </w:r>
          </w:p>
        </w:tc>
        <w:tc>
          <w:tcPr>
            <w:tcW w:w="2304" w:type="dxa"/>
          </w:tcPr>
          <w:p w14:paraId="690C92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1098" w:type="dxa"/>
          </w:tcPr>
          <w:p w14:paraId="226E61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w:t>
            </w:r>
          </w:p>
        </w:tc>
        <w:tc>
          <w:tcPr>
            <w:tcW w:w="1701" w:type="dxa"/>
          </w:tcPr>
          <w:p w14:paraId="7FAE84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 116сс от 4 марта 1940 года</w:t>
            </w:r>
          </w:p>
        </w:tc>
        <w:tc>
          <w:tcPr>
            <w:tcW w:w="2636" w:type="dxa"/>
          </w:tcPr>
          <w:p w14:paraId="651B3B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процессе прохождения испытания.</w:t>
            </w:r>
          </w:p>
        </w:tc>
        <w:tc>
          <w:tcPr>
            <w:tcW w:w="908" w:type="dxa"/>
          </w:tcPr>
          <w:p w14:paraId="60C8E7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Июль</w:t>
            </w:r>
          </w:p>
        </w:tc>
        <w:tc>
          <w:tcPr>
            <w:tcW w:w="851" w:type="dxa"/>
          </w:tcPr>
          <w:p w14:paraId="167120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Сентябрь</w:t>
            </w:r>
          </w:p>
        </w:tc>
      </w:tr>
      <w:tr w:rsidR="007D5DF8" w:rsidRPr="00DB5D0D" w14:paraId="1C1991F5" w14:textId="77777777" w:rsidTr="00E543D0">
        <w:tc>
          <w:tcPr>
            <w:tcW w:w="1242" w:type="dxa"/>
          </w:tcPr>
          <w:p w14:paraId="165982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И-190 М88</w:t>
            </w:r>
          </w:p>
        </w:tc>
        <w:tc>
          <w:tcPr>
            <w:tcW w:w="2304" w:type="dxa"/>
          </w:tcPr>
          <w:p w14:paraId="02E302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Заводские испытания</w:t>
            </w:r>
          </w:p>
        </w:tc>
        <w:tc>
          <w:tcPr>
            <w:tcW w:w="1098" w:type="dxa"/>
          </w:tcPr>
          <w:p w14:paraId="59F472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w:t>
            </w:r>
          </w:p>
        </w:tc>
        <w:tc>
          <w:tcPr>
            <w:tcW w:w="1701" w:type="dxa"/>
          </w:tcPr>
          <w:p w14:paraId="11E5E6F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636" w:type="dxa"/>
          </w:tcPr>
          <w:p w14:paraId="3BDB5C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процессе прохождения испытания.</w:t>
            </w:r>
          </w:p>
        </w:tc>
        <w:tc>
          <w:tcPr>
            <w:tcW w:w="908" w:type="dxa"/>
          </w:tcPr>
          <w:p w14:paraId="697FB18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51" w:type="dxa"/>
          </w:tcPr>
          <w:p w14:paraId="62CAE0A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1C0120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(7713, 9-11)</w:t>
      </w:r>
    </w:p>
    <w:p w14:paraId="7241CC1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6471281"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 августа 1940 г.</w:t>
      </w:r>
    </w:p>
    <w:p w14:paraId="7F9DBEB1"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Решение Политбюро, протокол от 24.VIII.40 г.</w:t>
      </w:r>
    </w:p>
    <w:p w14:paraId="61A998B7"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361. Об импорте оборудования для НКАП. — ОП (20772).</w:t>
      </w:r>
    </w:p>
    <w:p w14:paraId="42548D9B" w14:textId="77777777" w:rsidR="009E5CA9" w:rsidRPr="00DB5D0D" w:rsidRDefault="009E5CA9" w:rsidP="00DB5D0D">
      <w:pPr>
        <w:spacing w:after="0" w:line="240" w:lineRule="auto"/>
        <w:jc w:val="both"/>
        <w:rPr>
          <w:rFonts w:ascii="Times New Roman" w:hAnsi="Times New Roman"/>
          <w:color w:val="0070C0"/>
          <w:sz w:val="16"/>
          <w:szCs w:val="16"/>
        </w:rPr>
      </w:pPr>
    </w:p>
    <w:p w14:paraId="613F9A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года закончились контрольные испытания пяти турельных пулеметов "ШКАС" кал. 7,62 мм, изготовленных по чертежам 1938 года, которые проходили с 8 июня 1940.</w:t>
      </w:r>
    </w:p>
    <w:p w14:paraId="6018C1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30B11C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Ивашечкин</w:t>
      </w:r>
    </w:p>
    <w:p w14:paraId="15A046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40C625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автоматику и живучесть деталей пулеметов "ШКАС", изготовленных по чертежам 1938 года, при стрельбе на земле и с самолета в воздухе большим количеством выстрелов.</w:t>
      </w:r>
    </w:p>
    <w:p w14:paraId="0CA09B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8857FD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Пять турельных пулеметов "ШКАС", изготовленные по чертежам 1938 года контрольные испытания не выдержали, как показавшие низкую живучесть основных деталей и большой процент задержек при стрельбе (7509).</w:t>
      </w:r>
    </w:p>
    <w:p w14:paraId="0485D3F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5C981AC1"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 августа 1940 г. была Докладная записка Мобилизационно-планового отдела Комитета обороны при СНК СССР председателю комитета К. Е. Ворошилову о проведенных полигонных испытаниях пулеметов "СН" и "УШ-ОКБ-15"</w:t>
      </w:r>
    </w:p>
    <w:p w14:paraId="524734CE"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Согласно распоряжению Комитета Обороны от 5.6.1940 года за № 545/ко, Комиссия под председательством тов. Горемыкина произвела сравнительные испытаня пулеметов "СН" (Савина-Норова), "УШ-ОКБ-15" и "УШ завода № 66". Испытания проходили на НИАП-КА по программе, утвержденной комиссией.</w:t>
      </w:r>
    </w:p>
    <w:p w14:paraId="10C1A2BF"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процессе испытаний ОКБ-15 предъявило новый пулемет -"Упрощенный Шкас"</w:t>
      </w:r>
    </w:p>
    <w:p w14:paraId="6F8D400B"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Комиссия протоколом № 11 от 8.7.1940 г. решила также испытать предъявленный образец "Упрощенный Шкас" на работу автоматики и живучести пулемета с периодическим замером темпа стрельбы.</w:t>
      </w:r>
    </w:p>
    <w:p w14:paraId="18DECADA"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Всего было испытано 8 пулеметов по два пулемета каждого образца.</w:t>
      </w:r>
    </w:p>
    <w:p w14:paraId="3618D38E"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Испытания показали следущие результаты:</w:t>
      </w:r>
    </w:p>
    <w:p w14:paraId="7178B790"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Kaк видно из таблицы количество задержек и особенно в воздухе больше у пулемета УШ завода № 66 и УШ-ОКБ-15 и значительно меньше у пулемета СН.</w:t>
      </w:r>
    </w:p>
    <w:p w14:paraId="3F270C5E"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Темп стрельбы в основные эксплоатационные характеристики пулеметов СН, УШ-ОКБ-15 и УШ завода № 66 следующие:</w:t>
      </w:r>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981"/>
        <w:gridCol w:w="996"/>
        <w:gridCol w:w="1025"/>
        <w:gridCol w:w="1089"/>
        <w:gridCol w:w="1820"/>
      </w:tblGrid>
      <w:tr w:rsidR="009E5CA9" w:rsidRPr="00DB5D0D" w14:paraId="69D7484B" w14:textId="77777777" w:rsidTr="007609C9">
        <w:trPr>
          <w:trHeight w:hRule="exact" w:val="363"/>
          <w:jc w:val="center"/>
        </w:trPr>
        <w:tc>
          <w:tcPr>
            <w:tcW w:w="1981" w:type="dxa"/>
            <w:shd w:val="clear" w:color="auto" w:fill="auto"/>
          </w:tcPr>
          <w:p w14:paraId="58125221" w14:textId="77777777" w:rsidR="009E5CA9" w:rsidRPr="00DB5D0D" w:rsidRDefault="009E5CA9" w:rsidP="00DB5D0D">
            <w:pPr>
              <w:spacing w:after="0" w:line="240" w:lineRule="auto"/>
              <w:jc w:val="both"/>
              <w:rPr>
                <w:rFonts w:ascii="Times New Roman" w:hAnsi="Times New Roman"/>
                <w:color w:val="0070C0"/>
                <w:sz w:val="16"/>
                <w:szCs w:val="16"/>
              </w:rPr>
            </w:pPr>
          </w:p>
        </w:tc>
        <w:tc>
          <w:tcPr>
            <w:tcW w:w="996" w:type="dxa"/>
            <w:shd w:val="clear" w:color="auto" w:fill="auto"/>
            <w:vAlign w:val="bottom"/>
            <w:hideMark/>
          </w:tcPr>
          <w:p w14:paraId="51E5AFFA"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Шкас упрощенный-</w:t>
            </w:r>
          </w:p>
        </w:tc>
        <w:tc>
          <w:tcPr>
            <w:tcW w:w="1025" w:type="dxa"/>
            <w:shd w:val="clear" w:color="auto" w:fill="auto"/>
            <w:vAlign w:val="bottom"/>
            <w:hideMark/>
          </w:tcPr>
          <w:p w14:paraId="739CEA8D"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СН</w:t>
            </w:r>
          </w:p>
        </w:tc>
        <w:tc>
          <w:tcPr>
            <w:tcW w:w="1089" w:type="dxa"/>
            <w:shd w:val="clear" w:color="auto" w:fill="auto"/>
            <w:vAlign w:val="bottom"/>
            <w:hideMark/>
          </w:tcPr>
          <w:p w14:paraId="65DF102B"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УШ-ОКБ-15</w:t>
            </w:r>
          </w:p>
        </w:tc>
        <w:tc>
          <w:tcPr>
            <w:tcW w:w="1820" w:type="dxa"/>
            <w:shd w:val="clear" w:color="auto" w:fill="auto"/>
            <w:vAlign w:val="bottom"/>
            <w:hideMark/>
          </w:tcPr>
          <w:p w14:paraId="397C1FA8"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УШ з-да № 66</w:t>
            </w:r>
          </w:p>
        </w:tc>
      </w:tr>
      <w:tr w:rsidR="009E5CA9" w:rsidRPr="00DB5D0D" w14:paraId="5C69FB33" w14:textId="77777777" w:rsidTr="007609C9">
        <w:trPr>
          <w:trHeight w:hRule="exact" w:val="432"/>
          <w:jc w:val="center"/>
        </w:trPr>
        <w:tc>
          <w:tcPr>
            <w:tcW w:w="1981" w:type="dxa"/>
            <w:shd w:val="clear" w:color="auto" w:fill="auto"/>
            <w:hideMark/>
          </w:tcPr>
          <w:p w14:paraId="02FD6467"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Вес пулемета</w:t>
            </w:r>
          </w:p>
          <w:p w14:paraId="4E018042"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Число деталей при неполной вазборке</w:t>
            </w:r>
          </w:p>
        </w:tc>
        <w:tc>
          <w:tcPr>
            <w:tcW w:w="996" w:type="dxa"/>
            <w:shd w:val="clear" w:color="auto" w:fill="auto"/>
            <w:hideMark/>
          </w:tcPr>
          <w:p w14:paraId="2AA250B4"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10,6 кг.</w:t>
            </w:r>
          </w:p>
          <w:p w14:paraId="2FFEC303"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w:t>
            </w:r>
          </w:p>
        </w:tc>
        <w:tc>
          <w:tcPr>
            <w:tcW w:w="1025" w:type="dxa"/>
            <w:shd w:val="clear" w:color="auto" w:fill="auto"/>
            <w:hideMark/>
          </w:tcPr>
          <w:p w14:paraId="5B8C17B7"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12,2 кг.</w:t>
            </w:r>
          </w:p>
          <w:p w14:paraId="2876A837"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w:t>
            </w:r>
          </w:p>
        </w:tc>
        <w:tc>
          <w:tcPr>
            <w:tcW w:w="1089" w:type="dxa"/>
            <w:shd w:val="clear" w:color="auto" w:fill="auto"/>
            <w:hideMark/>
          </w:tcPr>
          <w:p w14:paraId="6B200C90"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12,7 кг.</w:t>
            </w:r>
          </w:p>
          <w:p w14:paraId="478ECE33"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30</w:t>
            </w:r>
          </w:p>
        </w:tc>
        <w:tc>
          <w:tcPr>
            <w:tcW w:w="1820" w:type="dxa"/>
            <w:shd w:val="clear" w:color="auto" w:fill="auto"/>
            <w:hideMark/>
          </w:tcPr>
          <w:p w14:paraId="4C8944EE"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11.27 кг.</w:t>
            </w:r>
          </w:p>
          <w:p w14:paraId="49264676"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28</w:t>
            </w:r>
          </w:p>
        </w:tc>
      </w:tr>
      <w:tr w:rsidR="009E5CA9" w:rsidRPr="00DB5D0D" w14:paraId="0B853958" w14:textId="77777777" w:rsidTr="007609C9">
        <w:trPr>
          <w:trHeight w:hRule="exact" w:val="311"/>
          <w:jc w:val="center"/>
        </w:trPr>
        <w:tc>
          <w:tcPr>
            <w:tcW w:w="1981" w:type="dxa"/>
            <w:shd w:val="clear" w:color="auto" w:fill="auto"/>
            <w:hideMark/>
          </w:tcPr>
          <w:p w14:paraId="68D6C7AA"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Число производств, деталей</w:t>
            </w:r>
          </w:p>
        </w:tc>
        <w:tc>
          <w:tcPr>
            <w:tcW w:w="996" w:type="dxa"/>
            <w:shd w:val="clear" w:color="auto" w:fill="auto"/>
            <w:vAlign w:val="bottom"/>
            <w:hideMark/>
          </w:tcPr>
          <w:p w14:paraId="12B6B36E"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147</w:t>
            </w:r>
          </w:p>
        </w:tc>
        <w:tc>
          <w:tcPr>
            <w:tcW w:w="1025" w:type="dxa"/>
            <w:shd w:val="clear" w:color="auto" w:fill="auto"/>
            <w:vAlign w:val="bottom"/>
            <w:hideMark/>
          </w:tcPr>
          <w:p w14:paraId="060E414E"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116</w:t>
            </w:r>
          </w:p>
        </w:tc>
        <w:tc>
          <w:tcPr>
            <w:tcW w:w="1089" w:type="dxa"/>
            <w:shd w:val="clear" w:color="auto" w:fill="auto"/>
            <w:vAlign w:val="bottom"/>
            <w:hideMark/>
          </w:tcPr>
          <w:p w14:paraId="6BEC059B"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155</w:t>
            </w:r>
          </w:p>
        </w:tc>
        <w:tc>
          <w:tcPr>
            <w:tcW w:w="1820" w:type="dxa"/>
            <w:shd w:val="clear" w:color="auto" w:fill="auto"/>
            <w:vAlign w:val="bottom"/>
            <w:hideMark/>
          </w:tcPr>
          <w:p w14:paraId="589FF4F5"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154</w:t>
            </w:r>
          </w:p>
        </w:tc>
      </w:tr>
      <w:tr w:rsidR="009E5CA9" w:rsidRPr="00DB5D0D" w14:paraId="73D9BAC1" w14:textId="77777777" w:rsidTr="007609C9">
        <w:trPr>
          <w:trHeight w:hRule="exact" w:val="340"/>
          <w:jc w:val="center"/>
        </w:trPr>
        <w:tc>
          <w:tcPr>
            <w:tcW w:w="1981" w:type="dxa"/>
            <w:shd w:val="clear" w:color="auto" w:fill="auto"/>
            <w:hideMark/>
          </w:tcPr>
          <w:p w14:paraId="10F58C62"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Усилие на перезарядки</w:t>
            </w:r>
          </w:p>
        </w:tc>
        <w:tc>
          <w:tcPr>
            <w:tcW w:w="996" w:type="dxa"/>
            <w:shd w:val="clear" w:color="auto" w:fill="auto"/>
            <w:vAlign w:val="bottom"/>
            <w:hideMark/>
          </w:tcPr>
          <w:p w14:paraId="371753E9"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70 кг</w:t>
            </w:r>
          </w:p>
        </w:tc>
        <w:tc>
          <w:tcPr>
            <w:tcW w:w="1025" w:type="dxa"/>
            <w:shd w:val="clear" w:color="auto" w:fill="auto"/>
            <w:vAlign w:val="bottom"/>
            <w:hideMark/>
          </w:tcPr>
          <w:p w14:paraId="14FACFFD"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80-100 КГ.</w:t>
            </w:r>
          </w:p>
        </w:tc>
        <w:tc>
          <w:tcPr>
            <w:tcW w:w="1089" w:type="dxa"/>
            <w:shd w:val="clear" w:color="auto" w:fill="auto"/>
            <w:vAlign w:val="bottom"/>
            <w:hideMark/>
          </w:tcPr>
          <w:p w14:paraId="7509D52E"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60 кг.</w:t>
            </w:r>
          </w:p>
        </w:tc>
        <w:tc>
          <w:tcPr>
            <w:tcW w:w="1820" w:type="dxa"/>
            <w:shd w:val="clear" w:color="auto" w:fill="auto"/>
            <w:vAlign w:val="bottom"/>
            <w:hideMark/>
          </w:tcPr>
          <w:p w14:paraId="15442F5D"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60 кг.</w:t>
            </w:r>
          </w:p>
        </w:tc>
      </w:tr>
      <w:tr w:rsidR="009E5CA9" w:rsidRPr="00DB5D0D" w14:paraId="471CFB6A" w14:textId="77777777" w:rsidTr="007609C9">
        <w:trPr>
          <w:trHeight w:hRule="exact" w:val="588"/>
          <w:jc w:val="center"/>
        </w:trPr>
        <w:tc>
          <w:tcPr>
            <w:tcW w:w="1981" w:type="dxa"/>
            <w:shd w:val="clear" w:color="auto" w:fill="auto"/>
            <w:vAlign w:val="bottom"/>
            <w:hideMark/>
          </w:tcPr>
          <w:p w14:paraId="02DE7242"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Темл стрельбы: (выстрелов в мину</w:t>
            </w:r>
            <w:r w:rsidRPr="00DB5D0D">
              <w:rPr>
                <w:rFonts w:ascii="Times New Roman" w:hAnsi="Times New Roman"/>
                <w:color w:val="0070C0"/>
                <w:sz w:val="16"/>
                <w:szCs w:val="16"/>
              </w:rPr>
              <w:softHyphen/>
              <w:t>ту) Минимальный</w:t>
            </w:r>
          </w:p>
          <w:p w14:paraId="2AD1F012"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Средний</w:t>
            </w:r>
          </w:p>
        </w:tc>
        <w:tc>
          <w:tcPr>
            <w:tcW w:w="996" w:type="dxa"/>
            <w:shd w:val="clear" w:color="auto" w:fill="auto"/>
            <w:vAlign w:val="bottom"/>
            <w:hideMark/>
          </w:tcPr>
          <w:p w14:paraId="52F3AED1"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1719</w:t>
            </w:r>
          </w:p>
          <w:p w14:paraId="69867552"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2089</w:t>
            </w:r>
          </w:p>
        </w:tc>
        <w:tc>
          <w:tcPr>
            <w:tcW w:w="1025" w:type="dxa"/>
            <w:shd w:val="clear" w:color="auto" w:fill="auto"/>
            <w:vAlign w:val="bottom"/>
            <w:hideMark/>
          </w:tcPr>
          <w:p w14:paraId="664FAC1E"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1934</w:t>
            </w:r>
          </w:p>
          <w:p w14:paraId="198AF93B"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2480</w:t>
            </w:r>
          </w:p>
        </w:tc>
        <w:tc>
          <w:tcPr>
            <w:tcW w:w="1089" w:type="dxa"/>
            <w:shd w:val="clear" w:color="auto" w:fill="auto"/>
            <w:vAlign w:val="bottom"/>
            <w:hideMark/>
          </w:tcPr>
          <w:p w14:paraId="0388095B"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1815</w:t>
            </w:r>
          </w:p>
          <w:p w14:paraId="14DB8F06"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2607</w:t>
            </w:r>
          </w:p>
        </w:tc>
        <w:tc>
          <w:tcPr>
            <w:tcW w:w="1820" w:type="dxa"/>
            <w:shd w:val="clear" w:color="auto" w:fill="auto"/>
            <w:vAlign w:val="bottom"/>
            <w:hideMark/>
          </w:tcPr>
          <w:p w14:paraId="460A9E0A"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2259</w:t>
            </w:r>
          </w:p>
          <w:p w14:paraId="205DBCB4"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2782</w:t>
            </w:r>
          </w:p>
        </w:tc>
      </w:tr>
      <w:tr w:rsidR="009E5CA9" w:rsidRPr="00DB5D0D" w14:paraId="33F33B2E" w14:textId="77777777" w:rsidTr="007609C9">
        <w:trPr>
          <w:trHeight w:hRule="exact" w:val="156"/>
          <w:jc w:val="center"/>
        </w:trPr>
        <w:tc>
          <w:tcPr>
            <w:tcW w:w="1981" w:type="dxa"/>
            <w:shd w:val="clear" w:color="auto" w:fill="auto"/>
            <w:hideMark/>
          </w:tcPr>
          <w:p w14:paraId="3DE5E9EC"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Максимальный</w:t>
            </w:r>
          </w:p>
        </w:tc>
        <w:tc>
          <w:tcPr>
            <w:tcW w:w="996" w:type="dxa"/>
            <w:shd w:val="clear" w:color="auto" w:fill="auto"/>
            <w:hideMark/>
          </w:tcPr>
          <w:p w14:paraId="384BE976"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2395</w:t>
            </w:r>
          </w:p>
        </w:tc>
        <w:tc>
          <w:tcPr>
            <w:tcW w:w="1025" w:type="dxa"/>
            <w:shd w:val="clear" w:color="auto" w:fill="auto"/>
            <w:hideMark/>
          </w:tcPr>
          <w:p w14:paraId="53482ED4"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2840</w:t>
            </w:r>
          </w:p>
        </w:tc>
        <w:tc>
          <w:tcPr>
            <w:tcW w:w="1089" w:type="dxa"/>
            <w:shd w:val="clear" w:color="auto" w:fill="auto"/>
            <w:hideMark/>
          </w:tcPr>
          <w:p w14:paraId="1339687D"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3074</w:t>
            </w:r>
          </w:p>
        </w:tc>
        <w:tc>
          <w:tcPr>
            <w:tcW w:w="1820" w:type="dxa"/>
            <w:shd w:val="clear" w:color="auto" w:fill="auto"/>
            <w:hideMark/>
          </w:tcPr>
          <w:p w14:paraId="1C6A4559"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3270</w:t>
            </w:r>
          </w:p>
        </w:tc>
      </w:tr>
      <w:tr w:rsidR="009E5CA9" w:rsidRPr="00DB5D0D" w14:paraId="58E8192F" w14:textId="77777777" w:rsidTr="007609C9">
        <w:trPr>
          <w:trHeight w:hRule="exact" w:val="282"/>
          <w:jc w:val="center"/>
        </w:trPr>
        <w:tc>
          <w:tcPr>
            <w:tcW w:w="1981" w:type="dxa"/>
            <w:shd w:val="clear" w:color="auto" w:fill="auto"/>
            <w:hideMark/>
          </w:tcPr>
          <w:p w14:paraId="15321101"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Начальная скорость</w:t>
            </w:r>
          </w:p>
        </w:tc>
        <w:tc>
          <w:tcPr>
            <w:tcW w:w="996" w:type="dxa"/>
            <w:shd w:val="clear" w:color="auto" w:fill="auto"/>
            <w:hideMark/>
          </w:tcPr>
          <w:p w14:paraId="3CC31D2B"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 </w:t>
            </w:r>
          </w:p>
        </w:tc>
        <w:tc>
          <w:tcPr>
            <w:tcW w:w="1025" w:type="dxa"/>
            <w:shd w:val="clear" w:color="auto" w:fill="auto"/>
            <w:hideMark/>
          </w:tcPr>
          <w:p w14:paraId="2442D13D"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793,9 м/с</w:t>
            </w:r>
          </w:p>
        </w:tc>
        <w:tc>
          <w:tcPr>
            <w:tcW w:w="1089" w:type="dxa"/>
            <w:shd w:val="clear" w:color="auto" w:fill="auto"/>
            <w:hideMark/>
          </w:tcPr>
          <w:p w14:paraId="3261EA1A"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793,8 м/с</w:t>
            </w:r>
          </w:p>
        </w:tc>
        <w:tc>
          <w:tcPr>
            <w:tcW w:w="1820" w:type="dxa"/>
            <w:shd w:val="clear" w:color="auto" w:fill="auto"/>
            <w:hideMark/>
          </w:tcPr>
          <w:p w14:paraId="715EB239"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797,2 м/с</w:t>
            </w:r>
          </w:p>
        </w:tc>
      </w:tr>
    </w:tbl>
    <w:p w14:paraId="5B1B103E"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Ввиду наличия больного количества непрекращающихся однотипных задержек, приведших к тому, что из 26 вылетов с пулеметом УЩ-ОКБ-15 и 17 вылетов с пулеметом УШ завода № 66 ни одного вылета не было с расстрелом полного бое</w:t>
      </w:r>
      <w:r w:rsidRPr="00DB5D0D">
        <w:rPr>
          <w:rFonts w:ascii="Times New Roman" w:hAnsi="Times New Roman"/>
          <w:color w:val="0070C0"/>
          <w:sz w:val="16"/>
          <w:szCs w:val="16"/>
        </w:rPr>
        <w:softHyphen/>
        <w:t>запаса (т.е. 1.000 шт. без задержек), комиссия решила дальнейшие испытания Пулеметов УШ-ОКБ-15 и УШ завода № 66 прекратить.</w:t>
      </w:r>
    </w:p>
    <w:p w14:paraId="384AF124"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 основе анализа всех данных об испытанных пулеметах (СН, УШ-ОКВ-15, УШ з-да № 66), комиссия пришла к следующему заключению:</w:t>
      </w:r>
    </w:p>
    <w:p w14:paraId="2E11CB05"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Пулеметы УШ-ОКБ-15 и УШ завода № 66 из-за большого количества за</w:t>
      </w:r>
      <w:r w:rsidRPr="00DB5D0D">
        <w:rPr>
          <w:rFonts w:ascii="Times New Roman" w:hAnsi="Times New Roman"/>
          <w:color w:val="0070C0"/>
          <w:sz w:val="16"/>
          <w:szCs w:val="16"/>
        </w:rPr>
        <w:softHyphen/>
        <w:t>держек и пололок с испытании были сняты и потому испытаний не выдержали.</w:t>
      </w:r>
    </w:p>
    <w:p w14:paraId="7BA64997"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Пулемет СН (№ 112) испытания прошел до конца, у пулемета СН № 62 поломалась коробка на 11403 выстреле. Пулемета СН в воздухе и на земле показали хотя и лучшие результаты, чем пулеметы УШ-ОКВ-15 и УШ з-да № 66, общий процент 0,3, но испытание не выдержали, так как давали при стрельбе задержки, неустранимые в воздухе — "поперечный отрыв гильзы".</w:t>
      </w:r>
    </w:p>
    <w:p w14:paraId="356230B3"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Комиссия не считает возможным рекомендовать принять на вооружение ни один из испытываемых пулеметов по причинам задержек, неустранимых в воздухе и предлагает:</w:t>
      </w:r>
    </w:p>
    <w:p w14:paraId="12F30CD6"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Поручить НКВ – Ванникову Б. Л., конструкторам Савину, Норову, Шпитальному и директору завода № 66 -тов. Пастухову в 2—х месячник срок доработать пулеметы, устранив отмеченные комиссией недостатки, изготовить по 10 шт. пулеметов каждого образца и подать их на НИПАВ КА для повторных испытанией комиссией в том же составе.</w:t>
      </w:r>
    </w:p>
    <w:p w14:paraId="11401E00"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Вопрос о принятии на вооружение авиационных скорострельных пулеметов решить после проведения повторных испытаний.</w:t>
      </w:r>
    </w:p>
    <w:p w14:paraId="63CB9893"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НКО – тов. Тимошенко письмом на ваше имя просит отменить постанов</w:t>
      </w:r>
      <w:r w:rsidRPr="00DB5D0D">
        <w:rPr>
          <w:rFonts w:ascii="Times New Roman" w:hAnsi="Times New Roman"/>
          <w:color w:val="0070C0"/>
          <w:sz w:val="16"/>
          <w:szCs w:val="16"/>
        </w:rPr>
        <w:softHyphen/>
        <w:t>ление КО № 109 от 15 мая 1939 года о принятии на вооружение ВВС КА пуле</w:t>
      </w:r>
      <w:r w:rsidRPr="00DB5D0D">
        <w:rPr>
          <w:rFonts w:ascii="Times New Roman" w:hAnsi="Times New Roman"/>
          <w:color w:val="0070C0"/>
          <w:sz w:val="16"/>
          <w:szCs w:val="16"/>
        </w:rPr>
        <w:softHyphen/>
        <w:t>мета Ультра-Шкас обр.39г. и пулемет Ультра-Шкас производством прекра</w:t>
      </w:r>
      <w:r w:rsidRPr="00DB5D0D">
        <w:rPr>
          <w:rFonts w:ascii="Times New Roman" w:hAnsi="Times New Roman"/>
          <w:color w:val="0070C0"/>
          <w:sz w:val="16"/>
          <w:szCs w:val="16"/>
        </w:rPr>
        <w:softHyphen/>
        <w:t>тить.</w:t>
      </w:r>
    </w:p>
    <w:p w14:paraId="14A9308C"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Пулемет Ультра-Шкас обр. 39 г. при отладке его в валовом производ</w:t>
      </w:r>
      <w:r w:rsidRPr="00DB5D0D">
        <w:rPr>
          <w:rFonts w:ascii="Times New Roman" w:hAnsi="Times New Roman"/>
          <w:color w:val="0070C0"/>
          <w:sz w:val="16"/>
          <w:szCs w:val="16"/>
        </w:rPr>
        <w:softHyphen/>
        <w:t>стве показал неудовлетворительные результаты и не удовлетворяет тактико- техническим требованиям.</w:t>
      </w:r>
    </w:p>
    <w:p w14:paraId="39B828FA" w14:textId="77777777" w:rsidR="009E5CA9" w:rsidRPr="00DB5D0D" w:rsidRDefault="009E5CA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Комиссия предлагает пулемет Ультра-Шкас обр.1939 г. с вооружения ВВС КА снять и производство его прекратить (22033).</w:t>
      </w:r>
    </w:p>
    <w:p w14:paraId="6908C88C" w14:textId="77777777" w:rsidR="009E5CA9" w:rsidRPr="00DB5D0D" w:rsidRDefault="009E5CA9" w:rsidP="00DB5D0D">
      <w:pPr>
        <w:spacing w:after="0" w:line="240" w:lineRule="auto"/>
        <w:jc w:val="both"/>
        <w:rPr>
          <w:rFonts w:ascii="Times New Roman" w:hAnsi="Times New Roman"/>
          <w:color w:val="0070C0"/>
          <w:sz w:val="16"/>
          <w:szCs w:val="16"/>
        </w:rPr>
      </w:pPr>
    </w:p>
    <w:p w14:paraId="1D2260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года на НИП АВ ВВС закончились контрольные испытания ВАП-500 у головной партии на самолетах СБ и ДБ-3, которые проходили с 24 июля 1940.</w:t>
      </w:r>
    </w:p>
    <w:p w14:paraId="4AED8A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15E1ED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3 ранга Лукашев</w:t>
      </w:r>
    </w:p>
    <w:p w14:paraId="177246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612801D"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влияние установки фиусатора крышки прибора, при этом поределить:</w:t>
      </w:r>
    </w:p>
    <w:p w14:paraId="5EC98C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устойчивость крышки выливного люка в полете после открытия прибора;</w:t>
      </w:r>
    </w:p>
    <w:p w14:paraId="750D20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возможность забрызгивания самолета СБ при опорожнении приборов;</w:t>
      </w:r>
    </w:p>
    <w:p w14:paraId="13AEB2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износ тросовой проводки на роликах суфлера и крышки выливного люка.</w:t>
      </w:r>
    </w:p>
    <w:p w14:paraId="2FF84FB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влияние кожуха замка прибора ВАП-500у на характер истечения жидкости из прибора при выливании в воздухе.</w:t>
      </w:r>
    </w:p>
    <w:p w14:paraId="6417B2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C1531A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Предъявленные на контрольные испытания приборы ВАП-500у головной серии заводом № 145 констрольные испытания выдержали (7603).</w:t>
      </w:r>
    </w:p>
    <w:p w14:paraId="541F74B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55CE6E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постановлением Научно-технического журнала по отделу 12-го управления ГУ ВВС Красной Армии взрыватель РД приняли на вооружение, утвердив как серийный и присвоив ему номер модели 3-01027. Индекс ВВС остался прежним - 7-В-0152. При этом военпреду ГУ ВВС КА разрешили принять запас взрывателей прежней модели. Серийнос производство РД организовали на заводе № 4 имени М.И.Калинина (11402).</w:t>
      </w:r>
    </w:p>
    <w:p w14:paraId="6B655C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AAC0E14" w14:textId="77777777" w:rsidR="003C7E8B" w:rsidRPr="00DB5D0D" w:rsidRDefault="00B30AFA"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5A4DE79" w14:textId="77777777" w:rsidR="003C7E8B" w:rsidRPr="00DB5D0D" w:rsidRDefault="003C7E8B" w:rsidP="00DB5D0D">
      <w:pPr>
        <w:shd w:val="clear" w:color="auto" w:fill="FFFFFF"/>
        <w:spacing w:after="0" w:line="240" w:lineRule="auto"/>
        <w:jc w:val="both"/>
        <w:rPr>
          <w:rFonts w:ascii="Times New Roman" w:hAnsi="Times New Roman"/>
          <w:iCs/>
          <w:color w:val="000000" w:themeColor="text1"/>
          <w:sz w:val="16"/>
          <w:szCs w:val="16"/>
        </w:rPr>
      </w:pPr>
    </w:p>
    <w:p w14:paraId="40F78D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для получения более полных данных были отобраны (кроме вы</w:t>
      </w:r>
      <w:r w:rsidRPr="00DB5D0D">
        <w:rPr>
          <w:rFonts w:ascii="Times New Roman" w:hAnsi="Times New Roman"/>
          <w:color w:val="000000" w:themeColor="text1"/>
          <w:sz w:val="16"/>
          <w:szCs w:val="16"/>
        </w:rPr>
        <w:softHyphen/>
        <w:t>шеуказанных трех балок) еще две балки (№513398-72 и 513356-17), прошедшие термическую и механическую обработки по серийной технологии, на торцевой части которых так</w:t>
      </w:r>
      <w:r w:rsidRPr="00DB5D0D">
        <w:rPr>
          <w:rFonts w:ascii="Times New Roman" w:hAnsi="Times New Roman"/>
          <w:color w:val="000000" w:themeColor="text1"/>
          <w:sz w:val="16"/>
          <w:szCs w:val="16"/>
        </w:rPr>
        <w:softHyphen/>
        <w:t>же имелись литейные де</w:t>
      </w:r>
      <w:r w:rsidRPr="00DB5D0D">
        <w:rPr>
          <w:rFonts w:ascii="Times New Roman" w:hAnsi="Times New Roman"/>
          <w:color w:val="000000" w:themeColor="text1"/>
          <w:sz w:val="16"/>
          <w:szCs w:val="16"/>
        </w:rPr>
        <w:softHyphen/>
        <w:t>фекты. Для определения прочности в область литей</w:t>
      </w:r>
      <w:r w:rsidRPr="00DB5D0D">
        <w:rPr>
          <w:rFonts w:ascii="Times New Roman" w:hAnsi="Times New Roman"/>
          <w:color w:val="000000" w:themeColor="text1"/>
          <w:sz w:val="16"/>
          <w:szCs w:val="16"/>
        </w:rPr>
        <w:softHyphen/>
        <w:t>ных дефектов произвели по 2-3 выстрела снаряда</w:t>
      </w:r>
      <w:r w:rsidRPr="00DB5D0D">
        <w:rPr>
          <w:rFonts w:ascii="Times New Roman" w:hAnsi="Times New Roman"/>
          <w:color w:val="000000" w:themeColor="text1"/>
          <w:sz w:val="16"/>
          <w:szCs w:val="16"/>
        </w:rPr>
        <w:softHyphen/>
        <w:t>ми калибра 45 мм (чертеж 2-03347) при скоростях 745-755 м/с, но, несмотря на высокую кучность попа</w:t>
      </w:r>
      <w:r w:rsidRPr="00DB5D0D">
        <w:rPr>
          <w:rFonts w:ascii="Times New Roman" w:hAnsi="Times New Roman"/>
          <w:color w:val="000000" w:themeColor="text1"/>
          <w:sz w:val="16"/>
          <w:szCs w:val="16"/>
        </w:rPr>
        <w:softHyphen/>
        <w:t>даний, полного разрушения тела балки не было (имели место частичные надрывы и «выхваты» небольших объе</w:t>
      </w:r>
      <w:r w:rsidRPr="00DB5D0D">
        <w:rPr>
          <w:rFonts w:ascii="Times New Roman" w:hAnsi="Times New Roman"/>
          <w:color w:val="000000" w:themeColor="text1"/>
          <w:sz w:val="16"/>
          <w:szCs w:val="16"/>
        </w:rPr>
        <w:softHyphen/>
        <w:t>мов металла). После все</w:t>
      </w:r>
      <w:r w:rsidRPr="00DB5D0D">
        <w:rPr>
          <w:rFonts w:ascii="Times New Roman" w:hAnsi="Times New Roman"/>
          <w:color w:val="000000" w:themeColor="text1"/>
          <w:sz w:val="16"/>
          <w:szCs w:val="16"/>
        </w:rPr>
        <w:softHyphen/>
        <w:t>стороннего изучения ре</w:t>
      </w:r>
      <w:r w:rsidRPr="00DB5D0D">
        <w:rPr>
          <w:rFonts w:ascii="Times New Roman" w:hAnsi="Times New Roman"/>
          <w:color w:val="000000" w:themeColor="text1"/>
          <w:sz w:val="16"/>
          <w:szCs w:val="16"/>
        </w:rPr>
        <w:softHyphen/>
        <w:t>зультатов испытаний специТаблица №14</w:t>
      </w:r>
    </w:p>
    <w:p w14:paraId="73F06458" w14:textId="77777777" w:rsidR="003C7E8B" w:rsidRPr="00DB5D0D" w:rsidRDefault="003C7E8B" w:rsidP="00DB5D0D">
      <w:pPr>
        <w:pStyle w:val="aff1"/>
        <w:shd w:val="clear" w:color="auto" w:fill="auto"/>
        <w:spacing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lang w:val="ru-RU"/>
        </w:rPr>
        <w:t xml:space="preserve">Снарядные испытания литых балок (дет. 34-29-906) танка Т-34, состоявшиеся 24 августа 1940 г. (РГВА. Ф.31811. </w:t>
      </w:r>
      <w:r w:rsidRPr="00DB5D0D">
        <w:rPr>
          <w:rFonts w:ascii="Times New Roman" w:hAnsi="Times New Roman" w:cs="Times New Roman"/>
          <w:i w:val="0"/>
          <w:color w:val="000000" w:themeColor="text1"/>
          <w:sz w:val="16"/>
          <w:szCs w:val="16"/>
        </w:rPr>
        <w:t>Оп.З. Д.1937. Л.6)</w:t>
      </w:r>
    </w:p>
    <w:tbl>
      <w:tblPr>
        <w:tblW w:w="0" w:type="auto"/>
        <w:tblInd w:w="8" w:type="dxa"/>
        <w:tblLayout w:type="fixed"/>
        <w:tblCellMar>
          <w:left w:w="0" w:type="dxa"/>
          <w:right w:w="0" w:type="dxa"/>
        </w:tblCellMar>
        <w:tblLook w:val="0000" w:firstRow="0" w:lastRow="0" w:firstColumn="0" w:lastColumn="0" w:noHBand="0" w:noVBand="0"/>
      </w:tblPr>
      <w:tblGrid>
        <w:gridCol w:w="1087"/>
        <w:gridCol w:w="1159"/>
        <w:gridCol w:w="873"/>
        <w:gridCol w:w="567"/>
        <w:gridCol w:w="823"/>
        <w:gridCol w:w="3004"/>
        <w:gridCol w:w="1843"/>
        <w:gridCol w:w="1984"/>
      </w:tblGrid>
      <w:tr w:rsidR="007D5DF8" w:rsidRPr="00DB5D0D" w14:paraId="075045B9" w14:textId="77777777" w:rsidTr="00E543D0">
        <w:trPr>
          <w:trHeight w:val="562"/>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6846721C"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 балок</w:t>
            </w:r>
          </w:p>
        </w:tc>
        <w:tc>
          <w:tcPr>
            <w:tcW w:w="1159" w:type="dxa"/>
            <w:tcBorders>
              <w:top w:val="single" w:sz="6" w:space="0" w:color="auto"/>
              <w:left w:val="single" w:sz="6" w:space="0" w:color="auto"/>
              <w:bottom w:val="single" w:sz="6" w:space="0" w:color="auto"/>
              <w:right w:val="single" w:sz="6" w:space="0" w:color="auto"/>
            </w:tcBorders>
            <w:shd w:val="clear" w:color="auto" w:fill="FFFFFF"/>
          </w:tcPr>
          <w:p w14:paraId="71949CF9"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Чертеж снаряда</w:t>
            </w:r>
          </w:p>
        </w:tc>
        <w:tc>
          <w:tcPr>
            <w:tcW w:w="873" w:type="dxa"/>
            <w:tcBorders>
              <w:top w:val="single" w:sz="6" w:space="0" w:color="auto"/>
              <w:left w:val="single" w:sz="6" w:space="0" w:color="auto"/>
              <w:bottom w:val="single" w:sz="6" w:space="0" w:color="auto"/>
              <w:right w:val="single" w:sz="6" w:space="0" w:color="auto"/>
            </w:tcBorders>
            <w:shd w:val="clear" w:color="auto" w:fill="FFFFFF"/>
          </w:tcPr>
          <w:p w14:paraId="6D56DF83"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Калибр снаряда</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38C98386"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 выстр.</w:t>
            </w:r>
          </w:p>
        </w:tc>
        <w:tc>
          <w:tcPr>
            <w:tcW w:w="823" w:type="dxa"/>
            <w:tcBorders>
              <w:top w:val="single" w:sz="6" w:space="0" w:color="auto"/>
              <w:left w:val="single" w:sz="6" w:space="0" w:color="auto"/>
              <w:bottom w:val="single" w:sz="6" w:space="0" w:color="auto"/>
              <w:right w:val="single" w:sz="6" w:space="0" w:color="auto"/>
            </w:tcBorders>
            <w:shd w:val="clear" w:color="auto" w:fill="FFFFFF"/>
          </w:tcPr>
          <w:p w14:paraId="25C78AEA"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Style w:val="1095pt4"/>
                <w:rFonts w:ascii="Times New Roman" w:hAnsi="Times New Roman" w:cs="Times New Roman"/>
                <w:i w:val="0"/>
                <w:color w:val="000000" w:themeColor="text1"/>
                <w:sz w:val="16"/>
                <w:szCs w:val="16"/>
              </w:rPr>
              <w:t>V</w:t>
            </w:r>
            <w:r w:rsidRPr="00DB5D0D">
              <w:rPr>
                <w:rFonts w:ascii="Times New Roman" w:hAnsi="Times New Roman" w:cs="Times New Roman"/>
                <w:i w:val="0"/>
                <w:noProof w:val="0"/>
                <w:color w:val="000000" w:themeColor="text1"/>
                <w:sz w:val="16"/>
                <w:szCs w:val="16"/>
              </w:rPr>
              <w:t>m/c</w:t>
            </w:r>
          </w:p>
        </w:tc>
        <w:tc>
          <w:tcPr>
            <w:tcW w:w="3004" w:type="dxa"/>
            <w:tcBorders>
              <w:top w:val="single" w:sz="6" w:space="0" w:color="auto"/>
              <w:left w:val="single" w:sz="6" w:space="0" w:color="auto"/>
              <w:bottom w:val="single" w:sz="6" w:space="0" w:color="auto"/>
              <w:right w:val="single" w:sz="6" w:space="0" w:color="auto"/>
            </w:tcBorders>
            <w:shd w:val="clear" w:color="auto" w:fill="FFFFFF"/>
          </w:tcPr>
          <w:p w14:paraId="732907AD"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Характеристика поражений</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08185B6E"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Состояние снаряда</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29784DE0"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Примечание</w:t>
            </w:r>
          </w:p>
        </w:tc>
      </w:tr>
      <w:tr w:rsidR="007D5DF8" w:rsidRPr="00DB5D0D" w14:paraId="787118F1" w14:textId="77777777" w:rsidTr="00E543D0">
        <w:trPr>
          <w:trHeight w:val="346"/>
        </w:trPr>
        <w:tc>
          <w:tcPr>
            <w:tcW w:w="1087" w:type="dxa"/>
            <w:tcBorders>
              <w:top w:val="single" w:sz="6" w:space="0" w:color="auto"/>
              <w:left w:val="single" w:sz="6" w:space="0" w:color="auto"/>
              <w:bottom w:val="nil"/>
              <w:right w:val="single" w:sz="6" w:space="0" w:color="auto"/>
            </w:tcBorders>
            <w:shd w:val="clear" w:color="auto" w:fill="FFFFFF"/>
          </w:tcPr>
          <w:p w14:paraId="2D8F784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59" w:type="dxa"/>
            <w:tcBorders>
              <w:top w:val="single" w:sz="6" w:space="0" w:color="auto"/>
              <w:left w:val="single" w:sz="6" w:space="0" w:color="auto"/>
              <w:bottom w:val="nil"/>
              <w:right w:val="single" w:sz="6" w:space="0" w:color="auto"/>
            </w:tcBorders>
            <w:shd w:val="clear" w:color="auto" w:fill="FFFFFF"/>
          </w:tcPr>
          <w:p w14:paraId="74067D8E"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w:t>
            </w:r>
          </w:p>
        </w:tc>
        <w:tc>
          <w:tcPr>
            <w:tcW w:w="873" w:type="dxa"/>
            <w:tcBorders>
              <w:top w:val="single" w:sz="6" w:space="0" w:color="auto"/>
              <w:left w:val="single" w:sz="6" w:space="0" w:color="auto"/>
              <w:bottom w:val="nil"/>
              <w:right w:val="single" w:sz="6" w:space="0" w:color="auto"/>
            </w:tcBorders>
            <w:shd w:val="clear" w:color="auto" w:fill="FFFFFF"/>
          </w:tcPr>
          <w:p w14:paraId="380BA626"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w:t>
            </w:r>
          </w:p>
        </w:tc>
        <w:tc>
          <w:tcPr>
            <w:tcW w:w="567" w:type="dxa"/>
            <w:tcBorders>
              <w:top w:val="single" w:sz="6" w:space="0" w:color="auto"/>
              <w:left w:val="single" w:sz="6" w:space="0" w:color="auto"/>
              <w:bottom w:val="nil"/>
              <w:right w:val="single" w:sz="6" w:space="0" w:color="auto"/>
            </w:tcBorders>
            <w:shd w:val="clear" w:color="auto" w:fill="FFFFFF"/>
          </w:tcPr>
          <w:p w14:paraId="31F1D97F"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1</w:t>
            </w:r>
          </w:p>
        </w:tc>
        <w:tc>
          <w:tcPr>
            <w:tcW w:w="823" w:type="dxa"/>
            <w:tcBorders>
              <w:top w:val="single" w:sz="6" w:space="0" w:color="auto"/>
              <w:left w:val="single" w:sz="6" w:space="0" w:color="auto"/>
              <w:bottom w:val="nil"/>
              <w:right w:val="single" w:sz="6" w:space="0" w:color="auto"/>
            </w:tcBorders>
            <w:shd w:val="clear" w:color="auto" w:fill="FFFFFF"/>
          </w:tcPr>
          <w:p w14:paraId="2631A0E0"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654,7</w:t>
            </w:r>
          </w:p>
        </w:tc>
        <w:tc>
          <w:tcPr>
            <w:tcW w:w="3004" w:type="dxa"/>
            <w:tcBorders>
              <w:top w:val="single" w:sz="6" w:space="0" w:color="auto"/>
              <w:left w:val="single" w:sz="6" w:space="0" w:color="auto"/>
              <w:bottom w:val="nil"/>
              <w:right w:val="single" w:sz="6" w:space="0" w:color="auto"/>
            </w:tcBorders>
            <w:shd w:val="clear" w:color="auto" w:fill="FFFFFF"/>
          </w:tcPr>
          <w:p w14:paraId="58F56CA4"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Вмятина —</w:t>
            </w:r>
            <w:r w:rsidRPr="00DB5D0D">
              <w:rPr>
                <w:rStyle w:val="1185pt32"/>
                <w:rFonts w:ascii="Times New Roman" w:hAnsi="Times New Roman" w:cs="Times New Roman"/>
                <w:iCs/>
                <w:color w:val="000000" w:themeColor="text1"/>
                <w:sz w:val="16"/>
                <w:szCs w:val="16"/>
              </w:rPr>
              <w:t xml:space="preserve"> 70</w:t>
            </w:r>
            <w:r w:rsidRPr="00DB5D0D">
              <w:rPr>
                <w:rFonts w:ascii="Times New Roman" w:hAnsi="Times New Roman" w:cs="Times New Roman"/>
                <w:i w:val="0"/>
                <w:color w:val="000000" w:themeColor="text1"/>
                <w:sz w:val="16"/>
                <w:szCs w:val="16"/>
              </w:rPr>
              <w:t xml:space="preserve"> мм. Выпучина +</w:t>
            </w:r>
            <w:r w:rsidRPr="00DB5D0D">
              <w:rPr>
                <w:rStyle w:val="1185pt32"/>
                <w:rFonts w:ascii="Times New Roman" w:hAnsi="Times New Roman" w:cs="Times New Roman"/>
                <w:iCs/>
                <w:color w:val="000000" w:themeColor="text1"/>
                <w:sz w:val="16"/>
                <w:szCs w:val="16"/>
              </w:rPr>
              <w:t xml:space="preserve"> 6</w:t>
            </w:r>
            <w:r w:rsidRPr="00DB5D0D">
              <w:rPr>
                <w:rFonts w:ascii="Times New Roman" w:hAnsi="Times New Roman" w:cs="Times New Roman"/>
                <w:i w:val="0"/>
                <w:color w:val="000000" w:themeColor="text1"/>
                <w:sz w:val="16"/>
                <w:szCs w:val="16"/>
              </w:rPr>
              <w:t xml:space="preserve"> мм</w:t>
            </w:r>
          </w:p>
        </w:tc>
        <w:tc>
          <w:tcPr>
            <w:tcW w:w="1843" w:type="dxa"/>
            <w:tcBorders>
              <w:top w:val="single" w:sz="6" w:space="0" w:color="auto"/>
              <w:left w:val="single" w:sz="6" w:space="0" w:color="auto"/>
              <w:bottom w:val="nil"/>
              <w:right w:val="single" w:sz="6" w:space="0" w:color="auto"/>
            </w:tcBorders>
            <w:shd w:val="clear" w:color="auto" w:fill="FFFFFF"/>
          </w:tcPr>
          <w:p w14:paraId="5A55C36A"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перед деталью в осколках</w:t>
            </w:r>
          </w:p>
        </w:tc>
        <w:tc>
          <w:tcPr>
            <w:tcW w:w="1984" w:type="dxa"/>
            <w:tcBorders>
              <w:top w:val="single" w:sz="6" w:space="0" w:color="auto"/>
              <w:left w:val="single" w:sz="6" w:space="0" w:color="auto"/>
              <w:bottom w:val="nil"/>
              <w:right w:val="single" w:sz="6" w:space="0" w:color="auto"/>
            </w:tcBorders>
            <w:shd w:val="clear" w:color="auto" w:fill="FFFFFF"/>
          </w:tcPr>
          <w:p w14:paraId="2736B2A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8A7F693" w14:textId="77777777" w:rsidTr="00E543D0">
        <w:trPr>
          <w:trHeight w:val="734"/>
        </w:trPr>
        <w:tc>
          <w:tcPr>
            <w:tcW w:w="1087" w:type="dxa"/>
            <w:tcBorders>
              <w:top w:val="nil"/>
              <w:left w:val="single" w:sz="6" w:space="0" w:color="auto"/>
              <w:bottom w:val="single" w:sz="6" w:space="0" w:color="auto"/>
              <w:right w:val="single" w:sz="6" w:space="0" w:color="auto"/>
            </w:tcBorders>
            <w:shd w:val="clear" w:color="auto" w:fill="FFFFFF"/>
          </w:tcPr>
          <w:p w14:paraId="25D6D90D"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513408-1-1</w:t>
            </w:r>
          </w:p>
        </w:tc>
        <w:tc>
          <w:tcPr>
            <w:tcW w:w="1159" w:type="dxa"/>
            <w:tcBorders>
              <w:top w:val="nil"/>
              <w:left w:val="single" w:sz="6" w:space="0" w:color="auto"/>
              <w:bottom w:val="single" w:sz="6" w:space="0" w:color="auto"/>
              <w:right w:val="single" w:sz="6" w:space="0" w:color="auto"/>
            </w:tcBorders>
            <w:shd w:val="clear" w:color="auto" w:fill="FFFFFF"/>
          </w:tcPr>
          <w:p w14:paraId="3E51992C"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w:t>
            </w:r>
          </w:p>
        </w:tc>
        <w:tc>
          <w:tcPr>
            <w:tcW w:w="873" w:type="dxa"/>
            <w:tcBorders>
              <w:top w:val="nil"/>
              <w:left w:val="single" w:sz="6" w:space="0" w:color="auto"/>
              <w:bottom w:val="single" w:sz="6" w:space="0" w:color="auto"/>
              <w:right w:val="single" w:sz="6" w:space="0" w:color="auto"/>
            </w:tcBorders>
            <w:shd w:val="clear" w:color="auto" w:fill="FFFFFF"/>
          </w:tcPr>
          <w:p w14:paraId="5B6DF178"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w:t>
            </w:r>
          </w:p>
        </w:tc>
        <w:tc>
          <w:tcPr>
            <w:tcW w:w="567" w:type="dxa"/>
            <w:tcBorders>
              <w:top w:val="nil"/>
              <w:left w:val="single" w:sz="6" w:space="0" w:color="auto"/>
              <w:bottom w:val="single" w:sz="6" w:space="0" w:color="auto"/>
              <w:right w:val="single" w:sz="6" w:space="0" w:color="auto"/>
            </w:tcBorders>
            <w:shd w:val="clear" w:color="auto" w:fill="FFFFFF"/>
          </w:tcPr>
          <w:p w14:paraId="23D5632F"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w:t>
            </w:r>
          </w:p>
        </w:tc>
        <w:tc>
          <w:tcPr>
            <w:tcW w:w="823" w:type="dxa"/>
            <w:tcBorders>
              <w:top w:val="nil"/>
              <w:left w:val="single" w:sz="6" w:space="0" w:color="auto"/>
              <w:bottom w:val="single" w:sz="6" w:space="0" w:color="auto"/>
              <w:right w:val="single" w:sz="6" w:space="0" w:color="auto"/>
            </w:tcBorders>
            <w:shd w:val="clear" w:color="auto" w:fill="FFFFFF"/>
          </w:tcPr>
          <w:p w14:paraId="4C4ACCB4"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652,6</w:t>
            </w:r>
          </w:p>
        </w:tc>
        <w:tc>
          <w:tcPr>
            <w:tcW w:w="3004" w:type="dxa"/>
            <w:tcBorders>
              <w:top w:val="nil"/>
              <w:left w:val="single" w:sz="6" w:space="0" w:color="auto"/>
              <w:bottom w:val="single" w:sz="6" w:space="0" w:color="auto"/>
              <w:right w:val="single" w:sz="6" w:space="0" w:color="auto"/>
            </w:tcBorders>
            <w:shd w:val="clear" w:color="auto" w:fill="FFFFFF"/>
          </w:tcPr>
          <w:p w14:paraId="6C9BEBEE"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Вмятина —</w:t>
            </w:r>
            <w:r w:rsidRPr="00DB5D0D">
              <w:rPr>
                <w:rStyle w:val="1185pt32"/>
                <w:rFonts w:ascii="Times New Roman" w:hAnsi="Times New Roman" w:cs="Times New Roman"/>
                <w:iCs/>
                <w:color w:val="000000" w:themeColor="text1"/>
                <w:sz w:val="16"/>
                <w:szCs w:val="16"/>
              </w:rPr>
              <w:t xml:space="preserve"> 40</w:t>
            </w:r>
            <w:r w:rsidRPr="00DB5D0D">
              <w:rPr>
                <w:rFonts w:ascii="Times New Roman" w:hAnsi="Times New Roman" w:cs="Times New Roman"/>
                <w:i w:val="0"/>
                <w:color w:val="000000" w:themeColor="text1"/>
                <w:sz w:val="16"/>
                <w:szCs w:val="16"/>
              </w:rPr>
              <w:t xml:space="preserve"> мм. Выпучина +</w:t>
            </w:r>
            <w:r w:rsidRPr="00DB5D0D">
              <w:rPr>
                <w:rStyle w:val="1185pt32"/>
                <w:rFonts w:ascii="Times New Roman" w:hAnsi="Times New Roman" w:cs="Times New Roman"/>
                <w:iCs/>
                <w:color w:val="000000" w:themeColor="text1"/>
                <w:sz w:val="16"/>
                <w:szCs w:val="16"/>
              </w:rPr>
              <w:t xml:space="preserve"> 3</w:t>
            </w:r>
            <w:r w:rsidRPr="00DB5D0D">
              <w:rPr>
                <w:rFonts w:ascii="Times New Roman" w:hAnsi="Times New Roman" w:cs="Times New Roman"/>
                <w:i w:val="0"/>
                <w:color w:val="000000" w:themeColor="text1"/>
                <w:sz w:val="16"/>
                <w:szCs w:val="16"/>
              </w:rPr>
              <w:t xml:space="preserve"> мм</w:t>
            </w:r>
          </w:p>
        </w:tc>
        <w:tc>
          <w:tcPr>
            <w:tcW w:w="1843" w:type="dxa"/>
            <w:tcBorders>
              <w:top w:val="nil"/>
              <w:left w:val="single" w:sz="6" w:space="0" w:color="auto"/>
              <w:bottom w:val="single" w:sz="6" w:space="0" w:color="auto"/>
              <w:right w:val="single" w:sz="6" w:space="0" w:color="auto"/>
            </w:tcBorders>
            <w:shd w:val="clear" w:color="auto" w:fill="FFFFFF"/>
          </w:tcPr>
          <w:p w14:paraId="34B701CC"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перед деталью в осколках</w:t>
            </w:r>
          </w:p>
        </w:tc>
        <w:tc>
          <w:tcPr>
            <w:tcW w:w="1984" w:type="dxa"/>
            <w:tcBorders>
              <w:top w:val="nil"/>
              <w:left w:val="single" w:sz="6" w:space="0" w:color="auto"/>
              <w:bottom w:val="single" w:sz="6" w:space="0" w:color="auto"/>
              <w:right w:val="single" w:sz="6" w:space="0" w:color="auto"/>
            </w:tcBorders>
            <w:shd w:val="clear" w:color="auto" w:fill="FFFFFF"/>
          </w:tcPr>
          <w:p w14:paraId="6BCCBE28"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Двойная термообработка</w:t>
            </w:r>
          </w:p>
        </w:tc>
      </w:tr>
      <w:tr w:rsidR="007D5DF8" w:rsidRPr="00DB5D0D" w14:paraId="7C0CEDFE" w14:textId="77777777" w:rsidTr="00E543D0">
        <w:trPr>
          <w:trHeight w:val="418"/>
        </w:trPr>
        <w:tc>
          <w:tcPr>
            <w:tcW w:w="1087" w:type="dxa"/>
            <w:tcBorders>
              <w:top w:val="single" w:sz="6" w:space="0" w:color="auto"/>
              <w:left w:val="single" w:sz="6" w:space="0" w:color="auto"/>
              <w:bottom w:val="nil"/>
              <w:right w:val="single" w:sz="6" w:space="0" w:color="auto"/>
            </w:tcBorders>
            <w:shd w:val="clear" w:color="auto" w:fill="FFFFFF"/>
          </w:tcPr>
          <w:p w14:paraId="4EAB2A9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59" w:type="dxa"/>
            <w:tcBorders>
              <w:top w:val="single" w:sz="6" w:space="0" w:color="auto"/>
              <w:left w:val="single" w:sz="6" w:space="0" w:color="auto"/>
              <w:bottom w:val="nil"/>
              <w:right w:val="single" w:sz="6" w:space="0" w:color="auto"/>
            </w:tcBorders>
            <w:shd w:val="clear" w:color="auto" w:fill="FFFFFF"/>
          </w:tcPr>
          <w:p w14:paraId="178CA2E4"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w:t>
            </w:r>
          </w:p>
        </w:tc>
        <w:tc>
          <w:tcPr>
            <w:tcW w:w="873" w:type="dxa"/>
            <w:tcBorders>
              <w:top w:val="single" w:sz="6" w:space="0" w:color="auto"/>
              <w:left w:val="single" w:sz="6" w:space="0" w:color="auto"/>
              <w:bottom w:val="nil"/>
              <w:right w:val="single" w:sz="6" w:space="0" w:color="auto"/>
            </w:tcBorders>
            <w:shd w:val="clear" w:color="auto" w:fill="FFFFFF"/>
          </w:tcPr>
          <w:p w14:paraId="0951D0BC"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w:t>
            </w:r>
          </w:p>
        </w:tc>
        <w:tc>
          <w:tcPr>
            <w:tcW w:w="567" w:type="dxa"/>
            <w:tcBorders>
              <w:top w:val="single" w:sz="6" w:space="0" w:color="auto"/>
              <w:left w:val="single" w:sz="6" w:space="0" w:color="auto"/>
              <w:bottom w:val="nil"/>
              <w:right w:val="single" w:sz="6" w:space="0" w:color="auto"/>
            </w:tcBorders>
            <w:shd w:val="clear" w:color="auto" w:fill="FFFFFF"/>
          </w:tcPr>
          <w:p w14:paraId="22C16FDA"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1</w:t>
            </w:r>
          </w:p>
        </w:tc>
        <w:tc>
          <w:tcPr>
            <w:tcW w:w="823" w:type="dxa"/>
            <w:tcBorders>
              <w:top w:val="single" w:sz="6" w:space="0" w:color="auto"/>
              <w:left w:val="single" w:sz="6" w:space="0" w:color="auto"/>
              <w:bottom w:val="nil"/>
              <w:right w:val="single" w:sz="6" w:space="0" w:color="auto"/>
            </w:tcBorders>
            <w:shd w:val="clear" w:color="auto" w:fill="FFFFFF"/>
          </w:tcPr>
          <w:p w14:paraId="71ECB078"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653,1</w:t>
            </w:r>
          </w:p>
        </w:tc>
        <w:tc>
          <w:tcPr>
            <w:tcW w:w="3004" w:type="dxa"/>
            <w:tcBorders>
              <w:top w:val="single" w:sz="6" w:space="0" w:color="auto"/>
              <w:left w:val="single" w:sz="6" w:space="0" w:color="auto"/>
              <w:bottom w:val="nil"/>
              <w:right w:val="single" w:sz="6" w:space="0" w:color="auto"/>
            </w:tcBorders>
            <w:shd w:val="clear" w:color="auto" w:fill="FFFFFF"/>
          </w:tcPr>
          <w:p w14:paraId="203AE73A"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Вмятина —</w:t>
            </w:r>
            <w:r w:rsidRPr="00DB5D0D">
              <w:rPr>
                <w:rStyle w:val="1185pt32"/>
                <w:rFonts w:ascii="Times New Roman" w:hAnsi="Times New Roman" w:cs="Times New Roman"/>
                <w:iCs/>
                <w:color w:val="000000" w:themeColor="text1"/>
                <w:sz w:val="16"/>
                <w:szCs w:val="16"/>
              </w:rPr>
              <w:t xml:space="preserve"> 32</w:t>
            </w:r>
            <w:r w:rsidRPr="00DB5D0D">
              <w:rPr>
                <w:rFonts w:ascii="Times New Roman" w:hAnsi="Times New Roman" w:cs="Times New Roman"/>
                <w:i w:val="0"/>
                <w:color w:val="000000" w:themeColor="text1"/>
                <w:sz w:val="16"/>
                <w:szCs w:val="16"/>
              </w:rPr>
              <w:t xml:space="preserve"> мм. Выпучина +</w:t>
            </w:r>
            <w:r w:rsidRPr="00DB5D0D">
              <w:rPr>
                <w:rStyle w:val="1185pt32"/>
                <w:rFonts w:ascii="Times New Roman" w:hAnsi="Times New Roman" w:cs="Times New Roman"/>
                <w:iCs/>
                <w:color w:val="000000" w:themeColor="text1"/>
                <w:sz w:val="16"/>
                <w:szCs w:val="16"/>
              </w:rPr>
              <w:t xml:space="preserve"> 3</w:t>
            </w:r>
            <w:r w:rsidRPr="00DB5D0D">
              <w:rPr>
                <w:rFonts w:ascii="Times New Roman" w:hAnsi="Times New Roman" w:cs="Times New Roman"/>
                <w:i w:val="0"/>
                <w:color w:val="000000" w:themeColor="text1"/>
                <w:sz w:val="16"/>
                <w:szCs w:val="16"/>
              </w:rPr>
              <w:t xml:space="preserve"> мм</w:t>
            </w:r>
          </w:p>
        </w:tc>
        <w:tc>
          <w:tcPr>
            <w:tcW w:w="1843" w:type="dxa"/>
            <w:tcBorders>
              <w:top w:val="single" w:sz="6" w:space="0" w:color="auto"/>
              <w:left w:val="single" w:sz="6" w:space="0" w:color="auto"/>
              <w:bottom w:val="nil"/>
              <w:right w:val="single" w:sz="6" w:space="0" w:color="auto"/>
            </w:tcBorders>
            <w:shd w:val="clear" w:color="auto" w:fill="FFFFFF"/>
          </w:tcPr>
          <w:p w14:paraId="0EC56AD3"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Снаряд перед деталью</w:t>
            </w:r>
            <w:r w:rsidRPr="00DB5D0D">
              <w:rPr>
                <w:rStyle w:val="1185pt32"/>
                <w:rFonts w:ascii="Times New Roman" w:hAnsi="Times New Roman" w:cs="Times New Roman"/>
                <w:iCs/>
                <w:color w:val="000000" w:themeColor="text1"/>
                <w:sz w:val="16"/>
                <w:szCs w:val="16"/>
              </w:rPr>
              <w:t xml:space="preserve"> н=120-130</w:t>
            </w:r>
          </w:p>
        </w:tc>
        <w:tc>
          <w:tcPr>
            <w:tcW w:w="1984" w:type="dxa"/>
            <w:tcBorders>
              <w:top w:val="single" w:sz="6" w:space="0" w:color="auto"/>
              <w:left w:val="single" w:sz="6" w:space="0" w:color="auto"/>
              <w:bottom w:val="nil"/>
              <w:right w:val="single" w:sz="6" w:space="0" w:color="auto"/>
            </w:tcBorders>
            <w:shd w:val="clear" w:color="auto" w:fill="FFFFFF"/>
          </w:tcPr>
          <w:p w14:paraId="469FD0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AF44D50" w14:textId="77777777" w:rsidTr="00E543D0">
        <w:trPr>
          <w:trHeight w:val="1066"/>
        </w:trPr>
        <w:tc>
          <w:tcPr>
            <w:tcW w:w="1087" w:type="dxa"/>
            <w:tcBorders>
              <w:top w:val="nil"/>
              <w:left w:val="single" w:sz="6" w:space="0" w:color="auto"/>
              <w:bottom w:val="nil"/>
              <w:right w:val="single" w:sz="6" w:space="0" w:color="auto"/>
            </w:tcBorders>
            <w:shd w:val="clear" w:color="auto" w:fill="FFFFFF"/>
          </w:tcPr>
          <w:p w14:paraId="17133325"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513408-2-2</w:t>
            </w:r>
          </w:p>
        </w:tc>
        <w:tc>
          <w:tcPr>
            <w:tcW w:w="1159" w:type="dxa"/>
            <w:tcBorders>
              <w:top w:val="nil"/>
              <w:left w:val="single" w:sz="6" w:space="0" w:color="auto"/>
              <w:bottom w:val="nil"/>
              <w:right w:val="single" w:sz="6" w:space="0" w:color="auto"/>
            </w:tcBorders>
            <w:shd w:val="clear" w:color="auto" w:fill="FFFFFF"/>
          </w:tcPr>
          <w:p w14:paraId="569DCE4F"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 00130</w:t>
            </w:r>
          </w:p>
        </w:tc>
        <w:tc>
          <w:tcPr>
            <w:tcW w:w="873" w:type="dxa"/>
            <w:tcBorders>
              <w:top w:val="nil"/>
              <w:left w:val="single" w:sz="6" w:space="0" w:color="auto"/>
              <w:bottom w:val="nil"/>
              <w:right w:val="single" w:sz="6" w:space="0" w:color="auto"/>
            </w:tcBorders>
            <w:shd w:val="clear" w:color="auto" w:fill="FFFFFF"/>
          </w:tcPr>
          <w:p w14:paraId="7F008B8E"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76 45</w:t>
            </w:r>
          </w:p>
        </w:tc>
        <w:tc>
          <w:tcPr>
            <w:tcW w:w="567" w:type="dxa"/>
            <w:tcBorders>
              <w:top w:val="nil"/>
              <w:left w:val="single" w:sz="6" w:space="0" w:color="auto"/>
              <w:bottom w:val="nil"/>
              <w:right w:val="single" w:sz="6" w:space="0" w:color="auto"/>
            </w:tcBorders>
            <w:shd w:val="clear" w:color="auto" w:fill="FFFFFF"/>
          </w:tcPr>
          <w:p w14:paraId="52F6C524"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2 3</w:t>
            </w:r>
          </w:p>
        </w:tc>
        <w:tc>
          <w:tcPr>
            <w:tcW w:w="823" w:type="dxa"/>
            <w:tcBorders>
              <w:top w:val="nil"/>
              <w:left w:val="single" w:sz="6" w:space="0" w:color="auto"/>
              <w:bottom w:val="nil"/>
              <w:right w:val="single" w:sz="6" w:space="0" w:color="auto"/>
            </w:tcBorders>
            <w:shd w:val="clear" w:color="auto" w:fill="FFFFFF"/>
          </w:tcPr>
          <w:p w14:paraId="5FF5C7F9"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 xml:space="preserve">651,6 </w:t>
            </w:r>
            <w:r w:rsidRPr="00DB5D0D">
              <w:rPr>
                <w:rStyle w:val="115pt29115pt8109112SimHei2Arial12pt11ptMSMincho12pt"/>
                <w:rFonts w:ascii="Times New Roman" w:hAnsi="Times New Roman" w:cs="Times New Roman"/>
                <w:i w:val="0"/>
                <w:smallCaps/>
                <w:color w:val="000000" w:themeColor="text1"/>
                <w:spacing w:val="0"/>
                <w:sz w:val="16"/>
                <w:szCs w:val="16"/>
              </w:rPr>
              <w:t>н/з</w:t>
            </w:r>
          </w:p>
        </w:tc>
        <w:tc>
          <w:tcPr>
            <w:tcW w:w="3004" w:type="dxa"/>
            <w:tcBorders>
              <w:top w:val="nil"/>
              <w:left w:val="single" w:sz="6" w:space="0" w:color="auto"/>
              <w:bottom w:val="nil"/>
              <w:right w:val="single" w:sz="6" w:space="0" w:color="auto"/>
            </w:tcBorders>
            <w:shd w:val="clear" w:color="auto" w:fill="FFFFFF"/>
          </w:tcPr>
          <w:p w14:paraId="730589C0"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Вмятина — 26 мм (с приваркой части снаряда). Выпучина + 3 мм Вмятина — 32 мм. Выпучина + 0 мм</w:t>
            </w:r>
          </w:p>
        </w:tc>
        <w:tc>
          <w:tcPr>
            <w:tcW w:w="1843" w:type="dxa"/>
            <w:tcBorders>
              <w:top w:val="nil"/>
              <w:left w:val="single" w:sz="6" w:space="0" w:color="auto"/>
              <w:bottom w:val="nil"/>
              <w:right w:val="single" w:sz="6" w:space="0" w:color="auto"/>
            </w:tcBorders>
            <w:shd w:val="clear" w:color="auto" w:fill="FFFFFF"/>
          </w:tcPr>
          <w:p w14:paraId="368272FA"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перед деталью в осколках Снаряд перед деталью не найден</w:t>
            </w:r>
          </w:p>
        </w:tc>
        <w:tc>
          <w:tcPr>
            <w:tcW w:w="1984" w:type="dxa"/>
            <w:tcBorders>
              <w:top w:val="nil"/>
              <w:left w:val="single" w:sz="6" w:space="0" w:color="auto"/>
              <w:bottom w:val="nil"/>
              <w:right w:val="single" w:sz="6" w:space="0" w:color="auto"/>
            </w:tcBorders>
            <w:shd w:val="clear" w:color="auto" w:fill="FFFFFF"/>
          </w:tcPr>
          <w:p w14:paraId="4581ADC6"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Двойная термообработка</w:t>
            </w:r>
          </w:p>
        </w:tc>
      </w:tr>
      <w:tr w:rsidR="007D5DF8" w:rsidRPr="00DB5D0D" w14:paraId="4FDF7819" w14:textId="77777777" w:rsidTr="00E543D0">
        <w:trPr>
          <w:trHeight w:val="922"/>
        </w:trPr>
        <w:tc>
          <w:tcPr>
            <w:tcW w:w="1087" w:type="dxa"/>
            <w:tcBorders>
              <w:top w:val="nil"/>
              <w:left w:val="single" w:sz="6" w:space="0" w:color="auto"/>
              <w:bottom w:val="single" w:sz="6" w:space="0" w:color="auto"/>
              <w:right w:val="single" w:sz="6" w:space="0" w:color="auto"/>
            </w:tcBorders>
            <w:shd w:val="clear" w:color="auto" w:fill="FFFFFF"/>
          </w:tcPr>
          <w:p w14:paraId="2946BB5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59" w:type="dxa"/>
            <w:tcBorders>
              <w:top w:val="nil"/>
              <w:left w:val="single" w:sz="6" w:space="0" w:color="auto"/>
              <w:bottom w:val="single" w:sz="6" w:space="0" w:color="auto"/>
              <w:right w:val="single" w:sz="6" w:space="0" w:color="auto"/>
            </w:tcBorders>
            <w:shd w:val="clear" w:color="auto" w:fill="FFFFFF"/>
          </w:tcPr>
          <w:p w14:paraId="198F0607"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00130</w:t>
            </w:r>
          </w:p>
        </w:tc>
        <w:tc>
          <w:tcPr>
            <w:tcW w:w="873" w:type="dxa"/>
            <w:tcBorders>
              <w:top w:val="nil"/>
              <w:left w:val="single" w:sz="6" w:space="0" w:color="auto"/>
              <w:bottom w:val="single" w:sz="6" w:space="0" w:color="auto"/>
              <w:right w:val="single" w:sz="6" w:space="0" w:color="auto"/>
            </w:tcBorders>
            <w:shd w:val="clear" w:color="auto" w:fill="FFFFFF"/>
          </w:tcPr>
          <w:p w14:paraId="1EE6FE35"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45</w:t>
            </w:r>
          </w:p>
        </w:tc>
        <w:tc>
          <w:tcPr>
            <w:tcW w:w="567" w:type="dxa"/>
            <w:tcBorders>
              <w:top w:val="nil"/>
              <w:left w:val="single" w:sz="6" w:space="0" w:color="auto"/>
              <w:bottom w:val="single" w:sz="6" w:space="0" w:color="auto"/>
              <w:right w:val="single" w:sz="6" w:space="0" w:color="auto"/>
            </w:tcBorders>
            <w:shd w:val="clear" w:color="auto" w:fill="FFFFFF"/>
          </w:tcPr>
          <w:p w14:paraId="1EB2EB8E"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4</w:t>
            </w:r>
          </w:p>
        </w:tc>
        <w:tc>
          <w:tcPr>
            <w:tcW w:w="823" w:type="dxa"/>
            <w:tcBorders>
              <w:top w:val="nil"/>
              <w:left w:val="single" w:sz="6" w:space="0" w:color="auto"/>
              <w:bottom w:val="single" w:sz="6" w:space="0" w:color="auto"/>
              <w:right w:val="single" w:sz="6" w:space="0" w:color="auto"/>
            </w:tcBorders>
            <w:shd w:val="clear" w:color="auto" w:fill="FFFFFF"/>
          </w:tcPr>
          <w:p w14:paraId="5103782F"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758,7</w:t>
            </w:r>
          </w:p>
        </w:tc>
        <w:tc>
          <w:tcPr>
            <w:tcW w:w="3004" w:type="dxa"/>
            <w:tcBorders>
              <w:top w:val="nil"/>
              <w:left w:val="single" w:sz="6" w:space="0" w:color="auto"/>
              <w:bottom w:val="single" w:sz="6" w:space="0" w:color="auto"/>
              <w:right w:val="single" w:sz="6" w:space="0" w:color="auto"/>
            </w:tcBorders>
            <w:shd w:val="clear" w:color="auto" w:fill="FFFFFF"/>
          </w:tcPr>
          <w:p w14:paraId="0D267580"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Вмятина —</w:t>
            </w:r>
            <w:r w:rsidRPr="00DB5D0D">
              <w:rPr>
                <w:rStyle w:val="1185pt32"/>
                <w:rFonts w:ascii="Times New Roman" w:hAnsi="Times New Roman" w:cs="Times New Roman"/>
                <w:iCs/>
                <w:color w:val="000000" w:themeColor="text1"/>
                <w:sz w:val="16"/>
                <w:szCs w:val="16"/>
                <w:lang w:val="ru-RU"/>
              </w:rPr>
              <w:t xml:space="preserve"> 27</w:t>
            </w:r>
            <w:r w:rsidRPr="00DB5D0D">
              <w:rPr>
                <w:rFonts w:ascii="Times New Roman" w:hAnsi="Times New Roman" w:cs="Times New Roman"/>
                <w:i w:val="0"/>
                <w:color w:val="000000" w:themeColor="text1"/>
                <w:sz w:val="16"/>
                <w:szCs w:val="16"/>
                <w:lang w:val="ru-RU"/>
              </w:rPr>
              <w:t xml:space="preserve"> мм. Выпучина +</w:t>
            </w:r>
            <w:r w:rsidRPr="00DB5D0D">
              <w:rPr>
                <w:rStyle w:val="1185pt32"/>
                <w:rFonts w:ascii="Times New Roman" w:hAnsi="Times New Roman" w:cs="Times New Roman"/>
                <w:iCs/>
                <w:color w:val="000000" w:themeColor="text1"/>
                <w:sz w:val="16"/>
                <w:szCs w:val="16"/>
                <w:lang w:val="ru-RU"/>
              </w:rPr>
              <w:t xml:space="preserve"> 14</w:t>
            </w:r>
            <w:r w:rsidRPr="00DB5D0D">
              <w:rPr>
                <w:rFonts w:ascii="Times New Roman" w:hAnsi="Times New Roman" w:cs="Times New Roman"/>
                <w:i w:val="0"/>
                <w:color w:val="000000" w:themeColor="text1"/>
                <w:sz w:val="16"/>
                <w:szCs w:val="16"/>
                <w:lang w:val="ru-RU"/>
              </w:rPr>
              <w:t xml:space="preserve"> мм (надрыв пробки на</w:t>
            </w:r>
            <w:r w:rsidRPr="00DB5D0D">
              <w:rPr>
                <w:rStyle w:val="1185pt32"/>
                <w:rFonts w:ascii="Times New Roman" w:hAnsi="Times New Roman" w:cs="Times New Roman"/>
                <w:iCs/>
                <w:color w:val="000000" w:themeColor="text1"/>
                <w:sz w:val="16"/>
                <w:szCs w:val="16"/>
                <w:lang w:val="ru-RU"/>
              </w:rPr>
              <w:t xml:space="preserve"> 1/4</w:t>
            </w:r>
            <w:r w:rsidRPr="00DB5D0D">
              <w:rPr>
                <w:rFonts w:ascii="Times New Roman" w:hAnsi="Times New Roman" w:cs="Times New Roman"/>
                <w:i w:val="0"/>
                <w:color w:val="000000" w:themeColor="text1"/>
                <w:sz w:val="16"/>
                <w:szCs w:val="16"/>
                <w:lang w:val="ru-RU"/>
              </w:rPr>
              <w:t xml:space="preserve"> окружности)</w:t>
            </w:r>
          </w:p>
        </w:tc>
        <w:tc>
          <w:tcPr>
            <w:tcW w:w="1843" w:type="dxa"/>
            <w:tcBorders>
              <w:top w:val="nil"/>
              <w:left w:val="single" w:sz="6" w:space="0" w:color="auto"/>
              <w:bottom w:val="single" w:sz="6" w:space="0" w:color="auto"/>
              <w:right w:val="single" w:sz="6" w:space="0" w:color="auto"/>
            </w:tcBorders>
            <w:shd w:val="clear" w:color="auto" w:fill="FFFFFF"/>
          </w:tcPr>
          <w:p w14:paraId="17765B7C"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перед деталью в осколках</w:t>
            </w:r>
          </w:p>
        </w:tc>
        <w:tc>
          <w:tcPr>
            <w:tcW w:w="1984" w:type="dxa"/>
            <w:tcBorders>
              <w:top w:val="nil"/>
              <w:left w:val="single" w:sz="6" w:space="0" w:color="auto"/>
              <w:bottom w:val="single" w:sz="6" w:space="0" w:color="auto"/>
              <w:right w:val="single" w:sz="6" w:space="0" w:color="auto"/>
            </w:tcBorders>
            <w:shd w:val="clear" w:color="auto" w:fill="FFFFFF"/>
          </w:tcPr>
          <w:p w14:paraId="32A06F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4A82320" w14:textId="77777777" w:rsidTr="00E543D0">
        <w:trPr>
          <w:trHeight w:val="425"/>
        </w:trPr>
        <w:tc>
          <w:tcPr>
            <w:tcW w:w="1087" w:type="dxa"/>
            <w:tcBorders>
              <w:top w:val="single" w:sz="6" w:space="0" w:color="auto"/>
              <w:left w:val="single" w:sz="6" w:space="0" w:color="auto"/>
              <w:bottom w:val="nil"/>
              <w:right w:val="single" w:sz="6" w:space="0" w:color="auto"/>
            </w:tcBorders>
            <w:shd w:val="clear" w:color="auto" w:fill="FFFFFF"/>
          </w:tcPr>
          <w:p w14:paraId="4B0F26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59" w:type="dxa"/>
            <w:tcBorders>
              <w:top w:val="single" w:sz="6" w:space="0" w:color="auto"/>
              <w:left w:val="single" w:sz="6" w:space="0" w:color="auto"/>
              <w:bottom w:val="nil"/>
              <w:right w:val="single" w:sz="6" w:space="0" w:color="auto"/>
            </w:tcBorders>
            <w:shd w:val="clear" w:color="auto" w:fill="FFFFFF"/>
          </w:tcPr>
          <w:p w14:paraId="1F3991E7"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w:t>
            </w:r>
          </w:p>
        </w:tc>
        <w:tc>
          <w:tcPr>
            <w:tcW w:w="873" w:type="dxa"/>
            <w:tcBorders>
              <w:top w:val="single" w:sz="6" w:space="0" w:color="auto"/>
              <w:left w:val="single" w:sz="6" w:space="0" w:color="auto"/>
              <w:bottom w:val="nil"/>
              <w:right w:val="single" w:sz="6" w:space="0" w:color="auto"/>
            </w:tcBorders>
            <w:shd w:val="clear" w:color="auto" w:fill="FFFFFF"/>
          </w:tcPr>
          <w:p w14:paraId="7E9F0BCD"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w:t>
            </w:r>
          </w:p>
        </w:tc>
        <w:tc>
          <w:tcPr>
            <w:tcW w:w="567" w:type="dxa"/>
            <w:tcBorders>
              <w:top w:val="single" w:sz="6" w:space="0" w:color="auto"/>
              <w:left w:val="single" w:sz="6" w:space="0" w:color="auto"/>
              <w:bottom w:val="nil"/>
              <w:right w:val="single" w:sz="6" w:space="0" w:color="auto"/>
            </w:tcBorders>
            <w:shd w:val="clear" w:color="auto" w:fill="FFFFFF"/>
          </w:tcPr>
          <w:p w14:paraId="3694C337"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1</w:t>
            </w:r>
          </w:p>
        </w:tc>
        <w:tc>
          <w:tcPr>
            <w:tcW w:w="823" w:type="dxa"/>
            <w:tcBorders>
              <w:top w:val="single" w:sz="6" w:space="0" w:color="auto"/>
              <w:left w:val="single" w:sz="6" w:space="0" w:color="auto"/>
              <w:bottom w:val="nil"/>
              <w:right w:val="single" w:sz="6" w:space="0" w:color="auto"/>
            </w:tcBorders>
            <w:shd w:val="clear" w:color="auto" w:fill="FFFFFF"/>
          </w:tcPr>
          <w:p w14:paraId="0411E5AF"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639,2</w:t>
            </w:r>
          </w:p>
        </w:tc>
        <w:tc>
          <w:tcPr>
            <w:tcW w:w="3004" w:type="dxa"/>
            <w:tcBorders>
              <w:top w:val="single" w:sz="6" w:space="0" w:color="auto"/>
              <w:left w:val="single" w:sz="6" w:space="0" w:color="auto"/>
              <w:bottom w:val="nil"/>
              <w:right w:val="single" w:sz="6" w:space="0" w:color="auto"/>
            </w:tcBorders>
            <w:shd w:val="clear" w:color="auto" w:fill="FFFFFF"/>
          </w:tcPr>
          <w:p w14:paraId="3DA50FBD"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Вмятина — 30 мм. Выпучина + 3 мм</w:t>
            </w:r>
          </w:p>
        </w:tc>
        <w:tc>
          <w:tcPr>
            <w:tcW w:w="1843" w:type="dxa"/>
            <w:tcBorders>
              <w:top w:val="single" w:sz="6" w:space="0" w:color="auto"/>
              <w:left w:val="single" w:sz="6" w:space="0" w:color="auto"/>
              <w:bottom w:val="nil"/>
              <w:right w:val="single" w:sz="6" w:space="0" w:color="auto"/>
            </w:tcBorders>
            <w:shd w:val="clear" w:color="auto" w:fill="FFFFFF"/>
          </w:tcPr>
          <w:p w14:paraId="0059A31A"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перед деталью в осколках</w:t>
            </w:r>
          </w:p>
        </w:tc>
        <w:tc>
          <w:tcPr>
            <w:tcW w:w="1984" w:type="dxa"/>
            <w:tcBorders>
              <w:top w:val="single" w:sz="6" w:space="0" w:color="auto"/>
              <w:left w:val="single" w:sz="6" w:space="0" w:color="auto"/>
              <w:bottom w:val="nil"/>
              <w:right w:val="single" w:sz="6" w:space="0" w:color="auto"/>
            </w:tcBorders>
            <w:shd w:val="clear" w:color="auto" w:fill="FFFFFF"/>
          </w:tcPr>
          <w:p w14:paraId="09D2BCF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E14697A" w14:textId="77777777" w:rsidTr="00E543D0">
        <w:trPr>
          <w:trHeight w:val="526"/>
        </w:trPr>
        <w:tc>
          <w:tcPr>
            <w:tcW w:w="1087" w:type="dxa"/>
            <w:tcBorders>
              <w:top w:val="nil"/>
              <w:left w:val="single" w:sz="6" w:space="0" w:color="auto"/>
              <w:bottom w:val="nil"/>
              <w:right w:val="single" w:sz="6" w:space="0" w:color="auto"/>
            </w:tcBorders>
            <w:shd w:val="clear" w:color="auto" w:fill="FFFFFF"/>
          </w:tcPr>
          <w:p w14:paraId="715871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59" w:type="dxa"/>
            <w:tcBorders>
              <w:top w:val="nil"/>
              <w:left w:val="single" w:sz="6" w:space="0" w:color="auto"/>
              <w:bottom w:val="nil"/>
              <w:right w:val="single" w:sz="6" w:space="0" w:color="auto"/>
            </w:tcBorders>
            <w:shd w:val="clear" w:color="auto" w:fill="FFFFFF"/>
          </w:tcPr>
          <w:p w14:paraId="68FBF337"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w:t>
            </w:r>
          </w:p>
        </w:tc>
        <w:tc>
          <w:tcPr>
            <w:tcW w:w="873" w:type="dxa"/>
            <w:tcBorders>
              <w:top w:val="nil"/>
              <w:left w:val="single" w:sz="6" w:space="0" w:color="auto"/>
              <w:bottom w:val="nil"/>
              <w:right w:val="single" w:sz="6" w:space="0" w:color="auto"/>
            </w:tcBorders>
            <w:shd w:val="clear" w:color="auto" w:fill="FFFFFF"/>
          </w:tcPr>
          <w:p w14:paraId="24AE73A7"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w:t>
            </w:r>
          </w:p>
        </w:tc>
        <w:tc>
          <w:tcPr>
            <w:tcW w:w="567" w:type="dxa"/>
            <w:tcBorders>
              <w:top w:val="nil"/>
              <w:left w:val="single" w:sz="6" w:space="0" w:color="auto"/>
              <w:bottom w:val="nil"/>
              <w:right w:val="single" w:sz="6" w:space="0" w:color="auto"/>
            </w:tcBorders>
            <w:shd w:val="clear" w:color="auto" w:fill="FFFFFF"/>
          </w:tcPr>
          <w:p w14:paraId="53978C02"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w:t>
            </w:r>
          </w:p>
        </w:tc>
        <w:tc>
          <w:tcPr>
            <w:tcW w:w="823" w:type="dxa"/>
            <w:tcBorders>
              <w:top w:val="nil"/>
              <w:left w:val="single" w:sz="6" w:space="0" w:color="auto"/>
              <w:bottom w:val="nil"/>
              <w:right w:val="single" w:sz="6" w:space="0" w:color="auto"/>
            </w:tcBorders>
            <w:shd w:val="clear" w:color="auto" w:fill="FFFFFF"/>
          </w:tcPr>
          <w:p w14:paraId="77E3075C"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649,5</w:t>
            </w:r>
          </w:p>
        </w:tc>
        <w:tc>
          <w:tcPr>
            <w:tcW w:w="3004" w:type="dxa"/>
            <w:tcBorders>
              <w:top w:val="nil"/>
              <w:left w:val="single" w:sz="6" w:space="0" w:color="auto"/>
              <w:bottom w:val="nil"/>
              <w:right w:val="single" w:sz="6" w:space="0" w:color="auto"/>
            </w:tcBorders>
            <w:shd w:val="clear" w:color="auto" w:fill="FFFFFF"/>
          </w:tcPr>
          <w:p w14:paraId="5B9E3E12"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Вмятина — 32 мм. Выпучина +</w:t>
            </w:r>
            <w:r w:rsidRPr="00DB5D0D">
              <w:rPr>
                <w:rStyle w:val="1185pt32"/>
                <w:rFonts w:ascii="Times New Roman" w:hAnsi="Times New Roman" w:cs="Times New Roman"/>
                <w:iCs/>
                <w:color w:val="000000" w:themeColor="text1"/>
                <w:sz w:val="16"/>
                <w:szCs w:val="16"/>
              </w:rPr>
              <w:t xml:space="preserve"> 4</w:t>
            </w:r>
            <w:r w:rsidRPr="00DB5D0D">
              <w:rPr>
                <w:rFonts w:ascii="Times New Roman" w:hAnsi="Times New Roman" w:cs="Times New Roman"/>
                <w:i w:val="0"/>
                <w:color w:val="000000" w:themeColor="text1"/>
                <w:sz w:val="16"/>
                <w:szCs w:val="16"/>
              </w:rPr>
              <w:t xml:space="preserve"> мм</w:t>
            </w:r>
          </w:p>
        </w:tc>
        <w:tc>
          <w:tcPr>
            <w:tcW w:w="1843" w:type="dxa"/>
            <w:tcBorders>
              <w:top w:val="nil"/>
              <w:left w:val="single" w:sz="6" w:space="0" w:color="auto"/>
              <w:bottom w:val="nil"/>
              <w:right w:val="single" w:sz="6" w:space="0" w:color="auto"/>
            </w:tcBorders>
            <w:shd w:val="clear" w:color="auto" w:fill="FFFFFF"/>
          </w:tcPr>
          <w:p w14:paraId="60C016DF"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Снаряд перед деталью</w:t>
            </w:r>
            <w:r w:rsidRPr="00DB5D0D">
              <w:rPr>
                <w:rStyle w:val="1185pt32"/>
                <w:rFonts w:ascii="Times New Roman" w:hAnsi="Times New Roman" w:cs="Times New Roman"/>
                <w:iCs/>
                <w:color w:val="000000" w:themeColor="text1"/>
                <w:sz w:val="16"/>
                <w:szCs w:val="16"/>
              </w:rPr>
              <w:t xml:space="preserve"> н=140-170</w:t>
            </w:r>
          </w:p>
        </w:tc>
        <w:tc>
          <w:tcPr>
            <w:tcW w:w="1984" w:type="dxa"/>
            <w:tcBorders>
              <w:top w:val="nil"/>
              <w:left w:val="single" w:sz="6" w:space="0" w:color="auto"/>
              <w:bottom w:val="nil"/>
              <w:right w:val="single" w:sz="6" w:space="0" w:color="auto"/>
            </w:tcBorders>
            <w:shd w:val="clear" w:color="auto" w:fill="FFFFFF"/>
          </w:tcPr>
          <w:p w14:paraId="443A5D2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60D4938" w14:textId="77777777" w:rsidTr="00E543D0">
        <w:trPr>
          <w:trHeight w:val="1476"/>
        </w:trPr>
        <w:tc>
          <w:tcPr>
            <w:tcW w:w="1087" w:type="dxa"/>
            <w:tcBorders>
              <w:top w:val="nil"/>
              <w:left w:val="single" w:sz="6" w:space="0" w:color="auto"/>
              <w:bottom w:val="single" w:sz="6" w:space="0" w:color="auto"/>
              <w:right w:val="single" w:sz="6" w:space="0" w:color="auto"/>
            </w:tcBorders>
            <w:shd w:val="clear" w:color="auto" w:fill="FFFFFF"/>
          </w:tcPr>
          <w:p w14:paraId="401F2BA9"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515355-01</w:t>
            </w:r>
          </w:p>
        </w:tc>
        <w:tc>
          <w:tcPr>
            <w:tcW w:w="1159" w:type="dxa"/>
            <w:tcBorders>
              <w:top w:val="nil"/>
              <w:left w:val="single" w:sz="6" w:space="0" w:color="auto"/>
              <w:bottom w:val="single" w:sz="6" w:space="0" w:color="auto"/>
              <w:right w:val="single" w:sz="6" w:space="0" w:color="auto"/>
            </w:tcBorders>
            <w:shd w:val="clear" w:color="auto" w:fill="FFFFFF"/>
          </w:tcPr>
          <w:p w14:paraId="06DAD108"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00130 00130</w:t>
            </w:r>
          </w:p>
        </w:tc>
        <w:tc>
          <w:tcPr>
            <w:tcW w:w="873" w:type="dxa"/>
            <w:tcBorders>
              <w:top w:val="nil"/>
              <w:left w:val="single" w:sz="6" w:space="0" w:color="auto"/>
              <w:bottom w:val="single" w:sz="6" w:space="0" w:color="auto"/>
              <w:right w:val="single" w:sz="6" w:space="0" w:color="auto"/>
            </w:tcBorders>
            <w:shd w:val="clear" w:color="auto" w:fill="FFFFFF"/>
          </w:tcPr>
          <w:p w14:paraId="1391E332"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45 45</w:t>
            </w:r>
          </w:p>
        </w:tc>
        <w:tc>
          <w:tcPr>
            <w:tcW w:w="567" w:type="dxa"/>
            <w:tcBorders>
              <w:top w:val="nil"/>
              <w:left w:val="single" w:sz="6" w:space="0" w:color="auto"/>
              <w:bottom w:val="single" w:sz="6" w:space="0" w:color="auto"/>
              <w:right w:val="single" w:sz="6" w:space="0" w:color="auto"/>
            </w:tcBorders>
            <w:shd w:val="clear" w:color="auto" w:fill="FFFFFF"/>
          </w:tcPr>
          <w:p w14:paraId="5EC5ACFC"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smallCaps/>
                <w:color w:val="000000" w:themeColor="text1"/>
                <w:sz w:val="16"/>
                <w:szCs w:val="16"/>
              </w:rPr>
              <w:t>-</w:t>
            </w:r>
            <w:r w:rsidRPr="00DB5D0D">
              <w:rPr>
                <w:rFonts w:ascii="Times New Roman" w:hAnsi="Times New Roman" w:cs="Times New Roman"/>
                <w:i w:val="0"/>
                <w:smallCaps/>
                <w:color w:val="000000" w:themeColor="text1"/>
                <w:sz w:val="16"/>
                <w:szCs w:val="16"/>
              </w:rPr>
              <w:tab/>
            </w:r>
          </w:p>
          <w:p w14:paraId="608A25BF"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smallCaps/>
                <w:color w:val="000000" w:themeColor="text1"/>
                <w:sz w:val="16"/>
                <w:szCs w:val="16"/>
              </w:rPr>
              <w:t>-</w:t>
            </w:r>
            <w:r w:rsidRPr="00DB5D0D">
              <w:rPr>
                <w:rFonts w:ascii="Times New Roman" w:hAnsi="Times New Roman" w:cs="Times New Roman"/>
                <w:i w:val="0"/>
                <w:smallCaps/>
                <w:color w:val="000000" w:themeColor="text1"/>
                <w:sz w:val="16"/>
                <w:szCs w:val="16"/>
              </w:rPr>
              <w:tab/>
            </w:r>
          </w:p>
        </w:tc>
        <w:tc>
          <w:tcPr>
            <w:tcW w:w="823" w:type="dxa"/>
            <w:tcBorders>
              <w:top w:val="nil"/>
              <w:left w:val="single" w:sz="6" w:space="0" w:color="auto"/>
              <w:bottom w:val="single" w:sz="6" w:space="0" w:color="auto"/>
              <w:right w:val="single" w:sz="6" w:space="0" w:color="auto"/>
            </w:tcBorders>
            <w:shd w:val="clear" w:color="auto" w:fill="FFFFFF"/>
          </w:tcPr>
          <w:p w14:paraId="2ED7074D"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745,9 752,2</w:t>
            </w:r>
          </w:p>
        </w:tc>
        <w:tc>
          <w:tcPr>
            <w:tcW w:w="3004" w:type="dxa"/>
            <w:tcBorders>
              <w:top w:val="nil"/>
              <w:left w:val="single" w:sz="6" w:space="0" w:color="auto"/>
              <w:bottom w:val="single" w:sz="6" w:space="0" w:color="auto"/>
              <w:right w:val="single" w:sz="6" w:space="0" w:color="auto"/>
            </w:tcBorders>
            <w:shd w:val="clear" w:color="auto" w:fill="FFFFFF"/>
          </w:tcPr>
          <w:p w14:paraId="0A3FD291"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lang w:val="ru-RU"/>
              </w:rPr>
              <w:t>Пробоина на боковой стороне (полке) Д вх.=70х65 мм. Д вых =63</w:t>
            </w:r>
            <w:r w:rsidRPr="00DB5D0D">
              <w:rPr>
                <w:rFonts w:ascii="Times New Roman" w:hAnsi="Times New Roman" w:cs="Times New Roman"/>
                <w:i w:val="0"/>
                <w:color w:val="000000" w:themeColor="text1"/>
                <w:sz w:val="16"/>
                <w:szCs w:val="16"/>
              </w:rPr>
              <w:t>x</w:t>
            </w:r>
            <w:r w:rsidRPr="00DB5D0D">
              <w:rPr>
                <w:rFonts w:ascii="Times New Roman" w:hAnsi="Times New Roman" w:cs="Times New Roman"/>
                <w:i w:val="0"/>
                <w:color w:val="000000" w:themeColor="text1"/>
                <w:sz w:val="16"/>
                <w:szCs w:val="16"/>
                <w:lang w:val="ru-RU"/>
              </w:rPr>
              <w:t xml:space="preserve">64 мм От места попадания до кромки детали </w:t>
            </w:r>
            <w:r w:rsidRPr="00DB5D0D">
              <w:rPr>
                <w:rFonts w:ascii="Times New Roman" w:hAnsi="Times New Roman" w:cs="Times New Roman"/>
                <w:i w:val="0"/>
                <w:color w:val="000000" w:themeColor="text1"/>
                <w:sz w:val="16"/>
                <w:szCs w:val="16"/>
              </w:rPr>
              <w:t>L</w:t>
            </w:r>
            <w:r w:rsidRPr="00DB5D0D">
              <w:rPr>
                <w:rFonts w:ascii="Times New Roman" w:hAnsi="Times New Roman" w:cs="Times New Roman"/>
                <w:i w:val="0"/>
                <w:noProof w:val="0"/>
                <w:color w:val="000000" w:themeColor="text1"/>
                <w:sz w:val="16"/>
                <w:szCs w:val="16"/>
                <w:lang w:val="ru-RU"/>
              </w:rPr>
              <w:t>=35</w:t>
            </w:r>
            <w:r w:rsidRPr="00DB5D0D">
              <w:rPr>
                <w:rStyle w:val="Batang16pt-1ptGulim125pt1111101Tahoma10pt"/>
                <w:rFonts w:ascii="Times New Roman" w:hAnsi="Times New Roman" w:cs="Times New Roman"/>
                <w:i w:val="0"/>
                <w:color w:val="000000" w:themeColor="text1"/>
                <w:spacing w:val="0"/>
                <w:sz w:val="16"/>
                <w:szCs w:val="16"/>
              </w:rPr>
              <w:t>mm</w:t>
            </w:r>
            <w:r w:rsidRPr="00DB5D0D">
              <w:rPr>
                <w:rFonts w:ascii="Times New Roman" w:hAnsi="Times New Roman" w:cs="Times New Roman"/>
                <w:i w:val="0"/>
                <w:color w:val="000000" w:themeColor="text1"/>
                <w:sz w:val="16"/>
                <w:szCs w:val="16"/>
                <w:lang w:val="ru-RU"/>
              </w:rPr>
              <w:t>выхват металла Вмятина —</w:t>
            </w:r>
            <w:r w:rsidRPr="00DB5D0D">
              <w:rPr>
                <w:rStyle w:val="1185pt32"/>
                <w:rFonts w:ascii="Times New Roman" w:hAnsi="Times New Roman" w:cs="Times New Roman"/>
                <w:iCs/>
                <w:color w:val="000000" w:themeColor="text1"/>
                <w:sz w:val="16"/>
                <w:szCs w:val="16"/>
                <w:lang w:val="ru-RU"/>
              </w:rPr>
              <w:t>18</w:t>
            </w:r>
            <w:r w:rsidRPr="00DB5D0D">
              <w:rPr>
                <w:rFonts w:ascii="Times New Roman" w:hAnsi="Times New Roman" w:cs="Times New Roman"/>
                <w:i w:val="0"/>
                <w:color w:val="000000" w:themeColor="text1"/>
                <w:sz w:val="16"/>
                <w:szCs w:val="16"/>
                <w:lang w:val="ru-RU"/>
              </w:rPr>
              <w:t xml:space="preserve"> мм. </w:t>
            </w:r>
            <w:r w:rsidRPr="00DB5D0D">
              <w:rPr>
                <w:rFonts w:ascii="Times New Roman" w:hAnsi="Times New Roman" w:cs="Times New Roman"/>
                <w:i w:val="0"/>
                <w:color w:val="000000" w:themeColor="text1"/>
                <w:sz w:val="16"/>
                <w:szCs w:val="16"/>
              </w:rPr>
              <w:t>Выпучина + 0 мм</w:t>
            </w:r>
          </w:p>
        </w:tc>
        <w:tc>
          <w:tcPr>
            <w:tcW w:w="1843" w:type="dxa"/>
            <w:tcBorders>
              <w:top w:val="nil"/>
              <w:left w:val="single" w:sz="6" w:space="0" w:color="auto"/>
              <w:bottom w:val="single" w:sz="6" w:space="0" w:color="auto"/>
              <w:right w:val="single" w:sz="6" w:space="0" w:color="auto"/>
            </w:tcBorders>
            <w:shd w:val="clear" w:color="auto" w:fill="FFFFFF"/>
          </w:tcPr>
          <w:p w14:paraId="4D7DC3FD"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за деталью</w:t>
            </w:r>
            <w:r w:rsidRPr="00DB5D0D">
              <w:rPr>
                <w:rStyle w:val="1185pt32"/>
                <w:rFonts w:ascii="Times New Roman" w:hAnsi="Times New Roman" w:cs="Times New Roman"/>
                <w:iCs/>
                <w:color w:val="000000" w:themeColor="text1"/>
                <w:sz w:val="16"/>
                <w:szCs w:val="16"/>
                <w:lang w:val="ru-RU"/>
              </w:rPr>
              <w:t xml:space="preserve"> н=40-56-50 </w:t>
            </w:r>
            <w:r w:rsidRPr="00DB5D0D">
              <w:rPr>
                <w:rFonts w:ascii="Times New Roman" w:hAnsi="Times New Roman" w:cs="Times New Roman"/>
                <w:i w:val="0"/>
                <w:color w:val="000000" w:themeColor="text1"/>
                <w:sz w:val="16"/>
                <w:szCs w:val="16"/>
                <w:lang w:val="ru-RU"/>
              </w:rPr>
              <w:t>Снаряд перед деталью в осколках</w:t>
            </w:r>
          </w:p>
        </w:tc>
        <w:tc>
          <w:tcPr>
            <w:tcW w:w="1984" w:type="dxa"/>
            <w:tcBorders>
              <w:top w:val="nil"/>
              <w:left w:val="single" w:sz="6" w:space="0" w:color="auto"/>
              <w:bottom w:val="single" w:sz="6" w:space="0" w:color="auto"/>
              <w:right w:val="single" w:sz="6" w:space="0" w:color="auto"/>
            </w:tcBorders>
            <w:shd w:val="clear" w:color="auto" w:fill="FFFFFF"/>
          </w:tcPr>
          <w:p w14:paraId="6CD4AD67"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Одинарная термообработка</w:t>
            </w:r>
          </w:p>
        </w:tc>
      </w:tr>
    </w:tbl>
    <w:p w14:paraId="36BECC7A" w14:textId="77777777" w:rsidR="003C7E8B" w:rsidRPr="00DB5D0D" w:rsidRDefault="003C7E8B" w:rsidP="00DB5D0D">
      <w:pPr>
        <w:pStyle w:val="aff1"/>
        <w:spacing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noProof w:val="0"/>
          <w:color w:val="000000" w:themeColor="text1"/>
          <w:sz w:val="16"/>
          <w:szCs w:val="16"/>
          <w:lang w:val="ru-RU"/>
        </w:rPr>
        <w:t>(11939).</w:t>
      </w:r>
    </w:p>
    <w:p w14:paraId="50B723B5" w14:textId="77777777" w:rsidR="003C7E8B" w:rsidRPr="00DB5D0D" w:rsidRDefault="003C7E8B" w:rsidP="00DB5D0D">
      <w:pPr>
        <w:pStyle w:val="a3"/>
        <w:rPr>
          <w:color w:val="000000" w:themeColor="text1"/>
          <w:lang w:val="ru-RU"/>
        </w:rPr>
      </w:pPr>
      <w:r w:rsidRPr="00DB5D0D">
        <w:rPr>
          <w:color w:val="000000" w:themeColor="text1"/>
          <w:lang w:val="ru-RU"/>
        </w:rPr>
        <w:t>Данный отчет был утвержден районным инженером ГАБТУ КА, военинженером 2-го ранга Г.И. Зухером. Таким образом, несмот</w:t>
      </w:r>
      <w:r w:rsidRPr="00DB5D0D">
        <w:rPr>
          <w:color w:val="000000" w:themeColor="text1"/>
          <w:lang w:val="ru-RU"/>
        </w:rPr>
        <w:softHyphen/>
        <w:t>ря на наличие литейных дефектов, качество балок признали удов</w:t>
      </w:r>
      <w:r w:rsidRPr="00DB5D0D">
        <w:rPr>
          <w:color w:val="000000" w:themeColor="text1"/>
          <w:lang w:val="ru-RU"/>
        </w:rPr>
        <w:softHyphen/>
        <w:t>летворительным и соответствующим требованиям по прочности, а их производство на Мариупольском заводе - не прекратили. Учитывая, что при существующей технологии изготовления балок избавиться от литейных дефектов было невозможно, Г.И. Зухер высказал предложение об изыскании возможности изготовления балок методом проката, что, по его мнению, позволит сделать тело балки без дефектов. Впоследствии данное предложение было реализовано, и в 1941 г. носовые балки для Т-34 стали катаными (11940).</w:t>
      </w:r>
    </w:p>
    <w:p w14:paraId="1CE1CA39" w14:textId="77777777" w:rsidR="003C7E8B" w:rsidRPr="00DB5D0D" w:rsidRDefault="003C7E8B" w:rsidP="00DB5D0D">
      <w:pPr>
        <w:pStyle w:val="a3"/>
        <w:rPr>
          <w:color w:val="000000" w:themeColor="text1"/>
          <w:lang w:val="ru-RU"/>
        </w:rPr>
      </w:pPr>
    </w:p>
    <w:p w14:paraId="1D179CA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2DE1E2D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DC793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г. вышел Приказ НКО о переподчинении военных академий, училищ и школ Главным Управлениям НКО СССР и расформировании Управления высших учебных заведений Красной Армии № 0195.</w:t>
      </w:r>
    </w:p>
    <w:p w14:paraId="7C825A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образованием главных управлений Наркомата обороны, отвечающих за состояние и боевую подготовку своего рода войск, приказываю:</w:t>
      </w:r>
    </w:p>
    <w:p w14:paraId="2FE973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w:t>
      </w:r>
    </w:p>
    <w:p w14:paraId="2A097B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Военные академии Красной Армии с 1 сентября с. г. передать в подчинение:</w:t>
      </w:r>
    </w:p>
    <w:p w14:paraId="48E395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Военную академию Генерального штаба и Военную академию им. М. Ф. Фрунзе — начальнику Генерального штаба Красной Армии.</w:t>
      </w:r>
    </w:p>
    <w:p w14:paraId="5DEE12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Военно-политическую академию им. В. И. Ленина и Высший военно-педагогический институт — начальнику Главного управления политической пропаганды Красной Армии.</w:t>
      </w:r>
    </w:p>
    <w:p w14:paraId="1156F9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Военную академию механизации и моторизации им. И. В. Сталина — начальнику Главного автобронетанкового управления Красной Армии.</w:t>
      </w:r>
    </w:p>
    <w:p w14:paraId="50ADE9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Артиллерийскую академию им. Ф. Э. Дзержинского — начальнику Главного артиллерийского управления Красной Армии.</w:t>
      </w:r>
    </w:p>
    <w:p w14:paraId="3ADB43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5. Военно-инженерную академию им. В. В. Куйбышева — начальнику Главного инженерного управления Красной Армии.</w:t>
      </w:r>
    </w:p>
    <w:p w14:paraId="08C5D9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Военно-транспортную академию им. Л. М. Кагановича — начальнику Генерального штаба Красной Армии.</w:t>
      </w:r>
    </w:p>
    <w:p w14:paraId="292B95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Военно-электротехническую академию им. С. М. Буденного и военный факультет при Московском институте инженеров связи — начальнику Управления связи Красной Армии.</w:t>
      </w:r>
    </w:p>
    <w:p w14:paraId="081842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Военную академию химической защиты им. К. Е. Ворошилова — начальнику Управления военно-химической защиты Красной Армии.</w:t>
      </w:r>
    </w:p>
    <w:p w14:paraId="25BF73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Ленинградскую военно-медицинскую академию, Куйбышевскую военно-медицинскую академию и военные факультеты при 2-м Московском медицинском институте, Саратовском медицинском институте и Харьковском медицинском институте — начальнику Санитарного управления Красной Армии.</w:t>
      </w:r>
    </w:p>
    <w:p w14:paraId="3CBBC4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Военно-ветеринарную академию — начальнику Ветеринарного управления Красной Армии.</w:t>
      </w:r>
    </w:p>
    <w:p w14:paraId="0A6F8E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Военно-хозяйственную академию им. В. М. Молотова — Главному интенданту Красной Армии.</w:t>
      </w:r>
    </w:p>
    <w:p w14:paraId="74BA3F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Военно-воздушную академию им. Н. Е. Жуковского и Военную академию командного и штурманского состава ВВС Красной Армии — начальнику Главного управления ВВС Красной Армии.</w:t>
      </w:r>
    </w:p>
    <w:p w14:paraId="2827E4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Военно-юридическую академию — главному военному прокурору Красной Армии.</w:t>
      </w:r>
    </w:p>
    <w:p w14:paraId="1D7F44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Военный факультет при Московском институте физической культуры им. И. В. Сталина и военный факультет при Московской государственной консерватории — начальнику Управления военно-учебных заведений Красной Армии.</w:t>
      </w:r>
    </w:p>
    <w:p w14:paraId="36750A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Военные факультеты при Московском педагогическом институте иностранных языков и при Московском институте востоковедения — начальнику Генерального штаба Красной Армии.</w:t>
      </w:r>
    </w:p>
    <w:p w14:paraId="432A06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w:t>
      </w:r>
    </w:p>
    <w:p w14:paraId="3E38B6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Военно-учебные заведения Красной Армии (военные училища, школы, курсы) подчинить главным управлениям Красной Армии:</w:t>
      </w:r>
    </w:p>
    <w:p w14:paraId="20B31A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w:t>
      </w:r>
    </w:p>
    <w:p w14:paraId="1202BA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Начальнику Управления военно-учебных заведений:</w:t>
      </w:r>
    </w:p>
    <w:p w14:paraId="0DBBA0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Московское пехотное училище,</w:t>
      </w:r>
    </w:p>
    <w:p w14:paraId="721C0E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Рязанское пехотное училище,</w:t>
      </w:r>
    </w:p>
    <w:p w14:paraId="395525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Подольское стрелково-пулеметное училище,</w:t>
      </w:r>
    </w:p>
    <w:p w14:paraId="1286D2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Ленинградское пехотное училище,</w:t>
      </w:r>
    </w:p>
    <w:p w14:paraId="595690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Ленинградское стрелково-пулеметное училище,</w:t>
      </w:r>
    </w:p>
    <w:p w14:paraId="68FD3B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Смоленское стрелково-пулеметное училище,</w:t>
      </w:r>
    </w:p>
    <w:p w14:paraId="55ECC8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Минское пехотное училище,</w:t>
      </w:r>
    </w:p>
    <w:p w14:paraId="77C534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Могилевское пехотное училище,</w:t>
      </w:r>
    </w:p>
    <w:p w14:paraId="638104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Осиповичское пехотное училище,</w:t>
      </w:r>
    </w:p>
    <w:p w14:paraId="679AEC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Лепельское пехотное училище,</w:t>
      </w:r>
    </w:p>
    <w:p w14:paraId="3D663E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Пуховичское пехотное училище,</w:t>
      </w:r>
    </w:p>
    <w:p w14:paraId="16801E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Калинковичское пехотное училище,</w:t>
      </w:r>
    </w:p>
    <w:p w14:paraId="4C2423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Мышанское стрелково-пулеметное училище,</w:t>
      </w:r>
    </w:p>
    <w:p w14:paraId="2168B4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Киевское пехотное училище,</w:t>
      </w:r>
    </w:p>
    <w:p w14:paraId="48E913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Львовское пехотное училище,</w:t>
      </w:r>
    </w:p>
    <w:p w14:paraId="309202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Житомирское пехотное училище,</w:t>
      </w:r>
    </w:p>
    <w:p w14:paraId="6C6F83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Черкасское пехотное училище,</w:t>
      </w:r>
    </w:p>
    <w:p w14:paraId="0D1FB6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Новоград-Волынское пехотное училище,</w:t>
      </w:r>
    </w:p>
    <w:p w14:paraId="149E7A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Бердичевское пехотное училище,</w:t>
      </w:r>
    </w:p>
    <w:p w14:paraId="1ECC94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Славутское пехотное училище,</w:t>
      </w:r>
    </w:p>
    <w:p w14:paraId="2969BC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Белоцерковское стрелково-пулеметное училище,</w:t>
      </w:r>
    </w:p>
    <w:p w14:paraId="587552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Винницкое стрелково-пулеметное училище,</w:t>
      </w:r>
    </w:p>
    <w:p w14:paraId="27E85B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Орловское пехотное училище,</w:t>
      </w:r>
    </w:p>
    <w:p w14:paraId="17FD66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Одесское пехотное училище,</w:t>
      </w:r>
    </w:p>
    <w:p w14:paraId="6F5A77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Симферопольское пехотное училище,</w:t>
      </w:r>
    </w:p>
    <w:p w14:paraId="7C9D23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Тамбовское пехотное училище,</w:t>
      </w:r>
    </w:p>
    <w:p w14:paraId="335C0C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Орджоникидзевское пехотное училище (ОрВО),</w:t>
      </w:r>
    </w:p>
    <w:p w14:paraId="6D50EF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Ахтырское пехотное училище,</w:t>
      </w:r>
    </w:p>
    <w:p w14:paraId="550B0D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1-е Орджоникидзевское пехотное училище (СКВО),</w:t>
      </w:r>
    </w:p>
    <w:p w14:paraId="241071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2-е Орджоникидзевское пехотное училище (СКВО),</w:t>
      </w:r>
    </w:p>
    <w:p w14:paraId="25D9BC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Краснодарское пехотное училище,</w:t>
      </w:r>
    </w:p>
    <w:p w14:paraId="2D14D7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 Грозненское пехотное училище,</w:t>
      </w:r>
    </w:p>
    <w:p w14:paraId="139A2D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 Буйнакское пехотное училище,</w:t>
      </w:r>
    </w:p>
    <w:p w14:paraId="1CC0D5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 Урюпинское пехотное училище,</w:t>
      </w:r>
    </w:p>
    <w:p w14:paraId="2CBDEE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 Астраханское стрелково-пулеметное училище,</w:t>
      </w:r>
    </w:p>
    <w:p w14:paraId="0D62E5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 Бакинское пехотное училище,</w:t>
      </w:r>
    </w:p>
    <w:p w14:paraId="25FE07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Сухумское стрелково-пулеметное училище,</w:t>
      </w:r>
    </w:p>
    <w:p w14:paraId="1D6CB6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 Казанское пехотное училище,</w:t>
      </w:r>
    </w:p>
    <w:p w14:paraId="6EA8E0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 Куйбышевское пехотное училище,</w:t>
      </w:r>
    </w:p>
    <w:p w14:paraId="5FB62C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 Вольское пехотное училище,</w:t>
      </w:r>
    </w:p>
    <w:p w14:paraId="6AE877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 Чкаловское стрелково-пулеметное училище,</w:t>
      </w:r>
    </w:p>
    <w:p w14:paraId="733837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 Свердловское пехотно-пулсметное училище,</w:t>
      </w:r>
    </w:p>
    <w:p w14:paraId="4EB048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 Камышловское пехотное училище,</w:t>
      </w:r>
    </w:p>
    <w:p w14:paraId="5BD056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 Златоустовское пехотное училище,</w:t>
      </w:r>
    </w:p>
    <w:p w14:paraId="62954B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 Омское пехотное училище,</w:t>
      </w:r>
    </w:p>
    <w:p w14:paraId="148C6C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 Тюменское пехотное училище,</w:t>
      </w:r>
    </w:p>
    <w:p w14:paraId="6A18FC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 Новосибирское пехотное училище,</w:t>
      </w:r>
    </w:p>
    <w:p w14:paraId="5BAE7B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 Канское пехотное училище,</w:t>
      </w:r>
    </w:p>
    <w:p w14:paraId="4FD07E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 Ташкентское пехотное училище,</w:t>
      </w:r>
    </w:p>
    <w:p w14:paraId="0C8D22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Алма-Атинское стрелково-пулеметное училище,</w:t>
      </w:r>
    </w:p>
    <w:p w14:paraId="1D6B01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 Владивостокское пехотное училище,</w:t>
      </w:r>
    </w:p>
    <w:p w14:paraId="2D2857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 Хабаровское пехотное училище,</w:t>
      </w:r>
    </w:p>
    <w:p w14:paraId="7FAE76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 Харьковское пехотное училище,</w:t>
      </w:r>
    </w:p>
    <w:p w14:paraId="630E2C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 Высшую школу штабной службы.</w:t>
      </w:r>
    </w:p>
    <w:p w14:paraId="31DA27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w:t>
      </w:r>
    </w:p>
    <w:p w14:paraId="19179D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Курсы усовершенствования начсостава «Выстрел»</w:t>
      </w:r>
    </w:p>
    <w:p w14:paraId="39F556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Ленинградские пехотные курсы усовершенствования начсостава,</w:t>
      </w:r>
    </w:p>
    <w:p w14:paraId="141200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Новгородские пехотные курсы усовершенствования начсостава,</w:t>
      </w:r>
    </w:p>
    <w:p w14:paraId="11A638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Овручские пехотные курсы усовершенствования начсостава,</w:t>
      </w:r>
    </w:p>
    <w:p w14:paraId="30C018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Ярмолинецкие пехотные курсы усовершенствования начсостава,</w:t>
      </w:r>
    </w:p>
    <w:p w14:paraId="5474A8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Эмильченские пехотные курсы усовершенствования начсостава,</w:t>
      </w:r>
    </w:p>
    <w:p w14:paraId="1A7E2B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Изяславские пехотные курсы усовершенствования начсостава,</w:t>
      </w:r>
    </w:p>
    <w:p w14:paraId="754E2C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1-е Белокоровичские пехотные курсы усовершенствования начсостава,</w:t>
      </w:r>
    </w:p>
    <w:p w14:paraId="531622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2-е Белокоровичские пехотные курсы усовершенствования начсостава,</w:t>
      </w:r>
    </w:p>
    <w:p w14:paraId="133B2C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Броварские пехотные курсы усовершенствования начсостава,</w:t>
      </w:r>
    </w:p>
    <w:p w14:paraId="601A31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11. Малинские пехотные курсы усовершенствования начсостава,</w:t>
      </w:r>
    </w:p>
    <w:p w14:paraId="67EA11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Овручские стрелково-пулеметные курсы усовершенствования начсостава,</w:t>
      </w:r>
    </w:p>
    <w:p w14:paraId="19AB94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Лугинские стрелково-пулеметные курсы усовершенствования начсостава,</w:t>
      </w:r>
    </w:p>
    <w:p w14:paraId="666F05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1-е Слуцкие пехотные курсы усовершенствования начсостава,</w:t>
      </w:r>
    </w:p>
    <w:p w14:paraId="4C32A0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2-е Слуцкие пехотные курсы усовершенствования начсостава,</w:t>
      </w:r>
    </w:p>
    <w:p w14:paraId="4D5431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3-й Слуцкие пехотные курсы усовершенствования начсостава,</w:t>
      </w:r>
    </w:p>
    <w:p w14:paraId="3201F5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Уреченские пехотные курсы усовершенствования начсостава,</w:t>
      </w:r>
    </w:p>
    <w:p w14:paraId="103489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Могилевские пехотные курсы усовершенствования начсостава,</w:t>
      </w:r>
    </w:p>
    <w:p w14:paraId="4A9042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1-е Слуцкие стрелково-пулеметные курсы усовершенствования начсостава,</w:t>
      </w:r>
    </w:p>
    <w:p w14:paraId="1B6242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2-е Слуцкие стрелково-пулеметные курсы усовершенствования начсостава,</w:t>
      </w:r>
    </w:p>
    <w:p w14:paraId="238ABD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Киселевичские стрелково-пулеметные курсы усовершенствования начсостава,</w:t>
      </w:r>
    </w:p>
    <w:p w14:paraId="1C9237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Няземские пехотные курсы усовершенствования начсостава,</w:t>
      </w:r>
    </w:p>
    <w:p w14:paraId="3065EE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Херсонские пехотные курсы усовершенствования начсостава,</w:t>
      </w:r>
    </w:p>
    <w:p w14:paraId="5176AA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Севастопольские пехотные курсы усовершенствования начсостава,</w:t>
      </w:r>
    </w:p>
    <w:p w14:paraId="506B36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Одесские пехотные курсы усовершенствования начсостава,</w:t>
      </w:r>
    </w:p>
    <w:p w14:paraId="3C25D2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Днепропетровские стрелково-пулеметные курсы усовершенствования начсостава,</w:t>
      </w:r>
    </w:p>
    <w:p w14:paraId="11F6FA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Великолуцкие пехотные курсы усовершенствования начсостава,</w:t>
      </w:r>
    </w:p>
    <w:p w14:paraId="4AE3EF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Владимирские пехотные курсы усовершенствования начсостава,</w:t>
      </w:r>
    </w:p>
    <w:p w14:paraId="255601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Кинешемские пехотные курсы усовершенствования начсостава,</w:t>
      </w:r>
    </w:p>
    <w:p w14:paraId="6F749A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Хлебниковские пехотные курсы усовершенствования начсостава,</w:t>
      </w:r>
    </w:p>
    <w:p w14:paraId="67584E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Дмитровские пехотные курсы усовершенствования начсостава,</w:t>
      </w:r>
    </w:p>
    <w:p w14:paraId="41BC3C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 Буйские пехотные курсы усовершенствования начсостава,</w:t>
      </w:r>
    </w:p>
    <w:p w14:paraId="6D71F1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 Ростовские пехотные курсы усовершенствования начсостава,</w:t>
      </w:r>
    </w:p>
    <w:p w14:paraId="474D7D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 Лесные пехотные курсы усовершенствования начсостава,</w:t>
      </w:r>
    </w:p>
    <w:p w14:paraId="02E6B7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 Звенигородские стрелково-пулеметные курсы усовершенствования начсостава,</w:t>
      </w:r>
    </w:p>
    <w:p w14:paraId="680B9E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 Калининские пехотные курсы усовершенствования начсостава,</w:t>
      </w:r>
    </w:p>
    <w:p w14:paraId="20CB07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Мичуринские пехотные курсы усовершенствования начсостава,</w:t>
      </w:r>
    </w:p>
    <w:p w14:paraId="27E354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 1-е Харьковские пехотные курсы усовершенствования начсостава,</w:t>
      </w:r>
    </w:p>
    <w:p w14:paraId="571ABE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 2-е Харьковские пехотные курсы усовершенствования начсостава,</w:t>
      </w:r>
    </w:p>
    <w:p w14:paraId="38080C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 Черниговские пехотные курсы усовершенствования начсостава,</w:t>
      </w:r>
    </w:p>
    <w:p w14:paraId="27C422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 Ворошиловские пехотные курсы усовершенствования начсостава,</w:t>
      </w:r>
    </w:p>
    <w:p w14:paraId="2A75DE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 Краматорские пехотные курсы усовершенствования начсостава,</w:t>
      </w:r>
    </w:p>
    <w:p w14:paraId="06D8D6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 Ахтырские стрелково-пулеметные курсы усовершенствования начсостава,</w:t>
      </w:r>
    </w:p>
    <w:p w14:paraId="47B79B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 Махачкалинские пехотные курсы усовершенствования начсостава,</w:t>
      </w:r>
    </w:p>
    <w:p w14:paraId="69D369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 Сальские пехотные курсы усовершенствования начсостава,</w:t>
      </w:r>
    </w:p>
    <w:p w14:paraId="6E7CEA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 Нижне-Чирские пехотные курсы усовершенствования начсостава,</w:t>
      </w:r>
    </w:p>
    <w:p w14:paraId="494D42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 Фроловские пехотные курсы усовершенствования начсостава,</w:t>
      </w:r>
    </w:p>
    <w:p w14:paraId="33EB5F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 Астраханские стрелково-пулеметные курсы усовершенствования начсостава,</w:t>
      </w:r>
    </w:p>
    <w:p w14:paraId="67BA05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 Телавские пехотные курсы усовершенствования начсостава,</w:t>
      </w:r>
    </w:p>
    <w:p w14:paraId="66829A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Ртищевские пехотные курсы усовершенствования начсостава,</w:t>
      </w:r>
    </w:p>
    <w:p w14:paraId="3B6985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 Сорочинские пехотные курсы усовершенствования начсостава,</w:t>
      </w:r>
    </w:p>
    <w:p w14:paraId="5A2FBE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 Рузаевские пехотные курсы усовершенствования начсостава,</w:t>
      </w:r>
    </w:p>
    <w:p w14:paraId="74ACE9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 Мелекесские пехотные курсы усовершенствования начсостава,</w:t>
      </w:r>
    </w:p>
    <w:p w14:paraId="287597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 Краснокутские стрелково-пулеметные курсы усовершенствования начсостава,</w:t>
      </w:r>
    </w:p>
    <w:p w14:paraId="424C71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 Сухологские пехотные курсы усовершенствования начсостава,</w:t>
      </w:r>
    </w:p>
    <w:p w14:paraId="099BDB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 Магнитогорские пехотные курсы усовершенствования начсостава,</w:t>
      </w:r>
    </w:p>
    <w:p w14:paraId="3B2F24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 Кунгурские пехотные курсы усовершенствования начсостава,</w:t>
      </w:r>
    </w:p>
    <w:p w14:paraId="1AA053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 Ирбитские пехотные курсы усовершенствования начсостава,</w:t>
      </w:r>
    </w:p>
    <w:p w14:paraId="13B5F8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 Алапаевские стрелково-пулеметные курсы усовершенствования начсостава,</w:t>
      </w:r>
    </w:p>
    <w:p w14:paraId="471D30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 Грязовецкие пехотные курсы усовершенствования начсостава,</w:t>
      </w:r>
    </w:p>
    <w:p w14:paraId="45ED2D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 Бийские пехотные курсы усовершенствования начсостава,</w:t>
      </w:r>
    </w:p>
    <w:p w14:paraId="36EA29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 Ачинские пехотные курсы усовершенствования начсостава,</w:t>
      </w:r>
    </w:p>
    <w:p w14:paraId="505288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 Ишимские пехотные курсы усовершенствования начсостава,</w:t>
      </w:r>
    </w:p>
    <w:p w14:paraId="0941AC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 Ялуторовские курсы усовершенствования начсостава,</w:t>
      </w:r>
    </w:p>
    <w:p w14:paraId="3783C5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 Томские стрелково-пулеметные курсы усовершенствования начсостава,</w:t>
      </w:r>
    </w:p>
    <w:p w14:paraId="554EDD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66. Фрунзенские пехотные курсы усовершенствования начсостава,</w:t>
      </w:r>
    </w:p>
    <w:p w14:paraId="4DA708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 Сретенские стрелково-пулеметные курсы усовершенствования начсостава,</w:t>
      </w:r>
    </w:p>
    <w:p w14:paraId="1BFA3A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 Владивостокские пехотные курсы усовершенствования начсостава,</w:t>
      </w:r>
    </w:p>
    <w:p w14:paraId="69B351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 Комсомольские пехотные курсы усовершенствования начсостава,</w:t>
      </w:r>
    </w:p>
    <w:p w14:paraId="1F5C4F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 Школу военно-музыкантских воспитанников (ЛВО),</w:t>
      </w:r>
    </w:p>
    <w:p w14:paraId="33662C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 Центральную школу подготовки командиров штабов.</w:t>
      </w:r>
    </w:p>
    <w:p w14:paraId="71B49A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Начальнику Главного артиллерийского управления:</w:t>
      </w:r>
    </w:p>
    <w:p w14:paraId="388BBE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дополнение к приказу НКО № 273 от 19.8.40 г. начальнику Главного артиллерийского управления подчинить следующие курсы усовершенствования:</w:t>
      </w:r>
    </w:p>
    <w:p w14:paraId="64064B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Киевские курсы усовершенствования начсостава запаса артиллерии,</w:t>
      </w:r>
    </w:p>
    <w:p w14:paraId="609298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Смоленские курсы усовершенствования начсостава запаса артиллерии,</w:t>
      </w:r>
    </w:p>
    <w:p w14:paraId="72FBA4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Окружные школы АИР,</w:t>
      </w:r>
    </w:p>
    <w:p w14:paraId="3AEBEB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АКУКС с отделениями Приморского и Забайкальского,</w:t>
      </w:r>
    </w:p>
    <w:p w14:paraId="07B3D6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Евпаторийские курсы усовершенствования начсостава зенитной артиллерии.</w:t>
      </w:r>
    </w:p>
    <w:p w14:paraId="192834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Генерал-инспектору кавалерии Красной Армии:</w:t>
      </w:r>
    </w:p>
    <w:p w14:paraId="367B82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Тамбовское кавалерийское училище,</w:t>
      </w:r>
    </w:p>
    <w:p w14:paraId="3B4205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Борисовское кавалерийское училище,</w:t>
      </w:r>
    </w:p>
    <w:p w14:paraId="6EDEEC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Кавалерийские курсы усовершенствования начсостава.</w:t>
      </w:r>
    </w:p>
    <w:p w14:paraId="7932ED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IV. Начальнику Главного автобронетанкового управления:</w:t>
      </w:r>
    </w:p>
    <w:p w14:paraId="31C484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Орловское бронетанковое училище,</w:t>
      </w:r>
    </w:p>
    <w:p w14:paraId="5B2EEE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Харьковское бронетанковое училище,</w:t>
      </w:r>
    </w:p>
    <w:p w14:paraId="328FB3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Ульяновское бронетанковое училище,</w:t>
      </w:r>
    </w:p>
    <w:p w14:paraId="4DDC02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Киевское танко-техническое училище,</w:t>
      </w:r>
    </w:p>
    <w:p w14:paraId="0C4B67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1-е Саратовское бронетанковое училище,</w:t>
      </w:r>
    </w:p>
    <w:p w14:paraId="43D1C2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2-е Саратовское бронетанковое училище,</w:t>
      </w:r>
    </w:p>
    <w:p w14:paraId="610D6C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Ленинградское автомобильное училище,</w:t>
      </w:r>
    </w:p>
    <w:p w14:paraId="5B176B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Полтавское автомобильное училище,</w:t>
      </w:r>
    </w:p>
    <w:p w14:paraId="2C8AA7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Борисовское автомобильное училище,</w:t>
      </w:r>
    </w:p>
    <w:p w14:paraId="5E4AFF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Ленинградские бронетанковые курсы,</w:t>
      </w:r>
    </w:p>
    <w:p w14:paraId="7E33EB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Казанские курсы усовершенствования.</w:t>
      </w:r>
    </w:p>
    <w:p w14:paraId="28D7CD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Начальнику Главного военно-инженерного управления:</w:t>
      </w:r>
    </w:p>
    <w:p w14:paraId="79E46B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 Ленинградское военно-инженерное училище,</w:t>
      </w:r>
    </w:p>
    <w:p w14:paraId="4B0401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Московское военно-инженерное училище,</w:t>
      </w:r>
    </w:p>
    <w:p w14:paraId="73B964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Черниговское военно-инженерное училище,</w:t>
      </w:r>
    </w:p>
    <w:p w14:paraId="2A454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Ново-Борисовское военно-инженерное училище,</w:t>
      </w:r>
    </w:p>
    <w:p w14:paraId="3EECC0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Дальневосточные курсы усовершенствования начсостава инженерных войск,</w:t>
      </w:r>
    </w:p>
    <w:p w14:paraId="1BA4B6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Курсы усовершенствования начсостава инженерных войск,</w:t>
      </w:r>
    </w:p>
    <w:p w14:paraId="18EC95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Курсы усовершенствования начсостава запаса инженерных войск.</w:t>
      </w:r>
    </w:p>
    <w:p w14:paraId="472154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Начальнику Управления связи:</w:t>
      </w:r>
    </w:p>
    <w:p w14:paraId="64A23A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Киевское военное училище связи,</w:t>
      </w:r>
    </w:p>
    <w:p w14:paraId="3EA69C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Харьковское военное училище связи,</w:t>
      </w:r>
    </w:p>
    <w:p w14:paraId="18C5AE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Ульяновское военное училище связи,</w:t>
      </w:r>
    </w:p>
    <w:p w14:paraId="72BC92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Воронежское военное училище связи,</w:t>
      </w:r>
    </w:p>
    <w:p w14:paraId="4748FF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Орджоникидзевское военное училище связи,</w:t>
      </w:r>
    </w:p>
    <w:p w14:paraId="566CEE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Ленинградское военное училище связи,</w:t>
      </w:r>
    </w:p>
    <w:p w14:paraId="2BF698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Сталинградское военное училище связи,</w:t>
      </w:r>
    </w:p>
    <w:p w14:paraId="2E43B1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Центральную школу связи,</w:t>
      </w:r>
    </w:p>
    <w:p w14:paraId="760B8B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Окружные курсы усовершенствования начсостава.</w:t>
      </w:r>
    </w:p>
    <w:p w14:paraId="33E195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 Начальнику Управления химической защиты Красной Армии:</w:t>
      </w:r>
    </w:p>
    <w:p w14:paraId="70365F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Калининское военно-химическое училище,</w:t>
      </w:r>
    </w:p>
    <w:p w14:paraId="70E9C2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Харьковские курсы усовершенствования начсостава химической службы,</w:t>
      </w:r>
    </w:p>
    <w:p w14:paraId="52CEF3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Дальневосточные курсы усовершенствования начсостава химической службы.</w:t>
      </w:r>
    </w:p>
    <w:p w14:paraId="68525B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VIII. Начальнику Генерального штаба:</w:t>
      </w:r>
    </w:p>
    <w:p w14:paraId="3A87A3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Ленинградское училище военных сообщений,</w:t>
      </w:r>
    </w:p>
    <w:p w14:paraId="00983F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Ленинградское военно-топографическое училище,</w:t>
      </w:r>
    </w:p>
    <w:p w14:paraId="6BC87E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Курсы усовершенствования начсостава шифровально-штабной службы (Тамбов),</w:t>
      </w:r>
    </w:p>
    <w:p w14:paraId="059756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Курсы военных переводчиков КОВО, ЗакВО, 2 КА.</w:t>
      </w:r>
    </w:p>
    <w:p w14:paraId="19F01C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IX. Начальнику Главного управления политической пропаганды Красной Армии:</w:t>
      </w:r>
    </w:p>
    <w:p w14:paraId="2B7B40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Московское военно-политическое училище им. В.И.Ленина,</w:t>
      </w:r>
    </w:p>
    <w:p w14:paraId="32631F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Ленинградское военно-политическое училище им. Ф. Энгельса,</w:t>
      </w:r>
    </w:p>
    <w:p w14:paraId="1FB8F7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Военно-политическое училище ЛВО,</w:t>
      </w:r>
    </w:p>
    <w:p w14:paraId="15FAF8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Военно-политическое училище Прибалтийского особого военного округа,</w:t>
      </w:r>
    </w:p>
    <w:p w14:paraId="581F50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Смоленское военно-политическое училище им. В. М. Молотова,</w:t>
      </w:r>
    </w:p>
    <w:p w14:paraId="4455DB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Смоленское военно-политическое училище пропагандистов,</w:t>
      </w:r>
    </w:p>
    <w:p w14:paraId="2CC13F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Минское военно-политическое училище ЗапОВО,</w:t>
      </w:r>
    </w:p>
    <w:p w14:paraId="0CB245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Киевское военно-политическое училище,</w:t>
      </w:r>
    </w:p>
    <w:p w14:paraId="2E1677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Одесское военно-политическое училище,</w:t>
      </w:r>
    </w:p>
    <w:p w14:paraId="2EFBA9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Ивановское военно-политическое училище,</w:t>
      </w:r>
    </w:p>
    <w:p w14:paraId="07AD32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Харьковское военно-политическое училище,</w:t>
      </w:r>
    </w:p>
    <w:p w14:paraId="1A7BFD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Харьковское окружное военно-политическое училище,</w:t>
      </w:r>
    </w:p>
    <w:p w14:paraId="21ADFF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Брянское военно-политическое училище,</w:t>
      </w:r>
    </w:p>
    <w:p w14:paraId="2B372B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Орловское военно-политическое училище,</w:t>
      </w:r>
    </w:p>
    <w:p w14:paraId="7E9C07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Свердловское военно-политическое училище,</w:t>
      </w:r>
    </w:p>
    <w:p w14:paraId="42D49C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Куйбышевское военно-политическое училище,</w:t>
      </w:r>
    </w:p>
    <w:p w14:paraId="718AD9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Ростовское военно-политическое училище САВО,</w:t>
      </w:r>
    </w:p>
    <w:p w14:paraId="76CDE3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Сталинградское военно-политическое училище СКВО,</w:t>
      </w:r>
    </w:p>
    <w:p w14:paraId="53A4E4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Тбилисское военно-политическое училище,</w:t>
      </w:r>
    </w:p>
    <w:p w14:paraId="77D83B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Ташкентское военно-политическое училище,</w:t>
      </w:r>
    </w:p>
    <w:p w14:paraId="3D5EB8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Новосибирское военно-политическое училище,</w:t>
      </w:r>
    </w:p>
    <w:p w14:paraId="75E31D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Читинское военно-политическое училище,</w:t>
      </w:r>
    </w:p>
    <w:p w14:paraId="24DD8F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Улан-Баторское военно-политическое училище,</w:t>
      </w:r>
    </w:p>
    <w:p w14:paraId="62E93C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Хабаровское военно-политическое училище,</w:t>
      </w:r>
    </w:p>
    <w:p w14:paraId="28B609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Ворошиловское военно-политическое училище,</w:t>
      </w:r>
    </w:p>
    <w:p w14:paraId="6A8414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Все курсы усовершенствования политсостава кадра и запаса,</w:t>
      </w:r>
    </w:p>
    <w:p w14:paraId="681341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Курсы младших политруков,</w:t>
      </w:r>
    </w:p>
    <w:p w14:paraId="45C969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Курсы партработников.</w:t>
      </w:r>
    </w:p>
    <w:p w14:paraId="5AEB91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 Главному интенданту Красной Армии:</w:t>
      </w:r>
    </w:p>
    <w:p w14:paraId="1A45E4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Ярославское военно-хозяйственное училище,</w:t>
      </w:r>
    </w:p>
    <w:p w14:paraId="065454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Окружные военно-хозяйственные курсы начсостава,</w:t>
      </w:r>
    </w:p>
    <w:p w14:paraId="6C4C25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Отделения по подготовке начсостава пожарной охраны.</w:t>
      </w:r>
    </w:p>
    <w:p w14:paraId="4057D6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 Начальнику Санитарного управления Красной Армии:</w:t>
      </w:r>
    </w:p>
    <w:p w14:paraId="04D2B1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Харьковское медицинское училище,</w:t>
      </w:r>
    </w:p>
    <w:p w14:paraId="21F791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Ленинградское медицинское училище,</w:t>
      </w:r>
    </w:p>
    <w:p w14:paraId="31A0DE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Киевское медицинское училище,</w:t>
      </w:r>
    </w:p>
    <w:p w14:paraId="039618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Все курсы усовершенствования врачей.</w:t>
      </w:r>
    </w:p>
    <w:p w14:paraId="302563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XII. Начальнику Ветеринарного управления Красной Армии:</w:t>
      </w:r>
    </w:p>
    <w:p w14:paraId="255F13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Ленинградское ветеринарное училище,</w:t>
      </w:r>
    </w:p>
    <w:p w14:paraId="4B784A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Все курсы усовершенствования ветврачей.</w:t>
      </w:r>
    </w:p>
    <w:p w14:paraId="60CE38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XIII. Начальнику Управления ПВО:</w:t>
      </w:r>
    </w:p>
    <w:p w14:paraId="6255F0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Киевские курсы усовершенствования начсостава ПВО.</w:t>
      </w:r>
    </w:p>
    <w:p w14:paraId="15F563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XIV. Начальнику Главного управления ВВС:</w:t>
      </w:r>
    </w:p>
    <w:p w14:paraId="0204B5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Качинскую военную школу пилотов,</w:t>
      </w:r>
    </w:p>
    <w:p w14:paraId="09BC93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Борисоглебскую военную школу пилотов,</w:t>
      </w:r>
    </w:p>
    <w:p w14:paraId="226E14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Ворошиловградскую военную школу пилотов,</w:t>
      </w:r>
    </w:p>
    <w:p w14:paraId="741F02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Одесскую военную школу пилотов,</w:t>
      </w:r>
    </w:p>
    <w:p w14:paraId="64BF17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Новосибирскую военную школу пилотов,</w:t>
      </w:r>
    </w:p>
    <w:p w14:paraId="11F52E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Таганрогскую военную школу пилотов,</w:t>
      </w:r>
    </w:p>
    <w:p w14:paraId="06092D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Балашовскую военную школу пилотов,</w:t>
      </w:r>
    </w:p>
    <w:p w14:paraId="291C94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Батайскую военную школу пилотов,</w:t>
      </w:r>
    </w:p>
    <w:p w14:paraId="486C95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Молотовскую военную школу пилотов,</w:t>
      </w:r>
    </w:p>
    <w:p w14:paraId="08B225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Омскую военную школу пилотов,</w:t>
      </w:r>
    </w:p>
    <w:p w14:paraId="3566D2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Олсуфьевскую военную школу пилотов,</w:t>
      </w:r>
    </w:p>
    <w:p w14:paraId="44A2FF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Кировабадскую военную школу пилотов,</w:t>
      </w:r>
    </w:p>
    <w:p w14:paraId="3C1DA2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Энгельсское военно-авиационное училище,</w:t>
      </w:r>
    </w:p>
    <w:p w14:paraId="57F6B4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 Сталинградское военно-авиационное училище,</w:t>
      </w:r>
    </w:p>
    <w:p w14:paraId="2E762F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Чкаловское военно-авиационное училище,</w:t>
      </w:r>
    </w:p>
    <w:p w14:paraId="0707DA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16. Чугуевское военно-авиационное училище,</w:t>
      </w:r>
    </w:p>
    <w:p w14:paraId="534A94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Свердловскую военную школу пилотов,</w:t>
      </w:r>
    </w:p>
    <w:p w14:paraId="6F3267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Волчанскую военную школу пилотов,</w:t>
      </w:r>
    </w:p>
    <w:p w14:paraId="7BC4F7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 Петрозаводскую военную школу пилотов,</w:t>
      </w:r>
    </w:p>
    <w:p w14:paraId="4E4DE2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Сасовскую военную школу пилотов,</w:t>
      </w:r>
    </w:p>
    <w:p w14:paraId="1CF1BF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Серпуховскую военную школу пилотов,</w:t>
      </w:r>
    </w:p>
    <w:p w14:paraId="014701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Читинскую военную школу пилотов,</w:t>
      </w:r>
    </w:p>
    <w:p w14:paraId="1C0D32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 Тбилисскую военную школу пилотов,</w:t>
      </w:r>
    </w:p>
    <w:p w14:paraId="41540B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Нахичеванскую военную школу пилотов,</w:t>
      </w:r>
    </w:p>
    <w:p w14:paraId="504D61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Тоцкую военную школу пилотов,</w:t>
      </w:r>
    </w:p>
    <w:p w14:paraId="4397ED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Богайскую военную школу пилотов,</w:t>
      </w:r>
    </w:p>
    <w:p w14:paraId="3682E6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Борисовскую военную школу пилотов,</w:t>
      </w:r>
    </w:p>
    <w:p w14:paraId="56C896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Уречинскую военную школу пилотов,</w:t>
      </w:r>
    </w:p>
    <w:p w14:paraId="684EC1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Пуховичскую военную школу пилотов,</w:t>
      </w:r>
    </w:p>
    <w:p w14:paraId="30546D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Слонимскую военную школу пилотов,</w:t>
      </w:r>
    </w:p>
    <w:p w14:paraId="31FA99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Коростенскую военную школу пилотов,</w:t>
      </w:r>
    </w:p>
    <w:p w14:paraId="75E56B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 Гостомольскую военную школу пилотов,</w:t>
      </w:r>
    </w:p>
    <w:p w14:paraId="7D613E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 Остерскую военную школу пилотов,</w:t>
      </w:r>
    </w:p>
    <w:p w14:paraId="16B49A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 Кагановичскую военную школу пилотов,</w:t>
      </w:r>
    </w:p>
    <w:p w14:paraId="2991EC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 Купечскую военную школу пилотов,</w:t>
      </w:r>
    </w:p>
    <w:p w14:paraId="5E2BA0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 Бердичевскую военную школу пилотов,</w:t>
      </w:r>
    </w:p>
    <w:p w14:paraId="4AAFB3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 Львовскую военную школу пилотов,</w:t>
      </w:r>
    </w:p>
    <w:p w14:paraId="518DF5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 Стрыйскую военную школу нилотов,</w:t>
      </w:r>
    </w:p>
    <w:p w14:paraId="4E078C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 Ковельскую военную школу пилотов,</w:t>
      </w:r>
    </w:p>
    <w:p w14:paraId="12A2C6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 Бирмскую военную школу пилотов,</w:t>
      </w:r>
    </w:p>
    <w:p w14:paraId="09AEAF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 Военную школу пилотов 1 КА,</w:t>
      </w:r>
    </w:p>
    <w:p w14:paraId="0DA0EA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 2-е Чкаловское военногавиационное училище летнабов и штурманов,</w:t>
      </w:r>
    </w:p>
    <w:p w14:paraId="7140AA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 Харьковское военно-авиационное училище летнабов и штурманов,</w:t>
      </w:r>
    </w:p>
    <w:p w14:paraId="58E73F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 Мелитопольское военно-авиационное училище летнабов и штурманов,</w:t>
      </w:r>
    </w:p>
    <w:p w14:paraId="3A8622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 Краснодарское военно-авиационное училище летнабов и штурманов,</w:t>
      </w:r>
    </w:p>
    <w:p w14:paraId="46EB98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 Челябинское военно-авиационное училище летнабов и штурманов,</w:t>
      </w:r>
    </w:p>
    <w:p w14:paraId="573E16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 2-е Ленинградское военно-авиатехническое училище,</w:t>
      </w:r>
    </w:p>
    <w:p w14:paraId="0400F1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 Иркутское военно-авиатехническое училище,</w:t>
      </w:r>
    </w:p>
    <w:p w14:paraId="3343A9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 Вольское военно-авиатехническое училище,</w:t>
      </w:r>
    </w:p>
    <w:p w14:paraId="45BCFE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Серпуховское военно-авиатехническое училище,</w:t>
      </w:r>
    </w:p>
    <w:p w14:paraId="7E8DC2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 Московское военно-авиатехническое училище,</w:t>
      </w:r>
    </w:p>
    <w:p w14:paraId="1F7B50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 Вольскую военно-авиатехническую школу,</w:t>
      </w:r>
    </w:p>
    <w:p w14:paraId="58CDAD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 Ленинградские курсы усовершенствования начсостава ВВС,</w:t>
      </w:r>
    </w:p>
    <w:p w14:paraId="6587D7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 Липецкие курсы усовершенствования начсостава ВВС</w:t>
      </w:r>
    </w:p>
    <w:p w14:paraId="2771D4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 Полтавские курсы усовершенствования начсостава ВВС,</w:t>
      </w:r>
    </w:p>
    <w:p w14:paraId="5500F5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w:t>
      </w:r>
    </w:p>
    <w:p w14:paraId="20E4DA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передачей военных академий и факультетов в ведение главных управлений Наркомата обороны Управление высших военно-учебных заведений расформировать, передав дела и личный состав соответствующим управлениям по принадлежности.</w:t>
      </w:r>
    </w:p>
    <w:p w14:paraId="0695C7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w:t>
      </w:r>
    </w:p>
    <w:p w14:paraId="3B165C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Дела и личный состав нижеуказанных отделов Управления военно-учебных заведений Красной Армии передать следующим управлениям:</w:t>
      </w:r>
    </w:p>
    <w:p w14:paraId="63D605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отдела — начальнику Главного артиллерийского управления Красной Армии,</w:t>
      </w:r>
    </w:p>
    <w:p w14:paraId="24A4F5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отдела — начальнику Главного автобронетанкового управления Красной Армии.</w:t>
      </w:r>
    </w:p>
    <w:p w14:paraId="67766A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Остальной излишествующий состав специалистов откомандировать в распоряжение соответствующих начальников центральных управлений.</w:t>
      </w:r>
    </w:p>
    <w:p w14:paraId="44D41C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5</w:t>
      </w:r>
    </w:p>
    <w:p w14:paraId="185F30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Управлении военно-учебных заведений Красной Армии сформировать академический отдел, на который возложить:</w:t>
      </w:r>
    </w:p>
    <w:p w14:paraId="16DC9C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составление плана укомплектования военных академий;</w:t>
      </w:r>
    </w:p>
    <w:p w14:paraId="2879E5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составление указаний и инструкций по вопросам приема и выпуска слушателей в военных академиях;</w:t>
      </w:r>
    </w:p>
    <w:p w14:paraId="67639A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обеспечение военных академий учебными пособиями и учебно-лабораторным имуществом;</w:t>
      </w:r>
    </w:p>
    <w:p w14:paraId="732856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составление сводного плана развития научно-исследовательской работы в военных академиях;</w:t>
      </w:r>
    </w:p>
    <w:p w14:paraId="6D821C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рассмотрение планов подготовки и повышения квалификации профессорско-преподавательского состава военных академий.</w:t>
      </w:r>
    </w:p>
    <w:p w14:paraId="33801A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6</w:t>
      </w:r>
    </w:p>
    <w:p w14:paraId="549121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Начальникам главных и центральных управлений НКО и академий представлять все сведения начальнику Управления военно-учебных заведений по § 5 настоящего приказа.</w:t>
      </w:r>
    </w:p>
    <w:p w14:paraId="5EC610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 (10610).</w:t>
      </w:r>
    </w:p>
    <w:p w14:paraId="6F6224D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2BA0A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BBECCA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1BE26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августа 1940 Боинг получил 3.615 млн. долл. на изготовление двух прототипов ХВ-29 N 41-002 и 41-003 (1051,11).</w:t>
      </w:r>
    </w:p>
    <w:p w14:paraId="36D3B09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043C59F" w14:textId="77777777" w:rsidR="00BA7BF7" w:rsidRPr="00DB5D0D" w:rsidRDefault="00BA7BF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24 августа 1940 экипаж немецкого бомбардировщика бомбит жилой район на юге Лондона, очевидно, по ошибке (20795).</w:t>
      </w:r>
    </w:p>
    <w:p w14:paraId="1301110C" w14:textId="77777777" w:rsidR="00BA7BF7" w:rsidRPr="00DB5D0D" w:rsidRDefault="00BA7BF7" w:rsidP="00DB5D0D">
      <w:pPr>
        <w:spacing w:after="0" w:line="240" w:lineRule="auto"/>
        <w:jc w:val="both"/>
        <w:rPr>
          <w:rFonts w:ascii="Times New Roman" w:hAnsi="Times New Roman"/>
          <w:color w:val="0070C0"/>
          <w:sz w:val="16"/>
          <w:szCs w:val="16"/>
        </w:rPr>
      </w:pPr>
    </w:p>
    <w:p w14:paraId="722B01D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6F1DB7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77E0A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контролер Вахрушев - представитель КО СНК СССР - в журнале Учета выполнения постановлени правительства в отношении постановления КО N 115сс 1940 “О модификации одномоторного ближнего бомбардировщика ББ-1 конструкции тов. Сухого” отметил:</w:t>
      </w:r>
    </w:p>
    <w:p w14:paraId="79592A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саолет потерпел аварию - посадка на живот. Самолет находится в ремонте. Отсутствует мотор М-90 (10395).</w:t>
      </w:r>
    </w:p>
    <w:p w14:paraId="6CAD310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B3F54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закончились совместные испытания ББ С 2М-103 Болховитинова, которые шли с 4 февраля 1940 (2090,232).</w:t>
      </w:r>
    </w:p>
    <w:p w14:paraId="5792F28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B701B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г. после вы</w:t>
      </w:r>
      <w:r w:rsidRPr="00DB5D0D">
        <w:rPr>
          <w:rFonts w:ascii="Times New Roman" w:hAnsi="Times New Roman"/>
          <w:color w:val="000000" w:themeColor="text1"/>
          <w:sz w:val="16"/>
          <w:szCs w:val="16"/>
        </w:rPr>
        <w:softHyphen/>
        <w:t>полнения 109 полетов с налетом 40 ч. 49 мин. завод</w:t>
      </w:r>
      <w:r w:rsidRPr="00DB5D0D">
        <w:rPr>
          <w:rFonts w:ascii="Times New Roman" w:hAnsi="Times New Roman"/>
          <w:color w:val="000000" w:themeColor="text1"/>
          <w:sz w:val="16"/>
          <w:szCs w:val="16"/>
        </w:rPr>
        <w:softHyphen/>
        <w:t>ские испытания завершились. Для сравнения заме</w:t>
      </w:r>
      <w:r w:rsidRPr="00DB5D0D">
        <w:rPr>
          <w:rFonts w:ascii="Times New Roman" w:hAnsi="Times New Roman"/>
          <w:color w:val="000000" w:themeColor="text1"/>
          <w:sz w:val="16"/>
          <w:szCs w:val="16"/>
        </w:rPr>
        <w:softHyphen/>
        <w:t>тим, что объем заводских испытаний И—26 был ограничен всего 43 полетами общей продолжитель</w:t>
      </w:r>
      <w:r w:rsidRPr="00DB5D0D">
        <w:rPr>
          <w:rFonts w:ascii="Times New Roman" w:hAnsi="Times New Roman"/>
          <w:color w:val="000000" w:themeColor="text1"/>
          <w:sz w:val="16"/>
          <w:szCs w:val="16"/>
        </w:rPr>
        <w:softHyphen/>
        <w:t>ностью 13 ч. 9 мин., причем 15 из этих полетов завер</w:t>
      </w:r>
      <w:r w:rsidRPr="00DB5D0D">
        <w:rPr>
          <w:rFonts w:ascii="Times New Roman" w:hAnsi="Times New Roman"/>
          <w:color w:val="000000" w:themeColor="text1"/>
          <w:sz w:val="16"/>
          <w:szCs w:val="16"/>
        </w:rPr>
        <w:softHyphen/>
        <w:t>шились вынужденными посадками (9984).</w:t>
      </w:r>
    </w:p>
    <w:p w14:paraId="56E8A9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6CC94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закончились заводские испытания УТИ-26-1, которые начались 23 июля 1940 (198,36).</w:t>
      </w:r>
    </w:p>
    <w:p w14:paraId="616A392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96E17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закончились госиспытания УТИ-26-1. Все изменения, внесенные в конструкцию И-26, были связаны с устройством второй кабины и ее оборудованием. Для обеспечения достаточного запаса центровки крыло сместили назад на 100 мм, а водора- диатор - вперед. Из спецоборудования добавился фотокинопулемет в передней кабине (обучаемого). Связь между кабинами осуществлялась, как и на других самолетах, через резиновый шланг. Чтобы сохранить полетный вес сняли пушку с боекомплектом, а боекомплект к пулеметам уменьшили до 500 патронов на каждый. На заводские испытания самолет поступил с весом 2710 кг, который увеличился перед госиспытаниями до 2750,5 кг за счет установки шторки слепого полета, стремянки, тормозов в задней кабине. рамки прицела и других деталей. Максимальная скорость осталась на уровне данных боевого самолета - 590 км/ч на заводских и 586 км/ч на государственных испытаниях.</w:t>
      </w:r>
    </w:p>
    <w:p w14:paraId="2F90AE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Как к учебному самолету к УТИ-26-1 во время госиспытаний (28-30 августа и 11-19 сентября 1940 г.) были предъявлены более высокие требования, вследствие чего второй прототип (УТИ-26-Н, № 26-5, УТИ-27-2) претерпел серьезные конструктивные изменения (которые коснулись шасси, горизонтального оперения). Поэтому в серию он пошел уже под другим обозначением - Як-7.</w:t>
      </w:r>
    </w:p>
    <w:p w14:paraId="5C8381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испытаний УТИ-26-1 возвратили на завод № 115, где с 26 сентября по К) декабря 1940 г. на него поставили новые мотор, винт, всасывающий патрубок нагнетателя, маслорадиатор, а также устранили другие замеченные неполадки и дефекты. Затем самолет был передан в ЛИИ НКАП и долгое время использовался там для различных целей (12048).+</w:t>
      </w:r>
    </w:p>
    <w:p w14:paraId="3C138D0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51595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г. согласно приказу наркомата в лабо</w:t>
      </w:r>
      <w:r w:rsidRPr="00DB5D0D">
        <w:rPr>
          <w:rFonts w:ascii="Times New Roman" w:hAnsi="Times New Roman"/>
          <w:color w:val="000000" w:themeColor="text1"/>
          <w:sz w:val="16"/>
          <w:szCs w:val="16"/>
        </w:rPr>
        <w:softHyphen/>
        <w:t>ратории завода № 21 проводились статиспытания истре</w:t>
      </w:r>
      <w:r w:rsidRPr="00DB5D0D">
        <w:rPr>
          <w:rFonts w:ascii="Times New Roman" w:hAnsi="Times New Roman"/>
          <w:color w:val="000000" w:themeColor="text1"/>
          <w:sz w:val="16"/>
          <w:szCs w:val="16"/>
        </w:rPr>
        <w:softHyphen/>
        <w:t>бителя И-180. Они показали, что прочность фюзеляжа, моторамы, костыля, щитков, других агрегатов соответ</w:t>
      </w:r>
      <w:r w:rsidRPr="00DB5D0D">
        <w:rPr>
          <w:rFonts w:ascii="Times New Roman" w:hAnsi="Times New Roman"/>
          <w:color w:val="000000" w:themeColor="text1"/>
          <w:sz w:val="16"/>
          <w:szCs w:val="16"/>
        </w:rPr>
        <w:softHyphen/>
        <w:t>ствует нормам прочности (например, костыль выдержал 110% нагрузки). При 95% нагрузки разрушился нижний пояс переднего лонжерона центроплана. Это соответст</w:t>
      </w:r>
      <w:r w:rsidRPr="00DB5D0D">
        <w:rPr>
          <w:rFonts w:ascii="Times New Roman" w:hAnsi="Times New Roman"/>
          <w:color w:val="000000" w:themeColor="text1"/>
          <w:sz w:val="16"/>
          <w:szCs w:val="16"/>
        </w:rPr>
        <w:softHyphen/>
        <w:t>вовало разрушающей перегрузке 12,23 единиц (норма 13, эксплуатационная перегрузка - 8,7). Сообщая об этом заместителю наркома Яковлеву, Поликарпов пред</w:t>
      </w:r>
      <w:r w:rsidRPr="00DB5D0D">
        <w:rPr>
          <w:rFonts w:ascii="Times New Roman" w:hAnsi="Times New Roman"/>
          <w:color w:val="000000" w:themeColor="text1"/>
          <w:sz w:val="16"/>
          <w:szCs w:val="16"/>
        </w:rPr>
        <w:softHyphen/>
        <w:t>ложил сделать необходимые усиления конструкции крыла на машинах первой серии, на самолетах войско</w:t>
      </w:r>
      <w:r w:rsidRPr="00DB5D0D">
        <w:rPr>
          <w:rFonts w:ascii="Times New Roman" w:hAnsi="Times New Roman"/>
          <w:color w:val="000000" w:themeColor="text1"/>
          <w:sz w:val="16"/>
          <w:szCs w:val="16"/>
        </w:rPr>
        <w:softHyphen/>
        <w:t>вой серии их не производить, ограничивая скорость пи</w:t>
      </w:r>
      <w:r w:rsidRPr="00DB5D0D">
        <w:rPr>
          <w:rFonts w:ascii="Times New Roman" w:hAnsi="Times New Roman"/>
          <w:color w:val="000000" w:themeColor="text1"/>
          <w:sz w:val="16"/>
          <w:szCs w:val="16"/>
        </w:rPr>
        <w:softHyphen/>
        <w:t>кирования до 600 км/ч по прибору. Однако по распоряжению Яковлева уже собранные самолеты И-180 войсковой серии пришлось разобрать и выполнить со</w:t>
      </w:r>
      <w:r w:rsidRPr="00DB5D0D">
        <w:rPr>
          <w:rFonts w:ascii="Times New Roman" w:hAnsi="Times New Roman"/>
          <w:color w:val="000000" w:themeColor="text1"/>
          <w:sz w:val="16"/>
          <w:szCs w:val="16"/>
        </w:rPr>
        <w:softHyphen/>
        <w:t>ответствующие доработки (10667).</w:t>
      </w:r>
    </w:p>
    <w:p w14:paraId="3824119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C385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после выполнения 109 полетов закончились заводские испытания И-200 с общим налетом 40 час. 49 мин. (1084,19).</w:t>
      </w:r>
    </w:p>
    <w:p w14:paraId="19E3847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85C99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года начальник Особой Группы НКАП И. Фролов направил зам. Наркома Внешней торговли В.И. Кушарову письмо за Н-32/1729 в ответ на письмо 10 августа 1940 года АИ. Шахурину № 7032/10947писбмо от. По распоряже</w:t>
      </w:r>
      <w:r w:rsidRPr="00DB5D0D">
        <w:rPr>
          <w:rFonts w:ascii="Times New Roman" w:hAnsi="Times New Roman"/>
          <w:color w:val="000000" w:themeColor="text1"/>
          <w:sz w:val="16"/>
          <w:szCs w:val="16"/>
        </w:rPr>
        <w:softHyphen/>
        <w:t>нию А.И. Шахурина, ему также была отправлена копия справки от 17 августа 1940 года за подписью начальника ИНО НКАП Романова по вопросу закуп</w:t>
      </w:r>
      <w:r w:rsidRPr="00DB5D0D">
        <w:rPr>
          <w:rFonts w:ascii="Times New Roman" w:hAnsi="Times New Roman"/>
          <w:color w:val="000000" w:themeColor="text1"/>
          <w:sz w:val="16"/>
          <w:szCs w:val="16"/>
        </w:rPr>
        <w:softHyphen/>
        <w:t>ки металлообрабатывающего оборудования.</w:t>
      </w:r>
    </w:p>
    <w:p w14:paraId="237D656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справке сообщалось, что в первых числах июня «Станкоимпорт» сде</w:t>
      </w:r>
      <w:r w:rsidRPr="00DB5D0D">
        <w:rPr>
          <w:rFonts w:ascii="Times New Roman" w:hAnsi="Times New Roman"/>
          <w:color w:val="000000" w:themeColor="text1"/>
          <w:sz w:val="16"/>
          <w:szCs w:val="16"/>
        </w:rPr>
        <w:softHyphen/>
        <w:t>лал предложение ИНО НКАП заказать по импортным предложениям фирм сверх обусловленного правительственными решениями различные стан</w:t>
      </w:r>
      <w:r w:rsidRPr="00DB5D0D">
        <w:rPr>
          <w:rFonts w:ascii="Times New Roman" w:hAnsi="Times New Roman"/>
          <w:color w:val="000000" w:themeColor="text1"/>
          <w:sz w:val="16"/>
          <w:szCs w:val="16"/>
        </w:rPr>
        <w:softHyphen/>
        <w:t>ки (Речь идет о 718 станках вместо 693 фигурирующих в двух письмах из переписки Шахурина и Микояна от 4 июня, также несколько изменены названия фирм.). В справке решительно отрицалась информация, которую излагал В.И. Кушаров: «Никаких отказов от этой заявки по тем или другим причинам Иносектор НКАП «Станкоимпорту» не заявлял и оформил свою заявку соот</w:t>
      </w:r>
      <w:r w:rsidRPr="00DB5D0D">
        <w:rPr>
          <w:rFonts w:ascii="Times New Roman" w:hAnsi="Times New Roman"/>
          <w:color w:val="000000" w:themeColor="text1"/>
          <w:sz w:val="16"/>
          <w:szCs w:val="16"/>
        </w:rPr>
        <w:softHyphen/>
        <w:t>ветственно импортными картами. При выяснении этого вопроса в Станко-импорте было установлено, например, что фирма «Гейнеман» (200 токар-но-револьверных станков) письмом от 10/УП на запрос «Станкоимпорта» отказала в поставке станков вне всякой зависимости от каких-либо требо</w:t>
      </w:r>
      <w:r w:rsidRPr="00DB5D0D">
        <w:rPr>
          <w:rFonts w:ascii="Times New Roman" w:hAnsi="Times New Roman"/>
          <w:color w:val="000000" w:themeColor="text1"/>
          <w:sz w:val="16"/>
          <w:szCs w:val="16"/>
        </w:rPr>
        <w:softHyphen/>
        <w:t>ваний НКАП. По всем же остальным позициям, как видно из письма НКВТ, заявка НКАП не реализована по соображениям, не зависящим от НКАП» (РГАЭ. Ф. 8044. Оп. 1. Д. 436. Л. 139 - 140.). Таким образом, из первоначального заказа НКАП от 4 июня на примерно 700 сверхлимитных германских станков осталось всего 50 единиц. В це</w:t>
      </w:r>
      <w:r w:rsidRPr="00DB5D0D">
        <w:rPr>
          <w:rFonts w:ascii="Times New Roman" w:hAnsi="Times New Roman"/>
          <w:color w:val="000000" w:themeColor="text1"/>
          <w:sz w:val="16"/>
          <w:szCs w:val="16"/>
        </w:rPr>
        <w:softHyphen/>
        <w:t>лях экономии или без объяснения причин была урезана заявка примерно на 270 станков, последующий отказ германской стороны сократил ее еще на 200, другим наркоматам было передано заявок на 143 станка (с учетом заказов, переадресованных в другую страну - Швецию), заказов для НКАПа - на 41 станок. Из вышеизложенной информации нельзя не сделать вы</w:t>
      </w:r>
      <w:r w:rsidRPr="00DB5D0D">
        <w:rPr>
          <w:rFonts w:ascii="Times New Roman" w:hAnsi="Times New Roman"/>
          <w:color w:val="000000" w:themeColor="text1"/>
          <w:sz w:val="16"/>
          <w:szCs w:val="16"/>
        </w:rPr>
        <w:softHyphen/>
        <w:t>вод о жестких межведомственных трениях между НКАП и НКВТ, а также об ожесточенной борьбе различных наркоматов за дефицитное импортное оборудование.</w:t>
      </w:r>
    </w:p>
    <w:p w14:paraId="1CA85D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Обращают на себя внимание и программы закупок с длительными срока</w:t>
      </w:r>
      <w:r w:rsidRPr="00DB5D0D">
        <w:rPr>
          <w:rFonts w:ascii="Times New Roman" w:hAnsi="Times New Roman"/>
          <w:color w:val="000000" w:themeColor="text1"/>
          <w:sz w:val="16"/>
          <w:szCs w:val="16"/>
        </w:rPr>
        <w:softHyphen/>
        <w:t>ми реализации. Так, в письме наркома авиапромышленности А.И. Шахури</w:t>
      </w:r>
      <w:r w:rsidRPr="00DB5D0D">
        <w:rPr>
          <w:rFonts w:ascii="Times New Roman" w:hAnsi="Times New Roman"/>
          <w:color w:val="000000" w:themeColor="text1"/>
          <w:sz w:val="16"/>
          <w:szCs w:val="16"/>
        </w:rPr>
        <w:softHyphen/>
        <w:t>на наркому внешней торговли А.И. Микояну Н-32/478 от 21 марта 1940 года речь шла о предложении фирмы «Ганн и Кольб» 267 автоматов типа «Ин</w:t>
      </w:r>
      <w:r w:rsidRPr="00DB5D0D">
        <w:rPr>
          <w:rFonts w:ascii="Times New Roman" w:hAnsi="Times New Roman"/>
          <w:color w:val="000000" w:themeColor="text1"/>
          <w:sz w:val="16"/>
          <w:szCs w:val="16"/>
        </w:rPr>
        <w:softHyphen/>
        <w:t>декс» со сроками поставок 30 из них в 1940 году и 237 - в 1941 году. А.И. Ша-хурин просил решений о реализации всей предлагаемой партии, указав, что эти станки необходимы НКАП и что они будут использованы на мото</w:t>
      </w:r>
      <w:r w:rsidRPr="00DB5D0D">
        <w:rPr>
          <w:rFonts w:ascii="Times New Roman" w:hAnsi="Times New Roman"/>
          <w:color w:val="000000" w:themeColor="text1"/>
          <w:sz w:val="16"/>
          <w:szCs w:val="16"/>
        </w:rPr>
        <w:softHyphen/>
        <w:t>ростроительных, самолетостроительных и агрегатных заводах отрасли (РГАЭ. Ф. 8044. Оп. 1. Д. 436. Л. 35.). А в письме А.И. Шахурина А.И. Микояну Н-32/1867 от 4 сентября 1940 года содержалась просьба о приобретении 152 токарно-револьверных станков «Питтлер» со сроками поставки с мая по декабрь 1942 года (РГАЭ. Ф. 8044. Оп. 1. Д. 436. Л. 145.).</w:t>
      </w:r>
    </w:p>
    <w:p w14:paraId="02137C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Были и противоположные примеры. В письме А.И. Шахурина А.И. Мико</w:t>
      </w:r>
      <w:r w:rsidRPr="00DB5D0D">
        <w:rPr>
          <w:rFonts w:ascii="Times New Roman" w:hAnsi="Times New Roman"/>
          <w:color w:val="000000" w:themeColor="text1"/>
          <w:sz w:val="16"/>
          <w:szCs w:val="16"/>
        </w:rPr>
        <w:softHyphen/>
        <w:t>яну Н-32/319 от 28 февраля 1940 года сообщалось, что германская фирма «Питтлер» предлагает 271 револьверный станок со сроками поставок 2 36 из них во второй половине 1940 года и 35-в 1941 году. А.И. Шахурин под</w:t>
      </w:r>
      <w:r w:rsidRPr="00DB5D0D">
        <w:rPr>
          <w:rFonts w:ascii="Times New Roman" w:hAnsi="Times New Roman"/>
          <w:color w:val="000000" w:themeColor="text1"/>
          <w:sz w:val="16"/>
          <w:szCs w:val="16"/>
        </w:rPr>
        <w:softHyphen/>
        <w:t>черкивал: «Револьверные станки типа «Питтлер» необходимы авиационной промышленности». Предполагалось, что они будут использоваться на заво</w:t>
      </w:r>
      <w:r w:rsidRPr="00DB5D0D">
        <w:rPr>
          <w:rFonts w:ascii="Times New Roman" w:hAnsi="Times New Roman"/>
          <w:color w:val="000000" w:themeColor="text1"/>
          <w:sz w:val="16"/>
          <w:szCs w:val="16"/>
        </w:rPr>
        <w:softHyphen/>
        <w:t>дах № 27, № 339, «Панель» и других для производства авиационных норма</w:t>
      </w:r>
      <w:r w:rsidRPr="00DB5D0D">
        <w:rPr>
          <w:rFonts w:ascii="Times New Roman" w:hAnsi="Times New Roman"/>
          <w:color w:val="000000" w:themeColor="text1"/>
          <w:sz w:val="16"/>
          <w:szCs w:val="16"/>
        </w:rPr>
        <w:softHyphen/>
        <w:t>лей и специальной арматуры. А.И. Шахурин просил положительно решить вопрос о закупках 193 станков в счет германского кредита, «учитывая су</w:t>
      </w:r>
      <w:r w:rsidRPr="00DB5D0D">
        <w:rPr>
          <w:rFonts w:ascii="Times New Roman" w:hAnsi="Times New Roman"/>
          <w:color w:val="000000" w:themeColor="text1"/>
          <w:sz w:val="16"/>
          <w:szCs w:val="16"/>
        </w:rPr>
        <w:softHyphen/>
        <w:t>ществующий разрыв между потребностями НКАП и получаемых союзными фондами по револьверным станкам» (РГАЭ. Ф. 8044. Оп. 1. Д. 436. Л. 189.) (11710,258).</w:t>
      </w:r>
    </w:p>
    <w:p w14:paraId="409E020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8C12B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на НИП АВ в соответствии с распоряжением Начальника 8 управления проходили полигонные испытания 20 мм снарядов к пушке ШВАК (7313, 12).</w:t>
      </w:r>
    </w:p>
    <w:p w14:paraId="75A148C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77159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25 августа 1940 на НИП АВ проходили полигонные испытания турельных пулеметов калибра 12,7 мм (7313, 12).</w:t>
      </w:r>
    </w:p>
    <w:p w14:paraId="6288217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B78EA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года на НИП АВ ГУАС закончились заводские испытания термитных шаров 100 и 30 грамм. Термитных шаров новой рецептуры НИИ-6 и ЗАРП-ТШ-100 завода № 145, которые проходили с 25 июня 1940</w:t>
      </w:r>
    </w:p>
    <w:p w14:paraId="08C2B4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309CAC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инженер 4 отделения опытного отдела НИП АВ ВВС в/инженер 2 ранга Рублев</w:t>
      </w:r>
    </w:p>
    <w:p w14:paraId="058500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5A6F230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преимущества термитных шаров новой рецептуры в сравнении со старыми термитными шарами.</w:t>
      </w:r>
    </w:p>
    <w:p w14:paraId="749FA8E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боевые и эксплуатационные качества ЗАРП-ТШ-100 с термитными шарами новой рецептуры.</w:t>
      </w:r>
    </w:p>
    <w:p w14:paraId="2C2036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Термошары огневого воспламенения для применения в ЗАРПах начали разрабатываться НИИ № 6 в 1938 году. На полигонных испытаниях в октябре-декабре 1939 года они из-за большого процента отказов испытания не выдержали и были рекомендованы на доработку.</w:t>
      </w:r>
    </w:p>
    <w:p w14:paraId="6AD22B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январе 1940 года ЗАРП-ТШ-100 проходили заводские испытания в НИИ АВ ВВС.</w:t>
      </w:r>
    </w:p>
    <w:p w14:paraId="1BEE1D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8F7C8A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ЗАРП-ТШ-100 завода № 145 100 и 300 грамм термитные шары новой рецептуры НИИ-6 заводские испытания выдержали (7820).</w:t>
      </w:r>
    </w:p>
    <w:p w14:paraId="74DAA01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023B72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на НИП АВ ВВС закончились контрольные испытания посадочных шашек белого и черного дыма, авиасигнальных патронов красного, белого и зеленого огня, которые проходили с 8 августа.</w:t>
      </w:r>
    </w:p>
    <w:p w14:paraId="3D9FFB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3D703A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58265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характер действия посадочных шашек и авиасигнальных патронов опытного хранения снаряжения 1936 года.</w:t>
      </w:r>
    </w:p>
    <w:p w14:paraId="467AB1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C0351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Провести следующие контрольные испытания в 1941 году:</w:t>
      </w:r>
    </w:p>
    <w:p w14:paraId="564827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посадочных шашек опытного хранения белого, черного и оранжевого дыма;</w:t>
      </w:r>
    </w:p>
    <w:p w14:paraId="291974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авиасигнальных патронов опытного хранения красного, белого и зеленого огня (7538).</w:t>
      </w:r>
    </w:p>
    <w:p w14:paraId="509306F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37F9F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ГИ НИЭИРП подготовил справку для КО при СНК СССР по вопросам использования резины из синтетического каучука для авиаколес:</w:t>
      </w:r>
    </w:p>
    <w:p w14:paraId="420A72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12 марта 1939 в Сите и других районах ДВК, ЯРАКом проводились испытания авиапокрышек и камер из 100% СК с фроигитом. Испытания улдалось провести при минимальной температуре воздуха - 25 гр. на грунтах без снежного покрова. На основании предварительного отчета, выход покрышек из строя был по причине механического повреждения их о грунт (битый щебень, горная галька).</w:t>
      </w:r>
    </w:p>
    <w:p w14:paraId="25E849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апреля 1938 г. по Март 1939 г. проводились ис</w:t>
      </w:r>
      <w:r w:rsidRPr="00DB5D0D">
        <w:rPr>
          <w:rFonts w:ascii="Times New Roman" w:hAnsi="Times New Roman"/>
          <w:color w:val="000000" w:themeColor="text1"/>
          <w:sz w:val="16"/>
          <w:szCs w:val="16"/>
        </w:rPr>
        <w:softHyphen/>
        <w:t>пытания покрышек из 100% СК, изготовлеиных ЯРАК"ом в НИИ ВВС. Минимальная температура воздуха во время испы</w:t>
      </w:r>
      <w:r w:rsidRPr="00DB5D0D">
        <w:rPr>
          <w:rFonts w:ascii="Times New Roman" w:hAnsi="Times New Roman"/>
          <w:color w:val="000000" w:themeColor="text1"/>
          <w:sz w:val="16"/>
          <w:szCs w:val="16"/>
        </w:rPr>
        <w:softHyphen/>
        <w:t>тания доходила до минус 30°С. Было отмечено расхождение протекторной резины по стыкам (продольным и поперечным), а так-же и то, что в условиях пониженной температуры, покрышки из СК становились более жесткими по сравненнию с покрышками из НК.</w:t>
      </w:r>
    </w:p>
    <w:p w14:paraId="5B49B4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заключении, по результатам испытания, НИИ ВВС считает допустимым к принятию покрышек из 100% СК,-на снабжение в В.В.С. Р.К.К.А.</w:t>
      </w:r>
    </w:p>
    <w:p w14:paraId="35ADD3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Институт намечает следующее:</w:t>
      </w:r>
    </w:p>
    <w:p w14:paraId="68A3C0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Изготовленные на Я.Ш.З. авиапокрышки на ЛСК размера 700x150, в количестве 9 шт. и 900x300 - 5 шт., испытатьь в НИИ ВВС на 50 взлето-посадок в летних условиях, с целью определения поведения покрышек вооб</w:t>
      </w:r>
      <w:r w:rsidRPr="00DB5D0D">
        <w:rPr>
          <w:rFonts w:ascii="Times New Roman" w:hAnsi="Times New Roman"/>
          <w:color w:val="000000" w:themeColor="text1"/>
          <w:sz w:val="16"/>
          <w:szCs w:val="16"/>
        </w:rPr>
        <w:softHyphen/>
        <w:t>ще в условиях эксплоатации.</w:t>
      </w:r>
    </w:p>
    <w:p w14:paraId="6D2A79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начать не позднее 1/УШ и закончить к 1/1Х-1940 г.</w:t>
      </w:r>
    </w:p>
    <w:p w14:paraId="118EE0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После дачи НИИ ВВС заключения о пригодности шин к экоплоатации, шины направить в одну из летных школ для эксплоатации под наблюдением НИЭИРП'а до полного износа.</w:t>
      </w:r>
    </w:p>
    <w:p w14:paraId="315699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закончить к 15/Х- с.г.</w:t>
      </w:r>
    </w:p>
    <w:p w14:paraId="623CEB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 Для проведения испытания шин в зимних условиях при низких температурах, изготовить опытную партию шин, указанных выше размеров, в количестве по 20 штук каждо</w:t>
      </w:r>
      <w:r w:rsidRPr="00DB5D0D">
        <w:rPr>
          <w:rFonts w:ascii="Times New Roman" w:hAnsi="Times New Roman"/>
          <w:color w:val="000000" w:themeColor="text1"/>
          <w:sz w:val="16"/>
          <w:szCs w:val="16"/>
        </w:rPr>
        <w:softHyphen/>
        <w:t>го размера. Всего 40 штук покрышек и 40 штук камер. Изготовление шин произвести на М.О.Ш.З. к 20/1Х-с.г.</w:t>
      </w:r>
    </w:p>
    <w:p w14:paraId="561A61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Параллельно а испытанием шин из ЛСК, провести испытание шин (покрышек и камер) из НК и СКБ серийного выпуска Я.Ш.З. в количестве по 20 штук каждого размера и рецептуры.</w:t>
      </w:r>
    </w:p>
    <w:p w14:paraId="4D1F18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Указанное количество шин (80 шт. покрышек и 80 штук камер) Я.Ш.З. изготовить к 30/1Х-с.г.</w:t>
      </w:r>
    </w:p>
    <w:p w14:paraId="3D0A319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Изготовленные шины отправить па испытание в г.Читу и НИИ ВВС с тем, чтобы приступить к испытанию с 1/ХП-с.г.</w:t>
      </w:r>
    </w:p>
    <w:p w14:paraId="4B1DAD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в г. ЧИТЕ закончить к 1/У-1941 г. , а в НИИ ВВС - до полного износа шин.</w:t>
      </w:r>
    </w:p>
    <w:p w14:paraId="4CA239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К указанному сроку по п.п. 3 и 4 - Я.Ш.З. из</w:t>
      </w:r>
      <w:r w:rsidRPr="00DB5D0D">
        <w:rPr>
          <w:rFonts w:ascii="Times New Roman" w:hAnsi="Times New Roman"/>
          <w:color w:val="000000" w:themeColor="text1"/>
          <w:sz w:val="16"/>
          <w:szCs w:val="16"/>
        </w:rPr>
        <w:softHyphen/>
        <w:t>готовить 80 штук покрышек размера 700x150 и 900x300-370 с рисунчатым протектором из НК и СКБ для проведения испытания в зимних условиях рисунчатых покрышек на проходимость и отрыв протектора.</w:t>
      </w:r>
    </w:p>
    <w:p w14:paraId="06740A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Покрышки обеспечить соответствующим количест</w:t>
      </w:r>
      <w:r w:rsidRPr="00DB5D0D">
        <w:rPr>
          <w:rFonts w:ascii="Times New Roman" w:hAnsi="Times New Roman"/>
          <w:color w:val="000000" w:themeColor="text1"/>
          <w:sz w:val="16"/>
          <w:szCs w:val="16"/>
        </w:rPr>
        <w:softHyphen/>
        <w:t>вом камер. Испытание проводить в НИИ ВВС с 1/Ш-40 г. по 1/У-1941 г.</w:t>
      </w:r>
    </w:p>
    <w:p w14:paraId="2CC7B6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Данному вопросу НИЭИРП обращался в Замести</w:t>
      </w:r>
      <w:r w:rsidRPr="00DB5D0D">
        <w:rPr>
          <w:rFonts w:ascii="Times New Roman" w:hAnsi="Times New Roman"/>
          <w:color w:val="000000" w:themeColor="text1"/>
          <w:sz w:val="16"/>
          <w:szCs w:val="16"/>
        </w:rPr>
        <w:softHyphen/>
        <w:t>телю Народного Комиссара Химической прошшленности т. КАЛМЫКОВУ Н.Н. письмом за № 467/с от 20/УП-40 г.</w:t>
      </w:r>
    </w:p>
    <w:p w14:paraId="04AF20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НИЭИРП'ом ставился вопрос перед Н.К.Х.П. по выделению Я.Р.А.Ком 3-х человек на изучение и проведение испытаний авиапневматиков в эксплоатационных условиях.</w:t>
      </w:r>
    </w:p>
    <w:p w14:paraId="4D9046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в срок указанного выше объема работ по эксплоатационному испытанию авиашин необ</w:t>
      </w:r>
      <w:r w:rsidRPr="00DB5D0D">
        <w:rPr>
          <w:rFonts w:ascii="Times New Roman" w:hAnsi="Times New Roman"/>
          <w:color w:val="000000" w:themeColor="text1"/>
          <w:sz w:val="16"/>
          <w:szCs w:val="16"/>
        </w:rPr>
        <w:softHyphen/>
        <w:t>ходимо НИЭИРТу:</w:t>
      </w:r>
    </w:p>
    <w:p w14:paraId="32E4BB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Выделить фонды на 200 шт. покрышек и 200 шт. камер.</w:t>
      </w:r>
    </w:p>
    <w:p w14:paraId="0BECAB3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Изготовить Я.Ш.З. 200 шт. покрыяшек и 200 шт. камер к 20/1Х- с.г.</w:t>
      </w:r>
    </w:p>
    <w:p w14:paraId="117089D0"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r w:rsidRPr="00DB5D0D">
        <w:rPr>
          <w:rFonts w:ascii="Times New Roman" w:hAnsi="Times New Roman"/>
          <w:color w:val="000000" w:themeColor="text1"/>
          <w:sz w:val="16"/>
          <w:szCs w:val="16"/>
        </w:rPr>
        <w:t xml:space="preserve">3. Выделить ЯРАКом 3-х человек для проведения эксплоатационных испытаний </w:t>
      </w:r>
      <w:r w:rsidRPr="00DB5D0D">
        <w:rPr>
          <w:rFonts w:ascii="Times New Roman" w:hAnsi="Times New Roman"/>
          <w:smallCaps/>
          <w:color w:val="000000" w:themeColor="text1"/>
          <w:sz w:val="16"/>
          <w:szCs w:val="16"/>
        </w:rPr>
        <w:t>(10512,14).</w:t>
      </w:r>
    </w:p>
    <w:p w14:paraId="2563B294" w14:textId="77777777" w:rsidR="003C7E8B" w:rsidRPr="00DB5D0D" w:rsidRDefault="003C7E8B" w:rsidP="00DB5D0D">
      <w:pPr>
        <w:shd w:val="clear" w:color="auto" w:fill="FFFFFF"/>
        <w:spacing w:after="0" w:line="240" w:lineRule="auto"/>
        <w:jc w:val="both"/>
        <w:rPr>
          <w:rFonts w:ascii="Times New Roman" w:hAnsi="Times New Roman"/>
          <w:smallCaps/>
          <w:color w:val="000000" w:themeColor="text1"/>
          <w:sz w:val="16"/>
          <w:szCs w:val="16"/>
        </w:rPr>
      </w:pPr>
    </w:p>
    <w:p w14:paraId="7CC68C3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67FDF98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55A07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года была принята телеграмма Начальника штаба ВВС ПрибОВО генерал-майора авиации С.П. Синякова, в которой он сообщал начальнику штаба ВВС КА, о количестве трофейных самолетов. В Литве их имелось 117, ВВС Латвии насчитывали 168 самолетов, ВВС Эстонии -54 самолета. Итого - 339 самолетов. Кстати, отнюдь не все они были ста</w:t>
      </w:r>
      <w:r w:rsidRPr="00DB5D0D">
        <w:rPr>
          <w:rFonts w:ascii="Times New Roman" w:hAnsi="Times New Roman"/>
          <w:color w:val="000000" w:themeColor="text1"/>
          <w:sz w:val="16"/>
          <w:szCs w:val="16"/>
        </w:rPr>
        <w:softHyphen/>
        <w:t>рыми и изношенными. Так, из боевых было неисправно только 11 машин. В руки советских авиаторов попали 35 исправных английских бипланов «Гладиатор», несколько десятков литовских многоцелевых легких самоле</w:t>
      </w:r>
      <w:r w:rsidRPr="00DB5D0D">
        <w:rPr>
          <w:rFonts w:ascii="Times New Roman" w:hAnsi="Times New Roman"/>
          <w:color w:val="000000" w:themeColor="text1"/>
          <w:sz w:val="16"/>
          <w:szCs w:val="16"/>
        </w:rPr>
        <w:softHyphen/>
        <w:t>тов АНБО (собственно литовского производства), 5 немецких разведчиков Хеншель-126 и многие другие (РГВАФ.29.Оп.4. Д. 57Л. 21-23.). Некоторые из них использовались в ВВС РККА, Так, в составе 24-го территориального корпуса из бывших самолетов ВВС Латвии применялись 10 бипланов 5У-5 (11710,414).</w:t>
      </w:r>
    </w:p>
    <w:p w14:paraId="39D356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BA3480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25 августа 1940:</w:t>
      </w:r>
    </w:p>
    <w:p w14:paraId="420E1B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84 (Составлена по: РГВА Ф. 29. Оп. 4. Д. 57. Л. 21 -23. Использованы данные из телеграммы начальни</w:t>
      </w:r>
      <w:r w:rsidRPr="00DB5D0D">
        <w:rPr>
          <w:rFonts w:ascii="Times New Roman" w:hAnsi="Times New Roman"/>
          <w:color w:val="000000" w:themeColor="text1"/>
          <w:sz w:val="16"/>
          <w:szCs w:val="16"/>
        </w:rPr>
        <w:softHyphen/>
        <w:t>ка штаба ВВС ПрибОВО генерал-майора авиации С.П. Синякова, принятой начальником штаба ВВС КА генерал-майором Ф.К. Арженухиным 25 августа 1940 г.).</w:t>
      </w:r>
    </w:p>
    <w:p w14:paraId="323D9A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самолетов в ВВС балтийских стран по состоянию на 25 августа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03"/>
        <w:gridCol w:w="1152"/>
        <w:gridCol w:w="1310"/>
        <w:gridCol w:w="1498"/>
        <w:gridCol w:w="742"/>
      </w:tblGrid>
      <w:tr w:rsidR="007D5DF8" w:rsidRPr="00DB5D0D" w14:paraId="07478C54" w14:textId="77777777" w:rsidTr="00E543D0">
        <w:trPr>
          <w:trHeight w:val="302"/>
        </w:trPr>
        <w:tc>
          <w:tcPr>
            <w:tcW w:w="2203" w:type="dxa"/>
            <w:tcBorders>
              <w:top w:val="single" w:sz="12" w:space="0" w:color="auto"/>
            </w:tcBorders>
          </w:tcPr>
          <w:p w14:paraId="0063C6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/Страна</w:t>
            </w:r>
          </w:p>
        </w:tc>
        <w:tc>
          <w:tcPr>
            <w:tcW w:w="1152" w:type="dxa"/>
            <w:tcBorders>
              <w:top w:val="single" w:sz="12" w:space="0" w:color="auto"/>
            </w:tcBorders>
          </w:tcPr>
          <w:p w14:paraId="0EBF11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Латвия</w:t>
            </w:r>
          </w:p>
        </w:tc>
        <w:tc>
          <w:tcPr>
            <w:tcW w:w="1310" w:type="dxa"/>
            <w:tcBorders>
              <w:top w:val="single" w:sz="12" w:space="0" w:color="auto"/>
            </w:tcBorders>
          </w:tcPr>
          <w:p w14:paraId="532031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Литва</w:t>
            </w:r>
          </w:p>
        </w:tc>
        <w:tc>
          <w:tcPr>
            <w:tcW w:w="1498" w:type="dxa"/>
            <w:tcBorders>
              <w:top w:val="single" w:sz="12" w:space="0" w:color="auto"/>
            </w:tcBorders>
          </w:tcPr>
          <w:p w14:paraId="1506BA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Эстония</w:t>
            </w:r>
          </w:p>
        </w:tc>
        <w:tc>
          <w:tcPr>
            <w:tcW w:w="742" w:type="dxa"/>
            <w:tcBorders>
              <w:top w:val="single" w:sz="12" w:space="0" w:color="auto"/>
            </w:tcBorders>
          </w:tcPr>
          <w:p w14:paraId="3E2E0A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r>
      <w:tr w:rsidR="007D5DF8" w:rsidRPr="00DB5D0D" w14:paraId="1830408F" w14:textId="77777777" w:rsidTr="00E543D0">
        <w:trPr>
          <w:trHeight w:val="331"/>
        </w:trPr>
        <w:tc>
          <w:tcPr>
            <w:tcW w:w="2203" w:type="dxa"/>
          </w:tcPr>
          <w:p w14:paraId="5EDF1B0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Истребители</w:t>
            </w:r>
          </w:p>
        </w:tc>
        <w:tc>
          <w:tcPr>
            <w:tcW w:w="1152" w:type="dxa"/>
          </w:tcPr>
          <w:p w14:paraId="301DA5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310" w:type="dxa"/>
          </w:tcPr>
          <w:p w14:paraId="7C6F834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1498" w:type="dxa"/>
          </w:tcPr>
          <w:p w14:paraId="5D0BABF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w:t>
            </w:r>
          </w:p>
        </w:tc>
        <w:tc>
          <w:tcPr>
            <w:tcW w:w="742" w:type="dxa"/>
          </w:tcPr>
          <w:p w14:paraId="23D0B1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w:t>
            </w:r>
          </w:p>
        </w:tc>
      </w:tr>
      <w:tr w:rsidR="007D5DF8" w:rsidRPr="00DB5D0D" w14:paraId="118BD274" w14:textId="77777777" w:rsidTr="00E543D0">
        <w:trPr>
          <w:trHeight w:val="497"/>
        </w:trPr>
        <w:tc>
          <w:tcPr>
            <w:tcW w:w="2203" w:type="dxa"/>
          </w:tcPr>
          <w:p w14:paraId="0E295B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разведчики, легкие бомбар</w:t>
            </w:r>
            <w:r w:rsidRPr="00DB5D0D">
              <w:rPr>
                <w:rFonts w:ascii="Times New Roman" w:hAnsi="Times New Roman"/>
                <w:color w:val="000000" w:themeColor="text1"/>
                <w:sz w:val="16"/>
                <w:szCs w:val="16"/>
              </w:rPr>
              <w:softHyphen/>
              <w:t>дировщики, гидросамолеты</w:t>
            </w:r>
          </w:p>
        </w:tc>
        <w:tc>
          <w:tcPr>
            <w:tcW w:w="1152" w:type="dxa"/>
          </w:tcPr>
          <w:p w14:paraId="639FAE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310" w:type="dxa"/>
          </w:tcPr>
          <w:p w14:paraId="0004996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w:t>
            </w:r>
          </w:p>
        </w:tc>
        <w:tc>
          <w:tcPr>
            <w:tcW w:w="1498" w:type="dxa"/>
          </w:tcPr>
          <w:p w14:paraId="4B7E9A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742" w:type="dxa"/>
          </w:tcPr>
          <w:p w14:paraId="52EAB7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87</w:t>
            </w:r>
          </w:p>
        </w:tc>
      </w:tr>
      <w:tr w:rsidR="007D5DF8" w:rsidRPr="00DB5D0D" w14:paraId="666A7FA9" w14:textId="77777777" w:rsidTr="00E543D0">
        <w:trPr>
          <w:trHeight w:val="310"/>
        </w:trPr>
        <w:tc>
          <w:tcPr>
            <w:tcW w:w="2203" w:type="dxa"/>
          </w:tcPr>
          <w:p w14:paraId="3C15574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учебные, тренировочные</w:t>
            </w:r>
          </w:p>
        </w:tc>
        <w:tc>
          <w:tcPr>
            <w:tcW w:w="1152" w:type="dxa"/>
          </w:tcPr>
          <w:p w14:paraId="19C2F0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112</w:t>
            </w:r>
          </w:p>
        </w:tc>
        <w:tc>
          <w:tcPr>
            <w:tcW w:w="1310" w:type="dxa"/>
          </w:tcPr>
          <w:p w14:paraId="668E5C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1498" w:type="dxa"/>
          </w:tcPr>
          <w:p w14:paraId="7E6EC3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w:t>
            </w:r>
          </w:p>
        </w:tc>
        <w:tc>
          <w:tcPr>
            <w:tcW w:w="742" w:type="dxa"/>
          </w:tcPr>
          <w:p w14:paraId="7A428E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180</w:t>
            </w:r>
          </w:p>
        </w:tc>
      </w:tr>
      <w:tr w:rsidR="007D5DF8" w:rsidRPr="00DB5D0D" w14:paraId="512A09A3" w14:textId="77777777" w:rsidTr="00E543D0">
        <w:trPr>
          <w:trHeight w:val="353"/>
        </w:trPr>
        <w:tc>
          <w:tcPr>
            <w:tcW w:w="2203" w:type="dxa"/>
            <w:tcBorders>
              <w:bottom w:val="single" w:sz="12" w:space="0" w:color="auto"/>
            </w:tcBorders>
          </w:tcPr>
          <w:p w14:paraId="1EB06D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1152" w:type="dxa"/>
            <w:tcBorders>
              <w:bottom w:val="single" w:sz="12" w:space="0" w:color="auto"/>
            </w:tcBorders>
          </w:tcPr>
          <w:p w14:paraId="7169AC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164</w:t>
            </w:r>
          </w:p>
        </w:tc>
        <w:tc>
          <w:tcPr>
            <w:tcW w:w="1310" w:type="dxa"/>
            <w:tcBorders>
              <w:bottom w:val="single" w:sz="12" w:space="0" w:color="auto"/>
            </w:tcBorders>
          </w:tcPr>
          <w:p w14:paraId="7E15FD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w:t>
            </w:r>
          </w:p>
        </w:tc>
        <w:tc>
          <w:tcPr>
            <w:tcW w:w="1498" w:type="dxa"/>
            <w:tcBorders>
              <w:bottom w:val="single" w:sz="12" w:space="0" w:color="auto"/>
            </w:tcBorders>
          </w:tcPr>
          <w:p w14:paraId="2C9C7C5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w:t>
            </w:r>
          </w:p>
        </w:tc>
        <w:tc>
          <w:tcPr>
            <w:tcW w:w="742" w:type="dxa"/>
            <w:tcBorders>
              <w:bottom w:val="single" w:sz="12" w:space="0" w:color="auto"/>
            </w:tcBorders>
          </w:tcPr>
          <w:p w14:paraId="0A5A9C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335</w:t>
            </w:r>
          </w:p>
        </w:tc>
      </w:tr>
    </w:tbl>
    <w:p w14:paraId="54C094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(11710,529).</w:t>
      </w:r>
    </w:p>
    <w:p w14:paraId="7B1737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4C2D52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01793F7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384BECE"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August 25 1940 Estonia, Latvia, and Lithuania ratified U.S.S.R. incorporation (1223).</w:t>
      </w:r>
    </w:p>
    <w:p w14:paraId="3698A101"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186583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Эстония, Латвия и Литва ратифицировали присоединение к СССР (1223).</w:t>
      </w:r>
    </w:p>
    <w:p w14:paraId="09686B1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5E21AF8"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4E3150F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4FD03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после полудня, к «Комету» подошел ледокол “Ленин” и немецкий рейдер вступил ему в кильватер. Суда без особых проблем прошли пролив Вилькицкого и вышли в море Лаптевых, где их встретил ледокол «И. Сталин». Проводка рейдера ледоколом «Сталин» закончилась вечером 27 августа, когда с ледокола передали по радио и флажковым колом, что свою миссию капитан ледокола считает законченной. Капитана уведомили, что далее путь открыт (10670,266).</w:t>
      </w:r>
    </w:p>
    <w:p w14:paraId="0972AC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F4DCD4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36C9FEE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8A9EBDF" w14:textId="77777777" w:rsidR="00112A14" w:rsidRPr="00DB5D0D" w:rsidRDefault="00112A1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 августа 1940 - Состоялся первый полёт итальянского самолёта MC.201. Первые два прототипа (MM.436 и MM.437) были построены в начале 1940 года. В связи с тем, что двигатель Fiat A-76 RC.40 был не готов, на самолёт установили менее мощный двигатель Fiat A-74 RC.38. После проведения испытаний самолёты получили воинские номера MM.8616 (ex-MM.436) и MM.8617 (ex-MM.437) и были переданы в исследовательский центр Regia Aeronautica в июне 1942 года. Работы над двигателем всё ещё задерживались, и к тому же уже был готов более перспективный самолёт MC.202 Folgore с двигателем Daimler-Benz DB 601. Всё это привило к завершению работ над MC.201.</w:t>
      </w:r>
    </w:p>
    <w:p w14:paraId="39CAB60F" w14:textId="77777777" w:rsidR="00112A14" w:rsidRPr="00DB5D0D" w:rsidRDefault="00112A1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MC.201 - истребитель, разработанный итальянской фирмой Aeronautica Macchi S.p.A. Самолёт создан на базе истребителя MC.200 Saetta. В конце 1940 года конструктор фирмы Macchi Марио Кастолади предложил новый модифицированный вариант хорошо себя зарекомендовавшего истребителя MC.200. На самолёт планировалось установить новый мощный двигатель Fiat A-76 RC.40, новую кабину пилота и усиленные крылья (22386).</w:t>
      </w:r>
    </w:p>
    <w:p w14:paraId="30B73471" w14:textId="77777777" w:rsidR="00112A14" w:rsidRPr="00DB5D0D" w:rsidRDefault="00112A14" w:rsidP="00DB5D0D">
      <w:pPr>
        <w:spacing w:after="0" w:line="240" w:lineRule="auto"/>
        <w:jc w:val="both"/>
        <w:rPr>
          <w:rFonts w:ascii="Times New Roman" w:hAnsi="Times New Roman"/>
          <w:color w:val="0070C0"/>
          <w:sz w:val="16"/>
          <w:szCs w:val="16"/>
        </w:rPr>
      </w:pPr>
    </w:p>
    <w:p w14:paraId="7F63A877" w14:textId="77777777" w:rsidR="00112A14" w:rsidRPr="00DB5D0D" w:rsidRDefault="00112A1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25–26 августа (ночь) 1940 в ответ на бомбардировку Лондона 24 августа Королевские военно-воздушные силы проводят свой первый воздушный налет во время Второй мировой войны на Берлин  (20795).</w:t>
      </w:r>
    </w:p>
    <w:p w14:paraId="2D42E022" w14:textId="77777777" w:rsidR="00112A14" w:rsidRPr="00DB5D0D" w:rsidRDefault="00112A14" w:rsidP="00DB5D0D">
      <w:pPr>
        <w:spacing w:after="0" w:line="240" w:lineRule="auto"/>
        <w:jc w:val="both"/>
        <w:rPr>
          <w:rFonts w:ascii="Times New Roman" w:hAnsi="Times New Roman"/>
          <w:color w:val="0070C0"/>
          <w:sz w:val="16"/>
          <w:szCs w:val="16"/>
        </w:rPr>
      </w:pPr>
    </w:p>
    <w:p w14:paraId="7E44CE63" w14:textId="77777777" w:rsidR="002D432D" w:rsidRPr="00DB5D0D" w:rsidRDefault="002D43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в 1940 году в ночь на 25 августа состоялась первая бомбардировка Лондона во время второй мировой войны. Во Второй мировой войне воздушные бомбардировки унесли жизни 60 595 британцев</w:t>
      </w:r>
    </w:p>
    <w:p w14:paraId="30AEB070" w14:textId="77777777" w:rsidR="002D432D" w:rsidRPr="00DB5D0D" w:rsidRDefault="002D432D" w:rsidP="00DB5D0D">
      <w:pPr>
        <w:spacing w:after="0" w:line="240" w:lineRule="auto"/>
        <w:jc w:val="both"/>
        <w:rPr>
          <w:rFonts w:ascii="Times New Roman" w:hAnsi="Times New Roman"/>
          <w:color w:val="000000" w:themeColor="text1"/>
          <w:sz w:val="16"/>
          <w:szCs w:val="16"/>
        </w:rPr>
      </w:pPr>
    </w:p>
    <w:p w14:paraId="38B397E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1940 англичане совершили первый авианалет на Берлин (4962).</w:t>
      </w:r>
    </w:p>
    <w:p w14:paraId="5CD80D6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67870BFF"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r w:rsidRPr="00DB5D0D">
        <w:rPr>
          <w:rFonts w:ascii="Times New Roman" w:hAnsi="Times New Roman"/>
          <w:color w:val="000000" w:themeColor="text1"/>
          <w:sz w:val="16"/>
          <w:szCs w:val="16"/>
          <w:lang w:val="en-US"/>
        </w:rPr>
        <w:t>August 25-26 1940 First RAF bombing of Berlin (1038).</w:t>
      </w:r>
    </w:p>
    <w:p w14:paraId="42E41ED6" w14:textId="77777777" w:rsidR="003C7E8B" w:rsidRPr="00DB5D0D" w:rsidRDefault="003C7E8B" w:rsidP="00DB5D0D">
      <w:pPr>
        <w:spacing w:after="0" w:line="240" w:lineRule="auto"/>
        <w:jc w:val="both"/>
        <w:rPr>
          <w:rFonts w:ascii="Times New Roman" w:hAnsi="Times New Roman"/>
          <w:color w:val="000000" w:themeColor="text1"/>
          <w:sz w:val="16"/>
          <w:szCs w:val="16"/>
          <w:lang w:val="en-US"/>
        </w:rPr>
      </w:pPr>
    </w:p>
    <w:p w14:paraId="447FD2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25-26 августа 1940 ВВС Великобритании первый раз бомбили Берлин (1038). Это был налет, ответный за бомбежку Лондона 23 августа (2240).</w:t>
      </w:r>
    </w:p>
    <w:p w14:paraId="76BA913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E63128C" w14:textId="77777777" w:rsidR="002D432D" w:rsidRPr="00DB5D0D" w:rsidRDefault="002D43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в 1940 году ВВС Великобритании производят первый воздушный налет на Берлин (14993).</w:t>
      </w:r>
    </w:p>
    <w:p w14:paraId="69CB7E04" w14:textId="77777777" w:rsidR="002D432D" w:rsidRPr="00DB5D0D" w:rsidRDefault="002D432D" w:rsidP="00DB5D0D">
      <w:pPr>
        <w:spacing w:after="0" w:line="240" w:lineRule="auto"/>
        <w:jc w:val="both"/>
        <w:rPr>
          <w:rFonts w:ascii="Times New Roman" w:hAnsi="Times New Roman"/>
          <w:color w:val="000000" w:themeColor="text1"/>
          <w:sz w:val="16"/>
          <w:szCs w:val="16"/>
        </w:rPr>
      </w:pPr>
    </w:p>
    <w:p w14:paraId="3EAE54B7" w14:textId="77777777" w:rsidR="002D432D" w:rsidRPr="00DB5D0D" w:rsidRDefault="002D432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августа в 1940 году Б.Муссолини в личном послании призвал Ф.Франко присоединиться к войне с Англией (14993).</w:t>
      </w:r>
    </w:p>
    <w:p w14:paraId="40F4D496" w14:textId="77777777" w:rsidR="002D432D" w:rsidRPr="00DB5D0D" w:rsidRDefault="002D432D" w:rsidP="00DB5D0D">
      <w:pPr>
        <w:spacing w:after="0" w:line="240" w:lineRule="auto"/>
        <w:jc w:val="both"/>
        <w:rPr>
          <w:rFonts w:ascii="Times New Roman" w:hAnsi="Times New Roman"/>
          <w:color w:val="000000" w:themeColor="text1"/>
          <w:sz w:val="16"/>
          <w:szCs w:val="16"/>
        </w:rPr>
      </w:pPr>
    </w:p>
    <w:p w14:paraId="0B8C4BBF"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0429C4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6722AFB" w14:textId="77777777" w:rsidR="003C7E8B" w:rsidRPr="00DB5D0D" w:rsidRDefault="003C7E8B" w:rsidP="00DB5D0D">
      <w:pPr>
        <w:pStyle w:val="24"/>
        <w:widowControl/>
        <w:rPr>
          <w:color w:val="000000" w:themeColor="text1"/>
        </w:rPr>
      </w:pPr>
      <w:r w:rsidRPr="00DB5D0D">
        <w:rPr>
          <w:color w:val="000000" w:themeColor="text1"/>
        </w:rPr>
        <w:t>26 августа 1940 года начальник НИИ ГУ ВВС генерал-майор авиации Филин писал письмо № МТ/0631 начальнику ГУ ВВС генерал-лейтенанту авиации Рычагову</w:t>
      </w:r>
    </w:p>
    <w:p w14:paraId="54E7BB32" w14:textId="77777777" w:rsidR="003C7E8B" w:rsidRPr="00DB5D0D" w:rsidRDefault="003C7E8B" w:rsidP="00DB5D0D">
      <w:pPr>
        <w:pStyle w:val="24"/>
        <w:widowControl/>
        <w:rPr>
          <w:color w:val="000000" w:themeColor="text1"/>
        </w:rPr>
      </w:pPr>
      <w:r w:rsidRPr="00DB5D0D">
        <w:rPr>
          <w:color w:val="000000" w:themeColor="text1"/>
        </w:rPr>
        <w:t>Докладываю о состоянии моторов АМ-35А.</w:t>
      </w:r>
    </w:p>
    <w:p w14:paraId="5905491A" w14:textId="77777777" w:rsidR="003C7E8B" w:rsidRPr="00DB5D0D" w:rsidRDefault="003C7E8B" w:rsidP="00DB5D0D">
      <w:pPr>
        <w:pStyle w:val="24"/>
        <w:widowControl/>
        <w:rPr>
          <w:color w:val="000000" w:themeColor="text1"/>
        </w:rPr>
      </w:pPr>
      <w:r w:rsidRPr="00DB5D0D">
        <w:rPr>
          <w:color w:val="000000" w:themeColor="text1"/>
        </w:rPr>
        <w:t>Мотор АМ-35А удовлетворительно прошел совместное 50-ти часовое испытание в мае 1940 года, после чего была запущена в производство малая серия этих моторов в количестве 50 штук.</w:t>
      </w:r>
    </w:p>
    <w:p w14:paraId="3AD23F6A" w14:textId="77777777" w:rsidR="003C7E8B" w:rsidRPr="00DB5D0D" w:rsidRDefault="003C7E8B" w:rsidP="00DB5D0D">
      <w:pPr>
        <w:pStyle w:val="24"/>
        <w:widowControl/>
        <w:rPr>
          <w:color w:val="000000" w:themeColor="text1"/>
        </w:rPr>
      </w:pPr>
      <w:r w:rsidRPr="00DB5D0D">
        <w:rPr>
          <w:color w:val="000000" w:themeColor="text1"/>
        </w:rPr>
        <w:t>Мотор прошел государственное 100-часовое испытание в августе 1940 года. Испытание проводила правительственная комиссия в составе трех представителей НКО и трех представителей НКАП под председательством бригинженера Левина.</w:t>
      </w:r>
    </w:p>
    <w:p w14:paraId="2ED79E99" w14:textId="77777777" w:rsidR="003C7E8B" w:rsidRPr="00DB5D0D" w:rsidRDefault="003C7E8B" w:rsidP="00DB5D0D">
      <w:pPr>
        <w:pStyle w:val="24"/>
        <w:widowControl/>
        <w:rPr>
          <w:color w:val="000000" w:themeColor="text1"/>
        </w:rPr>
      </w:pPr>
      <w:r w:rsidRPr="00DB5D0D">
        <w:rPr>
          <w:color w:val="000000" w:themeColor="text1"/>
        </w:rPr>
        <w:t>За время госиспытания выявлены следующие основные дефекты:</w:t>
      </w:r>
    </w:p>
    <w:p w14:paraId="20EC2C4D" w14:textId="77777777" w:rsidR="003C7E8B" w:rsidRPr="00DB5D0D" w:rsidRDefault="003C7E8B" w:rsidP="00DB5D0D">
      <w:pPr>
        <w:pStyle w:val="24"/>
        <w:widowControl/>
        <w:tabs>
          <w:tab w:val="left" w:pos="360"/>
        </w:tabs>
        <w:rPr>
          <w:color w:val="000000" w:themeColor="text1"/>
        </w:rPr>
      </w:pPr>
      <w:r w:rsidRPr="00DB5D0D">
        <w:rPr>
          <w:color w:val="000000" w:themeColor="text1"/>
        </w:rPr>
        <w:t>масляная помпа не обеспечивает необходимого давления масла 6 атмосфер на высотах больше 6000 м.</w:t>
      </w:r>
    </w:p>
    <w:p w14:paraId="1F6C3BD9" w14:textId="77777777" w:rsidR="003C7E8B" w:rsidRPr="00DB5D0D" w:rsidRDefault="003C7E8B" w:rsidP="00DB5D0D">
      <w:pPr>
        <w:pStyle w:val="24"/>
        <w:widowControl/>
        <w:tabs>
          <w:tab w:val="left" w:pos="360"/>
        </w:tabs>
        <w:rPr>
          <w:color w:val="000000" w:themeColor="text1"/>
        </w:rPr>
      </w:pPr>
      <w:r w:rsidRPr="00DB5D0D">
        <w:rPr>
          <w:color w:val="000000" w:themeColor="text1"/>
        </w:rPr>
        <w:t>Разрушение синхронизатора.</w:t>
      </w:r>
    </w:p>
    <w:p w14:paraId="1640BE50" w14:textId="77777777" w:rsidR="003C7E8B" w:rsidRPr="00DB5D0D" w:rsidRDefault="003C7E8B" w:rsidP="00DB5D0D">
      <w:pPr>
        <w:pStyle w:val="24"/>
        <w:widowControl/>
        <w:tabs>
          <w:tab w:val="left" w:pos="360"/>
        </w:tabs>
        <w:rPr>
          <w:color w:val="000000" w:themeColor="text1"/>
        </w:rPr>
      </w:pPr>
      <w:r w:rsidRPr="00DB5D0D">
        <w:rPr>
          <w:color w:val="000000" w:themeColor="text1"/>
        </w:rPr>
        <w:t>На моторах малой серии до сего дня 26 августа, наблюдался массовый дефект разрушения втулки нагнетателя. Подавляющее большинство испытанных моторов малой серии показало этот дефект.</w:t>
      </w:r>
    </w:p>
    <w:p w14:paraId="4CD1CBAB" w14:textId="77777777" w:rsidR="003C7E8B" w:rsidRPr="00DB5D0D" w:rsidRDefault="003C7E8B" w:rsidP="00DB5D0D">
      <w:pPr>
        <w:pStyle w:val="24"/>
        <w:widowControl/>
        <w:rPr>
          <w:color w:val="000000" w:themeColor="text1"/>
        </w:rPr>
      </w:pPr>
      <w:r w:rsidRPr="00DB5D0D">
        <w:rPr>
          <w:color w:val="000000" w:themeColor="text1"/>
        </w:rPr>
        <w:t>Кроме того, на госиспытании и летных заводских испытаниях мотора были выявлены и другие дефекты (недоработанность карбюратора, малый срок службы свечей, неудобство пользования взлетным режимом; отсутствие винта, полностью удовлетворяющего мотору и др.).</w:t>
      </w:r>
    </w:p>
    <w:p w14:paraId="277F3956" w14:textId="77777777" w:rsidR="003C7E8B" w:rsidRPr="00DB5D0D" w:rsidRDefault="003C7E8B" w:rsidP="00DB5D0D">
      <w:pPr>
        <w:pStyle w:val="24"/>
        <w:widowControl/>
        <w:rPr>
          <w:color w:val="000000" w:themeColor="text1"/>
        </w:rPr>
      </w:pPr>
      <w:r w:rsidRPr="00DB5D0D">
        <w:rPr>
          <w:color w:val="000000" w:themeColor="text1"/>
        </w:rPr>
        <w:t>Дефект падения давления масла на больших высотах имел место на моторе М-105 и до сих пор, пока его не устранили, большое количество моторов М-105 вышло из строя из-за разрушения подшипников коленчатого вала.</w:t>
      </w:r>
    </w:p>
    <w:p w14:paraId="56C76664" w14:textId="77777777" w:rsidR="003C7E8B" w:rsidRPr="00DB5D0D" w:rsidRDefault="003C7E8B" w:rsidP="00DB5D0D">
      <w:pPr>
        <w:pStyle w:val="24"/>
        <w:widowControl/>
        <w:rPr>
          <w:color w:val="000000" w:themeColor="text1"/>
        </w:rPr>
      </w:pPr>
      <w:r w:rsidRPr="00DB5D0D">
        <w:rPr>
          <w:color w:val="000000" w:themeColor="text1"/>
        </w:rPr>
        <w:t>Такое же положение имело бы место и с мотором АМ-35А, если бы этот дефект не был устранен до начала серийного выпуска моторов. Поэтому правительственная комиссия, проводящая госиспытания мотора АМ-35А, потребовала срочного устранения этого дефекта. Гл. конструктор завода № 24 Микулин поставил ряд работ в обеспечение этого требования комиссии и на сегодня добился первых удовлетворительных результатов в лабораторных условиях. На моторе как на станке, так и в полете, улучшенная маслопомпа еще не работала.</w:t>
      </w:r>
    </w:p>
    <w:p w14:paraId="3AAFF57A" w14:textId="77777777" w:rsidR="003C7E8B" w:rsidRPr="00DB5D0D" w:rsidRDefault="003C7E8B" w:rsidP="00DB5D0D">
      <w:pPr>
        <w:pStyle w:val="24"/>
        <w:widowControl/>
        <w:rPr>
          <w:color w:val="000000" w:themeColor="text1"/>
        </w:rPr>
      </w:pPr>
      <w:r w:rsidRPr="00DB5D0D">
        <w:rPr>
          <w:color w:val="000000" w:themeColor="text1"/>
        </w:rPr>
        <w:t>Необходимо указать, что мотор АМ-35А еще не прошел длительной проверки в воздухе. Между тем, опыт внедрения других моторов в серийное производство и эксплуатацию показал, что работа мотора на самолете выявляет новые существенные дефекты, которых на станке не было, а допустить в массовой эксплуатации никак нельзя.</w:t>
      </w:r>
    </w:p>
    <w:p w14:paraId="0B69196C" w14:textId="77777777" w:rsidR="003C7E8B" w:rsidRPr="00DB5D0D" w:rsidRDefault="003C7E8B" w:rsidP="00DB5D0D">
      <w:pPr>
        <w:pStyle w:val="24"/>
        <w:widowControl/>
        <w:rPr>
          <w:color w:val="000000" w:themeColor="text1"/>
        </w:rPr>
      </w:pPr>
      <w:r w:rsidRPr="00DB5D0D">
        <w:rPr>
          <w:color w:val="000000" w:themeColor="text1"/>
        </w:rPr>
        <w:t>Примером этому может служить опять-таки мотор М-105, хорошо прошедший госиспытания на станке и у которого летными испытаниями выявлен ряд существенных дефектов (разрушение коренных подшипников, прогар клапанов, горение карбюраторов).</w:t>
      </w:r>
    </w:p>
    <w:p w14:paraId="5A00FE61" w14:textId="77777777" w:rsidR="003C7E8B" w:rsidRPr="00DB5D0D" w:rsidRDefault="003C7E8B" w:rsidP="00DB5D0D">
      <w:pPr>
        <w:pStyle w:val="24"/>
        <w:widowControl/>
        <w:rPr>
          <w:color w:val="000000" w:themeColor="text1"/>
        </w:rPr>
      </w:pPr>
      <w:r w:rsidRPr="00DB5D0D">
        <w:rPr>
          <w:color w:val="000000" w:themeColor="text1"/>
        </w:rPr>
        <w:t>В целях ускорения внедрения моторов АМ-35А в производство и эксплуатацию считаю возможным запустить мотор АМ-35А в серийное производство немедленно после устранения дефекта втулки нагнетателя и проверки новой маслопомпы на моторе, не дожидаясь результатов летных войсковых испытаний, с тем, однако, чтобы начать серийный выпуск моторов лишь после удовлетворительных результатов войсковых испытаний.</w:t>
      </w:r>
    </w:p>
    <w:p w14:paraId="732BA747" w14:textId="77777777" w:rsidR="003C7E8B" w:rsidRPr="00DB5D0D" w:rsidRDefault="003C7E8B" w:rsidP="00DB5D0D">
      <w:pPr>
        <w:pStyle w:val="24"/>
        <w:widowControl/>
        <w:rPr>
          <w:color w:val="000000" w:themeColor="text1"/>
        </w:rPr>
      </w:pPr>
      <w:r w:rsidRPr="00DB5D0D">
        <w:rPr>
          <w:color w:val="000000" w:themeColor="text1"/>
        </w:rPr>
        <w:t>Для того, чтобы форсировать самые войсковые испытания и полную доводку мотора и винта к нему, необходимо обязать:</w:t>
      </w:r>
    </w:p>
    <w:p w14:paraId="6CBD390A" w14:textId="77777777" w:rsidR="003C7E8B" w:rsidRPr="00DB5D0D" w:rsidRDefault="003C7E8B" w:rsidP="00DB5D0D">
      <w:pPr>
        <w:pStyle w:val="24"/>
        <w:widowControl/>
        <w:tabs>
          <w:tab w:val="left" w:pos="360"/>
        </w:tabs>
        <w:rPr>
          <w:color w:val="000000" w:themeColor="text1"/>
        </w:rPr>
      </w:pPr>
      <w:r w:rsidRPr="00DB5D0D">
        <w:rPr>
          <w:color w:val="000000" w:themeColor="text1"/>
        </w:rPr>
        <w:t>Заводы №№ 1 и 24 форсировать изготовление первых самолетов И-200 с мотором АМ-35А в количестве 10-15 штук с предъявлением их на войсковые испытания не позднее 1 октября 1940 года.</w:t>
      </w:r>
    </w:p>
    <w:p w14:paraId="3242245A" w14:textId="77777777" w:rsidR="003C7E8B" w:rsidRPr="00DB5D0D" w:rsidRDefault="003C7E8B" w:rsidP="00DB5D0D">
      <w:pPr>
        <w:pStyle w:val="24"/>
        <w:widowControl/>
        <w:tabs>
          <w:tab w:val="left" w:pos="360"/>
        </w:tabs>
        <w:rPr>
          <w:color w:val="000000" w:themeColor="text1"/>
        </w:rPr>
      </w:pPr>
      <w:r w:rsidRPr="00DB5D0D">
        <w:rPr>
          <w:color w:val="000000" w:themeColor="text1"/>
        </w:rPr>
        <w:t>Завод № 24 – устранить остальные дефекты мотора и его агрегатов не позднее 1 октября 1940 года.</w:t>
      </w:r>
    </w:p>
    <w:p w14:paraId="2E7963F1" w14:textId="77777777" w:rsidR="003C7E8B" w:rsidRPr="00DB5D0D" w:rsidRDefault="003C7E8B" w:rsidP="00DB5D0D">
      <w:pPr>
        <w:pStyle w:val="24"/>
        <w:widowControl/>
        <w:tabs>
          <w:tab w:val="left" w:pos="360"/>
        </w:tabs>
        <w:rPr>
          <w:color w:val="000000" w:themeColor="text1"/>
        </w:rPr>
      </w:pPr>
      <w:r w:rsidRPr="00DB5D0D">
        <w:rPr>
          <w:color w:val="000000" w:themeColor="text1"/>
        </w:rPr>
        <w:t>Заводы №№ 28 и 24 – форсировать доводку винта ВИШ-61 для мотора АМ-35А и закончить испытание на станке и самолете не позднее 1 ноября 1940 года (7647, 119-121).</w:t>
      </w:r>
    </w:p>
    <w:p w14:paraId="01FBE6D3" w14:textId="77777777" w:rsidR="003C7E8B" w:rsidRPr="00DB5D0D" w:rsidRDefault="003C7E8B" w:rsidP="00DB5D0D">
      <w:pPr>
        <w:pStyle w:val="24"/>
        <w:widowControl/>
        <w:tabs>
          <w:tab w:val="left" w:pos="360"/>
        </w:tabs>
        <w:rPr>
          <w:color w:val="000000" w:themeColor="text1"/>
        </w:rPr>
      </w:pPr>
    </w:p>
    <w:p w14:paraId="37D2F1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г. Шахурин писал письмо N Н-20/677 Ворошилову.</w:t>
      </w:r>
    </w:p>
    <w:p w14:paraId="3276C6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Правительства от 7 августа 1940 г. N 342 мною издан приказ N 399сс от августа 1940 г., который обязывает директора завода N 156 Ленкина и гл. конструктора Кочеригина спроектировать и построить одноместный пикирующий бомбардировщик с мотором М-90 в двух экз.</w:t>
      </w:r>
    </w:p>
    <w:p w14:paraId="11A776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самолета ОПБ должен быть сдан на гос. испытания 1 февраля 1941 г., а второй экземпляр 1 апреля 1941 г.</w:t>
      </w:r>
    </w:p>
    <w:p w14:paraId="6069AA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 на 20 августа 1904 г. по постройке этого самолета следующее:</w:t>
      </w:r>
    </w:p>
    <w:p w14:paraId="50B9AE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Проектирование по 1 экз. летному и для статиспытаний закончено полностью, рабочие чертежи запущены в производство.</w:t>
      </w:r>
    </w:p>
    <w:p w14:paraId="7E66EE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Оснастка изготовлена на 75%, приступлено к изготовлению деталей по готовым шаблонам (3362,109).</w:t>
      </w:r>
    </w:p>
    <w:p w14:paraId="4DDEA4A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15FA42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года А. Шахурин писал письмо № Н-20/1677 председателю КО маршалу Ворошилову К.Е.</w:t>
      </w:r>
    </w:p>
    <w:p w14:paraId="7D299EA5"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письму работников завода № 156 Назарова, Крисанова и Батенина о самолете ОПБ с мотором М-90 конструкции Кочеригина, докладываю:</w:t>
      </w:r>
    </w:p>
    <w:p w14:paraId="40B8138E"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постановлением Правительства от 7 августа 1940 года № 342сс мною издан приказ № 399сс от 7 августа 1940 года, который обязывает директора завода № 156 Ленкина и главного конструктора Кочеригина спроектировать и построить одноместный пикирующий бомбардировщик с мотором М-90 в двух экземпляров(3420, 109).</w:t>
      </w:r>
    </w:p>
    <w:p w14:paraId="70D312EA"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экземпляр самолета ОПБ должен быть сдан на гос. испытания 1 февраля 1941 года, а второй экземпляр 1 апреля 1941 года.</w:t>
      </w:r>
    </w:p>
    <w:p w14:paraId="6C897D29"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Состояние работ на 20 августа 1940 года по постройке этого самолета следующее:</w:t>
      </w:r>
    </w:p>
    <w:p w14:paraId="71938C4C"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Проектирование по 1 экземпляру летному и для статиспытаний закончено полностью, рабочие чертежи запущены в производство.</w:t>
      </w:r>
    </w:p>
    <w:p w14:paraId="447A29EF"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Оснастка изготовлена на 75%, плазы и шаблоны изготовлены на 75-80%, а также приступлено к изготовлению деталей по готовым шаблонам (3420, 109).</w:t>
      </w:r>
    </w:p>
    <w:p w14:paraId="1DA78613" w14:textId="77777777" w:rsidR="003C7E8B" w:rsidRPr="00DB5D0D" w:rsidRDefault="003C7E8B" w:rsidP="00DB5D0D">
      <w:pPr>
        <w:tabs>
          <w:tab w:val="left" w:pos="2410"/>
        </w:tabs>
        <w:spacing w:after="0" w:line="240" w:lineRule="auto"/>
        <w:jc w:val="both"/>
        <w:rPr>
          <w:rFonts w:ascii="Times New Roman" w:hAnsi="Times New Roman"/>
          <w:color w:val="000000" w:themeColor="text1"/>
          <w:sz w:val="16"/>
          <w:szCs w:val="16"/>
        </w:rPr>
      </w:pPr>
    </w:p>
    <w:p w14:paraId="3ECF4E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в Контрольном листе учета выполнения постановления КО СНК СССР № 115сс от 4 марта 1940 г. представителем КО СНК СССР - контролером Вахрушевым была сделана запись:</w:t>
      </w:r>
    </w:p>
    <w:p w14:paraId="3215E9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М-90</w:t>
      </w:r>
    </w:p>
    <w:p w14:paraId="0DA5BF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августа 1940 самолет поврежден в ходе аварийной посадки на брюхо. Находится в ремонте. Отсутствует М-90 (10395,44).</w:t>
      </w:r>
    </w:p>
    <w:p w14:paraId="2AC24F4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B6759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и 7 ГУ Машкевич направил на завод 30 Голубкову письмо N 3/1707 в сопровождение протокола 7 постоянной комиссии НКАП по рассмотрению эскизных проектов - по среднему бомбардировщику, утвержденный А.С.Я. (1448,65).</w:t>
      </w:r>
    </w:p>
    <w:p w14:paraId="46DC1C1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52DF6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и 7 ГУ Машкевич направил на завод 301 Горбунову письмо N 3/1709 в сопровождение протокола 8 постоянной комиссии НКАП по рассмотрению эскизных проектов - по пикирующему одномоторному бомбардировщику, утвержденный А.С.Я. (1448,69).</w:t>
      </w:r>
    </w:p>
    <w:p w14:paraId="4F4D881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C6A97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и 7 ГУ Машкевич направил на завод 51 Н.Н.П. письмо N 3/1710 в сопровождение протокола 8 постоянной комиссии НКАП по рассмотрению эскизных проектов - по маневренному одноместному истребителю, утвержденный А.С.Я. (1448,69).</w:t>
      </w:r>
    </w:p>
    <w:p w14:paraId="504B64F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6DC3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в Контрольном листе учета выполнения постановления КО СНК СССР № 105сс от 4 марта 1940 г. представителем КО СНК СССР - контролером Вахрушевым была сделана запись:</w:t>
      </w:r>
    </w:p>
    <w:p w14:paraId="48FE83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ЭОИ М-105 2 ТК</w:t>
      </w:r>
    </w:p>
    <w:p w14:paraId="66FEAD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Чертежи сданы в производство 9 июня 1940. Плазы и шаблоны изготовлены на 100%. Самолет находится в агрегатной сборке. Общая готовность - 40%.</w:t>
      </w:r>
    </w:p>
    <w:p w14:paraId="53488E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предъявления на госиспытания находится под угрозой срыва (10395,36).</w:t>
      </w:r>
    </w:p>
    <w:p w14:paraId="21A288F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6CDA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и 7 ГУ Машкевич направил на завод 301 С.А.Л. письмо N 3/1711 в сопровождение протокола 9 постоянной комиссии НКАП по рассмотрению эскизных проектов - по одноместному истребителю - модификации И-301, утвержденный А.С.Я. (1448,69).</w:t>
      </w:r>
    </w:p>
    <w:p w14:paraId="32185BB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B845C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и 7 ГУ Машкевич направил в ЦАГИ Бисноват письмо N 3/1712 в сопровождение протокола 9 постоянной комиссии НКАП по рассмотрению эскизных проектов - по двухмоторному двухместному истребителю, сопроводителю бомбардировщиков, утвержденный А.С.Я. (1448,69).</w:t>
      </w:r>
    </w:p>
    <w:p w14:paraId="4FD0B6C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5011C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и 7 ГУ Машкевич направил в КБ-28 Грибовскому письмо N 3/1713 в сопровождение протокола 9 постоянной комиссии НКАП по рассмотрению эскизных проектов - по тренировочному истребителю ТИ-28, утвержденный А.С.Я. (1448,69).</w:t>
      </w:r>
    </w:p>
    <w:p w14:paraId="66BCBD3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1B502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и 7 ГУ Машкевич направил в КБ-30 Шевченко письмо N 3/1714 в сопровождение протокола 9 постоянной комиссии НКАП по рассмотрению эскизных проектов - по трем проектам - ИС-4 М-120, ИС-ПБ-2М-017 спарке и ИС-3 с АМ-37, утвержденный А.С.Я. (1448,69).</w:t>
      </w:r>
    </w:p>
    <w:p w14:paraId="483B9E1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22DC9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26 августа 1940 и 7 ГУ Машкевич направил на завод 47 Бакшаеву письмо N 3/1715 в сопровождение протокола 10 постоянной комиссии НКАП по рассмотрению эскизных проектов - по учебному пикирующему 2-х моторному бомбардировщику, утвержденный А.С.Я. (1448,93).</w:t>
      </w:r>
    </w:p>
    <w:p w14:paraId="21A4973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4910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и 7 ГУ Машкевич направил Нач. группы изобретений НКАП Гореву письмо N 3/1716 в сопровождение 2-х копий протокола 9 постоянной комиссии НКАП по рассмотрению эскизных проектов - по предложению Ефремова о постройке самолета с использованием выхлопных газов и радиаторного тепла для увеличения скорости полета, утвержденный А.С.Я. (1448,93).</w:t>
      </w:r>
    </w:p>
    <w:p w14:paraId="07FAFB4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8794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и 7 ГУ Машкевич направил на завод 30 Голубкову письмо N 3/1708 в сопровождение протокола 7 постоянной комиссии НКАП по рассмотрению эскизных проектов - по МДР-6Б, утвержденный А.С.Я. (1448,66).</w:t>
      </w:r>
    </w:p>
    <w:p w14:paraId="665D042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9744F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26 августа по 7 сентября 1940 г. проходили войсковые испытания И-16 (тип 29), которые также показали плохие результаты. Наблюдались перегрев масла и вызванная им сильная тряска мотора, плохая работа карбюратора. Кроме того, была отмечена неравномерная подача бензина из подвесных баков. Несмотря на трудности, к ноябрю ВВС РККА были сданы 175 истребителей с М-63. Однако многочисленные случаи заклинивания моторов, выпущенных заводом № 19, - до 18 ноября по этой причине произошли 15 аварий, — заставили приостановить дальнейшую сдачу до изучения и устранения причин. К этому моменту были собраны 300 самолетов. В соответствии с указаниями НКАП с них пришлось снять моторы и отправить для доработки на завод-изготовитель. Всего завод № 19 успел получить обратно 384 М-63. Об этой ситуации Горьковский обком ВКП(б) даже сообщил в письме лично Сталину. [280 — ГУ ЦАНО, Ф. 2066, Оп. 6, Д. 506, Л. 5–7.] Получение же кондиционных моторов шло медленно, задерживая сдачу заводом уже собранных машин. Тем не менее к концу года титаническими усилиями конструкторов, испытателей и рабочих был полностью осуществлен переход с моторов М-25 и М-62 на более мощный М-63 с отработкой всей винтомоторной группы, правда, ценой резкого падения качества. Никогда еще истребители не выпускались такими плохими, как во второй половине 1940 г. Переход заставил в очередной раз переконструировать ряд сопряженных элементов. Пришлось изъять из производства 980 деталей и вновь освоить 1362 детали (11741).</w:t>
      </w:r>
    </w:p>
    <w:p w14:paraId="1E1D1E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E290B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года закончились гос. испытания серийного самолета И-153 № 8609 с мотором М-63 на штопор, которые проходили с 24 августа</w:t>
      </w:r>
    </w:p>
    <w:p w14:paraId="67A5E5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625B62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1 ранга Никитченко</w:t>
      </w:r>
    </w:p>
    <w:p w14:paraId="66D59E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ст. лейтенант Кубышкин</w:t>
      </w:r>
    </w:p>
    <w:p w14:paraId="2C3324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4107AFA6"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степень безопасности производства штопора на самолете И-153 с мотором М-63 и винтом АВ-I.</w:t>
      </w:r>
    </w:p>
    <w:p w14:paraId="5EEA4A4B"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поведение самолета при вводе в штопор, на штопоре и при выводе из штопора в соответствии с инструкцией по штопору, составленной для самолета И-153 с мотором М-62.</w:t>
      </w:r>
    </w:p>
    <w:p w14:paraId="5D311B0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результатам проведенных испытаний внести изменения и дополнения в инструкцию по выполнению штопора на самолете И-153 с мотором М-62.</w:t>
      </w:r>
    </w:p>
    <w:p w14:paraId="3FE6B8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результатов войсковых испытаний самолетов И-153 М-25В в январе-мае 1939 года в Баку заводу № 1 было поручено провести полное испытание серийного самолета с мотором М-62 на штопор совместно с ЦАГИ.</w:t>
      </w:r>
    </w:p>
    <w:p w14:paraId="1130BD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июле 1939 года в НИИ ВВС поступил на испытание серийный самолет И-153 М-62 № 6019 с винтом ВФШ, где одновременно со снятием летных характеристик и оценкой эксплуатационных качеств было принято решение произвести испытания на определение штопорных свойств самолета для дачи указаний строевым частям.</w:t>
      </w:r>
    </w:p>
    <w:p w14:paraId="15E734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испытаний было выявлено “заглохание” мотора на штопоре.</w:t>
      </w:r>
    </w:p>
    <w:p w14:paraId="61E49D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этого производство штопора на самолете И-153 было прекращено.</w:t>
      </w:r>
    </w:p>
    <w:p w14:paraId="1A871A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Осенью 1939 года приказом по НКАП была создана комиссия при заводе № 1 (по штопору) – испытания были проведены на заводе № 1 совместно с ЦАГИ.</w:t>
      </w:r>
    </w:p>
    <w:p w14:paraId="4C2341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проверки рекомендуемого комиссией вывода самолета И-153 М-62 из штопора 1-м отделом НИИ ВВС в марте-апреле 1940 года были проведены испытания серийного самолета И-153 с мотором М-62 на штопор по результатам которых была составлена инструкция.</w:t>
      </w:r>
    </w:p>
    <w:p w14:paraId="7F8F64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требованию НИИ ВВС завод № 1 провел проверочные испытания на штопор с мотором М-63 и в августе 1940 года предъявил на гос. испытания.</w:t>
      </w:r>
    </w:p>
    <w:p w14:paraId="3B0A9D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гос. испытаний произведено 10 полетов.</w:t>
      </w:r>
    </w:p>
    <w:p w14:paraId="214FD7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F15D6A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Штопор на самолете И-153 М-63 не отличается от штопора на самолете И-153 М-62 и при строгом соблюдении Инструкции – безопасен.</w:t>
      </w:r>
    </w:p>
    <w:p w14:paraId="53D83A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w:t>
      </w:r>
    </w:p>
    <w:p w14:paraId="293F9F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испытание 24 августа 1940 года</w:t>
      </w:r>
    </w:p>
    <w:p w14:paraId="08E789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закончил испытания 27 августа 1940 года</w:t>
      </w:r>
    </w:p>
    <w:p w14:paraId="3588B4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Общая продолжительность испытаний – 3 дня</w:t>
      </w:r>
    </w:p>
    <w:p w14:paraId="588E61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испытания – 1,5 дня (4429).</w:t>
      </w:r>
    </w:p>
    <w:p w14:paraId="69307A8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3D9D4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 27 августа 1940 Квасов и А.Смолин в качестве пассажира выполнили 3 полета по полчаса каждый на УПО-21. Затем - поставили в ангар, т.к. для продолжения испытаний требовалось решение НКАП (10212).</w:t>
      </w:r>
    </w:p>
    <w:p w14:paraId="56B180F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2AD16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года начальник научно-испытательного полигона АВ ВВС полковник Шевченко утвердил Отчет по заводским испытаниям ФАБ-50 цк с приварным стабилизатором, конструкции завода 67 (3005).</w:t>
      </w:r>
    </w:p>
    <w:p w14:paraId="754C36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07C281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2 ранга Сатонин.</w:t>
      </w:r>
    </w:p>
    <w:p w14:paraId="4BFFBF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2D6A75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имели целью установить:</w:t>
      </w:r>
    </w:p>
    <w:p w14:paraId="6831F9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Прочность стабилизаторов.</w:t>
      </w:r>
    </w:p>
    <w:p w14:paraId="604009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Устойчивость бомб в полете.</w:t>
      </w:r>
    </w:p>
    <w:p w14:paraId="13BCBE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4AE4E3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Авиабомбы ФАБ-50 цк с приварным стабилизатором по неудовлетворительной устойчивости на траектории заводских испытаний не выдержали (3005).</w:t>
      </w:r>
    </w:p>
    <w:p w14:paraId="49F4DB6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9106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директор НИЭИРП Федотова писала Справку о выполнении постановления КО при СНК СССР от 5 июня № 245сс и приказа НКХП от 11 июня 1940 № 70.сс:</w:t>
      </w:r>
    </w:p>
    <w:p w14:paraId="43BFF7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 строительным работам по испытательной станции Наркомстрой приступил только 10/УЩ с/г с количеством рабочих на стройплощадке первоначально 25 чел., а на 24/УШ - 63 чел., виесто 350-300 чел., потребных для обеспечения строительства при работе в 2 смены. Наркомстрой ведет работы только в од</w:t>
      </w:r>
      <w:r w:rsidRPr="00DB5D0D">
        <w:rPr>
          <w:rFonts w:ascii="Times New Roman" w:hAnsi="Times New Roman"/>
          <w:color w:val="000000" w:themeColor="text1"/>
          <w:sz w:val="16"/>
          <w:szCs w:val="16"/>
        </w:rPr>
        <w:softHyphen/>
        <w:t>ну смену, при :этом развертывание работ даже при наличии нич</w:t>
      </w:r>
      <w:r w:rsidRPr="00DB5D0D">
        <w:rPr>
          <w:rFonts w:ascii="Times New Roman" w:hAnsi="Times New Roman"/>
          <w:color w:val="000000" w:themeColor="text1"/>
          <w:sz w:val="16"/>
          <w:szCs w:val="16"/>
        </w:rPr>
        <w:softHyphen/>
        <w:t>тожного количества рабочих, не обеспечено из-за отсутствия транспорта.</w:t>
      </w:r>
    </w:p>
    <w:p w14:paraId="3677F6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До сих пор на площадке никаких строй-материалов, за исключеннием бута не имеется и Наркомстрой не завозит их, ссылаясь на отсутствие транспорта и стройматериалов. : Потребность в основных строй-материалах выражается:</w:t>
      </w:r>
    </w:p>
    <w:p w14:paraId="33305E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кирпич - 350 тыс. шт.</w:t>
      </w:r>
    </w:p>
    <w:p w14:paraId="619906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Цемент - 310 тн.</w:t>
      </w:r>
    </w:p>
    <w:p w14:paraId="469126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vertAlign w:val="superscript"/>
        </w:rPr>
      </w:pPr>
      <w:r w:rsidRPr="00DB5D0D">
        <w:rPr>
          <w:rFonts w:ascii="Times New Roman" w:hAnsi="Times New Roman"/>
          <w:color w:val="000000" w:themeColor="text1"/>
          <w:sz w:val="16"/>
          <w:szCs w:val="16"/>
        </w:rPr>
        <w:t>Лес круглый - 70 м</w:t>
      </w:r>
      <w:r w:rsidRPr="00DB5D0D">
        <w:rPr>
          <w:rFonts w:ascii="Times New Roman" w:hAnsi="Times New Roman"/>
          <w:color w:val="000000" w:themeColor="text1"/>
          <w:sz w:val="16"/>
          <w:szCs w:val="16"/>
          <w:vertAlign w:val="superscript"/>
        </w:rPr>
        <w:t>3</w:t>
      </w:r>
    </w:p>
    <w:p w14:paraId="4982D6F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Пиломатериалы - 400 м</w:t>
      </w:r>
    </w:p>
    <w:p w14:paraId="3B7E50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Металл:</w:t>
      </w:r>
    </w:p>
    <w:p w14:paraId="77EC88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Балки - 45 тн.</w:t>
      </w:r>
    </w:p>
    <w:p w14:paraId="4850A8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арматур. железо - 30 тн.</w:t>
      </w:r>
    </w:p>
    <w:p w14:paraId="594EDF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трубы жел. раз. - 1300 п/м</w:t>
      </w:r>
    </w:p>
    <w:p w14:paraId="41ED28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качеств. на 600x550 атм. - 250 п/м.</w:t>
      </w:r>
    </w:p>
    <w:p w14:paraId="424A90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алебастр - 5 тн.</w:t>
      </w:r>
    </w:p>
    <w:p w14:paraId="41A31F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известь - 86 тн.</w:t>
      </w:r>
    </w:p>
    <w:p w14:paraId="29F025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кабель - 1800 п/м</w:t>
      </w:r>
    </w:p>
    <w:p w14:paraId="7CE791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 - 2100 п/м</w:t>
      </w:r>
    </w:p>
    <w:p w14:paraId="5ABE10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 медн. изол. - 3300 п/м</w:t>
      </w:r>
    </w:p>
    <w:p w14:paraId="48920D9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шнур - 2100 п/м.</w:t>
      </w:r>
    </w:p>
    <w:p w14:paraId="261F5C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кровельн. железо - 10 тн.</w:t>
      </w:r>
    </w:p>
    <w:p w14:paraId="1C23D9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Моссовет, несмотря на два правительст</w:t>
      </w:r>
      <w:r w:rsidRPr="00DB5D0D">
        <w:rPr>
          <w:rFonts w:ascii="Times New Roman" w:hAnsi="Times New Roman"/>
          <w:color w:val="000000" w:themeColor="text1"/>
          <w:sz w:val="16"/>
          <w:szCs w:val="16"/>
        </w:rPr>
        <w:softHyphen/>
        <w:t>венных решения и неоднократные обращения Наркомхимпрома и НИЭИРПа - разрешение на строительство видал только 23/УП-40 г. за № 14/сс, т.е. почти через 2 мес. после решения Комитета Обороны.</w:t>
      </w:r>
    </w:p>
    <w:p w14:paraId="264E59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Управление Планировки г. Москвы (зам. начальника т. ВОРОБЬЕВ) отказался оформить техническую документацию на строительство испытательной оганции на отведенной по Генплану и утвержденному проекту площадке, потребовав при этом перенос иепитательной станции на другую площадку, в целях архитектурного оформления Мейеровского проезда.</w:t>
      </w:r>
    </w:p>
    <w:p w14:paraId="26DE97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25/08 по требованию т. ВОРОБЬЕВА 55-ое отделение милиции прислало своего представителя для прекращения строительных раоот по испытатель</w:t>
      </w:r>
      <w:r w:rsidRPr="00DB5D0D">
        <w:rPr>
          <w:rFonts w:ascii="Times New Roman" w:hAnsi="Times New Roman"/>
          <w:color w:val="000000" w:themeColor="text1"/>
          <w:sz w:val="16"/>
          <w:szCs w:val="16"/>
        </w:rPr>
        <w:softHyphen/>
        <w:t>ной станции. Представителю ОКСа НКХП т.АЙЗЕНШТЕЙНУ т. ВОРОБЬЕВ 23/УШ заявил о том, что он все равно запретит строительство испытательной стан</w:t>
      </w:r>
      <w:r w:rsidRPr="00DB5D0D">
        <w:rPr>
          <w:rFonts w:ascii="Times New Roman" w:hAnsi="Times New Roman"/>
          <w:color w:val="000000" w:themeColor="text1"/>
          <w:sz w:val="16"/>
          <w:szCs w:val="16"/>
        </w:rPr>
        <w:softHyphen/>
        <w:t>ции, если не будет удовлетворено его требование тов. ВОРОБЬЕВ осведомлен об установленных прави</w:t>
      </w:r>
      <w:r w:rsidRPr="00DB5D0D">
        <w:rPr>
          <w:rFonts w:ascii="Times New Roman" w:hAnsi="Times New Roman"/>
          <w:color w:val="000000" w:themeColor="text1"/>
          <w:sz w:val="16"/>
          <w:szCs w:val="16"/>
        </w:rPr>
        <w:softHyphen/>
        <w:t>тельственными органами сроках окончания строитель</w:t>
      </w:r>
      <w:r w:rsidRPr="00DB5D0D">
        <w:rPr>
          <w:rFonts w:ascii="Times New Roman" w:hAnsi="Times New Roman"/>
          <w:color w:val="000000" w:themeColor="text1"/>
          <w:sz w:val="16"/>
          <w:szCs w:val="16"/>
        </w:rPr>
        <w:softHyphen/>
        <w:t>ства обоих объектов. Управлению Планировки г. Моск</w:t>
      </w:r>
      <w:r w:rsidRPr="00DB5D0D">
        <w:rPr>
          <w:rFonts w:ascii="Times New Roman" w:hAnsi="Times New Roman"/>
          <w:color w:val="000000" w:themeColor="text1"/>
          <w:sz w:val="16"/>
          <w:szCs w:val="16"/>
        </w:rPr>
        <w:softHyphen/>
        <w:t>вы при Моссовете также совершенно известно, что перепроектирование испытательной станции на другой площадке окончательно сорвет строительство стан</w:t>
      </w:r>
      <w:r w:rsidRPr="00DB5D0D">
        <w:rPr>
          <w:rFonts w:ascii="Times New Roman" w:hAnsi="Times New Roman"/>
          <w:color w:val="000000" w:themeColor="text1"/>
          <w:sz w:val="16"/>
          <w:szCs w:val="16"/>
        </w:rPr>
        <w:softHyphen/>
        <w:t>ции в 1940 году и качало работ возможно будет осу</w:t>
      </w:r>
      <w:r w:rsidRPr="00DB5D0D">
        <w:rPr>
          <w:rFonts w:ascii="Times New Roman" w:hAnsi="Times New Roman"/>
          <w:color w:val="000000" w:themeColor="text1"/>
          <w:sz w:val="16"/>
          <w:szCs w:val="16"/>
        </w:rPr>
        <w:softHyphen/>
        <w:t>ществить только весной 1941 года.</w:t>
      </w:r>
    </w:p>
    <w:p w14:paraId="44586F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 части оснащения испытательной станции станками для испытания аэропневматииков Раэинопроект приступил к проектированию 4-х станков. Требуется 7 станков, чертежи для одного станка будут получены с завода № 120 НКАЛ по окончанию проектирования в октябре м-це с/г. (инерционный и станок для определения боковой устойчивости), преднолагается разместить на импорт. Заявка в Наркомхимпром на импорт станков передана 19/УШ с/г.</w:t>
      </w:r>
    </w:p>
    <w:p w14:paraId="0FAD24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Резинопроект установил продолжи</w:t>
      </w:r>
      <w:r w:rsidRPr="00DB5D0D">
        <w:rPr>
          <w:rFonts w:ascii="Times New Roman" w:hAnsi="Times New Roman"/>
          <w:color w:val="000000" w:themeColor="text1"/>
          <w:sz w:val="16"/>
          <w:szCs w:val="16"/>
        </w:rPr>
        <w:softHyphen/>
        <w:t>тельные сроки проектирования оборудования - от 6 до 9-ти месяцев, заявка на эти станки передана в</w:t>
      </w:r>
      <w:r w:rsidRPr="00DB5D0D">
        <w:rPr>
          <w:rFonts w:ascii="Times New Roman" w:hAnsi="Times New Roman"/>
          <w:smallCaps/>
          <w:color w:val="000000" w:themeColor="text1"/>
          <w:sz w:val="16"/>
          <w:szCs w:val="16"/>
        </w:rPr>
        <w:t xml:space="preserve"> Н</w:t>
      </w:r>
      <w:r w:rsidRPr="00DB5D0D">
        <w:rPr>
          <w:rFonts w:ascii="Times New Roman" w:hAnsi="Times New Roman"/>
          <w:color w:val="000000" w:themeColor="text1"/>
          <w:sz w:val="16"/>
          <w:szCs w:val="16"/>
        </w:rPr>
        <w:t>аркомхимпром также для разрешения на импорт.</w:t>
      </w:r>
    </w:p>
    <w:p w14:paraId="0068B89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Обеспечением технологического оборудо</w:t>
      </w:r>
      <w:r w:rsidRPr="00DB5D0D">
        <w:rPr>
          <w:rFonts w:ascii="Times New Roman" w:hAnsi="Times New Roman"/>
          <w:color w:val="000000" w:themeColor="text1"/>
          <w:sz w:val="16"/>
          <w:szCs w:val="16"/>
        </w:rPr>
        <w:softHyphen/>
        <w:t>вания по спецпристройке, где должны изготовлять</w:t>
      </w:r>
      <w:r w:rsidRPr="00DB5D0D">
        <w:rPr>
          <w:rFonts w:ascii="Times New Roman" w:hAnsi="Times New Roman"/>
          <w:color w:val="000000" w:themeColor="text1"/>
          <w:sz w:val="16"/>
          <w:szCs w:val="16"/>
        </w:rPr>
        <w:softHyphen/>
        <w:t>ся авиапневматики, ведает Московский Опытно-Шинный завод, в титуле которого находится прист</w:t>
      </w:r>
      <w:r w:rsidRPr="00DB5D0D">
        <w:rPr>
          <w:rFonts w:ascii="Times New Roman" w:hAnsi="Times New Roman"/>
          <w:color w:val="000000" w:themeColor="text1"/>
          <w:sz w:val="16"/>
          <w:szCs w:val="16"/>
        </w:rPr>
        <w:softHyphen/>
        <w:t>ройка, Московский Опытно-Шиный завод до сих пор, несмотря на правительственные решения и приказ Народного Комиссара тов. ДЕНИСОВА, настаи</w:t>
      </w:r>
      <w:r w:rsidRPr="00DB5D0D">
        <w:rPr>
          <w:rFonts w:ascii="Times New Roman" w:hAnsi="Times New Roman"/>
          <w:color w:val="000000" w:themeColor="text1"/>
          <w:sz w:val="16"/>
          <w:szCs w:val="16"/>
        </w:rPr>
        <w:softHyphen/>
        <w:t>вает на использовании значительной площади спецприотройки ко второму этажу под выпуск граждан</w:t>
      </w:r>
      <w:r w:rsidRPr="00DB5D0D">
        <w:rPr>
          <w:rFonts w:ascii="Times New Roman" w:hAnsi="Times New Roman"/>
          <w:color w:val="000000" w:themeColor="text1"/>
          <w:sz w:val="16"/>
          <w:szCs w:val="16"/>
        </w:rPr>
        <w:softHyphen/>
        <w:t>ской продукции; при чем отведенная проектом пло</w:t>
      </w:r>
      <w:r w:rsidRPr="00DB5D0D">
        <w:rPr>
          <w:rFonts w:ascii="Times New Roman" w:hAnsi="Times New Roman"/>
          <w:color w:val="000000" w:themeColor="text1"/>
          <w:sz w:val="16"/>
          <w:szCs w:val="16"/>
        </w:rPr>
        <w:softHyphen/>
        <w:t>щадь в 233 мтр для аэропневматиков в настоящее время Московский Опытно-Шинным заводом уже заня</w:t>
      </w:r>
      <w:r w:rsidRPr="00DB5D0D">
        <w:rPr>
          <w:rFonts w:ascii="Times New Roman" w:hAnsi="Times New Roman"/>
          <w:color w:val="000000" w:themeColor="text1"/>
          <w:sz w:val="16"/>
          <w:szCs w:val="16"/>
        </w:rPr>
        <w:softHyphen/>
        <w:t>та под гражданскую продукцию.</w:t>
      </w:r>
    </w:p>
    <w:p w14:paraId="4C7D57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ПРИЛОЖЕНИЕ: проект предложения в 1 экз. на 2-я лист,</w:t>
      </w:r>
    </w:p>
    <w:p w14:paraId="7F82BA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w:t>
      </w:r>
    </w:p>
    <w:p w14:paraId="553DF6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Предложить Управлению Планировки г.Москвы немедленно оформить строительство на участке, пре-усмотренном проектом и утвержденном Народным Комиссаром Химической промышленности.</w:t>
      </w:r>
    </w:p>
    <w:p w14:paraId="4519C7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Обязать Наркомотрой т. ГИНЗБУРГ:</w:t>
      </w:r>
    </w:p>
    <w:p w14:paraId="0904B1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немедленно организовать строительные ра</w:t>
      </w:r>
      <w:r w:rsidRPr="00DB5D0D">
        <w:rPr>
          <w:rFonts w:ascii="Times New Roman" w:hAnsi="Times New Roman"/>
          <w:color w:val="000000" w:themeColor="text1"/>
          <w:sz w:val="16"/>
          <w:szCs w:val="16"/>
        </w:rPr>
        <w:softHyphen/>
        <w:t>боты по испытательной станции НИЭИРТа в 2-ве сиены, обеспечив строительство необходимым количеством ра</w:t>
      </w:r>
      <w:r w:rsidRPr="00DB5D0D">
        <w:rPr>
          <w:rFonts w:ascii="Times New Roman" w:hAnsi="Times New Roman"/>
          <w:color w:val="000000" w:themeColor="text1"/>
          <w:sz w:val="16"/>
          <w:szCs w:val="16"/>
        </w:rPr>
        <w:softHyphen/>
        <w:t>бочих - 250-600 человек в смену.</w:t>
      </w:r>
    </w:p>
    <w:p w14:paraId="14262C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Выделить потребное количество строй</w:t>
      </w:r>
      <w:r w:rsidRPr="00DB5D0D">
        <w:rPr>
          <w:rFonts w:ascii="Times New Roman" w:hAnsi="Times New Roman"/>
          <w:color w:val="000000" w:themeColor="text1"/>
          <w:sz w:val="16"/>
          <w:szCs w:val="16"/>
        </w:rPr>
        <w:softHyphen/>
        <w:t>материалов и в целях бесперебойного завоза их на строй-площадку, а также организации достаточного фронта работы, прикрепить к строительству транспорт в нужном количестве.</w:t>
      </w:r>
    </w:p>
    <w:p w14:paraId="17910C0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Разрешить Наркомхимирому импорт 15 станков с необходимой контрольно-измерительной аппаратурой, для ис питательной станции и опытно-производственной базы.</w:t>
      </w:r>
    </w:p>
    <w:p w14:paraId="3286A5A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Обязать Наркомвнешторг разместить по заяв</w:t>
      </w:r>
      <w:r w:rsidRPr="00DB5D0D">
        <w:rPr>
          <w:rFonts w:ascii="Times New Roman" w:hAnsi="Times New Roman"/>
          <w:color w:val="000000" w:themeColor="text1"/>
          <w:sz w:val="16"/>
          <w:szCs w:val="16"/>
        </w:rPr>
        <w:softHyphen/>
        <w:t>ке Наркомхиипрома заказы на станки для испытательной станции и опытно-производственной базы НИЭИРПа с реализацией их в 4 кв. 1940 года.</w:t>
      </w:r>
    </w:p>
    <w:p w14:paraId="728D09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Выделить необходимое количество материалов Наркомхимпрому для монтажно-строительных и сантехнических работ: кабель, провод, шнур и др. электро-материалы, а также электрооборудование и подъеино транспортное оборудование по заявке Наркомхимпрома.</w:t>
      </w:r>
    </w:p>
    <w:p w14:paraId="27BEB2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Наркомхимпрому - тов. ДЕНИСОВУ:</w:t>
      </w:r>
    </w:p>
    <w:p w14:paraId="59D4AF6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обеспечить своевременное изготовление технологического оборудования дли опытно-производ</w:t>
      </w:r>
      <w:r w:rsidRPr="00DB5D0D">
        <w:rPr>
          <w:rFonts w:ascii="Times New Roman" w:hAnsi="Times New Roman"/>
          <w:color w:val="000000" w:themeColor="text1"/>
          <w:sz w:val="16"/>
          <w:szCs w:val="16"/>
        </w:rPr>
        <w:softHyphen/>
        <w:t>ственной базы и испытательной станции НИЭИРП'а, а также и своевременный его монтаж.'</w:t>
      </w:r>
    </w:p>
    <w:p w14:paraId="4F59D6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Использовать заканчиваемую строительством опытно-производственную базу НИЭИРТ'а для изготовле</w:t>
      </w:r>
      <w:r w:rsidRPr="00DB5D0D">
        <w:rPr>
          <w:rFonts w:ascii="Times New Roman" w:hAnsi="Times New Roman"/>
          <w:color w:val="000000" w:themeColor="text1"/>
          <w:sz w:val="16"/>
          <w:szCs w:val="16"/>
        </w:rPr>
        <w:softHyphen/>
        <w:t>ния только опытных специзделий.</w:t>
      </w:r>
    </w:p>
    <w:p w14:paraId="448C0B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Укрепить ОКБ-1 НИЭИРПа по аэропневматикам квалифицированными специалистами в количестве 5 человек, за счет перевода их из аппарата и пред</w:t>
      </w:r>
      <w:r w:rsidRPr="00DB5D0D">
        <w:rPr>
          <w:rFonts w:ascii="Times New Roman" w:hAnsi="Times New Roman"/>
          <w:color w:val="000000" w:themeColor="text1"/>
          <w:sz w:val="16"/>
          <w:szCs w:val="16"/>
        </w:rPr>
        <w:softHyphen/>
        <w:t>приятий резиновой промышленности Наркомавиапрома.</w:t>
      </w:r>
    </w:p>
    <w:p w14:paraId="4B9C30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Немедленно ввести поощрительно премиаль</w:t>
      </w:r>
      <w:r w:rsidRPr="00DB5D0D">
        <w:rPr>
          <w:rFonts w:ascii="Times New Roman" w:hAnsi="Times New Roman"/>
          <w:color w:val="000000" w:themeColor="text1"/>
          <w:sz w:val="16"/>
          <w:szCs w:val="16"/>
        </w:rPr>
        <w:softHyphen/>
        <w:t>ную систему оплаты труда для работников НИЭИРТа, непосредственно занятых проектированием и освоением опытных авиапневматиков, выделив для этой цели необ</w:t>
      </w:r>
      <w:r w:rsidRPr="00DB5D0D">
        <w:rPr>
          <w:rFonts w:ascii="Times New Roman" w:hAnsi="Times New Roman"/>
          <w:color w:val="000000" w:themeColor="text1"/>
          <w:sz w:val="16"/>
          <w:szCs w:val="16"/>
        </w:rPr>
        <w:softHyphen/>
        <w:t>ходимые ассигнования.</w:t>
      </w:r>
    </w:p>
    <w:p w14:paraId="420C99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Наркомату Обороны и Наркомату Авиационной промышленности предоставлять в распоряжение НИЭИРТа иностранные материалы, литературу по авиапневматикам и образцы изделий.</w:t>
      </w:r>
    </w:p>
    <w:p w14:paraId="787095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Разрешить Наркомхимпрому командировать загра</w:t>
      </w:r>
      <w:r w:rsidRPr="00DB5D0D">
        <w:rPr>
          <w:rFonts w:ascii="Times New Roman" w:hAnsi="Times New Roman"/>
          <w:color w:val="000000" w:themeColor="text1"/>
          <w:sz w:val="16"/>
          <w:szCs w:val="16"/>
        </w:rPr>
        <w:softHyphen/>
        <w:t>ницу 3-х конструкторов и технологов резинщиков по аэро-пневматикам, также закупить образцы пневматиков различных заграничных фирм на сумму 10-15 тыс. руб. (10464,10).</w:t>
      </w:r>
    </w:p>
    <w:p w14:paraId="1233BC2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5C4DF2E"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4CB2D375"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36710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года был предъявлен заказчику опытный образец 210-мм пушки Бр-17 (Шкода), изготовленный заводом № 221 (3861).</w:t>
      </w:r>
    </w:p>
    <w:p w14:paraId="2403797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4570B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завод 221 предъявил заказчику опытный образец 210 мм пушки Бр-17. До 9 сентября проходили заводские испытания (3416,34).</w:t>
      </w:r>
    </w:p>
    <w:p w14:paraId="0A6D1F0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4B272F" w14:textId="77777777" w:rsidR="00F91F6B" w:rsidRPr="00DB5D0D" w:rsidRDefault="00F91F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г. опытный пистолет-пулемет Г.С. Шпагина был передан на заводские испытания Инстру</w:t>
      </w:r>
      <w:r w:rsidRPr="00DB5D0D">
        <w:rPr>
          <w:rFonts w:ascii="Times New Roman" w:hAnsi="Times New Roman"/>
          <w:color w:val="000000" w:themeColor="text1"/>
          <w:sz w:val="16"/>
          <w:szCs w:val="16"/>
        </w:rPr>
        <w:softHyphen/>
        <w:t>ментальному заводу №2 им. К.О. Киркижа в Коврове. Полигонные испы</w:t>
      </w:r>
      <w:r w:rsidRPr="00DB5D0D">
        <w:rPr>
          <w:rFonts w:ascii="Times New Roman" w:hAnsi="Times New Roman"/>
          <w:color w:val="000000" w:themeColor="text1"/>
          <w:sz w:val="16"/>
          <w:szCs w:val="16"/>
        </w:rPr>
        <w:softHyphen/>
        <w:t>тания пистолетов-пулеметов Шпагина и Шпитального в сравнении с ППД-40 начались в конце ноября 1940 г. 3 декабря начальник ГАУ Г.И. Кулик доложил результаты в ЦК ВКП(б) и рекомендовал к принятию на вооружение образец Шпагина. Технологичность образца Шпаги</w:t>
      </w:r>
      <w:r w:rsidRPr="00DB5D0D">
        <w:rPr>
          <w:rFonts w:ascii="Times New Roman" w:hAnsi="Times New Roman"/>
          <w:color w:val="000000" w:themeColor="text1"/>
          <w:sz w:val="16"/>
          <w:szCs w:val="16"/>
        </w:rPr>
        <w:softHyphen/>
        <w:t>на сыграла в этом немалую роль. Технологич</w:t>
      </w:r>
      <w:r w:rsidRPr="00DB5D0D">
        <w:rPr>
          <w:rFonts w:ascii="Times New Roman" w:hAnsi="Times New Roman"/>
          <w:color w:val="000000" w:themeColor="text1"/>
          <w:sz w:val="16"/>
          <w:szCs w:val="16"/>
        </w:rPr>
        <w:softHyphen/>
        <w:t>ность конструкции проявляется в оптималь</w:t>
      </w:r>
      <w:r w:rsidRPr="00DB5D0D">
        <w:rPr>
          <w:rFonts w:ascii="Times New Roman" w:hAnsi="Times New Roman"/>
          <w:color w:val="000000" w:themeColor="text1"/>
          <w:sz w:val="16"/>
          <w:szCs w:val="16"/>
        </w:rPr>
        <w:softHyphen/>
        <w:t>ных затратах труда, средств и материалов при ее производстве, эксплуатации и ремонте. Стоит вспомнить также рекомендацию - ис</w:t>
      </w:r>
      <w:r w:rsidRPr="00DB5D0D">
        <w:rPr>
          <w:rFonts w:ascii="Times New Roman" w:hAnsi="Times New Roman"/>
          <w:color w:val="000000" w:themeColor="text1"/>
          <w:sz w:val="16"/>
          <w:szCs w:val="16"/>
        </w:rPr>
        <w:softHyphen/>
        <w:t>кать решения новых конструкций оружия</w:t>
      </w:r>
      <w:r w:rsidRPr="00DB5D0D">
        <w:rPr>
          <w:rStyle w:val="aff6"/>
          <w:rFonts w:ascii="Times New Roman" w:eastAsia="Arial Narrow" w:hAnsi="Times New Roman" w:cs="Times New Roman"/>
          <w:i w:val="0"/>
          <w:color w:val="000000" w:themeColor="text1"/>
        </w:rPr>
        <w:t xml:space="preserve"> «в различных отраслях "мирной" техники»,</w:t>
      </w:r>
      <w:r w:rsidRPr="00DB5D0D">
        <w:rPr>
          <w:rFonts w:ascii="Times New Roman" w:hAnsi="Times New Roman"/>
          <w:color w:val="000000" w:themeColor="text1"/>
          <w:sz w:val="16"/>
          <w:szCs w:val="16"/>
        </w:rPr>
        <w:t xml:space="preserve"> ко</w:t>
      </w:r>
      <w:r w:rsidRPr="00DB5D0D">
        <w:rPr>
          <w:rFonts w:ascii="Times New Roman" w:hAnsi="Times New Roman"/>
          <w:color w:val="000000" w:themeColor="text1"/>
          <w:sz w:val="16"/>
          <w:szCs w:val="16"/>
        </w:rPr>
        <w:softHyphen/>
        <w:t>торую давал профессор А.А. Благонравов оружейникам в 1940 г.:</w:t>
      </w:r>
      <w:r w:rsidRPr="00DB5D0D">
        <w:rPr>
          <w:rStyle w:val="aff6"/>
          <w:rFonts w:ascii="Times New Roman" w:eastAsia="Arial Narrow" w:hAnsi="Times New Roman" w:cs="Times New Roman"/>
          <w:i w:val="0"/>
          <w:color w:val="000000" w:themeColor="text1"/>
        </w:rPr>
        <w:t xml:space="preserve"> «Нередко в этой же области можно найти, если не решение, то наметку решения технических проблем, над которыми работает мысль специалистов-ору</w:t>
      </w:r>
      <w:r w:rsidRPr="00DB5D0D">
        <w:rPr>
          <w:rStyle w:val="aff6"/>
          <w:rFonts w:ascii="Times New Roman" w:eastAsia="Arial Narrow" w:hAnsi="Times New Roman" w:cs="Times New Roman"/>
          <w:i w:val="0"/>
          <w:color w:val="000000" w:themeColor="text1"/>
        </w:rPr>
        <w:softHyphen/>
        <w:t>жейников».</w:t>
      </w:r>
      <w:r w:rsidRPr="00DB5D0D">
        <w:rPr>
          <w:rFonts w:ascii="Times New Roman" w:hAnsi="Times New Roman"/>
          <w:color w:val="000000" w:themeColor="text1"/>
          <w:sz w:val="16"/>
          <w:szCs w:val="16"/>
        </w:rPr>
        <w:t xml:space="preserve"> Как заводское изделие, ППШ от</w:t>
      </w:r>
      <w:r w:rsidRPr="00DB5D0D">
        <w:rPr>
          <w:rFonts w:ascii="Times New Roman" w:hAnsi="Times New Roman"/>
          <w:color w:val="000000" w:themeColor="text1"/>
          <w:sz w:val="16"/>
          <w:szCs w:val="16"/>
        </w:rPr>
        <w:softHyphen/>
        <w:t>вечал общему направлению внедрения в ору</w:t>
      </w:r>
      <w:r w:rsidRPr="00DB5D0D">
        <w:rPr>
          <w:rFonts w:ascii="Times New Roman" w:hAnsi="Times New Roman"/>
          <w:color w:val="000000" w:themeColor="text1"/>
          <w:sz w:val="16"/>
          <w:szCs w:val="16"/>
        </w:rPr>
        <w:softHyphen/>
        <w:t>жейное дело технологий массового производ</w:t>
      </w:r>
      <w:r w:rsidRPr="00DB5D0D">
        <w:rPr>
          <w:rFonts w:ascii="Times New Roman" w:hAnsi="Times New Roman"/>
          <w:color w:val="000000" w:themeColor="text1"/>
          <w:sz w:val="16"/>
          <w:szCs w:val="16"/>
        </w:rPr>
        <w:softHyphen/>
        <w:t>ства, ранее внедрявшихся именно в отраслях «мирной» техники, включая замену обработки металла резанием обработкой давлением, клепки - дуговой и контактной электросвар</w:t>
      </w:r>
      <w:r w:rsidRPr="00DB5D0D">
        <w:rPr>
          <w:rFonts w:ascii="Times New Roman" w:hAnsi="Times New Roman"/>
          <w:color w:val="000000" w:themeColor="text1"/>
          <w:sz w:val="16"/>
          <w:szCs w:val="16"/>
        </w:rPr>
        <w:softHyphen/>
        <w:t>кой, воронения - оксидировкой и фосфатиро- ванием, а также сокращение числа резьбовых соединений (15779).</w:t>
      </w:r>
    </w:p>
    <w:p w14:paraId="392AE3EE" w14:textId="77777777" w:rsidR="00F91F6B" w:rsidRPr="00DB5D0D" w:rsidRDefault="00F91F6B" w:rsidP="00DB5D0D">
      <w:pPr>
        <w:spacing w:after="0" w:line="240" w:lineRule="auto"/>
        <w:jc w:val="both"/>
        <w:rPr>
          <w:rFonts w:ascii="Times New Roman" w:hAnsi="Times New Roman"/>
          <w:color w:val="000000" w:themeColor="text1"/>
          <w:sz w:val="16"/>
          <w:szCs w:val="16"/>
        </w:rPr>
      </w:pPr>
    </w:p>
    <w:p w14:paraId="20A719EB" w14:textId="77777777" w:rsidR="00112A14" w:rsidRPr="00DB5D0D" w:rsidRDefault="00112A1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26 августа 1940 года завод №174 в плане на 1941 год указывал производство 100 новых танков сопровождения. И у него в плане эта машина именовалась как СП-126. Работы по изготовлению корпусов и башен для Т-126, так танк иногда именовался в переписке, возложили на Ижорский завод. При этом первый образец там именовали как Т-126, а второй, с утолщенной броней, как Т-226 (21824).</w:t>
      </w:r>
    </w:p>
    <w:p w14:paraId="459A150D" w14:textId="77777777" w:rsidR="00112A14" w:rsidRPr="00DB5D0D" w:rsidRDefault="00112A14" w:rsidP="00DB5D0D">
      <w:pPr>
        <w:spacing w:after="0" w:line="240" w:lineRule="auto"/>
        <w:jc w:val="both"/>
        <w:rPr>
          <w:rFonts w:ascii="Times New Roman" w:hAnsi="Times New Roman"/>
          <w:color w:val="0070C0"/>
          <w:sz w:val="16"/>
          <w:szCs w:val="16"/>
        </w:rPr>
      </w:pPr>
    </w:p>
    <w:p w14:paraId="3D770198" w14:textId="77777777" w:rsidR="003C7E8B" w:rsidRPr="00DB5D0D" w:rsidRDefault="003C7E8B" w:rsidP="00DB5D0D">
      <w:pPr>
        <w:pStyle w:val="271"/>
        <w:shd w:val="clear" w:color="auto" w:fill="auto"/>
        <w:spacing w:line="240" w:lineRule="auto"/>
        <w:rPr>
          <w:rFonts w:ascii="Times New Roman" w:hAnsi="Times New Roman" w:cs="Times New Roman"/>
          <w:i w:val="0"/>
          <w:iCs w:val="0"/>
          <w:color w:val="000000" w:themeColor="text1"/>
          <w:sz w:val="16"/>
          <w:szCs w:val="16"/>
        </w:rPr>
      </w:pPr>
      <w:r w:rsidRPr="00DB5D0D">
        <w:rPr>
          <w:rStyle w:val="274"/>
          <w:rFonts w:ascii="Times New Roman" w:hAnsi="Times New Roman" w:cs="Times New Roman"/>
          <w:i w:val="0"/>
          <w:iCs w:val="0"/>
          <w:color w:val="000000" w:themeColor="text1"/>
          <w:sz w:val="16"/>
          <w:szCs w:val="16"/>
        </w:rPr>
        <w:t>С 26 по 29 августа 1940 г. группа «Под</w:t>
      </w:r>
      <w:r w:rsidRPr="00DB5D0D">
        <w:rPr>
          <w:rStyle w:val="274"/>
          <w:rFonts w:ascii="Times New Roman" w:hAnsi="Times New Roman" w:cs="Times New Roman"/>
          <w:i w:val="0"/>
          <w:iCs w:val="0"/>
          <w:color w:val="000000" w:themeColor="text1"/>
          <w:sz w:val="16"/>
          <w:szCs w:val="16"/>
        </w:rPr>
        <w:softHyphen/>
        <w:t>рывник» прошла испытания на НИБТ по</w:t>
      </w:r>
      <w:r w:rsidRPr="00DB5D0D">
        <w:rPr>
          <w:rStyle w:val="274"/>
          <w:rFonts w:ascii="Times New Roman" w:hAnsi="Times New Roman" w:cs="Times New Roman"/>
          <w:i w:val="0"/>
          <w:iCs w:val="0"/>
          <w:color w:val="000000" w:themeColor="text1"/>
          <w:sz w:val="16"/>
          <w:szCs w:val="16"/>
        </w:rPr>
        <w:softHyphen/>
        <w:t>лигоне (Кубинка) [8,9]. В выводах комис</w:t>
      </w:r>
      <w:r w:rsidRPr="00DB5D0D">
        <w:rPr>
          <w:rStyle w:val="274"/>
          <w:rFonts w:ascii="Times New Roman" w:hAnsi="Times New Roman" w:cs="Times New Roman"/>
          <w:i w:val="0"/>
          <w:iCs w:val="0"/>
          <w:color w:val="000000" w:themeColor="text1"/>
          <w:sz w:val="16"/>
          <w:szCs w:val="16"/>
        </w:rPr>
        <w:softHyphen/>
        <w:t>сии по результатам испытаний отмеча</w:t>
      </w:r>
      <w:r w:rsidRPr="00DB5D0D">
        <w:rPr>
          <w:rStyle w:val="274"/>
          <w:rFonts w:ascii="Times New Roman" w:hAnsi="Times New Roman" w:cs="Times New Roman"/>
          <w:i w:val="0"/>
          <w:iCs w:val="0"/>
          <w:color w:val="000000" w:themeColor="text1"/>
          <w:sz w:val="16"/>
          <w:szCs w:val="16"/>
        </w:rPr>
        <w:softHyphen/>
        <w:t>лось, что</w:t>
      </w:r>
      <w:r w:rsidRPr="00DB5D0D">
        <w:rPr>
          <w:rFonts w:ascii="Times New Roman" w:hAnsi="Times New Roman" w:cs="Times New Roman"/>
          <w:i w:val="0"/>
          <w:iCs w:val="0"/>
          <w:color w:val="000000" w:themeColor="text1"/>
          <w:sz w:val="16"/>
          <w:szCs w:val="16"/>
        </w:rPr>
        <w:t xml:space="preserve"> «при телеуправлении по радио на расстоянии между телетанком и тан</w:t>
      </w:r>
      <w:r w:rsidRPr="00DB5D0D">
        <w:rPr>
          <w:rFonts w:ascii="Times New Roman" w:hAnsi="Times New Roman" w:cs="Times New Roman"/>
          <w:i w:val="0"/>
          <w:iCs w:val="0"/>
          <w:color w:val="000000" w:themeColor="text1"/>
          <w:sz w:val="16"/>
          <w:szCs w:val="16"/>
        </w:rPr>
        <w:softHyphen/>
        <w:t>ком управления 400-500 м, можно точно навести на цель, при условии хорошей видимости цели, из танка управления...»</w:t>
      </w:r>
    </w:p>
    <w:p w14:paraId="1984FFC9" w14:textId="77777777" w:rsidR="003C7E8B" w:rsidRPr="00DB5D0D" w:rsidRDefault="003C7E8B" w:rsidP="00DB5D0D">
      <w:pPr>
        <w:pStyle w:val="a3"/>
        <w:rPr>
          <w:color w:val="000000" w:themeColor="text1"/>
          <w:lang w:val="ru-RU"/>
        </w:rPr>
      </w:pPr>
      <w:r w:rsidRPr="00DB5D0D">
        <w:rPr>
          <w:color w:val="000000" w:themeColor="text1"/>
          <w:lang w:val="ru-RU"/>
        </w:rPr>
        <w:t>По результатам испытаний было принято решение разработать способ доставки зарядов ВВ к объекту подрыва с установкой их на серий</w:t>
      </w:r>
      <w:r w:rsidRPr="00DB5D0D">
        <w:rPr>
          <w:color w:val="000000" w:themeColor="text1"/>
          <w:lang w:val="ru-RU"/>
        </w:rPr>
        <w:softHyphen/>
        <w:t>ных танках. Заряды ВВ массой от 0,1 до 0,5 т предполагалось размещать в специальных ме</w:t>
      </w:r>
      <w:r w:rsidRPr="00DB5D0D">
        <w:rPr>
          <w:color w:val="000000" w:themeColor="text1"/>
          <w:lang w:val="ru-RU"/>
        </w:rPr>
        <w:softHyphen/>
        <w:t>таллических контейнерах.</w:t>
      </w:r>
    </w:p>
    <w:p w14:paraId="1E557426" w14:textId="77777777" w:rsidR="003C7E8B" w:rsidRPr="00DB5D0D" w:rsidRDefault="003C7E8B" w:rsidP="00DB5D0D">
      <w:pPr>
        <w:pStyle w:val="a3"/>
        <w:rPr>
          <w:color w:val="000000" w:themeColor="text1"/>
          <w:lang w:val="ru-RU"/>
        </w:rPr>
      </w:pPr>
      <w:r w:rsidRPr="00DB5D0D">
        <w:rPr>
          <w:color w:val="000000" w:themeColor="text1"/>
          <w:lang w:val="ru-RU"/>
        </w:rPr>
        <w:t>Таким образом, создание специальных, ди</w:t>
      </w:r>
      <w:r w:rsidRPr="00DB5D0D">
        <w:rPr>
          <w:color w:val="000000" w:themeColor="text1"/>
          <w:lang w:val="ru-RU"/>
        </w:rPr>
        <w:softHyphen/>
        <w:t>станционно управляемых машин-подрывников фактически превращалось в разработку специ</w:t>
      </w:r>
      <w:r w:rsidRPr="00DB5D0D">
        <w:rPr>
          <w:color w:val="000000" w:themeColor="text1"/>
          <w:lang w:val="ru-RU"/>
        </w:rPr>
        <w:softHyphen/>
        <w:t>ального комплекта оборудования для использо</w:t>
      </w:r>
      <w:r w:rsidRPr="00DB5D0D">
        <w:rPr>
          <w:color w:val="000000" w:themeColor="text1"/>
          <w:lang w:val="ru-RU"/>
        </w:rPr>
        <w:softHyphen/>
        <w:t>вания на серийных танках.</w:t>
      </w:r>
    </w:p>
    <w:p w14:paraId="4F559D23" w14:textId="77777777" w:rsidR="003C7E8B" w:rsidRPr="00DB5D0D" w:rsidRDefault="003C7E8B" w:rsidP="00DB5D0D">
      <w:pPr>
        <w:pStyle w:val="a3"/>
        <w:rPr>
          <w:color w:val="000000" w:themeColor="text1"/>
          <w:lang w:val="ru-RU"/>
        </w:rPr>
      </w:pPr>
      <w:r w:rsidRPr="00DB5D0D">
        <w:rPr>
          <w:color w:val="000000" w:themeColor="text1"/>
          <w:lang w:val="ru-RU"/>
        </w:rPr>
        <w:t>Предусматривалось изготовить в 1940 г. опытную партию танков, состоявшую из шести групп (всего 12 машин), для проведения войс</w:t>
      </w:r>
      <w:r w:rsidRPr="00DB5D0D">
        <w:rPr>
          <w:color w:val="000000" w:themeColor="text1"/>
          <w:lang w:val="ru-RU"/>
        </w:rPr>
        <w:softHyphen/>
        <w:t>ковых испытаний, но до начала Великой Отече</w:t>
      </w:r>
      <w:r w:rsidRPr="00DB5D0D">
        <w:rPr>
          <w:color w:val="000000" w:themeColor="text1"/>
          <w:lang w:val="ru-RU"/>
        </w:rPr>
        <w:softHyphen/>
        <w:t>ственной войны это не было выполнено [8,9].</w:t>
      </w:r>
    </w:p>
    <w:p w14:paraId="227A1E8F" w14:textId="77777777" w:rsidR="003C7E8B" w:rsidRPr="00DB5D0D" w:rsidRDefault="003C7E8B" w:rsidP="00DB5D0D">
      <w:pPr>
        <w:pStyle w:val="a3"/>
        <w:rPr>
          <w:color w:val="000000" w:themeColor="text1"/>
          <w:lang w:val="ru-RU"/>
        </w:rPr>
      </w:pPr>
      <w:r w:rsidRPr="00DB5D0D">
        <w:rPr>
          <w:color w:val="000000" w:themeColor="text1"/>
          <w:lang w:val="ru-RU"/>
        </w:rPr>
        <w:t>Однако применение специальных сухопут</w:t>
      </w:r>
      <w:r w:rsidRPr="00DB5D0D">
        <w:rPr>
          <w:color w:val="000000" w:themeColor="text1"/>
          <w:lang w:val="ru-RU"/>
        </w:rPr>
        <w:softHyphen/>
        <w:t>ных торпед все же имело продолжение в годы Великой Отечественной войны. У Кравцева по</w:t>
      </w:r>
      <w:r w:rsidRPr="00DB5D0D">
        <w:rPr>
          <w:color w:val="000000" w:themeColor="text1"/>
          <w:lang w:val="ru-RU"/>
        </w:rPr>
        <w:softHyphen/>
        <w:t>явился последователь — военный инженер 3 ранга А.П. Казанцев, широко известный писа</w:t>
      </w:r>
      <w:r w:rsidRPr="00DB5D0D">
        <w:rPr>
          <w:color w:val="000000" w:themeColor="text1"/>
          <w:lang w:val="ru-RU"/>
        </w:rPr>
        <w:softHyphen/>
        <w:t>тель-фантаст, призванный в первые дни войны. По имеющейся информации, сухопутные торпе</w:t>
      </w:r>
      <w:r w:rsidRPr="00DB5D0D">
        <w:rPr>
          <w:color w:val="000000" w:themeColor="text1"/>
          <w:lang w:val="ru-RU"/>
        </w:rPr>
        <w:softHyphen/>
        <w:t>ды Казанцева (разработанные с участием А.Г. Иосифьяна) изготавливались в двух вариан</w:t>
      </w:r>
      <w:r w:rsidRPr="00DB5D0D">
        <w:rPr>
          <w:color w:val="000000" w:themeColor="text1"/>
          <w:lang w:val="ru-RU"/>
        </w:rPr>
        <w:softHyphen/>
        <w:t>тах. Аппаратура дистанционного управления для них была создана в Москве на заводе №627 Наркомата электротехнической промышленно</w:t>
      </w:r>
      <w:r w:rsidRPr="00DB5D0D">
        <w:rPr>
          <w:color w:val="000000" w:themeColor="text1"/>
          <w:lang w:val="ru-RU"/>
        </w:rPr>
        <w:softHyphen/>
        <w:t>сти. Уже в сентябре 1941 г. завод №627 и НИИ, при котором было организовано производство, получили задание на выпуск (в течении месяца) первой партии из 30 машин. Их планировалось использовать в уличных боях за Москву.</w:t>
      </w:r>
    </w:p>
    <w:p w14:paraId="41F31B6E" w14:textId="77777777" w:rsidR="003C7E8B" w:rsidRPr="00DB5D0D" w:rsidRDefault="003C7E8B"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Следует заметить, что в ходе Советско-финской войны (на Карельском перешейке) уже имел место неудачный опыт использования серийных танков в качестве брандеров. Серийные танки в сравнении с сухопутными торпедами Кравцева име</w:t>
      </w:r>
      <w:r w:rsidRPr="00DB5D0D">
        <w:rPr>
          <w:rFonts w:ascii="Times New Roman" w:hAnsi="Times New Roman" w:cs="Times New Roman"/>
          <w:i w:val="0"/>
          <w:iCs w:val="0"/>
          <w:color w:val="000000" w:themeColor="text1"/>
          <w:sz w:val="16"/>
          <w:szCs w:val="16"/>
        </w:rPr>
        <w:softHyphen/>
        <w:t>ли значительные габариты и недостаточное бронирование. 10 февраля 1940 г. 217-й отдельный танковый батальон, оснащен</w:t>
      </w:r>
      <w:r w:rsidRPr="00DB5D0D">
        <w:rPr>
          <w:rFonts w:ascii="Times New Roman" w:hAnsi="Times New Roman" w:cs="Times New Roman"/>
          <w:i w:val="0"/>
          <w:iCs w:val="0"/>
          <w:color w:val="000000" w:themeColor="text1"/>
          <w:sz w:val="16"/>
          <w:szCs w:val="16"/>
        </w:rPr>
        <w:softHyphen/>
        <w:t>ный телеуправляемыми танками, получил приказ начальника Автобронетанковых войск 7-й армии о подготовке трех телетан</w:t>
      </w:r>
      <w:r w:rsidRPr="00DB5D0D">
        <w:rPr>
          <w:rFonts w:ascii="Times New Roman" w:hAnsi="Times New Roman" w:cs="Times New Roman"/>
          <w:i w:val="0"/>
          <w:iCs w:val="0"/>
          <w:color w:val="000000" w:themeColor="text1"/>
          <w:sz w:val="16"/>
          <w:szCs w:val="16"/>
        </w:rPr>
        <w:softHyphen/>
      </w:r>
      <w:r w:rsidRPr="00DB5D0D">
        <w:rPr>
          <w:rFonts w:ascii="Times New Roman" w:hAnsi="Times New Roman" w:cs="Times New Roman"/>
          <w:i w:val="0"/>
          <w:iCs w:val="0"/>
          <w:color w:val="000000" w:themeColor="text1"/>
          <w:sz w:val="16"/>
          <w:szCs w:val="16"/>
        </w:rPr>
        <w:lastRenderedPageBreak/>
        <w:t>ков для подрыва ДОТа в районе Хоттинен. Танки были начинены взрывчаткой, командиры телемеханических групп провели разведку боевых курсов. После этого один тёлетанк направили кДОТу №35, не доходя до которого он был подбит и взорвался. После этого два других телетанка вернули на исходные позиции и разрядили [8].</w:t>
      </w:r>
    </w:p>
    <w:p w14:paraId="26702FBE" w14:textId="77777777" w:rsidR="003C7E8B" w:rsidRPr="00DB5D0D" w:rsidRDefault="003C7E8B"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"По доступной информации, в первом варианте сухопутная торпеда собиралась на деревянной раме, ходовая часть включала элементы малого трактора, гусеницы изготавливались с использованием резиново-тканевой основы, на которой были закреплены деревянные траки-грунтозацепы. В качестве силовой установки использовался асинхронный электродвига</w:t>
      </w:r>
      <w:r w:rsidRPr="00DB5D0D">
        <w:rPr>
          <w:rFonts w:ascii="Times New Roman" w:hAnsi="Times New Roman" w:cs="Times New Roman"/>
          <w:i w:val="0"/>
          <w:iCs w:val="0"/>
          <w:color w:val="000000" w:themeColor="text1"/>
          <w:sz w:val="16"/>
          <w:szCs w:val="16"/>
        </w:rPr>
        <w:softHyphen/>
        <w:t>тель с приводом на задние ведущие колеса. Данное изделие получило наименование «электротанкетка ЭТ-1-627». Второй вариант представлял собой изделие, изготовленное на основе устаревшей серийной танкетки Т-27. Максимальная скорость движения машин составляла 42 км/ч. Вооружение, часть топлива и расчет заменял заряд ВВ.</w:t>
      </w:r>
    </w:p>
    <w:p w14:paraId="38E44B44" w14:textId="77777777" w:rsidR="003C7E8B" w:rsidRPr="00DB5D0D" w:rsidRDefault="003C7E8B" w:rsidP="00DB5D0D">
      <w:pPr>
        <w:pStyle w:val="5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По обоим вариантам предусматривалось, что подача сигналов управления должна осуществляться по трем объединен</w:t>
      </w:r>
      <w:r w:rsidRPr="00DB5D0D">
        <w:rPr>
          <w:rFonts w:ascii="Times New Roman" w:hAnsi="Times New Roman" w:cs="Times New Roman"/>
          <w:i w:val="0"/>
          <w:iCs w:val="0"/>
          <w:color w:val="000000" w:themeColor="text1"/>
          <w:sz w:val="16"/>
          <w:szCs w:val="16"/>
        </w:rPr>
        <w:softHyphen/>
        <w:t>ным проводам длиной 600 м со специально оборудованного легкого танка или специального пункта управления (12092).</w:t>
      </w:r>
    </w:p>
    <w:p w14:paraId="29282EDF" w14:textId="77777777" w:rsidR="003C7E8B" w:rsidRPr="00DB5D0D" w:rsidRDefault="003C7E8B" w:rsidP="00DB5D0D">
      <w:pPr>
        <w:pStyle w:val="a3"/>
        <w:rPr>
          <w:color w:val="000000" w:themeColor="text1"/>
          <w:lang w:val="ru-RU"/>
        </w:rPr>
      </w:pPr>
    </w:p>
    <w:p w14:paraId="059AD93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208BA8F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8DCBB2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года в соответствии с новым постановлением Политбюро ЦК ВКП(б) № П 20 / 2 от П.В. Рычагов был утвержден начальником Главного Управления ВВС. 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DB5D0D">
        <w:rPr>
          <w:rFonts w:ascii="Times New Roman" w:hAnsi="Times New Roman"/>
          <w:color w:val="000000" w:themeColor="text1"/>
          <w:sz w:val="16"/>
          <w:szCs w:val="16"/>
        </w:rPr>
        <w:softHyphen/>
        <w:t>сано утвердить начальником ГУ ВВС КА генерал-лейтенанта авиации Жигарева П.Ф. и исключить из состава членов ГВС (Главного Военного Сове</w:t>
      </w:r>
      <w:r w:rsidRPr="00DB5D0D">
        <w:rPr>
          <w:rFonts w:ascii="Times New Roman" w:hAnsi="Times New Roman"/>
          <w:color w:val="000000" w:themeColor="text1"/>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3703C6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началу Великой Отечественной войны Главное управление ВВС ор</w:t>
      </w:r>
      <w:r w:rsidRPr="00DB5D0D">
        <w:rPr>
          <w:rFonts w:ascii="Times New Roman" w:hAnsi="Times New Roman"/>
          <w:color w:val="000000" w:themeColor="text1"/>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DB5D0D">
        <w:rPr>
          <w:rFonts w:ascii="Times New Roman" w:hAnsi="Times New Roman"/>
          <w:color w:val="000000" w:themeColor="text1"/>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DB5D0D">
        <w:rPr>
          <w:rFonts w:ascii="Times New Roman" w:hAnsi="Times New Roman"/>
          <w:color w:val="000000" w:themeColor="text1"/>
          <w:sz w:val="16"/>
          <w:szCs w:val="16"/>
        </w:rPr>
        <w:softHyphen/>
        <w:t>мов, снабжения и ремонта - и несколько самостоятельных отделов (об</w:t>
      </w:r>
      <w:r w:rsidRPr="00DB5D0D">
        <w:rPr>
          <w:rFonts w:ascii="Times New Roman" w:hAnsi="Times New Roman"/>
          <w:color w:val="000000" w:themeColor="text1"/>
          <w:sz w:val="16"/>
          <w:szCs w:val="16"/>
        </w:rPr>
        <w:softHyphen/>
        <w:t>щий, финансовый, редакция журнала «Вестник Воздушного Флота»). Че</w:t>
      </w:r>
      <w:r w:rsidRPr="00DB5D0D">
        <w:rPr>
          <w:rFonts w:ascii="Times New Roman" w:hAnsi="Times New Roman"/>
          <w:color w:val="000000" w:themeColor="text1"/>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DB5D0D">
        <w:rPr>
          <w:rFonts w:ascii="Times New Roman" w:hAnsi="Times New Roman"/>
          <w:color w:val="000000" w:themeColor="text1"/>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DB5D0D">
        <w:rPr>
          <w:rFonts w:ascii="Times New Roman" w:hAnsi="Times New Roman"/>
          <w:color w:val="000000" w:themeColor="text1"/>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DB5D0D">
        <w:rPr>
          <w:rFonts w:ascii="Times New Roman" w:hAnsi="Times New Roman"/>
          <w:color w:val="000000" w:themeColor="text1"/>
          <w:sz w:val="16"/>
          <w:szCs w:val="16"/>
        </w:rPr>
        <w:softHyphen/>
        <w:t>неральный штаб, контролировали выполнение мероприятий по реорга</w:t>
      </w:r>
      <w:r w:rsidRPr="00DB5D0D">
        <w:rPr>
          <w:rFonts w:ascii="Times New Roman" w:hAnsi="Times New Roman"/>
          <w:color w:val="000000" w:themeColor="text1"/>
          <w:sz w:val="16"/>
          <w:szCs w:val="16"/>
        </w:rPr>
        <w:softHyphen/>
        <w:t>низации и перевооружению ВВС, инспектировали авиационные части. В связи с тем, что в 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 24-25.) (11710,332).</w:t>
      </w:r>
    </w:p>
    <w:p w14:paraId="26EF13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CDEEF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г. Г. И. Кулик исключил ПТР из состава вооружения. Было дано указание прекратить производство 45-мм ПТ пушек и начать срочное проектирование 107-мм танковой и ПТ пушек. По данным Г. И. Кулика, в немецкой армии бронетанковые силы перевооружены танками с утолщенной броней. Из-за неправильной оценки немецкой бронетанковой техники бытовало мнение, что не только противотанковые ружья, но даже некоторые виды артиллерийских орудий бессильны перед ними (12094).</w:t>
      </w:r>
    </w:p>
    <w:p w14:paraId="4FA3A22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391BCD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1940. Протокол №. 20. Заседание ПБ от 26 августа - 26 сентября 1940 г.</w:t>
      </w:r>
    </w:p>
    <w:p w14:paraId="19056C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26.8.40 г.</w:t>
      </w:r>
    </w:p>
    <w:p w14:paraId="00189F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2. О начальнике Главного управления ВВС Красной Армии.</w:t>
      </w:r>
    </w:p>
    <w:p w14:paraId="4BB200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27.8.40 г.</w:t>
      </w:r>
    </w:p>
    <w:p w14:paraId="06C9C3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15. Вопросы НКО. Освобождение от работы командующих военных округов (ОБ от 24.VIII.</w:t>
      </w:r>
    </w:p>
    <w:p w14:paraId="055A47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 г. пр. №. 48. п. п.272, 273, 274-гс).</w:t>
      </w:r>
    </w:p>
    <w:p w14:paraId="7384F1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31.8.40 г.</w:t>
      </w:r>
    </w:p>
    <w:p w14:paraId="4E276A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46. Вопросы НКО. Освобождение от работы командующих авиационных дивизий.</w:t>
      </w:r>
    </w:p>
    <w:p w14:paraId="593B284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u w:val="single"/>
        </w:rPr>
        <w:t>02. 9. 40 г.</w:t>
      </w:r>
    </w:p>
    <w:p w14:paraId="4D85FC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52. Об учреждении маршальского знака отличия «Маршальская звезда» (11773).</w:t>
      </w:r>
    </w:p>
    <w:p w14:paraId="28355F65" w14:textId="77777777" w:rsidR="003C7E8B" w:rsidRPr="00DB5D0D" w:rsidRDefault="003C7E8B" w:rsidP="00DB5D0D">
      <w:pPr>
        <w:shd w:val="clear" w:color="auto" w:fill="FFFFFF"/>
        <w:spacing w:after="0" w:line="240" w:lineRule="auto"/>
        <w:jc w:val="both"/>
        <w:rPr>
          <w:rFonts w:ascii="Times New Roman" w:hAnsi="Times New Roman"/>
          <w:bCs/>
          <w:color w:val="000000" w:themeColor="text1"/>
          <w:sz w:val="16"/>
          <w:szCs w:val="16"/>
        </w:rPr>
      </w:pPr>
    </w:p>
    <w:p w14:paraId="229980CE" w14:textId="77777777" w:rsidR="00F91F6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5EF33E0" w14:textId="77777777" w:rsidR="00F91F6B" w:rsidRPr="00DB5D0D" w:rsidRDefault="00F91F6B" w:rsidP="00DB5D0D">
      <w:pPr>
        <w:spacing w:after="0" w:line="240" w:lineRule="auto"/>
        <w:jc w:val="both"/>
        <w:rPr>
          <w:rFonts w:ascii="Times New Roman" w:hAnsi="Times New Roman"/>
          <w:iCs/>
          <w:color w:val="000000" w:themeColor="text1"/>
          <w:sz w:val="16"/>
          <w:szCs w:val="16"/>
        </w:rPr>
      </w:pPr>
    </w:p>
    <w:p w14:paraId="74A61ECB" w14:textId="77777777" w:rsidR="00F91F6B" w:rsidRPr="00DB5D0D" w:rsidRDefault="00F91F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в 1940 году в Милане совершил полет экспериментальный реактивный самолет «Caproni-Campini» «CC-2» (14994).</w:t>
      </w:r>
    </w:p>
    <w:p w14:paraId="23F84CDB" w14:textId="77777777" w:rsidR="00F91F6B" w:rsidRPr="00DB5D0D" w:rsidRDefault="00F91F6B" w:rsidP="00DB5D0D">
      <w:pPr>
        <w:spacing w:after="0" w:line="240" w:lineRule="auto"/>
        <w:jc w:val="both"/>
        <w:rPr>
          <w:rFonts w:ascii="Times New Roman" w:hAnsi="Times New Roman"/>
          <w:color w:val="000000" w:themeColor="text1"/>
          <w:sz w:val="16"/>
          <w:szCs w:val="16"/>
        </w:rPr>
      </w:pPr>
    </w:p>
    <w:p w14:paraId="07A931D2" w14:textId="77777777" w:rsidR="00F91F6B" w:rsidRPr="00DB5D0D" w:rsidRDefault="00F91F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августа в 1940 году первый ночной авианалет британских ВВС на Берлин (14994).</w:t>
      </w:r>
    </w:p>
    <w:p w14:paraId="00E90AFA" w14:textId="77777777" w:rsidR="00F91F6B" w:rsidRPr="00DB5D0D" w:rsidRDefault="00F91F6B" w:rsidP="00DB5D0D">
      <w:pPr>
        <w:spacing w:after="0" w:line="240" w:lineRule="auto"/>
        <w:jc w:val="both"/>
        <w:rPr>
          <w:rFonts w:ascii="Times New Roman" w:hAnsi="Times New Roman"/>
          <w:color w:val="000000" w:themeColor="text1"/>
          <w:sz w:val="16"/>
          <w:szCs w:val="16"/>
        </w:rPr>
      </w:pPr>
    </w:p>
    <w:p w14:paraId="0756C974" w14:textId="77777777" w:rsidR="00F53E0D" w:rsidRPr="00DB5D0D" w:rsidRDefault="00F53E0D"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color w:val="000000" w:themeColor="text1"/>
          <w:sz w:val="16"/>
          <w:szCs w:val="16"/>
          <w:lang w:eastAsia="ru-RU"/>
        </w:rPr>
        <w:t>26 августа 1940 года</w:t>
      </w:r>
      <w:r w:rsidRPr="00DB5D0D">
        <w:rPr>
          <w:rFonts w:ascii="Times New Roman" w:eastAsia="Times New Roman" w:hAnsi="Times New Roman"/>
          <w:color w:val="000000" w:themeColor="text1"/>
          <w:sz w:val="16"/>
          <w:szCs w:val="16"/>
          <w:lang w:eastAsia="ru-RU"/>
        </w:rPr>
        <w:t xml:space="preserve"> случилась первая «серьезная» бомбардировка Берлина:</w:t>
      </w:r>
    </w:p>
    <w:p w14:paraId="277B1633" w14:textId="77777777" w:rsidR="00F53E0D" w:rsidRPr="00DB5D0D" w:rsidRDefault="00F53E0D"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 северо-западную часть города было сброшено 22 тонны бомб, погибли 12 человек, также были причинены серьезные разрушения. Жертв было бы значительно больше, ведь первоначально у англичан было 81 самолет (типов «Веллингтон» и «Хэмпден»), однако до цели дошли только 29 машин, причем 7 из них были сбиты над городом.</w:t>
      </w:r>
    </w:p>
    <w:p w14:paraId="380F6434" w14:textId="77777777" w:rsidR="00F53E0D" w:rsidRPr="00DB5D0D" w:rsidRDefault="00F53E0D"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 концу 1940 года общий урон от английских налетов стоил Берлину примерно 200 убитых и до 1800 разрушенных зданий. Сравнительно небольшое количество жертв объясняется просто — главными целями были не жилые кварталы – в городе располагались крупнейшие заводы («АЭГ», «БМВ», «Дорнье», «Хейнкель», «Фокке-Вульф»), и главный узел автомобиль</w:t>
      </w:r>
      <w:r w:rsidRPr="00DB5D0D">
        <w:rPr>
          <w:rFonts w:ascii="Times New Roman" w:eastAsia="Times New Roman" w:hAnsi="Times New Roman"/>
          <w:color w:val="000000" w:themeColor="text1"/>
          <w:sz w:val="16"/>
          <w:szCs w:val="16"/>
          <w:lang w:eastAsia="ru-RU"/>
        </w:rPr>
        <w:softHyphen/>
        <w:t>ных и железнодорожных путей Германии, и, конечно, штаб-квартира Рейха (17416).</w:t>
      </w:r>
    </w:p>
    <w:p w14:paraId="4183ED87" w14:textId="77777777" w:rsidR="00F53E0D" w:rsidRPr="00DB5D0D" w:rsidRDefault="00F53E0D" w:rsidP="00DB5D0D">
      <w:pPr>
        <w:spacing w:after="0" w:line="240" w:lineRule="auto"/>
        <w:jc w:val="both"/>
        <w:rPr>
          <w:rFonts w:ascii="Times New Roman" w:hAnsi="Times New Roman"/>
          <w:color w:val="000000" w:themeColor="text1"/>
          <w:sz w:val="16"/>
          <w:szCs w:val="16"/>
        </w:rPr>
      </w:pPr>
    </w:p>
    <w:p w14:paraId="7D3C32E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979A01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A0024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КО СНК постановлением принял на вооружение новые самолеты (66,221).</w:t>
      </w:r>
    </w:p>
    <w:p w14:paraId="12748E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27 августа 1940 КО СНК утвердил (66,221) июньское решение Глав. воен. совета, который принял на вооружение новые самолеты. Известно, что бронированный штурмовик С.В.И. не попал в оба этих решения.</w:t>
      </w:r>
    </w:p>
    <w:p w14:paraId="1C8A79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Интересно, но это значит, что постановление КО, например, по 30 заводу, еще вряд ли к этому сроку вышло.</w:t>
      </w:r>
    </w:p>
    <w:p w14:paraId="07703A2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744508" w14:textId="77777777" w:rsidR="00F91F6B" w:rsidRPr="00DB5D0D" w:rsidRDefault="00F91F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 xml:space="preserve">27 августа </w:t>
      </w:r>
      <w:r w:rsidRPr="00DB5D0D">
        <w:rPr>
          <w:rStyle w:val="ucoz-forum-post"/>
          <w:rFonts w:ascii="Times New Roman" w:eastAsia="Times New Roman" w:hAnsi="Times New Roman"/>
          <w:color w:val="000000" w:themeColor="text1"/>
          <w:sz w:val="16"/>
          <w:szCs w:val="16"/>
        </w:rPr>
        <w:t>1940. На вооружение ВВС КА приняты боевые самолеты МиГ-3, ЛаГГ-3, Як-1, Ил-2 и Пе-2 (14751).</w:t>
      </w:r>
    </w:p>
    <w:p w14:paraId="428933B3" w14:textId="77777777" w:rsidR="00F91F6B" w:rsidRPr="00DB5D0D" w:rsidRDefault="00F91F6B" w:rsidP="00DB5D0D">
      <w:pPr>
        <w:spacing w:after="0" w:line="240" w:lineRule="auto"/>
        <w:jc w:val="both"/>
        <w:rPr>
          <w:rFonts w:ascii="Times New Roman" w:hAnsi="Times New Roman"/>
          <w:bCs/>
          <w:color w:val="000000" w:themeColor="text1"/>
          <w:sz w:val="16"/>
          <w:szCs w:val="16"/>
        </w:rPr>
      </w:pPr>
    </w:p>
    <w:p w14:paraId="249134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на вооружение ВВС КА был принят ЦКБ-55 (3846,11).</w:t>
      </w:r>
    </w:p>
    <w:p w14:paraId="718B1CC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DCD3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вышел приказ НКАП N 449с, который в развитие приказа НКАП N 399сс от 7 августа 1940 для обеспечения выпуска в срок опытного самолета ОПБ конструкции С.А.Кочеригина, установил сроки постройки и испытания с 15 сентября 1940 по 1 июня 1941. Подписал за А.И.Шахурина А.С.Я. (280,45).</w:t>
      </w:r>
    </w:p>
    <w:p w14:paraId="32B3EF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развитие приказа по НКАП №399/сс- от 7-го августа 1940 года для обеспечения выпуска в срок опытного самолета ОПБ конструкции тов. КОЧЕРИГИНА - ПРИКАЗЫВАЮ:</w:t>
      </w:r>
    </w:p>
    <w:p w14:paraId="3C0436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следующие сроки этапов постройки и испытания самолетов.</w:t>
      </w:r>
    </w:p>
    <w:p w14:paraId="08A382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3D405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этап</w:t>
      </w:r>
      <w:r w:rsidRPr="00DB5D0D">
        <w:rPr>
          <w:rFonts w:ascii="Times New Roman" w:hAnsi="Times New Roman"/>
          <w:color w:val="000000" w:themeColor="text1"/>
          <w:sz w:val="16"/>
          <w:szCs w:val="16"/>
        </w:rPr>
        <w:tab/>
        <w:t>(первый экземпляр - 15 сентября 1940 года)</w:t>
      </w:r>
    </w:p>
    <w:p w14:paraId="77F469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 - I октября 1940 года)</w:t>
      </w:r>
    </w:p>
    <w:p w14:paraId="768CD9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этап</w:t>
      </w:r>
      <w:r w:rsidRPr="00DB5D0D">
        <w:rPr>
          <w:rFonts w:ascii="Times New Roman" w:hAnsi="Times New Roman"/>
          <w:color w:val="000000" w:themeColor="text1"/>
          <w:sz w:val="16"/>
          <w:szCs w:val="16"/>
        </w:rPr>
        <w:tab/>
        <w:t xml:space="preserve"> (первый экземпляр - I декабря 1940 года)</w:t>
      </w:r>
    </w:p>
    <w:p w14:paraId="1475B5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 - I января 1941 года)</w:t>
      </w:r>
    </w:p>
    <w:p w14:paraId="02BBE5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этап</w:t>
      </w:r>
      <w:r w:rsidRPr="00DB5D0D">
        <w:rPr>
          <w:rFonts w:ascii="Times New Roman" w:hAnsi="Times New Roman"/>
          <w:color w:val="000000" w:themeColor="text1"/>
          <w:sz w:val="16"/>
          <w:szCs w:val="16"/>
        </w:rPr>
        <w:tab/>
        <w:t>(первый экземпляр - I мая 1941 года)</w:t>
      </w:r>
    </w:p>
    <w:p w14:paraId="7D69508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экземпляр - 1 июня 1941 года) (280,45).</w:t>
      </w:r>
    </w:p>
    <w:p w14:paraId="4C437F8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480FE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27 августа 1940 вышел приказ НКАП N 452с в соответствии с которым в связи с аварией самолета ББ-2-М88 в ходе испытаний по вине В.Т.Соханова он получил нового л-и А.И.Емельянова и срок завершения испытаний 10 октября 1940 (280,32).</w:t>
      </w:r>
    </w:p>
    <w:p w14:paraId="73A854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аварией самолета ББ2-М88 по вине лет чика капитана тов. СОХРАНОВА В.Т. - ПРИКАЗЫВАЮ:</w:t>
      </w:r>
    </w:p>
    <w:p w14:paraId="1BB795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Летчика-испытателя тов. СОХРАНОВА В .Т.отстранить от дальнейшего проведения заводских испытаний самолета ББ2-М88</w:t>
      </w:r>
    </w:p>
    <w:p w14:paraId="6CFA7C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Назначить летчиком-испытателем самолета ББ2-М88 летчика 8-го Отдела Ц АГИ тов. ЕМЕЛЬЯНОВ А И.'</w:t>
      </w:r>
    </w:p>
    <w:p w14:paraId="6074752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Установить летчику испытателкю тов. ЕМЕЛЬЯНОВУ А.И. за проведение заводских испытаний самолета к 20.1Х.1940 года дополнительною зарплату в размере 15.000 (280,32).</w:t>
      </w:r>
    </w:p>
    <w:p w14:paraId="6EC0236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C1A06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вышел приказ НКАП N 448сс в исполнение постановления Правительства N 352сс от 13 августа 1940 "Об обеспечении бомбардировочной авиации радиополукомпасами" (1277) и в развитие постановления КО N 183сс от 27 апреля 1940 "Об обеспечении бомбардировочной авиации радиополлукомпасами"</w:t>
      </w:r>
    </w:p>
    <w:p w14:paraId="6D7904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должен был выпускать все бомбардировщики с установкой РПК-2 (Чайка)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434471DD" w14:textId="77777777" w:rsidTr="00E543D0">
        <w:tc>
          <w:tcPr>
            <w:tcW w:w="5749" w:type="dxa"/>
            <w:tcBorders>
              <w:top w:val="single" w:sz="12" w:space="0" w:color="auto"/>
            </w:tcBorders>
          </w:tcPr>
          <w:p w14:paraId="56BB94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СБ, ДБ-3Ф, 100 и ТБ-7</w:t>
            </w:r>
          </w:p>
        </w:tc>
        <w:tc>
          <w:tcPr>
            <w:tcW w:w="5749" w:type="dxa"/>
            <w:tcBorders>
              <w:top w:val="single" w:sz="12" w:space="0" w:color="auto"/>
            </w:tcBorders>
          </w:tcPr>
          <w:p w14:paraId="754A6C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сентября</w:t>
            </w:r>
          </w:p>
        </w:tc>
      </w:tr>
      <w:tr w:rsidR="007D5DF8" w:rsidRPr="00DB5D0D" w14:paraId="0D1D32F3" w14:textId="77777777" w:rsidTr="00E543D0">
        <w:tc>
          <w:tcPr>
            <w:tcW w:w="5749" w:type="dxa"/>
            <w:tcBorders>
              <w:bottom w:val="single" w:sz="12" w:space="0" w:color="auto"/>
            </w:tcBorders>
          </w:tcPr>
          <w:p w14:paraId="33D115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w:t>
            </w:r>
          </w:p>
        </w:tc>
        <w:tc>
          <w:tcPr>
            <w:tcW w:w="5749" w:type="dxa"/>
            <w:tcBorders>
              <w:bottom w:val="single" w:sz="12" w:space="0" w:color="auto"/>
            </w:tcBorders>
          </w:tcPr>
          <w:p w14:paraId="7736D1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октября</w:t>
            </w:r>
          </w:p>
        </w:tc>
      </w:tr>
    </w:tbl>
    <w:p w14:paraId="343841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(1277).</w:t>
      </w:r>
    </w:p>
    <w:p w14:paraId="6D4552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Интересно, что нет Ил-2</w:t>
      </w:r>
    </w:p>
    <w:p w14:paraId="17891CF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227FA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27 августа по 18 сентября 1940 года на самолете И-21 экземпляр № 1 до принятия самолета на госиспытания, в порядке заводских испытаний было сделано 5 полетов летчиками НИИ ВВС, во время которых была выявлена недостаточная поперечная устойчивость самолета, как в продольном отношении, так и отношении пути.</w:t>
      </w:r>
    </w:p>
    <w:p w14:paraId="52C6CB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Неустойчивость в продольном отношении самолет имел из-за чрезвычайно задней центровки (34% САХ).</w:t>
      </w:r>
    </w:p>
    <w:p w14:paraId="2F7425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целью улучшения продольной устойчивости, центровка была искусственно доведена до 29% САХ при убранном шасси, однако и при этой центровке самолет остался неустойчивым в продольном отношении.</w:t>
      </w:r>
    </w:p>
    <w:p w14:paraId="15DDB5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максимальных скоростей на расчетной высоте, получены значительно меньшие скорости, чем по заводским данным, а именно:</w:t>
      </w:r>
    </w:p>
    <w:p w14:paraId="757F3E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данным завода № 21 V максимальная – 628 км/час на гр. высоте</w:t>
      </w:r>
    </w:p>
    <w:p w14:paraId="2D9CF7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данным НИИ ВВС V максимальная – 559 км/час на гр. высоте</w:t>
      </w:r>
    </w:p>
    <w:p w14:paraId="79DF97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выявленных дефектов самолет на госиспытания принят не был и отправлен на завод № 21 для доводки (4189,144-171).</w:t>
      </w:r>
    </w:p>
    <w:p w14:paraId="11BCA09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C69BA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27 августа 1940 г. начались государственные испытания И-16 тип 29 № 2721Г95 - переде</w:t>
      </w:r>
      <w:r w:rsidRPr="00DB5D0D">
        <w:rPr>
          <w:rFonts w:ascii="Times New Roman" w:hAnsi="Times New Roman"/>
          <w:color w:val="000000" w:themeColor="text1"/>
          <w:sz w:val="16"/>
          <w:szCs w:val="16"/>
        </w:rPr>
        <w:softHyphen/>
        <w:t>ланный из И-16 тип 27. Главная особенность его конструкции - синхронное вооружение, состоящее из двух пулеметов ШКАС и од</w:t>
      </w:r>
      <w:r w:rsidRPr="00DB5D0D">
        <w:rPr>
          <w:rFonts w:ascii="Times New Roman" w:hAnsi="Times New Roman"/>
          <w:color w:val="000000" w:themeColor="text1"/>
          <w:sz w:val="16"/>
          <w:szCs w:val="16"/>
        </w:rPr>
        <w:softHyphen/>
        <w:t>ного БС - была обусловлена рекомендациями ВВС, сде</w:t>
      </w:r>
      <w:r w:rsidRPr="00DB5D0D">
        <w:rPr>
          <w:rFonts w:ascii="Times New Roman" w:hAnsi="Times New Roman"/>
          <w:color w:val="000000" w:themeColor="text1"/>
          <w:sz w:val="16"/>
          <w:szCs w:val="16"/>
        </w:rPr>
        <w:softHyphen/>
        <w:t>ланными в конце 1939 г. по новому стандарту вооружения, согласно которому в качестве основного оружия на истребителях должны устанавливаться круп</w:t>
      </w:r>
      <w:r w:rsidRPr="00DB5D0D">
        <w:rPr>
          <w:rFonts w:ascii="Times New Roman" w:hAnsi="Times New Roman"/>
          <w:color w:val="000000" w:themeColor="text1"/>
          <w:sz w:val="16"/>
          <w:szCs w:val="16"/>
        </w:rPr>
        <w:softHyphen/>
        <w:t>нокалиберные пулеметы Березина. Предполагалось, что путем замены ствола в дальнейшем удастся быстро со</w:t>
      </w:r>
      <w:r w:rsidRPr="00DB5D0D">
        <w:rPr>
          <w:rFonts w:ascii="Times New Roman" w:hAnsi="Times New Roman"/>
          <w:color w:val="000000" w:themeColor="text1"/>
          <w:sz w:val="16"/>
          <w:szCs w:val="16"/>
        </w:rPr>
        <w:softHyphen/>
        <w:t>здать при тех же габаритах пушку, превосходящую ШВАК, и ее можно будет довольно просто установить вместо БС на боевых самолетах. Крупнокалиберный пулемет БС крепился снизу фю</w:t>
      </w:r>
      <w:r w:rsidRPr="00DB5D0D">
        <w:rPr>
          <w:rFonts w:ascii="Times New Roman" w:hAnsi="Times New Roman"/>
          <w:color w:val="000000" w:themeColor="text1"/>
          <w:sz w:val="16"/>
          <w:szCs w:val="16"/>
        </w:rPr>
        <w:softHyphen/>
        <w:t>зеляжа к лонжеронам крыла. При этом учитывался опыт разработки опытных модификаций И-16 с двумя синхронными ТКБ-150 и ШВАК.</w:t>
      </w:r>
    </w:p>
    <w:p w14:paraId="4F2339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установкой пулемета в конструкцию И-16 ввели следующие изменения:</w:t>
      </w:r>
    </w:p>
    <w:p w14:paraId="1561CE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Для того, чтобы увеличить расстояние между ко</w:t>
      </w:r>
      <w:r w:rsidRPr="00DB5D0D">
        <w:rPr>
          <w:rFonts w:ascii="Times New Roman" w:hAnsi="Times New Roman"/>
          <w:color w:val="000000" w:themeColor="text1"/>
          <w:sz w:val="16"/>
          <w:szCs w:val="16"/>
        </w:rPr>
        <w:softHyphen/>
        <w:t>лесами в убранном положении, высота шасси уменьше</w:t>
      </w:r>
      <w:r w:rsidRPr="00DB5D0D">
        <w:rPr>
          <w:rFonts w:ascii="Times New Roman" w:hAnsi="Times New Roman"/>
          <w:color w:val="000000" w:themeColor="text1"/>
          <w:sz w:val="16"/>
          <w:szCs w:val="16"/>
        </w:rPr>
        <w:softHyphen/>
        <w:t>на на 32 мм. Соответственно укорочены боковые и задние подкосы шасси.</w:t>
      </w:r>
    </w:p>
    <w:p w14:paraId="643327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Поставлен новый бензиновый бак емкостью 240 л, изменено расстояние между рамами (шпангоутами) № 1 и № 2 для размещения бензобака.</w:t>
      </w:r>
    </w:p>
    <w:p w14:paraId="196DEC7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Поставлена новая нулевая нервюра и нервюра № 3. Конструкция нервюр № 1 и № 2 изменена.</w:t>
      </w:r>
    </w:p>
    <w:p w14:paraId="2915B4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Изменена конструкция пола кабины.</w:t>
      </w:r>
    </w:p>
    <w:p w14:paraId="40AC05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 нижней части фюзеляжа уставлены узлы креп</w:t>
      </w:r>
      <w:r w:rsidRPr="00DB5D0D">
        <w:rPr>
          <w:rFonts w:ascii="Times New Roman" w:hAnsi="Times New Roman"/>
          <w:color w:val="000000" w:themeColor="text1"/>
          <w:sz w:val="16"/>
          <w:szCs w:val="16"/>
        </w:rPr>
        <w:softHyphen/>
        <w:t>ления пулемета БС и закрывающий его обтекатель.</w:t>
      </w:r>
    </w:p>
    <w:p w14:paraId="224D33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Изменены куполы под шасси.</w:t>
      </w:r>
    </w:p>
    <w:p w14:paraId="06B9D8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Масляный радиатор убран с низа фюзеляжа и по</w:t>
      </w:r>
      <w:r w:rsidRPr="00DB5D0D">
        <w:rPr>
          <w:rFonts w:ascii="Times New Roman" w:hAnsi="Times New Roman"/>
          <w:color w:val="000000" w:themeColor="text1"/>
          <w:sz w:val="16"/>
          <w:szCs w:val="16"/>
        </w:rPr>
        <w:softHyphen/>
        <w:t>ставлен с правой стороны, сзади четвертого цилиндра мотора. Патрубок, подводящий охлаждающий воздух, пропущен между четвертым и пятым цилиндрами мо</w:t>
      </w:r>
      <w:r w:rsidRPr="00DB5D0D">
        <w:rPr>
          <w:rFonts w:ascii="Times New Roman" w:hAnsi="Times New Roman"/>
          <w:color w:val="000000" w:themeColor="text1"/>
          <w:sz w:val="16"/>
          <w:szCs w:val="16"/>
        </w:rPr>
        <w:softHyphen/>
        <w:t>тора; патрубок, отводящий воздух из радиатора, выве</w:t>
      </w:r>
      <w:r w:rsidRPr="00DB5D0D">
        <w:rPr>
          <w:rFonts w:ascii="Times New Roman" w:hAnsi="Times New Roman"/>
          <w:color w:val="000000" w:themeColor="text1"/>
          <w:sz w:val="16"/>
          <w:szCs w:val="16"/>
        </w:rPr>
        <w:softHyphen/>
        <w:t>ден к вырезу на правой боковой крышке капота снизу у перехода на центроплан. Вырезано окно на кольце капо</w:t>
      </w:r>
      <w:r w:rsidRPr="00DB5D0D">
        <w:rPr>
          <w:rFonts w:ascii="Times New Roman" w:hAnsi="Times New Roman"/>
          <w:color w:val="000000" w:themeColor="text1"/>
          <w:sz w:val="16"/>
          <w:szCs w:val="16"/>
        </w:rPr>
        <w:softHyphen/>
        <w:t>та между окнами четвертого и пятого цилиндров мото</w:t>
      </w:r>
      <w:r w:rsidRPr="00DB5D0D">
        <w:rPr>
          <w:rFonts w:ascii="Times New Roman" w:hAnsi="Times New Roman"/>
          <w:color w:val="000000" w:themeColor="text1"/>
          <w:sz w:val="16"/>
          <w:szCs w:val="16"/>
        </w:rPr>
        <w:softHyphen/>
        <w:t>ра под подводящий патрубок маслорадиатора.</w:t>
      </w:r>
    </w:p>
    <w:p w14:paraId="22B9372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Сняты крыльевые пулеметы.</w:t>
      </w:r>
    </w:p>
    <w:p w14:paraId="36861E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Усилена ручка управления самолетом.</w:t>
      </w:r>
    </w:p>
    <w:p w14:paraId="524AF3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Установлена приборная доска с фалыппанелью для мягкого и равномерного освещения приборов.</w:t>
      </w:r>
    </w:p>
    <w:p w14:paraId="20701BE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Выполнены другие, более мелкие доработки.</w:t>
      </w:r>
    </w:p>
    <w:p w14:paraId="07EB7F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быстро, после завершения лишь первого этапа заводских испытаний, запустили в серийное про</w:t>
      </w:r>
      <w:r w:rsidRPr="00DB5D0D">
        <w:rPr>
          <w:rFonts w:ascii="Times New Roman" w:hAnsi="Times New Roman"/>
          <w:color w:val="000000" w:themeColor="text1"/>
          <w:sz w:val="16"/>
          <w:szCs w:val="16"/>
        </w:rPr>
        <w:softHyphen/>
        <w:t>изводство (10667).</w:t>
      </w:r>
    </w:p>
    <w:p w14:paraId="708C0F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госиспытаниях И-16 тип 29 № 292116 при взлет</w:t>
      </w:r>
      <w:r w:rsidRPr="00DB5D0D">
        <w:rPr>
          <w:rFonts w:ascii="Times New Roman" w:hAnsi="Times New Roman"/>
          <w:color w:val="000000" w:themeColor="text1"/>
          <w:sz w:val="16"/>
          <w:szCs w:val="16"/>
        </w:rPr>
        <w:softHyphen/>
        <w:t>ном весе 1940 кг (без радиостанции, РС, подвесных ба</w:t>
      </w:r>
      <w:r w:rsidRPr="00DB5D0D">
        <w:rPr>
          <w:rFonts w:ascii="Times New Roman" w:hAnsi="Times New Roman"/>
          <w:color w:val="000000" w:themeColor="text1"/>
          <w:sz w:val="16"/>
          <w:szCs w:val="16"/>
        </w:rPr>
        <w:softHyphen/>
        <w:t>ков) показал максимальную скорость у земли 419 км/ч и 470 км/ч на границе высотности, а с радиостанцией, при взлетном весе 1966 кг - соответственно 408 км/ч и 461 км/ч, т.е. ниже, чем опытный И-16 тип 24, несмотря на лучшую аэродинамику. Причина кроется в недо</w:t>
      </w:r>
      <w:r w:rsidRPr="00DB5D0D">
        <w:rPr>
          <w:rFonts w:ascii="Times New Roman" w:hAnsi="Times New Roman"/>
          <w:color w:val="000000" w:themeColor="text1"/>
          <w:sz w:val="16"/>
          <w:szCs w:val="16"/>
        </w:rPr>
        <w:softHyphen/>
        <w:t>статочно хорошем производственном исполнении са</w:t>
      </w:r>
      <w:r w:rsidRPr="00DB5D0D">
        <w:rPr>
          <w:rFonts w:ascii="Times New Roman" w:hAnsi="Times New Roman"/>
          <w:color w:val="000000" w:themeColor="text1"/>
          <w:sz w:val="16"/>
          <w:szCs w:val="16"/>
        </w:rPr>
        <w:softHyphen/>
        <w:t>молета, в нестабильных характеристиках мотора, в пониженном КПД винта (особенно на второй границе высотности). При сохранении КПД винта на уровне 72 % максимальная скорость истребителя составила бы 505-510 км/ч (10667).</w:t>
      </w:r>
    </w:p>
    <w:p w14:paraId="484E483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34F749" w14:textId="77777777" w:rsidR="006C2BA1" w:rsidRPr="00DB5D0D" w:rsidRDefault="006C2BA1" w:rsidP="00DB5D0D">
      <w:pPr>
        <w:pStyle w:val="a8"/>
        <w:jc w:val="both"/>
        <w:rPr>
          <w:rFonts w:ascii="Times New Roman" w:hAnsi="Times New Roman" w:cs="Times New Roman"/>
          <w:color w:val="000000" w:themeColor="text1"/>
        </w:rPr>
      </w:pPr>
      <w:r w:rsidRPr="00DB5D0D">
        <w:rPr>
          <w:rFonts w:ascii="Times New Roman" w:hAnsi="Times New Roman" w:cs="Times New Roman"/>
          <w:color w:val="000000" w:themeColor="text1"/>
        </w:rPr>
        <w:t>27 августа 1940 г. истребитель И-16 со всеми изменениями № 292116, оснащенный двигателем М-63 № 631698, поступил в НИИ ВВС Испытывали его с различными составами оборудования и навесного вооружения, в зависимости от чего взлетная масса изменялась от 1940 кг до 2115 кг. В наиболее легком варианте удалось получить максимальную скорость 470 км/ч на высоте 4480 м (19109).</w:t>
      </w:r>
    </w:p>
    <w:p w14:paraId="50FFAA26" w14:textId="77777777" w:rsidR="006C2BA1" w:rsidRPr="00DB5D0D" w:rsidRDefault="006C2BA1" w:rsidP="00DB5D0D">
      <w:pPr>
        <w:pStyle w:val="a8"/>
        <w:jc w:val="both"/>
        <w:rPr>
          <w:rFonts w:ascii="Times New Roman" w:hAnsi="Times New Roman" w:cs="Times New Roman"/>
          <w:color w:val="000000" w:themeColor="text1"/>
        </w:rPr>
      </w:pPr>
    </w:p>
    <w:p w14:paraId="7B2F4C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27 августа по 4 октября 1940 года проходили гос. испытания серийного самолета И-16 с М-63 тип 29 № 292116 постройки завода № 21</w:t>
      </w:r>
    </w:p>
    <w:p w14:paraId="60A006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76195D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1 отделения 1 отдела НИИ в/инженер 1 ранга Воеводин</w:t>
      </w:r>
    </w:p>
    <w:p w14:paraId="4633A5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 в/инженер 3 ранга Рабкин</w:t>
      </w:r>
    </w:p>
    <w:p w14:paraId="4652D0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 майор Груздев</w:t>
      </w:r>
    </w:p>
    <w:p w14:paraId="722540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A162E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Дать оценку самолету И16 М63 тип 29, как эталону 2-й половины 1940 года с точки зрения соответствия самолета т.т.т. и выполнения заводом указанных данных НИИ ВВС в предшествующих отчетах о гос. испытаниях И-16 для чего:</w:t>
      </w:r>
    </w:p>
    <w:p w14:paraId="5FF08228"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Определить летные данные самолета.</w:t>
      </w:r>
    </w:p>
    <w:p w14:paraId="28BE1A8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вооружения самолета.</w:t>
      </w:r>
    </w:p>
    <w:p w14:paraId="200CEA17"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установки РСИ-3.</w:t>
      </w:r>
    </w:p>
    <w:p w14:paraId="2A7D328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работу спецоборудования самолета.</w:t>
      </w:r>
    </w:p>
    <w:p w14:paraId="2008F58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устранение ранее обнаруженных на самолете И-16 дефектов.</w:t>
      </w:r>
    </w:p>
    <w:p w14:paraId="12C13A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И-16 типа «29» с мотором М-63 представляет собой дальнейшую модификацию серийного самолета И-16.</w:t>
      </w:r>
    </w:p>
    <w:p w14:paraId="19ED37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отличия заключаются в вооружении (имеется новая установка пулемета БС) и в спецоборудовании (имеется приемная радиостанция с жесткой антенной). Последнее повлекло за собой ряд конструктивных изменений по самолету в целом.</w:t>
      </w:r>
    </w:p>
    <w:p w14:paraId="3C80D4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 И-16 тип «29» состоит из: 2-х синхронных пулеметов Шкас калибра 7,62 мм, синхронного пулемета БС калибра 12,7 мм, 6-ти реактивных орудий для РС-ов калибра 82 мм и фотокинопулемета ПАУ-22.</w:t>
      </w:r>
    </w:p>
    <w:p w14:paraId="355FA0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И-16 № 292116 проходил испытания в трех вариантах:</w:t>
      </w:r>
    </w:p>
    <w:p w14:paraId="30A952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вариант – с радиомачтой и антенной, с РО, без РС (реактивных снарядов) и без подвесных бензобаков. Полетный вес при этом – 1966 кг. В этом варианте сделано 39 полетов общей продолжительностью 13 час. 24 мин.</w:t>
      </w:r>
    </w:p>
    <w:p w14:paraId="6AC0C4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вариант – с радиомачтой и антенной, с РО, без РС, с подвесными бензобаками. Полетный вес при этом – 2115 кг. В этом варианте сделано 4 полета, общей продолжительностью 3 час. 32 мин.</w:t>
      </w:r>
    </w:p>
    <w:p w14:paraId="004DE6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3-й вариант – без радиомачты и антенны, без РО, без РС, без подвесных бензобаков. Полетный вес при этом 1940 кг. В этом варианте сделано 12 полетов, общей продолжительностью 6 час. 28 мин.</w:t>
      </w:r>
    </w:p>
    <w:p w14:paraId="478F77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сделано 55 полетов продолжительностью 23 час. 24 мин.</w:t>
      </w:r>
    </w:p>
    <w:p w14:paraId="65EE88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Заключение</w:t>
      </w:r>
    </w:p>
    <w:p w14:paraId="0AE74EE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что самолет И-16 с М-63 тип «29», эталон для 2-й половины 1940 года испытания выдержал.</w:t>
      </w:r>
    </w:p>
    <w:p w14:paraId="66CA62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Календарь испытаний самолета И-16 тип 29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7D5DF8" w:rsidRPr="00DB5D0D" w14:paraId="0ECD1EA4" w14:textId="77777777" w:rsidTr="00E543D0">
        <w:tc>
          <w:tcPr>
            <w:tcW w:w="1951" w:type="dxa"/>
            <w:tcBorders>
              <w:top w:val="single" w:sz="12" w:space="0" w:color="auto"/>
            </w:tcBorders>
          </w:tcPr>
          <w:p w14:paraId="7D38B5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года</w:t>
            </w:r>
          </w:p>
        </w:tc>
        <w:tc>
          <w:tcPr>
            <w:tcW w:w="8647" w:type="dxa"/>
            <w:tcBorders>
              <w:top w:val="single" w:sz="12" w:space="0" w:color="auto"/>
            </w:tcBorders>
          </w:tcPr>
          <w:p w14:paraId="03A93E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летом перегнан с завода № 21 в Чкаловскую. Полет продолжительностью 1 час. 37 мин.</w:t>
            </w:r>
          </w:p>
        </w:tc>
      </w:tr>
      <w:tr w:rsidR="007D5DF8" w:rsidRPr="00DB5D0D" w14:paraId="6FC4238B" w14:textId="77777777" w:rsidTr="00E543D0">
        <w:tc>
          <w:tcPr>
            <w:tcW w:w="1951" w:type="dxa"/>
          </w:tcPr>
          <w:p w14:paraId="6E1D25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года</w:t>
            </w:r>
          </w:p>
        </w:tc>
        <w:tc>
          <w:tcPr>
            <w:tcW w:w="8647" w:type="dxa"/>
          </w:tcPr>
          <w:p w14:paraId="6F3F70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Сделан полет по выявлению регулировки самолета.</w:t>
            </w:r>
          </w:p>
        </w:tc>
      </w:tr>
      <w:tr w:rsidR="007D5DF8" w:rsidRPr="00DB5D0D" w14:paraId="6BCF3301" w14:textId="77777777" w:rsidTr="00E543D0">
        <w:tc>
          <w:tcPr>
            <w:tcW w:w="1951" w:type="dxa"/>
          </w:tcPr>
          <w:p w14:paraId="529489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года</w:t>
            </w:r>
          </w:p>
        </w:tc>
        <w:tc>
          <w:tcPr>
            <w:tcW w:w="8647" w:type="dxa"/>
          </w:tcPr>
          <w:p w14:paraId="275E68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Сделан полет на скороподъемность до Н=5000 м и скорости по площадкам.</w:t>
            </w:r>
          </w:p>
        </w:tc>
      </w:tr>
      <w:tr w:rsidR="007D5DF8" w:rsidRPr="00DB5D0D" w14:paraId="37319224" w14:textId="77777777" w:rsidTr="00E543D0">
        <w:tc>
          <w:tcPr>
            <w:tcW w:w="1951" w:type="dxa"/>
          </w:tcPr>
          <w:p w14:paraId="06E491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года</w:t>
            </w:r>
          </w:p>
        </w:tc>
        <w:tc>
          <w:tcPr>
            <w:tcW w:w="8647" w:type="dxa"/>
          </w:tcPr>
          <w:p w14:paraId="099F16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r>
      <w:tr w:rsidR="007D5DF8" w:rsidRPr="00DB5D0D" w14:paraId="06EAA72B" w14:textId="77777777" w:rsidTr="00E543D0">
        <w:tc>
          <w:tcPr>
            <w:tcW w:w="1951" w:type="dxa"/>
          </w:tcPr>
          <w:p w14:paraId="03C044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года</w:t>
            </w:r>
          </w:p>
        </w:tc>
        <w:tc>
          <w:tcPr>
            <w:tcW w:w="8647" w:type="dxa"/>
          </w:tcPr>
          <w:p w14:paraId="0207F9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w:t>
            </w:r>
          </w:p>
        </w:tc>
      </w:tr>
      <w:tr w:rsidR="007D5DF8" w:rsidRPr="00DB5D0D" w14:paraId="4153F2CD" w14:textId="77777777" w:rsidTr="00E543D0">
        <w:tc>
          <w:tcPr>
            <w:tcW w:w="1951" w:type="dxa"/>
          </w:tcPr>
          <w:p w14:paraId="731BD3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сентября 1940 года</w:t>
            </w:r>
          </w:p>
        </w:tc>
        <w:tc>
          <w:tcPr>
            <w:tcW w:w="8647" w:type="dxa"/>
          </w:tcPr>
          <w:p w14:paraId="0D9251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скороподъемности до Н=5000 м и скоростей на площадках.</w:t>
            </w:r>
          </w:p>
        </w:tc>
      </w:tr>
      <w:tr w:rsidR="007D5DF8" w:rsidRPr="00DB5D0D" w14:paraId="171C6E72" w14:textId="77777777" w:rsidTr="00E543D0">
        <w:tc>
          <w:tcPr>
            <w:tcW w:w="1951" w:type="dxa"/>
          </w:tcPr>
          <w:p w14:paraId="4C9668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сентября 1940 года</w:t>
            </w:r>
          </w:p>
        </w:tc>
        <w:tc>
          <w:tcPr>
            <w:tcW w:w="8647" w:type="dxa"/>
          </w:tcPr>
          <w:p w14:paraId="4137DC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маневренности в горизонтальной плоскости.</w:t>
            </w:r>
          </w:p>
        </w:tc>
      </w:tr>
      <w:tr w:rsidR="007D5DF8" w:rsidRPr="00DB5D0D" w14:paraId="4EC4C36F" w14:textId="77777777" w:rsidTr="00E543D0">
        <w:tc>
          <w:tcPr>
            <w:tcW w:w="1951" w:type="dxa"/>
          </w:tcPr>
          <w:p w14:paraId="38C5C3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сентября 1940 года</w:t>
            </w:r>
          </w:p>
        </w:tc>
        <w:tc>
          <w:tcPr>
            <w:tcW w:w="8647" w:type="dxa"/>
          </w:tcPr>
          <w:p w14:paraId="15F6B9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Тренировочные полеты Стефановского – 2 посадки.</w:t>
            </w:r>
          </w:p>
          <w:p w14:paraId="35490E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Тренировочные полеты Груздева – 3 посадки.</w:t>
            </w:r>
          </w:p>
        </w:tc>
      </w:tr>
      <w:tr w:rsidR="007D5DF8" w:rsidRPr="00DB5D0D" w14:paraId="7A0976B4" w14:textId="77777777" w:rsidTr="00E543D0">
        <w:tc>
          <w:tcPr>
            <w:tcW w:w="1951" w:type="dxa"/>
          </w:tcPr>
          <w:p w14:paraId="6D8A69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сентября 1940 года</w:t>
            </w:r>
          </w:p>
        </w:tc>
        <w:tc>
          <w:tcPr>
            <w:tcW w:w="8647" w:type="dxa"/>
          </w:tcPr>
          <w:p w14:paraId="71F25D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отстрел пулеметов Шкас.</w:t>
            </w:r>
          </w:p>
        </w:tc>
      </w:tr>
      <w:tr w:rsidR="007D5DF8" w:rsidRPr="00DB5D0D" w14:paraId="1FC3EB25" w14:textId="77777777" w:rsidTr="00E543D0">
        <w:tc>
          <w:tcPr>
            <w:tcW w:w="1951" w:type="dxa"/>
          </w:tcPr>
          <w:p w14:paraId="581BC7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сентября 1940 года</w:t>
            </w:r>
          </w:p>
        </w:tc>
        <w:tc>
          <w:tcPr>
            <w:tcW w:w="8647" w:type="dxa"/>
          </w:tcPr>
          <w:p w14:paraId="3CB250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отстрел пулеметов Шкас на автоматику.</w:t>
            </w:r>
          </w:p>
        </w:tc>
      </w:tr>
      <w:tr w:rsidR="007D5DF8" w:rsidRPr="00DB5D0D" w14:paraId="518584AD" w14:textId="77777777" w:rsidTr="00E543D0">
        <w:tc>
          <w:tcPr>
            <w:tcW w:w="1951" w:type="dxa"/>
          </w:tcPr>
          <w:p w14:paraId="3A20AE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сентября 1940 года</w:t>
            </w:r>
          </w:p>
        </w:tc>
        <w:tc>
          <w:tcPr>
            <w:tcW w:w="8647" w:type="dxa"/>
          </w:tcPr>
          <w:p w14:paraId="12E0B4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отстрел пулемета БС по мишени.</w:t>
            </w:r>
          </w:p>
        </w:tc>
      </w:tr>
      <w:tr w:rsidR="007D5DF8" w:rsidRPr="00DB5D0D" w14:paraId="0C87CC6C" w14:textId="77777777" w:rsidTr="00E543D0">
        <w:tc>
          <w:tcPr>
            <w:tcW w:w="1951" w:type="dxa"/>
          </w:tcPr>
          <w:p w14:paraId="0A3FB7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сентября 1940 года</w:t>
            </w:r>
          </w:p>
        </w:tc>
        <w:tc>
          <w:tcPr>
            <w:tcW w:w="8647" w:type="dxa"/>
          </w:tcPr>
          <w:p w14:paraId="495CE9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тренировочный на определение скороподъемности до Н=4000 м и отстрел из пулемета БС.</w:t>
            </w:r>
          </w:p>
        </w:tc>
      </w:tr>
      <w:tr w:rsidR="007D5DF8" w:rsidRPr="00DB5D0D" w14:paraId="5F823B86" w14:textId="77777777" w:rsidTr="00E543D0">
        <w:tc>
          <w:tcPr>
            <w:tcW w:w="1951" w:type="dxa"/>
          </w:tcPr>
          <w:p w14:paraId="50BA07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сентября 1940 года</w:t>
            </w:r>
          </w:p>
        </w:tc>
        <w:tc>
          <w:tcPr>
            <w:tcW w:w="8647" w:type="dxa"/>
          </w:tcPr>
          <w:p w14:paraId="0BAF4F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отстрел пулеметов Шкас на автоматику Н=6000 м.</w:t>
            </w:r>
          </w:p>
        </w:tc>
      </w:tr>
      <w:tr w:rsidR="007D5DF8" w:rsidRPr="00DB5D0D" w14:paraId="330BB105" w14:textId="77777777" w:rsidTr="00E543D0">
        <w:tc>
          <w:tcPr>
            <w:tcW w:w="1951" w:type="dxa"/>
          </w:tcPr>
          <w:p w14:paraId="22327B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сентября 1940 года</w:t>
            </w:r>
          </w:p>
        </w:tc>
        <w:tc>
          <w:tcPr>
            <w:tcW w:w="8647" w:type="dxa"/>
          </w:tcPr>
          <w:p w14:paraId="05C6B4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сопровождение самолета И-200 выполнявшего задание по штопору.</w:t>
            </w:r>
          </w:p>
        </w:tc>
      </w:tr>
      <w:tr w:rsidR="007D5DF8" w:rsidRPr="00DB5D0D" w14:paraId="61D80E3E" w14:textId="77777777" w:rsidTr="00E543D0">
        <w:tc>
          <w:tcPr>
            <w:tcW w:w="1951" w:type="dxa"/>
          </w:tcPr>
          <w:p w14:paraId="6292D9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сентября 1940 года</w:t>
            </w:r>
          </w:p>
        </w:tc>
        <w:tc>
          <w:tcPr>
            <w:tcW w:w="8647" w:type="dxa"/>
          </w:tcPr>
          <w:p w14:paraId="36A7E3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Н=6000 м на отстрел пулеметов Шкас на автоматику.</w:t>
            </w:r>
          </w:p>
        </w:tc>
      </w:tr>
      <w:tr w:rsidR="007D5DF8" w:rsidRPr="00DB5D0D" w14:paraId="17D45931" w14:textId="77777777" w:rsidTr="00E543D0">
        <w:tc>
          <w:tcPr>
            <w:tcW w:w="1951" w:type="dxa"/>
          </w:tcPr>
          <w:p w14:paraId="38A738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сентября 1940 года</w:t>
            </w:r>
          </w:p>
        </w:tc>
        <w:tc>
          <w:tcPr>
            <w:tcW w:w="8647" w:type="dxa"/>
          </w:tcPr>
          <w:p w14:paraId="023A76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дальности радиостанции.</w:t>
            </w:r>
          </w:p>
        </w:tc>
      </w:tr>
      <w:tr w:rsidR="007D5DF8" w:rsidRPr="00DB5D0D" w14:paraId="7A4E445C" w14:textId="77777777" w:rsidTr="00E543D0">
        <w:tc>
          <w:tcPr>
            <w:tcW w:w="1951" w:type="dxa"/>
          </w:tcPr>
          <w:p w14:paraId="486E73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сентября 1940 года</w:t>
            </w:r>
          </w:p>
        </w:tc>
        <w:tc>
          <w:tcPr>
            <w:tcW w:w="8647" w:type="dxa"/>
          </w:tcPr>
          <w:p w14:paraId="5044CB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отстрел пулемета БС.</w:t>
            </w:r>
          </w:p>
        </w:tc>
      </w:tr>
      <w:tr w:rsidR="007D5DF8" w:rsidRPr="00DB5D0D" w14:paraId="29103D50" w14:textId="77777777" w:rsidTr="00E543D0">
        <w:tc>
          <w:tcPr>
            <w:tcW w:w="1951" w:type="dxa"/>
          </w:tcPr>
          <w:p w14:paraId="27A184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сентября 1940 года</w:t>
            </w:r>
          </w:p>
        </w:tc>
        <w:tc>
          <w:tcPr>
            <w:tcW w:w="8647" w:type="dxa"/>
          </w:tcPr>
          <w:p w14:paraId="7A65A8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скороподъемности до Н=8000 м и скоростей по площадкам и отстрел Шкас на Н=8000 м.</w:t>
            </w:r>
          </w:p>
        </w:tc>
      </w:tr>
      <w:tr w:rsidR="007D5DF8" w:rsidRPr="00DB5D0D" w14:paraId="10CC78D3" w14:textId="77777777" w:rsidTr="00E543D0">
        <w:tc>
          <w:tcPr>
            <w:tcW w:w="1951" w:type="dxa"/>
          </w:tcPr>
          <w:p w14:paraId="6F0CEC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сентября 1940 года</w:t>
            </w:r>
          </w:p>
        </w:tc>
        <w:tc>
          <w:tcPr>
            <w:tcW w:w="8647" w:type="dxa"/>
          </w:tcPr>
          <w:p w14:paraId="5DD6B4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вертикальную маневренность Н=3000 м.</w:t>
            </w:r>
          </w:p>
        </w:tc>
      </w:tr>
      <w:tr w:rsidR="007D5DF8" w:rsidRPr="00DB5D0D" w14:paraId="4D112E97" w14:textId="77777777" w:rsidTr="00E543D0">
        <w:tc>
          <w:tcPr>
            <w:tcW w:w="1951" w:type="dxa"/>
          </w:tcPr>
          <w:p w14:paraId="0F43FE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сентября 1940 года</w:t>
            </w:r>
          </w:p>
        </w:tc>
        <w:tc>
          <w:tcPr>
            <w:tcW w:w="8647" w:type="dxa"/>
          </w:tcPr>
          <w:p w14:paraId="3E7943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скорость по высотам до Н=5000 м без РО.</w:t>
            </w:r>
          </w:p>
        </w:tc>
      </w:tr>
      <w:tr w:rsidR="007D5DF8" w:rsidRPr="00DB5D0D" w14:paraId="6541B993" w14:textId="77777777" w:rsidTr="00E543D0">
        <w:tc>
          <w:tcPr>
            <w:tcW w:w="1951" w:type="dxa"/>
          </w:tcPr>
          <w:p w14:paraId="27353C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 сентября 1940 года</w:t>
            </w:r>
          </w:p>
        </w:tc>
        <w:tc>
          <w:tcPr>
            <w:tcW w:w="8647" w:type="dxa"/>
          </w:tcPr>
          <w:p w14:paraId="405A5A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Тренировочный полет Прошакова – 2 посадки.</w:t>
            </w:r>
          </w:p>
        </w:tc>
      </w:tr>
      <w:tr w:rsidR="007D5DF8" w:rsidRPr="00DB5D0D" w14:paraId="22A98733" w14:textId="77777777" w:rsidTr="00E543D0">
        <w:tc>
          <w:tcPr>
            <w:tcW w:w="1951" w:type="dxa"/>
          </w:tcPr>
          <w:p w14:paraId="25791E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сентября 1940 года</w:t>
            </w:r>
          </w:p>
        </w:tc>
        <w:tc>
          <w:tcPr>
            <w:tcW w:w="8647" w:type="dxa"/>
          </w:tcPr>
          <w:p w14:paraId="329BEB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 без РО.</w:t>
            </w:r>
          </w:p>
        </w:tc>
      </w:tr>
      <w:tr w:rsidR="007D5DF8" w:rsidRPr="00DB5D0D" w14:paraId="4C129CD5" w14:textId="77777777" w:rsidTr="00E543D0">
        <w:tc>
          <w:tcPr>
            <w:tcW w:w="1951" w:type="dxa"/>
          </w:tcPr>
          <w:p w14:paraId="5CB481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 сентября 1940 года</w:t>
            </w:r>
          </w:p>
        </w:tc>
        <w:tc>
          <w:tcPr>
            <w:tcW w:w="8647" w:type="dxa"/>
          </w:tcPr>
          <w:p w14:paraId="13E17A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скороподъемность и скорость по площадкам до Н=5000 м с подвесными бензобаками.</w:t>
            </w:r>
          </w:p>
        </w:tc>
      </w:tr>
      <w:tr w:rsidR="007D5DF8" w:rsidRPr="00DB5D0D" w14:paraId="28858093" w14:textId="77777777" w:rsidTr="00E543D0">
        <w:tc>
          <w:tcPr>
            <w:tcW w:w="1951" w:type="dxa"/>
          </w:tcPr>
          <w:p w14:paraId="011765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сентября 1940 года</w:t>
            </w:r>
          </w:p>
        </w:tc>
        <w:tc>
          <w:tcPr>
            <w:tcW w:w="8647" w:type="dxa"/>
          </w:tcPr>
          <w:p w14:paraId="79A776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скороподъемности с подвесными бензобаками до Н=5000 м.</w:t>
            </w:r>
          </w:p>
        </w:tc>
      </w:tr>
      <w:tr w:rsidR="007D5DF8" w:rsidRPr="00DB5D0D" w14:paraId="54829C53" w14:textId="77777777" w:rsidTr="00E543D0">
        <w:tc>
          <w:tcPr>
            <w:tcW w:w="1951" w:type="dxa"/>
          </w:tcPr>
          <w:p w14:paraId="24A24E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сентября 1940 года</w:t>
            </w:r>
          </w:p>
        </w:tc>
        <w:tc>
          <w:tcPr>
            <w:tcW w:w="8647" w:type="dxa"/>
          </w:tcPr>
          <w:p w14:paraId="019F3A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скороподъемности без РО и без подвесных бензобаков до Н=5000 м.</w:t>
            </w:r>
          </w:p>
        </w:tc>
      </w:tr>
      <w:tr w:rsidR="007D5DF8" w:rsidRPr="00DB5D0D" w14:paraId="097EED62" w14:textId="77777777" w:rsidTr="00E543D0">
        <w:tc>
          <w:tcPr>
            <w:tcW w:w="1951" w:type="dxa"/>
          </w:tcPr>
          <w:p w14:paraId="31B3FE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 сентября 1940 года</w:t>
            </w:r>
          </w:p>
        </w:tc>
        <w:tc>
          <w:tcPr>
            <w:tcW w:w="8647" w:type="dxa"/>
          </w:tcPr>
          <w:p w14:paraId="613000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Километраж с подвесными бензобаками.</w:t>
            </w:r>
          </w:p>
        </w:tc>
      </w:tr>
      <w:tr w:rsidR="007D5DF8" w:rsidRPr="00DB5D0D" w14:paraId="14B8F33A" w14:textId="77777777" w:rsidTr="00E543D0">
        <w:tc>
          <w:tcPr>
            <w:tcW w:w="1951" w:type="dxa"/>
          </w:tcPr>
          <w:p w14:paraId="656589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сентября 1940 года</w:t>
            </w:r>
          </w:p>
        </w:tc>
        <w:tc>
          <w:tcPr>
            <w:tcW w:w="8647" w:type="dxa"/>
          </w:tcPr>
          <w:p w14:paraId="0352A6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взлетно-посадочных свойств – 15 посадок (с доливкой горючего после первых 8 посадок).</w:t>
            </w:r>
          </w:p>
        </w:tc>
      </w:tr>
      <w:tr w:rsidR="007D5DF8" w:rsidRPr="00DB5D0D" w14:paraId="3F2D3E42" w14:textId="77777777" w:rsidTr="00E543D0">
        <w:tc>
          <w:tcPr>
            <w:tcW w:w="1951" w:type="dxa"/>
          </w:tcPr>
          <w:p w14:paraId="1657BB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 сентября 1940 года</w:t>
            </w:r>
          </w:p>
        </w:tc>
        <w:tc>
          <w:tcPr>
            <w:tcW w:w="8647" w:type="dxa"/>
          </w:tcPr>
          <w:p w14:paraId="3ECFA6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отстрел БС.</w:t>
            </w:r>
          </w:p>
        </w:tc>
      </w:tr>
      <w:tr w:rsidR="007D5DF8" w:rsidRPr="00DB5D0D" w14:paraId="2D9FD580" w14:textId="77777777" w:rsidTr="00E543D0">
        <w:tc>
          <w:tcPr>
            <w:tcW w:w="1951" w:type="dxa"/>
          </w:tcPr>
          <w:p w14:paraId="45BA3D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сентября 1940 года</w:t>
            </w:r>
          </w:p>
        </w:tc>
        <w:tc>
          <w:tcPr>
            <w:tcW w:w="8647" w:type="dxa"/>
          </w:tcPr>
          <w:p w14:paraId="14E844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теплового режима на высотном номинале. Полет без РО.</w:t>
            </w:r>
          </w:p>
        </w:tc>
      </w:tr>
      <w:tr w:rsidR="007D5DF8" w:rsidRPr="00DB5D0D" w14:paraId="4E7FD6CA" w14:textId="77777777" w:rsidTr="00E543D0">
        <w:tc>
          <w:tcPr>
            <w:tcW w:w="1951" w:type="dxa"/>
          </w:tcPr>
          <w:p w14:paraId="67CE66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октября 1940 года</w:t>
            </w:r>
          </w:p>
        </w:tc>
        <w:tc>
          <w:tcPr>
            <w:tcW w:w="8647" w:type="dxa"/>
          </w:tcPr>
          <w:p w14:paraId="744D24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 и отстрел пулемета БС.</w:t>
            </w:r>
          </w:p>
        </w:tc>
      </w:tr>
      <w:tr w:rsidR="007D5DF8" w:rsidRPr="00DB5D0D" w14:paraId="67C2BEA2" w14:textId="77777777" w:rsidTr="00E543D0">
        <w:tc>
          <w:tcPr>
            <w:tcW w:w="1951" w:type="dxa"/>
          </w:tcPr>
          <w:p w14:paraId="195FEB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октября 1940 года</w:t>
            </w:r>
          </w:p>
        </w:tc>
        <w:tc>
          <w:tcPr>
            <w:tcW w:w="8647" w:type="dxa"/>
          </w:tcPr>
          <w:p w14:paraId="0FDE8C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пикирование с высоты 5500 м до скорости Vпик=550 км/час.</w:t>
            </w:r>
          </w:p>
        </w:tc>
      </w:tr>
      <w:tr w:rsidR="007D5DF8" w:rsidRPr="00DB5D0D" w14:paraId="6401CCCF" w14:textId="77777777" w:rsidTr="00E543D0">
        <w:tc>
          <w:tcPr>
            <w:tcW w:w="1951" w:type="dxa"/>
          </w:tcPr>
          <w:p w14:paraId="35183C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октября 1940 года</w:t>
            </w:r>
          </w:p>
        </w:tc>
        <w:tc>
          <w:tcPr>
            <w:tcW w:w="8647" w:type="dxa"/>
          </w:tcPr>
          <w:p w14:paraId="7DDB60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на цель по щитам.</w:t>
            </w:r>
          </w:p>
        </w:tc>
      </w:tr>
      <w:tr w:rsidR="007D5DF8" w:rsidRPr="00DB5D0D" w14:paraId="38072A3D" w14:textId="77777777" w:rsidTr="00E543D0">
        <w:tc>
          <w:tcPr>
            <w:tcW w:w="1951" w:type="dxa"/>
          </w:tcPr>
          <w:p w14:paraId="341B10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октября 1940 года</w:t>
            </w:r>
          </w:p>
        </w:tc>
        <w:tc>
          <w:tcPr>
            <w:tcW w:w="8647" w:type="dxa"/>
          </w:tcPr>
          <w:p w14:paraId="0D595B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дальности радиостанции.</w:t>
            </w:r>
          </w:p>
        </w:tc>
      </w:tr>
      <w:tr w:rsidR="007D5DF8" w:rsidRPr="00DB5D0D" w14:paraId="0888FA52" w14:textId="77777777" w:rsidTr="00E543D0">
        <w:tc>
          <w:tcPr>
            <w:tcW w:w="1951" w:type="dxa"/>
          </w:tcPr>
          <w:p w14:paraId="05EC2D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октября 1940 года</w:t>
            </w:r>
          </w:p>
        </w:tc>
        <w:tc>
          <w:tcPr>
            <w:tcW w:w="8647" w:type="dxa"/>
          </w:tcPr>
          <w:p w14:paraId="508E92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отстрел пулемета БС на автоматику.</w:t>
            </w:r>
          </w:p>
        </w:tc>
      </w:tr>
      <w:tr w:rsidR="007D5DF8" w:rsidRPr="00DB5D0D" w14:paraId="5BCF9B7D" w14:textId="77777777" w:rsidTr="00E543D0">
        <w:tc>
          <w:tcPr>
            <w:tcW w:w="1951" w:type="dxa"/>
          </w:tcPr>
          <w:p w14:paraId="09F7D8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октября 1940 года</w:t>
            </w:r>
          </w:p>
        </w:tc>
        <w:tc>
          <w:tcPr>
            <w:tcW w:w="8647" w:type="dxa"/>
          </w:tcPr>
          <w:p w14:paraId="044165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пикирование с высоты 7000 м до скорости пикирования 600 км/час.</w:t>
            </w:r>
          </w:p>
        </w:tc>
      </w:tr>
      <w:tr w:rsidR="007D5DF8" w:rsidRPr="00DB5D0D" w14:paraId="5A89B52B" w14:textId="77777777" w:rsidTr="00E543D0">
        <w:tc>
          <w:tcPr>
            <w:tcW w:w="1951" w:type="dxa"/>
            <w:tcBorders>
              <w:bottom w:val="single" w:sz="12" w:space="0" w:color="auto"/>
            </w:tcBorders>
          </w:tcPr>
          <w:p w14:paraId="468CE1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октября 1940 года</w:t>
            </w:r>
          </w:p>
        </w:tc>
        <w:tc>
          <w:tcPr>
            <w:tcW w:w="8647" w:type="dxa"/>
            <w:tcBorders>
              <w:bottom w:val="single" w:sz="12" w:space="0" w:color="auto"/>
            </w:tcBorders>
          </w:tcPr>
          <w:p w14:paraId="25B2E1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Контрольный полет на определение границы высотности – скоростей по площадкам с загрузкой в 3-м варианте.</w:t>
            </w:r>
          </w:p>
        </w:tc>
      </w:tr>
    </w:tbl>
    <w:p w14:paraId="6FF819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(4534).</w:t>
      </w:r>
    </w:p>
    <w:p w14:paraId="1BF1464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22298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27 августа 1940 г. самолет И-16 с полностью введенными изменениями - И-16 №292116, с двигателем М-63 №631698, поступил на испытания в НИИ ВВС. </w:t>
      </w:r>
    </w:p>
    <w:p w14:paraId="544F4C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который стал именоваться И-16 тип 29, имел следующие основные отличия:</w:t>
      </w:r>
    </w:p>
    <w:p w14:paraId="01377C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Пулемет ВС разместили в пространстве между нишами шасси, ниже пояса переднего лонжерона центроплана, и сместили на 17 мм. Для установки магазина на 230-240 патронов вторую раму фюзеляжа передвинули на 54 мм. Для размещения пулемета ВС ниши шасси раздвинули - расстояние от вертикальной оси до оси колес в убранном положении увеличилось с 380 до 421 мм. Соответственно стойки шасси укоротили на 32 мм. а диаметр воздушною винта для обеспечения необходимого зазора с землей (268 мм) уменьшился до 2,7 м. Заметного изменения в тяге не наблюдалось, так как использовались лопасти шириной 250 мм ("уширенные"). Пространство между нишами шасси закрыли съемным обтекателем. который крепился шомполами и замками "Фейри". В связи с перечисленными переделками, изменилась обшивка центроплана.</w:t>
      </w:r>
    </w:p>
    <w:p w14:paraId="48A7BA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Маслораднатор, ранее размешенный по оси самолета, установили в пространстве между четвертым и пятым цилиндром мотора. Подводящий патрубок маслорадиатора перенесли соответственно в пространство между окнами этих цилиндров. Часть машин более поздних выпусков не имела патрубка, подвод воздуха осуществлялся через прорезные отверстия. В связи с переносом маслорадиатора снят ручной запуск мотора от инерционного стартера "РИ". </w:t>
      </w:r>
    </w:p>
    <w:p w14:paraId="65ACE9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Радиофицированные самолеты имели мачтовую антенну, установленную на правой части капота.</w:t>
      </w:r>
    </w:p>
    <w:p w14:paraId="35765D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И-16 к тип 29 полностью освободили от стрелкового и артиллерийского вооружения. Однако теперь под крылом устанавливали замки для подвесных баков и шесть ракетных орудий типа "флейта" (по три с каждой стороны) для установки ракетных неуправляемых снарядов РС-82</w:t>
      </w:r>
    </w:p>
    <w:p w14:paraId="18DFDC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день, в который машину перегнали с завода №21 в Чкаловскую, считался началом испытаний - они продолжались до 4 октября 1940 г. За этот период ведущий летчик майор Груздев. летчики облета Никашин и Стсфанов- ский всего выполнили 55 полетов.</w:t>
      </w:r>
    </w:p>
    <w:p w14:paraId="5F167F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отчете по испытаниям указывались все основные отличия от предыдущих типов И-16. Кроме тех, что уже были перечислены, отмечалось, что пулемет ВС имеет запас патронов 130-230 штук. ШКАСы: левый 475 патронов, правый 500 патронов. Радиостанция РСИ-3 с жесткой антенной, приемник радиостанции размещен под приборной доской. Самолет был оборудован подвесными баками (ПБ). ракетными орудиями (РО) на шесть реактивных снарядов (PC), кинофо- топулсметом ПАУ-22. Центровка для полетного веса 1966 кг составила 29.15% САХ.</w:t>
      </w:r>
    </w:p>
    <w:p w14:paraId="7D19F0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ходе испытаний зафиксировали следующие летные данные в зависимости от установки оборудования и снаряжения (1 вариант (антенна, РО без PC). 2 вариант (антенна, ПБ, РОбсз PC), 3 вариант (без антенны, ПБ. РО)):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D5DF8" w:rsidRPr="00DB5D0D" w14:paraId="47FB4B91" w14:textId="77777777" w:rsidTr="00E543D0">
        <w:tc>
          <w:tcPr>
            <w:tcW w:w="2802" w:type="dxa"/>
            <w:tcBorders>
              <w:top w:val="single" w:sz="12" w:space="0" w:color="auto"/>
            </w:tcBorders>
          </w:tcPr>
          <w:p w14:paraId="673BF5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кг</w:t>
            </w:r>
          </w:p>
        </w:tc>
        <w:tc>
          <w:tcPr>
            <w:tcW w:w="2802" w:type="dxa"/>
            <w:tcBorders>
              <w:top w:val="single" w:sz="12" w:space="0" w:color="auto"/>
            </w:tcBorders>
          </w:tcPr>
          <w:p w14:paraId="024189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1966</w:t>
            </w:r>
          </w:p>
        </w:tc>
        <w:tc>
          <w:tcPr>
            <w:tcW w:w="2802" w:type="dxa"/>
            <w:tcBorders>
              <w:top w:val="single" w:sz="12" w:space="0" w:color="auto"/>
            </w:tcBorders>
          </w:tcPr>
          <w:p w14:paraId="273AE4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2115</w:t>
            </w:r>
          </w:p>
        </w:tc>
        <w:tc>
          <w:tcPr>
            <w:tcW w:w="2802" w:type="dxa"/>
            <w:tcBorders>
              <w:top w:val="single" w:sz="12" w:space="0" w:color="auto"/>
            </w:tcBorders>
          </w:tcPr>
          <w:p w14:paraId="19680E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w:t>
            </w:r>
          </w:p>
        </w:tc>
      </w:tr>
      <w:tr w:rsidR="007D5DF8" w:rsidRPr="00DB5D0D" w14:paraId="432F0D01" w14:textId="77777777" w:rsidTr="00E543D0">
        <w:tc>
          <w:tcPr>
            <w:tcW w:w="2802" w:type="dxa"/>
          </w:tcPr>
          <w:p w14:paraId="0E8ECE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крыло. кг/м?</w:t>
            </w:r>
          </w:p>
        </w:tc>
        <w:tc>
          <w:tcPr>
            <w:tcW w:w="2802" w:type="dxa"/>
          </w:tcPr>
          <w:p w14:paraId="178EE9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135.2</w:t>
            </w:r>
          </w:p>
        </w:tc>
        <w:tc>
          <w:tcPr>
            <w:tcW w:w="2802" w:type="dxa"/>
          </w:tcPr>
          <w:p w14:paraId="60A289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146,1</w:t>
            </w:r>
          </w:p>
        </w:tc>
        <w:tc>
          <w:tcPr>
            <w:tcW w:w="2802" w:type="dxa"/>
          </w:tcPr>
          <w:p w14:paraId="5670DF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133,5</w:t>
            </w:r>
          </w:p>
        </w:tc>
      </w:tr>
      <w:tr w:rsidR="007D5DF8" w:rsidRPr="00DB5D0D" w14:paraId="0ADFDF54" w14:textId="77777777" w:rsidTr="00E543D0">
        <w:tc>
          <w:tcPr>
            <w:tcW w:w="2802" w:type="dxa"/>
          </w:tcPr>
          <w:p w14:paraId="7F12AD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 Н=0, км/ч</w:t>
            </w:r>
          </w:p>
        </w:tc>
        <w:tc>
          <w:tcPr>
            <w:tcW w:w="2802" w:type="dxa"/>
          </w:tcPr>
          <w:p w14:paraId="0A9D25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408</w:t>
            </w:r>
          </w:p>
        </w:tc>
        <w:tc>
          <w:tcPr>
            <w:tcW w:w="2802" w:type="dxa"/>
          </w:tcPr>
          <w:p w14:paraId="49B3A7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382</w:t>
            </w:r>
          </w:p>
        </w:tc>
        <w:tc>
          <w:tcPr>
            <w:tcW w:w="2802" w:type="dxa"/>
          </w:tcPr>
          <w:p w14:paraId="0C2F3A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419</w:t>
            </w:r>
          </w:p>
        </w:tc>
      </w:tr>
      <w:tr w:rsidR="007D5DF8" w:rsidRPr="00DB5D0D" w14:paraId="363CA1DB" w14:textId="77777777" w:rsidTr="00E543D0">
        <w:tc>
          <w:tcPr>
            <w:tcW w:w="2802" w:type="dxa"/>
          </w:tcPr>
          <w:p w14:paraId="49875A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макс.*, км/ч</w:t>
            </w:r>
          </w:p>
        </w:tc>
        <w:tc>
          <w:tcPr>
            <w:tcW w:w="2802" w:type="dxa"/>
          </w:tcPr>
          <w:p w14:paraId="68A9C6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461</w:t>
            </w:r>
          </w:p>
        </w:tc>
        <w:tc>
          <w:tcPr>
            <w:tcW w:w="2802" w:type="dxa"/>
          </w:tcPr>
          <w:p w14:paraId="543264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429</w:t>
            </w:r>
          </w:p>
        </w:tc>
        <w:tc>
          <w:tcPr>
            <w:tcW w:w="2802" w:type="dxa"/>
          </w:tcPr>
          <w:p w14:paraId="2C46E1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w:t>
            </w:r>
          </w:p>
        </w:tc>
      </w:tr>
      <w:tr w:rsidR="007D5DF8" w:rsidRPr="00DB5D0D" w14:paraId="60B74EBF" w14:textId="77777777" w:rsidTr="00E543D0">
        <w:tc>
          <w:tcPr>
            <w:tcW w:w="2802" w:type="dxa"/>
          </w:tcPr>
          <w:p w14:paraId="4F1A12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высоты 5000 м. мин</w:t>
            </w:r>
          </w:p>
        </w:tc>
        <w:tc>
          <w:tcPr>
            <w:tcW w:w="2802" w:type="dxa"/>
          </w:tcPr>
          <w:p w14:paraId="3639C9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w:t>
            </w:r>
          </w:p>
        </w:tc>
        <w:tc>
          <w:tcPr>
            <w:tcW w:w="2802" w:type="dxa"/>
          </w:tcPr>
          <w:p w14:paraId="61E123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7,25</w:t>
            </w:r>
          </w:p>
        </w:tc>
        <w:tc>
          <w:tcPr>
            <w:tcW w:w="2802" w:type="dxa"/>
          </w:tcPr>
          <w:p w14:paraId="1514F9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w:t>
            </w:r>
          </w:p>
        </w:tc>
      </w:tr>
      <w:tr w:rsidR="007D5DF8" w:rsidRPr="00DB5D0D" w14:paraId="0CE49BA7" w14:textId="77777777" w:rsidTr="00E543D0">
        <w:tc>
          <w:tcPr>
            <w:tcW w:w="2802" w:type="dxa"/>
          </w:tcPr>
          <w:p w14:paraId="7354E7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 м</w:t>
            </w:r>
          </w:p>
        </w:tc>
        <w:tc>
          <w:tcPr>
            <w:tcW w:w="2802" w:type="dxa"/>
          </w:tcPr>
          <w:p w14:paraId="1B33AC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Pr>
          <w:p w14:paraId="286D06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9800</w:t>
            </w:r>
          </w:p>
        </w:tc>
        <w:tc>
          <w:tcPr>
            <w:tcW w:w="2802" w:type="dxa"/>
          </w:tcPr>
          <w:p w14:paraId="79A368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72443F2" w14:textId="77777777" w:rsidTr="00E543D0">
        <w:tc>
          <w:tcPr>
            <w:tcW w:w="2802" w:type="dxa"/>
          </w:tcPr>
          <w:p w14:paraId="393415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 скорость со щитками, км/ч</w:t>
            </w:r>
          </w:p>
        </w:tc>
        <w:tc>
          <w:tcPr>
            <w:tcW w:w="2802" w:type="dxa"/>
          </w:tcPr>
          <w:p w14:paraId="1E1B8D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Pr>
          <w:p w14:paraId="220D3A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2802" w:type="dxa"/>
          </w:tcPr>
          <w:p w14:paraId="708771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F4C672D" w14:textId="77777777" w:rsidTr="00E543D0">
        <w:tc>
          <w:tcPr>
            <w:tcW w:w="2802" w:type="dxa"/>
          </w:tcPr>
          <w:p w14:paraId="654F69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 скорость без щитков, км/ч</w:t>
            </w:r>
          </w:p>
        </w:tc>
        <w:tc>
          <w:tcPr>
            <w:tcW w:w="2802" w:type="dxa"/>
          </w:tcPr>
          <w:p w14:paraId="3289F5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Pr>
          <w:p w14:paraId="7199D6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135,5</w:t>
            </w:r>
          </w:p>
        </w:tc>
        <w:tc>
          <w:tcPr>
            <w:tcW w:w="2802" w:type="dxa"/>
          </w:tcPr>
          <w:p w14:paraId="35B4AC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D64E6CD" w14:textId="77777777" w:rsidTr="00E543D0">
        <w:tc>
          <w:tcPr>
            <w:tcW w:w="2802" w:type="dxa"/>
          </w:tcPr>
          <w:p w14:paraId="611F0D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 на 1000 м. сек</w:t>
            </w:r>
          </w:p>
        </w:tc>
        <w:tc>
          <w:tcPr>
            <w:tcW w:w="2802" w:type="dxa"/>
          </w:tcPr>
          <w:p w14:paraId="7F6527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Pr>
          <w:p w14:paraId="66B363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2802" w:type="dxa"/>
          </w:tcPr>
          <w:p w14:paraId="0B036C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9E1E700" w14:textId="77777777" w:rsidTr="00E543D0">
        <w:tc>
          <w:tcPr>
            <w:tcW w:w="2802" w:type="dxa"/>
          </w:tcPr>
          <w:p w14:paraId="42F70A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с убранными щитками, м</w:t>
            </w:r>
          </w:p>
        </w:tc>
        <w:tc>
          <w:tcPr>
            <w:tcW w:w="2802" w:type="dxa"/>
          </w:tcPr>
          <w:p w14:paraId="1A5DD4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Pr>
          <w:p w14:paraId="1CA407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243</w:t>
            </w:r>
          </w:p>
        </w:tc>
        <w:tc>
          <w:tcPr>
            <w:tcW w:w="2802" w:type="dxa"/>
          </w:tcPr>
          <w:p w14:paraId="5BBC82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C6AF9DE" w14:textId="77777777" w:rsidTr="00E543D0">
        <w:tc>
          <w:tcPr>
            <w:tcW w:w="2802" w:type="dxa"/>
          </w:tcPr>
          <w:p w14:paraId="1A67D4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со щитками на 10°. м</w:t>
            </w:r>
          </w:p>
        </w:tc>
        <w:tc>
          <w:tcPr>
            <w:tcW w:w="2802" w:type="dxa"/>
          </w:tcPr>
          <w:p w14:paraId="1C4483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Pr>
          <w:p w14:paraId="0B6CA0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w:t>
            </w:r>
          </w:p>
        </w:tc>
        <w:tc>
          <w:tcPr>
            <w:tcW w:w="2802" w:type="dxa"/>
          </w:tcPr>
          <w:p w14:paraId="614D45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F752751" w14:textId="77777777" w:rsidTr="00E543D0">
        <w:tc>
          <w:tcPr>
            <w:tcW w:w="2802" w:type="dxa"/>
          </w:tcPr>
          <w:p w14:paraId="5F00A7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 со щитками и томозами, м</w:t>
            </w:r>
          </w:p>
        </w:tc>
        <w:tc>
          <w:tcPr>
            <w:tcW w:w="2802" w:type="dxa"/>
          </w:tcPr>
          <w:p w14:paraId="3734D0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Pr>
          <w:p w14:paraId="004205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2802" w:type="dxa"/>
          </w:tcPr>
          <w:p w14:paraId="7FCC66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C9F3EAB" w14:textId="77777777" w:rsidTr="00E543D0">
        <w:tc>
          <w:tcPr>
            <w:tcW w:w="2802" w:type="dxa"/>
          </w:tcPr>
          <w:p w14:paraId="2C7248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Достигнутая скорость пикирования, км/ч</w:t>
            </w:r>
          </w:p>
        </w:tc>
        <w:tc>
          <w:tcPr>
            <w:tcW w:w="2802" w:type="dxa"/>
          </w:tcPr>
          <w:p w14:paraId="374253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Pr>
          <w:p w14:paraId="068BBF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580</w:t>
            </w:r>
          </w:p>
        </w:tc>
        <w:tc>
          <w:tcPr>
            <w:tcW w:w="2802" w:type="dxa"/>
          </w:tcPr>
          <w:p w14:paraId="3A4DFA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FBB0775" w14:textId="77777777" w:rsidTr="00E543D0">
        <w:tc>
          <w:tcPr>
            <w:tcW w:w="2802" w:type="dxa"/>
            <w:tcBorders>
              <w:bottom w:val="single" w:sz="12" w:space="0" w:color="auto"/>
            </w:tcBorders>
          </w:tcPr>
          <w:p w14:paraId="6433FC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полета без ПБ на высоте 4700 м при 0.9 макс, скорости</w:t>
            </w:r>
          </w:p>
        </w:tc>
        <w:tc>
          <w:tcPr>
            <w:tcW w:w="2802" w:type="dxa"/>
            <w:tcBorders>
              <w:bottom w:val="single" w:sz="12" w:space="0" w:color="auto"/>
            </w:tcBorders>
          </w:tcPr>
          <w:p w14:paraId="396278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802" w:type="dxa"/>
            <w:tcBorders>
              <w:bottom w:val="single" w:sz="12" w:space="0" w:color="auto"/>
            </w:tcBorders>
          </w:tcPr>
          <w:p w14:paraId="11B0DE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510 км"*</w:t>
            </w:r>
          </w:p>
        </w:tc>
        <w:tc>
          <w:tcPr>
            <w:tcW w:w="2802" w:type="dxa"/>
            <w:tcBorders>
              <w:bottom w:val="single" w:sz="12" w:space="0" w:color="auto"/>
            </w:tcBorders>
          </w:tcPr>
          <w:p w14:paraId="495011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6519C5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 границе высотности двигателя (в первом случае 4350 м. затем 4150 м. И затем 4480 м)</w:t>
      </w:r>
    </w:p>
    <w:p w14:paraId="28B41F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отчете указана дальность для тип 24 М-63 </w:t>
      </w:r>
    </w:p>
    <w:p w14:paraId="2130FD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процессе испытаний не обошлось без происшествий. II сентября I940 г. в полете на максимальной скорости оторвалась часть капота, которая разбила козырек кабины пилота.</w:t>
      </w:r>
    </w:p>
    <w:p w14:paraId="6F7452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выводах по результатам испытаний указывалось, чю максимальная скорость с радиоантенной снизилась с 48I км/ч (И-16 тип 24) до 470 км/ч. Уменьшение скорости объяснялось ухудшением аэродинамики крыла, на котором появились дополнительные вырезы и люки. На пикировании скорость предлагалось ограничить до 550км/ч в связи с опасностью затягивания в пикирование.</w:t>
      </w:r>
    </w:p>
    <w:p w14:paraId="5C7C3C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целом считалось, что И-16 тип 29 государственные испытания выдержал и может внедряться в войска. Практически все построенные машины поступили на снабжение ВВС в зиму 1940-41 гг. Учит ывая, что эта зима оказалась на редкость снежная и слякотная. И-16 тип 29 в основной массе осваивались в войсках весной I94I г. Данное обстоятельство позволяет расценивать его в начальный период войны как один из новых истребителей воздушных сил Красной Армии (12015).</w:t>
      </w:r>
    </w:p>
    <w:p w14:paraId="2529BF8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A4C3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закончились заводские испытания УТИ-26 М-105П, которые проходили с 18 июля 1940 (2090,232).</w:t>
      </w:r>
    </w:p>
    <w:p w14:paraId="44E2829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0B840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Дир. завода 301 Эскин писал НКАП А.И.Ш. о том, что в этот день завод посетил г-л Михайлов и в его присутствии и в присутствии Эскина ст. военпред М.В.Тарко сказал: "Машина И-26 не годна и ее надо снять с вооружения, поскольку она конструктивно не доведена."</w:t>
      </w:r>
    </w:p>
    <w:p w14:paraId="779FCA2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81AC5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контролер Вахрушев - представитель КО СНК СССР - в журнале Учета выполнения постановлени правительства в отношении постановления КО N 235сс 1940 “Об организации серийного производства самолета И-26 конструкции Яковлева на заводе № 301” отметил:</w:t>
      </w:r>
    </w:p>
    <w:p w14:paraId="4619C9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29 августа вызвал директора завода № 301 т. Эскина для доклада о ходе производства с-та И-301 (10395).</w:t>
      </w:r>
    </w:p>
    <w:p w14:paraId="665FA8E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E02B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в Контрольном листе учета выполнения постановления КО СНК СССР № 113сс от 4 марта 1940 г. представителем КО СНК СССР - контролером Вахрушевым была сделана запись:</w:t>
      </w:r>
    </w:p>
    <w:p w14:paraId="78EB9E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И-28 Яценко</w:t>
      </w:r>
    </w:p>
    <w:p w14:paraId="023F4F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Перевод КБ т. Яценко в Саратов НКАП отменен в связи со снятием И-28 с производства з-да № 292. Работы по модификации прекращены и КБ сейчас разрабатывает проект нового самолета (10395,42).</w:t>
      </w:r>
    </w:p>
    <w:p w14:paraId="51E5BAC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53C14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контролер Вахрушев - представитель КО СНК СССР - в журнале Учета выполнения постановлени правительства в отношении постановления КО N 113сс 1940 “О модификации одномоторного истребителя И-28 конструкции тов. Яценко” отметил:</w:t>
      </w:r>
    </w:p>
    <w:p w14:paraId="1CFCB4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Перевод КБ т. Яценко отменен НКАПом в связи со снятием И-28 с производства на заводе № 292. Работы по модернизации прекращены и сейчас разрабатывается проект нового самолета (10395).</w:t>
      </w:r>
    </w:p>
    <w:p w14:paraId="259BCC6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FD34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в Контрольном листе учета выполнения постановления КО СНК СССР № 114сс от 4 марта 1940 г. представителем КО СНК СССР - контролером Вахрушевым была сделана запись:</w:t>
      </w:r>
    </w:p>
    <w:p w14:paraId="60C1DB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И-207 М-65Р</w:t>
      </w:r>
    </w:p>
    <w:p w14:paraId="081305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И-207 с М-65Р находится в общей сборке. Срок предъявления на госиспытания срывается из-за отсутствия М-65 (10395,42).</w:t>
      </w:r>
    </w:p>
    <w:p w14:paraId="5CC7F0A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D68CE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директор 21 завода Воронин сославшись на НКАП запретил полеты без соответствующих документов на УПО-21 конструкции А.А.Смолина, который под управлением л И.А.Квасов летал с 24 августа 1940. Стоял до 11 ноября 1940 зачехленным в ангаре (2080,182).</w:t>
      </w:r>
    </w:p>
    <w:p w14:paraId="38B9759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DE0664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года вышло Постановления КО при СНК СССР «О произ</w:t>
      </w:r>
      <w:r w:rsidRPr="00DB5D0D">
        <w:rPr>
          <w:rFonts w:ascii="Times New Roman" w:hAnsi="Times New Roman"/>
          <w:color w:val="000000" w:themeColor="text1"/>
          <w:sz w:val="16"/>
          <w:szCs w:val="16"/>
        </w:rPr>
        <w:softHyphen/>
        <w:t>водстве авиамоторов М-105 на Уфимском моторном заводе», подписанное председателем КО К Ворошиловым и секретарем КО М. Пугаевым и т.о. Т.о. по ходатайству А.И. Шахурина, НКАПу было разрешено организовать на Уфимском моторном заво</w:t>
      </w:r>
      <w:r w:rsidRPr="00DB5D0D">
        <w:rPr>
          <w:rFonts w:ascii="Times New Roman" w:hAnsi="Times New Roman"/>
          <w:color w:val="000000" w:themeColor="text1"/>
          <w:sz w:val="16"/>
          <w:szCs w:val="16"/>
        </w:rPr>
        <w:softHyphen/>
        <w:t>де производство двигателей М-105 вместо М-88, предписанных постановле</w:t>
      </w:r>
      <w:r w:rsidRPr="00DB5D0D">
        <w:rPr>
          <w:rFonts w:ascii="Times New Roman" w:hAnsi="Times New Roman"/>
          <w:color w:val="000000" w:themeColor="text1"/>
          <w:sz w:val="16"/>
          <w:szCs w:val="16"/>
        </w:rPr>
        <w:softHyphen/>
        <w:t>нием КО при СНК СССР №286 от 29 июня 1940 года (ГА РФ. Ф. 8418. Оп. 24. Д. 649- Л. 1.). П. 11 НКАП с Госпланом СССР обязывались в двухнедельный срок предоставить на утверж</w:t>
      </w:r>
      <w:r w:rsidRPr="00DB5D0D">
        <w:rPr>
          <w:rFonts w:ascii="Times New Roman" w:hAnsi="Times New Roman"/>
          <w:color w:val="000000" w:themeColor="text1"/>
          <w:sz w:val="16"/>
          <w:szCs w:val="16"/>
        </w:rPr>
        <w:softHyphen/>
        <w:t>дение Экономсовета при СНК СССР заявку на импортное оборудование, не</w:t>
      </w:r>
      <w:r w:rsidRPr="00DB5D0D">
        <w:rPr>
          <w:rFonts w:ascii="Times New Roman" w:hAnsi="Times New Roman"/>
          <w:color w:val="000000" w:themeColor="text1"/>
          <w:sz w:val="16"/>
          <w:szCs w:val="16"/>
        </w:rPr>
        <w:softHyphen/>
        <w:t>обходимое УМЗ для производства М-105 (ГА РФ. Ф. 8418. Оп. 24. Д. 649- Л. 3-6.). Спецификация от 15 августа 1940 года по импортному оборудованию насчитывала 372 станка различных ти</w:t>
      </w:r>
      <w:r w:rsidRPr="00DB5D0D">
        <w:rPr>
          <w:rFonts w:ascii="Times New Roman" w:hAnsi="Times New Roman"/>
          <w:color w:val="000000" w:themeColor="text1"/>
          <w:sz w:val="16"/>
          <w:szCs w:val="16"/>
        </w:rPr>
        <w:softHyphen/>
        <w:t>пов. Эти станки должны были поставить 30 фирм-производителей (ГА РФ. Ф. 8418. Оп. 24. Д. 649- Л. 86-89.). США, в частности, были представлены фирмами «Брайант», «Валькотт», «Лендис», «Нортон», «Пр. Витней», «Хилд», «Эксцелло» и др. (11710,242).</w:t>
      </w:r>
    </w:p>
    <w:p w14:paraId="64C0EF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8A5CB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года маршал Тимошенко писал письмо N 17257сс Ворошилову.</w:t>
      </w:r>
    </w:p>
    <w:p w14:paraId="6B8281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Инженером Вахмистровым с 1931 г. ведутся работы по конструированию приспособлений для подвески истребителей к тяжелым самолетам.</w:t>
      </w:r>
    </w:p>
    <w:p w14:paraId="08B8E3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Основная задача этих работ первоначально состояла в том, чтобы дать возможность истребителям сопровождать самолеты ТБ в дальнем полете, питая моторы истребителей горючим из баков ТБ.</w:t>
      </w:r>
    </w:p>
    <w:p w14:paraId="37F28D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опытных образцов и малой войсковой серии дали положительные результаты.</w:t>
      </w:r>
    </w:p>
    <w:p w14:paraId="6F2868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Впоследствии Вахмистров предложил использовать самолеты И-16 в качестве скоростных пикирующих бомбардировщиков и в 1938 г. предъявил на гос. испытания звено СПБ ФАБ-250. Это звено состояло из одного ТБ-3 с М-34РН и двух И-16 с М-25; под каждый И-16 было подвешено по две фугасных бомбы калибра 250 кг.</w:t>
      </w:r>
    </w:p>
    <w:p w14:paraId="7C3E42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Звено прошло гос. испытания, показав при этом меткость попаданий, намного превышающую меткость бомбометания с горизонтального полета.</w:t>
      </w:r>
    </w:p>
    <w:p w14:paraId="7B7FA6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самолеты ТБ-3 как боевые устарели и поэтому боевое применение "Звена" по крайней мере в дневных условиях теряет свое значение.</w:t>
      </w:r>
    </w:p>
    <w:p w14:paraId="6B2DF5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Поскольку задача "Звена" технически целиком была решена, а с тактической стороны ценности не утратила, целесообразно этот опыт перенести на более современный тяжелый самолет, каковым является ТБ-7, заменив также самолеты И-16 самолетами И-180 и доведя калибр бомб до 500 кг.</w:t>
      </w:r>
    </w:p>
    <w:p w14:paraId="5D40C3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Истребитель, несущий бомбы 250-500 кг приобретает значительные преимущества, сравнительно с двухмоторным пикирующим бомбардировщиком, имея малую поражаемую поверхность и широкую возможность маневрирования.</w:t>
      </w:r>
    </w:p>
    <w:p w14:paraId="1892C1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того, по мере сбрасывания бомб, он становится полноценным истребителем. Во всяком случае отказываться от продолжения работы в этом направлении было бы нецелесообразно.</w:t>
      </w:r>
    </w:p>
    <w:p w14:paraId="511B6C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Наиболее широкое применение это "Звено" могло бы иметь на наших морских театрах по уничтожению кораблей противника в открытом море и вблизи от наших берегов.</w:t>
      </w:r>
    </w:p>
    <w:p w14:paraId="2424CF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Прошу дать задание Вахмистрову разработать конструкцию установки ТБ-7 с двумя И-180 с фугасными бомбами калибра 250 кг и бронебойными калибра 500 кг с тем, чтобы изготовить опытный экземпляр и представить его на испытания в первом квартале 1941 г. (3362,26-27).</w:t>
      </w:r>
    </w:p>
    <w:p w14:paraId="3348034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CB327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вышел приказ НКАП N 450сс "...организовать на Уфимском моторном заводе производство моторов М-105 взамен предусмотренных приказом от 3 июля 1940 N 324 М-88" (1294,126).</w:t>
      </w:r>
    </w:p>
    <w:p w14:paraId="2FF35F9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A5EC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w:t>
      </w:r>
      <w:r w:rsidRPr="00DB5D0D">
        <w:rPr>
          <w:rFonts w:ascii="Times New Roman" w:hAnsi="Times New Roman"/>
          <w:color w:val="000000" w:themeColor="text1"/>
          <w:sz w:val="16"/>
          <w:szCs w:val="16"/>
        </w:rPr>
        <w:softHyphen/>
        <w:t>густа 1940 года вышло Постановление КО при СНК СССР № 367сс от «О производстве авиамоторов М-105 на Уфимском мотор</w:t>
      </w:r>
      <w:r w:rsidRPr="00DB5D0D">
        <w:rPr>
          <w:rFonts w:ascii="Times New Roman" w:hAnsi="Times New Roman"/>
          <w:color w:val="000000" w:themeColor="text1"/>
          <w:sz w:val="16"/>
          <w:szCs w:val="16"/>
        </w:rPr>
        <w:softHyphen/>
        <w:t>ном заводе», подписанное председателем КО К. Ворошиловым и секрета</w:t>
      </w:r>
      <w:r w:rsidRPr="00DB5D0D">
        <w:rPr>
          <w:rFonts w:ascii="Times New Roman" w:hAnsi="Times New Roman"/>
          <w:color w:val="000000" w:themeColor="text1"/>
          <w:sz w:val="16"/>
          <w:szCs w:val="16"/>
        </w:rPr>
        <w:softHyphen/>
        <w:t>рем КО М. Путаевым, Согласно пункту 11 которого НКАП с Госпланом СССР обязывались в двухнедельный срок предоставить на утверждение Экономсовета при СНК СССР заявку на импортное оборудование, необходимое УМЗ для производства М-105 (ГА РФ. Ф. 8418. Оп. 24. Д. 649. Л. 3,6.). Спецификация от 15 августа 1940 года по импортному оборудованию на</w:t>
      </w:r>
      <w:r w:rsidRPr="00DB5D0D">
        <w:rPr>
          <w:rFonts w:ascii="Times New Roman" w:hAnsi="Times New Roman"/>
          <w:color w:val="000000" w:themeColor="text1"/>
          <w:sz w:val="16"/>
          <w:szCs w:val="16"/>
        </w:rPr>
        <w:softHyphen/>
        <w:t>считывала 372 станка различных типов. Эти станки должны были поста</w:t>
      </w:r>
      <w:r w:rsidRPr="00DB5D0D">
        <w:rPr>
          <w:rFonts w:ascii="Times New Roman" w:hAnsi="Times New Roman"/>
          <w:color w:val="000000" w:themeColor="text1"/>
          <w:sz w:val="16"/>
          <w:szCs w:val="16"/>
        </w:rPr>
        <w:softHyphen/>
        <w:t>вить 30 фирм-производителей (ГА РФ. Ф. 8418. Оп. 24. Д. 649. Л. 86,89). Германия, в частности, была представлена фирмами «Магдебург», «Рейнекер», «Шкода», «А. Шутте» и др. (11710,259).</w:t>
      </w:r>
    </w:p>
    <w:p w14:paraId="46693F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EA736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г. заместитель директора НИИ-3 НКБ военинженер I ранга А.Г.Костиков утвердил программу испытаний «18-флейтового блока пусковых станков (РО-82)», составленную «замзама» директора НИИ-3 А.Ю.Победоносцевым и начальником 4 отдела М.П.Халапсиным. Цель работы — определить: возможность подвески в существующие бомбовые замки, характер действия струи продуктов горения РЗ на об</w:t>
      </w:r>
      <w:r w:rsidRPr="00DB5D0D">
        <w:rPr>
          <w:rFonts w:ascii="Times New Roman" w:hAnsi="Times New Roman"/>
          <w:color w:val="000000" w:themeColor="text1"/>
          <w:sz w:val="16"/>
          <w:szCs w:val="16"/>
        </w:rPr>
        <w:softHyphen/>
        <w:t>шивку самолета, соседние РС и силовую часть подвески при залпе или стрельбе очередью РС, а также возможность механически и пиротехни</w:t>
      </w:r>
      <w:r w:rsidRPr="00DB5D0D">
        <w:rPr>
          <w:rFonts w:ascii="Times New Roman" w:hAnsi="Times New Roman"/>
          <w:color w:val="000000" w:themeColor="text1"/>
          <w:sz w:val="16"/>
          <w:szCs w:val="16"/>
        </w:rPr>
        <w:softHyphen/>
        <w:t>ческим способом сбрасывать батарею вместе с боеприпасами. На испытаниях требовалось отстрелять 28 инертных снарядов РС-82 модели 3-0156 и выявить целесообразность и удобство эксплуатации РОБ в сравнении с индивидуальной подвеской РО (11402).</w:t>
      </w:r>
    </w:p>
    <w:p w14:paraId="7FE25C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деле заводские испытания батареи 18РОБ-82 на макете крыла са</w:t>
      </w:r>
      <w:r w:rsidRPr="00DB5D0D">
        <w:rPr>
          <w:rFonts w:ascii="Times New Roman" w:hAnsi="Times New Roman"/>
          <w:color w:val="000000" w:themeColor="text1"/>
          <w:sz w:val="16"/>
          <w:szCs w:val="16"/>
        </w:rPr>
        <w:softHyphen/>
        <w:t>молета ДБ-3 потребовали всего двух наземных отстрелов 43 снарядов РОС-82 (из них 39 боевых) 26 сентября и 14 октября 1940 г. под руководством воентехника 1 ранга Сафронова. Стрельбу вели одиночными и се</w:t>
      </w:r>
      <w:r w:rsidRPr="00DB5D0D">
        <w:rPr>
          <w:rFonts w:ascii="Times New Roman" w:hAnsi="Times New Roman"/>
          <w:color w:val="000000" w:themeColor="text1"/>
          <w:sz w:val="16"/>
          <w:szCs w:val="16"/>
        </w:rPr>
        <w:softHyphen/>
        <w:t xml:space="preserve">рией из трех РОС-82, после чего обнаружили, что </w:t>
      </w:r>
      <w:r w:rsidRPr="00DB5D0D">
        <w:rPr>
          <w:rFonts w:ascii="Times New Roman" w:hAnsi="Times New Roman"/>
          <w:color w:val="000000" w:themeColor="text1"/>
          <w:sz w:val="16"/>
          <w:szCs w:val="16"/>
        </w:rPr>
        <w:lastRenderedPageBreak/>
        <w:t>планка подвесного ушка прогнулась. В дальнейшем конструкция батареи вела себя нормально, а стрельба дала отличные результаты. В довершении программы испытаний выполнили по пять сбрасываний батареи со снарядами и без них. Результат - отличный.</w:t>
      </w:r>
    </w:p>
    <w:p w14:paraId="29FF08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Военные так отметили преимущества конструкции: «две батареи, увеличивая боекомплект, используются только тогда, когда по роду выполняемых задач необходимо применить РОС-82. Подвеска двух РОБ на самолет в течение 4-5 мин (без заряжания их снарядами) требует привлечения четырех военнослужащих и автомобиля». Однако крышки пиропистолетов на верхнем ряду орудий откидывались назад не до конца, что было крайне неудобно - от этого при затягивании гаек на электроконтактах авиатехники сбивали пальцы (11402).</w:t>
      </w:r>
    </w:p>
    <w:p w14:paraId="3806202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E0D1B0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г., заместитель директора НИИ-3 НКБ Военинженер 1 ранга А.Г.Костиков утвердил и программу испытаний «5-флейтового блока пусковых станков (РО-132)». Цель испытаний бы</w:t>
      </w:r>
      <w:r w:rsidRPr="00DB5D0D">
        <w:rPr>
          <w:rFonts w:ascii="Times New Roman" w:hAnsi="Times New Roman"/>
          <w:color w:val="000000" w:themeColor="text1"/>
          <w:sz w:val="16"/>
          <w:szCs w:val="16"/>
        </w:rPr>
        <w:softHyphen/>
        <w:t>ла той же. что и у предыдущей батареи, и ее заводские испытания прохо</w:t>
      </w:r>
      <w:r w:rsidRPr="00DB5D0D">
        <w:rPr>
          <w:rFonts w:ascii="Times New Roman" w:hAnsi="Times New Roman"/>
          <w:color w:val="000000" w:themeColor="text1"/>
          <w:sz w:val="16"/>
          <w:szCs w:val="16"/>
        </w:rPr>
        <w:softHyphen/>
        <w:t>дили практически в то же время, но под руководством ведущего инжене</w:t>
      </w:r>
      <w:r w:rsidRPr="00DB5D0D">
        <w:rPr>
          <w:rFonts w:ascii="Times New Roman" w:hAnsi="Times New Roman"/>
          <w:color w:val="000000" w:themeColor="text1"/>
          <w:sz w:val="16"/>
          <w:szCs w:val="16"/>
        </w:rPr>
        <w:softHyphen/>
        <w:t>ра военинженера 1 ранга Беляева из 2 отделения опытного отдела НИ-ЦАВ. На них произвели 13 выстрелов боевыми снарядами РОС-132. Де</w:t>
      </w:r>
      <w:r w:rsidRPr="00DB5D0D">
        <w:rPr>
          <w:rFonts w:ascii="Times New Roman" w:hAnsi="Times New Roman"/>
          <w:color w:val="000000" w:themeColor="text1"/>
          <w:sz w:val="16"/>
          <w:szCs w:val="16"/>
        </w:rPr>
        <w:softHyphen/>
        <w:t>формаций крыла и бомбодержателей не зафиксировано. Сброс батареи осуществили по пять раз со снарядами и без них.</w:t>
      </w:r>
    </w:p>
    <w:p w14:paraId="37D32D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Военные так оценили преимущества конструкции: «Две батареи по пять РО можно использовать только тогда, когда по роду выполняемых задач необходимо применить РОС-132. Таким образом, на остальные за</w:t>
      </w:r>
      <w:r w:rsidRPr="00DB5D0D">
        <w:rPr>
          <w:rFonts w:ascii="Times New Roman" w:hAnsi="Times New Roman"/>
          <w:color w:val="000000" w:themeColor="text1"/>
          <w:sz w:val="16"/>
          <w:szCs w:val="16"/>
        </w:rPr>
        <w:softHyphen/>
        <w:t>дачи самолет может вылетать без постоянного «мертвого груза» и без дополнительного лобового сопротивления». Кроме того, РОБ позволяли использовать самолеты, оборудованные бомбодержателями Дер-31-а также удешевляли производство каркаса крыла, так как не требовали приклепывания на лонжероны специальных узлов крепления РО (11402).</w:t>
      </w:r>
    </w:p>
    <w:p w14:paraId="3B8233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CEEF5A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г. был утвержден Отчет о заводских испытаниях сна</w:t>
      </w:r>
      <w:r w:rsidRPr="00DB5D0D">
        <w:rPr>
          <w:rFonts w:ascii="Times New Roman" w:hAnsi="Times New Roman"/>
          <w:color w:val="000000" w:themeColor="text1"/>
          <w:sz w:val="16"/>
          <w:szCs w:val="16"/>
        </w:rPr>
        <w:softHyphen/>
        <w:t>ряда РОФС-140 модели 127400. В 1940 г. руководство НИИ-3 НКБ неоднократно обращалось на Софринский КИАП и Ленинградский АНИОП с просьбой пред ос га нить иозможности подорвать 45 БЧ РОФС калибров 140 и 165 мм в бронеямах для исследования характеристик их осколочности. Возможно, полигонщиков испугала мощность боевых зарядов боеприпасов (РОФС- 140 - 4 кг ВВ, РОФС-165 - 8 кг ВВ), а возможно, и большое количество опытов, но оба полигона отказали в просьбе (11402)</w:t>
      </w:r>
    </w:p>
    <w:p w14:paraId="46533B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2188ED7" w14:textId="77777777" w:rsidR="003C7E8B" w:rsidRPr="00DB5D0D" w:rsidRDefault="00B30AFA" w:rsidP="00DB5D0D">
      <w:pPr>
        <w:shd w:val="clear" w:color="auto" w:fill="FFFFFF"/>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032C88DA" w14:textId="77777777" w:rsidR="003C7E8B" w:rsidRPr="00DB5D0D" w:rsidRDefault="003C7E8B" w:rsidP="00DB5D0D">
      <w:pPr>
        <w:shd w:val="clear" w:color="auto" w:fill="FFFFFF"/>
        <w:spacing w:after="0" w:line="240" w:lineRule="auto"/>
        <w:jc w:val="both"/>
        <w:rPr>
          <w:rFonts w:ascii="Times New Roman" w:hAnsi="Times New Roman"/>
          <w:iCs/>
          <w:color w:val="000000" w:themeColor="text1"/>
          <w:sz w:val="16"/>
          <w:szCs w:val="16"/>
        </w:rPr>
      </w:pPr>
    </w:p>
    <w:p w14:paraId="5E8AD6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г. Нач. Техотдела НКБ Тольский подготовил письмо № 6160 в КО при СНК СССР тов. Корнецкому</w:t>
      </w:r>
    </w:p>
    <w:p w14:paraId="0F4A82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гильз ШД</w:t>
      </w:r>
    </w:p>
    <w:p w14:paraId="3873D9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Отработка гильзы ШД производилась на заводе № 187 по предложению тов. Коротаева, при непосредствен</w:t>
      </w:r>
      <w:r w:rsidRPr="00DB5D0D">
        <w:rPr>
          <w:rFonts w:ascii="Times New Roman" w:hAnsi="Times New Roman"/>
          <w:color w:val="000000" w:themeColor="text1"/>
          <w:sz w:val="16"/>
          <w:szCs w:val="16"/>
        </w:rPr>
        <w:softHyphen/>
        <w:t>ном его участии и руководстве отработкой.</w:t>
      </w:r>
    </w:p>
    <w:p w14:paraId="4F6AB2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Задержка отработки гильзы ШД произошла по следую</w:t>
      </w:r>
      <w:r w:rsidRPr="00DB5D0D">
        <w:rPr>
          <w:rFonts w:ascii="Times New Roman" w:hAnsi="Times New Roman"/>
          <w:color w:val="000000" w:themeColor="text1"/>
          <w:sz w:val="16"/>
          <w:szCs w:val="16"/>
        </w:rPr>
        <w:softHyphen/>
        <w:t>щим причинам:</w:t>
      </w:r>
    </w:p>
    <w:p w14:paraId="4B60E74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Отказ зампреда АУ КА принять изготовленные 1500 штук гильз ШД к 152 мм гаубице 9/30 года для испытаний стрельбой на полигоне, ввиду несоответствия гильз чертежным размерам по до</w:t>
      </w:r>
      <w:r w:rsidRPr="00DB5D0D">
        <w:rPr>
          <w:rFonts w:ascii="Times New Roman" w:hAnsi="Times New Roman"/>
          <w:color w:val="000000" w:themeColor="text1"/>
          <w:sz w:val="16"/>
          <w:szCs w:val="16"/>
        </w:rPr>
        <w:softHyphen/>
        <w:t>пускам и техническим условиям.</w:t>
      </w:r>
    </w:p>
    <w:p w14:paraId="5F9478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Переход завода № 187 на отработку гильзы КД, показавшейлучшие результаты при изготовлении опытных образцов по сравне</w:t>
      </w:r>
      <w:r w:rsidRPr="00DB5D0D">
        <w:rPr>
          <w:rFonts w:ascii="Times New Roman" w:hAnsi="Times New Roman"/>
          <w:color w:val="000000" w:themeColor="text1"/>
          <w:sz w:val="16"/>
          <w:szCs w:val="16"/>
        </w:rPr>
        <w:softHyphen/>
        <w:t>нию с гильзой ШД.</w:t>
      </w:r>
    </w:p>
    <w:p w14:paraId="5DE1FEE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Артком КА считает, что гильзы ШД имеют конструктивные недостатки, которые согласно письма № 453532 от З/Ш-40 г. вы</w:t>
      </w:r>
      <w:r w:rsidRPr="00DB5D0D">
        <w:rPr>
          <w:rFonts w:ascii="Times New Roman" w:hAnsi="Times New Roman"/>
          <w:color w:val="000000" w:themeColor="text1"/>
          <w:sz w:val="16"/>
          <w:szCs w:val="16"/>
        </w:rPr>
        <w:softHyphen/>
        <w:t>ражаются в том, что предлагаемая автором гильза под названием ШД в конструктивном отношении является неудовлетворительной. Наличие картонного пыжа, который в зависимости от температуры и влажности атмосфевы может в значительной степени изменять размеры, не гарантирует в массовом производстве прочности дна. Имея в виду, что донышко изготовляется из листового желеха, обра</w:t>
      </w:r>
      <w:r w:rsidRPr="00DB5D0D">
        <w:rPr>
          <w:rFonts w:ascii="Times New Roman" w:hAnsi="Times New Roman"/>
          <w:color w:val="000000" w:themeColor="text1"/>
          <w:sz w:val="16"/>
          <w:szCs w:val="16"/>
        </w:rPr>
        <w:softHyphen/>
        <w:t>батываемого термически, и контроль однообразия механических ка</w:t>
      </w:r>
      <w:r w:rsidRPr="00DB5D0D">
        <w:rPr>
          <w:rFonts w:ascii="Times New Roman" w:hAnsi="Times New Roman"/>
          <w:color w:val="000000" w:themeColor="text1"/>
          <w:sz w:val="16"/>
          <w:szCs w:val="16"/>
        </w:rPr>
        <w:softHyphen/>
        <w:t>честв металла затруднителен, возможны случаи попадания недобро</w:t>
      </w:r>
      <w:r w:rsidRPr="00DB5D0D">
        <w:rPr>
          <w:rFonts w:ascii="Times New Roman" w:hAnsi="Times New Roman"/>
          <w:color w:val="000000" w:themeColor="text1"/>
          <w:sz w:val="16"/>
          <w:szCs w:val="16"/>
        </w:rPr>
        <w:softHyphen/>
        <w:t>качественных гильз в армию. При стрельбах с такими гильзами имели место разрывы поддонов и заклинаний затвора.</w:t>
      </w:r>
    </w:p>
    <w:p w14:paraId="41FC04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Гильзы ШД нужно дорабатывать. Это вызвано тем, что при отработке ее не были окончательно устранены дефекты конструкции и технологии, способствющие повышению выпадов по плохой экстракции и обтюрации некоторых опытных образцов при испытании стрельбой. Доработке должно подвергнуться следующее:</w:t>
      </w:r>
    </w:p>
    <w:p w14:paraId="7C410D1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Технология изготовления гильз ШД в части получения раз</w:t>
      </w:r>
      <w:r w:rsidRPr="00DB5D0D">
        <w:rPr>
          <w:rFonts w:ascii="Times New Roman" w:hAnsi="Times New Roman"/>
          <w:color w:val="000000" w:themeColor="text1"/>
          <w:sz w:val="16"/>
          <w:szCs w:val="16"/>
        </w:rPr>
        <w:softHyphen/>
        <w:t>меров гильзы всоответствии с чертежем;</w:t>
      </w:r>
    </w:p>
    <w:p w14:paraId="66A06E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100% обеспечение экстракции и обтюрации в соответствии с техническими условиями на орудийные гильзы;</w:t>
      </w:r>
    </w:p>
    <w:p w14:paraId="33C36A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Конструкция гильзы ШД в части обеспечения постоянства и прочности дна, а также надежности резьбового соединения;</w:t>
      </w:r>
    </w:p>
    <w:p w14:paraId="6AE5D10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Упрощение конструкции гнезда под капсюльную втулку с целью упрощения его изготовления.</w:t>
      </w:r>
    </w:p>
    <w:p w14:paraId="0D91EC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Целесообразность доработки вытекает из того, что производство такой конструкции гильзы может быть организовано на любом заводе, где имеются пресса двойного действия или пресса с при</w:t>
      </w:r>
      <w:r w:rsidRPr="00DB5D0D">
        <w:rPr>
          <w:rFonts w:ascii="Times New Roman" w:hAnsi="Times New Roman"/>
          <w:color w:val="000000" w:themeColor="text1"/>
          <w:sz w:val="16"/>
          <w:szCs w:val="16"/>
        </w:rPr>
        <w:softHyphen/>
        <w:t>жимами и металлообрабатывающие станки.</w:t>
      </w:r>
    </w:p>
    <w:p w14:paraId="323C825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Преимущество гильзы ШД по сравнению с другими конструкциями сборных гильз состоят только в том, что она проще изготовлении /не требуется механической обработки дна/, легче по весу и время на изготовление ее меньше, чем потребное время на изготовление других сборных конструкций гильз. Для характеристики этих моментов ниже приведены таблицы потребного времени и металла на изготовление одной гиль</w:t>
      </w:r>
      <w:r w:rsidRPr="00DB5D0D">
        <w:rPr>
          <w:rFonts w:ascii="Times New Roman" w:hAnsi="Times New Roman"/>
          <w:color w:val="000000" w:themeColor="text1"/>
          <w:sz w:val="16"/>
          <w:szCs w:val="16"/>
        </w:rPr>
        <w:softHyphen/>
        <w:t>зы КД, ШД и сверной.</w:t>
      </w:r>
    </w:p>
    <w:p w14:paraId="56612F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Таблица</w:t>
      </w:r>
    </w:p>
    <w:p w14:paraId="6973B0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Потребного времени на изготовление одной штуки 155 мм. гильз КД, ШД и свертной.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7D5DF8" w:rsidRPr="00DB5D0D" w14:paraId="663DF79F" w14:textId="77777777" w:rsidTr="00E543D0">
        <w:tc>
          <w:tcPr>
            <w:tcW w:w="3736" w:type="dxa"/>
            <w:tcBorders>
              <w:top w:val="single" w:sz="12" w:space="0" w:color="auto"/>
            </w:tcBorders>
          </w:tcPr>
          <w:p w14:paraId="16432C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гильз и деталей ее</w:t>
            </w:r>
          </w:p>
        </w:tc>
        <w:tc>
          <w:tcPr>
            <w:tcW w:w="3736" w:type="dxa"/>
            <w:tcBorders>
              <w:top w:val="single" w:sz="12" w:space="0" w:color="auto"/>
            </w:tcBorders>
          </w:tcPr>
          <w:p w14:paraId="2A12A0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Потребное время в минутах</w:t>
            </w:r>
          </w:p>
        </w:tc>
        <w:tc>
          <w:tcPr>
            <w:tcW w:w="3736" w:type="dxa"/>
            <w:tcBorders>
              <w:top w:val="single" w:sz="12" w:space="0" w:color="auto"/>
            </w:tcBorders>
          </w:tcPr>
          <w:p w14:paraId="27A454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11C8F5B0" w14:textId="77777777" w:rsidTr="00E543D0">
        <w:tc>
          <w:tcPr>
            <w:tcW w:w="3736" w:type="dxa"/>
          </w:tcPr>
          <w:p w14:paraId="72516E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Гильза ШД</w:t>
            </w:r>
          </w:p>
        </w:tc>
        <w:tc>
          <w:tcPr>
            <w:tcW w:w="3736" w:type="dxa"/>
          </w:tcPr>
          <w:p w14:paraId="38FE43E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736" w:type="dxa"/>
          </w:tcPr>
          <w:p w14:paraId="0D8065A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6E3342E" w14:textId="77777777" w:rsidTr="00E543D0">
        <w:tc>
          <w:tcPr>
            <w:tcW w:w="3736" w:type="dxa"/>
          </w:tcPr>
          <w:p w14:paraId="65862C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корпус гильзы</w:t>
            </w:r>
          </w:p>
        </w:tc>
        <w:tc>
          <w:tcPr>
            <w:tcW w:w="3736" w:type="dxa"/>
          </w:tcPr>
          <w:p w14:paraId="6778CD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0,994</w:t>
            </w:r>
          </w:p>
        </w:tc>
        <w:tc>
          <w:tcPr>
            <w:tcW w:w="3736" w:type="dxa"/>
          </w:tcPr>
          <w:p w14:paraId="207A82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штамповка</w:t>
            </w:r>
          </w:p>
        </w:tc>
      </w:tr>
      <w:tr w:rsidR="007D5DF8" w:rsidRPr="00DB5D0D" w14:paraId="69521EE0" w14:textId="77777777" w:rsidTr="00E543D0">
        <w:tc>
          <w:tcPr>
            <w:tcW w:w="3736" w:type="dxa"/>
          </w:tcPr>
          <w:p w14:paraId="255590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дно</w:t>
            </w:r>
          </w:p>
        </w:tc>
        <w:tc>
          <w:tcPr>
            <w:tcW w:w="3736" w:type="dxa"/>
          </w:tcPr>
          <w:p w14:paraId="5E8C6C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0,533</w:t>
            </w:r>
          </w:p>
        </w:tc>
        <w:tc>
          <w:tcPr>
            <w:tcW w:w="3736" w:type="dxa"/>
          </w:tcPr>
          <w:p w14:paraId="4C2959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штамповка</w:t>
            </w:r>
          </w:p>
        </w:tc>
      </w:tr>
      <w:tr w:rsidR="007D5DF8" w:rsidRPr="00DB5D0D" w14:paraId="27AF34BD" w14:textId="77777777" w:rsidTr="00E543D0">
        <w:tc>
          <w:tcPr>
            <w:tcW w:w="3736" w:type="dxa"/>
          </w:tcPr>
          <w:p w14:paraId="0E7778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гнездо под капсюльную втулку</w:t>
            </w:r>
          </w:p>
        </w:tc>
        <w:tc>
          <w:tcPr>
            <w:tcW w:w="3736" w:type="dxa"/>
          </w:tcPr>
          <w:p w14:paraId="186138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9,450</w:t>
            </w:r>
          </w:p>
        </w:tc>
        <w:tc>
          <w:tcPr>
            <w:tcW w:w="3736" w:type="dxa"/>
          </w:tcPr>
          <w:p w14:paraId="64BC52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токарная обработка</w:t>
            </w:r>
          </w:p>
        </w:tc>
      </w:tr>
      <w:tr w:rsidR="007D5DF8" w:rsidRPr="00DB5D0D" w14:paraId="169E7752" w14:textId="77777777" w:rsidTr="00E543D0">
        <w:tc>
          <w:tcPr>
            <w:tcW w:w="3736" w:type="dxa"/>
          </w:tcPr>
          <w:p w14:paraId="0786F0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соединительная гайка</w:t>
            </w:r>
          </w:p>
        </w:tc>
        <w:tc>
          <w:tcPr>
            <w:tcW w:w="3736" w:type="dxa"/>
          </w:tcPr>
          <w:p w14:paraId="5EC287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3,930</w:t>
            </w:r>
          </w:p>
        </w:tc>
        <w:tc>
          <w:tcPr>
            <w:tcW w:w="3736" w:type="dxa"/>
          </w:tcPr>
          <w:p w14:paraId="67D5F8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токарная обработка</w:t>
            </w:r>
          </w:p>
        </w:tc>
      </w:tr>
      <w:tr w:rsidR="007D5DF8" w:rsidRPr="00DB5D0D" w14:paraId="67E6ECD1" w14:textId="77777777" w:rsidTr="00E543D0">
        <w:tc>
          <w:tcPr>
            <w:tcW w:w="3736" w:type="dxa"/>
          </w:tcPr>
          <w:p w14:paraId="585435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внутренняя чашка</w:t>
            </w:r>
          </w:p>
        </w:tc>
        <w:tc>
          <w:tcPr>
            <w:tcW w:w="3736" w:type="dxa"/>
          </w:tcPr>
          <w:p w14:paraId="318C5F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0,060</w:t>
            </w:r>
          </w:p>
        </w:tc>
        <w:tc>
          <w:tcPr>
            <w:tcW w:w="3736" w:type="dxa"/>
          </w:tcPr>
          <w:p w14:paraId="713A62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штамповка</w:t>
            </w:r>
          </w:p>
        </w:tc>
      </w:tr>
      <w:tr w:rsidR="007D5DF8" w:rsidRPr="00DB5D0D" w14:paraId="61C2C20F" w14:textId="77777777" w:rsidTr="00E543D0">
        <w:tc>
          <w:tcPr>
            <w:tcW w:w="3736" w:type="dxa"/>
          </w:tcPr>
          <w:p w14:paraId="2117F3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сборка гильзы</w:t>
            </w:r>
          </w:p>
        </w:tc>
        <w:tc>
          <w:tcPr>
            <w:tcW w:w="3736" w:type="dxa"/>
          </w:tcPr>
          <w:p w14:paraId="2EE387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0,540</w:t>
            </w:r>
          </w:p>
        </w:tc>
        <w:tc>
          <w:tcPr>
            <w:tcW w:w="3736" w:type="dxa"/>
          </w:tcPr>
          <w:p w14:paraId="69D9C0B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4F90C8F" w14:textId="77777777" w:rsidTr="00E543D0">
        <w:tc>
          <w:tcPr>
            <w:tcW w:w="3736" w:type="dxa"/>
          </w:tcPr>
          <w:p w14:paraId="079B9F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3736" w:type="dxa"/>
          </w:tcPr>
          <w:p w14:paraId="783A3A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15,507</w:t>
            </w:r>
          </w:p>
        </w:tc>
        <w:tc>
          <w:tcPr>
            <w:tcW w:w="3736" w:type="dxa"/>
          </w:tcPr>
          <w:p w14:paraId="6CF1027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D26BDA2" w14:textId="77777777" w:rsidTr="00E543D0">
        <w:tc>
          <w:tcPr>
            <w:tcW w:w="3736" w:type="dxa"/>
          </w:tcPr>
          <w:p w14:paraId="1163CF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Гильза КД</w:t>
            </w:r>
          </w:p>
        </w:tc>
        <w:tc>
          <w:tcPr>
            <w:tcW w:w="3736" w:type="dxa"/>
          </w:tcPr>
          <w:p w14:paraId="3D0CC3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736" w:type="dxa"/>
          </w:tcPr>
          <w:p w14:paraId="2DB03D2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A2120AF" w14:textId="77777777" w:rsidTr="00E543D0">
        <w:tc>
          <w:tcPr>
            <w:tcW w:w="3736" w:type="dxa"/>
          </w:tcPr>
          <w:p w14:paraId="3245E0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корпус гильзы</w:t>
            </w:r>
          </w:p>
        </w:tc>
        <w:tc>
          <w:tcPr>
            <w:tcW w:w="3736" w:type="dxa"/>
          </w:tcPr>
          <w:p w14:paraId="3DB2D6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0,994</w:t>
            </w:r>
          </w:p>
        </w:tc>
        <w:tc>
          <w:tcPr>
            <w:tcW w:w="3736" w:type="dxa"/>
          </w:tcPr>
          <w:p w14:paraId="10D443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штамповка</w:t>
            </w:r>
          </w:p>
        </w:tc>
      </w:tr>
      <w:tr w:rsidR="007D5DF8" w:rsidRPr="00DB5D0D" w14:paraId="5FB64FEF" w14:textId="77777777" w:rsidTr="00E543D0">
        <w:tc>
          <w:tcPr>
            <w:tcW w:w="3736" w:type="dxa"/>
          </w:tcPr>
          <w:p w14:paraId="23EFBA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дно</w:t>
            </w:r>
          </w:p>
        </w:tc>
        <w:tc>
          <w:tcPr>
            <w:tcW w:w="3736" w:type="dxa"/>
          </w:tcPr>
          <w:p w14:paraId="3ED3CE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13,630</w:t>
            </w:r>
          </w:p>
        </w:tc>
        <w:tc>
          <w:tcPr>
            <w:tcW w:w="3736" w:type="dxa"/>
          </w:tcPr>
          <w:p w14:paraId="5EB4F8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токарная обработка</w:t>
            </w:r>
          </w:p>
        </w:tc>
      </w:tr>
      <w:tr w:rsidR="007D5DF8" w:rsidRPr="00DB5D0D" w14:paraId="4ECBA6AB" w14:textId="77777777" w:rsidTr="00E543D0">
        <w:tc>
          <w:tcPr>
            <w:tcW w:w="3736" w:type="dxa"/>
          </w:tcPr>
          <w:p w14:paraId="70255A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соединительное кольцо</w:t>
            </w:r>
          </w:p>
        </w:tc>
        <w:tc>
          <w:tcPr>
            <w:tcW w:w="3736" w:type="dxa"/>
          </w:tcPr>
          <w:p w14:paraId="6405BA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1,035</w:t>
            </w:r>
          </w:p>
        </w:tc>
        <w:tc>
          <w:tcPr>
            <w:tcW w:w="3736" w:type="dxa"/>
          </w:tcPr>
          <w:p w14:paraId="4AC6FC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штамповка и токарная обработка</w:t>
            </w:r>
          </w:p>
        </w:tc>
      </w:tr>
      <w:tr w:rsidR="007D5DF8" w:rsidRPr="00DB5D0D" w14:paraId="3A92EF76" w14:textId="77777777" w:rsidTr="00E543D0">
        <w:tc>
          <w:tcPr>
            <w:tcW w:w="3736" w:type="dxa"/>
          </w:tcPr>
          <w:p w14:paraId="75C5BA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сборка</w:t>
            </w:r>
          </w:p>
        </w:tc>
        <w:tc>
          <w:tcPr>
            <w:tcW w:w="3736" w:type="dxa"/>
          </w:tcPr>
          <w:p w14:paraId="3D9B10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0,500</w:t>
            </w:r>
          </w:p>
        </w:tc>
        <w:tc>
          <w:tcPr>
            <w:tcW w:w="3736" w:type="dxa"/>
          </w:tcPr>
          <w:p w14:paraId="00E05E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AF96B34" w14:textId="77777777" w:rsidTr="00E543D0">
        <w:tc>
          <w:tcPr>
            <w:tcW w:w="3736" w:type="dxa"/>
          </w:tcPr>
          <w:p w14:paraId="31F94B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3736" w:type="dxa"/>
          </w:tcPr>
          <w:p w14:paraId="43CD68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16,199</w:t>
            </w:r>
          </w:p>
        </w:tc>
        <w:tc>
          <w:tcPr>
            <w:tcW w:w="3736" w:type="dxa"/>
          </w:tcPr>
          <w:p w14:paraId="3A1ECF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23F24A6" w14:textId="77777777" w:rsidTr="00E543D0">
        <w:tc>
          <w:tcPr>
            <w:tcW w:w="3736" w:type="dxa"/>
          </w:tcPr>
          <w:p w14:paraId="5D9289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Свертная гильза</w:t>
            </w:r>
          </w:p>
        </w:tc>
        <w:tc>
          <w:tcPr>
            <w:tcW w:w="3736" w:type="dxa"/>
          </w:tcPr>
          <w:p w14:paraId="59A0856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736" w:type="dxa"/>
          </w:tcPr>
          <w:p w14:paraId="7E2B67E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2C0F67D" w14:textId="77777777" w:rsidTr="00E543D0">
        <w:tc>
          <w:tcPr>
            <w:tcW w:w="3736" w:type="dxa"/>
          </w:tcPr>
          <w:p w14:paraId="2B6DD2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корпус гильзы</w:t>
            </w:r>
          </w:p>
        </w:tc>
        <w:tc>
          <w:tcPr>
            <w:tcW w:w="3736" w:type="dxa"/>
          </w:tcPr>
          <w:p w14:paraId="2F36AB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4,327</w:t>
            </w:r>
          </w:p>
        </w:tc>
        <w:tc>
          <w:tcPr>
            <w:tcW w:w="3736" w:type="dxa"/>
          </w:tcPr>
          <w:p w14:paraId="5F588A5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3BC08D3" w14:textId="77777777" w:rsidTr="00E543D0">
        <w:tc>
          <w:tcPr>
            <w:tcW w:w="3736" w:type="dxa"/>
          </w:tcPr>
          <w:p w14:paraId="1FBCF8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дно</w:t>
            </w:r>
          </w:p>
        </w:tc>
        <w:tc>
          <w:tcPr>
            <w:tcW w:w="3736" w:type="dxa"/>
          </w:tcPr>
          <w:p w14:paraId="2F84A7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12,850</w:t>
            </w:r>
          </w:p>
        </w:tc>
        <w:tc>
          <w:tcPr>
            <w:tcW w:w="3736" w:type="dxa"/>
          </w:tcPr>
          <w:p w14:paraId="0F2043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токарная обработка</w:t>
            </w:r>
          </w:p>
        </w:tc>
      </w:tr>
      <w:tr w:rsidR="007D5DF8" w:rsidRPr="00DB5D0D" w14:paraId="676C1CBB" w14:textId="77777777" w:rsidTr="00E543D0">
        <w:tc>
          <w:tcPr>
            <w:tcW w:w="3736" w:type="dxa"/>
          </w:tcPr>
          <w:p w14:paraId="3FAB7D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соединительное колько</w:t>
            </w:r>
          </w:p>
        </w:tc>
        <w:tc>
          <w:tcPr>
            <w:tcW w:w="3736" w:type="dxa"/>
          </w:tcPr>
          <w:p w14:paraId="30FCE1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0,973</w:t>
            </w:r>
          </w:p>
        </w:tc>
        <w:tc>
          <w:tcPr>
            <w:tcW w:w="3736" w:type="dxa"/>
          </w:tcPr>
          <w:p w14:paraId="705AD3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штамповка и токарная обработка</w:t>
            </w:r>
          </w:p>
        </w:tc>
      </w:tr>
      <w:tr w:rsidR="007D5DF8" w:rsidRPr="00DB5D0D" w14:paraId="26880FFC" w14:textId="77777777" w:rsidTr="00E543D0">
        <w:tc>
          <w:tcPr>
            <w:tcW w:w="3736" w:type="dxa"/>
          </w:tcPr>
          <w:p w14:paraId="399732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сборка гильзы</w:t>
            </w:r>
          </w:p>
        </w:tc>
        <w:tc>
          <w:tcPr>
            <w:tcW w:w="3736" w:type="dxa"/>
          </w:tcPr>
          <w:p w14:paraId="788239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11,867</w:t>
            </w:r>
          </w:p>
        </w:tc>
        <w:tc>
          <w:tcPr>
            <w:tcW w:w="3736" w:type="dxa"/>
          </w:tcPr>
          <w:p w14:paraId="36DF107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76E5608" w14:textId="77777777" w:rsidTr="00E543D0">
        <w:tc>
          <w:tcPr>
            <w:tcW w:w="3736" w:type="dxa"/>
            <w:tcBorders>
              <w:bottom w:val="single" w:sz="12" w:space="0" w:color="auto"/>
            </w:tcBorders>
          </w:tcPr>
          <w:p w14:paraId="4CD9ED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3736" w:type="dxa"/>
            <w:tcBorders>
              <w:bottom w:val="single" w:sz="12" w:space="0" w:color="auto"/>
            </w:tcBorders>
          </w:tcPr>
          <w:p w14:paraId="5F6994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30,027</w:t>
            </w:r>
          </w:p>
        </w:tc>
        <w:tc>
          <w:tcPr>
            <w:tcW w:w="3736" w:type="dxa"/>
            <w:tcBorders>
              <w:bottom w:val="single" w:sz="12" w:space="0" w:color="auto"/>
            </w:tcBorders>
          </w:tcPr>
          <w:p w14:paraId="7074AF1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6EE745C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Таблица</w:t>
      </w:r>
    </w:p>
    <w:p w14:paraId="396D9B9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Потребного количества стали на изготовление одной штуки гильз ШД, КД, и свертной к 152 мм. гаубице.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7D5DF8" w:rsidRPr="00DB5D0D" w14:paraId="06D52C02" w14:textId="77777777" w:rsidTr="00E543D0">
        <w:tc>
          <w:tcPr>
            <w:tcW w:w="3736" w:type="dxa"/>
            <w:tcBorders>
              <w:top w:val="single" w:sz="12" w:space="0" w:color="auto"/>
            </w:tcBorders>
          </w:tcPr>
          <w:p w14:paraId="3CF6F3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гильз и деталей ее</w:t>
            </w:r>
          </w:p>
        </w:tc>
        <w:tc>
          <w:tcPr>
            <w:tcW w:w="3736" w:type="dxa"/>
            <w:tcBorders>
              <w:top w:val="single" w:sz="12" w:space="0" w:color="auto"/>
            </w:tcBorders>
          </w:tcPr>
          <w:p w14:paraId="68D73B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 расхода в кг</w:t>
            </w:r>
          </w:p>
        </w:tc>
        <w:tc>
          <w:tcPr>
            <w:tcW w:w="3736" w:type="dxa"/>
            <w:tcBorders>
              <w:top w:val="single" w:sz="12" w:space="0" w:color="auto"/>
            </w:tcBorders>
          </w:tcPr>
          <w:p w14:paraId="2423A7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материала</w:t>
            </w:r>
          </w:p>
        </w:tc>
      </w:tr>
      <w:tr w:rsidR="007D5DF8" w:rsidRPr="00DB5D0D" w14:paraId="373984A3" w14:textId="77777777" w:rsidTr="00E543D0">
        <w:tc>
          <w:tcPr>
            <w:tcW w:w="3736" w:type="dxa"/>
          </w:tcPr>
          <w:p w14:paraId="3B05FA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Гильза ШД</w:t>
            </w:r>
          </w:p>
        </w:tc>
        <w:tc>
          <w:tcPr>
            <w:tcW w:w="3736" w:type="dxa"/>
          </w:tcPr>
          <w:p w14:paraId="6F6FAB2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736" w:type="dxa"/>
          </w:tcPr>
          <w:p w14:paraId="2A05AF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1A93E95" w14:textId="77777777" w:rsidTr="00E543D0">
        <w:tc>
          <w:tcPr>
            <w:tcW w:w="3736" w:type="dxa"/>
          </w:tcPr>
          <w:p w14:paraId="34A22D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корпус гильзы</w:t>
            </w:r>
          </w:p>
        </w:tc>
        <w:tc>
          <w:tcPr>
            <w:tcW w:w="3736" w:type="dxa"/>
          </w:tcPr>
          <w:p w14:paraId="4CBDD0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1,850</w:t>
            </w:r>
          </w:p>
        </w:tc>
        <w:tc>
          <w:tcPr>
            <w:tcW w:w="3736" w:type="dxa"/>
          </w:tcPr>
          <w:p w14:paraId="290436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лист сталь 1,3 мм</w:t>
            </w:r>
          </w:p>
        </w:tc>
      </w:tr>
      <w:tr w:rsidR="007D5DF8" w:rsidRPr="00DB5D0D" w14:paraId="04854E32" w14:textId="77777777" w:rsidTr="00E543D0">
        <w:tc>
          <w:tcPr>
            <w:tcW w:w="3736" w:type="dxa"/>
          </w:tcPr>
          <w:p w14:paraId="74D290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дно</w:t>
            </w:r>
          </w:p>
        </w:tc>
        <w:tc>
          <w:tcPr>
            <w:tcW w:w="3736" w:type="dxa"/>
          </w:tcPr>
          <w:p w14:paraId="4CEE20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1,520</w:t>
            </w:r>
          </w:p>
        </w:tc>
        <w:tc>
          <w:tcPr>
            <w:tcW w:w="3736" w:type="dxa"/>
          </w:tcPr>
          <w:p w14:paraId="6669D1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лист. Сталь 2,65 мм</w:t>
            </w:r>
          </w:p>
        </w:tc>
      </w:tr>
      <w:tr w:rsidR="007D5DF8" w:rsidRPr="00DB5D0D" w14:paraId="7ED42D7C" w14:textId="77777777" w:rsidTr="00E543D0">
        <w:tc>
          <w:tcPr>
            <w:tcW w:w="3736" w:type="dxa"/>
          </w:tcPr>
          <w:p w14:paraId="091574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гнездо под капсюльную втулку</w:t>
            </w:r>
          </w:p>
        </w:tc>
        <w:tc>
          <w:tcPr>
            <w:tcW w:w="3736" w:type="dxa"/>
          </w:tcPr>
          <w:p w14:paraId="171BD1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0,900</w:t>
            </w:r>
          </w:p>
        </w:tc>
        <w:tc>
          <w:tcPr>
            <w:tcW w:w="3736" w:type="dxa"/>
          </w:tcPr>
          <w:p w14:paraId="214568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круглый прокат 65 мм</w:t>
            </w:r>
          </w:p>
        </w:tc>
      </w:tr>
      <w:tr w:rsidR="007D5DF8" w:rsidRPr="00DB5D0D" w14:paraId="1C0A0D97" w14:textId="77777777" w:rsidTr="00E543D0">
        <w:tc>
          <w:tcPr>
            <w:tcW w:w="3736" w:type="dxa"/>
          </w:tcPr>
          <w:p w14:paraId="2CE1FA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соединительная гайка</w:t>
            </w:r>
          </w:p>
        </w:tc>
        <w:tc>
          <w:tcPr>
            <w:tcW w:w="3736" w:type="dxa"/>
          </w:tcPr>
          <w:p w14:paraId="744F8A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0,580</w:t>
            </w:r>
          </w:p>
        </w:tc>
        <w:tc>
          <w:tcPr>
            <w:tcW w:w="3736" w:type="dxa"/>
          </w:tcPr>
          <w:p w14:paraId="2A6FB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круглый прокат 80 мм</w:t>
            </w:r>
          </w:p>
        </w:tc>
      </w:tr>
      <w:tr w:rsidR="007D5DF8" w:rsidRPr="00DB5D0D" w14:paraId="1BFEA65B" w14:textId="77777777" w:rsidTr="00E543D0">
        <w:tc>
          <w:tcPr>
            <w:tcW w:w="3736" w:type="dxa"/>
          </w:tcPr>
          <w:p w14:paraId="48B82A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внутренняя чашка</w:t>
            </w:r>
          </w:p>
        </w:tc>
        <w:tc>
          <w:tcPr>
            <w:tcW w:w="3736" w:type="dxa"/>
          </w:tcPr>
          <w:p w14:paraId="5C53B4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0,300</w:t>
            </w:r>
          </w:p>
        </w:tc>
        <w:tc>
          <w:tcPr>
            <w:tcW w:w="3736" w:type="dxa"/>
          </w:tcPr>
          <w:p w14:paraId="123F28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листовая сталь 1 мм</w:t>
            </w:r>
          </w:p>
        </w:tc>
      </w:tr>
      <w:tr w:rsidR="007D5DF8" w:rsidRPr="00DB5D0D" w14:paraId="35D65101" w14:textId="77777777" w:rsidTr="00E543D0">
        <w:tc>
          <w:tcPr>
            <w:tcW w:w="3736" w:type="dxa"/>
          </w:tcPr>
          <w:p w14:paraId="1340B2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3736" w:type="dxa"/>
          </w:tcPr>
          <w:p w14:paraId="3419F4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5,150 кг</w:t>
            </w:r>
          </w:p>
        </w:tc>
        <w:tc>
          <w:tcPr>
            <w:tcW w:w="3736" w:type="dxa"/>
          </w:tcPr>
          <w:p w14:paraId="62CEE2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738D7D5" w14:textId="77777777" w:rsidTr="00E543D0">
        <w:tc>
          <w:tcPr>
            <w:tcW w:w="3736" w:type="dxa"/>
          </w:tcPr>
          <w:p w14:paraId="79EE710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736" w:type="dxa"/>
          </w:tcPr>
          <w:p w14:paraId="4B72CE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чистый вес гильзы 2,6 кг кг</w:t>
            </w:r>
          </w:p>
        </w:tc>
        <w:tc>
          <w:tcPr>
            <w:tcW w:w="3736" w:type="dxa"/>
          </w:tcPr>
          <w:p w14:paraId="0E7AC7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8BDA466" w14:textId="77777777" w:rsidTr="00E543D0">
        <w:tc>
          <w:tcPr>
            <w:tcW w:w="3736" w:type="dxa"/>
          </w:tcPr>
          <w:p w14:paraId="7ABCB3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Гильза КД</w:t>
            </w:r>
          </w:p>
        </w:tc>
        <w:tc>
          <w:tcPr>
            <w:tcW w:w="3736" w:type="dxa"/>
          </w:tcPr>
          <w:p w14:paraId="344CE2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736" w:type="dxa"/>
          </w:tcPr>
          <w:p w14:paraId="049D11B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52C7D69" w14:textId="77777777" w:rsidTr="00E543D0">
        <w:tc>
          <w:tcPr>
            <w:tcW w:w="3736" w:type="dxa"/>
          </w:tcPr>
          <w:p w14:paraId="3E58AD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корпус гильзы</w:t>
            </w:r>
          </w:p>
        </w:tc>
        <w:tc>
          <w:tcPr>
            <w:tcW w:w="3736" w:type="dxa"/>
          </w:tcPr>
          <w:p w14:paraId="6B0E90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1,850</w:t>
            </w:r>
          </w:p>
        </w:tc>
        <w:tc>
          <w:tcPr>
            <w:tcW w:w="3736" w:type="dxa"/>
          </w:tcPr>
          <w:p w14:paraId="28CFC1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листовая сталь 1,3 мм</w:t>
            </w:r>
          </w:p>
        </w:tc>
      </w:tr>
      <w:tr w:rsidR="007D5DF8" w:rsidRPr="00DB5D0D" w14:paraId="385047F1" w14:textId="77777777" w:rsidTr="00E543D0">
        <w:tc>
          <w:tcPr>
            <w:tcW w:w="3736" w:type="dxa"/>
          </w:tcPr>
          <w:p w14:paraId="56D3FF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б) дно</w:t>
            </w:r>
          </w:p>
        </w:tc>
        <w:tc>
          <w:tcPr>
            <w:tcW w:w="3736" w:type="dxa"/>
          </w:tcPr>
          <w:p w14:paraId="1DFDFA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3,150</w:t>
            </w:r>
          </w:p>
        </w:tc>
        <w:tc>
          <w:tcPr>
            <w:tcW w:w="3736" w:type="dxa"/>
          </w:tcPr>
          <w:p w14:paraId="3378B1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поковка</w:t>
            </w:r>
          </w:p>
        </w:tc>
      </w:tr>
      <w:tr w:rsidR="007D5DF8" w:rsidRPr="00DB5D0D" w14:paraId="4C747669" w14:textId="77777777" w:rsidTr="00E543D0">
        <w:tc>
          <w:tcPr>
            <w:tcW w:w="3736" w:type="dxa"/>
          </w:tcPr>
          <w:p w14:paraId="7AE4C2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соединительное кольцо</w:t>
            </w:r>
          </w:p>
        </w:tc>
        <w:tc>
          <w:tcPr>
            <w:tcW w:w="3736" w:type="dxa"/>
          </w:tcPr>
          <w:p w14:paraId="34F3E8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0,750</w:t>
            </w:r>
          </w:p>
        </w:tc>
        <w:tc>
          <w:tcPr>
            <w:tcW w:w="3736" w:type="dxa"/>
          </w:tcPr>
          <w:p w14:paraId="0C30F0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полосовая сталь</w:t>
            </w:r>
          </w:p>
        </w:tc>
      </w:tr>
      <w:tr w:rsidR="007D5DF8" w:rsidRPr="00DB5D0D" w14:paraId="0DC8DDE7" w14:textId="77777777" w:rsidTr="00E543D0">
        <w:tc>
          <w:tcPr>
            <w:tcW w:w="3736" w:type="dxa"/>
          </w:tcPr>
          <w:p w14:paraId="2AEF73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3736" w:type="dxa"/>
          </w:tcPr>
          <w:p w14:paraId="3F2A5D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5,75 кг</w:t>
            </w:r>
          </w:p>
        </w:tc>
        <w:tc>
          <w:tcPr>
            <w:tcW w:w="3736" w:type="dxa"/>
          </w:tcPr>
          <w:p w14:paraId="57485A9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5E7CD6F" w14:textId="77777777" w:rsidTr="00E543D0">
        <w:tc>
          <w:tcPr>
            <w:tcW w:w="3736" w:type="dxa"/>
          </w:tcPr>
          <w:p w14:paraId="6DF5A87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736" w:type="dxa"/>
          </w:tcPr>
          <w:p w14:paraId="044D4E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2,92 кг</w:t>
            </w:r>
          </w:p>
        </w:tc>
        <w:tc>
          <w:tcPr>
            <w:tcW w:w="3736" w:type="dxa"/>
          </w:tcPr>
          <w:p w14:paraId="24B81AC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98A860C" w14:textId="77777777" w:rsidTr="00E543D0">
        <w:tc>
          <w:tcPr>
            <w:tcW w:w="3736" w:type="dxa"/>
          </w:tcPr>
          <w:p w14:paraId="68C0FB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Свертная гильза</w:t>
            </w:r>
          </w:p>
        </w:tc>
        <w:tc>
          <w:tcPr>
            <w:tcW w:w="3736" w:type="dxa"/>
          </w:tcPr>
          <w:p w14:paraId="4E75D35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736" w:type="dxa"/>
          </w:tcPr>
          <w:p w14:paraId="1938F7E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771A38B" w14:textId="77777777" w:rsidTr="00E543D0">
        <w:tc>
          <w:tcPr>
            <w:tcW w:w="3736" w:type="dxa"/>
          </w:tcPr>
          <w:p w14:paraId="124558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корпус гильзы</w:t>
            </w:r>
          </w:p>
        </w:tc>
        <w:tc>
          <w:tcPr>
            <w:tcW w:w="3736" w:type="dxa"/>
          </w:tcPr>
          <w:p w14:paraId="095733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2,400</w:t>
            </w:r>
          </w:p>
        </w:tc>
        <w:tc>
          <w:tcPr>
            <w:tcW w:w="3736" w:type="dxa"/>
          </w:tcPr>
          <w:p w14:paraId="7154A6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листовая сталь 1,3 мм</w:t>
            </w:r>
          </w:p>
        </w:tc>
      </w:tr>
      <w:tr w:rsidR="007D5DF8" w:rsidRPr="00DB5D0D" w14:paraId="5F02ECD7" w14:textId="77777777" w:rsidTr="00E543D0">
        <w:tc>
          <w:tcPr>
            <w:tcW w:w="3736" w:type="dxa"/>
          </w:tcPr>
          <w:p w14:paraId="3D9BFF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дно</w:t>
            </w:r>
          </w:p>
        </w:tc>
        <w:tc>
          <w:tcPr>
            <w:tcW w:w="3736" w:type="dxa"/>
          </w:tcPr>
          <w:p w14:paraId="24A238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3,150</w:t>
            </w:r>
          </w:p>
        </w:tc>
        <w:tc>
          <w:tcPr>
            <w:tcW w:w="3736" w:type="dxa"/>
          </w:tcPr>
          <w:p w14:paraId="7E6E0D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поковка</w:t>
            </w:r>
          </w:p>
        </w:tc>
      </w:tr>
      <w:tr w:rsidR="007D5DF8" w:rsidRPr="00DB5D0D" w14:paraId="7DCE98B2" w14:textId="77777777" w:rsidTr="00E543D0">
        <w:tc>
          <w:tcPr>
            <w:tcW w:w="3736" w:type="dxa"/>
          </w:tcPr>
          <w:p w14:paraId="0E44E8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соединительное колько</w:t>
            </w:r>
          </w:p>
        </w:tc>
        <w:tc>
          <w:tcPr>
            <w:tcW w:w="3736" w:type="dxa"/>
          </w:tcPr>
          <w:p w14:paraId="049161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0,750</w:t>
            </w:r>
          </w:p>
        </w:tc>
        <w:tc>
          <w:tcPr>
            <w:tcW w:w="3736" w:type="dxa"/>
          </w:tcPr>
          <w:p w14:paraId="584583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полосовая сталь</w:t>
            </w:r>
          </w:p>
        </w:tc>
      </w:tr>
      <w:tr w:rsidR="007D5DF8" w:rsidRPr="00DB5D0D" w14:paraId="1FF9CEF4" w14:textId="77777777" w:rsidTr="00E543D0">
        <w:tc>
          <w:tcPr>
            <w:tcW w:w="3736" w:type="dxa"/>
            <w:tcBorders>
              <w:bottom w:val="single" w:sz="12" w:space="0" w:color="auto"/>
            </w:tcBorders>
          </w:tcPr>
          <w:p w14:paraId="79C4F1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3736" w:type="dxa"/>
            <w:tcBorders>
              <w:bottom w:val="single" w:sz="12" w:space="0" w:color="auto"/>
            </w:tcBorders>
          </w:tcPr>
          <w:p w14:paraId="136455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 кг</w:t>
            </w:r>
          </w:p>
        </w:tc>
        <w:tc>
          <w:tcPr>
            <w:tcW w:w="3736" w:type="dxa"/>
            <w:tcBorders>
              <w:bottom w:val="single" w:sz="12" w:space="0" w:color="auto"/>
            </w:tcBorders>
          </w:tcPr>
          <w:p w14:paraId="0B24DB3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4D852C8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Преимущества по живучести гильзы ШД не установлены, но можно предполагать, что три выстрела она должна выдержать.</w:t>
      </w:r>
    </w:p>
    <w:p w14:paraId="090AE2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гильз ЩД целесообразно организовать на заво</w:t>
      </w:r>
      <w:r w:rsidRPr="00DB5D0D">
        <w:rPr>
          <w:rFonts w:ascii="Times New Roman" w:hAnsi="Times New Roman"/>
          <w:color w:val="000000" w:themeColor="text1"/>
          <w:sz w:val="16"/>
          <w:szCs w:val="16"/>
        </w:rPr>
        <w:softHyphen/>
        <w:t>дах НКОМ, НКПС.</w:t>
      </w:r>
    </w:p>
    <w:p w14:paraId="01A9F58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Точно указать заводы указанных Наркоматов не можем (10206,162).</w:t>
      </w:r>
    </w:p>
    <w:p w14:paraId="703D40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8CFA7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Зам. Нач. Управления вооружения наземной артиллерии ГАУ ви1р Бушмелев писал письмо № 382751 в ГЛАВНЫЙ КОНТРОЛЬ КОМИТЕТА ОБОРОНЫ СНК СССР тов. ИВАНОВУ</w:t>
      </w:r>
    </w:p>
    <w:p w14:paraId="516B81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устный запрос т. Корнецкого о целесообразности доработки гильз конструкции "ШД”сообщаю следующее:</w:t>
      </w:r>
    </w:p>
    <w:p w14:paraId="244F273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Артиллерийское Управление Красной Армии письмом № 248041с от 25 ноября 1939г. в 7-е Глазное Управление НКБ дало согласие на отработ ку гильз "ШД" по представленному в АУ КА эскизу и на прием гильз этой конструкции одной партии в количестве 2.500 шт. к 122 мм гаубице обр. 10/30 г. и одной партии 2.500 шт. к 152мм гаубице обр.09/30 г.</w:t>
      </w:r>
    </w:p>
    <w:p w14:paraId="0B9FBB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настоящего времени завод № 187 /зани</w:t>
      </w:r>
      <w:r w:rsidRPr="00DB5D0D">
        <w:rPr>
          <w:rFonts w:ascii="Times New Roman" w:hAnsi="Times New Roman"/>
          <w:color w:val="000000" w:themeColor="text1"/>
          <w:sz w:val="16"/>
          <w:szCs w:val="16"/>
        </w:rPr>
        <w:softHyphen/>
        <w:t>мавшийся отработкой гильз "ШД”/ не пред"яаил АУ КА ни указанных выше партий гильз ни отра</w:t>
      </w:r>
      <w:r w:rsidRPr="00DB5D0D">
        <w:rPr>
          <w:rFonts w:ascii="Times New Roman" w:hAnsi="Times New Roman"/>
          <w:color w:val="000000" w:themeColor="text1"/>
          <w:sz w:val="16"/>
          <w:szCs w:val="16"/>
        </w:rPr>
        <w:softHyphen/>
        <w:t>ботанного чертежа гильзы "ШД".</w:t>
      </w:r>
    </w:p>
    <w:p w14:paraId="09F74CE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Первые образцы гильз "ШД" при испытаниях стрельбой давали неудовлетворительные результатты: гильзы разрушались при выстреле, затвор не открывался. Гильза конструкции "ШД" никаких преимуществ перед сборной и свертной гильзами не имеет.</w:t>
      </w:r>
    </w:p>
    <w:p w14:paraId="6F4D18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Технология изготовления гильзы “ШД” сложнее изготовления сборной и свертной гильзы, т.к. у гильзы "ШД" имеется две точеных детали с тремя резьбами, тогда как у сборной и свертной гиль</w:t>
      </w:r>
      <w:r w:rsidRPr="00DB5D0D">
        <w:rPr>
          <w:rFonts w:ascii="Times New Roman" w:hAnsi="Times New Roman"/>
          <w:color w:val="000000" w:themeColor="text1"/>
          <w:sz w:val="16"/>
          <w:szCs w:val="16"/>
        </w:rPr>
        <w:softHyphen/>
        <w:t>зы только одна точеная деталь и одна резьба.</w:t>
      </w:r>
    </w:p>
    <w:p w14:paraId="7BB85C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гильзы "ШД" не дает оснований быть уверен</w:t>
      </w:r>
      <w:r w:rsidRPr="00DB5D0D">
        <w:rPr>
          <w:rFonts w:ascii="Times New Roman" w:hAnsi="Times New Roman"/>
          <w:color w:val="000000" w:themeColor="text1"/>
          <w:sz w:val="16"/>
          <w:szCs w:val="16"/>
        </w:rPr>
        <w:softHyphen/>
        <w:t>ные в ее качестве при боевом применении и хранении: дно гильзы слабое, не исключена возможность его деформации при стрельбе; у собранных гильз нельзя проверить наличие картон</w:t>
      </w:r>
      <w:r w:rsidRPr="00DB5D0D">
        <w:rPr>
          <w:rFonts w:ascii="Times New Roman" w:hAnsi="Times New Roman"/>
          <w:color w:val="000000" w:themeColor="text1"/>
          <w:sz w:val="16"/>
          <w:szCs w:val="16"/>
        </w:rPr>
        <w:softHyphen/>
        <w:t>ных прокладок мезду дном и корпусом; при валовом изготовлении гильз "ШД" не исключена возможность получения большой эксцен</w:t>
      </w:r>
      <w:r w:rsidRPr="00DB5D0D">
        <w:rPr>
          <w:rFonts w:ascii="Times New Roman" w:hAnsi="Times New Roman"/>
          <w:color w:val="000000" w:themeColor="text1"/>
          <w:sz w:val="16"/>
          <w:szCs w:val="16"/>
        </w:rPr>
        <w:softHyphen/>
        <w:t>тричности очка под капсюльную втулку по отношению к корпусу гильзы, что создает опасность получения осечек при стрельбе с гильзами "ШД"; наличие вставкой втулки с очком под капвтул</w:t>
      </w:r>
      <w:r w:rsidRPr="00DB5D0D">
        <w:rPr>
          <w:rFonts w:ascii="Times New Roman" w:hAnsi="Times New Roman"/>
          <w:color w:val="000000" w:themeColor="text1"/>
          <w:sz w:val="16"/>
          <w:szCs w:val="16"/>
        </w:rPr>
        <w:softHyphen/>
        <w:t>ку создает негерметичность гильзы "ШД".</w:t>
      </w:r>
    </w:p>
    <w:p w14:paraId="6AC232A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Исходя из вышеизложенного считаю, что заниматься даль</w:t>
      </w:r>
      <w:r w:rsidRPr="00DB5D0D">
        <w:rPr>
          <w:rFonts w:ascii="Times New Roman" w:hAnsi="Times New Roman"/>
          <w:color w:val="000000" w:themeColor="text1"/>
          <w:sz w:val="16"/>
          <w:szCs w:val="16"/>
        </w:rPr>
        <w:softHyphen/>
        <w:t>нейшей отработкой гильзы конструкции "ШД" бесполезно, тем более, что надо форсировать отработку более высококачествен</w:t>
      </w:r>
      <w:r w:rsidRPr="00DB5D0D">
        <w:rPr>
          <w:rFonts w:ascii="Times New Roman" w:hAnsi="Times New Roman"/>
          <w:color w:val="000000" w:themeColor="text1"/>
          <w:sz w:val="16"/>
          <w:szCs w:val="16"/>
        </w:rPr>
        <w:softHyphen/>
        <w:t>ной конструкции сборной гильзы /кованное дно, цельнотянутый корпус/ (10206,166).</w:t>
      </w:r>
    </w:p>
    <w:p w14:paraId="371E36D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1DCBE23" w14:textId="77777777" w:rsidR="00112A14" w:rsidRPr="00DB5D0D" w:rsidRDefault="00112A14"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27 августа 1940 вышло </w:t>
      </w:r>
      <w:r w:rsidRPr="00DB5D0D">
        <w:rPr>
          <w:rFonts w:ascii="Times New Roman" w:hAnsi="Times New Roman"/>
          <w:color w:val="0070C0"/>
          <w:sz w:val="16"/>
          <w:szCs w:val="16"/>
          <w:shd w:val="clear" w:color="auto" w:fill="FFFFFF"/>
        </w:rPr>
        <w:t>Постановление Комитета обороны при СНК СССР №372сс "О нормах запасных стволов, лейнеров и свободных труб к артиллерийским системам на 1940 г. и мобилизационный период" (22034).</w:t>
      </w:r>
    </w:p>
    <w:p w14:paraId="6C772C0A" w14:textId="77777777" w:rsidR="00112A14" w:rsidRPr="00DB5D0D" w:rsidRDefault="00112A14" w:rsidP="00DB5D0D">
      <w:pPr>
        <w:spacing w:after="0" w:line="240" w:lineRule="auto"/>
        <w:jc w:val="both"/>
        <w:rPr>
          <w:rFonts w:ascii="Times New Roman" w:hAnsi="Times New Roman"/>
          <w:color w:val="0070C0"/>
          <w:sz w:val="16"/>
          <w:szCs w:val="16"/>
        </w:rPr>
      </w:pPr>
    </w:p>
    <w:p w14:paraId="1D2BA25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2DFFA63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39878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начальником ВВС назначили П.Рычагова (220,30). 29 лет, ГЛ, ГСС - Хасан, Финляндия (66,224). Я.В.Смушкевича назначили генерал-инспектором ВВС - оттеснили (205,30).</w:t>
      </w:r>
    </w:p>
    <w:p w14:paraId="4B473B4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6B9DFF9" w14:textId="77777777" w:rsidR="00CC0C8B" w:rsidRPr="00DB5D0D" w:rsidRDefault="00CC0C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г. в соот</w:t>
      </w:r>
      <w:r w:rsidRPr="00DB5D0D">
        <w:rPr>
          <w:rFonts w:ascii="Times New Roman" w:hAnsi="Times New Roman"/>
          <w:color w:val="000000" w:themeColor="text1"/>
          <w:sz w:val="16"/>
          <w:szCs w:val="16"/>
        </w:rPr>
        <w:softHyphen/>
        <w:t>ветствии с решением Комитета обороны в период 20-25 сентября то</w:t>
      </w:r>
      <w:r w:rsidRPr="00DB5D0D">
        <w:rPr>
          <w:rFonts w:ascii="Times New Roman" w:hAnsi="Times New Roman"/>
          <w:color w:val="000000" w:themeColor="text1"/>
          <w:sz w:val="16"/>
          <w:szCs w:val="16"/>
        </w:rPr>
        <w:softHyphen/>
        <w:t>го же года был произведен переучет всех са</w:t>
      </w:r>
      <w:r w:rsidRPr="00DB5D0D">
        <w:rPr>
          <w:rFonts w:ascii="Times New Roman" w:hAnsi="Times New Roman"/>
          <w:color w:val="000000" w:themeColor="text1"/>
          <w:sz w:val="16"/>
          <w:szCs w:val="16"/>
        </w:rPr>
        <w:softHyphen/>
        <w:t>молетов и моторов ВВС Красной Армии. Ис</w:t>
      </w:r>
      <w:r w:rsidRPr="00DB5D0D">
        <w:rPr>
          <w:rFonts w:ascii="Times New Roman" w:hAnsi="Times New Roman"/>
          <w:color w:val="000000" w:themeColor="text1"/>
          <w:sz w:val="16"/>
          <w:szCs w:val="16"/>
        </w:rPr>
        <w:softHyphen/>
        <w:t>требители И-5, общим количеством 342 эк</w:t>
      </w:r>
      <w:r w:rsidRPr="00DB5D0D">
        <w:rPr>
          <w:rFonts w:ascii="Times New Roman" w:hAnsi="Times New Roman"/>
          <w:color w:val="000000" w:themeColor="text1"/>
          <w:sz w:val="16"/>
          <w:szCs w:val="16"/>
        </w:rPr>
        <w:softHyphen/>
        <w:t>земпляра, при этом вошли в состав учебных и тренировочных самолетов. Дополнительно указывалось, что 257 И-5 являются исправ</w:t>
      </w:r>
      <w:r w:rsidRPr="00DB5D0D">
        <w:rPr>
          <w:rFonts w:ascii="Times New Roman" w:hAnsi="Times New Roman"/>
          <w:color w:val="000000" w:themeColor="text1"/>
          <w:sz w:val="16"/>
          <w:szCs w:val="16"/>
        </w:rPr>
        <w:softHyphen/>
        <w:t>ными, еще 19 требуют текущего и среднего ремонта, 17 — требуют капитального ремон</w:t>
      </w:r>
      <w:r w:rsidRPr="00DB5D0D">
        <w:rPr>
          <w:rFonts w:ascii="Times New Roman" w:hAnsi="Times New Roman"/>
          <w:color w:val="000000" w:themeColor="text1"/>
          <w:sz w:val="16"/>
          <w:szCs w:val="16"/>
        </w:rPr>
        <w:softHyphen/>
        <w:t>та, 20 — подлежат списанию, как непригод</w:t>
      </w:r>
      <w:r w:rsidRPr="00DB5D0D">
        <w:rPr>
          <w:rFonts w:ascii="Times New Roman" w:hAnsi="Times New Roman"/>
          <w:color w:val="000000" w:themeColor="text1"/>
          <w:sz w:val="16"/>
          <w:szCs w:val="16"/>
        </w:rPr>
        <w:softHyphen/>
        <w:t>ные к дальнейшей эксплуатации.</w:t>
      </w:r>
    </w:p>
    <w:p w14:paraId="23D20A62" w14:textId="77777777" w:rsidR="00CC0C8B" w:rsidRPr="00DB5D0D" w:rsidRDefault="00CC0C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Были учтены в этот период и истребите</w:t>
      </w:r>
      <w:r w:rsidRPr="00DB5D0D">
        <w:rPr>
          <w:rFonts w:ascii="Times New Roman" w:hAnsi="Times New Roman"/>
          <w:color w:val="000000" w:themeColor="text1"/>
          <w:sz w:val="16"/>
          <w:szCs w:val="16"/>
        </w:rPr>
        <w:softHyphen/>
        <w:t>ли, находящиеся на вооружении авиации НКВМФ (Народного Комиссариата Воен</w:t>
      </w:r>
      <w:r w:rsidRPr="00DB5D0D">
        <w:rPr>
          <w:rFonts w:ascii="Times New Roman" w:hAnsi="Times New Roman"/>
          <w:color w:val="000000" w:themeColor="text1"/>
          <w:sz w:val="16"/>
          <w:szCs w:val="16"/>
        </w:rPr>
        <w:softHyphen/>
        <w:t>но-Морского Флота). У моряков И-5 насчи</w:t>
      </w:r>
      <w:r w:rsidRPr="00DB5D0D">
        <w:rPr>
          <w:rFonts w:ascii="Times New Roman" w:hAnsi="Times New Roman"/>
          <w:color w:val="000000" w:themeColor="text1"/>
          <w:sz w:val="16"/>
          <w:szCs w:val="16"/>
        </w:rPr>
        <w:softHyphen/>
        <w:t>тали 43 экземпляра. Из них 36 истребителей находились в учебных подразделениях, а 7 еше входили в боевой состав Черноморско</w:t>
      </w:r>
      <w:r w:rsidRPr="00DB5D0D">
        <w:rPr>
          <w:rFonts w:ascii="Times New Roman" w:hAnsi="Times New Roman"/>
          <w:color w:val="000000" w:themeColor="text1"/>
          <w:sz w:val="16"/>
          <w:szCs w:val="16"/>
        </w:rPr>
        <w:softHyphen/>
        <w:t>го флота (12296).</w:t>
      </w:r>
    </w:p>
    <w:p w14:paraId="4BE50A8C" w14:textId="77777777" w:rsidR="00CC0C8B" w:rsidRPr="00DB5D0D" w:rsidRDefault="00CC0C8B" w:rsidP="00DB5D0D">
      <w:pPr>
        <w:spacing w:after="0" w:line="240" w:lineRule="auto"/>
        <w:jc w:val="both"/>
        <w:rPr>
          <w:rFonts w:ascii="Times New Roman" w:hAnsi="Times New Roman"/>
          <w:color w:val="000000" w:themeColor="text1"/>
          <w:sz w:val="16"/>
          <w:szCs w:val="16"/>
        </w:rPr>
      </w:pPr>
    </w:p>
    <w:p w14:paraId="2CD27880"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Внешняя политика:</w:t>
      </w:r>
    </w:p>
    <w:p w14:paraId="21657F9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DDCD3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В.М.М. сделал заявление, что антикоминтерновский пакт не подрывает взаимоотношений СССР и Германии и ее союзниками (1348,245).</w:t>
      </w:r>
    </w:p>
    <w:p w14:paraId="2BB5E9F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CDD6CB0"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59F927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5C313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состоялся первый полет самолета Caproni Campini 1 с комбинированной силовой установкой (237,191).</w:t>
      </w:r>
    </w:p>
    <w:p w14:paraId="07D31CF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B3C1A0" w14:textId="77777777" w:rsidR="008B5208" w:rsidRPr="00DB5D0D" w:rsidRDefault="008B520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27 августа 1940 состоялся первый полет Caproni Campini N.1 с мотокомпрессорным воздушно-реактивным двигателем. Признан первым полетом реактивного самолета. Это признание отменяется, когда обнародуется новость августа 1939 о полет турбореактивного Heinkel He 178 (20795).</w:t>
      </w:r>
    </w:p>
    <w:p w14:paraId="3717D4A4" w14:textId="77777777" w:rsidR="008B5208" w:rsidRPr="00DB5D0D" w:rsidRDefault="008B5208" w:rsidP="00DB5D0D">
      <w:pPr>
        <w:spacing w:after="0" w:line="240" w:lineRule="auto"/>
        <w:jc w:val="both"/>
        <w:rPr>
          <w:rFonts w:ascii="Times New Roman" w:hAnsi="Times New Roman"/>
          <w:color w:val="0070C0"/>
          <w:sz w:val="16"/>
          <w:szCs w:val="16"/>
        </w:rPr>
      </w:pPr>
    </w:p>
    <w:p w14:paraId="2845764A" w14:textId="77777777" w:rsidR="008B5208" w:rsidRPr="00DB5D0D" w:rsidRDefault="008B520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27 августа 1940 года — первый полёт опытного реактивного самолёта Caproni Campini N.1. /Италия/</w:t>
      </w:r>
    </w:p>
    <w:p w14:paraId="0BD7BF24" w14:textId="77777777" w:rsidR="008B5208" w:rsidRPr="00DB5D0D" w:rsidRDefault="008B520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1931 году инженер Секондо Кампини опубликовал исследования в области реактивной тяги и предложил проект термореактивного двигателя. ВВС Италии заказали Кампини истребитель с таким двигателем, чтобы оценить его военный потенциал. Проект Caproni Campini N.1 начался в 1934 году и разрабатывался совместно с авиаконцерном Caproni.</w:t>
      </w:r>
    </w:p>
    <w:p w14:paraId="6ECC7BC7" w14:textId="77777777" w:rsidR="008B5208" w:rsidRPr="00DB5D0D" w:rsidRDefault="008B520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N.1 представлял собой двухместный низкоплан. Самолёт не был по-настоящему турбореактивным — реактивно-поршневая установка "Monoreattore" состояла из двигателя Isotta Fraschini L.121/RC.40, камеры сгорания и реактивного сопла. Максимальная скорость — 375 км/ч.</w:t>
      </w:r>
    </w:p>
    <w:p w14:paraId="35B567DF" w14:textId="77777777" w:rsidR="008B5208" w:rsidRPr="00DB5D0D" w:rsidRDefault="008B5208"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Построили 2 летающих прототипа Caproni Campini N.1. Проект получился провальным — скорость ниже, чем у поршневых самолётов; постоянный перегрев двигателя. В условиях войны Италия не могла себе позволить доработку самолёта. Один N.1 уцелел и сегодня находится в Историческом музее итальянских ВВС (22300).</w:t>
      </w:r>
    </w:p>
    <w:p w14:paraId="0B5EA31E" w14:textId="77777777" w:rsidR="008B5208" w:rsidRPr="00DB5D0D" w:rsidRDefault="008B5208" w:rsidP="00DB5D0D">
      <w:pPr>
        <w:spacing w:after="0" w:line="240" w:lineRule="auto"/>
        <w:jc w:val="both"/>
        <w:rPr>
          <w:rFonts w:ascii="Times New Roman" w:hAnsi="Times New Roman"/>
          <w:color w:val="0070C0"/>
          <w:sz w:val="16"/>
          <w:szCs w:val="16"/>
        </w:rPr>
      </w:pPr>
    </w:p>
    <w:p w14:paraId="490BD1ED" w14:textId="77777777" w:rsidR="00105C40" w:rsidRPr="00DB5D0D" w:rsidRDefault="00105C4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27 августа 1940 г. на заводе Авиа в Чаковице последний из 41 В- 71А (серийные номера 152 – 191 и 193). Последний В-71А имел номер 191/SE+EY. 21 июля 1939 г. впервые поднялся в воздух первый из собранный в Чековицах В- 71А, который в сентябре его передали в испытательный центр в Тарневице.</w:t>
      </w:r>
    </w:p>
    <w:p w14:paraId="65815DE4" w14:textId="77777777" w:rsidR="00105C40" w:rsidRPr="00DB5D0D" w:rsidRDefault="00105C4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 момент вторжения германских войск в Чехословакию подготовка лицензионного производства самолетов В-71 на заводе Авиа продвинулось очень далеко. Немцы посчитали самолет идеальным буксировщиком и заказали фирмам Авиа и Аэро 76 В-71 А.</w:t>
      </w:r>
    </w:p>
    <w:p w14:paraId="2EFBEA24" w14:textId="77777777" w:rsidR="00105C40" w:rsidRPr="00DB5D0D" w:rsidRDefault="00105C4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Завод Аэро в Праге-Высочанах построил 35 самолетов В-71 А, получивших серийные номера 117 – 151. Первый В-71 А постройки завода Аэро (143/TB+PI) покинул сборочную линию 22 мая 1940 г. и бал направлен в Luftdienst-Kommando 1/7 в Лекфильд, Бавария.</w:t>
      </w:r>
    </w:p>
    <w:p w14:paraId="115239A7" w14:textId="77777777" w:rsidR="00105C40" w:rsidRPr="00DB5D0D" w:rsidRDefault="00105C4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Буксировщики мишеней В-71А имели ряд отличий от бомбардировщиков В-71 советской постройки. Буксировщики не имели вооружения, нос фюзеляжа не имел остекления – был зашит металлом. Фиксированные мачты радиоантенн на верхней части фюзеляжа заменили убираемой антенной в нижней правой части фюзеляжа. На переплете фонарей кабин монтировались зеркала заднего вида. Большинство самолетов В-71 А не имело круглых иллюминаторов в бортах задней части фюзеляжа. По левому борту фюзеляжа за центропланам крыла имелась подножка для членов экипажа. Вместо люковой пулеметной установки монтировалось обтекатель, под которым пропускался трос буксировочного оборудования. Оборудование состояло из лебедки барабана с тросом диаметром 2,5 мм и 3-метрового конуса, по которому вели стрельбу истребители на тренировках. Лебедка и барабан монтировались в бомбоотсеке. Установка буксировочного оборудования нарушило балансировку самолета. Для компенсации смещения центра тяжести в кабину штурмана пришлось уложить балласт массой 240 кг.</w:t>
      </w:r>
    </w:p>
    <w:p w14:paraId="1A7A7597" w14:textId="77777777" w:rsidR="00105C40" w:rsidRPr="00DB5D0D" w:rsidRDefault="00105C4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Все самолеты В-71 А постройки заводов Аэро и Авиа окрашивались по стандартной схеме люфтваффе. Верх – черно-зеленый RLM-70 и темно-зеленый RLM-71, низ – светло-голубой RLM-65. На большинстве В-71А кресты Stammkennzeichen были нанесены краской черного цвета на бортах в задней части фюзеляжа, на верхних и </w:t>
      </w:r>
      <w:r w:rsidRPr="00DB5D0D">
        <w:rPr>
          <w:rFonts w:ascii="Times New Roman" w:eastAsia="Times New Roman" w:hAnsi="Times New Roman"/>
          <w:color w:val="000000" w:themeColor="text1"/>
          <w:sz w:val="16"/>
          <w:szCs w:val="16"/>
          <w:lang w:eastAsia="ru-RU"/>
        </w:rPr>
        <w:lastRenderedPageBreak/>
        <w:t>нижних поверхностях крыльев. Где-то между концом 1939 г. и летом 1940 г. на фюзеляжах и верхних поверхностях крыла нарисовали Balkenkreuxe. Эти опознавательные знаки использовались до середины 1940 г., когда им на смену пришли большие кресты, а свастику переместили с руля на все вертикальное оперение.</w:t>
      </w:r>
    </w:p>
    <w:p w14:paraId="66FDE4FD" w14:textId="77777777" w:rsidR="00105C40" w:rsidRPr="00DB5D0D" w:rsidRDefault="00105C40"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люфтваффе большинство В-71 А поступило на вооружение Luftdienst- Kommando 6. самолеты использовались для буксировки мишеней и разведки погоды. Другие В-71 А эксплуатировались в Ausbildungsgruppe-104 (тренировочная группа 104), Jagdfliegerschule-4 и в секретной бомбардировочной группе KG-200. Надежные и прочные В-71 А долго служили в люфтваффе. По состоянию на 31 марта 1944 г. в люфтваффе имелось 57 самолетов В- 71 А, но уже на 30 сентября 1944 г. их осталось всего девять – сказалась нехватка запасных частей (17405).</w:t>
      </w:r>
    </w:p>
    <w:p w14:paraId="3546B486" w14:textId="77777777" w:rsidR="00105C40" w:rsidRPr="00DB5D0D" w:rsidRDefault="00105C40" w:rsidP="00DB5D0D">
      <w:pPr>
        <w:spacing w:after="0" w:line="240" w:lineRule="auto"/>
        <w:jc w:val="both"/>
        <w:rPr>
          <w:rFonts w:ascii="Times New Roman" w:hAnsi="Times New Roman"/>
          <w:color w:val="000000" w:themeColor="text1"/>
          <w:sz w:val="16"/>
          <w:szCs w:val="16"/>
        </w:rPr>
      </w:pPr>
    </w:p>
    <w:p w14:paraId="748840C2" w14:textId="77777777" w:rsidR="00F91F6B" w:rsidRPr="00DB5D0D" w:rsidRDefault="00F91F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 августа 1940 года компания «Columbia Broadcasting Systém» продемонстрировала в Нью-Йорке первую практическую систему цветного телевидения, разработанную американцем венгерского происхождения Питером Карлом Голдмарком. Яркость элементов изображения управлялась электронно-лучевым сканированием, но цветоделение осуществлялось механически: перед передающей и приемной трубками синхронно вращались диски со светофильтрами. В 1951 году CBS открыла цветное телевещание в Нью-Йорке, Бостоне и других городах США, однако путь с механической цветопередачей оказался тупиковым и вскоре уступил место нынешнему, полностью электронному телевидению</w:t>
      </w:r>
      <w:r w:rsidRPr="00DB5D0D">
        <w:rPr>
          <w:rStyle w:val="ucoz-forum-post"/>
          <w:rFonts w:ascii="Times New Roman" w:eastAsia="Times New Roman" w:hAnsi="Times New Roman"/>
          <w:color w:val="000000" w:themeColor="text1"/>
          <w:sz w:val="16"/>
          <w:szCs w:val="16"/>
        </w:rPr>
        <w:t xml:space="preserve"> (14751)</w:t>
      </w:r>
      <w:r w:rsidRPr="00DB5D0D">
        <w:rPr>
          <w:rFonts w:ascii="Times New Roman" w:hAnsi="Times New Roman"/>
          <w:color w:val="000000" w:themeColor="text1"/>
          <w:sz w:val="16"/>
          <w:szCs w:val="16"/>
        </w:rPr>
        <w:t>.</w:t>
      </w:r>
    </w:p>
    <w:p w14:paraId="2A2948A4" w14:textId="77777777" w:rsidR="00F91F6B" w:rsidRPr="00DB5D0D" w:rsidRDefault="00F91F6B" w:rsidP="00DB5D0D">
      <w:pPr>
        <w:spacing w:after="0" w:line="240" w:lineRule="auto"/>
        <w:jc w:val="both"/>
        <w:rPr>
          <w:rFonts w:ascii="Times New Roman" w:hAnsi="Times New Roman"/>
          <w:color w:val="000000" w:themeColor="text1"/>
          <w:sz w:val="16"/>
          <w:szCs w:val="16"/>
        </w:rPr>
      </w:pPr>
    </w:p>
    <w:p w14:paraId="0CD4804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4F4A600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35237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вышли техтребования N 5/0222 ГУ ВВС к колесам ТБ-7 и остановились на 1660х585 мм, обеспечивающие нормальную эксплуатацию при весе 32 т (1295,312).</w:t>
      </w:r>
    </w:p>
    <w:p w14:paraId="3430658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B31A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контролер Вахрушев - представитель КО СНК СССР - в журнале Учета выполнения постановлени правительства в отношении постановления КО N 238сс 1940 “О создании высотного дальнего бомбардировщика "102" с двумя мотрами М-120 2ТК” отметил:</w:t>
      </w:r>
    </w:p>
    <w:p w14:paraId="54FEE9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этой машины идет медленно, т.к. НКАП т. Шахурин определил первоочередными работы по самолетам “103” и ПБ т. Кочеригина</w:t>
      </w:r>
    </w:p>
    <w:p w14:paraId="5244B7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завода т. Ленкин с работы снят (10395).</w:t>
      </w:r>
    </w:p>
    <w:p w14:paraId="3150984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BEE90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 второй и третий опытные экземп</w:t>
      </w:r>
      <w:r w:rsidRPr="00DB5D0D">
        <w:rPr>
          <w:rFonts w:ascii="Times New Roman" w:hAnsi="Times New Roman"/>
          <w:color w:val="000000" w:themeColor="text1"/>
          <w:sz w:val="16"/>
          <w:szCs w:val="16"/>
        </w:rPr>
        <w:softHyphen/>
        <w:t>ляры самолета И—200 поступили на государственные испытания, завершившиеся 12 сентября с весьма удовлетворительными результатами. В ходе их на вы</w:t>
      </w:r>
      <w:r w:rsidRPr="00DB5D0D">
        <w:rPr>
          <w:rFonts w:ascii="Times New Roman" w:hAnsi="Times New Roman"/>
          <w:color w:val="000000" w:themeColor="text1"/>
          <w:sz w:val="16"/>
          <w:szCs w:val="16"/>
        </w:rPr>
        <w:softHyphen/>
        <w:t>соте 7200 м была достигнута максимальная скорость 628 км/ч. Среди участников государственных испы</w:t>
      </w:r>
      <w:r w:rsidRPr="00DB5D0D">
        <w:rPr>
          <w:rFonts w:ascii="Times New Roman" w:hAnsi="Times New Roman"/>
          <w:color w:val="000000" w:themeColor="text1"/>
          <w:sz w:val="16"/>
          <w:szCs w:val="16"/>
        </w:rPr>
        <w:softHyphen/>
        <w:t>таний необходимо отметить пилотов майора С.П.Су</w:t>
      </w:r>
      <w:r w:rsidRPr="00DB5D0D">
        <w:rPr>
          <w:rFonts w:ascii="Times New Roman" w:hAnsi="Times New Roman"/>
          <w:color w:val="000000" w:themeColor="text1"/>
          <w:sz w:val="16"/>
          <w:szCs w:val="16"/>
        </w:rPr>
        <w:softHyphen/>
        <w:t>пруна, старшего лейтенанта А.Г.Кубышкина, ве</w:t>
      </w:r>
      <w:r w:rsidRPr="00DB5D0D">
        <w:rPr>
          <w:rFonts w:ascii="Times New Roman" w:hAnsi="Times New Roman"/>
          <w:color w:val="000000" w:themeColor="text1"/>
          <w:sz w:val="16"/>
          <w:szCs w:val="16"/>
        </w:rPr>
        <w:softHyphen/>
        <w:t>дущего инженера военного инженера 2 ранга П.С.Никитченко, его помощника воениженера 3 ранга В.И.Алексеенко, а также летчиков облета: на</w:t>
      </w:r>
      <w:r w:rsidRPr="00DB5D0D">
        <w:rPr>
          <w:rFonts w:ascii="Times New Roman" w:hAnsi="Times New Roman"/>
          <w:color w:val="000000" w:themeColor="text1"/>
          <w:sz w:val="16"/>
          <w:szCs w:val="16"/>
        </w:rPr>
        <w:softHyphen/>
        <w:t>чальника НИИ ВВС КА генерал-майора В.И.Фили</w:t>
      </w:r>
      <w:r w:rsidRPr="00DB5D0D">
        <w:rPr>
          <w:rFonts w:ascii="Times New Roman" w:hAnsi="Times New Roman"/>
          <w:color w:val="000000" w:themeColor="text1"/>
          <w:sz w:val="16"/>
          <w:szCs w:val="16"/>
        </w:rPr>
        <w:softHyphen/>
        <w:t>на, полковника А.И.Кабанова, майора П.М.Стефановского и капитана А.ГКочеткова. В последний день испытаний Кочетков едва избежал аварии из-за неисправности топливного крана (9984).</w:t>
      </w:r>
    </w:p>
    <w:p w14:paraId="0A2919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5CA997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 с удовлетворительными результатами завершились государственные испытания второго и третьего опытного экземп</w:t>
      </w:r>
      <w:r w:rsidRPr="00DB5D0D">
        <w:rPr>
          <w:rFonts w:ascii="Times New Roman" w:hAnsi="Times New Roman"/>
          <w:color w:val="000000" w:themeColor="text1"/>
          <w:sz w:val="16"/>
          <w:szCs w:val="16"/>
        </w:rPr>
        <w:softHyphen/>
        <w:t>ляров самолета И—200, которые начались 12 сентября 1940. В ходе их на вы</w:t>
      </w:r>
      <w:r w:rsidRPr="00DB5D0D">
        <w:rPr>
          <w:rFonts w:ascii="Times New Roman" w:hAnsi="Times New Roman"/>
          <w:color w:val="000000" w:themeColor="text1"/>
          <w:sz w:val="16"/>
          <w:szCs w:val="16"/>
        </w:rPr>
        <w:softHyphen/>
        <w:t>соте 7200 м была достигнута максимальная скорость 628 км/ч. Среди участников государственных испы</w:t>
      </w:r>
      <w:r w:rsidRPr="00DB5D0D">
        <w:rPr>
          <w:rFonts w:ascii="Times New Roman" w:hAnsi="Times New Roman"/>
          <w:color w:val="000000" w:themeColor="text1"/>
          <w:sz w:val="16"/>
          <w:szCs w:val="16"/>
        </w:rPr>
        <w:softHyphen/>
        <w:t>таний необходимо отметить пилотов майора С.П.Су</w:t>
      </w:r>
      <w:r w:rsidRPr="00DB5D0D">
        <w:rPr>
          <w:rFonts w:ascii="Times New Roman" w:hAnsi="Times New Roman"/>
          <w:color w:val="000000" w:themeColor="text1"/>
          <w:sz w:val="16"/>
          <w:szCs w:val="16"/>
        </w:rPr>
        <w:softHyphen/>
        <w:t>пруна, старшего лейтенанта А.Г.Кубышкина, ве</w:t>
      </w:r>
      <w:r w:rsidRPr="00DB5D0D">
        <w:rPr>
          <w:rFonts w:ascii="Times New Roman" w:hAnsi="Times New Roman"/>
          <w:color w:val="000000" w:themeColor="text1"/>
          <w:sz w:val="16"/>
          <w:szCs w:val="16"/>
        </w:rPr>
        <w:softHyphen/>
        <w:t>дущего инженера военного инженера 2 ранга П.С.Никитченко, его помощника воениженера 3 ранга В.И.Алексеенко, а также летчиков облета: на</w:t>
      </w:r>
      <w:r w:rsidRPr="00DB5D0D">
        <w:rPr>
          <w:rFonts w:ascii="Times New Roman" w:hAnsi="Times New Roman"/>
          <w:color w:val="000000" w:themeColor="text1"/>
          <w:sz w:val="16"/>
          <w:szCs w:val="16"/>
        </w:rPr>
        <w:softHyphen/>
        <w:t>чальника НИИ ВВС КА генерал-майора В.И.Фили</w:t>
      </w:r>
      <w:r w:rsidRPr="00DB5D0D">
        <w:rPr>
          <w:rFonts w:ascii="Times New Roman" w:hAnsi="Times New Roman"/>
          <w:color w:val="000000" w:themeColor="text1"/>
          <w:sz w:val="16"/>
          <w:szCs w:val="16"/>
        </w:rPr>
        <w:softHyphen/>
        <w:t>на, полковника А.И.Кабанова, майора П.М.Стефановского и капитана А.ГКочеткова. В последний день испытаний Кочетков едва избежал аварии из-за неисправности топливного крана. В выводах акта о результатах госиспытаний, ут</w:t>
      </w:r>
      <w:r w:rsidRPr="00DB5D0D">
        <w:rPr>
          <w:rFonts w:ascii="Times New Roman" w:hAnsi="Times New Roman"/>
          <w:color w:val="000000" w:themeColor="text1"/>
          <w:sz w:val="16"/>
          <w:szCs w:val="16"/>
        </w:rPr>
        <w:softHyphen/>
        <w:t>вержденного начальником Главного управления ВВС КА генерал-лейтенантом авиации П.В.Рычаговым, отмечалось: «самолет И—200 АМ—35А конструкции инженеров Микояна и Гуревича производства завода № 1 по своей скорости, равной 628 км/ч, является лучшим из опытных отечественных самолетов и не уступает однотипным иностранным самолетам на высотах выше 5000 м». К числу основных недостат</w:t>
      </w:r>
      <w:r w:rsidRPr="00DB5D0D">
        <w:rPr>
          <w:rFonts w:ascii="Times New Roman" w:hAnsi="Times New Roman"/>
          <w:color w:val="000000" w:themeColor="text1"/>
          <w:sz w:val="16"/>
          <w:szCs w:val="16"/>
        </w:rPr>
        <w:softHyphen/>
        <w:t>ков И—200 военные отнесли недостаточную даль</w:t>
      </w:r>
      <w:r w:rsidRPr="00DB5D0D">
        <w:rPr>
          <w:rFonts w:ascii="Times New Roman" w:hAnsi="Times New Roman"/>
          <w:color w:val="000000" w:themeColor="text1"/>
          <w:sz w:val="16"/>
          <w:szCs w:val="16"/>
        </w:rPr>
        <w:softHyphen/>
        <w:t>ность полета, малую продольную и поперечную ус</w:t>
      </w:r>
      <w:r w:rsidRPr="00DB5D0D">
        <w:rPr>
          <w:rFonts w:ascii="Times New Roman" w:hAnsi="Times New Roman"/>
          <w:color w:val="000000" w:themeColor="text1"/>
          <w:sz w:val="16"/>
          <w:szCs w:val="16"/>
        </w:rPr>
        <w:softHyphen/>
        <w:t>тойчивость. «Учитывая острую необходимость снабжения частей ВВС РККА истребителями типа И—200», техсовет рекомендовал как можно скорее провести войсковые испытания этих самолетов. Кроме того, техсовет считал необходимым:</w:t>
      </w:r>
    </w:p>
    <w:p w14:paraId="286DB2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провести летные 50-часовые испытания мото</w:t>
      </w:r>
      <w:r w:rsidRPr="00DB5D0D">
        <w:rPr>
          <w:rFonts w:ascii="Times New Roman" w:hAnsi="Times New Roman"/>
          <w:color w:val="000000" w:themeColor="text1"/>
          <w:sz w:val="16"/>
          <w:szCs w:val="16"/>
        </w:rPr>
        <w:softHyphen/>
        <w:t>ра АМ—35А на самолете И—200;</w:t>
      </w:r>
    </w:p>
    <w:p w14:paraId="137652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конструкторам А.И.Микояну и М.И.Гуревичу немедленно приступить к изготовлению самолета И—200, на котором:</w:t>
      </w:r>
    </w:p>
    <w:p w14:paraId="3D5012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повысить продольную устойчивость и вместе с тем обязательно облегчить управление, сделав само</w:t>
      </w:r>
      <w:r w:rsidRPr="00DB5D0D">
        <w:rPr>
          <w:rFonts w:ascii="Times New Roman" w:hAnsi="Times New Roman"/>
          <w:color w:val="000000" w:themeColor="text1"/>
          <w:sz w:val="16"/>
          <w:szCs w:val="16"/>
        </w:rPr>
        <w:softHyphen/>
        <w:t>лет приятным в пилотировании;</w:t>
      </w:r>
    </w:p>
    <w:p w14:paraId="43EDC73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увеличить поперечную устойчивость;</w:t>
      </w:r>
    </w:p>
    <w:p w14:paraId="13FF8D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запротектировать центропланные баки;</w:t>
      </w:r>
    </w:p>
    <w:p w14:paraId="4DE9F3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установить предкрылки, новые колеса разме</w:t>
      </w:r>
      <w:r w:rsidRPr="00DB5D0D">
        <w:rPr>
          <w:rFonts w:ascii="Times New Roman" w:hAnsi="Times New Roman"/>
          <w:color w:val="000000" w:themeColor="text1"/>
          <w:sz w:val="16"/>
          <w:szCs w:val="16"/>
        </w:rPr>
        <w:softHyphen/>
        <w:t>ром согласно нормам НКАП и пневматики на хвос</w:t>
      </w:r>
      <w:r w:rsidRPr="00DB5D0D">
        <w:rPr>
          <w:rFonts w:ascii="Times New Roman" w:hAnsi="Times New Roman"/>
          <w:color w:val="000000" w:themeColor="text1"/>
          <w:sz w:val="16"/>
          <w:szCs w:val="16"/>
        </w:rPr>
        <w:softHyphen/>
        <w:t>товое колесо (вместо гусматика);</w:t>
      </w:r>
    </w:p>
    <w:p w14:paraId="233E62D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установить дополнительно два легкосъемных пулемета ШКАС или «березин»;</w:t>
      </w:r>
    </w:p>
    <w:p w14:paraId="2B61E8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увеличить запас горючего, доведя дальность по</w:t>
      </w:r>
      <w:r w:rsidRPr="00DB5D0D">
        <w:rPr>
          <w:rFonts w:ascii="Times New Roman" w:hAnsi="Times New Roman"/>
          <w:color w:val="000000" w:themeColor="text1"/>
          <w:sz w:val="16"/>
          <w:szCs w:val="16"/>
        </w:rPr>
        <w:softHyphen/>
        <w:t>лета в нормальном варианте не менее 1000 километ</w:t>
      </w:r>
      <w:r w:rsidRPr="00DB5D0D">
        <w:rPr>
          <w:rFonts w:ascii="Times New Roman" w:hAnsi="Times New Roman"/>
          <w:color w:val="000000" w:themeColor="text1"/>
          <w:sz w:val="16"/>
          <w:szCs w:val="16"/>
        </w:rPr>
        <w:softHyphen/>
        <w:t>ров при полете на 0,9 максимальной скорости».</w:t>
      </w:r>
    </w:p>
    <w:p w14:paraId="662E055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 отметить, что по максимальной скоро</w:t>
      </w:r>
      <w:r w:rsidRPr="00DB5D0D">
        <w:rPr>
          <w:rFonts w:ascii="Times New Roman" w:hAnsi="Times New Roman"/>
          <w:color w:val="000000" w:themeColor="text1"/>
          <w:sz w:val="16"/>
          <w:szCs w:val="16"/>
        </w:rPr>
        <w:softHyphen/>
        <w:t>сти полета истребитель превосходил все новые оте</w:t>
      </w:r>
      <w:r w:rsidRPr="00DB5D0D">
        <w:rPr>
          <w:rFonts w:ascii="Times New Roman" w:hAnsi="Times New Roman"/>
          <w:color w:val="000000" w:themeColor="text1"/>
          <w:sz w:val="16"/>
          <w:szCs w:val="16"/>
        </w:rPr>
        <w:softHyphen/>
        <w:t>чественные истребители, но не удовлетворял требо</w:t>
      </w:r>
      <w:r w:rsidRPr="00DB5D0D">
        <w:rPr>
          <w:rFonts w:ascii="Times New Roman" w:hAnsi="Times New Roman"/>
          <w:color w:val="000000" w:themeColor="text1"/>
          <w:sz w:val="16"/>
          <w:szCs w:val="16"/>
        </w:rPr>
        <w:softHyphen/>
        <w:t>ваниям постановления правительства от 4 марта 1940 г. (640 км/ч). Отдельные полеты первого опыт</w:t>
      </w:r>
      <w:r w:rsidRPr="00DB5D0D">
        <w:rPr>
          <w:rFonts w:ascii="Times New Roman" w:hAnsi="Times New Roman"/>
          <w:color w:val="000000" w:themeColor="text1"/>
          <w:sz w:val="16"/>
          <w:szCs w:val="16"/>
        </w:rPr>
        <w:softHyphen/>
        <w:t>ного И—200 без вооружения и иного оборудования (при весе всего в 2950 кг) в расчет не принимались — военные упрямо и совершенно справедливо считали единственно бесспорными цифры, подтверж</w:t>
      </w:r>
      <w:r w:rsidRPr="00DB5D0D">
        <w:rPr>
          <w:rFonts w:ascii="Times New Roman" w:hAnsi="Times New Roman"/>
          <w:color w:val="000000" w:themeColor="text1"/>
          <w:sz w:val="16"/>
          <w:szCs w:val="16"/>
        </w:rPr>
        <w:softHyphen/>
        <w:t>денные полетами в ходе госиспытаний. В связи с этим разгорелся оживленный «обмен мнениями», по результатам которого нашли компромисс — НИИ ВВС немного скорректировал методику учета поправок указателя скорости, а ОКО уточнило гра</w:t>
      </w:r>
      <w:r w:rsidRPr="00DB5D0D">
        <w:rPr>
          <w:rFonts w:ascii="Times New Roman" w:hAnsi="Times New Roman"/>
          <w:color w:val="000000" w:themeColor="text1"/>
          <w:sz w:val="16"/>
          <w:szCs w:val="16"/>
        </w:rPr>
        <w:softHyphen/>
        <w:t>ницу высотности мотора АМ—35А. Итоговое (скор</w:t>
      </w:r>
      <w:r w:rsidRPr="00DB5D0D">
        <w:rPr>
          <w:rFonts w:ascii="Times New Roman" w:hAnsi="Times New Roman"/>
          <w:color w:val="000000" w:themeColor="text1"/>
          <w:sz w:val="16"/>
          <w:szCs w:val="16"/>
        </w:rPr>
        <w:softHyphen/>
        <w:t>ректированное) значение максимальной скорости И—200 по результатам государственных испытаний стали считать равным 636 км/ч — всего на 0,6% меньше запланированного в постановлении прави</w:t>
      </w:r>
      <w:r w:rsidRPr="00DB5D0D">
        <w:rPr>
          <w:rFonts w:ascii="Times New Roman" w:hAnsi="Times New Roman"/>
          <w:color w:val="000000" w:themeColor="text1"/>
          <w:sz w:val="16"/>
          <w:szCs w:val="16"/>
        </w:rPr>
        <w:softHyphen/>
        <w:t>тельства (9984).</w:t>
      </w:r>
    </w:p>
    <w:p w14:paraId="0E901C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9A5D7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закончились заводские испытания И-200 МиГ АМ-35А, которые шли с 5 апреля 1940 (2090,232).</w:t>
      </w:r>
    </w:p>
    <w:p w14:paraId="7A4258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закончились заводские испытания и 2 и 3 машины И-200, которые испытывались с 7 мая и 4 июня 1940 (2090,234).</w:t>
      </w:r>
    </w:p>
    <w:p w14:paraId="5E464BA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9D1E0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два И-200 (второй и третий - 1204,108) были представлены в НИИ ВВС на гос. испытания, которые заняли 15 дней (хотя срок был установлен - 10 дней - 1204,108). Потребовались доработки для повышения продольной устойчивости, дальности, усиления вооружения, доработки двигателя. Приняли на вооружение (563,7).</w:t>
      </w:r>
    </w:p>
    <w:p w14:paraId="13AAC2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оставили на основном аэродроме НИИ ВВС для определения летных характеристик, а третий - перебросили на полигон (видно НИИАП) по близости для испытания вооружения. Одновременно на обоих испытывали ВМГ, оборудование и системы (1204,108).</w:t>
      </w:r>
    </w:p>
    <w:p w14:paraId="18EA71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 П.С.Никитченко, а помошник в и - В.И.Алексеенко (1204,100).</w:t>
      </w:r>
    </w:p>
    <w:p w14:paraId="751EB4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гос. испытания И-200 шли с 28 августа по 12 сентября 1940 (2090,232).</w:t>
      </w:r>
    </w:p>
    <w:p w14:paraId="35F6D9D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0FE3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в ходе гос. испытания И-200 АМ-35А, которые проходили с 28 августа по 12 сентября 1940 машину И-200 N 6103 пригнали на аэродром НИИ. Обнаружили дефекты. Супрун выполнил 4 полета (0:40), Кубышкин - 3 (0:30) (2925).</w:t>
      </w:r>
    </w:p>
    <w:p w14:paraId="2E862A5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7DE796"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28 августа 1940 г. Приказом начальника Научно-испы</w:t>
      </w:r>
      <w:r w:rsidRPr="00DB5D0D">
        <w:rPr>
          <w:rFonts w:ascii="Times New Roman" w:hAnsi="Times New Roman"/>
          <w:color w:val="0070C0"/>
          <w:sz w:val="16"/>
          <w:szCs w:val="16"/>
          <w:lang w:eastAsia="ru-RU" w:bidi="ru-RU"/>
        </w:rPr>
        <w:softHyphen/>
        <w:t>тательного института ВВС Красной Армии №0167 истребитель И-200 был принят на Государственные ис</w:t>
      </w:r>
      <w:r w:rsidRPr="00DB5D0D">
        <w:rPr>
          <w:rFonts w:ascii="Times New Roman" w:hAnsi="Times New Roman"/>
          <w:color w:val="0070C0"/>
          <w:sz w:val="16"/>
          <w:szCs w:val="16"/>
          <w:lang w:eastAsia="ru-RU" w:bidi="ru-RU"/>
        </w:rPr>
        <w:softHyphen/>
        <w:t>пытания, и в тот же день на базу Институ</w:t>
      </w:r>
      <w:r w:rsidRPr="00DB5D0D">
        <w:rPr>
          <w:rFonts w:ascii="Times New Roman" w:hAnsi="Times New Roman"/>
          <w:color w:val="0070C0"/>
          <w:sz w:val="16"/>
          <w:szCs w:val="16"/>
          <w:lang w:eastAsia="ru-RU" w:bidi="ru-RU"/>
        </w:rPr>
        <w:softHyphen/>
        <w:t>та в Щелково прилетел опытный экзем</w:t>
      </w:r>
      <w:r w:rsidRPr="00DB5D0D">
        <w:rPr>
          <w:rFonts w:ascii="Times New Roman" w:hAnsi="Times New Roman"/>
          <w:color w:val="0070C0"/>
          <w:sz w:val="16"/>
          <w:szCs w:val="16"/>
          <w:lang w:eastAsia="ru-RU" w:bidi="ru-RU"/>
        </w:rPr>
        <w:softHyphen/>
        <w:t>пляр №2. Ведущим инженером был на</w:t>
      </w:r>
      <w:r w:rsidRPr="00DB5D0D">
        <w:rPr>
          <w:rFonts w:ascii="Times New Roman" w:hAnsi="Times New Roman"/>
          <w:color w:val="0070C0"/>
          <w:sz w:val="16"/>
          <w:szCs w:val="16"/>
          <w:lang w:eastAsia="ru-RU" w:bidi="ru-RU"/>
        </w:rPr>
        <w:softHyphen/>
        <w:t>значен П.С. Никитенко, летчикам майору Супруну и старшему лейтенанту Кубыш- кину было отпущено 10 дней на провер</w:t>
      </w:r>
      <w:r w:rsidRPr="00DB5D0D">
        <w:rPr>
          <w:rFonts w:ascii="Times New Roman" w:hAnsi="Times New Roman"/>
          <w:color w:val="0070C0"/>
          <w:sz w:val="16"/>
          <w:szCs w:val="16"/>
          <w:lang w:eastAsia="ru-RU" w:bidi="ru-RU"/>
        </w:rPr>
        <w:softHyphen/>
        <w:t>ку летных характеристик, управляемости и устойчивости. Для оценки нового само</w:t>
      </w:r>
      <w:r w:rsidRPr="00DB5D0D">
        <w:rPr>
          <w:rFonts w:ascii="Times New Roman" w:hAnsi="Times New Roman"/>
          <w:color w:val="0070C0"/>
          <w:sz w:val="16"/>
          <w:szCs w:val="16"/>
          <w:lang w:eastAsia="ru-RU" w:bidi="ru-RU"/>
        </w:rPr>
        <w:softHyphen/>
        <w:t>лета были также привлечены опытней</w:t>
      </w:r>
      <w:r w:rsidRPr="00DB5D0D">
        <w:rPr>
          <w:rFonts w:ascii="Times New Roman" w:hAnsi="Times New Roman"/>
          <w:color w:val="0070C0"/>
          <w:sz w:val="16"/>
          <w:szCs w:val="16"/>
          <w:lang w:eastAsia="ru-RU" w:bidi="ru-RU"/>
        </w:rPr>
        <w:softHyphen/>
        <w:t>шие испытатели НИИ ВВС генерал-май</w:t>
      </w:r>
      <w:r w:rsidRPr="00DB5D0D">
        <w:rPr>
          <w:rFonts w:ascii="Times New Roman" w:hAnsi="Times New Roman"/>
          <w:color w:val="0070C0"/>
          <w:sz w:val="16"/>
          <w:szCs w:val="16"/>
          <w:lang w:eastAsia="ru-RU" w:bidi="ru-RU"/>
        </w:rPr>
        <w:softHyphen/>
        <w:t>ор Филин, инженер-полковник Кочетков, полковник Кабанов, майор Стефановский и капитан Прошаков. Они отрапортова</w:t>
      </w:r>
      <w:r w:rsidRPr="00DB5D0D">
        <w:rPr>
          <w:rFonts w:ascii="Times New Roman" w:hAnsi="Times New Roman"/>
          <w:color w:val="0070C0"/>
          <w:sz w:val="16"/>
          <w:szCs w:val="16"/>
          <w:lang w:eastAsia="ru-RU" w:bidi="ru-RU"/>
        </w:rPr>
        <w:softHyphen/>
        <w:t>ли, что самолет опасных свойств не имеет и доступен для освоения летчику средней квалификации.</w:t>
      </w:r>
    </w:p>
    <w:p w14:paraId="5F2A2029"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Третий И-200 передали на Научно-ис</w:t>
      </w:r>
      <w:r w:rsidRPr="00DB5D0D">
        <w:rPr>
          <w:rFonts w:ascii="Times New Roman" w:hAnsi="Times New Roman"/>
          <w:color w:val="0070C0"/>
          <w:sz w:val="16"/>
          <w:szCs w:val="16"/>
          <w:lang w:eastAsia="ru-RU" w:bidi="ru-RU"/>
        </w:rPr>
        <w:softHyphen/>
        <w:t>пытательный полигон авиационного воо</w:t>
      </w:r>
      <w:r w:rsidRPr="00DB5D0D">
        <w:rPr>
          <w:rFonts w:ascii="Times New Roman" w:hAnsi="Times New Roman"/>
          <w:color w:val="0070C0"/>
          <w:sz w:val="16"/>
          <w:szCs w:val="16"/>
          <w:lang w:eastAsia="ru-RU" w:bidi="ru-RU"/>
        </w:rPr>
        <w:softHyphen/>
        <w:t>ружения. Здесь подвело охлаждение пу</w:t>
      </w:r>
      <w:r w:rsidRPr="00DB5D0D">
        <w:rPr>
          <w:rFonts w:ascii="Times New Roman" w:hAnsi="Times New Roman"/>
          <w:color w:val="0070C0"/>
          <w:sz w:val="16"/>
          <w:szCs w:val="16"/>
          <w:lang w:eastAsia="ru-RU" w:bidi="ru-RU"/>
        </w:rPr>
        <w:softHyphen/>
        <w:t>леметов: в первом же полете на стрель</w:t>
      </w:r>
      <w:r w:rsidRPr="00DB5D0D">
        <w:rPr>
          <w:rFonts w:ascii="Times New Roman" w:hAnsi="Times New Roman"/>
          <w:color w:val="0070C0"/>
          <w:sz w:val="16"/>
          <w:szCs w:val="16"/>
          <w:lang w:eastAsia="ru-RU" w:bidi="ru-RU"/>
        </w:rPr>
        <w:softHyphen/>
        <w:t>бу «сгорели» оба ШКАСа. Вообще стрел</w:t>
      </w:r>
      <w:r w:rsidRPr="00DB5D0D">
        <w:rPr>
          <w:rFonts w:ascii="Times New Roman" w:hAnsi="Times New Roman"/>
          <w:color w:val="0070C0"/>
          <w:sz w:val="16"/>
          <w:szCs w:val="16"/>
          <w:lang w:eastAsia="ru-RU" w:bidi="ru-RU"/>
        </w:rPr>
        <w:softHyphen/>
        <w:t>ковое вооружение сочли недостаточным для борьбы с современными бомбарди</w:t>
      </w:r>
      <w:r w:rsidRPr="00DB5D0D">
        <w:rPr>
          <w:rFonts w:ascii="Times New Roman" w:hAnsi="Times New Roman"/>
          <w:color w:val="0070C0"/>
          <w:sz w:val="16"/>
          <w:szCs w:val="16"/>
          <w:lang w:eastAsia="ru-RU" w:bidi="ru-RU"/>
        </w:rPr>
        <w:softHyphen/>
        <w:t>ровщиками, а вот к реактивному, бом</w:t>
      </w:r>
      <w:r w:rsidRPr="00DB5D0D">
        <w:rPr>
          <w:rFonts w:ascii="Times New Roman" w:hAnsi="Times New Roman"/>
          <w:color w:val="0070C0"/>
          <w:sz w:val="16"/>
          <w:szCs w:val="16"/>
          <w:lang w:eastAsia="ru-RU" w:bidi="ru-RU"/>
        </w:rPr>
        <w:softHyphen/>
        <w:t>бардировочному и химическому претен</w:t>
      </w:r>
      <w:r w:rsidRPr="00DB5D0D">
        <w:rPr>
          <w:rFonts w:ascii="Times New Roman" w:hAnsi="Times New Roman"/>
          <w:color w:val="0070C0"/>
          <w:sz w:val="16"/>
          <w:szCs w:val="16"/>
          <w:lang w:eastAsia="ru-RU" w:bidi="ru-RU"/>
        </w:rPr>
        <w:softHyphen/>
        <w:t>зий не было.</w:t>
      </w:r>
    </w:p>
    <w:p w14:paraId="6E20A759"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Хотя АМ-35А был на 200 сил сла</w:t>
      </w:r>
      <w:r w:rsidRPr="00DB5D0D">
        <w:rPr>
          <w:rFonts w:ascii="Times New Roman" w:hAnsi="Times New Roman"/>
          <w:color w:val="0070C0"/>
          <w:sz w:val="16"/>
          <w:szCs w:val="16"/>
          <w:lang w:eastAsia="ru-RU" w:bidi="ru-RU"/>
        </w:rPr>
        <w:softHyphen/>
        <w:t>бее заложенного в проект АМ-37, ско</w:t>
      </w:r>
      <w:r w:rsidRPr="00DB5D0D">
        <w:rPr>
          <w:rFonts w:ascii="Times New Roman" w:hAnsi="Times New Roman"/>
          <w:color w:val="0070C0"/>
          <w:sz w:val="16"/>
          <w:szCs w:val="16"/>
          <w:lang w:eastAsia="ru-RU" w:bidi="ru-RU"/>
        </w:rPr>
        <w:softHyphen/>
        <w:t>рость И-200-2 с вооружением достигала 628 км/ч на высоте 7200 м, и была всего 2% ниже расчетной с АМ-37. Самолет Ми</w:t>
      </w:r>
      <w:r w:rsidRPr="00DB5D0D">
        <w:rPr>
          <w:rFonts w:ascii="Times New Roman" w:hAnsi="Times New Roman"/>
          <w:color w:val="0070C0"/>
          <w:sz w:val="16"/>
          <w:szCs w:val="16"/>
          <w:lang w:eastAsia="ru-RU" w:bidi="ru-RU"/>
        </w:rPr>
        <w:softHyphen/>
        <w:t>кояна и Гуревича отставал от «предель</w:t>
      </w:r>
      <w:r w:rsidRPr="00DB5D0D">
        <w:rPr>
          <w:rFonts w:ascii="Times New Roman" w:hAnsi="Times New Roman"/>
          <w:color w:val="0070C0"/>
          <w:sz w:val="16"/>
          <w:szCs w:val="16"/>
          <w:lang w:eastAsia="ru-RU" w:bidi="ru-RU"/>
        </w:rPr>
        <w:softHyphen/>
        <w:t>но скоростного истребителя» Пашинина, но после аварии дальнейшая перспектива ИП-21 стала сомнительной и «двухсотый» оказался самым быстрым в своем поколе</w:t>
      </w:r>
      <w:r w:rsidRPr="00DB5D0D">
        <w:rPr>
          <w:rFonts w:ascii="Times New Roman" w:hAnsi="Times New Roman"/>
          <w:color w:val="0070C0"/>
          <w:sz w:val="16"/>
          <w:szCs w:val="16"/>
          <w:lang w:eastAsia="ru-RU" w:bidi="ru-RU"/>
        </w:rPr>
        <w:softHyphen/>
        <w:t>нии. По высотности с ним мог сравнить</w:t>
      </w:r>
      <w:r w:rsidRPr="00DB5D0D">
        <w:rPr>
          <w:rFonts w:ascii="Times New Roman" w:hAnsi="Times New Roman"/>
          <w:color w:val="0070C0"/>
          <w:sz w:val="16"/>
          <w:szCs w:val="16"/>
          <w:lang w:eastAsia="ru-RU" w:bidi="ru-RU"/>
        </w:rPr>
        <w:softHyphen/>
        <w:t>ся только И-180, но скорость у того была ниже. У земли И-200 существенно усту</w:t>
      </w:r>
      <w:r w:rsidRPr="00DB5D0D">
        <w:rPr>
          <w:rFonts w:ascii="Times New Roman" w:hAnsi="Times New Roman"/>
          <w:color w:val="0070C0"/>
          <w:sz w:val="16"/>
          <w:szCs w:val="16"/>
          <w:lang w:eastAsia="ru-RU" w:bidi="ru-RU"/>
        </w:rPr>
        <w:softHyphen/>
        <w:t>пал цельнодеревянному И-301 и незначи</w:t>
      </w:r>
      <w:r w:rsidRPr="00DB5D0D">
        <w:rPr>
          <w:rFonts w:ascii="Times New Roman" w:hAnsi="Times New Roman"/>
          <w:color w:val="0070C0"/>
          <w:sz w:val="16"/>
          <w:szCs w:val="16"/>
          <w:lang w:eastAsia="ru-RU" w:bidi="ru-RU"/>
        </w:rPr>
        <w:softHyphen/>
        <w:t>тельно - И-26, но превзошел поликарпов- ский И-180.</w:t>
      </w:r>
    </w:p>
    <w:p w14:paraId="75C0F518"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Высоту 5000 м самолет И-200 наби</w:t>
      </w:r>
      <w:r w:rsidRPr="00DB5D0D">
        <w:rPr>
          <w:rFonts w:ascii="Times New Roman" w:hAnsi="Times New Roman"/>
          <w:color w:val="0070C0"/>
          <w:sz w:val="16"/>
          <w:szCs w:val="16"/>
          <w:lang w:eastAsia="ru-RU" w:bidi="ru-RU"/>
        </w:rPr>
        <w:softHyphen/>
        <w:t>рал за 5,3 мин, а 8000 м - за 8,57, что соответствовало заданию (8,5 мин) и был вне конкуренции. Потолка 13000 м с АМ-35А достичь не удалось, но и 12 км, на которые самолет поднимался, были очень хорошим показателем - ни один другой новый истребитель в СССР пока так высоко не летал.</w:t>
      </w:r>
    </w:p>
    <w:p w14:paraId="06878BFD"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lastRenderedPageBreak/>
        <w:t>На высоте 1000 м вооруженный И-200 показал такое же время выпол</w:t>
      </w:r>
      <w:r w:rsidRPr="00DB5D0D">
        <w:rPr>
          <w:rFonts w:ascii="Times New Roman" w:hAnsi="Times New Roman"/>
          <w:color w:val="0070C0"/>
          <w:sz w:val="16"/>
          <w:szCs w:val="16"/>
          <w:lang w:eastAsia="ru-RU" w:bidi="ru-RU"/>
        </w:rPr>
        <w:softHyphen/>
        <w:t xml:space="preserve">нения виража, как и испытывавшийся в СССР Мессершмитт </w:t>
      </w:r>
      <w:r w:rsidRPr="00DB5D0D">
        <w:rPr>
          <w:rFonts w:ascii="Times New Roman" w:hAnsi="Times New Roman"/>
          <w:color w:val="0070C0"/>
          <w:sz w:val="16"/>
          <w:szCs w:val="16"/>
          <w:lang w:val="en-US" w:bidi="en-US"/>
        </w:rPr>
        <w:t>Bf</w:t>
      </w:r>
      <w:r w:rsidRPr="00DB5D0D">
        <w:rPr>
          <w:rFonts w:ascii="Times New Roman" w:hAnsi="Times New Roman"/>
          <w:color w:val="0070C0"/>
          <w:sz w:val="16"/>
          <w:szCs w:val="16"/>
          <w:lang w:bidi="en-US"/>
        </w:rPr>
        <w:t xml:space="preserve"> </w:t>
      </w:r>
      <w:r w:rsidRPr="00DB5D0D">
        <w:rPr>
          <w:rFonts w:ascii="Times New Roman" w:hAnsi="Times New Roman"/>
          <w:color w:val="0070C0"/>
          <w:sz w:val="16"/>
          <w:szCs w:val="16"/>
          <w:lang w:eastAsia="ru-RU" w:bidi="ru-RU"/>
        </w:rPr>
        <w:t>109Е3 (26-27 с), «конкурент» И-180 там разворачивал</w:t>
      </w:r>
      <w:r w:rsidRPr="00DB5D0D">
        <w:rPr>
          <w:rFonts w:ascii="Times New Roman" w:hAnsi="Times New Roman"/>
          <w:color w:val="0070C0"/>
          <w:sz w:val="16"/>
          <w:szCs w:val="16"/>
          <w:lang w:eastAsia="ru-RU" w:bidi="ru-RU"/>
        </w:rPr>
        <w:softHyphen/>
        <w:t>ся за 19-20 с, яковлевский И-26 - за 24, а И-301 - за 19,8-20,6 с. Но выше 5000 м ситуация менялась, а на 7000 м он уже заметно превосходил эти самолеты в вы</w:t>
      </w:r>
      <w:r w:rsidRPr="00DB5D0D">
        <w:rPr>
          <w:rFonts w:ascii="Times New Roman" w:hAnsi="Times New Roman"/>
          <w:color w:val="0070C0"/>
          <w:sz w:val="16"/>
          <w:szCs w:val="16"/>
          <w:lang w:eastAsia="ru-RU" w:bidi="ru-RU"/>
        </w:rPr>
        <w:softHyphen/>
        <w:t>полнении всех фигур пилотажа, вклю</w:t>
      </w:r>
      <w:r w:rsidRPr="00DB5D0D">
        <w:rPr>
          <w:rFonts w:ascii="Times New Roman" w:hAnsi="Times New Roman"/>
          <w:color w:val="0070C0"/>
          <w:sz w:val="16"/>
          <w:szCs w:val="16"/>
          <w:lang w:eastAsia="ru-RU" w:bidi="ru-RU"/>
        </w:rPr>
        <w:softHyphen/>
        <w:t>чая и вираж.</w:t>
      </w:r>
    </w:p>
    <w:p w14:paraId="19121C8A"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На следующий день после оконча</w:t>
      </w:r>
      <w:r w:rsidRPr="00DB5D0D">
        <w:rPr>
          <w:rFonts w:ascii="Times New Roman" w:hAnsi="Times New Roman"/>
          <w:color w:val="0070C0"/>
          <w:sz w:val="16"/>
          <w:szCs w:val="16"/>
          <w:lang w:eastAsia="ru-RU" w:bidi="ru-RU"/>
        </w:rPr>
        <w:softHyphen/>
        <w:t>ния летной программы Госиспытаний, 13 сентября 1940 г., в НИИ ВВС состо</w:t>
      </w:r>
      <w:r w:rsidRPr="00DB5D0D">
        <w:rPr>
          <w:rFonts w:ascii="Times New Roman" w:hAnsi="Times New Roman"/>
          <w:color w:val="0070C0"/>
          <w:sz w:val="16"/>
          <w:szCs w:val="16"/>
          <w:lang w:eastAsia="ru-RU" w:bidi="ru-RU"/>
        </w:rPr>
        <w:softHyphen/>
        <w:t>ялся техсовет, на котором летчик-испы</w:t>
      </w:r>
      <w:r w:rsidRPr="00DB5D0D">
        <w:rPr>
          <w:rFonts w:ascii="Times New Roman" w:hAnsi="Times New Roman"/>
          <w:color w:val="0070C0"/>
          <w:sz w:val="16"/>
          <w:szCs w:val="16"/>
          <w:lang w:eastAsia="ru-RU" w:bidi="ru-RU"/>
        </w:rPr>
        <w:softHyphen/>
        <w:t>татель Супрун подвел общий итог про</w:t>
      </w:r>
      <w:r w:rsidRPr="00DB5D0D">
        <w:rPr>
          <w:rFonts w:ascii="Times New Roman" w:hAnsi="Times New Roman"/>
          <w:color w:val="0070C0"/>
          <w:sz w:val="16"/>
          <w:szCs w:val="16"/>
          <w:lang w:eastAsia="ru-RU" w:bidi="ru-RU"/>
        </w:rPr>
        <w:softHyphen/>
        <w:t>деланной работы. Он сказал, что И-200 «...является самым доведенным самоле</w:t>
      </w:r>
      <w:r w:rsidRPr="00DB5D0D">
        <w:rPr>
          <w:rFonts w:ascii="Times New Roman" w:hAnsi="Times New Roman"/>
          <w:color w:val="0070C0"/>
          <w:sz w:val="16"/>
          <w:szCs w:val="16"/>
          <w:lang w:eastAsia="ru-RU" w:bidi="ru-RU"/>
        </w:rPr>
        <w:softHyphen/>
        <w:t>том при поступлении его на Государст</w:t>
      </w:r>
      <w:r w:rsidRPr="00DB5D0D">
        <w:rPr>
          <w:rFonts w:ascii="Times New Roman" w:hAnsi="Times New Roman"/>
          <w:color w:val="0070C0"/>
          <w:sz w:val="16"/>
          <w:szCs w:val="16"/>
          <w:lang w:eastAsia="ru-RU" w:bidi="ru-RU"/>
        </w:rPr>
        <w:softHyphen/>
        <w:t>венные испытания, которые опытный са</w:t>
      </w:r>
      <w:r w:rsidRPr="00DB5D0D">
        <w:rPr>
          <w:rFonts w:ascii="Times New Roman" w:hAnsi="Times New Roman"/>
          <w:color w:val="0070C0"/>
          <w:sz w:val="16"/>
          <w:szCs w:val="16"/>
          <w:lang w:eastAsia="ru-RU" w:bidi="ru-RU"/>
        </w:rPr>
        <w:softHyphen/>
        <w:t>молет прошел хорошо». Формально дело обстояло так: по окончании Госиспытаний к И-200 было предъявлено 112 заме</w:t>
      </w:r>
      <w:r w:rsidRPr="00DB5D0D">
        <w:rPr>
          <w:rFonts w:ascii="Times New Roman" w:hAnsi="Times New Roman"/>
          <w:color w:val="0070C0"/>
          <w:sz w:val="16"/>
          <w:szCs w:val="16"/>
          <w:lang w:eastAsia="ru-RU" w:bidi="ru-RU"/>
        </w:rPr>
        <w:softHyphen/>
        <w:t>чаний, тогда как И-301 имел 115 замеча</w:t>
      </w:r>
      <w:r w:rsidRPr="00DB5D0D">
        <w:rPr>
          <w:rFonts w:ascii="Times New Roman" w:hAnsi="Times New Roman"/>
          <w:color w:val="0070C0"/>
          <w:sz w:val="16"/>
          <w:szCs w:val="16"/>
          <w:lang w:eastAsia="ru-RU" w:bidi="ru-RU"/>
        </w:rPr>
        <w:softHyphen/>
        <w:t>ний, а И-26 - 123. Хотя конечно, дефект дефекту рознь (21699).</w:t>
      </w:r>
    </w:p>
    <w:p w14:paraId="66DD9360" w14:textId="77777777" w:rsidR="006D01B7" w:rsidRPr="00DB5D0D" w:rsidRDefault="006D01B7" w:rsidP="00DB5D0D">
      <w:pPr>
        <w:spacing w:after="0" w:line="240" w:lineRule="auto"/>
        <w:jc w:val="both"/>
        <w:rPr>
          <w:rFonts w:ascii="Times New Roman" w:hAnsi="Times New Roman"/>
          <w:color w:val="0070C0"/>
          <w:sz w:val="16"/>
          <w:szCs w:val="16"/>
        </w:rPr>
      </w:pPr>
    </w:p>
    <w:p w14:paraId="6C12089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года вышел приказ НИИ ВВС № 0167</w:t>
      </w:r>
    </w:p>
    <w:p w14:paraId="0ADF83C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принятии на гос. испытания в двух экземплярах самолета И-200 с моторами АМ-35А (6890, 53).</w:t>
      </w:r>
    </w:p>
    <w:p w14:paraId="3BCF791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164E3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вышел приказ по НИИ ВВС № 0167 о приеме на госиспытания в 2-х экз. с-та И-200 с мотором АМ-35А</w:t>
      </w:r>
    </w:p>
    <w:p w14:paraId="36882D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соответствии с приказом Нач. ГУ ВВС КА Рычагова № 0176 от 29 августа 1940 приказываю 1 отделению НИИ ВВС с сегодняшнего дня начать испытания И-200. Испытания закончить 12 сентября.</w:t>
      </w:r>
    </w:p>
    <w:p w14:paraId="2153AD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с-та И-200 и опытного мотора АМ-25А считать первоочередной и главной задачей по отделению 1.</w:t>
      </w:r>
    </w:p>
    <w:p w14:paraId="222A85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проведения госиспытаний 2-х экз. с-та И-200 назначить ведущим л м С.П.Супруна, вторым л Кубышкина, в и ви1р Никитин, пом. Ви ви3р Алексеенко...</w:t>
      </w:r>
    </w:p>
    <w:p w14:paraId="544240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6</w:t>
      </w:r>
    </w:p>
    <w:p w14:paraId="0CA2A5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Оплату вед л производить полностью в срок в размере 15000, остальным - как указано в постановлении Правительства</w:t>
      </w:r>
    </w:p>
    <w:p w14:paraId="56BE85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пар. 8</w:t>
      </w:r>
    </w:p>
    <w:p w14:paraId="6620FB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обеспечения госиспытаний допустить к работе на с-те И-200 бригаду завода № 1 под руководством ви т. Л.Г.Брунова</w:t>
      </w:r>
    </w:p>
    <w:p w14:paraId="1A5362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Подписал Начю НИИ ВВС Филин (709,274).</w:t>
      </w:r>
    </w:p>
    <w:p w14:paraId="0BF96E3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B05A1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августа по 12 сентября 1940 в НИИ ВВС проходили гос. испытания И-200 с мотором АМ-35А и винтом ВИШ-22Е.</w:t>
      </w:r>
    </w:p>
    <w:p w14:paraId="22191D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 ви 2и2р П.С.Никитченко</w:t>
      </w:r>
    </w:p>
    <w:p w14:paraId="389090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 м С.П.Супрун</w:t>
      </w:r>
    </w:p>
    <w:p w14:paraId="1D085B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ли стл А.Г.Кубышкин</w:t>
      </w:r>
    </w:p>
    <w:p w14:paraId="64BD85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Врид нач. 1 отд-я ви1р И.Т.Лазарев</w:t>
      </w:r>
    </w:p>
    <w:p w14:paraId="55BA26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Участники испытаний:</w:t>
      </w:r>
    </w:p>
    <w:p w14:paraId="6168BA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пом. ви ви3р В.И.Алексеенко</w:t>
      </w:r>
    </w:p>
    <w:p w14:paraId="09BDA8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П.С.Никитченко</w:t>
      </w:r>
    </w:p>
    <w:p w14:paraId="4BF617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по ВМГ ви3р А.Я.Золотарев</w:t>
      </w:r>
    </w:p>
    <w:p w14:paraId="3AEBDF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по мотору ыи2р В.А.Черниченко</w:t>
      </w:r>
    </w:p>
    <w:p w14:paraId="05DB7D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по воор. Ви1р Ссорин К.П.</w:t>
      </w:r>
    </w:p>
    <w:p w14:paraId="5079F8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 по спецоборуд. Ви3р Г.В.Самойлов</w:t>
      </w:r>
    </w:p>
    <w:p w14:paraId="7239BB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по устойчивости и НИО А.Ф.Турчков</w:t>
      </w:r>
    </w:p>
    <w:p w14:paraId="2BD78A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б/техник вт1р А.К.Селезнев</w:t>
      </w:r>
    </w:p>
    <w:p w14:paraId="06F2DF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б/техник Н.В.Сурьянинов</w:t>
      </w:r>
    </w:p>
    <w:p w14:paraId="2E6BDC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расчетчик Н.Н.Андросова, З.Д.Ссорина</w:t>
      </w:r>
    </w:p>
    <w:p w14:paraId="7AEFD4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по приборам В.М.Быков, П.М.Ткачев</w:t>
      </w:r>
    </w:p>
    <w:p w14:paraId="5DAA0B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техник по вооружению вт2р И.Ф.Мякинцев</w:t>
      </w:r>
    </w:p>
    <w:p w14:paraId="5F9542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техник по вооружению Иванчиков</w:t>
      </w:r>
    </w:p>
    <w:p w14:paraId="7C1590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по кислородному оборудованию А.А.Коробков</w:t>
      </w:r>
    </w:p>
    <w:p w14:paraId="625EDD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моторист двигателя а/м Теленков</w:t>
      </w:r>
    </w:p>
    <w:p w14:paraId="6C5725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по расчетам вт3р Е.Л.Иванов</w:t>
      </w:r>
    </w:p>
    <w:p w14:paraId="664344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техник по фото вт2р Кузнецов</w:t>
      </w:r>
    </w:p>
    <w:p w14:paraId="3D9C39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электротехник Аверьянов</w:t>
      </w:r>
    </w:p>
    <w:p w14:paraId="2D5905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опер. группы Нахмановичви1р Вистенко, вт1р Рублев</w:t>
      </w:r>
    </w:p>
    <w:p w14:paraId="4B3134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 облета А.Н.Филин, А.И.Кабанов, П.М.Стефановский, А.Г.Кочетков</w:t>
      </w:r>
    </w:p>
    <w:p w14:paraId="39ABBA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0C2E02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Проверка ЛТД</w:t>
      </w:r>
    </w:p>
    <w:p w14:paraId="5C30B5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Определение управляемости, устойчивости и маневренности</w:t>
      </w:r>
    </w:p>
    <w:p w14:paraId="539E62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Летные испытания опытного мотора АМ-35А на И-200</w:t>
      </w:r>
    </w:p>
    <w:p w14:paraId="7E2C29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Выявление эксплуатационных дефектов</w:t>
      </w:r>
    </w:p>
    <w:p w14:paraId="7F49EE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Испытание стрелкового и бомбардировочного вооружения</w:t>
      </w:r>
    </w:p>
    <w:p w14:paraId="52416A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Проверка штопорных свойств и пикирования</w:t>
      </w:r>
    </w:p>
    <w:p w14:paraId="32976D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Испытание спецоборудования.</w:t>
      </w:r>
    </w:p>
    <w:p w14:paraId="7660FD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Объект испытаний:</w:t>
      </w:r>
    </w:p>
    <w:p w14:paraId="01DCBC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И-200 с АМ-35А и винтом ВИШ-22Е диамотром 3 м конструкции Микояна и Гуревича постройки завода № 1 был изготовлен по ТТТ ВВС КА и должен был иметь следующие данные...</w:t>
      </w:r>
    </w:p>
    <w:p w14:paraId="0C29F4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Принятый в НИИ ВВС КА 29 августа 1940 на госиспытания с-т И-200 в 2-х экз. с мотором АМ-35А предназначен для использования в качестве скоростного истребителя с назначением:</w:t>
      </w:r>
    </w:p>
    <w:p w14:paraId="408E6E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Ведение скоростного воздушного боя для поражения и уничтожения противника на основе преимущества в скорости</w:t>
      </w:r>
    </w:p>
    <w:p w14:paraId="3344CD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перегрузочном варианте с подвесными б/б может быть использован как истребитель сопровождения</w:t>
      </w:r>
    </w:p>
    <w:p w14:paraId="717EEE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частных случаях обстановки выполнять задачи по взаимодействию с наземными войсками</w:t>
      </w:r>
    </w:p>
    <w:p w14:paraId="2DA065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Конструкция с-та</w:t>
      </w:r>
    </w:p>
    <w:p w14:paraId="7D540F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смешанной конструкции с состоит из следующих агрегатов:</w:t>
      </w:r>
    </w:p>
    <w:p w14:paraId="1CD560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моторамы балочной конструкции из хромансилевых труб</w:t>
      </w:r>
    </w:p>
    <w:p w14:paraId="40D183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передней части фюзеляжа, сваренной из хромансилевых труб</w:t>
      </w:r>
    </w:p>
    <w:p w14:paraId="40B062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цельнометаллического центроплана с дюралевой обшивкой</w:t>
      </w:r>
    </w:p>
    <w:p w14:paraId="49C4B3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деревянной хвостовой части фюзеляжа типа монокок</w:t>
      </w:r>
    </w:p>
    <w:p w14:paraId="1A2136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двух съемных консолей деревяннной или металлической конструкции</w:t>
      </w:r>
    </w:p>
    <w:p w14:paraId="073A45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одностоечного убирающегося шасси с масляно-пневматической амортизацией и тормозными колесами размером 600х180</w:t>
      </w:r>
    </w:p>
    <w:p w14:paraId="618B75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цельнометаллическим дюралевым стабилизатором</w:t>
      </w:r>
    </w:p>
    <w:p w14:paraId="3E1B7E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Кабина л закрыта фонарем, ткидывающимся на правый борт</w:t>
      </w:r>
    </w:p>
    <w:p w14:paraId="3FBF2A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Средняя и задняя часть сбрасываются в случае авиарии при помощи спецмеханизма</w:t>
      </w:r>
    </w:p>
    <w:p w14:paraId="23BC84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Хвостовое колесо управляемое и убирающееся в полете (для уборки присоединен к левой ноге шасси)</w:t>
      </w:r>
    </w:p>
    <w:p w14:paraId="122FEA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ВМГ - АМ-35А, жидкостного охлаждения мощностью 1200 лс на 6000 м, редуктор с передачей 0,902.</w:t>
      </w:r>
    </w:p>
    <w:p w14:paraId="53428D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трехлопастный с шагом, изменяемым в полете ВИШ-22Е диаметром 3 м и шагом 250 производства завода № 28 с углом поворота до 20 гр.</w:t>
      </w:r>
    </w:p>
    <w:p w14:paraId="3B3D4E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имеет 3 б/б: один в фюзеляже протектированный емкостью 108 л, два в центроплане не протектированные емкостью правый 108 л, а левый - 109 л. Общий объем 359 л или 266 кг</w:t>
      </w:r>
    </w:p>
    <w:p w14:paraId="39F9CD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шли с 29 августа по 12 сентября 1940</w:t>
      </w:r>
    </w:p>
    <w:p w14:paraId="3F5A40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83 полета с налетом 24:15</w:t>
      </w:r>
    </w:p>
    <w:p w14:paraId="047657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15 дней:</w:t>
      </w:r>
    </w:p>
    <w:p w14:paraId="4B0739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наземные испытания - 1</w:t>
      </w:r>
    </w:p>
    <w:p w14:paraId="6F2329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нелетная погода - 1</w:t>
      </w:r>
    </w:p>
    <w:p w14:paraId="330714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летные - 10</w:t>
      </w:r>
    </w:p>
    <w:p w14:paraId="31A3D4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ремонт - 2</w:t>
      </w:r>
    </w:p>
    <w:p w14:paraId="7524A0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выходные - 2</w:t>
      </w:r>
    </w:p>
    <w:p w14:paraId="193C08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испытывался со следующей загрузкой:</w:t>
      </w:r>
    </w:p>
    <w:p w14:paraId="2F0F31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 с парашютом - 90 кг</w:t>
      </w:r>
    </w:p>
    <w:p w14:paraId="74D979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горючее - 266 кг</w:t>
      </w:r>
    </w:p>
    <w:p w14:paraId="560E12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масло - 30 кг</w:t>
      </w:r>
    </w:p>
    <w:p w14:paraId="74F128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Патронов для БС (300) - 51</w:t>
      </w:r>
    </w:p>
    <w:p w14:paraId="629D93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Патронов ШКАС (1500) - 48</w:t>
      </w:r>
    </w:p>
    <w:p w14:paraId="523F6F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Акумулятор 12А-5 - 8,5</w:t>
      </w:r>
    </w:p>
    <w:p w14:paraId="669C4A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- 494 кг</w:t>
      </w:r>
    </w:p>
    <w:p w14:paraId="14E62F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2127"/>
      </w:tblGrid>
      <w:tr w:rsidR="007D5DF8" w:rsidRPr="00DB5D0D" w14:paraId="033A835D" w14:textId="77777777" w:rsidTr="00E543D0">
        <w:tc>
          <w:tcPr>
            <w:tcW w:w="3736" w:type="dxa"/>
            <w:tcBorders>
              <w:top w:val="single" w:sz="12" w:space="0" w:color="auto"/>
            </w:tcBorders>
          </w:tcPr>
          <w:p w14:paraId="5DC7F7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2042" w:type="dxa"/>
            <w:tcBorders>
              <w:top w:val="single" w:sz="12" w:space="0" w:color="auto"/>
            </w:tcBorders>
          </w:tcPr>
          <w:p w14:paraId="5B7564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ТТТ</w:t>
            </w:r>
          </w:p>
        </w:tc>
        <w:tc>
          <w:tcPr>
            <w:tcW w:w="2127" w:type="dxa"/>
            <w:tcBorders>
              <w:top w:val="single" w:sz="12" w:space="0" w:color="auto"/>
            </w:tcBorders>
          </w:tcPr>
          <w:p w14:paraId="418AC1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результатам испытаний</w:t>
            </w:r>
          </w:p>
        </w:tc>
      </w:tr>
      <w:tr w:rsidR="007D5DF8" w:rsidRPr="00DB5D0D" w14:paraId="5374ED90" w14:textId="77777777" w:rsidTr="00E543D0">
        <w:tc>
          <w:tcPr>
            <w:tcW w:w="3736" w:type="dxa"/>
          </w:tcPr>
          <w:p w14:paraId="76CE33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на 6000-7000 м</w:t>
            </w:r>
          </w:p>
        </w:tc>
        <w:tc>
          <w:tcPr>
            <w:tcW w:w="2042" w:type="dxa"/>
          </w:tcPr>
          <w:p w14:paraId="5FA3D9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640</w:t>
            </w:r>
          </w:p>
        </w:tc>
        <w:tc>
          <w:tcPr>
            <w:tcW w:w="2127" w:type="dxa"/>
          </w:tcPr>
          <w:p w14:paraId="2BD2DC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628/7000</w:t>
            </w:r>
          </w:p>
        </w:tc>
      </w:tr>
      <w:tr w:rsidR="007D5DF8" w:rsidRPr="00DB5D0D" w14:paraId="69A419DE" w14:textId="77777777" w:rsidTr="00E543D0">
        <w:tc>
          <w:tcPr>
            <w:tcW w:w="3736" w:type="dxa"/>
          </w:tcPr>
          <w:p w14:paraId="47CA9F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2042" w:type="dxa"/>
          </w:tcPr>
          <w:p w14:paraId="435E8A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13000</w:t>
            </w:r>
          </w:p>
        </w:tc>
        <w:tc>
          <w:tcPr>
            <w:tcW w:w="2127" w:type="dxa"/>
          </w:tcPr>
          <w:p w14:paraId="1CF121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w:t>
            </w:r>
          </w:p>
        </w:tc>
      </w:tr>
      <w:tr w:rsidR="007D5DF8" w:rsidRPr="00DB5D0D" w14:paraId="3BD7DB62" w14:textId="77777777" w:rsidTr="00E543D0">
        <w:tc>
          <w:tcPr>
            <w:tcW w:w="3736" w:type="dxa"/>
          </w:tcPr>
          <w:p w14:paraId="578147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на 0,9 макс.</w:t>
            </w:r>
          </w:p>
        </w:tc>
        <w:tc>
          <w:tcPr>
            <w:tcW w:w="2042" w:type="dxa"/>
          </w:tcPr>
          <w:p w14:paraId="15A371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w:t>
            </w:r>
          </w:p>
        </w:tc>
        <w:tc>
          <w:tcPr>
            <w:tcW w:w="2127" w:type="dxa"/>
          </w:tcPr>
          <w:p w14:paraId="3A431D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580</w:t>
            </w:r>
          </w:p>
        </w:tc>
      </w:tr>
      <w:tr w:rsidR="007D5DF8" w:rsidRPr="00DB5D0D" w14:paraId="3E56010D" w14:textId="77777777" w:rsidTr="00E543D0">
        <w:tc>
          <w:tcPr>
            <w:tcW w:w="3736" w:type="dxa"/>
          </w:tcPr>
          <w:p w14:paraId="630819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 же с подвесными б/б</w:t>
            </w:r>
          </w:p>
        </w:tc>
        <w:tc>
          <w:tcPr>
            <w:tcW w:w="2042" w:type="dxa"/>
          </w:tcPr>
          <w:p w14:paraId="48CC76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2127" w:type="dxa"/>
          </w:tcPr>
          <w:p w14:paraId="66F0C8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3ED8D842" w14:textId="77777777" w:rsidTr="00E543D0">
        <w:tc>
          <w:tcPr>
            <w:tcW w:w="3736" w:type="dxa"/>
          </w:tcPr>
          <w:p w14:paraId="04732F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виража на 1000 м</w:t>
            </w:r>
          </w:p>
        </w:tc>
        <w:tc>
          <w:tcPr>
            <w:tcW w:w="2042" w:type="dxa"/>
          </w:tcPr>
          <w:p w14:paraId="51FFC0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127" w:type="dxa"/>
          </w:tcPr>
          <w:p w14:paraId="5B7A3D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правый 20</w:t>
            </w:r>
          </w:p>
          <w:p w14:paraId="7B9FDC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левый 22</w:t>
            </w:r>
          </w:p>
        </w:tc>
      </w:tr>
      <w:tr w:rsidR="007D5DF8" w:rsidRPr="00DB5D0D" w14:paraId="4A611F35" w14:textId="77777777" w:rsidTr="00E543D0">
        <w:tc>
          <w:tcPr>
            <w:tcW w:w="3736" w:type="dxa"/>
          </w:tcPr>
          <w:p w14:paraId="1FED23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2042" w:type="dxa"/>
          </w:tcPr>
          <w:p w14:paraId="677904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200-250</w:t>
            </w:r>
          </w:p>
        </w:tc>
        <w:tc>
          <w:tcPr>
            <w:tcW w:w="2127" w:type="dxa"/>
          </w:tcPr>
          <w:p w14:paraId="28A12D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237-305</w:t>
            </w:r>
          </w:p>
        </w:tc>
      </w:tr>
      <w:tr w:rsidR="007D5DF8" w:rsidRPr="00DB5D0D" w14:paraId="02904551" w14:textId="77777777" w:rsidTr="00E543D0">
        <w:tc>
          <w:tcPr>
            <w:tcW w:w="3736" w:type="dxa"/>
          </w:tcPr>
          <w:p w14:paraId="0AF70F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2042" w:type="dxa"/>
          </w:tcPr>
          <w:p w14:paraId="43127E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250-300</w:t>
            </w:r>
          </w:p>
        </w:tc>
        <w:tc>
          <w:tcPr>
            <w:tcW w:w="2127" w:type="dxa"/>
          </w:tcPr>
          <w:p w14:paraId="3784F3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15FDE451" w14:textId="77777777" w:rsidTr="00E543D0">
        <w:tc>
          <w:tcPr>
            <w:tcW w:w="3736" w:type="dxa"/>
          </w:tcPr>
          <w:p w14:paraId="73BFEE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Пасадочная скорость </w:t>
            </w:r>
          </w:p>
        </w:tc>
        <w:tc>
          <w:tcPr>
            <w:tcW w:w="2042" w:type="dxa"/>
          </w:tcPr>
          <w:p w14:paraId="2521CF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w:t>
            </w:r>
          </w:p>
        </w:tc>
        <w:tc>
          <w:tcPr>
            <w:tcW w:w="2127" w:type="dxa"/>
          </w:tcPr>
          <w:p w14:paraId="1D2B02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141</w:t>
            </w:r>
          </w:p>
        </w:tc>
      </w:tr>
      <w:tr w:rsidR="007D5DF8" w:rsidRPr="00DB5D0D" w14:paraId="3FEBB928" w14:textId="77777777" w:rsidTr="00E543D0">
        <w:tc>
          <w:tcPr>
            <w:tcW w:w="3736" w:type="dxa"/>
            <w:tcBorders>
              <w:bottom w:val="single" w:sz="12" w:space="0" w:color="auto"/>
            </w:tcBorders>
          </w:tcPr>
          <w:p w14:paraId="482CA4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8000 м</w:t>
            </w:r>
          </w:p>
        </w:tc>
        <w:tc>
          <w:tcPr>
            <w:tcW w:w="2042" w:type="dxa"/>
            <w:tcBorders>
              <w:bottom w:val="single" w:sz="12" w:space="0" w:color="auto"/>
            </w:tcBorders>
          </w:tcPr>
          <w:p w14:paraId="73B3BC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c>
          <w:tcPr>
            <w:tcW w:w="2127" w:type="dxa"/>
            <w:tcBorders>
              <w:bottom w:val="single" w:sz="12" w:space="0" w:color="auto"/>
            </w:tcBorders>
          </w:tcPr>
          <w:p w14:paraId="515188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8,57</w:t>
            </w:r>
          </w:p>
        </w:tc>
      </w:tr>
    </w:tbl>
    <w:p w14:paraId="512AFB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Сравнительная таблица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682"/>
        <w:gridCol w:w="1682"/>
        <w:gridCol w:w="1682"/>
        <w:gridCol w:w="1682"/>
        <w:gridCol w:w="1682"/>
      </w:tblGrid>
      <w:tr w:rsidR="007D5DF8" w:rsidRPr="00DB5D0D" w14:paraId="678E6AF8" w14:textId="77777777" w:rsidTr="00E543D0">
        <w:tc>
          <w:tcPr>
            <w:tcW w:w="2802" w:type="dxa"/>
            <w:tcBorders>
              <w:top w:val="single" w:sz="12" w:space="0" w:color="auto"/>
            </w:tcBorders>
          </w:tcPr>
          <w:p w14:paraId="78F246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w:t>
            </w:r>
          </w:p>
        </w:tc>
        <w:tc>
          <w:tcPr>
            <w:tcW w:w="1682" w:type="dxa"/>
            <w:tcBorders>
              <w:top w:val="single" w:sz="12" w:space="0" w:color="auto"/>
            </w:tcBorders>
          </w:tcPr>
          <w:p w14:paraId="018BAC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АМ-35А</w:t>
            </w:r>
          </w:p>
        </w:tc>
        <w:tc>
          <w:tcPr>
            <w:tcW w:w="1682" w:type="dxa"/>
            <w:tcBorders>
              <w:top w:val="single" w:sz="12" w:space="0" w:color="auto"/>
            </w:tcBorders>
          </w:tcPr>
          <w:p w14:paraId="665395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w:t>
            </w:r>
          </w:p>
        </w:tc>
        <w:tc>
          <w:tcPr>
            <w:tcW w:w="1682" w:type="dxa"/>
            <w:tcBorders>
              <w:top w:val="single" w:sz="12" w:space="0" w:color="auto"/>
            </w:tcBorders>
          </w:tcPr>
          <w:p w14:paraId="2F94C3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w:t>
            </w:r>
          </w:p>
        </w:tc>
        <w:tc>
          <w:tcPr>
            <w:tcW w:w="1682" w:type="dxa"/>
            <w:tcBorders>
              <w:top w:val="single" w:sz="12" w:space="0" w:color="auto"/>
            </w:tcBorders>
          </w:tcPr>
          <w:p w14:paraId="791676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Ме-109 ДБ-601</w:t>
            </w:r>
          </w:p>
        </w:tc>
        <w:tc>
          <w:tcPr>
            <w:tcW w:w="1682" w:type="dxa"/>
            <w:tcBorders>
              <w:top w:val="single" w:sz="12" w:space="0" w:color="auto"/>
            </w:tcBorders>
          </w:tcPr>
          <w:p w14:paraId="6DDD8D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Хе-100 ДБ-601</w:t>
            </w:r>
          </w:p>
        </w:tc>
      </w:tr>
      <w:tr w:rsidR="007D5DF8" w:rsidRPr="00DB5D0D" w14:paraId="0A718D2B" w14:textId="77777777" w:rsidTr="00E543D0">
        <w:tc>
          <w:tcPr>
            <w:tcW w:w="2802" w:type="dxa"/>
          </w:tcPr>
          <w:p w14:paraId="5DAA89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w:t>
            </w:r>
          </w:p>
        </w:tc>
        <w:tc>
          <w:tcPr>
            <w:tcW w:w="1682" w:type="dxa"/>
          </w:tcPr>
          <w:p w14:paraId="7259AE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3099</w:t>
            </w:r>
          </w:p>
        </w:tc>
        <w:tc>
          <w:tcPr>
            <w:tcW w:w="1682" w:type="dxa"/>
          </w:tcPr>
          <w:p w14:paraId="757787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2700</w:t>
            </w:r>
          </w:p>
        </w:tc>
        <w:tc>
          <w:tcPr>
            <w:tcW w:w="1682" w:type="dxa"/>
          </w:tcPr>
          <w:p w14:paraId="05A6B9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2968</w:t>
            </w:r>
          </w:p>
        </w:tc>
        <w:tc>
          <w:tcPr>
            <w:tcW w:w="1682" w:type="dxa"/>
          </w:tcPr>
          <w:p w14:paraId="683505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2605</w:t>
            </w:r>
          </w:p>
        </w:tc>
        <w:tc>
          <w:tcPr>
            <w:tcW w:w="1682" w:type="dxa"/>
          </w:tcPr>
          <w:p w14:paraId="5517BB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2492</w:t>
            </w:r>
          </w:p>
        </w:tc>
      </w:tr>
      <w:tr w:rsidR="007D5DF8" w:rsidRPr="00DB5D0D" w14:paraId="067B7063" w14:textId="77777777" w:rsidTr="00E543D0">
        <w:tc>
          <w:tcPr>
            <w:tcW w:w="2802" w:type="dxa"/>
          </w:tcPr>
          <w:p w14:paraId="414171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мотора на высоте</w:t>
            </w:r>
          </w:p>
        </w:tc>
        <w:tc>
          <w:tcPr>
            <w:tcW w:w="1682" w:type="dxa"/>
          </w:tcPr>
          <w:p w14:paraId="06A675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1200/6000</w:t>
            </w:r>
          </w:p>
        </w:tc>
        <w:tc>
          <w:tcPr>
            <w:tcW w:w="1682" w:type="dxa"/>
          </w:tcPr>
          <w:p w14:paraId="3AF731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1050/4000</w:t>
            </w:r>
          </w:p>
        </w:tc>
        <w:tc>
          <w:tcPr>
            <w:tcW w:w="1682" w:type="dxa"/>
          </w:tcPr>
          <w:p w14:paraId="382F1E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1050/4000</w:t>
            </w:r>
          </w:p>
        </w:tc>
        <w:tc>
          <w:tcPr>
            <w:tcW w:w="1682" w:type="dxa"/>
          </w:tcPr>
          <w:p w14:paraId="02A665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1100/3700</w:t>
            </w:r>
          </w:p>
        </w:tc>
        <w:tc>
          <w:tcPr>
            <w:tcW w:w="1682" w:type="dxa"/>
          </w:tcPr>
          <w:p w14:paraId="44A199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1100/3700</w:t>
            </w:r>
          </w:p>
        </w:tc>
      </w:tr>
      <w:tr w:rsidR="007D5DF8" w:rsidRPr="00DB5D0D" w14:paraId="54695BFA" w14:textId="77777777" w:rsidTr="00E543D0">
        <w:tc>
          <w:tcPr>
            <w:tcW w:w="2802" w:type="dxa"/>
          </w:tcPr>
          <w:p w14:paraId="48934C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скрость у земли</w:t>
            </w:r>
          </w:p>
        </w:tc>
        <w:tc>
          <w:tcPr>
            <w:tcW w:w="1682" w:type="dxa"/>
          </w:tcPr>
          <w:p w14:paraId="55F234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486</w:t>
            </w:r>
          </w:p>
        </w:tc>
        <w:tc>
          <w:tcPr>
            <w:tcW w:w="1682" w:type="dxa"/>
          </w:tcPr>
          <w:p w14:paraId="47D461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w:t>
            </w:r>
          </w:p>
        </w:tc>
        <w:tc>
          <w:tcPr>
            <w:tcW w:w="1682" w:type="dxa"/>
          </w:tcPr>
          <w:p w14:paraId="39AD26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w:t>
            </w:r>
          </w:p>
        </w:tc>
        <w:tc>
          <w:tcPr>
            <w:tcW w:w="1682" w:type="dxa"/>
          </w:tcPr>
          <w:p w14:paraId="42BAE0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440</w:t>
            </w:r>
          </w:p>
        </w:tc>
        <w:tc>
          <w:tcPr>
            <w:tcW w:w="1682" w:type="dxa"/>
          </w:tcPr>
          <w:p w14:paraId="164E49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566</w:t>
            </w:r>
          </w:p>
        </w:tc>
      </w:tr>
      <w:tr w:rsidR="007D5DF8" w:rsidRPr="00DB5D0D" w14:paraId="2EBF2807" w14:textId="77777777" w:rsidTr="00E543D0">
        <w:tc>
          <w:tcPr>
            <w:tcW w:w="2802" w:type="dxa"/>
          </w:tcPr>
          <w:p w14:paraId="68FA5B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у земли на форсаже</w:t>
            </w:r>
          </w:p>
        </w:tc>
        <w:tc>
          <w:tcPr>
            <w:tcW w:w="1682" w:type="dxa"/>
          </w:tcPr>
          <w:p w14:paraId="67A4EE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520</w:t>
            </w:r>
          </w:p>
        </w:tc>
        <w:tc>
          <w:tcPr>
            <w:tcW w:w="1682" w:type="dxa"/>
          </w:tcPr>
          <w:p w14:paraId="3D5FBF0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82" w:type="dxa"/>
          </w:tcPr>
          <w:p w14:paraId="1D3077C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82" w:type="dxa"/>
          </w:tcPr>
          <w:p w14:paraId="676F563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82" w:type="dxa"/>
          </w:tcPr>
          <w:p w14:paraId="354B8F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B127835" w14:textId="77777777" w:rsidTr="00E543D0">
        <w:tc>
          <w:tcPr>
            <w:tcW w:w="2802" w:type="dxa"/>
          </w:tcPr>
          <w:p w14:paraId="766F67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скрость на расчетной высоте</w:t>
            </w:r>
          </w:p>
        </w:tc>
        <w:tc>
          <w:tcPr>
            <w:tcW w:w="1682" w:type="dxa"/>
          </w:tcPr>
          <w:p w14:paraId="2AD3A3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628/7200</w:t>
            </w:r>
          </w:p>
        </w:tc>
        <w:tc>
          <w:tcPr>
            <w:tcW w:w="1682" w:type="dxa"/>
          </w:tcPr>
          <w:p w14:paraId="144072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585/4800</w:t>
            </w:r>
          </w:p>
        </w:tc>
        <w:tc>
          <w:tcPr>
            <w:tcW w:w="1682" w:type="dxa"/>
          </w:tcPr>
          <w:p w14:paraId="07756F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605/4950</w:t>
            </w:r>
          </w:p>
        </w:tc>
        <w:tc>
          <w:tcPr>
            <w:tcW w:w="1682" w:type="dxa"/>
          </w:tcPr>
          <w:p w14:paraId="3F4BA9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546/4600</w:t>
            </w:r>
          </w:p>
        </w:tc>
        <w:tc>
          <w:tcPr>
            <w:tcW w:w="1682" w:type="dxa"/>
          </w:tcPr>
          <w:p w14:paraId="54BE14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650/4950</w:t>
            </w:r>
          </w:p>
        </w:tc>
      </w:tr>
      <w:tr w:rsidR="007D5DF8" w:rsidRPr="00DB5D0D" w14:paraId="26933AB6" w14:textId="77777777" w:rsidTr="00E543D0">
        <w:tc>
          <w:tcPr>
            <w:tcW w:w="2802" w:type="dxa"/>
          </w:tcPr>
          <w:p w14:paraId="2E9A36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5000 м</w:t>
            </w:r>
          </w:p>
        </w:tc>
        <w:tc>
          <w:tcPr>
            <w:tcW w:w="1682" w:type="dxa"/>
          </w:tcPr>
          <w:p w14:paraId="6D358D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w:t>
            </w:r>
          </w:p>
        </w:tc>
        <w:tc>
          <w:tcPr>
            <w:tcW w:w="1682" w:type="dxa"/>
          </w:tcPr>
          <w:p w14:paraId="3A8E9D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1682" w:type="dxa"/>
          </w:tcPr>
          <w:p w14:paraId="0C36C3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w:t>
            </w:r>
          </w:p>
        </w:tc>
        <w:tc>
          <w:tcPr>
            <w:tcW w:w="1682" w:type="dxa"/>
          </w:tcPr>
          <w:p w14:paraId="2BF269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682" w:type="dxa"/>
          </w:tcPr>
          <w:p w14:paraId="0DD7B0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r>
      <w:tr w:rsidR="007D5DF8" w:rsidRPr="00DB5D0D" w14:paraId="06A1A2F8" w14:textId="77777777" w:rsidTr="00E543D0">
        <w:tc>
          <w:tcPr>
            <w:tcW w:w="2802" w:type="dxa"/>
          </w:tcPr>
          <w:p w14:paraId="79402F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Практический потолок</w:t>
            </w:r>
          </w:p>
        </w:tc>
        <w:tc>
          <w:tcPr>
            <w:tcW w:w="1682" w:type="dxa"/>
          </w:tcPr>
          <w:p w14:paraId="2E6D59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w:t>
            </w:r>
          </w:p>
        </w:tc>
        <w:tc>
          <w:tcPr>
            <w:tcW w:w="1682" w:type="dxa"/>
          </w:tcPr>
          <w:p w14:paraId="341B6A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10200</w:t>
            </w:r>
          </w:p>
        </w:tc>
        <w:tc>
          <w:tcPr>
            <w:tcW w:w="1682" w:type="dxa"/>
          </w:tcPr>
          <w:p w14:paraId="1AE056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9600</w:t>
            </w:r>
          </w:p>
        </w:tc>
        <w:tc>
          <w:tcPr>
            <w:tcW w:w="1682" w:type="dxa"/>
          </w:tcPr>
          <w:p w14:paraId="2B6892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682" w:type="dxa"/>
          </w:tcPr>
          <w:p w14:paraId="65D064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r>
      <w:tr w:rsidR="007D5DF8" w:rsidRPr="00DB5D0D" w14:paraId="0209294A" w14:textId="77777777" w:rsidTr="00E543D0">
        <w:tc>
          <w:tcPr>
            <w:tcW w:w="2802" w:type="dxa"/>
          </w:tcPr>
          <w:p w14:paraId="01F5C9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Посадочная скорость</w:t>
            </w:r>
          </w:p>
        </w:tc>
        <w:tc>
          <w:tcPr>
            <w:tcW w:w="1682" w:type="dxa"/>
          </w:tcPr>
          <w:p w14:paraId="4D4AAE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141</w:t>
            </w:r>
          </w:p>
        </w:tc>
        <w:tc>
          <w:tcPr>
            <w:tcW w:w="1682" w:type="dxa"/>
          </w:tcPr>
          <w:p w14:paraId="450CFB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1682" w:type="dxa"/>
          </w:tcPr>
          <w:p w14:paraId="1E2A19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c>
          <w:tcPr>
            <w:tcW w:w="1682" w:type="dxa"/>
          </w:tcPr>
          <w:p w14:paraId="5029D1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129</w:t>
            </w:r>
          </w:p>
        </w:tc>
        <w:tc>
          <w:tcPr>
            <w:tcW w:w="1682" w:type="dxa"/>
          </w:tcPr>
          <w:p w14:paraId="6F649D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149</w:t>
            </w:r>
          </w:p>
        </w:tc>
      </w:tr>
      <w:tr w:rsidR="007D5DF8" w:rsidRPr="00DB5D0D" w14:paraId="12CF3A41" w14:textId="77777777" w:rsidTr="00E543D0">
        <w:tc>
          <w:tcPr>
            <w:tcW w:w="2802" w:type="dxa"/>
          </w:tcPr>
          <w:p w14:paraId="3481B5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1682" w:type="dxa"/>
          </w:tcPr>
          <w:p w14:paraId="6F0BA4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238</w:t>
            </w:r>
          </w:p>
        </w:tc>
        <w:tc>
          <w:tcPr>
            <w:tcW w:w="1682" w:type="dxa"/>
          </w:tcPr>
          <w:p w14:paraId="2CA9AE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1682" w:type="dxa"/>
          </w:tcPr>
          <w:p w14:paraId="04A3D0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355</w:t>
            </w:r>
          </w:p>
        </w:tc>
        <w:tc>
          <w:tcPr>
            <w:tcW w:w="1682" w:type="dxa"/>
          </w:tcPr>
          <w:p w14:paraId="1B7369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183</w:t>
            </w:r>
          </w:p>
        </w:tc>
        <w:tc>
          <w:tcPr>
            <w:tcW w:w="1682" w:type="dxa"/>
          </w:tcPr>
          <w:p w14:paraId="359AE8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7508C4A" w14:textId="77777777" w:rsidTr="00E543D0">
        <w:tc>
          <w:tcPr>
            <w:tcW w:w="2802" w:type="dxa"/>
          </w:tcPr>
          <w:p w14:paraId="32FA86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1682" w:type="dxa"/>
          </w:tcPr>
          <w:p w14:paraId="500255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1682" w:type="dxa"/>
          </w:tcPr>
          <w:p w14:paraId="0490A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1682" w:type="dxa"/>
          </w:tcPr>
          <w:p w14:paraId="3C8E8B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355</w:t>
            </w:r>
          </w:p>
        </w:tc>
        <w:tc>
          <w:tcPr>
            <w:tcW w:w="1682" w:type="dxa"/>
          </w:tcPr>
          <w:p w14:paraId="439C99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223</w:t>
            </w:r>
          </w:p>
        </w:tc>
        <w:tc>
          <w:tcPr>
            <w:tcW w:w="1682" w:type="dxa"/>
          </w:tcPr>
          <w:p w14:paraId="69C1B5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4570D345" w14:textId="77777777" w:rsidTr="00E543D0">
        <w:tc>
          <w:tcPr>
            <w:tcW w:w="2802" w:type="dxa"/>
          </w:tcPr>
          <w:p w14:paraId="7822BF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w:t>
            </w:r>
          </w:p>
        </w:tc>
        <w:tc>
          <w:tcPr>
            <w:tcW w:w="1682" w:type="dxa"/>
          </w:tcPr>
          <w:p w14:paraId="68291C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580</w:t>
            </w:r>
          </w:p>
        </w:tc>
        <w:tc>
          <w:tcPr>
            <w:tcW w:w="1682" w:type="dxa"/>
          </w:tcPr>
          <w:p w14:paraId="0C4A23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1682" w:type="dxa"/>
          </w:tcPr>
          <w:p w14:paraId="135010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556</w:t>
            </w:r>
          </w:p>
        </w:tc>
        <w:tc>
          <w:tcPr>
            <w:tcW w:w="1682" w:type="dxa"/>
          </w:tcPr>
          <w:p w14:paraId="01926E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682" w:type="dxa"/>
          </w:tcPr>
          <w:p w14:paraId="69A6F7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143A68D" w14:textId="77777777" w:rsidTr="00E543D0">
        <w:tc>
          <w:tcPr>
            <w:tcW w:w="2802" w:type="dxa"/>
          </w:tcPr>
          <w:p w14:paraId="1465DC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горючего кг</w:t>
            </w:r>
          </w:p>
        </w:tc>
        <w:tc>
          <w:tcPr>
            <w:tcW w:w="1682" w:type="dxa"/>
          </w:tcPr>
          <w:p w14:paraId="22B9A9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266</w:t>
            </w:r>
          </w:p>
        </w:tc>
        <w:tc>
          <w:tcPr>
            <w:tcW w:w="1682" w:type="dxa"/>
          </w:tcPr>
          <w:p w14:paraId="47B083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w:t>
            </w:r>
          </w:p>
        </w:tc>
        <w:tc>
          <w:tcPr>
            <w:tcW w:w="1682" w:type="dxa"/>
          </w:tcPr>
          <w:p w14:paraId="59C13E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682" w:type="dxa"/>
          </w:tcPr>
          <w:p w14:paraId="658707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276</w:t>
            </w:r>
          </w:p>
        </w:tc>
        <w:tc>
          <w:tcPr>
            <w:tcW w:w="1682" w:type="dxa"/>
          </w:tcPr>
          <w:p w14:paraId="0841D9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w:t>
            </w:r>
          </w:p>
        </w:tc>
      </w:tr>
      <w:tr w:rsidR="007D5DF8" w:rsidRPr="00DB5D0D" w14:paraId="7069CEAF" w14:textId="77777777" w:rsidTr="00E543D0">
        <w:tc>
          <w:tcPr>
            <w:tcW w:w="2802" w:type="dxa"/>
          </w:tcPr>
          <w:p w14:paraId="7B594F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1682" w:type="dxa"/>
          </w:tcPr>
          <w:p w14:paraId="2C3D92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(1500),1хБС (300)</w:t>
            </w:r>
          </w:p>
        </w:tc>
        <w:tc>
          <w:tcPr>
            <w:tcW w:w="1682" w:type="dxa"/>
          </w:tcPr>
          <w:p w14:paraId="51173B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2хШКАС (760), 1х20 (120)</w:t>
            </w:r>
          </w:p>
        </w:tc>
        <w:tc>
          <w:tcPr>
            <w:tcW w:w="1682" w:type="dxa"/>
          </w:tcPr>
          <w:p w14:paraId="035869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 (460), 1х23 (81)</w:t>
            </w:r>
          </w:p>
        </w:tc>
        <w:tc>
          <w:tcPr>
            <w:tcW w:w="1682" w:type="dxa"/>
          </w:tcPr>
          <w:p w14:paraId="71C8F3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2хпушки (120),2хпул (2000)</w:t>
            </w:r>
          </w:p>
        </w:tc>
        <w:tc>
          <w:tcPr>
            <w:tcW w:w="1682" w:type="dxa"/>
          </w:tcPr>
          <w:p w14:paraId="4533D4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3хпушки</w:t>
            </w:r>
          </w:p>
        </w:tc>
      </w:tr>
      <w:tr w:rsidR="007D5DF8" w:rsidRPr="00DB5D0D" w14:paraId="491D1413" w14:textId="77777777" w:rsidTr="00E543D0">
        <w:tc>
          <w:tcPr>
            <w:tcW w:w="2802" w:type="dxa"/>
          </w:tcPr>
          <w:p w14:paraId="262B15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на м2</w:t>
            </w:r>
          </w:p>
        </w:tc>
        <w:tc>
          <w:tcPr>
            <w:tcW w:w="1682" w:type="dxa"/>
          </w:tcPr>
          <w:p w14:paraId="5DE0AD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178</w:t>
            </w:r>
          </w:p>
        </w:tc>
        <w:tc>
          <w:tcPr>
            <w:tcW w:w="1682" w:type="dxa"/>
          </w:tcPr>
          <w:p w14:paraId="0F69A0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154</w:t>
            </w:r>
          </w:p>
        </w:tc>
        <w:tc>
          <w:tcPr>
            <w:tcW w:w="1682" w:type="dxa"/>
          </w:tcPr>
          <w:p w14:paraId="624555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w:t>
            </w:r>
          </w:p>
        </w:tc>
        <w:tc>
          <w:tcPr>
            <w:tcW w:w="1682" w:type="dxa"/>
          </w:tcPr>
          <w:p w14:paraId="18ECFA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c>
          <w:tcPr>
            <w:tcW w:w="1682" w:type="dxa"/>
          </w:tcPr>
          <w:p w14:paraId="5648FC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172</w:t>
            </w:r>
          </w:p>
        </w:tc>
      </w:tr>
      <w:tr w:rsidR="007D5DF8" w:rsidRPr="00DB5D0D" w14:paraId="0B102B20" w14:textId="77777777" w:rsidTr="00E543D0">
        <w:tc>
          <w:tcPr>
            <w:tcW w:w="2802" w:type="dxa"/>
          </w:tcPr>
          <w:p w14:paraId="7B980B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Спуск</w:t>
            </w:r>
          </w:p>
        </w:tc>
        <w:tc>
          <w:tcPr>
            <w:tcW w:w="1682" w:type="dxa"/>
          </w:tcPr>
          <w:p w14:paraId="12F545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пневмомеханика</w:t>
            </w:r>
          </w:p>
        </w:tc>
        <w:tc>
          <w:tcPr>
            <w:tcW w:w="1682" w:type="dxa"/>
          </w:tcPr>
          <w:p w14:paraId="666EE4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пневмомеханика</w:t>
            </w:r>
          </w:p>
        </w:tc>
        <w:tc>
          <w:tcPr>
            <w:tcW w:w="1682" w:type="dxa"/>
          </w:tcPr>
          <w:p w14:paraId="473154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механика</w:t>
            </w:r>
          </w:p>
        </w:tc>
        <w:tc>
          <w:tcPr>
            <w:tcW w:w="1682" w:type="dxa"/>
          </w:tcPr>
          <w:p w14:paraId="4A91B4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электоромеханика</w:t>
            </w:r>
          </w:p>
        </w:tc>
        <w:tc>
          <w:tcPr>
            <w:tcW w:w="1682" w:type="dxa"/>
          </w:tcPr>
          <w:p w14:paraId="52D6874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30A60AA" w14:textId="77777777" w:rsidTr="00E543D0">
        <w:tc>
          <w:tcPr>
            <w:tcW w:w="2802" w:type="dxa"/>
          </w:tcPr>
          <w:p w14:paraId="065321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Прицел</w:t>
            </w:r>
          </w:p>
        </w:tc>
        <w:tc>
          <w:tcPr>
            <w:tcW w:w="1682" w:type="dxa"/>
          </w:tcPr>
          <w:p w14:paraId="3E4936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ПАН-23</w:t>
            </w:r>
          </w:p>
        </w:tc>
        <w:tc>
          <w:tcPr>
            <w:tcW w:w="1682" w:type="dxa"/>
          </w:tcPr>
          <w:p w14:paraId="19BD79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ПАН-23</w:t>
            </w:r>
          </w:p>
        </w:tc>
        <w:tc>
          <w:tcPr>
            <w:tcW w:w="1682" w:type="dxa"/>
          </w:tcPr>
          <w:p w14:paraId="14F31C7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82" w:type="dxa"/>
          </w:tcPr>
          <w:p w14:paraId="4D973FB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82" w:type="dxa"/>
          </w:tcPr>
          <w:p w14:paraId="3E753F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C1DEA19" w14:textId="77777777" w:rsidTr="00E543D0">
        <w:tc>
          <w:tcPr>
            <w:tcW w:w="2802" w:type="dxa"/>
            <w:tcBorders>
              <w:bottom w:val="single" w:sz="12" w:space="0" w:color="auto"/>
            </w:tcBorders>
          </w:tcPr>
          <w:p w14:paraId="302B1E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w:t>
            </w:r>
          </w:p>
        </w:tc>
        <w:tc>
          <w:tcPr>
            <w:tcW w:w="1682" w:type="dxa"/>
            <w:tcBorders>
              <w:bottom w:val="single" w:sz="12" w:space="0" w:color="auto"/>
            </w:tcBorders>
          </w:tcPr>
          <w:p w14:paraId="01426A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8хРС-82</w:t>
            </w:r>
          </w:p>
        </w:tc>
        <w:tc>
          <w:tcPr>
            <w:tcW w:w="1682" w:type="dxa"/>
            <w:tcBorders>
              <w:bottom w:val="single" w:sz="12" w:space="0" w:color="auto"/>
            </w:tcBorders>
          </w:tcPr>
          <w:p w14:paraId="6BFB33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682" w:type="dxa"/>
            <w:tcBorders>
              <w:bottom w:val="single" w:sz="12" w:space="0" w:color="auto"/>
            </w:tcBorders>
          </w:tcPr>
          <w:p w14:paraId="1EF80C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8хРС-82</w:t>
            </w:r>
          </w:p>
        </w:tc>
        <w:tc>
          <w:tcPr>
            <w:tcW w:w="1682" w:type="dxa"/>
            <w:tcBorders>
              <w:bottom w:val="single" w:sz="12" w:space="0" w:color="auto"/>
            </w:tcBorders>
          </w:tcPr>
          <w:p w14:paraId="2D1079D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682" w:type="dxa"/>
            <w:tcBorders>
              <w:bottom w:val="single" w:sz="12" w:space="0" w:color="auto"/>
            </w:tcBorders>
          </w:tcPr>
          <w:p w14:paraId="6C1E93E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52AABC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Взлетно-посадочные данные (при полетном весе 3099, ветре 1-2 м/с с аэродрома с твердым земляным грунтом с травяного покрова)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471"/>
        <w:gridCol w:w="2471"/>
        <w:gridCol w:w="2471"/>
      </w:tblGrid>
      <w:tr w:rsidR="007D5DF8" w:rsidRPr="00DB5D0D" w14:paraId="1F367E5A" w14:textId="77777777" w:rsidTr="00E543D0">
        <w:tc>
          <w:tcPr>
            <w:tcW w:w="3794" w:type="dxa"/>
            <w:tcBorders>
              <w:top w:val="single" w:sz="12" w:space="0" w:color="auto"/>
            </w:tcBorders>
          </w:tcPr>
          <w:p w14:paraId="7B19670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71" w:type="dxa"/>
            <w:tcBorders>
              <w:top w:val="single" w:sz="12" w:space="0" w:color="auto"/>
            </w:tcBorders>
          </w:tcPr>
          <w:p w14:paraId="189242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2471" w:type="dxa"/>
            <w:tcBorders>
              <w:top w:val="single" w:sz="12" w:space="0" w:color="auto"/>
            </w:tcBorders>
          </w:tcPr>
          <w:p w14:paraId="3E12A7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w:t>
            </w:r>
          </w:p>
        </w:tc>
        <w:tc>
          <w:tcPr>
            <w:tcW w:w="2471" w:type="dxa"/>
            <w:tcBorders>
              <w:top w:val="single" w:sz="12" w:space="0" w:color="auto"/>
            </w:tcBorders>
          </w:tcPr>
          <w:p w14:paraId="6CC010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r>
      <w:tr w:rsidR="007D5DF8" w:rsidRPr="00DB5D0D" w14:paraId="5D0FFE19" w14:textId="77777777" w:rsidTr="00E543D0">
        <w:tc>
          <w:tcPr>
            <w:tcW w:w="3794" w:type="dxa"/>
          </w:tcPr>
          <w:p w14:paraId="089A12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2471" w:type="dxa"/>
          </w:tcPr>
          <w:p w14:paraId="19C456C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71" w:type="dxa"/>
          </w:tcPr>
          <w:p w14:paraId="1C41AC1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71" w:type="dxa"/>
          </w:tcPr>
          <w:p w14:paraId="1E73D71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EE593DE" w14:textId="77777777" w:rsidTr="00E543D0">
        <w:tc>
          <w:tcPr>
            <w:tcW w:w="3794" w:type="dxa"/>
          </w:tcPr>
          <w:p w14:paraId="4993F6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номинале без щитков</w:t>
            </w:r>
          </w:p>
        </w:tc>
        <w:tc>
          <w:tcPr>
            <w:tcW w:w="2471" w:type="dxa"/>
          </w:tcPr>
          <w:p w14:paraId="4C5F8C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171</w:t>
            </w:r>
          </w:p>
        </w:tc>
        <w:tc>
          <w:tcPr>
            <w:tcW w:w="2471" w:type="dxa"/>
          </w:tcPr>
          <w:p w14:paraId="08AE47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w:t>
            </w:r>
          </w:p>
        </w:tc>
        <w:tc>
          <w:tcPr>
            <w:tcW w:w="2471" w:type="dxa"/>
          </w:tcPr>
          <w:p w14:paraId="210B05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r>
      <w:tr w:rsidR="007D5DF8" w:rsidRPr="00DB5D0D" w14:paraId="108F4EB8" w14:textId="77777777" w:rsidTr="00E543D0">
        <w:tc>
          <w:tcPr>
            <w:tcW w:w="3794" w:type="dxa"/>
          </w:tcPr>
          <w:p w14:paraId="086673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номинале со щитками 15 гр</w:t>
            </w:r>
          </w:p>
        </w:tc>
        <w:tc>
          <w:tcPr>
            <w:tcW w:w="2471" w:type="dxa"/>
          </w:tcPr>
          <w:p w14:paraId="5D5E7D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162</w:t>
            </w:r>
          </w:p>
        </w:tc>
        <w:tc>
          <w:tcPr>
            <w:tcW w:w="2471" w:type="dxa"/>
          </w:tcPr>
          <w:p w14:paraId="0D06B7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268</w:t>
            </w:r>
          </w:p>
        </w:tc>
        <w:tc>
          <w:tcPr>
            <w:tcW w:w="2471" w:type="dxa"/>
          </w:tcPr>
          <w:p w14:paraId="55C20D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r>
      <w:tr w:rsidR="007D5DF8" w:rsidRPr="00DB5D0D" w14:paraId="290FD6B6" w14:textId="77777777" w:rsidTr="00E543D0">
        <w:tc>
          <w:tcPr>
            <w:tcW w:w="3794" w:type="dxa"/>
          </w:tcPr>
          <w:p w14:paraId="64CB90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форсажем без щитков</w:t>
            </w:r>
          </w:p>
        </w:tc>
        <w:tc>
          <w:tcPr>
            <w:tcW w:w="2471" w:type="dxa"/>
          </w:tcPr>
          <w:p w14:paraId="70757B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163</w:t>
            </w:r>
          </w:p>
        </w:tc>
        <w:tc>
          <w:tcPr>
            <w:tcW w:w="2471" w:type="dxa"/>
          </w:tcPr>
          <w:p w14:paraId="6619E2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234</w:t>
            </w:r>
          </w:p>
        </w:tc>
        <w:tc>
          <w:tcPr>
            <w:tcW w:w="2471" w:type="dxa"/>
          </w:tcPr>
          <w:p w14:paraId="0A1029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w:t>
            </w:r>
          </w:p>
        </w:tc>
      </w:tr>
      <w:tr w:rsidR="007D5DF8" w:rsidRPr="00DB5D0D" w14:paraId="0393F214" w14:textId="77777777" w:rsidTr="00E543D0">
        <w:tc>
          <w:tcPr>
            <w:tcW w:w="3794" w:type="dxa"/>
          </w:tcPr>
          <w:p w14:paraId="5FACDC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форсажем со щитками 15 гр</w:t>
            </w:r>
          </w:p>
        </w:tc>
        <w:tc>
          <w:tcPr>
            <w:tcW w:w="2471" w:type="dxa"/>
          </w:tcPr>
          <w:p w14:paraId="059814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71" w:type="dxa"/>
          </w:tcPr>
          <w:p w14:paraId="364441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2471" w:type="dxa"/>
          </w:tcPr>
          <w:p w14:paraId="738655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r>
      <w:tr w:rsidR="007D5DF8" w:rsidRPr="00DB5D0D" w14:paraId="18C3A41E" w14:textId="77777777" w:rsidTr="00E543D0">
        <w:tc>
          <w:tcPr>
            <w:tcW w:w="3794" w:type="dxa"/>
          </w:tcPr>
          <w:p w14:paraId="5DBAA8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2471" w:type="dxa"/>
          </w:tcPr>
          <w:p w14:paraId="5CE2224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71" w:type="dxa"/>
          </w:tcPr>
          <w:p w14:paraId="6A493EC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2471" w:type="dxa"/>
          </w:tcPr>
          <w:p w14:paraId="16FA3B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99FE090" w14:textId="77777777" w:rsidTr="00E543D0">
        <w:tc>
          <w:tcPr>
            <w:tcW w:w="3794" w:type="dxa"/>
          </w:tcPr>
          <w:p w14:paraId="247BE4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тормозами и щитками</w:t>
            </w:r>
          </w:p>
        </w:tc>
        <w:tc>
          <w:tcPr>
            <w:tcW w:w="2471" w:type="dxa"/>
          </w:tcPr>
          <w:p w14:paraId="3FEB4F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71" w:type="dxa"/>
          </w:tcPr>
          <w:p w14:paraId="414A64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2471" w:type="dxa"/>
          </w:tcPr>
          <w:p w14:paraId="5E0B7B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18,6</w:t>
            </w:r>
          </w:p>
        </w:tc>
      </w:tr>
      <w:tr w:rsidR="007D5DF8" w:rsidRPr="00DB5D0D" w14:paraId="499F9A7E" w14:textId="77777777" w:rsidTr="00E543D0">
        <w:tc>
          <w:tcPr>
            <w:tcW w:w="3794" w:type="dxa"/>
          </w:tcPr>
          <w:p w14:paraId="0576DD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тормозов со щитками</w:t>
            </w:r>
          </w:p>
        </w:tc>
        <w:tc>
          <w:tcPr>
            <w:tcW w:w="2471" w:type="dxa"/>
          </w:tcPr>
          <w:p w14:paraId="3C2565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141</w:t>
            </w:r>
          </w:p>
        </w:tc>
        <w:tc>
          <w:tcPr>
            <w:tcW w:w="2471" w:type="dxa"/>
          </w:tcPr>
          <w:p w14:paraId="01A11D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710</w:t>
            </w:r>
          </w:p>
        </w:tc>
        <w:tc>
          <w:tcPr>
            <w:tcW w:w="2471" w:type="dxa"/>
          </w:tcPr>
          <w:p w14:paraId="1CFA4E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w:t>
            </w:r>
          </w:p>
        </w:tc>
      </w:tr>
      <w:tr w:rsidR="007D5DF8" w:rsidRPr="00DB5D0D" w14:paraId="017F79A6" w14:textId="77777777" w:rsidTr="00E543D0">
        <w:tc>
          <w:tcPr>
            <w:tcW w:w="3794" w:type="dxa"/>
          </w:tcPr>
          <w:p w14:paraId="0AF6B2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тормозами без щитков</w:t>
            </w:r>
          </w:p>
        </w:tc>
        <w:tc>
          <w:tcPr>
            <w:tcW w:w="2471" w:type="dxa"/>
          </w:tcPr>
          <w:p w14:paraId="352B79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71" w:type="dxa"/>
          </w:tcPr>
          <w:p w14:paraId="5FD84D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w:t>
            </w:r>
          </w:p>
        </w:tc>
        <w:tc>
          <w:tcPr>
            <w:tcW w:w="2471" w:type="dxa"/>
          </w:tcPr>
          <w:p w14:paraId="083201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r>
      <w:tr w:rsidR="007D5DF8" w:rsidRPr="00DB5D0D" w14:paraId="38491498" w14:textId="77777777" w:rsidTr="00E543D0">
        <w:tc>
          <w:tcPr>
            <w:tcW w:w="3794" w:type="dxa"/>
            <w:tcBorders>
              <w:bottom w:val="single" w:sz="12" w:space="0" w:color="auto"/>
            </w:tcBorders>
          </w:tcPr>
          <w:p w14:paraId="126A85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без тормозов и щитков</w:t>
            </w:r>
          </w:p>
        </w:tc>
        <w:tc>
          <w:tcPr>
            <w:tcW w:w="2471" w:type="dxa"/>
            <w:tcBorders>
              <w:bottom w:val="single" w:sz="12" w:space="0" w:color="auto"/>
            </w:tcBorders>
          </w:tcPr>
          <w:p w14:paraId="1B8CD8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2471" w:type="dxa"/>
            <w:tcBorders>
              <w:bottom w:val="single" w:sz="12" w:space="0" w:color="auto"/>
            </w:tcBorders>
          </w:tcPr>
          <w:p w14:paraId="054D08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2471" w:type="dxa"/>
            <w:tcBorders>
              <w:bottom w:val="single" w:sz="12" w:space="0" w:color="auto"/>
            </w:tcBorders>
          </w:tcPr>
          <w:p w14:paraId="77454A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w:t>
            </w:r>
          </w:p>
        </w:tc>
      </w:tr>
    </w:tbl>
    <w:p w14:paraId="66A7CA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w:t>
      </w:r>
    </w:p>
    <w:p w14:paraId="4E11AF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С-т И-200 с АМ-35А конструкции Ми и Г производства з-да № 1 по своей скорости, равной 628 км/час, является лучшим из отечественных опытных с-тов и не уступает одноместным иностранным истребителям на высотах до 5000 м</w:t>
      </w:r>
    </w:p>
    <w:p w14:paraId="17960B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Недостатки:</w:t>
      </w:r>
    </w:p>
    <w:p w14:paraId="723E85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конструкции</w:t>
      </w:r>
    </w:p>
    <w:p w14:paraId="638588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Козырек кабины пилота искажает обзор и забрызгивается маслом, что в сильной степени усложняет ведение в/боя и утомляет л в полете.</w:t>
      </w:r>
    </w:p>
    <w:p w14:paraId="14CB83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Колеса размером 600х180, установленные на с-те, не соответствуют его полетному весу. Тормоза не имеют достаточного охлаждения, в результате чего происходит перегрев колес т разрушение пневматиков шин (2 случая)</w:t>
      </w:r>
    </w:p>
    <w:p w14:paraId="5E70BF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 ВМГ</w:t>
      </w:r>
    </w:p>
    <w:p w14:paraId="267EE3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 </w:t>
      </w:r>
    </w:p>
    <w:p w14:paraId="6CF406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бензосистема слоджная и неудобная для с-тов истребительного типа, т.к. требует большого внимания для своевременного переключения кранов б/б и не обеспечивает равномерной выработки горючего из центропланных баков.</w:t>
      </w:r>
    </w:p>
    <w:p w14:paraId="68AF2C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Заливку всех б/б осоществлять через одну общую горловину, для чкго соответственно увеличить бензопровод между баками, а также обеспечения равномерности выработки из центропланных баков.</w:t>
      </w:r>
    </w:p>
    <w:p w14:paraId="233AA9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Водорадиатор з-да № 34 с трубками 10 мм и 6 мм рпаботает неудовлетворительно (течь воды). Радиатору необходимо пройти госиспытания (300 посадок и 15 полетов на расчетной высоте).</w:t>
      </w:r>
    </w:p>
    <w:p w14:paraId="1C90C9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Техническая дальность с-та на скорости 0,9 равна 580 км и меньше на 70 км от заданной. Таким образом, с учетом пробы мотора, руления и взлета, необходимо иметь резерв в 10% с-т может практически летать на радиус 200-240 км, что явно недостаточно.</w:t>
      </w:r>
    </w:p>
    <w:p w14:paraId="7984B9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Винт ВИШ-22Е с диапазоном углов поворота 20 гр совершенно не соответствует мотору АМ-53А на с-те И-200, т.к. граница высотности мотора в полете 7200 м, винт раскручивается до 2150-2200 вместо номинальных 2050 оборотов.</w:t>
      </w:r>
    </w:p>
    <w:p w14:paraId="73C467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пикировании при скорости638 км/час обороты достигают 2400-2500</w:t>
      </w:r>
    </w:p>
    <w:p w14:paraId="50D3E3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Редукция мотора не является наивыгоднейшей (с-т по расчету не добирает 14 км/час).</w:t>
      </w:r>
    </w:p>
    <w:p w14:paraId="6BCFC2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Выхлопные патрубки даже частично не утоплены, на чем теряется скорость.</w:t>
      </w:r>
    </w:p>
    <w:p w14:paraId="1C74A2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После 9 полетов на с-те И-200 № 2 на моторе АВ-35А № 172 произошла авария нагнетателя (разрушился подтяг валика крыльчатки). Этот эффект имел место неоднократно и при сдаточных испытаниях мотора на станке на заводе № 24</w:t>
      </w:r>
    </w:p>
    <w:p w14:paraId="41819A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провести специальные 50-часовые летные испытания.</w:t>
      </w:r>
    </w:p>
    <w:p w14:paraId="241179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9. Мотора на Рк 500-550 в полете на скорости 290-320 км/час имеет малую приемистость и переходы ненадежно и трясут</w:t>
      </w:r>
    </w:p>
    <w:p w14:paraId="4D7FF1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Наличие на моторе АМ-35А двух секторов газа - нормального и форсажного - весьма неудобно при взлете с форсажем (в момент взлета необходимо переключаться с ручки номинальной на форсажную и обратно).</w:t>
      </w:r>
    </w:p>
    <w:p w14:paraId="404EC1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Сьрелковое вооружение работало ненадежно, в эксплуатации не удобно. Синхронизаторы являются опытными. Необходимо провести дополнительные испытания на живучесть.</w:t>
      </w:r>
    </w:p>
    <w:p w14:paraId="2874A0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стрелкового вооружения недостаточна.</w:t>
      </w:r>
    </w:p>
    <w:p w14:paraId="1D4266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Спецоборудование соответствует ТТТ</w:t>
      </w:r>
    </w:p>
    <w:p w14:paraId="1754B1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эксплуатационной оценке с-та</w:t>
      </w:r>
    </w:p>
    <w:p w14:paraId="271F71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Съем и установка мотора требуют 130 чел/час, т.е. почти в 2 раза больше, чем на И-21 и Хе-100.</w:t>
      </w:r>
    </w:p>
    <w:p w14:paraId="7C5CE7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Подходы к агрегатам мотора неудобны</w:t>
      </w:r>
    </w:p>
    <w:p w14:paraId="132D4E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обеспечить влезание л в кабину без металлической лестницы и т.д.</w:t>
      </w:r>
    </w:p>
    <w:p w14:paraId="4C3676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07D66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Самолет И-200 АМ-35А конструкции А.И.М. и Гуревича производства завода 1, как удовлетворяющий по своим ЛД ТТТ и испытанный на пилотаж и штопор до 2-х витков, гос. испытания выдержал.</w:t>
      </w:r>
    </w:p>
    <w:p w14:paraId="45DA8E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Учитывая острую необходимость снабжения частей ВВС истребителями с ЛД И-200, считать необходимым скорейшее проведение войсковых испытаний в том виде, как они проходили гос. испытания, но с обязательным устранением дефектов, выявленных на гос. испытаниях и перечисленных в отчете</w:t>
      </w:r>
    </w:p>
    <w:p w14:paraId="6C86FB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Для обеспечения И-200 надежно работающими моторами необходимо провести специальные 50 час. испытания мотора АМ-35А в полете на И-200.</w:t>
      </w:r>
    </w:p>
    <w:p w14:paraId="1179CB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заводу 1 надлежит провести полное исследование штопора И-200 и испытать на пикирование с новым винтом</w:t>
      </w:r>
    </w:p>
    <w:p w14:paraId="08702D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Для того, чтобы сделать И-200 как массовый самолет, вполне доступным для л ниже средней квалификации и повысить его живучесть, боеготовность и ЛТД, конструкторам надлежит немедленно приступить к изготовлению И-200, на котором:</w:t>
      </w:r>
    </w:p>
    <w:p w14:paraId="528ACD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повысить продольную устойчивость и вместе с тем обязательно обеспечить его управления, сделав приятным в управлении</w:t>
      </w:r>
    </w:p>
    <w:p w14:paraId="31FFE4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увеличить поперечную устойчивость</w:t>
      </w:r>
    </w:p>
    <w:p w14:paraId="40F82B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запроектировать центропланные бензобаки</w:t>
      </w:r>
    </w:p>
    <w:p w14:paraId="0BA55C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установить предкрылки, новые колеса размером согласно приказа НКАП, удовлетворяющим весу и пневматик на хвостовом колесе</w:t>
      </w:r>
    </w:p>
    <w:p w14:paraId="61D26F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обеспечить быструю замену мотора, легкосъемность капота, удобство замены элеронов и выхлопных патрубков</w:t>
      </w:r>
    </w:p>
    <w:p w14:paraId="6101F6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установить дополнительно 2 легкосъемных пулемета Березина</w:t>
      </w:r>
    </w:p>
    <w:p w14:paraId="236B1A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увеличить запас горючего, доведя дальность в нормальном варианте до не менее, чем 560 км на 0.9 макс. (2925).</w:t>
      </w:r>
    </w:p>
    <w:p w14:paraId="5ED5F5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Подписал Нач. НИИ ВВС Филин</w:t>
      </w:r>
    </w:p>
    <w:p w14:paraId="51303C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Центровочные данные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559"/>
        <w:gridCol w:w="1418"/>
      </w:tblGrid>
      <w:tr w:rsidR="007D5DF8" w:rsidRPr="00DB5D0D" w14:paraId="1685E4EA" w14:textId="77777777" w:rsidTr="00E543D0">
        <w:tc>
          <w:tcPr>
            <w:tcW w:w="3227" w:type="dxa"/>
            <w:tcBorders>
              <w:top w:val="single" w:sz="12" w:space="0" w:color="auto"/>
            </w:tcBorders>
          </w:tcPr>
          <w:p w14:paraId="429C36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7DD6CC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ЦТ шасси убраны</w:t>
            </w:r>
          </w:p>
        </w:tc>
        <w:tc>
          <w:tcPr>
            <w:tcW w:w="1418" w:type="dxa"/>
            <w:tcBorders>
              <w:top w:val="single" w:sz="12" w:space="0" w:color="auto"/>
            </w:tcBorders>
          </w:tcPr>
          <w:p w14:paraId="346EB7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ЦТ шасси выпущены</w:t>
            </w:r>
          </w:p>
        </w:tc>
      </w:tr>
      <w:tr w:rsidR="007D5DF8" w:rsidRPr="00DB5D0D" w14:paraId="5C10105D" w14:textId="77777777" w:rsidTr="00E543D0">
        <w:tc>
          <w:tcPr>
            <w:tcW w:w="3227" w:type="dxa"/>
          </w:tcPr>
          <w:p w14:paraId="29AB9C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(с пулеметами, бронспинкой, водой в радиаторе) - 2574 кг</w:t>
            </w:r>
          </w:p>
        </w:tc>
        <w:tc>
          <w:tcPr>
            <w:tcW w:w="1559" w:type="dxa"/>
          </w:tcPr>
          <w:p w14:paraId="37983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21,03</w:t>
            </w:r>
          </w:p>
        </w:tc>
        <w:tc>
          <w:tcPr>
            <w:tcW w:w="1418" w:type="dxa"/>
          </w:tcPr>
          <w:p w14:paraId="65ADEA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20,63</w:t>
            </w:r>
          </w:p>
        </w:tc>
      </w:tr>
      <w:tr w:rsidR="007D5DF8" w:rsidRPr="00DB5D0D" w14:paraId="47344687" w14:textId="77777777" w:rsidTr="00E543D0">
        <w:tc>
          <w:tcPr>
            <w:tcW w:w="3227" w:type="dxa"/>
          </w:tcPr>
          <w:p w14:paraId="6F5097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Нормальный полетный - 3099 кг</w:t>
            </w:r>
          </w:p>
        </w:tc>
        <w:tc>
          <w:tcPr>
            <w:tcW w:w="1559" w:type="dxa"/>
          </w:tcPr>
          <w:p w14:paraId="01DA84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26,3</w:t>
            </w:r>
          </w:p>
        </w:tc>
        <w:tc>
          <w:tcPr>
            <w:tcW w:w="1418" w:type="dxa"/>
          </w:tcPr>
          <w:p w14:paraId="3707F4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25,99</w:t>
            </w:r>
          </w:p>
        </w:tc>
      </w:tr>
      <w:tr w:rsidR="007D5DF8" w:rsidRPr="00DB5D0D" w14:paraId="3357B59C" w14:textId="77777777" w:rsidTr="00E543D0">
        <w:tc>
          <w:tcPr>
            <w:tcW w:w="3227" w:type="dxa"/>
          </w:tcPr>
          <w:p w14:paraId="3B8292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Перегрузочный (220 бомб, ухваты и замки) - 3327 кг</w:t>
            </w:r>
          </w:p>
        </w:tc>
        <w:tc>
          <w:tcPr>
            <w:tcW w:w="1559" w:type="dxa"/>
          </w:tcPr>
          <w:p w14:paraId="1B4DED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25,6</w:t>
            </w:r>
          </w:p>
        </w:tc>
        <w:tc>
          <w:tcPr>
            <w:tcW w:w="1418" w:type="dxa"/>
          </w:tcPr>
          <w:p w14:paraId="17AF18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25,2</w:t>
            </w:r>
          </w:p>
        </w:tc>
      </w:tr>
      <w:tr w:rsidR="007D5DF8" w:rsidRPr="00DB5D0D" w14:paraId="2F32E26A" w14:textId="77777777" w:rsidTr="00E543D0">
        <w:tc>
          <w:tcPr>
            <w:tcW w:w="3227" w:type="dxa"/>
            <w:tcBorders>
              <w:bottom w:val="single" w:sz="12" w:space="0" w:color="auto"/>
            </w:tcBorders>
          </w:tcPr>
          <w:p w14:paraId="46DEF7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Нормалььный полетный с металлическим крылом - 3133</w:t>
            </w:r>
          </w:p>
        </w:tc>
        <w:tc>
          <w:tcPr>
            <w:tcW w:w="1559" w:type="dxa"/>
            <w:tcBorders>
              <w:bottom w:val="single" w:sz="12" w:space="0" w:color="auto"/>
            </w:tcBorders>
          </w:tcPr>
          <w:p w14:paraId="72CB49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26,2</w:t>
            </w:r>
          </w:p>
        </w:tc>
        <w:tc>
          <w:tcPr>
            <w:tcW w:w="1418" w:type="dxa"/>
            <w:tcBorders>
              <w:bottom w:val="single" w:sz="12" w:space="0" w:color="auto"/>
            </w:tcBorders>
          </w:tcPr>
          <w:p w14:paraId="7BC0D1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25,8</w:t>
            </w:r>
          </w:p>
        </w:tc>
      </w:tr>
    </w:tbl>
    <w:p w14:paraId="4E24C3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гор. скорость (с-т И-200 № 6102 с АМ-35А).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93"/>
        <w:gridCol w:w="992"/>
      </w:tblGrid>
      <w:tr w:rsidR="007D5DF8" w:rsidRPr="00DB5D0D" w14:paraId="6D709DC3" w14:textId="77777777" w:rsidTr="00E543D0">
        <w:tc>
          <w:tcPr>
            <w:tcW w:w="1809" w:type="dxa"/>
            <w:tcBorders>
              <w:top w:val="single" w:sz="12" w:space="0" w:color="auto"/>
            </w:tcBorders>
          </w:tcPr>
          <w:p w14:paraId="736007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993" w:type="dxa"/>
            <w:tcBorders>
              <w:top w:val="single" w:sz="12" w:space="0" w:color="auto"/>
            </w:tcBorders>
          </w:tcPr>
          <w:p w14:paraId="45FDA9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w:t>
            </w:r>
          </w:p>
        </w:tc>
        <w:tc>
          <w:tcPr>
            <w:tcW w:w="992" w:type="dxa"/>
            <w:tcBorders>
              <w:top w:val="single" w:sz="12" w:space="0" w:color="auto"/>
            </w:tcBorders>
          </w:tcPr>
          <w:p w14:paraId="2F65BF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r>
      <w:tr w:rsidR="007D5DF8" w:rsidRPr="00DB5D0D" w14:paraId="4DC88B19" w14:textId="77777777" w:rsidTr="00E543D0">
        <w:tc>
          <w:tcPr>
            <w:tcW w:w="1809" w:type="dxa"/>
          </w:tcPr>
          <w:p w14:paraId="146143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993" w:type="dxa"/>
          </w:tcPr>
          <w:p w14:paraId="725D6F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486</w:t>
            </w:r>
          </w:p>
        </w:tc>
        <w:tc>
          <w:tcPr>
            <w:tcW w:w="992" w:type="dxa"/>
          </w:tcPr>
          <w:p w14:paraId="059204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0B1D3AF9" w14:textId="77777777" w:rsidTr="00E543D0">
        <w:tc>
          <w:tcPr>
            <w:tcW w:w="1809" w:type="dxa"/>
          </w:tcPr>
          <w:p w14:paraId="218D2C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993" w:type="dxa"/>
          </w:tcPr>
          <w:p w14:paraId="3FF206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506</w:t>
            </w:r>
          </w:p>
        </w:tc>
        <w:tc>
          <w:tcPr>
            <w:tcW w:w="992" w:type="dxa"/>
          </w:tcPr>
          <w:p w14:paraId="42FD51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08BE9991" w14:textId="77777777" w:rsidTr="00E543D0">
        <w:tc>
          <w:tcPr>
            <w:tcW w:w="1809" w:type="dxa"/>
          </w:tcPr>
          <w:p w14:paraId="7B6C24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993" w:type="dxa"/>
          </w:tcPr>
          <w:p w14:paraId="7ECE49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526</w:t>
            </w:r>
          </w:p>
        </w:tc>
        <w:tc>
          <w:tcPr>
            <w:tcW w:w="992" w:type="dxa"/>
          </w:tcPr>
          <w:p w14:paraId="4AF088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3B4940FC" w14:textId="77777777" w:rsidTr="00E543D0">
        <w:tc>
          <w:tcPr>
            <w:tcW w:w="1809" w:type="dxa"/>
          </w:tcPr>
          <w:p w14:paraId="131614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993" w:type="dxa"/>
          </w:tcPr>
          <w:p w14:paraId="510A83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546</w:t>
            </w:r>
          </w:p>
        </w:tc>
        <w:tc>
          <w:tcPr>
            <w:tcW w:w="992" w:type="dxa"/>
          </w:tcPr>
          <w:p w14:paraId="1B6CE2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00FE744F" w14:textId="77777777" w:rsidTr="00E543D0">
        <w:tc>
          <w:tcPr>
            <w:tcW w:w="1809" w:type="dxa"/>
          </w:tcPr>
          <w:p w14:paraId="044EDC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993" w:type="dxa"/>
          </w:tcPr>
          <w:p w14:paraId="607052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566,5</w:t>
            </w:r>
          </w:p>
        </w:tc>
        <w:tc>
          <w:tcPr>
            <w:tcW w:w="992" w:type="dxa"/>
          </w:tcPr>
          <w:p w14:paraId="5008E9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5F454196" w14:textId="77777777" w:rsidTr="00E543D0">
        <w:tc>
          <w:tcPr>
            <w:tcW w:w="1809" w:type="dxa"/>
          </w:tcPr>
          <w:p w14:paraId="3CC0A0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993" w:type="dxa"/>
          </w:tcPr>
          <w:p w14:paraId="44D8BD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586</w:t>
            </w:r>
          </w:p>
        </w:tc>
        <w:tc>
          <w:tcPr>
            <w:tcW w:w="992" w:type="dxa"/>
          </w:tcPr>
          <w:p w14:paraId="49F1E0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33E7B9DB" w14:textId="77777777" w:rsidTr="00E543D0">
        <w:tc>
          <w:tcPr>
            <w:tcW w:w="1809" w:type="dxa"/>
          </w:tcPr>
          <w:p w14:paraId="7EF1F1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993" w:type="dxa"/>
          </w:tcPr>
          <w:p w14:paraId="22BE5B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606</w:t>
            </w:r>
          </w:p>
        </w:tc>
        <w:tc>
          <w:tcPr>
            <w:tcW w:w="992" w:type="dxa"/>
          </w:tcPr>
          <w:p w14:paraId="7BD4F5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253B7AF1" w14:textId="77777777" w:rsidTr="00E543D0">
        <w:tc>
          <w:tcPr>
            <w:tcW w:w="1809" w:type="dxa"/>
          </w:tcPr>
          <w:p w14:paraId="5BD1D9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993" w:type="dxa"/>
          </w:tcPr>
          <w:p w14:paraId="1C9206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626,5</w:t>
            </w:r>
          </w:p>
        </w:tc>
        <w:tc>
          <w:tcPr>
            <w:tcW w:w="992" w:type="dxa"/>
          </w:tcPr>
          <w:p w14:paraId="2914FD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35CAAA97" w14:textId="77777777" w:rsidTr="00E543D0">
        <w:tc>
          <w:tcPr>
            <w:tcW w:w="1809" w:type="dxa"/>
          </w:tcPr>
          <w:p w14:paraId="75E826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7200</w:t>
            </w:r>
          </w:p>
        </w:tc>
        <w:tc>
          <w:tcPr>
            <w:tcW w:w="993" w:type="dxa"/>
          </w:tcPr>
          <w:p w14:paraId="660790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628</w:t>
            </w:r>
          </w:p>
        </w:tc>
        <w:tc>
          <w:tcPr>
            <w:tcW w:w="992" w:type="dxa"/>
          </w:tcPr>
          <w:p w14:paraId="4B2DC4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1689C0CB" w14:textId="77777777" w:rsidTr="00E543D0">
        <w:tc>
          <w:tcPr>
            <w:tcW w:w="1809" w:type="dxa"/>
          </w:tcPr>
          <w:p w14:paraId="3AFF32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993" w:type="dxa"/>
          </w:tcPr>
          <w:p w14:paraId="6B529B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614</w:t>
            </w:r>
          </w:p>
        </w:tc>
        <w:tc>
          <w:tcPr>
            <w:tcW w:w="992" w:type="dxa"/>
          </w:tcPr>
          <w:p w14:paraId="5B16D8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918</w:t>
            </w:r>
          </w:p>
        </w:tc>
      </w:tr>
      <w:tr w:rsidR="007D5DF8" w:rsidRPr="00DB5D0D" w14:paraId="38461D60" w14:textId="77777777" w:rsidTr="00E543D0">
        <w:tc>
          <w:tcPr>
            <w:tcW w:w="1809" w:type="dxa"/>
            <w:tcBorders>
              <w:bottom w:val="single" w:sz="12" w:space="0" w:color="auto"/>
            </w:tcBorders>
          </w:tcPr>
          <w:p w14:paraId="3DB5FB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993" w:type="dxa"/>
            <w:tcBorders>
              <w:bottom w:val="single" w:sz="12" w:space="0" w:color="auto"/>
            </w:tcBorders>
          </w:tcPr>
          <w:p w14:paraId="098E4D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594,5</w:t>
            </w:r>
          </w:p>
        </w:tc>
        <w:tc>
          <w:tcPr>
            <w:tcW w:w="992" w:type="dxa"/>
            <w:tcBorders>
              <w:bottom w:val="single" w:sz="12" w:space="0" w:color="auto"/>
            </w:tcBorders>
          </w:tcPr>
          <w:p w14:paraId="334D51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790</w:t>
            </w:r>
          </w:p>
        </w:tc>
      </w:tr>
    </w:tbl>
    <w:p w14:paraId="74E1B1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134"/>
        <w:gridCol w:w="1276"/>
        <w:gridCol w:w="1134"/>
        <w:gridCol w:w="1134"/>
      </w:tblGrid>
      <w:tr w:rsidR="007D5DF8" w:rsidRPr="00DB5D0D" w14:paraId="46233116" w14:textId="77777777" w:rsidTr="00E543D0">
        <w:tc>
          <w:tcPr>
            <w:tcW w:w="1526" w:type="dxa"/>
            <w:tcBorders>
              <w:top w:val="single" w:sz="12" w:space="0" w:color="auto"/>
            </w:tcBorders>
          </w:tcPr>
          <w:p w14:paraId="116591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1134" w:type="dxa"/>
            <w:tcBorders>
              <w:top w:val="single" w:sz="12" w:space="0" w:color="auto"/>
            </w:tcBorders>
          </w:tcPr>
          <w:p w14:paraId="009CA0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Гор.скорость</w:t>
            </w:r>
          </w:p>
        </w:tc>
        <w:tc>
          <w:tcPr>
            <w:tcW w:w="1276" w:type="dxa"/>
            <w:tcBorders>
              <w:top w:val="single" w:sz="12" w:space="0" w:color="auto"/>
            </w:tcBorders>
          </w:tcPr>
          <w:p w14:paraId="13B4A9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w:t>
            </w:r>
          </w:p>
        </w:tc>
        <w:tc>
          <w:tcPr>
            <w:tcW w:w="1134" w:type="dxa"/>
            <w:tcBorders>
              <w:top w:val="single" w:sz="12" w:space="0" w:color="auto"/>
            </w:tcBorders>
          </w:tcPr>
          <w:p w14:paraId="14D775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Гор.скорость</w:t>
            </w:r>
          </w:p>
        </w:tc>
        <w:tc>
          <w:tcPr>
            <w:tcW w:w="1134" w:type="dxa"/>
            <w:tcBorders>
              <w:top w:val="single" w:sz="12" w:space="0" w:color="auto"/>
            </w:tcBorders>
          </w:tcPr>
          <w:p w14:paraId="28CC71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w:t>
            </w:r>
          </w:p>
        </w:tc>
      </w:tr>
      <w:tr w:rsidR="007D5DF8" w:rsidRPr="00DB5D0D" w14:paraId="2F8A8758" w14:textId="77777777" w:rsidTr="00E543D0">
        <w:tc>
          <w:tcPr>
            <w:tcW w:w="1526" w:type="dxa"/>
          </w:tcPr>
          <w:p w14:paraId="4F1EEB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134" w:type="dxa"/>
          </w:tcPr>
          <w:p w14:paraId="7032E4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1276" w:type="dxa"/>
          </w:tcPr>
          <w:p w14:paraId="6B670B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134" w:type="dxa"/>
          </w:tcPr>
          <w:p w14:paraId="6B2860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w:t>
            </w:r>
          </w:p>
        </w:tc>
        <w:tc>
          <w:tcPr>
            <w:tcW w:w="1134" w:type="dxa"/>
          </w:tcPr>
          <w:p w14:paraId="070395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3E414415" w14:textId="77777777" w:rsidTr="00E543D0">
        <w:tc>
          <w:tcPr>
            <w:tcW w:w="1526" w:type="dxa"/>
          </w:tcPr>
          <w:p w14:paraId="707717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134" w:type="dxa"/>
          </w:tcPr>
          <w:p w14:paraId="23DBF5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15,3</w:t>
            </w:r>
          </w:p>
        </w:tc>
        <w:tc>
          <w:tcPr>
            <w:tcW w:w="1276" w:type="dxa"/>
          </w:tcPr>
          <w:p w14:paraId="4868AB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1134" w:type="dxa"/>
          </w:tcPr>
          <w:p w14:paraId="729B13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w:t>
            </w:r>
          </w:p>
        </w:tc>
        <w:tc>
          <w:tcPr>
            <w:tcW w:w="1134" w:type="dxa"/>
          </w:tcPr>
          <w:p w14:paraId="42547C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164A14E9" w14:textId="77777777" w:rsidTr="00E543D0">
        <w:tc>
          <w:tcPr>
            <w:tcW w:w="1526" w:type="dxa"/>
          </w:tcPr>
          <w:p w14:paraId="68DDBE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134" w:type="dxa"/>
          </w:tcPr>
          <w:p w14:paraId="1DD022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15,55</w:t>
            </w:r>
          </w:p>
        </w:tc>
        <w:tc>
          <w:tcPr>
            <w:tcW w:w="1276" w:type="dxa"/>
          </w:tcPr>
          <w:p w14:paraId="54B660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2.18</w:t>
            </w:r>
          </w:p>
        </w:tc>
        <w:tc>
          <w:tcPr>
            <w:tcW w:w="1134" w:type="dxa"/>
          </w:tcPr>
          <w:p w14:paraId="73A7A9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w:t>
            </w:r>
          </w:p>
        </w:tc>
        <w:tc>
          <w:tcPr>
            <w:tcW w:w="1134" w:type="dxa"/>
          </w:tcPr>
          <w:p w14:paraId="021FBA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72FB7BB5" w14:textId="77777777" w:rsidTr="00E543D0">
        <w:tc>
          <w:tcPr>
            <w:tcW w:w="1526" w:type="dxa"/>
          </w:tcPr>
          <w:p w14:paraId="3310E4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134" w:type="dxa"/>
          </w:tcPr>
          <w:p w14:paraId="2A2443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15,9</w:t>
            </w:r>
          </w:p>
        </w:tc>
        <w:tc>
          <w:tcPr>
            <w:tcW w:w="1276" w:type="dxa"/>
          </w:tcPr>
          <w:p w14:paraId="4C3AEC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3,24</w:t>
            </w:r>
          </w:p>
        </w:tc>
        <w:tc>
          <w:tcPr>
            <w:tcW w:w="1134" w:type="dxa"/>
          </w:tcPr>
          <w:p w14:paraId="0B96D1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w:t>
            </w:r>
          </w:p>
        </w:tc>
        <w:tc>
          <w:tcPr>
            <w:tcW w:w="1134" w:type="dxa"/>
          </w:tcPr>
          <w:p w14:paraId="33F903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629F5CA7" w14:textId="77777777" w:rsidTr="00E543D0">
        <w:tc>
          <w:tcPr>
            <w:tcW w:w="1526" w:type="dxa"/>
          </w:tcPr>
          <w:p w14:paraId="34C5CE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1134" w:type="dxa"/>
          </w:tcPr>
          <w:p w14:paraId="23A15E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16,9</w:t>
            </w:r>
          </w:p>
        </w:tc>
        <w:tc>
          <w:tcPr>
            <w:tcW w:w="1276" w:type="dxa"/>
          </w:tcPr>
          <w:p w14:paraId="00BCCC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4,28</w:t>
            </w:r>
          </w:p>
        </w:tc>
        <w:tc>
          <w:tcPr>
            <w:tcW w:w="1134" w:type="dxa"/>
          </w:tcPr>
          <w:p w14:paraId="65EF18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w:t>
            </w:r>
          </w:p>
        </w:tc>
        <w:tc>
          <w:tcPr>
            <w:tcW w:w="1134" w:type="dxa"/>
          </w:tcPr>
          <w:p w14:paraId="208327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2C72CC67" w14:textId="77777777" w:rsidTr="00E543D0">
        <w:tc>
          <w:tcPr>
            <w:tcW w:w="1526" w:type="dxa"/>
          </w:tcPr>
          <w:p w14:paraId="16B25D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1134" w:type="dxa"/>
          </w:tcPr>
          <w:p w14:paraId="53B1CB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w:t>
            </w:r>
          </w:p>
        </w:tc>
        <w:tc>
          <w:tcPr>
            <w:tcW w:w="1276" w:type="dxa"/>
          </w:tcPr>
          <w:p w14:paraId="66E94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w:t>
            </w:r>
          </w:p>
        </w:tc>
        <w:tc>
          <w:tcPr>
            <w:tcW w:w="1134" w:type="dxa"/>
          </w:tcPr>
          <w:p w14:paraId="1D5A77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w:t>
            </w:r>
          </w:p>
        </w:tc>
        <w:tc>
          <w:tcPr>
            <w:tcW w:w="1134" w:type="dxa"/>
          </w:tcPr>
          <w:p w14:paraId="32A985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0CAEF91A" w14:textId="77777777" w:rsidTr="00E543D0">
        <w:tc>
          <w:tcPr>
            <w:tcW w:w="1526" w:type="dxa"/>
          </w:tcPr>
          <w:p w14:paraId="4B1843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134" w:type="dxa"/>
          </w:tcPr>
          <w:p w14:paraId="7CE3E0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16,8</w:t>
            </w:r>
          </w:p>
        </w:tc>
        <w:tc>
          <w:tcPr>
            <w:tcW w:w="1276" w:type="dxa"/>
          </w:tcPr>
          <w:p w14:paraId="4D35A4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c>
          <w:tcPr>
            <w:tcW w:w="1134" w:type="dxa"/>
          </w:tcPr>
          <w:p w14:paraId="1E03CA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w:t>
            </w:r>
          </w:p>
        </w:tc>
        <w:tc>
          <w:tcPr>
            <w:tcW w:w="1134" w:type="dxa"/>
          </w:tcPr>
          <w:p w14:paraId="1284D3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31F8B0EB" w14:textId="77777777" w:rsidTr="00E543D0">
        <w:tc>
          <w:tcPr>
            <w:tcW w:w="1526" w:type="dxa"/>
          </w:tcPr>
          <w:p w14:paraId="2F9716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6300</w:t>
            </w:r>
          </w:p>
        </w:tc>
        <w:tc>
          <w:tcPr>
            <w:tcW w:w="1134" w:type="dxa"/>
          </w:tcPr>
          <w:p w14:paraId="5242B9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16,9</w:t>
            </w:r>
          </w:p>
        </w:tc>
        <w:tc>
          <w:tcPr>
            <w:tcW w:w="1276" w:type="dxa"/>
          </w:tcPr>
          <w:p w14:paraId="64DE74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w:t>
            </w:r>
          </w:p>
        </w:tc>
        <w:tc>
          <w:tcPr>
            <w:tcW w:w="1134" w:type="dxa"/>
          </w:tcPr>
          <w:p w14:paraId="453448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253</w:t>
            </w:r>
          </w:p>
        </w:tc>
        <w:tc>
          <w:tcPr>
            <w:tcW w:w="1134" w:type="dxa"/>
          </w:tcPr>
          <w:p w14:paraId="01BFB1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w:t>
            </w:r>
          </w:p>
        </w:tc>
      </w:tr>
      <w:tr w:rsidR="007D5DF8" w:rsidRPr="00DB5D0D" w14:paraId="4C46C556" w14:textId="77777777" w:rsidTr="00E543D0">
        <w:tc>
          <w:tcPr>
            <w:tcW w:w="1526" w:type="dxa"/>
          </w:tcPr>
          <w:p w14:paraId="2CA7F5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1134" w:type="dxa"/>
          </w:tcPr>
          <w:p w14:paraId="428B91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14,85</w:t>
            </w:r>
          </w:p>
        </w:tc>
        <w:tc>
          <w:tcPr>
            <w:tcW w:w="1276" w:type="dxa"/>
          </w:tcPr>
          <w:p w14:paraId="7F498D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7,32</w:t>
            </w:r>
          </w:p>
        </w:tc>
        <w:tc>
          <w:tcPr>
            <w:tcW w:w="1134" w:type="dxa"/>
          </w:tcPr>
          <w:p w14:paraId="43BE7F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247</w:t>
            </w:r>
          </w:p>
        </w:tc>
        <w:tc>
          <w:tcPr>
            <w:tcW w:w="1134" w:type="dxa"/>
          </w:tcPr>
          <w:p w14:paraId="7E1D7C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950</w:t>
            </w:r>
          </w:p>
        </w:tc>
      </w:tr>
      <w:tr w:rsidR="007D5DF8" w:rsidRPr="00DB5D0D" w14:paraId="70666528" w14:textId="77777777" w:rsidTr="00E543D0">
        <w:tc>
          <w:tcPr>
            <w:tcW w:w="1526" w:type="dxa"/>
          </w:tcPr>
          <w:p w14:paraId="520D3F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8000</w:t>
            </w:r>
          </w:p>
        </w:tc>
        <w:tc>
          <w:tcPr>
            <w:tcW w:w="1134" w:type="dxa"/>
          </w:tcPr>
          <w:p w14:paraId="613A67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1276" w:type="dxa"/>
          </w:tcPr>
          <w:p w14:paraId="1894A2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8,57</w:t>
            </w:r>
          </w:p>
        </w:tc>
        <w:tc>
          <w:tcPr>
            <w:tcW w:w="1134" w:type="dxa"/>
          </w:tcPr>
          <w:p w14:paraId="192081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239</w:t>
            </w:r>
          </w:p>
        </w:tc>
        <w:tc>
          <w:tcPr>
            <w:tcW w:w="1134" w:type="dxa"/>
          </w:tcPr>
          <w:p w14:paraId="0F133F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w:t>
            </w:r>
          </w:p>
        </w:tc>
      </w:tr>
      <w:tr w:rsidR="007D5DF8" w:rsidRPr="00DB5D0D" w14:paraId="2572AB4E" w14:textId="77777777" w:rsidTr="00E543D0">
        <w:tc>
          <w:tcPr>
            <w:tcW w:w="1526" w:type="dxa"/>
          </w:tcPr>
          <w:p w14:paraId="234399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1134" w:type="dxa"/>
          </w:tcPr>
          <w:p w14:paraId="7360F7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w:t>
            </w:r>
          </w:p>
        </w:tc>
        <w:tc>
          <w:tcPr>
            <w:tcW w:w="1276" w:type="dxa"/>
          </w:tcPr>
          <w:p w14:paraId="6A06EF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10,15</w:t>
            </w:r>
          </w:p>
        </w:tc>
        <w:tc>
          <w:tcPr>
            <w:tcW w:w="1134" w:type="dxa"/>
          </w:tcPr>
          <w:p w14:paraId="272F97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w:t>
            </w:r>
          </w:p>
        </w:tc>
        <w:tc>
          <w:tcPr>
            <w:tcW w:w="1134" w:type="dxa"/>
          </w:tcPr>
          <w:p w14:paraId="67DD07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760</w:t>
            </w:r>
          </w:p>
        </w:tc>
      </w:tr>
      <w:tr w:rsidR="007D5DF8" w:rsidRPr="00DB5D0D" w14:paraId="0952B4FD" w14:textId="77777777" w:rsidTr="00E543D0">
        <w:tc>
          <w:tcPr>
            <w:tcW w:w="1526" w:type="dxa"/>
          </w:tcPr>
          <w:p w14:paraId="3B2286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1134" w:type="dxa"/>
          </w:tcPr>
          <w:p w14:paraId="368E10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3,35</w:t>
            </w:r>
          </w:p>
        </w:tc>
        <w:tc>
          <w:tcPr>
            <w:tcW w:w="1276" w:type="dxa"/>
          </w:tcPr>
          <w:p w14:paraId="032B16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15,88</w:t>
            </w:r>
          </w:p>
        </w:tc>
        <w:tc>
          <w:tcPr>
            <w:tcW w:w="1134" w:type="dxa"/>
          </w:tcPr>
          <w:p w14:paraId="2717A3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222</w:t>
            </w:r>
          </w:p>
        </w:tc>
        <w:tc>
          <w:tcPr>
            <w:tcW w:w="1134" w:type="dxa"/>
          </w:tcPr>
          <w:p w14:paraId="50EC03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680</w:t>
            </w:r>
          </w:p>
        </w:tc>
      </w:tr>
      <w:tr w:rsidR="007D5DF8" w:rsidRPr="00DB5D0D" w14:paraId="27EB6B61" w14:textId="77777777" w:rsidTr="00E543D0">
        <w:tc>
          <w:tcPr>
            <w:tcW w:w="1526" w:type="dxa"/>
            <w:tcBorders>
              <w:bottom w:val="single" w:sz="12" w:space="0" w:color="auto"/>
            </w:tcBorders>
          </w:tcPr>
          <w:p w14:paraId="44F60E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w:t>
            </w:r>
          </w:p>
        </w:tc>
        <w:tc>
          <w:tcPr>
            <w:tcW w:w="1134" w:type="dxa"/>
            <w:tcBorders>
              <w:bottom w:val="single" w:sz="12" w:space="0" w:color="auto"/>
            </w:tcBorders>
          </w:tcPr>
          <w:p w14:paraId="2E942E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0,5</w:t>
            </w:r>
          </w:p>
        </w:tc>
        <w:tc>
          <w:tcPr>
            <w:tcW w:w="1276" w:type="dxa"/>
            <w:tcBorders>
              <w:bottom w:val="single" w:sz="12" w:space="0" w:color="auto"/>
            </w:tcBorders>
          </w:tcPr>
          <w:p w14:paraId="05BAB3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25,63</w:t>
            </w:r>
          </w:p>
        </w:tc>
        <w:tc>
          <w:tcPr>
            <w:tcW w:w="1134" w:type="dxa"/>
            <w:tcBorders>
              <w:bottom w:val="single" w:sz="12" w:space="0" w:color="auto"/>
            </w:tcBorders>
          </w:tcPr>
          <w:p w14:paraId="66881D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134" w:type="dxa"/>
            <w:tcBorders>
              <w:bottom w:val="single" w:sz="12" w:space="0" w:color="auto"/>
            </w:tcBorders>
          </w:tcPr>
          <w:p w14:paraId="0EECA7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0D8335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Теоретический потолок 12180, практический - 12000, время подъема 25,63</w:t>
      </w:r>
    </w:p>
    <w:p w14:paraId="7DB360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маневренности на 1000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7D5DF8" w:rsidRPr="00DB5D0D" w14:paraId="25AED507" w14:textId="77777777" w:rsidTr="00E543D0">
        <w:tc>
          <w:tcPr>
            <w:tcW w:w="2242" w:type="dxa"/>
            <w:tcBorders>
              <w:top w:val="single" w:sz="12" w:space="0" w:color="auto"/>
            </w:tcBorders>
          </w:tcPr>
          <w:p w14:paraId="657C5C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6EF5C4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851" w:type="dxa"/>
            <w:tcBorders>
              <w:top w:val="single" w:sz="12" w:space="0" w:color="auto"/>
            </w:tcBorders>
          </w:tcPr>
          <w:p w14:paraId="658C34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ввода</w:t>
            </w:r>
          </w:p>
        </w:tc>
        <w:tc>
          <w:tcPr>
            <w:tcW w:w="850" w:type="dxa"/>
            <w:tcBorders>
              <w:top w:val="single" w:sz="12" w:space="0" w:color="auto"/>
            </w:tcBorders>
          </w:tcPr>
          <w:p w14:paraId="4EC25E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вывода</w:t>
            </w:r>
          </w:p>
        </w:tc>
        <w:tc>
          <w:tcPr>
            <w:tcW w:w="851" w:type="dxa"/>
            <w:tcBorders>
              <w:top w:val="single" w:sz="12" w:space="0" w:color="auto"/>
            </w:tcBorders>
          </w:tcPr>
          <w:p w14:paraId="11B9F3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Потеря высоты</w:t>
            </w:r>
          </w:p>
        </w:tc>
      </w:tr>
      <w:tr w:rsidR="007D5DF8" w:rsidRPr="00DB5D0D" w14:paraId="16D2001F" w14:textId="77777777" w:rsidTr="00E543D0">
        <w:tc>
          <w:tcPr>
            <w:tcW w:w="2242" w:type="dxa"/>
          </w:tcPr>
          <w:p w14:paraId="3F2F3F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левый</w:t>
            </w:r>
          </w:p>
        </w:tc>
        <w:tc>
          <w:tcPr>
            <w:tcW w:w="843" w:type="dxa"/>
          </w:tcPr>
          <w:p w14:paraId="12933A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22,3</w:t>
            </w:r>
          </w:p>
        </w:tc>
        <w:tc>
          <w:tcPr>
            <w:tcW w:w="851" w:type="dxa"/>
          </w:tcPr>
          <w:p w14:paraId="353D08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0" w:type="dxa"/>
          </w:tcPr>
          <w:p w14:paraId="018D6A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w:t>
            </w:r>
          </w:p>
        </w:tc>
        <w:tc>
          <w:tcPr>
            <w:tcW w:w="851" w:type="dxa"/>
          </w:tcPr>
          <w:p w14:paraId="2928A1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39AC9B62" w14:textId="77777777" w:rsidTr="00E543D0">
        <w:tc>
          <w:tcPr>
            <w:tcW w:w="2242" w:type="dxa"/>
          </w:tcPr>
          <w:p w14:paraId="115B5B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правый</w:t>
            </w:r>
          </w:p>
        </w:tc>
        <w:tc>
          <w:tcPr>
            <w:tcW w:w="843" w:type="dxa"/>
          </w:tcPr>
          <w:p w14:paraId="78C58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851" w:type="dxa"/>
          </w:tcPr>
          <w:p w14:paraId="4D0433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0" w:type="dxa"/>
          </w:tcPr>
          <w:p w14:paraId="3540CD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370</w:t>
            </w:r>
          </w:p>
        </w:tc>
        <w:tc>
          <w:tcPr>
            <w:tcW w:w="851" w:type="dxa"/>
          </w:tcPr>
          <w:p w14:paraId="122893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2B724361" w14:textId="77777777" w:rsidTr="00E543D0">
        <w:tc>
          <w:tcPr>
            <w:tcW w:w="2242" w:type="dxa"/>
          </w:tcPr>
          <w:p w14:paraId="2DD1CF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серийный левый</w:t>
            </w:r>
          </w:p>
        </w:tc>
        <w:tc>
          <w:tcPr>
            <w:tcW w:w="843" w:type="dxa"/>
          </w:tcPr>
          <w:p w14:paraId="651EA7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70,5</w:t>
            </w:r>
          </w:p>
        </w:tc>
        <w:tc>
          <w:tcPr>
            <w:tcW w:w="851" w:type="dxa"/>
          </w:tcPr>
          <w:p w14:paraId="641059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0" w:type="dxa"/>
          </w:tcPr>
          <w:p w14:paraId="6239B6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330</w:t>
            </w:r>
          </w:p>
        </w:tc>
        <w:tc>
          <w:tcPr>
            <w:tcW w:w="851" w:type="dxa"/>
          </w:tcPr>
          <w:p w14:paraId="5B1ABA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61622732" w14:textId="77777777" w:rsidTr="00E543D0">
        <w:tc>
          <w:tcPr>
            <w:tcW w:w="2242" w:type="dxa"/>
          </w:tcPr>
          <w:p w14:paraId="598FA9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серийный правый</w:t>
            </w:r>
          </w:p>
        </w:tc>
        <w:tc>
          <w:tcPr>
            <w:tcW w:w="843" w:type="dxa"/>
          </w:tcPr>
          <w:p w14:paraId="77671F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64,9</w:t>
            </w:r>
          </w:p>
        </w:tc>
        <w:tc>
          <w:tcPr>
            <w:tcW w:w="851" w:type="dxa"/>
          </w:tcPr>
          <w:p w14:paraId="4A3100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0" w:type="dxa"/>
          </w:tcPr>
          <w:p w14:paraId="54F641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1" w:type="dxa"/>
          </w:tcPr>
          <w:p w14:paraId="062F58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2B9D54E8" w14:textId="77777777" w:rsidTr="00E543D0">
        <w:tc>
          <w:tcPr>
            <w:tcW w:w="2242" w:type="dxa"/>
            <w:tcBorders>
              <w:bottom w:val="single" w:sz="12" w:space="0" w:color="auto"/>
            </w:tcBorders>
          </w:tcPr>
          <w:p w14:paraId="0D8692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Восьмерка</w:t>
            </w:r>
          </w:p>
        </w:tc>
        <w:tc>
          <w:tcPr>
            <w:tcW w:w="843" w:type="dxa"/>
            <w:tcBorders>
              <w:bottom w:val="single" w:sz="12" w:space="0" w:color="auto"/>
            </w:tcBorders>
          </w:tcPr>
          <w:p w14:paraId="7E9E55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40,5</w:t>
            </w:r>
          </w:p>
        </w:tc>
        <w:tc>
          <w:tcPr>
            <w:tcW w:w="851" w:type="dxa"/>
            <w:tcBorders>
              <w:bottom w:val="single" w:sz="12" w:space="0" w:color="auto"/>
            </w:tcBorders>
          </w:tcPr>
          <w:p w14:paraId="1B3149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0" w:type="dxa"/>
            <w:tcBorders>
              <w:bottom w:val="single" w:sz="12" w:space="0" w:color="auto"/>
            </w:tcBorders>
          </w:tcPr>
          <w:p w14:paraId="4CE48B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320</w:t>
            </w:r>
          </w:p>
        </w:tc>
        <w:tc>
          <w:tcPr>
            <w:tcW w:w="851" w:type="dxa"/>
            <w:tcBorders>
              <w:bottom w:val="single" w:sz="12" w:space="0" w:color="auto"/>
            </w:tcBorders>
          </w:tcPr>
          <w:p w14:paraId="76C982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bl>
    <w:p w14:paraId="4DCF22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маневренности на 5000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7D5DF8" w:rsidRPr="00DB5D0D" w14:paraId="4DB10ED1" w14:textId="77777777" w:rsidTr="00E543D0">
        <w:tc>
          <w:tcPr>
            <w:tcW w:w="2242" w:type="dxa"/>
            <w:tcBorders>
              <w:top w:val="single" w:sz="12" w:space="0" w:color="auto"/>
            </w:tcBorders>
          </w:tcPr>
          <w:p w14:paraId="1E798FA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38885D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w:t>
            </w:r>
          </w:p>
        </w:tc>
        <w:tc>
          <w:tcPr>
            <w:tcW w:w="851" w:type="dxa"/>
            <w:tcBorders>
              <w:top w:val="single" w:sz="12" w:space="0" w:color="auto"/>
            </w:tcBorders>
          </w:tcPr>
          <w:p w14:paraId="626940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ввода</w:t>
            </w:r>
          </w:p>
        </w:tc>
        <w:tc>
          <w:tcPr>
            <w:tcW w:w="850" w:type="dxa"/>
            <w:tcBorders>
              <w:top w:val="single" w:sz="12" w:space="0" w:color="auto"/>
            </w:tcBorders>
          </w:tcPr>
          <w:p w14:paraId="7AD20C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вывода</w:t>
            </w:r>
          </w:p>
        </w:tc>
        <w:tc>
          <w:tcPr>
            <w:tcW w:w="851" w:type="dxa"/>
            <w:tcBorders>
              <w:top w:val="single" w:sz="12" w:space="0" w:color="auto"/>
            </w:tcBorders>
          </w:tcPr>
          <w:p w14:paraId="673DEC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Потеря высоты</w:t>
            </w:r>
          </w:p>
        </w:tc>
      </w:tr>
      <w:tr w:rsidR="007D5DF8" w:rsidRPr="00DB5D0D" w14:paraId="7FCD1B73" w14:textId="77777777" w:rsidTr="00E543D0">
        <w:tc>
          <w:tcPr>
            <w:tcW w:w="2242" w:type="dxa"/>
          </w:tcPr>
          <w:p w14:paraId="1C924C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левый</w:t>
            </w:r>
          </w:p>
        </w:tc>
        <w:tc>
          <w:tcPr>
            <w:tcW w:w="843" w:type="dxa"/>
          </w:tcPr>
          <w:p w14:paraId="33815B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851" w:type="dxa"/>
          </w:tcPr>
          <w:p w14:paraId="04AF62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w:t>
            </w:r>
          </w:p>
        </w:tc>
        <w:tc>
          <w:tcPr>
            <w:tcW w:w="850" w:type="dxa"/>
          </w:tcPr>
          <w:p w14:paraId="576530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1" w:type="dxa"/>
          </w:tcPr>
          <w:p w14:paraId="6006CC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1945D7FC" w14:textId="77777777" w:rsidTr="00E543D0">
        <w:tc>
          <w:tcPr>
            <w:tcW w:w="2242" w:type="dxa"/>
          </w:tcPr>
          <w:p w14:paraId="7AA309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правый</w:t>
            </w:r>
          </w:p>
        </w:tc>
        <w:tc>
          <w:tcPr>
            <w:tcW w:w="843" w:type="dxa"/>
          </w:tcPr>
          <w:p w14:paraId="5BBDF2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w:t>
            </w:r>
          </w:p>
        </w:tc>
        <w:tc>
          <w:tcPr>
            <w:tcW w:w="851" w:type="dxa"/>
          </w:tcPr>
          <w:p w14:paraId="211846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w:t>
            </w:r>
          </w:p>
        </w:tc>
        <w:tc>
          <w:tcPr>
            <w:tcW w:w="850" w:type="dxa"/>
          </w:tcPr>
          <w:p w14:paraId="3B5BB7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370</w:t>
            </w:r>
          </w:p>
        </w:tc>
        <w:tc>
          <w:tcPr>
            <w:tcW w:w="851" w:type="dxa"/>
          </w:tcPr>
          <w:p w14:paraId="48950D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7992A357" w14:textId="77777777" w:rsidTr="00E543D0">
        <w:tc>
          <w:tcPr>
            <w:tcW w:w="2242" w:type="dxa"/>
          </w:tcPr>
          <w:p w14:paraId="277B9F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Вираж серийный левый</w:t>
            </w:r>
          </w:p>
        </w:tc>
        <w:tc>
          <w:tcPr>
            <w:tcW w:w="843" w:type="dxa"/>
          </w:tcPr>
          <w:p w14:paraId="4CAEAA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72,0</w:t>
            </w:r>
          </w:p>
        </w:tc>
        <w:tc>
          <w:tcPr>
            <w:tcW w:w="851" w:type="dxa"/>
          </w:tcPr>
          <w:p w14:paraId="63BEBD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0" w:type="dxa"/>
          </w:tcPr>
          <w:p w14:paraId="27776B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1" w:type="dxa"/>
          </w:tcPr>
          <w:p w14:paraId="2B51BB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591A49F7" w14:textId="77777777" w:rsidTr="00E543D0">
        <w:tc>
          <w:tcPr>
            <w:tcW w:w="2242" w:type="dxa"/>
          </w:tcPr>
          <w:p w14:paraId="099147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Вираж серийный правый</w:t>
            </w:r>
          </w:p>
        </w:tc>
        <w:tc>
          <w:tcPr>
            <w:tcW w:w="843" w:type="dxa"/>
          </w:tcPr>
          <w:p w14:paraId="25674B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72,0</w:t>
            </w:r>
          </w:p>
        </w:tc>
        <w:tc>
          <w:tcPr>
            <w:tcW w:w="851" w:type="dxa"/>
          </w:tcPr>
          <w:p w14:paraId="06D4B4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0" w:type="dxa"/>
          </w:tcPr>
          <w:p w14:paraId="292B92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1" w:type="dxa"/>
          </w:tcPr>
          <w:p w14:paraId="07B22A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78CBC88F" w14:textId="77777777" w:rsidTr="00E543D0">
        <w:tc>
          <w:tcPr>
            <w:tcW w:w="2242" w:type="dxa"/>
          </w:tcPr>
          <w:p w14:paraId="60945C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Восьмерка</w:t>
            </w:r>
          </w:p>
        </w:tc>
        <w:tc>
          <w:tcPr>
            <w:tcW w:w="843" w:type="dxa"/>
          </w:tcPr>
          <w:p w14:paraId="36B336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52,0</w:t>
            </w:r>
          </w:p>
        </w:tc>
        <w:tc>
          <w:tcPr>
            <w:tcW w:w="851" w:type="dxa"/>
          </w:tcPr>
          <w:p w14:paraId="144F0E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0" w:type="dxa"/>
          </w:tcPr>
          <w:p w14:paraId="37DE78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350</w:t>
            </w:r>
          </w:p>
        </w:tc>
        <w:tc>
          <w:tcPr>
            <w:tcW w:w="851" w:type="dxa"/>
          </w:tcPr>
          <w:p w14:paraId="6CBF0F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0E400AAB" w14:textId="77777777" w:rsidTr="00E543D0">
        <w:tc>
          <w:tcPr>
            <w:tcW w:w="2242" w:type="dxa"/>
            <w:tcBorders>
              <w:bottom w:val="single" w:sz="12" w:space="0" w:color="auto"/>
            </w:tcBorders>
          </w:tcPr>
          <w:p w14:paraId="3CD9FC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Иммельман</w:t>
            </w:r>
          </w:p>
        </w:tc>
        <w:tc>
          <w:tcPr>
            <w:tcW w:w="843" w:type="dxa"/>
            <w:tcBorders>
              <w:bottom w:val="single" w:sz="12" w:space="0" w:color="auto"/>
            </w:tcBorders>
          </w:tcPr>
          <w:p w14:paraId="11B3D4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851" w:type="dxa"/>
            <w:tcBorders>
              <w:bottom w:val="single" w:sz="12" w:space="0" w:color="auto"/>
            </w:tcBorders>
          </w:tcPr>
          <w:p w14:paraId="3AE851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w:t>
            </w:r>
          </w:p>
        </w:tc>
        <w:tc>
          <w:tcPr>
            <w:tcW w:w="850" w:type="dxa"/>
            <w:tcBorders>
              <w:bottom w:val="single" w:sz="12" w:space="0" w:color="auto"/>
            </w:tcBorders>
          </w:tcPr>
          <w:p w14:paraId="7D9DC6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w:t>
            </w:r>
          </w:p>
        </w:tc>
        <w:tc>
          <w:tcPr>
            <w:tcW w:w="851" w:type="dxa"/>
            <w:tcBorders>
              <w:bottom w:val="single" w:sz="12" w:space="0" w:color="auto"/>
            </w:tcBorders>
          </w:tcPr>
          <w:p w14:paraId="28D4FE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+1100-1200</w:t>
            </w:r>
          </w:p>
        </w:tc>
      </w:tr>
    </w:tbl>
    <w:p w14:paraId="49E5EF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Линейные размеры</w:t>
      </w:r>
    </w:p>
    <w:p w14:paraId="152E6A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- 10200</w:t>
      </w:r>
    </w:p>
    <w:p w14:paraId="30AD7D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8155</w:t>
      </w:r>
    </w:p>
    <w:p w14:paraId="0AB16F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Мидель фюзеляжа 0,978 м2</w:t>
      </w:r>
    </w:p>
    <w:p w14:paraId="542198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Профиль крыла УН</w:t>
      </w:r>
    </w:p>
    <w:p w14:paraId="27D88F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Удлинение крыла 5,97</w:t>
      </w:r>
    </w:p>
    <w:p w14:paraId="3A1388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колеи шасси - 2800</w:t>
      </w:r>
    </w:p>
    <w:p w14:paraId="1A6086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прочности на сл. А по нормам прочности 1940 г в редакции 1939 г. - 13</w:t>
      </w:r>
    </w:p>
    <w:p w14:paraId="042333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17,44 м2</w:t>
      </w:r>
    </w:p>
    <w:p w14:paraId="557097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ГО 3,105</w:t>
      </w:r>
    </w:p>
    <w:p w14:paraId="5B7B7C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киля 0,614</w:t>
      </w:r>
    </w:p>
    <w:p w14:paraId="2B5568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ВО 1,527</w:t>
      </w:r>
    </w:p>
    <w:p w14:paraId="0684F2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Площади стабилизатора 1,659</w:t>
      </w:r>
    </w:p>
    <w:p w14:paraId="355D61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закрылков 2,09</w:t>
      </w:r>
    </w:p>
    <w:p w14:paraId="5A70A4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Уборка шасси - пневматическая, нормальное давление 30 а</w:t>
      </w:r>
    </w:p>
    <w:p w14:paraId="2E589C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Давление в тормозах 4 а</w:t>
      </w:r>
    </w:p>
    <w:p w14:paraId="186E83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не имеет запаса статической продольной устойчивости и близок к неустойчивости</w:t>
      </w:r>
    </w:p>
    <w:p w14:paraId="62C575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Продольная динамическая устойчивость на режиме горизонтального полета</w:t>
      </w:r>
    </w:p>
    <w:p w14:paraId="4C397C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дачи импыльса на увеличение скорости на 20 км/час или на уменьшение скорости на 20 км/час, с-т соответственно уходит в пикирование или кабрирование, требуя внимания л</w:t>
      </w:r>
    </w:p>
    <w:p w14:paraId="546B16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 по уст-ти</w:t>
      </w:r>
    </w:p>
    <w:p w14:paraId="2B46E1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И-2000 на эксплуатационной центровке (25,8%) и убранных шасси обладает неудовлетворительной продольной кстойчивостью</w:t>
      </w:r>
    </w:p>
    <w:p w14:paraId="59544F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отчета о полете л облета Супруна:</w:t>
      </w:r>
    </w:p>
    <w:p w14:paraId="127F93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технике взлета и посадки с-т прост, но вследствие легкого срыва в штопор при перетягивании ручки на вираже с-т в полете равняется И-16 с задней центровкой</w:t>
      </w:r>
    </w:p>
    <w:p w14:paraId="434F4D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полете с-т тяжел в управлении рулями. Создается впечатление вялой в управлении и затрудняется маневрирование. Необходимо увеличить компенсацию всех рулей.</w:t>
      </w:r>
    </w:p>
    <w:p w14:paraId="545EC7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Откидной фонарь не пригоден. Необходи сдвижной.</w:t>
      </w:r>
    </w:p>
    <w:p w14:paraId="5311C8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Общее впечатление от И-200: с-т прост в технике пилотирования и вполне доступен для освоения л средней квалификации</w:t>
      </w:r>
    </w:p>
    <w:p w14:paraId="6C4D0C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ВМГ с-та И-200</w:t>
      </w:r>
    </w:p>
    <w:p w14:paraId="62ED76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 Мотор АМ-35А № 007 за время испыфтаний наработал на земле 2:45, в полете 12:50</w:t>
      </w:r>
    </w:p>
    <w:p w14:paraId="4AF5C0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Степень сжатия 7 (6,8-7)</w:t>
      </w:r>
    </w:p>
    <w:p w14:paraId="50E880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Передаточное число 14,6</w:t>
      </w:r>
    </w:p>
    <w:p w14:paraId="02982B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Неправление вращение со стороны задней крышки - правое, винта - левое</w:t>
      </w:r>
    </w:p>
    <w:p w14:paraId="22C92F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Сухой вес 840 кг</w:t>
      </w:r>
    </w:p>
    <w:p w14:paraId="1B3CB4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макс. 1350</w:t>
      </w:r>
    </w:p>
    <w:p w14:paraId="02E782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Рк 1230</w:t>
      </w:r>
    </w:p>
    <w:p w14:paraId="06893D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Число оборотов 2050</w:t>
      </w:r>
    </w:p>
    <w:p w14:paraId="59FD10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Номинальная мощность у земли 1120 лс, Рк 1020, число обротов 2050 </w:t>
      </w:r>
    </w:p>
    <w:p w14:paraId="5C732E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Расчетная высота 6000 м</w:t>
      </w:r>
    </w:p>
    <w:p w14:paraId="49B93B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Максимальные обороты 2250 в течение 30 сек.</w:t>
      </w:r>
    </w:p>
    <w:p w14:paraId="623DB3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Минимальные оброты 450</w:t>
      </w:r>
    </w:p>
    <w:p w14:paraId="742456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Рекомендуемое горючее 4Б-78 с октяновым числом не ниже 95</w:t>
      </w:r>
    </w:p>
    <w:p w14:paraId="3118A4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Расход горючего</w:t>
      </w:r>
    </w:p>
    <w:p w14:paraId="196DAC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номинал - 300</w:t>
      </w:r>
    </w:p>
    <w:p w14:paraId="1F8E37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330</w:t>
      </w:r>
    </w:p>
    <w:p w14:paraId="2DE150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эксплуатация 275-285</w:t>
      </w:r>
    </w:p>
    <w:p w14:paraId="37EA37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расход масла 12 г/лс/час</w:t>
      </w:r>
    </w:p>
    <w:p w14:paraId="2F645F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Темп. Воды 115 и кратковременно 120</w:t>
      </w:r>
    </w:p>
    <w:p w14:paraId="38B52B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Карбюратор К-35х4</w:t>
      </w:r>
    </w:p>
    <w:p w14:paraId="1955BE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Магнето БС-12-ПЭАх2</w:t>
      </w:r>
    </w:p>
    <w:p w14:paraId="0971B1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Свечи СВ-0,8х24</w:t>
      </w:r>
    </w:p>
    <w:p w14:paraId="69A481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Бензопомпа БНК-10х1</w:t>
      </w:r>
    </w:p>
    <w:p w14:paraId="66F694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Самопуск воздушный</w:t>
      </w:r>
    </w:p>
    <w:p w14:paraId="1CB388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мотора 2,402, высота 1,089, ширина 866</w:t>
      </w:r>
    </w:p>
    <w:p w14:paraId="2E959C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ВИШ-22Е 28 завода.</w:t>
      </w:r>
    </w:p>
    <w:p w14:paraId="3CB26E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Ширина лопасти 260мм</w:t>
      </w:r>
    </w:p>
    <w:p w14:paraId="243A20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144 кг</w:t>
      </w:r>
    </w:p>
    <w:p w14:paraId="6509FC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Расстояние от конца лопасти до земли - 250мм</w:t>
      </w:r>
    </w:p>
    <w:p w14:paraId="4B161C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Радиатор - воздушномасляный ВМС-9-225</w:t>
      </w:r>
    </w:p>
    <w:p w14:paraId="2A539F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Охлаждающая поверхность 2,72 м2</w:t>
      </w:r>
    </w:p>
    <w:p w14:paraId="651519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Водорадиатор типа 229ОП с диаметром трубок 8 мм, емкость 28,5, вес 94,5</w:t>
      </w:r>
    </w:p>
    <w:p w14:paraId="756D4F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Емкость системы охлаждения 79 л</w:t>
      </w:r>
    </w:p>
    <w:p w14:paraId="7D89D9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 - РО-82, 8хфлейт проверено стрельбой на земле и в воздухе. Стрельба производилось одиночными и залпом по 2 на земле и по 2 и по 4 в воздухе. На элероны никакого воздействия не оказывалось.</w:t>
      </w:r>
    </w:p>
    <w:p w14:paraId="2C5E92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Р/с РСИ-3, антенна с мачтой 700 мм на верхней панели фюзеляжа</w:t>
      </w:r>
    </w:p>
    <w:p w14:paraId="431422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действия 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842"/>
      </w:tblGrid>
      <w:tr w:rsidR="007D5DF8" w:rsidRPr="00DB5D0D" w14:paraId="030BBA5A" w14:textId="77777777" w:rsidTr="00E543D0">
        <w:tc>
          <w:tcPr>
            <w:tcW w:w="959" w:type="dxa"/>
            <w:tcBorders>
              <w:top w:val="single" w:sz="12" w:space="0" w:color="auto"/>
            </w:tcBorders>
          </w:tcPr>
          <w:p w14:paraId="768714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w:t>
            </w:r>
          </w:p>
        </w:tc>
        <w:tc>
          <w:tcPr>
            <w:tcW w:w="1843" w:type="dxa"/>
            <w:tcBorders>
              <w:top w:val="single" w:sz="12" w:space="0" w:color="auto"/>
            </w:tcBorders>
          </w:tcPr>
          <w:p w14:paraId="371C9F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двусторонняя с 11АК</w:t>
            </w:r>
          </w:p>
        </w:tc>
        <w:tc>
          <w:tcPr>
            <w:tcW w:w="1701" w:type="dxa"/>
            <w:tcBorders>
              <w:top w:val="single" w:sz="12" w:space="0" w:color="auto"/>
            </w:tcBorders>
          </w:tcPr>
          <w:p w14:paraId="602CD1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одной станцией</w:t>
            </w:r>
          </w:p>
        </w:tc>
        <w:tc>
          <w:tcPr>
            <w:tcW w:w="1842" w:type="dxa"/>
            <w:tcBorders>
              <w:top w:val="single" w:sz="12" w:space="0" w:color="auto"/>
            </w:tcBorders>
          </w:tcPr>
          <w:p w14:paraId="326260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прием на с-те от 11АК</w:t>
            </w:r>
          </w:p>
        </w:tc>
      </w:tr>
      <w:tr w:rsidR="007D5DF8" w:rsidRPr="00DB5D0D" w14:paraId="63B58989" w14:textId="77777777" w:rsidTr="00E543D0">
        <w:tc>
          <w:tcPr>
            <w:tcW w:w="959" w:type="dxa"/>
          </w:tcPr>
          <w:p w14:paraId="73F8CA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1843" w:type="dxa"/>
          </w:tcPr>
          <w:p w14:paraId="2A7175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 км</w:t>
            </w:r>
          </w:p>
        </w:tc>
        <w:tc>
          <w:tcPr>
            <w:tcW w:w="1701" w:type="dxa"/>
          </w:tcPr>
          <w:p w14:paraId="5DC1D6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1842" w:type="dxa"/>
          </w:tcPr>
          <w:p w14:paraId="705764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r>
      <w:tr w:rsidR="007D5DF8" w:rsidRPr="00DB5D0D" w14:paraId="4E11D1A9" w14:textId="77777777" w:rsidTr="00E543D0">
        <w:tc>
          <w:tcPr>
            <w:tcW w:w="959" w:type="dxa"/>
          </w:tcPr>
          <w:p w14:paraId="466A2D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1843" w:type="dxa"/>
          </w:tcPr>
          <w:p w14:paraId="724F35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1701" w:type="dxa"/>
          </w:tcPr>
          <w:p w14:paraId="63B99B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842" w:type="dxa"/>
          </w:tcPr>
          <w:p w14:paraId="62A0CE2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77F3FE2" w14:textId="77777777" w:rsidTr="00E543D0">
        <w:tc>
          <w:tcPr>
            <w:tcW w:w="959" w:type="dxa"/>
            <w:tcBorders>
              <w:bottom w:val="single" w:sz="12" w:space="0" w:color="auto"/>
            </w:tcBorders>
          </w:tcPr>
          <w:p w14:paraId="1CA527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1843" w:type="dxa"/>
            <w:tcBorders>
              <w:bottom w:val="single" w:sz="12" w:space="0" w:color="auto"/>
            </w:tcBorders>
          </w:tcPr>
          <w:p w14:paraId="06E06A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1701" w:type="dxa"/>
            <w:tcBorders>
              <w:bottom w:val="single" w:sz="12" w:space="0" w:color="auto"/>
            </w:tcBorders>
          </w:tcPr>
          <w:p w14:paraId="6A746A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w:t>
            </w:r>
          </w:p>
        </w:tc>
        <w:tc>
          <w:tcPr>
            <w:tcW w:w="1842" w:type="dxa"/>
            <w:tcBorders>
              <w:bottom w:val="single" w:sz="12" w:space="0" w:color="auto"/>
            </w:tcBorders>
          </w:tcPr>
          <w:p w14:paraId="0F38220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67C2C8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предъявлен с электрооборудованием не полностью доработанным на заводских испытаниях (фара, освещение кабины), неполной металлизацией и рядом недостатков по монтажу</w:t>
      </w:r>
    </w:p>
    <w:p w14:paraId="3689F2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Ведомость дефектов: по с-ту 25, по ВМГ 24 по спецоборудованию 10Ю по р/с 6, по электрооборудованию 2, по .. 4</w:t>
      </w:r>
    </w:p>
    <w:p w14:paraId="653B60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программе 75 полетов продолжительностью 28 и по вооружению 22 полета продолжительностью 11:30</w:t>
      </w:r>
    </w:p>
    <w:p w14:paraId="320314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 (с-т № 6101)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7D5DF8" w:rsidRPr="00DB5D0D" w14:paraId="6042ECCD" w14:textId="77777777" w:rsidTr="00E543D0">
        <w:tc>
          <w:tcPr>
            <w:tcW w:w="1526" w:type="dxa"/>
            <w:tcBorders>
              <w:top w:val="single" w:sz="12" w:space="0" w:color="auto"/>
            </w:tcBorders>
          </w:tcPr>
          <w:p w14:paraId="3B48BE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4710" w:type="dxa"/>
            <w:tcBorders>
              <w:top w:val="single" w:sz="12" w:space="0" w:color="auto"/>
            </w:tcBorders>
          </w:tcPr>
          <w:p w14:paraId="70C880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w:t>
            </w:r>
          </w:p>
        </w:tc>
        <w:tc>
          <w:tcPr>
            <w:tcW w:w="1102" w:type="dxa"/>
            <w:tcBorders>
              <w:top w:val="single" w:sz="12" w:space="0" w:color="auto"/>
            </w:tcBorders>
          </w:tcPr>
          <w:p w14:paraId="56F717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Примечение</w:t>
            </w:r>
          </w:p>
        </w:tc>
      </w:tr>
      <w:tr w:rsidR="007D5DF8" w:rsidRPr="00DB5D0D" w14:paraId="0CE03DDD" w14:textId="77777777" w:rsidTr="00E543D0">
        <w:tc>
          <w:tcPr>
            <w:tcW w:w="1526" w:type="dxa"/>
          </w:tcPr>
          <w:p w14:paraId="028361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w:t>
            </w:r>
          </w:p>
        </w:tc>
        <w:tc>
          <w:tcPr>
            <w:tcW w:w="4710" w:type="dxa"/>
          </w:tcPr>
          <w:p w14:paraId="053D23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Перегон с-та на госиспытания в НИИ ВВС. Тарировка б/б, установка испытательной аппаратуры, взвешивание</w:t>
            </w:r>
          </w:p>
        </w:tc>
        <w:tc>
          <w:tcPr>
            <w:tcW w:w="1102" w:type="dxa"/>
          </w:tcPr>
          <w:p w14:paraId="159193D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2F53EC9" w14:textId="77777777" w:rsidTr="00E543D0">
        <w:tc>
          <w:tcPr>
            <w:tcW w:w="1526" w:type="dxa"/>
          </w:tcPr>
          <w:p w14:paraId="11B211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29 августа 1940</w:t>
            </w:r>
          </w:p>
        </w:tc>
        <w:tc>
          <w:tcPr>
            <w:tcW w:w="4710" w:type="dxa"/>
          </w:tcPr>
          <w:p w14:paraId="775365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определение температурных режимов. Замена 3-х стрелочных индикаторов и чистка мотора</w:t>
            </w:r>
          </w:p>
        </w:tc>
        <w:tc>
          <w:tcPr>
            <w:tcW w:w="1102" w:type="dxa"/>
          </w:tcPr>
          <w:p w14:paraId="556586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(0:25)</w:t>
            </w:r>
          </w:p>
        </w:tc>
      </w:tr>
      <w:tr w:rsidR="007D5DF8" w:rsidRPr="00DB5D0D" w14:paraId="4BC22D53" w14:textId="77777777" w:rsidTr="00E543D0">
        <w:tc>
          <w:tcPr>
            <w:tcW w:w="1526" w:type="dxa"/>
          </w:tcPr>
          <w:p w14:paraId="057669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w:t>
            </w:r>
          </w:p>
        </w:tc>
        <w:tc>
          <w:tcPr>
            <w:tcW w:w="4710" w:type="dxa"/>
          </w:tcPr>
          <w:p w14:paraId="2ACB93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километраж После 2-го полета потек водорадиатор. После замены радиатора один полет на определение границ высотности мотора (0:30). Один полет на зубцы (0:15) прекращен из-за неудовлетворительной работы мотора. Полеты были прекращены: сел амортизатор костыля Ночью установка костыля.</w:t>
            </w:r>
          </w:p>
        </w:tc>
        <w:tc>
          <w:tcPr>
            <w:tcW w:w="1102" w:type="dxa"/>
          </w:tcPr>
          <w:p w14:paraId="5EED2C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(1:45)</w:t>
            </w:r>
          </w:p>
        </w:tc>
      </w:tr>
      <w:tr w:rsidR="007D5DF8" w:rsidRPr="00DB5D0D" w14:paraId="39BBE3C7" w14:textId="77777777" w:rsidTr="00E543D0">
        <w:tc>
          <w:tcPr>
            <w:tcW w:w="1526" w:type="dxa"/>
          </w:tcPr>
          <w:p w14:paraId="7351AC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w:t>
            </w:r>
          </w:p>
        </w:tc>
        <w:tc>
          <w:tcPr>
            <w:tcW w:w="4710" w:type="dxa"/>
          </w:tcPr>
          <w:p w14:paraId="1F4E0B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4 полета. Километраж. Потек маслобак Бак заварили на с-те. Полет на зубцы - 5000 м Упало давление с 1040 до 980. Замена РПД Мотор снимался - не проворачивалась крыльчатка нагнетателя</w:t>
            </w:r>
          </w:p>
        </w:tc>
        <w:tc>
          <w:tcPr>
            <w:tcW w:w="1102" w:type="dxa"/>
          </w:tcPr>
          <w:p w14:paraId="1026C0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(1:05)</w:t>
            </w:r>
          </w:p>
        </w:tc>
      </w:tr>
      <w:tr w:rsidR="007D5DF8" w:rsidRPr="00DB5D0D" w14:paraId="1CFCA08A" w14:textId="77777777" w:rsidTr="00E543D0">
        <w:tc>
          <w:tcPr>
            <w:tcW w:w="1526" w:type="dxa"/>
          </w:tcPr>
          <w:p w14:paraId="781E25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сентября 1940</w:t>
            </w:r>
          </w:p>
        </w:tc>
        <w:tc>
          <w:tcPr>
            <w:tcW w:w="4710" w:type="dxa"/>
          </w:tcPr>
          <w:p w14:paraId="37815D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Воскресенье. Низкая облачность, дождь. Съем мотора</w:t>
            </w:r>
          </w:p>
        </w:tc>
        <w:tc>
          <w:tcPr>
            <w:tcW w:w="1102" w:type="dxa"/>
          </w:tcPr>
          <w:p w14:paraId="78F2FDB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A70BD9A" w14:textId="77777777" w:rsidTr="00E543D0">
        <w:tc>
          <w:tcPr>
            <w:tcW w:w="1526" w:type="dxa"/>
          </w:tcPr>
          <w:p w14:paraId="22A78B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сентября 1940</w:t>
            </w:r>
          </w:p>
        </w:tc>
        <w:tc>
          <w:tcPr>
            <w:tcW w:w="4710" w:type="dxa"/>
          </w:tcPr>
          <w:p w14:paraId="1093FE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Съем мотора</w:t>
            </w:r>
          </w:p>
        </w:tc>
        <w:tc>
          <w:tcPr>
            <w:tcW w:w="1102" w:type="dxa"/>
          </w:tcPr>
          <w:p w14:paraId="18A26E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483695C" w14:textId="77777777" w:rsidTr="00E543D0">
        <w:tc>
          <w:tcPr>
            <w:tcW w:w="1526" w:type="dxa"/>
          </w:tcPr>
          <w:p w14:paraId="422692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сентября 1940</w:t>
            </w:r>
          </w:p>
        </w:tc>
        <w:tc>
          <w:tcPr>
            <w:tcW w:w="4710" w:type="dxa"/>
          </w:tcPr>
          <w:p w14:paraId="5CC6F6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мотора. Рк увеличено до 1300 на форсировке</w:t>
            </w:r>
          </w:p>
        </w:tc>
        <w:tc>
          <w:tcPr>
            <w:tcW w:w="1102" w:type="dxa"/>
          </w:tcPr>
          <w:p w14:paraId="57E984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D760B96" w14:textId="77777777" w:rsidTr="00E543D0">
        <w:tc>
          <w:tcPr>
            <w:tcW w:w="1526" w:type="dxa"/>
          </w:tcPr>
          <w:p w14:paraId="306DCD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сентября 1940</w:t>
            </w:r>
          </w:p>
        </w:tc>
        <w:tc>
          <w:tcPr>
            <w:tcW w:w="4710" w:type="dxa"/>
          </w:tcPr>
          <w:p w14:paraId="7F777A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16 полетов, из них 14 полетов “взлет-посадка” Один полет на скороподъемность и скорости по высотам. Потек водорадиатор, который заменен</w:t>
            </w:r>
          </w:p>
        </w:tc>
        <w:tc>
          <w:tcPr>
            <w:tcW w:w="1102" w:type="dxa"/>
          </w:tcPr>
          <w:p w14:paraId="25AB08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(2:30)</w:t>
            </w:r>
          </w:p>
        </w:tc>
      </w:tr>
      <w:tr w:rsidR="007D5DF8" w:rsidRPr="00DB5D0D" w14:paraId="3347C1BC" w14:textId="77777777" w:rsidTr="00E543D0">
        <w:tc>
          <w:tcPr>
            <w:tcW w:w="1526" w:type="dxa"/>
          </w:tcPr>
          <w:p w14:paraId="24A734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сентября 1940</w:t>
            </w:r>
          </w:p>
        </w:tc>
        <w:tc>
          <w:tcPr>
            <w:tcW w:w="4710" w:type="dxa"/>
          </w:tcPr>
          <w:p w14:paraId="3DA2CA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3 полета, из них 2 на скороподъемность и макс. скорости по высотам до 9000 м. Один полет на маневрирование на 5000 м. При посадке была пробита сетка всасювающего патрубка нагнетателя. Произведнн осмотр лопастей. Поломки</w:t>
            </w:r>
          </w:p>
        </w:tc>
        <w:tc>
          <w:tcPr>
            <w:tcW w:w="1102" w:type="dxa"/>
          </w:tcPr>
          <w:p w14:paraId="293362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(1:50</w:t>
            </w:r>
          </w:p>
        </w:tc>
      </w:tr>
      <w:tr w:rsidR="007D5DF8" w:rsidRPr="00DB5D0D" w14:paraId="6FF552AC" w14:textId="77777777" w:rsidTr="00E543D0">
        <w:tc>
          <w:tcPr>
            <w:tcW w:w="1526" w:type="dxa"/>
          </w:tcPr>
          <w:p w14:paraId="62E022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сентября 1940</w:t>
            </w:r>
          </w:p>
        </w:tc>
        <w:tc>
          <w:tcPr>
            <w:tcW w:w="4710" w:type="dxa"/>
          </w:tcPr>
          <w:p w14:paraId="4BA827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Установка “наяды”. Замена пружины уборки и выпуска костыля. Установка на сетке всасывающего патрубка нагнетателя. Полет на скорость до 10000 м и скороподъемность по высотам</w:t>
            </w:r>
          </w:p>
        </w:tc>
        <w:tc>
          <w:tcPr>
            <w:tcW w:w="1102" w:type="dxa"/>
          </w:tcPr>
          <w:p w14:paraId="0D0ABC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(0:45)</w:t>
            </w:r>
          </w:p>
        </w:tc>
      </w:tr>
      <w:tr w:rsidR="007D5DF8" w:rsidRPr="00DB5D0D" w14:paraId="6C7BD5A8" w14:textId="77777777" w:rsidTr="00E543D0">
        <w:tc>
          <w:tcPr>
            <w:tcW w:w="1526" w:type="dxa"/>
          </w:tcPr>
          <w:p w14:paraId="31718D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сентября 1940</w:t>
            </w:r>
          </w:p>
        </w:tc>
        <w:tc>
          <w:tcPr>
            <w:tcW w:w="4710" w:type="dxa"/>
          </w:tcPr>
          <w:p w14:paraId="6C4167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4 полета, из них один на километраж, один на маневренность, два на пикирование до 650 км/час по прибору</w:t>
            </w:r>
          </w:p>
        </w:tc>
        <w:tc>
          <w:tcPr>
            <w:tcW w:w="1102" w:type="dxa"/>
          </w:tcPr>
          <w:p w14:paraId="2433A6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(2:0)</w:t>
            </w:r>
          </w:p>
        </w:tc>
      </w:tr>
      <w:tr w:rsidR="007D5DF8" w:rsidRPr="00DB5D0D" w14:paraId="1DD51EFB" w14:textId="77777777" w:rsidTr="00E543D0">
        <w:tc>
          <w:tcPr>
            <w:tcW w:w="1526" w:type="dxa"/>
          </w:tcPr>
          <w:p w14:paraId="65C073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сентября 1940</w:t>
            </w:r>
          </w:p>
        </w:tc>
        <w:tc>
          <w:tcPr>
            <w:tcW w:w="4710" w:type="dxa"/>
          </w:tcPr>
          <w:p w14:paraId="2326B3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Воскресение Составление отчета</w:t>
            </w:r>
          </w:p>
        </w:tc>
        <w:tc>
          <w:tcPr>
            <w:tcW w:w="1102" w:type="dxa"/>
          </w:tcPr>
          <w:p w14:paraId="1EB8425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E2C6AC8" w14:textId="77777777" w:rsidTr="00E543D0">
        <w:tc>
          <w:tcPr>
            <w:tcW w:w="1526" w:type="dxa"/>
          </w:tcPr>
          <w:p w14:paraId="141238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сентября 1940 </w:t>
            </w:r>
          </w:p>
        </w:tc>
        <w:tc>
          <w:tcPr>
            <w:tcW w:w="4710" w:type="dxa"/>
          </w:tcPr>
          <w:p w14:paraId="1A1B1F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4 полета. Исполнение штопора - 2 полета, 2 полета на макс.</w:t>
            </w:r>
          </w:p>
        </w:tc>
        <w:tc>
          <w:tcPr>
            <w:tcW w:w="1102" w:type="dxa"/>
          </w:tcPr>
          <w:p w14:paraId="1D8D3B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(2:15)</w:t>
            </w:r>
          </w:p>
        </w:tc>
      </w:tr>
      <w:tr w:rsidR="007D5DF8" w:rsidRPr="00DB5D0D" w14:paraId="0493670B" w14:textId="77777777" w:rsidTr="00E543D0">
        <w:tc>
          <w:tcPr>
            <w:tcW w:w="1526" w:type="dxa"/>
          </w:tcPr>
          <w:p w14:paraId="190953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сентября 1940</w:t>
            </w:r>
          </w:p>
        </w:tc>
        <w:tc>
          <w:tcPr>
            <w:tcW w:w="4710" w:type="dxa"/>
          </w:tcPr>
          <w:p w14:paraId="15D03F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Составление отчета и дополнительное фотографирование</w:t>
            </w:r>
          </w:p>
        </w:tc>
        <w:tc>
          <w:tcPr>
            <w:tcW w:w="1102" w:type="dxa"/>
          </w:tcPr>
          <w:p w14:paraId="712A733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CA87B2D" w14:textId="77777777" w:rsidTr="00E543D0">
        <w:tc>
          <w:tcPr>
            <w:tcW w:w="1526" w:type="dxa"/>
            <w:tcBorders>
              <w:bottom w:val="single" w:sz="12" w:space="0" w:color="auto"/>
            </w:tcBorders>
          </w:tcPr>
          <w:p w14:paraId="25E4C4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сентября 1940</w:t>
            </w:r>
          </w:p>
        </w:tc>
        <w:tc>
          <w:tcPr>
            <w:tcW w:w="4710" w:type="dxa"/>
            <w:tcBorders>
              <w:bottom w:val="single" w:sz="12" w:space="0" w:color="auto"/>
            </w:tcBorders>
          </w:tcPr>
          <w:p w14:paraId="546366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Полеты на расход горючего и облеты другими л</w:t>
            </w:r>
          </w:p>
        </w:tc>
        <w:tc>
          <w:tcPr>
            <w:tcW w:w="1102" w:type="dxa"/>
            <w:tcBorders>
              <w:bottom w:val="single" w:sz="12" w:space="0" w:color="auto"/>
            </w:tcBorders>
          </w:tcPr>
          <w:p w14:paraId="046DA03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668A70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 (с-т № 6103)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7D5DF8" w:rsidRPr="00DB5D0D" w14:paraId="533B1F83" w14:textId="77777777" w:rsidTr="00E543D0">
        <w:tc>
          <w:tcPr>
            <w:tcW w:w="1526" w:type="dxa"/>
            <w:tcBorders>
              <w:top w:val="single" w:sz="12" w:space="0" w:color="auto"/>
            </w:tcBorders>
          </w:tcPr>
          <w:p w14:paraId="681246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4710" w:type="dxa"/>
            <w:tcBorders>
              <w:top w:val="single" w:sz="12" w:space="0" w:color="auto"/>
            </w:tcBorders>
          </w:tcPr>
          <w:p w14:paraId="2028E8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Работа</w:t>
            </w:r>
          </w:p>
        </w:tc>
        <w:tc>
          <w:tcPr>
            <w:tcW w:w="1102" w:type="dxa"/>
            <w:tcBorders>
              <w:top w:val="single" w:sz="12" w:space="0" w:color="auto"/>
            </w:tcBorders>
          </w:tcPr>
          <w:p w14:paraId="5C7A19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Примечение</w:t>
            </w:r>
          </w:p>
        </w:tc>
      </w:tr>
      <w:tr w:rsidR="007D5DF8" w:rsidRPr="00DB5D0D" w14:paraId="2ADB0289" w14:textId="77777777" w:rsidTr="00E543D0">
        <w:tc>
          <w:tcPr>
            <w:tcW w:w="1526" w:type="dxa"/>
          </w:tcPr>
          <w:p w14:paraId="1E34BD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w:t>
            </w:r>
          </w:p>
        </w:tc>
        <w:tc>
          <w:tcPr>
            <w:tcW w:w="4710" w:type="dxa"/>
          </w:tcPr>
          <w:p w14:paraId="686914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11:00 произвел посадку на аэродроме НИИ. На с-те обнаружены дефекты: обрыв левого аварийного тросса выпуска шасси. При уборке не полностью убиралась левая нога шасси. 4 полета Супруна. 3 полета Кубышкина. Не зажигалась левая сигнальная лампочка левого шасси</w:t>
            </w:r>
          </w:p>
        </w:tc>
        <w:tc>
          <w:tcPr>
            <w:tcW w:w="1102" w:type="dxa"/>
          </w:tcPr>
          <w:p w14:paraId="2240CB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(0:40) + 3 (0:30)</w:t>
            </w:r>
          </w:p>
        </w:tc>
      </w:tr>
      <w:tr w:rsidR="007D5DF8" w:rsidRPr="00DB5D0D" w14:paraId="2DA9B0E4" w14:textId="77777777" w:rsidTr="00E543D0">
        <w:tc>
          <w:tcPr>
            <w:tcW w:w="1526" w:type="dxa"/>
          </w:tcPr>
          <w:p w14:paraId="2EFCFC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w:t>
            </w:r>
          </w:p>
        </w:tc>
        <w:tc>
          <w:tcPr>
            <w:tcW w:w="4710" w:type="dxa"/>
          </w:tcPr>
          <w:p w14:paraId="3A6777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отстрел оружия воздухе. Кубышкин. Пулеметы ШКАС сожжены и закопчены</w:t>
            </w:r>
          </w:p>
        </w:tc>
        <w:tc>
          <w:tcPr>
            <w:tcW w:w="1102" w:type="dxa"/>
          </w:tcPr>
          <w:p w14:paraId="2E5C80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(0:20)</w:t>
            </w:r>
          </w:p>
        </w:tc>
      </w:tr>
      <w:tr w:rsidR="007D5DF8" w:rsidRPr="00DB5D0D" w14:paraId="0AA03B59" w14:textId="77777777" w:rsidTr="00E543D0">
        <w:tc>
          <w:tcPr>
            <w:tcW w:w="1526" w:type="dxa"/>
          </w:tcPr>
          <w:p w14:paraId="61F3F4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w:t>
            </w:r>
          </w:p>
        </w:tc>
        <w:tc>
          <w:tcPr>
            <w:tcW w:w="4710" w:type="dxa"/>
          </w:tcPr>
          <w:p w14:paraId="6703D5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Отстрел оружия в тире. Отказывала отдача.</w:t>
            </w:r>
          </w:p>
        </w:tc>
        <w:tc>
          <w:tcPr>
            <w:tcW w:w="1102" w:type="dxa"/>
          </w:tcPr>
          <w:p w14:paraId="1923B9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A135E5A" w14:textId="77777777" w:rsidTr="00E543D0">
        <w:tc>
          <w:tcPr>
            <w:tcW w:w="1526" w:type="dxa"/>
          </w:tcPr>
          <w:p w14:paraId="40118A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w:t>
            </w:r>
          </w:p>
        </w:tc>
        <w:tc>
          <w:tcPr>
            <w:tcW w:w="4710" w:type="dxa"/>
          </w:tcPr>
          <w:p w14:paraId="7BE991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Доводка бомбардировочного вооружения на земле. Произведено 2 полета на растряску бомб</w:t>
            </w:r>
          </w:p>
        </w:tc>
        <w:tc>
          <w:tcPr>
            <w:tcW w:w="1102" w:type="dxa"/>
          </w:tcPr>
          <w:p w14:paraId="4A715D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(0:20)</w:t>
            </w:r>
          </w:p>
        </w:tc>
      </w:tr>
      <w:tr w:rsidR="007D5DF8" w:rsidRPr="00DB5D0D" w14:paraId="6169FED9" w14:textId="77777777" w:rsidTr="00E543D0">
        <w:tc>
          <w:tcPr>
            <w:tcW w:w="1526" w:type="dxa"/>
          </w:tcPr>
          <w:p w14:paraId="541797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сентября 1940</w:t>
            </w:r>
          </w:p>
        </w:tc>
        <w:tc>
          <w:tcPr>
            <w:tcW w:w="4710" w:type="dxa"/>
          </w:tcPr>
          <w:p w14:paraId="281957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Воскресенье. Низкая облачность, дождь. Съем мотора</w:t>
            </w:r>
          </w:p>
        </w:tc>
        <w:tc>
          <w:tcPr>
            <w:tcW w:w="1102" w:type="dxa"/>
          </w:tcPr>
          <w:p w14:paraId="6F31B7E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13CFB9F" w14:textId="77777777" w:rsidTr="00E543D0">
        <w:tc>
          <w:tcPr>
            <w:tcW w:w="1526" w:type="dxa"/>
          </w:tcPr>
          <w:p w14:paraId="3A62BF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сентября 1940</w:t>
            </w:r>
          </w:p>
        </w:tc>
        <w:tc>
          <w:tcPr>
            <w:tcW w:w="4710" w:type="dxa"/>
          </w:tcPr>
          <w:p w14:paraId="79593DD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02" w:type="dxa"/>
          </w:tcPr>
          <w:p w14:paraId="6FA6E8C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6F82772" w14:textId="77777777" w:rsidTr="00E543D0">
        <w:tc>
          <w:tcPr>
            <w:tcW w:w="1526" w:type="dxa"/>
          </w:tcPr>
          <w:p w14:paraId="4B8E01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сентября 1940</w:t>
            </w:r>
          </w:p>
        </w:tc>
        <w:tc>
          <w:tcPr>
            <w:tcW w:w="4710" w:type="dxa"/>
          </w:tcPr>
          <w:p w14:paraId="21CF92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Закончен отстрел в тире</w:t>
            </w:r>
          </w:p>
        </w:tc>
        <w:tc>
          <w:tcPr>
            <w:tcW w:w="1102" w:type="dxa"/>
          </w:tcPr>
          <w:p w14:paraId="33372E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B9D2EAB" w14:textId="77777777" w:rsidTr="00E543D0">
        <w:tc>
          <w:tcPr>
            <w:tcW w:w="1526" w:type="dxa"/>
          </w:tcPr>
          <w:p w14:paraId="590E3A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сентября 1940</w:t>
            </w:r>
          </w:p>
        </w:tc>
        <w:tc>
          <w:tcPr>
            <w:tcW w:w="4710" w:type="dxa"/>
          </w:tcPr>
          <w:p w14:paraId="11EEA9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Произведено 6 полетов на стрельбу БС и ШКАС по земле и на растряску бомб</w:t>
            </w:r>
          </w:p>
        </w:tc>
        <w:tc>
          <w:tcPr>
            <w:tcW w:w="1102" w:type="dxa"/>
          </w:tcPr>
          <w:p w14:paraId="0BE141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(1:30)</w:t>
            </w:r>
          </w:p>
        </w:tc>
      </w:tr>
      <w:tr w:rsidR="007D5DF8" w:rsidRPr="00DB5D0D" w14:paraId="0135DF98" w14:textId="77777777" w:rsidTr="00E543D0">
        <w:tc>
          <w:tcPr>
            <w:tcW w:w="1526" w:type="dxa"/>
          </w:tcPr>
          <w:p w14:paraId="38142B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сентября 1940</w:t>
            </w:r>
          </w:p>
        </w:tc>
        <w:tc>
          <w:tcPr>
            <w:tcW w:w="4710" w:type="dxa"/>
          </w:tcPr>
          <w:p w14:paraId="78D729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утра - дождь. Во второй половине дня - 1 полет на стрельбу по конусу - стрельбы не было, т.к. неисправность мотора буксировщика. Один полет на устойчивость</w:t>
            </w:r>
          </w:p>
        </w:tc>
        <w:tc>
          <w:tcPr>
            <w:tcW w:w="1102" w:type="dxa"/>
          </w:tcPr>
          <w:p w14:paraId="71666B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(0:10) + 1 (0:40)</w:t>
            </w:r>
          </w:p>
        </w:tc>
      </w:tr>
      <w:tr w:rsidR="007D5DF8" w:rsidRPr="00DB5D0D" w14:paraId="550F6740" w14:textId="77777777" w:rsidTr="00E543D0">
        <w:tc>
          <w:tcPr>
            <w:tcW w:w="1526" w:type="dxa"/>
          </w:tcPr>
          <w:p w14:paraId="0ACF8D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сентября 1940</w:t>
            </w:r>
          </w:p>
        </w:tc>
        <w:tc>
          <w:tcPr>
            <w:tcW w:w="4710" w:type="dxa"/>
          </w:tcPr>
          <w:p w14:paraId="57774B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Два полета на устойчивость (1:20) и еще один полет на устойчивость (0:10). Не горела лампочка сигнализации шасси </w:t>
            </w:r>
          </w:p>
        </w:tc>
        <w:tc>
          <w:tcPr>
            <w:tcW w:w="1102" w:type="dxa"/>
          </w:tcPr>
          <w:p w14:paraId="16A863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(1:30)</w:t>
            </w:r>
          </w:p>
        </w:tc>
      </w:tr>
      <w:tr w:rsidR="007D5DF8" w:rsidRPr="00DB5D0D" w14:paraId="355C2888" w14:textId="77777777" w:rsidTr="00E543D0">
        <w:tc>
          <w:tcPr>
            <w:tcW w:w="1526" w:type="dxa"/>
          </w:tcPr>
          <w:p w14:paraId="4AF8D3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сентября 1940</w:t>
            </w:r>
          </w:p>
        </w:tc>
        <w:tc>
          <w:tcPr>
            <w:tcW w:w="4710" w:type="dxa"/>
          </w:tcPr>
          <w:p w14:paraId="46D2BF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полет на продольную и боковую устойчивость. Шестой раз сорвало шплин гайки траверсы шасси</w:t>
            </w:r>
          </w:p>
        </w:tc>
        <w:tc>
          <w:tcPr>
            <w:tcW w:w="1102" w:type="dxa"/>
          </w:tcPr>
          <w:p w14:paraId="1DF75A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(0:45)</w:t>
            </w:r>
          </w:p>
        </w:tc>
      </w:tr>
      <w:tr w:rsidR="007D5DF8" w:rsidRPr="00DB5D0D" w14:paraId="03AAF937" w14:textId="77777777" w:rsidTr="00E543D0">
        <w:tc>
          <w:tcPr>
            <w:tcW w:w="1526" w:type="dxa"/>
          </w:tcPr>
          <w:p w14:paraId="2B8BA7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сентября 1940</w:t>
            </w:r>
          </w:p>
        </w:tc>
        <w:tc>
          <w:tcPr>
            <w:tcW w:w="4710" w:type="dxa"/>
          </w:tcPr>
          <w:p w14:paraId="27AC49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Воскресение Составление отчета</w:t>
            </w:r>
          </w:p>
        </w:tc>
        <w:tc>
          <w:tcPr>
            <w:tcW w:w="1102" w:type="dxa"/>
          </w:tcPr>
          <w:p w14:paraId="177F24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D9F0EF2" w14:textId="77777777" w:rsidTr="00E543D0">
        <w:tc>
          <w:tcPr>
            <w:tcW w:w="1526" w:type="dxa"/>
          </w:tcPr>
          <w:p w14:paraId="512776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9 сентября 1940 </w:t>
            </w:r>
          </w:p>
        </w:tc>
        <w:tc>
          <w:tcPr>
            <w:tcW w:w="4710" w:type="dxa"/>
          </w:tcPr>
          <w:p w14:paraId="71F3CC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 (0:35) и перелет в Ногинск (0:10). В ногинске полеты на отстрел РС</w:t>
            </w:r>
          </w:p>
        </w:tc>
        <w:tc>
          <w:tcPr>
            <w:tcW w:w="1102" w:type="dxa"/>
          </w:tcPr>
          <w:p w14:paraId="31031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(0:45)</w:t>
            </w:r>
          </w:p>
        </w:tc>
      </w:tr>
      <w:tr w:rsidR="007D5DF8" w:rsidRPr="00DB5D0D" w14:paraId="51E5BB12" w14:textId="77777777" w:rsidTr="00E543D0">
        <w:tc>
          <w:tcPr>
            <w:tcW w:w="1526" w:type="dxa"/>
          </w:tcPr>
          <w:p w14:paraId="3A0D41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 сентября 1940</w:t>
            </w:r>
          </w:p>
        </w:tc>
        <w:tc>
          <w:tcPr>
            <w:tcW w:w="4710" w:type="dxa"/>
          </w:tcPr>
          <w:p w14:paraId="298F8D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отстрел РС</w:t>
            </w:r>
          </w:p>
        </w:tc>
        <w:tc>
          <w:tcPr>
            <w:tcW w:w="1102" w:type="dxa"/>
          </w:tcPr>
          <w:p w14:paraId="032F8A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w:t>
            </w:r>
          </w:p>
        </w:tc>
      </w:tr>
      <w:tr w:rsidR="007D5DF8" w:rsidRPr="00DB5D0D" w14:paraId="4A09FA7F" w14:textId="77777777" w:rsidTr="00E543D0">
        <w:tc>
          <w:tcPr>
            <w:tcW w:w="1526" w:type="dxa"/>
            <w:tcBorders>
              <w:bottom w:val="single" w:sz="12" w:space="0" w:color="auto"/>
            </w:tcBorders>
          </w:tcPr>
          <w:p w14:paraId="75467C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сентября 1940</w:t>
            </w:r>
          </w:p>
        </w:tc>
        <w:tc>
          <w:tcPr>
            <w:tcW w:w="4710" w:type="dxa"/>
            <w:tcBorders>
              <w:bottom w:val="single" w:sz="12" w:space="0" w:color="auto"/>
            </w:tcBorders>
          </w:tcPr>
          <w:p w14:paraId="2C11FF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полета на бомбометание</w:t>
            </w:r>
          </w:p>
        </w:tc>
        <w:tc>
          <w:tcPr>
            <w:tcW w:w="1102" w:type="dxa"/>
            <w:tcBorders>
              <w:bottom w:val="single" w:sz="12" w:space="0" w:color="auto"/>
            </w:tcBorders>
          </w:tcPr>
          <w:p w14:paraId="498D3A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7BDBA4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(709,8).</w:t>
      </w:r>
    </w:p>
    <w:p w14:paraId="3438AAA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CF791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 второй и тре</w:t>
      </w:r>
      <w:r w:rsidRPr="00DB5D0D">
        <w:rPr>
          <w:rFonts w:ascii="Times New Roman" w:hAnsi="Times New Roman"/>
          <w:color w:val="000000" w:themeColor="text1"/>
          <w:sz w:val="16"/>
          <w:szCs w:val="16"/>
        </w:rPr>
        <w:softHyphen/>
        <w:t>тий опытные экземпляры истреби</w:t>
      </w:r>
      <w:r w:rsidRPr="00DB5D0D">
        <w:rPr>
          <w:rFonts w:ascii="Times New Roman" w:hAnsi="Times New Roman"/>
          <w:color w:val="000000" w:themeColor="text1"/>
          <w:sz w:val="16"/>
          <w:szCs w:val="16"/>
        </w:rPr>
        <w:softHyphen/>
        <w:t>теля И-200 перегнали в НИИ ВВС КА для проведения государственных испытаний, которые начались на следующий день и завершились 12 сентября. На состоявшемся на сле</w:t>
      </w:r>
      <w:r w:rsidRPr="00DB5D0D">
        <w:rPr>
          <w:rFonts w:ascii="Times New Roman" w:hAnsi="Times New Roman"/>
          <w:color w:val="000000" w:themeColor="text1"/>
          <w:sz w:val="16"/>
          <w:szCs w:val="16"/>
        </w:rPr>
        <w:softHyphen/>
        <w:t>дующий день заседании Техничес</w:t>
      </w:r>
      <w:r w:rsidRPr="00DB5D0D">
        <w:rPr>
          <w:rFonts w:ascii="Times New Roman" w:hAnsi="Times New Roman"/>
          <w:color w:val="000000" w:themeColor="text1"/>
          <w:sz w:val="16"/>
          <w:szCs w:val="16"/>
        </w:rPr>
        <w:softHyphen/>
        <w:t>кого совета при НИИ ВВС КА рас</w:t>
      </w:r>
      <w:r w:rsidRPr="00DB5D0D">
        <w:rPr>
          <w:rFonts w:ascii="Times New Roman" w:hAnsi="Times New Roman"/>
          <w:color w:val="000000" w:themeColor="text1"/>
          <w:sz w:val="16"/>
          <w:szCs w:val="16"/>
        </w:rPr>
        <w:softHyphen/>
        <w:t>смотрели все достоинства и недо</w:t>
      </w:r>
      <w:r w:rsidRPr="00DB5D0D">
        <w:rPr>
          <w:rFonts w:ascii="Times New Roman" w:hAnsi="Times New Roman"/>
          <w:color w:val="000000" w:themeColor="text1"/>
          <w:sz w:val="16"/>
          <w:szCs w:val="16"/>
        </w:rPr>
        <w:softHyphen/>
        <w:t>статки самолёта, а также вырабо</w:t>
      </w:r>
      <w:r w:rsidRPr="00DB5D0D">
        <w:rPr>
          <w:rFonts w:ascii="Times New Roman" w:hAnsi="Times New Roman"/>
          <w:color w:val="000000" w:themeColor="text1"/>
          <w:sz w:val="16"/>
          <w:szCs w:val="16"/>
        </w:rPr>
        <w:softHyphen/>
        <w:t>тали основные мероприятия, на</w:t>
      </w:r>
      <w:r w:rsidRPr="00DB5D0D">
        <w:rPr>
          <w:rFonts w:ascii="Times New Roman" w:hAnsi="Times New Roman"/>
          <w:color w:val="000000" w:themeColor="text1"/>
          <w:sz w:val="16"/>
          <w:szCs w:val="16"/>
        </w:rPr>
        <w:softHyphen/>
        <w:t>правленные на его улучшение. В целом машина у военных получила положительную оценку. Ведущий лётчик-испытатель С.П. Супрун от</w:t>
      </w:r>
      <w:r w:rsidRPr="00DB5D0D">
        <w:rPr>
          <w:rFonts w:ascii="Times New Roman" w:hAnsi="Times New Roman"/>
          <w:color w:val="000000" w:themeColor="text1"/>
          <w:sz w:val="16"/>
          <w:szCs w:val="16"/>
        </w:rPr>
        <w:softHyphen/>
        <w:t>метил, что И-200 «является самым доведённым самолётом при поступ</w:t>
      </w:r>
      <w:r w:rsidRPr="00DB5D0D">
        <w:rPr>
          <w:rFonts w:ascii="Times New Roman" w:hAnsi="Times New Roman"/>
          <w:color w:val="000000" w:themeColor="text1"/>
          <w:sz w:val="16"/>
          <w:szCs w:val="16"/>
        </w:rPr>
        <w:softHyphen/>
        <w:t>лении его на государственные ис</w:t>
      </w:r>
      <w:r w:rsidRPr="00DB5D0D">
        <w:rPr>
          <w:rFonts w:ascii="Times New Roman" w:hAnsi="Times New Roman"/>
          <w:color w:val="000000" w:themeColor="text1"/>
          <w:sz w:val="16"/>
          <w:szCs w:val="16"/>
        </w:rPr>
        <w:softHyphen/>
        <w:t>пытания, которые опытный самолёт прошёл хорошо». И это были не пу</w:t>
      </w:r>
      <w:r w:rsidRPr="00DB5D0D">
        <w:rPr>
          <w:rFonts w:ascii="Times New Roman" w:hAnsi="Times New Roman"/>
          <w:color w:val="000000" w:themeColor="text1"/>
          <w:sz w:val="16"/>
          <w:szCs w:val="16"/>
        </w:rPr>
        <w:softHyphen/>
        <w:t>стые слова. И-200 сдал государ</w:t>
      </w:r>
      <w:r w:rsidRPr="00DB5D0D">
        <w:rPr>
          <w:rFonts w:ascii="Times New Roman" w:hAnsi="Times New Roman"/>
          <w:color w:val="000000" w:themeColor="text1"/>
          <w:sz w:val="16"/>
          <w:szCs w:val="16"/>
        </w:rPr>
        <w:softHyphen/>
        <w:t>ственный экзамен с первого раза, в то время как его собратьям в этом плане не везло. И-26 его пришлось сдавать два раза. И-301 первый раз тоже получил неудовлетворитель</w:t>
      </w:r>
      <w:r w:rsidRPr="00DB5D0D">
        <w:rPr>
          <w:rFonts w:ascii="Times New Roman" w:hAnsi="Times New Roman"/>
          <w:color w:val="000000" w:themeColor="text1"/>
          <w:sz w:val="16"/>
          <w:szCs w:val="16"/>
        </w:rPr>
        <w:softHyphen/>
        <w:t>ную оценку, а переэкзаменовка так и не состоялась. И-180 из-за ава</w:t>
      </w:r>
      <w:r w:rsidRPr="00DB5D0D">
        <w:rPr>
          <w:rFonts w:ascii="Times New Roman" w:hAnsi="Times New Roman"/>
          <w:color w:val="000000" w:themeColor="text1"/>
          <w:sz w:val="16"/>
          <w:szCs w:val="16"/>
        </w:rPr>
        <w:softHyphen/>
        <w:t>рии, приведшей к гибели самолёта, сдать его не смог. Кроме этого за время заводских и государственных испытаний И-200 не потеряли ни одного самолёта и ни одного лёт</w:t>
      </w:r>
      <w:r w:rsidRPr="00DB5D0D">
        <w:rPr>
          <w:rFonts w:ascii="Times New Roman" w:hAnsi="Times New Roman"/>
          <w:color w:val="000000" w:themeColor="text1"/>
          <w:sz w:val="16"/>
          <w:szCs w:val="16"/>
        </w:rPr>
        <w:softHyphen/>
        <w:t>чика. В то время как на испытаниях И-26 потерпел катастрофу первый опытный экземпляр и погиб лётчик-испытатель Ю.И Пионтковский. А во время испытаний И-180 потеряны все три опытные машины и погибли лётчики-испытатели В.П. Чкалов и Т.П. Сузи. В выводах отчёта по результа</w:t>
      </w:r>
      <w:r w:rsidRPr="00DB5D0D">
        <w:rPr>
          <w:rFonts w:ascii="Times New Roman" w:hAnsi="Times New Roman"/>
          <w:color w:val="000000" w:themeColor="text1"/>
          <w:sz w:val="16"/>
          <w:szCs w:val="16"/>
        </w:rPr>
        <w:softHyphen/>
        <w:t>там госиспытаний, утвержденного 20 сентября 1940 г. начальником ВВС КА генерал-лейтенантом авиа</w:t>
      </w:r>
      <w:r w:rsidRPr="00DB5D0D">
        <w:rPr>
          <w:rFonts w:ascii="Times New Roman" w:hAnsi="Times New Roman"/>
          <w:color w:val="000000" w:themeColor="text1"/>
          <w:sz w:val="16"/>
          <w:szCs w:val="16"/>
        </w:rPr>
        <w:softHyphen/>
        <w:t>ции П.В. Рычаговым, отмечалось, что «самолёт И-200 АМ-35А конструк</w:t>
      </w:r>
      <w:r w:rsidRPr="00DB5D0D">
        <w:rPr>
          <w:rFonts w:ascii="Times New Roman" w:hAnsi="Times New Roman"/>
          <w:color w:val="000000" w:themeColor="text1"/>
          <w:sz w:val="16"/>
          <w:szCs w:val="16"/>
        </w:rPr>
        <w:softHyphen/>
        <w:t>ции инженеров Микояна и Гуреви-ча производства завода №1, по своей скорости, равной 628 км/ч, является лучшим из отечественных опытных самолётов и не уступает однотипным иностранным самолё</w:t>
      </w:r>
      <w:r w:rsidRPr="00DB5D0D">
        <w:rPr>
          <w:rFonts w:ascii="Times New Roman" w:hAnsi="Times New Roman"/>
          <w:color w:val="000000" w:themeColor="text1"/>
          <w:sz w:val="16"/>
          <w:szCs w:val="16"/>
        </w:rPr>
        <w:softHyphen/>
        <w:t>там на высотах выше 5000 м». Стоит отметить, что в принципе ВВС КА получали истребитель, ко</w:t>
      </w:r>
      <w:r w:rsidRPr="00DB5D0D">
        <w:rPr>
          <w:rFonts w:ascii="Times New Roman" w:hAnsi="Times New Roman"/>
          <w:color w:val="000000" w:themeColor="text1"/>
          <w:sz w:val="16"/>
          <w:szCs w:val="16"/>
        </w:rPr>
        <w:softHyphen/>
        <w:t>торый хотели военные. Основные требования к новым боевым само</w:t>
      </w:r>
      <w:r w:rsidRPr="00DB5D0D">
        <w:rPr>
          <w:rFonts w:ascii="Times New Roman" w:hAnsi="Times New Roman"/>
          <w:color w:val="000000" w:themeColor="text1"/>
          <w:sz w:val="16"/>
          <w:szCs w:val="16"/>
        </w:rPr>
        <w:softHyphen/>
        <w:t>лётам они сформулировали вско</w:t>
      </w:r>
      <w:r w:rsidRPr="00DB5D0D">
        <w:rPr>
          <w:rFonts w:ascii="Times New Roman" w:hAnsi="Times New Roman"/>
          <w:color w:val="000000" w:themeColor="text1"/>
          <w:sz w:val="16"/>
          <w:szCs w:val="16"/>
        </w:rPr>
        <w:softHyphen/>
        <w:t>ре после нападения фашисткой Гер</w:t>
      </w:r>
      <w:r w:rsidRPr="00DB5D0D">
        <w:rPr>
          <w:rFonts w:ascii="Times New Roman" w:hAnsi="Times New Roman"/>
          <w:color w:val="000000" w:themeColor="text1"/>
          <w:sz w:val="16"/>
          <w:szCs w:val="16"/>
        </w:rPr>
        <w:softHyphen/>
        <w:t>мании на Польшу (11761).</w:t>
      </w:r>
    </w:p>
    <w:p w14:paraId="408744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06B28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 Приказом начальника НИИ ВВС № 0167 истребитель И-200 был принят на Государственные испытания, и в тот же день на базу института в Щелково прилетел опытный экземпляр № 2. Ведущим инженером был назначен П.С. Никитенко, летчикам м-ру Супруну и ст. л-ту Кубышкину было отпущено 10 дней на проверку летных характеристик, управляемости и устойчивости. Для оценки нового самолета были также привлечены генерал-майор Филин, инженер-п-к Кочетков, п-к Кабанов, м-р Стефановский и к-н Прошаков. Они отрапортовали, что И-200 опасных свойств не имеет и доступен для освоения летчику средней квалификации.</w:t>
      </w:r>
    </w:p>
    <w:p w14:paraId="49FC08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Третий И-200 передали на Научно-испытательный полигон авиационного вооружения. Здесь подвело охлаждение пулеметов: "сгорели" оба ШКАСа. Вообще стрелковое вооружение сочли недостаточным для борьбы с современными бомбардировщиками. К реактивному, бомбардировочному и химическому претензий не было.</w:t>
      </w:r>
    </w:p>
    <w:p w14:paraId="64EBEF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Хотя АМ-35А был на 200 сил слабее заложенного в проект АМ-37, скорость И-200-2 с вооружением 628 км/ч на высоте 7200 м оказалась всего на 2% ниже расчетной с АМ-37. Машина отставала от "предельно скоростного истребителя" Пашинина, но после аварии дальнейшая перспектива ИП-21 была не ясна, и самым быстрым в своем поколении оказался самолет Микояна и Гуревича. У земли И-200 существенно уступал И-301 и незначительно - И-26, но превзошел И-180. Высоту 5000 м он набирал за 5,3 мин, а 8000 м - за 8,57 мин и был вне конкуренции. Потолка 13000 м с АМ-35А достичь не удалось, но и на двенадцати километрах, на которые поднимался самолет, ни один другой новый советский истребитель пока не летал. На высоте 1000 м вооруженный И-200 выполнял вираж за 26-27 с, то же показал и проходивший испытания в СССР Bf 109Е-3. И-180 на этой высоте разворачивался за 19-20 с, И-26 - за 24 с, а И-301 - за 19,8-20,6 с. Но выше 5000 м ситуация менялась, а на 7000 м микояновский истребитель уже заметно превосходил эти самолеты в выполнении всех фигур пилотажа (11938).</w:t>
      </w:r>
    </w:p>
    <w:p w14:paraId="4A3CDD7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0911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 второй и третий опытные экземпляры И-200 поступили на государственные испытания, завершившиеся 12 сентября с весьма удовлетворительными результатами. В ходе их на высоте 7200 м была достигнута максимальная скорость 628 км/ч. Государственные испытания проводили пилоты майор С.П. Супрун, старший лейтенант А.Г. Кубышкин, ведущий инженер военный инженер 2 ранга П.С. Никитчен- ко, его помощник воениженер 3 ранга В.И. Алексеенко, а также летчики облета: начальник НИИ ВВС КА генерал-майор В.И. Филин, полковник А. И. Кабанов, майор П.М. Стефановский и капитан А.Г. Кочетков. В выводах акта о результатах госиспытаний, утвержденного начальником Главного управления ВВС КА генерал-лейтенантом авиации П.В. Рычаговым, отмечалось: "самолет И-200 АМ-35А конструкции инженеров Микояна и Гуревича производства завода № 1 по своей скорости, равной 628 км/ч, является лучшим из опытных отечественных самолетов и не уступает однотипным иностранным самолетам на высотах выше 5000 м" (12045).</w:t>
      </w:r>
    </w:p>
    <w:p w14:paraId="22FE6FB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10E7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по 21 сентября 1940 года 1 экземпляр учебного И-26 под названием УТИ-26 находился на госиспытаниях в НИИ ВВС.</w:t>
      </w:r>
    </w:p>
    <w:p w14:paraId="2189E9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 сентября 1940 года самолет перегнан на завода № 115 для осмотра и вывозки строевых летчиков выделенных для проведения войсковых испытаний самолета И-26 (7625, 383).</w:t>
      </w:r>
    </w:p>
    <w:p w14:paraId="42D77A5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F7CBD7C" w14:textId="77777777" w:rsidR="003C7E8B" w:rsidRPr="00DB5D0D" w:rsidRDefault="003C7E8B" w:rsidP="00DB5D0D">
      <w:pPr>
        <w:pStyle w:val="24"/>
        <w:widowControl/>
        <w:rPr>
          <w:color w:val="000000" w:themeColor="text1"/>
        </w:rPr>
      </w:pPr>
      <w:r w:rsidRPr="00DB5D0D">
        <w:rPr>
          <w:color w:val="000000" w:themeColor="text1"/>
        </w:rPr>
        <w:t>С 28 августа по 19 сентября 1940 года в НИИ ВВС проходили гос. испытания опытного самолета УТИ-26 с мотором М-105П, конструкции инженера Яковлева постройки завода № 115</w:t>
      </w:r>
    </w:p>
    <w:p w14:paraId="4F7E1723" w14:textId="77777777" w:rsidR="003C7E8B" w:rsidRPr="00DB5D0D" w:rsidRDefault="003C7E8B" w:rsidP="00DB5D0D">
      <w:pPr>
        <w:pStyle w:val="24"/>
        <w:widowControl/>
        <w:rPr>
          <w:color w:val="000000" w:themeColor="text1"/>
        </w:rPr>
      </w:pPr>
      <w:r w:rsidRPr="00DB5D0D">
        <w:rPr>
          <w:color w:val="000000" w:themeColor="text1"/>
        </w:rPr>
        <w:t>Отв. исполнители:</w:t>
      </w:r>
    </w:p>
    <w:p w14:paraId="334A726E" w14:textId="77777777" w:rsidR="003C7E8B" w:rsidRPr="00DB5D0D" w:rsidRDefault="003C7E8B" w:rsidP="00DB5D0D">
      <w:pPr>
        <w:pStyle w:val="24"/>
        <w:widowControl/>
        <w:rPr>
          <w:color w:val="000000" w:themeColor="text1"/>
        </w:rPr>
      </w:pPr>
      <w:r w:rsidRPr="00DB5D0D">
        <w:rPr>
          <w:color w:val="000000" w:themeColor="text1"/>
        </w:rPr>
        <w:t>Начальник 1 отделения 1 отдела НИИ в/инженер 1 ранга Воеводин</w:t>
      </w:r>
    </w:p>
    <w:p w14:paraId="4A14C233" w14:textId="77777777" w:rsidR="003C7E8B" w:rsidRPr="00DB5D0D" w:rsidRDefault="003C7E8B" w:rsidP="00DB5D0D">
      <w:pPr>
        <w:pStyle w:val="24"/>
        <w:widowControl/>
        <w:rPr>
          <w:color w:val="000000" w:themeColor="text1"/>
        </w:rPr>
      </w:pPr>
      <w:r w:rsidRPr="00DB5D0D">
        <w:rPr>
          <w:color w:val="000000" w:themeColor="text1"/>
        </w:rPr>
        <w:t>Вед. инженер в/инженер 3 ранга Степанец</w:t>
      </w:r>
    </w:p>
    <w:p w14:paraId="196AE902" w14:textId="77777777" w:rsidR="003C7E8B" w:rsidRPr="00DB5D0D" w:rsidRDefault="003C7E8B" w:rsidP="00DB5D0D">
      <w:pPr>
        <w:pStyle w:val="24"/>
        <w:widowControl/>
        <w:rPr>
          <w:color w:val="000000" w:themeColor="text1"/>
        </w:rPr>
      </w:pPr>
      <w:r w:rsidRPr="00DB5D0D">
        <w:rPr>
          <w:color w:val="000000" w:themeColor="text1"/>
        </w:rPr>
        <w:t>Вед. летчики:</w:t>
      </w:r>
    </w:p>
    <w:p w14:paraId="3579BA55" w14:textId="77777777" w:rsidR="003C7E8B" w:rsidRPr="00DB5D0D" w:rsidRDefault="003C7E8B" w:rsidP="00DB5D0D">
      <w:pPr>
        <w:pStyle w:val="24"/>
        <w:widowControl/>
        <w:rPr>
          <w:color w:val="000000" w:themeColor="text1"/>
        </w:rPr>
      </w:pPr>
      <w:r w:rsidRPr="00DB5D0D">
        <w:rPr>
          <w:color w:val="000000" w:themeColor="text1"/>
        </w:rPr>
        <w:t>подполковник Стефановский</w:t>
      </w:r>
    </w:p>
    <w:p w14:paraId="19EE2918" w14:textId="77777777" w:rsidR="003C7E8B" w:rsidRPr="00DB5D0D" w:rsidRDefault="003C7E8B" w:rsidP="00DB5D0D">
      <w:pPr>
        <w:pStyle w:val="24"/>
        <w:widowControl/>
        <w:rPr>
          <w:color w:val="000000" w:themeColor="text1"/>
        </w:rPr>
      </w:pPr>
      <w:r w:rsidRPr="00DB5D0D">
        <w:rPr>
          <w:color w:val="000000" w:themeColor="text1"/>
        </w:rPr>
        <w:t>ст. лейтенант Кубышкин</w:t>
      </w:r>
    </w:p>
    <w:p w14:paraId="60AB4BDE" w14:textId="77777777" w:rsidR="003C7E8B" w:rsidRPr="00DB5D0D" w:rsidRDefault="003C7E8B" w:rsidP="00DB5D0D">
      <w:pPr>
        <w:pStyle w:val="24"/>
        <w:widowControl/>
        <w:rPr>
          <w:color w:val="000000" w:themeColor="text1"/>
        </w:rPr>
      </w:pPr>
      <w:r w:rsidRPr="00DB5D0D">
        <w:rPr>
          <w:color w:val="000000" w:themeColor="text1"/>
        </w:rPr>
        <w:t>Учебно-тренировочный истребитель УТИ-26 конструкции инженера Яковлева предназначен для тренировки и вывозки летчиков при переходе их на современный скоростной истребитель.</w:t>
      </w:r>
    </w:p>
    <w:p w14:paraId="268A6ECC" w14:textId="77777777" w:rsidR="003C7E8B" w:rsidRPr="00DB5D0D" w:rsidRDefault="003C7E8B" w:rsidP="00DB5D0D">
      <w:pPr>
        <w:pStyle w:val="24"/>
        <w:widowControl/>
        <w:rPr>
          <w:color w:val="000000" w:themeColor="text1"/>
        </w:rPr>
      </w:pPr>
      <w:r w:rsidRPr="00DB5D0D">
        <w:rPr>
          <w:color w:val="000000" w:themeColor="text1"/>
        </w:rPr>
        <w:t>УТИ-26 – свободнонесущий низкокрылый двухместный моноплан смешанной конструкции с убирающимися шасси и хвостовым колесом.</w:t>
      </w:r>
    </w:p>
    <w:p w14:paraId="27C95836" w14:textId="77777777" w:rsidR="003C7E8B" w:rsidRPr="00DB5D0D" w:rsidRDefault="003C7E8B" w:rsidP="00DB5D0D">
      <w:pPr>
        <w:pStyle w:val="24"/>
        <w:widowControl/>
        <w:rPr>
          <w:color w:val="000000" w:themeColor="text1"/>
        </w:rPr>
      </w:pPr>
      <w:r w:rsidRPr="00DB5D0D">
        <w:rPr>
          <w:color w:val="000000" w:themeColor="text1"/>
        </w:rPr>
        <w:t>На самолете установлен мотор водяного охлаждения М-105П мощностью 1050 л.с. на высоте 4000 м с металлическим трехлопастным винтом ВИШ-61П.</w:t>
      </w:r>
    </w:p>
    <w:p w14:paraId="7249C9C2" w14:textId="77777777" w:rsidR="003C7E8B" w:rsidRPr="00DB5D0D" w:rsidRDefault="003C7E8B" w:rsidP="00DB5D0D">
      <w:pPr>
        <w:pStyle w:val="24"/>
        <w:widowControl/>
        <w:rPr>
          <w:color w:val="000000" w:themeColor="text1"/>
        </w:rPr>
      </w:pPr>
      <w:r w:rsidRPr="00DB5D0D">
        <w:rPr>
          <w:color w:val="000000" w:themeColor="text1"/>
        </w:rPr>
        <w:t>Вооружение самолета состоит из двух синхронных пулеметов с запасом патрон на каждый пулемет по 500 штук.</w:t>
      </w:r>
    </w:p>
    <w:p w14:paraId="13CE15E2" w14:textId="77777777" w:rsidR="003C7E8B" w:rsidRPr="00DB5D0D" w:rsidRDefault="003C7E8B" w:rsidP="00DB5D0D">
      <w:pPr>
        <w:pStyle w:val="24"/>
        <w:widowControl/>
        <w:rPr>
          <w:color w:val="000000" w:themeColor="text1"/>
        </w:rPr>
      </w:pPr>
      <w:r w:rsidRPr="00DB5D0D">
        <w:rPr>
          <w:color w:val="000000" w:themeColor="text1"/>
        </w:rPr>
        <w:t>Самолет спроектирован и построен на безе самолета И-26, вследствие чего конструкция их имеет много общего.</w:t>
      </w:r>
    </w:p>
    <w:p w14:paraId="642A430F" w14:textId="77777777" w:rsidR="003C7E8B" w:rsidRPr="00DB5D0D" w:rsidRDefault="003C7E8B" w:rsidP="00DB5D0D">
      <w:pPr>
        <w:pStyle w:val="24"/>
        <w:widowControl/>
        <w:rPr>
          <w:color w:val="000000" w:themeColor="text1"/>
        </w:rPr>
      </w:pPr>
      <w:r w:rsidRPr="00DB5D0D">
        <w:rPr>
          <w:color w:val="000000" w:themeColor="text1"/>
        </w:rPr>
        <w:t>Отличие самолета УТИ-26 от самолета И-26 обусловлено в основном наличием на самолете УТИ-26 второй кабины.</w:t>
      </w:r>
    </w:p>
    <w:p w14:paraId="445B8CFC" w14:textId="77777777" w:rsidR="003C7E8B" w:rsidRPr="00DB5D0D" w:rsidRDefault="003C7E8B" w:rsidP="00DB5D0D">
      <w:pPr>
        <w:pStyle w:val="24"/>
        <w:widowControl/>
        <w:rPr>
          <w:color w:val="000000" w:themeColor="text1"/>
        </w:rPr>
      </w:pPr>
      <w:r w:rsidRPr="00DB5D0D">
        <w:rPr>
          <w:color w:val="000000" w:themeColor="text1"/>
        </w:rPr>
        <w:t>Самолет поступил на госиспытания 28 августа 1940 года</w:t>
      </w:r>
    </w:p>
    <w:p w14:paraId="073C8707" w14:textId="77777777" w:rsidR="003C7E8B" w:rsidRPr="00DB5D0D" w:rsidRDefault="003C7E8B" w:rsidP="00DB5D0D">
      <w:pPr>
        <w:pStyle w:val="24"/>
        <w:widowControl/>
        <w:rPr>
          <w:color w:val="000000" w:themeColor="text1"/>
        </w:rPr>
      </w:pPr>
      <w:r w:rsidRPr="00DB5D0D">
        <w:rPr>
          <w:color w:val="000000" w:themeColor="text1"/>
        </w:rPr>
        <w:t>Временно снят с госиспытаний для проведения ремонта после его поломки – 30 августа 1940 года</w:t>
      </w:r>
    </w:p>
    <w:p w14:paraId="3814C51A" w14:textId="77777777" w:rsidR="003C7E8B" w:rsidRPr="00DB5D0D" w:rsidRDefault="003C7E8B" w:rsidP="00DB5D0D">
      <w:pPr>
        <w:pStyle w:val="24"/>
        <w:widowControl/>
        <w:rPr>
          <w:color w:val="000000" w:themeColor="text1"/>
        </w:rPr>
      </w:pPr>
      <w:r w:rsidRPr="00DB5D0D">
        <w:rPr>
          <w:color w:val="000000" w:themeColor="text1"/>
        </w:rPr>
        <w:t>Поступил для продолжения госиспытаний 11 сентября 1940 года</w:t>
      </w:r>
    </w:p>
    <w:p w14:paraId="0FDA3AB5" w14:textId="77777777" w:rsidR="003C7E8B" w:rsidRPr="00DB5D0D" w:rsidRDefault="003C7E8B" w:rsidP="00DB5D0D">
      <w:pPr>
        <w:pStyle w:val="24"/>
        <w:widowControl/>
        <w:rPr>
          <w:color w:val="000000" w:themeColor="text1"/>
        </w:rPr>
      </w:pPr>
      <w:r w:rsidRPr="00DB5D0D">
        <w:rPr>
          <w:color w:val="000000" w:themeColor="text1"/>
        </w:rPr>
        <w:t>Закончил госиспытания 19 сентября 1940 года</w:t>
      </w:r>
    </w:p>
    <w:p w14:paraId="420AF770" w14:textId="77777777" w:rsidR="003C7E8B" w:rsidRPr="00DB5D0D" w:rsidRDefault="003C7E8B" w:rsidP="00DB5D0D">
      <w:pPr>
        <w:pStyle w:val="24"/>
        <w:widowControl/>
        <w:rPr>
          <w:color w:val="000000" w:themeColor="text1"/>
        </w:rPr>
      </w:pPr>
      <w:r w:rsidRPr="00DB5D0D">
        <w:rPr>
          <w:color w:val="000000" w:themeColor="text1"/>
        </w:rPr>
        <w:t>Итого самолет испытан за 10 дней, из них летных – 5 дней</w:t>
      </w:r>
    </w:p>
    <w:p w14:paraId="39C35AAE" w14:textId="77777777" w:rsidR="003C7E8B" w:rsidRPr="00DB5D0D" w:rsidRDefault="003C7E8B" w:rsidP="00DB5D0D">
      <w:pPr>
        <w:pStyle w:val="24"/>
        <w:widowControl/>
        <w:rPr>
          <w:color w:val="000000" w:themeColor="text1"/>
        </w:rPr>
      </w:pPr>
      <w:r w:rsidRPr="00DB5D0D">
        <w:rPr>
          <w:color w:val="000000" w:themeColor="text1"/>
        </w:rPr>
        <w:t>Цель испытания</w:t>
      </w:r>
    </w:p>
    <w:p w14:paraId="167A9AA2" w14:textId="77777777" w:rsidR="003C7E8B" w:rsidRPr="00DB5D0D" w:rsidRDefault="003C7E8B" w:rsidP="00DB5D0D">
      <w:pPr>
        <w:pStyle w:val="24"/>
        <w:widowControl/>
        <w:rPr>
          <w:color w:val="000000" w:themeColor="text1"/>
        </w:rPr>
      </w:pPr>
      <w:r w:rsidRPr="00DB5D0D">
        <w:rPr>
          <w:color w:val="000000" w:themeColor="text1"/>
        </w:rPr>
        <w:t>Выявить соответствие данных самолета УТИ-26, предназначенного для работы в условиях авиашкол и строевых частей, требованиям ВВС к такого типа самолету, особенно в отношении его пилотажных, взлетно-посадочных и эксплуатационных свойств.</w:t>
      </w:r>
    </w:p>
    <w:p w14:paraId="788AEF06" w14:textId="77777777" w:rsidR="003C7E8B" w:rsidRPr="00DB5D0D" w:rsidRDefault="003C7E8B" w:rsidP="00DB5D0D">
      <w:pPr>
        <w:pStyle w:val="24"/>
        <w:widowControl/>
        <w:rPr>
          <w:color w:val="000000" w:themeColor="text1"/>
        </w:rPr>
      </w:pPr>
      <w:r w:rsidRPr="00DB5D0D">
        <w:rPr>
          <w:color w:val="000000" w:themeColor="text1"/>
        </w:rPr>
        <w:t>Заключение</w:t>
      </w:r>
    </w:p>
    <w:p w14:paraId="05009F89" w14:textId="77777777" w:rsidR="003C7E8B" w:rsidRPr="00DB5D0D" w:rsidRDefault="003C7E8B" w:rsidP="00DB5D0D">
      <w:pPr>
        <w:pStyle w:val="24"/>
        <w:widowControl/>
        <w:tabs>
          <w:tab w:val="left" w:pos="360"/>
        </w:tabs>
        <w:rPr>
          <w:color w:val="000000" w:themeColor="text1"/>
        </w:rPr>
      </w:pPr>
      <w:r w:rsidRPr="00DB5D0D">
        <w:rPr>
          <w:color w:val="000000" w:themeColor="text1"/>
        </w:rPr>
        <w:t>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госиспытания удовлетворительно (7759).</w:t>
      </w:r>
    </w:p>
    <w:p w14:paraId="03F5030B" w14:textId="77777777" w:rsidR="003C7E8B" w:rsidRPr="00DB5D0D" w:rsidRDefault="003C7E8B" w:rsidP="00DB5D0D">
      <w:pPr>
        <w:pStyle w:val="24"/>
        <w:widowControl/>
        <w:tabs>
          <w:tab w:val="left" w:pos="360"/>
        </w:tabs>
        <w:rPr>
          <w:color w:val="000000" w:themeColor="text1"/>
        </w:rPr>
      </w:pPr>
    </w:p>
    <w:p w14:paraId="698280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в Контрольном листе учета выполнения постановления КО СНК СССР № 325сс от 23 июля 1940 г. представителем КО СНК СССР - контролером Вахрушевым была сделана запись:</w:t>
      </w:r>
    </w:p>
    <w:p w14:paraId="4E8028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УТИ-26</w:t>
      </w:r>
    </w:p>
    <w:p w14:paraId="259877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1-й экз. Находится на заводских испытаниях с 20 июля 1940. Сейчас устраняются дефекты. Самолет подготавливается к госиспытаниям с 1 сентября 1940.</w:t>
      </w:r>
    </w:p>
    <w:p w14:paraId="653910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Заканчивается производством монтажных работ. С 1 сентября 1940 предполагается сдать на заводские испытания (10395).</w:t>
      </w:r>
    </w:p>
    <w:p w14:paraId="5944535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D3E16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августа по 19 сентября 1940 проходили гос. испытания опытного самолета УТИ-26 с М-105П конструкции А.С.Я постройки завода 115. Отв. исполнители: ви ви3р Воеводин, вл п/п Стефановский, ст. л Кубышкин. Объект испытания: УТИ-26 предназначен для тренировки и вывозки л при переходе на современный скоростной истребитель. Поступил 28, был временно снят из-за поломки 30 августа и поступил для продолжения 11 сентября. испытан за 10 дней. Цель испытания: Выявить соответствие данных УТИ-26, предназначенного для работы в условиях авиашкол и строевых частей, требованиям ВВС к такого типа самолету, особенно в отношении пилотажных, взлетно-посадочных и эксплуатационных свойств (2944).</w:t>
      </w:r>
    </w:p>
    <w:p w14:paraId="41E9B4A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DC445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в ходе гос. испытаний УТИ-26 в НИИ ВВС, которые проходили с 29 августа по 19 сентября 1940, в 14:00 самолет прибыл на аэродром НИИ ВВС (2944).</w:t>
      </w:r>
    </w:p>
    <w:p w14:paraId="2D9BFFD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4B3A0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августа по 19 сентября 1940 года проходили гос. испытания опытного самолета УТИ-26 с мотором М-105П конструкции инженера Яковлева, постройки завода № 115</w:t>
      </w:r>
    </w:p>
    <w:p w14:paraId="0A10A3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3B6745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1 отделения 1 отдела НИИ в/инженер 1 ранга Воеводин</w:t>
      </w:r>
    </w:p>
    <w:p w14:paraId="03ECF0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в/инженер 3 ранга Степанец</w:t>
      </w:r>
    </w:p>
    <w:p w14:paraId="33D75A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летчики:</w:t>
      </w:r>
    </w:p>
    <w:p w14:paraId="67AB51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Подполковник Стефановский</w:t>
      </w:r>
    </w:p>
    <w:p w14:paraId="3260B8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лейтенант Кубышкин</w:t>
      </w:r>
    </w:p>
    <w:p w14:paraId="43955B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поступил на гос. испытания 28 августа 1940 года</w:t>
      </w:r>
    </w:p>
    <w:p w14:paraId="53F592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Временно снят с гос. испытаний для проведения ремонта после его поломки 30 августа 1940 года</w:t>
      </w:r>
    </w:p>
    <w:p w14:paraId="0EF6CA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Поступил для продолжения гос. испытаний 11 сентября 1940 года</w:t>
      </w:r>
    </w:p>
    <w:p w14:paraId="2CCA3D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Закончил гос. испытания 19 сентября 1940 года</w:t>
      </w:r>
    </w:p>
    <w:p w14:paraId="65A115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испытан за 10 дней, из летных дней – 5</w:t>
      </w:r>
    </w:p>
    <w:p w14:paraId="6FD298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испытания</w:t>
      </w:r>
    </w:p>
    <w:p w14:paraId="7D3FFE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Выявить соответствие данных самолета УТИ-26, предназначенного для работы в условиях авиашкол и строевых частей требованиям ВВС к такого типа самолету, особенно в отношении его пилотажных, взлетно-посадочных и эксплуатационных свойств.</w:t>
      </w:r>
    </w:p>
    <w:p w14:paraId="1B2688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гос. испытаний самолета УТИ-26 произведено 30 полетов, общей продолжительностью 13 час. 15 мин.</w:t>
      </w:r>
    </w:p>
    <w:p w14:paraId="304502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2720BE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 (4385)..</w:t>
      </w:r>
    </w:p>
    <w:p w14:paraId="4C40AC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 были закончены гос. испытания АМ-35А, которые начались 16 июля 1940. С 16 по 27 июля 1940 года завод N 24 для устранения детонации мотора проводил заводские работы по подбору степени сжатия, диаметра крыльчатки нагнетателя и расходов топлива. 30 июля 1940 мотор N 170 был установлен на станок и с 31 июля по 3 августа 1940 года завод отлаживал мотор на станке с индивидуальной регулировкой карбюраторов. Поэтому гос. испытание мотора М-35А N 170 на станке началось 3 августа 1940 года. Все работы по гос. испытанию (включая испытания всех агрегатов, а также обмер деталей мотора после 100-часового испытания и их проверку на магнофлоксе и рентгене) (3448).</w:t>
      </w:r>
    </w:p>
    <w:p w14:paraId="6826EB8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25FD3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года вышел приказ НИИ ВВС № 0166</w:t>
      </w:r>
    </w:p>
    <w:p w14:paraId="246F43A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принятии на гос. испытания самолета «УТИ-26» М-105А (6890, 45).</w:t>
      </w:r>
    </w:p>
    <w:p w14:paraId="5B82308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C8BCD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28-30 августа 1940 начался первый этап гос. испытаний УТИ-26-1 (198,37) и они были прерваны из-за полотки левой опоры шасси и были продолжены с 11 по 19 сентября 1940 (65,27). Летал П.М.Стефановский (3417,4).</w:t>
      </w:r>
    </w:p>
    <w:p w14:paraId="0A643F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другим данным гос. испытания УТИ-26 с М-105П и ВИШ-61П проводились с 28 августа по 19 сентября. Отв. л В.А.Степанчонок, П.М.Стефановский, А.Г.Кубышкин и др. из 11 иап, которые приняли участие в облете. В бригаде были ви Н.И.Максимов (с 30 августа А.Т.Степанец), а по ВМГ А.И.Хвостовский и А.Г.Аронов, по спец. оборудованию - В.К.Салихов, а т - В.Ф.Сбитнев. С 30 августа по 11 сентября 1940 был на ремонте после поломки. Летные испытания - 5 дней. Прошел и сочли целесообразным скорейший запуск в серию (726).</w:t>
      </w:r>
    </w:p>
    <w:p w14:paraId="42ED39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Поступил на испытания 26 августа (845).</w:t>
      </w:r>
    </w:p>
    <w:p w14:paraId="21C104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выполнили 30 полетов продолжительностью 22:20 (65,27).</w:t>
      </w:r>
    </w:p>
    <w:p w14:paraId="04DC76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третьим данным гос. испытания шли до 22 сентября 1940 (2090,232).</w:t>
      </w:r>
    </w:p>
    <w:p w14:paraId="18C475C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E7E8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года самолет УТИ-26 поступил на гос. испытания</w:t>
      </w:r>
    </w:p>
    <w:p w14:paraId="32E19E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Закончил гос. испытания 19 сентября 1940 года</w:t>
      </w:r>
    </w:p>
    <w:p w14:paraId="149612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30 августа снят временно из-за поломкм и по 11 сентября 1940 был на ремонте после поломки</w:t>
      </w:r>
    </w:p>
    <w:p w14:paraId="5C4F19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октября 1940 года Начальник ГУ ВВС генерал-лейтенант авиации Рычагов утвердил Отчет по гос. испытаниям опытного самолета УТИ-26 с мотором М-105П конструкции и А.С.Я., постройки завода № 115</w:t>
      </w:r>
    </w:p>
    <w:p w14:paraId="6195EF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ВИШ-61П диаметром 3 м</w:t>
      </w:r>
    </w:p>
    <w:p w14:paraId="5012EB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0F1D3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Воеводин, Степанец, Стефановский, Кубышкин</w:t>
      </w:r>
    </w:p>
    <w:p w14:paraId="5856CD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Участники испытаний: Хвостовский, Аронов, Саманов, Цветаев, Стечнев, НаумовАверьянов, Королев</w:t>
      </w:r>
    </w:p>
    <w:p w14:paraId="15133D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Летных - 5 дней</w:t>
      </w:r>
    </w:p>
    <w:p w14:paraId="1E3D05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Наземные испытания 3 дня</w:t>
      </w:r>
    </w:p>
    <w:p w14:paraId="260C82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Нелетная погода 2 дня</w:t>
      </w:r>
    </w:p>
    <w:p w14:paraId="48F31E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сдвинуто назад на 100 мм, в фюзкляже - вторая кабина и 2-е управление</w:t>
      </w:r>
    </w:p>
    <w:p w14:paraId="31F659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2181 кг, полетный - 2750 кг</w:t>
      </w:r>
    </w:p>
    <w:p w14:paraId="52E07A1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у земли 500 км/час</w:t>
      </w:r>
    </w:p>
    <w:p w14:paraId="08B8DC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2540 м 560 км/час</w:t>
      </w:r>
    </w:p>
    <w:p w14:paraId="36EB8A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5000 м 5,5 мин.</w:t>
      </w:r>
    </w:p>
    <w:p w14:paraId="052CFD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310 м, пробег 750 м</w:t>
      </w:r>
    </w:p>
    <w:p w14:paraId="2A016AE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36DD7C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УТИ-26 считать прошедшим госиспытания удовлетворительно (Самолет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w:t>
      </w:r>
    </w:p>
    <w:p w14:paraId="77FC0D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целесообрасным быстрейшую серийную постройку самолета</w:t>
      </w:r>
    </w:p>
    <w:p w14:paraId="1BA41B5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ГК и завод № 115 устранить на с-тах для войсковых испытаний следующие дефекты:</w:t>
      </w:r>
    </w:p>
    <w:p w14:paraId="01B93B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ненадежность конструкции запирающей системы уборки и выпуска шасси</w:t>
      </w:r>
    </w:p>
    <w:p w14:paraId="3A365D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нельзя тормозить (большой пробег)</w:t>
      </w:r>
    </w:p>
    <w:p w14:paraId="52BE9F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недоведенность синхронизирующей установки (прострел винта)</w:t>
      </w:r>
    </w:p>
    <w:p w14:paraId="75FC9D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исправить направления действия рычагов в кабине л-ка (726,1).</w:t>
      </w:r>
    </w:p>
    <w:p w14:paraId="7738BB9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680E1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28 по 30 августа 1940 и с 11 по 19 сентября 1940 г. проходили госиспытания УТИ-26-1, в ходе которых к нему были предъявлены более высокие требования, вследствие чего второй прототип (УТИ-26-Н, № 26-5, УТИ-27-2) претерпел серьезные конструктивные изменения (которые коснулись шасси, горизонтального оперения). Поэтому в серию он пошел уже под другим обозначением - Як-7. После испытаний УТИ-26-1 возвратили на завод № 115, где с 26 сентября по К) декабря 1940 г. на него поставили новые мотор, винт, всасывающий патрубок нагнетателя, маслорадиатор, а также устранили другие замеченные неполадки и дефекты. Затем самолет был передан в ЛИИ НКАП и долгое время использовался там для различных целей (12048).+</w:t>
      </w:r>
    </w:p>
    <w:p w14:paraId="29510EC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5B1027F" w14:textId="77777777" w:rsidR="00F91F6B" w:rsidRPr="00DB5D0D" w:rsidRDefault="00F91F6B" w:rsidP="00DB5D0D">
      <w:pPr>
        <w:pStyle w:val="a3"/>
        <w:rPr>
          <w:color w:val="000000" w:themeColor="text1"/>
          <w:lang w:val="ru-RU"/>
        </w:rPr>
      </w:pPr>
      <w:r w:rsidRPr="00DB5D0D">
        <w:rPr>
          <w:color w:val="000000" w:themeColor="text1"/>
          <w:lang w:val="ru-RU"/>
        </w:rPr>
        <w:t>28 августа 1940 г. заместитель начальника ГУ ВВС КА генерал-лейтенант Ф.А. Астахов утвердил заключение НИИ ВВС КА по эскизному проекту И-287. В целом проект получил положительную оценку. Ожидалось, что самолёт будет иметь максимальную ско</w:t>
      </w:r>
      <w:r w:rsidRPr="00DB5D0D">
        <w:rPr>
          <w:color w:val="000000" w:themeColor="text1"/>
          <w:lang w:val="ru-RU"/>
        </w:rPr>
        <w:softHyphen/>
        <w:t xml:space="preserve">рость 700 км/ч и практический потолок 11500 м. Военные отметили, что применённый по рекомендации ЦАГИ профиль крыла </w:t>
      </w:r>
      <w:r w:rsidRPr="00DB5D0D">
        <w:rPr>
          <w:color w:val="000000" w:themeColor="text1"/>
        </w:rPr>
        <w:t>RAF</w:t>
      </w:r>
      <w:r w:rsidRPr="00DB5D0D">
        <w:rPr>
          <w:color w:val="000000" w:themeColor="text1"/>
          <w:lang w:val="ru-RU"/>
        </w:rPr>
        <w:t>-38 для больших скоростей является лучшим в отношении более позднего наступления волнового кризиса. Это, по мнению НИИ ВВС, выгодно отличало данный проект от подобного ему И-185 конструкции Н.Н. Поликарпо</w:t>
      </w:r>
      <w:r w:rsidRPr="00DB5D0D">
        <w:rPr>
          <w:color w:val="000000" w:themeColor="text1"/>
          <w:lang w:val="ru-RU"/>
        </w:rPr>
        <w:softHyphen/>
        <w:t xml:space="preserve">ва, где был применён профиль крыла </w:t>
      </w:r>
      <w:r w:rsidRPr="00DB5D0D">
        <w:rPr>
          <w:color w:val="000000" w:themeColor="text1"/>
        </w:rPr>
        <w:t>NACA</w:t>
      </w:r>
      <w:r w:rsidRPr="00DB5D0D">
        <w:rPr>
          <w:color w:val="000000" w:themeColor="text1"/>
          <w:lang w:val="ru-RU"/>
        </w:rPr>
        <w:t>-230. Кроме этого предлагалось проработать вариант самолёта с мотором М-71. Вскоре после одобрения военными истребитель И-287 получил название И-29, так как он существенно отличался от И-28 (15837).</w:t>
      </w:r>
    </w:p>
    <w:p w14:paraId="12B994F0" w14:textId="77777777" w:rsidR="00F91F6B" w:rsidRPr="00DB5D0D" w:rsidRDefault="00F91F6B" w:rsidP="00DB5D0D">
      <w:pPr>
        <w:pStyle w:val="a3"/>
        <w:rPr>
          <w:color w:val="000000" w:themeColor="text1"/>
          <w:lang w:val="ru-RU"/>
        </w:rPr>
      </w:pPr>
    </w:p>
    <w:p w14:paraId="749363A5" w14:textId="77777777" w:rsidR="00132F9A" w:rsidRPr="00DB5D0D" w:rsidRDefault="00132F9A" w:rsidP="00DB5D0D">
      <w:pPr>
        <w:spacing w:after="0" w:line="240" w:lineRule="auto"/>
        <w:jc w:val="both"/>
        <w:textAlignment w:val="top"/>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28 августа 1940 г. заместитель начальника ГУ ВВС КА генерал-лейтенант Ф.А. Астахов утвердил заключение НИИ ВВС КА по эскизному проекту И-287. В целом проект получил положительную оценку. Ожидалось, что самолет будет иметь максимальную скорость 700 км/ч и практический потолок 11500 м. Военные отметили, что примененный по рекомендации ЦАГИ профиль крыла RAF-38 для больших скоростей является лучшим в отношении более позднего наступления волнового кризиса. Это выгодно отличало данный проект от подобного ему И-185 конструкции Н.Н. Поликарпова, где был применен профиль крыла NACA-230. Кроме этого предлагалось проработать вариант самолета с мотором М-71. Вскоре после одобрения военными истребитель И-287 получил название И-29, так как он существенно отличался от И-28 (17738).</w:t>
      </w:r>
    </w:p>
    <w:p w14:paraId="5562B471" w14:textId="77777777" w:rsidR="00132F9A" w:rsidRPr="00DB5D0D" w:rsidRDefault="00132F9A"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0BE6E3D" w14:textId="0A992C54"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28 августа 1940 г. была Справка начальника инженерного отдела Наркомвнешторга СССР В.Г. Маштакова о реализации договора технической помощи с фирмой «Райт» (20722).</w:t>
      </w:r>
    </w:p>
    <w:p w14:paraId="4497D9B4" w14:textId="77777777" w:rsidR="006D01B7" w:rsidRPr="00DB5D0D" w:rsidRDefault="006D01B7" w:rsidP="00DB5D0D">
      <w:pPr>
        <w:spacing w:after="0" w:line="240" w:lineRule="auto"/>
        <w:jc w:val="both"/>
        <w:rPr>
          <w:rFonts w:ascii="Times New Roman" w:hAnsi="Times New Roman"/>
          <w:color w:val="0070C0"/>
          <w:sz w:val="16"/>
          <w:szCs w:val="16"/>
        </w:rPr>
      </w:pPr>
    </w:p>
    <w:p w14:paraId="46B124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года Приказом НКВД СССР № 001060 было организовано Управление Особого строительства (Особстрой) НКВД СССР для руководства строительством авиационных и моторостроительных заводов в районе г. Куйбышева. В ведении главка находился Безымянский исправительно-трудовой лагерь (ИТЛ) или Безымянлаг. Так как строительство Куйбышевского авиакомплекса требовало гигантских затрат, было временно приостановлено строительство Куйбышевского гидроузла, осуществляемое силами Самарского ИТЛ (Самарлаг). Он был закрыт 11 октября 1940 года, а его рабочая сила (кроме 8000 заключенных, инженерно-технического и административно-хозяйственного состава) была передана в распоряжение Особстроя. Численность заключенных в последнем на 1 января 1941 года составляла 42903 человека. В дальнейшем она продолжала стремительно расти, составив к 1 июля 1941 года 91211 человек и достигнув пика в 93724 человека к 15 августа 1941 года (Система исправительно-трудовых лагерей в СССР, 1923 – 1960: Справочник. С. 126, 159-160, 370-371.). Бессменным начальником Управления Особого строительства НКВД СССР (Управления по строительству авиационных заводов) с августа 1940 года стал старший майор госбезопасности А.П. Лепилов, который в сентябре 1939-го – августе 1940 года был заместителем начальника ГУЛАГа НКВД СССР (Петров Н.В., Скоркин К.В. Кто руководил НКВД, 1934 – 1941. С. 269.). К началу войны с Германией строительство нового авиакомплекса не было завершено, но его инфраструктура уже существовала, что позволило в годы войны оперативно перебросить туда оборудование эвакуированных авиастроительных и моторостроительных предприятий (11672).</w:t>
      </w:r>
    </w:p>
    <w:p w14:paraId="14D206F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862CC2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года на аэродроме НИИ ВВС закончились полевые испытания деформирующей окраски самолетов «СБ», «И-153» и «И-16», которые проходили с 5 августа 1940 (6768).</w:t>
      </w:r>
    </w:p>
    <w:p w14:paraId="613E255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282B778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инженер 5-го Отдела Штаба ВВС в/инженер 2 ранга Ясин</w:t>
      </w:r>
    </w:p>
    <w:p w14:paraId="2694AE9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5-го Отдела НИИ ВВС Мицкевич</w:t>
      </w:r>
    </w:p>
    <w:p w14:paraId="30F9993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 инженер 13-го Отдела НИИ ВВС капитан Шашков</w:t>
      </w:r>
    </w:p>
    <w:p w14:paraId="727790B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полевые испытания были проведены в период с 5 по 28 августа 1940 года.</w:t>
      </w:r>
    </w:p>
    <w:p w14:paraId="6FF7D67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окраски самолетов применялись красочные смеси по рецептуре ВИАМ на казеиновом закрепителе, составленные по эталонам уточненных расцветок временных окрасок.</w:t>
      </w:r>
    </w:p>
    <w:p w14:paraId="11EB2AD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началом окрашивания на поверхность самолета наносился рисунок с соответствующего эскиза. Границы каждого пятна обозначались мелом или цветным карандашом.</w:t>
      </w:r>
    </w:p>
    <w:p w14:paraId="05D70F9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Рецептура эталонов для деформирующей окраски самолетов,</w:t>
      </w:r>
    </w:p>
    <w:p w14:paraId="267EB28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специально изготовленная для испытания эффективности деформации</w:t>
      </w:r>
    </w:p>
    <w:p w14:paraId="6593E39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Серая № 4</w:t>
      </w:r>
    </w:p>
    <w:p w14:paraId="758F366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Мел отмученный – 69%</w:t>
      </w:r>
    </w:p>
    <w:p w14:paraId="1226F4B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Охра – 13,9%</w:t>
      </w:r>
    </w:p>
    <w:p w14:paraId="7B88097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Железный сурик – 7%</w:t>
      </w:r>
    </w:p>
    <w:p w14:paraId="2CDF2DE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Пиролюзит – 10,1%</w:t>
      </w:r>
    </w:p>
    <w:p w14:paraId="08F01E6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Зеленая № 6</w:t>
      </w:r>
    </w:p>
    <w:p w14:paraId="7ECC27F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Охра – 7,9%</w:t>
      </w:r>
    </w:p>
    <w:p w14:paraId="79253B6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Железный сурик – 31,2%</w:t>
      </w:r>
    </w:p>
    <w:p w14:paraId="24653CE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Окись хрома –48,3%</w:t>
      </w:r>
    </w:p>
    <w:p w14:paraId="5ADD68D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Оранжевый крон свинцовый – 12,6%</w:t>
      </w:r>
    </w:p>
    <w:p w14:paraId="7B0AF50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Песочная № 8</w:t>
      </w:r>
    </w:p>
    <w:p w14:paraId="6E6755A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Мел отмученный – 19,0%</w:t>
      </w:r>
    </w:p>
    <w:p w14:paraId="0D4EADF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Охра – 35,7%</w:t>
      </w:r>
    </w:p>
    <w:p w14:paraId="1E7551D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Пиролюзит – 3,1%</w:t>
      </w:r>
    </w:p>
    <w:p w14:paraId="15D0C4C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Умбра жженая – 42,2%</w:t>
      </w:r>
    </w:p>
    <w:p w14:paraId="0518BCF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Коричнево-черная № 12</w:t>
      </w:r>
    </w:p>
    <w:p w14:paraId="2116009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Железный сурик – 86,0%</w:t>
      </w:r>
    </w:p>
    <w:p w14:paraId="64213E7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Желтый крон свинцовый – 2,0%</w:t>
      </w:r>
    </w:p>
    <w:p w14:paraId="6A65B85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Сажа – 6,0%</w:t>
      </w:r>
    </w:p>
    <w:p w14:paraId="5B5CBC8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Каолин – 6,0%</w:t>
      </w:r>
    </w:p>
    <w:p w14:paraId="0FB9CE0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Имитирующая 4БОа зеленая</w:t>
      </w:r>
    </w:p>
    <w:p w14:paraId="6622B35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Пиролюзит – 9,0%</w:t>
      </w:r>
    </w:p>
    <w:p w14:paraId="5C47230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Окись хрома – 63,0%</w:t>
      </w:r>
    </w:p>
    <w:p w14:paraId="3017277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Оранжевый крон свинцовый – 18,0%</w:t>
      </w:r>
    </w:p>
    <w:p w14:paraId="035115D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Желтый крон свинцовый – 0,1%</w:t>
      </w:r>
    </w:p>
    <w:p w14:paraId="58BF68E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Сажа+каолин – добавка</w:t>
      </w:r>
    </w:p>
    <w:p w14:paraId="4228BF5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Ультрамарин – 9,0%</w:t>
      </w:r>
    </w:p>
    <w:p w14:paraId="304221E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Имитирующая 4БОв зеленая</w:t>
      </w:r>
    </w:p>
    <w:p w14:paraId="741BBA4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Охра – 60,0%</w:t>
      </w:r>
    </w:p>
    <w:p w14:paraId="66C6902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Железный сурик – 3,0%</w:t>
      </w:r>
    </w:p>
    <w:p w14:paraId="6A944DE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Окись хрома – 30,0%</w:t>
      </w:r>
    </w:p>
    <w:p w14:paraId="567C8F4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Оранжевый крон свинцовый – 7,0%</w:t>
      </w:r>
    </w:p>
    <w:p w14:paraId="0392394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Сажа+каолин – добавка</w:t>
      </w:r>
    </w:p>
    <w:p w14:paraId="1BACAE3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Темно-зеленая № 1</w:t>
      </w:r>
    </w:p>
    <w:p w14:paraId="4AA34D4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Железный сурик – 36,8%</w:t>
      </w:r>
    </w:p>
    <w:p w14:paraId="75D7FDC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Окись хрома – 59,0%</w:t>
      </w:r>
    </w:p>
    <w:p w14:paraId="7A2F671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Оранжевый крон свинцовый – 4,2%</w:t>
      </w:r>
    </w:p>
    <w:p w14:paraId="07941A8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Сажа+каолин – добавка</w:t>
      </w:r>
    </w:p>
    <w:p w14:paraId="57C9A5A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Черная</w:t>
      </w:r>
    </w:p>
    <w:p w14:paraId="6DE4A28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Сажа – 50,0%</w:t>
      </w:r>
    </w:p>
    <w:p w14:paraId="773BEAF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Каолин – 50,0%</w:t>
      </w:r>
    </w:p>
    <w:p w14:paraId="50B2AC9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719353F3"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рекомендовать взамен одноцветного окрашивания деформирующие окраски верхних и боковых поверхностей самолетов по приложенным в отчете эскизам, приняв для этого уточненные цвета, приведенные в выводах:</w:t>
      </w:r>
    </w:p>
    <w:p w14:paraId="3C08753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Грязно-песочный, серый с желтым оттенком, желтый, зеленый с желтым оттенком, темно-зеленый, черный.</w:t>
      </w:r>
    </w:p>
    <w:p w14:paraId="2B863E4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Цвета зеленый (4Б-О), желтый и темно-зеленый должны быть недешифруемыми.</w:t>
      </w:r>
    </w:p>
    <w:p w14:paraId="580F6469"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Деформирующая окраска самолетов должна быть постоянной, заводской.</w:t>
      </w:r>
    </w:p>
    <w:p w14:paraId="618BE257"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Поставить вопрос перед Наркоматом авиапромышленности о необходимости:</w:t>
      </w:r>
    </w:p>
    <w:p w14:paraId="4E77076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перехода заводов на выпуск самолетов с деформирующей окраской верхних и боковых поверхностей и светло-серой окраской нижних поверхностей с 15-го декабря 1940 года;</w:t>
      </w:r>
    </w:p>
    <w:p w14:paraId="47641EE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перехода на окраску винтов в цвета 4БО.</w:t>
      </w:r>
    </w:p>
    <w:p w14:paraId="6701B8D6"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ранее выпущенные самолеты должны быть окрашены в частях недешефрируемой краской цвета 4Б-О, которая и явится основой для нанесения временной деформирующей окраски.</w:t>
      </w:r>
    </w:p>
    <w:p w14:paraId="481CE9CB"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уничтожения демаскирующего блеска, остекленные кабины самолетов при нахождении на земле необходимо чехлить (6768).</w:t>
      </w:r>
    </w:p>
    <w:p w14:paraId="1841FAD9"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p>
    <w:p w14:paraId="364112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в НИИ ВВС закончились испытания выбранных 15-ти (6 для СБ, 6 для И-16 и 3 для И-153) схем камуфляжей, которые проходили с 5 августа 1940. Окраски предназначались для Московского (МВО), Киевского особого (КОВО), Среднеазиатского (САВО) и Забайкальского (ЗАБВО) военных округов и Особой Краснознаменной Дальневосточной Армии (ОКДВА). Количество схем по округам распределялось неравномерно. Наибольшее количество камуфляжей предназначалось для МВО (5 - для СБ, и 2 для И-16). На втором месте стоял КОВО (2 -И-16, 1 -И-153). Две схемы (по одной для СБ и И-16) предполагалось использовать в САВО, столько же (для И-16 и И-153) в ОКДВА и одну (И-153) в ЗАБВО. Для бомбардировщиков СБ испытывались 5-, 4-и 3-цветные камуфляжи. Чтобы избежать пятен малых размеров, которые могли бы слиться при наблюдении с большого расстояния, на истребителях ограничились 2-и 3-цветными окрасками. При этом единственная схема 2-цветного камуфляжа, состоящего из пятен темно-коричневого и зеленого (4БО) цвета, была разработана для истребителей И-16 Московского военного округа.</w:t>
      </w:r>
    </w:p>
    <w:p w14:paraId="79603C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Практически во всех окрасках присутствовал зеленый цвет 4БО, который к этому времени был уже однозначно выбран в качестве стандартного. Не было его только в камуфляжах ЗАБВО и ОКДВА.</w:t>
      </w:r>
    </w:p>
    <w:p w14:paraId="7C0DFC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 как нормальные (нитро-, масляные или глифталевые) краски нужных цветов еще не разработали, для нанесения деформирующих окрасок с целью "облегчения и ускорения испытаний" опять использовались смываемые краски на основе казеина. Они были лишь имитацией тех, что предполагалось применять в дальнейшем, и не обладали свойством недешифрируемости.</w:t>
      </w:r>
    </w:p>
    <w:p w14:paraId="3F9DBC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Контрольные самолеты имели заводские окраски, стандартные на момент изготовления: верхние поверхности И-16 были старого, применявшегося до мая 1940 г., темно-зеленого (темно-защитного) цвета; И-153 -нового, светло-зеленого цвета; С Б -светло-серого цвета.</w:t>
      </w:r>
    </w:p>
    <w:p w14:paraId="214DE0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были наиболее масштабными из всех проведенных ранее: в течение 9 летных дней - 52 полета.</w:t>
      </w:r>
    </w:p>
    <w:p w14:paraId="43AAFC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Наблюдения и аэрофотосъемка камуфлированных самолетов, расположенных на земле, проводились по двум вариантам. Сначала наблюдались и фотографировались машины, расставленные в одну линию без учета рисунка местности, при этом в том же ряду находилось по одному контрольному самолету каждого типа. Затем те же самолеты были рассредоточены с учетом рисунка местности. В обоих случаях наблюдение производилось с высот от 500 до 4 000 м, под углом 90° и 45°, в ясную и пасмурную погоду, два раза в день: утром и днем.</w:t>
      </w:r>
    </w:p>
    <w:p w14:paraId="119904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испытаниях участвовало 18 наблюдателей: 12 летнабов из НИИ ВВС и шесть инженеров -специалистов по маскировке. От этих людей, знавших точное месторасположение окрашенных самолетов, требовалось определить с какой высоты и при каких углах опознается тот или иной объект.</w:t>
      </w:r>
    </w:p>
    <w:p w14:paraId="363FCE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первых дней наблюдений с воздуха в окраску самолетов для усиления эффекта деформации были внесены некоторые изменения.</w:t>
      </w:r>
    </w:p>
    <w:p w14:paraId="48E05D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испытаний показали, что эффективность маскировки самолетов СБ зависит от количества цветов в схеме камуфляжа. Максимальный эффект давала 5-цветная окраска, минимальный - стандартная одноцветная серая. Разница в заметности для этих двух окрасок, начиная с высоты около 3000 м, была поразительной -стопроцентная опознаваемость для серой и 5%-я -для 5-цветной схемы. Гораздо меньше различались камуфляжи бипланов И-153. А деформирующие окраски истребителей И-16 во всем диапазоне высот и углов наблюдения по эффективности не отличались друг от друга и, что самое интересное, от стандартной одноцветной темно-зеленой окраски. Это объяснялось "сравнительно более трудной для деформации формой самолета, обусловленной наличием резко выступающего над крыльями фюзеляжа" и "относительно малой площадью крыльев самолета в сравнении с площадью, занимаемой фюзеляжем".</w:t>
      </w:r>
    </w:p>
    <w:p w14:paraId="626A59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деформирующих окрасок в воздухе наблюдения производились с выше летящих самолетов с превышением 500 м и 1000 м для "Чаек" и "Ишаков" и 1000 м для СБ. Также как и при наземной маскировке из всех СБ наименее опознаваемыми оказались имевшие 5-цветную и 4-цветную окраску. Все камуфлированные самолеты показали малую заметность при полете над населенными пунктами, да и на многоцветном фоне с участками пашни они различались хуже, чем контрольные.</w:t>
      </w:r>
    </w:p>
    <w:p w14:paraId="250217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Сравнение новых окрасок советских самолетов проводили не только между собой. 16 августа рядом с самолетами СБ и истребителями был установлен недавно закупленный в Германии Вт. 109 в стандартном немецком камуфляже. Со всех высот (500, 1000, 2000, 3000 и 4000 м) "мессершмитт" был отлично виден. Из донесений наблюдателей: "... лучше всего виден самолет МШ-109, который своей темной окраской сразу бросается в глаза", "МШ-109 замечательно виден"</w:t>
      </w:r>
    </w:p>
    <w:p w14:paraId="5C5DD9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последний день испытаний - 28 августа - были проведены контрольные наблюдения с привлечением шести экипажей 134 сбап, базировавшегося в Подольске, не видевших до этого камуфлированных самолетов. Пролетев над аэродромом НИИ ВВС на высоте 1000-1600 м (вместо запланированных 3500 м -помешала облачность), никто не определил правильно даже количество самолетов, указывались совершенно разные числа от 0 до 17. Только с одного бомбардировщика смогли определить тип, указав наличие на летном поле двух СБ. На самом деле на аэродроме находились 19 машин: шесть камуфлированных СБ, семь И-16, три И-153 и по одному контрольному самолету каждого типа.</w:t>
      </w:r>
    </w:p>
    <w:p w14:paraId="176D4E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схем камуфляжей были проверены и варианты окраски нижних поверхностей. Для этого на 2 "Чайках", которые избрали для этих испытаний как наиболее трудно маскируемые из-за своей бипланной схемы, нижние поверхности окрасили светло-серой и белой красками. Третий И-153 был оставлен с заводской светло-голубой окраской. При полете на высоте от 500 до 1500 м наименее заметным на фоне чистого неба и облаков оказался самолет, имеющий светло-серую окраску.</w:t>
      </w:r>
    </w:p>
    <w:p w14:paraId="5775DA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самолетов СБ проверялась ночная окраска нижних поверхностей в черный цвет смываемой краской на основе сажи и казеина. Эффективность такой окраски была, конечно, значительно выше, чем у стандартной для СБ окраски целиком в светло-серый цвет.</w:t>
      </w:r>
    </w:p>
    <w:p w14:paraId="5F42D5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окончания испытаний камуфляж с самолетов был смыт, а самолеты отправлены обратно в свои части.</w:t>
      </w:r>
    </w:p>
    <w:p w14:paraId="21F7A4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полученных данных были разработаны 12 вариантов деформирующей окраски, которые предлагались в качестве образцов для введения на вооружение ВВС Красной Армии.</w:t>
      </w:r>
    </w:p>
    <w:p w14:paraId="3473E3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Бомбардировщики СБ получали 3 схемы 4-цветной окраски (песочный + 4БО + темно-зеленый + темно-коричневый; песочный + 4БО + желто-зеленый + темно-коричневый; песочный + 4БО + темно-зеленый + серый) и одну 5-цветную (песочный + серый + желто-зеленый + 4БО + темно-коричневый). Все схемы были несколько модифицированы по сравнению с первоначально предложенными НИИИТом.</w:t>
      </w:r>
    </w:p>
    <w:p w14:paraId="5CFAAA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истребителей И-153 были выбраны четыре 3-цветные схемы. Две из них (одна была разработана без испытаний, по их результатам) состояли из пятен серого, желто-зеленого и темно-зеленого цвета и различались формой пятен. Они предназначались для ОКДВА. Третья состояла из песочного, темно-коричневого цвета и цвета 4БО (для КОВО), а четвертая -из песочного, желто-зеленого и темно-коричневого -для ЗАБВО. Интересно отметить, что, несмотря на свои предполагаемые районы применения, эти камуфляжи показали очень неплохие результаты и в Московском военном округе.</w:t>
      </w:r>
    </w:p>
    <w:p w14:paraId="176BAF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оказавшиеся наименее эффективными, камуфляжи И-16 подверглись наибольшим трансформациям: изменялись и комбинации цветов и расположение пятен. В результате были рекомендованы следующие схемы: 2 варианта из пятен песочного, желто-зеленого и темно-коричневого цвета (САВО); 1 вариант -серого, желто-зеленого и темно-зеленого цвета (ОКДВА) и еще один - серого, темно-коричневого цвета и цвета 4БО (МВО).</w:t>
      </w:r>
    </w:p>
    <w:p w14:paraId="194A6A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"Акте решения по отчету об испытании деформирующей окраски самолетов", подписанном 1 октября 1940 г. заместителем Начальника ВВС КА генерал-майором авиации Гусевым, эти схемы предписывалось принять в качестве постоянной окраски и "для этого поставить вопрос перед НКАП о переходе заводов на деформирующую окраску верхних и боковых поверхностей самолетов с 15 декабря 1940 г." Для перекраски в камуфляж самолетов, находящихся в частях ВВС, решено было использовать быстросмываемые покрытия ВИАМ, изготовленные на основе казеинового закрепителя, однако "применение этих покрытий в частях ВВС Красной Армии допустить лишь при проведении боевых учений и при выполнении боевых операций". Наносить временные краски следовало по покрытию нового базового цвета 4БО. Инструкцию для этого предполагалось разработать также к 15 декабря 1940 г. (2771,23).</w:t>
      </w:r>
    </w:p>
    <w:p w14:paraId="56F00CA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222DFE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в последний день испытаний были про</w:t>
      </w:r>
      <w:r w:rsidRPr="00DB5D0D">
        <w:rPr>
          <w:rFonts w:ascii="Times New Roman" w:hAnsi="Times New Roman"/>
          <w:color w:val="000000" w:themeColor="text1"/>
          <w:sz w:val="16"/>
          <w:szCs w:val="16"/>
        </w:rPr>
        <w:softHyphen/>
        <w:t>ведены контрольные наблюдения с привлечением шести эки</w:t>
      </w:r>
      <w:r w:rsidRPr="00DB5D0D">
        <w:rPr>
          <w:rFonts w:ascii="Times New Roman" w:hAnsi="Times New Roman"/>
          <w:color w:val="000000" w:themeColor="text1"/>
          <w:sz w:val="16"/>
          <w:szCs w:val="16"/>
        </w:rPr>
        <w:softHyphen/>
        <w:t>пажей 134-го скоростного бомбардировочного авиаполка, базировавшегося в подмосковном Подольске, не видевших до этого камуфлированных самолетов. Пролетев над аэродромом НИИ ВВС на высоте 1000—1600 м (вместо запланированных 3500 м — помешала облачность), никто не определил пра</w:t>
      </w:r>
      <w:r w:rsidRPr="00DB5D0D">
        <w:rPr>
          <w:rFonts w:ascii="Times New Roman" w:hAnsi="Times New Roman"/>
          <w:color w:val="000000" w:themeColor="text1"/>
          <w:sz w:val="16"/>
          <w:szCs w:val="16"/>
        </w:rPr>
        <w:softHyphen/>
        <w:t>вильно даже количество самолетов. Указывались совершен</w:t>
      </w:r>
      <w:r w:rsidRPr="00DB5D0D">
        <w:rPr>
          <w:rFonts w:ascii="Times New Roman" w:hAnsi="Times New Roman"/>
          <w:color w:val="000000" w:themeColor="text1"/>
          <w:sz w:val="16"/>
          <w:szCs w:val="16"/>
        </w:rPr>
        <w:softHyphen/>
        <w:t>но разные числа от 0 до 17. Только с одного бомбардировщи</w:t>
      </w:r>
      <w:r w:rsidRPr="00DB5D0D">
        <w:rPr>
          <w:rFonts w:ascii="Times New Roman" w:hAnsi="Times New Roman"/>
          <w:color w:val="000000" w:themeColor="text1"/>
          <w:sz w:val="16"/>
          <w:szCs w:val="16"/>
        </w:rPr>
        <w:softHyphen/>
        <w:t>ка смогли определить наличие на летном поле двух СБ. На самом деле на аэродроме находились 19 машин: шесть камуф</w:t>
      </w:r>
      <w:r w:rsidRPr="00DB5D0D">
        <w:rPr>
          <w:rFonts w:ascii="Times New Roman" w:hAnsi="Times New Roman"/>
          <w:color w:val="000000" w:themeColor="text1"/>
          <w:sz w:val="16"/>
          <w:szCs w:val="16"/>
        </w:rPr>
        <w:softHyphen/>
        <w:t>лированных СБ, семь И-16, три И-153 и по одному конт</w:t>
      </w:r>
      <w:r w:rsidRPr="00DB5D0D">
        <w:rPr>
          <w:rFonts w:ascii="Times New Roman" w:hAnsi="Times New Roman"/>
          <w:color w:val="000000" w:themeColor="text1"/>
          <w:sz w:val="16"/>
          <w:szCs w:val="16"/>
        </w:rPr>
        <w:softHyphen/>
        <w:t>рольному самолету каждого типа.</w:t>
      </w:r>
    </w:p>
    <w:p w14:paraId="1EF55E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окончания испытаний камуфляж с самолетов смы</w:t>
      </w:r>
      <w:r w:rsidRPr="00DB5D0D">
        <w:rPr>
          <w:rFonts w:ascii="Times New Roman" w:hAnsi="Times New Roman"/>
          <w:color w:val="000000" w:themeColor="text1"/>
          <w:sz w:val="16"/>
          <w:szCs w:val="16"/>
        </w:rPr>
        <w:softHyphen/>
        <w:t>ли и отправили их обратно в свои части.</w:t>
      </w:r>
    </w:p>
    <w:p w14:paraId="46442C7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основе полученных данных разработали 12 вариантов деформирующей окраски, которые предлагались в качестве образцов для принятия на вооружение ВВС Красной Армии.</w:t>
      </w:r>
    </w:p>
    <w:p w14:paraId="406B446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«Акте решения по отчету об испытании деформирую</w:t>
      </w:r>
      <w:r w:rsidRPr="00DB5D0D">
        <w:rPr>
          <w:rFonts w:ascii="Times New Roman" w:hAnsi="Times New Roman"/>
          <w:color w:val="000000" w:themeColor="text1"/>
          <w:sz w:val="16"/>
          <w:szCs w:val="16"/>
        </w:rPr>
        <w:softHyphen/>
        <w:t>щей окраски самолетов», подписанном 1 октября 1940 года заместителем начальника ВВС КА генерал-майором авиа</w:t>
      </w:r>
      <w:r w:rsidRPr="00DB5D0D">
        <w:rPr>
          <w:rFonts w:ascii="Times New Roman" w:hAnsi="Times New Roman"/>
          <w:color w:val="000000" w:themeColor="text1"/>
          <w:sz w:val="16"/>
          <w:szCs w:val="16"/>
        </w:rPr>
        <w:softHyphen/>
        <w:t>ции Гусевым, эти схемы предписывалось принять для посто</w:t>
      </w:r>
      <w:r w:rsidRPr="00DB5D0D">
        <w:rPr>
          <w:rFonts w:ascii="Times New Roman" w:hAnsi="Times New Roman"/>
          <w:color w:val="000000" w:themeColor="text1"/>
          <w:sz w:val="16"/>
          <w:szCs w:val="16"/>
        </w:rPr>
        <w:softHyphen/>
        <w:t>янной окраски и «поставить вопрос перед НКАП о переходе заводов на деформирующую окраску верхних и боковых по</w:t>
      </w:r>
      <w:r w:rsidRPr="00DB5D0D">
        <w:rPr>
          <w:rFonts w:ascii="Times New Roman" w:hAnsi="Times New Roman"/>
          <w:color w:val="000000" w:themeColor="text1"/>
          <w:sz w:val="16"/>
          <w:szCs w:val="16"/>
        </w:rPr>
        <w:softHyphen/>
        <w:t>верхностей самолетов с 15 декабря 1940 г.». Для перекрас</w:t>
      </w:r>
      <w:r w:rsidRPr="00DB5D0D">
        <w:rPr>
          <w:rFonts w:ascii="Times New Roman" w:hAnsi="Times New Roman"/>
          <w:color w:val="000000" w:themeColor="text1"/>
          <w:sz w:val="16"/>
          <w:szCs w:val="16"/>
        </w:rPr>
        <w:softHyphen/>
        <w:t>ки в камуфляж самолетов, находящихся в частях ВВС, ре</w:t>
      </w:r>
      <w:r w:rsidRPr="00DB5D0D">
        <w:rPr>
          <w:rFonts w:ascii="Times New Roman" w:hAnsi="Times New Roman"/>
          <w:color w:val="000000" w:themeColor="text1"/>
          <w:sz w:val="16"/>
          <w:szCs w:val="16"/>
        </w:rPr>
        <w:softHyphen/>
        <w:t>шили использовать быстро смываемые покрытия ВИАМа (Всесоюзный институт авиационного материаловедения) (10745,320).</w:t>
      </w:r>
    </w:p>
    <w:p w14:paraId="6E2ADA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D1174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 шесть самолетов 134-го сбап, базировавшегося в Подольске, пролетели над аэродромом НИИ ВВС. Экипажам поставили задачу - определить количество и тип самолетов, стоявших на летном поле.</w:t>
      </w:r>
    </w:p>
    <w:p w14:paraId="21A7A1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Никто из экипажей даже не смог определить количество машин на земле. Указывались разные числа - от 0 до 17. Только с одного бомбардировщика распознали тип самолетов, назвав два СБ. На самом деле на аэродроме находились 16 камуфлированных машин: шесть СБ, семь И-16, три И-153 и еще по самолету каждого типа в стандартной защитной окраске. Крупнейшие в СССР испытания деформирующей окраски закончились успехом. Теперь руководство ВВС ставило перед НКАП вопрос о камуфлировании с 15 декабря 1940 г. всех самолетов в три, четыре и пять цветов.</w:t>
      </w:r>
    </w:p>
    <w:p w14:paraId="36FA5B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для осуществления этого плана недоставало материалов. Испытания проводились на легкосмываемых казеиновых красках, а постоянные покрытия еще только предстояло разработать и изготовить. Новые рецептуры прошли проверку только в декабре. Но главные трудности ждали впереди. Для не- дешифрируемых красок имелся ограниченный набор пигментов - охра, оранжевый, лимонный и желтый крон, умбра, железный сурик, мумия, зеленая окись хрома, ультрамарин, синий и зеленый кобальт. Месторождения на территории СССР количественно могли удовлетворить потребности лакокрасочной промышленности, но по качеству практически все производившиеся пигменты оказались непригодными. Требовалось срочно обеспечить заводы качественными. в частности по тонкости помола, пигментами. Временно, до разработки матовых покрытий, решили изготавливать недешифрируемые краски "на применяющейся в настоящее время основе", т. е. глянцевыми.</w:t>
      </w:r>
    </w:p>
    <w:p w14:paraId="3D8D91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Базовым для камуфляжной окраски должен был стать цвет 4БО. Для перекраски всего парка самолетов ВВС на 1941 г. потребовалось бы 124 т глифталевой или масляной эмали и 266 т нитроцеллюлозных аэролаков. Да еще надо было красить новые машины на заводах. Для выпуска такого количества требовалось время.</w:t>
      </w:r>
    </w:p>
    <w:p w14:paraId="7B00D3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все проведенные в 1940 г. работы, ни одна из многоцветных схем так и не была применена в серийном производстве. Последним правительственным предвоенным решением по окраске самолетов, проведенным в жизнь, было постановление Комитета Обороны от 23 мая 1940 г. и приказ НКАП № 228с, основное содержание которых сводилось к тому. что с 25 мая вводилась покраска самолетов сверху в зеленый цвет, снизу - в голубой. Именно так окрашивалось большинство советских самолетов к началу войны. Кроме того, в строю находились машины более раннего выпуска, покрытые целиком светло-серой или серебристой краской (11989).</w:t>
      </w:r>
    </w:p>
    <w:p w14:paraId="69AFF41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353B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 Для руководства строительством авиационных заводов в Куйбышевской области образовано Управление особого строительства (Особстрой) НКВД СССР (10303).</w:t>
      </w:r>
    </w:p>
    <w:p w14:paraId="7B33C43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BFB52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года Генеральный комиссар государственной безопасности Л.П.Берия подписал приказ об организации специального управления по строительству на Безымянке. Ему предстояло выполнить объем работ на сумму 1408,6 миллионов рублей. Назывались конкретные цифры возводимых сооружений и коммуникаций. Так, к маю 1942 года планировался ввод промышленных и жилых зданий общей кубатурой 11 300 тысяч кубических метров. Необходимо было проложить 71 километр железнодорожных путей и 91,3 километров шоссейных дорог. Построить 63 километра водопроводных магистралей, 10 километров теплотрасс и т.д и т.п. Для обеспечения строительства была определена потребность в рабочей силе - 100 тысяч рабочих в день. Новому управлению ставилась задача обеспечить выгрузку материалов и оборудования, которые будут поступать на стройку по железной дороге в количестве до 1400 вагонов в сутки. Даже привычные ко всему специалисты НКВД отмечали, что такой размах строительства в столь ограниченные сроки не имеет прецедентов ни в СССР, ни за рубежом. Потребность в рабочей силе должен был обеспечить в первую очередь ГУЛАГ НКВД. Управлению лагерей предписывалось отправить на площадки Особого строительства в город Куйбышев около 5 тысяч заключенных, имеющих специальности каменщиков, плотников, кровельщиков, сварщиков и т.д. Часть потребности в строителях должны были обеспечить заключенные лагерей Куйбышевской области. Привлекались к стройке и вольнонаемные рабочие. Стройматериалы, строительную технику, горючее для строительства авиационных заводов в Куйбышеве должны были поступить из Москвы, Сталинграда, Саратова, Пензы, Воронежа и других городов страны. Соответствующее постановление вынес Совет Народных Комиссаров 10 февраля 1941 года. (ГАСО.Ф.Р2064) (11816).</w:t>
      </w:r>
    </w:p>
    <w:p w14:paraId="43A6BCE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EA8E059"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28 августа 1940 года Генеральный комиссар государственной безопасности Л.П.Берия подписал приказ об организации Специального управления по строительству на Безымянке. Этому подразделению было поручено выполнить объем работ на сумму 1408,6 миллионов рублей. Уже к маю 1942 года планировался ввод промышленных и жилых зданий общей площадью 11 300 тысяч кубических метров. Необходимо было проложить 71 километр железнодорожных путей и 91,3 километров шоссейных дорог. Построить 63 километра водопроводных магистралей, 10 километров теплотрасс и т.д. и т.п.</w:t>
      </w:r>
    </w:p>
    <w:p w14:paraId="5FB3A3A7"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В приказе говорилось, что строительство на Безымянке должно обеспечивать 100 тысяч рабочих в день. На них возлагалась выгрузка материалов и оборудования, которые будут поступать на стройку по железной дороге в количестве до 1400 вагонов в сутки. Потребность в рабочей силе должен был закрыть ГУЛАГ НКВД.</w:t>
      </w:r>
    </w:p>
    <w:p w14:paraId="099A181C"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Управлению лагерей предписывалось отправить на площадки Особого строительства в город Куйбышев около 5 тысяч заключенных, имеющих специальности каменщиков, плотников, кровельщиков, сварщиков и др. Часть потребности в строителях должны были обеспечить заключенные лагерей Куйбышевской области. Привлекались к стройке и вольнонаемные рабочие.</w:t>
      </w:r>
    </w:p>
    <w:p w14:paraId="779BA6DC"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Материалы, строительная техника, горючее для строительства авиационных заводов в Куйбышеве должны были поступить из Москвы, Сталинграда, Саратова, Пензы, Воронежа и других городов страны. Соответствующее постановление вынес Совет Народных Комиссаров 10 февраля 1941 года. </w:t>
      </w:r>
      <w:r w:rsidRPr="00DB5D0D">
        <w:rPr>
          <w:rStyle w:val="af0"/>
          <w:rFonts w:eastAsiaTheme="majorEastAsia"/>
          <w:color w:val="000000" w:themeColor="text1"/>
          <w:sz w:val="16"/>
          <w:szCs w:val="16"/>
        </w:rPr>
        <w:t>(ГАСО.Ф.Р2064).</w:t>
      </w:r>
    </w:p>
    <w:p w14:paraId="295D4B12" w14:textId="77777777" w:rsidR="001236CC" w:rsidRPr="00DB5D0D" w:rsidRDefault="001236CC" w:rsidP="00DB5D0D">
      <w:pPr>
        <w:pStyle w:val="ae"/>
        <w:shd w:val="clear" w:color="auto" w:fill="FFFFFF"/>
        <w:spacing w:before="0" w:after="0"/>
        <w:jc w:val="both"/>
        <w:rPr>
          <w:color w:val="000000" w:themeColor="text1"/>
          <w:sz w:val="16"/>
          <w:szCs w:val="16"/>
        </w:rPr>
      </w:pPr>
      <w:r w:rsidRPr="00DB5D0D">
        <w:rPr>
          <w:color w:val="000000" w:themeColor="text1"/>
          <w:sz w:val="16"/>
          <w:szCs w:val="16"/>
        </w:rPr>
        <w:t>Зимой 1941 года на строительстве авиационных заводов началась активная работа. На станцию Безымянка прибывали эшелоны со строительной техникой и материалами. Близ промышленной площадки строились бараки для заключенных, работающих на стройке. Прокладывалась автодорога, связывающая Безымянку с городом. От Куйбышевской ТЭЦ велось строительство линий электропередач. Несмотря на то, что стройка была военной, о войне тогда не думали. Ни работники московского авиазавода имени Сталина, ни моторостроители завода имени Фрунзе в Москве, конечно же, не предполагали тогда, что всего через год им придется работать в Куйбышеве, на Безымянке (19827).</w:t>
      </w:r>
    </w:p>
    <w:p w14:paraId="7B15C2D5" w14:textId="77777777" w:rsidR="001236CC" w:rsidRPr="00DB5D0D" w:rsidRDefault="001236CC" w:rsidP="00DB5D0D">
      <w:pPr>
        <w:pStyle w:val="ae"/>
        <w:shd w:val="clear" w:color="auto" w:fill="FFFFFF"/>
        <w:spacing w:before="0" w:after="0"/>
        <w:jc w:val="both"/>
        <w:rPr>
          <w:color w:val="000000" w:themeColor="text1"/>
          <w:sz w:val="16"/>
          <w:szCs w:val="16"/>
        </w:rPr>
      </w:pPr>
    </w:p>
    <w:p w14:paraId="0CE068A8" w14:textId="77777777" w:rsidR="0018628A"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81BB180" w14:textId="77777777" w:rsidR="0018628A" w:rsidRPr="00DB5D0D" w:rsidRDefault="0018628A" w:rsidP="00DB5D0D">
      <w:pPr>
        <w:spacing w:after="0" w:line="240" w:lineRule="auto"/>
        <w:jc w:val="both"/>
        <w:rPr>
          <w:rFonts w:ascii="Times New Roman" w:hAnsi="Times New Roman"/>
          <w:iCs/>
          <w:color w:val="000000" w:themeColor="text1"/>
          <w:sz w:val="16"/>
          <w:szCs w:val="16"/>
        </w:rPr>
      </w:pPr>
    </w:p>
    <w:p w14:paraId="79754560"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28 августа 1940 г. </w:t>
      </w:r>
    </w:p>
    <w:p w14:paraId="22F377D3"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bCs/>
          <w:iCs/>
          <w:color w:val="000000" w:themeColor="text1"/>
          <w:sz w:val="16"/>
          <w:szCs w:val="16"/>
          <w:lang w:eastAsia="ru-RU"/>
        </w:rPr>
        <w:t>РГВА Фонд 31811 Опись 2 Дело 1176 лист 233</w:t>
      </w:r>
      <w:r w:rsidRPr="00DB5D0D">
        <w:rPr>
          <w:rFonts w:ascii="Times New Roman" w:eastAsia="Times New Roman" w:hAnsi="Times New Roman"/>
          <w:color w:val="000000" w:themeColor="text1"/>
          <w:sz w:val="16"/>
          <w:szCs w:val="16"/>
          <w:lang w:eastAsia="ru-RU"/>
        </w:rPr>
        <w:t xml:space="preserve"> </w:t>
      </w:r>
    </w:p>
    <w:p w14:paraId="7148AE8B"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СЕКРЕТНО </w:t>
      </w:r>
    </w:p>
    <w:p w14:paraId="0C5D02FC"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Экз. № 7 </w:t>
      </w:r>
    </w:p>
    <w:p w14:paraId="67483405"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28 августа 1940 г. </w:t>
      </w:r>
    </w:p>
    <w:p w14:paraId="58007FAD"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 76105с </w:t>
      </w:r>
    </w:p>
    <w:p w14:paraId="262F0437"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НАЧАЛЬНИКУ 3 ГЛАВНОГО УПРАВЛЕНИЯ НКСП </w:t>
      </w:r>
      <w:r w:rsidRPr="00DB5D0D">
        <w:rPr>
          <w:rFonts w:ascii="Times New Roman" w:eastAsia="Times New Roman" w:hAnsi="Times New Roman"/>
          <w:color w:val="000000" w:themeColor="text1"/>
          <w:sz w:val="16"/>
          <w:szCs w:val="16"/>
          <w:u w:val="single"/>
          <w:lang w:eastAsia="ru-RU"/>
        </w:rPr>
        <w:t>тов. ЕМЕЛЬЯНОВУ</w:t>
      </w:r>
      <w:r w:rsidRPr="00DB5D0D">
        <w:rPr>
          <w:rFonts w:ascii="Times New Roman" w:eastAsia="Times New Roman" w:hAnsi="Times New Roman"/>
          <w:color w:val="000000" w:themeColor="text1"/>
          <w:sz w:val="16"/>
          <w:szCs w:val="16"/>
          <w:lang w:eastAsia="ru-RU"/>
        </w:rPr>
        <w:t xml:space="preserve"> </w:t>
      </w:r>
    </w:p>
    <w:p w14:paraId="74C168D3"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НАЧАЛЬНИКУ ГЛАВСПЕЦМАША </w:t>
      </w:r>
      <w:r w:rsidRPr="00DB5D0D">
        <w:rPr>
          <w:rFonts w:ascii="Times New Roman" w:eastAsia="Times New Roman" w:hAnsi="Times New Roman"/>
          <w:color w:val="000000" w:themeColor="text1"/>
          <w:sz w:val="16"/>
          <w:szCs w:val="16"/>
          <w:u w:val="single"/>
          <w:lang w:eastAsia="ru-RU"/>
        </w:rPr>
        <w:t>тов. СУРЕНЯН</w:t>
      </w:r>
      <w:r w:rsidRPr="00DB5D0D">
        <w:rPr>
          <w:rFonts w:ascii="Times New Roman" w:eastAsia="Times New Roman" w:hAnsi="Times New Roman"/>
          <w:color w:val="000000" w:themeColor="text1"/>
          <w:sz w:val="16"/>
          <w:szCs w:val="16"/>
          <w:lang w:eastAsia="ru-RU"/>
        </w:rPr>
        <w:t xml:space="preserve"> </w:t>
      </w:r>
    </w:p>
    <w:p w14:paraId="3ADF655B"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Копия: ДИРЕКТОРУ ЗАВОДА № 183 </w:t>
      </w:r>
      <w:r w:rsidRPr="00DB5D0D">
        <w:rPr>
          <w:rFonts w:ascii="Times New Roman" w:eastAsia="Times New Roman" w:hAnsi="Times New Roman"/>
          <w:color w:val="000000" w:themeColor="text1"/>
          <w:sz w:val="16"/>
          <w:szCs w:val="16"/>
          <w:u w:val="single"/>
          <w:lang w:eastAsia="ru-RU"/>
        </w:rPr>
        <w:t>тов. МАКСАРЕВУ</w:t>
      </w:r>
      <w:r w:rsidRPr="00DB5D0D">
        <w:rPr>
          <w:rFonts w:ascii="Times New Roman" w:eastAsia="Times New Roman" w:hAnsi="Times New Roman"/>
          <w:color w:val="000000" w:themeColor="text1"/>
          <w:sz w:val="16"/>
          <w:szCs w:val="16"/>
          <w:lang w:eastAsia="ru-RU"/>
        </w:rPr>
        <w:t xml:space="preserve"> </w:t>
      </w:r>
    </w:p>
    <w:p w14:paraId="274033E5"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ДИРЕКТОРУ МАРИУПОЛЬСКОГО ЗАВОДА им. ИЛЬИЧА </w:t>
      </w:r>
      <w:r w:rsidRPr="00DB5D0D">
        <w:rPr>
          <w:rFonts w:ascii="Times New Roman" w:eastAsia="Times New Roman" w:hAnsi="Times New Roman"/>
          <w:color w:val="000000" w:themeColor="text1"/>
          <w:sz w:val="16"/>
          <w:szCs w:val="16"/>
          <w:u w:val="single"/>
          <w:lang w:eastAsia="ru-RU"/>
        </w:rPr>
        <w:t>тов. ГАРМАШЕВУ</w:t>
      </w:r>
      <w:r w:rsidRPr="00DB5D0D">
        <w:rPr>
          <w:rFonts w:ascii="Times New Roman" w:eastAsia="Times New Roman" w:hAnsi="Times New Roman"/>
          <w:color w:val="000000" w:themeColor="text1"/>
          <w:sz w:val="16"/>
          <w:szCs w:val="16"/>
          <w:lang w:eastAsia="ru-RU"/>
        </w:rPr>
        <w:t xml:space="preserve"> </w:t>
      </w:r>
    </w:p>
    <w:p w14:paraId="651397E1"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РАЙОННОМУ ИНЖЕНЕРУ БТУ КРАСНОЙ АРМИИ</w:t>
      </w:r>
    </w:p>
    <w:p w14:paraId="3BB67BB7"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НА ЗАВОДЕ № 183 </w:t>
      </w:r>
      <w:r w:rsidRPr="00DB5D0D">
        <w:rPr>
          <w:rFonts w:ascii="Times New Roman" w:eastAsia="Times New Roman" w:hAnsi="Times New Roman"/>
          <w:color w:val="000000" w:themeColor="text1"/>
          <w:sz w:val="16"/>
          <w:szCs w:val="16"/>
          <w:u w:val="single"/>
          <w:lang w:eastAsia="ru-RU"/>
        </w:rPr>
        <w:t>тов. КОЗЫРЕВУ</w:t>
      </w:r>
      <w:r w:rsidRPr="00DB5D0D">
        <w:rPr>
          <w:rFonts w:ascii="Times New Roman" w:eastAsia="Times New Roman" w:hAnsi="Times New Roman"/>
          <w:color w:val="000000" w:themeColor="text1"/>
          <w:sz w:val="16"/>
          <w:szCs w:val="16"/>
          <w:lang w:eastAsia="ru-RU"/>
        </w:rPr>
        <w:t xml:space="preserve"> </w:t>
      </w:r>
    </w:p>
    <w:p w14:paraId="62B4E150"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РАЙОННОМУ ИНЖЕНЕРУ БТУ КА НА МАРИУПОЛЬСКОМ</w:t>
      </w:r>
    </w:p>
    <w:p w14:paraId="50349EFE"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ЗАВОДЕ им. ИЛЬИЧА </w:t>
      </w:r>
      <w:r w:rsidRPr="00DB5D0D">
        <w:rPr>
          <w:rFonts w:ascii="Times New Roman" w:eastAsia="Times New Roman" w:hAnsi="Times New Roman"/>
          <w:color w:val="000000" w:themeColor="text1"/>
          <w:sz w:val="16"/>
          <w:szCs w:val="16"/>
          <w:u w:val="single"/>
          <w:lang w:eastAsia="ru-RU"/>
        </w:rPr>
        <w:t>тов. ЗУХЕР</w:t>
      </w:r>
      <w:r w:rsidRPr="00DB5D0D">
        <w:rPr>
          <w:rFonts w:ascii="Times New Roman" w:eastAsia="Times New Roman" w:hAnsi="Times New Roman"/>
          <w:color w:val="000000" w:themeColor="text1"/>
          <w:sz w:val="16"/>
          <w:szCs w:val="16"/>
          <w:lang w:eastAsia="ru-RU"/>
        </w:rPr>
        <w:t xml:space="preserve"> </w:t>
      </w:r>
    </w:p>
    <w:p w14:paraId="0DC44374"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Для проверки качества сварки брони и снарядостойкости конструкции необходимо провести испытание обстрелом одного корпуса с башней танка Т-34. Прошу Вас: </w:t>
      </w:r>
    </w:p>
    <w:p w14:paraId="3D5C7010"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1. Составить программу испытаний обстрелом корпуса с башней Т-34 и выслать ее к 10-му сентября с.г. на утверждение. </w:t>
      </w:r>
    </w:p>
    <w:p w14:paraId="1E43F520"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 Подготовить к 20-му сентября с.г. один корпус с башней танка Т-34 и выслать все данные по этому корпусу с башней. </w:t>
      </w:r>
    </w:p>
    <w:p w14:paraId="301F81E6"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Испытание будет проведено на АНИОПе. </w:t>
      </w:r>
    </w:p>
    <w:p w14:paraId="43C73403"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п/п НАЧАЛЬНИК БТУ КРАСНОЙ АРМИИ ВОЕНИНЖЕНЕР 1 РАНГА (КОРОБКОВ) </w:t>
      </w:r>
    </w:p>
    <w:p w14:paraId="4C2340AA"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п/п НАЧАЛЬНИК 3 ОТДЕЛА БТУ КРАСНОЙ АРМИИ ВОЕНИНЖЕНЕР 1 РАНГА (АФОНИН) </w:t>
      </w:r>
    </w:p>
    <w:p w14:paraId="7F7490F9"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Отп. 7 экз. </w:t>
      </w:r>
    </w:p>
    <w:p w14:paraId="35EA8AC8"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исп. Бурцев </w:t>
      </w:r>
    </w:p>
    <w:p w14:paraId="01DAEAE9"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xml:space="preserve">27.8.1940 г. </w:t>
      </w:r>
    </w:p>
    <w:p w14:paraId="46728E5D"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eastAsia="Times New Roman" w:hAnsi="Times New Roman"/>
          <w:color w:val="000000" w:themeColor="text1"/>
          <w:sz w:val="16"/>
          <w:szCs w:val="16"/>
          <w:lang w:eastAsia="ru-RU"/>
        </w:rPr>
        <w:t>№ 73 (19707).</w:t>
      </w:r>
    </w:p>
    <w:p w14:paraId="33CC5596" w14:textId="77777777" w:rsidR="006C2BA1" w:rsidRPr="00DB5D0D" w:rsidRDefault="006C2BA1" w:rsidP="00DB5D0D">
      <w:pPr>
        <w:spacing w:after="0" w:line="240" w:lineRule="auto"/>
        <w:jc w:val="both"/>
        <w:rPr>
          <w:rFonts w:ascii="Times New Roman" w:hAnsi="Times New Roman"/>
          <w:color w:val="000000" w:themeColor="text1"/>
          <w:sz w:val="16"/>
          <w:szCs w:val="16"/>
        </w:rPr>
      </w:pPr>
    </w:p>
    <w:p w14:paraId="40FC3721"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28 августа 1940 года в своем докладе заместителю наркома ВМФ адмиралу И. С. Исакову Председатель комиссии по размещению заказов на морскую артиллерию в Германии В. Н. Мельников [Там же, л. 473-480].</w:t>
      </w:r>
    </w:p>
    <w:p w14:paraId="26DBCC73"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Хранение в СССР поступившего из Германии оборудования, приборов и объектов артиллерийского вооружения было тщательно продумано и хорошо организовано. Ответственность за подготовку складов и помещений для хранения германских поставок возлагалась на организации, которым было поручено выполнять монтаж на кораблях, а именно:</w:t>
      </w:r>
    </w:p>
    <w:p w14:paraId="593F1AFD"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1. Системы ПУАО – Наркомат судостроительной промышленности.</w:t>
      </w:r>
    </w:p>
    <w:p w14:paraId="64FB3320"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2. 380-мм, 150-мм, 105-мм артиллерийские установки и вся оптика – наркомат вооружения.</w:t>
      </w:r>
    </w:p>
    <w:p w14:paraId="13E53CF4"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3. 88-мм артиллерийские установки и боезапас – наркомат ВМФ.</w:t>
      </w:r>
    </w:p>
    <w:p w14:paraId="5C600673"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4. Прочие более мелкие заказы – наркомат ВМФ.</w:t>
      </w:r>
    </w:p>
    <w:p w14:paraId="6AE45140"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Размещение вооружения на кораблях предполагалось:</w:t>
      </w:r>
    </w:p>
    <w:p w14:paraId="540DFE88"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1. Шесть 380-мм артиллерийских башен – на два корабля проекта 69 (тяжелый крейсер).</w:t>
      </w:r>
    </w:p>
    <w:p w14:paraId="37EA9208"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2. Четыре 150-мм артиллерийских башни – на один корабль проекта 68 (легкий крейсер).</w:t>
      </w:r>
    </w:p>
    <w:p w14:paraId="3CF10297"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3. Одиннадцать 105-мм зенитных стабилизированных палубных щитовых артиллерийских установок распределяются:</w:t>
      </w:r>
    </w:p>
    <w:p w14:paraId="04FD31DA"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- 4 системы – проект 68;</w:t>
      </w:r>
    </w:p>
    <w:p w14:paraId="006E2741"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- 6 систем – на новые корабли;</w:t>
      </w:r>
    </w:p>
    <w:p w14:paraId="1CE49ECA"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- 1 система – запасная.</w:t>
      </w:r>
    </w:p>
    <w:p w14:paraId="09AC6B60"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4. Два комплекта ПУАО – для главного калибра корабля проекта 69 (380-мм артиллерия).</w:t>
      </w:r>
    </w:p>
    <w:p w14:paraId="36A00580"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5. Один комплект ПУАО – для главного калибра корабля 68 (150-мм артиллерия).</w:t>
      </w:r>
    </w:p>
    <w:p w14:paraId="33FFC380"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6. Один двойной комплект морского прибора управления артиллерией зенитного огня (МПУАЗО) – на 4 двух орудийные системы для корабля проекта 68.</w:t>
      </w:r>
    </w:p>
    <w:p w14:paraId="75FBC5EF"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7. Один комплект торпедных приборов – для корабля проекта 68.</w:t>
      </w:r>
    </w:p>
    <w:p w14:paraId="56E56A1E"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8. Три комплекта приборов МПУАЗО – для новых кораблей.</w:t>
      </w:r>
    </w:p>
    <w:p w14:paraId="3A24EA53"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9. Две 88-мм палубных артиллерийских установки для подводных лодок. Из них:</w:t>
      </w:r>
    </w:p>
    <w:p w14:paraId="353E3B6F"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одна опытная – на подводную лодку;</w:t>
      </w:r>
    </w:p>
    <w:p w14:paraId="2F7ADD87"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одна – на полигон завода № 232.</w:t>
      </w:r>
    </w:p>
    <w:p w14:paraId="17915378"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 xml:space="preserve">Далее Председатель комиссии по размещению заказов на морскую артиллерию давал рекомендации по монтажу вооружения, а именно: монтаж 380-мм и 150-мм артиллерии на кораблях проекта 69 и 68 желательно выполнить силами нашей промышленности. Для этой цели необходимо обучить нужное количество инженерного и монтажного персонала заводов Наркомата Вооружения, использовав руководство монтажа 203-мм артиллерийских башен немцев на крейсере «Лютцов». </w:t>
      </w:r>
      <w:r w:rsidRPr="00DB5D0D">
        <w:rPr>
          <w:rFonts w:ascii="Times New Roman" w:eastAsia="TimesNewRoman" w:hAnsi="Times New Roman"/>
          <w:color w:val="000000" w:themeColor="text1"/>
          <w:sz w:val="16"/>
          <w:szCs w:val="16"/>
        </w:rPr>
        <w:lastRenderedPageBreak/>
        <w:t>Уверенность в выполнении советской промышленностью монтажа 380-мм и 150-мм артиллерии заключается еще и в том, что эти башни были однотипны 203-мм башням крейсера «Лютцов».</w:t>
      </w:r>
    </w:p>
    <w:p w14:paraId="3D3BEAC0"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r w:rsidRPr="00DB5D0D">
        <w:rPr>
          <w:rFonts w:ascii="Times New Roman" w:eastAsia="TimesNewRoman" w:hAnsi="Times New Roman"/>
          <w:color w:val="000000" w:themeColor="text1"/>
          <w:sz w:val="16"/>
          <w:szCs w:val="16"/>
        </w:rPr>
        <w:t>Особое внимание Председатель комиссии по размещению заказов в Германии В. Н. Мельников обратил на изучение и освоение получаемой техники и вооружения. Так, изучение артиллерийских башен рекомендовалось организовывать на основе 203-мм башен крейсера «Лютцов». Все необходимые материалы (чертежи, схемы, описания) в 15-ти экземплярах были получены Советским Союзом из Германии. Их разослали в артиллерийские школы, Специальные курсы командного состава (СККС), Военно-Морскую Академию (ВМА) – на факультет оружия и в Артиллерийский научно-исследовательский морской институт (АНИМИ). Изучение схем и приборов ПУАО и МПУАЗО предлагалось организовать на материалах и оборудовании крейсера «Лютцов» (12700).</w:t>
      </w:r>
    </w:p>
    <w:p w14:paraId="3EA99E84" w14:textId="77777777" w:rsidR="0018628A" w:rsidRPr="00DB5D0D" w:rsidRDefault="0018628A" w:rsidP="00DB5D0D">
      <w:pPr>
        <w:spacing w:after="0" w:line="240" w:lineRule="auto"/>
        <w:jc w:val="both"/>
        <w:rPr>
          <w:rFonts w:ascii="Times New Roman" w:eastAsia="TimesNewRoman" w:hAnsi="Times New Roman"/>
          <w:color w:val="000000" w:themeColor="text1"/>
          <w:sz w:val="16"/>
          <w:szCs w:val="16"/>
        </w:rPr>
      </w:pPr>
    </w:p>
    <w:p w14:paraId="0C3314D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1EB2F1E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1F783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 вышел приказ НКО о задачах ВВС Красной Армии в связи с большой аварийностью № 0200.</w:t>
      </w:r>
    </w:p>
    <w:p w14:paraId="1F727D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1 по 10 августа 1940 г. моими заместителями были проверены 28 авиационных полков. Проверкой были охвачены авиационные части Прибалтийского, Западного, Киевского, Одесского, Закавказского, Северо-Кавказского и Забайкальского военных округов.</w:t>
      </w:r>
    </w:p>
    <w:p w14:paraId="0652BA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Проверка была произведена с целью выяснить причины недопустимо высокой аварийности в частях ВВС Красной Армии.</w:t>
      </w:r>
    </w:p>
    <w:p w14:paraId="2ECEB9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Установлено, что основными причинами, порождающими аварийность, являются:</w:t>
      </w:r>
    </w:p>
    <w:p w14:paraId="4BB555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Чрезвычайно низкая дисциплина, расхлябанность и неорганизованность в частях ВВС Красной Армии. В результате слабого контроля приказы, уставы и наставления по производству полетов, регламентирующие летную работу, твердо и последовательно не выполняются...</w:t>
      </w:r>
    </w:p>
    <w:p w14:paraId="06AEFE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Большое количество пьянок с дебошами, самовольные отлучки и прочие аморальные проступки, несовместимые со званием командира, красноармейца, характеризуют низкое состояние дисциплины и порождают аварийность.</w:t>
      </w:r>
    </w:p>
    <w:p w14:paraId="026D23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Постановка учебно-боевой подготовки во многих полках неудовлетворительная.</w:t>
      </w:r>
    </w:p>
    <w:p w14:paraId="3007A5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Планирование боевой подготовки производится «вне времени и пространства», что является следствием незнания подготовленности эскадрилий и ведет к постановке непосильных и нереальных задач.</w:t>
      </w:r>
    </w:p>
    <w:p w14:paraId="3065AD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эскадрильях до сих пор не научились индивидуально подходить к летчику — ставить задачи в соответствии с его подготовкой, в результате чего происходят аварии и катастрофы.</w:t>
      </w:r>
    </w:p>
    <w:p w14:paraId="47B130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Командующие ВВС округов не поняли необходимости последовательного обучения частей...</w:t>
      </w:r>
    </w:p>
    <w:p w14:paraId="73ADBF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Штурманская подготовка в большинстве частей, и особенно в истребительных, находится на низком уровне.</w:t>
      </w:r>
    </w:p>
    <w:p w14:paraId="6B87F5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Знание основ навигации слабое. Происходит чрезмерно большое количество потерь ориентировки, в том числе и у руководящего командного состава.</w:t>
      </w:r>
    </w:p>
    <w:p w14:paraId="59DD23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Как массовое явление — плохое знание материальной части летным и техническим составом. Летчики и часть командиров слабо знают данные своего самолета и мотора.</w:t>
      </w:r>
    </w:p>
    <w:p w14:paraId="13AD14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Летчики, не зная материальной части, боятся контролировать работу технического состава.</w:t>
      </w:r>
    </w:p>
    <w:p w14:paraId="71EE0A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Командиры частей и подразделений, сами не зная материальной части самолета и мотора, не требуют и не проверяют знания подчиненного им состава.</w:t>
      </w:r>
    </w:p>
    <w:p w14:paraId="5414CB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Прием самолета летчиком от техника, как требует приказ НКО № 93, не организован превращен в формальность; в результате этого гибнут люди и материальная часть...</w:t>
      </w:r>
    </w:p>
    <w:p w14:paraId="3CCFDD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одном полку ЗапОВО обнаружена книга приема и сдачи самолетов, в которой за десять дней вперед летчик расписался за принятую машину.</w:t>
      </w:r>
    </w:p>
    <w:p w14:paraId="0D833F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Техническая учеба развернута слабо, а в ряде полков ее нет в течение всего лета, что приводит к плохому состоянию материальной части, к вылету без горючего, с неснятыми струбцинками, незнанию, как аварийно выпустить шасси и как переключить краны бензобаков.</w:t>
      </w:r>
    </w:p>
    <w:p w14:paraId="7F1D36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Большое количество поломок, аварий и катастроф происходит при взлетах и посадках самолетов. Это говорит о том, что важные элементы техники пилотирования, взлет и посадка у молодых летчиков не отработаны.</w:t>
      </w:r>
    </w:p>
    <w:p w14:paraId="1EB3B5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Проверка техники пилотирования поставлена плохо, проводится нерегулярно и не в сроки, указанные № 69 НПП-38.</w:t>
      </w:r>
    </w:p>
    <w:p w14:paraId="6F481F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Просмотр летных книжек показал, что ошибки, отмеченные при поверке техники пилотирования, не устраняются, а только фиксируются, т. е. сознательно происходит самое возмутительное безобразие, когда летчик с известными и неустраненными ошибками продолжает летать на более сложное задание, с ним не справляется, повторяет ошибки, бьет самолет и гибнет сам.</w:t>
      </w:r>
    </w:p>
    <w:p w14:paraId="3CE612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В частях ВВС на должностях командиров полков, эскадрилий и звеньев находятся командиры, не имеющие достаточного опыта в руководстве частями и подразделениями.</w:t>
      </w:r>
    </w:p>
    <w:p w14:paraId="614EB2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Командиры звеньев не имеют инструкторско-методического опыта, не умеют показать и научить своего подчиненного.</w:t>
      </w:r>
    </w:p>
    <w:p w14:paraId="231BBF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Командующие ВВС округов, командиры дивизий и полков не поняли необходимости особо учить и воспитывать кадры, а предоставили их самим себе. Это приводит к тому, что командир звена и эскадрильи не знает, как строить работу, допускает ошибки, порождающие аварийность.</w:t>
      </w:r>
    </w:p>
    <w:p w14:paraId="7A8D23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Приведенные причины, порождающие аварийность, не могут оставаться в частях ВВС и должны быть искоренены самыми решительными мерами. Командиры дивизий (бригад) в первую очередь ответственны за наведение порядка и дисциплины в авиачастях.</w:t>
      </w:r>
    </w:p>
    <w:p w14:paraId="139BAF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желающие понять необходимость дисциплины, выполнения приказов, уставов и наставлений должны быть изъяты из частей ВВС Красной Армии.</w:t>
      </w:r>
    </w:p>
    <w:p w14:paraId="56B9D1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Приказываю:</w:t>
      </w:r>
    </w:p>
    <w:p w14:paraId="31A3F5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По летной подготовке</w:t>
      </w:r>
    </w:p>
    <w:p w14:paraId="7A0A29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Военным советам округов и командующим ВВС добиться в кратчайший срок полного выполнения приказов, уставов и наставлений, определяющих требования в боевой подготовке и дисциплины Военно-Воздушных Сил Красной Армии.</w:t>
      </w:r>
    </w:p>
    <w:p w14:paraId="72F00F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Запрещаю переход к следующему упражнению экипажа звена и эскадрильи, не отработав полностью предыдущего упражнения и не получив по нему оценку.</w:t>
      </w:r>
    </w:p>
    <w:p w14:paraId="7E9A10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Командирам дивизий и полков пересмотреть уровень подготовки каждого экипажа, звена, эскадрильи и своими приказами допустить их в соответствии с подготовкой к выполнению последующих упражнений, программ боевой подготовки.</w:t>
      </w:r>
    </w:p>
    <w:p w14:paraId="776A46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Программы летной подготовки по переучиванию летчиков на скоростном самолете, техники пилотирования на боевом самолете, слепой и ночной подготовки выполнять последовательно и полностью, без изменений и сокращений.</w:t>
      </w:r>
    </w:p>
    <w:p w14:paraId="43313E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В каждой эскадрилье составить планы проверки техники пилотирования, в соответствии с сроками, определенными Наставлением по производству полетов (§ 69), и строго их соблюдать.</w:t>
      </w:r>
    </w:p>
    <w:p w14:paraId="533308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Одновременно с регулярной поверкой техники пилотирования у всех летчиков проверять знания материальной части, и особенно ее эксплуатацию, теорию полета и НПП.</w:t>
      </w:r>
    </w:p>
    <w:p w14:paraId="67DBBF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Поверка должна определять знания и подготовленность летчика для прохождения последующих упражнений программ боевой подготовки.</w:t>
      </w:r>
    </w:p>
    <w:p w14:paraId="74530B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Установить систему экзаменов по дисциплинам боевой подготовки. Экзамены проводить: для экипажей — один раз в три месяца; для командиров звеньев и выше — один раз в четыре месяца. Рядовые экипажи и командиры звеньев проверяются комиссией, назначенной приказом командира дивизии.</w:t>
      </w:r>
    </w:p>
    <w:p w14:paraId="30F2FE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Результаты проверок с оценками объявлять в приказах. Не сдавшие зачетов к полетам не допускаются до сдачи зачетов не ниже как на «хорошо».</w:t>
      </w:r>
    </w:p>
    <w:p w14:paraId="750CFB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 По штурманской подготовке</w:t>
      </w:r>
    </w:p>
    <w:p w14:paraId="0E0631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Категорически запретить выпуск во внеаэродромный полет и перелет экипажей, не подготовленных к совершению полетов в данных условиях погоды и местности, без наличия правильно подготовленных карт, расчетов и положенных предметов штурманского оборудования и снаряжения.</w:t>
      </w:r>
    </w:p>
    <w:p w14:paraId="1E9B4C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Установить персональную ответственность проверявшего штурманскую подготовку наравне с непосредственным виновником каждого случая нарушения Наставления по штурманской службе и потери ориентировки.</w:t>
      </w:r>
    </w:p>
    <w:p w14:paraId="46C7EB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приграничных округах особо тщательно проверять знание летным составом государственной границы, а в военное время линии фронта, с обязательным точным нанесением их на полетные карты.</w:t>
      </w:r>
    </w:p>
    <w:p w14:paraId="7EA210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Строго соблюдать последовательность в летной подготовке по штурманской службе и не допускать к полетам з сложных условиях неподготовленные экипажи.</w:t>
      </w:r>
    </w:p>
    <w:p w14:paraId="2A6E1B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Начальнику ГУ ВВС Красной Армии предусмотреть в Положении о прохождении службы в частях ВВС увеличение срока выслуги лет до очередного военного звания штурманам и летчикам за потерю ориентировки.</w:t>
      </w:r>
    </w:p>
    <w:p w14:paraId="5D2295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III. По огневой подготовке</w:t>
      </w:r>
    </w:p>
    <w:p w14:paraId="12C8AE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Подготовку по воздушным стрельбам и бомбометанию проводить в соответствии с требованием приказов [НКО] № 120 и начальника ГУ ВВС Красной Армии № 121 1940 г.</w:t>
      </w:r>
    </w:p>
    <w:p w14:paraId="37D3D5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частях, имеющих фотокинопулеметы, учебный воздушный бой, проведенный без применения фотокинопулсмета, не засчитывать. Все заснятые фильмы хранить и предъявлять инспектирующим частям.</w:t>
      </w:r>
    </w:p>
    <w:p w14:paraId="54C1EA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 полка отвечает единолично за полное использование фотокино-пулеметов.</w:t>
      </w:r>
    </w:p>
    <w:p w14:paraId="2E4E9D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До 1.10.40 г. привести в порядок и исправное состояние всю тренировочную аппаратуру по стрелковому делу и бомбометанию, использовав ее для тренировки и подготовки к полетам.</w:t>
      </w:r>
    </w:p>
    <w:p w14:paraId="18FCF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IV. По командирской учебе</w:t>
      </w:r>
    </w:p>
    <w:p w14:paraId="3CDA47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Занятия по тактике, огневой подготовке, теории полета в эскадрильях проводить только командирам эскадрилий, их помощникам, а в полковой группе — командирам полков, их помощникам и начальникам штабов полков.</w:t>
      </w:r>
    </w:p>
    <w:p w14:paraId="1CF3B5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Командирам дивизий и полков, используя командиров своего штаба, не реже одного раза в два месяца проводить в эскадрильях и полковых группах тактические занятия с целью показа методики и проверки подготовки эскадрилий в тактическом отношении.</w:t>
      </w:r>
    </w:p>
    <w:p w14:paraId="4C8809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 Разборы полетов</w:t>
      </w:r>
    </w:p>
    <w:p w14:paraId="19DEB7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После полетов двух и более эскадрилий с одного аэродрома разбор полетов проводить командиру полка. Разбор полетов проводить на другой день полетов после тщательной подготовки.</w:t>
      </w:r>
    </w:p>
    <w:p w14:paraId="103DEA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разбор привлекать не только летный состав, но и всех командиров, обеспечивающих полеты.</w:t>
      </w:r>
    </w:p>
    <w:p w14:paraId="324A84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Старший командир, присутствующий на полетах, немедленно устраняет все недостатки и нарушения, выявленные им; он обязан быть на разборе и сделать свои указания.</w:t>
      </w:r>
    </w:p>
    <w:p w14:paraId="6FCAA8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 Техническая подготовка</w:t>
      </w:r>
    </w:p>
    <w:p w14:paraId="4C9EBE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 получением приказа организовать занятия с летным и техническим составом по изучению материальной части своего самолета, мотора и принять зачеты, в первую очередь от командиров полетов, эскадрилий, звеньев и соответственно у технического состава.</w:t>
      </w:r>
    </w:p>
    <w:p w14:paraId="010CF5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Проверить и привести в порядок к 15.9.40 г. формуляры самолетов и моторов и впредь не запускать их.</w:t>
      </w:r>
    </w:p>
    <w:p w14:paraId="693BF1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Работы на самолете и моторе, определенные соответствующими регламентами по данному типу, проводить полностью, не допуская никаких отступлений и обязательно заносить в формуляры произведенную работу.</w:t>
      </w:r>
    </w:p>
    <w:p w14:paraId="3BB760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 Боевая готовность</w:t>
      </w:r>
    </w:p>
    <w:p w14:paraId="04F426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Командирам дивизий пересмотреть планы боевых тревог и провести в гарнизонах необходимые переселения летного и технического состава с целью сокращения сроков оповещения и сбора личного состава по тревоге.</w:t>
      </w:r>
    </w:p>
    <w:p w14:paraId="258839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Составить планы взаимодействия со средствами ПВО и отработать практические взаимодействия.</w:t>
      </w:r>
    </w:p>
    <w:p w14:paraId="761ABC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VIII. Начальнику ГУ ВВС Красной Армии</w:t>
      </w:r>
    </w:p>
    <w:p w14:paraId="7AB9B7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 1941 год переиздать программы и курсы боевой подготовки ВВС. В программах особое внимание уделить одиночной подготовке экипажа.</w:t>
      </w:r>
    </w:p>
    <w:p w14:paraId="41B1F6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Провести по округам сборы командиров полков в период с 10.11 по 10.12.40 г. с задачей обучения методике, организации проведения занятий и планирования боевой подготовки.</w:t>
      </w:r>
    </w:p>
    <w:p w14:paraId="6340C9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Представить к 1.10.40 г. проект организации штатных курсов командиров звеньев при авиадивизиях.</w:t>
      </w:r>
    </w:p>
    <w:p w14:paraId="478680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IX</w:t>
      </w:r>
    </w:p>
    <w:p w14:paraId="0DF658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Инспекторов по технике пилотирования, как снижающих своей работой ответственность за основной вид летной подготовки с командиров полков, из штатов полков исключить, оставив инспекторов техники пилотирования в дивизиях (бригадах) ВВС округов и армий.</w:t>
      </w:r>
    </w:p>
    <w:p w14:paraId="3EB9B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получением настоящего приказа, по представлению командира полка, приказом командира дивизии прекратить выдачу бесплатных завтраков, обедов, диетпайков и скоростных надбавок летчикам, летнабам и техникам, отстраненным от полетов и работы на самолете по разным причинам и не несущим фактически летную работу, независимо от сроков отстранения.</w:t>
      </w:r>
    </w:p>
    <w:p w14:paraId="74B30E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w:t>
      </w:r>
    </w:p>
    <w:p w14:paraId="144FC0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Военным советам округов по представлению командующих ВВС округов (армий) пересмотреть летный и технический состав, непригодный к службе на летных и технических должностях, и дать свои предложения к 1.10.40 г. через начальника ГУ ВВС Красной Армии о порядке их дальнейшего использования, учитывая возможность назначения их в части ПВО, ВНОС и наземные войска округов...</w:t>
      </w:r>
    </w:p>
    <w:p w14:paraId="5286E6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XIV</w:t>
      </w:r>
    </w:p>
    <w:p w14:paraId="1C4660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Уверен, что весь личный состав Военно-Воздушных Сил Красной Армии проникнется глубоким сознанием необходимости поднять мощь и силу нашей авиации, что командиры ВВС всех степеней поймут огромные задачи, стоящие перед нашими авиачастями, и приложат все усилия к устранению отмеченных выше недочетов, дабы сделать наши Военно-Воздушные Силы могучими, организованными, дисциплинированными, готовыми к борьбе с любым врагом. Ограничения полетов, установленные директивой № 02978, отменяются.</w:t>
      </w:r>
    </w:p>
    <w:p w14:paraId="52F39C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XV</w:t>
      </w:r>
    </w:p>
    <w:p w14:paraId="66BD39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Поиказ разъяснить всему начсоставу ВВС Красной Армии.</w:t>
      </w:r>
    </w:p>
    <w:p w14:paraId="0443B6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Народный комиссар обороны СССР Маршал Советского Союза С. Тимошенко (10609).</w:t>
      </w:r>
    </w:p>
    <w:p w14:paraId="34BFADA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8756C08"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28 августа 1940 по результатам проверки 28 авиаполков в семи военных округах нарком Тимошенко издал приказ №-0200, «установивший» основные причины «большой аварийности»:</w:t>
      </w:r>
    </w:p>
    <w:p w14:paraId="0BBE47A0"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«1. Чрезвычайно низкая дисциплина, расхлябанность и неорганизованность в частях ВВС Красной Армии. В результате слабого контроля приказы, уставы и наставления по производству полетов, регламентирующие летную работу, твердо и последовательно не выполняются…</w:t>
      </w:r>
    </w:p>
    <w:p w14:paraId="1DCE7B00"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Большое количество пьянок с дебошами, самовольные отлучки и прочие аморальные проступки, несовместимые со званием командира, красноармейца, характеризуют низкое состояние дисциплины и порождают аварийность.</w:t>
      </w:r>
    </w:p>
    <w:p w14:paraId="1551797B"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2. Постановка учебно-боевой подготовки во многих полках неудовлетворительная.</w:t>
      </w:r>
    </w:p>
    <w:p w14:paraId="71AE2C49"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Планирование боевой подготовки производится «вне времени и пространства», что является следствием незнания подготовленности эскадрилий и ведет к постановке непосильных и нереальных задач.</w:t>
      </w:r>
    </w:p>
    <w:p w14:paraId="41E5ED19"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В эскадрильях до сих пор не научились индивидуально подходить к летчику — ставить задачи в соответствии с его подготовкой, в результате чего происходят аварии и катастрофы.</w:t>
      </w:r>
    </w:p>
    <w:p w14:paraId="2CC5A63C"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Командующие ВВС округов не поняли необходимости последовательного обучения частей…</w:t>
      </w:r>
    </w:p>
    <w:p w14:paraId="35871095"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3. Штурманская подготовка в большинстве частей, и особенно в истребительных, находится на низком уровне.</w:t>
      </w:r>
    </w:p>
    <w:p w14:paraId="1993F43B"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Знание основ навигации слабое. Происходит чрезмерно большое количество потерь ориентировки, в том числе и у руководящего командного состава.</w:t>
      </w:r>
    </w:p>
    <w:p w14:paraId="5C0D3594"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4. Как массовое явление — плохое знание материальной части летным и техническим составом. Летчики и часть командиров слабо знают данные своего самолета и мотора.</w:t>
      </w:r>
    </w:p>
    <w:p w14:paraId="01CD46CF"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Летчики, не зная материальной части, боятся контролировать работу технического состава.</w:t>
      </w:r>
    </w:p>
    <w:p w14:paraId="3B223716"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Командиры частей и подразделений, сами не зная материальной части самолета и мотора, не требуют и не проверяют знания подчиненного им состава…</w:t>
      </w:r>
    </w:p>
    <w:p w14:paraId="2AA81033"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Техническая учеба развернута слабо, а в ряде полков ее нет в течение всего лета, что приводит к плохому состоянию материальной части, к вььчету без горючего, с неснятыми струбцинками, незнанию, как аварийно выпустить шасси и как переключить краны бензобаков.</w:t>
      </w:r>
    </w:p>
    <w:p w14:paraId="0C8250C4"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5. Большое количество поломок, аварий и катастроф происходит при взлетах и посадках самолетов. Это говорит о том, что важные элементы техники пилотирования, взлет и посадка(!) у молодых летчиков не отработаны.</w:t>
      </w:r>
    </w:p>
    <w:p w14:paraId="7E6139AE"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6. Проверка техники пилотирования поставлена плохо, проводится нерегулярно и не в сроки, указанные № 69 НПП-38.</w:t>
      </w:r>
    </w:p>
    <w:p w14:paraId="72EEB72D"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Просмотр летных книжек показал, что ошибки, отмеченные при поверке техники пилотирования, не устраняются, а только фиксируются, т. е. сознательно происходит самое возмутительное безобразие, когда летчик с известными и неустраненными ошибками продолжает летать на более сложное задание, с ним не справляется, повторяет ошибки, бьет самолет и гибнет сам.</w:t>
      </w:r>
    </w:p>
    <w:p w14:paraId="4AF63A00"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7. В частях ВВС на должностях командиров полков, эскадрилий и звеньев находятся командиры, не имеющие достаточного опыта в руководстве частями и подразделениями.</w:t>
      </w:r>
    </w:p>
    <w:p w14:paraId="631BE731"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Командиры звеньев не имеют инструкторско-методического опыта, не умеют показать и научить своего подчиненного.</w:t>
      </w:r>
    </w:p>
    <w:p w14:paraId="408130CC" w14:textId="77777777" w:rsidR="00CC0C8B" w:rsidRPr="00DB5D0D" w:rsidRDefault="00CC0C8B" w:rsidP="00DB5D0D">
      <w:pPr>
        <w:spacing w:after="0" w:line="240" w:lineRule="auto"/>
        <w:jc w:val="both"/>
        <w:rPr>
          <w:rFonts w:ascii="Times New Roman" w:hAnsi="Times New Roman"/>
          <w:bCs/>
          <w:color w:val="000000" w:themeColor="text1"/>
          <w:sz w:val="16"/>
          <w:szCs w:val="16"/>
        </w:rPr>
      </w:pPr>
      <w:r w:rsidRPr="00DB5D0D">
        <w:rPr>
          <w:rFonts w:ascii="Times New Roman" w:hAnsi="Times New Roman"/>
          <w:bCs/>
          <w:color w:val="000000" w:themeColor="text1"/>
          <w:sz w:val="16"/>
          <w:szCs w:val="16"/>
        </w:rPr>
        <w:t>Командующие ВВС округов, командиры дивизий и полков не поняли необходимости особо учить и воспитывать кадры, а предоставили их самим себе. Это приводит к тому, что командир звена и эскадрильи не знает, как строить работу, допускает ошибки, порождающие аварийность» (12623).</w:t>
      </w:r>
    </w:p>
    <w:p w14:paraId="3739CE76" w14:textId="77777777" w:rsidR="00CC0C8B" w:rsidRPr="00DB5D0D" w:rsidRDefault="00CC0C8B" w:rsidP="00DB5D0D">
      <w:pPr>
        <w:spacing w:after="0" w:line="240" w:lineRule="auto"/>
        <w:jc w:val="both"/>
        <w:rPr>
          <w:rFonts w:ascii="Times New Roman" w:hAnsi="Times New Roman"/>
          <w:bCs/>
          <w:color w:val="000000" w:themeColor="text1"/>
          <w:sz w:val="16"/>
          <w:szCs w:val="16"/>
        </w:rPr>
      </w:pPr>
    </w:p>
    <w:p w14:paraId="3FB2623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396F315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9C4FA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ПРИКАЗОМ НКВД № 001060 (на основании постановлений Комитета Обороны при СНК СССР №№ 343сс и 344сс от 6 августа) для руководства строительством авиационных заводов было организовано Управление особого строительства НКВД СССР «с размещением управления в районе Безымянки Куйбышевской области». Начальником УОС был назначен зам. начальника ГУЛАГа старший майор ГБ А. П. Лепилов (по совместительству), первым заместителем начальника УОС - начальник Самарского ИТЛ и строительства Куйбышевского гидроузла майор ГБ П. В. Чистов (так же по совместительству); 25 сентября приказом № 001203 для обслуживания Особстроя будет организован Безымянский лагерь НКВД, а 11 октября приказом № 0441 расформированы управление строительства Куйбышевского гидроузла и Самарский лагерь.</w:t>
      </w:r>
    </w:p>
    <w:p w14:paraId="14D836A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5B5FDE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1D9B70B"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8500912" w14:textId="77777777" w:rsidR="00F91F6B" w:rsidRPr="00DB5D0D" w:rsidRDefault="00F91F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28 августа 1940 года</w:t>
      </w:r>
      <w:r w:rsidRPr="00DB5D0D">
        <w:rPr>
          <w:rFonts w:ascii="Times New Roman" w:hAnsi="Times New Roman"/>
          <w:color w:val="000000" w:themeColor="text1"/>
          <w:sz w:val="16"/>
          <w:szCs w:val="16"/>
        </w:rPr>
        <w:t xml:space="preserve"> Состоялся первый полет итальянского опытного самолета Caproni-Campini N.1, но он был воспринят всего лишь как любопытный эксперимент. Итальянский самолет Caproni-Campini N.1 (часто ошибочно называемый СС-2), в действительности не имел турбореактивного двигателя. В силовой установке этого самолета (автор Секондо Кампини) использовался поршневой двигатель Isotta Fraschini L.121/RC.40 мощностью 900 л. с., который приводил в движение компрессор, подающий воздух высокого давления в камеру сгорания (где происходили смешение сжатого воздуха с топливом, его последующее воспламенение, сгорание и истечение через реактивное сопло). В этом смысле Caproni-Campini N.1 являлся двухдвигательным самолетом, хотя для создания тяги использовался только один двигатель.В условиях отсутствия интереса со стороны официальных кругов дальнейшие работы над самолетом были прекращены. Этот двухместный самолет имел размах 15,85 м, площадь крыла 36 м2 и взлетную массу 4195 кг. Максимальная скорость полета составляла лишь 375 км/ч, что совершенно не характерно для настоящих реактивных самолетов, созданных вскоре после него (14752).</w:t>
      </w:r>
    </w:p>
    <w:p w14:paraId="4178DCEB" w14:textId="77777777" w:rsidR="00F91F6B" w:rsidRPr="00DB5D0D" w:rsidRDefault="00F91F6B" w:rsidP="00DB5D0D">
      <w:pPr>
        <w:spacing w:after="0" w:line="240" w:lineRule="auto"/>
        <w:jc w:val="both"/>
        <w:rPr>
          <w:rFonts w:ascii="Times New Roman" w:hAnsi="Times New Roman"/>
          <w:color w:val="000000" w:themeColor="text1"/>
          <w:sz w:val="16"/>
          <w:szCs w:val="16"/>
        </w:rPr>
      </w:pPr>
    </w:p>
    <w:p w14:paraId="54BFF3FE" w14:textId="77777777" w:rsidR="00F91F6B" w:rsidRPr="00DB5D0D" w:rsidRDefault="00F91F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 xml:space="preserve">28 августа </w:t>
      </w:r>
      <w:r w:rsidRPr="00DB5D0D">
        <w:rPr>
          <w:rFonts w:ascii="Times New Roman" w:hAnsi="Times New Roman"/>
          <w:color w:val="000000" w:themeColor="text1"/>
          <w:sz w:val="16"/>
          <w:szCs w:val="16"/>
        </w:rPr>
        <w:t>в 1940 году первый полет самолета «Капрони-Кампини N.1» с мотокомпрессорной установкой, Марио ди Бернарди. Самолет имел цельнометаллическую конструкцию. Цельнометаллический двухместный образец N.1 был оснащен звездообразным двигателем Изотта-Фрасчини, который приводил во вращение расположенный в трубе воздушный компрессор с лопастями переменного угла установки. Сжатый воздух от этого компрессора проходил через сопло с изменяемым проходным сечением задней части трубы, в которой могло сжигаться топливо для увеличения тяги. Однако даже с использованием досжигания топлива самолет имел максимальную скорость только в 375 км/час (233 миль/час). Здесь 1941 г. самолет пролетел 270 км со средней скоростью 209 км/час. Автором силовой установки был инженер Секондо Кампини (14752).</w:t>
      </w:r>
    </w:p>
    <w:p w14:paraId="63004232" w14:textId="77777777" w:rsidR="00F91F6B" w:rsidRPr="00DB5D0D" w:rsidRDefault="00F91F6B" w:rsidP="00DB5D0D">
      <w:pPr>
        <w:spacing w:after="0" w:line="240" w:lineRule="auto"/>
        <w:jc w:val="both"/>
        <w:rPr>
          <w:rFonts w:ascii="Times New Roman" w:hAnsi="Times New Roman"/>
          <w:color w:val="000000" w:themeColor="text1"/>
          <w:sz w:val="16"/>
          <w:szCs w:val="16"/>
        </w:rPr>
      </w:pPr>
    </w:p>
    <w:p w14:paraId="0A69579A"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28 августа 1940 выполнил первый полет Caproni-Campini N.1, самолет с термореактивным двигателем (20795).</w:t>
      </w:r>
    </w:p>
    <w:p w14:paraId="0652754F" w14:textId="77777777" w:rsidR="006D01B7" w:rsidRPr="00DB5D0D" w:rsidRDefault="006D01B7" w:rsidP="00DB5D0D">
      <w:pPr>
        <w:spacing w:after="0" w:line="240" w:lineRule="auto"/>
        <w:jc w:val="both"/>
        <w:rPr>
          <w:rFonts w:ascii="Times New Roman" w:hAnsi="Times New Roman"/>
          <w:color w:val="0070C0"/>
          <w:sz w:val="16"/>
          <w:szCs w:val="16"/>
        </w:rPr>
      </w:pPr>
    </w:p>
    <w:p w14:paraId="1BF859B9" w14:textId="77777777" w:rsidR="00F91F6B" w:rsidRPr="00DB5D0D" w:rsidRDefault="00F91F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первый полет выполнил Caproni-Campini Т 1 c комбинированной двигательной установкой (2240).</w:t>
      </w:r>
    </w:p>
    <w:p w14:paraId="2196D4B7" w14:textId="77777777" w:rsidR="00F91F6B" w:rsidRPr="00DB5D0D" w:rsidRDefault="00F91F6B" w:rsidP="00DB5D0D">
      <w:pPr>
        <w:spacing w:after="0" w:line="240" w:lineRule="auto"/>
        <w:jc w:val="both"/>
        <w:rPr>
          <w:rFonts w:ascii="Times New Roman" w:hAnsi="Times New Roman"/>
          <w:color w:val="000000" w:themeColor="text1"/>
          <w:sz w:val="16"/>
          <w:szCs w:val="16"/>
        </w:rPr>
      </w:pPr>
    </w:p>
    <w:p w14:paraId="326B476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немецкая авиация впервые бомбила Ливерпуль (4962).</w:t>
      </w:r>
    </w:p>
    <w:p w14:paraId="589EE28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62644F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28-29 августа 1940 англичане снова бомбили Берлин и были первые жертвы (2536,150).</w:t>
      </w:r>
    </w:p>
    <w:p w14:paraId="3D4B874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5922A41"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 xml:space="preserve">28 августа </w:t>
      </w:r>
      <w:r w:rsidRPr="00DB5D0D">
        <w:rPr>
          <w:rFonts w:ascii="Times New Roman" w:hAnsi="Times New Roman"/>
          <w:color w:val="000000" w:themeColor="text1"/>
          <w:sz w:val="16"/>
          <w:szCs w:val="16"/>
        </w:rPr>
        <w:t>в 1940 году французское радио сообщило, что во Франции отменяются законы, покровительствующие евреям (14752).</w:t>
      </w:r>
    </w:p>
    <w:p w14:paraId="236BC992"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7920A43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4493C21"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894AF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29 августа 1940 фактическая го</w:t>
      </w:r>
      <w:r w:rsidRPr="00DB5D0D">
        <w:rPr>
          <w:rFonts w:ascii="Times New Roman" w:hAnsi="Times New Roman"/>
          <w:color w:val="000000" w:themeColor="text1"/>
          <w:sz w:val="16"/>
          <w:szCs w:val="16"/>
        </w:rPr>
        <w:softHyphen/>
        <w:t>товность стендового экземпляра ОБШ П.О.С. составила 19% при плане 100%; экземпляра для статических испыта</w:t>
      </w:r>
      <w:r w:rsidRPr="00DB5D0D">
        <w:rPr>
          <w:rFonts w:ascii="Times New Roman" w:hAnsi="Times New Roman"/>
          <w:color w:val="000000" w:themeColor="text1"/>
          <w:sz w:val="16"/>
          <w:szCs w:val="16"/>
        </w:rPr>
        <w:softHyphen/>
        <w:t>ний - 33% при плане 100%; 1-го летного экземпляра - 21% при пла</w:t>
      </w:r>
      <w:r w:rsidRPr="00DB5D0D">
        <w:rPr>
          <w:rFonts w:ascii="Times New Roman" w:hAnsi="Times New Roman"/>
          <w:color w:val="000000" w:themeColor="text1"/>
          <w:sz w:val="16"/>
          <w:szCs w:val="16"/>
        </w:rPr>
        <w:softHyphen/>
        <w:t>не 85%; 2-го - 5% при плане 57% (11845).</w:t>
      </w:r>
    </w:p>
    <w:p w14:paraId="3B2F08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65756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был осмотрен и одобрен комиссией макет 103У 2АМ-37 А.Н.Т. "головастик" с носовой частью фюзеляжа, расширенной на 300 мм для размещения штурмана рядом с л (1835,14).</w:t>
      </w:r>
    </w:p>
    <w:p w14:paraId="2FB11DE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FCB64B9" w14:textId="77777777" w:rsidR="005C6740" w:rsidRPr="00DB5D0D" w:rsidRDefault="005C6740" w:rsidP="00DB5D0D">
      <w:pPr>
        <w:spacing w:after="0" w:line="240" w:lineRule="auto"/>
        <w:jc w:val="both"/>
        <w:rPr>
          <w:rFonts w:ascii="Times New Roman" w:hAnsi="Times New Roman"/>
          <w:color w:val="0070C0"/>
          <w:sz w:val="16"/>
          <w:szCs w:val="16"/>
          <w:lang w:eastAsia="ru-RU" w:bidi="ru-RU"/>
        </w:rPr>
      </w:pPr>
      <w:r w:rsidRPr="00DB5D0D">
        <w:rPr>
          <w:rFonts w:ascii="Times New Roman" w:hAnsi="Times New Roman"/>
          <w:color w:val="0070C0"/>
          <w:sz w:val="16"/>
          <w:szCs w:val="16"/>
          <w:lang w:eastAsia="ru-RU" w:bidi="ru-RU"/>
        </w:rPr>
        <w:t>29 августа 1940 г. протокол макетной комиссии по 103 или АНТ-58 утвердил новый начальник ВВС генерал-лейтенант П.В. Рычагов (21061).</w:t>
      </w:r>
    </w:p>
    <w:p w14:paraId="48E3EED7" w14:textId="77777777" w:rsidR="005C6740" w:rsidRPr="00DB5D0D" w:rsidRDefault="005C6740" w:rsidP="00DB5D0D">
      <w:pPr>
        <w:spacing w:after="0" w:line="240" w:lineRule="auto"/>
        <w:jc w:val="both"/>
        <w:rPr>
          <w:rFonts w:ascii="Times New Roman" w:hAnsi="Times New Roman"/>
          <w:color w:val="0070C0"/>
          <w:sz w:val="16"/>
          <w:szCs w:val="16"/>
        </w:rPr>
      </w:pPr>
    </w:p>
    <w:p w14:paraId="38D5C3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29 августа 1940 П.В.Рычаговым был утвержден Протокол макетной комиссии (второй) по 103 и решили АМ-37 с ВИШ-61 вместо М-120 от 23 августа 1940 </w:t>
      </w:r>
    </w:p>
    <w:p w14:paraId="7BC533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гла Арженухин (нач. Штаба ВВС)</w:t>
      </w:r>
    </w:p>
    <w:p w14:paraId="575610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 комиссии: Филин, Теплинский, Платов, Цветков, Нюхтиков, Опадчий, Мируц, Ссорин, Бровко, Иванов, Пономарев, Кравченко, Куьепов, Балакирев от НКВД и конструкторы</w:t>
      </w:r>
    </w:p>
    <w:p w14:paraId="1BC74F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Подпись Кутепова от 30 августа (780,27).</w:t>
      </w:r>
    </w:p>
    <w:p w14:paraId="4835D89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4C26E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в ходе гос. испытаний УТИ-26 в НИИ ВВС, которые проходили с 29 августа по 19 сентября 1940, Стефановский и Кувшинников произвели ознакомительные полеты над аэродромом НИИ с управлением как из передней, так и задней кабины. задание не выполнено из-за порчи хвостового колеса (2944).</w:t>
      </w:r>
    </w:p>
    <w:p w14:paraId="42058D3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A08622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29 августа по 12 сентября 1940 года самолет МиГ с АМ-35А находился на гос. испытаниях в НИИ ВВС. Испытания выдержал и внедрен в серийное производство (4048, 4).</w:t>
      </w:r>
    </w:p>
    <w:p w14:paraId="5EAA822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4E50FCE5"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29 августа 1940 года</w:t>
      </w:r>
      <w:r w:rsidRPr="00DB5D0D">
        <w:rPr>
          <w:rFonts w:ascii="Times New Roman" w:hAnsi="Times New Roman"/>
          <w:color w:val="000000" w:themeColor="text1"/>
          <w:sz w:val="16"/>
          <w:szCs w:val="16"/>
        </w:rPr>
        <w:t xml:space="preserve"> И-200 №02 и И-200 №03 поступили на государственные испытания, завершившиеся 12 сентября с удовлетворительными результатами. В ходе их на высоте 7200 м была достигнута максимальная скорость 628 км/ч (14753).</w:t>
      </w:r>
    </w:p>
    <w:p w14:paraId="1402C366"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490ECA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29 августа 1940 по 12 сентября проходили гос. испытания И-200 (65,17). Второй экземпляр, 83 полета общей продолжительностью 24 час. 15 мин., 10 (9 - 1084,19) летных дней, 2 дня ремонта самолета и 2 дня ремонта двигателя. Летали: вл С.П.Супрун, А.Г.Кубышкин, Лазарев (2925), в инженер - А.В.Никифоров (Никитченко - 2925), облетывали А.И.Филин, А.И.Кабанов, П.М.Стефановский (699). В т.ч. наземные - 1 д., летные - 10 дн., ремонт - 2 дн. (709). Сразу после этого приняли на вооружение и подписал П.В.Рычагов зафиксировав скорость 628 км/ч (1084,19).</w:t>
      </w:r>
    </w:p>
    <w:p w14:paraId="57716A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3500C0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Проверка ЛТД</w:t>
      </w:r>
    </w:p>
    <w:p w14:paraId="78DAC4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Определение управляемости, устойчивости и маневренности</w:t>
      </w:r>
    </w:p>
    <w:p w14:paraId="7BA266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Летные испытания опытного мотора АМ-35А на И-200</w:t>
      </w:r>
    </w:p>
    <w:p w14:paraId="205541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Выявление эксплуатационных дефектов</w:t>
      </w:r>
    </w:p>
    <w:p w14:paraId="01C1FD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Испытание стрелкового и бомбардировочного вооружения</w:t>
      </w:r>
    </w:p>
    <w:p w14:paraId="0A2006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Проверка штопорных свойств и пикирования</w:t>
      </w:r>
    </w:p>
    <w:p w14:paraId="09B3F8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Испытание спецоборудования.</w:t>
      </w:r>
    </w:p>
    <w:p w14:paraId="584291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конструкции А.И.М. производства завода 1.</w:t>
      </w:r>
    </w:p>
    <w:p w14:paraId="0CDC3F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предъявления: 1-го экз. - 1 июля, 2-го - 15 июля, 3-го - 1 августа</w:t>
      </w:r>
    </w:p>
    <w:p w14:paraId="787ACC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 испытания принято 2 экз. с АМ-35А для использования в качестве скоростного истребителя - NN 6302 и 6303 (2925).</w:t>
      </w:r>
    </w:p>
    <w:p w14:paraId="1A14C27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97540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в НИИ ВВС поступил на гос. испытания И-200 в двух экземплярах с АМ-35А и испытания продолжались до 12 сентября. Выполнили 83 полета и налетали 24 час. 15 мин. Отв. исп. П.С.Никитченко. Летали С.П.Супрун и А.Г.Кубышкин (837,22).</w:t>
      </w:r>
    </w:p>
    <w:p w14:paraId="1241C05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F7CCB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в ходе гос. испытаний И-200 АМ-35А, которые проходили в НИИ ВВС с 19 августа по 12 сентября 1940 на машине N 6302 был выполнен полет на определение температурных режимов (0:25), а на машине 6303 - полет на отстрел вооружения в воздухе в течение 20 мин. и сожгли и заменили ШКАСы (2925).</w:t>
      </w:r>
    </w:p>
    <w:p w14:paraId="7196190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64AEC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г. начались государственные испытания второго и тре</w:t>
      </w:r>
      <w:r w:rsidRPr="00DB5D0D">
        <w:rPr>
          <w:rFonts w:ascii="Times New Roman" w:hAnsi="Times New Roman"/>
          <w:color w:val="000000" w:themeColor="text1"/>
          <w:sz w:val="16"/>
          <w:szCs w:val="16"/>
        </w:rPr>
        <w:softHyphen/>
        <w:t>тьего опытных экземпляров истреби</w:t>
      </w:r>
      <w:r w:rsidRPr="00DB5D0D">
        <w:rPr>
          <w:rFonts w:ascii="Times New Roman" w:hAnsi="Times New Roman"/>
          <w:color w:val="000000" w:themeColor="text1"/>
          <w:sz w:val="16"/>
          <w:szCs w:val="16"/>
        </w:rPr>
        <w:softHyphen/>
        <w:t>теля И-200, которые 28 августа перегнали в НИИ ВВС КА. завершились 12 сентября. На состоявшемся на сле</w:t>
      </w:r>
      <w:r w:rsidRPr="00DB5D0D">
        <w:rPr>
          <w:rFonts w:ascii="Times New Roman" w:hAnsi="Times New Roman"/>
          <w:color w:val="000000" w:themeColor="text1"/>
          <w:sz w:val="16"/>
          <w:szCs w:val="16"/>
        </w:rPr>
        <w:softHyphen/>
        <w:t>дующий день заседании Техничес</w:t>
      </w:r>
      <w:r w:rsidRPr="00DB5D0D">
        <w:rPr>
          <w:rFonts w:ascii="Times New Roman" w:hAnsi="Times New Roman"/>
          <w:color w:val="000000" w:themeColor="text1"/>
          <w:sz w:val="16"/>
          <w:szCs w:val="16"/>
        </w:rPr>
        <w:softHyphen/>
        <w:t>кого совета при НИИ ВВС КА рас</w:t>
      </w:r>
      <w:r w:rsidRPr="00DB5D0D">
        <w:rPr>
          <w:rFonts w:ascii="Times New Roman" w:hAnsi="Times New Roman"/>
          <w:color w:val="000000" w:themeColor="text1"/>
          <w:sz w:val="16"/>
          <w:szCs w:val="16"/>
        </w:rPr>
        <w:softHyphen/>
        <w:t>смотрели все достоинства и недо</w:t>
      </w:r>
      <w:r w:rsidRPr="00DB5D0D">
        <w:rPr>
          <w:rFonts w:ascii="Times New Roman" w:hAnsi="Times New Roman"/>
          <w:color w:val="000000" w:themeColor="text1"/>
          <w:sz w:val="16"/>
          <w:szCs w:val="16"/>
        </w:rPr>
        <w:softHyphen/>
        <w:t>статки самолёта, а также вырабо</w:t>
      </w:r>
      <w:r w:rsidRPr="00DB5D0D">
        <w:rPr>
          <w:rFonts w:ascii="Times New Roman" w:hAnsi="Times New Roman"/>
          <w:color w:val="000000" w:themeColor="text1"/>
          <w:sz w:val="16"/>
          <w:szCs w:val="16"/>
        </w:rPr>
        <w:softHyphen/>
        <w:t>тали основные мероприятия, на</w:t>
      </w:r>
      <w:r w:rsidRPr="00DB5D0D">
        <w:rPr>
          <w:rFonts w:ascii="Times New Roman" w:hAnsi="Times New Roman"/>
          <w:color w:val="000000" w:themeColor="text1"/>
          <w:sz w:val="16"/>
          <w:szCs w:val="16"/>
        </w:rPr>
        <w:softHyphen/>
        <w:t>правленные на его улучшение. В целом машина у военных получила положительную оценку. Ведущий лётчик-испытатель С.П. Супрун от</w:t>
      </w:r>
      <w:r w:rsidRPr="00DB5D0D">
        <w:rPr>
          <w:rFonts w:ascii="Times New Roman" w:hAnsi="Times New Roman"/>
          <w:color w:val="000000" w:themeColor="text1"/>
          <w:sz w:val="16"/>
          <w:szCs w:val="16"/>
        </w:rPr>
        <w:softHyphen/>
        <w:t>метил, что И-200 «является самым доведённым самолётом при поступ</w:t>
      </w:r>
      <w:r w:rsidRPr="00DB5D0D">
        <w:rPr>
          <w:rFonts w:ascii="Times New Roman" w:hAnsi="Times New Roman"/>
          <w:color w:val="000000" w:themeColor="text1"/>
          <w:sz w:val="16"/>
          <w:szCs w:val="16"/>
        </w:rPr>
        <w:softHyphen/>
        <w:t>лении его на государственные ис</w:t>
      </w:r>
      <w:r w:rsidRPr="00DB5D0D">
        <w:rPr>
          <w:rFonts w:ascii="Times New Roman" w:hAnsi="Times New Roman"/>
          <w:color w:val="000000" w:themeColor="text1"/>
          <w:sz w:val="16"/>
          <w:szCs w:val="16"/>
        </w:rPr>
        <w:softHyphen/>
        <w:t>пытания, которые опытный самолёт прошёл хорошо». И это были не пу</w:t>
      </w:r>
      <w:r w:rsidRPr="00DB5D0D">
        <w:rPr>
          <w:rFonts w:ascii="Times New Roman" w:hAnsi="Times New Roman"/>
          <w:color w:val="000000" w:themeColor="text1"/>
          <w:sz w:val="16"/>
          <w:szCs w:val="16"/>
        </w:rPr>
        <w:softHyphen/>
        <w:t>стые слова. И-200 сдал государ</w:t>
      </w:r>
      <w:r w:rsidRPr="00DB5D0D">
        <w:rPr>
          <w:rFonts w:ascii="Times New Roman" w:hAnsi="Times New Roman"/>
          <w:color w:val="000000" w:themeColor="text1"/>
          <w:sz w:val="16"/>
          <w:szCs w:val="16"/>
        </w:rPr>
        <w:softHyphen/>
        <w:t>ственный экзамен с первого раза, в то время как его собратьям в этом плане не везло. И-26 его пришлось сдавать два раза. И-301 первый раз тоже получил неудовлетворитель</w:t>
      </w:r>
      <w:r w:rsidRPr="00DB5D0D">
        <w:rPr>
          <w:rFonts w:ascii="Times New Roman" w:hAnsi="Times New Roman"/>
          <w:color w:val="000000" w:themeColor="text1"/>
          <w:sz w:val="16"/>
          <w:szCs w:val="16"/>
        </w:rPr>
        <w:softHyphen/>
        <w:t>ную оценку, а переэкзаменовка так и не состоялась. И-180 из-за ава</w:t>
      </w:r>
      <w:r w:rsidRPr="00DB5D0D">
        <w:rPr>
          <w:rFonts w:ascii="Times New Roman" w:hAnsi="Times New Roman"/>
          <w:color w:val="000000" w:themeColor="text1"/>
          <w:sz w:val="16"/>
          <w:szCs w:val="16"/>
        </w:rPr>
        <w:softHyphen/>
        <w:t>рии, приведшей к гибели самолёта, сдать его не смог. Кроме этого за время заводских и государственных испытаний И-200 не потеряли ни одного самолёта и ни одного лёт</w:t>
      </w:r>
      <w:r w:rsidRPr="00DB5D0D">
        <w:rPr>
          <w:rFonts w:ascii="Times New Roman" w:hAnsi="Times New Roman"/>
          <w:color w:val="000000" w:themeColor="text1"/>
          <w:sz w:val="16"/>
          <w:szCs w:val="16"/>
        </w:rPr>
        <w:softHyphen/>
        <w:t>чика. В то время как на испытаниях И-26 потерпел катастрофу первый опытный экземпляр и погиб лётчик-испытатель Ю.И Пионтковский. А во время испытаний И-180 потеряны все три опытные машины и погибли лётчики-испытатели В.П. Чкалов и Т.П. Сузи.</w:t>
      </w:r>
    </w:p>
    <w:p w14:paraId="2372C92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выводах отчёта по результа</w:t>
      </w:r>
      <w:r w:rsidRPr="00DB5D0D">
        <w:rPr>
          <w:rFonts w:ascii="Times New Roman" w:hAnsi="Times New Roman"/>
          <w:color w:val="000000" w:themeColor="text1"/>
          <w:sz w:val="16"/>
          <w:szCs w:val="16"/>
        </w:rPr>
        <w:softHyphen/>
        <w:t>там госиспытаний, утвержденного 20 сентября 1940 г. начальником ВВС КА генерал-лейтенантом авиа</w:t>
      </w:r>
      <w:r w:rsidRPr="00DB5D0D">
        <w:rPr>
          <w:rFonts w:ascii="Times New Roman" w:hAnsi="Times New Roman"/>
          <w:color w:val="000000" w:themeColor="text1"/>
          <w:sz w:val="16"/>
          <w:szCs w:val="16"/>
        </w:rPr>
        <w:softHyphen/>
        <w:t>ции П.В. Рычаговым, отмечалось, что «самолёт И-200 АМ-35А конструк</w:t>
      </w:r>
      <w:r w:rsidRPr="00DB5D0D">
        <w:rPr>
          <w:rFonts w:ascii="Times New Roman" w:hAnsi="Times New Roman"/>
          <w:color w:val="000000" w:themeColor="text1"/>
          <w:sz w:val="16"/>
          <w:szCs w:val="16"/>
        </w:rPr>
        <w:softHyphen/>
        <w:t>ции инженеров Микояна и Гуреви-ча производства завода №1, по своей скорости, равной 628 км/ч, является лучшим из отечественных опытных самолётов и не уступает однотипным иностранным самолё</w:t>
      </w:r>
      <w:r w:rsidRPr="00DB5D0D">
        <w:rPr>
          <w:rFonts w:ascii="Times New Roman" w:hAnsi="Times New Roman"/>
          <w:color w:val="000000" w:themeColor="text1"/>
          <w:sz w:val="16"/>
          <w:szCs w:val="16"/>
        </w:rPr>
        <w:softHyphen/>
        <w:t>там на высотах выше 5000 м».</w:t>
      </w:r>
    </w:p>
    <w:p w14:paraId="059CBB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Стоит отметить, что в принципе ВВС КА получали истребитель, ко</w:t>
      </w:r>
      <w:r w:rsidRPr="00DB5D0D">
        <w:rPr>
          <w:rFonts w:ascii="Times New Roman" w:hAnsi="Times New Roman"/>
          <w:color w:val="000000" w:themeColor="text1"/>
          <w:sz w:val="16"/>
          <w:szCs w:val="16"/>
        </w:rPr>
        <w:softHyphen/>
        <w:t>торый хотели военные. Основные требования к новым боевым само</w:t>
      </w:r>
      <w:r w:rsidRPr="00DB5D0D">
        <w:rPr>
          <w:rFonts w:ascii="Times New Roman" w:hAnsi="Times New Roman"/>
          <w:color w:val="000000" w:themeColor="text1"/>
          <w:sz w:val="16"/>
          <w:szCs w:val="16"/>
        </w:rPr>
        <w:softHyphen/>
        <w:t>лётам они сформулировали вско</w:t>
      </w:r>
      <w:r w:rsidRPr="00DB5D0D">
        <w:rPr>
          <w:rFonts w:ascii="Times New Roman" w:hAnsi="Times New Roman"/>
          <w:color w:val="000000" w:themeColor="text1"/>
          <w:sz w:val="16"/>
          <w:szCs w:val="16"/>
        </w:rPr>
        <w:softHyphen/>
        <w:t>ре после нападения фашисткой Гер</w:t>
      </w:r>
      <w:r w:rsidRPr="00DB5D0D">
        <w:rPr>
          <w:rFonts w:ascii="Times New Roman" w:hAnsi="Times New Roman"/>
          <w:color w:val="000000" w:themeColor="text1"/>
          <w:sz w:val="16"/>
          <w:szCs w:val="16"/>
        </w:rPr>
        <w:softHyphen/>
        <w:t>мании на Польшу (11761).</w:t>
      </w:r>
    </w:p>
    <w:p w14:paraId="68D8F7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69AC1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г. Замнаркома Яковлев в справке по новым истребителям оценил И-200 положительно: "Летные данные высокие, взлетно-посадочные - хорошие, продольная устойчивость нейтральная. Возможна агрегатная сборка для крупной серии. Есть перспектива на новый мотор...". Для сравнения, о собственном И-26 он написал: "Не выдержал испытаний. Недостаточна прочность. Недоведенность..." (11938).</w:t>
      </w:r>
    </w:p>
    <w:p w14:paraId="59ED501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255A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Зам. Нач. ЦИАМ по НТЧ Левин и Ст. Военпред НИИ ВВС РККА при ЦИАМ ви1р Наумов утвердили О Т Ч Е Т № 740</w:t>
      </w:r>
    </w:p>
    <w:p w14:paraId="33FD19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ДОВОДКЕ и ЛЕТНЫХ ИСШТАНИЯХ ТУРБОКОМПРЕССОРА ТК-1 НА САМОЛЕТЕ И-153 с МОТОРОМ М-63.</w:t>
      </w:r>
    </w:p>
    <w:p w14:paraId="0FC2E0C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 Самолет И-153, 69 серии, завода №</w:t>
      </w:r>
    </w:p>
    <w:p w14:paraId="4236DC6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оборудован опытными турбокомпрессорами ЦИАМ /см.фиг 1-5/. Имеет вооружение нормального серийного самолета и снабжен бензосистемой в крыле для подвесных бензобаков. В отличие от серийных машин фюзеляж самолета обшит с боков дю</w:t>
      </w:r>
      <w:r w:rsidRPr="00DB5D0D">
        <w:rPr>
          <w:rFonts w:ascii="Times New Roman" w:hAnsi="Times New Roman"/>
          <w:color w:val="000000" w:themeColor="text1"/>
          <w:sz w:val="16"/>
          <w:szCs w:val="16"/>
        </w:rPr>
        <w:softHyphen/>
        <w:t>ралем для предохранения обшивши от действия выхлопных газов.</w:t>
      </w:r>
    </w:p>
    <w:p w14:paraId="4DB35E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полетный вес входит: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7D5DF8" w:rsidRPr="00DB5D0D" w14:paraId="2D38AA44" w14:textId="77777777" w:rsidTr="00E543D0">
        <w:tc>
          <w:tcPr>
            <w:tcW w:w="4788" w:type="dxa"/>
            <w:tcBorders>
              <w:top w:val="single" w:sz="12" w:space="0" w:color="auto"/>
            </w:tcBorders>
            <w:shd w:val="clear" w:color="auto" w:fill="FFFFFF"/>
          </w:tcPr>
          <w:p w14:paraId="753D15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вес пустого самолета</w:t>
            </w:r>
          </w:p>
        </w:tc>
        <w:tc>
          <w:tcPr>
            <w:tcW w:w="4788" w:type="dxa"/>
            <w:tcBorders>
              <w:top w:val="single" w:sz="12" w:space="0" w:color="auto"/>
            </w:tcBorders>
            <w:shd w:val="clear" w:color="auto" w:fill="FFFFFF"/>
          </w:tcPr>
          <w:p w14:paraId="4372FBF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7578080" w14:textId="77777777" w:rsidTr="00E543D0">
        <w:tc>
          <w:tcPr>
            <w:tcW w:w="4788" w:type="dxa"/>
            <w:shd w:val="clear" w:color="auto" w:fill="FFFFFF"/>
          </w:tcPr>
          <w:p w14:paraId="71E8B8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бензин - 240 кг</w:t>
            </w:r>
          </w:p>
        </w:tc>
        <w:tc>
          <w:tcPr>
            <w:tcW w:w="4788" w:type="dxa"/>
            <w:shd w:val="clear" w:color="auto" w:fill="FFFFFF"/>
          </w:tcPr>
          <w:p w14:paraId="07F684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 кг</w:t>
            </w:r>
          </w:p>
        </w:tc>
      </w:tr>
      <w:tr w:rsidR="007D5DF8" w:rsidRPr="00DB5D0D" w14:paraId="09696810" w14:textId="77777777" w:rsidTr="00E543D0">
        <w:tc>
          <w:tcPr>
            <w:tcW w:w="4788" w:type="dxa"/>
            <w:shd w:val="clear" w:color="auto" w:fill="FFFFFF"/>
          </w:tcPr>
          <w:p w14:paraId="12E96B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масло</w:t>
            </w:r>
          </w:p>
        </w:tc>
        <w:tc>
          <w:tcPr>
            <w:tcW w:w="4788" w:type="dxa"/>
            <w:shd w:val="clear" w:color="auto" w:fill="FFFFFF"/>
          </w:tcPr>
          <w:p w14:paraId="1FD354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кг</w:t>
            </w:r>
          </w:p>
        </w:tc>
      </w:tr>
      <w:tr w:rsidR="007D5DF8" w:rsidRPr="00DB5D0D" w14:paraId="50D2F861" w14:textId="77777777" w:rsidTr="00E543D0">
        <w:tc>
          <w:tcPr>
            <w:tcW w:w="4788" w:type="dxa"/>
            <w:shd w:val="clear" w:color="auto" w:fill="FFFFFF"/>
          </w:tcPr>
          <w:p w14:paraId="2BC9DF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летчик</w:t>
            </w:r>
          </w:p>
        </w:tc>
        <w:tc>
          <w:tcPr>
            <w:tcW w:w="4788" w:type="dxa"/>
            <w:shd w:val="clear" w:color="auto" w:fill="FFFFFF"/>
          </w:tcPr>
          <w:p w14:paraId="7A9568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 кг</w:t>
            </w:r>
          </w:p>
        </w:tc>
      </w:tr>
      <w:tr w:rsidR="007D5DF8" w:rsidRPr="00DB5D0D" w14:paraId="487C8876" w14:textId="77777777" w:rsidTr="00E543D0">
        <w:tc>
          <w:tcPr>
            <w:tcW w:w="4788" w:type="dxa"/>
            <w:shd w:val="clear" w:color="auto" w:fill="FFFFFF"/>
          </w:tcPr>
          <w:p w14:paraId="488F8D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парашют</w:t>
            </w:r>
          </w:p>
        </w:tc>
        <w:tc>
          <w:tcPr>
            <w:tcW w:w="4788" w:type="dxa"/>
            <w:shd w:val="clear" w:color="auto" w:fill="FFFFFF"/>
          </w:tcPr>
          <w:p w14:paraId="463A5F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 кг</w:t>
            </w:r>
          </w:p>
        </w:tc>
      </w:tr>
      <w:tr w:rsidR="007D5DF8" w:rsidRPr="00DB5D0D" w14:paraId="473C6764" w14:textId="77777777" w:rsidTr="00E543D0">
        <w:tc>
          <w:tcPr>
            <w:tcW w:w="4788" w:type="dxa"/>
            <w:shd w:val="clear" w:color="auto" w:fill="FFFFFF"/>
          </w:tcPr>
          <w:p w14:paraId="6C8BF5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приборы-самописцы</w:t>
            </w:r>
          </w:p>
        </w:tc>
        <w:tc>
          <w:tcPr>
            <w:tcW w:w="4788" w:type="dxa"/>
            <w:shd w:val="clear" w:color="auto" w:fill="FFFFFF"/>
          </w:tcPr>
          <w:p w14:paraId="504D79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кг</w:t>
            </w:r>
          </w:p>
        </w:tc>
      </w:tr>
      <w:tr w:rsidR="007D5DF8" w:rsidRPr="00DB5D0D" w14:paraId="735EFA24" w14:textId="77777777" w:rsidTr="00E543D0">
        <w:tc>
          <w:tcPr>
            <w:tcW w:w="4788" w:type="dxa"/>
            <w:tcBorders>
              <w:bottom w:val="single" w:sz="12" w:space="0" w:color="auto"/>
            </w:tcBorders>
            <w:shd w:val="clear" w:color="auto" w:fill="FFFFFF"/>
          </w:tcPr>
          <w:p w14:paraId="735753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пш испытаниях</w:t>
            </w:r>
          </w:p>
        </w:tc>
        <w:tc>
          <w:tcPr>
            <w:tcW w:w="4788" w:type="dxa"/>
            <w:tcBorders>
              <w:bottom w:val="single" w:sz="12" w:space="0" w:color="auto"/>
            </w:tcBorders>
            <w:shd w:val="clear" w:color="auto" w:fill="FFFFFF"/>
          </w:tcPr>
          <w:p w14:paraId="782660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1950</w:t>
            </w:r>
          </w:p>
        </w:tc>
      </w:tr>
    </w:tbl>
    <w:p w14:paraId="1DAF1AA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Центровка</w:t>
      </w:r>
    </w:p>
    <w:p w14:paraId="619E88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Центр тяжести с выпущенными шасси выгоревшим горючим и без патронов - 23,3% Сах, с убранными шасси - 29,6% Сах</w:t>
      </w:r>
    </w:p>
    <w:p w14:paraId="19DFFA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дополнительной программе были проведены следующие по</w:t>
      </w:r>
      <w:r w:rsidRPr="00DB5D0D">
        <w:rPr>
          <w:rFonts w:ascii="Times New Roman" w:hAnsi="Times New Roman"/>
          <w:color w:val="000000" w:themeColor="text1"/>
          <w:sz w:val="16"/>
          <w:szCs w:val="16"/>
        </w:rPr>
        <w:softHyphen/>
        <w:t>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98"/>
        <w:gridCol w:w="2790"/>
        <w:gridCol w:w="1170"/>
        <w:gridCol w:w="1170"/>
        <w:gridCol w:w="1962"/>
      </w:tblGrid>
      <w:tr w:rsidR="007D5DF8" w:rsidRPr="00DB5D0D" w14:paraId="505A0EDB" w14:textId="77777777" w:rsidTr="00E543D0">
        <w:tc>
          <w:tcPr>
            <w:tcW w:w="1098" w:type="dxa"/>
            <w:tcBorders>
              <w:top w:val="single" w:sz="12" w:space="0" w:color="auto"/>
            </w:tcBorders>
          </w:tcPr>
          <w:p w14:paraId="40884C7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Год, месяц и число</w:t>
            </w:r>
          </w:p>
        </w:tc>
        <w:tc>
          <w:tcPr>
            <w:tcW w:w="2790" w:type="dxa"/>
            <w:tcBorders>
              <w:top w:val="single" w:sz="12" w:space="0" w:color="auto"/>
            </w:tcBorders>
          </w:tcPr>
          <w:p w14:paraId="47E959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работы</w:t>
            </w:r>
          </w:p>
        </w:tc>
        <w:tc>
          <w:tcPr>
            <w:tcW w:w="1170" w:type="dxa"/>
            <w:tcBorders>
              <w:top w:val="single" w:sz="12" w:space="0" w:color="auto"/>
            </w:tcBorders>
          </w:tcPr>
          <w:p w14:paraId="5E2403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Количество полетов</w:t>
            </w:r>
          </w:p>
        </w:tc>
        <w:tc>
          <w:tcPr>
            <w:tcW w:w="1170" w:type="dxa"/>
            <w:tcBorders>
              <w:top w:val="single" w:sz="12" w:space="0" w:color="auto"/>
            </w:tcBorders>
          </w:tcPr>
          <w:p w14:paraId="26B1762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Продолжительность полета</w:t>
            </w:r>
          </w:p>
        </w:tc>
        <w:tc>
          <w:tcPr>
            <w:tcW w:w="1962" w:type="dxa"/>
            <w:tcBorders>
              <w:top w:val="single" w:sz="12" w:space="0" w:color="auto"/>
            </w:tcBorders>
          </w:tcPr>
          <w:p w14:paraId="010FA5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Примечание</w:t>
            </w:r>
          </w:p>
        </w:tc>
      </w:tr>
      <w:tr w:rsidR="007D5DF8" w:rsidRPr="00DB5D0D" w14:paraId="6EC0020A" w14:textId="77777777" w:rsidTr="00E543D0">
        <w:tc>
          <w:tcPr>
            <w:tcW w:w="1098" w:type="dxa"/>
          </w:tcPr>
          <w:p w14:paraId="29F8DB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6.УП.40 г.</w:t>
            </w:r>
          </w:p>
        </w:tc>
        <w:tc>
          <w:tcPr>
            <w:tcW w:w="2790" w:type="dxa"/>
          </w:tcPr>
          <w:p w14:paraId="4AF756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7500 ми</w:t>
            </w:r>
          </w:p>
        </w:tc>
        <w:tc>
          <w:tcPr>
            <w:tcW w:w="1170" w:type="dxa"/>
          </w:tcPr>
          <w:p w14:paraId="0DCFF6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полет</w:t>
            </w:r>
          </w:p>
        </w:tc>
        <w:tc>
          <w:tcPr>
            <w:tcW w:w="1170" w:type="dxa"/>
          </w:tcPr>
          <w:p w14:paraId="7E3B21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 мин.</w:t>
            </w:r>
          </w:p>
        </w:tc>
        <w:tc>
          <w:tcPr>
            <w:tcW w:w="1962" w:type="dxa"/>
          </w:tcPr>
          <w:p w14:paraId="3D75E4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Было об</w:t>
            </w:r>
            <w:r w:rsidRPr="00DB5D0D">
              <w:rPr>
                <w:rFonts w:ascii="Times New Roman" w:hAnsi="Times New Roman"/>
                <w:color w:val="000000" w:themeColor="text1"/>
                <w:sz w:val="16"/>
                <w:szCs w:val="16"/>
              </w:rPr>
              <w:softHyphen/>
              <w:t>наружено что ста</w:t>
            </w:r>
            <w:r w:rsidRPr="00DB5D0D">
              <w:rPr>
                <w:rFonts w:ascii="Times New Roman" w:hAnsi="Times New Roman"/>
                <w:color w:val="000000" w:themeColor="text1"/>
                <w:sz w:val="16"/>
                <w:szCs w:val="16"/>
              </w:rPr>
              <w:softHyphen/>
              <w:t>тическая проводка указател скорости травит</w:t>
            </w:r>
          </w:p>
        </w:tc>
      </w:tr>
      <w:tr w:rsidR="007D5DF8" w:rsidRPr="00DB5D0D" w14:paraId="18BA7C97" w14:textId="77777777" w:rsidTr="00E543D0">
        <w:tc>
          <w:tcPr>
            <w:tcW w:w="1098" w:type="dxa"/>
          </w:tcPr>
          <w:p w14:paraId="571B3C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10.УП.40</w:t>
            </w:r>
          </w:p>
        </w:tc>
        <w:tc>
          <w:tcPr>
            <w:tcW w:w="2790" w:type="dxa"/>
          </w:tcPr>
          <w:p w14:paraId="4AEB34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мт</w:t>
            </w:r>
          </w:p>
        </w:tc>
        <w:tc>
          <w:tcPr>
            <w:tcW w:w="1170" w:type="dxa"/>
          </w:tcPr>
          <w:p w14:paraId="3C382D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I полет</w:t>
            </w:r>
          </w:p>
        </w:tc>
        <w:tc>
          <w:tcPr>
            <w:tcW w:w="1170" w:type="dxa"/>
          </w:tcPr>
          <w:p w14:paraId="524257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1962" w:type="dxa"/>
          </w:tcPr>
          <w:p w14:paraId="5629B2B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395418C" w14:textId="77777777" w:rsidTr="00E543D0">
        <w:tc>
          <w:tcPr>
            <w:tcW w:w="1098" w:type="dxa"/>
          </w:tcPr>
          <w:p w14:paraId="454A59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11.УП.40</w:t>
            </w:r>
          </w:p>
        </w:tc>
        <w:tc>
          <w:tcPr>
            <w:tcW w:w="2790" w:type="dxa"/>
          </w:tcPr>
          <w:p w14:paraId="50531A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8000 мт</w:t>
            </w:r>
          </w:p>
        </w:tc>
        <w:tc>
          <w:tcPr>
            <w:tcW w:w="1170" w:type="dxa"/>
          </w:tcPr>
          <w:p w14:paraId="1F2F78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170" w:type="dxa"/>
          </w:tcPr>
          <w:p w14:paraId="7B3962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w:t>
            </w:r>
          </w:p>
        </w:tc>
        <w:tc>
          <w:tcPr>
            <w:tcW w:w="1962" w:type="dxa"/>
          </w:tcPr>
          <w:p w14:paraId="6380E9C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86DC4A3" w14:textId="77777777" w:rsidTr="00E543D0">
        <w:tc>
          <w:tcPr>
            <w:tcW w:w="1098" w:type="dxa"/>
            <w:tcBorders>
              <w:bottom w:val="single" w:sz="12" w:space="0" w:color="auto"/>
            </w:tcBorders>
          </w:tcPr>
          <w:p w14:paraId="700071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12.УП.40</w:t>
            </w:r>
          </w:p>
        </w:tc>
        <w:tc>
          <w:tcPr>
            <w:tcW w:w="2790" w:type="dxa"/>
            <w:tcBorders>
              <w:bottom w:val="single" w:sz="12" w:space="0" w:color="auto"/>
            </w:tcBorders>
          </w:tcPr>
          <w:p w14:paraId="5C1F51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километраж</w:t>
            </w:r>
          </w:p>
        </w:tc>
        <w:tc>
          <w:tcPr>
            <w:tcW w:w="1170" w:type="dxa"/>
            <w:tcBorders>
              <w:bottom w:val="single" w:sz="12" w:space="0" w:color="auto"/>
            </w:tcBorders>
          </w:tcPr>
          <w:p w14:paraId="387F37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1170" w:type="dxa"/>
            <w:tcBorders>
              <w:bottom w:val="single" w:sz="12" w:space="0" w:color="auto"/>
            </w:tcBorders>
          </w:tcPr>
          <w:p w14:paraId="03741C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w:t>
            </w:r>
          </w:p>
        </w:tc>
        <w:tc>
          <w:tcPr>
            <w:tcW w:w="1962" w:type="dxa"/>
            <w:tcBorders>
              <w:bottom w:val="single" w:sz="12" w:space="0" w:color="auto"/>
            </w:tcBorders>
          </w:tcPr>
          <w:p w14:paraId="187916D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261DAA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После окончания полетов по дополнительной программе про</w:t>
      </w:r>
      <w:r w:rsidRPr="00DB5D0D">
        <w:rPr>
          <w:rFonts w:ascii="Times New Roman" w:hAnsi="Times New Roman"/>
          <w:color w:val="000000" w:themeColor="text1"/>
          <w:sz w:val="16"/>
          <w:szCs w:val="16"/>
        </w:rPr>
        <w:softHyphen/>
        <w:t>изведен осмотр и устранение дефектов материальной части самолета и мотора.</w:t>
      </w:r>
    </w:p>
    <w:p w14:paraId="5B2507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 новый РПД. Установлена новая масляная помпа МШ-8 /завод № 20/. Установлен новый автомат перепуска газов /двух положений регулировки/.</w:t>
      </w:r>
    </w:p>
    <w:p w14:paraId="36AA9F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проверен и передан ЦАГИ для проведения контроль</w:t>
      </w:r>
      <w:r w:rsidRPr="00DB5D0D">
        <w:rPr>
          <w:rFonts w:ascii="Times New Roman" w:hAnsi="Times New Roman"/>
          <w:color w:val="000000" w:themeColor="text1"/>
          <w:sz w:val="16"/>
          <w:szCs w:val="16"/>
        </w:rPr>
        <w:softHyphen/>
        <w:t>ных испытаний на определение максимальных скоростей по высотам.</w:t>
      </w:r>
    </w:p>
    <w:p w14:paraId="4AB29D5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14A17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А.С.Я. были представлена справка N 23/1752 по основным данным опытных самолетов в сравнении задания и гос. испытаний (2090,140):</w:t>
      </w:r>
    </w:p>
    <w:p w14:paraId="526BB3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Истребители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6"/>
        <w:gridCol w:w="766"/>
        <w:gridCol w:w="766"/>
        <w:gridCol w:w="766"/>
        <w:gridCol w:w="766"/>
        <w:gridCol w:w="766"/>
        <w:gridCol w:w="766"/>
        <w:gridCol w:w="766"/>
        <w:gridCol w:w="766"/>
        <w:gridCol w:w="766"/>
        <w:gridCol w:w="766"/>
        <w:gridCol w:w="766"/>
        <w:gridCol w:w="766"/>
      </w:tblGrid>
      <w:tr w:rsidR="007D5DF8" w:rsidRPr="00DB5D0D" w14:paraId="3C7832CF" w14:textId="77777777" w:rsidTr="00E543D0">
        <w:tc>
          <w:tcPr>
            <w:tcW w:w="766" w:type="dxa"/>
            <w:tcBorders>
              <w:top w:val="single" w:sz="12" w:space="0" w:color="auto"/>
            </w:tcBorders>
          </w:tcPr>
          <w:p w14:paraId="08BF917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383B98F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6167C0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646305B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45DF47F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21D8028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76E5D94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6ACE13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7EDA553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1903422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2D0D5D5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74C262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603DC33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CCBC049" w14:textId="77777777" w:rsidTr="00E543D0">
        <w:tc>
          <w:tcPr>
            <w:tcW w:w="766" w:type="dxa"/>
          </w:tcPr>
          <w:p w14:paraId="6A4210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Показатели</w:t>
            </w:r>
          </w:p>
        </w:tc>
        <w:tc>
          <w:tcPr>
            <w:tcW w:w="766" w:type="dxa"/>
          </w:tcPr>
          <w:p w14:paraId="0389A8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М-88</w:t>
            </w:r>
          </w:p>
        </w:tc>
        <w:tc>
          <w:tcPr>
            <w:tcW w:w="766" w:type="dxa"/>
          </w:tcPr>
          <w:p w14:paraId="5324A2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F797D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И-26 М-105П</w:t>
            </w:r>
          </w:p>
        </w:tc>
        <w:tc>
          <w:tcPr>
            <w:tcW w:w="766" w:type="dxa"/>
          </w:tcPr>
          <w:p w14:paraId="32D75CD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B1296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И-301 М-105П</w:t>
            </w:r>
          </w:p>
        </w:tc>
        <w:tc>
          <w:tcPr>
            <w:tcW w:w="766" w:type="dxa"/>
          </w:tcPr>
          <w:p w14:paraId="63295A2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47394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И-200 АМ-35А</w:t>
            </w:r>
          </w:p>
        </w:tc>
        <w:tc>
          <w:tcPr>
            <w:tcW w:w="766" w:type="dxa"/>
          </w:tcPr>
          <w:p w14:paraId="210D58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817F3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ОКО-6 2М-88</w:t>
            </w:r>
          </w:p>
        </w:tc>
        <w:tc>
          <w:tcPr>
            <w:tcW w:w="766" w:type="dxa"/>
          </w:tcPr>
          <w:p w14:paraId="69E64D9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33AB7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И-21 М-105П</w:t>
            </w:r>
          </w:p>
        </w:tc>
        <w:tc>
          <w:tcPr>
            <w:tcW w:w="766" w:type="dxa"/>
          </w:tcPr>
          <w:p w14:paraId="3E9D8A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DFB3E6D" w14:textId="77777777" w:rsidTr="00E543D0">
        <w:tc>
          <w:tcPr>
            <w:tcW w:w="766" w:type="dxa"/>
          </w:tcPr>
          <w:p w14:paraId="6F9C90B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46912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2DE843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 исп.</w:t>
            </w:r>
          </w:p>
        </w:tc>
        <w:tc>
          <w:tcPr>
            <w:tcW w:w="766" w:type="dxa"/>
          </w:tcPr>
          <w:p w14:paraId="428150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75FA34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w:t>
            </w:r>
          </w:p>
        </w:tc>
        <w:tc>
          <w:tcPr>
            <w:tcW w:w="766" w:type="dxa"/>
          </w:tcPr>
          <w:p w14:paraId="1AAC23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58D7EF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w:t>
            </w:r>
          </w:p>
        </w:tc>
        <w:tc>
          <w:tcPr>
            <w:tcW w:w="766" w:type="dxa"/>
          </w:tcPr>
          <w:p w14:paraId="6F1498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042475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 исп.</w:t>
            </w:r>
          </w:p>
        </w:tc>
        <w:tc>
          <w:tcPr>
            <w:tcW w:w="766" w:type="dxa"/>
          </w:tcPr>
          <w:p w14:paraId="05B315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4239B1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 исп.</w:t>
            </w:r>
          </w:p>
        </w:tc>
        <w:tc>
          <w:tcPr>
            <w:tcW w:w="766" w:type="dxa"/>
          </w:tcPr>
          <w:p w14:paraId="3A655C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5DACEC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 исп.</w:t>
            </w:r>
          </w:p>
        </w:tc>
      </w:tr>
      <w:tr w:rsidR="007D5DF8" w:rsidRPr="00DB5D0D" w14:paraId="1DD3BF2E" w14:textId="77777777" w:rsidTr="00E543D0">
        <w:tc>
          <w:tcPr>
            <w:tcW w:w="766" w:type="dxa"/>
          </w:tcPr>
          <w:p w14:paraId="3A96C2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766" w:type="dxa"/>
          </w:tcPr>
          <w:p w14:paraId="44B824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66" w:type="dxa"/>
          </w:tcPr>
          <w:p w14:paraId="675BE87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BF1BAA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766" w:type="dxa"/>
          </w:tcPr>
          <w:p w14:paraId="1393677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8F470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301</w:t>
            </w:r>
          </w:p>
        </w:tc>
        <w:tc>
          <w:tcPr>
            <w:tcW w:w="766" w:type="dxa"/>
          </w:tcPr>
          <w:p w14:paraId="747E9B8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8212E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66" w:type="dxa"/>
          </w:tcPr>
          <w:p w14:paraId="6C14422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03AAC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766" w:type="dxa"/>
          </w:tcPr>
          <w:p w14:paraId="45F3F9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BC125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w:t>
            </w:r>
          </w:p>
        </w:tc>
        <w:tc>
          <w:tcPr>
            <w:tcW w:w="766" w:type="dxa"/>
          </w:tcPr>
          <w:p w14:paraId="7BD7B8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0E0E0F0" w14:textId="77777777" w:rsidTr="00E543D0">
        <w:tc>
          <w:tcPr>
            <w:tcW w:w="766" w:type="dxa"/>
          </w:tcPr>
          <w:p w14:paraId="5F59F9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w:t>
            </w:r>
          </w:p>
        </w:tc>
        <w:tc>
          <w:tcPr>
            <w:tcW w:w="766" w:type="dxa"/>
          </w:tcPr>
          <w:p w14:paraId="19C135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Н.Н.П.</w:t>
            </w:r>
          </w:p>
        </w:tc>
        <w:tc>
          <w:tcPr>
            <w:tcW w:w="766" w:type="dxa"/>
          </w:tcPr>
          <w:p w14:paraId="2423483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8951E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А.С.Я.</w:t>
            </w:r>
          </w:p>
        </w:tc>
        <w:tc>
          <w:tcPr>
            <w:tcW w:w="766" w:type="dxa"/>
          </w:tcPr>
          <w:p w14:paraId="0BC6800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92A7A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ЛаГГ</w:t>
            </w:r>
          </w:p>
        </w:tc>
        <w:tc>
          <w:tcPr>
            <w:tcW w:w="766" w:type="dxa"/>
          </w:tcPr>
          <w:p w14:paraId="4DB46C1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DA3CC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МиГ</w:t>
            </w:r>
          </w:p>
        </w:tc>
        <w:tc>
          <w:tcPr>
            <w:tcW w:w="766" w:type="dxa"/>
          </w:tcPr>
          <w:p w14:paraId="2FD902A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34827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Таиров</w:t>
            </w:r>
          </w:p>
        </w:tc>
        <w:tc>
          <w:tcPr>
            <w:tcW w:w="766" w:type="dxa"/>
          </w:tcPr>
          <w:p w14:paraId="720FCC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31CD1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Пашинин</w:t>
            </w:r>
          </w:p>
        </w:tc>
        <w:tc>
          <w:tcPr>
            <w:tcW w:w="766" w:type="dxa"/>
          </w:tcPr>
          <w:p w14:paraId="63AA8C9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8497D24" w14:textId="77777777" w:rsidTr="00E543D0">
        <w:tc>
          <w:tcPr>
            <w:tcW w:w="766" w:type="dxa"/>
          </w:tcPr>
          <w:p w14:paraId="6E222D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нр/м</w:t>
            </w:r>
          </w:p>
        </w:tc>
        <w:tc>
          <w:tcPr>
            <w:tcW w:w="766" w:type="dxa"/>
          </w:tcPr>
          <w:p w14:paraId="304130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66" w:type="dxa"/>
          </w:tcPr>
          <w:p w14:paraId="4FFE03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66" w:type="dxa"/>
          </w:tcPr>
          <w:p w14:paraId="5ED29F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66" w:type="dxa"/>
          </w:tcPr>
          <w:p w14:paraId="513FF5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766" w:type="dxa"/>
          </w:tcPr>
          <w:p w14:paraId="1DCB9D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75329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766" w:type="dxa"/>
          </w:tcPr>
          <w:p w14:paraId="3C7A29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766" w:type="dxa"/>
          </w:tcPr>
          <w:p w14:paraId="358A83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766" w:type="dxa"/>
          </w:tcPr>
          <w:p w14:paraId="1DD1A2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2х1000/</w:t>
            </w:r>
          </w:p>
        </w:tc>
        <w:tc>
          <w:tcPr>
            <w:tcW w:w="766" w:type="dxa"/>
          </w:tcPr>
          <w:p w14:paraId="0E418B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2х1000/</w:t>
            </w:r>
          </w:p>
        </w:tc>
        <w:tc>
          <w:tcPr>
            <w:tcW w:w="766" w:type="dxa"/>
          </w:tcPr>
          <w:p w14:paraId="037F9D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c>
          <w:tcPr>
            <w:tcW w:w="766" w:type="dxa"/>
          </w:tcPr>
          <w:p w14:paraId="51C471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1050/</w:t>
            </w:r>
          </w:p>
        </w:tc>
      </w:tr>
      <w:tr w:rsidR="007D5DF8" w:rsidRPr="00DB5D0D" w14:paraId="4F06485A" w14:textId="77777777" w:rsidTr="00E543D0">
        <w:tc>
          <w:tcPr>
            <w:tcW w:w="766" w:type="dxa"/>
          </w:tcPr>
          <w:p w14:paraId="3652CD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1B4F2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35C4E3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5D60AC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60B6A2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766" w:type="dxa"/>
          </w:tcPr>
          <w:p w14:paraId="5979996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8FEEF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766" w:type="dxa"/>
          </w:tcPr>
          <w:p w14:paraId="57395D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4ECF55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030D81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3836A6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23AA8F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766" w:type="dxa"/>
          </w:tcPr>
          <w:p w14:paraId="614FD7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r>
      <w:tr w:rsidR="007D5DF8" w:rsidRPr="00DB5D0D" w14:paraId="4CDA60D7" w14:textId="77777777" w:rsidTr="00E543D0">
        <w:tc>
          <w:tcPr>
            <w:tcW w:w="766" w:type="dxa"/>
          </w:tcPr>
          <w:p w14:paraId="3F1293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 у зем.</w:t>
            </w:r>
          </w:p>
        </w:tc>
        <w:tc>
          <w:tcPr>
            <w:tcW w:w="766" w:type="dxa"/>
          </w:tcPr>
          <w:p w14:paraId="46B7BA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439</w:t>
            </w:r>
          </w:p>
        </w:tc>
        <w:tc>
          <w:tcPr>
            <w:tcW w:w="766" w:type="dxa"/>
          </w:tcPr>
          <w:p w14:paraId="118CB0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5D6015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490</w:t>
            </w:r>
          </w:p>
        </w:tc>
        <w:tc>
          <w:tcPr>
            <w:tcW w:w="766" w:type="dxa"/>
          </w:tcPr>
          <w:p w14:paraId="4A23F9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612B69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w:t>
            </w:r>
          </w:p>
        </w:tc>
        <w:tc>
          <w:tcPr>
            <w:tcW w:w="766" w:type="dxa"/>
          </w:tcPr>
          <w:p w14:paraId="59795F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04551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508(486)</w:t>
            </w:r>
          </w:p>
        </w:tc>
        <w:tc>
          <w:tcPr>
            <w:tcW w:w="766" w:type="dxa"/>
          </w:tcPr>
          <w:p w14:paraId="1E6613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D09B3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448</w:t>
            </w:r>
          </w:p>
        </w:tc>
        <w:tc>
          <w:tcPr>
            <w:tcW w:w="766" w:type="dxa"/>
          </w:tcPr>
          <w:p w14:paraId="083D47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31F6CB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520</w:t>
            </w:r>
          </w:p>
        </w:tc>
        <w:tc>
          <w:tcPr>
            <w:tcW w:w="766" w:type="dxa"/>
          </w:tcPr>
          <w:p w14:paraId="63EE6D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6979255" w14:textId="77777777" w:rsidTr="00E543D0">
        <w:tc>
          <w:tcPr>
            <w:tcW w:w="766" w:type="dxa"/>
          </w:tcPr>
          <w:p w14:paraId="70C1FF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скор./выс.</w:t>
            </w:r>
          </w:p>
        </w:tc>
        <w:tc>
          <w:tcPr>
            <w:tcW w:w="766" w:type="dxa"/>
          </w:tcPr>
          <w:p w14:paraId="5D658B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570-600/</w:t>
            </w:r>
          </w:p>
        </w:tc>
        <w:tc>
          <w:tcPr>
            <w:tcW w:w="766" w:type="dxa"/>
          </w:tcPr>
          <w:p w14:paraId="1BB1FA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571/</w:t>
            </w:r>
          </w:p>
        </w:tc>
        <w:tc>
          <w:tcPr>
            <w:tcW w:w="766" w:type="dxa"/>
          </w:tcPr>
          <w:p w14:paraId="15EEE8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w:t>
            </w:r>
          </w:p>
        </w:tc>
        <w:tc>
          <w:tcPr>
            <w:tcW w:w="766" w:type="dxa"/>
          </w:tcPr>
          <w:p w14:paraId="096417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586/</w:t>
            </w:r>
          </w:p>
        </w:tc>
        <w:tc>
          <w:tcPr>
            <w:tcW w:w="766" w:type="dxa"/>
          </w:tcPr>
          <w:p w14:paraId="5FF949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650-675/</w:t>
            </w:r>
          </w:p>
        </w:tc>
        <w:tc>
          <w:tcPr>
            <w:tcW w:w="766" w:type="dxa"/>
          </w:tcPr>
          <w:p w14:paraId="799812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605/</w:t>
            </w:r>
          </w:p>
        </w:tc>
        <w:tc>
          <w:tcPr>
            <w:tcW w:w="766" w:type="dxa"/>
          </w:tcPr>
          <w:p w14:paraId="5A161C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640/</w:t>
            </w:r>
          </w:p>
        </w:tc>
        <w:tc>
          <w:tcPr>
            <w:tcW w:w="766" w:type="dxa"/>
          </w:tcPr>
          <w:p w14:paraId="1D519A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649(628)/</w:t>
            </w:r>
          </w:p>
        </w:tc>
        <w:tc>
          <w:tcPr>
            <w:tcW w:w="766" w:type="dxa"/>
          </w:tcPr>
          <w:p w14:paraId="5EA0D5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600-650/</w:t>
            </w:r>
          </w:p>
        </w:tc>
        <w:tc>
          <w:tcPr>
            <w:tcW w:w="766" w:type="dxa"/>
          </w:tcPr>
          <w:p w14:paraId="5B1C0D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568/</w:t>
            </w:r>
          </w:p>
        </w:tc>
        <w:tc>
          <w:tcPr>
            <w:tcW w:w="766" w:type="dxa"/>
          </w:tcPr>
          <w:p w14:paraId="5E40C2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620</w:t>
            </w:r>
          </w:p>
        </w:tc>
        <w:tc>
          <w:tcPr>
            <w:tcW w:w="766" w:type="dxa"/>
          </w:tcPr>
          <w:p w14:paraId="757362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628/</w:t>
            </w:r>
          </w:p>
        </w:tc>
      </w:tr>
      <w:tr w:rsidR="007D5DF8" w:rsidRPr="00DB5D0D" w14:paraId="05DCB94F" w14:textId="77777777" w:rsidTr="00E543D0">
        <w:tc>
          <w:tcPr>
            <w:tcW w:w="766" w:type="dxa"/>
          </w:tcPr>
          <w:p w14:paraId="5FD5B73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4E1DD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766" w:type="dxa"/>
          </w:tcPr>
          <w:p w14:paraId="0803AC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7150</w:t>
            </w:r>
          </w:p>
        </w:tc>
        <w:tc>
          <w:tcPr>
            <w:tcW w:w="766" w:type="dxa"/>
          </w:tcPr>
          <w:p w14:paraId="0FFF1C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48E2EF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766" w:type="dxa"/>
          </w:tcPr>
          <w:p w14:paraId="450F47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9000</w:t>
            </w:r>
          </w:p>
        </w:tc>
        <w:tc>
          <w:tcPr>
            <w:tcW w:w="766" w:type="dxa"/>
          </w:tcPr>
          <w:p w14:paraId="762E68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4950</w:t>
            </w:r>
          </w:p>
        </w:tc>
        <w:tc>
          <w:tcPr>
            <w:tcW w:w="766" w:type="dxa"/>
          </w:tcPr>
          <w:p w14:paraId="6D6DC9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766" w:type="dxa"/>
          </w:tcPr>
          <w:p w14:paraId="27D563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6900(72)</w:t>
            </w:r>
          </w:p>
        </w:tc>
        <w:tc>
          <w:tcPr>
            <w:tcW w:w="766" w:type="dxa"/>
          </w:tcPr>
          <w:p w14:paraId="4056AD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766" w:type="dxa"/>
          </w:tcPr>
          <w:p w14:paraId="58400C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7550</w:t>
            </w:r>
          </w:p>
        </w:tc>
        <w:tc>
          <w:tcPr>
            <w:tcW w:w="766" w:type="dxa"/>
          </w:tcPr>
          <w:p w14:paraId="2C19EB0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959D2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5260</w:t>
            </w:r>
          </w:p>
        </w:tc>
      </w:tr>
      <w:tr w:rsidR="007D5DF8" w:rsidRPr="00DB5D0D" w14:paraId="6FAC81FE" w14:textId="77777777" w:rsidTr="00E543D0">
        <w:tc>
          <w:tcPr>
            <w:tcW w:w="766" w:type="dxa"/>
          </w:tcPr>
          <w:p w14:paraId="7FBDCB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w:t>
            </w:r>
          </w:p>
        </w:tc>
        <w:tc>
          <w:tcPr>
            <w:tcW w:w="766" w:type="dxa"/>
          </w:tcPr>
          <w:p w14:paraId="2F27DE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10.5/8</w:t>
            </w:r>
          </w:p>
        </w:tc>
        <w:tc>
          <w:tcPr>
            <w:tcW w:w="766" w:type="dxa"/>
          </w:tcPr>
          <w:p w14:paraId="27890E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5.6/5</w:t>
            </w:r>
          </w:p>
        </w:tc>
        <w:tc>
          <w:tcPr>
            <w:tcW w:w="766" w:type="dxa"/>
          </w:tcPr>
          <w:p w14:paraId="500BFF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9-11/10</w:t>
            </w:r>
          </w:p>
        </w:tc>
        <w:tc>
          <w:tcPr>
            <w:tcW w:w="766" w:type="dxa"/>
          </w:tcPr>
          <w:p w14:paraId="775BEC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w:t>
            </w:r>
          </w:p>
        </w:tc>
        <w:tc>
          <w:tcPr>
            <w:tcW w:w="766" w:type="dxa"/>
          </w:tcPr>
          <w:p w14:paraId="1C836F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94A0B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5.85/5</w:t>
            </w:r>
          </w:p>
        </w:tc>
        <w:tc>
          <w:tcPr>
            <w:tcW w:w="766" w:type="dxa"/>
          </w:tcPr>
          <w:p w14:paraId="289858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8.5/8</w:t>
            </w:r>
          </w:p>
        </w:tc>
        <w:tc>
          <w:tcPr>
            <w:tcW w:w="766" w:type="dxa"/>
          </w:tcPr>
          <w:p w14:paraId="778C17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5.1(5.3)/5</w:t>
            </w:r>
          </w:p>
        </w:tc>
        <w:tc>
          <w:tcPr>
            <w:tcW w:w="766" w:type="dxa"/>
          </w:tcPr>
          <w:p w14:paraId="547B4B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3-4/5</w:t>
            </w:r>
          </w:p>
        </w:tc>
        <w:tc>
          <w:tcPr>
            <w:tcW w:w="766" w:type="dxa"/>
          </w:tcPr>
          <w:p w14:paraId="1904AB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5.5/5</w:t>
            </w:r>
          </w:p>
        </w:tc>
        <w:tc>
          <w:tcPr>
            <w:tcW w:w="766" w:type="dxa"/>
          </w:tcPr>
          <w:p w14:paraId="633FC7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0DD95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2A4A6723" w14:textId="77777777" w:rsidTr="00E543D0">
        <w:tc>
          <w:tcPr>
            <w:tcW w:w="766" w:type="dxa"/>
          </w:tcPr>
          <w:p w14:paraId="4803DE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786CC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95CE0F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B2F31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10.8/8</w:t>
            </w:r>
          </w:p>
        </w:tc>
        <w:tc>
          <w:tcPr>
            <w:tcW w:w="766" w:type="dxa"/>
          </w:tcPr>
          <w:p w14:paraId="4C7CB12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6A604A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A0D7DC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29FA9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23BCAB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ADC11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7.15/7</w:t>
            </w:r>
          </w:p>
        </w:tc>
        <w:tc>
          <w:tcPr>
            <w:tcW w:w="766" w:type="dxa"/>
          </w:tcPr>
          <w:p w14:paraId="77A627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8/8</w:t>
            </w:r>
          </w:p>
        </w:tc>
        <w:tc>
          <w:tcPr>
            <w:tcW w:w="766" w:type="dxa"/>
          </w:tcPr>
          <w:p w14:paraId="3C38C1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10.4/8</w:t>
            </w:r>
          </w:p>
        </w:tc>
        <w:tc>
          <w:tcPr>
            <w:tcW w:w="766" w:type="dxa"/>
          </w:tcPr>
          <w:p w14:paraId="686FF65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F715F9F" w14:textId="77777777" w:rsidTr="00E543D0">
        <w:tc>
          <w:tcPr>
            <w:tcW w:w="766" w:type="dxa"/>
          </w:tcPr>
          <w:p w14:paraId="036363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w:t>
            </w:r>
          </w:p>
        </w:tc>
        <w:tc>
          <w:tcPr>
            <w:tcW w:w="766" w:type="dxa"/>
          </w:tcPr>
          <w:p w14:paraId="16DB28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w:t>
            </w:r>
          </w:p>
        </w:tc>
        <w:tc>
          <w:tcPr>
            <w:tcW w:w="766" w:type="dxa"/>
          </w:tcPr>
          <w:p w14:paraId="70A928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11050</w:t>
            </w:r>
          </w:p>
        </w:tc>
        <w:tc>
          <w:tcPr>
            <w:tcW w:w="766" w:type="dxa"/>
          </w:tcPr>
          <w:p w14:paraId="248FC5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11-12000</w:t>
            </w:r>
          </w:p>
        </w:tc>
        <w:tc>
          <w:tcPr>
            <w:tcW w:w="766" w:type="dxa"/>
          </w:tcPr>
          <w:p w14:paraId="3A93B9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10200</w:t>
            </w:r>
          </w:p>
        </w:tc>
        <w:tc>
          <w:tcPr>
            <w:tcW w:w="766" w:type="dxa"/>
          </w:tcPr>
          <w:p w14:paraId="504559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w:t>
            </w:r>
          </w:p>
        </w:tc>
        <w:tc>
          <w:tcPr>
            <w:tcW w:w="766" w:type="dxa"/>
          </w:tcPr>
          <w:p w14:paraId="0F9351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9600</w:t>
            </w:r>
          </w:p>
        </w:tc>
        <w:tc>
          <w:tcPr>
            <w:tcW w:w="766" w:type="dxa"/>
          </w:tcPr>
          <w:p w14:paraId="21B841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13000</w:t>
            </w:r>
          </w:p>
        </w:tc>
        <w:tc>
          <w:tcPr>
            <w:tcW w:w="766" w:type="dxa"/>
          </w:tcPr>
          <w:p w14:paraId="34C26B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12000</w:t>
            </w:r>
          </w:p>
        </w:tc>
        <w:tc>
          <w:tcPr>
            <w:tcW w:w="766" w:type="dxa"/>
          </w:tcPr>
          <w:p w14:paraId="2197C0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11-12000</w:t>
            </w:r>
          </w:p>
        </w:tc>
        <w:tc>
          <w:tcPr>
            <w:tcW w:w="766" w:type="dxa"/>
          </w:tcPr>
          <w:p w14:paraId="55C0A5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11100</w:t>
            </w:r>
          </w:p>
        </w:tc>
        <w:tc>
          <w:tcPr>
            <w:tcW w:w="766" w:type="dxa"/>
          </w:tcPr>
          <w:p w14:paraId="5AA27F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11-12000</w:t>
            </w:r>
          </w:p>
        </w:tc>
        <w:tc>
          <w:tcPr>
            <w:tcW w:w="766" w:type="dxa"/>
          </w:tcPr>
          <w:p w14:paraId="26EFFA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7BB0D28A" w14:textId="77777777" w:rsidTr="00E543D0">
        <w:tc>
          <w:tcPr>
            <w:tcW w:w="766" w:type="dxa"/>
          </w:tcPr>
          <w:p w14:paraId="1B6E32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 Скорость</w:t>
            </w:r>
          </w:p>
        </w:tc>
        <w:tc>
          <w:tcPr>
            <w:tcW w:w="766" w:type="dxa"/>
          </w:tcPr>
          <w:p w14:paraId="6D8A92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110-120</w:t>
            </w:r>
          </w:p>
        </w:tc>
        <w:tc>
          <w:tcPr>
            <w:tcW w:w="766" w:type="dxa"/>
          </w:tcPr>
          <w:p w14:paraId="782D81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766" w:type="dxa"/>
          </w:tcPr>
          <w:p w14:paraId="04C963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766" w:type="dxa"/>
          </w:tcPr>
          <w:p w14:paraId="3CED54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135</w:t>
            </w:r>
          </w:p>
        </w:tc>
        <w:tc>
          <w:tcPr>
            <w:tcW w:w="766" w:type="dxa"/>
          </w:tcPr>
          <w:p w14:paraId="77CF15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110-120</w:t>
            </w:r>
          </w:p>
        </w:tc>
        <w:tc>
          <w:tcPr>
            <w:tcW w:w="766" w:type="dxa"/>
          </w:tcPr>
          <w:p w14:paraId="5E7024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c>
          <w:tcPr>
            <w:tcW w:w="766" w:type="dxa"/>
          </w:tcPr>
          <w:p w14:paraId="0F3FB3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w:t>
            </w:r>
          </w:p>
        </w:tc>
        <w:tc>
          <w:tcPr>
            <w:tcW w:w="766" w:type="dxa"/>
          </w:tcPr>
          <w:p w14:paraId="19E8FE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144</w:t>
            </w:r>
          </w:p>
        </w:tc>
        <w:tc>
          <w:tcPr>
            <w:tcW w:w="766" w:type="dxa"/>
          </w:tcPr>
          <w:p w14:paraId="1A8A7F4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110-120</w:t>
            </w:r>
          </w:p>
        </w:tc>
        <w:tc>
          <w:tcPr>
            <w:tcW w:w="766" w:type="dxa"/>
          </w:tcPr>
          <w:p w14:paraId="4E41CB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145-150</w:t>
            </w:r>
          </w:p>
        </w:tc>
        <w:tc>
          <w:tcPr>
            <w:tcW w:w="766" w:type="dxa"/>
          </w:tcPr>
          <w:p w14:paraId="4D258E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w:t>
            </w:r>
          </w:p>
        </w:tc>
        <w:tc>
          <w:tcPr>
            <w:tcW w:w="766" w:type="dxa"/>
          </w:tcPr>
          <w:p w14:paraId="34DF75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120-130</w:t>
            </w:r>
          </w:p>
        </w:tc>
      </w:tr>
      <w:tr w:rsidR="007D5DF8" w:rsidRPr="00DB5D0D" w14:paraId="3E053FB5" w14:textId="77777777" w:rsidTr="00E543D0">
        <w:tc>
          <w:tcPr>
            <w:tcW w:w="766" w:type="dxa"/>
          </w:tcPr>
          <w:p w14:paraId="498A00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н/пер.</w:t>
            </w:r>
          </w:p>
        </w:tc>
        <w:tc>
          <w:tcPr>
            <w:tcW w:w="766" w:type="dxa"/>
          </w:tcPr>
          <w:p w14:paraId="4E47DE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500/700</w:t>
            </w:r>
          </w:p>
        </w:tc>
        <w:tc>
          <w:tcPr>
            <w:tcW w:w="766" w:type="dxa"/>
          </w:tcPr>
          <w:p w14:paraId="3637B0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167DF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600/1000</w:t>
            </w:r>
          </w:p>
        </w:tc>
        <w:tc>
          <w:tcPr>
            <w:tcW w:w="766" w:type="dxa"/>
          </w:tcPr>
          <w:p w14:paraId="58F8A9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766" w:type="dxa"/>
          </w:tcPr>
          <w:p w14:paraId="5682B5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600-1000</w:t>
            </w:r>
          </w:p>
        </w:tc>
        <w:tc>
          <w:tcPr>
            <w:tcW w:w="766" w:type="dxa"/>
          </w:tcPr>
          <w:p w14:paraId="6F8BFF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556</w:t>
            </w:r>
          </w:p>
        </w:tc>
        <w:tc>
          <w:tcPr>
            <w:tcW w:w="766" w:type="dxa"/>
          </w:tcPr>
          <w:p w14:paraId="68D991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650-1100</w:t>
            </w:r>
          </w:p>
        </w:tc>
        <w:tc>
          <w:tcPr>
            <w:tcW w:w="766" w:type="dxa"/>
          </w:tcPr>
          <w:p w14:paraId="7DA57F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580</w:t>
            </w:r>
          </w:p>
        </w:tc>
        <w:tc>
          <w:tcPr>
            <w:tcW w:w="766" w:type="dxa"/>
          </w:tcPr>
          <w:p w14:paraId="512BFA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700-1200</w:t>
            </w:r>
          </w:p>
        </w:tc>
        <w:tc>
          <w:tcPr>
            <w:tcW w:w="766" w:type="dxa"/>
          </w:tcPr>
          <w:p w14:paraId="1F4562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766" w:type="dxa"/>
          </w:tcPr>
          <w:p w14:paraId="43E5BE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750-1100</w:t>
            </w:r>
          </w:p>
        </w:tc>
        <w:tc>
          <w:tcPr>
            <w:tcW w:w="766" w:type="dxa"/>
          </w:tcPr>
          <w:p w14:paraId="5FBF03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760</w:t>
            </w:r>
          </w:p>
        </w:tc>
      </w:tr>
      <w:tr w:rsidR="007D5DF8" w:rsidRPr="00DB5D0D" w14:paraId="7FF4B8A7" w14:textId="77777777" w:rsidTr="00E543D0">
        <w:tc>
          <w:tcPr>
            <w:tcW w:w="766" w:type="dxa"/>
          </w:tcPr>
          <w:p w14:paraId="6A69E2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766" w:type="dxa"/>
          </w:tcPr>
          <w:p w14:paraId="7B267A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0E380F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766" w:type="dxa"/>
          </w:tcPr>
          <w:p w14:paraId="17B65A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9C8BC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766" w:type="dxa"/>
          </w:tcPr>
          <w:p w14:paraId="34E820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8256F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355</w:t>
            </w:r>
          </w:p>
        </w:tc>
        <w:tc>
          <w:tcPr>
            <w:tcW w:w="766" w:type="dxa"/>
          </w:tcPr>
          <w:p w14:paraId="5F390F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B04D2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195(268)</w:t>
            </w:r>
          </w:p>
        </w:tc>
        <w:tc>
          <w:tcPr>
            <w:tcW w:w="766" w:type="dxa"/>
          </w:tcPr>
          <w:p w14:paraId="7315F1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BCE8A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370</w:t>
            </w:r>
          </w:p>
        </w:tc>
        <w:tc>
          <w:tcPr>
            <w:tcW w:w="766" w:type="dxa"/>
          </w:tcPr>
          <w:p w14:paraId="2DA7CC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962D7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270-290</w:t>
            </w:r>
          </w:p>
        </w:tc>
      </w:tr>
      <w:tr w:rsidR="007D5DF8" w:rsidRPr="00DB5D0D" w14:paraId="318FD0A4" w14:textId="77777777" w:rsidTr="00E543D0">
        <w:tc>
          <w:tcPr>
            <w:tcW w:w="766" w:type="dxa"/>
          </w:tcPr>
          <w:p w14:paraId="6A5CDC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766" w:type="dxa"/>
          </w:tcPr>
          <w:p w14:paraId="079146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6B3E01E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766" w:type="dxa"/>
          </w:tcPr>
          <w:p w14:paraId="44DC58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543B44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540</w:t>
            </w:r>
          </w:p>
        </w:tc>
        <w:tc>
          <w:tcPr>
            <w:tcW w:w="766" w:type="dxa"/>
          </w:tcPr>
          <w:p w14:paraId="00CDDE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4EB21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766" w:type="dxa"/>
          </w:tcPr>
          <w:p w14:paraId="7B7A59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FDABD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348(400)</w:t>
            </w:r>
          </w:p>
        </w:tc>
        <w:tc>
          <w:tcPr>
            <w:tcW w:w="766" w:type="dxa"/>
          </w:tcPr>
          <w:p w14:paraId="2592ED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0B951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465-605</w:t>
            </w:r>
          </w:p>
        </w:tc>
        <w:tc>
          <w:tcPr>
            <w:tcW w:w="766" w:type="dxa"/>
          </w:tcPr>
          <w:p w14:paraId="3071A9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36F58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300-380</w:t>
            </w:r>
          </w:p>
        </w:tc>
      </w:tr>
      <w:tr w:rsidR="007D5DF8" w:rsidRPr="00DB5D0D" w14:paraId="167E89D8" w14:textId="77777777" w:rsidTr="00E543D0">
        <w:tc>
          <w:tcPr>
            <w:tcW w:w="766" w:type="dxa"/>
          </w:tcPr>
          <w:p w14:paraId="7543F8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норм.</w:t>
            </w:r>
          </w:p>
        </w:tc>
        <w:tc>
          <w:tcPr>
            <w:tcW w:w="766" w:type="dxa"/>
          </w:tcPr>
          <w:p w14:paraId="4BAE6B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D5C49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615</w:t>
            </w:r>
          </w:p>
        </w:tc>
        <w:tc>
          <w:tcPr>
            <w:tcW w:w="766" w:type="dxa"/>
          </w:tcPr>
          <w:p w14:paraId="58818A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C9F58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494</w:t>
            </w:r>
          </w:p>
        </w:tc>
        <w:tc>
          <w:tcPr>
            <w:tcW w:w="766" w:type="dxa"/>
          </w:tcPr>
          <w:p w14:paraId="081083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CA3C5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588</w:t>
            </w:r>
          </w:p>
        </w:tc>
        <w:tc>
          <w:tcPr>
            <w:tcW w:w="766" w:type="dxa"/>
          </w:tcPr>
          <w:p w14:paraId="31E7CA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4513F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688</w:t>
            </w:r>
          </w:p>
        </w:tc>
        <w:tc>
          <w:tcPr>
            <w:tcW w:w="766" w:type="dxa"/>
          </w:tcPr>
          <w:p w14:paraId="5BEFED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E89FF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698</w:t>
            </w:r>
          </w:p>
        </w:tc>
        <w:tc>
          <w:tcPr>
            <w:tcW w:w="766" w:type="dxa"/>
          </w:tcPr>
          <w:p w14:paraId="2F2207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77960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715</w:t>
            </w:r>
          </w:p>
        </w:tc>
      </w:tr>
      <w:tr w:rsidR="007D5DF8" w:rsidRPr="00DB5D0D" w14:paraId="27D974D8" w14:textId="77777777" w:rsidTr="00E543D0">
        <w:tc>
          <w:tcPr>
            <w:tcW w:w="766" w:type="dxa"/>
          </w:tcPr>
          <w:p w14:paraId="0F7AD1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766" w:type="dxa"/>
          </w:tcPr>
          <w:p w14:paraId="75C01D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4хпул.</w:t>
            </w:r>
          </w:p>
        </w:tc>
        <w:tc>
          <w:tcPr>
            <w:tcW w:w="766" w:type="dxa"/>
          </w:tcPr>
          <w:p w14:paraId="662B5E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w:t>
            </w:r>
          </w:p>
        </w:tc>
        <w:tc>
          <w:tcPr>
            <w:tcW w:w="766" w:type="dxa"/>
          </w:tcPr>
          <w:p w14:paraId="28E74F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3хпул.</w:t>
            </w:r>
          </w:p>
        </w:tc>
        <w:tc>
          <w:tcPr>
            <w:tcW w:w="766" w:type="dxa"/>
          </w:tcPr>
          <w:p w14:paraId="4CDDC6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c>
          <w:tcPr>
            <w:tcW w:w="766" w:type="dxa"/>
          </w:tcPr>
          <w:p w14:paraId="7321BD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4хпул.</w:t>
            </w:r>
          </w:p>
        </w:tc>
        <w:tc>
          <w:tcPr>
            <w:tcW w:w="766" w:type="dxa"/>
          </w:tcPr>
          <w:p w14:paraId="707D6A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1хШВК</w:t>
            </w:r>
          </w:p>
        </w:tc>
        <w:tc>
          <w:tcPr>
            <w:tcW w:w="766" w:type="dxa"/>
          </w:tcPr>
          <w:p w14:paraId="167158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1хБС</w:t>
            </w:r>
          </w:p>
        </w:tc>
        <w:tc>
          <w:tcPr>
            <w:tcW w:w="766" w:type="dxa"/>
          </w:tcPr>
          <w:p w14:paraId="1555F8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1хБС</w:t>
            </w:r>
          </w:p>
        </w:tc>
        <w:tc>
          <w:tcPr>
            <w:tcW w:w="766" w:type="dxa"/>
          </w:tcPr>
          <w:p w14:paraId="1E2D7D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4хпул.</w:t>
            </w:r>
          </w:p>
        </w:tc>
        <w:tc>
          <w:tcPr>
            <w:tcW w:w="766" w:type="dxa"/>
          </w:tcPr>
          <w:p w14:paraId="523B86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4хШВК</w:t>
            </w:r>
          </w:p>
        </w:tc>
        <w:tc>
          <w:tcPr>
            <w:tcW w:w="766" w:type="dxa"/>
          </w:tcPr>
          <w:p w14:paraId="50A1EE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1х23</w:t>
            </w:r>
          </w:p>
        </w:tc>
        <w:tc>
          <w:tcPr>
            <w:tcW w:w="766" w:type="dxa"/>
          </w:tcPr>
          <w:p w14:paraId="6F54EB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1х23</w:t>
            </w:r>
          </w:p>
        </w:tc>
      </w:tr>
      <w:tr w:rsidR="007D5DF8" w:rsidRPr="00DB5D0D" w14:paraId="173F67C1" w14:textId="77777777" w:rsidTr="00E543D0">
        <w:tc>
          <w:tcPr>
            <w:tcW w:w="766" w:type="dxa"/>
          </w:tcPr>
          <w:p w14:paraId="5C6442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D64C05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D33B71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4033C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c>
          <w:tcPr>
            <w:tcW w:w="766" w:type="dxa"/>
          </w:tcPr>
          <w:p w14:paraId="3B296A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1хШВК</w:t>
            </w:r>
          </w:p>
        </w:tc>
        <w:tc>
          <w:tcPr>
            <w:tcW w:w="766" w:type="dxa"/>
          </w:tcPr>
          <w:p w14:paraId="3EF0920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E1EE7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2хБС</w:t>
            </w:r>
          </w:p>
        </w:tc>
        <w:tc>
          <w:tcPr>
            <w:tcW w:w="766" w:type="dxa"/>
          </w:tcPr>
          <w:p w14:paraId="729CE0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c>
          <w:tcPr>
            <w:tcW w:w="766" w:type="dxa"/>
          </w:tcPr>
          <w:p w14:paraId="076D97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c>
          <w:tcPr>
            <w:tcW w:w="766" w:type="dxa"/>
          </w:tcPr>
          <w:p w14:paraId="124894F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588311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4CED8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c>
          <w:tcPr>
            <w:tcW w:w="766" w:type="dxa"/>
          </w:tcPr>
          <w:p w14:paraId="1E434F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r>
      <w:tr w:rsidR="007D5DF8" w:rsidRPr="00DB5D0D" w14:paraId="722495BC" w14:textId="77777777" w:rsidTr="00E543D0">
        <w:tc>
          <w:tcPr>
            <w:tcW w:w="766" w:type="dxa"/>
          </w:tcPr>
          <w:p w14:paraId="767C048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EC63F0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66BD75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231E7F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F9DF9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A8BCB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00DCBD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C5230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c>
          <w:tcPr>
            <w:tcW w:w="766" w:type="dxa"/>
          </w:tcPr>
          <w:p w14:paraId="582BDFE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63A22D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F56B41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C46F1F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8BCE83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0408E95" w14:textId="77777777" w:rsidTr="00E543D0">
        <w:tc>
          <w:tcPr>
            <w:tcW w:w="766" w:type="dxa"/>
          </w:tcPr>
          <w:p w14:paraId="009149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w:t>
            </w:r>
          </w:p>
        </w:tc>
        <w:tc>
          <w:tcPr>
            <w:tcW w:w="766" w:type="dxa"/>
          </w:tcPr>
          <w:p w14:paraId="60C73F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56E417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766" w:type="dxa"/>
          </w:tcPr>
          <w:p w14:paraId="076E8A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36BD20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087C3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37043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4EBBA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25949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566AF9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60FF57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3ED5D5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C5B93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0FFB5AEF" w14:textId="77777777" w:rsidTr="00E543D0">
        <w:tc>
          <w:tcPr>
            <w:tcW w:w="766" w:type="dxa"/>
          </w:tcPr>
          <w:p w14:paraId="57AAD5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сдачи на гос.</w:t>
            </w:r>
          </w:p>
        </w:tc>
        <w:tc>
          <w:tcPr>
            <w:tcW w:w="766" w:type="dxa"/>
          </w:tcPr>
          <w:p w14:paraId="4FD8F3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10.39</w:t>
            </w:r>
          </w:p>
        </w:tc>
        <w:tc>
          <w:tcPr>
            <w:tcW w:w="766" w:type="dxa"/>
          </w:tcPr>
          <w:p w14:paraId="5114F4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21.12.39</w:t>
            </w:r>
          </w:p>
        </w:tc>
        <w:tc>
          <w:tcPr>
            <w:tcW w:w="766" w:type="dxa"/>
          </w:tcPr>
          <w:p w14:paraId="2BF75F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01.04.40</w:t>
            </w:r>
          </w:p>
        </w:tc>
        <w:tc>
          <w:tcPr>
            <w:tcW w:w="766" w:type="dxa"/>
          </w:tcPr>
          <w:p w14:paraId="4C1F4D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01.04.40</w:t>
            </w:r>
          </w:p>
        </w:tc>
        <w:tc>
          <w:tcPr>
            <w:tcW w:w="766" w:type="dxa"/>
          </w:tcPr>
          <w:p w14:paraId="67FFB5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02.40</w:t>
            </w:r>
          </w:p>
        </w:tc>
        <w:tc>
          <w:tcPr>
            <w:tcW w:w="766" w:type="dxa"/>
          </w:tcPr>
          <w:p w14:paraId="57DC50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16.06.40</w:t>
            </w:r>
          </w:p>
        </w:tc>
        <w:tc>
          <w:tcPr>
            <w:tcW w:w="766" w:type="dxa"/>
          </w:tcPr>
          <w:p w14:paraId="39FE8C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766" w:type="dxa"/>
          </w:tcPr>
          <w:p w14:paraId="755EE7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54DB5D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10.39</w:t>
            </w:r>
          </w:p>
        </w:tc>
        <w:tc>
          <w:tcPr>
            <w:tcW w:w="766" w:type="dxa"/>
          </w:tcPr>
          <w:p w14:paraId="7EAED3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3E227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15.09.40</w:t>
            </w:r>
          </w:p>
        </w:tc>
        <w:tc>
          <w:tcPr>
            <w:tcW w:w="766" w:type="dxa"/>
          </w:tcPr>
          <w:p w14:paraId="661A09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зав.</w:t>
            </w:r>
          </w:p>
        </w:tc>
      </w:tr>
      <w:tr w:rsidR="007D5DF8" w:rsidRPr="00DB5D0D" w14:paraId="1F5DFC5C" w14:textId="77777777" w:rsidTr="00E543D0">
        <w:tc>
          <w:tcPr>
            <w:tcW w:w="766" w:type="dxa"/>
          </w:tcPr>
          <w:p w14:paraId="38DC3F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на гос.</w:t>
            </w:r>
          </w:p>
        </w:tc>
        <w:tc>
          <w:tcPr>
            <w:tcW w:w="766" w:type="dxa"/>
          </w:tcPr>
          <w:p w14:paraId="746F2A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дан. и ман.</w:t>
            </w:r>
          </w:p>
        </w:tc>
        <w:tc>
          <w:tcPr>
            <w:tcW w:w="766" w:type="dxa"/>
          </w:tcPr>
          <w:p w14:paraId="67B9D76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F8A6B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выдержал</w:t>
            </w:r>
          </w:p>
        </w:tc>
        <w:tc>
          <w:tcPr>
            <w:tcW w:w="766" w:type="dxa"/>
          </w:tcPr>
          <w:p w14:paraId="5C3BC3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BDA07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 скор., мощ.</w:t>
            </w:r>
          </w:p>
        </w:tc>
        <w:tc>
          <w:tcPr>
            <w:tcW w:w="766" w:type="dxa"/>
          </w:tcPr>
          <w:p w14:paraId="7650C83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41CF1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ЛД высокие</w:t>
            </w:r>
          </w:p>
        </w:tc>
        <w:tc>
          <w:tcPr>
            <w:tcW w:w="766" w:type="dxa"/>
          </w:tcPr>
          <w:p w14:paraId="355711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85970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Неуст. продольн.</w:t>
            </w:r>
          </w:p>
        </w:tc>
        <w:tc>
          <w:tcPr>
            <w:tcW w:w="766" w:type="dxa"/>
          </w:tcPr>
          <w:p w14:paraId="4A39C4F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545C4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 не законч.</w:t>
            </w:r>
          </w:p>
        </w:tc>
        <w:tc>
          <w:tcPr>
            <w:tcW w:w="766" w:type="dxa"/>
          </w:tcPr>
          <w:p w14:paraId="00A0440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25B1590" w14:textId="77777777" w:rsidTr="00E543D0">
        <w:tc>
          <w:tcPr>
            <w:tcW w:w="766" w:type="dxa"/>
          </w:tcPr>
          <w:p w14:paraId="73A7240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E1DCD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современный и</w:t>
            </w:r>
          </w:p>
        </w:tc>
        <w:tc>
          <w:tcPr>
            <w:tcW w:w="766" w:type="dxa"/>
          </w:tcPr>
          <w:p w14:paraId="0871501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E196F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 прочн.</w:t>
            </w:r>
          </w:p>
        </w:tc>
        <w:tc>
          <w:tcPr>
            <w:tcW w:w="766" w:type="dxa"/>
          </w:tcPr>
          <w:p w14:paraId="30DFD3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5D46B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766" w:type="dxa"/>
          </w:tcPr>
          <w:p w14:paraId="1127186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3DF6C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Взл./пос. хор.</w:t>
            </w:r>
          </w:p>
        </w:tc>
        <w:tc>
          <w:tcPr>
            <w:tcW w:w="766" w:type="dxa"/>
          </w:tcPr>
          <w:p w14:paraId="4D5BD2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6B970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оперение</w:t>
            </w:r>
          </w:p>
        </w:tc>
        <w:tc>
          <w:tcPr>
            <w:tcW w:w="766" w:type="dxa"/>
          </w:tcPr>
          <w:p w14:paraId="2319E00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2B376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9CB968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057107C" w14:textId="77777777" w:rsidTr="00E543D0">
        <w:tc>
          <w:tcPr>
            <w:tcW w:w="766" w:type="dxa"/>
          </w:tcPr>
          <w:p w14:paraId="7B56D83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DB21B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ул. прод.</w:t>
            </w:r>
          </w:p>
        </w:tc>
        <w:tc>
          <w:tcPr>
            <w:tcW w:w="766" w:type="dxa"/>
          </w:tcPr>
          <w:p w14:paraId="44DB22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5CCD3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Недоведенность</w:t>
            </w:r>
          </w:p>
        </w:tc>
        <w:tc>
          <w:tcPr>
            <w:tcW w:w="766" w:type="dxa"/>
          </w:tcPr>
          <w:p w14:paraId="3DC8B17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74E3B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Удобен в экспл.</w:t>
            </w:r>
          </w:p>
        </w:tc>
        <w:tc>
          <w:tcPr>
            <w:tcW w:w="766" w:type="dxa"/>
          </w:tcPr>
          <w:p w14:paraId="6F5E481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F0190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 уст. нейт.</w:t>
            </w:r>
          </w:p>
        </w:tc>
        <w:tc>
          <w:tcPr>
            <w:tcW w:w="766" w:type="dxa"/>
          </w:tcPr>
          <w:p w14:paraId="4A07A9B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30689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Скорость мала</w:t>
            </w:r>
          </w:p>
        </w:tc>
        <w:tc>
          <w:tcPr>
            <w:tcW w:w="766" w:type="dxa"/>
          </w:tcPr>
          <w:p w14:paraId="4CD1150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C2139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1B2B85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70A93E6" w14:textId="77777777" w:rsidTr="00E543D0">
        <w:tc>
          <w:tcPr>
            <w:tcW w:w="766" w:type="dxa"/>
          </w:tcPr>
          <w:p w14:paraId="5720637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0941D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устойчтвость</w:t>
            </w:r>
          </w:p>
        </w:tc>
        <w:tc>
          <w:tcPr>
            <w:tcW w:w="766" w:type="dxa"/>
          </w:tcPr>
          <w:p w14:paraId="1D2D3E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BC81A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Взл. пос. хор.</w:t>
            </w:r>
          </w:p>
        </w:tc>
        <w:tc>
          <w:tcPr>
            <w:tcW w:w="766" w:type="dxa"/>
          </w:tcPr>
          <w:p w14:paraId="76BBD74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F3F42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Недоиспытан</w:t>
            </w:r>
          </w:p>
        </w:tc>
        <w:tc>
          <w:tcPr>
            <w:tcW w:w="766" w:type="dxa"/>
          </w:tcPr>
          <w:p w14:paraId="58F52AC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076A58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2B8FD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DDBCF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 мощное</w:t>
            </w:r>
          </w:p>
        </w:tc>
        <w:tc>
          <w:tcPr>
            <w:tcW w:w="766" w:type="dxa"/>
          </w:tcPr>
          <w:p w14:paraId="34B4DDC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9AD31E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46022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8FE0326" w14:textId="77777777" w:rsidTr="00E543D0">
        <w:tc>
          <w:tcPr>
            <w:tcW w:w="766" w:type="dxa"/>
          </w:tcPr>
          <w:p w14:paraId="0BD8A9B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1F365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 посад. д.</w:t>
            </w:r>
          </w:p>
        </w:tc>
        <w:tc>
          <w:tcPr>
            <w:tcW w:w="766" w:type="dxa"/>
          </w:tcPr>
          <w:p w14:paraId="4191D29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24955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 скор. и проб.</w:t>
            </w:r>
          </w:p>
        </w:tc>
        <w:tc>
          <w:tcPr>
            <w:tcW w:w="766" w:type="dxa"/>
          </w:tcPr>
          <w:p w14:paraId="226E97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7C39C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 и ВМГ</w:t>
            </w:r>
          </w:p>
        </w:tc>
        <w:tc>
          <w:tcPr>
            <w:tcW w:w="766" w:type="dxa"/>
          </w:tcPr>
          <w:p w14:paraId="7664FBD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B1E13C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BE9039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53AC8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Экспл. проста</w:t>
            </w:r>
          </w:p>
        </w:tc>
        <w:tc>
          <w:tcPr>
            <w:tcW w:w="766" w:type="dxa"/>
          </w:tcPr>
          <w:p w14:paraId="1B36A63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A93268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A39083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0A87B1B" w14:textId="77777777" w:rsidTr="00E543D0">
        <w:tc>
          <w:tcPr>
            <w:tcW w:w="766" w:type="dxa"/>
          </w:tcPr>
          <w:p w14:paraId="63CB8D5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2FB0A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 вооружение</w:t>
            </w:r>
          </w:p>
        </w:tc>
        <w:tc>
          <w:tcPr>
            <w:tcW w:w="766" w:type="dxa"/>
          </w:tcPr>
          <w:p w14:paraId="43C8987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18E57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 хор.</w:t>
            </w:r>
          </w:p>
        </w:tc>
        <w:tc>
          <w:tcPr>
            <w:tcW w:w="766" w:type="dxa"/>
          </w:tcPr>
          <w:p w14:paraId="4CB58D9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C067A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 доводки</w:t>
            </w:r>
          </w:p>
        </w:tc>
        <w:tc>
          <w:tcPr>
            <w:tcW w:w="766" w:type="dxa"/>
          </w:tcPr>
          <w:p w14:paraId="4F8FD9F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CA9662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9C060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447A3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B4639A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01DB98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F62E9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50DBE34" w14:textId="77777777" w:rsidTr="00E543D0">
        <w:tc>
          <w:tcPr>
            <w:tcW w:w="766" w:type="dxa"/>
          </w:tcPr>
          <w:p w14:paraId="6A87A3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 И</w:t>
            </w:r>
          </w:p>
        </w:tc>
        <w:tc>
          <w:tcPr>
            <w:tcW w:w="766" w:type="dxa"/>
          </w:tcPr>
          <w:p w14:paraId="709A7C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 неслож.</w:t>
            </w:r>
          </w:p>
        </w:tc>
        <w:tc>
          <w:tcPr>
            <w:tcW w:w="766" w:type="dxa"/>
          </w:tcPr>
          <w:p w14:paraId="719D217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4192B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произ. прост</w:t>
            </w:r>
          </w:p>
        </w:tc>
        <w:tc>
          <w:tcPr>
            <w:tcW w:w="766" w:type="dxa"/>
          </w:tcPr>
          <w:p w14:paraId="449ADEB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45F5C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Дельта-древес.</w:t>
            </w:r>
          </w:p>
        </w:tc>
        <w:tc>
          <w:tcPr>
            <w:tcW w:w="766" w:type="dxa"/>
          </w:tcPr>
          <w:p w14:paraId="597D351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36A54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Возм. агр. сбор.</w:t>
            </w:r>
          </w:p>
        </w:tc>
        <w:tc>
          <w:tcPr>
            <w:tcW w:w="766" w:type="dxa"/>
          </w:tcPr>
          <w:p w14:paraId="1148C9F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078AF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Бронир. кабина</w:t>
            </w:r>
          </w:p>
        </w:tc>
        <w:tc>
          <w:tcPr>
            <w:tcW w:w="766" w:type="dxa"/>
          </w:tcPr>
          <w:p w14:paraId="20E7C54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688E4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 как у И-16</w:t>
            </w:r>
          </w:p>
        </w:tc>
        <w:tc>
          <w:tcPr>
            <w:tcW w:w="766" w:type="dxa"/>
          </w:tcPr>
          <w:p w14:paraId="7CAF1D8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85857B0" w14:textId="77777777" w:rsidTr="00E543D0">
        <w:tc>
          <w:tcPr>
            <w:tcW w:w="766" w:type="dxa"/>
          </w:tcPr>
          <w:p w14:paraId="5B46C7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технологичности</w:t>
            </w:r>
          </w:p>
        </w:tc>
        <w:tc>
          <w:tcPr>
            <w:tcW w:w="766" w:type="dxa"/>
          </w:tcPr>
          <w:p w14:paraId="4554E8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Монтаж воор.</w:t>
            </w:r>
          </w:p>
        </w:tc>
        <w:tc>
          <w:tcPr>
            <w:tcW w:w="766" w:type="dxa"/>
          </w:tcPr>
          <w:p w14:paraId="6566D72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558B6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7569E9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10EA8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произ. прост</w:t>
            </w:r>
          </w:p>
        </w:tc>
        <w:tc>
          <w:tcPr>
            <w:tcW w:w="766" w:type="dxa"/>
          </w:tcPr>
          <w:p w14:paraId="6A65DF3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13092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круп. серии</w:t>
            </w:r>
          </w:p>
        </w:tc>
        <w:tc>
          <w:tcPr>
            <w:tcW w:w="766" w:type="dxa"/>
          </w:tcPr>
          <w:p w14:paraId="1F7207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48B3E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 ср. завода</w:t>
            </w:r>
          </w:p>
        </w:tc>
        <w:tc>
          <w:tcPr>
            <w:tcW w:w="766" w:type="dxa"/>
          </w:tcPr>
          <w:p w14:paraId="1CEEF0D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59B66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Хорош для кр. сер.</w:t>
            </w:r>
          </w:p>
        </w:tc>
        <w:tc>
          <w:tcPr>
            <w:tcW w:w="766" w:type="dxa"/>
          </w:tcPr>
          <w:p w14:paraId="05A57A7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34EA46A" w14:textId="77777777" w:rsidTr="00E543D0">
        <w:tc>
          <w:tcPr>
            <w:tcW w:w="766" w:type="dxa"/>
          </w:tcPr>
          <w:p w14:paraId="3028CBB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81BD79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F2B7B5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227F2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прост</w:t>
            </w:r>
          </w:p>
        </w:tc>
        <w:tc>
          <w:tcPr>
            <w:tcW w:w="766" w:type="dxa"/>
          </w:tcPr>
          <w:p w14:paraId="61A04A8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D5775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Отл. отделка</w:t>
            </w:r>
          </w:p>
        </w:tc>
        <w:tc>
          <w:tcPr>
            <w:tcW w:w="766" w:type="dxa"/>
          </w:tcPr>
          <w:p w14:paraId="7F45ACF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F0A4F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Есть персп. на</w:t>
            </w:r>
          </w:p>
        </w:tc>
        <w:tc>
          <w:tcPr>
            <w:tcW w:w="766" w:type="dxa"/>
          </w:tcPr>
          <w:p w14:paraId="3986E01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6509C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Легко меняется</w:t>
            </w:r>
          </w:p>
        </w:tc>
        <w:tc>
          <w:tcPr>
            <w:tcW w:w="766" w:type="dxa"/>
          </w:tcPr>
          <w:p w14:paraId="5D84CD9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AD089E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D48220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8124EF2" w14:textId="77777777" w:rsidTr="00E543D0">
        <w:tc>
          <w:tcPr>
            <w:tcW w:w="766" w:type="dxa"/>
            <w:tcBorders>
              <w:bottom w:val="single" w:sz="12" w:space="0" w:color="auto"/>
            </w:tcBorders>
          </w:tcPr>
          <w:p w14:paraId="4B06349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481DA7D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34BD4C3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5D216A5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65F86FD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06E7000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66F877C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65184E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 мотор</w:t>
            </w:r>
          </w:p>
        </w:tc>
        <w:tc>
          <w:tcPr>
            <w:tcW w:w="766" w:type="dxa"/>
            <w:tcBorders>
              <w:bottom w:val="single" w:sz="12" w:space="0" w:color="auto"/>
            </w:tcBorders>
          </w:tcPr>
          <w:p w14:paraId="707B433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43CDE0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766" w:type="dxa"/>
            <w:tcBorders>
              <w:bottom w:val="single" w:sz="12" w:space="0" w:color="auto"/>
            </w:tcBorders>
          </w:tcPr>
          <w:p w14:paraId="4C20161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05FB73D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1A9743D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316B6A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(2090,140).</w:t>
      </w:r>
    </w:p>
    <w:p w14:paraId="00E014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Бомбардировщики и штурмовики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66"/>
        <w:gridCol w:w="766"/>
        <w:gridCol w:w="766"/>
        <w:gridCol w:w="766"/>
        <w:gridCol w:w="766"/>
        <w:gridCol w:w="766"/>
        <w:gridCol w:w="766"/>
        <w:gridCol w:w="766"/>
        <w:gridCol w:w="766"/>
        <w:gridCol w:w="766"/>
        <w:gridCol w:w="766"/>
        <w:gridCol w:w="766"/>
        <w:gridCol w:w="766"/>
      </w:tblGrid>
      <w:tr w:rsidR="007D5DF8" w:rsidRPr="00DB5D0D" w14:paraId="155AD202" w14:textId="77777777" w:rsidTr="00E543D0">
        <w:tc>
          <w:tcPr>
            <w:tcW w:w="766" w:type="dxa"/>
            <w:tcBorders>
              <w:top w:val="single" w:sz="12" w:space="0" w:color="auto"/>
            </w:tcBorders>
          </w:tcPr>
          <w:p w14:paraId="2F8BA1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Показатели</w:t>
            </w:r>
          </w:p>
        </w:tc>
        <w:tc>
          <w:tcPr>
            <w:tcW w:w="766" w:type="dxa"/>
            <w:tcBorders>
              <w:top w:val="single" w:sz="12" w:space="0" w:color="auto"/>
            </w:tcBorders>
          </w:tcPr>
          <w:p w14:paraId="1AD16D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 2М-105</w:t>
            </w:r>
          </w:p>
        </w:tc>
        <w:tc>
          <w:tcPr>
            <w:tcW w:w="766" w:type="dxa"/>
            <w:tcBorders>
              <w:top w:val="single" w:sz="12" w:space="0" w:color="auto"/>
            </w:tcBorders>
          </w:tcPr>
          <w:p w14:paraId="6F58300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2536AE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 2М-105</w:t>
            </w:r>
          </w:p>
        </w:tc>
        <w:tc>
          <w:tcPr>
            <w:tcW w:w="766" w:type="dxa"/>
            <w:tcBorders>
              <w:top w:val="single" w:sz="12" w:space="0" w:color="auto"/>
            </w:tcBorders>
          </w:tcPr>
          <w:p w14:paraId="3DCE913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38A4FF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 ЛК 2М-87Б</w:t>
            </w:r>
          </w:p>
        </w:tc>
        <w:tc>
          <w:tcPr>
            <w:tcW w:w="766" w:type="dxa"/>
            <w:tcBorders>
              <w:top w:val="single" w:sz="12" w:space="0" w:color="auto"/>
            </w:tcBorders>
          </w:tcPr>
          <w:p w14:paraId="2CF771F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2BDBAD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ББ-22 М-105</w:t>
            </w:r>
          </w:p>
        </w:tc>
        <w:tc>
          <w:tcPr>
            <w:tcW w:w="766" w:type="dxa"/>
            <w:tcBorders>
              <w:top w:val="single" w:sz="12" w:space="0" w:color="auto"/>
            </w:tcBorders>
          </w:tcPr>
          <w:p w14:paraId="25907EA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3356BF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ББ-1 М-88</w:t>
            </w:r>
          </w:p>
        </w:tc>
        <w:tc>
          <w:tcPr>
            <w:tcW w:w="766" w:type="dxa"/>
            <w:tcBorders>
              <w:top w:val="single" w:sz="12" w:space="0" w:color="auto"/>
            </w:tcBorders>
          </w:tcPr>
          <w:p w14:paraId="21EC4A6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00EE8A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БШ АМ-35</w:t>
            </w:r>
          </w:p>
        </w:tc>
        <w:tc>
          <w:tcPr>
            <w:tcW w:w="766" w:type="dxa"/>
            <w:tcBorders>
              <w:top w:val="single" w:sz="12" w:space="0" w:color="auto"/>
            </w:tcBorders>
          </w:tcPr>
          <w:p w14:paraId="5A4B49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D03BEB9" w14:textId="77777777" w:rsidTr="00E543D0">
        <w:tc>
          <w:tcPr>
            <w:tcW w:w="766" w:type="dxa"/>
          </w:tcPr>
          <w:p w14:paraId="58374CD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C8B1A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5F72AD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w:t>
            </w:r>
          </w:p>
        </w:tc>
        <w:tc>
          <w:tcPr>
            <w:tcW w:w="766" w:type="dxa"/>
          </w:tcPr>
          <w:p w14:paraId="4D8545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0CD041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 исп.</w:t>
            </w:r>
          </w:p>
        </w:tc>
        <w:tc>
          <w:tcPr>
            <w:tcW w:w="766" w:type="dxa"/>
          </w:tcPr>
          <w:p w14:paraId="2C5CFC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065DCC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w:t>
            </w:r>
          </w:p>
        </w:tc>
        <w:tc>
          <w:tcPr>
            <w:tcW w:w="766" w:type="dxa"/>
          </w:tcPr>
          <w:p w14:paraId="5783F3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7C33BA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 исп.</w:t>
            </w:r>
          </w:p>
        </w:tc>
        <w:tc>
          <w:tcPr>
            <w:tcW w:w="766" w:type="dxa"/>
          </w:tcPr>
          <w:p w14:paraId="677564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1DA541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w:t>
            </w:r>
          </w:p>
        </w:tc>
        <w:tc>
          <w:tcPr>
            <w:tcW w:w="766" w:type="dxa"/>
          </w:tcPr>
          <w:p w14:paraId="67CCE6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w:t>
            </w:r>
          </w:p>
        </w:tc>
        <w:tc>
          <w:tcPr>
            <w:tcW w:w="766" w:type="dxa"/>
          </w:tcPr>
          <w:p w14:paraId="3AC0AE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w:t>
            </w:r>
          </w:p>
        </w:tc>
      </w:tr>
      <w:tr w:rsidR="007D5DF8" w:rsidRPr="00DB5D0D" w14:paraId="46327328" w14:textId="77777777" w:rsidTr="00E543D0">
        <w:tc>
          <w:tcPr>
            <w:tcW w:w="766" w:type="dxa"/>
          </w:tcPr>
          <w:p w14:paraId="63B886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w:t>
            </w:r>
          </w:p>
        </w:tc>
        <w:tc>
          <w:tcPr>
            <w:tcW w:w="766" w:type="dxa"/>
          </w:tcPr>
          <w:p w14:paraId="38FA13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766" w:type="dxa"/>
          </w:tcPr>
          <w:p w14:paraId="6CD9831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F8605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766" w:type="dxa"/>
          </w:tcPr>
          <w:p w14:paraId="038765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C5DD2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766" w:type="dxa"/>
          </w:tcPr>
          <w:p w14:paraId="3668C6D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CA0E7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c>
          <w:tcPr>
            <w:tcW w:w="766" w:type="dxa"/>
          </w:tcPr>
          <w:p w14:paraId="73D8E30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2897F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156</w:t>
            </w:r>
          </w:p>
        </w:tc>
        <w:tc>
          <w:tcPr>
            <w:tcW w:w="766" w:type="dxa"/>
          </w:tcPr>
          <w:p w14:paraId="4FFC48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C7B63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w:t>
            </w:r>
          </w:p>
        </w:tc>
        <w:tc>
          <w:tcPr>
            <w:tcW w:w="766" w:type="dxa"/>
          </w:tcPr>
          <w:p w14:paraId="44B3F10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4BA0810" w14:textId="77777777" w:rsidTr="00E543D0">
        <w:tc>
          <w:tcPr>
            <w:tcW w:w="766" w:type="dxa"/>
          </w:tcPr>
          <w:p w14:paraId="1878A8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w:t>
            </w:r>
          </w:p>
        </w:tc>
        <w:tc>
          <w:tcPr>
            <w:tcW w:w="766" w:type="dxa"/>
          </w:tcPr>
          <w:p w14:paraId="67EB41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отд. 29</w:t>
            </w:r>
          </w:p>
        </w:tc>
        <w:tc>
          <w:tcPr>
            <w:tcW w:w="766" w:type="dxa"/>
          </w:tcPr>
          <w:p w14:paraId="472F1B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54E69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Ермолаев</w:t>
            </w:r>
          </w:p>
        </w:tc>
        <w:tc>
          <w:tcPr>
            <w:tcW w:w="766" w:type="dxa"/>
          </w:tcPr>
          <w:p w14:paraId="5C35F6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D2BAC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Беляев</w:t>
            </w:r>
          </w:p>
        </w:tc>
        <w:tc>
          <w:tcPr>
            <w:tcW w:w="766" w:type="dxa"/>
          </w:tcPr>
          <w:p w14:paraId="2F82BB8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561BD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Стронгин</w:t>
            </w:r>
          </w:p>
        </w:tc>
        <w:tc>
          <w:tcPr>
            <w:tcW w:w="766" w:type="dxa"/>
          </w:tcPr>
          <w:p w14:paraId="51B1C64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C1170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w:t>
            </w:r>
          </w:p>
        </w:tc>
        <w:tc>
          <w:tcPr>
            <w:tcW w:w="766" w:type="dxa"/>
          </w:tcPr>
          <w:p w14:paraId="3411357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33D1C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С.В.И.</w:t>
            </w:r>
          </w:p>
        </w:tc>
        <w:tc>
          <w:tcPr>
            <w:tcW w:w="766" w:type="dxa"/>
          </w:tcPr>
          <w:p w14:paraId="2A7E276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B58CFB0" w14:textId="77777777" w:rsidTr="00E543D0">
        <w:tc>
          <w:tcPr>
            <w:tcW w:w="766" w:type="dxa"/>
          </w:tcPr>
          <w:p w14:paraId="2FD414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Мощность нр/м</w:t>
            </w:r>
          </w:p>
        </w:tc>
        <w:tc>
          <w:tcPr>
            <w:tcW w:w="766" w:type="dxa"/>
          </w:tcPr>
          <w:p w14:paraId="761F44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2х1000/</w:t>
            </w:r>
          </w:p>
        </w:tc>
        <w:tc>
          <w:tcPr>
            <w:tcW w:w="766" w:type="dxa"/>
          </w:tcPr>
          <w:p w14:paraId="2896AC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2х1000/</w:t>
            </w:r>
          </w:p>
        </w:tc>
        <w:tc>
          <w:tcPr>
            <w:tcW w:w="766" w:type="dxa"/>
          </w:tcPr>
          <w:p w14:paraId="3754F5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2х1000/</w:t>
            </w:r>
          </w:p>
        </w:tc>
        <w:tc>
          <w:tcPr>
            <w:tcW w:w="766" w:type="dxa"/>
          </w:tcPr>
          <w:p w14:paraId="5164A9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2х1050/</w:t>
            </w:r>
          </w:p>
        </w:tc>
        <w:tc>
          <w:tcPr>
            <w:tcW w:w="766" w:type="dxa"/>
          </w:tcPr>
          <w:p w14:paraId="1DBC23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2х1000/</w:t>
            </w:r>
          </w:p>
        </w:tc>
        <w:tc>
          <w:tcPr>
            <w:tcW w:w="766" w:type="dxa"/>
          </w:tcPr>
          <w:p w14:paraId="55B0AF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2х950/</w:t>
            </w:r>
          </w:p>
        </w:tc>
        <w:tc>
          <w:tcPr>
            <w:tcW w:w="766" w:type="dxa"/>
          </w:tcPr>
          <w:p w14:paraId="76575D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2х1000/</w:t>
            </w:r>
          </w:p>
        </w:tc>
        <w:tc>
          <w:tcPr>
            <w:tcW w:w="766" w:type="dxa"/>
          </w:tcPr>
          <w:p w14:paraId="10B8EA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2х1050/</w:t>
            </w:r>
          </w:p>
        </w:tc>
        <w:tc>
          <w:tcPr>
            <w:tcW w:w="766" w:type="dxa"/>
          </w:tcPr>
          <w:p w14:paraId="210593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66" w:type="dxa"/>
          </w:tcPr>
          <w:p w14:paraId="6DEC78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66" w:type="dxa"/>
          </w:tcPr>
          <w:p w14:paraId="23D774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766" w:type="dxa"/>
          </w:tcPr>
          <w:p w14:paraId="1BA606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r>
      <w:tr w:rsidR="007D5DF8" w:rsidRPr="00DB5D0D" w14:paraId="35B9A055" w14:textId="77777777" w:rsidTr="00E543D0">
        <w:tc>
          <w:tcPr>
            <w:tcW w:w="766" w:type="dxa"/>
          </w:tcPr>
          <w:p w14:paraId="2924692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4E3E6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8500</w:t>
            </w:r>
          </w:p>
        </w:tc>
        <w:tc>
          <w:tcPr>
            <w:tcW w:w="766" w:type="dxa"/>
          </w:tcPr>
          <w:p w14:paraId="660205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7694C9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450FAC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766" w:type="dxa"/>
          </w:tcPr>
          <w:p w14:paraId="0552AB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4F8EA0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4100</w:t>
            </w:r>
          </w:p>
        </w:tc>
        <w:tc>
          <w:tcPr>
            <w:tcW w:w="766" w:type="dxa"/>
          </w:tcPr>
          <w:p w14:paraId="2DAEED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2AE542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382903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186BCA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7A3487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c>
          <w:tcPr>
            <w:tcW w:w="766" w:type="dxa"/>
          </w:tcPr>
          <w:p w14:paraId="4C4608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4500</w:t>
            </w:r>
          </w:p>
        </w:tc>
      </w:tr>
      <w:tr w:rsidR="007D5DF8" w:rsidRPr="00DB5D0D" w14:paraId="23EC4F32" w14:textId="77777777" w:rsidTr="00E543D0">
        <w:tc>
          <w:tcPr>
            <w:tcW w:w="766" w:type="dxa"/>
          </w:tcPr>
          <w:p w14:paraId="2D48AA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 у зем.</w:t>
            </w:r>
          </w:p>
        </w:tc>
        <w:tc>
          <w:tcPr>
            <w:tcW w:w="766" w:type="dxa"/>
          </w:tcPr>
          <w:p w14:paraId="57BC37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6AB79B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w:t>
            </w:r>
          </w:p>
        </w:tc>
        <w:tc>
          <w:tcPr>
            <w:tcW w:w="766" w:type="dxa"/>
          </w:tcPr>
          <w:p w14:paraId="20D0DB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078AB3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385</w:t>
            </w:r>
          </w:p>
        </w:tc>
        <w:tc>
          <w:tcPr>
            <w:tcW w:w="766" w:type="dxa"/>
          </w:tcPr>
          <w:p w14:paraId="6F031D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659A86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395</w:t>
            </w:r>
          </w:p>
        </w:tc>
        <w:tc>
          <w:tcPr>
            <w:tcW w:w="766" w:type="dxa"/>
          </w:tcPr>
          <w:p w14:paraId="742F7E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5D08D1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w:t>
            </w:r>
          </w:p>
        </w:tc>
        <w:tc>
          <w:tcPr>
            <w:tcW w:w="766" w:type="dxa"/>
          </w:tcPr>
          <w:p w14:paraId="365A02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425</w:t>
            </w:r>
          </w:p>
        </w:tc>
        <w:tc>
          <w:tcPr>
            <w:tcW w:w="766" w:type="dxa"/>
          </w:tcPr>
          <w:p w14:paraId="361446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375</w:t>
            </w:r>
          </w:p>
        </w:tc>
        <w:tc>
          <w:tcPr>
            <w:tcW w:w="766" w:type="dxa"/>
          </w:tcPr>
          <w:p w14:paraId="42CF8E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385-400</w:t>
            </w:r>
          </w:p>
        </w:tc>
        <w:tc>
          <w:tcPr>
            <w:tcW w:w="766" w:type="dxa"/>
          </w:tcPr>
          <w:p w14:paraId="2F95E1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362</w:t>
            </w:r>
          </w:p>
        </w:tc>
      </w:tr>
      <w:tr w:rsidR="007D5DF8" w:rsidRPr="00DB5D0D" w14:paraId="0978D4A8" w14:textId="77777777" w:rsidTr="00E543D0">
        <w:tc>
          <w:tcPr>
            <w:tcW w:w="766" w:type="dxa"/>
          </w:tcPr>
          <w:p w14:paraId="3BA6EE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скор./выс.</w:t>
            </w:r>
          </w:p>
        </w:tc>
        <w:tc>
          <w:tcPr>
            <w:tcW w:w="766" w:type="dxa"/>
          </w:tcPr>
          <w:p w14:paraId="0E16C8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630</w:t>
            </w:r>
          </w:p>
        </w:tc>
        <w:tc>
          <w:tcPr>
            <w:tcW w:w="766" w:type="dxa"/>
          </w:tcPr>
          <w:p w14:paraId="1B0F55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538/</w:t>
            </w:r>
          </w:p>
        </w:tc>
        <w:tc>
          <w:tcPr>
            <w:tcW w:w="766" w:type="dxa"/>
          </w:tcPr>
          <w:p w14:paraId="3648DD5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766" w:type="dxa"/>
          </w:tcPr>
          <w:p w14:paraId="246129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455/</w:t>
            </w:r>
          </w:p>
        </w:tc>
        <w:tc>
          <w:tcPr>
            <w:tcW w:w="766" w:type="dxa"/>
          </w:tcPr>
          <w:p w14:paraId="3E924D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w:t>
            </w:r>
          </w:p>
        </w:tc>
        <w:tc>
          <w:tcPr>
            <w:tcW w:w="766" w:type="dxa"/>
          </w:tcPr>
          <w:p w14:paraId="0DB6F0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488/</w:t>
            </w:r>
          </w:p>
        </w:tc>
        <w:tc>
          <w:tcPr>
            <w:tcW w:w="766" w:type="dxa"/>
          </w:tcPr>
          <w:p w14:paraId="3E3507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590/</w:t>
            </w:r>
          </w:p>
        </w:tc>
        <w:tc>
          <w:tcPr>
            <w:tcW w:w="766" w:type="dxa"/>
          </w:tcPr>
          <w:p w14:paraId="137887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574/</w:t>
            </w:r>
          </w:p>
        </w:tc>
        <w:tc>
          <w:tcPr>
            <w:tcW w:w="766" w:type="dxa"/>
          </w:tcPr>
          <w:p w14:paraId="11E2FB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c>
          <w:tcPr>
            <w:tcW w:w="766" w:type="dxa"/>
          </w:tcPr>
          <w:p w14:paraId="4BC549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468-467/</w:t>
            </w:r>
          </w:p>
        </w:tc>
        <w:tc>
          <w:tcPr>
            <w:tcW w:w="766" w:type="dxa"/>
          </w:tcPr>
          <w:p w14:paraId="6AB127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949A6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422/</w:t>
            </w:r>
          </w:p>
        </w:tc>
      </w:tr>
      <w:tr w:rsidR="007D5DF8" w:rsidRPr="00DB5D0D" w14:paraId="71F14CF7" w14:textId="77777777" w:rsidTr="00E543D0">
        <w:tc>
          <w:tcPr>
            <w:tcW w:w="766" w:type="dxa"/>
          </w:tcPr>
          <w:p w14:paraId="7B82EF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925EE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6F2DEB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4FA38F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6000</w:t>
            </w:r>
          </w:p>
        </w:tc>
        <w:tc>
          <w:tcPr>
            <w:tcW w:w="766" w:type="dxa"/>
          </w:tcPr>
          <w:p w14:paraId="50C191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4700</w:t>
            </w:r>
          </w:p>
        </w:tc>
        <w:tc>
          <w:tcPr>
            <w:tcW w:w="766" w:type="dxa"/>
          </w:tcPr>
          <w:p w14:paraId="2CF2EE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766" w:type="dxa"/>
          </w:tcPr>
          <w:p w14:paraId="7EBD7A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5100</w:t>
            </w:r>
          </w:p>
        </w:tc>
        <w:tc>
          <w:tcPr>
            <w:tcW w:w="766" w:type="dxa"/>
          </w:tcPr>
          <w:p w14:paraId="4610DF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766" w:type="dxa"/>
          </w:tcPr>
          <w:p w14:paraId="1050C1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4800</w:t>
            </w:r>
          </w:p>
        </w:tc>
        <w:tc>
          <w:tcPr>
            <w:tcW w:w="766" w:type="dxa"/>
          </w:tcPr>
          <w:p w14:paraId="05261B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7000</w:t>
            </w:r>
          </w:p>
        </w:tc>
        <w:tc>
          <w:tcPr>
            <w:tcW w:w="766" w:type="dxa"/>
          </w:tcPr>
          <w:p w14:paraId="22063A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4600-66</w:t>
            </w:r>
          </w:p>
        </w:tc>
        <w:tc>
          <w:tcPr>
            <w:tcW w:w="766" w:type="dxa"/>
          </w:tcPr>
          <w:p w14:paraId="63F1D57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F9714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r>
      <w:tr w:rsidR="007D5DF8" w:rsidRPr="00DB5D0D" w14:paraId="01AF6EB4" w14:textId="77777777" w:rsidTr="00E543D0">
        <w:tc>
          <w:tcPr>
            <w:tcW w:w="766" w:type="dxa"/>
          </w:tcPr>
          <w:p w14:paraId="51229E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w:t>
            </w:r>
          </w:p>
        </w:tc>
        <w:tc>
          <w:tcPr>
            <w:tcW w:w="766" w:type="dxa"/>
          </w:tcPr>
          <w:p w14:paraId="383627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16.5/10</w:t>
            </w:r>
          </w:p>
        </w:tc>
        <w:tc>
          <w:tcPr>
            <w:tcW w:w="766" w:type="dxa"/>
          </w:tcPr>
          <w:p w14:paraId="1091A7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6.8/4</w:t>
            </w:r>
          </w:p>
        </w:tc>
        <w:tc>
          <w:tcPr>
            <w:tcW w:w="766" w:type="dxa"/>
          </w:tcPr>
          <w:p w14:paraId="3EE41A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16/4</w:t>
            </w:r>
          </w:p>
        </w:tc>
        <w:tc>
          <w:tcPr>
            <w:tcW w:w="766" w:type="dxa"/>
          </w:tcPr>
          <w:p w14:paraId="4FD292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17.5/4.7</w:t>
            </w:r>
          </w:p>
        </w:tc>
        <w:tc>
          <w:tcPr>
            <w:tcW w:w="766" w:type="dxa"/>
          </w:tcPr>
          <w:p w14:paraId="5C58B7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8.9/5</w:t>
            </w:r>
          </w:p>
        </w:tc>
        <w:tc>
          <w:tcPr>
            <w:tcW w:w="766" w:type="dxa"/>
          </w:tcPr>
          <w:p w14:paraId="529597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13.6/5</w:t>
            </w:r>
          </w:p>
        </w:tc>
        <w:tc>
          <w:tcPr>
            <w:tcW w:w="766" w:type="dxa"/>
          </w:tcPr>
          <w:p w14:paraId="4FDB58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CD51D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5.4/5</w:t>
            </w:r>
          </w:p>
        </w:tc>
        <w:tc>
          <w:tcPr>
            <w:tcW w:w="766" w:type="dxa"/>
          </w:tcPr>
          <w:p w14:paraId="06D90B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3-4/5</w:t>
            </w:r>
          </w:p>
        </w:tc>
        <w:tc>
          <w:tcPr>
            <w:tcW w:w="766" w:type="dxa"/>
          </w:tcPr>
          <w:p w14:paraId="4F9BAF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5.5/5</w:t>
            </w:r>
          </w:p>
        </w:tc>
        <w:tc>
          <w:tcPr>
            <w:tcW w:w="766" w:type="dxa"/>
          </w:tcPr>
          <w:p w14:paraId="229F24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8-9/5</w:t>
            </w:r>
          </w:p>
        </w:tc>
        <w:tc>
          <w:tcPr>
            <w:tcW w:w="766" w:type="dxa"/>
          </w:tcPr>
          <w:p w14:paraId="4E4680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11.5/5</w:t>
            </w:r>
          </w:p>
        </w:tc>
      </w:tr>
      <w:tr w:rsidR="007D5DF8" w:rsidRPr="00DB5D0D" w14:paraId="45A6D29C" w14:textId="77777777" w:rsidTr="00E543D0">
        <w:tc>
          <w:tcPr>
            <w:tcW w:w="766" w:type="dxa"/>
          </w:tcPr>
          <w:p w14:paraId="42369F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Потолок</w:t>
            </w:r>
          </w:p>
        </w:tc>
        <w:tc>
          <w:tcPr>
            <w:tcW w:w="766" w:type="dxa"/>
          </w:tcPr>
          <w:p w14:paraId="449755E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CC6A0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12500</w:t>
            </w:r>
          </w:p>
        </w:tc>
        <w:tc>
          <w:tcPr>
            <w:tcW w:w="766" w:type="dxa"/>
          </w:tcPr>
          <w:p w14:paraId="6B16D9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66A367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w:t>
            </w:r>
          </w:p>
        </w:tc>
        <w:tc>
          <w:tcPr>
            <w:tcW w:w="766" w:type="dxa"/>
          </w:tcPr>
          <w:p w14:paraId="25C6B5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6900</w:t>
            </w:r>
          </w:p>
        </w:tc>
        <w:tc>
          <w:tcPr>
            <w:tcW w:w="766" w:type="dxa"/>
          </w:tcPr>
          <w:p w14:paraId="533C2F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766" w:type="dxa"/>
          </w:tcPr>
          <w:p w14:paraId="46F4A6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8500</w:t>
            </w:r>
          </w:p>
        </w:tc>
        <w:tc>
          <w:tcPr>
            <w:tcW w:w="766" w:type="dxa"/>
          </w:tcPr>
          <w:p w14:paraId="3294A8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11000</w:t>
            </w:r>
          </w:p>
        </w:tc>
        <w:tc>
          <w:tcPr>
            <w:tcW w:w="766" w:type="dxa"/>
          </w:tcPr>
          <w:p w14:paraId="0C0B89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766" w:type="dxa"/>
          </w:tcPr>
          <w:p w14:paraId="31A2B5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10000</w:t>
            </w:r>
          </w:p>
        </w:tc>
        <w:tc>
          <w:tcPr>
            <w:tcW w:w="766" w:type="dxa"/>
          </w:tcPr>
          <w:p w14:paraId="4A1884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8900</w:t>
            </w:r>
          </w:p>
        </w:tc>
        <w:tc>
          <w:tcPr>
            <w:tcW w:w="766" w:type="dxa"/>
          </w:tcPr>
          <w:p w14:paraId="29AF50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9-9500</w:t>
            </w:r>
          </w:p>
        </w:tc>
      </w:tr>
      <w:tr w:rsidR="007D5DF8" w:rsidRPr="00DB5D0D" w14:paraId="0FCC5490" w14:textId="77777777" w:rsidTr="00E543D0">
        <w:tc>
          <w:tcPr>
            <w:tcW w:w="766" w:type="dxa"/>
          </w:tcPr>
          <w:p w14:paraId="2BEA94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 Скорость</w:t>
            </w:r>
          </w:p>
        </w:tc>
        <w:tc>
          <w:tcPr>
            <w:tcW w:w="766" w:type="dxa"/>
          </w:tcPr>
          <w:p w14:paraId="6148EB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115</w:t>
            </w:r>
          </w:p>
        </w:tc>
        <w:tc>
          <w:tcPr>
            <w:tcW w:w="766" w:type="dxa"/>
          </w:tcPr>
          <w:p w14:paraId="459195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c>
          <w:tcPr>
            <w:tcW w:w="766" w:type="dxa"/>
          </w:tcPr>
          <w:p w14:paraId="7D2744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668CB5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3F1BFB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110-115</w:t>
            </w:r>
          </w:p>
        </w:tc>
        <w:tc>
          <w:tcPr>
            <w:tcW w:w="766" w:type="dxa"/>
          </w:tcPr>
          <w:p w14:paraId="2F9389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w:t>
            </w:r>
          </w:p>
        </w:tc>
        <w:tc>
          <w:tcPr>
            <w:tcW w:w="766" w:type="dxa"/>
          </w:tcPr>
          <w:p w14:paraId="4A09D3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766" w:type="dxa"/>
          </w:tcPr>
          <w:p w14:paraId="760BAA8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c>
          <w:tcPr>
            <w:tcW w:w="766" w:type="dxa"/>
          </w:tcPr>
          <w:p w14:paraId="389B07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w:t>
            </w:r>
          </w:p>
        </w:tc>
        <w:tc>
          <w:tcPr>
            <w:tcW w:w="766" w:type="dxa"/>
          </w:tcPr>
          <w:p w14:paraId="2E82DF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6DCEA9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105-110</w:t>
            </w:r>
          </w:p>
        </w:tc>
        <w:tc>
          <w:tcPr>
            <w:tcW w:w="766" w:type="dxa"/>
          </w:tcPr>
          <w:p w14:paraId="2C45E0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w:t>
            </w:r>
          </w:p>
        </w:tc>
      </w:tr>
      <w:tr w:rsidR="007D5DF8" w:rsidRPr="00DB5D0D" w14:paraId="18F67324" w14:textId="77777777" w:rsidTr="00E543D0">
        <w:tc>
          <w:tcPr>
            <w:tcW w:w="766" w:type="dxa"/>
          </w:tcPr>
          <w:p w14:paraId="2CD4C2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Дальность н/пер.</w:t>
            </w:r>
          </w:p>
        </w:tc>
        <w:tc>
          <w:tcPr>
            <w:tcW w:w="766" w:type="dxa"/>
          </w:tcPr>
          <w:p w14:paraId="7944C5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1400/24</w:t>
            </w:r>
          </w:p>
        </w:tc>
        <w:tc>
          <w:tcPr>
            <w:tcW w:w="766" w:type="dxa"/>
          </w:tcPr>
          <w:p w14:paraId="5E5777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5C8FBE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-/5000</w:t>
            </w:r>
          </w:p>
        </w:tc>
        <w:tc>
          <w:tcPr>
            <w:tcW w:w="766" w:type="dxa"/>
          </w:tcPr>
          <w:p w14:paraId="118E97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654B0E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766" w:type="dxa"/>
          </w:tcPr>
          <w:p w14:paraId="1A145D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1270</w:t>
            </w:r>
          </w:p>
        </w:tc>
        <w:tc>
          <w:tcPr>
            <w:tcW w:w="766" w:type="dxa"/>
          </w:tcPr>
          <w:p w14:paraId="1A4087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1200</w:t>
            </w:r>
          </w:p>
        </w:tc>
        <w:tc>
          <w:tcPr>
            <w:tcW w:w="766" w:type="dxa"/>
          </w:tcPr>
          <w:p w14:paraId="38A912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960</w:t>
            </w:r>
          </w:p>
        </w:tc>
        <w:tc>
          <w:tcPr>
            <w:tcW w:w="766" w:type="dxa"/>
          </w:tcPr>
          <w:p w14:paraId="49313A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66" w:type="dxa"/>
          </w:tcPr>
          <w:p w14:paraId="008C98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700</w:t>
            </w:r>
          </w:p>
        </w:tc>
        <w:tc>
          <w:tcPr>
            <w:tcW w:w="766" w:type="dxa"/>
          </w:tcPr>
          <w:p w14:paraId="2CCEE4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800-1000</w:t>
            </w:r>
          </w:p>
        </w:tc>
        <w:tc>
          <w:tcPr>
            <w:tcW w:w="766" w:type="dxa"/>
          </w:tcPr>
          <w:p w14:paraId="181C83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612</w:t>
            </w:r>
          </w:p>
        </w:tc>
      </w:tr>
      <w:tr w:rsidR="007D5DF8" w:rsidRPr="00DB5D0D" w14:paraId="1B98EC2B" w14:textId="77777777" w:rsidTr="00E543D0">
        <w:tc>
          <w:tcPr>
            <w:tcW w:w="766" w:type="dxa"/>
          </w:tcPr>
          <w:p w14:paraId="41ABF1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C6AECA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D050BA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59D93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91E9A0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60815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F3FCF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766" w:type="dxa"/>
          </w:tcPr>
          <w:p w14:paraId="6DF6AD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2900</w:t>
            </w:r>
          </w:p>
        </w:tc>
        <w:tc>
          <w:tcPr>
            <w:tcW w:w="766" w:type="dxa"/>
          </w:tcPr>
          <w:p w14:paraId="2B76F61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DCB3E4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921CC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c>
          <w:tcPr>
            <w:tcW w:w="766" w:type="dxa"/>
          </w:tcPr>
          <w:p w14:paraId="309E75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A117A9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A19C116" w14:textId="77777777" w:rsidTr="00E543D0">
        <w:tc>
          <w:tcPr>
            <w:tcW w:w="766" w:type="dxa"/>
          </w:tcPr>
          <w:p w14:paraId="54A8E4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w:t>
            </w:r>
          </w:p>
        </w:tc>
        <w:tc>
          <w:tcPr>
            <w:tcW w:w="766" w:type="dxa"/>
          </w:tcPr>
          <w:p w14:paraId="6E4068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37FDE0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380</w:t>
            </w:r>
          </w:p>
        </w:tc>
        <w:tc>
          <w:tcPr>
            <w:tcW w:w="766" w:type="dxa"/>
          </w:tcPr>
          <w:p w14:paraId="219061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3AE5F2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515</w:t>
            </w:r>
          </w:p>
        </w:tc>
        <w:tc>
          <w:tcPr>
            <w:tcW w:w="766" w:type="dxa"/>
          </w:tcPr>
          <w:p w14:paraId="2294E6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55B99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600-620</w:t>
            </w:r>
          </w:p>
        </w:tc>
        <w:tc>
          <w:tcPr>
            <w:tcW w:w="766" w:type="dxa"/>
          </w:tcPr>
          <w:p w14:paraId="6624B3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29056F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w:t>
            </w:r>
          </w:p>
        </w:tc>
        <w:tc>
          <w:tcPr>
            <w:tcW w:w="766" w:type="dxa"/>
          </w:tcPr>
          <w:p w14:paraId="508A3C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623CE8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55A9CA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766" w:type="dxa"/>
          </w:tcPr>
          <w:p w14:paraId="6DC42D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340</w:t>
            </w:r>
          </w:p>
        </w:tc>
      </w:tr>
      <w:tr w:rsidR="007D5DF8" w:rsidRPr="00DB5D0D" w14:paraId="08823543" w14:textId="77777777" w:rsidTr="00E543D0">
        <w:tc>
          <w:tcPr>
            <w:tcW w:w="766" w:type="dxa"/>
          </w:tcPr>
          <w:p w14:paraId="69111E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Пробег</w:t>
            </w:r>
          </w:p>
        </w:tc>
        <w:tc>
          <w:tcPr>
            <w:tcW w:w="766" w:type="dxa"/>
          </w:tcPr>
          <w:p w14:paraId="50BD36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05DD98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435</w:t>
            </w:r>
          </w:p>
        </w:tc>
        <w:tc>
          <w:tcPr>
            <w:tcW w:w="766" w:type="dxa"/>
          </w:tcPr>
          <w:p w14:paraId="21376E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669356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450-500</w:t>
            </w:r>
          </w:p>
        </w:tc>
        <w:tc>
          <w:tcPr>
            <w:tcW w:w="766" w:type="dxa"/>
          </w:tcPr>
          <w:p w14:paraId="3D7530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53C0D35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550-600</w:t>
            </w:r>
          </w:p>
        </w:tc>
        <w:tc>
          <w:tcPr>
            <w:tcW w:w="766" w:type="dxa"/>
          </w:tcPr>
          <w:p w14:paraId="277967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786AB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550</w:t>
            </w:r>
          </w:p>
        </w:tc>
        <w:tc>
          <w:tcPr>
            <w:tcW w:w="766" w:type="dxa"/>
          </w:tcPr>
          <w:p w14:paraId="046C0D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05786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8C3D5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280</w:t>
            </w:r>
          </w:p>
        </w:tc>
        <w:tc>
          <w:tcPr>
            <w:tcW w:w="766" w:type="dxa"/>
          </w:tcPr>
          <w:p w14:paraId="0BE919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w:t>
            </w:r>
          </w:p>
        </w:tc>
      </w:tr>
      <w:tr w:rsidR="007D5DF8" w:rsidRPr="00DB5D0D" w14:paraId="00047071" w14:textId="77777777" w:rsidTr="00E543D0">
        <w:tc>
          <w:tcPr>
            <w:tcW w:w="766" w:type="dxa"/>
          </w:tcPr>
          <w:p w14:paraId="0641EE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Нагрузка норм.</w:t>
            </w:r>
          </w:p>
        </w:tc>
        <w:tc>
          <w:tcPr>
            <w:tcW w:w="766" w:type="dxa"/>
          </w:tcPr>
          <w:p w14:paraId="2A6F65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0E91FD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1313</w:t>
            </w:r>
          </w:p>
        </w:tc>
        <w:tc>
          <w:tcPr>
            <w:tcW w:w="766" w:type="dxa"/>
          </w:tcPr>
          <w:p w14:paraId="11B622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3468D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4200</w:t>
            </w:r>
          </w:p>
        </w:tc>
        <w:tc>
          <w:tcPr>
            <w:tcW w:w="766" w:type="dxa"/>
          </w:tcPr>
          <w:p w14:paraId="14C227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77659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766" w:type="dxa"/>
          </w:tcPr>
          <w:p w14:paraId="125259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C305F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1594</w:t>
            </w:r>
          </w:p>
        </w:tc>
        <w:tc>
          <w:tcPr>
            <w:tcW w:w="766" w:type="dxa"/>
          </w:tcPr>
          <w:p w14:paraId="66C8FE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7D3DB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1280</w:t>
            </w:r>
          </w:p>
        </w:tc>
        <w:tc>
          <w:tcPr>
            <w:tcW w:w="766" w:type="dxa"/>
          </w:tcPr>
          <w:p w14:paraId="258A5F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488060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1100</w:t>
            </w:r>
          </w:p>
        </w:tc>
      </w:tr>
      <w:tr w:rsidR="007D5DF8" w:rsidRPr="00DB5D0D" w14:paraId="585041C2" w14:textId="77777777" w:rsidTr="00E543D0">
        <w:tc>
          <w:tcPr>
            <w:tcW w:w="766" w:type="dxa"/>
          </w:tcPr>
          <w:p w14:paraId="455A5E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Бомбы</w:t>
            </w:r>
          </w:p>
        </w:tc>
        <w:tc>
          <w:tcPr>
            <w:tcW w:w="766" w:type="dxa"/>
          </w:tcPr>
          <w:p w14:paraId="36E8C2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1A6840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100-400</w:t>
            </w:r>
          </w:p>
        </w:tc>
        <w:tc>
          <w:tcPr>
            <w:tcW w:w="766" w:type="dxa"/>
          </w:tcPr>
          <w:p w14:paraId="2C7538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66" w:type="dxa"/>
          </w:tcPr>
          <w:p w14:paraId="280F20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c>
          <w:tcPr>
            <w:tcW w:w="766" w:type="dxa"/>
          </w:tcPr>
          <w:p w14:paraId="676746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w:t>
            </w:r>
          </w:p>
        </w:tc>
        <w:tc>
          <w:tcPr>
            <w:tcW w:w="766" w:type="dxa"/>
          </w:tcPr>
          <w:p w14:paraId="000983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800/</w:t>
            </w:r>
          </w:p>
        </w:tc>
        <w:tc>
          <w:tcPr>
            <w:tcW w:w="766" w:type="dxa"/>
          </w:tcPr>
          <w:p w14:paraId="080308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766" w:type="dxa"/>
          </w:tcPr>
          <w:p w14:paraId="77780F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400-600</w:t>
            </w:r>
          </w:p>
        </w:tc>
        <w:tc>
          <w:tcPr>
            <w:tcW w:w="766" w:type="dxa"/>
          </w:tcPr>
          <w:p w14:paraId="53F999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766" w:type="dxa"/>
          </w:tcPr>
          <w:p w14:paraId="2972DB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400-600</w:t>
            </w:r>
          </w:p>
        </w:tc>
        <w:tc>
          <w:tcPr>
            <w:tcW w:w="766" w:type="dxa"/>
          </w:tcPr>
          <w:p w14:paraId="3655D6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766" w:type="dxa"/>
          </w:tcPr>
          <w:p w14:paraId="162303A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r>
      <w:tr w:rsidR="007D5DF8" w:rsidRPr="00DB5D0D" w14:paraId="0BE62B88" w14:textId="77777777" w:rsidTr="00E543D0">
        <w:tc>
          <w:tcPr>
            <w:tcW w:w="766" w:type="dxa"/>
          </w:tcPr>
          <w:p w14:paraId="19F7A7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CEAC59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5AB1A1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014648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96090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766" w:type="dxa"/>
          </w:tcPr>
          <w:p w14:paraId="6899AD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4000</w:t>
            </w:r>
          </w:p>
        </w:tc>
        <w:tc>
          <w:tcPr>
            <w:tcW w:w="766" w:type="dxa"/>
          </w:tcPr>
          <w:p w14:paraId="6A91DF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766" w:type="dxa"/>
          </w:tcPr>
          <w:p w14:paraId="794118B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15E3A7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6F699C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D75AB3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635A9C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3C01B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9B4E849" w14:textId="77777777" w:rsidTr="00E543D0">
        <w:tc>
          <w:tcPr>
            <w:tcW w:w="766" w:type="dxa"/>
          </w:tcPr>
          <w:p w14:paraId="1820C0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w:t>
            </w:r>
          </w:p>
        </w:tc>
        <w:tc>
          <w:tcPr>
            <w:tcW w:w="766" w:type="dxa"/>
          </w:tcPr>
          <w:p w14:paraId="3B7641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3хШКС</w:t>
            </w:r>
          </w:p>
        </w:tc>
        <w:tc>
          <w:tcPr>
            <w:tcW w:w="766" w:type="dxa"/>
          </w:tcPr>
          <w:p w14:paraId="42C30F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2хШВК</w:t>
            </w:r>
          </w:p>
        </w:tc>
        <w:tc>
          <w:tcPr>
            <w:tcW w:w="766" w:type="dxa"/>
          </w:tcPr>
          <w:p w14:paraId="503660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c>
          <w:tcPr>
            <w:tcW w:w="766" w:type="dxa"/>
          </w:tcPr>
          <w:p w14:paraId="511039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c>
          <w:tcPr>
            <w:tcW w:w="766" w:type="dxa"/>
          </w:tcPr>
          <w:p w14:paraId="76750E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6хпул.</w:t>
            </w:r>
          </w:p>
        </w:tc>
        <w:tc>
          <w:tcPr>
            <w:tcW w:w="766" w:type="dxa"/>
          </w:tcPr>
          <w:p w14:paraId="03CC92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5хШКС</w:t>
            </w:r>
          </w:p>
        </w:tc>
        <w:tc>
          <w:tcPr>
            <w:tcW w:w="766" w:type="dxa"/>
          </w:tcPr>
          <w:p w14:paraId="5A1CC7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c>
          <w:tcPr>
            <w:tcW w:w="766" w:type="dxa"/>
          </w:tcPr>
          <w:p w14:paraId="1D1AE6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c>
          <w:tcPr>
            <w:tcW w:w="766" w:type="dxa"/>
          </w:tcPr>
          <w:p w14:paraId="2C0D8B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5хШКС</w:t>
            </w:r>
          </w:p>
        </w:tc>
        <w:tc>
          <w:tcPr>
            <w:tcW w:w="766" w:type="dxa"/>
          </w:tcPr>
          <w:p w14:paraId="1EAE44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5хШКС</w:t>
            </w:r>
          </w:p>
        </w:tc>
        <w:tc>
          <w:tcPr>
            <w:tcW w:w="766" w:type="dxa"/>
          </w:tcPr>
          <w:p w14:paraId="1E87FF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5хпул.</w:t>
            </w:r>
          </w:p>
        </w:tc>
        <w:tc>
          <w:tcPr>
            <w:tcW w:w="766" w:type="dxa"/>
          </w:tcPr>
          <w:p w14:paraId="626A791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5хШКС</w:t>
            </w:r>
          </w:p>
        </w:tc>
      </w:tr>
      <w:tr w:rsidR="007D5DF8" w:rsidRPr="00DB5D0D" w14:paraId="00FE582D" w14:textId="77777777" w:rsidTr="00E543D0">
        <w:tc>
          <w:tcPr>
            <w:tcW w:w="766" w:type="dxa"/>
          </w:tcPr>
          <w:p w14:paraId="1C400C7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02A0F4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89A35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2хШВК</w:t>
            </w:r>
          </w:p>
        </w:tc>
        <w:tc>
          <w:tcPr>
            <w:tcW w:w="766" w:type="dxa"/>
          </w:tcPr>
          <w:p w14:paraId="5F0CB7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2хШКС</w:t>
            </w:r>
          </w:p>
        </w:tc>
        <w:tc>
          <w:tcPr>
            <w:tcW w:w="766" w:type="dxa"/>
          </w:tcPr>
          <w:p w14:paraId="05E3D9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1хБС</w:t>
            </w:r>
          </w:p>
        </w:tc>
        <w:tc>
          <w:tcPr>
            <w:tcW w:w="766" w:type="dxa"/>
          </w:tcPr>
          <w:p w14:paraId="1121DE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1хБС</w:t>
            </w:r>
          </w:p>
        </w:tc>
        <w:tc>
          <w:tcPr>
            <w:tcW w:w="766" w:type="dxa"/>
          </w:tcPr>
          <w:p w14:paraId="5B64470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105B6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1хШВК</w:t>
            </w:r>
          </w:p>
        </w:tc>
        <w:tc>
          <w:tcPr>
            <w:tcW w:w="766" w:type="dxa"/>
          </w:tcPr>
          <w:p w14:paraId="4325064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E6DD2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61FAF1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88CB6B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94B18A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841DA1F" w14:textId="77777777" w:rsidTr="00E543D0">
        <w:tc>
          <w:tcPr>
            <w:tcW w:w="766" w:type="dxa"/>
          </w:tcPr>
          <w:p w14:paraId="38897A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сдачи на гос.</w:t>
            </w:r>
          </w:p>
        </w:tc>
        <w:tc>
          <w:tcPr>
            <w:tcW w:w="766" w:type="dxa"/>
          </w:tcPr>
          <w:p w14:paraId="0D1D59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10.39</w:t>
            </w:r>
          </w:p>
        </w:tc>
        <w:tc>
          <w:tcPr>
            <w:tcW w:w="766" w:type="dxa"/>
          </w:tcPr>
          <w:p w14:paraId="39F638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27.07.40</w:t>
            </w:r>
          </w:p>
        </w:tc>
        <w:tc>
          <w:tcPr>
            <w:tcW w:w="766" w:type="dxa"/>
          </w:tcPr>
          <w:p w14:paraId="35D9EC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08.39</w:t>
            </w:r>
          </w:p>
        </w:tc>
        <w:tc>
          <w:tcPr>
            <w:tcW w:w="766" w:type="dxa"/>
          </w:tcPr>
          <w:p w14:paraId="046371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08.03.40</w:t>
            </w:r>
          </w:p>
        </w:tc>
        <w:tc>
          <w:tcPr>
            <w:tcW w:w="766" w:type="dxa"/>
          </w:tcPr>
          <w:p w14:paraId="75FE87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08.39</w:t>
            </w:r>
          </w:p>
        </w:tc>
        <w:tc>
          <w:tcPr>
            <w:tcW w:w="766" w:type="dxa"/>
          </w:tcPr>
          <w:p w14:paraId="409066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08.03.40</w:t>
            </w:r>
          </w:p>
        </w:tc>
        <w:tc>
          <w:tcPr>
            <w:tcW w:w="766" w:type="dxa"/>
          </w:tcPr>
          <w:p w14:paraId="7EC589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01.07.40</w:t>
            </w:r>
          </w:p>
        </w:tc>
        <w:tc>
          <w:tcPr>
            <w:tcW w:w="766" w:type="dxa"/>
          </w:tcPr>
          <w:p w14:paraId="7B43DB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сдан</w:t>
            </w:r>
          </w:p>
        </w:tc>
        <w:tc>
          <w:tcPr>
            <w:tcW w:w="766" w:type="dxa"/>
          </w:tcPr>
          <w:p w14:paraId="75525F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08.39</w:t>
            </w:r>
          </w:p>
        </w:tc>
        <w:tc>
          <w:tcPr>
            <w:tcW w:w="766" w:type="dxa"/>
          </w:tcPr>
          <w:p w14:paraId="7418D4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20.11.39</w:t>
            </w:r>
          </w:p>
        </w:tc>
        <w:tc>
          <w:tcPr>
            <w:tcW w:w="766" w:type="dxa"/>
          </w:tcPr>
          <w:p w14:paraId="77A885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11.39</w:t>
            </w:r>
          </w:p>
        </w:tc>
        <w:tc>
          <w:tcPr>
            <w:tcW w:w="766" w:type="dxa"/>
          </w:tcPr>
          <w:p w14:paraId="171769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01.04.40</w:t>
            </w:r>
          </w:p>
        </w:tc>
      </w:tr>
      <w:tr w:rsidR="007D5DF8" w:rsidRPr="00DB5D0D" w14:paraId="25BE8396" w14:textId="77777777" w:rsidTr="00E543D0">
        <w:tc>
          <w:tcPr>
            <w:tcW w:w="766" w:type="dxa"/>
          </w:tcPr>
          <w:p w14:paraId="1159C7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на гос.</w:t>
            </w:r>
          </w:p>
        </w:tc>
        <w:tc>
          <w:tcPr>
            <w:tcW w:w="766" w:type="dxa"/>
          </w:tcPr>
          <w:p w14:paraId="3C477D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скор. не соот.</w:t>
            </w:r>
          </w:p>
        </w:tc>
        <w:tc>
          <w:tcPr>
            <w:tcW w:w="766" w:type="dxa"/>
          </w:tcPr>
          <w:p w14:paraId="1DAA395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66681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Упр. и уст. хор.</w:t>
            </w:r>
          </w:p>
        </w:tc>
        <w:tc>
          <w:tcPr>
            <w:tcW w:w="766" w:type="dxa"/>
          </w:tcPr>
          <w:p w14:paraId="458386A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1D1D5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 не выд.</w:t>
            </w:r>
          </w:p>
        </w:tc>
        <w:tc>
          <w:tcPr>
            <w:tcW w:w="766" w:type="dxa"/>
          </w:tcPr>
          <w:p w14:paraId="4A0567C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C6B32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 не оконч.</w:t>
            </w:r>
          </w:p>
        </w:tc>
        <w:tc>
          <w:tcPr>
            <w:tcW w:w="766" w:type="dxa"/>
          </w:tcPr>
          <w:p w14:paraId="478AD52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420DC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ВМГ недоведена</w:t>
            </w:r>
          </w:p>
        </w:tc>
        <w:tc>
          <w:tcPr>
            <w:tcW w:w="766" w:type="dxa"/>
          </w:tcPr>
          <w:p w14:paraId="6BA92A4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3C825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ЛТД не соотв. ТТХ</w:t>
            </w:r>
          </w:p>
        </w:tc>
        <w:tc>
          <w:tcPr>
            <w:tcW w:w="766" w:type="dxa"/>
          </w:tcPr>
          <w:p w14:paraId="40660AF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4F2C658" w14:textId="77777777" w:rsidTr="00E543D0">
        <w:tc>
          <w:tcPr>
            <w:tcW w:w="766" w:type="dxa"/>
          </w:tcPr>
          <w:p w14:paraId="18CAE8A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B4B723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 удовлетвор.</w:t>
            </w:r>
          </w:p>
        </w:tc>
        <w:tc>
          <w:tcPr>
            <w:tcW w:w="766" w:type="dxa"/>
          </w:tcPr>
          <w:p w14:paraId="58692F8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651F4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Обзор хор.</w:t>
            </w:r>
          </w:p>
        </w:tc>
        <w:tc>
          <w:tcPr>
            <w:tcW w:w="766" w:type="dxa"/>
          </w:tcPr>
          <w:p w14:paraId="212F58D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06ED6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недоступн.</w:t>
            </w:r>
          </w:p>
        </w:tc>
        <w:tc>
          <w:tcPr>
            <w:tcW w:w="766" w:type="dxa"/>
          </w:tcPr>
          <w:p w14:paraId="27170DF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A80652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AB52C2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36BF4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ниже зад.</w:t>
            </w:r>
          </w:p>
        </w:tc>
        <w:tc>
          <w:tcPr>
            <w:tcW w:w="766" w:type="dxa"/>
          </w:tcPr>
          <w:p w14:paraId="1F7EFB7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58266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 прост для л</w:t>
            </w:r>
          </w:p>
        </w:tc>
        <w:tc>
          <w:tcPr>
            <w:tcW w:w="766" w:type="dxa"/>
          </w:tcPr>
          <w:p w14:paraId="56981F3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5860665" w14:textId="77777777" w:rsidTr="00E543D0">
        <w:tc>
          <w:tcPr>
            <w:tcW w:w="766" w:type="dxa"/>
          </w:tcPr>
          <w:p w14:paraId="10AFE26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68C76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пилотир. прост</w:t>
            </w:r>
          </w:p>
        </w:tc>
        <w:tc>
          <w:tcPr>
            <w:tcW w:w="766" w:type="dxa"/>
          </w:tcPr>
          <w:p w14:paraId="15B8A4A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79230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Высок. вес. отд.</w:t>
            </w:r>
          </w:p>
        </w:tc>
        <w:tc>
          <w:tcPr>
            <w:tcW w:w="766" w:type="dxa"/>
          </w:tcPr>
          <w:p w14:paraId="6E614C2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5B3A4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 ср. квалиф.</w:t>
            </w:r>
          </w:p>
        </w:tc>
        <w:tc>
          <w:tcPr>
            <w:tcW w:w="766" w:type="dxa"/>
          </w:tcPr>
          <w:p w14:paraId="77B6BF4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8D5326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5FA8B9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7C98C8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A20CF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7CF58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Недост. прод. уст.</w:t>
            </w:r>
          </w:p>
        </w:tc>
        <w:tc>
          <w:tcPr>
            <w:tcW w:w="766" w:type="dxa"/>
          </w:tcPr>
          <w:p w14:paraId="3893B4A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090FDCF" w14:textId="77777777" w:rsidTr="00E543D0">
        <w:tc>
          <w:tcPr>
            <w:tcW w:w="766" w:type="dxa"/>
          </w:tcPr>
          <w:p w14:paraId="51B00C1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9CD699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8586A0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2E91D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Больш. бомбоот.</w:t>
            </w:r>
          </w:p>
        </w:tc>
        <w:tc>
          <w:tcPr>
            <w:tcW w:w="766" w:type="dxa"/>
          </w:tcPr>
          <w:p w14:paraId="042E2FE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AF118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взл./пос.</w:t>
            </w:r>
          </w:p>
        </w:tc>
        <w:tc>
          <w:tcPr>
            <w:tcW w:w="766" w:type="dxa"/>
          </w:tcPr>
          <w:p w14:paraId="0E54F0D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BA763D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FAEB1E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BEBFA1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6E6BC1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CC9C5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обзор</w:t>
            </w:r>
          </w:p>
        </w:tc>
        <w:tc>
          <w:tcPr>
            <w:tcW w:w="766" w:type="dxa"/>
          </w:tcPr>
          <w:p w14:paraId="23A4B3C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62F0CF9" w14:textId="77777777" w:rsidTr="00E543D0">
        <w:tc>
          <w:tcPr>
            <w:tcW w:w="766" w:type="dxa"/>
          </w:tcPr>
          <w:p w14:paraId="5565A9F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8374D2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C982C0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4DE1E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(4х500)</w:t>
            </w:r>
          </w:p>
        </w:tc>
        <w:tc>
          <w:tcPr>
            <w:tcW w:w="766" w:type="dxa"/>
          </w:tcPr>
          <w:p w14:paraId="484C932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CB69F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свойсв. и обз.</w:t>
            </w:r>
          </w:p>
        </w:tc>
        <w:tc>
          <w:tcPr>
            <w:tcW w:w="766" w:type="dxa"/>
          </w:tcPr>
          <w:p w14:paraId="451D6AB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494CAC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B32E5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A98002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44AC08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2C96F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М.б. исп. в ВВС</w:t>
            </w:r>
          </w:p>
        </w:tc>
        <w:tc>
          <w:tcPr>
            <w:tcW w:w="766" w:type="dxa"/>
          </w:tcPr>
          <w:p w14:paraId="54C009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C736AC8" w14:textId="77777777" w:rsidTr="00E543D0">
        <w:tc>
          <w:tcPr>
            <w:tcW w:w="766" w:type="dxa"/>
          </w:tcPr>
          <w:p w14:paraId="3611A5E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E16ECB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083A86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5E070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E4E8C7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66F63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Имеет преим. по</w:t>
            </w:r>
          </w:p>
        </w:tc>
        <w:tc>
          <w:tcPr>
            <w:tcW w:w="766" w:type="dxa"/>
          </w:tcPr>
          <w:p w14:paraId="6A57A6D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FA8B33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5EF28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301186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5C123C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2ABAC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 неб. серия</w:t>
            </w:r>
          </w:p>
        </w:tc>
        <w:tc>
          <w:tcPr>
            <w:tcW w:w="766" w:type="dxa"/>
          </w:tcPr>
          <w:p w14:paraId="4EFAF41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53869A7" w14:textId="77777777" w:rsidTr="00E543D0">
        <w:tc>
          <w:tcPr>
            <w:tcW w:w="766" w:type="dxa"/>
          </w:tcPr>
          <w:p w14:paraId="42D42C4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0B2C34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4F9884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3EEDD3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DA89E3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8CB19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 и обор.</w:t>
            </w:r>
          </w:p>
        </w:tc>
        <w:tc>
          <w:tcPr>
            <w:tcW w:w="766" w:type="dxa"/>
          </w:tcPr>
          <w:p w14:paraId="22AA65C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E0F710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17150A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32ECD7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58DF33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1B7CD9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357AA9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7C786E1" w14:textId="77777777" w:rsidTr="00E543D0">
        <w:tc>
          <w:tcPr>
            <w:tcW w:w="766" w:type="dxa"/>
          </w:tcPr>
          <w:p w14:paraId="703A13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констр. И</w:t>
            </w:r>
          </w:p>
        </w:tc>
        <w:tc>
          <w:tcPr>
            <w:tcW w:w="766" w:type="dxa"/>
          </w:tcPr>
          <w:p w14:paraId="7F13E9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Слож. в пр-ве</w:t>
            </w:r>
          </w:p>
        </w:tc>
        <w:tc>
          <w:tcPr>
            <w:tcW w:w="766" w:type="dxa"/>
          </w:tcPr>
          <w:p w14:paraId="39EA8FF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6A27C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произ. прост</w:t>
            </w:r>
          </w:p>
        </w:tc>
        <w:tc>
          <w:tcPr>
            <w:tcW w:w="766" w:type="dxa"/>
          </w:tcPr>
          <w:p w14:paraId="527C1AD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E1D7F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 крыло</w:t>
            </w:r>
          </w:p>
        </w:tc>
        <w:tc>
          <w:tcPr>
            <w:tcW w:w="766" w:type="dxa"/>
          </w:tcPr>
          <w:p w14:paraId="4CB0EE1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3AAC04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 проста</w:t>
            </w:r>
          </w:p>
        </w:tc>
        <w:tc>
          <w:tcPr>
            <w:tcW w:w="766" w:type="dxa"/>
          </w:tcPr>
          <w:p w14:paraId="74259E4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6234EA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 проста</w:t>
            </w:r>
          </w:p>
        </w:tc>
        <w:tc>
          <w:tcPr>
            <w:tcW w:w="766" w:type="dxa"/>
          </w:tcPr>
          <w:p w14:paraId="2311FD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044000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 вып. хор.</w:t>
            </w:r>
          </w:p>
        </w:tc>
        <w:tc>
          <w:tcPr>
            <w:tcW w:w="766" w:type="dxa"/>
          </w:tcPr>
          <w:p w14:paraId="2663A54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92523F1" w14:textId="77777777" w:rsidTr="00E543D0">
        <w:tc>
          <w:tcPr>
            <w:tcW w:w="766" w:type="dxa"/>
          </w:tcPr>
          <w:p w14:paraId="1C8E3E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Технологичности</w:t>
            </w:r>
          </w:p>
        </w:tc>
        <w:tc>
          <w:tcPr>
            <w:tcW w:w="766" w:type="dxa"/>
          </w:tcPr>
          <w:p w14:paraId="1801A4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Много э/мотор.</w:t>
            </w:r>
          </w:p>
        </w:tc>
        <w:tc>
          <w:tcPr>
            <w:tcW w:w="766" w:type="dxa"/>
          </w:tcPr>
          <w:p w14:paraId="1206F19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2F6FB6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Клепка впотай</w:t>
            </w:r>
          </w:p>
        </w:tc>
        <w:tc>
          <w:tcPr>
            <w:tcW w:w="766" w:type="dxa"/>
          </w:tcPr>
          <w:p w14:paraId="6BBEFB5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18BDD85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4620FB8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A5E9B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серии</w:t>
            </w:r>
          </w:p>
        </w:tc>
        <w:tc>
          <w:tcPr>
            <w:tcW w:w="766" w:type="dxa"/>
          </w:tcPr>
          <w:p w14:paraId="1A850F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Pr>
          <w:p w14:paraId="7DAA11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серии</w:t>
            </w:r>
          </w:p>
        </w:tc>
        <w:tc>
          <w:tcPr>
            <w:tcW w:w="766" w:type="dxa"/>
          </w:tcPr>
          <w:p w14:paraId="0068DC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w:t>
            </w:r>
          </w:p>
        </w:tc>
        <w:tc>
          <w:tcPr>
            <w:tcW w:w="766" w:type="dxa"/>
          </w:tcPr>
          <w:p w14:paraId="51D937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пасных для пол.</w:t>
            </w:r>
          </w:p>
        </w:tc>
        <w:tc>
          <w:tcPr>
            <w:tcW w:w="766" w:type="dxa"/>
          </w:tcPr>
          <w:p w14:paraId="152720E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7787B5A3" w14:textId="77777777" w:rsidTr="00E543D0">
        <w:tc>
          <w:tcPr>
            <w:tcW w:w="766" w:type="dxa"/>
            <w:tcBorders>
              <w:bottom w:val="single" w:sz="12" w:space="0" w:color="auto"/>
            </w:tcBorders>
          </w:tcPr>
          <w:p w14:paraId="40E0A3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04FF75F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575DCE9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44CB375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4317FA0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09E0839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0524FA8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76AC734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50D00B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5852D5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Прос в экспл.</w:t>
            </w:r>
          </w:p>
        </w:tc>
        <w:tc>
          <w:tcPr>
            <w:tcW w:w="766" w:type="dxa"/>
            <w:tcBorders>
              <w:bottom w:val="single" w:sz="12" w:space="0" w:color="auto"/>
            </w:tcBorders>
          </w:tcPr>
          <w:p w14:paraId="7CD269F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2F394C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дефектов не обн.</w:t>
            </w:r>
          </w:p>
        </w:tc>
        <w:tc>
          <w:tcPr>
            <w:tcW w:w="766" w:type="dxa"/>
            <w:tcBorders>
              <w:bottom w:val="single" w:sz="12" w:space="0" w:color="auto"/>
            </w:tcBorders>
          </w:tcPr>
          <w:p w14:paraId="444072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2C501F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(2090,143).</w:t>
      </w:r>
    </w:p>
    <w:p w14:paraId="18DE29F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FCCB3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руководство НКАП вновь рассмотрело ход заводских испытаний опытных истребителей. Отмечалось хорошее совпадение полученных данных с результатами аэродинамического расчета. Непло</w:t>
      </w:r>
      <w:r w:rsidRPr="00DB5D0D">
        <w:rPr>
          <w:rFonts w:ascii="Times New Roman" w:hAnsi="Times New Roman"/>
          <w:color w:val="000000" w:themeColor="text1"/>
          <w:sz w:val="16"/>
          <w:szCs w:val="16"/>
        </w:rPr>
        <w:softHyphen/>
        <w:t>хие взлетно-посадочные характеристики и возмож</w:t>
      </w:r>
      <w:r w:rsidRPr="00DB5D0D">
        <w:rPr>
          <w:rFonts w:ascii="Times New Roman" w:hAnsi="Times New Roman"/>
          <w:color w:val="000000" w:themeColor="text1"/>
          <w:sz w:val="16"/>
          <w:szCs w:val="16"/>
        </w:rPr>
        <w:softHyphen/>
        <w:t>ность выполнения энергичных маневров вызывали доверие к машине. Правда, по мнению А.Н. Екатова, истребитель обладал лишь удовлетворительным об</w:t>
      </w:r>
      <w:r w:rsidRPr="00DB5D0D">
        <w:rPr>
          <w:rFonts w:ascii="Times New Roman" w:hAnsi="Times New Roman"/>
          <w:color w:val="000000" w:themeColor="text1"/>
          <w:sz w:val="16"/>
          <w:szCs w:val="16"/>
        </w:rPr>
        <w:softHyphen/>
        <w:t>зором, а пространство внизу спереди почти не про</w:t>
      </w:r>
      <w:r w:rsidRPr="00DB5D0D">
        <w:rPr>
          <w:rFonts w:ascii="Times New Roman" w:hAnsi="Times New Roman"/>
          <w:color w:val="000000" w:themeColor="text1"/>
          <w:sz w:val="16"/>
          <w:szCs w:val="16"/>
        </w:rPr>
        <w:softHyphen/>
        <w:t>сматривалось. Продольная устойчивость самолета считалась нейтральной при нормальной полетной центровке (9984).</w:t>
      </w:r>
    </w:p>
    <w:p w14:paraId="060BBD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B7EAC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года начальник 9 управления ГУ ВВС в/инженер 1 ранга Бакин писал письмо № 525942с зам. начальника ГУ ВВС генерал-лейтенанту авиации Астахову</w:t>
      </w:r>
    </w:p>
    <w:p w14:paraId="15BD1F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Доношу, что согласно приказа начальника ГУ ВВС № 0167 от 23 августа 1940 года реорганизация бывшего 4 Управления ГУАС в 9 управление ГУ ВВС закончена 26 августа 1940 года (7712, 378).</w:t>
      </w:r>
    </w:p>
    <w:p w14:paraId="1378A55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66B5C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года вышел отчет инженера Коваленко об авиапроме Италии, дающий определенное представление об интересе советской стороны к общей обстановке в авиационном производстве в Италии, характеристике фирм-производителей и ее продукции. Однако здесь же выясняется, что производимые самолеты не всегда были высокого технического уровня, а на некоторые предприятия Коваленко просто не пустили, как, например, на завод «Реджиане», контролировавшийся концерном «Капрони», который был им охарактеризован как «завод очень большой производительности». То же самое касалось и отделения завода «Фиат»: «В г. Пиза имеется завод, принадлежащий ФИАТ, который строит истребитель «Г-50» по конструкции сравнительно молодого конструктора ГАБРИЭЛЛИ. ... Этот истребитель очень распространен в итальянских В.В.С., на заводе в Пизе мне не удалось побывать» (РГАЭ. Ф. 8044. Оп.1. Д. 436. Л. 231, 233, 237.).</w:t>
      </w:r>
    </w:p>
    <w:p w14:paraId="2FC4FA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Высокую оценку получил завод «САВОЙЯ МАРКЕТТИ – находится в СестоКалендо на берегу озера Лаго Маджоре». Как отмечал Коваленко: «Культура производства и качество самолетов «САВОЙЯ МАРКЕТТИ» несомненно значительно выше, чем у «КАПРОНИ». Основная продукция – 3-моторный бомбардировщик «САВОЙЯ МАРКЕТТИ 79». Это лучший из всех имеющихся итальянских бомбардировщиков». «По моей оценке завод в состоянии производить бомбардировщики «СМ-79» 25 – максимум 30 штук в месяц при 2-х сменах рабочих» (Там же. Л. 237-238.).</w:t>
      </w:r>
    </w:p>
    <w:p w14:paraId="32C1DF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Интерес представлял и завод «Аэронавтика Макки». «Завод сухопутных машин находится в городке Ленате Пьудоло. Здесь выпускаются истребители «МАККИ К-200». Конструктор инж. КАСТОЛЬДИ. ... Этот истребитель имеется в частях ит. ВВС, и очень распространен» (Там же. Л. 242.). Кроме посещения авиазаводов в отчете Коваленко содержится обзор образцов продукции разных фирм, которые были высланы им в СССР за 1 год и 5 месяцев его работы в Италии: «Были высланы следующие образцы: 1. Образцы «плексигласа» и производственная, химическая схема его получения. 2. Образцы авиационных красок и лаков с описанием технологии их применения. 3. Образцы шурупов и болтов из легчайших сплавов. 4. Образцы очков со светофильтрами, удобных для применения в нашей авиации. 5. Образцы вазелинов и твердых химических составов, применяемых против запотевания стекол: биноклей, прицельных приборов, остекления кабин, очков и т.д. » (Там же. Л. 244.).</w:t>
      </w:r>
    </w:p>
    <w:p w14:paraId="52A98CF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92E0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г. Нач. Группы контроля ВВС КА гма Михайлов писал письмо № 500092с ВРИД. НАЧАЛЬНИКА ВОЕННЫХ ВОЗДУШНЫХ СИЛ КРАСНОЙ АРМИИ ГЛ-ТУ АВИАЦИИ тов. РЫЧАГОВУ.</w:t>
      </w:r>
    </w:p>
    <w:p w14:paraId="16C0AA6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Группой контроля ВВС Красной Армии с 21.8. по 26.8.40 г. проведена проверка выполнения приказа НКО № 0139 от 10.7.40 г.</w:t>
      </w:r>
    </w:p>
    <w:p w14:paraId="7856EFE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Приказом предусмотрено провести войсковые испы</w:t>
      </w:r>
      <w:r w:rsidRPr="00DB5D0D">
        <w:rPr>
          <w:rFonts w:ascii="Times New Roman" w:hAnsi="Times New Roman"/>
          <w:color w:val="000000" w:themeColor="text1"/>
          <w:sz w:val="16"/>
          <w:szCs w:val="16"/>
        </w:rPr>
        <w:softHyphen/>
        <w:t>тания 20 мм синхронии пушек "ШВАК" главного конструк</w:t>
      </w:r>
      <w:r w:rsidRPr="00DB5D0D">
        <w:rPr>
          <w:rFonts w:ascii="Times New Roman" w:hAnsi="Times New Roman"/>
          <w:color w:val="000000" w:themeColor="text1"/>
          <w:sz w:val="16"/>
          <w:szCs w:val="16"/>
        </w:rPr>
        <w:softHyphen/>
        <w:t>тора тов. ШПИТАЛЬНОГО с 14.7. по 1.8.40 г. в 57 истре бительной авиабригаде МВО в ЛЮБЕРЦАХ на самолете И-153. Председателем комиссии назначен к-р бригады полковник тов. СВЕТОВ. Отчет по испнтаниям должен быть представлен в НКО к 25.8.40 г.</w:t>
      </w:r>
    </w:p>
    <w:p w14:paraId="3A3FA9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проверке на месте испытаний в Люберцах и в 8 Управлении ВВС Красной Армии установлено следующее:</w:t>
      </w:r>
    </w:p>
    <w:p w14:paraId="3767882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Приказ НКО по срокам проведения испытаний сорван, так как самолета в количестве 3 шт. - И-153, вместо по ложенных 12 шт. - И-153, поступили на испытания 3.8.40 г., т.е. с опозданием почти на месяц.</w:t>
      </w:r>
    </w:p>
    <w:p w14:paraId="19DEEE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25.8.40 г. произведен отстрел пушек только на земле (сделано около 15 тысяч выстре</w:t>
      </w:r>
      <w:r w:rsidRPr="00DB5D0D">
        <w:rPr>
          <w:rFonts w:ascii="Times New Roman" w:hAnsi="Times New Roman"/>
          <w:color w:val="000000" w:themeColor="text1"/>
          <w:sz w:val="16"/>
          <w:szCs w:val="16"/>
        </w:rPr>
        <w:softHyphen/>
        <w:t>лов) к воздушным стрельбам еще не приступлено. По от</w:t>
      </w:r>
      <w:r w:rsidRPr="00DB5D0D">
        <w:rPr>
          <w:rFonts w:ascii="Times New Roman" w:hAnsi="Times New Roman"/>
          <w:color w:val="000000" w:themeColor="text1"/>
          <w:sz w:val="16"/>
          <w:szCs w:val="16"/>
        </w:rPr>
        <w:softHyphen/>
        <w:t>зывам председателя комиссии по испнтаниям полковника тов. СВЕТОВА, последние стрельбы из ШВАК дают вполне удовлетворительные результаты.</w:t>
      </w:r>
    </w:p>
    <w:p w14:paraId="186F7B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ПРЕДЛОЖЕНИЯ:</w:t>
      </w:r>
    </w:p>
    <w:p w14:paraId="07E31F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председателя комиссии полковника ьов. СВЕТОВА ускорить проведение испытаний пушек "ШВАК" в воздухе.</w:t>
      </w:r>
    </w:p>
    <w:p w14:paraId="2F4E47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Воздушные стрельбы сосредоточить в Ногинске на научном испытательном артполигоне ВВС Красной Армии (10493).</w:t>
      </w:r>
    </w:p>
    <w:p w14:paraId="69268E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746A83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Дубовский писал справку Вознесенскому:</w:t>
      </w:r>
    </w:p>
    <w:p w14:paraId="3CB018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вопросу; поставок авиационных пулеметов НКАП.</w:t>
      </w:r>
    </w:p>
    <w:p w14:paraId="4AB0793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Наркома. Авиационной Промышленности т.Воронин писыкш № Н-20/1493 от 15.8.40 г. в Главный Контроль КО сообщил о не</w:t>
      </w:r>
      <w:r w:rsidRPr="00DB5D0D">
        <w:rPr>
          <w:rFonts w:ascii="Times New Roman" w:hAnsi="Times New Roman"/>
          <w:color w:val="000000" w:themeColor="text1"/>
          <w:sz w:val="16"/>
          <w:szCs w:val="16"/>
        </w:rPr>
        <w:softHyphen/>
        <w:t>удовлетворительной состоянии поставок авиационного.вооруж ния заводом № 66 НКВ в первой полугодии 40 года и июле и-це 40 го; и просил покрыть июльский дефицит в размере 760 пулеметов Шкас.</w:t>
      </w:r>
    </w:p>
    <w:p w14:paraId="6F28472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с этим, 1-е Главное Управление НКАП 3.8.40 г. заявило НКВ потребность в авиационных пулеметах на 5 месяцев 40 г. на 1260 шт. меньше, чем это указано в постановлении № 335 от 26.7.40 г.</w:t>
      </w:r>
    </w:p>
    <w:p w14:paraId="773E277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Главным Контролем был проверен этот вопрос и 26.8.40 г. проведено совещание с присутствием Зам. НКВ т. Барсукова И.А и Зам. НКАП т. Хруничева.</w:t>
      </w:r>
    </w:p>
    <w:p w14:paraId="267BDB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совещании принято решение:</w:t>
      </w:r>
    </w:p>
    <w:p w14:paraId="7893AE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НКВ поставляет НКАП авиационное вооружение в количествах и по срокам, в соответствии с постановлением КО № 335 от 26.7.40 г. тем самым покрывая всю потребность в авиационной вооружения НКАП.</w:t>
      </w:r>
    </w:p>
    <w:p w14:paraId="5490BE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Недопоставки пулеметов Шкас первого пйлугодия 40 года недоразумений внввать не могут, так как они прошли в постановление КО № 335 от 26.7.40 г. отдельной графой, как долг ГУВВС КА в количестве 3.300 пулеметов.</w:t>
      </w:r>
    </w:p>
    <w:p w14:paraId="4FF6260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Поставки пулеметов в августе месяце с.г. в количестве 25% от 5-ти месячного задания идут неудовлетворительно. Завод № 66 из 5.600 штук пулемотов задания на август месяц на 27.8.40 г отгрузил НКАП только 1.264 пулемета и до конца месяца уке не сможет сдать заказ полностью, вследствие того,что максимальный дневной выпуск пулеметов на заводе № 66 составляет 200 штук.</w:t>
      </w:r>
    </w:p>
    <w:p w14:paraId="311DD8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Задержка в выполнении заводом № 66 программы августа месяца произошла из-за большого брака прунины буфера. На 22.8.40 г. на заводе имелось около 2.000 пулеметов, неукомплектованных пружиной. По техническим условиям контрольные пружины (пример</w:t>
      </w:r>
      <w:r w:rsidRPr="00DB5D0D">
        <w:rPr>
          <w:rFonts w:ascii="Times New Roman" w:hAnsi="Times New Roman"/>
          <w:color w:val="000000" w:themeColor="text1"/>
          <w:sz w:val="16"/>
          <w:szCs w:val="16"/>
        </w:rPr>
        <w:softHyphen/>
        <w:t>но от 2.000 пт. 5 пружин) должны выдернивать каждая не менее 5.000 выстрелов. Завод № 71 НКВ до сих пор не может давать в достаточном количестве проволоки, удовлетворяющей техническим условиям. В большинство своем прунины выдерживают только 4.000 выстрелов. При живучести пулемета в 20.000 выстрелов в комплект пулемета давалось 4 пружины (1 в сборку и 3 в ЗИП).</w:t>
      </w:r>
    </w:p>
    <w:p w14:paraId="60FEC7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настояцее время ГУВВС КА и НКВ принято решение до 1 ок</w:t>
      </w:r>
      <w:r w:rsidRPr="00DB5D0D">
        <w:rPr>
          <w:rFonts w:ascii="Times New Roman" w:hAnsi="Times New Roman"/>
          <w:color w:val="000000" w:themeColor="text1"/>
          <w:sz w:val="16"/>
          <w:szCs w:val="16"/>
        </w:rPr>
        <w:softHyphen/>
        <w:t>тября 40 г. давать 5 пружин в комплект (1 в сборку и 4 в ЗИП) при контрольном испытании этих прунин на 4.000 выстрелов. За это время НКВ обязан отладить изготовление проволоки на заводе № 71 с таким расчетом, чтобы получать пруаины выдерживающие 5.000 выстрелов и потом перейти опять на комплект в 4 пружины на пулемет (10520,110).</w:t>
      </w:r>
    </w:p>
    <w:p w14:paraId="2931A97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13E62A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г. Нач. Группы контроля ВВС КА гма Михайлов писал письмо № 500093с ВРИД НАЧАЛЬНИКА ГУВВС КРАСНОЙ АРМИИ - ГЕНЕРАЛ-ЛЕЙТЕНАНТУ АВИАЦИИ тов. Р Ы Ч' А Г О В У.</w:t>
      </w:r>
    </w:p>
    <w:p w14:paraId="015AFA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Группой контроля ВВС Красной Армии проведена про</w:t>
      </w:r>
      <w:r w:rsidRPr="00DB5D0D">
        <w:rPr>
          <w:rFonts w:ascii="Times New Roman" w:hAnsi="Times New Roman"/>
          <w:color w:val="000000" w:themeColor="text1"/>
          <w:sz w:val="16"/>
          <w:szCs w:val="16"/>
        </w:rPr>
        <w:softHyphen/>
        <w:t>верка состояния бомбодержателей для пикирующих бомбар</w:t>
      </w:r>
      <w:r w:rsidRPr="00DB5D0D">
        <w:rPr>
          <w:rFonts w:ascii="Times New Roman" w:hAnsi="Times New Roman"/>
          <w:color w:val="000000" w:themeColor="text1"/>
          <w:sz w:val="16"/>
          <w:szCs w:val="16"/>
        </w:rPr>
        <w:softHyphen/>
        <w:t>дировщиков.</w:t>
      </w:r>
    </w:p>
    <w:p w14:paraId="1A471C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Установлено следущее:</w:t>
      </w:r>
    </w:p>
    <w:p w14:paraId="350C8F8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Серийный ПБ-3 до сих пор еще не отработан. При установке на самолетах "ПБ-3" отбраковываются в большом количестве, т.к. выявляется целый ряд дефектов, главнейшие из которых следующие:</w:t>
      </w:r>
    </w:p>
    <w:p w14:paraId="3DEBA4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перекосы узлов крепления к лонжеронам;</w:t>
      </w:r>
    </w:p>
    <w:p w14:paraId="1421BBC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упирание штанг параллелограмма в лонжерон;</w:t>
      </w:r>
    </w:p>
    <w:p w14:paraId="6D2D5D2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трещины по сварочным швам;</w:t>
      </w:r>
    </w:p>
    <w:p w14:paraId="005C03F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отсутствие синхронности сбрасывания бомб с 2-х балок;</w:t>
      </w:r>
    </w:p>
    <w:p w14:paraId="651161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малы вырезы в корпусе замка, что делает невозможным подвеску бомб;</w:t>
      </w:r>
    </w:p>
    <w:p w14:paraId="66C59B7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сложность подвески бомб на вторую балку. Невозможность проконтролировать замок в закрытом положении;</w:t>
      </w:r>
    </w:p>
    <w:p w14:paraId="45E95D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сильно трутся и перегибаются тросса при подвеске бомб;</w:t>
      </w:r>
    </w:p>
    <w:p w14:paraId="24B79F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перемонтировать самолет с ПБЗ на ДЕР34 и наоборот требуется 5-6 часов для 2-х квалифицированных рабочих.</w:t>
      </w:r>
    </w:p>
    <w:p w14:paraId="336451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настоящее время имеется лучший бомбодержатель ПБ5, прошедший заводские полигонные испытания с 30.7.40 г по 13.8.40 г.</w:t>
      </w:r>
    </w:p>
    <w:p w14:paraId="2A8C2F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утвержденному отчету видно, что ПБ5</w:t>
      </w:r>
    </w:p>
    <w:p w14:paraId="5F0BF1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работает безотказно;</w:t>
      </w:r>
    </w:p>
    <w:p w14:paraId="682992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полностью обеспечивает вывод бомбы при углах пикирования 6О°-70°-80</w:t>
      </w:r>
      <w:r w:rsidRPr="00DB5D0D">
        <w:rPr>
          <w:rFonts w:ascii="Times New Roman" w:hAnsi="Times New Roman"/>
          <w:color w:val="000000" w:themeColor="text1"/>
          <w:sz w:val="16"/>
          <w:szCs w:val="16"/>
          <w:vertAlign w:val="superscript"/>
        </w:rPr>
        <w:t>0</w:t>
      </w:r>
      <w:r w:rsidRPr="00DB5D0D">
        <w:rPr>
          <w:rFonts w:ascii="Times New Roman" w:hAnsi="Times New Roman"/>
          <w:color w:val="000000" w:themeColor="text1"/>
          <w:sz w:val="16"/>
          <w:szCs w:val="16"/>
        </w:rPr>
        <w:t>;</w:t>
      </w:r>
    </w:p>
    <w:p w14:paraId="1DD5AD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вес уменьшается на 13,5 кг (ПБ3 весит 35 кг.; ПБ5 - 21.5 кг.);</w:t>
      </w:r>
    </w:p>
    <w:p w14:paraId="2960B1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проводка управления используется одна и для ПБ5 и для ДЕР34, что при установке ПБ3 невозможно;</w:t>
      </w:r>
    </w:p>
    <w:p w14:paraId="7D89FA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установлена сигнализация сброшенных бомб;</w:t>
      </w:r>
    </w:p>
    <w:p w14:paraId="3167312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монтаж на самолете занимает вместо 5-6 часов не более 40-45 минут;</w:t>
      </w:r>
    </w:p>
    <w:p w14:paraId="5ED4DB1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ж) в изготовлении ПБ5 более прост по сравнению с ПБЗ;</w:t>
      </w:r>
    </w:p>
    <w:p w14:paraId="26E4DC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 недостатки выявленные при заводских испытаниях ПБ5 незначительны и легко устранимы.</w:t>
      </w:r>
    </w:p>
    <w:p w14:paraId="34E6B6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П_р_е_д_л_о_ж_е_н_и_я:</w:t>
      </w:r>
    </w:p>
    <w:p w14:paraId="11FACA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Немедленно сдать на госиспытания бомбодержатель ПБ5 и не более чем в 10 дней закончить испытания;</w:t>
      </w:r>
    </w:p>
    <w:p w14:paraId="5D4A11F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Провести подготовку по внедрению ПБ5 в серийное производство, взамен ПБ3 для снабжения авиации.</w:t>
      </w:r>
    </w:p>
    <w:p w14:paraId="7DA02A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Ведущего инженера 8 Управления обязать взять под особое наблюдение госиспытание и внедрение в серию ПБ5.</w:t>
      </w:r>
    </w:p>
    <w:p w14:paraId="048DBD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Начальнику 8 Управления добиться от завода № 32 графика производства ПБ5 с установлением сроков (10493,189).</w:t>
      </w:r>
    </w:p>
    <w:p w14:paraId="4CAB42E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13226E7" w14:textId="77777777" w:rsidR="006C2BA1" w:rsidRPr="00DB5D0D" w:rsidRDefault="006C2BA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29 августа 1940 г. начальник ВВС КА генерал-лейтенант Рычагов и нарком Наркомата авиапромышленности Шахурин на совместном совещании приняли принциальные решения «О постановке пушек ПТБ-23 на боевые самолеты».</w:t>
      </w:r>
    </w:p>
    <w:p w14:paraId="5C0B5258" w14:textId="77777777" w:rsidR="006C2BA1" w:rsidRPr="00DB5D0D" w:rsidRDefault="006C2BA1" w:rsidP="00DB5D0D">
      <w:pPr>
        <w:pStyle w:val="11d"/>
        <w:shd w:val="clear" w:color="auto" w:fill="auto"/>
        <w:spacing w:after="0" w:line="240" w:lineRule="auto"/>
        <w:jc w:val="both"/>
        <w:rPr>
          <w:rFonts w:ascii="Times New Roman" w:hAnsi="Times New Roman" w:cs="Times New Roman"/>
          <w:color w:val="000000" w:themeColor="text1"/>
          <w:sz w:val="16"/>
          <w:szCs w:val="16"/>
        </w:rPr>
      </w:pPr>
      <w:r w:rsidRPr="00DB5D0D">
        <w:rPr>
          <w:rFonts w:ascii="Times New Roman" w:hAnsi="Times New Roman" w:cs="Times New Roman"/>
          <w:color w:val="000000" w:themeColor="text1"/>
          <w:sz w:val="16"/>
          <w:szCs w:val="16"/>
        </w:rPr>
        <w:t>Согласно договоренностям, пушки предусматривалось установить «насамолет БШ-2 конструкции т. Ильюшина, ОБШ конструкции т. Сухого и штурмовик конструкции т. Микояна». Кроме того, планировалось продолжить «работы по установке ПТБ-23 на самолете И-200п . «с пососледующей подачей самолета в пушечном варианте на госиспытания», а также «работы Веневидова-Можаровского «по установке ПТБ-23 на самолете 5Б-22» (19087).</w:t>
      </w:r>
    </w:p>
    <w:p w14:paraId="3962DF6C" w14:textId="77777777" w:rsidR="006C2BA1" w:rsidRPr="00DB5D0D" w:rsidRDefault="006C2BA1" w:rsidP="00DB5D0D">
      <w:pPr>
        <w:pStyle w:val="11d"/>
        <w:shd w:val="clear" w:color="auto" w:fill="auto"/>
        <w:spacing w:after="0" w:line="240" w:lineRule="auto"/>
        <w:jc w:val="both"/>
        <w:rPr>
          <w:rFonts w:ascii="Times New Roman" w:hAnsi="Times New Roman" w:cs="Times New Roman"/>
          <w:color w:val="000000" w:themeColor="text1"/>
          <w:sz w:val="16"/>
          <w:szCs w:val="16"/>
        </w:rPr>
      </w:pPr>
    </w:p>
    <w:p w14:paraId="212209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Нач. 7 Отдела Управления ПВО КА, ви2р Попов подготовил:</w:t>
      </w:r>
    </w:p>
    <w:p w14:paraId="31DFCA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ПО ПРЕДЛОЖЕНИЯИ т.ГРОХОВСКОГО</w:t>
      </w:r>
    </w:p>
    <w:p w14:paraId="7166A61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Маскировка дымовой завесой.</w:t>
      </w:r>
    </w:p>
    <w:p w14:paraId="09FDE9E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Принцип, предлагаемый автором, известен из его доклада в Упр. НКО Кр. Армии еще в 1939 г., который он обещал реализовать.</w:t>
      </w:r>
    </w:p>
    <w:p w14:paraId="6D02924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сегодня нам неизвестно о результатах работы автора в части экспериментальной. В данном труде изложена лишь идея, без необхо</w:t>
      </w:r>
      <w:r w:rsidRPr="00DB5D0D">
        <w:rPr>
          <w:rFonts w:ascii="Times New Roman" w:hAnsi="Times New Roman"/>
          <w:color w:val="000000" w:themeColor="text1"/>
          <w:sz w:val="16"/>
          <w:szCs w:val="16"/>
        </w:rPr>
        <w:softHyphen/>
        <w:t>димых расчетов и данных.</w:t>
      </w:r>
    </w:p>
    <w:p w14:paraId="16B2FF2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идея, заслуживает необходимой разработки и экспериментальной проверки.</w:t>
      </w:r>
    </w:p>
    <w:p w14:paraId="6BF2F5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Светомаскировке.</w:t>
      </w:r>
    </w:p>
    <w:p w14:paraId="62BD246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Метод применения прожекторов не для собственно светомаскиров</w:t>
      </w:r>
      <w:r w:rsidRPr="00DB5D0D">
        <w:rPr>
          <w:rFonts w:ascii="Times New Roman" w:hAnsi="Times New Roman"/>
          <w:color w:val="000000" w:themeColor="text1"/>
          <w:sz w:val="16"/>
          <w:szCs w:val="16"/>
        </w:rPr>
        <w:softHyphen/>
        <w:t>ки, а в качестве средства ослепления авиации противника вряд ли можно принимать всерьез по следующим причинам:</w:t>
      </w:r>
    </w:p>
    <w:p w14:paraId="0D2AF9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Он не исключает слепых полетов непосредственно в зоне обороны пункта.</w:t>
      </w:r>
    </w:p>
    <w:p w14:paraId="44A371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Не исключает бомбометания по площади и с пикирования.</w:t>
      </w:r>
    </w:p>
    <w:p w14:paraId="4D4BDC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одинаковой степени мешает работе собственной авиации.</w:t>
      </w:r>
    </w:p>
    <w:p w14:paraId="724E43A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Наконец, если автор полагает действие прожекторов начинать с угрож. положения, то оно будет представлять прекрасный ориентир для авиации противника (10516, 80).</w:t>
      </w:r>
    </w:p>
    <w:p w14:paraId="3F85DF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DCC60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бригинтендантом 1-го Отделения 3-го Отдела 9 управления ГУ ВВС КА Апухтиным был подготовлен:</w:t>
      </w:r>
    </w:p>
    <w:p w14:paraId="74A1E4D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ПЕЧЕРЕНЬ ДЕСАНТНЫХ ПРЕДМЕТОВ КОНСТРУКЦИИ БЮРО, ВОЗГЛАВЛЯВШЕГОСЯ тов. ГРОХОВСКИМ, СОСТОЯЩИМ НА СНАБЖЕНИИ В ВВС КА.</w:t>
      </w:r>
    </w:p>
    <w:p w14:paraId="01D49B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ПД-Кор (овальный цилиндр для сбрасывания на парашюте грузов) - состоит на снабжении, но с производства снят в 1937 г</w:t>
      </w:r>
    </w:p>
    <w:p w14:paraId="546886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ПД-ММ (мягкий парашютный мешок для парашютного сбрасы</w:t>
      </w:r>
      <w:r w:rsidRPr="00DB5D0D">
        <w:rPr>
          <w:rFonts w:ascii="Times New Roman" w:hAnsi="Times New Roman"/>
          <w:color w:val="000000" w:themeColor="text1"/>
          <w:sz w:val="16"/>
          <w:szCs w:val="16"/>
        </w:rPr>
        <w:softHyphen/>
        <w:t>вания разных грузов до 100 кг) не строится с 1938 года.</w:t>
      </w:r>
    </w:p>
    <w:p w14:paraId="490421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ПГ-2.. (картонный цилиндр для сбрасывания на парашютах грузов до 20 кг.) не строится с 1936 года.</w:t>
      </w:r>
    </w:p>
    <w:p w14:paraId="3E99217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4..ПД-У (фанерный щлиндр для сбрасывания грузов до 100 кг. на парашюте) не строится с 1936 года.</w:t>
      </w:r>
    </w:p>
    <w:p w14:paraId="13A650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Кассета под Р-5 - Г-61 для перевозки людей и грузов с посадкой - не строится с 1937 года.</w:t>
      </w:r>
    </w:p>
    <w:p w14:paraId="6E69A4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Подвеска ПГ-12 была построена в серии, но при испыта</w:t>
      </w:r>
      <w:r w:rsidRPr="00DB5D0D">
        <w:rPr>
          <w:rFonts w:ascii="Times New Roman" w:hAnsi="Times New Roman"/>
          <w:color w:val="000000" w:themeColor="text1"/>
          <w:sz w:val="16"/>
          <w:szCs w:val="16"/>
        </w:rPr>
        <w:softHyphen/>
        <w:t>ниях в 1936 году подвесок серийного выпуска была установлена непригодность основных узлов. После изменения узлов конструк</w:t>
      </w:r>
      <w:r w:rsidRPr="00DB5D0D">
        <w:rPr>
          <w:rFonts w:ascii="Times New Roman" w:hAnsi="Times New Roman"/>
          <w:color w:val="000000" w:themeColor="text1"/>
          <w:sz w:val="16"/>
          <w:szCs w:val="16"/>
        </w:rPr>
        <w:softHyphen/>
        <w:t>тором т. Седовым и Прокофьевым подвески были на 45% переделаны и приняты на снабжение под названием ПГ-12П.</w:t>
      </w:r>
    </w:p>
    <w:p w14:paraId="65D775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Подвеска с производства снята и заменена более совершенной ДПТ-2 конструкции завода "Под'емник" в Москве.</w:t>
      </w:r>
    </w:p>
    <w:p w14:paraId="15B504E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 ДЕСАНТНЫХ ПРЕДМЕТОВ КОНСТРУКТОРСКОГО БЮРО, ВОЗГЛАВЛЯВШЕГОСЯ тов. ГРОХОВСКИМ, ПРИНЯТЫХ В СВОЕ ВРЕМЯ НА СНАБЖЕНИИ В ВВС КА, НО СНЯТЫХ СО СНАБЖЕНИЯ К НАСТОЯЩЕМУ ВРЕМЕНИ.</w:t>
      </w:r>
    </w:p>
    <w:p w14:paraId="5C89AE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Кабина под ТБ-1 для транспортировки парашютистов.</w:t>
      </w:r>
    </w:p>
    <w:p w14:paraId="29054C4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Построено было 40 шт.</w:t>
      </w:r>
    </w:p>
    <w:p w14:paraId="4B4C991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Бензомаслянннй бак 60 литров. Построена небольшая серия. Затемтем был заменен более совершенным баком емкостью в 130 литров.</w:t>
      </w:r>
    </w:p>
    <w:p w14:paraId="5499B1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ПГ-2п - Пневматический мешок для сбрасывания мелких грузов до 20 кг.</w:t>
      </w:r>
    </w:p>
    <w:p w14:paraId="273CDF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Снят с производства и со снабжения.</w:t>
      </w:r>
    </w:p>
    <w:p w14:paraId="654734A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Подвеска ПГ-М1 для сбрасывания мотоцикла на парашюте снята со снабжения и производства, как устаревшая и приспособленная для мотоцикла, не состоящего на снабжении РККА.</w:t>
      </w:r>
    </w:p>
    <w:p w14:paraId="77BC709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патентам т.Гпоховского*</w:t>
      </w:r>
    </w:p>
    <w:p w14:paraId="133937D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Насколько мне известно, большинство запатентованных объектов являют</w:t>
      </w:r>
      <w:r w:rsidRPr="00DB5D0D">
        <w:rPr>
          <w:rFonts w:ascii="Times New Roman" w:hAnsi="Times New Roman"/>
          <w:color w:val="000000" w:themeColor="text1"/>
          <w:sz w:val="16"/>
          <w:szCs w:val="16"/>
        </w:rPr>
        <w:softHyphen/>
        <w:t>ся результатом коллективного труда работников, возглавлявшихся т. Гроховским организаций (отдел НИИ ВВС КА, Особое Конструкторское Бюро, экспериментально исследовательский институт НКТяжпрома СССР и т.п.).</w:t>
      </w:r>
    </w:p>
    <w:p w14:paraId="151FEFE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 использовании тов.Гроховского в опытном строительстве десантного имущества.</w:t>
      </w:r>
    </w:p>
    <w:p w14:paraId="054223C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Обладая большой настойчивостью энергией и инициативой, но не имея достаточной теоретической подготовки т. Гроховский с 1930 г. по 1936 г., добиваясь создания под его руководством конструкторских организаций, занимался десантным имуществом, получал на это большие средства. До 1936 года организации Гроховского дали ряд опытных объектов по десантному имуществу, часть которых (указаны выше) была принята на снабжение, а другая часть, как не отвечающая требованиям - забракована. С 1936 г. т. Гроховский десантным имуществом фактически перестал заниматься и переключился на другие работы. По средством отпускавшихся т. Гроховскому и по числу лиц, работавших под его руководством, он должен был дать неизмеримо больше, чем дал.</w:t>
      </w:r>
    </w:p>
    <w:p w14:paraId="5562E34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Десантная конструкторская группа с 1938 года работает во все меньшем составе, чем при т. Гроховским и со значительно меньшей затрате средств, при весьма малом внимании к этому делу руководства.</w:t>
      </w:r>
    </w:p>
    <w:p w14:paraId="4DB6FD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Несмотря на это группа дала ряд ценные опытных объектов по десантному имуществу, а именно:</w:t>
      </w:r>
    </w:p>
    <w:p w14:paraId="002DD31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Тара беспарашютного сбрасывания</w:t>
      </w:r>
    </w:p>
    <w:p w14:paraId="7908415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Тара беспарашютного сбрасывания горючего.</w:t>
      </w:r>
    </w:p>
    <w:p w14:paraId="4CBFAFF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Подвеска для парашютного сбрасывания мотоцикла.</w:t>
      </w:r>
    </w:p>
    <w:p w14:paraId="70CDE38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Десантная каэина под ДБ-3.</w:t>
      </w:r>
    </w:p>
    <w:p w14:paraId="259F961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Мост для сбрасывания парашютных грузов с ТВ-3.</w:t>
      </w:r>
    </w:p>
    <w:p w14:paraId="764E43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 Мост для парашютного сбрасывания с самолета "Дуглас” (ПС-84к).</w:t>
      </w:r>
    </w:p>
    <w:p w14:paraId="3377E0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 Цистерна для транспортировки (с посадкой) 4000 литров горю на ТБ-3.</w:t>
      </w:r>
    </w:p>
    <w:p w14:paraId="18F9A7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Конструкторской бригадой на заводе "Под'емник", состоящей из работников, всвое время работавших в организациях, руководи</w:t>
      </w:r>
      <w:r w:rsidRPr="00DB5D0D">
        <w:rPr>
          <w:rFonts w:ascii="Times New Roman" w:hAnsi="Times New Roman"/>
          <w:color w:val="000000" w:themeColor="text1"/>
          <w:sz w:val="16"/>
          <w:szCs w:val="16"/>
        </w:rPr>
        <w:softHyphen/>
        <w:t>мых т. Гроховским, создана подвеска ДПТ-2 и платформа ГП-1, позволившие транспортировать на ТБ-3 значительное количество предме</w:t>
      </w:r>
      <w:r w:rsidRPr="00DB5D0D">
        <w:rPr>
          <w:rFonts w:ascii="Times New Roman" w:hAnsi="Times New Roman"/>
          <w:color w:val="000000" w:themeColor="text1"/>
          <w:sz w:val="16"/>
          <w:szCs w:val="16"/>
        </w:rPr>
        <w:softHyphen/>
        <w:t>тов вооружения и других грузов.</w:t>
      </w:r>
    </w:p>
    <w:p w14:paraId="3C9F45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должном внимании со стороны руководства существующие конструкторские группы дали бы значительно больше.</w:t>
      </w:r>
    </w:p>
    <w:p w14:paraId="454CD7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Сейчас конструкторская бригада по десантному имуществу при заводе № 289 не имеет производственной базы. Это задерживает осуществление готовых проектов новых образцов десантного иму</w:t>
      </w:r>
      <w:r w:rsidRPr="00DB5D0D">
        <w:rPr>
          <w:rFonts w:ascii="Times New Roman" w:hAnsi="Times New Roman"/>
          <w:color w:val="000000" w:themeColor="text1"/>
          <w:sz w:val="16"/>
          <w:szCs w:val="16"/>
        </w:rPr>
        <w:softHyphen/>
        <w:t>щества. Группа на заводе "Под'емник" переключена на другие рабо</w:t>
      </w:r>
      <w:r w:rsidRPr="00DB5D0D">
        <w:rPr>
          <w:rFonts w:ascii="Times New Roman" w:hAnsi="Times New Roman"/>
          <w:color w:val="000000" w:themeColor="text1"/>
          <w:sz w:val="16"/>
          <w:szCs w:val="16"/>
        </w:rPr>
        <w:softHyphen/>
        <w:t>ты - не по десантному имуществу. То, что десантная группа т. Гроховского продолжает успешно работать, несмотря на значитель</w:t>
      </w:r>
      <w:r w:rsidRPr="00DB5D0D">
        <w:rPr>
          <w:rFonts w:ascii="Times New Roman" w:hAnsi="Times New Roman"/>
          <w:color w:val="000000" w:themeColor="text1"/>
          <w:sz w:val="16"/>
          <w:szCs w:val="16"/>
        </w:rPr>
        <w:softHyphen/>
        <w:t>но худшие условия, чем это было при Гроховском говорит за то, что не в т. Гроховском дело, а в составе коллектива и условиях работы.</w:t>
      </w:r>
    </w:p>
    <w:p w14:paraId="2FF7D68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Если создать нужные условия для конструкторской работы по десантному имуществу, то успешность работы значительно возрастет.</w:t>
      </w:r>
    </w:p>
    <w:p w14:paraId="51ED0F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Необходимо слить конструкторскую группу завода № 289 с кон</w:t>
      </w:r>
      <w:r w:rsidRPr="00DB5D0D">
        <w:rPr>
          <w:rFonts w:ascii="Times New Roman" w:hAnsi="Times New Roman"/>
          <w:color w:val="000000" w:themeColor="text1"/>
          <w:sz w:val="16"/>
          <w:szCs w:val="16"/>
        </w:rPr>
        <w:softHyphen/>
        <w:t>структорской бригадой завода "Подъемник" и дать этому конструк</w:t>
      </w:r>
      <w:r w:rsidRPr="00DB5D0D">
        <w:rPr>
          <w:rFonts w:ascii="Times New Roman" w:hAnsi="Times New Roman"/>
          <w:color w:val="000000" w:themeColor="text1"/>
          <w:sz w:val="16"/>
          <w:szCs w:val="16"/>
        </w:rPr>
        <w:softHyphen/>
        <w:t>торскому бюро должную производственную базу.</w:t>
      </w:r>
    </w:p>
    <w:p w14:paraId="0E774B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Тов. Гроховский сам лично мог бы принести известную пользу в том случае, если бы он в качестве не руководителя, а рядового конструктора занялся десантным делом, хотя бы в составе этой группы. У него есть инициатива, настойчивость и фантазия. Он мо</w:t>
      </w:r>
      <w:r w:rsidRPr="00DB5D0D">
        <w:rPr>
          <w:rFonts w:ascii="Times New Roman" w:hAnsi="Times New Roman"/>
          <w:color w:val="000000" w:themeColor="text1"/>
          <w:sz w:val="16"/>
          <w:szCs w:val="16"/>
        </w:rPr>
        <w:softHyphen/>
        <w:t>жет оказать помощь в создании схем десантного имущества. Сомне</w:t>
      </w:r>
      <w:r w:rsidRPr="00DB5D0D">
        <w:rPr>
          <w:rFonts w:ascii="Times New Roman" w:hAnsi="Times New Roman"/>
          <w:color w:val="000000" w:themeColor="text1"/>
          <w:sz w:val="16"/>
          <w:szCs w:val="16"/>
        </w:rPr>
        <w:softHyphen/>
        <w:t>ваюсь только в том, что может ли т. Гроховский сработаться с со</w:t>
      </w:r>
      <w:r w:rsidRPr="00DB5D0D">
        <w:rPr>
          <w:rFonts w:ascii="Times New Roman" w:hAnsi="Times New Roman"/>
          <w:color w:val="000000" w:themeColor="text1"/>
          <w:sz w:val="16"/>
          <w:szCs w:val="16"/>
        </w:rPr>
        <w:softHyphen/>
        <w:t>ставом конструкторского бюро (10516,72).</w:t>
      </w:r>
    </w:p>
    <w:p w14:paraId="1187377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B67D93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A0454D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3388C3D" w14:textId="77777777" w:rsidR="008C66E1" w:rsidRPr="00DB5D0D" w:rsidRDefault="008C66E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г. Комитет обороны решением № 373сс обязал НКСП и НКТМ к 15 октября 1940 г. изготовить опытно-установочные партии литых башен для КВ: две башни из брони, цементированной во время отливки, две башни из гомогенной брони марки Ижорского завода и две башни из гомогенной брони марки Мариупольского завода. Это постановление Комитета обороны Ижорский и Мариупольский заводы выполнили также с опозданием на 3,5 месяца. Испытания литых башен дали удовлетворительные результаты (18033).</w:t>
      </w:r>
    </w:p>
    <w:p w14:paraId="2B68AD7E" w14:textId="77777777" w:rsidR="008C66E1" w:rsidRPr="00DB5D0D" w:rsidRDefault="008C66E1" w:rsidP="00DB5D0D">
      <w:pPr>
        <w:spacing w:after="0" w:line="240" w:lineRule="auto"/>
        <w:jc w:val="both"/>
        <w:rPr>
          <w:rFonts w:ascii="Times New Roman" w:hAnsi="Times New Roman"/>
          <w:color w:val="000000" w:themeColor="text1"/>
          <w:sz w:val="16"/>
          <w:szCs w:val="16"/>
        </w:rPr>
      </w:pPr>
    </w:p>
    <w:p w14:paraId="25D09882"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29 августа 1940 вышло Постановление Комитета обороны при СНК СССР № 373сс "О производстве башен к танку "КВ" из литой брони гомогенной и двухслойной, цементированной во время отливки"</w:t>
      </w:r>
    </w:p>
    <w:p w14:paraId="4E778220"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КОМИТЕТ ОБОРОНЫ при -СНК Союза ССР ПОСТАНОВЛЯЕТ;</w:t>
      </w:r>
    </w:p>
    <w:p w14:paraId="59C7E9BA"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1. Для получения окончательных результатов, позволяющих приступить к серийному производству литых башен для танков "КВ" обязать Наркомсудпром и Наркомтяжмаш к 15 октября 1940г. изготовить опытно-установочные партии литых башен, механически обработать и к 1-му ноября 1940 г. установить на серийных тан</w:t>
      </w:r>
      <w:r w:rsidRPr="00DB5D0D">
        <w:rPr>
          <w:rFonts w:ascii="Times New Roman" w:hAnsi="Times New Roman"/>
          <w:color w:val="0070C0"/>
          <w:sz w:val="16"/>
          <w:szCs w:val="16"/>
        </w:rPr>
        <w:softHyphen/>
        <w:t>ках "КВ";</w:t>
      </w:r>
    </w:p>
    <w:p w14:paraId="655E782F"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две башни танка "КВ" из брони, цементированной во время отливки (по технологии спецтехбюро Наркомтяжмаша), с отливкой их на Ижорском заводе Наркомсудпроиа;</w:t>
      </w:r>
    </w:p>
    <w:p w14:paraId="74358753"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две башни танка "КВ" из гомогенной брони марки Ижор</w:t>
      </w:r>
      <w:r w:rsidRPr="00DB5D0D">
        <w:rPr>
          <w:rFonts w:ascii="Times New Roman" w:hAnsi="Times New Roman"/>
          <w:color w:val="0070C0"/>
          <w:sz w:val="16"/>
          <w:szCs w:val="16"/>
        </w:rPr>
        <w:softHyphen/>
        <w:t>ского завода с отливкой их на Ижорском заводе НКСП;</w:t>
      </w:r>
    </w:p>
    <w:p w14:paraId="44957CB4"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две башни для танка "КВ" из гомогенной брони марки Мариупольского завода с отливкой их на Мариупольском заводе Наркомсудпрома.</w:t>
      </w:r>
    </w:p>
    <w:p w14:paraId="35DDE17A"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 Ввиду того, что при испытании установлено, что броне</w:t>
      </w:r>
      <w:r w:rsidRPr="00DB5D0D">
        <w:rPr>
          <w:rFonts w:ascii="Times New Roman" w:hAnsi="Times New Roman"/>
          <w:color w:val="0070C0"/>
          <w:sz w:val="16"/>
          <w:szCs w:val="16"/>
        </w:rPr>
        <w:softHyphen/>
        <w:t>стойко сть литых башен ниже, чем из катаной брони, признать воз</w:t>
      </w:r>
      <w:r w:rsidRPr="00DB5D0D">
        <w:rPr>
          <w:rFonts w:ascii="Times New Roman" w:hAnsi="Times New Roman"/>
          <w:color w:val="0070C0"/>
          <w:sz w:val="16"/>
          <w:szCs w:val="16"/>
        </w:rPr>
        <w:softHyphen/>
        <w:t>можным допускать увеличение толщин стенок башен для танков "КВ" до 82 мм с допуском плюс (+) 7 минус (-) 2 мм (вместо толщин в 75 мм, установленной для башен танков "КВ" из катаной брони), при этом вес башен не должен увеличиться более, чем на 450 кгр.</w:t>
      </w:r>
    </w:p>
    <w:p w14:paraId="1C1FE83A"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 Возложить разработку временных технических условий на изготовление и приемку литых башен опытно-установочныт партий:</w:t>
      </w:r>
    </w:p>
    <w:p w14:paraId="0F1CC9EC"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 отлитых по методу Спецтехбюро НКТМ - на начальника спецтехбюро тов. Рудакова, зам.главного инженера - НИИ-48 тов. Деле, гл. металлурга Ижорского завода тов. Якимовича и старшего военпреда АБТУ КА тов. Дмитрусенко;</w:t>
      </w:r>
    </w:p>
    <w:p w14:paraId="5E7B15D5"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б) отлитых по методу Ижорского завода на гл. металлурга Ижор</w:t>
      </w:r>
      <w:r w:rsidRPr="00DB5D0D">
        <w:rPr>
          <w:rFonts w:ascii="Times New Roman" w:hAnsi="Times New Roman"/>
          <w:color w:val="0070C0"/>
          <w:sz w:val="16"/>
          <w:szCs w:val="16"/>
        </w:rPr>
        <w:softHyphen/>
        <w:t>ского завода тов. Якимовича, зам.гл. инженера НИИ-48 тов. Деле и ст. военпреда АБТУ КА тов. Дмитрусенко;</w:t>
      </w:r>
    </w:p>
    <w:p w14:paraId="330187F0"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отлитых по методу Мариупольского завода - на гл.инженера Мариупольского завода тов. Ниценко, начальника филиала НИИ-48 тов. Шмидт и старшего военпреда АБТУ КА тов. Зухера.</w:t>
      </w:r>
    </w:p>
    <w:p w14:paraId="5CC8C9D1"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Временные технические условия в 10-ти дневный срок пред</w:t>
      </w:r>
      <w:r w:rsidRPr="00DB5D0D">
        <w:rPr>
          <w:rFonts w:ascii="Times New Roman" w:hAnsi="Times New Roman"/>
          <w:color w:val="0070C0"/>
          <w:sz w:val="16"/>
          <w:szCs w:val="16"/>
        </w:rPr>
        <w:softHyphen/>
        <w:t>ставить на утверждение НКО.</w:t>
      </w:r>
    </w:p>
    <w:p w14:paraId="1DF349A5"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4. Обязать Спецтехбюро Наркомтяжмаша, при участии НИИ-48, Ижорского и Мариупольского заводов, окончательно отработать на опытно-установочных партиях литых башен танка "КВ" технологический процесс, технологические инструкции, технические условия на приемку литых башен и методику технического контроля для организации серийного производства литых башен.</w:t>
      </w:r>
    </w:p>
    <w:p w14:paraId="195CF5F1"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5. НКО, Наркомсудпрому и Наркомтяжмашу, на основе всесторонних испытаний опытно-установочных партий бронебашен, отлитых по технологиям Спецтехбюро НКТМ, Ижорского и Мариупольского заводов НКСП, определить наиболее удовлетворяющий тип литой брони и к 10 ноября 1940 г. представить в Комитет Обороны предложения о принятии на вооружение литых башен к танкам "КВ" с указанием базы их изготовления.</w:t>
      </w:r>
    </w:p>
    <w:p w14:paraId="1E53DE78"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6. Наркомфину СССР отпустить из резервного фонда СНК Союза ССР для проведения работ по опытно-установочной партии литых башен к ганку "КВ" - 450 тыс. рублей, из них:</w:t>
      </w:r>
    </w:p>
    <w:p w14:paraId="128A52C0"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Наркомтяжмашу - 150 тыс. рублей</w:t>
      </w:r>
    </w:p>
    <w:p w14:paraId="5F954938" w14:textId="77777777" w:rsidR="006D01B7" w:rsidRPr="00DB5D0D" w:rsidRDefault="006D01B7"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Наркомсудпрому - 300 тыс. рублей (22035).</w:t>
      </w:r>
    </w:p>
    <w:p w14:paraId="7D26CF65" w14:textId="77777777" w:rsidR="006D01B7" w:rsidRPr="00DB5D0D" w:rsidRDefault="006D01B7" w:rsidP="00DB5D0D">
      <w:pPr>
        <w:spacing w:after="0" w:line="240" w:lineRule="auto"/>
        <w:jc w:val="both"/>
        <w:rPr>
          <w:rFonts w:ascii="Times New Roman" w:hAnsi="Times New Roman"/>
          <w:color w:val="0070C0"/>
          <w:sz w:val="16"/>
          <w:szCs w:val="16"/>
        </w:rPr>
      </w:pPr>
    </w:p>
    <w:p w14:paraId="69D4907E" w14:textId="77777777" w:rsidR="003C7E8B" w:rsidRPr="00DB5D0D" w:rsidRDefault="003C7E8B" w:rsidP="00DB5D0D">
      <w:pPr>
        <w:pStyle w:val="a3"/>
        <w:rPr>
          <w:color w:val="000000" w:themeColor="text1"/>
          <w:lang w:val="ru-RU"/>
        </w:rPr>
      </w:pPr>
      <w:r w:rsidRPr="00DB5D0D">
        <w:rPr>
          <w:color w:val="000000" w:themeColor="text1"/>
          <w:lang w:val="ru-RU"/>
        </w:rPr>
        <w:t>29 августа 1940 г. на совместном совещании у директора завода был согласован дополнительный перечень конструк</w:t>
      </w:r>
      <w:r w:rsidRPr="00DB5D0D">
        <w:rPr>
          <w:color w:val="000000" w:themeColor="text1"/>
          <w:lang w:val="ru-RU"/>
        </w:rPr>
        <w:softHyphen/>
        <w:t>тивных изменений по Т-34 (см. табл. №12). Данный список был со</w:t>
      </w:r>
      <w:r w:rsidRPr="00DB5D0D">
        <w:rPr>
          <w:color w:val="000000" w:themeColor="text1"/>
          <w:lang w:val="ru-RU"/>
        </w:rPr>
        <w:softHyphen/>
        <w:t>гласован с руководством завода №183. На этом же сове</w:t>
      </w:r>
      <w:r w:rsidRPr="00DB5D0D">
        <w:rPr>
          <w:color w:val="000000" w:themeColor="text1"/>
          <w:lang w:val="ru-RU"/>
        </w:rPr>
        <w:softHyphen/>
        <w:t>щании Я.Н. Федоренко дал следующее указание военному предста</w:t>
      </w:r>
      <w:r w:rsidRPr="00DB5D0D">
        <w:rPr>
          <w:color w:val="000000" w:themeColor="text1"/>
          <w:lang w:val="ru-RU"/>
        </w:rPr>
        <w:softHyphen/>
        <w:t>вителю на заводе №183 Д.М. Козыреву относительно приемки гото</w:t>
      </w:r>
      <w:r w:rsidRPr="00DB5D0D">
        <w:rPr>
          <w:color w:val="000000" w:themeColor="text1"/>
          <w:lang w:val="ru-RU"/>
        </w:rPr>
        <w:softHyphen/>
        <w:t>вых танков Т-34 в 1940 г.:</w:t>
      </w:r>
    </w:p>
    <w:p w14:paraId="1AB81AD3"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Районному инженеру ГАБТУ КА на заводе № 183 машины с не устраненными дефектами с №201 - не принимать. При этом допу</w:t>
      </w:r>
      <w:r w:rsidRPr="00DB5D0D">
        <w:rPr>
          <w:rFonts w:ascii="Times New Roman" w:cs="Times New Roman"/>
          <w:color w:val="000000" w:themeColor="text1"/>
          <w:spacing w:val="0"/>
          <w:sz w:val="16"/>
          <w:szCs w:val="16"/>
        </w:rPr>
        <w:softHyphen/>
        <w:t>стить проводить отдельные изменения в более поздние сроки, но не позднее 201 машины, в каждом отдельном случае по согласованию с Районным инженером ГАБТУ КА (11939).</w:t>
      </w:r>
    </w:p>
    <w:p w14:paraId="23E9DD75" w14:textId="77777777" w:rsidR="003C7E8B" w:rsidRPr="00DB5D0D" w:rsidRDefault="003C7E8B" w:rsidP="00DB5D0D">
      <w:pPr>
        <w:pStyle w:val="a3"/>
        <w:rPr>
          <w:color w:val="000000" w:themeColor="text1"/>
          <w:lang w:val="ru-RU"/>
        </w:rPr>
      </w:pPr>
      <w:r w:rsidRPr="00DB5D0D">
        <w:rPr>
          <w:color w:val="000000" w:themeColor="text1"/>
          <w:lang w:val="ru-RU"/>
        </w:rPr>
        <w:t>Таблица №12</w:t>
      </w:r>
    </w:p>
    <w:p w14:paraId="5DE18BF2" w14:textId="77777777" w:rsidR="003C7E8B" w:rsidRPr="00DB5D0D" w:rsidRDefault="003C7E8B" w:rsidP="00DB5D0D">
      <w:pPr>
        <w:pStyle w:val="aff1"/>
        <w:shd w:val="clear" w:color="auto" w:fill="auto"/>
        <w:spacing w:line="240" w:lineRule="auto"/>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Перечень конструктивных изменений по машине Т-34, приложенный к протоколу от 29.08.1940 г.</w:t>
      </w:r>
    </w:p>
    <w:tbl>
      <w:tblPr>
        <w:tblW w:w="0" w:type="auto"/>
        <w:tblInd w:w="8" w:type="dxa"/>
        <w:tblLayout w:type="fixed"/>
        <w:tblCellMar>
          <w:left w:w="0" w:type="dxa"/>
          <w:right w:w="0" w:type="dxa"/>
        </w:tblCellMar>
        <w:tblLook w:val="0000" w:firstRow="0" w:lastRow="0" w:firstColumn="0" w:lastColumn="0" w:noHBand="0" w:noVBand="0"/>
      </w:tblPr>
      <w:tblGrid>
        <w:gridCol w:w="426"/>
        <w:gridCol w:w="7512"/>
        <w:gridCol w:w="3402"/>
      </w:tblGrid>
      <w:tr w:rsidR="007D5DF8" w:rsidRPr="00DB5D0D" w14:paraId="0F4119F0" w14:textId="77777777" w:rsidTr="00E543D0">
        <w:trPr>
          <w:trHeight w:val="28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0C2B6D4" w14:textId="77777777" w:rsidR="003C7E8B" w:rsidRPr="00DB5D0D" w:rsidRDefault="003C7E8B" w:rsidP="00DB5D0D">
            <w:pPr>
              <w:pStyle w:val="a3"/>
              <w:rPr>
                <w:color w:val="000000" w:themeColor="text1"/>
              </w:rPr>
            </w:pPr>
            <w:r w:rsidRPr="00DB5D0D">
              <w:rPr>
                <w:color w:val="000000" w:themeColor="text1"/>
              </w:rPr>
              <w:t>№ п/п</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38ECBCC8" w14:textId="77777777" w:rsidR="003C7E8B" w:rsidRPr="00DB5D0D" w:rsidRDefault="003C7E8B" w:rsidP="00DB5D0D">
            <w:pPr>
              <w:pStyle w:val="a3"/>
              <w:rPr>
                <w:color w:val="000000" w:themeColor="text1"/>
              </w:rPr>
            </w:pPr>
            <w:r w:rsidRPr="00DB5D0D">
              <w:rPr>
                <w:color w:val="000000" w:themeColor="text1"/>
              </w:rPr>
              <w:t>Наименование изменений и доработок</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6D130F5B" w14:textId="77777777" w:rsidR="003C7E8B" w:rsidRPr="00DB5D0D" w:rsidRDefault="003C7E8B" w:rsidP="00DB5D0D">
            <w:pPr>
              <w:pStyle w:val="a3"/>
              <w:rPr>
                <w:color w:val="000000" w:themeColor="text1"/>
              </w:rPr>
            </w:pPr>
            <w:r w:rsidRPr="00DB5D0D">
              <w:rPr>
                <w:color w:val="000000" w:themeColor="text1"/>
              </w:rPr>
              <w:t>Срок ввода в серию</w:t>
            </w:r>
          </w:p>
        </w:tc>
      </w:tr>
      <w:tr w:rsidR="007D5DF8" w:rsidRPr="00DB5D0D" w14:paraId="3B15A97A" w14:textId="77777777" w:rsidTr="00E543D0">
        <w:trPr>
          <w:trHeight w:val="5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F8CB3AD" w14:textId="77777777" w:rsidR="003C7E8B" w:rsidRPr="00DB5D0D" w:rsidRDefault="003C7E8B" w:rsidP="00DB5D0D">
            <w:pPr>
              <w:pStyle w:val="a3"/>
              <w:rPr>
                <w:color w:val="000000" w:themeColor="text1"/>
              </w:rPr>
            </w:pPr>
            <w:r w:rsidRPr="00DB5D0D">
              <w:rPr>
                <w:color w:val="000000" w:themeColor="text1"/>
              </w:rPr>
              <w:t>1.</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63D5C31F" w14:textId="77777777" w:rsidR="003C7E8B" w:rsidRPr="00DB5D0D" w:rsidRDefault="003C7E8B" w:rsidP="00DB5D0D">
            <w:pPr>
              <w:pStyle w:val="a3"/>
              <w:rPr>
                <w:color w:val="000000" w:themeColor="text1"/>
                <w:lang w:val="ru-RU"/>
              </w:rPr>
            </w:pPr>
            <w:r w:rsidRPr="00DB5D0D">
              <w:rPr>
                <w:color w:val="000000" w:themeColor="text1"/>
                <w:lang w:val="ru-RU"/>
              </w:rPr>
              <w:t>Изменить масляную систему, обеспечив работу на одном маслобаке (при переключении кранов при работе мотора раздувает баки-радиаторы).</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1AAB5CD9" w14:textId="77777777" w:rsidR="003C7E8B" w:rsidRPr="00DB5D0D" w:rsidRDefault="003C7E8B" w:rsidP="00DB5D0D">
            <w:pPr>
              <w:pStyle w:val="a3"/>
              <w:rPr>
                <w:color w:val="000000" w:themeColor="text1"/>
                <w:lang w:val="ru-RU"/>
              </w:rPr>
            </w:pPr>
            <w:r w:rsidRPr="00DB5D0D">
              <w:rPr>
                <w:color w:val="000000" w:themeColor="text1"/>
                <w:lang w:val="ru-RU"/>
              </w:rPr>
              <w:t>С момента установления причины раздутия баков</w:t>
            </w:r>
          </w:p>
        </w:tc>
      </w:tr>
      <w:tr w:rsidR="007D5DF8" w:rsidRPr="00DB5D0D" w14:paraId="74D548A7"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9139373" w14:textId="77777777" w:rsidR="003C7E8B" w:rsidRPr="00DB5D0D" w:rsidRDefault="003C7E8B" w:rsidP="00DB5D0D">
            <w:pPr>
              <w:pStyle w:val="a3"/>
              <w:rPr>
                <w:color w:val="000000" w:themeColor="text1"/>
              </w:rPr>
            </w:pPr>
            <w:r w:rsidRPr="00DB5D0D">
              <w:rPr>
                <w:color w:val="000000" w:themeColor="text1"/>
              </w:rPr>
              <w:t>2.</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0F0C6C5C" w14:textId="77777777" w:rsidR="003C7E8B" w:rsidRPr="00DB5D0D" w:rsidRDefault="003C7E8B" w:rsidP="00DB5D0D">
            <w:pPr>
              <w:pStyle w:val="a3"/>
              <w:rPr>
                <w:color w:val="000000" w:themeColor="text1"/>
                <w:lang w:val="ru-RU"/>
              </w:rPr>
            </w:pPr>
            <w:r w:rsidRPr="00DB5D0D">
              <w:rPr>
                <w:color w:val="000000" w:themeColor="text1"/>
                <w:lang w:val="ru-RU"/>
              </w:rPr>
              <w:t>Переделать радиатор-бак, выбросив радиатор (дорогой, сложный в изготовлении и ненадежный в работе).</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6AA5C722" w14:textId="77777777" w:rsidR="003C7E8B" w:rsidRPr="00DB5D0D" w:rsidRDefault="003C7E8B" w:rsidP="00DB5D0D">
            <w:pPr>
              <w:pStyle w:val="a3"/>
              <w:rPr>
                <w:color w:val="000000" w:themeColor="text1"/>
                <w:lang w:val="ru-RU"/>
              </w:rPr>
            </w:pPr>
            <w:r w:rsidRPr="00DB5D0D">
              <w:rPr>
                <w:color w:val="000000" w:themeColor="text1"/>
                <w:lang w:val="ru-RU"/>
              </w:rPr>
              <w:t>Разработать на эталонном образце 1941 г.</w:t>
            </w:r>
          </w:p>
        </w:tc>
      </w:tr>
      <w:tr w:rsidR="007D5DF8" w:rsidRPr="00DB5D0D" w14:paraId="09111C0D" w14:textId="77777777" w:rsidTr="00E543D0">
        <w:trPr>
          <w:trHeight w:val="274"/>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5511EB0" w14:textId="77777777" w:rsidR="003C7E8B" w:rsidRPr="00DB5D0D" w:rsidRDefault="003C7E8B" w:rsidP="00DB5D0D">
            <w:pPr>
              <w:pStyle w:val="a3"/>
              <w:rPr>
                <w:color w:val="000000" w:themeColor="text1"/>
              </w:rPr>
            </w:pPr>
            <w:r w:rsidRPr="00DB5D0D">
              <w:rPr>
                <w:color w:val="000000" w:themeColor="text1"/>
              </w:rPr>
              <w:t>3.</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04130EB2" w14:textId="77777777" w:rsidR="003C7E8B" w:rsidRPr="00DB5D0D" w:rsidRDefault="003C7E8B" w:rsidP="00DB5D0D">
            <w:pPr>
              <w:pStyle w:val="a3"/>
              <w:rPr>
                <w:color w:val="000000" w:themeColor="text1"/>
                <w:lang w:val="ru-RU"/>
              </w:rPr>
            </w:pPr>
            <w:r w:rsidRPr="00DB5D0D">
              <w:rPr>
                <w:color w:val="000000" w:themeColor="text1"/>
                <w:lang w:val="ru-RU"/>
              </w:rPr>
              <w:t>Обеспечить централизованный полный слив масла с мотора и маслосистемы.</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6A278473" w14:textId="77777777" w:rsidR="003C7E8B" w:rsidRPr="00DB5D0D" w:rsidRDefault="003C7E8B" w:rsidP="00DB5D0D">
            <w:pPr>
              <w:pStyle w:val="a3"/>
              <w:rPr>
                <w:color w:val="000000" w:themeColor="text1"/>
              </w:rPr>
            </w:pPr>
            <w:r w:rsidRPr="00DB5D0D">
              <w:rPr>
                <w:color w:val="000000" w:themeColor="text1"/>
              </w:rPr>
              <w:t>Предъявить требование заводу №75</w:t>
            </w:r>
          </w:p>
        </w:tc>
      </w:tr>
      <w:tr w:rsidR="007D5DF8" w:rsidRPr="00DB5D0D" w14:paraId="136D8F56"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06DE441" w14:textId="77777777" w:rsidR="003C7E8B" w:rsidRPr="00DB5D0D" w:rsidRDefault="003C7E8B" w:rsidP="00DB5D0D">
            <w:pPr>
              <w:pStyle w:val="a3"/>
              <w:rPr>
                <w:color w:val="000000" w:themeColor="text1"/>
              </w:rPr>
            </w:pPr>
            <w:r w:rsidRPr="00DB5D0D">
              <w:rPr>
                <w:color w:val="000000" w:themeColor="text1"/>
              </w:rPr>
              <w:lastRenderedPageBreak/>
              <w:t>4.</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42DA8108" w14:textId="77777777" w:rsidR="003C7E8B" w:rsidRPr="00DB5D0D" w:rsidRDefault="003C7E8B" w:rsidP="00DB5D0D">
            <w:pPr>
              <w:pStyle w:val="a3"/>
              <w:rPr>
                <w:color w:val="000000" w:themeColor="text1"/>
                <w:lang w:val="ru-RU"/>
              </w:rPr>
            </w:pPr>
            <w:r w:rsidRPr="00DB5D0D">
              <w:rPr>
                <w:color w:val="000000" w:themeColor="text1"/>
                <w:lang w:val="ru-RU"/>
              </w:rPr>
              <w:t>Резервуар воздушного фильтра заполнять негорящей жидкостью.</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5394EDA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D7835F7" w14:textId="77777777" w:rsidTr="00E543D0">
        <w:trPr>
          <w:trHeight w:val="28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D209927" w14:textId="77777777" w:rsidR="003C7E8B" w:rsidRPr="00DB5D0D" w:rsidRDefault="003C7E8B" w:rsidP="00DB5D0D">
            <w:pPr>
              <w:pStyle w:val="a3"/>
              <w:rPr>
                <w:color w:val="000000" w:themeColor="text1"/>
              </w:rPr>
            </w:pPr>
            <w:r w:rsidRPr="00DB5D0D">
              <w:rPr>
                <w:color w:val="000000" w:themeColor="text1"/>
              </w:rPr>
              <w:t>5.</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16A04EE1" w14:textId="77777777" w:rsidR="003C7E8B" w:rsidRPr="00DB5D0D" w:rsidRDefault="003C7E8B" w:rsidP="00DB5D0D">
            <w:pPr>
              <w:pStyle w:val="a3"/>
              <w:rPr>
                <w:color w:val="000000" w:themeColor="text1"/>
                <w:lang w:val="ru-RU"/>
              </w:rPr>
            </w:pPr>
            <w:r w:rsidRPr="00DB5D0D">
              <w:rPr>
                <w:color w:val="000000" w:themeColor="text1"/>
                <w:lang w:val="ru-RU"/>
              </w:rPr>
              <w:t>Устранить течь горючего с воздушного крана при создании давления в баках.</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1EFEBBD2"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12B867A9" w14:textId="77777777" w:rsidTr="00E543D0">
        <w:trPr>
          <w:trHeight w:val="274"/>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7BB13ED" w14:textId="77777777" w:rsidR="003C7E8B" w:rsidRPr="00DB5D0D" w:rsidRDefault="003C7E8B" w:rsidP="00DB5D0D">
            <w:pPr>
              <w:pStyle w:val="a3"/>
              <w:rPr>
                <w:color w:val="000000" w:themeColor="text1"/>
              </w:rPr>
            </w:pPr>
            <w:r w:rsidRPr="00DB5D0D">
              <w:rPr>
                <w:color w:val="000000" w:themeColor="text1"/>
              </w:rPr>
              <w:t>6.</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EF86B13" w14:textId="77777777" w:rsidR="003C7E8B" w:rsidRPr="00DB5D0D" w:rsidRDefault="003C7E8B" w:rsidP="00DB5D0D">
            <w:pPr>
              <w:pStyle w:val="a3"/>
              <w:rPr>
                <w:color w:val="000000" w:themeColor="text1"/>
                <w:lang w:val="ru-RU"/>
              </w:rPr>
            </w:pPr>
            <w:r w:rsidRPr="00DB5D0D">
              <w:rPr>
                <w:color w:val="000000" w:themeColor="text1"/>
                <w:lang w:val="ru-RU"/>
              </w:rPr>
              <w:t>Обеспечить доступ к штуцерам воздушной магистрали на баках.</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7B309B07"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799F72B4" w14:textId="77777777" w:rsidTr="00E543D0">
        <w:trPr>
          <w:trHeight w:val="28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76D8BA5" w14:textId="77777777" w:rsidR="003C7E8B" w:rsidRPr="00DB5D0D" w:rsidRDefault="003C7E8B" w:rsidP="00DB5D0D">
            <w:pPr>
              <w:pStyle w:val="a3"/>
              <w:rPr>
                <w:color w:val="000000" w:themeColor="text1"/>
              </w:rPr>
            </w:pPr>
            <w:r w:rsidRPr="00DB5D0D">
              <w:rPr>
                <w:color w:val="000000" w:themeColor="text1"/>
              </w:rPr>
              <w:t>7.</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0931D32" w14:textId="77777777" w:rsidR="003C7E8B" w:rsidRPr="00DB5D0D" w:rsidRDefault="003C7E8B" w:rsidP="00DB5D0D">
            <w:pPr>
              <w:pStyle w:val="a3"/>
              <w:rPr>
                <w:color w:val="000000" w:themeColor="text1"/>
                <w:lang w:val="ru-RU"/>
              </w:rPr>
            </w:pPr>
            <w:r w:rsidRPr="00DB5D0D">
              <w:rPr>
                <w:color w:val="000000" w:themeColor="text1"/>
                <w:lang w:val="ru-RU"/>
              </w:rPr>
              <w:t>Обеспечить более легкое включение скорости.</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36D3E2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DE7FD01" w14:textId="77777777" w:rsidTr="00E543D0">
        <w:trPr>
          <w:trHeight w:val="274"/>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50065B0" w14:textId="77777777" w:rsidR="003C7E8B" w:rsidRPr="00DB5D0D" w:rsidRDefault="003C7E8B" w:rsidP="00DB5D0D">
            <w:pPr>
              <w:pStyle w:val="a3"/>
              <w:rPr>
                <w:color w:val="000000" w:themeColor="text1"/>
              </w:rPr>
            </w:pPr>
            <w:r w:rsidRPr="00DB5D0D">
              <w:rPr>
                <w:color w:val="000000" w:themeColor="text1"/>
              </w:rPr>
              <w:t>8.</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2B4A0C59" w14:textId="77777777" w:rsidR="003C7E8B" w:rsidRPr="00DB5D0D" w:rsidRDefault="003C7E8B" w:rsidP="00DB5D0D">
            <w:pPr>
              <w:pStyle w:val="a3"/>
              <w:rPr>
                <w:color w:val="000000" w:themeColor="text1"/>
                <w:lang w:val="ru-RU"/>
              </w:rPr>
            </w:pPr>
            <w:r w:rsidRPr="00DB5D0D">
              <w:rPr>
                <w:color w:val="000000" w:themeColor="text1"/>
                <w:lang w:val="ru-RU"/>
              </w:rPr>
              <w:t>Обеспечить уплотнение поводковой коробки и главного фрикциона (защита от попадания пыли).</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52C86C1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D2F778C"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7E20E37" w14:textId="77777777" w:rsidR="003C7E8B" w:rsidRPr="00DB5D0D" w:rsidRDefault="003C7E8B" w:rsidP="00DB5D0D">
            <w:pPr>
              <w:pStyle w:val="a3"/>
              <w:rPr>
                <w:color w:val="000000" w:themeColor="text1"/>
              </w:rPr>
            </w:pPr>
            <w:r w:rsidRPr="00DB5D0D">
              <w:rPr>
                <w:color w:val="000000" w:themeColor="text1"/>
              </w:rPr>
              <w:t>9.</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364841C0" w14:textId="77777777" w:rsidR="003C7E8B" w:rsidRPr="00DB5D0D" w:rsidRDefault="003C7E8B" w:rsidP="00DB5D0D">
            <w:pPr>
              <w:pStyle w:val="a3"/>
              <w:rPr>
                <w:color w:val="000000" w:themeColor="text1"/>
                <w:lang w:val="ru-RU"/>
              </w:rPr>
            </w:pPr>
            <w:r w:rsidRPr="00DB5D0D">
              <w:rPr>
                <w:color w:val="000000" w:themeColor="text1"/>
                <w:lang w:val="ru-RU"/>
              </w:rPr>
              <w:t>Устранить выбивание масла с КПП через суфлер.</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0D0F40A3" w14:textId="77777777" w:rsidR="003C7E8B" w:rsidRPr="00DB5D0D" w:rsidRDefault="003C7E8B" w:rsidP="00DB5D0D">
            <w:pPr>
              <w:pStyle w:val="a3"/>
              <w:rPr>
                <w:color w:val="000000" w:themeColor="text1"/>
              </w:rPr>
            </w:pPr>
            <w:r w:rsidRPr="00DB5D0D">
              <w:rPr>
                <w:color w:val="000000" w:themeColor="text1"/>
              </w:rPr>
              <w:t>С 141-й машины</w:t>
            </w:r>
          </w:p>
        </w:tc>
      </w:tr>
      <w:tr w:rsidR="007D5DF8" w:rsidRPr="00DB5D0D" w14:paraId="702A0DBE"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109F087" w14:textId="77777777" w:rsidR="003C7E8B" w:rsidRPr="00DB5D0D" w:rsidRDefault="003C7E8B" w:rsidP="00DB5D0D">
            <w:pPr>
              <w:pStyle w:val="a3"/>
              <w:rPr>
                <w:color w:val="000000" w:themeColor="text1"/>
              </w:rPr>
            </w:pPr>
            <w:r w:rsidRPr="00DB5D0D">
              <w:rPr>
                <w:color w:val="000000" w:themeColor="text1"/>
              </w:rPr>
              <w:t>10.</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355D4D80" w14:textId="77777777" w:rsidR="003C7E8B" w:rsidRPr="00DB5D0D" w:rsidRDefault="003C7E8B" w:rsidP="00DB5D0D">
            <w:pPr>
              <w:pStyle w:val="a3"/>
              <w:rPr>
                <w:color w:val="000000" w:themeColor="text1"/>
              </w:rPr>
            </w:pPr>
            <w:r w:rsidRPr="00DB5D0D">
              <w:rPr>
                <w:color w:val="000000" w:themeColor="text1"/>
              </w:rPr>
              <w:t>Устранить горение тормозных лент.</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5772F4E6" w14:textId="77777777" w:rsidR="003C7E8B" w:rsidRPr="00DB5D0D" w:rsidRDefault="003C7E8B" w:rsidP="00DB5D0D">
            <w:pPr>
              <w:pStyle w:val="a3"/>
              <w:rPr>
                <w:color w:val="000000" w:themeColor="text1"/>
              </w:rPr>
            </w:pPr>
            <w:r w:rsidRPr="00DB5D0D">
              <w:rPr>
                <w:color w:val="000000" w:themeColor="text1"/>
              </w:rPr>
              <w:t>С 141-й машины</w:t>
            </w:r>
          </w:p>
        </w:tc>
      </w:tr>
      <w:tr w:rsidR="007D5DF8" w:rsidRPr="00DB5D0D" w14:paraId="43E91E1E"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85E2B56" w14:textId="77777777" w:rsidR="003C7E8B" w:rsidRPr="00DB5D0D" w:rsidRDefault="003C7E8B" w:rsidP="00DB5D0D">
            <w:pPr>
              <w:pStyle w:val="a3"/>
              <w:rPr>
                <w:color w:val="000000" w:themeColor="text1"/>
              </w:rPr>
            </w:pPr>
            <w:r w:rsidRPr="00DB5D0D">
              <w:rPr>
                <w:color w:val="000000" w:themeColor="text1"/>
              </w:rPr>
              <w:t>11.</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6FB138B6" w14:textId="77777777" w:rsidR="003C7E8B" w:rsidRPr="00DB5D0D" w:rsidRDefault="003C7E8B" w:rsidP="00DB5D0D">
            <w:pPr>
              <w:pStyle w:val="a3"/>
              <w:rPr>
                <w:color w:val="000000" w:themeColor="text1"/>
                <w:lang w:val="ru-RU"/>
              </w:rPr>
            </w:pPr>
            <w:r w:rsidRPr="00DB5D0D">
              <w:rPr>
                <w:color w:val="000000" w:themeColor="text1"/>
                <w:lang w:val="ru-RU"/>
              </w:rPr>
              <w:t>Отработать регулировку подвесок с таким расчетом, чтобы балансиры не доставали крышек в днище корпуса.</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7CD9A057" w14:textId="77777777" w:rsidR="003C7E8B" w:rsidRPr="00DB5D0D" w:rsidRDefault="003C7E8B" w:rsidP="00DB5D0D">
            <w:pPr>
              <w:pStyle w:val="a3"/>
              <w:rPr>
                <w:color w:val="000000" w:themeColor="text1"/>
              </w:rPr>
            </w:pPr>
            <w:r w:rsidRPr="00DB5D0D">
              <w:rPr>
                <w:color w:val="000000" w:themeColor="text1"/>
              </w:rPr>
              <w:t>С 201-й машины</w:t>
            </w:r>
          </w:p>
        </w:tc>
      </w:tr>
      <w:tr w:rsidR="007D5DF8" w:rsidRPr="00DB5D0D" w14:paraId="642ACC55"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135501E" w14:textId="77777777" w:rsidR="003C7E8B" w:rsidRPr="00DB5D0D" w:rsidRDefault="003C7E8B" w:rsidP="00DB5D0D">
            <w:pPr>
              <w:pStyle w:val="a3"/>
              <w:rPr>
                <w:color w:val="000000" w:themeColor="text1"/>
              </w:rPr>
            </w:pPr>
            <w:r w:rsidRPr="00DB5D0D">
              <w:rPr>
                <w:color w:val="000000" w:themeColor="text1"/>
              </w:rPr>
              <w:t>12.</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54F8C54" w14:textId="77777777" w:rsidR="003C7E8B" w:rsidRPr="00DB5D0D" w:rsidRDefault="003C7E8B" w:rsidP="00DB5D0D">
            <w:pPr>
              <w:pStyle w:val="a3"/>
              <w:rPr>
                <w:color w:val="000000" w:themeColor="text1"/>
                <w:lang w:val="ru-RU"/>
              </w:rPr>
            </w:pPr>
            <w:r w:rsidRPr="00DB5D0D">
              <w:rPr>
                <w:color w:val="000000" w:themeColor="text1"/>
                <w:lang w:val="ru-RU"/>
              </w:rPr>
              <w:t>Сделать вырезы в фальшбортах для вынимания пальцев траверз.</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67C74EE6"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445BF262" w14:textId="77777777" w:rsidTr="00E543D0">
        <w:trPr>
          <w:trHeight w:val="5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8EDBF9B" w14:textId="77777777" w:rsidR="003C7E8B" w:rsidRPr="00DB5D0D" w:rsidRDefault="003C7E8B" w:rsidP="00DB5D0D">
            <w:pPr>
              <w:pStyle w:val="a3"/>
              <w:rPr>
                <w:color w:val="000000" w:themeColor="text1"/>
              </w:rPr>
            </w:pPr>
            <w:r w:rsidRPr="00DB5D0D">
              <w:rPr>
                <w:color w:val="000000" w:themeColor="text1"/>
              </w:rPr>
              <w:t>13.</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33DC7846" w14:textId="77777777" w:rsidR="003C7E8B" w:rsidRPr="00DB5D0D" w:rsidRDefault="003C7E8B" w:rsidP="00DB5D0D">
            <w:pPr>
              <w:pStyle w:val="a3"/>
              <w:tabs>
                <w:tab w:val="left" w:pos="283"/>
              </w:tabs>
              <w:rPr>
                <w:color w:val="000000" w:themeColor="text1"/>
                <w:lang w:val="ru-RU"/>
              </w:rPr>
            </w:pPr>
            <w:r w:rsidRPr="00DB5D0D">
              <w:rPr>
                <w:color w:val="000000" w:themeColor="text1"/>
                <w:lang w:val="ru-RU"/>
              </w:rPr>
              <w:t>а)</w:t>
            </w:r>
            <w:r w:rsidRPr="00DB5D0D">
              <w:rPr>
                <w:color w:val="000000" w:themeColor="text1"/>
                <w:lang w:val="ru-RU"/>
              </w:rPr>
              <w:tab/>
              <w:t>Обеспечить удобное переключение 3-4-й скорости, выгнуть рычаг на водителя.</w:t>
            </w:r>
          </w:p>
          <w:p w14:paraId="2BFEDC8A" w14:textId="77777777" w:rsidR="003C7E8B" w:rsidRPr="00DB5D0D" w:rsidRDefault="003C7E8B" w:rsidP="00DB5D0D">
            <w:pPr>
              <w:pStyle w:val="a3"/>
              <w:tabs>
                <w:tab w:val="left" w:pos="298"/>
              </w:tabs>
              <w:rPr>
                <w:color w:val="000000" w:themeColor="text1"/>
                <w:lang w:val="ru-RU"/>
              </w:rPr>
            </w:pPr>
            <w:r w:rsidRPr="00DB5D0D">
              <w:rPr>
                <w:color w:val="000000" w:themeColor="text1"/>
                <w:lang w:val="ru-RU"/>
              </w:rPr>
              <w:t>б)</w:t>
            </w:r>
            <w:r w:rsidRPr="00DB5D0D">
              <w:rPr>
                <w:color w:val="000000" w:themeColor="text1"/>
                <w:lang w:val="ru-RU"/>
              </w:rPr>
              <w:tab/>
              <w:t>Рукоятку рычага кулисы и защелку сделать более удобной в работе.</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6B5F5C11" w14:textId="77777777" w:rsidR="003C7E8B" w:rsidRPr="00DB5D0D" w:rsidRDefault="003C7E8B" w:rsidP="00DB5D0D">
            <w:pPr>
              <w:pStyle w:val="a3"/>
              <w:rPr>
                <w:color w:val="000000" w:themeColor="text1"/>
                <w:lang w:val="ru-RU"/>
              </w:rPr>
            </w:pPr>
            <w:r w:rsidRPr="00DB5D0D">
              <w:rPr>
                <w:color w:val="000000" w:themeColor="text1"/>
                <w:lang w:val="ru-RU"/>
              </w:rPr>
              <w:t>а) с 61-й машины б) со 141-й машины</w:t>
            </w:r>
          </w:p>
        </w:tc>
      </w:tr>
      <w:tr w:rsidR="007D5DF8" w:rsidRPr="00DB5D0D" w14:paraId="36021F93"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66E7D55" w14:textId="77777777" w:rsidR="003C7E8B" w:rsidRPr="00DB5D0D" w:rsidRDefault="003C7E8B" w:rsidP="00DB5D0D">
            <w:pPr>
              <w:pStyle w:val="a3"/>
              <w:rPr>
                <w:color w:val="000000" w:themeColor="text1"/>
              </w:rPr>
            </w:pPr>
            <w:r w:rsidRPr="00DB5D0D">
              <w:rPr>
                <w:color w:val="000000" w:themeColor="text1"/>
              </w:rPr>
              <w:t>14.</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27CAF6A7" w14:textId="77777777" w:rsidR="003C7E8B" w:rsidRPr="00DB5D0D" w:rsidRDefault="003C7E8B" w:rsidP="00DB5D0D">
            <w:pPr>
              <w:pStyle w:val="a3"/>
              <w:rPr>
                <w:color w:val="000000" w:themeColor="text1"/>
                <w:lang w:val="ru-RU"/>
              </w:rPr>
            </w:pPr>
            <w:r w:rsidRPr="00DB5D0D">
              <w:rPr>
                <w:color w:val="000000" w:themeColor="text1"/>
                <w:lang w:val="ru-RU"/>
              </w:rPr>
              <w:t>Изогнуть рычаги бортовых фрикционов вовнутрь и поднять их выше, чтобы при работе не отрывать туловище от спинки сидения.</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3065372A"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4C34AE86"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A8211AA" w14:textId="77777777" w:rsidR="003C7E8B" w:rsidRPr="00DB5D0D" w:rsidRDefault="003C7E8B" w:rsidP="00DB5D0D">
            <w:pPr>
              <w:pStyle w:val="a3"/>
              <w:rPr>
                <w:color w:val="000000" w:themeColor="text1"/>
              </w:rPr>
            </w:pPr>
            <w:r w:rsidRPr="00DB5D0D">
              <w:rPr>
                <w:color w:val="000000" w:themeColor="text1"/>
              </w:rPr>
              <w:t>15.</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3AEC5045" w14:textId="77777777" w:rsidR="003C7E8B" w:rsidRPr="00DB5D0D" w:rsidRDefault="003C7E8B" w:rsidP="00DB5D0D">
            <w:pPr>
              <w:pStyle w:val="a3"/>
              <w:rPr>
                <w:color w:val="000000" w:themeColor="text1"/>
                <w:lang w:val="ru-RU"/>
              </w:rPr>
            </w:pPr>
            <w:r w:rsidRPr="00DB5D0D">
              <w:rPr>
                <w:color w:val="000000" w:themeColor="text1"/>
                <w:lang w:val="ru-RU"/>
              </w:rPr>
              <w:t>Снизить подкаблучник, педаль газа сделать по типу педали машины «ЗИС» и конструктивно доработать акселераторный механизм, обеспечив надежность в работе.</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16D032AC" w14:textId="77777777" w:rsidR="003C7E8B" w:rsidRPr="00DB5D0D" w:rsidRDefault="003C7E8B" w:rsidP="00DB5D0D">
            <w:pPr>
              <w:pStyle w:val="a3"/>
              <w:rPr>
                <w:color w:val="000000" w:themeColor="text1"/>
              </w:rPr>
            </w:pPr>
            <w:r w:rsidRPr="00DB5D0D">
              <w:rPr>
                <w:color w:val="000000" w:themeColor="text1"/>
              </w:rPr>
              <w:t>Со 121-й машины</w:t>
            </w:r>
          </w:p>
        </w:tc>
      </w:tr>
      <w:tr w:rsidR="007D5DF8" w:rsidRPr="00DB5D0D" w14:paraId="5A07418E" w14:textId="77777777" w:rsidTr="00E543D0">
        <w:trPr>
          <w:trHeight w:val="5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C1833CE" w14:textId="77777777" w:rsidR="003C7E8B" w:rsidRPr="00DB5D0D" w:rsidRDefault="003C7E8B" w:rsidP="00DB5D0D">
            <w:pPr>
              <w:pStyle w:val="a3"/>
              <w:rPr>
                <w:color w:val="000000" w:themeColor="text1"/>
              </w:rPr>
            </w:pPr>
            <w:r w:rsidRPr="00DB5D0D">
              <w:rPr>
                <w:color w:val="000000" w:themeColor="text1"/>
              </w:rPr>
              <w:t>16.</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6788399B" w14:textId="77777777" w:rsidR="003C7E8B" w:rsidRPr="00DB5D0D" w:rsidRDefault="003C7E8B" w:rsidP="00DB5D0D">
            <w:pPr>
              <w:pStyle w:val="a3"/>
              <w:rPr>
                <w:color w:val="000000" w:themeColor="text1"/>
                <w:lang w:val="ru-RU"/>
              </w:rPr>
            </w:pPr>
            <w:r w:rsidRPr="00DB5D0D">
              <w:rPr>
                <w:color w:val="000000" w:themeColor="text1"/>
                <w:lang w:val="ru-RU"/>
              </w:rPr>
              <w:t>Сиденье водителя понизить, сделать в нем углубление в месте сидения</w:t>
            </w:r>
          </w:p>
          <w:p w14:paraId="7016CBFE" w14:textId="77777777" w:rsidR="003C7E8B" w:rsidRPr="00DB5D0D" w:rsidRDefault="003C7E8B" w:rsidP="00DB5D0D">
            <w:pPr>
              <w:pStyle w:val="a3"/>
              <w:rPr>
                <w:color w:val="000000" w:themeColor="text1"/>
                <w:lang w:val="ru-RU"/>
              </w:rPr>
            </w:pPr>
            <w:r w:rsidRPr="00DB5D0D">
              <w:rPr>
                <w:color w:val="000000" w:themeColor="text1"/>
                <w:lang w:val="ru-RU"/>
              </w:rPr>
              <w:t>(и в месте прохождения уравнительного валика). Тоже относится и к сиденью радиста.</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359CC390"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2F4E12D4" w14:textId="77777777" w:rsidTr="00E543D0">
        <w:trPr>
          <w:trHeight w:val="28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36AC10C" w14:textId="77777777" w:rsidR="003C7E8B" w:rsidRPr="00DB5D0D" w:rsidRDefault="003C7E8B" w:rsidP="00DB5D0D">
            <w:pPr>
              <w:pStyle w:val="a3"/>
              <w:rPr>
                <w:color w:val="000000" w:themeColor="text1"/>
              </w:rPr>
            </w:pPr>
            <w:r w:rsidRPr="00DB5D0D">
              <w:rPr>
                <w:color w:val="000000" w:themeColor="text1"/>
              </w:rPr>
              <w:t>17.</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117CC8BF" w14:textId="77777777" w:rsidR="003C7E8B" w:rsidRPr="00DB5D0D" w:rsidRDefault="003C7E8B" w:rsidP="00DB5D0D">
            <w:pPr>
              <w:pStyle w:val="a3"/>
              <w:rPr>
                <w:color w:val="000000" w:themeColor="text1"/>
                <w:lang w:val="ru-RU"/>
              </w:rPr>
            </w:pPr>
            <w:r w:rsidRPr="00DB5D0D">
              <w:rPr>
                <w:color w:val="000000" w:themeColor="text1"/>
                <w:lang w:val="ru-RU"/>
              </w:rPr>
              <w:t>Защитить от повреждения провода, выходящие к фарам.</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7B2E03A0" w14:textId="77777777" w:rsidR="003C7E8B" w:rsidRPr="00DB5D0D" w:rsidRDefault="003C7E8B" w:rsidP="00DB5D0D">
            <w:pPr>
              <w:pStyle w:val="a3"/>
              <w:rPr>
                <w:color w:val="000000" w:themeColor="text1"/>
              </w:rPr>
            </w:pPr>
            <w:r w:rsidRPr="00DB5D0D">
              <w:rPr>
                <w:color w:val="000000" w:themeColor="text1"/>
              </w:rPr>
              <w:t>С 38-й машины</w:t>
            </w:r>
          </w:p>
        </w:tc>
      </w:tr>
      <w:tr w:rsidR="007D5DF8" w:rsidRPr="00DB5D0D" w14:paraId="646663DB" w14:textId="77777777" w:rsidTr="00E543D0">
        <w:trPr>
          <w:trHeight w:val="5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13512AD" w14:textId="77777777" w:rsidR="003C7E8B" w:rsidRPr="00DB5D0D" w:rsidRDefault="003C7E8B" w:rsidP="00DB5D0D">
            <w:pPr>
              <w:pStyle w:val="a3"/>
              <w:rPr>
                <w:color w:val="000000" w:themeColor="text1"/>
              </w:rPr>
            </w:pPr>
            <w:r w:rsidRPr="00DB5D0D">
              <w:rPr>
                <w:color w:val="000000" w:themeColor="text1"/>
              </w:rPr>
              <w:t>18.</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4C1A5183" w14:textId="77777777" w:rsidR="003C7E8B" w:rsidRPr="00DB5D0D" w:rsidRDefault="003C7E8B" w:rsidP="00DB5D0D">
            <w:pPr>
              <w:pStyle w:val="a3"/>
              <w:rPr>
                <w:color w:val="000000" w:themeColor="text1"/>
                <w:lang w:val="ru-RU"/>
              </w:rPr>
            </w:pPr>
            <w:r w:rsidRPr="00DB5D0D">
              <w:rPr>
                <w:color w:val="000000" w:themeColor="text1"/>
                <w:lang w:val="ru-RU"/>
              </w:rPr>
              <w:t>Разработать боеукладку снарядов, обеспечивающую удобную и быструю работу экипажа (предъявленная укладка последнего образца в обслуживании неудобна).</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28B5E030" w14:textId="77777777" w:rsidR="003C7E8B" w:rsidRPr="00DB5D0D" w:rsidRDefault="003C7E8B" w:rsidP="00DB5D0D">
            <w:pPr>
              <w:pStyle w:val="a3"/>
              <w:rPr>
                <w:color w:val="000000" w:themeColor="text1"/>
                <w:lang w:val="ru-RU"/>
              </w:rPr>
            </w:pPr>
            <w:r w:rsidRPr="00DB5D0D">
              <w:rPr>
                <w:color w:val="000000" w:themeColor="text1"/>
                <w:lang w:val="ru-RU"/>
              </w:rPr>
              <w:t>Не позднее 15.09.1940 предъявить эскиз проекта боеукладки</w:t>
            </w:r>
          </w:p>
        </w:tc>
      </w:tr>
      <w:tr w:rsidR="007D5DF8" w:rsidRPr="00DB5D0D" w14:paraId="71482B21" w14:textId="77777777" w:rsidTr="00E543D0">
        <w:trPr>
          <w:trHeight w:val="274"/>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711C145" w14:textId="77777777" w:rsidR="003C7E8B" w:rsidRPr="00DB5D0D" w:rsidRDefault="003C7E8B" w:rsidP="00DB5D0D">
            <w:pPr>
              <w:pStyle w:val="a3"/>
              <w:rPr>
                <w:color w:val="000000" w:themeColor="text1"/>
              </w:rPr>
            </w:pPr>
            <w:r w:rsidRPr="00DB5D0D">
              <w:rPr>
                <w:color w:val="000000" w:themeColor="text1"/>
              </w:rPr>
              <w:t>19.</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0F303F73" w14:textId="77777777" w:rsidR="003C7E8B" w:rsidRPr="00DB5D0D" w:rsidRDefault="003C7E8B" w:rsidP="00DB5D0D">
            <w:pPr>
              <w:pStyle w:val="a3"/>
              <w:rPr>
                <w:color w:val="000000" w:themeColor="text1"/>
                <w:lang w:val="ru-RU"/>
              </w:rPr>
            </w:pPr>
            <w:r w:rsidRPr="00DB5D0D">
              <w:rPr>
                <w:color w:val="000000" w:themeColor="text1"/>
                <w:lang w:val="ru-RU"/>
              </w:rPr>
              <w:t>Увеличить диаметр шпилек, крепящих перегородку.</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48FEC7EA" w14:textId="77777777" w:rsidR="003C7E8B" w:rsidRPr="00DB5D0D" w:rsidRDefault="003C7E8B" w:rsidP="00DB5D0D">
            <w:pPr>
              <w:pStyle w:val="a3"/>
              <w:rPr>
                <w:color w:val="000000" w:themeColor="text1"/>
              </w:rPr>
            </w:pPr>
            <w:r w:rsidRPr="00DB5D0D">
              <w:rPr>
                <w:color w:val="000000" w:themeColor="text1"/>
              </w:rPr>
              <w:t>Со 141-й машины</w:t>
            </w:r>
          </w:p>
        </w:tc>
      </w:tr>
      <w:tr w:rsidR="007D5DF8" w:rsidRPr="00DB5D0D" w14:paraId="64038FDA" w14:textId="77777777" w:rsidTr="00E543D0">
        <w:trPr>
          <w:trHeight w:val="108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8AB89FF" w14:textId="77777777" w:rsidR="003C7E8B" w:rsidRPr="00DB5D0D" w:rsidRDefault="003C7E8B" w:rsidP="00DB5D0D">
            <w:pPr>
              <w:pStyle w:val="a3"/>
              <w:rPr>
                <w:color w:val="000000" w:themeColor="text1"/>
              </w:rPr>
            </w:pPr>
            <w:r w:rsidRPr="00DB5D0D">
              <w:rPr>
                <w:color w:val="000000" w:themeColor="text1"/>
              </w:rPr>
              <w:t>20.</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67D9E2F6" w14:textId="77777777" w:rsidR="003C7E8B" w:rsidRPr="00DB5D0D" w:rsidRDefault="003C7E8B" w:rsidP="00DB5D0D">
            <w:pPr>
              <w:pStyle w:val="a3"/>
              <w:rPr>
                <w:color w:val="000000" w:themeColor="text1"/>
                <w:lang w:val="ru-RU"/>
              </w:rPr>
            </w:pPr>
            <w:r w:rsidRPr="00DB5D0D">
              <w:rPr>
                <w:color w:val="000000" w:themeColor="text1"/>
                <w:lang w:val="ru-RU"/>
              </w:rPr>
              <w:t>Обеспечить герметичность всех люков корпуса и башни от проникновения свинцовых брызг и жидкости.</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2CE4E3CA" w14:textId="77777777" w:rsidR="003C7E8B" w:rsidRPr="00DB5D0D" w:rsidRDefault="003C7E8B" w:rsidP="00DB5D0D">
            <w:pPr>
              <w:pStyle w:val="a3"/>
              <w:rPr>
                <w:color w:val="000000" w:themeColor="text1"/>
                <w:lang w:val="ru-RU"/>
              </w:rPr>
            </w:pPr>
            <w:r w:rsidRPr="00DB5D0D">
              <w:rPr>
                <w:color w:val="000000" w:themeColor="text1"/>
                <w:lang w:val="ru-RU"/>
              </w:rPr>
              <w:t>Люк водителя герметизировать с 61-й машины и установить на ранее выпущенных машинах, нижний лаз со 141-й машины</w:t>
            </w:r>
          </w:p>
        </w:tc>
      </w:tr>
      <w:tr w:rsidR="007D5DF8" w:rsidRPr="00DB5D0D" w14:paraId="40EB5FDE"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7B2855E" w14:textId="77777777" w:rsidR="003C7E8B" w:rsidRPr="00DB5D0D" w:rsidRDefault="003C7E8B" w:rsidP="00DB5D0D">
            <w:pPr>
              <w:pStyle w:val="a3"/>
              <w:rPr>
                <w:color w:val="000000" w:themeColor="text1"/>
              </w:rPr>
            </w:pPr>
            <w:r w:rsidRPr="00DB5D0D">
              <w:rPr>
                <w:color w:val="000000" w:themeColor="text1"/>
              </w:rPr>
              <w:t>21.</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16B36BED" w14:textId="77777777" w:rsidR="003C7E8B" w:rsidRPr="00DB5D0D" w:rsidRDefault="003C7E8B" w:rsidP="00DB5D0D">
            <w:pPr>
              <w:pStyle w:val="a3"/>
              <w:rPr>
                <w:color w:val="000000" w:themeColor="text1"/>
                <w:lang w:val="ru-RU"/>
              </w:rPr>
            </w:pPr>
            <w:r w:rsidRPr="00DB5D0D">
              <w:rPr>
                <w:color w:val="000000" w:themeColor="text1"/>
                <w:lang w:val="ru-RU"/>
              </w:rPr>
              <w:t>Нижний погон башни ставить на мостике.</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7C40117A" w14:textId="77777777" w:rsidR="003C7E8B" w:rsidRPr="00DB5D0D" w:rsidRDefault="003C7E8B" w:rsidP="00DB5D0D">
            <w:pPr>
              <w:pStyle w:val="a3"/>
              <w:rPr>
                <w:color w:val="000000" w:themeColor="text1"/>
              </w:rPr>
            </w:pPr>
            <w:r w:rsidRPr="00DB5D0D">
              <w:rPr>
                <w:color w:val="000000" w:themeColor="text1"/>
              </w:rPr>
              <w:t>С 38-й машины</w:t>
            </w:r>
          </w:p>
        </w:tc>
      </w:tr>
      <w:tr w:rsidR="007D5DF8" w:rsidRPr="00DB5D0D" w14:paraId="6B9DA9EF"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0C9ACE1" w14:textId="77777777" w:rsidR="003C7E8B" w:rsidRPr="00DB5D0D" w:rsidRDefault="003C7E8B" w:rsidP="00DB5D0D">
            <w:pPr>
              <w:pStyle w:val="a3"/>
              <w:rPr>
                <w:color w:val="000000" w:themeColor="text1"/>
              </w:rPr>
            </w:pPr>
            <w:r w:rsidRPr="00DB5D0D">
              <w:rPr>
                <w:color w:val="000000" w:themeColor="text1"/>
              </w:rPr>
              <w:t>22.</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73F9F66C" w14:textId="77777777" w:rsidR="003C7E8B" w:rsidRPr="00DB5D0D" w:rsidRDefault="003C7E8B" w:rsidP="00DB5D0D">
            <w:pPr>
              <w:pStyle w:val="a3"/>
              <w:rPr>
                <w:color w:val="000000" w:themeColor="text1"/>
              </w:rPr>
            </w:pPr>
            <w:r w:rsidRPr="00DB5D0D">
              <w:rPr>
                <w:color w:val="000000" w:themeColor="text1"/>
                <w:lang w:val="ru-RU"/>
              </w:rPr>
              <w:t xml:space="preserve">Усилить бронировку картеров бортовой передачи. </w:t>
            </w:r>
            <w:r w:rsidRPr="00DB5D0D">
              <w:rPr>
                <w:color w:val="000000" w:themeColor="text1"/>
              </w:rPr>
              <w:t>Сделать равнопрочной корме машины.</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576F8066" w14:textId="77777777" w:rsidR="003C7E8B" w:rsidRPr="00DB5D0D" w:rsidRDefault="003C7E8B" w:rsidP="00DB5D0D">
            <w:pPr>
              <w:pStyle w:val="a3"/>
              <w:rPr>
                <w:color w:val="000000" w:themeColor="text1"/>
                <w:lang w:val="ru-RU"/>
              </w:rPr>
            </w:pPr>
            <w:r w:rsidRPr="00DB5D0D">
              <w:rPr>
                <w:color w:val="000000" w:themeColor="text1"/>
                <w:lang w:val="ru-RU"/>
              </w:rPr>
              <w:t>Ввести немедленно с использованием задела</w:t>
            </w:r>
          </w:p>
        </w:tc>
      </w:tr>
      <w:tr w:rsidR="007D5DF8" w:rsidRPr="00DB5D0D" w14:paraId="1EBF8358" w14:textId="77777777" w:rsidTr="00E543D0">
        <w:trPr>
          <w:trHeight w:val="5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A8D30B6" w14:textId="77777777" w:rsidR="003C7E8B" w:rsidRPr="00DB5D0D" w:rsidRDefault="003C7E8B" w:rsidP="00DB5D0D">
            <w:pPr>
              <w:pStyle w:val="a3"/>
              <w:rPr>
                <w:color w:val="000000" w:themeColor="text1"/>
              </w:rPr>
            </w:pPr>
            <w:r w:rsidRPr="00DB5D0D">
              <w:rPr>
                <w:color w:val="000000" w:themeColor="text1"/>
              </w:rPr>
              <w:t>23.</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35926566" w14:textId="77777777" w:rsidR="003C7E8B" w:rsidRPr="00DB5D0D" w:rsidRDefault="003C7E8B" w:rsidP="00DB5D0D">
            <w:pPr>
              <w:pStyle w:val="a3"/>
              <w:rPr>
                <w:color w:val="000000" w:themeColor="text1"/>
                <w:lang w:val="ru-RU"/>
              </w:rPr>
            </w:pPr>
            <w:r w:rsidRPr="00DB5D0D">
              <w:rPr>
                <w:color w:val="000000" w:themeColor="text1"/>
                <w:lang w:val="ru-RU"/>
              </w:rPr>
              <w:t>Передние грязевые щитки нарастить откидными щитками для предотвращения попадания грязи на носовую часть и усилить задние грязевые щитки.</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4C48C522" w14:textId="77777777" w:rsidR="003C7E8B" w:rsidRPr="00DB5D0D" w:rsidRDefault="003C7E8B" w:rsidP="00DB5D0D">
            <w:pPr>
              <w:pStyle w:val="a3"/>
              <w:rPr>
                <w:color w:val="000000" w:themeColor="text1"/>
                <w:lang w:val="ru-RU"/>
              </w:rPr>
            </w:pPr>
            <w:r w:rsidRPr="00DB5D0D">
              <w:rPr>
                <w:color w:val="000000" w:themeColor="text1"/>
                <w:lang w:val="ru-RU"/>
              </w:rPr>
              <w:t>Со 141-й машины с досылкой на все ранее выпущенные машины</w:t>
            </w:r>
          </w:p>
        </w:tc>
      </w:tr>
      <w:tr w:rsidR="007D5DF8" w:rsidRPr="00DB5D0D" w14:paraId="6C58CF70"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41E8037" w14:textId="77777777" w:rsidR="003C7E8B" w:rsidRPr="00DB5D0D" w:rsidRDefault="003C7E8B" w:rsidP="00DB5D0D">
            <w:pPr>
              <w:pStyle w:val="a3"/>
              <w:rPr>
                <w:color w:val="000000" w:themeColor="text1"/>
              </w:rPr>
            </w:pPr>
            <w:r w:rsidRPr="00DB5D0D">
              <w:rPr>
                <w:color w:val="000000" w:themeColor="text1"/>
              </w:rPr>
              <w:t>24.</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11298F22" w14:textId="77777777" w:rsidR="003C7E8B" w:rsidRPr="00DB5D0D" w:rsidRDefault="003C7E8B" w:rsidP="00DB5D0D">
            <w:pPr>
              <w:pStyle w:val="a3"/>
              <w:rPr>
                <w:color w:val="000000" w:themeColor="text1"/>
              </w:rPr>
            </w:pPr>
            <w:r w:rsidRPr="00DB5D0D">
              <w:rPr>
                <w:color w:val="000000" w:themeColor="text1"/>
              </w:rPr>
              <w:t>Обеспечить использование шкалой ТОД-3</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0264B3F7" w14:textId="77777777" w:rsidR="003C7E8B" w:rsidRPr="00DB5D0D" w:rsidRDefault="003C7E8B" w:rsidP="00DB5D0D">
            <w:pPr>
              <w:pStyle w:val="a3"/>
              <w:rPr>
                <w:color w:val="000000" w:themeColor="text1"/>
              </w:rPr>
            </w:pPr>
            <w:r w:rsidRPr="00DB5D0D">
              <w:rPr>
                <w:color w:val="000000" w:themeColor="text1"/>
              </w:rPr>
              <w:t>К 15.09.1940</w:t>
            </w:r>
          </w:p>
        </w:tc>
      </w:tr>
      <w:tr w:rsidR="007D5DF8" w:rsidRPr="00DB5D0D" w14:paraId="43A7D050"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61AEB2F" w14:textId="77777777" w:rsidR="003C7E8B" w:rsidRPr="00DB5D0D" w:rsidRDefault="003C7E8B" w:rsidP="00DB5D0D">
            <w:pPr>
              <w:pStyle w:val="a3"/>
              <w:rPr>
                <w:color w:val="000000" w:themeColor="text1"/>
              </w:rPr>
            </w:pPr>
            <w:r w:rsidRPr="00DB5D0D">
              <w:rPr>
                <w:color w:val="000000" w:themeColor="text1"/>
              </w:rPr>
              <w:t>25.</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71BD3F6A" w14:textId="77777777" w:rsidR="003C7E8B" w:rsidRPr="00DB5D0D" w:rsidRDefault="003C7E8B" w:rsidP="00DB5D0D">
            <w:pPr>
              <w:pStyle w:val="a3"/>
              <w:rPr>
                <w:color w:val="000000" w:themeColor="text1"/>
                <w:lang w:val="ru-RU"/>
              </w:rPr>
            </w:pPr>
            <w:r w:rsidRPr="00DB5D0D">
              <w:rPr>
                <w:color w:val="000000" w:themeColor="text1"/>
                <w:lang w:val="ru-RU"/>
              </w:rPr>
              <w:t>Предохранить заряжающего от ушибов рукояткой затвора (разработать и установить предохранительный щиток).</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0436C171" w14:textId="77777777" w:rsidR="003C7E8B" w:rsidRPr="00DB5D0D" w:rsidRDefault="003C7E8B" w:rsidP="00DB5D0D">
            <w:pPr>
              <w:pStyle w:val="a3"/>
              <w:rPr>
                <w:color w:val="000000" w:themeColor="text1"/>
                <w:lang w:val="ru-RU"/>
              </w:rPr>
            </w:pPr>
            <w:r w:rsidRPr="00DB5D0D">
              <w:rPr>
                <w:color w:val="000000" w:themeColor="text1"/>
                <w:lang w:val="ru-RU"/>
              </w:rPr>
              <w:t>Со 141-й машины и установить на ранее выпущенных машинах</w:t>
            </w:r>
          </w:p>
        </w:tc>
      </w:tr>
      <w:tr w:rsidR="007D5DF8" w:rsidRPr="00DB5D0D" w14:paraId="03736F92"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7EF52C0" w14:textId="77777777" w:rsidR="003C7E8B" w:rsidRPr="00DB5D0D" w:rsidRDefault="003C7E8B" w:rsidP="00DB5D0D">
            <w:pPr>
              <w:pStyle w:val="a3"/>
              <w:rPr>
                <w:color w:val="000000" w:themeColor="text1"/>
              </w:rPr>
            </w:pPr>
            <w:r w:rsidRPr="00DB5D0D">
              <w:rPr>
                <w:color w:val="000000" w:themeColor="text1"/>
              </w:rPr>
              <w:t>26.</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3464061" w14:textId="77777777" w:rsidR="003C7E8B" w:rsidRPr="00DB5D0D" w:rsidRDefault="003C7E8B" w:rsidP="00DB5D0D">
            <w:pPr>
              <w:pStyle w:val="a3"/>
              <w:rPr>
                <w:color w:val="000000" w:themeColor="text1"/>
                <w:lang w:val="ru-RU"/>
              </w:rPr>
            </w:pPr>
            <w:r w:rsidRPr="00DB5D0D">
              <w:rPr>
                <w:color w:val="000000" w:themeColor="text1"/>
                <w:lang w:val="ru-RU"/>
              </w:rPr>
              <w:t>Предохранить от выпадения кассеты прибора кругового обзора внутрь машины.</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49209EA8" w14:textId="77777777" w:rsidR="003C7E8B" w:rsidRPr="00DB5D0D" w:rsidRDefault="003C7E8B" w:rsidP="00DB5D0D">
            <w:pPr>
              <w:pStyle w:val="a3"/>
              <w:rPr>
                <w:color w:val="000000" w:themeColor="text1"/>
                <w:lang w:val="ru-RU"/>
              </w:rPr>
            </w:pPr>
            <w:r w:rsidRPr="00DB5D0D">
              <w:rPr>
                <w:color w:val="000000" w:themeColor="text1"/>
                <w:lang w:val="ru-RU"/>
              </w:rPr>
              <w:t>Разработать и установить с 141-й машины</w:t>
            </w:r>
          </w:p>
        </w:tc>
      </w:tr>
      <w:tr w:rsidR="007D5DF8" w:rsidRPr="00DB5D0D" w14:paraId="445F12E9"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E8BF406" w14:textId="77777777" w:rsidR="003C7E8B" w:rsidRPr="00DB5D0D" w:rsidRDefault="003C7E8B" w:rsidP="00DB5D0D">
            <w:pPr>
              <w:pStyle w:val="a3"/>
              <w:rPr>
                <w:color w:val="000000" w:themeColor="text1"/>
              </w:rPr>
            </w:pPr>
            <w:r w:rsidRPr="00DB5D0D">
              <w:rPr>
                <w:color w:val="000000" w:themeColor="text1"/>
              </w:rPr>
              <w:t>27.</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A1D8F07" w14:textId="77777777" w:rsidR="003C7E8B" w:rsidRPr="00DB5D0D" w:rsidRDefault="003C7E8B" w:rsidP="00DB5D0D">
            <w:pPr>
              <w:pStyle w:val="a3"/>
              <w:rPr>
                <w:color w:val="000000" w:themeColor="text1"/>
              </w:rPr>
            </w:pPr>
            <w:r w:rsidRPr="00DB5D0D">
              <w:rPr>
                <w:color w:val="000000" w:themeColor="text1"/>
              </w:rPr>
              <w:t>Защитить диоптр радиста.</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3B04DB55" w14:textId="77777777" w:rsidR="003C7E8B" w:rsidRPr="00DB5D0D" w:rsidRDefault="003C7E8B" w:rsidP="00DB5D0D">
            <w:pPr>
              <w:pStyle w:val="a3"/>
              <w:rPr>
                <w:color w:val="000000" w:themeColor="text1"/>
                <w:lang w:val="ru-RU"/>
              </w:rPr>
            </w:pPr>
            <w:r w:rsidRPr="00DB5D0D">
              <w:rPr>
                <w:color w:val="000000" w:themeColor="text1"/>
                <w:lang w:val="ru-RU"/>
              </w:rPr>
              <w:t>На всех выпускаемых и выпущенных машинах</w:t>
            </w:r>
          </w:p>
        </w:tc>
      </w:tr>
      <w:tr w:rsidR="007D5DF8" w:rsidRPr="00DB5D0D" w14:paraId="0D7BF84D" w14:textId="77777777" w:rsidTr="00E543D0">
        <w:trPr>
          <w:trHeight w:val="274"/>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E6555FB" w14:textId="77777777" w:rsidR="003C7E8B" w:rsidRPr="00DB5D0D" w:rsidRDefault="003C7E8B" w:rsidP="00DB5D0D">
            <w:pPr>
              <w:pStyle w:val="a3"/>
              <w:rPr>
                <w:color w:val="000000" w:themeColor="text1"/>
              </w:rPr>
            </w:pPr>
            <w:r w:rsidRPr="00DB5D0D">
              <w:rPr>
                <w:color w:val="000000" w:themeColor="text1"/>
              </w:rPr>
              <w:t>28.</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60A02FC9" w14:textId="77777777" w:rsidR="003C7E8B" w:rsidRPr="00DB5D0D" w:rsidRDefault="003C7E8B" w:rsidP="00DB5D0D">
            <w:pPr>
              <w:pStyle w:val="a3"/>
              <w:rPr>
                <w:color w:val="000000" w:themeColor="text1"/>
              </w:rPr>
            </w:pPr>
            <w:r w:rsidRPr="00DB5D0D">
              <w:rPr>
                <w:color w:val="000000" w:themeColor="text1"/>
              </w:rPr>
              <w:t>Удлинить загиб выхлопных труб.</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7C56154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7976DE4" w14:textId="77777777" w:rsidTr="00E543D0">
        <w:trPr>
          <w:trHeight w:val="562"/>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7F166D4" w14:textId="77777777" w:rsidR="003C7E8B" w:rsidRPr="00DB5D0D" w:rsidRDefault="003C7E8B" w:rsidP="00DB5D0D">
            <w:pPr>
              <w:pStyle w:val="a3"/>
              <w:rPr>
                <w:color w:val="000000" w:themeColor="text1"/>
              </w:rPr>
            </w:pPr>
            <w:r w:rsidRPr="00DB5D0D">
              <w:rPr>
                <w:color w:val="000000" w:themeColor="text1"/>
              </w:rPr>
              <w:t>29.</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3302D072" w14:textId="77777777" w:rsidR="003C7E8B" w:rsidRPr="00DB5D0D" w:rsidRDefault="003C7E8B" w:rsidP="00DB5D0D">
            <w:pPr>
              <w:pStyle w:val="a3"/>
              <w:rPr>
                <w:color w:val="000000" w:themeColor="text1"/>
                <w:lang w:val="ru-RU"/>
              </w:rPr>
            </w:pPr>
            <w:r w:rsidRPr="00DB5D0D">
              <w:rPr>
                <w:color w:val="000000" w:themeColor="text1"/>
                <w:lang w:val="ru-RU"/>
              </w:rPr>
              <w:t>На всех кранах и ручках управления поставить таблички, указывающие положение «открыто», «закрыто» или направление вращения.</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0E0381C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475F8431" w14:textId="77777777" w:rsidR="003C7E8B" w:rsidRPr="00DB5D0D" w:rsidRDefault="003C7E8B"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(11939).</w:t>
      </w:r>
    </w:p>
    <w:p w14:paraId="365F26C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B5EF44F" w14:textId="77777777" w:rsidR="003C7E8B" w:rsidRPr="00DB5D0D" w:rsidRDefault="003C7E8B" w:rsidP="00DB5D0D">
      <w:pPr>
        <w:pStyle w:val="a3"/>
        <w:rPr>
          <w:color w:val="000000" w:themeColor="text1"/>
          <w:lang w:val="ru-RU"/>
        </w:rPr>
      </w:pPr>
      <w:r w:rsidRPr="00DB5D0D">
        <w:rPr>
          <w:color w:val="000000" w:themeColor="text1"/>
          <w:lang w:val="ru-RU"/>
        </w:rPr>
        <w:t>29 августа 1940 г. состоялось совещание с участием начальника ГАБТУ Я.Н. Федоренко. Ниже приведены выписки из про</w:t>
      </w:r>
      <w:r w:rsidRPr="00DB5D0D">
        <w:rPr>
          <w:color w:val="000000" w:themeColor="text1"/>
          <w:lang w:val="ru-RU"/>
        </w:rPr>
        <w:softHyphen/>
        <w:t>токола совещания.</w:t>
      </w:r>
    </w:p>
    <w:p w14:paraId="04CF6301" w14:textId="77777777" w:rsidR="003C7E8B" w:rsidRPr="00DB5D0D" w:rsidRDefault="003C7E8B"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iCs w:val="0"/>
          <w:color w:val="000000" w:themeColor="text1"/>
          <w:sz w:val="16"/>
          <w:szCs w:val="16"/>
        </w:rPr>
        <w:t>Мнение завода № 183</w:t>
      </w:r>
    </w:p>
    <w:p w14:paraId="2315CAD9"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Первоначально запроектированные крышки бортовой пере</w:t>
      </w:r>
      <w:r w:rsidRPr="00DB5D0D">
        <w:rPr>
          <w:rFonts w:ascii="Times New Roman" w:hAnsi="Times New Roman" w:cs="Times New Roman"/>
          <w:i w:val="0"/>
          <w:iCs w:val="0"/>
          <w:color w:val="000000" w:themeColor="text1"/>
          <w:sz w:val="16"/>
          <w:szCs w:val="16"/>
        </w:rPr>
        <w:softHyphen/>
        <w:t>дачи были углеродистой стали марки 40СГ. Завод, осваивая бро</w:t>
      </w:r>
      <w:r w:rsidRPr="00DB5D0D">
        <w:rPr>
          <w:rFonts w:ascii="Times New Roman" w:hAnsi="Times New Roman" w:cs="Times New Roman"/>
          <w:i w:val="0"/>
          <w:iCs w:val="0"/>
          <w:color w:val="000000" w:themeColor="text1"/>
          <w:sz w:val="16"/>
          <w:szCs w:val="16"/>
        </w:rPr>
        <w:softHyphen/>
        <w:t>невое литье, перевел указанную деталь на изготовление из бро</w:t>
      </w:r>
      <w:r w:rsidRPr="00DB5D0D">
        <w:rPr>
          <w:rFonts w:ascii="Times New Roman" w:hAnsi="Times New Roman" w:cs="Times New Roman"/>
          <w:i w:val="0"/>
          <w:iCs w:val="0"/>
          <w:color w:val="000000" w:themeColor="text1"/>
          <w:sz w:val="16"/>
          <w:szCs w:val="16"/>
        </w:rPr>
        <w:softHyphen/>
        <w:t>ни, но вместе с этим сильно осложнил, как отливку, так и после</w:t>
      </w:r>
      <w:r w:rsidRPr="00DB5D0D">
        <w:rPr>
          <w:rFonts w:ascii="Times New Roman" w:hAnsi="Times New Roman" w:cs="Times New Roman"/>
          <w:i w:val="0"/>
          <w:iCs w:val="0"/>
          <w:color w:val="000000" w:themeColor="text1"/>
          <w:sz w:val="16"/>
          <w:szCs w:val="16"/>
        </w:rPr>
        <w:softHyphen/>
        <w:t>дующую механическую обработку этой детали. Считаем допус</w:t>
      </w:r>
      <w:r w:rsidRPr="00DB5D0D">
        <w:rPr>
          <w:rFonts w:ascii="Times New Roman" w:hAnsi="Times New Roman" w:cs="Times New Roman"/>
          <w:i w:val="0"/>
          <w:iCs w:val="0"/>
          <w:color w:val="000000" w:themeColor="text1"/>
          <w:sz w:val="16"/>
          <w:szCs w:val="16"/>
        </w:rPr>
        <w:softHyphen/>
        <w:t>тимым, сохранив изготовление крышки бортовой передачи из броневого литья снизить твердость материала до 3,6-3,8 мм, что обеспечит обработку нормальным режущим инструментом. Приемку деталей 34.16.003 производить по химанализу и твер</w:t>
      </w:r>
      <w:r w:rsidRPr="00DB5D0D">
        <w:rPr>
          <w:rFonts w:ascii="Times New Roman" w:hAnsi="Times New Roman" w:cs="Times New Roman"/>
          <w:i w:val="0"/>
          <w:iCs w:val="0"/>
          <w:color w:val="000000" w:themeColor="text1"/>
          <w:sz w:val="16"/>
          <w:szCs w:val="16"/>
        </w:rPr>
        <w:softHyphen/>
        <w:t>дости без обстрела.</w:t>
      </w:r>
    </w:p>
    <w:p w14:paraId="1613A420" w14:textId="77777777" w:rsidR="003C7E8B" w:rsidRPr="00DB5D0D" w:rsidRDefault="003C7E8B" w:rsidP="00DB5D0D">
      <w:pPr>
        <w:pStyle w:val="212"/>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iCs w:val="0"/>
          <w:color w:val="000000" w:themeColor="text1"/>
          <w:sz w:val="16"/>
          <w:szCs w:val="16"/>
        </w:rPr>
        <w:t>Решение</w:t>
      </w:r>
    </w:p>
    <w:p w14:paraId="0A8C296F" w14:textId="77777777" w:rsidR="003C7E8B" w:rsidRPr="00DB5D0D" w:rsidRDefault="003C7E8B" w:rsidP="00DB5D0D">
      <w:pPr>
        <w:pStyle w:val="212"/>
        <w:shd w:val="clear" w:color="auto" w:fill="auto"/>
        <w:spacing w:line="240" w:lineRule="auto"/>
        <w:jc w:val="both"/>
        <w:rPr>
          <w:rFonts w:ascii="Times New Roman" w:hAnsi="Times New Roman" w:cs="Times New Roman"/>
          <w:i w:val="0"/>
          <w:iCs w:val="0"/>
          <w:color w:val="000000" w:themeColor="text1"/>
          <w:sz w:val="16"/>
          <w:szCs w:val="16"/>
        </w:rPr>
      </w:pPr>
      <w:r w:rsidRPr="00DB5D0D">
        <w:rPr>
          <w:rFonts w:ascii="Times New Roman" w:hAnsi="Times New Roman" w:cs="Times New Roman"/>
          <w:i w:val="0"/>
          <w:iCs w:val="0"/>
          <w:color w:val="000000" w:themeColor="text1"/>
          <w:sz w:val="16"/>
          <w:szCs w:val="16"/>
        </w:rPr>
        <w:t>Допустить для установки на машину крышки бортовой передачи с твердостью не ниже 3,7, но с толщиной стенок в 45 мм. Первую крышку проверить обстрелом снарядом 37 и 45 мм и в случае поло</w:t>
      </w:r>
      <w:r w:rsidRPr="00DB5D0D">
        <w:rPr>
          <w:rFonts w:ascii="Times New Roman" w:hAnsi="Times New Roman" w:cs="Times New Roman"/>
          <w:i w:val="0"/>
          <w:iCs w:val="0"/>
          <w:color w:val="000000" w:themeColor="text1"/>
          <w:sz w:val="16"/>
          <w:szCs w:val="16"/>
        </w:rPr>
        <w:softHyphen/>
        <w:t>жительных результатов ввести крышку в серийное производство. Пос</w:t>
      </w:r>
      <w:r w:rsidRPr="00DB5D0D">
        <w:rPr>
          <w:rFonts w:ascii="Times New Roman" w:hAnsi="Times New Roman" w:cs="Times New Roman"/>
          <w:i w:val="0"/>
          <w:iCs w:val="0"/>
          <w:color w:val="000000" w:themeColor="text1"/>
          <w:sz w:val="16"/>
          <w:szCs w:val="16"/>
        </w:rPr>
        <w:softHyphen/>
        <w:t>ледующую приемку готовых крышек производить по химанализу и твердости.</w:t>
      </w:r>
      <w:r w:rsidRPr="00DB5D0D">
        <w:rPr>
          <w:rStyle w:val="115pt29115pt8109112SimHei2Arial12pt11ptMSMincho12pt"/>
          <w:rFonts w:ascii="Times New Roman" w:hAnsi="Times New Roman" w:cs="Times New Roman"/>
          <w:i w:val="0"/>
          <w:iCs w:val="0"/>
          <w:color w:val="000000" w:themeColor="text1"/>
          <w:spacing w:val="0"/>
          <w:sz w:val="16"/>
          <w:szCs w:val="16"/>
        </w:rPr>
        <w:t xml:space="preserve"> [</w:t>
      </w:r>
      <w:r w:rsidRPr="00DB5D0D">
        <w:rPr>
          <w:rFonts w:ascii="Times New Roman" w:hAnsi="Times New Roman" w:cs="Times New Roman"/>
          <w:i w:val="0"/>
          <w:iCs w:val="0"/>
          <w:color w:val="000000" w:themeColor="text1"/>
          <w:sz w:val="16"/>
          <w:szCs w:val="16"/>
        </w:rPr>
        <w:t>РГВА. Ф.31811. О п. 2. Д. 1022. Л.317</w:t>
      </w:r>
      <w:r w:rsidRPr="00DB5D0D">
        <w:rPr>
          <w:rStyle w:val="115pt29115pt8109112SimHei2Arial12pt11ptMSMincho12pt"/>
          <w:rFonts w:ascii="Times New Roman" w:hAnsi="Times New Roman" w:cs="Times New Roman"/>
          <w:i w:val="0"/>
          <w:iCs w:val="0"/>
          <w:color w:val="000000" w:themeColor="text1"/>
          <w:spacing w:val="0"/>
          <w:sz w:val="16"/>
          <w:szCs w:val="16"/>
        </w:rPr>
        <w:t>].</w:t>
      </w:r>
    </w:p>
    <w:p w14:paraId="3E1E3794" w14:textId="77777777" w:rsidR="003C7E8B" w:rsidRPr="00DB5D0D" w:rsidRDefault="003C7E8B" w:rsidP="00DB5D0D">
      <w:pPr>
        <w:pStyle w:val="a3"/>
        <w:rPr>
          <w:color w:val="000000" w:themeColor="text1"/>
          <w:lang w:val="ru-RU"/>
        </w:rPr>
      </w:pPr>
      <w:r w:rsidRPr="00DB5D0D">
        <w:rPr>
          <w:color w:val="000000" w:themeColor="text1"/>
          <w:lang w:val="ru-RU"/>
        </w:rPr>
        <w:t>Как видно из решения, ГАБТУ относилось к проблемам завода с пониманием и готово было идти на определенные уступки, но при условии сохранения снарядостойкости брони.</w:t>
      </w:r>
    </w:p>
    <w:p w14:paraId="284701B5" w14:textId="77777777" w:rsidR="003C7E8B" w:rsidRPr="00DB5D0D" w:rsidRDefault="003C7E8B" w:rsidP="00DB5D0D">
      <w:pPr>
        <w:pStyle w:val="a3"/>
        <w:rPr>
          <w:color w:val="000000" w:themeColor="text1"/>
          <w:lang w:val="ru-RU"/>
        </w:rPr>
      </w:pPr>
      <w:r w:rsidRPr="00DB5D0D">
        <w:rPr>
          <w:color w:val="000000" w:themeColor="text1"/>
          <w:lang w:val="ru-RU"/>
        </w:rPr>
        <w:t>Не совсем благополучно обстояли дела и с изготовлением на заводе №183 оснований смотровых приборов башни (деталь 34.30.051 для первого варианта сварной башни и детали 34.30.183 и 34.30.184 - для расширенной сварной башни) и оснований смотровых приборов водителя (центрального смотрового прибо</w:t>
      </w:r>
      <w:r w:rsidRPr="00DB5D0D">
        <w:rPr>
          <w:color w:val="000000" w:themeColor="text1"/>
          <w:lang w:val="ru-RU"/>
        </w:rPr>
        <w:softHyphen/>
        <w:t>ра - деталь 34.39.783, бокового левого - деталь 34.29.728 и бокового правого - деталь 34.29.729). Данные бронедетали изго</w:t>
      </w:r>
      <w:r w:rsidRPr="00DB5D0D">
        <w:rPr>
          <w:color w:val="000000" w:themeColor="text1"/>
          <w:lang w:val="ru-RU"/>
        </w:rPr>
        <w:softHyphen/>
        <w:t>тавливались из стали марки 40СХ и согласно ТУ обрабатывались на высокую твердость (2,9-3,1 по Бринеллю), но на состоявших</w:t>
      </w:r>
      <w:r w:rsidRPr="00DB5D0D">
        <w:rPr>
          <w:color w:val="000000" w:themeColor="text1"/>
          <w:lang w:val="ru-RU"/>
        </w:rPr>
        <w:softHyphen/>
        <w:t>ся в середине лета полигонных испытаниях показали излишнюю хрупкость: основания башенных приборов при попадании 45-мм снаряда раскалывались (11940).</w:t>
      </w:r>
    </w:p>
    <w:p w14:paraId="47194788" w14:textId="77777777" w:rsidR="003C7E8B" w:rsidRPr="00DB5D0D" w:rsidRDefault="003C7E8B" w:rsidP="00DB5D0D">
      <w:pPr>
        <w:pStyle w:val="a3"/>
        <w:rPr>
          <w:color w:val="000000" w:themeColor="text1"/>
          <w:lang w:val="ru-RU"/>
        </w:rPr>
      </w:pPr>
    </w:p>
    <w:p w14:paraId="2FDA10E3" w14:textId="77777777" w:rsidR="003C7E8B" w:rsidRPr="00DB5D0D" w:rsidRDefault="003C7E8B" w:rsidP="00DB5D0D">
      <w:pPr>
        <w:pStyle w:val="a3"/>
        <w:rPr>
          <w:color w:val="000000" w:themeColor="text1"/>
          <w:lang w:val="ru-RU"/>
        </w:rPr>
      </w:pPr>
      <w:r w:rsidRPr="00DB5D0D">
        <w:rPr>
          <w:color w:val="000000" w:themeColor="text1"/>
          <w:lang w:val="ru-RU"/>
        </w:rPr>
        <w:t>29 августа 1940 г. на сове</w:t>
      </w:r>
      <w:r w:rsidRPr="00DB5D0D">
        <w:rPr>
          <w:color w:val="000000" w:themeColor="text1"/>
          <w:lang w:val="ru-RU"/>
        </w:rPr>
        <w:softHyphen/>
        <w:t>щании на заводе №183, вопрос об установке Ф-32 был поднят снова. Руководство завода № 183 предложило провести конструкторские работы по установке новой системы в башню Т-34 самостоятельно, без участия Киров</w:t>
      </w:r>
      <w:r w:rsidRPr="00DB5D0D">
        <w:rPr>
          <w:color w:val="000000" w:themeColor="text1"/>
          <w:lang w:val="ru-RU"/>
        </w:rPr>
        <w:softHyphen/>
        <w:t>ского завода, и обязалось к 10 сентября представить все необхо</w:t>
      </w:r>
      <w:r w:rsidRPr="00DB5D0D">
        <w:rPr>
          <w:color w:val="000000" w:themeColor="text1"/>
          <w:lang w:val="ru-RU"/>
        </w:rPr>
        <w:softHyphen/>
        <w:t>димые чертежи на утверждение в ГАБТУ. Начальник ГАБТУ Я.Н. Федоренко, присутствовавший на совещании, сданным пред</w:t>
      </w:r>
      <w:r w:rsidRPr="00DB5D0D">
        <w:rPr>
          <w:color w:val="000000" w:themeColor="text1"/>
          <w:lang w:val="ru-RU"/>
        </w:rPr>
        <w:softHyphen/>
        <w:t xml:space="preserve">ложением согласился. Здесь же руководство завода </w:t>
      </w:r>
      <w:r w:rsidRPr="00DB5D0D">
        <w:rPr>
          <w:color w:val="000000" w:themeColor="text1"/>
          <w:lang w:val="ru-RU"/>
        </w:rPr>
        <w:lastRenderedPageBreak/>
        <w:t>№183 было уведомлено о том, что в 1940 г. заводу будет поставлено для уста</w:t>
      </w:r>
      <w:r w:rsidRPr="00DB5D0D">
        <w:rPr>
          <w:color w:val="000000" w:themeColor="text1"/>
          <w:lang w:val="ru-RU"/>
        </w:rPr>
        <w:softHyphen/>
        <w:t>новки на Т-34 всего 200 систем Л-11. Кроме того, было принято решение, начиная с 201-й машины и до получения систем Ф-32, устанавливать на Т-34 45-мм танковые пушки (с последующей их заменой на Ф-32). Для реализации этого решения КБ 520 поруча</w:t>
      </w:r>
      <w:r w:rsidRPr="00DB5D0D">
        <w:rPr>
          <w:color w:val="000000" w:themeColor="text1"/>
          <w:lang w:val="ru-RU"/>
        </w:rPr>
        <w:softHyphen/>
        <w:t>лось к 1 октября 1940 г. проработать вопрос о возможности уста</w:t>
      </w:r>
      <w:r w:rsidRPr="00DB5D0D">
        <w:rPr>
          <w:color w:val="000000" w:themeColor="text1"/>
          <w:lang w:val="ru-RU"/>
        </w:rPr>
        <w:softHyphen/>
        <w:t>новки 45-мм пушки (при помощи переходных деталей) в башню, разработанную под Ф-32 (11940).</w:t>
      </w:r>
    </w:p>
    <w:p w14:paraId="5BC69E31" w14:textId="77777777" w:rsidR="003C7E8B" w:rsidRPr="00DB5D0D" w:rsidRDefault="003C7E8B" w:rsidP="00DB5D0D">
      <w:pPr>
        <w:pStyle w:val="a3"/>
        <w:rPr>
          <w:color w:val="000000" w:themeColor="text1"/>
          <w:lang w:val="ru-RU"/>
        </w:rPr>
      </w:pPr>
    </w:p>
    <w:p w14:paraId="6DAFB3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г. на Полигоне ГАБТУ КА закончились испытанияТЕЛЕТАНКОВ ПОДВОЗА ЗАРЯДОВ С ВЗРЫВЧАТЫМИ ВЕЩЕСТВАМИ для определения целесообразности дальнейших работ над специальными телетанками подвоза заря</w:t>
      </w:r>
      <w:r w:rsidRPr="00DB5D0D">
        <w:rPr>
          <w:rFonts w:ascii="Times New Roman" w:hAnsi="Times New Roman"/>
          <w:color w:val="000000" w:themeColor="text1"/>
          <w:sz w:val="16"/>
          <w:szCs w:val="16"/>
        </w:rPr>
        <w:softHyphen/>
        <w:t>дов с взрывчатыми веществами на базе танка Т-26 для разрушения ДОТов, которые проходили с 21 августа 1940.</w:t>
      </w:r>
    </w:p>
    <w:p w14:paraId="08920F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Проводила комиссия в составе:</w:t>
      </w:r>
    </w:p>
    <w:p w14:paraId="666E37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Председатель комиссии: начальник 2 отдела БТУ полковник т. Иванов</w:t>
      </w:r>
    </w:p>
    <w:p w14:paraId="2D5ADD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Члены комиссии: пом. начальника НИ полигона ГАБТУ военинженер 1 ранга; ст. инженер БТУ майор т. Ковалев; ст. инженер БТУ подполковник т. Дорофеев; ст. пом. нач. отделения Генштаба ка</w:t>
      </w:r>
      <w:r w:rsidRPr="00DB5D0D">
        <w:rPr>
          <w:rFonts w:ascii="Times New Roman" w:hAnsi="Times New Roman"/>
          <w:color w:val="000000" w:themeColor="text1"/>
          <w:sz w:val="16"/>
          <w:szCs w:val="16"/>
        </w:rPr>
        <w:softHyphen/>
        <w:t>питан т. Краснов; нач. проектного бюро ГВИУ полковник т. Игнатов; начальник отделения АН ГАУ военинженер 1 ранга т. Якимов.</w:t>
      </w:r>
    </w:p>
    <w:p w14:paraId="11FB3E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Комиссия всесторонне изучила образцы на НИ полигоне ГАБТУ, провела показную работу под телеуправлением и в ручную на условных объектах по сбрасыванию зарядов.</w:t>
      </w:r>
    </w:p>
    <w:p w14:paraId="6E8AAD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РГВА. Ф. 31811. Оп. 16. Д. 110. л. 3. Копия (11210).</w:t>
      </w:r>
    </w:p>
    <w:p w14:paraId="591E001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EF5BA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г. Постановлением КО № 373сс, 28 мая 1939 Постановление КО № 124сс, 9 октября 1940 Постановлением КО № 330сс и 19 ноября 1940 Постановлением КО №428сс перед бронетанковой промышленностью были поставлены следующие за</w:t>
      </w:r>
      <w:r w:rsidRPr="00DB5D0D">
        <w:rPr>
          <w:rFonts w:ascii="Times New Roman" w:hAnsi="Times New Roman"/>
          <w:color w:val="000000" w:themeColor="text1"/>
          <w:sz w:val="16"/>
          <w:szCs w:val="16"/>
        </w:rPr>
        <w:softHyphen/>
        <w:t>дачи:</w:t>
      </w:r>
    </w:p>
    <w:p w14:paraId="640D66B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Изыскание и внедрение в производство брони повышенной бронестойкости (без увеличения толщин) и создание литых конструкций из броневой стали.</w:t>
      </w:r>
    </w:p>
    <w:p w14:paraId="712AD6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Увеличение сроков службы основных агрегатов танка (двигатель, коробка перемены передач, бортовые фрикционы, гусеницы и др.).</w:t>
      </w:r>
    </w:p>
    <w:p w14:paraId="136FBE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Разработка и освоение в производстве улучшенной трансмиссии и ходовой части танка (пла</w:t>
      </w:r>
      <w:r w:rsidRPr="00DB5D0D">
        <w:rPr>
          <w:rFonts w:ascii="Times New Roman" w:hAnsi="Times New Roman"/>
          <w:color w:val="000000" w:themeColor="text1"/>
          <w:sz w:val="16"/>
          <w:szCs w:val="16"/>
        </w:rPr>
        <w:softHyphen/>
        <w:t>нетарные передачи, торсионная подвеска, металлические катки с внутренней резиновой амортиза</w:t>
      </w:r>
      <w:r w:rsidRPr="00DB5D0D">
        <w:rPr>
          <w:rFonts w:ascii="Times New Roman" w:hAnsi="Times New Roman"/>
          <w:color w:val="000000" w:themeColor="text1"/>
          <w:sz w:val="16"/>
          <w:szCs w:val="16"/>
        </w:rPr>
        <w:softHyphen/>
        <w:t>цией, резино-металлические гусеницы и пр.).</w:t>
      </w:r>
    </w:p>
    <w:p w14:paraId="40FD5D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Усовершенствование систем управления танками (удобство работы экипажей, снижение уси</w:t>
      </w:r>
      <w:r w:rsidRPr="00DB5D0D">
        <w:rPr>
          <w:rFonts w:ascii="Times New Roman" w:hAnsi="Times New Roman"/>
          <w:color w:val="000000" w:themeColor="text1"/>
          <w:sz w:val="16"/>
          <w:szCs w:val="16"/>
        </w:rPr>
        <w:softHyphen/>
        <w:t>лий на рычагах и пр.).</w:t>
      </w:r>
    </w:p>
    <w:p w14:paraId="52FC90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БТУ ГАБТУ КА военинженер 1 ранга Коробков</w:t>
      </w:r>
    </w:p>
    <w:p w14:paraId="3E517000"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ЦАМО. Ф. 38. Оп. 11569. Д. 300. Л. 16-24. Подлинник (11211).</w:t>
      </w:r>
    </w:p>
    <w:p w14:paraId="554292E8"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760A9F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года - Предложения И.В. Курчатова, Ю.Б. Харитона, Л.И. Русинова и Г.Н. Флерова об использовании энергии деления урана в цепной реакции (10549).</w:t>
      </w:r>
    </w:p>
    <w:p w14:paraId="10878E7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B70CD7C"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187E39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76E1A2C" w14:textId="77777777" w:rsidR="006D3DE9" w:rsidRPr="00DB5D0D" w:rsidRDefault="006D3DE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29 августа 1940 сформировано первое подразделение Свободных французских ВВС на базе ВВС Великобритании в Олдихэме в Англии  (20795).</w:t>
      </w:r>
    </w:p>
    <w:p w14:paraId="55EEF67B" w14:textId="77777777" w:rsidR="006D3DE9" w:rsidRPr="00DB5D0D" w:rsidRDefault="006D3DE9" w:rsidP="00DB5D0D">
      <w:pPr>
        <w:spacing w:after="0" w:line="240" w:lineRule="auto"/>
        <w:jc w:val="both"/>
        <w:rPr>
          <w:rFonts w:ascii="Times New Roman" w:hAnsi="Times New Roman"/>
          <w:color w:val="0070C0"/>
          <w:sz w:val="16"/>
          <w:szCs w:val="16"/>
        </w:rPr>
      </w:pPr>
    </w:p>
    <w:p w14:paraId="0533E8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августа 1940 состоялась встреча для решения румыно-венгерских территориальных споров с участием Германии и Италии. Венгрия получила назад Трансильванию. Румынский министр иностранных дел прямо на переговорах упал в обморок. В Румынии начались волнения, власть перешла к 18-летнему королю Михаю и немцы получили право защиты нефтяных районов (2536,150).</w:t>
      </w:r>
    </w:p>
    <w:p w14:paraId="336BA16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31C1F5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28EB69E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A49C0B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30 августа 1940 был построен макет самолета ПБШ-1 ОКО завода 1 (5278).</w:t>
      </w:r>
    </w:p>
    <w:p w14:paraId="2A722BF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790E02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30 августа 1940 макет ПБШ-1 был построен и 5 сентября предъявлен Заказчику, который его не утвердил, как не утвердил и дополнительные материалы к эскизному проекту улучшенного варианта машины, представленные ОКО примерно в это же время (9649).</w:t>
      </w:r>
    </w:p>
    <w:p w14:paraId="297BB7D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A497C6B"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 30 августа 1940 был построен макет самолета ПБШ и 5 сентября 1940 г. его предъявили ВВС. Примерно в это же время НИИ ВВС дало заключение по дополнительным материалам ОКО относительно второго варианта ПБШ-1, в который были внесены следующие основные изменения:</w:t>
      </w:r>
    </w:p>
    <w:p w14:paraId="4036D443"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 Толщину брони, защищающую мотор, увеличили с 4,5 мм до 5,5 мм, а часть 5,5 мм брони до 7,5 мм. При этом масса бронеотсека достигала 1390 кг.</w:t>
      </w:r>
    </w:p>
    <w:p w14:paraId="1279DB72"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 Площадь крыла увеличили с 30,5 м2 до 33,0 м2. На участке размаха элеронов предусмотрели установку автоматических предкрылков.</w:t>
      </w:r>
    </w:p>
    <w:p w14:paraId="67E4545E"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 Основные колеса шасси 700x300 заменили спаренными 650x200.</w:t>
      </w:r>
    </w:p>
    <w:p w14:paraId="3D857D94"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4. Изменили расположение водорадиатора. Теперь его разместили под полом кабины летчика, а вход и выход - под фюзеляжем.</w:t>
      </w:r>
    </w:p>
    <w:p w14:paraId="452F7207"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5. На 120 л увеличили запас топлива. Вместо бензобаков емкостью 650 и 110 л. установили бензобаки емкостью 430 и 450 л.</w:t>
      </w:r>
    </w:p>
    <w:p w14:paraId="48365986"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6. Усилили бомбардировочное вооружение. Бомбоотсек теперь включал 4 секции, в каждую из которых можно было загружать бомбы калибром до 100 кг. Снаружи обеспечена возможность подвески двух бомб массой до 250 кг. Правда, и в этом случае бомбы использовались только в перегрузку.</w:t>
      </w:r>
    </w:p>
    <w:p w14:paraId="6815417E"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7. Масса пустого самолета увеличилась на 536,5 кг, а нормальная взлетная масса возросла на 550 кг и достигла 5400 кг. Центровка стала более передней и составила 23,2% САХ вместо 26,7%. Перегрузочная взлетная масса - 6175 кг, при этом центровка 26,5% вместо 29,5%.</w:t>
      </w:r>
    </w:p>
    <w:p w14:paraId="127E7A7C"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Несмотря на проведенные ОКО мероприятия, военные отметили, что улучшение взлетно-посадочных свойств не достигнуто, так как увеличение механизации крыла невозможно из-за размещения в консолях стрелково-пушечного вооружения. Увеличение же площади крыла приведет к снижению максимальной скорости, которая и так была невелика. В связи с этим ОКО рекомендовалось использовать редукцию мотора 0,732 или даже 0,550 вместо 0,902, а также использовать винт диаметром 3,3 м.</w:t>
      </w:r>
    </w:p>
    <w:p w14:paraId="192D9641"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Эскизный проект был рекомендован для утверждения. Но Начальник ВВС П.В.Рычагов его не утвердил, а 20 сентября 1940 г. написал резолюцию: "Мое мнение, что тов. Микояну новой машины не давать, а требовать доводки самолета И-200 до требуемых нам норм".</w:t>
      </w:r>
    </w:p>
    <w:p w14:paraId="04E9FFBA"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адрес НКАП было выслано краткое заключение по эскизному проекту ПБШ-1, утвержденное П.В.Рычаговым, следующего содержания:</w:t>
      </w:r>
    </w:p>
    <w:p w14:paraId="20043A52"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 Удовлетворяет программе 1941 г. только по следующим показателям.</w:t>
      </w:r>
    </w:p>
    <w:p w14:paraId="5D3E14A8"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а) Бронированный, одноместный. Толщина брони 15,5 мм защищает от пробивания 20-мм снарядом.</w:t>
      </w:r>
    </w:p>
    <w:p w14:paraId="31AB6C11"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 Имеет мощное вооружение две МП-3 и шесть ШКАС в крыльях вместо требуемого: две пушки и два пулемета ШКАС или одна пушка и четыре ШКАС.</w:t>
      </w:r>
    </w:p>
    <w:p w14:paraId="185D8565"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отношении полетных данных ПБШ-1 программе 1941 г. не удовлетворяет</w:t>
      </w:r>
    </w:p>
    <w:p w14:paraId="56D33687"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а) Посадочная скорость 146-127 и 138-121 км/час. Требование 130-135 км/час.</w:t>
      </w:r>
    </w:p>
    <w:p w14:paraId="7FDFB3C7"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 Наибольшая скорость 472 км/час. Программа - 500-550 км/час.</w:t>
      </w:r>
    </w:p>
    <w:p w14:paraId="4400D839"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Дальность полета на скорости 0,9 от максимальной 800 км. Требуемая -1000 км.</w:t>
      </w:r>
    </w:p>
    <w:p w14:paraId="6F73D128"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 Бомб нет. Требование - 250 кг. Бомбовая нагрузка берется по проекту за счет перегрузки.</w:t>
      </w:r>
    </w:p>
    <w:p w14:paraId="492BCC30"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 В постройке находится и должен быть готов к 15 ноября 1940 г. аналогичный самолет конструктора Сухого, проектные данные выше, чем у ПБШ-1, а именно:</w:t>
      </w:r>
    </w:p>
    <w:tbl>
      <w:tblPr>
        <w:tblW w:w="42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97"/>
        <w:gridCol w:w="2474"/>
        <w:gridCol w:w="3045"/>
      </w:tblGrid>
      <w:tr w:rsidR="007D5DF8" w:rsidRPr="00DB5D0D" w14:paraId="1E9ED93E" w14:textId="77777777" w:rsidTr="00B60247">
        <w:trPr>
          <w:jc w:val="center"/>
        </w:trPr>
        <w:tc>
          <w:tcPr>
            <w:tcW w:w="2100" w:type="pct"/>
            <w:shd w:val="clear" w:color="auto" w:fill="auto"/>
            <w:hideMark/>
          </w:tcPr>
          <w:p w14:paraId="30453391"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 </w:t>
            </w:r>
          </w:p>
        </w:tc>
        <w:tc>
          <w:tcPr>
            <w:tcW w:w="1300" w:type="pct"/>
            <w:shd w:val="clear" w:color="auto" w:fill="auto"/>
            <w:hideMark/>
          </w:tcPr>
          <w:p w14:paraId="69D80B41"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Проект Сухого</w:t>
            </w:r>
          </w:p>
        </w:tc>
        <w:tc>
          <w:tcPr>
            <w:tcW w:w="1600" w:type="pct"/>
            <w:shd w:val="clear" w:color="auto" w:fill="auto"/>
            <w:hideMark/>
          </w:tcPr>
          <w:p w14:paraId="2034A4B1"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ПБШ-1</w:t>
            </w:r>
          </w:p>
        </w:tc>
      </w:tr>
      <w:tr w:rsidR="007D5DF8" w:rsidRPr="00DB5D0D" w14:paraId="567E9052" w14:textId="77777777" w:rsidTr="00B60247">
        <w:trPr>
          <w:jc w:val="center"/>
        </w:trPr>
        <w:tc>
          <w:tcPr>
            <w:tcW w:w="2100" w:type="pct"/>
            <w:shd w:val="clear" w:color="auto" w:fill="auto"/>
            <w:hideMark/>
          </w:tcPr>
          <w:p w14:paraId="4F00E92D"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Скорость у земли, км/ч</w:t>
            </w:r>
          </w:p>
          <w:p w14:paraId="70FE5264"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Дальность полета, км</w:t>
            </w:r>
          </w:p>
          <w:p w14:paraId="67ABA782"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Вооружение</w:t>
            </w:r>
          </w:p>
          <w:p w14:paraId="3F4616B2"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Бомбы, кг </w:t>
            </w:r>
          </w:p>
          <w:p w14:paraId="7EE176CA"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Дальность полета с перегрузкой, км</w:t>
            </w:r>
          </w:p>
        </w:tc>
        <w:tc>
          <w:tcPr>
            <w:tcW w:w="1300" w:type="pct"/>
            <w:shd w:val="clear" w:color="auto" w:fill="auto"/>
            <w:hideMark/>
          </w:tcPr>
          <w:p w14:paraId="2A971234"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510 </w:t>
            </w:r>
          </w:p>
          <w:p w14:paraId="00A2213F"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800 </w:t>
            </w:r>
          </w:p>
          <w:p w14:paraId="66E224E2"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6 ШКАС </w:t>
            </w:r>
          </w:p>
          <w:p w14:paraId="0CADD862"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120 </w:t>
            </w:r>
          </w:p>
          <w:p w14:paraId="0452E439"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1200 </w:t>
            </w:r>
          </w:p>
        </w:tc>
        <w:tc>
          <w:tcPr>
            <w:tcW w:w="1600" w:type="pct"/>
            <w:shd w:val="clear" w:color="auto" w:fill="auto"/>
            <w:hideMark/>
          </w:tcPr>
          <w:p w14:paraId="7B0A1028"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449 </w:t>
            </w:r>
          </w:p>
          <w:p w14:paraId="4C1ACA3D"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800 </w:t>
            </w:r>
          </w:p>
          <w:p w14:paraId="3ACD5BCE"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6 ШКАС и 2 пушки </w:t>
            </w:r>
          </w:p>
          <w:p w14:paraId="7347B8E9"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нет </w:t>
            </w:r>
          </w:p>
          <w:p w14:paraId="218DC300" w14:textId="77777777" w:rsidR="006C2BA1" w:rsidRPr="00DB5D0D" w:rsidRDefault="006C2BA1" w:rsidP="00DB5D0D">
            <w:pPr>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1000 </w:t>
            </w:r>
          </w:p>
        </w:tc>
      </w:tr>
    </w:tbl>
    <w:p w14:paraId="507371E7" w14:textId="77777777" w:rsidR="006C2BA1" w:rsidRPr="00DB5D0D" w:rsidRDefault="006C2BA1" w:rsidP="00DB5D0D">
      <w:pPr>
        <w:shd w:val="clear" w:color="auto" w:fill="FFFFFF"/>
        <w:spacing w:after="0" w:line="240" w:lineRule="auto"/>
        <w:jc w:val="both"/>
        <w:rPr>
          <w:rFonts w:ascii="Times New Roman" w:eastAsia="Times New Roman" w:hAnsi="Times New Roman"/>
          <w:i/>
          <w:iCs/>
          <w:color w:val="000000" w:themeColor="text1"/>
          <w:sz w:val="16"/>
          <w:szCs w:val="16"/>
          <w:lang w:eastAsia="ru-RU"/>
        </w:rPr>
      </w:pPr>
      <w:r w:rsidRPr="00DB5D0D">
        <w:rPr>
          <w:rFonts w:ascii="Times New Roman" w:eastAsia="Times New Roman" w:hAnsi="Times New Roman"/>
          <w:i/>
          <w:iCs/>
          <w:color w:val="000000" w:themeColor="text1"/>
          <w:sz w:val="16"/>
          <w:szCs w:val="16"/>
          <w:lang w:eastAsia="ru-RU"/>
        </w:rPr>
        <w:t>По своим полетным данным самолет ПБШ-1 не удовлетворяет программе 1941 г.</w:t>
      </w:r>
    </w:p>
    <w:p w14:paraId="77E59C22" w14:textId="77777777" w:rsidR="006C2BA1" w:rsidRPr="00DB5D0D" w:rsidRDefault="006C2BA1" w:rsidP="00DB5D0D">
      <w:pPr>
        <w:shd w:val="clear" w:color="auto" w:fill="FFFFFF"/>
        <w:spacing w:after="0" w:line="240" w:lineRule="auto"/>
        <w:jc w:val="both"/>
        <w:rPr>
          <w:rFonts w:ascii="Times New Roman" w:eastAsia="Times New Roman" w:hAnsi="Times New Roman"/>
          <w:i/>
          <w:iCs/>
          <w:color w:val="000000" w:themeColor="text1"/>
          <w:sz w:val="16"/>
          <w:szCs w:val="16"/>
          <w:lang w:eastAsia="ru-RU"/>
        </w:rPr>
      </w:pPr>
      <w:r w:rsidRPr="00DB5D0D">
        <w:rPr>
          <w:rFonts w:ascii="Times New Roman" w:eastAsia="Times New Roman" w:hAnsi="Times New Roman"/>
          <w:i/>
          <w:iCs/>
          <w:color w:val="000000" w:themeColor="text1"/>
          <w:sz w:val="16"/>
          <w:szCs w:val="16"/>
          <w:lang w:eastAsia="ru-RU"/>
        </w:rPr>
        <w:t>В постройке находится аналогичный образец бронированного штурмовика Сухого с более высокими  полетными данными, чем ПБШ-1. Поэтому от реализации проекта ПБШ-1 следует воздержаться.</w:t>
      </w:r>
    </w:p>
    <w:p w14:paraId="3EA3AFCD" w14:textId="77777777" w:rsidR="006C2BA1" w:rsidRPr="00DB5D0D" w:rsidRDefault="006C2BA1" w:rsidP="00DB5D0D">
      <w:pPr>
        <w:shd w:val="clear" w:color="auto" w:fill="FFFFFF"/>
        <w:spacing w:after="0" w:line="240" w:lineRule="auto"/>
        <w:jc w:val="both"/>
        <w:rPr>
          <w:rFonts w:ascii="Times New Roman" w:eastAsia="Times New Roman" w:hAnsi="Times New Roman"/>
          <w:i/>
          <w:iCs/>
          <w:color w:val="000000" w:themeColor="text1"/>
          <w:sz w:val="16"/>
          <w:szCs w:val="16"/>
          <w:lang w:eastAsia="ru-RU"/>
        </w:rPr>
      </w:pPr>
      <w:r w:rsidRPr="00DB5D0D">
        <w:rPr>
          <w:rFonts w:ascii="Times New Roman" w:eastAsia="Times New Roman" w:hAnsi="Times New Roman"/>
          <w:i/>
          <w:iCs/>
          <w:color w:val="000000" w:themeColor="text1"/>
          <w:sz w:val="16"/>
          <w:szCs w:val="16"/>
          <w:lang w:eastAsia="ru-RU"/>
        </w:rPr>
        <w:t>Зам. председателя НТК при Начальнике ВВС КА военинженер 1 ранга Знаменский".</w:t>
      </w:r>
    </w:p>
    <w:p w14:paraId="289C113C"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Главной причиной отклонения проекта ПБШ-1 была необходимость доводки И-200, которая усугублялась не только объективными причинами, необходимостью торопиться в завершении работ по И-200, но и еще недостаточной к тому времени зрелостью коллектива ОКО при заводе № 1. Тем не менее, благодаря тому, что силы коллектива не были оторваны на реализацию проекта ПБШ-1 на заседании технического совета при НИИ ВВС, где рассматривали результаты госиспытаний И-200, было отмечено, что он является самым доведенным самолетом при поступлении на государственные испытания, которые прошел хорошо. Кроме того, за время заводских и государственных испытаний не было потеряно ни одного самолета и ни одного летчика (19568).</w:t>
      </w:r>
    </w:p>
    <w:p w14:paraId="064DE266" w14:textId="77777777" w:rsidR="006C2BA1" w:rsidRPr="00DB5D0D" w:rsidRDefault="006C2BA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4F30D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состоялось совещание у ГИ 3 ГУ НКАП об испытаниях взлета на второй скорости мотора М-88 на ДБ-3Ф. Хотели дать разрешение на эксплуатацию машины на второй скорости. Работы не выполнены и решили продолжить испытания (1187).</w:t>
      </w:r>
    </w:p>
    <w:p w14:paraId="2B6C7FD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C707E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августа1940 года Зам начальника ГУ ВВС генерал-лейтенант авиации Астахов утвердил Заключение по эскизному проекту пикирующего бомбардировщика «ФБ» с двумя моторами М-120 ТК2 конструкции ОТБ НКВД</w:t>
      </w:r>
    </w:p>
    <w:p w14:paraId="02A335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самолета</w:t>
      </w:r>
    </w:p>
    <w:p w14:paraId="4A3A83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«ФБ» предназначается для бомбардирования с больших и средних высот с пикирующего полета:</w:t>
      </w:r>
    </w:p>
    <w:p w14:paraId="41DFA5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особо важных военных и промышленных сооружений;</w:t>
      </w:r>
    </w:p>
    <w:p w14:paraId="3BD614B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железнодорожных путей и сооружений;</w:t>
      </w:r>
    </w:p>
    <w:p w14:paraId="1EE516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стоянок самолетов на земле;</w:t>
      </w:r>
    </w:p>
    <w:p w14:paraId="558B06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военных кораблей всех классов и типов;</w:t>
      </w:r>
    </w:p>
    <w:p w14:paraId="5178BA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 портовых сооружений и баз флота;</w:t>
      </w:r>
    </w:p>
    <w:p w14:paraId="1FA8C4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 живой силы противника в местах ее скопления.</w:t>
      </w:r>
    </w:p>
    <w:p w14:paraId="28878C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«ФБ» моноплан металлической конструкции.</w:t>
      </w:r>
    </w:p>
    <w:p w14:paraId="73379C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запроектирован под два мотора М-120 в двух вариантах:</w:t>
      </w:r>
    </w:p>
    <w:p w14:paraId="376D3A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нормальном – с реактивными выхлопами и</w:t>
      </w:r>
    </w:p>
    <w:p w14:paraId="746B7B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высотном – с турбокмпрессорами ТК-2.</w:t>
      </w:r>
    </w:p>
    <w:p w14:paraId="5A6FAB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самолета состоит из 3-х человек:</w:t>
      </w:r>
    </w:p>
    <w:p w14:paraId="091856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Летчик, штурман-бомбардир и стрелок.</w:t>
      </w:r>
    </w:p>
    <w:p w14:paraId="05C593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Экипаж размещен в двух кабинах – в передней летчик, в задней – штурман и стрелок.</w:t>
      </w:r>
    </w:p>
    <w:p w14:paraId="07AAA2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самолета</w:t>
      </w:r>
    </w:p>
    <w:p w14:paraId="381C40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Пушечное вооружение состоит из 2-х пушек Швак калибра 20 мм, установленных по обоим сторонам фюзеляжа.</w:t>
      </w:r>
    </w:p>
    <w:p w14:paraId="2EE3A2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Запас патрон 100 шт. на каждую пушку.</w:t>
      </w:r>
    </w:p>
    <w:p w14:paraId="6DEB670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Стрелковое:</w:t>
      </w:r>
    </w:p>
    <w:p w14:paraId="7ADD40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Два неподвижных пулемета Шкас расположенных в носу фюзеляжа для стрельбы вперед. Запас патрон по 500 шт. на каждый пулемет.</w:t>
      </w:r>
    </w:p>
    <w:p w14:paraId="14F112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пулемет Шкас сверху сзади фюзеляжа на шкворневой установке в верхней задней полусфере. Обслуживается штурманом. Запас патрон – 1000 шт.</w:t>
      </w:r>
    </w:p>
    <w:p w14:paraId="7F5884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Один пулемет Шкас на люковой установке. Обслуживается стрелком. Запас патрон 500 штук.</w:t>
      </w:r>
    </w:p>
    <w:p w14:paraId="01DCD2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0F7C3D6C"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Эскизный проект пикирующего бомбардировщика ФБ-2М120 ТК-2 утвердить (4633).</w:t>
      </w:r>
    </w:p>
    <w:p w14:paraId="2C4D183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24A738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Зам. нач. ГУ ВВС Астахов утвердил заключение по эскизному проекту ПБ ФБ с 2хМ-120 ТК-2 конструкции ОТБ НКВД (2061).</w:t>
      </w:r>
    </w:p>
    <w:p w14:paraId="3E23A8C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90FF4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ГИ ВВС Астафьевым было подписано заключение по эскизному проекту ФБ (103) с 2хМ-120 ТК-2 со скоростью 600 км/ч (729).</w:t>
      </w:r>
    </w:p>
    <w:p w14:paraId="7421C5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крыла - 48</w:t>
      </w:r>
    </w:p>
    <w:p w14:paraId="4E9560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- 18,7</w:t>
      </w:r>
    </w:p>
    <w:p w14:paraId="539983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- 13,2</w:t>
      </w:r>
    </w:p>
    <w:p w14:paraId="4344D4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- 5440 (без ТК)</w:t>
      </w:r>
    </w:p>
    <w:p w14:paraId="429FB3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8080 кг</w:t>
      </w:r>
    </w:p>
    <w:p w14:paraId="03BA3B7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4000 м - 600 км/час</w:t>
      </w:r>
    </w:p>
    <w:p w14:paraId="1A873A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КБ А.Н.Т. сдало в производство в полном объеме рабочие чертежи, хотя постройка началась еще в мае 1940 (2348,43).</w:t>
      </w:r>
    </w:p>
    <w:p w14:paraId="50E5329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3D27A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года закончились испытания по проведению бомбометания с пикирования с самолета СБ с углами от 30 до 50 градусов, которые проходили с 23 июля (3006).</w:t>
      </w:r>
    </w:p>
    <w:p w14:paraId="3CBB5A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исполнитель:</w:t>
      </w:r>
    </w:p>
    <w:p w14:paraId="7A95A3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В/инженер 1 ранга Бензов.</w:t>
      </w:r>
    </w:p>
    <w:p w14:paraId="59BC11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1EF943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Бомбометание с пикирования при прицеливании и сбрасывании штурманом возможно.</w:t>
      </w:r>
    </w:p>
    <w:p w14:paraId="5B9ACA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Бомбометание с пикирования с углами до 50 градусов на самолете СБ в боевых условиях нецелесообразно (3006).</w:t>
      </w:r>
    </w:p>
    <w:p w14:paraId="5C4B672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3C059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вышел приказ НКАП N 454с, который во изменение приказа N 296 от 17 июля 1940 потребовал проводить испытания ББ-МАИ П.Д.Грушина в 8-м отделе ЦАГИ-Раменки, назначил л-и А.Н.Гринчика и потребовал провести испытания в течение 2-х месяцев (280,39).</w:t>
      </w:r>
    </w:p>
    <w:p w14:paraId="1525D9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Машины с М-88 в августе 1940 снимали из-за дефектов эксплуатации, но он требовался на ДБ-3Ф и быстро вопрос решили (129,13).</w:t>
      </w:r>
    </w:p>
    <w:p w14:paraId="681925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изменение моего приказа № 226 от 17/У1-1940 года ПРИКАЗЫВАЮ</w:t>
      </w:r>
    </w:p>
    <w:p w14:paraId="27BB1A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Заводские испытания самолета ББ-МАИ конструкции тов. ГРУШИНА П.Д. проводить в 8-мотделе ЦАГИ -Раменское.</w:t>
      </w:r>
    </w:p>
    <w:p w14:paraId="4FF0D56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Летчиком испытателем по заводским испытаниям само лета ББ-МАИ назначить летчика испытателя ЦАГИ т. ГРИНЧИКА А.Н.</w:t>
      </w:r>
    </w:p>
    <w:p w14:paraId="6537D78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Заводские испытания провести в течение 2-х меся</w:t>
      </w:r>
      <w:r w:rsidRPr="00DB5D0D">
        <w:rPr>
          <w:rFonts w:ascii="Times New Roman" w:hAnsi="Times New Roman"/>
          <w:color w:val="000000" w:themeColor="text1"/>
          <w:sz w:val="16"/>
          <w:szCs w:val="16"/>
        </w:rPr>
        <w:softHyphen/>
        <w:t>цев со дня первого вылета.</w:t>
      </w:r>
    </w:p>
    <w:p w14:paraId="2A53A98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Ответственными за проведениа заводских испытаний самолета ББ-МАИ являются главный конструктор тов. ГРУШИН П.Д., и начальник 8-го отдела ЦАГИ тов. ЛЯПИДЕВСКИЙ А.В.</w:t>
      </w:r>
    </w:p>
    <w:p w14:paraId="669BCA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Утвервдаю прикрепленную к самолету .ББ-МАИ бригаду по обслуживанию заводских испытаний в следующем составе:</w:t>
      </w:r>
    </w:p>
    <w:p w14:paraId="01BA59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Ведщий инженер по испытаниям</w:t>
      </w:r>
      <w:r w:rsidRPr="00DB5D0D">
        <w:rPr>
          <w:rFonts w:ascii="Times New Roman" w:hAnsi="Times New Roman"/>
          <w:color w:val="000000" w:themeColor="text1"/>
          <w:sz w:val="16"/>
          <w:szCs w:val="16"/>
        </w:rPr>
        <w:tab/>
        <w:t>тов. Рахманин А.С.</w:t>
      </w:r>
    </w:p>
    <w:p w14:paraId="6502FF7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винтомоторной группе</w:t>
      </w:r>
      <w:r w:rsidRPr="00DB5D0D">
        <w:rPr>
          <w:rFonts w:ascii="Times New Roman" w:hAnsi="Times New Roman"/>
          <w:color w:val="000000" w:themeColor="text1"/>
          <w:sz w:val="16"/>
          <w:szCs w:val="16"/>
        </w:rPr>
        <w:tab/>
        <w:t>Обухов Б.А.</w:t>
      </w:r>
    </w:p>
    <w:p w14:paraId="3F0EE7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производству</w:t>
      </w:r>
      <w:r w:rsidRPr="00DB5D0D">
        <w:rPr>
          <w:rFonts w:ascii="Times New Roman" w:hAnsi="Times New Roman"/>
          <w:color w:val="000000" w:themeColor="text1"/>
          <w:sz w:val="16"/>
          <w:szCs w:val="16"/>
        </w:rPr>
        <w:tab/>
        <w:t>Манучаров А.А.</w:t>
      </w:r>
    </w:p>
    <w:p w14:paraId="39D7BC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Механик</w:t>
      </w:r>
      <w:r w:rsidRPr="00DB5D0D">
        <w:rPr>
          <w:rFonts w:ascii="Times New Roman" w:hAnsi="Times New Roman"/>
          <w:color w:val="000000" w:themeColor="text1"/>
          <w:sz w:val="16"/>
          <w:szCs w:val="16"/>
        </w:rPr>
        <w:tab/>
        <w:t>Чуприков И.И.</w:t>
      </w:r>
    </w:p>
    <w:p w14:paraId="2479F8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Механик от 8-го отд. ЦАГИ</w:t>
      </w:r>
      <w:r w:rsidRPr="00DB5D0D">
        <w:rPr>
          <w:rFonts w:ascii="Times New Roman" w:hAnsi="Times New Roman"/>
          <w:color w:val="000000" w:themeColor="text1"/>
          <w:sz w:val="16"/>
          <w:szCs w:val="16"/>
        </w:rPr>
        <w:tab/>
        <w:t>Сорокин</w:t>
      </w:r>
    </w:p>
    <w:p w14:paraId="7645B2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Моторист</w:t>
      </w:r>
      <w:r w:rsidRPr="00DB5D0D">
        <w:rPr>
          <w:rFonts w:ascii="Times New Roman" w:hAnsi="Times New Roman"/>
          <w:color w:val="000000" w:themeColor="text1"/>
          <w:sz w:val="16"/>
          <w:szCs w:val="16"/>
        </w:rPr>
        <w:tab/>
        <w:t>Демидов С.П.</w:t>
      </w:r>
    </w:p>
    <w:p w14:paraId="6AD444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Контролер</w:t>
      </w:r>
      <w:r w:rsidRPr="00DB5D0D">
        <w:rPr>
          <w:rFonts w:ascii="Times New Roman" w:hAnsi="Times New Roman"/>
          <w:color w:val="000000" w:themeColor="text1"/>
          <w:sz w:val="16"/>
          <w:szCs w:val="16"/>
        </w:rPr>
        <w:tab/>
        <w:t>Князев А.И.</w:t>
      </w:r>
    </w:p>
    <w:p w14:paraId="6C4D0BF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Мастер по вооружению</w:t>
      </w:r>
      <w:r w:rsidRPr="00DB5D0D">
        <w:rPr>
          <w:rFonts w:ascii="Times New Roman" w:hAnsi="Times New Roman"/>
          <w:color w:val="000000" w:themeColor="text1"/>
          <w:sz w:val="16"/>
          <w:szCs w:val="16"/>
        </w:rPr>
        <w:tab/>
        <w:t>Коршунов Б.Я.</w:t>
      </w:r>
    </w:p>
    <w:p w14:paraId="62D12CB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по оборудованию</w:t>
      </w:r>
      <w:r w:rsidRPr="00DB5D0D">
        <w:rPr>
          <w:rFonts w:ascii="Times New Roman" w:hAnsi="Times New Roman"/>
          <w:color w:val="000000" w:themeColor="text1"/>
          <w:sz w:val="16"/>
          <w:szCs w:val="16"/>
        </w:rPr>
        <w:tab/>
        <w:t>Кондрашев В.С.</w:t>
      </w:r>
    </w:p>
    <w:p w14:paraId="0DAE546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Штурман от 8-го Отд. ЦАГИ</w:t>
      </w:r>
      <w:r w:rsidRPr="00DB5D0D">
        <w:rPr>
          <w:rFonts w:ascii="Times New Roman" w:hAnsi="Times New Roman"/>
          <w:color w:val="000000" w:themeColor="text1"/>
          <w:sz w:val="16"/>
          <w:szCs w:val="16"/>
        </w:rPr>
        <w:tab/>
        <w:t>Егоров И.С. (129,13).</w:t>
      </w:r>
    </w:p>
    <w:p w14:paraId="73E8FC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Машины с М-88 в августе 1940 снимали из-за дефектов эксплуатации, но он требовался на ДБ-3Ф и быстро вопрос решили (129,13).</w:t>
      </w:r>
    </w:p>
    <w:p w14:paraId="4C273D4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8679D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30 августа по 11 сентября 1940 УТИ-26 с М-105П и ВИШ-61П был на ремонте после поломки (726).</w:t>
      </w:r>
    </w:p>
    <w:p w14:paraId="59FEBD4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B104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в ходе гос. испытаний УТИ-26 в НИИ ВВС, которые проходили с 29 августа по 19 сентября 1940, при рулении на старт сложилась левая нога шасси и поломалась консоль крыла, а также погнуты лопасти винта и поврежден обтекатель. был направлен на опытный завод НИИ для ремонта, который шел до 11 сентября 1940 (2944).</w:t>
      </w:r>
    </w:p>
    <w:p w14:paraId="4E09277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03BAC3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30 августа 1940 с-т УТИ-26 был снят временно из-за поломкм с госиспытаний и по 11 сентября 1940 был на ремонте после поломки</w:t>
      </w:r>
    </w:p>
    <w:p w14:paraId="1C4A85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28 августа 1940 года самолет УТИ-26 поступил на гос. испытания</w:t>
      </w:r>
    </w:p>
    <w:p w14:paraId="71EAE9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Закончил гос. испытания 19 сентября 1940 года</w:t>
      </w:r>
    </w:p>
    <w:p w14:paraId="5C1CD1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октября 1940 года Начальник ГУ ВВС генерал-лейтенант авиации Рычагов утвердил Отчет по гос. испытаниям опытного самолета УТИ-26 с мотором М-105П конструкции и А.С.Я., постройки завода № 115</w:t>
      </w:r>
    </w:p>
    <w:p w14:paraId="58ABB7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Винт ВИШ-61П диаметром 3 м</w:t>
      </w:r>
    </w:p>
    <w:p w14:paraId="4EAE1C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Отв. исполнители:</w:t>
      </w:r>
    </w:p>
    <w:p w14:paraId="0898957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Воеводин, Степанец, Стефановский, Кубышкин</w:t>
      </w:r>
    </w:p>
    <w:p w14:paraId="60AB39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Участники испытаний: Хвостовский, Аронов, Саманов, Цветаев, Стечнев, НаумовАверьянов, Королев</w:t>
      </w:r>
    </w:p>
    <w:p w14:paraId="23DABD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Летных - 5 дней</w:t>
      </w:r>
    </w:p>
    <w:p w14:paraId="19A3AC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Наземные испытания 3 дня</w:t>
      </w:r>
    </w:p>
    <w:p w14:paraId="371E0A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Нелетная погода 2 дня</w:t>
      </w:r>
    </w:p>
    <w:p w14:paraId="168427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сдвинуто назад на 100 мм, в фюзкляже - вторая кабина и 2-е управление</w:t>
      </w:r>
    </w:p>
    <w:p w14:paraId="66F718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2181 кг, полетный - 2750 кг</w:t>
      </w:r>
    </w:p>
    <w:p w14:paraId="307294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у земли 500 км/час</w:t>
      </w:r>
    </w:p>
    <w:p w14:paraId="36AE41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 скорость на 2540 м 560 км/час</w:t>
      </w:r>
    </w:p>
    <w:p w14:paraId="560930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набора 5000 м 5,5 мин.</w:t>
      </w:r>
    </w:p>
    <w:p w14:paraId="398639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Разбег 310 м, пробег 750 м</w:t>
      </w:r>
    </w:p>
    <w:p w14:paraId="6D4DFDE5"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4123140"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 УТИ-26 считать прошедшим госиспытания удовлетворительно (Самолет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w:t>
      </w:r>
    </w:p>
    <w:p w14:paraId="28F856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Считать целесообрасным быстрейшую серийную постройку самолета</w:t>
      </w:r>
    </w:p>
    <w:p w14:paraId="5A1060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ГК и завод № 115 устранить на с-тах для войсковых испытаний следующие дефекты:</w:t>
      </w:r>
    </w:p>
    <w:p w14:paraId="414E78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ненадежность конструкции запирающей системы уборки и выпуска шасси</w:t>
      </w:r>
    </w:p>
    <w:p w14:paraId="7A7A4B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нельзя тормозить (большой пробег)</w:t>
      </w:r>
    </w:p>
    <w:p w14:paraId="40A925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недоведенность синхронизирующей установки (прострел винта)</w:t>
      </w:r>
    </w:p>
    <w:p w14:paraId="34087C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исправить направления действия рычагов в кабине л-ка (726,1).</w:t>
      </w:r>
    </w:p>
    <w:p w14:paraId="44935A1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3F4496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 Зам. начальника ВВС генерал-лейтенант авиации Астахов утвердил Отчет по гос. испытаниям самолета И-153 с герметической кабиной конструкции инженера Щербакова</w:t>
      </w:r>
    </w:p>
    <w:p w14:paraId="2DB193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108756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эксплуатационные свойства герметической кабины, особенно в части жизненных условий в ней, герметичность кабины, запотеваемость окон и возможности выполнения боевой работы летчиком на всех высотах.</w:t>
      </w:r>
    </w:p>
    <w:p w14:paraId="3308CE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 предъявлен заводом N 289 НКАП самолет И-153 с мотором М-62 N 6028, снабженный герметической кабиной конструкции инженера Щербакова.</w:t>
      </w:r>
    </w:p>
    <w:p w14:paraId="73D999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 время гос. испытаний на самолете И-153 с герметической кабиной произведено 11 полетов, из них 9 полетов высотных.</w:t>
      </w:r>
    </w:p>
    <w:p w14:paraId="7DF567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высота полета 10700 м.</w:t>
      </w:r>
    </w:p>
    <w:p w14:paraId="4A8B165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Заключение1. Опыт оборудования герметической кабиной самолета И-153 и результаты испытания его признать удовлетворительными.</w:t>
      </w:r>
    </w:p>
    <w:p w14:paraId="54E564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7D5DF8" w:rsidRPr="00DB5D0D" w14:paraId="6F9F1486" w14:textId="77777777" w:rsidTr="00E543D0">
        <w:tc>
          <w:tcPr>
            <w:tcW w:w="5749" w:type="dxa"/>
            <w:tcBorders>
              <w:top w:val="single" w:sz="12" w:space="0" w:color="auto"/>
            </w:tcBorders>
          </w:tcPr>
          <w:p w14:paraId="7F3EC2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22.07</w:t>
            </w:r>
          </w:p>
        </w:tc>
        <w:tc>
          <w:tcPr>
            <w:tcW w:w="5749" w:type="dxa"/>
            <w:tcBorders>
              <w:top w:val="single" w:sz="12" w:space="0" w:color="auto"/>
            </w:tcBorders>
          </w:tcPr>
          <w:p w14:paraId="25BA1A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Ознакомительный полет с открытым фонарем.</w:t>
            </w:r>
          </w:p>
        </w:tc>
      </w:tr>
      <w:tr w:rsidR="007D5DF8" w:rsidRPr="00DB5D0D" w14:paraId="663D09F4" w14:textId="77777777" w:rsidTr="00E543D0">
        <w:tc>
          <w:tcPr>
            <w:tcW w:w="5749" w:type="dxa"/>
          </w:tcPr>
          <w:p w14:paraId="44E34E2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5F3A9A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3000 м, продолжительность 20 мин.</w:t>
            </w:r>
          </w:p>
        </w:tc>
      </w:tr>
      <w:tr w:rsidR="007D5DF8" w:rsidRPr="00DB5D0D" w14:paraId="7397D69B" w14:textId="77777777" w:rsidTr="00E543D0">
        <w:tc>
          <w:tcPr>
            <w:tcW w:w="5749" w:type="dxa"/>
          </w:tcPr>
          <w:p w14:paraId="4EB3BB0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23.07</w:t>
            </w:r>
          </w:p>
        </w:tc>
        <w:tc>
          <w:tcPr>
            <w:tcW w:w="5749" w:type="dxa"/>
          </w:tcPr>
          <w:p w14:paraId="601A7F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открытия и закрытия фонаря кабины</w:t>
            </w:r>
          </w:p>
        </w:tc>
      </w:tr>
      <w:tr w:rsidR="007D5DF8" w:rsidRPr="00DB5D0D" w14:paraId="3CB7BD36" w14:textId="77777777" w:rsidTr="00E543D0">
        <w:tc>
          <w:tcPr>
            <w:tcW w:w="5749" w:type="dxa"/>
          </w:tcPr>
          <w:p w14:paraId="2311003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5E429E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различных скоростях. Высота 4000 м,</w:t>
            </w:r>
          </w:p>
        </w:tc>
      </w:tr>
      <w:tr w:rsidR="007D5DF8" w:rsidRPr="00DB5D0D" w14:paraId="2502D463" w14:textId="77777777" w:rsidTr="00E543D0">
        <w:tc>
          <w:tcPr>
            <w:tcW w:w="5749" w:type="dxa"/>
          </w:tcPr>
          <w:p w14:paraId="6FE286D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605B2E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продолжительность 40 мин.</w:t>
            </w:r>
          </w:p>
        </w:tc>
      </w:tr>
      <w:tr w:rsidR="007D5DF8" w:rsidRPr="00DB5D0D" w14:paraId="737065E8" w14:textId="77777777" w:rsidTr="00E543D0">
        <w:tc>
          <w:tcPr>
            <w:tcW w:w="5749" w:type="dxa"/>
          </w:tcPr>
          <w:p w14:paraId="789A92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24.07</w:t>
            </w:r>
          </w:p>
        </w:tc>
        <w:tc>
          <w:tcPr>
            <w:tcW w:w="5749" w:type="dxa"/>
          </w:tcPr>
          <w:p w14:paraId="5CFD10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Двухчасовые испытания работы жизненной</w:t>
            </w:r>
          </w:p>
        </w:tc>
      </w:tr>
      <w:tr w:rsidR="007D5DF8" w:rsidRPr="00DB5D0D" w14:paraId="6FC6C12D" w14:textId="77777777" w:rsidTr="00E543D0">
        <w:tc>
          <w:tcPr>
            <w:tcW w:w="5749" w:type="dxa"/>
          </w:tcPr>
          <w:p w14:paraId="3A02651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08EC64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аппаратуры на земле.</w:t>
            </w:r>
          </w:p>
        </w:tc>
      </w:tr>
      <w:tr w:rsidR="007D5DF8" w:rsidRPr="00DB5D0D" w14:paraId="46B96C29" w14:textId="77777777" w:rsidTr="00E543D0">
        <w:tc>
          <w:tcPr>
            <w:tcW w:w="5749" w:type="dxa"/>
          </w:tcPr>
          <w:p w14:paraId="36EDCA9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5B82DF3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условий полета на больших высотах.</w:t>
            </w:r>
          </w:p>
        </w:tc>
      </w:tr>
      <w:tr w:rsidR="007D5DF8" w:rsidRPr="00DB5D0D" w14:paraId="07FB890F" w14:textId="77777777" w:rsidTr="00E543D0">
        <w:tc>
          <w:tcPr>
            <w:tcW w:w="5749" w:type="dxa"/>
          </w:tcPr>
          <w:p w14:paraId="527749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454876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8000 м, продолжительность 50 мин.</w:t>
            </w:r>
          </w:p>
        </w:tc>
      </w:tr>
      <w:tr w:rsidR="007D5DF8" w:rsidRPr="00DB5D0D" w14:paraId="5AF29EB6" w14:textId="77777777" w:rsidTr="00E543D0">
        <w:tc>
          <w:tcPr>
            <w:tcW w:w="5749" w:type="dxa"/>
          </w:tcPr>
          <w:p w14:paraId="57C5A90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54F1CA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загерметизированной кабине на потолок.</w:t>
            </w:r>
          </w:p>
        </w:tc>
      </w:tr>
      <w:tr w:rsidR="007D5DF8" w:rsidRPr="00DB5D0D" w14:paraId="3B114509" w14:textId="77777777" w:rsidTr="00E543D0">
        <w:tc>
          <w:tcPr>
            <w:tcW w:w="5749" w:type="dxa"/>
          </w:tcPr>
          <w:p w14:paraId="28BFA2E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5AD867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10700 м, продолжительность 70 мин.</w:t>
            </w:r>
          </w:p>
        </w:tc>
      </w:tr>
      <w:tr w:rsidR="007D5DF8" w:rsidRPr="00DB5D0D" w14:paraId="28C1C6B5" w14:textId="77777777" w:rsidTr="00E543D0">
        <w:tc>
          <w:tcPr>
            <w:tcW w:w="5749" w:type="dxa"/>
          </w:tcPr>
          <w:p w14:paraId="20922F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25.07</w:t>
            </w:r>
          </w:p>
        </w:tc>
        <w:tc>
          <w:tcPr>
            <w:tcW w:w="5749" w:type="dxa"/>
          </w:tcPr>
          <w:p w14:paraId="233AFB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пилотажных качеств самолета с открытым</w:t>
            </w:r>
          </w:p>
        </w:tc>
      </w:tr>
      <w:tr w:rsidR="007D5DF8" w:rsidRPr="00DB5D0D" w14:paraId="20C43978" w14:textId="77777777" w:rsidTr="00E543D0">
        <w:tc>
          <w:tcPr>
            <w:tcW w:w="5749" w:type="dxa"/>
          </w:tcPr>
          <w:p w14:paraId="2CF0E8C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311F81D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 закрытым фонарем.</w:t>
            </w:r>
          </w:p>
        </w:tc>
      </w:tr>
      <w:tr w:rsidR="007D5DF8" w:rsidRPr="00DB5D0D" w14:paraId="6A2A2B39" w14:textId="77777777" w:rsidTr="00E543D0">
        <w:tc>
          <w:tcPr>
            <w:tcW w:w="5749" w:type="dxa"/>
          </w:tcPr>
          <w:p w14:paraId="22DD84D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273CFF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7000 м, продолжительность 60 мин.</w:t>
            </w:r>
          </w:p>
        </w:tc>
      </w:tr>
      <w:tr w:rsidR="007D5DF8" w:rsidRPr="00DB5D0D" w14:paraId="669B07C8" w14:textId="77777777" w:rsidTr="00E543D0">
        <w:tc>
          <w:tcPr>
            <w:tcW w:w="5749" w:type="dxa"/>
          </w:tcPr>
          <w:p w14:paraId="6EC928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26.07</w:t>
            </w:r>
          </w:p>
        </w:tc>
        <w:tc>
          <w:tcPr>
            <w:tcW w:w="5749" w:type="dxa"/>
          </w:tcPr>
          <w:p w14:paraId="3625E3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w:t>
            </w:r>
          </w:p>
        </w:tc>
      </w:tr>
      <w:tr w:rsidR="007D5DF8" w:rsidRPr="00DB5D0D" w14:paraId="368C2966" w14:textId="77777777" w:rsidTr="00E543D0">
        <w:tc>
          <w:tcPr>
            <w:tcW w:w="5749" w:type="dxa"/>
          </w:tcPr>
          <w:p w14:paraId="6486718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14BD204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7000 м, продолжительность 50 мин.</w:t>
            </w:r>
          </w:p>
        </w:tc>
      </w:tr>
      <w:tr w:rsidR="007D5DF8" w:rsidRPr="00DB5D0D" w14:paraId="68638F99" w14:textId="77777777" w:rsidTr="00E543D0">
        <w:tc>
          <w:tcPr>
            <w:tcW w:w="5749" w:type="dxa"/>
          </w:tcPr>
          <w:p w14:paraId="3A1CED3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02C55B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Учебно-боевой полет в загерметизированной кабине.</w:t>
            </w:r>
          </w:p>
        </w:tc>
      </w:tr>
      <w:tr w:rsidR="007D5DF8" w:rsidRPr="00DB5D0D" w14:paraId="53EBDD9D" w14:textId="77777777" w:rsidTr="00E543D0">
        <w:tc>
          <w:tcPr>
            <w:tcW w:w="5749" w:type="dxa"/>
          </w:tcPr>
          <w:p w14:paraId="4E88C2E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6FA97B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8000 м, продолжительность 60 мин.</w:t>
            </w:r>
          </w:p>
        </w:tc>
      </w:tr>
      <w:tr w:rsidR="007D5DF8" w:rsidRPr="00DB5D0D" w14:paraId="728C1396" w14:textId="77777777" w:rsidTr="00E543D0">
        <w:tc>
          <w:tcPr>
            <w:tcW w:w="5749" w:type="dxa"/>
          </w:tcPr>
          <w:p w14:paraId="1AA1A3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29.07</w:t>
            </w:r>
          </w:p>
        </w:tc>
        <w:tc>
          <w:tcPr>
            <w:tcW w:w="5749" w:type="dxa"/>
          </w:tcPr>
          <w:p w14:paraId="45FC13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полет по программе облета. Летчик ст.</w:t>
            </w:r>
          </w:p>
        </w:tc>
      </w:tr>
      <w:tr w:rsidR="007D5DF8" w:rsidRPr="00DB5D0D" w14:paraId="2018F38C" w14:textId="77777777" w:rsidTr="00E543D0">
        <w:tc>
          <w:tcPr>
            <w:tcW w:w="5749" w:type="dxa"/>
          </w:tcPr>
          <w:p w14:paraId="02D85AB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411D67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лейтенант Сушков.</w:t>
            </w:r>
          </w:p>
        </w:tc>
      </w:tr>
      <w:tr w:rsidR="007D5DF8" w:rsidRPr="00DB5D0D" w14:paraId="7EF57BBD" w14:textId="77777777" w:rsidTr="00E543D0">
        <w:tc>
          <w:tcPr>
            <w:tcW w:w="5749" w:type="dxa"/>
          </w:tcPr>
          <w:p w14:paraId="7843FC0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63278A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10000 м, продолжительность 60 мин.</w:t>
            </w:r>
          </w:p>
        </w:tc>
      </w:tr>
      <w:tr w:rsidR="007D5DF8" w:rsidRPr="00DB5D0D" w14:paraId="61C4903D" w14:textId="77777777" w:rsidTr="00E543D0">
        <w:tc>
          <w:tcPr>
            <w:tcW w:w="5749" w:type="dxa"/>
          </w:tcPr>
          <w:p w14:paraId="2A98F83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49767DC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полет по программе облета. Летчик</w:t>
            </w:r>
          </w:p>
        </w:tc>
      </w:tr>
      <w:tr w:rsidR="007D5DF8" w:rsidRPr="00DB5D0D" w14:paraId="1D50F269" w14:textId="77777777" w:rsidTr="00E543D0">
        <w:tc>
          <w:tcPr>
            <w:tcW w:w="5749" w:type="dxa"/>
          </w:tcPr>
          <w:p w14:paraId="4CDE568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08AAD8E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капитан Дубовой.</w:t>
            </w:r>
          </w:p>
        </w:tc>
      </w:tr>
      <w:tr w:rsidR="007D5DF8" w:rsidRPr="00DB5D0D" w14:paraId="09FBF658" w14:textId="77777777" w:rsidTr="00E543D0">
        <w:tc>
          <w:tcPr>
            <w:tcW w:w="5749" w:type="dxa"/>
          </w:tcPr>
          <w:p w14:paraId="457078B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06D3E4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9300 м, продолжительность 50 мин.</w:t>
            </w:r>
          </w:p>
        </w:tc>
      </w:tr>
      <w:tr w:rsidR="007D5DF8" w:rsidRPr="00DB5D0D" w14:paraId="4F082760" w14:textId="77777777" w:rsidTr="00E543D0">
        <w:tc>
          <w:tcPr>
            <w:tcW w:w="5749" w:type="dxa"/>
          </w:tcPr>
          <w:p w14:paraId="222637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30.07</w:t>
            </w:r>
          </w:p>
        </w:tc>
        <w:tc>
          <w:tcPr>
            <w:tcW w:w="5749" w:type="dxa"/>
          </w:tcPr>
          <w:p w14:paraId="2F3994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полет по программе облета. Летчик</w:t>
            </w:r>
          </w:p>
        </w:tc>
      </w:tr>
      <w:tr w:rsidR="007D5DF8" w:rsidRPr="00DB5D0D" w14:paraId="4D30CF85" w14:textId="77777777" w:rsidTr="00E543D0">
        <w:tc>
          <w:tcPr>
            <w:tcW w:w="5749" w:type="dxa"/>
          </w:tcPr>
          <w:p w14:paraId="06DB78E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Pr>
          <w:p w14:paraId="2CB8EB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майор Супрун.</w:t>
            </w:r>
          </w:p>
        </w:tc>
      </w:tr>
      <w:tr w:rsidR="007D5DF8" w:rsidRPr="00DB5D0D" w14:paraId="0F813700" w14:textId="77777777" w:rsidTr="00E543D0">
        <w:tc>
          <w:tcPr>
            <w:tcW w:w="5749" w:type="dxa"/>
            <w:tcBorders>
              <w:bottom w:val="single" w:sz="12" w:space="0" w:color="auto"/>
            </w:tcBorders>
          </w:tcPr>
          <w:p w14:paraId="6495F89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686F43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Высота 10100 м, продолжительность 60 мин. (3190)</w:t>
            </w:r>
          </w:p>
        </w:tc>
      </w:tr>
    </w:tbl>
    <w:p w14:paraId="6B27BC7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6E76D7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года Зам. начальника ВВС генерал-лейтенант авиации Астахов утвердил Отчет по гос. испытаниям самолета И-153 с герметической кабиной конструкции инженера Щербакова</w:t>
      </w:r>
    </w:p>
    <w:p w14:paraId="6041F6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5D9269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эксплуатационные свойства герметической кабины, особенно в части жизненных условий в ней, герметичность кабины, запотеваемость окон и возможности выполнения боевой работы летчиком на всех высотах.</w:t>
      </w:r>
    </w:p>
    <w:p w14:paraId="54F3721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 предъявлен заводом № 289 НКАП самолет И-153 с мотором М-62 № 6028, снабженный герметической кабиной конструкции инженера Щербакова.</w:t>
      </w:r>
    </w:p>
    <w:p w14:paraId="1A6BAD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2FEDB69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оборудования герметической кабиной самолета И-153 и результаты испытания его признать удовлетворительными.</w:t>
      </w:r>
    </w:p>
    <w:p w14:paraId="4D838E4F"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Герметическая кабина позволяет полностью использовать потолок самолета для боевой работы.</w:t>
      </w:r>
    </w:p>
    <w:p w14:paraId="4AF74E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6833"/>
      </w:tblGrid>
      <w:tr w:rsidR="007D5DF8" w:rsidRPr="00DB5D0D" w14:paraId="72285195" w14:textId="77777777" w:rsidTr="00E543D0">
        <w:tc>
          <w:tcPr>
            <w:tcW w:w="1951" w:type="dxa"/>
            <w:tcBorders>
              <w:top w:val="single" w:sz="12" w:space="0" w:color="auto"/>
            </w:tcBorders>
          </w:tcPr>
          <w:p w14:paraId="0C87C03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6833" w:type="dxa"/>
            <w:tcBorders>
              <w:top w:val="single" w:sz="12" w:space="0" w:color="auto"/>
            </w:tcBorders>
          </w:tcPr>
          <w:p w14:paraId="4EE63F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007DDBF2" w14:textId="77777777" w:rsidTr="00E543D0">
        <w:tc>
          <w:tcPr>
            <w:tcW w:w="1951" w:type="dxa"/>
          </w:tcPr>
          <w:p w14:paraId="0FCEC1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w:t>
            </w:r>
          </w:p>
        </w:tc>
        <w:tc>
          <w:tcPr>
            <w:tcW w:w="6833" w:type="dxa"/>
          </w:tcPr>
          <w:p w14:paraId="09D30BF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принят на испытания.</w:t>
            </w:r>
          </w:p>
        </w:tc>
      </w:tr>
      <w:tr w:rsidR="007D5DF8" w:rsidRPr="00DB5D0D" w14:paraId="79529F83" w14:textId="77777777" w:rsidTr="00E543D0">
        <w:tc>
          <w:tcPr>
            <w:tcW w:w="1951" w:type="dxa"/>
          </w:tcPr>
          <w:p w14:paraId="776B79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6833" w:type="dxa"/>
          </w:tcPr>
          <w:p w14:paraId="7126D1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Ознакомительный полет с открытым фонарем. Высота 3000 м.</w:t>
            </w:r>
          </w:p>
        </w:tc>
      </w:tr>
      <w:tr w:rsidR="007D5DF8" w:rsidRPr="00DB5D0D" w14:paraId="74D9EA8C" w14:textId="77777777" w:rsidTr="00E543D0">
        <w:tc>
          <w:tcPr>
            <w:tcW w:w="1951" w:type="dxa"/>
          </w:tcPr>
          <w:p w14:paraId="71BE65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6833" w:type="dxa"/>
          </w:tcPr>
          <w:p w14:paraId="303ED0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открытия и закрытия фонаря кабины на различных скоростях. Высота 4000 м.</w:t>
            </w:r>
          </w:p>
        </w:tc>
      </w:tr>
      <w:tr w:rsidR="007D5DF8" w:rsidRPr="00DB5D0D" w14:paraId="45F111F3" w14:textId="77777777" w:rsidTr="00E543D0">
        <w:tc>
          <w:tcPr>
            <w:tcW w:w="1951" w:type="dxa"/>
          </w:tcPr>
          <w:p w14:paraId="6707F6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6833" w:type="dxa"/>
          </w:tcPr>
          <w:p w14:paraId="378A0B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условий полета на больших высотах. Высота 8000 м.</w:t>
            </w:r>
          </w:p>
        </w:tc>
      </w:tr>
      <w:tr w:rsidR="007D5DF8" w:rsidRPr="00DB5D0D" w14:paraId="13B83FF6" w14:textId="77777777" w:rsidTr="00E543D0">
        <w:tc>
          <w:tcPr>
            <w:tcW w:w="1951" w:type="dxa"/>
          </w:tcPr>
          <w:p w14:paraId="4C4A6B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6833" w:type="dxa"/>
          </w:tcPr>
          <w:p w14:paraId="5E0227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загерметизированной кабине на потолок самолета. Высота 10700 м.</w:t>
            </w:r>
          </w:p>
        </w:tc>
      </w:tr>
      <w:tr w:rsidR="007D5DF8" w:rsidRPr="00DB5D0D" w14:paraId="1A945314" w14:textId="77777777" w:rsidTr="00E543D0">
        <w:tc>
          <w:tcPr>
            <w:tcW w:w="1951" w:type="dxa"/>
          </w:tcPr>
          <w:p w14:paraId="1E7A715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w:t>
            </w:r>
          </w:p>
        </w:tc>
        <w:tc>
          <w:tcPr>
            <w:tcW w:w="6833" w:type="dxa"/>
          </w:tcPr>
          <w:p w14:paraId="5A5C1B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пилотажных качеств самолета с закрытым и открытым фонарем. Высота 7000 м.</w:t>
            </w:r>
          </w:p>
        </w:tc>
      </w:tr>
      <w:tr w:rsidR="007D5DF8" w:rsidRPr="00DB5D0D" w14:paraId="416D3410" w14:textId="77777777" w:rsidTr="00E543D0">
        <w:tc>
          <w:tcPr>
            <w:tcW w:w="1951" w:type="dxa"/>
          </w:tcPr>
          <w:p w14:paraId="4743E8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6833" w:type="dxa"/>
          </w:tcPr>
          <w:p w14:paraId="132D06D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 Высота 7000 м.</w:t>
            </w:r>
          </w:p>
        </w:tc>
      </w:tr>
      <w:tr w:rsidR="007D5DF8" w:rsidRPr="00DB5D0D" w14:paraId="34EA3FF1" w14:textId="77777777" w:rsidTr="00E543D0">
        <w:tc>
          <w:tcPr>
            <w:tcW w:w="1951" w:type="dxa"/>
          </w:tcPr>
          <w:p w14:paraId="157313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6833" w:type="dxa"/>
          </w:tcPr>
          <w:p w14:paraId="7AB60B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Учебно-боевой полет в загерметизированной кабине. Высота полета 8000 м.</w:t>
            </w:r>
          </w:p>
        </w:tc>
      </w:tr>
      <w:tr w:rsidR="007D5DF8" w:rsidRPr="00DB5D0D" w14:paraId="56B631E1" w14:textId="77777777" w:rsidTr="00E543D0">
        <w:tc>
          <w:tcPr>
            <w:tcW w:w="1951" w:type="dxa"/>
          </w:tcPr>
          <w:p w14:paraId="19A3C9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6833" w:type="dxa"/>
          </w:tcPr>
          <w:p w14:paraId="3B7A1C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полет по программе облета. Летчик ст. лейтенант Сушков. Высота 10000 м.</w:t>
            </w:r>
          </w:p>
        </w:tc>
      </w:tr>
      <w:tr w:rsidR="007D5DF8" w:rsidRPr="00DB5D0D" w14:paraId="68EC088A" w14:textId="77777777" w:rsidTr="00E543D0">
        <w:tc>
          <w:tcPr>
            <w:tcW w:w="1951" w:type="dxa"/>
          </w:tcPr>
          <w:p w14:paraId="26A472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6833" w:type="dxa"/>
          </w:tcPr>
          <w:p w14:paraId="0DBB63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полет по программе облета. Летчик капитан Дубовой. Высота 9300 м.</w:t>
            </w:r>
          </w:p>
        </w:tc>
      </w:tr>
      <w:tr w:rsidR="007D5DF8" w:rsidRPr="00DB5D0D" w14:paraId="05D66A9B" w14:textId="77777777" w:rsidTr="00E543D0">
        <w:tc>
          <w:tcPr>
            <w:tcW w:w="1951" w:type="dxa"/>
            <w:tcBorders>
              <w:bottom w:val="single" w:sz="12" w:space="0" w:color="auto"/>
            </w:tcBorders>
          </w:tcPr>
          <w:p w14:paraId="421079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30 июля 1940 года</w:t>
            </w:r>
          </w:p>
        </w:tc>
        <w:tc>
          <w:tcPr>
            <w:tcW w:w="6833" w:type="dxa"/>
            <w:tcBorders>
              <w:bottom w:val="single" w:sz="12" w:space="0" w:color="auto"/>
            </w:tcBorders>
          </w:tcPr>
          <w:p w14:paraId="0D0EA4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полет по программе облета. Летчик майор Супрун. Высота 10100 м.</w:t>
            </w:r>
          </w:p>
        </w:tc>
      </w:tr>
    </w:tbl>
    <w:p w14:paraId="0DC46D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от начала до конца испытаний – 9 дней, из них летных – 6 (4566).</w:t>
      </w:r>
    </w:p>
    <w:p w14:paraId="4396E87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F6168B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года Зам. начальника ВВС генерал-лейтенант авиации Астахов утвердил Отчет по гос. испытаниям самолета И-153 с герметической кабиной конструкции инженера Щербакова (6606).</w:t>
      </w:r>
    </w:p>
    <w:p w14:paraId="26FBDB0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 испытаний</w:t>
      </w:r>
    </w:p>
    <w:p w14:paraId="270E502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Проверить эксплуатационные свойства герметической кабины, особенно в части жизненных условий в ней, герметичность кабины, запотеваемость окон и возможности выполнения боевой работы летчиком на всех высотах.</w:t>
      </w:r>
    </w:p>
    <w:p w14:paraId="6B25628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испытания был предъявлен заводом № 289 НКАП самолет И-153 с мотором М-62 № 6028, снабженный герметической кабиной конструкции инженера Щербакова.</w:t>
      </w:r>
    </w:p>
    <w:p w14:paraId="14427D2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55C861BD"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оборудования герметической кабиной самолета И-153 и результаты испытания его признать удовлетворительными.</w:t>
      </w:r>
    </w:p>
    <w:p w14:paraId="035A7352" w14:textId="77777777" w:rsidR="003C7E8B" w:rsidRPr="00DB5D0D" w:rsidRDefault="003C7E8B" w:rsidP="00DB5D0D">
      <w:pPr>
        <w:tabs>
          <w:tab w:val="left" w:pos="360"/>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Герметическая кабина позволяет полностью использовать потолок самолета для боевой работы.</w:t>
      </w:r>
    </w:p>
    <w:p w14:paraId="4006B43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8363"/>
      </w:tblGrid>
      <w:tr w:rsidR="007D5DF8" w:rsidRPr="00DB5D0D" w14:paraId="11E5258A" w14:textId="77777777" w:rsidTr="00E543D0">
        <w:tc>
          <w:tcPr>
            <w:tcW w:w="2093" w:type="dxa"/>
            <w:tcBorders>
              <w:top w:val="single" w:sz="12" w:space="0" w:color="auto"/>
            </w:tcBorders>
          </w:tcPr>
          <w:p w14:paraId="5C3D120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Дата</w:t>
            </w:r>
          </w:p>
        </w:tc>
        <w:tc>
          <w:tcPr>
            <w:tcW w:w="8363" w:type="dxa"/>
            <w:tcBorders>
              <w:top w:val="single" w:sz="12" w:space="0" w:color="auto"/>
            </w:tcBorders>
          </w:tcPr>
          <w:p w14:paraId="2DEA55A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работы</w:t>
            </w:r>
          </w:p>
        </w:tc>
      </w:tr>
      <w:tr w:rsidR="007D5DF8" w:rsidRPr="00DB5D0D" w14:paraId="2FEED1D5" w14:textId="77777777" w:rsidTr="00E543D0">
        <w:tc>
          <w:tcPr>
            <w:tcW w:w="2093" w:type="dxa"/>
          </w:tcPr>
          <w:p w14:paraId="1EDDDD4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 июля 1940 года</w:t>
            </w:r>
          </w:p>
        </w:tc>
        <w:tc>
          <w:tcPr>
            <w:tcW w:w="8363" w:type="dxa"/>
          </w:tcPr>
          <w:p w14:paraId="407DA9F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принят на испытания.</w:t>
            </w:r>
          </w:p>
        </w:tc>
      </w:tr>
      <w:tr w:rsidR="007D5DF8" w:rsidRPr="00DB5D0D" w14:paraId="42239C37" w14:textId="77777777" w:rsidTr="00E543D0">
        <w:tc>
          <w:tcPr>
            <w:tcW w:w="2093" w:type="dxa"/>
          </w:tcPr>
          <w:p w14:paraId="77F4B57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8363" w:type="dxa"/>
          </w:tcPr>
          <w:p w14:paraId="01E17A7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Ознакомительный полет с открытым фонарем. Высота 3000 м.</w:t>
            </w:r>
          </w:p>
        </w:tc>
      </w:tr>
      <w:tr w:rsidR="007D5DF8" w:rsidRPr="00DB5D0D" w14:paraId="27C2187A" w14:textId="77777777" w:rsidTr="00E543D0">
        <w:tc>
          <w:tcPr>
            <w:tcW w:w="2093" w:type="dxa"/>
          </w:tcPr>
          <w:p w14:paraId="6B2CCF4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 июля 1940 года</w:t>
            </w:r>
          </w:p>
        </w:tc>
        <w:tc>
          <w:tcPr>
            <w:tcW w:w="8363" w:type="dxa"/>
          </w:tcPr>
          <w:p w14:paraId="3119042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Испытания открытия и закрытия фонаря кабины на различных скоростях. Высота 4000 м.</w:t>
            </w:r>
          </w:p>
        </w:tc>
      </w:tr>
      <w:tr w:rsidR="007D5DF8" w:rsidRPr="00DB5D0D" w14:paraId="1EF059CB" w14:textId="77777777" w:rsidTr="00E543D0">
        <w:tc>
          <w:tcPr>
            <w:tcW w:w="2093" w:type="dxa"/>
          </w:tcPr>
          <w:p w14:paraId="5C31C9E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8363" w:type="dxa"/>
          </w:tcPr>
          <w:p w14:paraId="7D1B64A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условий полета на больших высотах. Высота 8000 м.</w:t>
            </w:r>
          </w:p>
        </w:tc>
      </w:tr>
      <w:tr w:rsidR="007D5DF8" w:rsidRPr="00DB5D0D" w14:paraId="25E85244" w14:textId="77777777" w:rsidTr="00E543D0">
        <w:tc>
          <w:tcPr>
            <w:tcW w:w="2093" w:type="dxa"/>
          </w:tcPr>
          <w:p w14:paraId="05B18A6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 июля 1940 года</w:t>
            </w:r>
          </w:p>
        </w:tc>
        <w:tc>
          <w:tcPr>
            <w:tcW w:w="8363" w:type="dxa"/>
          </w:tcPr>
          <w:p w14:paraId="07175A1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в загерметизированной кабине на потолок самолета. Высота 10700 м.</w:t>
            </w:r>
          </w:p>
        </w:tc>
      </w:tr>
      <w:tr w:rsidR="007D5DF8" w:rsidRPr="00DB5D0D" w14:paraId="21F9C615" w14:textId="77777777" w:rsidTr="00E543D0">
        <w:tc>
          <w:tcPr>
            <w:tcW w:w="2093" w:type="dxa"/>
          </w:tcPr>
          <w:p w14:paraId="5CA8C4B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 июля 1940 года</w:t>
            </w:r>
          </w:p>
        </w:tc>
        <w:tc>
          <w:tcPr>
            <w:tcW w:w="8363" w:type="dxa"/>
          </w:tcPr>
          <w:p w14:paraId="5190257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Испытание пилотажных качеств самолета с закрытым и открытым фонарем. Высота 7000 м.</w:t>
            </w:r>
          </w:p>
        </w:tc>
      </w:tr>
      <w:tr w:rsidR="007D5DF8" w:rsidRPr="00DB5D0D" w14:paraId="36EFA86E" w14:textId="77777777" w:rsidTr="00E543D0">
        <w:tc>
          <w:tcPr>
            <w:tcW w:w="2093" w:type="dxa"/>
          </w:tcPr>
          <w:p w14:paraId="0630DF8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8363" w:type="dxa"/>
          </w:tcPr>
          <w:p w14:paraId="1BFC3E53"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 на стрельбу по конусу. Высота 7000 м.</w:t>
            </w:r>
          </w:p>
        </w:tc>
      </w:tr>
      <w:tr w:rsidR="007D5DF8" w:rsidRPr="00DB5D0D" w14:paraId="4C4F5080" w14:textId="77777777" w:rsidTr="00E543D0">
        <w:tc>
          <w:tcPr>
            <w:tcW w:w="2093" w:type="dxa"/>
          </w:tcPr>
          <w:p w14:paraId="231D593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года</w:t>
            </w:r>
          </w:p>
        </w:tc>
        <w:tc>
          <w:tcPr>
            <w:tcW w:w="8363" w:type="dxa"/>
          </w:tcPr>
          <w:p w14:paraId="37F4FB09"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Учебно-боевой полет в загерметизированной кабине. Высота полета 8000 м.</w:t>
            </w:r>
          </w:p>
        </w:tc>
      </w:tr>
      <w:tr w:rsidR="007D5DF8" w:rsidRPr="00DB5D0D" w14:paraId="7E66667E" w14:textId="77777777" w:rsidTr="00E543D0">
        <w:tc>
          <w:tcPr>
            <w:tcW w:w="2093" w:type="dxa"/>
          </w:tcPr>
          <w:p w14:paraId="19D01C3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8363" w:type="dxa"/>
          </w:tcPr>
          <w:p w14:paraId="5FD80C8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Первый полет по программе облета. Летчик ст. лейтенант Сушков. Высота 10000 м.</w:t>
            </w:r>
          </w:p>
        </w:tc>
      </w:tr>
      <w:tr w:rsidR="007D5DF8" w:rsidRPr="00DB5D0D" w14:paraId="6BC9F8AE" w14:textId="77777777" w:rsidTr="00E543D0">
        <w:tc>
          <w:tcPr>
            <w:tcW w:w="2093" w:type="dxa"/>
          </w:tcPr>
          <w:p w14:paraId="3976F7D8"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 июля 1940 года</w:t>
            </w:r>
          </w:p>
        </w:tc>
        <w:tc>
          <w:tcPr>
            <w:tcW w:w="8363" w:type="dxa"/>
          </w:tcPr>
          <w:p w14:paraId="240EEDEA"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Второй полет по программе облета. Летчик капитан Дубовой. Высота 9300 м.</w:t>
            </w:r>
          </w:p>
        </w:tc>
      </w:tr>
      <w:tr w:rsidR="007D5DF8" w:rsidRPr="00DB5D0D" w14:paraId="30940880" w14:textId="77777777" w:rsidTr="00E543D0">
        <w:tc>
          <w:tcPr>
            <w:tcW w:w="2093" w:type="dxa"/>
            <w:tcBorders>
              <w:bottom w:val="single" w:sz="12" w:space="0" w:color="auto"/>
            </w:tcBorders>
          </w:tcPr>
          <w:p w14:paraId="3E5620C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июля 1940 года</w:t>
            </w:r>
          </w:p>
        </w:tc>
        <w:tc>
          <w:tcPr>
            <w:tcW w:w="8363" w:type="dxa"/>
            <w:tcBorders>
              <w:bottom w:val="single" w:sz="12" w:space="0" w:color="auto"/>
            </w:tcBorders>
          </w:tcPr>
          <w:p w14:paraId="0934259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Третий полет по программе облета. Летчик майор Супрун. Высота 10100 м.</w:t>
            </w:r>
          </w:p>
        </w:tc>
      </w:tr>
    </w:tbl>
    <w:p w14:paraId="3A16D1C5"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от начала до конца испытаний – 9 дней, из них летных – 6 (6606).</w:t>
      </w:r>
    </w:p>
    <w:p w14:paraId="187A400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4F7B8CB"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года в НИИ ВВС был выдан наряд-приказ № 0177</w:t>
      </w:r>
    </w:p>
    <w:p w14:paraId="4E791292"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испытание серийного самолета И-16 типа 29 № 292116 (6890, 71).</w:t>
      </w:r>
    </w:p>
    <w:p w14:paraId="15CA482E"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0C3FB7B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 был подписан Отзыв начальника ВВС генерал-лейтенанта Рычагова по проекту самолета констр. Гудкова</w:t>
      </w:r>
    </w:p>
    <w:p w14:paraId="0377F1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Согласен.</w:t>
      </w:r>
    </w:p>
    <w:p w14:paraId="2B8124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Надо построить такой самолет с посадочной скоростью не более 125-130 км в двух вариантах - на трехколесном шасси и с костылем во втором варианте (3374).</w:t>
      </w:r>
    </w:p>
    <w:p w14:paraId="147215A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B4753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вышел приказ 7 ГУ N 28/30:</w:t>
      </w:r>
    </w:p>
    <w:p w14:paraId="610099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определения готовности к 1 вылету модифицированного самолета ОКО-6 2М-88Р конструкции В.К.Таирова назначаю комиссию..." (2031,48).</w:t>
      </w:r>
    </w:p>
    <w:p w14:paraId="6EFAFB8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D914C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в ходе гос. испытаний И-200 АМ-35А, которые проходили в НИИ ВВС с 19 августа по 12 сентября 1940, на машине N 6302 было выполнено 2 полета на километраж (1:00) и потек радиатор. Потом выполнили полет на границы высотности мотора (0:30) и полет на зубцы (0:15), прекращенный из-за плохой работы мотора, а на машине 6303 отстреливали вооружение в тире (2925).</w:t>
      </w:r>
    </w:p>
    <w:p w14:paraId="3A401D5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8B2BA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августа1940 года Зам начальника ГУ ВВС генерал-лейтенант авиации Астахов утвердил Заключение по эскизному проекту одноместного тренировочного истребителя ТИ-28 с мотором МВ-6 конструкции группы инженеров ГО КБ-28 (гл. конструктор Грибовский).</w:t>
      </w:r>
    </w:p>
    <w:p w14:paraId="0BAD3C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Назначение самолета</w:t>
      </w:r>
    </w:p>
    <w:p w14:paraId="0FEB48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Одноместный тренировочный истребитель, предназначенный для подготовки пилотов – истребителей в частях и школах ВВС.</w:t>
      </w:r>
    </w:p>
    <w:p w14:paraId="50432D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Свободнонесущий моноплан деревянной конструкции с низкорасположенным крылом.</w:t>
      </w:r>
    </w:p>
    <w:p w14:paraId="3C2E2B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 установлен в фюзеляже для стрельбы через винт один пулемет ШКАС калибра 7,62 мм с запасом патрон 400 шт.</w:t>
      </w:r>
    </w:p>
    <w:p w14:paraId="524CA9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w:t>
      </w:r>
    </w:p>
    <w:p w14:paraId="6221207A"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Представленный эскизный проект тренировочного истребителя ТИ-28 группы конструкторов ОКБ 28 – утвердить (4632).</w:t>
      </w:r>
    </w:p>
    <w:p w14:paraId="2BE7C78E" w14:textId="77777777" w:rsidR="003C7E8B" w:rsidRPr="00DB5D0D" w:rsidRDefault="003C7E8B" w:rsidP="00DB5D0D">
      <w:pPr>
        <w:tabs>
          <w:tab w:val="left" w:pos="360"/>
        </w:tabs>
        <w:spacing w:after="0" w:line="240" w:lineRule="auto"/>
        <w:jc w:val="both"/>
        <w:rPr>
          <w:rFonts w:ascii="Times New Roman" w:hAnsi="Times New Roman"/>
          <w:color w:val="000000" w:themeColor="text1"/>
          <w:sz w:val="16"/>
          <w:szCs w:val="16"/>
        </w:rPr>
      </w:pPr>
    </w:p>
    <w:p w14:paraId="75DF674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 А.А.Микулин представил мотор АМ—37 на соискание премии им. В.П.Чкалова. В со</w:t>
      </w:r>
      <w:r w:rsidRPr="00DB5D0D">
        <w:rPr>
          <w:rFonts w:ascii="Times New Roman" w:hAnsi="Times New Roman"/>
          <w:color w:val="000000" w:themeColor="text1"/>
          <w:sz w:val="16"/>
          <w:szCs w:val="16"/>
        </w:rPr>
        <w:softHyphen/>
        <w:t>проводительном письме он подчеркивал, что АМ—37 «...по своим техническим и тактико-техническим данным... стоит на первом месте мирового моторост</w:t>
      </w:r>
      <w:r w:rsidRPr="00DB5D0D">
        <w:rPr>
          <w:rFonts w:ascii="Times New Roman" w:hAnsi="Times New Roman"/>
          <w:color w:val="000000" w:themeColor="text1"/>
          <w:sz w:val="16"/>
          <w:szCs w:val="16"/>
        </w:rPr>
        <w:softHyphen/>
        <w:t>роения, одновременно работая на топливе 93—94 ок</w:t>
      </w:r>
      <w:r w:rsidRPr="00DB5D0D">
        <w:rPr>
          <w:rFonts w:ascii="Times New Roman" w:hAnsi="Times New Roman"/>
          <w:color w:val="000000" w:themeColor="text1"/>
          <w:sz w:val="16"/>
          <w:szCs w:val="16"/>
        </w:rPr>
        <w:softHyphen/>
        <w:t>тан вместо 100 октанового топлива, обязательно тре</w:t>
      </w:r>
      <w:r w:rsidRPr="00DB5D0D">
        <w:rPr>
          <w:rFonts w:ascii="Times New Roman" w:hAnsi="Times New Roman"/>
          <w:color w:val="000000" w:themeColor="text1"/>
          <w:sz w:val="16"/>
          <w:szCs w:val="16"/>
        </w:rPr>
        <w:softHyphen/>
        <w:t>бующегося для соревнующихся с ним лучших зарубежных моторов («Аллисон», «Мерлин» и др.). Это достигнуто благодаря изобретенному мною и внедренному впервые в мировом моторостроении воздушному радиатору особой конструкции, установ</w:t>
      </w:r>
      <w:r w:rsidRPr="00DB5D0D">
        <w:rPr>
          <w:rFonts w:ascii="Times New Roman" w:hAnsi="Times New Roman"/>
          <w:color w:val="000000" w:themeColor="text1"/>
          <w:sz w:val="16"/>
          <w:szCs w:val="16"/>
        </w:rPr>
        <w:softHyphen/>
        <w:t>ленному на трубопроводе всасывающей системы». Речь идет о водо-воздушном радиаторе для охлажде</w:t>
      </w:r>
      <w:r w:rsidRPr="00DB5D0D">
        <w:rPr>
          <w:rFonts w:ascii="Times New Roman" w:hAnsi="Times New Roman"/>
          <w:color w:val="000000" w:themeColor="text1"/>
          <w:sz w:val="16"/>
          <w:szCs w:val="16"/>
        </w:rPr>
        <w:softHyphen/>
        <w:t>ния воздуха, выходящего из нагнетателя. Прокачка воды через водо-воздушный радиатор осуществля</w:t>
      </w:r>
      <w:r w:rsidRPr="00DB5D0D">
        <w:rPr>
          <w:rFonts w:ascii="Times New Roman" w:hAnsi="Times New Roman"/>
          <w:color w:val="000000" w:themeColor="text1"/>
          <w:sz w:val="16"/>
          <w:szCs w:val="16"/>
        </w:rPr>
        <w:softHyphen/>
        <w:t>лась с помощью дополнительного водяного насоса. Охлаждение воздуха, подаваемого в цилиндры, поз</w:t>
      </w:r>
      <w:r w:rsidRPr="00DB5D0D">
        <w:rPr>
          <w:rFonts w:ascii="Times New Roman" w:hAnsi="Times New Roman"/>
          <w:color w:val="000000" w:themeColor="text1"/>
          <w:sz w:val="16"/>
          <w:szCs w:val="16"/>
        </w:rPr>
        <w:softHyphen/>
        <w:t>воляло увеличить массовый заряд топливо-воздуш</w:t>
      </w:r>
      <w:r w:rsidRPr="00DB5D0D">
        <w:rPr>
          <w:rFonts w:ascii="Times New Roman" w:hAnsi="Times New Roman"/>
          <w:color w:val="000000" w:themeColor="text1"/>
          <w:sz w:val="16"/>
          <w:szCs w:val="16"/>
        </w:rPr>
        <w:softHyphen/>
        <w:t>ной смеси и благодаря этому увеличить литровую мощность мотора. Далее в представлении Микулин подчеркивал: «АМ—37 является целиком мотором отечественной конструкции и сделан весь из совет</w:t>
      </w:r>
      <w:r w:rsidRPr="00DB5D0D">
        <w:rPr>
          <w:rFonts w:ascii="Times New Roman" w:hAnsi="Times New Roman"/>
          <w:color w:val="000000" w:themeColor="text1"/>
          <w:sz w:val="16"/>
          <w:szCs w:val="16"/>
        </w:rPr>
        <w:softHyphen/>
        <w:t>ских материалов». По данным главного конструктора, при непрерыв</w:t>
      </w:r>
      <w:r w:rsidRPr="00DB5D0D">
        <w:rPr>
          <w:rFonts w:ascii="Times New Roman" w:hAnsi="Times New Roman"/>
          <w:color w:val="000000" w:themeColor="text1"/>
          <w:sz w:val="16"/>
          <w:szCs w:val="16"/>
        </w:rPr>
        <w:softHyphen/>
        <w:t>ной работе у земли в течение часа или на высоте 6000 м в течение 30 минут максимальная мощность мотора достигала 1400 л.с. Номинальная мощность составляла 1200 л.с. на высоте 7000 м. На протяжении 20 минут максимальную мощность на расчетной вы</w:t>
      </w:r>
      <w:r w:rsidRPr="00DB5D0D">
        <w:rPr>
          <w:rFonts w:ascii="Times New Roman" w:hAnsi="Times New Roman"/>
          <w:color w:val="000000" w:themeColor="text1"/>
          <w:sz w:val="16"/>
          <w:szCs w:val="16"/>
        </w:rPr>
        <w:softHyphen/>
        <w:t>соте 5500 м можно было форсировать до 1500 л.с. На этом режиме удельная масса мотора АМ—37 уменьша</w:t>
      </w:r>
      <w:r w:rsidRPr="00DB5D0D">
        <w:rPr>
          <w:rFonts w:ascii="Times New Roman" w:hAnsi="Times New Roman"/>
          <w:color w:val="000000" w:themeColor="text1"/>
          <w:sz w:val="16"/>
          <w:szCs w:val="16"/>
        </w:rPr>
        <w:softHyphen/>
        <w:t>лась до 0,59 кг/л.с., что было сопоставимо с показате</w:t>
      </w:r>
      <w:r w:rsidRPr="00DB5D0D">
        <w:rPr>
          <w:rFonts w:ascii="Times New Roman" w:hAnsi="Times New Roman"/>
          <w:color w:val="000000" w:themeColor="text1"/>
          <w:sz w:val="16"/>
          <w:szCs w:val="16"/>
        </w:rPr>
        <w:softHyphen/>
        <w:t>лями немецкого мотора ВВ 605А, созданного позднее. Следует подчеркнуть: во всех остальных отноше</w:t>
      </w:r>
      <w:r w:rsidRPr="00DB5D0D">
        <w:rPr>
          <w:rFonts w:ascii="Times New Roman" w:hAnsi="Times New Roman"/>
          <w:color w:val="000000" w:themeColor="text1"/>
          <w:sz w:val="16"/>
          <w:szCs w:val="16"/>
        </w:rPr>
        <w:softHyphen/>
        <w:t>ниях АМ—37 был практически идентичен АМ—35А, если не считать того, что некоторые наиболее нагру</w:t>
      </w:r>
      <w:r w:rsidRPr="00DB5D0D">
        <w:rPr>
          <w:rFonts w:ascii="Times New Roman" w:hAnsi="Times New Roman"/>
          <w:color w:val="000000" w:themeColor="text1"/>
          <w:sz w:val="16"/>
          <w:szCs w:val="16"/>
        </w:rPr>
        <w:softHyphen/>
        <w:t>женные элементы были усилены (9984).</w:t>
      </w:r>
    </w:p>
    <w:p w14:paraId="16890C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11F1CE4" w14:textId="77777777" w:rsidR="006D3DE9" w:rsidRPr="00DB5D0D" w:rsidRDefault="006D3DE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30 августа 1940 г. Микулин направляет в ко</w:t>
      </w:r>
      <w:r w:rsidRPr="00DB5D0D">
        <w:rPr>
          <w:rFonts w:ascii="Times New Roman" w:hAnsi="Times New Roman"/>
          <w:color w:val="0070C0"/>
          <w:sz w:val="16"/>
          <w:szCs w:val="16"/>
        </w:rPr>
        <w:softHyphen/>
        <w:t>миссию по присуждению премий им. Чкалова при нарко</w:t>
      </w:r>
      <w:r w:rsidRPr="00DB5D0D">
        <w:rPr>
          <w:rFonts w:ascii="Times New Roman" w:hAnsi="Times New Roman"/>
          <w:color w:val="0070C0"/>
          <w:sz w:val="16"/>
          <w:szCs w:val="16"/>
        </w:rPr>
        <w:softHyphen/>
        <w:t>мате авиапромышленности послание следующего со</w:t>
      </w:r>
      <w:r w:rsidRPr="00DB5D0D">
        <w:rPr>
          <w:rFonts w:ascii="Times New Roman" w:hAnsi="Times New Roman"/>
          <w:color w:val="0070C0"/>
          <w:sz w:val="16"/>
          <w:szCs w:val="16"/>
        </w:rPr>
        <w:softHyphen/>
        <w:t>держания:</w:t>
      </w:r>
    </w:p>
    <w:p w14:paraId="41A42C52" w14:textId="77777777" w:rsidR="006D3DE9" w:rsidRPr="00DB5D0D" w:rsidRDefault="006D3DE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опытном отделе завода №24, преодолев большие трудности, в рекордные сроки, в виде инициативной ра</w:t>
      </w:r>
      <w:r w:rsidRPr="00DB5D0D">
        <w:rPr>
          <w:rFonts w:ascii="Times New Roman" w:hAnsi="Times New Roman"/>
          <w:color w:val="0070C0"/>
          <w:sz w:val="16"/>
          <w:szCs w:val="16"/>
        </w:rPr>
        <w:softHyphen/>
        <w:t>боты сверх утвержденного Правительственного плана, за</w:t>
      </w:r>
      <w:r w:rsidRPr="00DB5D0D">
        <w:rPr>
          <w:rFonts w:ascii="Times New Roman" w:hAnsi="Times New Roman"/>
          <w:color w:val="0070C0"/>
          <w:sz w:val="16"/>
          <w:szCs w:val="16"/>
        </w:rPr>
        <w:softHyphen/>
        <w:t>кончены: проектировка, постройка, испытание, доводка и официальное 50-ти часовое испытание авиационного мотора АМ-37 конструкции Доктора Технических Наук, Профессора А.А.Микулина.</w:t>
      </w:r>
    </w:p>
    <w:p w14:paraId="5245294B" w14:textId="77777777" w:rsidR="006D3DE9" w:rsidRPr="00DB5D0D" w:rsidRDefault="006D3DE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Этот мотор сейчас установлен на последних наших опытных пикирующих бомбардировщиках.</w:t>
      </w:r>
    </w:p>
    <w:p w14:paraId="424E047A" w14:textId="77777777" w:rsidR="006D3DE9" w:rsidRPr="00DB5D0D" w:rsidRDefault="006D3DE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 своим техническим и тактико-техническим данным, этот мотор стоит на первом месте мирового моторост</w:t>
      </w:r>
      <w:r w:rsidRPr="00DB5D0D">
        <w:rPr>
          <w:rFonts w:ascii="Times New Roman" w:hAnsi="Times New Roman"/>
          <w:color w:val="0070C0"/>
          <w:sz w:val="16"/>
          <w:szCs w:val="16"/>
        </w:rPr>
        <w:softHyphen/>
        <w:t>роения, одновременно работая на топливе 93-94 октан, вместо 100-октанового топлива, обязательно требую</w:t>
      </w:r>
      <w:r w:rsidRPr="00DB5D0D">
        <w:rPr>
          <w:rFonts w:ascii="Times New Roman" w:hAnsi="Times New Roman"/>
          <w:color w:val="0070C0"/>
          <w:sz w:val="16"/>
          <w:szCs w:val="16"/>
        </w:rPr>
        <w:softHyphen/>
        <w:t>щегося для соревнующихся с ним лучших заграничных моторов. /АЛЛИСОН, МЕРЛИН и др./.</w:t>
      </w:r>
    </w:p>
    <w:p w14:paraId="460E9B2E" w14:textId="77777777" w:rsidR="006D3DE9" w:rsidRPr="00DB5D0D" w:rsidRDefault="006D3DE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Это достигнуто благодаря изобретенному мною, и вне</w:t>
      </w:r>
      <w:r w:rsidRPr="00DB5D0D">
        <w:rPr>
          <w:rFonts w:ascii="Times New Roman" w:hAnsi="Times New Roman"/>
          <w:color w:val="0070C0"/>
          <w:sz w:val="16"/>
          <w:szCs w:val="16"/>
        </w:rPr>
        <w:softHyphen/>
        <w:t>дренному впервые в мировом моторостроении воздуш</w:t>
      </w:r>
      <w:r w:rsidRPr="00DB5D0D">
        <w:rPr>
          <w:rFonts w:ascii="Times New Roman" w:hAnsi="Times New Roman"/>
          <w:color w:val="0070C0"/>
          <w:sz w:val="16"/>
          <w:szCs w:val="16"/>
        </w:rPr>
        <w:softHyphen/>
        <w:t>ного радиатора особой конструкции, установленного на трубопроводе всасывающей системы.</w:t>
      </w:r>
    </w:p>
    <w:p w14:paraId="39640BE7" w14:textId="77777777" w:rsidR="006D3DE9" w:rsidRPr="00DB5D0D" w:rsidRDefault="006D3DE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АМ-37 является мотором целиком отечественной кон</w:t>
      </w:r>
      <w:r w:rsidRPr="00DB5D0D">
        <w:rPr>
          <w:rFonts w:ascii="Times New Roman" w:hAnsi="Times New Roman"/>
          <w:color w:val="0070C0"/>
          <w:sz w:val="16"/>
          <w:szCs w:val="16"/>
        </w:rPr>
        <w:softHyphen/>
        <w:t>струкции и сделан весь из Советских материалов.</w:t>
      </w:r>
    </w:p>
    <w:p w14:paraId="4E296EBD" w14:textId="77777777" w:rsidR="006D3DE9" w:rsidRPr="00DB5D0D" w:rsidRDefault="006D3DE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Ввиду всего изложенного, прошу зачислить мотор АМ-37 в число объектов на соискание премии им. тов. Чка</w:t>
      </w:r>
      <w:r w:rsidRPr="00DB5D0D">
        <w:rPr>
          <w:rFonts w:ascii="Times New Roman" w:hAnsi="Times New Roman"/>
          <w:color w:val="0070C0"/>
          <w:sz w:val="16"/>
          <w:szCs w:val="16"/>
        </w:rPr>
        <w:softHyphen/>
        <w:t>лова.</w:t>
      </w:r>
    </w:p>
    <w:p w14:paraId="268A2FFD" w14:textId="77777777" w:rsidR="006D3DE9" w:rsidRPr="00DB5D0D" w:rsidRDefault="006D3DE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инженер /Микулин/» (20362).</w:t>
      </w:r>
    </w:p>
    <w:p w14:paraId="1E5FC2E5" w14:textId="77777777" w:rsidR="006D3DE9" w:rsidRPr="00DB5D0D" w:rsidRDefault="006D3DE9" w:rsidP="00DB5D0D">
      <w:pPr>
        <w:shd w:val="clear" w:color="auto" w:fill="FFFFFF"/>
        <w:spacing w:after="0" w:line="240" w:lineRule="auto"/>
        <w:jc w:val="both"/>
        <w:rPr>
          <w:rFonts w:ascii="Times New Roman" w:hAnsi="Times New Roman"/>
          <w:color w:val="0070C0"/>
          <w:sz w:val="16"/>
          <w:szCs w:val="16"/>
        </w:rPr>
      </w:pPr>
    </w:p>
    <w:p w14:paraId="22A59D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 А.А.Микулин направляет в комиссию по присуждению премий им. Чкалова при наркомате авиапромышленности послание следующего содержания:</w:t>
      </w:r>
    </w:p>
    <w:p w14:paraId="4687C3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опытном отделе завода № 24, преодолев большие трудности, в рекордные сроки, в виде инициативной работы сверх утвержденного Правительственного плана, закончены: проектировка, постройка, испытание, доводка и официальное 50-ти часовое испытание авиационного мотора АМ-37 конструкции доктора технических наук, профессора А.А.Микулина.</w:t>
      </w:r>
    </w:p>
    <w:p w14:paraId="61680C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мотор сейчас установлен на последних наших опытных пикирующих бомбардировщиках.</w:t>
      </w:r>
    </w:p>
    <w:p w14:paraId="6FA5A9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своим техническим и тактико-техническим данным, этот мотор стоит на первом месте мирового моторостроения, одновременно работая на топливе 93-94 октан, вместо 100 октанового топлива, обязательно требующегося для соревнующихся с ним лучших заграничных моторов. /АЛЛИС0Н, МЕРЛИН и др./.</w:t>
      </w:r>
    </w:p>
    <w:p w14:paraId="41673B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Это достигнуто благодаря изобретенному мною и внедренному впервые в мировом моторостроении воздушному радиатору особой конструкции, установленному на трубопроводе всасывающей системы.</w:t>
      </w:r>
    </w:p>
    <w:p w14:paraId="30665C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АМ-37 является мотором целиком отечественной конструкции и сделан весь из Советских материалов.</w:t>
      </w:r>
    </w:p>
    <w:p w14:paraId="61FC9C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всего изложенного, прошу зачислить мотор АМ-37 в число объектов на соискание премии им. тов. Чкалова.</w:t>
      </w:r>
    </w:p>
    <w:p w14:paraId="331DF7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инженер /Микулин/</w:t>
      </w:r>
    </w:p>
    <w:p w14:paraId="1FBC73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Приведенный документ отчасти объясняет причины, по которым Н.Н.Поликарпов проектировал свой высотный истребитель И-200 под АМ-37. Более того, его следующий проект истребителя, получивший обозначение ИТП (истребитель тяжелый пушечный) также создавался под АМ-37 (11956).</w:t>
      </w:r>
    </w:p>
    <w:p w14:paraId="1B993F0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114F14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года в НИИ ВВС был выдан наряд-приказ № 0190</w:t>
      </w:r>
    </w:p>
    <w:p w14:paraId="7B78E79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100-часовые гос. испытания мотора М-40Ф на станке (6890, 92).</w:t>
      </w:r>
    </w:p>
    <w:p w14:paraId="6858770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4DBEB6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года вышел приказ НИИ ВВС № 0168</w:t>
      </w:r>
    </w:p>
    <w:p w14:paraId="23E2219D"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внедрении в систему летной работы НИИ слепых полетов и слепой посадки (6890, 66).</w:t>
      </w:r>
    </w:p>
    <w:p w14:paraId="3530460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7FC15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вышел приказ НКАП N 459сс в исполнение постановления Правительства N 365сс от 14 августа 1940 о разработке и введении на скоростных самолетах приспособлений по механизации крыла (1277).</w:t>
      </w:r>
    </w:p>
    <w:p w14:paraId="3CC5188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04A707E" w14:textId="77777777" w:rsidR="003C7E8B" w:rsidRPr="00DB5D0D" w:rsidRDefault="003C7E8B" w:rsidP="00DB5D0D">
      <w:pPr>
        <w:pStyle w:val="24"/>
        <w:widowControl/>
        <w:rPr>
          <w:color w:val="000000" w:themeColor="text1"/>
        </w:rPr>
      </w:pPr>
      <w:r w:rsidRPr="00DB5D0D">
        <w:rPr>
          <w:color w:val="000000" w:themeColor="text1"/>
        </w:rPr>
        <w:t>30 августа 1940 года на НИП АВ закончились заводские испытания ампул из двух полусфер трех вариантов и модернизированных ампул серийного образца конструкции завода № 67, которые проходили с 24 июля 1940</w:t>
      </w:r>
    </w:p>
    <w:p w14:paraId="72CA8B3B" w14:textId="77777777" w:rsidR="003C7E8B" w:rsidRPr="00DB5D0D" w:rsidRDefault="003C7E8B" w:rsidP="00DB5D0D">
      <w:pPr>
        <w:pStyle w:val="24"/>
        <w:widowControl/>
        <w:rPr>
          <w:color w:val="000000" w:themeColor="text1"/>
        </w:rPr>
      </w:pPr>
      <w:r w:rsidRPr="00DB5D0D">
        <w:rPr>
          <w:color w:val="000000" w:themeColor="text1"/>
        </w:rPr>
        <w:t>Отв. исполнитель:</w:t>
      </w:r>
    </w:p>
    <w:p w14:paraId="5F4C4134" w14:textId="77777777" w:rsidR="003C7E8B" w:rsidRPr="00DB5D0D" w:rsidRDefault="003C7E8B" w:rsidP="00DB5D0D">
      <w:pPr>
        <w:pStyle w:val="24"/>
        <w:widowControl/>
        <w:rPr>
          <w:color w:val="000000" w:themeColor="text1"/>
        </w:rPr>
      </w:pPr>
      <w:r w:rsidRPr="00DB5D0D">
        <w:rPr>
          <w:color w:val="000000" w:themeColor="text1"/>
        </w:rPr>
        <w:t>В/инженер 3 ранга Лукашев</w:t>
      </w:r>
    </w:p>
    <w:p w14:paraId="0B6E61F4" w14:textId="77777777" w:rsidR="003C7E8B" w:rsidRPr="00DB5D0D" w:rsidRDefault="003C7E8B" w:rsidP="00DB5D0D">
      <w:pPr>
        <w:pStyle w:val="24"/>
        <w:widowControl/>
        <w:rPr>
          <w:color w:val="000000" w:themeColor="text1"/>
        </w:rPr>
      </w:pPr>
      <w:r w:rsidRPr="00DB5D0D">
        <w:rPr>
          <w:color w:val="000000" w:themeColor="text1"/>
        </w:rPr>
        <w:t>Цель испытания</w:t>
      </w:r>
    </w:p>
    <w:p w14:paraId="24B07CFF" w14:textId="77777777" w:rsidR="003C7E8B" w:rsidRPr="00DB5D0D" w:rsidRDefault="003C7E8B" w:rsidP="00DB5D0D">
      <w:pPr>
        <w:pStyle w:val="24"/>
        <w:widowControl/>
        <w:rPr>
          <w:color w:val="000000" w:themeColor="text1"/>
        </w:rPr>
      </w:pPr>
      <w:r w:rsidRPr="00DB5D0D">
        <w:rPr>
          <w:color w:val="000000" w:themeColor="text1"/>
        </w:rPr>
        <w:t>Целью заводских испытаний являлось определение следующих элементов:</w:t>
      </w:r>
    </w:p>
    <w:p w14:paraId="21B814AF" w14:textId="77777777" w:rsidR="003C7E8B" w:rsidRPr="00DB5D0D" w:rsidRDefault="003C7E8B" w:rsidP="00DB5D0D">
      <w:pPr>
        <w:pStyle w:val="24"/>
        <w:widowControl/>
        <w:tabs>
          <w:tab w:val="left" w:pos="360"/>
        </w:tabs>
        <w:rPr>
          <w:color w:val="000000" w:themeColor="text1"/>
        </w:rPr>
      </w:pPr>
      <w:r w:rsidRPr="00DB5D0D">
        <w:rPr>
          <w:color w:val="000000" w:themeColor="text1"/>
        </w:rPr>
        <w:t>Прочности и надежности конструкции ампул.</w:t>
      </w:r>
    </w:p>
    <w:p w14:paraId="2DFE5372" w14:textId="77777777" w:rsidR="003C7E8B" w:rsidRPr="00DB5D0D" w:rsidRDefault="003C7E8B" w:rsidP="00DB5D0D">
      <w:pPr>
        <w:pStyle w:val="24"/>
        <w:widowControl/>
        <w:tabs>
          <w:tab w:val="left" w:pos="360"/>
        </w:tabs>
        <w:rPr>
          <w:color w:val="000000" w:themeColor="text1"/>
        </w:rPr>
      </w:pPr>
      <w:r w:rsidRPr="00DB5D0D">
        <w:rPr>
          <w:color w:val="000000" w:themeColor="text1"/>
        </w:rPr>
        <w:t>Характера разрушения оболочки ампулы при встрече с преградой.</w:t>
      </w:r>
    </w:p>
    <w:p w14:paraId="10D3F60A" w14:textId="77777777" w:rsidR="003C7E8B" w:rsidRPr="00DB5D0D" w:rsidRDefault="003C7E8B" w:rsidP="00DB5D0D">
      <w:pPr>
        <w:pStyle w:val="24"/>
        <w:widowControl/>
        <w:tabs>
          <w:tab w:val="left" w:pos="360"/>
        </w:tabs>
        <w:rPr>
          <w:color w:val="000000" w:themeColor="text1"/>
        </w:rPr>
      </w:pPr>
      <w:r w:rsidRPr="00DB5D0D">
        <w:rPr>
          <w:color w:val="000000" w:themeColor="text1"/>
        </w:rPr>
        <w:t>Характера разбрызгивания жидкости на площади (у ампул с полным и частичным разрушением оболочки).</w:t>
      </w:r>
    </w:p>
    <w:p w14:paraId="2E9284E6" w14:textId="77777777" w:rsidR="003C7E8B" w:rsidRPr="00DB5D0D" w:rsidRDefault="003C7E8B" w:rsidP="00DB5D0D">
      <w:pPr>
        <w:pStyle w:val="24"/>
        <w:widowControl/>
        <w:tabs>
          <w:tab w:val="left" w:pos="360"/>
        </w:tabs>
        <w:rPr>
          <w:color w:val="000000" w:themeColor="text1"/>
        </w:rPr>
      </w:pPr>
    </w:p>
    <w:p w14:paraId="460125EC" w14:textId="77777777" w:rsidR="003C7E8B" w:rsidRPr="00DB5D0D" w:rsidRDefault="003C7E8B" w:rsidP="00DB5D0D">
      <w:pPr>
        <w:pStyle w:val="24"/>
        <w:widowControl/>
        <w:tabs>
          <w:tab w:val="left" w:pos="360"/>
        </w:tabs>
        <w:rPr>
          <w:color w:val="000000" w:themeColor="text1"/>
        </w:rPr>
      </w:pPr>
      <w:r w:rsidRPr="00DB5D0D">
        <w:rPr>
          <w:color w:val="000000" w:themeColor="text1"/>
        </w:rPr>
        <w:t>Возможности замены белой жести, идущей на изготовление оболочки ампул, на черную жесть.</w:t>
      </w:r>
    </w:p>
    <w:p w14:paraId="3518BBAE" w14:textId="77777777" w:rsidR="003C7E8B" w:rsidRPr="00DB5D0D" w:rsidRDefault="003C7E8B" w:rsidP="00DB5D0D">
      <w:pPr>
        <w:pStyle w:val="24"/>
        <w:widowControl/>
        <w:rPr>
          <w:color w:val="000000" w:themeColor="text1"/>
        </w:rPr>
      </w:pPr>
      <w:r w:rsidRPr="00DB5D0D">
        <w:rPr>
          <w:color w:val="000000" w:themeColor="text1"/>
        </w:rPr>
        <w:t>Заключение</w:t>
      </w:r>
    </w:p>
    <w:p w14:paraId="10E4E019" w14:textId="77777777" w:rsidR="003C7E8B" w:rsidRPr="00DB5D0D" w:rsidRDefault="003C7E8B" w:rsidP="00DB5D0D">
      <w:pPr>
        <w:pStyle w:val="24"/>
        <w:widowControl/>
        <w:tabs>
          <w:tab w:val="left" w:pos="360"/>
        </w:tabs>
        <w:rPr>
          <w:color w:val="000000" w:themeColor="text1"/>
        </w:rPr>
      </w:pPr>
      <w:r w:rsidRPr="00DB5D0D">
        <w:rPr>
          <w:color w:val="000000" w:themeColor="text1"/>
        </w:rPr>
        <w:t>Предъявленные на заводские испытания ампулы конструкции завода № 67 заводские испытания выдержали в следующих вариантах:</w:t>
      </w:r>
    </w:p>
    <w:p w14:paraId="3775E969" w14:textId="77777777" w:rsidR="003C7E8B" w:rsidRPr="00DB5D0D" w:rsidRDefault="003C7E8B" w:rsidP="00DB5D0D">
      <w:pPr>
        <w:pStyle w:val="24"/>
        <w:widowControl/>
        <w:rPr>
          <w:color w:val="000000" w:themeColor="text1"/>
        </w:rPr>
      </w:pPr>
      <w:r w:rsidRPr="00DB5D0D">
        <w:rPr>
          <w:color w:val="000000" w:themeColor="text1"/>
        </w:rPr>
        <w:t>а) ампулы из двух полусфер с пайкой "половником" и малооловянистым сплавом;</w:t>
      </w:r>
    </w:p>
    <w:p w14:paraId="4188422D" w14:textId="77777777" w:rsidR="003C7E8B" w:rsidRPr="00DB5D0D" w:rsidRDefault="003C7E8B" w:rsidP="00DB5D0D">
      <w:pPr>
        <w:pStyle w:val="24"/>
        <w:widowControl/>
        <w:rPr>
          <w:color w:val="000000" w:themeColor="text1"/>
        </w:rPr>
      </w:pPr>
      <w:r w:rsidRPr="00DB5D0D">
        <w:rPr>
          <w:color w:val="000000" w:themeColor="text1"/>
        </w:rPr>
        <w:t>б) ампулы с секторами с пайкой "половником" и "третником".</w:t>
      </w:r>
    </w:p>
    <w:p w14:paraId="235F9ACE" w14:textId="77777777" w:rsidR="003C7E8B" w:rsidRPr="00DB5D0D" w:rsidRDefault="003C7E8B" w:rsidP="00DB5D0D">
      <w:pPr>
        <w:pStyle w:val="24"/>
        <w:widowControl/>
        <w:tabs>
          <w:tab w:val="left" w:pos="360"/>
        </w:tabs>
        <w:rPr>
          <w:color w:val="000000" w:themeColor="text1"/>
        </w:rPr>
      </w:pPr>
      <w:r w:rsidRPr="00DB5D0D">
        <w:rPr>
          <w:color w:val="000000" w:themeColor="text1"/>
        </w:rPr>
        <w:t>Ампулы из двух полусфер с пайкой "третником" и ампулы с заливочным отверстием по шву пайки заводские испытания не выдержали (7650).</w:t>
      </w:r>
    </w:p>
    <w:p w14:paraId="25C29E3D" w14:textId="77777777" w:rsidR="003C7E8B" w:rsidRPr="00DB5D0D" w:rsidRDefault="003C7E8B" w:rsidP="00DB5D0D">
      <w:pPr>
        <w:pStyle w:val="24"/>
        <w:widowControl/>
        <w:tabs>
          <w:tab w:val="left" w:pos="360"/>
        </w:tabs>
        <w:rPr>
          <w:color w:val="000000" w:themeColor="text1"/>
        </w:rPr>
      </w:pPr>
    </w:p>
    <w:p w14:paraId="363D55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ви3р Куренков подготовил:</w:t>
      </w:r>
    </w:p>
    <w:p w14:paraId="6A189DD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по предложению "Торпеда", управляемая собакой (Гроховского).</w:t>
      </w:r>
    </w:p>
    <w:p w14:paraId="4D6CB75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 предложения: Автором предлагается в торпеду поместитъ натренированную собаку, которая будет вести торпеду в цель, при помощи специального ошейника, соединенного с рулями торпеды. Торпеда авиационная снабжена мотором 1000 л.с. Предполагаемая скорость 200 км/час.</w:t>
      </w:r>
    </w:p>
    <w:p w14:paraId="5EC199A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Оценка предложения: Автором представлена по существу только идея без расчета, описаний и чертежей. Какую либо техническую оценку означенного предложения, ввиду этого, дать нельзя. С точки зрения тактической можно сказать, что управляться торпеда соба</w:t>
      </w:r>
      <w:r w:rsidRPr="00DB5D0D">
        <w:rPr>
          <w:rFonts w:ascii="Times New Roman" w:hAnsi="Times New Roman"/>
          <w:color w:val="000000" w:themeColor="text1"/>
          <w:sz w:val="16"/>
          <w:szCs w:val="16"/>
        </w:rPr>
        <w:softHyphen/>
        <w:t>кой не будет и вот почему:</w:t>
      </w:r>
    </w:p>
    <w:p w14:paraId="4431A0B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При сбрасывании с самолета торпеда зароется в воду и в это момент собака потеряет цель, когда же торпеда будет итти на по</w:t>
      </w:r>
      <w:r w:rsidRPr="00DB5D0D">
        <w:rPr>
          <w:rFonts w:ascii="Times New Roman" w:hAnsi="Times New Roman"/>
          <w:color w:val="000000" w:themeColor="text1"/>
          <w:sz w:val="16"/>
          <w:szCs w:val="16"/>
        </w:rPr>
        <w:softHyphen/>
        <w:t>верхности воды собака, безусловно, не увидит цели, т.к. расстояяние, с которого должен быть произведен залп торпедой будет (для безопасности для самолета) порядка 2000-3000 метров. К тому же при большой скорости торпеды кабина будет захлестываться встречной волной, и, следовательно, чтобы собака видела цель, нужно кабину высотой (над уровнем воды) минимум 3-4 м-ра.</w:t>
      </w:r>
    </w:p>
    <w:p w14:paraId="3EEEA98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Сила удара тоопеды о воду при сбрасывании ее с самолета высоты 100-200 мт. будет настолько велика, что собака этого удара не выдержит и погибнет ранее, чем увидит цель.</w:t>
      </w:r>
    </w:p>
    <w:p w14:paraId="64E96F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 Предложение тактически и технически необосновано. Практической ценности не имеет и реализовано быть не может (10516,64).</w:t>
      </w:r>
    </w:p>
    <w:p w14:paraId="6A6210C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F2ACC3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ви3р Куренков подготовил:</w:t>
      </w:r>
    </w:p>
    <w:p w14:paraId="37E9CBC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 по предложению гр. Гроховского "Торпеда,управляемая по телефон</w:t>
      </w:r>
      <w:r w:rsidRPr="00DB5D0D">
        <w:rPr>
          <w:rFonts w:ascii="Times New Roman" w:hAnsi="Times New Roman"/>
          <w:color w:val="000000" w:themeColor="text1"/>
          <w:sz w:val="16"/>
          <w:szCs w:val="16"/>
        </w:rPr>
        <w:softHyphen/>
        <w:t>ному кабелю".</w:t>
      </w:r>
    </w:p>
    <w:p w14:paraId="1F3B4AB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Содержание предложения: В торпеде автор предполагает поместить катушку, с намотанным на нее телефонным проводом. Выпущенная торпедад оставляет за собою означенный провод, через который производи управление торпедой при ее движении. В торпеде, видимо, автор предлагает поставить.электромотор. Для определения направления (лучшая видимость) торпеды специальная ракетница будет выбра</w:t>
      </w:r>
      <w:r w:rsidRPr="00DB5D0D">
        <w:rPr>
          <w:rFonts w:ascii="Times New Roman" w:hAnsi="Times New Roman"/>
          <w:color w:val="000000" w:themeColor="text1"/>
          <w:sz w:val="16"/>
          <w:szCs w:val="16"/>
        </w:rPr>
        <w:softHyphen/>
        <w:t>ть световые сигналы.</w:t>
      </w:r>
    </w:p>
    <w:p w14:paraId="40AD210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Сценка предложения: Предложение в том виде,в каком оно представлено (без расчетов, описаний, чертежей) представляет только идею.</w:t>
      </w:r>
    </w:p>
    <w:p w14:paraId="4CD8A9E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Видимо автор не знаком или недостаточно сведущ с торпедным оружием, его тактико-техническими свойствами, назначением и предъяемыми требованиями к данному виду оружию - как подводному самодвижущемуся и самонаправляемом снарядом, а также с его использованием при любых условиях - днем, ночью в тумане.</w:t>
      </w:r>
    </w:p>
    <w:p w14:paraId="2EFB3B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Тактическая оценка предложения - торпеда не может быть при такой конструкции использоваться с подводных кораблей, следовательно, скытые атаки от неприятеля не возможны (например, при дымзавесах, в бухтах и базах противника). По предложению автора торпеда будет идти только по поверхности воды, а значит попадать будет в бронированную часть корабля противника, не причиняя особенного ему вреда.</w:t>
      </w:r>
    </w:p>
    <w:p w14:paraId="77252C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Автор не учитывает,что стреляющий корабль после выстрела должен производить послезалповое маневрирование, что потребует много телефонного кабеля. Вес кабеля будет чрезвычайно велик. При наличии кабеля за кормой торпеды, залповая стрельба торпедами будет невозможна. Скорость торпеды автором не указана. Известно,что всякие значительные выступы на оболочке торпеды резко снижают ее скорость. Непонятно, как автор предполагает поставить снаружи торпеды ракетницу. Непонятно как автор предполагает осуществить невидимость светового сигнала неприятелем?. К тому же выпущенная ракета не даст летного неправления торпеды.</w:t>
      </w:r>
    </w:p>
    <w:p w14:paraId="682FF0F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части технической оценки сказать ничего нельзя ввиду отсутствия расчетов, чертежей и описаний.</w:t>
      </w:r>
    </w:p>
    <w:p w14:paraId="123D1BC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ВЫВОДЫ : В сумме все это взятое дает право сказать, что предложение практической ценности не имеет и реализовано быть не может (10516,66).</w:t>
      </w:r>
    </w:p>
    <w:p w14:paraId="4D5ED95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AC590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года была подготовлена справка:</w:t>
      </w:r>
    </w:p>
    <w:p w14:paraId="183B4A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 188 НКВ введен в число действующих предприятий с 1 января 1940 года (9188).</w:t>
      </w:r>
    </w:p>
    <w:p w14:paraId="35AACD7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49A2DCB"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9DBA87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ADB212B"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w:t>
      </w:r>
    </w:p>
    <w:p w14:paraId="23944816"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РГВА Фонд 31811 Опись 2 Дело 1022 лист 311 </w:t>
      </w:r>
    </w:p>
    <w:p w14:paraId="0A9E4930"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756A7E11"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30 Августа 1940 г. </w:t>
      </w:r>
    </w:p>
    <w:p w14:paraId="117344E5"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СО4594 </w:t>
      </w:r>
    </w:p>
    <w:p w14:paraId="0E26BC44"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БТУ КА – т. Коробкову</w:t>
      </w:r>
    </w:p>
    <w:p w14:paraId="7F114395"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Москва, Красная площадь, 2-й дом НКО</w:t>
      </w:r>
    </w:p>
    <w:p w14:paraId="545AA4E3"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Райинжу ГАБТУ КА на заводе № 183 – т. Козыреву</w:t>
      </w:r>
    </w:p>
    <w:p w14:paraId="347478C0"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отдела "9" – т. Волкову</w:t>
      </w:r>
    </w:p>
    <w:p w14:paraId="734920E2"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Начальнику Бюро 190 – т. Шевцеву</w:t>
      </w:r>
    </w:p>
    <w:p w14:paraId="577F74B6"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По вопросу: Препровождения перечня конструктивных доработок по Т-34. </w:t>
      </w:r>
    </w:p>
    <w:p w14:paraId="4FAD58A3"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этом препровождаем Вам перечень конструктивных изменений и доработок на танке Т-34, подлежащих устранению в 1940 г. и протокол совещания у Директора завода № 183 от 29.VIII-40 г. по вопросу конструктивных доделок по танку Т-34, утвержденные Нач. ГАБТУ КА генерал-лейтенантом тов. Федоренко. </w:t>
      </w:r>
    </w:p>
    <w:p w14:paraId="482E3BFB"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 xml:space="preserve">Приложение: Упомянутое в 1 экз. на 7 листах. </w:t>
      </w:r>
    </w:p>
    <w:p w14:paraId="30BFF310"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Гл. инженер подпись 30/VIII-40 (Махонин)</w:t>
      </w:r>
    </w:p>
    <w:p w14:paraId="4EDC6F59"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 Гл. конструктор подпись 29.VIII.40 (Морозов)</w:t>
      </w:r>
    </w:p>
    <w:p w14:paraId="79A88E8F"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 в 5 экз. </w:t>
      </w:r>
    </w:p>
    <w:p w14:paraId="5271ECFF"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 Морозов </w:t>
      </w:r>
    </w:p>
    <w:p w14:paraId="779DE5F3"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РГВА Фонд 31811 Опись 2 Дело 1022 листы 312 – 315 </w:t>
      </w:r>
    </w:p>
    <w:p w14:paraId="7F8B8A05"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273ACDA4"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 № СО4594 </w:t>
      </w:r>
    </w:p>
    <w:p w14:paraId="15EFCEBE"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ПЕРЕЧЕНЬ</w:t>
      </w:r>
    </w:p>
    <w:p w14:paraId="2BDB1169"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конструктивных изменений и доработок на танке, подлежащих устранению в 1940 году. </w:t>
      </w:r>
    </w:p>
    <w:p w14:paraId="0E37C070"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ЗАВОДА п/п (МАКСАРЕВ)</w:t>
      </w:r>
    </w:p>
    <w:p w14:paraId="0BDE539F"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ГАБТУ КА ГЕНЕРАЛ-ЛЕЙТЕНАНТ п/п (ФЕДОРЕНКО)</w:t>
      </w:r>
    </w:p>
    <w:p w14:paraId="6B3AA073"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Отпеч. 5 экз. </w:t>
      </w:r>
    </w:p>
    <w:p w14:paraId="432A43A1"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 Байков </w:t>
      </w:r>
    </w:p>
    <w:p w14:paraId="47714809"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 4104 </w:t>
      </w:r>
    </w:p>
    <w:p w14:paraId="5FE56539"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29/VIII-40 г. </w:t>
      </w:r>
    </w:p>
    <w:p w14:paraId="7E692162"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Дописано от руки: </w:t>
      </w:r>
    </w:p>
    <w:p w14:paraId="2232991A"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Добавление: </w:t>
      </w:r>
    </w:p>
    <w:p w14:paraId="0A282E86"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1) Райинж. ГАБТУ КА на заводе № 183 машины с не устраненными дефектами с № 201 – не принимать. </w:t>
      </w:r>
    </w:p>
    <w:p w14:paraId="428D875F"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При этом допустить проводить отдельные изменения в более поздние сроки, но не позднее 201 машины, в каждом отдельном случае по согласованию с Райинж. ГАБТУ КА. </w:t>
      </w:r>
    </w:p>
    <w:p w14:paraId="4A8F264C"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 ГАБТУ КА Генерал-лейтенант п/п (Федоренко)</w:t>
      </w:r>
    </w:p>
    <w:p w14:paraId="70BD02D4"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РГВА Фонд 31811 Опись 2 Дело 1022 листы 316 – 318 </w:t>
      </w:r>
    </w:p>
    <w:p w14:paraId="1E227B53"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Секретно. </w:t>
      </w:r>
    </w:p>
    <w:p w14:paraId="2BE1DFD1"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ПРОТОКОЛ</w:t>
      </w:r>
    </w:p>
    <w:p w14:paraId="13542567"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Совещания у Директора завода № 183 от 29.VIII 1940 г. по вопросу конструктивных доделок по машине Т-34. </w:t>
      </w:r>
    </w:p>
    <w:p w14:paraId="1E2B970B"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ЗАВОДА № 183 п/п (МАКСАРЕВ)</w:t>
      </w:r>
    </w:p>
    <w:p w14:paraId="094E446F"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НАЧАЛЬНИК ГАБТУ КА КРАСНОЙ АРМИИ ГЕНЕРАЛ-ЛЕЙТЕНАНТ п/п (ФЕДОРЕНКО)</w:t>
      </w:r>
    </w:p>
    <w:p w14:paraId="1AA41C16"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Отп. 5 экз. </w:t>
      </w:r>
    </w:p>
    <w:p w14:paraId="24D62F97"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29/VIII-40 г. </w:t>
      </w:r>
    </w:p>
    <w:p w14:paraId="47EC8527"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Исп. Морозов </w:t>
      </w:r>
    </w:p>
    <w:p w14:paraId="57BD0614"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4104 (18217).</w:t>
      </w:r>
    </w:p>
    <w:p w14:paraId="099F101A" w14:textId="77777777" w:rsidR="006C2BA1" w:rsidRPr="00DB5D0D" w:rsidRDefault="006C2BA1" w:rsidP="00DB5D0D">
      <w:pPr>
        <w:spacing w:after="0" w:line="240" w:lineRule="auto"/>
        <w:jc w:val="both"/>
        <w:rPr>
          <w:rFonts w:ascii="Times New Roman" w:hAnsi="Times New Roman"/>
          <w:color w:val="000000" w:themeColor="text1"/>
          <w:sz w:val="16"/>
          <w:szCs w:val="16"/>
        </w:rPr>
      </w:pPr>
    </w:p>
    <w:p w14:paraId="6858F789" w14:textId="77777777" w:rsidR="005C6740" w:rsidRPr="00DB5D0D" w:rsidRDefault="005C674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30 августа 1940 года закончили собирать первый образец танка Т-126, с толщиной брони 45 мм и в период с 4 сентября по 1 октября танк прошел 1150 километров. Ни о каких 15 тоннах и речи не было. При расчетной массе 17 тонн реальная составила 17,7 тонн, при этом толщина брони осталась той же (21824).</w:t>
      </w:r>
    </w:p>
    <w:p w14:paraId="381D2347" w14:textId="77777777" w:rsidR="005C6740" w:rsidRPr="00DB5D0D" w:rsidRDefault="005C6740" w:rsidP="00DB5D0D">
      <w:pPr>
        <w:spacing w:after="0" w:line="240" w:lineRule="auto"/>
        <w:jc w:val="both"/>
        <w:rPr>
          <w:rFonts w:ascii="Times New Roman" w:hAnsi="Times New Roman"/>
          <w:color w:val="0070C0"/>
          <w:sz w:val="16"/>
          <w:szCs w:val="16"/>
        </w:rPr>
      </w:pPr>
    </w:p>
    <w:p w14:paraId="363958F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 Из НКВД в народный комиссариат среднего машиностроения (НКСМ) перевели СМЗ по акту [4.168], а за</w:t>
      </w:r>
      <w:r w:rsidRPr="00DB5D0D">
        <w:rPr>
          <w:rFonts w:ascii="Times New Roman" w:hAnsi="Times New Roman"/>
          <w:color w:val="000000" w:themeColor="text1"/>
          <w:sz w:val="16"/>
          <w:szCs w:val="16"/>
        </w:rPr>
        <w:softHyphen/>
        <w:t>тем руководство Главмотовелопрома приказом потребовало свер</w:t>
      </w:r>
      <w:r w:rsidRPr="00DB5D0D">
        <w:rPr>
          <w:rFonts w:ascii="Times New Roman" w:hAnsi="Times New Roman"/>
          <w:color w:val="000000" w:themeColor="text1"/>
          <w:sz w:val="16"/>
          <w:szCs w:val="16"/>
        </w:rPr>
        <w:softHyphen/>
        <w:t>нуть на СМЗ производство малолитражных мотоциклов МЛ-3 и приступить к освоению выпуска средних мотоциклов Л-8 с готовы</w:t>
      </w:r>
      <w:r w:rsidRPr="00DB5D0D">
        <w:rPr>
          <w:rFonts w:ascii="Times New Roman" w:hAnsi="Times New Roman"/>
          <w:color w:val="000000" w:themeColor="text1"/>
          <w:sz w:val="16"/>
          <w:szCs w:val="16"/>
        </w:rPr>
        <w:softHyphen/>
        <w:t>ми моторами, получаемыми как комплектующие изделия [4.169]. Техническую документацию и «незавершенку» следовало передать на СМЗ с Ленинградского мотоциклетного завода (ЛМЗ), бывшего ПРОМЕТ, и Ленинградского завода «Красный Октябрь» (11429).</w:t>
      </w:r>
    </w:p>
    <w:p w14:paraId="5116B2F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EDC0F75"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 xml:space="preserve">30 августа </w:t>
      </w:r>
      <w:r w:rsidRPr="00DB5D0D">
        <w:rPr>
          <w:rFonts w:ascii="Times New Roman" w:hAnsi="Times New Roman"/>
          <w:color w:val="000000" w:themeColor="text1"/>
          <w:sz w:val="16"/>
          <w:szCs w:val="16"/>
        </w:rPr>
        <w:t>в 1940 году в СССР испытывается первый паровоз без топки (14754).</w:t>
      </w:r>
    </w:p>
    <w:p w14:paraId="0B49ED06"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56258671" w14:textId="77777777" w:rsidR="006D3DE9" w:rsidRPr="00DB5D0D" w:rsidRDefault="006D3DE9"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30 августа 1940 на Днепропетровском заводе «Днепромаш» был выпущен первый советский бестопочный паровоз БП-9П-01. Он, как и все последующие бестопочные паровозы был построен на базе распространенного маневрового паровоза 9П, и использовал его паровые машины и экипажную часть. Сцепная масса БП-9П-01 равнялась 56 т. Котел-аккумулятор, объемом 21 м3, изготовленный на таганрогском заводе «Красный котельщик», был рассчитан на давление 18 кгс/ cм2. Бестопочные паровозы применялись для огнеопасных производств (21190).</w:t>
      </w:r>
    </w:p>
    <w:p w14:paraId="78A37CF5" w14:textId="77777777" w:rsidR="006D3DE9" w:rsidRPr="00DB5D0D" w:rsidRDefault="006D3DE9" w:rsidP="00DB5D0D">
      <w:pPr>
        <w:spacing w:after="0" w:line="240" w:lineRule="auto"/>
        <w:jc w:val="both"/>
        <w:rPr>
          <w:rFonts w:ascii="Times New Roman" w:hAnsi="Times New Roman"/>
          <w:color w:val="0070C0"/>
          <w:sz w:val="16"/>
          <w:szCs w:val="16"/>
        </w:rPr>
      </w:pPr>
    </w:p>
    <w:p w14:paraId="2E16B9D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 "Лазо", разобранный на 26 секций, и перевезенный по железной дороге в Хабаровск, где был заложен вторично на судомеханическом заводе им. С. М. Кирова (завод 368). был спущен на воду Два других монитора тоже успели спустить на воду до начала вой</w:t>
      </w:r>
      <w:r w:rsidRPr="00DB5D0D">
        <w:rPr>
          <w:rFonts w:ascii="Times New Roman" w:hAnsi="Times New Roman"/>
          <w:color w:val="000000" w:themeColor="text1"/>
          <w:sz w:val="16"/>
          <w:szCs w:val="16"/>
        </w:rPr>
        <w:softHyphen/>
        <w:t>ны, но достройка всех трех кораблей была задержана неготовно</w:t>
      </w:r>
      <w:r w:rsidRPr="00DB5D0D">
        <w:rPr>
          <w:rFonts w:ascii="Times New Roman" w:hAnsi="Times New Roman"/>
          <w:color w:val="000000" w:themeColor="text1"/>
          <w:sz w:val="16"/>
          <w:szCs w:val="16"/>
        </w:rPr>
        <w:softHyphen/>
        <w:t>стью башен (первые изготовлены только в 1941 г.), а потом и об</w:t>
      </w:r>
      <w:r w:rsidRPr="00DB5D0D">
        <w:rPr>
          <w:rFonts w:ascii="Times New Roman" w:hAnsi="Times New Roman"/>
          <w:color w:val="000000" w:themeColor="text1"/>
          <w:sz w:val="16"/>
          <w:szCs w:val="16"/>
        </w:rPr>
        <w:softHyphen/>
        <w:t>стоятельствами военного времени (3898).</w:t>
      </w:r>
    </w:p>
    <w:p w14:paraId="38E49C4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54C9049"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55480C5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480E8547"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30 августа 1940 года</w:t>
      </w:r>
      <w:r w:rsidRPr="00DB5D0D">
        <w:rPr>
          <w:rFonts w:ascii="Times New Roman" w:hAnsi="Times New Roman"/>
          <w:color w:val="000000" w:themeColor="text1"/>
          <w:sz w:val="16"/>
          <w:szCs w:val="16"/>
        </w:rPr>
        <w:t xml:space="preserve"> Заказаны 277 экземпляров B-17E, т.е. еще в ходе поставки модели F. Проект В-17Е имел внутреннее обозначение Boeing Model 299O. В поисках лучшего решения конструкторы разработали для B-17E полностью новую от отделения радиооператора хвостовую часть фюзеляжа, где размещалась управляемая вручную турельная установка с парой 12,7 мм пулеметов. Стрелок мог попасть в хвостовую турельную установку через дверь в хвостовой части, которая также служила запасным выходом в случае неисправности самолета. Параллельно эта дверь выполняла роль бронеспинки. Из установки можно было попасть и вовнутрь самолета. Но попасть внутрь стрелок мог только когда стволы пулеметов стояли вертикально вниз, т.е. в положении невозможном на земле. Поэтому первый путь можно было использовать в случае если стрелок желал остаться в турели во время взлета, но учитывая расстояние до земли всего лишь 380 мм, он должен был иметь крепкие нервы. Поэтому в ходе эксплуатации В-17Е большинство стрелков предпочитало входить в турельную установку, в то время как самолет был в воздухе. Находясь в установке стрелок сидел на велосипедном сидении, упираясь коленями в мягкие упоры. Для установки хвостовой турельной установки фюзеляж B-17E пришлось увеличить на шесть футов по сравнению с моделью D. Чтобы достичь лучшей стабильности в ходе сброса бомб, был увеличен размах горизонтального хвостового оперения, вертикальное хвостовое оперение было также увеличено и был установлен длинный форкиль. Варианты B-17E, B-17F и B-17G легко отличить от ранних моделей именно по наличию форкиля. После появления форкиля американские пилоты стали называть ранние В-17 Flying Fortress с "акульим хвостом", а новые - с "большой задницей" ("big-assed" Fortresses).</w:t>
      </w:r>
    </w:p>
    <w:p w14:paraId="701BD18D"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7643097A"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 в связи с 70-летием главы концерна Густава Крупна Гитлер лично посетил его резиденцию и наградил его золотым значком фашистской партии</w:t>
      </w:r>
      <w:bookmarkStart w:id="59" w:name="footnote6"/>
      <w:bookmarkEnd w:id="59"/>
      <w:r w:rsidR="00100A24" w:rsidRPr="00DB5D0D">
        <w:rPr>
          <w:rFonts w:ascii="Times New Roman" w:hAnsi="Times New Roman"/>
          <w:color w:val="000000" w:themeColor="text1"/>
          <w:sz w:val="16"/>
          <w:szCs w:val="16"/>
        </w:rPr>
        <w:fldChar w:fldCharType="begin"/>
      </w:r>
      <w:r w:rsidRPr="00DB5D0D">
        <w:rPr>
          <w:rFonts w:ascii="Times New Roman" w:hAnsi="Times New Roman"/>
          <w:color w:val="000000" w:themeColor="text1"/>
          <w:sz w:val="16"/>
          <w:szCs w:val="16"/>
        </w:rPr>
        <w:instrText xml:space="preserve"> HYPERLINK "http://www.katyn-books.ru/library/fashistskaya-germaniya-vo-vtoroy-mirovoy-voyne17.html" \l "bookmark6" </w:instrText>
      </w:r>
      <w:r w:rsidR="00100A24" w:rsidRPr="00DB5D0D">
        <w:rPr>
          <w:rFonts w:ascii="Times New Roman" w:hAnsi="Times New Roman"/>
          <w:color w:val="000000" w:themeColor="text1"/>
          <w:sz w:val="16"/>
          <w:szCs w:val="16"/>
        </w:rPr>
        <w:fldChar w:fldCharType="separate"/>
      </w:r>
      <w:r w:rsidRPr="00DB5D0D">
        <w:rPr>
          <w:rStyle w:val="a5"/>
          <w:rFonts w:ascii="Times New Roman" w:hAnsi="Times New Roman"/>
          <w:color w:val="000000" w:themeColor="text1"/>
          <w:sz w:val="16"/>
          <w:szCs w:val="16"/>
        </w:rPr>
        <w:t>6</w:t>
      </w:r>
      <w:r w:rsidR="00100A24" w:rsidRPr="00DB5D0D">
        <w:rPr>
          <w:rFonts w:ascii="Times New Roman" w:hAnsi="Times New Roman"/>
          <w:color w:val="000000" w:themeColor="text1"/>
          <w:sz w:val="16"/>
          <w:szCs w:val="16"/>
        </w:rPr>
        <w:fldChar w:fldCharType="end"/>
      </w:r>
      <w:r w:rsidRPr="00DB5D0D">
        <w:rPr>
          <w:rFonts w:ascii="Times New Roman" w:hAnsi="Times New Roman"/>
          <w:color w:val="000000" w:themeColor="text1"/>
          <w:sz w:val="16"/>
          <w:szCs w:val="16"/>
        </w:rPr>
        <w:t xml:space="preserve"> (18559).</w:t>
      </w:r>
    </w:p>
    <w:p w14:paraId="04CF85E2" w14:textId="77777777" w:rsidR="006C2BA1" w:rsidRPr="00DB5D0D" w:rsidRDefault="006C2BA1" w:rsidP="00DB5D0D">
      <w:pPr>
        <w:spacing w:after="0" w:line="240" w:lineRule="auto"/>
        <w:jc w:val="both"/>
        <w:rPr>
          <w:rFonts w:ascii="Times New Roman" w:hAnsi="Times New Roman"/>
          <w:color w:val="000000" w:themeColor="text1"/>
          <w:sz w:val="16"/>
          <w:szCs w:val="16"/>
        </w:rPr>
      </w:pPr>
    </w:p>
    <w:p w14:paraId="284FEC9F"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под давлением Германии Румыния передала половину Трансильвании в управление Венгрии (4962).</w:t>
      </w:r>
    </w:p>
    <w:p w14:paraId="1D35481C"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201C24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в Вене на совещании представителей четырех стран Румыния согласилась вернуть Венгрии Северную Трансильванию с преобладающим венгерским населением. Взамен Германия гарантировала безопасность Румынии. Этот акт был произведен без консультаций с СССР и был расценен в Москве как недружественный. С "венского арбитража" 1940 г. и последовавшего затем прихода к власти режима генерала Иона Антонеску Германия фактически приобрела определяющее влияние на внешнюю и внутреннюю политику Румынии (3871).</w:t>
      </w:r>
    </w:p>
    <w:p w14:paraId="72AE43A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26690F9"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 xml:space="preserve">30 августа </w:t>
      </w:r>
      <w:r w:rsidRPr="00DB5D0D">
        <w:rPr>
          <w:rFonts w:ascii="Times New Roman" w:hAnsi="Times New Roman"/>
          <w:color w:val="000000" w:themeColor="text1"/>
          <w:sz w:val="16"/>
          <w:szCs w:val="16"/>
        </w:rPr>
        <w:t>в 1940 году в Вене на совещании представителей четырех стран Румыния согласилась вернуть Венгрии Северную Трансильванию с преобладающим венгерским населением. Взамен Германия гарантировала безопасность Румынии. Этот акт был произведен без консультаций с СССР и был расценен в Москве как недружественный. Румынский министр иностранных дел прямо на переговорах упал в обморок. В Румынии начались волнения, власть перешла к 18-летнему королю Михаю и немцы получили право защиты нефтяных районов. После "венского арбитража" Германия фактически приобрела определяющее влияние на внешнюю и внутреннюю политику Румынии. Неприкосновенность остальной части Румынии, включая Южную Буковину, на которую советское руководство по-прежнему претендовало, гарантировалась Германией и Италией. По этому поводу Молотов 31 августа заявил Шуленбургу, что германское правительство нарушило статью 3 советско-германского пакта о ненападении, где говорилось о консультациях по вопросам, интересующим обе стороны. В ответ на это германское правительство заявило, что правительство СССР не консультировалось с ним при осуществлении аннексии Прибалтийских государств, Бесарабии и Северной Буковины (14754).</w:t>
      </w:r>
    </w:p>
    <w:p w14:paraId="53D46D8F"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177BDD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Румыния уступила Венгрии северную часть Трансильвании (3186).</w:t>
      </w:r>
    </w:p>
    <w:p w14:paraId="05E45D2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4D5BC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 августа 1940 г. Германия совместно с Италией без консультаций с Советским Союзом провела второй венский арбитраж, на котором Северная Трансильвания, входившая в Румынию, была передана Венгрии, а неприкосновенность остальной части Румынии, включая Южную Буковину, на которую советское руководство по-прежнему претендовало, гарантировалась Германией и Италией. По этому поводу Молотов 31 августа заявил Шуленбургу, что германское правительство нарушило статью 3 советско-германского пакта о ненападении, где говорилось о консультациях по вопросам, интересующим обе стороны. В ответ на это германское правительство заявило, что правительство СССР не консультировалось с ним при осуществлении аннексии Прибалтийских государств, Бессарабии и Северной Буковины (9492).</w:t>
      </w:r>
    </w:p>
    <w:p w14:paraId="36B1B60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A08F45"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 xml:space="preserve">30 августа </w:t>
      </w:r>
      <w:r w:rsidRPr="00DB5D0D">
        <w:rPr>
          <w:rFonts w:ascii="Times New Roman" w:hAnsi="Times New Roman"/>
          <w:color w:val="000000" w:themeColor="text1"/>
          <w:sz w:val="16"/>
          <w:szCs w:val="16"/>
        </w:rPr>
        <w:t>в 1940 году Франция признала за Японией преимущественное право на экономическое и политическое влияние на Дальнем Востоке и согласилась, что Япония получит преимущества перед третьими державами на территории Индокитая (14754).</w:t>
      </w:r>
    </w:p>
    <w:p w14:paraId="5CA51F69"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45B2D4B6"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897349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BC962F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года вышел приказ НИИ ВВС № 0169</w:t>
      </w:r>
    </w:p>
    <w:p w14:paraId="57E67CF7"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 назначении экспертной комиссии по приемке на испытание десантной кабины к самолету ДБ-3 (6890, 68).</w:t>
      </w:r>
    </w:p>
    <w:p w14:paraId="4054E466"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13CB00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вышел приказ по НИИ ВВС N 0169 пл. Чкаловская:</w:t>
      </w:r>
    </w:p>
    <w:p w14:paraId="6DE430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Назначаю экспертную комиссию по приему на испытания в НИИ ВВС подвесной десантной кабины к самолету ДБ-3, изготовленной заводом 289.</w:t>
      </w:r>
    </w:p>
    <w:p w14:paraId="66143D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Комиссии приступить к работе с 31 августа 1940 и и закончить работу 2 сентября 1940 с представлением мне акта о приемке 3 сентября 1939." (2076,111).</w:t>
      </w:r>
    </w:p>
    <w:p w14:paraId="3186B08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72E407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ДБ-3Ф N 409 39 завода, предназначающийся для завода 19 для проверки мотора М-81 в летных условиях, в первых же полетах на 39 заводе вышел из строя из-за прогара коллектора на левом моторе и высокой температуры масла на правом моторе (2796,9).</w:t>
      </w:r>
    </w:p>
    <w:p w14:paraId="646D16B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80E18E4"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года в НИИ ВВС был выдан наряд-приказ № 0173</w:t>
      </w:r>
    </w:p>
    <w:p w14:paraId="5FDDC090"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Гос. испытания серийного самолета ББ-22 с 2-мя моторами М-103 производства завода № 1 (6890, 82).</w:t>
      </w:r>
    </w:p>
    <w:p w14:paraId="59313711" w14:textId="77777777" w:rsidR="003C7E8B" w:rsidRPr="00DB5D0D" w:rsidRDefault="003C7E8B" w:rsidP="00DB5D0D">
      <w:pPr>
        <w:tabs>
          <w:tab w:val="left" w:pos="11199"/>
        </w:tabs>
        <w:spacing w:after="0" w:line="240" w:lineRule="auto"/>
        <w:jc w:val="both"/>
        <w:rPr>
          <w:rFonts w:ascii="Times New Roman" w:hAnsi="Times New Roman"/>
          <w:color w:val="000000" w:themeColor="text1"/>
          <w:sz w:val="16"/>
          <w:szCs w:val="16"/>
        </w:rPr>
      </w:pPr>
    </w:p>
    <w:p w14:paraId="501A70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года были запрещены полеты на самолетах И-16 и И-153 с мотором М-63 (7398, 76-77).</w:t>
      </w:r>
    </w:p>
    <w:p w14:paraId="2158CD7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6CFE2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года был подписан Отзыв Героя Советского Союза М.М.Громова по проекту самолета констр. Гудкова</w:t>
      </w:r>
    </w:p>
    <w:p w14:paraId="5030CA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Проект скоростного истребителя Гудкова является принципиально новым по соей схеме, что представляет определенный интерес.</w:t>
      </w:r>
    </w:p>
    <w:p w14:paraId="7AD36C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p w14:paraId="1C088C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Считаю интересным и необходимым построить такой самолет в двух вариантах с трехколесными и двухколесными шасси (3374,108-139).</w:t>
      </w:r>
    </w:p>
    <w:p w14:paraId="0F00617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CA784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в ходе гос. испытаний И-200 АМ-35А, которые проходили в НИИ ВВС с 19 августа по 12 сентября 1940, на машине N 6302 было выполнено 4 полета (1:05): на километраж - потек маслобак, 2 пробных полета после ремонта и полет на зубцы до 5000 м, а на машине 6303 доводили бомбардировочное вооружение и ВАПы. Выполнили 2 полета (0:20) на выливание из ВАПов и их растряску (2925).</w:t>
      </w:r>
    </w:p>
    <w:p w14:paraId="61A2124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1A49D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31 августа по 9 сентября 1940 проходили с гос. испытания мотора М-40, которые были прекращены из-за задира одного поршня на 90 часу режимной работы и 124 часу общей работы за время гос. испытаний. Потом после переборки закончили 30 октября 1940 (1296,203).</w:t>
      </w:r>
    </w:p>
    <w:p w14:paraId="433D80B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980D44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вышел приказ НКАП N 461cc "О ходе строительства НИИ и опытных баз НКАП и мероприятиях по развитию опытной работы (1002,3).</w:t>
      </w:r>
    </w:p>
    <w:p w14:paraId="4E5CD78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C421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на сферическом аэростате СССР-ВР80 объемом 395 м Б.А.Невернов установил рекорд высоты в 7098 м (271,192) и установил сразу 4 мировых рекорда (438,788).</w:t>
      </w:r>
    </w:p>
    <w:p w14:paraId="313EF5C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7675C22"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 xml:space="preserve">31 августа </w:t>
      </w:r>
      <w:r w:rsidRPr="00DB5D0D">
        <w:rPr>
          <w:rFonts w:ascii="Times New Roman" w:hAnsi="Times New Roman"/>
          <w:color w:val="000000" w:themeColor="text1"/>
          <w:sz w:val="16"/>
          <w:szCs w:val="16"/>
        </w:rPr>
        <w:t>в 1940 году международный рекорд высоты полета - 7097,5 м на сферическом аэростате «СССР-ВР80», Б.Невернов (14755).</w:t>
      </w:r>
    </w:p>
    <w:p w14:paraId="33466ED3"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301672C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83D821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AB3E7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в приказе Елян дал следующую оценку освоению М-30: «Система осваивается уже 5 месяцев очень медленными темпами. Работа ведется по временным технологиям с массовыми нарушениями технологической дисциплины». [71 — Там же, Л. 219.] (11741).</w:t>
      </w:r>
    </w:p>
    <w:p w14:paraId="02C7AF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1A9299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31 августа 1940 г. начались заводские испытания опытного образца танка Т-126 (СП) по программе 300 км. С 31 августа по 9 сентября включительно танк СП-126 про</w:t>
      </w:r>
      <w:r w:rsidRPr="00DB5D0D">
        <w:rPr>
          <w:rFonts w:ascii="Times New Roman" w:hAnsi="Times New Roman"/>
          <w:color w:val="000000" w:themeColor="text1"/>
          <w:sz w:val="16"/>
          <w:szCs w:val="16"/>
        </w:rPr>
        <w:softHyphen/>
        <w:t>шел 312 км, из них по шоссейной дороге — 195 км, по пере</w:t>
      </w:r>
      <w:r w:rsidRPr="00DB5D0D">
        <w:rPr>
          <w:rFonts w:ascii="Times New Roman" w:hAnsi="Times New Roman"/>
          <w:color w:val="000000" w:themeColor="text1"/>
          <w:sz w:val="16"/>
          <w:szCs w:val="16"/>
        </w:rPr>
        <w:softHyphen/>
        <w:t>сеченной местности - 95 км, преодоление препятствий (рвы, подъемы, болота) составило приблизительно 22 км. Ос-тальное время движения занял пробег по территории завода и на опробование механизмов. За время заводской обкатки обнаружено множество мелких дефектов. 10/1Х-40 г. заводские испытания приостановлены в целях переборки коробки скоростей и устранения дефектов. 19 сентября ис</w:t>
      </w:r>
      <w:r w:rsidRPr="00DB5D0D">
        <w:rPr>
          <w:rFonts w:ascii="Times New Roman" w:hAnsi="Times New Roman"/>
          <w:color w:val="000000" w:themeColor="text1"/>
          <w:sz w:val="16"/>
          <w:szCs w:val="16"/>
        </w:rPr>
        <w:softHyphen/>
        <w:t>пытания были продолжены. К их завершению 28/1Х пер</w:t>
      </w:r>
      <w:r w:rsidRPr="00DB5D0D">
        <w:rPr>
          <w:rFonts w:ascii="Times New Roman" w:hAnsi="Times New Roman"/>
          <w:color w:val="000000" w:themeColor="text1"/>
          <w:sz w:val="16"/>
          <w:szCs w:val="16"/>
        </w:rPr>
        <w:softHyphen/>
        <w:t>вый образец танка Т-126 (СП) прошел 973 км (10782).</w:t>
      </w:r>
    </w:p>
    <w:p w14:paraId="11ADAD5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EDF125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акту от 31 августа 1940 г. Москов</w:t>
      </w:r>
      <w:r w:rsidRPr="00DB5D0D">
        <w:rPr>
          <w:rFonts w:ascii="Times New Roman" w:hAnsi="Times New Roman"/>
          <w:color w:val="000000" w:themeColor="text1"/>
          <w:sz w:val="16"/>
          <w:szCs w:val="16"/>
        </w:rPr>
        <w:softHyphen/>
        <w:t>ский машиностроительный завод «Искра» вывели из состава Управления местной промышленности и перевели в Главмотовелопром НКОМ, директором назначили И.А. Аренсона и со</w:t>
      </w:r>
      <w:r w:rsidRPr="00DB5D0D">
        <w:rPr>
          <w:rFonts w:ascii="Times New Roman" w:hAnsi="Times New Roman"/>
          <w:color w:val="000000" w:themeColor="text1"/>
          <w:sz w:val="16"/>
          <w:szCs w:val="16"/>
        </w:rPr>
        <w:softHyphen/>
        <w:t>средоточили на этом предприятии экспериментальные работы по новому мотоциклу [4.178]. Предприятия Главмотовелопрома оказывали техническую помощь заводу «Искра» [4.179] (11429).</w:t>
      </w:r>
    </w:p>
    <w:p w14:paraId="5ED018A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работе по новому мотоциклу привлекли многие предпри</w:t>
      </w:r>
      <w:r w:rsidRPr="00DB5D0D">
        <w:rPr>
          <w:rFonts w:ascii="Times New Roman" w:hAnsi="Times New Roman"/>
          <w:color w:val="000000" w:themeColor="text1"/>
          <w:sz w:val="16"/>
          <w:szCs w:val="16"/>
        </w:rPr>
        <w:softHyphen/>
        <w:t>ятия, в том числе и других Главков. Основную ответственность ме</w:t>
      </w:r>
      <w:r w:rsidRPr="00DB5D0D">
        <w:rPr>
          <w:rFonts w:ascii="Times New Roman" w:hAnsi="Times New Roman"/>
          <w:color w:val="000000" w:themeColor="text1"/>
          <w:sz w:val="16"/>
          <w:szCs w:val="16"/>
        </w:rPr>
        <w:softHyphen/>
        <w:t>жду ними распределили следующим образом. Головным по серий</w:t>
      </w:r>
      <w:r w:rsidRPr="00DB5D0D">
        <w:rPr>
          <w:rFonts w:ascii="Times New Roman" w:hAnsi="Times New Roman"/>
          <w:color w:val="000000" w:themeColor="text1"/>
          <w:sz w:val="16"/>
          <w:szCs w:val="16"/>
        </w:rPr>
        <w:softHyphen/>
        <w:t>ному изготовлению определили Московский велосипедный завод, преобразованный в Московский мотоциклетный завод (ММЗ), на котором требовалось собирать и обкатывать мотоциклы, готовить их к передаче в ГБТУ. На ЗИСе предстояло создать цех и КБ по отработке и серийному изготовлению двигателей. На автозаводе им. Коммунистического Интернационала Молодёжи (КИМ) тре</w:t>
      </w:r>
      <w:r w:rsidRPr="00DB5D0D">
        <w:rPr>
          <w:rFonts w:ascii="Times New Roman" w:hAnsi="Times New Roman"/>
          <w:color w:val="000000" w:themeColor="text1"/>
          <w:sz w:val="16"/>
          <w:szCs w:val="16"/>
        </w:rPr>
        <w:softHyphen/>
        <w:t>бовалось организовать серийное производство КП, чтобы переда</w:t>
      </w:r>
      <w:r w:rsidRPr="00DB5D0D">
        <w:rPr>
          <w:rFonts w:ascii="Times New Roman" w:hAnsi="Times New Roman"/>
          <w:color w:val="000000" w:themeColor="text1"/>
          <w:sz w:val="16"/>
          <w:szCs w:val="16"/>
        </w:rPr>
        <w:softHyphen/>
        <w:t>вать их на ЗИС, и в дальнейшем сопрягать с двигателями, а собран</w:t>
      </w:r>
      <w:r w:rsidRPr="00DB5D0D">
        <w:rPr>
          <w:rFonts w:ascii="Times New Roman" w:hAnsi="Times New Roman"/>
          <w:color w:val="000000" w:themeColor="text1"/>
          <w:sz w:val="16"/>
          <w:szCs w:val="16"/>
        </w:rPr>
        <w:softHyphen/>
        <w:t>ные силовые агрегаты поставлять на ММЗ. Изготовление коляски поручили Карачаровскому заводу Наркомхоза [4.177]. Всю свето</w:t>
      </w:r>
      <w:r w:rsidRPr="00DB5D0D">
        <w:rPr>
          <w:rFonts w:ascii="Times New Roman" w:hAnsi="Times New Roman"/>
          <w:color w:val="000000" w:themeColor="text1"/>
          <w:sz w:val="16"/>
          <w:szCs w:val="16"/>
        </w:rPr>
        <w:softHyphen/>
        <w:t>технику поручили делать Заводу осветительной аппаратуры (г. Киржач Владимирской обл.), электрооборудование - Москов</w:t>
      </w:r>
      <w:r w:rsidRPr="00DB5D0D">
        <w:rPr>
          <w:rFonts w:ascii="Times New Roman" w:hAnsi="Times New Roman"/>
          <w:color w:val="000000" w:themeColor="text1"/>
          <w:sz w:val="16"/>
          <w:szCs w:val="16"/>
        </w:rPr>
        <w:softHyphen/>
        <w:t>скому заводу АТ-1, трубы для рамы - ХВЗ, карбюраторы - Мос</w:t>
      </w:r>
      <w:r w:rsidRPr="00DB5D0D">
        <w:rPr>
          <w:rFonts w:ascii="Times New Roman" w:hAnsi="Times New Roman"/>
          <w:color w:val="000000" w:themeColor="text1"/>
          <w:sz w:val="16"/>
          <w:szCs w:val="16"/>
        </w:rPr>
        <w:softHyphen/>
        <w:t>ковскому арматурному заводу АТ-2, входившему в структуру ЗИС. С доставленными в Москву мотоциклами ВМW R-71 поступи</w:t>
      </w:r>
      <w:r w:rsidRPr="00DB5D0D">
        <w:rPr>
          <w:rFonts w:ascii="Times New Roman" w:hAnsi="Times New Roman"/>
          <w:color w:val="000000" w:themeColor="text1"/>
          <w:sz w:val="16"/>
          <w:szCs w:val="16"/>
        </w:rPr>
        <w:softHyphen/>
        <w:t>ли следующим образом: три машины передали на ЗИС, две - на ММЗ, где одну - разобрали до деталей, а другую - сохранили, как эталонную. Конструкторы ЦКБМ столкнулись с трудностями. В чертежах мотоцикла ВМ\У К-71 допуски оказалась по второму классу точности, например, на шестерни КП и крылья колёс. Конструкторского смысла в этом не было: изготовление содер</w:t>
      </w:r>
      <w:r w:rsidRPr="00DB5D0D">
        <w:rPr>
          <w:rFonts w:ascii="Times New Roman" w:hAnsi="Times New Roman"/>
          <w:color w:val="000000" w:themeColor="text1"/>
          <w:sz w:val="16"/>
          <w:szCs w:val="16"/>
        </w:rPr>
        <w:softHyphen/>
        <w:t>жало бы излишние трудозатраты. Как показывал опыт отечест</w:t>
      </w:r>
      <w:r w:rsidRPr="00DB5D0D">
        <w:rPr>
          <w:rFonts w:ascii="Times New Roman" w:hAnsi="Times New Roman"/>
          <w:color w:val="000000" w:themeColor="text1"/>
          <w:sz w:val="16"/>
          <w:szCs w:val="16"/>
        </w:rPr>
        <w:softHyphen/>
        <w:t>венных предприятий, в иностранных машинах не все размеры деталей на бумаге и в действительности совпадали. Чтобы пре</w:t>
      </w:r>
      <w:r w:rsidRPr="00DB5D0D">
        <w:rPr>
          <w:rFonts w:ascii="Times New Roman" w:hAnsi="Times New Roman"/>
          <w:color w:val="000000" w:themeColor="text1"/>
          <w:sz w:val="16"/>
          <w:szCs w:val="16"/>
        </w:rPr>
        <w:softHyphen/>
        <w:t>одолеть эту трудность, тщательно измерили каждую деталь мо</w:t>
      </w:r>
      <w:r w:rsidRPr="00DB5D0D">
        <w:rPr>
          <w:rFonts w:ascii="Times New Roman" w:hAnsi="Times New Roman"/>
          <w:color w:val="000000" w:themeColor="text1"/>
          <w:sz w:val="16"/>
          <w:szCs w:val="16"/>
        </w:rPr>
        <w:softHyphen/>
        <w:t>тоцикла, сопоставили её размеры с указанными на чертежах и, где требовалось, уточнили. А также, ослабили требования к точ</w:t>
      </w:r>
      <w:r w:rsidRPr="00DB5D0D">
        <w:rPr>
          <w:rFonts w:ascii="Times New Roman" w:hAnsi="Times New Roman"/>
          <w:color w:val="000000" w:themeColor="text1"/>
          <w:sz w:val="16"/>
          <w:szCs w:val="16"/>
        </w:rPr>
        <w:softHyphen/>
        <w:t>ности изготовления там, где это представлялось возможным. Не забывали и приказ руководства НКСМ «в точности повторить конструкцию германского мотоцикла» [4.175, 4.176].</w:t>
      </w:r>
    </w:p>
    <w:p w14:paraId="704EB8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Анализ материалов провели в лабораториях НАТИ, куда на</w:t>
      </w:r>
      <w:r w:rsidRPr="00DB5D0D">
        <w:rPr>
          <w:rFonts w:ascii="Times New Roman" w:hAnsi="Times New Roman"/>
          <w:color w:val="000000" w:themeColor="text1"/>
          <w:sz w:val="16"/>
          <w:szCs w:val="16"/>
        </w:rPr>
        <w:softHyphen/>
        <w:t>правили 92 детали от мотоцикла ВМW R-71, В.И. Прядильникова, И.И. Прокофьева, М.С. Савельева и др. под руководством ин</w:t>
      </w:r>
      <w:r w:rsidRPr="00DB5D0D">
        <w:rPr>
          <w:rFonts w:ascii="Times New Roman" w:hAnsi="Times New Roman"/>
          <w:color w:val="000000" w:themeColor="text1"/>
          <w:sz w:val="16"/>
          <w:szCs w:val="16"/>
        </w:rPr>
        <w:softHyphen/>
        <w:t>женера И.С. Козловского выявили химический состав деталей и подобрали материалы в соответствие с ГОСТами СССР [4.180] (11429).</w:t>
      </w:r>
    </w:p>
    <w:p w14:paraId="170BCD8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D94E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г. в Главмотовелопром из Управления местной промышленности перевели Московский машиностроительный завод «Иск</w:t>
      </w:r>
      <w:r w:rsidRPr="00DB5D0D">
        <w:rPr>
          <w:rFonts w:ascii="Times New Roman" w:hAnsi="Times New Roman"/>
          <w:color w:val="000000" w:themeColor="text1"/>
          <w:sz w:val="16"/>
          <w:szCs w:val="16"/>
        </w:rPr>
        <w:softHyphen/>
        <w:t>ра» [4.178], определив его ведущим предприятием по изготовле</w:t>
      </w:r>
      <w:r w:rsidRPr="00DB5D0D">
        <w:rPr>
          <w:rFonts w:ascii="Times New Roman" w:hAnsi="Times New Roman"/>
          <w:color w:val="000000" w:themeColor="text1"/>
          <w:sz w:val="16"/>
          <w:szCs w:val="16"/>
        </w:rPr>
        <w:softHyphen/>
        <w:t>нию опытных образцов мотоцикла М-72 [4.181]. Таким образом, в 1940 году план третьей пятилетки изменили. А на основании приказа № 202 НКОМ от 15 августа 1940 г. из наркомата тек</w:t>
      </w:r>
      <w:r w:rsidRPr="00DB5D0D">
        <w:rPr>
          <w:rFonts w:ascii="Times New Roman" w:hAnsi="Times New Roman"/>
          <w:color w:val="000000" w:themeColor="text1"/>
          <w:sz w:val="16"/>
          <w:szCs w:val="16"/>
        </w:rPr>
        <w:softHyphen/>
        <w:t>стильной промышленности 31 августа 1940 г. в Главмотовелопром перевели Венюковский завод текстильного оборудования. Посёлок Венюково находился в 80 км от Москвы и 4 км от же</w:t>
      </w:r>
      <w:r w:rsidRPr="00DB5D0D">
        <w:rPr>
          <w:rFonts w:ascii="Times New Roman" w:hAnsi="Times New Roman"/>
          <w:color w:val="000000" w:themeColor="text1"/>
          <w:sz w:val="16"/>
          <w:szCs w:val="16"/>
        </w:rPr>
        <w:softHyphen/>
        <w:t>лезнодорожной станции Лопасня. Предполагалось создать Ве</w:t>
      </w:r>
      <w:r w:rsidRPr="00DB5D0D">
        <w:rPr>
          <w:rFonts w:ascii="Times New Roman" w:hAnsi="Times New Roman"/>
          <w:color w:val="000000" w:themeColor="text1"/>
          <w:sz w:val="16"/>
          <w:szCs w:val="16"/>
        </w:rPr>
        <w:softHyphen/>
        <w:t>нюковский мотозавод (ВенМЗ). На территории (13,2 га) распола</w:t>
      </w:r>
      <w:r w:rsidRPr="00DB5D0D">
        <w:rPr>
          <w:rFonts w:ascii="Times New Roman" w:hAnsi="Times New Roman"/>
          <w:color w:val="000000" w:themeColor="text1"/>
          <w:sz w:val="16"/>
          <w:szCs w:val="16"/>
        </w:rPr>
        <w:softHyphen/>
        <w:t>гались здания (24 тыс. 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 производственной площадью 11 тыс. м</w:t>
      </w:r>
      <w:r w:rsidRPr="00DB5D0D">
        <w:rPr>
          <w:rFonts w:ascii="Times New Roman" w:hAnsi="Times New Roman"/>
          <w:color w:val="000000" w:themeColor="text1"/>
          <w:sz w:val="16"/>
          <w:szCs w:val="16"/>
          <w:vertAlign w:val="superscript"/>
        </w:rPr>
        <w:t xml:space="preserve">2 </w:t>
      </w:r>
      <w:r w:rsidRPr="00DB5D0D">
        <w:rPr>
          <w:rFonts w:ascii="Times New Roman" w:hAnsi="Times New Roman"/>
          <w:color w:val="000000" w:themeColor="text1"/>
          <w:sz w:val="16"/>
          <w:szCs w:val="16"/>
        </w:rPr>
        <w:t xml:space="preserve">с 308 станками, а также теплоэлектростанция мощностью 600 кВт. На заводе числилось 2507 человек: 1845 рабочих и 238 ИТР [4.204]. Директору Яковлеву поручили на ВенМЗ освоить изготовление инструмента </w:t>
      </w:r>
      <w:r w:rsidRPr="00DB5D0D">
        <w:rPr>
          <w:rFonts w:ascii="Times New Roman" w:hAnsi="Times New Roman"/>
          <w:color w:val="000000" w:themeColor="text1"/>
          <w:sz w:val="16"/>
          <w:szCs w:val="16"/>
        </w:rPr>
        <w:lastRenderedPageBreak/>
        <w:t>и оснастки для СМЗ, а директору за</w:t>
      </w:r>
      <w:r w:rsidRPr="00DB5D0D">
        <w:rPr>
          <w:rFonts w:ascii="Times New Roman" w:hAnsi="Times New Roman"/>
          <w:color w:val="000000" w:themeColor="text1"/>
          <w:sz w:val="16"/>
          <w:szCs w:val="16"/>
        </w:rPr>
        <w:softHyphen/>
        <w:t>вода «Искра» - производство деталей к мотоциклу М-72. Одна</w:t>
      </w:r>
      <w:r w:rsidRPr="00DB5D0D">
        <w:rPr>
          <w:rFonts w:ascii="Times New Roman" w:hAnsi="Times New Roman"/>
          <w:color w:val="000000" w:themeColor="text1"/>
          <w:sz w:val="16"/>
          <w:szCs w:val="16"/>
        </w:rPr>
        <w:softHyphen/>
        <w:t>ко вскоре, согласно приказу № 95 от 7 декабря 1940 г., на ВенМЗ прекратили работы по мотоциклам, заменив их выпуском дру</w:t>
      </w:r>
      <w:r w:rsidRPr="00DB5D0D">
        <w:rPr>
          <w:rFonts w:ascii="Times New Roman" w:hAnsi="Times New Roman"/>
          <w:color w:val="000000" w:themeColor="text1"/>
          <w:sz w:val="16"/>
          <w:szCs w:val="16"/>
        </w:rPr>
        <w:softHyphen/>
        <w:t>гой продукции [4.205] (11429).</w:t>
      </w:r>
    </w:p>
    <w:p w14:paraId="3D9D9CA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290048A" w14:textId="77777777" w:rsidR="006C2BA1" w:rsidRPr="00DB5D0D" w:rsidRDefault="006C2BA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Секретарь Воронежского обкома ВКП(б) Никитин обратился к Заместителю Председателя СНК и руководителю Госплана т. Вознесенскому: «Мне стало известно от Наркомзема СССР т. Бенедиктова, что Госплан СССР имеет намерение представить предложение в ЦК ВКП(б) и СНК СССР о передаче Липецкого моторо-ремонтного завода Наркомзема в другой наркомат и приспособление его для других целей (производство мотоциклетов). Я со своей стороны считаю это предложение неправильным, так как его осуществление резко ухудшит и без того слабую ремонтную базу 154 МТС области, имеющей до 12 тысяч тракторов, 3500 комбайнов, 2 тысячи молотилок и 4 тысячи автомашин. Область испытывает исключительно тяжелое положение с ремонтной базой и поэтому изъятие завода еще более ухудшит и подорвет состояние тракторного и комбайнового парка МТС. Единственной базой в области для ремонта моторов является Липецкий ремзавод, если его не будет, моторы ремонтировать совершенно будет невозможно и негде. Я убедительно прошу Липецкий моторо-ремонтный завод не передавать и не приспособлять для других целей, а оставить его за областью, как основную ремонтную базу МТС по ремонту моторов тракторов и комбайнов. Организовать там производство запасных частей, весь ремонт моторов и гусеничных тракторов…» (19776).</w:t>
      </w:r>
    </w:p>
    <w:p w14:paraId="4A0B19B8" w14:textId="77777777" w:rsidR="006C2BA1" w:rsidRPr="00DB5D0D" w:rsidRDefault="006C2BA1" w:rsidP="00DB5D0D">
      <w:pPr>
        <w:spacing w:after="0" w:line="240" w:lineRule="auto"/>
        <w:jc w:val="both"/>
        <w:rPr>
          <w:rFonts w:ascii="Times New Roman" w:hAnsi="Times New Roman"/>
          <w:color w:val="000000" w:themeColor="text1"/>
          <w:sz w:val="16"/>
          <w:szCs w:val="16"/>
        </w:rPr>
      </w:pPr>
    </w:p>
    <w:p w14:paraId="26E67DCA"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73746EF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4D20FF6"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 xml:space="preserve">31 августа </w:t>
      </w:r>
      <w:r w:rsidRPr="00DB5D0D">
        <w:rPr>
          <w:rFonts w:ascii="Times New Roman" w:hAnsi="Times New Roman"/>
          <w:color w:val="000000" w:themeColor="text1"/>
          <w:sz w:val="16"/>
          <w:szCs w:val="16"/>
        </w:rPr>
        <w:t>в 1940 году 14:41. Около Лаветсвилль, Вирджиния, США. Самолет «Douglas DC-3» компании «Pennsylvania Central Airlines» летит сквозь грозовое облако в условиях турбулентности. Внезапно задирает нос и сваливается на землю. Погибают все 25 человек на борту. Пилоты были выведены из строя сильнейшим грозовым разрядом в непосредственной близости от самолета, что привело к потере управления (14755).</w:t>
      </w:r>
    </w:p>
    <w:p w14:paraId="19BB318D"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3D68B841"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bCs/>
          <w:color w:val="000000" w:themeColor="text1"/>
          <w:sz w:val="16"/>
          <w:szCs w:val="16"/>
        </w:rPr>
        <w:t>31 августа 1940 года</w:t>
      </w:r>
      <w:r w:rsidRPr="00DB5D0D">
        <w:rPr>
          <w:rFonts w:ascii="Times New Roman" w:hAnsi="Times New Roman"/>
          <w:color w:val="000000" w:themeColor="text1"/>
          <w:sz w:val="16"/>
          <w:szCs w:val="16"/>
        </w:rPr>
        <w:t xml:space="preserve"> Первый полет первого прототипа самолета Ca.331 Raffica (MM.427). Ca.331 Raffica - многоцелевой истребитель, разработанный итальянской фирмой Caproni Aeronautica Bergamasca. Работы над самолетом были начаты в 1939 году конструктором Цезаре Паллавичино (14755).</w:t>
      </w:r>
    </w:p>
    <w:p w14:paraId="75715AC5"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569357EF" w14:textId="77777777" w:rsidR="008E6A4E" w:rsidRPr="00DB5D0D" w:rsidRDefault="008E6A4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31 августа 1940 - Первый полет первого прототипа самолета Ca.331 Raffica (MM.427). Ca.331 Raffica - многоцелевой истребитель, разработанный итальянской фирмой Caproni Aeronautica Bergamasca. Работы над самолетом были начаты в 1939 году конструктором Цезаре Паллавичино (22379).</w:t>
      </w:r>
    </w:p>
    <w:p w14:paraId="6DA13DB8" w14:textId="77777777" w:rsidR="008E6A4E" w:rsidRPr="00DB5D0D" w:rsidRDefault="008E6A4E" w:rsidP="00DB5D0D">
      <w:pPr>
        <w:spacing w:after="0" w:line="240" w:lineRule="auto"/>
        <w:jc w:val="both"/>
        <w:rPr>
          <w:rFonts w:ascii="Times New Roman" w:hAnsi="Times New Roman"/>
          <w:color w:val="0070C0"/>
          <w:sz w:val="16"/>
          <w:szCs w:val="16"/>
        </w:rPr>
      </w:pPr>
    </w:p>
    <w:p w14:paraId="6F257771" w14:textId="77777777" w:rsidR="008E6A4E" w:rsidRPr="00DB5D0D" w:rsidRDefault="008E6A4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31 августа 1940 Польская 303-я эскадрилья, самая боеспособная единица союзников в битве за Британию, вступает в бой (21795).</w:t>
      </w:r>
    </w:p>
    <w:p w14:paraId="0B64272F" w14:textId="77777777" w:rsidR="008E6A4E" w:rsidRPr="00DB5D0D" w:rsidRDefault="008E6A4E" w:rsidP="00DB5D0D">
      <w:pPr>
        <w:spacing w:after="0" w:line="240" w:lineRule="auto"/>
        <w:jc w:val="both"/>
        <w:rPr>
          <w:rFonts w:ascii="Times New Roman" w:hAnsi="Times New Roman"/>
          <w:color w:val="0070C0"/>
          <w:sz w:val="16"/>
          <w:szCs w:val="16"/>
        </w:rPr>
      </w:pPr>
    </w:p>
    <w:p w14:paraId="1C3FF6BD" w14:textId="77777777" w:rsidR="008E6A4E" w:rsidRPr="00DB5D0D" w:rsidRDefault="008E6A4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31 августа 1940 самолет Douglas DC-3A, рейс 19 в Пенсильвании, разбивается во время грозы недалеко от горы Шорт-Хилл недалеко от Ловеттсвилля, штат Вирджиния, в результате чего погибли все 25 человек на борту. Сенатор США Эрнест Лундин из Миннесоты среди погибших (20795).</w:t>
      </w:r>
    </w:p>
    <w:p w14:paraId="5CE98122" w14:textId="77777777" w:rsidR="008E6A4E" w:rsidRPr="00DB5D0D" w:rsidRDefault="008E6A4E" w:rsidP="00DB5D0D">
      <w:pPr>
        <w:spacing w:after="0" w:line="240" w:lineRule="auto"/>
        <w:jc w:val="both"/>
        <w:rPr>
          <w:rFonts w:ascii="Times New Roman" w:hAnsi="Times New Roman"/>
          <w:color w:val="0070C0"/>
          <w:sz w:val="16"/>
          <w:szCs w:val="16"/>
        </w:rPr>
      </w:pPr>
    </w:p>
    <w:p w14:paraId="18B42A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августа 1940 немцы ввели в Нидерландах нормирование мыла (3481).</w:t>
      </w:r>
    </w:p>
    <w:p w14:paraId="52CF894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ED250A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56C9A56"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269D1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концу августа 1940 был готов эскизный проект самоле</w:t>
      </w:r>
      <w:r w:rsidRPr="00DB5D0D">
        <w:rPr>
          <w:rFonts w:ascii="Times New Roman" w:hAnsi="Times New Roman"/>
          <w:color w:val="000000" w:themeColor="text1"/>
          <w:sz w:val="16"/>
          <w:szCs w:val="16"/>
        </w:rPr>
        <w:softHyphen/>
        <w:t>та И-185 с мотором М-81, который получил обозначе</w:t>
      </w:r>
      <w:r w:rsidRPr="00DB5D0D">
        <w:rPr>
          <w:rFonts w:ascii="Times New Roman" w:hAnsi="Times New Roman"/>
          <w:color w:val="000000" w:themeColor="text1"/>
          <w:sz w:val="16"/>
          <w:szCs w:val="16"/>
        </w:rPr>
        <w:softHyphen/>
        <w:t>ние И-187. «...К моменту получения задания нами было уже закончено проектирование и частично постройка И-185 М-90. Поэтому под мотор М-81 мы заново проек</w:t>
      </w:r>
      <w:r w:rsidRPr="00DB5D0D">
        <w:rPr>
          <w:rFonts w:ascii="Times New Roman" w:hAnsi="Times New Roman"/>
          <w:color w:val="000000" w:themeColor="text1"/>
          <w:sz w:val="16"/>
          <w:szCs w:val="16"/>
        </w:rPr>
        <w:softHyphen/>
        <w:t>тируем и строим новую ВМГ с капотами типа МАСА и новые установки вооружения и оборудования самоле</w:t>
      </w:r>
      <w:r w:rsidRPr="00DB5D0D">
        <w:rPr>
          <w:rFonts w:ascii="Times New Roman" w:hAnsi="Times New Roman"/>
          <w:color w:val="000000" w:themeColor="text1"/>
          <w:sz w:val="16"/>
          <w:szCs w:val="16"/>
        </w:rPr>
        <w:softHyphen/>
        <w:t>та..., - писал в Докладной записке Поликарпов. - Капот мотора обтекаемой формы типа КАСА. В дальнейшем после отработки на продуваемом макете самолета с вхо</w:t>
      </w:r>
      <w:r w:rsidRPr="00DB5D0D">
        <w:rPr>
          <w:rFonts w:ascii="Times New Roman" w:hAnsi="Times New Roman"/>
          <w:color w:val="000000" w:themeColor="text1"/>
          <w:sz w:val="16"/>
          <w:szCs w:val="16"/>
        </w:rPr>
        <w:softHyphen/>
        <w:t>дом воздуха для охлаждения мотора через носок кока он будет заменен. Вооружение: 2 БС и 2 ШКАС». Предполагалось, что, несмотря на менее мощный мо</w:t>
      </w:r>
      <w:r w:rsidRPr="00DB5D0D">
        <w:rPr>
          <w:rFonts w:ascii="Times New Roman" w:hAnsi="Times New Roman"/>
          <w:color w:val="000000" w:themeColor="text1"/>
          <w:sz w:val="16"/>
          <w:szCs w:val="16"/>
        </w:rPr>
        <w:softHyphen/>
        <w:t>тор, летные характеристики истребителя будут достаточ</w:t>
      </w:r>
      <w:r w:rsidRPr="00DB5D0D">
        <w:rPr>
          <w:rFonts w:ascii="Times New Roman" w:hAnsi="Times New Roman"/>
          <w:color w:val="000000" w:themeColor="text1"/>
          <w:sz w:val="16"/>
          <w:szCs w:val="16"/>
        </w:rPr>
        <w:softHyphen/>
        <w:t>но высокими: максимальная скорость у земли 506 км/ч (523 км/ч на взлетном режиме работы мотора) и 611 км/ч на высоте 6400 м, время набора высоты 5000 м - 6,4 мин, практический потолок - 9900 м. Взлетный вес самолета -3200 кг, центровка - 25,2% САХ. Капот МАСА имел жа</w:t>
      </w:r>
      <w:r w:rsidRPr="00DB5D0D">
        <w:rPr>
          <w:rFonts w:ascii="Times New Roman" w:hAnsi="Times New Roman"/>
          <w:color w:val="000000" w:themeColor="text1"/>
          <w:sz w:val="16"/>
          <w:szCs w:val="16"/>
        </w:rPr>
        <w:softHyphen/>
        <w:t>люзи на входе и юбку на выходе. И-186 и И-187 строились, точнее, для них переделы</w:t>
      </w:r>
      <w:r w:rsidRPr="00DB5D0D">
        <w:rPr>
          <w:rFonts w:ascii="Times New Roman" w:hAnsi="Times New Roman"/>
          <w:color w:val="000000" w:themeColor="text1"/>
          <w:sz w:val="16"/>
          <w:szCs w:val="16"/>
        </w:rPr>
        <w:softHyphen/>
        <w:t>вались капоты и немного носовая часть фюзеляжа уже построенных экземпляров И-185. При этом исходный И-185 с М-90 имел заводской номер 6201, что означало: «изделие 62, экземпляр № 1», т.е. обозначение, принятое на заводе № 1, сохранялось. И-186 и И-187 имели номе</w:t>
      </w:r>
      <w:r w:rsidRPr="00DB5D0D">
        <w:rPr>
          <w:rFonts w:ascii="Times New Roman" w:hAnsi="Times New Roman"/>
          <w:color w:val="000000" w:themeColor="text1"/>
          <w:sz w:val="16"/>
          <w:szCs w:val="16"/>
        </w:rPr>
        <w:softHyphen/>
        <w:t>ра, соответственно, 6204 и 6202. Во время постройки вы</w:t>
      </w:r>
      <w:r w:rsidRPr="00DB5D0D">
        <w:rPr>
          <w:rFonts w:ascii="Times New Roman" w:hAnsi="Times New Roman"/>
          <w:color w:val="000000" w:themeColor="text1"/>
          <w:sz w:val="16"/>
          <w:szCs w:val="16"/>
        </w:rPr>
        <w:softHyphen/>
        <w:t>яснилось, что габариты и веса моторов М-71 и М-81 отличаются от заявленных ранее, поэтому в конце 1940 г. подсчитали, что нормальный взлетный вес И-186 достигнет 3439 кг при длине самолета 7,77 м. В ожидании подходящего двигателя воздушного ох</w:t>
      </w:r>
      <w:r w:rsidRPr="00DB5D0D">
        <w:rPr>
          <w:rFonts w:ascii="Times New Roman" w:hAnsi="Times New Roman"/>
          <w:color w:val="000000" w:themeColor="text1"/>
          <w:sz w:val="16"/>
          <w:szCs w:val="16"/>
        </w:rPr>
        <w:softHyphen/>
        <w:t>лаждения Николай Николаевич для загрузки ОКБ взял задание на разработку двухмоторного тяжелого истре</w:t>
      </w:r>
      <w:r w:rsidRPr="00DB5D0D">
        <w:rPr>
          <w:rFonts w:ascii="Times New Roman" w:hAnsi="Times New Roman"/>
          <w:color w:val="000000" w:themeColor="text1"/>
          <w:sz w:val="16"/>
          <w:szCs w:val="16"/>
        </w:rPr>
        <w:softHyphen/>
        <w:t>бителя сопровождения (ТИС). Самолет представлял со</w:t>
      </w:r>
      <w:r w:rsidRPr="00DB5D0D">
        <w:rPr>
          <w:rFonts w:ascii="Times New Roman" w:hAnsi="Times New Roman"/>
          <w:color w:val="000000" w:themeColor="text1"/>
          <w:sz w:val="16"/>
          <w:szCs w:val="16"/>
        </w:rPr>
        <w:softHyphen/>
        <w:t>бой дальнейшее развитие семейства многоместных пушечных истребителей МПИ-1, МПИ-2, МПИ-3. Первоначально делались прорисовки конструкции с раз</w:t>
      </w:r>
      <w:r w:rsidRPr="00DB5D0D">
        <w:rPr>
          <w:rFonts w:ascii="Times New Roman" w:hAnsi="Times New Roman"/>
          <w:color w:val="000000" w:themeColor="text1"/>
          <w:sz w:val="16"/>
          <w:szCs w:val="16"/>
        </w:rPr>
        <w:softHyphen/>
        <w:t>личными двигателями, включая М-90 и М-71 (январь-апрель 1940 г.). Ввиду затяжки с разработкой последних, остановиться пришлось на более доведенных моторах жидкостного охлаждения (10667).</w:t>
      </w:r>
    </w:p>
    <w:p w14:paraId="009E8E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DCF9E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августа 1940 была подготовлена Справка о внедрении в серийное производство самолета И-26 М-105 конструкции Яковлева</w:t>
      </w:r>
    </w:p>
    <w:p w14:paraId="010DCC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 КО при СНК N 246 от 29 июля 1939 г. заводу N 115 (гл. конструктор Яковлев) была задана постройка самолета И-26 с мотором М106 в 2-х экземплярах со сроками сдачи на гос. испытания:</w:t>
      </w:r>
    </w:p>
    <w:p w14:paraId="097269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 - февраль 1940 г.</w:t>
      </w:r>
    </w:p>
    <w:p w14:paraId="055102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2-й экз. - апрель 1940 г.</w:t>
      </w:r>
    </w:p>
    <w:p w14:paraId="0FD74D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стал строится на 115 заводе, причем предварительной макетной комиссии не было.</w:t>
      </w:r>
    </w:p>
    <w:p w14:paraId="51C242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И-26 на заводе 115 был построен в 3-х экз. с мотором М105П.</w:t>
      </w:r>
    </w:p>
    <w:p w14:paraId="248884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экз. самолета И-26 27 апреля 1940 г. был разбит на заводских испытаниях. основной причиной катастрофы самолета при которой погиб заводской летчик Пионтковский по мнению аварийной комиссии было - непрочность носка крыла самолета.</w:t>
      </w:r>
    </w:p>
    <w:p w14:paraId="245F61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экз. самолета на гос. испытания был предъявлен НИИ ВВС 26 мая 1940 г.</w:t>
      </w:r>
    </w:p>
    <w:p w14:paraId="7A2635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Этот самолет ввиду недоведенности НИИ ВВС на гос. испытания не был принят.</w:t>
      </w:r>
    </w:p>
    <w:p w14:paraId="26D0E3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Согласно приказа начальника ГУАС комдива Алексеева за N 071 от 29 мая 1940 г. второй экз. самолета И-26 несмотря на его недоведенность был принят НИИ ВВС на гос. испытания. Гос. испытания в НИИ ВВС проводились 1-го июня по 15 июня 1940 г. За это время было выполнено 52 полета общей продолжительностью 21 час.</w:t>
      </w:r>
    </w:p>
    <w:p w14:paraId="36B05A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заключению НИИ ВВС от 19 июня 1940 г. самолет И-26 гос. испытаний не выдержал.</w:t>
      </w:r>
    </w:p>
    <w:p w14:paraId="268725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за N 77сс от 19 февраля 1940 г. завод N 301 должен внедрить в серийное производство и выпустить в первом полугодии 1940 г. 25 самолетов И-26 и по постановлению КО N 206сс от 15 мая 1940 г. этот же завод в 1940 г. должен выпустить 100 самолетов с подготовкой производства к 1941 г. на выпуск 800 самолетов.</w:t>
      </w:r>
    </w:p>
    <w:p w14:paraId="29B7AF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за N 235сс от 29 мая 1940 г. в 1940 г. на заводе N 292 должен быть внедрен в серийное производство самолет И-26 с выпуском до конца года 100 самолетов и подготовкой производства в 1941 г. на выпуск 1500 самолетов.</w:t>
      </w:r>
    </w:p>
    <w:p w14:paraId="06D079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за N 193сс от 4 мая 1940 г. во 2-ом полугодии 1940 г. на заводе N 126 должно быть организовано производство самолета И-26 и подготовка кадров для завода N 30.</w:t>
      </w:r>
    </w:p>
    <w:p w14:paraId="06C3AC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состоянию на 22 августа 1940 г. на заводе N 301 имеется 6 самолетов на аэродроме, которые находятся в процессе доводки и 13 самолетов в процессе сборки (3353,22-28).</w:t>
      </w:r>
    </w:p>
    <w:p w14:paraId="1BC6F95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B589CA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конца августа 1940 г. на Ногинском полигоне проходи</w:t>
      </w:r>
      <w:r w:rsidRPr="00DB5D0D">
        <w:rPr>
          <w:rFonts w:ascii="Times New Roman" w:hAnsi="Times New Roman"/>
          <w:color w:val="000000" w:themeColor="text1"/>
          <w:sz w:val="16"/>
          <w:szCs w:val="16"/>
        </w:rPr>
        <w:softHyphen/>
        <w:t>ли экспериментальные испытания 20 ракетных снарядов РОС-82 модели 3-00497 по теме 721 объекта партии №12 с легким зарядом, которые начались 4 июля. Он состоял из 16-шашек опытного быстрогорящего трехканального пороха рецептуры НГВ марки Нз-16,5/3-230 мм. Диаметр критического сечения сопла у снарядов пришлось расширить до 26 мм, а дисковую диафрагму заме</w:t>
      </w:r>
      <w:r w:rsidRPr="00DB5D0D">
        <w:rPr>
          <w:rFonts w:ascii="Times New Roman" w:hAnsi="Times New Roman"/>
          <w:color w:val="000000" w:themeColor="text1"/>
          <w:sz w:val="16"/>
          <w:szCs w:val="16"/>
        </w:rPr>
        <w:softHyphen/>
        <w:t>нить колосниковой «с мелкой ячеёй». Единственный воспламенитель и 12 г ДРП - донный, с вшитым электрозапалом, концы проводов которо</w:t>
      </w:r>
      <w:r w:rsidRPr="00DB5D0D">
        <w:rPr>
          <w:rFonts w:ascii="Times New Roman" w:hAnsi="Times New Roman"/>
          <w:color w:val="000000" w:themeColor="text1"/>
          <w:sz w:val="16"/>
          <w:szCs w:val="16"/>
        </w:rPr>
        <w:softHyphen/>
        <w:t>го были выведены через весь РЗ и далее наружу через сопло. Под руко</w:t>
      </w:r>
      <w:r w:rsidRPr="00DB5D0D">
        <w:rPr>
          <w:rFonts w:ascii="Times New Roman" w:hAnsi="Times New Roman"/>
          <w:color w:val="000000" w:themeColor="text1"/>
          <w:sz w:val="16"/>
          <w:szCs w:val="16"/>
        </w:rPr>
        <w:softHyphen/>
        <w:t>водством ведущего инженера по теме военинженера 2 ранга М.Н.Тихон равова, военинженера 1 ранга С.Онисько и военинженера 2 ранга Чер нореза определяли кучность стрельбы и измеряли дульную скорость бо еприпасов. Вторая партия также из 20 боеприпасов при стрельбе из 7-ме тровой пусковой продемонстрировала довольно неутешительные резуль таты рассеивания и максимальную скорость в 197,9м/с, что по всем статьям было ниже, чем у штатных боеприпасов (11402).</w:t>
      </w:r>
    </w:p>
    <w:p w14:paraId="517DA96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CD890E2"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7B3B1E57"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2607F38E" w14:textId="77777777" w:rsidR="003C7E8B" w:rsidRPr="00DB5D0D" w:rsidRDefault="003C7E8B" w:rsidP="00DB5D0D">
      <w:pPr>
        <w:pStyle w:val="a3"/>
        <w:rPr>
          <w:color w:val="000000" w:themeColor="text1"/>
          <w:lang w:val="ru-RU"/>
        </w:rPr>
      </w:pPr>
      <w:r w:rsidRPr="00DB5D0D">
        <w:rPr>
          <w:color w:val="000000" w:themeColor="text1"/>
          <w:lang w:val="ru-RU"/>
        </w:rPr>
        <w:t>В конце августа 1940 начальником ГАБТУ Я.Н. Федоренко и директором за</w:t>
      </w:r>
      <w:r w:rsidRPr="00DB5D0D">
        <w:rPr>
          <w:color w:val="000000" w:themeColor="text1"/>
          <w:lang w:val="ru-RU"/>
        </w:rPr>
        <w:softHyphen/>
        <w:t>вода №183 Ю.Е. Максаревым дополнительный перечень конструк</w:t>
      </w:r>
      <w:r w:rsidRPr="00DB5D0D">
        <w:rPr>
          <w:color w:val="000000" w:themeColor="text1"/>
          <w:lang w:val="ru-RU"/>
        </w:rPr>
        <w:softHyphen/>
        <w:t xml:space="preserve">тивных изменений по </w:t>
      </w:r>
      <w:r w:rsidRPr="00DB5D0D">
        <w:rPr>
          <w:color w:val="000000" w:themeColor="text1"/>
          <w:lang w:val="ru-RU"/>
        </w:rPr>
        <w:lastRenderedPageBreak/>
        <w:t>Т-34 (см. табл. №12). Данный список был со</w:t>
      </w:r>
      <w:r w:rsidRPr="00DB5D0D">
        <w:rPr>
          <w:color w:val="000000" w:themeColor="text1"/>
          <w:lang w:val="ru-RU"/>
        </w:rPr>
        <w:softHyphen/>
        <w:t>гласован с руководством завода №183 и утвержден 29 августа 1940 г. на совместном совещании у директора завода. На этом же сове</w:t>
      </w:r>
      <w:r w:rsidRPr="00DB5D0D">
        <w:rPr>
          <w:color w:val="000000" w:themeColor="text1"/>
          <w:lang w:val="ru-RU"/>
        </w:rPr>
        <w:softHyphen/>
        <w:t>щании Я.Н. Федоренко дал следующее указание военному предста</w:t>
      </w:r>
      <w:r w:rsidRPr="00DB5D0D">
        <w:rPr>
          <w:color w:val="000000" w:themeColor="text1"/>
          <w:lang w:val="ru-RU"/>
        </w:rPr>
        <w:softHyphen/>
        <w:t>вителю на заводе №183 Д.М. Козыреву относительно приемки гото</w:t>
      </w:r>
      <w:r w:rsidRPr="00DB5D0D">
        <w:rPr>
          <w:color w:val="000000" w:themeColor="text1"/>
          <w:lang w:val="ru-RU"/>
        </w:rPr>
        <w:softHyphen/>
        <w:t>вых танков Т-34 в 1940 г.:</w:t>
      </w:r>
    </w:p>
    <w:p w14:paraId="1A17637B" w14:textId="77777777" w:rsidR="003C7E8B" w:rsidRPr="00DB5D0D" w:rsidRDefault="003C7E8B" w:rsidP="00DB5D0D">
      <w:pPr>
        <w:pStyle w:val="34"/>
        <w:shd w:val="clear" w:color="auto" w:fill="auto"/>
        <w:spacing w:line="240" w:lineRule="auto"/>
        <w:jc w:val="both"/>
        <w:rPr>
          <w:rFonts w:ascii="Times New Roman" w:cs="Times New Roman"/>
          <w:color w:val="000000" w:themeColor="text1"/>
          <w:spacing w:val="0"/>
          <w:sz w:val="16"/>
          <w:szCs w:val="16"/>
        </w:rPr>
      </w:pPr>
      <w:r w:rsidRPr="00DB5D0D">
        <w:rPr>
          <w:rFonts w:ascii="Times New Roman" w:cs="Times New Roman"/>
          <w:color w:val="000000" w:themeColor="text1"/>
          <w:spacing w:val="0"/>
          <w:sz w:val="16"/>
          <w:szCs w:val="16"/>
        </w:rPr>
        <w:t>Районному инженеру ГАБТУ КА на заводе № 183 машины с не устраненными дефектами с №201 - не принимать. При этом допу</w:t>
      </w:r>
      <w:r w:rsidRPr="00DB5D0D">
        <w:rPr>
          <w:rFonts w:ascii="Times New Roman" w:cs="Times New Roman"/>
          <w:color w:val="000000" w:themeColor="text1"/>
          <w:spacing w:val="0"/>
          <w:sz w:val="16"/>
          <w:szCs w:val="16"/>
        </w:rPr>
        <w:softHyphen/>
        <w:t>стить проводить отдельные изменения в более поздние сроки, но не позднее 201 машины, в каждом отдельном случае по согласованию с Районным инженером ГАБТУ КА (11939).</w:t>
      </w:r>
    </w:p>
    <w:p w14:paraId="0E5037CF" w14:textId="77777777" w:rsidR="003C7E8B" w:rsidRPr="00DB5D0D" w:rsidRDefault="003C7E8B" w:rsidP="00DB5D0D">
      <w:pPr>
        <w:pStyle w:val="a3"/>
        <w:rPr>
          <w:color w:val="000000" w:themeColor="text1"/>
          <w:lang w:val="ru-RU"/>
        </w:rPr>
      </w:pPr>
      <w:r w:rsidRPr="00DB5D0D">
        <w:rPr>
          <w:color w:val="000000" w:themeColor="text1"/>
          <w:lang w:val="ru-RU"/>
        </w:rPr>
        <w:t>Таблица №12</w:t>
      </w:r>
    </w:p>
    <w:p w14:paraId="3679B6AC" w14:textId="77777777" w:rsidR="003C7E8B" w:rsidRPr="00DB5D0D" w:rsidRDefault="003C7E8B" w:rsidP="00DB5D0D">
      <w:pPr>
        <w:pStyle w:val="aff1"/>
        <w:shd w:val="clear" w:color="auto" w:fill="auto"/>
        <w:spacing w:line="240" w:lineRule="auto"/>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Перечень конструктивных изменений по машине Т-34, приложенный к протоколу от 29.08.1940 г.</w:t>
      </w:r>
    </w:p>
    <w:tbl>
      <w:tblPr>
        <w:tblW w:w="0" w:type="auto"/>
        <w:tblInd w:w="8" w:type="dxa"/>
        <w:tblLayout w:type="fixed"/>
        <w:tblCellMar>
          <w:left w:w="0" w:type="dxa"/>
          <w:right w:w="0" w:type="dxa"/>
        </w:tblCellMar>
        <w:tblLook w:val="0000" w:firstRow="0" w:lastRow="0" w:firstColumn="0" w:lastColumn="0" w:noHBand="0" w:noVBand="0"/>
      </w:tblPr>
      <w:tblGrid>
        <w:gridCol w:w="426"/>
        <w:gridCol w:w="7512"/>
        <w:gridCol w:w="3402"/>
      </w:tblGrid>
      <w:tr w:rsidR="007D5DF8" w:rsidRPr="00DB5D0D" w14:paraId="1E3F2092" w14:textId="77777777" w:rsidTr="00E543D0">
        <w:trPr>
          <w:trHeight w:val="28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661C058" w14:textId="77777777" w:rsidR="003C7E8B" w:rsidRPr="00DB5D0D" w:rsidRDefault="003C7E8B" w:rsidP="00DB5D0D">
            <w:pPr>
              <w:pStyle w:val="a3"/>
              <w:rPr>
                <w:color w:val="000000" w:themeColor="text1"/>
              </w:rPr>
            </w:pPr>
            <w:r w:rsidRPr="00DB5D0D">
              <w:rPr>
                <w:color w:val="000000" w:themeColor="text1"/>
              </w:rPr>
              <w:t>№ п/п</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1F1CE456" w14:textId="77777777" w:rsidR="003C7E8B" w:rsidRPr="00DB5D0D" w:rsidRDefault="003C7E8B" w:rsidP="00DB5D0D">
            <w:pPr>
              <w:pStyle w:val="a3"/>
              <w:rPr>
                <w:color w:val="000000" w:themeColor="text1"/>
              </w:rPr>
            </w:pPr>
            <w:r w:rsidRPr="00DB5D0D">
              <w:rPr>
                <w:color w:val="000000" w:themeColor="text1"/>
              </w:rPr>
              <w:t>Наименование изменений и доработок</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32706E2A" w14:textId="77777777" w:rsidR="003C7E8B" w:rsidRPr="00DB5D0D" w:rsidRDefault="003C7E8B" w:rsidP="00DB5D0D">
            <w:pPr>
              <w:pStyle w:val="a3"/>
              <w:rPr>
                <w:color w:val="000000" w:themeColor="text1"/>
              </w:rPr>
            </w:pPr>
            <w:r w:rsidRPr="00DB5D0D">
              <w:rPr>
                <w:color w:val="000000" w:themeColor="text1"/>
              </w:rPr>
              <w:t>Срок ввода в серию</w:t>
            </w:r>
          </w:p>
        </w:tc>
      </w:tr>
      <w:tr w:rsidR="007D5DF8" w:rsidRPr="00DB5D0D" w14:paraId="6143A6C9" w14:textId="77777777" w:rsidTr="00E543D0">
        <w:trPr>
          <w:trHeight w:val="5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6D1364F" w14:textId="77777777" w:rsidR="003C7E8B" w:rsidRPr="00DB5D0D" w:rsidRDefault="003C7E8B" w:rsidP="00DB5D0D">
            <w:pPr>
              <w:pStyle w:val="a3"/>
              <w:rPr>
                <w:color w:val="000000" w:themeColor="text1"/>
              </w:rPr>
            </w:pPr>
            <w:r w:rsidRPr="00DB5D0D">
              <w:rPr>
                <w:color w:val="000000" w:themeColor="text1"/>
              </w:rPr>
              <w:t>1.</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31D7A85" w14:textId="77777777" w:rsidR="003C7E8B" w:rsidRPr="00DB5D0D" w:rsidRDefault="003C7E8B" w:rsidP="00DB5D0D">
            <w:pPr>
              <w:pStyle w:val="a3"/>
              <w:rPr>
                <w:color w:val="000000" w:themeColor="text1"/>
                <w:lang w:val="ru-RU"/>
              </w:rPr>
            </w:pPr>
            <w:r w:rsidRPr="00DB5D0D">
              <w:rPr>
                <w:color w:val="000000" w:themeColor="text1"/>
                <w:lang w:val="ru-RU"/>
              </w:rPr>
              <w:t>Изменить масляную систему, обеспечив работу на одном маслобаке (при переключении кранов при работе мотора раздувает баки-радиаторы).</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2CF22A0B" w14:textId="77777777" w:rsidR="003C7E8B" w:rsidRPr="00DB5D0D" w:rsidRDefault="003C7E8B" w:rsidP="00DB5D0D">
            <w:pPr>
              <w:pStyle w:val="a3"/>
              <w:rPr>
                <w:color w:val="000000" w:themeColor="text1"/>
                <w:lang w:val="ru-RU"/>
              </w:rPr>
            </w:pPr>
            <w:r w:rsidRPr="00DB5D0D">
              <w:rPr>
                <w:color w:val="000000" w:themeColor="text1"/>
                <w:lang w:val="ru-RU"/>
              </w:rPr>
              <w:t>С момента установления причины раздутия баков</w:t>
            </w:r>
          </w:p>
        </w:tc>
      </w:tr>
      <w:tr w:rsidR="007D5DF8" w:rsidRPr="00DB5D0D" w14:paraId="2892F434"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B624F19" w14:textId="77777777" w:rsidR="003C7E8B" w:rsidRPr="00DB5D0D" w:rsidRDefault="003C7E8B" w:rsidP="00DB5D0D">
            <w:pPr>
              <w:pStyle w:val="a3"/>
              <w:rPr>
                <w:color w:val="000000" w:themeColor="text1"/>
              </w:rPr>
            </w:pPr>
            <w:r w:rsidRPr="00DB5D0D">
              <w:rPr>
                <w:color w:val="000000" w:themeColor="text1"/>
              </w:rPr>
              <w:t>2.</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0581695F" w14:textId="77777777" w:rsidR="003C7E8B" w:rsidRPr="00DB5D0D" w:rsidRDefault="003C7E8B" w:rsidP="00DB5D0D">
            <w:pPr>
              <w:pStyle w:val="a3"/>
              <w:rPr>
                <w:color w:val="000000" w:themeColor="text1"/>
                <w:lang w:val="ru-RU"/>
              </w:rPr>
            </w:pPr>
            <w:r w:rsidRPr="00DB5D0D">
              <w:rPr>
                <w:color w:val="000000" w:themeColor="text1"/>
                <w:lang w:val="ru-RU"/>
              </w:rPr>
              <w:t>Переделать радиатор-бак, выбросив радиатор (дорогой, сложный в изготовлении и ненадежный в работе).</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50B41B95" w14:textId="77777777" w:rsidR="003C7E8B" w:rsidRPr="00DB5D0D" w:rsidRDefault="003C7E8B" w:rsidP="00DB5D0D">
            <w:pPr>
              <w:pStyle w:val="a3"/>
              <w:rPr>
                <w:color w:val="000000" w:themeColor="text1"/>
                <w:lang w:val="ru-RU"/>
              </w:rPr>
            </w:pPr>
            <w:r w:rsidRPr="00DB5D0D">
              <w:rPr>
                <w:color w:val="000000" w:themeColor="text1"/>
                <w:lang w:val="ru-RU"/>
              </w:rPr>
              <w:t>Разработать на эталонном образце 1941 г.</w:t>
            </w:r>
          </w:p>
        </w:tc>
      </w:tr>
      <w:tr w:rsidR="007D5DF8" w:rsidRPr="00DB5D0D" w14:paraId="379A2EFF" w14:textId="77777777" w:rsidTr="00E543D0">
        <w:trPr>
          <w:trHeight w:val="274"/>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8AF36E6" w14:textId="77777777" w:rsidR="003C7E8B" w:rsidRPr="00DB5D0D" w:rsidRDefault="003C7E8B" w:rsidP="00DB5D0D">
            <w:pPr>
              <w:pStyle w:val="a3"/>
              <w:rPr>
                <w:color w:val="000000" w:themeColor="text1"/>
              </w:rPr>
            </w:pPr>
            <w:r w:rsidRPr="00DB5D0D">
              <w:rPr>
                <w:color w:val="000000" w:themeColor="text1"/>
              </w:rPr>
              <w:t>3.</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64D9DE62" w14:textId="77777777" w:rsidR="003C7E8B" w:rsidRPr="00DB5D0D" w:rsidRDefault="003C7E8B" w:rsidP="00DB5D0D">
            <w:pPr>
              <w:pStyle w:val="a3"/>
              <w:rPr>
                <w:color w:val="000000" w:themeColor="text1"/>
                <w:lang w:val="ru-RU"/>
              </w:rPr>
            </w:pPr>
            <w:r w:rsidRPr="00DB5D0D">
              <w:rPr>
                <w:color w:val="000000" w:themeColor="text1"/>
                <w:lang w:val="ru-RU"/>
              </w:rPr>
              <w:t>Обеспечить централизованный полный слив масла с мотора и маслосистемы.</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153544B9" w14:textId="77777777" w:rsidR="003C7E8B" w:rsidRPr="00DB5D0D" w:rsidRDefault="003C7E8B" w:rsidP="00DB5D0D">
            <w:pPr>
              <w:pStyle w:val="a3"/>
              <w:rPr>
                <w:color w:val="000000" w:themeColor="text1"/>
              </w:rPr>
            </w:pPr>
            <w:r w:rsidRPr="00DB5D0D">
              <w:rPr>
                <w:color w:val="000000" w:themeColor="text1"/>
              </w:rPr>
              <w:t>Предъявить требование заводу №75</w:t>
            </w:r>
          </w:p>
        </w:tc>
      </w:tr>
      <w:tr w:rsidR="007D5DF8" w:rsidRPr="00DB5D0D" w14:paraId="4FB0160C"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109B28C" w14:textId="77777777" w:rsidR="003C7E8B" w:rsidRPr="00DB5D0D" w:rsidRDefault="003C7E8B" w:rsidP="00DB5D0D">
            <w:pPr>
              <w:pStyle w:val="a3"/>
              <w:rPr>
                <w:color w:val="000000" w:themeColor="text1"/>
              </w:rPr>
            </w:pPr>
            <w:r w:rsidRPr="00DB5D0D">
              <w:rPr>
                <w:color w:val="000000" w:themeColor="text1"/>
              </w:rPr>
              <w:t>4.</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C136A64" w14:textId="77777777" w:rsidR="003C7E8B" w:rsidRPr="00DB5D0D" w:rsidRDefault="003C7E8B" w:rsidP="00DB5D0D">
            <w:pPr>
              <w:pStyle w:val="a3"/>
              <w:rPr>
                <w:color w:val="000000" w:themeColor="text1"/>
                <w:lang w:val="ru-RU"/>
              </w:rPr>
            </w:pPr>
            <w:r w:rsidRPr="00DB5D0D">
              <w:rPr>
                <w:color w:val="000000" w:themeColor="text1"/>
                <w:lang w:val="ru-RU"/>
              </w:rPr>
              <w:t>Резервуар воздушного фильтра заполнять негорящей жидкостью.</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6FE56DB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34C0E46" w14:textId="77777777" w:rsidTr="00E543D0">
        <w:trPr>
          <w:trHeight w:val="28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14AA64C" w14:textId="77777777" w:rsidR="003C7E8B" w:rsidRPr="00DB5D0D" w:rsidRDefault="003C7E8B" w:rsidP="00DB5D0D">
            <w:pPr>
              <w:pStyle w:val="a3"/>
              <w:rPr>
                <w:color w:val="000000" w:themeColor="text1"/>
              </w:rPr>
            </w:pPr>
            <w:r w:rsidRPr="00DB5D0D">
              <w:rPr>
                <w:color w:val="000000" w:themeColor="text1"/>
              </w:rPr>
              <w:t>5.</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17DA8695" w14:textId="77777777" w:rsidR="003C7E8B" w:rsidRPr="00DB5D0D" w:rsidRDefault="003C7E8B" w:rsidP="00DB5D0D">
            <w:pPr>
              <w:pStyle w:val="a3"/>
              <w:rPr>
                <w:color w:val="000000" w:themeColor="text1"/>
                <w:lang w:val="ru-RU"/>
              </w:rPr>
            </w:pPr>
            <w:r w:rsidRPr="00DB5D0D">
              <w:rPr>
                <w:color w:val="000000" w:themeColor="text1"/>
                <w:lang w:val="ru-RU"/>
              </w:rPr>
              <w:t>Устранить течь горючего с воздушного крана при создании давления в баках.</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3569B4DB"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67F24C6F" w14:textId="77777777" w:rsidTr="00E543D0">
        <w:trPr>
          <w:trHeight w:val="274"/>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7CC6FAC" w14:textId="77777777" w:rsidR="003C7E8B" w:rsidRPr="00DB5D0D" w:rsidRDefault="003C7E8B" w:rsidP="00DB5D0D">
            <w:pPr>
              <w:pStyle w:val="a3"/>
              <w:rPr>
                <w:color w:val="000000" w:themeColor="text1"/>
              </w:rPr>
            </w:pPr>
            <w:r w:rsidRPr="00DB5D0D">
              <w:rPr>
                <w:color w:val="000000" w:themeColor="text1"/>
              </w:rPr>
              <w:t>6.</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48E4BD99" w14:textId="77777777" w:rsidR="003C7E8B" w:rsidRPr="00DB5D0D" w:rsidRDefault="003C7E8B" w:rsidP="00DB5D0D">
            <w:pPr>
              <w:pStyle w:val="a3"/>
              <w:rPr>
                <w:color w:val="000000" w:themeColor="text1"/>
                <w:lang w:val="ru-RU"/>
              </w:rPr>
            </w:pPr>
            <w:r w:rsidRPr="00DB5D0D">
              <w:rPr>
                <w:color w:val="000000" w:themeColor="text1"/>
                <w:lang w:val="ru-RU"/>
              </w:rPr>
              <w:t>Обеспечить доступ к штуцерам воздушной магистрали на баках.</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0A4A858E"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24E30C9B" w14:textId="77777777" w:rsidTr="00E543D0">
        <w:trPr>
          <w:trHeight w:val="28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56B32D6" w14:textId="77777777" w:rsidR="003C7E8B" w:rsidRPr="00DB5D0D" w:rsidRDefault="003C7E8B" w:rsidP="00DB5D0D">
            <w:pPr>
              <w:pStyle w:val="a3"/>
              <w:rPr>
                <w:color w:val="000000" w:themeColor="text1"/>
              </w:rPr>
            </w:pPr>
            <w:r w:rsidRPr="00DB5D0D">
              <w:rPr>
                <w:color w:val="000000" w:themeColor="text1"/>
              </w:rPr>
              <w:t>7.</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0C8A26E5" w14:textId="77777777" w:rsidR="003C7E8B" w:rsidRPr="00DB5D0D" w:rsidRDefault="003C7E8B" w:rsidP="00DB5D0D">
            <w:pPr>
              <w:pStyle w:val="a3"/>
              <w:rPr>
                <w:color w:val="000000" w:themeColor="text1"/>
                <w:lang w:val="ru-RU"/>
              </w:rPr>
            </w:pPr>
            <w:r w:rsidRPr="00DB5D0D">
              <w:rPr>
                <w:color w:val="000000" w:themeColor="text1"/>
                <w:lang w:val="ru-RU"/>
              </w:rPr>
              <w:t>Обеспечить более легкое включение скорости.</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2B02C8EE"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8FA977B" w14:textId="77777777" w:rsidTr="00E543D0">
        <w:trPr>
          <w:trHeight w:val="274"/>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5676E5A" w14:textId="77777777" w:rsidR="003C7E8B" w:rsidRPr="00DB5D0D" w:rsidRDefault="003C7E8B" w:rsidP="00DB5D0D">
            <w:pPr>
              <w:pStyle w:val="a3"/>
              <w:rPr>
                <w:color w:val="000000" w:themeColor="text1"/>
              </w:rPr>
            </w:pPr>
            <w:r w:rsidRPr="00DB5D0D">
              <w:rPr>
                <w:color w:val="000000" w:themeColor="text1"/>
              </w:rPr>
              <w:t>8.</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C013694" w14:textId="77777777" w:rsidR="003C7E8B" w:rsidRPr="00DB5D0D" w:rsidRDefault="003C7E8B" w:rsidP="00DB5D0D">
            <w:pPr>
              <w:pStyle w:val="a3"/>
              <w:rPr>
                <w:color w:val="000000" w:themeColor="text1"/>
                <w:lang w:val="ru-RU"/>
              </w:rPr>
            </w:pPr>
            <w:r w:rsidRPr="00DB5D0D">
              <w:rPr>
                <w:color w:val="000000" w:themeColor="text1"/>
                <w:lang w:val="ru-RU"/>
              </w:rPr>
              <w:t>Обеспечить уплотнение поводковой коробки и главного фрикциона (защита от попадания пыли).</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3597BB56"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468FE45E"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091F6DD" w14:textId="77777777" w:rsidR="003C7E8B" w:rsidRPr="00DB5D0D" w:rsidRDefault="003C7E8B" w:rsidP="00DB5D0D">
            <w:pPr>
              <w:pStyle w:val="a3"/>
              <w:rPr>
                <w:color w:val="000000" w:themeColor="text1"/>
              </w:rPr>
            </w:pPr>
            <w:r w:rsidRPr="00DB5D0D">
              <w:rPr>
                <w:color w:val="000000" w:themeColor="text1"/>
              </w:rPr>
              <w:t>9.</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AB86A6E" w14:textId="77777777" w:rsidR="003C7E8B" w:rsidRPr="00DB5D0D" w:rsidRDefault="003C7E8B" w:rsidP="00DB5D0D">
            <w:pPr>
              <w:pStyle w:val="a3"/>
              <w:rPr>
                <w:color w:val="000000" w:themeColor="text1"/>
                <w:lang w:val="ru-RU"/>
              </w:rPr>
            </w:pPr>
            <w:r w:rsidRPr="00DB5D0D">
              <w:rPr>
                <w:color w:val="000000" w:themeColor="text1"/>
                <w:lang w:val="ru-RU"/>
              </w:rPr>
              <w:t>Устранить выбивание масла с КПП через суфлер.</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6FD7D83F" w14:textId="77777777" w:rsidR="003C7E8B" w:rsidRPr="00DB5D0D" w:rsidRDefault="003C7E8B" w:rsidP="00DB5D0D">
            <w:pPr>
              <w:pStyle w:val="a3"/>
              <w:rPr>
                <w:color w:val="000000" w:themeColor="text1"/>
              </w:rPr>
            </w:pPr>
            <w:r w:rsidRPr="00DB5D0D">
              <w:rPr>
                <w:color w:val="000000" w:themeColor="text1"/>
              </w:rPr>
              <w:t>С 141-й машины</w:t>
            </w:r>
          </w:p>
        </w:tc>
      </w:tr>
      <w:tr w:rsidR="007D5DF8" w:rsidRPr="00DB5D0D" w14:paraId="5764DB3A"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938D12D" w14:textId="77777777" w:rsidR="003C7E8B" w:rsidRPr="00DB5D0D" w:rsidRDefault="003C7E8B" w:rsidP="00DB5D0D">
            <w:pPr>
              <w:pStyle w:val="a3"/>
              <w:rPr>
                <w:color w:val="000000" w:themeColor="text1"/>
              </w:rPr>
            </w:pPr>
            <w:r w:rsidRPr="00DB5D0D">
              <w:rPr>
                <w:color w:val="000000" w:themeColor="text1"/>
              </w:rPr>
              <w:t>10.</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33BD7BD2" w14:textId="77777777" w:rsidR="003C7E8B" w:rsidRPr="00DB5D0D" w:rsidRDefault="003C7E8B" w:rsidP="00DB5D0D">
            <w:pPr>
              <w:pStyle w:val="a3"/>
              <w:rPr>
                <w:color w:val="000000" w:themeColor="text1"/>
              </w:rPr>
            </w:pPr>
            <w:r w:rsidRPr="00DB5D0D">
              <w:rPr>
                <w:color w:val="000000" w:themeColor="text1"/>
              </w:rPr>
              <w:t>Устранить горение тормозных лент.</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07440447" w14:textId="77777777" w:rsidR="003C7E8B" w:rsidRPr="00DB5D0D" w:rsidRDefault="003C7E8B" w:rsidP="00DB5D0D">
            <w:pPr>
              <w:pStyle w:val="a3"/>
              <w:rPr>
                <w:color w:val="000000" w:themeColor="text1"/>
              </w:rPr>
            </w:pPr>
            <w:r w:rsidRPr="00DB5D0D">
              <w:rPr>
                <w:color w:val="000000" w:themeColor="text1"/>
              </w:rPr>
              <w:t>С 141-й машины</w:t>
            </w:r>
          </w:p>
        </w:tc>
      </w:tr>
      <w:tr w:rsidR="007D5DF8" w:rsidRPr="00DB5D0D" w14:paraId="0E5A36A1"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33B2C31" w14:textId="77777777" w:rsidR="003C7E8B" w:rsidRPr="00DB5D0D" w:rsidRDefault="003C7E8B" w:rsidP="00DB5D0D">
            <w:pPr>
              <w:pStyle w:val="a3"/>
              <w:rPr>
                <w:color w:val="000000" w:themeColor="text1"/>
              </w:rPr>
            </w:pPr>
            <w:r w:rsidRPr="00DB5D0D">
              <w:rPr>
                <w:color w:val="000000" w:themeColor="text1"/>
              </w:rPr>
              <w:t>11.</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201B31C3" w14:textId="77777777" w:rsidR="003C7E8B" w:rsidRPr="00DB5D0D" w:rsidRDefault="003C7E8B" w:rsidP="00DB5D0D">
            <w:pPr>
              <w:pStyle w:val="a3"/>
              <w:rPr>
                <w:color w:val="000000" w:themeColor="text1"/>
                <w:lang w:val="ru-RU"/>
              </w:rPr>
            </w:pPr>
            <w:r w:rsidRPr="00DB5D0D">
              <w:rPr>
                <w:color w:val="000000" w:themeColor="text1"/>
                <w:lang w:val="ru-RU"/>
              </w:rPr>
              <w:t>Отработать регулировку подвесок с таким расчетом, чтобы балансиры не доставали крышек в днище корпуса.</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4E50D723" w14:textId="77777777" w:rsidR="003C7E8B" w:rsidRPr="00DB5D0D" w:rsidRDefault="003C7E8B" w:rsidP="00DB5D0D">
            <w:pPr>
              <w:pStyle w:val="a3"/>
              <w:rPr>
                <w:color w:val="000000" w:themeColor="text1"/>
              </w:rPr>
            </w:pPr>
            <w:r w:rsidRPr="00DB5D0D">
              <w:rPr>
                <w:color w:val="000000" w:themeColor="text1"/>
              </w:rPr>
              <w:t>С 201-й машины</w:t>
            </w:r>
          </w:p>
        </w:tc>
      </w:tr>
      <w:tr w:rsidR="007D5DF8" w:rsidRPr="00DB5D0D" w14:paraId="3B3905C2"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5EE7AF5" w14:textId="77777777" w:rsidR="003C7E8B" w:rsidRPr="00DB5D0D" w:rsidRDefault="003C7E8B" w:rsidP="00DB5D0D">
            <w:pPr>
              <w:pStyle w:val="a3"/>
              <w:rPr>
                <w:color w:val="000000" w:themeColor="text1"/>
              </w:rPr>
            </w:pPr>
            <w:r w:rsidRPr="00DB5D0D">
              <w:rPr>
                <w:color w:val="000000" w:themeColor="text1"/>
              </w:rPr>
              <w:t>12.</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18EFD2E3" w14:textId="77777777" w:rsidR="003C7E8B" w:rsidRPr="00DB5D0D" w:rsidRDefault="003C7E8B" w:rsidP="00DB5D0D">
            <w:pPr>
              <w:pStyle w:val="a3"/>
              <w:rPr>
                <w:color w:val="000000" w:themeColor="text1"/>
                <w:lang w:val="ru-RU"/>
              </w:rPr>
            </w:pPr>
            <w:r w:rsidRPr="00DB5D0D">
              <w:rPr>
                <w:color w:val="000000" w:themeColor="text1"/>
                <w:lang w:val="ru-RU"/>
              </w:rPr>
              <w:t>Сделать вырезы в фальшбортах для вынимания пальцев траверз.</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437A05B0"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7C939080" w14:textId="77777777" w:rsidTr="00E543D0">
        <w:trPr>
          <w:trHeight w:val="5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59EAEA2" w14:textId="77777777" w:rsidR="003C7E8B" w:rsidRPr="00DB5D0D" w:rsidRDefault="003C7E8B" w:rsidP="00DB5D0D">
            <w:pPr>
              <w:pStyle w:val="a3"/>
              <w:rPr>
                <w:color w:val="000000" w:themeColor="text1"/>
              </w:rPr>
            </w:pPr>
            <w:r w:rsidRPr="00DB5D0D">
              <w:rPr>
                <w:color w:val="000000" w:themeColor="text1"/>
              </w:rPr>
              <w:t>13.</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039E3773" w14:textId="77777777" w:rsidR="003C7E8B" w:rsidRPr="00DB5D0D" w:rsidRDefault="003C7E8B" w:rsidP="00DB5D0D">
            <w:pPr>
              <w:pStyle w:val="a3"/>
              <w:tabs>
                <w:tab w:val="left" w:pos="283"/>
              </w:tabs>
              <w:rPr>
                <w:color w:val="000000" w:themeColor="text1"/>
                <w:lang w:val="ru-RU"/>
              </w:rPr>
            </w:pPr>
            <w:r w:rsidRPr="00DB5D0D">
              <w:rPr>
                <w:color w:val="000000" w:themeColor="text1"/>
                <w:lang w:val="ru-RU"/>
              </w:rPr>
              <w:t>а)</w:t>
            </w:r>
            <w:r w:rsidRPr="00DB5D0D">
              <w:rPr>
                <w:color w:val="000000" w:themeColor="text1"/>
                <w:lang w:val="ru-RU"/>
              </w:rPr>
              <w:tab/>
              <w:t>Обеспечить удобное переключение 3-4-й скорости, выгнуть рычаг на водителя.</w:t>
            </w:r>
          </w:p>
          <w:p w14:paraId="67C1EBE6" w14:textId="77777777" w:rsidR="003C7E8B" w:rsidRPr="00DB5D0D" w:rsidRDefault="003C7E8B" w:rsidP="00DB5D0D">
            <w:pPr>
              <w:pStyle w:val="a3"/>
              <w:tabs>
                <w:tab w:val="left" w:pos="298"/>
              </w:tabs>
              <w:rPr>
                <w:color w:val="000000" w:themeColor="text1"/>
                <w:lang w:val="ru-RU"/>
              </w:rPr>
            </w:pPr>
            <w:r w:rsidRPr="00DB5D0D">
              <w:rPr>
                <w:color w:val="000000" w:themeColor="text1"/>
                <w:lang w:val="ru-RU"/>
              </w:rPr>
              <w:t>б)</w:t>
            </w:r>
            <w:r w:rsidRPr="00DB5D0D">
              <w:rPr>
                <w:color w:val="000000" w:themeColor="text1"/>
                <w:lang w:val="ru-RU"/>
              </w:rPr>
              <w:tab/>
              <w:t>Рукоятку рычага кулисы и защелку сделать более удобной в работе.</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1583CE71" w14:textId="77777777" w:rsidR="003C7E8B" w:rsidRPr="00DB5D0D" w:rsidRDefault="003C7E8B" w:rsidP="00DB5D0D">
            <w:pPr>
              <w:pStyle w:val="a3"/>
              <w:rPr>
                <w:color w:val="000000" w:themeColor="text1"/>
                <w:lang w:val="ru-RU"/>
              </w:rPr>
            </w:pPr>
            <w:r w:rsidRPr="00DB5D0D">
              <w:rPr>
                <w:color w:val="000000" w:themeColor="text1"/>
                <w:lang w:val="ru-RU"/>
              </w:rPr>
              <w:t>а) с 61-й машины б) со 141-й машины</w:t>
            </w:r>
          </w:p>
        </w:tc>
      </w:tr>
      <w:tr w:rsidR="007D5DF8" w:rsidRPr="00DB5D0D" w14:paraId="4C320FEC"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41B7B55" w14:textId="77777777" w:rsidR="003C7E8B" w:rsidRPr="00DB5D0D" w:rsidRDefault="003C7E8B" w:rsidP="00DB5D0D">
            <w:pPr>
              <w:pStyle w:val="a3"/>
              <w:rPr>
                <w:color w:val="000000" w:themeColor="text1"/>
              </w:rPr>
            </w:pPr>
            <w:r w:rsidRPr="00DB5D0D">
              <w:rPr>
                <w:color w:val="000000" w:themeColor="text1"/>
              </w:rPr>
              <w:t>14.</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6D573708" w14:textId="77777777" w:rsidR="003C7E8B" w:rsidRPr="00DB5D0D" w:rsidRDefault="003C7E8B" w:rsidP="00DB5D0D">
            <w:pPr>
              <w:pStyle w:val="a3"/>
              <w:rPr>
                <w:color w:val="000000" w:themeColor="text1"/>
                <w:lang w:val="ru-RU"/>
              </w:rPr>
            </w:pPr>
            <w:r w:rsidRPr="00DB5D0D">
              <w:rPr>
                <w:color w:val="000000" w:themeColor="text1"/>
                <w:lang w:val="ru-RU"/>
              </w:rPr>
              <w:t>Изогнуть рычаги бортовых фрикционов вовнутрь и поднять их выше, чтобы при работе не отрывать туловище от спинки сидения.</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45E70EDD"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6BF4E7AD"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799B032" w14:textId="77777777" w:rsidR="003C7E8B" w:rsidRPr="00DB5D0D" w:rsidRDefault="003C7E8B" w:rsidP="00DB5D0D">
            <w:pPr>
              <w:pStyle w:val="a3"/>
              <w:rPr>
                <w:color w:val="000000" w:themeColor="text1"/>
              </w:rPr>
            </w:pPr>
            <w:r w:rsidRPr="00DB5D0D">
              <w:rPr>
                <w:color w:val="000000" w:themeColor="text1"/>
              </w:rPr>
              <w:t>15.</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1E093161" w14:textId="77777777" w:rsidR="003C7E8B" w:rsidRPr="00DB5D0D" w:rsidRDefault="003C7E8B" w:rsidP="00DB5D0D">
            <w:pPr>
              <w:pStyle w:val="a3"/>
              <w:rPr>
                <w:color w:val="000000" w:themeColor="text1"/>
                <w:lang w:val="ru-RU"/>
              </w:rPr>
            </w:pPr>
            <w:r w:rsidRPr="00DB5D0D">
              <w:rPr>
                <w:color w:val="000000" w:themeColor="text1"/>
                <w:lang w:val="ru-RU"/>
              </w:rPr>
              <w:t>Снизить подкаблучник, педаль газа сделать по типу педали машины «ЗИС» и конструктивно доработать акселераторный механизм, обеспечив надежность в работе.</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61B80717" w14:textId="77777777" w:rsidR="003C7E8B" w:rsidRPr="00DB5D0D" w:rsidRDefault="003C7E8B" w:rsidP="00DB5D0D">
            <w:pPr>
              <w:pStyle w:val="a3"/>
              <w:rPr>
                <w:color w:val="000000" w:themeColor="text1"/>
              </w:rPr>
            </w:pPr>
            <w:r w:rsidRPr="00DB5D0D">
              <w:rPr>
                <w:color w:val="000000" w:themeColor="text1"/>
              </w:rPr>
              <w:t>Со 121-й машины</w:t>
            </w:r>
          </w:p>
        </w:tc>
      </w:tr>
      <w:tr w:rsidR="007D5DF8" w:rsidRPr="00DB5D0D" w14:paraId="5186061E" w14:textId="77777777" w:rsidTr="00E543D0">
        <w:trPr>
          <w:trHeight w:val="5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D68CE63" w14:textId="77777777" w:rsidR="003C7E8B" w:rsidRPr="00DB5D0D" w:rsidRDefault="003C7E8B" w:rsidP="00DB5D0D">
            <w:pPr>
              <w:pStyle w:val="a3"/>
              <w:rPr>
                <w:color w:val="000000" w:themeColor="text1"/>
              </w:rPr>
            </w:pPr>
            <w:r w:rsidRPr="00DB5D0D">
              <w:rPr>
                <w:color w:val="000000" w:themeColor="text1"/>
              </w:rPr>
              <w:t>16.</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28C26D3B" w14:textId="77777777" w:rsidR="003C7E8B" w:rsidRPr="00DB5D0D" w:rsidRDefault="003C7E8B" w:rsidP="00DB5D0D">
            <w:pPr>
              <w:pStyle w:val="a3"/>
              <w:rPr>
                <w:color w:val="000000" w:themeColor="text1"/>
                <w:lang w:val="ru-RU"/>
              </w:rPr>
            </w:pPr>
            <w:r w:rsidRPr="00DB5D0D">
              <w:rPr>
                <w:color w:val="000000" w:themeColor="text1"/>
                <w:lang w:val="ru-RU"/>
              </w:rPr>
              <w:t>Сиденье водителя понизить, сделать в нем углубление в месте сидения</w:t>
            </w:r>
          </w:p>
          <w:p w14:paraId="45E52BED" w14:textId="77777777" w:rsidR="003C7E8B" w:rsidRPr="00DB5D0D" w:rsidRDefault="003C7E8B" w:rsidP="00DB5D0D">
            <w:pPr>
              <w:pStyle w:val="a3"/>
              <w:rPr>
                <w:color w:val="000000" w:themeColor="text1"/>
                <w:lang w:val="ru-RU"/>
              </w:rPr>
            </w:pPr>
            <w:r w:rsidRPr="00DB5D0D">
              <w:rPr>
                <w:color w:val="000000" w:themeColor="text1"/>
                <w:lang w:val="ru-RU"/>
              </w:rPr>
              <w:t>(и в месте прохождения уравнительного валика). Тоже относится и к сиденью радиста.</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03D3057C"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721A2A99" w14:textId="77777777" w:rsidTr="00E543D0">
        <w:trPr>
          <w:trHeight w:val="28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DA57CD9" w14:textId="77777777" w:rsidR="003C7E8B" w:rsidRPr="00DB5D0D" w:rsidRDefault="003C7E8B" w:rsidP="00DB5D0D">
            <w:pPr>
              <w:pStyle w:val="a3"/>
              <w:rPr>
                <w:color w:val="000000" w:themeColor="text1"/>
              </w:rPr>
            </w:pPr>
            <w:r w:rsidRPr="00DB5D0D">
              <w:rPr>
                <w:color w:val="000000" w:themeColor="text1"/>
              </w:rPr>
              <w:t>17.</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70B36366" w14:textId="77777777" w:rsidR="003C7E8B" w:rsidRPr="00DB5D0D" w:rsidRDefault="003C7E8B" w:rsidP="00DB5D0D">
            <w:pPr>
              <w:pStyle w:val="a3"/>
              <w:rPr>
                <w:color w:val="000000" w:themeColor="text1"/>
                <w:lang w:val="ru-RU"/>
              </w:rPr>
            </w:pPr>
            <w:r w:rsidRPr="00DB5D0D">
              <w:rPr>
                <w:color w:val="000000" w:themeColor="text1"/>
                <w:lang w:val="ru-RU"/>
              </w:rPr>
              <w:t>Защитить от повреждения провода, выходящие к фарам.</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2CF946B4" w14:textId="77777777" w:rsidR="003C7E8B" w:rsidRPr="00DB5D0D" w:rsidRDefault="003C7E8B" w:rsidP="00DB5D0D">
            <w:pPr>
              <w:pStyle w:val="a3"/>
              <w:rPr>
                <w:color w:val="000000" w:themeColor="text1"/>
              </w:rPr>
            </w:pPr>
            <w:r w:rsidRPr="00DB5D0D">
              <w:rPr>
                <w:color w:val="000000" w:themeColor="text1"/>
              </w:rPr>
              <w:t>С 38-й машины</w:t>
            </w:r>
          </w:p>
        </w:tc>
      </w:tr>
      <w:tr w:rsidR="007D5DF8" w:rsidRPr="00DB5D0D" w14:paraId="53271B4D" w14:textId="77777777" w:rsidTr="00E543D0">
        <w:trPr>
          <w:trHeight w:val="5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0E12D29" w14:textId="77777777" w:rsidR="003C7E8B" w:rsidRPr="00DB5D0D" w:rsidRDefault="003C7E8B" w:rsidP="00DB5D0D">
            <w:pPr>
              <w:pStyle w:val="a3"/>
              <w:rPr>
                <w:color w:val="000000" w:themeColor="text1"/>
              </w:rPr>
            </w:pPr>
            <w:r w:rsidRPr="00DB5D0D">
              <w:rPr>
                <w:color w:val="000000" w:themeColor="text1"/>
              </w:rPr>
              <w:t>18.</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098E6839" w14:textId="77777777" w:rsidR="003C7E8B" w:rsidRPr="00DB5D0D" w:rsidRDefault="003C7E8B" w:rsidP="00DB5D0D">
            <w:pPr>
              <w:pStyle w:val="a3"/>
              <w:rPr>
                <w:color w:val="000000" w:themeColor="text1"/>
                <w:lang w:val="ru-RU"/>
              </w:rPr>
            </w:pPr>
            <w:r w:rsidRPr="00DB5D0D">
              <w:rPr>
                <w:color w:val="000000" w:themeColor="text1"/>
                <w:lang w:val="ru-RU"/>
              </w:rPr>
              <w:t>Разработать боеукладку снарядов, обеспечивающую удобную и быструю работу экипажа (предъявленная укладка последнего образца в обслуживании неудобна).</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3740FC98" w14:textId="77777777" w:rsidR="003C7E8B" w:rsidRPr="00DB5D0D" w:rsidRDefault="003C7E8B" w:rsidP="00DB5D0D">
            <w:pPr>
              <w:pStyle w:val="a3"/>
              <w:rPr>
                <w:color w:val="000000" w:themeColor="text1"/>
                <w:lang w:val="ru-RU"/>
              </w:rPr>
            </w:pPr>
            <w:r w:rsidRPr="00DB5D0D">
              <w:rPr>
                <w:color w:val="000000" w:themeColor="text1"/>
                <w:lang w:val="ru-RU"/>
              </w:rPr>
              <w:t>Не позднее 15.09.1940 предъявить эскиз проекта боеукладки</w:t>
            </w:r>
          </w:p>
        </w:tc>
      </w:tr>
      <w:tr w:rsidR="007D5DF8" w:rsidRPr="00DB5D0D" w14:paraId="34E9BE7E" w14:textId="77777777" w:rsidTr="00E543D0">
        <w:trPr>
          <w:trHeight w:val="274"/>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E4F28C6" w14:textId="77777777" w:rsidR="003C7E8B" w:rsidRPr="00DB5D0D" w:rsidRDefault="003C7E8B" w:rsidP="00DB5D0D">
            <w:pPr>
              <w:pStyle w:val="a3"/>
              <w:rPr>
                <w:color w:val="000000" w:themeColor="text1"/>
              </w:rPr>
            </w:pPr>
            <w:r w:rsidRPr="00DB5D0D">
              <w:rPr>
                <w:color w:val="000000" w:themeColor="text1"/>
              </w:rPr>
              <w:t>19.</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DDBF890" w14:textId="77777777" w:rsidR="003C7E8B" w:rsidRPr="00DB5D0D" w:rsidRDefault="003C7E8B" w:rsidP="00DB5D0D">
            <w:pPr>
              <w:pStyle w:val="a3"/>
              <w:rPr>
                <w:color w:val="000000" w:themeColor="text1"/>
                <w:lang w:val="ru-RU"/>
              </w:rPr>
            </w:pPr>
            <w:r w:rsidRPr="00DB5D0D">
              <w:rPr>
                <w:color w:val="000000" w:themeColor="text1"/>
                <w:lang w:val="ru-RU"/>
              </w:rPr>
              <w:t>Увеличить диаметр шпилек, крепящих перегородку.</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5ADB94D6" w14:textId="77777777" w:rsidR="003C7E8B" w:rsidRPr="00DB5D0D" w:rsidRDefault="003C7E8B" w:rsidP="00DB5D0D">
            <w:pPr>
              <w:pStyle w:val="a3"/>
              <w:rPr>
                <w:color w:val="000000" w:themeColor="text1"/>
              </w:rPr>
            </w:pPr>
            <w:r w:rsidRPr="00DB5D0D">
              <w:rPr>
                <w:color w:val="000000" w:themeColor="text1"/>
              </w:rPr>
              <w:t>Со 141-й машины</w:t>
            </w:r>
          </w:p>
        </w:tc>
      </w:tr>
      <w:tr w:rsidR="007D5DF8" w:rsidRPr="00DB5D0D" w14:paraId="34E904C6" w14:textId="77777777" w:rsidTr="00E543D0">
        <w:trPr>
          <w:trHeight w:val="108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63DBF12" w14:textId="77777777" w:rsidR="003C7E8B" w:rsidRPr="00DB5D0D" w:rsidRDefault="003C7E8B" w:rsidP="00DB5D0D">
            <w:pPr>
              <w:pStyle w:val="a3"/>
              <w:rPr>
                <w:color w:val="000000" w:themeColor="text1"/>
              </w:rPr>
            </w:pPr>
            <w:r w:rsidRPr="00DB5D0D">
              <w:rPr>
                <w:color w:val="000000" w:themeColor="text1"/>
              </w:rPr>
              <w:t>20.</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09D7BA1C" w14:textId="77777777" w:rsidR="003C7E8B" w:rsidRPr="00DB5D0D" w:rsidRDefault="003C7E8B" w:rsidP="00DB5D0D">
            <w:pPr>
              <w:pStyle w:val="a3"/>
              <w:rPr>
                <w:color w:val="000000" w:themeColor="text1"/>
                <w:lang w:val="ru-RU"/>
              </w:rPr>
            </w:pPr>
            <w:r w:rsidRPr="00DB5D0D">
              <w:rPr>
                <w:color w:val="000000" w:themeColor="text1"/>
                <w:lang w:val="ru-RU"/>
              </w:rPr>
              <w:t>Обеспечить герметичность всех люков корпуса и башни от проникновения свинцовых брызг и жидкости.</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340B69DD" w14:textId="77777777" w:rsidR="003C7E8B" w:rsidRPr="00DB5D0D" w:rsidRDefault="003C7E8B" w:rsidP="00DB5D0D">
            <w:pPr>
              <w:pStyle w:val="a3"/>
              <w:rPr>
                <w:color w:val="000000" w:themeColor="text1"/>
                <w:lang w:val="ru-RU"/>
              </w:rPr>
            </w:pPr>
            <w:r w:rsidRPr="00DB5D0D">
              <w:rPr>
                <w:color w:val="000000" w:themeColor="text1"/>
                <w:lang w:val="ru-RU"/>
              </w:rPr>
              <w:t>Люк водителя герметизировать с 61-й машины и установить на ранее выпущенных машинах, нижний лаз со 141-й машины</w:t>
            </w:r>
          </w:p>
        </w:tc>
      </w:tr>
      <w:tr w:rsidR="007D5DF8" w:rsidRPr="00DB5D0D" w14:paraId="672B8AE6"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A68F053" w14:textId="77777777" w:rsidR="003C7E8B" w:rsidRPr="00DB5D0D" w:rsidRDefault="003C7E8B" w:rsidP="00DB5D0D">
            <w:pPr>
              <w:pStyle w:val="a3"/>
              <w:rPr>
                <w:color w:val="000000" w:themeColor="text1"/>
              </w:rPr>
            </w:pPr>
            <w:r w:rsidRPr="00DB5D0D">
              <w:rPr>
                <w:color w:val="000000" w:themeColor="text1"/>
              </w:rPr>
              <w:t>21.</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6D89C88" w14:textId="77777777" w:rsidR="003C7E8B" w:rsidRPr="00DB5D0D" w:rsidRDefault="003C7E8B" w:rsidP="00DB5D0D">
            <w:pPr>
              <w:pStyle w:val="a3"/>
              <w:rPr>
                <w:color w:val="000000" w:themeColor="text1"/>
                <w:lang w:val="ru-RU"/>
              </w:rPr>
            </w:pPr>
            <w:r w:rsidRPr="00DB5D0D">
              <w:rPr>
                <w:color w:val="000000" w:themeColor="text1"/>
                <w:lang w:val="ru-RU"/>
              </w:rPr>
              <w:t>Нижний погон башни ставить на мостике.</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4EF9FB53" w14:textId="77777777" w:rsidR="003C7E8B" w:rsidRPr="00DB5D0D" w:rsidRDefault="003C7E8B" w:rsidP="00DB5D0D">
            <w:pPr>
              <w:pStyle w:val="a3"/>
              <w:rPr>
                <w:color w:val="000000" w:themeColor="text1"/>
              </w:rPr>
            </w:pPr>
            <w:r w:rsidRPr="00DB5D0D">
              <w:rPr>
                <w:color w:val="000000" w:themeColor="text1"/>
              </w:rPr>
              <w:t>С 38-й машины</w:t>
            </w:r>
          </w:p>
        </w:tc>
      </w:tr>
      <w:tr w:rsidR="007D5DF8" w:rsidRPr="00DB5D0D" w14:paraId="77695940"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C7C7B0A" w14:textId="77777777" w:rsidR="003C7E8B" w:rsidRPr="00DB5D0D" w:rsidRDefault="003C7E8B" w:rsidP="00DB5D0D">
            <w:pPr>
              <w:pStyle w:val="a3"/>
              <w:rPr>
                <w:color w:val="000000" w:themeColor="text1"/>
              </w:rPr>
            </w:pPr>
            <w:r w:rsidRPr="00DB5D0D">
              <w:rPr>
                <w:color w:val="000000" w:themeColor="text1"/>
              </w:rPr>
              <w:t>22.</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1E88EE2D" w14:textId="77777777" w:rsidR="003C7E8B" w:rsidRPr="00DB5D0D" w:rsidRDefault="003C7E8B" w:rsidP="00DB5D0D">
            <w:pPr>
              <w:pStyle w:val="a3"/>
              <w:rPr>
                <w:color w:val="000000" w:themeColor="text1"/>
              </w:rPr>
            </w:pPr>
            <w:r w:rsidRPr="00DB5D0D">
              <w:rPr>
                <w:color w:val="000000" w:themeColor="text1"/>
                <w:lang w:val="ru-RU"/>
              </w:rPr>
              <w:t xml:space="preserve">Усилить бронировку картеров бортовой передачи. </w:t>
            </w:r>
            <w:r w:rsidRPr="00DB5D0D">
              <w:rPr>
                <w:color w:val="000000" w:themeColor="text1"/>
              </w:rPr>
              <w:t>Сделать равнопрочной корме машины.</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0625E907" w14:textId="77777777" w:rsidR="003C7E8B" w:rsidRPr="00DB5D0D" w:rsidRDefault="003C7E8B" w:rsidP="00DB5D0D">
            <w:pPr>
              <w:pStyle w:val="a3"/>
              <w:rPr>
                <w:color w:val="000000" w:themeColor="text1"/>
                <w:lang w:val="ru-RU"/>
              </w:rPr>
            </w:pPr>
            <w:r w:rsidRPr="00DB5D0D">
              <w:rPr>
                <w:color w:val="000000" w:themeColor="text1"/>
                <w:lang w:val="ru-RU"/>
              </w:rPr>
              <w:t>Ввести немедленно с использованием задела</w:t>
            </w:r>
          </w:p>
        </w:tc>
      </w:tr>
      <w:tr w:rsidR="007D5DF8" w:rsidRPr="00DB5D0D" w14:paraId="7DC71FBC" w14:textId="77777777" w:rsidTr="00E543D0">
        <w:trPr>
          <w:trHeight w:val="5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F91F6CB" w14:textId="77777777" w:rsidR="003C7E8B" w:rsidRPr="00DB5D0D" w:rsidRDefault="003C7E8B" w:rsidP="00DB5D0D">
            <w:pPr>
              <w:pStyle w:val="a3"/>
              <w:rPr>
                <w:color w:val="000000" w:themeColor="text1"/>
              </w:rPr>
            </w:pPr>
            <w:r w:rsidRPr="00DB5D0D">
              <w:rPr>
                <w:color w:val="000000" w:themeColor="text1"/>
              </w:rPr>
              <w:t>23.</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3DB59E0A" w14:textId="77777777" w:rsidR="003C7E8B" w:rsidRPr="00DB5D0D" w:rsidRDefault="003C7E8B" w:rsidP="00DB5D0D">
            <w:pPr>
              <w:pStyle w:val="a3"/>
              <w:rPr>
                <w:color w:val="000000" w:themeColor="text1"/>
                <w:lang w:val="ru-RU"/>
              </w:rPr>
            </w:pPr>
            <w:r w:rsidRPr="00DB5D0D">
              <w:rPr>
                <w:color w:val="000000" w:themeColor="text1"/>
                <w:lang w:val="ru-RU"/>
              </w:rPr>
              <w:t>Передние грязевые щитки нарастить откидными щитками для предотвращения попадания грязи на носовую часть и усилить задние грязевые щитки.</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7B7CCCBB" w14:textId="77777777" w:rsidR="003C7E8B" w:rsidRPr="00DB5D0D" w:rsidRDefault="003C7E8B" w:rsidP="00DB5D0D">
            <w:pPr>
              <w:pStyle w:val="a3"/>
              <w:rPr>
                <w:color w:val="000000" w:themeColor="text1"/>
                <w:lang w:val="ru-RU"/>
              </w:rPr>
            </w:pPr>
            <w:r w:rsidRPr="00DB5D0D">
              <w:rPr>
                <w:color w:val="000000" w:themeColor="text1"/>
                <w:lang w:val="ru-RU"/>
              </w:rPr>
              <w:t>Со 141-й машины с досылкой на все ранее выпущенные машины</w:t>
            </w:r>
          </w:p>
        </w:tc>
      </w:tr>
      <w:tr w:rsidR="007D5DF8" w:rsidRPr="00DB5D0D" w14:paraId="29FB10B6" w14:textId="77777777" w:rsidTr="00E543D0">
        <w:trPr>
          <w:trHeight w:val="28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B196E99" w14:textId="77777777" w:rsidR="003C7E8B" w:rsidRPr="00DB5D0D" w:rsidRDefault="003C7E8B" w:rsidP="00DB5D0D">
            <w:pPr>
              <w:pStyle w:val="a3"/>
              <w:rPr>
                <w:color w:val="000000" w:themeColor="text1"/>
              </w:rPr>
            </w:pPr>
            <w:r w:rsidRPr="00DB5D0D">
              <w:rPr>
                <w:color w:val="000000" w:themeColor="text1"/>
              </w:rPr>
              <w:t>24.</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79B4D4CC" w14:textId="77777777" w:rsidR="003C7E8B" w:rsidRPr="00DB5D0D" w:rsidRDefault="003C7E8B" w:rsidP="00DB5D0D">
            <w:pPr>
              <w:pStyle w:val="a3"/>
              <w:rPr>
                <w:color w:val="000000" w:themeColor="text1"/>
              </w:rPr>
            </w:pPr>
            <w:r w:rsidRPr="00DB5D0D">
              <w:rPr>
                <w:color w:val="000000" w:themeColor="text1"/>
              </w:rPr>
              <w:t>Обеспечить использование шкалой ТОД-3</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2954818F" w14:textId="77777777" w:rsidR="003C7E8B" w:rsidRPr="00DB5D0D" w:rsidRDefault="003C7E8B" w:rsidP="00DB5D0D">
            <w:pPr>
              <w:pStyle w:val="a3"/>
              <w:rPr>
                <w:color w:val="000000" w:themeColor="text1"/>
              </w:rPr>
            </w:pPr>
            <w:r w:rsidRPr="00DB5D0D">
              <w:rPr>
                <w:color w:val="000000" w:themeColor="text1"/>
              </w:rPr>
              <w:t>К 15.09.1940</w:t>
            </w:r>
          </w:p>
        </w:tc>
      </w:tr>
      <w:tr w:rsidR="007D5DF8" w:rsidRPr="00DB5D0D" w14:paraId="700926B8"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FBCCDB7" w14:textId="77777777" w:rsidR="003C7E8B" w:rsidRPr="00DB5D0D" w:rsidRDefault="003C7E8B" w:rsidP="00DB5D0D">
            <w:pPr>
              <w:pStyle w:val="a3"/>
              <w:rPr>
                <w:color w:val="000000" w:themeColor="text1"/>
              </w:rPr>
            </w:pPr>
            <w:r w:rsidRPr="00DB5D0D">
              <w:rPr>
                <w:color w:val="000000" w:themeColor="text1"/>
              </w:rPr>
              <w:t>25.</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292CB6C8" w14:textId="77777777" w:rsidR="003C7E8B" w:rsidRPr="00DB5D0D" w:rsidRDefault="003C7E8B" w:rsidP="00DB5D0D">
            <w:pPr>
              <w:pStyle w:val="a3"/>
              <w:rPr>
                <w:color w:val="000000" w:themeColor="text1"/>
                <w:lang w:val="ru-RU"/>
              </w:rPr>
            </w:pPr>
            <w:r w:rsidRPr="00DB5D0D">
              <w:rPr>
                <w:color w:val="000000" w:themeColor="text1"/>
                <w:lang w:val="ru-RU"/>
              </w:rPr>
              <w:t>Предохранить заряжающего от ушибов рукояткой затвора (разработать и установить предохранительный щиток).</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336CCD35" w14:textId="77777777" w:rsidR="003C7E8B" w:rsidRPr="00DB5D0D" w:rsidRDefault="003C7E8B" w:rsidP="00DB5D0D">
            <w:pPr>
              <w:pStyle w:val="a3"/>
              <w:rPr>
                <w:color w:val="000000" w:themeColor="text1"/>
                <w:lang w:val="ru-RU"/>
              </w:rPr>
            </w:pPr>
            <w:r w:rsidRPr="00DB5D0D">
              <w:rPr>
                <w:color w:val="000000" w:themeColor="text1"/>
                <w:lang w:val="ru-RU"/>
              </w:rPr>
              <w:t>Со 141-й машины и установить на ранее выпущенных машинах</w:t>
            </w:r>
          </w:p>
        </w:tc>
      </w:tr>
      <w:tr w:rsidR="007D5DF8" w:rsidRPr="00DB5D0D" w14:paraId="578D996D"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A1F5117" w14:textId="77777777" w:rsidR="003C7E8B" w:rsidRPr="00DB5D0D" w:rsidRDefault="003C7E8B" w:rsidP="00DB5D0D">
            <w:pPr>
              <w:pStyle w:val="a3"/>
              <w:rPr>
                <w:color w:val="000000" w:themeColor="text1"/>
              </w:rPr>
            </w:pPr>
            <w:r w:rsidRPr="00DB5D0D">
              <w:rPr>
                <w:color w:val="000000" w:themeColor="text1"/>
              </w:rPr>
              <w:t>26.</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0E7696BB" w14:textId="77777777" w:rsidR="003C7E8B" w:rsidRPr="00DB5D0D" w:rsidRDefault="003C7E8B" w:rsidP="00DB5D0D">
            <w:pPr>
              <w:pStyle w:val="a3"/>
              <w:rPr>
                <w:color w:val="000000" w:themeColor="text1"/>
                <w:lang w:val="ru-RU"/>
              </w:rPr>
            </w:pPr>
            <w:r w:rsidRPr="00DB5D0D">
              <w:rPr>
                <w:color w:val="000000" w:themeColor="text1"/>
                <w:lang w:val="ru-RU"/>
              </w:rPr>
              <w:t>Предохранить от выпадения кассеты прибора кругового обзора внутрь машины.</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76814053" w14:textId="77777777" w:rsidR="003C7E8B" w:rsidRPr="00DB5D0D" w:rsidRDefault="003C7E8B" w:rsidP="00DB5D0D">
            <w:pPr>
              <w:pStyle w:val="a3"/>
              <w:rPr>
                <w:color w:val="000000" w:themeColor="text1"/>
                <w:lang w:val="ru-RU"/>
              </w:rPr>
            </w:pPr>
            <w:r w:rsidRPr="00DB5D0D">
              <w:rPr>
                <w:color w:val="000000" w:themeColor="text1"/>
                <w:lang w:val="ru-RU"/>
              </w:rPr>
              <w:t>Разработать и установить с 141-й машины</w:t>
            </w:r>
          </w:p>
        </w:tc>
      </w:tr>
      <w:tr w:rsidR="007D5DF8" w:rsidRPr="00DB5D0D" w14:paraId="74E0C747" w14:textId="77777777" w:rsidTr="00E543D0">
        <w:trPr>
          <w:trHeight w:val="547"/>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E43CC60" w14:textId="77777777" w:rsidR="003C7E8B" w:rsidRPr="00DB5D0D" w:rsidRDefault="003C7E8B" w:rsidP="00DB5D0D">
            <w:pPr>
              <w:pStyle w:val="a3"/>
              <w:rPr>
                <w:color w:val="000000" w:themeColor="text1"/>
              </w:rPr>
            </w:pPr>
            <w:r w:rsidRPr="00DB5D0D">
              <w:rPr>
                <w:color w:val="000000" w:themeColor="text1"/>
              </w:rPr>
              <w:t>27.</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3A0480A7" w14:textId="77777777" w:rsidR="003C7E8B" w:rsidRPr="00DB5D0D" w:rsidRDefault="003C7E8B" w:rsidP="00DB5D0D">
            <w:pPr>
              <w:pStyle w:val="a3"/>
              <w:rPr>
                <w:color w:val="000000" w:themeColor="text1"/>
              </w:rPr>
            </w:pPr>
            <w:r w:rsidRPr="00DB5D0D">
              <w:rPr>
                <w:color w:val="000000" w:themeColor="text1"/>
              </w:rPr>
              <w:t>Защитить диоптр радиста.</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59C85138" w14:textId="77777777" w:rsidR="003C7E8B" w:rsidRPr="00DB5D0D" w:rsidRDefault="003C7E8B" w:rsidP="00DB5D0D">
            <w:pPr>
              <w:pStyle w:val="a3"/>
              <w:rPr>
                <w:color w:val="000000" w:themeColor="text1"/>
                <w:lang w:val="ru-RU"/>
              </w:rPr>
            </w:pPr>
            <w:r w:rsidRPr="00DB5D0D">
              <w:rPr>
                <w:color w:val="000000" w:themeColor="text1"/>
                <w:lang w:val="ru-RU"/>
              </w:rPr>
              <w:t>На всех выпускаемых и выпущенных машинах</w:t>
            </w:r>
          </w:p>
        </w:tc>
      </w:tr>
      <w:tr w:rsidR="007D5DF8" w:rsidRPr="00DB5D0D" w14:paraId="79E4BE33" w14:textId="77777777" w:rsidTr="00E543D0">
        <w:trPr>
          <w:trHeight w:val="274"/>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E49EB3F" w14:textId="77777777" w:rsidR="003C7E8B" w:rsidRPr="00DB5D0D" w:rsidRDefault="003C7E8B" w:rsidP="00DB5D0D">
            <w:pPr>
              <w:pStyle w:val="a3"/>
              <w:rPr>
                <w:color w:val="000000" w:themeColor="text1"/>
              </w:rPr>
            </w:pPr>
            <w:r w:rsidRPr="00DB5D0D">
              <w:rPr>
                <w:color w:val="000000" w:themeColor="text1"/>
              </w:rPr>
              <w:t>28.</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24D2C4DA" w14:textId="77777777" w:rsidR="003C7E8B" w:rsidRPr="00DB5D0D" w:rsidRDefault="003C7E8B" w:rsidP="00DB5D0D">
            <w:pPr>
              <w:pStyle w:val="a3"/>
              <w:rPr>
                <w:color w:val="000000" w:themeColor="text1"/>
              </w:rPr>
            </w:pPr>
            <w:r w:rsidRPr="00DB5D0D">
              <w:rPr>
                <w:color w:val="000000" w:themeColor="text1"/>
              </w:rPr>
              <w:t>Удлинить загиб выхлопных труб.</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44D6A780"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5F32020" w14:textId="77777777" w:rsidTr="00E543D0">
        <w:trPr>
          <w:trHeight w:val="562"/>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761AF86" w14:textId="77777777" w:rsidR="003C7E8B" w:rsidRPr="00DB5D0D" w:rsidRDefault="003C7E8B" w:rsidP="00DB5D0D">
            <w:pPr>
              <w:pStyle w:val="a3"/>
              <w:rPr>
                <w:color w:val="000000" w:themeColor="text1"/>
              </w:rPr>
            </w:pPr>
            <w:r w:rsidRPr="00DB5D0D">
              <w:rPr>
                <w:color w:val="000000" w:themeColor="text1"/>
              </w:rPr>
              <w:t>29.</w:t>
            </w:r>
          </w:p>
        </w:tc>
        <w:tc>
          <w:tcPr>
            <w:tcW w:w="7512" w:type="dxa"/>
            <w:tcBorders>
              <w:top w:val="single" w:sz="6" w:space="0" w:color="auto"/>
              <w:left w:val="single" w:sz="6" w:space="0" w:color="auto"/>
              <w:bottom w:val="single" w:sz="6" w:space="0" w:color="auto"/>
              <w:right w:val="single" w:sz="6" w:space="0" w:color="auto"/>
            </w:tcBorders>
            <w:shd w:val="clear" w:color="auto" w:fill="FFFFFF"/>
          </w:tcPr>
          <w:p w14:paraId="59979167" w14:textId="77777777" w:rsidR="003C7E8B" w:rsidRPr="00DB5D0D" w:rsidRDefault="003C7E8B" w:rsidP="00DB5D0D">
            <w:pPr>
              <w:pStyle w:val="a3"/>
              <w:rPr>
                <w:color w:val="000000" w:themeColor="text1"/>
                <w:lang w:val="ru-RU"/>
              </w:rPr>
            </w:pPr>
            <w:r w:rsidRPr="00DB5D0D">
              <w:rPr>
                <w:color w:val="000000" w:themeColor="text1"/>
                <w:lang w:val="ru-RU"/>
              </w:rPr>
              <w:t>На всех кранах и ручках управления поставить таблички, указывающие положение «открыто», «закрыто» или направление вращения.</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14:paraId="26B2019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bl>
    <w:p w14:paraId="2B241630" w14:textId="77777777" w:rsidR="003C7E8B" w:rsidRPr="00DB5D0D" w:rsidRDefault="003C7E8B"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Cs/>
          <w:color w:val="000000" w:themeColor="text1"/>
          <w:sz w:val="16"/>
          <w:szCs w:val="16"/>
        </w:rPr>
        <w:t>(11939).</w:t>
      </w:r>
    </w:p>
    <w:p w14:paraId="2273E982"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53D1F1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самом конце августа 1940 А.А. Морозовым были подписаны изменения в чертеже 34.30.182-1:</w:t>
      </w:r>
    </w:p>
    <w:p w14:paraId="3822DEFB" w14:textId="77777777" w:rsidR="003C7E8B" w:rsidRPr="00DB5D0D" w:rsidRDefault="003C7E8B" w:rsidP="00DB5D0D">
      <w:pPr>
        <w:tabs>
          <w:tab w:val="left" w:pos="567"/>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упразднено отлитое зацело с телом башни кольцо для крепле</w:t>
      </w:r>
      <w:r w:rsidRPr="00DB5D0D">
        <w:rPr>
          <w:rFonts w:ascii="Times New Roman" w:hAnsi="Times New Roman"/>
          <w:color w:val="000000" w:themeColor="text1"/>
          <w:sz w:val="16"/>
          <w:szCs w:val="16"/>
        </w:rPr>
        <w:softHyphen/>
        <w:t>ния погона;</w:t>
      </w:r>
    </w:p>
    <w:p w14:paraId="2CD10C04" w14:textId="77777777" w:rsidR="003C7E8B" w:rsidRPr="00DB5D0D" w:rsidRDefault="003C7E8B" w:rsidP="00DB5D0D">
      <w:pPr>
        <w:tabs>
          <w:tab w:val="left" w:pos="574"/>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упразднен отлитый зацело с телом башни кронштейн для креп</w:t>
      </w:r>
      <w:r w:rsidRPr="00DB5D0D">
        <w:rPr>
          <w:rFonts w:ascii="Times New Roman" w:hAnsi="Times New Roman"/>
          <w:color w:val="000000" w:themeColor="text1"/>
          <w:sz w:val="16"/>
          <w:szCs w:val="16"/>
        </w:rPr>
        <w:softHyphen/>
        <w:t>ления механизма поворота башни;</w:t>
      </w:r>
    </w:p>
    <w:p w14:paraId="6AC6BE35" w14:textId="77777777" w:rsidR="003C7E8B" w:rsidRPr="00DB5D0D" w:rsidRDefault="003C7E8B" w:rsidP="00DB5D0D">
      <w:pPr>
        <w:tabs>
          <w:tab w:val="left" w:pos="582"/>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введено местное утолщение по нижней юбке башни в районе ниши, а также внедрен ряд других мелких изменений (11939).</w:t>
      </w:r>
    </w:p>
    <w:p w14:paraId="657BDF6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C365ED6"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 конце августа 1940 года были подготовлены тактико-технические требования на проектирование 152-мм самоходной артиллерийской установки.</w:t>
      </w:r>
    </w:p>
    <w:p w14:paraId="2CE13194"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САУ, которую поручили разработать Кировскому заводу, получила заводской индекс 212. Ведущим конструктором по проекту САУ стал Ц. Н. Гольбурт. В целом САУ 212 напоминала экранированную СУ-14-1, особенно это касалось компоновки боевого отделения. В качестве базы для 212 использовалось переработанное шасси от Т-220 с размещением силовой установки в центральной части корпуса, при этом трансмиссия и ведущие колёса находились впереди. В носовой части также размещалось и отделение управления. Боевое отделение находилось в массивной рубке, находившейся в кормовой части. С одной стороны, подобное решение резко увеличивало размеры САУ, с другой же, обеспечивалось удобство расчёта. Кроме того, кормовое расположение рубки позволило свести к минимуму «вылет» 152-мм пушки БР-2 за габариты 212.</w:t>
      </w:r>
    </w:p>
    <w:p w14:paraId="5637BB94"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работы над 212 было выделено 2 миллиона рублей. Из них 100 тысяч пошло на разработку технического проекта, 25 тысяч — на изготовление макета, 300 тысяч — на чертежи, 75 тысяч — на доработку чертежей, 1 миллион 100 тысяч — на изготовление опытного образца, 100 тысяч — на испытания и 300 тысяч — на ремонт. В эту сумму не включалась стоимость вооружения.</w:t>
      </w:r>
    </w:p>
    <w:p w14:paraId="3323FB2D"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 первый образец самоходной установки должны были изготовить к 1 декабря 1940 года. В планы, впрочем, пришлось вносить серьёзные коррективы в связи с большим количеством проблем и замечаний, появившихся в ходе проектирования (12264).</w:t>
      </w:r>
    </w:p>
    <w:p w14:paraId="0667C218" w14:textId="77777777" w:rsidR="0020476B" w:rsidRPr="00DB5D0D" w:rsidRDefault="0020476B" w:rsidP="00DB5D0D">
      <w:pPr>
        <w:spacing w:after="0" w:line="240" w:lineRule="auto"/>
        <w:jc w:val="both"/>
        <w:rPr>
          <w:rFonts w:ascii="Times New Roman" w:hAnsi="Times New Roman"/>
          <w:color w:val="000000" w:themeColor="text1"/>
          <w:sz w:val="16"/>
          <w:szCs w:val="16"/>
        </w:rPr>
      </w:pPr>
    </w:p>
    <w:p w14:paraId="558DD6E7" w14:textId="77777777" w:rsidR="00A150F9" w:rsidRPr="00DB5D0D" w:rsidRDefault="00A150F9" w:rsidP="00DB5D0D">
      <w:pPr>
        <w:pStyle w:val="a3"/>
        <w:rPr>
          <w:color w:val="000000" w:themeColor="text1"/>
          <w:lang w:val="ru-RU"/>
        </w:rPr>
      </w:pPr>
      <w:r w:rsidRPr="00DB5D0D">
        <w:rPr>
          <w:color w:val="000000" w:themeColor="text1"/>
          <w:lang w:val="ru-RU"/>
        </w:rPr>
        <w:t>В конце августа 1940 года были подготовлены тактико-технические требования на проектирование 152-мм самоходной артиллерийской установки. Следует отметить, что ТТТ подписал только заместитель начальника ГАУ КА генерал-майор Савченко, начальник ГАБТУ КА генерал-лейтенант Федоренко свою подпись в документе так и не по</w:t>
      </w:r>
      <w:r w:rsidRPr="00DB5D0D">
        <w:rPr>
          <w:color w:val="000000" w:themeColor="text1"/>
          <w:lang w:val="ru-RU"/>
        </w:rPr>
        <w:softHyphen/>
        <w:t>ставил. Общий объем ТТТ занимает 7 страниц текста, поэтому в книге они приводятся частично:</w:t>
      </w:r>
    </w:p>
    <w:p w14:paraId="3D7A40FF"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«I. Общая характеристика.</w:t>
      </w:r>
    </w:p>
    <w:p w14:paraId="161C51C1" w14:textId="77777777" w:rsidR="00A150F9" w:rsidRPr="00DB5D0D" w:rsidRDefault="00A150F9" w:rsidP="00DB5D0D">
      <w:pPr>
        <w:pStyle w:val="Bodytext141"/>
        <w:shd w:val="clear" w:color="auto" w:fill="auto"/>
        <w:tabs>
          <w:tab w:val="left" w:pos="961"/>
        </w:tabs>
        <w:spacing w:line="240" w:lineRule="auto"/>
        <w:ind w:firstLine="0"/>
        <w:jc w:val="both"/>
        <w:rPr>
          <w:i w:val="0"/>
          <w:color w:val="000000" w:themeColor="text1"/>
          <w:sz w:val="16"/>
          <w:szCs w:val="16"/>
        </w:rPr>
      </w:pPr>
      <w:r w:rsidRPr="00DB5D0D">
        <w:rPr>
          <w:i w:val="0"/>
          <w:color w:val="000000" w:themeColor="text1"/>
          <w:sz w:val="16"/>
          <w:szCs w:val="16"/>
        </w:rPr>
        <w:t>1. Тип самохода — гусеничный, бронированный.</w:t>
      </w:r>
    </w:p>
    <w:p w14:paraId="577907CB" w14:textId="77777777" w:rsidR="00A150F9" w:rsidRPr="00DB5D0D" w:rsidRDefault="00A150F9" w:rsidP="00DB5D0D">
      <w:pPr>
        <w:pStyle w:val="Bodytext141"/>
        <w:shd w:val="clear" w:color="auto" w:fill="auto"/>
        <w:tabs>
          <w:tab w:val="left" w:pos="966"/>
        </w:tabs>
        <w:spacing w:line="240" w:lineRule="auto"/>
        <w:ind w:firstLine="0"/>
        <w:jc w:val="both"/>
        <w:rPr>
          <w:i w:val="0"/>
          <w:color w:val="000000" w:themeColor="text1"/>
          <w:sz w:val="16"/>
          <w:szCs w:val="16"/>
        </w:rPr>
      </w:pPr>
      <w:r w:rsidRPr="00DB5D0D">
        <w:rPr>
          <w:i w:val="0"/>
          <w:color w:val="000000" w:themeColor="text1"/>
          <w:sz w:val="16"/>
          <w:szCs w:val="16"/>
        </w:rPr>
        <w:t>2. Вес общий — не более 55 тонн.</w:t>
      </w:r>
    </w:p>
    <w:p w14:paraId="592CD6CE" w14:textId="77777777" w:rsidR="00A150F9" w:rsidRPr="00DB5D0D" w:rsidRDefault="00A150F9" w:rsidP="00DB5D0D">
      <w:pPr>
        <w:pStyle w:val="Bodytext141"/>
        <w:shd w:val="clear" w:color="auto" w:fill="auto"/>
        <w:tabs>
          <w:tab w:val="left" w:pos="990"/>
        </w:tabs>
        <w:spacing w:line="240" w:lineRule="auto"/>
        <w:ind w:firstLine="0"/>
        <w:jc w:val="both"/>
        <w:rPr>
          <w:i w:val="0"/>
          <w:color w:val="000000" w:themeColor="text1"/>
          <w:sz w:val="16"/>
          <w:szCs w:val="16"/>
        </w:rPr>
      </w:pPr>
      <w:r w:rsidRPr="00DB5D0D">
        <w:rPr>
          <w:i w:val="0"/>
          <w:color w:val="000000" w:themeColor="text1"/>
          <w:sz w:val="16"/>
          <w:szCs w:val="16"/>
        </w:rPr>
        <w:t>3. Габариты — в габаритах, допускающих перевозку по железным дорогам Западной Европы.</w:t>
      </w:r>
    </w:p>
    <w:p w14:paraId="2839716F" w14:textId="77777777" w:rsidR="00A150F9" w:rsidRPr="00DB5D0D" w:rsidRDefault="00A150F9" w:rsidP="00DB5D0D">
      <w:pPr>
        <w:pStyle w:val="Bodytext141"/>
        <w:shd w:val="clear" w:color="auto" w:fill="auto"/>
        <w:tabs>
          <w:tab w:val="left" w:pos="966"/>
        </w:tabs>
        <w:spacing w:line="240" w:lineRule="auto"/>
        <w:ind w:firstLine="0"/>
        <w:jc w:val="both"/>
        <w:rPr>
          <w:i w:val="0"/>
          <w:color w:val="000000" w:themeColor="text1"/>
          <w:sz w:val="16"/>
          <w:szCs w:val="16"/>
        </w:rPr>
      </w:pPr>
      <w:r w:rsidRPr="00DB5D0D">
        <w:rPr>
          <w:i w:val="0"/>
          <w:color w:val="000000" w:themeColor="text1"/>
          <w:sz w:val="16"/>
          <w:szCs w:val="16"/>
        </w:rPr>
        <w:t>4. Скорость движения — максимальная 35 км. Максимально преодолеваемый подъем на твердом грунте 35°.</w:t>
      </w:r>
    </w:p>
    <w:p w14:paraId="3EC16593" w14:textId="77777777" w:rsidR="00A150F9" w:rsidRPr="00DB5D0D" w:rsidRDefault="00A150F9" w:rsidP="00DB5D0D">
      <w:pPr>
        <w:pStyle w:val="Bodytext141"/>
        <w:shd w:val="clear" w:color="auto" w:fill="auto"/>
        <w:tabs>
          <w:tab w:val="left" w:pos="970"/>
        </w:tabs>
        <w:spacing w:line="240" w:lineRule="auto"/>
        <w:ind w:firstLine="0"/>
        <w:jc w:val="both"/>
        <w:rPr>
          <w:i w:val="0"/>
          <w:color w:val="000000" w:themeColor="text1"/>
          <w:sz w:val="16"/>
          <w:szCs w:val="16"/>
        </w:rPr>
      </w:pPr>
      <w:r w:rsidRPr="00DB5D0D">
        <w:rPr>
          <w:i w:val="0"/>
          <w:color w:val="000000" w:themeColor="text1"/>
          <w:sz w:val="16"/>
          <w:szCs w:val="16"/>
        </w:rPr>
        <w:t>5. Вооружение:</w:t>
      </w:r>
    </w:p>
    <w:p w14:paraId="1C627F5D"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Пушка БР-2 152-мм калибра — одна (с углубленной нарезкой).</w:t>
      </w:r>
    </w:p>
    <w:p w14:paraId="09BCC6CA"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Пулеметов ДТ — три (из них 1 зенитный). Пистолетов ППД - два.</w:t>
      </w:r>
    </w:p>
    <w:p w14:paraId="2A22E91C"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Угол снижения пушки минус 3мертвое пространство пулемета не должно быть более 10 метров.</w:t>
      </w:r>
    </w:p>
    <w:p w14:paraId="185593B7"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Угол возвышения максимально возможный.</w:t>
      </w:r>
    </w:p>
    <w:p w14:paraId="2610A454"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Угол горизонтального обстрела пушки не менее 10°.</w:t>
      </w:r>
    </w:p>
    <w:p w14:paraId="677D03FA"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Угол горизонтального обстрела пулеметов не менее 30°.</w:t>
      </w:r>
    </w:p>
    <w:p w14:paraId="420E8961" w14:textId="77777777" w:rsidR="00A150F9" w:rsidRPr="00DB5D0D" w:rsidRDefault="00A150F9" w:rsidP="00DB5D0D">
      <w:pPr>
        <w:pStyle w:val="Bodytext141"/>
        <w:shd w:val="clear" w:color="auto" w:fill="auto"/>
        <w:tabs>
          <w:tab w:val="left" w:pos="496"/>
        </w:tabs>
        <w:spacing w:line="240" w:lineRule="auto"/>
        <w:ind w:firstLine="0"/>
        <w:jc w:val="both"/>
        <w:rPr>
          <w:i w:val="0"/>
          <w:color w:val="000000" w:themeColor="text1"/>
          <w:sz w:val="16"/>
          <w:szCs w:val="16"/>
        </w:rPr>
      </w:pPr>
      <w:r w:rsidRPr="00DB5D0D">
        <w:rPr>
          <w:i w:val="0"/>
          <w:color w:val="000000" w:themeColor="text1"/>
          <w:sz w:val="16"/>
          <w:szCs w:val="16"/>
        </w:rPr>
        <w:t>6. Боекомплект: Снарядов 152 мм — 50 шт. Патронов пулеметных — 3000 шт. Гранат Ф-1 — 30 шт. Патронов для ППД — 1000 шт.</w:t>
      </w:r>
    </w:p>
    <w:p w14:paraId="42B915DF" w14:textId="77777777" w:rsidR="00A150F9" w:rsidRPr="00DB5D0D" w:rsidRDefault="00A150F9" w:rsidP="00DB5D0D">
      <w:pPr>
        <w:pStyle w:val="Bodytext141"/>
        <w:shd w:val="clear" w:color="auto" w:fill="auto"/>
        <w:tabs>
          <w:tab w:val="left" w:pos="482"/>
        </w:tabs>
        <w:spacing w:line="240" w:lineRule="auto"/>
        <w:ind w:firstLine="0"/>
        <w:jc w:val="both"/>
        <w:rPr>
          <w:i w:val="0"/>
          <w:color w:val="000000" w:themeColor="text1"/>
          <w:sz w:val="16"/>
          <w:szCs w:val="16"/>
        </w:rPr>
      </w:pPr>
      <w:r w:rsidRPr="00DB5D0D">
        <w:rPr>
          <w:i w:val="0"/>
          <w:color w:val="000000" w:themeColor="text1"/>
          <w:sz w:val="16"/>
          <w:szCs w:val="16"/>
        </w:rPr>
        <w:t>7. Проходимость:</w:t>
      </w:r>
    </w:p>
    <w:p w14:paraId="5188D85D"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Подъемы и спуски не менее 40°.</w:t>
      </w:r>
    </w:p>
    <w:p w14:paraId="09E14526"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Бортовой крен не менее 30°.</w:t>
      </w:r>
    </w:p>
    <w:p w14:paraId="222682B8"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Вертикальные станки не менее - 0,8 мт.</w:t>
      </w:r>
    </w:p>
    <w:p w14:paraId="3A71A45C"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Окоп не менее — 3,0мт.</w:t>
      </w:r>
    </w:p>
    <w:p w14:paraId="34BB3D42"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Удельное давление не более — 0,70кг/см</w:t>
      </w:r>
      <w:r w:rsidRPr="00DB5D0D">
        <w:rPr>
          <w:i w:val="0"/>
          <w:color w:val="000000" w:themeColor="text1"/>
          <w:sz w:val="16"/>
          <w:szCs w:val="16"/>
          <w:vertAlign w:val="superscript"/>
        </w:rPr>
        <w:t>2</w:t>
      </w:r>
    </w:p>
    <w:p w14:paraId="0E29CCAB"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Брод без спецприспособлений не менее — 1,5мт.</w:t>
      </w:r>
    </w:p>
    <w:p w14:paraId="749D7EBB" w14:textId="77777777" w:rsidR="00A150F9" w:rsidRPr="00DB5D0D" w:rsidRDefault="00A150F9" w:rsidP="00DB5D0D">
      <w:pPr>
        <w:pStyle w:val="Bodytext141"/>
        <w:shd w:val="clear" w:color="auto" w:fill="auto"/>
        <w:tabs>
          <w:tab w:val="left" w:pos="510"/>
        </w:tabs>
        <w:spacing w:line="240" w:lineRule="auto"/>
        <w:ind w:firstLine="0"/>
        <w:jc w:val="both"/>
        <w:rPr>
          <w:i w:val="0"/>
          <w:color w:val="000000" w:themeColor="text1"/>
          <w:sz w:val="16"/>
          <w:szCs w:val="16"/>
        </w:rPr>
      </w:pPr>
      <w:r w:rsidRPr="00DB5D0D">
        <w:rPr>
          <w:i w:val="0"/>
          <w:color w:val="000000" w:themeColor="text1"/>
          <w:sz w:val="16"/>
          <w:szCs w:val="16"/>
        </w:rPr>
        <w:t>8. Запас хода по горючему — не менее, чем на 10 часов работы мо</w:t>
      </w:r>
      <w:r w:rsidRPr="00DB5D0D">
        <w:rPr>
          <w:i w:val="0"/>
          <w:color w:val="000000" w:themeColor="text1"/>
          <w:sz w:val="16"/>
          <w:szCs w:val="16"/>
        </w:rPr>
        <w:softHyphen/>
        <w:t>тора.</w:t>
      </w:r>
    </w:p>
    <w:p w14:paraId="5913B821" w14:textId="77777777" w:rsidR="00A150F9" w:rsidRPr="00DB5D0D" w:rsidRDefault="00A150F9" w:rsidP="00DB5D0D">
      <w:pPr>
        <w:pStyle w:val="Bodytext141"/>
        <w:shd w:val="clear" w:color="auto" w:fill="auto"/>
        <w:tabs>
          <w:tab w:val="left" w:pos="510"/>
        </w:tabs>
        <w:spacing w:line="240" w:lineRule="auto"/>
        <w:ind w:firstLine="0"/>
        <w:jc w:val="both"/>
        <w:rPr>
          <w:i w:val="0"/>
          <w:color w:val="000000" w:themeColor="text1"/>
          <w:sz w:val="16"/>
          <w:szCs w:val="16"/>
        </w:rPr>
      </w:pPr>
      <w:r w:rsidRPr="00DB5D0D">
        <w:rPr>
          <w:i w:val="0"/>
          <w:color w:val="000000" w:themeColor="text1"/>
          <w:sz w:val="16"/>
          <w:szCs w:val="16"/>
        </w:rPr>
        <w:t>9. Экипаж 8 человек. Предусмотреть возможность взаимозамены экипажа внутри САУ (без выхода из машины). Примечание: установка и конструкция пушки должны допу</w:t>
      </w:r>
      <w:r w:rsidRPr="00DB5D0D">
        <w:rPr>
          <w:i w:val="0"/>
          <w:color w:val="000000" w:themeColor="text1"/>
          <w:sz w:val="16"/>
          <w:szCs w:val="16"/>
        </w:rPr>
        <w:softHyphen/>
        <w:t>скать нормальную стрельбу при углах снижения от горизонта орудия до — 20°.</w:t>
      </w:r>
    </w:p>
    <w:p w14:paraId="648BAEEA" w14:textId="77777777" w:rsidR="00A150F9" w:rsidRPr="00DB5D0D" w:rsidRDefault="00A150F9" w:rsidP="00DB5D0D">
      <w:pPr>
        <w:pStyle w:val="Bodytext141"/>
        <w:shd w:val="clear" w:color="auto" w:fill="auto"/>
        <w:tabs>
          <w:tab w:val="left" w:pos="322"/>
        </w:tabs>
        <w:spacing w:line="240" w:lineRule="auto"/>
        <w:ind w:firstLine="0"/>
        <w:jc w:val="both"/>
        <w:rPr>
          <w:i w:val="0"/>
          <w:color w:val="000000" w:themeColor="text1"/>
          <w:sz w:val="16"/>
          <w:szCs w:val="16"/>
        </w:rPr>
      </w:pPr>
      <w:r w:rsidRPr="00DB5D0D">
        <w:rPr>
          <w:i w:val="0"/>
          <w:color w:val="000000" w:themeColor="text1"/>
          <w:sz w:val="16"/>
          <w:szCs w:val="16"/>
        </w:rPr>
        <w:t>10. Средства связи:</w:t>
      </w:r>
    </w:p>
    <w:p w14:paraId="5DC23A8C"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Для внешней связи — коротковолновая кварцевая рация и ком</w:t>
      </w:r>
      <w:r w:rsidRPr="00DB5D0D">
        <w:rPr>
          <w:i w:val="0"/>
          <w:color w:val="000000" w:themeColor="text1"/>
          <w:sz w:val="16"/>
          <w:szCs w:val="16"/>
        </w:rPr>
        <w:softHyphen/>
        <w:t>плект флажков.</w:t>
      </w:r>
    </w:p>
    <w:p w14:paraId="7F4CEA24"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Для внутренней связи ТПУна 4 точки (командир, водитель, ар</w:t>
      </w:r>
      <w:r w:rsidRPr="00DB5D0D">
        <w:rPr>
          <w:i w:val="0"/>
          <w:color w:val="000000" w:themeColor="text1"/>
          <w:sz w:val="16"/>
          <w:szCs w:val="16"/>
        </w:rPr>
        <w:softHyphen/>
        <w:t>тиллерист, радист).</w:t>
      </w:r>
    </w:p>
    <w:p w14:paraId="44BF6CC0"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Антенна штырьевая, опускаемая вдоль борта, с управлением изнутри самохода.</w:t>
      </w:r>
    </w:p>
    <w:p w14:paraId="7EBBDD62"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 Броневая защита. Толщина брони:</w:t>
      </w:r>
    </w:p>
    <w:p w14:paraId="0828FE6D"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Лобовая 75 и 60</w:t>
      </w:r>
    </w:p>
    <w:p w14:paraId="27B55EF6"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Бортовая 60</w:t>
      </w:r>
    </w:p>
    <w:p w14:paraId="7408C227"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Башни и крыши 30</w:t>
      </w:r>
    </w:p>
    <w:p w14:paraId="0F0D5A9E"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Предусмотреть установку наклонной брони с углами наклона не менее 20°.</w:t>
      </w:r>
    </w:p>
    <w:p w14:paraId="0E5A0A09" w14:textId="77777777" w:rsidR="00A150F9" w:rsidRPr="00DB5D0D" w:rsidRDefault="00A150F9" w:rsidP="00DB5D0D">
      <w:pPr>
        <w:pStyle w:val="Bodytext141"/>
        <w:shd w:val="clear" w:color="auto" w:fill="auto"/>
        <w:tabs>
          <w:tab w:val="left" w:pos="288"/>
        </w:tabs>
        <w:spacing w:line="240" w:lineRule="auto"/>
        <w:ind w:firstLine="0"/>
        <w:jc w:val="both"/>
        <w:rPr>
          <w:i w:val="0"/>
          <w:color w:val="000000" w:themeColor="text1"/>
          <w:sz w:val="16"/>
          <w:szCs w:val="16"/>
        </w:rPr>
      </w:pPr>
      <w:r w:rsidRPr="00DB5D0D">
        <w:rPr>
          <w:i w:val="0"/>
          <w:color w:val="000000" w:themeColor="text1"/>
          <w:sz w:val="16"/>
          <w:szCs w:val="16"/>
        </w:rPr>
        <w:t>12. Двигатель — дизель типа В-2К форсированный до 850л.с.</w:t>
      </w:r>
    </w:p>
    <w:p w14:paraId="2F3FBC4F" w14:textId="77777777" w:rsidR="00A150F9" w:rsidRPr="00DB5D0D" w:rsidRDefault="00A150F9" w:rsidP="00DB5D0D">
      <w:pPr>
        <w:pStyle w:val="Bodytext141"/>
        <w:shd w:val="clear" w:color="auto" w:fill="auto"/>
        <w:tabs>
          <w:tab w:val="left" w:pos="322"/>
        </w:tabs>
        <w:spacing w:line="240" w:lineRule="auto"/>
        <w:ind w:firstLine="0"/>
        <w:jc w:val="both"/>
        <w:rPr>
          <w:i w:val="0"/>
          <w:color w:val="000000" w:themeColor="text1"/>
          <w:sz w:val="16"/>
          <w:szCs w:val="16"/>
        </w:rPr>
      </w:pPr>
      <w:r w:rsidRPr="00DB5D0D">
        <w:rPr>
          <w:i w:val="0"/>
          <w:color w:val="000000" w:themeColor="text1"/>
          <w:sz w:val="16"/>
          <w:szCs w:val="16"/>
        </w:rPr>
        <w:t>13. Средства наблюдения и наводки.</w:t>
      </w:r>
    </w:p>
    <w:p w14:paraId="3B27EFA7"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башне ПТ-1 от 45 мм танковой пушки и новый телескопиче</w:t>
      </w:r>
      <w:r w:rsidRPr="00DB5D0D">
        <w:rPr>
          <w:rFonts w:ascii="Times New Roman" w:hAnsi="Times New Roman"/>
          <w:color w:val="000000" w:themeColor="text1"/>
          <w:sz w:val="16"/>
          <w:szCs w:val="16"/>
        </w:rPr>
        <w:softHyphen/>
        <w:t>ский прицел с увеличением 6-Х и полем зрения 10-11</w:t>
      </w:r>
    </w:p>
    <w:p w14:paraId="0621A20D"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Для командира установить на крыше самохода башенку с круго</w:t>
      </w:r>
      <w:r w:rsidRPr="00DB5D0D">
        <w:rPr>
          <w:i w:val="0"/>
          <w:color w:val="000000" w:themeColor="text1"/>
          <w:sz w:val="16"/>
          <w:szCs w:val="16"/>
        </w:rPr>
        <w:softHyphen/>
        <w:t>вым обзором.</w:t>
      </w:r>
    </w:p>
    <w:p w14:paraId="53529208"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Допускается установка смотровых приборов зеркального типа. Механику-водителю для наблюдения вперед — смотровой прибор и для наблюдения по бокам оптический зеркальный прибор в кры</w:t>
      </w:r>
      <w:r w:rsidRPr="00DB5D0D">
        <w:rPr>
          <w:i w:val="0"/>
          <w:color w:val="000000" w:themeColor="text1"/>
          <w:sz w:val="16"/>
          <w:szCs w:val="16"/>
        </w:rPr>
        <w:softHyphen/>
        <w:t>ше самохода.</w:t>
      </w:r>
    </w:p>
    <w:p w14:paraId="21B9176C"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Радисту — зеркальный смотровой прибор.</w:t>
      </w:r>
    </w:p>
    <w:p w14:paraId="54C44DE5"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Все устанавливаемые приборы должны быть защищены от про</w:t>
      </w:r>
      <w:r w:rsidRPr="00DB5D0D">
        <w:rPr>
          <w:i w:val="0"/>
          <w:color w:val="000000" w:themeColor="text1"/>
          <w:sz w:val="16"/>
          <w:szCs w:val="16"/>
        </w:rPr>
        <w:softHyphen/>
        <w:t>никновения через них внутри танка снарядов, пуль, свинцовых брызг и горящей жидкости.</w:t>
      </w:r>
    </w:p>
    <w:p w14:paraId="09ED24DC"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Смена приборов, их головок или стекол, а также очистка при</w:t>
      </w:r>
      <w:r w:rsidRPr="00DB5D0D">
        <w:rPr>
          <w:i w:val="0"/>
          <w:color w:val="000000" w:themeColor="text1"/>
          <w:sz w:val="16"/>
          <w:szCs w:val="16"/>
        </w:rPr>
        <w:softHyphen/>
        <w:t>боров от грязи и воды должна производиться изнутри и безопасно для экипажа.</w:t>
      </w:r>
    </w:p>
    <w:p w14:paraId="69ABB727" w14:textId="77777777" w:rsidR="00A150F9" w:rsidRPr="00DB5D0D" w:rsidRDefault="00A150F9" w:rsidP="00DB5D0D">
      <w:pPr>
        <w:pStyle w:val="Bodytext141"/>
        <w:shd w:val="clear" w:color="auto" w:fill="auto"/>
        <w:spacing w:line="240" w:lineRule="auto"/>
        <w:ind w:firstLine="0"/>
        <w:jc w:val="both"/>
        <w:rPr>
          <w:i w:val="0"/>
          <w:color w:val="000000" w:themeColor="text1"/>
          <w:sz w:val="16"/>
          <w:szCs w:val="16"/>
        </w:rPr>
      </w:pPr>
      <w:r w:rsidRPr="00DB5D0D">
        <w:rPr>
          <w:i w:val="0"/>
          <w:color w:val="000000" w:themeColor="text1"/>
          <w:sz w:val="16"/>
          <w:szCs w:val="16"/>
        </w:rPr>
        <w:t>14. Специальное оборудование:</w:t>
      </w:r>
    </w:p>
    <w:p w14:paraId="7B9E4BF3" w14:textId="77777777" w:rsidR="00A150F9" w:rsidRPr="00DB5D0D" w:rsidRDefault="00A150F9" w:rsidP="00DB5D0D">
      <w:pPr>
        <w:pStyle w:val="Bodytext141"/>
        <w:shd w:val="clear" w:color="auto" w:fill="auto"/>
        <w:tabs>
          <w:tab w:val="left" w:pos="235"/>
        </w:tabs>
        <w:spacing w:line="240" w:lineRule="auto"/>
        <w:ind w:firstLine="0"/>
        <w:jc w:val="both"/>
        <w:rPr>
          <w:i w:val="0"/>
          <w:color w:val="000000" w:themeColor="text1"/>
          <w:sz w:val="16"/>
          <w:szCs w:val="16"/>
        </w:rPr>
      </w:pPr>
      <w:r w:rsidRPr="00DB5D0D">
        <w:rPr>
          <w:i w:val="0"/>
          <w:color w:val="000000" w:themeColor="text1"/>
          <w:sz w:val="16"/>
          <w:szCs w:val="16"/>
        </w:rPr>
        <w:t>а) Место водителя должно обеспечивать ему максимальное удоб</w:t>
      </w:r>
      <w:r w:rsidRPr="00DB5D0D">
        <w:rPr>
          <w:i w:val="0"/>
          <w:color w:val="000000" w:themeColor="text1"/>
          <w:sz w:val="16"/>
          <w:szCs w:val="16"/>
        </w:rPr>
        <w:softHyphen/>
        <w:t>ство при управлении самоходом.</w:t>
      </w:r>
    </w:p>
    <w:p w14:paraId="02D4A1FE" w14:textId="77777777" w:rsidR="00A150F9" w:rsidRPr="00DB5D0D" w:rsidRDefault="00A150F9" w:rsidP="00DB5D0D">
      <w:pPr>
        <w:pStyle w:val="Bodytext141"/>
        <w:shd w:val="clear" w:color="auto" w:fill="auto"/>
        <w:tabs>
          <w:tab w:val="left" w:pos="221"/>
        </w:tabs>
        <w:spacing w:line="240" w:lineRule="auto"/>
        <w:ind w:firstLine="0"/>
        <w:jc w:val="both"/>
        <w:rPr>
          <w:i w:val="0"/>
          <w:color w:val="000000" w:themeColor="text1"/>
          <w:sz w:val="16"/>
          <w:szCs w:val="16"/>
        </w:rPr>
      </w:pPr>
      <w:r w:rsidRPr="00DB5D0D">
        <w:rPr>
          <w:i w:val="0"/>
          <w:color w:val="000000" w:themeColor="text1"/>
          <w:sz w:val="16"/>
          <w:szCs w:val="16"/>
        </w:rPr>
        <w:t>б) Контрольные приборы расположить так, чтобы удобно наблю</w:t>
      </w:r>
      <w:r w:rsidRPr="00DB5D0D">
        <w:rPr>
          <w:i w:val="0"/>
          <w:color w:val="000000" w:themeColor="text1"/>
          <w:sz w:val="16"/>
          <w:szCs w:val="16"/>
        </w:rPr>
        <w:softHyphen/>
        <w:t>дались водителем, сведя их число к минимуму.</w:t>
      </w:r>
    </w:p>
    <w:p w14:paraId="3257325D" w14:textId="77777777" w:rsidR="00A150F9" w:rsidRPr="00DB5D0D" w:rsidRDefault="00A150F9" w:rsidP="00DB5D0D">
      <w:pPr>
        <w:pStyle w:val="Bodytext141"/>
        <w:shd w:val="clear" w:color="auto" w:fill="auto"/>
        <w:tabs>
          <w:tab w:val="left" w:pos="240"/>
        </w:tabs>
        <w:spacing w:line="240" w:lineRule="auto"/>
        <w:ind w:firstLine="0"/>
        <w:jc w:val="both"/>
        <w:rPr>
          <w:i w:val="0"/>
          <w:color w:val="000000" w:themeColor="text1"/>
          <w:sz w:val="16"/>
          <w:szCs w:val="16"/>
        </w:rPr>
      </w:pPr>
      <w:r w:rsidRPr="00DB5D0D">
        <w:rPr>
          <w:i w:val="0"/>
          <w:color w:val="000000" w:themeColor="text1"/>
          <w:sz w:val="16"/>
          <w:szCs w:val="16"/>
        </w:rPr>
        <w:t>в) Предусмотреть защиту водителя от ветра, пыли и дождя при движении с открытым люком.</w:t>
      </w:r>
    </w:p>
    <w:p w14:paraId="5633F041"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 Сидения водителя, радиста и в башне выполнить по типу «КВ».</w:t>
      </w:r>
    </w:p>
    <w:p w14:paraId="2194CF9F" w14:textId="77777777" w:rsidR="00A150F9" w:rsidRPr="00DB5D0D" w:rsidRDefault="00A150F9" w:rsidP="00DB5D0D">
      <w:pPr>
        <w:pStyle w:val="Bodytext141"/>
        <w:shd w:val="clear" w:color="auto" w:fill="auto"/>
        <w:tabs>
          <w:tab w:val="left" w:pos="1086"/>
        </w:tabs>
        <w:spacing w:line="240" w:lineRule="auto"/>
        <w:ind w:firstLine="0"/>
        <w:jc w:val="both"/>
        <w:rPr>
          <w:i w:val="0"/>
          <w:color w:val="000000" w:themeColor="text1"/>
          <w:sz w:val="16"/>
          <w:szCs w:val="16"/>
        </w:rPr>
      </w:pPr>
      <w:r w:rsidRPr="00DB5D0D">
        <w:rPr>
          <w:i w:val="0"/>
          <w:color w:val="000000" w:themeColor="text1"/>
          <w:sz w:val="16"/>
          <w:szCs w:val="16"/>
        </w:rPr>
        <w:t>д) Для облегчения работы водителя допускается установка сер- воуправления.</w:t>
      </w:r>
    </w:p>
    <w:p w14:paraId="64EDD0B7" w14:textId="77777777" w:rsidR="00A150F9" w:rsidRPr="00DB5D0D" w:rsidRDefault="00A150F9" w:rsidP="00DB5D0D">
      <w:pPr>
        <w:pStyle w:val="Bodytext141"/>
        <w:shd w:val="clear" w:color="auto" w:fill="auto"/>
        <w:tabs>
          <w:tab w:val="left" w:pos="1095"/>
        </w:tabs>
        <w:spacing w:line="240" w:lineRule="auto"/>
        <w:ind w:firstLine="0"/>
        <w:jc w:val="both"/>
        <w:rPr>
          <w:i w:val="0"/>
          <w:color w:val="000000" w:themeColor="text1"/>
          <w:sz w:val="16"/>
          <w:szCs w:val="16"/>
        </w:rPr>
      </w:pPr>
      <w:r w:rsidRPr="00DB5D0D">
        <w:rPr>
          <w:i w:val="0"/>
          <w:color w:val="000000" w:themeColor="text1"/>
          <w:sz w:val="16"/>
          <w:szCs w:val="16"/>
        </w:rPr>
        <w:t>е) Предусмотреть очистку и подогрев воздуха в боевом и отделе</w:t>
      </w:r>
      <w:r w:rsidRPr="00DB5D0D">
        <w:rPr>
          <w:i w:val="0"/>
          <w:color w:val="000000" w:themeColor="text1"/>
          <w:sz w:val="16"/>
          <w:szCs w:val="16"/>
        </w:rPr>
        <w:softHyphen/>
        <w:t>нии управления.</w:t>
      </w:r>
    </w:p>
    <w:p w14:paraId="126CE10A" w14:textId="77777777" w:rsidR="00A150F9" w:rsidRPr="00DB5D0D" w:rsidRDefault="00A150F9" w:rsidP="00DB5D0D">
      <w:pPr>
        <w:pStyle w:val="Bodytext141"/>
        <w:shd w:val="clear" w:color="auto" w:fill="auto"/>
        <w:tabs>
          <w:tab w:val="left" w:pos="1206"/>
        </w:tabs>
        <w:spacing w:line="240" w:lineRule="auto"/>
        <w:ind w:firstLine="0"/>
        <w:jc w:val="both"/>
        <w:rPr>
          <w:i w:val="0"/>
          <w:color w:val="000000" w:themeColor="text1"/>
          <w:sz w:val="16"/>
          <w:szCs w:val="16"/>
        </w:rPr>
      </w:pPr>
      <w:r w:rsidRPr="00DB5D0D">
        <w:rPr>
          <w:i w:val="0"/>
          <w:color w:val="000000" w:themeColor="text1"/>
          <w:sz w:val="16"/>
          <w:szCs w:val="16"/>
        </w:rPr>
        <w:t>ж) Водителю установить гирокомпас.</w:t>
      </w:r>
    </w:p>
    <w:p w14:paraId="7601E6F7" w14:textId="77777777" w:rsidR="00A150F9" w:rsidRPr="00DB5D0D" w:rsidRDefault="00A150F9" w:rsidP="00DB5D0D">
      <w:pPr>
        <w:pStyle w:val="Bodytext141"/>
        <w:shd w:val="clear" w:color="auto" w:fill="auto"/>
        <w:tabs>
          <w:tab w:val="left" w:pos="1095"/>
        </w:tabs>
        <w:spacing w:line="240" w:lineRule="auto"/>
        <w:ind w:firstLine="0"/>
        <w:jc w:val="both"/>
        <w:rPr>
          <w:i w:val="0"/>
          <w:color w:val="000000" w:themeColor="text1"/>
          <w:sz w:val="16"/>
          <w:szCs w:val="16"/>
        </w:rPr>
      </w:pPr>
      <w:r w:rsidRPr="00DB5D0D">
        <w:rPr>
          <w:i w:val="0"/>
          <w:color w:val="000000" w:themeColor="text1"/>
          <w:sz w:val="16"/>
          <w:szCs w:val="16"/>
        </w:rPr>
        <w:t>з) Разработать приспособления для облегчения одевания гусениц, для выема основных агрегатов и разбронировки корпуса и для самовытаскивания самохода.</w:t>
      </w:r>
    </w:p>
    <w:p w14:paraId="4206839F" w14:textId="77777777" w:rsidR="00A150F9" w:rsidRPr="00DB5D0D" w:rsidRDefault="00A150F9" w:rsidP="00DB5D0D">
      <w:pPr>
        <w:pStyle w:val="Bodytext141"/>
        <w:shd w:val="clear" w:color="auto" w:fill="auto"/>
        <w:tabs>
          <w:tab w:val="left" w:pos="1119"/>
        </w:tabs>
        <w:spacing w:line="240" w:lineRule="auto"/>
        <w:ind w:firstLine="0"/>
        <w:jc w:val="both"/>
        <w:rPr>
          <w:i w:val="0"/>
          <w:color w:val="000000" w:themeColor="text1"/>
          <w:sz w:val="16"/>
          <w:szCs w:val="16"/>
        </w:rPr>
      </w:pPr>
      <w:r w:rsidRPr="00DB5D0D">
        <w:rPr>
          <w:i w:val="0"/>
          <w:color w:val="000000" w:themeColor="text1"/>
          <w:sz w:val="16"/>
          <w:szCs w:val="16"/>
        </w:rPr>
        <w:t>и) Разработать простейший грузоподъемник снарядов».</w:t>
      </w:r>
    </w:p>
    <w:p w14:paraId="0EF44833" w14:textId="77777777" w:rsidR="00A150F9" w:rsidRPr="00DB5D0D" w:rsidRDefault="00A150F9" w:rsidP="00DB5D0D">
      <w:pPr>
        <w:pStyle w:val="a3"/>
        <w:rPr>
          <w:color w:val="000000" w:themeColor="text1"/>
          <w:lang w:val="ru-RU"/>
        </w:rPr>
      </w:pPr>
      <w:r w:rsidRPr="00DB5D0D">
        <w:rPr>
          <w:color w:val="000000" w:themeColor="text1"/>
          <w:lang w:val="ru-RU"/>
        </w:rPr>
        <w:t>САУ, которое поручили разработать Кировскому заводу, получило заводской индекс «212» (часто ее ошибочно именуют «Объект 212»), Ведущим конструктором по проекту САУ являлся Ц.Н. Гольбурт. Это была уже вторая машина с таким индексом: по теме «212» разрабаты</w:t>
      </w:r>
      <w:r w:rsidRPr="00DB5D0D">
        <w:rPr>
          <w:color w:val="000000" w:themeColor="text1"/>
          <w:lang w:val="ru-RU"/>
        </w:rPr>
        <w:softHyphen/>
        <w:t xml:space="preserve">вался БРЭМ на шасси </w:t>
      </w:r>
      <w:r w:rsidRPr="00DB5D0D">
        <w:rPr>
          <w:color w:val="000000" w:themeColor="text1"/>
        </w:rPr>
        <w:t>KB</w:t>
      </w:r>
      <w:r w:rsidRPr="00DB5D0D">
        <w:rPr>
          <w:color w:val="000000" w:themeColor="text1"/>
          <w:lang w:val="ru-RU"/>
        </w:rPr>
        <w:t>, поэтому в отношении САУ часто исполь</w:t>
      </w:r>
      <w:r w:rsidRPr="00DB5D0D">
        <w:rPr>
          <w:color w:val="000000" w:themeColor="text1"/>
          <w:lang w:val="ru-RU"/>
        </w:rPr>
        <w:softHyphen/>
        <w:t>зовалось обозначение «212А». В целом САУ «212» напоминала экра</w:t>
      </w:r>
      <w:r w:rsidRPr="00DB5D0D">
        <w:rPr>
          <w:color w:val="000000" w:themeColor="text1"/>
          <w:lang w:val="ru-RU"/>
        </w:rPr>
        <w:softHyphen/>
        <w:t>нированную СУ-14-1, особенно это касалось компоновки боевого отделения. В качестве базы «212» использовало переработанное шас</w:t>
      </w:r>
      <w:r w:rsidRPr="00DB5D0D">
        <w:rPr>
          <w:color w:val="000000" w:themeColor="text1"/>
          <w:lang w:val="ru-RU"/>
        </w:rPr>
        <w:softHyphen/>
        <w:t>си от «220» (Т-220) с размещением силовой установки в центральной части корпуса, при этом трансмиссия и ведущие колеса находились впереди. В носовой части также находилось и отделение управления, причем место осталось только для механика-водителя. Боевое отделе</w:t>
      </w:r>
      <w:r w:rsidRPr="00DB5D0D">
        <w:rPr>
          <w:color w:val="000000" w:themeColor="text1"/>
          <w:lang w:val="ru-RU"/>
        </w:rPr>
        <w:softHyphen/>
        <w:t>ние размещалось в массивной рубке, находившейся в кормовой части. С одной стороны, подобное решение резко увеличивало размеры САУ, с другой же — обеспечивалось удобство расчета. Кроме того, кормовое расположение рубки позволило свести к минимуму вылет 152-мм пуш</w:t>
      </w:r>
      <w:r w:rsidRPr="00DB5D0D">
        <w:rPr>
          <w:color w:val="000000" w:themeColor="text1"/>
          <w:lang w:val="ru-RU"/>
        </w:rPr>
        <w:softHyphen/>
        <w:t>ки Б Р-2 за габариты «212».</w:t>
      </w:r>
    </w:p>
    <w:p w14:paraId="4C829369" w14:textId="77777777" w:rsidR="00A150F9" w:rsidRPr="00DB5D0D" w:rsidRDefault="00A150F9" w:rsidP="00DB5D0D">
      <w:pPr>
        <w:pStyle w:val="a3"/>
        <w:rPr>
          <w:color w:val="000000" w:themeColor="text1"/>
          <w:lang w:val="ru-RU"/>
        </w:rPr>
      </w:pPr>
      <w:r w:rsidRPr="00DB5D0D">
        <w:rPr>
          <w:color w:val="000000" w:themeColor="text1"/>
          <w:lang w:val="ru-RU"/>
        </w:rPr>
        <w:t>На работы по теме «212» выделялось 2 миллиона рублей. Из них 100 тысяч шло на разработку технического проекта, 25 тысяч на изго</w:t>
      </w:r>
      <w:r w:rsidRPr="00DB5D0D">
        <w:rPr>
          <w:color w:val="000000" w:themeColor="text1"/>
          <w:lang w:val="ru-RU"/>
        </w:rPr>
        <w:softHyphen/>
        <w:t>товление макета, 300 тысяч на чертежи, 75 тысяч на доработку черте</w:t>
      </w:r>
      <w:r w:rsidRPr="00DB5D0D">
        <w:rPr>
          <w:color w:val="000000" w:themeColor="text1"/>
          <w:lang w:val="ru-RU"/>
        </w:rPr>
        <w:softHyphen/>
        <w:t>жей, 1 миллион 100 тысяч на изготовление опытного образца, 100 ты</w:t>
      </w:r>
      <w:r w:rsidRPr="00DB5D0D">
        <w:rPr>
          <w:color w:val="000000" w:themeColor="text1"/>
          <w:lang w:val="ru-RU"/>
        </w:rPr>
        <w:softHyphen/>
        <w:t>сяч на испытания и 300 тысяч на ремонт. В эту сумму не влючалась стоимость вооружения.</w:t>
      </w:r>
    </w:p>
    <w:p w14:paraId="485DF68A"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плану первый образец самоходной установки должны были изгото</w:t>
      </w:r>
      <w:r w:rsidRPr="00DB5D0D">
        <w:rPr>
          <w:rFonts w:ascii="Times New Roman" w:hAnsi="Times New Roman"/>
          <w:color w:val="000000" w:themeColor="text1"/>
          <w:sz w:val="16"/>
          <w:szCs w:val="16"/>
        </w:rPr>
        <w:softHyphen/>
        <w:t>вить к 1 декабря 1940 года. В планы, впрочем, пришлось вносить серьез</w:t>
      </w:r>
      <w:r w:rsidRPr="00DB5D0D">
        <w:rPr>
          <w:rFonts w:ascii="Times New Roman" w:hAnsi="Times New Roman"/>
          <w:color w:val="000000" w:themeColor="text1"/>
          <w:sz w:val="16"/>
          <w:szCs w:val="16"/>
        </w:rPr>
        <w:softHyphen/>
        <w:t>ные коррективы (17484).</w:t>
      </w:r>
    </w:p>
    <w:p w14:paraId="57C7EC57" w14:textId="77777777" w:rsidR="00A150F9" w:rsidRPr="00DB5D0D" w:rsidRDefault="00A150F9" w:rsidP="00DB5D0D">
      <w:pPr>
        <w:spacing w:after="0" w:line="240" w:lineRule="auto"/>
        <w:jc w:val="both"/>
        <w:rPr>
          <w:rFonts w:ascii="Times New Roman" w:hAnsi="Times New Roman"/>
          <w:color w:val="000000" w:themeColor="text1"/>
          <w:sz w:val="16"/>
          <w:szCs w:val="16"/>
        </w:rPr>
      </w:pPr>
    </w:p>
    <w:p w14:paraId="2BC2A82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65B91B15"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0950E2B4" w14:textId="77777777" w:rsidR="00AC43C1" w:rsidRPr="00DB5D0D" w:rsidRDefault="00AC43C1" w:rsidP="00DB5D0D">
      <w:pPr>
        <w:pStyle w:val="ae"/>
        <w:spacing w:before="0" w:after="0"/>
        <w:jc w:val="both"/>
        <w:rPr>
          <w:color w:val="000000" w:themeColor="text1"/>
          <w:sz w:val="16"/>
          <w:szCs w:val="16"/>
        </w:rPr>
      </w:pPr>
      <w:r w:rsidRPr="00DB5D0D">
        <w:rPr>
          <w:color w:val="000000" w:themeColor="text1"/>
          <w:sz w:val="16"/>
          <w:szCs w:val="16"/>
        </w:rPr>
        <w:t>В конце августа 1940 на аэродроме Банак, расположенном около поселка Лаксэльв, на берегу Порсангер-фьорда в Северной Норвегии, приземлились два </w:t>
      </w:r>
      <w:r w:rsidRPr="00DB5D0D">
        <w:rPr>
          <w:rStyle w:val="a7"/>
          <w:b w:val="0"/>
          <w:color w:val="000000" w:themeColor="text1"/>
          <w:sz w:val="16"/>
          <w:szCs w:val="16"/>
        </w:rPr>
        <w:t>?O-17P-1. </w:t>
      </w:r>
      <w:r w:rsidRPr="00DB5D0D">
        <w:rPr>
          <w:color w:val="000000" w:themeColor="text1"/>
          <w:sz w:val="16"/>
          <w:szCs w:val="16"/>
        </w:rPr>
        <w:t>Экипаж одного из них возглавлял 24-летний лейтенант Конрад Кнабе, которому суждено было стать одним из лучших пилотов разведывательной авиации. Позднее на основе этих самолетов было сформировано отдельное звено дальней авиаразведки «Лапландия» (Aufkl.Kette (F) Lappland), в чью задачу входила тайная разведка северных территорий СССР. И затем в начале октября 1940 г. самолеты-призраки впервые появились в небе над Мурманском.</w:t>
      </w:r>
    </w:p>
    <w:p w14:paraId="7F15C058" w14:textId="77777777" w:rsidR="00AC43C1" w:rsidRPr="00DB5D0D" w:rsidRDefault="00AC43C1" w:rsidP="00DB5D0D">
      <w:pPr>
        <w:pStyle w:val="ae"/>
        <w:spacing w:before="0" w:after="0"/>
        <w:jc w:val="both"/>
        <w:rPr>
          <w:color w:val="000000" w:themeColor="text1"/>
          <w:sz w:val="16"/>
          <w:szCs w:val="16"/>
        </w:rPr>
      </w:pPr>
      <w:r w:rsidRPr="00DB5D0D">
        <w:rPr>
          <w:color w:val="000000" w:themeColor="text1"/>
          <w:sz w:val="16"/>
          <w:szCs w:val="16"/>
        </w:rPr>
        <w:lastRenderedPageBreak/>
        <w:t>Все шло своим чередом, но в начале сентября Гитлер неожиданно распорядился прекратить разведывательные полеты. Это объяснялось тем, что в преддверии запланированной на середину сентября операции «Морской лев» – высадки частей вермахта на английском побережье – он не хотел лишний раз раздражать советское руководство в лице Сталина. Однако запрет продлился всего месяц. Отложив в октябре вторжение в Англию, фюрер отменил и свой запрет. Теперь все его мысли занимал другой предмет – план нападения на Советский Союз.</w:t>
      </w:r>
    </w:p>
    <w:p w14:paraId="0080EF93" w14:textId="77777777" w:rsidR="00AC43C1" w:rsidRPr="00DB5D0D" w:rsidRDefault="00AC43C1" w:rsidP="00DB5D0D">
      <w:pPr>
        <w:pStyle w:val="ae"/>
        <w:spacing w:before="0" w:after="0"/>
        <w:jc w:val="both"/>
        <w:rPr>
          <w:color w:val="000000" w:themeColor="text1"/>
          <w:sz w:val="16"/>
          <w:szCs w:val="16"/>
        </w:rPr>
      </w:pPr>
      <w:r w:rsidRPr="00DB5D0D">
        <w:rPr>
          <w:color w:val="000000" w:themeColor="text1"/>
          <w:sz w:val="16"/>
          <w:szCs w:val="16"/>
        </w:rPr>
        <w:t>27 сентября Гитлер наградил оберст-лейтенанта Ровеля за успехи в организации дальней авиаразведки Рыцарским крестом. После официальной церемонии у них состоялась беседа, во время которой фюрер разрешил разведчикам Aufkl.Gr.Ob.d.L. возобновить рейды над СССР на глубину до 320 км от его восточной границы (19676).</w:t>
      </w:r>
    </w:p>
    <w:p w14:paraId="6D739AC3" w14:textId="77777777" w:rsidR="00AC43C1" w:rsidRPr="00DB5D0D" w:rsidRDefault="00AC43C1" w:rsidP="00DB5D0D">
      <w:pPr>
        <w:spacing w:after="0" w:line="240" w:lineRule="auto"/>
        <w:jc w:val="both"/>
        <w:rPr>
          <w:rFonts w:ascii="Times New Roman" w:hAnsi="Times New Roman"/>
          <w:color w:val="000000" w:themeColor="text1"/>
          <w:sz w:val="16"/>
          <w:szCs w:val="16"/>
        </w:rPr>
      </w:pPr>
    </w:p>
    <w:p w14:paraId="07052C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августа 1940 г. под давлением Германии и Японии правительство Петена было вынуждено пойти на подписание с Японией общего соглашения, позволявшего создавать японские базы на территории Индокитая. Главное, чего добивались в Токио, - это право транзита через территорию Французского Индокитая и военно-воздушные базы в Северном Индокитае, откуда японская авиация могла бы совершать регулярные налеты на полосу Бирманской железной дороги на китайской территории (3871).</w:t>
      </w:r>
    </w:p>
    <w:p w14:paraId="6C7C404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5BA57F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08CD112C"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3E187D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второй половине августа 1940 г. были изготовлены первые три СБ с изменениями по типу СБ-РК №2/281, испытывавшегося в НИИ ВВС. Машина с полетным весом 6300 кг развивала у земли скорость 411 км/ч, на высоте 4700 метров - 480 км/ч. Время набора высоты 5000 м составило 8,55 мин., практический потолок 10,10 км. Особых отличий в технике пилотирования у нового СБ летчики не обнаружили, однако отметили возросшие скорость отрыва на взлете и скорость планирования при посадке, а также запоздалую реакцию самолета на отклонение элеронов.</w:t>
      </w:r>
    </w:p>
    <w:p w14:paraId="4C8A104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Одновременно подчеркивалось, что самолет испытывался без турелей МВ-3 и люковой МВ-2, в целом далек от совершенства и в предъявленном виде не может рассматриваться как эталон для серийного производства. Предлагалось на основе данного СБ-РК к 1 июля 1940 г. подготовить усовершенствованный эталон для производства.</w:t>
      </w:r>
    </w:p>
    <w:p w14:paraId="679EB88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числе дополнительных изменений предлагалось установить кабину штурмана (Ф-1) как у самолета М М Н и новый, уменьшенный по высоте колпак (экран) для турели МВ-3. С такими улучшениями имелись полные основания получить самолет с максимальной скоростью порядка 500 км/ч.</w:t>
      </w:r>
    </w:p>
    <w:p w14:paraId="4F19D2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дальнейшем СБ-РК предполагалось использовать как пикирующий бомбардировщик, оснащенный подкрыльевыми, выпускаемыми тормозными решетками и автоматом выхода из пикирования. Впервые эти приспособления установили на СБ №1/281 - полеты на пикирование велись в период с 27 июля по 11 августа 1940 г.</w:t>
      </w:r>
    </w:p>
    <w:p w14:paraId="2CBBF8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отличия этих СБ-РК от выпускаемых стандартных СБ 201-й серии и его конструктивные особенности достойны более подробного описания:</w:t>
      </w:r>
    </w:p>
    <w:p w14:paraId="423EDC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Крыло уменьшено по размаху на 2,3 м и по площади на 8,5 м2. При этом площадь элеронов уменьшилась с 2,317 м2 до 1,686 м2. Для снижения посадочной скорости площадь центропланного посадочного щитка увеличена.</w:t>
      </w:r>
    </w:p>
    <w:p w14:paraId="0094B5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Двигатели прикрыты капотами обтекаемой формы с минимальным поперечным сечением. На машинах первых серий на внутренней стороне капотов, т.е. со стороны летчика, устанавливались по два прибора контроля работы винтомоторной группы.</w:t>
      </w:r>
    </w:p>
    <w:p w14:paraId="6409B4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Пластинчатые радиаторы водяного охлаждения двигателей установлены внутри отъемной части крыла с размещением воздухозаборников в их передней кромке. Регулирование потока охлаждающего воздуха осуществлялось подвижными створками, размещенными на верхней поверхности крыла. В связи с установкой радиаторов емкость крыльевых топливных баков уменьшилась до 330 литров по сравнению с 405 литрами на СБ.</w:t>
      </w:r>
    </w:p>
    <w:p w14:paraId="635189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Участок обшивки верхней части фюзеляжа в районе центроплана в пространстве между шпангоутами №4 и №8 выполнен в виде отсека, выклеенного из балинитовой фанеры. Этот отсек, называемый "горбушкой", собирался отдельно и устанавливался на основной каркас в собранном виде. Под "горбушкой" размещалась рамка антенны радиополукомпаса.</w:t>
      </w:r>
    </w:p>
    <w:p w14:paraId="4A1C60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снижения скорости на пикировании, под отъемными частями крыла расположены тормозные решетки, выполненные из стальных груб, имеющих овальное сечение. При вводе в пикирование, после открытия крана воздушной системы, тормозные решетки отклонялись в положение, перпендикулярное потоку. О выпуске решеток летчику сигнализировали механические указатели - "солдатики", выходящие из обшивки крыла в районе между 10-й и 11-й нервюрами. Ввод в пикирование осуществлялся одновременным отклонением вверх триммеров рулей высоты. При нажатии кнопки сброса бомб или дублирующей командной кнопки, триммеры возвращались в первоначальное положение.</w:t>
      </w:r>
    </w:p>
    <w:p w14:paraId="3DA2C1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Передняя часть фюзеляжа СБ-РК полностью измененной конструкции, с увеличенным обзором летчику и штурману, с обеспечением непосредственной связи между ними (т.е. летчик и штурман могли обмениваться жестами или передавать что-либо друг другу). Летчик сдвинут влево для получения обзора вперед при заходе на пикирование через остекление штурманской кабины, его приборная доска в основном сгруппирована в правой части кабины. Фонарь летчика открывается назад с подъемом вверх. У штурмана значительно увеличена площадь остекления и установлено второе управление со складывающимся штурвалом.</w:t>
      </w:r>
    </w:p>
    <w:p w14:paraId="27F33B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Носовая стрелковая установка типа "НУ" (в ряде документов называется НУ-ДБ-ЗФ, т.к. разрабатывалась для новой модификации бомбардировщика ДБ-ЗФ) имеет один пулемет Ш КАС с запасом патронов 500 шт. Пулемет ШКАС в этой установке монтировался в специальной шаровой головке, т.н. "яблоке", позволяющем вести обстрел вперед в конусе 50°. Питание пулемета осуществлялось по гибкому рукаву из патронного яшика на правом борту штурманской кабины.</w:t>
      </w:r>
    </w:p>
    <w:p w14:paraId="3950F5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Верхняя кормовая пулеметная установка конструкции Торопова с обстрелом только задней полусферы получила обозначение ТСС-1 (турель скоростного самолета), оборудована коллиматорным прицелом К-8Т, имеет запас патронов 1000 шт. Турель представляла собой полукольцо (сектор), по которому передвигалась каретка с головкой пулемета. В походном положении пулемет устанавливался по левому борту, в фонаре имелся небольшой вырез для такого положения. Верхний фонарь, т.н. "черепаха", при стрельбе отодвигался на роликах по рельсам назад и частично поднимался вверх для защиты стрелка от набегающего воздушного потока. Обстрел из ТСС-1 можно было вести на 90° влево и вправо, вверх на 60°, вниз на 30°.</w:t>
      </w:r>
    </w:p>
    <w:p w14:paraId="71D70B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обороны нижней полусферы на СБ-РК установлена убираемая турель МВ-2 с пулеметом ШКАС, с прицелом ОП-2Л, с запасом патронов 600 шт. МВ-2 устанавливалась на специальной раме (люльке), которая в походном положении поднималась вверх. В центральной части рамы, в районе рукоятки пулемета имелся копир-ограничитель, препятствующий попаданию при стрельбе в свое костыльное колесо. При переводе МВ-2 в боевое положение раскрывались две нижние застекленные створки, поеле чего пулемет вместе с люлькой опускался наружу. Прицельная стрельба из МВ-2 позволяла вести огонь по 30° в стороны, по вертикали от 4-5° до 55°.</w:t>
      </w:r>
    </w:p>
    <w:p w14:paraId="61EEB9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сбрасывания бомб калибра 250 кг или 500 кг под центропланом СБ-РК были оборудованы новые держатели НП-1. Бомбы крепились в районе центра тяжести за один центральный замок и дополнительно фиксировались при помощи боковых упоров.</w:t>
      </w:r>
    </w:p>
    <w:p w14:paraId="1E5362A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осуществления прицеливания у штурмана устанавливался прицел НКПБ-3 (для бомбометания ночью и на малых высотах) и прицел ОПБ-1М. У летчика устанавливался коллиматорный прицел ПБП-1, предназначенный для бомбометания с пикирования.</w:t>
      </w:r>
    </w:p>
    <w:p w14:paraId="7FFB5C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 указанные изменения с осени 1940 г. начали осуществляться на серийных самолетах. Государственные испытания одного из первых СБ-РК, в котором окончательно оформились все новинки конструкции и оборудования, велись вплоть до декабря 1940 г., когда последовало решение об его переименовании в Ар-2 (Архангельский- второй). Именно под этим обозначением машина фигурировала в заголовке отчета по проведенным испытаниям, однако в тексте самолет по прежнему определялся как СБ-РК.</w:t>
      </w:r>
    </w:p>
    <w:p w14:paraId="6918AC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итоговых материала отчета говорилось, что СБ-РК по своим летно-тактическим данным значительно лучше серийного самолета СБ, но по скорости отстает от современных иностранных и отечественных двухмоторных бомбардировщиков (под последними понимались СПБ, ББ-22 и, прежде всего Пе-2, показавший максимальную полетную скорость 540 км/ч).</w:t>
      </w:r>
    </w:p>
    <w:p w14:paraId="729FDE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Максимальная скорость СБ-РК при полетном весе 6600 кг на высоте 4700 м составила 475 км/ч вместо заданной максимальной скорости 490 км/ч.</w:t>
      </w:r>
    </w:p>
    <w:p w14:paraId="7A223A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Скороподъемность и потолок удовлетворяют тактико-техническим требованиям к средним бомбардировщикам. Практический потолок самолета при нормальном полетном весе 6600 кг равен 10000 м., при полетном весе 7100 кг с четырьмя ФАБ-250 на наружной подвеске потолок составил 9000 м. Время набора высоты 5000 м при полетном весе 6600 кг составило 7,1 мин., при полетном весе 7100 кг - 9,3 мин.</w:t>
      </w:r>
    </w:p>
    <w:p w14:paraId="0E19DB4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разбега на взлете с полетным весом 7100 кг составляла 340 метров (12027).</w:t>
      </w:r>
    </w:p>
    <w:p w14:paraId="10FD91C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ACD48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 второй половины августа по первую половину сентября 1940 в НИИ ВВС шли гос. испытания И-16 тип 29. Вес - 2 т, М-63 и ВИШ, УБ и 2 РО, а также рация (1204,135).</w:t>
      </w:r>
    </w:p>
    <w:p w14:paraId="6067B56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5A63E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второй половине августа 1940 г. первый опытный ИП-21 направили в Москву, где его облетали летчики НИИ ВВС. Они отметили тенденцию машины к сваливанию на крыло на больших углах атаки. Для устранения этого недостатка Пашинину предложили второй опытный экземпляр оборудовать автоматическими предкрылками на отъемных частях крыла.</w:t>
      </w:r>
    </w:p>
    <w:p w14:paraId="55B0F7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Надежда на удачу с внедрением ИП-21 предопределила последующие события. В сентябре 1940 г. приказом А.И.Шахурина самолет И - 180 сняли с производства, его место занял истребитель Пашинина.</w:t>
      </w:r>
    </w:p>
    <w:p w14:paraId="011A6A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Впрочем, ИП-21 со своим появлением несколько запоздал. Практически в этот период претензии на авиазавод №21 предъявили А.С.Яковлев (И-26), А.И.Микоян (И-200). С.АЛавочкин (И-301). В отношении опытного истребителя И-301 результаты государственных испытаний свидетельствовали. что среди отечественных самолетов с двигателем М-105 он обладает наиболее высокими летными характеристиками. В частности его максимальная скорость на высоте 4950 м составила 605 км/ч. Поэтому под обозначением ЛАГГ-3 его и запустили в серийное производство на заводе №21. Здесь истребитель Лавочкина, Горбунова и Гудкова получил обозначение тип 31 и уже в декабре 1940 г. началось его изготовление. Был этот истребитель конструктивно выполнен на 36% из дерева (в И-16 деревянных деталей конструкции было 10%) и поразительным образом подтверждал стародавнее утверждение Поликарпова, что в российских условиях самолет для войны должен иметь деревянную конструкцию (12015).</w:t>
      </w:r>
    </w:p>
    <w:p w14:paraId="6D6D36F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1E2422E"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 второй половине августа 1940 г. первый опытный ИП-21 направили в Москву, где 18 августа он совершил демонстрационный полет на празднике, посвященном Дню авиации. Затем самолет некоторое время находился на Центральном аэродроме в Москве. В этот период ИП-21 облетали летчики НИИ ВВС, которые отметили тенденцию машины к сваливанию на крыло при посадке на больших углах атаки. Для устранения этого недостатка Пашинину предложили второй опытный экземпляр оборудовать автоматическими предкрылками на отъемных частях крыла (15561).</w:t>
      </w:r>
    </w:p>
    <w:p w14:paraId="30119064"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2CDD1037"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37C3D730"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F2311AB" w14:textId="77777777" w:rsidR="003C7E8B" w:rsidRPr="00DB5D0D" w:rsidRDefault="003C7E8B" w:rsidP="00DB5D0D">
      <w:pPr>
        <w:pStyle w:val="24"/>
        <w:widowControl/>
        <w:rPr>
          <w:color w:val="000000" w:themeColor="text1"/>
        </w:rPr>
      </w:pPr>
      <w:r w:rsidRPr="00DB5D0D">
        <w:rPr>
          <w:color w:val="000000" w:themeColor="text1"/>
        </w:rPr>
        <w:t>В августе 1940 года мотор АМ-35А прошел государственное 100-часовое испытание. Испытание проводила правительственная комиссия в составе трех представителей НКО и трех представителей НКАП под председательством бригинженера Левина.</w:t>
      </w:r>
    </w:p>
    <w:p w14:paraId="2F69C708" w14:textId="77777777" w:rsidR="003C7E8B" w:rsidRPr="00DB5D0D" w:rsidRDefault="003C7E8B" w:rsidP="00DB5D0D">
      <w:pPr>
        <w:pStyle w:val="24"/>
        <w:widowControl/>
        <w:rPr>
          <w:color w:val="000000" w:themeColor="text1"/>
        </w:rPr>
      </w:pPr>
      <w:r w:rsidRPr="00DB5D0D">
        <w:rPr>
          <w:color w:val="000000" w:themeColor="text1"/>
        </w:rPr>
        <w:t>За время госиспытания выявлены следующие основные дефекты:</w:t>
      </w:r>
    </w:p>
    <w:p w14:paraId="080545C4" w14:textId="77777777" w:rsidR="003C7E8B" w:rsidRPr="00DB5D0D" w:rsidRDefault="003C7E8B" w:rsidP="00DB5D0D">
      <w:pPr>
        <w:pStyle w:val="24"/>
        <w:widowControl/>
        <w:tabs>
          <w:tab w:val="left" w:pos="360"/>
        </w:tabs>
        <w:rPr>
          <w:color w:val="000000" w:themeColor="text1"/>
        </w:rPr>
      </w:pPr>
      <w:r w:rsidRPr="00DB5D0D">
        <w:rPr>
          <w:color w:val="000000" w:themeColor="text1"/>
        </w:rPr>
        <w:t>масляная помпа не обеспечивает необходимого давления масла 6 атмосфер на высотах больше 6000 м.</w:t>
      </w:r>
    </w:p>
    <w:p w14:paraId="4D522B19" w14:textId="77777777" w:rsidR="003C7E8B" w:rsidRPr="00DB5D0D" w:rsidRDefault="003C7E8B" w:rsidP="00DB5D0D">
      <w:pPr>
        <w:pStyle w:val="24"/>
        <w:widowControl/>
        <w:tabs>
          <w:tab w:val="left" w:pos="360"/>
        </w:tabs>
        <w:rPr>
          <w:color w:val="000000" w:themeColor="text1"/>
        </w:rPr>
      </w:pPr>
      <w:r w:rsidRPr="00DB5D0D">
        <w:rPr>
          <w:color w:val="000000" w:themeColor="text1"/>
        </w:rPr>
        <w:t>Разрушение синхронизатора.</w:t>
      </w:r>
    </w:p>
    <w:p w14:paraId="644C2F14" w14:textId="77777777" w:rsidR="003C7E8B" w:rsidRPr="00DB5D0D" w:rsidRDefault="003C7E8B" w:rsidP="00DB5D0D">
      <w:pPr>
        <w:pStyle w:val="24"/>
        <w:widowControl/>
        <w:tabs>
          <w:tab w:val="left" w:pos="360"/>
        </w:tabs>
        <w:rPr>
          <w:color w:val="000000" w:themeColor="text1"/>
        </w:rPr>
      </w:pPr>
      <w:r w:rsidRPr="00DB5D0D">
        <w:rPr>
          <w:color w:val="000000" w:themeColor="text1"/>
        </w:rPr>
        <w:t>На моторах малой серии наблюдался массовый дефект разрушения втулки нагнетателя. Подавляющее большинство испытанных моторов малой серии показало этот дефект (7647, 119-121).</w:t>
      </w:r>
    </w:p>
    <w:p w14:paraId="59B6F9AA" w14:textId="77777777" w:rsidR="003C7E8B" w:rsidRPr="00DB5D0D" w:rsidRDefault="003C7E8B" w:rsidP="00DB5D0D">
      <w:pPr>
        <w:pStyle w:val="24"/>
        <w:widowControl/>
        <w:tabs>
          <w:tab w:val="left" w:pos="360"/>
        </w:tabs>
        <w:rPr>
          <w:color w:val="000000" w:themeColor="text1"/>
        </w:rPr>
      </w:pPr>
    </w:p>
    <w:p w14:paraId="5B94E212" w14:textId="77777777" w:rsidR="008A5CDE" w:rsidRPr="00DB5D0D" w:rsidRDefault="008A5CDE" w:rsidP="00DB5D0D">
      <w:pPr>
        <w:pStyle w:val="128"/>
        <w:shd w:val="clear" w:color="auto" w:fill="auto"/>
        <w:spacing w:before="0" w:line="240" w:lineRule="auto"/>
        <w:ind w:firstLine="0"/>
        <w:rPr>
          <w:rFonts w:ascii="Times New Roman" w:hAnsi="Times New Roman"/>
          <w:color w:val="000000" w:themeColor="text1"/>
          <w:spacing w:val="0"/>
          <w:sz w:val="16"/>
          <w:szCs w:val="16"/>
        </w:rPr>
      </w:pPr>
      <w:r w:rsidRPr="00DB5D0D">
        <w:rPr>
          <w:rFonts w:ascii="Times New Roman" w:hAnsi="Times New Roman"/>
          <w:color w:val="000000" w:themeColor="text1"/>
          <w:spacing w:val="0"/>
          <w:sz w:val="16"/>
          <w:szCs w:val="16"/>
        </w:rPr>
        <w:t>В августе 1940 г. даже было подготовлено специальное постанов</w:t>
      </w:r>
      <w:r w:rsidRPr="00DB5D0D">
        <w:rPr>
          <w:rFonts w:ascii="Times New Roman" w:hAnsi="Times New Roman"/>
          <w:color w:val="000000" w:themeColor="text1"/>
          <w:spacing w:val="0"/>
          <w:sz w:val="16"/>
          <w:szCs w:val="16"/>
        </w:rPr>
        <w:softHyphen/>
        <w:t>ление СНК СССР, в котором «начальнику ОКБ-15 т. Шпитальному Б. Г. /.../ за подачу в Правительство необоснованной и несоответствующей действи</w:t>
      </w:r>
      <w:r w:rsidRPr="00DB5D0D">
        <w:rPr>
          <w:rFonts w:ascii="Times New Roman" w:hAnsi="Times New Roman"/>
          <w:color w:val="000000" w:themeColor="text1"/>
          <w:spacing w:val="0"/>
          <w:sz w:val="16"/>
          <w:szCs w:val="16"/>
        </w:rPr>
        <w:softHyphen/>
        <w:t>тельности жалобы, с надуманными фактами, за дис</w:t>
      </w:r>
      <w:r w:rsidRPr="00DB5D0D">
        <w:rPr>
          <w:rFonts w:ascii="Times New Roman" w:hAnsi="Times New Roman"/>
          <w:color w:val="000000" w:themeColor="text1"/>
          <w:spacing w:val="0"/>
          <w:sz w:val="16"/>
          <w:szCs w:val="16"/>
        </w:rPr>
        <w:softHyphen/>
        <w:t>кредитацию работников НКО и НКВ» объявлялся строгий выговор (17500).</w:t>
      </w:r>
    </w:p>
    <w:p w14:paraId="79B1BB48" w14:textId="77777777" w:rsidR="008A5CDE" w:rsidRPr="00DB5D0D" w:rsidRDefault="008A5CDE" w:rsidP="00DB5D0D">
      <w:pPr>
        <w:spacing w:after="0" w:line="240" w:lineRule="auto"/>
        <w:jc w:val="both"/>
        <w:rPr>
          <w:rFonts w:ascii="Times New Roman" w:eastAsia="Times New Roman" w:hAnsi="Times New Roman"/>
          <w:color w:val="000000" w:themeColor="text1"/>
          <w:sz w:val="16"/>
          <w:szCs w:val="16"/>
          <w:lang w:eastAsia="ru-RU"/>
        </w:rPr>
      </w:pPr>
    </w:p>
    <w:p w14:paraId="326AA4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в тире авиационного завода проводили первый отстрел пушек МП-6 с ленточным питанием для Ил-2. С.В.И. присутствовал при этой стрельбе и было принято решение передать самолет Ил-2 с этими пушками для официальных испытаний (263,140).</w:t>
      </w:r>
    </w:p>
    <w:p w14:paraId="4042339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6C28B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Кто знает, но из воспоминаний А.Э.Нудельмана вытекает, что МП с ленточным питанием ставились на бронированный штурмовик С.В.И. не только зимой 1940/1941, а еще летом 1940, в августе (263,140) после успешных испытаний пушки МП-6 со звеньевым питанием на истребителе И-21 (263,140). По А.Э.Нудельману в августе 1940 в тире авиационного завода (пожалуй это был завод 39, на котором размещалось ОКБ С.В.И.) проводили первый отстрел пушек МП-6 с ленточным питанием, сделанным специально для Ил-2. С.В.И. присутствовал при этой стрельбе и было принято решение передать самолет Ил-2 с этими пушками для официальных испытаний (263,140).</w:t>
      </w:r>
    </w:p>
    <w:p w14:paraId="307F4CB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AF73E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в тире авиационного завода проводили первый отстрел пушек МП-6 с ленточным питанием для Ил-2. С.В.И. присутствовал при этой стрельбе и было принято решение передать самолет Ил-2 с этими пушками для официальных испытаний (263,140).</w:t>
      </w:r>
    </w:p>
    <w:p w14:paraId="4BFE5A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Не ясно это, так как соответствующее решение НКАП вышло только 12 сентября 1940. Интересны основы сотрудничества С.В.И. и Я.Г.Таубина. Вряд ли С.В.И. начал бы сам судя по его характеру и нежеланию что-либо менять, выраженному в письме от 9 июня.</w:t>
      </w:r>
    </w:p>
    <w:p w14:paraId="77D67A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года г-м Р.Томберг, начальник воздушной обороны недавно возникшей Эстонской ССР, докладывал в Москву: "В Яголе найден интернированный польский "Локхид" и санитарный РВД". Обнаруженный па аэродроме Ягола самолет относился к типу L-14H "Супер Электра". Проектирование этого авиалайнера начали осенью 1935 года. Использовав общую компоновку удачного L-10, конструкторы, по существу, создали новый самолет. Крыло сильно уменьшили, а фюзеляж, наоборот, нарастили в длину и в высоту, чтобы обеспечить размещение на борту 12-14 пассажиров. В итоге получилась машина, хотя и уступавшая DС-3 по экономичности, но превосходящая ею по скорости и дальности полета. С конца 1937 года L-14 вышли на авиалинии США. Польская компания LOT в 1938-1939 годах закупила у фирмы "Локхид" десять самолетов модификации L-14H с моторами Пратт-Уитни К-1690 "Хорнет" S1EG по 850 л.с. Последний из них, прибывший в мае 1939 года, получил обозначение SP-BPN. В сентябре 1939, после нападения немцев па Польшу, эта машина перелетела в Эстонию, где и была интернирована. В июне 1940 года Эстония превратилась в Эстонскую ССР. Польши к этому времени уже не существовало. "Супер-Электру" сочли трофеем и передали Прибалтийскому управлению ГВФ. Ее хотели выпустить на линию Рига - Великие Луки - Москва. Но при перегонке в Ригу L-14H разбили (3457,56).</w:t>
      </w:r>
    </w:p>
    <w:p w14:paraId="7A32712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C2CAF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"5-флейтовые" блоки под ракеты калибра 132 мм и "18- флейтовый" под РС-82, которые должны были вешаться на держатели Дер-31 под крылом ДБ-3, испытывали в НИПАВ.</w:t>
      </w:r>
    </w:p>
    <w:p w14:paraId="595C62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 на серийных самолетах ракетное вооружение не устанавливалось. Видимо, сочли, что оно не пригодится на такой большой машине, действующей в основном на средних и больших высотах.</w:t>
      </w:r>
    </w:p>
    <w:p w14:paraId="482B78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то же время ДБ-ЗБ стал первым отечественным носителем крылатой ракеты, называвшейся тогда "планирующей ракетной аэробомбой". Ракета "объект 804", созданная в НИИ-3, имела в основе тот же 203-мм реактивный снаряд. На нем смонтировали стреловидное крыло размахом 1,15 м, и оперение с рулями. Длина ракеты равнялась 2,55 м, а вес - 190 кг. Двутавровая пусковая балка монтировалась под фюзеляжем носителя на пилонах и для жесткости укреплялась боковыми подкосами.</w:t>
      </w:r>
    </w:p>
    <w:p w14:paraId="46AF1BB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Перед пуском автопилот АК-1 на ракете раскручивался сжатым воздухом. Прицеливание осуществлялось самим самолетом. После запуска двигателя ракета уходила вперед, удерживая заданные курс и высоту. В июле 1940 г. "объект 804" выпустили над Ногинским полигоном. В рапорте об этом событии записано: "Стрельба... прошла вполне удовлетворительно" (12021).</w:t>
      </w:r>
    </w:p>
    <w:p w14:paraId="46C5FCA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479E0E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завод № 22 обязали проработать возможность создания гермоотсеков вокруг бензобаков, тоже заполняемых нейтральным газом (т.н. «вторая зона»). Подобные работы уже велись в ОКБ-39 Ильюшина применительно к ДБ-3Ф. Сделали ли что-либо в этом направлении для СБ - неизвестно (9927).</w:t>
      </w:r>
    </w:p>
    <w:p w14:paraId="42B659D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8A11EA3" w14:textId="77777777" w:rsidR="00A15529" w:rsidRPr="00DB5D0D" w:rsidRDefault="00A15529"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на завод № 39 поступили практически все конструктивные чертежи ПБ-100. Однако изготовление оснастки задерживалось, поскольку шаблоны, на которые были ссылки (без размеров) в чертежах, были поданы заводом № 156 с опозданием на 2,5 месяца. Как выход из создавшегося положения заводские конструкторы снимали размеры с болванок завода № 156 по сечениям, необходимым для изготовления оснастки. Только в сентябре было закончено изготовление первоочередной оснастки и началось сборка агрегатов ПБ-100 (15223).</w:t>
      </w:r>
    </w:p>
    <w:p w14:paraId="08214064" w14:textId="77777777" w:rsidR="00A15529" w:rsidRPr="00DB5D0D" w:rsidRDefault="00A15529" w:rsidP="00DB5D0D">
      <w:pPr>
        <w:shd w:val="clear" w:color="auto" w:fill="FFFFFF"/>
        <w:spacing w:after="0" w:line="240" w:lineRule="auto"/>
        <w:jc w:val="both"/>
        <w:rPr>
          <w:rFonts w:ascii="Times New Roman" w:hAnsi="Times New Roman"/>
          <w:color w:val="000000" w:themeColor="text1"/>
          <w:sz w:val="16"/>
          <w:szCs w:val="16"/>
        </w:rPr>
      </w:pPr>
    </w:p>
    <w:p w14:paraId="7EAFE2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года начальник 2 отдела 6 управления ГУВВС бригинженер Пискунов.</w:t>
      </w:r>
    </w:p>
    <w:p w14:paraId="3C8CFA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Справка</w:t>
      </w:r>
    </w:p>
    <w:p w14:paraId="0778E1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самолету ББ-22 с 2М103</w:t>
      </w:r>
    </w:p>
    <w:p w14:paraId="4366A6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N 22 с двумя моторами М103 конструкции Яковлева разобран и построен на заводе N 115 в порядке инициативы и в мае 1939 года предъявлен на гос. испытание НИИ ВВС в качестве ближнего разведчика с расчетной скоростью 600 км/час.</w:t>
      </w:r>
    </w:p>
    <w:p w14:paraId="5402CAB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Ввиду отсутствия на самолете вооружения, фотоустановки, радиоустановки и недоработанности винтомоторной группы гос. испытание в полном объеме не было проведено.</w:t>
      </w:r>
    </w:p>
    <w:p w14:paraId="0A27C6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Целью гос. испытаний было только проверка летно-тактических данных и предварительная оценка самолета.</w:t>
      </w:r>
    </w:p>
    <w:p w14:paraId="32FD4F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29 мая по 9 июня 1939 года гос. испытание было проведено.</w:t>
      </w:r>
    </w:p>
    <w:p w14:paraId="3ACFC4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гос. испытаниях выявлено 72 дефекта.</w:t>
      </w:r>
    </w:p>
    <w:p w14:paraId="4FC477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заключении и выводах гос. испытаний НИИ ГУ ВВС (начальник НИИ генерал-майор авиации Филин) было записано, что самолет N 22 конструкции Яковлева удовлетворяет тактико-техническим требованиям 1939 г. и по своим летным данным становится на одно из первых мест как в СССР, так и за границей.</w:t>
      </w:r>
    </w:p>
    <w:p w14:paraId="3F2270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 как разведчик получил прекрасную оценку НИИ, не имея вооружения, фото и радиоустановки, столь необходимые этому типу самолета.</w:t>
      </w:r>
    </w:p>
    <w:p w14:paraId="2732DA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Заключением НИИ ВВС предлагалось изменить компоновку кабины штурмана, установить вооружение, фото и радио, устранить выявленные недоделки и к 1 августа 1939 года предъявить вторично на гос. испытание.</w:t>
      </w:r>
    </w:p>
    <w:p w14:paraId="64E316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самолет к указанному сроку не был предъявлен.</w:t>
      </w:r>
    </w:p>
    <w:p w14:paraId="76EEDBF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7 июня 1939 года макетной комиссией было решено назвать этот самолет ББ-22 произвести перекомпоновку согласно отчета гос. испытаний и использовать его в качестве ближнего бомбардировщика, установив на нем бомбодержатели на 400-700 кг и заднюю стрелковую точку...</w:t>
      </w:r>
    </w:p>
    <w:p w14:paraId="447A5C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Требования НИИ ГУ ВВС и макетной комиссии от 7 июня 1939 года были выполнены частично и неудовлетворительно.</w:t>
      </w:r>
    </w:p>
    <w:p w14:paraId="252CB1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Повторных гос. испытаний самолет ББ-22 не проходил и на основании постановления КО N 171сс от 20 июня 1939 г. был запущен в серию далеко недоделанным.</w:t>
      </w:r>
    </w:p>
    <w:p w14:paraId="3E98F9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N 171сс предусматривалось на заводе N 1 выпустить в 1939 году 50 самолетов ББ-22 и организовать производство этих самолетов на заводе N 81 с выпуском 300 ББ-22 в 1940 году.</w:t>
      </w:r>
    </w:p>
    <w:p w14:paraId="0DBA02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N 23сс от 11 января 1940 года был утвержден заказ на 1940 год 580 самолетов ББ-22 из которых согласно постановления КО N 77сс от 20 февраля 1940 года утвержден заказ на 1 полугодие 1940 года 200 ББ-22 по заводу N 1 и 40 ББ-22 по заводу N 81.</w:t>
      </w:r>
    </w:p>
    <w:p w14:paraId="340646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тому же постановлением КО N 116сс от 4 марта 1940 года обзывало НКАП построить модификацию самолета ББ-22 с 2 моторами М-105, с максимальной скоростью 590 км/час и 2М107 со скоростью 650 км/час с бомбовой нагрузкой 400 кг и предъявить на гос. испытание в декабре 1940 г.</w:t>
      </w:r>
    </w:p>
    <w:p w14:paraId="6FCE3C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феврале 1940 г. 10 самолетов ББ-22 выпуска завода N 1 были переданы на войсковые испытания в НИИ ГУ ВВС.</w:t>
      </w:r>
    </w:p>
    <w:p w14:paraId="55E2F04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в начале февраля 1940 г. под давлением зам. наркома НКАП и гл. конструктора Яковлева и с согласия НИИ ВВС сданы на войсковые испытания недоделанными.</w:t>
      </w:r>
    </w:p>
    <w:p w14:paraId="7E29A6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марта 1940 года войсковые испытания были прерваны из опасности полетов на самолетах ББ-22 по причинам наличия вибрации хвостового оперения, ненадежности в работе гидросистемы управления шасси, щитков, жалюзи и разрушения болтов крепления мотора к мотораме.</w:t>
      </w:r>
    </w:p>
    <w:p w14:paraId="1EECC3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марта 1940 года 1 управление ГУАС на основании неудовлетворительных войсковых испытаний и выявления многих конструктивных и производственных недоделок ходатайствовало перед Наркомом Обороны пересмотреть вопрос о серийной постройке ББ-22. Ходатайство не было подписано бывшим начальником ГУАС генерал-лейтенантом Алексеевым и последним было дано указание о доводке самолета.</w:t>
      </w:r>
    </w:p>
    <w:p w14:paraId="7C1A67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марта 1940 года на заводе N 1... проведено совещание по доводке самолета...</w:t>
      </w:r>
    </w:p>
    <w:p w14:paraId="1C0C51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Постройка серии продолжалась.</w:t>
      </w:r>
    </w:p>
    <w:p w14:paraId="1F9F806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 апреля 1940 года на заводе N 1 несмотря на недоведенность самолетов ББ-22 было решено зам. начальника ГУАС дивинженером Репиным и зам. наркома НКАП Ворониным оформить 21 самолет для участия в параде 1 мая 1940 года.</w:t>
      </w:r>
    </w:p>
    <w:p w14:paraId="450EC9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Самолеты после участия в параде были возвращены заводу N 1 для доделки.</w:t>
      </w:r>
    </w:p>
    <w:p w14:paraId="6347210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 мая 1940 года на основании проведенных войсковых испытаний было проведено заседание Техсовета при НИИ ВВС.</w:t>
      </w:r>
    </w:p>
    <w:p w14:paraId="3AC9DC4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Техсовет констатировал, что максимальная скорость самолета снизилась до 515 км/час вместо 567 км/час, время набора 5000 м - 7,7 мин., практический потолок 8900 м дальность полета звеном на высоте 5000 м 630 км и к тому же на самолете выявлено 183 дефекта.</w:t>
      </w:r>
    </w:p>
    <w:p w14:paraId="6D159E5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предъявленном виде самолет без устранения дефектов к эксплуатации в частях ВВС не может быть допущен.</w:t>
      </w:r>
    </w:p>
    <w:p w14:paraId="716828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марте 1940 года стали появляться отдельные мнения о непригодности этого самолета.</w:t>
      </w:r>
    </w:p>
    <w:p w14:paraId="43EE44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 мая 1940 года бывш. ГУАС письмом N было возбуждено ходатайство перед наркомом обороны маршалом Тимошенко и перед КО о прекращении производства самолетов ББ-22 ввиду их непригодности к эксплуатации в частях ВВС с оставлением задела для доводки самолета.</w:t>
      </w:r>
    </w:p>
    <w:p w14:paraId="26D05E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Постановлением КО N 224сс от 25 мая 1940 года производство самолетов ББ-22 на заводе N 1 было прекращено с оставлением выпуска задела в 1940 году 100 самолетов.</w:t>
      </w:r>
    </w:p>
    <w:p w14:paraId="22D885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настоящее время на заводе N 81 готовится модификация самолета ББ-22 с мотором М105 с целью использования его в качестве пикирующего бомбардировщика.</w:t>
      </w:r>
    </w:p>
    <w:p w14:paraId="679488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самолете предусматривается установка двух моторов М-105, подвеска 2х250 кг бомб и 8-ми реактивных снарядов, увеличение запаса горючего, установка воздушных тормозов для ограничения скорости пикирования и т.д. Изготовление первого образца этого самолета ожидается в сентябре 1940 года (3489,10-19).</w:t>
      </w:r>
    </w:p>
    <w:p w14:paraId="4851745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7EA2E0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ВВС утвердили эскизный проект 103 машины А.Н.Т., который был сделан не дожидаясь ТТТ и предъявлен НИИ ВВС в двух вариантах - с АМ-35 с реактивными патрубками и с М-120 с ТК в мае 1940. По эскизному проекту - длинна - 13.2 м, размах - 18.7 м (1835,9).</w:t>
      </w:r>
    </w:p>
    <w:p w14:paraId="6DF5F59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FDAF99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года в письме замначальника ВВС РККА генерал-лей</w:t>
      </w:r>
      <w:r w:rsidRPr="00DB5D0D">
        <w:rPr>
          <w:rFonts w:ascii="Times New Roman" w:hAnsi="Times New Roman"/>
          <w:color w:val="000000" w:themeColor="text1"/>
          <w:sz w:val="16"/>
          <w:szCs w:val="16"/>
        </w:rPr>
        <w:softHyphen/>
        <w:t>тенанта авиации П.В. Рычагова на имя директора авиационного завода № 22 (копия была направлена начальнику ЦАГИ генерал-майору авиации И.Ф. Петрову) сообщалось, что на первых сериях самолета СБ, которые на</w:t>
      </w:r>
      <w:r w:rsidRPr="00DB5D0D">
        <w:rPr>
          <w:rFonts w:ascii="Times New Roman" w:hAnsi="Times New Roman"/>
          <w:color w:val="000000" w:themeColor="text1"/>
          <w:sz w:val="16"/>
          <w:szCs w:val="16"/>
        </w:rPr>
        <w:softHyphen/>
        <w:t>ходились в эксплуатации в частях и ВУЗах ВВС РККА, происходят аварии в воздухе в результате вибраций типа флаттер. П.В. Рычагов просил разрабо</w:t>
      </w:r>
      <w:r w:rsidRPr="00DB5D0D">
        <w:rPr>
          <w:rFonts w:ascii="Times New Roman" w:hAnsi="Times New Roman"/>
          <w:color w:val="000000" w:themeColor="text1"/>
          <w:sz w:val="16"/>
          <w:szCs w:val="16"/>
        </w:rPr>
        <w:softHyphen/>
        <w:t>тать способ борьбы с подобными явлениями (Самарский филиал РГАНТД.Ф.Р-217. Оп. 1-6. Д. 19. Л. 41.). Затраты сил и средств на преодоление различных дефектов и на модер</w:t>
      </w:r>
      <w:r w:rsidRPr="00DB5D0D">
        <w:rPr>
          <w:rFonts w:ascii="Times New Roman" w:hAnsi="Times New Roman"/>
          <w:color w:val="000000" w:themeColor="text1"/>
          <w:sz w:val="16"/>
          <w:szCs w:val="16"/>
        </w:rPr>
        <w:softHyphen/>
        <w:t>низацию устаревшей материальной части не могли не отвлекать от решения более актуальных проблем с освоением в войсках авиатехники нового поко</w:t>
      </w:r>
      <w:r w:rsidRPr="00DB5D0D">
        <w:rPr>
          <w:rFonts w:ascii="Times New Roman" w:hAnsi="Times New Roman"/>
          <w:color w:val="000000" w:themeColor="text1"/>
          <w:sz w:val="16"/>
          <w:szCs w:val="16"/>
        </w:rPr>
        <w:softHyphen/>
        <w:t>ления. Огромный советский авиационный парк нуждался в экстренном об</w:t>
      </w:r>
      <w:r w:rsidRPr="00DB5D0D">
        <w:rPr>
          <w:rFonts w:ascii="Times New Roman" w:hAnsi="Times New Roman"/>
          <w:color w:val="000000" w:themeColor="text1"/>
          <w:sz w:val="16"/>
          <w:szCs w:val="16"/>
        </w:rPr>
        <w:softHyphen/>
        <w:t>новлении. На смену морально устаревшим и устаревающим самолетам долж</w:t>
      </w:r>
      <w:r w:rsidRPr="00DB5D0D">
        <w:rPr>
          <w:rFonts w:ascii="Times New Roman" w:hAnsi="Times New Roman"/>
          <w:color w:val="000000" w:themeColor="text1"/>
          <w:sz w:val="16"/>
          <w:szCs w:val="16"/>
        </w:rPr>
        <w:softHyphen/>
        <w:t>ны были прийти самолеты нового поколения. В осуществляемой модерниза</w:t>
      </w:r>
      <w:r w:rsidRPr="00DB5D0D">
        <w:rPr>
          <w:rFonts w:ascii="Times New Roman" w:hAnsi="Times New Roman"/>
          <w:color w:val="000000" w:themeColor="text1"/>
          <w:sz w:val="16"/>
          <w:szCs w:val="16"/>
        </w:rPr>
        <w:softHyphen/>
        <w:t>ции советской военной авиации разработка и производство новой авиаци</w:t>
      </w:r>
      <w:r w:rsidRPr="00DB5D0D">
        <w:rPr>
          <w:rFonts w:ascii="Times New Roman" w:hAnsi="Times New Roman"/>
          <w:color w:val="000000" w:themeColor="text1"/>
          <w:sz w:val="16"/>
          <w:szCs w:val="16"/>
        </w:rPr>
        <w:softHyphen/>
        <w:t>онной техники представляли одну из самых главных и сложных задач (11710,424).</w:t>
      </w:r>
    </w:p>
    <w:p w14:paraId="5EA70DE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9CDE3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завод № 125 сдал 15 СБ-2М-103 (против 33 по плану), в сентябре - 42 (по плану - 40). Группкомплектов ушло два в августе и еще четыре - в сентябре. Запчастей к СБ-2М103А поставили на 1 110 422 руб., выполнив по ним план на 146%.</w:t>
      </w:r>
    </w:p>
    <w:p w14:paraId="7A963FF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Анализируя деятельность завода в последнем предвоенном году видно много любопытного. Очевидно, что рост производственных мощностей происходил очень медленно из-за слабых темпов строительства. За 1940 г. были сданы в эксплуатацию ба ко протекторный цех и кислородный завод. Эти два объекта дали заводу большое облегчение в работе - исчезла зависимость в резинотехнических изделиях и зависимость извне по кислороду, необходимому для сварочных работ. Увеличение станочного парка было очень незначительным: появился 1 фрезерный станок в инструментальный цех, два пресса в штамповочном, один пресс в слесарно-заготовительном цехе. Обеспеченность в рабочей силе в 1940 г. составляла 100%. Всего в цехах работали 3874 человека, из них рабочих - 2540.</w:t>
      </w:r>
    </w:p>
    <w:p w14:paraId="7120C0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Равномерной работе с сентября способствовало создание в августе нового цеха (№ 22), который производил установку оборудования в отсеках самолета перед окончательной сборкой в сборочном цеху.</w:t>
      </w:r>
    </w:p>
    <w:p w14:paraId="108B52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расположением аэродрома в пойме Ангары отправка самолетов своим "ходом" в зимний период была возможна только в редкие дни. Ангара, не замерзающая до конца января, источала туман, который закрывал аэродром и препятствовал полетам до середины дня, иногда и весь день. На маршруте на восток препятствием перелета служил Байкал, поскольку окаймляющие его горные хребты были закрыты облачностью. По этой причине зимой на заводе скапливалось большое количество самолетов. Это имело место и зимой 1940-41 гг. (12037).</w:t>
      </w:r>
    </w:p>
    <w:p w14:paraId="4BEBF37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5E83E8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августу 1940 г. для облегчения переучивания на И-185 разработали эскизный проект двухместного учебно-тренировочного истребителя ДИТ-185 с мото</w:t>
      </w:r>
      <w:r w:rsidRPr="00DB5D0D">
        <w:rPr>
          <w:rFonts w:ascii="Times New Roman" w:hAnsi="Times New Roman"/>
          <w:color w:val="000000" w:themeColor="text1"/>
          <w:sz w:val="16"/>
          <w:szCs w:val="16"/>
        </w:rPr>
        <w:softHyphen/>
        <w:t>ром М-90. При том же размахе крыла 9,8 м длина маши</w:t>
      </w:r>
      <w:r w:rsidRPr="00DB5D0D">
        <w:rPr>
          <w:rFonts w:ascii="Times New Roman" w:hAnsi="Times New Roman"/>
          <w:color w:val="000000" w:themeColor="text1"/>
          <w:sz w:val="16"/>
          <w:szCs w:val="16"/>
        </w:rPr>
        <w:softHyphen/>
        <w:t>ны по сравнению с И-185 немного увеличилась и стала равной 7,55 м. Вес пустого самолета составлял 2264 кг, а нормальный взлетный вес 2901 кг. Его летные характе</w:t>
      </w:r>
      <w:r w:rsidRPr="00DB5D0D">
        <w:rPr>
          <w:rFonts w:ascii="Times New Roman" w:hAnsi="Times New Roman"/>
          <w:color w:val="000000" w:themeColor="text1"/>
          <w:sz w:val="16"/>
          <w:szCs w:val="16"/>
        </w:rPr>
        <w:softHyphen/>
        <w:t>ристики предполагались близкими к характеристикам И-185 (10667).</w:t>
      </w:r>
    </w:p>
    <w:p w14:paraId="29B3852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708074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завершилась разработка эскизного проекта истребителя И-185 с мотором М-71. В докумен</w:t>
      </w:r>
      <w:r w:rsidRPr="00DB5D0D">
        <w:rPr>
          <w:rFonts w:ascii="Times New Roman" w:hAnsi="Times New Roman"/>
          <w:color w:val="000000" w:themeColor="text1"/>
          <w:sz w:val="16"/>
          <w:szCs w:val="16"/>
        </w:rPr>
        <w:softHyphen/>
        <w:t>тах он обозначался как И-186 или РМ. Проектирование осуществлялось таким образом, чтобы с минимальны</w:t>
      </w:r>
      <w:r w:rsidRPr="00DB5D0D">
        <w:rPr>
          <w:rFonts w:ascii="Times New Roman" w:hAnsi="Times New Roman"/>
          <w:color w:val="000000" w:themeColor="text1"/>
          <w:sz w:val="16"/>
          <w:szCs w:val="16"/>
        </w:rPr>
        <w:softHyphen/>
        <w:t>ми переделками можно было использовать уже готовые комплекты (фюзеляж, крылья, оперение) от истребите</w:t>
      </w:r>
      <w:r w:rsidRPr="00DB5D0D">
        <w:rPr>
          <w:rFonts w:ascii="Times New Roman" w:hAnsi="Times New Roman"/>
          <w:color w:val="000000" w:themeColor="text1"/>
          <w:sz w:val="16"/>
          <w:szCs w:val="16"/>
        </w:rPr>
        <w:softHyphen/>
        <w:t>ля И-185 с М-90. В «Докладной записке к эскизному проекту» Нико</w:t>
      </w:r>
      <w:r w:rsidRPr="00DB5D0D">
        <w:rPr>
          <w:rFonts w:ascii="Times New Roman" w:hAnsi="Times New Roman"/>
          <w:color w:val="000000" w:themeColor="text1"/>
          <w:sz w:val="16"/>
          <w:szCs w:val="16"/>
        </w:rPr>
        <w:softHyphen/>
        <w:t>лай Николаевич писал:</w:t>
      </w:r>
    </w:p>
    <w:p w14:paraId="3A0C0E0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«Спроектированный в начале сего года и находя</w:t>
      </w:r>
      <w:r w:rsidRPr="00DB5D0D">
        <w:rPr>
          <w:rFonts w:ascii="Times New Roman" w:hAnsi="Times New Roman"/>
          <w:color w:val="000000" w:themeColor="text1"/>
          <w:sz w:val="16"/>
          <w:szCs w:val="16"/>
        </w:rPr>
        <w:softHyphen/>
        <w:t>щийся в постройке самолет И-185 под мотор М-90 за</w:t>
      </w:r>
      <w:r w:rsidRPr="00DB5D0D">
        <w:rPr>
          <w:rFonts w:ascii="Times New Roman" w:hAnsi="Times New Roman"/>
          <w:color w:val="000000" w:themeColor="text1"/>
          <w:sz w:val="16"/>
          <w:szCs w:val="16"/>
        </w:rPr>
        <w:softHyphen/>
        <w:t>держался постройкой главным образом из-за непо</w:t>
      </w:r>
      <w:r w:rsidRPr="00DB5D0D">
        <w:rPr>
          <w:rFonts w:ascii="Times New Roman" w:hAnsi="Times New Roman"/>
          <w:color w:val="000000" w:themeColor="text1"/>
          <w:sz w:val="16"/>
          <w:szCs w:val="16"/>
        </w:rPr>
        <w:softHyphen/>
        <w:t>дачи в сроки, установленные Правительством, моторов М-90. Первый мотор на летный экземпляр самолета должен был быть подан 15/1У с/г. Однако, к августу ме</w:t>
      </w:r>
      <w:r w:rsidRPr="00DB5D0D">
        <w:rPr>
          <w:rFonts w:ascii="Times New Roman" w:hAnsi="Times New Roman"/>
          <w:color w:val="000000" w:themeColor="text1"/>
          <w:sz w:val="16"/>
          <w:szCs w:val="16"/>
        </w:rPr>
        <w:softHyphen/>
        <w:t>сяцу с/г. мотор еще не отработан и из переписки по это</w:t>
      </w:r>
      <w:r w:rsidRPr="00DB5D0D">
        <w:rPr>
          <w:rFonts w:ascii="Times New Roman" w:hAnsi="Times New Roman"/>
          <w:color w:val="000000" w:themeColor="text1"/>
          <w:sz w:val="16"/>
          <w:szCs w:val="16"/>
        </w:rPr>
        <w:softHyphen/>
        <w:t>му вопросу, а также устных заявлений руководства завода № 29 не ясно, когда мотор будет отработан и по</w:t>
      </w:r>
      <w:r w:rsidRPr="00DB5D0D">
        <w:rPr>
          <w:rFonts w:ascii="Times New Roman" w:hAnsi="Times New Roman"/>
          <w:color w:val="000000" w:themeColor="text1"/>
          <w:sz w:val="16"/>
          <w:szCs w:val="16"/>
        </w:rPr>
        <w:softHyphen/>
        <w:t>дан на сборку самолета.</w:t>
      </w:r>
    </w:p>
    <w:p w14:paraId="7B82F7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Поэтому нами по заданию Народного Комиссара Авиационной Промышленности СССР тов. Шахурина был проработан вопрос о возможности постановки на самолет И-185 мотора М-71 и прорабатывается возмож</w:t>
      </w:r>
      <w:r w:rsidRPr="00DB5D0D">
        <w:rPr>
          <w:rFonts w:ascii="Times New Roman" w:hAnsi="Times New Roman"/>
          <w:color w:val="000000" w:themeColor="text1"/>
          <w:sz w:val="16"/>
          <w:szCs w:val="16"/>
        </w:rPr>
        <w:softHyphen/>
        <w:t>ность постановки М-81.</w:t>
      </w:r>
    </w:p>
    <w:p w14:paraId="6A52B63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Замена мотора М-90 на мотор М-71 ухудшит обводы самолета, увеличивает полетный вес и ухудшит полет</w:t>
      </w:r>
      <w:r w:rsidRPr="00DB5D0D">
        <w:rPr>
          <w:rFonts w:ascii="Times New Roman" w:hAnsi="Times New Roman"/>
          <w:color w:val="000000" w:themeColor="text1"/>
          <w:sz w:val="16"/>
          <w:szCs w:val="16"/>
        </w:rPr>
        <w:softHyphen/>
        <w:t>ные данные самолета, несмотря на увеличенную мощ</w:t>
      </w:r>
      <w:r w:rsidRPr="00DB5D0D">
        <w:rPr>
          <w:rFonts w:ascii="Times New Roman" w:hAnsi="Times New Roman"/>
          <w:color w:val="000000" w:themeColor="text1"/>
          <w:sz w:val="16"/>
          <w:szCs w:val="16"/>
        </w:rPr>
        <w:softHyphen/>
        <w:t>ность мотора М-71, что видно из таблицы:</w:t>
      </w:r>
    </w:p>
    <w:p w14:paraId="0224857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Летные данные будут несколько лучше при поста</w:t>
      </w:r>
      <w:r w:rsidRPr="00DB5D0D">
        <w:rPr>
          <w:rFonts w:ascii="Times New Roman" w:hAnsi="Times New Roman"/>
          <w:color w:val="000000" w:themeColor="text1"/>
          <w:sz w:val="16"/>
          <w:szCs w:val="16"/>
        </w:rPr>
        <w:softHyphen/>
        <w:t>новке капота с охлаждением через кок, но мы ставим на первые опытные самолеты с мотором М-71 капоты МАСА, так как отработка капота с входом воздуха через кок в ЦАГИ несколько задержалась. Чертежи капота с охлаждением через кок для мотора М-71 в настоящее время нами прорабатываются.</w:t>
      </w:r>
    </w:p>
    <w:p w14:paraId="4E1FFB6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заменой мотора М-90 на М-71 изменяется стрелковое вооружение самолета в части крепления и управления огнем.</w:t>
      </w:r>
    </w:p>
    <w:p w14:paraId="3BFC262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Из-за увеличения веса ВМГ и всего самолета (при</w:t>
      </w:r>
      <w:r w:rsidRPr="00DB5D0D">
        <w:rPr>
          <w:rFonts w:ascii="Times New Roman" w:hAnsi="Times New Roman"/>
          <w:color w:val="000000" w:themeColor="text1"/>
          <w:sz w:val="16"/>
          <w:szCs w:val="16"/>
        </w:rPr>
        <w:softHyphen/>
        <w:t>мерно на 100 кг) в некоторых деталях самолет потребует усиления. Колеса 600x180 заменяются на 650x200 и хвос</w:t>
      </w:r>
      <w:r w:rsidRPr="00DB5D0D">
        <w:rPr>
          <w:rFonts w:ascii="Times New Roman" w:hAnsi="Times New Roman"/>
          <w:color w:val="000000" w:themeColor="text1"/>
          <w:sz w:val="16"/>
          <w:szCs w:val="16"/>
        </w:rPr>
        <w:softHyphen/>
        <w:t>товой гусматик 150x90 на пневматик 300x125. В целом самолет И-185 выигрывает от постановки 2-х моторов (М-90 и М-71) вследствие больших мобилизационных возможностей.</w:t>
      </w:r>
    </w:p>
    <w:p w14:paraId="534FF26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Данный эскизный проект включает лишь материа</w:t>
      </w:r>
      <w:r w:rsidRPr="00DB5D0D">
        <w:rPr>
          <w:rFonts w:ascii="Times New Roman" w:hAnsi="Times New Roman"/>
          <w:color w:val="000000" w:themeColor="text1"/>
          <w:sz w:val="16"/>
          <w:szCs w:val="16"/>
        </w:rPr>
        <w:softHyphen/>
        <w:t>лы, отражающие изменения самолета И-185 М-90 вслед</w:t>
      </w:r>
      <w:r w:rsidRPr="00DB5D0D">
        <w:rPr>
          <w:rFonts w:ascii="Times New Roman" w:hAnsi="Times New Roman"/>
          <w:color w:val="000000" w:themeColor="text1"/>
          <w:sz w:val="16"/>
          <w:szCs w:val="16"/>
        </w:rPr>
        <w:softHyphen/>
        <w:t>ствие замены мотора М-90 на М-71».</w:t>
      </w:r>
    </w:p>
    <w:p w14:paraId="3D12D2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Длина самолета, ввиду других габаритов мотора, не</w:t>
      </w:r>
      <w:r w:rsidRPr="00DB5D0D">
        <w:rPr>
          <w:rFonts w:ascii="Times New Roman" w:hAnsi="Times New Roman"/>
          <w:color w:val="000000" w:themeColor="text1"/>
          <w:sz w:val="16"/>
          <w:szCs w:val="16"/>
        </w:rPr>
        <w:softHyphen/>
        <w:t>много изменилась и стала равной 7,68 м. Нормальный взлетный вес увеличился до 2984 кг, вес пустого самоле</w:t>
      </w:r>
      <w:r w:rsidRPr="00DB5D0D">
        <w:rPr>
          <w:rFonts w:ascii="Times New Roman" w:hAnsi="Times New Roman"/>
          <w:color w:val="000000" w:themeColor="text1"/>
          <w:sz w:val="16"/>
          <w:szCs w:val="16"/>
        </w:rPr>
        <w:softHyphen/>
        <w:t>та - до 2289 кг.</w:t>
      </w:r>
    </w:p>
    <w:p w14:paraId="162EC3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осталось тем же: два ШКАС и два БС, но истребитель мог нести еще и до 200 кг бомб.</w:t>
      </w:r>
    </w:p>
    <w:p w14:paraId="1AFF2C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земли И-186 развивал максимальную скорость 574 км/ч, на высоте 10000 м - 612 км/ч.(10667).</w:t>
      </w:r>
    </w:p>
    <w:p w14:paraId="4A5796E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Таблица летных данных самолетов И-185 и И-186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4"/>
        <w:gridCol w:w="922"/>
        <w:gridCol w:w="854"/>
        <w:gridCol w:w="778"/>
        <w:gridCol w:w="691"/>
        <w:gridCol w:w="874"/>
      </w:tblGrid>
      <w:tr w:rsidR="007D5DF8" w:rsidRPr="00DB5D0D" w14:paraId="2D368001" w14:textId="77777777" w:rsidTr="00E543D0">
        <w:trPr>
          <w:trHeight w:val="845"/>
        </w:trPr>
        <w:tc>
          <w:tcPr>
            <w:tcW w:w="854" w:type="dxa"/>
            <w:tcBorders>
              <w:top w:val="single" w:sz="12" w:space="0" w:color="auto"/>
            </w:tcBorders>
          </w:tcPr>
          <w:p w14:paraId="1D45F9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Самолет</w:t>
            </w:r>
          </w:p>
        </w:tc>
        <w:tc>
          <w:tcPr>
            <w:tcW w:w="922" w:type="dxa"/>
            <w:tcBorders>
              <w:top w:val="single" w:sz="12" w:space="0" w:color="auto"/>
            </w:tcBorders>
          </w:tcPr>
          <w:p w14:paraId="208884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 мах без учета наддува, км/ч</w:t>
            </w:r>
          </w:p>
        </w:tc>
        <w:tc>
          <w:tcPr>
            <w:tcW w:w="854" w:type="dxa"/>
            <w:tcBorders>
              <w:top w:val="single" w:sz="12" w:space="0" w:color="auto"/>
            </w:tcBorders>
          </w:tcPr>
          <w:p w14:paraId="3050A2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Время подъема на 5000 м, мин.</w:t>
            </w:r>
          </w:p>
        </w:tc>
        <w:tc>
          <w:tcPr>
            <w:tcW w:w="778" w:type="dxa"/>
            <w:tcBorders>
              <w:top w:val="single" w:sz="12" w:space="0" w:color="auto"/>
            </w:tcBorders>
          </w:tcPr>
          <w:p w14:paraId="208667C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Практ. пото</w:t>
            </w:r>
            <w:r w:rsidRPr="00DB5D0D">
              <w:rPr>
                <w:rFonts w:ascii="Times New Roman" w:hAnsi="Times New Roman"/>
                <w:color w:val="000000" w:themeColor="text1"/>
                <w:sz w:val="16"/>
                <w:szCs w:val="16"/>
              </w:rPr>
              <w:softHyphen/>
              <w:t>лок, м</w:t>
            </w:r>
          </w:p>
        </w:tc>
        <w:tc>
          <w:tcPr>
            <w:tcW w:w="691" w:type="dxa"/>
            <w:tcBorders>
              <w:top w:val="single" w:sz="12" w:space="0" w:color="auto"/>
            </w:tcBorders>
          </w:tcPr>
          <w:p w14:paraId="5F486B2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Посад, скор., км/ч</w:t>
            </w:r>
          </w:p>
        </w:tc>
        <w:tc>
          <w:tcPr>
            <w:tcW w:w="874" w:type="dxa"/>
            <w:tcBorders>
              <w:top w:val="single" w:sz="12" w:space="0" w:color="auto"/>
            </w:tcBorders>
          </w:tcPr>
          <w:p w14:paraId="7842940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Приме</w:t>
            </w:r>
            <w:r w:rsidRPr="00DB5D0D">
              <w:rPr>
                <w:rFonts w:ascii="Times New Roman" w:hAnsi="Times New Roman"/>
                <w:color w:val="000000" w:themeColor="text1"/>
                <w:sz w:val="16"/>
                <w:szCs w:val="16"/>
              </w:rPr>
              <w:softHyphen/>
              <w:t>чание</w:t>
            </w:r>
          </w:p>
        </w:tc>
      </w:tr>
      <w:tr w:rsidR="007D5DF8" w:rsidRPr="00DB5D0D" w14:paraId="67A7B185" w14:textId="77777777" w:rsidTr="00E543D0">
        <w:trPr>
          <w:trHeight w:val="269"/>
        </w:trPr>
        <w:tc>
          <w:tcPr>
            <w:tcW w:w="854" w:type="dxa"/>
          </w:tcPr>
          <w:p w14:paraId="1ED972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И-185 (М-90)</w:t>
            </w:r>
          </w:p>
        </w:tc>
        <w:tc>
          <w:tcPr>
            <w:tcW w:w="922" w:type="dxa"/>
          </w:tcPr>
          <w:p w14:paraId="1712B3D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680/6000 м</w:t>
            </w:r>
          </w:p>
        </w:tc>
        <w:tc>
          <w:tcPr>
            <w:tcW w:w="854" w:type="dxa"/>
          </w:tcPr>
          <w:p w14:paraId="438A256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w:t>
            </w:r>
          </w:p>
        </w:tc>
        <w:tc>
          <w:tcPr>
            <w:tcW w:w="778" w:type="dxa"/>
          </w:tcPr>
          <w:p w14:paraId="25C8F81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12100</w:t>
            </w:r>
          </w:p>
        </w:tc>
        <w:tc>
          <w:tcPr>
            <w:tcW w:w="691" w:type="dxa"/>
          </w:tcPr>
          <w:p w14:paraId="29E376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125-130</w:t>
            </w:r>
          </w:p>
        </w:tc>
        <w:tc>
          <w:tcPr>
            <w:tcW w:w="874" w:type="dxa"/>
          </w:tcPr>
          <w:p w14:paraId="164EC9F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 с охлажд. через кок</w:t>
            </w:r>
          </w:p>
        </w:tc>
      </w:tr>
      <w:tr w:rsidR="007D5DF8" w:rsidRPr="00DB5D0D" w14:paraId="5CAB7EFE" w14:textId="77777777" w:rsidTr="00E543D0">
        <w:trPr>
          <w:trHeight w:val="413"/>
        </w:trPr>
        <w:tc>
          <w:tcPr>
            <w:tcW w:w="854" w:type="dxa"/>
            <w:tcBorders>
              <w:bottom w:val="single" w:sz="12" w:space="0" w:color="auto"/>
            </w:tcBorders>
          </w:tcPr>
          <w:p w14:paraId="275227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И-186 (М-71)</w:t>
            </w:r>
          </w:p>
        </w:tc>
        <w:tc>
          <w:tcPr>
            <w:tcW w:w="922" w:type="dxa"/>
            <w:tcBorders>
              <w:bottom w:val="single" w:sz="12" w:space="0" w:color="auto"/>
            </w:tcBorders>
          </w:tcPr>
          <w:p w14:paraId="15C2B18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655/5000 м</w:t>
            </w:r>
          </w:p>
        </w:tc>
        <w:tc>
          <w:tcPr>
            <w:tcW w:w="854" w:type="dxa"/>
            <w:tcBorders>
              <w:bottom w:val="single" w:sz="12" w:space="0" w:color="auto"/>
            </w:tcBorders>
          </w:tcPr>
          <w:p w14:paraId="692108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4,3</w:t>
            </w:r>
          </w:p>
        </w:tc>
        <w:tc>
          <w:tcPr>
            <w:tcW w:w="778" w:type="dxa"/>
            <w:tcBorders>
              <w:bottom w:val="single" w:sz="12" w:space="0" w:color="auto"/>
            </w:tcBorders>
          </w:tcPr>
          <w:p w14:paraId="334FA70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12350</w:t>
            </w:r>
          </w:p>
        </w:tc>
        <w:tc>
          <w:tcPr>
            <w:tcW w:w="691" w:type="dxa"/>
            <w:tcBorders>
              <w:bottom w:val="single" w:sz="12" w:space="0" w:color="auto"/>
            </w:tcBorders>
          </w:tcPr>
          <w:p w14:paraId="11C8C9C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127-132</w:t>
            </w:r>
          </w:p>
        </w:tc>
        <w:tc>
          <w:tcPr>
            <w:tcW w:w="874" w:type="dxa"/>
            <w:tcBorders>
              <w:bottom w:val="single" w:sz="12" w:space="0" w:color="auto"/>
            </w:tcBorders>
          </w:tcPr>
          <w:p w14:paraId="5EF0F3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Капот НАСА</w:t>
            </w:r>
          </w:p>
        </w:tc>
      </w:tr>
    </w:tbl>
    <w:p w14:paraId="3A33BF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(10667).</w:t>
      </w:r>
    </w:p>
    <w:p w14:paraId="6E53BF0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D519A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на госиспы</w:t>
      </w:r>
      <w:r w:rsidRPr="00DB5D0D">
        <w:rPr>
          <w:rFonts w:ascii="Times New Roman" w:hAnsi="Times New Roman"/>
          <w:color w:val="000000" w:themeColor="text1"/>
          <w:sz w:val="16"/>
          <w:szCs w:val="16"/>
        </w:rPr>
        <w:softHyphen/>
        <w:t>таниях серийной машины летные ха</w:t>
      </w:r>
      <w:r w:rsidRPr="00DB5D0D">
        <w:rPr>
          <w:rFonts w:ascii="Times New Roman" w:hAnsi="Times New Roman"/>
          <w:color w:val="000000" w:themeColor="text1"/>
          <w:sz w:val="16"/>
          <w:szCs w:val="16"/>
        </w:rPr>
        <w:softHyphen/>
        <w:t>рактеристики И-16 тип 24 были хотя и были выше, чем у эталона 1940 г., но также не достигали значений опыт</w:t>
      </w:r>
      <w:r w:rsidRPr="00DB5D0D">
        <w:rPr>
          <w:rFonts w:ascii="Times New Roman" w:hAnsi="Times New Roman"/>
          <w:color w:val="000000" w:themeColor="text1"/>
          <w:sz w:val="16"/>
          <w:szCs w:val="16"/>
        </w:rPr>
        <w:softHyphen/>
        <w:t>ного экземпляра. В дальнейшем их удалось немного улучшить, однако полностью все изменения завод по</w:t>
      </w:r>
      <w:r w:rsidRPr="00DB5D0D">
        <w:rPr>
          <w:rFonts w:ascii="Times New Roman" w:hAnsi="Times New Roman"/>
          <w:color w:val="000000" w:themeColor="text1"/>
          <w:sz w:val="16"/>
          <w:szCs w:val="16"/>
        </w:rPr>
        <w:softHyphen/>
        <w:t>обещал внедрить на модификации И-16 тип 29 (10667). С февраля по июнь 1940 г. завод № 21 построил 806 И-16 типов 24 и 28. Производственные программы систематически про</w:t>
      </w:r>
      <w:r w:rsidRPr="00DB5D0D">
        <w:rPr>
          <w:rFonts w:ascii="Times New Roman" w:hAnsi="Times New Roman"/>
          <w:color w:val="000000" w:themeColor="text1"/>
          <w:sz w:val="16"/>
          <w:szCs w:val="16"/>
        </w:rPr>
        <w:softHyphen/>
        <w:t>валивались. Для того, чтобы попытаться хоть как-то воздействовать на заводы, 11 марта 1940 г. начальник ГУАС КА был вынужден обратиться с письмом к нарко</w:t>
      </w:r>
      <w:r w:rsidRPr="00DB5D0D">
        <w:rPr>
          <w:rFonts w:ascii="Times New Roman" w:hAnsi="Times New Roman"/>
          <w:color w:val="000000" w:themeColor="text1"/>
          <w:sz w:val="16"/>
          <w:szCs w:val="16"/>
        </w:rPr>
        <w:softHyphen/>
        <w:t>му Союза ССР маршалу Советского Союза К.Е.Вороши</w:t>
      </w:r>
      <w:r w:rsidRPr="00DB5D0D">
        <w:rPr>
          <w:rFonts w:ascii="Times New Roman" w:hAnsi="Times New Roman"/>
          <w:color w:val="000000" w:themeColor="text1"/>
          <w:sz w:val="16"/>
          <w:szCs w:val="16"/>
        </w:rPr>
        <w:softHyphen/>
        <w:t>лову, в котором констатировал, что постановление Комитета Обороны при СНК СССР № 77сс о сдаче нар</w:t>
      </w:r>
      <w:r w:rsidRPr="00DB5D0D">
        <w:rPr>
          <w:rFonts w:ascii="Times New Roman" w:hAnsi="Times New Roman"/>
          <w:color w:val="000000" w:themeColor="text1"/>
          <w:sz w:val="16"/>
          <w:szCs w:val="16"/>
        </w:rPr>
        <w:softHyphen/>
        <w:t>коматом авиационной промышленности для ГУАС КА боевых самолетов не выполнено. «За январь и февраль месяц с.г. самолетов истребительного типа надлежало сдать 386 шт., дано 291 шт., что составляет 75% от пла</w:t>
      </w:r>
      <w:r w:rsidRPr="00DB5D0D">
        <w:rPr>
          <w:rFonts w:ascii="Times New Roman" w:hAnsi="Times New Roman"/>
          <w:color w:val="000000" w:themeColor="text1"/>
          <w:sz w:val="16"/>
          <w:szCs w:val="16"/>
        </w:rPr>
        <w:softHyphen/>
        <w:t>на», - писал он и просил поставить об этом вопрос на заседании правительства (10667).</w:t>
      </w:r>
    </w:p>
    <w:p w14:paraId="13471ED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A764CB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в ВВС насчитывалось 248 И-16 с М-62 и 1097 И-16 с М-63, в сентябре-250 И-16 с М-62 и 1305 с М-63 (10667). Качество и надежность машин по-прежнему не удов</w:t>
      </w:r>
      <w:r w:rsidRPr="00DB5D0D">
        <w:rPr>
          <w:rFonts w:ascii="Times New Roman" w:hAnsi="Times New Roman"/>
          <w:color w:val="000000" w:themeColor="text1"/>
          <w:sz w:val="16"/>
          <w:szCs w:val="16"/>
        </w:rPr>
        <w:softHyphen/>
        <w:t>летворяли заказчика. 8 августа 1940 г. заместитель на</w:t>
      </w:r>
      <w:r w:rsidRPr="00DB5D0D">
        <w:rPr>
          <w:rFonts w:ascii="Times New Roman" w:hAnsi="Times New Roman"/>
          <w:color w:val="000000" w:themeColor="text1"/>
          <w:sz w:val="16"/>
          <w:szCs w:val="16"/>
        </w:rPr>
        <w:softHyphen/>
        <w:t>чальника 2-го управления ГУ ВВС КА писал помощнику начальника ВВС генерал-лейтенанту Астахову о том, что продолжается выпуск И-16 со следующими дефек</w:t>
      </w:r>
      <w:r w:rsidRPr="00DB5D0D">
        <w:rPr>
          <w:rFonts w:ascii="Times New Roman" w:hAnsi="Times New Roman"/>
          <w:color w:val="000000" w:themeColor="text1"/>
          <w:sz w:val="16"/>
          <w:szCs w:val="16"/>
        </w:rPr>
        <w:softHyphen/>
        <w:t>тами: 1) излом подкосов моторамы; 2) изгиб мягких тяг управления дросселем; 3) обрыв в воздухе выхлопных патрубков и т.д. «На рекламации частей завод № 21 реа</w:t>
      </w:r>
      <w:r w:rsidRPr="00DB5D0D">
        <w:rPr>
          <w:rFonts w:ascii="Times New Roman" w:hAnsi="Times New Roman"/>
          <w:color w:val="000000" w:themeColor="text1"/>
          <w:sz w:val="16"/>
          <w:szCs w:val="16"/>
        </w:rPr>
        <w:softHyphen/>
        <w:t>гирует слабо», - говорилось в документе (10667).</w:t>
      </w:r>
    </w:p>
    <w:p w14:paraId="176A981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F59BBB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по одному И—16 с фотоаппаратом АФА—И имелось в Бе</w:t>
      </w:r>
      <w:r w:rsidRPr="00DB5D0D">
        <w:rPr>
          <w:rFonts w:ascii="Times New Roman" w:hAnsi="Times New Roman"/>
          <w:color w:val="000000" w:themeColor="text1"/>
          <w:sz w:val="16"/>
          <w:szCs w:val="16"/>
        </w:rPr>
        <w:softHyphen/>
        <w:t>лостоке в 33-м иап и 41-м иап. Там же в Бело</w:t>
      </w:r>
      <w:r w:rsidRPr="00DB5D0D">
        <w:rPr>
          <w:rFonts w:ascii="Times New Roman" w:hAnsi="Times New Roman"/>
          <w:color w:val="000000" w:themeColor="text1"/>
          <w:sz w:val="16"/>
          <w:szCs w:val="16"/>
        </w:rPr>
        <w:softHyphen/>
        <w:t>стоке, в 41-й над (но не известно, в каком пол</w:t>
      </w:r>
      <w:r w:rsidRPr="00DB5D0D">
        <w:rPr>
          <w:rFonts w:ascii="Times New Roman" w:hAnsi="Times New Roman"/>
          <w:color w:val="000000" w:themeColor="text1"/>
          <w:sz w:val="16"/>
          <w:szCs w:val="16"/>
        </w:rPr>
        <w:softHyphen/>
        <w:t>ку) летом 1940 г. летали И—15бис №4652 и №4750, оборудованные АФА—И. Отмечалось, что установку фотоаппаратов можно осуществ</w:t>
      </w:r>
      <w:r w:rsidRPr="00DB5D0D">
        <w:rPr>
          <w:rFonts w:ascii="Times New Roman" w:hAnsi="Times New Roman"/>
          <w:color w:val="000000" w:themeColor="text1"/>
          <w:sz w:val="16"/>
          <w:szCs w:val="16"/>
        </w:rPr>
        <w:softHyphen/>
        <w:t>лять в частях. Впоследствии, особенно в ходе войны, такая установка действительно произ</w:t>
      </w:r>
      <w:r w:rsidRPr="00DB5D0D">
        <w:rPr>
          <w:rFonts w:ascii="Times New Roman" w:hAnsi="Times New Roman"/>
          <w:color w:val="000000" w:themeColor="text1"/>
          <w:sz w:val="16"/>
          <w:szCs w:val="16"/>
        </w:rPr>
        <w:softHyphen/>
        <w:t>водилась в полевых условиях (10547).</w:t>
      </w:r>
    </w:p>
    <w:p w14:paraId="6083440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6D4C3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на И-16 №44 (№4427) с М-62 ТК установили так называемый реактор Н.И.Ефремова. Это устройство использовало тепловую энергию выхлопных газов для увеличения полетной скорости. Несмотря на увеличение лба самолета, на высоте 3000 м испытатели отмстили прирост максимальной скорости на 16 км/ч (12015).</w:t>
      </w:r>
    </w:p>
    <w:p w14:paraId="4B50E6B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9AF27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w:t>
      </w:r>
    </w:p>
    <w:p w14:paraId="4F9809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Сводка выпуска И-16 авиазаводом №21 за август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567"/>
      </w:tblGrid>
      <w:tr w:rsidR="007D5DF8" w:rsidRPr="00DB5D0D" w14:paraId="003D0038" w14:textId="77777777" w:rsidTr="00E543D0">
        <w:tc>
          <w:tcPr>
            <w:tcW w:w="2093" w:type="dxa"/>
            <w:tcBorders>
              <w:top w:val="single" w:sz="12" w:space="0" w:color="auto"/>
            </w:tcBorders>
          </w:tcPr>
          <w:p w14:paraId="16A49A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24 РО</w:t>
            </w:r>
          </w:p>
        </w:tc>
        <w:tc>
          <w:tcPr>
            <w:tcW w:w="567" w:type="dxa"/>
            <w:tcBorders>
              <w:top w:val="single" w:sz="12" w:space="0" w:color="auto"/>
            </w:tcBorders>
          </w:tcPr>
          <w:p w14:paraId="43D93E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6BECFF88" w14:textId="77777777" w:rsidTr="00E543D0">
        <w:tc>
          <w:tcPr>
            <w:tcW w:w="2093" w:type="dxa"/>
          </w:tcPr>
          <w:p w14:paraId="3F3E1A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24 РСИ-3</w:t>
            </w:r>
          </w:p>
        </w:tc>
        <w:tc>
          <w:tcPr>
            <w:tcW w:w="567" w:type="dxa"/>
          </w:tcPr>
          <w:p w14:paraId="4C8380B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r>
      <w:tr w:rsidR="007D5DF8" w:rsidRPr="00DB5D0D" w14:paraId="547FE135" w14:textId="77777777" w:rsidTr="00E543D0">
        <w:tc>
          <w:tcPr>
            <w:tcW w:w="2093" w:type="dxa"/>
          </w:tcPr>
          <w:p w14:paraId="7E14008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24 РО. РСИ-3</w:t>
            </w:r>
          </w:p>
        </w:tc>
        <w:tc>
          <w:tcPr>
            <w:tcW w:w="567" w:type="dxa"/>
          </w:tcPr>
          <w:p w14:paraId="60666D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r>
      <w:tr w:rsidR="007D5DF8" w:rsidRPr="00DB5D0D" w14:paraId="4BA9D40D" w14:textId="77777777" w:rsidTr="00E543D0">
        <w:tc>
          <w:tcPr>
            <w:tcW w:w="2093" w:type="dxa"/>
          </w:tcPr>
          <w:p w14:paraId="48EF91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24 РСИ-4</w:t>
            </w:r>
          </w:p>
        </w:tc>
        <w:tc>
          <w:tcPr>
            <w:tcW w:w="567" w:type="dxa"/>
          </w:tcPr>
          <w:p w14:paraId="29AC22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3D4D3E87" w14:textId="77777777" w:rsidTr="00E543D0">
        <w:tc>
          <w:tcPr>
            <w:tcW w:w="2093" w:type="dxa"/>
          </w:tcPr>
          <w:p w14:paraId="4D38CD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28 ПБ</w:t>
            </w:r>
          </w:p>
        </w:tc>
        <w:tc>
          <w:tcPr>
            <w:tcW w:w="567" w:type="dxa"/>
          </w:tcPr>
          <w:p w14:paraId="172D3B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r w:rsidR="007D5DF8" w:rsidRPr="00DB5D0D" w14:paraId="0537D040" w14:textId="77777777" w:rsidTr="00E543D0">
        <w:tc>
          <w:tcPr>
            <w:tcW w:w="2093" w:type="dxa"/>
          </w:tcPr>
          <w:p w14:paraId="5764A5E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28 РСИ-3</w:t>
            </w:r>
          </w:p>
        </w:tc>
        <w:tc>
          <w:tcPr>
            <w:tcW w:w="567" w:type="dxa"/>
          </w:tcPr>
          <w:p w14:paraId="4B3D2E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6191BB7A" w14:textId="77777777" w:rsidTr="00E543D0">
        <w:tc>
          <w:tcPr>
            <w:tcW w:w="2093" w:type="dxa"/>
          </w:tcPr>
          <w:p w14:paraId="493CDF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29 ПБ</w:t>
            </w:r>
          </w:p>
        </w:tc>
        <w:tc>
          <w:tcPr>
            <w:tcW w:w="567" w:type="dxa"/>
          </w:tcPr>
          <w:p w14:paraId="3F635A7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7AE8D0D6" w14:textId="77777777" w:rsidTr="00E543D0">
        <w:tc>
          <w:tcPr>
            <w:tcW w:w="2093" w:type="dxa"/>
          </w:tcPr>
          <w:p w14:paraId="2ED21F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29 РСИ-3</w:t>
            </w:r>
          </w:p>
        </w:tc>
        <w:tc>
          <w:tcPr>
            <w:tcW w:w="567" w:type="dxa"/>
          </w:tcPr>
          <w:p w14:paraId="4DFCEBA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r>
      <w:tr w:rsidR="007D5DF8" w:rsidRPr="00DB5D0D" w14:paraId="5F372D86" w14:textId="77777777" w:rsidTr="00E543D0">
        <w:tc>
          <w:tcPr>
            <w:tcW w:w="2093" w:type="dxa"/>
          </w:tcPr>
          <w:p w14:paraId="50A08E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29 РО</w:t>
            </w:r>
          </w:p>
        </w:tc>
        <w:tc>
          <w:tcPr>
            <w:tcW w:w="567" w:type="dxa"/>
          </w:tcPr>
          <w:p w14:paraId="3A97738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2EA60F2E" w14:textId="77777777" w:rsidTr="00E543D0">
        <w:tc>
          <w:tcPr>
            <w:tcW w:w="2093" w:type="dxa"/>
          </w:tcPr>
          <w:p w14:paraId="62DA4B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тип 25 ПБ</w:t>
            </w:r>
          </w:p>
        </w:tc>
        <w:tc>
          <w:tcPr>
            <w:tcW w:w="567" w:type="dxa"/>
          </w:tcPr>
          <w:p w14:paraId="6B9783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5400E3C9" w14:textId="77777777" w:rsidTr="00E543D0">
        <w:tc>
          <w:tcPr>
            <w:tcW w:w="2093" w:type="dxa"/>
          </w:tcPr>
          <w:p w14:paraId="33A114A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УТИ-4 тип 15</w:t>
            </w:r>
          </w:p>
        </w:tc>
        <w:tc>
          <w:tcPr>
            <w:tcW w:w="567" w:type="dxa"/>
          </w:tcPr>
          <w:p w14:paraId="45A131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r>
      <w:tr w:rsidR="007D5DF8" w:rsidRPr="00DB5D0D" w14:paraId="5A9F7EA7" w14:textId="77777777" w:rsidTr="00E543D0">
        <w:tc>
          <w:tcPr>
            <w:tcW w:w="2093" w:type="dxa"/>
            <w:tcBorders>
              <w:bottom w:val="single" w:sz="12" w:space="0" w:color="auto"/>
            </w:tcBorders>
          </w:tcPr>
          <w:p w14:paraId="412F6D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567" w:type="dxa"/>
            <w:tcBorders>
              <w:bottom w:val="single" w:sz="12" w:space="0" w:color="auto"/>
            </w:tcBorders>
          </w:tcPr>
          <w:p w14:paraId="5378C1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r>
    </w:tbl>
    <w:p w14:paraId="33CAB3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РО - ракетные орудия.</w:t>
      </w:r>
    </w:p>
    <w:p w14:paraId="025104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ПБ - подвесные бензобаки</w:t>
      </w:r>
    </w:p>
    <w:p w14:paraId="792C68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СИ - радиостанций (12015)</w:t>
      </w:r>
    </w:p>
    <w:p w14:paraId="37A3EF0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71557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августа 1940 в процессе заводских испытаний ИП-21, которые начались 11 июля, удалось выполнить 33 полета с общим налетом 16 часов. Начиная с 3 августа, несколько полетов Фокин выполнил на выполнение фигур высшею пилотажа. По его отзыву И11-21 хорошо слушался рулей, на пикировании был устойчив, по сравнению с И-16 обладал более простыми взлетом и посадкой. ИГ1-21 значился как тип 30 завода №21. при подготовке к его производству предполагали использовать оснастку от И-16 (12015).</w:t>
      </w:r>
    </w:p>
    <w:p w14:paraId="78C5DF6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196BD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Согласно официальной сводке, завод № 21 сдал ел едущую продукцию: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7D5DF8" w:rsidRPr="00DB5D0D" w14:paraId="67011CFF" w14:textId="77777777" w:rsidTr="00E543D0">
        <w:tc>
          <w:tcPr>
            <w:tcW w:w="5635" w:type="dxa"/>
            <w:tcBorders>
              <w:top w:val="single" w:sz="12" w:space="0" w:color="auto"/>
            </w:tcBorders>
            <w:shd w:val="clear" w:color="auto" w:fill="FFFFFF"/>
          </w:tcPr>
          <w:p w14:paraId="1C4AA16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24 РО</w:t>
            </w:r>
          </w:p>
        </w:tc>
        <w:tc>
          <w:tcPr>
            <w:tcW w:w="5635" w:type="dxa"/>
            <w:tcBorders>
              <w:top w:val="single" w:sz="12" w:space="0" w:color="auto"/>
            </w:tcBorders>
            <w:shd w:val="clear" w:color="auto" w:fill="FFFFFF"/>
          </w:tcPr>
          <w:p w14:paraId="761D8EE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6437984B" w14:textId="77777777" w:rsidTr="00E543D0">
        <w:tc>
          <w:tcPr>
            <w:tcW w:w="5635" w:type="dxa"/>
            <w:shd w:val="clear" w:color="auto" w:fill="FFFFFF"/>
          </w:tcPr>
          <w:p w14:paraId="30C249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24 РСИ-3</w:t>
            </w:r>
          </w:p>
        </w:tc>
        <w:tc>
          <w:tcPr>
            <w:tcW w:w="5635" w:type="dxa"/>
            <w:shd w:val="clear" w:color="auto" w:fill="FFFFFF"/>
          </w:tcPr>
          <w:p w14:paraId="2879D04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r>
      <w:tr w:rsidR="007D5DF8" w:rsidRPr="00DB5D0D" w14:paraId="3D9F723C" w14:textId="77777777" w:rsidTr="00E543D0">
        <w:tc>
          <w:tcPr>
            <w:tcW w:w="5635" w:type="dxa"/>
            <w:shd w:val="clear" w:color="auto" w:fill="FFFFFF"/>
          </w:tcPr>
          <w:p w14:paraId="43DA5C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24РО, РСИ-3</w:t>
            </w:r>
          </w:p>
        </w:tc>
        <w:tc>
          <w:tcPr>
            <w:tcW w:w="5635" w:type="dxa"/>
            <w:shd w:val="clear" w:color="auto" w:fill="FFFFFF"/>
          </w:tcPr>
          <w:p w14:paraId="2B0A1A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r>
      <w:tr w:rsidR="007D5DF8" w:rsidRPr="00DB5D0D" w14:paraId="449A8B30" w14:textId="77777777" w:rsidTr="00E543D0">
        <w:tc>
          <w:tcPr>
            <w:tcW w:w="5635" w:type="dxa"/>
            <w:shd w:val="clear" w:color="auto" w:fill="FFFFFF"/>
          </w:tcPr>
          <w:p w14:paraId="28EE2A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24 РСИ-4</w:t>
            </w:r>
          </w:p>
        </w:tc>
        <w:tc>
          <w:tcPr>
            <w:tcW w:w="5635" w:type="dxa"/>
            <w:shd w:val="clear" w:color="auto" w:fill="FFFFFF"/>
          </w:tcPr>
          <w:p w14:paraId="53D244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6C7E5C5B" w14:textId="77777777" w:rsidTr="00E543D0">
        <w:tc>
          <w:tcPr>
            <w:tcW w:w="5635" w:type="dxa"/>
            <w:shd w:val="clear" w:color="auto" w:fill="FFFFFF"/>
          </w:tcPr>
          <w:p w14:paraId="77DA7C1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28ПБ</w:t>
            </w:r>
          </w:p>
        </w:tc>
        <w:tc>
          <w:tcPr>
            <w:tcW w:w="5635" w:type="dxa"/>
            <w:shd w:val="clear" w:color="auto" w:fill="FFFFFF"/>
          </w:tcPr>
          <w:p w14:paraId="13D84F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w:t>
            </w:r>
          </w:p>
        </w:tc>
      </w:tr>
      <w:tr w:rsidR="007D5DF8" w:rsidRPr="00DB5D0D" w14:paraId="6349079E" w14:textId="77777777" w:rsidTr="00E543D0">
        <w:tc>
          <w:tcPr>
            <w:tcW w:w="5635" w:type="dxa"/>
            <w:shd w:val="clear" w:color="auto" w:fill="FFFFFF"/>
          </w:tcPr>
          <w:p w14:paraId="46AA10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28 РСИ-3</w:t>
            </w:r>
          </w:p>
        </w:tc>
        <w:tc>
          <w:tcPr>
            <w:tcW w:w="5635" w:type="dxa"/>
            <w:shd w:val="clear" w:color="auto" w:fill="FFFFFF"/>
          </w:tcPr>
          <w:p w14:paraId="05492CD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r>
      <w:tr w:rsidR="007D5DF8" w:rsidRPr="00DB5D0D" w14:paraId="5D55BB71" w14:textId="77777777" w:rsidTr="00E543D0">
        <w:tc>
          <w:tcPr>
            <w:tcW w:w="5635" w:type="dxa"/>
            <w:shd w:val="clear" w:color="auto" w:fill="FFFFFF"/>
          </w:tcPr>
          <w:p w14:paraId="03B6335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29 ПБ</w:t>
            </w:r>
          </w:p>
        </w:tc>
        <w:tc>
          <w:tcPr>
            <w:tcW w:w="5635" w:type="dxa"/>
            <w:shd w:val="clear" w:color="auto" w:fill="FFFFFF"/>
          </w:tcPr>
          <w:p w14:paraId="7FDD06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539B9204" w14:textId="77777777" w:rsidTr="00E543D0">
        <w:tc>
          <w:tcPr>
            <w:tcW w:w="5635" w:type="dxa"/>
            <w:shd w:val="clear" w:color="auto" w:fill="FFFFFF"/>
          </w:tcPr>
          <w:p w14:paraId="3D04B8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29 РСИ-3</w:t>
            </w:r>
          </w:p>
        </w:tc>
        <w:tc>
          <w:tcPr>
            <w:tcW w:w="5635" w:type="dxa"/>
            <w:shd w:val="clear" w:color="auto" w:fill="FFFFFF"/>
          </w:tcPr>
          <w:p w14:paraId="792676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r>
      <w:tr w:rsidR="007D5DF8" w:rsidRPr="00DB5D0D" w14:paraId="64362439" w14:textId="77777777" w:rsidTr="00E543D0">
        <w:tc>
          <w:tcPr>
            <w:tcW w:w="5635" w:type="dxa"/>
            <w:shd w:val="clear" w:color="auto" w:fill="FFFFFF"/>
          </w:tcPr>
          <w:p w14:paraId="123D74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И-16 тип 29 РО</w:t>
            </w:r>
          </w:p>
        </w:tc>
        <w:tc>
          <w:tcPr>
            <w:tcW w:w="5635" w:type="dxa"/>
            <w:shd w:val="clear" w:color="auto" w:fill="FFFFFF"/>
          </w:tcPr>
          <w:p w14:paraId="5AB4C6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5EBC3C1A" w14:textId="77777777" w:rsidTr="00E543D0">
        <w:tc>
          <w:tcPr>
            <w:tcW w:w="5635" w:type="dxa"/>
            <w:shd w:val="clear" w:color="auto" w:fill="FFFFFF"/>
          </w:tcPr>
          <w:p w14:paraId="0C188E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И-180 тип 25 ПБ</w:t>
            </w:r>
          </w:p>
        </w:tc>
        <w:tc>
          <w:tcPr>
            <w:tcW w:w="5635" w:type="dxa"/>
            <w:shd w:val="clear" w:color="auto" w:fill="FFFFFF"/>
          </w:tcPr>
          <w:p w14:paraId="2530DDD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w:t>
            </w:r>
          </w:p>
        </w:tc>
      </w:tr>
      <w:tr w:rsidR="007D5DF8" w:rsidRPr="00DB5D0D" w14:paraId="132283CB" w14:textId="77777777" w:rsidTr="00E543D0">
        <w:tc>
          <w:tcPr>
            <w:tcW w:w="5635" w:type="dxa"/>
            <w:shd w:val="clear" w:color="auto" w:fill="FFFFFF"/>
          </w:tcPr>
          <w:p w14:paraId="765AA2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УТИ-4 тип 15</w:t>
            </w:r>
          </w:p>
        </w:tc>
        <w:tc>
          <w:tcPr>
            <w:tcW w:w="5635" w:type="dxa"/>
            <w:shd w:val="clear" w:color="auto" w:fill="FFFFFF"/>
          </w:tcPr>
          <w:p w14:paraId="0E2A98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105</w:t>
            </w:r>
          </w:p>
        </w:tc>
      </w:tr>
      <w:tr w:rsidR="007D5DF8" w:rsidRPr="00DB5D0D" w14:paraId="06E9BA6E" w14:textId="77777777" w:rsidTr="00E543D0">
        <w:tc>
          <w:tcPr>
            <w:tcW w:w="5635" w:type="dxa"/>
            <w:tcBorders>
              <w:bottom w:val="single" w:sz="12" w:space="0" w:color="auto"/>
            </w:tcBorders>
            <w:shd w:val="clear" w:color="auto" w:fill="FFFFFF"/>
          </w:tcPr>
          <w:p w14:paraId="2E26BBD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w:t>
            </w:r>
          </w:p>
        </w:tc>
        <w:tc>
          <w:tcPr>
            <w:tcW w:w="5635" w:type="dxa"/>
            <w:tcBorders>
              <w:bottom w:val="single" w:sz="12" w:space="0" w:color="auto"/>
            </w:tcBorders>
            <w:shd w:val="clear" w:color="auto" w:fill="FFFFFF"/>
          </w:tcPr>
          <w:p w14:paraId="1F0110A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160</w:t>
            </w:r>
          </w:p>
        </w:tc>
      </w:tr>
    </w:tbl>
    <w:p w14:paraId="4FA1D1E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(9979).</w:t>
      </w:r>
    </w:p>
    <w:p w14:paraId="0DFF1AE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0EB81DC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закончились гос. испытания И-200, которые велись с мая 1940 (1021,66).</w:t>
      </w:r>
    </w:p>
    <w:p w14:paraId="485A6F6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07060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потерпел аварию ЛаГГ-3, доработанный И-301 (756,5).</w:t>
      </w:r>
    </w:p>
    <w:p w14:paraId="022BC91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4CF0E2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был выпущен Су-1, спроектированный в 1939 (4,52) и летом же начались его испытания (88,153).</w:t>
      </w:r>
    </w:p>
    <w:p w14:paraId="765F36A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ED22392"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В августе 1940 г. завод № 135 передал на испытания опытный истребитель Су-1. Его двигатель М-105П имел два турбокомпрессора, которые обеспечивали перехват любого самого высотного бомбардировщика или разведчика противника. В постройке находился усовершенствованный Су-3 (22829).</w:t>
      </w:r>
    </w:p>
    <w:p w14:paraId="1EAB6332" w14:textId="77777777" w:rsidR="0087242E" w:rsidRPr="00DB5D0D" w:rsidRDefault="0087242E" w:rsidP="00DB5D0D">
      <w:pPr>
        <w:spacing w:after="0" w:line="240" w:lineRule="auto"/>
        <w:jc w:val="both"/>
        <w:rPr>
          <w:rFonts w:ascii="Times New Roman" w:hAnsi="Times New Roman"/>
          <w:color w:val="0070C0"/>
          <w:sz w:val="16"/>
          <w:szCs w:val="16"/>
        </w:rPr>
      </w:pPr>
    </w:p>
    <w:p w14:paraId="233F57D6"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августе 1940 г. последней практической деятельностью по высот</w:t>
      </w:r>
      <w:r w:rsidRPr="00DB5D0D">
        <w:rPr>
          <w:rFonts w:ascii="Times New Roman" w:hAnsi="Times New Roman"/>
          <w:color w:val="0070C0"/>
          <w:sz w:val="16"/>
          <w:szCs w:val="16"/>
        </w:rPr>
        <w:softHyphen/>
        <w:t>ной тематике, осуществленной на заводе №289, стала доводка истребителей И-153ГК (20363).</w:t>
      </w:r>
    </w:p>
    <w:p w14:paraId="50196623" w14:textId="77777777" w:rsidR="0087242E" w:rsidRPr="00DB5D0D" w:rsidRDefault="0087242E" w:rsidP="00DB5D0D">
      <w:pPr>
        <w:shd w:val="clear" w:color="auto" w:fill="FFFFFF"/>
        <w:spacing w:after="0" w:line="240" w:lineRule="auto"/>
        <w:jc w:val="both"/>
        <w:rPr>
          <w:rFonts w:ascii="Times New Roman" w:hAnsi="Times New Roman"/>
          <w:color w:val="0070C0"/>
          <w:sz w:val="16"/>
          <w:szCs w:val="16"/>
        </w:rPr>
      </w:pPr>
    </w:p>
    <w:p w14:paraId="3DC17E63" w14:textId="77777777" w:rsidR="00AC43C1" w:rsidRPr="00DB5D0D" w:rsidRDefault="00AC43C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случилась пер</w:t>
      </w:r>
      <w:r w:rsidRPr="00DB5D0D">
        <w:rPr>
          <w:rFonts w:ascii="Times New Roman" w:hAnsi="Times New Roman"/>
          <w:color w:val="000000" w:themeColor="text1"/>
          <w:sz w:val="16"/>
          <w:szCs w:val="16"/>
        </w:rPr>
        <w:softHyphen/>
        <w:t>вая поломка И-135 после посадки А.П. Чернав- ского без шасси. После ремонта испыта</w:t>
      </w:r>
      <w:r w:rsidRPr="00DB5D0D">
        <w:rPr>
          <w:rFonts w:ascii="Times New Roman" w:hAnsi="Times New Roman"/>
          <w:color w:val="000000" w:themeColor="text1"/>
          <w:sz w:val="16"/>
          <w:szCs w:val="16"/>
        </w:rPr>
        <w:softHyphen/>
        <w:t>ния 13 сентября продолжил летчик-испы- татель П.М. Попельнюшенко, но 2 октября в полете разрушился мотор, замена ко</w:t>
      </w:r>
      <w:r w:rsidRPr="00DB5D0D">
        <w:rPr>
          <w:rFonts w:ascii="Times New Roman" w:hAnsi="Times New Roman"/>
          <w:color w:val="000000" w:themeColor="text1"/>
          <w:sz w:val="16"/>
          <w:szCs w:val="16"/>
        </w:rPr>
        <w:softHyphen/>
        <w:t>торого заняла еще почти месяц. 10 ноя</w:t>
      </w:r>
      <w:r w:rsidRPr="00DB5D0D">
        <w:rPr>
          <w:rFonts w:ascii="Times New Roman" w:hAnsi="Times New Roman"/>
          <w:color w:val="000000" w:themeColor="text1"/>
          <w:sz w:val="16"/>
          <w:szCs w:val="16"/>
        </w:rPr>
        <w:softHyphen/>
        <w:t>бря испытания продолжил летчик В.П. Фе</w:t>
      </w:r>
      <w:r w:rsidRPr="00DB5D0D">
        <w:rPr>
          <w:rFonts w:ascii="Times New Roman" w:hAnsi="Times New Roman"/>
          <w:color w:val="000000" w:themeColor="text1"/>
          <w:sz w:val="16"/>
          <w:szCs w:val="16"/>
        </w:rPr>
        <w:softHyphen/>
        <w:t>доров. В полетах была получена мак</w:t>
      </w:r>
      <w:r w:rsidRPr="00DB5D0D">
        <w:rPr>
          <w:rFonts w:ascii="Times New Roman" w:hAnsi="Times New Roman"/>
          <w:color w:val="000000" w:themeColor="text1"/>
          <w:sz w:val="16"/>
          <w:szCs w:val="16"/>
        </w:rPr>
        <w:softHyphen/>
        <w:t>симальная скорость 580 км/ч на высоте 4000 м, но в январе 1941 г. вышли из строя ТК-2 (обгорели лопатки турбины). Пока ТК ремонтировались в ЦИАМ, на са</w:t>
      </w:r>
      <w:r w:rsidRPr="00DB5D0D">
        <w:rPr>
          <w:rFonts w:ascii="Times New Roman" w:hAnsi="Times New Roman"/>
          <w:color w:val="000000" w:themeColor="text1"/>
          <w:sz w:val="16"/>
          <w:szCs w:val="16"/>
        </w:rPr>
        <w:softHyphen/>
        <w:t>молете выполнили доработку маслоси- стемы и в феврале продолжили полеты без ТК. С 10 марта на самолете устанав</w:t>
      </w:r>
      <w:r w:rsidRPr="00DB5D0D">
        <w:rPr>
          <w:rFonts w:ascii="Times New Roman" w:hAnsi="Times New Roman"/>
          <w:color w:val="000000" w:themeColor="text1"/>
          <w:sz w:val="16"/>
          <w:szCs w:val="16"/>
        </w:rPr>
        <w:softHyphen/>
        <w:t>ливали новые ТК, и к 21 апреля 1941 г. он был готов продолжать летные испыта</w:t>
      </w:r>
      <w:r w:rsidRPr="00DB5D0D">
        <w:rPr>
          <w:rFonts w:ascii="Times New Roman" w:hAnsi="Times New Roman"/>
          <w:color w:val="000000" w:themeColor="text1"/>
          <w:sz w:val="16"/>
          <w:szCs w:val="16"/>
        </w:rPr>
        <w:softHyphen/>
        <w:t>ния. К этому времени был закончен в по</w:t>
      </w:r>
      <w:r w:rsidRPr="00DB5D0D">
        <w:rPr>
          <w:rFonts w:ascii="Times New Roman" w:hAnsi="Times New Roman"/>
          <w:color w:val="000000" w:themeColor="text1"/>
          <w:sz w:val="16"/>
          <w:szCs w:val="16"/>
        </w:rPr>
        <w:softHyphen/>
        <w:t>стройке и подготовлен к испытаниям вто</w:t>
      </w:r>
      <w:r w:rsidRPr="00DB5D0D">
        <w:rPr>
          <w:rFonts w:ascii="Times New Roman" w:hAnsi="Times New Roman"/>
          <w:color w:val="000000" w:themeColor="text1"/>
          <w:sz w:val="16"/>
          <w:szCs w:val="16"/>
        </w:rPr>
        <w:softHyphen/>
        <w:t>рой экземпляр И-135. Но к этому времени они давно потеряли актуальность - все заводы НКАП были загружены выпуском более удачливых конкурентов, и в осталь</w:t>
      </w:r>
      <w:r w:rsidRPr="00DB5D0D">
        <w:rPr>
          <w:rFonts w:ascii="Times New Roman" w:hAnsi="Times New Roman"/>
          <w:color w:val="000000" w:themeColor="text1"/>
          <w:sz w:val="16"/>
          <w:szCs w:val="16"/>
        </w:rPr>
        <w:softHyphen/>
        <w:t>ных уже не было необходимости.</w:t>
      </w:r>
    </w:p>
    <w:p w14:paraId="431A7967" w14:textId="77777777" w:rsidR="00AC43C1" w:rsidRPr="00DB5D0D" w:rsidRDefault="00AC43C1" w:rsidP="00DB5D0D">
      <w:pPr>
        <w:spacing w:after="0" w:line="240" w:lineRule="auto"/>
        <w:jc w:val="both"/>
        <w:rPr>
          <w:rFonts w:ascii="Times New Roman" w:hAnsi="Times New Roman"/>
          <w:color w:val="000000" w:themeColor="text1"/>
          <w:sz w:val="16"/>
          <w:szCs w:val="16"/>
        </w:rPr>
      </w:pPr>
    </w:p>
    <w:p w14:paraId="1575B758" w14:textId="77777777" w:rsidR="005C6740" w:rsidRPr="00DB5D0D" w:rsidRDefault="005C674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Августом 1940 года датирована скудная</w:t>
      </w:r>
      <w:r w:rsidRPr="00DB5D0D">
        <w:rPr>
          <w:rStyle w:val="77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информация по эталону № 2 УТ-3, которая, тем не</w:t>
      </w:r>
      <w:r w:rsidRPr="00DB5D0D">
        <w:rPr>
          <w:rStyle w:val="77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менее, позволяет предположить, что в этом</w:t>
      </w:r>
      <w:r w:rsidRPr="00DB5D0D">
        <w:rPr>
          <w:rStyle w:val="77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случае разрабатывался именно пикировщик. Очевидно, Александр</w:t>
      </w:r>
      <w:r w:rsidRPr="00DB5D0D">
        <w:rPr>
          <w:rStyle w:val="77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Сергеевич хотел подстраховаться в борьбе с</w:t>
      </w:r>
      <w:r w:rsidRPr="00DB5D0D">
        <w:rPr>
          <w:rStyle w:val="770"/>
          <w:rFonts w:ascii="Times New Roman" w:hAnsi="Times New Roman" w:cs="Times New Roman"/>
          <w:color w:val="0070C0"/>
          <w:sz w:val="16"/>
          <w:szCs w:val="16"/>
          <w:lang w:val="ru"/>
        </w:rPr>
        <w:t xml:space="preserve"> </w:t>
      </w:r>
      <w:r w:rsidRPr="00DB5D0D">
        <w:rPr>
          <w:rFonts w:ascii="Times New Roman" w:hAnsi="Times New Roman"/>
          <w:color w:val="0070C0"/>
          <w:sz w:val="16"/>
          <w:szCs w:val="16"/>
        </w:rPr>
        <w:t>самолетом Бакшеева (19942).</w:t>
      </w:r>
    </w:p>
    <w:p w14:paraId="600770F3" w14:textId="77777777" w:rsidR="005C6740" w:rsidRPr="00DB5D0D" w:rsidRDefault="005C6740" w:rsidP="00DB5D0D">
      <w:pPr>
        <w:spacing w:after="0" w:line="240" w:lineRule="auto"/>
        <w:jc w:val="both"/>
        <w:rPr>
          <w:rFonts w:ascii="Times New Roman" w:hAnsi="Times New Roman"/>
          <w:color w:val="0070C0"/>
          <w:sz w:val="16"/>
          <w:szCs w:val="16"/>
        </w:rPr>
      </w:pPr>
    </w:p>
    <w:p w14:paraId="69B02B4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комиссия, под председательством А.А. Сенькова, созданная по приказу А.С. Яковлева, в состав которой вошли П.А. Беляев и А.В. Юмашев, изучила положение дел по проектам самолетов «Э.О.И.» В.Н. Беля</w:t>
      </w:r>
      <w:r w:rsidRPr="00DB5D0D">
        <w:rPr>
          <w:rFonts w:ascii="Times New Roman" w:hAnsi="Times New Roman"/>
          <w:color w:val="000000" w:themeColor="text1"/>
          <w:sz w:val="16"/>
          <w:szCs w:val="16"/>
        </w:rPr>
        <w:softHyphen/>
        <w:t>ева, «Ш» С.А. Кочеригина, «СК» М.Р. Бисновата, «ИС» Шевченко и Никитина и «ВВА» профессора С.Г. Козлова. В итоге, как будет сказано ниже, разработку этих машин прекратили по вполне объективным причинам.</w:t>
      </w:r>
    </w:p>
    <w:p w14:paraId="2679FC5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Кроме частных рекомендаций по конкретным машинам, комиссия сделала и общие выводы:</w:t>
      </w:r>
    </w:p>
    <w:p w14:paraId="30D3825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«Обращает на себя внимание возможность, при этом очень легкая, стать Главным конструктором. Для этого нужна "идея", неглубокое изучение предложения лицами подготавливающими заключения и решение, получение ог</w:t>
      </w:r>
      <w:r w:rsidRPr="00DB5D0D">
        <w:rPr>
          <w:rFonts w:ascii="Times New Roman" w:hAnsi="Times New Roman"/>
          <w:color w:val="000000" w:themeColor="text1"/>
          <w:sz w:val="16"/>
          <w:szCs w:val="16"/>
        </w:rPr>
        <w:softHyphen/>
        <w:t>ромных сумм и привлечение откуда угодно действительных конструкторов, за "сходную" цену готовых разрабатывать что угодно и создавать авторитет и звание главного кон</w:t>
      </w:r>
      <w:r w:rsidRPr="00DB5D0D">
        <w:rPr>
          <w:rFonts w:ascii="Times New Roman" w:hAnsi="Times New Roman"/>
          <w:color w:val="000000" w:themeColor="text1"/>
          <w:sz w:val="16"/>
          <w:szCs w:val="16"/>
        </w:rPr>
        <w:softHyphen/>
        <w:t>структора кому угодно.</w:t>
      </w:r>
    </w:p>
    <w:p w14:paraId="3D3CBF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сожалению, таких конструкторов еще достаточно. «Главные конструктора» типа Шевченко, Никитина, Силъванского оперируют огромными суммами, бесконтроль</w:t>
      </w:r>
      <w:r w:rsidRPr="00DB5D0D">
        <w:rPr>
          <w:rFonts w:ascii="Times New Roman" w:hAnsi="Times New Roman"/>
          <w:color w:val="000000" w:themeColor="text1"/>
          <w:sz w:val="16"/>
          <w:szCs w:val="16"/>
        </w:rPr>
        <w:softHyphen/>
        <w:t>но нанимают, нанимают и увольняют кого хотят, когда угодно и сколько им нужно и при этом все-таки никогда не поспевают в срок. Начинают всегда с обзаведения штатом «деловых» людей и автомобилей.</w:t>
      </w:r>
    </w:p>
    <w:p w14:paraId="5E8ED83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w:t>
      </w:r>
    </w:p>
    <w:p w14:paraId="2909F0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1.Не поручать проектирование серьезных объектов КБ, не имеющим достаточного уровня теоретической подготов</w:t>
      </w:r>
      <w:r w:rsidRPr="00DB5D0D">
        <w:rPr>
          <w:rFonts w:ascii="Times New Roman" w:hAnsi="Times New Roman"/>
          <w:color w:val="000000" w:themeColor="text1"/>
          <w:sz w:val="16"/>
          <w:szCs w:val="16"/>
        </w:rPr>
        <w:softHyphen/>
        <w:t>ки, практики производства и эксплуатации. Не давать звания Главного конструктора лицам, не умеющим даже чертить и не имеющим никакого технического образования.</w:t>
      </w:r>
    </w:p>
    <w:p w14:paraId="7D66D59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Обращает на себя внимание явление спешного выпус</w:t>
      </w:r>
      <w:r w:rsidRPr="00DB5D0D">
        <w:rPr>
          <w:rFonts w:ascii="Times New Roman" w:hAnsi="Times New Roman"/>
          <w:color w:val="000000" w:themeColor="text1"/>
          <w:sz w:val="16"/>
          <w:szCs w:val="16"/>
        </w:rPr>
        <w:softHyphen/>
        <w:t>ка проектов одного за другим, особенно если первый оказы</w:t>
      </w:r>
      <w:r w:rsidRPr="00DB5D0D">
        <w:rPr>
          <w:rFonts w:ascii="Times New Roman" w:hAnsi="Times New Roman"/>
          <w:color w:val="000000" w:themeColor="text1"/>
          <w:sz w:val="16"/>
          <w:szCs w:val="16"/>
        </w:rPr>
        <w:softHyphen/>
        <w:t>вается неудачным.</w:t>
      </w:r>
    </w:p>
    <w:p w14:paraId="6D1DC14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Разбросавшийся Главный конструктор тем меньше имеет возможности уделять серьезное внимание ранее вы</w:t>
      </w:r>
      <w:r w:rsidRPr="00DB5D0D">
        <w:rPr>
          <w:rFonts w:ascii="Times New Roman" w:hAnsi="Times New Roman"/>
          <w:color w:val="000000" w:themeColor="text1"/>
          <w:sz w:val="16"/>
          <w:szCs w:val="16"/>
        </w:rPr>
        <w:softHyphen/>
        <w:t>пущенным образцам, чем больше он занимается следующи</w:t>
      </w:r>
      <w:r w:rsidRPr="00DB5D0D">
        <w:rPr>
          <w:rFonts w:ascii="Times New Roman" w:hAnsi="Times New Roman"/>
          <w:color w:val="000000" w:themeColor="text1"/>
          <w:sz w:val="16"/>
          <w:szCs w:val="16"/>
        </w:rPr>
        <w:softHyphen/>
        <w:t>ми, находящимися в проектировании. В таких случаях даже прошедшие госиспытания удачные машины рискуют провалиться в серии, если главный конструктор не возмет-ся лично за внедрение в серию, а будет отделываться на</w:t>
      </w:r>
      <w:r w:rsidRPr="00DB5D0D">
        <w:rPr>
          <w:rFonts w:ascii="Times New Roman" w:hAnsi="Times New Roman"/>
          <w:color w:val="000000" w:themeColor="text1"/>
          <w:sz w:val="16"/>
          <w:szCs w:val="16"/>
        </w:rPr>
        <w:softHyphen/>
        <w:t>значением "ведущих", "зам. гл. конструктора и т.д." (на</w:t>
      </w:r>
      <w:r w:rsidRPr="00DB5D0D">
        <w:rPr>
          <w:rFonts w:ascii="Times New Roman" w:hAnsi="Times New Roman"/>
          <w:color w:val="000000" w:themeColor="text1"/>
          <w:sz w:val="16"/>
          <w:szCs w:val="16"/>
        </w:rPr>
        <w:softHyphen/>
        <w:t>пример, Поликарпов). Еще хуже с В.Н. Беляевым. Огромный коллектив конструкторов и инженеров (130 чел.) букваль</w:t>
      </w:r>
      <w:r w:rsidRPr="00DB5D0D">
        <w:rPr>
          <w:rFonts w:ascii="Times New Roman" w:hAnsi="Times New Roman"/>
          <w:color w:val="000000" w:themeColor="text1"/>
          <w:sz w:val="16"/>
          <w:szCs w:val="16"/>
        </w:rPr>
        <w:softHyphen/>
        <w:t>но занимается "прожектерством". Не дав ничего нового на первой машине и не обещая дать на следующей, уже носят</w:t>
      </w:r>
      <w:r w:rsidRPr="00DB5D0D">
        <w:rPr>
          <w:rFonts w:ascii="Times New Roman" w:hAnsi="Times New Roman"/>
          <w:color w:val="000000" w:themeColor="text1"/>
          <w:sz w:val="16"/>
          <w:szCs w:val="16"/>
        </w:rPr>
        <w:softHyphen/>
        <w:t>ся с новыми проектами. Таким образом, коллектив 130 чел. ничего не дает государству, регулярно получая в месяц 100 тыс.рублей только на зарплату.</w:t>
      </w:r>
    </w:p>
    <w:p w14:paraId="298C812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w:t>
      </w:r>
    </w:p>
    <w:p w14:paraId="0E43B6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Обязать Главных конструкторов доводить свои образ</w:t>
      </w:r>
      <w:r w:rsidRPr="00DB5D0D">
        <w:rPr>
          <w:rFonts w:ascii="Times New Roman" w:hAnsi="Times New Roman"/>
          <w:color w:val="000000" w:themeColor="text1"/>
          <w:sz w:val="16"/>
          <w:szCs w:val="16"/>
        </w:rPr>
        <w:softHyphen/>
        <w:t>цы через серию до эксплуатации, а не разбрасываться на бесконечные количества новых проектов.</w:t>
      </w:r>
    </w:p>
    <w:p w14:paraId="56BFCD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деле машины "ИС" ШЕВЧЕНКО фигурирует ин</w:t>
      </w:r>
      <w:r w:rsidRPr="00DB5D0D">
        <w:rPr>
          <w:rFonts w:ascii="Times New Roman" w:hAnsi="Times New Roman"/>
          <w:color w:val="000000" w:themeColor="text1"/>
          <w:sz w:val="16"/>
          <w:szCs w:val="16"/>
        </w:rPr>
        <w:softHyphen/>
        <w:t>женер СТОЛБОВОЙ, который по обязанности работника Наркомата давал заключения по проекту, а по собствен</w:t>
      </w:r>
      <w:r w:rsidRPr="00DB5D0D">
        <w:rPr>
          <w:rFonts w:ascii="Times New Roman" w:hAnsi="Times New Roman"/>
          <w:color w:val="000000" w:themeColor="text1"/>
          <w:sz w:val="16"/>
          <w:szCs w:val="16"/>
        </w:rPr>
        <w:softHyphen/>
        <w:t>ной инициативе, никем не пресекаемой, участвовал в рас</w:t>
      </w:r>
      <w:r w:rsidRPr="00DB5D0D">
        <w:rPr>
          <w:rFonts w:ascii="Times New Roman" w:hAnsi="Times New Roman"/>
          <w:color w:val="000000" w:themeColor="text1"/>
          <w:sz w:val="16"/>
          <w:szCs w:val="16"/>
        </w:rPr>
        <w:softHyphen/>
        <w:t>четах машины "ИС" за особое вознаграждение и был чле</w:t>
      </w:r>
      <w:r w:rsidRPr="00DB5D0D">
        <w:rPr>
          <w:rFonts w:ascii="Times New Roman" w:hAnsi="Times New Roman"/>
          <w:color w:val="000000" w:themeColor="text1"/>
          <w:sz w:val="16"/>
          <w:szCs w:val="16"/>
        </w:rPr>
        <w:softHyphen/>
        <w:t>ном комиссии по первому вылету, где совместно с ШЕВ</w:t>
      </w:r>
      <w:r w:rsidRPr="00DB5D0D">
        <w:rPr>
          <w:rFonts w:ascii="Times New Roman" w:hAnsi="Times New Roman"/>
          <w:color w:val="000000" w:themeColor="text1"/>
          <w:sz w:val="16"/>
          <w:szCs w:val="16"/>
        </w:rPr>
        <w:softHyphen/>
        <w:t>ЧЕНКО и НИКИТИНЫМ давал свои особые заверения в надежности машины, что, как известно, не подтвердилось.</w:t>
      </w:r>
    </w:p>
    <w:p w14:paraId="172CB5B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ПРЕДЛОЖЕНИЕ:</w:t>
      </w:r>
    </w:p>
    <w:p w14:paraId="294401B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Ни в коем случае нельзя допускать личной заинтересо</w:t>
      </w:r>
      <w:r w:rsidRPr="00DB5D0D">
        <w:rPr>
          <w:rFonts w:ascii="Times New Roman" w:hAnsi="Times New Roman"/>
          <w:color w:val="000000" w:themeColor="text1"/>
          <w:sz w:val="16"/>
          <w:szCs w:val="16"/>
        </w:rPr>
        <w:softHyphen/>
        <w:t>ванности у сотрудников Наркомата и его Главков в том или ином проекте, прохождение которого зависит от этих сотрудников.</w:t>
      </w:r>
    </w:p>
    <w:p w14:paraId="3102102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 фронте науки и экспериментов в авиации у нас не вполне все благополучно. Это обстоятельство усугуб</w:t>
      </w:r>
      <w:r w:rsidRPr="00DB5D0D">
        <w:rPr>
          <w:rFonts w:ascii="Times New Roman" w:hAnsi="Times New Roman"/>
          <w:color w:val="000000" w:themeColor="text1"/>
          <w:sz w:val="16"/>
          <w:szCs w:val="16"/>
        </w:rPr>
        <w:softHyphen/>
        <w:t>ляется тем, что люди теории и науки начинают зани</w:t>
      </w:r>
      <w:r w:rsidRPr="00DB5D0D">
        <w:rPr>
          <w:rFonts w:ascii="Times New Roman" w:hAnsi="Times New Roman"/>
          <w:color w:val="000000" w:themeColor="text1"/>
          <w:sz w:val="16"/>
          <w:szCs w:val="16"/>
        </w:rPr>
        <w:softHyphen/>
        <w:t>маться не своим делом и, как показывает практика, мы. теряем хороших теоретиков и расчетчиков и приобрета</w:t>
      </w:r>
      <w:r w:rsidRPr="00DB5D0D">
        <w:rPr>
          <w:rFonts w:ascii="Times New Roman" w:hAnsi="Times New Roman"/>
          <w:color w:val="000000" w:themeColor="text1"/>
          <w:sz w:val="16"/>
          <w:szCs w:val="16"/>
        </w:rPr>
        <w:softHyphen/>
        <w:t>ем неважных конструкторов, хотя и обладающих ориги</w:t>
      </w:r>
      <w:r w:rsidRPr="00DB5D0D">
        <w:rPr>
          <w:rFonts w:ascii="Times New Roman" w:hAnsi="Times New Roman"/>
          <w:color w:val="000000" w:themeColor="text1"/>
          <w:sz w:val="16"/>
          <w:szCs w:val="16"/>
        </w:rPr>
        <w:softHyphen/>
        <w:t>нальными идеями.</w:t>
      </w:r>
    </w:p>
    <w:p w14:paraId="3732D0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Происходит это, по-видимому, потому, что лавры не</w:t>
      </w:r>
      <w:r w:rsidRPr="00DB5D0D">
        <w:rPr>
          <w:rFonts w:ascii="Times New Roman" w:hAnsi="Times New Roman"/>
          <w:color w:val="000000" w:themeColor="text1"/>
          <w:sz w:val="16"/>
          <w:szCs w:val="16"/>
        </w:rPr>
        <w:softHyphen/>
        <w:t>которых известных конструкторов не дают покоя некото</w:t>
      </w:r>
      <w:r w:rsidRPr="00DB5D0D">
        <w:rPr>
          <w:rFonts w:ascii="Times New Roman" w:hAnsi="Times New Roman"/>
          <w:color w:val="000000" w:themeColor="text1"/>
          <w:sz w:val="16"/>
          <w:szCs w:val="16"/>
        </w:rPr>
        <w:softHyphen/>
        <w:t>рым авиационным работникам от профессора и летчика до</w:t>
      </w:r>
    </w:p>
    <w:p w14:paraId="3373F0F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начинающего чертежника, и они пытаются менять с боль</w:t>
      </w:r>
      <w:r w:rsidRPr="00DB5D0D">
        <w:rPr>
          <w:rFonts w:ascii="Times New Roman" w:hAnsi="Times New Roman"/>
          <w:color w:val="000000" w:themeColor="text1"/>
          <w:sz w:val="16"/>
          <w:szCs w:val="16"/>
        </w:rPr>
        <w:softHyphen/>
        <w:t>шими или меньшими основаниями.</w:t>
      </w:r>
    </w:p>
    <w:p w14:paraId="01F12DF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По-видимому, следует энергично разъяснять товари</w:t>
      </w:r>
      <w:r w:rsidRPr="00DB5D0D">
        <w:rPr>
          <w:rFonts w:ascii="Times New Roman" w:hAnsi="Times New Roman"/>
          <w:color w:val="000000" w:themeColor="text1"/>
          <w:sz w:val="16"/>
          <w:szCs w:val="16"/>
        </w:rPr>
        <w:softHyphen/>
        <w:t>щам, что у Партии и Правительства не остаются не от</w:t>
      </w:r>
      <w:r w:rsidRPr="00DB5D0D">
        <w:rPr>
          <w:rFonts w:ascii="Times New Roman" w:hAnsi="Times New Roman"/>
          <w:color w:val="000000" w:themeColor="text1"/>
          <w:sz w:val="16"/>
          <w:szCs w:val="16"/>
        </w:rPr>
        <w:softHyphen/>
        <w:t>меченными героизм и плодотворная работа летчика и цен</w:t>
      </w:r>
      <w:r w:rsidRPr="00DB5D0D">
        <w:rPr>
          <w:rFonts w:ascii="Times New Roman" w:hAnsi="Times New Roman"/>
          <w:color w:val="000000" w:themeColor="text1"/>
          <w:sz w:val="16"/>
          <w:szCs w:val="16"/>
        </w:rPr>
        <w:softHyphen/>
        <w:t>ные открытия и работы профессоров (БЕЛЯЕВ имеет ор</w:t>
      </w:r>
      <w:r w:rsidRPr="00DB5D0D">
        <w:rPr>
          <w:rFonts w:ascii="Times New Roman" w:hAnsi="Times New Roman"/>
          <w:color w:val="000000" w:themeColor="text1"/>
          <w:sz w:val="16"/>
          <w:szCs w:val="16"/>
        </w:rPr>
        <w:softHyphen/>
        <w:t>ден за свои расчетные труды, ШЕВЧЕНКО за летную работу, КОЗЛОВ за боевые заслуги).</w:t>
      </w:r>
    </w:p>
    <w:p w14:paraId="1C7D59F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Положение усугубляется еще и тем, что подобные кол</w:t>
      </w:r>
      <w:r w:rsidRPr="00DB5D0D">
        <w:rPr>
          <w:rFonts w:ascii="Times New Roman" w:hAnsi="Times New Roman"/>
          <w:color w:val="000000" w:themeColor="text1"/>
          <w:sz w:val="16"/>
          <w:szCs w:val="16"/>
        </w:rPr>
        <w:softHyphen/>
        <w:t>лективы без значительного, полезного эффекта отнимают производственные базы, ресурсы, средства и людей от пло</w:t>
      </w:r>
      <w:r w:rsidRPr="00DB5D0D">
        <w:rPr>
          <w:rFonts w:ascii="Times New Roman" w:hAnsi="Times New Roman"/>
          <w:color w:val="000000" w:themeColor="text1"/>
          <w:sz w:val="16"/>
          <w:szCs w:val="16"/>
        </w:rPr>
        <w:softHyphen/>
        <w:t>дотворной работы.</w:t>
      </w:r>
    </w:p>
    <w:p w14:paraId="0FF013A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ПРЕДЛОЖЕНИЯ:</w:t>
      </w:r>
    </w:p>
    <w:p w14:paraId="082F82E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1.Все экспериментальные работы должны производить</w:t>
      </w:r>
      <w:r w:rsidRPr="00DB5D0D">
        <w:rPr>
          <w:rFonts w:ascii="Times New Roman" w:hAnsi="Times New Roman"/>
          <w:color w:val="000000" w:themeColor="text1"/>
          <w:sz w:val="16"/>
          <w:szCs w:val="16"/>
        </w:rPr>
        <w:softHyphen/>
        <w:t>ся в ЦАГИ, в тесном контакте с научными работниками и теоретиками, на базе достаточно мощного и культурно</w:t>
      </w:r>
      <w:r w:rsidRPr="00DB5D0D">
        <w:rPr>
          <w:rFonts w:ascii="Times New Roman" w:hAnsi="Times New Roman"/>
          <w:color w:val="000000" w:themeColor="text1"/>
          <w:sz w:val="16"/>
          <w:szCs w:val="16"/>
        </w:rPr>
        <w:softHyphen/>
        <w:t>го конструкторского коллектива, где должны и могут реа</w:t>
      </w:r>
      <w:r w:rsidRPr="00DB5D0D">
        <w:rPr>
          <w:rFonts w:ascii="Times New Roman" w:hAnsi="Times New Roman"/>
          <w:color w:val="000000" w:themeColor="text1"/>
          <w:sz w:val="16"/>
          <w:szCs w:val="16"/>
        </w:rPr>
        <w:softHyphen/>
        <w:t>лизовываться любые ценные идеи в авиации, откуда бы они ни исходили.</w:t>
      </w:r>
    </w:p>
    <w:p w14:paraId="21BDB47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Давать задания на новые типы боевых самолетов только конструкторским коллективам, возглавляемым Главными конструкторами, имеющими степень» (10745,157).</w:t>
      </w:r>
    </w:p>
    <w:p w14:paraId="05C0AC7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BA63C4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комиссия НКАП, возглавлявшаяся А.С. Яковлевым в выводах отчета, по ИС отмечала, в частности:</w:t>
      </w:r>
    </w:p>
    <w:p w14:paraId="43628BB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«Идея нижнего крыла действительно конструктивно разрешена, хотя еще не известно будет ли нижнее крыло становиться в выпущенное положение в полете. Следует ожидать исчезновения тряски хвостового оперения в поле</w:t>
      </w:r>
      <w:r w:rsidRPr="00DB5D0D">
        <w:rPr>
          <w:rFonts w:ascii="Times New Roman" w:hAnsi="Times New Roman"/>
          <w:color w:val="000000" w:themeColor="text1"/>
          <w:sz w:val="16"/>
          <w:szCs w:val="16"/>
        </w:rPr>
        <w:softHyphen/>
        <w:t>те при убранном нижнем крыле, но исчезновение тряски в бипланом варианте сомнительно...</w:t>
      </w:r>
    </w:p>
    <w:p w14:paraId="3695C5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показала еще не все свои дефекты, так как они будут обнаруживаться при дальнейших полетах. К опас</w:t>
      </w:r>
      <w:r w:rsidRPr="00DB5D0D">
        <w:rPr>
          <w:rFonts w:ascii="Times New Roman" w:hAnsi="Times New Roman"/>
          <w:color w:val="000000" w:themeColor="text1"/>
          <w:sz w:val="16"/>
          <w:szCs w:val="16"/>
        </w:rPr>
        <w:softHyphen/>
        <w:t>ности тряски оперения следует ожидать прибавления еще большей опасности вибрации нижнего крыла, особенно пос</w:t>
      </w:r>
      <w:r w:rsidRPr="00DB5D0D">
        <w:rPr>
          <w:rFonts w:ascii="Times New Roman" w:hAnsi="Times New Roman"/>
          <w:color w:val="000000" w:themeColor="text1"/>
          <w:sz w:val="16"/>
          <w:szCs w:val="16"/>
        </w:rPr>
        <w:softHyphen/>
        <w:t>ле разработки многочисленных шарнирных соединений на больших скоростях...</w:t>
      </w:r>
    </w:p>
    <w:p w14:paraId="2AC1663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Следует также обратить внимание на то, что конст</w:t>
      </w:r>
      <w:r w:rsidRPr="00DB5D0D">
        <w:rPr>
          <w:rFonts w:ascii="Times New Roman" w:hAnsi="Times New Roman"/>
          <w:color w:val="000000" w:themeColor="text1"/>
          <w:sz w:val="16"/>
          <w:szCs w:val="16"/>
        </w:rPr>
        <w:softHyphen/>
        <w:t>руктивное оформление противоречит основной идее авто</w:t>
      </w:r>
      <w:r w:rsidRPr="00DB5D0D">
        <w:rPr>
          <w:rFonts w:ascii="Times New Roman" w:hAnsi="Times New Roman"/>
          <w:color w:val="000000" w:themeColor="text1"/>
          <w:sz w:val="16"/>
          <w:szCs w:val="16"/>
        </w:rPr>
        <w:softHyphen/>
        <w:t>ра получить высотно-скоростной и в то же время манев</w:t>
      </w:r>
      <w:r w:rsidRPr="00DB5D0D">
        <w:rPr>
          <w:rFonts w:ascii="Times New Roman" w:hAnsi="Times New Roman"/>
          <w:color w:val="000000" w:themeColor="text1"/>
          <w:sz w:val="16"/>
          <w:szCs w:val="16"/>
        </w:rPr>
        <w:softHyphen/>
        <w:t>ренный истребитель. Оставляя в стороне все обнаружен</w:t>
      </w:r>
      <w:r w:rsidRPr="00DB5D0D">
        <w:rPr>
          <w:rFonts w:ascii="Times New Roman" w:hAnsi="Times New Roman"/>
          <w:color w:val="000000" w:themeColor="text1"/>
          <w:sz w:val="16"/>
          <w:szCs w:val="16"/>
        </w:rPr>
        <w:softHyphen/>
        <w:t>ные дефекты и полагая, что они могут быть устранены, маневренности лучшей, чем у "И-15" не получить. Маши</w:t>
      </w:r>
      <w:r w:rsidRPr="00DB5D0D">
        <w:rPr>
          <w:rFonts w:ascii="Times New Roman" w:hAnsi="Times New Roman"/>
          <w:color w:val="000000" w:themeColor="text1"/>
          <w:sz w:val="16"/>
          <w:szCs w:val="16"/>
        </w:rPr>
        <w:softHyphen/>
        <w:t>ну легко сравнить с "Чайкой", так как она по форме в про</w:t>
      </w:r>
      <w:r w:rsidRPr="00DB5D0D">
        <w:rPr>
          <w:rFonts w:ascii="Times New Roman" w:hAnsi="Times New Roman"/>
          <w:color w:val="000000" w:themeColor="text1"/>
          <w:sz w:val="16"/>
          <w:szCs w:val="16"/>
        </w:rPr>
        <w:softHyphen/>
        <w:t>екте ничем не отличается. Машина перетяжелена и до</w:t>
      </w:r>
      <w:r w:rsidRPr="00DB5D0D">
        <w:rPr>
          <w:rFonts w:ascii="Times New Roman" w:hAnsi="Times New Roman"/>
          <w:color w:val="000000" w:themeColor="text1"/>
          <w:sz w:val="16"/>
          <w:szCs w:val="16"/>
        </w:rPr>
        <w:softHyphen/>
        <w:t>бавлены значительные сопротивления (увеличение пло</w:t>
      </w:r>
      <w:r w:rsidRPr="00DB5D0D">
        <w:rPr>
          <w:rFonts w:ascii="Times New Roman" w:hAnsi="Times New Roman"/>
          <w:color w:val="000000" w:themeColor="text1"/>
          <w:sz w:val="16"/>
          <w:szCs w:val="16"/>
        </w:rPr>
        <w:softHyphen/>
        <w:t>щади оперения)...</w:t>
      </w:r>
    </w:p>
    <w:p w14:paraId="587C09C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Машина очень опасная, и дальнейшее производство ис</w:t>
      </w:r>
      <w:r w:rsidRPr="00DB5D0D">
        <w:rPr>
          <w:rFonts w:ascii="Times New Roman" w:hAnsi="Times New Roman"/>
          <w:color w:val="000000" w:themeColor="text1"/>
          <w:sz w:val="16"/>
          <w:szCs w:val="16"/>
        </w:rPr>
        <w:softHyphen/>
        <w:t>пытательных полетов должно проходить под наблюдени</w:t>
      </w:r>
      <w:r w:rsidRPr="00DB5D0D">
        <w:rPr>
          <w:rFonts w:ascii="Times New Roman" w:hAnsi="Times New Roman"/>
          <w:color w:val="000000" w:themeColor="text1"/>
          <w:sz w:val="16"/>
          <w:szCs w:val="16"/>
        </w:rPr>
        <w:softHyphen/>
        <w:t>ем специальной высокоавторитетной комиссии. Машина не имеет перспектив серийного производства и в таком виде, как она сейчас выполнена, заниматься на ней воору</w:t>
      </w:r>
      <w:r w:rsidRPr="00DB5D0D">
        <w:rPr>
          <w:rFonts w:ascii="Times New Roman" w:hAnsi="Times New Roman"/>
          <w:color w:val="000000" w:themeColor="text1"/>
          <w:sz w:val="16"/>
          <w:szCs w:val="16"/>
        </w:rPr>
        <w:softHyphen/>
        <w:t>жением напрасно и преждевременно...</w:t>
      </w:r>
    </w:p>
    <w:p w14:paraId="298EF18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Существование КБ-30 в таком состоянии, как оно есть сейчас, не вызывается никакой необходимостью...</w:t>
      </w:r>
    </w:p>
    <w:p w14:paraId="6BD590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деле машины "ИС" &lt;...&gt; фигурирует инж. СТОЛБО</w:t>
      </w:r>
      <w:r w:rsidRPr="00DB5D0D">
        <w:rPr>
          <w:rFonts w:ascii="Times New Roman" w:hAnsi="Times New Roman"/>
          <w:color w:val="000000" w:themeColor="text1"/>
          <w:sz w:val="16"/>
          <w:szCs w:val="16"/>
        </w:rPr>
        <w:softHyphen/>
        <w:t>ВОЙ, который по обязанности работника Наркомата да</w:t>
      </w:r>
      <w:r w:rsidRPr="00DB5D0D">
        <w:rPr>
          <w:rFonts w:ascii="Times New Roman" w:hAnsi="Times New Roman"/>
          <w:color w:val="000000" w:themeColor="text1"/>
          <w:sz w:val="16"/>
          <w:szCs w:val="16"/>
        </w:rPr>
        <w:softHyphen/>
        <w:t>вал заключение по проекту, а по собственной инициативе, никем не пресекаемой, участвовал в расчетах машины "ИС" за особое вознаграждение и был членом комиссии по первому вылету, где совместно с Шевченко и Никитиным давал свои особые заверения в надежности машины, что &lt;...&gt; не подтвердилось...» (10745,42).</w:t>
      </w:r>
    </w:p>
    <w:p w14:paraId="7B081184"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F94DD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августе 1940 г. с ОКБ-30 начала разбираться ревизионная комиссия, которая отмечала повышенное расходование средств. Хотя официально заявлялось о начале работы ОКБ с мая 1939 г., на практике опытных конструкторов не хватало. Поэтому к проектированию привлекались сотрудники различных КБ, которые работали по договорам в свободное от основной деятельности время или по ночам. Необычное ведение работ было замечено "доброхотами", которые сообщили о недопустимой вольнице "куда следует". Припомнили, что Шевченко получал зарплату в двух местах: в ОКБ и Центральном Управлении НКО (как летчик-испытатель). После всех разбирательств, главного бухгалтера отдали под суд, Шевченко сняли с руководителя ОКБ (начальником был назначен некий Озимков), но оставили в должности главного конструктора, Никитина также понизили в ранге, он теперь стал замом главного конструктора. Впрочем, Владимир Васильевич действительно обладал руководящим талантом. Предполагая, что могут настать более сложные времена, он еще в 1938 г. добился получения небольшой площадки в районе Центрального аэродрома для строительства собственного доводочного цеха. Поначалу это была небольшая территория, огороженная забором с импровизированным фанерным </w:t>
      </w:r>
      <w:r w:rsidRPr="00DB5D0D">
        <w:rPr>
          <w:rFonts w:ascii="Times New Roman" w:hAnsi="Times New Roman"/>
          <w:color w:val="000000" w:themeColor="text1"/>
          <w:sz w:val="16"/>
          <w:szCs w:val="16"/>
        </w:rPr>
        <w:lastRenderedPageBreak/>
        <w:t>сараем. Именно здесь, практически под открытым небом, велась подготовка ИС-1 к продолжению испытаний. Полеты самолета удалось возобновить лишь в конце октября 1940 г. (11966).</w:t>
      </w:r>
    </w:p>
    <w:p w14:paraId="0D0CF9A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5D163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второй опытный самолет ИС-2 был в основном закончен строительством, после чего его доставили на территорию цеха доводок ОКБ-30 на Центральном аэродроме. Самолет был оборудован двигателем М-88, имел вооружение, состоящее из 4-х пулеметов ШКАС. Полная его готовность к полетам была достигнута весной 1941 г. К сожалению, в этот период отношение к самой идее складываемого самолета изменилось в худшую сторону, а ОКБ-30 предлагалось закрыть. Шевченко пытался сохранить ОКБ и продолжить летные испытания на ИС-2. По его сообщению, самолет находился в летной стадии в период с марта по июнь 1941 г. Всего было выполнено 4 испытательных полета. В этот период удалось довести и опробовать вооружение. В октябре 1941 г. в связи с угрозой захвата Москвы немецкими войсками, ИС-2, как и многие экспериментальные самолеты, был уничтожен.</w:t>
      </w:r>
    </w:p>
    <w:p w14:paraId="0CDCCF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данные и характеристики ИС-1 и ИС-2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7D5DF8" w:rsidRPr="00DB5D0D" w14:paraId="0D2FE4D1" w14:textId="77777777" w:rsidTr="00E543D0">
        <w:tc>
          <w:tcPr>
            <w:tcW w:w="3736" w:type="dxa"/>
            <w:tcBorders>
              <w:top w:val="single" w:sz="12" w:space="0" w:color="auto"/>
            </w:tcBorders>
          </w:tcPr>
          <w:p w14:paraId="0E1FCB53"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4C7E7C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ИС-1</w:t>
            </w:r>
          </w:p>
        </w:tc>
        <w:tc>
          <w:tcPr>
            <w:tcW w:w="3736" w:type="dxa"/>
            <w:tcBorders>
              <w:top w:val="single" w:sz="12" w:space="0" w:color="auto"/>
            </w:tcBorders>
          </w:tcPr>
          <w:p w14:paraId="3414633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ИС-2</w:t>
            </w:r>
          </w:p>
        </w:tc>
      </w:tr>
      <w:tr w:rsidR="007D5DF8" w:rsidRPr="00DB5D0D" w14:paraId="3858A776" w14:textId="77777777" w:rsidTr="00E543D0">
        <w:tc>
          <w:tcPr>
            <w:tcW w:w="3736" w:type="dxa"/>
          </w:tcPr>
          <w:p w14:paraId="0169EE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Размах крыла (м)</w:t>
            </w:r>
          </w:p>
        </w:tc>
        <w:tc>
          <w:tcPr>
            <w:tcW w:w="3736" w:type="dxa"/>
          </w:tcPr>
          <w:p w14:paraId="57F391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w:t>
            </w:r>
          </w:p>
        </w:tc>
        <w:tc>
          <w:tcPr>
            <w:tcW w:w="3736" w:type="dxa"/>
          </w:tcPr>
          <w:p w14:paraId="362158C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8,6</w:t>
            </w:r>
          </w:p>
        </w:tc>
      </w:tr>
      <w:tr w:rsidR="007D5DF8" w:rsidRPr="00DB5D0D" w14:paraId="44AAAC8D" w14:textId="77777777" w:rsidTr="00E543D0">
        <w:tc>
          <w:tcPr>
            <w:tcW w:w="3736" w:type="dxa"/>
          </w:tcPr>
          <w:p w14:paraId="3C1D1E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Длина в линии полета (м)</w:t>
            </w:r>
          </w:p>
        </w:tc>
        <w:tc>
          <w:tcPr>
            <w:tcW w:w="3736" w:type="dxa"/>
          </w:tcPr>
          <w:p w14:paraId="44251D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6,79</w:t>
            </w:r>
          </w:p>
        </w:tc>
        <w:tc>
          <w:tcPr>
            <w:tcW w:w="3736" w:type="dxa"/>
          </w:tcPr>
          <w:p w14:paraId="5EDC4E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7,1</w:t>
            </w:r>
          </w:p>
        </w:tc>
      </w:tr>
      <w:tr w:rsidR="007D5DF8" w:rsidRPr="00DB5D0D" w14:paraId="5D667017" w14:textId="77777777" w:rsidTr="00E543D0">
        <w:tc>
          <w:tcPr>
            <w:tcW w:w="3736" w:type="dxa"/>
          </w:tcPr>
          <w:p w14:paraId="62AA6B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крыльев общая (мг)</w:t>
            </w:r>
          </w:p>
        </w:tc>
        <w:tc>
          <w:tcPr>
            <w:tcW w:w="3736" w:type="dxa"/>
          </w:tcPr>
          <w:p w14:paraId="3EF186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20,83</w:t>
            </w:r>
          </w:p>
        </w:tc>
        <w:tc>
          <w:tcPr>
            <w:tcW w:w="3736" w:type="dxa"/>
          </w:tcPr>
          <w:p w14:paraId="52B3F9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20,83</w:t>
            </w:r>
          </w:p>
        </w:tc>
      </w:tr>
      <w:tr w:rsidR="007D5DF8" w:rsidRPr="00DB5D0D" w14:paraId="135B3569" w14:textId="77777777" w:rsidTr="00E543D0">
        <w:tc>
          <w:tcPr>
            <w:tcW w:w="3736" w:type="dxa"/>
          </w:tcPr>
          <w:p w14:paraId="3DE712A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верхнего крыла (мг)</w:t>
            </w:r>
          </w:p>
        </w:tc>
        <w:tc>
          <w:tcPr>
            <w:tcW w:w="3736" w:type="dxa"/>
          </w:tcPr>
          <w:p w14:paraId="64C435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c>
          <w:tcPr>
            <w:tcW w:w="3736" w:type="dxa"/>
          </w:tcPr>
          <w:p w14:paraId="5633915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13,0</w:t>
            </w:r>
          </w:p>
        </w:tc>
      </w:tr>
      <w:tr w:rsidR="007D5DF8" w:rsidRPr="00DB5D0D" w14:paraId="4714F070" w14:textId="77777777" w:rsidTr="00E543D0">
        <w:tc>
          <w:tcPr>
            <w:tcW w:w="3736" w:type="dxa"/>
          </w:tcPr>
          <w:p w14:paraId="2D1CB4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Площадь нижнего крыла (мг)</w:t>
            </w:r>
          </w:p>
        </w:tc>
        <w:tc>
          <w:tcPr>
            <w:tcW w:w="3736" w:type="dxa"/>
          </w:tcPr>
          <w:p w14:paraId="413A8F3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7,83</w:t>
            </w:r>
          </w:p>
        </w:tc>
        <w:tc>
          <w:tcPr>
            <w:tcW w:w="3736" w:type="dxa"/>
          </w:tcPr>
          <w:p w14:paraId="7E9577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7,83</w:t>
            </w:r>
          </w:p>
        </w:tc>
      </w:tr>
      <w:tr w:rsidR="007D5DF8" w:rsidRPr="00DB5D0D" w14:paraId="413C27C2" w14:textId="77777777" w:rsidTr="00E543D0">
        <w:tc>
          <w:tcPr>
            <w:tcW w:w="3736" w:type="dxa"/>
          </w:tcPr>
          <w:p w14:paraId="0958DB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Вес пустого (кг)</w:t>
            </w:r>
          </w:p>
        </w:tc>
        <w:tc>
          <w:tcPr>
            <w:tcW w:w="3736" w:type="dxa"/>
          </w:tcPr>
          <w:p w14:paraId="30DEC7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1400</w:t>
            </w:r>
          </w:p>
        </w:tc>
        <w:tc>
          <w:tcPr>
            <w:tcW w:w="3736" w:type="dxa"/>
          </w:tcPr>
          <w:p w14:paraId="6DA07F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6CCB76A2" w14:textId="77777777" w:rsidTr="00E543D0">
        <w:tc>
          <w:tcPr>
            <w:tcW w:w="3736" w:type="dxa"/>
          </w:tcPr>
          <w:p w14:paraId="3BCE16B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Полетный вес (кг)</w:t>
            </w:r>
          </w:p>
        </w:tc>
        <w:tc>
          <w:tcPr>
            <w:tcW w:w="3736" w:type="dxa"/>
          </w:tcPr>
          <w:p w14:paraId="6C4A51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2300</w:t>
            </w:r>
          </w:p>
        </w:tc>
        <w:tc>
          <w:tcPr>
            <w:tcW w:w="3736" w:type="dxa"/>
          </w:tcPr>
          <w:p w14:paraId="7A17595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1C404021" w14:textId="77777777" w:rsidTr="00E543D0">
        <w:tc>
          <w:tcPr>
            <w:tcW w:w="3736" w:type="dxa"/>
            <w:tcBorders>
              <w:bottom w:val="single" w:sz="12" w:space="0" w:color="auto"/>
            </w:tcBorders>
          </w:tcPr>
          <w:p w14:paraId="549313D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Достигнутая полетная скорость(км/ч)</w:t>
            </w:r>
          </w:p>
        </w:tc>
        <w:tc>
          <w:tcPr>
            <w:tcW w:w="3736" w:type="dxa"/>
            <w:tcBorders>
              <w:bottom w:val="single" w:sz="12" w:space="0" w:color="auto"/>
            </w:tcBorders>
          </w:tcPr>
          <w:p w14:paraId="296C399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453</w:t>
            </w:r>
          </w:p>
        </w:tc>
        <w:tc>
          <w:tcPr>
            <w:tcW w:w="3736" w:type="dxa"/>
            <w:tcBorders>
              <w:bottom w:val="single" w:sz="12" w:space="0" w:color="auto"/>
            </w:tcBorders>
          </w:tcPr>
          <w:p w14:paraId="37E9B7E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bl>
    <w:p w14:paraId="67E902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(11966).</w:t>
      </w:r>
    </w:p>
    <w:p w14:paraId="711045D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854A5F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года нарком обороны маршал Тимошенко С. писал письмо председателю КО маршалу Ворошилову К.Е.</w:t>
      </w:r>
    </w:p>
    <w:p w14:paraId="0270ED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проектом за № Н-20/1379 наркома авиапромышленности, представленного на Ваше имя о порядке экспериментального и опытного самолетостроения и о переводе из опытного в экспериментальное самолетостроение самолетов:</w:t>
      </w:r>
    </w:p>
    <w:p w14:paraId="415019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«ЭОИ» Беляева</w:t>
      </w:r>
    </w:p>
    <w:p w14:paraId="38F4EC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«ИС» Шевченко</w:t>
      </w:r>
    </w:p>
    <w:p w14:paraId="2733B3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«СК» Бисноват</w:t>
      </w:r>
    </w:p>
    <w:p w14:paraId="057F9AB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«САМ-13» Москалева – согласен (7711, 60).</w:t>
      </w:r>
    </w:p>
    <w:p w14:paraId="0B5EDC7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13C520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О.К.А. в качестве нач. КО з-да 23 разработал проект учебного самолета № 3 (7483, 49).</w:t>
      </w:r>
    </w:p>
    <w:p w14:paraId="1223314F"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96581F5" w14:textId="77777777" w:rsidR="005C6740" w:rsidRPr="00DB5D0D" w:rsidRDefault="005C6740" w:rsidP="00DB5D0D">
      <w:pPr>
        <w:pStyle w:val="850"/>
        <w:shd w:val="clear" w:color="auto" w:fill="auto"/>
        <w:spacing w:line="240" w:lineRule="auto"/>
        <w:jc w:val="both"/>
        <w:rPr>
          <w:rFonts w:ascii="Times New Roman" w:hAnsi="Times New Roman" w:cs="Times New Roman"/>
          <w:color w:val="0070C0"/>
          <w:sz w:val="16"/>
          <w:szCs w:val="16"/>
        </w:rPr>
      </w:pPr>
      <w:r w:rsidRPr="00DB5D0D">
        <w:rPr>
          <w:rStyle w:val="682"/>
          <w:rFonts w:ascii="Times New Roman" w:hAnsi="Times New Roman" w:cs="Times New Roman"/>
          <w:color w:val="0070C0"/>
          <w:sz w:val="16"/>
          <w:szCs w:val="16"/>
          <w:lang w:val="ru-RU"/>
        </w:rPr>
        <w:t xml:space="preserve">В </w:t>
      </w:r>
      <w:r w:rsidRPr="00DB5D0D">
        <w:rPr>
          <w:rStyle w:val="682"/>
          <w:rFonts w:ascii="Times New Roman" w:hAnsi="Times New Roman" w:cs="Times New Roman"/>
          <w:color w:val="0070C0"/>
          <w:sz w:val="16"/>
          <w:szCs w:val="16"/>
        </w:rPr>
        <w:t>августе 1940 года в структуре ЦКБ-29 ОТБ НКВД было образовано КБ-3, и Д.Л. Томашевича назначили его главным кон</w:t>
      </w:r>
      <w:r w:rsidRPr="00DB5D0D">
        <w:rPr>
          <w:rStyle w:val="682"/>
          <w:rFonts w:ascii="Times New Roman" w:hAnsi="Times New Roman" w:cs="Times New Roman"/>
          <w:color w:val="0070C0"/>
          <w:sz w:val="16"/>
          <w:szCs w:val="16"/>
        </w:rPr>
        <w:softHyphen/>
        <w:t>структором. От НКВД начальником этого бюро поставили П.З.Безроднова. Работа КБ-3 велась под жестким контролем началь</w:t>
      </w:r>
      <w:r w:rsidRPr="00DB5D0D">
        <w:rPr>
          <w:rStyle w:val="682"/>
          <w:rFonts w:ascii="Times New Roman" w:hAnsi="Times New Roman" w:cs="Times New Roman"/>
          <w:color w:val="0070C0"/>
          <w:sz w:val="16"/>
          <w:szCs w:val="16"/>
        </w:rPr>
        <w:softHyphen/>
        <w:t>ника ЦКБ-29 Г.Я. Кутепова. Все «внешние» документы КБ-3 шли за двумя подписями - Кутепова и Безроднова. Надо сказать, что этот «тандем» оказался весьма прочным.</w:t>
      </w:r>
    </w:p>
    <w:p w14:paraId="06377557" w14:textId="77777777" w:rsidR="005C6740" w:rsidRPr="00DB5D0D" w:rsidRDefault="005C6740" w:rsidP="00DB5D0D">
      <w:pPr>
        <w:pStyle w:val="850"/>
        <w:shd w:val="clear" w:color="auto" w:fill="auto"/>
        <w:spacing w:line="240" w:lineRule="auto"/>
        <w:jc w:val="both"/>
        <w:rPr>
          <w:rFonts w:ascii="Times New Roman" w:hAnsi="Times New Roman" w:cs="Times New Roman"/>
          <w:color w:val="0070C0"/>
          <w:sz w:val="16"/>
          <w:szCs w:val="16"/>
        </w:rPr>
      </w:pPr>
      <w:r w:rsidRPr="00DB5D0D">
        <w:rPr>
          <w:rStyle w:val="682"/>
          <w:rFonts w:ascii="Times New Roman" w:hAnsi="Times New Roman" w:cs="Times New Roman"/>
          <w:color w:val="0070C0"/>
          <w:sz w:val="16"/>
          <w:szCs w:val="16"/>
        </w:rPr>
        <w:t>После войны оба занимали достаточно высо</w:t>
      </w:r>
      <w:r w:rsidRPr="00DB5D0D">
        <w:rPr>
          <w:rStyle w:val="682"/>
          <w:rFonts w:ascii="Times New Roman" w:hAnsi="Times New Roman" w:cs="Times New Roman"/>
          <w:color w:val="0070C0"/>
          <w:sz w:val="16"/>
          <w:szCs w:val="16"/>
        </w:rPr>
        <w:softHyphen/>
        <w:t>кие должности в КБ-1 С. Л. Берии.</w:t>
      </w:r>
    </w:p>
    <w:p w14:paraId="189D3C36" w14:textId="77777777" w:rsidR="005C6740" w:rsidRPr="00DB5D0D" w:rsidRDefault="005C6740" w:rsidP="00DB5D0D">
      <w:pPr>
        <w:pStyle w:val="850"/>
        <w:shd w:val="clear" w:color="auto" w:fill="auto"/>
        <w:spacing w:line="240" w:lineRule="auto"/>
        <w:jc w:val="both"/>
        <w:rPr>
          <w:rStyle w:val="682"/>
          <w:rFonts w:ascii="Times New Roman" w:hAnsi="Times New Roman" w:cs="Times New Roman"/>
          <w:color w:val="0070C0"/>
          <w:sz w:val="16"/>
          <w:szCs w:val="16"/>
        </w:rPr>
      </w:pPr>
      <w:r w:rsidRPr="00DB5D0D">
        <w:rPr>
          <w:rStyle w:val="682"/>
          <w:rFonts w:ascii="Times New Roman" w:hAnsi="Times New Roman" w:cs="Times New Roman"/>
          <w:color w:val="0070C0"/>
          <w:sz w:val="16"/>
          <w:szCs w:val="16"/>
        </w:rPr>
        <w:t>На момент образования в КБ-3 числилось всего шесть человек, но это не помешало раз</w:t>
      </w:r>
      <w:r w:rsidRPr="00DB5D0D">
        <w:rPr>
          <w:rStyle w:val="682"/>
          <w:rFonts w:ascii="Times New Roman" w:hAnsi="Times New Roman" w:cs="Times New Roman"/>
          <w:color w:val="0070C0"/>
          <w:sz w:val="16"/>
          <w:szCs w:val="16"/>
        </w:rPr>
        <w:softHyphen/>
        <w:t>вернуть работы широким фронтом. На уров</w:t>
      </w:r>
      <w:r w:rsidRPr="00DB5D0D">
        <w:rPr>
          <w:rStyle w:val="682"/>
          <w:rFonts w:ascii="Times New Roman" w:hAnsi="Times New Roman" w:cs="Times New Roman"/>
          <w:color w:val="0070C0"/>
          <w:sz w:val="16"/>
          <w:szCs w:val="16"/>
        </w:rPr>
        <w:softHyphen/>
        <w:t>не эскизных проектов было проработано 11 вариантов самолета с моторами М-107, М-71 и М-37, в том числе двухмоторного дальнего истребителя. К концу 1940 года в верхах созрело понимание того, что хотят от Томашевича</w:t>
      </w:r>
      <w:r w:rsidRPr="00DB5D0D">
        <w:rPr>
          <w:rStyle w:val="682"/>
          <w:rFonts w:ascii="Times New Roman" w:hAnsi="Times New Roman" w:cs="Times New Roman"/>
          <w:color w:val="0070C0"/>
          <w:sz w:val="16"/>
          <w:szCs w:val="16"/>
          <w:lang w:val="ru-RU"/>
        </w:rPr>
        <w:t xml:space="preserve"> (19869)</w:t>
      </w:r>
      <w:r w:rsidRPr="00DB5D0D">
        <w:rPr>
          <w:rStyle w:val="682"/>
          <w:rFonts w:ascii="Times New Roman" w:hAnsi="Times New Roman" w:cs="Times New Roman"/>
          <w:color w:val="0070C0"/>
          <w:sz w:val="16"/>
          <w:szCs w:val="16"/>
        </w:rPr>
        <w:t>.</w:t>
      </w:r>
    </w:p>
    <w:p w14:paraId="631BA088" w14:textId="77777777" w:rsidR="005C6740" w:rsidRPr="00DB5D0D" w:rsidRDefault="005C6740" w:rsidP="00DB5D0D">
      <w:pPr>
        <w:pStyle w:val="850"/>
        <w:shd w:val="clear" w:color="auto" w:fill="auto"/>
        <w:spacing w:line="240" w:lineRule="auto"/>
        <w:jc w:val="both"/>
        <w:rPr>
          <w:rFonts w:ascii="Times New Roman" w:hAnsi="Times New Roman" w:cs="Times New Roman"/>
          <w:color w:val="0070C0"/>
          <w:sz w:val="16"/>
          <w:szCs w:val="16"/>
        </w:rPr>
      </w:pPr>
    </w:p>
    <w:p w14:paraId="6B274C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в НИИ ВВС проводились испытания различных камуфляжных схем. Количество цветов, используемых при окраске самолетов СБ, И-16 и И-153, колебалось от двух до пяти. В отчете об испытаниях, утвержденном в октябре 1940 г., эти схемы предписывалось принять в качестве постоянных. Однако промышленность была не готова к немедленному внедрению камуфляжа - не имелось красок, удовлетворяющих если не всем, то, по крайней мере основным условиям военных и производственников: первые требовали недешифрируемых (т.е. имитирующих естественные растительные фоны и неотличимых от них не только в видимом, но и в инфракрасном диапазоне, а также при использовании светофильтров) и матовых красок различных оттенков, вторым были необходимы быстросохнущие эмали. Компромиссом на долгое время стали аэролаки второго покрытия марки АМТ, появившиеся в первой половине 1941 г. Впрочем, и в этом случае стороны не сразу пришли к согласию (11983).</w:t>
      </w:r>
    </w:p>
    <w:p w14:paraId="5DB2DD4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1DEE5B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испытывался М-62 с турбонагнетателями ТК-2 и турбореактором Н.И. Ефремо</w:t>
      </w:r>
      <w:r w:rsidRPr="00DB5D0D">
        <w:rPr>
          <w:rFonts w:ascii="Times New Roman" w:hAnsi="Times New Roman"/>
          <w:color w:val="000000" w:themeColor="text1"/>
          <w:sz w:val="16"/>
          <w:szCs w:val="16"/>
        </w:rPr>
        <w:softHyphen/>
        <w:t>ва — разработанным в ЦАГИ ПВРД с нагревом от выхлопных газов и радиаторного тепла; вес турбореактора 25 кг.. Впервые испытывался в 1939 г. (11852).</w:t>
      </w:r>
    </w:p>
    <w:p w14:paraId="4F1ECAC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B55604C" w14:textId="77777777" w:rsidR="00AC43C1" w:rsidRPr="00DB5D0D" w:rsidRDefault="00AC43C1"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доводка истребителей И-153ТК стала последней практической деятельностью по высотной тематике, осуществленной на заводе № 289, (19161).</w:t>
      </w:r>
    </w:p>
    <w:p w14:paraId="455C2C0F" w14:textId="77777777" w:rsidR="00AC43C1" w:rsidRPr="00DB5D0D" w:rsidRDefault="00AC43C1" w:rsidP="00DB5D0D">
      <w:pPr>
        <w:spacing w:after="0" w:line="240" w:lineRule="auto"/>
        <w:jc w:val="both"/>
        <w:rPr>
          <w:rFonts w:ascii="Times New Roman" w:hAnsi="Times New Roman"/>
          <w:color w:val="000000" w:themeColor="text1"/>
          <w:sz w:val="16"/>
          <w:szCs w:val="16"/>
        </w:rPr>
      </w:pPr>
    </w:p>
    <w:p w14:paraId="7C131D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Р.Л.Б. вместе с С.Егером создал эскизный проект с ОРМ-62 с тягой в 300 кгс (1105,7).</w:t>
      </w:r>
    </w:p>
    <w:p w14:paraId="045AFB9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17292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на заводе им. Авиахима изготовили ПВРД ДМ-4 конструкции И.А.Меркулова, которые были больше, чем ДМ-2 (366,47).</w:t>
      </w:r>
    </w:p>
    <w:p w14:paraId="13640BB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02125C0"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были изготовлены новые воздушно-реактивные двигатели ДМ-4, отличающиеся от ДМ-2 большими размерами. Конструк</w:t>
      </w:r>
      <w:r w:rsidRPr="00DB5D0D">
        <w:rPr>
          <w:rFonts w:ascii="Times New Roman" w:hAnsi="Times New Roman"/>
          <w:color w:val="000000" w:themeColor="text1"/>
          <w:sz w:val="16"/>
          <w:szCs w:val="16"/>
        </w:rPr>
        <w:softHyphen/>
        <w:t>ция ДМ-4 является дальнейшим развитием конструкции ДМ-2 (11083).</w:t>
      </w:r>
    </w:p>
    <w:p w14:paraId="12B1DCD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4C70FBE4"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августе 1940 г. были изготовлены новые ПВРД ДМ-4, отличавшиеся от ДМ-2 большими размерами. Конструкция ДМ-4 является дальнейшим развитием конструкции ДМ-2. Но вый ПВРД ДМ-4 устанавливался на самолеты И-15 бис (И-152) и И-153 «Чайка».</w:t>
      </w:r>
    </w:p>
    <w:p w14:paraId="257C4A5B"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3 октября 1940 г. состоялся первый полет самолета И-152 с ПВРД ДМ-4. Самолет поднялся на высоту 2000 м и при собственной скорости 388 км/ч, благодаря вклю чению ПВРД, увеличил скорость на 42 км/ч, доведя ее до 430 км/ч.</w:t>
      </w:r>
    </w:p>
    <w:p w14:paraId="2C3D39A9"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Во время последующих полетов с двигателями ДМ-4 сред ний прирост скорости составил примерно 40 км/ч по сравне нию с полетом, когда ПВРД не работал.</w:t>
      </w:r>
    </w:p>
    <w:p w14:paraId="43D9CF80"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27 октября 1940 г. на самолете И-153 с ПВРД ДМ-4 на вы соте 2000 км было получено увеличение скорости с 389 км/ч до 440 км/ч, т.е. прирост скорости составил 51 км/ч. Но при этом расход бензина у ПВРД оказался большим, чем у ПД и составил около 20 кг/мин.</w:t>
      </w:r>
    </w:p>
    <w:p w14:paraId="15FA49CE"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По результатам летных испытаний самолета И-153 с ПВРД был составлен акт, в котором говорилось: «В октябре 1940 г.</w:t>
      </w:r>
    </w:p>
    <w:p w14:paraId="3DEE1151"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отдел изобретений завода провел летные испытания самолета И-153 с воздушно-реактивными двигателями конструкции инженера Меркулова И.А. Воздушно-реактивные двигатели были установлены на самолете в качестве дополнительных моторов под нижними плоскостями и укреплены на существу ющих бомбовых балках.</w:t>
      </w:r>
    </w:p>
    <w:p w14:paraId="711B3414"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Вес двух дополнительных моторов составил 60 кг.</w:t>
      </w:r>
    </w:p>
    <w:p w14:paraId="3BA9D36F"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Питание горючим дополнительные моторы получали из име ющегося на самолете бензобака одновременно с мотором М-62.</w:t>
      </w:r>
    </w:p>
    <w:p w14:paraId="7D212003"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Управление дополнительными моторами осуществлялось одной ручкой, установленной в кабине пилота.</w:t>
      </w:r>
    </w:p>
    <w:p w14:paraId="7AD6195C"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Испытание самолета И-153 производил летчик Логинов П.Е. на Центральном аэродроме им. Фрунзе. Программа ис пытаний состояла из 20 полетов, предусматривающих провер ку прочности самолета с дополнительными моторами, испы тание работы дополнительных моторов и определения прирос та максимальных скоростей.</w:t>
      </w:r>
    </w:p>
    <w:p w14:paraId="0297CB72"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Летные испытания позволили полностью установить факт эффективной работы воздушно-реактивных двигателей и увели чения благодаря их действию максимальной скорости полета.</w:t>
      </w:r>
    </w:p>
    <w:p w14:paraId="146492FB"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Испытанные воздушно-реактивные двигатели обладают способностью работать на любом сорте авиационного бензина независимо от дозировки этиловой жидкости.</w:t>
      </w:r>
    </w:p>
    <w:p w14:paraId="7167745C"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Долговечность двигателей проверена продолжительными испытаниями на земле и в полете.</w:t>
      </w:r>
    </w:p>
    <w:p w14:paraId="28E7E1B6"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Летные испытания установили, что самолет И-153 при по лете на высоте 2000 метров при работе воздушно-реактивных двигателей, увеличивает свою максимальную скорость с 389 км/ч до 440 км/ч, т.е. увеличивает максимальную ско рость полета на 51 км/ч» [36].</w:t>
      </w:r>
    </w:p>
    <w:p w14:paraId="62CAD95C"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Результаты летных испытаний получили положительную оценку в приказе Наркома авиационной промышленности № 391 от 16 декабря 1940 г.</w:t>
      </w:r>
    </w:p>
    <w:p w14:paraId="1B017AE3"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lastRenderedPageBreak/>
        <w:t>В то же время летные испытания позволили выявить ос новные недостатки двигателей и задачи дальнейшей исследо вательской и конструкторской работы в области их совершен ствования. Этими задачами, как ясно показали летные испы тания, являлись исследования процесса горения в камере ПВРД и его улучшение в целях повышения полноты сгорания, усо вершенствование системы зажигания и доводка конструкции ПВРД в отношении ее дальнейшего облегчения, а также осна щение двигателей контрольно-измерительной аппаратурой и автоматикой.</w:t>
      </w:r>
    </w:p>
    <w:p w14:paraId="22D40F7D"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Всего при испытании обоих самолетов с ПВРД ДМ- и ДМ-4 было сделано 74 полета, выполненных без единой аварии.</w:t>
      </w:r>
    </w:p>
    <w:p w14:paraId="3C62EAA7"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Работа по проектированию и летным испытаниям ПВРД на самолетах Н.Н. Поликарпова была начата в Отделе специ альных конструкций руководимым А.Я. Щербаковым и про должена в Отделе изобретений завода «Авиахим» под руко водством В.В. Кольцова и Блаймана.</w:t>
      </w:r>
    </w:p>
    <w:p w14:paraId="39D0E402"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Ее выполняла конструкторская группа, в состав которой вхо дили конструкторы И.А. Меркулов, А.П. Масолов, А.А. Мель ников, Б.А. Никольский, техники А.А. Гонсовская, З.В. Тол стикова, авиамеханики И.А. Чарный, П.В. Карев, А.Н. Ильин и моторист Г.П. Рыбаков.</w:t>
      </w:r>
    </w:p>
    <w:p w14:paraId="1DC7E450"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Параллельно с испытаниями ПВРД, успешно проходили работы этого коллектива и в области освоения высотных по летов в стратосфере.</w:t>
      </w:r>
    </w:p>
    <w:p w14:paraId="188EA4C3"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К концу 1940 г. эти работы завершались созданием ряда герметических кабин, в которых были осуществлены полеты на высотах свыше 12 000 м.</w:t>
      </w:r>
    </w:p>
    <w:p w14:paraId="33537C32"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На самолете И-153 была установлена герметическая каби на отечественной конструкции. Она прошла государственные испытания в НИИ ВВС и была рекомендована для установки на ряд боевых самолетов.</w:t>
      </w:r>
    </w:p>
    <w:p w14:paraId="24D05C36"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Этот успех с созданием герметических кабин, высотные полеты на планерах, освещенные в отечественной и зарубеж ной прессе, и успешные испытания ПВРД послужили основа нием выхода важного решения ЦК ВКП (б) и СНК СССР об организации опытного завода, на котором должны были быть продолжены работы по освоению высокоскоростных самоле тов (19586).</w:t>
      </w:r>
    </w:p>
    <w:p w14:paraId="686E597C" w14:textId="77777777" w:rsidR="00AC43C1" w:rsidRPr="00DB5D0D" w:rsidRDefault="00AC43C1"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C6BCA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августа 1940 НКАП для крупных самолетостроительных и моторных установил суточный график. Через месяц выросли объемы выпуска и к началу 1941 по графику работали все заводы отрасли (173,201).</w:t>
      </w:r>
    </w:p>
    <w:p w14:paraId="7E32628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DFADC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в связи с колоссальной загруженностью основного производства, занятого освоением нового мотора заводу № 16 передается Воронежский дизельный завод им. И.В. Сталина. На нем, развертывается производство моторов М-11. В марте 1941 г. этот завод, работавший как филиал завода № 16, становится самостоятельным заводом № 154, и всю войну (два года в эвакуации в г. Андижане Узбекской ССР, затем снова в Воронеже) продолжает выпуск моторов М-11 (12049).</w:t>
      </w:r>
    </w:p>
    <w:p w14:paraId="4BDC17B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5876C3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были приняты решения о срочном развёртывании строительства авиазаво</w:t>
      </w:r>
      <w:r w:rsidRPr="00DB5D0D">
        <w:rPr>
          <w:rFonts w:ascii="Times New Roman" w:hAnsi="Times New Roman"/>
          <w:color w:val="000000" w:themeColor="text1"/>
          <w:sz w:val="16"/>
          <w:szCs w:val="16"/>
        </w:rPr>
        <w:softHyphen/>
        <w:t>дов в двух регионах, которые, на тот момент, выглядели наи</w:t>
      </w:r>
      <w:r w:rsidRPr="00DB5D0D">
        <w:rPr>
          <w:rFonts w:ascii="Times New Roman" w:hAnsi="Times New Roman"/>
          <w:color w:val="000000" w:themeColor="text1"/>
          <w:sz w:val="16"/>
          <w:szCs w:val="16"/>
        </w:rPr>
        <w:softHyphen/>
        <w:t>более удобными для форсированного наращивания авиавы</w:t>
      </w:r>
      <w:r w:rsidRPr="00DB5D0D">
        <w:rPr>
          <w:rFonts w:ascii="Times New Roman" w:hAnsi="Times New Roman"/>
          <w:color w:val="000000" w:themeColor="text1"/>
          <w:sz w:val="16"/>
          <w:szCs w:val="16"/>
        </w:rPr>
        <w:softHyphen/>
        <w:t>пуска — Поволжье и Поднепровье. Рассмотрим довоенные судьбы этих проектов подробней.</w:t>
      </w:r>
    </w:p>
    <w:p w14:paraId="474FBA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Куйбышевский комплекс авиапроизводств — негадан</w:t>
      </w:r>
      <w:r w:rsidRPr="00DB5D0D">
        <w:rPr>
          <w:rFonts w:ascii="Times New Roman" w:hAnsi="Times New Roman"/>
          <w:color w:val="000000" w:themeColor="text1"/>
          <w:sz w:val="16"/>
          <w:szCs w:val="16"/>
        </w:rPr>
        <w:softHyphen/>
        <w:t>ный фаворит. Несомненным плюсом развёртывания само</w:t>
      </w:r>
      <w:r w:rsidRPr="00DB5D0D">
        <w:rPr>
          <w:rFonts w:ascii="Times New Roman" w:hAnsi="Times New Roman"/>
          <w:color w:val="000000" w:themeColor="text1"/>
          <w:sz w:val="16"/>
          <w:szCs w:val="16"/>
        </w:rPr>
        <w:softHyphen/>
        <w:t>лётостроения в Куйбышевской области была удалённость бассейна Волги от западных границ, что делало новую авиа</w:t>
      </w:r>
      <w:r w:rsidRPr="00DB5D0D">
        <w:rPr>
          <w:rFonts w:ascii="Times New Roman" w:hAnsi="Times New Roman"/>
          <w:color w:val="000000" w:themeColor="text1"/>
          <w:sz w:val="16"/>
          <w:szCs w:val="16"/>
        </w:rPr>
        <w:softHyphen/>
        <w:t>строительную базу изначально гарантированной от нападений не только неприятельской сухопутной армии, но и вражеской авиации если не навсегда, то на начальный период войны — точно. Оборотной стороной медали было отсутствие в регионе значительного избытка свободной рабочей силы. Собственно, именно из этих соображений НКАП и отложил идею строи</w:t>
      </w:r>
      <w:r w:rsidRPr="00DB5D0D">
        <w:rPr>
          <w:rFonts w:ascii="Times New Roman" w:hAnsi="Times New Roman"/>
          <w:color w:val="000000" w:themeColor="text1"/>
          <w:sz w:val="16"/>
          <w:szCs w:val="16"/>
        </w:rPr>
        <w:softHyphen/>
        <w:t>тельства авиазаводов в Куйбышеве в 1939 г. Однако в 1940 г. для этой проблемы неожиданно было найдено нетривиаль</w:t>
      </w:r>
      <w:r w:rsidRPr="00DB5D0D">
        <w:rPr>
          <w:rFonts w:ascii="Times New Roman" w:hAnsi="Times New Roman"/>
          <w:color w:val="000000" w:themeColor="text1"/>
          <w:sz w:val="16"/>
          <w:szCs w:val="16"/>
        </w:rPr>
        <w:softHyphen/>
        <w:t>ное решение. Выход был найден в массированном примене</w:t>
      </w:r>
      <w:r w:rsidRPr="00DB5D0D">
        <w:rPr>
          <w:rFonts w:ascii="Times New Roman" w:hAnsi="Times New Roman"/>
          <w:color w:val="000000" w:themeColor="text1"/>
          <w:sz w:val="16"/>
          <w:szCs w:val="16"/>
        </w:rPr>
        <w:softHyphen/>
        <w:t xml:space="preserve">нии труда заключённых. Приказом НКВД от 23 августа 1940 г. было образовано Управление особого строительства (УОС) под руководством заместителя начальника ГУЛАГа старшего майора госбезопасности А.П. Лепилова, целью которого было строительство в районе Куйбышева двух авиастроительных (№ 122 и 295) и одного моторостроительного (№ 377) завода (ГА РФ. Ф. 9401.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1а. Д. 58. Л. 44.). При этом заводам предписывались следующие показатели (Военно-промышленный комплекс Куйбышевской области в годы Вели</w:t>
      </w:r>
      <w:r w:rsidRPr="00DB5D0D">
        <w:rPr>
          <w:rFonts w:ascii="Times New Roman" w:hAnsi="Times New Roman"/>
          <w:color w:val="000000" w:themeColor="text1"/>
          <w:sz w:val="16"/>
          <w:szCs w:val="16"/>
        </w:rPr>
        <w:softHyphen/>
        <w:t>кой Отечественной войны (1941—1945). Сб. док. Самара, 2005. С. 14.):</w:t>
      </w:r>
    </w:p>
    <w:tbl>
      <w:tblPr>
        <w:tblW w:w="0" w:type="auto"/>
        <w:tblInd w:w="8" w:type="dxa"/>
        <w:tblLayout w:type="fixed"/>
        <w:tblCellMar>
          <w:left w:w="0" w:type="dxa"/>
          <w:right w:w="0" w:type="dxa"/>
        </w:tblCellMar>
        <w:tblLook w:val="0000" w:firstRow="0" w:lastRow="0" w:firstColumn="0" w:lastColumn="0" w:noHBand="0" w:noVBand="0"/>
      </w:tblPr>
      <w:tblGrid>
        <w:gridCol w:w="706"/>
        <w:gridCol w:w="2626"/>
        <w:gridCol w:w="1234"/>
        <w:gridCol w:w="1358"/>
      </w:tblGrid>
      <w:tr w:rsidR="007D5DF8" w:rsidRPr="00DB5D0D" w14:paraId="08260B87" w14:textId="77777777" w:rsidTr="00E543D0">
        <w:trPr>
          <w:trHeight w:val="422"/>
        </w:trPr>
        <w:tc>
          <w:tcPr>
            <w:tcW w:w="706" w:type="dxa"/>
            <w:tcBorders>
              <w:top w:val="single" w:sz="6" w:space="0" w:color="auto"/>
              <w:left w:val="single" w:sz="6" w:space="0" w:color="auto"/>
              <w:bottom w:val="single" w:sz="6" w:space="0" w:color="auto"/>
              <w:right w:val="single" w:sz="6" w:space="0" w:color="auto"/>
            </w:tcBorders>
            <w:shd w:val="clear" w:color="auto" w:fill="FFFFFF"/>
          </w:tcPr>
          <w:p w14:paraId="58A8E0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завода</w:t>
            </w:r>
          </w:p>
        </w:tc>
        <w:tc>
          <w:tcPr>
            <w:tcW w:w="2626" w:type="dxa"/>
            <w:tcBorders>
              <w:top w:val="single" w:sz="6" w:space="0" w:color="auto"/>
              <w:left w:val="single" w:sz="6" w:space="0" w:color="auto"/>
              <w:bottom w:val="single" w:sz="6" w:space="0" w:color="auto"/>
              <w:right w:val="single" w:sz="6" w:space="0" w:color="auto"/>
            </w:tcBorders>
            <w:shd w:val="clear" w:color="auto" w:fill="FFFFFF"/>
          </w:tcPr>
          <w:p w14:paraId="61ACD7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Продукция</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3ECC33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масштаб выпуска (в год)</w:t>
            </w:r>
          </w:p>
        </w:tc>
        <w:tc>
          <w:tcPr>
            <w:tcW w:w="1358" w:type="dxa"/>
            <w:tcBorders>
              <w:top w:val="single" w:sz="6" w:space="0" w:color="auto"/>
              <w:left w:val="single" w:sz="6" w:space="0" w:color="auto"/>
              <w:bottom w:val="single" w:sz="6" w:space="0" w:color="auto"/>
              <w:right w:val="single" w:sz="6" w:space="0" w:color="auto"/>
            </w:tcBorders>
            <w:shd w:val="clear" w:color="auto" w:fill="FFFFFF"/>
          </w:tcPr>
          <w:p w14:paraId="3AEF44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 окончании строительства</w:t>
            </w:r>
          </w:p>
        </w:tc>
      </w:tr>
      <w:tr w:rsidR="007D5DF8" w:rsidRPr="00DB5D0D" w14:paraId="1E9D495E" w14:textId="77777777" w:rsidTr="00E543D0">
        <w:trPr>
          <w:trHeight w:val="605"/>
        </w:trPr>
        <w:tc>
          <w:tcPr>
            <w:tcW w:w="706" w:type="dxa"/>
            <w:tcBorders>
              <w:top w:val="single" w:sz="6" w:space="0" w:color="auto"/>
              <w:left w:val="single" w:sz="6" w:space="0" w:color="auto"/>
              <w:bottom w:val="single" w:sz="6" w:space="0" w:color="auto"/>
              <w:right w:val="single" w:sz="6" w:space="0" w:color="auto"/>
            </w:tcBorders>
            <w:shd w:val="clear" w:color="auto" w:fill="FFFFFF"/>
          </w:tcPr>
          <w:p w14:paraId="3694EAE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w:t>
            </w:r>
          </w:p>
        </w:tc>
        <w:tc>
          <w:tcPr>
            <w:tcW w:w="2626" w:type="dxa"/>
            <w:tcBorders>
              <w:top w:val="single" w:sz="6" w:space="0" w:color="auto"/>
              <w:left w:val="single" w:sz="6" w:space="0" w:color="auto"/>
              <w:bottom w:val="single" w:sz="6" w:space="0" w:color="auto"/>
              <w:right w:val="single" w:sz="6" w:space="0" w:color="auto"/>
            </w:tcBorders>
            <w:shd w:val="clear" w:color="auto" w:fill="FFFFFF"/>
          </w:tcPr>
          <w:p w14:paraId="0A043D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двухмоторные металлические бомбарди</w:t>
            </w:r>
            <w:r w:rsidRPr="00DB5D0D">
              <w:rPr>
                <w:rFonts w:ascii="Times New Roman" w:hAnsi="Times New Roman"/>
                <w:color w:val="000000" w:themeColor="text1"/>
                <w:sz w:val="16"/>
                <w:szCs w:val="16"/>
              </w:rPr>
              <w:softHyphen/>
              <w:t>ровщики с трудоемкостью 10 000 челА с запасными частями</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5FB8C1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1500 машин</w:t>
            </w:r>
          </w:p>
        </w:tc>
        <w:tc>
          <w:tcPr>
            <w:tcW w:w="1358" w:type="dxa"/>
            <w:tcBorders>
              <w:top w:val="single" w:sz="6" w:space="0" w:color="auto"/>
              <w:left w:val="single" w:sz="6" w:space="0" w:color="auto"/>
              <w:bottom w:val="single" w:sz="6" w:space="0" w:color="auto"/>
              <w:right w:val="single" w:sz="6" w:space="0" w:color="auto"/>
            </w:tcBorders>
            <w:shd w:val="clear" w:color="auto" w:fill="FFFFFF"/>
          </w:tcPr>
          <w:p w14:paraId="4DD5D0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 декабря 1941 г.</w:t>
            </w:r>
          </w:p>
        </w:tc>
      </w:tr>
      <w:tr w:rsidR="007D5DF8" w:rsidRPr="00DB5D0D" w14:paraId="504751FA" w14:textId="77777777" w:rsidTr="00E543D0">
        <w:trPr>
          <w:trHeight w:val="413"/>
        </w:trPr>
        <w:tc>
          <w:tcPr>
            <w:tcW w:w="706" w:type="dxa"/>
            <w:tcBorders>
              <w:top w:val="single" w:sz="6" w:space="0" w:color="auto"/>
              <w:left w:val="single" w:sz="6" w:space="0" w:color="auto"/>
              <w:bottom w:val="single" w:sz="6" w:space="0" w:color="auto"/>
              <w:right w:val="single" w:sz="6" w:space="0" w:color="auto"/>
            </w:tcBorders>
            <w:shd w:val="clear" w:color="auto" w:fill="FFFFFF"/>
          </w:tcPr>
          <w:p w14:paraId="13145F6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295</w:t>
            </w:r>
          </w:p>
        </w:tc>
        <w:tc>
          <w:tcPr>
            <w:tcW w:w="2626" w:type="dxa"/>
            <w:tcBorders>
              <w:top w:val="single" w:sz="6" w:space="0" w:color="auto"/>
              <w:left w:val="single" w:sz="6" w:space="0" w:color="auto"/>
              <w:bottom w:val="single" w:sz="6" w:space="0" w:color="auto"/>
              <w:right w:val="single" w:sz="6" w:space="0" w:color="auto"/>
            </w:tcBorders>
            <w:shd w:val="clear" w:color="auto" w:fill="FFFFFF"/>
          </w:tcPr>
          <w:p w14:paraId="0F9D04D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одномоторные бомбардировщики с трудоёмко</w:t>
            </w:r>
            <w:r w:rsidRPr="00DB5D0D">
              <w:rPr>
                <w:rFonts w:ascii="Times New Roman" w:hAnsi="Times New Roman"/>
                <w:color w:val="000000" w:themeColor="text1"/>
                <w:sz w:val="16"/>
                <w:szCs w:val="16"/>
              </w:rPr>
              <w:softHyphen/>
              <w:t>стью 7500 челА с запасными частями</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15CF100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c>
          <w:tcPr>
            <w:tcW w:w="1358" w:type="dxa"/>
            <w:tcBorders>
              <w:top w:val="single" w:sz="6" w:space="0" w:color="auto"/>
              <w:left w:val="single" w:sz="6" w:space="0" w:color="auto"/>
              <w:bottom w:val="single" w:sz="6" w:space="0" w:color="auto"/>
              <w:right w:val="single" w:sz="6" w:space="0" w:color="auto"/>
            </w:tcBorders>
            <w:shd w:val="clear" w:color="auto" w:fill="FFFFFF"/>
          </w:tcPr>
          <w:p w14:paraId="43A5F22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февраля 1942 г.</w:t>
            </w:r>
          </w:p>
        </w:tc>
      </w:tr>
      <w:tr w:rsidR="007D5DF8" w:rsidRPr="00DB5D0D" w14:paraId="66EAA34A" w14:textId="77777777" w:rsidTr="00E543D0">
        <w:trPr>
          <w:trHeight w:val="432"/>
        </w:trPr>
        <w:tc>
          <w:tcPr>
            <w:tcW w:w="706" w:type="dxa"/>
            <w:tcBorders>
              <w:top w:val="single" w:sz="6" w:space="0" w:color="auto"/>
              <w:left w:val="single" w:sz="6" w:space="0" w:color="auto"/>
              <w:bottom w:val="single" w:sz="6" w:space="0" w:color="auto"/>
              <w:right w:val="single" w:sz="6" w:space="0" w:color="auto"/>
            </w:tcBorders>
            <w:shd w:val="clear" w:color="auto" w:fill="FFFFFF"/>
          </w:tcPr>
          <w:p w14:paraId="5B20CA2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w:t>
            </w:r>
          </w:p>
        </w:tc>
        <w:tc>
          <w:tcPr>
            <w:tcW w:w="2626" w:type="dxa"/>
            <w:tcBorders>
              <w:top w:val="single" w:sz="6" w:space="0" w:color="auto"/>
              <w:left w:val="single" w:sz="6" w:space="0" w:color="auto"/>
              <w:bottom w:val="single" w:sz="6" w:space="0" w:color="auto"/>
              <w:right w:val="single" w:sz="6" w:space="0" w:color="auto"/>
            </w:tcBorders>
            <w:shd w:val="clear" w:color="auto" w:fill="FFFFFF"/>
          </w:tcPr>
          <w:p w14:paraId="13F8D8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меггеры типа АМ-35а—М-105 с с трудоёмко</w:t>
            </w:r>
            <w:r w:rsidRPr="00DB5D0D">
              <w:rPr>
                <w:rFonts w:ascii="Times New Roman" w:hAnsi="Times New Roman"/>
                <w:color w:val="000000" w:themeColor="text1"/>
                <w:sz w:val="16"/>
                <w:szCs w:val="16"/>
              </w:rPr>
              <w:softHyphen/>
              <w:t>стью 1300чел-ч.</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4C954F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ял</w:t>
            </w:r>
          </w:p>
        </w:tc>
        <w:tc>
          <w:tcPr>
            <w:tcW w:w="1358" w:type="dxa"/>
            <w:tcBorders>
              <w:top w:val="single" w:sz="6" w:space="0" w:color="auto"/>
              <w:left w:val="single" w:sz="6" w:space="0" w:color="auto"/>
              <w:bottom w:val="single" w:sz="6" w:space="0" w:color="auto"/>
              <w:right w:val="single" w:sz="6" w:space="0" w:color="auto"/>
            </w:tcBorders>
            <w:shd w:val="clear" w:color="auto" w:fill="FFFFFF"/>
          </w:tcPr>
          <w:p w14:paraId="171049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мая 1942 г.</w:t>
            </w:r>
          </w:p>
        </w:tc>
      </w:tr>
    </w:tbl>
    <w:p w14:paraId="52874B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Задания Управления особого строительства были конкре</w:t>
      </w:r>
      <w:r w:rsidRPr="00DB5D0D">
        <w:rPr>
          <w:rFonts w:ascii="Times New Roman" w:hAnsi="Times New Roman"/>
          <w:color w:val="000000" w:themeColor="text1"/>
          <w:sz w:val="16"/>
          <w:szCs w:val="16"/>
        </w:rPr>
        <w:softHyphen/>
        <w:t>тизированы в Титульном списке капитального строитель</w:t>
      </w:r>
      <w:r w:rsidRPr="00DB5D0D">
        <w:rPr>
          <w:rFonts w:ascii="Times New Roman" w:hAnsi="Times New Roman"/>
          <w:color w:val="000000" w:themeColor="text1"/>
          <w:sz w:val="16"/>
          <w:szCs w:val="16"/>
        </w:rPr>
        <w:softHyphen/>
        <w:t xml:space="preserve">ства оборонных проектов НКВД на 1941 г., утверждённом совместным постановлением СНК СССР и ЦК ВКП (б) от 17.01.1941 г. (ГА РФ. Ф. 8418. </w:t>
      </w:r>
      <w:r w:rsidRPr="00DB5D0D">
        <w:rPr>
          <w:rFonts w:ascii="Times New Roman" w:hAnsi="Times New Roman"/>
          <w:color w:val="000000" w:themeColor="text1"/>
          <w:sz w:val="16"/>
          <w:szCs w:val="16"/>
          <w:lang w:val="en-US"/>
        </w:rPr>
        <w:t xml:space="preserve">On. </w:t>
      </w:r>
      <w:r w:rsidRPr="00DB5D0D">
        <w:rPr>
          <w:rFonts w:ascii="Times New Roman" w:hAnsi="Times New Roman"/>
          <w:color w:val="000000" w:themeColor="text1"/>
          <w:sz w:val="16"/>
          <w:szCs w:val="16"/>
        </w:rPr>
        <w:t>25. Д. 44. Л. 74—75.) (стоимостные показатели — в тыс. руб.):</w:t>
      </w:r>
    </w:p>
    <w:tbl>
      <w:tblPr>
        <w:tblW w:w="0" w:type="auto"/>
        <w:tblInd w:w="8" w:type="dxa"/>
        <w:tblLayout w:type="fixed"/>
        <w:tblCellMar>
          <w:left w:w="0" w:type="dxa"/>
          <w:right w:w="0" w:type="dxa"/>
        </w:tblCellMar>
        <w:tblLook w:val="0000" w:firstRow="0" w:lastRow="0" w:firstColumn="0" w:lastColumn="0" w:noHBand="0" w:noVBand="0"/>
      </w:tblPr>
      <w:tblGrid>
        <w:gridCol w:w="1152"/>
        <w:gridCol w:w="1205"/>
        <w:gridCol w:w="926"/>
        <w:gridCol w:w="1666"/>
        <w:gridCol w:w="970"/>
      </w:tblGrid>
      <w:tr w:rsidR="007D5DF8" w:rsidRPr="00DB5D0D" w14:paraId="577B03C2" w14:textId="77777777" w:rsidTr="00E543D0">
        <w:trPr>
          <w:trHeight w:val="427"/>
        </w:trPr>
        <w:tc>
          <w:tcPr>
            <w:tcW w:w="1152" w:type="dxa"/>
            <w:tcBorders>
              <w:top w:val="single" w:sz="6" w:space="0" w:color="auto"/>
              <w:left w:val="single" w:sz="6" w:space="0" w:color="auto"/>
              <w:bottom w:val="single" w:sz="6" w:space="0" w:color="auto"/>
              <w:right w:val="single" w:sz="6" w:space="0" w:color="auto"/>
            </w:tcBorders>
            <w:shd w:val="clear" w:color="auto" w:fill="FFFFFF"/>
          </w:tcPr>
          <w:p w14:paraId="2B7537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Номер завода</w:t>
            </w:r>
          </w:p>
        </w:tc>
        <w:tc>
          <w:tcPr>
            <w:tcW w:w="1205" w:type="dxa"/>
            <w:tcBorders>
              <w:top w:val="single" w:sz="6" w:space="0" w:color="auto"/>
              <w:left w:val="single" w:sz="6" w:space="0" w:color="auto"/>
              <w:bottom w:val="single" w:sz="6" w:space="0" w:color="auto"/>
              <w:right w:val="single" w:sz="6" w:space="0" w:color="auto"/>
            </w:tcBorders>
            <w:shd w:val="clear" w:color="auto" w:fill="FFFFFF"/>
          </w:tcPr>
          <w:p w14:paraId="4AE0B1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Сроки постройки</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29038B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Сметная стоимость</w:t>
            </w:r>
          </w:p>
        </w:tc>
        <w:tc>
          <w:tcPr>
            <w:tcW w:w="1666" w:type="dxa"/>
            <w:tcBorders>
              <w:top w:val="single" w:sz="6" w:space="0" w:color="auto"/>
              <w:left w:val="single" w:sz="6" w:space="0" w:color="auto"/>
              <w:bottom w:val="single" w:sz="6" w:space="0" w:color="auto"/>
              <w:right w:val="single" w:sz="6" w:space="0" w:color="auto"/>
            </w:tcBorders>
            <w:shd w:val="clear" w:color="auto" w:fill="FFFFFF"/>
          </w:tcPr>
          <w:p w14:paraId="081CAB9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Выполнено работ на 01.01.1941 г.</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4EEF902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Плавна 1941 г.</w:t>
            </w:r>
          </w:p>
        </w:tc>
      </w:tr>
      <w:tr w:rsidR="007D5DF8" w:rsidRPr="00DB5D0D" w14:paraId="6241CDA4" w14:textId="77777777" w:rsidTr="00E543D0">
        <w:trPr>
          <w:trHeight w:val="221"/>
        </w:trPr>
        <w:tc>
          <w:tcPr>
            <w:tcW w:w="1152" w:type="dxa"/>
            <w:tcBorders>
              <w:top w:val="single" w:sz="6" w:space="0" w:color="auto"/>
              <w:left w:val="single" w:sz="6" w:space="0" w:color="auto"/>
              <w:bottom w:val="single" w:sz="6" w:space="0" w:color="auto"/>
              <w:right w:val="single" w:sz="6" w:space="0" w:color="auto"/>
            </w:tcBorders>
            <w:shd w:val="clear" w:color="auto" w:fill="FFFFFF"/>
          </w:tcPr>
          <w:p w14:paraId="254C1B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122</w:t>
            </w:r>
          </w:p>
        </w:tc>
        <w:tc>
          <w:tcPr>
            <w:tcW w:w="1205" w:type="dxa"/>
            <w:tcBorders>
              <w:top w:val="single" w:sz="6" w:space="0" w:color="auto"/>
              <w:left w:val="single" w:sz="6" w:space="0" w:color="auto"/>
              <w:bottom w:val="single" w:sz="6" w:space="0" w:color="auto"/>
              <w:right w:val="single" w:sz="6" w:space="0" w:color="auto"/>
            </w:tcBorders>
            <w:shd w:val="clear" w:color="auto" w:fill="FFFFFF"/>
          </w:tcPr>
          <w:p w14:paraId="73C882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1940—1941</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6E3C8F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223 000</w:t>
            </w:r>
          </w:p>
        </w:tc>
        <w:tc>
          <w:tcPr>
            <w:tcW w:w="1666" w:type="dxa"/>
            <w:tcBorders>
              <w:top w:val="single" w:sz="6" w:space="0" w:color="auto"/>
              <w:left w:val="single" w:sz="6" w:space="0" w:color="auto"/>
              <w:bottom w:val="single" w:sz="6" w:space="0" w:color="auto"/>
              <w:right w:val="single" w:sz="6" w:space="0" w:color="auto"/>
            </w:tcBorders>
            <w:shd w:val="clear" w:color="auto" w:fill="FFFFFF"/>
          </w:tcPr>
          <w:p w14:paraId="244CC5A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3048571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170 000</w:t>
            </w:r>
          </w:p>
        </w:tc>
      </w:tr>
      <w:tr w:rsidR="007D5DF8" w:rsidRPr="00DB5D0D" w14:paraId="52714775" w14:textId="77777777" w:rsidTr="00E543D0">
        <w:trPr>
          <w:trHeight w:val="221"/>
        </w:trPr>
        <w:tc>
          <w:tcPr>
            <w:tcW w:w="1152" w:type="dxa"/>
            <w:tcBorders>
              <w:top w:val="single" w:sz="6" w:space="0" w:color="auto"/>
              <w:left w:val="single" w:sz="6" w:space="0" w:color="auto"/>
              <w:bottom w:val="single" w:sz="6" w:space="0" w:color="auto"/>
              <w:right w:val="single" w:sz="6" w:space="0" w:color="auto"/>
            </w:tcBorders>
            <w:shd w:val="clear" w:color="auto" w:fill="FFFFFF"/>
          </w:tcPr>
          <w:p w14:paraId="117B06F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295</w:t>
            </w:r>
          </w:p>
        </w:tc>
        <w:tc>
          <w:tcPr>
            <w:tcW w:w="1205" w:type="dxa"/>
            <w:tcBorders>
              <w:top w:val="single" w:sz="6" w:space="0" w:color="auto"/>
              <w:left w:val="single" w:sz="6" w:space="0" w:color="auto"/>
              <w:bottom w:val="single" w:sz="6" w:space="0" w:color="auto"/>
              <w:right w:val="single" w:sz="6" w:space="0" w:color="auto"/>
            </w:tcBorders>
            <w:shd w:val="clear" w:color="auto" w:fill="FFFFFF"/>
          </w:tcPr>
          <w:p w14:paraId="37C5F06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1940-1942</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3FA4FA6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218000</w:t>
            </w:r>
          </w:p>
        </w:tc>
        <w:tc>
          <w:tcPr>
            <w:tcW w:w="1666" w:type="dxa"/>
            <w:tcBorders>
              <w:top w:val="single" w:sz="6" w:space="0" w:color="auto"/>
              <w:left w:val="single" w:sz="6" w:space="0" w:color="auto"/>
              <w:bottom w:val="single" w:sz="6" w:space="0" w:color="auto"/>
              <w:right w:val="single" w:sz="6" w:space="0" w:color="auto"/>
            </w:tcBorders>
            <w:shd w:val="clear" w:color="auto" w:fill="FFFFFF"/>
          </w:tcPr>
          <w:p w14:paraId="37284B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1FEC97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146 000</w:t>
            </w:r>
          </w:p>
        </w:tc>
      </w:tr>
      <w:tr w:rsidR="007D5DF8" w:rsidRPr="00DB5D0D" w14:paraId="3EF7BD83" w14:textId="77777777" w:rsidTr="00E543D0">
        <w:trPr>
          <w:trHeight w:val="235"/>
        </w:trPr>
        <w:tc>
          <w:tcPr>
            <w:tcW w:w="1152" w:type="dxa"/>
            <w:tcBorders>
              <w:top w:val="single" w:sz="6" w:space="0" w:color="auto"/>
              <w:left w:val="single" w:sz="6" w:space="0" w:color="auto"/>
              <w:bottom w:val="single" w:sz="6" w:space="0" w:color="auto"/>
              <w:right w:val="single" w:sz="6" w:space="0" w:color="auto"/>
            </w:tcBorders>
            <w:shd w:val="clear" w:color="auto" w:fill="FFFFFF"/>
          </w:tcPr>
          <w:p w14:paraId="5ECF3B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337</w:t>
            </w:r>
          </w:p>
        </w:tc>
        <w:tc>
          <w:tcPr>
            <w:tcW w:w="1205" w:type="dxa"/>
            <w:tcBorders>
              <w:top w:val="single" w:sz="6" w:space="0" w:color="auto"/>
              <w:left w:val="single" w:sz="6" w:space="0" w:color="auto"/>
              <w:bottom w:val="single" w:sz="6" w:space="0" w:color="auto"/>
              <w:right w:val="single" w:sz="6" w:space="0" w:color="auto"/>
            </w:tcBorders>
            <w:shd w:val="clear" w:color="auto" w:fill="FFFFFF"/>
          </w:tcPr>
          <w:p w14:paraId="4F3341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1940-1942</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7C7089F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310000</w:t>
            </w:r>
          </w:p>
        </w:tc>
        <w:tc>
          <w:tcPr>
            <w:tcW w:w="1666" w:type="dxa"/>
            <w:tcBorders>
              <w:top w:val="single" w:sz="6" w:space="0" w:color="auto"/>
              <w:left w:val="single" w:sz="6" w:space="0" w:color="auto"/>
              <w:bottom w:val="single" w:sz="6" w:space="0" w:color="auto"/>
              <w:right w:val="single" w:sz="6" w:space="0" w:color="auto"/>
            </w:tcBorders>
            <w:shd w:val="clear" w:color="auto" w:fill="FFFFFF"/>
          </w:tcPr>
          <w:p w14:paraId="046A054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7258426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181600</w:t>
            </w:r>
          </w:p>
        </w:tc>
      </w:tr>
    </w:tbl>
    <w:p w14:paraId="412E13A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выполнения этих заданий ГУЛАГу было предписано выделить на строительство около 4500 человек (Военно-промышленный комплекс Куйбышевской области... С. 16.). Строго го</w:t>
      </w:r>
      <w:r w:rsidRPr="00DB5D0D">
        <w:rPr>
          <w:rFonts w:ascii="Times New Roman" w:hAnsi="Times New Roman"/>
          <w:color w:val="000000" w:themeColor="text1"/>
          <w:sz w:val="16"/>
          <w:szCs w:val="16"/>
        </w:rPr>
        <w:softHyphen/>
        <w:t>воря, заключенные и ранее использовалась на строительстве авиазаводов. Так, в 1938 г. на территории завода № 124 для форсирования работ был организован трудовой лагерь в 1 000—1500 человек (ГА РФ. Ф. 8418. Оп. 22 Д. 267. Л. 22.), а на строительстве завода № 153 в1940 г. трудилось почти 2 тыс. заключённых Сиблага (Савицкий ИМ. Важнейший арсенал Сибири. Новосибирск, 2005. С. 32.). Всего к 1940 г. на объектах авиастроительной индустрии работало 13 440 за</w:t>
      </w:r>
      <w:r w:rsidRPr="00DB5D0D">
        <w:rPr>
          <w:rFonts w:ascii="Times New Roman" w:hAnsi="Times New Roman"/>
          <w:color w:val="000000" w:themeColor="text1"/>
          <w:sz w:val="16"/>
          <w:szCs w:val="16"/>
        </w:rPr>
        <w:softHyphen/>
        <w:t>ключенных (Самолётостроение в СССР. 1917—1945. Книга 1. М., 1992. С. 427.). Однако никогда ранее заключенные не составля</w:t>
      </w:r>
      <w:r w:rsidRPr="00DB5D0D">
        <w:rPr>
          <w:rFonts w:ascii="Times New Roman" w:hAnsi="Times New Roman"/>
          <w:color w:val="000000" w:themeColor="text1"/>
          <w:sz w:val="16"/>
          <w:szCs w:val="16"/>
        </w:rPr>
        <w:softHyphen/>
        <w:t>ли основную массу рабочей силы на строительстве авиапред</w:t>
      </w:r>
      <w:r w:rsidRPr="00DB5D0D">
        <w:rPr>
          <w:rFonts w:ascii="Times New Roman" w:hAnsi="Times New Roman"/>
          <w:color w:val="000000" w:themeColor="text1"/>
          <w:sz w:val="16"/>
          <w:szCs w:val="16"/>
        </w:rPr>
        <w:softHyphen/>
        <w:t>приятий. К лету 1941 г. производственные корпуса куйбышев</w:t>
      </w:r>
      <w:r w:rsidRPr="00DB5D0D">
        <w:rPr>
          <w:rFonts w:ascii="Times New Roman" w:hAnsi="Times New Roman"/>
          <w:color w:val="000000" w:themeColor="text1"/>
          <w:sz w:val="16"/>
          <w:szCs w:val="16"/>
        </w:rPr>
        <w:softHyphen/>
        <w:t>ских авиазаводов уже возвели. Из суммарной стоимости трёх авиазаводов (1408,6 млн руб.) (Выше, в выдержке из «Титульного плана» приводятся меньшие цифры. Очевидно, в указанные 1,4 млрд руб. входили также расходы на создание не</w:t>
      </w:r>
      <w:r w:rsidRPr="00DB5D0D">
        <w:rPr>
          <w:rFonts w:ascii="Times New Roman" w:hAnsi="Times New Roman"/>
          <w:color w:val="000000" w:themeColor="text1"/>
          <w:sz w:val="16"/>
          <w:szCs w:val="16"/>
        </w:rPr>
        <w:softHyphen/>
        <w:t>обходимой инфраструктуры, коммуникаций и объектов соцкультбыта.) в 1940 г. было освоено 56,5 млн руб., а в 1941 г. план капвложений Куйбышевского авиастрои</w:t>
      </w:r>
      <w:r w:rsidRPr="00DB5D0D">
        <w:rPr>
          <w:rFonts w:ascii="Times New Roman" w:hAnsi="Times New Roman"/>
          <w:color w:val="000000" w:themeColor="text1"/>
          <w:sz w:val="16"/>
          <w:szCs w:val="16"/>
        </w:rPr>
        <w:softHyphen/>
        <w:t>тельного комплекса составил 700,6 млн руб. (Военно-промышленный комплекс Куйбышевской области... С. 18.) Объёмы стро</w:t>
      </w:r>
      <w:r w:rsidRPr="00DB5D0D">
        <w:rPr>
          <w:rFonts w:ascii="Times New Roman" w:hAnsi="Times New Roman"/>
          <w:color w:val="000000" w:themeColor="text1"/>
          <w:sz w:val="16"/>
          <w:szCs w:val="16"/>
        </w:rPr>
        <w:softHyphen/>
        <w:t>ительства были столь велики, что УОС поставило вопрос о строительстве трамвайной линии, связывающей Куйбышев и строительные площадки (Военно-промышленный комплекс Куйбышевской области... С. 20). Всё это позволило в годы войны оперативно перебросить туда оборудование эвакуированных авиастроительных и моторостроительных предприятий.</w:t>
      </w:r>
    </w:p>
    <w:p w14:paraId="1FB47E9B" w14:textId="77777777" w:rsidR="003C7E8B" w:rsidRPr="00DB5D0D" w:rsidRDefault="003C7E8B" w:rsidP="00DB5D0D">
      <w:pPr>
        <w:tabs>
          <w:tab w:val="left" w:pos="416"/>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Новый авиастроительный комплекс на Украине — мечта, не ставшая явью. Как уже говорилось выше, вторым регионом, где планировалось создать новую базу авиастрое</w:t>
      </w:r>
      <w:r w:rsidRPr="00DB5D0D">
        <w:rPr>
          <w:rFonts w:ascii="Times New Roman" w:hAnsi="Times New Roman"/>
          <w:color w:val="000000" w:themeColor="text1"/>
          <w:sz w:val="16"/>
          <w:szCs w:val="16"/>
        </w:rPr>
        <w:softHyphen/>
        <w:t>ния, стала Украина. Официально это решение было оформ</w:t>
      </w:r>
      <w:r w:rsidRPr="00DB5D0D">
        <w:rPr>
          <w:rFonts w:ascii="Times New Roman" w:hAnsi="Times New Roman"/>
          <w:color w:val="000000" w:themeColor="text1"/>
          <w:sz w:val="16"/>
          <w:szCs w:val="16"/>
        </w:rPr>
        <w:softHyphen/>
        <w:t>лено постановлением ЦК ВКП(б) и СНК СССР от 17 августа 1940 г. «Об организации производства самолетов и моторов на юге». Этот документ предписывал организовать авиапро</w:t>
      </w:r>
      <w:r w:rsidRPr="00DB5D0D">
        <w:rPr>
          <w:rFonts w:ascii="Times New Roman" w:hAnsi="Times New Roman"/>
          <w:color w:val="000000" w:themeColor="text1"/>
          <w:sz w:val="16"/>
          <w:szCs w:val="16"/>
        </w:rPr>
        <w:softHyphen/>
        <w:t>изводство в Киеве, Харькове, Днепропетровске и Запорожье, исходя из следующих объемов авиавыпуска:</w:t>
      </w:r>
    </w:p>
    <w:p w14:paraId="6A69B5B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Планируемый авиавыпуск заводов, подлежащих созданию на Украине согласно постановлению 17 августа 1940 г. (РГАЭ. Ф. 8044. </w:t>
      </w:r>
      <w:r w:rsidRPr="00DB5D0D">
        <w:rPr>
          <w:rFonts w:ascii="Times New Roman" w:hAnsi="Times New Roman"/>
          <w:color w:val="000000" w:themeColor="text1"/>
          <w:sz w:val="16"/>
          <w:szCs w:val="16"/>
          <w:lang w:val="en-US"/>
        </w:rPr>
        <w:t xml:space="preserve">On. </w:t>
      </w:r>
      <w:r w:rsidRPr="00DB5D0D">
        <w:rPr>
          <w:rFonts w:ascii="Times New Roman" w:hAnsi="Times New Roman"/>
          <w:color w:val="000000" w:themeColor="text1"/>
          <w:sz w:val="16"/>
          <w:szCs w:val="16"/>
        </w:rPr>
        <w:t>1. Д. 203. Л. 20.)</w:t>
      </w:r>
    </w:p>
    <w:tbl>
      <w:tblPr>
        <w:tblW w:w="0" w:type="auto"/>
        <w:tblInd w:w="8" w:type="dxa"/>
        <w:tblLayout w:type="fixed"/>
        <w:tblCellMar>
          <w:left w:w="0" w:type="dxa"/>
          <w:right w:w="0" w:type="dxa"/>
        </w:tblCellMar>
        <w:tblLook w:val="0000" w:firstRow="0" w:lastRow="0" w:firstColumn="0" w:lastColumn="0" w:noHBand="0" w:noVBand="0"/>
      </w:tblPr>
      <w:tblGrid>
        <w:gridCol w:w="1488"/>
        <w:gridCol w:w="1478"/>
        <w:gridCol w:w="1478"/>
        <w:gridCol w:w="1493"/>
      </w:tblGrid>
      <w:tr w:rsidR="007D5DF8" w:rsidRPr="00DB5D0D" w14:paraId="058637B3" w14:textId="77777777" w:rsidTr="00E543D0">
        <w:trPr>
          <w:trHeight w:val="230"/>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746DB4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самолёта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FABDBD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в 1940 г.</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6F1DEB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в 1941 г.</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69EEB4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Выпуск в 1942 с</w:t>
            </w:r>
          </w:p>
        </w:tc>
      </w:tr>
      <w:tr w:rsidR="007D5DF8" w:rsidRPr="00DB5D0D" w14:paraId="1D11102D" w14:textId="77777777" w:rsidTr="00E543D0">
        <w:trPr>
          <w:trHeight w:val="226"/>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09137AD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ПБ-100</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4B5C2F0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A85A7E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6486A91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500</w:t>
            </w:r>
          </w:p>
        </w:tc>
      </w:tr>
      <w:tr w:rsidR="007D5DF8" w:rsidRPr="00DB5D0D" w14:paraId="246A1281" w14:textId="77777777" w:rsidTr="00E543D0">
        <w:trPr>
          <w:trHeight w:val="221"/>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32A652C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№22</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31C1B01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6E8D7D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45212A8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r>
      <w:tr w:rsidR="007D5DF8" w:rsidRPr="00DB5D0D" w14:paraId="0689C9F6" w14:textId="77777777" w:rsidTr="00E543D0">
        <w:trPr>
          <w:trHeight w:val="221"/>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1454A9F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ДБ-240</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F085C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4ED2F9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EC3BF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r>
      <w:tr w:rsidR="007D5DF8" w:rsidRPr="00DB5D0D" w14:paraId="5BBF0AE9" w14:textId="77777777" w:rsidTr="00E543D0">
        <w:trPr>
          <w:trHeight w:val="221"/>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6F15A7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Двухмотор. исгр.</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CB7736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14D2CE5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400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7641F7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1000</w:t>
            </w:r>
          </w:p>
        </w:tc>
      </w:tr>
      <w:tr w:rsidR="007D5DF8" w:rsidRPr="00DB5D0D" w14:paraId="65034BDC" w14:textId="77777777" w:rsidTr="00E543D0">
        <w:trPr>
          <w:trHeight w:val="226"/>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4B126A8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Тип мотора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1C8DADB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24EE655"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27E706F9"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68A470D" w14:textId="77777777" w:rsidTr="00E543D0">
        <w:trPr>
          <w:trHeight w:val="221"/>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4A8219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АМ-35А</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7C22CA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DD24F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250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684E7FD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2000</w:t>
            </w:r>
          </w:p>
        </w:tc>
      </w:tr>
      <w:tr w:rsidR="007D5DF8" w:rsidRPr="00DB5D0D" w14:paraId="4954C50A" w14:textId="77777777" w:rsidTr="00E543D0">
        <w:trPr>
          <w:trHeight w:val="235"/>
        </w:trPr>
        <w:tc>
          <w:tcPr>
            <w:tcW w:w="1488" w:type="dxa"/>
            <w:tcBorders>
              <w:top w:val="single" w:sz="6" w:space="0" w:color="auto"/>
              <w:left w:val="single" w:sz="6" w:space="0" w:color="auto"/>
              <w:bottom w:val="single" w:sz="6" w:space="0" w:color="auto"/>
              <w:right w:val="single" w:sz="6" w:space="0" w:color="auto"/>
            </w:tcBorders>
            <w:shd w:val="clear" w:color="auto" w:fill="FFFFFF"/>
          </w:tcPr>
          <w:p w14:paraId="21D474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М-105</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6E7A7E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6C41A0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2CB8D1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3000</w:t>
            </w:r>
          </w:p>
        </w:tc>
      </w:tr>
    </w:tbl>
    <w:p w14:paraId="5417F33D" w14:textId="77777777" w:rsidR="003C7E8B" w:rsidRPr="00DB5D0D" w:rsidRDefault="003C7E8B" w:rsidP="00DB5D0D">
      <w:pPr>
        <w:tabs>
          <w:tab w:val="left" w:pos="391"/>
        </w:tabs>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Судя по всему, постановление готовилось в спешке. Во всяком случае, сейчас трудно понять, с какой целью перед новыми заводами ставилась задача произвести пять бом</w:t>
      </w:r>
      <w:r w:rsidRPr="00DB5D0D">
        <w:rPr>
          <w:rFonts w:ascii="Times New Roman" w:hAnsi="Times New Roman"/>
          <w:color w:val="000000" w:themeColor="text1"/>
          <w:sz w:val="16"/>
          <w:szCs w:val="16"/>
        </w:rPr>
        <w:softHyphen/>
        <w:t>бардировщиков ДБ-240, если в дальнейшем их производить не предполагалось. В отличие от Куйбышева, где новые за</w:t>
      </w:r>
      <w:r w:rsidRPr="00DB5D0D">
        <w:rPr>
          <w:rFonts w:ascii="Times New Roman" w:hAnsi="Times New Roman"/>
          <w:color w:val="000000" w:themeColor="text1"/>
          <w:sz w:val="16"/>
          <w:szCs w:val="16"/>
        </w:rPr>
        <w:softHyphen/>
        <w:t>воды предполагалось построить, на Украине предприятия передавались в НКАП из других ведомств. По мере дета</w:t>
      </w:r>
      <w:r w:rsidRPr="00DB5D0D">
        <w:rPr>
          <w:rFonts w:ascii="Times New Roman" w:hAnsi="Times New Roman"/>
          <w:color w:val="000000" w:themeColor="text1"/>
          <w:sz w:val="16"/>
          <w:szCs w:val="16"/>
        </w:rPr>
        <w:softHyphen/>
        <w:t>лизации постановления определялся конкретный перечень заводов, передаваемых наркомату: № 449, 452, 462 (Вскоре, однако, либо 449-й, либо 462-й завод изменили наименование. Во всяком случае, уже к концу 1940 г. по документам НКАП в Днепропетров</w:t>
      </w:r>
      <w:r w:rsidRPr="00DB5D0D">
        <w:rPr>
          <w:rFonts w:ascii="Times New Roman" w:hAnsi="Times New Roman"/>
          <w:color w:val="000000" w:themeColor="text1"/>
          <w:sz w:val="16"/>
          <w:szCs w:val="16"/>
        </w:rPr>
        <w:softHyphen/>
        <w:t>ске строились 2 завода — самолётостроительный (№ 165) и моторострои</w:t>
      </w:r>
      <w:r w:rsidRPr="00DB5D0D">
        <w:rPr>
          <w:rFonts w:ascii="Times New Roman" w:hAnsi="Times New Roman"/>
          <w:color w:val="000000" w:themeColor="text1"/>
          <w:sz w:val="16"/>
          <w:szCs w:val="16"/>
        </w:rPr>
        <w:softHyphen/>
        <w:t xml:space="preserve">тельный (№ 452).) (все — Днепропетровск), 450 (Харьков), 454, 455 (оба — в Киеве), 458 (Ростов-на-Дону) и 457 (Запорожье)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203. Л. 132.). С другой стороны, различие между «поволжским» и «украинским» вариантами были не так уж велики — ведь практически все переданные предприятия были не заводами в подлинном значении этого слова, а лишь стройками, которые ещё предстояло достроить, оснастить оборудованием и станками, и запустить в серийное производство. Результаты аврального планирования и испол</w:t>
      </w:r>
      <w:r w:rsidRPr="00DB5D0D">
        <w:rPr>
          <w:rFonts w:ascii="Times New Roman" w:hAnsi="Times New Roman"/>
          <w:color w:val="000000" w:themeColor="text1"/>
          <w:sz w:val="16"/>
          <w:szCs w:val="16"/>
        </w:rPr>
        <w:softHyphen/>
        <w:t>нения не заставили себя ждать. Хотя к производству на заводе № 452 (старая площадка завода «Днепромаш») предполага</w:t>
      </w:r>
      <w:r w:rsidRPr="00DB5D0D">
        <w:rPr>
          <w:rFonts w:ascii="Times New Roman" w:hAnsi="Times New Roman"/>
          <w:color w:val="000000" w:themeColor="text1"/>
          <w:sz w:val="16"/>
          <w:szCs w:val="16"/>
        </w:rPr>
        <w:softHyphen/>
        <w:t xml:space="preserve">лись моторы, аналогичные продукции завода № 24 (АМ-35 и его модификации), рабочих из Днепропетровска удалось на стажировку отправить только в Запорожье, на завод № 29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203. Л. 228.). Разумеется, это было ближе, но вот помог бы в производстве моторов серийной линии «АМ» жидкостного охлаждения опыт производства моторов М-87 охлаждения воздушного — вопрос сложный. Строительство заводов шло очень медленно и с постоянными перебоями. Так, ноябрьский план (1940 г.) строительства завода № 455 в Киеве был выполнен по стои</w:t>
      </w:r>
      <w:r w:rsidRPr="00DB5D0D">
        <w:rPr>
          <w:rFonts w:ascii="Times New Roman" w:hAnsi="Times New Roman"/>
          <w:color w:val="000000" w:themeColor="text1"/>
          <w:sz w:val="16"/>
          <w:szCs w:val="16"/>
        </w:rPr>
        <w:softHyphen/>
        <w:t>мости лишь на 27,4 %, а монтажные работы — на 33 %. Фор</w:t>
      </w:r>
      <w:r w:rsidRPr="00DB5D0D">
        <w:rPr>
          <w:rFonts w:ascii="Times New Roman" w:hAnsi="Times New Roman"/>
          <w:color w:val="000000" w:themeColor="text1"/>
          <w:sz w:val="16"/>
          <w:szCs w:val="16"/>
        </w:rPr>
        <w:softHyphen/>
        <w:t>сированные темпы, продиктованные августовским постанов</w:t>
      </w:r>
      <w:r w:rsidRPr="00DB5D0D">
        <w:rPr>
          <w:rFonts w:ascii="Times New Roman" w:hAnsi="Times New Roman"/>
          <w:color w:val="000000" w:themeColor="text1"/>
          <w:sz w:val="16"/>
          <w:szCs w:val="16"/>
        </w:rPr>
        <w:softHyphen/>
        <w:t>лением, ставили исполнителей в невыносимые условия. Про</w:t>
      </w:r>
      <w:r w:rsidRPr="00DB5D0D">
        <w:rPr>
          <w:rFonts w:ascii="Times New Roman" w:hAnsi="Times New Roman"/>
          <w:color w:val="000000" w:themeColor="text1"/>
          <w:sz w:val="16"/>
          <w:szCs w:val="16"/>
        </w:rPr>
        <w:softHyphen/>
        <w:t>ектный институт Наркомата авиапромышленности был готов представить планы и сметы реконструкции только к 31 дека</w:t>
      </w:r>
      <w:r w:rsidRPr="00DB5D0D">
        <w:rPr>
          <w:rFonts w:ascii="Times New Roman" w:hAnsi="Times New Roman"/>
          <w:color w:val="000000" w:themeColor="text1"/>
          <w:sz w:val="16"/>
          <w:szCs w:val="16"/>
        </w:rPr>
        <w:softHyphen/>
        <w:t>бря 1941 г., то есть после того как (согласно постановлению) первые самолеты уже должны были быть приняты военпри- емкой. Поскольку переоборудование заводов не было пред</w:t>
      </w:r>
      <w:r w:rsidRPr="00DB5D0D">
        <w:rPr>
          <w:rFonts w:ascii="Times New Roman" w:hAnsi="Times New Roman"/>
          <w:color w:val="000000" w:themeColor="text1"/>
          <w:sz w:val="16"/>
          <w:szCs w:val="16"/>
        </w:rPr>
        <w:softHyphen/>
        <w:t>усмотрено в пятилетнем (да и вообще ни в каком) плане (этот момент вызывает некоторое удивление. Так как новостройки пе</w:t>
      </w:r>
      <w:r w:rsidRPr="00DB5D0D">
        <w:rPr>
          <w:rFonts w:ascii="Times New Roman" w:hAnsi="Times New Roman"/>
          <w:color w:val="000000" w:themeColor="text1"/>
          <w:sz w:val="16"/>
          <w:szCs w:val="16"/>
        </w:rPr>
        <w:softHyphen/>
        <w:t>редавались в НКАП из других ведомств, формально на строительство этих объектов должны были быть зарезервированы (в планах соответствующих ведомств) определённые фонды. Видимо, либо указанные ведомства, пере</w:t>
      </w:r>
      <w:r w:rsidRPr="00DB5D0D">
        <w:rPr>
          <w:rFonts w:ascii="Times New Roman" w:hAnsi="Times New Roman"/>
          <w:color w:val="000000" w:themeColor="text1"/>
          <w:sz w:val="16"/>
          <w:szCs w:val="16"/>
        </w:rPr>
        <w:softHyphen/>
        <w:t>дав объекты, оставили причитающиеся фонды себе в рамках ведомственных споров, либо НКАПу спихнули заведомый «долгострой», вообще никакими фондами не обеспеченный), на эти работы не были зарезервированы фонды строительных материалов. Было решительно непонятно, как вести монтаж</w:t>
      </w:r>
      <w:r w:rsidRPr="00DB5D0D">
        <w:rPr>
          <w:rFonts w:ascii="Times New Roman" w:hAnsi="Times New Roman"/>
          <w:color w:val="000000" w:themeColor="text1"/>
          <w:sz w:val="16"/>
          <w:szCs w:val="16"/>
        </w:rPr>
        <w:softHyphen/>
        <w:t>ные работы при полном отсутствии строительного леса и ме</w:t>
      </w:r>
      <w:r w:rsidRPr="00DB5D0D">
        <w:rPr>
          <w:rFonts w:ascii="Times New Roman" w:hAnsi="Times New Roman"/>
          <w:color w:val="000000" w:themeColor="text1"/>
          <w:sz w:val="16"/>
          <w:szCs w:val="16"/>
        </w:rPr>
        <w:softHyphen/>
        <w:t xml:space="preserve">таллоконструкций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203. Л. 267.). Киевские новостройки вообще не полу</w:t>
      </w:r>
      <w:r w:rsidRPr="00DB5D0D">
        <w:rPr>
          <w:rFonts w:ascii="Times New Roman" w:hAnsi="Times New Roman"/>
          <w:color w:val="000000" w:themeColor="text1"/>
          <w:sz w:val="16"/>
          <w:szCs w:val="16"/>
        </w:rPr>
        <w:softHyphen/>
        <w:t>чали стройматериалов, да и на прочие новые авиазаводы они поступали в явно недостаточных количествах. Так, в Днепропетровске на заводы № 165 и 452 вместо необходимых 10 тыс. м</w:t>
      </w:r>
      <w:r w:rsidRPr="00DB5D0D">
        <w:rPr>
          <w:rFonts w:ascii="Times New Roman" w:hAnsi="Times New Roman"/>
          <w:color w:val="000000" w:themeColor="text1"/>
          <w:sz w:val="16"/>
          <w:szCs w:val="16"/>
          <w:vertAlign w:val="superscript"/>
        </w:rPr>
        <w:t>3</w:t>
      </w:r>
      <w:r w:rsidRPr="00DB5D0D">
        <w:rPr>
          <w:rFonts w:ascii="Times New Roman" w:hAnsi="Times New Roman"/>
          <w:color w:val="000000" w:themeColor="text1"/>
          <w:sz w:val="16"/>
          <w:szCs w:val="16"/>
        </w:rPr>
        <w:t xml:space="preserve"> леса поступило лишь 400 м\ На стройках не хватало не только материалов, но и рабочих. Вместо положенных по плану 1475 человек на строительстве завода № 455 реально работали лишь 975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203. Л. 234—235.). Республиканское руководство пыталось решить проблему проведением мобилизации комсомольцев, но существенно это ситуацию не изменило. Как видим, став</w:t>
      </w:r>
      <w:r w:rsidRPr="00DB5D0D">
        <w:rPr>
          <w:rFonts w:ascii="Times New Roman" w:hAnsi="Times New Roman"/>
          <w:color w:val="000000" w:themeColor="text1"/>
          <w:sz w:val="16"/>
          <w:szCs w:val="16"/>
        </w:rPr>
        <w:softHyphen/>
        <w:t>ка на дислоцирование новых авиапредприятий пусть сравни</w:t>
      </w:r>
      <w:r w:rsidRPr="00DB5D0D">
        <w:rPr>
          <w:rFonts w:ascii="Times New Roman" w:hAnsi="Times New Roman"/>
          <w:color w:val="000000" w:themeColor="text1"/>
          <w:sz w:val="16"/>
          <w:szCs w:val="16"/>
        </w:rPr>
        <w:softHyphen/>
        <w:t>тельно близко от границы, но зато в густонаселённом райо</w:t>
      </w:r>
      <w:r w:rsidRPr="00DB5D0D">
        <w:rPr>
          <w:rFonts w:ascii="Times New Roman" w:hAnsi="Times New Roman"/>
          <w:color w:val="000000" w:themeColor="text1"/>
          <w:sz w:val="16"/>
          <w:szCs w:val="16"/>
        </w:rPr>
        <w:softHyphen/>
        <w:t>не, себя не оправдала. Рабочая сила так и осталась одним из основных камней преткновения новостроек.</w:t>
      </w:r>
    </w:p>
    <w:p w14:paraId="35DB46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Технологическое руководство киевским предприятием должен был осуществлять завод № 1, но легендарный «Авиахим» и без того был перегружен текущим плановым задани</w:t>
      </w:r>
      <w:r w:rsidRPr="00DB5D0D">
        <w:rPr>
          <w:rFonts w:ascii="Times New Roman" w:hAnsi="Times New Roman"/>
          <w:color w:val="000000" w:themeColor="text1"/>
          <w:sz w:val="16"/>
          <w:szCs w:val="16"/>
        </w:rPr>
        <w:softHyphen/>
        <w:t>ем, поэтому изготовление шаблонов и оснастки для киевско</w:t>
      </w:r>
      <w:r w:rsidRPr="00DB5D0D">
        <w:rPr>
          <w:rFonts w:ascii="Times New Roman" w:hAnsi="Times New Roman"/>
          <w:color w:val="000000" w:themeColor="text1"/>
          <w:sz w:val="16"/>
          <w:szCs w:val="16"/>
        </w:rPr>
        <w:softHyphen/>
        <w:t>го предприятия шло по остаточному принципу. В результате 20—30 % станочного парка завода № 455 было загружено изготовлением приспособлений и инструментов. В дальней</w:t>
      </w:r>
      <w:r w:rsidRPr="00DB5D0D">
        <w:rPr>
          <w:rFonts w:ascii="Times New Roman" w:hAnsi="Times New Roman"/>
          <w:color w:val="000000" w:themeColor="text1"/>
          <w:sz w:val="16"/>
          <w:szCs w:val="16"/>
        </w:rPr>
        <w:softHyphen/>
        <w:t>шем ситуация еще более ухудшилась. К 21 января 1941 г. все действующие цеха завода № 455 работали на изготовление оснастки. Несмотря на все усилия, совокупный объем изго</w:t>
      </w:r>
      <w:r w:rsidRPr="00DB5D0D">
        <w:rPr>
          <w:rFonts w:ascii="Times New Roman" w:hAnsi="Times New Roman"/>
          <w:color w:val="000000" w:themeColor="text1"/>
          <w:sz w:val="16"/>
          <w:szCs w:val="16"/>
        </w:rPr>
        <w:softHyphen/>
        <w:t>товленной оснастки составлял лишь 10 % от потребного. На упомянутых заводах было установлено 49 % (от планового уровня) металлорежущих станков, 80 % ковочного оборудо</w:t>
      </w:r>
      <w:r w:rsidRPr="00DB5D0D">
        <w:rPr>
          <w:rFonts w:ascii="Times New Roman" w:hAnsi="Times New Roman"/>
          <w:color w:val="000000" w:themeColor="text1"/>
          <w:sz w:val="16"/>
          <w:szCs w:val="16"/>
        </w:rPr>
        <w:softHyphen/>
        <w:t>вания и лишь 8 % прессового оборудования.</w:t>
      </w:r>
    </w:p>
    <w:p w14:paraId="382C601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Ещё хуже обстояли дела с поставкой документации. На 4 декабря 1940 г. завод № 455 получил 5 % чертежей на при</w:t>
      </w:r>
      <w:r w:rsidRPr="00DB5D0D">
        <w:rPr>
          <w:rFonts w:ascii="Times New Roman" w:hAnsi="Times New Roman"/>
          <w:color w:val="000000" w:themeColor="text1"/>
          <w:sz w:val="16"/>
          <w:szCs w:val="16"/>
        </w:rPr>
        <w:softHyphen/>
        <w:t>способления, а заводы № 43 и 454 вообще не получили ни одного такого чертежа. Не в последнюю очередь именно ма</w:t>
      </w:r>
      <w:r w:rsidRPr="00DB5D0D">
        <w:rPr>
          <w:rFonts w:ascii="Times New Roman" w:hAnsi="Times New Roman"/>
          <w:color w:val="000000" w:themeColor="text1"/>
          <w:sz w:val="16"/>
          <w:szCs w:val="16"/>
        </w:rPr>
        <w:softHyphen/>
        <w:t>лыми надеждами на получение документации и оснастки с за</w:t>
      </w:r>
      <w:r w:rsidRPr="00DB5D0D">
        <w:rPr>
          <w:rFonts w:ascii="Times New Roman" w:hAnsi="Times New Roman"/>
          <w:color w:val="000000" w:themeColor="text1"/>
          <w:sz w:val="16"/>
          <w:szCs w:val="16"/>
        </w:rPr>
        <w:softHyphen/>
        <w:t>вода № 1 объясняются метания с назначением модели для вы</w:t>
      </w:r>
      <w:r w:rsidRPr="00DB5D0D">
        <w:rPr>
          <w:rFonts w:ascii="Times New Roman" w:hAnsi="Times New Roman"/>
          <w:color w:val="000000" w:themeColor="text1"/>
          <w:sz w:val="16"/>
          <w:szCs w:val="16"/>
        </w:rPr>
        <w:softHyphen/>
        <w:t>пуска на заводе № 165. Хотя первоначально предполагалось, что там также будут выпускаться И-200, 29 декабря 1940 г. было решено переориентировать завод на выпуск И-301. Го</w:t>
      </w:r>
      <w:r w:rsidRPr="00DB5D0D">
        <w:rPr>
          <w:rFonts w:ascii="Times New Roman" w:hAnsi="Times New Roman"/>
          <w:color w:val="000000" w:themeColor="text1"/>
          <w:sz w:val="16"/>
          <w:szCs w:val="16"/>
        </w:rPr>
        <w:softHyphen/>
        <w:t>ловным заводом, с которого в Днепропетровск должны были поступать чертежи и приспособления, был назначен ленин</w:t>
      </w:r>
      <w:r w:rsidRPr="00DB5D0D">
        <w:rPr>
          <w:rFonts w:ascii="Times New Roman" w:hAnsi="Times New Roman"/>
          <w:color w:val="000000" w:themeColor="text1"/>
          <w:sz w:val="16"/>
          <w:szCs w:val="16"/>
        </w:rPr>
        <w:softHyphen/>
        <w:t xml:space="preserve">градский завод № 23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203. Л. 278.).</w:t>
      </w:r>
    </w:p>
    <w:p w14:paraId="196EFFB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Попытка авральными мерами ввести в строй сразу ряд новых заводов, строительство и оснащение которых не были предусмотрены в планах пятилетки, привела к срыву сроков строительства и предприятий, оснащавшихся согласно го</w:t>
      </w:r>
      <w:r w:rsidRPr="00DB5D0D">
        <w:rPr>
          <w:rFonts w:ascii="Times New Roman" w:hAnsi="Times New Roman"/>
          <w:color w:val="000000" w:themeColor="text1"/>
          <w:sz w:val="16"/>
          <w:szCs w:val="16"/>
        </w:rPr>
        <w:softHyphen/>
        <w:t xml:space="preserve">довой программе. Так, годовой план строительства завода № 135 в Харькове был выполнен в 1940 г. лишь на 40 %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203. Л. 240). Не выполнялись сроки постройки моторных заводов, строитель</w:t>
      </w:r>
      <w:r w:rsidRPr="00DB5D0D">
        <w:rPr>
          <w:rFonts w:ascii="Times New Roman" w:hAnsi="Times New Roman"/>
          <w:color w:val="000000" w:themeColor="text1"/>
          <w:sz w:val="16"/>
          <w:szCs w:val="16"/>
        </w:rPr>
        <w:softHyphen/>
        <w:t>ство которых было изначально предусмотрено планом нарко</w:t>
      </w:r>
      <w:r w:rsidRPr="00DB5D0D">
        <w:rPr>
          <w:rFonts w:ascii="Times New Roman" w:hAnsi="Times New Roman"/>
          <w:color w:val="000000" w:themeColor="text1"/>
          <w:sz w:val="16"/>
          <w:szCs w:val="16"/>
        </w:rPr>
        <w:softHyphen/>
        <w:t xml:space="preserve">мата — № 335 и 339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401. Л. 302,304,305.). В результате 6 марта 1941 г. строитель</w:t>
      </w:r>
      <w:r w:rsidRPr="00DB5D0D">
        <w:rPr>
          <w:rFonts w:ascii="Times New Roman" w:hAnsi="Times New Roman"/>
          <w:color w:val="000000" w:themeColor="text1"/>
          <w:sz w:val="16"/>
          <w:szCs w:val="16"/>
        </w:rPr>
        <w:softHyphen/>
        <w:t xml:space="preserve">ство завода № 335 было официально прекращено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684. Л. 270.).</w:t>
      </w:r>
    </w:p>
    <w:p w14:paraId="5253D8A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НКАП на весну 1941 г. — срез ситуации. На 1941 г. пред</w:t>
      </w:r>
      <w:r w:rsidRPr="00DB5D0D">
        <w:rPr>
          <w:rFonts w:ascii="Times New Roman" w:hAnsi="Times New Roman"/>
          <w:color w:val="000000" w:themeColor="text1"/>
          <w:sz w:val="16"/>
          <w:szCs w:val="16"/>
        </w:rPr>
        <w:softHyphen/>
        <w:t>полагался не менее бурный рост авиапромышленности. Осо</w:t>
      </w:r>
      <w:r w:rsidRPr="00DB5D0D">
        <w:rPr>
          <w:rFonts w:ascii="Times New Roman" w:hAnsi="Times New Roman"/>
          <w:color w:val="000000" w:themeColor="text1"/>
          <w:sz w:val="16"/>
          <w:szCs w:val="16"/>
        </w:rPr>
        <w:softHyphen/>
        <w:t>бый интерес в этом смысле представляет «Ведомость потреб</w:t>
      </w:r>
      <w:r w:rsidRPr="00DB5D0D">
        <w:rPr>
          <w:rFonts w:ascii="Times New Roman" w:hAnsi="Times New Roman"/>
          <w:color w:val="000000" w:themeColor="text1"/>
          <w:sz w:val="16"/>
          <w:szCs w:val="16"/>
        </w:rPr>
        <w:softHyphen/>
        <w:t xml:space="preserve">ности металлорежущего оборудования по заводам I ГУ НКАП на 1941 г.»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413. Л. 156.). Согласно этому документу, общая потребность самолётостроительных заводов в подобных станках на 1941 г. составляла 31 632 единицы, а на 1 октября 1940 г. в наличии состояло лишь 12 985. Таким образом, НКАП ожидал при</w:t>
      </w:r>
      <w:r w:rsidRPr="00DB5D0D">
        <w:rPr>
          <w:rFonts w:ascii="Times New Roman" w:hAnsi="Times New Roman"/>
          <w:color w:val="000000" w:themeColor="text1"/>
          <w:sz w:val="16"/>
          <w:szCs w:val="16"/>
        </w:rPr>
        <w:softHyphen/>
        <w:t>бытия ещё 14 400 отечественных металлорежущих станков и 4247 — импортных. По сути, станочный парк I ГУ должен был более чем удвоиться! (12011).</w:t>
      </w:r>
    </w:p>
    <w:p w14:paraId="75AB771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0410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август 1940:</w:t>
      </w:r>
    </w:p>
    <w:p w14:paraId="0CEBC87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Отгрузка НКАП материалов и изделий па август 1940 г. (ГА РФ. Ф. 8007. </w:t>
      </w:r>
      <w:r w:rsidRPr="00DB5D0D">
        <w:rPr>
          <w:rFonts w:ascii="Times New Roman" w:hAnsi="Times New Roman"/>
          <w:color w:val="000000" w:themeColor="text1"/>
          <w:sz w:val="16"/>
          <w:szCs w:val="16"/>
          <w:lang w:val="en-US"/>
        </w:rPr>
        <w:t>O</w:t>
      </w:r>
      <w:r w:rsidRPr="00DB5D0D">
        <w:rPr>
          <w:rFonts w:ascii="Times New Roman" w:hAnsi="Times New Roman"/>
          <w:color w:val="000000" w:themeColor="text1"/>
          <w:sz w:val="16"/>
          <w:szCs w:val="16"/>
        </w:rPr>
        <w:t>п1. Д. 27. Л.12 (приводится в сокращении)) (т.)</w:t>
      </w:r>
    </w:p>
    <w:tbl>
      <w:tblPr>
        <w:tblW w:w="0" w:type="auto"/>
        <w:tblInd w:w="8" w:type="dxa"/>
        <w:tblLayout w:type="fixed"/>
        <w:tblCellMar>
          <w:left w:w="0" w:type="dxa"/>
          <w:right w:w="0" w:type="dxa"/>
        </w:tblCellMar>
        <w:tblLook w:val="0000" w:firstRow="0" w:lastRow="0" w:firstColumn="0" w:lastColumn="0" w:noHBand="0" w:noVBand="0"/>
      </w:tblPr>
      <w:tblGrid>
        <w:gridCol w:w="2405"/>
        <w:gridCol w:w="1176"/>
        <w:gridCol w:w="1262"/>
        <w:gridCol w:w="1090"/>
      </w:tblGrid>
      <w:tr w:rsidR="007D5DF8" w:rsidRPr="00DB5D0D" w14:paraId="2616AC83" w14:textId="77777777" w:rsidTr="00E543D0">
        <w:trPr>
          <w:trHeight w:val="418"/>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4C77189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Ведомство изделие</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0FF7F1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Наряд на август</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35EB9F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Фактическая по</w:t>
            </w:r>
            <w:r w:rsidRPr="00DB5D0D">
              <w:rPr>
                <w:rFonts w:ascii="Times New Roman" w:hAnsi="Times New Roman"/>
                <w:color w:val="000000" w:themeColor="text1"/>
                <w:sz w:val="16"/>
                <w:szCs w:val="16"/>
              </w:rPr>
              <w:softHyphen/>
              <w:t>ставка в августе</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2B563A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плана (%)</w:t>
            </w:r>
          </w:p>
        </w:tc>
      </w:tr>
      <w:tr w:rsidR="007D5DF8" w:rsidRPr="00DB5D0D" w14:paraId="6AADA442" w14:textId="77777777" w:rsidTr="00E543D0">
        <w:trPr>
          <w:trHeight w:val="226"/>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4EE4DC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Наркомцветмет</w:t>
            </w:r>
          </w:p>
        </w:tc>
        <w:tc>
          <w:tcPr>
            <w:tcW w:w="3528" w:type="dxa"/>
            <w:gridSpan w:val="3"/>
            <w:tcBorders>
              <w:top w:val="single" w:sz="6" w:space="0" w:color="auto"/>
              <w:left w:val="single" w:sz="6" w:space="0" w:color="auto"/>
              <w:bottom w:val="single" w:sz="6" w:space="0" w:color="auto"/>
              <w:right w:val="single" w:sz="6" w:space="0" w:color="auto"/>
            </w:tcBorders>
            <w:shd w:val="clear" w:color="auto" w:fill="FFFFFF"/>
          </w:tcPr>
          <w:p w14:paraId="3CD8F7F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59A2616"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228356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Алюминий н цветной прокат</w:t>
            </w:r>
          </w:p>
        </w:tc>
        <w:tc>
          <w:tcPr>
            <w:tcW w:w="3528" w:type="dxa"/>
            <w:gridSpan w:val="3"/>
            <w:tcBorders>
              <w:top w:val="single" w:sz="6" w:space="0" w:color="auto"/>
              <w:left w:val="single" w:sz="6" w:space="0" w:color="auto"/>
              <w:bottom w:val="single" w:sz="6" w:space="0" w:color="auto"/>
              <w:right w:val="single" w:sz="6" w:space="0" w:color="auto"/>
            </w:tcBorders>
            <w:shd w:val="clear" w:color="auto" w:fill="FFFFFF"/>
          </w:tcPr>
          <w:p w14:paraId="239BA8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Удовлетворительно*</w:t>
            </w:r>
          </w:p>
        </w:tc>
      </w:tr>
      <w:tr w:rsidR="007D5DF8" w:rsidRPr="00DB5D0D" w14:paraId="0F53D094" w14:textId="77777777" w:rsidTr="00E543D0">
        <w:trPr>
          <w:trHeight w:val="226"/>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25B3D9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магний</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7FAA31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3F3CA69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4D01F7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1,5</w:t>
            </w:r>
          </w:p>
        </w:tc>
      </w:tr>
      <w:tr w:rsidR="007D5DF8" w:rsidRPr="00DB5D0D" w14:paraId="6385747D"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1D75880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Сплав МА-6</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40F001E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5284FB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2AA1F7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w:t>
            </w:r>
          </w:p>
        </w:tc>
      </w:tr>
      <w:tr w:rsidR="007D5DF8" w:rsidRPr="00DB5D0D" w14:paraId="3221F21E"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11D2C6F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Наркомчермет</w:t>
            </w:r>
          </w:p>
        </w:tc>
        <w:tc>
          <w:tcPr>
            <w:tcW w:w="3528" w:type="dxa"/>
            <w:gridSpan w:val="3"/>
            <w:tcBorders>
              <w:top w:val="single" w:sz="6" w:space="0" w:color="auto"/>
              <w:left w:val="single" w:sz="6" w:space="0" w:color="auto"/>
              <w:bottom w:val="single" w:sz="6" w:space="0" w:color="auto"/>
              <w:right w:val="single" w:sz="6" w:space="0" w:color="auto"/>
            </w:tcBorders>
            <w:shd w:val="clear" w:color="auto" w:fill="FFFFFF"/>
          </w:tcPr>
          <w:p w14:paraId="5E27A64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5F9B9C74"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5B522E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Сталь быстрорежущая</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7AE0407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0816492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4,9</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A007B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16</w:t>
            </w:r>
          </w:p>
        </w:tc>
      </w:tr>
      <w:tr w:rsidR="007D5DF8" w:rsidRPr="00DB5D0D" w14:paraId="7ABED989"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6FCDF49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Заменители быстрорежущей стали</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4B2C44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7C3E7DB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46,5</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046A3D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63</w:t>
            </w:r>
          </w:p>
        </w:tc>
      </w:tr>
      <w:tr w:rsidR="007D5DF8" w:rsidRPr="00DB5D0D" w14:paraId="1431522C" w14:textId="77777777" w:rsidTr="00E543D0">
        <w:trPr>
          <w:trHeight w:val="226"/>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06AC54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Сортамент нержавеющий</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1C3E3C6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1A9F0B0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56,8</w:t>
            </w:r>
          </w:p>
        </w:tc>
        <w:tc>
          <w:tcPr>
            <w:tcW w:w="1090" w:type="dxa"/>
            <w:tcBorders>
              <w:top w:val="single" w:sz="6" w:space="0" w:color="auto"/>
              <w:left w:val="single" w:sz="6" w:space="0" w:color="auto"/>
              <w:bottom w:val="nil"/>
              <w:right w:val="single" w:sz="6" w:space="0" w:color="auto"/>
            </w:tcBorders>
            <w:shd w:val="clear" w:color="auto" w:fill="FFFFFF"/>
          </w:tcPr>
          <w:p w14:paraId="6277422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45</w:t>
            </w:r>
          </w:p>
        </w:tc>
      </w:tr>
      <w:tr w:rsidR="007D5DF8" w:rsidRPr="00DB5D0D" w14:paraId="5E124E08"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432A157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Лист нержавеющий</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4086218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64</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74C184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29,4</w:t>
            </w:r>
          </w:p>
        </w:tc>
        <w:tc>
          <w:tcPr>
            <w:tcW w:w="1090" w:type="dxa"/>
            <w:tcBorders>
              <w:top w:val="nil"/>
              <w:left w:val="single" w:sz="6" w:space="0" w:color="auto"/>
              <w:bottom w:val="single" w:sz="6" w:space="0" w:color="auto"/>
              <w:right w:val="single" w:sz="6" w:space="0" w:color="auto"/>
            </w:tcBorders>
            <w:shd w:val="clear" w:color="auto" w:fill="FFFFFF"/>
          </w:tcPr>
          <w:p w14:paraId="3F05D6E8"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F41492F"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7F487B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Калибровка элепролегированнаа</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1AAD00C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389</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7A035A2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137,9</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6DA6B38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35</w:t>
            </w:r>
          </w:p>
        </w:tc>
      </w:tr>
      <w:tr w:rsidR="007D5DF8" w:rsidRPr="00DB5D0D" w14:paraId="1F8C7B79" w14:textId="77777777" w:rsidTr="00E543D0">
        <w:trPr>
          <w:trHeight w:val="226"/>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76A16A8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марганец</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298006A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2F8BC6E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20595E8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3D2700E0"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6B6992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Нартюимпром</w:t>
            </w:r>
          </w:p>
        </w:tc>
        <w:tc>
          <w:tcPr>
            <w:tcW w:w="3528" w:type="dxa"/>
            <w:gridSpan w:val="3"/>
            <w:tcBorders>
              <w:top w:val="single" w:sz="6" w:space="0" w:color="auto"/>
              <w:left w:val="single" w:sz="6" w:space="0" w:color="auto"/>
              <w:bottom w:val="single" w:sz="6" w:space="0" w:color="auto"/>
              <w:right w:val="single" w:sz="6" w:space="0" w:color="auto"/>
            </w:tcBorders>
            <w:shd w:val="clear" w:color="auto" w:fill="FFFFFF"/>
          </w:tcPr>
          <w:p w14:paraId="4C1E3012"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EB08531"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1C595F2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Сплав МА-6</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2BA423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52F1BDA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F05DB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53D1BE24"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14F286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Сплав МА-3</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373157C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7B00314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170149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32BE5824" w14:textId="77777777" w:rsidTr="00E543D0">
        <w:trPr>
          <w:trHeight w:val="226"/>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30783F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Медно-асбестовые прокладки (тк)</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101B67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510000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064B4E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31550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21B0C9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0,006</w:t>
            </w:r>
          </w:p>
        </w:tc>
      </w:tr>
      <w:tr w:rsidR="007D5DF8" w:rsidRPr="00DB5D0D" w14:paraId="720002F6"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4B4836C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Эбонит листовой</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2C69E7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8,5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75DB56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7A9645C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12,5</w:t>
            </w:r>
          </w:p>
        </w:tc>
      </w:tr>
      <w:tr w:rsidR="007D5DF8" w:rsidRPr="00DB5D0D" w14:paraId="4711C401"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057E9A9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Наркомэлепропром</w:t>
            </w:r>
          </w:p>
        </w:tc>
        <w:tc>
          <w:tcPr>
            <w:tcW w:w="3528" w:type="dxa"/>
            <w:gridSpan w:val="3"/>
            <w:tcBorders>
              <w:top w:val="single" w:sz="6" w:space="0" w:color="auto"/>
              <w:left w:val="single" w:sz="6" w:space="0" w:color="auto"/>
              <w:bottom w:val="single" w:sz="6" w:space="0" w:color="auto"/>
              <w:right w:val="single" w:sz="6" w:space="0" w:color="auto"/>
            </w:tcBorders>
            <w:shd w:val="clear" w:color="auto" w:fill="FFFFFF"/>
          </w:tcPr>
          <w:p w14:paraId="64FC889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3EA06F76" w14:textId="77777777" w:rsidTr="00E543D0">
        <w:trPr>
          <w:trHeight w:val="221"/>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0F99337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Гегяшсс</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0357C1D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58B4CA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0,97</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2AD4BE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10,7</w:t>
            </w:r>
          </w:p>
        </w:tc>
      </w:tr>
      <w:tr w:rsidR="007D5DF8" w:rsidRPr="00DB5D0D" w14:paraId="5597750D" w14:textId="77777777" w:rsidTr="00E543D0">
        <w:trPr>
          <w:trHeight w:val="240"/>
        </w:trPr>
        <w:tc>
          <w:tcPr>
            <w:tcW w:w="2405" w:type="dxa"/>
            <w:tcBorders>
              <w:top w:val="single" w:sz="6" w:space="0" w:color="auto"/>
              <w:left w:val="single" w:sz="6" w:space="0" w:color="auto"/>
              <w:bottom w:val="single" w:sz="6" w:space="0" w:color="auto"/>
              <w:right w:val="single" w:sz="6" w:space="0" w:color="auto"/>
            </w:tcBorders>
            <w:shd w:val="clear" w:color="auto" w:fill="FFFFFF"/>
          </w:tcPr>
          <w:p w14:paraId="2BE0DC1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Текстолит</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6C67DF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1,1</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6800C07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0,141</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7FE37F4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12,8</w:t>
            </w:r>
          </w:p>
        </w:tc>
      </w:tr>
    </w:tbl>
    <w:p w14:paraId="2E726A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Так в тексте.</w:t>
      </w:r>
    </w:p>
    <w:p w14:paraId="765AADD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Как видим, по ряду важнейших для авиавыпуска позиций заявка авиапрома выполнялась на 5—10 % (12011).</w:t>
      </w:r>
    </w:p>
    <w:p w14:paraId="0FCBF16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DF84C8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w:t>
      </w:r>
      <w:r w:rsidRPr="00DB5D0D">
        <w:rPr>
          <w:rFonts w:ascii="Times New Roman" w:hAnsi="Times New Roman"/>
          <w:color w:val="000000" w:themeColor="text1"/>
          <w:sz w:val="16"/>
          <w:szCs w:val="16"/>
        </w:rPr>
        <w:softHyphen/>
        <w:t xml:space="preserve">сте 1940 г. ситуация с алюминием и магнием, на первый взгляд, начала улучшаться (ГА РФ. Ф. 8007.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xml:space="preserve"> 1. Д. 27. Л. 56.). Положение с клю</w:t>
      </w:r>
      <w:r w:rsidRPr="00DB5D0D">
        <w:rPr>
          <w:rFonts w:ascii="Times New Roman" w:hAnsi="Times New Roman"/>
          <w:color w:val="000000" w:themeColor="text1"/>
          <w:sz w:val="16"/>
          <w:szCs w:val="16"/>
        </w:rPr>
        <w:softHyphen/>
        <w:t>чевым для авиастроения сырьём и полуфабрикатами нака</w:t>
      </w:r>
      <w:r w:rsidRPr="00DB5D0D">
        <w:rPr>
          <w:rFonts w:ascii="Times New Roman" w:hAnsi="Times New Roman"/>
          <w:color w:val="000000" w:themeColor="text1"/>
          <w:sz w:val="16"/>
          <w:szCs w:val="16"/>
        </w:rPr>
        <w:softHyphen/>
        <w:t xml:space="preserve">нуне войны было далеко от идеального. Так, из положенных в 1-м квартале НКАПу 10000 т. дюралюминиевого проката, реально было поставлено лишь 7307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401. Л. 77), причём основным ли</w:t>
      </w:r>
      <w:r w:rsidRPr="00DB5D0D">
        <w:rPr>
          <w:rFonts w:ascii="Times New Roman" w:hAnsi="Times New Roman"/>
          <w:color w:val="000000" w:themeColor="text1"/>
          <w:sz w:val="16"/>
          <w:szCs w:val="16"/>
        </w:rPr>
        <w:softHyphen/>
        <w:t>митирующим выпуск дюралюминия фактором была именно нехватка алюминия. Например, ведущее предприятие по дю</w:t>
      </w:r>
      <w:r w:rsidRPr="00DB5D0D">
        <w:rPr>
          <w:rFonts w:ascii="Times New Roman" w:hAnsi="Times New Roman"/>
          <w:color w:val="000000" w:themeColor="text1"/>
          <w:sz w:val="16"/>
          <w:szCs w:val="16"/>
        </w:rPr>
        <w:softHyphen/>
        <w:t>ралюминиевому литью — завод № 95 — в январе 1940 г. по</w:t>
      </w:r>
      <w:r w:rsidRPr="00DB5D0D">
        <w:rPr>
          <w:rFonts w:ascii="Times New Roman" w:hAnsi="Times New Roman"/>
          <w:color w:val="000000" w:themeColor="text1"/>
          <w:sz w:val="16"/>
          <w:szCs w:val="16"/>
        </w:rPr>
        <w:softHyphen/>
        <w:t>лучил лишь 69 % от потребного количества алюминия, а в феврале ещё меньше — 54,5</w:t>
      </w:r>
      <w:r w:rsidRPr="00DB5D0D">
        <w:rPr>
          <w:rFonts w:ascii="Times New Roman" w:hAnsi="Times New Roman"/>
          <w:iCs/>
          <w:color w:val="000000" w:themeColor="text1"/>
          <w:sz w:val="16"/>
          <w:szCs w:val="16"/>
        </w:rPr>
        <w:t xml:space="preserve"> % (</w:t>
      </w:r>
      <w:r w:rsidRPr="00DB5D0D">
        <w:rPr>
          <w:rFonts w:ascii="Times New Roman" w:hAnsi="Times New Roman"/>
          <w:color w:val="000000" w:themeColor="text1"/>
          <w:sz w:val="16"/>
          <w:szCs w:val="16"/>
        </w:rPr>
        <w:t xml:space="preserve">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401. Л. 36</w:t>
      </w:r>
      <w:r w:rsidRPr="00DB5D0D">
        <w:rPr>
          <w:rFonts w:ascii="Times New Roman" w:hAnsi="Times New Roman"/>
          <w:iCs/>
          <w:color w:val="000000" w:themeColor="text1"/>
          <w:sz w:val="16"/>
          <w:szCs w:val="16"/>
        </w:rPr>
        <w:t>). К</w:t>
      </w:r>
      <w:r w:rsidRPr="00DB5D0D">
        <w:rPr>
          <w:rFonts w:ascii="Times New Roman" w:hAnsi="Times New Roman"/>
          <w:color w:val="000000" w:themeColor="text1"/>
          <w:sz w:val="16"/>
          <w:szCs w:val="16"/>
        </w:rPr>
        <w:t xml:space="preserve"> этому же периоду относят</w:t>
      </w:r>
      <w:r w:rsidRPr="00DB5D0D">
        <w:rPr>
          <w:rFonts w:ascii="Times New Roman" w:hAnsi="Times New Roman"/>
          <w:color w:val="000000" w:themeColor="text1"/>
          <w:sz w:val="16"/>
          <w:szCs w:val="16"/>
        </w:rPr>
        <w:softHyphen/>
        <w:t xml:space="preserve">ся многочисленные жалобы на Днепропетровский магниевый завод, который «систематически срывает поставки» (РГАЭ. Ф. 8044. </w:t>
      </w:r>
      <w:r w:rsidRPr="00DB5D0D">
        <w:rPr>
          <w:rFonts w:ascii="Times New Roman" w:hAnsi="Times New Roman"/>
          <w:color w:val="000000" w:themeColor="text1"/>
          <w:sz w:val="16"/>
          <w:szCs w:val="16"/>
          <w:lang w:val="en-US"/>
        </w:rPr>
        <w:t>On</w:t>
      </w:r>
      <w:r w:rsidRPr="00DB5D0D">
        <w:rPr>
          <w:rFonts w:ascii="Times New Roman" w:hAnsi="Times New Roman"/>
          <w:color w:val="000000" w:themeColor="text1"/>
          <w:sz w:val="16"/>
          <w:szCs w:val="16"/>
        </w:rPr>
        <w:t>. 1. Д. 408. Л. 10).</w:t>
      </w:r>
    </w:p>
    <w:p w14:paraId="599D215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Отгрузка алюминия НКАПу в августе 1940 г. (т.)</w:t>
      </w:r>
    </w:p>
    <w:tbl>
      <w:tblPr>
        <w:tblW w:w="0" w:type="auto"/>
        <w:tblInd w:w="8" w:type="dxa"/>
        <w:tblLayout w:type="fixed"/>
        <w:tblCellMar>
          <w:left w:w="0" w:type="dxa"/>
          <w:right w:w="0" w:type="dxa"/>
        </w:tblCellMar>
        <w:tblLook w:val="0000" w:firstRow="0" w:lastRow="0" w:firstColumn="0" w:lastColumn="0" w:noHBand="0" w:noVBand="0"/>
      </w:tblPr>
      <w:tblGrid>
        <w:gridCol w:w="1843"/>
        <w:gridCol w:w="1099"/>
        <w:gridCol w:w="1498"/>
        <w:gridCol w:w="1488"/>
      </w:tblGrid>
      <w:tr w:rsidR="007D5DF8" w:rsidRPr="00DB5D0D" w14:paraId="5D10CC94" w14:textId="77777777" w:rsidTr="00E543D0">
        <w:trPr>
          <w:trHeight w:val="427"/>
        </w:trPr>
        <w:tc>
          <w:tcPr>
            <w:tcW w:w="1843" w:type="dxa"/>
            <w:tcBorders>
              <w:top w:val="single" w:sz="6" w:space="0" w:color="auto"/>
              <w:left w:val="single" w:sz="6" w:space="0" w:color="auto"/>
              <w:bottom w:val="single" w:sz="6" w:space="0" w:color="auto"/>
              <w:right w:val="single" w:sz="6" w:space="0" w:color="auto"/>
            </w:tcBorders>
            <w:shd w:val="clear" w:color="auto" w:fill="FFFFFF"/>
          </w:tcPr>
          <w:p w14:paraId="7C153DA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Завод</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5EB263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Наряд на август</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3925808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Фактически поставлено в августе</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6EC029C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Выполнение задания (%)</w:t>
            </w:r>
          </w:p>
        </w:tc>
      </w:tr>
      <w:tr w:rsidR="007D5DF8" w:rsidRPr="00DB5D0D" w14:paraId="62CF6CF7" w14:textId="77777777" w:rsidTr="00E543D0">
        <w:trPr>
          <w:trHeight w:val="221"/>
        </w:trPr>
        <w:tc>
          <w:tcPr>
            <w:tcW w:w="1843" w:type="dxa"/>
            <w:tcBorders>
              <w:top w:val="single" w:sz="6" w:space="0" w:color="auto"/>
              <w:left w:val="single" w:sz="6" w:space="0" w:color="auto"/>
              <w:bottom w:val="single" w:sz="6" w:space="0" w:color="auto"/>
              <w:right w:val="single" w:sz="6" w:space="0" w:color="auto"/>
            </w:tcBorders>
            <w:shd w:val="clear" w:color="auto" w:fill="FFFFFF"/>
          </w:tcPr>
          <w:p w14:paraId="688536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Днепровский алюминиевый</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98DE2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3240</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332900C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3093,14</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4710992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w:t>
            </w:r>
          </w:p>
        </w:tc>
      </w:tr>
      <w:tr w:rsidR="007D5DF8" w:rsidRPr="00DB5D0D" w14:paraId="1742A01E" w14:textId="77777777" w:rsidTr="00E543D0">
        <w:trPr>
          <w:trHeight w:val="221"/>
        </w:trPr>
        <w:tc>
          <w:tcPr>
            <w:tcW w:w="1843" w:type="dxa"/>
            <w:tcBorders>
              <w:top w:val="single" w:sz="6" w:space="0" w:color="auto"/>
              <w:left w:val="single" w:sz="6" w:space="0" w:color="auto"/>
              <w:bottom w:val="single" w:sz="6" w:space="0" w:color="auto"/>
              <w:right w:val="single" w:sz="6" w:space="0" w:color="auto"/>
            </w:tcBorders>
            <w:shd w:val="clear" w:color="auto" w:fill="FFFFFF"/>
          </w:tcPr>
          <w:p w14:paraId="4A9421B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Волховский алюминиевый</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FDF199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738</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1CE680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689</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51DFF1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71866490" w14:textId="77777777" w:rsidTr="00E543D0">
        <w:trPr>
          <w:trHeight w:val="226"/>
        </w:trPr>
        <w:tc>
          <w:tcPr>
            <w:tcW w:w="1843" w:type="dxa"/>
            <w:tcBorders>
              <w:top w:val="single" w:sz="6" w:space="0" w:color="auto"/>
              <w:left w:val="single" w:sz="6" w:space="0" w:color="auto"/>
              <w:bottom w:val="single" w:sz="6" w:space="0" w:color="auto"/>
              <w:right w:val="single" w:sz="6" w:space="0" w:color="auto"/>
            </w:tcBorders>
            <w:shd w:val="clear" w:color="auto" w:fill="FFFFFF"/>
          </w:tcPr>
          <w:p w14:paraId="720555F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Уральский алюминиевый</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1BFF85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1242</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4CA6F5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1246,5</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3C17A0F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1003</w:t>
            </w:r>
          </w:p>
        </w:tc>
      </w:tr>
      <w:tr w:rsidR="007D5DF8" w:rsidRPr="00DB5D0D" w14:paraId="05163E38" w14:textId="77777777" w:rsidTr="00E543D0">
        <w:trPr>
          <w:trHeight w:val="240"/>
        </w:trPr>
        <w:tc>
          <w:tcPr>
            <w:tcW w:w="1843" w:type="dxa"/>
            <w:tcBorders>
              <w:top w:val="single" w:sz="6" w:space="0" w:color="auto"/>
              <w:left w:val="single" w:sz="6" w:space="0" w:color="auto"/>
              <w:bottom w:val="single" w:sz="6" w:space="0" w:color="auto"/>
              <w:right w:val="single" w:sz="6" w:space="0" w:color="auto"/>
            </w:tcBorders>
            <w:shd w:val="clear" w:color="auto" w:fill="FFFFFF"/>
          </w:tcPr>
          <w:p w14:paraId="4BCCE3C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Веете</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E4BC9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5220</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0C8881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5028,64</w:t>
            </w:r>
          </w:p>
        </w:tc>
        <w:tc>
          <w:tcPr>
            <w:tcW w:w="1488" w:type="dxa"/>
            <w:tcBorders>
              <w:top w:val="single" w:sz="6" w:space="0" w:color="auto"/>
              <w:left w:val="single" w:sz="6" w:space="0" w:color="auto"/>
              <w:bottom w:val="single" w:sz="6" w:space="0" w:color="auto"/>
              <w:right w:val="single" w:sz="6" w:space="0" w:color="auto"/>
            </w:tcBorders>
            <w:shd w:val="clear" w:color="auto" w:fill="FFFFFF"/>
          </w:tcPr>
          <w:p w14:paraId="6BD9296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963</w:t>
            </w:r>
          </w:p>
        </w:tc>
      </w:tr>
    </w:tbl>
    <w:p w14:paraId="415DB01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Вроде бы положение вещей внушало оптимизм. Однако с поставками прочих необходимых для производства дюралю</w:t>
      </w:r>
      <w:r w:rsidRPr="00DB5D0D">
        <w:rPr>
          <w:rFonts w:ascii="Times New Roman" w:hAnsi="Times New Roman"/>
          <w:color w:val="000000" w:themeColor="text1"/>
          <w:sz w:val="16"/>
          <w:szCs w:val="16"/>
        </w:rPr>
        <w:softHyphen/>
        <w:t>миния материалов дело обстояло далек не столь радужно.</w:t>
      </w:r>
    </w:p>
    <w:p w14:paraId="4239B36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Поставка магния и сопутствующих материалов в августе 1940 г.</w:t>
      </w:r>
    </w:p>
    <w:tbl>
      <w:tblPr>
        <w:tblW w:w="0" w:type="auto"/>
        <w:tblInd w:w="8" w:type="dxa"/>
        <w:tblLayout w:type="fixed"/>
        <w:tblCellMar>
          <w:left w:w="0" w:type="dxa"/>
          <w:right w:w="0" w:type="dxa"/>
        </w:tblCellMar>
        <w:tblLook w:val="0000" w:firstRow="0" w:lastRow="0" w:firstColumn="0" w:lastColumn="0" w:noHBand="0" w:noVBand="0"/>
      </w:tblPr>
      <w:tblGrid>
        <w:gridCol w:w="1234"/>
        <w:gridCol w:w="1406"/>
        <w:gridCol w:w="1118"/>
        <w:gridCol w:w="2150"/>
      </w:tblGrid>
      <w:tr w:rsidR="007D5DF8" w:rsidRPr="00DB5D0D" w14:paraId="44133771" w14:textId="77777777" w:rsidTr="00E543D0">
        <w:trPr>
          <w:trHeight w:val="235"/>
        </w:trPr>
        <w:tc>
          <w:tcPr>
            <w:tcW w:w="1234" w:type="dxa"/>
            <w:tcBorders>
              <w:top w:val="single" w:sz="6" w:space="0" w:color="auto"/>
              <w:left w:val="single" w:sz="6" w:space="0" w:color="auto"/>
              <w:bottom w:val="single" w:sz="6" w:space="0" w:color="auto"/>
              <w:right w:val="single" w:sz="6" w:space="0" w:color="auto"/>
            </w:tcBorders>
            <w:shd w:val="clear" w:color="auto" w:fill="FFFFFF"/>
          </w:tcPr>
          <w:p w14:paraId="3AA46E1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3авод</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14:paraId="511FD2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Продукция</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14:paraId="4CCEEB2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Наряд на август</w:t>
            </w:r>
          </w:p>
        </w:tc>
        <w:tc>
          <w:tcPr>
            <w:tcW w:w="2150" w:type="dxa"/>
            <w:tcBorders>
              <w:top w:val="single" w:sz="6" w:space="0" w:color="auto"/>
              <w:left w:val="single" w:sz="6" w:space="0" w:color="auto"/>
              <w:bottom w:val="single" w:sz="6" w:space="0" w:color="auto"/>
              <w:right w:val="single" w:sz="6" w:space="0" w:color="auto"/>
            </w:tcBorders>
            <w:shd w:val="clear" w:color="auto" w:fill="FFFFFF"/>
          </w:tcPr>
          <w:p w14:paraId="39210D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Фактическая поставка в августе</w:t>
            </w:r>
          </w:p>
        </w:tc>
      </w:tr>
      <w:tr w:rsidR="007D5DF8" w:rsidRPr="00DB5D0D" w14:paraId="760E9A1D" w14:textId="77777777" w:rsidTr="00E543D0">
        <w:trPr>
          <w:trHeight w:val="226"/>
        </w:trPr>
        <w:tc>
          <w:tcPr>
            <w:tcW w:w="1234" w:type="dxa"/>
            <w:tcBorders>
              <w:top w:val="single" w:sz="6" w:space="0" w:color="auto"/>
              <w:left w:val="single" w:sz="6" w:space="0" w:color="auto"/>
              <w:bottom w:val="nil"/>
              <w:right w:val="single" w:sz="6" w:space="0" w:color="auto"/>
            </w:tcBorders>
            <w:shd w:val="clear" w:color="auto" w:fill="FFFFFF"/>
          </w:tcPr>
          <w:p w14:paraId="3042BE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Днепровский алюминиевый</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14:paraId="0BA13C2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магний</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14:paraId="438DF83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60</w:t>
            </w:r>
          </w:p>
        </w:tc>
        <w:tc>
          <w:tcPr>
            <w:tcW w:w="2150" w:type="dxa"/>
            <w:tcBorders>
              <w:top w:val="single" w:sz="6" w:space="0" w:color="auto"/>
              <w:left w:val="single" w:sz="6" w:space="0" w:color="auto"/>
              <w:bottom w:val="single" w:sz="6" w:space="0" w:color="auto"/>
              <w:right w:val="single" w:sz="6" w:space="0" w:color="auto"/>
            </w:tcBorders>
            <w:shd w:val="clear" w:color="auto" w:fill="FFFFFF"/>
          </w:tcPr>
          <w:p w14:paraId="3878317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w:t>
            </w:r>
          </w:p>
        </w:tc>
      </w:tr>
      <w:tr w:rsidR="007D5DF8" w:rsidRPr="00DB5D0D" w14:paraId="1D99275B" w14:textId="77777777" w:rsidTr="00E543D0">
        <w:trPr>
          <w:trHeight w:val="221"/>
        </w:trPr>
        <w:tc>
          <w:tcPr>
            <w:tcW w:w="1234" w:type="dxa"/>
            <w:tcBorders>
              <w:top w:val="nil"/>
              <w:left w:val="single" w:sz="6" w:space="0" w:color="auto"/>
              <w:bottom w:val="single" w:sz="6" w:space="0" w:color="auto"/>
              <w:right w:val="single" w:sz="6" w:space="0" w:color="auto"/>
            </w:tcBorders>
            <w:shd w:val="clear" w:color="auto" w:fill="FFFFFF"/>
          </w:tcPr>
          <w:p w14:paraId="293B3C5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6" w:type="dxa"/>
            <w:tcBorders>
              <w:top w:val="single" w:sz="6" w:space="0" w:color="auto"/>
              <w:left w:val="single" w:sz="6" w:space="0" w:color="auto"/>
              <w:bottom w:val="single" w:sz="6" w:space="0" w:color="auto"/>
              <w:right w:val="single" w:sz="6" w:space="0" w:color="auto"/>
            </w:tcBorders>
            <w:shd w:val="clear" w:color="auto" w:fill="FFFFFF"/>
          </w:tcPr>
          <w:p w14:paraId="60871F3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сплав МА6</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14:paraId="3AC6392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200</w:t>
            </w:r>
          </w:p>
        </w:tc>
        <w:tc>
          <w:tcPr>
            <w:tcW w:w="2150" w:type="dxa"/>
            <w:tcBorders>
              <w:top w:val="single" w:sz="6" w:space="0" w:color="auto"/>
              <w:left w:val="single" w:sz="6" w:space="0" w:color="auto"/>
              <w:bottom w:val="single" w:sz="6" w:space="0" w:color="auto"/>
              <w:right w:val="single" w:sz="6" w:space="0" w:color="auto"/>
            </w:tcBorders>
            <w:shd w:val="clear" w:color="auto" w:fill="FFFFFF"/>
          </w:tcPr>
          <w:p w14:paraId="618A9C4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73,16</w:t>
            </w:r>
          </w:p>
        </w:tc>
      </w:tr>
      <w:tr w:rsidR="007D5DF8" w:rsidRPr="00DB5D0D" w14:paraId="10D4957C" w14:textId="77777777" w:rsidTr="00E543D0">
        <w:trPr>
          <w:trHeight w:val="226"/>
        </w:trPr>
        <w:tc>
          <w:tcPr>
            <w:tcW w:w="1234" w:type="dxa"/>
            <w:tcBorders>
              <w:top w:val="single" w:sz="6" w:space="0" w:color="auto"/>
              <w:left w:val="single" w:sz="6" w:space="0" w:color="auto"/>
              <w:bottom w:val="nil"/>
              <w:right w:val="single" w:sz="6" w:space="0" w:color="auto"/>
            </w:tcBorders>
            <w:shd w:val="clear" w:color="auto" w:fill="FFFFFF"/>
          </w:tcPr>
          <w:p w14:paraId="17879B5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Соликамский калиевый</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14:paraId="485E09F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магний</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14:paraId="5AB0B0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240</w:t>
            </w:r>
          </w:p>
        </w:tc>
        <w:tc>
          <w:tcPr>
            <w:tcW w:w="2150" w:type="dxa"/>
            <w:tcBorders>
              <w:top w:val="single" w:sz="6" w:space="0" w:color="auto"/>
              <w:left w:val="single" w:sz="6" w:space="0" w:color="auto"/>
              <w:bottom w:val="single" w:sz="6" w:space="0" w:color="auto"/>
              <w:right w:val="single" w:sz="6" w:space="0" w:color="auto"/>
            </w:tcBorders>
            <w:shd w:val="clear" w:color="auto" w:fill="FFFFFF"/>
          </w:tcPr>
          <w:p w14:paraId="477C910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57,7</w:t>
            </w:r>
          </w:p>
        </w:tc>
      </w:tr>
      <w:tr w:rsidR="007D5DF8" w:rsidRPr="00DB5D0D" w14:paraId="082FB01E" w14:textId="77777777" w:rsidTr="00E543D0">
        <w:trPr>
          <w:trHeight w:val="216"/>
        </w:trPr>
        <w:tc>
          <w:tcPr>
            <w:tcW w:w="1234" w:type="dxa"/>
            <w:tcBorders>
              <w:top w:val="nil"/>
              <w:left w:val="single" w:sz="6" w:space="0" w:color="auto"/>
              <w:bottom w:val="nil"/>
              <w:right w:val="single" w:sz="6" w:space="0" w:color="auto"/>
            </w:tcBorders>
            <w:shd w:val="clear" w:color="auto" w:fill="FFFFFF"/>
          </w:tcPr>
          <w:p w14:paraId="467764A7"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6" w:type="dxa"/>
            <w:tcBorders>
              <w:top w:val="single" w:sz="6" w:space="0" w:color="auto"/>
              <w:left w:val="single" w:sz="6" w:space="0" w:color="auto"/>
              <w:bottom w:val="single" w:sz="6" w:space="0" w:color="auto"/>
              <w:right w:val="single" w:sz="6" w:space="0" w:color="auto"/>
            </w:tcBorders>
            <w:shd w:val="clear" w:color="auto" w:fill="FFFFFF"/>
          </w:tcPr>
          <w:p w14:paraId="6D5D33C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сплав МА6</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14:paraId="2B9772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193</w:t>
            </w:r>
          </w:p>
        </w:tc>
        <w:tc>
          <w:tcPr>
            <w:tcW w:w="2150" w:type="dxa"/>
            <w:tcBorders>
              <w:top w:val="single" w:sz="6" w:space="0" w:color="auto"/>
              <w:left w:val="single" w:sz="6" w:space="0" w:color="auto"/>
              <w:bottom w:val="single" w:sz="6" w:space="0" w:color="auto"/>
              <w:right w:val="single" w:sz="6" w:space="0" w:color="auto"/>
            </w:tcBorders>
            <w:shd w:val="clear" w:color="auto" w:fill="FFFFFF"/>
          </w:tcPr>
          <w:p w14:paraId="6C049E0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72CC0ED0" w14:textId="77777777" w:rsidTr="00E543D0">
        <w:trPr>
          <w:trHeight w:val="226"/>
        </w:trPr>
        <w:tc>
          <w:tcPr>
            <w:tcW w:w="1234" w:type="dxa"/>
            <w:tcBorders>
              <w:top w:val="nil"/>
              <w:left w:val="single" w:sz="6" w:space="0" w:color="auto"/>
              <w:bottom w:val="single" w:sz="6" w:space="0" w:color="auto"/>
              <w:right w:val="single" w:sz="6" w:space="0" w:color="auto"/>
            </w:tcBorders>
            <w:shd w:val="clear" w:color="auto" w:fill="FFFFFF"/>
          </w:tcPr>
          <w:p w14:paraId="2884114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406" w:type="dxa"/>
            <w:tcBorders>
              <w:top w:val="single" w:sz="6" w:space="0" w:color="auto"/>
              <w:left w:val="single" w:sz="6" w:space="0" w:color="auto"/>
              <w:bottom w:val="single" w:sz="6" w:space="0" w:color="auto"/>
              <w:right w:val="single" w:sz="6" w:space="0" w:color="auto"/>
            </w:tcBorders>
            <w:shd w:val="clear" w:color="auto" w:fill="FFFFFF"/>
          </w:tcPr>
          <w:p w14:paraId="6D982C0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сплав МА3</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14:paraId="01DE1B2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2150" w:type="dxa"/>
            <w:tcBorders>
              <w:top w:val="single" w:sz="6" w:space="0" w:color="auto"/>
              <w:left w:val="single" w:sz="6" w:space="0" w:color="auto"/>
              <w:bottom w:val="single" w:sz="6" w:space="0" w:color="auto"/>
              <w:right w:val="single" w:sz="6" w:space="0" w:color="auto"/>
            </w:tcBorders>
            <w:shd w:val="clear" w:color="auto" w:fill="FFFFFF"/>
          </w:tcPr>
          <w:p w14:paraId="40C5795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r w:rsidR="007D5DF8" w:rsidRPr="00DB5D0D" w14:paraId="11F9A814" w14:textId="77777777" w:rsidTr="00E543D0">
        <w:trPr>
          <w:trHeight w:val="432"/>
        </w:trPr>
        <w:tc>
          <w:tcPr>
            <w:tcW w:w="1234" w:type="dxa"/>
            <w:tcBorders>
              <w:top w:val="single" w:sz="6" w:space="0" w:color="auto"/>
              <w:left w:val="single" w:sz="6" w:space="0" w:color="auto"/>
              <w:bottom w:val="single" w:sz="6" w:space="0" w:color="auto"/>
              <w:right w:val="single" w:sz="6" w:space="0" w:color="auto"/>
            </w:tcBorders>
            <w:shd w:val="clear" w:color="auto" w:fill="FFFFFF"/>
          </w:tcPr>
          <w:p w14:paraId="1961321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Зестафонский завод ферро-сплавов</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14:paraId="40CC090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Марганец</w:t>
            </w:r>
          </w:p>
        </w:tc>
        <w:tc>
          <w:tcPr>
            <w:tcW w:w="1118" w:type="dxa"/>
            <w:tcBorders>
              <w:top w:val="single" w:sz="6" w:space="0" w:color="auto"/>
              <w:left w:val="single" w:sz="6" w:space="0" w:color="auto"/>
              <w:bottom w:val="single" w:sz="6" w:space="0" w:color="auto"/>
              <w:right w:val="single" w:sz="6" w:space="0" w:color="auto"/>
            </w:tcBorders>
            <w:shd w:val="clear" w:color="auto" w:fill="FFFFFF"/>
          </w:tcPr>
          <w:p w14:paraId="6E8430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50</w:t>
            </w:r>
          </w:p>
        </w:tc>
        <w:tc>
          <w:tcPr>
            <w:tcW w:w="2150" w:type="dxa"/>
            <w:tcBorders>
              <w:top w:val="single" w:sz="6" w:space="0" w:color="auto"/>
              <w:left w:val="single" w:sz="6" w:space="0" w:color="auto"/>
              <w:bottom w:val="single" w:sz="6" w:space="0" w:color="auto"/>
              <w:right w:val="single" w:sz="6" w:space="0" w:color="auto"/>
            </w:tcBorders>
            <w:shd w:val="clear" w:color="auto" w:fill="FFFFFF"/>
          </w:tcPr>
          <w:p w14:paraId="603FFDD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0</w:t>
            </w:r>
          </w:p>
        </w:tc>
      </w:tr>
    </w:tbl>
    <w:p w14:paraId="31B1B69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(12011).</w:t>
      </w:r>
    </w:p>
    <w:p w14:paraId="09B7C3D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DFB21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августа 1940 на полигоне з-да 80 проходили заводские испытания зажигательной авиабомбы 10 кг фонтанирующей ЗАБ-10 ф и зажигательной авиабомбы 10 кг фонтанирующей ЗАБ-50ф (7313, 12).</w:t>
      </w:r>
    </w:p>
    <w:p w14:paraId="45BF162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EC1F08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на НИП АВ в Евпатории закончились полигонные испытания фугасной авиабомбы в 1000 кг цельнокованого корпуса ФАБ-1000цк, которые проходили с октября 1939 (7313, 12).</w:t>
      </w:r>
    </w:p>
    <w:p w14:paraId="0134FF0E"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295C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августа 1940 на ЦХП в Вольске проходили полигонные испытания химического вооружения (ВАП-6М) на самолете И-153 и дымовой фосфорной бомбы (ХАБ-100) (7313, 12).</w:t>
      </w:r>
    </w:p>
    <w:p w14:paraId="72C6FA3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67A328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августа 1940 на Софринском артполигоне проходили полигонные испытания фугасной реактивной авиамины ФРАМ, взрывателя для реактивных снарядов АВ-89 (7313, 12).</w:t>
      </w:r>
    </w:p>
    <w:p w14:paraId="28F0319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1AB469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на НИП АВ проходили полигонные испытания фугасной авиабомбы в 500 кг цельнокованого корпуса ФАБ-500цк (7313, 12).</w:t>
      </w:r>
    </w:p>
    <w:p w14:paraId="42BF2B4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AEC0D4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на НИП АВ проходили заводские испытания бомбодержателя для пикирующих бомбардировщиков ПБ-5 (7313, 12).</w:t>
      </w:r>
    </w:p>
    <w:p w14:paraId="0CC5FF0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2D5D67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августа 1940 на НИП АВ проходили полигонные испытания фугасной авиабомбы в 250 кг цельнокованого корпуса ФАБ-250цк, фугасных авиабомб мгновенного действия с корпусом из целлюлозы ФАБ-250цл, упрощенной подвесной системы фугасных авиабомб весом в 50 и 100 кг (7313, 12).</w:t>
      </w:r>
    </w:p>
    <w:p w14:paraId="0092213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110665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на НИП АВ в соответствии с Приказом по ГУ ВВС № 058-40 г. прошли войсковые испытания посадочной пиротехнической ракеты весом 8 кг ПР-8 (7313, 12).</w:t>
      </w:r>
    </w:p>
    <w:p w14:paraId="6D31DB2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CB19FE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августа 1940 на НИП АВ проходили заводские испытания взрывателя к осколочным авиабомбам для штурмовой авиации АВ-2, механической дистанционной трубки ТМ-27, бомбодержателя для пикирующих бомбардировщиков модернизированные ПБ-7 (7313, 12).</w:t>
      </w:r>
    </w:p>
    <w:p w14:paraId="355030B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069C77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августа 1940 на Крымском авиаполигоне НКБ проходили полигонные испытания ротативно-рассеивающей авиабомб в габарите ФАБ-500 РРАБ-500 (7313, 12).</w:t>
      </w:r>
    </w:p>
    <w:p w14:paraId="55167BD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99F638"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в цехе аммиачной селитры Дненродзержинского азотно-тукового комбината впервые осколочные и фугасные авиабомбы калибрами 20, 50 и 100 кг снарядили методом непосредственной заливки расплавленного аммотола 80/20 (минуя получение сухой смеси). Такой способ снаряжания получил наименование ГБМГ по фамилиям группы разработчиков из НИИ-6 НКБ - Гельперина, Балашова, Межевникова и Горина Сплавы аммотола по своему фугасному действию приближались к тротилу, а установки для его производства позволяли готовить ВВ с любым соотношением компонентов.</w:t>
      </w:r>
    </w:p>
    <w:p w14:paraId="5F8799A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Их испытания на Павлоградском артнолигоне дали положительные результаты. Развивая творческий порыв, там в опытах целях изготовили партию из 3 тонн «глубоко суррогатированного» ВВ -аммотола 90/10. Преимущество новшества заключалось в том, что оно не требовало постройки громоздких многоэтажных смесительных аппаратов и шнековальных машин для утрамбовки сухих гранулированных компонентов боевого заряда в корпусе боеприпаса (7453).</w:t>
      </w:r>
    </w:p>
    <w:p w14:paraId="701DCD2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53D07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год был частично введен в эксплуатацию завод № 487:</w:t>
      </w:r>
    </w:p>
    <w:p w14:paraId="247259B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полного – полностью завод в эксплуатацию не введен</w:t>
      </w:r>
    </w:p>
    <w:p w14:paraId="51E7FF6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Завод реконструируемый. До передачи в систему НКАП завод выпускал полиграфическое оборудование. Передан в систему НКАП на основании постановления ЦК ВКП(б) и СНК от 26 июня 1940 года за № 1080/425сс</w:t>
      </w:r>
    </w:p>
    <w:p w14:paraId="4C3D979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Характер производства – среднесерийное</w:t>
      </w:r>
    </w:p>
    <w:p w14:paraId="71ED43C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Наименование производства – агрегатное (вооружение)</w:t>
      </w:r>
    </w:p>
    <w:p w14:paraId="364E5E3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Адрес: Москва 15, п/я 3915 (9356).</w:t>
      </w:r>
    </w:p>
    <w:p w14:paraId="778263D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03CF77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1943 в последней предвоенной евпаторийской экспедиции НИПАВ ВВС в составе снаряжения БЕТАБ-150ДС испытали разработанные в 1940 г. инженер Е.Г. Ледин разработал взрывчатые составы на основе флегматизированного гексогена с целью снижения его чувствительности к удару, а также раздельно-шашечную технологию снаряжания бронебойных снарядов. По мощности взрыва эти составы, получившие наименование А-1Х-1 и А-1Х-2, в два и более раза превосходили тротил и отличались высокой зажигательной способностью в отношении жидких топлив, а так-же повышенной стойкостью при проникании снаряда и броне преградуи лишь только в феврале 1942 г. эти ВВ приняли на вооружение (11402).</w:t>
      </w:r>
    </w:p>
    <w:p w14:paraId="1DEF3BD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DD89C1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был подготовлен проект Постановления Комитета Обороны при СНК СССР «О дополнительной поставке в 1940 г. авиабомб и мероприятиях по расширению базы производства авиабомб и по усилению боевой эффективности»:</w:t>
      </w:r>
    </w:p>
    <w:p w14:paraId="79E94CD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Обязать НКБ тов. Сергеева дополнительно поставить в 1940 г. для НКО:</w:t>
      </w:r>
    </w:p>
    <w:p w14:paraId="063695C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 6.000 шт. БЕТАБ-150 ДС;</w:t>
      </w:r>
    </w:p>
    <w:p w14:paraId="771C9E8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Совместно с НКТП выполнить поставку НКО ракетных бомб: к 1 октября 1940 г. БРАБ-450ДС и БЕТАБ-750ДС, а к 1 декабря 1940 г. БРАБ-200ДС) (11402).</w:t>
      </w:r>
    </w:p>
    <w:p w14:paraId="1FFA737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62C6E9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на керченском полигоне Наркомата боеприпасов со</w:t>
      </w:r>
      <w:r w:rsidRPr="00DB5D0D">
        <w:rPr>
          <w:rFonts w:ascii="Times New Roman" w:hAnsi="Times New Roman"/>
          <w:color w:val="000000" w:themeColor="text1"/>
          <w:sz w:val="16"/>
          <w:szCs w:val="16"/>
        </w:rPr>
        <w:softHyphen/>
        <w:t>стоялись приемные испытания взрывателя РД. Для этого две их серий</w:t>
      </w:r>
      <w:r w:rsidRPr="00DB5D0D">
        <w:rPr>
          <w:rFonts w:ascii="Times New Roman" w:hAnsi="Times New Roman"/>
          <w:color w:val="000000" w:themeColor="text1"/>
          <w:sz w:val="16"/>
          <w:szCs w:val="16"/>
        </w:rPr>
        <w:softHyphen/>
        <w:t xml:space="preserve">ные партии, изготовленные в ЦКБ-22 НКБ, подвергли бомбометанию, сбросив 28 штук БетАБ-250-170ДС с бомбардировщика СБ на скорости 280 км/ч. 8 авиабомб попали в твердый грунт, </w:t>
      </w:r>
      <w:r w:rsidRPr="00DB5D0D">
        <w:rPr>
          <w:rFonts w:ascii="Times New Roman" w:hAnsi="Times New Roman"/>
          <w:color w:val="000000" w:themeColor="text1"/>
          <w:sz w:val="16"/>
          <w:szCs w:val="16"/>
        </w:rPr>
        <w:lastRenderedPageBreak/>
        <w:t>остальные - в суглинок. Полигон был выбран для боеприпасов этого типа крайне неудачный - в штатном режиме сработала только одна авиабомба. Остальные на</w:t>
      </w:r>
      <w:r w:rsidRPr="00DB5D0D">
        <w:rPr>
          <w:rFonts w:ascii="Times New Roman" w:hAnsi="Times New Roman"/>
          <w:color w:val="000000" w:themeColor="text1"/>
          <w:sz w:val="16"/>
          <w:szCs w:val="16"/>
        </w:rPr>
        <w:softHyphen/>
        <w:t>столько глубоко ушли в грунт, что утверждать — подействовали они ил нет, никто не решался.</w:t>
      </w:r>
    </w:p>
    <w:p w14:paraId="519AEF2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Руководитель испытаний приказал откопать боеприпасы, ведь если не сработали, их требуется подорвать... Это было весьма опрометчивое решение - в известняке из-за опасности обвала решили не копать глубже 6 м, в суглинке — глубже 9 м. При этом отрыть удалось лишь две бомбы (одна была сработавшей, вторая — нет). Остальные боеприпасы на указанных глубинах не обнаружили. Дальнейшие испытание пришлось прекратить.</w:t>
      </w:r>
    </w:p>
    <w:p w14:paraId="3FD52D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основании двух обнаруженных отказов специалисты керченского авиаполигона признали обе партии взрывателей не выдержавшими приемных испытаний. Кроме того, в 1940 г. в ходе испытаний НИИ-3 НКБ на стенде взорвался РС, и причиной этого сначала посчитали именно взрыватель РД (11402).</w:t>
      </w:r>
    </w:p>
    <w:p w14:paraId="705045A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528DD07E"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2584591A"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15B006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вышло специальное постановление ЦК и СНК "О плане накопления госрезервов и мобзапасов на 1940" (338,16).</w:t>
      </w:r>
    </w:p>
    <w:p w14:paraId="7B2C487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CE4C229" w14:textId="77777777" w:rsidR="001130F8" w:rsidRPr="00DB5D0D" w:rsidRDefault="001130F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w:t>
      </w:r>
    </w:p>
    <w:p w14:paraId="1EF9A34C" w14:textId="77777777" w:rsidR="001130F8" w:rsidRPr="00DB5D0D" w:rsidRDefault="001130F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Доклад коллегии НКВ по вопросу состояния контроля качества на заводах НКВ, август 1940 (18627).</w:t>
      </w:r>
    </w:p>
    <w:p w14:paraId="69FA4C96" w14:textId="77777777" w:rsidR="001130F8" w:rsidRPr="00DB5D0D" w:rsidRDefault="001130F8" w:rsidP="00DB5D0D">
      <w:pPr>
        <w:spacing w:after="0" w:line="240" w:lineRule="auto"/>
        <w:jc w:val="both"/>
        <w:rPr>
          <w:rFonts w:ascii="Times New Roman" w:hAnsi="Times New Roman"/>
          <w:color w:val="000000" w:themeColor="text1"/>
          <w:sz w:val="16"/>
          <w:szCs w:val="16"/>
        </w:rPr>
      </w:pPr>
    </w:p>
    <w:p w14:paraId="4258F640" w14:textId="77777777" w:rsidR="001130F8" w:rsidRPr="00DB5D0D" w:rsidRDefault="001130F8"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коллегия НКВ вернулась к проблеме качества продукции. «Обследование состояния техконтроля на заводах НКВ... выявило неудовлетворительное состояние контроля качества на ряде заводов». В докладе по результатам обследования приводились многочисленные факты пропуска недоброкачественной продукции и безответственного отношения к качеству. Выяснилось, что по отдельным деталям процент годности составлял всего лишь немногим более 40%. Проверка показала, что предыдущие приказы НКВ о качестве не соблюдались, а практика незаконного внесения изменений в технологию получила широкое распространение. Основными причинами существования такой ситуации на заводах НКВ в докладе назывались низкая квалификация работников ОТК, отсутствие технологии контроля, недостаточная работа по анализу брака и разработке мероприятий по его устранению, слабое применение карательных санкций за выпуск и пропуск бракованной продукции30. В результате коллегией было принято новое постановление по проблеме качества, а наркомом был издан соответствующий приказ. В соответствии с этими документами директорам заводов, главным инженерам и начальникам ОТК предлагалось считать своей главной задачей «обеспечение руководства работой по повышению качества продукции, создание исключительно четкой и ненарушимой технологической дисциплины, порядка в инструментальном и мерительном хозяйстве, качественной работы ОТК». Одновременно было предложено усилить наказание «за нарушение системы технического контроля, преднамеренный пропуск на сборку и дальнейшее производство дефектной продукции... и за нарушение технологической дисциплины», вплоть до отдачи под суд. О всех случаях передачи дел бракоделов в суд следовало сообщать в наркомат. Начальникам главков было предложено не реже двух раз в квартал проверять исполнение на заводах этого приказа и «старого» приказа № 37331 (18627).</w:t>
      </w:r>
    </w:p>
    <w:p w14:paraId="69EBD455" w14:textId="77777777" w:rsidR="001130F8" w:rsidRPr="00DB5D0D" w:rsidRDefault="001130F8" w:rsidP="00DB5D0D">
      <w:pPr>
        <w:spacing w:after="0" w:line="240" w:lineRule="auto"/>
        <w:jc w:val="both"/>
        <w:rPr>
          <w:rFonts w:ascii="Times New Roman" w:hAnsi="Times New Roman"/>
          <w:color w:val="000000" w:themeColor="text1"/>
          <w:sz w:val="16"/>
          <w:szCs w:val="16"/>
        </w:rPr>
      </w:pPr>
    </w:p>
    <w:p w14:paraId="173DAD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 августа 1940 началась разработка 85мм бронебойного снаряда для зенитной пушки обр. 1939 и в 1941 приняли к производству - тупоголовый из стали 35ГСА - 90 мм на 1000 м под углом 30 и 70 мм на 2100 (5484,193).</w:t>
      </w:r>
    </w:p>
    <w:p w14:paraId="3448154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652D3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началось строительство оловянного завода в Новосибирске (Завод № 520 НКЦМ, п/я 87, Новосибирский оловянный комбинат (НОК), ОАО «НОК» /630033  г. Новосибирск ул. Мира, 62 тел. (383) 347-47-78/). В 08.1941 г. на площадку строительства был эвакуирован Подольский оловянный завод, строительство было форсировано. 23.02.1942 г. НОК выдал первое олово.</w:t>
      </w:r>
    </w:p>
    <w:p w14:paraId="608585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1950-х-начале 1960-х  г. комбинат был реконструирован, налажен выпуск олова высокой чистоты марки ОВЧ-ООО. В 1964 г. впервые в мире в промышленном масштабе внедрен процесс вакуумного рафинирования олова от свинца и висмута.</w:t>
      </w:r>
    </w:p>
    <w:p w14:paraId="7D57DCB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началу 1990-х  г. мощность комбината составляла до 10% мирового производства олова.</w:t>
      </w:r>
    </w:p>
    <w:p w14:paraId="2EBC7C4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Производство (1990-е-2000-е): олово, сплавы и припои на его основе; припои: бессвинцовые, легкоплавкие; баббиты; свинец, висмут, мышьяк, медь, сурьма, вольфрам, галлий, индий, - всего около 40 наименований продукции. В 2004 г. комбинат выпустил 3024 т олова, в 2005 г. - 2508 т; припоев и сплавов: (2004 г.)- 1573 т, (2005 г.)- 2358 т.</w:t>
      </w:r>
    </w:p>
    <w:p w14:paraId="0FF98BF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11.1992 г. предприятие акционировано и преобразовано в ОАО.</w:t>
      </w:r>
    </w:p>
    <w:p w14:paraId="737C1F9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состав ОАО НОК входили (1990-е-2000-е): металлургический завод, ГОКи: «Хинганское олово», «Дальолово», «Тянь-Шаньолово»; «Сахаолово» (2006 г.); ОАО «ЦНИИОлово» (2006 г.).</w:t>
      </w:r>
    </w:p>
    <w:p w14:paraId="7BD56E1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Гендиректор (1997-2006 г.-)- А.П. Дугельный.</w:t>
      </w:r>
    </w:p>
    <w:p w14:paraId="45ECB6F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iCs/>
          <w:color w:val="000000" w:themeColor="text1"/>
          <w:sz w:val="16"/>
          <w:szCs w:val="16"/>
        </w:rPr>
        <w:t>Производство:</w:t>
      </w:r>
      <w:r w:rsidRPr="00DB5D0D">
        <w:rPr>
          <w:rFonts w:ascii="Times New Roman" w:hAnsi="Times New Roman"/>
          <w:color w:val="000000" w:themeColor="text1"/>
          <w:sz w:val="16"/>
          <w:szCs w:val="16"/>
        </w:rPr>
        <w:t xml:space="preserve"> олово: высокой чистоты ОВЧ-ООО (1960-е), -00 (2006), -01 (2006); баббиты: БС-6, Б-16, -83, -88 (2006).</w:t>
      </w:r>
    </w:p>
    <w:p w14:paraId="25347A3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40C726"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были утверждены и выданы ТТТ на разработку 85 мм танковой пушки Ф-30 для борьбы со средними и тяжелями танками, подавления ДОТ и уничтожения живой силы со скоростью 800-820 км/час для КВ (9527,24).</w:t>
      </w:r>
    </w:p>
    <w:p w14:paraId="7524E7B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3DAAC2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были даны уточненные ТТТ на 85-мм пушку Ф-30 в башне танка КВ, но только в на</w:t>
      </w:r>
      <w:r w:rsidRPr="00DB5D0D">
        <w:rPr>
          <w:rFonts w:ascii="Times New Roman" w:hAnsi="Times New Roman"/>
          <w:color w:val="000000" w:themeColor="text1"/>
          <w:sz w:val="16"/>
          <w:szCs w:val="16"/>
        </w:rPr>
        <w:softHyphen/>
        <w:t>чале 1941 г. она была смонтирована в башне нового танка Т-220 (КВ-220), имеющего увеличенный круг обслужива</w:t>
      </w:r>
      <w:r w:rsidRPr="00DB5D0D">
        <w:rPr>
          <w:rFonts w:ascii="Times New Roman" w:hAnsi="Times New Roman"/>
          <w:color w:val="000000" w:themeColor="text1"/>
          <w:sz w:val="16"/>
          <w:szCs w:val="16"/>
        </w:rPr>
        <w:softHyphen/>
        <w:t>ния. Установка оказалась неуравновешенной, и танк отпра</w:t>
      </w:r>
      <w:r w:rsidRPr="00DB5D0D">
        <w:rPr>
          <w:rFonts w:ascii="Times New Roman" w:hAnsi="Times New Roman"/>
          <w:color w:val="000000" w:themeColor="text1"/>
          <w:sz w:val="16"/>
          <w:szCs w:val="16"/>
        </w:rPr>
        <w:softHyphen/>
        <w:t>вился на завод № 92 для доработки артсистемы. Только в марте 1941 г. пушка успешно прошла первый этап испыта</w:t>
      </w:r>
      <w:r w:rsidRPr="00DB5D0D">
        <w:rPr>
          <w:rFonts w:ascii="Times New Roman" w:hAnsi="Times New Roman"/>
          <w:color w:val="000000" w:themeColor="text1"/>
          <w:sz w:val="16"/>
          <w:szCs w:val="16"/>
        </w:rPr>
        <w:softHyphen/>
        <w:t>ний и была рекомендована для принятия на вооружение. Однако к тому времени для вооружения тяжелых танков уже рассматривались более мощные артсистемы калибра 107-мм, и;дальнейшего развития пушка Ф-30 не получила (10782).</w:t>
      </w:r>
    </w:p>
    <w:p w14:paraId="170A34A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7D9282C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специальное техническое бюро (СТБ) под руководством Рудакова разработало конструкцию литого корпуса и башни КВ, а в октябре-ноябре 1940 г. Ижорский и Мариупольский заводы отлили шесть башен и один корпус КВ. С 25 января по 5 февраля башни были испытаны обстре</w:t>
      </w:r>
      <w:r w:rsidRPr="00DB5D0D">
        <w:rPr>
          <w:rFonts w:ascii="Times New Roman" w:hAnsi="Times New Roman"/>
          <w:color w:val="000000" w:themeColor="text1"/>
          <w:sz w:val="16"/>
          <w:szCs w:val="16"/>
        </w:rPr>
        <w:softHyphen/>
        <w:t>лом и осмотрены специальной комиссией. По результатам испытаний нарком тяжелого машиностроения А. Ефремов доложил К. Ворошилову, что к изготовлению литых башен Для КВ-1 и КВ-3 можно было приступать немедленно. Однако по целому ряду причин изготовление литых ба</w:t>
      </w:r>
      <w:r w:rsidRPr="00DB5D0D">
        <w:rPr>
          <w:rFonts w:ascii="Times New Roman" w:hAnsi="Times New Roman"/>
          <w:color w:val="000000" w:themeColor="text1"/>
          <w:sz w:val="16"/>
          <w:szCs w:val="16"/>
        </w:rPr>
        <w:softHyphen/>
        <w:t>шен танка КВ началось только в декабре 1941 г., а литые де</w:t>
      </w:r>
      <w:r w:rsidRPr="00DB5D0D">
        <w:rPr>
          <w:rFonts w:ascii="Times New Roman" w:hAnsi="Times New Roman"/>
          <w:color w:val="000000" w:themeColor="text1"/>
          <w:sz w:val="16"/>
          <w:szCs w:val="16"/>
        </w:rPr>
        <w:softHyphen/>
        <w:t>тали корпуса получил только танк КВ-13/ИС (10782).</w:t>
      </w:r>
    </w:p>
    <w:p w14:paraId="78B0925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8EA0EE9"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все изготовленные КЗ 76 мм пушки Л-11 с новыми противооткатными устройствами были поставлены на тяжелые КВ, а Т-34, собранные в августе, остались без пушек и не были окончательно приянты (4829, 23).</w:t>
      </w:r>
    </w:p>
    <w:p w14:paraId="364AC04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CBE85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в целях концентрации на выпуске Т-34 пр-во БТ-7 на з-де № 183 было прекращено, но в качестве резерва на случай зедержек поставки бронедеталей с Мариупольского з-да предусматривалась возть сборки 40 БТ-7М из задела. Задержек - не было и с сентября ХПЗ полностью перешел на выпус Т-34 и сдал 37 машин (4829, 23).</w:t>
      </w:r>
    </w:p>
    <w:p w14:paraId="6426DE8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232B921"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ситуация с производством Т-34 начала выправляться. Сдаточный пробег прошло 26 танков. из которых было окончательно принято тол ько две машины — для остальных не было пушек Л -11.</w:t>
      </w:r>
    </w:p>
    <w:p w14:paraId="2EF4FEA8"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Дело в том, что с самого начала производства Т-34 вопрос с его вооружением оставался открытым. Так. при принятии танка на вооружение постановлением № 443 сс на него предполагалось устанавливать 76-мм пушку Ф-32, разработанную на заводе № 92 (г. Горький), в конструкторском бюро под руководством В. Грабина. Но ввиду отсутствия этих орудий к началу 1940 года имелся в наличии лишь один образец), опытные машины А-34 вооружили 76-мм орудиями Л-11. спроектированными на ленинградском Кировском заводе в артиллерийском КБ под руководством Ма- жинова. Но уже 27 января 1940 года постановлением Комитета обороны при СНК СССР № 45с от 27 января 1940 года Кировский завод приступал к организации выпуска новой 76-мм танковой пушки Ф-32 конструкции завода № 92. Если по баллистике Ф-32 и I—-11 (обе созданы в 1939 году) были практически аналогичны, то в плане надежности, простоты, технологичности и дешевизны в производстве горьковская артсистема значительно превосходила ленинградскую.</w:t>
      </w:r>
    </w:p>
    <w:p w14:paraId="07DA3A71"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руководство Кировского завода, несмотря на постановление правительства, упорно противилось «чужому» орудию и всячески продвигало «свое» - Л-11. Кировцам удалось даже заручится поддержкой наркома тяжелого машиностроения В. Малышева, который 17 апреля 1940 года направил на имя И. Сталина и К. Ворошилова письмо, в котором писал:</w:t>
      </w:r>
    </w:p>
    <w:p w14:paraId="5A00B87F"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«...Опыт войны в Финляндии, где Л-11 как танковая система не имела отказов, а также результаты сопоставления конструкций Ф-32 и Л-11 по чертежам, исправленным послеиспы- таний на НИАПе в 1939 году, вызвали необходимость у Кировского завода и НКТМ возбудить вопрос о назначении специальной междуведомственной комиссии по проверке недостатков и преимуществ Ф-32 перед Л-11. На основании акта Комиссии можно считать, что Ф-32 и Л-11 в Т-28 практически равноценны, если же учесть, что Л-11 является не только танковой, но и капонирной пушкой, то она имеет преимущество перед Ф-32...</w:t>
      </w:r>
    </w:p>
    <w:p w14:paraId="68B2C9DC"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Кроме того, необходимо отметить, что система Л-11 на Кировском заводе вполне освоена в производстве с реальным выпуском 110 — 130 штук в месяц, в то время как Ф-32 заводом не освоена (имеется лишь опытный образец завода № 92). Имея ввиду освоенное производство Л-11, а также снятие с производства Т-28, в который предполагалось устанавливать Ф-32 взамен Л-11 (пункт 4 Постановления КО № 45 1940 года) считаю нецелесообразным при наличии преимуществ Л-11 перед Ф-32 (освоенное производство, готовая капонир- ная установка) осваивать новую систему Ф-32.</w:t>
      </w:r>
    </w:p>
    <w:p w14:paraId="2DF6E214"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связи с этим прошу на Кировском заводе сохранить производство Л-11».</w:t>
      </w:r>
    </w:p>
    <w:p w14:paraId="734BD4FB"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Справедливости ради надо отметить, что к указанным объемам производства (110 - 130 орудий) завод готов в то время не был - максимальная мощность составляла до 20 единиц в месяц. Но это письмо возымело свое действие - с 3 по 11 мая 1940 года в спешном порядке провели дополнительные испытания пушки Л-11, установленной в танк Т-28. В своих выводах комиссия, проводившая испытания, сообщала, что противооткатные устройства и спусковой механизм по своей конструкции не обеспечивают надежной работы, а полуавтоматика является сложной в эксплуатации. Вывод был категоричен: «Комиссия считает, что пушкой Л-11 вооружать танки нельзя».</w:t>
      </w:r>
    </w:p>
    <w:p w14:paraId="3F369878"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Ознакомившись с этим документом, начальник АБТУ КА Д. Павлов сообшал в наркомат обороны:</w:t>
      </w:r>
    </w:p>
    <w:p w14:paraId="2C841407"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мае 1940 года были проведены испытания улучшенного образца пушки Л-11, которые выяснили, что Л-11 не является надежной, не позволит вести стрельбу при угле снижения менее 10 градусов, весьма капризна и сложна в эксплуатации...</w:t>
      </w:r>
    </w:p>
    <w:p w14:paraId="6201219D"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До момента готовности системы Ф-32 считаю возможным устанавливать в танки Л-11 как временные, с последующей заменой их пушками Ф-32, запретив стрельбу из Л-11 под углами снижения больше 10 градусов» (12217).</w:t>
      </w:r>
    </w:p>
    <w:p w14:paraId="60737267" w14:textId="77777777" w:rsidR="0020476B" w:rsidRPr="00DB5D0D" w:rsidRDefault="0020476B" w:rsidP="00DB5D0D">
      <w:pPr>
        <w:spacing w:after="0" w:line="240" w:lineRule="auto"/>
        <w:jc w:val="both"/>
        <w:rPr>
          <w:rFonts w:ascii="Times New Roman" w:hAnsi="Times New Roman"/>
          <w:color w:val="000000" w:themeColor="text1"/>
          <w:sz w:val="16"/>
          <w:szCs w:val="16"/>
        </w:rPr>
      </w:pPr>
    </w:p>
    <w:p w14:paraId="47F8C89D"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года завод № 183 представил проект установки сорокапятки в башне Т-34, вместе с проектом вооружения тридцатьчетверки Ф-32 (второй опытный образец этой артсистемы направили в Харьков еще в июне). Т.к. большую часть Л-11 выпуска июля - августа 1940 года по распоряжению руководства Главного артиллерийского управления Красной Армии направили на вооружение танков КВ. Чтобы выйти из этого положения, АБТУ КА вышло со следующим предложением:</w:t>
      </w:r>
    </w:p>
    <w:p w14:paraId="2E34F7CB"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«Вооружение Т-34 по утвержденным тактико-техническим требованиям предусматривает установку в танк резервной пушки Л-11 Кировского завода. В целях обеспечения вооружения Т-34 прошу о вооружении 300 Т-34 выпуска 1940 года по заводам № 183 и СТЗ 76-мм пушкой Л-11 выпуска Кировского завода. Остальные Т-34 (300 штук) вооружить 45-мм пушкой с последующей заменой на пушки Ф-32».</w:t>
      </w:r>
    </w:p>
    <w:p w14:paraId="4112E889"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Однако оба варианта остались только на бумаге — в сентябре завод № 183 получил необходимое количество Л-11, в это же время полным ходом шли испытания и подготовка к производству новой танковой пушки Ф-34. На разработку вооружения Т-34 последней и ориентировали завод № 183 (12217).</w:t>
      </w:r>
    </w:p>
    <w:p w14:paraId="0D6F95AE" w14:textId="77777777" w:rsidR="0020476B" w:rsidRPr="00DB5D0D" w:rsidRDefault="0020476B" w:rsidP="00DB5D0D">
      <w:pPr>
        <w:spacing w:after="0" w:line="240" w:lineRule="auto"/>
        <w:jc w:val="both"/>
        <w:rPr>
          <w:rFonts w:ascii="Times New Roman" w:hAnsi="Times New Roman"/>
          <w:color w:val="000000" w:themeColor="text1"/>
          <w:sz w:val="16"/>
          <w:szCs w:val="16"/>
        </w:rPr>
      </w:pPr>
    </w:p>
    <w:p w14:paraId="0CCDF9BF"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оперсводка за месяц:</w:t>
      </w:r>
    </w:p>
    <w:p w14:paraId="54F2DD71"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Т-34.</w:t>
      </w:r>
    </w:p>
    <w:p w14:paraId="042615B7"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Всего испытано большим пробегом 24 машины, из них ходило по одному разу 18 машин, по два раза 3 и по три раза 3 машины.</w:t>
      </w:r>
    </w:p>
    <w:p w14:paraId="441BC2E8"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дефекты по которым назначались повторные б/пробеги:</w:t>
      </w:r>
    </w:p>
    <w:p w14:paraId="7811054F"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w:t>
      </w:r>
      <w:r w:rsidRPr="00DB5D0D">
        <w:rPr>
          <w:rFonts w:ascii="Times New Roman" w:hAnsi="Times New Roman"/>
          <w:color w:val="000000" w:themeColor="text1"/>
          <w:sz w:val="16"/>
          <w:szCs w:val="16"/>
        </w:rPr>
        <w:tab/>
        <w:t>Замена мотора по дымлению и малому давлению масла.</w:t>
      </w:r>
    </w:p>
    <w:p w14:paraId="4005AF65"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w:t>
      </w:r>
      <w:r w:rsidRPr="00DB5D0D">
        <w:rPr>
          <w:rFonts w:ascii="Times New Roman" w:hAnsi="Times New Roman"/>
          <w:color w:val="000000" w:themeColor="text1"/>
          <w:sz w:val="16"/>
          <w:szCs w:val="16"/>
        </w:rPr>
        <w:tab/>
        <w:t>Неудовлетворительной работе гл. фрикциона (плохое выключение).</w:t>
      </w:r>
    </w:p>
    <w:p w14:paraId="35268DBC"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w:t>
      </w:r>
      <w:r w:rsidRPr="00DB5D0D">
        <w:rPr>
          <w:rFonts w:ascii="Times New Roman" w:hAnsi="Times New Roman"/>
          <w:color w:val="000000" w:themeColor="text1"/>
          <w:sz w:val="16"/>
          <w:szCs w:val="16"/>
        </w:rPr>
        <w:tab/>
        <w:t>Тугое переключение 1-2 передачи КПП.</w:t>
      </w:r>
    </w:p>
    <w:p w14:paraId="2318292F"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w:t>
      </w:r>
      <w:r w:rsidRPr="00DB5D0D">
        <w:rPr>
          <w:rFonts w:ascii="Times New Roman" w:hAnsi="Times New Roman"/>
          <w:color w:val="000000" w:themeColor="text1"/>
          <w:sz w:val="16"/>
          <w:szCs w:val="16"/>
        </w:rPr>
        <w:tab/>
        <w:t>Течь смазки через сальник борт, передачи.</w:t>
      </w:r>
    </w:p>
    <w:p w14:paraId="70F0B947"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w:t>
      </w:r>
      <w:r w:rsidRPr="00DB5D0D">
        <w:rPr>
          <w:rFonts w:ascii="Times New Roman" w:hAnsi="Times New Roman"/>
          <w:color w:val="000000" w:themeColor="text1"/>
          <w:sz w:val="16"/>
          <w:szCs w:val="16"/>
        </w:rPr>
        <w:tab/>
        <w:t>Пробуксовка борт, фрикционов.</w:t>
      </w:r>
    </w:p>
    <w:p w14:paraId="5E00C463"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w:t>
      </w:r>
      <w:r w:rsidRPr="00DB5D0D">
        <w:rPr>
          <w:rFonts w:ascii="Times New Roman" w:hAnsi="Times New Roman"/>
          <w:color w:val="000000" w:themeColor="text1"/>
          <w:sz w:val="16"/>
          <w:szCs w:val="16"/>
        </w:rPr>
        <w:tab/>
        <w:t>Раздутие маслобака радиатора.</w:t>
      </w:r>
    </w:p>
    <w:p w14:paraId="5E7B03DF"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Из 24 машин прошедших большой пробег, 12 машин проверялись в контрольном пробеге по следующим дефектам:</w:t>
      </w:r>
    </w:p>
    <w:p w14:paraId="30507028"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 Замена мотора (стук).</w:t>
      </w:r>
    </w:p>
    <w:p w14:paraId="18EB88D3"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Еще один из танков Т-34 с первым вариантом литой башни. На фото хорошо видна конструкция бронировки бокового смотрового прибора, отлитого вместе с башней. Выштамповка под прибор кругового обзора на башенном люке отсутствует. Фото сделано на Украине летом 1941 года (фото из архива Я. Магнуского).</w:t>
      </w:r>
    </w:p>
    <w:p w14:paraId="1EECB569"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б).</w:t>
      </w:r>
      <w:r w:rsidRPr="00DB5D0D">
        <w:rPr>
          <w:rFonts w:ascii="Times New Roman" w:hAnsi="Times New Roman"/>
          <w:color w:val="000000" w:themeColor="text1"/>
          <w:sz w:val="16"/>
          <w:szCs w:val="16"/>
        </w:rPr>
        <w:tab/>
        <w:t>Плохое выключение главного фрикциона.</w:t>
      </w:r>
    </w:p>
    <w:p w14:paraId="79F83DCE"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w:t>
      </w:r>
      <w:r w:rsidRPr="00DB5D0D">
        <w:rPr>
          <w:rFonts w:ascii="Times New Roman" w:hAnsi="Times New Roman"/>
          <w:color w:val="000000" w:themeColor="text1"/>
          <w:sz w:val="16"/>
          <w:szCs w:val="16"/>
        </w:rPr>
        <w:tab/>
        <w:t>Скол зубьев коробки перемены передач.</w:t>
      </w:r>
    </w:p>
    <w:p w14:paraId="4367FEAC"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г).</w:t>
      </w:r>
      <w:r w:rsidRPr="00DB5D0D">
        <w:rPr>
          <w:rFonts w:ascii="Times New Roman" w:hAnsi="Times New Roman"/>
          <w:color w:val="000000" w:themeColor="text1"/>
          <w:sz w:val="16"/>
          <w:szCs w:val="16"/>
        </w:rPr>
        <w:tab/>
        <w:t>Течь смазки через сальник борт, передачи.</w:t>
      </w:r>
    </w:p>
    <w:p w14:paraId="07A1E9A0"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w:t>
      </w:r>
      <w:r w:rsidRPr="00DB5D0D">
        <w:rPr>
          <w:rFonts w:ascii="Times New Roman" w:hAnsi="Times New Roman"/>
          <w:color w:val="000000" w:themeColor="text1"/>
          <w:sz w:val="16"/>
          <w:szCs w:val="16"/>
        </w:rPr>
        <w:tab/>
        <w:t>Замены тормозных лент (подгорание).</w:t>
      </w:r>
    </w:p>
    <w:p w14:paraId="698C4A22"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е).</w:t>
      </w:r>
      <w:r w:rsidRPr="00DB5D0D">
        <w:rPr>
          <w:rFonts w:ascii="Times New Roman" w:hAnsi="Times New Roman"/>
          <w:color w:val="000000" w:themeColor="text1"/>
          <w:sz w:val="16"/>
          <w:szCs w:val="16"/>
        </w:rPr>
        <w:tab/>
        <w:t>Плохая регулировка борт, фрикциона (нет разворота).</w:t>
      </w:r>
    </w:p>
    <w:p w14:paraId="4604DE3B"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устранения перечисленных дефектов и ряда других, отрабатывается оснащается технология и намечено провести ряд конструктивных изменений.</w:t>
      </w:r>
    </w:p>
    <w:p w14:paraId="43CE5C25"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Кроме принятых 7 машин, имеется собранных и испытанных б/пробегом 28 машин, которые находятся в стадии подготовки к окраске и укомплектовке, но не могут быть окончательно приняты из-за отсутствия систем Л-11. подача которых на завод задерживается.</w:t>
      </w:r>
    </w:p>
    <w:p w14:paraId="5EB1C1B2"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В процессе оборки находится 5 машин, на конвейере отдела 100.</w:t>
      </w:r>
    </w:p>
    <w:p w14:paraId="6460A3BA"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В отделе 700 находятся в разных стадиях сборки 19 корпусов и 10 башен, кроме этого броней обеспечено 18 комплектов по корпусу и 30 комплектов по башне (из катаной брони).</w:t>
      </w:r>
    </w:p>
    <w:p w14:paraId="6A75FD25"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На Сентябрь месяц заводом запланировано собрать и сдать полное количество, обеспечивающее выполнение квартального задания. В Сентябре начинает поступать основное количество оснащения, инструмента, заготовок, материалов и покупных изделий, исходя из этого запланированное количество машин вполне выполнимо, тем более что завод имеет задел как по корпусам, башням, также и по сборочным цехам.</w:t>
      </w:r>
    </w:p>
    <w:p w14:paraId="4B7D67D5"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Сводку составил: военпред АБТУ КА капитан /Русаков/.</w:t>
      </w:r>
    </w:p>
    <w:p w14:paraId="250525BB" w14:textId="77777777" w:rsidR="0020476B" w:rsidRPr="00DB5D0D" w:rsidRDefault="0020476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Сводку проверил: районный инженер АБТУ КА военинженер 2 ранга / Козырев/» (12270).</w:t>
      </w:r>
    </w:p>
    <w:p w14:paraId="5185381F" w14:textId="77777777" w:rsidR="0020476B" w:rsidRPr="00DB5D0D" w:rsidRDefault="0020476B" w:rsidP="00DB5D0D">
      <w:pPr>
        <w:spacing w:after="0" w:line="240" w:lineRule="auto"/>
        <w:jc w:val="both"/>
        <w:rPr>
          <w:rFonts w:ascii="Times New Roman" w:hAnsi="Times New Roman"/>
          <w:color w:val="000000" w:themeColor="text1"/>
          <w:sz w:val="16"/>
          <w:szCs w:val="16"/>
        </w:rPr>
      </w:pPr>
    </w:p>
    <w:p w14:paraId="7EC6D82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положение улучшилось и уже 24 танка Т-34 были испытаны пробегом. Они выдержали испытания, но приняты не были, так как Кировский завод не смог поставить ни пушек Ф-32, ни Л-11. Там шла подлинная война завода за свою конструкцию — орудие Л-11. Несмотря на решение АБТУ в пользу Ф-32, за</w:t>
      </w:r>
      <w:r w:rsidRPr="00DB5D0D">
        <w:rPr>
          <w:rFonts w:ascii="Times New Roman" w:hAnsi="Times New Roman"/>
          <w:color w:val="000000" w:themeColor="text1"/>
          <w:sz w:val="16"/>
          <w:szCs w:val="16"/>
        </w:rPr>
        <w:softHyphen/>
        <w:t>вод продолжал улучшать конструкцию Л-11. В последних числах мая 1940 г. состоялись совместные испытания Л-11 и Ф-32 в банках БТ-7А, показавшие небольшие преимущества Ф-32. Поэтому в июне 1940 г. принимается решение о разво-рачивании серийного выпуска Ф-32 не только на Л КЗ, но также на заводах № 92 и № 13с программой выпуска в 1941 г. соответственно 2500, 2000 и 700 штук. Но к этому времени ОКБ-92 под управлением В. Грабина предложило ГАУ проект новой, 76,2-мм танковой пушки Ф-34, которая при большей, чем у Ф-32, мощности (длина ствола составляла 41 калибр против 30 калибров у Ф-32), была более простой и потому должна была иметь меньшую стоимость и сложность в изготовлении. Артуправление принято проект, выпустив приказ о проведении полигонных испытаний пушки в сентябре 1940 г. Однако Наркомат обо</w:t>
      </w:r>
      <w:r w:rsidRPr="00DB5D0D">
        <w:rPr>
          <w:rFonts w:ascii="Times New Roman" w:hAnsi="Times New Roman"/>
          <w:color w:val="000000" w:themeColor="text1"/>
          <w:sz w:val="16"/>
          <w:szCs w:val="16"/>
        </w:rPr>
        <w:softHyphen/>
        <w:t>роны в письме от 13 июня уже рекомендовал вооружать «улучшенный танк Т-34» именно этим образцом танкового орудия, которое было в то время самым мощным в мире, но которое еще предстояло создать и испытать (10782).</w:t>
      </w:r>
    </w:p>
    <w:p w14:paraId="2D5F104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33016CC2"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В августе 1940 г. согласно оперативной сводке по заводу № 183:</w:t>
      </w:r>
    </w:p>
    <w:p w14:paraId="58B621F2"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Танк Т-34 с 76-мм пушкой надлежит поставить отделу «500» с начала года – 60, в августе 30 машин. Поставлено : с начала года 7 машин, в августе – 2 (одна оформлена 2.09). Отгружено с начала года 7 машин, с августа – 2 машины. Испытано большим пробегом 24 машины, ходило по одному разу 18 машин, по два раза – 3 машины и по три раза – 3 машины. </w:t>
      </w:r>
    </w:p>
    <w:p w14:paraId="5E412817"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Основные дефекты : Замена мотора по дымлению и низкому давлению масла; Плохое включение главного фрикциона; Тугое переключение 1-й и 2-й передач КПП; Течь смазки через сальник бортовой передачи; Пробуксовка бортового фрикциона; Раздутие маслобака радиатора. </w:t>
      </w:r>
    </w:p>
    <w:p w14:paraId="04ABD8C5"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 xml:space="preserve">В процессе сборки находится 5 машин в отделе «100». Производство машин БТ-7М свернуто, в сентябре запланировано собрать 40 машин, если будут задержки по броне с Мариупольского завода. </w:t>
      </w:r>
    </w:p>
    <w:p w14:paraId="4FA7ABF2"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6E7C4D76"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31B48CF2" w14:textId="77777777" w:rsidR="003C7E8B" w:rsidRPr="00DB5D0D" w:rsidRDefault="003C7E8B" w:rsidP="00DB5D0D">
      <w:pPr>
        <w:pStyle w:val="a3"/>
        <w:rPr>
          <w:color w:val="000000" w:themeColor="text1"/>
          <w:lang w:val="ru-RU"/>
        </w:rPr>
      </w:pPr>
      <w:r w:rsidRPr="00DB5D0D">
        <w:rPr>
          <w:color w:val="000000" w:themeColor="text1"/>
          <w:lang w:val="ru-RU"/>
        </w:rPr>
        <w:t xml:space="preserve">В августе 1940 г. между ГАБТУ и заводом №183 был подписан ряд важных документов. Прежде всего это касается заключенного в начале месяца дополнительного соглашения №4-529 к основному договору </w:t>
      </w:r>
      <w:r w:rsidRPr="00DB5D0D">
        <w:rPr>
          <w:color w:val="000000" w:themeColor="text1"/>
        </w:rPr>
        <w:t>N</w:t>
      </w:r>
      <w:r w:rsidRPr="00DB5D0D">
        <w:rPr>
          <w:color w:val="000000" w:themeColor="text1"/>
          <w:lang w:val="ru-RU"/>
        </w:rPr>
        <w:t>94-074 от 9 января 1940 г. Необ</w:t>
      </w:r>
      <w:r w:rsidRPr="00DB5D0D">
        <w:rPr>
          <w:color w:val="000000" w:themeColor="text1"/>
          <w:lang w:val="ru-RU"/>
        </w:rPr>
        <w:softHyphen/>
        <w:t>ходимо отметить, что на протяжении лета 1940 г. было проведено несколько совместных совещаний, на которых руководство ГАБТУ и завода №183 согласовывали перечень конструктивных измене</w:t>
      </w:r>
      <w:r w:rsidRPr="00DB5D0D">
        <w:rPr>
          <w:color w:val="000000" w:themeColor="text1"/>
          <w:lang w:val="ru-RU"/>
        </w:rPr>
        <w:softHyphen/>
        <w:t>ний и доработок по танку Т-34, подлежащих обязательному вве</w:t>
      </w:r>
      <w:r w:rsidRPr="00DB5D0D">
        <w:rPr>
          <w:color w:val="000000" w:themeColor="text1"/>
          <w:lang w:val="ru-RU"/>
        </w:rPr>
        <w:softHyphen/>
        <w:t>дению в серийное производство в 1940 г. Результатом этих сове</w:t>
      </w:r>
      <w:r w:rsidRPr="00DB5D0D">
        <w:rPr>
          <w:color w:val="000000" w:themeColor="text1"/>
          <w:lang w:val="ru-RU"/>
        </w:rPr>
        <w:softHyphen/>
        <w:t>щаний как раз и стало дополнительное соглашение №4-529 от 3 августа 1940 г., в котором кроме списка конструктивных изме</w:t>
      </w:r>
      <w:r w:rsidRPr="00DB5D0D">
        <w:rPr>
          <w:color w:val="000000" w:themeColor="text1"/>
          <w:lang w:val="ru-RU"/>
        </w:rPr>
        <w:softHyphen/>
        <w:t>нений был прописан и новый, увеличенный согласно Постановле</w:t>
      </w:r>
      <w:r w:rsidRPr="00DB5D0D">
        <w:rPr>
          <w:color w:val="000000" w:themeColor="text1"/>
          <w:lang w:val="ru-RU"/>
        </w:rPr>
        <w:softHyphen/>
        <w:t>нию СНК СССР и ЦК ВКП (б) №976-368сс от 7 июня 1940 г., план по выпуску танков Т-34 в 1940 г. Включенный в соглашение пере</w:t>
      </w:r>
      <w:r w:rsidRPr="00DB5D0D">
        <w:rPr>
          <w:color w:val="000000" w:themeColor="text1"/>
          <w:lang w:val="ru-RU"/>
        </w:rPr>
        <w:softHyphen/>
        <w:t>чень конструктивных изменений (см. табл. №11) был составлен на основании отчета комиссии по проведению войсковых испыта</w:t>
      </w:r>
      <w:r w:rsidRPr="00DB5D0D">
        <w:rPr>
          <w:color w:val="000000" w:themeColor="text1"/>
          <w:lang w:val="ru-RU"/>
        </w:rPr>
        <w:softHyphen/>
        <w:t>ний двух опытных образцов Т-34, и в него вошли не исправленные на тот момент недостатки и дефекты машины с оговоренными сроками их устранения (11939).</w:t>
      </w:r>
    </w:p>
    <w:p w14:paraId="768FFB19" w14:textId="77777777" w:rsidR="003C7E8B" w:rsidRPr="00DB5D0D" w:rsidRDefault="003C7E8B" w:rsidP="00DB5D0D">
      <w:pPr>
        <w:pStyle w:val="a3"/>
        <w:rPr>
          <w:color w:val="000000" w:themeColor="text1"/>
          <w:lang w:val="ru-RU"/>
        </w:rPr>
      </w:pPr>
      <w:r w:rsidRPr="00DB5D0D">
        <w:rPr>
          <w:color w:val="000000" w:themeColor="text1"/>
          <w:lang w:val="ru-RU"/>
        </w:rPr>
        <w:t>Таблица №11</w:t>
      </w:r>
    </w:p>
    <w:p w14:paraId="0CA0F076" w14:textId="77777777" w:rsidR="003C7E8B" w:rsidRPr="00DB5D0D" w:rsidRDefault="003C7E8B" w:rsidP="00DB5D0D">
      <w:pPr>
        <w:pStyle w:val="aff1"/>
        <w:shd w:val="clear" w:color="auto" w:fill="auto"/>
        <w:spacing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lang w:val="ru-RU"/>
        </w:rPr>
        <w:lastRenderedPageBreak/>
        <w:t xml:space="preserve">Перечень конструктивных изменений по машине Т-34 (по дополнительному соглашению </w:t>
      </w:r>
      <w:r w:rsidRPr="00DB5D0D">
        <w:rPr>
          <w:rFonts w:ascii="Times New Roman" w:hAnsi="Times New Roman" w:cs="Times New Roman"/>
          <w:i w:val="0"/>
          <w:color w:val="000000" w:themeColor="text1"/>
          <w:sz w:val="16"/>
          <w:szCs w:val="16"/>
        </w:rPr>
        <w:t>№4-529)</w:t>
      </w:r>
    </w:p>
    <w:tbl>
      <w:tblPr>
        <w:tblW w:w="0" w:type="auto"/>
        <w:tblInd w:w="8" w:type="dxa"/>
        <w:tblLayout w:type="fixed"/>
        <w:tblCellMar>
          <w:left w:w="0" w:type="dxa"/>
          <w:right w:w="0" w:type="dxa"/>
        </w:tblCellMar>
        <w:tblLook w:val="0000" w:firstRow="0" w:lastRow="0" w:firstColumn="0" w:lastColumn="0" w:noHBand="0" w:noVBand="0"/>
      </w:tblPr>
      <w:tblGrid>
        <w:gridCol w:w="567"/>
        <w:gridCol w:w="7938"/>
        <w:gridCol w:w="2694"/>
      </w:tblGrid>
      <w:tr w:rsidR="007D5DF8" w:rsidRPr="00DB5D0D" w14:paraId="356E9CFF" w14:textId="77777777" w:rsidTr="00E543D0">
        <w:trPr>
          <w:trHeight w:val="288"/>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5359472" w14:textId="77777777" w:rsidR="003C7E8B" w:rsidRPr="00DB5D0D" w:rsidRDefault="003C7E8B" w:rsidP="00DB5D0D">
            <w:pPr>
              <w:pStyle w:val="a3"/>
              <w:rPr>
                <w:color w:val="000000" w:themeColor="text1"/>
              </w:rPr>
            </w:pPr>
            <w:r w:rsidRPr="00DB5D0D">
              <w:rPr>
                <w:color w:val="000000" w:themeColor="text1"/>
              </w:rPr>
              <w:t>№ п/п</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438C8805" w14:textId="77777777" w:rsidR="003C7E8B" w:rsidRPr="00DB5D0D" w:rsidRDefault="003C7E8B" w:rsidP="00DB5D0D">
            <w:pPr>
              <w:pStyle w:val="a3"/>
              <w:rPr>
                <w:color w:val="000000" w:themeColor="text1"/>
              </w:rPr>
            </w:pPr>
            <w:r w:rsidRPr="00DB5D0D">
              <w:rPr>
                <w:color w:val="000000" w:themeColor="text1"/>
              </w:rPr>
              <w:t>Наименование изменений и доработок</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014B00E9" w14:textId="77777777" w:rsidR="003C7E8B" w:rsidRPr="00DB5D0D" w:rsidRDefault="003C7E8B" w:rsidP="00DB5D0D">
            <w:pPr>
              <w:pStyle w:val="a3"/>
              <w:rPr>
                <w:color w:val="000000" w:themeColor="text1"/>
              </w:rPr>
            </w:pPr>
            <w:r w:rsidRPr="00DB5D0D">
              <w:rPr>
                <w:color w:val="000000" w:themeColor="text1"/>
              </w:rPr>
              <w:t>Срок ввода в серию</w:t>
            </w:r>
          </w:p>
        </w:tc>
      </w:tr>
      <w:tr w:rsidR="007D5DF8" w:rsidRPr="00DB5D0D" w14:paraId="014D699E"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F89BEDF" w14:textId="77777777" w:rsidR="003C7E8B" w:rsidRPr="00DB5D0D" w:rsidRDefault="003C7E8B" w:rsidP="00DB5D0D">
            <w:pPr>
              <w:pStyle w:val="a3"/>
              <w:rPr>
                <w:color w:val="000000" w:themeColor="text1"/>
              </w:rPr>
            </w:pPr>
            <w:r w:rsidRPr="00DB5D0D">
              <w:rPr>
                <w:color w:val="000000" w:themeColor="text1"/>
              </w:rPr>
              <w:t>1.</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126C6D52" w14:textId="77777777" w:rsidR="003C7E8B" w:rsidRPr="00DB5D0D" w:rsidRDefault="003C7E8B" w:rsidP="00DB5D0D">
            <w:pPr>
              <w:pStyle w:val="a3"/>
              <w:rPr>
                <w:color w:val="000000" w:themeColor="text1"/>
                <w:lang w:val="ru-RU"/>
              </w:rPr>
            </w:pPr>
            <w:r w:rsidRPr="00DB5D0D">
              <w:rPr>
                <w:color w:val="000000" w:themeColor="text1"/>
                <w:lang w:val="ru-RU"/>
              </w:rPr>
              <w:t>Предусмотреть снятие выхлопных труб без демонтажа бронеколпаков.</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64AAA373" w14:textId="77777777" w:rsidR="003C7E8B" w:rsidRPr="00DB5D0D" w:rsidRDefault="003C7E8B" w:rsidP="00DB5D0D">
            <w:pPr>
              <w:pStyle w:val="a3"/>
              <w:rPr>
                <w:color w:val="000000" w:themeColor="text1"/>
              </w:rPr>
            </w:pPr>
            <w:r w:rsidRPr="00DB5D0D">
              <w:rPr>
                <w:color w:val="000000" w:themeColor="text1"/>
              </w:rPr>
              <w:t>С января 1941 г.</w:t>
            </w:r>
          </w:p>
        </w:tc>
      </w:tr>
      <w:tr w:rsidR="007D5DF8" w:rsidRPr="00DB5D0D" w14:paraId="03E23DAE" w14:textId="77777777" w:rsidTr="00E543D0">
        <w:trPr>
          <w:trHeight w:val="288"/>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1D98906" w14:textId="77777777" w:rsidR="003C7E8B" w:rsidRPr="00DB5D0D" w:rsidRDefault="003C7E8B" w:rsidP="00DB5D0D">
            <w:pPr>
              <w:pStyle w:val="a3"/>
              <w:rPr>
                <w:color w:val="000000" w:themeColor="text1"/>
              </w:rPr>
            </w:pPr>
            <w:r w:rsidRPr="00DB5D0D">
              <w:rPr>
                <w:color w:val="000000" w:themeColor="text1"/>
              </w:rPr>
              <w:t>2.</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616A6E9D" w14:textId="77777777" w:rsidR="003C7E8B" w:rsidRPr="00DB5D0D" w:rsidRDefault="003C7E8B" w:rsidP="00DB5D0D">
            <w:pPr>
              <w:pStyle w:val="a3"/>
              <w:rPr>
                <w:color w:val="000000" w:themeColor="text1"/>
                <w:lang w:val="ru-RU"/>
              </w:rPr>
            </w:pPr>
            <w:r w:rsidRPr="00DB5D0D">
              <w:rPr>
                <w:color w:val="000000" w:themeColor="text1"/>
                <w:lang w:val="ru-RU"/>
              </w:rPr>
              <w:t>Заменить масленки МТК на более производительные.</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4B2274A8"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7E4C315F"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964FE3A" w14:textId="77777777" w:rsidR="003C7E8B" w:rsidRPr="00DB5D0D" w:rsidRDefault="003C7E8B" w:rsidP="00DB5D0D">
            <w:pPr>
              <w:pStyle w:val="a3"/>
              <w:rPr>
                <w:color w:val="000000" w:themeColor="text1"/>
              </w:rPr>
            </w:pPr>
            <w:r w:rsidRPr="00DB5D0D">
              <w:rPr>
                <w:color w:val="000000" w:themeColor="text1"/>
              </w:rPr>
              <w:t>3.</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5279AB85" w14:textId="77777777" w:rsidR="003C7E8B" w:rsidRPr="00DB5D0D" w:rsidRDefault="003C7E8B" w:rsidP="00DB5D0D">
            <w:pPr>
              <w:pStyle w:val="a3"/>
              <w:rPr>
                <w:color w:val="000000" w:themeColor="text1"/>
                <w:lang w:val="ru-RU"/>
              </w:rPr>
            </w:pPr>
            <w:r w:rsidRPr="00DB5D0D">
              <w:rPr>
                <w:color w:val="000000" w:themeColor="text1"/>
                <w:lang w:val="ru-RU"/>
              </w:rPr>
              <w:t>Обеспечить нормальную работу главного фрикциона (в работе ненадежен по причине коробления).</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20B5ECDA" w14:textId="77777777" w:rsidR="003C7E8B" w:rsidRPr="00DB5D0D" w:rsidRDefault="003C7E8B" w:rsidP="00DB5D0D">
            <w:pPr>
              <w:pStyle w:val="a3"/>
              <w:rPr>
                <w:color w:val="000000" w:themeColor="text1"/>
              </w:rPr>
            </w:pPr>
            <w:r w:rsidRPr="00DB5D0D">
              <w:rPr>
                <w:color w:val="000000" w:themeColor="text1"/>
              </w:rPr>
              <w:t>С 61-й машины</w:t>
            </w:r>
          </w:p>
        </w:tc>
      </w:tr>
      <w:tr w:rsidR="007D5DF8" w:rsidRPr="00DB5D0D" w14:paraId="6D569BD0"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C0F02F8" w14:textId="77777777" w:rsidR="003C7E8B" w:rsidRPr="00DB5D0D" w:rsidRDefault="003C7E8B" w:rsidP="00DB5D0D">
            <w:pPr>
              <w:pStyle w:val="a3"/>
              <w:rPr>
                <w:color w:val="000000" w:themeColor="text1"/>
              </w:rPr>
            </w:pPr>
            <w:r w:rsidRPr="00DB5D0D">
              <w:rPr>
                <w:color w:val="000000" w:themeColor="text1"/>
              </w:rPr>
              <w:t>4.</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76F1CEDD" w14:textId="77777777" w:rsidR="003C7E8B" w:rsidRPr="00DB5D0D" w:rsidRDefault="003C7E8B" w:rsidP="00DB5D0D">
            <w:pPr>
              <w:pStyle w:val="a3"/>
              <w:rPr>
                <w:color w:val="000000" w:themeColor="text1"/>
                <w:lang w:val="ru-RU"/>
              </w:rPr>
            </w:pPr>
            <w:r w:rsidRPr="00DB5D0D">
              <w:rPr>
                <w:color w:val="000000" w:themeColor="text1"/>
                <w:lang w:val="ru-RU"/>
              </w:rPr>
              <w:t>Произвести испытание измененного вентилятора мотора на гарантийный километраж.</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3599EE45" w14:textId="77777777" w:rsidR="003C7E8B" w:rsidRPr="00DB5D0D" w:rsidRDefault="003C7E8B" w:rsidP="00DB5D0D">
            <w:pPr>
              <w:pStyle w:val="a3"/>
              <w:rPr>
                <w:color w:val="000000" w:themeColor="text1"/>
              </w:rPr>
            </w:pPr>
            <w:r w:rsidRPr="00DB5D0D">
              <w:rPr>
                <w:color w:val="000000" w:themeColor="text1"/>
              </w:rPr>
              <w:t>С 01.09.1940</w:t>
            </w:r>
          </w:p>
        </w:tc>
      </w:tr>
      <w:tr w:rsidR="007D5DF8" w:rsidRPr="00DB5D0D" w14:paraId="59CA3B6C"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EA47718" w14:textId="77777777" w:rsidR="003C7E8B" w:rsidRPr="00DB5D0D" w:rsidRDefault="003C7E8B" w:rsidP="00DB5D0D">
            <w:pPr>
              <w:pStyle w:val="a3"/>
              <w:rPr>
                <w:color w:val="000000" w:themeColor="text1"/>
              </w:rPr>
            </w:pPr>
            <w:r w:rsidRPr="00DB5D0D">
              <w:rPr>
                <w:color w:val="000000" w:themeColor="text1"/>
              </w:rPr>
              <w:t>5.</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7679A95C" w14:textId="77777777" w:rsidR="003C7E8B" w:rsidRPr="00DB5D0D" w:rsidRDefault="003C7E8B" w:rsidP="00DB5D0D">
            <w:pPr>
              <w:pStyle w:val="a3"/>
              <w:rPr>
                <w:color w:val="000000" w:themeColor="text1"/>
                <w:lang w:val="ru-RU"/>
              </w:rPr>
            </w:pPr>
            <w:r w:rsidRPr="00DB5D0D">
              <w:rPr>
                <w:color w:val="000000" w:themeColor="text1"/>
                <w:lang w:val="ru-RU"/>
              </w:rPr>
              <w:t>Обеспечить надежный возврат тяги акселератора от ручного и ножного привода, устранить заедание.</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34631FDD"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7C049ACB" w14:textId="77777777" w:rsidTr="00E543D0">
        <w:trPr>
          <w:trHeight w:val="107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E568BC8" w14:textId="77777777" w:rsidR="003C7E8B" w:rsidRPr="00DB5D0D" w:rsidRDefault="003C7E8B" w:rsidP="00DB5D0D">
            <w:pPr>
              <w:pStyle w:val="a3"/>
              <w:rPr>
                <w:color w:val="000000" w:themeColor="text1"/>
              </w:rPr>
            </w:pPr>
            <w:r w:rsidRPr="00DB5D0D">
              <w:rPr>
                <w:color w:val="000000" w:themeColor="text1"/>
              </w:rPr>
              <w:t>6.</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193D4090" w14:textId="77777777" w:rsidR="003C7E8B" w:rsidRPr="00DB5D0D" w:rsidRDefault="003C7E8B" w:rsidP="00DB5D0D">
            <w:pPr>
              <w:pStyle w:val="a3"/>
              <w:tabs>
                <w:tab w:val="left" w:pos="242"/>
              </w:tabs>
              <w:rPr>
                <w:color w:val="000000" w:themeColor="text1"/>
                <w:lang w:val="ru-RU"/>
              </w:rPr>
            </w:pPr>
            <w:r w:rsidRPr="00DB5D0D">
              <w:rPr>
                <w:color w:val="000000" w:themeColor="text1"/>
                <w:lang w:val="ru-RU"/>
              </w:rPr>
              <w:t>4.</w:t>
            </w:r>
            <w:r w:rsidRPr="00DB5D0D">
              <w:rPr>
                <w:color w:val="000000" w:themeColor="text1"/>
                <w:lang w:val="ru-RU"/>
              </w:rPr>
              <w:tab/>
              <w:t>Уменьшить размеры сиденья башни по ширине.</w:t>
            </w:r>
          </w:p>
          <w:p w14:paraId="5DE2A409" w14:textId="77777777" w:rsidR="003C7E8B" w:rsidRPr="00DB5D0D" w:rsidRDefault="003C7E8B" w:rsidP="00DB5D0D">
            <w:pPr>
              <w:pStyle w:val="a3"/>
              <w:tabs>
                <w:tab w:val="left" w:pos="256"/>
              </w:tabs>
              <w:rPr>
                <w:color w:val="000000" w:themeColor="text1"/>
                <w:lang w:val="ru-RU"/>
              </w:rPr>
            </w:pPr>
            <w:r w:rsidRPr="00DB5D0D">
              <w:rPr>
                <w:color w:val="000000" w:themeColor="text1"/>
                <w:lang w:val="ru-RU"/>
              </w:rPr>
              <w:t>5.</w:t>
            </w:r>
            <w:r w:rsidRPr="00DB5D0D">
              <w:rPr>
                <w:color w:val="000000" w:themeColor="text1"/>
                <w:lang w:val="ru-RU"/>
              </w:rPr>
              <w:tab/>
              <w:t>Сделать их мягкими.</w:t>
            </w:r>
          </w:p>
          <w:p w14:paraId="5ABBD14C" w14:textId="77777777" w:rsidR="003C7E8B" w:rsidRPr="00DB5D0D" w:rsidRDefault="003C7E8B" w:rsidP="00DB5D0D">
            <w:pPr>
              <w:pStyle w:val="a3"/>
              <w:tabs>
                <w:tab w:val="left" w:pos="256"/>
              </w:tabs>
              <w:rPr>
                <w:color w:val="000000" w:themeColor="text1"/>
                <w:lang w:val="ru-RU"/>
              </w:rPr>
            </w:pPr>
            <w:r w:rsidRPr="00DB5D0D">
              <w:rPr>
                <w:color w:val="000000" w:themeColor="text1"/>
                <w:lang w:val="ru-RU"/>
              </w:rPr>
              <w:t>6.</w:t>
            </w:r>
            <w:r w:rsidRPr="00DB5D0D">
              <w:rPr>
                <w:color w:val="000000" w:themeColor="text1"/>
                <w:lang w:val="ru-RU"/>
              </w:rPr>
              <w:tab/>
              <w:t>Поставить ограничитель при повороте сиденья.</w:t>
            </w:r>
          </w:p>
          <w:p w14:paraId="72593D41" w14:textId="77777777" w:rsidR="003C7E8B" w:rsidRPr="00DB5D0D" w:rsidRDefault="003C7E8B" w:rsidP="00DB5D0D">
            <w:pPr>
              <w:pStyle w:val="a3"/>
              <w:tabs>
                <w:tab w:val="left" w:pos="263"/>
              </w:tabs>
              <w:rPr>
                <w:color w:val="000000" w:themeColor="text1"/>
              </w:rPr>
            </w:pPr>
            <w:r w:rsidRPr="00DB5D0D">
              <w:rPr>
                <w:color w:val="000000" w:themeColor="text1"/>
              </w:rPr>
              <w:t>7.</w:t>
            </w:r>
            <w:r w:rsidRPr="00DB5D0D">
              <w:rPr>
                <w:color w:val="000000" w:themeColor="text1"/>
              </w:rPr>
              <w:tab/>
              <w:t>Переделать углубление, устраняющее соскальзывание.</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648FCEFD" w14:textId="77777777" w:rsidR="003C7E8B" w:rsidRPr="00DB5D0D" w:rsidRDefault="003C7E8B" w:rsidP="00DB5D0D">
            <w:pPr>
              <w:pStyle w:val="a3"/>
              <w:rPr>
                <w:color w:val="000000" w:themeColor="text1"/>
              </w:rPr>
            </w:pPr>
            <w:r w:rsidRPr="00DB5D0D">
              <w:rPr>
                <w:color w:val="000000" w:themeColor="text1"/>
              </w:rPr>
              <w:t>Разработать чертежи к 10.08.1940</w:t>
            </w:r>
          </w:p>
        </w:tc>
      </w:tr>
      <w:tr w:rsidR="007D5DF8" w:rsidRPr="00DB5D0D" w14:paraId="2EBDDB9D"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7B36A9C" w14:textId="77777777" w:rsidR="003C7E8B" w:rsidRPr="00DB5D0D" w:rsidRDefault="003C7E8B" w:rsidP="00DB5D0D">
            <w:pPr>
              <w:pStyle w:val="a3"/>
              <w:rPr>
                <w:color w:val="000000" w:themeColor="text1"/>
              </w:rPr>
            </w:pPr>
            <w:r w:rsidRPr="00DB5D0D">
              <w:rPr>
                <w:color w:val="000000" w:themeColor="text1"/>
              </w:rPr>
              <w:t>7.</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190DCF19" w14:textId="77777777" w:rsidR="003C7E8B" w:rsidRPr="00DB5D0D" w:rsidRDefault="003C7E8B" w:rsidP="00DB5D0D">
            <w:pPr>
              <w:pStyle w:val="a3"/>
              <w:rPr>
                <w:color w:val="000000" w:themeColor="text1"/>
              </w:rPr>
            </w:pPr>
            <w:r w:rsidRPr="00DB5D0D">
              <w:rPr>
                <w:color w:val="000000" w:themeColor="text1"/>
                <w:lang w:val="ru-RU"/>
              </w:rPr>
              <w:t xml:space="preserve">Устранить попадание масла и горючего на провода, уложенные по бортам. </w:t>
            </w:r>
            <w:r w:rsidRPr="00DB5D0D">
              <w:rPr>
                <w:color w:val="000000" w:themeColor="text1"/>
              </w:rPr>
              <w:t>Электропровода уложить в трубах или желобах.</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41CE9F30"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577E0758"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49EF472" w14:textId="77777777" w:rsidR="003C7E8B" w:rsidRPr="00DB5D0D" w:rsidRDefault="003C7E8B" w:rsidP="00DB5D0D">
            <w:pPr>
              <w:pStyle w:val="a3"/>
              <w:rPr>
                <w:color w:val="000000" w:themeColor="text1"/>
              </w:rPr>
            </w:pPr>
            <w:r w:rsidRPr="00DB5D0D">
              <w:rPr>
                <w:color w:val="000000" w:themeColor="text1"/>
              </w:rPr>
              <w:t>8.</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21148E29" w14:textId="77777777" w:rsidR="003C7E8B" w:rsidRPr="00DB5D0D" w:rsidRDefault="003C7E8B" w:rsidP="00DB5D0D">
            <w:pPr>
              <w:pStyle w:val="a3"/>
              <w:rPr>
                <w:color w:val="000000" w:themeColor="text1"/>
                <w:lang w:val="ru-RU"/>
              </w:rPr>
            </w:pPr>
            <w:r w:rsidRPr="00DB5D0D">
              <w:rPr>
                <w:color w:val="000000" w:themeColor="text1"/>
                <w:lang w:val="ru-RU"/>
              </w:rPr>
              <w:t>Усилить постель стартера, предохранить его от перемещения и проверить крепление стартера.</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2C9E7F15" w14:textId="77777777" w:rsidR="003C7E8B" w:rsidRPr="00DB5D0D" w:rsidRDefault="003C7E8B" w:rsidP="00DB5D0D">
            <w:pPr>
              <w:pStyle w:val="a3"/>
              <w:rPr>
                <w:color w:val="000000" w:themeColor="text1"/>
              </w:rPr>
            </w:pPr>
            <w:r w:rsidRPr="00DB5D0D">
              <w:rPr>
                <w:color w:val="000000" w:themeColor="text1"/>
              </w:rPr>
              <w:t>С 21-й машины</w:t>
            </w:r>
          </w:p>
        </w:tc>
      </w:tr>
      <w:tr w:rsidR="007D5DF8" w:rsidRPr="00DB5D0D" w14:paraId="39BC2F17"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8EC9616" w14:textId="77777777" w:rsidR="003C7E8B" w:rsidRPr="00DB5D0D" w:rsidRDefault="003C7E8B" w:rsidP="00DB5D0D">
            <w:pPr>
              <w:pStyle w:val="a3"/>
              <w:rPr>
                <w:color w:val="000000" w:themeColor="text1"/>
              </w:rPr>
            </w:pPr>
            <w:r w:rsidRPr="00DB5D0D">
              <w:rPr>
                <w:color w:val="000000" w:themeColor="text1"/>
              </w:rPr>
              <w:t>9.</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474678AC" w14:textId="77777777" w:rsidR="003C7E8B" w:rsidRPr="00DB5D0D" w:rsidRDefault="003C7E8B" w:rsidP="00DB5D0D">
            <w:pPr>
              <w:pStyle w:val="a3"/>
              <w:rPr>
                <w:color w:val="000000" w:themeColor="text1"/>
              </w:rPr>
            </w:pPr>
            <w:r w:rsidRPr="00DB5D0D">
              <w:rPr>
                <w:color w:val="000000" w:themeColor="text1"/>
              </w:rPr>
              <w:t>Обеспечить герметичность люка водителя.</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75903E8A" w14:textId="77777777" w:rsidR="003C7E8B" w:rsidRPr="00DB5D0D" w:rsidRDefault="003C7E8B" w:rsidP="00DB5D0D">
            <w:pPr>
              <w:pStyle w:val="a3"/>
              <w:rPr>
                <w:color w:val="000000" w:themeColor="text1"/>
                <w:lang w:val="ru-RU"/>
              </w:rPr>
            </w:pPr>
            <w:r w:rsidRPr="00DB5D0D">
              <w:rPr>
                <w:color w:val="000000" w:themeColor="text1"/>
                <w:lang w:val="ru-RU"/>
              </w:rPr>
              <w:t>Разработать чертежи и образец к 01.09.1940</w:t>
            </w:r>
          </w:p>
        </w:tc>
      </w:tr>
      <w:tr w:rsidR="007D5DF8" w:rsidRPr="00DB5D0D" w14:paraId="751B0F47" w14:textId="77777777" w:rsidTr="00E543D0">
        <w:trPr>
          <w:trHeight w:val="54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367620C" w14:textId="77777777" w:rsidR="003C7E8B" w:rsidRPr="00DB5D0D" w:rsidRDefault="003C7E8B" w:rsidP="00DB5D0D">
            <w:pPr>
              <w:pStyle w:val="a3"/>
              <w:rPr>
                <w:color w:val="000000" w:themeColor="text1"/>
              </w:rPr>
            </w:pPr>
            <w:r w:rsidRPr="00DB5D0D">
              <w:rPr>
                <w:color w:val="000000" w:themeColor="text1"/>
              </w:rPr>
              <w:t>10.</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30290DEC" w14:textId="77777777" w:rsidR="003C7E8B" w:rsidRPr="00DB5D0D" w:rsidRDefault="003C7E8B" w:rsidP="00DB5D0D">
            <w:pPr>
              <w:pStyle w:val="a3"/>
              <w:rPr>
                <w:color w:val="000000" w:themeColor="text1"/>
                <w:lang w:val="ru-RU"/>
              </w:rPr>
            </w:pPr>
            <w:r w:rsidRPr="00DB5D0D">
              <w:rPr>
                <w:color w:val="000000" w:themeColor="text1"/>
                <w:lang w:val="ru-RU"/>
              </w:rPr>
              <w:t>Заменить буксирные рымы крюками, обеспечивающими быстроту и удобство взятия машины на буксир, кроме зтого предусмотреть буксирный крюк тракторного типа («Ворошиловец»).</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3207ECFA" w14:textId="77777777" w:rsidR="003C7E8B" w:rsidRPr="00DB5D0D" w:rsidRDefault="003C7E8B" w:rsidP="00DB5D0D">
            <w:pPr>
              <w:pStyle w:val="a3"/>
              <w:rPr>
                <w:color w:val="000000" w:themeColor="text1"/>
              </w:rPr>
            </w:pPr>
            <w:r w:rsidRPr="00DB5D0D">
              <w:rPr>
                <w:color w:val="000000" w:themeColor="text1"/>
              </w:rPr>
              <w:t>Разработать чертежи не позднее 01.11.1940</w:t>
            </w:r>
          </w:p>
        </w:tc>
      </w:tr>
      <w:tr w:rsidR="007D5DF8" w:rsidRPr="00DB5D0D" w14:paraId="35657F7A"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A261C8B" w14:textId="77777777" w:rsidR="003C7E8B" w:rsidRPr="00DB5D0D" w:rsidRDefault="003C7E8B" w:rsidP="00DB5D0D">
            <w:pPr>
              <w:pStyle w:val="a3"/>
              <w:rPr>
                <w:color w:val="000000" w:themeColor="text1"/>
              </w:rPr>
            </w:pPr>
            <w:r w:rsidRPr="00DB5D0D">
              <w:rPr>
                <w:color w:val="000000" w:themeColor="text1"/>
              </w:rPr>
              <w:t>11.</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1321BCD1" w14:textId="77777777" w:rsidR="003C7E8B" w:rsidRPr="00DB5D0D" w:rsidRDefault="003C7E8B" w:rsidP="00DB5D0D">
            <w:pPr>
              <w:pStyle w:val="a3"/>
              <w:rPr>
                <w:color w:val="000000" w:themeColor="text1"/>
                <w:lang w:val="ru-RU"/>
              </w:rPr>
            </w:pPr>
            <w:r w:rsidRPr="00DB5D0D">
              <w:rPr>
                <w:color w:val="000000" w:themeColor="text1"/>
                <w:lang w:val="ru-RU"/>
              </w:rPr>
              <w:t>Угол возвышения пушки довести до 30°, угол снижения на нос и борта до 5°.</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105559DF" w14:textId="77777777" w:rsidR="003C7E8B" w:rsidRPr="00DB5D0D" w:rsidRDefault="003C7E8B" w:rsidP="00DB5D0D">
            <w:pPr>
              <w:pStyle w:val="a3"/>
              <w:rPr>
                <w:color w:val="000000" w:themeColor="text1"/>
              </w:rPr>
            </w:pPr>
            <w:r w:rsidRPr="00DB5D0D">
              <w:rPr>
                <w:color w:val="000000" w:themeColor="text1"/>
              </w:rPr>
              <w:t>С 38-й машины</w:t>
            </w:r>
          </w:p>
        </w:tc>
      </w:tr>
      <w:tr w:rsidR="007D5DF8" w:rsidRPr="00DB5D0D" w14:paraId="14457DCA"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1D83F65" w14:textId="77777777" w:rsidR="003C7E8B" w:rsidRPr="00DB5D0D" w:rsidRDefault="003C7E8B" w:rsidP="00DB5D0D">
            <w:pPr>
              <w:pStyle w:val="a3"/>
              <w:rPr>
                <w:color w:val="000000" w:themeColor="text1"/>
              </w:rPr>
            </w:pPr>
            <w:r w:rsidRPr="00DB5D0D">
              <w:rPr>
                <w:color w:val="000000" w:themeColor="text1"/>
              </w:rPr>
              <w:t>12.</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3004B187" w14:textId="77777777" w:rsidR="003C7E8B" w:rsidRPr="00DB5D0D" w:rsidRDefault="003C7E8B" w:rsidP="00DB5D0D">
            <w:pPr>
              <w:pStyle w:val="a3"/>
              <w:rPr>
                <w:color w:val="000000" w:themeColor="text1"/>
                <w:lang w:val="ru-RU"/>
              </w:rPr>
            </w:pPr>
            <w:r w:rsidRPr="00DB5D0D">
              <w:rPr>
                <w:color w:val="000000" w:themeColor="text1"/>
                <w:lang w:val="ru-RU"/>
              </w:rPr>
              <w:t>Предусмотреть ограничитель угла снижения на корму.</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3F1B457C" w14:textId="77777777" w:rsidR="003C7E8B" w:rsidRPr="00DB5D0D" w:rsidRDefault="003C7E8B" w:rsidP="00DB5D0D">
            <w:pPr>
              <w:pStyle w:val="a3"/>
              <w:rPr>
                <w:color w:val="000000" w:themeColor="text1"/>
              </w:rPr>
            </w:pPr>
            <w:r w:rsidRPr="00DB5D0D">
              <w:rPr>
                <w:color w:val="000000" w:themeColor="text1"/>
              </w:rPr>
              <w:t>Разработать чертежи к 01.09.1940</w:t>
            </w:r>
          </w:p>
        </w:tc>
      </w:tr>
      <w:tr w:rsidR="007D5DF8" w:rsidRPr="00DB5D0D" w14:paraId="1FCE7DB1" w14:textId="77777777" w:rsidTr="00E543D0">
        <w:trPr>
          <w:trHeight w:val="81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8F77CC2" w14:textId="77777777" w:rsidR="003C7E8B" w:rsidRPr="00DB5D0D" w:rsidRDefault="003C7E8B" w:rsidP="00DB5D0D">
            <w:pPr>
              <w:pStyle w:val="a3"/>
              <w:rPr>
                <w:color w:val="000000" w:themeColor="text1"/>
              </w:rPr>
            </w:pPr>
            <w:r w:rsidRPr="00DB5D0D">
              <w:rPr>
                <w:color w:val="000000" w:themeColor="text1"/>
              </w:rPr>
              <w:t>13.</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5979F82A" w14:textId="77777777" w:rsidR="003C7E8B" w:rsidRPr="00DB5D0D" w:rsidRDefault="003C7E8B" w:rsidP="00DB5D0D">
            <w:pPr>
              <w:pStyle w:val="a3"/>
              <w:rPr>
                <w:color w:val="000000" w:themeColor="text1"/>
              </w:rPr>
            </w:pPr>
            <w:r w:rsidRPr="00DB5D0D">
              <w:rPr>
                <w:color w:val="000000" w:themeColor="text1"/>
                <w:lang w:val="ru-RU"/>
              </w:rPr>
              <w:t xml:space="preserve">Радиостанцию установить в носовой части корпуса. На каждом линейном танке монтировать антенный ввод и предусмотреть установку радиостанции (приемника и передатчика). </w:t>
            </w:r>
            <w:r w:rsidRPr="00DB5D0D">
              <w:rPr>
                <w:color w:val="000000" w:themeColor="text1"/>
              </w:rPr>
              <w:t>Использовать на радиомашины РРН, РУН-10. Защитить 10-А предохранителем.</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37324D5B" w14:textId="77777777" w:rsidR="003C7E8B" w:rsidRPr="00DB5D0D" w:rsidRDefault="003C7E8B" w:rsidP="00DB5D0D">
            <w:pPr>
              <w:pStyle w:val="a3"/>
              <w:rPr>
                <w:color w:val="000000" w:themeColor="text1"/>
              </w:rPr>
            </w:pPr>
            <w:r w:rsidRPr="00DB5D0D">
              <w:rPr>
                <w:color w:val="000000" w:themeColor="text1"/>
              </w:rPr>
              <w:t>С 15.09.1940</w:t>
            </w:r>
          </w:p>
        </w:tc>
      </w:tr>
      <w:tr w:rsidR="007D5DF8" w:rsidRPr="00DB5D0D" w14:paraId="1A6997D9" w14:textId="77777777" w:rsidTr="00E543D0">
        <w:trPr>
          <w:trHeight w:val="54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FB8BCC7" w14:textId="77777777" w:rsidR="003C7E8B" w:rsidRPr="00DB5D0D" w:rsidRDefault="003C7E8B" w:rsidP="00DB5D0D">
            <w:pPr>
              <w:pStyle w:val="a3"/>
              <w:rPr>
                <w:color w:val="000000" w:themeColor="text1"/>
              </w:rPr>
            </w:pPr>
            <w:r w:rsidRPr="00DB5D0D">
              <w:rPr>
                <w:color w:val="000000" w:themeColor="text1"/>
              </w:rPr>
              <w:t>14.</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7D2EF116" w14:textId="77777777" w:rsidR="003C7E8B" w:rsidRPr="00DB5D0D" w:rsidRDefault="003C7E8B" w:rsidP="00DB5D0D">
            <w:pPr>
              <w:pStyle w:val="a3"/>
              <w:rPr>
                <w:color w:val="000000" w:themeColor="text1"/>
                <w:lang w:val="ru-RU"/>
              </w:rPr>
            </w:pPr>
            <w:r w:rsidRPr="00DB5D0D">
              <w:rPr>
                <w:color w:val="000000" w:themeColor="text1"/>
                <w:lang w:val="ru-RU"/>
              </w:rPr>
              <w:t>В магистрали к манометру подкачивающей топливной помпы ставить гидравлический амортизатор или манометр с приемником по типу масляного.</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0CE3CE2F"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5F10550C"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FF33134" w14:textId="77777777" w:rsidR="003C7E8B" w:rsidRPr="00DB5D0D" w:rsidRDefault="003C7E8B" w:rsidP="00DB5D0D">
            <w:pPr>
              <w:pStyle w:val="a3"/>
              <w:rPr>
                <w:color w:val="000000" w:themeColor="text1"/>
              </w:rPr>
            </w:pPr>
            <w:r w:rsidRPr="00DB5D0D">
              <w:rPr>
                <w:color w:val="000000" w:themeColor="text1"/>
              </w:rPr>
              <w:t>15.</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0FB37BC6" w14:textId="77777777" w:rsidR="003C7E8B" w:rsidRPr="00DB5D0D" w:rsidRDefault="003C7E8B" w:rsidP="00DB5D0D">
            <w:pPr>
              <w:pStyle w:val="a3"/>
              <w:rPr>
                <w:color w:val="000000" w:themeColor="text1"/>
              </w:rPr>
            </w:pPr>
            <w:r w:rsidRPr="00DB5D0D">
              <w:rPr>
                <w:color w:val="000000" w:themeColor="text1"/>
                <w:lang w:val="ru-RU"/>
              </w:rPr>
              <w:t xml:space="preserve">Разработать установку четырех топливных баков по два на каждом крыле танка. </w:t>
            </w:r>
            <w:r w:rsidRPr="00DB5D0D">
              <w:rPr>
                <w:color w:val="000000" w:themeColor="text1"/>
              </w:rPr>
              <w:t>Емкость — 30—50 л каждый.</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73A01346" w14:textId="77777777" w:rsidR="003C7E8B" w:rsidRPr="00DB5D0D" w:rsidRDefault="003C7E8B" w:rsidP="00DB5D0D">
            <w:pPr>
              <w:pStyle w:val="a3"/>
              <w:rPr>
                <w:color w:val="000000" w:themeColor="text1"/>
              </w:rPr>
            </w:pPr>
            <w:r w:rsidRPr="00DB5D0D">
              <w:rPr>
                <w:color w:val="000000" w:themeColor="text1"/>
              </w:rPr>
              <w:t>С ноября 1940 г.</w:t>
            </w:r>
          </w:p>
        </w:tc>
      </w:tr>
      <w:tr w:rsidR="007D5DF8" w:rsidRPr="00DB5D0D" w14:paraId="0B10F869"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09B8780" w14:textId="77777777" w:rsidR="003C7E8B" w:rsidRPr="00DB5D0D" w:rsidRDefault="003C7E8B" w:rsidP="00DB5D0D">
            <w:pPr>
              <w:pStyle w:val="a3"/>
              <w:rPr>
                <w:color w:val="000000" w:themeColor="text1"/>
              </w:rPr>
            </w:pPr>
            <w:r w:rsidRPr="00DB5D0D">
              <w:rPr>
                <w:color w:val="000000" w:themeColor="text1"/>
              </w:rPr>
              <w:t>16.</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39AA00AF" w14:textId="77777777" w:rsidR="003C7E8B" w:rsidRPr="00DB5D0D" w:rsidRDefault="003C7E8B" w:rsidP="00DB5D0D">
            <w:pPr>
              <w:pStyle w:val="a3"/>
              <w:rPr>
                <w:color w:val="000000" w:themeColor="text1"/>
                <w:lang w:val="ru-RU"/>
              </w:rPr>
            </w:pPr>
            <w:r w:rsidRPr="00DB5D0D">
              <w:rPr>
                <w:color w:val="000000" w:themeColor="text1"/>
                <w:lang w:val="ru-RU"/>
              </w:rPr>
              <w:t>Разработать установку секретного наружного замка к люку лазу.</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49E9027B" w14:textId="77777777" w:rsidR="003C7E8B" w:rsidRPr="00DB5D0D" w:rsidRDefault="003C7E8B" w:rsidP="00DB5D0D">
            <w:pPr>
              <w:pStyle w:val="a3"/>
              <w:rPr>
                <w:color w:val="000000" w:themeColor="text1"/>
                <w:lang w:val="ru-RU"/>
              </w:rPr>
            </w:pPr>
            <w:r w:rsidRPr="00DB5D0D">
              <w:rPr>
                <w:color w:val="000000" w:themeColor="text1"/>
                <w:lang w:val="ru-RU"/>
              </w:rPr>
              <w:t>Установить срок после утверждения чертежей</w:t>
            </w:r>
          </w:p>
        </w:tc>
      </w:tr>
      <w:tr w:rsidR="007D5DF8" w:rsidRPr="00DB5D0D" w14:paraId="2629B55C"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51691D0" w14:textId="77777777" w:rsidR="003C7E8B" w:rsidRPr="00DB5D0D" w:rsidRDefault="003C7E8B" w:rsidP="00DB5D0D">
            <w:pPr>
              <w:pStyle w:val="a3"/>
              <w:rPr>
                <w:color w:val="000000" w:themeColor="text1"/>
              </w:rPr>
            </w:pPr>
            <w:r w:rsidRPr="00DB5D0D">
              <w:rPr>
                <w:color w:val="000000" w:themeColor="text1"/>
              </w:rPr>
              <w:t>17.</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6DE49ED8" w14:textId="77777777" w:rsidR="003C7E8B" w:rsidRPr="00DB5D0D" w:rsidRDefault="003C7E8B" w:rsidP="00DB5D0D">
            <w:pPr>
              <w:pStyle w:val="a3"/>
              <w:rPr>
                <w:color w:val="000000" w:themeColor="text1"/>
                <w:lang w:val="ru-RU"/>
              </w:rPr>
            </w:pPr>
            <w:r w:rsidRPr="00DB5D0D">
              <w:rPr>
                <w:color w:val="000000" w:themeColor="text1"/>
                <w:lang w:val="ru-RU"/>
              </w:rPr>
              <w:t>Домкраты на машину укладывать достаточной мощности и разработать их укладку на машине.</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76AEACD7" w14:textId="77777777" w:rsidR="003C7E8B" w:rsidRPr="00DB5D0D" w:rsidRDefault="003C7E8B" w:rsidP="00DB5D0D">
            <w:pPr>
              <w:pStyle w:val="a3"/>
              <w:rPr>
                <w:color w:val="000000" w:themeColor="text1"/>
              </w:rPr>
            </w:pPr>
            <w:r w:rsidRPr="00DB5D0D">
              <w:rPr>
                <w:color w:val="000000" w:themeColor="text1"/>
              </w:rPr>
              <w:t>С января 1941 г.</w:t>
            </w:r>
          </w:p>
        </w:tc>
      </w:tr>
      <w:tr w:rsidR="007D5DF8" w:rsidRPr="00DB5D0D" w14:paraId="09646391"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91F4AA3" w14:textId="77777777" w:rsidR="003C7E8B" w:rsidRPr="00DB5D0D" w:rsidRDefault="003C7E8B" w:rsidP="00DB5D0D">
            <w:pPr>
              <w:pStyle w:val="a3"/>
              <w:rPr>
                <w:color w:val="000000" w:themeColor="text1"/>
              </w:rPr>
            </w:pPr>
            <w:r w:rsidRPr="00DB5D0D">
              <w:rPr>
                <w:color w:val="000000" w:themeColor="text1"/>
              </w:rPr>
              <w:t>18.</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307F1C3E" w14:textId="77777777" w:rsidR="003C7E8B" w:rsidRPr="00DB5D0D" w:rsidRDefault="003C7E8B" w:rsidP="00DB5D0D">
            <w:pPr>
              <w:pStyle w:val="a3"/>
              <w:rPr>
                <w:color w:val="000000" w:themeColor="text1"/>
                <w:lang w:val="ru-RU"/>
              </w:rPr>
            </w:pPr>
            <w:r w:rsidRPr="00DB5D0D">
              <w:rPr>
                <w:color w:val="000000" w:themeColor="text1"/>
                <w:lang w:val="ru-RU"/>
              </w:rPr>
              <w:t>Сделать указатель положения рукояток закрытия и открытия жалюзей и кранов.</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176B45E0" w14:textId="77777777" w:rsidR="003C7E8B" w:rsidRPr="00DB5D0D" w:rsidRDefault="003C7E8B" w:rsidP="00DB5D0D">
            <w:pPr>
              <w:pStyle w:val="a3"/>
              <w:rPr>
                <w:color w:val="000000" w:themeColor="text1"/>
              </w:rPr>
            </w:pPr>
            <w:r w:rsidRPr="00DB5D0D">
              <w:rPr>
                <w:color w:val="000000" w:themeColor="text1"/>
              </w:rPr>
              <w:t>С 1-й машины</w:t>
            </w:r>
          </w:p>
        </w:tc>
      </w:tr>
      <w:tr w:rsidR="007D5DF8" w:rsidRPr="00DB5D0D" w14:paraId="7F031046"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B4C6633" w14:textId="77777777" w:rsidR="003C7E8B" w:rsidRPr="00DB5D0D" w:rsidRDefault="003C7E8B" w:rsidP="00DB5D0D">
            <w:pPr>
              <w:pStyle w:val="a3"/>
              <w:rPr>
                <w:color w:val="000000" w:themeColor="text1"/>
              </w:rPr>
            </w:pPr>
            <w:r w:rsidRPr="00DB5D0D">
              <w:rPr>
                <w:color w:val="000000" w:themeColor="text1"/>
              </w:rPr>
              <w:t>19.</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6CF99907" w14:textId="77777777" w:rsidR="003C7E8B" w:rsidRPr="00DB5D0D" w:rsidRDefault="003C7E8B" w:rsidP="00DB5D0D">
            <w:pPr>
              <w:pStyle w:val="a3"/>
              <w:rPr>
                <w:color w:val="000000" w:themeColor="text1"/>
                <w:lang w:val="ru-RU"/>
              </w:rPr>
            </w:pPr>
            <w:r w:rsidRPr="00DB5D0D">
              <w:rPr>
                <w:color w:val="000000" w:themeColor="text1"/>
                <w:lang w:val="ru-RU"/>
              </w:rPr>
              <w:t>Внутреннюю сварку корпуса башни и приварку бонок производить аустенитовыми электродами.</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3E708DF7" w14:textId="77777777" w:rsidR="003C7E8B" w:rsidRPr="00DB5D0D" w:rsidRDefault="003C7E8B" w:rsidP="00DB5D0D">
            <w:pPr>
              <w:pStyle w:val="a3"/>
              <w:rPr>
                <w:color w:val="000000" w:themeColor="text1"/>
                <w:lang w:val="ru-RU"/>
              </w:rPr>
            </w:pPr>
            <w:r w:rsidRPr="00DB5D0D">
              <w:rPr>
                <w:color w:val="000000" w:themeColor="text1"/>
                <w:lang w:val="ru-RU"/>
              </w:rPr>
              <w:t>Установить срок после испытания обстрелом</w:t>
            </w:r>
          </w:p>
        </w:tc>
      </w:tr>
      <w:tr w:rsidR="007D5DF8" w:rsidRPr="00DB5D0D" w14:paraId="0AF4A2AF"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3943B93" w14:textId="77777777" w:rsidR="003C7E8B" w:rsidRPr="00DB5D0D" w:rsidRDefault="003C7E8B" w:rsidP="00DB5D0D">
            <w:pPr>
              <w:pStyle w:val="a3"/>
              <w:rPr>
                <w:color w:val="000000" w:themeColor="text1"/>
              </w:rPr>
            </w:pPr>
            <w:r w:rsidRPr="00DB5D0D">
              <w:rPr>
                <w:color w:val="000000" w:themeColor="text1"/>
              </w:rPr>
              <w:t>20.</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58BE50D7" w14:textId="77777777" w:rsidR="003C7E8B" w:rsidRPr="00DB5D0D" w:rsidRDefault="003C7E8B" w:rsidP="00DB5D0D">
            <w:pPr>
              <w:pStyle w:val="a3"/>
              <w:rPr>
                <w:color w:val="000000" w:themeColor="text1"/>
                <w:lang w:val="ru-RU"/>
              </w:rPr>
            </w:pPr>
            <w:r w:rsidRPr="00DB5D0D">
              <w:rPr>
                <w:color w:val="000000" w:themeColor="text1"/>
                <w:lang w:val="ru-RU"/>
              </w:rPr>
              <w:t>Усилить петли люка-лаза и их приварку к деталям днища машины, а также доработать вопрос с запором.</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18302B2A" w14:textId="77777777" w:rsidR="003C7E8B" w:rsidRPr="00DB5D0D" w:rsidRDefault="003C7E8B" w:rsidP="00DB5D0D">
            <w:pPr>
              <w:pStyle w:val="a3"/>
              <w:rPr>
                <w:color w:val="000000" w:themeColor="text1"/>
              </w:rPr>
            </w:pPr>
            <w:r w:rsidRPr="00DB5D0D">
              <w:rPr>
                <w:color w:val="000000" w:themeColor="text1"/>
              </w:rPr>
              <w:t>С 1-й машины</w:t>
            </w:r>
          </w:p>
        </w:tc>
      </w:tr>
      <w:tr w:rsidR="007D5DF8" w:rsidRPr="00DB5D0D" w14:paraId="68773F89"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611BE6E" w14:textId="77777777" w:rsidR="003C7E8B" w:rsidRPr="00DB5D0D" w:rsidRDefault="003C7E8B" w:rsidP="00DB5D0D">
            <w:pPr>
              <w:pStyle w:val="a3"/>
              <w:rPr>
                <w:color w:val="000000" w:themeColor="text1"/>
              </w:rPr>
            </w:pPr>
            <w:r w:rsidRPr="00DB5D0D">
              <w:rPr>
                <w:color w:val="000000" w:themeColor="text1"/>
              </w:rPr>
              <w:t>21.</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51C37E44" w14:textId="77777777" w:rsidR="003C7E8B" w:rsidRPr="00DB5D0D" w:rsidRDefault="003C7E8B" w:rsidP="00DB5D0D">
            <w:pPr>
              <w:pStyle w:val="a3"/>
              <w:rPr>
                <w:color w:val="000000" w:themeColor="text1"/>
                <w:lang w:val="ru-RU"/>
              </w:rPr>
            </w:pPr>
            <w:r w:rsidRPr="00DB5D0D">
              <w:rPr>
                <w:color w:val="000000" w:themeColor="text1"/>
                <w:lang w:val="ru-RU"/>
              </w:rPr>
              <w:t>Добиться смены оси люка водителя без подрубки сварного шва и основания смотрового прибора.</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53CFDDA7" w14:textId="77777777" w:rsidR="003C7E8B" w:rsidRPr="00DB5D0D" w:rsidRDefault="003C7E8B" w:rsidP="00DB5D0D">
            <w:pPr>
              <w:pStyle w:val="a3"/>
              <w:rPr>
                <w:color w:val="000000" w:themeColor="text1"/>
              </w:rPr>
            </w:pPr>
            <w:r w:rsidRPr="00DB5D0D">
              <w:rPr>
                <w:color w:val="000000" w:themeColor="text1"/>
              </w:rPr>
              <w:t>С 1-й машины</w:t>
            </w:r>
          </w:p>
        </w:tc>
      </w:tr>
      <w:tr w:rsidR="007D5DF8" w:rsidRPr="00DB5D0D" w14:paraId="1947D678" w14:textId="77777777" w:rsidTr="00E543D0">
        <w:trPr>
          <w:trHeight w:val="288"/>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1CD4BE0" w14:textId="77777777" w:rsidR="003C7E8B" w:rsidRPr="00DB5D0D" w:rsidRDefault="003C7E8B" w:rsidP="00DB5D0D">
            <w:pPr>
              <w:pStyle w:val="a3"/>
              <w:rPr>
                <w:color w:val="000000" w:themeColor="text1"/>
              </w:rPr>
            </w:pPr>
            <w:r w:rsidRPr="00DB5D0D">
              <w:rPr>
                <w:color w:val="000000" w:themeColor="text1"/>
              </w:rPr>
              <w:t>22.</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7BE4B9CC" w14:textId="77777777" w:rsidR="003C7E8B" w:rsidRPr="00DB5D0D" w:rsidRDefault="003C7E8B" w:rsidP="00DB5D0D">
            <w:pPr>
              <w:pStyle w:val="a3"/>
              <w:rPr>
                <w:color w:val="000000" w:themeColor="text1"/>
                <w:lang w:val="ru-RU"/>
              </w:rPr>
            </w:pPr>
            <w:r w:rsidRPr="00DB5D0D">
              <w:rPr>
                <w:color w:val="000000" w:themeColor="text1"/>
                <w:lang w:val="ru-RU"/>
              </w:rPr>
              <w:t>Облегчить доступ к задним бакам и трансмиссии, колпак под жалюзи крепить защелками.</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10B8B6C1"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6028065A"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3FB7097" w14:textId="77777777" w:rsidR="003C7E8B" w:rsidRPr="00DB5D0D" w:rsidRDefault="003C7E8B" w:rsidP="00DB5D0D">
            <w:pPr>
              <w:pStyle w:val="a3"/>
              <w:rPr>
                <w:color w:val="000000" w:themeColor="text1"/>
              </w:rPr>
            </w:pPr>
            <w:r w:rsidRPr="00DB5D0D">
              <w:rPr>
                <w:color w:val="000000" w:themeColor="text1"/>
              </w:rPr>
              <w:t>23.</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101B3723" w14:textId="77777777" w:rsidR="003C7E8B" w:rsidRPr="00DB5D0D" w:rsidRDefault="003C7E8B" w:rsidP="00DB5D0D">
            <w:pPr>
              <w:pStyle w:val="a3"/>
              <w:rPr>
                <w:color w:val="000000" w:themeColor="text1"/>
                <w:lang w:val="ru-RU"/>
              </w:rPr>
            </w:pPr>
            <w:r w:rsidRPr="00DB5D0D">
              <w:rPr>
                <w:color w:val="000000" w:themeColor="text1"/>
                <w:lang w:val="ru-RU"/>
              </w:rPr>
              <w:t>Обеспечить доступ к нижним штуцерам баков с горючим, для чего сделать вырезы в фальшбортах.</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7F1EEAF0"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6F856FEA"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A888CA0" w14:textId="77777777" w:rsidR="003C7E8B" w:rsidRPr="00DB5D0D" w:rsidRDefault="003C7E8B" w:rsidP="00DB5D0D">
            <w:pPr>
              <w:pStyle w:val="a3"/>
              <w:rPr>
                <w:color w:val="000000" w:themeColor="text1"/>
              </w:rPr>
            </w:pPr>
            <w:r w:rsidRPr="00DB5D0D">
              <w:rPr>
                <w:color w:val="000000" w:themeColor="text1"/>
              </w:rPr>
              <w:t>24.</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6387BF79" w14:textId="77777777" w:rsidR="003C7E8B" w:rsidRPr="00DB5D0D" w:rsidRDefault="003C7E8B" w:rsidP="00DB5D0D">
            <w:pPr>
              <w:pStyle w:val="a3"/>
              <w:rPr>
                <w:color w:val="000000" w:themeColor="text1"/>
                <w:lang w:val="ru-RU"/>
              </w:rPr>
            </w:pPr>
            <w:r w:rsidRPr="00DB5D0D">
              <w:rPr>
                <w:color w:val="000000" w:themeColor="text1"/>
                <w:lang w:val="ru-RU"/>
              </w:rPr>
              <w:t>Добиться определения уровня горючего в нижних баках.</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69C96DC8" w14:textId="77777777" w:rsidR="003C7E8B" w:rsidRPr="00DB5D0D" w:rsidRDefault="003C7E8B" w:rsidP="00DB5D0D">
            <w:pPr>
              <w:pStyle w:val="a3"/>
              <w:rPr>
                <w:color w:val="000000" w:themeColor="text1"/>
                <w:lang w:val="ru-RU"/>
              </w:rPr>
            </w:pPr>
            <w:r w:rsidRPr="00DB5D0D">
              <w:rPr>
                <w:color w:val="000000" w:themeColor="text1"/>
                <w:lang w:val="ru-RU"/>
              </w:rPr>
              <w:t>Изготовить чертежи и образец к 01.09.1940</w:t>
            </w:r>
          </w:p>
        </w:tc>
      </w:tr>
      <w:tr w:rsidR="007D5DF8" w:rsidRPr="00DB5D0D" w14:paraId="673C16FD"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D23512D" w14:textId="77777777" w:rsidR="003C7E8B" w:rsidRPr="00DB5D0D" w:rsidRDefault="003C7E8B" w:rsidP="00DB5D0D">
            <w:pPr>
              <w:pStyle w:val="a3"/>
              <w:rPr>
                <w:color w:val="000000" w:themeColor="text1"/>
              </w:rPr>
            </w:pPr>
            <w:r w:rsidRPr="00DB5D0D">
              <w:rPr>
                <w:color w:val="000000" w:themeColor="text1"/>
              </w:rPr>
              <w:t>25.</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7EEE1E36" w14:textId="77777777" w:rsidR="003C7E8B" w:rsidRPr="00DB5D0D" w:rsidRDefault="003C7E8B" w:rsidP="00DB5D0D">
            <w:pPr>
              <w:pStyle w:val="a3"/>
              <w:rPr>
                <w:color w:val="000000" w:themeColor="text1"/>
                <w:lang w:val="ru-RU"/>
              </w:rPr>
            </w:pPr>
            <w:r w:rsidRPr="00DB5D0D">
              <w:rPr>
                <w:color w:val="000000" w:themeColor="text1"/>
                <w:lang w:val="ru-RU"/>
              </w:rPr>
              <w:t>Добиться смены кассеты смотрового прибора при застопоренной груше.</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1009E8FE" w14:textId="77777777" w:rsidR="003C7E8B" w:rsidRPr="00DB5D0D" w:rsidRDefault="003C7E8B" w:rsidP="00DB5D0D">
            <w:pPr>
              <w:pStyle w:val="a3"/>
              <w:rPr>
                <w:color w:val="000000" w:themeColor="text1"/>
              </w:rPr>
            </w:pPr>
            <w:r w:rsidRPr="00DB5D0D">
              <w:rPr>
                <w:color w:val="000000" w:themeColor="text1"/>
              </w:rPr>
              <w:t>С 1-й машины</w:t>
            </w:r>
          </w:p>
        </w:tc>
      </w:tr>
      <w:tr w:rsidR="007D5DF8" w:rsidRPr="00DB5D0D" w14:paraId="4B5257CC"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74AC307" w14:textId="77777777" w:rsidR="003C7E8B" w:rsidRPr="00DB5D0D" w:rsidRDefault="003C7E8B" w:rsidP="00DB5D0D">
            <w:pPr>
              <w:pStyle w:val="a3"/>
              <w:rPr>
                <w:color w:val="000000" w:themeColor="text1"/>
              </w:rPr>
            </w:pPr>
            <w:r w:rsidRPr="00DB5D0D">
              <w:rPr>
                <w:color w:val="000000" w:themeColor="text1"/>
              </w:rPr>
              <w:t>26.</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5A289239" w14:textId="77777777" w:rsidR="003C7E8B" w:rsidRPr="00DB5D0D" w:rsidRDefault="003C7E8B" w:rsidP="00DB5D0D">
            <w:pPr>
              <w:pStyle w:val="a3"/>
              <w:rPr>
                <w:color w:val="000000" w:themeColor="text1"/>
                <w:lang w:val="ru-RU"/>
              </w:rPr>
            </w:pPr>
            <w:r w:rsidRPr="00DB5D0D">
              <w:rPr>
                <w:color w:val="000000" w:themeColor="text1"/>
                <w:lang w:val="ru-RU"/>
              </w:rPr>
              <w:t>Предохранить задний фонарь от частого разбивания.</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617E74C3"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20E6CDDA"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0FF09B9" w14:textId="77777777" w:rsidR="003C7E8B" w:rsidRPr="00DB5D0D" w:rsidRDefault="003C7E8B" w:rsidP="00DB5D0D">
            <w:pPr>
              <w:pStyle w:val="a3"/>
              <w:rPr>
                <w:color w:val="000000" w:themeColor="text1"/>
              </w:rPr>
            </w:pPr>
            <w:r w:rsidRPr="00DB5D0D">
              <w:rPr>
                <w:color w:val="000000" w:themeColor="text1"/>
              </w:rPr>
              <w:t>27.</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4324C52A" w14:textId="77777777" w:rsidR="003C7E8B" w:rsidRPr="00DB5D0D" w:rsidRDefault="003C7E8B" w:rsidP="00DB5D0D">
            <w:pPr>
              <w:pStyle w:val="a3"/>
              <w:rPr>
                <w:color w:val="000000" w:themeColor="text1"/>
                <w:lang w:val="ru-RU"/>
              </w:rPr>
            </w:pPr>
            <w:r w:rsidRPr="00DB5D0D">
              <w:rPr>
                <w:color w:val="000000" w:themeColor="text1"/>
                <w:lang w:val="ru-RU"/>
              </w:rPr>
              <w:t>При повороте рукоятки (контролера) мотора, башня должна вращаться в ту же сторону.</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74ACB69E" w14:textId="77777777" w:rsidR="003C7E8B" w:rsidRPr="00DB5D0D" w:rsidRDefault="003C7E8B" w:rsidP="00DB5D0D">
            <w:pPr>
              <w:pStyle w:val="a3"/>
              <w:rPr>
                <w:color w:val="000000" w:themeColor="text1"/>
              </w:rPr>
            </w:pPr>
            <w:r w:rsidRPr="00DB5D0D">
              <w:rPr>
                <w:color w:val="000000" w:themeColor="text1"/>
              </w:rPr>
              <w:t>С 1-й машины</w:t>
            </w:r>
          </w:p>
        </w:tc>
      </w:tr>
      <w:tr w:rsidR="007D5DF8" w:rsidRPr="00DB5D0D" w14:paraId="53110AB2" w14:textId="77777777" w:rsidTr="00E543D0">
        <w:trPr>
          <w:trHeight w:val="288"/>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173E0D0" w14:textId="77777777" w:rsidR="003C7E8B" w:rsidRPr="00DB5D0D" w:rsidRDefault="003C7E8B" w:rsidP="00DB5D0D">
            <w:pPr>
              <w:pStyle w:val="a3"/>
              <w:rPr>
                <w:color w:val="000000" w:themeColor="text1"/>
              </w:rPr>
            </w:pPr>
            <w:r w:rsidRPr="00DB5D0D">
              <w:rPr>
                <w:color w:val="000000" w:themeColor="text1"/>
              </w:rPr>
              <w:t>28.</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65846360" w14:textId="77777777" w:rsidR="003C7E8B" w:rsidRPr="00DB5D0D" w:rsidRDefault="003C7E8B" w:rsidP="00DB5D0D">
            <w:pPr>
              <w:pStyle w:val="a3"/>
              <w:rPr>
                <w:color w:val="000000" w:themeColor="text1"/>
                <w:lang w:val="ru-RU"/>
              </w:rPr>
            </w:pPr>
            <w:r w:rsidRPr="00DB5D0D">
              <w:rPr>
                <w:color w:val="000000" w:themeColor="text1"/>
                <w:lang w:val="ru-RU"/>
              </w:rPr>
              <w:t>Закрыть кожухом шестерню, открытую часть погона и муфту мотора поворотного механизма башни.</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22E55595"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6F775B22"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FD43923" w14:textId="77777777" w:rsidR="003C7E8B" w:rsidRPr="00DB5D0D" w:rsidRDefault="003C7E8B" w:rsidP="00DB5D0D">
            <w:pPr>
              <w:pStyle w:val="a3"/>
              <w:rPr>
                <w:color w:val="000000" w:themeColor="text1"/>
              </w:rPr>
            </w:pPr>
            <w:r w:rsidRPr="00DB5D0D">
              <w:rPr>
                <w:color w:val="000000" w:themeColor="text1"/>
              </w:rPr>
              <w:t>29.</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1BA0D1D4" w14:textId="77777777" w:rsidR="003C7E8B" w:rsidRPr="00DB5D0D" w:rsidRDefault="003C7E8B" w:rsidP="00DB5D0D">
            <w:pPr>
              <w:pStyle w:val="a3"/>
              <w:rPr>
                <w:color w:val="000000" w:themeColor="text1"/>
                <w:lang w:val="ru-RU"/>
              </w:rPr>
            </w:pPr>
            <w:r w:rsidRPr="00DB5D0D">
              <w:rPr>
                <w:color w:val="000000" w:themeColor="text1"/>
                <w:lang w:val="ru-RU"/>
              </w:rPr>
              <w:t>Усилить кронштейн ножного спуска системы.</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039E6AE4" w14:textId="77777777" w:rsidR="003C7E8B" w:rsidRPr="00DB5D0D" w:rsidRDefault="003C7E8B" w:rsidP="00DB5D0D">
            <w:pPr>
              <w:pStyle w:val="a3"/>
              <w:rPr>
                <w:color w:val="000000" w:themeColor="text1"/>
              </w:rPr>
            </w:pPr>
            <w:r w:rsidRPr="00DB5D0D">
              <w:rPr>
                <w:color w:val="000000" w:themeColor="text1"/>
              </w:rPr>
              <w:t>С 38-й машины</w:t>
            </w:r>
          </w:p>
        </w:tc>
      </w:tr>
      <w:tr w:rsidR="007D5DF8" w:rsidRPr="00DB5D0D" w14:paraId="75E6370E" w14:textId="77777777" w:rsidTr="00E543D0">
        <w:trPr>
          <w:trHeight w:val="81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0F00AEE" w14:textId="77777777" w:rsidR="003C7E8B" w:rsidRPr="00DB5D0D" w:rsidRDefault="003C7E8B" w:rsidP="00DB5D0D">
            <w:pPr>
              <w:pStyle w:val="a3"/>
              <w:rPr>
                <w:color w:val="000000" w:themeColor="text1"/>
              </w:rPr>
            </w:pPr>
            <w:r w:rsidRPr="00DB5D0D">
              <w:rPr>
                <w:color w:val="000000" w:themeColor="text1"/>
              </w:rPr>
              <w:t>30.</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23E035BD" w14:textId="77777777" w:rsidR="003C7E8B" w:rsidRPr="00DB5D0D" w:rsidRDefault="003C7E8B" w:rsidP="00DB5D0D">
            <w:pPr>
              <w:pStyle w:val="a3"/>
              <w:rPr>
                <w:color w:val="000000" w:themeColor="text1"/>
                <w:lang w:val="ru-RU"/>
              </w:rPr>
            </w:pPr>
            <w:r w:rsidRPr="00DB5D0D">
              <w:rPr>
                <w:color w:val="000000" w:themeColor="text1"/>
                <w:lang w:val="ru-RU"/>
              </w:rPr>
              <w:t>Доработать:</w:t>
            </w:r>
          </w:p>
          <w:p w14:paraId="6B7A4F00" w14:textId="77777777" w:rsidR="003C7E8B" w:rsidRPr="00DB5D0D" w:rsidRDefault="003C7E8B" w:rsidP="00DB5D0D">
            <w:pPr>
              <w:pStyle w:val="a3"/>
              <w:tabs>
                <w:tab w:val="left" w:pos="270"/>
              </w:tabs>
              <w:rPr>
                <w:color w:val="000000" w:themeColor="text1"/>
                <w:lang w:val="ru-RU"/>
              </w:rPr>
            </w:pPr>
            <w:r w:rsidRPr="00DB5D0D">
              <w:rPr>
                <w:color w:val="000000" w:themeColor="text1"/>
                <w:lang w:val="ru-RU"/>
              </w:rPr>
              <w:t>а)</w:t>
            </w:r>
            <w:r w:rsidRPr="00DB5D0D">
              <w:rPr>
                <w:color w:val="000000" w:themeColor="text1"/>
                <w:lang w:val="ru-RU"/>
              </w:rPr>
              <w:tab/>
              <w:t>защелку центрального смотрового прибора.</w:t>
            </w:r>
          </w:p>
          <w:p w14:paraId="4E35ADCF" w14:textId="77777777" w:rsidR="003C7E8B" w:rsidRPr="00DB5D0D" w:rsidRDefault="003C7E8B" w:rsidP="00DB5D0D">
            <w:pPr>
              <w:pStyle w:val="a3"/>
              <w:tabs>
                <w:tab w:val="left" w:pos="278"/>
              </w:tabs>
              <w:rPr>
                <w:color w:val="000000" w:themeColor="text1"/>
              </w:rPr>
            </w:pPr>
            <w:r w:rsidRPr="00DB5D0D">
              <w:rPr>
                <w:color w:val="000000" w:themeColor="text1"/>
              </w:rPr>
              <w:t>б)</w:t>
            </w:r>
            <w:r w:rsidRPr="00DB5D0D">
              <w:rPr>
                <w:color w:val="000000" w:themeColor="text1"/>
              </w:rPr>
              <w:tab/>
              <w:t>открытие смотровых приборов.</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7C59ACF2" w14:textId="77777777" w:rsidR="003C7E8B" w:rsidRPr="00DB5D0D" w:rsidRDefault="003C7E8B" w:rsidP="00DB5D0D">
            <w:pPr>
              <w:pStyle w:val="a3"/>
              <w:tabs>
                <w:tab w:val="left" w:pos="1130"/>
              </w:tabs>
              <w:rPr>
                <w:color w:val="000000" w:themeColor="text1"/>
                <w:lang w:val="ru-RU"/>
              </w:rPr>
            </w:pPr>
            <w:r w:rsidRPr="00DB5D0D">
              <w:rPr>
                <w:color w:val="000000" w:themeColor="text1"/>
                <w:lang w:val="ru-RU"/>
              </w:rPr>
              <w:t>а)</w:t>
            </w:r>
            <w:r w:rsidRPr="00DB5D0D">
              <w:rPr>
                <w:color w:val="000000" w:themeColor="text1"/>
                <w:lang w:val="ru-RU"/>
              </w:rPr>
              <w:tab/>
              <w:t>с 11-й машины</w:t>
            </w:r>
          </w:p>
          <w:p w14:paraId="174CBC73" w14:textId="77777777" w:rsidR="003C7E8B" w:rsidRPr="00DB5D0D" w:rsidRDefault="003C7E8B" w:rsidP="00DB5D0D">
            <w:pPr>
              <w:pStyle w:val="a3"/>
              <w:tabs>
                <w:tab w:val="left" w:pos="1130"/>
              </w:tabs>
              <w:rPr>
                <w:color w:val="000000" w:themeColor="text1"/>
                <w:lang w:val="ru-RU"/>
              </w:rPr>
            </w:pPr>
            <w:r w:rsidRPr="00DB5D0D">
              <w:rPr>
                <w:color w:val="000000" w:themeColor="text1"/>
                <w:lang w:val="ru-RU"/>
              </w:rPr>
              <w:t>б)</w:t>
            </w:r>
            <w:r w:rsidRPr="00DB5D0D">
              <w:rPr>
                <w:color w:val="000000" w:themeColor="text1"/>
                <w:lang w:val="ru-RU"/>
              </w:rPr>
              <w:tab/>
              <w:t>с 1-й машины</w:t>
            </w:r>
          </w:p>
        </w:tc>
      </w:tr>
      <w:tr w:rsidR="007D5DF8" w:rsidRPr="00DB5D0D" w14:paraId="0D1F8CE3"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BDB0588" w14:textId="77777777" w:rsidR="003C7E8B" w:rsidRPr="00DB5D0D" w:rsidRDefault="003C7E8B" w:rsidP="00DB5D0D">
            <w:pPr>
              <w:pStyle w:val="a3"/>
              <w:rPr>
                <w:color w:val="000000" w:themeColor="text1"/>
              </w:rPr>
            </w:pPr>
            <w:r w:rsidRPr="00DB5D0D">
              <w:rPr>
                <w:color w:val="000000" w:themeColor="text1"/>
              </w:rPr>
              <w:t>31.</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3C6FE62F" w14:textId="77777777" w:rsidR="003C7E8B" w:rsidRPr="00DB5D0D" w:rsidRDefault="003C7E8B" w:rsidP="00DB5D0D">
            <w:pPr>
              <w:pStyle w:val="a3"/>
              <w:rPr>
                <w:color w:val="000000" w:themeColor="text1"/>
                <w:lang w:val="ru-RU"/>
              </w:rPr>
            </w:pPr>
            <w:r w:rsidRPr="00DB5D0D">
              <w:rPr>
                <w:color w:val="000000" w:themeColor="text1"/>
                <w:lang w:val="ru-RU"/>
              </w:rPr>
              <w:t>Трос спидометра отнести от педали горного тормоза.</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2BDE6042"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70451C15"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E6C89D4" w14:textId="77777777" w:rsidR="003C7E8B" w:rsidRPr="00DB5D0D" w:rsidRDefault="003C7E8B" w:rsidP="00DB5D0D">
            <w:pPr>
              <w:pStyle w:val="a3"/>
              <w:rPr>
                <w:color w:val="000000" w:themeColor="text1"/>
              </w:rPr>
            </w:pPr>
            <w:r w:rsidRPr="00DB5D0D">
              <w:rPr>
                <w:color w:val="000000" w:themeColor="text1"/>
              </w:rPr>
              <w:t>32.</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74F047AE" w14:textId="77777777" w:rsidR="003C7E8B" w:rsidRPr="00DB5D0D" w:rsidRDefault="003C7E8B" w:rsidP="00DB5D0D">
            <w:pPr>
              <w:pStyle w:val="a3"/>
              <w:rPr>
                <w:color w:val="000000" w:themeColor="text1"/>
                <w:lang w:val="ru-RU"/>
              </w:rPr>
            </w:pPr>
            <w:r w:rsidRPr="00DB5D0D">
              <w:rPr>
                <w:color w:val="000000" w:themeColor="text1"/>
                <w:lang w:val="ru-RU"/>
              </w:rPr>
              <w:t>На крышке бортовой передачи конструктивно предусмотреть рымы или какое-либо другое приспособление, дающее возможность монтажа и демонтажа в полевых условиях.</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40FACADB"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708A0113"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6533A61" w14:textId="77777777" w:rsidR="003C7E8B" w:rsidRPr="00DB5D0D" w:rsidRDefault="003C7E8B" w:rsidP="00DB5D0D">
            <w:pPr>
              <w:pStyle w:val="a3"/>
              <w:rPr>
                <w:color w:val="000000" w:themeColor="text1"/>
              </w:rPr>
            </w:pPr>
            <w:r w:rsidRPr="00DB5D0D">
              <w:rPr>
                <w:color w:val="000000" w:themeColor="text1"/>
              </w:rPr>
              <w:t>33.</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61F372AE" w14:textId="77777777" w:rsidR="003C7E8B" w:rsidRPr="00DB5D0D" w:rsidRDefault="003C7E8B" w:rsidP="00DB5D0D">
            <w:pPr>
              <w:pStyle w:val="a3"/>
              <w:rPr>
                <w:color w:val="000000" w:themeColor="text1"/>
                <w:lang w:val="ru-RU"/>
              </w:rPr>
            </w:pPr>
            <w:r w:rsidRPr="00DB5D0D">
              <w:rPr>
                <w:color w:val="000000" w:themeColor="text1"/>
                <w:lang w:val="ru-RU"/>
              </w:rPr>
              <w:t>Устранить срывание сетки над жалюзи кормы при выстреле на корму, тоже по разрушению стекол фар.</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53835613" w14:textId="77777777" w:rsidR="003C7E8B" w:rsidRPr="00DB5D0D" w:rsidRDefault="003C7E8B" w:rsidP="00DB5D0D">
            <w:pPr>
              <w:pStyle w:val="a3"/>
              <w:rPr>
                <w:color w:val="000000" w:themeColor="text1"/>
                <w:lang w:val="ru-RU"/>
              </w:rPr>
            </w:pPr>
            <w:r w:rsidRPr="00DB5D0D">
              <w:rPr>
                <w:color w:val="000000" w:themeColor="text1"/>
                <w:lang w:val="ru-RU"/>
              </w:rPr>
              <w:t>Изготовить чертежи и образцы к 15.10.1940</w:t>
            </w:r>
          </w:p>
        </w:tc>
      </w:tr>
      <w:tr w:rsidR="007D5DF8" w:rsidRPr="00DB5D0D" w14:paraId="6C889220"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9581E80" w14:textId="77777777" w:rsidR="003C7E8B" w:rsidRPr="00DB5D0D" w:rsidRDefault="003C7E8B" w:rsidP="00DB5D0D">
            <w:pPr>
              <w:pStyle w:val="a3"/>
              <w:rPr>
                <w:color w:val="000000" w:themeColor="text1"/>
              </w:rPr>
            </w:pPr>
            <w:r w:rsidRPr="00DB5D0D">
              <w:rPr>
                <w:color w:val="000000" w:themeColor="text1"/>
              </w:rPr>
              <w:t>34.</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44970438" w14:textId="77777777" w:rsidR="003C7E8B" w:rsidRPr="00DB5D0D" w:rsidRDefault="003C7E8B" w:rsidP="00DB5D0D">
            <w:pPr>
              <w:pStyle w:val="a3"/>
              <w:rPr>
                <w:color w:val="000000" w:themeColor="text1"/>
                <w:lang w:val="ru-RU"/>
              </w:rPr>
            </w:pPr>
            <w:r w:rsidRPr="00DB5D0D">
              <w:rPr>
                <w:color w:val="000000" w:themeColor="text1"/>
                <w:lang w:val="ru-RU"/>
              </w:rPr>
              <w:t>Произвести защиту проводов у щитка электроприборов.</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7089AB96" w14:textId="77777777" w:rsidR="003C7E8B" w:rsidRPr="00DB5D0D" w:rsidRDefault="003C7E8B" w:rsidP="00DB5D0D">
            <w:pPr>
              <w:pStyle w:val="a3"/>
              <w:rPr>
                <w:color w:val="000000" w:themeColor="text1"/>
              </w:rPr>
            </w:pPr>
            <w:r w:rsidRPr="00DB5D0D">
              <w:rPr>
                <w:color w:val="000000" w:themeColor="text1"/>
              </w:rPr>
              <w:t>С 38-й машины</w:t>
            </w:r>
          </w:p>
        </w:tc>
      </w:tr>
      <w:tr w:rsidR="007D5DF8" w:rsidRPr="00DB5D0D" w14:paraId="485A790C"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E5AC08C" w14:textId="77777777" w:rsidR="003C7E8B" w:rsidRPr="00DB5D0D" w:rsidRDefault="003C7E8B" w:rsidP="00DB5D0D">
            <w:pPr>
              <w:pStyle w:val="a3"/>
              <w:rPr>
                <w:color w:val="000000" w:themeColor="text1"/>
              </w:rPr>
            </w:pPr>
            <w:r w:rsidRPr="00DB5D0D">
              <w:rPr>
                <w:color w:val="000000" w:themeColor="text1"/>
              </w:rPr>
              <w:t>35.</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0A999C7F" w14:textId="77777777" w:rsidR="003C7E8B" w:rsidRPr="00DB5D0D" w:rsidRDefault="003C7E8B" w:rsidP="00DB5D0D">
            <w:pPr>
              <w:pStyle w:val="a3"/>
              <w:rPr>
                <w:color w:val="000000" w:themeColor="text1"/>
                <w:lang w:val="ru-RU"/>
              </w:rPr>
            </w:pPr>
            <w:r w:rsidRPr="00DB5D0D">
              <w:rPr>
                <w:color w:val="000000" w:themeColor="text1"/>
                <w:lang w:val="ru-RU"/>
              </w:rPr>
              <w:t>Разработать комплект инструмента, съемников и приспособлений, необходимых для производства ремонта в полевых условиях.</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42155B40" w14:textId="77777777" w:rsidR="003C7E8B" w:rsidRPr="00DB5D0D" w:rsidRDefault="003C7E8B" w:rsidP="00DB5D0D">
            <w:pPr>
              <w:pStyle w:val="a3"/>
              <w:rPr>
                <w:color w:val="000000" w:themeColor="text1"/>
              </w:rPr>
            </w:pPr>
            <w:r w:rsidRPr="00DB5D0D">
              <w:rPr>
                <w:color w:val="000000" w:themeColor="text1"/>
              </w:rPr>
              <w:t>К 01.09.1940</w:t>
            </w:r>
          </w:p>
        </w:tc>
      </w:tr>
      <w:tr w:rsidR="007D5DF8" w:rsidRPr="00DB5D0D" w14:paraId="63110DF0"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1E2902F" w14:textId="77777777" w:rsidR="003C7E8B" w:rsidRPr="00DB5D0D" w:rsidRDefault="003C7E8B" w:rsidP="00DB5D0D">
            <w:pPr>
              <w:pStyle w:val="a3"/>
              <w:rPr>
                <w:color w:val="000000" w:themeColor="text1"/>
              </w:rPr>
            </w:pPr>
            <w:r w:rsidRPr="00DB5D0D">
              <w:rPr>
                <w:color w:val="000000" w:themeColor="text1"/>
              </w:rPr>
              <w:lastRenderedPageBreak/>
              <w:t>36.</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7BC23835" w14:textId="77777777" w:rsidR="003C7E8B" w:rsidRPr="00DB5D0D" w:rsidRDefault="003C7E8B" w:rsidP="00DB5D0D">
            <w:pPr>
              <w:pStyle w:val="a3"/>
              <w:rPr>
                <w:color w:val="000000" w:themeColor="text1"/>
                <w:lang w:val="ru-RU"/>
              </w:rPr>
            </w:pPr>
            <w:r w:rsidRPr="00DB5D0D">
              <w:rPr>
                <w:color w:val="000000" w:themeColor="text1"/>
                <w:lang w:val="ru-RU"/>
              </w:rPr>
              <w:t>Разработать комплект инструмента, съемников и приспособлений, необходимых для рембазы и РВБ.</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64F340FD" w14:textId="77777777" w:rsidR="003C7E8B" w:rsidRPr="00DB5D0D" w:rsidRDefault="003C7E8B" w:rsidP="00DB5D0D">
            <w:pPr>
              <w:pStyle w:val="a3"/>
              <w:rPr>
                <w:color w:val="000000" w:themeColor="text1"/>
              </w:rPr>
            </w:pPr>
            <w:r w:rsidRPr="00DB5D0D">
              <w:rPr>
                <w:color w:val="000000" w:themeColor="text1"/>
              </w:rPr>
              <w:t>К 01.09.1940</w:t>
            </w:r>
          </w:p>
        </w:tc>
      </w:tr>
      <w:tr w:rsidR="007D5DF8" w:rsidRPr="00DB5D0D" w14:paraId="372D08A2"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0509CD6" w14:textId="77777777" w:rsidR="003C7E8B" w:rsidRPr="00DB5D0D" w:rsidRDefault="003C7E8B" w:rsidP="00DB5D0D">
            <w:pPr>
              <w:pStyle w:val="a3"/>
              <w:rPr>
                <w:color w:val="000000" w:themeColor="text1"/>
              </w:rPr>
            </w:pPr>
            <w:r w:rsidRPr="00DB5D0D">
              <w:rPr>
                <w:color w:val="000000" w:themeColor="text1"/>
              </w:rPr>
              <w:t>37.</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4F9D7FC1" w14:textId="77777777" w:rsidR="003C7E8B" w:rsidRPr="00DB5D0D" w:rsidRDefault="003C7E8B" w:rsidP="00DB5D0D">
            <w:pPr>
              <w:pStyle w:val="a3"/>
              <w:rPr>
                <w:color w:val="000000" w:themeColor="text1"/>
                <w:lang w:val="ru-RU"/>
              </w:rPr>
            </w:pPr>
            <w:r w:rsidRPr="00DB5D0D">
              <w:rPr>
                <w:color w:val="000000" w:themeColor="text1"/>
                <w:lang w:val="ru-RU"/>
              </w:rPr>
              <w:t>Предусмотреть размещение возимого запаса продовольствия и имущества экипажа согласно табелю.</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683AE9ED" w14:textId="77777777" w:rsidR="003C7E8B" w:rsidRPr="00DB5D0D" w:rsidRDefault="003C7E8B" w:rsidP="00DB5D0D">
            <w:pPr>
              <w:pStyle w:val="a3"/>
              <w:rPr>
                <w:color w:val="000000" w:themeColor="text1"/>
                <w:lang w:val="ru-RU"/>
              </w:rPr>
            </w:pPr>
            <w:r w:rsidRPr="00DB5D0D">
              <w:rPr>
                <w:color w:val="000000" w:themeColor="text1"/>
                <w:lang w:val="ru-RU"/>
              </w:rPr>
              <w:t>После представления табеля ГАБТУ КА</w:t>
            </w:r>
          </w:p>
        </w:tc>
      </w:tr>
      <w:tr w:rsidR="007D5DF8" w:rsidRPr="00DB5D0D" w14:paraId="160234AF"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5B0F908" w14:textId="77777777" w:rsidR="003C7E8B" w:rsidRPr="00DB5D0D" w:rsidRDefault="003C7E8B" w:rsidP="00DB5D0D">
            <w:pPr>
              <w:pStyle w:val="a3"/>
              <w:rPr>
                <w:color w:val="000000" w:themeColor="text1"/>
              </w:rPr>
            </w:pPr>
            <w:r w:rsidRPr="00DB5D0D">
              <w:rPr>
                <w:color w:val="000000" w:themeColor="text1"/>
              </w:rPr>
              <w:t>38.</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014E7B02" w14:textId="77777777" w:rsidR="003C7E8B" w:rsidRPr="00DB5D0D" w:rsidRDefault="003C7E8B" w:rsidP="00DB5D0D">
            <w:pPr>
              <w:pStyle w:val="a3"/>
              <w:rPr>
                <w:color w:val="000000" w:themeColor="text1"/>
                <w:lang w:val="ru-RU"/>
              </w:rPr>
            </w:pPr>
            <w:r w:rsidRPr="00DB5D0D">
              <w:rPr>
                <w:color w:val="000000" w:themeColor="text1"/>
                <w:lang w:val="ru-RU"/>
              </w:rPr>
              <w:t>Установить термоса-бочки для питьевой воды.</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3AD199B3"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657A04D6"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DABD58B" w14:textId="77777777" w:rsidR="003C7E8B" w:rsidRPr="00DB5D0D" w:rsidRDefault="003C7E8B" w:rsidP="00DB5D0D">
            <w:pPr>
              <w:pStyle w:val="a3"/>
              <w:rPr>
                <w:color w:val="000000" w:themeColor="text1"/>
              </w:rPr>
            </w:pPr>
            <w:r w:rsidRPr="00DB5D0D">
              <w:rPr>
                <w:color w:val="000000" w:themeColor="text1"/>
              </w:rPr>
              <w:t>39.</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742C29A2" w14:textId="77777777" w:rsidR="003C7E8B" w:rsidRPr="00DB5D0D" w:rsidRDefault="003C7E8B" w:rsidP="00DB5D0D">
            <w:pPr>
              <w:pStyle w:val="a3"/>
              <w:rPr>
                <w:color w:val="000000" w:themeColor="text1"/>
                <w:lang w:val="ru-RU"/>
              </w:rPr>
            </w:pPr>
            <w:r w:rsidRPr="00DB5D0D">
              <w:rPr>
                <w:color w:val="000000" w:themeColor="text1"/>
                <w:lang w:val="ru-RU"/>
              </w:rPr>
              <w:t>Предусмотреть размещение и ввести в укомплектовку машины паяльную лампу, паяльник и аптечку для пайки.</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5D461AAB"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29253B0B"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518631B" w14:textId="77777777" w:rsidR="003C7E8B" w:rsidRPr="00DB5D0D" w:rsidRDefault="003C7E8B" w:rsidP="00DB5D0D">
            <w:pPr>
              <w:pStyle w:val="a3"/>
              <w:rPr>
                <w:color w:val="000000" w:themeColor="text1"/>
              </w:rPr>
            </w:pPr>
            <w:r w:rsidRPr="00DB5D0D">
              <w:rPr>
                <w:color w:val="000000" w:themeColor="text1"/>
              </w:rPr>
              <w:t>40.</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639EC2B8" w14:textId="77777777" w:rsidR="003C7E8B" w:rsidRPr="00DB5D0D" w:rsidRDefault="003C7E8B" w:rsidP="00DB5D0D">
            <w:pPr>
              <w:pStyle w:val="a3"/>
              <w:rPr>
                <w:color w:val="000000" w:themeColor="text1"/>
                <w:lang w:val="ru-RU"/>
              </w:rPr>
            </w:pPr>
            <w:r w:rsidRPr="00DB5D0D">
              <w:rPr>
                <w:color w:val="000000" w:themeColor="text1"/>
                <w:lang w:val="ru-RU"/>
              </w:rPr>
              <w:t>Разработать и разместить сумку для возимых документов машины.</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5CA10AB9"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09CFBF05"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456D4B0" w14:textId="77777777" w:rsidR="003C7E8B" w:rsidRPr="00DB5D0D" w:rsidRDefault="003C7E8B" w:rsidP="00DB5D0D">
            <w:pPr>
              <w:pStyle w:val="a3"/>
              <w:rPr>
                <w:color w:val="000000" w:themeColor="text1"/>
              </w:rPr>
            </w:pPr>
            <w:r w:rsidRPr="00DB5D0D">
              <w:rPr>
                <w:color w:val="000000" w:themeColor="text1"/>
              </w:rPr>
              <w:t>41.</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622A268C" w14:textId="77777777" w:rsidR="003C7E8B" w:rsidRPr="00DB5D0D" w:rsidRDefault="003C7E8B" w:rsidP="00DB5D0D">
            <w:pPr>
              <w:pStyle w:val="a3"/>
              <w:rPr>
                <w:color w:val="000000" w:themeColor="text1"/>
                <w:lang w:val="ru-RU"/>
              </w:rPr>
            </w:pPr>
            <w:r w:rsidRPr="00DB5D0D">
              <w:rPr>
                <w:color w:val="000000" w:themeColor="text1"/>
                <w:lang w:val="ru-RU"/>
              </w:rPr>
              <w:t>Разработать размещение одной сошки ДТ и внести в укомплектовочную ведомость.</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0615B50F"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356727CC"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1DFC9A2" w14:textId="77777777" w:rsidR="003C7E8B" w:rsidRPr="00DB5D0D" w:rsidRDefault="003C7E8B" w:rsidP="00DB5D0D">
            <w:pPr>
              <w:pStyle w:val="a3"/>
              <w:rPr>
                <w:color w:val="000000" w:themeColor="text1"/>
              </w:rPr>
            </w:pPr>
            <w:r w:rsidRPr="00DB5D0D">
              <w:rPr>
                <w:color w:val="000000" w:themeColor="text1"/>
              </w:rPr>
              <w:t>42.</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014702C7" w14:textId="77777777" w:rsidR="003C7E8B" w:rsidRPr="00DB5D0D" w:rsidRDefault="003C7E8B" w:rsidP="00DB5D0D">
            <w:pPr>
              <w:pStyle w:val="a3"/>
              <w:rPr>
                <w:color w:val="000000" w:themeColor="text1"/>
                <w:lang w:val="ru-RU"/>
              </w:rPr>
            </w:pPr>
            <w:r w:rsidRPr="00DB5D0D">
              <w:rPr>
                <w:color w:val="000000" w:themeColor="text1"/>
                <w:lang w:val="ru-RU"/>
              </w:rPr>
              <w:t>Разработать укладку и размещение головки ПТ-3.</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1C42453E"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48095C44" w14:textId="77777777" w:rsidTr="00E543D0">
        <w:trPr>
          <w:trHeight w:val="288"/>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16E805B" w14:textId="77777777" w:rsidR="003C7E8B" w:rsidRPr="00DB5D0D" w:rsidRDefault="003C7E8B" w:rsidP="00DB5D0D">
            <w:pPr>
              <w:pStyle w:val="a3"/>
              <w:rPr>
                <w:color w:val="000000" w:themeColor="text1"/>
              </w:rPr>
            </w:pPr>
            <w:r w:rsidRPr="00DB5D0D">
              <w:rPr>
                <w:color w:val="000000" w:themeColor="text1"/>
              </w:rPr>
              <w:t>43.</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173F10E8" w14:textId="77777777" w:rsidR="003C7E8B" w:rsidRPr="00DB5D0D" w:rsidRDefault="003C7E8B" w:rsidP="00DB5D0D">
            <w:pPr>
              <w:pStyle w:val="a3"/>
              <w:rPr>
                <w:color w:val="000000" w:themeColor="text1"/>
                <w:lang w:val="ru-RU"/>
              </w:rPr>
            </w:pPr>
            <w:r w:rsidRPr="00DB5D0D">
              <w:rPr>
                <w:color w:val="000000" w:themeColor="text1"/>
                <w:lang w:val="ru-RU"/>
              </w:rPr>
              <w:t>Разработать размещение и крепление шпор на машине.</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697852B2" w14:textId="77777777" w:rsidR="003C7E8B" w:rsidRPr="00DB5D0D" w:rsidRDefault="003C7E8B" w:rsidP="00DB5D0D">
            <w:pPr>
              <w:pStyle w:val="a3"/>
              <w:rPr>
                <w:color w:val="000000" w:themeColor="text1"/>
              </w:rPr>
            </w:pPr>
            <w:r w:rsidRPr="00DB5D0D">
              <w:rPr>
                <w:color w:val="000000" w:themeColor="text1"/>
              </w:rPr>
              <w:t>С 21-й машины</w:t>
            </w:r>
          </w:p>
        </w:tc>
      </w:tr>
      <w:tr w:rsidR="007D5DF8" w:rsidRPr="00DB5D0D" w14:paraId="28970406"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A25823C" w14:textId="77777777" w:rsidR="003C7E8B" w:rsidRPr="00DB5D0D" w:rsidRDefault="003C7E8B" w:rsidP="00DB5D0D">
            <w:pPr>
              <w:pStyle w:val="a3"/>
              <w:rPr>
                <w:color w:val="000000" w:themeColor="text1"/>
              </w:rPr>
            </w:pPr>
            <w:r w:rsidRPr="00DB5D0D">
              <w:rPr>
                <w:color w:val="000000" w:themeColor="text1"/>
              </w:rPr>
              <w:t>44.</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7C01EFFD" w14:textId="77777777" w:rsidR="003C7E8B" w:rsidRPr="00DB5D0D" w:rsidRDefault="003C7E8B" w:rsidP="00DB5D0D">
            <w:pPr>
              <w:pStyle w:val="a3"/>
              <w:rPr>
                <w:color w:val="000000" w:themeColor="text1"/>
                <w:lang w:val="ru-RU"/>
              </w:rPr>
            </w:pPr>
            <w:r w:rsidRPr="00DB5D0D">
              <w:rPr>
                <w:color w:val="000000" w:themeColor="text1"/>
                <w:lang w:val="ru-RU"/>
              </w:rPr>
              <w:t>Разработать размещение и крепление банника и разрядника.</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7160C5F4"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2E925363" w14:textId="77777777" w:rsidTr="00E543D0">
        <w:trPr>
          <w:trHeight w:val="2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48220B0" w14:textId="77777777" w:rsidR="003C7E8B" w:rsidRPr="00DB5D0D" w:rsidRDefault="003C7E8B" w:rsidP="00DB5D0D">
            <w:pPr>
              <w:pStyle w:val="a3"/>
              <w:rPr>
                <w:color w:val="000000" w:themeColor="text1"/>
              </w:rPr>
            </w:pPr>
            <w:r w:rsidRPr="00DB5D0D">
              <w:rPr>
                <w:color w:val="000000" w:themeColor="text1"/>
              </w:rPr>
              <w:t>45.</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4F2CD6DB" w14:textId="77777777" w:rsidR="003C7E8B" w:rsidRPr="00DB5D0D" w:rsidRDefault="003C7E8B" w:rsidP="00DB5D0D">
            <w:pPr>
              <w:pStyle w:val="a3"/>
              <w:rPr>
                <w:color w:val="000000" w:themeColor="text1"/>
                <w:lang w:val="ru-RU"/>
              </w:rPr>
            </w:pPr>
            <w:r w:rsidRPr="00DB5D0D">
              <w:rPr>
                <w:color w:val="000000" w:themeColor="text1"/>
                <w:lang w:val="ru-RU"/>
              </w:rPr>
              <w:t>Разработать приспособление для проворачивания мотора и его укладку на машине.</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063B5E03"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505FB6A8" w14:textId="77777777" w:rsidTr="00E543D0">
        <w:trPr>
          <w:trHeight w:val="547"/>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E95BC94" w14:textId="77777777" w:rsidR="003C7E8B" w:rsidRPr="00DB5D0D" w:rsidRDefault="003C7E8B" w:rsidP="00DB5D0D">
            <w:pPr>
              <w:pStyle w:val="a3"/>
              <w:rPr>
                <w:color w:val="000000" w:themeColor="text1"/>
              </w:rPr>
            </w:pPr>
            <w:r w:rsidRPr="00DB5D0D">
              <w:rPr>
                <w:color w:val="000000" w:themeColor="text1"/>
              </w:rPr>
              <w:t>46.</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11705BC6" w14:textId="77777777" w:rsidR="003C7E8B" w:rsidRPr="00DB5D0D" w:rsidRDefault="003C7E8B" w:rsidP="00DB5D0D">
            <w:pPr>
              <w:pStyle w:val="a3"/>
              <w:rPr>
                <w:color w:val="000000" w:themeColor="text1"/>
                <w:lang w:val="ru-RU"/>
              </w:rPr>
            </w:pPr>
            <w:r w:rsidRPr="00DB5D0D">
              <w:rPr>
                <w:color w:val="000000" w:themeColor="text1"/>
                <w:lang w:val="ru-RU"/>
              </w:rPr>
              <w:t>Разработать спецлейку для заправки машины топливом через шелк, замшу и т.п. и дать на каждую 5-ю машину или приспособить имеющуюся лейку для указанной фильтрации и укладывать на каждую машину.</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1E7D84E3" w14:textId="77777777" w:rsidR="003C7E8B" w:rsidRPr="00DB5D0D" w:rsidRDefault="003C7E8B" w:rsidP="00DB5D0D">
            <w:pPr>
              <w:pStyle w:val="a3"/>
              <w:rPr>
                <w:color w:val="000000" w:themeColor="text1"/>
              </w:rPr>
            </w:pPr>
            <w:r w:rsidRPr="00DB5D0D">
              <w:rPr>
                <w:color w:val="000000" w:themeColor="text1"/>
              </w:rPr>
              <w:t>С 51-й машины</w:t>
            </w:r>
          </w:p>
        </w:tc>
      </w:tr>
      <w:tr w:rsidR="007D5DF8" w:rsidRPr="00DB5D0D" w14:paraId="7F160A38" w14:textId="77777777" w:rsidTr="00E543D0">
        <w:trPr>
          <w:trHeight w:val="28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2EF1BBC" w14:textId="77777777" w:rsidR="003C7E8B" w:rsidRPr="00DB5D0D" w:rsidRDefault="003C7E8B" w:rsidP="00DB5D0D">
            <w:pPr>
              <w:pStyle w:val="a3"/>
              <w:rPr>
                <w:color w:val="000000" w:themeColor="text1"/>
              </w:rPr>
            </w:pPr>
            <w:r w:rsidRPr="00DB5D0D">
              <w:rPr>
                <w:color w:val="000000" w:themeColor="text1"/>
              </w:rPr>
              <w:t>47.</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2A07A077" w14:textId="77777777" w:rsidR="003C7E8B" w:rsidRPr="00DB5D0D" w:rsidRDefault="003C7E8B" w:rsidP="00DB5D0D">
            <w:pPr>
              <w:pStyle w:val="a3"/>
              <w:rPr>
                <w:color w:val="000000" w:themeColor="text1"/>
                <w:lang w:val="ru-RU"/>
              </w:rPr>
            </w:pPr>
            <w:r w:rsidRPr="00DB5D0D">
              <w:rPr>
                <w:color w:val="000000" w:themeColor="text1"/>
                <w:lang w:val="ru-RU"/>
              </w:rPr>
              <w:t>Разработать укладку на машине одного запасного пулемета с сошкой.</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01A3AC4F" w14:textId="77777777" w:rsidR="003C7E8B" w:rsidRPr="00DB5D0D" w:rsidRDefault="003C7E8B" w:rsidP="00DB5D0D">
            <w:pPr>
              <w:pStyle w:val="a3"/>
              <w:rPr>
                <w:color w:val="000000" w:themeColor="text1"/>
              </w:rPr>
            </w:pPr>
            <w:r w:rsidRPr="00DB5D0D">
              <w:rPr>
                <w:color w:val="000000" w:themeColor="text1"/>
              </w:rPr>
              <w:t>С 11-й машины</w:t>
            </w:r>
          </w:p>
        </w:tc>
      </w:tr>
      <w:tr w:rsidR="007D5DF8" w:rsidRPr="00DB5D0D" w14:paraId="2F3FB56E" w14:textId="77777777" w:rsidTr="00E543D0">
        <w:trPr>
          <w:trHeight w:val="108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B92F70A" w14:textId="77777777" w:rsidR="003C7E8B" w:rsidRPr="00DB5D0D" w:rsidRDefault="003C7E8B" w:rsidP="00DB5D0D">
            <w:pPr>
              <w:pStyle w:val="a3"/>
              <w:rPr>
                <w:color w:val="000000" w:themeColor="text1"/>
              </w:rPr>
            </w:pPr>
            <w:r w:rsidRPr="00DB5D0D">
              <w:rPr>
                <w:color w:val="000000" w:themeColor="text1"/>
              </w:rPr>
              <w:t>48.</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201C00D8" w14:textId="77777777" w:rsidR="003C7E8B" w:rsidRPr="00DB5D0D" w:rsidRDefault="003C7E8B" w:rsidP="00DB5D0D">
            <w:pPr>
              <w:pStyle w:val="a3"/>
              <w:rPr>
                <w:color w:val="000000" w:themeColor="text1"/>
                <w:lang w:val="ru-RU"/>
              </w:rPr>
            </w:pPr>
            <w:r w:rsidRPr="00DB5D0D">
              <w:rPr>
                <w:color w:val="000000" w:themeColor="text1"/>
                <w:lang w:val="ru-RU"/>
              </w:rPr>
              <w:t>Разработать войсковой комплект запчастей:</w:t>
            </w:r>
          </w:p>
          <w:p w14:paraId="6D591983" w14:textId="77777777" w:rsidR="003C7E8B" w:rsidRPr="00DB5D0D" w:rsidRDefault="003C7E8B" w:rsidP="00DB5D0D">
            <w:pPr>
              <w:pStyle w:val="a3"/>
              <w:tabs>
                <w:tab w:val="left" w:pos="278"/>
              </w:tabs>
              <w:rPr>
                <w:color w:val="000000" w:themeColor="text1"/>
                <w:lang w:val="ru-RU"/>
              </w:rPr>
            </w:pPr>
            <w:r w:rsidRPr="00DB5D0D">
              <w:rPr>
                <w:color w:val="000000" w:themeColor="text1"/>
                <w:lang w:val="ru-RU"/>
              </w:rPr>
              <w:t>а)</w:t>
            </w:r>
            <w:r w:rsidRPr="00DB5D0D">
              <w:rPr>
                <w:color w:val="000000" w:themeColor="text1"/>
                <w:lang w:val="ru-RU"/>
              </w:rPr>
              <w:tab/>
              <w:t>ремонтный</w:t>
            </w:r>
          </w:p>
          <w:p w14:paraId="0E349587" w14:textId="77777777" w:rsidR="003C7E8B" w:rsidRPr="00DB5D0D" w:rsidRDefault="003C7E8B" w:rsidP="00DB5D0D">
            <w:pPr>
              <w:pStyle w:val="a3"/>
              <w:tabs>
                <w:tab w:val="left" w:pos="278"/>
              </w:tabs>
              <w:rPr>
                <w:color w:val="000000" w:themeColor="text1"/>
              </w:rPr>
            </w:pPr>
            <w:r w:rsidRPr="00DB5D0D">
              <w:rPr>
                <w:color w:val="000000" w:themeColor="text1"/>
              </w:rPr>
              <w:t>б)</w:t>
            </w:r>
            <w:r w:rsidRPr="00DB5D0D">
              <w:rPr>
                <w:color w:val="000000" w:themeColor="text1"/>
              </w:rPr>
              <w:tab/>
              <w:t>бригадный</w:t>
            </w:r>
          </w:p>
          <w:p w14:paraId="125914EB" w14:textId="77777777" w:rsidR="003C7E8B" w:rsidRPr="00DB5D0D" w:rsidRDefault="003C7E8B" w:rsidP="00DB5D0D">
            <w:pPr>
              <w:pStyle w:val="a3"/>
              <w:tabs>
                <w:tab w:val="left" w:pos="256"/>
              </w:tabs>
              <w:rPr>
                <w:color w:val="000000" w:themeColor="text1"/>
              </w:rPr>
            </w:pPr>
            <w:r w:rsidRPr="00DB5D0D">
              <w:rPr>
                <w:color w:val="000000" w:themeColor="text1"/>
              </w:rPr>
              <w:t>в)</w:t>
            </w:r>
            <w:r w:rsidRPr="00DB5D0D">
              <w:rPr>
                <w:color w:val="000000" w:themeColor="text1"/>
              </w:rPr>
              <w:tab/>
              <w:t>батальонный</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7E8429AC" w14:textId="77777777" w:rsidR="003C7E8B" w:rsidRPr="00DB5D0D" w:rsidRDefault="003C7E8B" w:rsidP="00DB5D0D">
            <w:pPr>
              <w:pStyle w:val="a3"/>
              <w:rPr>
                <w:color w:val="000000" w:themeColor="text1"/>
              </w:rPr>
            </w:pPr>
            <w:r w:rsidRPr="00DB5D0D">
              <w:rPr>
                <w:color w:val="000000" w:themeColor="text1"/>
              </w:rPr>
              <w:t>С 01.09.1940</w:t>
            </w:r>
          </w:p>
        </w:tc>
      </w:tr>
      <w:tr w:rsidR="007D5DF8" w:rsidRPr="00DB5D0D" w14:paraId="005CF7A3" w14:textId="77777777" w:rsidTr="00E543D0">
        <w:trPr>
          <w:trHeight w:val="295"/>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A1FFFDF" w14:textId="77777777" w:rsidR="003C7E8B" w:rsidRPr="00DB5D0D" w:rsidRDefault="003C7E8B" w:rsidP="00DB5D0D">
            <w:pPr>
              <w:pStyle w:val="a3"/>
              <w:rPr>
                <w:color w:val="000000" w:themeColor="text1"/>
              </w:rPr>
            </w:pPr>
            <w:r w:rsidRPr="00DB5D0D">
              <w:rPr>
                <w:color w:val="000000" w:themeColor="text1"/>
              </w:rPr>
              <w:t>49.</w:t>
            </w:r>
          </w:p>
        </w:tc>
        <w:tc>
          <w:tcPr>
            <w:tcW w:w="7938" w:type="dxa"/>
            <w:tcBorders>
              <w:top w:val="single" w:sz="6" w:space="0" w:color="auto"/>
              <w:left w:val="single" w:sz="6" w:space="0" w:color="auto"/>
              <w:bottom w:val="single" w:sz="6" w:space="0" w:color="auto"/>
              <w:right w:val="single" w:sz="6" w:space="0" w:color="auto"/>
            </w:tcBorders>
            <w:shd w:val="clear" w:color="auto" w:fill="FFFFFF"/>
          </w:tcPr>
          <w:p w14:paraId="78A7EFB7" w14:textId="77777777" w:rsidR="003C7E8B" w:rsidRPr="00DB5D0D" w:rsidRDefault="003C7E8B" w:rsidP="00DB5D0D">
            <w:pPr>
              <w:pStyle w:val="a3"/>
              <w:rPr>
                <w:color w:val="000000" w:themeColor="text1"/>
                <w:lang w:val="ru-RU"/>
              </w:rPr>
            </w:pPr>
            <w:r w:rsidRPr="00DB5D0D">
              <w:rPr>
                <w:color w:val="000000" w:themeColor="text1"/>
                <w:lang w:val="ru-RU"/>
              </w:rPr>
              <w:t>Выпустить каталог, наставление, инструкцию по ремонту.</w:t>
            </w:r>
          </w:p>
        </w:tc>
        <w:tc>
          <w:tcPr>
            <w:tcW w:w="2694" w:type="dxa"/>
            <w:tcBorders>
              <w:top w:val="single" w:sz="6" w:space="0" w:color="auto"/>
              <w:left w:val="single" w:sz="6" w:space="0" w:color="auto"/>
              <w:bottom w:val="single" w:sz="6" w:space="0" w:color="auto"/>
              <w:right w:val="single" w:sz="6" w:space="0" w:color="auto"/>
            </w:tcBorders>
            <w:shd w:val="clear" w:color="auto" w:fill="FFFFFF"/>
          </w:tcPr>
          <w:p w14:paraId="5DA43A49" w14:textId="77777777" w:rsidR="003C7E8B" w:rsidRPr="00DB5D0D" w:rsidRDefault="003C7E8B" w:rsidP="00DB5D0D">
            <w:pPr>
              <w:pStyle w:val="a3"/>
              <w:rPr>
                <w:color w:val="000000" w:themeColor="text1"/>
              </w:rPr>
            </w:pPr>
            <w:r w:rsidRPr="00DB5D0D">
              <w:rPr>
                <w:color w:val="000000" w:themeColor="text1"/>
              </w:rPr>
              <w:t>К 01.12.1940</w:t>
            </w:r>
          </w:p>
        </w:tc>
      </w:tr>
    </w:tbl>
    <w:p w14:paraId="0994D806" w14:textId="77777777" w:rsidR="003C7E8B" w:rsidRPr="00DB5D0D" w:rsidRDefault="003C7E8B" w:rsidP="00DB5D0D">
      <w:pPr>
        <w:pStyle w:val="aff1"/>
        <w:spacing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noProof w:val="0"/>
          <w:color w:val="000000" w:themeColor="text1"/>
          <w:sz w:val="16"/>
          <w:szCs w:val="16"/>
          <w:lang w:val="ru-RU"/>
        </w:rPr>
        <w:t>(11939).</w:t>
      </w:r>
    </w:p>
    <w:p w14:paraId="2E300D50" w14:textId="77777777" w:rsidR="003C7E8B" w:rsidRPr="00DB5D0D" w:rsidRDefault="003C7E8B" w:rsidP="00DB5D0D">
      <w:pPr>
        <w:pStyle w:val="a3"/>
        <w:rPr>
          <w:color w:val="000000" w:themeColor="text1"/>
        </w:rPr>
      </w:pPr>
    </w:p>
    <w:p w14:paraId="047B8196" w14:textId="77777777" w:rsidR="003C7E8B" w:rsidRPr="00DB5D0D" w:rsidRDefault="003C7E8B" w:rsidP="00DB5D0D">
      <w:pPr>
        <w:pStyle w:val="a3"/>
        <w:rPr>
          <w:color w:val="000000" w:themeColor="text1"/>
          <w:lang w:val="ru-RU"/>
        </w:rPr>
      </w:pPr>
      <w:r w:rsidRPr="00DB5D0D">
        <w:rPr>
          <w:color w:val="000000" w:themeColor="text1"/>
          <w:lang w:val="ru-RU"/>
        </w:rPr>
        <w:t>В августе 1940 г. на Мариупольском заводе с целью определения проч</w:t>
      </w:r>
      <w:r w:rsidRPr="00DB5D0D">
        <w:rPr>
          <w:color w:val="000000" w:themeColor="text1"/>
          <w:lang w:val="ru-RU"/>
        </w:rPr>
        <w:softHyphen/>
        <w:t>ности таких деталей и их пригодности для установки на серийные машины был прове</w:t>
      </w:r>
      <w:r w:rsidRPr="00DB5D0D">
        <w:rPr>
          <w:color w:val="000000" w:themeColor="text1"/>
          <w:lang w:val="ru-RU"/>
        </w:rPr>
        <w:softHyphen/>
        <w:t>ден ряд исследовательских работ, включавших в себя испытания балок валового производства обстрелом с последующим тщатель</w:t>
      </w:r>
      <w:r w:rsidRPr="00DB5D0D">
        <w:rPr>
          <w:color w:val="000000" w:themeColor="text1"/>
          <w:lang w:val="ru-RU"/>
        </w:rPr>
        <w:softHyphen/>
        <w:t>ным изучением их внутреннего строения.</w:t>
      </w:r>
    </w:p>
    <w:p w14:paraId="1126FF52" w14:textId="77777777" w:rsidR="003C7E8B" w:rsidRPr="00DB5D0D" w:rsidRDefault="003C7E8B" w:rsidP="00DB5D0D">
      <w:pPr>
        <w:pStyle w:val="a3"/>
        <w:rPr>
          <w:color w:val="000000" w:themeColor="text1"/>
          <w:lang w:val="ru-RU"/>
        </w:rPr>
      </w:pPr>
      <w:r w:rsidRPr="00DB5D0D">
        <w:rPr>
          <w:color w:val="000000" w:themeColor="text1"/>
          <w:lang w:val="ru-RU"/>
        </w:rPr>
        <w:t>Для проверки прочности из числа деталей валовой отливки были отобраны три балки (№513408-1 -1,513408-2-2 и 515355-01), прошед</w:t>
      </w:r>
      <w:r w:rsidRPr="00DB5D0D">
        <w:rPr>
          <w:color w:val="000000" w:themeColor="text1"/>
          <w:lang w:val="ru-RU"/>
        </w:rPr>
        <w:softHyphen/>
        <w:t>ших термообработку по сокращенному режиму: балки №513408-1 -1 и 513408-2-2 - двойную закалку, а балка №515355-01 - одинарную. 24 августа эти детали подвергли обстрелу снарядами калибров 45 и 76 мм (перед испытаниями балки механически не обрабатывались). Всего по испытуемым деталям произвели десять выстрелов, из них шесть — снарядами калибра 76 мм и четыре — 45-мм снарядами.</w:t>
      </w:r>
    </w:p>
    <w:p w14:paraId="201DA1E1" w14:textId="77777777" w:rsidR="003C7E8B" w:rsidRPr="00DB5D0D" w:rsidRDefault="003C7E8B" w:rsidP="00DB5D0D">
      <w:pPr>
        <w:pStyle w:val="a3"/>
        <w:rPr>
          <w:color w:val="000000" w:themeColor="text1"/>
          <w:lang w:val="ru-RU"/>
        </w:rPr>
      </w:pPr>
      <w:r w:rsidRPr="00DB5D0D">
        <w:rPr>
          <w:color w:val="000000" w:themeColor="text1"/>
          <w:lang w:val="ru-RU"/>
        </w:rPr>
        <w:t>В результате шести попаданий 76-мм снарядом в лобовую часть балок при скоростях 639-654 м/с были получены нормальные пора</w:t>
      </w:r>
      <w:r w:rsidRPr="00DB5D0D">
        <w:rPr>
          <w:color w:val="000000" w:themeColor="text1"/>
          <w:lang w:val="ru-RU"/>
        </w:rPr>
        <w:softHyphen/>
        <w:t>жения в виде вмятин и выпучин, а из четырех попаданий 45-мм сна</w:t>
      </w:r>
      <w:r w:rsidRPr="00DB5D0D">
        <w:rPr>
          <w:color w:val="000000" w:themeColor="text1"/>
          <w:lang w:val="ru-RU"/>
        </w:rPr>
        <w:softHyphen/>
        <w:t>рядом при скоростях 745-759 м/с в одном случае (при попадании в наиболее тонкое место - полку) получена сквозная пробоина. В таб</w:t>
      </w:r>
      <w:r w:rsidRPr="00DB5D0D">
        <w:rPr>
          <w:color w:val="000000" w:themeColor="text1"/>
          <w:lang w:val="ru-RU"/>
        </w:rPr>
        <w:softHyphen/>
        <w:t>лице №14 приведены полные данные снарядных испытаний.</w:t>
      </w:r>
    </w:p>
    <w:p w14:paraId="2BD7EF99" w14:textId="77777777" w:rsidR="003C7E8B" w:rsidRPr="00DB5D0D" w:rsidRDefault="003C7E8B" w:rsidP="00DB5D0D">
      <w:pPr>
        <w:pStyle w:val="a3"/>
        <w:rPr>
          <w:color w:val="000000" w:themeColor="text1"/>
          <w:lang w:val="ru-RU"/>
        </w:rPr>
      </w:pPr>
      <w:r w:rsidRPr="00DB5D0D">
        <w:rPr>
          <w:color w:val="000000" w:themeColor="text1"/>
          <w:lang w:val="ru-RU"/>
        </w:rPr>
        <w:t>После завершения снарядных испытаний две балки (№513408-2-2 и 515355-01) были разрезаны в плоскости «аЬ» (см. эскиз). Осмотр продольных разрезов показал наличие пустот усадочного характера и рыхлости на большей части длины деталей. Балку №513408-1 -1 раз</w:t>
      </w:r>
      <w:r w:rsidRPr="00DB5D0D">
        <w:rPr>
          <w:color w:val="000000" w:themeColor="text1"/>
          <w:lang w:val="ru-RU"/>
        </w:rPr>
        <w:softHyphen/>
        <w:t>резали на несколько поперечных проб, осмотр которых выявил нали</w:t>
      </w:r>
      <w:r w:rsidRPr="00DB5D0D">
        <w:rPr>
          <w:color w:val="000000" w:themeColor="text1"/>
          <w:lang w:val="ru-RU"/>
        </w:rPr>
        <w:softHyphen/>
        <w:t>чие дефектов такого же характера, как и на продольных разрезах.</w:t>
      </w:r>
    </w:p>
    <w:p w14:paraId="160F7AEB" w14:textId="77777777" w:rsidR="003C7E8B" w:rsidRPr="00DB5D0D" w:rsidRDefault="003C7E8B" w:rsidP="00DB5D0D">
      <w:pPr>
        <w:pStyle w:val="a3"/>
        <w:rPr>
          <w:color w:val="000000" w:themeColor="text1"/>
          <w:lang w:val="ru-RU"/>
        </w:rPr>
      </w:pPr>
      <w:r w:rsidRPr="00DB5D0D">
        <w:rPr>
          <w:color w:val="000000" w:themeColor="text1"/>
          <w:lang w:val="ru-RU"/>
        </w:rPr>
        <w:t>алисты Мариупольского завода составили отчет о проверке внут</w:t>
      </w:r>
      <w:r w:rsidRPr="00DB5D0D">
        <w:rPr>
          <w:color w:val="000000" w:themeColor="text1"/>
          <w:lang w:val="ru-RU"/>
        </w:rPr>
        <w:softHyphen/>
        <w:t>реннего строения литых балок.</w:t>
      </w:r>
    </w:p>
    <w:p w14:paraId="6AEB3949" w14:textId="77777777" w:rsidR="003C7E8B" w:rsidRPr="00DB5D0D" w:rsidRDefault="003C7E8B" w:rsidP="00DB5D0D">
      <w:pPr>
        <w:pStyle w:val="910"/>
        <w:shd w:val="clear" w:color="auto" w:fill="auto"/>
        <w:spacing w:line="240" w:lineRule="auto"/>
        <w:ind w:firstLine="0"/>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ВЫВОДЫ:</w:t>
      </w:r>
    </w:p>
    <w:p w14:paraId="5D0198A5" w14:textId="77777777" w:rsidR="003C7E8B" w:rsidRPr="00DB5D0D" w:rsidRDefault="003C7E8B" w:rsidP="00DB5D0D">
      <w:pPr>
        <w:pStyle w:val="910"/>
        <w:shd w:val="clear" w:color="auto" w:fill="auto"/>
        <w:tabs>
          <w:tab w:val="left" w:pos="826"/>
        </w:tabs>
        <w:spacing w:line="240" w:lineRule="auto"/>
        <w:ind w:firstLine="0"/>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noProof w:val="0"/>
          <w:color w:val="000000" w:themeColor="text1"/>
          <w:sz w:val="16"/>
          <w:szCs w:val="16"/>
          <w:lang w:val="ru-RU"/>
        </w:rPr>
        <w:t>1</w:t>
      </w:r>
      <w:r w:rsidRPr="00DB5D0D">
        <w:rPr>
          <w:rFonts w:ascii="Times New Roman" w:hAnsi="Times New Roman" w:cs="Times New Roman"/>
          <w:i w:val="0"/>
          <w:iCs w:val="0"/>
          <w:color w:val="000000" w:themeColor="text1"/>
          <w:sz w:val="16"/>
          <w:szCs w:val="16"/>
          <w:lang w:val="ru-RU"/>
        </w:rPr>
        <w:t>.На основании проведенных исследований разрезов и изломов литых балок (деталь 34.30.906) следует считать, что указанные дефек</w:t>
      </w:r>
      <w:r w:rsidRPr="00DB5D0D">
        <w:rPr>
          <w:rFonts w:ascii="Times New Roman" w:hAnsi="Times New Roman" w:cs="Times New Roman"/>
          <w:i w:val="0"/>
          <w:iCs w:val="0"/>
          <w:color w:val="000000" w:themeColor="text1"/>
          <w:sz w:val="16"/>
          <w:szCs w:val="16"/>
          <w:lang w:val="ru-RU"/>
        </w:rPr>
        <w:softHyphen/>
        <w:t>ты в виде усадочных пустот присущи литым балкам валового произ</w:t>
      </w:r>
      <w:r w:rsidRPr="00DB5D0D">
        <w:rPr>
          <w:rFonts w:ascii="Times New Roman" w:hAnsi="Times New Roman" w:cs="Times New Roman"/>
          <w:i w:val="0"/>
          <w:iCs w:val="0"/>
          <w:color w:val="000000" w:themeColor="text1"/>
          <w:sz w:val="16"/>
          <w:szCs w:val="16"/>
          <w:lang w:val="ru-RU"/>
        </w:rPr>
        <w:softHyphen/>
        <w:t>водства и при существующей технологии отливки неустранимы.</w:t>
      </w:r>
    </w:p>
    <w:p w14:paraId="2149E290" w14:textId="77777777" w:rsidR="003C7E8B" w:rsidRPr="00DB5D0D" w:rsidRDefault="003C7E8B" w:rsidP="00DB5D0D">
      <w:pPr>
        <w:pStyle w:val="910"/>
        <w:shd w:val="clear" w:color="auto" w:fill="auto"/>
        <w:tabs>
          <w:tab w:val="left" w:pos="840"/>
        </w:tabs>
        <w:spacing w:line="240" w:lineRule="auto"/>
        <w:ind w:firstLine="0"/>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noProof w:val="0"/>
          <w:color w:val="000000" w:themeColor="text1"/>
          <w:sz w:val="16"/>
          <w:szCs w:val="16"/>
          <w:lang w:val="ru-RU"/>
        </w:rPr>
        <w:t>2</w:t>
      </w:r>
      <w:r w:rsidRPr="00DB5D0D">
        <w:rPr>
          <w:rFonts w:ascii="Times New Roman" w:hAnsi="Times New Roman" w:cs="Times New Roman"/>
          <w:i w:val="0"/>
          <w:iCs w:val="0"/>
          <w:color w:val="000000" w:themeColor="text1"/>
          <w:sz w:val="16"/>
          <w:szCs w:val="16"/>
          <w:lang w:val="ru-RU"/>
        </w:rPr>
        <w:t>.Результаты снарядных испытаний и испытания под копром показали, что прочность дефектных балок вполне удовлетворяет тре</w:t>
      </w:r>
      <w:r w:rsidRPr="00DB5D0D">
        <w:rPr>
          <w:rFonts w:ascii="Times New Roman" w:hAnsi="Times New Roman" w:cs="Times New Roman"/>
          <w:i w:val="0"/>
          <w:iCs w:val="0"/>
          <w:color w:val="000000" w:themeColor="text1"/>
          <w:sz w:val="16"/>
          <w:szCs w:val="16"/>
          <w:lang w:val="ru-RU"/>
        </w:rPr>
        <w:softHyphen/>
        <w:t>бованиям службы этих деталей.</w:t>
      </w:r>
    </w:p>
    <w:p w14:paraId="2A856204" w14:textId="77777777" w:rsidR="003C7E8B" w:rsidRPr="00DB5D0D" w:rsidRDefault="003C7E8B" w:rsidP="00DB5D0D">
      <w:pPr>
        <w:pStyle w:val="910"/>
        <w:shd w:val="clear" w:color="auto" w:fill="auto"/>
        <w:tabs>
          <w:tab w:val="left" w:pos="797"/>
        </w:tabs>
        <w:spacing w:line="240" w:lineRule="auto"/>
        <w:ind w:firstLine="0"/>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3.Наличие усадочных пустот или осевой рыхлости не может слу</w:t>
      </w:r>
      <w:r w:rsidRPr="00DB5D0D">
        <w:rPr>
          <w:rFonts w:ascii="Times New Roman" w:hAnsi="Times New Roman" w:cs="Times New Roman"/>
          <w:i w:val="0"/>
          <w:iCs w:val="0"/>
          <w:color w:val="000000" w:themeColor="text1"/>
          <w:sz w:val="16"/>
          <w:szCs w:val="16"/>
          <w:lang w:val="ru-RU"/>
        </w:rPr>
        <w:softHyphen/>
        <w:t>жить препятствием для допуска детали в производство.</w:t>
      </w:r>
    </w:p>
    <w:p w14:paraId="5A0DF3AA" w14:textId="77777777" w:rsidR="003C7E8B" w:rsidRPr="00DB5D0D" w:rsidRDefault="003C7E8B" w:rsidP="00DB5D0D">
      <w:pPr>
        <w:pStyle w:val="910"/>
        <w:shd w:val="clear" w:color="auto" w:fill="auto"/>
        <w:spacing w:line="240" w:lineRule="auto"/>
        <w:ind w:firstLine="0"/>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 xml:space="preserve">Гпавный инженер Завода Ни цен ко </w:t>
      </w:r>
      <w:r w:rsidRPr="00DB5D0D">
        <w:rPr>
          <w:rFonts w:ascii="Times New Roman" w:hAnsi="Times New Roman" w:cs="Times New Roman"/>
          <w:i w:val="0"/>
          <w:iCs w:val="0"/>
          <w:noProof w:val="0"/>
          <w:color w:val="000000" w:themeColor="text1"/>
          <w:sz w:val="16"/>
          <w:szCs w:val="16"/>
        </w:rPr>
        <w:t>B</w:t>
      </w:r>
      <w:r w:rsidRPr="00DB5D0D">
        <w:rPr>
          <w:rFonts w:ascii="Times New Roman" w:hAnsi="Times New Roman" w:cs="Times New Roman"/>
          <w:i w:val="0"/>
          <w:iCs w:val="0"/>
          <w:noProof w:val="0"/>
          <w:color w:val="000000" w:themeColor="text1"/>
          <w:sz w:val="16"/>
          <w:szCs w:val="16"/>
          <w:lang w:val="ru-RU"/>
        </w:rPr>
        <w:t>.</w:t>
      </w:r>
      <w:r w:rsidRPr="00DB5D0D">
        <w:rPr>
          <w:rFonts w:ascii="Times New Roman" w:hAnsi="Times New Roman" w:cs="Times New Roman"/>
          <w:i w:val="0"/>
          <w:iCs w:val="0"/>
          <w:noProof w:val="0"/>
          <w:color w:val="000000" w:themeColor="text1"/>
          <w:sz w:val="16"/>
          <w:szCs w:val="16"/>
        </w:rPr>
        <w:t>C</w:t>
      </w:r>
      <w:r w:rsidRPr="00DB5D0D">
        <w:rPr>
          <w:rFonts w:ascii="Times New Roman" w:hAnsi="Times New Roman" w:cs="Times New Roman"/>
          <w:i w:val="0"/>
          <w:iCs w:val="0"/>
          <w:noProof w:val="0"/>
          <w:color w:val="000000" w:themeColor="text1"/>
          <w:sz w:val="16"/>
          <w:szCs w:val="16"/>
          <w:lang w:val="ru-RU"/>
        </w:rPr>
        <w:t>.</w:t>
      </w:r>
    </w:p>
    <w:p w14:paraId="6449B425" w14:textId="77777777" w:rsidR="003C7E8B" w:rsidRPr="00DB5D0D" w:rsidRDefault="003C7E8B" w:rsidP="00DB5D0D">
      <w:pPr>
        <w:pStyle w:val="910"/>
        <w:shd w:val="clear" w:color="auto" w:fill="auto"/>
        <w:spacing w:line="240" w:lineRule="auto"/>
        <w:ind w:firstLine="0"/>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ВИО Главного технолога Поберезкин А.З.</w:t>
      </w:r>
    </w:p>
    <w:p w14:paraId="7A90E527" w14:textId="77777777" w:rsidR="003C7E8B" w:rsidRPr="00DB5D0D" w:rsidRDefault="003C7E8B" w:rsidP="00DB5D0D">
      <w:pPr>
        <w:pStyle w:val="910"/>
        <w:shd w:val="clear" w:color="auto" w:fill="auto"/>
        <w:spacing w:line="240" w:lineRule="auto"/>
        <w:ind w:firstLine="0"/>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Начальник сектора № 2 ОГТ Волков О.М.</w:t>
      </w:r>
    </w:p>
    <w:p w14:paraId="23B3F0B9" w14:textId="77777777" w:rsidR="003C7E8B" w:rsidRPr="00DB5D0D" w:rsidRDefault="003C7E8B" w:rsidP="00DB5D0D">
      <w:pPr>
        <w:pStyle w:val="910"/>
        <w:shd w:val="clear" w:color="auto" w:fill="auto"/>
        <w:spacing w:line="240" w:lineRule="auto"/>
        <w:ind w:firstLine="0"/>
        <w:jc w:val="both"/>
        <w:rPr>
          <w:rFonts w:ascii="Times New Roman" w:hAnsi="Times New Roman" w:cs="Times New Roman"/>
          <w:i w:val="0"/>
          <w:iCs w:val="0"/>
          <w:color w:val="000000" w:themeColor="text1"/>
          <w:sz w:val="16"/>
          <w:szCs w:val="16"/>
          <w:lang w:val="ru-RU"/>
        </w:rPr>
      </w:pPr>
      <w:r w:rsidRPr="00DB5D0D">
        <w:rPr>
          <w:rFonts w:ascii="Times New Roman" w:hAnsi="Times New Roman" w:cs="Times New Roman"/>
          <w:i w:val="0"/>
          <w:iCs w:val="0"/>
          <w:color w:val="000000" w:themeColor="text1"/>
          <w:sz w:val="16"/>
          <w:szCs w:val="16"/>
          <w:lang w:val="ru-RU"/>
        </w:rPr>
        <w:t>Исполнитель работы Инженер ОГТ Фурсов П.Ф.</w:t>
      </w:r>
      <w:r w:rsidRPr="00DB5D0D">
        <w:rPr>
          <w:rStyle w:val="115pt29115pt8109112SimHei2Arial12pt11ptMSMincho12pt"/>
          <w:rFonts w:ascii="Times New Roman" w:hAnsi="Times New Roman" w:cs="Times New Roman"/>
          <w:i w:val="0"/>
          <w:iCs w:val="0"/>
          <w:color w:val="000000" w:themeColor="text1"/>
          <w:spacing w:val="0"/>
          <w:sz w:val="16"/>
          <w:szCs w:val="16"/>
          <w:lang w:val="ru-RU"/>
        </w:rPr>
        <w:t xml:space="preserve"> [</w:t>
      </w:r>
      <w:r w:rsidRPr="00DB5D0D">
        <w:rPr>
          <w:rFonts w:ascii="Times New Roman" w:hAnsi="Times New Roman" w:cs="Times New Roman"/>
          <w:i w:val="0"/>
          <w:iCs w:val="0"/>
          <w:color w:val="000000" w:themeColor="text1"/>
          <w:sz w:val="16"/>
          <w:szCs w:val="16"/>
          <w:lang w:val="ru-RU"/>
        </w:rPr>
        <w:t>РГВА. Ф.31811. Оп.3. Д. 1937. Л.З.</w:t>
      </w:r>
      <w:r w:rsidRPr="00DB5D0D">
        <w:rPr>
          <w:rStyle w:val="115pt29115pt8109112SimHei2Arial12pt11ptMSMincho12pt"/>
          <w:rFonts w:ascii="Times New Roman" w:hAnsi="Times New Roman" w:cs="Times New Roman"/>
          <w:i w:val="0"/>
          <w:iCs w:val="0"/>
          <w:color w:val="000000" w:themeColor="text1"/>
          <w:spacing w:val="0"/>
          <w:sz w:val="16"/>
          <w:szCs w:val="16"/>
          <w:lang w:val="ru-RU"/>
        </w:rPr>
        <w:t>]</w:t>
      </w:r>
    </w:p>
    <w:p w14:paraId="49269DE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Для получения более полных данных были отобраны (кроме вы</w:t>
      </w:r>
      <w:r w:rsidRPr="00DB5D0D">
        <w:rPr>
          <w:rFonts w:ascii="Times New Roman" w:hAnsi="Times New Roman"/>
          <w:color w:val="000000" w:themeColor="text1"/>
          <w:sz w:val="16"/>
          <w:szCs w:val="16"/>
        </w:rPr>
        <w:softHyphen/>
        <w:t>шеуказанных трех балок) еще две балки (№513398-72 и 513356-17), прошедшие термическую и механическую обработки по серийной технологии, на торцевой части которых так</w:t>
      </w:r>
      <w:r w:rsidRPr="00DB5D0D">
        <w:rPr>
          <w:rFonts w:ascii="Times New Roman" w:hAnsi="Times New Roman"/>
          <w:color w:val="000000" w:themeColor="text1"/>
          <w:sz w:val="16"/>
          <w:szCs w:val="16"/>
        </w:rPr>
        <w:softHyphen/>
        <w:t>же имелись литейные де</w:t>
      </w:r>
      <w:r w:rsidRPr="00DB5D0D">
        <w:rPr>
          <w:rFonts w:ascii="Times New Roman" w:hAnsi="Times New Roman"/>
          <w:color w:val="000000" w:themeColor="text1"/>
          <w:sz w:val="16"/>
          <w:szCs w:val="16"/>
        </w:rPr>
        <w:softHyphen/>
        <w:t>фекты. Для определения прочности в область литей</w:t>
      </w:r>
      <w:r w:rsidRPr="00DB5D0D">
        <w:rPr>
          <w:rFonts w:ascii="Times New Roman" w:hAnsi="Times New Roman"/>
          <w:color w:val="000000" w:themeColor="text1"/>
          <w:sz w:val="16"/>
          <w:szCs w:val="16"/>
        </w:rPr>
        <w:softHyphen/>
        <w:t>ных дефектов произвели по 2-3 выстрела снаряда</w:t>
      </w:r>
      <w:r w:rsidRPr="00DB5D0D">
        <w:rPr>
          <w:rFonts w:ascii="Times New Roman" w:hAnsi="Times New Roman"/>
          <w:color w:val="000000" w:themeColor="text1"/>
          <w:sz w:val="16"/>
          <w:szCs w:val="16"/>
        </w:rPr>
        <w:softHyphen/>
        <w:t>ми калибра 45 мм (чертеж 2-03347) при скоростях 745-755 м/с, но, несмотря на высокую кучность попа</w:t>
      </w:r>
      <w:r w:rsidRPr="00DB5D0D">
        <w:rPr>
          <w:rFonts w:ascii="Times New Roman" w:hAnsi="Times New Roman"/>
          <w:color w:val="000000" w:themeColor="text1"/>
          <w:sz w:val="16"/>
          <w:szCs w:val="16"/>
        </w:rPr>
        <w:softHyphen/>
        <w:t>даний, полного разрушения тела балки не было (имели место частичные надрывы и «выхваты» небольших объе</w:t>
      </w:r>
      <w:r w:rsidRPr="00DB5D0D">
        <w:rPr>
          <w:rFonts w:ascii="Times New Roman" w:hAnsi="Times New Roman"/>
          <w:color w:val="000000" w:themeColor="text1"/>
          <w:sz w:val="16"/>
          <w:szCs w:val="16"/>
        </w:rPr>
        <w:softHyphen/>
        <w:t>мов металла). После все</w:t>
      </w:r>
      <w:r w:rsidRPr="00DB5D0D">
        <w:rPr>
          <w:rFonts w:ascii="Times New Roman" w:hAnsi="Times New Roman"/>
          <w:color w:val="000000" w:themeColor="text1"/>
          <w:sz w:val="16"/>
          <w:szCs w:val="16"/>
        </w:rPr>
        <w:softHyphen/>
        <w:t>стороннего изучения ре</w:t>
      </w:r>
      <w:r w:rsidRPr="00DB5D0D">
        <w:rPr>
          <w:rFonts w:ascii="Times New Roman" w:hAnsi="Times New Roman"/>
          <w:color w:val="000000" w:themeColor="text1"/>
          <w:sz w:val="16"/>
          <w:szCs w:val="16"/>
        </w:rPr>
        <w:softHyphen/>
        <w:t>зультатов испытаний специТаблица №14</w:t>
      </w:r>
    </w:p>
    <w:p w14:paraId="6983B52D" w14:textId="77777777" w:rsidR="003C7E8B" w:rsidRPr="00DB5D0D" w:rsidRDefault="003C7E8B" w:rsidP="00DB5D0D">
      <w:pPr>
        <w:pStyle w:val="aff1"/>
        <w:shd w:val="clear" w:color="auto" w:fill="auto"/>
        <w:spacing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lang w:val="ru-RU"/>
        </w:rPr>
        <w:t xml:space="preserve">Снарядные испытания литых балок (дет. 34-29-906) танка Т-34, состоявшиеся 24 августа 1940 г. (РГВА. Ф.31811. </w:t>
      </w:r>
      <w:r w:rsidRPr="00DB5D0D">
        <w:rPr>
          <w:rFonts w:ascii="Times New Roman" w:hAnsi="Times New Roman" w:cs="Times New Roman"/>
          <w:i w:val="0"/>
          <w:color w:val="000000" w:themeColor="text1"/>
          <w:sz w:val="16"/>
          <w:szCs w:val="16"/>
        </w:rPr>
        <w:t>Оп.З. Д.1937. Л.6)</w:t>
      </w:r>
    </w:p>
    <w:tbl>
      <w:tblPr>
        <w:tblW w:w="0" w:type="auto"/>
        <w:tblInd w:w="8" w:type="dxa"/>
        <w:tblLayout w:type="fixed"/>
        <w:tblCellMar>
          <w:left w:w="0" w:type="dxa"/>
          <w:right w:w="0" w:type="dxa"/>
        </w:tblCellMar>
        <w:tblLook w:val="0000" w:firstRow="0" w:lastRow="0" w:firstColumn="0" w:lastColumn="0" w:noHBand="0" w:noVBand="0"/>
      </w:tblPr>
      <w:tblGrid>
        <w:gridCol w:w="1087"/>
        <w:gridCol w:w="1159"/>
        <w:gridCol w:w="873"/>
        <w:gridCol w:w="567"/>
        <w:gridCol w:w="823"/>
        <w:gridCol w:w="3004"/>
        <w:gridCol w:w="1843"/>
        <w:gridCol w:w="1984"/>
      </w:tblGrid>
      <w:tr w:rsidR="007D5DF8" w:rsidRPr="00DB5D0D" w14:paraId="60B77E9E" w14:textId="77777777" w:rsidTr="00E543D0">
        <w:trPr>
          <w:trHeight w:val="562"/>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7CCA6386"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 балок</w:t>
            </w:r>
          </w:p>
        </w:tc>
        <w:tc>
          <w:tcPr>
            <w:tcW w:w="1159" w:type="dxa"/>
            <w:tcBorders>
              <w:top w:val="single" w:sz="6" w:space="0" w:color="auto"/>
              <w:left w:val="single" w:sz="6" w:space="0" w:color="auto"/>
              <w:bottom w:val="single" w:sz="6" w:space="0" w:color="auto"/>
              <w:right w:val="single" w:sz="6" w:space="0" w:color="auto"/>
            </w:tcBorders>
            <w:shd w:val="clear" w:color="auto" w:fill="FFFFFF"/>
          </w:tcPr>
          <w:p w14:paraId="7B590642"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Чертеж снаряда</w:t>
            </w:r>
          </w:p>
        </w:tc>
        <w:tc>
          <w:tcPr>
            <w:tcW w:w="873" w:type="dxa"/>
            <w:tcBorders>
              <w:top w:val="single" w:sz="6" w:space="0" w:color="auto"/>
              <w:left w:val="single" w:sz="6" w:space="0" w:color="auto"/>
              <w:bottom w:val="single" w:sz="6" w:space="0" w:color="auto"/>
              <w:right w:val="single" w:sz="6" w:space="0" w:color="auto"/>
            </w:tcBorders>
            <w:shd w:val="clear" w:color="auto" w:fill="FFFFFF"/>
          </w:tcPr>
          <w:p w14:paraId="2152187A"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Калибр снаряда</w:t>
            </w:r>
          </w:p>
        </w:tc>
        <w:tc>
          <w:tcPr>
            <w:tcW w:w="567" w:type="dxa"/>
            <w:tcBorders>
              <w:top w:val="single" w:sz="6" w:space="0" w:color="auto"/>
              <w:left w:val="single" w:sz="6" w:space="0" w:color="auto"/>
              <w:bottom w:val="single" w:sz="6" w:space="0" w:color="auto"/>
              <w:right w:val="single" w:sz="6" w:space="0" w:color="auto"/>
            </w:tcBorders>
            <w:shd w:val="clear" w:color="auto" w:fill="FFFFFF"/>
          </w:tcPr>
          <w:p w14:paraId="6581B598"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 выстр.</w:t>
            </w:r>
          </w:p>
        </w:tc>
        <w:tc>
          <w:tcPr>
            <w:tcW w:w="823" w:type="dxa"/>
            <w:tcBorders>
              <w:top w:val="single" w:sz="6" w:space="0" w:color="auto"/>
              <w:left w:val="single" w:sz="6" w:space="0" w:color="auto"/>
              <w:bottom w:val="single" w:sz="6" w:space="0" w:color="auto"/>
              <w:right w:val="single" w:sz="6" w:space="0" w:color="auto"/>
            </w:tcBorders>
            <w:shd w:val="clear" w:color="auto" w:fill="FFFFFF"/>
          </w:tcPr>
          <w:p w14:paraId="3C2067AE"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Style w:val="1095pt4"/>
                <w:rFonts w:ascii="Times New Roman" w:hAnsi="Times New Roman" w:cs="Times New Roman"/>
                <w:i w:val="0"/>
                <w:color w:val="000000" w:themeColor="text1"/>
                <w:sz w:val="16"/>
                <w:szCs w:val="16"/>
              </w:rPr>
              <w:t>V</w:t>
            </w:r>
            <w:r w:rsidRPr="00DB5D0D">
              <w:rPr>
                <w:rFonts w:ascii="Times New Roman" w:hAnsi="Times New Roman" w:cs="Times New Roman"/>
                <w:i w:val="0"/>
                <w:noProof w:val="0"/>
                <w:color w:val="000000" w:themeColor="text1"/>
                <w:sz w:val="16"/>
                <w:szCs w:val="16"/>
              </w:rPr>
              <w:t>m/c</w:t>
            </w:r>
          </w:p>
        </w:tc>
        <w:tc>
          <w:tcPr>
            <w:tcW w:w="3004" w:type="dxa"/>
            <w:tcBorders>
              <w:top w:val="single" w:sz="6" w:space="0" w:color="auto"/>
              <w:left w:val="single" w:sz="6" w:space="0" w:color="auto"/>
              <w:bottom w:val="single" w:sz="6" w:space="0" w:color="auto"/>
              <w:right w:val="single" w:sz="6" w:space="0" w:color="auto"/>
            </w:tcBorders>
            <w:shd w:val="clear" w:color="auto" w:fill="FFFFFF"/>
          </w:tcPr>
          <w:p w14:paraId="4236416C"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Характеристика поражений</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3678A374"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Состояние снаряда</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4D235D1A"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Примечание</w:t>
            </w:r>
          </w:p>
        </w:tc>
      </w:tr>
      <w:tr w:rsidR="007D5DF8" w:rsidRPr="00DB5D0D" w14:paraId="21C82F25" w14:textId="77777777" w:rsidTr="00E543D0">
        <w:trPr>
          <w:trHeight w:val="346"/>
        </w:trPr>
        <w:tc>
          <w:tcPr>
            <w:tcW w:w="1087" w:type="dxa"/>
            <w:tcBorders>
              <w:top w:val="single" w:sz="6" w:space="0" w:color="auto"/>
              <w:left w:val="single" w:sz="6" w:space="0" w:color="auto"/>
              <w:bottom w:val="nil"/>
              <w:right w:val="single" w:sz="6" w:space="0" w:color="auto"/>
            </w:tcBorders>
            <w:shd w:val="clear" w:color="auto" w:fill="FFFFFF"/>
          </w:tcPr>
          <w:p w14:paraId="7A815ADF"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59" w:type="dxa"/>
            <w:tcBorders>
              <w:top w:val="single" w:sz="6" w:space="0" w:color="auto"/>
              <w:left w:val="single" w:sz="6" w:space="0" w:color="auto"/>
              <w:bottom w:val="nil"/>
              <w:right w:val="single" w:sz="6" w:space="0" w:color="auto"/>
            </w:tcBorders>
            <w:shd w:val="clear" w:color="auto" w:fill="FFFFFF"/>
          </w:tcPr>
          <w:p w14:paraId="4F88174B"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w:t>
            </w:r>
          </w:p>
        </w:tc>
        <w:tc>
          <w:tcPr>
            <w:tcW w:w="873" w:type="dxa"/>
            <w:tcBorders>
              <w:top w:val="single" w:sz="6" w:space="0" w:color="auto"/>
              <w:left w:val="single" w:sz="6" w:space="0" w:color="auto"/>
              <w:bottom w:val="nil"/>
              <w:right w:val="single" w:sz="6" w:space="0" w:color="auto"/>
            </w:tcBorders>
            <w:shd w:val="clear" w:color="auto" w:fill="FFFFFF"/>
          </w:tcPr>
          <w:p w14:paraId="32F282DF"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w:t>
            </w:r>
          </w:p>
        </w:tc>
        <w:tc>
          <w:tcPr>
            <w:tcW w:w="567" w:type="dxa"/>
            <w:tcBorders>
              <w:top w:val="single" w:sz="6" w:space="0" w:color="auto"/>
              <w:left w:val="single" w:sz="6" w:space="0" w:color="auto"/>
              <w:bottom w:val="nil"/>
              <w:right w:val="single" w:sz="6" w:space="0" w:color="auto"/>
            </w:tcBorders>
            <w:shd w:val="clear" w:color="auto" w:fill="FFFFFF"/>
          </w:tcPr>
          <w:p w14:paraId="1C936AB3"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1</w:t>
            </w:r>
          </w:p>
        </w:tc>
        <w:tc>
          <w:tcPr>
            <w:tcW w:w="823" w:type="dxa"/>
            <w:tcBorders>
              <w:top w:val="single" w:sz="6" w:space="0" w:color="auto"/>
              <w:left w:val="single" w:sz="6" w:space="0" w:color="auto"/>
              <w:bottom w:val="nil"/>
              <w:right w:val="single" w:sz="6" w:space="0" w:color="auto"/>
            </w:tcBorders>
            <w:shd w:val="clear" w:color="auto" w:fill="FFFFFF"/>
          </w:tcPr>
          <w:p w14:paraId="5E7105A7"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654,7</w:t>
            </w:r>
          </w:p>
        </w:tc>
        <w:tc>
          <w:tcPr>
            <w:tcW w:w="3004" w:type="dxa"/>
            <w:tcBorders>
              <w:top w:val="single" w:sz="6" w:space="0" w:color="auto"/>
              <w:left w:val="single" w:sz="6" w:space="0" w:color="auto"/>
              <w:bottom w:val="nil"/>
              <w:right w:val="single" w:sz="6" w:space="0" w:color="auto"/>
            </w:tcBorders>
            <w:shd w:val="clear" w:color="auto" w:fill="FFFFFF"/>
          </w:tcPr>
          <w:p w14:paraId="30F2D373"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Вмятина —</w:t>
            </w:r>
            <w:r w:rsidRPr="00DB5D0D">
              <w:rPr>
                <w:rStyle w:val="1185pt32"/>
                <w:rFonts w:ascii="Times New Roman" w:hAnsi="Times New Roman" w:cs="Times New Roman"/>
                <w:iCs/>
                <w:color w:val="000000" w:themeColor="text1"/>
                <w:sz w:val="16"/>
                <w:szCs w:val="16"/>
              </w:rPr>
              <w:t xml:space="preserve"> 70</w:t>
            </w:r>
            <w:r w:rsidRPr="00DB5D0D">
              <w:rPr>
                <w:rFonts w:ascii="Times New Roman" w:hAnsi="Times New Roman" w:cs="Times New Roman"/>
                <w:i w:val="0"/>
                <w:color w:val="000000" w:themeColor="text1"/>
                <w:sz w:val="16"/>
                <w:szCs w:val="16"/>
              </w:rPr>
              <w:t xml:space="preserve"> мм. Выпучина +</w:t>
            </w:r>
            <w:r w:rsidRPr="00DB5D0D">
              <w:rPr>
                <w:rStyle w:val="1185pt32"/>
                <w:rFonts w:ascii="Times New Roman" w:hAnsi="Times New Roman" w:cs="Times New Roman"/>
                <w:iCs/>
                <w:color w:val="000000" w:themeColor="text1"/>
                <w:sz w:val="16"/>
                <w:szCs w:val="16"/>
              </w:rPr>
              <w:t xml:space="preserve"> 6</w:t>
            </w:r>
            <w:r w:rsidRPr="00DB5D0D">
              <w:rPr>
                <w:rFonts w:ascii="Times New Roman" w:hAnsi="Times New Roman" w:cs="Times New Roman"/>
                <w:i w:val="0"/>
                <w:color w:val="000000" w:themeColor="text1"/>
                <w:sz w:val="16"/>
                <w:szCs w:val="16"/>
              </w:rPr>
              <w:t xml:space="preserve"> мм</w:t>
            </w:r>
          </w:p>
        </w:tc>
        <w:tc>
          <w:tcPr>
            <w:tcW w:w="1843" w:type="dxa"/>
            <w:tcBorders>
              <w:top w:val="single" w:sz="6" w:space="0" w:color="auto"/>
              <w:left w:val="single" w:sz="6" w:space="0" w:color="auto"/>
              <w:bottom w:val="nil"/>
              <w:right w:val="single" w:sz="6" w:space="0" w:color="auto"/>
            </w:tcBorders>
            <w:shd w:val="clear" w:color="auto" w:fill="FFFFFF"/>
          </w:tcPr>
          <w:p w14:paraId="6EA6BF50"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перед деталью в осколках</w:t>
            </w:r>
          </w:p>
        </w:tc>
        <w:tc>
          <w:tcPr>
            <w:tcW w:w="1984" w:type="dxa"/>
            <w:tcBorders>
              <w:top w:val="single" w:sz="6" w:space="0" w:color="auto"/>
              <w:left w:val="single" w:sz="6" w:space="0" w:color="auto"/>
              <w:bottom w:val="nil"/>
              <w:right w:val="single" w:sz="6" w:space="0" w:color="auto"/>
            </w:tcBorders>
            <w:shd w:val="clear" w:color="auto" w:fill="FFFFFF"/>
          </w:tcPr>
          <w:p w14:paraId="0E06466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285F88F" w14:textId="77777777" w:rsidTr="00E543D0">
        <w:trPr>
          <w:trHeight w:val="734"/>
        </w:trPr>
        <w:tc>
          <w:tcPr>
            <w:tcW w:w="1087" w:type="dxa"/>
            <w:tcBorders>
              <w:top w:val="nil"/>
              <w:left w:val="single" w:sz="6" w:space="0" w:color="auto"/>
              <w:bottom w:val="single" w:sz="6" w:space="0" w:color="auto"/>
              <w:right w:val="single" w:sz="6" w:space="0" w:color="auto"/>
            </w:tcBorders>
            <w:shd w:val="clear" w:color="auto" w:fill="FFFFFF"/>
          </w:tcPr>
          <w:p w14:paraId="17C561BB"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513408-1-1</w:t>
            </w:r>
          </w:p>
        </w:tc>
        <w:tc>
          <w:tcPr>
            <w:tcW w:w="1159" w:type="dxa"/>
            <w:tcBorders>
              <w:top w:val="nil"/>
              <w:left w:val="single" w:sz="6" w:space="0" w:color="auto"/>
              <w:bottom w:val="single" w:sz="6" w:space="0" w:color="auto"/>
              <w:right w:val="single" w:sz="6" w:space="0" w:color="auto"/>
            </w:tcBorders>
            <w:shd w:val="clear" w:color="auto" w:fill="FFFFFF"/>
          </w:tcPr>
          <w:p w14:paraId="0A42FAC2"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w:t>
            </w:r>
          </w:p>
        </w:tc>
        <w:tc>
          <w:tcPr>
            <w:tcW w:w="873" w:type="dxa"/>
            <w:tcBorders>
              <w:top w:val="nil"/>
              <w:left w:val="single" w:sz="6" w:space="0" w:color="auto"/>
              <w:bottom w:val="single" w:sz="6" w:space="0" w:color="auto"/>
              <w:right w:val="single" w:sz="6" w:space="0" w:color="auto"/>
            </w:tcBorders>
            <w:shd w:val="clear" w:color="auto" w:fill="FFFFFF"/>
          </w:tcPr>
          <w:p w14:paraId="469AA451"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w:t>
            </w:r>
          </w:p>
        </w:tc>
        <w:tc>
          <w:tcPr>
            <w:tcW w:w="567" w:type="dxa"/>
            <w:tcBorders>
              <w:top w:val="nil"/>
              <w:left w:val="single" w:sz="6" w:space="0" w:color="auto"/>
              <w:bottom w:val="single" w:sz="6" w:space="0" w:color="auto"/>
              <w:right w:val="single" w:sz="6" w:space="0" w:color="auto"/>
            </w:tcBorders>
            <w:shd w:val="clear" w:color="auto" w:fill="FFFFFF"/>
          </w:tcPr>
          <w:p w14:paraId="359E87FA"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w:t>
            </w:r>
          </w:p>
        </w:tc>
        <w:tc>
          <w:tcPr>
            <w:tcW w:w="823" w:type="dxa"/>
            <w:tcBorders>
              <w:top w:val="nil"/>
              <w:left w:val="single" w:sz="6" w:space="0" w:color="auto"/>
              <w:bottom w:val="single" w:sz="6" w:space="0" w:color="auto"/>
              <w:right w:val="single" w:sz="6" w:space="0" w:color="auto"/>
            </w:tcBorders>
            <w:shd w:val="clear" w:color="auto" w:fill="FFFFFF"/>
          </w:tcPr>
          <w:p w14:paraId="1DD33F6A"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652,6</w:t>
            </w:r>
          </w:p>
        </w:tc>
        <w:tc>
          <w:tcPr>
            <w:tcW w:w="3004" w:type="dxa"/>
            <w:tcBorders>
              <w:top w:val="nil"/>
              <w:left w:val="single" w:sz="6" w:space="0" w:color="auto"/>
              <w:bottom w:val="single" w:sz="6" w:space="0" w:color="auto"/>
              <w:right w:val="single" w:sz="6" w:space="0" w:color="auto"/>
            </w:tcBorders>
            <w:shd w:val="clear" w:color="auto" w:fill="FFFFFF"/>
          </w:tcPr>
          <w:p w14:paraId="4C3484D2"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Вмятина —</w:t>
            </w:r>
            <w:r w:rsidRPr="00DB5D0D">
              <w:rPr>
                <w:rStyle w:val="1185pt32"/>
                <w:rFonts w:ascii="Times New Roman" w:hAnsi="Times New Roman" w:cs="Times New Roman"/>
                <w:iCs/>
                <w:color w:val="000000" w:themeColor="text1"/>
                <w:sz w:val="16"/>
                <w:szCs w:val="16"/>
              </w:rPr>
              <w:t xml:space="preserve"> 40</w:t>
            </w:r>
            <w:r w:rsidRPr="00DB5D0D">
              <w:rPr>
                <w:rFonts w:ascii="Times New Roman" w:hAnsi="Times New Roman" w:cs="Times New Roman"/>
                <w:i w:val="0"/>
                <w:color w:val="000000" w:themeColor="text1"/>
                <w:sz w:val="16"/>
                <w:szCs w:val="16"/>
              </w:rPr>
              <w:t xml:space="preserve"> мм. Выпучина +</w:t>
            </w:r>
            <w:r w:rsidRPr="00DB5D0D">
              <w:rPr>
                <w:rStyle w:val="1185pt32"/>
                <w:rFonts w:ascii="Times New Roman" w:hAnsi="Times New Roman" w:cs="Times New Roman"/>
                <w:iCs/>
                <w:color w:val="000000" w:themeColor="text1"/>
                <w:sz w:val="16"/>
                <w:szCs w:val="16"/>
              </w:rPr>
              <w:t xml:space="preserve"> 3</w:t>
            </w:r>
            <w:r w:rsidRPr="00DB5D0D">
              <w:rPr>
                <w:rFonts w:ascii="Times New Roman" w:hAnsi="Times New Roman" w:cs="Times New Roman"/>
                <w:i w:val="0"/>
                <w:color w:val="000000" w:themeColor="text1"/>
                <w:sz w:val="16"/>
                <w:szCs w:val="16"/>
              </w:rPr>
              <w:t xml:space="preserve"> мм</w:t>
            </w:r>
          </w:p>
        </w:tc>
        <w:tc>
          <w:tcPr>
            <w:tcW w:w="1843" w:type="dxa"/>
            <w:tcBorders>
              <w:top w:val="nil"/>
              <w:left w:val="single" w:sz="6" w:space="0" w:color="auto"/>
              <w:bottom w:val="single" w:sz="6" w:space="0" w:color="auto"/>
              <w:right w:val="single" w:sz="6" w:space="0" w:color="auto"/>
            </w:tcBorders>
            <w:shd w:val="clear" w:color="auto" w:fill="FFFFFF"/>
          </w:tcPr>
          <w:p w14:paraId="15D858CA"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перед деталью в осколках</w:t>
            </w:r>
          </w:p>
        </w:tc>
        <w:tc>
          <w:tcPr>
            <w:tcW w:w="1984" w:type="dxa"/>
            <w:tcBorders>
              <w:top w:val="nil"/>
              <w:left w:val="single" w:sz="6" w:space="0" w:color="auto"/>
              <w:bottom w:val="single" w:sz="6" w:space="0" w:color="auto"/>
              <w:right w:val="single" w:sz="6" w:space="0" w:color="auto"/>
            </w:tcBorders>
            <w:shd w:val="clear" w:color="auto" w:fill="FFFFFF"/>
          </w:tcPr>
          <w:p w14:paraId="27D2F176"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Двойная термообработка</w:t>
            </w:r>
          </w:p>
        </w:tc>
      </w:tr>
      <w:tr w:rsidR="007D5DF8" w:rsidRPr="00DB5D0D" w14:paraId="70500152" w14:textId="77777777" w:rsidTr="00E543D0">
        <w:trPr>
          <w:trHeight w:val="418"/>
        </w:trPr>
        <w:tc>
          <w:tcPr>
            <w:tcW w:w="1087" w:type="dxa"/>
            <w:tcBorders>
              <w:top w:val="single" w:sz="6" w:space="0" w:color="auto"/>
              <w:left w:val="single" w:sz="6" w:space="0" w:color="auto"/>
              <w:bottom w:val="nil"/>
              <w:right w:val="single" w:sz="6" w:space="0" w:color="auto"/>
            </w:tcBorders>
            <w:shd w:val="clear" w:color="auto" w:fill="FFFFFF"/>
          </w:tcPr>
          <w:p w14:paraId="489D64BC"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59" w:type="dxa"/>
            <w:tcBorders>
              <w:top w:val="single" w:sz="6" w:space="0" w:color="auto"/>
              <w:left w:val="single" w:sz="6" w:space="0" w:color="auto"/>
              <w:bottom w:val="nil"/>
              <w:right w:val="single" w:sz="6" w:space="0" w:color="auto"/>
            </w:tcBorders>
            <w:shd w:val="clear" w:color="auto" w:fill="FFFFFF"/>
          </w:tcPr>
          <w:p w14:paraId="592E5185"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w:t>
            </w:r>
          </w:p>
        </w:tc>
        <w:tc>
          <w:tcPr>
            <w:tcW w:w="873" w:type="dxa"/>
            <w:tcBorders>
              <w:top w:val="single" w:sz="6" w:space="0" w:color="auto"/>
              <w:left w:val="single" w:sz="6" w:space="0" w:color="auto"/>
              <w:bottom w:val="nil"/>
              <w:right w:val="single" w:sz="6" w:space="0" w:color="auto"/>
            </w:tcBorders>
            <w:shd w:val="clear" w:color="auto" w:fill="FFFFFF"/>
          </w:tcPr>
          <w:p w14:paraId="60FA3142"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w:t>
            </w:r>
          </w:p>
        </w:tc>
        <w:tc>
          <w:tcPr>
            <w:tcW w:w="567" w:type="dxa"/>
            <w:tcBorders>
              <w:top w:val="single" w:sz="6" w:space="0" w:color="auto"/>
              <w:left w:val="single" w:sz="6" w:space="0" w:color="auto"/>
              <w:bottom w:val="nil"/>
              <w:right w:val="single" w:sz="6" w:space="0" w:color="auto"/>
            </w:tcBorders>
            <w:shd w:val="clear" w:color="auto" w:fill="FFFFFF"/>
          </w:tcPr>
          <w:p w14:paraId="794097ED"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1</w:t>
            </w:r>
          </w:p>
        </w:tc>
        <w:tc>
          <w:tcPr>
            <w:tcW w:w="823" w:type="dxa"/>
            <w:tcBorders>
              <w:top w:val="single" w:sz="6" w:space="0" w:color="auto"/>
              <w:left w:val="single" w:sz="6" w:space="0" w:color="auto"/>
              <w:bottom w:val="nil"/>
              <w:right w:val="single" w:sz="6" w:space="0" w:color="auto"/>
            </w:tcBorders>
            <w:shd w:val="clear" w:color="auto" w:fill="FFFFFF"/>
          </w:tcPr>
          <w:p w14:paraId="3E114EF7"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653,1</w:t>
            </w:r>
          </w:p>
        </w:tc>
        <w:tc>
          <w:tcPr>
            <w:tcW w:w="3004" w:type="dxa"/>
            <w:tcBorders>
              <w:top w:val="single" w:sz="6" w:space="0" w:color="auto"/>
              <w:left w:val="single" w:sz="6" w:space="0" w:color="auto"/>
              <w:bottom w:val="nil"/>
              <w:right w:val="single" w:sz="6" w:space="0" w:color="auto"/>
            </w:tcBorders>
            <w:shd w:val="clear" w:color="auto" w:fill="FFFFFF"/>
          </w:tcPr>
          <w:p w14:paraId="390F3AEA"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Вмятина —</w:t>
            </w:r>
            <w:r w:rsidRPr="00DB5D0D">
              <w:rPr>
                <w:rStyle w:val="1185pt32"/>
                <w:rFonts w:ascii="Times New Roman" w:hAnsi="Times New Roman" w:cs="Times New Roman"/>
                <w:iCs/>
                <w:color w:val="000000" w:themeColor="text1"/>
                <w:sz w:val="16"/>
                <w:szCs w:val="16"/>
              </w:rPr>
              <w:t xml:space="preserve"> 32</w:t>
            </w:r>
            <w:r w:rsidRPr="00DB5D0D">
              <w:rPr>
                <w:rFonts w:ascii="Times New Roman" w:hAnsi="Times New Roman" w:cs="Times New Roman"/>
                <w:i w:val="0"/>
                <w:color w:val="000000" w:themeColor="text1"/>
                <w:sz w:val="16"/>
                <w:szCs w:val="16"/>
              </w:rPr>
              <w:t xml:space="preserve"> мм. Выпучина +</w:t>
            </w:r>
            <w:r w:rsidRPr="00DB5D0D">
              <w:rPr>
                <w:rStyle w:val="1185pt32"/>
                <w:rFonts w:ascii="Times New Roman" w:hAnsi="Times New Roman" w:cs="Times New Roman"/>
                <w:iCs/>
                <w:color w:val="000000" w:themeColor="text1"/>
                <w:sz w:val="16"/>
                <w:szCs w:val="16"/>
              </w:rPr>
              <w:t xml:space="preserve"> 3</w:t>
            </w:r>
            <w:r w:rsidRPr="00DB5D0D">
              <w:rPr>
                <w:rFonts w:ascii="Times New Roman" w:hAnsi="Times New Roman" w:cs="Times New Roman"/>
                <w:i w:val="0"/>
                <w:color w:val="000000" w:themeColor="text1"/>
                <w:sz w:val="16"/>
                <w:szCs w:val="16"/>
              </w:rPr>
              <w:t xml:space="preserve"> мм</w:t>
            </w:r>
          </w:p>
        </w:tc>
        <w:tc>
          <w:tcPr>
            <w:tcW w:w="1843" w:type="dxa"/>
            <w:tcBorders>
              <w:top w:val="single" w:sz="6" w:space="0" w:color="auto"/>
              <w:left w:val="single" w:sz="6" w:space="0" w:color="auto"/>
              <w:bottom w:val="nil"/>
              <w:right w:val="single" w:sz="6" w:space="0" w:color="auto"/>
            </w:tcBorders>
            <w:shd w:val="clear" w:color="auto" w:fill="FFFFFF"/>
          </w:tcPr>
          <w:p w14:paraId="1853ED0A"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Снаряд перед деталью</w:t>
            </w:r>
            <w:r w:rsidRPr="00DB5D0D">
              <w:rPr>
                <w:rStyle w:val="1185pt32"/>
                <w:rFonts w:ascii="Times New Roman" w:hAnsi="Times New Roman" w:cs="Times New Roman"/>
                <w:iCs/>
                <w:color w:val="000000" w:themeColor="text1"/>
                <w:sz w:val="16"/>
                <w:szCs w:val="16"/>
              </w:rPr>
              <w:t xml:space="preserve"> н=120-130</w:t>
            </w:r>
          </w:p>
        </w:tc>
        <w:tc>
          <w:tcPr>
            <w:tcW w:w="1984" w:type="dxa"/>
            <w:tcBorders>
              <w:top w:val="single" w:sz="6" w:space="0" w:color="auto"/>
              <w:left w:val="single" w:sz="6" w:space="0" w:color="auto"/>
              <w:bottom w:val="nil"/>
              <w:right w:val="single" w:sz="6" w:space="0" w:color="auto"/>
            </w:tcBorders>
            <w:shd w:val="clear" w:color="auto" w:fill="FFFFFF"/>
          </w:tcPr>
          <w:p w14:paraId="66B95DC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04E7D0C6" w14:textId="77777777" w:rsidTr="00E543D0">
        <w:trPr>
          <w:trHeight w:val="1066"/>
        </w:trPr>
        <w:tc>
          <w:tcPr>
            <w:tcW w:w="1087" w:type="dxa"/>
            <w:tcBorders>
              <w:top w:val="nil"/>
              <w:left w:val="single" w:sz="6" w:space="0" w:color="auto"/>
              <w:bottom w:val="nil"/>
              <w:right w:val="single" w:sz="6" w:space="0" w:color="auto"/>
            </w:tcBorders>
            <w:shd w:val="clear" w:color="auto" w:fill="FFFFFF"/>
          </w:tcPr>
          <w:p w14:paraId="484F990E"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513408-2-2</w:t>
            </w:r>
          </w:p>
        </w:tc>
        <w:tc>
          <w:tcPr>
            <w:tcW w:w="1159" w:type="dxa"/>
            <w:tcBorders>
              <w:top w:val="nil"/>
              <w:left w:val="single" w:sz="6" w:space="0" w:color="auto"/>
              <w:bottom w:val="nil"/>
              <w:right w:val="single" w:sz="6" w:space="0" w:color="auto"/>
            </w:tcBorders>
            <w:shd w:val="clear" w:color="auto" w:fill="FFFFFF"/>
          </w:tcPr>
          <w:p w14:paraId="30AF8813"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 00130</w:t>
            </w:r>
          </w:p>
        </w:tc>
        <w:tc>
          <w:tcPr>
            <w:tcW w:w="873" w:type="dxa"/>
            <w:tcBorders>
              <w:top w:val="nil"/>
              <w:left w:val="single" w:sz="6" w:space="0" w:color="auto"/>
              <w:bottom w:val="nil"/>
              <w:right w:val="single" w:sz="6" w:space="0" w:color="auto"/>
            </w:tcBorders>
            <w:shd w:val="clear" w:color="auto" w:fill="FFFFFF"/>
          </w:tcPr>
          <w:p w14:paraId="59042082"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76 45</w:t>
            </w:r>
          </w:p>
        </w:tc>
        <w:tc>
          <w:tcPr>
            <w:tcW w:w="567" w:type="dxa"/>
            <w:tcBorders>
              <w:top w:val="nil"/>
              <w:left w:val="single" w:sz="6" w:space="0" w:color="auto"/>
              <w:bottom w:val="nil"/>
              <w:right w:val="single" w:sz="6" w:space="0" w:color="auto"/>
            </w:tcBorders>
            <w:shd w:val="clear" w:color="auto" w:fill="FFFFFF"/>
          </w:tcPr>
          <w:p w14:paraId="0E6012BE"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2 3</w:t>
            </w:r>
          </w:p>
        </w:tc>
        <w:tc>
          <w:tcPr>
            <w:tcW w:w="823" w:type="dxa"/>
            <w:tcBorders>
              <w:top w:val="nil"/>
              <w:left w:val="single" w:sz="6" w:space="0" w:color="auto"/>
              <w:bottom w:val="nil"/>
              <w:right w:val="single" w:sz="6" w:space="0" w:color="auto"/>
            </w:tcBorders>
            <w:shd w:val="clear" w:color="auto" w:fill="FFFFFF"/>
          </w:tcPr>
          <w:p w14:paraId="16BBABA3"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 xml:space="preserve">651,6 </w:t>
            </w:r>
            <w:r w:rsidRPr="00DB5D0D">
              <w:rPr>
                <w:rStyle w:val="115pt29115pt8109112SimHei2Arial12pt11ptMSMincho12pt"/>
                <w:rFonts w:ascii="Times New Roman" w:hAnsi="Times New Roman" w:cs="Times New Roman"/>
                <w:i w:val="0"/>
                <w:smallCaps/>
                <w:color w:val="000000" w:themeColor="text1"/>
                <w:spacing w:val="0"/>
                <w:sz w:val="16"/>
                <w:szCs w:val="16"/>
              </w:rPr>
              <w:t>н/з</w:t>
            </w:r>
          </w:p>
        </w:tc>
        <w:tc>
          <w:tcPr>
            <w:tcW w:w="3004" w:type="dxa"/>
            <w:tcBorders>
              <w:top w:val="nil"/>
              <w:left w:val="single" w:sz="6" w:space="0" w:color="auto"/>
              <w:bottom w:val="nil"/>
              <w:right w:val="single" w:sz="6" w:space="0" w:color="auto"/>
            </w:tcBorders>
            <w:shd w:val="clear" w:color="auto" w:fill="FFFFFF"/>
          </w:tcPr>
          <w:p w14:paraId="38B450ED"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Вмятина — 26 мм (с приваркой части снаряда). Выпучина + 3 мм Вмятина — 32 мм. Выпучина + 0 мм</w:t>
            </w:r>
          </w:p>
        </w:tc>
        <w:tc>
          <w:tcPr>
            <w:tcW w:w="1843" w:type="dxa"/>
            <w:tcBorders>
              <w:top w:val="nil"/>
              <w:left w:val="single" w:sz="6" w:space="0" w:color="auto"/>
              <w:bottom w:val="nil"/>
              <w:right w:val="single" w:sz="6" w:space="0" w:color="auto"/>
            </w:tcBorders>
            <w:shd w:val="clear" w:color="auto" w:fill="FFFFFF"/>
          </w:tcPr>
          <w:p w14:paraId="78915D39"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перед деталью в осколках Снаряд перед деталью не найден</w:t>
            </w:r>
          </w:p>
        </w:tc>
        <w:tc>
          <w:tcPr>
            <w:tcW w:w="1984" w:type="dxa"/>
            <w:tcBorders>
              <w:top w:val="nil"/>
              <w:left w:val="single" w:sz="6" w:space="0" w:color="auto"/>
              <w:bottom w:val="nil"/>
              <w:right w:val="single" w:sz="6" w:space="0" w:color="auto"/>
            </w:tcBorders>
            <w:shd w:val="clear" w:color="auto" w:fill="FFFFFF"/>
          </w:tcPr>
          <w:p w14:paraId="7BB25EB2"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Двойная термообработка</w:t>
            </w:r>
          </w:p>
        </w:tc>
      </w:tr>
      <w:tr w:rsidR="007D5DF8" w:rsidRPr="00DB5D0D" w14:paraId="3F8D505C" w14:textId="77777777" w:rsidTr="00E543D0">
        <w:trPr>
          <w:trHeight w:val="922"/>
        </w:trPr>
        <w:tc>
          <w:tcPr>
            <w:tcW w:w="1087" w:type="dxa"/>
            <w:tcBorders>
              <w:top w:val="nil"/>
              <w:left w:val="single" w:sz="6" w:space="0" w:color="auto"/>
              <w:bottom w:val="single" w:sz="6" w:space="0" w:color="auto"/>
              <w:right w:val="single" w:sz="6" w:space="0" w:color="auto"/>
            </w:tcBorders>
            <w:shd w:val="clear" w:color="auto" w:fill="FFFFFF"/>
          </w:tcPr>
          <w:p w14:paraId="4C40E404"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59" w:type="dxa"/>
            <w:tcBorders>
              <w:top w:val="nil"/>
              <w:left w:val="single" w:sz="6" w:space="0" w:color="auto"/>
              <w:bottom w:val="single" w:sz="6" w:space="0" w:color="auto"/>
              <w:right w:val="single" w:sz="6" w:space="0" w:color="auto"/>
            </w:tcBorders>
            <w:shd w:val="clear" w:color="auto" w:fill="FFFFFF"/>
          </w:tcPr>
          <w:p w14:paraId="70784E1C"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00130</w:t>
            </w:r>
          </w:p>
        </w:tc>
        <w:tc>
          <w:tcPr>
            <w:tcW w:w="873" w:type="dxa"/>
            <w:tcBorders>
              <w:top w:val="nil"/>
              <w:left w:val="single" w:sz="6" w:space="0" w:color="auto"/>
              <w:bottom w:val="single" w:sz="6" w:space="0" w:color="auto"/>
              <w:right w:val="single" w:sz="6" w:space="0" w:color="auto"/>
            </w:tcBorders>
            <w:shd w:val="clear" w:color="auto" w:fill="FFFFFF"/>
          </w:tcPr>
          <w:p w14:paraId="52596E26"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45</w:t>
            </w:r>
          </w:p>
        </w:tc>
        <w:tc>
          <w:tcPr>
            <w:tcW w:w="567" w:type="dxa"/>
            <w:tcBorders>
              <w:top w:val="nil"/>
              <w:left w:val="single" w:sz="6" w:space="0" w:color="auto"/>
              <w:bottom w:val="single" w:sz="6" w:space="0" w:color="auto"/>
              <w:right w:val="single" w:sz="6" w:space="0" w:color="auto"/>
            </w:tcBorders>
            <w:shd w:val="clear" w:color="auto" w:fill="FFFFFF"/>
          </w:tcPr>
          <w:p w14:paraId="4BE389E3"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4</w:t>
            </w:r>
          </w:p>
        </w:tc>
        <w:tc>
          <w:tcPr>
            <w:tcW w:w="823" w:type="dxa"/>
            <w:tcBorders>
              <w:top w:val="nil"/>
              <w:left w:val="single" w:sz="6" w:space="0" w:color="auto"/>
              <w:bottom w:val="single" w:sz="6" w:space="0" w:color="auto"/>
              <w:right w:val="single" w:sz="6" w:space="0" w:color="auto"/>
            </w:tcBorders>
            <w:shd w:val="clear" w:color="auto" w:fill="FFFFFF"/>
          </w:tcPr>
          <w:p w14:paraId="732D9A62"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758,7</w:t>
            </w:r>
          </w:p>
        </w:tc>
        <w:tc>
          <w:tcPr>
            <w:tcW w:w="3004" w:type="dxa"/>
            <w:tcBorders>
              <w:top w:val="nil"/>
              <w:left w:val="single" w:sz="6" w:space="0" w:color="auto"/>
              <w:bottom w:val="single" w:sz="6" w:space="0" w:color="auto"/>
              <w:right w:val="single" w:sz="6" w:space="0" w:color="auto"/>
            </w:tcBorders>
            <w:shd w:val="clear" w:color="auto" w:fill="FFFFFF"/>
          </w:tcPr>
          <w:p w14:paraId="3788A866"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Вмятина —</w:t>
            </w:r>
            <w:r w:rsidRPr="00DB5D0D">
              <w:rPr>
                <w:rStyle w:val="1185pt32"/>
                <w:rFonts w:ascii="Times New Roman" w:hAnsi="Times New Roman" w:cs="Times New Roman"/>
                <w:iCs/>
                <w:color w:val="000000" w:themeColor="text1"/>
                <w:sz w:val="16"/>
                <w:szCs w:val="16"/>
                <w:lang w:val="ru-RU"/>
              </w:rPr>
              <w:t xml:space="preserve"> 27</w:t>
            </w:r>
            <w:r w:rsidRPr="00DB5D0D">
              <w:rPr>
                <w:rFonts w:ascii="Times New Roman" w:hAnsi="Times New Roman" w:cs="Times New Roman"/>
                <w:i w:val="0"/>
                <w:color w:val="000000" w:themeColor="text1"/>
                <w:sz w:val="16"/>
                <w:szCs w:val="16"/>
                <w:lang w:val="ru-RU"/>
              </w:rPr>
              <w:t xml:space="preserve"> мм. Выпучина +</w:t>
            </w:r>
            <w:r w:rsidRPr="00DB5D0D">
              <w:rPr>
                <w:rStyle w:val="1185pt32"/>
                <w:rFonts w:ascii="Times New Roman" w:hAnsi="Times New Roman" w:cs="Times New Roman"/>
                <w:iCs/>
                <w:color w:val="000000" w:themeColor="text1"/>
                <w:sz w:val="16"/>
                <w:szCs w:val="16"/>
                <w:lang w:val="ru-RU"/>
              </w:rPr>
              <w:t xml:space="preserve"> 14</w:t>
            </w:r>
            <w:r w:rsidRPr="00DB5D0D">
              <w:rPr>
                <w:rFonts w:ascii="Times New Roman" w:hAnsi="Times New Roman" w:cs="Times New Roman"/>
                <w:i w:val="0"/>
                <w:color w:val="000000" w:themeColor="text1"/>
                <w:sz w:val="16"/>
                <w:szCs w:val="16"/>
                <w:lang w:val="ru-RU"/>
              </w:rPr>
              <w:t xml:space="preserve"> мм (надрыв пробки на</w:t>
            </w:r>
            <w:r w:rsidRPr="00DB5D0D">
              <w:rPr>
                <w:rStyle w:val="1185pt32"/>
                <w:rFonts w:ascii="Times New Roman" w:hAnsi="Times New Roman" w:cs="Times New Roman"/>
                <w:iCs/>
                <w:color w:val="000000" w:themeColor="text1"/>
                <w:sz w:val="16"/>
                <w:szCs w:val="16"/>
                <w:lang w:val="ru-RU"/>
              </w:rPr>
              <w:t xml:space="preserve"> 1/4</w:t>
            </w:r>
            <w:r w:rsidRPr="00DB5D0D">
              <w:rPr>
                <w:rFonts w:ascii="Times New Roman" w:hAnsi="Times New Roman" w:cs="Times New Roman"/>
                <w:i w:val="0"/>
                <w:color w:val="000000" w:themeColor="text1"/>
                <w:sz w:val="16"/>
                <w:szCs w:val="16"/>
                <w:lang w:val="ru-RU"/>
              </w:rPr>
              <w:t xml:space="preserve"> окружности)</w:t>
            </w:r>
          </w:p>
        </w:tc>
        <w:tc>
          <w:tcPr>
            <w:tcW w:w="1843" w:type="dxa"/>
            <w:tcBorders>
              <w:top w:val="nil"/>
              <w:left w:val="single" w:sz="6" w:space="0" w:color="auto"/>
              <w:bottom w:val="single" w:sz="6" w:space="0" w:color="auto"/>
              <w:right w:val="single" w:sz="6" w:space="0" w:color="auto"/>
            </w:tcBorders>
            <w:shd w:val="clear" w:color="auto" w:fill="FFFFFF"/>
          </w:tcPr>
          <w:p w14:paraId="10B12235"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перед деталью в осколках</w:t>
            </w:r>
          </w:p>
        </w:tc>
        <w:tc>
          <w:tcPr>
            <w:tcW w:w="1984" w:type="dxa"/>
            <w:tcBorders>
              <w:top w:val="nil"/>
              <w:left w:val="single" w:sz="6" w:space="0" w:color="auto"/>
              <w:bottom w:val="single" w:sz="6" w:space="0" w:color="auto"/>
              <w:right w:val="single" w:sz="6" w:space="0" w:color="auto"/>
            </w:tcBorders>
            <w:shd w:val="clear" w:color="auto" w:fill="FFFFFF"/>
          </w:tcPr>
          <w:p w14:paraId="7679F3DD"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11C7C272" w14:textId="77777777" w:rsidTr="00E543D0">
        <w:trPr>
          <w:trHeight w:val="425"/>
        </w:trPr>
        <w:tc>
          <w:tcPr>
            <w:tcW w:w="1087" w:type="dxa"/>
            <w:tcBorders>
              <w:top w:val="single" w:sz="6" w:space="0" w:color="auto"/>
              <w:left w:val="single" w:sz="6" w:space="0" w:color="auto"/>
              <w:bottom w:val="nil"/>
              <w:right w:val="single" w:sz="6" w:space="0" w:color="auto"/>
            </w:tcBorders>
            <w:shd w:val="clear" w:color="auto" w:fill="FFFFFF"/>
          </w:tcPr>
          <w:p w14:paraId="2B50A2A1"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59" w:type="dxa"/>
            <w:tcBorders>
              <w:top w:val="single" w:sz="6" w:space="0" w:color="auto"/>
              <w:left w:val="single" w:sz="6" w:space="0" w:color="auto"/>
              <w:bottom w:val="nil"/>
              <w:right w:val="single" w:sz="6" w:space="0" w:color="auto"/>
            </w:tcBorders>
            <w:shd w:val="clear" w:color="auto" w:fill="FFFFFF"/>
          </w:tcPr>
          <w:p w14:paraId="4F7BBFB9"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w:t>
            </w:r>
          </w:p>
        </w:tc>
        <w:tc>
          <w:tcPr>
            <w:tcW w:w="873" w:type="dxa"/>
            <w:tcBorders>
              <w:top w:val="single" w:sz="6" w:space="0" w:color="auto"/>
              <w:left w:val="single" w:sz="6" w:space="0" w:color="auto"/>
              <w:bottom w:val="nil"/>
              <w:right w:val="single" w:sz="6" w:space="0" w:color="auto"/>
            </w:tcBorders>
            <w:shd w:val="clear" w:color="auto" w:fill="FFFFFF"/>
          </w:tcPr>
          <w:p w14:paraId="5976EFC0"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w:t>
            </w:r>
          </w:p>
        </w:tc>
        <w:tc>
          <w:tcPr>
            <w:tcW w:w="567" w:type="dxa"/>
            <w:tcBorders>
              <w:top w:val="single" w:sz="6" w:space="0" w:color="auto"/>
              <w:left w:val="single" w:sz="6" w:space="0" w:color="auto"/>
              <w:bottom w:val="nil"/>
              <w:right w:val="single" w:sz="6" w:space="0" w:color="auto"/>
            </w:tcBorders>
            <w:shd w:val="clear" w:color="auto" w:fill="FFFFFF"/>
          </w:tcPr>
          <w:p w14:paraId="42D886E5"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1</w:t>
            </w:r>
          </w:p>
        </w:tc>
        <w:tc>
          <w:tcPr>
            <w:tcW w:w="823" w:type="dxa"/>
            <w:tcBorders>
              <w:top w:val="single" w:sz="6" w:space="0" w:color="auto"/>
              <w:left w:val="single" w:sz="6" w:space="0" w:color="auto"/>
              <w:bottom w:val="nil"/>
              <w:right w:val="single" w:sz="6" w:space="0" w:color="auto"/>
            </w:tcBorders>
            <w:shd w:val="clear" w:color="auto" w:fill="FFFFFF"/>
          </w:tcPr>
          <w:p w14:paraId="07BBD97C"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639,2</w:t>
            </w:r>
          </w:p>
        </w:tc>
        <w:tc>
          <w:tcPr>
            <w:tcW w:w="3004" w:type="dxa"/>
            <w:tcBorders>
              <w:top w:val="single" w:sz="6" w:space="0" w:color="auto"/>
              <w:left w:val="single" w:sz="6" w:space="0" w:color="auto"/>
              <w:bottom w:val="nil"/>
              <w:right w:val="single" w:sz="6" w:space="0" w:color="auto"/>
            </w:tcBorders>
            <w:shd w:val="clear" w:color="auto" w:fill="FFFFFF"/>
          </w:tcPr>
          <w:p w14:paraId="4C9318CD"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Вмятина — 30 мм. Выпучина + 3 мм</w:t>
            </w:r>
          </w:p>
        </w:tc>
        <w:tc>
          <w:tcPr>
            <w:tcW w:w="1843" w:type="dxa"/>
            <w:tcBorders>
              <w:top w:val="single" w:sz="6" w:space="0" w:color="auto"/>
              <w:left w:val="single" w:sz="6" w:space="0" w:color="auto"/>
              <w:bottom w:val="nil"/>
              <w:right w:val="single" w:sz="6" w:space="0" w:color="auto"/>
            </w:tcBorders>
            <w:shd w:val="clear" w:color="auto" w:fill="FFFFFF"/>
          </w:tcPr>
          <w:p w14:paraId="422B5780"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перед деталью в осколках</w:t>
            </w:r>
          </w:p>
        </w:tc>
        <w:tc>
          <w:tcPr>
            <w:tcW w:w="1984" w:type="dxa"/>
            <w:tcBorders>
              <w:top w:val="single" w:sz="6" w:space="0" w:color="auto"/>
              <w:left w:val="single" w:sz="6" w:space="0" w:color="auto"/>
              <w:bottom w:val="nil"/>
              <w:right w:val="single" w:sz="6" w:space="0" w:color="auto"/>
            </w:tcBorders>
            <w:shd w:val="clear" w:color="auto" w:fill="FFFFFF"/>
          </w:tcPr>
          <w:p w14:paraId="13C899F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6A139700" w14:textId="77777777" w:rsidTr="00E543D0">
        <w:trPr>
          <w:trHeight w:val="526"/>
        </w:trPr>
        <w:tc>
          <w:tcPr>
            <w:tcW w:w="1087" w:type="dxa"/>
            <w:tcBorders>
              <w:top w:val="nil"/>
              <w:left w:val="single" w:sz="6" w:space="0" w:color="auto"/>
              <w:bottom w:val="nil"/>
              <w:right w:val="single" w:sz="6" w:space="0" w:color="auto"/>
            </w:tcBorders>
            <w:shd w:val="clear" w:color="auto" w:fill="FFFFFF"/>
          </w:tcPr>
          <w:p w14:paraId="377B52DA"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c>
          <w:tcPr>
            <w:tcW w:w="1159" w:type="dxa"/>
            <w:tcBorders>
              <w:top w:val="nil"/>
              <w:left w:val="single" w:sz="6" w:space="0" w:color="auto"/>
              <w:bottom w:val="nil"/>
              <w:right w:val="single" w:sz="6" w:space="0" w:color="auto"/>
            </w:tcBorders>
            <w:shd w:val="clear" w:color="auto" w:fill="FFFFFF"/>
          </w:tcPr>
          <w:p w14:paraId="11263AF5"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2-03545</w:t>
            </w:r>
          </w:p>
        </w:tc>
        <w:tc>
          <w:tcPr>
            <w:tcW w:w="873" w:type="dxa"/>
            <w:tcBorders>
              <w:top w:val="nil"/>
              <w:left w:val="single" w:sz="6" w:space="0" w:color="auto"/>
              <w:bottom w:val="nil"/>
              <w:right w:val="single" w:sz="6" w:space="0" w:color="auto"/>
            </w:tcBorders>
            <w:shd w:val="clear" w:color="auto" w:fill="FFFFFF"/>
          </w:tcPr>
          <w:p w14:paraId="02B0809B"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76</w:t>
            </w:r>
          </w:p>
        </w:tc>
        <w:tc>
          <w:tcPr>
            <w:tcW w:w="567" w:type="dxa"/>
            <w:tcBorders>
              <w:top w:val="nil"/>
              <w:left w:val="single" w:sz="6" w:space="0" w:color="auto"/>
              <w:bottom w:val="nil"/>
              <w:right w:val="single" w:sz="6" w:space="0" w:color="auto"/>
            </w:tcBorders>
            <w:shd w:val="clear" w:color="auto" w:fill="FFFFFF"/>
          </w:tcPr>
          <w:p w14:paraId="4842653E"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2</w:t>
            </w:r>
          </w:p>
        </w:tc>
        <w:tc>
          <w:tcPr>
            <w:tcW w:w="823" w:type="dxa"/>
            <w:tcBorders>
              <w:top w:val="nil"/>
              <w:left w:val="single" w:sz="6" w:space="0" w:color="auto"/>
              <w:bottom w:val="nil"/>
              <w:right w:val="single" w:sz="6" w:space="0" w:color="auto"/>
            </w:tcBorders>
            <w:shd w:val="clear" w:color="auto" w:fill="FFFFFF"/>
          </w:tcPr>
          <w:p w14:paraId="3632D870"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649,5</w:t>
            </w:r>
          </w:p>
        </w:tc>
        <w:tc>
          <w:tcPr>
            <w:tcW w:w="3004" w:type="dxa"/>
            <w:tcBorders>
              <w:top w:val="nil"/>
              <w:left w:val="single" w:sz="6" w:space="0" w:color="auto"/>
              <w:bottom w:val="nil"/>
              <w:right w:val="single" w:sz="6" w:space="0" w:color="auto"/>
            </w:tcBorders>
            <w:shd w:val="clear" w:color="auto" w:fill="FFFFFF"/>
          </w:tcPr>
          <w:p w14:paraId="57A61428"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Вмятина — 32 мм. Выпучина +</w:t>
            </w:r>
            <w:r w:rsidRPr="00DB5D0D">
              <w:rPr>
                <w:rStyle w:val="1185pt32"/>
                <w:rFonts w:ascii="Times New Roman" w:hAnsi="Times New Roman" w:cs="Times New Roman"/>
                <w:iCs/>
                <w:color w:val="000000" w:themeColor="text1"/>
                <w:sz w:val="16"/>
                <w:szCs w:val="16"/>
              </w:rPr>
              <w:t xml:space="preserve"> 4</w:t>
            </w:r>
            <w:r w:rsidRPr="00DB5D0D">
              <w:rPr>
                <w:rFonts w:ascii="Times New Roman" w:hAnsi="Times New Roman" w:cs="Times New Roman"/>
                <w:i w:val="0"/>
                <w:color w:val="000000" w:themeColor="text1"/>
                <w:sz w:val="16"/>
                <w:szCs w:val="16"/>
              </w:rPr>
              <w:t xml:space="preserve"> мм</w:t>
            </w:r>
          </w:p>
        </w:tc>
        <w:tc>
          <w:tcPr>
            <w:tcW w:w="1843" w:type="dxa"/>
            <w:tcBorders>
              <w:top w:val="nil"/>
              <w:left w:val="single" w:sz="6" w:space="0" w:color="auto"/>
              <w:bottom w:val="nil"/>
              <w:right w:val="single" w:sz="6" w:space="0" w:color="auto"/>
            </w:tcBorders>
            <w:shd w:val="clear" w:color="auto" w:fill="FFFFFF"/>
          </w:tcPr>
          <w:p w14:paraId="196029B6"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Снаряд перед деталью</w:t>
            </w:r>
            <w:r w:rsidRPr="00DB5D0D">
              <w:rPr>
                <w:rStyle w:val="1185pt32"/>
                <w:rFonts w:ascii="Times New Roman" w:hAnsi="Times New Roman" w:cs="Times New Roman"/>
                <w:iCs/>
                <w:color w:val="000000" w:themeColor="text1"/>
                <w:sz w:val="16"/>
                <w:szCs w:val="16"/>
              </w:rPr>
              <w:t xml:space="preserve"> н=140-170</w:t>
            </w:r>
          </w:p>
        </w:tc>
        <w:tc>
          <w:tcPr>
            <w:tcW w:w="1984" w:type="dxa"/>
            <w:tcBorders>
              <w:top w:val="nil"/>
              <w:left w:val="single" w:sz="6" w:space="0" w:color="auto"/>
              <w:bottom w:val="nil"/>
              <w:right w:val="single" w:sz="6" w:space="0" w:color="auto"/>
            </w:tcBorders>
            <w:shd w:val="clear" w:color="auto" w:fill="FFFFFF"/>
          </w:tcPr>
          <w:p w14:paraId="192CE32B" w14:textId="77777777" w:rsidR="003C7E8B" w:rsidRPr="00DB5D0D" w:rsidRDefault="003C7E8B" w:rsidP="00DB5D0D">
            <w:pPr>
              <w:spacing w:after="0" w:line="240" w:lineRule="auto"/>
              <w:jc w:val="both"/>
              <w:rPr>
                <w:rFonts w:ascii="Times New Roman" w:hAnsi="Times New Roman"/>
                <w:color w:val="000000" w:themeColor="text1"/>
                <w:sz w:val="16"/>
                <w:szCs w:val="16"/>
              </w:rPr>
            </w:pPr>
          </w:p>
        </w:tc>
      </w:tr>
      <w:tr w:rsidR="007D5DF8" w:rsidRPr="00DB5D0D" w14:paraId="200E67AD" w14:textId="77777777" w:rsidTr="00E543D0">
        <w:trPr>
          <w:trHeight w:val="1476"/>
        </w:trPr>
        <w:tc>
          <w:tcPr>
            <w:tcW w:w="1087" w:type="dxa"/>
            <w:tcBorders>
              <w:top w:val="nil"/>
              <w:left w:val="single" w:sz="6" w:space="0" w:color="auto"/>
              <w:bottom w:val="single" w:sz="6" w:space="0" w:color="auto"/>
              <w:right w:val="single" w:sz="6" w:space="0" w:color="auto"/>
            </w:tcBorders>
            <w:shd w:val="clear" w:color="auto" w:fill="FFFFFF"/>
          </w:tcPr>
          <w:p w14:paraId="0C94C58D"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515355-01</w:t>
            </w:r>
          </w:p>
        </w:tc>
        <w:tc>
          <w:tcPr>
            <w:tcW w:w="1159" w:type="dxa"/>
            <w:tcBorders>
              <w:top w:val="nil"/>
              <w:left w:val="single" w:sz="6" w:space="0" w:color="auto"/>
              <w:bottom w:val="single" w:sz="6" w:space="0" w:color="auto"/>
              <w:right w:val="single" w:sz="6" w:space="0" w:color="auto"/>
            </w:tcBorders>
            <w:shd w:val="clear" w:color="auto" w:fill="FFFFFF"/>
          </w:tcPr>
          <w:p w14:paraId="426B70F0"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00130 00130</w:t>
            </w:r>
          </w:p>
        </w:tc>
        <w:tc>
          <w:tcPr>
            <w:tcW w:w="873" w:type="dxa"/>
            <w:tcBorders>
              <w:top w:val="nil"/>
              <w:left w:val="single" w:sz="6" w:space="0" w:color="auto"/>
              <w:bottom w:val="single" w:sz="6" w:space="0" w:color="auto"/>
              <w:right w:val="single" w:sz="6" w:space="0" w:color="auto"/>
            </w:tcBorders>
            <w:shd w:val="clear" w:color="auto" w:fill="FFFFFF"/>
          </w:tcPr>
          <w:p w14:paraId="2ED8824D"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45 45</w:t>
            </w:r>
          </w:p>
        </w:tc>
        <w:tc>
          <w:tcPr>
            <w:tcW w:w="567" w:type="dxa"/>
            <w:tcBorders>
              <w:top w:val="nil"/>
              <w:left w:val="single" w:sz="6" w:space="0" w:color="auto"/>
              <w:bottom w:val="single" w:sz="6" w:space="0" w:color="auto"/>
              <w:right w:val="single" w:sz="6" w:space="0" w:color="auto"/>
            </w:tcBorders>
            <w:shd w:val="clear" w:color="auto" w:fill="FFFFFF"/>
          </w:tcPr>
          <w:p w14:paraId="430B9904"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smallCaps/>
                <w:color w:val="000000" w:themeColor="text1"/>
                <w:sz w:val="16"/>
                <w:szCs w:val="16"/>
              </w:rPr>
              <w:t>-</w:t>
            </w:r>
            <w:r w:rsidRPr="00DB5D0D">
              <w:rPr>
                <w:rFonts w:ascii="Times New Roman" w:hAnsi="Times New Roman" w:cs="Times New Roman"/>
                <w:i w:val="0"/>
                <w:smallCaps/>
                <w:color w:val="000000" w:themeColor="text1"/>
                <w:sz w:val="16"/>
                <w:szCs w:val="16"/>
              </w:rPr>
              <w:tab/>
            </w:r>
          </w:p>
          <w:p w14:paraId="2EFA0E83" w14:textId="77777777" w:rsidR="003C7E8B" w:rsidRPr="00DB5D0D" w:rsidRDefault="003C7E8B" w:rsidP="00DB5D0D">
            <w:pPr>
              <w:pStyle w:val="103"/>
              <w:shd w:val="clear" w:color="auto" w:fill="auto"/>
              <w:spacing w:before="0" w:after="0"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smallCaps/>
                <w:color w:val="000000" w:themeColor="text1"/>
                <w:sz w:val="16"/>
                <w:szCs w:val="16"/>
              </w:rPr>
              <w:t>-</w:t>
            </w:r>
            <w:r w:rsidRPr="00DB5D0D">
              <w:rPr>
                <w:rFonts w:ascii="Times New Roman" w:hAnsi="Times New Roman" w:cs="Times New Roman"/>
                <w:i w:val="0"/>
                <w:smallCaps/>
                <w:color w:val="000000" w:themeColor="text1"/>
                <w:sz w:val="16"/>
                <w:szCs w:val="16"/>
              </w:rPr>
              <w:tab/>
            </w:r>
          </w:p>
        </w:tc>
        <w:tc>
          <w:tcPr>
            <w:tcW w:w="823" w:type="dxa"/>
            <w:tcBorders>
              <w:top w:val="nil"/>
              <w:left w:val="single" w:sz="6" w:space="0" w:color="auto"/>
              <w:bottom w:val="single" w:sz="6" w:space="0" w:color="auto"/>
              <w:right w:val="single" w:sz="6" w:space="0" w:color="auto"/>
            </w:tcBorders>
            <w:shd w:val="clear" w:color="auto" w:fill="FFFFFF"/>
          </w:tcPr>
          <w:p w14:paraId="4A0B8C2F"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745,9 752,2</w:t>
            </w:r>
          </w:p>
        </w:tc>
        <w:tc>
          <w:tcPr>
            <w:tcW w:w="3004" w:type="dxa"/>
            <w:tcBorders>
              <w:top w:val="nil"/>
              <w:left w:val="single" w:sz="6" w:space="0" w:color="auto"/>
              <w:bottom w:val="single" w:sz="6" w:space="0" w:color="auto"/>
              <w:right w:val="single" w:sz="6" w:space="0" w:color="auto"/>
            </w:tcBorders>
            <w:shd w:val="clear" w:color="auto" w:fill="FFFFFF"/>
          </w:tcPr>
          <w:p w14:paraId="380DC3B0"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lang w:val="ru-RU"/>
              </w:rPr>
              <w:t>Пробоина на боковой стороне (полке) Д вх.=70х65 мм. Д вых =63</w:t>
            </w:r>
            <w:r w:rsidRPr="00DB5D0D">
              <w:rPr>
                <w:rFonts w:ascii="Times New Roman" w:hAnsi="Times New Roman" w:cs="Times New Roman"/>
                <w:i w:val="0"/>
                <w:color w:val="000000" w:themeColor="text1"/>
                <w:sz w:val="16"/>
                <w:szCs w:val="16"/>
              </w:rPr>
              <w:t>x</w:t>
            </w:r>
            <w:r w:rsidRPr="00DB5D0D">
              <w:rPr>
                <w:rFonts w:ascii="Times New Roman" w:hAnsi="Times New Roman" w:cs="Times New Roman"/>
                <w:i w:val="0"/>
                <w:color w:val="000000" w:themeColor="text1"/>
                <w:sz w:val="16"/>
                <w:szCs w:val="16"/>
                <w:lang w:val="ru-RU"/>
              </w:rPr>
              <w:t xml:space="preserve">64 мм От места попадания до кромки детали </w:t>
            </w:r>
            <w:r w:rsidRPr="00DB5D0D">
              <w:rPr>
                <w:rFonts w:ascii="Times New Roman" w:hAnsi="Times New Roman" w:cs="Times New Roman"/>
                <w:i w:val="0"/>
                <w:color w:val="000000" w:themeColor="text1"/>
                <w:sz w:val="16"/>
                <w:szCs w:val="16"/>
              </w:rPr>
              <w:t>L</w:t>
            </w:r>
            <w:r w:rsidRPr="00DB5D0D">
              <w:rPr>
                <w:rFonts w:ascii="Times New Roman" w:hAnsi="Times New Roman" w:cs="Times New Roman"/>
                <w:i w:val="0"/>
                <w:noProof w:val="0"/>
                <w:color w:val="000000" w:themeColor="text1"/>
                <w:sz w:val="16"/>
                <w:szCs w:val="16"/>
                <w:lang w:val="ru-RU"/>
              </w:rPr>
              <w:t>=35</w:t>
            </w:r>
            <w:r w:rsidRPr="00DB5D0D">
              <w:rPr>
                <w:rStyle w:val="Batang16pt-1ptGulim125pt1111101Tahoma10pt"/>
                <w:rFonts w:ascii="Times New Roman" w:hAnsi="Times New Roman" w:cs="Times New Roman"/>
                <w:i w:val="0"/>
                <w:color w:val="000000" w:themeColor="text1"/>
                <w:spacing w:val="0"/>
                <w:sz w:val="16"/>
                <w:szCs w:val="16"/>
              </w:rPr>
              <w:t>mm</w:t>
            </w:r>
            <w:r w:rsidRPr="00DB5D0D">
              <w:rPr>
                <w:rFonts w:ascii="Times New Roman" w:hAnsi="Times New Roman" w:cs="Times New Roman"/>
                <w:i w:val="0"/>
                <w:color w:val="000000" w:themeColor="text1"/>
                <w:sz w:val="16"/>
                <w:szCs w:val="16"/>
                <w:lang w:val="ru-RU"/>
              </w:rPr>
              <w:t>выхват металла Вмятина —</w:t>
            </w:r>
            <w:r w:rsidRPr="00DB5D0D">
              <w:rPr>
                <w:rStyle w:val="1185pt32"/>
                <w:rFonts w:ascii="Times New Roman" w:hAnsi="Times New Roman" w:cs="Times New Roman"/>
                <w:iCs/>
                <w:color w:val="000000" w:themeColor="text1"/>
                <w:sz w:val="16"/>
                <w:szCs w:val="16"/>
                <w:lang w:val="ru-RU"/>
              </w:rPr>
              <w:t>18</w:t>
            </w:r>
            <w:r w:rsidRPr="00DB5D0D">
              <w:rPr>
                <w:rFonts w:ascii="Times New Roman" w:hAnsi="Times New Roman" w:cs="Times New Roman"/>
                <w:i w:val="0"/>
                <w:color w:val="000000" w:themeColor="text1"/>
                <w:sz w:val="16"/>
                <w:szCs w:val="16"/>
                <w:lang w:val="ru-RU"/>
              </w:rPr>
              <w:t xml:space="preserve"> мм. </w:t>
            </w:r>
            <w:r w:rsidRPr="00DB5D0D">
              <w:rPr>
                <w:rFonts w:ascii="Times New Roman" w:hAnsi="Times New Roman" w:cs="Times New Roman"/>
                <w:i w:val="0"/>
                <w:color w:val="000000" w:themeColor="text1"/>
                <w:sz w:val="16"/>
                <w:szCs w:val="16"/>
              </w:rPr>
              <w:t>Выпучина + 0 мм</w:t>
            </w:r>
          </w:p>
        </w:tc>
        <w:tc>
          <w:tcPr>
            <w:tcW w:w="1843" w:type="dxa"/>
            <w:tcBorders>
              <w:top w:val="nil"/>
              <w:left w:val="single" w:sz="6" w:space="0" w:color="auto"/>
              <w:bottom w:val="single" w:sz="6" w:space="0" w:color="auto"/>
              <w:right w:val="single" w:sz="6" w:space="0" w:color="auto"/>
            </w:tcBorders>
            <w:shd w:val="clear" w:color="auto" w:fill="FFFFFF"/>
          </w:tcPr>
          <w:p w14:paraId="0318FDE6"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lang w:val="ru-RU"/>
              </w:rPr>
            </w:pPr>
            <w:r w:rsidRPr="00DB5D0D">
              <w:rPr>
                <w:rFonts w:ascii="Times New Roman" w:hAnsi="Times New Roman" w:cs="Times New Roman"/>
                <w:i w:val="0"/>
                <w:color w:val="000000" w:themeColor="text1"/>
                <w:sz w:val="16"/>
                <w:szCs w:val="16"/>
                <w:lang w:val="ru-RU"/>
              </w:rPr>
              <w:t>Снаряд за деталью</w:t>
            </w:r>
            <w:r w:rsidRPr="00DB5D0D">
              <w:rPr>
                <w:rStyle w:val="1185pt32"/>
                <w:rFonts w:ascii="Times New Roman" w:hAnsi="Times New Roman" w:cs="Times New Roman"/>
                <w:iCs/>
                <w:color w:val="000000" w:themeColor="text1"/>
                <w:sz w:val="16"/>
                <w:szCs w:val="16"/>
                <w:lang w:val="ru-RU"/>
              </w:rPr>
              <w:t xml:space="preserve"> н=40-56-50 </w:t>
            </w:r>
            <w:r w:rsidRPr="00DB5D0D">
              <w:rPr>
                <w:rFonts w:ascii="Times New Roman" w:hAnsi="Times New Roman" w:cs="Times New Roman"/>
                <w:i w:val="0"/>
                <w:color w:val="000000" w:themeColor="text1"/>
                <w:sz w:val="16"/>
                <w:szCs w:val="16"/>
                <w:lang w:val="ru-RU"/>
              </w:rPr>
              <w:t>Снаряд перед деталью в осколках</w:t>
            </w:r>
          </w:p>
        </w:tc>
        <w:tc>
          <w:tcPr>
            <w:tcW w:w="1984" w:type="dxa"/>
            <w:tcBorders>
              <w:top w:val="nil"/>
              <w:left w:val="single" w:sz="6" w:space="0" w:color="auto"/>
              <w:bottom w:val="single" w:sz="6" w:space="0" w:color="auto"/>
              <w:right w:val="single" w:sz="6" w:space="0" w:color="auto"/>
            </w:tcBorders>
            <w:shd w:val="clear" w:color="auto" w:fill="FFFFFF"/>
          </w:tcPr>
          <w:p w14:paraId="70D1148D" w14:textId="77777777" w:rsidR="003C7E8B" w:rsidRPr="00DB5D0D" w:rsidRDefault="003C7E8B" w:rsidP="00DB5D0D">
            <w:pPr>
              <w:pStyle w:val="1110"/>
              <w:shd w:val="clear" w:color="auto" w:fill="auto"/>
              <w:spacing w:line="240" w:lineRule="auto"/>
              <w:jc w:val="both"/>
              <w:rPr>
                <w:rFonts w:ascii="Times New Roman" w:hAnsi="Times New Roman" w:cs="Times New Roman"/>
                <w:i w:val="0"/>
                <w:color w:val="000000" w:themeColor="text1"/>
                <w:sz w:val="16"/>
                <w:szCs w:val="16"/>
              </w:rPr>
            </w:pPr>
            <w:r w:rsidRPr="00DB5D0D">
              <w:rPr>
                <w:rFonts w:ascii="Times New Roman" w:hAnsi="Times New Roman" w:cs="Times New Roman"/>
                <w:i w:val="0"/>
                <w:color w:val="000000" w:themeColor="text1"/>
                <w:sz w:val="16"/>
                <w:szCs w:val="16"/>
              </w:rPr>
              <w:t>Одинарная термообработка</w:t>
            </w:r>
          </w:p>
        </w:tc>
      </w:tr>
    </w:tbl>
    <w:p w14:paraId="63AC2B64" w14:textId="77777777" w:rsidR="003C7E8B" w:rsidRPr="00DB5D0D" w:rsidRDefault="003C7E8B" w:rsidP="00DB5D0D">
      <w:pPr>
        <w:pStyle w:val="aff1"/>
        <w:spacing w:line="240" w:lineRule="auto"/>
        <w:rPr>
          <w:rFonts w:ascii="Times New Roman" w:hAnsi="Times New Roman" w:cs="Times New Roman"/>
          <w:i w:val="0"/>
          <w:color w:val="000000" w:themeColor="text1"/>
          <w:sz w:val="16"/>
          <w:szCs w:val="16"/>
        </w:rPr>
      </w:pPr>
      <w:r w:rsidRPr="00DB5D0D">
        <w:rPr>
          <w:rFonts w:ascii="Times New Roman" w:hAnsi="Times New Roman" w:cs="Times New Roman"/>
          <w:i w:val="0"/>
          <w:noProof w:val="0"/>
          <w:color w:val="000000" w:themeColor="text1"/>
          <w:sz w:val="16"/>
          <w:szCs w:val="16"/>
          <w:lang w:val="ru-RU"/>
        </w:rPr>
        <w:t>(11940).</w:t>
      </w:r>
    </w:p>
    <w:p w14:paraId="5F098979" w14:textId="77777777" w:rsidR="003C7E8B" w:rsidRPr="00DB5D0D" w:rsidRDefault="003C7E8B" w:rsidP="00DB5D0D">
      <w:pPr>
        <w:pStyle w:val="a3"/>
        <w:rPr>
          <w:color w:val="000000" w:themeColor="text1"/>
          <w:lang w:val="ru-RU"/>
        </w:rPr>
      </w:pPr>
      <w:r w:rsidRPr="00DB5D0D">
        <w:rPr>
          <w:color w:val="000000" w:themeColor="text1"/>
          <w:lang w:val="ru-RU"/>
        </w:rPr>
        <w:t>Данный отчет был утвержден районным инженером ГАБТУ КА, военинженером 2-го ранга Г.И. Зухером. Таким образом, несмот</w:t>
      </w:r>
      <w:r w:rsidRPr="00DB5D0D">
        <w:rPr>
          <w:color w:val="000000" w:themeColor="text1"/>
          <w:lang w:val="ru-RU"/>
        </w:rPr>
        <w:softHyphen/>
        <w:t>ря на наличие литейных дефектов, качество балок признали удов</w:t>
      </w:r>
      <w:r w:rsidRPr="00DB5D0D">
        <w:rPr>
          <w:color w:val="000000" w:themeColor="text1"/>
          <w:lang w:val="ru-RU"/>
        </w:rPr>
        <w:softHyphen/>
        <w:t>летворительным и соответствующим требованиям по прочности, а их производство на Мариупольском заводе - не прекратили. Учитывая, что при существующей технологии изготовления балок избавиться от литейных дефектов было невозможно, Г.И. Зухер высказал предложение об изыскании возможности изготовления балок методом проката, что, по его мнению, позволит сделать тело балки без дефектов. Впоследствии данное предложение было реализовано, и в 1941 г. носовые балки для Т-34 стали катаными (11940).</w:t>
      </w:r>
    </w:p>
    <w:p w14:paraId="0BEBC140" w14:textId="77777777" w:rsidR="003C7E8B" w:rsidRPr="00DB5D0D" w:rsidRDefault="003C7E8B" w:rsidP="00DB5D0D">
      <w:pPr>
        <w:pStyle w:val="a3"/>
        <w:rPr>
          <w:color w:val="000000" w:themeColor="text1"/>
          <w:lang w:val="ru-RU"/>
        </w:rPr>
      </w:pPr>
    </w:p>
    <w:p w14:paraId="6E61630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оба танка Т-126 (СП) были готовы к испытаниям. Танк с броней 45-мм при взве</w:t>
      </w:r>
      <w:r w:rsidRPr="00DB5D0D">
        <w:rPr>
          <w:rFonts w:ascii="Times New Roman" w:hAnsi="Times New Roman"/>
          <w:color w:val="000000" w:themeColor="text1"/>
          <w:sz w:val="16"/>
          <w:szCs w:val="16"/>
        </w:rPr>
        <w:softHyphen/>
        <w:t>шивании «потянул» на 17 т, а с броней 55-мм — на 18,3 т. Погоня за снижением веса при сохранении «классической» компоновки вело к тому, что танк Т-126 оказался очень тесным. Экономился каждый кубический сантиметр внут</w:t>
      </w:r>
      <w:r w:rsidRPr="00DB5D0D">
        <w:rPr>
          <w:rFonts w:ascii="Times New Roman" w:hAnsi="Times New Roman"/>
          <w:color w:val="000000" w:themeColor="text1"/>
          <w:sz w:val="16"/>
          <w:szCs w:val="16"/>
        </w:rPr>
        <w:softHyphen/>
        <w:t>реннего объема, но при этом конструкторской группе под руководством Л. Троянова категорически запрещали отка</w:t>
      </w:r>
      <w:r w:rsidRPr="00DB5D0D">
        <w:rPr>
          <w:rFonts w:ascii="Times New Roman" w:hAnsi="Times New Roman"/>
          <w:color w:val="000000" w:themeColor="text1"/>
          <w:sz w:val="16"/>
          <w:szCs w:val="16"/>
        </w:rPr>
        <w:softHyphen/>
        <w:t>заться от применения наклонных надкрылков, утяжеляю</w:t>
      </w:r>
      <w:r w:rsidRPr="00DB5D0D">
        <w:rPr>
          <w:rFonts w:ascii="Times New Roman" w:hAnsi="Times New Roman"/>
          <w:color w:val="000000" w:themeColor="text1"/>
          <w:sz w:val="16"/>
          <w:szCs w:val="16"/>
        </w:rPr>
        <w:softHyphen/>
        <w:t>щих танк и усложняющих конструкцию (и главное - тех</w:t>
      </w:r>
      <w:r w:rsidRPr="00DB5D0D">
        <w:rPr>
          <w:rFonts w:ascii="Times New Roman" w:hAnsi="Times New Roman"/>
          <w:color w:val="000000" w:themeColor="text1"/>
          <w:sz w:val="16"/>
          <w:szCs w:val="16"/>
        </w:rPr>
        <w:softHyphen/>
        <w:t>нологию) изготовления корпуса. Поскольку шинный завод не мог гарантировать нормаль</w:t>
      </w:r>
      <w:r w:rsidRPr="00DB5D0D">
        <w:rPr>
          <w:rFonts w:ascii="Times New Roman" w:hAnsi="Times New Roman"/>
          <w:color w:val="000000" w:themeColor="text1"/>
          <w:sz w:val="16"/>
          <w:szCs w:val="16"/>
        </w:rPr>
        <w:softHyphen/>
        <w:t>ную работу ошиновки опорных катков при их изготовлении из синтетического каучука марки СК, один из образцов тан</w:t>
      </w:r>
      <w:r w:rsidRPr="00DB5D0D">
        <w:rPr>
          <w:rFonts w:ascii="Times New Roman" w:hAnsi="Times New Roman"/>
          <w:color w:val="000000" w:themeColor="text1"/>
          <w:sz w:val="16"/>
          <w:szCs w:val="16"/>
        </w:rPr>
        <w:softHyphen/>
        <w:t>ка был в опытном порядке оборудован опорными катками с внутренней амортизацией конструкции завода № 185, и на испытаниях эти катки полностью себя оправдали. Танк имел наклонную лобовую броню, и поэтому люк механика-водителя был размещен в ней (как и у танка А-32), что не было удачным решением, но ввиду «классичес</w:t>
      </w:r>
      <w:r w:rsidRPr="00DB5D0D">
        <w:rPr>
          <w:rFonts w:ascii="Times New Roman" w:hAnsi="Times New Roman"/>
          <w:color w:val="000000" w:themeColor="text1"/>
          <w:sz w:val="16"/>
          <w:szCs w:val="16"/>
        </w:rPr>
        <w:softHyphen/>
        <w:t>кой» компоновки танка, особо нравившейся председателю Комитета Обороны К. Ворошилову, деваться конструкторам, как говорил Л. Горлицкий, было больше некуда (10782).</w:t>
      </w:r>
    </w:p>
    <w:p w14:paraId="29200464"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5540E0" w14:textId="77777777" w:rsidR="008A5CDE" w:rsidRPr="00DB5D0D" w:rsidRDefault="008A5CDE"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 августе 1940 года начались работы по теме «212», после получения тактико-технических требований, а изготовление рабочих чертежей и того позже – в октябре. Это было напрямую связано с работами над танком Т-220, выступавшим базой для самоходной установки. Как раз к октябрю облик базовой боевой машины стал принимать окончательные очертания.</w:t>
      </w:r>
    </w:p>
    <w:p w14:paraId="7DA6B553" w14:textId="77777777" w:rsidR="008A5CDE" w:rsidRPr="00DB5D0D" w:rsidRDefault="008A5CDE"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Внешне установка «212» в значительной степени напоминала экранированную СУ-14. Боевое отделение разместили в кормовой части корпуса, моторное отделение по центру, а отделение управления впереди. В носовой части, к слову, место нашлось лишь для механика-водителя, которого сместили влево. Иногда по аналогии с КВ-1, при реконструкции «212» курсовой пулемёт ставят в лобовой лист корпуса. При такой вольной интерпретации облика установки следует учитывать, что стрелку-радисту тяжело работать, когда через его спину проходит вал двигателя.</w:t>
      </w:r>
    </w:p>
    <w:p w14:paraId="7F873D31" w14:textId="77777777" w:rsidR="008A5CDE" w:rsidRPr="00DB5D0D" w:rsidRDefault="008A5CDE" w:rsidP="00DB5D0D">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B5D0D">
        <w:rPr>
          <w:rFonts w:ascii="Times New Roman" w:eastAsia="Times New Roman" w:hAnsi="Times New Roman"/>
          <w:color w:val="000000" w:themeColor="text1"/>
          <w:sz w:val="16"/>
          <w:szCs w:val="16"/>
          <w:lang w:eastAsia="ru-RU"/>
        </w:rPr>
        <w:t>Несмотря на то, что из-за технического задания проектируемая САУ получалась довольно крупной, на фоне предшественников, особенно СУ-14, «212» выглядела заметно меньше. Ощущение громоздкости придавала большая рубка в кормовой части, хотя в реальности «212» была менее чем на полметра длиннее и незначительно выше Т-220, который выступал для неё базой. При кормовом размещении боевого отделения и таком большом орудии, как БР-2, сделать рубку меньшей коллектив СКБ-4 не смог физически. В качестве силовой установки для «212» предполагалось использовать 850-сильный двигатель В-2СН, представлявший собой В-2 с установкой механического нагнетателя от авиационного мотора АМ-38. Этот же двигатель собирались ставить и на Т-220</w:t>
      </w:r>
      <w:r w:rsidRPr="00DB5D0D">
        <w:rPr>
          <w:rFonts w:ascii="Times New Roman" w:eastAsia="Times New Roman" w:hAnsi="Times New Roman"/>
          <w:iCs/>
          <w:color w:val="000000" w:themeColor="text1"/>
          <w:sz w:val="16"/>
          <w:szCs w:val="16"/>
          <w:lang w:eastAsia="ru-RU"/>
        </w:rPr>
        <w:t xml:space="preserve"> (17646)</w:t>
      </w:r>
      <w:r w:rsidRPr="00DB5D0D">
        <w:rPr>
          <w:rFonts w:ascii="Times New Roman" w:eastAsia="Times New Roman" w:hAnsi="Times New Roman"/>
          <w:color w:val="000000" w:themeColor="text1"/>
          <w:sz w:val="16"/>
          <w:szCs w:val="16"/>
          <w:lang w:eastAsia="ru-RU"/>
        </w:rPr>
        <w:t>.</w:t>
      </w:r>
    </w:p>
    <w:p w14:paraId="02436D60" w14:textId="77777777" w:rsidR="008A5CDE" w:rsidRPr="00DB5D0D" w:rsidRDefault="008A5CDE" w:rsidP="00DB5D0D">
      <w:pPr>
        <w:spacing w:after="0" w:line="240" w:lineRule="auto"/>
        <w:jc w:val="both"/>
        <w:rPr>
          <w:rFonts w:ascii="Times New Roman" w:eastAsia="Times New Roman" w:hAnsi="Times New Roman"/>
          <w:color w:val="000000" w:themeColor="text1"/>
          <w:sz w:val="16"/>
          <w:szCs w:val="16"/>
          <w:lang w:eastAsia="ru-RU"/>
        </w:rPr>
      </w:pPr>
    </w:p>
    <w:p w14:paraId="6FC7B6F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был утвержден проект артиллерийского тягача АТ-42 завода 183 массой 17 т и платформой грузоподъемностью 3 т на базе агрегатов Т-34. В 1941 изготовили опытные образцы, но работы прервали из-за эвакуации (4390).</w:t>
      </w:r>
    </w:p>
    <w:p w14:paraId="5BC4142D"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C46F47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Начиная с августа 1940 кормовой лист корпуса танка Т-60 («030») выполялся прямым, без ниши винта, что упростило конструкцию танка и позволило увеличить его выпуск (10782).</w:t>
      </w:r>
    </w:p>
    <w:p w14:paraId="191D453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12F4E324" w14:textId="77777777" w:rsidR="00A15529" w:rsidRPr="00DB5D0D" w:rsidRDefault="00A15529" w:rsidP="00DB5D0D">
      <w:pPr>
        <w:pStyle w:val="a3"/>
        <w:rPr>
          <w:color w:val="000000" w:themeColor="text1"/>
          <w:lang w:val="ru-RU"/>
        </w:rPr>
      </w:pPr>
      <w:r w:rsidRPr="00DB5D0D">
        <w:rPr>
          <w:color w:val="000000" w:themeColor="text1"/>
          <w:lang w:val="ru-RU"/>
        </w:rPr>
        <w:t>В августе 1940 г. утвердили технический проект АТ-42, а в ноябре построили два опытных образца. В декабре 1940 г. при про</w:t>
      </w:r>
      <w:r w:rsidRPr="00DB5D0D">
        <w:rPr>
          <w:color w:val="000000" w:themeColor="text1"/>
          <w:lang w:val="ru-RU"/>
        </w:rPr>
        <w:softHyphen/>
        <w:t>ведении заводских испытаний были выявлены дефекты в коробке передач, гусеничном дви</w:t>
      </w:r>
      <w:r w:rsidRPr="00DB5D0D">
        <w:rPr>
          <w:color w:val="000000" w:themeColor="text1"/>
          <w:lang w:val="ru-RU"/>
        </w:rPr>
        <w:softHyphen/>
        <w:t>жителе, в приводе лебедки и др. Машину от</w:t>
      </w:r>
      <w:r w:rsidRPr="00DB5D0D">
        <w:rPr>
          <w:color w:val="000000" w:themeColor="text1"/>
          <w:lang w:val="ru-RU"/>
        </w:rPr>
        <w:softHyphen/>
        <w:t>правили на доработку. С началом войны все работы по АТ-42 были завершены, но проект</w:t>
      </w:r>
      <w:r w:rsidRPr="00DB5D0D">
        <w:rPr>
          <w:color w:val="000000" w:themeColor="text1"/>
          <w:lang w:val="ru-RU"/>
        </w:rPr>
        <w:softHyphen/>
        <w:t>ные изыскания в области тракторостроения не прекращались.</w:t>
      </w:r>
    </w:p>
    <w:p w14:paraId="57BA8A3C" w14:textId="77777777" w:rsidR="00A15529" w:rsidRPr="00DB5D0D" w:rsidRDefault="00A15529" w:rsidP="00DB5D0D">
      <w:pPr>
        <w:pStyle w:val="a3"/>
        <w:rPr>
          <w:color w:val="000000" w:themeColor="text1"/>
          <w:lang w:val="ru-RU"/>
        </w:rPr>
      </w:pPr>
      <w:r w:rsidRPr="00DB5D0D">
        <w:rPr>
          <w:color w:val="000000" w:themeColor="text1"/>
          <w:lang w:val="ru-RU"/>
        </w:rPr>
        <w:t>Про</w:t>
      </w:r>
      <w:r w:rsidRPr="00DB5D0D">
        <w:rPr>
          <w:color w:val="000000" w:themeColor="text1"/>
          <w:lang w:val="ru-RU"/>
        </w:rPr>
        <w:softHyphen/>
      </w:r>
      <w:r w:rsidRPr="00DB5D0D">
        <w:rPr>
          <w:rStyle w:val="304"/>
          <w:rFonts w:ascii="Times New Roman" w:hAnsi="Times New Roman" w:cs="Times New Roman"/>
          <w:b w:val="0"/>
          <w:color w:val="000000" w:themeColor="text1"/>
          <w:sz w:val="16"/>
          <w:szCs w:val="16"/>
          <w:lang w:val="ru-RU"/>
        </w:rPr>
        <w:t xml:space="preserve">ектирование </w:t>
      </w:r>
      <w:r w:rsidRPr="00DB5D0D">
        <w:rPr>
          <w:color w:val="000000" w:themeColor="text1"/>
          <w:lang w:val="ru-RU"/>
        </w:rPr>
        <w:t xml:space="preserve">провели </w:t>
      </w:r>
      <w:r w:rsidRPr="00DB5D0D">
        <w:rPr>
          <w:rStyle w:val="304"/>
          <w:rFonts w:ascii="Times New Roman" w:hAnsi="Times New Roman" w:cs="Times New Roman"/>
          <w:b w:val="0"/>
          <w:color w:val="000000" w:themeColor="text1"/>
          <w:sz w:val="16"/>
          <w:szCs w:val="16"/>
          <w:lang w:val="ru-RU"/>
        </w:rPr>
        <w:t>и</w:t>
      </w:r>
      <w:r w:rsidRPr="00DB5D0D">
        <w:rPr>
          <w:color w:val="000000" w:themeColor="text1"/>
          <w:lang w:val="ru-RU"/>
        </w:rPr>
        <w:t xml:space="preserve"> выполнили технический про</w:t>
      </w:r>
      <w:r w:rsidRPr="00DB5D0D">
        <w:rPr>
          <w:color w:val="000000" w:themeColor="text1"/>
          <w:lang w:val="ru-RU"/>
        </w:rPr>
        <w:softHyphen/>
      </w:r>
      <w:r w:rsidRPr="00DB5D0D">
        <w:rPr>
          <w:rStyle w:val="304"/>
          <w:rFonts w:ascii="Times New Roman" w:hAnsi="Times New Roman" w:cs="Times New Roman"/>
          <w:b w:val="0"/>
          <w:color w:val="000000" w:themeColor="text1"/>
          <w:sz w:val="16"/>
          <w:szCs w:val="16"/>
          <w:lang w:val="ru-RU"/>
        </w:rPr>
        <w:t>ект тяжелого</w:t>
      </w:r>
      <w:r w:rsidRPr="00DB5D0D">
        <w:rPr>
          <w:color w:val="000000" w:themeColor="text1"/>
          <w:lang w:val="ru-RU"/>
        </w:rPr>
        <w:t xml:space="preserve"> транспортного тягача АТ-42 (за</w:t>
      </w:r>
      <w:r w:rsidRPr="00DB5D0D">
        <w:rPr>
          <w:color w:val="000000" w:themeColor="text1"/>
          <w:lang w:val="ru-RU"/>
        </w:rPr>
        <w:softHyphen/>
      </w:r>
      <w:r w:rsidRPr="00DB5D0D">
        <w:rPr>
          <w:rStyle w:val="Arial5"/>
          <w:rFonts w:ascii="Times New Roman" w:hAnsi="Times New Roman" w:cs="Times New Roman"/>
          <w:b w:val="0"/>
          <w:color w:val="000000" w:themeColor="text1"/>
          <w:sz w:val="16"/>
          <w:szCs w:val="16"/>
          <w:lang w:val="ru-RU"/>
        </w:rPr>
        <w:t>ведете</w:t>
      </w:r>
      <w:r w:rsidRPr="00DB5D0D">
        <w:rPr>
          <w:color w:val="000000" w:themeColor="text1"/>
          <w:lang w:val="ru-RU"/>
        </w:rPr>
        <w:t xml:space="preserve"> обозначение А-42) на базе среднего </w:t>
      </w:r>
      <w:r w:rsidRPr="00DB5D0D">
        <w:rPr>
          <w:rStyle w:val="304"/>
          <w:rFonts w:ascii="Times New Roman" w:hAnsi="Times New Roman" w:cs="Times New Roman"/>
          <w:b w:val="0"/>
          <w:color w:val="000000" w:themeColor="text1"/>
          <w:sz w:val="16"/>
          <w:szCs w:val="16"/>
          <w:lang w:val="ru-RU"/>
        </w:rPr>
        <w:t>тайка Т-34</w:t>
      </w:r>
      <w:r w:rsidRPr="00DB5D0D">
        <w:rPr>
          <w:color w:val="000000" w:themeColor="text1"/>
          <w:lang w:val="ru-RU"/>
        </w:rPr>
        <w:t xml:space="preserve"> (трансмиссия и ходовая часть) конструк</w:t>
      </w:r>
      <w:r w:rsidRPr="00DB5D0D">
        <w:rPr>
          <w:color w:val="000000" w:themeColor="text1"/>
          <w:lang w:val="ru-RU"/>
        </w:rPr>
        <w:softHyphen/>
      </w:r>
      <w:r w:rsidRPr="00DB5D0D">
        <w:rPr>
          <w:rStyle w:val="304"/>
          <w:rFonts w:ascii="Times New Roman" w:hAnsi="Times New Roman" w:cs="Times New Roman"/>
          <w:b w:val="0"/>
          <w:color w:val="000000" w:themeColor="text1"/>
          <w:sz w:val="16"/>
          <w:szCs w:val="16"/>
          <w:lang w:val="ru-RU"/>
        </w:rPr>
        <w:t>торы</w:t>
      </w:r>
      <w:r w:rsidRPr="00DB5D0D">
        <w:rPr>
          <w:color w:val="000000" w:themeColor="text1"/>
          <w:lang w:val="ru-RU"/>
        </w:rPr>
        <w:t xml:space="preserve"> тракторного отдела «200» завода №183, </w:t>
      </w:r>
      <w:r w:rsidRPr="00DB5D0D">
        <w:rPr>
          <w:rStyle w:val="304"/>
          <w:rFonts w:ascii="Times New Roman" w:hAnsi="Times New Roman" w:cs="Times New Roman"/>
          <w:b w:val="0"/>
          <w:color w:val="000000" w:themeColor="text1"/>
          <w:sz w:val="16"/>
          <w:szCs w:val="16"/>
          <w:lang w:val="ru-RU"/>
        </w:rPr>
        <w:t>возглавляемые</w:t>
      </w:r>
      <w:r w:rsidRPr="00DB5D0D">
        <w:rPr>
          <w:color w:val="000000" w:themeColor="text1"/>
          <w:lang w:val="ru-RU"/>
        </w:rPr>
        <w:t xml:space="preserve"> Н.Г. Зубаревым.</w:t>
      </w:r>
    </w:p>
    <w:p w14:paraId="2A55F571" w14:textId="77777777" w:rsidR="00A15529" w:rsidRPr="00DB5D0D" w:rsidRDefault="00A15529" w:rsidP="00DB5D0D">
      <w:pPr>
        <w:pStyle w:val="a3"/>
        <w:rPr>
          <w:color w:val="000000" w:themeColor="text1"/>
          <w:lang w:val="ru-RU"/>
        </w:rPr>
      </w:pPr>
      <w:r w:rsidRPr="00DB5D0D">
        <w:rPr>
          <w:color w:val="000000" w:themeColor="text1"/>
          <w:lang w:val="ru-RU"/>
        </w:rPr>
        <w:t>Первоначально он не имел броневой защиты и вооружения. В последующем тягач получил бронированную рубку в передней и средней части корпуса, в которой размещались отде</w:t>
      </w:r>
      <w:r w:rsidRPr="00DB5D0D">
        <w:rPr>
          <w:color w:val="000000" w:themeColor="text1"/>
          <w:lang w:val="ru-RU"/>
        </w:rPr>
        <w:softHyphen/>
        <w:t>ление управления и моторное отделение. Она сваривалась из броневых листов толщиной 15 и 50 мм. В кормовой части корпуса находилось трансмиссионное отделение, а перед ним - отделение тяговой лебедки.</w:t>
      </w:r>
    </w:p>
    <w:p w14:paraId="3EB5BB21" w14:textId="77777777" w:rsidR="00A15529" w:rsidRPr="00DB5D0D" w:rsidRDefault="00A15529" w:rsidP="00DB5D0D">
      <w:pPr>
        <w:pStyle w:val="a3"/>
        <w:rPr>
          <w:color w:val="000000" w:themeColor="text1"/>
          <w:lang w:val="ru-RU"/>
        </w:rPr>
      </w:pPr>
      <w:r w:rsidRPr="00DB5D0D">
        <w:rPr>
          <w:color w:val="000000" w:themeColor="text1"/>
          <w:lang w:val="ru-RU"/>
        </w:rPr>
        <w:t>АТ-42 был вооружен 7,62-мм пулеметом ДТ, устанавливавшимся в шаровой опоре справа в лобовом листе рубки.</w:t>
      </w:r>
    </w:p>
    <w:p w14:paraId="5CD8BAFA" w14:textId="77777777" w:rsidR="00A15529" w:rsidRPr="00DB5D0D" w:rsidRDefault="00A15529" w:rsidP="00DB5D0D">
      <w:pPr>
        <w:pStyle w:val="a3"/>
        <w:rPr>
          <w:color w:val="000000" w:themeColor="text1"/>
          <w:lang w:val="ru-RU"/>
        </w:rPr>
      </w:pPr>
      <w:r w:rsidRPr="00DB5D0D">
        <w:rPr>
          <w:color w:val="000000" w:themeColor="text1"/>
          <w:lang w:val="ru-RU"/>
        </w:rPr>
        <w:t>В моторном отделении вдоль продольной оси корпуса устанавливался дизель типа В-2 мощностью 500 л.с. В отличие от базовой ма</w:t>
      </w:r>
      <w:r w:rsidRPr="00DB5D0D">
        <w:rPr>
          <w:color w:val="000000" w:themeColor="text1"/>
          <w:lang w:val="ru-RU"/>
        </w:rPr>
        <w:softHyphen/>
        <w:t>шины, трансмиссия АТ-42 имела привод от</w:t>
      </w:r>
      <w:r w:rsidRPr="00DB5D0D">
        <w:rPr>
          <w:color w:val="000000" w:themeColor="text1"/>
          <w:lang w:val="ru-RU"/>
        </w:rPr>
        <w:softHyphen/>
        <w:t>бора мощности на тяговую лебедку. Ходовая часть машины осталась практически без изме</w:t>
      </w:r>
      <w:r w:rsidRPr="00DB5D0D">
        <w:rPr>
          <w:color w:val="000000" w:themeColor="text1"/>
          <w:lang w:val="ru-RU"/>
        </w:rPr>
        <w:softHyphen/>
        <w:t>нений. В кормовой части тягача располагалось буксирное приспособление. Тяговое усилие на крюке достигало 15 тс.</w:t>
      </w:r>
    </w:p>
    <w:p w14:paraId="0189E86F" w14:textId="77777777" w:rsidR="00A15529" w:rsidRPr="00DB5D0D" w:rsidRDefault="00A15529" w:rsidP="00DB5D0D">
      <w:pPr>
        <w:pStyle w:val="a3"/>
        <w:rPr>
          <w:color w:val="000000" w:themeColor="text1"/>
          <w:lang w:val="ru-RU"/>
        </w:rPr>
      </w:pPr>
      <w:r w:rsidRPr="00DB5D0D">
        <w:rPr>
          <w:color w:val="000000" w:themeColor="text1"/>
          <w:lang w:val="ru-RU"/>
        </w:rPr>
        <w:t>Над крышей трансмиссионного отделе</w:t>
      </w:r>
      <w:r w:rsidRPr="00DB5D0D">
        <w:rPr>
          <w:color w:val="000000" w:themeColor="text1"/>
          <w:lang w:val="ru-RU"/>
        </w:rPr>
        <w:softHyphen/>
        <w:t>ния располагалась грузовая платформа гру</w:t>
      </w:r>
      <w:r w:rsidRPr="00DB5D0D">
        <w:rPr>
          <w:color w:val="000000" w:themeColor="text1"/>
          <w:lang w:val="ru-RU"/>
        </w:rPr>
        <w:softHyphen/>
        <w:t>зоподъемностью 3 т, на которой устанавлива</w:t>
      </w:r>
      <w:r w:rsidRPr="00DB5D0D">
        <w:rPr>
          <w:color w:val="000000" w:themeColor="text1"/>
          <w:lang w:val="ru-RU"/>
        </w:rPr>
        <w:softHyphen/>
        <w:t>лись сиденья для перевозки личного состава и брезентовый тент.</w:t>
      </w:r>
    </w:p>
    <w:p w14:paraId="22A6951C" w14:textId="77777777" w:rsidR="00A15529" w:rsidRPr="00DB5D0D" w:rsidRDefault="00A15529" w:rsidP="00DB5D0D">
      <w:pPr>
        <w:pStyle w:val="a3"/>
        <w:rPr>
          <w:color w:val="000000" w:themeColor="text1"/>
          <w:lang w:val="ru-RU"/>
        </w:rPr>
      </w:pPr>
      <w:r w:rsidRPr="00DB5D0D">
        <w:rPr>
          <w:color w:val="000000" w:themeColor="text1"/>
          <w:lang w:val="ru-RU"/>
        </w:rPr>
        <w:t>Максимальная скорость АТ-42 - 33 км/ч (15748).</w:t>
      </w:r>
    </w:p>
    <w:p w14:paraId="6BB32225" w14:textId="77777777" w:rsidR="00A15529" w:rsidRPr="00DB5D0D" w:rsidRDefault="00A15529" w:rsidP="00DB5D0D">
      <w:pPr>
        <w:pStyle w:val="a3"/>
        <w:rPr>
          <w:color w:val="000000" w:themeColor="text1"/>
          <w:lang w:val="ru-RU"/>
        </w:rPr>
      </w:pPr>
    </w:p>
    <w:p w14:paraId="44B777EE" w14:textId="77777777" w:rsidR="00AF2CB0" w:rsidRPr="00DB5D0D" w:rsidRDefault="00AF2CB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августе 1940 года прозвучала мысль о необходимости установки танковых огнеметов в БТ-7, Т-34, Т-126 и КВ-1. При этом на Т-34 и БТ-7 создавалось два типа огнемета - пневматический и пороховой. Впрочем, до начала 1941 года приоритетными направлениями оставались Т-126 (позже Т-50) и БТ-7 (22519).</w:t>
      </w:r>
    </w:p>
    <w:p w14:paraId="4D80B02A" w14:textId="77777777" w:rsidR="00AF2CB0" w:rsidRPr="00DB5D0D" w:rsidRDefault="00AF2CB0" w:rsidP="00DB5D0D">
      <w:pPr>
        <w:spacing w:after="0" w:line="240" w:lineRule="auto"/>
        <w:jc w:val="both"/>
        <w:rPr>
          <w:rFonts w:ascii="Times New Roman" w:hAnsi="Times New Roman"/>
          <w:color w:val="0070C0"/>
          <w:sz w:val="16"/>
          <w:szCs w:val="16"/>
        </w:rPr>
      </w:pPr>
    </w:p>
    <w:p w14:paraId="5231DC04"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Маршал Советского Союза С. Тимошенко</w:t>
      </w:r>
      <w:r w:rsidRPr="00DB5D0D">
        <w:rPr>
          <w:rStyle w:val="8pt0pt0"/>
          <w:rFonts w:ascii="Times New Roman" w:hAnsi="Times New Roman" w:cs="Times New Roman"/>
          <w:color w:val="000000" w:themeColor="text1"/>
          <w:spacing w:val="0"/>
        </w:rPr>
        <w:t xml:space="preserve"> в писме </w:t>
      </w:r>
      <w:r w:rsidRPr="00DB5D0D">
        <w:rPr>
          <w:rFonts w:ascii="Times New Roman" w:hAnsi="Times New Roman"/>
          <w:color w:val="000000" w:themeColor="text1"/>
          <w:sz w:val="16"/>
          <w:szCs w:val="16"/>
        </w:rPr>
        <w:t>председателю Комитета Обороны</w:t>
      </w:r>
      <w:r w:rsidRPr="00DB5D0D">
        <w:rPr>
          <w:rStyle w:val="8pt0pt0"/>
          <w:rFonts w:ascii="Times New Roman" w:hAnsi="Times New Roman" w:cs="Times New Roman"/>
          <w:color w:val="000000" w:themeColor="text1"/>
          <w:spacing w:val="0"/>
        </w:rPr>
        <w:t xml:space="preserve"> при </w:t>
      </w:r>
      <w:r w:rsidRPr="00DB5D0D">
        <w:rPr>
          <w:rStyle w:val="8pt0pt0"/>
          <w:rFonts w:ascii="Times New Roman" w:hAnsi="Times New Roman" w:cs="Times New Roman"/>
          <w:color w:val="000000" w:themeColor="text1"/>
          <w:spacing w:val="0"/>
          <w:lang w:val="en-US"/>
        </w:rPr>
        <w:t>CH</w:t>
      </w:r>
      <w:r w:rsidRPr="00DB5D0D">
        <w:rPr>
          <w:rStyle w:val="8pt0pt0"/>
          <w:rFonts w:ascii="Times New Roman" w:hAnsi="Times New Roman" w:cs="Times New Roman"/>
          <w:color w:val="000000" w:themeColor="text1"/>
          <w:spacing w:val="0"/>
        </w:rPr>
        <w:t xml:space="preserve">К </w:t>
      </w:r>
      <w:r w:rsidRPr="00DB5D0D">
        <w:rPr>
          <w:rFonts w:ascii="Times New Roman" w:hAnsi="Times New Roman"/>
          <w:color w:val="000000" w:themeColor="text1"/>
          <w:sz w:val="16"/>
          <w:szCs w:val="16"/>
        </w:rPr>
        <w:t>СССР Маршалу Советсксго Союза К.Е.</w:t>
      </w:r>
      <w:r w:rsidRPr="00DB5D0D">
        <w:rPr>
          <w:rStyle w:val="8pt0pt0"/>
          <w:rFonts w:ascii="Times New Roman" w:hAnsi="Times New Roman" w:cs="Times New Roman"/>
          <w:color w:val="000000" w:themeColor="text1"/>
          <w:spacing w:val="0"/>
        </w:rPr>
        <w:t xml:space="preserve"> Воро</w:t>
      </w:r>
      <w:r w:rsidRPr="00DB5D0D">
        <w:rPr>
          <w:rStyle w:val="8pt0pt0"/>
          <w:rFonts w:ascii="Times New Roman" w:hAnsi="Times New Roman" w:cs="Times New Roman"/>
          <w:color w:val="000000" w:themeColor="text1"/>
          <w:spacing w:val="0"/>
        </w:rPr>
        <w:softHyphen/>
      </w:r>
      <w:r w:rsidRPr="00DB5D0D">
        <w:rPr>
          <w:rFonts w:ascii="Times New Roman" w:hAnsi="Times New Roman"/>
          <w:color w:val="000000" w:themeColor="text1"/>
          <w:sz w:val="16"/>
          <w:szCs w:val="16"/>
        </w:rPr>
        <w:t>шилову отмечал:</w:t>
      </w:r>
    </w:p>
    <w:p w14:paraId="5DD25D58" w14:textId="77777777" w:rsidR="00A150F9" w:rsidRPr="00DB5D0D" w:rsidRDefault="00A150F9"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«НКТМ в 1939 г. не выполнило постановление Комитета Обороны и затянул</w:t>
      </w:r>
      <w:r w:rsidRPr="00DB5D0D">
        <w:rPr>
          <w:rStyle w:val="48pt0pt"/>
          <w:rFonts w:ascii="Times New Roman" w:hAnsi="Times New Roman" w:cs="Times New Roman"/>
          <w:color w:val="000000" w:themeColor="text1"/>
          <w:spacing w:val="0"/>
        </w:rPr>
        <w:t xml:space="preserve"> изготовле</w:t>
      </w:r>
      <w:r w:rsidRPr="00DB5D0D">
        <w:rPr>
          <w:rStyle w:val="48pt0pt"/>
          <w:rFonts w:ascii="Times New Roman" w:hAnsi="Times New Roman" w:cs="Times New Roman"/>
          <w:color w:val="000000" w:themeColor="text1"/>
          <w:spacing w:val="0"/>
        </w:rPr>
        <w:softHyphen/>
      </w:r>
      <w:r w:rsidRPr="00DB5D0D">
        <w:rPr>
          <w:rFonts w:ascii="Times New Roman" w:cs="Times New Roman"/>
          <w:color w:val="000000" w:themeColor="text1"/>
          <w:sz w:val="16"/>
          <w:szCs w:val="16"/>
        </w:rPr>
        <w:t>ние опытной партии химприцепок</w:t>
      </w:r>
      <w:r w:rsidRPr="00DB5D0D">
        <w:rPr>
          <w:rStyle w:val="48pt0pt"/>
          <w:rFonts w:ascii="Times New Roman" w:hAnsi="Times New Roman" w:cs="Times New Roman"/>
          <w:color w:val="000000" w:themeColor="text1"/>
          <w:spacing w:val="0"/>
        </w:rPr>
        <w:t xml:space="preserve"> на 4</w:t>
      </w:r>
      <w:r w:rsidRPr="00DB5D0D">
        <w:rPr>
          <w:rStyle w:val="48pt0pt0"/>
          <w:rFonts w:ascii="Times New Roman" w:hAnsi="Times New Roman" w:cs="Times New Roman"/>
          <w:i w:val="0"/>
          <w:color w:val="000000" w:themeColor="text1"/>
          <w:spacing w:val="0"/>
        </w:rPr>
        <w:t xml:space="preserve"> месяца, </w:t>
      </w:r>
      <w:r w:rsidRPr="00DB5D0D">
        <w:rPr>
          <w:rFonts w:ascii="Times New Roman" w:cs="Times New Roman"/>
          <w:color w:val="000000" w:themeColor="text1"/>
          <w:sz w:val="16"/>
          <w:szCs w:val="16"/>
        </w:rPr>
        <w:t>вследствие чего войсковые испытания</w:t>
      </w:r>
      <w:r w:rsidRPr="00DB5D0D">
        <w:rPr>
          <w:rStyle w:val="48pt0pt"/>
          <w:rFonts w:ascii="Times New Roman" w:hAnsi="Times New Roman" w:cs="Times New Roman"/>
          <w:color w:val="000000" w:themeColor="text1"/>
          <w:spacing w:val="0"/>
        </w:rPr>
        <w:t xml:space="preserve"> их были </w:t>
      </w:r>
      <w:r w:rsidRPr="00DB5D0D">
        <w:rPr>
          <w:rFonts w:ascii="Times New Roman" w:cs="Times New Roman"/>
          <w:color w:val="000000" w:themeColor="text1"/>
          <w:sz w:val="16"/>
          <w:szCs w:val="16"/>
        </w:rPr>
        <w:t>проведены только в апреле.</w:t>
      </w:r>
    </w:p>
    <w:p w14:paraId="6A53D547" w14:textId="77777777" w:rsidR="00A150F9" w:rsidRPr="00DB5D0D" w:rsidRDefault="00A150F9"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Войсковая комиссия рекомендовала хим- прицепку на вооружение и внесла ряд замеча</w:t>
      </w:r>
      <w:r w:rsidRPr="00DB5D0D">
        <w:rPr>
          <w:rFonts w:ascii="Times New Roman" w:cs="Times New Roman"/>
          <w:color w:val="000000" w:themeColor="text1"/>
          <w:sz w:val="16"/>
          <w:szCs w:val="16"/>
        </w:rPr>
        <w:softHyphen/>
        <w:t>ний по упрощению их изготовления, а также по их эксплоатации.</w:t>
      </w:r>
    </w:p>
    <w:p w14:paraId="2D29FC9B" w14:textId="77777777" w:rsidR="00A150F9" w:rsidRPr="00DB5D0D" w:rsidRDefault="00A150F9"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НКО заключен с НКТМ договор</w:t>
      </w:r>
      <w:r w:rsidRPr="00DB5D0D">
        <w:rPr>
          <w:rStyle w:val="48pt0pt"/>
          <w:rFonts w:ascii="Times New Roman" w:hAnsi="Times New Roman" w:cs="Times New Roman"/>
          <w:color w:val="000000" w:themeColor="text1"/>
          <w:spacing w:val="0"/>
        </w:rPr>
        <w:t xml:space="preserve"> на</w:t>
      </w:r>
      <w:r w:rsidRPr="00DB5D0D">
        <w:rPr>
          <w:rFonts w:ascii="Times New Roman" w:cs="Times New Roman"/>
          <w:color w:val="000000" w:themeColor="text1"/>
          <w:sz w:val="16"/>
          <w:szCs w:val="16"/>
        </w:rPr>
        <w:t xml:space="preserve"> изго</w:t>
      </w:r>
      <w:r w:rsidRPr="00DB5D0D">
        <w:rPr>
          <w:rFonts w:ascii="Times New Roman" w:cs="Times New Roman"/>
          <w:color w:val="000000" w:themeColor="text1"/>
          <w:sz w:val="16"/>
          <w:szCs w:val="16"/>
        </w:rPr>
        <w:softHyphen/>
        <w:t>товление к 1 июля 1940 г. установочной</w:t>
      </w:r>
      <w:r w:rsidRPr="00DB5D0D">
        <w:rPr>
          <w:rStyle w:val="48pt0pt"/>
          <w:rFonts w:ascii="Times New Roman" w:hAnsi="Times New Roman" w:cs="Times New Roman"/>
          <w:color w:val="000000" w:themeColor="text1"/>
          <w:spacing w:val="0"/>
        </w:rPr>
        <w:t xml:space="preserve"> пар- </w:t>
      </w:r>
      <w:r w:rsidRPr="00DB5D0D">
        <w:rPr>
          <w:rFonts w:ascii="Times New Roman" w:cs="Times New Roman"/>
          <w:color w:val="000000" w:themeColor="text1"/>
          <w:sz w:val="16"/>
          <w:szCs w:val="16"/>
        </w:rPr>
        <w:t>тли 10-ти штук химприцепок, при этом были учтены замечания войсковой комиссии. К этому же сроку должна быть отработана тех</w:t>
      </w:r>
      <w:r w:rsidRPr="00DB5D0D">
        <w:rPr>
          <w:rFonts w:ascii="Times New Roman" w:cs="Times New Roman"/>
          <w:color w:val="000000" w:themeColor="text1"/>
          <w:sz w:val="16"/>
          <w:szCs w:val="16"/>
        </w:rPr>
        <w:softHyphen/>
        <w:t>ническая документация для валового</w:t>
      </w:r>
      <w:r w:rsidRPr="00DB5D0D">
        <w:rPr>
          <w:rStyle w:val="48pt0pt"/>
          <w:rFonts w:ascii="Times New Roman" w:hAnsi="Times New Roman" w:cs="Times New Roman"/>
          <w:color w:val="000000" w:themeColor="text1"/>
          <w:spacing w:val="0"/>
        </w:rPr>
        <w:t xml:space="preserve"> выпуска </w:t>
      </w:r>
      <w:r w:rsidRPr="00DB5D0D">
        <w:rPr>
          <w:rFonts w:ascii="Times New Roman" w:cs="Times New Roman"/>
          <w:color w:val="000000" w:themeColor="text1"/>
          <w:sz w:val="16"/>
          <w:szCs w:val="16"/>
        </w:rPr>
        <w:t>химприцепок.</w:t>
      </w:r>
    </w:p>
    <w:p w14:paraId="3ECC8ACB" w14:textId="77777777" w:rsidR="00A150F9" w:rsidRPr="00DB5D0D" w:rsidRDefault="00A150F9"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НКТМ вместо выполнения этого</w:t>
      </w:r>
      <w:r w:rsidRPr="00DB5D0D">
        <w:rPr>
          <w:rStyle w:val="48pt0pt"/>
          <w:rFonts w:ascii="Times New Roman" w:hAnsi="Times New Roman" w:cs="Times New Roman"/>
          <w:color w:val="000000" w:themeColor="text1"/>
          <w:spacing w:val="0"/>
        </w:rPr>
        <w:t xml:space="preserve"> договора, </w:t>
      </w:r>
      <w:r w:rsidRPr="00DB5D0D">
        <w:rPr>
          <w:rFonts w:ascii="Times New Roman" w:cs="Times New Roman"/>
          <w:color w:val="000000" w:themeColor="text1"/>
          <w:sz w:val="16"/>
          <w:szCs w:val="16"/>
        </w:rPr>
        <w:t>дал директиву заводу изготовить только 5 штук химприцепок 5.8-40 г.</w:t>
      </w:r>
    </w:p>
    <w:p w14:paraId="47F56856" w14:textId="77777777" w:rsidR="00A150F9" w:rsidRPr="00DB5D0D" w:rsidRDefault="00A150F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результате до сих пор не изготовлена ни одна химприцепка. отсюда и нет документа</w:t>
      </w:r>
      <w:r w:rsidRPr="00DB5D0D">
        <w:rPr>
          <w:rFonts w:ascii="Times New Roman" w:hAnsi="Times New Roman"/>
          <w:color w:val="000000" w:themeColor="text1"/>
          <w:sz w:val="16"/>
          <w:szCs w:val="16"/>
        </w:rPr>
        <w:softHyphen/>
        <w:t>ции по ней (17480).</w:t>
      </w:r>
    </w:p>
    <w:p w14:paraId="2CB075DF" w14:textId="77777777" w:rsidR="00A150F9" w:rsidRPr="00DB5D0D" w:rsidRDefault="00A150F9"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Никаких испытаний установочной партии НКО проводить не предполагает, а будут толь</w:t>
      </w:r>
      <w:r w:rsidRPr="00DB5D0D">
        <w:rPr>
          <w:rFonts w:ascii="Times New Roman" w:cs="Times New Roman"/>
          <w:color w:val="000000" w:themeColor="text1"/>
          <w:sz w:val="16"/>
          <w:szCs w:val="16"/>
        </w:rPr>
        <w:softHyphen/>
        <w:t>ко проверены замечания, данные войсковой комиссией.</w:t>
      </w:r>
    </w:p>
    <w:p w14:paraId="08A6C28F" w14:textId="77777777" w:rsidR="00A150F9" w:rsidRPr="00DB5D0D" w:rsidRDefault="00A150F9"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Прошу оставить в плане НКТМ полную про</w:t>
      </w:r>
      <w:r w:rsidRPr="00DB5D0D">
        <w:rPr>
          <w:rFonts w:ascii="Times New Roman" w:cs="Times New Roman"/>
          <w:color w:val="000000" w:themeColor="text1"/>
          <w:sz w:val="16"/>
          <w:szCs w:val="16"/>
        </w:rPr>
        <w:softHyphen/>
        <w:t>грамму выпуска химпрщепок в 3-м квартале в количестве 40 штук, и изготовить к 1.9-40 г. 10 штук химприцепок с отработкой техноло</w:t>
      </w:r>
      <w:r w:rsidRPr="00DB5D0D">
        <w:rPr>
          <w:rFonts w:ascii="Times New Roman" w:cs="Times New Roman"/>
          <w:color w:val="000000" w:themeColor="text1"/>
          <w:sz w:val="16"/>
          <w:szCs w:val="16"/>
        </w:rPr>
        <w:softHyphen/>
        <w:t>гического процесса и чертежей для валового производства</w:t>
      </w:r>
    </w:p>
    <w:p w14:paraId="00829390" w14:textId="77777777" w:rsidR="00A150F9" w:rsidRPr="00DB5D0D" w:rsidRDefault="00A150F9" w:rsidP="00DB5D0D">
      <w:pPr>
        <w:pStyle w:val="45"/>
        <w:shd w:val="clear" w:color="auto" w:fill="auto"/>
        <w:spacing w:before="0" w:line="240" w:lineRule="auto"/>
        <w:jc w:val="both"/>
        <w:rPr>
          <w:rFonts w:ascii="Times New Roman" w:cs="Times New Roman"/>
          <w:color w:val="000000" w:themeColor="text1"/>
          <w:sz w:val="16"/>
          <w:szCs w:val="16"/>
        </w:rPr>
      </w:pPr>
      <w:r w:rsidRPr="00DB5D0D">
        <w:rPr>
          <w:rFonts w:ascii="Times New Roman" w:cs="Times New Roman"/>
          <w:color w:val="000000" w:themeColor="text1"/>
          <w:sz w:val="16"/>
          <w:szCs w:val="16"/>
        </w:rPr>
        <w:t>Все возможности для этого НКТМ (завод ДРО) имеет».</w:t>
      </w:r>
    </w:p>
    <w:p w14:paraId="2C63A3DA" w14:textId="77777777" w:rsidR="00A150F9" w:rsidRPr="00DB5D0D" w:rsidRDefault="00A150F9" w:rsidP="00DB5D0D">
      <w:pPr>
        <w:spacing w:after="0" w:line="240" w:lineRule="auto"/>
        <w:jc w:val="both"/>
        <w:rPr>
          <w:rFonts w:ascii="Times New Roman" w:hAnsi="Times New Roman"/>
          <w:color w:val="000000" w:themeColor="text1"/>
          <w:sz w:val="16"/>
          <w:szCs w:val="16"/>
        </w:rPr>
      </w:pPr>
    </w:p>
    <w:p w14:paraId="05919FF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Государственному оптическому институту (ГОИ) ГБТУ КА предложено изго</w:t>
      </w:r>
      <w:r w:rsidRPr="00DB5D0D">
        <w:rPr>
          <w:rFonts w:ascii="Times New Roman" w:hAnsi="Times New Roman"/>
          <w:color w:val="000000" w:themeColor="text1"/>
          <w:sz w:val="16"/>
          <w:szCs w:val="16"/>
        </w:rPr>
        <w:softHyphen/>
        <w:t>товить совместно с заводом № 211 прицел для ночной стрельбы из танка. В связи с эвакуацией предприятия г. Ленинграда в 1941 г. все работы по инфракрасной техни</w:t>
      </w:r>
      <w:r w:rsidRPr="00DB5D0D">
        <w:rPr>
          <w:rFonts w:ascii="Times New Roman" w:hAnsi="Times New Roman"/>
          <w:color w:val="000000" w:themeColor="text1"/>
          <w:sz w:val="16"/>
          <w:szCs w:val="16"/>
        </w:rPr>
        <w:softHyphen/>
        <w:t>ке были прерваны (11420).</w:t>
      </w:r>
    </w:p>
    <w:p w14:paraId="3EB192F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D5EF41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года, параллельно со сборкой машин с броневыми корпуса</w:t>
      </w:r>
      <w:r w:rsidRPr="00DB5D0D">
        <w:rPr>
          <w:rFonts w:ascii="Times New Roman" w:hAnsi="Times New Roman"/>
          <w:color w:val="000000" w:themeColor="text1"/>
          <w:sz w:val="16"/>
          <w:szCs w:val="16"/>
        </w:rPr>
        <w:softHyphen/>
        <w:t>ми, на ГАЗе изготовили макетный обра</w:t>
      </w:r>
      <w:r w:rsidRPr="00DB5D0D">
        <w:rPr>
          <w:rFonts w:ascii="Times New Roman" w:hAnsi="Times New Roman"/>
          <w:color w:val="000000" w:themeColor="text1"/>
          <w:sz w:val="16"/>
          <w:szCs w:val="16"/>
        </w:rPr>
        <w:softHyphen/>
        <w:t>зец ЛБ-62 с «железным корпусом» (так говорилось в доку</w:t>
      </w:r>
      <w:r w:rsidRPr="00DB5D0D">
        <w:rPr>
          <w:rFonts w:ascii="Times New Roman" w:hAnsi="Times New Roman"/>
          <w:color w:val="000000" w:themeColor="text1"/>
          <w:sz w:val="16"/>
          <w:szCs w:val="16"/>
        </w:rPr>
        <w:softHyphen/>
        <w:t>ментах) — из обычной стали. Эта машина, не имеющая баш</w:t>
      </w:r>
      <w:r w:rsidRPr="00DB5D0D">
        <w:rPr>
          <w:rFonts w:ascii="Times New Roman" w:hAnsi="Times New Roman"/>
          <w:color w:val="000000" w:themeColor="text1"/>
          <w:sz w:val="16"/>
          <w:szCs w:val="16"/>
        </w:rPr>
        <w:softHyphen/>
        <w:t>ни и догруженная до боевой массы стальными болванками, использовалась в ОКБ КЭО в качестве испытательного стенда для отработки узлов и деталей нового броневика.</w:t>
      </w:r>
    </w:p>
    <w:p w14:paraId="7EC6F1E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lastRenderedPageBreak/>
        <w:t>Однако выполнить в срок постановление Комитета Обороны не удалось (11284).</w:t>
      </w:r>
    </w:p>
    <w:p w14:paraId="313B9CD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640F9CE3"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августе 1940 вышло поста</w:t>
      </w:r>
      <w:r w:rsidRPr="00DB5D0D">
        <w:rPr>
          <w:rFonts w:ascii="Times New Roman" w:hAnsi="Times New Roman"/>
          <w:color w:val="0070C0"/>
          <w:sz w:val="16"/>
          <w:szCs w:val="16"/>
        </w:rPr>
        <w:softHyphen/>
        <w:t>новление СНК СССР и ЦК ВКП(б) «О малолитражном автомобиле КИМ». В нем отмечалось, что Нар- комсредмаш и лично И.А. Лихачев после утверждения типа автомо</w:t>
      </w:r>
      <w:r w:rsidRPr="00DB5D0D">
        <w:rPr>
          <w:rFonts w:ascii="Times New Roman" w:hAnsi="Times New Roman"/>
          <w:color w:val="0070C0"/>
          <w:sz w:val="16"/>
          <w:szCs w:val="16"/>
        </w:rPr>
        <w:softHyphen/>
        <w:t>биля КИМ самовольно внесли в конструкцию машины ряд измене</w:t>
      </w:r>
      <w:r w:rsidRPr="00DB5D0D">
        <w:rPr>
          <w:rFonts w:ascii="Times New Roman" w:hAnsi="Times New Roman"/>
          <w:color w:val="0070C0"/>
          <w:sz w:val="16"/>
          <w:szCs w:val="16"/>
        </w:rPr>
        <w:softHyphen/>
        <w:t>ний, как, например: увеличение размеров кузова по высоте и дли</w:t>
      </w:r>
      <w:r w:rsidRPr="00DB5D0D">
        <w:rPr>
          <w:rFonts w:ascii="Times New Roman" w:hAnsi="Times New Roman"/>
          <w:color w:val="0070C0"/>
          <w:sz w:val="16"/>
          <w:szCs w:val="16"/>
        </w:rPr>
        <w:softHyphen/>
        <w:t>не, увеличение размеров багажно</w:t>
      </w:r>
      <w:r w:rsidRPr="00DB5D0D">
        <w:rPr>
          <w:rFonts w:ascii="Times New Roman" w:hAnsi="Times New Roman"/>
          <w:color w:val="0070C0"/>
          <w:sz w:val="16"/>
          <w:szCs w:val="16"/>
        </w:rPr>
        <w:softHyphen/>
        <w:t>го ящика, раздельное заднее стек</w:t>
      </w:r>
      <w:r w:rsidRPr="00DB5D0D">
        <w:rPr>
          <w:rFonts w:ascii="Times New Roman" w:hAnsi="Times New Roman"/>
          <w:color w:val="0070C0"/>
          <w:sz w:val="16"/>
          <w:szCs w:val="16"/>
        </w:rPr>
        <w:softHyphen/>
        <w:t>ло и др. Эти изменения, говори</w:t>
      </w:r>
      <w:r w:rsidRPr="00DB5D0D">
        <w:rPr>
          <w:rFonts w:ascii="Times New Roman" w:hAnsi="Times New Roman"/>
          <w:color w:val="0070C0"/>
          <w:sz w:val="16"/>
          <w:szCs w:val="16"/>
        </w:rPr>
        <w:softHyphen/>
        <w:t>лось в постановлении, ухудшили автомобиль, увеличили его вес и стоимость. В кон</w:t>
      </w:r>
      <w:r w:rsidRPr="00DB5D0D">
        <w:rPr>
          <w:rFonts w:ascii="Times New Roman" w:hAnsi="Times New Roman"/>
          <w:color w:val="0070C0"/>
          <w:sz w:val="16"/>
          <w:szCs w:val="16"/>
        </w:rPr>
        <w:softHyphen/>
        <w:t>струкцию КИМ предписывалось внести следующие изменения:</w:t>
      </w:r>
    </w:p>
    <w:p w14:paraId="46028BA7"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-поднять клиренс машины до 185-190 мм;</w:t>
      </w:r>
    </w:p>
    <w:p w14:paraId="6AB461AD"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-убрать подножки:</w:t>
      </w:r>
    </w:p>
    <w:p w14:paraId="25142C26"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хромированные штабики (молдинги) по бокам машины заменить специальной краской;</w:t>
      </w:r>
    </w:p>
    <w:p w14:paraId="11EE82C7"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перенести фары с крыльев на боковины капота;</w:t>
      </w:r>
    </w:p>
    <w:p w14:paraId="061BBF06"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заднее стекло делать целое.</w:t>
      </w:r>
    </w:p>
    <w:p w14:paraId="717BFB87"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Постановление признавало необходимым внес</w:t>
      </w:r>
      <w:r w:rsidRPr="00DB5D0D">
        <w:rPr>
          <w:rFonts w:ascii="Times New Roman" w:hAnsi="Times New Roman"/>
          <w:color w:val="0070C0"/>
          <w:sz w:val="16"/>
          <w:szCs w:val="16"/>
        </w:rPr>
        <w:softHyphen/>
        <w:t>ти следующие изменения во вновь проектируемый кузов: снизить общую высоту не менее чем на 100— 150 мм;</w:t>
      </w:r>
    </w:p>
    <w:p w14:paraId="3C6D6CA5"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кузов изготовить 4-дверным вместо 2-дверного;</w:t>
      </w:r>
    </w:p>
    <w:p w14:paraId="4CEDC07F"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уменьшить задний багажный ящик;</w:t>
      </w:r>
    </w:p>
    <w:p w14:paraId="57FE97B6"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уменьшить крылья;</w:t>
      </w:r>
    </w:p>
    <w:p w14:paraId="5D0EF735"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верх кузова (крышу) делать из дерматина (22518).</w:t>
      </w:r>
    </w:p>
    <w:p w14:paraId="222EA125" w14:textId="77777777" w:rsidR="0087242E" w:rsidRPr="00DB5D0D" w:rsidRDefault="0087242E" w:rsidP="00DB5D0D">
      <w:pPr>
        <w:spacing w:after="0" w:line="240" w:lineRule="auto"/>
        <w:jc w:val="both"/>
        <w:rPr>
          <w:rFonts w:ascii="Times New Roman" w:hAnsi="Times New Roman"/>
          <w:color w:val="0070C0"/>
          <w:sz w:val="16"/>
          <w:szCs w:val="16"/>
        </w:rPr>
      </w:pPr>
    </w:p>
    <w:p w14:paraId="56FD91B1" w14:textId="77777777" w:rsidR="00A15529" w:rsidRPr="00DB5D0D" w:rsidRDefault="00A15529"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 августе 1940 г. для организации работ по перспективной машине К-71 организовали Центральное конструкторское бюро по мотоциклостроению (ЦКБМ), которому поручалось выпустить к 1 ноября 1940 г. ком</w:t>
      </w:r>
      <w:r w:rsidRPr="00DB5D0D">
        <w:rPr>
          <w:rFonts w:ascii="Times New Roman" w:cs="Times New Roman"/>
          <w:color w:val="000000" w:themeColor="text1"/>
          <w:spacing w:val="0"/>
        </w:rPr>
        <w:softHyphen/>
        <w:t>плект технической документации нового образца на основании име</w:t>
      </w:r>
      <w:r w:rsidRPr="00DB5D0D">
        <w:rPr>
          <w:rFonts w:ascii="Times New Roman" w:cs="Times New Roman"/>
          <w:color w:val="000000" w:themeColor="text1"/>
          <w:spacing w:val="0"/>
        </w:rPr>
        <w:softHyphen/>
        <w:t>ющихся материалов по немецкому прототипу. Отечественный аналог</w:t>
      </w:r>
      <w:r w:rsidRPr="00DB5D0D">
        <w:rPr>
          <w:rStyle w:val="aff9"/>
          <w:rFonts w:ascii="Times New Roman" w:cs="Times New Roman"/>
          <w:b w:val="0"/>
          <w:color w:val="000000" w:themeColor="text1"/>
          <w:spacing w:val="0"/>
          <w:sz w:val="16"/>
          <w:szCs w:val="16"/>
        </w:rPr>
        <w:t>назвали М-72.</w:t>
      </w:r>
    </w:p>
    <w:p w14:paraId="58CB111C" w14:textId="77777777" w:rsidR="00A15529" w:rsidRPr="00DB5D0D" w:rsidRDefault="00A15529"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В ЦКБМ одну немецкую машину разобрали до последней детали. В лабораториях НАТИ также исследовали химический состав почти сот</w:t>
      </w:r>
      <w:r w:rsidRPr="00DB5D0D">
        <w:rPr>
          <w:rFonts w:ascii="Times New Roman" w:cs="Times New Roman"/>
          <w:color w:val="000000" w:themeColor="text1"/>
          <w:spacing w:val="0"/>
        </w:rPr>
        <w:softHyphen/>
        <w:t>ни подлинных деталей и предложили им эквивалентную замену на ма</w:t>
      </w:r>
      <w:r w:rsidRPr="00DB5D0D">
        <w:rPr>
          <w:rFonts w:ascii="Times New Roman" w:cs="Times New Roman"/>
          <w:color w:val="000000" w:themeColor="text1"/>
          <w:spacing w:val="0"/>
        </w:rPr>
        <w:softHyphen/>
        <w:t>териалы в соответствии с ГОСТами СССР. В целом ЦКБМ поручалось в точности повторить конструкцию ВММ (15757).</w:t>
      </w:r>
    </w:p>
    <w:p w14:paraId="015C48E6" w14:textId="77777777" w:rsidR="00A15529" w:rsidRPr="00DB5D0D" w:rsidRDefault="00A15529" w:rsidP="00DB5D0D">
      <w:pPr>
        <w:pStyle w:val="27"/>
        <w:shd w:val="clear" w:color="auto" w:fill="auto"/>
        <w:spacing w:after="0" w:line="240" w:lineRule="auto"/>
        <w:ind w:firstLine="0"/>
        <w:rPr>
          <w:rFonts w:ascii="Times New Roman" w:cs="Times New Roman"/>
          <w:color w:val="000000" w:themeColor="text1"/>
          <w:spacing w:val="0"/>
        </w:rPr>
      </w:pPr>
    </w:p>
    <w:p w14:paraId="4C655E58" w14:textId="77777777" w:rsidR="003966E3" w:rsidRPr="00DB5D0D" w:rsidRDefault="003966E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на правительственном уровне был решен вопрос об организации производства армейского мотоцикла с коляской. К этому времени основным армейским мотоциклом был АМ-600 постройки завода № 65 Наркомата боеприпасов, но он не в полной мере отвечал требованиям военных. По каналам «особых поставок» были приобретены и испытаны несколько типов мотоциклов, в том числе германский BMW R-71 (БМВ-750). Мотоцикл получил положительные оценки, и секретным решением правительства его рекомендовали к освоению предприятиями промышленности. 15 августа 1940 г. Наркомобщемаш выпустил приказ № 202с, которым утверждались планы вступления в строй для производства с 1942 г. мотоцикла БМВ-750 новых мотоциклетных заводов (Венюковского и Пензенского) с доведением их мощности к 1 января 1943 г. до расчетной. Кроме того, производить новые мотоциклы предполагалось на Ленинградском, Харьковском и Московском мотоциклетных заводах, а также таганрогском заводе № 65 Наркомата боеприпасов (19776).</w:t>
      </w:r>
    </w:p>
    <w:p w14:paraId="67E1380D" w14:textId="77777777" w:rsidR="003966E3" w:rsidRPr="00DB5D0D" w:rsidRDefault="003966E3" w:rsidP="00DB5D0D">
      <w:pPr>
        <w:spacing w:after="0" w:line="240" w:lineRule="auto"/>
        <w:jc w:val="both"/>
        <w:rPr>
          <w:rFonts w:ascii="Times New Roman" w:hAnsi="Times New Roman"/>
          <w:color w:val="000000" w:themeColor="text1"/>
          <w:sz w:val="16"/>
          <w:szCs w:val="16"/>
        </w:rPr>
      </w:pPr>
    </w:p>
    <w:p w14:paraId="4630271C" w14:textId="77777777" w:rsidR="003C7E8B" w:rsidRPr="00DB5D0D" w:rsidRDefault="003C7E8B" w:rsidP="00DB5D0D">
      <w:pPr>
        <w:pStyle w:val="a8"/>
        <w:widowControl/>
        <w:jc w:val="both"/>
        <w:rPr>
          <w:rFonts w:ascii="Times New Roman" w:hAnsi="Times New Roman" w:cs="Times New Roman"/>
          <w:color w:val="000000" w:themeColor="text1"/>
        </w:rPr>
      </w:pPr>
      <w:r w:rsidRPr="00DB5D0D">
        <w:rPr>
          <w:rFonts w:ascii="Times New Roman" w:hAnsi="Times New Roman" w:cs="Times New Roman"/>
          <w:color w:val="000000" w:themeColor="text1"/>
        </w:rPr>
        <w:t>В августе 1940 г. ПУАЗО-3 был принят на вооружение и запущен в серийное производство на 205-м заводе (9921).</w:t>
      </w:r>
    </w:p>
    <w:p w14:paraId="40593596" w14:textId="77777777" w:rsidR="003C7E8B" w:rsidRPr="00DB5D0D" w:rsidRDefault="003C7E8B" w:rsidP="00DB5D0D">
      <w:pPr>
        <w:pStyle w:val="a8"/>
        <w:widowControl/>
        <w:jc w:val="both"/>
        <w:rPr>
          <w:rFonts w:ascii="Times New Roman" w:hAnsi="Times New Roman" w:cs="Times New Roman"/>
          <w:color w:val="000000" w:themeColor="text1"/>
        </w:rPr>
      </w:pPr>
    </w:p>
    <w:p w14:paraId="3969A238"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после того как еще несколько его образцов прошли дополнительные полигонные испытания, ПУАЗО-3 был принят на вооружение и запущен в серийное производство на 205-м заводе. Существенными недостатками ПУАЗО-3 был большой по численности боевой расчет в 7 человек и то, что, как и ПУАЗО-1 и ПУАЗО-2, он обеспечивал стрельбу только по визуально наблюдаемым целям. Дальнейшее совершенствование ПУАЗО механического типа потребовало бы еще большей численности расчета. Поэтому в решении задачи встречи снаряда с целью требовался переход от механизированного к аналитическому (вычислительному) методу, как это делалось в разрабатывавшихся морских системах (15736).</w:t>
      </w:r>
    </w:p>
    <w:p w14:paraId="2481194F"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07B4B2C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месяце 1940 г. автозаводом им. Сталина были изготовлены два опытных образца ЗИС-32.</w:t>
      </w:r>
    </w:p>
    <w:p w14:paraId="3A3C712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26 июля 1940 г. вышло Постановление КО № 333сс и 19 декабря 1939 г. вышло Постановления КО № 443сс, которые обязывали автозавод им. им. Сталина:</w:t>
      </w:r>
    </w:p>
    <w:p w14:paraId="3BCD1F8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Организовать серийное производство автомобилей ЗИС-32 с 1.10.1940 г.</w:t>
      </w:r>
    </w:p>
    <w:p w14:paraId="4740949B"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Создать мощность завода по выпуску ЗИС-32 с 1.8.1941 г. до 2000 шт. в год.</w:t>
      </w:r>
    </w:p>
    <w:p w14:paraId="1391C81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Полигонные испытания показали, что представленные опытные образцы ЗИС-32 конструктивно и производственно недоработаны (имеют дефекты).</w:t>
      </w:r>
    </w:p>
    <w:p w14:paraId="5AB6D72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Подготовка производства ЗИС-32 идет медленно и грозит срывом выпуска данного автомобиля в 1941 г.</w:t>
      </w:r>
    </w:p>
    <w:p w14:paraId="3368CC1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Основным тормозом в организации производства по выпуску ЗИС-32 является отсутствие им</w:t>
      </w:r>
      <w:r w:rsidRPr="00DB5D0D">
        <w:rPr>
          <w:rFonts w:ascii="Times New Roman" w:hAnsi="Times New Roman"/>
          <w:color w:val="000000" w:themeColor="text1"/>
          <w:sz w:val="16"/>
          <w:szCs w:val="16"/>
        </w:rPr>
        <w:softHyphen/>
        <w:t>портного и отечественного оборудования для изготовления карданов «Рцепа» для переднего ведуще</w:t>
      </w:r>
      <w:r w:rsidRPr="00DB5D0D">
        <w:rPr>
          <w:rFonts w:ascii="Times New Roman" w:hAnsi="Times New Roman"/>
          <w:color w:val="000000" w:themeColor="text1"/>
          <w:sz w:val="16"/>
          <w:szCs w:val="16"/>
        </w:rPr>
        <w:softHyphen/>
        <w:t>го моста, раздаточной коробки и других деталей.</w:t>
      </w:r>
    </w:p>
    <w:p w14:paraId="566B18F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12.11.1940 г. ГАБТУ своим письмом просило народного комиссара среднего машиностроения т. Малышева обеспечить автозавод им. Сталина необходимым оборудованием для производства ав</w:t>
      </w:r>
      <w:r w:rsidRPr="00DB5D0D">
        <w:rPr>
          <w:rFonts w:ascii="Times New Roman" w:hAnsi="Times New Roman"/>
          <w:color w:val="000000" w:themeColor="text1"/>
          <w:sz w:val="16"/>
          <w:szCs w:val="16"/>
        </w:rPr>
        <w:softHyphen/>
        <w:t>томобиля ЗИС-32 и в кратчайший срок доработать опытный образец ЗИС-32 для повторных поли</w:t>
      </w:r>
      <w:r w:rsidRPr="00DB5D0D">
        <w:rPr>
          <w:rFonts w:ascii="Times New Roman" w:hAnsi="Times New Roman"/>
          <w:color w:val="000000" w:themeColor="text1"/>
          <w:sz w:val="16"/>
          <w:szCs w:val="16"/>
        </w:rPr>
        <w:softHyphen/>
        <w:t>гонных испытаний (11211).</w:t>
      </w:r>
    </w:p>
    <w:p w14:paraId="65A906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p>
    <w:p w14:paraId="20750A3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w:t>
      </w:r>
      <w:r w:rsidRPr="00DB5D0D">
        <w:rPr>
          <w:rFonts w:ascii="Times New Roman" w:hAnsi="Times New Roman"/>
          <w:color w:val="000000" w:themeColor="text1"/>
          <w:sz w:val="16"/>
          <w:szCs w:val="16"/>
        </w:rPr>
        <w:softHyphen/>
        <w:t>густе месяце 1940 г. согласно указания ГАБТУ Красной Армии и НКСМ на автозаводе им. Молотова и в НАТИ были изготовлены опытные образцы полугусеничных автомобилей ЗИС-22-52 и ГАЗ-60п, с принудительным зацеплением.</w:t>
      </w:r>
    </w:p>
    <w:p w14:paraId="451562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Проведенные в октябре месяце 1941 г. полигонные испытания данных автомобилей показали, что автомобили обладают хорошей проходимостью по грязным проселочным дорогам, пахоте и за</w:t>
      </w:r>
      <w:r w:rsidRPr="00DB5D0D">
        <w:rPr>
          <w:rFonts w:ascii="Times New Roman" w:hAnsi="Times New Roman"/>
          <w:color w:val="000000" w:themeColor="text1"/>
          <w:sz w:val="16"/>
          <w:szCs w:val="16"/>
        </w:rPr>
        <w:softHyphen/>
        <w:t>болоченным местам.</w:t>
      </w:r>
    </w:p>
    <w:p w14:paraId="608014FA"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Основные показатели, выявленные на испытании, следующие:</w:t>
      </w:r>
    </w:p>
    <w:p w14:paraId="2CB1AB9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1. Максимальная скорость</w:t>
      </w:r>
    </w:p>
    <w:p w14:paraId="3710817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2. Средняя скорость по грязному проселку</w:t>
      </w:r>
    </w:p>
    <w:p w14:paraId="0F449D1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3. Расход горючего на 100 км. по шоссе по проселку</w:t>
      </w:r>
    </w:p>
    <w:p w14:paraId="564C08F2"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4. Максимально преодолеваемый подъем</w:t>
      </w:r>
    </w:p>
    <w:p w14:paraId="3E001A95"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5. Удельное давление</w:t>
      </w:r>
    </w:p>
    <w:p w14:paraId="2508AAD6"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- 38-40 км/час</w:t>
      </w:r>
    </w:p>
    <w:p w14:paraId="588E8C03"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- 14-16 км/час</w:t>
      </w:r>
    </w:p>
    <w:p w14:paraId="6F9E38B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- 45-60 л</w:t>
      </w:r>
    </w:p>
    <w:p w14:paraId="23F388D9"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- 75-95 л</w:t>
      </w:r>
    </w:p>
    <w:p w14:paraId="50D5ACBF"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- 28°</w:t>
      </w:r>
    </w:p>
    <w:p w14:paraId="3050F2E7"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- 0,2-0,4 кг/см</w:t>
      </w:r>
      <w:r w:rsidRPr="00DB5D0D">
        <w:rPr>
          <w:rFonts w:ascii="Times New Roman" w:hAnsi="Times New Roman"/>
          <w:color w:val="000000" w:themeColor="text1"/>
          <w:sz w:val="16"/>
          <w:szCs w:val="16"/>
          <w:vertAlign w:val="superscript"/>
        </w:rPr>
        <w:t>2</w:t>
      </w:r>
      <w:r w:rsidRPr="00DB5D0D">
        <w:rPr>
          <w:rFonts w:ascii="Times New Roman" w:hAnsi="Times New Roman"/>
          <w:color w:val="000000" w:themeColor="text1"/>
          <w:sz w:val="16"/>
          <w:szCs w:val="16"/>
        </w:rPr>
        <w:t>.</w:t>
      </w:r>
    </w:p>
    <w:p w14:paraId="2C8367C1"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На испытании выявлены также дефекты, подлежащие устранению при изготовлении устано</w:t>
      </w:r>
      <w:r w:rsidRPr="00DB5D0D">
        <w:rPr>
          <w:rFonts w:ascii="Times New Roman" w:hAnsi="Times New Roman"/>
          <w:color w:val="000000" w:themeColor="text1"/>
          <w:sz w:val="16"/>
          <w:szCs w:val="16"/>
        </w:rPr>
        <w:softHyphen/>
        <w:t>вочной партии автомобилей.</w:t>
      </w:r>
    </w:p>
    <w:p w14:paraId="483016CD"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t>Для подготовки выпуска полугусеничных автомобилей в 1941 году и проведения войсковых ис</w:t>
      </w:r>
      <w:r w:rsidRPr="00DB5D0D">
        <w:rPr>
          <w:i w:val="0"/>
          <w:iCs w:val="0"/>
          <w:color w:val="000000" w:themeColor="text1"/>
          <w:spacing w:val="0"/>
          <w:kern w:val="0"/>
          <w:position w:val="0"/>
          <w:sz w:val="16"/>
          <w:szCs w:val="16"/>
          <w:lang w:val="ru-RU"/>
        </w:rPr>
        <w:softHyphen/>
        <w:t>пытаний необходимо не позднее 20.12.1940 г. изготовить на автозаводах им. Сталина и им. Молото</w:t>
      </w:r>
      <w:r w:rsidRPr="00DB5D0D">
        <w:rPr>
          <w:i w:val="0"/>
          <w:iCs w:val="0"/>
          <w:color w:val="000000" w:themeColor="text1"/>
          <w:spacing w:val="0"/>
          <w:kern w:val="0"/>
          <w:position w:val="0"/>
          <w:sz w:val="16"/>
          <w:szCs w:val="16"/>
          <w:lang w:val="ru-RU"/>
        </w:rPr>
        <w:softHyphen/>
        <w:t>ва по 5 автомашин с устранением всех дефектов, выявленных на полигонных испытаниях, о чем по</w:t>
      </w:r>
      <w:r w:rsidRPr="00DB5D0D">
        <w:rPr>
          <w:i w:val="0"/>
          <w:iCs w:val="0"/>
          <w:color w:val="000000" w:themeColor="text1"/>
          <w:spacing w:val="0"/>
          <w:kern w:val="0"/>
          <w:position w:val="0"/>
          <w:sz w:val="16"/>
          <w:szCs w:val="16"/>
          <w:lang w:val="ru-RU"/>
        </w:rPr>
        <w:softHyphen/>
        <w:t>сылается письмо НКСМ т. Малышеву (11211).</w:t>
      </w:r>
    </w:p>
    <w:p w14:paraId="77E79F72"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0BDCC49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был утвержден Устав Государственного союзного проектного и конструкторского института № 40 (ГСПКИ40) (9187)</w:t>
      </w:r>
    </w:p>
    <w:p w14:paraId="2F6F799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года при установлении Советской власти в Эстонии был создан Телефонный завод, после национализации АО «Тартусский телефонный завод», потом телефонный завод № 382. В 1944 году по постановлению СНК за № 2130с на базе бывш. телефонного завода № 382 в Тарту Эстонской СССР был организован завод № 89. Во время ВОВ находился в ведении оккупантов, на которых работал до 1944 года. При отступлении немцы вывезли все оборудование и взорвали основной корпус завода.</w:t>
      </w:r>
    </w:p>
    <w:p w14:paraId="6298D61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освобождении Тарту в 1945 году был достроен корпус № 1 (новый) и организован выпуск первой продукции – телефонных аппаратов, а с 1946 года и блоков, штампов и тисков.</w:t>
      </w:r>
    </w:p>
    <w:p w14:paraId="1C5B408D"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 мере изменения номенклатуры изделий, реконструировались и цеха основного производства. С 1948 года завод выпускал авиаприборы: бароспидометры, с 1949 года – тензометры, вибрографы и т.д. С 1950 года выпуск инструмента был прекращен.</w:t>
      </w:r>
    </w:p>
    <w:p w14:paraId="73C81A2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1951 году завод освоил выпуск электроизмерительных приборов.</w:t>
      </w:r>
    </w:p>
    <w:p w14:paraId="5EA0BF4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Директор – Хрусталев (9464).</w:t>
      </w:r>
    </w:p>
    <w:p w14:paraId="57D62682"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D9039C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К августу 1942 для замены тяжелых артиллерийских тягачей Ворошиловец в КБ ХПЗ был разработан проект нового тягача АТ-42 на базе Т-34 (4422).</w:t>
      </w:r>
    </w:p>
    <w:p w14:paraId="31050DA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29E9F718" w14:textId="77777777" w:rsidR="003C7E8B" w:rsidRPr="00DB5D0D" w:rsidRDefault="003C7E8B" w:rsidP="00DB5D0D">
      <w:pPr>
        <w:pStyle w:val="af2"/>
        <w:jc w:val="both"/>
        <w:rPr>
          <w:i w:val="0"/>
          <w:iCs w:val="0"/>
          <w:color w:val="000000" w:themeColor="text1"/>
          <w:spacing w:val="0"/>
          <w:kern w:val="0"/>
          <w:position w:val="0"/>
          <w:sz w:val="16"/>
          <w:szCs w:val="16"/>
          <w:lang w:val="ru-RU"/>
        </w:rPr>
      </w:pPr>
      <w:r w:rsidRPr="00DB5D0D">
        <w:rPr>
          <w:i w:val="0"/>
          <w:iCs w:val="0"/>
          <w:color w:val="000000" w:themeColor="text1"/>
          <w:spacing w:val="0"/>
          <w:kern w:val="0"/>
          <w:position w:val="0"/>
          <w:sz w:val="16"/>
          <w:szCs w:val="16"/>
          <w:lang w:val="ru-RU"/>
        </w:rPr>
        <w:lastRenderedPageBreak/>
        <w:t>В августе 1940 года было принято решение о возобновлении строительства Бакальского завода в 1941 году. Еще в течение года решался вопрос с площадкой, пока 12 июня 1941 года специальным постановлением СНК И ЦК ВКП (б) не было решено начать в конце 1941 года строительство Бакальского (на Першинской площадке) и Новотагильского металлургических заводов. Мощность первой очереди Бакальского завода должна была составить 600 тыс. тонн чугуна и 150 тыс. тонн стали в электросталеплавильном цехе (5 печей). Незакрытый вопрос с оборудованием для будущего предприятия решился сам собой: с сентября и октября 1941 года на площадку стали прибывать эшелоны с эвакуированными мощностями Алчевского металлургического завода, Электростали, завода "Красный октябрь" (Сталинград), Новолипецкого металлургического завода, Запорожстали. В декабре строительство Бакальского завода (как Нижнетагильского металлургического и Богословского алюминиевого) было передано Управлению особого строительства НКВД (выступившее подрядчиком Наркомата черной металлургии), которое позже (в 1942 году) переименовали в Главпромстрой НКВД. С 7 августа 1942 года во всех официальных документах появляется Челябинский металлургический завод и, соответственно, Челябметаллургстрой. Строительство с начала 1942 годом также велось Востокметаллургстроем и Востокметаллургмонтажем. Основной рабочей силой ударной стройки, которую планировали завершить в рекордно короткие сроки, были - помимо мобилизованных рабочих и эвакуированных специалистов - "трудармейцы" и заключенные Бакаллага (действовал с января 1942 года, в августе 1942 года был переименован в Челяблаг при Бакалстрое Челябметаллургстроя НКВД СССР). Всего на конец 1942 года в этом лагере числилось 4600 зэков. К 1 января 1944 года их число выросло до 11,5 тыс. человек. Лагерь входил в систему Главпромстроя НКВД СССР, в 40-е годы у него было 8 основных объектов на Урале. На конец 1942 года в Главпромстрое НКВД на Урале числилось до 80 тыс. зэков (более 52% от их общей численности по стране в этом управлении). На 1 мая на Урале зэков Главпромстроя числилось около 55 тыс. человек. "Трудармейцами" в большинстве своем были репрессированные большевиками советские немцы и их статус, а также существование ничем не отличались от того, что было у "подопечных" системы ГУЛАГа (тем более, что трудармейцы располагались в лагпунктах ГУЛАГа и также охранялись) (11572).</w:t>
      </w:r>
    </w:p>
    <w:p w14:paraId="0FB92060" w14:textId="77777777" w:rsidR="003C7E8B" w:rsidRPr="00DB5D0D" w:rsidRDefault="003C7E8B" w:rsidP="00DB5D0D">
      <w:pPr>
        <w:pStyle w:val="af2"/>
        <w:jc w:val="both"/>
        <w:rPr>
          <w:i w:val="0"/>
          <w:iCs w:val="0"/>
          <w:color w:val="000000" w:themeColor="text1"/>
          <w:spacing w:val="0"/>
          <w:kern w:val="0"/>
          <w:position w:val="0"/>
          <w:sz w:val="16"/>
          <w:szCs w:val="16"/>
          <w:lang w:val="ru-RU"/>
        </w:rPr>
      </w:pPr>
    </w:p>
    <w:p w14:paraId="4C1BAF6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на заводе 5 начали проектиро</w:t>
      </w:r>
      <w:r w:rsidRPr="00DB5D0D">
        <w:rPr>
          <w:rFonts w:ascii="Times New Roman" w:hAnsi="Times New Roman"/>
          <w:color w:val="000000" w:themeColor="text1"/>
          <w:sz w:val="16"/>
          <w:szCs w:val="16"/>
        </w:rPr>
        <w:softHyphen/>
        <w:t>вание нового типа катера для пограничников. В задании было предусмотрено усиление артиллерийского вооружения путем заме</w:t>
      </w:r>
      <w:r w:rsidRPr="00DB5D0D">
        <w:rPr>
          <w:rFonts w:ascii="Times New Roman" w:hAnsi="Times New Roman"/>
          <w:color w:val="000000" w:themeColor="text1"/>
          <w:sz w:val="16"/>
          <w:szCs w:val="16"/>
        </w:rPr>
        <w:softHyphen/>
        <w:t>ны одной 45-мм пушки на 76-мм и доведение дальности плавания до 700—1000 миль с перспективой установки дизельных двига</w:t>
      </w:r>
      <w:r w:rsidRPr="00DB5D0D">
        <w:rPr>
          <w:rFonts w:ascii="Times New Roman" w:hAnsi="Times New Roman"/>
          <w:color w:val="000000" w:themeColor="text1"/>
          <w:sz w:val="16"/>
          <w:szCs w:val="16"/>
        </w:rPr>
        <w:softHyphen/>
        <w:t>телей (3898).</w:t>
      </w:r>
    </w:p>
    <w:p w14:paraId="5D24186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4CC8B3B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катер Г-8 катер в состав флота, но, несмотря на достижение заданных параметров, серийное строительство так и не началось. Причиной этого можно считать морально устаревшую концепцию катера, желобные аппараты и реданные обводы, снижавшие мореходность (6002).</w:t>
      </w:r>
    </w:p>
    <w:p w14:paraId="4AA2F88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92426D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года лидер катеров Г-8 вступил в строй флота. Несмотр на удовлетворительные результаты испытаний, ВМФ отказался от серийной постройки глиссирующих катеров-лидеров. Это послужило причиной свертывания всех работ по следующему проекту — Г-9, в котором предусматривалось бортовое сбрасывание торпед, устраняющее важный недостаток желобных аппаратов: невозможность стрельбы при нулевом или малых ходах. В это же время были прекращены и работы по Г-10 (104) - малому катеру с бортовым сбрасыванием торпед и защитой рубки и моторного отсека противопульной броней. Причиной отказа флота от таких судов была сравнительно низкая мореходность глисснрующнх катеров, делавшая их малопригодными для Тихоокеанского и в особенности Северного морских театров (10261).</w:t>
      </w:r>
    </w:p>
    <w:p w14:paraId="2AF3900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CE928A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прошла испытания единая аппаратуру ВУ катеров - «Кварц-Янтарь». Количество катеров «ВУ» на флотах не превышало двух десятков на каждом театре, около трети составляли «ветераны» Ш-4. Все работы по монтажу аппаратуры телеуправления выполнял завод №192. Эксплуатация катеров этого типа была довольно непростой. Сложная электромеханическая система телеуправления требовала постоянного тщательного ухода в условиях всепроникающей влажности. Процент отказов был весьма велик (6002).</w:t>
      </w:r>
    </w:p>
    <w:p w14:paraId="77CA16F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DEE7D5"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6870868E"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F556DEC"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В августе 1940 года оставшиеся в ВВС РККА 11 штурмо</w:t>
      </w:r>
      <w:r w:rsidRPr="00DB5D0D">
        <w:rPr>
          <w:rFonts w:ascii="Times New Roman" w:hAnsi="Times New Roman"/>
          <w:color w:val="0070C0"/>
          <w:sz w:val="16"/>
          <w:szCs w:val="16"/>
          <w:lang w:eastAsia="ru-RU" w:bidi="ru-RU"/>
        </w:rPr>
        <w:softHyphen/>
        <w:t>вых полков на</w:t>
      </w:r>
      <w:r w:rsidRPr="00DB5D0D">
        <w:rPr>
          <w:rFonts w:ascii="Times New Roman" w:hAnsi="Times New Roman"/>
          <w:color w:val="0070C0"/>
          <w:sz w:val="16"/>
          <w:szCs w:val="16"/>
          <w:lang w:eastAsia="ru-RU" w:bidi="ru-RU"/>
        </w:rPr>
        <w:softHyphen/>
        <w:t>звали новой аббревиатурой ШАП (штурмо</w:t>
      </w:r>
      <w:r w:rsidRPr="00DB5D0D">
        <w:rPr>
          <w:rFonts w:ascii="Times New Roman" w:hAnsi="Times New Roman"/>
          <w:color w:val="0070C0"/>
          <w:sz w:val="16"/>
          <w:szCs w:val="16"/>
          <w:lang w:eastAsia="ru-RU" w:bidi="ru-RU"/>
        </w:rPr>
        <w:softHyphen/>
        <w:t>вой авиационный полк). Вместе с переиме</w:t>
      </w:r>
      <w:r w:rsidRPr="00DB5D0D">
        <w:rPr>
          <w:rFonts w:ascii="Times New Roman" w:hAnsi="Times New Roman"/>
          <w:color w:val="0070C0"/>
          <w:sz w:val="16"/>
          <w:szCs w:val="16"/>
          <w:lang w:eastAsia="ru-RU" w:bidi="ru-RU"/>
        </w:rPr>
        <w:softHyphen/>
        <w:t>нованием поменялась и структура - по ново</w:t>
      </w:r>
      <w:r w:rsidRPr="00DB5D0D">
        <w:rPr>
          <w:rFonts w:ascii="Times New Roman" w:hAnsi="Times New Roman"/>
          <w:color w:val="0070C0"/>
          <w:sz w:val="16"/>
          <w:szCs w:val="16"/>
          <w:lang w:eastAsia="ru-RU" w:bidi="ru-RU"/>
        </w:rPr>
        <w:softHyphen/>
        <w:t>му штату теперь в каждом полку все пять эс</w:t>
      </w:r>
      <w:r w:rsidRPr="00DB5D0D">
        <w:rPr>
          <w:rFonts w:ascii="Times New Roman" w:hAnsi="Times New Roman"/>
          <w:color w:val="0070C0"/>
          <w:sz w:val="16"/>
          <w:szCs w:val="16"/>
          <w:lang w:eastAsia="ru-RU" w:bidi="ru-RU"/>
        </w:rPr>
        <w:softHyphen/>
        <w:t>кадрилий должны были быть штурмовыми, по 12 боевых самолетов в каждой, еще 3 - в управлении полка, и 15 в резерве, а всего 78 штурмовиков.</w:t>
      </w:r>
    </w:p>
    <w:p w14:paraId="2B66A9B0"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lang w:eastAsia="ru-RU" w:bidi="ru-RU"/>
        </w:rPr>
        <w:t>Так как производство нового ударного са</w:t>
      </w:r>
      <w:r w:rsidRPr="00DB5D0D">
        <w:rPr>
          <w:rFonts w:ascii="Times New Roman" w:hAnsi="Times New Roman"/>
          <w:color w:val="0070C0"/>
          <w:sz w:val="16"/>
          <w:szCs w:val="16"/>
          <w:lang w:eastAsia="ru-RU" w:bidi="ru-RU"/>
        </w:rPr>
        <w:softHyphen/>
        <w:t>молета все еще задерживалось, то в качестве временной замены перспективному штурмо</w:t>
      </w:r>
      <w:r w:rsidRPr="00DB5D0D">
        <w:rPr>
          <w:rFonts w:ascii="Times New Roman" w:hAnsi="Times New Roman"/>
          <w:color w:val="0070C0"/>
          <w:sz w:val="16"/>
          <w:szCs w:val="16"/>
          <w:lang w:eastAsia="ru-RU" w:bidi="ru-RU"/>
        </w:rPr>
        <w:softHyphen/>
        <w:t>вику было принято решение перевооружить штурмовые полки на устаревший истреби</w:t>
      </w:r>
      <w:r w:rsidRPr="00DB5D0D">
        <w:rPr>
          <w:rFonts w:ascii="Times New Roman" w:hAnsi="Times New Roman"/>
          <w:color w:val="0070C0"/>
          <w:sz w:val="16"/>
          <w:szCs w:val="16"/>
          <w:lang w:eastAsia="ru-RU" w:bidi="ru-RU"/>
        </w:rPr>
        <w:softHyphen/>
        <w:t>тель И-15бис, снимаемый с вооружения ча</w:t>
      </w:r>
      <w:r w:rsidRPr="00DB5D0D">
        <w:rPr>
          <w:rFonts w:ascii="Times New Roman" w:hAnsi="Times New Roman"/>
          <w:color w:val="0070C0"/>
          <w:sz w:val="16"/>
          <w:szCs w:val="16"/>
          <w:lang w:eastAsia="ru-RU" w:bidi="ru-RU"/>
        </w:rPr>
        <w:softHyphen/>
        <w:t>стей истребительной авиации. Этот процесс начался еще в 1939 году, однако сравнитель</w:t>
      </w:r>
      <w:r w:rsidRPr="00DB5D0D">
        <w:rPr>
          <w:rFonts w:ascii="Times New Roman" w:hAnsi="Times New Roman"/>
          <w:color w:val="0070C0"/>
          <w:sz w:val="16"/>
          <w:szCs w:val="16"/>
          <w:lang w:eastAsia="ru-RU" w:bidi="ru-RU"/>
        </w:rPr>
        <w:softHyphen/>
        <w:t>но быстро смогли укомплектовать только во</w:t>
      </w:r>
      <w:r w:rsidRPr="00DB5D0D">
        <w:rPr>
          <w:rFonts w:ascii="Times New Roman" w:hAnsi="Times New Roman"/>
          <w:color w:val="0070C0"/>
          <w:sz w:val="16"/>
          <w:szCs w:val="16"/>
          <w:lang w:eastAsia="ru-RU" w:bidi="ru-RU"/>
        </w:rPr>
        <w:softHyphen/>
        <w:t>семь полков: 64-й, 65-й, 66-й, 74-й, 75-й, 76-й, 77-й и 78-й ШАП. Еще три не удалось перево</w:t>
      </w:r>
      <w:r w:rsidRPr="00DB5D0D">
        <w:rPr>
          <w:rFonts w:ascii="Times New Roman" w:hAnsi="Times New Roman"/>
          <w:color w:val="0070C0"/>
          <w:sz w:val="16"/>
          <w:szCs w:val="16"/>
          <w:lang w:eastAsia="ru-RU" w:bidi="ru-RU"/>
        </w:rPr>
        <w:softHyphen/>
        <w:t>оружить даже к 1 сентября 1940 года: в 61-й ШАП еще служили Р-5ССС, 106-й ШАП про</w:t>
      </w:r>
      <w:r w:rsidRPr="00DB5D0D">
        <w:rPr>
          <w:rFonts w:ascii="Times New Roman" w:hAnsi="Times New Roman"/>
          <w:color w:val="0070C0"/>
          <w:sz w:val="16"/>
          <w:szCs w:val="16"/>
          <w:lang w:eastAsia="ru-RU" w:bidi="ru-RU"/>
        </w:rPr>
        <w:softHyphen/>
        <w:t>должал летать на Ди-6, 62-й ШАП только что сдал свои Р-5ССС, а в его боевом составе чис</w:t>
      </w:r>
      <w:r w:rsidRPr="00DB5D0D">
        <w:rPr>
          <w:rFonts w:ascii="Times New Roman" w:hAnsi="Times New Roman"/>
          <w:color w:val="0070C0"/>
          <w:sz w:val="16"/>
          <w:szCs w:val="16"/>
          <w:lang w:eastAsia="ru-RU" w:bidi="ru-RU"/>
        </w:rPr>
        <w:softHyphen/>
        <w:t>лилось лишь 20 И-15бис. В итоге 61-й и 62-й ШАП в конце 1940, а 106-й ШАП - в начале 1941 года, вместо И-15бис получили на во</w:t>
      </w:r>
      <w:r w:rsidRPr="00DB5D0D">
        <w:rPr>
          <w:rFonts w:ascii="Times New Roman" w:hAnsi="Times New Roman"/>
          <w:color w:val="0070C0"/>
          <w:sz w:val="16"/>
          <w:szCs w:val="16"/>
          <w:lang w:eastAsia="ru-RU" w:bidi="ru-RU"/>
        </w:rPr>
        <w:softHyphen/>
        <w:t>оружение более современные самолеты И- 153 «Чайка». Весь остальной антиквариат части списали с баланса (в основном Р-5ССС, Р-Зет и Р-10 пошли на укомплектование кор</w:t>
      </w:r>
      <w:r w:rsidRPr="00DB5D0D">
        <w:rPr>
          <w:rFonts w:ascii="Times New Roman" w:hAnsi="Times New Roman"/>
          <w:color w:val="0070C0"/>
          <w:sz w:val="16"/>
          <w:szCs w:val="16"/>
          <w:lang w:eastAsia="ru-RU" w:bidi="ru-RU"/>
        </w:rPr>
        <w:softHyphen/>
        <w:t>пусных разведывательных эскадрилий и лет</w:t>
      </w:r>
      <w:r w:rsidRPr="00DB5D0D">
        <w:rPr>
          <w:rFonts w:ascii="Times New Roman" w:hAnsi="Times New Roman"/>
          <w:color w:val="0070C0"/>
          <w:sz w:val="16"/>
          <w:szCs w:val="16"/>
          <w:lang w:eastAsia="ru-RU" w:bidi="ru-RU"/>
        </w:rPr>
        <w:softHyphen/>
        <w:t>ных школ) (21289).</w:t>
      </w:r>
    </w:p>
    <w:p w14:paraId="1C888C32" w14:textId="77777777" w:rsidR="0087242E" w:rsidRPr="00DB5D0D" w:rsidRDefault="0087242E" w:rsidP="00DB5D0D">
      <w:pPr>
        <w:spacing w:after="0" w:line="240" w:lineRule="auto"/>
        <w:jc w:val="both"/>
        <w:rPr>
          <w:rFonts w:ascii="Times New Roman" w:hAnsi="Times New Roman"/>
          <w:color w:val="0070C0"/>
          <w:sz w:val="16"/>
          <w:szCs w:val="16"/>
        </w:rPr>
      </w:pPr>
    </w:p>
    <w:p w14:paraId="3FE6EDE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на ТБ-3 имитировался захват аэродрома Мигалово под Калининым (ныне Тверь). Привлекались два полка -3-й и 7-й ТБАП. Сначала 26 ТБ-3 высадили батальон парашютистов, затем им сбросили грузы с трех Р-5. Один ТБ-3 выбросил на парашютах также два мотоцикла и два грузовых мешка. Парашютисты «захватили» аэродром и начали принимать посадочный десант. С самолетов выгрузили девять танков Т-37А и две артиллерийских батареи - 76-мм и 45-мм пушек (9964).</w:t>
      </w:r>
    </w:p>
    <w:p w14:paraId="194245A3"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E763BF5"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в последних крупных предвоенных маневрах воздушно-де</w:t>
      </w:r>
      <w:r w:rsidRPr="00DB5D0D">
        <w:rPr>
          <w:rFonts w:ascii="Times New Roman" w:hAnsi="Times New Roman"/>
          <w:color w:val="000000" w:themeColor="text1"/>
          <w:sz w:val="16"/>
          <w:szCs w:val="16"/>
        </w:rPr>
        <w:softHyphen/>
        <w:t>сантных войск уча</w:t>
      </w:r>
      <w:r w:rsidRPr="00DB5D0D">
        <w:rPr>
          <w:rFonts w:ascii="Times New Roman" w:hAnsi="Times New Roman"/>
          <w:color w:val="000000" w:themeColor="text1"/>
          <w:sz w:val="16"/>
          <w:szCs w:val="16"/>
        </w:rPr>
        <w:softHyphen/>
        <w:t>ствовали только устаревшие гофри</w:t>
      </w:r>
      <w:r w:rsidRPr="00DB5D0D">
        <w:rPr>
          <w:rFonts w:ascii="Times New Roman" w:hAnsi="Times New Roman"/>
          <w:color w:val="000000" w:themeColor="text1"/>
          <w:sz w:val="16"/>
          <w:szCs w:val="16"/>
        </w:rPr>
        <w:softHyphen/>
        <w:t>рованные гиганты ТБ-3. На учениях имитировался захват аэродрома Мигалово под Калининым (ныне Тверь). Привлекались два авиационных пол</w:t>
      </w:r>
      <w:r w:rsidRPr="00DB5D0D">
        <w:rPr>
          <w:rFonts w:ascii="Times New Roman" w:hAnsi="Times New Roman"/>
          <w:color w:val="000000" w:themeColor="text1"/>
          <w:sz w:val="16"/>
          <w:szCs w:val="16"/>
        </w:rPr>
        <w:softHyphen/>
        <w:t>ка - 3-й и 7-й тбап. Сначала 26 ТБ-3 высадили батальон парашютистов, затем им сбросили грузы с трех Р-5. Один ТБ-3 выбросил на парашютах также два мотоцикла и два грузовых мешка. Парашютисты «захватили» аэродром и начали принимать поса</w:t>
      </w:r>
      <w:r w:rsidRPr="00DB5D0D">
        <w:rPr>
          <w:rFonts w:ascii="Times New Roman" w:hAnsi="Times New Roman"/>
          <w:color w:val="000000" w:themeColor="text1"/>
          <w:sz w:val="16"/>
          <w:szCs w:val="16"/>
        </w:rPr>
        <w:softHyphen/>
        <w:t>дочный десант. С самолетов выгру</w:t>
      </w:r>
      <w:r w:rsidRPr="00DB5D0D">
        <w:rPr>
          <w:rFonts w:ascii="Times New Roman" w:hAnsi="Times New Roman"/>
          <w:color w:val="000000" w:themeColor="text1"/>
          <w:sz w:val="16"/>
          <w:szCs w:val="16"/>
        </w:rPr>
        <w:softHyphen/>
        <w:t>зили девять танков Т-37А и две арт-батареи - 76-мм и 45-мм пушек (10690).</w:t>
      </w:r>
    </w:p>
    <w:p w14:paraId="38E6F34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F0EE8DF"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августе I940 г. проходили последние маневры с участием Р-5 в высадке воздушного десанта проходили На аэродроме Мигалово под Калинином (ныне Тверь) с ТБ-3 выбросили батальон парашютистов, а Р-5 доставили им различные грузы. </w:t>
      </w:r>
    </w:p>
    <w:p w14:paraId="4A0867D6"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F8458C1"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Жизнь и внутренняя политика:</w:t>
      </w:r>
    </w:p>
    <w:p w14:paraId="534DC00D"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8CD87B0" w14:textId="77777777" w:rsidR="003966E3" w:rsidRPr="00DB5D0D" w:rsidRDefault="003966E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Август 1940. По решению исполкома Моссовета начали вводить форменную одежду для дворников: синие пиджак и брюки и такого же цвета фуражка с зеленым кантом (18701).</w:t>
      </w:r>
    </w:p>
    <w:p w14:paraId="2FDB6A64" w14:textId="77777777" w:rsidR="003966E3" w:rsidRPr="00DB5D0D" w:rsidRDefault="003966E3" w:rsidP="00DB5D0D">
      <w:pPr>
        <w:spacing w:after="0" w:line="240" w:lineRule="auto"/>
        <w:jc w:val="both"/>
        <w:rPr>
          <w:rFonts w:ascii="Times New Roman" w:hAnsi="Times New Roman"/>
          <w:color w:val="000000" w:themeColor="text1"/>
          <w:sz w:val="16"/>
          <w:szCs w:val="16"/>
        </w:rPr>
      </w:pPr>
    </w:p>
    <w:p w14:paraId="0F8D570C"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решением Верховного Совета СССР Литва, Латвия и Эстония были "приняты" в состав СССР. Акции Советского Союза в Прибалтике были лояльно встречены в Берлине. Однако демократические страны - США и Великобритания - не признали их законности (3871).</w:t>
      </w:r>
    </w:p>
    <w:p w14:paraId="3C511D3C"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EDB514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на базе слияния Приднестровской Республики с Бессарабией была создана Молдавская ССР. Северная Буковина была включена в состав Украины. При этом границы единой Молдавской ССР были проведены таким образом, что к Украинской ССР отошли южные прибрежные районы исторической Бессарабии. Новая республика не получила выхода к морю (3871).</w:t>
      </w:r>
    </w:p>
    <w:p w14:paraId="0EC9D96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0A5F84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2A323D38"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463523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начал летать немецкий вертолет Focke-Achgelis Fa-223. Хотели использовать во всех родах войск. Близь Берлина сделали фабрику с планом производства 400 в месяц, но до конца войны сделали всего 20 (4082).</w:t>
      </w:r>
    </w:p>
    <w:p w14:paraId="51556BF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51B7264"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августе 1940 г состоялся первый полет Fa.223, который планировалось использовать в вариантах противолодочного, разведывательного, спасательного, транспортного и учебного вертолета. Завод Фокке-Ахгелис в Бремене получил заказ на 30 опытных вертолетов. Фюзеляж состоял из четырех секций; носовая с большой площадью остекления, обеспечивавшей отличный обзор для пилота и наблюдателя. В правом борту грузового отсека была дверь. В нем располагались протектированные бензо- и маслобаки. Далее была двигательная секция, потом хвостовая. Фюзеляж был сварен из стальных труб и обшит тканью и листами легкого сплава в районе двигателя. Двигатель был 1000-сильный Брамо 323Q-3 Фафнир (в вертолетном варианте он получил обозначение ВМW 301R). Между двигательной секцией и соседними была 20 см щель, обеспечивающая поступление и выход охлаждающего воздуха. Выхлоп двигателя наверх-назад. Винты располагались на трубчатых подкосах. Для привода винтов использовался редуктор и удлиненные валы. На правом валу был тормоз винта. Передаточное число трансмиссии было </w:t>
      </w:r>
      <w:r w:rsidRPr="00DB5D0D">
        <w:rPr>
          <w:rFonts w:ascii="Times New Roman" w:hAnsi="Times New Roman"/>
          <w:color w:val="000000" w:themeColor="text1"/>
          <w:sz w:val="16"/>
          <w:szCs w:val="16"/>
        </w:rPr>
        <w:lastRenderedPageBreak/>
        <w:t>9,1:1, скорость вращения винтов 275 оборотов в минуту. Оси винтов были наклонены вовнутрь на 4,5° и чуть вперед. Лопасти винтов с вертикальными демпфированными шарнирами и шарнирами вращения. Инерционный демпфер гасил колебания автомата перекоса. Классическое оперение с подкосным стабилизатором использовалось только для управления по курсу. На основных стойках шасси колеса были с тормозами, а носовое колесо было свободноориентирующимся и могло поворачиваться на 360°. Продольное управление обеспечивалось циклическим изменением шага винта, боковое дифференцированным изменением шага винтов при даче соответствующей педали, при этом использовался руль направления. Угол установки стабилизатора можно было изменять в полете. Все управление было тросовым. В отличие от других вертолетов было только два положения ручки управления шагом для моторного полета и режима авторотации. Пилот не мог менять в полете шаг винта, а использовал только РУД это снижало безопасность полета и характеристики машины. В результате от пилота требовалось особое искусство для управления вертолетом в режиме висения и на малых скоростях, и не один Fa.223 был разбит во время порывов ветра при полетах вблизи земли. Оборудование могло меняться в зависимости от решаемых задач. Почти все варианты, за исключением учебного, должны были нести пулемет МG-15 в носовой части, радиостанцию FuG 17, высотомер FuG 101. Спасатель нес электролебедку, разведчик ручную фотокамеру. Под вертолет можно было подвесить 300 л сбрасываемый бак, а в противолодочном варианте две 250 кг глубинные бомбы. Транспортный вариант мог перевозить груз на внешней подвеске. В хвостовой части вертолета можно было также установить спасательную лодку. Из 30 предсерийных Fa.223 завод в Бремене успел до бомбежки выпустить только 10 машин остальные были уничтожены на разной степени готовности. Фирма перебралась в Лаупгейм, под Штутгартом. Там построили еще семь вертолетов. В начале 1942 г планировались войсковые испытания Fa.223, но реально к июлю 1942 г из-за различных проблем были летными только два вертолета. Успешные испытания Fa.223 и особенно его транспортный потенциал для снабжения сухопутных войск позволили заказать еще 100 машин, но из них были испытаны только восемь, а шесть было разбито во время налета союзников на Лаупгейм в июле 1944 г. Производство вновь пришлось восстанавливать, на этот раз в Берлине, с мощностью 400 вертолетов в месяц, но до конца года по этому плану удалось сдать только один вертолет. Несмотря на все усилия, одновременно летали только десять-одиннадцать Fa.223. Общий налет составил 400 часов, было покрыто до 10 000 км. Максимальный налет на одну машину составил 100 часов. Интересна судьба одного Fa.223 (#12): для спасения 17 человек, попавших под лавину на горе Блане, вертолет перелетел почти через всю Германию. К несчастью, из-за разрушения ротора машина провалилась вниз, и хотя приземлилась на колеса, вертолет перевернуло и экипаж погиб. Хотя Fa.223 был особенно эффективен при спасательных операциях, реально для таких задач он не использовался; иногда его применяли для транспортных перевозок. На апрель 1945 г в 40-й авиатранспортной эскадрилье были три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19003EBF"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2C02BB2A" w14:textId="77777777" w:rsidR="00AF2CB0" w:rsidRPr="00DB5D0D" w:rsidRDefault="00AF2CB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августе 1940 года Эрнст Хейнкель направил в Технический комитет Министерства авиации проект модификации только что начавшего летные испытания самолета He177V с увеличенными дальностью полета и бомбовой нагрузкой. Вместо двух двигателей DB606 он решил поставить четыре 12-цилиндровых DB603 или 14- цилиндровых BMW801. Но из-за увеличения веса, миделя и габаритов снижались скорость, высотность и маневренность, самолет терял способность бомбить с пикирования. Геринг персонально запретил Эрнсту Хейнкелю заниматься этим проектом.</w:t>
      </w:r>
    </w:p>
    <w:p w14:paraId="7FD2F96B" w14:textId="77777777" w:rsidR="00AF2CB0" w:rsidRPr="00DB5D0D" w:rsidRDefault="00AF2CB0"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Хейнкель распорядившись продолжать работу над бомбардировщиком с четырьмя более высокоресурсными двигателями, «спрятав» его под шифром Не177В. Это должно было символизировать «модификацию» серийного Не177, ведь игнорирование приказа самого Геринга было немалым риском в военное время. Для опытного Не177В-0 V101 взяли фюзеляж отлетавшего испытательную программу He177V15, прототипа серии Не177А-3, на который поставили кабину от He177V25. Увеличенное крыло изготовили «с нуля», поставив на нем четыре мотора DB603A-1 по 1750 л.с. на взлете и 1850 л.с. на высоте 2100 м. Самолет совершил первый полет 20 декабря 1943 года и показал вполне сносные летные качества. Пикировать, конечно, он не мог, да такая задача к тому моменту уже и не ставилась, горизонтальная маневренность хуже не стала, а скорость и высотность даже выросли по сравнению с исходным вариантом (22883).</w:t>
      </w:r>
    </w:p>
    <w:p w14:paraId="5BB782CB" w14:textId="77777777" w:rsidR="00AF2CB0" w:rsidRPr="00DB5D0D" w:rsidRDefault="00AF2CB0" w:rsidP="00DB5D0D">
      <w:pPr>
        <w:spacing w:after="0" w:line="240" w:lineRule="auto"/>
        <w:jc w:val="both"/>
        <w:rPr>
          <w:rFonts w:ascii="Times New Roman" w:hAnsi="Times New Roman"/>
          <w:color w:val="0070C0"/>
          <w:sz w:val="16"/>
          <w:szCs w:val="16"/>
        </w:rPr>
      </w:pPr>
    </w:p>
    <w:p w14:paraId="131FA0D9"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Август 1940 выполнил первый полет Mitsubishi Ki-57 (союзное название "Topsy") (20795).</w:t>
      </w:r>
    </w:p>
    <w:p w14:paraId="3F6A560F" w14:textId="77777777" w:rsidR="0087242E" w:rsidRPr="00DB5D0D" w:rsidRDefault="0087242E" w:rsidP="00DB5D0D">
      <w:pPr>
        <w:spacing w:after="0" w:line="240" w:lineRule="auto"/>
        <w:jc w:val="both"/>
        <w:rPr>
          <w:rFonts w:ascii="Times New Roman" w:hAnsi="Times New Roman"/>
          <w:color w:val="0070C0"/>
          <w:sz w:val="16"/>
          <w:szCs w:val="16"/>
        </w:rPr>
      </w:pPr>
    </w:p>
    <w:p w14:paraId="6D746440"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 xml:space="preserve">Август 1940 выполнил первый полет Накадзима Ки-44 Сёки («Убийца дьяволов»), союзники, сообщающие имя «Тодзё» (20795). </w:t>
      </w:r>
    </w:p>
    <w:p w14:paraId="2536CD2F" w14:textId="77777777" w:rsidR="0087242E" w:rsidRPr="00DB5D0D" w:rsidRDefault="0087242E" w:rsidP="00DB5D0D">
      <w:pPr>
        <w:spacing w:after="0" w:line="240" w:lineRule="auto"/>
        <w:jc w:val="both"/>
        <w:rPr>
          <w:rFonts w:ascii="Times New Roman" w:hAnsi="Times New Roman"/>
          <w:color w:val="0070C0"/>
          <w:sz w:val="16"/>
          <w:szCs w:val="16"/>
        </w:rPr>
      </w:pPr>
    </w:p>
    <w:p w14:paraId="3973E5C0" w14:textId="77777777" w:rsidR="00A15529" w:rsidRPr="00DB5D0D" w:rsidRDefault="00A15529"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генерал-майор Р. Томберг, начальник воздушной обо</w:t>
      </w:r>
      <w:r w:rsidRPr="00DB5D0D">
        <w:rPr>
          <w:rFonts w:ascii="Times New Roman" w:hAnsi="Times New Roman"/>
          <w:color w:val="000000" w:themeColor="text1"/>
          <w:sz w:val="16"/>
          <w:szCs w:val="16"/>
        </w:rPr>
        <w:softHyphen/>
      </w:r>
      <w:r w:rsidRPr="00DB5D0D">
        <w:rPr>
          <w:rStyle w:val="aff9"/>
          <w:rFonts w:ascii="Times New Roman" w:hAnsi="Times New Roman" w:cs="Times New Roman"/>
          <w:b w:val="0"/>
          <w:color w:val="000000" w:themeColor="text1"/>
          <w:spacing w:val="0"/>
          <w:sz w:val="16"/>
          <w:szCs w:val="16"/>
        </w:rPr>
        <w:t>роны</w:t>
      </w:r>
      <w:r w:rsidRPr="00DB5D0D">
        <w:rPr>
          <w:rFonts w:ascii="Times New Roman" w:hAnsi="Times New Roman"/>
          <w:color w:val="000000" w:themeColor="text1"/>
          <w:sz w:val="16"/>
          <w:szCs w:val="16"/>
        </w:rPr>
        <w:t xml:space="preserve"> Эстонской ССР, доносил в Москву: «В Яголе найдены интернированный польский </w:t>
      </w:r>
      <w:r w:rsidRPr="00DB5D0D">
        <w:rPr>
          <w:rStyle w:val="aff9"/>
          <w:rFonts w:ascii="Times New Roman" w:hAnsi="Times New Roman" w:cs="Times New Roman"/>
          <w:b w:val="0"/>
          <w:color w:val="000000" w:themeColor="text1"/>
          <w:spacing w:val="0"/>
          <w:sz w:val="16"/>
          <w:szCs w:val="16"/>
        </w:rPr>
        <w:t>«Локхид»</w:t>
      </w:r>
      <w:r w:rsidRPr="00DB5D0D">
        <w:rPr>
          <w:rFonts w:ascii="Times New Roman" w:hAnsi="Times New Roman"/>
          <w:color w:val="000000" w:themeColor="text1"/>
          <w:sz w:val="16"/>
          <w:szCs w:val="16"/>
        </w:rPr>
        <w:t xml:space="preserve"> и санитарный РВД». Это были </w:t>
      </w:r>
      <w:r w:rsidRPr="00DB5D0D">
        <w:rPr>
          <w:rFonts w:ascii="Times New Roman" w:hAnsi="Times New Roman"/>
          <w:color w:val="000000" w:themeColor="text1"/>
          <w:sz w:val="16"/>
          <w:szCs w:val="16"/>
          <w:lang w:val="en-US"/>
        </w:rPr>
        <w:t>L</w:t>
      </w:r>
      <w:r w:rsidRPr="00DB5D0D">
        <w:rPr>
          <w:rFonts w:ascii="Times New Roman" w:hAnsi="Times New Roman"/>
          <w:color w:val="000000" w:themeColor="text1"/>
          <w:sz w:val="16"/>
          <w:szCs w:val="16"/>
        </w:rPr>
        <w:t>-14</w:t>
      </w:r>
      <w:r w:rsidRPr="00DB5D0D">
        <w:rPr>
          <w:rFonts w:ascii="Times New Roman" w:hAnsi="Times New Roman"/>
          <w:color w:val="000000" w:themeColor="text1"/>
          <w:sz w:val="16"/>
          <w:szCs w:val="16"/>
          <w:lang w:val="en-US"/>
        </w:rPr>
        <w:t>H</w:t>
      </w:r>
      <w:r w:rsidRPr="00DB5D0D">
        <w:rPr>
          <w:rFonts w:ascii="Times New Roman" w:hAnsi="Times New Roman"/>
          <w:color w:val="000000" w:themeColor="text1"/>
          <w:sz w:val="16"/>
          <w:szCs w:val="16"/>
        </w:rPr>
        <w:t xml:space="preserve"> (</w:t>
      </w:r>
      <w:r w:rsidRPr="00DB5D0D">
        <w:rPr>
          <w:rFonts w:ascii="Times New Roman" w:hAnsi="Times New Roman"/>
          <w:color w:val="000000" w:themeColor="text1"/>
          <w:sz w:val="16"/>
          <w:szCs w:val="16"/>
          <w:lang w:val="en-US"/>
        </w:rPr>
        <w:t>SP</w:t>
      </w:r>
      <w:r w:rsidRPr="00DB5D0D">
        <w:rPr>
          <w:rFonts w:ascii="Times New Roman" w:hAnsi="Times New Roman"/>
          <w:color w:val="000000" w:themeColor="text1"/>
          <w:sz w:val="16"/>
          <w:szCs w:val="16"/>
        </w:rPr>
        <w:t>-</w:t>
      </w:r>
      <w:r w:rsidRPr="00DB5D0D">
        <w:rPr>
          <w:rFonts w:ascii="Times New Roman" w:hAnsi="Times New Roman"/>
          <w:color w:val="000000" w:themeColor="text1"/>
          <w:sz w:val="16"/>
          <w:szCs w:val="16"/>
          <w:lang w:val="en-US"/>
        </w:rPr>
        <w:t>BPN</w:t>
      </w:r>
      <w:r w:rsidRPr="00DB5D0D">
        <w:rPr>
          <w:rFonts w:ascii="Times New Roman" w:hAnsi="Times New Roman"/>
          <w:color w:val="000000" w:themeColor="text1"/>
          <w:sz w:val="16"/>
          <w:szCs w:val="16"/>
        </w:rPr>
        <w:t xml:space="preserve">) авиакомпании </w:t>
      </w:r>
      <w:r w:rsidRPr="00DB5D0D">
        <w:rPr>
          <w:rFonts w:ascii="Times New Roman" w:hAnsi="Times New Roman"/>
          <w:color w:val="000000" w:themeColor="text1"/>
          <w:sz w:val="16"/>
          <w:szCs w:val="16"/>
          <w:lang w:val="en-US"/>
        </w:rPr>
        <w:t>LOT</w:t>
      </w:r>
      <w:r w:rsidRPr="00DB5D0D">
        <w:rPr>
          <w:rFonts w:ascii="Times New Roman" w:hAnsi="Times New Roman"/>
          <w:color w:val="000000" w:themeColor="text1"/>
          <w:sz w:val="16"/>
          <w:szCs w:val="16"/>
        </w:rPr>
        <w:t xml:space="preserve"> и </w:t>
      </w:r>
      <w:r w:rsidRPr="00DB5D0D">
        <w:rPr>
          <w:rFonts w:ascii="Times New Roman" w:hAnsi="Times New Roman"/>
          <w:color w:val="000000" w:themeColor="text1"/>
          <w:sz w:val="16"/>
          <w:szCs w:val="16"/>
          <w:lang w:val="en-US"/>
        </w:rPr>
        <w:t>RWD</w:t>
      </w:r>
      <w:r w:rsidRPr="00DB5D0D">
        <w:rPr>
          <w:rFonts w:ascii="Times New Roman" w:hAnsi="Times New Roman"/>
          <w:color w:val="000000" w:themeColor="text1"/>
          <w:sz w:val="16"/>
          <w:szCs w:val="16"/>
        </w:rPr>
        <w:t>-13</w:t>
      </w:r>
      <w:r w:rsidRPr="00DB5D0D">
        <w:rPr>
          <w:rFonts w:ascii="Times New Roman" w:hAnsi="Times New Roman"/>
          <w:color w:val="000000" w:themeColor="text1"/>
          <w:sz w:val="16"/>
          <w:szCs w:val="16"/>
          <w:lang w:val="en-US"/>
        </w:rPr>
        <w:t>S</w:t>
      </w:r>
      <w:r w:rsidRPr="00DB5D0D">
        <w:rPr>
          <w:rFonts w:ascii="Times New Roman" w:hAnsi="Times New Roman"/>
          <w:color w:val="000000" w:themeColor="text1"/>
          <w:sz w:val="16"/>
          <w:szCs w:val="16"/>
        </w:rPr>
        <w:t xml:space="preserve">. </w:t>
      </w:r>
      <w:r w:rsidRPr="00DB5D0D">
        <w:rPr>
          <w:rStyle w:val="aff9"/>
          <w:rFonts w:ascii="Times New Roman" w:hAnsi="Times New Roman" w:cs="Times New Roman"/>
          <w:b w:val="0"/>
          <w:color w:val="000000" w:themeColor="text1"/>
          <w:spacing w:val="0"/>
          <w:sz w:val="16"/>
          <w:szCs w:val="16"/>
        </w:rPr>
        <w:t>Несколько</w:t>
      </w:r>
      <w:r w:rsidRPr="00DB5D0D">
        <w:rPr>
          <w:rFonts w:ascii="Times New Roman" w:hAnsi="Times New Roman"/>
          <w:color w:val="000000" w:themeColor="text1"/>
          <w:sz w:val="16"/>
          <w:szCs w:val="16"/>
          <w:lang w:val="en-US"/>
        </w:rPr>
        <w:t>RWD</w:t>
      </w:r>
      <w:r w:rsidRPr="00DB5D0D">
        <w:rPr>
          <w:rFonts w:ascii="Times New Roman" w:hAnsi="Times New Roman"/>
          <w:color w:val="000000" w:themeColor="text1"/>
          <w:sz w:val="16"/>
          <w:szCs w:val="16"/>
        </w:rPr>
        <w:t xml:space="preserve">-13 и много </w:t>
      </w:r>
      <w:r w:rsidRPr="00DB5D0D">
        <w:rPr>
          <w:rFonts w:ascii="Times New Roman" w:hAnsi="Times New Roman"/>
          <w:color w:val="000000" w:themeColor="text1"/>
          <w:sz w:val="16"/>
          <w:szCs w:val="16"/>
          <w:lang w:val="en-US"/>
        </w:rPr>
        <w:t>RWD</w:t>
      </w:r>
      <w:r w:rsidRPr="00DB5D0D">
        <w:rPr>
          <w:rFonts w:ascii="Times New Roman" w:hAnsi="Times New Roman"/>
          <w:color w:val="000000" w:themeColor="text1"/>
          <w:sz w:val="16"/>
          <w:szCs w:val="16"/>
        </w:rPr>
        <w:t>-8 обнаружили в Литве. Точное количество их устано</w:t>
      </w:r>
      <w:r w:rsidRPr="00DB5D0D">
        <w:rPr>
          <w:rFonts w:ascii="Times New Roman" w:hAnsi="Times New Roman"/>
          <w:color w:val="000000" w:themeColor="text1"/>
          <w:sz w:val="16"/>
          <w:szCs w:val="16"/>
        </w:rPr>
        <w:softHyphen/>
      </w:r>
      <w:r w:rsidRPr="00DB5D0D">
        <w:rPr>
          <w:rStyle w:val="aff9"/>
          <w:rFonts w:ascii="Times New Roman" w:hAnsi="Times New Roman" w:cs="Times New Roman"/>
          <w:b w:val="0"/>
          <w:color w:val="000000" w:themeColor="text1"/>
          <w:spacing w:val="0"/>
          <w:sz w:val="16"/>
          <w:szCs w:val="16"/>
        </w:rPr>
        <w:t>вить не</w:t>
      </w:r>
      <w:r w:rsidRPr="00DB5D0D">
        <w:rPr>
          <w:rFonts w:ascii="Times New Roman" w:hAnsi="Times New Roman"/>
          <w:color w:val="000000" w:themeColor="text1"/>
          <w:sz w:val="16"/>
          <w:szCs w:val="16"/>
        </w:rPr>
        <w:t xml:space="preserve"> удалось, поскольку все они вошли в графу «учебные разные» (15827).</w:t>
      </w:r>
    </w:p>
    <w:p w14:paraId="2E41D1B7"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7318A867"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В августе 1940 г. ведущий летчик-испытатель Генрих Диттмар, мировой рекордсмен — планерист, ставший виртуозом и в пилотировании «бесхвосток» Липпиша, впервые поднял в воздух DFS 194 с помощью ЖРД. В одном из полетов была достигнута скорость 550 км/ч, а продолжительность работы двигателя составила 150 секунд. Испытания машины проводились в Пенемюнде, в созданном в 1940 г. центре испытаний реактивных самолетов на аэродроме Карсхаген. По результатам проведенных испытаний RLM заказало Мессершмитту сначала два, а позднее еще четыре прототипа, получивших общее обозначение Ме 163А. Для будущего боевого варианта зарезервировали обозначение Ме 163В (22774).</w:t>
      </w:r>
    </w:p>
    <w:p w14:paraId="14016B8F" w14:textId="77777777" w:rsidR="0087242E" w:rsidRPr="00DB5D0D" w:rsidRDefault="0087242E" w:rsidP="00DB5D0D">
      <w:pPr>
        <w:spacing w:after="0" w:line="240" w:lineRule="auto"/>
        <w:jc w:val="both"/>
        <w:rPr>
          <w:rFonts w:ascii="Times New Roman" w:hAnsi="Times New Roman"/>
          <w:color w:val="0070C0"/>
          <w:sz w:val="16"/>
          <w:szCs w:val="16"/>
        </w:rPr>
      </w:pPr>
    </w:p>
    <w:p w14:paraId="2E17209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на полигоне Ракетного научно-исследовательского центра в Пенемюнде начались первые полеты на DFS 194 с ЖРД R 1-203 тягой 300 кгс А.Липпиша - будущего Ме-163. Достигли скорости 550 км/час по сравнению с 350 км/час у Не 176 с более мощным мотором (3973,20).</w:t>
      </w:r>
    </w:p>
    <w:p w14:paraId="484A02CB"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A59F997" w14:textId="77777777" w:rsidR="0020476B" w:rsidRPr="00DB5D0D" w:rsidRDefault="0020476B" w:rsidP="00DB5D0D">
      <w:pPr>
        <w:pStyle w:val="92"/>
        <w:shd w:val="clear" w:color="auto" w:fill="auto"/>
        <w:spacing w:after="0" w:line="240" w:lineRule="auto"/>
        <w:ind w:firstLine="0"/>
        <w:jc w:val="both"/>
        <w:rPr>
          <w:color w:val="000000" w:themeColor="text1"/>
          <w:sz w:val="16"/>
          <w:szCs w:val="16"/>
        </w:rPr>
      </w:pPr>
      <w:r w:rsidRPr="00DB5D0D">
        <w:rPr>
          <w:color w:val="000000" w:themeColor="text1"/>
          <w:sz w:val="16"/>
          <w:szCs w:val="16"/>
        </w:rPr>
        <w:t>В августе 1940 военные подписали контракт с «Боингом» на изготовление двух опытных машин ХВ-29 и в следующем месяце для подстраховки — с «Консолидейтед» (12292).</w:t>
      </w:r>
    </w:p>
    <w:p w14:paraId="48C8F983" w14:textId="77777777" w:rsidR="0020476B" w:rsidRPr="00DB5D0D" w:rsidRDefault="0020476B" w:rsidP="00DB5D0D">
      <w:pPr>
        <w:pStyle w:val="92"/>
        <w:shd w:val="clear" w:color="auto" w:fill="auto"/>
        <w:spacing w:after="0" w:line="240" w:lineRule="auto"/>
        <w:ind w:firstLine="0"/>
        <w:jc w:val="both"/>
        <w:rPr>
          <w:color w:val="000000" w:themeColor="text1"/>
          <w:sz w:val="16"/>
          <w:szCs w:val="16"/>
        </w:rPr>
      </w:pPr>
    </w:p>
    <w:p w14:paraId="35442CD8" w14:textId="77777777" w:rsidR="0087242E" w:rsidRPr="00DB5D0D" w:rsidRDefault="0087242E"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t>С августа 1940 года англичане обстреливали оккупированную французскую территорию с береговых стационарных установок в бухте Сент-Маргарет, графство Кент. Здесь работали две 356-мм морские пушки, прозванные «Винни» и «Пух». Обе могли забросить снаряды массой 721 кг на дальность 43,2 км. Для стрельбы по германским позициям у Кале англичане подтянули к Дувру и три 343-мм железнодорожные установки с дальностью стрельбы до 36,6 км. Некоторые источники утверждают, что ими использовалась и опытная 203-мм пушка, получившая прозвище «Брюс». Действительно, в начале 1943 года в Сент-Маргарет смонтировали одну из двух опытных 203-мм «высокоскоростных» пушек фирмы «Виккерс-Армстронг» с длиной ствола 90 калибров. Ее осколочный снаряд массой 116,3 кг с готовыми выступами при начальной скорости 1400 м/с на опытных стрельбах летел на дальность до 100,5 км (при проектной дальности 111 км). Однако данных о том, что пушка стреляла по германским позициям через Ла-Манш, не имеется (22870).</w:t>
      </w:r>
    </w:p>
    <w:p w14:paraId="13791E82" w14:textId="77777777" w:rsidR="0087242E" w:rsidRPr="00DB5D0D" w:rsidRDefault="0087242E" w:rsidP="00DB5D0D">
      <w:pPr>
        <w:spacing w:after="0" w:line="240" w:lineRule="auto"/>
        <w:jc w:val="both"/>
        <w:rPr>
          <w:rFonts w:ascii="Times New Roman" w:hAnsi="Times New Roman"/>
          <w:color w:val="0070C0"/>
          <w:sz w:val="16"/>
          <w:szCs w:val="16"/>
        </w:rPr>
      </w:pPr>
    </w:p>
    <w:p w14:paraId="6118E064"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начались британско-иракские переговоры, в ходе которых был выдвинут план панарабистов, и просьба о предоставлении военной помощи для переоснащения иракской армии. В случае согласия Великобритании на это, иракское правительство брало на себя обязательство объявить войну странам оси и направить свои войска для участия в боевых действиях в Северной Африке. Требования панарабистов были Великобританией отвергнуты. Их попытки привлечь на свою сторону США не увенчались успехом (3871).</w:t>
      </w:r>
    </w:p>
    <w:p w14:paraId="1265595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52004A3"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1940 г. японское правительство во главе с принцем Коноэ огласило официальное заявление об "установлении нового порядка в Великой Восточной Азии", содержавшее заявку на создание сферы японского влияния, включающей в себя Индокитай, Голландскую Ост-Индию, Малайю, Бирму и Филиппины. Устремления Японии определили японскую позицию на переговорах с Германией и Италией о подготовке к заключению "Тройственного пакта".</w:t>
      </w:r>
    </w:p>
    <w:p w14:paraId="485ED25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Пользуясь заинтересованностью Германии в его подписании, японская дипломатия добилась поддержки Берлина в вопросе о расширении контроля Японии во Французском Индокитае (3871).</w:t>
      </w:r>
    </w:p>
    <w:p w14:paraId="78B8D189"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654B64DC" w14:textId="77777777" w:rsidR="003966E3" w:rsidRPr="00DB5D0D" w:rsidRDefault="003966E3"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186941F0" w14:textId="77777777" w:rsidR="003966E3" w:rsidRPr="00DB5D0D" w:rsidRDefault="003966E3" w:rsidP="00DB5D0D">
      <w:pPr>
        <w:spacing w:after="0" w:line="240" w:lineRule="auto"/>
        <w:jc w:val="both"/>
        <w:rPr>
          <w:rFonts w:ascii="Times New Roman" w:hAnsi="Times New Roman"/>
          <w:iCs/>
          <w:color w:val="000000" w:themeColor="text1"/>
          <w:sz w:val="16"/>
          <w:szCs w:val="16"/>
        </w:rPr>
      </w:pPr>
    </w:p>
    <w:p w14:paraId="19134AE3" w14:textId="77777777" w:rsidR="003966E3" w:rsidRPr="00DB5D0D" w:rsidRDefault="003966E3"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 – сентябре 1940 г. состоялись ходовые испытания опытных образцов воздухоочистителя для дизеля В-2 завода № 75, разработанного специалистами НИИ 1600, являвшегося опытной базой завода № 75, в танках Т-34 вместе с дизелями М-250 № 3 и № 4. На испытаниях воздухоочиститель ВФ-5 показал удовлетворительные результаты и был рекомендован заводом № 75 для установки в танк Т-34 вместо серийного воздухоочистителя завода № 183. Также в качестве замены серийного воздухоочистителя танка Т-34 в 1940 г. рассматривался и воздухоочиститель ВО-20, разработанный в 1939 г. в Ленинграде на заводе опытного машиностроения № 185 им. Кирова для танка А-20 (весной 1940 г. завод № 185 вошел в состав завода № 174) (19114).</w:t>
      </w:r>
    </w:p>
    <w:p w14:paraId="142CB0DF" w14:textId="77777777" w:rsidR="003966E3" w:rsidRPr="00DB5D0D" w:rsidRDefault="003966E3" w:rsidP="00DB5D0D">
      <w:pPr>
        <w:spacing w:after="0" w:line="240" w:lineRule="auto"/>
        <w:jc w:val="both"/>
        <w:rPr>
          <w:rFonts w:ascii="Times New Roman" w:hAnsi="Times New Roman"/>
          <w:color w:val="000000" w:themeColor="text1"/>
          <w:sz w:val="16"/>
          <w:szCs w:val="16"/>
        </w:rPr>
      </w:pPr>
    </w:p>
    <w:p w14:paraId="118A1CA7" w14:textId="77777777" w:rsidR="00A15529"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7A79EAA3" w14:textId="77777777" w:rsidR="00A15529" w:rsidRPr="00DB5D0D" w:rsidRDefault="00A15529" w:rsidP="00DB5D0D">
      <w:pPr>
        <w:spacing w:after="0" w:line="240" w:lineRule="auto"/>
        <w:jc w:val="both"/>
        <w:rPr>
          <w:rFonts w:ascii="Times New Roman" w:hAnsi="Times New Roman"/>
          <w:iCs/>
          <w:color w:val="000000" w:themeColor="text1"/>
          <w:sz w:val="16"/>
          <w:szCs w:val="16"/>
        </w:rPr>
      </w:pPr>
    </w:p>
    <w:p w14:paraId="19967AFE" w14:textId="77777777" w:rsidR="00ED025B" w:rsidRPr="00DB5D0D" w:rsidRDefault="00ED025B" w:rsidP="00DB5D0D">
      <w:pPr>
        <w:spacing w:after="0" w:line="240" w:lineRule="auto"/>
        <w:jc w:val="both"/>
        <w:rPr>
          <w:rFonts w:ascii="Times New Roman" w:hAnsi="Times New Roman"/>
          <w:color w:val="0070C0"/>
          <w:sz w:val="16"/>
          <w:szCs w:val="16"/>
        </w:rPr>
      </w:pPr>
      <w:r w:rsidRPr="00DB5D0D">
        <w:rPr>
          <w:rFonts w:ascii="Times New Roman" w:hAnsi="Times New Roman"/>
          <w:color w:val="0070C0"/>
          <w:sz w:val="16"/>
          <w:szCs w:val="16"/>
        </w:rPr>
        <w:lastRenderedPageBreak/>
        <w:t>В конце лета 1940 г. на построенных серийных аппара</w:t>
      </w:r>
      <w:r w:rsidRPr="00DB5D0D">
        <w:rPr>
          <w:rFonts w:ascii="Times New Roman" w:hAnsi="Times New Roman"/>
          <w:color w:val="0070C0"/>
          <w:sz w:val="16"/>
          <w:szCs w:val="16"/>
        </w:rPr>
        <w:softHyphen/>
        <w:t>тах А-7 приступили к проведению войсковых испытаний. Для этого все 5 новых автожиров перелетели в Житомир с про</w:t>
      </w:r>
      <w:r w:rsidRPr="00DB5D0D">
        <w:rPr>
          <w:rFonts w:ascii="Times New Roman" w:hAnsi="Times New Roman"/>
          <w:color w:val="0070C0"/>
          <w:sz w:val="16"/>
          <w:szCs w:val="16"/>
        </w:rPr>
        <w:softHyphen/>
        <w:t>межуточной посадкой в Брянске. Испытания прошли успеш</w:t>
      </w:r>
      <w:r w:rsidRPr="00DB5D0D">
        <w:rPr>
          <w:rFonts w:ascii="Times New Roman" w:hAnsi="Times New Roman"/>
          <w:color w:val="0070C0"/>
          <w:sz w:val="16"/>
          <w:szCs w:val="16"/>
        </w:rPr>
        <w:softHyphen/>
        <w:t>но и без происшествий. При обратном перелете на аэро</w:t>
      </w:r>
      <w:r w:rsidRPr="00DB5D0D">
        <w:rPr>
          <w:rFonts w:ascii="Times New Roman" w:hAnsi="Times New Roman"/>
          <w:color w:val="0070C0"/>
          <w:sz w:val="16"/>
          <w:szCs w:val="16"/>
        </w:rPr>
        <w:softHyphen/>
        <w:t>дром в Ухтомскую один А-7 совершил вынужденную посад</w:t>
      </w:r>
      <w:r w:rsidRPr="00DB5D0D">
        <w:rPr>
          <w:rFonts w:ascii="Times New Roman" w:hAnsi="Times New Roman"/>
          <w:color w:val="0070C0"/>
          <w:sz w:val="16"/>
          <w:szCs w:val="16"/>
        </w:rPr>
        <w:softHyphen/>
        <w:t>ку, в результате которой получил повреждения. Ремонт велся уже на территории нового опытного завода № 290, организованного еще в мае 1940 г. в районе подмосков</w:t>
      </w:r>
      <w:r w:rsidRPr="00DB5D0D">
        <w:rPr>
          <w:rFonts w:ascii="Times New Roman" w:hAnsi="Times New Roman"/>
          <w:color w:val="0070C0"/>
          <w:sz w:val="16"/>
          <w:szCs w:val="16"/>
        </w:rPr>
        <w:softHyphen/>
        <w:t>ной станции Ухтомская. В просторечье опытный завод и примыкающий к нему аэродром на многие годы получил название «Ухтомка» (20361).</w:t>
      </w:r>
    </w:p>
    <w:p w14:paraId="3CF92722" w14:textId="77777777" w:rsidR="00ED025B" w:rsidRPr="00DB5D0D" w:rsidRDefault="00ED025B" w:rsidP="00DB5D0D">
      <w:pPr>
        <w:shd w:val="clear" w:color="auto" w:fill="FFFFFF"/>
        <w:spacing w:after="0" w:line="240" w:lineRule="auto"/>
        <w:jc w:val="both"/>
        <w:rPr>
          <w:rFonts w:ascii="Times New Roman" w:hAnsi="Times New Roman"/>
          <w:color w:val="0070C0"/>
          <w:sz w:val="16"/>
          <w:szCs w:val="16"/>
        </w:rPr>
      </w:pPr>
    </w:p>
    <w:p w14:paraId="322B635B" w14:textId="77777777" w:rsidR="00A15529" w:rsidRPr="00DB5D0D" w:rsidRDefault="00A15529" w:rsidP="00DB5D0D">
      <w:pPr>
        <w:pStyle w:val="a3"/>
        <w:rPr>
          <w:color w:val="000000" w:themeColor="text1"/>
          <w:lang w:val="ru-RU"/>
        </w:rPr>
      </w:pPr>
      <w:r w:rsidRPr="00DB5D0D">
        <w:rPr>
          <w:color w:val="000000" w:themeColor="text1"/>
          <w:lang w:val="ru-RU"/>
        </w:rPr>
        <w:t>В конце лета 1940 г. пушка Таубина-Бабурина расценивалась как фаворит в развернувшемся соревновании. Мало того, что она была наиболее доведенной из трех указанных образцов (но это не значит, что у неё не имелось дефектов и недостатков), она была легче конкурентов при</w:t>
      </w:r>
      <w:r w:rsidRPr="00DB5D0D">
        <w:rPr>
          <w:color w:val="000000" w:themeColor="text1"/>
          <w:lang w:val="ru-RU"/>
        </w:rPr>
        <w:softHyphen/>
        <w:t>близительно на 15-20 кг. Снаряд массой 197 г (вдвое тяжелее снаряда ШВАК) ПТБ-23 от</w:t>
      </w:r>
      <w:r w:rsidRPr="00DB5D0D">
        <w:rPr>
          <w:color w:val="000000" w:themeColor="text1"/>
          <w:lang w:val="ru-RU"/>
        </w:rPr>
        <w:softHyphen/>
        <w:t>правляла к цели с начальной скоростью 900 м/с (на 100 м/с больше, чем у снаряда ШВАК). Осколочно-зажигательный снаряд снаряжался зажигательной смесью ДУ-5 (6,5 г), а так</w:t>
      </w:r>
      <w:r w:rsidRPr="00DB5D0D">
        <w:rPr>
          <w:color w:val="000000" w:themeColor="text1"/>
          <w:lang w:val="ru-RU"/>
        </w:rPr>
        <w:softHyphen/>
        <w:t>же тротил-гексогеновой смесью ТГ-60 (9,3 г). Бронебойный снаряд массой 195 г на рас</w:t>
      </w:r>
      <w:r w:rsidRPr="00DB5D0D">
        <w:rPr>
          <w:color w:val="000000" w:themeColor="text1"/>
          <w:lang w:val="ru-RU"/>
        </w:rPr>
        <w:softHyphen/>
        <w:t>стоянии 500 м пробивал 36...44 мм, а на расстоянии 1000 м — 28...34 мм брони, уста</w:t>
      </w:r>
      <w:r w:rsidRPr="00DB5D0D">
        <w:rPr>
          <w:color w:val="000000" w:themeColor="text1"/>
          <w:lang w:val="ru-RU"/>
        </w:rPr>
        <w:softHyphen/>
        <w:t>новленной по нормали к траектории. Столь мощным оружием руководители ВВС КА пла</w:t>
      </w:r>
      <w:r w:rsidRPr="00DB5D0D">
        <w:rPr>
          <w:color w:val="000000" w:themeColor="text1"/>
          <w:lang w:val="ru-RU"/>
        </w:rPr>
        <w:softHyphen/>
        <w:t>нировали оснастить самолёты нового поколения. В первую очередь речь шла о брониро</w:t>
      </w:r>
      <w:r w:rsidRPr="00DB5D0D">
        <w:rPr>
          <w:color w:val="000000" w:themeColor="text1"/>
          <w:lang w:val="ru-RU"/>
        </w:rPr>
        <w:softHyphen/>
        <w:t>ванном штурмовике, способном эффективно бороться с танками противника, а также об одномоторном истребителе (15787).</w:t>
      </w:r>
    </w:p>
    <w:p w14:paraId="458F6284" w14:textId="77777777" w:rsidR="00A15529" w:rsidRPr="00DB5D0D" w:rsidRDefault="00A15529" w:rsidP="00DB5D0D">
      <w:pPr>
        <w:spacing w:after="0" w:line="240" w:lineRule="auto"/>
        <w:jc w:val="both"/>
        <w:rPr>
          <w:rFonts w:ascii="Times New Roman" w:hAnsi="Times New Roman"/>
          <w:color w:val="000000" w:themeColor="text1"/>
          <w:sz w:val="16"/>
          <w:szCs w:val="16"/>
        </w:rPr>
      </w:pPr>
    </w:p>
    <w:p w14:paraId="28C32E3B"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62D163D3"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5EF800E" w14:textId="77777777" w:rsidR="003C7E8B" w:rsidRPr="00DB5D0D" w:rsidRDefault="003C7E8B" w:rsidP="00DB5D0D">
      <w:pPr>
        <w:pStyle w:val="a3"/>
        <w:rPr>
          <w:color w:val="000000" w:themeColor="text1"/>
          <w:lang w:val="ru-RU"/>
        </w:rPr>
      </w:pPr>
      <w:r w:rsidRPr="00DB5D0D">
        <w:rPr>
          <w:color w:val="000000" w:themeColor="text1"/>
          <w:lang w:val="ru-RU"/>
        </w:rPr>
        <w:t>Таким образом, к концу лета 1940 г. все претензии, выдвигаемые ГАБТУ в адрес завода №183 по соответствию производимых в 1940 г. танков Т-34 требованиям заказчика, были документально оформлены и согласованы обеими сторонами, а также зафиксированы сроки вне</w:t>
      </w:r>
      <w:r w:rsidRPr="00DB5D0D">
        <w:rPr>
          <w:color w:val="000000" w:themeColor="text1"/>
          <w:lang w:val="ru-RU"/>
        </w:rPr>
        <w:softHyphen/>
        <w:t>сения необходимых изменений в конструкцию машины (11939).</w:t>
      </w:r>
    </w:p>
    <w:p w14:paraId="201049DE" w14:textId="77777777" w:rsidR="003C7E8B" w:rsidRPr="00DB5D0D" w:rsidRDefault="003C7E8B" w:rsidP="00DB5D0D">
      <w:pPr>
        <w:pStyle w:val="a3"/>
        <w:rPr>
          <w:color w:val="000000" w:themeColor="text1"/>
          <w:lang w:val="ru-RU"/>
        </w:rPr>
      </w:pPr>
    </w:p>
    <w:p w14:paraId="2BEE86A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Армия:</w:t>
      </w:r>
    </w:p>
    <w:p w14:paraId="78B015DF"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1643F31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лета 1940 г. провели такие же сборы для частей Киевского, Белорусского и Ленинградского округов. В течение года провели более 130 учений разного уровня с применением пикировщиков (12021).</w:t>
      </w:r>
    </w:p>
    <w:p w14:paraId="47D276FA"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02B2DAF" w14:textId="77777777" w:rsidR="00E9111D"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За рубежом:</w:t>
      </w:r>
    </w:p>
    <w:p w14:paraId="43847CBF" w14:textId="77777777" w:rsidR="00E9111D" w:rsidRPr="00DB5D0D" w:rsidRDefault="00E9111D" w:rsidP="00DB5D0D">
      <w:pPr>
        <w:spacing w:after="0" w:line="240" w:lineRule="auto"/>
        <w:jc w:val="both"/>
        <w:rPr>
          <w:rFonts w:ascii="Times New Roman" w:hAnsi="Times New Roman"/>
          <w:iCs/>
          <w:color w:val="000000" w:themeColor="text1"/>
          <w:sz w:val="16"/>
          <w:szCs w:val="16"/>
        </w:rPr>
      </w:pPr>
    </w:p>
    <w:p w14:paraId="4CB29410" w14:textId="77777777" w:rsidR="00E9111D" w:rsidRPr="00DB5D0D" w:rsidRDefault="00E9111D"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конце лета 1940 года в США был создан Национальный научно-исследовательский комитет по вопросам обороны, которым была проведена беспримерная для США мобилизация научных кадров на государственные нужды в специально созданные новые исследовательские центры. Чтобы сберечь дефицитные материалы, был прекращен выпуск стандартных радиовещательных передатчиков. Было сокращено производство электронных ламп и катодно-лучевых трубок, а выпускать стали лишь несколько их стандартных типов, предназначавшихся для военных нужд. В результате деятельности комитета уже к началу 1941 года произошел быстрый скачок от выпуска простых вещательных радиоприемников к военной аппаратуре высокой точности, а уровень ее производства, несмотря на нехватку материалов, в конечном счете вырос во много раз. Важнейшую роль в этом сыграла стандартизация и унификация многих компонентов, и если, например, в начале 1942 года в аппаратуре Армии и ВМФ США использовались радиолампы 2300 типов, то к концу войны число типов ламп для аппаратуры военного назначения было снижено до 224 (15736).</w:t>
      </w:r>
    </w:p>
    <w:p w14:paraId="79E6FA22" w14:textId="77777777" w:rsidR="00E9111D" w:rsidRPr="00DB5D0D" w:rsidRDefault="00E9111D" w:rsidP="00DB5D0D">
      <w:pPr>
        <w:spacing w:after="0" w:line="240" w:lineRule="auto"/>
        <w:jc w:val="both"/>
        <w:rPr>
          <w:rFonts w:ascii="Times New Roman" w:hAnsi="Times New Roman"/>
          <w:color w:val="000000" w:themeColor="text1"/>
          <w:sz w:val="16"/>
          <w:szCs w:val="16"/>
        </w:rPr>
      </w:pPr>
    </w:p>
    <w:p w14:paraId="2D16DFC4"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Авиапромышленность:</w:t>
      </w:r>
    </w:p>
    <w:p w14:paraId="61932DF4"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6656DBFB"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C августа по декабрь 1940 проходили заводские испытания СБ РК (2090,232).</w:t>
      </w:r>
    </w:p>
    <w:p w14:paraId="2D420D11"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59FC19B2" w14:textId="77777777" w:rsidR="00A15529" w:rsidRPr="00DB5D0D" w:rsidRDefault="00A15529" w:rsidP="00DB5D0D">
      <w:pPr>
        <w:pStyle w:val="27"/>
        <w:shd w:val="clear" w:color="auto" w:fill="auto"/>
        <w:spacing w:after="0" w:line="240" w:lineRule="auto"/>
        <w:ind w:firstLine="0"/>
        <w:rPr>
          <w:rFonts w:ascii="Times New Roman" w:cs="Times New Roman"/>
          <w:color w:val="000000" w:themeColor="text1"/>
          <w:spacing w:val="0"/>
        </w:rPr>
      </w:pPr>
      <w:r w:rsidRPr="00DB5D0D">
        <w:rPr>
          <w:rFonts w:ascii="Times New Roman" w:cs="Times New Roman"/>
          <w:color w:val="000000" w:themeColor="text1"/>
          <w:spacing w:val="0"/>
        </w:rPr>
        <w:t>С августа по октябрь 1940 на рассмотрение экспертной комиссии НКАП представили свои про</w:t>
      </w:r>
      <w:r w:rsidRPr="00DB5D0D">
        <w:rPr>
          <w:rFonts w:ascii="Times New Roman" w:cs="Times New Roman"/>
          <w:color w:val="000000" w:themeColor="text1"/>
          <w:spacing w:val="0"/>
        </w:rPr>
        <w:softHyphen/>
        <w:t>екты двухмоторных тяжелых истреби</w:t>
      </w:r>
      <w:r w:rsidRPr="00DB5D0D">
        <w:rPr>
          <w:rFonts w:ascii="Times New Roman" w:cs="Times New Roman"/>
          <w:color w:val="000000" w:themeColor="text1"/>
          <w:spacing w:val="0"/>
        </w:rPr>
        <w:softHyphen/>
        <w:t>телей еще несколько авиационных кон</w:t>
      </w:r>
      <w:r w:rsidRPr="00DB5D0D">
        <w:rPr>
          <w:rFonts w:ascii="Times New Roman" w:cs="Times New Roman"/>
          <w:color w:val="000000" w:themeColor="text1"/>
          <w:spacing w:val="0"/>
        </w:rPr>
        <w:softHyphen/>
        <w:t>структоров, в том числе: М.Р. Бисноват (СК-3 2АМ-37), Н.И. Ефремов (ИП-2М- 106), В.Ф. Болховитинов (И-2М-105), П.Д. Грушин (ДИС-135 2АМ-37), А.И. Ми</w:t>
      </w:r>
      <w:r w:rsidRPr="00DB5D0D">
        <w:rPr>
          <w:rFonts w:ascii="Times New Roman" w:cs="Times New Roman"/>
          <w:color w:val="000000" w:themeColor="text1"/>
          <w:spacing w:val="0"/>
        </w:rPr>
        <w:softHyphen/>
        <w:t>коян (ДИС-200 2АМ-37), С.А. Кочеригин (ИТ-2АМ-37). Из них только самолеты Микояна и Грушина в дальнейшем вклю</w:t>
      </w:r>
      <w:r w:rsidRPr="00DB5D0D">
        <w:rPr>
          <w:rFonts w:ascii="Times New Roman" w:cs="Times New Roman"/>
          <w:color w:val="000000" w:themeColor="text1"/>
          <w:spacing w:val="0"/>
        </w:rPr>
        <w:softHyphen/>
        <w:t>чили в план опытного самолетостроения на 1941 г. Несколько позже поступили про</w:t>
      </w:r>
      <w:r w:rsidRPr="00DB5D0D">
        <w:rPr>
          <w:rFonts w:ascii="Times New Roman" w:cs="Times New Roman"/>
          <w:color w:val="000000" w:themeColor="text1"/>
          <w:spacing w:val="0"/>
        </w:rPr>
        <w:softHyphen/>
        <w:t>екты тяжелых истребителей П.О. Су</w:t>
      </w:r>
      <w:r w:rsidRPr="00DB5D0D">
        <w:rPr>
          <w:rFonts w:ascii="Times New Roman" w:cs="Times New Roman"/>
          <w:color w:val="000000" w:themeColor="text1"/>
          <w:spacing w:val="0"/>
        </w:rPr>
        <w:softHyphen/>
        <w:t>хого (ДИ 2АМ-37), В.В. Никитина (ДИС 2АМ-37), В.К. Таирова (ОКО-7 2АМ-37 и ОКО-9 4М-107), а также С.А. Коче- ригина (ДИС-2АМ-37) (15755).</w:t>
      </w:r>
    </w:p>
    <w:p w14:paraId="3772974F" w14:textId="77777777" w:rsidR="00A15529" w:rsidRPr="00DB5D0D" w:rsidRDefault="00A15529" w:rsidP="00DB5D0D">
      <w:pPr>
        <w:pStyle w:val="27"/>
        <w:shd w:val="clear" w:color="auto" w:fill="auto"/>
        <w:spacing w:after="0" w:line="240" w:lineRule="auto"/>
        <w:ind w:firstLine="0"/>
        <w:rPr>
          <w:rFonts w:ascii="Times New Roman" w:cs="Times New Roman"/>
          <w:color w:val="000000" w:themeColor="text1"/>
          <w:spacing w:val="0"/>
        </w:rPr>
      </w:pPr>
    </w:p>
    <w:p w14:paraId="42237CC7"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августе-ноябре 1940 проходили войсковые испытания 20-мм синхронных пушек ШВАК на самолетах И-153 (И-153 с мотором М-63 и двумя пушками ШВАК обозна</w:t>
      </w:r>
      <w:r w:rsidRPr="00DB5D0D">
        <w:rPr>
          <w:rFonts w:ascii="Times New Roman" w:hAnsi="Times New Roman"/>
          <w:color w:val="000000" w:themeColor="text1"/>
          <w:sz w:val="16"/>
          <w:szCs w:val="16"/>
        </w:rPr>
        <w:softHyphen/>
        <w:t>чались как И-153П, иногда И-153ПС) показали хорошие результаты. «Самолеты испытания выдержали и могут быть приняты на вооружение ВВС КА», - говорилось в итоговом документе (10667).</w:t>
      </w:r>
    </w:p>
    <w:p w14:paraId="6676B848"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738881C3" w14:textId="77777777" w:rsidR="003C7E8B" w:rsidRPr="00DB5D0D" w:rsidRDefault="00B30AFA" w:rsidP="00DB5D0D">
      <w:pPr>
        <w:spacing w:after="0" w:line="240" w:lineRule="auto"/>
        <w:jc w:val="both"/>
        <w:rPr>
          <w:rFonts w:ascii="Times New Roman" w:hAnsi="Times New Roman"/>
          <w:iCs/>
          <w:color w:val="000000" w:themeColor="text1"/>
          <w:sz w:val="16"/>
          <w:szCs w:val="16"/>
        </w:rPr>
      </w:pPr>
      <w:r w:rsidRPr="00DB5D0D">
        <w:rPr>
          <w:rFonts w:ascii="Times New Roman" w:hAnsi="Times New Roman"/>
          <w:i/>
          <w:iCs/>
          <w:color w:val="000000" w:themeColor="text1"/>
          <w:sz w:val="16"/>
          <w:szCs w:val="16"/>
        </w:rPr>
        <w:t>Другие оборонные отрасли:</w:t>
      </w:r>
    </w:p>
    <w:p w14:paraId="56E70D59" w14:textId="77777777" w:rsidR="003C7E8B" w:rsidRPr="00DB5D0D" w:rsidRDefault="003C7E8B" w:rsidP="00DB5D0D">
      <w:pPr>
        <w:spacing w:after="0" w:line="240" w:lineRule="auto"/>
        <w:jc w:val="both"/>
        <w:rPr>
          <w:rFonts w:ascii="Times New Roman" w:hAnsi="Times New Roman"/>
          <w:iCs/>
          <w:color w:val="000000" w:themeColor="text1"/>
          <w:sz w:val="16"/>
          <w:szCs w:val="16"/>
        </w:rPr>
      </w:pPr>
    </w:p>
    <w:p w14:paraId="78F804BE"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августе-сентябре 1940 г. испытания дизеля, рассчитанного на повышенный ресурс 250 часов, предназначавшийся для "тридцатьчетверки" и получивший обозначение М-250 закончились серьезными поломками обоих моторов (9023).</w:t>
      </w:r>
    </w:p>
    <w:p w14:paraId="5DDADF10"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0AC5456" w14:textId="77777777" w:rsidR="006D5885" w:rsidRPr="00DB5D0D" w:rsidRDefault="006D5885"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 xml:space="preserve">В августе – сентябре 1940 г. во время испытаний литых траков на гарантийный километраж, проведенных одновременно с государственными испытаниями дизеля М-250, все литые траки бездефектно проработали до 600 – 700 км, а часть траков выдержала испытание на дистанции в два раза большей. Однако из-за недостаточного гарантийного срока службы литые траки производства СТЗ руководством АБТУ РККА в 1940 г. не были утверждены для серийного производства. Но, исходя из экономических и технологических соображений, а также в надежде на то, что металлургам СТЗ удастся в кратчайшие сроки улучшить качество литых траков и добиться требуемых показателей по гарантийному ресурсу (до 2000 км), до конца 1940 г. на машины установочной партии и все серийные танки Т-34, вместо утвержденных АБТУ РККА штампованных устанавливались литые траки производства СТЗ, изготовленные по чертежам 34.44.004 и 34.44.005 (18076). </w:t>
      </w:r>
    </w:p>
    <w:p w14:paraId="5E2C33D1" w14:textId="77777777" w:rsidR="006D5885" w:rsidRPr="00DB5D0D" w:rsidRDefault="006D5885" w:rsidP="00DB5D0D">
      <w:pPr>
        <w:spacing w:after="0" w:line="240" w:lineRule="auto"/>
        <w:jc w:val="both"/>
        <w:rPr>
          <w:rFonts w:ascii="Times New Roman" w:hAnsi="Times New Roman"/>
          <w:color w:val="000000" w:themeColor="text1"/>
          <w:sz w:val="16"/>
          <w:szCs w:val="16"/>
        </w:rPr>
      </w:pPr>
    </w:p>
    <w:p w14:paraId="60CCCB31"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августе-сентябре 1940 появились опытные образцы танка Т-126СП первой и второй модификации - предшественника Т-50 завода № 174. Тогда же разработали проект легкого танка Т-118Т для десантных операций (9527,67).</w:t>
      </w:r>
    </w:p>
    <w:p w14:paraId="2B9BF0B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186E7520"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августе-сентябре 1940 прошла испытания опытная группа телетанков Т-38-ТТ (танк + танк управления - га 2000-2500 м), разработанная в 1939 в НИИ-20 НКАП на базе Т-38 с пулеметом и огнеметным оборудованием завода Компрессор (9527,203).</w:t>
      </w:r>
    </w:p>
    <w:p w14:paraId="608FFB87"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0EB15F02"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августе-сентябре 1940 прошла испытания опытная группа телетанков Т-20 (ТТ-20 и ТУ-20) (танк + танк управления - на 2000-2500 м), разработанная в 1939 в НИИ-20 НКАП на базе бронированного трактора Комсомолец с пулеметом огнеметным оборудованием завода Компрессор (9527,203).</w:t>
      </w:r>
    </w:p>
    <w:p w14:paraId="459697F5" w14:textId="77777777" w:rsidR="003C7E8B" w:rsidRPr="00DB5D0D" w:rsidRDefault="003C7E8B" w:rsidP="00DB5D0D">
      <w:pPr>
        <w:spacing w:after="0" w:line="240" w:lineRule="auto"/>
        <w:jc w:val="both"/>
        <w:rPr>
          <w:rFonts w:ascii="Times New Roman" w:hAnsi="Times New Roman"/>
          <w:color w:val="000000" w:themeColor="text1"/>
          <w:sz w:val="16"/>
          <w:szCs w:val="16"/>
        </w:rPr>
      </w:pPr>
    </w:p>
    <w:p w14:paraId="3D506FBD"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В августе-сентябре 1940 техуправления НКВ и ГАУ под руководством Э. Сатэля провело расследование качества немецкой брони по результатам обстрелов на НИИБТ, которое показало следующее:</w:t>
      </w:r>
    </w:p>
    <w:p w14:paraId="51DB886A" w14:textId="77777777" w:rsidR="003C7E8B" w:rsidRPr="00DB5D0D" w:rsidRDefault="003C7E8B" w:rsidP="00DB5D0D">
      <w:pPr>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«...Обстрел из 45-мм пушки бронебойным снарядом брони немецкого среднего танка дает нам крайний случай пробития, т. к. указанная немецкая цементованная броня толщиной 32-мм равнопрочна 42-44-мм галогенной броне типа ИЗ. Таким образом, случаи обстрела борта танка под углом большим, чем 30 градусов, приводят к рикошету снарядов, тем более что по-вер)сностная твердость немецкой брони чрезвычайно высока...В данном же случае дело усугублено тем, что при стрель</w:t>
      </w:r>
      <w:r w:rsidRPr="00DB5D0D">
        <w:rPr>
          <w:rFonts w:ascii="Times New Roman" w:hAnsi="Times New Roman"/>
          <w:color w:val="000000" w:themeColor="text1"/>
          <w:sz w:val="16"/>
          <w:szCs w:val="16"/>
        </w:rPr>
        <w:softHyphen/>
        <w:t>бе использовались снаряды выпуска 1938 г. с некачественной термообработкой корпуса, которая в целях увеличения выхо</w:t>
      </w:r>
      <w:r w:rsidRPr="00DB5D0D">
        <w:rPr>
          <w:rFonts w:ascii="Times New Roman" w:hAnsi="Times New Roman"/>
          <w:color w:val="000000" w:themeColor="text1"/>
          <w:sz w:val="16"/>
          <w:szCs w:val="16"/>
        </w:rPr>
        <w:softHyphen/>
        <w:t>да велась по сокращенной программе... что привело к повы</w:t>
      </w:r>
      <w:r w:rsidRPr="00DB5D0D">
        <w:rPr>
          <w:rFonts w:ascii="Times New Roman" w:hAnsi="Times New Roman"/>
          <w:color w:val="000000" w:themeColor="text1"/>
          <w:sz w:val="16"/>
          <w:szCs w:val="16"/>
        </w:rPr>
        <w:softHyphen/>
        <w:t>шенной хрупкости корпуса снаряда и его раскалыванию при преодолении толстой брони высокой твердости.</w:t>
      </w:r>
    </w:p>
    <w:p w14:paraId="6E0D33C8"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Подробно о снарядах этой партии и решение по их изъя</w:t>
      </w:r>
      <w:r w:rsidRPr="00DB5D0D">
        <w:rPr>
          <w:rFonts w:ascii="Times New Roman" w:hAnsi="Times New Roman"/>
          <w:color w:val="000000" w:themeColor="text1"/>
          <w:sz w:val="16"/>
          <w:szCs w:val="16"/>
        </w:rPr>
        <w:softHyphen/>
        <w:t>тию из войск вам было доложено 21.06.1939...</w:t>
      </w:r>
    </w:p>
    <w:p w14:paraId="0B88615E"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Расследование убедительно показывает, что несмотря на указанное решение об изъятии, большое количество 45-мм бро</w:t>
      </w:r>
      <w:r w:rsidRPr="00DB5D0D">
        <w:rPr>
          <w:rFonts w:ascii="Times New Roman" w:hAnsi="Times New Roman"/>
          <w:color w:val="000000" w:themeColor="text1"/>
          <w:sz w:val="16"/>
          <w:szCs w:val="16"/>
        </w:rPr>
        <w:softHyphen/>
        <w:t>небойных снарядов отмеченной выше части, равно как и в со</w:t>
      </w:r>
      <w:r w:rsidRPr="00DB5D0D">
        <w:rPr>
          <w:rFonts w:ascii="Times New Roman" w:hAnsi="Times New Roman"/>
          <w:color w:val="000000" w:themeColor="text1"/>
          <w:sz w:val="16"/>
          <w:szCs w:val="16"/>
        </w:rPr>
        <w:softHyphen/>
        <w:t>седней, имеют такие же клейма и, видимо, тот же дефект... Таким образом, изъятия указанных снарядов из войск, выполне</w:t>
      </w:r>
      <w:r w:rsidRPr="00DB5D0D">
        <w:rPr>
          <w:rFonts w:ascii="Times New Roman" w:hAnsi="Times New Roman"/>
          <w:color w:val="000000" w:themeColor="text1"/>
          <w:sz w:val="16"/>
          <w:szCs w:val="16"/>
        </w:rPr>
        <w:softHyphen/>
        <w:t>но это до наст, времени не было, и снаряды выпуска 1938г. по сей день соседствуют с новыми нормального качества...</w:t>
      </w:r>
    </w:p>
    <w:p w14:paraId="0A0C013C" w14:textId="77777777" w:rsidR="003C7E8B" w:rsidRPr="00DB5D0D" w:rsidRDefault="003C7E8B" w:rsidP="00DB5D0D">
      <w:pPr>
        <w:shd w:val="clear" w:color="auto" w:fill="FFFFFF"/>
        <w:spacing w:after="0" w:line="240" w:lineRule="auto"/>
        <w:jc w:val="both"/>
        <w:rPr>
          <w:rFonts w:ascii="Times New Roman" w:hAnsi="Times New Roman"/>
          <w:color w:val="000000" w:themeColor="text1"/>
          <w:sz w:val="16"/>
          <w:szCs w:val="16"/>
        </w:rPr>
      </w:pPr>
      <w:r w:rsidRPr="00DB5D0D">
        <w:rPr>
          <w:rFonts w:ascii="Times New Roman" w:hAnsi="Times New Roman"/>
          <w:color w:val="000000" w:themeColor="text1"/>
          <w:sz w:val="16"/>
          <w:szCs w:val="16"/>
        </w:rPr>
        <w:t>При обстреле бронекорпуса танка на БТ-Полигоне ис</w:t>
      </w:r>
      <w:r w:rsidRPr="00DB5D0D">
        <w:rPr>
          <w:rFonts w:ascii="Times New Roman" w:hAnsi="Times New Roman"/>
          <w:color w:val="000000" w:themeColor="text1"/>
          <w:sz w:val="16"/>
          <w:szCs w:val="16"/>
        </w:rPr>
        <w:softHyphen/>
        <w:t>пользовались 45-мм БР.З. снаряды вып. 1940 г, свободные от указанного дефекта и полностью удовлетворяющие ТТТ...» (10782).</w:t>
      </w:r>
    </w:p>
    <w:p w14:paraId="0998031D" w14:textId="3117C7B8" w:rsidR="003366DD" w:rsidRPr="00DB5D0D" w:rsidRDefault="003366DD" w:rsidP="00DB5D0D">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sectPr w:rsidR="003366DD" w:rsidRPr="00DB5D0D" w:rsidSect="00E53FE5">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00"/>
    <w:family w:val="roman"/>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003" w:usb1="288F0000" w:usb2="00000016" w:usb3="00000000" w:csb0="00040001" w:csb1="00000000"/>
  </w:font>
  <w:font w:name="inherit">
    <w:altName w:val="Cambria"/>
    <w:panose1 w:val="00000000000000000000"/>
    <w:charset w:val="00"/>
    <w:family w:val="roman"/>
    <w:notTrueType/>
    <w:pitch w:val="default"/>
  </w:font>
  <w:font w:name="Lucida Console">
    <w:panose1 w:val="020B0609040504020204"/>
    <w:charset w:val="CC"/>
    <w:family w:val="modern"/>
    <w:pitch w:val="fixed"/>
    <w:sig w:usb0="8000028F" w:usb1="00001800" w:usb2="00000000" w:usb3="00000000" w:csb0="0000001F" w:csb1="00000000"/>
  </w:font>
  <w:font w:name="Franklin Gothic Heavy">
    <w:panose1 w:val="020B09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OfficinaSansC">
    <w:altName w:val="OfficinaSansC"/>
    <w:panose1 w:val="00000000000000000000"/>
    <w:charset w:val="CC"/>
    <w:family w:val="swiss"/>
    <w:notTrueType/>
    <w:pitch w:val="default"/>
    <w:sig w:usb0="00000201" w:usb1="00000000" w:usb2="00000000" w:usb3="00000000" w:csb0="00000004" w:csb1="00000000"/>
  </w:font>
  <w:font w:name="TimesNewRoman">
    <w:altName w:val="MS Mincho"/>
    <w:panose1 w:val="00000000000000000000"/>
    <w:charset w:val="80"/>
    <w:family w:val="auto"/>
    <w:notTrueType/>
    <w:pitch w:val="default"/>
    <w:sig w:usb0="00000001" w:usb1="08070000" w:usb2="00000010" w:usb3="00000000" w:csb0="00020000" w:csb1="00000000"/>
  </w:font>
  <w:font w:name="Nirmala UI">
    <w:panose1 w:val="020B0502040204020203"/>
    <w:charset w:val="00"/>
    <w:family w:val="swiss"/>
    <w:pitch w:val="variable"/>
    <w:sig w:usb0="80FF8023" w:usb1="0200004A" w:usb2="000002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3" type="#_x0000_t75" style="width:3in;height:3in" o:bullet="t"/>
    </w:pict>
  </w:numPicBullet>
  <w:abstractNum w:abstractNumId="0" w15:restartNumberingAfterBreak="0">
    <w:nsid w:val="FFFFFFFE"/>
    <w:multiLevelType w:val="singleLevel"/>
    <w:tmpl w:val="D35AA4A4"/>
    <w:lvl w:ilvl="0">
      <w:numFmt w:val="bullet"/>
      <w:lvlText w:val="*"/>
      <w:lvlJc w:val="left"/>
    </w:lvl>
  </w:abstractNum>
  <w:abstractNum w:abstractNumId="1" w15:restartNumberingAfterBreak="0">
    <w:nsid w:val="00000001"/>
    <w:multiLevelType w:val="multilevel"/>
    <w:tmpl w:val="00000000"/>
    <w:lvl w:ilvl="0">
      <w:start w:val="1"/>
      <w:numFmt w:val="bullet"/>
      <w:lvlText w:val="-"/>
      <w:lvlJc w:val="left"/>
      <w:rPr>
        <w:rFonts w:ascii="Arial Narrow" w:hAnsi="Arial Narrow" w:cs="Arial Narrow"/>
        <w:b w:val="0"/>
        <w:bCs w:val="0"/>
        <w:i/>
        <w:iCs/>
        <w:smallCaps w:val="0"/>
        <w:strike w:val="0"/>
        <w:color w:val="000000"/>
        <w:spacing w:val="0"/>
        <w:w w:val="100"/>
        <w:position w:val="0"/>
        <w:sz w:val="18"/>
        <w:szCs w:val="18"/>
        <w:u w:val="none"/>
      </w:rPr>
    </w:lvl>
    <w:lvl w:ilvl="1">
      <w:start w:val="1"/>
      <w:numFmt w:val="decimal"/>
      <w:lvlText w:val="%2."/>
      <w:lvlJc w:val="left"/>
      <w:rPr>
        <w:rFonts w:ascii="Arial Narrow" w:hAnsi="Arial Narrow" w:cs="Arial Narrow"/>
        <w:b w:val="0"/>
        <w:bCs w:val="0"/>
        <w:i/>
        <w:iCs/>
        <w:smallCaps w:val="0"/>
        <w:strike w:val="0"/>
        <w:color w:val="000000"/>
        <w:spacing w:val="0"/>
        <w:w w:val="100"/>
        <w:position w:val="0"/>
        <w:sz w:val="18"/>
        <w:szCs w:val="18"/>
        <w:u w:val="none"/>
      </w:rPr>
    </w:lvl>
    <w:lvl w:ilvl="2">
      <w:start w:val="1"/>
      <w:numFmt w:val="decimal"/>
      <w:lvlText w:val="%2."/>
      <w:lvlJc w:val="left"/>
      <w:rPr>
        <w:rFonts w:ascii="Arial Narrow" w:hAnsi="Arial Narrow" w:cs="Arial Narrow"/>
        <w:b w:val="0"/>
        <w:bCs w:val="0"/>
        <w:i/>
        <w:iCs/>
        <w:smallCaps w:val="0"/>
        <w:strike w:val="0"/>
        <w:color w:val="000000"/>
        <w:spacing w:val="0"/>
        <w:w w:val="100"/>
        <w:position w:val="0"/>
        <w:sz w:val="18"/>
        <w:szCs w:val="18"/>
        <w:u w:val="none"/>
      </w:rPr>
    </w:lvl>
    <w:lvl w:ilvl="3">
      <w:start w:val="1"/>
      <w:numFmt w:val="decimal"/>
      <w:lvlText w:val="%2."/>
      <w:lvlJc w:val="left"/>
      <w:rPr>
        <w:rFonts w:ascii="Arial Narrow" w:hAnsi="Arial Narrow" w:cs="Arial Narrow"/>
        <w:b w:val="0"/>
        <w:bCs w:val="0"/>
        <w:i/>
        <w:iCs/>
        <w:smallCaps w:val="0"/>
        <w:strike w:val="0"/>
        <w:color w:val="000000"/>
        <w:spacing w:val="0"/>
        <w:w w:val="100"/>
        <w:position w:val="0"/>
        <w:sz w:val="18"/>
        <w:szCs w:val="18"/>
        <w:u w:val="none"/>
      </w:rPr>
    </w:lvl>
    <w:lvl w:ilvl="4">
      <w:start w:val="1"/>
      <w:numFmt w:val="decimal"/>
      <w:lvlText w:val="%2."/>
      <w:lvlJc w:val="left"/>
      <w:rPr>
        <w:rFonts w:ascii="Arial Narrow" w:hAnsi="Arial Narrow" w:cs="Arial Narrow"/>
        <w:b w:val="0"/>
        <w:bCs w:val="0"/>
        <w:i/>
        <w:iCs/>
        <w:smallCaps w:val="0"/>
        <w:strike w:val="0"/>
        <w:color w:val="000000"/>
        <w:spacing w:val="0"/>
        <w:w w:val="100"/>
        <w:position w:val="0"/>
        <w:sz w:val="18"/>
        <w:szCs w:val="18"/>
        <w:u w:val="none"/>
      </w:rPr>
    </w:lvl>
    <w:lvl w:ilvl="5">
      <w:start w:val="1"/>
      <w:numFmt w:val="decimal"/>
      <w:lvlText w:val="%2."/>
      <w:lvlJc w:val="left"/>
      <w:rPr>
        <w:rFonts w:ascii="Arial Narrow" w:hAnsi="Arial Narrow" w:cs="Arial Narrow"/>
        <w:b w:val="0"/>
        <w:bCs w:val="0"/>
        <w:i/>
        <w:iCs/>
        <w:smallCaps w:val="0"/>
        <w:strike w:val="0"/>
        <w:color w:val="000000"/>
        <w:spacing w:val="0"/>
        <w:w w:val="100"/>
        <w:position w:val="0"/>
        <w:sz w:val="18"/>
        <w:szCs w:val="18"/>
        <w:u w:val="none"/>
      </w:rPr>
    </w:lvl>
    <w:lvl w:ilvl="6">
      <w:start w:val="1"/>
      <w:numFmt w:val="decimal"/>
      <w:lvlText w:val="%2."/>
      <w:lvlJc w:val="left"/>
      <w:rPr>
        <w:rFonts w:ascii="Arial Narrow" w:hAnsi="Arial Narrow" w:cs="Arial Narrow"/>
        <w:b w:val="0"/>
        <w:bCs w:val="0"/>
        <w:i/>
        <w:iCs/>
        <w:smallCaps w:val="0"/>
        <w:strike w:val="0"/>
        <w:color w:val="000000"/>
        <w:spacing w:val="0"/>
        <w:w w:val="100"/>
        <w:position w:val="0"/>
        <w:sz w:val="18"/>
        <w:szCs w:val="18"/>
        <w:u w:val="none"/>
      </w:rPr>
    </w:lvl>
    <w:lvl w:ilvl="7">
      <w:start w:val="1"/>
      <w:numFmt w:val="decimal"/>
      <w:lvlText w:val="%2."/>
      <w:lvlJc w:val="left"/>
      <w:rPr>
        <w:rFonts w:ascii="Arial Narrow" w:hAnsi="Arial Narrow" w:cs="Arial Narrow"/>
        <w:b w:val="0"/>
        <w:bCs w:val="0"/>
        <w:i/>
        <w:iCs/>
        <w:smallCaps w:val="0"/>
        <w:strike w:val="0"/>
        <w:color w:val="000000"/>
        <w:spacing w:val="0"/>
        <w:w w:val="100"/>
        <w:position w:val="0"/>
        <w:sz w:val="18"/>
        <w:szCs w:val="18"/>
        <w:u w:val="none"/>
      </w:rPr>
    </w:lvl>
    <w:lvl w:ilvl="8">
      <w:start w:val="1"/>
      <w:numFmt w:val="decimal"/>
      <w:lvlText w:val="%2."/>
      <w:lvlJc w:val="left"/>
      <w:rPr>
        <w:rFonts w:ascii="Arial Narrow" w:hAnsi="Arial Narrow" w:cs="Arial Narrow"/>
        <w:b w:val="0"/>
        <w:bCs w:val="0"/>
        <w:i/>
        <w:iCs/>
        <w:smallCaps w:val="0"/>
        <w:strike w:val="0"/>
        <w:color w:val="000000"/>
        <w:spacing w:val="0"/>
        <w:w w:val="100"/>
        <w:position w:val="0"/>
        <w:sz w:val="18"/>
        <w:szCs w:val="18"/>
        <w:u w:val="none"/>
      </w:rPr>
    </w:lvl>
  </w:abstractNum>
  <w:abstractNum w:abstractNumId="2" w15:restartNumberingAfterBreak="0">
    <w:nsid w:val="00000007"/>
    <w:multiLevelType w:val="multilevel"/>
    <w:tmpl w:val="00000006"/>
    <w:lvl w:ilvl="0">
      <w:start w:val="1"/>
      <w:numFmt w:val="bullet"/>
      <w:lvlText w:val="-"/>
      <w:lvlJc w:val="left"/>
      <w:rPr>
        <w:rFonts w:ascii="Arial Narrow" w:hAnsi="Arial Narrow" w:cs="Arial Narrow"/>
        <w:b w:val="0"/>
        <w:bCs w:val="0"/>
        <w:i/>
        <w:iCs/>
        <w:smallCaps w:val="0"/>
        <w:strike w:val="0"/>
        <w:color w:val="000000"/>
        <w:spacing w:val="0"/>
        <w:w w:val="100"/>
        <w:position w:val="0"/>
        <w:sz w:val="18"/>
        <w:szCs w:val="18"/>
        <w:u w:val="none"/>
      </w:rPr>
    </w:lvl>
    <w:lvl w:ilvl="1">
      <w:start w:val="1"/>
      <w:numFmt w:val="bullet"/>
      <w:lvlText w:val="-"/>
      <w:lvlJc w:val="left"/>
      <w:rPr>
        <w:rFonts w:ascii="Arial Narrow" w:hAnsi="Arial Narrow" w:cs="Arial Narrow"/>
        <w:b w:val="0"/>
        <w:bCs w:val="0"/>
        <w:i/>
        <w:iCs/>
        <w:smallCaps w:val="0"/>
        <w:strike w:val="0"/>
        <w:color w:val="000000"/>
        <w:spacing w:val="0"/>
        <w:w w:val="100"/>
        <w:position w:val="0"/>
        <w:sz w:val="18"/>
        <w:szCs w:val="18"/>
        <w:u w:val="none"/>
      </w:rPr>
    </w:lvl>
    <w:lvl w:ilvl="2">
      <w:start w:val="1"/>
      <w:numFmt w:val="bullet"/>
      <w:lvlText w:val="-"/>
      <w:lvlJc w:val="left"/>
      <w:rPr>
        <w:rFonts w:ascii="Arial Narrow" w:hAnsi="Arial Narrow" w:cs="Arial Narrow"/>
        <w:b w:val="0"/>
        <w:bCs w:val="0"/>
        <w:i/>
        <w:iCs/>
        <w:smallCaps w:val="0"/>
        <w:strike w:val="0"/>
        <w:color w:val="000000"/>
        <w:spacing w:val="0"/>
        <w:w w:val="100"/>
        <w:position w:val="0"/>
        <w:sz w:val="18"/>
        <w:szCs w:val="18"/>
        <w:u w:val="none"/>
      </w:rPr>
    </w:lvl>
    <w:lvl w:ilvl="3">
      <w:start w:val="1"/>
      <w:numFmt w:val="bullet"/>
      <w:lvlText w:val="-"/>
      <w:lvlJc w:val="left"/>
      <w:rPr>
        <w:rFonts w:ascii="Arial Narrow" w:hAnsi="Arial Narrow" w:cs="Arial Narrow"/>
        <w:b w:val="0"/>
        <w:bCs w:val="0"/>
        <w:i/>
        <w:iCs/>
        <w:smallCaps w:val="0"/>
        <w:strike w:val="0"/>
        <w:color w:val="000000"/>
        <w:spacing w:val="0"/>
        <w:w w:val="100"/>
        <w:position w:val="0"/>
        <w:sz w:val="18"/>
        <w:szCs w:val="18"/>
        <w:u w:val="none"/>
      </w:rPr>
    </w:lvl>
    <w:lvl w:ilvl="4">
      <w:start w:val="1"/>
      <w:numFmt w:val="bullet"/>
      <w:lvlText w:val="-"/>
      <w:lvlJc w:val="left"/>
      <w:rPr>
        <w:rFonts w:ascii="Arial Narrow" w:hAnsi="Arial Narrow" w:cs="Arial Narrow"/>
        <w:b w:val="0"/>
        <w:bCs w:val="0"/>
        <w:i/>
        <w:iCs/>
        <w:smallCaps w:val="0"/>
        <w:strike w:val="0"/>
        <w:color w:val="000000"/>
        <w:spacing w:val="0"/>
        <w:w w:val="100"/>
        <w:position w:val="0"/>
        <w:sz w:val="18"/>
        <w:szCs w:val="18"/>
        <w:u w:val="none"/>
      </w:rPr>
    </w:lvl>
    <w:lvl w:ilvl="5">
      <w:start w:val="1"/>
      <w:numFmt w:val="bullet"/>
      <w:lvlText w:val="-"/>
      <w:lvlJc w:val="left"/>
      <w:rPr>
        <w:rFonts w:ascii="Arial Narrow" w:hAnsi="Arial Narrow" w:cs="Arial Narrow"/>
        <w:b w:val="0"/>
        <w:bCs w:val="0"/>
        <w:i/>
        <w:iCs/>
        <w:smallCaps w:val="0"/>
        <w:strike w:val="0"/>
        <w:color w:val="000000"/>
        <w:spacing w:val="0"/>
        <w:w w:val="100"/>
        <w:position w:val="0"/>
        <w:sz w:val="18"/>
        <w:szCs w:val="18"/>
        <w:u w:val="none"/>
      </w:rPr>
    </w:lvl>
    <w:lvl w:ilvl="6">
      <w:start w:val="1"/>
      <w:numFmt w:val="bullet"/>
      <w:lvlText w:val="-"/>
      <w:lvlJc w:val="left"/>
      <w:rPr>
        <w:rFonts w:ascii="Arial Narrow" w:hAnsi="Arial Narrow" w:cs="Arial Narrow"/>
        <w:b w:val="0"/>
        <w:bCs w:val="0"/>
        <w:i/>
        <w:iCs/>
        <w:smallCaps w:val="0"/>
        <w:strike w:val="0"/>
        <w:color w:val="000000"/>
        <w:spacing w:val="0"/>
        <w:w w:val="100"/>
        <w:position w:val="0"/>
        <w:sz w:val="18"/>
        <w:szCs w:val="18"/>
        <w:u w:val="none"/>
      </w:rPr>
    </w:lvl>
    <w:lvl w:ilvl="7">
      <w:start w:val="1"/>
      <w:numFmt w:val="bullet"/>
      <w:lvlText w:val="-"/>
      <w:lvlJc w:val="left"/>
      <w:rPr>
        <w:rFonts w:ascii="Arial Narrow" w:hAnsi="Arial Narrow" w:cs="Arial Narrow"/>
        <w:b w:val="0"/>
        <w:bCs w:val="0"/>
        <w:i/>
        <w:iCs/>
        <w:smallCaps w:val="0"/>
        <w:strike w:val="0"/>
        <w:color w:val="000000"/>
        <w:spacing w:val="0"/>
        <w:w w:val="100"/>
        <w:position w:val="0"/>
        <w:sz w:val="18"/>
        <w:szCs w:val="18"/>
        <w:u w:val="none"/>
      </w:rPr>
    </w:lvl>
    <w:lvl w:ilvl="8">
      <w:start w:val="1"/>
      <w:numFmt w:val="bullet"/>
      <w:lvlText w:val="-"/>
      <w:lvlJc w:val="left"/>
      <w:rPr>
        <w:rFonts w:ascii="Arial Narrow" w:hAnsi="Arial Narrow" w:cs="Arial Narrow"/>
        <w:b w:val="0"/>
        <w:bCs w:val="0"/>
        <w:i/>
        <w:iCs/>
        <w:smallCaps w:val="0"/>
        <w:strike w:val="0"/>
        <w:color w:val="000000"/>
        <w:spacing w:val="0"/>
        <w:w w:val="100"/>
        <w:position w:val="0"/>
        <w:sz w:val="18"/>
        <w:szCs w:val="18"/>
        <w:u w:val="none"/>
      </w:rPr>
    </w:lvl>
  </w:abstractNum>
  <w:abstractNum w:abstractNumId="3" w15:restartNumberingAfterBreak="0">
    <w:nsid w:val="032C7018"/>
    <w:multiLevelType w:val="multilevel"/>
    <w:tmpl w:val="25FA4D2E"/>
    <w:lvl w:ilvl="0">
      <w:start w:val="1"/>
      <w:numFmt w:val="bullet"/>
      <w:lvlText w:val="-"/>
      <w:lvlJc w:val="left"/>
      <w:rPr>
        <w:rFonts w:ascii="Arial Narrow" w:eastAsia="Arial Narrow" w:hAnsi="Arial Narrow" w:cs="Arial Narrow"/>
        <w:b w:val="0"/>
        <w:bCs w:val="0"/>
        <w:i/>
        <w:iCs/>
        <w:smallCaps w:val="0"/>
        <w:strike w:val="0"/>
        <w:color w:val="000000"/>
        <w:spacing w:val="0"/>
        <w:w w:val="100"/>
        <w:position w:val="0"/>
        <w:sz w:val="17"/>
        <w:szCs w:val="17"/>
        <w:u w:val="none"/>
      </w:rPr>
    </w:lvl>
    <w:lvl w:ilvl="1">
      <w:numFmt w:val="decimal"/>
      <w:lvlText w:val="%2"/>
      <w:lvlJc w:val="left"/>
      <w:rPr>
        <w:rFonts w:ascii="Arial Narrow" w:eastAsia="Arial Narrow" w:hAnsi="Arial Narrow" w:cs="Arial Narrow"/>
        <w:b w:val="0"/>
        <w:bCs w:val="0"/>
        <w:i/>
        <w:iCs/>
        <w:smallCaps w:val="0"/>
        <w:strike w:val="0"/>
        <w:color w:val="000000"/>
        <w:spacing w:val="0"/>
        <w:w w:val="100"/>
        <w:position w:val="0"/>
        <w:sz w:val="17"/>
        <w:szCs w:val="1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4CC0048"/>
    <w:multiLevelType w:val="multilevel"/>
    <w:tmpl w:val="1F38F0B4"/>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9"/>
        <w:szCs w:val="19"/>
        <w:u w:val="none"/>
        <w:lang w:val="ru-RU"/>
      </w:rPr>
    </w:lvl>
    <w:lvl w:ilvl="1">
      <w:start w:val="1"/>
      <w:numFmt w:val="decimal"/>
      <w:lvlText w:val="%2."/>
      <w:lvlJc w:val="left"/>
      <w:rPr>
        <w:rFonts w:ascii="Arial Narrow" w:eastAsia="Arial Narrow" w:hAnsi="Arial Narrow" w:cs="Arial Narrow"/>
        <w:b w:val="0"/>
        <w:bCs w:val="0"/>
        <w:i/>
        <w:iCs/>
        <w:smallCaps w:val="0"/>
        <w:strike w:val="0"/>
        <w:color w:val="000000"/>
        <w:spacing w:val="0"/>
        <w:w w:val="100"/>
        <w:position w:val="0"/>
        <w:sz w:val="19"/>
        <w:szCs w:val="19"/>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BE254E3"/>
    <w:multiLevelType w:val="multilevel"/>
    <w:tmpl w:val="BCBAE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4E2E6F"/>
    <w:multiLevelType w:val="multilevel"/>
    <w:tmpl w:val="3A7AA6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1B0140F"/>
    <w:multiLevelType w:val="multilevel"/>
    <w:tmpl w:val="499A2B4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2">
      <w:start w:val="17"/>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3">
      <w:start w:val="2"/>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7">
      <w:start w:val="8"/>
      <w:numFmt w:val="upperLetter"/>
      <w:lvlText w:val="%8."/>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single"/>
      </w:rPr>
    </w:lvl>
    <w:lvl w:ilvl="8">
      <w:start w:val="2"/>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single"/>
      </w:rPr>
    </w:lvl>
  </w:abstractNum>
  <w:abstractNum w:abstractNumId="8" w15:restartNumberingAfterBreak="0">
    <w:nsid w:val="2E0A79DC"/>
    <w:multiLevelType w:val="multilevel"/>
    <w:tmpl w:val="72D48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E761A29"/>
    <w:multiLevelType w:val="multilevel"/>
    <w:tmpl w:val="8E0603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8E24937"/>
    <w:multiLevelType w:val="multilevel"/>
    <w:tmpl w:val="2BD623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9020DD1"/>
    <w:multiLevelType w:val="multilevel"/>
    <w:tmpl w:val="72F46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5804BEC"/>
    <w:multiLevelType w:val="multilevel"/>
    <w:tmpl w:val="E84EB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68149A5"/>
    <w:multiLevelType w:val="multilevel"/>
    <w:tmpl w:val="21AE5D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BD71651"/>
    <w:multiLevelType w:val="multilevel"/>
    <w:tmpl w:val="C2783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CB31BBE"/>
    <w:multiLevelType w:val="multilevel"/>
    <w:tmpl w:val="F99093CC"/>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9"/>
        <w:szCs w:val="19"/>
        <w:u w:val="none"/>
      </w:rPr>
    </w:lvl>
    <w:lvl w:ilvl="1">
      <w:start w:val="1"/>
      <w:numFmt w:val="decimal"/>
      <w:lvlText w:val="%2."/>
      <w:lvlJc w:val="left"/>
      <w:rPr>
        <w:rFonts w:ascii="Arial Narrow" w:eastAsia="Arial Narrow" w:hAnsi="Arial Narrow" w:cs="Arial Narrow"/>
        <w:b w:val="0"/>
        <w:bCs w:val="0"/>
        <w:i/>
        <w:iCs/>
        <w:smallCaps w:val="0"/>
        <w:strike w:val="0"/>
        <w:color w:val="000000"/>
        <w:spacing w:val="0"/>
        <w:w w:val="100"/>
        <w:position w:val="0"/>
        <w:sz w:val="19"/>
        <w:szCs w:val="19"/>
        <w:u w:val="none"/>
      </w:rPr>
    </w:lvl>
    <w:lvl w:ilvl="2">
      <w:start w:val="1"/>
      <w:numFmt w:val="decimal"/>
      <w:lvlText w:val="%3."/>
      <w:lvlJc w:val="left"/>
      <w:rPr>
        <w:rFonts w:ascii="Arial Narrow" w:eastAsia="Arial Narrow" w:hAnsi="Arial Narrow" w:cs="Arial Narrow"/>
        <w:b w:val="0"/>
        <w:bCs w:val="0"/>
        <w:i/>
        <w:iCs/>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5E621F80"/>
    <w:multiLevelType w:val="multilevel"/>
    <w:tmpl w:val="782C9E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00B4FBB"/>
    <w:multiLevelType w:val="multilevel"/>
    <w:tmpl w:val="1E2C073A"/>
    <w:lvl w:ilvl="0">
      <w:start w:val="1"/>
      <w:numFmt w:val="bullet"/>
      <w:lvlText w:val="-"/>
      <w:lvlJc w:val="left"/>
      <w:rPr>
        <w:rFonts w:ascii="Arial Narrow" w:eastAsia="Arial Narrow" w:hAnsi="Arial Narrow" w:cs="Arial Narrow"/>
        <w:b w:val="0"/>
        <w:bCs w:val="0"/>
        <w:i/>
        <w:iCs/>
        <w:smallCaps w:val="0"/>
        <w:strike w:val="0"/>
        <w:color w:val="000000"/>
        <w:spacing w:val="0"/>
        <w:w w:val="100"/>
        <w:position w:val="0"/>
        <w:sz w:val="19"/>
        <w:szCs w:val="19"/>
        <w:u w:val="none"/>
      </w:rPr>
    </w:lvl>
    <w:lvl w:ilvl="1">
      <w:start w:val="2"/>
      <w:numFmt w:val="decimal"/>
      <w:lvlText w:val="%2-"/>
      <w:lvlJc w:val="left"/>
      <w:rPr>
        <w:rFonts w:ascii="Arial Narrow" w:eastAsia="Arial Narrow" w:hAnsi="Arial Narrow" w:cs="Arial Narrow"/>
        <w:b w:val="0"/>
        <w:bCs w:val="0"/>
        <w:i/>
        <w:iCs/>
        <w:smallCaps w:val="0"/>
        <w:strike w:val="0"/>
        <w:color w:val="000000"/>
        <w:spacing w:val="0"/>
        <w:w w:val="100"/>
        <w:position w:val="0"/>
        <w:sz w:val="19"/>
        <w:szCs w:val="19"/>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2F92353"/>
    <w:multiLevelType w:val="multilevel"/>
    <w:tmpl w:val="E07A2C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739474F"/>
    <w:multiLevelType w:val="multilevel"/>
    <w:tmpl w:val="C3BA63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7394DC0"/>
    <w:multiLevelType w:val="multilevel"/>
    <w:tmpl w:val="F38CCC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8775C0E"/>
    <w:multiLevelType w:val="multilevel"/>
    <w:tmpl w:val="7DB4CD7C"/>
    <w:lvl w:ilvl="0">
      <w:start w:val="1"/>
      <w:numFmt w:val="decimal"/>
      <w:lvlText w:val="%1."/>
      <w:lvlJc w:val="left"/>
      <w:rPr>
        <w:rFonts w:ascii="Arial" w:eastAsia="Arial" w:hAnsi="Arial" w:cs="Arial"/>
        <w:b w:val="0"/>
        <w:bCs w:val="0"/>
        <w:i w:val="0"/>
        <w:iCs w:val="0"/>
        <w:smallCaps w:val="0"/>
        <w:strike w:val="0"/>
        <w:color w:val="000000"/>
        <w:spacing w:val="0"/>
        <w:w w:val="100"/>
        <w:position w:val="0"/>
        <w:sz w:val="16"/>
        <w:szCs w:val="1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75162D3D"/>
    <w:multiLevelType w:val="multilevel"/>
    <w:tmpl w:val="81762C20"/>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5910365"/>
    <w:multiLevelType w:val="multilevel"/>
    <w:tmpl w:val="21AE5D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0"/>
    <w:lvlOverride w:ilvl="0">
      <w:lvl w:ilvl="0">
        <w:start w:val="1"/>
        <w:numFmt w:val="bullet"/>
        <w:lvlText w:val="-"/>
        <w:legacy w:legacy="1" w:legacySpace="0" w:legacyIndent="360"/>
        <w:lvlJc w:val="left"/>
        <w:pPr>
          <w:ind w:left="360" w:hanging="360"/>
        </w:pPr>
        <w:rPr>
          <w:rFonts w:ascii="Times New Roman" w:hAnsi="Times New Roman" w:cs="Times New Roman" w:hint="default"/>
        </w:rPr>
      </w:lvl>
    </w:lvlOverride>
  </w:num>
  <w:num w:numId="3">
    <w:abstractNumId w:val="10"/>
  </w:num>
  <w:num w:numId="4">
    <w:abstractNumId w:val="13"/>
  </w:num>
  <w:num w:numId="5">
    <w:abstractNumId w:val="23"/>
  </w:num>
  <w:num w:numId="6">
    <w:abstractNumId w:val="22"/>
  </w:num>
  <w:num w:numId="7">
    <w:abstractNumId w:val="12"/>
  </w:num>
  <w:num w:numId="8">
    <w:abstractNumId w:val="1"/>
  </w:num>
  <w:num w:numId="9">
    <w:abstractNumId w:val="2"/>
  </w:num>
  <w:num w:numId="10">
    <w:abstractNumId w:val="3"/>
  </w:num>
  <w:num w:numId="11">
    <w:abstractNumId w:val="9"/>
  </w:num>
  <w:num w:numId="12">
    <w:abstractNumId w:val="20"/>
  </w:num>
  <w:num w:numId="13">
    <w:abstractNumId w:val="16"/>
  </w:num>
  <w:num w:numId="14">
    <w:abstractNumId w:val="21"/>
  </w:num>
  <w:num w:numId="15">
    <w:abstractNumId w:val="14"/>
  </w:num>
  <w:num w:numId="16">
    <w:abstractNumId w:val="5"/>
  </w:num>
  <w:num w:numId="17">
    <w:abstractNumId w:val="18"/>
  </w:num>
  <w:num w:numId="18">
    <w:abstractNumId w:val="8"/>
  </w:num>
  <w:num w:numId="19">
    <w:abstractNumId w:val="7"/>
  </w:num>
  <w:num w:numId="20">
    <w:abstractNumId w:val="15"/>
  </w:num>
  <w:num w:numId="21">
    <w:abstractNumId w:val="17"/>
  </w:num>
  <w:num w:numId="22">
    <w:abstractNumId w:val="4"/>
  </w:num>
  <w:num w:numId="23">
    <w:abstractNumId w:val="6"/>
  </w:num>
  <w:num w:numId="24">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hideGrammatical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5EF"/>
    <w:rsid w:val="00015826"/>
    <w:rsid w:val="00017EBE"/>
    <w:rsid w:val="0002327B"/>
    <w:rsid w:val="00025089"/>
    <w:rsid w:val="000321AF"/>
    <w:rsid w:val="00053C2F"/>
    <w:rsid w:val="00061FD4"/>
    <w:rsid w:val="00065021"/>
    <w:rsid w:val="00066B41"/>
    <w:rsid w:val="000701C9"/>
    <w:rsid w:val="00072647"/>
    <w:rsid w:val="000751B0"/>
    <w:rsid w:val="00086A69"/>
    <w:rsid w:val="00094AE4"/>
    <w:rsid w:val="000A2006"/>
    <w:rsid w:val="000A6785"/>
    <w:rsid w:val="000C1D82"/>
    <w:rsid w:val="000E5980"/>
    <w:rsid w:val="000E6EB8"/>
    <w:rsid w:val="000F30A8"/>
    <w:rsid w:val="000F7B83"/>
    <w:rsid w:val="00100A24"/>
    <w:rsid w:val="00105B0F"/>
    <w:rsid w:val="00105C40"/>
    <w:rsid w:val="00106B42"/>
    <w:rsid w:val="00112A14"/>
    <w:rsid w:val="001130F8"/>
    <w:rsid w:val="001138D8"/>
    <w:rsid w:val="00113D98"/>
    <w:rsid w:val="00114775"/>
    <w:rsid w:val="00121858"/>
    <w:rsid w:val="001236CC"/>
    <w:rsid w:val="00123DE0"/>
    <w:rsid w:val="0012513E"/>
    <w:rsid w:val="00127595"/>
    <w:rsid w:val="00132F9A"/>
    <w:rsid w:val="00133B2C"/>
    <w:rsid w:val="0013421D"/>
    <w:rsid w:val="00145AFC"/>
    <w:rsid w:val="00147062"/>
    <w:rsid w:val="00150B7E"/>
    <w:rsid w:val="00152A61"/>
    <w:rsid w:val="00153967"/>
    <w:rsid w:val="00156671"/>
    <w:rsid w:val="00156ED0"/>
    <w:rsid w:val="00166A21"/>
    <w:rsid w:val="00167809"/>
    <w:rsid w:val="0017030F"/>
    <w:rsid w:val="001722E4"/>
    <w:rsid w:val="00175890"/>
    <w:rsid w:val="00183238"/>
    <w:rsid w:val="00184BB3"/>
    <w:rsid w:val="001854FD"/>
    <w:rsid w:val="001858DE"/>
    <w:rsid w:val="00185F37"/>
    <w:rsid w:val="00185F69"/>
    <w:rsid w:val="0018628A"/>
    <w:rsid w:val="00194340"/>
    <w:rsid w:val="001A62E6"/>
    <w:rsid w:val="001A68A7"/>
    <w:rsid w:val="001C296F"/>
    <w:rsid w:val="001F4FAB"/>
    <w:rsid w:val="001F639A"/>
    <w:rsid w:val="001F7908"/>
    <w:rsid w:val="0020476B"/>
    <w:rsid w:val="00206FD6"/>
    <w:rsid w:val="00213252"/>
    <w:rsid w:val="002137E1"/>
    <w:rsid w:val="00214DEE"/>
    <w:rsid w:val="0021596E"/>
    <w:rsid w:val="00220CD9"/>
    <w:rsid w:val="00223180"/>
    <w:rsid w:val="002313B9"/>
    <w:rsid w:val="002330A8"/>
    <w:rsid w:val="002335F5"/>
    <w:rsid w:val="00235A50"/>
    <w:rsid w:val="00237152"/>
    <w:rsid w:val="00241463"/>
    <w:rsid w:val="002527AE"/>
    <w:rsid w:val="00260669"/>
    <w:rsid w:val="002627A1"/>
    <w:rsid w:val="0026491A"/>
    <w:rsid w:val="002650F5"/>
    <w:rsid w:val="00271122"/>
    <w:rsid w:val="002768B5"/>
    <w:rsid w:val="00276DCC"/>
    <w:rsid w:val="00283569"/>
    <w:rsid w:val="00297B06"/>
    <w:rsid w:val="002A7B0F"/>
    <w:rsid w:val="002B13D2"/>
    <w:rsid w:val="002B1DF4"/>
    <w:rsid w:val="002B5FF3"/>
    <w:rsid w:val="002C17DA"/>
    <w:rsid w:val="002D432D"/>
    <w:rsid w:val="002D4461"/>
    <w:rsid w:val="002D6121"/>
    <w:rsid w:val="002D6636"/>
    <w:rsid w:val="002E01E1"/>
    <w:rsid w:val="002E24E6"/>
    <w:rsid w:val="002E682E"/>
    <w:rsid w:val="0030438F"/>
    <w:rsid w:val="00304726"/>
    <w:rsid w:val="00310E80"/>
    <w:rsid w:val="00312320"/>
    <w:rsid w:val="00312B5A"/>
    <w:rsid w:val="003302F0"/>
    <w:rsid w:val="003312FF"/>
    <w:rsid w:val="003366DD"/>
    <w:rsid w:val="00340A68"/>
    <w:rsid w:val="003544E2"/>
    <w:rsid w:val="00363293"/>
    <w:rsid w:val="00375E43"/>
    <w:rsid w:val="00382475"/>
    <w:rsid w:val="003834E8"/>
    <w:rsid w:val="0038388D"/>
    <w:rsid w:val="00392001"/>
    <w:rsid w:val="00395AD3"/>
    <w:rsid w:val="003966E3"/>
    <w:rsid w:val="003A2A19"/>
    <w:rsid w:val="003B6509"/>
    <w:rsid w:val="003B6C79"/>
    <w:rsid w:val="003C0C51"/>
    <w:rsid w:val="003C2797"/>
    <w:rsid w:val="003C3183"/>
    <w:rsid w:val="003C5DC3"/>
    <w:rsid w:val="003C7236"/>
    <w:rsid w:val="003C7E8B"/>
    <w:rsid w:val="003E0642"/>
    <w:rsid w:val="003E442B"/>
    <w:rsid w:val="003F15FA"/>
    <w:rsid w:val="003F2E2D"/>
    <w:rsid w:val="003F3824"/>
    <w:rsid w:val="003F50A2"/>
    <w:rsid w:val="00400268"/>
    <w:rsid w:val="00400B9A"/>
    <w:rsid w:val="00403D39"/>
    <w:rsid w:val="004075DF"/>
    <w:rsid w:val="004104D7"/>
    <w:rsid w:val="00413CD7"/>
    <w:rsid w:val="00415C9A"/>
    <w:rsid w:val="00416045"/>
    <w:rsid w:val="00416B4A"/>
    <w:rsid w:val="004175B6"/>
    <w:rsid w:val="00423D34"/>
    <w:rsid w:val="00426365"/>
    <w:rsid w:val="00445F3B"/>
    <w:rsid w:val="00446A93"/>
    <w:rsid w:val="00447326"/>
    <w:rsid w:val="00447B0B"/>
    <w:rsid w:val="00447FFC"/>
    <w:rsid w:val="00452748"/>
    <w:rsid w:val="004546B7"/>
    <w:rsid w:val="004610A4"/>
    <w:rsid w:val="00462FCF"/>
    <w:rsid w:val="0046399E"/>
    <w:rsid w:val="004644FC"/>
    <w:rsid w:val="00470B93"/>
    <w:rsid w:val="0047286B"/>
    <w:rsid w:val="00472C06"/>
    <w:rsid w:val="0047630E"/>
    <w:rsid w:val="004857DE"/>
    <w:rsid w:val="004868FE"/>
    <w:rsid w:val="00487F03"/>
    <w:rsid w:val="00497E64"/>
    <w:rsid w:val="004A0330"/>
    <w:rsid w:val="004A0F9B"/>
    <w:rsid w:val="004A2AB8"/>
    <w:rsid w:val="004B0814"/>
    <w:rsid w:val="004B4675"/>
    <w:rsid w:val="004D4205"/>
    <w:rsid w:val="004D550C"/>
    <w:rsid w:val="004E09D3"/>
    <w:rsid w:val="004E0A8A"/>
    <w:rsid w:val="004E1CE5"/>
    <w:rsid w:val="004E2226"/>
    <w:rsid w:val="004E4B2C"/>
    <w:rsid w:val="004E6064"/>
    <w:rsid w:val="004F24B6"/>
    <w:rsid w:val="004F68F0"/>
    <w:rsid w:val="004F6CFB"/>
    <w:rsid w:val="004F75CA"/>
    <w:rsid w:val="004F7F7E"/>
    <w:rsid w:val="00511740"/>
    <w:rsid w:val="005119C8"/>
    <w:rsid w:val="00511FDF"/>
    <w:rsid w:val="00516F49"/>
    <w:rsid w:val="00516F80"/>
    <w:rsid w:val="00517B65"/>
    <w:rsid w:val="0052059F"/>
    <w:rsid w:val="005212F7"/>
    <w:rsid w:val="00521CFA"/>
    <w:rsid w:val="0052661D"/>
    <w:rsid w:val="005301D0"/>
    <w:rsid w:val="005321F7"/>
    <w:rsid w:val="005338A3"/>
    <w:rsid w:val="0053611D"/>
    <w:rsid w:val="00546C1C"/>
    <w:rsid w:val="00547FFD"/>
    <w:rsid w:val="0055000F"/>
    <w:rsid w:val="00550947"/>
    <w:rsid w:val="00551353"/>
    <w:rsid w:val="00560CA7"/>
    <w:rsid w:val="00586212"/>
    <w:rsid w:val="0059006F"/>
    <w:rsid w:val="00594F1A"/>
    <w:rsid w:val="005A63B9"/>
    <w:rsid w:val="005B5719"/>
    <w:rsid w:val="005B746D"/>
    <w:rsid w:val="005C2FF2"/>
    <w:rsid w:val="005C3848"/>
    <w:rsid w:val="005C6611"/>
    <w:rsid w:val="005C6740"/>
    <w:rsid w:val="005D3AF1"/>
    <w:rsid w:val="005D3D2E"/>
    <w:rsid w:val="005E0A8B"/>
    <w:rsid w:val="005F324E"/>
    <w:rsid w:val="006017D0"/>
    <w:rsid w:val="00606846"/>
    <w:rsid w:val="00606F47"/>
    <w:rsid w:val="0061095B"/>
    <w:rsid w:val="00613461"/>
    <w:rsid w:val="0061497A"/>
    <w:rsid w:val="0062000C"/>
    <w:rsid w:val="00620392"/>
    <w:rsid w:val="006217E3"/>
    <w:rsid w:val="0062487F"/>
    <w:rsid w:val="00626354"/>
    <w:rsid w:val="006352B7"/>
    <w:rsid w:val="006355F0"/>
    <w:rsid w:val="00643C01"/>
    <w:rsid w:val="0066127E"/>
    <w:rsid w:val="006650AF"/>
    <w:rsid w:val="0067175C"/>
    <w:rsid w:val="006746A6"/>
    <w:rsid w:val="0068213E"/>
    <w:rsid w:val="00685C96"/>
    <w:rsid w:val="00685DD5"/>
    <w:rsid w:val="006A5336"/>
    <w:rsid w:val="006A57A9"/>
    <w:rsid w:val="006B0B5F"/>
    <w:rsid w:val="006B155B"/>
    <w:rsid w:val="006B6857"/>
    <w:rsid w:val="006B6CF3"/>
    <w:rsid w:val="006C2BA1"/>
    <w:rsid w:val="006C4666"/>
    <w:rsid w:val="006D01B7"/>
    <w:rsid w:val="006D2834"/>
    <w:rsid w:val="006D287B"/>
    <w:rsid w:val="006D3176"/>
    <w:rsid w:val="006D3DE9"/>
    <w:rsid w:val="006D5885"/>
    <w:rsid w:val="006D70DA"/>
    <w:rsid w:val="006E0CE0"/>
    <w:rsid w:val="006E309D"/>
    <w:rsid w:val="006E7D37"/>
    <w:rsid w:val="006F121E"/>
    <w:rsid w:val="006F4177"/>
    <w:rsid w:val="00701A88"/>
    <w:rsid w:val="00706D5D"/>
    <w:rsid w:val="007113B6"/>
    <w:rsid w:val="00716A3D"/>
    <w:rsid w:val="00717035"/>
    <w:rsid w:val="0071714A"/>
    <w:rsid w:val="00730A37"/>
    <w:rsid w:val="00730ADE"/>
    <w:rsid w:val="00733D40"/>
    <w:rsid w:val="0074364A"/>
    <w:rsid w:val="00746415"/>
    <w:rsid w:val="00746A80"/>
    <w:rsid w:val="007509B9"/>
    <w:rsid w:val="0077369F"/>
    <w:rsid w:val="00775FDB"/>
    <w:rsid w:val="00785469"/>
    <w:rsid w:val="00786827"/>
    <w:rsid w:val="00786985"/>
    <w:rsid w:val="00787613"/>
    <w:rsid w:val="00791713"/>
    <w:rsid w:val="007941FC"/>
    <w:rsid w:val="00795A6E"/>
    <w:rsid w:val="007A1142"/>
    <w:rsid w:val="007A14B0"/>
    <w:rsid w:val="007B1371"/>
    <w:rsid w:val="007B5C5B"/>
    <w:rsid w:val="007C3C59"/>
    <w:rsid w:val="007C4D7B"/>
    <w:rsid w:val="007D5DF8"/>
    <w:rsid w:val="007E4048"/>
    <w:rsid w:val="007E448A"/>
    <w:rsid w:val="007F2467"/>
    <w:rsid w:val="008019CE"/>
    <w:rsid w:val="00803590"/>
    <w:rsid w:val="0080789B"/>
    <w:rsid w:val="00812B24"/>
    <w:rsid w:val="008139EE"/>
    <w:rsid w:val="00822B1C"/>
    <w:rsid w:val="00835DB6"/>
    <w:rsid w:val="00837089"/>
    <w:rsid w:val="00846F3C"/>
    <w:rsid w:val="00847535"/>
    <w:rsid w:val="00847857"/>
    <w:rsid w:val="00866374"/>
    <w:rsid w:val="00866C07"/>
    <w:rsid w:val="008709B1"/>
    <w:rsid w:val="0087242E"/>
    <w:rsid w:val="0088662D"/>
    <w:rsid w:val="008A2BE0"/>
    <w:rsid w:val="008A2FB4"/>
    <w:rsid w:val="008A5CDE"/>
    <w:rsid w:val="008B5208"/>
    <w:rsid w:val="008C66E1"/>
    <w:rsid w:val="008D249A"/>
    <w:rsid w:val="008D3BAC"/>
    <w:rsid w:val="008D7C40"/>
    <w:rsid w:val="008E0FBF"/>
    <w:rsid w:val="008E6A4E"/>
    <w:rsid w:val="008E75CE"/>
    <w:rsid w:val="008F4879"/>
    <w:rsid w:val="008F4ACC"/>
    <w:rsid w:val="008F58EC"/>
    <w:rsid w:val="00900CEA"/>
    <w:rsid w:val="00905A66"/>
    <w:rsid w:val="009077F9"/>
    <w:rsid w:val="00907B25"/>
    <w:rsid w:val="00911B4C"/>
    <w:rsid w:val="00917013"/>
    <w:rsid w:val="009172F2"/>
    <w:rsid w:val="009202B5"/>
    <w:rsid w:val="00920CBE"/>
    <w:rsid w:val="009223E5"/>
    <w:rsid w:val="009310F8"/>
    <w:rsid w:val="009328AA"/>
    <w:rsid w:val="00942442"/>
    <w:rsid w:val="00951261"/>
    <w:rsid w:val="00954CDF"/>
    <w:rsid w:val="00956582"/>
    <w:rsid w:val="009603C7"/>
    <w:rsid w:val="00965F83"/>
    <w:rsid w:val="009718B9"/>
    <w:rsid w:val="00977FEB"/>
    <w:rsid w:val="00981D68"/>
    <w:rsid w:val="009832E5"/>
    <w:rsid w:val="0098719B"/>
    <w:rsid w:val="00990A0D"/>
    <w:rsid w:val="00990F31"/>
    <w:rsid w:val="00996372"/>
    <w:rsid w:val="009A0A59"/>
    <w:rsid w:val="009A56E3"/>
    <w:rsid w:val="009B14C9"/>
    <w:rsid w:val="009C1666"/>
    <w:rsid w:val="009C37DA"/>
    <w:rsid w:val="009C53FC"/>
    <w:rsid w:val="009D0510"/>
    <w:rsid w:val="009D44EF"/>
    <w:rsid w:val="009E25DB"/>
    <w:rsid w:val="009E5CA9"/>
    <w:rsid w:val="00A03A42"/>
    <w:rsid w:val="00A06E26"/>
    <w:rsid w:val="00A0725A"/>
    <w:rsid w:val="00A14864"/>
    <w:rsid w:val="00A150F9"/>
    <w:rsid w:val="00A15529"/>
    <w:rsid w:val="00A22B88"/>
    <w:rsid w:val="00A25AD1"/>
    <w:rsid w:val="00A2792A"/>
    <w:rsid w:val="00A27B4E"/>
    <w:rsid w:val="00A361CD"/>
    <w:rsid w:val="00A41A9A"/>
    <w:rsid w:val="00A46617"/>
    <w:rsid w:val="00A51D78"/>
    <w:rsid w:val="00A5272B"/>
    <w:rsid w:val="00A5370D"/>
    <w:rsid w:val="00A556B7"/>
    <w:rsid w:val="00A557A7"/>
    <w:rsid w:val="00A5681A"/>
    <w:rsid w:val="00A60DED"/>
    <w:rsid w:val="00A611DA"/>
    <w:rsid w:val="00A61CD2"/>
    <w:rsid w:val="00A62789"/>
    <w:rsid w:val="00A636A6"/>
    <w:rsid w:val="00A64B86"/>
    <w:rsid w:val="00A670AD"/>
    <w:rsid w:val="00A91794"/>
    <w:rsid w:val="00A9347D"/>
    <w:rsid w:val="00A952AA"/>
    <w:rsid w:val="00A954CF"/>
    <w:rsid w:val="00A95E43"/>
    <w:rsid w:val="00A978AA"/>
    <w:rsid w:val="00AA1040"/>
    <w:rsid w:val="00AA262B"/>
    <w:rsid w:val="00AA3EB5"/>
    <w:rsid w:val="00AA5B6A"/>
    <w:rsid w:val="00AA6296"/>
    <w:rsid w:val="00AB2357"/>
    <w:rsid w:val="00AB545D"/>
    <w:rsid w:val="00AB6AA0"/>
    <w:rsid w:val="00AC0073"/>
    <w:rsid w:val="00AC076F"/>
    <w:rsid w:val="00AC12ED"/>
    <w:rsid w:val="00AC2B3C"/>
    <w:rsid w:val="00AC43C1"/>
    <w:rsid w:val="00AC6457"/>
    <w:rsid w:val="00AC6661"/>
    <w:rsid w:val="00AD329D"/>
    <w:rsid w:val="00AE2B73"/>
    <w:rsid w:val="00AE4F54"/>
    <w:rsid w:val="00AE5A48"/>
    <w:rsid w:val="00AF2CB0"/>
    <w:rsid w:val="00AF445F"/>
    <w:rsid w:val="00B00D28"/>
    <w:rsid w:val="00B0130D"/>
    <w:rsid w:val="00B02964"/>
    <w:rsid w:val="00B04EB2"/>
    <w:rsid w:val="00B13835"/>
    <w:rsid w:val="00B174DC"/>
    <w:rsid w:val="00B175F2"/>
    <w:rsid w:val="00B30AFA"/>
    <w:rsid w:val="00B34788"/>
    <w:rsid w:val="00B37C33"/>
    <w:rsid w:val="00B570C6"/>
    <w:rsid w:val="00B63349"/>
    <w:rsid w:val="00B63AD4"/>
    <w:rsid w:val="00B72AA4"/>
    <w:rsid w:val="00B82EA2"/>
    <w:rsid w:val="00B837BE"/>
    <w:rsid w:val="00B84839"/>
    <w:rsid w:val="00B84C42"/>
    <w:rsid w:val="00B8798C"/>
    <w:rsid w:val="00B91173"/>
    <w:rsid w:val="00B949C6"/>
    <w:rsid w:val="00B965A9"/>
    <w:rsid w:val="00B97F49"/>
    <w:rsid w:val="00BA770E"/>
    <w:rsid w:val="00BA7BF7"/>
    <w:rsid w:val="00BB273E"/>
    <w:rsid w:val="00BB45F7"/>
    <w:rsid w:val="00BB4DC3"/>
    <w:rsid w:val="00BB647E"/>
    <w:rsid w:val="00BC07D1"/>
    <w:rsid w:val="00BC1882"/>
    <w:rsid w:val="00BD009E"/>
    <w:rsid w:val="00BD5A1A"/>
    <w:rsid w:val="00BD6368"/>
    <w:rsid w:val="00BE1588"/>
    <w:rsid w:val="00BE21D9"/>
    <w:rsid w:val="00BE27C9"/>
    <w:rsid w:val="00BE44A8"/>
    <w:rsid w:val="00BE4B1C"/>
    <w:rsid w:val="00BE547B"/>
    <w:rsid w:val="00BE6B59"/>
    <w:rsid w:val="00BF2E4C"/>
    <w:rsid w:val="00BF48DF"/>
    <w:rsid w:val="00BF70DD"/>
    <w:rsid w:val="00C125D7"/>
    <w:rsid w:val="00C150CD"/>
    <w:rsid w:val="00C15D15"/>
    <w:rsid w:val="00C16319"/>
    <w:rsid w:val="00C16E64"/>
    <w:rsid w:val="00C20471"/>
    <w:rsid w:val="00C207E2"/>
    <w:rsid w:val="00C20C91"/>
    <w:rsid w:val="00C248E2"/>
    <w:rsid w:val="00C321CB"/>
    <w:rsid w:val="00C3579C"/>
    <w:rsid w:val="00C41294"/>
    <w:rsid w:val="00C47A72"/>
    <w:rsid w:val="00C53BCE"/>
    <w:rsid w:val="00C55992"/>
    <w:rsid w:val="00C55F46"/>
    <w:rsid w:val="00C57FE7"/>
    <w:rsid w:val="00C63571"/>
    <w:rsid w:val="00C65D4B"/>
    <w:rsid w:val="00C727A9"/>
    <w:rsid w:val="00C72EDF"/>
    <w:rsid w:val="00C7362D"/>
    <w:rsid w:val="00C80DC5"/>
    <w:rsid w:val="00C821FA"/>
    <w:rsid w:val="00C84644"/>
    <w:rsid w:val="00C87725"/>
    <w:rsid w:val="00C91EB6"/>
    <w:rsid w:val="00C92879"/>
    <w:rsid w:val="00C9640B"/>
    <w:rsid w:val="00C96623"/>
    <w:rsid w:val="00CA68C7"/>
    <w:rsid w:val="00CA6D87"/>
    <w:rsid w:val="00CB1442"/>
    <w:rsid w:val="00CB30A8"/>
    <w:rsid w:val="00CB45ED"/>
    <w:rsid w:val="00CC0C8B"/>
    <w:rsid w:val="00CC36E5"/>
    <w:rsid w:val="00CD6F97"/>
    <w:rsid w:val="00CD7082"/>
    <w:rsid w:val="00CE127A"/>
    <w:rsid w:val="00CE1460"/>
    <w:rsid w:val="00CE1655"/>
    <w:rsid w:val="00CE1694"/>
    <w:rsid w:val="00CE2790"/>
    <w:rsid w:val="00CE3D33"/>
    <w:rsid w:val="00CE3F91"/>
    <w:rsid w:val="00CE5B6F"/>
    <w:rsid w:val="00CE65B0"/>
    <w:rsid w:val="00CF1998"/>
    <w:rsid w:val="00CF24A3"/>
    <w:rsid w:val="00CF476F"/>
    <w:rsid w:val="00CF51EC"/>
    <w:rsid w:val="00CF633E"/>
    <w:rsid w:val="00D00511"/>
    <w:rsid w:val="00D154B3"/>
    <w:rsid w:val="00D16EE0"/>
    <w:rsid w:val="00D212B0"/>
    <w:rsid w:val="00D21FE0"/>
    <w:rsid w:val="00D22EE0"/>
    <w:rsid w:val="00D23D16"/>
    <w:rsid w:val="00D30352"/>
    <w:rsid w:val="00D31A84"/>
    <w:rsid w:val="00D327F0"/>
    <w:rsid w:val="00D440A3"/>
    <w:rsid w:val="00D7250D"/>
    <w:rsid w:val="00D926C6"/>
    <w:rsid w:val="00DA1C9C"/>
    <w:rsid w:val="00DA3BA6"/>
    <w:rsid w:val="00DA71FA"/>
    <w:rsid w:val="00DB0A3B"/>
    <w:rsid w:val="00DB29DC"/>
    <w:rsid w:val="00DB5D0D"/>
    <w:rsid w:val="00DC18E0"/>
    <w:rsid w:val="00DD2E34"/>
    <w:rsid w:val="00DD4123"/>
    <w:rsid w:val="00DD42F1"/>
    <w:rsid w:val="00DD468E"/>
    <w:rsid w:val="00DF22B6"/>
    <w:rsid w:val="00DF6950"/>
    <w:rsid w:val="00DF754D"/>
    <w:rsid w:val="00E00AAF"/>
    <w:rsid w:val="00E028AC"/>
    <w:rsid w:val="00E04227"/>
    <w:rsid w:val="00E06AB8"/>
    <w:rsid w:val="00E139CA"/>
    <w:rsid w:val="00E152C8"/>
    <w:rsid w:val="00E16E55"/>
    <w:rsid w:val="00E21285"/>
    <w:rsid w:val="00E2169E"/>
    <w:rsid w:val="00E233AB"/>
    <w:rsid w:val="00E37AF0"/>
    <w:rsid w:val="00E413E0"/>
    <w:rsid w:val="00E425C8"/>
    <w:rsid w:val="00E45651"/>
    <w:rsid w:val="00E47691"/>
    <w:rsid w:val="00E47DED"/>
    <w:rsid w:val="00E53FE5"/>
    <w:rsid w:val="00E543D0"/>
    <w:rsid w:val="00E548F7"/>
    <w:rsid w:val="00E707DF"/>
    <w:rsid w:val="00E71B8F"/>
    <w:rsid w:val="00E729B5"/>
    <w:rsid w:val="00E74517"/>
    <w:rsid w:val="00E83C71"/>
    <w:rsid w:val="00E9111D"/>
    <w:rsid w:val="00E937AB"/>
    <w:rsid w:val="00EA2540"/>
    <w:rsid w:val="00EA5A39"/>
    <w:rsid w:val="00EB0B58"/>
    <w:rsid w:val="00EB6542"/>
    <w:rsid w:val="00EC71A1"/>
    <w:rsid w:val="00ED025B"/>
    <w:rsid w:val="00ED1BC9"/>
    <w:rsid w:val="00EE5E60"/>
    <w:rsid w:val="00EE6023"/>
    <w:rsid w:val="00F01895"/>
    <w:rsid w:val="00F02E42"/>
    <w:rsid w:val="00F03B28"/>
    <w:rsid w:val="00F06892"/>
    <w:rsid w:val="00F104A1"/>
    <w:rsid w:val="00F16C4F"/>
    <w:rsid w:val="00F16E37"/>
    <w:rsid w:val="00F23BA4"/>
    <w:rsid w:val="00F24D8E"/>
    <w:rsid w:val="00F32FB5"/>
    <w:rsid w:val="00F40BC0"/>
    <w:rsid w:val="00F42D89"/>
    <w:rsid w:val="00F45872"/>
    <w:rsid w:val="00F47651"/>
    <w:rsid w:val="00F51852"/>
    <w:rsid w:val="00F53E0D"/>
    <w:rsid w:val="00F716D4"/>
    <w:rsid w:val="00F81172"/>
    <w:rsid w:val="00F81A27"/>
    <w:rsid w:val="00F83219"/>
    <w:rsid w:val="00F91F6B"/>
    <w:rsid w:val="00F9395A"/>
    <w:rsid w:val="00F93C9A"/>
    <w:rsid w:val="00F93D66"/>
    <w:rsid w:val="00F97243"/>
    <w:rsid w:val="00FA191F"/>
    <w:rsid w:val="00FA316C"/>
    <w:rsid w:val="00FA3D9E"/>
    <w:rsid w:val="00FA6533"/>
    <w:rsid w:val="00FC19A1"/>
    <w:rsid w:val="00FC354F"/>
    <w:rsid w:val="00FD262B"/>
    <w:rsid w:val="00FD2CC5"/>
    <w:rsid w:val="00FE5681"/>
    <w:rsid w:val="00FF3936"/>
    <w:rsid w:val="00FF6F3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19384C1"/>
  <w15:docId w15:val="{69A5A363-DAD3-45CB-848F-F170D8A48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C7E8B"/>
    <w:pPr>
      <w:spacing w:after="200" w:line="276" w:lineRule="auto"/>
    </w:pPr>
    <w:rPr>
      <w:sz w:val="22"/>
      <w:szCs w:val="22"/>
      <w:lang w:eastAsia="en-US"/>
    </w:rPr>
  </w:style>
  <w:style w:type="paragraph" w:styleId="1">
    <w:name w:val="heading 1"/>
    <w:basedOn w:val="a"/>
    <w:next w:val="a"/>
    <w:link w:val="10"/>
    <w:uiPriority w:val="9"/>
    <w:qFormat/>
    <w:rsid w:val="00716A3D"/>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A25AD1"/>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unhideWhenUsed/>
    <w:qFormat/>
    <w:rsid w:val="00A25AD1"/>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A25AD1"/>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link w:val="50"/>
    <w:uiPriority w:val="9"/>
    <w:qFormat/>
    <w:rsid w:val="00A25AD1"/>
    <w:pPr>
      <w:spacing w:before="131" w:after="0" w:line="240" w:lineRule="auto"/>
      <w:outlineLvl w:val="4"/>
    </w:pPr>
    <w:rPr>
      <w:rFonts w:ascii="Times New Roman" w:eastAsia="Times New Roman" w:hAnsi="Times New Roman"/>
      <w:b/>
      <w:bCs/>
      <w:sz w:val="20"/>
      <w:szCs w:val="20"/>
      <w:lang w:eastAsia="ru-RU"/>
    </w:rPr>
  </w:style>
  <w:style w:type="paragraph" w:styleId="6">
    <w:name w:val="heading 6"/>
    <w:basedOn w:val="a"/>
    <w:link w:val="60"/>
    <w:uiPriority w:val="9"/>
    <w:qFormat/>
    <w:rsid w:val="00A25AD1"/>
    <w:pPr>
      <w:spacing w:before="131" w:after="0" w:line="240" w:lineRule="auto"/>
      <w:outlineLvl w:val="5"/>
    </w:pPr>
    <w:rPr>
      <w:rFonts w:ascii="Times New Roman" w:eastAsia="Times New Roman" w:hAnsi="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716A3D"/>
    <w:rPr>
      <w:rFonts w:ascii="Cambria" w:eastAsia="Times New Roman" w:hAnsi="Cambria" w:cs="Times New Roman"/>
      <w:b/>
      <w:bCs/>
      <w:color w:val="365F91"/>
      <w:sz w:val="28"/>
      <w:szCs w:val="28"/>
    </w:rPr>
  </w:style>
  <w:style w:type="character" w:customStyle="1" w:styleId="20">
    <w:name w:val="Заголовок 2 Знак"/>
    <w:link w:val="2"/>
    <w:uiPriority w:val="9"/>
    <w:rsid w:val="00A25AD1"/>
    <w:rPr>
      <w:rFonts w:ascii="Cambria" w:eastAsia="Times New Roman" w:hAnsi="Cambria"/>
      <w:color w:val="365F91"/>
      <w:sz w:val="26"/>
      <w:szCs w:val="26"/>
    </w:rPr>
  </w:style>
  <w:style w:type="character" w:customStyle="1" w:styleId="30">
    <w:name w:val="Заголовок 3 Знак"/>
    <w:link w:val="3"/>
    <w:uiPriority w:val="9"/>
    <w:rsid w:val="00A25AD1"/>
    <w:rPr>
      <w:rFonts w:ascii="Cambria" w:eastAsia="Times New Roman" w:hAnsi="Cambria"/>
      <w:color w:val="243F60"/>
      <w:sz w:val="24"/>
      <w:szCs w:val="24"/>
    </w:rPr>
  </w:style>
  <w:style w:type="character" w:customStyle="1" w:styleId="40">
    <w:name w:val="Заголовок 4 Знак"/>
    <w:link w:val="4"/>
    <w:uiPriority w:val="9"/>
    <w:rsid w:val="00A25AD1"/>
    <w:rPr>
      <w:rFonts w:ascii="Cambria" w:eastAsia="Times New Roman" w:hAnsi="Cambria"/>
      <w:i/>
      <w:iCs/>
      <w:color w:val="365F91"/>
    </w:rPr>
  </w:style>
  <w:style w:type="character" w:customStyle="1" w:styleId="50">
    <w:name w:val="Заголовок 5 Знак"/>
    <w:link w:val="5"/>
    <w:uiPriority w:val="9"/>
    <w:rsid w:val="00A25AD1"/>
    <w:rPr>
      <w:rFonts w:ascii="Times New Roman" w:eastAsia="Times New Roman" w:hAnsi="Times New Roman"/>
      <w:b/>
      <w:bCs/>
    </w:rPr>
  </w:style>
  <w:style w:type="character" w:customStyle="1" w:styleId="60">
    <w:name w:val="Заголовок 6 Знак"/>
    <w:link w:val="6"/>
    <w:uiPriority w:val="9"/>
    <w:rsid w:val="00A25AD1"/>
    <w:rPr>
      <w:rFonts w:ascii="Times New Roman" w:eastAsia="Times New Roman" w:hAnsi="Times New Roman"/>
      <w:b/>
      <w:bCs/>
      <w:sz w:val="15"/>
      <w:szCs w:val="15"/>
    </w:rPr>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8E0FBF"/>
    <w:rPr>
      <w:sz w:val="20"/>
      <w:szCs w:val="20"/>
      <w:vertAlign w:val="superscript"/>
    </w:rPr>
  </w:style>
  <w:style w:type="character" w:customStyle="1" w:styleId="af7">
    <w:name w:val="К"/>
    <w:uiPriority w:val="99"/>
    <w:rsid w:val="008E0FBF"/>
    <w:rPr>
      <w:rFonts w:ascii="Courier New" w:hAnsi="Courier New" w:cs="Courier New"/>
      <w:sz w:val="20"/>
      <w:szCs w:val="20"/>
    </w:rPr>
  </w:style>
  <w:style w:type="paragraph" w:customStyle="1" w:styleId="af8">
    <w:name w:val="Ф"/>
    <w:basedOn w:val="af9"/>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8E0FBF"/>
    <w:rPr>
      <w:vanish/>
      <w:color w:val="FF0000"/>
    </w:rPr>
  </w:style>
  <w:style w:type="paragraph" w:customStyle="1" w:styleId="Z-1">
    <w:name w:val="Z-1"/>
    <w:next w:val="af9"/>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8E0FBF"/>
    <w:pPr>
      <w:spacing w:before="0" w:after="0"/>
    </w:pPr>
  </w:style>
  <w:style w:type="paragraph" w:customStyle="1" w:styleId="afc">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d">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8E0FBF"/>
    <w:rPr>
      <w:color w:val="0000FF"/>
      <w:u w:val="single"/>
    </w:rPr>
  </w:style>
  <w:style w:type="character" w:customStyle="1" w:styleId="13">
    <w:name w:val="О1"/>
    <w:uiPriority w:val="99"/>
    <w:rsid w:val="008E0FBF"/>
    <w:rPr>
      <w:i/>
      <w:iCs/>
    </w:rPr>
  </w:style>
  <w:style w:type="character" w:customStyle="1" w:styleId="aff">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0">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aff2">
    <w:name w:val="Подпись к таблице_"/>
    <w:link w:val="aff1"/>
    <w:rsid w:val="00A2792A"/>
    <w:rPr>
      <w:rFonts w:ascii="Arial Narrow" w:hAnsi="Arial Narrow" w:cs="Arial Narrow"/>
      <w:i/>
      <w:iCs/>
      <w:noProof/>
      <w:sz w:val="20"/>
      <w:szCs w:val="20"/>
      <w:shd w:val="clear" w:color="auto" w:fill="FFFFFF"/>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link w:val="420"/>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character" w:customStyle="1" w:styleId="420">
    <w:name w:val="Основной текст (42)_"/>
    <w:link w:val="42"/>
    <w:rsid w:val="00A25AD1"/>
    <w:rPr>
      <w:rFonts w:ascii="Microsoft Sans Serif" w:hAnsi="Microsoft Sans Serif" w:cs="Microsoft Sans Serif"/>
      <w:noProof/>
      <w:sz w:val="8"/>
      <w:szCs w:val="8"/>
      <w:shd w:val="clear" w:color="auto" w:fill="FFFFFF"/>
      <w:lang w:val="en-US" w:eastAsia="en-US"/>
    </w:rPr>
  </w:style>
  <w:style w:type="paragraph" w:customStyle="1" w:styleId="43">
    <w:name w:val="Основной текст (43)"/>
    <w:basedOn w:val="a"/>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character" w:customStyle="1" w:styleId="430">
    <w:name w:val="Основной текст (43)_"/>
    <w:link w:val="43"/>
    <w:rsid w:val="00A25AD1"/>
    <w:rPr>
      <w:rFonts w:ascii="Lucida Sans Unicode" w:hAnsi="Lucida Sans Unicode" w:cs="Lucida Sans Unicode"/>
      <w:noProof/>
      <w:sz w:val="8"/>
      <w:szCs w:val="8"/>
      <w:shd w:val="clear" w:color="auto" w:fill="FFFFFF"/>
      <w:lang w:val="en-US" w:eastAsia="en-US"/>
    </w:rPr>
  </w:style>
  <w:style w:type="paragraph" w:customStyle="1" w:styleId="44">
    <w:name w:val="Основной текст (44)"/>
    <w:basedOn w:val="a"/>
    <w:link w:val="440"/>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character" w:customStyle="1" w:styleId="440">
    <w:name w:val="Основной текст (44)_"/>
    <w:link w:val="44"/>
    <w:rsid w:val="00A25AD1"/>
    <w:rPr>
      <w:rFonts w:ascii="MS Mincho" w:eastAsia="MS Mincho" w:hAnsi="Times New Roman" w:cs="MS Mincho"/>
      <w:noProof/>
      <w:sz w:val="8"/>
      <w:szCs w:val="8"/>
      <w:shd w:val="clear" w:color="auto" w:fill="FFFFFF"/>
      <w:lang w:val="en-US" w:eastAsia="en-US"/>
    </w:rPr>
  </w:style>
  <w:style w:type="paragraph" w:customStyle="1" w:styleId="aff3">
    <w:name w:val="Сноска"/>
    <w:basedOn w:val="a"/>
    <w:link w:val="aff4"/>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aff4">
    <w:name w:val="Сноска_"/>
    <w:link w:val="aff3"/>
    <w:rsid w:val="00A25AD1"/>
    <w:rPr>
      <w:rFonts w:ascii="Lucida Sans Unicode" w:hAnsi="Lucida Sans Unicode" w:cs="Lucida Sans Unicode"/>
      <w:i/>
      <w:iCs/>
      <w:noProof/>
      <w:sz w:val="13"/>
      <w:szCs w:val="13"/>
      <w:shd w:val="clear" w:color="auto" w:fill="FFFFFF"/>
      <w:lang w:val="en-US" w:eastAsia="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2">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character" w:customStyle="1" w:styleId="35">
    <w:name w:val="Основной текст (3)_"/>
    <w:link w:val="34"/>
    <w:rsid w:val="00A25AD1"/>
    <w:rPr>
      <w:rFonts w:ascii="Gungsuh" w:eastAsia="Gungsuh" w:hAnsi="Times New Roman" w:cs="Gungsuh"/>
      <w:spacing w:val="20"/>
      <w:sz w:val="35"/>
      <w:szCs w:val="35"/>
      <w:shd w:val="clear" w:color="auto" w:fill="FFFFFF"/>
      <w:lang w:eastAsia="en-US"/>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character" w:customStyle="1" w:styleId="46">
    <w:name w:val="Основной текст (4)_"/>
    <w:link w:val="45"/>
    <w:uiPriority w:val="99"/>
    <w:rsid w:val="00A25AD1"/>
    <w:rPr>
      <w:rFonts w:ascii="Gungsuh" w:eastAsia="Gungsuh" w:hAnsi="Times New Roman" w:cs="Gungsuh"/>
      <w:sz w:val="13"/>
      <w:szCs w:val="13"/>
      <w:shd w:val="clear" w:color="auto" w:fill="FFFFFF"/>
      <w:lang w:eastAsia="en-US"/>
    </w:rPr>
  </w:style>
  <w:style w:type="paragraph" w:customStyle="1" w:styleId="28">
    <w:name w:val="Основной текст (2)"/>
    <w:basedOn w:val="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link w:val="18"/>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18">
    <w:name w:val="Заголовок №1_"/>
    <w:link w:val="17"/>
    <w:uiPriority w:val="99"/>
    <w:rsid w:val="00A25AD1"/>
    <w:rPr>
      <w:rFonts w:ascii="Segoe UI" w:hAnsi="Segoe UI" w:cs="Segoe UI"/>
      <w:shd w:val="clear" w:color="auto" w:fill="FFFFFF"/>
      <w:lang w:eastAsia="en-US"/>
    </w:rPr>
  </w:style>
  <w:style w:type="character" w:customStyle="1" w:styleId="70">
    <w:name w:val="Основной текст + 7"/>
    <w:aliases w:val="5 pt3,Полужирный4,Колонтитул + 91,Интервал 1 pt1,Основной текст + 91,Основной текст + 10 pt3,Интервал -1 pt15,Основной текст (5) + Не курсив1,Основной текст + 20,Основной текст (2) + 71,Интервал 0 pt6,Основной текст (8) + 8 pt4"/>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aliases w:val="5 pt69,Полужирный70,Интервал 0 pt47,Основной текст (5) + Не курсив11"/>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aliases w:val="Полужирный65"/>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7">
    <w:name w:val="Колонтитул"/>
    <w:basedOn w:val="a"/>
    <w:link w:val="aff8"/>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ff8">
    <w:name w:val="Колонтитул_"/>
    <w:link w:val="aff7"/>
    <w:rsid w:val="00A25AD1"/>
    <w:rPr>
      <w:rFonts w:ascii="Times New Roman" w:hAnsi="Times New Roman"/>
      <w:shd w:val="clear" w:color="auto" w:fill="FFFFFF"/>
      <w:lang w:eastAsia="en-US"/>
    </w:rPr>
  </w:style>
  <w:style w:type="character" w:customStyle="1" w:styleId="Arial">
    <w:name w:val="Основной текст + Arial"/>
    <w:rsid w:val="008E0FBF"/>
    <w:rPr>
      <w:rFonts w:ascii="Arial" w:hAnsi="Arial" w:cs="Arial"/>
      <w:sz w:val="21"/>
      <w:szCs w:val="21"/>
    </w:rPr>
  </w:style>
  <w:style w:type="paragraph" w:customStyle="1" w:styleId="2a">
    <w:name w:val="Заголовок №2"/>
    <w:basedOn w:val="a"/>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9">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a">
    <w:name w:val="Подпись к картинке"/>
    <w:basedOn w:val="a"/>
    <w:link w:val="affb"/>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character" w:customStyle="1" w:styleId="affb">
    <w:name w:val="Подпись к картинке_"/>
    <w:link w:val="affa"/>
    <w:rsid w:val="00A25AD1"/>
    <w:rPr>
      <w:rFonts w:ascii="MS Reference Sans Serif" w:hAnsi="MS Reference Sans Serif" w:cs="MS Reference Sans Serif"/>
      <w:b/>
      <w:bCs/>
      <w:sz w:val="13"/>
      <w:szCs w:val="13"/>
      <w:shd w:val="clear" w:color="auto" w:fill="FFFFFF"/>
      <w:lang w:eastAsia="en-US"/>
    </w:rPr>
  </w:style>
  <w:style w:type="paragraph" w:customStyle="1" w:styleId="121">
    <w:name w:val="Основной текст (12)"/>
    <w:basedOn w:val="a"/>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link w:val="341"/>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character" w:customStyle="1" w:styleId="341">
    <w:name w:val="Основной текст (34)_"/>
    <w:link w:val="340"/>
    <w:rsid w:val="00A25AD1"/>
    <w:rPr>
      <w:rFonts w:ascii="Arial Narrow" w:hAnsi="Arial Narrow" w:cs="Arial Narrow"/>
      <w:b/>
      <w:bCs/>
      <w:sz w:val="17"/>
      <w:szCs w:val="17"/>
      <w:shd w:val="clear" w:color="auto" w:fill="FFFFFF"/>
      <w:lang w:eastAsia="en-US"/>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link w:val="411"/>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character" w:customStyle="1" w:styleId="411">
    <w:name w:val="Основной текст (41)_"/>
    <w:link w:val="410"/>
    <w:rsid w:val="00A25AD1"/>
    <w:rPr>
      <w:rFonts w:ascii="Bookman Old Style" w:hAnsi="Bookman Old Style" w:cs="Bookman Old Style"/>
      <w:i/>
      <w:iCs/>
      <w:sz w:val="15"/>
      <w:szCs w:val="15"/>
      <w:shd w:val="clear" w:color="auto" w:fill="FFFFFF"/>
      <w:lang w:eastAsia="en-US"/>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4">
    <w:name w:val="Подпись к картинке (6)"/>
    <w:basedOn w:val="a"/>
    <w:link w:val="65"/>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character" w:customStyle="1" w:styleId="65">
    <w:name w:val="Подпись к картинке (6)_"/>
    <w:link w:val="64"/>
    <w:uiPriority w:val="99"/>
    <w:rsid w:val="00A25AD1"/>
    <w:rPr>
      <w:rFonts w:ascii="Bookman Old Style" w:hAnsi="Bookman Old Style" w:cs="Bookman Old Style"/>
      <w:i/>
      <w:iCs/>
      <w:sz w:val="9"/>
      <w:szCs w:val="9"/>
      <w:shd w:val="clear" w:color="auto" w:fill="FFFFFF"/>
      <w:lang w:eastAsia="en-US"/>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73">
    <w:name w:val="Подпись к картинке (7)_"/>
    <w:link w:val="72"/>
    <w:uiPriority w:val="99"/>
    <w:rsid w:val="00A25AD1"/>
    <w:rPr>
      <w:rFonts w:ascii="Arial Narrow" w:hAnsi="Arial Narrow" w:cs="Arial Narrow"/>
      <w:i/>
      <w:iCs/>
      <w:sz w:val="14"/>
      <w:szCs w:val="14"/>
      <w:shd w:val="clear" w:color="auto" w:fill="FFFFFF"/>
      <w:lang w:eastAsia="en-US"/>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6">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character" w:customStyle="1" w:styleId="331">
    <w:name w:val="Основной текст (33)_"/>
    <w:link w:val="330"/>
    <w:rsid w:val="00A25AD1"/>
    <w:rPr>
      <w:rFonts w:ascii="MS Reference Sans Serif" w:hAnsi="MS Reference Sans Serif" w:cs="MS Reference Sans Serif"/>
      <w:i/>
      <w:iCs/>
      <w:spacing w:val="-20"/>
      <w:sz w:val="17"/>
      <w:szCs w:val="17"/>
      <w:shd w:val="clear" w:color="auto" w:fill="FFFFFF"/>
      <w:lang w:eastAsia="en-US"/>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character" w:customStyle="1" w:styleId="351">
    <w:name w:val="Основной текст (35)_"/>
    <w:link w:val="350"/>
    <w:rsid w:val="00A25AD1"/>
    <w:rPr>
      <w:rFonts w:ascii="MS Reference Sans Serif" w:hAnsi="MS Reference Sans Serif" w:cs="MS Reference Sans Serif"/>
      <w:spacing w:val="-10"/>
      <w:sz w:val="14"/>
      <w:szCs w:val="14"/>
      <w:shd w:val="clear" w:color="auto" w:fill="FFFFFF"/>
      <w:lang w:eastAsia="en-US"/>
    </w:rPr>
  </w:style>
  <w:style w:type="paragraph" w:customStyle="1" w:styleId="360">
    <w:name w:val="Основной текст (36)"/>
    <w:basedOn w:val="a"/>
    <w:link w:val="361"/>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character" w:customStyle="1" w:styleId="361">
    <w:name w:val="Основной текст (36)_"/>
    <w:link w:val="360"/>
    <w:rsid w:val="00A25AD1"/>
    <w:rPr>
      <w:rFonts w:ascii="Arial Narrow" w:hAnsi="Arial Narrow" w:cs="Arial Narrow"/>
      <w:noProof/>
      <w:sz w:val="8"/>
      <w:szCs w:val="8"/>
      <w:shd w:val="clear" w:color="auto" w:fill="FFFFFF"/>
      <w:lang w:val="en-US" w:eastAsia="en-US"/>
    </w:rPr>
  </w:style>
  <w:style w:type="paragraph" w:customStyle="1" w:styleId="370">
    <w:name w:val="Основной текст (37)"/>
    <w:basedOn w:val="a"/>
    <w:link w:val="371"/>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character" w:customStyle="1" w:styleId="371">
    <w:name w:val="Основной текст (37)_"/>
    <w:link w:val="370"/>
    <w:rsid w:val="00A25AD1"/>
    <w:rPr>
      <w:rFonts w:ascii="MS Reference Sans Serif" w:hAnsi="MS Reference Sans Serif" w:cs="MS Reference Sans Serif"/>
      <w:i/>
      <w:iCs/>
      <w:sz w:val="12"/>
      <w:szCs w:val="12"/>
      <w:shd w:val="clear" w:color="auto" w:fill="FFFFFF"/>
      <w:lang w:eastAsia="en-US"/>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character" w:customStyle="1" w:styleId="91">
    <w:name w:val="Основной текст (9)_"/>
    <w:link w:val="90"/>
    <w:uiPriority w:val="99"/>
    <w:rsid w:val="00A25AD1"/>
    <w:rPr>
      <w:rFonts w:ascii="Lucida Sans Unicode" w:hAnsi="Lucida Sans Unicode" w:cs="Lucida Sans Unicode"/>
      <w:sz w:val="14"/>
      <w:szCs w:val="14"/>
      <w:shd w:val="clear" w:color="auto" w:fill="FFFFFF"/>
      <w:lang w:eastAsia="en-US"/>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character" w:customStyle="1" w:styleId="282">
    <w:name w:val="Основной текст (28)_"/>
    <w:link w:val="281"/>
    <w:rsid w:val="00A2792A"/>
    <w:rPr>
      <w:rFonts w:ascii="Lucida Sans Unicode" w:hAnsi="Lucida Sans Unicode" w:cs="Lucida Sans Unicode"/>
      <w:spacing w:val="10"/>
      <w:sz w:val="24"/>
      <w:szCs w:val="24"/>
      <w:shd w:val="clear" w:color="auto" w:fill="FFFFFF"/>
    </w:rPr>
  </w:style>
  <w:style w:type="paragraph" w:customStyle="1" w:styleId="3a">
    <w:name w:val="Заголовок №3"/>
    <w:basedOn w:val="a"/>
    <w:link w:val="3b"/>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character" w:customStyle="1" w:styleId="3b">
    <w:name w:val="Заголовок №3_"/>
    <w:link w:val="3a"/>
    <w:rsid w:val="00A25AD1"/>
    <w:rPr>
      <w:rFonts w:ascii="Times New Roman" w:hAnsi="Times New Roman"/>
      <w:spacing w:val="40"/>
      <w:sz w:val="52"/>
      <w:szCs w:val="52"/>
      <w:shd w:val="clear" w:color="auto" w:fill="FFFFFF"/>
      <w:lang w:eastAsia="en-US"/>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183">
    <w:name w:val="Основной текст (18)_"/>
    <w:link w:val="182"/>
    <w:uiPriority w:val="99"/>
    <w:rsid w:val="00A25AD1"/>
    <w:rPr>
      <w:rFonts w:ascii="Arial" w:hAnsi="Arial" w:cs="Arial"/>
      <w:sz w:val="24"/>
      <w:szCs w:val="24"/>
      <w:shd w:val="clear" w:color="auto" w:fill="FFFFFF"/>
      <w:lang w:eastAsia="en-US"/>
    </w:rPr>
  </w:style>
  <w:style w:type="character" w:customStyle="1" w:styleId="Arial0">
    <w:name w:val="Колонтитул + Arial"/>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d">
    <w:name w:val="Подпись к таблице (2)"/>
    <w:basedOn w:val="a"/>
    <w:link w:val="2e"/>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styleId="3c">
    <w:name w:val="Body Text Indent 3"/>
    <w:basedOn w:val="a"/>
    <w:link w:val="3d"/>
    <w:uiPriority w:val="99"/>
    <w:rsid w:val="003C7E8B"/>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d">
    <w:name w:val="Основной текст с отступом 3 Знак"/>
    <w:link w:val="3c"/>
    <w:uiPriority w:val="99"/>
    <w:rsid w:val="003C7E8B"/>
    <w:rPr>
      <w:rFonts w:ascii="Times New Roman" w:hAnsi="Times New Roman" w:cs="Times New Roman"/>
      <w:sz w:val="24"/>
      <w:szCs w:val="24"/>
    </w:rPr>
  </w:style>
  <w:style w:type="paragraph" w:customStyle="1" w:styleId="412">
    <w:name w:val="Основной текст (4)1"/>
    <w:basedOn w:val="a"/>
    <w:uiPriority w:val="99"/>
    <w:rsid w:val="003C7E8B"/>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character" w:customStyle="1" w:styleId="49">
    <w:name w:val="Основной текст (4)9"/>
    <w:uiPriority w:val="99"/>
    <w:rsid w:val="003C7E8B"/>
    <w:rPr>
      <w:rFonts w:ascii="Microsoft Sans Serif" w:hAnsi="Microsoft Sans Serif" w:cs="Microsoft Sans Serif"/>
      <w:i/>
      <w:iCs/>
      <w:sz w:val="15"/>
      <w:szCs w:val="15"/>
      <w:u w:val="single"/>
    </w:rPr>
  </w:style>
  <w:style w:type="character" w:customStyle="1" w:styleId="480">
    <w:name w:val="Основной текст (4)8"/>
    <w:uiPriority w:val="99"/>
    <w:rsid w:val="003C7E8B"/>
    <w:rPr>
      <w:rFonts w:ascii="Microsoft Sans Serif" w:hAnsi="Microsoft Sans Serif" w:cs="Microsoft Sans Serif"/>
      <w:i/>
      <w:iCs/>
      <w:sz w:val="15"/>
      <w:szCs w:val="15"/>
      <w:u w:val="single"/>
    </w:rPr>
  </w:style>
  <w:style w:type="character" w:customStyle="1" w:styleId="470">
    <w:name w:val="Основной текст (4)7"/>
    <w:uiPriority w:val="99"/>
    <w:rsid w:val="003C7E8B"/>
    <w:rPr>
      <w:rFonts w:ascii="Microsoft Sans Serif" w:hAnsi="Microsoft Sans Serif" w:cs="Microsoft Sans Serif"/>
      <w:i/>
      <w:iCs/>
      <w:sz w:val="15"/>
      <w:szCs w:val="15"/>
      <w:u w:val="single"/>
    </w:rPr>
  </w:style>
  <w:style w:type="character" w:customStyle="1" w:styleId="460">
    <w:name w:val="Основной текст (4)6"/>
    <w:uiPriority w:val="99"/>
    <w:rsid w:val="003C7E8B"/>
    <w:rPr>
      <w:rFonts w:ascii="Microsoft Sans Serif" w:hAnsi="Microsoft Sans Serif" w:cs="Microsoft Sans Serif"/>
      <w:i/>
      <w:iCs/>
      <w:sz w:val="15"/>
      <w:szCs w:val="15"/>
      <w:u w:val="single"/>
    </w:rPr>
  </w:style>
  <w:style w:type="character" w:customStyle="1" w:styleId="421">
    <w:name w:val="Основной текст (4) + Не курсив2"/>
    <w:uiPriority w:val="99"/>
    <w:rsid w:val="003C7E8B"/>
    <w:rPr>
      <w:rFonts w:ascii="Microsoft Sans Serif" w:hAnsi="Microsoft Sans Serif" w:cs="Microsoft Sans Serif"/>
      <w:i/>
      <w:iCs/>
      <w:sz w:val="15"/>
      <w:szCs w:val="15"/>
    </w:rPr>
  </w:style>
  <w:style w:type="character" w:customStyle="1" w:styleId="450">
    <w:name w:val="Основной текст (4)5"/>
    <w:uiPriority w:val="99"/>
    <w:rsid w:val="003C7E8B"/>
    <w:rPr>
      <w:rFonts w:ascii="Microsoft Sans Serif" w:hAnsi="Microsoft Sans Serif" w:cs="Microsoft Sans Serif"/>
      <w:i/>
      <w:iCs/>
      <w:sz w:val="15"/>
      <w:szCs w:val="15"/>
      <w:u w:val="single"/>
    </w:rPr>
  </w:style>
  <w:style w:type="character" w:customStyle="1" w:styleId="465pt15122">
    <w:name w:val="Основной текст (4) + 6.5 pt15.Полужирный12.Не курсив2"/>
    <w:uiPriority w:val="99"/>
    <w:rsid w:val="003C7E8B"/>
    <w:rPr>
      <w:rFonts w:ascii="Microsoft Sans Serif" w:hAnsi="Microsoft Sans Serif" w:cs="Microsoft Sans Serif"/>
      <w:b/>
      <w:bCs/>
      <w:i/>
      <w:iCs/>
      <w:sz w:val="13"/>
      <w:szCs w:val="13"/>
    </w:rPr>
  </w:style>
  <w:style w:type="character" w:customStyle="1" w:styleId="441">
    <w:name w:val="Основной текст (4)4"/>
    <w:uiPriority w:val="99"/>
    <w:rsid w:val="003C7E8B"/>
    <w:rPr>
      <w:rFonts w:ascii="Microsoft Sans Serif" w:hAnsi="Microsoft Sans Serif" w:cs="Microsoft Sans Serif"/>
      <w:i/>
      <w:iCs/>
      <w:sz w:val="15"/>
      <w:szCs w:val="15"/>
      <w:u w:val="single"/>
    </w:rPr>
  </w:style>
  <w:style w:type="character" w:customStyle="1" w:styleId="431">
    <w:name w:val="Основной текст (4)3"/>
    <w:uiPriority w:val="99"/>
    <w:rsid w:val="003C7E8B"/>
    <w:rPr>
      <w:rFonts w:ascii="Microsoft Sans Serif" w:hAnsi="Microsoft Sans Serif" w:cs="Microsoft Sans Serif"/>
      <w:i/>
      <w:iCs/>
      <w:sz w:val="15"/>
      <w:szCs w:val="15"/>
      <w:u w:val="single"/>
    </w:rPr>
  </w:style>
  <w:style w:type="character" w:customStyle="1" w:styleId="413">
    <w:name w:val="Основной текст (4) + Не курсив1"/>
    <w:uiPriority w:val="99"/>
    <w:rsid w:val="003C7E8B"/>
    <w:rPr>
      <w:rFonts w:ascii="Microsoft Sans Serif" w:hAnsi="Microsoft Sans Serif" w:cs="Microsoft Sans Serif"/>
      <w:i/>
      <w:iCs/>
      <w:sz w:val="15"/>
      <w:szCs w:val="15"/>
    </w:rPr>
  </w:style>
  <w:style w:type="character" w:customStyle="1" w:styleId="4-1pt">
    <w:name w:val="Основной текст (4) + Интервал -1 pt"/>
    <w:uiPriority w:val="99"/>
    <w:rsid w:val="003C7E8B"/>
    <w:rPr>
      <w:rFonts w:ascii="Microsoft Sans Serif" w:hAnsi="Microsoft Sans Serif" w:cs="Microsoft Sans Serif"/>
      <w:i/>
      <w:iCs/>
      <w:spacing w:val="-20"/>
      <w:sz w:val="15"/>
      <w:szCs w:val="15"/>
    </w:rPr>
  </w:style>
  <w:style w:type="character" w:customStyle="1" w:styleId="111475pt42210pt56">
    <w:name w:val="Основной текст (11) + 147.5 pt42.Не курсив21.Интервал 0 pt56"/>
    <w:uiPriority w:val="99"/>
    <w:rsid w:val="003C7E8B"/>
    <w:rPr>
      <w:rFonts w:ascii="Microsoft Sans Serif" w:hAnsi="Microsoft Sans Serif" w:cs="Microsoft Sans Serif"/>
      <w:i/>
      <w:iCs/>
      <w:spacing w:val="-10"/>
      <w:sz w:val="29"/>
      <w:szCs w:val="29"/>
    </w:rPr>
  </w:style>
  <w:style w:type="paragraph" w:customStyle="1" w:styleId="1110">
    <w:name w:val="Основной текст (11)1"/>
    <w:basedOn w:val="a"/>
    <w:uiPriority w:val="99"/>
    <w:rsid w:val="003C7E8B"/>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character" w:customStyle="1" w:styleId="14pt11260pt55">
    <w:name w:val="Основной текст + 14 pt11.Курсив26.Интервал 0 pt55"/>
    <w:uiPriority w:val="99"/>
    <w:rsid w:val="003C7E8B"/>
    <w:rPr>
      <w:rFonts w:ascii="Microsoft Sans Serif" w:hAnsi="Microsoft Sans Serif" w:cs="Microsoft Sans Serif"/>
      <w:i/>
      <w:iCs/>
      <w:spacing w:val="0"/>
      <w:sz w:val="28"/>
      <w:szCs w:val="28"/>
    </w:rPr>
  </w:style>
  <w:style w:type="character" w:customStyle="1" w:styleId="111465pt41200pt54">
    <w:name w:val="Основной текст (11) + 146.5 pt41.Не курсив20.Интервал 0 pt54"/>
    <w:uiPriority w:val="99"/>
    <w:rsid w:val="003C7E8B"/>
    <w:rPr>
      <w:rFonts w:ascii="Microsoft Sans Serif" w:hAnsi="Microsoft Sans Serif" w:cs="Microsoft Sans Serif"/>
      <w:i/>
      <w:iCs/>
      <w:spacing w:val="-10"/>
      <w:sz w:val="29"/>
      <w:szCs w:val="29"/>
    </w:rPr>
  </w:style>
  <w:style w:type="character" w:customStyle="1" w:styleId="111455pt40190pt53">
    <w:name w:val="Основной текст (11) + 145.5 pt40.Не курсив19.Интервал 0 pt53"/>
    <w:uiPriority w:val="99"/>
    <w:rsid w:val="003C7E8B"/>
    <w:rPr>
      <w:rFonts w:ascii="Microsoft Sans Serif" w:hAnsi="Microsoft Sans Serif" w:cs="Microsoft Sans Serif"/>
      <w:i/>
      <w:iCs/>
      <w:spacing w:val="-10"/>
      <w:sz w:val="29"/>
      <w:szCs w:val="29"/>
    </w:rPr>
  </w:style>
  <w:style w:type="character" w:customStyle="1" w:styleId="1111">
    <w:name w:val="Основной текст (11)11"/>
    <w:uiPriority w:val="99"/>
    <w:rsid w:val="003C7E8B"/>
    <w:rPr>
      <w:rFonts w:ascii="Microsoft Sans Serif" w:hAnsi="Microsoft Sans Serif" w:cs="Microsoft Sans Serif"/>
      <w:i/>
      <w:iCs/>
      <w:sz w:val="28"/>
      <w:szCs w:val="28"/>
      <w:u w:val="single"/>
    </w:rPr>
  </w:style>
  <w:style w:type="character" w:customStyle="1" w:styleId="11SimHei1465pt39180pt52">
    <w:name w:val="Основной текст (11) + SimHei.146.5 pt39.Не курсив18.Интервал 0 pt52"/>
    <w:uiPriority w:val="99"/>
    <w:rsid w:val="003C7E8B"/>
    <w:rPr>
      <w:rFonts w:ascii="SimHei" w:eastAsia="SimHei" w:cs="SimHei"/>
      <w:i/>
      <w:iCs/>
      <w:spacing w:val="-10"/>
      <w:sz w:val="29"/>
      <w:szCs w:val="29"/>
    </w:rPr>
  </w:style>
  <w:style w:type="character" w:customStyle="1" w:styleId="111435pt36120pt48">
    <w:name w:val="Основной текст (11) + 143.5 pt36.Не курсив12.Интервал 0 pt48"/>
    <w:uiPriority w:val="99"/>
    <w:rsid w:val="003C7E8B"/>
    <w:rPr>
      <w:rFonts w:ascii="Microsoft Sans Serif" w:hAnsi="Microsoft Sans Serif" w:cs="Microsoft Sans Serif"/>
      <w:i/>
      <w:iCs/>
      <w:spacing w:val="-10"/>
      <w:sz w:val="29"/>
      <w:szCs w:val="29"/>
    </w:rPr>
  </w:style>
  <w:style w:type="character" w:customStyle="1" w:styleId="11SimHei21455pt35110pt47">
    <w:name w:val="Основной текст (11) + SimHei2.145.5 pt35.Не курсив11.Интервал 0 pt47"/>
    <w:uiPriority w:val="99"/>
    <w:rsid w:val="003C7E8B"/>
    <w:rPr>
      <w:rFonts w:ascii="SimHei" w:eastAsia="SimHei" w:cs="SimHei"/>
      <w:i/>
      <w:iCs/>
      <w:spacing w:val="-10"/>
      <w:sz w:val="29"/>
      <w:szCs w:val="29"/>
    </w:rPr>
  </w:style>
  <w:style w:type="character" w:customStyle="1" w:styleId="14pt10240pt46">
    <w:name w:val="Основной текст + 14 pt10.Курсив24.Интервал 0 pt46"/>
    <w:uiPriority w:val="99"/>
    <w:rsid w:val="003C7E8B"/>
    <w:rPr>
      <w:rFonts w:ascii="Microsoft Sans Serif" w:hAnsi="Microsoft Sans Serif" w:cs="Microsoft Sans Serif"/>
      <w:i/>
      <w:iCs/>
      <w:spacing w:val="0"/>
      <w:sz w:val="28"/>
      <w:szCs w:val="28"/>
    </w:rPr>
  </w:style>
  <w:style w:type="character" w:customStyle="1" w:styleId="111425pt34100pt45">
    <w:name w:val="Основной текст (11) + 142.5 pt34.Не курсив10.Интервал 0 pt45"/>
    <w:uiPriority w:val="99"/>
    <w:rsid w:val="003C7E8B"/>
    <w:rPr>
      <w:rFonts w:ascii="Microsoft Sans Serif" w:hAnsi="Microsoft Sans Serif" w:cs="Microsoft Sans Serif"/>
      <w:i/>
      <w:iCs/>
      <w:spacing w:val="-10"/>
      <w:sz w:val="29"/>
      <w:szCs w:val="29"/>
    </w:rPr>
  </w:style>
  <w:style w:type="character" w:customStyle="1" w:styleId="114pt4">
    <w:name w:val="Основной текст (11) + Интервал 4 pt4"/>
    <w:uiPriority w:val="99"/>
    <w:rsid w:val="003C7E8B"/>
    <w:rPr>
      <w:rFonts w:ascii="Microsoft Sans Serif" w:hAnsi="Microsoft Sans Serif" w:cs="Microsoft Sans Serif"/>
      <w:i/>
      <w:iCs/>
      <w:spacing w:val="80"/>
      <w:sz w:val="28"/>
      <w:szCs w:val="28"/>
    </w:rPr>
  </w:style>
  <w:style w:type="character" w:customStyle="1" w:styleId="118">
    <w:name w:val="Основной текст (11)8"/>
    <w:uiPriority w:val="99"/>
    <w:rsid w:val="003C7E8B"/>
    <w:rPr>
      <w:rFonts w:ascii="Microsoft Sans Serif" w:hAnsi="Microsoft Sans Serif" w:cs="Microsoft Sans Serif"/>
      <w:i/>
      <w:iCs/>
      <w:sz w:val="28"/>
      <w:szCs w:val="28"/>
    </w:rPr>
  </w:style>
  <w:style w:type="character" w:customStyle="1" w:styleId="114pt3">
    <w:name w:val="Основной текст (11) + Интервал 4 pt3"/>
    <w:uiPriority w:val="99"/>
    <w:rsid w:val="003C7E8B"/>
    <w:rPr>
      <w:rFonts w:ascii="Microsoft Sans Serif" w:hAnsi="Microsoft Sans Serif" w:cs="Microsoft Sans Serif"/>
      <w:i/>
      <w:iCs/>
      <w:spacing w:val="80"/>
      <w:sz w:val="28"/>
      <w:szCs w:val="28"/>
    </w:rPr>
  </w:style>
  <w:style w:type="paragraph" w:customStyle="1" w:styleId="161">
    <w:name w:val="Основной текст (16)"/>
    <w:basedOn w:val="a"/>
    <w:link w:val="162"/>
    <w:uiPriority w:val="99"/>
    <w:rsid w:val="003C7E8B"/>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character" w:customStyle="1" w:styleId="162">
    <w:name w:val="Основной текст (16)_"/>
    <w:link w:val="161"/>
    <w:uiPriority w:val="99"/>
    <w:rsid w:val="00A25AD1"/>
    <w:rPr>
      <w:rFonts w:ascii="Microsoft Sans Serif" w:hAnsi="Microsoft Sans Serif" w:cs="Microsoft Sans Serif"/>
      <w:noProof/>
      <w:sz w:val="19"/>
      <w:szCs w:val="19"/>
      <w:shd w:val="clear" w:color="auto" w:fill="FFFFFF"/>
      <w:lang w:val="en-US" w:eastAsia="en-US"/>
    </w:rPr>
  </w:style>
  <w:style w:type="character" w:customStyle="1" w:styleId="116">
    <w:name w:val="Основной текст (11)6"/>
    <w:uiPriority w:val="99"/>
    <w:rsid w:val="003C7E8B"/>
    <w:rPr>
      <w:rFonts w:ascii="Microsoft Sans Serif" w:hAnsi="Microsoft Sans Serif" w:cs="Microsoft Sans Serif"/>
      <w:i/>
      <w:iCs/>
      <w:sz w:val="28"/>
      <w:szCs w:val="28"/>
      <w:u w:val="single"/>
    </w:rPr>
  </w:style>
  <w:style w:type="character" w:customStyle="1" w:styleId="114">
    <w:name w:val="Основной текст (11)_"/>
    <w:rsid w:val="003C7E8B"/>
    <w:rPr>
      <w:rFonts w:ascii="Microsoft Sans Serif" w:hAnsi="Microsoft Sans Serif" w:cs="Microsoft Sans Serif"/>
      <w:i/>
      <w:iCs/>
      <w:sz w:val="28"/>
      <w:szCs w:val="28"/>
    </w:rPr>
  </w:style>
  <w:style w:type="character" w:customStyle="1" w:styleId="115">
    <w:name w:val="Основной текст (11)5"/>
    <w:uiPriority w:val="99"/>
    <w:rsid w:val="003C7E8B"/>
    <w:rPr>
      <w:rFonts w:ascii="Microsoft Sans Serif" w:hAnsi="Microsoft Sans Serif" w:cs="Microsoft Sans Serif"/>
      <w:i/>
      <w:iCs/>
      <w:sz w:val="28"/>
      <w:szCs w:val="28"/>
    </w:rPr>
  </w:style>
  <w:style w:type="character" w:customStyle="1" w:styleId="114pt2">
    <w:name w:val="Основной текст (11) + Интервал 4 pt2"/>
    <w:uiPriority w:val="99"/>
    <w:rsid w:val="003C7E8B"/>
    <w:rPr>
      <w:rFonts w:ascii="Microsoft Sans Serif" w:hAnsi="Microsoft Sans Serif" w:cs="Microsoft Sans Serif"/>
      <w:i/>
      <w:iCs/>
      <w:spacing w:val="80"/>
      <w:sz w:val="28"/>
      <w:szCs w:val="28"/>
    </w:rPr>
  </w:style>
  <w:style w:type="character" w:customStyle="1" w:styleId="111pt6">
    <w:name w:val="Основной текст (11) + Интервал 1 pt6"/>
    <w:uiPriority w:val="99"/>
    <w:rsid w:val="003C7E8B"/>
    <w:rPr>
      <w:rFonts w:ascii="Microsoft Sans Serif" w:hAnsi="Microsoft Sans Serif" w:cs="Microsoft Sans Serif"/>
      <w:i/>
      <w:iCs/>
      <w:spacing w:val="30"/>
      <w:sz w:val="28"/>
      <w:szCs w:val="28"/>
    </w:rPr>
  </w:style>
  <w:style w:type="character" w:customStyle="1" w:styleId="111pt5">
    <w:name w:val="Основной текст (11) + Интервал 1 pt5"/>
    <w:uiPriority w:val="99"/>
    <w:rsid w:val="003C7E8B"/>
    <w:rPr>
      <w:rFonts w:ascii="Microsoft Sans Serif" w:hAnsi="Microsoft Sans Serif" w:cs="Microsoft Sans Serif"/>
      <w:i/>
      <w:iCs/>
      <w:spacing w:val="30"/>
      <w:sz w:val="28"/>
      <w:szCs w:val="28"/>
    </w:rPr>
  </w:style>
  <w:style w:type="character" w:customStyle="1" w:styleId="14pt9230pt44">
    <w:name w:val="Основной текст + 14 pt9.Курсив23.Интервал 0 pt44"/>
    <w:uiPriority w:val="99"/>
    <w:rsid w:val="003C7E8B"/>
    <w:rPr>
      <w:rFonts w:ascii="Microsoft Sans Serif" w:hAnsi="Microsoft Sans Serif" w:cs="Microsoft Sans Serif"/>
      <w:i/>
      <w:iCs/>
      <w:spacing w:val="0"/>
      <w:sz w:val="28"/>
      <w:szCs w:val="28"/>
    </w:rPr>
  </w:style>
  <w:style w:type="character" w:customStyle="1" w:styleId="114pt1">
    <w:name w:val="Основной текст (11) + Интервал 4 pt1"/>
    <w:uiPriority w:val="99"/>
    <w:rsid w:val="003C7E8B"/>
    <w:rPr>
      <w:rFonts w:ascii="Microsoft Sans Serif" w:hAnsi="Microsoft Sans Serif" w:cs="Microsoft Sans Serif"/>
      <w:i/>
      <w:iCs/>
      <w:spacing w:val="80"/>
      <w:sz w:val="28"/>
      <w:szCs w:val="28"/>
    </w:rPr>
  </w:style>
  <w:style w:type="character" w:customStyle="1" w:styleId="111pt4">
    <w:name w:val="Основной текст (11) + Интервал 1 pt4"/>
    <w:uiPriority w:val="99"/>
    <w:rsid w:val="003C7E8B"/>
    <w:rPr>
      <w:rFonts w:ascii="Microsoft Sans Serif" w:hAnsi="Microsoft Sans Serif" w:cs="Microsoft Sans Serif"/>
      <w:i/>
      <w:iCs/>
      <w:spacing w:val="30"/>
      <w:sz w:val="28"/>
      <w:szCs w:val="28"/>
    </w:rPr>
  </w:style>
  <w:style w:type="character" w:customStyle="1" w:styleId="1140">
    <w:name w:val="Основной текст (11)4"/>
    <w:uiPriority w:val="99"/>
    <w:rsid w:val="003C7E8B"/>
    <w:rPr>
      <w:rFonts w:ascii="Microsoft Sans Serif" w:hAnsi="Microsoft Sans Serif" w:cs="Microsoft Sans Serif"/>
      <w:i/>
      <w:iCs/>
      <w:sz w:val="28"/>
      <w:szCs w:val="28"/>
    </w:rPr>
  </w:style>
  <w:style w:type="character" w:customStyle="1" w:styleId="111pt3">
    <w:name w:val="Основной текст (11) + Интервал 1 pt3"/>
    <w:uiPriority w:val="99"/>
    <w:rsid w:val="003C7E8B"/>
    <w:rPr>
      <w:rFonts w:ascii="Microsoft Sans Serif" w:hAnsi="Microsoft Sans Serif" w:cs="Microsoft Sans Serif"/>
      <w:i/>
      <w:iCs/>
      <w:spacing w:val="30"/>
      <w:sz w:val="28"/>
      <w:szCs w:val="28"/>
    </w:rPr>
  </w:style>
  <w:style w:type="character" w:customStyle="1" w:styleId="11SimHei1175pt339-2pt">
    <w:name w:val="Основной текст (11) + SimHei1.17.5 pt33.Не курсив9.Интервал -2 pt"/>
    <w:uiPriority w:val="99"/>
    <w:rsid w:val="003C7E8B"/>
    <w:rPr>
      <w:rFonts w:ascii="SimHei" w:eastAsia="SimHei" w:hAnsi="Microsoft Sans Serif" w:cs="SimHei"/>
      <w:i/>
      <w:iCs/>
      <w:spacing w:val="-40"/>
      <w:sz w:val="35"/>
      <w:szCs w:val="35"/>
    </w:rPr>
  </w:style>
  <w:style w:type="character" w:customStyle="1" w:styleId="111415pt3180pt43">
    <w:name w:val="Основной текст (11) + 141.5 pt31.Не курсив8.Интервал 0 pt43"/>
    <w:uiPriority w:val="99"/>
    <w:rsid w:val="003C7E8B"/>
    <w:rPr>
      <w:rFonts w:ascii="Microsoft Sans Serif" w:hAnsi="Microsoft Sans Serif" w:cs="Microsoft Sans Serif"/>
      <w:i/>
      <w:iCs/>
      <w:spacing w:val="-10"/>
      <w:sz w:val="29"/>
      <w:szCs w:val="29"/>
    </w:rPr>
  </w:style>
  <w:style w:type="character" w:customStyle="1" w:styleId="1130">
    <w:name w:val="Основной текст (11)3"/>
    <w:uiPriority w:val="99"/>
    <w:rsid w:val="003C7E8B"/>
    <w:rPr>
      <w:rFonts w:ascii="Microsoft Sans Serif" w:hAnsi="Microsoft Sans Serif" w:cs="Microsoft Sans Serif"/>
      <w:i/>
      <w:iCs/>
      <w:sz w:val="28"/>
      <w:szCs w:val="28"/>
    </w:rPr>
  </w:style>
  <w:style w:type="character" w:customStyle="1" w:styleId="111pt2">
    <w:name w:val="Основной текст (11) + Интервал 1 pt2"/>
    <w:uiPriority w:val="99"/>
    <w:rsid w:val="003C7E8B"/>
    <w:rPr>
      <w:rFonts w:ascii="Microsoft Sans Serif" w:hAnsi="Microsoft Sans Serif" w:cs="Microsoft Sans Serif"/>
      <w:i/>
      <w:iCs/>
      <w:spacing w:val="30"/>
      <w:sz w:val="28"/>
      <w:szCs w:val="28"/>
    </w:rPr>
  </w:style>
  <w:style w:type="character" w:customStyle="1" w:styleId="1120">
    <w:name w:val="Основной текст (11)2"/>
    <w:uiPriority w:val="99"/>
    <w:rsid w:val="003C7E8B"/>
    <w:rPr>
      <w:rFonts w:ascii="Microsoft Sans Serif" w:hAnsi="Microsoft Sans Serif" w:cs="Microsoft Sans Serif"/>
      <w:i/>
      <w:iCs/>
      <w:spacing w:val="0"/>
      <w:sz w:val="28"/>
      <w:szCs w:val="28"/>
    </w:rPr>
  </w:style>
  <w:style w:type="character" w:customStyle="1" w:styleId="117">
    <w:name w:val="Основной текст (11)7"/>
    <w:uiPriority w:val="99"/>
    <w:rsid w:val="003C7E8B"/>
    <w:rPr>
      <w:rFonts w:ascii="Microsoft Sans Serif" w:hAnsi="Microsoft Sans Serif" w:cs="Microsoft Sans Serif"/>
      <w:i/>
      <w:iCs/>
      <w:sz w:val="28"/>
      <w:szCs w:val="28"/>
      <w:u w:val="single"/>
    </w:rPr>
  </w:style>
  <w:style w:type="character" w:customStyle="1" w:styleId="111pt7">
    <w:name w:val="Основной текст (11) + Интервал 1 pt7"/>
    <w:uiPriority w:val="99"/>
    <w:rsid w:val="003C7E8B"/>
    <w:rPr>
      <w:rFonts w:ascii="Microsoft Sans Serif" w:hAnsi="Microsoft Sans Serif" w:cs="Microsoft Sans Serif"/>
      <w:i/>
      <w:iCs/>
      <w:spacing w:val="30"/>
      <w:sz w:val="28"/>
      <w:szCs w:val="28"/>
    </w:rPr>
  </w:style>
  <w:style w:type="character" w:customStyle="1" w:styleId="0pt18">
    <w:name w:val="Основной текст + Курсив.Интервал 0 pt18"/>
    <w:uiPriority w:val="99"/>
    <w:rsid w:val="003C7E8B"/>
    <w:rPr>
      <w:rFonts w:ascii="Arial" w:hAnsi="Arial" w:cs="Arial"/>
      <w:i/>
      <w:iCs/>
      <w:spacing w:val="-10"/>
      <w:sz w:val="16"/>
      <w:szCs w:val="16"/>
    </w:rPr>
  </w:style>
  <w:style w:type="character" w:customStyle="1" w:styleId="710">
    <w:name w:val="Основной текст (7)10"/>
    <w:uiPriority w:val="99"/>
    <w:rsid w:val="003C7E8B"/>
    <w:rPr>
      <w:rFonts w:ascii="Arial" w:hAnsi="Arial" w:cs="Arial"/>
      <w:i/>
      <w:iCs/>
      <w:spacing w:val="-10"/>
      <w:sz w:val="16"/>
      <w:szCs w:val="16"/>
      <w:u w:val="single"/>
    </w:rPr>
  </w:style>
  <w:style w:type="character" w:customStyle="1" w:styleId="15ArialNarrow18">
    <w:name w:val="Основной текст (15) + Arial Narrow.Курсив18"/>
    <w:uiPriority w:val="99"/>
    <w:rsid w:val="003C7E8B"/>
    <w:rPr>
      <w:rFonts w:ascii="Arial Narrow" w:hAnsi="Arial Narrow" w:cs="Arial Narrow"/>
      <w:i/>
      <w:iCs/>
      <w:spacing w:val="0"/>
      <w:sz w:val="15"/>
      <w:szCs w:val="15"/>
    </w:rPr>
  </w:style>
  <w:style w:type="character" w:customStyle="1" w:styleId="29Arial">
    <w:name w:val="Основной текст (29) + Arial.Не курсив"/>
    <w:uiPriority w:val="99"/>
    <w:rsid w:val="003C7E8B"/>
    <w:rPr>
      <w:rFonts w:ascii="Arial" w:hAnsi="Arial" w:cs="Arial"/>
      <w:i/>
      <w:iCs/>
      <w:sz w:val="15"/>
      <w:szCs w:val="15"/>
    </w:rPr>
  </w:style>
  <w:style w:type="character" w:customStyle="1" w:styleId="3e">
    <w:name w:val="Подпись к таблице (3)"/>
    <w:uiPriority w:val="99"/>
    <w:rsid w:val="003C7E8B"/>
    <w:rPr>
      <w:rFonts w:ascii="Arial" w:hAnsi="Arial" w:cs="Arial"/>
      <w:i/>
      <w:iCs/>
      <w:spacing w:val="-10"/>
      <w:sz w:val="16"/>
      <w:szCs w:val="16"/>
      <w:u w:val="single"/>
    </w:rPr>
  </w:style>
  <w:style w:type="character" w:customStyle="1" w:styleId="79">
    <w:name w:val="Основной текст (7)9"/>
    <w:uiPriority w:val="99"/>
    <w:rsid w:val="003C7E8B"/>
    <w:rPr>
      <w:rFonts w:ascii="Arial" w:hAnsi="Arial" w:cs="Arial"/>
      <w:i/>
      <w:iCs/>
      <w:spacing w:val="-10"/>
      <w:sz w:val="16"/>
      <w:szCs w:val="16"/>
      <w:u w:val="single"/>
    </w:rPr>
  </w:style>
  <w:style w:type="character" w:customStyle="1" w:styleId="111425pt34100pt4529Arial37pt3">
    <w:name w:val="Основной текст (11) + 142.5 pt34.Не курсив10.Интервал 0 pt45.Основной текст (29) + Arial3.7 pt3"/>
    <w:uiPriority w:val="99"/>
    <w:rsid w:val="003C7E8B"/>
    <w:rPr>
      <w:rFonts w:ascii="Microsoft Sans Serif" w:hAnsi="Microsoft Sans Serif" w:cs="Microsoft Sans Serif"/>
      <w:i/>
      <w:iCs/>
      <w:spacing w:val="-10"/>
      <w:sz w:val="29"/>
      <w:szCs w:val="29"/>
    </w:rPr>
  </w:style>
  <w:style w:type="character" w:customStyle="1" w:styleId="28ArialNarrow75pt2617">
    <w:name w:val="Основной текст (28) + Arial Narrow.7.5 pt26.Курсив17"/>
    <w:uiPriority w:val="99"/>
    <w:rsid w:val="003C7E8B"/>
    <w:rPr>
      <w:rFonts w:ascii="Arial Narrow" w:hAnsi="Arial Narrow" w:cs="Arial Narrow"/>
      <w:i/>
      <w:iCs/>
      <w:sz w:val="15"/>
      <w:szCs w:val="15"/>
    </w:rPr>
  </w:style>
  <w:style w:type="character" w:customStyle="1" w:styleId="11SimHei1175pt339-2pt785pt250pt17">
    <w:name w:val="Основной текст (11) + SimHei1.17.5 pt33.Не курсив9.Интервал -2 pt.Основной текст (7) + 8.5 pt25.Интервал 0 pt17"/>
    <w:uiPriority w:val="99"/>
    <w:rsid w:val="003C7E8B"/>
    <w:rPr>
      <w:rFonts w:ascii="SimHei" w:eastAsia="SimHei" w:cs="SimHei"/>
      <w:i/>
      <w:iCs/>
      <w:spacing w:val="-40"/>
      <w:sz w:val="35"/>
      <w:szCs w:val="35"/>
    </w:rPr>
  </w:style>
  <w:style w:type="paragraph" w:customStyle="1" w:styleId="151">
    <w:name w:val="Основной текст (15)1"/>
    <w:basedOn w:val="a"/>
    <w:uiPriority w:val="99"/>
    <w:rsid w:val="003C7E8B"/>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2">
    <w:name w:val="Подпись к таблице (3)1"/>
    <w:basedOn w:val="a"/>
    <w:uiPriority w:val="99"/>
    <w:rsid w:val="003C7E8B"/>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313">
    <w:name w:val="Основной текст (31)"/>
    <w:basedOn w:val="a"/>
    <w:link w:val="314"/>
    <w:rsid w:val="003C7E8B"/>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character" w:customStyle="1" w:styleId="314">
    <w:name w:val="Основной текст (31)_"/>
    <w:link w:val="313"/>
    <w:rsid w:val="00A25AD1"/>
    <w:rPr>
      <w:rFonts w:ascii="Microsoft Sans Serif" w:hAnsi="Microsoft Sans Serif" w:cs="Microsoft Sans Serif"/>
      <w:i/>
      <w:iCs/>
      <w:noProof/>
      <w:spacing w:val="10"/>
      <w:sz w:val="35"/>
      <w:szCs w:val="35"/>
      <w:shd w:val="clear" w:color="auto" w:fill="FFFFFF"/>
      <w:lang w:val="en-US" w:eastAsia="en-US"/>
    </w:rPr>
  </w:style>
  <w:style w:type="paragraph" w:customStyle="1" w:styleId="301">
    <w:name w:val="Основной текст (30)"/>
    <w:basedOn w:val="a"/>
    <w:link w:val="302"/>
    <w:rsid w:val="003C7E8B"/>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302">
    <w:name w:val="Основной текст (30)_"/>
    <w:link w:val="301"/>
    <w:rsid w:val="00A2792A"/>
    <w:rPr>
      <w:rFonts w:ascii="Arial" w:hAnsi="Arial" w:cs="Arial"/>
      <w:i/>
      <w:iCs/>
      <w:noProof/>
      <w:sz w:val="11"/>
      <w:szCs w:val="11"/>
      <w:shd w:val="clear" w:color="auto" w:fill="FFFFFF"/>
      <w:lang w:val="en-US"/>
    </w:rPr>
  </w:style>
  <w:style w:type="character" w:customStyle="1" w:styleId="78">
    <w:name w:val="Основной текст (7)8"/>
    <w:uiPriority w:val="99"/>
    <w:rsid w:val="003C7E8B"/>
    <w:rPr>
      <w:rFonts w:ascii="Arial" w:hAnsi="Arial" w:cs="Arial"/>
      <w:i/>
      <w:iCs/>
      <w:spacing w:val="-10"/>
      <w:sz w:val="16"/>
      <w:szCs w:val="16"/>
      <w:u w:val="single"/>
    </w:rPr>
  </w:style>
  <w:style w:type="character" w:customStyle="1" w:styleId="315">
    <w:name w:val="Основной текст (31) + Курсив"/>
    <w:uiPriority w:val="99"/>
    <w:rsid w:val="003C7E8B"/>
    <w:rPr>
      <w:rFonts w:ascii="Arial" w:hAnsi="Arial" w:cs="Arial"/>
      <w:i/>
      <w:iCs/>
      <w:spacing w:val="0"/>
      <w:sz w:val="11"/>
      <w:szCs w:val="11"/>
    </w:rPr>
  </w:style>
  <w:style w:type="character" w:customStyle="1" w:styleId="303">
    <w:name w:val="Основной текст (30) + Не курсив"/>
    <w:uiPriority w:val="99"/>
    <w:rsid w:val="003C7E8B"/>
    <w:rPr>
      <w:rFonts w:ascii="Arial" w:hAnsi="Arial" w:cs="Arial"/>
      <w:i/>
      <w:iCs/>
      <w:sz w:val="11"/>
      <w:szCs w:val="11"/>
    </w:rPr>
  </w:style>
  <w:style w:type="character" w:customStyle="1" w:styleId="85pt2415">
    <w:name w:val="Основной текст + 8.5 pt24.Полужирный15"/>
    <w:uiPriority w:val="99"/>
    <w:rsid w:val="003C7E8B"/>
    <w:rPr>
      <w:rFonts w:ascii="Arial" w:hAnsi="Arial" w:cs="Arial"/>
      <w:b/>
      <w:bCs/>
      <w:spacing w:val="0"/>
      <w:sz w:val="17"/>
      <w:szCs w:val="17"/>
    </w:rPr>
  </w:style>
  <w:style w:type="character" w:customStyle="1" w:styleId="20pt15">
    <w:name w:val="Основной текст + Курсив2.Интервал 0 pt15"/>
    <w:uiPriority w:val="99"/>
    <w:rsid w:val="003C7E8B"/>
    <w:rPr>
      <w:rFonts w:ascii="Arial" w:hAnsi="Arial" w:cs="Arial"/>
      <w:i/>
      <w:iCs/>
      <w:spacing w:val="-10"/>
      <w:sz w:val="16"/>
      <w:szCs w:val="16"/>
    </w:rPr>
  </w:style>
  <w:style w:type="character" w:customStyle="1" w:styleId="3010">
    <w:name w:val="Основной текст (30) + Не курсив1"/>
    <w:uiPriority w:val="99"/>
    <w:rsid w:val="003C7E8B"/>
    <w:rPr>
      <w:rFonts w:ascii="Arial" w:hAnsi="Arial" w:cs="Arial"/>
      <w:i/>
      <w:iCs/>
      <w:sz w:val="11"/>
      <w:szCs w:val="11"/>
    </w:rPr>
  </w:style>
  <w:style w:type="character" w:customStyle="1" w:styleId="3110">
    <w:name w:val="Основной текст (31) + Курсив1"/>
    <w:uiPriority w:val="99"/>
    <w:rsid w:val="003C7E8B"/>
    <w:rPr>
      <w:rFonts w:ascii="Arial" w:hAnsi="Arial" w:cs="Arial"/>
      <w:i/>
      <w:iCs/>
      <w:spacing w:val="0"/>
      <w:sz w:val="11"/>
      <w:szCs w:val="11"/>
    </w:rPr>
  </w:style>
  <w:style w:type="character" w:customStyle="1" w:styleId="295pt232-1pt67TimesNewRoman910pt14">
    <w:name w:val="Основной текст (2) + 9.5 pt23.Не курсив2.Интервал -1 pt6.Основной текст (7) + Times New Roman.91.Интервал 0 pt14"/>
    <w:uiPriority w:val="99"/>
    <w:rsid w:val="003C7E8B"/>
    <w:rPr>
      <w:rFonts w:ascii="Microsoft Sans Serif" w:hAnsi="Microsoft Sans Serif" w:cs="Microsoft Sans Serif"/>
      <w:i/>
      <w:iCs/>
      <w:spacing w:val="-20"/>
      <w:sz w:val="19"/>
      <w:szCs w:val="19"/>
    </w:rPr>
  </w:style>
  <w:style w:type="character" w:customStyle="1" w:styleId="70pt13">
    <w:name w:val="Основной текст (7) + Не курсив.Интервал 0 pt13"/>
    <w:uiPriority w:val="99"/>
    <w:rsid w:val="003C7E8B"/>
    <w:rPr>
      <w:rFonts w:ascii="Arial" w:hAnsi="Arial" w:cs="Arial"/>
      <w:i/>
      <w:iCs/>
      <w:spacing w:val="0"/>
      <w:sz w:val="16"/>
      <w:szCs w:val="16"/>
    </w:rPr>
  </w:style>
  <w:style w:type="character" w:customStyle="1" w:styleId="77">
    <w:name w:val="Основной текст (7)7"/>
    <w:uiPriority w:val="99"/>
    <w:rsid w:val="003C7E8B"/>
    <w:rPr>
      <w:rFonts w:ascii="Arial" w:hAnsi="Arial" w:cs="Arial"/>
      <w:i/>
      <w:iCs/>
      <w:spacing w:val="-10"/>
      <w:sz w:val="16"/>
      <w:szCs w:val="16"/>
      <w:u w:val="single"/>
    </w:rPr>
  </w:style>
  <w:style w:type="character" w:customStyle="1" w:styleId="1425pt220pt337SimHei7100pt12">
    <w:name w:val="Заголовок №1 + 42.5 pt22.Интервал 0 pt33.Основной текст (7) + SimHei.710.Интервал 0 pt12"/>
    <w:uiPriority w:val="99"/>
    <w:rsid w:val="003C7E8B"/>
    <w:rPr>
      <w:rFonts w:ascii="Arial Narrow" w:hAnsi="Arial Narrow" w:cs="Arial Narrow"/>
      <w:b/>
      <w:bCs/>
      <w:spacing w:val="0"/>
      <w:sz w:val="85"/>
      <w:szCs w:val="85"/>
    </w:rPr>
  </w:style>
  <w:style w:type="character" w:customStyle="1" w:styleId="221">
    <w:name w:val="Основной текст (22)"/>
    <w:uiPriority w:val="99"/>
    <w:rsid w:val="003C7E8B"/>
    <w:rPr>
      <w:rFonts w:ascii="Arial" w:hAnsi="Arial" w:cs="Arial"/>
      <w:i/>
      <w:iCs/>
      <w:spacing w:val="-10"/>
      <w:sz w:val="17"/>
      <w:szCs w:val="17"/>
      <w:u w:val="single"/>
    </w:rPr>
  </w:style>
  <w:style w:type="paragraph" w:customStyle="1" w:styleId="2210">
    <w:name w:val="Основной текст (22)1"/>
    <w:basedOn w:val="a"/>
    <w:uiPriority w:val="99"/>
    <w:rsid w:val="003C7E8B"/>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character" w:customStyle="1" w:styleId="2260pt23">
    <w:name w:val="Основной текст (22) + Не курсив6.Интервал 0 pt23"/>
    <w:uiPriority w:val="99"/>
    <w:rsid w:val="003C7E8B"/>
    <w:rPr>
      <w:rFonts w:ascii="Arial" w:hAnsi="Arial" w:cs="Arial"/>
      <w:i/>
      <w:iCs/>
      <w:spacing w:val="0"/>
      <w:sz w:val="17"/>
      <w:szCs w:val="17"/>
    </w:rPr>
  </w:style>
  <w:style w:type="character" w:customStyle="1" w:styleId="111415pt3180pt43294pt">
    <w:name w:val="Основной текст (11) + 141.5 pt31.Не курсив8.Интервал 0 pt43.Основной текст (29) + 4 pt"/>
    <w:uiPriority w:val="99"/>
    <w:rsid w:val="003C7E8B"/>
    <w:rPr>
      <w:rFonts w:ascii="Microsoft Sans Serif" w:hAnsi="Microsoft Sans Serif" w:cs="Microsoft Sans Serif"/>
      <w:i/>
      <w:iCs/>
      <w:spacing w:val="-10"/>
      <w:sz w:val="29"/>
      <w:szCs w:val="29"/>
    </w:rPr>
  </w:style>
  <w:style w:type="paragraph" w:customStyle="1" w:styleId="1b">
    <w:name w:val="Подпись к таблице1"/>
    <w:basedOn w:val="a"/>
    <w:uiPriority w:val="99"/>
    <w:rsid w:val="003C7E8B"/>
    <w:pPr>
      <w:shd w:val="clear" w:color="auto" w:fill="FFFFFF"/>
      <w:autoSpaceDE w:val="0"/>
      <w:autoSpaceDN w:val="0"/>
      <w:adjustRightInd w:val="0"/>
      <w:spacing w:after="0" w:line="240" w:lineRule="atLeast"/>
    </w:pPr>
    <w:rPr>
      <w:rFonts w:ascii="Arial" w:hAnsi="Arial" w:cs="Arial"/>
      <w:i/>
      <w:iCs/>
      <w:spacing w:val="-10"/>
      <w:sz w:val="17"/>
      <w:szCs w:val="17"/>
    </w:rPr>
  </w:style>
  <w:style w:type="character" w:customStyle="1" w:styleId="225">
    <w:name w:val="Основной текст (22)5"/>
    <w:uiPriority w:val="99"/>
    <w:rsid w:val="003C7E8B"/>
    <w:rPr>
      <w:rFonts w:ascii="Arial" w:hAnsi="Arial" w:cs="Arial"/>
      <w:i/>
      <w:iCs/>
      <w:spacing w:val="-10"/>
      <w:sz w:val="17"/>
      <w:szCs w:val="17"/>
      <w:u w:val="single"/>
    </w:rPr>
  </w:style>
  <w:style w:type="character" w:customStyle="1" w:styleId="80pt22">
    <w:name w:val="Основной текст + Курсив8.Интервал 0 pt22"/>
    <w:uiPriority w:val="99"/>
    <w:rsid w:val="003C7E8B"/>
    <w:rPr>
      <w:rFonts w:ascii="Arial" w:hAnsi="Arial" w:cs="Arial"/>
      <w:i/>
      <w:iCs/>
      <w:spacing w:val="-10"/>
      <w:sz w:val="17"/>
      <w:szCs w:val="17"/>
    </w:rPr>
  </w:style>
  <w:style w:type="character" w:customStyle="1" w:styleId="2250pt21">
    <w:name w:val="Основной текст (22) + Не курсив5.Интервал 0 pt21"/>
    <w:uiPriority w:val="99"/>
    <w:rsid w:val="003C7E8B"/>
    <w:rPr>
      <w:rFonts w:ascii="Arial" w:hAnsi="Arial" w:cs="Arial"/>
      <w:i/>
      <w:iCs/>
      <w:spacing w:val="0"/>
      <w:sz w:val="17"/>
      <w:szCs w:val="17"/>
    </w:rPr>
  </w:style>
  <w:style w:type="character" w:customStyle="1" w:styleId="75">
    <w:name w:val="Основной текст (7)5"/>
    <w:uiPriority w:val="99"/>
    <w:rsid w:val="003C7E8B"/>
    <w:rPr>
      <w:rFonts w:ascii="Arial" w:hAnsi="Arial" w:cs="Arial"/>
      <w:i/>
      <w:iCs/>
      <w:spacing w:val="-10"/>
      <w:sz w:val="16"/>
      <w:szCs w:val="16"/>
      <w:u w:val="single"/>
    </w:rPr>
  </w:style>
  <w:style w:type="character" w:customStyle="1" w:styleId="76">
    <w:name w:val="Основной текст (7)_"/>
    <w:rsid w:val="003C7E8B"/>
    <w:rPr>
      <w:rFonts w:ascii="Arial" w:hAnsi="Arial" w:cs="Arial"/>
      <w:i/>
      <w:iCs/>
      <w:spacing w:val="-10"/>
      <w:sz w:val="16"/>
      <w:szCs w:val="16"/>
    </w:rPr>
  </w:style>
  <w:style w:type="character" w:customStyle="1" w:styleId="740">
    <w:name w:val="Основной текст (7)4"/>
    <w:uiPriority w:val="99"/>
    <w:rsid w:val="003C7E8B"/>
    <w:rPr>
      <w:rFonts w:ascii="Arial" w:hAnsi="Arial" w:cs="Arial"/>
      <w:i/>
      <w:iCs/>
      <w:spacing w:val="-10"/>
      <w:sz w:val="16"/>
      <w:szCs w:val="16"/>
      <w:u w:val="single"/>
    </w:rPr>
  </w:style>
  <w:style w:type="character" w:customStyle="1" w:styleId="730">
    <w:name w:val="Основной текст (7)3"/>
    <w:uiPriority w:val="99"/>
    <w:rsid w:val="003C7E8B"/>
    <w:rPr>
      <w:rFonts w:ascii="Arial" w:hAnsi="Arial" w:cs="Arial"/>
      <w:i/>
      <w:iCs/>
      <w:spacing w:val="-10"/>
      <w:sz w:val="16"/>
      <w:szCs w:val="16"/>
      <w:u w:val="single"/>
    </w:rPr>
  </w:style>
  <w:style w:type="character" w:customStyle="1" w:styleId="720">
    <w:name w:val="Основной текст (7)2"/>
    <w:uiPriority w:val="99"/>
    <w:rsid w:val="003C7E8B"/>
    <w:rPr>
      <w:rFonts w:ascii="Arial" w:hAnsi="Arial" w:cs="Arial"/>
      <w:i/>
      <w:iCs/>
      <w:spacing w:val="-10"/>
      <w:sz w:val="16"/>
      <w:szCs w:val="16"/>
      <w:u w:val="single"/>
    </w:rPr>
  </w:style>
  <w:style w:type="character" w:customStyle="1" w:styleId="2FranklinGothicDemi113pt760pt417SimHei17pt20pt10">
    <w:name w:val="Основной текст (2) + Franklin Gothic Demi1.13 pt7.Не курсив6.Интервал 0 pt41.Основной текст (7) + SimHei1.7 pt2.Интервал 0 pt10"/>
    <w:uiPriority w:val="99"/>
    <w:rsid w:val="003C7E8B"/>
    <w:rPr>
      <w:rFonts w:ascii="Franklin Gothic Demi" w:hAnsi="Franklin Gothic Demi" w:cs="Franklin Gothic Demi"/>
      <w:i/>
      <w:iCs/>
      <w:spacing w:val="0"/>
      <w:sz w:val="26"/>
      <w:szCs w:val="26"/>
    </w:rPr>
  </w:style>
  <w:style w:type="character" w:customStyle="1" w:styleId="760">
    <w:name w:val="Основной текст (7)6"/>
    <w:uiPriority w:val="99"/>
    <w:rsid w:val="003C7E8B"/>
    <w:rPr>
      <w:rFonts w:ascii="Arial" w:hAnsi="Arial" w:cs="Arial"/>
      <w:i/>
      <w:iCs/>
      <w:spacing w:val="-10"/>
      <w:sz w:val="16"/>
      <w:szCs w:val="16"/>
      <w:u w:val="single"/>
    </w:rPr>
  </w:style>
  <w:style w:type="character" w:customStyle="1" w:styleId="720pt11">
    <w:name w:val="Основной текст (7) + Не курсив2.Интервал 0 pt11"/>
    <w:uiPriority w:val="99"/>
    <w:rsid w:val="003C7E8B"/>
    <w:rPr>
      <w:rFonts w:ascii="Arial" w:hAnsi="Arial" w:cs="Arial"/>
      <w:i/>
      <w:iCs/>
      <w:spacing w:val="0"/>
      <w:sz w:val="16"/>
      <w:szCs w:val="16"/>
    </w:rPr>
  </w:style>
  <w:style w:type="character" w:customStyle="1" w:styleId="0pt186">
    <w:name w:val="Основной текст + Курсив.Интервал 0 pt18.Основной текст + Курсив6"/>
    <w:uiPriority w:val="99"/>
    <w:rsid w:val="003C7E8B"/>
    <w:rPr>
      <w:rFonts w:ascii="Arial" w:hAnsi="Arial" w:cs="Arial"/>
      <w:i/>
      <w:iCs/>
      <w:spacing w:val="-10"/>
      <w:sz w:val="16"/>
      <w:szCs w:val="16"/>
    </w:rPr>
  </w:style>
  <w:style w:type="character" w:customStyle="1" w:styleId="SimHei735pt19">
    <w:name w:val="Основной текст + SimHei.73.5 pt19"/>
    <w:uiPriority w:val="99"/>
    <w:rsid w:val="003C7E8B"/>
    <w:rPr>
      <w:rFonts w:ascii="SimHei" w:eastAsia="SimHei" w:hAnsi="Microsoft Sans Serif" w:cs="SimHei"/>
      <w:spacing w:val="0"/>
      <w:sz w:val="15"/>
      <w:szCs w:val="15"/>
    </w:rPr>
  </w:style>
  <w:style w:type="character" w:customStyle="1" w:styleId="222">
    <w:name w:val="Основной текст (22)2"/>
    <w:uiPriority w:val="99"/>
    <w:rsid w:val="003C7E8B"/>
    <w:rPr>
      <w:rFonts w:ascii="Arial" w:hAnsi="Arial" w:cs="Arial"/>
      <w:i/>
      <w:iCs/>
      <w:spacing w:val="-10"/>
      <w:sz w:val="17"/>
      <w:szCs w:val="17"/>
      <w:u w:val="single"/>
    </w:rPr>
  </w:style>
  <w:style w:type="character" w:customStyle="1" w:styleId="223">
    <w:name w:val="Основной текст (22)_"/>
    <w:uiPriority w:val="99"/>
    <w:rsid w:val="003C7E8B"/>
    <w:rPr>
      <w:rFonts w:ascii="Arial" w:hAnsi="Arial" w:cs="Arial"/>
      <w:i/>
      <w:iCs/>
      <w:spacing w:val="-10"/>
      <w:sz w:val="17"/>
      <w:szCs w:val="17"/>
    </w:rPr>
  </w:style>
  <w:style w:type="character" w:customStyle="1" w:styleId="295pt232-1pt67TimesNewRoman910pt1422322SimHei725pt13">
    <w:name w:val="Основной текст (2) + 9.5 pt23.Не курсив2.Интервал -1 pt6.Основной текст (7) + Times New Roman.91.Интервал 0 pt14.Основной текст (22) + Не курсив3.Основной текст (22) + SimHei.72.5 pt13"/>
    <w:uiPriority w:val="99"/>
    <w:rsid w:val="003C7E8B"/>
    <w:rPr>
      <w:rFonts w:ascii="Microsoft Sans Serif" w:hAnsi="Microsoft Sans Serif" w:cs="Microsoft Sans Serif"/>
      <w:i/>
      <w:iCs/>
      <w:spacing w:val="-20"/>
      <w:sz w:val="19"/>
      <w:szCs w:val="19"/>
    </w:rPr>
  </w:style>
  <w:style w:type="character" w:customStyle="1" w:styleId="70pt13222">
    <w:name w:val="Основной текст (7) + Не курсив.Интервал 0 pt13.Основной текст (22) + Не курсив2"/>
    <w:uiPriority w:val="99"/>
    <w:rsid w:val="003C7E8B"/>
    <w:rPr>
      <w:rFonts w:ascii="Arial" w:hAnsi="Arial" w:cs="Arial"/>
      <w:i/>
      <w:iCs/>
      <w:spacing w:val="0"/>
      <w:sz w:val="16"/>
      <w:szCs w:val="16"/>
    </w:rPr>
  </w:style>
  <w:style w:type="character" w:customStyle="1" w:styleId="224">
    <w:name w:val="Основной текст (22)4"/>
    <w:uiPriority w:val="99"/>
    <w:rsid w:val="003C7E8B"/>
    <w:rPr>
      <w:rFonts w:ascii="Arial" w:hAnsi="Arial" w:cs="Arial"/>
      <w:i/>
      <w:iCs/>
      <w:spacing w:val="-10"/>
      <w:sz w:val="17"/>
      <w:szCs w:val="17"/>
      <w:u w:val="single"/>
    </w:rPr>
  </w:style>
  <w:style w:type="character" w:customStyle="1" w:styleId="2230">
    <w:name w:val="Основной текст (22)3"/>
    <w:uiPriority w:val="99"/>
    <w:rsid w:val="003C7E8B"/>
    <w:rPr>
      <w:rFonts w:ascii="Arial" w:hAnsi="Arial" w:cs="Arial"/>
      <w:i/>
      <w:iCs/>
      <w:spacing w:val="-10"/>
      <w:sz w:val="17"/>
      <w:szCs w:val="17"/>
      <w:u w:val="single"/>
    </w:rPr>
  </w:style>
  <w:style w:type="character" w:customStyle="1" w:styleId="70pt20">
    <w:name w:val="Основной текст + Курсив7.Интервал 0 pt20"/>
    <w:uiPriority w:val="99"/>
    <w:rsid w:val="003C7E8B"/>
    <w:rPr>
      <w:rFonts w:ascii="Arial" w:hAnsi="Arial" w:cs="Arial"/>
      <w:i/>
      <w:iCs/>
      <w:spacing w:val="-10"/>
      <w:sz w:val="17"/>
      <w:szCs w:val="17"/>
    </w:rPr>
  </w:style>
  <w:style w:type="character" w:customStyle="1" w:styleId="2240pt19">
    <w:name w:val="Основной текст (22) + Не курсив4.Интервал 0 pt19"/>
    <w:uiPriority w:val="99"/>
    <w:rsid w:val="003C7E8B"/>
    <w:rPr>
      <w:rFonts w:ascii="Arial" w:hAnsi="Arial" w:cs="Arial"/>
      <w:i/>
      <w:iCs/>
      <w:spacing w:val="0"/>
      <w:sz w:val="17"/>
      <w:szCs w:val="17"/>
    </w:rPr>
  </w:style>
  <w:style w:type="paragraph" w:customStyle="1" w:styleId="320">
    <w:name w:val="Основной текст (32)"/>
    <w:basedOn w:val="a"/>
    <w:link w:val="321"/>
    <w:rsid w:val="003C7E8B"/>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character" w:customStyle="1" w:styleId="321">
    <w:name w:val="Основной текст (32)_"/>
    <w:link w:val="320"/>
    <w:rsid w:val="00A25AD1"/>
    <w:rPr>
      <w:rFonts w:ascii="Arial Narrow" w:hAnsi="Arial Narrow" w:cs="Arial Narrow"/>
      <w:b/>
      <w:bCs/>
      <w:noProof/>
      <w:spacing w:val="-20"/>
      <w:sz w:val="67"/>
      <w:szCs w:val="67"/>
      <w:shd w:val="clear" w:color="auto" w:fill="FFFFFF"/>
      <w:lang w:val="en-US" w:eastAsia="en-US"/>
    </w:rPr>
  </w:style>
  <w:style w:type="character" w:customStyle="1" w:styleId="20pt29">
    <w:name w:val="Основной текст (2) + Не курсив.Интервал 0 pt29"/>
    <w:uiPriority w:val="99"/>
    <w:rsid w:val="003C7E8B"/>
    <w:rPr>
      <w:rFonts w:ascii="Arial" w:hAnsi="Arial" w:cs="Arial"/>
      <w:i/>
      <w:iCs/>
      <w:spacing w:val="0"/>
      <w:sz w:val="16"/>
      <w:szCs w:val="16"/>
    </w:rPr>
  </w:style>
  <w:style w:type="character" w:customStyle="1" w:styleId="283">
    <w:name w:val="Основной текст (2)8"/>
    <w:uiPriority w:val="99"/>
    <w:rsid w:val="003C7E8B"/>
    <w:rPr>
      <w:rFonts w:ascii="Arial" w:hAnsi="Arial" w:cs="Arial"/>
      <w:i/>
      <w:iCs/>
      <w:spacing w:val="-10"/>
      <w:sz w:val="16"/>
      <w:szCs w:val="16"/>
      <w:u w:val="single"/>
    </w:rPr>
  </w:style>
  <w:style w:type="character" w:customStyle="1" w:styleId="2SimHei75pt790pt28">
    <w:name w:val="Основной текст (2) + SimHei.7.5 pt7.Не курсив9.Интервал 0 pt28"/>
    <w:uiPriority w:val="99"/>
    <w:rsid w:val="003C7E8B"/>
    <w:rPr>
      <w:rFonts w:ascii="SimHei" w:eastAsia="SimHei" w:cs="SimHei"/>
      <w:i/>
      <w:iCs/>
      <w:spacing w:val="0"/>
      <w:sz w:val="15"/>
      <w:szCs w:val="15"/>
    </w:rPr>
  </w:style>
  <w:style w:type="character" w:customStyle="1" w:styleId="272">
    <w:name w:val="Основной текст (2)7"/>
    <w:uiPriority w:val="99"/>
    <w:rsid w:val="003C7E8B"/>
    <w:rPr>
      <w:rFonts w:ascii="Arial" w:hAnsi="Arial" w:cs="Arial"/>
      <w:i/>
      <w:iCs/>
      <w:spacing w:val="-10"/>
      <w:sz w:val="16"/>
      <w:szCs w:val="16"/>
      <w:u w:val="single"/>
    </w:rPr>
  </w:style>
  <w:style w:type="character" w:customStyle="1" w:styleId="260">
    <w:name w:val="Основной текст (2)6"/>
    <w:uiPriority w:val="99"/>
    <w:rsid w:val="003C7E8B"/>
    <w:rPr>
      <w:rFonts w:ascii="Arial" w:hAnsi="Arial" w:cs="Arial"/>
      <w:i/>
      <w:iCs/>
      <w:spacing w:val="-10"/>
      <w:sz w:val="16"/>
      <w:szCs w:val="16"/>
      <w:u w:val="single"/>
    </w:rPr>
  </w:style>
  <w:style w:type="character" w:customStyle="1" w:styleId="110pt26">
    <w:name w:val="Основной текст + Курсив11.Интервал 0 pt26"/>
    <w:uiPriority w:val="99"/>
    <w:rsid w:val="003C7E8B"/>
    <w:rPr>
      <w:rFonts w:ascii="Arial" w:hAnsi="Arial" w:cs="Arial"/>
      <w:i/>
      <w:iCs/>
      <w:spacing w:val="-10"/>
      <w:sz w:val="16"/>
      <w:szCs w:val="16"/>
      <w:u w:val="single"/>
    </w:rPr>
  </w:style>
  <w:style w:type="character" w:customStyle="1" w:styleId="2BookmanOldStyle825pt680pt25">
    <w:name w:val="Основной текст (2) + Bookman Old Style.82.5 pt6.Не курсив8.Интервал 0 pt25"/>
    <w:uiPriority w:val="99"/>
    <w:rsid w:val="003C7E8B"/>
    <w:rPr>
      <w:rFonts w:ascii="Bookman Old Style" w:hAnsi="Bookman Old Style" w:cs="Bookman Old Style"/>
      <w:i/>
      <w:iCs/>
      <w:spacing w:val="0"/>
      <w:sz w:val="17"/>
      <w:szCs w:val="17"/>
    </w:rPr>
  </w:style>
  <w:style w:type="character" w:customStyle="1" w:styleId="280pt24">
    <w:name w:val="Основной текст (2) + Не курсив8.Интервал 0 pt24"/>
    <w:uiPriority w:val="99"/>
    <w:rsid w:val="003C7E8B"/>
    <w:rPr>
      <w:rFonts w:ascii="Arial" w:hAnsi="Arial" w:cs="Arial"/>
      <w:i/>
      <w:iCs/>
      <w:spacing w:val="0"/>
      <w:sz w:val="16"/>
      <w:szCs w:val="16"/>
    </w:rPr>
  </w:style>
  <w:style w:type="character" w:customStyle="1" w:styleId="2SimHei2715pt350pt23">
    <w:name w:val="Основной текст (2) + SimHei2.71.5 pt3.Не курсив5.Интервал 0 pt23"/>
    <w:uiPriority w:val="99"/>
    <w:rsid w:val="003C7E8B"/>
    <w:rPr>
      <w:rFonts w:ascii="SimHei" w:eastAsia="SimHei" w:cs="SimHei"/>
      <w:i/>
      <w:iCs/>
      <w:spacing w:val="0"/>
      <w:sz w:val="15"/>
      <w:szCs w:val="15"/>
    </w:rPr>
  </w:style>
  <w:style w:type="character" w:customStyle="1" w:styleId="251">
    <w:name w:val="Основной текст (2)5"/>
    <w:uiPriority w:val="99"/>
    <w:rsid w:val="003C7E8B"/>
    <w:rPr>
      <w:rFonts w:ascii="Arial" w:hAnsi="Arial" w:cs="Arial"/>
      <w:i/>
      <w:iCs/>
      <w:spacing w:val="-10"/>
      <w:sz w:val="16"/>
      <w:szCs w:val="16"/>
      <w:u w:val="single"/>
    </w:rPr>
  </w:style>
  <w:style w:type="character" w:customStyle="1" w:styleId="270pt22">
    <w:name w:val="Основной текст (2) + Не курсив7.Интервал 0 pt22"/>
    <w:uiPriority w:val="99"/>
    <w:rsid w:val="003C7E8B"/>
    <w:rPr>
      <w:rFonts w:ascii="Arial" w:hAnsi="Arial" w:cs="Arial"/>
      <w:i/>
      <w:iCs/>
      <w:spacing w:val="0"/>
      <w:sz w:val="16"/>
      <w:szCs w:val="16"/>
    </w:rPr>
  </w:style>
  <w:style w:type="character" w:customStyle="1" w:styleId="2SimHei17pt40pt21">
    <w:name w:val="Основной текст (2) + SimHei1.7 pt.Не курсив4.Интервал 0 pt21"/>
    <w:uiPriority w:val="99"/>
    <w:rsid w:val="003C7E8B"/>
    <w:rPr>
      <w:rFonts w:ascii="SimHei" w:eastAsia="SimHei" w:cs="SimHei"/>
      <w:i/>
      <w:iCs/>
      <w:spacing w:val="0"/>
      <w:sz w:val="14"/>
      <w:szCs w:val="14"/>
    </w:rPr>
  </w:style>
  <w:style w:type="character" w:customStyle="1" w:styleId="241">
    <w:name w:val="Основной текст (2)4"/>
    <w:uiPriority w:val="99"/>
    <w:rsid w:val="003C7E8B"/>
    <w:rPr>
      <w:rFonts w:ascii="Arial" w:hAnsi="Arial" w:cs="Arial"/>
      <w:i/>
      <w:iCs/>
      <w:spacing w:val="-10"/>
      <w:sz w:val="16"/>
      <w:szCs w:val="16"/>
      <w:u w:val="single"/>
    </w:rPr>
  </w:style>
  <w:style w:type="character" w:customStyle="1" w:styleId="230">
    <w:name w:val="Основной текст (2)3"/>
    <w:uiPriority w:val="99"/>
    <w:rsid w:val="003C7E8B"/>
    <w:rPr>
      <w:rFonts w:ascii="Arial" w:hAnsi="Arial" w:cs="Arial"/>
      <w:i/>
      <w:iCs/>
      <w:spacing w:val="-10"/>
      <w:sz w:val="16"/>
      <w:szCs w:val="16"/>
      <w:u w:val="single"/>
    </w:rPr>
  </w:style>
  <w:style w:type="character" w:customStyle="1" w:styleId="260pt20">
    <w:name w:val="Основной текст (2) + Не курсив6.Интервал 0 pt20"/>
    <w:uiPriority w:val="99"/>
    <w:rsid w:val="003C7E8B"/>
    <w:rPr>
      <w:rFonts w:ascii="Arial" w:hAnsi="Arial" w:cs="Arial"/>
      <w:i/>
      <w:iCs/>
      <w:spacing w:val="0"/>
      <w:sz w:val="16"/>
      <w:szCs w:val="16"/>
    </w:rPr>
  </w:style>
  <w:style w:type="character" w:customStyle="1" w:styleId="226">
    <w:name w:val="Основной текст (2)2"/>
    <w:uiPriority w:val="99"/>
    <w:rsid w:val="003C7E8B"/>
    <w:rPr>
      <w:rFonts w:ascii="Arial" w:hAnsi="Arial" w:cs="Arial"/>
      <w:i/>
      <w:iCs/>
      <w:spacing w:val="-10"/>
      <w:sz w:val="16"/>
      <w:szCs w:val="16"/>
      <w:u w:val="single"/>
    </w:rPr>
  </w:style>
  <w:style w:type="character" w:customStyle="1" w:styleId="5136">
    <w:name w:val="Основной текст (5)136"/>
    <w:uiPriority w:val="99"/>
    <w:rsid w:val="003C7E8B"/>
    <w:rPr>
      <w:i/>
      <w:iCs/>
      <w:sz w:val="16"/>
      <w:szCs w:val="16"/>
    </w:rPr>
  </w:style>
  <w:style w:type="character" w:customStyle="1" w:styleId="58545pt75630pt128">
    <w:name w:val="Основной текст (5) + 854.5 pt75.Не курсив63.Интервал 0 pt128"/>
    <w:uiPriority w:val="99"/>
    <w:rsid w:val="003C7E8B"/>
    <w:rPr>
      <w:i/>
      <w:iCs/>
      <w:spacing w:val="-10"/>
      <w:sz w:val="17"/>
      <w:szCs w:val="17"/>
    </w:rPr>
  </w:style>
  <w:style w:type="character" w:customStyle="1" w:styleId="5133">
    <w:name w:val="Основной текст (5)133"/>
    <w:uiPriority w:val="99"/>
    <w:rsid w:val="003C7E8B"/>
    <w:rPr>
      <w:rFonts w:ascii="Arial Unicode MS" w:eastAsia="Arial Unicode MS" w:cs="Arial Unicode MS"/>
      <w:i/>
      <w:iCs/>
      <w:noProof/>
      <w:sz w:val="16"/>
      <w:szCs w:val="16"/>
    </w:rPr>
  </w:style>
  <w:style w:type="character" w:customStyle="1" w:styleId="5132">
    <w:name w:val="Основной текст (5)132"/>
    <w:uiPriority w:val="99"/>
    <w:rsid w:val="003C7E8B"/>
    <w:rPr>
      <w:rFonts w:ascii="Arial Unicode MS" w:eastAsia="Arial Unicode MS" w:cs="Arial Unicode MS"/>
      <w:i/>
      <w:iCs/>
      <w:noProof/>
      <w:sz w:val="16"/>
      <w:szCs w:val="16"/>
    </w:rPr>
  </w:style>
  <w:style w:type="character" w:customStyle="1" w:styleId="5131">
    <w:name w:val="Основной текст (5)131"/>
    <w:uiPriority w:val="99"/>
    <w:rsid w:val="003C7E8B"/>
    <w:rPr>
      <w:i/>
      <w:iCs/>
      <w:sz w:val="16"/>
      <w:szCs w:val="16"/>
    </w:rPr>
  </w:style>
  <w:style w:type="character" w:customStyle="1" w:styleId="5130">
    <w:name w:val="Основной текст (5)130"/>
    <w:uiPriority w:val="99"/>
    <w:rsid w:val="003C7E8B"/>
    <w:rPr>
      <w:rFonts w:ascii="Arial Unicode MS" w:eastAsia="Arial Unicode MS" w:cs="Arial Unicode MS"/>
      <w:i/>
      <w:iCs/>
      <w:noProof/>
      <w:sz w:val="16"/>
      <w:szCs w:val="16"/>
    </w:rPr>
  </w:style>
  <w:style w:type="character" w:customStyle="1" w:styleId="5116">
    <w:name w:val="Основной текст (5)116"/>
    <w:uiPriority w:val="99"/>
    <w:rsid w:val="003C7E8B"/>
    <w:rPr>
      <w:i/>
      <w:iCs/>
      <w:spacing w:val="0"/>
      <w:sz w:val="16"/>
      <w:szCs w:val="16"/>
    </w:rPr>
  </w:style>
  <w:style w:type="character" w:customStyle="1" w:styleId="59">
    <w:name w:val="Основной текст (5)_"/>
    <w:rsid w:val="003C7E8B"/>
    <w:rPr>
      <w:i/>
      <w:iCs/>
      <w:sz w:val="16"/>
      <w:szCs w:val="16"/>
    </w:rPr>
  </w:style>
  <w:style w:type="character" w:customStyle="1" w:styleId="5113">
    <w:name w:val="Основной текст (5)113"/>
    <w:uiPriority w:val="99"/>
    <w:rsid w:val="003C7E8B"/>
    <w:rPr>
      <w:i/>
      <w:iCs/>
      <w:spacing w:val="0"/>
      <w:sz w:val="16"/>
      <w:szCs w:val="16"/>
      <w:u w:val="single"/>
    </w:rPr>
  </w:style>
  <w:style w:type="character" w:customStyle="1" w:styleId="5117">
    <w:name w:val="Основной текст (5)117"/>
    <w:uiPriority w:val="99"/>
    <w:rsid w:val="003C7E8B"/>
    <w:rPr>
      <w:i/>
      <w:iCs/>
      <w:spacing w:val="0"/>
      <w:sz w:val="16"/>
      <w:szCs w:val="16"/>
    </w:rPr>
  </w:style>
  <w:style w:type="character" w:customStyle="1" w:styleId="5106">
    <w:name w:val="Основной текст (5)106"/>
    <w:uiPriority w:val="99"/>
    <w:rsid w:val="003C7E8B"/>
    <w:rPr>
      <w:i/>
      <w:iCs/>
      <w:spacing w:val="0"/>
      <w:sz w:val="16"/>
      <w:szCs w:val="16"/>
    </w:rPr>
  </w:style>
  <w:style w:type="character" w:customStyle="1" w:styleId="5105">
    <w:name w:val="Основной текст (5)105"/>
    <w:uiPriority w:val="99"/>
    <w:rsid w:val="003C7E8B"/>
    <w:rPr>
      <w:rFonts w:ascii="Arial Unicode MS" w:eastAsia="Arial Unicode MS" w:cs="Arial Unicode MS"/>
      <w:i/>
      <w:iCs/>
      <w:noProof/>
      <w:spacing w:val="0"/>
      <w:sz w:val="16"/>
      <w:szCs w:val="16"/>
    </w:rPr>
  </w:style>
  <w:style w:type="character" w:customStyle="1" w:styleId="5104">
    <w:name w:val="Основной текст (5)104"/>
    <w:uiPriority w:val="99"/>
    <w:rsid w:val="003C7E8B"/>
    <w:rPr>
      <w:i/>
      <w:iCs/>
      <w:spacing w:val="0"/>
      <w:sz w:val="16"/>
      <w:szCs w:val="16"/>
      <w:u w:val="single"/>
    </w:rPr>
  </w:style>
  <w:style w:type="character" w:customStyle="1" w:styleId="5103">
    <w:name w:val="Основной текст (5)103"/>
    <w:uiPriority w:val="99"/>
    <w:rsid w:val="003C7E8B"/>
    <w:rPr>
      <w:rFonts w:ascii="Arial Unicode MS" w:eastAsia="Arial Unicode MS" w:cs="Arial Unicode MS"/>
      <w:i/>
      <w:iCs/>
      <w:noProof/>
      <w:spacing w:val="0"/>
      <w:sz w:val="16"/>
      <w:szCs w:val="16"/>
    </w:rPr>
  </w:style>
  <w:style w:type="character" w:customStyle="1" w:styleId="5102">
    <w:name w:val="Основной текст (5)102"/>
    <w:uiPriority w:val="99"/>
    <w:rsid w:val="003C7E8B"/>
    <w:rPr>
      <w:rFonts w:ascii="Arial Unicode MS" w:eastAsia="Arial Unicode MS" w:cs="Arial Unicode MS"/>
      <w:i/>
      <w:iCs/>
      <w:noProof/>
      <w:spacing w:val="0"/>
      <w:sz w:val="16"/>
      <w:szCs w:val="16"/>
    </w:rPr>
  </w:style>
  <w:style w:type="character" w:customStyle="1" w:styleId="530">
    <w:name w:val="Заголовок №53"/>
    <w:uiPriority w:val="99"/>
    <w:rsid w:val="003C7E8B"/>
    <w:rPr>
      <w:rFonts w:ascii="Arial Unicode MS" w:eastAsia="Arial Unicode MS" w:hAnsi="Tahoma" w:cs="Arial Unicode MS"/>
      <w:i/>
      <w:iCs/>
      <w:noProof/>
      <w:sz w:val="16"/>
      <w:szCs w:val="16"/>
    </w:rPr>
  </w:style>
  <w:style w:type="character" w:customStyle="1" w:styleId="5a">
    <w:name w:val="Заголовок №5_"/>
    <w:rsid w:val="003C7E8B"/>
    <w:rPr>
      <w:rFonts w:ascii="Tahoma" w:hAnsi="Tahoma" w:cs="Tahoma"/>
      <w:sz w:val="31"/>
      <w:szCs w:val="31"/>
    </w:rPr>
  </w:style>
  <w:style w:type="character" w:customStyle="1" w:styleId="58485pt69580pt120">
    <w:name w:val="Основной текст (5) + 848.5 pt69.Не курсив58.Интервал 0 pt120"/>
    <w:uiPriority w:val="99"/>
    <w:rsid w:val="003C7E8B"/>
    <w:rPr>
      <w:i/>
      <w:iCs/>
      <w:spacing w:val="-10"/>
      <w:sz w:val="17"/>
      <w:szCs w:val="17"/>
    </w:rPr>
  </w:style>
  <w:style w:type="character" w:customStyle="1" w:styleId="521">
    <w:name w:val="Заголовок №52"/>
    <w:uiPriority w:val="99"/>
    <w:rsid w:val="003C7E8B"/>
    <w:rPr>
      <w:rFonts w:ascii="Tahoma" w:hAnsi="Tahoma" w:cs="Tahoma"/>
      <w:i/>
      <w:iCs/>
      <w:sz w:val="16"/>
      <w:szCs w:val="16"/>
      <w:u w:val="single"/>
    </w:rPr>
  </w:style>
  <w:style w:type="character" w:customStyle="1" w:styleId="5101">
    <w:name w:val="Основной текст (5)101"/>
    <w:uiPriority w:val="99"/>
    <w:rsid w:val="003C7E8B"/>
    <w:rPr>
      <w:i/>
      <w:iCs/>
      <w:spacing w:val="0"/>
      <w:sz w:val="16"/>
      <w:szCs w:val="16"/>
    </w:rPr>
  </w:style>
  <w:style w:type="character" w:customStyle="1" w:styleId="5100">
    <w:name w:val="Основной текст (5)100"/>
    <w:uiPriority w:val="99"/>
    <w:rsid w:val="003C7E8B"/>
    <w:rPr>
      <w:rFonts w:ascii="Arial Unicode MS" w:eastAsia="Arial Unicode MS" w:cs="Arial Unicode MS"/>
      <w:i/>
      <w:iCs/>
      <w:noProof/>
      <w:spacing w:val="0"/>
      <w:sz w:val="16"/>
      <w:szCs w:val="16"/>
    </w:rPr>
  </w:style>
  <w:style w:type="character" w:customStyle="1" w:styleId="599">
    <w:name w:val="Основной текст (5)99"/>
    <w:uiPriority w:val="99"/>
    <w:rsid w:val="003C7E8B"/>
    <w:rPr>
      <w:rFonts w:ascii="Arial Unicode MS" w:eastAsia="Arial Unicode MS" w:cs="Arial Unicode MS"/>
      <w:i/>
      <w:iCs/>
      <w:noProof/>
      <w:spacing w:val="0"/>
      <w:sz w:val="16"/>
      <w:szCs w:val="16"/>
    </w:rPr>
  </w:style>
  <w:style w:type="character" w:customStyle="1" w:styleId="58475pt68570pt119">
    <w:name w:val="Основной текст (5) + 847.5 pt68.Не курсив57.Интервал 0 pt119"/>
    <w:uiPriority w:val="99"/>
    <w:rsid w:val="003C7E8B"/>
    <w:rPr>
      <w:i/>
      <w:iCs/>
      <w:spacing w:val="-10"/>
      <w:sz w:val="17"/>
      <w:szCs w:val="17"/>
    </w:rPr>
  </w:style>
  <w:style w:type="character" w:customStyle="1" w:styleId="598">
    <w:name w:val="Основной текст (5)98"/>
    <w:uiPriority w:val="99"/>
    <w:rsid w:val="003C7E8B"/>
    <w:rPr>
      <w:i/>
      <w:iCs/>
      <w:spacing w:val="0"/>
      <w:sz w:val="16"/>
      <w:szCs w:val="16"/>
      <w:u w:val="single"/>
    </w:rPr>
  </w:style>
  <w:style w:type="character" w:customStyle="1" w:styleId="597">
    <w:name w:val="Основной текст (5)97"/>
    <w:uiPriority w:val="99"/>
    <w:rsid w:val="003C7E8B"/>
    <w:rPr>
      <w:rFonts w:ascii="Arial Unicode MS" w:eastAsia="Arial Unicode MS" w:cs="Arial Unicode MS"/>
      <w:i/>
      <w:iCs/>
      <w:noProof/>
      <w:spacing w:val="0"/>
      <w:sz w:val="16"/>
      <w:szCs w:val="16"/>
      <w:u w:val="single"/>
    </w:rPr>
  </w:style>
  <w:style w:type="paragraph" w:customStyle="1" w:styleId="513">
    <w:name w:val="Заголовок №51"/>
    <w:basedOn w:val="a"/>
    <w:uiPriority w:val="99"/>
    <w:rsid w:val="003C7E8B"/>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paragraph" w:customStyle="1" w:styleId="1210">
    <w:name w:val="Основной текст (12)1"/>
    <w:basedOn w:val="a"/>
    <w:uiPriority w:val="99"/>
    <w:rsid w:val="003C7E8B"/>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100pt30">
    <w:name w:val="Основной текст + Курсив10.Интервал 0 pt30"/>
    <w:uiPriority w:val="99"/>
    <w:rsid w:val="003C7E8B"/>
    <w:rPr>
      <w:rFonts w:ascii="Microsoft Sans Serif" w:hAnsi="Microsoft Sans Serif" w:cs="Microsoft Sans Serif"/>
      <w:i/>
      <w:iCs/>
      <w:spacing w:val="0"/>
      <w:sz w:val="16"/>
      <w:szCs w:val="16"/>
    </w:rPr>
  </w:style>
  <w:style w:type="character" w:customStyle="1" w:styleId="120pt29">
    <w:name w:val="Основной текст (12) + Не курсив.Интервал 0 pt29"/>
    <w:uiPriority w:val="99"/>
    <w:rsid w:val="003C7E8B"/>
    <w:rPr>
      <w:rFonts w:ascii="Microsoft Sans Serif" w:hAnsi="Microsoft Sans Serif" w:cs="Microsoft Sans Serif"/>
      <w:i/>
      <w:iCs/>
      <w:spacing w:val="-10"/>
      <w:sz w:val="16"/>
      <w:szCs w:val="16"/>
    </w:rPr>
  </w:style>
  <w:style w:type="character" w:customStyle="1" w:styleId="1260pt28">
    <w:name w:val="Основной текст (12) + Не курсив6.Интервал 0 pt28"/>
    <w:uiPriority w:val="99"/>
    <w:rsid w:val="003C7E8B"/>
    <w:rPr>
      <w:rFonts w:ascii="Microsoft Sans Serif" w:hAnsi="Microsoft Sans Serif" w:cs="Microsoft Sans Serif"/>
      <w:i/>
      <w:iCs/>
      <w:spacing w:val="-10"/>
      <w:sz w:val="16"/>
      <w:szCs w:val="16"/>
    </w:rPr>
  </w:style>
  <w:style w:type="character" w:customStyle="1" w:styleId="90pt27">
    <w:name w:val="Основной текст + Курсив9.Интервал 0 pt27"/>
    <w:uiPriority w:val="99"/>
    <w:rsid w:val="003C7E8B"/>
    <w:rPr>
      <w:rFonts w:ascii="Microsoft Sans Serif" w:hAnsi="Microsoft Sans Serif" w:cs="Microsoft Sans Serif"/>
      <w:i/>
      <w:iCs/>
      <w:spacing w:val="0"/>
      <w:sz w:val="16"/>
      <w:szCs w:val="16"/>
    </w:rPr>
  </w:style>
  <w:style w:type="character" w:customStyle="1" w:styleId="126">
    <w:name w:val="Основной текст (12)6"/>
    <w:uiPriority w:val="99"/>
    <w:rsid w:val="003C7E8B"/>
    <w:rPr>
      <w:rFonts w:ascii="Microsoft Sans Serif" w:hAnsi="Microsoft Sans Serif" w:cs="Microsoft Sans Serif"/>
      <w:i/>
      <w:iCs/>
      <w:spacing w:val="0"/>
      <w:sz w:val="16"/>
      <w:szCs w:val="16"/>
      <w:u w:val="single"/>
    </w:rPr>
  </w:style>
  <w:style w:type="character" w:customStyle="1" w:styleId="80pt26">
    <w:name w:val="Основной текст + Курсив8.Интервал 0 pt26"/>
    <w:uiPriority w:val="99"/>
    <w:rsid w:val="003C7E8B"/>
    <w:rPr>
      <w:rFonts w:ascii="Microsoft Sans Serif" w:hAnsi="Microsoft Sans Serif" w:cs="Microsoft Sans Serif"/>
      <w:i/>
      <w:iCs/>
      <w:spacing w:val="0"/>
      <w:sz w:val="16"/>
      <w:szCs w:val="16"/>
    </w:rPr>
  </w:style>
  <w:style w:type="character" w:customStyle="1" w:styleId="1250pt25">
    <w:name w:val="Основной текст (12) + Не курсив5.Интервал 0 pt25"/>
    <w:uiPriority w:val="99"/>
    <w:rsid w:val="003C7E8B"/>
    <w:rPr>
      <w:rFonts w:ascii="Microsoft Sans Serif" w:hAnsi="Microsoft Sans Serif" w:cs="Microsoft Sans Serif"/>
      <w:i/>
      <w:iCs/>
      <w:spacing w:val="-10"/>
      <w:sz w:val="16"/>
      <w:szCs w:val="16"/>
    </w:rPr>
  </w:style>
  <w:style w:type="paragraph" w:customStyle="1" w:styleId="231">
    <w:name w:val="Основной текст (23)"/>
    <w:basedOn w:val="a"/>
    <w:link w:val="232"/>
    <w:rsid w:val="003C7E8B"/>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character" w:customStyle="1" w:styleId="232">
    <w:name w:val="Основной текст (23)_"/>
    <w:link w:val="231"/>
    <w:rsid w:val="00866374"/>
    <w:rPr>
      <w:rFonts w:ascii="Bookman Old Style" w:hAnsi="Bookman Old Style" w:cs="Bookman Old Style"/>
      <w:noProof/>
      <w:sz w:val="8"/>
      <w:szCs w:val="8"/>
      <w:shd w:val="clear" w:color="auto" w:fill="FFFFFF"/>
      <w:lang w:val="en-US"/>
    </w:rPr>
  </w:style>
  <w:style w:type="character" w:customStyle="1" w:styleId="125">
    <w:name w:val="Основной текст (12)5"/>
    <w:uiPriority w:val="99"/>
    <w:rsid w:val="003C7E8B"/>
    <w:rPr>
      <w:rFonts w:ascii="Microsoft Sans Serif" w:hAnsi="Microsoft Sans Serif" w:cs="Microsoft Sans Serif"/>
      <w:i/>
      <w:iCs/>
      <w:spacing w:val="0"/>
      <w:sz w:val="16"/>
      <w:szCs w:val="16"/>
      <w:u w:val="single"/>
    </w:rPr>
  </w:style>
  <w:style w:type="character" w:customStyle="1" w:styleId="124">
    <w:name w:val="Основной текст (12)4"/>
    <w:uiPriority w:val="99"/>
    <w:rsid w:val="003C7E8B"/>
    <w:rPr>
      <w:rFonts w:ascii="Microsoft Sans Serif" w:hAnsi="Microsoft Sans Serif" w:cs="Microsoft Sans Serif"/>
      <w:i/>
      <w:iCs/>
      <w:spacing w:val="0"/>
      <w:sz w:val="16"/>
      <w:szCs w:val="16"/>
      <w:u w:val="single"/>
    </w:rPr>
  </w:style>
  <w:style w:type="character" w:customStyle="1" w:styleId="12SimHei7pt12">
    <w:name w:val="Основной текст (12) + SimHei.7 pt.Не курсив12"/>
    <w:uiPriority w:val="99"/>
    <w:rsid w:val="003C7E8B"/>
    <w:rPr>
      <w:rFonts w:ascii="SimHei" w:eastAsia="SimHei" w:cs="SimHei"/>
      <w:i/>
      <w:iCs/>
      <w:spacing w:val="0"/>
      <w:sz w:val="14"/>
      <w:szCs w:val="14"/>
    </w:rPr>
  </w:style>
  <w:style w:type="character" w:customStyle="1" w:styleId="1240pt24">
    <w:name w:val="Основной текст (12) + Не курсив4.Интервал 0 pt24"/>
    <w:uiPriority w:val="99"/>
    <w:rsid w:val="003C7E8B"/>
    <w:rPr>
      <w:rFonts w:ascii="Microsoft Sans Serif" w:hAnsi="Microsoft Sans Serif" w:cs="Microsoft Sans Serif"/>
      <w:i/>
      <w:iCs/>
      <w:spacing w:val="-10"/>
      <w:sz w:val="16"/>
      <w:szCs w:val="16"/>
    </w:rPr>
  </w:style>
  <w:style w:type="character" w:customStyle="1" w:styleId="70pt23">
    <w:name w:val="Основной текст + Курсив7.Интервал 0 pt23"/>
    <w:uiPriority w:val="99"/>
    <w:rsid w:val="003C7E8B"/>
    <w:rPr>
      <w:rFonts w:ascii="Microsoft Sans Serif" w:hAnsi="Microsoft Sans Serif" w:cs="Microsoft Sans Serif"/>
      <w:i/>
      <w:iCs/>
      <w:spacing w:val="0"/>
      <w:sz w:val="16"/>
      <w:szCs w:val="16"/>
    </w:rPr>
  </w:style>
  <w:style w:type="character" w:customStyle="1" w:styleId="12BookmanOldStyle6865pt1710">
    <w:name w:val="Основной текст (12) + Bookman Old Style6.86.5 pt17.Не курсив10"/>
    <w:uiPriority w:val="99"/>
    <w:rsid w:val="003C7E8B"/>
    <w:rPr>
      <w:rFonts w:ascii="Bookman Old Style" w:hAnsi="Bookman Old Style" w:cs="Bookman Old Style"/>
      <w:i/>
      <w:iCs/>
      <w:spacing w:val="0"/>
      <w:sz w:val="17"/>
      <w:szCs w:val="17"/>
    </w:rPr>
  </w:style>
  <w:style w:type="character" w:customStyle="1" w:styleId="60pt22">
    <w:name w:val="Основной текст + Курсив6.Интервал 0 pt22"/>
    <w:uiPriority w:val="99"/>
    <w:rsid w:val="003C7E8B"/>
    <w:rPr>
      <w:rFonts w:ascii="Microsoft Sans Serif" w:hAnsi="Microsoft Sans Serif" w:cs="Microsoft Sans Serif"/>
      <w:i/>
      <w:iCs/>
      <w:spacing w:val="0"/>
      <w:sz w:val="16"/>
      <w:szCs w:val="16"/>
    </w:rPr>
  </w:style>
  <w:style w:type="character" w:customStyle="1" w:styleId="123">
    <w:name w:val="Основной текст (12)3"/>
    <w:uiPriority w:val="99"/>
    <w:rsid w:val="003C7E8B"/>
    <w:rPr>
      <w:rFonts w:ascii="Microsoft Sans Serif" w:hAnsi="Microsoft Sans Serif" w:cs="Microsoft Sans Serif"/>
      <w:i/>
      <w:iCs/>
      <w:spacing w:val="0"/>
      <w:sz w:val="16"/>
      <w:szCs w:val="16"/>
      <w:u w:val="single"/>
    </w:rPr>
  </w:style>
  <w:style w:type="character" w:customStyle="1" w:styleId="1230pt21">
    <w:name w:val="Основной текст (12) + Не курсив3.Интервал 0 pt21"/>
    <w:uiPriority w:val="99"/>
    <w:rsid w:val="003C7E8B"/>
    <w:rPr>
      <w:rFonts w:ascii="Microsoft Sans Serif" w:hAnsi="Microsoft Sans Serif" w:cs="Microsoft Sans Serif"/>
      <w:i/>
      <w:iCs/>
      <w:spacing w:val="-10"/>
      <w:sz w:val="16"/>
      <w:szCs w:val="16"/>
    </w:rPr>
  </w:style>
  <w:style w:type="character" w:customStyle="1" w:styleId="0pt20">
    <w:name w:val="Основной текст + Малые прописные.Интервал 0 pt20"/>
    <w:uiPriority w:val="99"/>
    <w:rsid w:val="003C7E8B"/>
    <w:rPr>
      <w:rFonts w:ascii="Microsoft Sans Serif" w:hAnsi="Microsoft Sans Serif" w:cs="Microsoft Sans Serif"/>
      <w:smallCaps/>
      <w:spacing w:val="0"/>
      <w:sz w:val="16"/>
      <w:szCs w:val="16"/>
    </w:rPr>
  </w:style>
  <w:style w:type="character" w:customStyle="1" w:styleId="1265pt160pt19">
    <w:name w:val="Основной текст (12) + 6.5 pt16.Малые прописные.Интервал 0 pt19"/>
    <w:uiPriority w:val="99"/>
    <w:rsid w:val="003C7E8B"/>
    <w:rPr>
      <w:rFonts w:ascii="Microsoft Sans Serif" w:hAnsi="Microsoft Sans Serif" w:cs="Microsoft Sans Serif"/>
      <w:i/>
      <w:iCs/>
      <w:smallCaps/>
      <w:spacing w:val="10"/>
      <w:sz w:val="13"/>
      <w:szCs w:val="13"/>
      <w:lang w:val="en-US"/>
    </w:rPr>
  </w:style>
  <w:style w:type="character" w:customStyle="1" w:styleId="1220pt18">
    <w:name w:val="Основной текст (12) + Не курсив2.Интервал 0 pt18"/>
    <w:uiPriority w:val="99"/>
    <w:rsid w:val="003C7E8B"/>
    <w:rPr>
      <w:rFonts w:ascii="Microsoft Sans Serif" w:hAnsi="Microsoft Sans Serif" w:cs="Microsoft Sans Serif"/>
      <w:i/>
      <w:iCs/>
      <w:spacing w:val="-10"/>
      <w:sz w:val="16"/>
      <w:szCs w:val="16"/>
    </w:rPr>
  </w:style>
  <w:style w:type="character" w:customStyle="1" w:styleId="50pt17">
    <w:name w:val="Основной текст + Курсив5.Интервал 0 pt17"/>
    <w:uiPriority w:val="99"/>
    <w:rsid w:val="003C7E8B"/>
    <w:rPr>
      <w:rFonts w:ascii="Microsoft Sans Serif" w:hAnsi="Microsoft Sans Serif" w:cs="Microsoft Sans Serif"/>
      <w:i/>
      <w:iCs/>
      <w:spacing w:val="0"/>
      <w:sz w:val="16"/>
      <w:szCs w:val="16"/>
    </w:rPr>
  </w:style>
  <w:style w:type="character" w:customStyle="1" w:styleId="200pt65">
    <w:name w:val="Основной текст (20) + Не курсив.Интервал 0 pt65"/>
    <w:uiPriority w:val="99"/>
    <w:rsid w:val="003C7E8B"/>
    <w:rPr>
      <w:rFonts w:ascii="Lucida Sans Unicode" w:hAnsi="Lucida Sans Unicode" w:cs="Lucida Sans Unicode"/>
      <w:i/>
      <w:iCs/>
      <w:spacing w:val="-10"/>
      <w:sz w:val="16"/>
      <w:szCs w:val="16"/>
    </w:rPr>
  </w:style>
  <w:style w:type="character" w:customStyle="1" w:styleId="160pt64">
    <w:name w:val="Основной текст + Курсив16.Интервал 0 pt64"/>
    <w:uiPriority w:val="99"/>
    <w:rsid w:val="003C7E8B"/>
    <w:rPr>
      <w:rFonts w:ascii="Lucida Sans Unicode" w:hAnsi="Lucida Sans Unicode" w:cs="Lucida Sans Unicode"/>
      <w:i/>
      <w:iCs/>
      <w:spacing w:val="0"/>
      <w:sz w:val="16"/>
      <w:szCs w:val="16"/>
    </w:rPr>
  </w:style>
  <w:style w:type="character" w:customStyle="1" w:styleId="20160pt63">
    <w:name w:val="Основной текст (20) + Не курсив16.Интервал 0 pt63"/>
    <w:uiPriority w:val="99"/>
    <w:rsid w:val="003C7E8B"/>
    <w:rPr>
      <w:rFonts w:ascii="Lucida Sans Unicode" w:hAnsi="Lucida Sans Unicode" w:cs="Lucida Sans Unicode"/>
      <w:i/>
      <w:iCs/>
      <w:spacing w:val="-10"/>
      <w:sz w:val="16"/>
      <w:szCs w:val="16"/>
    </w:rPr>
  </w:style>
  <w:style w:type="character" w:customStyle="1" w:styleId="206">
    <w:name w:val="Основной текст (20)6"/>
    <w:uiPriority w:val="99"/>
    <w:rsid w:val="003C7E8B"/>
    <w:rPr>
      <w:rFonts w:ascii="Lucida Sans Unicode" w:hAnsi="Lucida Sans Unicode" w:cs="Lucida Sans Unicode"/>
      <w:b/>
      <w:bCs/>
      <w:i/>
      <w:iCs/>
      <w:sz w:val="16"/>
      <w:szCs w:val="16"/>
      <w:u w:val="single"/>
    </w:rPr>
  </w:style>
  <w:style w:type="character" w:customStyle="1" w:styleId="20140pt59">
    <w:name w:val="Основной текст (20) + Не курсив14.Интервал 0 pt59"/>
    <w:uiPriority w:val="99"/>
    <w:rsid w:val="003C7E8B"/>
    <w:rPr>
      <w:rFonts w:ascii="Lucida Sans Unicode" w:hAnsi="Lucida Sans Unicode" w:cs="Lucida Sans Unicode"/>
      <w:b/>
      <w:bCs/>
      <w:i/>
      <w:iCs/>
      <w:spacing w:val="-10"/>
      <w:sz w:val="16"/>
      <w:szCs w:val="16"/>
    </w:rPr>
  </w:style>
  <w:style w:type="character" w:customStyle="1" w:styleId="140pt58">
    <w:name w:val="Основной текст + Курсив14.Интервал 0 pt58"/>
    <w:uiPriority w:val="99"/>
    <w:rsid w:val="003C7E8B"/>
    <w:rPr>
      <w:rFonts w:ascii="Lucida Sans Unicode" w:hAnsi="Lucida Sans Unicode" w:cs="Lucida Sans Unicode"/>
      <w:i/>
      <w:iCs/>
      <w:spacing w:val="0"/>
      <w:sz w:val="16"/>
      <w:szCs w:val="16"/>
    </w:rPr>
  </w:style>
  <w:style w:type="character" w:customStyle="1" w:styleId="MSMincho">
    <w:name w:val="Основной текст + MS Mincho"/>
    <w:uiPriority w:val="99"/>
    <w:rsid w:val="003C7E8B"/>
    <w:rPr>
      <w:rFonts w:ascii="MS Mincho" w:eastAsia="MS Mincho" w:hAnsi="Microsoft Sans Serif" w:cs="MS Mincho"/>
      <w:spacing w:val="-10"/>
      <w:sz w:val="16"/>
      <w:szCs w:val="16"/>
    </w:rPr>
  </w:style>
  <w:style w:type="paragraph" w:customStyle="1" w:styleId="261">
    <w:name w:val="Основной текст (26)"/>
    <w:basedOn w:val="a"/>
    <w:link w:val="262"/>
    <w:rsid w:val="003C7E8B"/>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character" w:customStyle="1" w:styleId="262">
    <w:name w:val="Основной текст (26)_"/>
    <w:link w:val="261"/>
    <w:rsid w:val="00EC71A1"/>
    <w:rPr>
      <w:rFonts w:ascii="Microsoft Sans Serif" w:hAnsi="Microsoft Sans Serif" w:cs="Microsoft Sans Serif"/>
      <w:b/>
      <w:bCs/>
      <w:noProof/>
      <w:sz w:val="26"/>
      <w:szCs w:val="26"/>
      <w:shd w:val="clear" w:color="auto" w:fill="FFFFFF"/>
      <w:lang w:val="en-US"/>
    </w:rPr>
  </w:style>
  <w:style w:type="character" w:customStyle="1" w:styleId="203">
    <w:name w:val="Основной текст (20)3"/>
    <w:uiPriority w:val="99"/>
    <w:rsid w:val="003C7E8B"/>
    <w:rPr>
      <w:rFonts w:ascii="Arial Unicode MS" w:eastAsia="Arial Unicode MS" w:cs="Arial Unicode MS"/>
      <w:b/>
      <w:bCs/>
      <w:i/>
      <w:iCs/>
      <w:noProof/>
      <w:sz w:val="15"/>
      <w:szCs w:val="15"/>
    </w:rPr>
  </w:style>
  <w:style w:type="character" w:customStyle="1" w:styleId="20130pt57">
    <w:name w:val="Основной текст (20) + Не курсив13.Интервал 0 pt57"/>
    <w:uiPriority w:val="99"/>
    <w:rsid w:val="003C7E8B"/>
    <w:rPr>
      <w:rFonts w:ascii="Lucida Sans Unicode" w:hAnsi="Lucida Sans Unicode" w:cs="Lucida Sans Unicode"/>
      <w:b/>
      <w:bCs/>
      <w:i/>
      <w:iCs/>
      <w:spacing w:val="-10"/>
      <w:sz w:val="16"/>
      <w:szCs w:val="16"/>
    </w:rPr>
  </w:style>
  <w:style w:type="character" w:customStyle="1" w:styleId="205">
    <w:name w:val="Основной текст (20)5"/>
    <w:uiPriority w:val="99"/>
    <w:rsid w:val="003C7E8B"/>
    <w:rPr>
      <w:rFonts w:ascii="Lucida Sans Unicode" w:hAnsi="Lucida Sans Unicode" w:cs="Lucida Sans Unicode"/>
      <w:b/>
      <w:bCs/>
      <w:i/>
      <w:iCs/>
      <w:sz w:val="16"/>
      <w:szCs w:val="16"/>
      <w:u w:val="single"/>
    </w:rPr>
  </w:style>
  <w:style w:type="character" w:customStyle="1" w:styleId="204">
    <w:name w:val="Основной текст (20)4"/>
    <w:uiPriority w:val="99"/>
    <w:rsid w:val="003C7E8B"/>
    <w:rPr>
      <w:rFonts w:ascii="Lucida Sans Unicode" w:hAnsi="Lucida Sans Unicode" w:cs="Lucida Sans Unicode"/>
      <w:b/>
      <w:bCs/>
      <w:i/>
      <w:iCs/>
      <w:sz w:val="16"/>
      <w:szCs w:val="16"/>
      <w:u w:val="single"/>
    </w:rPr>
  </w:style>
  <w:style w:type="character" w:customStyle="1" w:styleId="20120pt56">
    <w:name w:val="Основной текст (20) + Не курсив12.Интервал 0 pt56"/>
    <w:uiPriority w:val="99"/>
    <w:rsid w:val="003C7E8B"/>
    <w:rPr>
      <w:rFonts w:ascii="Lucida Sans Unicode" w:hAnsi="Lucida Sans Unicode" w:cs="Lucida Sans Unicode"/>
      <w:b/>
      <w:bCs/>
      <w:i/>
      <w:iCs/>
      <w:spacing w:val="-10"/>
      <w:sz w:val="16"/>
      <w:szCs w:val="16"/>
    </w:rPr>
  </w:style>
  <w:style w:type="character" w:customStyle="1" w:styleId="150pt62">
    <w:name w:val="Основной текст + Курсив15.Интервал 0 pt62"/>
    <w:uiPriority w:val="99"/>
    <w:rsid w:val="003C7E8B"/>
    <w:rPr>
      <w:rFonts w:ascii="Lucida Sans Unicode" w:hAnsi="Lucida Sans Unicode" w:cs="Lucida Sans Unicode"/>
      <w:i/>
      <w:iCs/>
      <w:spacing w:val="0"/>
      <w:sz w:val="16"/>
      <w:szCs w:val="16"/>
    </w:rPr>
  </w:style>
  <w:style w:type="character" w:customStyle="1" w:styleId="207">
    <w:name w:val="Основной текст (20)"/>
    <w:uiPriority w:val="99"/>
    <w:rsid w:val="003C7E8B"/>
    <w:rPr>
      <w:b/>
      <w:bCs/>
      <w:i/>
      <w:iCs/>
      <w:sz w:val="15"/>
      <w:szCs w:val="15"/>
    </w:rPr>
  </w:style>
  <w:style w:type="character" w:customStyle="1" w:styleId="20150pt61">
    <w:name w:val="Основной текст (20) + Не курсив15.Интервал 0 pt61"/>
    <w:uiPriority w:val="99"/>
    <w:rsid w:val="003C7E8B"/>
    <w:rPr>
      <w:rFonts w:ascii="Lucida Sans Unicode" w:hAnsi="Lucida Sans Unicode" w:cs="Lucida Sans Unicode"/>
      <w:b/>
      <w:bCs/>
      <w:i/>
      <w:iCs/>
      <w:spacing w:val="-10"/>
      <w:sz w:val="16"/>
      <w:szCs w:val="16"/>
    </w:rPr>
  </w:style>
  <w:style w:type="paragraph" w:customStyle="1" w:styleId="131">
    <w:name w:val="Основной текст (13)1"/>
    <w:basedOn w:val="a"/>
    <w:uiPriority w:val="99"/>
    <w:rsid w:val="003C7E8B"/>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20MSMincho30pt55">
    <w:name w:val="Основной текст (20) + MS Mincho.Не курсив3.Интервал 0 pt55"/>
    <w:uiPriority w:val="99"/>
    <w:rsid w:val="003C7E8B"/>
    <w:rPr>
      <w:rFonts w:ascii="MS Mincho" w:eastAsia="MS Mincho" w:cs="MS Mincho"/>
      <w:b/>
      <w:bCs/>
      <w:i/>
      <w:iCs/>
      <w:spacing w:val="-10"/>
      <w:sz w:val="16"/>
      <w:szCs w:val="16"/>
    </w:rPr>
  </w:style>
  <w:style w:type="character" w:customStyle="1" w:styleId="2020">
    <w:name w:val="Основной текст (20)2"/>
    <w:uiPriority w:val="99"/>
    <w:rsid w:val="003C7E8B"/>
    <w:rPr>
      <w:b/>
      <w:bCs/>
      <w:i/>
      <w:iCs/>
      <w:sz w:val="15"/>
      <w:szCs w:val="15"/>
    </w:rPr>
  </w:style>
  <w:style w:type="character" w:customStyle="1" w:styleId="1420">
    <w:name w:val="Основной текст (14)2"/>
    <w:uiPriority w:val="99"/>
    <w:rsid w:val="003C7E8B"/>
    <w:rPr>
      <w:rFonts w:ascii="Lucida Sans Unicode" w:hAnsi="Lucida Sans Unicode" w:cs="Lucida Sans Unicode"/>
      <w:spacing w:val="-10"/>
      <w:sz w:val="13"/>
      <w:szCs w:val="13"/>
      <w:u w:val="single"/>
    </w:rPr>
  </w:style>
  <w:style w:type="character" w:customStyle="1" w:styleId="20110pt54">
    <w:name w:val="Основной текст (20) + Не курсив11.Интервал 0 pt54"/>
    <w:uiPriority w:val="99"/>
    <w:rsid w:val="003C7E8B"/>
    <w:rPr>
      <w:rFonts w:ascii="Lucida Sans Unicode" w:hAnsi="Lucida Sans Unicode" w:cs="Lucida Sans Unicode"/>
      <w:b/>
      <w:bCs/>
      <w:i/>
      <w:iCs/>
      <w:spacing w:val="-10"/>
      <w:sz w:val="16"/>
      <w:szCs w:val="16"/>
    </w:rPr>
  </w:style>
  <w:style w:type="character" w:customStyle="1" w:styleId="119">
    <w:name w:val="Основной текст + Курсив11"/>
    <w:uiPriority w:val="99"/>
    <w:rsid w:val="003C7E8B"/>
    <w:rPr>
      <w:rFonts w:ascii="Arial" w:hAnsi="Arial" w:cs="Arial"/>
      <w:i/>
      <w:iCs/>
      <w:spacing w:val="-10"/>
      <w:sz w:val="17"/>
      <w:szCs w:val="17"/>
    </w:rPr>
  </w:style>
  <w:style w:type="character" w:customStyle="1" w:styleId="143">
    <w:name w:val="Основной текст + Курсив14"/>
    <w:uiPriority w:val="99"/>
    <w:rsid w:val="003C7E8B"/>
    <w:rPr>
      <w:rFonts w:ascii="Arial" w:hAnsi="Arial" w:cs="Arial"/>
      <w:i/>
      <w:iCs/>
      <w:spacing w:val="-10"/>
      <w:sz w:val="17"/>
      <w:szCs w:val="17"/>
    </w:rPr>
  </w:style>
  <w:style w:type="character" w:customStyle="1" w:styleId="1180">
    <w:name w:val="Основной текст (11) + Не курсив8"/>
    <w:uiPriority w:val="99"/>
    <w:rsid w:val="003C7E8B"/>
    <w:rPr>
      <w:rFonts w:ascii="Arial" w:hAnsi="Arial" w:cs="Arial"/>
      <w:i/>
      <w:iCs/>
      <w:spacing w:val="-10"/>
      <w:sz w:val="17"/>
      <w:szCs w:val="17"/>
    </w:rPr>
  </w:style>
  <w:style w:type="character" w:customStyle="1" w:styleId="130">
    <w:name w:val="Основной текст + Курсив13"/>
    <w:uiPriority w:val="99"/>
    <w:rsid w:val="003C7E8B"/>
    <w:rPr>
      <w:rFonts w:ascii="Arial" w:hAnsi="Arial" w:cs="Arial"/>
      <w:i/>
      <w:iCs/>
      <w:spacing w:val="-10"/>
      <w:sz w:val="17"/>
      <w:szCs w:val="17"/>
      <w:lang w:val="en-US"/>
    </w:rPr>
  </w:style>
  <w:style w:type="character" w:customStyle="1" w:styleId="8pt3100pt23">
    <w:name w:val="Основной текст + 8 pt3.Курсив10.Малые прописные.Интервал 0 pt23"/>
    <w:uiPriority w:val="99"/>
    <w:rsid w:val="003C7E8B"/>
    <w:rPr>
      <w:rFonts w:ascii="Arial" w:hAnsi="Arial" w:cs="Arial"/>
      <w:i/>
      <w:iCs/>
      <w:smallCaps/>
      <w:spacing w:val="0"/>
      <w:sz w:val="16"/>
      <w:szCs w:val="16"/>
      <w:lang w:val="en-US"/>
    </w:rPr>
  </w:style>
  <w:style w:type="character" w:customStyle="1" w:styleId="11SimHei75pt3080pt22">
    <w:name w:val="Основной текст (11) + SimHei.7.5 pt30.Не курсив8.Интервал 0 pt22"/>
    <w:uiPriority w:val="99"/>
    <w:rsid w:val="003C7E8B"/>
    <w:rPr>
      <w:rFonts w:ascii="SimHei" w:eastAsia="SimHei" w:hAnsi="Microsoft Sans Serif" w:cs="SimHei"/>
      <w:i/>
      <w:iCs/>
      <w:spacing w:val="0"/>
      <w:sz w:val="15"/>
      <w:szCs w:val="15"/>
    </w:rPr>
  </w:style>
  <w:style w:type="paragraph" w:customStyle="1" w:styleId="213">
    <w:name w:val="Основной текст (21)"/>
    <w:basedOn w:val="a"/>
    <w:link w:val="214"/>
    <w:rsid w:val="003C7E8B"/>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character" w:customStyle="1" w:styleId="214">
    <w:name w:val="Основной текст (21)_"/>
    <w:link w:val="213"/>
    <w:rsid w:val="00A25AD1"/>
    <w:rPr>
      <w:rFonts w:ascii="Microsoft Sans Serif" w:hAnsi="Microsoft Sans Serif" w:cs="Microsoft Sans Serif"/>
      <w:b/>
      <w:bCs/>
      <w:i/>
      <w:iCs/>
      <w:noProof/>
      <w:sz w:val="16"/>
      <w:szCs w:val="16"/>
      <w:shd w:val="clear" w:color="auto" w:fill="FFFFFF"/>
      <w:lang w:val="en-US" w:eastAsia="en-US"/>
    </w:rPr>
  </w:style>
  <w:style w:type="character" w:customStyle="1" w:styleId="122">
    <w:name w:val="Основной текст + Курсив12"/>
    <w:uiPriority w:val="99"/>
    <w:rsid w:val="003C7E8B"/>
    <w:rPr>
      <w:rFonts w:ascii="Arial" w:hAnsi="Arial" w:cs="Arial"/>
      <w:i/>
      <w:iCs/>
      <w:spacing w:val="-10"/>
      <w:sz w:val="17"/>
      <w:szCs w:val="17"/>
    </w:rPr>
  </w:style>
  <w:style w:type="character" w:customStyle="1" w:styleId="1170">
    <w:name w:val="Основной текст (11) + Не курсив7"/>
    <w:uiPriority w:val="99"/>
    <w:rsid w:val="003C7E8B"/>
    <w:rPr>
      <w:rFonts w:ascii="Arial" w:hAnsi="Arial" w:cs="Arial"/>
      <w:i/>
      <w:iCs/>
      <w:spacing w:val="-10"/>
      <w:sz w:val="17"/>
      <w:szCs w:val="17"/>
    </w:rPr>
  </w:style>
  <w:style w:type="character" w:customStyle="1" w:styleId="152">
    <w:name w:val="Основной текст + Курсив15"/>
    <w:uiPriority w:val="99"/>
    <w:rsid w:val="003C7E8B"/>
    <w:rPr>
      <w:rFonts w:ascii="Arial" w:hAnsi="Arial" w:cs="Arial"/>
      <w:i/>
      <w:iCs/>
      <w:spacing w:val="-10"/>
      <w:sz w:val="17"/>
      <w:szCs w:val="17"/>
      <w:u w:val="single"/>
    </w:rPr>
  </w:style>
  <w:style w:type="character" w:customStyle="1" w:styleId="1190">
    <w:name w:val="Основной текст (11) + Не курсив9"/>
    <w:uiPriority w:val="99"/>
    <w:rsid w:val="003C7E8B"/>
    <w:rPr>
      <w:rFonts w:ascii="Arial" w:hAnsi="Arial" w:cs="Arial"/>
      <w:i/>
      <w:iCs/>
      <w:spacing w:val="-10"/>
      <w:sz w:val="17"/>
      <w:szCs w:val="17"/>
    </w:rPr>
  </w:style>
  <w:style w:type="character" w:customStyle="1" w:styleId="11100">
    <w:name w:val="Основной текст (11) + Не курсив10"/>
    <w:uiPriority w:val="99"/>
    <w:rsid w:val="003C7E8B"/>
    <w:rPr>
      <w:rFonts w:ascii="Arial" w:hAnsi="Arial" w:cs="Arial"/>
      <w:i/>
      <w:iCs/>
      <w:spacing w:val="-10"/>
      <w:sz w:val="17"/>
      <w:szCs w:val="17"/>
    </w:rPr>
  </w:style>
  <w:style w:type="character" w:customStyle="1" w:styleId="11110">
    <w:name w:val="Основной текст (11) + Не курсив11"/>
    <w:uiPriority w:val="99"/>
    <w:rsid w:val="003C7E8B"/>
    <w:rPr>
      <w:rFonts w:ascii="Arial" w:hAnsi="Arial" w:cs="Arial"/>
      <w:i/>
      <w:iCs/>
      <w:spacing w:val="-10"/>
      <w:sz w:val="17"/>
      <w:szCs w:val="17"/>
    </w:rPr>
  </w:style>
  <w:style w:type="character" w:customStyle="1" w:styleId="4835pt2911">
    <w:name w:val="Основной текст (4) + 83.5 pt29.Не полужирный11"/>
    <w:uiPriority w:val="99"/>
    <w:rsid w:val="003C7E8B"/>
    <w:rPr>
      <w:rFonts w:ascii="Arial" w:hAnsi="Arial" w:cs="Arial"/>
      <w:b/>
      <w:bCs/>
      <w:i/>
      <w:iCs/>
      <w:spacing w:val="-10"/>
      <w:sz w:val="17"/>
      <w:szCs w:val="17"/>
    </w:rPr>
  </w:style>
  <w:style w:type="character" w:customStyle="1" w:styleId="105pt0pt">
    <w:name w:val="Основной текст + 10.5 pt.Курсив.Интервал 0 pt"/>
    <w:uiPriority w:val="99"/>
    <w:rsid w:val="003C7E8B"/>
    <w:rPr>
      <w:rFonts w:ascii="Microsoft Sans Serif" w:hAnsi="Microsoft Sans Serif" w:cs="Microsoft Sans Serif"/>
      <w:i/>
      <w:iCs/>
      <w:spacing w:val="0"/>
      <w:sz w:val="21"/>
      <w:szCs w:val="21"/>
    </w:rPr>
  </w:style>
  <w:style w:type="paragraph" w:customStyle="1" w:styleId="11a">
    <w:name w:val="Заголовок №11"/>
    <w:basedOn w:val="a"/>
    <w:link w:val="11b"/>
    <w:rsid w:val="003C7E8B"/>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11b">
    <w:name w:val="Заголовок №11_"/>
    <w:link w:val="11a"/>
    <w:rsid w:val="00A25AD1"/>
    <w:rPr>
      <w:rFonts w:ascii="Arial" w:hAnsi="Arial" w:cs="Arial"/>
      <w:b/>
      <w:bCs/>
      <w:noProof/>
      <w:sz w:val="17"/>
      <w:szCs w:val="17"/>
      <w:shd w:val="clear" w:color="auto" w:fill="FFFFFF"/>
      <w:lang w:val="en-US" w:eastAsia="en-US"/>
    </w:rPr>
  </w:style>
  <w:style w:type="character" w:customStyle="1" w:styleId="2f">
    <w:name w:val="Основной текст (2) + Курсив"/>
    <w:uiPriority w:val="99"/>
    <w:rsid w:val="003C7E8B"/>
    <w:rPr>
      <w:rFonts w:ascii="MS Reference Sans Serif" w:hAnsi="MS Reference Sans Serif" w:cs="MS Reference Sans Serif"/>
      <w:i/>
      <w:iCs/>
      <w:spacing w:val="-10"/>
      <w:sz w:val="22"/>
      <w:szCs w:val="22"/>
    </w:rPr>
  </w:style>
  <w:style w:type="character" w:customStyle="1" w:styleId="21pt">
    <w:name w:val="Основной текст (2) + Интервал 1 pt"/>
    <w:uiPriority w:val="99"/>
    <w:rsid w:val="003C7E8B"/>
    <w:rPr>
      <w:rFonts w:ascii="Tahoma" w:hAnsi="Tahoma" w:cs="Tahoma"/>
      <w:noProof/>
      <w:spacing w:val="30"/>
      <w:sz w:val="24"/>
      <w:szCs w:val="24"/>
    </w:rPr>
  </w:style>
  <w:style w:type="character" w:customStyle="1" w:styleId="2pt">
    <w:name w:val="Основной текст + Интервал 2 pt"/>
    <w:rsid w:val="003C7E8B"/>
    <w:rPr>
      <w:rFonts w:ascii="Tahoma" w:hAnsi="Tahoma" w:cs="Tahoma"/>
      <w:i/>
      <w:iCs/>
      <w:spacing w:val="40"/>
      <w:sz w:val="21"/>
      <w:szCs w:val="21"/>
    </w:rPr>
  </w:style>
  <w:style w:type="character" w:customStyle="1" w:styleId="2pt1">
    <w:name w:val="Основной текст + Интервал 2 pt1"/>
    <w:uiPriority w:val="99"/>
    <w:rsid w:val="003C7E8B"/>
    <w:rPr>
      <w:rFonts w:ascii="Tahoma" w:hAnsi="Tahoma" w:cs="Tahoma"/>
      <w:i/>
      <w:iCs/>
      <w:spacing w:val="40"/>
      <w:sz w:val="21"/>
      <w:szCs w:val="21"/>
    </w:rPr>
  </w:style>
  <w:style w:type="character" w:customStyle="1" w:styleId="115pt29115pt8109112SimHei2Arial12pt11ptMSMincho12pt">
    <w:name w:val="Основной текст + 11.5 pt2.Не курсив.Основной текст (9) + 11.5 pt8.Основной текст (10) + 91.Не малые прописные1.Основной текст (2) + SimHei.Основной текст (2) + Arial.12 pt.11 pt.Основной текст + MS Mincho.Основной текст + 12 pt"/>
    <w:uiPriority w:val="99"/>
    <w:rsid w:val="003C7E8B"/>
    <w:rPr>
      <w:rFonts w:ascii="MS Reference Sans Serif" w:hAnsi="MS Reference Sans Serif" w:cs="MS Reference Sans Serif"/>
      <w:spacing w:val="-10"/>
      <w:sz w:val="23"/>
      <w:szCs w:val="23"/>
    </w:rPr>
  </w:style>
  <w:style w:type="character" w:customStyle="1" w:styleId="211pt">
    <w:name w:val="Основной текст (2) + 11 pt.Курсив"/>
    <w:uiPriority w:val="99"/>
    <w:rsid w:val="003C7E8B"/>
    <w:rPr>
      <w:rFonts w:ascii="MS Reference Sans Serif" w:hAnsi="MS Reference Sans Serif" w:cs="MS Reference Sans Serif"/>
      <w:i/>
      <w:iCs/>
      <w:noProof/>
      <w:spacing w:val="-10"/>
      <w:sz w:val="22"/>
      <w:szCs w:val="22"/>
    </w:rPr>
  </w:style>
  <w:style w:type="character" w:customStyle="1" w:styleId="Batang16pt-1ptGulim125pt1111101Tahoma10pt">
    <w:name w:val="Колонтитул + Batang.16 pt.Интервал -1 pt.Основной текст + Gulim.12.5 pt1.Не курсив1.Основной текст (11) + 10.Малые прописные1.Основной текст + Tahoma.10 pt"/>
    <w:uiPriority w:val="99"/>
    <w:rsid w:val="003C7E8B"/>
    <w:rPr>
      <w:rFonts w:ascii="Batang" w:eastAsia="Batang" w:cs="Batang"/>
      <w:noProof/>
      <w:spacing w:val="-30"/>
      <w:sz w:val="32"/>
      <w:szCs w:val="32"/>
    </w:rPr>
  </w:style>
  <w:style w:type="paragraph" w:customStyle="1" w:styleId="910">
    <w:name w:val="Основной текст (9)1"/>
    <w:basedOn w:val="a"/>
    <w:uiPriority w:val="99"/>
    <w:rsid w:val="003C7E8B"/>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paragraph" w:customStyle="1" w:styleId="103">
    <w:name w:val="Основной текст (10)"/>
    <w:basedOn w:val="a"/>
    <w:link w:val="104"/>
    <w:rsid w:val="003C7E8B"/>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104">
    <w:name w:val="Основной текст (10)_"/>
    <w:link w:val="103"/>
    <w:rsid w:val="00A25AD1"/>
    <w:rPr>
      <w:rFonts w:ascii="Arial" w:hAnsi="Arial" w:cs="Arial"/>
      <w:i/>
      <w:iCs/>
      <w:noProof/>
      <w:sz w:val="15"/>
      <w:szCs w:val="15"/>
      <w:shd w:val="clear" w:color="auto" w:fill="FFFFFF"/>
      <w:lang w:val="en-US" w:eastAsia="en-US"/>
    </w:rPr>
  </w:style>
  <w:style w:type="character" w:customStyle="1" w:styleId="1095pt4">
    <w:name w:val="Основной текст (10) + 9.5 pt4.Не малые прописные"/>
    <w:uiPriority w:val="99"/>
    <w:rsid w:val="003C7E8B"/>
    <w:rPr>
      <w:rFonts w:ascii="Microsoft Sans Serif" w:hAnsi="Microsoft Sans Serif" w:cs="Microsoft Sans Serif"/>
      <w:smallCaps/>
      <w:noProof/>
      <w:spacing w:val="0"/>
      <w:sz w:val="19"/>
      <w:szCs w:val="19"/>
    </w:rPr>
  </w:style>
  <w:style w:type="character" w:customStyle="1" w:styleId="1185pt32">
    <w:name w:val="Основной текст (11) + 8.5 pt3.Малые прописные2"/>
    <w:uiPriority w:val="99"/>
    <w:rsid w:val="003C7E8B"/>
    <w:rPr>
      <w:rFonts w:ascii="Microsoft Sans Serif" w:hAnsi="Microsoft Sans Serif" w:cs="Microsoft Sans Serif"/>
      <w:i/>
      <w:iCs/>
      <w:smallCaps/>
      <w:sz w:val="17"/>
      <w:szCs w:val="17"/>
    </w:rPr>
  </w:style>
  <w:style w:type="character" w:customStyle="1" w:styleId="21pt1">
    <w:name w:val="Основной текст (2) + Интервал 1 pt1"/>
    <w:uiPriority w:val="99"/>
    <w:rsid w:val="003C7E8B"/>
    <w:rPr>
      <w:rFonts w:ascii="Microsoft Sans Serif" w:hAnsi="Microsoft Sans Serif" w:cs="Microsoft Sans Serif"/>
      <w:i/>
      <w:iCs/>
      <w:noProof/>
      <w:spacing w:val="30"/>
      <w:sz w:val="21"/>
      <w:szCs w:val="21"/>
    </w:rPr>
  </w:style>
  <w:style w:type="character" w:customStyle="1" w:styleId="2-1pt">
    <w:name w:val="Основной текст (2) + Интервал -1 pt"/>
    <w:uiPriority w:val="99"/>
    <w:rsid w:val="003C7E8B"/>
    <w:rPr>
      <w:rFonts w:ascii="Microsoft Sans Serif" w:hAnsi="Microsoft Sans Serif" w:cs="Microsoft Sans Serif"/>
      <w:i/>
      <w:iCs/>
      <w:noProof/>
      <w:spacing w:val="-20"/>
      <w:sz w:val="21"/>
      <w:szCs w:val="21"/>
    </w:rPr>
  </w:style>
  <w:style w:type="character" w:customStyle="1" w:styleId="TrebuchetMS155ptArialNarrow17Tahoma0pt1211">
    <w:name w:val="Колонтитул + Trebuchet MS.15.5 pt.Колонтитул + Arial Narrow.17.Колонтитул + Tahoma.Интервал 0 pt1.Основной текст (2) + 11"/>
    <w:uiPriority w:val="99"/>
    <w:rsid w:val="003C7E8B"/>
    <w:rPr>
      <w:rFonts w:ascii="Trebuchet MS" w:hAnsi="Trebuchet MS" w:cs="Trebuchet MS"/>
      <w:noProof/>
      <w:sz w:val="31"/>
      <w:szCs w:val="31"/>
    </w:rPr>
  </w:style>
  <w:style w:type="character" w:customStyle="1" w:styleId="2f0">
    <w:name w:val="Основной текст (2)_"/>
    <w:rsid w:val="003C7E8B"/>
    <w:rPr>
      <w:rFonts w:ascii="Arial" w:hAnsi="Arial" w:cs="Arial"/>
      <w:i/>
      <w:iCs/>
      <w:spacing w:val="-10"/>
      <w:sz w:val="16"/>
      <w:szCs w:val="16"/>
    </w:rPr>
  </w:style>
  <w:style w:type="character" w:customStyle="1" w:styleId="22pt">
    <w:name w:val="Основной текст (2) + Интервал 2 pt"/>
    <w:uiPriority w:val="99"/>
    <w:rsid w:val="003C7E8B"/>
    <w:rPr>
      <w:rFonts w:ascii="Tahoma" w:hAnsi="Tahoma" w:cs="Tahoma"/>
      <w:i/>
      <w:iCs/>
      <w:noProof/>
      <w:spacing w:val="40"/>
      <w:sz w:val="21"/>
      <w:szCs w:val="21"/>
    </w:rPr>
  </w:style>
  <w:style w:type="character" w:customStyle="1" w:styleId="31pt">
    <w:name w:val="Основной текст (3) + Интервал 1 pt"/>
    <w:uiPriority w:val="99"/>
    <w:rsid w:val="003C7E8B"/>
    <w:rPr>
      <w:rFonts w:ascii="MS Reference Sans Serif" w:hAnsi="MS Reference Sans Serif" w:cs="MS Reference Sans Serif"/>
      <w:spacing w:val="20"/>
      <w:sz w:val="22"/>
      <w:szCs w:val="22"/>
    </w:rPr>
  </w:style>
  <w:style w:type="character" w:customStyle="1" w:styleId="42pt">
    <w:name w:val="Основной текст (4) + Интервал 2 pt"/>
    <w:uiPriority w:val="99"/>
    <w:rsid w:val="003C7E8B"/>
    <w:rPr>
      <w:rFonts w:ascii="Tahoma" w:hAnsi="Tahoma" w:cs="Tahoma"/>
      <w:i/>
      <w:iCs/>
      <w:spacing w:val="50"/>
      <w:sz w:val="21"/>
      <w:szCs w:val="21"/>
    </w:rPr>
  </w:style>
  <w:style w:type="paragraph" w:customStyle="1" w:styleId="5b">
    <w:name w:val="Основной текст (5)"/>
    <w:basedOn w:val="a"/>
    <w:rsid w:val="003C7E8B"/>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FranklinGothicBook111pt11">
    <w:name w:val="Основной текст + Franklin Gothic Book1.11 pt1.Малые прописные1"/>
    <w:uiPriority w:val="99"/>
    <w:rsid w:val="003C7E8B"/>
    <w:rPr>
      <w:rFonts w:ascii="Franklin Gothic Book" w:hAnsi="Franklin Gothic Book" w:cs="Franklin Gothic Book"/>
      <w:smallCaps/>
      <w:spacing w:val="-10"/>
      <w:sz w:val="22"/>
      <w:szCs w:val="22"/>
    </w:rPr>
  </w:style>
  <w:style w:type="character" w:customStyle="1" w:styleId="3610">
    <w:name w:val="Основной текст (36) + Не курсив1"/>
    <w:uiPriority w:val="99"/>
    <w:rsid w:val="003C7E8B"/>
    <w:rPr>
      <w:rFonts w:ascii="Arial" w:hAnsi="Arial" w:cs="Arial"/>
      <w:spacing w:val="0"/>
      <w:sz w:val="8"/>
      <w:szCs w:val="8"/>
    </w:rPr>
  </w:style>
  <w:style w:type="paragraph" w:styleId="affc">
    <w:name w:val="Balloon Text"/>
    <w:basedOn w:val="a"/>
    <w:link w:val="affd"/>
    <w:uiPriority w:val="99"/>
    <w:semiHidden/>
    <w:unhideWhenUsed/>
    <w:rsid w:val="003C7E8B"/>
    <w:pPr>
      <w:spacing w:after="0" w:line="240" w:lineRule="auto"/>
    </w:pPr>
    <w:rPr>
      <w:rFonts w:ascii="Tahoma" w:hAnsi="Tahoma" w:cs="Tahoma"/>
      <w:sz w:val="16"/>
      <w:szCs w:val="16"/>
    </w:rPr>
  </w:style>
  <w:style w:type="character" w:customStyle="1" w:styleId="affd">
    <w:name w:val="Текст выноски Знак"/>
    <w:link w:val="affc"/>
    <w:uiPriority w:val="99"/>
    <w:semiHidden/>
    <w:rsid w:val="003C7E8B"/>
    <w:rPr>
      <w:rFonts w:ascii="Tahoma" w:hAnsi="Tahoma" w:cs="Tahoma"/>
      <w:sz w:val="16"/>
      <w:szCs w:val="16"/>
    </w:rPr>
  </w:style>
  <w:style w:type="paragraph" w:customStyle="1" w:styleId="rtejustify">
    <w:name w:val="rtejustify"/>
    <w:basedOn w:val="a"/>
    <w:rsid w:val="00716A3D"/>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paragraph" w:customStyle="1" w:styleId="rtecenter">
    <w:name w:val="rtecenter"/>
    <w:basedOn w:val="a"/>
    <w:rsid w:val="00716A3D"/>
    <w:pPr>
      <w:spacing w:before="120" w:after="216" w:line="240" w:lineRule="auto"/>
      <w:jc w:val="center"/>
    </w:pPr>
    <w:rPr>
      <w:rFonts w:ascii="Times New Roman" w:eastAsia="Times New Roman" w:hAnsi="Times New Roman"/>
      <w:sz w:val="24"/>
      <w:szCs w:val="24"/>
      <w:lang w:eastAsia="ru-RU"/>
    </w:rPr>
  </w:style>
  <w:style w:type="character" w:customStyle="1" w:styleId="5c">
    <w:name w:val="Основной текст (5) + Не курсив"/>
    <w:rsid w:val="00A556B7"/>
    <w:rPr>
      <w:rFonts w:ascii="Arial" w:hAnsi="Arial"/>
      <w:i/>
      <w:spacing w:val="0"/>
      <w:sz w:val="26"/>
    </w:rPr>
  </w:style>
  <w:style w:type="paragraph" w:customStyle="1" w:styleId="83">
    <w:name w:val="Основной текст8"/>
    <w:basedOn w:val="a"/>
    <w:rsid w:val="00CC0C8B"/>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paragraph" w:customStyle="1" w:styleId="92">
    <w:name w:val="Основной текст9"/>
    <w:basedOn w:val="a"/>
    <w:rsid w:val="0020476B"/>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252">
    <w:name w:val="Основной текст (25)"/>
    <w:rsid w:val="00BE27C9"/>
    <w:rPr>
      <w:rFonts w:ascii="Arial" w:hAnsi="Arial"/>
      <w:sz w:val="10"/>
    </w:rPr>
  </w:style>
  <w:style w:type="character" w:customStyle="1" w:styleId="258pt">
    <w:name w:val="Основной текст (25) + 8 pt"/>
    <w:rsid w:val="00BE27C9"/>
    <w:rPr>
      <w:rFonts w:ascii="Times New Roman" w:hAnsi="Times New Roman"/>
      <w:spacing w:val="0"/>
      <w:sz w:val="16"/>
    </w:rPr>
  </w:style>
  <w:style w:type="character" w:customStyle="1" w:styleId="8MicrosoftSansSerif8pt">
    <w:name w:val="Основной текст (8) + Microsoft Sans Serif;8 pt;Не курсив"/>
    <w:rsid w:val="00A2792A"/>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paragraph" w:customStyle="1" w:styleId="190">
    <w:name w:val="Основной текст (19)"/>
    <w:basedOn w:val="a"/>
    <w:link w:val="191"/>
    <w:uiPriority w:val="99"/>
    <w:rsid w:val="00A2792A"/>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91">
    <w:name w:val="Основной текст (19)_"/>
    <w:link w:val="190"/>
    <w:uiPriority w:val="99"/>
    <w:rsid w:val="00A2792A"/>
    <w:rPr>
      <w:rFonts w:ascii="Arial" w:eastAsia="Times New Roman" w:hAnsi="Arial" w:cs="Times New Roman"/>
      <w:sz w:val="33"/>
      <w:szCs w:val="20"/>
      <w:shd w:val="clear" w:color="auto" w:fill="FFFFFF"/>
      <w:lang w:eastAsia="ru-RU"/>
    </w:rPr>
  </w:style>
  <w:style w:type="character" w:customStyle="1" w:styleId="26pt">
    <w:name w:val="Подпись к таблице (2) + 6 pt"/>
    <w:rsid w:val="00A2792A"/>
    <w:rPr>
      <w:rFonts w:ascii="Arial" w:hAnsi="Arial"/>
      <w:b/>
      <w:sz w:val="12"/>
    </w:rPr>
  </w:style>
  <w:style w:type="character" w:customStyle="1" w:styleId="28TimesNewRoman">
    <w:name w:val="Основной текст (28) + Times New Roman"/>
    <w:rsid w:val="00A2792A"/>
    <w:rPr>
      <w:rFonts w:ascii="Times New Roman" w:hAnsi="Times New Roman"/>
      <w:b/>
      <w:sz w:val="14"/>
    </w:rPr>
  </w:style>
  <w:style w:type="table" w:customStyle="1" w:styleId="1c">
    <w:name w:val="Сетка таблицы светлая1"/>
    <w:basedOn w:val="a1"/>
    <w:uiPriority w:val="40"/>
    <w:rsid w:val="00C57FE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380">
    <w:name w:val="Подпись к таблице (3) + 8"/>
    <w:rsid w:val="00866374"/>
    <w:rPr>
      <w:rFonts w:ascii="Arial" w:hAnsi="Arial"/>
      <w:b/>
      <w:spacing w:val="10"/>
      <w:sz w:val="17"/>
    </w:rPr>
  </w:style>
  <w:style w:type="character" w:customStyle="1" w:styleId="3MicrosoftSansSerif">
    <w:name w:val="Подпись к таблице (3) + Microsoft Sans Serif"/>
    <w:rsid w:val="00866374"/>
    <w:rPr>
      <w:rFonts w:ascii="Microsoft Sans Serif" w:hAnsi="Microsoft Sans Serif"/>
      <w:spacing w:val="10"/>
      <w:sz w:val="17"/>
    </w:rPr>
  </w:style>
  <w:style w:type="table" w:styleId="affe">
    <w:name w:val="Table Grid"/>
    <w:basedOn w:val="a1"/>
    <w:uiPriority w:val="59"/>
    <w:rsid w:val="008F4ACC"/>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3">
    <w:name w:val="Основной текст (27)_"/>
    <w:rsid w:val="00EC71A1"/>
    <w:rPr>
      <w:rFonts w:ascii="Arial" w:eastAsia="Times New Roman" w:hAnsi="Arial" w:cs="Times New Roman"/>
      <w:sz w:val="14"/>
      <w:szCs w:val="20"/>
      <w:shd w:val="clear" w:color="auto" w:fill="FFFFFF"/>
      <w:lang w:eastAsia="ru-RU"/>
    </w:rPr>
  </w:style>
  <w:style w:type="paragraph" w:customStyle="1" w:styleId="242">
    <w:name w:val="Основной текст (24)"/>
    <w:basedOn w:val="a"/>
    <w:link w:val="243"/>
    <w:rsid w:val="00EC71A1"/>
    <w:pPr>
      <w:shd w:val="clear" w:color="auto" w:fill="FFFFFF"/>
      <w:overflowPunct w:val="0"/>
      <w:autoSpaceDE w:val="0"/>
      <w:autoSpaceDN w:val="0"/>
      <w:adjustRightInd w:val="0"/>
      <w:spacing w:after="0" w:line="240" w:lineRule="atLeast"/>
      <w:textAlignment w:val="baseline"/>
    </w:pPr>
    <w:rPr>
      <w:rFonts w:ascii="Arial" w:eastAsia="Times New Roman" w:hAnsi="Arial"/>
      <w:sz w:val="21"/>
      <w:szCs w:val="20"/>
      <w:lang w:eastAsia="ru-RU"/>
    </w:rPr>
  </w:style>
  <w:style w:type="character" w:customStyle="1" w:styleId="243">
    <w:name w:val="Основной текст (24)_"/>
    <w:link w:val="242"/>
    <w:rsid w:val="00EC71A1"/>
    <w:rPr>
      <w:rFonts w:ascii="Arial" w:eastAsia="Times New Roman" w:hAnsi="Arial" w:cs="Times New Roman"/>
      <w:sz w:val="21"/>
      <w:szCs w:val="20"/>
      <w:shd w:val="clear" w:color="auto" w:fill="FFFFFF"/>
      <w:lang w:eastAsia="ru-RU"/>
    </w:rPr>
  </w:style>
  <w:style w:type="table" w:customStyle="1" w:styleId="-11">
    <w:name w:val="Таблица-сетка 1 светлая1"/>
    <w:basedOn w:val="a1"/>
    <w:uiPriority w:val="46"/>
    <w:rsid w:val="00EC71A1"/>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15">
    <w:name w:val="Таблица простая 21"/>
    <w:basedOn w:val="a1"/>
    <w:uiPriority w:val="42"/>
    <w:rsid w:val="00A25AD1"/>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1d">
    <w:name w:val="Выделение1"/>
    <w:rsid w:val="00A25AD1"/>
    <w:rPr>
      <w:rFonts w:ascii="Calibri" w:hAnsi="Calibri"/>
      <w:b/>
      <w:i/>
    </w:rPr>
  </w:style>
  <w:style w:type="character" w:customStyle="1" w:styleId="1e">
    <w:name w:val="Строгий1"/>
    <w:rsid w:val="00A25AD1"/>
    <w:rPr>
      <w:b/>
    </w:rPr>
  </w:style>
  <w:style w:type="character" w:customStyle="1" w:styleId="1f">
    <w:name w:val="Гиперссылка1"/>
    <w:rsid w:val="00A25AD1"/>
    <w:rPr>
      <w:color w:val="0000FF"/>
      <w:u w:val="single"/>
    </w:rPr>
  </w:style>
  <w:style w:type="paragraph" w:customStyle="1" w:styleId="1f0">
    <w:name w:val="Обычный (веб)1"/>
    <w:basedOn w:val="a"/>
    <w:rsid w:val="00A25AD1"/>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character" w:customStyle="1" w:styleId="ArialUnicodeMS">
    <w:name w:val="Колонтитул + Arial Unicode MS"/>
    <w:rsid w:val="00A25AD1"/>
    <w:rPr>
      <w:rFonts w:ascii="Arial Unicode MS" w:eastAsia="Arial Unicode MS"/>
      <w:spacing w:val="0"/>
      <w:sz w:val="19"/>
    </w:rPr>
  </w:style>
  <w:style w:type="paragraph" w:customStyle="1" w:styleId="172">
    <w:name w:val="Основной текст (17)"/>
    <w:basedOn w:val="a"/>
    <w:link w:val="173"/>
    <w:uiPriority w:val="99"/>
    <w:rsid w:val="00A25AD1"/>
    <w:pPr>
      <w:shd w:val="clear" w:color="auto" w:fill="FFFFFF"/>
      <w:overflowPunct w:val="0"/>
      <w:autoSpaceDE w:val="0"/>
      <w:autoSpaceDN w:val="0"/>
      <w:adjustRightInd w:val="0"/>
      <w:spacing w:before="120" w:after="300" w:line="240" w:lineRule="atLeast"/>
      <w:jc w:val="both"/>
      <w:textAlignment w:val="baseline"/>
    </w:pPr>
    <w:rPr>
      <w:rFonts w:ascii="Arial Narrow" w:eastAsia="Times New Roman" w:hAnsi="Arial Narrow"/>
      <w:sz w:val="35"/>
      <w:szCs w:val="20"/>
      <w:lang w:eastAsia="ru-RU"/>
    </w:rPr>
  </w:style>
  <w:style w:type="character" w:customStyle="1" w:styleId="173">
    <w:name w:val="Основной текст (17)_"/>
    <w:link w:val="172"/>
    <w:rsid w:val="00A25AD1"/>
    <w:rPr>
      <w:rFonts w:ascii="Arial Narrow" w:eastAsia="Times New Roman" w:hAnsi="Arial Narrow"/>
      <w:sz w:val="35"/>
      <w:shd w:val="clear" w:color="auto" w:fill="FFFFFF"/>
    </w:rPr>
  </w:style>
  <w:style w:type="character" w:customStyle="1" w:styleId="1pt0">
    <w:name w:val="Подпись к таблице + Интервал 1 pt"/>
    <w:rsid w:val="00A25AD1"/>
    <w:rPr>
      <w:rFonts w:ascii="Times New Roman" w:hAnsi="Times New Roman"/>
      <w:noProof w:val="0"/>
      <w:spacing w:val="20"/>
      <w:sz w:val="14"/>
      <w:lang w:val="en-US"/>
    </w:rPr>
  </w:style>
  <w:style w:type="character" w:customStyle="1" w:styleId="ArialUnicodeMS0">
    <w:name w:val="Основной текст + Arial Unicode MS"/>
    <w:uiPriority w:val="99"/>
    <w:rsid w:val="00A25AD1"/>
    <w:rPr>
      <w:rFonts w:ascii="Arial Unicode MS" w:eastAsia="Arial Unicode MS"/>
      <w:b/>
      <w:spacing w:val="0"/>
      <w:sz w:val="16"/>
    </w:rPr>
  </w:style>
  <w:style w:type="character" w:customStyle="1" w:styleId="16Candara">
    <w:name w:val="Основной текст (16) + Candara"/>
    <w:rsid w:val="00A25AD1"/>
    <w:rPr>
      <w:rFonts w:ascii="Candara" w:hAnsi="Candara"/>
      <w:spacing w:val="0"/>
      <w:sz w:val="18"/>
    </w:rPr>
  </w:style>
  <w:style w:type="character" w:customStyle="1" w:styleId="163">
    <w:name w:val="Основной текст (16) + Не курсив"/>
    <w:rsid w:val="00A25AD1"/>
    <w:rPr>
      <w:rFonts w:ascii="Times New Roman" w:hAnsi="Times New Roman"/>
      <w:i/>
      <w:spacing w:val="0"/>
      <w:sz w:val="18"/>
    </w:rPr>
  </w:style>
  <w:style w:type="character" w:customStyle="1" w:styleId="Arial1">
    <w:name w:val="Колонтитул + Arial1"/>
    <w:rsid w:val="00A25AD1"/>
    <w:rPr>
      <w:rFonts w:ascii="Arial" w:hAnsi="Arial"/>
      <w:i/>
      <w:sz w:val="8"/>
    </w:rPr>
  </w:style>
  <w:style w:type="paragraph" w:customStyle="1" w:styleId="132">
    <w:name w:val="Основной текст (13)"/>
    <w:basedOn w:val="a"/>
    <w:link w:val="133"/>
    <w:uiPriority w:val="99"/>
    <w:rsid w:val="00A25AD1"/>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3f">
    <w:name w:val="Оглавление (3)"/>
    <w:basedOn w:val="a"/>
    <w:rsid w:val="00A25AD1"/>
    <w:pPr>
      <w:shd w:val="clear" w:color="auto" w:fill="FFFFFF"/>
      <w:overflowPunct w:val="0"/>
      <w:autoSpaceDE w:val="0"/>
      <w:autoSpaceDN w:val="0"/>
      <w:adjustRightInd w:val="0"/>
      <w:spacing w:after="0" w:line="176" w:lineRule="exact"/>
      <w:textAlignment w:val="baseline"/>
    </w:pPr>
    <w:rPr>
      <w:rFonts w:ascii="Times New Roman" w:eastAsia="Times New Roman" w:hAnsi="Times New Roman"/>
      <w:sz w:val="15"/>
      <w:szCs w:val="20"/>
      <w:lang w:eastAsia="ru-RU"/>
    </w:rPr>
  </w:style>
  <w:style w:type="character" w:customStyle="1" w:styleId="MicrosoftSansSerif">
    <w:name w:val="Колонтитул + Microsoft Sans Serif"/>
    <w:rsid w:val="00A25AD1"/>
    <w:rPr>
      <w:rFonts w:ascii="Microsoft Sans Serif" w:hAnsi="Microsoft Sans Serif"/>
      <w:spacing w:val="0"/>
      <w:sz w:val="19"/>
    </w:rPr>
  </w:style>
  <w:style w:type="character" w:customStyle="1" w:styleId="MicrosoftSansSerif0">
    <w:name w:val="Основной текст + Microsoft Sans Serif"/>
    <w:rsid w:val="00A25AD1"/>
    <w:rPr>
      <w:rFonts w:ascii="Microsoft Sans Serif" w:hAnsi="Microsoft Sans Serif"/>
      <w:i/>
      <w:spacing w:val="10"/>
      <w:sz w:val="15"/>
    </w:rPr>
  </w:style>
  <w:style w:type="character" w:customStyle="1" w:styleId="122pt">
    <w:name w:val="Основной текст (12) + Интервал 2 pt"/>
    <w:rsid w:val="00A25AD1"/>
    <w:rPr>
      <w:spacing w:val="50"/>
      <w:sz w:val="16"/>
    </w:rPr>
  </w:style>
  <w:style w:type="character" w:customStyle="1" w:styleId="127">
    <w:name w:val="Основной текст (12)_"/>
    <w:rsid w:val="00A25AD1"/>
    <w:rPr>
      <w:spacing w:val="20"/>
      <w:sz w:val="16"/>
    </w:rPr>
  </w:style>
  <w:style w:type="character" w:customStyle="1" w:styleId="11SimSun">
    <w:name w:val="Основной текст (11) + SimSun"/>
    <w:rsid w:val="00A25AD1"/>
    <w:rPr>
      <w:rFonts w:ascii="SimSun" w:eastAsia="SimSun" w:hAnsi="Arial" w:cs="Microsoft Sans Serif"/>
      <w:i w:val="0"/>
      <w:iCs w:val="0"/>
      <w:spacing w:val="-10"/>
      <w:sz w:val="16"/>
      <w:szCs w:val="28"/>
    </w:rPr>
  </w:style>
  <w:style w:type="paragraph" w:customStyle="1" w:styleId="5d">
    <w:name w:val="Подпись к таблице (5)"/>
    <w:basedOn w:val="a"/>
    <w:rsid w:val="00A25AD1"/>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character" w:customStyle="1" w:styleId="4-1pt0">
    <w:name w:val="Подпись к картинке (4) + Интервал -1 pt"/>
    <w:rsid w:val="00A25AD1"/>
    <w:rPr>
      <w:rFonts w:ascii="Times New Roman" w:hAnsi="Times New Roman"/>
      <w:spacing w:val="-30"/>
      <w:sz w:val="48"/>
    </w:rPr>
  </w:style>
  <w:style w:type="character" w:customStyle="1" w:styleId="52pt">
    <w:name w:val="Заголовок №5 + Интервал 2 pt"/>
    <w:rsid w:val="00A25AD1"/>
    <w:rPr>
      <w:rFonts w:ascii="Microsoft Sans Serif" w:hAnsi="Microsoft Sans Serif"/>
      <w:spacing w:val="50"/>
      <w:sz w:val="15"/>
    </w:rPr>
  </w:style>
  <w:style w:type="paragraph" w:customStyle="1" w:styleId="67">
    <w:name w:val="Подпись к таблице (6)"/>
    <w:basedOn w:val="a"/>
    <w:rsid w:val="00A25AD1"/>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character" w:customStyle="1" w:styleId="68">
    <w:name w:val="Подпись к таблице (6) + 8"/>
    <w:rsid w:val="00A25AD1"/>
    <w:rPr>
      <w:rFonts w:ascii="Microsoft Sans Serif" w:hAnsi="Microsoft Sans Serif"/>
      <w:b/>
      <w:sz w:val="17"/>
    </w:rPr>
  </w:style>
  <w:style w:type="paragraph" w:customStyle="1" w:styleId="4a">
    <w:name w:val="Заголовок №4"/>
    <w:basedOn w:val="a"/>
    <w:link w:val="4b"/>
    <w:rsid w:val="00A25AD1"/>
    <w:pPr>
      <w:shd w:val="clear" w:color="auto" w:fill="FFFFFF"/>
      <w:overflowPunct w:val="0"/>
      <w:autoSpaceDE w:val="0"/>
      <w:autoSpaceDN w:val="0"/>
      <w:adjustRightInd w:val="0"/>
      <w:spacing w:before="300" w:after="0" w:line="240" w:lineRule="atLeast"/>
      <w:textAlignment w:val="baseline"/>
    </w:pPr>
    <w:rPr>
      <w:rFonts w:ascii="Arial" w:eastAsia="Times New Roman" w:hAnsi="Arial"/>
      <w:spacing w:val="-20"/>
      <w:sz w:val="85"/>
      <w:szCs w:val="20"/>
      <w:lang w:eastAsia="ru-RU"/>
    </w:rPr>
  </w:style>
  <w:style w:type="character" w:customStyle="1" w:styleId="4b">
    <w:name w:val="Заголовок №4_"/>
    <w:link w:val="4a"/>
    <w:rsid w:val="00A25AD1"/>
    <w:rPr>
      <w:rFonts w:ascii="Arial" w:eastAsia="Times New Roman" w:hAnsi="Arial"/>
      <w:spacing w:val="-20"/>
      <w:sz w:val="85"/>
      <w:shd w:val="clear" w:color="auto" w:fill="FFFFFF"/>
    </w:rPr>
  </w:style>
  <w:style w:type="paragraph" w:customStyle="1" w:styleId="4c">
    <w:name w:val="Подпись к таблице (4)"/>
    <w:basedOn w:val="a"/>
    <w:uiPriority w:val="99"/>
    <w:rsid w:val="00A25AD1"/>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paragraph" w:customStyle="1" w:styleId="381">
    <w:name w:val="Основной текст (38)"/>
    <w:basedOn w:val="a"/>
    <w:rsid w:val="00A25AD1"/>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character" w:customStyle="1" w:styleId="afff">
    <w:name w:val="Подпись к таблице + Не курсив"/>
    <w:rsid w:val="00A25AD1"/>
    <w:rPr>
      <w:rFonts w:ascii="Times New Roman" w:hAnsi="Times New Roman"/>
      <w:i/>
      <w:noProof w:val="0"/>
      <w:spacing w:val="0"/>
      <w:sz w:val="14"/>
      <w:lang w:val="en-US"/>
    </w:rPr>
  </w:style>
  <w:style w:type="character" w:customStyle="1" w:styleId="50pt">
    <w:name w:val="Подпись к таблице (5) + Интервал 0 pt"/>
    <w:rsid w:val="00A25AD1"/>
    <w:rPr>
      <w:rFonts w:ascii="Times New Roman" w:hAnsi="Times New Roman"/>
      <w:spacing w:val="10"/>
      <w:sz w:val="16"/>
    </w:rPr>
  </w:style>
  <w:style w:type="paragraph" w:customStyle="1" w:styleId="471">
    <w:name w:val="Основной текст (47)"/>
    <w:basedOn w:val="a"/>
    <w:rsid w:val="00A25AD1"/>
    <w:pPr>
      <w:shd w:val="clear" w:color="auto" w:fill="FFFFFF"/>
      <w:overflowPunct w:val="0"/>
      <w:autoSpaceDE w:val="0"/>
      <w:autoSpaceDN w:val="0"/>
      <w:adjustRightInd w:val="0"/>
      <w:spacing w:before="120" w:after="120" w:line="162" w:lineRule="exact"/>
      <w:jc w:val="center"/>
      <w:textAlignment w:val="baseline"/>
    </w:pPr>
    <w:rPr>
      <w:rFonts w:ascii="Arial" w:eastAsia="Times New Roman" w:hAnsi="Arial"/>
      <w:sz w:val="14"/>
      <w:szCs w:val="20"/>
      <w:lang w:eastAsia="ru-RU"/>
    </w:rPr>
  </w:style>
  <w:style w:type="paragraph" w:customStyle="1" w:styleId="481">
    <w:name w:val="Основной текст (48)"/>
    <w:basedOn w:val="a"/>
    <w:rsid w:val="00A25AD1"/>
    <w:pPr>
      <w:shd w:val="clear" w:color="auto" w:fill="FFFFFF"/>
      <w:overflowPunct w:val="0"/>
      <w:autoSpaceDE w:val="0"/>
      <w:autoSpaceDN w:val="0"/>
      <w:adjustRightInd w:val="0"/>
      <w:spacing w:after="120" w:line="140" w:lineRule="exact"/>
      <w:jc w:val="center"/>
      <w:textAlignment w:val="baseline"/>
    </w:pPr>
    <w:rPr>
      <w:rFonts w:eastAsia="Times New Roman"/>
      <w:sz w:val="12"/>
      <w:szCs w:val="20"/>
      <w:lang w:eastAsia="ru-RU"/>
    </w:rPr>
  </w:style>
  <w:style w:type="paragraph" w:styleId="afff0">
    <w:name w:val="footer"/>
    <w:basedOn w:val="a"/>
    <w:link w:val="afff1"/>
    <w:rsid w:val="00A25AD1"/>
    <w:pPr>
      <w:tabs>
        <w:tab w:val="center" w:pos="4153"/>
        <w:tab w:val="right" w:pos="8306"/>
      </w:tabs>
      <w:overflowPunct w:val="0"/>
      <w:autoSpaceDE w:val="0"/>
      <w:autoSpaceDN w:val="0"/>
      <w:adjustRightInd w:val="0"/>
      <w:spacing w:after="0" w:line="240" w:lineRule="auto"/>
      <w:textAlignment w:val="baseline"/>
    </w:pPr>
    <w:rPr>
      <w:rFonts w:ascii="Times New Roman" w:eastAsia="Times New Roman" w:hAnsi="Times New Roman"/>
      <w:sz w:val="20"/>
      <w:szCs w:val="20"/>
      <w:lang w:eastAsia="ru-RU"/>
    </w:rPr>
  </w:style>
  <w:style w:type="character" w:customStyle="1" w:styleId="afff1">
    <w:name w:val="Нижний колонтитул Знак"/>
    <w:link w:val="afff0"/>
    <w:rsid w:val="00A25AD1"/>
    <w:rPr>
      <w:rFonts w:ascii="Times New Roman" w:eastAsia="Times New Roman" w:hAnsi="Times New Roman"/>
    </w:rPr>
  </w:style>
  <w:style w:type="paragraph" w:styleId="2f1">
    <w:name w:val="toc 2"/>
    <w:basedOn w:val="a"/>
    <w:next w:val="a"/>
    <w:semiHidden/>
    <w:rsid w:val="00A25AD1"/>
    <w:pPr>
      <w:overflowPunct w:val="0"/>
      <w:autoSpaceDE w:val="0"/>
      <w:autoSpaceDN w:val="0"/>
      <w:adjustRightInd w:val="0"/>
      <w:spacing w:after="0" w:line="240" w:lineRule="auto"/>
      <w:ind w:left="240"/>
      <w:textAlignment w:val="baseline"/>
    </w:pPr>
    <w:rPr>
      <w:rFonts w:eastAsia="Times New Roman"/>
      <w:sz w:val="24"/>
      <w:szCs w:val="20"/>
      <w:lang w:val="en-US" w:eastAsia="ru-RU"/>
    </w:rPr>
  </w:style>
  <w:style w:type="character" w:customStyle="1" w:styleId="3Arial">
    <w:name w:val="Оглавление (3) + Arial"/>
    <w:rsid w:val="00A25AD1"/>
    <w:rPr>
      <w:rFonts w:ascii="Arial" w:hAnsi="Arial"/>
      <w:i/>
      <w:spacing w:val="0"/>
      <w:sz w:val="36"/>
    </w:rPr>
  </w:style>
  <w:style w:type="character" w:customStyle="1" w:styleId="5e">
    <w:name w:val="Оглавление (5)"/>
    <w:rsid w:val="00A25AD1"/>
    <w:rPr>
      <w:rFonts w:ascii="Times New Roman" w:hAnsi="Times New Roman"/>
      <w:spacing w:val="0"/>
      <w:sz w:val="14"/>
    </w:rPr>
  </w:style>
  <w:style w:type="paragraph" w:customStyle="1" w:styleId="4d">
    <w:name w:val="Оглавление (4)"/>
    <w:basedOn w:val="a"/>
    <w:rsid w:val="00A25AD1"/>
    <w:pPr>
      <w:shd w:val="clear" w:color="auto" w:fill="FFFFFF"/>
      <w:overflowPunct w:val="0"/>
      <w:autoSpaceDE w:val="0"/>
      <w:autoSpaceDN w:val="0"/>
      <w:adjustRightInd w:val="0"/>
      <w:spacing w:after="120" w:line="241" w:lineRule="exact"/>
      <w:jc w:val="right"/>
      <w:textAlignment w:val="baseline"/>
    </w:pPr>
    <w:rPr>
      <w:rFonts w:ascii="Times New Roman" w:eastAsia="Times New Roman" w:hAnsi="Times New Roman"/>
      <w:sz w:val="18"/>
      <w:szCs w:val="20"/>
      <w:lang w:eastAsia="ru-RU"/>
    </w:rPr>
  </w:style>
  <w:style w:type="character" w:customStyle="1" w:styleId="LucidaSansUnicode">
    <w:name w:val="Основной текст + Lucida Sans Unicode"/>
    <w:rsid w:val="00A25AD1"/>
    <w:rPr>
      <w:rFonts w:ascii="Lucida Sans Unicode" w:hAnsi="Lucida Sans Unicode"/>
      <w:smallCaps/>
      <w:spacing w:val="-20"/>
      <w:sz w:val="17"/>
    </w:rPr>
  </w:style>
  <w:style w:type="character" w:customStyle="1" w:styleId="9pt2">
    <w:name w:val="Основной текст + 9 pt2"/>
    <w:rsid w:val="00A25AD1"/>
    <w:rPr>
      <w:rFonts w:ascii="Times New Roman" w:hAnsi="Times New Roman"/>
      <w:b/>
      <w:spacing w:val="-10"/>
      <w:sz w:val="18"/>
    </w:rPr>
  </w:style>
  <w:style w:type="character" w:customStyle="1" w:styleId="MicrosoftSansSerif1">
    <w:name w:val="Оглавление + Microsoft Sans Serif"/>
    <w:rsid w:val="00A25AD1"/>
    <w:rPr>
      <w:rFonts w:ascii="Microsoft Sans Serif" w:hAnsi="Microsoft Sans Serif"/>
      <w:b/>
      <w:i/>
      <w:noProof w:val="0"/>
      <w:spacing w:val="10"/>
      <w:sz w:val="15"/>
      <w:lang w:val="en-US"/>
    </w:rPr>
  </w:style>
  <w:style w:type="character" w:customStyle="1" w:styleId="106">
    <w:name w:val="Основной текст (10) + 6"/>
    <w:rsid w:val="00A25AD1"/>
    <w:rPr>
      <w:rFonts w:ascii="Microsoft Sans Serif" w:hAnsi="Microsoft Sans Serif"/>
      <w:b/>
      <w:spacing w:val="10"/>
      <w:sz w:val="13"/>
    </w:rPr>
  </w:style>
  <w:style w:type="character" w:customStyle="1" w:styleId="13Arial">
    <w:name w:val="Основной текст (13) + Arial"/>
    <w:rsid w:val="00A25AD1"/>
    <w:rPr>
      <w:rFonts w:ascii="Arial" w:hAnsi="Arial"/>
      <w:i/>
      <w:spacing w:val="0"/>
      <w:sz w:val="8"/>
    </w:rPr>
  </w:style>
  <w:style w:type="character" w:customStyle="1" w:styleId="198">
    <w:name w:val="Основной текст (19) + 8"/>
    <w:rsid w:val="00A25AD1"/>
    <w:rPr>
      <w:rFonts w:ascii="Times New Roman" w:hAnsi="Times New Roman"/>
      <w:sz w:val="17"/>
    </w:rPr>
  </w:style>
  <w:style w:type="character" w:customStyle="1" w:styleId="12pt">
    <w:name w:val="Основной текст + 12 pt"/>
    <w:rsid w:val="00A25AD1"/>
    <w:rPr>
      <w:rFonts w:ascii="Times New Roman" w:hAnsi="Times New Roman"/>
      <w:spacing w:val="-10"/>
      <w:sz w:val="24"/>
    </w:rPr>
  </w:style>
  <w:style w:type="character" w:customStyle="1" w:styleId="BookmanOldStyle">
    <w:name w:val="Основной текст + Bookman Old Style"/>
    <w:rsid w:val="00A25AD1"/>
    <w:rPr>
      <w:rFonts w:ascii="Bookman Old Style" w:hAnsi="Bookman Old Style"/>
      <w:spacing w:val="-10"/>
      <w:sz w:val="13"/>
    </w:rPr>
  </w:style>
  <w:style w:type="paragraph" w:customStyle="1" w:styleId="69">
    <w:name w:val="Основной текст (6)"/>
    <w:basedOn w:val="a"/>
    <w:link w:val="6a"/>
    <w:rsid w:val="00A25AD1"/>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a">
    <w:name w:val="Основной текст (6)_"/>
    <w:link w:val="69"/>
    <w:rsid w:val="00A25AD1"/>
    <w:rPr>
      <w:rFonts w:eastAsia="Times New Roman"/>
      <w:sz w:val="24"/>
      <w:shd w:val="clear" w:color="auto" w:fill="FFFFFF"/>
    </w:rPr>
  </w:style>
  <w:style w:type="character" w:customStyle="1" w:styleId="253">
    <w:name w:val="Основной текст (25)_"/>
    <w:rsid w:val="00A25AD1"/>
    <w:rPr>
      <w:rFonts w:ascii="Arial" w:hAnsi="Arial"/>
      <w:sz w:val="10"/>
    </w:rPr>
  </w:style>
  <w:style w:type="character" w:customStyle="1" w:styleId="259pt">
    <w:name w:val="Основной текст (25) + 9 pt"/>
    <w:rsid w:val="00A25AD1"/>
    <w:rPr>
      <w:rFonts w:ascii="Times New Roman" w:hAnsi="Times New Roman"/>
      <w:spacing w:val="0"/>
      <w:sz w:val="18"/>
    </w:rPr>
  </w:style>
  <w:style w:type="character" w:customStyle="1" w:styleId="27TimesNewRoman">
    <w:name w:val="Основной текст (27) + Times New Roman"/>
    <w:rsid w:val="00A25AD1"/>
    <w:rPr>
      <w:rFonts w:ascii="Times New Roman" w:hAnsi="Times New Roman"/>
      <w:sz w:val="16"/>
    </w:rPr>
  </w:style>
  <w:style w:type="paragraph" w:customStyle="1" w:styleId="400">
    <w:name w:val="Основной текст (40)"/>
    <w:basedOn w:val="a"/>
    <w:link w:val="401"/>
    <w:rsid w:val="00A25AD1"/>
    <w:pPr>
      <w:shd w:val="clear" w:color="auto" w:fill="FFFFFF"/>
      <w:overflowPunct w:val="0"/>
      <w:autoSpaceDE w:val="0"/>
      <w:autoSpaceDN w:val="0"/>
      <w:adjustRightInd w:val="0"/>
      <w:spacing w:after="0" w:line="240" w:lineRule="atLeast"/>
      <w:jc w:val="both"/>
      <w:textAlignment w:val="baseline"/>
    </w:pPr>
    <w:rPr>
      <w:rFonts w:ascii="Gungsuh" w:eastAsia="Gungsuh" w:hAnsi="Times New Roman"/>
      <w:sz w:val="8"/>
      <w:szCs w:val="20"/>
      <w:lang w:eastAsia="ru-RU"/>
    </w:rPr>
  </w:style>
  <w:style w:type="character" w:customStyle="1" w:styleId="401">
    <w:name w:val="Основной текст (40)_"/>
    <w:link w:val="400"/>
    <w:rsid w:val="00A25AD1"/>
    <w:rPr>
      <w:rFonts w:ascii="Gungsuh" w:eastAsia="Gungsuh" w:hAnsi="Times New Roman"/>
      <w:sz w:val="8"/>
      <w:shd w:val="clear" w:color="auto" w:fill="FFFFFF"/>
    </w:rPr>
  </w:style>
  <w:style w:type="character" w:customStyle="1" w:styleId="308pt">
    <w:name w:val="Основной текст (30) + 8 pt"/>
    <w:rsid w:val="00A25AD1"/>
    <w:rPr>
      <w:rFonts w:ascii="Times New Roman" w:hAnsi="Times New Roman"/>
      <w:sz w:val="16"/>
    </w:rPr>
  </w:style>
  <w:style w:type="character" w:customStyle="1" w:styleId="478pt">
    <w:name w:val="Основной текст (47) + 8 pt"/>
    <w:rsid w:val="00A25AD1"/>
    <w:rPr>
      <w:rFonts w:ascii="Times New Roman" w:hAnsi="Times New Roman"/>
      <w:spacing w:val="0"/>
      <w:sz w:val="16"/>
    </w:rPr>
  </w:style>
  <w:style w:type="character" w:customStyle="1" w:styleId="47BookmanOldStyle">
    <w:name w:val="Основной текст (47) + Bookman Old Style"/>
    <w:rsid w:val="00A25AD1"/>
    <w:rPr>
      <w:rFonts w:ascii="Bookman Old Style" w:hAnsi="Bookman Old Style"/>
      <w:spacing w:val="0"/>
      <w:sz w:val="13"/>
    </w:rPr>
  </w:style>
  <w:style w:type="character" w:customStyle="1" w:styleId="2750">
    <w:name w:val="Основной текст (27) + 5"/>
    <w:rsid w:val="00A25AD1"/>
    <w:rPr>
      <w:rFonts w:ascii="Bookman Old Style" w:hAnsi="Bookman Old Style"/>
      <w:sz w:val="11"/>
    </w:rPr>
  </w:style>
  <w:style w:type="character" w:customStyle="1" w:styleId="6BookmanOldStyle">
    <w:name w:val="Основной текст (6) + Bookman Old Style"/>
    <w:rsid w:val="00A25AD1"/>
    <w:rPr>
      <w:rFonts w:ascii="Bookman Old Style" w:hAnsi="Bookman Old Style"/>
      <w:sz w:val="11"/>
    </w:rPr>
  </w:style>
  <w:style w:type="character" w:customStyle="1" w:styleId="68pt">
    <w:name w:val="Основной текст (6) + 8 pt"/>
    <w:aliases w:val="Интервал 1 pt"/>
    <w:uiPriority w:val="99"/>
    <w:rsid w:val="00A25AD1"/>
    <w:rPr>
      <w:rFonts w:ascii="Times New Roman" w:hAnsi="Times New Roman"/>
      <w:sz w:val="16"/>
    </w:rPr>
  </w:style>
  <w:style w:type="character" w:customStyle="1" w:styleId="18TimesNewRoman">
    <w:name w:val="Основной текст (18) + Times New Roman"/>
    <w:rsid w:val="00A25AD1"/>
    <w:rPr>
      <w:rFonts w:ascii="Times New Roman" w:hAnsi="Times New Roman"/>
      <w:b/>
      <w:spacing w:val="0"/>
      <w:sz w:val="17"/>
    </w:rPr>
  </w:style>
  <w:style w:type="paragraph" w:styleId="afff2">
    <w:name w:val="header"/>
    <w:basedOn w:val="a"/>
    <w:link w:val="afff3"/>
    <w:uiPriority w:val="99"/>
    <w:unhideWhenUsed/>
    <w:rsid w:val="00A25AD1"/>
    <w:pPr>
      <w:tabs>
        <w:tab w:val="center" w:pos="4677"/>
        <w:tab w:val="right" w:pos="9355"/>
      </w:tabs>
      <w:overflowPunct w:val="0"/>
      <w:autoSpaceDE w:val="0"/>
      <w:autoSpaceDN w:val="0"/>
      <w:adjustRightInd w:val="0"/>
      <w:spacing w:after="0" w:line="240" w:lineRule="auto"/>
      <w:textAlignment w:val="baseline"/>
    </w:pPr>
    <w:rPr>
      <w:rFonts w:ascii="Times New Roman" w:eastAsia="Times New Roman" w:hAnsi="Times New Roman"/>
      <w:sz w:val="20"/>
      <w:szCs w:val="20"/>
      <w:lang w:eastAsia="ru-RU"/>
    </w:rPr>
  </w:style>
  <w:style w:type="character" w:customStyle="1" w:styleId="afff3">
    <w:name w:val="Верхний колонтитул Знак"/>
    <w:link w:val="afff2"/>
    <w:uiPriority w:val="99"/>
    <w:rsid w:val="00A25AD1"/>
    <w:rPr>
      <w:rFonts w:ascii="Times New Roman" w:eastAsia="Times New Roman" w:hAnsi="Times New Roman"/>
    </w:rPr>
  </w:style>
  <w:style w:type="character" w:customStyle="1" w:styleId="5LucidaSansUnicode">
    <w:name w:val="Основной текст (5) + Lucida Sans Unicode"/>
    <w:rsid w:val="00A25AD1"/>
    <w:rPr>
      <w:rFonts w:ascii="Lucida Sans Unicode" w:hAnsi="Lucida Sans Unicode"/>
      <w:spacing w:val="0"/>
      <w:sz w:val="25"/>
    </w:rPr>
  </w:style>
  <w:style w:type="character" w:customStyle="1" w:styleId="5f">
    <w:name w:val="Основной текст5"/>
    <w:rsid w:val="00A25AD1"/>
    <w:rPr>
      <w:rFonts w:ascii="Arial" w:hAnsi="Arial"/>
      <w:spacing w:val="0"/>
      <w:sz w:val="26"/>
    </w:rPr>
  </w:style>
  <w:style w:type="character" w:customStyle="1" w:styleId="134">
    <w:name w:val="Оглавление + 13"/>
    <w:rsid w:val="00A25AD1"/>
    <w:rPr>
      <w:rFonts w:ascii="Arial" w:hAnsi="Arial"/>
      <w:sz w:val="27"/>
    </w:rPr>
  </w:style>
  <w:style w:type="character" w:customStyle="1" w:styleId="afff4">
    <w:name w:val="Оглавление_"/>
    <w:uiPriority w:val="99"/>
    <w:rsid w:val="00A25AD1"/>
    <w:rPr>
      <w:rFonts w:ascii="Arial" w:hAnsi="Arial"/>
      <w:sz w:val="24"/>
      <w:shd w:val="clear" w:color="auto" w:fill="FFFFFF"/>
    </w:rPr>
  </w:style>
  <w:style w:type="paragraph" w:customStyle="1" w:styleId="2f2">
    <w:name w:val="Оглавление (2)"/>
    <w:basedOn w:val="a"/>
    <w:link w:val="2f3"/>
    <w:rsid w:val="00A25AD1"/>
    <w:pPr>
      <w:shd w:val="clear" w:color="auto" w:fill="FFFFFF"/>
      <w:overflowPunct w:val="0"/>
      <w:autoSpaceDE w:val="0"/>
      <w:autoSpaceDN w:val="0"/>
      <w:adjustRightInd w:val="0"/>
      <w:spacing w:after="0" w:line="293" w:lineRule="exact"/>
      <w:jc w:val="both"/>
      <w:textAlignment w:val="baseline"/>
    </w:pPr>
    <w:rPr>
      <w:rFonts w:ascii="Arial" w:eastAsia="Times New Roman" w:hAnsi="Arial"/>
      <w:spacing w:val="-10"/>
      <w:sz w:val="26"/>
      <w:szCs w:val="20"/>
      <w:lang w:eastAsia="ru-RU"/>
    </w:rPr>
  </w:style>
  <w:style w:type="character" w:customStyle="1" w:styleId="2f3">
    <w:name w:val="Оглавление (2)_"/>
    <w:link w:val="2f2"/>
    <w:rsid w:val="00A25AD1"/>
    <w:rPr>
      <w:rFonts w:ascii="Arial" w:eastAsia="Times New Roman" w:hAnsi="Arial"/>
      <w:spacing w:val="-10"/>
      <w:sz w:val="26"/>
      <w:shd w:val="clear" w:color="auto" w:fill="FFFFFF"/>
    </w:rPr>
  </w:style>
  <w:style w:type="character" w:customStyle="1" w:styleId="311pt">
    <w:name w:val="Основной текст (31) + Интервал 1 pt"/>
    <w:rsid w:val="00A25AD1"/>
    <w:rPr>
      <w:rFonts w:ascii="Arial" w:hAnsi="Arial"/>
      <w:spacing w:val="30"/>
      <w:sz w:val="24"/>
    </w:rPr>
  </w:style>
  <w:style w:type="character" w:customStyle="1" w:styleId="1f1">
    <w:name w:val="Слабое выделение1"/>
    <w:rsid w:val="00A25AD1"/>
    <w:rPr>
      <w:i/>
      <w:color w:val="808080"/>
    </w:rPr>
  </w:style>
  <w:style w:type="paragraph" w:customStyle="1" w:styleId="7a">
    <w:name w:val="Основной текст7"/>
    <w:basedOn w:val="a"/>
    <w:rsid w:val="00A25AD1"/>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paragraph" w:customStyle="1" w:styleId="128">
    <w:name w:val="Основной текст12"/>
    <w:basedOn w:val="a"/>
    <w:rsid w:val="00A25AD1"/>
    <w:pPr>
      <w:shd w:val="clear" w:color="auto" w:fill="FFFFFF"/>
      <w:overflowPunct w:val="0"/>
      <w:autoSpaceDE w:val="0"/>
      <w:autoSpaceDN w:val="0"/>
      <w:adjustRightInd w:val="0"/>
      <w:spacing w:before="4080" w:after="0" w:line="323" w:lineRule="exact"/>
      <w:ind w:hanging="260"/>
      <w:jc w:val="both"/>
      <w:textAlignment w:val="baseline"/>
    </w:pPr>
    <w:rPr>
      <w:rFonts w:ascii="Lucida Sans Unicode" w:eastAsia="Times New Roman" w:hAnsi="Lucida Sans Unicode"/>
      <w:color w:val="000000"/>
      <w:spacing w:val="-10"/>
      <w:sz w:val="25"/>
      <w:szCs w:val="20"/>
      <w:lang w:eastAsia="ru-RU"/>
    </w:rPr>
  </w:style>
  <w:style w:type="paragraph" w:customStyle="1" w:styleId="rteright">
    <w:name w:val="rteright"/>
    <w:basedOn w:val="a"/>
    <w:rsid w:val="00A25AD1"/>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rteindent1">
    <w:name w:val="rteindent1"/>
    <w:basedOn w:val="a"/>
    <w:rsid w:val="00A25AD1"/>
    <w:pPr>
      <w:spacing w:before="120" w:after="216" w:line="240" w:lineRule="auto"/>
      <w:ind w:left="349"/>
    </w:pPr>
    <w:rPr>
      <w:rFonts w:ascii="Times New Roman" w:eastAsia="Times New Roman" w:hAnsi="Times New Roman"/>
      <w:sz w:val="24"/>
      <w:szCs w:val="24"/>
      <w:lang w:eastAsia="ru-RU"/>
    </w:rPr>
  </w:style>
  <w:style w:type="character" w:customStyle="1" w:styleId="1f2">
    <w:name w:val="Текст выноски Знак1"/>
    <w:uiPriority w:val="99"/>
    <w:semiHidden/>
    <w:rsid w:val="00A25AD1"/>
    <w:rPr>
      <w:rFonts w:ascii="Segoe UI" w:hAnsi="Segoe UI" w:cs="Segoe UI"/>
      <w:sz w:val="18"/>
      <w:szCs w:val="18"/>
    </w:rPr>
  </w:style>
  <w:style w:type="character" w:customStyle="1" w:styleId="105">
    <w:name w:val="Основной текст (10)5"/>
    <w:uiPriority w:val="99"/>
    <w:rsid w:val="00A25AD1"/>
    <w:rPr>
      <w:rFonts w:ascii="MS Reference Sans Serif" w:hAnsi="MS Reference Sans Serif" w:cs="MS Reference Sans Serif"/>
      <w:b/>
      <w:bCs/>
      <w:sz w:val="23"/>
      <w:szCs w:val="23"/>
    </w:rPr>
  </w:style>
  <w:style w:type="paragraph" w:customStyle="1" w:styleId="1010">
    <w:name w:val="Основной текст (10)1"/>
    <w:basedOn w:val="a"/>
    <w:uiPriority w:val="99"/>
    <w:rsid w:val="00A25AD1"/>
    <w:pPr>
      <w:shd w:val="clear" w:color="auto" w:fill="FFFFFF"/>
      <w:autoSpaceDE w:val="0"/>
      <w:autoSpaceDN w:val="0"/>
      <w:adjustRightInd w:val="0"/>
      <w:spacing w:after="300" w:line="240" w:lineRule="atLeast"/>
      <w:jc w:val="center"/>
    </w:pPr>
    <w:rPr>
      <w:rFonts w:ascii="MS Reference Sans Serif" w:hAnsi="MS Reference Sans Serif" w:cs="MS Reference Sans Serif"/>
      <w:b/>
      <w:bCs/>
      <w:sz w:val="23"/>
      <w:szCs w:val="23"/>
    </w:rPr>
  </w:style>
  <w:style w:type="character" w:customStyle="1" w:styleId="1040">
    <w:name w:val="Основной текст (10)4"/>
    <w:uiPriority w:val="99"/>
    <w:rsid w:val="00A25AD1"/>
    <w:rPr>
      <w:rFonts w:ascii="MS Reference Sans Serif" w:hAnsi="MS Reference Sans Serif" w:cs="MS Reference Sans Serif"/>
      <w:b/>
      <w:bCs/>
      <w:sz w:val="23"/>
      <w:szCs w:val="23"/>
    </w:rPr>
  </w:style>
  <w:style w:type="character" w:customStyle="1" w:styleId="95pt1">
    <w:name w:val="Основной текст + 9.5 pt1.Полужирный"/>
    <w:uiPriority w:val="99"/>
    <w:rsid w:val="00A25AD1"/>
    <w:rPr>
      <w:rFonts w:ascii="Times New Roman" w:hAnsi="Times New Roman" w:cs="Times New Roman"/>
      <w:b/>
      <w:bCs/>
      <w:noProof/>
      <w:sz w:val="19"/>
      <w:szCs w:val="19"/>
    </w:rPr>
  </w:style>
  <w:style w:type="character" w:customStyle="1" w:styleId="1030">
    <w:name w:val="Основной текст (10)3"/>
    <w:uiPriority w:val="99"/>
    <w:rsid w:val="00A25AD1"/>
    <w:rPr>
      <w:rFonts w:ascii="MS Reference Sans Serif" w:hAnsi="MS Reference Sans Serif" w:cs="MS Reference Sans Serif"/>
      <w:b/>
      <w:bCs/>
      <w:sz w:val="23"/>
      <w:szCs w:val="23"/>
    </w:rPr>
  </w:style>
  <w:style w:type="character" w:customStyle="1" w:styleId="HTML">
    <w:name w:val="Стандартный HTML Знак"/>
    <w:link w:val="HTML0"/>
    <w:uiPriority w:val="99"/>
    <w:semiHidden/>
    <w:rsid w:val="00A25AD1"/>
    <w:rPr>
      <w:rFonts w:ascii="Courier New" w:hAnsi="Courier New" w:cs="Courier New"/>
    </w:rPr>
  </w:style>
  <w:style w:type="paragraph" w:styleId="HTML0">
    <w:name w:val="HTML Preformatted"/>
    <w:basedOn w:val="a"/>
    <w:link w:val="HTML"/>
    <w:uiPriority w:val="99"/>
    <w:semiHidden/>
    <w:unhideWhenUsed/>
    <w:rsid w:val="00A25A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1">
    <w:name w:val="Стандартный HTML Знак1"/>
    <w:uiPriority w:val="99"/>
    <w:semiHidden/>
    <w:rsid w:val="00A25AD1"/>
    <w:rPr>
      <w:rFonts w:ascii="Courier New" w:hAnsi="Courier New" w:cs="Courier New"/>
      <w:lang w:eastAsia="en-US"/>
    </w:rPr>
  </w:style>
  <w:style w:type="character" w:customStyle="1" w:styleId="0pt0">
    <w:name w:val="Основной текст + Курсив;Интервал 0 pt"/>
    <w:rsid w:val="00A25AD1"/>
    <w:rPr>
      <w:rFonts w:ascii="Arial" w:eastAsia="Arial" w:hAnsi="Arial" w:cs="Arial"/>
      <w:i/>
      <w:iCs/>
      <w:spacing w:val="-10"/>
      <w:sz w:val="26"/>
      <w:szCs w:val="26"/>
      <w:shd w:val="clear" w:color="auto" w:fill="FFFFFF"/>
    </w:rPr>
  </w:style>
  <w:style w:type="character" w:customStyle="1" w:styleId="50pt0">
    <w:name w:val="Основной текст (5) + Не курсив;Интервал 0 pt"/>
    <w:rsid w:val="00A25AD1"/>
    <w:rPr>
      <w:rFonts w:ascii="Arial" w:eastAsia="Arial" w:hAnsi="Arial" w:cs="Arial"/>
      <w:b w:val="0"/>
      <w:bCs w:val="0"/>
      <w:i/>
      <w:iCs/>
      <w:smallCaps w:val="0"/>
      <w:strike w:val="0"/>
      <w:spacing w:val="0"/>
      <w:sz w:val="26"/>
      <w:szCs w:val="26"/>
      <w:shd w:val="clear" w:color="auto" w:fill="FFFFFF"/>
    </w:rPr>
  </w:style>
  <w:style w:type="character" w:customStyle="1" w:styleId="5LucidaSansUnicode125pt0pt">
    <w:name w:val="Основной текст (5) + Lucida Sans Unicode;12;5 pt;Интервал 0 pt"/>
    <w:rsid w:val="00A25AD1"/>
    <w:rPr>
      <w:rFonts w:ascii="Lucida Sans Unicode" w:eastAsia="Lucida Sans Unicode" w:hAnsi="Lucida Sans Unicode" w:cs="Lucida Sans Unicode"/>
      <w:b w:val="0"/>
      <w:bCs w:val="0"/>
      <w:i w:val="0"/>
      <w:iCs w:val="0"/>
      <w:smallCaps w:val="0"/>
      <w:strike w:val="0"/>
      <w:spacing w:val="0"/>
      <w:sz w:val="25"/>
      <w:szCs w:val="25"/>
      <w:shd w:val="clear" w:color="auto" w:fill="FFFFFF"/>
    </w:rPr>
  </w:style>
  <w:style w:type="character" w:customStyle="1" w:styleId="135pt">
    <w:name w:val="Оглавление + 13;5 pt"/>
    <w:rsid w:val="00A25AD1"/>
    <w:rPr>
      <w:rFonts w:ascii="Arial" w:hAnsi="Arial"/>
      <w:sz w:val="27"/>
      <w:szCs w:val="27"/>
      <w:shd w:val="clear" w:color="auto" w:fill="FFFFFF"/>
    </w:rPr>
  </w:style>
  <w:style w:type="character" w:customStyle="1" w:styleId="Arial18pt">
    <w:name w:val="Колонтитул + Arial;18 pt;Полужирный"/>
    <w:rsid w:val="00A25AD1"/>
    <w:rPr>
      <w:rFonts w:ascii="Arial" w:eastAsia="Arial" w:hAnsi="Arial" w:cs="Arial"/>
      <w:b/>
      <w:bCs/>
      <w:spacing w:val="0"/>
      <w:sz w:val="36"/>
      <w:szCs w:val="36"/>
      <w:shd w:val="clear" w:color="auto" w:fill="FFFFFF"/>
    </w:rPr>
  </w:style>
  <w:style w:type="character" w:customStyle="1" w:styleId="6b">
    <w:name w:val="Основной текст6"/>
    <w:rsid w:val="00A25AD1"/>
    <w:rPr>
      <w:rFonts w:ascii="Arial" w:eastAsia="Arial" w:hAnsi="Arial" w:cs="Arial"/>
      <w:b w:val="0"/>
      <w:bCs w:val="0"/>
      <w:i w:val="0"/>
      <w:iCs w:val="0"/>
      <w:smallCaps w:val="0"/>
      <w:strike w:val="0"/>
      <w:spacing w:val="0"/>
      <w:sz w:val="26"/>
      <w:szCs w:val="26"/>
      <w:shd w:val="clear" w:color="auto" w:fill="FFFFFF"/>
    </w:rPr>
  </w:style>
  <w:style w:type="character" w:customStyle="1" w:styleId="11pt">
    <w:name w:val="Основной текст + 11 pt;Курсив"/>
    <w:rsid w:val="00A25AD1"/>
    <w:rPr>
      <w:rFonts w:ascii="Arial" w:eastAsia="Arial" w:hAnsi="Arial" w:cs="Arial"/>
      <w:b w:val="0"/>
      <w:bCs w:val="0"/>
      <w:i/>
      <w:iCs/>
      <w:smallCaps w:val="0"/>
      <w:strike w:val="0"/>
      <w:spacing w:val="0"/>
      <w:sz w:val="22"/>
      <w:szCs w:val="22"/>
      <w:shd w:val="clear" w:color="auto" w:fill="FFFFFF"/>
    </w:rPr>
  </w:style>
  <w:style w:type="character" w:styleId="afff5">
    <w:name w:val="Subtle Emphasis"/>
    <w:uiPriority w:val="19"/>
    <w:qFormat/>
    <w:rsid w:val="00A25AD1"/>
    <w:rPr>
      <w:i/>
      <w:iCs/>
      <w:color w:val="808080"/>
    </w:rPr>
  </w:style>
  <w:style w:type="paragraph" w:styleId="afff6">
    <w:name w:val="List Paragraph"/>
    <w:basedOn w:val="a"/>
    <w:uiPriority w:val="34"/>
    <w:qFormat/>
    <w:rsid w:val="00A25AD1"/>
    <w:pPr>
      <w:autoSpaceDE w:val="0"/>
      <w:autoSpaceDN w:val="0"/>
      <w:adjustRightInd w:val="0"/>
      <w:spacing w:after="0" w:line="240" w:lineRule="auto"/>
      <w:ind w:left="720"/>
      <w:contextualSpacing/>
    </w:pPr>
    <w:rPr>
      <w:rFonts w:ascii="Times New Roman" w:hAnsi="Times New Roman"/>
      <w:sz w:val="20"/>
      <w:szCs w:val="20"/>
    </w:rPr>
  </w:style>
  <w:style w:type="paragraph" w:customStyle="1" w:styleId="node-unpublished">
    <w:name w:val="node-unpublished"/>
    <w:basedOn w:val="a"/>
    <w:rsid w:val="00A25AD1"/>
    <w:pPr>
      <w:shd w:val="clear" w:color="auto" w:fill="FFDDDD"/>
      <w:spacing w:before="120" w:after="216" w:line="240" w:lineRule="auto"/>
    </w:pPr>
    <w:rPr>
      <w:rFonts w:ascii="Times New Roman" w:eastAsia="Times New Roman" w:hAnsi="Times New Roman"/>
      <w:sz w:val="24"/>
      <w:szCs w:val="24"/>
      <w:lang w:eastAsia="ru-RU"/>
    </w:rPr>
  </w:style>
  <w:style w:type="paragraph" w:customStyle="1" w:styleId="terms-inline">
    <w:name w:val="terms-inlin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lear-block">
    <w:name w:val="clear-block"/>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readcrumb">
    <w:name w:val="breadcrumb"/>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error">
    <w:name w:val="error"/>
    <w:basedOn w:val="a"/>
    <w:rsid w:val="00A25AD1"/>
    <w:pPr>
      <w:spacing w:before="120" w:after="216" w:line="240" w:lineRule="auto"/>
    </w:pPr>
    <w:rPr>
      <w:rFonts w:ascii="Times New Roman" w:eastAsia="Times New Roman" w:hAnsi="Times New Roman"/>
      <w:color w:val="EE5555"/>
      <w:sz w:val="24"/>
      <w:szCs w:val="24"/>
      <w:lang w:eastAsia="ru-RU"/>
    </w:rPr>
  </w:style>
  <w:style w:type="paragraph" w:customStyle="1" w:styleId="warning">
    <w:name w:val="warning"/>
    <w:basedOn w:val="a"/>
    <w:rsid w:val="00A25AD1"/>
    <w:pPr>
      <w:spacing w:before="120" w:after="216" w:line="240" w:lineRule="auto"/>
    </w:pPr>
    <w:rPr>
      <w:rFonts w:ascii="Times New Roman" w:eastAsia="Times New Roman" w:hAnsi="Times New Roman"/>
      <w:color w:val="E09010"/>
      <w:sz w:val="24"/>
      <w:szCs w:val="24"/>
      <w:lang w:eastAsia="ru-RU"/>
    </w:rPr>
  </w:style>
  <w:style w:type="paragraph" w:customStyle="1" w:styleId="ok">
    <w:name w:val="ok"/>
    <w:basedOn w:val="a"/>
    <w:rsid w:val="00A25AD1"/>
    <w:pPr>
      <w:spacing w:before="120" w:after="216" w:line="240" w:lineRule="auto"/>
    </w:pPr>
    <w:rPr>
      <w:rFonts w:ascii="Times New Roman" w:eastAsia="Times New Roman" w:hAnsi="Times New Roman"/>
      <w:color w:val="008000"/>
      <w:sz w:val="24"/>
      <w:szCs w:val="24"/>
      <w:lang w:eastAsia="ru-RU"/>
    </w:rPr>
  </w:style>
  <w:style w:type="paragraph" w:customStyle="1" w:styleId="form-item">
    <w:name w:val="form-item"/>
    <w:basedOn w:val="a"/>
    <w:rsid w:val="00A25AD1"/>
    <w:pPr>
      <w:spacing w:before="240" w:after="240" w:line="240" w:lineRule="auto"/>
    </w:pPr>
    <w:rPr>
      <w:rFonts w:ascii="Times New Roman" w:eastAsia="Times New Roman" w:hAnsi="Times New Roman"/>
      <w:sz w:val="24"/>
      <w:szCs w:val="24"/>
      <w:lang w:eastAsia="ru-RU"/>
    </w:rPr>
  </w:style>
  <w:style w:type="paragraph" w:customStyle="1" w:styleId="form-checkboxes">
    <w:name w:val="form-checkboxes"/>
    <w:basedOn w:val="a"/>
    <w:rsid w:val="00A25AD1"/>
    <w:pPr>
      <w:spacing w:before="240" w:after="240" w:line="240" w:lineRule="auto"/>
    </w:pPr>
    <w:rPr>
      <w:rFonts w:ascii="Times New Roman" w:eastAsia="Times New Roman" w:hAnsi="Times New Roman"/>
      <w:sz w:val="24"/>
      <w:szCs w:val="24"/>
      <w:lang w:eastAsia="ru-RU"/>
    </w:rPr>
  </w:style>
  <w:style w:type="paragraph" w:customStyle="1" w:styleId="form-radios">
    <w:name w:val="form-radios"/>
    <w:basedOn w:val="a"/>
    <w:rsid w:val="00A25AD1"/>
    <w:pPr>
      <w:spacing w:before="240" w:after="240" w:line="240" w:lineRule="auto"/>
    </w:pPr>
    <w:rPr>
      <w:rFonts w:ascii="Times New Roman" w:eastAsia="Times New Roman" w:hAnsi="Times New Roman"/>
      <w:sz w:val="24"/>
      <w:szCs w:val="24"/>
      <w:lang w:eastAsia="ru-RU"/>
    </w:rPr>
  </w:style>
  <w:style w:type="paragraph" w:customStyle="1" w:styleId="marker">
    <w:name w:val="marker"/>
    <w:basedOn w:val="a"/>
    <w:rsid w:val="00A25AD1"/>
    <w:pPr>
      <w:spacing w:before="120" w:after="216" w:line="240" w:lineRule="auto"/>
    </w:pPr>
    <w:rPr>
      <w:rFonts w:ascii="Times New Roman" w:eastAsia="Times New Roman" w:hAnsi="Times New Roman"/>
      <w:color w:val="FF0000"/>
      <w:sz w:val="24"/>
      <w:szCs w:val="24"/>
      <w:lang w:eastAsia="ru-RU"/>
    </w:rPr>
  </w:style>
  <w:style w:type="paragraph" w:customStyle="1" w:styleId="form-required">
    <w:name w:val="form-required"/>
    <w:basedOn w:val="a"/>
    <w:rsid w:val="00A25AD1"/>
    <w:pPr>
      <w:spacing w:before="120" w:after="216" w:line="240" w:lineRule="auto"/>
    </w:pPr>
    <w:rPr>
      <w:rFonts w:ascii="Times New Roman" w:eastAsia="Times New Roman" w:hAnsi="Times New Roman"/>
      <w:color w:val="FF0000"/>
      <w:sz w:val="24"/>
      <w:szCs w:val="24"/>
      <w:lang w:eastAsia="ru-RU"/>
    </w:rPr>
  </w:style>
  <w:style w:type="paragraph" w:customStyle="1" w:styleId="more-link">
    <w:name w:val="more-link"/>
    <w:basedOn w:val="a"/>
    <w:rsid w:val="00A25AD1"/>
    <w:pPr>
      <w:spacing w:before="120" w:after="216" w:line="240" w:lineRule="auto"/>
      <w:jc w:val="right"/>
    </w:pPr>
    <w:rPr>
      <w:rFonts w:ascii="Times New Roman" w:eastAsia="Times New Roman" w:hAnsi="Times New Roman"/>
      <w:sz w:val="24"/>
      <w:szCs w:val="24"/>
      <w:lang w:eastAsia="ru-RU"/>
    </w:rPr>
  </w:style>
  <w:style w:type="paragraph" w:customStyle="1" w:styleId="more-help-link">
    <w:name w:val="more-help-link"/>
    <w:basedOn w:val="a"/>
    <w:rsid w:val="00A25AD1"/>
    <w:pPr>
      <w:spacing w:before="120" w:after="216" w:line="240" w:lineRule="auto"/>
      <w:jc w:val="right"/>
    </w:pPr>
    <w:rPr>
      <w:rFonts w:ascii="Times New Roman" w:eastAsia="Times New Roman" w:hAnsi="Times New Roman"/>
      <w:sz w:val="20"/>
      <w:szCs w:val="20"/>
      <w:lang w:eastAsia="ru-RU"/>
    </w:rPr>
  </w:style>
  <w:style w:type="paragraph" w:customStyle="1" w:styleId="nowrap">
    <w:name w:val="nowrap"/>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ager-current">
    <w:name w:val="pager-current"/>
    <w:basedOn w:val="a"/>
    <w:rsid w:val="00A25AD1"/>
    <w:pPr>
      <w:spacing w:before="120" w:after="216" w:line="240" w:lineRule="auto"/>
    </w:pPr>
    <w:rPr>
      <w:rFonts w:ascii="Times New Roman" w:eastAsia="Times New Roman" w:hAnsi="Times New Roman"/>
      <w:b/>
      <w:bCs/>
      <w:sz w:val="24"/>
      <w:szCs w:val="24"/>
      <w:lang w:eastAsia="ru-RU"/>
    </w:rPr>
  </w:style>
  <w:style w:type="paragraph" w:customStyle="1" w:styleId="tips">
    <w:name w:val="tips"/>
    <w:basedOn w:val="a"/>
    <w:rsid w:val="00A25AD1"/>
    <w:pPr>
      <w:spacing w:after="0" w:line="240" w:lineRule="auto"/>
    </w:pPr>
    <w:rPr>
      <w:rFonts w:ascii="Times New Roman" w:eastAsia="Times New Roman" w:hAnsi="Times New Roman"/>
      <w:lang w:eastAsia="ru-RU"/>
    </w:rPr>
  </w:style>
  <w:style w:type="paragraph" w:customStyle="1" w:styleId="resizable-textarea">
    <w:name w:val="resizable-textarea"/>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teaser-checkbox">
    <w:name w:val="teaser-checkbox"/>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rogress">
    <w:name w:val="progress"/>
    <w:basedOn w:val="a"/>
    <w:rsid w:val="00A25AD1"/>
    <w:pPr>
      <w:spacing w:before="120" w:after="216" w:line="240" w:lineRule="auto"/>
    </w:pPr>
    <w:rPr>
      <w:rFonts w:ascii="Times New Roman" w:eastAsia="Times New Roman" w:hAnsi="Times New Roman"/>
      <w:b/>
      <w:bCs/>
      <w:sz w:val="24"/>
      <w:szCs w:val="24"/>
      <w:lang w:eastAsia="ru-RU"/>
    </w:rPr>
  </w:style>
  <w:style w:type="paragraph" w:customStyle="1" w:styleId="ahah-progress-bar">
    <w:name w:val="ahah-progress-bar"/>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assword-parent">
    <w:name w:val="password-parent"/>
    <w:basedOn w:val="a"/>
    <w:rsid w:val="00A25AD1"/>
    <w:pPr>
      <w:spacing w:after="0" w:line="240" w:lineRule="auto"/>
    </w:pPr>
    <w:rPr>
      <w:rFonts w:ascii="Times New Roman" w:eastAsia="Times New Roman" w:hAnsi="Times New Roman"/>
      <w:sz w:val="24"/>
      <w:szCs w:val="24"/>
      <w:lang w:eastAsia="ru-RU"/>
    </w:rPr>
  </w:style>
  <w:style w:type="paragraph" w:customStyle="1" w:styleId="confirm-parent">
    <w:name w:val="confirm-parent"/>
    <w:basedOn w:val="a"/>
    <w:rsid w:val="00A25AD1"/>
    <w:pPr>
      <w:spacing w:before="44" w:after="0" w:line="240" w:lineRule="auto"/>
    </w:pPr>
    <w:rPr>
      <w:rFonts w:ascii="Times New Roman" w:eastAsia="Times New Roman" w:hAnsi="Times New Roman"/>
      <w:sz w:val="24"/>
      <w:szCs w:val="24"/>
      <w:lang w:eastAsia="ru-RU"/>
    </w:rPr>
  </w:style>
  <w:style w:type="paragraph" w:customStyle="1" w:styleId="profile">
    <w:name w:val="profile"/>
    <w:basedOn w:val="a"/>
    <w:rsid w:val="00A25AD1"/>
    <w:pPr>
      <w:spacing w:before="240" w:after="240" w:line="240" w:lineRule="auto"/>
    </w:pPr>
    <w:rPr>
      <w:rFonts w:ascii="Times New Roman" w:eastAsia="Times New Roman" w:hAnsi="Times New Roman"/>
      <w:sz w:val="24"/>
      <w:szCs w:val="24"/>
      <w:lang w:eastAsia="ru-RU"/>
    </w:rPr>
  </w:style>
  <w:style w:type="paragraph" w:customStyle="1" w:styleId="content-multiple-remove-button">
    <w:name w:val="content-multiple-remove-button"/>
    <w:basedOn w:val="a"/>
    <w:rsid w:val="00A25AD1"/>
    <w:pPr>
      <w:pBdr>
        <w:bottom w:val="single" w:sz="4" w:space="0" w:color="C2C9CE"/>
        <w:right w:val="single" w:sz="4" w:space="0" w:color="C2C9CE"/>
      </w:pBdr>
      <w:spacing w:before="17" w:after="9" w:line="240" w:lineRule="auto"/>
    </w:pPr>
    <w:rPr>
      <w:rFonts w:ascii="Times New Roman" w:eastAsia="Times New Roman" w:hAnsi="Times New Roman"/>
      <w:sz w:val="24"/>
      <w:szCs w:val="24"/>
      <w:lang w:eastAsia="ru-RU"/>
    </w:rPr>
  </w:style>
  <w:style w:type="paragraph" w:customStyle="1" w:styleId="content-multiple-weight-header">
    <w:name w:val="content-multiple-weight-header"/>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content-multiple-remove-header">
    <w:name w:val="content-multiple-remove-header"/>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content-multiple-remove-cell">
    <w:name w:val="content-multiple-remove-cell"/>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rteindent2">
    <w:name w:val="rteindent2"/>
    <w:basedOn w:val="a"/>
    <w:rsid w:val="00A25AD1"/>
    <w:pPr>
      <w:spacing w:before="120" w:after="216" w:line="240" w:lineRule="auto"/>
      <w:ind w:left="698"/>
    </w:pPr>
    <w:rPr>
      <w:rFonts w:ascii="Times New Roman" w:eastAsia="Times New Roman" w:hAnsi="Times New Roman"/>
      <w:sz w:val="24"/>
      <w:szCs w:val="24"/>
      <w:lang w:eastAsia="ru-RU"/>
    </w:rPr>
  </w:style>
  <w:style w:type="paragraph" w:customStyle="1" w:styleId="rteindent3">
    <w:name w:val="rteindent3"/>
    <w:basedOn w:val="a"/>
    <w:rsid w:val="00A25AD1"/>
    <w:pPr>
      <w:spacing w:before="120" w:after="216" w:line="240" w:lineRule="auto"/>
      <w:ind w:left="1047"/>
    </w:pPr>
    <w:rPr>
      <w:rFonts w:ascii="Times New Roman" w:eastAsia="Times New Roman" w:hAnsi="Times New Roman"/>
      <w:sz w:val="24"/>
      <w:szCs w:val="24"/>
      <w:lang w:eastAsia="ru-RU"/>
    </w:rPr>
  </w:style>
  <w:style w:type="paragraph" w:customStyle="1" w:styleId="rteindent4">
    <w:name w:val="rteindent4"/>
    <w:basedOn w:val="a"/>
    <w:rsid w:val="00A25AD1"/>
    <w:pPr>
      <w:spacing w:before="120" w:after="216" w:line="240" w:lineRule="auto"/>
      <w:ind w:left="1396"/>
    </w:pPr>
    <w:rPr>
      <w:rFonts w:ascii="Times New Roman" w:eastAsia="Times New Roman" w:hAnsi="Times New Roman"/>
      <w:sz w:val="24"/>
      <w:szCs w:val="24"/>
      <w:lang w:eastAsia="ru-RU"/>
    </w:rPr>
  </w:style>
  <w:style w:type="paragraph" w:customStyle="1" w:styleId="rteleft">
    <w:name w:val="rtelef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kepanellistitem">
    <w:name w:val="cke_panel_listitem"/>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tools-locked">
    <w:name w:val="ctools-locked"/>
    <w:basedOn w:val="a"/>
    <w:rsid w:val="00A25AD1"/>
    <w:pPr>
      <w:pBdr>
        <w:top w:val="single" w:sz="4" w:space="12" w:color="FF0000"/>
        <w:left w:val="single" w:sz="4" w:space="12" w:color="FF0000"/>
        <w:bottom w:val="single" w:sz="4" w:space="12" w:color="FF0000"/>
        <w:right w:val="single" w:sz="4" w:space="12" w:color="FF0000"/>
      </w:pBdr>
      <w:spacing w:before="120" w:after="216" w:line="240" w:lineRule="auto"/>
    </w:pPr>
    <w:rPr>
      <w:rFonts w:ascii="Times New Roman" w:eastAsia="Times New Roman" w:hAnsi="Times New Roman"/>
      <w:color w:val="FF0000"/>
      <w:sz w:val="24"/>
      <w:szCs w:val="24"/>
      <w:lang w:eastAsia="ru-RU"/>
    </w:rPr>
  </w:style>
  <w:style w:type="paragraph" w:customStyle="1" w:styleId="ctools-owns-lock">
    <w:name w:val="ctools-owns-lock"/>
    <w:basedOn w:val="a"/>
    <w:rsid w:val="00A25AD1"/>
    <w:pPr>
      <w:pBdr>
        <w:top w:val="single" w:sz="4" w:space="12" w:color="F0C020"/>
        <w:left w:val="single" w:sz="4" w:space="12" w:color="F0C020"/>
        <w:bottom w:val="single" w:sz="4" w:space="12" w:color="F0C020"/>
        <w:right w:val="single" w:sz="4" w:space="12" w:color="F0C020"/>
      </w:pBdr>
      <w:shd w:val="clear" w:color="auto" w:fill="FFFFDD"/>
      <w:spacing w:before="120" w:after="216" w:line="240" w:lineRule="auto"/>
    </w:pPr>
    <w:rPr>
      <w:rFonts w:ascii="Times New Roman" w:eastAsia="Times New Roman" w:hAnsi="Times New Roman"/>
      <w:sz w:val="24"/>
      <w:szCs w:val="24"/>
      <w:lang w:eastAsia="ru-RU"/>
    </w:rPr>
  </w:style>
  <w:style w:type="paragraph" w:customStyle="1" w:styleId="filefield-icon">
    <w:name w:val="filefield-icon"/>
    <w:basedOn w:val="a"/>
    <w:rsid w:val="00A25AD1"/>
    <w:pPr>
      <w:spacing w:after="0" w:line="240" w:lineRule="auto"/>
      <w:ind w:right="17"/>
    </w:pPr>
    <w:rPr>
      <w:rFonts w:ascii="Times New Roman" w:eastAsia="Times New Roman" w:hAnsi="Times New Roman"/>
      <w:sz w:val="24"/>
      <w:szCs w:val="24"/>
      <w:lang w:eastAsia="ru-RU"/>
    </w:rPr>
  </w:style>
  <w:style w:type="paragraph" w:customStyle="1" w:styleId="filefield-element">
    <w:name w:val="filefield-element"/>
    <w:basedOn w:val="a"/>
    <w:rsid w:val="00A25AD1"/>
    <w:pPr>
      <w:spacing w:before="240" w:after="240" w:line="240" w:lineRule="auto"/>
    </w:pPr>
    <w:rPr>
      <w:rFonts w:ascii="Times New Roman" w:eastAsia="Times New Roman" w:hAnsi="Times New Roman"/>
      <w:sz w:val="24"/>
      <w:szCs w:val="24"/>
      <w:lang w:eastAsia="ru-RU"/>
    </w:rPr>
  </w:style>
  <w:style w:type="paragraph" w:customStyle="1" w:styleId="footnotes">
    <w:name w:val="footnotes"/>
    <w:basedOn w:val="a"/>
    <w:rsid w:val="00A25AD1"/>
    <w:pPr>
      <w:pBdr>
        <w:top w:val="single" w:sz="4" w:space="0" w:color="000000"/>
      </w:pBdr>
      <w:spacing w:before="960" w:after="480" w:line="240" w:lineRule="auto"/>
    </w:pPr>
    <w:rPr>
      <w:rFonts w:ascii="Times New Roman" w:eastAsia="Times New Roman" w:hAnsi="Times New Roman"/>
      <w:lang w:eastAsia="ru-RU"/>
    </w:rPr>
  </w:style>
  <w:style w:type="paragraph" w:customStyle="1" w:styleId="see-footnote">
    <w:name w:val="see-footnote"/>
    <w:basedOn w:val="a"/>
    <w:rsid w:val="00A25AD1"/>
    <w:pPr>
      <w:spacing w:before="120" w:after="216" w:line="240" w:lineRule="auto"/>
      <w:textAlignment w:val="top"/>
    </w:pPr>
    <w:rPr>
      <w:rFonts w:ascii="Times New Roman" w:eastAsia="Times New Roman" w:hAnsi="Times New Roman"/>
      <w:lang w:eastAsia="ru-RU"/>
    </w:rPr>
  </w:style>
  <w:style w:type="paragraph" w:customStyle="1" w:styleId="footnote">
    <w:name w:val="footnote"/>
    <w:basedOn w:val="a"/>
    <w:rsid w:val="00A25AD1"/>
    <w:pPr>
      <w:spacing w:before="120" w:after="216" w:line="240" w:lineRule="auto"/>
    </w:pPr>
    <w:rPr>
      <w:rFonts w:ascii="Times New Roman" w:eastAsia="Times New Roman" w:hAnsi="Times New Roman"/>
      <w:lang w:eastAsia="ru-RU"/>
    </w:rPr>
  </w:style>
  <w:style w:type="paragraph" w:customStyle="1" w:styleId="ng3-hidden">
    <w:name w:val="ng3-hidden"/>
    <w:basedOn w:val="a"/>
    <w:rsid w:val="00A25AD1"/>
    <w:pPr>
      <w:spacing w:before="120" w:after="216" w:line="240" w:lineRule="auto"/>
    </w:pPr>
    <w:rPr>
      <w:rFonts w:ascii="Times New Roman" w:eastAsia="Times New Roman" w:hAnsi="Times New Roman"/>
      <w:vanish/>
      <w:sz w:val="24"/>
      <w:szCs w:val="24"/>
      <w:lang w:eastAsia="ru-RU"/>
    </w:rPr>
  </w:style>
  <w:style w:type="paragraph" w:customStyle="1" w:styleId="quote-msg">
    <w:name w:val="quote-msg"/>
    <w:basedOn w:val="a"/>
    <w:rsid w:val="00A25AD1"/>
    <w:pPr>
      <w:pBdr>
        <w:top w:val="single" w:sz="4" w:space="12" w:color="DDDDDD"/>
        <w:left w:val="single" w:sz="4" w:space="12" w:color="DDDDDD"/>
        <w:bottom w:val="single" w:sz="4" w:space="12" w:color="DDDDDD"/>
        <w:right w:val="single" w:sz="4" w:space="12" w:color="DDDDDD"/>
      </w:pBdr>
      <w:shd w:val="clear" w:color="auto" w:fill="F6F6F6"/>
      <w:spacing w:before="240" w:after="240" w:line="240" w:lineRule="auto"/>
      <w:ind w:left="480" w:right="480"/>
    </w:pPr>
    <w:rPr>
      <w:rFonts w:ascii="Times New Roman" w:eastAsia="Times New Roman" w:hAnsi="Times New Roman"/>
      <w:sz w:val="24"/>
      <w:szCs w:val="24"/>
      <w:lang w:eastAsia="ru-RU"/>
    </w:rPr>
  </w:style>
  <w:style w:type="paragraph" w:customStyle="1" w:styleId="quote-author">
    <w:name w:val="quote-author"/>
    <w:basedOn w:val="a"/>
    <w:rsid w:val="00A25AD1"/>
    <w:pPr>
      <w:spacing w:after="240" w:line="240" w:lineRule="auto"/>
    </w:pPr>
    <w:rPr>
      <w:rFonts w:ascii="Times New Roman" w:eastAsia="Times New Roman" w:hAnsi="Times New Roman"/>
      <w:b/>
      <w:bCs/>
      <w:sz w:val="24"/>
      <w:szCs w:val="24"/>
      <w:lang w:eastAsia="ru-RU"/>
    </w:rPr>
  </w:style>
  <w:style w:type="paragraph" w:customStyle="1" w:styleId="rate-info">
    <w:name w:val="rate-info"/>
    <w:basedOn w:val="a"/>
    <w:rsid w:val="00A25AD1"/>
    <w:pPr>
      <w:spacing w:before="120" w:after="216" w:line="240" w:lineRule="auto"/>
    </w:pPr>
    <w:rPr>
      <w:rFonts w:ascii="Times New Roman" w:eastAsia="Times New Roman" w:hAnsi="Times New Roman"/>
      <w:color w:val="666666"/>
      <w:sz w:val="19"/>
      <w:szCs w:val="19"/>
      <w:lang w:eastAsia="ru-RU"/>
    </w:rPr>
  </w:style>
  <w:style w:type="paragraph" w:customStyle="1" w:styleId="rate-description">
    <w:name w:val="rate-description"/>
    <w:basedOn w:val="a"/>
    <w:rsid w:val="00A25AD1"/>
    <w:pPr>
      <w:spacing w:before="120" w:after="216" w:line="240" w:lineRule="auto"/>
    </w:pPr>
    <w:rPr>
      <w:rFonts w:ascii="Times New Roman" w:eastAsia="Times New Roman" w:hAnsi="Times New Roman"/>
      <w:color w:val="666666"/>
      <w:sz w:val="19"/>
      <w:szCs w:val="19"/>
      <w:lang w:eastAsia="ru-RU"/>
    </w:rPr>
  </w:style>
  <w:style w:type="paragraph" w:customStyle="1" w:styleId="forum-topic-navigation">
    <w:name w:val="forum-topic-navigation"/>
    <w:basedOn w:val="a"/>
    <w:rsid w:val="00A25AD1"/>
    <w:pPr>
      <w:pBdr>
        <w:top w:val="single" w:sz="4" w:space="6" w:color="888888"/>
        <w:bottom w:val="single" w:sz="4" w:space="6" w:color="888888"/>
      </w:pBdr>
      <w:spacing w:before="120" w:after="216" w:line="240" w:lineRule="auto"/>
      <w:jc w:val="center"/>
    </w:pPr>
    <w:rPr>
      <w:rFonts w:ascii="Times New Roman" w:eastAsia="Times New Roman" w:hAnsi="Times New Roman"/>
      <w:sz w:val="24"/>
      <w:szCs w:val="24"/>
      <w:lang w:eastAsia="ru-RU"/>
    </w:rPr>
  </w:style>
  <w:style w:type="paragraph" w:customStyle="1" w:styleId="views-exposed-widgets">
    <w:name w:val="views-exposed-widgets"/>
    <w:basedOn w:val="a"/>
    <w:rsid w:val="00A25AD1"/>
    <w:pPr>
      <w:spacing w:before="120" w:after="120" w:line="240" w:lineRule="auto"/>
    </w:pPr>
    <w:rPr>
      <w:rFonts w:ascii="Times New Roman" w:eastAsia="Times New Roman" w:hAnsi="Times New Roman"/>
      <w:sz w:val="24"/>
      <w:szCs w:val="24"/>
      <w:lang w:eastAsia="ru-RU"/>
    </w:rPr>
  </w:style>
  <w:style w:type="paragraph" w:customStyle="1" w:styleId="indented">
    <w:name w:val="indented"/>
    <w:basedOn w:val="a"/>
    <w:rsid w:val="00A25AD1"/>
    <w:pPr>
      <w:spacing w:before="120" w:after="216" w:line="240" w:lineRule="auto"/>
      <w:ind w:left="218"/>
    </w:pPr>
    <w:rPr>
      <w:rFonts w:ascii="Times New Roman" w:eastAsia="Times New Roman" w:hAnsi="Times New Roman"/>
      <w:sz w:val="24"/>
      <w:szCs w:val="24"/>
      <w:lang w:eastAsia="ru-RU"/>
    </w:rPr>
  </w:style>
  <w:style w:type="paragraph" w:customStyle="1" w:styleId="comment-unpublished">
    <w:name w:val="comment-unpublished"/>
    <w:basedOn w:val="a"/>
    <w:rsid w:val="00A25AD1"/>
    <w:pPr>
      <w:shd w:val="clear" w:color="auto" w:fill="FFDDDD"/>
      <w:spacing w:before="120" w:after="216" w:line="240" w:lineRule="auto"/>
    </w:pPr>
    <w:rPr>
      <w:rFonts w:ascii="Times New Roman" w:eastAsia="Times New Roman" w:hAnsi="Times New Roman"/>
      <w:sz w:val="24"/>
      <w:szCs w:val="24"/>
      <w:lang w:eastAsia="ru-RU"/>
    </w:rPr>
  </w:style>
  <w:style w:type="paragraph" w:customStyle="1" w:styleId="sizer0">
    <w:name w:val="sizer0"/>
    <w:basedOn w:val="a"/>
    <w:rsid w:val="00A25AD1"/>
    <w:pPr>
      <w:spacing w:after="0" w:line="240" w:lineRule="auto"/>
    </w:pPr>
    <w:rPr>
      <w:rFonts w:ascii="Times New Roman" w:eastAsia="Times New Roman" w:hAnsi="Times New Roman"/>
      <w:sz w:val="24"/>
      <w:szCs w:val="24"/>
      <w:lang w:eastAsia="ru-RU"/>
    </w:rPr>
  </w:style>
  <w:style w:type="paragraph" w:customStyle="1" w:styleId="float-wrap">
    <w:name w:val="float-wrap"/>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olmain">
    <w:name w:val="colmain"/>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olleft">
    <w:name w:val="colleft"/>
    <w:basedOn w:val="a"/>
    <w:rsid w:val="00A25AD1"/>
    <w:pPr>
      <w:spacing w:before="120" w:after="216" w:line="240" w:lineRule="auto"/>
      <w:ind w:left="-1780"/>
    </w:pPr>
    <w:rPr>
      <w:rFonts w:ascii="Times New Roman" w:eastAsia="Times New Roman" w:hAnsi="Times New Roman"/>
      <w:sz w:val="24"/>
      <w:szCs w:val="24"/>
      <w:lang w:eastAsia="ru-RU"/>
    </w:rPr>
  </w:style>
  <w:style w:type="paragraph" w:customStyle="1" w:styleId="colright">
    <w:name w:val="colright"/>
    <w:basedOn w:val="a"/>
    <w:rsid w:val="00A25AD1"/>
    <w:pPr>
      <w:spacing w:before="120" w:after="216" w:line="240" w:lineRule="auto"/>
      <w:ind w:right="-2426"/>
    </w:pPr>
    <w:rPr>
      <w:rFonts w:ascii="Times New Roman" w:eastAsia="Times New Roman" w:hAnsi="Times New Roman"/>
      <w:sz w:val="24"/>
      <w:szCs w:val="24"/>
      <w:lang w:eastAsia="ru-RU"/>
    </w:rPr>
  </w:style>
  <w:style w:type="paragraph" w:customStyle="1" w:styleId="clearfix">
    <w:name w:val="clearfix"/>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rclear">
    <w:name w:val="brclear"/>
    <w:basedOn w:val="a"/>
    <w:rsid w:val="00A25AD1"/>
    <w:pPr>
      <w:spacing w:after="0" w:line="0" w:lineRule="auto"/>
    </w:pPr>
    <w:rPr>
      <w:rFonts w:ascii="Times New Roman" w:eastAsia="Times New Roman" w:hAnsi="Times New Roman"/>
      <w:sz w:val="2"/>
      <w:szCs w:val="2"/>
      <w:lang w:eastAsia="ru-RU"/>
    </w:rPr>
  </w:style>
  <w:style w:type="paragraph" w:customStyle="1" w:styleId="links">
    <w:name w:val="links"/>
    <w:basedOn w:val="a"/>
    <w:rsid w:val="00A25AD1"/>
    <w:pPr>
      <w:spacing w:after="0" w:line="240" w:lineRule="auto"/>
    </w:pPr>
    <w:rPr>
      <w:rFonts w:ascii="Times New Roman" w:eastAsia="Times New Roman" w:hAnsi="Times New Roman"/>
      <w:color w:val="3F3F3F"/>
      <w:sz w:val="24"/>
      <w:szCs w:val="24"/>
      <w:lang w:eastAsia="ru-RU"/>
    </w:rPr>
  </w:style>
  <w:style w:type="paragraph" w:customStyle="1" w:styleId="1f3">
    <w:name w:val="Название1"/>
    <w:basedOn w:val="a"/>
    <w:rsid w:val="00A25AD1"/>
    <w:pPr>
      <w:spacing w:after="0" w:line="240" w:lineRule="auto"/>
    </w:pPr>
    <w:rPr>
      <w:rFonts w:ascii="Times New Roman" w:eastAsia="Times New Roman" w:hAnsi="Times New Roman"/>
      <w:color w:val="777777"/>
      <w:sz w:val="24"/>
      <w:szCs w:val="24"/>
      <w:lang w:eastAsia="ru-RU"/>
    </w:rPr>
  </w:style>
  <w:style w:type="paragraph" w:customStyle="1" w:styleId="box">
    <w:name w:val="box"/>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
    <w:name w:val="block"/>
    <w:basedOn w:val="a"/>
    <w:rsid w:val="00A25AD1"/>
    <w:pPr>
      <w:spacing w:before="120" w:after="120" w:line="240" w:lineRule="auto"/>
    </w:pPr>
    <w:rPr>
      <w:rFonts w:ascii="Times New Roman" w:eastAsia="Times New Roman" w:hAnsi="Times New Roman"/>
      <w:sz w:val="24"/>
      <w:szCs w:val="24"/>
      <w:lang w:eastAsia="ru-RU"/>
    </w:rPr>
  </w:style>
  <w:style w:type="paragraph" w:customStyle="1" w:styleId="themed-block">
    <w:name w:val="themed-block"/>
    <w:basedOn w:val="a"/>
    <w:rsid w:val="00A25AD1"/>
    <w:pPr>
      <w:spacing w:before="120" w:after="131" w:line="240" w:lineRule="auto"/>
    </w:pPr>
    <w:rPr>
      <w:rFonts w:ascii="Times New Roman" w:eastAsia="Times New Roman" w:hAnsi="Times New Roman"/>
      <w:sz w:val="24"/>
      <w:szCs w:val="24"/>
      <w:lang w:eastAsia="ru-RU"/>
    </w:rPr>
  </w:style>
  <w:style w:type="paragraph" w:customStyle="1" w:styleId="node">
    <w:name w:val="node"/>
    <w:basedOn w:val="a"/>
    <w:rsid w:val="00A25AD1"/>
    <w:pPr>
      <w:spacing w:before="120" w:after="480" w:line="240" w:lineRule="auto"/>
    </w:pPr>
    <w:rPr>
      <w:rFonts w:ascii="Times New Roman" w:eastAsia="Times New Roman" w:hAnsi="Times New Roman"/>
      <w:sz w:val="24"/>
      <w:szCs w:val="24"/>
      <w:lang w:eastAsia="ru-RU"/>
    </w:rPr>
  </w:style>
  <w:style w:type="paragraph" w:customStyle="1" w:styleId="submitted">
    <w:name w:val="submitted"/>
    <w:basedOn w:val="a"/>
    <w:rsid w:val="00A25AD1"/>
    <w:pPr>
      <w:spacing w:before="120" w:after="216" w:line="240" w:lineRule="auto"/>
    </w:pPr>
    <w:rPr>
      <w:rFonts w:ascii="Times New Roman" w:eastAsia="Times New Roman" w:hAnsi="Times New Roman"/>
      <w:color w:val="3F3F3F"/>
      <w:sz w:val="19"/>
      <w:szCs w:val="19"/>
      <w:lang w:eastAsia="ru-RU"/>
    </w:rPr>
  </w:style>
  <w:style w:type="paragraph" w:customStyle="1" w:styleId="comment0">
    <w:name w:val="comment"/>
    <w:basedOn w:val="a"/>
    <w:rsid w:val="00A25AD1"/>
    <w:pPr>
      <w:pBdr>
        <w:top w:val="single" w:sz="4" w:space="0" w:color="D3D3D3"/>
        <w:left w:val="single" w:sz="4" w:space="0" w:color="D3D3D3"/>
        <w:bottom w:val="single" w:sz="4" w:space="0" w:color="D3D3D3"/>
        <w:right w:val="single" w:sz="4" w:space="0" w:color="D3D3D3"/>
      </w:pBdr>
      <w:spacing w:before="120" w:after="240" w:line="240" w:lineRule="auto"/>
    </w:pPr>
    <w:rPr>
      <w:rFonts w:ascii="Times New Roman" w:eastAsia="Times New Roman" w:hAnsi="Times New Roman"/>
      <w:sz w:val="24"/>
      <w:szCs w:val="24"/>
      <w:lang w:eastAsia="ru-RU"/>
    </w:rPr>
  </w:style>
  <w:style w:type="paragraph" w:customStyle="1" w:styleId="messages">
    <w:name w:val="messages"/>
    <w:basedOn w:val="a"/>
    <w:rsid w:val="00A25AD1"/>
    <w:pPr>
      <w:pBdr>
        <w:top w:val="single" w:sz="4" w:space="0" w:color="CCCCCC"/>
        <w:left w:val="single" w:sz="4" w:space="0" w:color="CCCCCC"/>
        <w:bottom w:val="single" w:sz="4" w:space="0" w:color="CCCCCC"/>
        <w:right w:val="single" w:sz="4" w:space="0" w:color="CCCCCC"/>
      </w:pBdr>
      <w:shd w:val="clear" w:color="auto" w:fill="EEEEEE"/>
      <w:spacing w:before="120" w:after="240" w:line="240" w:lineRule="auto"/>
    </w:pPr>
    <w:rPr>
      <w:rFonts w:ascii="Times New Roman" w:eastAsia="Times New Roman" w:hAnsi="Times New Roman"/>
      <w:sz w:val="24"/>
      <w:szCs w:val="24"/>
      <w:lang w:eastAsia="ru-RU"/>
    </w:rPr>
  </w:style>
  <w:style w:type="paragraph" w:customStyle="1" w:styleId="byy">
    <w:name w:val="byy"/>
    <w:basedOn w:val="a"/>
    <w:rsid w:val="00A25AD1"/>
    <w:pPr>
      <w:spacing w:before="120" w:after="216" w:line="240" w:lineRule="auto"/>
    </w:pPr>
    <w:rPr>
      <w:rFonts w:ascii="Times New Roman" w:eastAsia="Times New Roman" w:hAnsi="Times New Roman"/>
      <w:vanish/>
      <w:sz w:val="24"/>
      <w:szCs w:val="24"/>
      <w:lang w:eastAsia="ru-RU"/>
    </w:rPr>
  </w:style>
  <w:style w:type="paragraph" w:customStyle="1" w:styleId="legal">
    <w:name w:val="legal"/>
    <w:basedOn w:val="a"/>
    <w:rsid w:val="00A25AD1"/>
    <w:pPr>
      <w:spacing w:before="44" w:after="0" w:line="240" w:lineRule="auto"/>
    </w:pPr>
    <w:rPr>
      <w:rFonts w:ascii="Times New Roman" w:eastAsia="Times New Roman" w:hAnsi="Times New Roman"/>
      <w:sz w:val="24"/>
      <w:szCs w:val="24"/>
      <w:lang w:eastAsia="ru-RU"/>
    </w:rPr>
  </w:style>
  <w:style w:type="paragraph" w:customStyle="1" w:styleId="by">
    <w:name w:val="by"/>
    <w:basedOn w:val="a"/>
    <w:rsid w:val="00A25AD1"/>
    <w:pPr>
      <w:spacing w:before="120" w:after="216" w:line="240" w:lineRule="auto"/>
    </w:pPr>
    <w:rPr>
      <w:rFonts w:ascii="Times New Roman" w:eastAsia="Times New Roman" w:hAnsi="Times New Roman"/>
      <w:vanish/>
      <w:color w:val="DDDDDD"/>
      <w:sz w:val="18"/>
      <w:szCs w:val="18"/>
      <w:lang w:eastAsia="ru-RU"/>
    </w:rPr>
  </w:style>
  <w:style w:type="paragraph" w:customStyle="1" w:styleId="block-logintoboggan">
    <w:name w:val="block-logintoboggan"/>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navcenter">
    <w:name w:val="navcenter"/>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book-navigation">
    <w:name w:val="book-navigation"/>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uc-store-admin-panel">
    <w:name w:val="uc-store-admin-panel"/>
    <w:basedOn w:val="a"/>
    <w:rsid w:val="00A25AD1"/>
    <w:pPr>
      <w:spacing w:after="0" w:line="240" w:lineRule="auto"/>
    </w:pPr>
    <w:rPr>
      <w:rFonts w:ascii="Times New Roman" w:eastAsia="Times New Roman" w:hAnsi="Times New Roman"/>
      <w:sz w:val="24"/>
      <w:szCs w:val="24"/>
      <w:lang w:eastAsia="ru-RU"/>
    </w:rPr>
  </w:style>
  <w:style w:type="paragraph" w:customStyle="1" w:styleId="product-image">
    <w:name w:val="product-imag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main-product-image">
    <w:name w:val="main-product-imag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menu">
    <w:name w:val="menu"/>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age-links">
    <w:name w:val="page-links"/>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age-previous">
    <w:name w:val="page-previous"/>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age-up">
    <w:name w:val="page-up"/>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age-next">
    <w:name w:val="page-nex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orm-text">
    <w:name w:val="form-tex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standard">
    <w:name w:val="standard"/>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ar">
    <w:name w:val="bar"/>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ercent">
    <w:name w:val="percen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total">
    <w:name w:val="total"/>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vote-form">
    <w:name w:val="vote-form"/>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icon">
    <w:name w:val="icon"/>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description">
    <w:name w:val="description"/>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ager">
    <w:name w:val="pager"/>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grippie">
    <w:name w:val="grippi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illed">
    <w:name w:val="filled"/>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throbber">
    <w:name w:val="throbber"/>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icture">
    <w:name w:val="pictur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ield-label">
    <w:name w:val="field-label"/>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ield-label-inline">
    <w:name w:val="field-label-inlin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ield-label-inline-first">
    <w:name w:val="field-label-inline-firs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number">
    <w:name w:val="number"/>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text0">
    <w:name w:val="tex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ontent-border">
    <w:name w:val="content-border"/>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widget-preview">
    <w:name w:val="widget-preview"/>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ilefield-preview">
    <w:name w:val="filefield-preview"/>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ootnote-multi">
    <w:name w:val="footnote-multi"/>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topic-previous">
    <w:name w:val="topic-previous"/>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topic-next">
    <w:name w:val="topic-nex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views-exposed-widget">
    <w:name w:val="views-exposed-widge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orm-submit">
    <w:name w:val="form-submi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ontent">
    <w:name w:val="conten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terms">
    <w:name w:val="terms"/>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new">
    <w:name w:val="new"/>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
    <w:name w:val="block-icon"/>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rint-icon">
    <w:name w:val="print-icon"/>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rinthtml">
    <w:name w:val="print_html"/>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ookprinter">
    <w:name w:val="book_printer"/>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rintmail">
    <w:name w:val="print_mail"/>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ookmail">
    <w:name w:val="book_mail"/>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rintpdf">
    <w:name w:val="print_pdf"/>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ookpdf">
    <w:name w:val="book_pdf"/>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uc-store-icon">
    <w:name w:val="uc-store-icon"/>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anel-title">
    <w:name w:val="panel-titl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handle">
    <w:name w:val="handl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no-js">
    <w:name w:val="no-js"/>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js-hide">
    <w:name w:val="js-hid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ontent-multiple-removed-row">
    <w:name w:val="content-multiple-removed-row"/>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ontent-multiple-remove-checkbox">
    <w:name w:val="content-multiple-remove-checkbox"/>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age0">
    <w:name w:val="page0"/>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expander0">
    <w:name w:val="expander0"/>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outer">
    <w:name w:val="outer"/>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left">
    <w:name w:val="lef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right">
    <w:name w:val="righ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ody">
    <w:name w:val="body"/>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oreground">
    <w:name w:val="foreground"/>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hoices">
    <w:name w:val="choices"/>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views-field-subject">
    <w:name w:val="views-field-subjec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access-type">
    <w:name w:val="access-typ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rule-type">
    <w:name w:val="rule-typ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mask">
    <w:name w:val="mask"/>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advanced-help-link">
    <w:name w:val="advanced-help-link"/>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label-group">
    <w:name w:val="label-group"/>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multicolumncheckboxesradios-column">
    <w:name w:val="multicolumncheckboxesradios-column"/>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source">
    <w:name w:val="sourc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age">
    <w:name w:val="ag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eed-source">
    <w:name w:val="feed-sourc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item-list">
    <w:name w:val="item-list"/>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ontent-new">
    <w:name w:val="content-new"/>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name">
    <w:name w:val="nam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reference-autocomplete">
    <w:name w:val="reference-autocomplete"/>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ategories">
    <w:name w:val="categories"/>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tabledrag-changed">
    <w:name w:val="tabledrag-changed"/>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arrow-up">
    <w:name w:val="arrow-up"/>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arrow-down">
    <w:name w:val="arrow-down"/>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menu1">
    <w:name w:val="menu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age-links1">
    <w:name w:val="page-links1"/>
    <w:basedOn w:val="a"/>
    <w:rsid w:val="00A25AD1"/>
    <w:pPr>
      <w:pBdr>
        <w:top w:val="dashed" w:sz="4" w:space="6" w:color="D3D3D3"/>
        <w:bottom w:val="dashed" w:sz="4" w:space="6" w:color="D3D3D3"/>
      </w:pBdr>
      <w:spacing w:before="120" w:after="216" w:line="240" w:lineRule="auto"/>
      <w:jc w:val="center"/>
    </w:pPr>
    <w:rPr>
      <w:rFonts w:ascii="Times New Roman" w:eastAsia="Times New Roman" w:hAnsi="Times New Roman"/>
      <w:sz w:val="24"/>
      <w:szCs w:val="24"/>
      <w:lang w:eastAsia="ru-RU"/>
    </w:rPr>
  </w:style>
  <w:style w:type="paragraph" w:customStyle="1" w:styleId="page-previous1">
    <w:name w:val="page-previous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age-up1">
    <w:name w:val="page-up1"/>
    <w:basedOn w:val="a"/>
    <w:rsid w:val="00A25AD1"/>
    <w:pPr>
      <w:spacing w:after="0" w:line="240" w:lineRule="auto"/>
      <w:ind w:left="612" w:right="612"/>
    </w:pPr>
    <w:rPr>
      <w:rFonts w:ascii="Times New Roman" w:eastAsia="Times New Roman" w:hAnsi="Times New Roman"/>
      <w:sz w:val="24"/>
      <w:szCs w:val="24"/>
      <w:lang w:eastAsia="ru-RU"/>
    </w:rPr>
  </w:style>
  <w:style w:type="paragraph" w:customStyle="1" w:styleId="page-next1">
    <w:name w:val="page-next1"/>
    <w:basedOn w:val="a"/>
    <w:rsid w:val="00A25AD1"/>
    <w:pPr>
      <w:spacing w:before="120" w:after="216" w:line="240" w:lineRule="auto"/>
      <w:jc w:val="right"/>
    </w:pPr>
    <w:rPr>
      <w:rFonts w:ascii="Times New Roman" w:eastAsia="Times New Roman" w:hAnsi="Times New Roman"/>
      <w:sz w:val="24"/>
      <w:szCs w:val="24"/>
      <w:lang w:eastAsia="ru-RU"/>
    </w:rPr>
  </w:style>
  <w:style w:type="paragraph" w:customStyle="1" w:styleId="form-item1">
    <w:name w:val="form-item1"/>
    <w:basedOn w:val="a"/>
    <w:rsid w:val="00A25AD1"/>
    <w:pPr>
      <w:spacing w:after="0" w:line="240" w:lineRule="auto"/>
    </w:pPr>
    <w:rPr>
      <w:rFonts w:ascii="Times New Roman" w:eastAsia="Times New Roman" w:hAnsi="Times New Roman"/>
      <w:sz w:val="24"/>
      <w:szCs w:val="24"/>
      <w:lang w:eastAsia="ru-RU"/>
    </w:rPr>
  </w:style>
  <w:style w:type="paragraph" w:customStyle="1" w:styleId="description1">
    <w:name w:val="description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node1">
    <w:name w:val="node1"/>
    <w:basedOn w:val="a"/>
    <w:rsid w:val="00A25AD1"/>
    <w:pPr>
      <w:shd w:val="clear" w:color="auto" w:fill="FFFFEA"/>
      <w:spacing w:before="120" w:after="480" w:line="240" w:lineRule="auto"/>
    </w:pPr>
    <w:rPr>
      <w:rFonts w:ascii="Times New Roman" w:eastAsia="Times New Roman" w:hAnsi="Times New Roman"/>
      <w:sz w:val="24"/>
      <w:szCs w:val="24"/>
      <w:lang w:eastAsia="ru-RU"/>
    </w:rPr>
  </w:style>
  <w:style w:type="paragraph" w:customStyle="1" w:styleId="form-text1">
    <w:name w:val="form-text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orm-text2">
    <w:name w:val="form-text2"/>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standard1">
    <w:name w:val="standard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ar1">
    <w:name w:val="bar1"/>
    <w:basedOn w:val="a"/>
    <w:rsid w:val="00A25AD1"/>
    <w:pPr>
      <w:shd w:val="clear" w:color="auto" w:fill="DDDDDD"/>
      <w:spacing w:before="9" w:after="9" w:line="240" w:lineRule="auto"/>
    </w:pPr>
    <w:rPr>
      <w:rFonts w:ascii="Times New Roman" w:eastAsia="Times New Roman" w:hAnsi="Times New Roman"/>
      <w:sz w:val="24"/>
      <w:szCs w:val="24"/>
      <w:lang w:eastAsia="ru-RU"/>
    </w:rPr>
  </w:style>
  <w:style w:type="paragraph" w:customStyle="1" w:styleId="foreground1">
    <w:name w:val="foreground1"/>
    <w:basedOn w:val="a"/>
    <w:rsid w:val="00A25AD1"/>
    <w:pPr>
      <w:shd w:val="clear" w:color="auto" w:fill="000000"/>
      <w:spacing w:before="120" w:after="216" w:line="240" w:lineRule="auto"/>
    </w:pPr>
    <w:rPr>
      <w:rFonts w:ascii="Times New Roman" w:eastAsia="Times New Roman" w:hAnsi="Times New Roman"/>
      <w:sz w:val="24"/>
      <w:szCs w:val="24"/>
      <w:lang w:eastAsia="ru-RU"/>
    </w:rPr>
  </w:style>
  <w:style w:type="paragraph" w:customStyle="1" w:styleId="links1">
    <w:name w:val="links1"/>
    <w:basedOn w:val="a"/>
    <w:rsid w:val="00A25AD1"/>
    <w:pPr>
      <w:spacing w:after="0" w:line="240" w:lineRule="auto"/>
      <w:jc w:val="center"/>
    </w:pPr>
    <w:rPr>
      <w:rFonts w:ascii="Times New Roman" w:eastAsia="Times New Roman" w:hAnsi="Times New Roman"/>
      <w:color w:val="3F3F3F"/>
      <w:sz w:val="24"/>
      <w:szCs w:val="24"/>
      <w:lang w:eastAsia="ru-RU"/>
    </w:rPr>
  </w:style>
  <w:style w:type="paragraph" w:customStyle="1" w:styleId="percent1">
    <w:name w:val="percent1"/>
    <w:basedOn w:val="a"/>
    <w:rsid w:val="00A25AD1"/>
    <w:pPr>
      <w:spacing w:before="120" w:after="216" w:line="240" w:lineRule="auto"/>
      <w:jc w:val="right"/>
    </w:pPr>
    <w:rPr>
      <w:rFonts w:ascii="Times New Roman" w:eastAsia="Times New Roman" w:hAnsi="Times New Roman"/>
      <w:sz w:val="24"/>
      <w:szCs w:val="24"/>
      <w:lang w:eastAsia="ru-RU"/>
    </w:rPr>
  </w:style>
  <w:style w:type="paragraph" w:customStyle="1" w:styleId="total1">
    <w:name w:val="total1"/>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vote-form1">
    <w:name w:val="vote-form1"/>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choices1">
    <w:name w:val="choices1"/>
    <w:basedOn w:val="a"/>
    <w:rsid w:val="00A25AD1"/>
    <w:pPr>
      <w:spacing w:after="0" w:line="240" w:lineRule="auto"/>
    </w:pPr>
    <w:rPr>
      <w:rFonts w:ascii="Times New Roman" w:eastAsia="Times New Roman" w:hAnsi="Times New Roman"/>
      <w:sz w:val="24"/>
      <w:szCs w:val="24"/>
      <w:lang w:eastAsia="ru-RU"/>
    </w:rPr>
  </w:style>
  <w:style w:type="paragraph" w:customStyle="1" w:styleId="title1">
    <w:name w:val="title1"/>
    <w:basedOn w:val="a"/>
    <w:rsid w:val="00A25AD1"/>
    <w:pPr>
      <w:spacing w:after="0" w:line="240" w:lineRule="auto"/>
    </w:pPr>
    <w:rPr>
      <w:rFonts w:ascii="Times New Roman" w:eastAsia="Times New Roman" w:hAnsi="Times New Roman"/>
      <w:b/>
      <w:bCs/>
      <w:color w:val="777777"/>
      <w:sz w:val="24"/>
      <w:szCs w:val="24"/>
      <w:lang w:eastAsia="ru-RU"/>
    </w:rPr>
  </w:style>
  <w:style w:type="paragraph" w:customStyle="1" w:styleId="form-text3">
    <w:name w:val="form-text3"/>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icon1">
    <w:name w:val="icon1"/>
    <w:basedOn w:val="a"/>
    <w:rsid w:val="00A25AD1"/>
    <w:pPr>
      <w:spacing w:before="120" w:after="216" w:line="240" w:lineRule="auto"/>
    </w:pPr>
    <w:rPr>
      <w:rFonts w:ascii="Times New Roman" w:eastAsia="Times New Roman" w:hAnsi="Times New Roman"/>
      <w:color w:val="555555"/>
      <w:sz w:val="24"/>
      <w:szCs w:val="24"/>
      <w:lang w:eastAsia="ru-RU"/>
    </w:rPr>
  </w:style>
  <w:style w:type="paragraph" w:customStyle="1" w:styleId="title2">
    <w:name w:val="title2"/>
    <w:basedOn w:val="a"/>
    <w:rsid w:val="00A25AD1"/>
    <w:pPr>
      <w:spacing w:after="0" w:line="240" w:lineRule="auto"/>
    </w:pPr>
    <w:rPr>
      <w:rFonts w:ascii="Times New Roman" w:eastAsia="Times New Roman" w:hAnsi="Times New Roman"/>
      <w:b/>
      <w:bCs/>
      <w:color w:val="222222"/>
      <w:sz w:val="24"/>
      <w:szCs w:val="24"/>
      <w:lang w:eastAsia="ru-RU"/>
    </w:rPr>
  </w:style>
  <w:style w:type="paragraph" w:customStyle="1" w:styleId="form-item2">
    <w:name w:val="form-item2"/>
    <w:basedOn w:val="a"/>
    <w:rsid w:val="00A25AD1"/>
    <w:pPr>
      <w:spacing w:after="0" w:line="240" w:lineRule="auto"/>
    </w:pPr>
    <w:rPr>
      <w:rFonts w:ascii="Times New Roman" w:eastAsia="Times New Roman" w:hAnsi="Times New Roman"/>
      <w:sz w:val="24"/>
      <w:szCs w:val="24"/>
      <w:lang w:eastAsia="ru-RU"/>
    </w:rPr>
  </w:style>
  <w:style w:type="paragraph" w:customStyle="1" w:styleId="form-item3">
    <w:name w:val="form-item3"/>
    <w:basedOn w:val="a"/>
    <w:rsid w:val="00A25AD1"/>
    <w:pPr>
      <w:spacing w:after="0" w:line="240" w:lineRule="auto"/>
    </w:pPr>
    <w:rPr>
      <w:rFonts w:ascii="Times New Roman" w:eastAsia="Times New Roman" w:hAnsi="Times New Roman"/>
      <w:sz w:val="24"/>
      <w:szCs w:val="24"/>
      <w:lang w:eastAsia="ru-RU"/>
    </w:rPr>
  </w:style>
  <w:style w:type="paragraph" w:customStyle="1" w:styleId="description2">
    <w:name w:val="description2"/>
    <w:basedOn w:val="a"/>
    <w:rsid w:val="00A25AD1"/>
    <w:pPr>
      <w:spacing w:before="120" w:after="216" w:line="240" w:lineRule="auto"/>
    </w:pPr>
    <w:rPr>
      <w:rFonts w:ascii="Times New Roman" w:eastAsia="Times New Roman" w:hAnsi="Times New Roman"/>
      <w:sz w:val="20"/>
      <w:szCs w:val="20"/>
      <w:lang w:eastAsia="ru-RU"/>
    </w:rPr>
  </w:style>
  <w:style w:type="paragraph" w:customStyle="1" w:styleId="form-item4">
    <w:name w:val="form-item4"/>
    <w:basedOn w:val="a"/>
    <w:rsid w:val="00A25AD1"/>
    <w:pPr>
      <w:spacing w:before="96" w:after="96" w:line="240" w:lineRule="auto"/>
    </w:pPr>
    <w:rPr>
      <w:rFonts w:ascii="Times New Roman" w:eastAsia="Times New Roman" w:hAnsi="Times New Roman"/>
      <w:sz w:val="24"/>
      <w:szCs w:val="24"/>
      <w:lang w:eastAsia="ru-RU"/>
    </w:rPr>
  </w:style>
  <w:style w:type="paragraph" w:customStyle="1" w:styleId="form-item5">
    <w:name w:val="form-item5"/>
    <w:basedOn w:val="a"/>
    <w:rsid w:val="00A25AD1"/>
    <w:pPr>
      <w:spacing w:before="96" w:after="96" w:line="240" w:lineRule="auto"/>
    </w:pPr>
    <w:rPr>
      <w:rFonts w:ascii="Times New Roman" w:eastAsia="Times New Roman" w:hAnsi="Times New Roman"/>
      <w:sz w:val="24"/>
      <w:szCs w:val="24"/>
      <w:lang w:eastAsia="ru-RU"/>
    </w:rPr>
  </w:style>
  <w:style w:type="paragraph" w:customStyle="1" w:styleId="pager1">
    <w:name w:val="pager1"/>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form-item6">
    <w:name w:val="form-item6"/>
    <w:basedOn w:val="a"/>
    <w:rsid w:val="00A25AD1"/>
    <w:pPr>
      <w:spacing w:after="0" w:line="240" w:lineRule="auto"/>
    </w:pPr>
    <w:rPr>
      <w:rFonts w:ascii="inherit" w:eastAsia="Times New Roman" w:hAnsi="inherit"/>
      <w:sz w:val="24"/>
      <w:szCs w:val="24"/>
      <w:lang w:eastAsia="ru-RU"/>
    </w:rPr>
  </w:style>
  <w:style w:type="paragraph" w:customStyle="1" w:styleId="form-item7">
    <w:name w:val="form-item7"/>
    <w:basedOn w:val="a"/>
    <w:rsid w:val="00A25AD1"/>
    <w:pPr>
      <w:spacing w:after="0" w:line="240" w:lineRule="auto"/>
    </w:pPr>
    <w:rPr>
      <w:rFonts w:ascii="Times New Roman" w:eastAsia="Times New Roman" w:hAnsi="Times New Roman"/>
      <w:sz w:val="24"/>
      <w:szCs w:val="24"/>
      <w:lang w:eastAsia="ru-RU"/>
    </w:rPr>
  </w:style>
  <w:style w:type="paragraph" w:customStyle="1" w:styleId="form-item8">
    <w:name w:val="form-item8"/>
    <w:basedOn w:val="a"/>
    <w:rsid w:val="00A25AD1"/>
    <w:pPr>
      <w:spacing w:after="0" w:line="240" w:lineRule="auto"/>
    </w:pPr>
    <w:rPr>
      <w:rFonts w:ascii="Times New Roman" w:eastAsia="Times New Roman" w:hAnsi="Times New Roman"/>
      <w:sz w:val="24"/>
      <w:szCs w:val="24"/>
      <w:lang w:eastAsia="ru-RU"/>
    </w:rPr>
  </w:style>
  <w:style w:type="paragraph" w:customStyle="1" w:styleId="grippie1">
    <w:name w:val="grippie1"/>
    <w:basedOn w:val="a"/>
    <w:rsid w:val="00A25AD1"/>
    <w:pPr>
      <w:pBdr>
        <w:top w:val="single" w:sz="2" w:space="0" w:color="DDDDDD"/>
        <w:left w:val="single" w:sz="4" w:space="0" w:color="DDDDDD"/>
        <w:bottom w:val="single" w:sz="4" w:space="0" w:color="DDDDDD"/>
        <w:right w:val="single" w:sz="4" w:space="0" w:color="DDDDDD"/>
      </w:pBdr>
      <w:spacing w:before="120" w:after="216" w:line="240" w:lineRule="auto"/>
    </w:pPr>
    <w:rPr>
      <w:rFonts w:ascii="Times New Roman" w:eastAsia="Times New Roman" w:hAnsi="Times New Roman"/>
      <w:sz w:val="24"/>
      <w:szCs w:val="24"/>
      <w:lang w:eastAsia="ru-RU"/>
    </w:rPr>
  </w:style>
  <w:style w:type="paragraph" w:customStyle="1" w:styleId="handle1">
    <w:name w:val="handle1"/>
    <w:basedOn w:val="a"/>
    <w:rsid w:val="00A25AD1"/>
    <w:pPr>
      <w:spacing w:before="35" w:after="216" w:line="240" w:lineRule="auto"/>
    </w:pPr>
    <w:rPr>
      <w:rFonts w:ascii="Times New Roman" w:eastAsia="Times New Roman" w:hAnsi="Times New Roman"/>
      <w:sz w:val="24"/>
      <w:szCs w:val="24"/>
      <w:lang w:eastAsia="ru-RU"/>
    </w:rPr>
  </w:style>
  <w:style w:type="paragraph" w:customStyle="1" w:styleId="no-js1">
    <w:name w:val="no-js1"/>
    <w:basedOn w:val="a"/>
    <w:rsid w:val="00A25AD1"/>
    <w:pPr>
      <w:spacing w:before="120" w:after="216" w:line="240" w:lineRule="auto"/>
    </w:pPr>
    <w:rPr>
      <w:rFonts w:ascii="Times New Roman" w:eastAsia="Times New Roman" w:hAnsi="Times New Roman"/>
      <w:vanish/>
      <w:sz w:val="24"/>
      <w:szCs w:val="24"/>
      <w:lang w:eastAsia="ru-RU"/>
    </w:rPr>
  </w:style>
  <w:style w:type="paragraph" w:customStyle="1" w:styleId="bar2">
    <w:name w:val="bar2"/>
    <w:basedOn w:val="a"/>
    <w:rsid w:val="00A25AD1"/>
    <w:pPr>
      <w:pBdr>
        <w:top w:val="single" w:sz="4" w:space="0" w:color="00375A"/>
        <w:left w:val="single" w:sz="4" w:space="0" w:color="00375A"/>
        <w:bottom w:val="single" w:sz="4" w:space="0" w:color="00375A"/>
        <w:right w:val="single" w:sz="4" w:space="0" w:color="00375A"/>
      </w:pBdr>
      <w:shd w:val="clear" w:color="auto" w:fill="FFFFFF"/>
      <w:spacing w:after="0" w:line="240" w:lineRule="auto"/>
      <w:ind w:left="48" w:right="48"/>
    </w:pPr>
    <w:rPr>
      <w:rFonts w:ascii="Times New Roman" w:eastAsia="Times New Roman" w:hAnsi="Times New Roman"/>
      <w:sz w:val="24"/>
      <w:szCs w:val="24"/>
      <w:lang w:eastAsia="ru-RU"/>
    </w:rPr>
  </w:style>
  <w:style w:type="paragraph" w:customStyle="1" w:styleId="filled1">
    <w:name w:val="filled1"/>
    <w:basedOn w:val="a"/>
    <w:rsid w:val="00A25AD1"/>
    <w:pPr>
      <w:pBdr>
        <w:bottom w:val="single" w:sz="48" w:space="0" w:color="004A73"/>
      </w:pBdr>
      <w:shd w:val="clear" w:color="auto" w:fill="0072B9"/>
      <w:spacing w:before="120" w:after="216" w:line="240" w:lineRule="auto"/>
    </w:pPr>
    <w:rPr>
      <w:rFonts w:ascii="Times New Roman" w:eastAsia="Times New Roman" w:hAnsi="Times New Roman"/>
      <w:sz w:val="24"/>
      <w:szCs w:val="24"/>
      <w:lang w:eastAsia="ru-RU"/>
    </w:rPr>
  </w:style>
  <w:style w:type="paragraph" w:customStyle="1" w:styleId="throbber1">
    <w:name w:val="throbber1"/>
    <w:basedOn w:val="a"/>
    <w:rsid w:val="00A25AD1"/>
    <w:pPr>
      <w:spacing w:before="17" w:after="17" w:line="240" w:lineRule="auto"/>
      <w:ind w:left="17" w:right="17"/>
    </w:pPr>
    <w:rPr>
      <w:rFonts w:ascii="Times New Roman" w:eastAsia="Times New Roman" w:hAnsi="Times New Roman"/>
      <w:sz w:val="24"/>
      <w:szCs w:val="24"/>
      <w:lang w:eastAsia="ru-RU"/>
    </w:rPr>
  </w:style>
  <w:style w:type="paragraph" w:customStyle="1" w:styleId="throbber2">
    <w:name w:val="throbber2"/>
    <w:basedOn w:val="a"/>
    <w:rsid w:val="00A25AD1"/>
    <w:pPr>
      <w:spacing w:after="0" w:line="240" w:lineRule="auto"/>
      <w:ind w:left="17" w:right="17"/>
    </w:pPr>
    <w:rPr>
      <w:rFonts w:ascii="Times New Roman" w:eastAsia="Times New Roman" w:hAnsi="Times New Roman"/>
      <w:sz w:val="24"/>
      <w:szCs w:val="24"/>
      <w:lang w:eastAsia="ru-RU"/>
    </w:rPr>
  </w:style>
  <w:style w:type="paragraph" w:customStyle="1" w:styleId="js-hide1">
    <w:name w:val="js-hide1"/>
    <w:basedOn w:val="a"/>
    <w:rsid w:val="00A25AD1"/>
    <w:pPr>
      <w:spacing w:before="120" w:after="216" w:line="240" w:lineRule="auto"/>
    </w:pPr>
    <w:rPr>
      <w:rFonts w:ascii="Times New Roman" w:eastAsia="Times New Roman" w:hAnsi="Times New Roman"/>
      <w:vanish/>
      <w:sz w:val="24"/>
      <w:szCs w:val="24"/>
      <w:lang w:eastAsia="ru-RU"/>
    </w:rPr>
  </w:style>
  <w:style w:type="paragraph" w:customStyle="1" w:styleId="access-type1">
    <w:name w:val="access-type1"/>
    <w:basedOn w:val="a"/>
    <w:rsid w:val="00A25AD1"/>
    <w:pPr>
      <w:spacing w:before="120" w:after="216" w:line="240" w:lineRule="auto"/>
      <w:ind w:right="240"/>
    </w:pPr>
    <w:rPr>
      <w:rFonts w:ascii="Times New Roman" w:eastAsia="Times New Roman" w:hAnsi="Times New Roman"/>
      <w:sz w:val="24"/>
      <w:szCs w:val="24"/>
      <w:lang w:eastAsia="ru-RU"/>
    </w:rPr>
  </w:style>
  <w:style w:type="paragraph" w:customStyle="1" w:styleId="rule-type1">
    <w:name w:val="rule-type1"/>
    <w:basedOn w:val="a"/>
    <w:rsid w:val="00A25AD1"/>
    <w:pPr>
      <w:spacing w:before="120" w:after="216" w:line="240" w:lineRule="auto"/>
      <w:ind w:right="240"/>
    </w:pPr>
    <w:rPr>
      <w:rFonts w:ascii="Times New Roman" w:eastAsia="Times New Roman" w:hAnsi="Times New Roman"/>
      <w:sz w:val="24"/>
      <w:szCs w:val="24"/>
      <w:lang w:eastAsia="ru-RU"/>
    </w:rPr>
  </w:style>
  <w:style w:type="paragraph" w:customStyle="1" w:styleId="form-item9">
    <w:name w:val="form-item9"/>
    <w:basedOn w:val="a"/>
    <w:rsid w:val="00A25AD1"/>
    <w:pPr>
      <w:spacing w:after="240" w:line="240" w:lineRule="auto"/>
    </w:pPr>
    <w:rPr>
      <w:rFonts w:ascii="Times New Roman" w:eastAsia="Times New Roman" w:hAnsi="Times New Roman"/>
      <w:sz w:val="24"/>
      <w:szCs w:val="24"/>
      <w:lang w:eastAsia="ru-RU"/>
    </w:rPr>
  </w:style>
  <w:style w:type="paragraph" w:customStyle="1" w:styleId="form-item10">
    <w:name w:val="form-item10"/>
    <w:basedOn w:val="a"/>
    <w:rsid w:val="00A25AD1"/>
    <w:pPr>
      <w:spacing w:after="240" w:line="240" w:lineRule="auto"/>
    </w:pPr>
    <w:rPr>
      <w:rFonts w:ascii="Times New Roman" w:eastAsia="Times New Roman" w:hAnsi="Times New Roman"/>
      <w:sz w:val="24"/>
      <w:szCs w:val="24"/>
      <w:lang w:eastAsia="ru-RU"/>
    </w:rPr>
  </w:style>
  <w:style w:type="paragraph" w:customStyle="1" w:styleId="mask1">
    <w:name w:val="mask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icture1">
    <w:name w:val="picture1"/>
    <w:basedOn w:val="a"/>
    <w:rsid w:val="00A25AD1"/>
    <w:pPr>
      <w:spacing w:after="240" w:line="240" w:lineRule="auto"/>
      <w:ind w:right="240"/>
    </w:pPr>
    <w:rPr>
      <w:rFonts w:ascii="Times New Roman" w:eastAsia="Times New Roman" w:hAnsi="Times New Roman"/>
      <w:sz w:val="24"/>
      <w:szCs w:val="24"/>
      <w:lang w:eastAsia="ru-RU"/>
    </w:rPr>
  </w:style>
  <w:style w:type="paragraph" w:customStyle="1" w:styleId="field-label1">
    <w:name w:val="field-label1"/>
    <w:basedOn w:val="a"/>
    <w:rsid w:val="00A25AD1"/>
    <w:pPr>
      <w:spacing w:before="120" w:after="216" w:line="240" w:lineRule="auto"/>
    </w:pPr>
    <w:rPr>
      <w:rFonts w:ascii="Times New Roman" w:eastAsia="Times New Roman" w:hAnsi="Times New Roman"/>
      <w:b/>
      <w:bCs/>
      <w:sz w:val="24"/>
      <w:szCs w:val="24"/>
      <w:lang w:eastAsia="ru-RU"/>
    </w:rPr>
  </w:style>
  <w:style w:type="paragraph" w:customStyle="1" w:styleId="field-label-inline1">
    <w:name w:val="field-label-inline1"/>
    <w:basedOn w:val="a"/>
    <w:rsid w:val="00A25AD1"/>
    <w:pPr>
      <w:spacing w:before="120" w:after="216" w:line="240" w:lineRule="auto"/>
    </w:pPr>
    <w:rPr>
      <w:rFonts w:ascii="Times New Roman" w:eastAsia="Times New Roman" w:hAnsi="Times New Roman"/>
      <w:b/>
      <w:bCs/>
      <w:sz w:val="24"/>
      <w:szCs w:val="24"/>
      <w:lang w:eastAsia="ru-RU"/>
    </w:rPr>
  </w:style>
  <w:style w:type="paragraph" w:customStyle="1" w:styleId="field-label-inline-first1">
    <w:name w:val="field-label-inline-first1"/>
    <w:basedOn w:val="a"/>
    <w:rsid w:val="00A25AD1"/>
    <w:pPr>
      <w:spacing w:before="120" w:after="216" w:line="240" w:lineRule="auto"/>
    </w:pPr>
    <w:rPr>
      <w:rFonts w:ascii="Times New Roman" w:eastAsia="Times New Roman" w:hAnsi="Times New Roman"/>
      <w:b/>
      <w:bCs/>
      <w:sz w:val="24"/>
      <w:szCs w:val="24"/>
      <w:lang w:eastAsia="ru-RU"/>
    </w:rPr>
  </w:style>
  <w:style w:type="paragraph" w:customStyle="1" w:styleId="form-submit1">
    <w:name w:val="form-submit1"/>
    <w:basedOn w:val="a"/>
    <w:rsid w:val="00A25AD1"/>
    <w:pPr>
      <w:spacing w:after="0" w:line="240" w:lineRule="auto"/>
    </w:pPr>
    <w:rPr>
      <w:rFonts w:ascii="Times New Roman" w:eastAsia="Times New Roman" w:hAnsi="Times New Roman"/>
      <w:sz w:val="24"/>
      <w:szCs w:val="24"/>
      <w:lang w:eastAsia="ru-RU"/>
    </w:rPr>
  </w:style>
  <w:style w:type="paragraph" w:customStyle="1" w:styleId="content-multiple-removed-row1">
    <w:name w:val="content-multiple-removed-row1"/>
    <w:basedOn w:val="a"/>
    <w:rsid w:val="00A25AD1"/>
    <w:pPr>
      <w:shd w:val="clear" w:color="auto" w:fill="FFFFCC"/>
      <w:spacing w:before="120" w:after="216" w:line="240" w:lineRule="auto"/>
    </w:pPr>
    <w:rPr>
      <w:rFonts w:ascii="Times New Roman" w:eastAsia="Times New Roman" w:hAnsi="Times New Roman"/>
      <w:sz w:val="24"/>
      <w:szCs w:val="24"/>
      <w:lang w:eastAsia="ru-RU"/>
    </w:rPr>
  </w:style>
  <w:style w:type="paragraph" w:customStyle="1" w:styleId="content-multiple-weight-header1">
    <w:name w:val="content-multiple-weight-header1"/>
    <w:basedOn w:val="a"/>
    <w:rsid w:val="00A25AD1"/>
    <w:pPr>
      <w:spacing w:before="120" w:after="216" w:line="240" w:lineRule="auto"/>
      <w:jc w:val="center"/>
    </w:pPr>
    <w:rPr>
      <w:rFonts w:ascii="Times New Roman" w:eastAsia="Times New Roman" w:hAnsi="Times New Roman"/>
      <w:vanish/>
      <w:sz w:val="24"/>
      <w:szCs w:val="24"/>
      <w:lang w:eastAsia="ru-RU"/>
    </w:rPr>
  </w:style>
  <w:style w:type="paragraph" w:customStyle="1" w:styleId="content-multiple-remove-checkbox1">
    <w:name w:val="content-multiple-remove-checkbox1"/>
    <w:basedOn w:val="a"/>
    <w:rsid w:val="00A25AD1"/>
    <w:pPr>
      <w:spacing w:before="120" w:after="216" w:line="240" w:lineRule="auto"/>
    </w:pPr>
    <w:rPr>
      <w:rFonts w:ascii="Times New Roman" w:eastAsia="Times New Roman" w:hAnsi="Times New Roman"/>
      <w:vanish/>
      <w:sz w:val="24"/>
      <w:szCs w:val="24"/>
      <w:lang w:eastAsia="ru-RU"/>
    </w:rPr>
  </w:style>
  <w:style w:type="paragraph" w:customStyle="1" w:styleId="number1">
    <w:name w:val="number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text1">
    <w:name w:val="text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reference-autocomplete1">
    <w:name w:val="reference-autocomplete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advanced-help-link1">
    <w:name w:val="advanced-help-link1"/>
    <w:basedOn w:val="a"/>
    <w:rsid w:val="00A25AD1"/>
    <w:pPr>
      <w:spacing w:before="35" w:after="0" w:line="240" w:lineRule="auto"/>
      <w:ind w:right="35"/>
    </w:pPr>
    <w:rPr>
      <w:rFonts w:ascii="Times New Roman" w:eastAsia="Times New Roman" w:hAnsi="Times New Roman"/>
      <w:sz w:val="24"/>
      <w:szCs w:val="24"/>
      <w:lang w:eastAsia="ru-RU"/>
    </w:rPr>
  </w:style>
  <w:style w:type="paragraph" w:customStyle="1" w:styleId="advanced-help-link2">
    <w:name w:val="advanced-help-link2"/>
    <w:basedOn w:val="a"/>
    <w:rsid w:val="00A25AD1"/>
    <w:pPr>
      <w:spacing w:before="35" w:after="0" w:line="240" w:lineRule="auto"/>
      <w:ind w:right="35"/>
    </w:pPr>
    <w:rPr>
      <w:rFonts w:ascii="Times New Roman" w:eastAsia="Times New Roman" w:hAnsi="Times New Roman"/>
      <w:sz w:val="24"/>
      <w:szCs w:val="24"/>
      <w:lang w:eastAsia="ru-RU"/>
    </w:rPr>
  </w:style>
  <w:style w:type="paragraph" w:customStyle="1" w:styleId="label-group1">
    <w:name w:val="label-group1"/>
    <w:basedOn w:val="a"/>
    <w:rsid w:val="00A25AD1"/>
    <w:pPr>
      <w:spacing w:before="120" w:after="216" w:line="240" w:lineRule="auto"/>
    </w:pPr>
    <w:rPr>
      <w:rFonts w:ascii="Times New Roman" w:eastAsia="Times New Roman" w:hAnsi="Times New Roman"/>
      <w:b/>
      <w:bCs/>
      <w:sz w:val="24"/>
      <w:szCs w:val="24"/>
      <w:lang w:eastAsia="ru-RU"/>
    </w:rPr>
  </w:style>
  <w:style w:type="paragraph" w:customStyle="1" w:styleId="label-group2">
    <w:name w:val="label-group2"/>
    <w:basedOn w:val="a"/>
    <w:rsid w:val="00A25AD1"/>
    <w:pPr>
      <w:spacing w:before="120" w:after="216" w:line="240" w:lineRule="auto"/>
    </w:pPr>
    <w:rPr>
      <w:rFonts w:ascii="Times New Roman" w:eastAsia="Times New Roman" w:hAnsi="Times New Roman"/>
      <w:b/>
      <w:bCs/>
      <w:sz w:val="24"/>
      <w:szCs w:val="24"/>
      <w:lang w:eastAsia="ru-RU"/>
    </w:rPr>
  </w:style>
  <w:style w:type="paragraph" w:customStyle="1" w:styleId="label-group3">
    <w:name w:val="label-group3"/>
    <w:basedOn w:val="a"/>
    <w:rsid w:val="00A25AD1"/>
    <w:pPr>
      <w:spacing w:before="120" w:after="216" w:line="240" w:lineRule="auto"/>
    </w:pPr>
    <w:rPr>
      <w:rFonts w:ascii="Times New Roman" w:eastAsia="Times New Roman" w:hAnsi="Times New Roman"/>
      <w:b/>
      <w:bCs/>
      <w:sz w:val="24"/>
      <w:szCs w:val="24"/>
      <w:lang w:eastAsia="ru-RU"/>
    </w:rPr>
  </w:style>
  <w:style w:type="paragraph" w:customStyle="1" w:styleId="tabledrag-changed1">
    <w:name w:val="tabledrag-changed1"/>
    <w:basedOn w:val="a"/>
    <w:rsid w:val="00A25AD1"/>
    <w:pPr>
      <w:spacing w:before="120" w:after="216" w:line="240" w:lineRule="auto"/>
    </w:pPr>
    <w:rPr>
      <w:rFonts w:ascii="Times New Roman" w:eastAsia="Times New Roman" w:hAnsi="Times New Roman"/>
      <w:vanish/>
      <w:sz w:val="24"/>
      <w:szCs w:val="24"/>
      <w:lang w:eastAsia="ru-RU"/>
    </w:rPr>
  </w:style>
  <w:style w:type="paragraph" w:customStyle="1" w:styleId="description3">
    <w:name w:val="description3"/>
    <w:basedOn w:val="a"/>
    <w:rsid w:val="00A25AD1"/>
    <w:pPr>
      <w:spacing w:before="120" w:after="0" w:line="240" w:lineRule="auto"/>
    </w:pPr>
    <w:rPr>
      <w:rFonts w:ascii="Times New Roman" w:eastAsia="Times New Roman" w:hAnsi="Times New Roman"/>
      <w:sz w:val="24"/>
      <w:szCs w:val="24"/>
      <w:lang w:eastAsia="ru-RU"/>
    </w:rPr>
  </w:style>
  <w:style w:type="paragraph" w:customStyle="1" w:styleId="content-new1">
    <w:name w:val="content-new1"/>
    <w:basedOn w:val="a"/>
    <w:rsid w:val="00A25AD1"/>
    <w:pPr>
      <w:spacing w:before="120" w:after="216" w:line="240" w:lineRule="auto"/>
    </w:pPr>
    <w:rPr>
      <w:rFonts w:ascii="Times New Roman" w:eastAsia="Times New Roman" w:hAnsi="Times New Roman"/>
      <w:b/>
      <w:bCs/>
      <w:sz w:val="24"/>
      <w:szCs w:val="24"/>
      <w:lang w:eastAsia="ru-RU"/>
    </w:rPr>
  </w:style>
  <w:style w:type="character" w:customStyle="1" w:styleId="code1">
    <w:name w:val="code1"/>
    <w:rsid w:val="00A25AD1"/>
    <w:rPr>
      <w:rFonts w:ascii="Lucida Console" w:hAnsi="Lucida Console" w:hint="default"/>
      <w:sz w:val="22"/>
      <w:szCs w:val="22"/>
      <w:shd w:val="clear" w:color="auto" w:fill="EDF1F3"/>
    </w:rPr>
  </w:style>
  <w:style w:type="paragraph" w:customStyle="1" w:styleId="content-border1">
    <w:name w:val="content-border1"/>
    <w:basedOn w:val="a"/>
    <w:rsid w:val="00A25AD1"/>
    <w:pPr>
      <w:pBdr>
        <w:top w:val="single" w:sz="4" w:space="0" w:color="AAAAAA"/>
        <w:left w:val="single" w:sz="4" w:space="0" w:color="AAAAAA"/>
        <w:bottom w:val="single" w:sz="4" w:space="0" w:color="AAAAAA"/>
        <w:right w:val="single" w:sz="4" w:space="0" w:color="AAAAAA"/>
      </w:pBdr>
      <w:spacing w:before="120" w:after="216" w:line="240" w:lineRule="auto"/>
    </w:pPr>
    <w:rPr>
      <w:rFonts w:ascii="Times New Roman" w:eastAsia="Times New Roman" w:hAnsi="Times New Roman"/>
      <w:sz w:val="24"/>
      <w:szCs w:val="24"/>
      <w:lang w:eastAsia="ru-RU"/>
    </w:rPr>
  </w:style>
  <w:style w:type="character" w:customStyle="1" w:styleId="sortablelistspan1">
    <w:name w:val="sortablelistspan1"/>
    <w:rsid w:val="00A25AD1"/>
    <w:rPr>
      <w:vanish w:val="0"/>
      <w:webHidden w:val="0"/>
      <w:shd w:val="clear" w:color="auto" w:fill="F0F0EE"/>
      <w:specVanish w:val="0"/>
    </w:rPr>
  </w:style>
  <w:style w:type="paragraph" w:customStyle="1" w:styleId="widget-preview1">
    <w:name w:val="widget-preview1"/>
    <w:basedOn w:val="a"/>
    <w:rsid w:val="00A25AD1"/>
    <w:pPr>
      <w:pBdr>
        <w:top w:val="single" w:sz="2" w:space="0" w:color="CCCCCC"/>
        <w:left w:val="single" w:sz="2" w:space="0" w:color="CCCCCC"/>
        <w:bottom w:val="single" w:sz="2" w:space="0" w:color="CCCCCC"/>
        <w:right w:val="single" w:sz="4" w:space="4" w:color="CCCCCC"/>
      </w:pBdr>
      <w:spacing w:after="0" w:line="240" w:lineRule="auto"/>
      <w:ind w:right="87"/>
    </w:pPr>
    <w:rPr>
      <w:rFonts w:ascii="Times New Roman" w:eastAsia="Times New Roman" w:hAnsi="Times New Roman"/>
      <w:sz w:val="24"/>
      <w:szCs w:val="24"/>
      <w:lang w:eastAsia="ru-RU"/>
    </w:rPr>
  </w:style>
  <w:style w:type="paragraph" w:customStyle="1" w:styleId="filefield-preview1">
    <w:name w:val="filefield-preview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orm-item11">
    <w:name w:val="form-item11"/>
    <w:basedOn w:val="a"/>
    <w:rsid w:val="00A25AD1"/>
    <w:pPr>
      <w:spacing w:after="240" w:line="240" w:lineRule="auto"/>
    </w:pPr>
    <w:rPr>
      <w:rFonts w:ascii="Times New Roman" w:eastAsia="Times New Roman" w:hAnsi="Times New Roman"/>
      <w:sz w:val="24"/>
      <w:szCs w:val="24"/>
      <w:lang w:eastAsia="ru-RU"/>
    </w:rPr>
  </w:style>
  <w:style w:type="paragraph" w:customStyle="1" w:styleId="footnote-multi1">
    <w:name w:val="footnote-multi1"/>
    <w:basedOn w:val="a"/>
    <w:rsid w:val="00A25AD1"/>
    <w:pPr>
      <w:spacing w:before="120" w:after="216" w:line="240" w:lineRule="auto"/>
      <w:textAlignment w:val="top"/>
    </w:pPr>
    <w:rPr>
      <w:rFonts w:ascii="Times New Roman" w:eastAsia="Times New Roman" w:hAnsi="Times New Roman"/>
      <w:sz w:val="18"/>
      <w:szCs w:val="18"/>
      <w:lang w:eastAsia="ru-RU"/>
    </w:rPr>
  </w:style>
  <w:style w:type="paragraph" w:customStyle="1" w:styleId="multicolumncheckboxesradios-column1">
    <w:name w:val="multicolumncheckboxesradios-column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description4">
    <w:name w:val="description4"/>
    <w:basedOn w:val="a"/>
    <w:rsid w:val="00A25AD1"/>
    <w:pPr>
      <w:spacing w:before="120" w:after="120" w:line="240" w:lineRule="auto"/>
      <w:ind w:left="120" w:right="120"/>
    </w:pPr>
    <w:rPr>
      <w:rFonts w:ascii="Times New Roman" w:eastAsia="Times New Roman" w:hAnsi="Times New Roman"/>
      <w:lang w:eastAsia="ru-RU"/>
    </w:rPr>
  </w:style>
  <w:style w:type="paragraph" w:customStyle="1" w:styleId="topic-previous1">
    <w:name w:val="topic-previous1"/>
    <w:basedOn w:val="a"/>
    <w:rsid w:val="00A25AD1"/>
    <w:pPr>
      <w:spacing w:before="120" w:after="216" w:line="240" w:lineRule="auto"/>
      <w:jc w:val="right"/>
    </w:pPr>
    <w:rPr>
      <w:rFonts w:ascii="Times New Roman" w:eastAsia="Times New Roman" w:hAnsi="Times New Roman"/>
      <w:sz w:val="24"/>
      <w:szCs w:val="24"/>
      <w:lang w:eastAsia="ru-RU"/>
    </w:rPr>
  </w:style>
  <w:style w:type="paragraph" w:customStyle="1" w:styleId="topic-next1">
    <w:name w:val="topic-next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ontent1">
    <w:name w:val="content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views-exposed-widget1">
    <w:name w:val="views-exposed-widget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form-submit2">
    <w:name w:val="form-submit2"/>
    <w:basedOn w:val="a"/>
    <w:rsid w:val="00A25AD1"/>
    <w:pPr>
      <w:spacing w:before="131" w:after="0" w:line="240" w:lineRule="auto"/>
    </w:pPr>
    <w:rPr>
      <w:rFonts w:ascii="Times New Roman" w:eastAsia="Times New Roman" w:hAnsi="Times New Roman"/>
      <w:sz w:val="24"/>
      <w:szCs w:val="24"/>
      <w:lang w:eastAsia="ru-RU"/>
    </w:rPr>
  </w:style>
  <w:style w:type="paragraph" w:customStyle="1" w:styleId="form-item12">
    <w:name w:val="form-item12"/>
    <w:basedOn w:val="a"/>
    <w:rsid w:val="00A25AD1"/>
    <w:pPr>
      <w:spacing w:after="0" w:line="240" w:lineRule="auto"/>
    </w:pPr>
    <w:rPr>
      <w:rFonts w:ascii="Times New Roman" w:eastAsia="Times New Roman" w:hAnsi="Times New Roman"/>
      <w:sz w:val="24"/>
      <w:szCs w:val="24"/>
      <w:lang w:eastAsia="ru-RU"/>
    </w:rPr>
  </w:style>
  <w:style w:type="paragraph" w:customStyle="1" w:styleId="form-submit3">
    <w:name w:val="form-submit3"/>
    <w:basedOn w:val="a"/>
    <w:rsid w:val="00A25AD1"/>
    <w:pPr>
      <w:spacing w:after="0" w:line="240" w:lineRule="auto"/>
    </w:pPr>
    <w:rPr>
      <w:rFonts w:ascii="Times New Roman" w:eastAsia="Times New Roman" w:hAnsi="Times New Roman"/>
      <w:sz w:val="24"/>
      <w:szCs w:val="24"/>
      <w:lang w:eastAsia="ru-RU"/>
    </w:rPr>
  </w:style>
  <w:style w:type="paragraph" w:customStyle="1" w:styleId="comment1">
    <w:name w:val="comment1"/>
    <w:basedOn w:val="a"/>
    <w:rsid w:val="00A25AD1"/>
    <w:pPr>
      <w:pBdr>
        <w:top w:val="single" w:sz="4" w:space="0" w:color="D3D3D3"/>
        <w:left w:val="single" w:sz="4" w:space="0" w:color="D3D3D3"/>
        <w:bottom w:val="single" w:sz="4" w:space="0" w:color="D3D3D3"/>
        <w:right w:val="single" w:sz="4" w:space="0" w:color="D3D3D3"/>
      </w:pBdr>
      <w:shd w:val="clear" w:color="auto" w:fill="FFFFEA"/>
      <w:spacing w:before="120" w:after="240" w:line="240" w:lineRule="auto"/>
    </w:pPr>
    <w:rPr>
      <w:rFonts w:ascii="Times New Roman" w:eastAsia="Times New Roman" w:hAnsi="Times New Roman"/>
      <w:sz w:val="24"/>
      <w:szCs w:val="24"/>
      <w:lang w:eastAsia="ru-RU"/>
    </w:rPr>
  </w:style>
  <w:style w:type="paragraph" w:customStyle="1" w:styleId="page01">
    <w:name w:val="page0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sizer01">
    <w:name w:val="sizer01"/>
    <w:basedOn w:val="a"/>
    <w:rsid w:val="00A25AD1"/>
    <w:pPr>
      <w:spacing w:after="0" w:line="240" w:lineRule="auto"/>
    </w:pPr>
    <w:rPr>
      <w:rFonts w:ascii="Times New Roman" w:eastAsia="Times New Roman" w:hAnsi="Times New Roman"/>
      <w:sz w:val="24"/>
      <w:szCs w:val="24"/>
      <w:lang w:eastAsia="ru-RU"/>
    </w:rPr>
  </w:style>
  <w:style w:type="paragraph" w:customStyle="1" w:styleId="expander01">
    <w:name w:val="expander01"/>
    <w:basedOn w:val="a"/>
    <w:rsid w:val="00A25AD1"/>
    <w:pPr>
      <w:spacing w:after="0" w:line="240" w:lineRule="auto"/>
      <w:ind w:left="-4538" w:right="-4538"/>
    </w:pPr>
    <w:rPr>
      <w:rFonts w:ascii="Times New Roman" w:eastAsia="Times New Roman" w:hAnsi="Times New Roman"/>
      <w:sz w:val="24"/>
      <w:szCs w:val="24"/>
      <w:lang w:eastAsia="ru-RU"/>
    </w:rPr>
  </w:style>
  <w:style w:type="paragraph" w:customStyle="1" w:styleId="sizer02">
    <w:name w:val="sizer02"/>
    <w:basedOn w:val="a"/>
    <w:rsid w:val="00A25AD1"/>
    <w:pPr>
      <w:spacing w:after="0" w:line="240" w:lineRule="auto"/>
    </w:pPr>
    <w:rPr>
      <w:rFonts w:ascii="Times New Roman" w:eastAsia="Times New Roman" w:hAnsi="Times New Roman"/>
      <w:sz w:val="24"/>
      <w:szCs w:val="24"/>
      <w:lang w:eastAsia="ru-RU"/>
    </w:rPr>
  </w:style>
  <w:style w:type="paragraph" w:customStyle="1" w:styleId="sizer03">
    <w:name w:val="sizer03"/>
    <w:basedOn w:val="a"/>
    <w:rsid w:val="00A25AD1"/>
    <w:pPr>
      <w:spacing w:after="0" w:line="240" w:lineRule="auto"/>
    </w:pPr>
    <w:rPr>
      <w:rFonts w:ascii="Times New Roman" w:eastAsia="Times New Roman" w:hAnsi="Times New Roman"/>
      <w:sz w:val="24"/>
      <w:szCs w:val="24"/>
      <w:lang w:eastAsia="ru-RU"/>
    </w:rPr>
  </w:style>
  <w:style w:type="paragraph" w:customStyle="1" w:styleId="sizer04">
    <w:name w:val="sizer04"/>
    <w:basedOn w:val="a"/>
    <w:rsid w:val="00A25AD1"/>
    <w:pPr>
      <w:spacing w:after="0" w:line="240" w:lineRule="auto"/>
    </w:pPr>
    <w:rPr>
      <w:rFonts w:ascii="Times New Roman" w:eastAsia="Times New Roman" w:hAnsi="Times New Roman"/>
      <w:sz w:val="24"/>
      <w:szCs w:val="24"/>
      <w:lang w:eastAsia="ru-RU"/>
    </w:rPr>
  </w:style>
  <w:style w:type="paragraph" w:customStyle="1" w:styleId="outer1">
    <w:name w:val="outer1"/>
    <w:basedOn w:val="a"/>
    <w:rsid w:val="00A25AD1"/>
    <w:pPr>
      <w:spacing w:before="120" w:after="216" w:line="240" w:lineRule="auto"/>
      <w:ind w:left="1780" w:right="2426"/>
    </w:pPr>
    <w:rPr>
      <w:rFonts w:ascii="Times New Roman" w:eastAsia="Times New Roman" w:hAnsi="Times New Roman"/>
      <w:sz w:val="24"/>
      <w:szCs w:val="24"/>
      <w:lang w:eastAsia="ru-RU"/>
    </w:rPr>
  </w:style>
  <w:style w:type="paragraph" w:customStyle="1" w:styleId="outer2">
    <w:name w:val="outer2"/>
    <w:basedOn w:val="a"/>
    <w:rsid w:val="00A25AD1"/>
    <w:pPr>
      <w:spacing w:before="120" w:after="216" w:line="240" w:lineRule="auto"/>
      <w:ind w:left="2566"/>
    </w:pPr>
    <w:rPr>
      <w:rFonts w:ascii="Times New Roman" w:eastAsia="Times New Roman" w:hAnsi="Times New Roman"/>
      <w:sz w:val="24"/>
      <w:szCs w:val="24"/>
      <w:lang w:eastAsia="ru-RU"/>
    </w:rPr>
  </w:style>
  <w:style w:type="paragraph" w:customStyle="1" w:styleId="outer3">
    <w:name w:val="outer3"/>
    <w:basedOn w:val="a"/>
    <w:rsid w:val="00A25AD1"/>
    <w:pPr>
      <w:spacing w:before="120" w:after="216" w:line="240" w:lineRule="auto"/>
      <w:ind w:right="3002"/>
    </w:pPr>
    <w:rPr>
      <w:rFonts w:ascii="Times New Roman" w:eastAsia="Times New Roman" w:hAnsi="Times New Roman"/>
      <w:sz w:val="24"/>
      <w:szCs w:val="24"/>
      <w:lang w:eastAsia="ru-RU"/>
    </w:rPr>
  </w:style>
  <w:style w:type="paragraph" w:customStyle="1" w:styleId="colleft1">
    <w:name w:val="colleft1"/>
    <w:basedOn w:val="a"/>
    <w:rsid w:val="00A25AD1"/>
    <w:pPr>
      <w:spacing w:before="120" w:after="216" w:line="240" w:lineRule="auto"/>
      <w:ind w:left="-2566"/>
    </w:pPr>
    <w:rPr>
      <w:rFonts w:ascii="Times New Roman" w:eastAsia="Times New Roman" w:hAnsi="Times New Roman"/>
      <w:sz w:val="24"/>
      <w:szCs w:val="24"/>
      <w:lang w:eastAsia="ru-RU"/>
    </w:rPr>
  </w:style>
  <w:style w:type="paragraph" w:customStyle="1" w:styleId="colright1">
    <w:name w:val="colright1"/>
    <w:basedOn w:val="a"/>
    <w:rsid w:val="00A25AD1"/>
    <w:pPr>
      <w:spacing w:before="120" w:after="216" w:line="240" w:lineRule="auto"/>
      <w:ind w:right="-3002"/>
    </w:pPr>
    <w:rPr>
      <w:rFonts w:ascii="Times New Roman" w:eastAsia="Times New Roman" w:hAnsi="Times New Roman"/>
      <w:sz w:val="24"/>
      <w:szCs w:val="24"/>
      <w:lang w:eastAsia="ru-RU"/>
    </w:rPr>
  </w:style>
  <w:style w:type="paragraph" w:customStyle="1" w:styleId="outer4">
    <w:name w:val="outer4"/>
    <w:basedOn w:val="a"/>
    <w:rsid w:val="00A25AD1"/>
    <w:pPr>
      <w:spacing w:before="120" w:after="216" w:line="240" w:lineRule="auto"/>
      <w:ind w:left="1780" w:right="2426"/>
    </w:pPr>
    <w:rPr>
      <w:rFonts w:ascii="Times New Roman" w:eastAsia="Times New Roman" w:hAnsi="Times New Roman"/>
      <w:sz w:val="24"/>
      <w:szCs w:val="24"/>
      <w:lang w:eastAsia="ru-RU"/>
    </w:rPr>
  </w:style>
  <w:style w:type="paragraph" w:customStyle="1" w:styleId="outer5">
    <w:name w:val="outer5"/>
    <w:basedOn w:val="a"/>
    <w:rsid w:val="00A25AD1"/>
    <w:pPr>
      <w:spacing w:before="120" w:after="216" w:line="240" w:lineRule="auto"/>
      <w:ind w:left="1780"/>
    </w:pPr>
    <w:rPr>
      <w:rFonts w:ascii="Times New Roman" w:eastAsia="Times New Roman" w:hAnsi="Times New Roman"/>
      <w:sz w:val="24"/>
      <w:szCs w:val="24"/>
      <w:lang w:eastAsia="ru-RU"/>
    </w:rPr>
  </w:style>
  <w:style w:type="paragraph" w:customStyle="1" w:styleId="outer6">
    <w:name w:val="outer6"/>
    <w:basedOn w:val="a"/>
    <w:rsid w:val="00A25AD1"/>
    <w:pPr>
      <w:spacing w:before="120" w:after="216" w:line="240" w:lineRule="auto"/>
      <w:ind w:right="2426"/>
    </w:pPr>
    <w:rPr>
      <w:rFonts w:ascii="Times New Roman" w:eastAsia="Times New Roman" w:hAnsi="Times New Roman"/>
      <w:sz w:val="24"/>
      <w:szCs w:val="24"/>
      <w:lang w:eastAsia="ru-RU"/>
    </w:rPr>
  </w:style>
  <w:style w:type="paragraph" w:customStyle="1" w:styleId="colleft2">
    <w:name w:val="colleft2"/>
    <w:basedOn w:val="a"/>
    <w:rsid w:val="00A25AD1"/>
    <w:pPr>
      <w:spacing w:before="120" w:after="216" w:line="240" w:lineRule="auto"/>
      <w:ind w:left="-1780"/>
    </w:pPr>
    <w:rPr>
      <w:rFonts w:ascii="Times New Roman" w:eastAsia="Times New Roman" w:hAnsi="Times New Roman"/>
      <w:sz w:val="24"/>
      <w:szCs w:val="24"/>
      <w:lang w:eastAsia="ru-RU"/>
    </w:rPr>
  </w:style>
  <w:style w:type="paragraph" w:customStyle="1" w:styleId="colright2">
    <w:name w:val="colright2"/>
    <w:basedOn w:val="a"/>
    <w:rsid w:val="00A25AD1"/>
    <w:pPr>
      <w:spacing w:before="120" w:after="216" w:line="240" w:lineRule="auto"/>
      <w:ind w:right="-2426"/>
    </w:pPr>
    <w:rPr>
      <w:rFonts w:ascii="Times New Roman" w:eastAsia="Times New Roman" w:hAnsi="Times New Roman"/>
      <w:sz w:val="24"/>
      <w:szCs w:val="24"/>
      <w:lang w:eastAsia="ru-RU"/>
    </w:rPr>
  </w:style>
  <w:style w:type="paragraph" w:customStyle="1" w:styleId="colleft3">
    <w:name w:val="colleft3"/>
    <w:basedOn w:val="a"/>
    <w:rsid w:val="00A25AD1"/>
    <w:pPr>
      <w:spacing w:before="120" w:after="216" w:line="240" w:lineRule="auto"/>
      <w:ind w:left="-1606"/>
    </w:pPr>
    <w:rPr>
      <w:rFonts w:ascii="Times New Roman" w:eastAsia="Times New Roman" w:hAnsi="Times New Roman"/>
      <w:sz w:val="24"/>
      <w:szCs w:val="24"/>
      <w:lang w:eastAsia="ru-RU"/>
    </w:rPr>
  </w:style>
  <w:style w:type="paragraph" w:customStyle="1" w:styleId="colleft4">
    <w:name w:val="colleft4"/>
    <w:basedOn w:val="a"/>
    <w:rsid w:val="00A25AD1"/>
    <w:pPr>
      <w:spacing w:before="120" w:after="216" w:line="240" w:lineRule="auto"/>
      <w:ind w:left="-1606"/>
    </w:pPr>
    <w:rPr>
      <w:rFonts w:ascii="Times New Roman" w:eastAsia="Times New Roman" w:hAnsi="Times New Roman"/>
      <w:sz w:val="24"/>
      <w:szCs w:val="24"/>
      <w:lang w:eastAsia="ru-RU"/>
    </w:rPr>
  </w:style>
  <w:style w:type="paragraph" w:customStyle="1" w:styleId="colleft5">
    <w:name w:val="colleft5"/>
    <w:basedOn w:val="a"/>
    <w:rsid w:val="00A25AD1"/>
    <w:pPr>
      <w:spacing w:before="120" w:after="216" w:line="240" w:lineRule="auto"/>
      <w:ind w:left="-2391"/>
    </w:pPr>
    <w:rPr>
      <w:rFonts w:ascii="Times New Roman" w:eastAsia="Times New Roman" w:hAnsi="Times New Roman"/>
      <w:sz w:val="24"/>
      <w:szCs w:val="24"/>
      <w:lang w:eastAsia="ru-RU"/>
    </w:rPr>
  </w:style>
  <w:style w:type="paragraph" w:customStyle="1" w:styleId="colleft6">
    <w:name w:val="colleft6"/>
    <w:basedOn w:val="a"/>
    <w:rsid w:val="00A25AD1"/>
    <w:pPr>
      <w:spacing w:before="120" w:after="216" w:line="240" w:lineRule="auto"/>
      <w:ind w:left="-1606"/>
    </w:pPr>
    <w:rPr>
      <w:rFonts w:ascii="Times New Roman" w:eastAsia="Times New Roman" w:hAnsi="Times New Roman"/>
      <w:sz w:val="24"/>
      <w:szCs w:val="24"/>
      <w:lang w:eastAsia="ru-RU"/>
    </w:rPr>
  </w:style>
  <w:style w:type="paragraph" w:customStyle="1" w:styleId="colleft7">
    <w:name w:val="colleft7"/>
    <w:basedOn w:val="a"/>
    <w:rsid w:val="00A25AD1"/>
    <w:pPr>
      <w:spacing w:before="120" w:after="216" w:line="240" w:lineRule="auto"/>
      <w:ind w:left="-1606"/>
    </w:pPr>
    <w:rPr>
      <w:rFonts w:ascii="Times New Roman" w:eastAsia="Times New Roman" w:hAnsi="Times New Roman"/>
      <w:sz w:val="24"/>
      <w:szCs w:val="24"/>
      <w:lang w:eastAsia="ru-RU"/>
    </w:rPr>
  </w:style>
  <w:style w:type="paragraph" w:customStyle="1" w:styleId="colleft8">
    <w:name w:val="colleft8"/>
    <w:basedOn w:val="a"/>
    <w:rsid w:val="00A25AD1"/>
    <w:pPr>
      <w:spacing w:before="120" w:after="216" w:line="240" w:lineRule="auto"/>
      <w:ind w:left="-1606"/>
    </w:pPr>
    <w:rPr>
      <w:rFonts w:ascii="Times New Roman" w:eastAsia="Times New Roman" w:hAnsi="Times New Roman"/>
      <w:sz w:val="24"/>
      <w:szCs w:val="24"/>
      <w:lang w:eastAsia="ru-RU"/>
    </w:rPr>
  </w:style>
  <w:style w:type="paragraph" w:customStyle="1" w:styleId="colright3">
    <w:name w:val="colright3"/>
    <w:basedOn w:val="a"/>
    <w:rsid w:val="00A25AD1"/>
    <w:pPr>
      <w:spacing w:before="120" w:after="216" w:line="240" w:lineRule="auto"/>
      <w:ind w:right="-2252"/>
    </w:pPr>
    <w:rPr>
      <w:rFonts w:ascii="Times New Roman" w:eastAsia="Times New Roman" w:hAnsi="Times New Roman"/>
      <w:sz w:val="24"/>
      <w:szCs w:val="24"/>
      <w:lang w:eastAsia="ru-RU"/>
    </w:rPr>
  </w:style>
  <w:style w:type="paragraph" w:customStyle="1" w:styleId="colright4">
    <w:name w:val="colright4"/>
    <w:basedOn w:val="a"/>
    <w:rsid w:val="00A25AD1"/>
    <w:pPr>
      <w:spacing w:before="120" w:after="216" w:line="240" w:lineRule="auto"/>
      <w:ind w:right="-2828"/>
    </w:pPr>
    <w:rPr>
      <w:rFonts w:ascii="Times New Roman" w:eastAsia="Times New Roman" w:hAnsi="Times New Roman"/>
      <w:sz w:val="24"/>
      <w:szCs w:val="24"/>
      <w:lang w:eastAsia="ru-RU"/>
    </w:rPr>
  </w:style>
  <w:style w:type="paragraph" w:customStyle="1" w:styleId="colright5">
    <w:name w:val="colright5"/>
    <w:basedOn w:val="a"/>
    <w:rsid w:val="00A25AD1"/>
    <w:pPr>
      <w:spacing w:before="120" w:after="216" w:line="240" w:lineRule="auto"/>
      <w:ind w:right="-2252"/>
    </w:pPr>
    <w:rPr>
      <w:rFonts w:ascii="Times New Roman" w:eastAsia="Times New Roman" w:hAnsi="Times New Roman"/>
      <w:sz w:val="24"/>
      <w:szCs w:val="24"/>
      <w:lang w:eastAsia="ru-RU"/>
    </w:rPr>
  </w:style>
  <w:style w:type="paragraph" w:customStyle="1" w:styleId="colright6">
    <w:name w:val="colright6"/>
    <w:basedOn w:val="a"/>
    <w:rsid w:val="00A25AD1"/>
    <w:pPr>
      <w:spacing w:before="120" w:after="216" w:line="240" w:lineRule="auto"/>
      <w:ind w:right="-2252"/>
    </w:pPr>
    <w:rPr>
      <w:rFonts w:ascii="Times New Roman" w:eastAsia="Times New Roman" w:hAnsi="Times New Roman"/>
      <w:sz w:val="24"/>
      <w:szCs w:val="24"/>
      <w:lang w:eastAsia="ru-RU"/>
    </w:rPr>
  </w:style>
  <w:style w:type="paragraph" w:customStyle="1" w:styleId="colright7">
    <w:name w:val="colright7"/>
    <w:basedOn w:val="a"/>
    <w:rsid w:val="00A25AD1"/>
    <w:pPr>
      <w:spacing w:before="120" w:after="216" w:line="240" w:lineRule="auto"/>
      <w:ind w:right="-2252"/>
    </w:pPr>
    <w:rPr>
      <w:rFonts w:ascii="Times New Roman" w:eastAsia="Times New Roman" w:hAnsi="Times New Roman"/>
      <w:sz w:val="24"/>
      <w:szCs w:val="24"/>
      <w:lang w:eastAsia="ru-RU"/>
    </w:rPr>
  </w:style>
  <w:style w:type="paragraph" w:customStyle="1" w:styleId="colright8">
    <w:name w:val="colright8"/>
    <w:basedOn w:val="a"/>
    <w:rsid w:val="00A25AD1"/>
    <w:pPr>
      <w:spacing w:before="120" w:after="216" w:line="240" w:lineRule="auto"/>
      <w:ind w:right="-2252"/>
    </w:pPr>
    <w:rPr>
      <w:rFonts w:ascii="Times New Roman" w:eastAsia="Times New Roman" w:hAnsi="Times New Roman"/>
      <w:sz w:val="24"/>
      <w:szCs w:val="24"/>
      <w:lang w:eastAsia="ru-RU"/>
    </w:rPr>
  </w:style>
  <w:style w:type="paragraph" w:customStyle="1" w:styleId="outer7">
    <w:name w:val="outer7"/>
    <w:basedOn w:val="a"/>
    <w:rsid w:val="00A25AD1"/>
    <w:pPr>
      <w:spacing w:before="120" w:after="216" w:line="240" w:lineRule="auto"/>
      <w:ind w:left="1606" w:right="2252"/>
    </w:pPr>
    <w:rPr>
      <w:rFonts w:ascii="Times New Roman" w:eastAsia="Times New Roman" w:hAnsi="Times New Roman"/>
      <w:sz w:val="24"/>
      <w:szCs w:val="24"/>
      <w:lang w:eastAsia="ru-RU"/>
    </w:rPr>
  </w:style>
  <w:style w:type="paragraph" w:customStyle="1" w:styleId="outer8">
    <w:name w:val="outer8"/>
    <w:basedOn w:val="a"/>
    <w:rsid w:val="00A25AD1"/>
    <w:pPr>
      <w:spacing w:before="120" w:after="216" w:line="240" w:lineRule="auto"/>
      <w:ind w:left="2391"/>
    </w:pPr>
    <w:rPr>
      <w:rFonts w:ascii="Times New Roman" w:eastAsia="Times New Roman" w:hAnsi="Times New Roman"/>
      <w:sz w:val="24"/>
      <w:szCs w:val="24"/>
      <w:lang w:eastAsia="ru-RU"/>
    </w:rPr>
  </w:style>
  <w:style w:type="paragraph" w:customStyle="1" w:styleId="outer9">
    <w:name w:val="outer9"/>
    <w:basedOn w:val="a"/>
    <w:rsid w:val="00A25AD1"/>
    <w:pPr>
      <w:spacing w:before="120" w:after="216" w:line="240" w:lineRule="auto"/>
      <w:ind w:right="2828"/>
    </w:pPr>
    <w:rPr>
      <w:rFonts w:ascii="Times New Roman" w:eastAsia="Times New Roman" w:hAnsi="Times New Roman"/>
      <w:sz w:val="24"/>
      <w:szCs w:val="24"/>
      <w:lang w:eastAsia="ru-RU"/>
    </w:rPr>
  </w:style>
  <w:style w:type="paragraph" w:customStyle="1" w:styleId="outer10">
    <w:name w:val="outer10"/>
    <w:basedOn w:val="a"/>
    <w:rsid w:val="00A25AD1"/>
    <w:pPr>
      <w:spacing w:before="120" w:after="216" w:line="240" w:lineRule="auto"/>
      <w:ind w:left="1606" w:right="2252"/>
    </w:pPr>
    <w:rPr>
      <w:rFonts w:ascii="Times New Roman" w:eastAsia="Times New Roman" w:hAnsi="Times New Roman"/>
      <w:sz w:val="24"/>
      <w:szCs w:val="24"/>
      <w:lang w:eastAsia="ru-RU"/>
    </w:rPr>
  </w:style>
  <w:style w:type="paragraph" w:customStyle="1" w:styleId="outer11">
    <w:name w:val="outer11"/>
    <w:basedOn w:val="a"/>
    <w:rsid w:val="00A25AD1"/>
    <w:pPr>
      <w:spacing w:before="120" w:after="216" w:line="240" w:lineRule="auto"/>
      <w:ind w:left="1606"/>
    </w:pPr>
    <w:rPr>
      <w:rFonts w:ascii="Times New Roman" w:eastAsia="Times New Roman" w:hAnsi="Times New Roman"/>
      <w:sz w:val="24"/>
      <w:szCs w:val="24"/>
      <w:lang w:eastAsia="ru-RU"/>
    </w:rPr>
  </w:style>
  <w:style w:type="paragraph" w:customStyle="1" w:styleId="outer12">
    <w:name w:val="outer12"/>
    <w:basedOn w:val="a"/>
    <w:rsid w:val="00A25AD1"/>
    <w:pPr>
      <w:spacing w:before="120" w:after="216" w:line="240" w:lineRule="auto"/>
      <w:ind w:right="2252"/>
    </w:pPr>
    <w:rPr>
      <w:rFonts w:ascii="Times New Roman" w:eastAsia="Times New Roman" w:hAnsi="Times New Roman"/>
      <w:sz w:val="24"/>
      <w:szCs w:val="24"/>
      <w:lang w:eastAsia="ru-RU"/>
    </w:rPr>
  </w:style>
  <w:style w:type="paragraph" w:customStyle="1" w:styleId="colleft9">
    <w:name w:val="colleft9"/>
    <w:basedOn w:val="a"/>
    <w:rsid w:val="00A25AD1"/>
    <w:pPr>
      <w:spacing w:before="120" w:after="216" w:line="240" w:lineRule="auto"/>
      <w:ind w:left="-1737"/>
    </w:pPr>
    <w:rPr>
      <w:rFonts w:ascii="Times New Roman" w:eastAsia="Times New Roman" w:hAnsi="Times New Roman"/>
      <w:sz w:val="24"/>
      <w:szCs w:val="24"/>
      <w:lang w:eastAsia="ru-RU"/>
    </w:rPr>
  </w:style>
  <w:style w:type="paragraph" w:customStyle="1" w:styleId="colleft10">
    <w:name w:val="colleft10"/>
    <w:basedOn w:val="a"/>
    <w:rsid w:val="00A25AD1"/>
    <w:pPr>
      <w:spacing w:before="120" w:after="216" w:line="240" w:lineRule="auto"/>
      <w:ind w:left="-1737"/>
    </w:pPr>
    <w:rPr>
      <w:rFonts w:ascii="Times New Roman" w:eastAsia="Times New Roman" w:hAnsi="Times New Roman"/>
      <w:sz w:val="24"/>
      <w:szCs w:val="24"/>
      <w:lang w:eastAsia="ru-RU"/>
    </w:rPr>
  </w:style>
  <w:style w:type="paragraph" w:customStyle="1" w:styleId="colleft11">
    <w:name w:val="colleft11"/>
    <w:basedOn w:val="a"/>
    <w:rsid w:val="00A25AD1"/>
    <w:pPr>
      <w:spacing w:before="120" w:after="216" w:line="240" w:lineRule="auto"/>
      <w:ind w:left="-1737"/>
    </w:pPr>
    <w:rPr>
      <w:rFonts w:ascii="Times New Roman" w:eastAsia="Times New Roman" w:hAnsi="Times New Roman"/>
      <w:sz w:val="24"/>
      <w:szCs w:val="24"/>
      <w:lang w:eastAsia="ru-RU"/>
    </w:rPr>
  </w:style>
  <w:style w:type="paragraph" w:customStyle="1" w:styleId="colright9">
    <w:name w:val="colright9"/>
    <w:basedOn w:val="a"/>
    <w:rsid w:val="00A25AD1"/>
    <w:pPr>
      <w:spacing w:before="120" w:after="216" w:line="240" w:lineRule="auto"/>
      <w:ind w:right="-1737"/>
    </w:pPr>
    <w:rPr>
      <w:rFonts w:ascii="Times New Roman" w:eastAsia="Times New Roman" w:hAnsi="Times New Roman"/>
      <w:sz w:val="24"/>
      <w:szCs w:val="24"/>
      <w:lang w:eastAsia="ru-RU"/>
    </w:rPr>
  </w:style>
  <w:style w:type="paragraph" w:customStyle="1" w:styleId="colright10">
    <w:name w:val="colright10"/>
    <w:basedOn w:val="a"/>
    <w:rsid w:val="00A25AD1"/>
    <w:pPr>
      <w:spacing w:before="120" w:after="216" w:line="240" w:lineRule="auto"/>
      <w:ind w:right="-1737"/>
    </w:pPr>
    <w:rPr>
      <w:rFonts w:ascii="Times New Roman" w:eastAsia="Times New Roman" w:hAnsi="Times New Roman"/>
      <w:sz w:val="24"/>
      <w:szCs w:val="24"/>
      <w:lang w:eastAsia="ru-RU"/>
    </w:rPr>
  </w:style>
  <w:style w:type="paragraph" w:customStyle="1" w:styleId="colright11">
    <w:name w:val="colright11"/>
    <w:basedOn w:val="a"/>
    <w:rsid w:val="00A25AD1"/>
    <w:pPr>
      <w:spacing w:before="120" w:after="216" w:line="240" w:lineRule="auto"/>
      <w:ind w:right="-1737"/>
    </w:pPr>
    <w:rPr>
      <w:rFonts w:ascii="Times New Roman" w:eastAsia="Times New Roman" w:hAnsi="Times New Roman"/>
      <w:sz w:val="24"/>
      <w:szCs w:val="24"/>
      <w:lang w:eastAsia="ru-RU"/>
    </w:rPr>
  </w:style>
  <w:style w:type="paragraph" w:customStyle="1" w:styleId="outer13">
    <w:name w:val="outer13"/>
    <w:basedOn w:val="a"/>
    <w:rsid w:val="00A25AD1"/>
    <w:pPr>
      <w:spacing w:before="120" w:after="216" w:line="240" w:lineRule="auto"/>
      <w:ind w:left="1737" w:right="1737"/>
    </w:pPr>
    <w:rPr>
      <w:rFonts w:ascii="Times New Roman" w:eastAsia="Times New Roman" w:hAnsi="Times New Roman"/>
      <w:sz w:val="24"/>
      <w:szCs w:val="24"/>
      <w:lang w:eastAsia="ru-RU"/>
    </w:rPr>
  </w:style>
  <w:style w:type="paragraph" w:customStyle="1" w:styleId="outer14">
    <w:name w:val="outer14"/>
    <w:basedOn w:val="a"/>
    <w:rsid w:val="00A25AD1"/>
    <w:pPr>
      <w:spacing w:before="120" w:after="216" w:line="240" w:lineRule="auto"/>
      <w:ind w:left="1737"/>
    </w:pPr>
    <w:rPr>
      <w:rFonts w:ascii="Times New Roman" w:eastAsia="Times New Roman" w:hAnsi="Times New Roman"/>
      <w:sz w:val="24"/>
      <w:szCs w:val="24"/>
      <w:lang w:eastAsia="ru-RU"/>
    </w:rPr>
  </w:style>
  <w:style w:type="paragraph" w:customStyle="1" w:styleId="outer15">
    <w:name w:val="outer15"/>
    <w:basedOn w:val="a"/>
    <w:rsid w:val="00A25AD1"/>
    <w:pPr>
      <w:spacing w:before="120" w:after="216" w:line="240" w:lineRule="auto"/>
      <w:ind w:right="1737"/>
    </w:pPr>
    <w:rPr>
      <w:rFonts w:ascii="Times New Roman" w:eastAsia="Times New Roman" w:hAnsi="Times New Roman"/>
      <w:sz w:val="24"/>
      <w:szCs w:val="24"/>
      <w:lang w:eastAsia="ru-RU"/>
    </w:rPr>
  </w:style>
  <w:style w:type="paragraph" w:customStyle="1" w:styleId="links2">
    <w:name w:val="links2"/>
    <w:basedOn w:val="a"/>
    <w:rsid w:val="00A25AD1"/>
    <w:pPr>
      <w:spacing w:after="0" w:line="240" w:lineRule="auto"/>
    </w:pPr>
    <w:rPr>
      <w:rFonts w:ascii="Times New Roman" w:eastAsia="Times New Roman" w:hAnsi="Times New Roman"/>
      <w:color w:val="3F3F3F"/>
      <w:sz w:val="24"/>
      <w:szCs w:val="24"/>
      <w:lang w:eastAsia="ru-RU"/>
    </w:rPr>
  </w:style>
  <w:style w:type="paragraph" w:customStyle="1" w:styleId="block1">
    <w:name w:val="block1"/>
    <w:basedOn w:val="a"/>
    <w:rsid w:val="00A25AD1"/>
    <w:pPr>
      <w:spacing w:before="120" w:after="131" w:line="240" w:lineRule="auto"/>
    </w:pPr>
    <w:rPr>
      <w:rFonts w:ascii="Times New Roman" w:eastAsia="Times New Roman" w:hAnsi="Times New Roman"/>
      <w:sz w:val="24"/>
      <w:szCs w:val="24"/>
      <w:lang w:eastAsia="ru-RU"/>
    </w:rPr>
  </w:style>
  <w:style w:type="paragraph" w:customStyle="1" w:styleId="box1">
    <w:name w:val="box1"/>
    <w:basedOn w:val="a"/>
    <w:rsid w:val="00A25AD1"/>
    <w:pPr>
      <w:spacing w:before="120" w:after="131" w:line="240" w:lineRule="auto"/>
    </w:pPr>
    <w:rPr>
      <w:rFonts w:ascii="Times New Roman" w:eastAsia="Times New Roman" w:hAnsi="Times New Roman"/>
      <w:sz w:val="24"/>
      <w:szCs w:val="24"/>
      <w:lang w:eastAsia="ru-RU"/>
    </w:rPr>
  </w:style>
  <w:style w:type="paragraph" w:customStyle="1" w:styleId="title3">
    <w:name w:val="title3"/>
    <w:basedOn w:val="a"/>
    <w:rsid w:val="00A25AD1"/>
    <w:pPr>
      <w:spacing w:after="60" w:line="240" w:lineRule="auto"/>
    </w:pPr>
    <w:rPr>
      <w:rFonts w:ascii="Times New Roman" w:eastAsia="Times New Roman" w:hAnsi="Times New Roman"/>
      <w:b/>
      <w:bCs/>
      <w:caps/>
      <w:color w:val="777777"/>
      <w:sz w:val="24"/>
      <w:szCs w:val="24"/>
      <w:lang w:eastAsia="ru-RU"/>
    </w:rPr>
  </w:style>
  <w:style w:type="paragraph" w:customStyle="1" w:styleId="content2">
    <w:name w:val="content2"/>
    <w:basedOn w:val="a"/>
    <w:rsid w:val="00A25AD1"/>
    <w:pPr>
      <w:spacing w:after="0" w:line="240" w:lineRule="auto"/>
    </w:pPr>
    <w:rPr>
      <w:rFonts w:ascii="Times New Roman" w:eastAsia="Times New Roman" w:hAnsi="Times New Roman"/>
      <w:sz w:val="24"/>
      <w:szCs w:val="24"/>
      <w:lang w:eastAsia="ru-RU"/>
    </w:rPr>
  </w:style>
  <w:style w:type="paragraph" w:customStyle="1" w:styleId="content3">
    <w:name w:val="content3"/>
    <w:basedOn w:val="a"/>
    <w:rsid w:val="00A25AD1"/>
    <w:pPr>
      <w:spacing w:before="120" w:after="120" w:line="240" w:lineRule="auto"/>
    </w:pPr>
    <w:rPr>
      <w:rFonts w:ascii="Times New Roman" w:eastAsia="Times New Roman" w:hAnsi="Times New Roman"/>
      <w:sz w:val="24"/>
      <w:szCs w:val="24"/>
      <w:lang w:eastAsia="ru-RU"/>
    </w:rPr>
  </w:style>
  <w:style w:type="paragraph" w:customStyle="1" w:styleId="content4">
    <w:name w:val="content4"/>
    <w:basedOn w:val="a"/>
    <w:rsid w:val="00A25AD1"/>
    <w:pPr>
      <w:spacing w:before="120" w:after="120" w:line="240" w:lineRule="auto"/>
    </w:pPr>
    <w:rPr>
      <w:rFonts w:ascii="Times New Roman" w:eastAsia="Times New Roman" w:hAnsi="Times New Roman"/>
      <w:sz w:val="24"/>
      <w:szCs w:val="24"/>
      <w:lang w:eastAsia="ru-RU"/>
    </w:rPr>
  </w:style>
  <w:style w:type="paragraph" w:customStyle="1" w:styleId="terms1">
    <w:name w:val="terms1"/>
    <w:basedOn w:val="a"/>
    <w:rsid w:val="00A25AD1"/>
    <w:pPr>
      <w:spacing w:before="120" w:after="216" w:line="240" w:lineRule="auto"/>
    </w:pPr>
    <w:rPr>
      <w:rFonts w:ascii="Times New Roman" w:eastAsia="Times New Roman" w:hAnsi="Times New Roman"/>
      <w:color w:val="777777"/>
      <w:sz w:val="19"/>
      <w:szCs w:val="19"/>
      <w:lang w:eastAsia="ru-RU"/>
    </w:rPr>
  </w:style>
  <w:style w:type="paragraph" w:customStyle="1" w:styleId="title4">
    <w:name w:val="title4"/>
    <w:basedOn w:val="a"/>
    <w:rsid w:val="00A25AD1"/>
    <w:pPr>
      <w:spacing w:after="0" w:line="240" w:lineRule="auto"/>
    </w:pPr>
    <w:rPr>
      <w:rFonts w:ascii="Times New Roman" w:eastAsia="Times New Roman" w:hAnsi="Times New Roman"/>
      <w:color w:val="777777"/>
      <w:sz w:val="24"/>
      <w:szCs w:val="24"/>
      <w:lang w:eastAsia="ru-RU"/>
    </w:rPr>
  </w:style>
  <w:style w:type="paragraph" w:customStyle="1" w:styleId="new1">
    <w:name w:val="new1"/>
    <w:basedOn w:val="a"/>
    <w:rsid w:val="00A25AD1"/>
    <w:pPr>
      <w:spacing w:before="120" w:after="216" w:line="240" w:lineRule="auto"/>
      <w:jc w:val="right"/>
    </w:pPr>
    <w:rPr>
      <w:rFonts w:ascii="Times New Roman" w:eastAsia="Times New Roman" w:hAnsi="Times New Roman"/>
      <w:b/>
      <w:bCs/>
      <w:color w:val="FF0000"/>
      <w:sz w:val="19"/>
      <w:szCs w:val="19"/>
      <w:lang w:eastAsia="ru-RU"/>
    </w:rPr>
  </w:style>
  <w:style w:type="paragraph" w:customStyle="1" w:styleId="picture2">
    <w:name w:val="picture2"/>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icture3">
    <w:name w:val="picture3"/>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left1">
    <w:name w:val="left1"/>
    <w:basedOn w:val="a"/>
    <w:rsid w:val="00A25AD1"/>
    <w:pPr>
      <w:spacing w:after="0" w:line="240" w:lineRule="auto"/>
    </w:pPr>
    <w:rPr>
      <w:rFonts w:ascii="Times New Roman" w:eastAsia="Times New Roman" w:hAnsi="Times New Roman"/>
      <w:sz w:val="24"/>
      <w:szCs w:val="24"/>
      <w:lang w:eastAsia="ru-RU"/>
    </w:rPr>
  </w:style>
  <w:style w:type="paragraph" w:customStyle="1" w:styleId="right1">
    <w:name w:val="right1"/>
    <w:basedOn w:val="a"/>
    <w:rsid w:val="00A25AD1"/>
    <w:pPr>
      <w:spacing w:after="0" w:line="240" w:lineRule="auto"/>
    </w:pPr>
    <w:rPr>
      <w:rFonts w:ascii="Times New Roman" w:eastAsia="Times New Roman" w:hAnsi="Times New Roman"/>
      <w:sz w:val="24"/>
      <w:szCs w:val="24"/>
      <w:lang w:eastAsia="ru-RU"/>
    </w:rPr>
  </w:style>
  <w:style w:type="paragraph" w:customStyle="1" w:styleId="title5">
    <w:name w:val="title5"/>
    <w:basedOn w:val="a"/>
    <w:rsid w:val="00A25AD1"/>
    <w:pPr>
      <w:spacing w:after="60" w:line="240" w:lineRule="auto"/>
    </w:pPr>
    <w:rPr>
      <w:rFonts w:ascii="Times New Roman" w:eastAsia="Times New Roman" w:hAnsi="Times New Roman"/>
      <w:b/>
      <w:bCs/>
      <w:caps/>
      <w:vanish/>
      <w:color w:val="777777"/>
      <w:sz w:val="24"/>
      <w:szCs w:val="24"/>
      <w:lang w:eastAsia="ru-RU"/>
    </w:rPr>
  </w:style>
  <w:style w:type="paragraph" w:customStyle="1" w:styleId="title6">
    <w:name w:val="title6"/>
    <w:basedOn w:val="a"/>
    <w:rsid w:val="00A25AD1"/>
    <w:pPr>
      <w:spacing w:after="60" w:line="240" w:lineRule="auto"/>
    </w:pPr>
    <w:rPr>
      <w:rFonts w:ascii="Times New Roman" w:eastAsia="Times New Roman" w:hAnsi="Times New Roman"/>
      <w:b/>
      <w:bCs/>
      <w:caps/>
      <w:vanish/>
      <w:color w:val="777777"/>
      <w:sz w:val="24"/>
      <w:szCs w:val="24"/>
      <w:lang w:eastAsia="ru-RU"/>
    </w:rPr>
  </w:style>
  <w:style w:type="paragraph" w:customStyle="1" w:styleId="title7">
    <w:name w:val="title7"/>
    <w:basedOn w:val="a"/>
    <w:rsid w:val="00A25AD1"/>
    <w:pPr>
      <w:spacing w:after="60" w:line="240" w:lineRule="auto"/>
    </w:pPr>
    <w:rPr>
      <w:rFonts w:ascii="Times New Roman" w:eastAsia="Times New Roman" w:hAnsi="Times New Roman"/>
      <w:b/>
      <w:bCs/>
      <w:caps/>
      <w:vanish/>
      <w:color w:val="777777"/>
      <w:sz w:val="24"/>
      <w:szCs w:val="24"/>
      <w:lang w:eastAsia="ru-RU"/>
    </w:rPr>
  </w:style>
  <w:style w:type="paragraph" w:customStyle="1" w:styleId="block2">
    <w:name w:val="block2"/>
    <w:basedOn w:val="a"/>
    <w:rsid w:val="00A25AD1"/>
    <w:pPr>
      <w:spacing w:after="0" w:line="240" w:lineRule="auto"/>
    </w:pPr>
    <w:rPr>
      <w:rFonts w:ascii="Times New Roman" w:eastAsia="Times New Roman" w:hAnsi="Times New Roman"/>
      <w:sz w:val="24"/>
      <w:szCs w:val="24"/>
      <w:lang w:eastAsia="ru-RU"/>
    </w:rPr>
  </w:style>
  <w:style w:type="paragraph" w:customStyle="1" w:styleId="content5">
    <w:name w:val="content5"/>
    <w:basedOn w:val="a"/>
    <w:rsid w:val="00A25AD1"/>
    <w:pPr>
      <w:spacing w:after="0" w:line="240" w:lineRule="auto"/>
    </w:pPr>
    <w:rPr>
      <w:rFonts w:ascii="Times New Roman" w:eastAsia="Times New Roman" w:hAnsi="Times New Roman"/>
      <w:sz w:val="24"/>
      <w:szCs w:val="24"/>
      <w:lang w:eastAsia="ru-RU"/>
    </w:rPr>
  </w:style>
  <w:style w:type="paragraph" w:customStyle="1" w:styleId="form-text4">
    <w:name w:val="form-text4"/>
    <w:basedOn w:val="a"/>
    <w:rsid w:val="00A25AD1"/>
    <w:pPr>
      <w:pBdr>
        <w:top w:val="single" w:sz="4" w:space="0" w:color="555555"/>
        <w:left w:val="single" w:sz="4" w:space="0" w:color="555555"/>
        <w:bottom w:val="single" w:sz="4" w:space="0" w:color="555555"/>
        <w:right w:val="single" w:sz="4" w:space="0" w:color="555555"/>
      </w:pBdr>
      <w:spacing w:before="120" w:after="216" w:line="240" w:lineRule="auto"/>
      <w:textAlignment w:val="center"/>
    </w:pPr>
    <w:rPr>
      <w:rFonts w:ascii="Times New Roman" w:eastAsia="Times New Roman" w:hAnsi="Times New Roman"/>
      <w:sz w:val="24"/>
      <w:szCs w:val="24"/>
      <w:lang w:eastAsia="ru-RU"/>
    </w:rPr>
  </w:style>
  <w:style w:type="paragraph" w:customStyle="1" w:styleId="form-submit4">
    <w:name w:val="form-submit4"/>
    <w:basedOn w:val="a"/>
    <w:rsid w:val="00A25AD1"/>
    <w:pPr>
      <w:pBdr>
        <w:top w:val="single" w:sz="4" w:space="0" w:color="555555"/>
        <w:left w:val="single" w:sz="4" w:space="0" w:color="555555"/>
        <w:bottom w:val="single" w:sz="4" w:space="0" w:color="555555"/>
        <w:right w:val="single" w:sz="4" w:space="0" w:color="555555"/>
      </w:pBdr>
      <w:spacing w:before="120" w:after="216" w:line="240" w:lineRule="auto"/>
      <w:textAlignment w:val="center"/>
    </w:pPr>
    <w:rPr>
      <w:rFonts w:ascii="Times New Roman" w:eastAsia="Times New Roman" w:hAnsi="Times New Roman"/>
      <w:sz w:val="24"/>
      <w:szCs w:val="24"/>
      <w:lang w:eastAsia="ru-RU"/>
    </w:rPr>
  </w:style>
  <w:style w:type="paragraph" w:customStyle="1" w:styleId="breadcrumb1">
    <w:name w:val="breadcrumb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3">
    <w:name w:val="block3"/>
    <w:basedOn w:val="a"/>
    <w:rsid w:val="00A25AD1"/>
    <w:pPr>
      <w:spacing w:before="131" w:after="0" w:line="240" w:lineRule="auto"/>
    </w:pPr>
    <w:rPr>
      <w:rFonts w:ascii="Times New Roman" w:eastAsia="Times New Roman" w:hAnsi="Times New Roman"/>
      <w:sz w:val="24"/>
      <w:szCs w:val="24"/>
      <w:lang w:eastAsia="ru-RU"/>
    </w:rPr>
  </w:style>
  <w:style w:type="paragraph" w:customStyle="1" w:styleId="block4">
    <w:name w:val="block4"/>
    <w:basedOn w:val="a"/>
    <w:rsid w:val="00A25AD1"/>
    <w:pPr>
      <w:spacing w:before="120" w:after="120" w:line="240" w:lineRule="auto"/>
    </w:pPr>
    <w:rPr>
      <w:rFonts w:ascii="Times New Roman" w:eastAsia="Times New Roman" w:hAnsi="Times New Roman"/>
      <w:sz w:val="24"/>
      <w:szCs w:val="24"/>
      <w:lang w:eastAsia="ru-RU"/>
    </w:rPr>
  </w:style>
  <w:style w:type="paragraph" w:customStyle="1" w:styleId="block5">
    <w:name w:val="block5"/>
    <w:basedOn w:val="a"/>
    <w:rsid w:val="00A25AD1"/>
    <w:pPr>
      <w:spacing w:after="87" w:line="240" w:lineRule="auto"/>
    </w:pPr>
    <w:rPr>
      <w:rFonts w:ascii="Times New Roman" w:eastAsia="Times New Roman" w:hAnsi="Times New Roman"/>
      <w:sz w:val="24"/>
      <w:szCs w:val="24"/>
      <w:lang w:eastAsia="ru-RU"/>
    </w:rPr>
  </w:style>
  <w:style w:type="paragraph" w:customStyle="1" w:styleId="content6">
    <w:name w:val="content6"/>
    <w:basedOn w:val="a"/>
    <w:rsid w:val="00A25AD1"/>
    <w:pPr>
      <w:spacing w:after="87" w:line="240" w:lineRule="auto"/>
    </w:pPr>
    <w:rPr>
      <w:rFonts w:ascii="Times New Roman" w:eastAsia="Times New Roman" w:hAnsi="Times New Roman"/>
      <w:sz w:val="24"/>
      <w:szCs w:val="24"/>
      <w:lang w:eastAsia="ru-RU"/>
    </w:rPr>
  </w:style>
  <w:style w:type="paragraph" w:customStyle="1" w:styleId="content7">
    <w:name w:val="content7"/>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ontent8">
    <w:name w:val="content8"/>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ontent9">
    <w:name w:val="content9"/>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6">
    <w:name w:val="block6"/>
    <w:basedOn w:val="a"/>
    <w:rsid w:val="00A25AD1"/>
    <w:pPr>
      <w:spacing w:after="0" w:line="240" w:lineRule="auto"/>
    </w:pPr>
    <w:rPr>
      <w:rFonts w:ascii="Times New Roman" w:eastAsia="Times New Roman" w:hAnsi="Times New Roman"/>
      <w:sz w:val="24"/>
      <w:szCs w:val="24"/>
      <w:lang w:eastAsia="ru-RU"/>
    </w:rPr>
  </w:style>
  <w:style w:type="paragraph" w:customStyle="1" w:styleId="categories1">
    <w:name w:val="categories1"/>
    <w:basedOn w:val="a"/>
    <w:rsid w:val="00A25AD1"/>
    <w:pPr>
      <w:spacing w:before="120" w:after="216" w:line="240" w:lineRule="auto"/>
    </w:pPr>
    <w:rPr>
      <w:rFonts w:ascii="Times New Roman" w:eastAsia="Times New Roman" w:hAnsi="Times New Roman"/>
      <w:i/>
      <w:iCs/>
      <w:color w:val="777777"/>
      <w:lang w:eastAsia="ru-RU"/>
    </w:rPr>
  </w:style>
  <w:style w:type="paragraph" w:customStyle="1" w:styleId="source1">
    <w:name w:val="source1"/>
    <w:basedOn w:val="a"/>
    <w:rsid w:val="00A25AD1"/>
    <w:pPr>
      <w:spacing w:before="120" w:after="216" w:line="240" w:lineRule="auto"/>
    </w:pPr>
    <w:rPr>
      <w:rFonts w:ascii="Times New Roman" w:eastAsia="Times New Roman" w:hAnsi="Times New Roman"/>
      <w:i/>
      <w:iCs/>
      <w:color w:val="777777"/>
      <w:lang w:eastAsia="ru-RU"/>
    </w:rPr>
  </w:style>
  <w:style w:type="paragraph" w:customStyle="1" w:styleId="age1">
    <w:name w:val="age1"/>
    <w:basedOn w:val="a"/>
    <w:rsid w:val="00A25AD1"/>
    <w:pPr>
      <w:spacing w:before="120" w:after="216" w:line="240" w:lineRule="auto"/>
    </w:pPr>
    <w:rPr>
      <w:rFonts w:ascii="Times New Roman" w:eastAsia="Times New Roman" w:hAnsi="Times New Roman"/>
      <w:i/>
      <w:iCs/>
      <w:color w:val="777777"/>
      <w:lang w:eastAsia="ru-RU"/>
    </w:rPr>
  </w:style>
  <w:style w:type="paragraph" w:customStyle="1" w:styleId="feed-source1">
    <w:name w:val="feed-source1"/>
    <w:basedOn w:val="a"/>
    <w:rsid w:val="00A25AD1"/>
    <w:pPr>
      <w:pBdr>
        <w:top w:val="single" w:sz="4" w:space="0" w:color="CCCCCC"/>
        <w:left w:val="single" w:sz="4" w:space="0" w:color="CCCCCC"/>
        <w:bottom w:val="single" w:sz="4" w:space="0" w:color="CCCCCC"/>
        <w:right w:val="single" w:sz="4" w:space="0" w:color="CCCCCC"/>
      </w:pBdr>
      <w:shd w:val="clear" w:color="auto" w:fill="EEEEEE"/>
      <w:spacing w:before="240" w:after="240" w:line="240" w:lineRule="auto"/>
    </w:pPr>
    <w:rPr>
      <w:rFonts w:ascii="Times New Roman" w:eastAsia="Times New Roman" w:hAnsi="Times New Roman"/>
      <w:sz w:val="24"/>
      <w:szCs w:val="24"/>
      <w:lang w:eastAsia="ru-RU"/>
    </w:rPr>
  </w:style>
  <w:style w:type="paragraph" w:customStyle="1" w:styleId="title8">
    <w:name w:val="title8"/>
    <w:basedOn w:val="a"/>
    <w:rsid w:val="00A25AD1"/>
    <w:pPr>
      <w:spacing w:after="120" w:line="240" w:lineRule="auto"/>
    </w:pPr>
    <w:rPr>
      <w:rFonts w:ascii="Times New Roman" w:eastAsia="Times New Roman" w:hAnsi="Times New Roman"/>
      <w:color w:val="777777"/>
      <w:sz w:val="24"/>
      <w:szCs w:val="24"/>
      <w:lang w:eastAsia="ru-RU"/>
    </w:rPr>
  </w:style>
  <w:style w:type="paragraph" w:customStyle="1" w:styleId="links3">
    <w:name w:val="links3"/>
    <w:basedOn w:val="a"/>
    <w:rsid w:val="00A25AD1"/>
    <w:pPr>
      <w:spacing w:after="0" w:line="240" w:lineRule="auto"/>
    </w:pPr>
    <w:rPr>
      <w:rFonts w:ascii="Times New Roman" w:eastAsia="Times New Roman" w:hAnsi="Times New Roman"/>
      <w:color w:val="3F3F3F"/>
      <w:lang w:eastAsia="ru-RU"/>
    </w:rPr>
  </w:style>
  <w:style w:type="paragraph" w:customStyle="1" w:styleId="profile1">
    <w:name w:val="profile1"/>
    <w:basedOn w:val="a"/>
    <w:rsid w:val="00A25AD1"/>
    <w:pPr>
      <w:pBdr>
        <w:top w:val="single" w:sz="4" w:space="0" w:color="AABBCC"/>
        <w:left w:val="single" w:sz="4" w:space="0" w:color="AABBCC"/>
        <w:bottom w:val="single" w:sz="4" w:space="0" w:color="AABBCC"/>
        <w:right w:val="single" w:sz="4" w:space="0" w:color="AABBCC"/>
      </w:pBdr>
      <w:spacing w:before="240" w:after="240" w:line="240" w:lineRule="auto"/>
    </w:pPr>
    <w:rPr>
      <w:rFonts w:ascii="Times New Roman" w:eastAsia="Times New Roman" w:hAnsi="Times New Roman"/>
      <w:sz w:val="24"/>
      <w:szCs w:val="24"/>
      <w:lang w:eastAsia="ru-RU"/>
    </w:rPr>
  </w:style>
  <w:style w:type="paragraph" w:customStyle="1" w:styleId="name1">
    <w:name w:val="name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content10">
    <w:name w:val="content10"/>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content11">
    <w:name w:val="content11"/>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item-list1">
    <w:name w:val="item-list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title9">
    <w:name w:val="title9"/>
    <w:basedOn w:val="a"/>
    <w:rsid w:val="00A25AD1"/>
    <w:pPr>
      <w:spacing w:after="0" w:line="240" w:lineRule="auto"/>
      <w:jc w:val="right"/>
    </w:pPr>
    <w:rPr>
      <w:rFonts w:ascii="Times New Roman" w:eastAsia="Times New Roman" w:hAnsi="Times New Roman"/>
      <w:color w:val="777777"/>
      <w:sz w:val="24"/>
      <w:szCs w:val="24"/>
      <w:lang w:eastAsia="ru-RU"/>
    </w:rPr>
  </w:style>
  <w:style w:type="paragraph" w:customStyle="1" w:styleId="title10">
    <w:name w:val="title10"/>
    <w:basedOn w:val="a"/>
    <w:rsid w:val="00A25AD1"/>
    <w:pPr>
      <w:spacing w:after="0" w:line="240" w:lineRule="auto"/>
      <w:jc w:val="right"/>
    </w:pPr>
    <w:rPr>
      <w:rFonts w:ascii="Times New Roman" w:eastAsia="Times New Roman" w:hAnsi="Times New Roman"/>
      <w:color w:val="777777"/>
      <w:sz w:val="24"/>
      <w:szCs w:val="24"/>
      <w:lang w:eastAsia="ru-RU"/>
    </w:rPr>
  </w:style>
  <w:style w:type="paragraph" w:customStyle="1" w:styleId="block-icon1">
    <w:name w:val="block-icon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2">
    <w:name w:val="block-icon2"/>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3">
    <w:name w:val="block-icon3"/>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4">
    <w:name w:val="block-icon4"/>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5">
    <w:name w:val="block-icon5"/>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6">
    <w:name w:val="block-icon6"/>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7">
    <w:name w:val="block-icon7"/>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8">
    <w:name w:val="block-icon8"/>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9">
    <w:name w:val="block-icon9"/>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10">
    <w:name w:val="block-icon10"/>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11">
    <w:name w:val="block-icon1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12">
    <w:name w:val="block-icon12"/>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13">
    <w:name w:val="block-icon13"/>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14">
    <w:name w:val="block-icon14"/>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15">
    <w:name w:val="block-icon15"/>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16">
    <w:name w:val="block-icon16"/>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17">
    <w:name w:val="block-icon17"/>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18">
    <w:name w:val="block-icon18"/>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19">
    <w:name w:val="block-icon19"/>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20">
    <w:name w:val="block-icon20"/>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21">
    <w:name w:val="block-icon2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22">
    <w:name w:val="block-icon22"/>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23">
    <w:name w:val="block-icon23"/>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24">
    <w:name w:val="block-icon24"/>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25">
    <w:name w:val="block-icon25"/>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26">
    <w:name w:val="block-icon26"/>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27">
    <w:name w:val="block-icon27"/>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28">
    <w:name w:val="block-icon28"/>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29">
    <w:name w:val="block-icon29"/>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30">
    <w:name w:val="block-icon30"/>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31">
    <w:name w:val="block-icon3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32">
    <w:name w:val="block-icon32"/>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33">
    <w:name w:val="block-icon33"/>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34">
    <w:name w:val="block-icon34"/>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35">
    <w:name w:val="block-icon35"/>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36">
    <w:name w:val="block-icon36"/>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37">
    <w:name w:val="block-icon37"/>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38">
    <w:name w:val="block-icon38"/>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39">
    <w:name w:val="block-icon39"/>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40">
    <w:name w:val="block-icon40"/>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41">
    <w:name w:val="block-icon4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42">
    <w:name w:val="block-icon42"/>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43">
    <w:name w:val="block-icon43"/>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44">
    <w:name w:val="block-icon44"/>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45">
    <w:name w:val="block-icon45"/>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46">
    <w:name w:val="block-icon46"/>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47">
    <w:name w:val="block-icon47"/>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48">
    <w:name w:val="block-icon48"/>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49">
    <w:name w:val="block-icon49"/>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50">
    <w:name w:val="block-icon50"/>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51">
    <w:name w:val="block-icon5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52">
    <w:name w:val="block-icon52"/>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53">
    <w:name w:val="block-icon53"/>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54">
    <w:name w:val="block-icon54"/>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55">
    <w:name w:val="block-icon55"/>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56">
    <w:name w:val="block-icon56"/>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57">
    <w:name w:val="block-icon57"/>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58">
    <w:name w:val="block-icon58"/>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59">
    <w:name w:val="block-icon59"/>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60">
    <w:name w:val="block-icon60"/>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61">
    <w:name w:val="block-icon6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62">
    <w:name w:val="block-icon62"/>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block-icon63">
    <w:name w:val="block-icon63"/>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print-icon1">
    <w:name w:val="print-icon1"/>
    <w:basedOn w:val="a"/>
    <w:rsid w:val="00A25AD1"/>
    <w:pPr>
      <w:spacing w:before="120" w:after="216" w:line="240" w:lineRule="auto"/>
    </w:pPr>
    <w:rPr>
      <w:rFonts w:ascii="Times New Roman" w:eastAsia="Times New Roman" w:hAnsi="Times New Roman"/>
      <w:vanish/>
      <w:sz w:val="24"/>
      <w:szCs w:val="24"/>
      <w:lang w:eastAsia="ru-RU"/>
    </w:rPr>
  </w:style>
  <w:style w:type="paragraph" w:customStyle="1" w:styleId="printhtml1">
    <w:name w:val="print_html1"/>
    <w:basedOn w:val="a"/>
    <w:rsid w:val="00A25AD1"/>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printer1">
    <w:name w:val="book_printer1"/>
    <w:basedOn w:val="a"/>
    <w:rsid w:val="00A25AD1"/>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rintmail1">
    <w:name w:val="print_mail1"/>
    <w:basedOn w:val="a"/>
    <w:rsid w:val="00A25AD1"/>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mail1">
    <w:name w:val="book_mail1"/>
    <w:basedOn w:val="a"/>
    <w:rsid w:val="00A25AD1"/>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rintpdf1">
    <w:name w:val="print_pdf1"/>
    <w:basedOn w:val="a"/>
    <w:rsid w:val="00A25AD1"/>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pdf1">
    <w:name w:val="book_pdf1"/>
    <w:basedOn w:val="a"/>
    <w:rsid w:val="00A25AD1"/>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ntent12">
    <w:name w:val="content12"/>
    <w:basedOn w:val="a"/>
    <w:rsid w:val="00A25AD1"/>
    <w:pPr>
      <w:spacing w:before="120" w:after="120" w:line="240" w:lineRule="auto"/>
    </w:pPr>
    <w:rPr>
      <w:rFonts w:ascii="Times New Roman" w:eastAsia="Times New Roman" w:hAnsi="Times New Roman"/>
      <w:sz w:val="24"/>
      <w:szCs w:val="24"/>
      <w:lang w:eastAsia="ru-RU"/>
    </w:rPr>
  </w:style>
  <w:style w:type="paragraph" w:customStyle="1" w:styleId="content13">
    <w:name w:val="content13"/>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views-field-subject1">
    <w:name w:val="views-field-subject1"/>
    <w:basedOn w:val="a"/>
    <w:rsid w:val="00A25AD1"/>
    <w:pPr>
      <w:spacing w:before="120" w:after="216" w:line="240" w:lineRule="auto"/>
    </w:pPr>
    <w:rPr>
      <w:rFonts w:ascii="Times New Roman" w:eastAsia="Times New Roman" w:hAnsi="Times New Roman"/>
      <w:b/>
      <w:bCs/>
      <w:sz w:val="24"/>
      <w:szCs w:val="24"/>
      <w:lang w:eastAsia="ru-RU"/>
    </w:rPr>
  </w:style>
  <w:style w:type="paragraph" w:customStyle="1" w:styleId="content14">
    <w:name w:val="content14"/>
    <w:basedOn w:val="a"/>
    <w:rsid w:val="00A25AD1"/>
    <w:pPr>
      <w:spacing w:before="120" w:after="216" w:line="240" w:lineRule="auto"/>
      <w:jc w:val="center"/>
    </w:pPr>
    <w:rPr>
      <w:rFonts w:ascii="Times New Roman" w:eastAsia="Times New Roman" w:hAnsi="Times New Roman"/>
      <w:sz w:val="24"/>
      <w:szCs w:val="24"/>
      <w:lang w:eastAsia="ru-RU"/>
    </w:rPr>
  </w:style>
  <w:style w:type="paragraph" w:customStyle="1" w:styleId="uc-store-icon1">
    <w:name w:val="uc-store-icon1"/>
    <w:basedOn w:val="a"/>
    <w:rsid w:val="00A25AD1"/>
    <w:pPr>
      <w:spacing w:after="0" w:line="240" w:lineRule="auto"/>
    </w:pPr>
    <w:rPr>
      <w:rFonts w:ascii="Times New Roman" w:eastAsia="Times New Roman" w:hAnsi="Times New Roman"/>
      <w:sz w:val="24"/>
      <w:szCs w:val="24"/>
      <w:lang w:eastAsia="ru-RU"/>
    </w:rPr>
  </w:style>
  <w:style w:type="paragraph" w:customStyle="1" w:styleId="panel-title1">
    <w:name w:val="panel-title1"/>
    <w:basedOn w:val="a"/>
    <w:rsid w:val="00A25AD1"/>
    <w:pPr>
      <w:spacing w:before="120" w:after="216" w:line="480" w:lineRule="auto"/>
    </w:pPr>
    <w:rPr>
      <w:rFonts w:ascii="Times New Roman" w:eastAsia="Times New Roman" w:hAnsi="Times New Roman"/>
      <w:b/>
      <w:bCs/>
      <w:sz w:val="24"/>
      <w:szCs w:val="24"/>
      <w:lang w:eastAsia="ru-RU"/>
    </w:rPr>
  </w:style>
  <w:style w:type="paragraph" w:customStyle="1" w:styleId="form-submit5">
    <w:name w:val="form-submit5"/>
    <w:basedOn w:val="a"/>
    <w:rsid w:val="00A25AD1"/>
    <w:pPr>
      <w:spacing w:before="131" w:after="216" w:line="240" w:lineRule="auto"/>
    </w:pPr>
    <w:rPr>
      <w:rFonts w:ascii="Times New Roman" w:eastAsia="Times New Roman" w:hAnsi="Times New Roman"/>
      <w:sz w:val="24"/>
      <w:szCs w:val="24"/>
      <w:lang w:eastAsia="ru-RU"/>
    </w:rPr>
  </w:style>
  <w:style w:type="paragraph" w:customStyle="1" w:styleId="body1">
    <w:name w:val="body1"/>
    <w:basedOn w:val="a"/>
    <w:rsid w:val="00A25AD1"/>
    <w:pPr>
      <w:shd w:val="clear" w:color="auto" w:fill="F4F4F4"/>
      <w:spacing w:before="120" w:after="216" w:line="240" w:lineRule="auto"/>
    </w:pPr>
    <w:rPr>
      <w:rFonts w:ascii="Times New Roman" w:eastAsia="Times New Roman" w:hAnsi="Times New Roman"/>
      <w:sz w:val="24"/>
      <w:szCs w:val="24"/>
      <w:lang w:eastAsia="ru-RU"/>
    </w:rPr>
  </w:style>
  <w:style w:type="paragraph" w:customStyle="1" w:styleId="arrow-up1">
    <w:name w:val="arrow-up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arrow-down1">
    <w:name w:val="arrow-down1"/>
    <w:basedOn w:val="a"/>
    <w:rsid w:val="00A25AD1"/>
    <w:pPr>
      <w:spacing w:before="120" w:after="216" w:line="240" w:lineRule="auto"/>
    </w:pPr>
    <w:rPr>
      <w:rFonts w:ascii="Times New Roman" w:eastAsia="Times New Roman" w:hAnsi="Times New Roman"/>
      <w:sz w:val="24"/>
      <w:szCs w:val="24"/>
      <w:lang w:eastAsia="ru-RU"/>
    </w:rPr>
  </w:style>
  <w:style w:type="paragraph" w:customStyle="1" w:styleId="name2">
    <w:name w:val="name2"/>
    <w:basedOn w:val="a"/>
    <w:rsid w:val="00A25AD1"/>
    <w:pPr>
      <w:spacing w:before="120" w:after="216" w:line="240" w:lineRule="auto"/>
    </w:pPr>
    <w:rPr>
      <w:rFonts w:ascii="Times New Roman" w:eastAsia="Times New Roman" w:hAnsi="Times New Roman"/>
      <w:color w:val="777777"/>
      <w:sz w:val="24"/>
      <w:szCs w:val="24"/>
      <w:lang w:eastAsia="ru-RU"/>
    </w:rPr>
  </w:style>
  <w:style w:type="paragraph" w:customStyle="1" w:styleId="description5">
    <w:name w:val="description5"/>
    <w:basedOn w:val="a"/>
    <w:rsid w:val="00A25AD1"/>
    <w:pPr>
      <w:spacing w:before="120" w:after="216" w:line="240" w:lineRule="auto"/>
    </w:pPr>
    <w:rPr>
      <w:rFonts w:ascii="Times New Roman" w:eastAsia="Times New Roman" w:hAnsi="Times New Roman"/>
      <w:color w:val="777777"/>
      <w:sz w:val="24"/>
      <w:szCs w:val="24"/>
      <w:lang w:eastAsia="ru-RU"/>
    </w:rPr>
  </w:style>
  <w:style w:type="character" w:customStyle="1" w:styleId="data1">
    <w:name w:val="data1"/>
    <w:rsid w:val="00A25AD1"/>
    <w:rPr>
      <w:i/>
      <w:iCs/>
      <w:vanish w:val="0"/>
      <w:webHidden w:val="0"/>
      <w:specVanish w:val="0"/>
    </w:rPr>
  </w:style>
  <w:style w:type="character" w:customStyle="1" w:styleId="41pt">
    <w:name w:val="Основной текст (4) + Курсив;Интервал 1 pt"/>
    <w:rsid w:val="00A25AD1"/>
    <w:rPr>
      <w:rFonts w:ascii="Gungsuh" w:eastAsia="Gungsuh" w:hAnsi="Times New Roman" w:cs="Gungsuh"/>
      <w:b w:val="0"/>
      <w:bCs w:val="0"/>
      <w:i/>
      <w:iCs/>
      <w:smallCaps w:val="0"/>
      <w:strike w:val="0"/>
      <w:spacing w:val="20"/>
      <w:sz w:val="13"/>
      <w:szCs w:val="13"/>
      <w:shd w:val="clear" w:color="auto" w:fill="FFFFFF"/>
    </w:rPr>
  </w:style>
  <w:style w:type="character" w:customStyle="1" w:styleId="5ArialNarrow85pt0pt">
    <w:name w:val="Основной текст (5) + Arial Narrow;8;5 pt;Полужирный;Интервал 0 pt"/>
    <w:rsid w:val="00A25AD1"/>
    <w:rPr>
      <w:rFonts w:ascii="Arial Narrow" w:eastAsia="Arial Narrow" w:hAnsi="Arial Narrow" w:cs="Arial Narrow"/>
      <w:b/>
      <w:bCs/>
      <w:i w:val="0"/>
      <w:iCs w:val="0"/>
      <w:smallCaps w:val="0"/>
      <w:strike w:val="0"/>
      <w:spacing w:val="0"/>
      <w:sz w:val="17"/>
      <w:szCs w:val="17"/>
      <w:shd w:val="clear" w:color="auto" w:fill="FFFFFF"/>
    </w:rPr>
  </w:style>
  <w:style w:type="character" w:customStyle="1" w:styleId="4ArialNarrow85pt">
    <w:name w:val="Основной текст (4) + Arial Narrow;8;5 pt;Курсив"/>
    <w:rsid w:val="00A25AD1"/>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95pt">
    <w:name w:val="Основной текст (9) + 5 pt"/>
    <w:rsid w:val="00A25AD1"/>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character" w:customStyle="1" w:styleId="93">
    <w:name w:val="Подпись к картинке (9)_"/>
    <w:link w:val="94"/>
    <w:uiPriority w:val="99"/>
    <w:rsid w:val="00A25AD1"/>
    <w:rPr>
      <w:rFonts w:ascii="Arial Narrow" w:eastAsia="Arial Narrow" w:hAnsi="Arial Narrow" w:cs="Arial Narrow"/>
      <w:sz w:val="17"/>
      <w:szCs w:val="17"/>
      <w:shd w:val="clear" w:color="auto" w:fill="FFFFFF"/>
    </w:rPr>
  </w:style>
  <w:style w:type="paragraph" w:customStyle="1" w:styleId="94">
    <w:name w:val="Подпись к картинке (9)"/>
    <w:basedOn w:val="a"/>
    <w:link w:val="93"/>
    <w:uiPriority w:val="99"/>
    <w:rsid w:val="00A25AD1"/>
    <w:pPr>
      <w:shd w:val="clear" w:color="auto" w:fill="FFFFFF"/>
      <w:spacing w:after="0" w:line="221" w:lineRule="exact"/>
      <w:jc w:val="both"/>
    </w:pPr>
    <w:rPr>
      <w:rFonts w:ascii="Arial Narrow" w:eastAsia="Arial Narrow" w:hAnsi="Arial Narrow" w:cs="Arial Narrow"/>
      <w:sz w:val="17"/>
      <w:szCs w:val="17"/>
      <w:lang w:eastAsia="ru-RU"/>
    </w:rPr>
  </w:style>
  <w:style w:type="character" w:customStyle="1" w:styleId="95">
    <w:name w:val="Основной текст + Курсив9"/>
    <w:uiPriority w:val="99"/>
    <w:rsid w:val="00A25AD1"/>
    <w:rPr>
      <w:rFonts w:ascii="Arial Narrow" w:hAnsi="Arial Narrow" w:cs="Arial Narrow"/>
      <w:i/>
      <w:iCs/>
      <w:spacing w:val="0"/>
      <w:sz w:val="17"/>
      <w:szCs w:val="17"/>
    </w:rPr>
  </w:style>
  <w:style w:type="character" w:customStyle="1" w:styleId="61pt">
    <w:name w:val="Основной текст (6) + Интервал 1 pt"/>
    <w:rsid w:val="00A25AD1"/>
    <w:rPr>
      <w:rFonts w:ascii="Arial Narrow" w:eastAsia="Microsoft Sans Serif" w:hAnsi="Arial Narrow" w:cs="Arial Narrow"/>
      <w:i/>
      <w:iCs/>
      <w:spacing w:val="30"/>
      <w:sz w:val="17"/>
      <w:szCs w:val="17"/>
      <w:shd w:val="clear" w:color="auto" w:fill="FFFFFF"/>
      <w:lang w:eastAsia="ru-RU"/>
    </w:rPr>
  </w:style>
  <w:style w:type="character" w:customStyle="1" w:styleId="153">
    <w:name w:val="Основной текст (15)_"/>
    <w:link w:val="154"/>
    <w:uiPriority w:val="99"/>
    <w:rsid w:val="00A25AD1"/>
    <w:rPr>
      <w:rFonts w:ascii="Franklin Gothic Heavy" w:eastAsia="Franklin Gothic Heavy" w:hAnsi="Franklin Gothic Heavy" w:cs="Franklin Gothic Heavy"/>
      <w:sz w:val="33"/>
      <w:szCs w:val="33"/>
      <w:shd w:val="clear" w:color="auto" w:fill="FFFFFF"/>
    </w:rPr>
  </w:style>
  <w:style w:type="paragraph" w:customStyle="1" w:styleId="154">
    <w:name w:val="Основной текст (15)"/>
    <w:basedOn w:val="a"/>
    <w:link w:val="153"/>
    <w:uiPriority w:val="99"/>
    <w:rsid w:val="00A25AD1"/>
    <w:pPr>
      <w:shd w:val="clear" w:color="auto" w:fill="FFFFFF"/>
      <w:spacing w:after="0" w:line="432" w:lineRule="exact"/>
      <w:jc w:val="both"/>
    </w:pPr>
    <w:rPr>
      <w:rFonts w:ascii="Franklin Gothic Heavy" w:eastAsia="Franklin Gothic Heavy" w:hAnsi="Franklin Gothic Heavy" w:cs="Franklin Gothic Heavy"/>
      <w:sz w:val="33"/>
      <w:szCs w:val="33"/>
      <w:lang w:eastAsia="ru-RU"/>
    </w:rPr>
  </w:style>
  <w:style w:type="character" w:customStyle="1" w:styleId="711">
    <w:name w:val="Основной текст + 71"/>
    <w:aliases w:val="5 pt1,Малые прописные"/>
    <w:uiPriority w:val="99"/>
    <w:rsid w:val="00A25AD1"/>
    <w:rPr>
      <w:rFonts w:ascii="Arial Narrow" w:hAnsi="Arial Narrow" w:cs="Arial Narrow"/>
      <w:smallCaps/>
      <w:spacing w:val="0"/>
      <w:sz w:val="15"/>
      <w:szCs w:val="15"/>
    </w:rPr>
  </w:style>
  <w:style w:type="character" w:customStyle="1" w:styleId="4e">
    <w:name w:val="Основной текст + Курсив4"/>
    <w:uiPriority w:val="99"/>
    <w:rsid w:val="00A25AD1"/>
    <w:rPr>
      <w:rFonts w:ascii="Arial Narrow" w:hAnsi="Arial Narrow" w:cs="Arial Narrow"/>
      <w:i/>
      <w:iCs/>
      <w:spacing w:val="0"/>
      <w:sz w:val="17"/>
      <w:szCs w:val="17"/>
    </w:rPr>
  </w:style>
  <w:style w:type="character" w:customStyle="1" w:styleId="610">
    <w:name w:val="Основной текст (6) + Не курсив1"/>
    <w:uiPriority w:val="99"/>
    <w:rsid w:val="00A25AD1"/>
    <w:rPr>
      <w:rFonts w:ascii="Arial Narrow" w:eastAsia="Microsoft Sans Serif" w:hAnsi="Arial Narrow" w:cs="Arial Narrow"/>
      <w:i/>
      <w:iCs/>
      <w:spacing w:val="0"/>
      <w:sz w:val="17"/>
      <w:szCs w:val="17"/>
      <w:shd w:val="clear" w:color="auto" w:fill="FFFFFF"/>
      <w:lang w:eastAsia="ru-RU"/>
    </w:rPr>
  </w:style>
  <w:style w:type="paragraph" w:customStyle="1" w:styleId="b-content-content-text-p2">
    <w:name w:val="b-content-content-text-p2"/>
    <w:basedOn w:val="a"/>
    <w:rsid w:val="00A25AD1"/>
    <w:pPr>
      <w:spacing w:after="150" w:line="360" w:lineRule="atLeast"/>
    </w:pPr>
    <w:rPr>
      <w:rFonts w:ascii="Times New Roman" w:eastAsia="Times New Roman" w:hAnsi="Times New Roman"/>
      <w:color w:val="4D4D4D"/>
      <w:sz w:val="18"/>
      <w:szCs w:val="18"/>
      <w:lang w:eastAsia="ru-RU"/>
    </w:rPr>
  </w:style>
  <w:style w:type="paragraph" w:customStyle="1" w:styleId="b">
    <w:name w:val="b"/>
    <w:basedOn w:val="a"/>
    <w:rsid w:val="00A25AD1"/>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
    <w:name w:val="ri"/>
    <w:basedOn w:val="a"/>
    <w:rsid w:val="00A25AD1"/>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ostmetadata">
    <w:name w:val="postmetadata"/>
    <w:basedOn w:val="a"/>
    <w:rsid w:val="00A25AD1"/>
    <w:pPr>
      <w:spacing w:after="0" w:line="240" w:lineRule="auto"/>
    </w:pPr>
    <w:rPr>
      <w:rFonts w:ascii="Times New Roman" w:eastAsia="Times New Roman" w:hAnsi="Times New Roman"/>
      <w:color w:val="999999"/>
      <w:sz w:val="17"/>
      <w:szCs w:val="17"/>
      <w:lang w:eastAsia="ru-RU"/>
    </w:rPr>
  </w:style>
  <w:style w:type="character" w:customStyle="1" w:styleId="FranklinGothicMedium85pt">
    <w:name w:val="Оглавление + Franklin Gothic Medium;8;5 pt;Полужирный"/>
    <w:rsid w:val="00A25AD1"/>
    <w:rPr>
      <w:rFonts w:ascii="Franklin Gothic Medium" w:eastAsia="Franklin Gothic Medium" w:hAnsi="Franklin Gothic Medium" w:cs="Franklin Gothic Medium"/>
      <w:b/>
      <w:bCs/>
      <w:i w:val="0"/>
      <w:iCs w:val="0"/>
      <w:smallCaps w:val="0"/>
      <w:strike w:val="0"/>
      <w:spacing w:val="0"/>
      <w:sz w:val="17"/>
      <w:szCs w:val="17"/>
      <w:shd w:val="clear" w:color="auto" w:fill="FFFFFF"/>
    </w:rPr>
  </w:style>
  <w:style w:type="character" w:customStyle="1" w:styleId="20pt">
    <w:name w:val="Основной текст (2) + Интервал 0 pt"/>
    <w:rsid w:val="00A25AD1"/>
    <w:rPr>
      <w:rFonts w:ascii="Microsoft Sans Serif" w:eastAsia="Microsoft Sans Serif" w:hAnsi="Microsoft Sans Serif" w:cs="Microsoft Sans Serif"/>
      <w:b w:val="0"/>
      <w:bCs w:val="0"/>
      <w:i w:val="0"/>
      <w:iCs w:val="0"/>
      <w:smallCaps w:val="0"/>
      <w:strike w:val="0"/>
      <w:spacing w:val="0"/>
      <w:sz w:val="19"/>
      <w:szCs w:val="19"/>
    </w:rPr>
  </w:style>
  <w:style w:type="character" w:customStyle="1" w:styleId="MicrosoftSansSerif115pt">
    <w:name w:val="Колонтитул + Microsoft Sans Serif;11;5 pt;Полужирный"/>
    <w:rsid w:val="00A25AD1"/>
    <w:rPr>
      <w:rFonts w:ascii="Microsoft Sans Serif" w:eastAsia="Microsoft Sans Serif" w:hAnsi="Microsoft Sans Serif" w:cs="Microsoft Sans Serif"/>
      <w:b/>
      <w:bCs/>
      <w:i w:val="0"/>
      <w:iCs w:val="0"/>
      <w:smallCaps w:val="0"/>
      <w:strike w:val="0"/>
      <w:spacing w:val="0"/>
      <w:sz w:val="23"/>
      <w:szCs w:val="23"/>
      <w:shd w:val="clear" w:color="auto" w:fill="FFFFFF"/>
    </w:rPr>
  </w:style>
  <w:style w:type="character" w:customStyle="1" w:styleId="MicrosoftSansSerif75pt">
    <w:name w:val="Колонтитул + Microsoft Sans Serif;7;5 pt;Полужирный"/>
    <w:rsid w:val="00A25AD1"/>
    <w:rPr>
      <w:rFonts w:ascii="Microsoft Sans Serif" w:eastAsia="Microsoft Sans Serif" w:hAnsi="Microsoft Sans Serif" w:cs="Microsoft Sans Serif"/>
      <w:b/>
      <w:bCs/>
      <w:i w:val="0"/>
      <w:iCs w:val="0"/>
      <w:smallCaps w:val="0"/>
      <w:strike w:val="0"/>
      <w:spacing w:val="0"/>
      <w:sz w:val="15"/>
      <w:szCs w:val="15"/>
      <w:shd w:val="clear" w:color="auto" w:fill="FFFFFF"/>
    </w:rPr>
  </w:style>
  <w:style w:type="character" w:customStyle="1" w:styleId="MicrosoftSansSerif5pt">
    <w:name w:val="Колонтитул + Microsoft Sans Serif;5 pt;Курсив"/>
    <w:rsid w:val="00A25AD1"/>
    <w:rPr>
      <w:rFonts w:ascii="Microsoft Sans Serif" w:eastAsia="Microsoft Sans Serif" w:hAnsi="Microsoft Sans Serif" w:cs="Microsoft Sans Serif"/>
      <w:b w:val="0"/>
      <w:bCs w:val="0"/>
      <w:i/>
      <w:iCs/>
      <w:smallCaps w:val="0"/>
      <w:strike w:val="0"/>
      <w:spacing w:val="0"/>
      <w:sz w:val="10"/>
      <w:szCs w:val="10"/>
      <w:shd w:val="clear" w:color="auto" w:fill="FFFFFF"/>
    </w:rPr>
  </w:style>
  <w:style w:type="character" w:customStyle="1" w:styleId="40pt">
    <w:name w:val="Заголовок №4 + Интервал 0 pt"/>
    <w:rsid w:val="00A25AD1"/>
    <w:rPr>
      <w:rFonts w:ascii="Arial" w:eastAsia="Times New Roman" w:hAnsi="Arial" w:cs="Times New Roman"/>
      <w:spacing w:val="0"/>
      <w:sz w:val="85"/>
      <w:szCs w:val="20"/>
      <w:shd w:val="clear" w:color="auto" w:fill="FFFFFF"/>
      <w:lang w:eastAsia="ru-RU"/>
    </w:rPr>
  </w:style>
  <w:style w:type="character" w:customStyle="1" w:styleId="2f4">
    <w:name w:val="Заголовок №2_"/>
    <w:uiPriority w:val="99"/>
    <w:rsid w:val="00A25AD1"/>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8-1pt">
    <w:name w:val="Основной текст (8) + Интервал -1 pt"/>
    <w:rsid w:val="00A25AD1"/>
    <w:rPr>
      <w:rFonts w:ascii="Arial Narrow" w:eastAsia="Arial Narrow" w:hAnsi="Arial Narrow" w:cs="Arial Narrow"/>
      <w:b w:val="0"/>
      <w:bCs w:val="0"/>
      <w:i w:val="0"/>
      <w:iCs w:val="0"/>
      <w:smallCaps w:val="0"/>
      <w:strike w:val="0"/>
      <w:spacing w:val="-20"/>
      <w:sz w:val="17"/>
      <w:szCs w:val="17"/>
      <w:shd w:val="clear" w:color="auto" w:fill="FFFFFF"/>
      <w:lang w:val="en-US"/>
    </w:rPr>
  </w:style>
  <w:style w:type="character" w:customStyle="1" w:styleId="ArialNarrow3">
    <w:name w:val="Колонтитул + Arial Narrow3"/>
    <w:aliases w:val="8 pt2,Полужирный8"/>
    <w:uiPriority w:val="99"/>
    <w:rsid w:val="00A25AD1"/>
    <w:rPr>
      <w:rFonts w:ascii="Arial Narrow" w:eastAsia="Times New Roman" w:hAnsi="Arial Narrow" w:cs="Arial Narrow"/>
      <w:b/>
      <w:bCs/>
      <w:spacing w:val="0"/>
      <w:w w:val="100"/>
      <w:sz w:val="16"/>
      <w:szCs w:val="16"/>
      <w:shd w:val="clear" w:color="auto" w:fill="FFFFFF"/>
    </w:rPr>
  </w:style>
  <w:style w:type="character" w:customStyle="1" w:styleId="ArialNarrow2">
    <w:name w:val="Колонтитул + Arial Narrow2"/>
    <w:aliases w:val="9 pt,Полужирный7"/>
    <w:uiPriority w:val="99"/>
    <w:rsid w:val="00A25AD1"/>
    <w:rPr>
      <w:rFonts w:ascii="Arial Narrow" w:eastAsia="Times New Roman" w:hAnsi="Arial Narrow" w:cs="Arial Narrow"/>
      <w:b/>
      <w:bCs/>
      <w:spacing w:val="0"/>
      <w:w w:val="100"/>
      <w:sz w:val="18"/>
      <w:szCs w:val="18"/>
      <w:shd w:val="clear" w:color="auto" w:fill="FFFFFF"/>
    </w:rPr>
  </w:style>
  <w:style w:type="character" w:customStyle="1" w:styleId="ArialNarrow">
    <w:name w:val="Колонтитул + Arial Narrow"/>
    <w:aliases w:val="8 pt,Полужирный"/>
    <w:uiPriority w:val="99"/>
    <w:rsid w:val="00A25AD1"/>
    <w:rPr>
      <w:rFonts w:ascii="Arial Narrow" w:eastAsia="Times New Roman" w:hAnsi="Arial Narrow" w:cs="Arial Narrow"/>
      <w:b/>
      <w:bCs/>
      <w:spacing w:val="0"/>
      <w:w w:val="100"/>
      <w:sz w:val="16"/>
      <w:szCs w:val="16"/>
      <w:u w:val="single"/>
      <w:shd w:val="clear" w:color="auto" w:fill="FFFFFF"/>
    </w:rPr>
  </w:style>
  <w:style w:type="character" w:customStyle="1" w:styleId="630">
    <w:name w:val="Основной текст (6) + Не курсив3"/>
    <w:uiPriority w:val="99"/>
    <w:rsid w:val="00A25AD1"/>
    <w:rPr>
      <w:rFonts w:ascii="Arial Narrow" w:eastAsia="Microsoft Sans Serif" w:hAnsi="Arial Narrow" w:cs="Arial Narrow"/>
      <w:i/>
      <w:iCs/>
      <w:spacing w:val="0"/>
      <w:sz w:val="17"/>
      <w:szCs w:val="17"/>
      <w:shd w:val="clear" w:color="auto" w:fill="FFFFFF"/>
      <w:lang w:eastAsia="ru-RU"/>
    </w:rPr>
  </w:style>
  <w:style w:type="character" w:customStyle="1" w:styleId="84">
    <w:name w:val="Основной текст + Курсив8"/>
    <w:uiPriority w:val="99"/>
    <w:rsid w:val="00A25AD1"/>
    <w:rPr>
      <w:rFonts w:ascii="Arial Narrow" w:hAnsi="Arial Narrow" w:cs="Arial Narrow"/>
      <w:i/>
      <w:iCs/>
      <w:spacing w:val="0"/>
      <w:sz w:val="17"/>
      <w:szCs w:val="17"/>
    </w:rPr>
  </w:style>
  <w:style w:type="character" w:customStyle="1" w:styleId="12-2pt">
    <w:name w:val="Основной текст (12) + Интервал -2 pt"/>
    <w:uiPriority w:val="99"/>
    <w:rsid w:val="00A25AD1"/>
    <w:rPr>
      <w:rFonts w:ascii="Arial Narrow" w:hAnsi="Arial Narrow" w:cs="Arial Narrow"/>
      <w:b/>
      <w:bCs/>
      <w:spacing w:val="-50"/>
      <w:sz w:val="70"/>
      <w:szCs w:val="70"/>
      <w:shd w:val="clear" w:color="auto" w:fill="FFFFFF"/>
    </w:rPr>
  </w:style>
  <w:style w:type="character" w:customStyle="1" w:styleId="12-3pt">
    <w:name w:val="Основной текст (12) + Интервал -3 pt"/>
    <w:uiPriority w:val="99"/>
    <w:rsid w:val="00A25AD1"/>
    <w:rPr>
      <w:rFonts w:ascii="Arial Narrow" w:hAnsi="Arial Narrow" w:cs="Arial Narrow"/>
      <w:b/>
      <w:bCs/>
      <w:spacing w:val="-70"/>
      <w:sz w:val="70"/>
      <w:szCs w:val="70"/>
      <w:shd w:val="clear" w:color="auto" w:fill="FFFFFF"/>
    </w:rPr>
  </w:style>
  <w:style w:type="character" w:customStyle="1" w:styleId="12Garamond">
    <w:name w:val="Основной текст (12) + Garamond"/>
    <w:aliases w:val="40,5 pt4,Не полужирный1,Курсив1,Интервал -4 pt"/>
    <w:rsid w:val="00A25AD1"/>
    <w:rPr>
      <w:rFonts w:ascii="Garamond" w:hAnsi="Garamond" w:cs="Garamond"/>
      <w:b/>
      <w:bCs/>
      <w:i/>
      <w:iCs/>
      <w:spacing w:val="-80"/>
      <w:sz w:val="81"/>
      <w:szCs w:val="81"/>
      <w:shd w:val="clear" w:color="auto" w:fill="FFFFFF"/>
    </w:rPr>
  </w:style>
  <w:style w:type="character" w:customStyle="1" w:styleId="Garamond0">
    <w:name w:val="Основной текст + Garamond"/>
    <w:aliases w:val="11 pt,Полужирный3,Интервал 0 pt2,Основной текст (8) + 8 pt3,Основной текст + 10 pt1,Колонтитул + Microsoft Sans Serif3"/>
    <w:uiPriority w:val="99"/>
    <w:rsid w:val="00A25AD1"/>
    <w:rPr>
      <w:rFonts w:ascii="Garamond" w:hAnsi="Garamond" w:cs="Garamond"/>
      <w:b/>
      <w:bCs/>
      <w:spacing w:val="-10"/>
      <w:sz w:val="22"/>
      <w:szCs w:val="22"/>
    </w:rPr>
  </w:style>
  <w:style w:type="character" w:customStyle="1" w:styleId="721">
    <w:name w:val="Основной текст + 72"/>
    <w:aliases w:val="5 pt2,Полужирный2,Колонтитул + 9 pt1,Основной текст + 8 pt1,Колонтитул + Microsoft Sans Serif2,Основной текст + 11 pt1,Основной текст + 4,5 pt6,Основной текст (14) + 7,Не полужирный2,Основной текст + 101,Малые прописные3"/>
    <w:uiPriority w:val="99"/>
    <w:rsid w:val="00A25AD1"/>
    <w:rPr>
      <w:rFonts w:ascii="Arial Narrow" w:hAnsi="Arial Narrow" w:cs="Arial Narrow"/>
      <w:b/>
      <w:bCs/>
      <w:spacing w:val="0"/>
      <w:sz w:val="15"/>
      <w:szCs w:val="15"/>
    </w:rPr>
  </w:style>
  <w:style w:type="character" w:customStyle="1" w:styleId="621">
    <w:name w:val="Основной текст (6) + Не курсив2"/>
    <w:uiPriority w:val="99"/>
    <w:rsid w:val="00A25AD1"/>
    <w:rPr>
      <w:rFonts w:ascii="Arial Narrow" w:eastAsia="Microsoft Sans Serif" w:hAnsi="Arial Narrow" w:cs="Arial Narrow"/>
      <w:i/>
      <w:iCs/>
      <w:spacing w:val="0"/>
      <w:sz w:val="17"/>
      <w:szCs w:val="17"/>
      <w:shd w:val="clear" w:color="auto" w:fill="FFFFFF"/>
      <w:lang w:eastAsia="ru-RU"/>
    </w:rPr>
  </w:style>
  <w:style w:type="character" w:customStyle="1" w:styleId="5f0">
    <w:name w:val="Основной текст + Курсив5"/>
    <w:uiPriority w:val="99"/>
    <w:rsid w:val="00A25AD1"/>
    <w:rPr>
      <w:rFonts w:ascii="Arial Narrow" w:hAnsi="Arial Narrow" w:cs="Arial Narrow"/>
      <w:i/>
      <w:iCs/>
      <w:spacing w:val="0"/>
      <w:sz w:val="17"/>
      <w:szCs w:val="17"/>
    </w:rPr>
  </w:style>
  <w:style w:type="character" w:customStyle="1" w:styleId="A30">
    <w:name w:val="A3"/>
    <w:uiPriority w:val="99"/>
    <w:rsid w:val="00A25AD1"/>
    <w:rPr>
      <w:rFonts w:cs="Palatino Linotype"/>
      <w:i/>
      <w:iCs/>
      <w:color w:val="000000"/>
      <w:sz w:val="19"/>
      <w:szCs w:val="19"/>
    </w:rPr>
  </w:style>
  <w:style w:type="paragraph" w:customStyle="1" w:styleId="Pa1">
    <w:name w:val="Pa1"/>
    <w:basedOn w:val="Default"/>
    <w:next w:val="Default"/>
    <w:uiPriority w:val="99"/>
    <w:rsid w:val="00A25AD1"/>
    <w:pPr>
      <w:spacing w:line="181" w:lineRule="atLeast"/>
    </w:pPr>
    <w:rPr>
      <w:rFonts w:ascii="Palatino Linotype" w:hAnsi="Palatino Linotype"/>
      <w:color w:val="auto"/>
    </w:rPr>
  </w:style>
  <w:style w:type="paragraph" w:customStyle="1" w:styleId="Pa3">
    <w:name w:val="Pa3"/>
    <w:basedOn w:val="Default"/>
    <w:next w:val="Default"/>
    <w:uiPriority w:val="99"/>
    <w:rsid w:val="00A25AD1"/>
    <w:pPr>
      <w:spacing w:line="181" w:lineRule="atLeast"/>
    </w:pPr>
    <w:rPr>
      <w:rFonts w:ascii="Palatino Linotype" w:hAnsi="Palatino Linotype"/>
      <w:color w:val="auto"/>
    </w:rPr>
  </w:style>
  <w:style w:type="character" w:customStyle="1" w:styleId="A40">
    <w:name w:val="A4"/>
    <w:uiPriority w:val="99"/>
    <w:rsid w:val="00A25AD1"/>
    <w:rPr>
      <w:rFonts w:cs="Palatino Linotype"/>
      <w:color w:val="000000"/>
      <w:sz w:val="19"/>
      <w:szCs w:val="19"/>
    </w:rPr>
  </w:style>
  <w:style w:type="character" w:customStyle="1" w:styleId="11c">
    <w:name w:val="Основной текст (11) + Не курсив"/>
    <w:rsid w:val="00A25AD1"/>
    <w:rPr>
      <w:rFonts w:ascii="Times New Roman" w:eastAsia="Times New Roman" w:hAnsi="Times New Roman" w:cs="Times New Roman"/>
      <w:b w:val="0"/>
      <w:bCs w:val="0"/>
      <w:i/>
      <w:iCs/>
      <w:smallCaps w:val="0"/>
      <w:strike w:val="0"/>
      <w:spacing w:val="0"/>
      <w:sz w:val="17"/>
      <w:szCs w:val="17"/>
    </w:rPr>
  </w:style>
  <w:style w:type="character" w:customStyle="1" w:styleId="119pt">
    <w:name w:val="Основной текст (11) + 9 pt;Полужирный"/>
    <w:rsid w:val="00A25AD1"/>
    <w:rPr>
      <w:rFonts w:ascii="Times New Roman" w:eastAsia="Times New Roman" w:hAnsi="Times New Roman" w:cs="Times New Roman"/>
      <w:b/>
      <w:bCs/>
      <w:i w:val="0"/>
      <w:iCs w:val="0"/>
      <w:smallCaps w:val="0"/>
      <w:strike w:val="0"/>
      <w:spacing w:val="0"/>
      <w:sz w:val="18"/>
      <w:szCs w:val="18"/>
    </w:rPr>
  </w:style>
  <w:style w:type="character" w:customStyle="1" w:styleId="highlight">
    <w:name w:val="highlight"/>
    <w:rsid w:val="00951261"/>
  </w:style>
  <w:style w:type="paragraph" w:customStyle="1" w:styleId="style2">
    <w:name w:val="style2"/>
    <w:basedOn w:val="a"/>
    <w:rsid w:val="00521CFA"/>
    <w:pPr>
      <w:spacing w:after="288" w:line="240" w:lineRule="auto"/>
    </w:pPr>
    <w:rPr>
      <w:rFonts w:ascii="Times New Roman" w:eastAsia="Times New Roman" w:hAnsi="Times New Roman"/>
      <w:sz w:val="24"/>
      <w:szCs w:val="24"/>
      <w:lang w:eastAsia="ru-RU"/>
    </w:rPr>
  </w:style>
  <w:style w:type="character" w:customStyle="1" w:styleId="Bodytext">
    <w:name w:val="Body text_"/>
    <w:link w:val="622"/>
    <w:uiPriority w:val="99"/>
    <w:rsid w:val="00905A66"/>
    <w:rPr>
      <w:rFonts w:ascii="Times New Roman" w:eastAsia="Times New Roman" w:hAnsi="Times New Roman"/>
      <w:shd w:val="clear" w:color="auto" w:fill="FFFFFF"/>
    </w:rPr>
  </w:style>
  <w:style w:type="paragraph" w:customStyle="1" w:styleId="622">
    <w:name w:val="Основной текст62"/>
    <w:basedOn w:val="a"/>
    <w:link w:val="Bodytext"/>
    <w:rsid w:val="00905A66"/>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3">
    <w:name w:val="Heading #3"/>
    <w:rsid w:val="00905A66"/>
    <w:rPr>
      <w:rFonts w:ascii="Times New Roman" w:eastAsia="Times New Roman" w:hAnsi="Times New Roman" w:cs="Times New Roman"/>
      <w:b w:val="0"/>
      <w:bCs w:val="0"/>
      <w:i w:val="0"/>
      <w:iCs w:val="0"/>
      <w:smallCaps w:val="0"/>
      <w:strike w:val="0"/>
      <w:spacing w:val="0"/>
      <w:sz w:val="23"/>
      <w:szCs w:val="23"/>
    </w:rPr>
  </w:style>
  <w:style w:type="character" w:customStyle="1" w:styleId="Bodytext9">
    <w:name w:val="Body text (9)"/>
    <w:rsid w:val="00905A66"/>
    <w:rPr>
      <w:rFonts w:ascii="Times New Roman" w:eastAsia="Times New Roman" w:hAnsi="Times New Roman" w:cs="Times New Roman"/>
      <w:b w:val="0"/>
      <w:bCs w:val="0"/>
      <w:i w:val="0"/>
      <w:iCs w:val="0"/>
      <w:smallCaps w:val="0"/>
      <w:strike w:val="0"/>
      <w:spacing w:val="0"/>
      <w:sz w:val="20"/>
      <w:szCs w:val="20"/>
    </w:rPr>
  </w:style>
  <w:style w:type="character" w:customStyle="1" w:styleId="Heading22">
    <w:name w:val="Heading #2 (2)"/>
    <w:rsid w:val="00905A66"/>
    <w:rPr>
      <w:rFonts w:ascii="Times New Roman" w:eastAsia="Times New Roman" w:hAnsi="Times New Roman" w:cs="Times New Roman"/>
      <w:b w:val="0"/>
      <w:bCs w:val="0"/>
      <w:i w:val="0"/>
      <w:iCs w:val="0"/>
      <w:smallCaps w:val="0"/>
      <w:strike w:val="0"/>
      <w:spacing w:val="0"/>
      <w:sz w:val="23"/>
      <w:szCs w:val="23"/>
    </w:rPr>
  </w:style>
  <w:style w:type="character" w:customStyle="1" w:styleId="4f">
    <w:name w:val="Основной текст (4) + Полужирный"/>
    <w:rsid w:val="004075DF"/>
    <w:rPr>
      <w:rFonts w:ascii="Times New Roman" w:eastAsia="Gungsuh" w:hAnsi="Times New Roman" w:cs="Times New Roman"/>
      <w:b/>
      <w:bCs/>
      <w:sz w:val="18"/>
      <w:szCs w:val="18"/>
      <w:shd w:val="clear" w:color="auto" w:fill="FFFFFF"/>
      <w:lang w:eastAsia="en-US"/>
    </w:rPr>
  </w:style>
  <w:style w:type="character" w:customStyle="1" w:styleId="0pt1">
    <w:name w:val="Основной текст + Полужирный;Интервал 0 pt"/>
    <w:rsid w:val="004075DF"/>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40pt0">
    <w:name w:val="Основной текст (4) + Полужирный;Не курсив;Интервал 0 pt"/>
    <w:rsid w:val="004075DF"/>
    <w:rPr>
      <w:rFonts w:ascii="Arial Narrow" w:eastAsia="Arial Narrow" w:hAnsi="Arial Narrow" w:cs="Arial Narrow"/>
      <w:b/>
      <w:bCs/>
      <w:i/>
      <w:iCs/>
      <w:smallCaps w:val="0"/>
      <w:strike w:val="0"/>
      <w:spacing w:val="-10"/>
      <w:sz w:val="18"/>
      <w:szCs w:val="18"/>
      <w:shd w:val="clear" w:color="auto" w:fill="FFFFFF"/>
      <w:lang w:eastAsia="en-US"/>
    </w:rPr>
  </w:style>
  <w:style w:type="character" w:customStyle="1" w:styleId="8pt0pt">
    <w:name w:val="Основной текст + 8 pt;Полужирный;Интервал 0 pt"/>
    <w:rsid w:val="00EA5A39"/>
    <w:rPr>
      <w:rFonts w:ascii="Arial" w:eastAsia="Arial" w:hAnsi="Arial" w:cs="Arial"/>
      <w:b/>
      <w:bCs/>
      <w:i w:val="0"/>
      <w:iCs w:val="0"/>
      <w:smallCaps w:val="0"/>
      <w:strike w:val="0"/>
      <w:spacing w:val="-10"/>
      <w:sz w:val="16"/>
      <w:szCs w:val="16"/>
      <w:shd w:val="clear" w:color="auto" w:fill="FFFFFF"/>
    </w:rPr>
  </w:style>
  <w:style w:type="paragraph" w:customStyle="1" w:styleId="book">
    <w:name w:val="book"/>
    <w:basedOn w:val="a"/>
    <w:rsid w:val="00A22B88"/>
    <w:pPr>
      <w:spacing w:after="0" w:line="240" w:lineRule="auto"/>
      <w:ind w:firstLine="300"/>
    </w:pPr>
    <w:rPr>
      <w:rFonts w:ascii="Times New Roman" w:eastAsia="Times New Roman" w:hAnsi="Times New Roman"/>
      <w:sz w:val="24"/>
      <w:szCs w:val="24"/>
      <w:lang w:eastAsia="ru-RU"/>
    </w:rPr>
  </w:style>
  <w:style w:type="character" w:customStyle="1" w:styleId="5f1">
    <w:name w:val="Основной текст + Полужирный5"/>
    <w:aliases w:val="Интервал 0 pt7,Основной текст (15) + Не курсив2,Основной текст (5) + Полужирный1"/>
    <w:uiPriority w:val="99"/>
    <w:rsid w:val="001C296F"/>
    <w:rPr>
      <w:rFonts w:ascii="Times New Roman" w:hAnsi="Times New Roman" w:cs="Times New Roman"/>
      <w:b/>
      <w:bCs/>
      <w:spacing w:val="-10"/>
      <w:sz w:val="21"/>
      <w:szCs w:val="21"/>
    </w:rPr>
  </w:style>
  <w:style w:type="character" w:customStyle="1" w:styleId="Tahoma8pt-1pt">
    <w:name w:val="Основной текст + Tahoma;8 pt;Полужирный;Интервал -1 pt"/>
    <w:rsid w:val="00990A0D"/>
    <w:rPr>
      <w:rFonts w:ascii="Tahoma" w:eastAsia="Tahoma" w:hAnsi="Tahoma" w:cs="Tahoma"/>
      <w:b/>
      <w:bCs/>
      <w:i w:val="0"/>
      <w:iCs w:val="0"/>
      <w:smallCaps w:val="0"/>
      <w:strike w:val="0"/>
      <w:spacing w:val="-20"/>
      <w:sz w:val="16"/>
      <w:szCs w:val="16"/>
      <w:shd w:val="clear" w:color="auto" w:fill="FFFFFF"/>
    </w:rPr>
  </w:style>
  <w:style w:type="character" w:customStyle="1" w:styleId="144">
    <w:name w:val="Основной текст (14)_"/>
    <w:link w:val="145"/>
    <w:uiPriority w:val="99"/>
    <w:rsid w:val="00152A61"/>
    <w:rPr>
      <w:rFonts w:ascii="Arial Narrow" w:hAnsi="Arial Narrow" w:cs="Arial Narrow"/>
      <w:b/>
      <w:bCs/>
      <w:sz w:val="16"/>
      <w:szCs w:val="16"/>
      <w:shd w:val="clear" w:color="auto" w:fill="FFFFFF"/>
    </w:rPr>
  </w:style>
  <w:style w:type="paragraph" w:customStyle="1" w:styleId="145">
    <w:name w:val="Основной текст (14)"/>
    <w:basedOn w:val="a"/>
    <w:link w:val="144"/>
    <w:uiPriority w:val="99"/>
    <w:rsid w:val="00152A61"/>
    <w:pPr>
      <w:shd w:val="clear" w:color="auto" w:fill="FFFFFF"/>
      <w:spacing w:after="0" w:line="240" w:lineRule="atLeast"/>
    </w:pPr>
    <w:rPr>
      <w:rFonts w:ascii="Arial Narrow" w:hAnsi="Arial Narrow" w:cs="Arial Narrow"/>
      <w:b/>
      <w:bCs/>
      <w:sz w:val="16"/>
      <w:szCs w:val="16"/>
      <w:lang w:eastAsia="ru-RU"/>
    </w:rPr>
  </w:style>
  <w:style w:type="character" w:customStyle="1" w:styleId="1041">
    <w:name w:val="Основной текст (10) + Не курсив4"/>
    <w:uiPriority w:val="99"/>
    <w:rsid w:val="00152A61"/>
    <w:rPr>
      <w:rFonts w:ascii="Arial Narrow" w:eastAsia="Times New Roman" w:hAnsi="Arial Narrow" w:cs="Arial Narrow"/>
      <w:b w:val="0"/>
      <w:bCs w:val="0"/>
      <w:i w:val="0"/>
      <w:iCs w:val="0"/>
      <w:smallCaps w:val="0"/>
      <w:strike w:val="0"/>
      <w:noProof/>
      <w:spacing w:val="0"/>
      <w:sz w:val="18"/>
      <w:szCs w:val="18"/>
      <w:shd w:val="clear" w:color="auto" w:fill="FFFFFF"/>
      <w:lang w:val="en-US" w:eastAsia="en-US"/>
    </w:rPr>
  </w:style>
  <w:style w:type="character" w:customStyle="1" w:styleId="1011">
    <w:name w:val="Основной текст (10) + Полужирный1"/>
    <w:uiPriority w:val="99"/>
    <w:rsid w:val="00152A61"/>
    <w:rPr>
      <w:rFonts w:ascii="Arial Narrow" w:eastAsia="Times New Roman" w:hAnsi="Arial Narrow" w:cs="Arial Narrow"/>
      <w:b/>
      <w:bCs/>
      <w:i/>
      <w:iCs/>
      <w:smallCaps w:val="0"/>
      <w:strike w:val="0"/>
      <w:noProof/>
      <w:spacing w:val="0"/>
      <w:sz w:val="18"/>
      <w:szCs w:val="18"/>
      <w:shd w:val="clear" w:color="auto" w:fill="FFFFFF"/>
      <w:lang w:val="en-US" w:eastAsia="en-US"/>
    </w:rPr>
  </w:style>
  <w:style w:type="character" w:customStyle="1" w:styleId="670">
    <w:name w:val="Основной текст (67)_"/>
    <w:link w:val="671"/>
    <w:rsid w:val="00152A61"/>
    <w:rPr>
      <w:rFonts w:ascii="Arial" w:hAnsi="Arial" w:cs="Arial"/>
      <w:b/>
      <w:bCs/>
      <w:spacing w:val="-20"/>
      <w:sz w:val="17"/>
      <w:szCs w:val="17"/>
      <w:shd w:val="clear" w:color="auto" w:fill="FFFFFF"/>
    </w:rPr>
  </w:style>
  <w:style w:type="character" w:customStyle="1" w:styleId="690">
    <w:name w:val="Основной текст (69)_"/>
    <w:link w:val="691"/>
    <w:uiPriority w:val="99"/>
    <w:rsid w:val="00152A61"/>
    <w:rPr>
      <w:rFonts w:ascii="Arial Narrow" w:hAnsi="Arial Narrow" w:cs="Arial Narrow"/>
      <w:sz w:val="45"/>
      <w:szCs w:val="45"/>
      <w:shd w:val="clear" w:color="auto" w:fill="FFFFFF"/>
    </w:rPr>
  </w:style>
  <w:style w:type="character" w:customStyle="1" w:styleId="680">
    <w:name w:val="Основной текст (68)_"/>
    <w:link w:val="681"/>
    <w:rsid w:val="00152A61"/>
    <w:rPr>
      <w:rFonts w:ascii="Courier New" w:hAnsi="Courier New" w:cs="Courier New"/>
      <w:noProof/>
      <w:sz w:val="11"/>
      <w:szCs w:val="11"/>
      <w:shd w:val="clear" w:color="auto" w:fill="FFFFFF"/>
    </w:rPr>
  </w:style>
  <w:style w:type="paragraph" w:customStyle="1" w:styleId="671">
    <w:name w:val="Основной текст (67)"/>
    <w:basedOn w:val="a"/>
    <w:link w:val="670"/>
    <w:rsid w:val="00152A61"/>
    <w:pPr>
      <w:shd w:val="clear" w:color="auto" w:fill="FFFFFF"/>
      <w:spacing w:after="0" w:line="240" w:lineRule="atLeast"/>
    </w:pPr>
    <w:rPr>
      <w:rFonts w:ascii="Arial" w:hAnsi="Arial" w:cs="Arial"/>
      <w:b/>
      <w:bCs/>
      <w:spacing w:val="-20"/>
      <w:sz w:val="17"/>
      <w:szCs w:val="17"/>
      <w:lang w:eastAsia="ru-RU"/>
    </w:rPr>
  </w:style>
  <w:style w:type="paragraph" w:customStyle="1" w:styleId="691">
    <w:name w:val="Основной текст (69)"/>
    <w:basedOn w:val="a"/>
    <w:link w:val="690"/>
    <w:uiPriority w:val="99"/>
    <w:rsid w:val="00152A61"/>
    <w:pPr>
      <w:shd w:val="clear" w:color="auto" w:fill="FFFFFF"/>
      <w:spacing w:after="0" w:line="240" w:lineRule="atLeast"/>
    </w:pPr>
    <w:rPr>
      <w:rFonts w:ascii="Arial Narrow" w:hAnsi="Arial Narrow" w:cs="Arial Narrow"/>
      <w:sz w:val="45"/>
      <w:szCs w:val="45"/>
      <w:lang w:eastAsia="ru-RU"/>
    </w:rPr>
  </w:style>
  <w:style w:type="paragraph" w:customStyle="1" w:styleId="681">
    <w:name w:val="Основной текст (68)"/>
    <w:basedOn w:val="a"/>
    <w:link w:val="680"/>
    <w:rsid w:val="00152A61"/>
    <w:pPr>
      <w:shd w:val="clear" w:color="auto" w:fill="FFFFFF"/>
      <w:spacing w:after="0" w:line="240" w:lineRule="atLeast"/>
    </w:pPr>
    <w:rPr>
      <w:rFonts w:ascii="Courier New" w:hAnsi="Courier New" w:cs="Courier New"/>
      <w:noProof/>
      <w:sz w:val="11"/>
      <w:szCs w:val="11"/>
      <w:lang w:eastAsia="ru-RU"/>
    </w:rPr>
  </w:style>
  <w:style w:type="character" w:customStyle="1" w:styleId="3f0">
    <w:name w:val="Основной текст (3) + Не курсив"/>
    <w:rsid w:val="0046399E"/>
    <w:rPr>
      <w:rFonts w:ascii="Times New Roman" w:eastAsia="Gungsuh" w:hAnsi="Times New Roman" w:cs="Times New Roman"/>
      <w:i/>
      <w:iCs/>
      <w:spacing w:val="20"/>
      <w:sz w:val="20"/>
      <w:szCs w:val="20"/>
      <w:shd w:val="clear" w:color="auto" w:fill="FFFFFF"/>
      <w:lang w:eastAsia="en-US"/>
    </w:rPr>
  </w:style>
  <w:style w:type="character" w:customStyle="1" w:styleId="5pt20">
    <w:name w:val="Основной текст + 5 pt;Полужирный;Масштаб 20%"/>
    <w:rsid w:val="00C65D4B"/>
    <w:rPr>
      <w:rFonts w:ascii="Arial" w:eastAsia="Arial" w:hAnsi="Arial" w:cs="Arial"/>
      <w:b/>
      <w:bCs/>
      <w:i w:val="0"/>
      <w:iCs w:val="0"/>
      <w:smallCaps w:val="0"/>
      <w:strike w:val="0"/>
      <w:spacing w:val="0"/>
      <w:w w:val="20"/>
      <w:sz w:val="10"/>
      <w:szCs w:val="10"/>
      <w:shd w:val="clear" w:color="auto" w:fill="FFFFFF"/>
      <w:lang w:val="en-US"/>
    </w:rPr>
  </w:style>
  <w:style w:type="character" w:customStyle="1" w:styleId="581">
    <w:name w:val="Основной текст + Курсив58"/>
    <w:uiPriority w:val="99"/>
    <w:rsid w:val="00DA3BA6"/>
    <w:rPr>
      <w:rFonts w:ascii="Century Gothic" w:hAnsi="Century Gothic" w:cs="Century Gothic"/>
      <w:i/>
      <w:iCs/>
      <w:spacing w:val="0"/>
      <w:sz w:val="16"/>
      <w:szCs w:val="16"/>
      <w:shd w:val="clear" w:color="auto" w:fill="FFFFFF"/>
    </w:rPr>
  </w:style>
  <w:style w:type="character" w:customStyle="1" w:styleId="248">
    <w:name w:val="Основной текст (2) + Не курсив48"/>
    <w:uiPriority w:val="99"/>
    <w:rsid w:val="00DA3BA6"/>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46">
    <w:name w:val="Основной текст (2) + Не курсив46"/>
    <w:uiPriority w:val="99"/>
    <w:rsid w:val="00DA3BA6"/>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95pt0">
    <w:name w:val="Основной текст + 9;5 pt"/>
    <w:rsid w:val="00220CD9"/>
    <w:rPr>
      <w:rFonts w:ascii="Arial" w:eastAsia="Arial" w:hAnsi="Arial" w:cs="Arial"/>
      <w:b w:val="0"/>
      <w:bCs w:val="0"/>
      <w:i w:val="0"/>
      <w:iCs w:val="0"/>
      <w:smallCaps w:val="0"/>
      <w:strike w:val="0"/>
      <w:spacing w:val="0"/>
      <w:sz w:val="19"/>
      <w:szCs w:val="19"/>
      <w:shd w:val="clear" w:color="auto" w:fill="FFFFFF"/>
    </w:rPr>
  </w:style>
  <w:style w:type="character" w:customStyle="1" w:styleId="107">
    <w:name w:val="Основной текст (10) + Не курсив7"/>
    <w:uiPriority w:val="99"/>
    <w:rsid w:val="00BE21D9"/>
    <w:rPr>
      <w:rFonts w:ascii="Arial Narrow" w:eastAsia="Times New Roman" w:hAnsi="Arial Narrow" w:cs="Arial Narrow"/>
      <w:b w:val="0"/>
      <w:bCs w:val="0"/>
      <w:i w:val="0"/>
      <w:iCs w:val="0"/>
      <w:smallCaps w:val="0"/>
      <w:strike w:val="0"/>
      <w:noProof/>
      <w:spacing w:val="0"/>
      <w:sz w:val="18"/>
      <w:szCs w:val="18"/>
      <w:shd w:val="clear" w:color="auto" w:fill="FFFFFF"/>
      <w:lang w:val="en-US" w:eastAsia="en-US"/>
    </w:rPr>
  </w:style>
  <w:style w:type="character" w:customStyle="1" w:styleId="3f1">
    <w:name w:val="Заголовок №3 + Не полужирный"/>
    <w:rsid w:val="00E152C8"/>
    <w:rPr>
      <w:rFonts w:ascii="Times New Roman" w:hAnsi="Times New Roman" w:cs="Times New Roman"/>
      <w:b/>
      <w:bCs/>
      <w:spacing w:val="40"/>
      <w:sz w:val="20"/>
      <w:szCs w:val="20"/>
      <w:shd w:val="clear" w:color="auto" w:fill="FFFFFF"/>
      <w:lang w:eastAsia="en-US"/>
    </w:rPr>
  </w:style>
  <w:style w:type="character" w:customStyle="1" w:styleId="9pt0">
    <w:name w:val="Подпись к таблице + 9 pt"/>
    <w:aliases w:val="Не полужирный3,Заголовок №6 + 9 pt"/>
    <w:uiPriority w:val="99"/>
    <w:rsid w:val="00C15D15"/>
    <w:rPr>
      <w:rFonts w:ascii="Arial Narrow" w:hAnsi="Arial Narrow" w:cs="Arial Narrow"/>
      <w:b w:val="0"/>
      <w:bCs w:val="0"/>
      <w:i w:val="0"/>
      <w:iCs w:val="0"/>
      <w:noProof/>
      <w:spacing w:val="0"/>
      <w:sz w:val="18"/>
      <w:szCs w:val="18"/>
      <w:shd w:val="clear" w:color="auto" w:fill="FFFFFF"/>
      <w:lang w:val="en-US"/>
    </w:rPr>
  </w:style>
  <w:style w:type="character" w:customStyle="1" w:styleId="700">
    <w:name w:val="Основной текст (70)_"/>
    <w:link w:val="701"/>
    <w:rsid w:val="00C15D15"/>
    <w:rPr>
      <w:rFonts w:ascii="Franklin Gothic Book" w:hAnsi="Franklin Gothic Book" w:cs="Franklin Gothic Book"/>
      <w:noProof/>
      <w:sz w:val="8"/>
      <w:szCs w:val="8"/>
      <w:shd w:val="clear" w:color="auto" w:fill="FFFFFF"/>
    </w:rPr>
  </w:style>
  <w:style w:type="character" w:customStyle="1" w:styleId="722">
    <w:name w:val="Основной текст (72)_"/>
    <w:link w:val="723"/>
    <w:rsid w:val="00C15D15"/>
    <w:rPr>
      <w:rFonts w:ascii="Arial" w:hAnsi="Arial" w:cs="Arial"/>
      <w:noProof/>
      <w:sz w:val="8"/>
      <w:szCs w:val="8"/>
      <w:shd w:val="clear" w:color="auto" w:fill="FFFFFF"/>
    </w:rPr>
  </w:style>
  <w:style w:type="character" w:customStyle="1" w:styleId="89pt3">
    <w:name w:val="Основной текст (8) + 9 pt3"/>
    <w:uiPriority w:val="99"/>
    <w:rsid w:val="00C15D15"/>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712">
    <w:name w:val="Основной текст (71)_"/>
    <w:link w:val="713"/>
    <w:rsid w:val="00C15D15"/>
    <w:rPr>
      <w:rFonts w:ascii="Arial Narrow" w:hAnsi="Arial Narrow" w:cs="Arial Narrow"/>
      <w:i/>
      <w:iCs/>
      <w:spacing w:val="-30"/>
      <w:sz w:val="42"/>
      <w:szCs w:val="42"/>
      <w:shd w:val="clear" w:color="auto" w:fill="FFFFFF"/>
    </w:rPr>
  </w:style>
  <w:style w:type="character" w:customStyle="1" w:styleId="85">
    <w:name w:val="Подпись к таблице (8)_"/>
    <w:link w:val="86"/>
    <w:rsid w:val="00C15D15"/>
    <w:rPr>
      <w:rFonts w:ascii="Arial Narrow" w:hAnsi="Arial Narrow" w:cs="Arial Narrow"/>
      <w:sz w:val="9"/>
      <w:szCs w:val="9"/>
      <w:shd w:val="clear" w:color="auto" w:fill="FFFFFF"/>
    </w:rPr>
  </w:style>
  <w:style w:type="paragraph" w:customStyle="1" w:styleId="701">
    <w:name w:val="Основной текст (70)"/>
    <w:basedOn w:val="a"/>
    <w:link w:val="700"/>
    <w:rsid w:val="00C15D15"/>
    <w:pPr>
      <w:shd w:val="clear" w:color="auto" w:fill="FFFFFF"/>
      <w:spacing w:after="0" w:line="240" w:lineRule="atLeast"/>
      <w:jc w:val="center"/>
    </w:pPr>
    <w:rPr>
      <w:rFonts w:ascii="Franklin Gothic Book" w:hAnsi="Franklin Gothic Book" w:cs="Franklin Gothic Book"/>
      <w:noProof/>
      <w:sz w:val="8"/>
      <w:szCs w:val="8"/>
      <w:lang w:eastAsia="ru-RU"/>
    </w:rPr>
  </w:style>
  <w:style w:type="paragraph" w:customStyle="1" w:styleId="723">
    <w:name w:val="Основной текст (72)"/>
    <w:basedOn w:val="a"/>
    <w:link w:val="722"/>
    <w:rsid w:val="00C15D15"/>
    <w:pPr>
      <w:shd w:val="clear" w:color="auto" w:fill="FFFFFF"/>
      <w:spacing w:after="0" w:line="240" w:lineRule="atLeast"/>
    </w:pPr>
    <w:rPr>
      <w:rFonts w:ascii="Arial" w:hAnsi="Arial" w:cs="Arial"/>
      <w:noProof/>
      <w:sz w:val="8"/>
      <w:szCs w:val="8"/>
      <w:lang w:eastAsia="ru-RU"/>
    </w:rPr>
  </w:style>
  <w:style w:type="paragraph" w:customStyle="1" w:styleId="713">
    <w:name w:val="Основной текст (71)"/>
    <w:basedOn w:val="a"/>
    <w:link w:val="712"/>
    <w:rsid w:val="00C15D15"/>
    <w:pPr>
      <w:shd w:val="clear" w:color="auto" w:fill="FFFFFF"/>
      <w:spacing w:after="0" w:line="240" w:lineRule="atLeast"/>
      <w:jc w:val="center"/>
    </w:pPr>
    <w:rPr>
      <w:rFonts w:ascii="Arial Narrow" w:hAnsi="Arial Narrow" w:cs="Arial Narrow"/>
      <w:i/>
      <w:iCs/>
      <w:spacing w:val="-30"/>
      <w:sz w:val="42"/>
      <w:szCs w:val="42"/>
      <w:lang w:eastAsia="ru-RU"/>
    </w:rPr>
  </w:style>
  <w:style w:type="paragraph" w:customStyle="1" w:styleId="86">
    <w:name w:val="Подпись к таблице (8)"/>
    <w:basedOn w:val="a"/>
    <w:link w:val="85"/>
    <w:rsid w:val="00C15D15"/>
    <w:pPr>
      <w:shd w:val="clear" w:color="auto" w:fill="FFFFFF"/>
      <w:spacing w:after="0" w:line="240" w:lineRule="atLeast"/>
    </w:pPr>
    <w:rPr>
      <w:rFonts w:ascii="Arial Narrow" w:hAnsi="Arial Narrow" w:cs="Arial Narrow"/>
      <w:sz w:val="9"/>
      <w:szCs w:val="9"/>
      <w:lang w:eastAsia="ru-RU"/>
    </w:rPr>
  </w:style>
  <w:style w:type="character" w:customStyle="1" w:styleId="7b">
    <w:name w:val="Основной текст + Полужирный7"/>
    <w:aliases w:val="Интервал 1 pt2"/>
    <w:uiPriority w:val="99"/>
    <w:rsid w:val="001722E4"/>
    <w:rPr>
      <w:rFonts w:ascii="Times New Roman" w:eastAsia="Times New Roman" w:hAnsi="Times New Roman" w:cs="Times New Roman"/>
      <w:b/>
      <w:bCs/>
      <w:spacing w:val="20"/>
      <w:sz w:val="20"/>
      <w:szCs w:val="20"/>
      <w:shd w:val="clear" w:color="auto" w:fill="FFFFFF"/>
    </w:rPr>
  </w:style>
  <w:style w:type="character" w:customStyle="1" w:styleId="514">
    <w:name w:val="Заголовок №5 + Полужирный1"/>
    <w:uiPriority w:val="99"/>
    <w:rsid w:val="001722E4"/>
    <w:rPr>
      <w:rFonts w:ascii="Century Gothic" w:hAnsi="Century Gothic" w:cs="Century Gothic"/>
      <w:b/>
      <w:bCs/>
      <w:spacing w:val="0"/>
      <w:sz w:val="17"/>
      <w:szCs w:val="17"/>
      <w:shd w:val="clear" w:color="auto" w:fill="FFFFFF"/>
    </w:rPr>
  </w:style>
  <w:style w:type="character" w:customStyle="1" w:styleId="ucoz-forum-post">
    <w:name w:val="ucoz-forum-post"/>
    <w:rsid w:val="00F91F6B"/>
  </w:style>
  <w:style w:type="character" w:customStyle="1" w:styleId="304">
    <w:name w:val="Основной текст + Полужирный30"/>
    <w:uiPriority w:val="99"/>
    <w:rsid w:val="00A15529"/>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uiPriority w:val="99"/>
    <w:rsid w:val="00A15529"/>
    <w:rPr>
      <w:rFonts w:ascii="Arial" w:hAnsi="Arial" w:cs="Arial"/>
      <w:b/>
      <w:bCs/>
      <w:spacing w:val="0"/>
      <w:sz w:val="14"/>
      <w:szCs w:val="14"/>
      <w:shd w:val="clear" w:color="auto" w:fill="FFFFFF"/>
    </w:rPr>
  </w:style>
  <w:style w:type="character" w:customStyle="1" w:styleId="8pt0pt0">
    <w:name w:val="Основной текст + 8 pt;Интервал 0 pt"/>
    <w:rsid w:val="004A0330"/>
    <w:rPr>
      <w:rFonts w:ascii="Arial" w:eastAsia="Arial" w:hAnsi="Arial" w:cs="Arial"/>
      <w:b w:val="0"/>
      <w:bCs w:val="0"/>
      <w:i w:val="0"/>
      <w:iCs w:val="0"/>
      <w:smallCaps w:val="0"/>
      <w:strike w:val="0"/>
      <w:spacing w:val="-10"/>
      <w:sz w:val="16"/>
      <w:szCs w:val="16"/>
    </w:rPr>
  </w:style>
  <w:style w:type="character" w:customStyle="1" w:styleId="Bodytext14">
    <w:name w:val="Body text (14)_"/>
    <w:link w:val="Bodytext141"/>
    <w:uiPriority w:val="99"/>
    <w:rsid w:val="004A0330"/>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4A0330"/>
    <w:pPr>
      <w:shd w:val="clear" w:color="auto" w:fill="FFFFFF"/>
      <w:spacing w:after="0" w:line="240" w:lineRule="atLeast"/>
      <w:ind w:hanging="340"/>
    </w:pPr>
    <w:rPr>
      <w:rFonts w:ascii="Times New Roman" w:hAnsi="Times New Roman"/>
      <w:i/>
      <w:iCs/>
      <w:sz w:val="21"/>
      <w:szCs w:val="21"/>
      <w:lang w:eastAsia="ru-RU"/>
    </w:rPr>
  </w:style>
  <w:style w:type="character" w:customStyle="1" w:styleId="4f0">
    <w:name w:val="Основной текст (4) + Не курсив"/>
    <w:rsid w:val="004A0330"/>
    <w:rPr>
      <w:rFonts w:ascii="Arial Narrow" w:eastAsia="Arial Narrow" w:hAnsi="Arial Narrow" w:cs="Arial Narrow"/>
      <w:b w:val="0"/>
      <w:bCs w:val="0"/>
      <w:i/>
      <w:iCs/>
      <w:smallCaps w:val="0"/>
      <w:strike w:val="0"/>
      <w:spacing w:val="0"/>
      <w:sz w:val="18"/>
      <w:szCs w:val="18"/>
      <w:shd w:val="clear" w:color="auto" w:fill="FFFFFF"/>
      <w:lang w:eastAsia="en-US"/>
    </w:rPr>
  </w:style>
  <w:style w:type="character" w:customStyle="1" w:styleId="48pt0pt">
    <w:name w:val="Основной текст (4) + 8 pt;Интервал 0 pt"/>
    <w:rsid w:val="00A150F9"/>
    <w:rPr>
      <w:rFonts w:ascii="Arial" w:eastAsia="Arial" w:hAnsi="Arial" w:cs="Arial"/>
      <w:b w:val="0"/>
      <w:bCs w:val="0"/>
      <w:i w:val="0"/>
      <w:iCs w:val="0"/>
      <w:smallCaps w:val="0"/>
      <w:strike w:val="0"/>
      <w:spacing w:val="-10"/>
      <w:sz w:val="16"/>
      <w:szCs w:val="16"/>
      <w:shd w:val="clear" w:color="auto" w:fill="FFFFFF"/>
      <w:lang w:eastAsia="en-US"/>
    </w:rPr>
  </w:style>
  <w:style w:type="character" w:customStyle="1" w:styleId="44pt">
    <w:name w:val="Основной текст (4) + 4 pt;Не курсив"/>
    <w:rsid w:val="00A150F9"/>
    <w:rPr>
      <w:rFonts w:ascii="Arial" w:eastAsia="Arial" w:hAnsi="Arial" w:cs="Arial"/>
      <w:b w:val="0"/>
      <w:bCs w:val="0"/>
      <w:i/>
      <w:iCs/>
      <w:smallCaps w:val="0"/>
      <w:strike w:val="0"/>
      <w:spacing w:val="0"/>
      <w:sz w:val="8"/>
      <w:szCs w:val="8"/>
      <w:shd w:val="clear" w:color="auto" w:fill="FFFFFF"/>
      <w:lang w:eastAsia="en-US"/>
    </w:rPr>
  </w:style>
  <w:style w:type="character" w:customStyle="1" w:styleId="48pt0pt0">
    <w:name w:val="Основной текст (4) + 8 pt;Не курсив;Интервал 0 pt"/>
    <w:rsid w:val="00A150F9"/>
    <w:rPr>
      <w:rFonts w:ascii="Arial" w:eastAsia="Arial" w:hAnsi="Arial" w:cs="Arial"/>
      <w:b w:val="0"/>
      <w:bCs w:val="0"/>
      <w:i/>
      <w:iCs/>
      <w:smallCaps w:val="0"/>
      <w:strike w:val="0"/>
      <w:spacing w:val="-10"/>
      <w:sz w:val="16"/>
      <w:szCs w:val="16"/>
      <w:shd w:val="clear" w:color="auto" w:fill="FFFFFF"/>
      <w:lang w:eastAsia="en-US"/>
    </w:rPr>
  </w:style>
  <w:style w:type="paragraph" w:customStyle="1" w:styleId="Bodytext1">
    <w:name w:val="Body text1"/>
    <w:basedOn w:val="a"/>
    <w:uiPriority w:val="99"/>
    <w:rsid w:val="00CB30A8"/>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2">
    <w:name w:val="Body text (2)_"/>
    <w:basedOn w:val="a0"/>
    <w:link w:val="Bodytext21"/>
    <w:uiPriority w:val="99"/>
    <w:rsid w:val="00CB30A8"/>
    <w:rPr>
      <w:rFonts w:ascii="Arial Narrow" w:hAnsi="Arial Narrow" w:cs="Arial Narrow"/>
      <w:i/>
      <w:iCs/>
      <w:sz w:val="18"/>
      <w:szCs w:val="18"/>
      <w:shd w:val="clear" w:color="auto" w:fill="FFFFFF"/>
    </w:rPr>
  </w:style>
  <w:style w:type="paragraph" w:customStyle="1" w:styleId="Bodytext21">
    <w:name w:val="Body text (2)1"/>
    <w:basedOn w:val="a"/>
    <w:link w:val="Bodytext2"/>
    <w:uiPriority w:val="99"/>
    <w:rsid w:val="00CB30A8"/>
    <w:pPr>
      <w:shd w:val="clear" w:color="auto" w:fill="FFFFFF"/>
      <w:spacing w:after="0" w:line="221" w:lineRule="exact"/>
      <w:ind w:hanging="1600"/>
      <w:jc w:val="both"/>
    </w:pPr>
    <w:rPr>
      <w:rFonts w:ascii="Arial Narrow" w:hAnsi="Arial Narrow" w:cs="Arial Narrow"/>
      <w:i/>
      <w:iCs/>
      <w:sz w:val="18"/>
      <w:szCs w:val="18"/>
      <w:lang w:eastAsia="ru-RU"/>
    </w:rPr>
  </w:style>
  <w:style w:type="character" w:customStyle="1" w:styleId="BodytextItalic">
    <w:name w:val="Body text + Italic"/>
    <w:basedOn w:val="Bodytext"/>
    <w:uiPriority w:val="99"/>
    <w:rsid w:val="000E6EB8"/>
    <w:rPr>
      <w:rFonts w:ascii="Times New Roman" w:eastAsia="Times New Roman" w:hAnsi="Times New Roman" w:cs="Times New Roman"/>
      <w:b w:val="0"/>
      <w:bCs w:val="0"/>
      <w:i/>
      <w:iCs/>
      <w:smallCaps w:val="0"/>
      <w:strike w:val="0"/>
      <w:spacing w:val="0"/>
      <w:sz w:val="23"/>
      <w:szCs w:val="23"/>
      <w:shd w:val="clear" w:color="auto" w:fill="FFFFFF"/>
    </w:rPr>
  </w:style>
  <w:style w:type="paragraph" w:customStyle="1" w:styleId="233">
    <w:name w:val="Основной текст23"/>
    <w:basedOn w:val="a"/>
    <w:rsid w:val="00977FEB"/>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paragraph" w:customStyle="1" w:styleId="11d">
    <w:name w:val="Основной текст11"/>
    <w:basedOn w:val="a"/>
    <w:rsid w:val="00F47651"/>
    <w:pPr>
      <w:shd w:val="clear" w:color="auto" w:fill="FFFFFF"/>
      <w:spacing w:after="900" w:line="0" w:lineRule="atLeast"/>
    </w:pPr>
    <w:rPr>
      <w:rFonts w:ascii="Arial Narrow" w:eastAsia="Arial Narrow" w:hAnsi="Arial Narrow" w:cs="Arial Narrow"/>
      <w:color w:val="000000"/>
      <w:sz w:val="17"/>
      <w:szCs w:val="17"/>
      <w:lang w:eastAsia="ru-RU"/>
    </w:rPr>
  </w:style>
  <w:style w:type="character" w:customStyle="1" w:styleId="174">
    <w:name w:val="Основной текст (17) + Не курсив"/>
    <w:basedOn w:val="a0"/>
    <w:rsid w:val="00F47651"/>
    <w:rPr>
      <w:rFonts w:ascii="Arial Narrow" w:eastAsia="Arial Narrow" w:hAnsi="Arial Narrow" w:cs="Arial Narrow"/>
      <w:b w:val="0"/>
      <w:bCs w:val="0"/>
      <w:i/>
      <w:iCs/>
      <w:smallCaps w:val="0"/>
      <w:strike w:val="0"/>
      <w:spacing w:val="0"/>
      <w:w w:val="100"/>
      <w:sz w:val="18"/>
      <w:szCs w:val="18"/>
    </w:rPr>
  </w:style>
  <w:style w:type="character" w:customStyle="1" w:styleId="65pt">
    <w:name w:val="Основной текст + 6;5 pt"/>
    <w:basedOn w:val="aff0"/>
    <w:rsid w:val="002313B9"/>
    <w:rPr>
      <w:rFonts w:ascii="Arial" w:eastAsia="Arial" w:hAnsi="Arial" w:cs="Arial"/>
      <w:b w:val="0"/>
      <w:bCs w:val="0"/>
      <w:i w:val="0"/>
      <w:iCs w:val="0"/>
      <w:smallCaps w:val="0"/>
      <w:strike w:val="0"/>
      <w:spacing w:val="0"/>
      <w:sz w:val="13"/>
      <w:szCs w:val="13"/>
      <w:shd w:val="clear" w:color="auto" w:fill="FFFFFF"/>
    </w:rPr>
  </w:style>
  <w:style w:type="paragraph" w:customStyle="1" w:styleId="p1">
    <w:name w:val="p1"/>
    <w:basedOn w:val="a"/>
    <w:rsid w:val="0084785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Gungsuh65pt0pt">
    <w:name w:val="Основной текст + Gungsuh;6;5 pt;Полужирный;Интервал 0 pt"/>
    <w:basedOn w:val="aff0"/>
    <w:rsid w:val="0071714A"/>
    <w:rPr>
      <w:rFonts w:ascii="Gungsuh" w:eastAsia="Gungsuh" w:hAnsi="Gungsuh" w:cs="Gungsuh"/>
      <w:b/>
      <w:bCs/>
      <w:i w:val="0"/>
      <w:iCs w:val="0"/>
      <w:smallCaps w:val="0"/>
      <w:strike w:val="0"/>
      <w:spacing w:val="10"/>
      <w:w w:val="100"/>
      <w:sz w:val="13"/>
      <w:szCs w:val="13"/>
      <w:shd w:val="clear" w:color="auto" w:fill="FFFFFF"/>
    </w:rPr>
  </w:style>
  <w:style w:type="paragraph" w:customStyle="1" w:styleId="wp-caption-text">
    <w:name w:val="wp-caption-text"/>
    <w:basedOn w:val="a"/>
    <w:rsid w:val="005D3AF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bccolor">
    <w:name w:val="bbc_color"/>
    <w:basedOn w:val="a0"/>
    <w:rsid w:val="0026491A"/>
  </w:style>
  <w:style w:type="character" w:customStyle="1" w:styleId="fieldset-legend">
    <w:name w:val="fieldset-legend"/>
    <w:basedOn w:val="a0"/>
    <w:rsid w:val="0026491A"/>
  </w:style>
  <w:style w:type="character" w:customStyle="1" w:styleId="fieldset-legend-prefix">
    <w:name w:val="fieldset-legend-prefix"/>
    <w:basedOn w:val="a0"/>
    <w:rsid w:val="0026491A"/>
  </w:style>
  <w:style w:type="character" w:styleId="HTML2">
    <w:name w:val="HTML Cite"/>
    <w:basedOn w:val="a0"/>
    <w:uiPriority w:val="99"/>
    <w:semiHidden/>
    <w:unhideWhenUsed/>
    <w:rsid w:val="0026491A"/>
    <w:rPr>
      <w:i/>
      <w:iCs/>
    </w:rPr>
  </w:style>
  <w:style w:type="paragraph" w:customStyle="1" w:styleId="p">
    <w:name w:val="p"/>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center">
    <w:name w:val="picture-center"/>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krstr">
    <w:name w:val="kr_str"/>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00">
    <w:name w:val="a0"/>
    <w:basedOn w:val="a"/>
    <w:rsid w:val="0026491A"/>
    <w:pPr>
      <w:spacing w:after="75" w:line="240" w:lineRule="auto"/>
    </w:pPr>
    <w:rPr>
      <w:rFonts w:ascii="Times New Roman" w:eastAsia="Times New Roman" w:hAnsi="Times New Roman"/>
      <w:sz w:val="24"/>
      <w:szCs w:val="24"/>
      <w:lang w:eastAsia="ru-RU"/>
    </w:rPr>
  </w:style>
  <w:style w:type="character" w:customStyle="1" w:styleId="selected1">
    <w:name w:val="selected1"/>
    <w:basedOn w:val="a0"/>
    <w:rsid w:val="0026491A"/>
    <w:rPr>
      <w:color w:val="05A505"/>
    </w:rPr>
  </w:style>
  <w:style w:type="paragraph" w:customStyle="1" w:styleId="rteindent11">
    <w:name w:val="rteindent11"/>
    <w:basedOn w:val="a"/>
    <w:rsid w:val="0026491A"/>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1f4">
    <w:name w:val="Основной текст Знак1"/>
    <w:basedOn w:val="a0"/>
    <w:uiPriority w:val="99"/>
    <w:rsid w:val="0026491A"/>
    <w:rPr>
      <w:rFonts w:ascii="Arial Narrow" w:hAnsi="Arial Narrow" w:cs="Arial Narrow"/>
      <w:sz w:val="18"/>
      <w:szCs w:val="18"/>
      <w:shd w:val="clear" w:color="auto" w:fill="FFFFFF"/>
    </w:rPr>
  </w:style>
  <w:style w:type="character" w:customStyle="1" w:styleId="490">
    <w:name w:val="Основной текст + Полужирный49"/>
    <w:basedOn w:val="1f4"/>
    <w:uiPriority w:val="99"/>
    <w:rsid w:val="0026491A"/>
    <w:rPr>
      <w:rFonts w:ascii="Arial Narrow" w:hAnsi="Arial Narrow" w:cs="Arial Narrow"/>
      <w:b/>
      <w:bCs/>
      <w:sz w:val="18"/>
      <w:szCs w:val="18"/>
      <w:shd w:val="clear" w:color="auto" w:fill="FFFFFF"/>
    </w:rPr>
  </w:style>
  <w:style w:type="character" w:customStyle="1" w:styleId="915">
    <w:name w:val="Основной текст + 915"/>
    <w:aliases w:val="5 pt66,Полужирный68,Интервал 0 pt46,Основной текст + 832"/>
    <w:basedOn w:val="1f4"/>
    <w:uiPriority w:val="99"/>
    <w:rsid w:val="0026491A"/>
    <w:rPr>
      <w:rFonts w:ascii="Arial Narrow" w:hAnsi="Arial Narrow" w:cs="Arial Narrow"/>
      <w:b/>
      <w:bCs/>
      <w:spacing w:val="-10"/>
      <w:sz w:val="19"/>
      <w:szCs w:val="19"/>
      <w:shd w:val="clear" w:color="auto" w:fill="FFFFFF"/>
    </w:rPr>
  </w:style>
  <w:style w:type="character" w:customStyle="1" w:styleId="4-1pt1">
    <w:name w:val="Основной текст (4) + Полужирный;Интервал -1 pt"/>
    <w:basedOn w:val="46"/>
    <w:rsid w:val="0026491A"/>
    <w:rPr>
      <w:rFonts w:ascii="Arial Narrow" w:eastAsia="Arial Narrow" w:hAnsi="Arial Narrow" w:cs="Arial Narrow"/>
      <w:b/>
      <w:bCs/>
      <w:i w:val="0"/>
      <w:iCs w:val="0"/>
      <w:smallCaps w:val="0"/>
      <w:strike w:val="0"/>
      <w:spacing w:val="-20"/>
      <w:sz w:val="18"/>
      <w:szCs w:val="18"/>
      <w:shd w:val="clear" w:color="auto" w:fill="FFFFFF"/>
      <w:lang w:eastAsia="en-US"/>
    </w:rPr>
  </w:style>
  <w:style w:type="character" w:customStyle="1" w:styleId="4Tahoma85pt">
    <w:name w:val="Основной текст (4) + Tahoma;8;5 pt"/>
    <w:basedOn w:val="46"/>
    <w:rsid w:val="0026491A"/>
    <w:rPr>
      <w:rFonts w:ascii="Tahoma" w:eastAsia="Tahoma" w:hAnsi="Tahoma" w:cs="Tahoma"/>
      <w:b w:val="0"/>
      <w:bCs w:val="0"/>
      <w:i w:val="0"/>
      <w:iCs w:val="0"/>
      <w:smallCaps w:val="0"/>
      <w:strike w:val="0"/>
      <w:spacing w:val="0"/>
      <w:sz w:val="17"/>
      <w:szCs w:val="17"/>
      <w:shd w:val="clear" w:color="auto" w:fill="FFFFFF"/>
      <w:lang w:eastAsia="en-US"/>
    </w:rPr>
  </w:style>
  <w:style w:type="character" w:customStyle="1" w:styleId="171">
    <w:name w:val="Подпись к картинке (17)_"/>
    <w:basedOn w:val="a0"/>
    <w:link w:val="170"/>
    <w:rsid w:val="0026491A"/>
    <w:rPr>
      <w:rFonts w:ascii="Franklin Gothic Book" w:hAnsi="Franklin Gothic Book" w:cs="Franklin Gothic Book"/>
      <w:sz w:val="13"/>
      <w:szCs w:val="13"/>
      <w:shd w:val="clear" w:color="auto" w:fill="FFFFFF"/>
      <w:lang w:eastAsia="en-US"/>
    </w:rPr>
  </w:style>
  <w:style w:type="character" w:customStyle="1" w:styleId="75pt-1pt">
    <w:name w:val="Основной текст + 7;5 pt;Полужирный;Интервал -1 pt"/>
    <w:basedOn w:val="aff0"/>
    <w:rsid w:val="0026491A"/>
    <w:rPr>
      <w:rFonts w:ascii="Arial Narrow" w:eastAsia="Arial Narrow" w:hAnsi="Arial Narrow" w:cs="Arial Narrow"/>
      <w:b/>
      <w:bCs/>
      <w:i w:val="0"/>
      <w:iCs w:val="0"/>
      <w:smallCaps w:val="0"/>
      <w:strike w:val="0"/>
      <w:spacing w:val="-20"/>
      <w:sz w:val="15"/>
      <w:szCs w:val="15"/>
      <w:shd w:val="clear" w:color="auto" w:fill="FFFFFF"/>
    </w:rPr>
  </w:style>
  <w:style w:type="character" w:customStyle="1" w:styleId="10pt0">
    <w:name w:val="Основной текст + 10 pt;Полужирный"/>
    <w:basedOn w:val="aff0"/>
    <w:rsid w:val="0026491A"/>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115pt0pt">
    <w:name w:val="Основной текст + 11;5 pt;Полужирный;Интервал 0 pt"/>
    <w:basedOn w:val="aff0"/>
    <w:rsid w:val="0026491A"/>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34pt">
    <w:name w:val="Основной текст + 34 pt"/>
    <w:basedOn w:val="aff0"/>
    <w:rsid w:val="0026491A"/>
    <w:rPr>
      <w:rFonts w:ascii="Arial Narrow" w:eastAsia="Arial Narrow" w:hAnsi="Arial Narrow" w:cs="Arial Narrow"/>
      <w:b w:val="0"/>
      <w:bCs w:val="0"/>
      <w:i w:val="0"/>
      <w:iCs w:val="0"/>
      <w:smallCaps w:val="0"/>
      <w:strike w:val="0"/>
      <w:spacing w:val="0"/>
      <w:sz w:val="68"/>
      <w:szCs w:val="68"/>
      <w:shd w:val="clear" w:color="auto" w:fill="FFFFFF"/>
    </w:rPr>
  </w:style>
  <w:style w:type="character" w:customStyle="1" w:styleId="Tahoma65pt">
    <w:name w:val="Основной текст + Tahoma;6;5 pt;Полужирный"/>
    <w:basedOn w:val="aff0"/>
    <w:rsid w:val="0026491A"/>
    <w:rPr>
      <w:rFonts w:ascii="Tahoma" w:eastAsia="Tahoma" w:hAnsi="Tahoma" w:cs="Tahoma"/>
      <w:b/>
      <w:bCs/>
      <w:i w:val="0"/>
      <w:iCs w:val="0"/>
      <w:smallCaps w:val="0"/>
      <w:strike w:val="0"/>
      <w:spacing w:val="0"/>
      <w:sz w:val="13"/>
      <w:szCs w:val="13"/>
      <w:shd w:val="clear" w:color="auto" w:fill="FFFFFF"/>
    </w:rPr>
  </w:style>
  <w:style w:type="character" w:customStyle="1" w:styleId="12pt0">
    <w:name w:val="Основной текст + 12 pt;Полужирный"/>
    <w:basedOn w:val="aff0"/>
    <w:rsid w:val="0026491A"/>
    <w:rPr>
      <w:rFonts w:ascii="Arial Narrow" w:eastAsia="Arial Narrow" w:hAnsi="Arial Narrow" w:cs="Arial Narrow"/>
      <w:b/>
      <w:bCs/>
      <w:i w:val="0"/>
      <w:iCs w:val="0"/>
      <w:smallCaps w:val="0"/>
      <w:strike w:val="0"/>
      <w:spacing w:val="0"/>
      <w:w w:val="100"/>
      <w:sz w:val="24"/>
      <w:szCs w:val="24"/>
      <w:shd w:val="clear" w:color="auto" w:fill="FFFFFF"/>
    </w:rPr>
  </w:style>
  <w:style w:type="character" w:customStyle="1" w:styleId="15115pt0pt">
    <w:name w:val="Основной текст (15) + 11;5 pt;Интервал 0 pt"/>
    <w:basedOn w:val="153"/>
    <w:rsid w:val="0026491A"/>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3"/>
    <w:rsid w:val="0026491A"/>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159pt">
    <w:name w:val="Основной текст (15) + 9 pt;Не полужирный"/>
    <w:basedOn w:val="153"/>
    <w:rsid w:val="0026491A"/>
    <w:rPr>
      <w:rFonts w:ascii="Arial Narrow" w:eastAsia="Arial Narrow" w:hAnsi="Arial Narrow" w:cs="Arial Narrow"/>
      <w:b/>
      <w:bCs/>
      <w:i w:val="0"/>
      <w:iCs w:val="0"/>
      <w:smallCaps w:val="0"/>
      <w:strike/>
      <w:spacing w:val="0"/>
      <w:sz w:val="18"/>
      <w:szCs w:val="18"/>
      <w:shd w:val="clear" w:color="auto" w:fill="FFFFFF"/>
    </w:rPr>
  </w:style>
  <w:style w:type="paragraph" w:customStyle="1" w:styleId="164">
    <w:name w:val="Основной текст16"/>
    <w:basedOn w:val="a"/>
    <w:rsid w:val="0026491A"/>
    <w:pPr>
      <w:shd w:val="clear" w:color="auto" w:fill="FFFFFF"/>
      <w:spacing w:before="120" w:after="0" w:line="216" w:lineRule="exact"/>
      <w:ind w:hanging="200"/>
      <w:jc w:val="both"/>
    </w:pPr>
    <w:rPr>
      <w:rFonts w:ascii="Arial" w:eastAsia="Arial" w:hAnsi="Arial" w:cs="Arial"/>
      <w:color w:val="000000"/>
      <w:sz w:val="18"/>
      <w:szCs w:val="18"/>
      <w:lang w:eastAsia="ru-RU"/>
    </w:rPr>
  </w:style>
  <w:style w:type="character" w:customStyle="1" w:styleId="-1pt1">
    <w:name w:val="Основной текст + Полужирный;Интервал -1 pt"/>
    <w:basedOn w:val="aff0"/>
    <w:rsid w:val="0026491A"/>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ff0"/>
    <w:rsid w:val="0026491A"/>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95pt0pt">
    <w:name w:val="Основной текст + 9;5 pt;Полужирный;Интервал 0 pt"/>
    <w:basedOn w:val="aff0"/>
    <w:rsid w:val="0026491A"/>
    <w:rPr>
      <w:rFonts w:ascii="Arial Narrow" w:eastAsia="Arial Narrow" w:hAnsi="Arial Narrow" w:cs="Arial Narrow"/>
      <w:b/>
      <w:bCs/>
      <w:i w:val="0"/>
      <w:iCs w:val="0"/>
      <w:smallCaps w:val="0"/>
      <w:strike w:val="0"/>
      <w:spacing w:val="-10"/>
      <w:sz w:val="19"/>
      <w:szCs w:val="19"/>
      <w:shd w:val="clear" w:color="auto" w:fill="FFFFFF"/>
    </w:rPr>
  </w:style>
  <w:style w:type="character" w:customStyle="1" w:styleId="85pt">
    <w:name w:val="Основной текст + 8;5 pt"/>
    <w:basedOn w:val="aff0"/>
    <w:rsid w:val="0026491A"/>
    <w:rPr>
      <w:rFonts w:ascii="Arial" w:eastAsia="Arial" w:hAnsi="Arial" w:cs="Arial"/>
      <w:b w:val="0"/>
      <w:bCs w:val="0"/>
      <w:i w:val="0"/>
      <w:iCs w:val="0"/>
      <w:smallCaps w:val="0"/>
      <w:strike w:val="0"/>
      <w:spacing w:val="0"/>
      <w:sz w:val="17"/>
      <w:szCs w:val="17"/>
      <w:shd w:val="clear" w:color="auto" w:fill="FFFFFF"/>
    </w:rPr>
  </w:style>
  <w:style w:type="character" w:customStyle="1" w:styleId="85pt0pt">
    <w:name w:val="Основной текст + 8;5 pt;Интервал 0 pt"/>
    <w:basedOn w:val="aff0"/>
    <w:rsid w:val="0026491A"/>
    <w:rPr>
      <w:rFonts w:ascii="Arial" w:eastAsia="Arial" w:hAnsi="Arial" w:cs="Arial"/>
      <w:b w:val="0"/>
      <w:bCs w:val="0"/>
      <w:i w:val="0"/>
      <w:iCs w:val="0"/>
      <w:smallCaps w:val="0"/>
      <w:strike w:val="0"/>
      <w:spacing w:val="10"/>
      <w:sz w:val="17"/>
      <w:szCs w:val="17"/>
      <w:shd w:val="clear" w:color="auto" w:fill="FFFFFF"/>
    </w:rPr>
  </w:style>
  <w:style w:type="character" w:customStyle="1" w:styleId="afff7">
    <w:name w:val="Основной текст + Малые прописные"/>
    <w:basedOn w:val="aff0"/>
    <w:rsid w:val="0026491A"/>
    <w:rPr>
      <w:rFonts w:ascii="Arial" w:eastAsia="Arial" w:hAnsi="Arial" w:cs="Arial"/>
      <w:b w:val="0"/>
      <w:bCs w:val="0"/>
      <w:i w:val="0"/>
      <w:iCs w:val="0"/>
      <w:smallCaps/>
      <w:strike w:val="0"/>
      <w:spacing w:val="0"/>
      <w:sz w:val="18"/>
      <w:szCs w:val="18"/>
      <w:shd w:val="clear" w:color="auto" w:fill="FFFFFF"/>
    </w:rPr>
  </w:style>
  <w:style w:type="character" w:customStyle="1" w:styleId="372">
    <w:name w:val="Основной текст + Полужирный37"/>
    <w:basedOn w:val="1f4"/>
    <w:uiPriority w:val="99"/>
    <w:rsid w:val="0026491A"/>
    <w:rPr>
      <w:rFonts w:ascii="Arial Narrow" w:hAnsi="Arial Narrow" w:cs="Arial Narrow"/>
      <w:b/>
      <w:bCs/>
      <w:spacing w:val="0"/>
      <w:sz w:val="18"/>
      <w:szCs w:val="18"/>
      <w:shd w:val="clear" w:color="auto" w:fill="FFFFFF"/>
    </w:rPr>
  </w:style>
  <w:style w:type="character" w:customStyle="1" w:styleId="2f5">
    <w:name w:val="Основной текст (2) + Полужирный"/>
    <w:basedOn w:val="2f0"/>
    <w:rsid w:val="0026491A"/>
    <w:rPr>
      <w:rFonts w:ascii="Arial" w:eastAsia="Arial" w:hAnsi="Arial" w:cs="Arial"/>
      <w:b/>
      <w:bCs/>
      <w:i w:val="0"/>
      <w:iCs w:val="0"/>
      <w:smallCaps w:val="0"/>
      <w:strike w:val="0"/>
      <w:spacing w:val="0"/>
      <w:sz w:val="18"/>
      <w:szCs w:val="18"/>
      <w:shd w:val="clear" w:color="auto" w:fill="FFFFFF"/>
    </w:rPr>
  </w:style>
  <w:style w:type="character" w:customStyle="1" w:styleId="244">
    <w:name w:val="Основной текст + 24"/>
    <w:aliases w:val="5 pt55,Полужирный53,Основной текст + 916"/>
    <w:basedOn w:val="1f4"/>
    <w:uiPriority w:val="99"/>
    <w:rsid w:val="0026491A"/>
    <w:rPr>
      <w:rFonts w:ascii="Arial Narrow" w:hAnsi="Arial Narrow" w:cs="Arial Narrow"/>
      <w:b/>
      <w:bCs/>
      <w:noProof/>
      <w:spacing w:val="0"/>
      <w:sz w:val="49"/>
      <w:szCs w:val="49"/>
      <w:shd w:val="clear" w:color="auto" w:fill="FFFFFF"/>
    </w:rPr>
  </w:style>
  <w:style w:type="character" w:customStyle="1" w:styleId="10MicrosoftSansSerif2">
    <w:name w:val="Основной текст (10) + Microsoft Sans Serif2"/>
    <w:aliases w:val="84,5 pt52,Полужирный50,Основной текст + 11 pt4,Основной текст + Segoe UI4"/>
    <w:basedOn w:val="a0"/>
    <w:uiPriority w:val="99"/>
    <w:rsid w:val="0026491A"/>
    <w:rPr>
      <w:rFonts w:ascii="Microsoft Sans Serif" w:eastAsia="Times New Roman" w:hAnsi="Microsoft Sans Serif" w:cs="Microsoft Sans Serif"/>
      <w:b/>
      <w:bCs/>
      <w:i/>
      <w:iCs/>
      <w:smallCaps w:val="0"/>
      <w:strike w:val="0"/>
      <w:spacing w:val="0"/>
      <w:sz w:val="17"/>
      <w:szCs w:val="17"/>
    </w:rPr>
  </w:style>
  <w:style w:type="character" w:customStyle="1" w:styleId="362">
    <w:name w:val="Основной текст + Полужирный36"/>
    <w:basedOn w:val="1f4"/>
    <w:uiPriority w:val="99"/>
    <w:rsid w:val="0026491A"/>
    <w:rPr>
      <w:rFonts w:ascii="Arial Narrow" w:hAnsi="Arial Narrow" w:cs="Arial Narrow"/>
      <w:b/>
      <w:bCs/>
      <w:spacing w:val="0"/>
      <w:sz w:val="18"/>
      <w:szCs w:val="18"/>
      <w:shd w:val="clear" w:color="auto" w:fill="FFFFFF"/>
    </w:rPr>
  </w:style>
  <w:style w:type="character" w:customStyle="1" w:styleId="1pt9">
    <w:name w:val="Основной текст + Интервал 1 pt9"/>
    <w:basedOn w:val="1f4"/>
    <w:uiPriority w:val="99"/>
    <w:rsid w:val="0026491A"/>
    <w:rPr>
      <w:rFonts w:ascii="Arial" w:hAnsi="Arial" w:cs="Arial"/>
      <w:spacing w:val="20"/>
      <w:sz w:val="18"/>
      <w:szCs w:val="18"/>
      <w:shd w:val="clear" w:color="auto" w:fill="FFFFFF"/>
    </w:rPr>
  </w:style>
  <w:style w:type="character" w:customStyle="1" w:styleId="352">
    <w:name w:val="Основной текст + Полужирный35"/>
    <w:basedOn w:val="1f4"/>
    <w:uiPriority w:val="99"/>
    <w:rsid w:val="0026491A"/>
    <w:rPr>
      <w:rFonts w:ascii="Arial Narrow" w:hAnsi="Arial Narrow" w:cs="Arial Narrow"/>
      <w:b/>
      <w:bCs/>
      <w:spacing w:val="0"/>
      <w:sz w:val="18"/>
      <w:szCs w:val="18"/>
      <w:shd w:val="clear" w:color="auto" w:fill="FFFFFF"/>
    </w:rPr>
  </w:style>
  <w:style w:type="character" w:customStyle="1" w:styleId="342">
    <w:name w:val="Основной текст + Полужирный34"/>
    <w:basedOn w:val="1f4"/>
    <w:uiPriority w:val="99"/>
    <w:rsid w:val="0026491A"/>
    <w:rPr>
      <w:rFonts w:ascii="Arial Narrow" w:hAnsi="Arial Narrow" w:cs="Arial Narrow"/>
      <w:b/>
      <w:bCs/>
      <w:spacing w:val="0"/>
      <w:sz w:val="18"/>
      <w:szCs w:val="18"/>
      <w:shd w:val="clear" w:color="auto" w:fill="FFFFFF"/>
    </w:rPr>
  </w:style>
  <w:style w:type="character" w:customStyle="1" w:styleId="332">
    <w:name w:val="Основной текст + Полужирный33"/>
    <w:basedOn w:val="1f4"/>
    <w:uiPriority w:val="99"/>
    <w:rsid w:val="0026491A"/>
    <w:rPr>
      <w:rFonts w:ascii="Arial Narrow" w:hAnsi="Arial Narrow" w:cs="Arial Narrow"/>
      <w:b/>
      <w:bCs/>
      <w:spacing w:val="0"/>
      <w:sz w:val="18"/>
      <w:szCs w:val="18"/>
      <w:shd w:val="clear" w:color="auto" w:fill="FFFFFF"/>
    </w:rPr>
  </w:style>
  <w:style w:type="character" w:customStyle="1" w:styleId="382">
    <w:name w:val="Основной текст + Полужирный38"/>
    <w:basedOn w:val="1f4"/>
    <w:uiPriority w:val="99"/>
    <w:rsid w:val="0026491A"/>
    <w:rPr>
      <w:rFonts w:ascii="Arial Narrow" w:hAnsi="Arial Narrow" w:cs="Arial Narrow"/>
      <w:b/>
      <w:bCs/>
      <w:spacing w:val="0"/>
      <w:sz w:val="18"/>
      <w:szCs w:val="18"/>
      <w:shd w:val="clear" w:color="auto" w:fill="FFFFFF"/>
    </w:rPr>
  </w:style>
  <w:style w:type="character" w:customStyle="1" w:styleId="322">
    <w:name w:val="Основной текст + Полужирный32"/>
    <w:basedOn w:val="1f4"/>
    <w:uiPriority w:val="99"/>
    <w:rsid w:val="0026491A"/>
    <w:rPr>
      <w:rFonts w:ascii="Arial Narrow" w:hAnsi="Arial Narrow" w:cs="Arial Narrow"/>
      <w:b/>
      <w:bCs/>
      <w:spacing w:val="0"/>
      <w:sz w:val="18"/>
      <w:szCs w:val="18"/>
      <w:shd w:val="clear" w:color="auto" w:fill="FFFFFF"/>
    </w:rPr>
  </w:style>
  <w:style w:type="character" w:customStyle="1" w:styleId="940">
    <w:name w:val="Основной текст + 94"/>
    <w:aliases w:val="5 pt28,Полужирный23,Интервал 0 pt16,5 pt14,Основной текст (5) + 91,Интервал -1 pt29,Интервал -1 pt8,Основной текст (5) + Не курсив3"/>
    <w:basedOn w:val="1f4"/>
    <w:uiPriority w:val="99"/>
    <w:rsid w:val="0026491A"/>
    <w:rPr>
      <w:rFonts w:ascii="Arial Narrow" w:hAnsi="Arial Narrow" w:cs="Arial Narrow"/>
      <w:b/>
      <w:bCs/>
      <w:spacing w:val="-10"/>
      <w:sz w:val="19"/>
      <w:szCs w:val="19"/>
      <w:shd w:val="clear" w:color="auto" w:fill="FFFFFF"/>
    </w:rPr>
  </w:style>
  <w:style w:type="character" w:customStyle="1" w:styleId="50pt1">
    <w:name w:val="Основной текст (5) + Интервал 0 pt"/>
    <w:basedOn w:val="a0"/>
    <w:uiPriority w:val="99"/>
    <w:rsid w:val="0026491A"/>
    <w:rPr>
      <w:rFonts w:ascii="Arial" w:eastAsia="Times New Roman" w:hAnsi="Arial" w:cs="Arial"/>
      <w:b/>
      <w:bCs/>
      <w:i w:val="0"/>
      <w:iCs w:val="0"/>
      <w:smallCaps w:val="0"/>
      <w:strike w:val="0"/>
      <w:spacing w:val="-10"/>
      <w:sz w:val="18"/>
      <w:szCs w:val="18"/>
    </w:rPr>
  </w:style>
  <w:style w:type="character" w:customStyle="1" w:styleId="FranklinGothicBook">
    <w:name w:val="Основной текст + Franklin Gothic Book"/>
    <w:aliases w:val="8 pt6,Полужирный44,Основной текст + MS Reference Sans Serif5,Интервал -1 pt28"/>
    <w:basedOn w:val="1f4"/>
    <w:uiPriority w:val="99"/>
    <w:rsid w:val="0026491A"/>
    <w:rPr>
      <w:rFonts w:ascii="Franklin Gothic Book" w:hAnsi="Franklin Gothic Book" w:cs="Franklin Gothic Book"/>
      <w:b/>
      <w:bCs/>
      <w:spacing w:val="0"/>
      <w:sz w:val="16"/>
      <w:szCs w:val="16"/>
      <w:shd w:val="clear" w:color="auto" w:fill="FFFFFF"/>
    </w:rPr>
  </w:style>
  <w:style w:type="character" w:customStyle="1" w:styleId="291">
    <w:name w:val="Основной текст + Полужирный29"/>
    <w:basedOn w:val="1f4"/>
    <w:uiPriority w:val="99"/>
    <w:rsid w:val="0026491A"/>
    <w:rPr>
      <w:rFonts w:ascii="Arial Narrow" w:hAnsi="Arial Narrow" w:cs="Arial Narrow"/>
      <w:b/>
      <w:bCs/>
      <w:spacing w:val="0"/>
      <w:sz w:val="18"/>
      <w:szCs w:val="18"/>
      <w:shd w:val="clear" w:color="auto" w:fill="FFFFFF"/>
    </w:rPr>
  </w:style>
  <w:style w:type="character" w:customStyle="1" w:styleId="277">
    <w:name w:val="Основной текст + Полужирный27"/>
    <w:basedOn w:val="1f4"/>
    <w:uiPriority w:val="99"/>
    <w:rsid w:val="0026491A"/>
    <w:rPr>
      <w:rFonts w:ascii="Arial Narrow" w:hAnsi="Arial Narrow" w:cs="Arial Narrow"/>
      <w:b/>
      <w:bCs/>
      <w:spacing w:val="0"/>
      <w:sz w:val="18"/>
      <w:szCs w:val="18"/>
      <w:shd w:val="clear" w:color="auto" w:fill="FFFFFF"/>
    </w:rPr>
  </w:style>
  <w:style w:type="character" w:customStyle="1" w:styleId="263">
    <w:name w:val="Основной текст + Полужирный26"/>
    <w:aliases w:val="Курсив14"/>
    <w:basedOn w:val="1f4"/>
    <w:uiPriority w:val="99"/>
    <w:rsid w:val="0026491A"/>
    <w:rPr>
      <w:rFonts w:ascii="Arial Narrow" w:hAnsi="Arial Narrow" w:cs="Arial Narrow"/>
      <w:b/>
      <w:bCs/>
      <w:i/>
      <w:iCs/>
      <w:spacing w:val="0"/>
      <w:sz w:val="18"/>
      <w:szCs w:val="18"/>
      <w:shd w:val="clear" w:color="auto" w:fill="FFFFFF"/>
    </w:rPr>
  </w:style>
  <w:style w:type="character" w:customStyle="1" w:styleId="133">
    <w:name w:val="Основной текст (13)_"/>
    <w:basedOn w:val="a0"/>
    <w:link w:val="132"/>
    <w:uiPriority w:val="99"/>
    <w:rsid w:val="0026491A"/>
    <w:rPr>
      <w:rFonts w:ascii="Arial" w:eastAsia="Times New Roman" w:hAnsi="Arial"/>
      <w:sz w:val="36"/>
      <w:shd w:val="clear" w:color="auto" w:fill="FFFFFF"/>
    </w:rPr>
  </w:style>
  <w:style w:type="character" w:customStyle="1" w:styleId="2e">
    <w:name w:val="Подпись к таблице (2)_"/>
    <w:basedOn w:val="a0"/>
    <w:link w:val="2d"/>
    <w:uiPriority w:val="99"/>
    <w:rsid w:val="0026491A"/>
    <w:rPr>
      <w:rFonts w:ascii="Lucida Sans Unicode" w:hAnsi="Lucida Sans Unicode" w:cs="Lucida Sans Unicode"/>
      <w:sz w:val="25"/>
      <w:szCs w:val="25"/>
      <w:shd w:val="clear" w:color="auto" w:fill="FFFFFF"/>
      <w:lang w:eastAsia="en-US"/>
    </w:rPr>
  </w:style>
  <w:style w:type="character" w:customStyle="1" w:styleId="5Arial">
    <w:name w:val="Основной текст (5) + Arial;Не полужирный;Не курсив"/>
    <w:basedOn w:val="59"/>
    <w:rsid w:val="0026491A"/>
    <w:rPr>
      <w:rFonts w:ascii="Arial" w:eastAsia="Arial" w:hAnsi="Arial" w:cs="Arial"/>
      <w:b/>
      <w:bCs/>
      <w:i/>
      <w:iCs/>
      <w:sz w:val="15"/>
      <w:szCs w:val="15"/>
      <w:shd w:val="clear" w:color="auto" w:fill="FFFFFF"/>
    </w:rPr>
  </w:style>
  <w:style w:type="character" w:customStyle="1" w:styleId="LucidaSansUnicode8pt0pt">
    <w:name w:val="Основной текст + Lucida Sans Unicode;8 pt;Полужирный;Интервал 0 pt"/>
    <w:basedOn w:val="aff0"/>
    <w:rsid w:val="0026491A"/>
    <w:rPr>
      <w:rFonts w:ascii="Lucida Sans Unicode" w:eastAsia="Lucida Sans Unicode" w:hAnsi="Lucida Sans Unicode" w:cs="Lucida Sans Unicode"/>
      <w:b/>
      <w:bCs/>
      <w:i w:val="0"/>
      <w:iCs w:val="0"/>
      <w:smallCaps w:val="0"/>
      <w:strike w:val="0"/>
      <w:spacing w:val="-10"/>
      <w:sz w:val="16"/>
      <w:szCs w:val="16"/>
      <w:shd w:val="clear" w:color="auto" w:fill="FFFFFF"/>
    </w:rPr>
  </w:style>
  <w:style w:type="character" w:customStyle="1" w:styleId="6c">
    <w:name w:val="Основной текст (6) + Не полужирный"/>
    <w:aliases w:val="Не курсив20"/>
    <w:basedOn w:val="6a"/>
    <w:uiPriority w:val="99"/>
    <w:rsid w:val="0026491A"/>
    <w:rPr>
      <w:rFonts w:ascii="Arial Narrow" w:eastAsia="Times New Roman" w:hAnsi="Arial Narrow" w:cs="Arial Narrow"/>
      <w:sz w:val="18"/>
      <w:szCs w:val="18"/>
      <w:shd w:val="clear" w:color="auto" w:fill="FFFFFF"/>
    </w:rPr>
  </w:style>
  <w:style w:type="character" w:customStyle="1" w:styleId="8Arial85pt">
    <w:name w:val="Основной текст (8) + Arial;8;5 pt;Полужирный;Не курсив"/>
    <w:basedOn w:val="81"/>
    <w:rsid w:val="0026491A"/>
    <w:rPr>
      <w:rFonts w:ascii="Arial" w:eastAsia="Arial" w:hAnsi="Arial" w:cs="Arial"/>
      <w:b/>
      <w:bCs/>
      <w:i/>
      <w:iCs/>
      <w:sz w:val="17"/>
      <w:szCs w:val="17"/>
      <w:shd w:val="clear" w:color="auto" w:fill="FFFFFF"/>
    </w:rPr>
  </w:style>
  <w:style w:type="character" w:customStyle="1" w:styleId="3BookAntiqua8pt0pt">
    <w:name w:val="Основной текст (3) + Book Antiqua;8 pt;Полужирный;Не курсив;Интервал 0 pt"/>
    <w:basedOn w:val="35"/>
    <w:rsid w:val="0026491A"/>
    <w:rPr>
      <w:rFonts w:ascii="Book Antiqua" w:eastAsia="Book Antiqua" w:hAnsi="Book Antiqua" w:cs="Book Antiqua"/>
      <w:b/>
      <w:bCs/>
      <w:i/>
      <w:iCs/>
      <w:smallCaps w:val="0"/>
      <w:strike w:val="0"/>
      <w:spacing w:val="0"/>
      <w:sz w:val="16"/>
      <w:szCs w:val="16"/>
      <w:shd w:val="clear" w:color="auto" w:fill="FFFFFF"/>
      <w:lang w:eastAsia="en-US"/>
    </w:rPr>
  </w:style>
  <w:style w:type="character" w:customStyle="1" w:styleId="30pt">
    <w:name w:val="Основной текст (3) + Не курсив;Интервал 0 pt"/>
    <w:basedOn w:val="35"/>
    <w:rsid w:val="0026491A"/>
    <w:rPr>
      <w:rFonts w:ascii="Century Gothic" w:eastAsia="Century Gothic" w:hAnsi="Century Gothic" w:cs="Century Gothic"/>
      <w:b w:val="0"/>
      <w:bCs w:val="0"/>
      <w:i/>
      <w:iCs/>
      <w:smallCaps w:val="0"/>
      <w:strike w:val="0"/>
      <w:spacing w:val="0"/>
      <w:sz w:val="17"/>
      <w:szCs w:val="17"/>
      <w:shd w:val="clear" w:color="auto" w:fill="FFFFFF"/>
      <w:lang w:eastAsia="en-US"/>
    </w:rPr>
  </w:style>
  <w:style w:type="character" w:customStyle="1" w:styleId="3f2">
    <w:name w:val="Подпись к таблице (3)_"/>
    <w:basedOn w:val="a0"/>
    <w:rsid w:val="0026491A"/>
    <w:rPr>
      <w:rFonts w:ascii="Arial Narrow" w:hAnsi="Arial Narrow" w:cs="Arial Narrow"/>
      <w:i/>
      <w:iCs/>
      <w:sz w:val="14"/>
      <w:szCs w:val="14"/>
      <w:shd w:val="clear" w:color="auto" w:fill="FFFFFF"/>
    </w:rPr>
  </w:style>
  <w:style w:type="paragraph" w:customStyle="1" w:styleId="108">
    <w:name w:val="10"/>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6">
    <w:name w:val="9"/>
    <w:basedOn w:val="a0"/>
    <w:rsid w:val="0026491A"/>
  </w:style>
  <w:style w:type="paragraph" w:customStyle="1" w:styleId="911">
    <w:name w:val="911"/>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60">
    <w:name w:val="a6"/>
    <w:basedOn w:val="a0"/>
    <w:rsid w:val="0026491A"/>
  </w:style>
  <w:style w:type="character" w:customStyle="1" w:styleId="911pt">
    <w:name w:val="911pt"/>
    <w:basedOn w:val="a0"/>
    <w:rsid w:val="0026491A"/>
  </w:style>
  <w:style w:type="character" w:customStyle="1" w:styleId="98pt">
    <w:name w:val="98pt"/>
    <w:basedOn w:val="a0"/>
    <w:rsid w:val="0026491A"/>
  </w:style>
  <w:style w:type="character" w:customStyle="1" w:styleId="99pt3">
    <w:name w:val="99pt3"/>
    <w:basedOn w:val="a0"/>
    <w:rsid w:val="0026491A"/>
  </w:style>
  <w:style w:type="character" w:customStyle="1" w:styleId="99pt2">
    <w:name w:val="99pt2"/>
    <w:basedOn w:val="a0"/>
    <w:rsid w:val="0026491A"/>
  </w:style>
  <w:style w:type="character" w:customStyle="1" w:styleId="99pt">
    <w:name w:val="99pt"/>
    <w:basedOn w:val="a0"/>
    <w:rsid w:val="0026491A"/>
  </w:style>
  <w:style w:type="character" w:customStyle="1" w:styleId="920">
    <w:name w:val="92"/>
    <w:basedOn w:val="a0"/>
    <w:rsid w:val="0026491A"/>
  </w:style>
  <w:style w:type="character" w:customStyle="1" w:styleId="1300">
    <w:name w:val="130"/>
    <w:basedOn w:val="a0"/>
    <w:rsid w:val="0026491A"/>
  </w:style>
  <w:style w:type="character" w:customStyle="1" w:styleId="1311pt">
    <w:name w:val="1311pt"/>
    <w:basedOn w:val="a0"/>
    <w:rsid w:val="0026491A"/>
  </w:style>
  <w:style w:type="paragraph" w:customStyle="1" w:styleId="1310">
    <w:name w:val="131"/>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8pt1">
    <w:name w:val="98pt1"/>
    <w:basedOn w:val="a0"/>
    <w:rsid w:val="0026491A"/>
  </w:style>
  <w:style w:type="character" w:customStyle="1" w:styleId="99pt1">
    <w:name w:val="99pt1"/>
    <w:basedOn w:val="a0"/>
    <w:rsid w:val="0026491A"/>
  </w:style>
  <w:style w:type="character" w:customStyle="1" w:styleId="98">
    <w:name w:val="98"/>
    <w:basedOn w:val="a0"/>
    <w:rsid w:val="0026491A"/>
  </w:style>
  <w:style w:type="paragraph" w:customStyle="1" w:styleId="juscontext">
    <w:name w:val="juscontext"/>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gcontext">
    <w:name w:val="rigcontext"/>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f1">
    <w:name w:val="4"/>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edia-description">
    <w:name w:val="media-description"/>
    <w:basedOn w:val="a0"/>
    <w:rsid w:val="0026491A"/>
  </w:style>
  <w:style w:type="character" w:customStyle="1" w:styleId="media-sources">
    <w:name w:val="media-sources"/>
    <w:basedOn w:val="a0"/>
    <w:rsid w:val="0026491A"/>
  </w:style>
  <w:style w:type="character" w:customStyle="1" w:styleId="color1">
    <w:name w:val="color1"/>
    <w:basedOn w:val="a0"/>
    <w:rsid w:val="0026491A"/>
  </w:style>
  <w:style w:type="character" w:customStyle="1" w:styleId="color2">
    <w:name w:val="color2"/>
    <w:basedOn w:val="a0"/>
    <w:rsid w:val="0026491A"/>
  </w:style>
  <w:style w:type="paragraph" w:styleId="z-0">
    <w:name w:val="HTML Top of Form"/>
    <w:basedOn w:val="a"/>
    <w:next w:val="a"/>
    <w:link w:val="z-2"/>
    <w:hidden/>
    <w:uiPriority w:val="99"/>
    <w:semiHidden/>
    <w:unhideWhenUsed/>
    <w:rsid w:val="0026491A"/>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26491A"/>
    <w:rPr>
      <w:rFonts w:ascii="Arial" w:eastAsia="Times New Roman" w:hAnsi="Arial" w:cs="Arial"/>
      <w:vanish/>
      <w:sz w:val="16"/>
      <w:szCs w:val="16"/>
    </w:rPr>
  </w:style>
  <w:style w:type="paragraph" w:styleId="z-3">
    <w:name w:val="HTML Bottom of Form"/>
    <w:basedOn w:val="a"/>
    <w:next w:val="a"/>
    <w:link w:val="z-4"/>
    <w:hidden/>
    <w:uiPriority w:val="99"/>
    <w:semiHidden/>
    <w:unhideWhenUsed/>
    <w:rsid w:val="0026491A"/>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26491A"/>
    <w:rPr>
      <w:rFonts w:ascii="Arial" w:eastAsia="Times New Roman" w:hAnsi="Arial" w:cs="Arial"/>
      <w:vanish/>
      <w:sz w:val="16"/>
      <w:szCs w:val="16"/>
    </w:rPr>
  </w:style>
  <w:style w:type="character" w:customStyle="1" w:styleId="downarrow">
    <w:name w:val="downarrow"/>
    <w:basedOn w:val="a0"/>
    <w:rsid w:val="0026491A"/>
  </w:style>
  <w:style w:type="paragraph" w:customStyle="1" w:styleId="1f5">
    <w:name w:val="Подзаголовок1"/>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ljuser">
    <w:name w:val="ljuser"/>
    <w:basedOn w:val="a0"/>
    <w:rsid w:val="0026491A"/>
  </w:style>
  <w:style w:type="character" w:customStyle="1" w:styleId="byline">
    <w:name w:val="byline"/>
    <w:basedOn w:val="a0"/>
    <w:rsid w:val="0026491A"/>
  </w:style>
  <w:style w:type="character" w:customStyle="1" w:styleId="author">
    <w:name w:val="author"/>
    <w:basedOn w:val="a0"/>
    <w:rsid w:val="0026491A"/>
  </w:style>
  <w:style w:type="character" w:customStyle="1" w:styleId="zag1">
    <w:name w:val="zag1"/>
    <w:basedOn w:val="a0"/>
    <w:rsid w:val="0026491A"/>
  </w:style>
  <w:style w:type="paragraph" w:customStyle="1" w:styleId="autor">
    <w:name w:val="autor"/>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n-icon">
    <w:name w:val="sn-icon"/>
    <w:basedOn w:val="a0"/>
    <w:rsid w:val="0026491A"/>
  </w:style>
  <w:style w:type="character" w:customStyle="1" w:styleId="red">
    <w:name w:val="red"/>
    <w:basedOn w:val="a0"/>
    <w:rsid w:val="0026491A"/>
  </w:style>
  <w:style w:type="character" w:customStyle="1" w:styleId="negative">
    <w:name w:val="negative"/>
    <w:basedOn w:val="a0"/>
    <w:rsid w:val="0026491A"/>
  </w:style>
  <w:style w:type="character" w:customStyle="1" w:styleId="positive">
    <w:name w:val="positive"/>
    <w:basedOn w:val="a0"/>
    <w:rsid w:val="0026491A"/>
  </w:style>
  <w:style w:type="character" w:customStyle="1" w:styleId="gray">
    <w:name w:val="gray"/>
    <w:basedOn w:val="a0"/>
    <w:rsid w:val="0026491A"/>
  </w:style>
  <w:style w:type="character" w:customStyle="1" w:styleId="ng-binding">
    <w:name w:val="ng-binding"/>
    <w:basedOn w:val="a0"/>
    <w:rsid w:val="0026491A"/>
  </w:style>
  <w:style w:type="paragraph" w:customStyle="1" w:styleId="grey-text">
    <w:name w:val="grey-text"/>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anner-place-1">
    <w:name w:val="banner-place-1"/>
    <w:basedOn w:val="a0"/>
    <w:rsid w:val="0026491A"/>
  </w:style>
  <w:style w:type="character" w:customStyle="1" w:styleId="banner-place-1-1">
    <w:name w:val="banner-place-1-1"/>
    <w:basedOn w:val="a0"/>
    <w:rsid w:val="0026491A"/>
  </w:style>
  <w:style w:type="character" w:customStyle="1" w:styleId="link-views">
    <w:name w:val="link-views"/>
    <w:basedOn w:val="a0"/>
    <w:rsid w:val="0026491A"/>
  </w:style>
  <w:style w:type="character" w:customStyle="1" w:styleId="link-comms">
    <w:name w:val="link-comms"/>
    <w:basedOn w:val="a0"/>
    <w:rsid w:val="0026491A"/>
  </w:style>
  <w:style w:type="character" w:customStyle="1" w:styleId="rate">
    <w:name w:val="rate"/>
    <w:basedOn w:val="a0"/>
    <w:rsid w:val="0026491A"/>
  </w:style>
  <w:style w:type="character" w:customStyle="1" w:styleId="10100">
    <w:name w:val="1010"/>
    <w:basedOn w:val="a0"/>
    <w:rsid w:val="0026491A"/>
  </w:style>
  <w:style w:type="character" w:customStyle="1" w:styleId="apple-converted-space">
    <w:name w:val="apple-converted-space"/>
    <w:basedOn w:val="a0"/>
    <w:rsid w:val="0026491A"/>
  </w:style>
  <w:style w:type="paragraph" w:customStyle="1" w:styleId="2f6">
    <w:name w:val="2"/>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1">
    <w:name w:val="hl1"/>
    <w:basedOn w:val="a0"/>
    <w:rsid w:val="0026491A"/>
  </w:style>
  <w:style w:type="paragraph" w:customStyle="1" w:styleId="3f3">
    <w:name w:val="3"/>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12">
    <w:name w:val="111"/>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w8num3z0">
    <w:name w:val="ww8num3z0"/>
    <w:basedOn w:val="a0"/>
    <w:rsid w:val="0026491A"/>
  </w:style>
  <w:style w:type="paragraph" w:customStyle="1" w:styleId="1000">
    <w:name w:val="100"/>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12">
    <w:name w:val="101"/>
    <w:basedOn w:val="a0"/>
    <w:rsid w:val="0026491A"/>
  </w:style>
  <w:style w:type="paragraph" w:customStyle="1" w:styleId="paragraphstyle">
    <w:name w:val="paragraphstyle"/>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fff8">
    <w:name w:val="Текст концевой сноски Знак"/>
    <w:basedOn w:val="a0"/>
    <w:link w:val="afff9"/>
    <w:uiPriority w:val="99"/>
    <w:semiHidden/>
    <w:rsid w:val="0026491A"/>
    <w:rPr>
      <w:rFonts w:ascii="Times New Roman" w:eastAsia="Times New Roman" w:hAnsi="Times New Roman"/>
      <w:sz w:val="24"/>
      <w:szCs w:val="24"/>
    </w:rPr>
  </w:style>
  <w:style w:type="paragraph" w:styleId="afff9">
    <w:name w:val="endnote text"/>
    <w:basedOn w:val="a"/>
    <w:link w:val="afff8"/>
    <w:uiPriority w:val="99"/>
    <w:semiHidden/>
    <w:unhideWhenUsed/>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f6">
    <w:name w:val="Текст концевой сноски Знак1"/>
    <w:basedOn w:val="a0"/>
    <w:uiPriority w:val="99"/>
    <w:semiHidden/>
    <w:rsid w:val="0026491A"/>
    <w:rPr>
      <w:lang w:eastAsia="en-US"/>
    </w:rPr>
  </w:style>
  <w:style w:type="character" w:customStyle="1" w:styleId="912pt">
    <w:name w:val="912pt"/>
    <w:basedOn w:val="a0"/>
    <w:rsid w:val="0026491A"/>
  </w:style>
  <w:style w:type="character" w:customStyle="1" w:styleId="912pt1">
    <w:name w:val="912pt1"/>
    <w:basedOn w:val="a0"/>
    <w:rsid w:val="0026491A"/>
  </w:style>
  <w:style w:type="character" w:customStyle="1" w:styleId="9pt3">
    <w:name w:val="9pt"/>
    <w:basedOn w:val="a0"/>
    <w:rsid w:val="0026491A"/>
  </w:style>
  <w:style w:type="character" w:customStyle="1" w:styleId="9pt10">
    <w:name w:val="9pt1"/>
    <w:basedOn w:val="a0"/>
    <w:rsid w:val="0026491A"/>
  </w:style>
  <w:style w:type="paragraph" w:customStyle="1" w:styleId="a50">
    <w:name w:val="a5"/>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osted-on">
    <w:name w:val="posted-on"/>
    <w:basedOn w:val="a0"/>
    <w:rsid w:val="0026491A"/>
  </w:style>
  <w:style w:type="character" w:customStyle="1" w:styleId="cat-links">
    <w:name w:val="cat-links"/>
    <w:basedOn w:val="a0"/>
    <w:rsid w:val="0026491A"/>
  </w:style>
  <w:style w:type="paragraph" w:customStyle="1" w:styleId="upgcontext">
    <w:name w:val="upgcontext"/>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ar">
    <w:name w:val="tar"/>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208">
    <w:name w:val="20"/>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14">
    <w:name w:val="41"/>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316">
    <w:name w:val="31"/>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05">
    <w:name w:val="30"/>
    <w:basedOn w:val="a0"/>
    <w:rsid w:val="0026491A"/>
  </w:style>
  <w:style w:type="character" w:customStyle="1" w:styleId="apple-tab-span">
    <w:name w:val="apple-tab-span"/>
    <w:basedOn w:val="a0"/>
    <w:rsid w:val="0026491A"/>
  </w:style>
  <w:style w:type="character" w:customStyle="1" w:styleId="bbcsize">
    <w:name w:val="bbc_size"/>
    <w:basedOn w:val="a0"/>
    <w:rsid w:val="0026491A"/>
  </w:style>
  <w:style w:type="character" w:customStyle="1" w:styleId="bbcfont">
    <w:name w:val="bbc_font"/>
    <w:basedOn w:val="a0"/>
    <w:rsid w:val="0026491A"/>
  </w:style>
  <w:style w:type="paragraph" w:customStyle="1" w:styleId="storybody">
    <w:name w:val="storybody"/>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el-text">
    <w:name w:val="el-text"/>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1pt0">
    <w:name w:val="Колонтитул + 11 pt"/>
    <w:basedOn w:val="aff8"/>
    <w:rsid w:val="0026491A"/>
    <w:rPr>
      <w:rFonts w:ascii="Times New Roman" w:eastAsia="Times New Roman" w:hAnsi="Times New Roman" w:cs="Times New Roman"/>
      <w:b w:val="0"/>
      <w:bCs w:val="0"/>
      <w:i w:val="0"/>
      <w:iCs w:val="0"/>
      <w:smallCaps w:val="0"/>
      <w:strike w:val="0"/>
      <w:spacing w:val="0"/>
      <w:sz w:val="22"/>
      <w:szCs w:val="22"/>
      <w:shd w:val="clear" w:color="auto" w:fill="FFFFFF"/>
      <w:lang w:eastAsia="en-US"/>
    </w:rPr>
  </w:style>
  <w:style w:type="paragraph" w:customStyle="1" w:styleId="216">
    <w:name w:val="Основной текст21"/>
    <w:basedOn w:val="a"/>
    <w:rsid w:val="0026491A"/>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paragraph" w:customStyle="1" w:styleId="b-articletext">
    <w:name w:val="b-article__text"/>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75pt">
    <w:name w:val="Основной текст + 7;5 pt"/>
    <w:basedOn w:val="aff0"/>
    <w:rsid w:val="0026491A"/>
    <w:rPr>
      <w:rFonts w:ascii="Arial" w:eastAsia="Arial" w:hAnsi="Arial" w:cs="Arial"/>
      <w:spacing w:val="-10"/>
      <w:sz w:val="15"/>
      <w:szCs w:val="15"/>
      <w:shd w:val="clear" w:color="auto" w:fill="FFFFFF"/>
      <w:lang w:val="en-US"/>
    </w:rPr>
  </w:style>
  <w:style w:type="character" w:customStyle="1" w:styleId="75pt0">
    <w:name w:val="Основной текст + 7;5 pt;Полужирный"/>
    <w:basedOn w:val="aff0"/>
    <w:rsid w:val="0026491A"/>
    <w:rPr>
      <w:rFonts w:ascii="Arial Narrow" w:eastAsia="Arial Narrow" w:hAnsi="Arial Narrow" w:cs="Arial Narrow"/>
      <w:b/>
      <w:bCs/>
      <w:i w:val="0"/>
      <w:iCs w:val="0"/>
      <w:smallCaps w:val="0"/>
      <w:strike w:val="0"/>
      <w:spacing w:val="0"/>
      <w:w w:val="100"/>
      <w:sz w:val="15"/>
      <w:szCs w:val="15"/>
      <w:shd w:val="clear" w:color="auto" w:fill="FFFFFF"/>
    </w:rPr>
  </w:style>
  <w:style w:type="character" w:customStyle="1" w:styleId="85pt0">
    <w:name w:val="Основной текст + 8;5 pt;Полужирный"/>
    <w:basedOn w:val="aff0"/>
    <w:rsid w:val="0026491A"/>
    <w:rPr>
      <w:rFonts w:ascii="Arial" w:eastAsia="Arial" w:hAnsi="Arial" w:cs="Arial"/>
      <w:b/>
      <w:bCs/>
      <w:spacing w:val="-10"/>
      <w:sz w:val="17"/>
      <w:szCs w:val="17"/>
      <w:shd w:val="clear" w:color="auto" w:fill="FFFFFF"/>
    </w:rPr>
  </w:style>
  <w:style w:type="character" w:customStyle="1" w:styleId="2f7">
    <w:name w:val="Сноска (2)_"/>
    <w:basedOn w:val="a0"/>
    <w:link w:val="2f8"/>
    <w:rsid w:val="0026491A"/>
    <w:rPr>
      <w:rFonts w:ascii="Arial Narrow" w:eastAsia="Arial Narrow" w:hAnsi="Arial Narrow" w:cs="Arial Narrow"/>
      <w:sz w:val="13"/>
      <w:szCs w:val="13"/>
      <w:shd w:val="clear" w:color="auto" w:fill="FFFFFF"/>
    </w:rPr>
  </w:style>
  <w:style w:type="paragraph" w:customStyle="1" w:styleId="2f8">
    <w:name w:val="Сноска (2)"/>
    <w:basedOn w:val="a"/>
    <w:link w:val="2f7"/>
    <w:rsid w:val="0026491A"/>
    <w:pPr>
      <w:shd w:val="clear" w:color="auto" w:fill="FFFFFF"/>
      <w:spacing w:after="0" w:line="0" w:lineRule="atLeast"/>
    </w:pPr>
    <w:rPr>
      <w:rFonts w:ascii="Arial Narrow" w:eastAsia="Arial Narrow" w:hAnsi="Arial Narrow" w:cs="Arial Narrow"/>
      <w:sz w:val="13"/>
      <w:szCs w:val="13"/>
      <w:lang w:eastAsia="ru-RU"/>
    </w:rPr>
  </w:style>
  <w:style w:type="paragraph" w:customStyle="1" w:styleId="109">
    <w:name w:val="Основной текст10"/>
    <w:basedOn w:val="a"/>
    <w:rsid w:val="0026491A"/>
    <w:pPr>
      <w:shd w:val="clear" w:color="auto" w:fill="FFFFFF"/>
      <w:spacing w:after="480" w:line="0" w:lineRule="atLeast"/>
    </w:pPr>
    <w:rPr>
      <w:rFonts w:ascii="Segoe UI" w:eastAsia="Segoe UI" w:hAnsi="Segoe UI" w:cs="Segoe UI"/>
      <w:sz w:val="17"/>
      <w:szCs w:val="17"/>
    </w:rPr>
  </w:style>
  <w:style w:type="paragraph" w:customStyle="1" w:styleId="article-renderblock">
    <w:name w:val="article-render__block"/>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29">
    <w:name w:val="Основной текст (12) + Не курсив"/>
    <w:basedOn w:val="127"/>
    <w:rsid w:val="0026491A"/>
    <w:rPr>
      <w:rFonts w:ascii="Arial Narrow" w:eastAsia="Arial Narrow" w:hAnsi="Arial Narrow" w:cs="Arial Narrow"/>
      <w:b w:val="0"/>
      <w:bCs w:val="0"/>
      <w:i/>
      <w:iCs/>
      <w:smallCaps w:val="0"/>
      <w:strike w:val="0"/>
      <w:spacing w:val="0"/>
      <w:w w:val="100"/>
      <w:sz w:val="17"/>
      <w:szCs w:val="17"/>
      <w:shd w:val="clear" w:color="auto" w:fill="FFFFFF"/>
    </w:rPr>
  </w:style>
  <w:style w:type="character" w:customStyle="1" w:styleId="51pt">
    <w:name w:val="Основной текст (5) + Интервал 1 pt"/>
    <w:basedOn w:val="59"/>
    <w:rsid w:val="0026491A"/>
    <w:rPr>
      <w:rFonts w:ascii="Arial Narrow" w:eastAsia="Arial Narrow" w:hAnsi="Arial Narrow" w:cs="Arial Narrow"/>
      <w:i/>
      <w:iCs/>
      <w:spacing w:val="20"/>
      <w:sz w:val="17"/>
      <w:szCs w:val="17"/>
      <w:shd w:val="clear" w:color="auto" w:fill="FFFFFF"/>
    </w:rPr>
  </w:style>
  <w:style w:type="paragraph" w:customStyle="1" w:styleId="317">
    <w:name w:val="Основной текст31"/>
    <w:basedOn w:val="a"/>
    <w:rsid w:val="0026491A"/>
    <w:pPr>
      <w:shd w:val="clear" w:color="auto" w:fill="FFFFFF"/>
      <w:spacing w:after="480" w:line="0" w:lineRule="atLeast"/>
    </w:pPr>
    <w:rPr>
      <w:rFonts w:ascii="Arial Narrow" w:eastAsia="Arial Narrow" w:hAnsi="Arial Narrow" w:cs="Arial Narrow"/>
      <w:color w:val="000000"/>
      <w:sz w:val="18"/>
      <w:szCs w:val="18"/>
      <w:lang w:eastAsia="ru-RU"/>
    </w:rPr>
  </w:style>
  <w:style w:type="character" w:customStyle="1" w:styleId="5ArialNarrow135pt">
    <w:name w:val="Основной текст (5) + Arial Narrow;13;5 pt"/>
    <w:basedOn w:val="59"/>
    <w:rsid w:val="0026491A"/>
    <w:rPr>
      <w:rFonts w:ascii="Arial Narrow" w:eastAsia="Arial Narrow" w:hAnsi="Arial Narrow" w:cs="Arial Narrow"/>
      <w:b w:val="0"/>
      <w:bCs w:val="0"/>
      <w:i w:val="0"/>
      <w:iCs w:val="0"/>
      <w:smallCaps w:val="0"/>
      <w:strike w:val="0"/>
      <w:spacing w:val="0"/>
      <w:sz w:val="27"/>
      <w:szCs w:val="27"/>
      <w:shd w:val="clear" w:color="auto" w:fill="FFFFFF"/>
    </w:rPr>
  </w:style>
  <w:style w:type="character" w:customStyle="1" w:styleId="13pt0">
    <w:name w:val="Основной текст + Интервал 13 pt"/>
    <w:basedOn w:val="aff0"/>
    <w:rsid w:val="0026491A"/>
    <w:rPr>
      <w:rFonts w:ascii="Gungsuh" w:eastAsia="Gungsuh" w:hAnsi="Gungsuh" w:cs="Gungsuh"/>
      <w:b w:val="0"/>
      <w:bCs w:val="0"/>
      <w:i w:val="0"/>
      <w:iCs w:val="0"/>
      <w:smallCaps w:val="0"/>
      <w:strike w:val="0"/>
      <w:spacing w:val="270"/>
      <w:sz w:val="23"/>
      <w:szCs w:val="23"/>
      <w:shd w:val="clear" w:color="auto" w:fill="FFFFFF"/>
    </w:rPr>
  </w:style>
  <w:style w:type="character" w:customStyle="1" w:styleId="125pt0pt">
    <w:name w:val="Основной текст + 12;5 pt;Малые прописные;Интервал 0 pt"/>
    <w:basedOn w:val="aff0"/>
    <w:rsid w:val="0026491A"/>
    <w:rPr>
      <w:rFonts w:ascii="Gungsuh" w:eastAsia="Gungsuh" w:hAnsi="Gungsuh" w:cs="Gungsuh"/>
      <w:b w:val="0"/>
      <w:bCs w:val="0"/>
      <w:i w:val="0"/>
      <w:iCs w:val="0"/>
      <w:smallCaps/>
      <w:strike w:val="0"/>
      <w:spacing w:val="0"/>
      <w:sz w:val="25"/>
      <w:szCs w:val="25"/>
      <w:shd w:val="clear" w:color="auto" w:fill="FFFFFF"/>
    </w:rPr>
  </w:style>
  <w:style w:type="character" w:customStyle="1" w:styleId="3f4">
    <w:name w:val="Основной текст (3) + Полужирный"/>
    <w:basedOn w:val="35"/>
    <w:rsid w:val="0026491A"/>
    <w:rPr>
      <w:rFonts w:ascii="Times New Roman" w:eastAsia="Times New Roman" w:hAnsi="Times New Roman" w:cs="Times New Roman"/>
      <w:b/>
      <w:bCs/>
      <w:i w:val="0"/>
      <w:iCs w:val="0"/>
      <w:smallCaps w:val="0"/>
      <w:strike w:val="0"/>
      <w:spacing w:val="0"/>
      <w:sz w:val="21"/>
      <w:szCs w:val="21"/>
      <w:shd w:val="clear" w:color="auto" w:fill="FFFFFF"/>
      <w:lang w:eastAsia="en-US"/>
    </w:rPr>
  </w:style>
  <w:style w:type="character" w:customStyle="1" w:styleId="9pt0pt">
    <w:name w:val="Основной текст + 9 pt;Интервал 0 pt"/>
    <w:basedOn w:val="aff0"/>
    <w:rsid w:val="0026491A"/>
    <w:rPr>
      <w:rFonts w:ascii="Times New Roman" w:eastAsia="Times New Roman" w:hAnsi="Times New Roman" w:cs="Times New Roman"/>
      <w:b w:val="0"/>
      <w:bCs w:val="0"/>
      <w:i w:val="0"/>
      <w:iCs w:val="0"/>
      <w:smallCaps w:val="0"/>
      <w:strike w:val="0"/>
      <w:spacing w:val="10"/>
      <w:sz w:val="18"/>
      <w:szCs w:val="18"/>
      <w:shd w:val="clear" w:color="auto" w:fill="FFFFFF"/>
    </w:rPr>
  </w:style>
  <w:style w:type="paragraph" w:customStyle="1" w:styleId="book-paragraph">
    <w:name w:val="book-paragraph"/>
    <w:basedOn w:val="a"/>
    <w:rsid w:val="0026491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10pt">
    <w:name w:val="Основной текст (2) + 10 pt;Полужирный"/>
    <w:basedOn w:val="2f0"/>
    <w:rsid w:val="0026491A"/>
    <w:rPr>
      <w:rFonts w:ascii="Arial Narrow" w:eastAsia="Arial Narrow" w:hAnsi="Arial Narrow" w:cs="Arial Narrow"/>
      <w:b/>
      <w:bCs/>
      <w:i w:val="0"/>
      <w:iCs w:val="0"/>
      <w:smallCaps w:val="0"/>
      <w:strike w:val="0"/>
      <w:spacing w:val="0"/>
      <w:w w:val="100"/>
      <w:sz w:val="20"/>
      <w:szCs w:val="20"/>
      <w:shd w:val="clear" w:color="auto" w:fill="FFFFFF"/>
    </w:rPr>
  </w:style>
  <w:style w:type="character" w:customStyle="1" w:styleId="29pt">
    <w:name w:val="Основной текст (2) + 9 pt;Полужирный"/>
    <w:basedOn w:val="2f0"/>
    <w:rsid w:val="0026491A"/>
    <w:rPr>
      <w:rFonts w:ascii="Arial Narrow" w:eastAsia="Arial Narrow" w:hAnsi="Arial Narrow" w:cs="Arial Narrow"/>
      <w:b/>
      <w:bCs/>
      <w:i w:val="0"/>
      <w:iCs w:val="0"/>
      <w:smallCaps w:val="0"/>
      <w:strike w:val="0"/>
      <w:spacing w:val="0"/>
      <w:w w:val="100"/>
      <w:sz w:val="18"/>
      <w:szCs w:val="18"/>
      <w:shd w:val="clear" w:color="auto" w:fill="FFFFFF"/>
    </w:rPr>
  </w:style>
  <w:style w:type="character" w:customStyle="1" w:styleId="2f9">
    <w:name w:val="Основной текст (2) + Не курсив"/>
    <w:basedOn w:val="2f0"/>
    <w:rsid w:val="0026491A"/>
    <w:rPr>
      <w:rFonts w:ascii="Arial Narrow" w:eastAsia="Arial Narrow" w:hAnsi="Arial Narrow" w:cs="Arial Narrow"/>
      <w:b w:val="0"/>
      <w:bCs w:val="0"/>
      <w:i/>
      <w:iCs/>
      <w:smallCaps w:val="0"/>
      <w:strike w:val="0"/>
      <w:spacing w:val="0"/>
      <w:w w:val="100"/>
      <w:sz w:val="19"/>
      <w:szCs w:val="19"/>
      <w:shd w:val="clear" w:color="auto" w:fill="FFFFFF"/>
    </w:rPr>
  </w:style>
  <w:style w:type="character" w:customStyle="1" w:styleId="8pt0">
    <w:name w:val="Основной текст + 8 pt;Полужирный"/>
    <w:basedOn w:val="aff0"/>
    <w:rsid w:val="0026491A"/>
    <w:rPr>
      <w:rFonts w:ascii="Batang" w:eastAsia="Batang" w:hAnsi="Batang" w:cs="Batang"/>
      <w:b/>
      <w:bCs/>
      <w:i w:val="0"/>
      <w:iCs w:val="0"/>
      <w:smallCaps w:val="0"/>
      <w:strike w:val="0"/>
      <w:spacing w:val="0"/>
      <w:sz w:val="16"/>
      <w:szCs w:val="16"/>
      <w:shd w:val="clear" w:color="auto" w:fill="FFFFFF"/>
    </w:rPr>
  </w:style>
  <w:style w:type="character" w:customStyle="1" w:styleId="285pt">
    <w:name w:val="Основной текст (2) + 8;5 pt"/>
    <w:basedOn w:val="2f0"/>
    <w:rsid w:val="0026491A"/>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210pt0pt">
    <w:name w:val="Основной текст (2) + 10 pt;Полужирный;Интервал 0 pt"/>
    <w:basedOn w:val="2f0"/>
    <w:rsid w:val="0026491A"/>
    <w:rPr>
      <w:rFonts w:ascii="Arial Narrow" w:eastAsia="Arial Narrow" w:hAnsi="Arial Narrow" w:cs="Arial Narrow"/>
      <w:b/>
      <w:bCs/>
      <w:i w:val="0"/>
      <w:iCs w:val="0"/>
      <w:smallCaps w:val="0"/>
      <w:strike w:val="0"/>
      <w:spacing w:val="-10"/>
      <w:w w:val="100"/>
      <w:sz w:val="20"/>
      <w:szCs w:val="20"/>
      <w:shd w:val="clear" w:color="auto" w:fill="FFFFFF"/>
    </w:rPr>
  </w:style>
  <w:style w:type="character" w:customStyle="1" w:styleId="20pt0">
    <w:name w:val="Основной текст (2) + Полужирный;Интервал 0 pt"/>
    <w:basedOn w:val="2f0"/>
    <w:rsid w:val="0026491A"/>
    <w:rPr>
      <w:rFonts w:ascii="Arial Narrow" w:eastAsia="Arial Narrow" w:hAnsi="Arial Narrow" w:cs="Arial Narrow"/>
      <w:b/>
      <w:bCs/>
      <w:i w:val="0"/>
      <w:iCs w:val="0"/>
      <w:smallCaps w:val="0"/>
      <w:strike w:val="0"/>
      <w:spacing w:val="-10"/>
      <w:w w:val="100"/>
      <w:sz w:val="19"/>
      <w:szCs w:val="19"/>
      <w:shd w:val="clear" w:color="auto" w:fill="FFFFFF"/>
    </w:rPr>
  </w:style>
  <w:style w:type="character" w:customStyle="1" w:styleId="11-1pt">
    <w:name w:val="Основной текст (11) + Интервал -1 pt"/>
    <w:basedOn w:val="a0"/>
    <w:rsid w:val="0026491A"/>
    <w:rPr>
      <w:rFonts w:ascii="Segoe UI" w:eastAsia="Segoe UI" w:hAnsi="Segoe UI" w:cs="Segoe UI"/>
      <w:b w:val="0"/>
      <w:bCs w:val="0"/>
      <w:i w:val="0"/>
      <w:iCs w:val="0"/>
      <w:smallCaps w:val="0"/>
      <w:strike w:val="0"/>
      <w:spacing w:val="-20"/>
      <w:sz w:val="17"/>
      <w:szCs w:val="17"/>
    </w:rPr>
  </w:style>
  <w:style w:type="character" w:customStyle="1" w:styleId="345pt">
    <w:name w:val="Основной текст + 34;5 pt"/>
    <w:basedOn w:val="aff0"/>
    <w:rsid w:val="0026491A"/>
    <w:rPr>
      <w:rFonts w:ascii="Arial Narrow" w:eastAsia="Arial Narrow" w:hAnsi="Arial Narrow" w:cs="Arial Narrow"/>
      <w:b w:val="0"/>
      <w:bCs w:val="0"/>
      <w:i w:val="0"/>
      <w:iCs w:val="0"/>
      <w:smallCaps w:val="0"/>
      <w:strike w:val="0"/>
      <w:spacing w:val="0"/>
      <w:w w:val="100"/>
      <w:sz w:val="69"/>
      <w:szCs w:val="69"/>
      <w:shd w:val="clear" w:color="auto" w:fill="FFFFFF"/>
    </w:rPr>
  </w:style>
  <w:style w:type="paragraph" w:customStyle="1" w:styleId="175">
    <w:name w:val="Основной текст17"/>
    <w:basedOn w:val="a"/>
    <w:rsid w:val="0026491A"/>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character" w:customStyle="1" w:styleId="142">
    <w:name w:val="Заголовок №14_"/>
    <w:basedOn w:val="a0"/>
    <w:link w:val="140"/>
    <w:rsid w:val="0026491A"/>
    <w:rPr>
      <w:rFonts w:ascii="Tahoma" w:hAnsi="Tahoma" w:cs="Tahoma"/>
      <w:sz w:val="30"/>
      <w:szCs w:val="30"/>
      <w:shd w:val="clear" w:color="auto" w:fill="FFFFFF"/>
      <w:lang w:eastAsia="en-US"/>
    </w:rPr>
  </w:style>
  <w:style w:type="character" w:customStyle="1" w:styleId="95pt2">
    <w:name w:val="Основной текст + 9;5 pt;Курсив"/>
    <w:basedOn w:val="aff0"/>
    <w:rsid w:val="0026491A"/>
    <w:rPr>
      <w:rFonts w:ascii="Arial Narrow" w:eastAsia="Arial Narrow" w:hAnsi="Arial Narrow" w:cs="Arial Narrow"/>
      <w:b w:val="0"/>
      <w:bCs w:val="0"/>
      <w:i/>
      <w:iCs/>
      <w:smallCaps w:val="0"/>
      <w:strike w:val="0"/>
      <w:spacing w:val="0"/>
      <w:w w:val="100"/>
      <w:sz w:val="19"/>
      <w:szCs w:val="19"/>
      <w:shd w:val="clear" w:color="auto" w:fill="FFFFFF"/>
      <w:lang w:val="en-US"/>
    </w:rPr>
  </w:style>
  <w:style w:type="paragraph" w:customStyle="1" w:styleId="Pa151">
    <w:name w:val="Pa15+1"/>
    <w:basedOn w:val="a"/>
    <w:next w:val="a"/>
    <w:uiPriority w:val="99"/>
    <w:rsid w:val="0026491A"/>
    <w:pPr>
      <w:autoSpaceDE w:val="0"/>
      <w:autoSpaceDN w:val="0"/>
      <w:adjustRightInd w:val="0"/>
      <w:spacing w:after="0" w:line="201" w:lineRule="atLeast"/>
    </w:pPr>
    <w:rPr>
      <w:rFonts w:ascii="OfficinaSansC" w:eastAsiaTheme="minorHAnsi" w:hAnsi="OfficinaSansC" w:cstheme="minorBidi"/>
      <w:sz w:val="24"/>
      <w:szCs w:val="24"/>
    </w:rPr>
  </w:style>
  <w:style w:type="paragraph" w:styleId="afffa">
    <w:name w:val="No Spacing"/>
    <w:basedOn w:val="a"/>
    <w:uiPriority w:val="1"/>
    <w:qFormat/>
    <w:rsid w:val="001236CC"/>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731">
    <w:name w:val="Основной текст73"/>
    <w:basedOn w:val="aff0"/>
    <w:rsid w:val="00EE5E6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0"/>
    <w:rsid w:val="00EE5E6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1">
    <w:name w:val="Основной текст76"/>
    <w:basedOn w:val="aff0"/>
    <w:rsid w:val="00EE5E6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41">
    <w:name w:val="Основной текст74"/>
    <w:basedOn w:val="aff0"/>
    <w:rsid w:val="00EE5E60"/>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714">
    <w:name w:val="Основной текст71"/>
    <w:basedOn w:val="aff0"/>
    <w:rsid w:val="00685C9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24">
    <w:name w:val="Основной текст72"/>
    <w:basedOn w:val="aff0"/>
    <w:rsid w:val="00685C9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227">
    <w:name w:val="Основной текст22"/>
    <w:basedOn w:val="a"/>
    <w:rsid w:val="00E00AAF"/>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20pt">
    <w:name w:val="Основной текст (12) + Не курсив;Интервал 0 pt"/>
    <w:basedOn w:val="127"/>
    <w:rsid w:val="00A41A9A"/>
    <w:rPr>
      <w:rFonts w:ascii="Microsoft Sans Serif" w:eastAsia="Microsoft Sans Serif" w:hAnsi="Microsoft Sans Serif" w:cs="Microsoft Sans Serif"/>
      <w:b w:val="0"/>
      <w:bCs w:val="0"/>
      <w:i/>
      <w:iCs/>
      <w:smallCaps w:val="0"/>
      <w:strike w:val="0"/>
      <w:spacing w:val="0"/>
      <w:w w:val="80"/>
      <w:sz w:val="15"/>
      <w:szCs w:val="15"/>
      <w:shd w:val="clear" w:color="auto" w:fill="FFFFFF"/>
    </w:rPr>
  </w:style>
  <w:style w:type="character" w:customStyle="1" w:styleId="811">
    <w:name w:val="Основной текст81"/>
    <w:basedOn w:val="aff0"/>
    <w:rsid w:val="00D31A84"/>
    <w:rPr>
      <w:rFonts w:ascii="Segoe UI" w:eastAsia="Segoe UI" w:hAnsi="Segoe UI" w:cs="Segoe UI"/>
      <w:b w:val="0"/>
      <w:bCs w:val="0"/>
      <w:i w:val="0"/>
      <w:iCs w:val="0"/>
      <w:smallCaps w:val="0"/>
      <w:strike w:val="0"/>
      <w:spacing w:val="0"/>
      <w:sz w:val="14"/>
      <w:szCs w:val="14"/>
      <w:shd w:val="clear" w:color="auto" w:fill="FFFFFF"/>
    </w:rPr>
  </w:style>
  <w:style w:type="character" w:customStyle="1" w:styleId="ArialNarrow0">
    <w:name w:val="Основной текст + Arial Narrow;Курсив"/>
    <w:basedOn w:val="aff0"/>
    <w:rsid w:val="00066B41"/>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20ArialUnicodeMS">
    <w:name w:val="Основной текст (20) + Arial Unicode MS;Не курсив"/>
    <w:basedOn w:val="200"/>
    <w:rsid w:val="00066B41"/>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SegoeUI75pt">
    <w:name w:val="Основной текст + Segoe UI;7;5 pt;Курсив"/>
    <w:basedOn w:val="aff0"/>
    <w:rsid w:val="002B13D2"/>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0"/>
    <w:rsid w:val="002B13D2"/>
    <w:rPr>
      <w:rFonts w:ascii="Tahoma" w:eastAsia="Tahoma" w:hAnsi="Tahoma" w:cs="Tahoma"/>
      <w:b w:val="0"/>
      <w:bCs w:val="0"/>
      <w:i/>
      <w:iCs/>
      <w:smallCaps w:val="0"/>
      <w:strike w:val="0"/>
      <w:noProof/>
      <w:spacing w:val="0"/>
      <w:sz w:val="13"/>
      <w:szCs w:val="13"/>
      <w:shd w:val="clear" w:color="auto" w:fill="FFFFFF"/>
      <w:lang w:val="en-US" w:eastAsia="en-US"/>
    </w:rPr>
  </w:style>
  <w:style w:type="character" w:customStyle="1" w:styleId="afffb">
    <w:name w:val="Другое_"/>
    <w:basedOn w:val="a0"/>
    <w:link w:val="afffc"/>
    <w:rsid w:val="00F42D89"/>
    <w:rPr>
      <w:rFonts w:ascii="Arial" w:eastAsia="Arial" w:hAnsi="Arial" w:cs="Arial"/>
      <w:sz w:val="17"/>
      <w:szCs w:val="17"/>
    </w:rPr>
  </w:style>
  <w:style w:type="paragraph" w:customStyle="1" w:styleId="afffc">
    <w:name w:val="Другое"/>
    <w:basedOn w:val="a"/>
    <w:link w:val="afffb"/>
    <w:rsid w:val="00F42D89"/>
    <w:pPr>
      <w:widowControl w:val="0"/>
      <w:spacing w:after="0" w:line="240" w:lineRule="auto"/>
      <w:ind w:firstLine="180"/>
    </w:pPr>
    <w:rPr>
      <w:rFonts w:ascii="Arial" w:eastAsia="Arial" w:hAnsi="Arial" w:cs="Arial"/>
      <w:sz w:val="17"/>
      <w:szCs w:val="17"/>
      <w:lang w:eastAsia="ru-RU"/>
    </w:rPr>
  </w:style>
  <w:style w:type="character" w:customStyle="1" w:styleId="860">
    <w:name w:val="Основной текст86"/>
    <w:basedOn w:val="aff0"/>
    <w:rsid w:val="00AC6661"/>
    <w:rPr>
      <w:rFonts w:ascii="Segoe UI" w:eastAsia="Segoe UI" w:hAnsi="Segoe UI" w:cs="Segoe UI"/>
      <w:b w:val="0"/>
      <w:bCs w:val="0"/>
      <w:i w:val="0"/>
      <w:iCs w:val="0"/>
      <w:smallCaps w:val="0"/>
      <w:strike w:val="0"/>
      <w:spacing w:val="0"/>
      <w:sz w:val="14"/>
      <w:szCs w:val="14"/>
      <w:shd w:val="clear" w:color="auto" w:fill="FFFFFF"/>
    </w:rPr>
  </w:style>
  <w:style w:type="character" w:customStyle="1" w:styleId="770">
    <w:name w:val="Основной текст77"/>
    <w:basedOn w:val="aff0"/>
    <w:rsid w:val="005C674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2">
    <w:name w:val="Основной текст68"/>
    <w:basedOn w:val="aff0"/>
    <w:rsid w:val="005C674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
    <w:rsid w:val="005C6740"/>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29866">
      <w:bodyDiv w:val="1"/>
      <w:marLeft w:val="0"/>
      <w:marRight w:val="0"/>
      <w:marTop w:val="0"/>
      <w:marBottom w:val="0"/>
      <w:divBdr>
        <w:top w:val="none" w:sz="0" w:space="0" w:color="auto"/>
        <w:left w:val="none" w:sz="0" w:space="0" w:color="auto"/>
        <w:bottom w:val="none" w:sz="0" w:space="0" w:color="auto"/>
        <w:right w:val="none" w:sz="0" w:space="0" w:color="auto"/>
      </w:divBdr>
      <w:divsChild>
        <w:div w:id="439840152">
          <w:marLeft w:val="0"/>
          <w:marRight w:val="0"/>
          <w:marTop w:val="0"/>
          <w:marBottom w:val="0"/>
          <w:divBdr>
            <w:top w:val="none" w:sz="0" w:space="0" w:color="auto"/>
            <w:left w:val="none" w:sz="0" w:space="0" w:color="auto"/>
            <w:bottom w:val="none" w:sz="0" w:space="0" w:color="auto"/>
            <w:right w:val="none" w:sz="0" w:space="0" w:color="auto"/>
          </w:divBdr>
          <w:divsChild>
            <w:div w:id="843472363">
              <w:marLeft w:val="0"/>
              <w:marRight w:val="0"/>
              <w:marTop w:val="0"/>
              <w:marBottom w:val="0"/>
              <w:divBdr>
                <w:top w:val="none" w:sz="0" w:space="0" w:color="auto"/>
                <w:left w:val="none" w:sz="0" w:space="0" w:color="auto"/>
                <w:bottom w:val="none" w:sz="0" w:space="0" w:color="auto"/>
                <w:right w:val="none" w:sz="0" w:space="0" w:color="auto"/>
              </w:divBdr>
              <w:divsChild>
                <w:div w:id="2123450404">
                  <w:marLeft w:val="0"/>
                  <w:marRight w:val="0"/>
                  <w:marTop w:val="0"/>
                  <w:marBottom w:val="0"/>
                  <w:divBdr>
                    <w:top w:val="none" w:sz="0" w:space="0" w:color="auto"/>
                    <w:left w:val="none" w:sz="0" w:space="0" w:color="auto"/>
                    <w:bottom w:val="none" w:sz="0" w:space="0" w:color="auto"/>
                    <w:right w:val="none" w:sz="0" w:space="0" w:color="auto"/>
                  </w:divBdr>
                  <w:divsChild>
                    <w:div w:id="392433752">
                      <w:marLeft w:val="0"/>
                      <w:marRight w:val="0"/>
                      <w:marTop w:val="0"/>
                      <w:marBottom w:val="0"/>
                      <w:divBdr>
                        <w:top w:val="none" w:sz="0" w:space="0" w:color="auto"/>
                        <w:left w:val="none" w:sz="0" w:space="0" w:color="auto"/>
                        <w:bottom w:val="none" w:sz="0" w:space="0" w:color="auto"/>
                        <w:right w:val="none" w:sz="0" w:space="0" w:color="auto"/>
                      </w:divBdr>
                      <w:divsChild>
                        <w:div w:id="62843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28090">
      <w:bodyDiv w:val="1"/>
      <w:marLeft w:val="0"/>
      <w:marRight w:val="0"/>
      <w:marTop w:val="0"/>
      <w:marBottom w:val="0"/>
      <w:divBdr>
        <w:top w:val="none" w:sz="0" w:space="0" w:color="auto"/>
        <w:left w:val="none" w:sz="0" w:space="0" w:color="auto"/>
        <w:bottom w:val="none" w:sz="0" w:space="0" w:color="auto"/>
        <w:right w:val="none" w:sz="0" w:space="0" w:color="auto"/>
      </w:divBdr>
      <w:divsChild>
        <w:div w:id="1019236471">
          <w:marLeft w:val="0"/>
          <w:marRight w:val="0"/>
          <w:marTop w:val="0"/>
          <w:marBottom w:val="0"/>
          <w:divBdr>
            <w:top w:val="none" w:sz="0" w:space="0" w:color="auto"/>
            <w:left w:val="none" w:sz="0" w:space="0" w:color="auto"/>
            <w:bottom w:val="none" w:sz="0" w:space="0" w:color="auto"/>
            <w:right w:val="none" w:sz="0" w:space="0" w:color="auto"/>
          </w:divBdr>
          <w:divsChild>
            <w:div w:id="607079574">
              <w:marLeft w:val="0"/>
              <w:marRight w:val="0"/>
              <w:marTop w:val="0"/>
              <w:marBottom w:val="0"/>
              <w:divBdr>
                <w:top w:val="none" w:sz="0" w:space="0" w:color="auto"/>
                <w:left w:val="none" w:sz="0" w:space="0" w:color="auto"/>
                <w:bottom w:val="none" w:sz="0" w:space="0" w:color="auto"/>
                <w:right w:val="none" w:sz="0" w:space="0" w:color="auto"/>
              </w:divBdr>
              <w:divsChild>
                <w:div w:id="1261911435">
                  <w:marLeft w:val="0"/>
                  <w:marRight w:val="0"/>
                  <w:marTop w:val="0"/>
                  <w:marBottom w:val="0"/>
                  <w:divBdr>
                    <w:top w:val="none" w:sz="0" w:space="0" w:color="auto"/>
                    <w:left w:val="none" w:sz="0" w:space="0" w:color="auto"/>
                    <w:bottom w:val="none" w:sz="0" w:space="0" w:color="auto"/>
                    <w:right w:val="none" w:sz="0" w:space="0" w:color="auto"/>
                  </w:divBdr>
                  <w:divsChild>
                    <w:div w:id="1921064904">
                      <w:marLeft w:val="0"/>
                      <w:marRight w:val="0"/>
                      <w:marTop w:val="0"/>
                      <w:marBottom w:val="0"/>
                      <w:divBdr>
                        <w:top w:val="none" w:sz="0" w:space="0" w:color="auto"/>
                        <w:left w:val="none" w:sz="0" w:space="0" w:color="auto"/>
                        <w:bottom w:val="none" w:sz="0" w:space="0" w:color="auto"/>
                        <w:right w:val="none" w:sz="0" w:space="0" w:color="auto"/>
                      </w:divBdr>
                      <w:divsChild>
                        <w:div w:id="130025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6788032">
      <w:bodyDiv w:val="1"/>
      <w:marLeft w:val="0"/>
      <w:marRight w:val="0"/>
      <w:marTop w:val="0"/>
      <w:marBottom w:val="0"/>
      <w:divBdr>
        <w:top w:val="none" w:sz="0" w:space="0" w:color="auto"/>
        <w:left w:val="none" w:sz="0" w:space="0" w:color="auto"/>
        <w:bottom w:val="none" w:sz="0" w:space="0" w:color="auto"/>
        <w:right w:val="none" w:sz="0" w:space="0" w:color="auto"/>
      </w:divBdr>
      <w:divsChild>
        <w:div w:id="687561168">
          <w:marLeft w:val="0"/>
          <w:marRight w:val="0"/>
          <w:marTop w:val="0"/>
          <w:marBottom w:val="0"/>
          <w:divBdr>
            <w:top w:val="none" w:sz="0" w:space="0" w:color="auto"/>
            <w:left w:val="none" w:sz="0" w:space="0" w:color="auto"/>
            <w:bottom w:val="none" w:sz="0" w:space="0" w:color="auto"/>
            <w:right w:val="none" w:sz="0" w:space="0" w:color="auto"/>
          </w:divBdr>
        </w:div>
      </w:divsChild>
    </w:div>
    <w:div w:id="843858458">
      <w:bodyDiv w:val="1"/>
      <w:marLeft w:val="0"/>
      <w:marRight w:val="0"/>
      <w:marTop w:val="0"/>
      <w:marBottom w:val="0"/>
      <w:divBdr>
        <w:top w:val="none" w:sz="0" w:space="0" w:color="auto"/>
        <w:left w:val="none" w:sz="0" w:space="0" w:color="auto"/>
        <w:bottom w:val="none" w:sz="0" w:space="0" w:color="auto"/>
        <w:right w:val="none" w:sz="0" w:space="0" w:color="auto"/>
      </w:divBdr>
      <w:divsChild>
        <w:div w:id="4670720">
          <w:marLeft w:val="0"/>
          <w:marRight w:val="0"/>
          <w:marTop w:val="0"/>
          <w:marBottom w:val="0"/>
          <w:divBdr>
            <w:top w:val="none" w:sz="0" w:space="0" w:color="auto"/>
            <w:left w:val="none" w:sz="0" w:space="0" w:color="auto"/>
            <w:bottom w:val="none" w:sz="0" w:space="0" w:color="auto"/>
            <w:right w:val="none" w:sz="0" w:space="0" w:color="auto"/>
          </w:divBdr>
          <w:divsChild>
            <w:div w:id="338123505">
              <w:marLeft w:val="0"/>
              <w:marRight w:val="0"/>
              <w:marTop w:val="0"/>
              <w:marBottom w:val="0"/>
              <w:divBdr>
                <w:top w:val="none" w:sz="0" w:space="0" w:color="auto"/>
                <w:left w:val="none" w:sz="0" w:space="0" w:color="auto"/>
                <w:bottom w:val="none" w:sz="0" w:space="0" w:color="auto"/>
                <w:right w:val="none" w:sz="0" w:space="0" w:color="auto"/>
              </w:divBdr>
              <w:divsChild>
                <w:div w:id="1927180293">
                  <w:marLeft w:val="0"/>
                  <w:marRight w:val="0"/>
                  <w:marTop w:val="0"/>
                  <w:marBottom w:val="0"/>
                  <w:divBdr>
                    <w:top w:val="none" w:sz="0" w:space="0" w:color="auto"/>
                    <w:left w:val="none" w:sz="0" w:space="0" w:color="auto"/>
                    <w:bottom w:val="none" w:sz="0" w:space="0" w:color="auto"/>
                    <w:right w:val="none" w:sz="0" w:space="0" w:color="auto"/>
                  </w:divBdr>
                  <w:divsChild>
                    <w:div w:id="307826862">
                      <w:marLeft w:val="0"/>
                      <w:marRight w:val="0"/>
                      <w:marTop w:val="0"/>
                      <w:marBottom w:val="0"/>
                      <w:divBdr>
                        <w:top w:val="none" w:sz="0" w:space="0" w:color="auto"/>
                        <w:left w:val="none" w:sz="0" w:space="0" w:color="auto"/>
                        <w:bottom w:val="none" w:sz="0" w:space="0" w:color="auto"/>
                        <w:right w:val="none" w:sz="0" w:space="0" w:color="auto"/>
                      </w:divBdr>
                      <w:divsChild>
                        <w:div w:id="49827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5748531">
      <w:bodyDiv w:val="1"/>
      <w:marLeft w:val="0"/>
      <w:marRight w:val="0"/>
      <w:marTop w:val="0"/>
      <w:marBottom w:val="0"/>
      <w:divBdr>
        <w:top w:val="none" w:sz="0" w:space="0" w:color="auto"/>
        <w:left w:val="none" w:sz="0" w:space="0" w:color="auto"/>
        <w:bottom w:val="none" w:sz="0" w:space="0" w:color="auto"/>
        <w:right w:val="none" w:sz="0" w:space="0" w:color="auto"/>
      </w:divBdr>
      <w:divsChild>
        <w:div w:id="462624130">
          <w:marLeft w:val="0"/>
          <w:marRight w:val="0"/>
          <w:marTop w:val="0"/>
          <w:marBottom w:val="0"/>
          <w:divBdr>
            <w:top w:val="none" w:sz="0" w:space="0" w:color="auto"/>
            <w:left w:val="none" w:sz="0" w:space="0" w:color="auto"/>
            <w:bottom w:val="none" w:sz="0" w:space="0" w:color="auto"/>
            <w:right w:val="none" w:sz="0" w:space="0" w:color="auto"/>
          </w:divBdr>
          <w:divsChild>
            <w:div w:id="672220923">
              <w:marLeft w:val="0"/>
              <w:marRight w:val="0"/>
              <w:marTop w:val="0"/>
              <w:marBottom w:val="0"/>
              <w:divBdr>
                <w:top w:val="none" w:sz="0" w:space="0" w:color="auto"/>
                <w:left w:val="none" w:sz="0" w:space="0" w:color="auto"/>
                <w:bottom w:val="none" w:sz="0" w:space="0" w:color="auto"/>
                <w:right w:val="none" w:sz="0" w:space="0" w:color="auto"/>
              </w:divBdr>
              <w:divsChild>
                <w:div w:id="1687247806">
                  <w:marLeft w:val="0"/>
                  <w:marRight w:val="0"/>
                  <w:marTop w:val="0"/>
                  <w:marBottom w:val="0"/>
                  <w:divBdr>
                    <w:top w:val="none" w:sz="0" w:space="0" w:color="auto"/>
                    <w:left w:val="none" w:sz="0" w:space="0" w:color="auto"/>
                    <w:bottom w:val="none" w:sz="0" w:space="0" w:color="auto"/>
                    <w:right w:val="none" w:sz="0" w:space="0" w:color="auto"/>
                  </w:divBdr>
                  <w:divsChild>
                    <w:div w:id="1043866475">
                      <w:marLeft w:val="0"/>
                      <w:marRight w:val="0"/>
                      <w:marTop w:val="0"/>
                      <w:marBottom w:val="0"/>
                      <w:divBdr>
                        <w:top w:val="none" w:sz="0" w:space="0" w:color="auto"/>
                        <w:left w:val="none" w:sz="0" w:space="0" w:color="auto"/>
                        <w:bottom w:val="none" w:sz="0" w:space="0" w:color="auto"/>
                        <w:right w:val="none" w:sz="0" w:space="0" w:color="auto"/>
                      </w:divBdr>
                      <w:divsChild>
                        <w:div w:id="210602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931252">
      <w:bodyDiv w:val="1"/>
      <w:marLeft w:val="0"/>
      <w:marRight w:val="0"/>
      <w:marTop w:val="0"/>
      <w:marBottom w:val="0"/>
      <w:divBdr>
        <w:top w:val="none" w:sz="0" w:space="0" w:color="auto"/>
        <w:left w:val="none" w:sz="0" w:space="0" w:color="auto"/>
        <w:bottom w:val="none" w:sz="0" w:space="0" w:color="auto"/>
        <w:right w:val="none" w:sz="0" w:space="0" w:color="auto"/>
      </w:divBdr>
      <w:divsChild>
        <w:div w:id="80881535">
          <w:marLeft w:val="0"/>
          <w:marRight w:val="0"/>
          <w:marTop w:val="0"/>
          <w:marBottom w:val="0"/>
          <w:divBdr>
            <w:top w:val="none" w:sz="0" w:space="0" w:color="auto"/>
            <w:left w:val="none" w:sz="0" w:space="0" w:color="auto"/>
            <w:bottom w:val="none" w:sz="0" w:space="0" w:color="auto"/>
            <w:right w:val="none" w:sz="0" w:space="0" w:color="auto"/>
          </w:divBdr>
          <w:divsChild>
            <w:div w:id="318309460">
              <w:marLeft w:val="0"/>
              <w:marRight w:val="0"/>
              <w:marTop w:val="0"/>
              <w:marBottom w:val="0"/>
              <w:divBdr>
                <w:top w:val="none" w:sz="0" w:space="0" w:color="auto"/>
                <w:left w:val="none" w:sz="0" w:space="0" w:color="auto"/>
                <w:bottom w:val="none" w:sz="0" w:space="0" w:color="auto"/>
                <w:right w:val="none" w:sz="0" w:space="0" w:color="auto"/>
              </w:divBdr>
              <w:divsChild>
                <w:div w:id="1804730382">
                  <w:marLeft w:val="0"/>
                  <w:marRight w:val="0"/>
                  <w:marTop w:val="0"/>
                  <w:marBottom w:val="0"/>
                  <w:divBdr>
                    <w:top w:val="none" w:sz="0" w:space="0" w:color="auto"/>
                    <w:left w:val="none" w:sz="0" w:space="0" w:color="auto"/>
                    <w:bottom w:val="none" w:sz="0" w:space="0" w:color="auto"/>
                    <w:right w:val="none" w:sz="0" w:space="0" w:color="auto"/>
                  </w:divBdr>
                  <w:divsChild>
                    <w:div w:id="733551901">
                      <w:marLeft w:val="0"/>
                      <w:marRight w:val="0"/>
                      <w:marTop w:val="300"/>
                      <w:marBottom w:val="600"/>
                      <w:divBdr>
                        <w:top w:val="none" w:sz="0" w:space="0" w:color="auto"/>
                        <w:left w:val="none" w:sz="0" w:space="0" w:color="auto"/>
                        <w:bottom w:val="none" w:sz="0" w:space="0" w:color="auto"/>
                        <w:right w:val="none" w:sz="0" w:space="0" w:color="auto"/>
                      </w:divBdr>
                      <w:divsChild>
                        <w:div w:id="1352608448">
                          <w:marLeft w:val="0"/>
                          <w:marRight w:val="0"/>
                          <w:marTop w:val="0"/>
                          <w:marBottom w:val="0"/>
                          <w:divBdr>
                            <w:top w:val="none" w:sz="0" w:space="0" w:color="auto"/>
                            <w:left w:val="none" w:sz="0" w:space="0" w:color="auto"/>
                            <w:bottom w:val="none" w:sz="0" w:space="0" w:color="auto"/>
                            <w:right w:val="none" w:sz="0" w:space="0" w:color="auto"/>
                          </w:divBdr>
                          <w:divsChild>
                            <w:div w:id="1608001627">
                              <w:marLeft w:val="0"/>
                              <w:marRight w:val="0"/>
                              <w:marTop w:val="0"/>
                              <w:marBottom w:val="0"/>
                              <w:divBdr>
                                <w:top w:val="none" w:sz="0" w:space="0" w:color="auto"/>
                                <w:left w:val="none" w:sz="0" w:space="0" w:color="auto"/>
                                <w:bottom w:val="none" w:sz="0" w:space="0" w:color="auto"/>
                                <w:right w:val="none" w:sz="0" w:space="0" w:color="auto"/>
                              </w:divBdr>
                              <w:divsChild>
                                <w:div w:id="1844319896">
                                  <w:marLeft w:val="0"/>
                                  <w:marRight w:val="0"/>
                                  <w:marTop w:val="0"/>
                                  <w:marBottom w:val="0"/>
                                  <w:divBdr>
                                    <w:top w:val="none" w:sz="0" w:space="0" w:color="auto"/>
                                    <w:left w:val="none" w:sz="0" w:space="0" w:color="auto"/>
                                    <w:bottom w:val="none" w:sz="0" w:space="0" w:color="auto"/>
                                    <w:right w:val="none" w:sz="0" w:space="0" w:color="auto"/>
                                  </w:divBdr>
                                  <w:divsChild>
                                    <w:div w:id="718818809">
                                      <w:marLeft w:val="0"/>
                                      <w:marRight w:val="0"/>
                                      <w:marTop w:val="0"/>
                                      <w:marBottom w:val="0"/>
                                      <w:divBdr>
                                        <w:top w:val="none" w:sz="0" w:space="0" w:color="auto"/>
                                        <w:left w:val="none" w:sz="0" w:space="0" w:color="auto"/>
                                        <w:bottom w:val="none" w:sz="0" w:space="0" w:color="auto"/>
                                        <w:right w:val="none" w:sz="0" w:space="0" w:color="auto"/>
                                      </w:divBdr>
                                      <w:divsChild>
                                        <w:div w:id="2061899972">
                                          <w:marLeft w:val="0"/>
                                          <w:marRight w:val="0"/>
                                          <w:marTop w:val="150"/>
                                          <w:marBottom w:val="0"/>
                                          <w:divBdr>
                                            <w:top w:val="none" w:sz="0" w:space="0" w:color="auto"/>
                                            <w:left w:val="none" w:sz="0" w:space="0" w:color="auto"/>
                                            <w:bottom w:val="none" w:sz="0" w:space="0" w:color="auto"/>
                                            <w:right w:val="none" w:sz="0" w:space="0" w:color="auto"/>
                                          </w:divBdr>
                                          <w:divsChild>
                                            <w:div w:id="1631668439">
                                              <w:marLeft w:val="0"/>
                                              <w:marRight w:val="0"/>
                                              <w:marTop w:val="0"/>
                                              <w:marBottom w:val="0"/>
                                              <w:divBdr>
                                                <w:top w:val="none" w:sz="0" w:space="0" w:color="auto"/>
                                                <w:left w:val="none" w:sz="0" w:space="0" w:color="auto"/>
                                                <w:bottom w:val="none" w:sz="0" w:space="0" w:color="auto"/>
                                                <w:right w:val="none" w:sz="0" w:space="0" w:color="auto"/>
                                              </w:divBdr>
                                              <w:divsChild>
                                                <w:div w:id="477724640">
                                                  <w:marLeft w:val="0"/>
                                                  <w:marRight w:val="0"/>
                                                  <w:marTop w:val="150"/>
                                                  <w:marBottom w:val="0"/>
                                                  <w:divBdr>
                                                    <w:top w:val="none" w:sz="0" w:space="0" w:color="auto"/>
                                                    <w:left w:val="none" w:sz="0" w:space="0" w:color="auto"/>
                                                    <w:bottom w:val="none" w:sz="0" w:space="0" w:color="auto"/>
                                                    <w:right w:val="none" w:sz="0" w:space="0" w:color="auto"/>
                                                  </w:divBdr>
                                                  <w:divsChild>
                                                    <w:div w:id="1535540887">
                                                      <w:marLeft w:val="0"/>
                                                      <w:marRight w:val="0"/>
                                                      <w:marTop w:val="0"/>
                                                      <w:marBottom w:val="0"/>
                                                      <w:divBdr>
                                                        <w:top w:val="none" w:sz="0" w:space="0" w:color="auto"/>
                                                        <w:left w:val="none" w:sz="0" w:space="0" w:color="auto"/>
                                                        <w:bottom w:val="none" w:sz="0" w:space="0" w:color="auto"/>
                                                        <w:right w:val="none" w:sz="0" w:space="0" w:color="auto"/>
                                                      </w:divBdr>
                                                      <w:divsChild>
                                                        <w:div w:id="1907258212">
                                                          <w:marLeft w:val="0"/>
                                                          <w:marRight w:val="0"/>
                                                          <w:marTop w:val="0"/>
                                                          <w:marBottom w:val="0"/>
                                                          <w:divBdr>
                                                            <w:top w:val="none" w:sz="0" w:space="0" w:color="auto"/>
                                                            <w:left w:val="none" w:sz="0" w:space="0" w:color="auto"/>
                                                            <w:bottom w:val="none" w:sz="0" w:space="0" w:color="auto"/>
                                                            <w:right w:val="none" w:sz="0" w:space="0" w:color="auto"/>
                                                          </w:divBdr>
                                                          <w:divsChild>
                                                            <w:div w:id="127795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86747015">
      <w:bodyDiv w:val="1"/>
      <w:marLeft w:val="0"/>
      <w:marRight w:val="0"/>
      <w:marTop w:val="0"/>
      <w:marBottom w:val="0"/>
      <w:divBdr>
        <w:top w:val="none" w:sz="0" w:space="0" w:color="auto"/>
        <w:left w:val="none" w:sz="0" w:space="0" w:color="auto"/>
        <w:bottom w:val="none" w:sz="0" w:space="0" w:color="auto"/>
        <w:right w:val="none" w:sz="0" w:space="0" w:color="auto"/>
      </w:divBdr>
      <w:divsChild>
        <w:div w:id="1596129909">
          <w:marLeft w:val="0"/>
          <w:marRight w:val="0"/>
          <w:marTop w:val="0"/>
          <w:marBottom w:val="0"/>
          <w:divBdr>
            <w:top w:val="none" w:sz="0" w:space="0" w:color="auto"/>
            <w:left w:val="none" w:sz="0" w:space="0" w:color="auto"/>
            <w:bottom w:val="none" w:sz="0" w:space="0" w:color="auto"/>
            <w:right w:val="none" w:sz="0" w:space="0" w:color="auto"/>
          </w:divBdr>
          <w:divsChild>
            <w:div w:id="205797229">
              <w:marLeft w:val="0"/>
              <w:marRight w:val="0"/>
              <w:marTop w:val="0"/>
              <w:marBottom w:val="0"/>
              <w:divBdr>
                <w:top w:val="none" w:sz="0" w:space="0" w:color="auto"/>
                <w:left w:val="none" w:sz="0" w:space="0" w:color="auto"/>
                <w:bottom w:val="none" w:sz="0" w:space="0" w:color="auto"/>
                <w:right w:val="none" w:sz="0" w:space="0" w:color="auto"/>
              </w:divBdr>
              <w:divsChild>
                <w:div w:id="322008413">
                  <w:marLeft w:val="0"/>
                  <w:marRight w:val="0"/>
                  <w:marTop w:val="0"/>
                  <w:marBottom w:val="0"/>
                  <w:divBdr>
                    <w:top w:val="none" w:sz="0" w:space="0" w:color="auto"/>
                    <w:left w:val="none" w:sz="0" w:space="0" w:color="auto"/>
                    <w:bottom w:val="none" w:sz="0" w:space="0" w:color="auto"/>
                    <w:right w:val="none" w:sz="0" w:space="0" w:color="auto"/>
                  </w:divBdr>
                  <w:divsChild>
                    <w:div w:id="1500191272">
                      <w:marLeft w:val="0"/>
                      <w:marRight w:val="0"/>
                      <w:marTop w:val="0"/>
                      <w:marBottom w:val="0"/>
                      <w:divBdr>
                        <w:top w:val="none" w:sz="0" w:space="0" w:color="auto"/>
                        <w:left w:val="none" w:sz="0" w:space="0" w:color="auto"/>
                        <w:bottom w:val="none" w:sz="0" w:space="0" w:color="auto"/>
                        <w:right w:val="none" w:sz="0" w:space="0" w:color="auto"/>
                      </w:divBdr>
                      <w:divsChild>
                        <w:div w:id="635568631">
                          <w:marLeft w:val="0"/>
                          <w:marRight w:val="0"/>
                          <w:marTop w:val="0"/>
                          <w:marBottom w:val="0"/>
                          <w:divBdr>
                            <w:top w:val="none" w:sz="0" w:space="0" w:color="auto"/>
                            <w:left w:val="none" w:sz="0" w:space="0" w:color="auto"/>
                            <w:bottom w:val="none" w:sz="0" w:space="0" w:color="auto"/>
                            <w:right w:val="none" w:sz="0" w:space="0" w:color="auto"/>
                          </w:divBdr>
                          <w:divsChild>
                            <w:div w:id="1560361515">
                              <w:marLeft w:val="0"/>
                              <w:marRight w:val="0"/>
                              <w:marTop w:val="0"/>
                              <w:marBottom w:val="0"/>
                              <w:divBdr>
                                <w:top w:val="none" w:sz="0" w:space="0" w:color="auto"/>
                                <w:left w:val="none" w:sz="0" w:space="0" w:color="auto"/>
                                <w:bottom w:val="none" w:sz="0" w:space="0" w:color="auto"/>
                                <w:right w:val="none" w:sz="0" w:space="0" w:color="auto"/>
                              </w:divBdr>
                              <w:divsChild>
                                <w:div w:id="1718623597">
                                  <w:marLeft w:val="0"/>
                                  <w:marRight w:val="0"/>
                                  <w:marTop w:val="0"/>
                                  <w:marBottom w:val="0"/>
                                  <w:divBdr>
                                    <w:top w:val="none" w:sz="0" w:space="0" w:color="auto"/>
                                    <w:left w:val="none" w:sz="0" w:space="0" w:color="auto"/>
                                    <w:bottom w:val="none" w:sz="0" w:space="0" w:color="auto"/>
                                    <w:right w:val="none" w:sz="0" w:space="0" w:color="auto"/>
                                  </w:divBdr>
                                  <w:divsChild>
                                    <w:div w:id="1573075514">
                                      <w:marLeft w:val="0"/>
                                      <w:marRight w:val="0"/>
                                      <w:marTop w:val="0"/>
                                      <w:marBottom w:val="0"/>
                                      <w:divBdr>
                                        <w:top w:val="none" w:sz="0" w:space="0" w:color="auto"/>
                                        <w:left w:val="none" w:sz="0" w:space="0" w:color="auto"/>
                                        <w:bottom w:val="none" w:sz="0" w:space="0" w:color="auto"/>
                                        <w:right w:val="none" w:sz="0" w:space="0" w:color="auto"/>
                                      </w:divBdr>
                                      <w:divsChild>
                                        <w:div w:id="1809780095">
                                          <w:marLeft w:val="0"/>
                                          <w:marRight w:val="0"/>
                                          <w:marTop w:val="0"/>
                                          <w:marBottom w:val="0"/>
                                          <w:divBdr>
                                            <w:top w:val="none" w:sz="0" w:space="0" w:color="auto"/>
                                            <w:left w:val="none" w:sz="0" w:space="0" w:color="auto"/>
                                            <w:bottom w:val="none" w:sz="0" w:space="0" w:color="auto"/>
                                            <w:right w:val="none" w:sz="0" w:space="0" w:color="auto"/>
                                          </w:divBdr>
                                          <w:divsChild>
                                            <w:div w:id="634944253">
                                              <w:marLeft w:val="0"/>
                                              <w:marRight w:val="0"/>
                                              <w:marTop w:val="0"/>
                                              <w:marBottom w:val="0"/>
                                              <w:divBdr>
                                                <w:top w:val="none" w:sz="0" w:space="0" w:color="auto"/>
                                                <w:left w:val="none" w:sz="0" w:space="0" w:color="auto"/>
                                                <w:bottom w:val="none" w:sz="0" w:space="0" w:color="auto"/>
                                                <w:right w:val="none" w:sz="0" w:space="0" w:color="auto"/>
                                              </w:divBdr>
                                              <w:divsChild>
                                                <w:div w:id="2004353048">
                                                  <w:marLeft w:val="0"/>
                                                  <w:marRight w:val="0"/>
                                                  <w:marTop w:val="0"/>
                                                  <w:marBottom w:val="0"/>
                                                  <w:divBdr>
                                                    <w:top w:val="none" w:sz="0" w:space="0" w:color="auto"/>
                                                    <w:left w:val="none" w:sz="0" w:space="0" w:color="auto"/>
                                                    <w:bottom w:val="none" w:sz="0" w:space="0" w:color="auto"/>
                                                    <w:right w:val="none" w:sz="0" w:space="0" w:color="auto"/>
                                                  </w:divBdr>
                                                  <w:divsChild>
                                                    <w:div w:id="57897528">
                                                      <w:marLeft w:val="0"/>
                                                      <w:marRight w:val="0"/>
                                                      <w:marTop w:val="0"/>
                                                      <w:marBottom w:val="0"/>
                                                      <w:divBdr>
                                                        <w:top w:val="none" w:sz="0" w:space="0" w:color="auto"/>
                                                        <w:left w:val="none" w:sz="0" w:space="0" w:color="auto"/>
                                                        <w:bottom w:val="none" w:sz="0" w:space="0" w:color="auto"/>
                                                        <w:right w:val="none" w:sz="0" w:space="0" w:color="auto"/>
                                                      </w:divBdr>
                                                      <w:divsChild>
                                                        <w:div w:id="708804070">
                                                          <w:marLeft w:val="0"/>
                                                          <w:marRight w:val="0"/>
                                                          <w:marTop w:val="0"/>
                                                          <w:marBottom w:val="0"/>
                                                          <w:divBdr>
                                                            <w:top w:val="none" w:sz="0" w:space="0" w:color="auto"/>
                                                            <w:left w:val="none" w:sz="0" w:space="0" w:color="auto"/>
                                                            <w:bottom w:val="none" w:sz="0" w:space="0" w:color="auto"/>
                                                            <w:right w:val="none" w:sz="0" w:space="0" w:color="auto"/>
                                                          </w:divBdr>
                                                          <w:divsChild>
                                                            <w:div w:id="946547646">
                                                              <w:marLeft w:val="0"/>
                                                              <w:marRight w:val="0"/>
                                                              <w:marTop w:val="0"/>
                                                              <w:marBottom w:val="0"/>
                                                              <w:divBdr>
                                                                <w:top w:val="none" w:sz="0" w:space="0" w:color="auto"/>
                                                                <w:left w:val="none" w:sz="0" w:space="0" w:color="auto"/>
                                                                <w:bottom w:val="none" w:sz="0" w:space="0" w:color="auto"/>
                                                                <w:right w:val="none" w:sz="0" w:space="0" w:color="auto"/>
                                                              </w:divBdr>
                                                              <w:divsChild>
                                                                <w:div w:id="741489267">
                                                                  <w:marLeft w:val="0"/>
                                                                  <w:marRight w:val="0"/>
                                                                  <w:marTop w:val="0"/>
                                                                  <w:marBottom w:val="0"/>
                                                                  <w:divBdr>
                                                                    <w:top w:val="none" w:sz="0" w:space="0" w:color="auto"/>
                                                                    <w:left w:val="none" w:sz="0" w:space="0" w:color="auto"/>
                                                                    <w:bottom w:val="none" w:sz="0" w:space="0" w:color="auto"/>
                                                                    <w:right w:val="none" w:sz="0" w:space="0" w:color="auto"/>
                                                                  </w:divBdr>
                                                                </w:div>
                                                                <w:div w:id="1640379304">
                                                                  <w:marLeft w:val="0"/>
                                                                  <w:marRight w:val="0"/>
                                                                  <w:marTop w:val="0"/>
                                                                  <w:marBottom w:val="0"/>
                                                                  <w:divBdr>
                                                                    <w:top w:val="none" w:sz="0" w:space="0" w:color="auto"/>
                                                                    <w:left w:val="none" w:sz="0" w:space="0" w:color="auto"/>
                                                                    <w:bottom w:val="none" w:sz="0" w:space="0" w:color="auto"/>
                                                                    <w:right w:val="none" w:sz="0" w:space="0" w:color="auto"/>
                                                                  </w:divBdr>
                                                                </w:div>
                                                                <w:div w:id="1159662673">
                                                                  <w:marLeft w:val="0"/>
                                                                  <w:marRight w:val="0"/>
                                                                  <w:marTop w:val="0"/>
                                                                  <w:marBottom w:val="0"/>
                                                                  <w:divBdr>
                                                                    <w:top w:val="none" w:sz="0" w:space="0" w:color="auto"/>
                                                                    <w:left w:val="none" w:sz="0" w:space="0" w:color="auto"/>
                                                                    <w:bottom w:val="none" w:sz="0" w:space="0" w:color="auto"/>
                                                                    <w:right w:val="none" w:sz="0" w:space="0" w:color="auto"/>
                                                                  </w:divBdr>
                                                                </w:div>
                                                                <w:div w:id="2026200532">
                                                                  <w:marLeft w:val="0"/>
                                                                  <w:marRight w:val="0"/>
                                                                  <w:marTop w:val="0"/>
                                                                  <w:marBottom w:val="0"/>
                                                                  <w:divBdr>
                                                                    <w:top w:val="none" w:sz="0" w:space="0" w:color="auto"/>
                                                                    <w:left w:val="none" w:sz="0" w:space="0" w:color="auto"/>
                                                                    <w:bottom w:val="none" w:sz="0" w:space="0" w:color="auto"/>
                                                                    <w:right w:val="none" w:sz="0" w:space="0" w:color="auto"/>
                                                                  </w:divBdr>
                                                                </w:div>
                                                                <w:div w:id="803044188">
                                                                  <w:marLeft w:val="0"/>
                                                                  <w:marRight w:val="0"/>
                                                                  <w:marTop w:val="0"/>
                                                                  <w:marBottom w:val="0"/>
                                                                  <w:divBdr>
                                                                    <w:top w:val="none" w:sz="0" w:space="0" w:color="auto"/>
                                                                    <w:left w:val="none" w:sz="0" w:space="0" w:color="auto"/>
                                                                    <w:bottom w:val="none" w:sz="0" w:space="0" w:color="auto"/>
                                                                    <w:right w:val="none" w:sz="0" w:space="0" w:color="auto"/>
                                                                  </w:divBdr>
                                                                </w:div>
                                                                <w:div w:id="658314020">
                                                                  <w:marLeft w:val="0"/>
                                                                  <w:marRight w:val="0"/>
                                                                  <w:marTop w:val="0"/>
                                                                  <w:marBottom w:val="0"/>
                                                                  <w:divBdr>
                                                                    <w:top w:val="none" w:sz="0" w:space="0" w:color="auto"/>
                                                                    <w:left w:val="none" w:sz="0" w:space="0" w:color="auto"/>
                                                                    <w:bottom w:val="none" w:sz="0" w:space="0" w:color="auto"/>
                                                                    <w:right w:val="none" w:sz="0" w:space="0" w:color="auto"/>
                                                                  </w:divBdr>
                                                                </w:div>
                                                                <w:div w:id="1238133226">
                                                                  <w:marLeft w:val="0"/>
                                                                  <w:marRight w:val="0"/>
                                                                  <w:marTop w:val="0"/>
                                                                  <w:marBottom w:val="0"/>
                                                                  <w:divBdr>
                                                                    <w:top w:val="none" w:sz="0" w:space="0" w:color="auto"/>
                                                                    <w:left w:val="none" w:sz="0" w:space="0" w:color="auto"/>
                                                                    <w:bottom w:val="none" w:sz="0" w:space="0" w:color="auto"/>
                                                                    <w:right w:val="none" w:sz="0" w:space="0" w:color="auto"/>
                                                                  </w:divBdr>
                                                                </w:div>
                                                                <w:div w:id="1828551051">
                                                                  <w:marLeft w:val="0"/>
                                                                  <w:marRight w:val="0"/>
                                                                  <w:marTop w:val="0"/>
                                                                  <w:marBottom w:val="0"/>
                                                                  <w:divBdr>
                                                                    <w:top w:val="none" w:sz="0" w:space="0" w:color="auto"/>
                                                                    <w:left w:val="none" w:sz="0" w:space="0" w:color="auto"/>
                                                                    <w:bottom w:val="none" w:sz="0" w:space="0" w:color="auto"/>
                                                                    <w:right w:val="none" w:sz="0" w:space="0" w:color="auto"/>
                                                                  </w:divBdr>
                                                                </w:div>
                                                                <w:div w:id="1735545529">
                                                                  <w:marLeft w:val="0"/>
                                                                  <w:marRight w:val="0"/>
                                                                  <w:marTop w:val="0"/>
                                                                  <w:marBottom w:val="0"/>
                                                                  <w:divBdr>
                                                                    <w:top w:val="none" w:sz="0" w:space="0" w:color="auto"/>
                                                                    <w:left w:val="none" w:sz="0" w:space="0" w:color="auto"/>
                                                                    <w:bottom w:val="none" w:sz="0" w:space="0" w:color="auto"/>
                                                                    <w:right w:val="none" w:sz="0" w:space="0" w:color="auto"/>
                                                                  </w:divBdr>
                                                                </w:div>
                                                                <w:div w:id="468090849">
                                                                  <w:marLeft w:val="0"/>
                                                                  <w:marRight w:val="0"/>
                                                                  <w:marTop w:val="0"/>
                                                                  <w:marBottom w:val="0"/>
                                                                  <w:divBdr>
                                                                    <w:top w:val="none" w:sz="0" w:space="0" w:color="auto"/>
                                                                    <w:left w:val="none" w:sz="0" w:space="0" w:color="auto"/>
                                                                    <w:bottom w:val="none" w:sz="0" w:space="0" w:color="auto"/>
                                                                    <w:right w:val="none" w:sz="0" w:space="0" w:color="auto"/>
                                                                  </w:divBdr>
                                                                </w:div>
                                                                <w:div w:id="71315414">
                                                                  <w:marLeft w:val="0"/>
                                                                  <w:marRight w:val="0"/>
                                                                  <w:marTop w:val="0"/>
                                                                  <w:marBottom w:val="0"/>
                                                                  <w:divBdr>
                                                                    <w:top w:val="none" w:sz="0" w:space="0" w:color="auto"/>
                                                                    <w:left w:val="none" w:sz="0" w:space="0" w:color="auto"/>
                                                                    <w:bottom w:val="none" w:sz="0" w:space="0" w:color="auto"/>
                                                                    <w:right w:val="none" w:sz="0" w:space="0" w:color="auto"/>
                                                                  </w:divBdr>
                                                                </w:div>
                                                                <w:div w:id="1021472494">
                                                                  <w:marLeft w:val="0"/>
                                                                  <w:marRight w:val="0"/>
                                                                  <w:marTop w:val="0"/>
                                                                  <w:marBottom w:val="0"/>
                                                                  <w:divBdr>
                                                                    <w:top w:val="none" w:sz="0" w:space="0" w:color="auto"/>
                                                                    <w:left w:val="none" w:sz="0" w:space="0" w:color="auto"/>
                                                                    <w:bottom w:val="none" w:sz="0" w:space="0" w:color="auto"/>
                                                                    <w:right w:val="none" w:sz="0" w:space="0" w:color="auto"/>
                                                                  </w:divBdr>
                                                                </w:div>
                                                                <w:div w:id="1464809126">
                                                                  <w:marLeft w:val="0"/>
                                                                  <w:marRight w:val="0"/>
                                                                  <w:marTop w:val="0"/>
                                                                  <w:marBottom w:val="0"/>
                                                                  <w:divBdr>
                                                                    <w:top w:val="none" w:sz="0" w:space="0" w:color="auto"/>
                                                                    <w:left w:val="none" w:sz="0" w:space="0" w:color="auto"/>
                                                                    <w:bottom w:val="none" w:sz="0" w:space="0" w:color="auto"/>
                                                                    <w:right w:val="none" w:sz="0" w:space="0" w:color="auto"/>
                                                                  </w:divBdr>
                                                                </w:div>
                                                                <w:div w:id="695737527">
                                                                  <w:marLeft w:val="0"/>
                                                                  <w:marRight w:val="0"/>
                                                                  <w:marTop w:val="0"/>
                                                                  <w:marBottom w:val="0"/>
                                                                  <w:divBdr>
                                                                    <w:top w:val="none" w:sz="0" w:space="0" w:color="auto"/>
                                                                    <w:left w:val="none" w:sz="0" w:space="0" w:color="auto"/>
                                                                    <w:bottom w:val="none" w:sz="0" w:space="0" w:color="auto"/>
                                                                    <w:right w:val="none" w:sz="0" w:space="0" w:color="auto"/>
                                                                  </w:divBdr>
                                                                </w:div>
                                                                <w:div w:id="876969604">
                                                                  <w:marLeft w:val="0"/>
                                                                  <w:marRight w:val="0"/>
                                                                  <w:marTop w:val="0"/>
                                                                  <w:marBottom w:val="0"/>
                                                                  <w:divBdr>
                                                                    <w:top w:val="none" w:sz="0" w:space="0" w:color="auto"/>
                                                                    <w:left w:val="none" w:sz="0" w:space="0" w:color="auto"/>
                                                                    <w:bottom w:val="none" w:sz="0" w:space="0" w:color="auto"/>
                                                                    <w:right w:val="none" w:sz="0" w:space="0" w:color="auto"/>
                                                                  </w:divBdr>
                                                                </w:div>
                                                                <w:div w:id="1303850813">
                                                                  <w:marLeft w:val="0"/>
                                                                  <w:marRight w:val="0"/>
                                                                  <w:marTop w:val="0"/>
                                                                  <w:marBottom w:val="0"/>
                                                                  <w:divBdr>
                                                                    <w:top w:val="none" w:sz="0" w:space="0" w:color="auto"/>
                                                                    <w:left w:val="none" w:sz="0" w:space="0" w:color="auto"/>
                                                                    <w:bottom w:val="none" w:sz="0" w:space="0" w:color="auto"/>
                                                                    <w:right w:val="none" w:sz="0" w:space="0" w:color="auto"/>
                                                                  </w:divBdr>
                                                                </w:div>
                                                                <w:div w:id="1207452630">
                                                                  <w:marLeft w:val="0"/>
                                                                  <w:marRight w:val="0"/>
                                                                  <w:marTop w:val="0"/>
                                                                  <w:marBottom w:val="0"/>
                                                                  <w:divBdr>
                                                                    <w:top w:val="none" w:sz="0" w:space="0" w:color="auto"/>
                                                                    <w:left w:val="none" w:sz="0" w:space="0" w:color="auto"/>
                                                                    <w:bottom w:val="none" w:sz="0" w:space="0" w:color="auto"/>
                                                                    <w:right w:val="none" w:sz="0" w:space="0" w:color="auto"/>
                                                                  </w:divBdr>
                                                                </w:div>
                                                                <w:div w:id="367337113">
                                                                  <w:marLeft w:val="0"/>
                                                                  <w:marRight w:val="0"/>
                                                                  <w:marTop w:val="0"/>
                                                                  <w:marBottom w:val="0"/>
                                                                  <w:divBdr>
                                                                    <w:top w:val="none" w:sz="0" w:space="0" w:color="auto"/>
                                                                    <w:left w:val="none" w:sz="0" w:space="0" w:color="auto"/>
                                                                    <w:bottom w:val="none" w:sz="0" w:space="0" w:color="auto"/>
                                                                    <w:right w:val="none" w:sz="0" w:space="0" w:color="auto"/>
                                                                  </w:divBdr>
                                                                </w:div>
                                                                <w:div w:id="1820463125">
                                                                  <w:marLeft w:val="0"/>
                                                                  <w:marRight w:val="0"/>
                                                                  <w:marTop w:val="0"/>
                                                                  <w:marBottom w:val="0"/>
                                                                  <w:divBdr>
                                                                    <w:top w:val="none" w:sz="0" w:space="0" w:color="auto"/>
                                                                    <w:left w:val="none" w:sz="0" w:space="0" w:color="auto"/>
                                                                    <w:bottom w:val="none" w:sz="0" w:space="0" w:color="auto"/>
                                                                    <w:right w:val="none" w:sz="0" w:space="0" w:color="auto"/>
                                                                  </w:divBdr>
                                                                </w:div>
                                                                <w:div w:id="214659032">
                                                                  <w:marLeft w:val="0"/>
                                                                  <w:marRight w:val="0"/>
                                                                  <w:marTop w:val="0"/>
                                                                  <w:marBottom w:val="0"/>
                                                                  <w:divBdr>
                                                                    <w:top w:val="none" w:sz="0" w:space="0" w:color="auto"/>
                                                                    <w:left w:val="none" w:sz="0" w:space="0" w:color="auto"/>
                                                                    <w:bottom w:val="none" w:sz="0" w:space="0" w:color="auto"/>
                                                                    <w:right w:val="none" w:sz="0" w:space="0" w:color="auto"/>
                                                                  </w:divBdr>
                                                                </w:div>
                                                                <w:div w:id="1374649385">
                                                                  <w:marLeft w:val="0"/>
                                                                  <w:marRight w:val="0"/>
                                                                  <w:marTop w:val="0"/>
                                                                  <w:marBottom w:val="0"/>
                                                                  <w:divBdr>
                                                                    <w:top w:val="none" w:sz="0" w:space="0" w:color="auto"/>
                                                                    <w:left w:val="none" w:sz="0" w:space="0" w:color="auto"/>
                                                                    <w:bottom w:val="none" w:sz="0" w:space="0" w:color="auto"/>
                                                                    <w:right w:val="none" w:sz="0" w:space="0" w:color="auto"/>
                                                                  </w:divBdr>
                                                                </w:div>
                                                                <w:div w:id="1464692102">
                                                                  <w:marLeft w:val="0"/>
                                                                  <w:marRight w:val="0"/>
                                                                  <w:marTop w:val="0"/>
                                                                  <w:marBottom w:val="0"/>
                                                                  <w:divBdr>
                                                                    <w:top w:val="none" w:sz="0" w:space="0" w:color="auto"/>
                                                                    <w:left w:val="none" w:sz="0" w:space="0" w:color="auto"/>
                                                                    <w:bottom w:val="none" w:sz="0" w:space="0" w:color="auto"/>
                                                                    <w:right w:val="none" w:sz="0" w:space="0" w:color="auto"/>
                                                                  </w:divBdr>
                                                                </w:div>
                                                                <w:div w:id="1685401604">
                                                                  <w:marLeft w:val="0"/>
                                                                  <w:marRight w:val="0"/>
                                                                  <w:marTop w:val="0"/>
                                                                  <w:marBottom w:val="0"/>
                                                                  <w:divBdr>
                                                                    <w:top w:val="none" w:sz="0" w:space="0" w:color="auto"/>
                                                                    <w:left w:val="none" w:sz="0" w:space="0" w:color="auto"/>
                                                                    <w:bottom w:val="none" w:sz="0" w:space="0" w:color="auto"/>
                                                                    <w:right w:val="none" w:sz="0" w:space="0" w:color="auto"/>
                                                                  </w:divBdr>
                                                                </w:div>
                                                                <w:div w:id="666133303">
                                                                  <w:marLeft w:val="0"/>
                                                                  <w:marRight w:val="0"/>
                                                                  <w:marTop w:val="0"/>
                                                                  <w:marBottom w:val="0"/>
                                                                  <w:divBdr>
                                                                    <w:top w:val="none" w:sz="0" w:space="0" w:color="auto"/>
                                                                    <w:left w:val="none" w:sz="0" w:space="0" w:color="auto"/>
                                                                    <w:bottom w:val="none" w:sz="0" w:space="0" w:color="auto"/>
                                                                    <w:right w:val="none" w:sz="0" w:space="0" w:color="auto"/>
                                                                  </w:divBdr>
                                                                </w:div>
                                                                <w:div w:id="1367222381">
                                                                  <w:marLeft w:val="0"/>
                                                                  <w:marRight w:val="0"/>
                                                                  <w:marTop w:val="0"/>
                                                                  <w:marBottom w:val="0"/>
                                                                  <w:divBdr>
                                                                    <w:top w:val="none" w:sz="0" w:space="0" w:color="auto"/>
                                                                    <w:left w:val="none" w:sz="0" w:space="0" w:color="auto"/>
                                                                    <w:bottom w:val="none" w:sz="0" w:space="0" w:color="auto"/>
                                                                    <w:right w:val="none" w:sz="0" w:space="0" w:color="auto"/>
                                                                  </w:divBdr>
                                                                </w:div>
                                                                <w:div w:id="1798327983">
                                                                  <w:marLeft w:val="0"/>
                                                                  <w:marRight w:val="0"/>
                                                                  <w:marTop w:val="0"/>
                                                                  <w:marBottom w:val="0"/>
                                                                  <w:divBdr>
                                                                    <w:top w:val="none" w:sz="0" w:space="0" w:color="auto"/>
                                                                    <w:left w:val="none" w:sz="0" w:space="0" w:color="auto"/>
                                                                    <w:bottom w:val="none" w:sz="0" w:space="0" w:color="auto"/>
                                                                    <w:right w:val="none" w:sz="0" w:space="0" w:color="auto"/>
                                                                  </w:divBdr>
                                                                </w:div>
                                                                <w:div w:id="672802203">
                                                                  <w:marLeft w:val="0"/>
                                                                  <w:marRight w:val="0"/>
                                                                  <w:marTop w:val="0"/>
                                                                  <w:marBottom w:val="0"/>
                                                                  <w:divBdr>
                                                                    <w:top w:val="none" w:sz="0" w:space="0" w:color="auto"/>
                                                                    <w:left w:val="none" w:sz="0" w:space="0" w:color="auto"/>
                                                                    <w:bottom w:val="none" w:sz="0" w:space="0" w:color="auto"/>
                                                                    <w:right w:val="none" w:sz="0" w:space="0" w:color="auto"/>
                                                                  </w:divBdr>
                                                                </w:div>
                                                                <w:div w:id="1210143587">
                                                                  <w:marLeft w:val="0"/>
                                                                  <w:marRight w:val="0"/>
                                                                  <w:marTop w:val="0"/>
                                                                  <w:marBottom w:val="0"/>
                                                                  <w:divBdr>
                                                                    <w:top w:val="none" w:sz="0" w:space="0" w:color="auto"/>
                                                                    <w:left w:val="none" w:sz="0" w:space="0" w:color="auto"/>
                                                                    <w:bottom w:val="none" w:sz="0" w:space="0" w:color="auto"/>
                                                                    <w:right w:val="none" w:sz="0" w:space="0" w:color="auto"/>
                                                                  </w:divBdr>
                                                                </w:div>
                                                                <w:div w:id="320278357">
                                                                  <w:marLeft w:val="0"/>
                                                                  <w:marRight w:val="0"/>
                                                                  <w:marTop w:val="0"/>
                                                                  <w:marBottom w:val="0"/>
                                                                  <w:divBdr>
                                                                    <w:top w:val="none" w:sz="0" w:space="0" w:color="auto"/>
                                                                    <w:left w:val="none" w:sz="0" w:space="0" w:color="auto"/>
                                                                    <w:bottom w:val="none" w:sz="0" w:space="0" w:color="auto"/>
                                                                    <w:right w:val="none" w:sz="0" w:space="0" w:color="auto"/>
                                                                  </w:divBdr>
                                                                </w:div>
                                                                <w:div w:id="1201825239">
                                                                  <w:marLeft w:val="0"/>
                                                                  <w:marRight w:val="0"/>
                                                                  <w:marTop w:val="0"/>
                                                                  <w:marBottom w:val="0"/>
                                                                  <w:divBdr>
                                                                    <w:top w:val="none" w:sz="0" w:space="0" w:color="auto"/>
                                                                    <w:left w:val="none" w:sz="0" w:space="0" w:color="auto"/>
                                                                    <w:bottom w:val="none" w:sz="0" w:space="0" w:color="auto"/>
                                                                    <w:right w:val="none" w:sz="0" w:space="0" w:color="auto"/>
                                                                  </w:divBdr>
                                                                </w:div>
                                                                <w:div w:id="155998145">
                                                                  <w:marLeft w:val="0"/>
                                                                  <w:marRight w:val="0"/>
                                                                  <w:marTop w:val="0"/>
                                                                  <w:marBottom w:val="0"/>
                                                                  <w:divBdr>
                                                                    <w:top w:val="none" w:sz="0" w:space="0" w:color="auto"/>
                                                                    <w:left w:val="none" w:sz="0" w:space="0" w:color="auto"/>
                                                                    <w:bottom w:val="none" w:sz="0" w:space="0" w:color="auto"/>
                                                                    <w:right w:val="none" w:sz="0" w:space="0" w:color="auto"/>
                                                                  </w:divBdr>
                                                                </w:div>
                                                                <w:div w:id="685134644">
                                                                  <w:marLeft w:val="0"/>
                                                                  <w:marRight w:val="0"/>
                                                                  <w:marTop w:val="0"/>
                                                                  <w:marBottom w:val="0"/>
                                                                  <w:divBdr>
                                                                    <w:top w:val="none" w:sz="0" w:space="0" w:color="auto"/>
                                                                    <w:left w:val="none" w:sz="0" w:space="0" w:color="auto"/>
                                                                    <w:bottom w:val="none" w:sz="0" w:space="0" w:color="auto"/>
                                                                    <w:right w:val="none" w:sz="0" w:space="0" w:color="auto"/>
                                                                  </w:divBdr>
                                                                </w:div>
                                                                <w:div w:id="133259008">
                                                                  <w:marLeft w:val="0"/>
                                                                  <w:marRight w:val="0"/>
                                                                  <w:marTop w:val="0"/>
                                                                  <w:marBottom w:val="0"/>
                                                                  <w:divBdr>
                                                                    <w:top w:val="none" w:sz="0" w:space="0" w:color="auto"/>
                                                                    <w:left w:val="none" w:sz="0" w:space="0" w:color="auto"/>
                                                                    <w:bottom w:val="none" w:sz="0" w:space="0" w:color="auto"/>
                                                                    <w:right w:val="none" w:sz="0" w:space="0" w:color="auto"/>
                                                                  </w:divBdr>
                                                                </w:div>
                                                                <w:div w:id="522941286">
                                                                  <w:marLeft w:val="0"/>
                                                                  <w:marRight w:val="0"/>
                                                                  <w:marTop w:val="0"/>
                                                                  <w:marBottom w:val="0"/>
                                                                  <w:divBdr>
                                                                    <w:top w:val="none" w:sz="0" w:space="0" w:color="auto"/>
                                                                    <w:left w:val="none" w:sz="0" w:space="0" w:color="auto"/>
                                                                    <w:bottom w:val="none" w:sz="0" w:space="0" w:color="auto"/>
                                                                    <w:right w:val="none" w:sz="0" w:space="0" w:color="auto"/>
                                                                  </w:divBdr>
                                                                </w:div>
                                                                <w:div w:id="1042247359">
                                                                  <w:marLeft w:val="0"/>
                                                                  <w:marRight w:val="0"/>
                                                                  <w:marTop w:val="0"/>
                                                                  <w:marBottom w:val="0"/>
                                                                  <w:divBdr>
                                                                    <w:top w:val="none" w:sz="0" w:space="0" w:color="auto"/>
                                                                    <w:left w:val="none" w:sz="0" w:space="0" w:color="auto"/>
                                                                    <w:bottom w:val="none" w:sz="0" w:space="0" w:color="auto"/>
                                                                    <w:right w:val="none" w:sz="0" w:space="0" w:color="auto"/>
                                                                  </w:divBdr>
                                                                </w:div>
                                                                <w:div w:id="1149516481">
                                                                  <w:marLeft w:val="0"/>
                                                                  <w:marRight w:val="0"/>
                                                                  <w:marTop w:val="0"/>
                                                                  <w:marBottom w:val="0"/>
                                                                  <w:divBdr>
                                                                    <w:top w:val="none" w:sz="0" w:space="0" w:color="auto"/>
                                                                    <w:left w:val="none" w:sz="0" w:space="0" w:color="auto"/>
                                                                    <w:bottom w:val="none" w:sz="0" w:space="0" w:color="auto"/>
                                                                    <w:right w:val="none" w:sz="0" w:space="0" w:color="auto"/>
                                                                  </w:divBdr>
                                                                </w:div>
                                                                <w:div w:id="431245143">
                                                                  <w:marLeft w:val="0"/>
                                                                  <w:marRight w:val="0"/>
                                                                  <w:marTop w:val="0"/>
                                                                  <w:marBottom w:val="0"/>
                                                                  <w:divBdr>
                                                                    <w:top w:val="none" w:sz="0" w:space="0" w:color="auto"/>
                                                                    <w:left w:val="none" w:sz="0" w:space="0" w:color="auto"/>
                                                                    <w:bottom w:val="none" w:sz="0" w:space="0" w:color="auto"/>
                                                                    <w:right w:val="none" w:sz="0" w:space="0" w:color="auto"/>
                                                                  </w:divBdr>
                                                                </w:div>
                                                                <w:div w:id="2005357531">
                                                                  <w:marLeft w:val="0"/>
                                                                  <w:marRight w:val="0"/>
                                                                  <w:marTop w:val="0"/>
                                                                  <w:marBottom w:val="0"/>
                                                                  <w:divBdr>
                                                                    <w:top w:val="none" w:sz="0" w:space="0" w:color="auto"/>
                                                                    <w:left w:val="none" w:sz="0" w:space="0" w:color="auto"/>
                                                                    <w:bottom w:val="none" w:sz="0" w:space="0" w:color="auto"/>
                                                                    <w:right w:val="none" w:sz="0" w:space="0" w:color="auto"/>
                                                                  </w:divBdr>
                                                                </w:div>
                                                                <w:div w:id="717433946">
                                                                  <w:marLeft w:val="0"/>
                                                                  <w:marRight w:val="0"/>
                                                                  <w:marTop w:val="0"/>
                                                                  <w:marBottom w:val="0"/>
                                                                  <w:divBdr>
                                                                    <w:top w:val="none" w:sz="0" w:space="0" w:color="auto"/>
                                                                    <w:left w:val="none" w:sz="0" w:space="0" w:color="auto"/>
                                                                    <w:bottom w:val="none" w:sz="0" w:space="0" w:color="auto"/>
                                                                    <w:right w:val="none" w:sz="0" w:space="0" w:color="auto"/>
                                                                  </w:divBdr>
                                                                </w:div>
                                                                <w:div w:id="413673504">
                                                                  <w:marLeft w:val="0"/>
                                                                  <w:marRight w:val="0"/>
                                                                  <w:marTop w:val="0"/>
                                                                  <w:marBottom w:val="0"/>
                                                                  <w:divBdr>
                                                                    <w:top w:val="none" w:sz="0" w:space="0" w:color="auto"/>
                                                                    <w:left w:val="none" w:sz="0" w:space="0" w:color="auto"/>
                                                                    <w:bottom w:val="none" w:sz="0" w:space="0" w:color="auto"/>
                                                                    <w:right w:val="none" w:sz="0" w:space="0" w:color="auto"/>
                                                                  </w:divBdr>
                                                                </w:div>
                                                                <w:div w:id="1525514014">
                                                                  <w:marLeft w:val="0"/>
                                                                  <w:marRight w:val="0"/>
                                                                  <w:marTop w:val="0"/>
                                                                  <w:marBottom w:val="0"/>
                                                                  <w:divBdr>
                                                                    <w:top w:val="none" w:sz="0" w:space="0" w:color="auto"/>
                                                                    <w:left w:val="none" w:sz="0" w:space="0" w:color="auto"/>
                                                                    <w:bottom w:val="none" w:sz="0" w:space="0" w:color="auto"/>
                                                                    <w:right w:val="none" w:sz="0" w:space="0" w:color="auto"/>
                                                                  </w:divBdr>
                                                                </w:div>
                                                                <w:div w:id="1136415950">
                                                                  <w:marLeft w:val="0"/>
                                                                  <w:marRight w:val="0"/>
                                                                  <w:marTop w:val="0"/>
                                                                  <w:marBottom w:val="0"/>
                                                                  <w:divBdr>
                                                                    <w:top w:val="none" w:sz="0" w:space="0" w:color="auto"/>
                                                                    <w:left w:val="none" w:sz="0" w:space="0" w:color="auto"/>
                                                                    <w:bottom w:val="none" w:sz="0" w:space="0" w:color="auto"/>
                                                                    <w:right w:val="none" w:sz="0" w:space="0" w:color="auto"/>
                                                                  </w:divBdr>
                                                                </w:div>
                                                                <w:div w:id="2021420711">
                                                                  <w:marLeft w:val="0"/>
                                                                  <w:marRight w:val="0"/>
                                                                  <w:marTop w:val="0"/>
                                                                  <w:marBottom w:val="0"/>
                                                                  <w:divBdr>
                                                                    <w:top w:val="none" w:sz="0" w:space="0" w:color="auto"/>
                                                                    <w:left w:val="none" w:sz="0" w:space="0" w:color="auto"/>
                                                                    <w:bottom w:val="none" w:sz="0" w:space="0" w:color="auto"/>
                                                                    <w:right w:val="none" w:sz="0" w:space="0" w:color="auto"/>
                                                                  </w:divBdr>
                                                                </w:div>
                                                                <w:div w:id="915819648">
                                                                  <w:marLeft w:val="0"/>
                                                                  <w:marRight w:val="0"/>
                                                                  <w:marTop w:val="0"/>
                                                                  <w:marBottom w:val="0"/>
                                                                  <w:divBdr>
                                                                    <w:top w:val="none" w:sz="0" w:space="0" w:color="auto"/>
                                                                    <w:left w:val="none" w:sz="0" w:space="0" w:color="auto"/>
                                                                    <w:bottom w:val="none" w:sz="0" w:space="0" w:color="auto"/>
                                                                    <w:right w:val="none" w:sz="0" w:space="0" w:color="auto"/>
                                                                  </w:divBdr>
                                                                </w:div>
                                                                <w:div w:id="1816557571">
                                                                  <w:marLeft w:val="0"/>
                                                                  <w:marRight w:val="0"/>
                                                                  <w:marTop w:val="0"/>
                                                                  <w:marBottom w:val="0"/>
                                                                  <w:divBdr>
                                                                    <w:top w:val="none" w:sz="0" w:space="0" w:color="auto"/>
                                                                    <w:left w:val="none" w:sz="0" w:space="0" w:color="auto"/>
                                                                    <w:bottom w:val="none" w:sz="0" w:space="0" w:color="auto"/>
                                                                    <w:right w:val="none" w:sz="0" w:space="0" w:color="auto"/>
                                                                  </w:divBdr>
                                                                </w:div>
                                                                <w:div w:id="769466428">
                                                                  <w:marLeft w:val="0"/>
                                                                  <w:marRight w:val="0"/>
                                                                  <w:marTop w:val="0"/>
                                                                  <w:marBottom w:val="0"/>
                                                                  <w:divBdr>
                                                                    <w:top w:val="none" w:sz="0" w:space="0" w:color="auto"/>
                                                                    <w:left w:val="none" w:sz="0" w:space="0" w:color="auto"/>
                                                                    <w:bottom w:val="none" w:sz="0" w:space="0" w:color="auto"/>
                                                                    <w:right w:val="none" w:sz="0" w:space="0" w:color="auto"/>
                                                                  </w:divBdr>
                                                                </w:div>
                                                                <w:div w:id="918372384">
                                                                  <w:marLeft w:val="0"/>
                                                                  <w:marRight w:val="0"/>
                                                                  <w:marTop w:val="0"/>
                                                                  <w:marBottom w:val="0"/>
                                                                  <w:divBdr>
                                                                    <w:top w:val="none" w:sz="0" w:space="0" w:color="auto"/>
                                                                    <w:left w:val="none" w:sz="0" w:space="0" w:color="auto"/>
                                                                    <w:bottom w:val="none" w:sz="0" w:space="0" w:color="auto"/>
                                                                    <w:right w:val="none" w:sz="0" w:space="0" w:color="auto"/>
                                                                  </w:divBdr>
                                                                </w:div>
                                                                <w:div w:id="434709892">
                                                                  <w:marLeft w:val="0"/>
                                                                  <w:marRight w:val="0"/>
                                                                  <w:marTop w:val="0"/>
                                                                  <w:marBottom w:val="0"/>
                                                                  <w:divBdr>
                                                                    <w:top w:val="none" w:sz="0" w:space="0" w:color="auto"/>
                                                                    <w:left w:val="none" w:sz="0" w:space="0" w:color="auto"/>
                                                                    <w:bottom w:val="none" w:sz="0" w:space="0" w:color="auto"/>
                                                                    <w:right w:val="none" w:sz="0" w:space="0" w:color="auto"/>
                                                                  </w:divBdr>
                                                                </w:div>
                                                                <w:div w:id="1283000022">
                                                                  <w:marLeft w:val="0"/>
                                                                  <w:marRight w:val="0"/>
                                                                  <w:marTop w:val="0"/>
                                                                  <w:marBottom w:val="0"/>
                                                                  <w:divBdr>
                                                                    <w:top w:val="none" w:sz="0" w:space="0" w:color="auto"/>
                                                                    <w:left w:val="none" w:sz="0" w:space="0" w:color="auto"/>
                                                                    <w:bottom w:val="none" w:sz="0" w:space="0" w:color="auto"/>
                                                                    <w:right w:val="none" w:sz="0" w:space="0" w:color="auto"/>
                                                                  </w:divBdr>
                                                                </w:div>
                                                                <w:div w:id="973021690">
                                                                  <w:marLeft w:val="0"/>
                                                                  <w:marRight w:val="0"/>
                                                                  <w:marTop w:val="0"/>
                                                                  <w:marBottom w:val="0"/>
                                                                  <w:divBdr>
                                                                    <w:top w:val="none" w:sz="0" w:space="0" w:color="auto"/>
                                                                    <w:left w:val="none" w:sz="0" w:space="0" w:color="auto"/>
                                                                    <w:bottom w:val="none" w:sz="0" w:space="0" w:color="auto"/>
                                                                    <w:right w:val="none" w:sz="0" w:space="0" w:color="auto"/>
                                                                  </w:divBdr>
                                                                </w:div>
                                                                <w:div w:id="2053769300">
                                                                  <w:marLeft w:val="0"/>
                                                                  <w:marRight w:val="0"/>
                                                                  <w:marTop w:val="0"/>
                                                                  <w:marBottom w:val="0"/>
                                                                  <w:divBdr>
                                                                    <w:top w:val="none" w:sz="0" w:space="0" w:color="auto"/>
                                                                    <w:left w:val="none" w:sz="0" w:space="0" w:color="auto"/>
                                                                    <w:bottom w:val="none" w:sz="0" w:space="0" w:color="auto"/>
                                                                    <w:right w:val="none" w:sz="0" w:space="0" w:color="auto"/>
                                                                  </w:divBdr>
                                                                </w:div>
                                                                <w:div w:id="88695238">
                                                                  <w:marLeft w:val="0"/>
                                                                  <w:marRight w:val="0"/>
                                                                  <w:marTop w:val="0"/>
                                                                  <w:marBottom w:val="0"/>
                                                                  <w:divBdr>
                                                                    <w:top w:val="none" w:sz="0" w:space="0" w:color="auto"/>
                                                                    <w:left w:val="none" w:sz="0" w:space="0" w:color="auto"/>
                                                                    <w:bottom w:val="none" w:sz="0" w:space="0" w:color="auto"/>
                                                                    <w:right w:val="none" w:sz="0" w:space="0" w:color="auto"/>
                                                                  </w:divBdr>
                                                                </w:div>
                                                                <w:div w:id="547110699">
                                                                  <w:marLeft w:val="0"/>
                                                                  <w:marRight w:val="0"/>
                                                                  <w:marTop w:val="0"/>
                                                                  <w:marBottom w:val="0"/>
                                                                  <w:divBdr>
                                                                    <w:top w:val="none" w:sz="0" w:space="0" w:color="auto"/>
                                                                    <w:left w:val="none" w:sz="0" w:space="0" w:color="auto"/>
                                                                    <w:bottom w:val="none" w:sz="0" w:space="0" w:color="auto"/>
                                                                    <w:right w:val="none" w:sz="0" w:space="0" w:color="auto"/>
                                                                  </w:divBdr>
                                                                </w:div>
                                                                <w:div w:id="1840345056">
                                                                  <w:marLeft w:val="0"/>
                                                                  <w:marRight w:val="0"/>
                                                                  <w:marTop w:val="0"/>
                                                                  <w:marBottom w:val="0"/>
                                                                  <w:divBdr>
                                                                    <w:top w:val="none" w:sz="0" w:space="0" w:color="auto"/>
                                                                    <w:left w:val="none" w:sz="0" w:space="0" w:color="auto"/>
                                                                    <w:bottom w:val="none" w:sz="0" w:space="0" w:color="auto"/>
                                                                    <w:right w:val="none" w:sz="0" w:space="0" w:color="auto"/>
                                                                  </w:divBdr>
                                                                </w:div>
                                                                <w:div w:id="495150134">
                                                                  <w:marLeft w:val="0"/>
                                                                  <w:marRight w:val="0"/>
                                                                  <w:marTop w:val="0"/>
                                                                  <w:marBottom w:val="0"/>
                                                                  <w:divBdr>
                                                                    <w:top w:val="none" w:sz="0" w:space="0" w:color="auto"/>
                                                                    <w:left w:val="none" w:sz="0" w:space="0" w:color="auto"/>
                                                                    <w:bottom w:val="none" w:sz="0" w:space="0" w:color="auto"/>
                                                                    <w:right w:val="none" w:sz="0" w:space="0" w:color="auto"/>
                                                                  </w:divBdr>
                                                                </w:div>
                                                                <w:div w:id="512065210">
                                                                  <w:marLeft w:val="0"/>
                                                                  <w:marRight w:val="0"/>
                                                                  <w:marTop w:val="0"/>
                                                                  <w:marBottom w:val="0"/>
                                                                  <w:divBdr>
                                                                    <w:top w:val="none" w:sz="0" w:space="0" w:color="auto"/>
                                                                    <w:left w:val="none" w:sz="0" w:space="0" w:color="auto"/>
                                                                    <w:bottom w:val="none" w:sz="0" w:space="0" w:color="auto"/>
                                                                    <w:right w:val="none" w:sz="0" w:space="0" w:color="auto"/>
                                                                  </w:divBdr>
                                                                </w:div>
                                                                <w:div w:id="1161001112">
                                                                  <w:marLeft w:val="0"/>
                                                                  <w:marRight w:val="0"/>
                                                                  <w:marTop w:val="0"/>
                                                                  <w:marBottom w:val="0"/>
                                                                  <w:divBdr>
                                                                    <w:top w:val="none" w:sz="0" w:space="0" w:color="auto"/>
                                                                    <w:left w:val="none" w:sz="0" w:space="0" w:color="auto"/>
                                                                    <w:bottom w:val="none" w:sz="0" w:space="0" w:color="auto"/>
                                                                    <w:right w:val="none" w:sz="0" w:space="0" w:color="auto"/>
                                                                  </w:divBdr>
                                                                </w:div>
                                                                <w:div w:id="432172218">
                                                                  <w:marLeft w:val="0"/>
                                                                  <w:marRight w:val="0"/>
                                                                  <w:marTop w:val="0"/>
                                                                  <w:marBottom w:val="0"/>
                                                                  <w:divBdr>
                                                                    <w:top w:val="none" w:sz="0" w:space="0" w:color="auto"/>
                                                                    <w:left w:val="none" w:sz="0" w:space="0" w:color="auto"/>
                                                                    <w:bottom w:val="none" w:sz="0" w:space="0" w:color="auto"/>
                                                                    <w:right w:val="none" w:sz="0" w:space="0" w:color="auto"/>
                                                                  </w:divBdr>
                                                                </w:div>
                                                                <w:div w:id="975334608">
                                                                  <w:marLeft w:val="0"/>
                                                                  <w:marRight w:val="0"/>
                                                                  <w:marTop w:val="0"/>
                                                                  <w:marBottom w:val="0"/>
                                                                  <w:divBdr>
                                                                    <w:top w:val="none" w:sz="0" w:space="0" w:color="auto"/>
                                                                    <w:left w:val="none" w:sz="0" w:space="0" w:color="auto"/>
                                                                    <w:bottom w:val="none" w:sz="0" w:space="0" w:color="auto"/>
                                                                    <w:right w:val="none" w:sz="0" w:space="0" w:color="auto"/>
                                                                  </w:divBdr>
                                                                </w:div>
                                                                <w:div w:id="234050276">
                                                                  <w:marLeft w:val="0"/>
                                                                  <w:marRight w:val="0"/>
                                                                  <w:marTop w:val="0"/>
                                                                  <w:marBottom w:val="0"/>
                                                                  <w:divBdr>
                                                                    <w:top w:val="none" w:sz="0" w:space="0" w:color="auto"/>
                                                                    <w:left w:val="none" w:sz="0" w:space="0" w:color="auto"/>
                                                                    <w:bottom w:val="none" w:sz="0" w:space="0" w:color="auto"/>
                                                                    <w:right w:val="none" w:sz="0" w:space="0" w:color="auto"/>
                                                                  </w:divBdr>
                                                                </w:div>
                                                                <w:div w:id="572008155">
                                                                  <w:marLeft w:val="0"/>
                                                                  <w:marRight w:val="0"/>
                                                                  <w:marTop w:val="0"/>
                                                                  <w:marBottom w:val="0"/>
                                                                  <w:divBdr>
                                                                    <w:top w:val="none" w:sz="0" w:space="0" w:color="auto"/>
                                                                    <w:left w:val="none" w:sz="0" w:space="0" w:color="auto"/>
                                                                    <w:bottom w:val="none" w:sz="0" w:space="0" w:color="auto"/>
                                                                    <w:right w:val="none" w:sz="0" w:space="0" w:color="auto"/>
                                                                  </w:divBdr>
                                                                </w:div>
                                                                <w:div w:id="1171871700">
                                                                  <w:marLeft w:val="0"/>
                                                                  <w:marRight w:val="0"/>
                                                                  <w:marTop w:val="0"/>
                                                                  <w:marBottom w:val="0"/>
                                                                  <w:divBdr>
                                                                    <w:top w:val="none" w:sz="0" w:space="0" w:color="auto"/>
                                                                    <w:left w:val="none" w:sz="0" w:space="0" w:color="auto"/>
                                                                    <w:bottom w:val="none" w:sz="0" w:space="0" w:color="auto"/>
                                                                    <w:right w:val="none" w:sz="0" w:space="0" w:color="auto"/>
                                                                  </w:divBdr>
                                                                </w:div>
                                                                <w:div w:id="2095007274">
                                                                  <w:marLeft w:val="0"/>
                                                                  <w:marRight w:val="0"/>
                                                                  <w:marTop w:val="0"/>
                                                                  <w:marBottom w:val="0"/>
                                                                  <w:divBdr>
                                                                    <w:top w:val="none" w:sz="0" w:space="0" w:color="auto"/>
                                                                    <w:left w:val="none" w:sz="0" w:space="0" w:color="auto"/>
                                                                    <w:bottom w:val="none" w:sz="0" w:space="0" w:color="auto"/>
                                                                    <w:right w:val="none" w:sz="0" w:space="0" w:color="auto"/>
                                                                  </w:divBdr>
                                                                </w:div>
                                                                <w:div w:id="1725832149">
                                                                  <w:marLeft w:val="0"/>
                                                                  <w:marRight w:val="0"/>
                                                                  <w:marTop w:val="0"/>
                                                                  <w:marBottom w:val="0"/>
                                                                  <w:divBdr>
                                                                    <w:top w:val="none" w:sz="0" w:space="0" w:color="auto"/>
                                                                    <w:left w:val="none" w:sz="0" w:space="0" w:color="auto"/>
                                                                    <w:bottom w:val="none" w:sz="0" w:space="0" w:color="auto"/>
                                                                    <w:right w:val="none" w:sz="0" w:space="0" w:color="auto"/>
                                                                  </w:divBdr>
                                                                </w:div>
                                                                <w:div w:id="1165245516">
                                                                  <w:marLeft w:val="0"/>
                                                                  <w:marRight w:val="0"/>
                                                                  <w:marTop w:val="0"/>
                                                                  <w:marBottom w:val="0"/>
                                                                  <w:divBdr>
                                                                    <w:top w:val="none" w:sz="0" w:space="0" w:color="auto"/>
                                                                    <w:left w:val="none" w:sz="0" w:space="0" w:color="auto"/>
                                                                    <w:bottom w:val="none" w:sz="0" w:space="0" w:color="auto"/>
                                                                    <w:right w:val="none" w:sz="0" w:space="0" w:color="auto"/>
                                                                  </w:divBdr>
                                                                </w:div>
                                                                <w:div w:id="1162113575">
                                                                  <w:marLeft w:val="0"/>
                                                                  <w:marRight w:val="0"/>
                                                                  <w:marTop w:val="0"/>
                                                                  <w:marBottom w:val="0"/>
                                                                  <w:divBdr>
                                                                    <w:top w:val="none" w:sz="0" w:space="0" w:color="auto"/>
                                                                    <w:left w:val="none" w:sz="0" w:space="0" w:color="auto"/>
                                                                    <w:bottom w:val="none" w:sz="0" w:space="0" w:color="auto"/>
                                                                    <w:right w:val="none" w:sz="0" w:space="0" w:color="auto"/>
                                                                  </w:divBdr>
                                                                </w:div>
                                                                <w:div w:id="1563710661">
                                                                  <w:marLeft w:val="0"/>
                                                                  <w:marRight w:val="0"/>
                                                                  <w:marTop w:val="0"/>
                                                                  <w:marBottom w:val="0"/>
                                                                  <w:divBdr>
                                                                    <w:top w:val="none" w:sz="0" w:space="0" w:color="auto"/>
                                                                    <w:left w:val="none" w:sz="0" w:space="0" w:color="auto"/>
                                                                    <w:bottom w:val="none" w:sz="0" w:space="0" w:color="auto"/>
                                                                    <w:right w:val="none" w:sz="0" w:space="0" w:color="auto"/>
                                                                  </w:divBdr>
                                                                </w:div>
                                                                <w:div w:id="817184549">
                                                                  <w:marLeft w:val="0"/>
                                                                  <w:marRight w:val="0"/>
                                                                  <w:marTop w:val="0"/>
                                                                  <w:marBottom w:val="0"/>
                                                                  <w:divBdr>
                                                                    <w:top w:val="none" w:sz="0" w:space="0" w:color="auto"/>
                                                                    <w:left w:val="none" w:sz="0" w:space="0" w:color="auto"/>
                                                                    <w:bottom w:val="none" w:sz="0" w:space="0" w:color="auto"/>
                                                                    <w:right w:val="none" w:sz="0" w:space="0" w:color="auto"/>
                                                                  </w:divBdr>
                                                                </w:div>
                                                                <w:div w:id="395589095">
                                                                  <w:marLeft w:val="0"/>
                                                                  <w:marRight w:val="0"/>
                                                                  <w:marTop w:val="0"/>
                                                                  <w:marBottom w:val="0"/>
                                                                  <w:divBdr>
                                                                    <w:top w:val="none" w:sz="0" w:space="0" w:color="auto"/>
                                                                    <w:left w:val="none" w:sz="0" w:space="0" w:color="auto"/>
                                                                    <w:bottom w:val="none" w:sz="0" w:space="0" w:color="auto"/>
                                                                    <w:right w:val="none" w:sz="0" w:space="0" w:color="auto"/>
                                                                  </w:divBdr>
                                                                </w:div>
                                                                <w:div w:id="50079228">
                                                                  <w:marLeft w:val="0"/>
                                                                  <w:marRight w:val="0"/>
                                                                  <w:marTop w:val="0"/>
                                                                  <w:marBottom w:val="0"/>
                                                                  <w:divBdr>
                                                                    <w:top w:val="none" w:sz="0" w:space="0" w:color="auto"/>
                                                                    <w:left w:val="none" w:sz="0" w:space="0" w:color="auto"/>
                                                                    <w:bottom w:val="none" w:sz="0" w:space="0" w:color="auto"/>
                                                                    <w:right w:val="none" w:sz="0" w:space="0" w:color="auto"/>
                                                                  </w:divBdr>
                                                                </w:div>
                                                                <w:div w:id="1038354616">
                                                                  <w:marLeft w:val="0"/>
                                                                  <w:marRight w:val="0"/>
                                                                  <w:marTop w:val="0"/>
                                                                  <w:marBottom w:val="0"/>
                                                                  <w:divBdr>
                                                                    <w:top w:val="none" w:sz="0" w:space="0" w:color="auto"/>
                                                                    <w:left w:val="none" w:sz="0" w:space="0" w:color="auto"/>
                                                                    <w:bottom w:val="none" w:sz="0" w:space="0" w:color="auto"/>
                                                                    <w:right w:val="none" w:sz="0" w:space="0" w:color="auto"/>
                                                                  </w:divBdr>
                                                                </w:div>
                                                                <w:div w:id="2097708989">
                                                                  <w:marLeft w:val="0"/>
                                                                  <w:marRight w:val="0"/>
                                                                  <w:marTop w:val="0"/>
                                                                  <w:marBottom w:val="0"/>
                                                                  <w:divBdr>
                                                                    <w:top w:val="none" w:sz="0" w:space="0" w:color="auto"/>
                                                                    <w:left w:val="none" w:sz="0" w:space="0" w:color="auto"/>
                                                                    <w:bottom w:val="none" w:sz="0" w:space="0" w:color="auto"/>
                                                                    <w:right w:val="none" w:sz="0" w:space="0" w:color="auto"/>
                                                                  </w:divBdr>
                                                                </w:div>
                                                                <w:div w:id="311636625">
                                                                  <w:marLeft w:val="0"/>
                                                                  <w:marRight w:val="0"/>
                                                                  <w:marTop w:val="0"/>
                                                                  <w:marBottom w:val="0"/>
                                                                  <w:divBdr>
                                                                    <w:top w:val="none" w:sz="0" w:space="0" w:color="auto"/>
                                                                    <w:left w:val="none" w:sz="0" w:space="0" w:color="auto"/>
                                                                    <w:bottom w:val="none" w:sz="0" w:space="0" w:color="auto"/>
                                                                    <w:right w:val="none" w:sz="0" w:space="0" w:color="auto"/>
                                                                  </w:divBdr>
                                                                </w:div>
                                                                <w:div w:id="1845778834">
                                                                  <w:marLeft w:val="0"/>
                                                                  <w:marRight w:val="0"/>
                                                                  <w:marTop w:val="0"/>
                                                                  <w:marBottom w:val="0"/>
                                                                  <w:divBdr>
                                                                    <w:top w:val="none" w:sz="0" w:space="0" w:color="auto"/>
                                                                    <w:left w:val="none" w:sz="0" w:space="0" w:color="auto"/>
                                                                    <w:bottom w:val="none" w:sz="0" w:space="0" w:color="auto"/>
                                                                    <w:right w:val="none" w:sz="0" w:space="0" w:color="auto"/>
                                                                  </w:divBdr>
                                                                </w:div>
                                                                <w:div w:id="1220825358">
                                                                  <w:marLeft w:val="0"/>
                                                                  <w:marRight w:val="0"/>
                                                                  <w:marTop w:val="0"/>
                                                                  <w:marBottom w:val="0"/>
                                                                  <w:divBdr>
                                                                    <w:top w:val="none" w:sz="0" w:space="0" w:color="auto"/>
                                                                    <w:left w:val="none" w:sz="0" w:space="0" w:color="auto"/>
                                                                    <w:bottom w:val="none" w:sz="0" w:space="0" w:color="auto"/>
                                                                    <w:right w:val="none" w:sz="0" w:space="0" w:color="auto"/>
                                                                  </w:divBdr>
                                                                </w:div>
                                                                <w:div w:id="461536244">
                                                                  <w:marLeft w:val="0"/>
                                                                  <w:marRight w:val="0"/>
                                                                  <w:marTop w:val="0"/>
                                                                  <w:marBottom w:val="0"/>
                                                                  <w:divBdr>
                                                                    <w:top w:val="none" w:sz="0" w:space="0" w:color="auto"/>
                                                                    <w:left w:val="none" w:sz="0" w:space="0" w:color="auto"/>
                                                                    <w:bottom w:val="none" w:sz="0" w:space="0" w:color="auto"/>
                                                                    <w:right w:val="none" w:sz="0" w:space="0" w:color="auto"/>
                                                                  </w:divBdr>
                                                                </w:div>
                                                                <w:div w:id="2005355539">
                                                                  <w:marLeft w:val="0"/>
                                                                  <w:marRight w:val="0"/>
                                                                  <w:marTop w:val="0"/>
                                                                  <w:marBottom w:val="0"/>
                                                                  <w:divBdr>
                                                                    <w:top w:val="none" w:sz="0" w:space="0" w:color="auto"/>
                                                                    <w:left w:val="none" w:sz="0" w:space="0" w:color="auto"/>
                                                                    <w:bottom w:val="none" w:sz="0" w:space="0" w:color="auto"/>
                                                                    <w:right w:val="none" w:sz="0" w:space="0" w:color="auto"/>
                                                                  </w:divBdr>
                                                                </w:div>
                                                                <w:div w:id="532882500">
                                                                  <w:marLeft w:val="0"/>
                                                                  <w:marRight w:val="0"/>
                                                                  <w:marTop w:val="0"/>
                                                                  <w:marBottom w:val="0"/>
                                                                  <w:divBdr>
                                                                    <w:top w:val="none" w:sz="0" w:space="0" w:color="auto"/>
                                                                    <w:left w:val="none" w:sz="0" w:space="0" w:color="auto"/>
                                                                    <w:bottom w:val="none" w:sz="0" w:space="0" w:color="auto"/>
                                                                    <w:right w:val="none" w:sz="0" w:space="0" w:color="auto"/>
                                                                  </w:divBdr>
                                                                </w:div>
                                                                <w:div w:id="1386442701">
                                                                  <w:marLeft w:val="0"/>
                                                                  <w:marRight w:val="0"/>
                                                                  <w:marTop w:val="0"/>
                                                                  <w:marBottom w:val="0"/>
                                                                  <w:divBdr>
                                                                    <w:top w:val="none" w:sz="0" w:space="0" w:color="auto"/>
                                                                    <w:left w:val="none" w:sz="0" w:space="0" w:color="auto"/>
                                                                    <w:bottom w:val="none" w:sz="0" w:space="0" w:color="auto"/>
                                                                    <w:right w:val="none" w:sz="0" w:space="0" w:color="auto"/>
                                                                  </w:divBdr>
                                                                </w:div>
                                                                <w:div w:id="1081490576">
                                                                  <w:marLeft w:val="0"/>
                                                                  <w:marRight w:val="0"/>
                                                                  <w:marTop w:val="0"/>
                                                                  <w:marBottom w:val="0"/>
                                                                  <w:divBdr>
                                                                    <w:top w:val="none" w:sz="0" w:space="0" w:color="auto"/>
                                                                    <w:left w:val="none" w:sz="0" w:space="0" w:color="auto"/>
                                                                    <w:bottom w:val="none" w:sz="0" w:space="0" w:color="auto"/>
                                                                    <w:right w:val="none" w:sz="0" w:space="0" w:color="auto"/>
                                                                  </w:divBdr>
                                                                </w:div>
                                                                <w:div w:id="2053966489">
                                                                  <w:marLeft w:val="0"/>
                                                                  <w:marRight w:val="0"/>
                                                                  <w:marTop w:val="0"/>
                                                                  <w:marBottom w:val="0"/>
                                                                  <w:divBdr>
                                                                    <w:top w:val="none" w:sz="0" w:space="0" w:color="auto"/>
                                                                    <w:left w:val="none" w:sz="0" w:space="0" w:color="auto"/>
                                                                    <w:bottom w:val="none" w:sz="0" w:space="0" w:color="auto"/>
                                                                    <w:right w:val="none" w:sz="0" w:space="0" w:color="auto"/>
                                                                  </w:divBdr>
                                                                </w:div>
                                                                <w:div w:id="708575770">
                                                                  <w:marLeft w:val="0"/>
                                                                  <w:marRight w:val="0"/>
                                                                  <w:marTop w:val="0"/>
                                                                  <w:marBottom w:val="0"/>
                                                                  <w:divBdr>
                                                                    <w:top w:val="none" w:sz="0" w:space="0" w:color="auto"/>
                                                                    <w:left w:val="none" w:sz="0" w:space="0" w:color="auto"/>
                                                                    <w:bottom w:val="none" w:sz="0" w:space="0" w:color="auto"/>
                                                                    <w:right w:val="none" w:sz="0" w:space="0" w:color="auto"/>
                                                                  </w:divBdr>
                                                                </w:div>
                                                                <w:div w:id="915939910">
                                                                  <w:marLeft w:val="0"/>
                                                                  <w:marRight w:val="0"/>
                                                                  <w:marTop w:val="0"/>
                                                                  <w:marBottom w:val="0"/>
                                                                  <w:divBdr>
                                                                    <w:top w:val="none" w:sz="0" w:space="0" w:color="auto"/>
                                                                    <w:left w:val="none" w:sz="0" w:space="0" w:color="auto"/>
                                                                    <w:bottom w:val="none" w:sz="0" w:space="0" w:color="auto"/>
                                                                    <w:right w:val="none" w:sz="0" w:space="0" w:color="auto"/>
                                                                  </w:divBdr>
                                                                </w:div>
                                                                <w:div w:id="1986466592">
                                                                  <w:marLeft w:val="0"/>
                                                                  <w:marRight w:val="0"/>
                                                                  <w:marTop w:val="0"/>
                                                                  <w:marBottom w:val="0"/>
                                                                  <w:divBdr>
                                                                    <w:top w:val="none" w:sz="0" w:space="0" w:color="auto"/>
                                                                    <w:left w:val="none" w:sz="0" w:space="0" w:color="auto"/>
                                                                    <w:bottom w:val="none" w:sz="0" w:space="0" w:color="auto"/>
                                                                    <w:right w:val="none" w:sz="0" w:space="0" w:color="auto"/>
                                                                  </w:divBdr>
                                                                </w:div>
                                                                <w:div w:id="1251310760">
                                                                  <w:marLeft w:val="0"/>
                                                                  <w:marRight w:val="0"/>
                                                                  <w:marTop w:val="0"/>
                                                                  <w:marBottom w:val="0"/>
                                                                  <w:divBdr>
                                                                    <w:top w:val="none" w:sz="0" w:space="0" w:color="auto"/>
                                                                    <w:left w:val="none" w:sz="0" w:space="0" w:color="auto"/>
                                                                    <w:bottom w:val="none" w:sz="0" w:space="0" w:color="auto"/>
                                                                    <w:right w:val="none" w:sz="0" w:space="0" w:color="auto"/>
                                                                  </w:divBdr>
                                                                </w:div>
                                                                <w:div w:id="1664890207">
                                                                  <w:marLeft w:val="0"/>
                                                                  <w:marRight w:val="0"/>
                                                                  <w:marTop w:val="0"/>
                                                                  <w:marBottom w:val="0"/>
                                                                  <w:divBdr>
                                                                    <w:top w:val="none" w:sz="0" w:space="0" w:color="auto"/>
                                                                    <w:left w:val="none" w:sz="0" w:space="0" w:color="auto"/>
                                                                    <w:bottom w:val="none" w:sz="0" w:space="0" w:color="auto"/>
                                                                    <w:right w:val="none" w:sz="0" w:space="0" w:color="auto"/>
                                                                  </w:divBdr>
                                                                </w:div>
                                                                <w:div w:id="598106241">
                                                                  <w:marLeft w:val="0"/>
                                                                  <w:marRight w:val="0"/>
                                                                  <w:marTop w:val="0"/>
                                                                  <w:marBottom w:val="0"/>
                                                                  <w:divBdr>
                                                                    <w:top w:val="none" w:sz="0" w:space="0" w:color="auto"/>
                                                                    <w:left w:val="none" w:sz="0" w:space="0" w:color="auto"/>
                                                                    <w:bottom w:val="none" w:sz="0" w:space="0" w:color="auto"/>
                                                                    <w:right w:val="none" w:sz="0" w:space="0" w:color="auto"/>
                                                                  </w:divBdr>
                                                                </w:div>
                                                                <w:div w:id="1203591230">
                                                                  <w:marLeft w:val="0"/>
                                                                  <w:marRight w:val="0"/>
                                                                  <w:marTop w:val="0"/>
                                                                  <w:marBottom w:val="0"/>
                                                                  <w:divBdr>
                                                                    <w:top w:val="none" w:sz="0" w:space="0" w:color="auto"/>
                                                                    <w:left w:val="none" w:sz="0" w:space="0" w:color="auto"/>
                                                                    <w:bottom w:val="none" w:sz="0" w:space="0" w:color="auto"/>
                                                                    <w:right w:val="none" w:sz="0" w:space="0" w:color="auto"/>
                                                                  </w:divBdr>
                                                                </w:div>
                                                                <w:div w:id="1619684384">
                                                                  <w:marLeft w:val="0"/>
                                                                  <w:marRight w:val="0"/>
                                                                  <w:marTop w:val="0"/>
                                                                  <w:marBottom w:val="0"/>
                                                                  <w:divBdr>
                                                                    <w:top w:val="none" w:sz="0" w:space="0" w:color="auto"/>
                                                                    <w:left w:val="none" w:sz="0" w:space="0" w:color="auto"/>
                                                                    <w:bottom w:val="none" w:sz="0" w:space="0" w:color="auto"/>
                                                                    <w:right w:val="none" w:sz="0" w:space="0" w:color="auto"/>
                                                                  </w:divBdr>
                                                                </w:div>
                                                                <w:div w:id="1029380157">
                                                                  <w:marLeft w:val="0"/>
                                                                  <w:marRight w:val="0"/>
                                                                  <w:marTop w:val="0"/>
                                                                  <w:marBottom w:val="0"/>
                                                                  <w:divBdr>
                                                                    <w:top w:val="none" w:sz="0" w:space="0" w:color="auto"/>
                                                                    <w:left w:val="none" w:sz="0" w:space="0" w:color="auto"/>
                                                                    <w:bottom w:val="none" w:sz="0" w:space="0" w:color="auto"/>
                                                                    <w:right w:val="none" w:sz="0" w:space="0" w:color="auto"/>
                                                                  </w:divBdr>
                                                                </w:div>
                                                                <w:div w:id="280454676">
                                                                  <w:marLeft w:val="0"/>
                                                                  <w:marRight w:val="0"/>
                                                                  <w:marTop w:val="0"/>
                                                                  <w:marBottom w:val="0"/>
                                                                  <w:divBdr>
                                                                    <w:top w:val="none" w:sz="0" w:space="0" w:color="auto"/>
                                                                    <w:left w:val="none" w:sz="0" w:space="0" w:color="auto"/>
                                                                    <w:bottom w:val="none" w:sz="0" w:space="0" w:color="auto"/>
                                                                    <w:right w:val="none" w:sz="0" w:space="0" w:color="auto"/>
                                                                  </w:divBdr>
                                                                </w:div>
                                                                <w:div w:id="753622706">
                                                                  <w:marLeft w:val="0"/>
                                                                  <w:marRight w:val="0"/>
                                                                  <w:marTop w:val="0"/>
                                                                  <w:marBottom w:val="0"/>
                                                                  <w:divBdr>
                                                                    <w:top w:val="none" w:sz="0" w:space="0" w:color="auto"/>
                                                                    <w:left w:val="none" w:sz="0" w:space="0" w:color="auto"/>
                                                                    <w:bottom w:val="none" w:sz="0" w:space="0" w:color="auto"/>
                                                                    <w:right w:val="none" w:sz="0" w:space="0" w:color="auto"/>
                                                                  </w:divBdr>
                                                                </w:div>
                                                                <w:div w:id="2103336640">
                                                                  <w:marLeft w:val="0"/>
                                                                  <w:marRight w:val="0"/>
                                                                  <w:marTop w:val="0"/>
                                                                  <w:marBottom w:val="0"/>
                                                                  <w:divBdr>
                                                                    <w:top w:val="none" w:sz="0" w:space="0" w:color="auto"/>
                                                                    <w:left w:val="none" w:sz="0" w:space="0" w:color="auto"/>
                                                                    <w:bottom w:val="none" w:sz="0" w:space="0" w:color="auto"/>
                                                                    <w:right w:val="none" w:sz="0" w:space="0" w:color="auto"/>
                                                                  </w:divBdr>
                                                                </w:div>
                                                                <w:div w:id="91897886">
                                                                  <w:marLeft w:val="0"/>
                                                                  <w:marRight w:val="0"/>
                                                                  <w:marTop w:val="0"/>
                                                                  <w:marBottom w:val="0"/>
                                                                  <w:divBdr>
                                                                    <w:top w:val="none" w:sz="0" w:space="0" w:color="auto"/>
                                                                    <w:left w:val="none" w:sz="0" w:space="0" w:color="auto"/>
                                                                    <w:bottom w:val="none" w:sz="0" w:space="0" w:color="auto"/>
                                                                    <w:right w:val="none" w:sz="0" w:space="0" w:color="auto"/>
                                                                  </w:divBdr>
                                                                </w:div>
                                                                <w:div w:id="1635713035">
                                                                  <w:marLeft w:val="0"/>
                                                                  <w:marRight w:val="0"/>
                                                                  <w:marTop w:val="0"/>
                                                                  <w:marBottom w:val="0"/>
                                                                  <w:divBdr>
                                                                    <w:top w:val="none" w:sz="0" w:space="0" w:color="auto"/>
                                                                    <w:left w:val="none" w:sz="0" w:space="0" w:color="auto"/>
                                                                    <w:bottom w:val="none" w:sz="0" w:space="0" w:color="auto"/>
                                                                    <w:right w:val="none" w:sz="0" w:space="0" w:color="auto"/>
                                                                  </w:divBdr>
                                                                </w:div>
                                                                <w:div w:id="645162433">
                                                                  <w:marLeft w:val="0"/>
                                                                  <w:marRight w:val="0"/>
                                                                  <w:marTop w:val="0"/>
                                                                  <w:marBottom w:val="0"/>
                                                                  <w:divBdr>
                                                                    <w:top w:val="none" w:sz="0" w:space="0" w:color="auto"/>
                                                                    <w:left w:val="none" w:sz="0" w:space="0" w:color="auto"/>
                                                                    <w:bottom w:val="none" w:sz="0" w:space="0" w:color="auto"/>
                                                                    <w:right w:val="none" w:sz="0" w:space="0" w:color="auto"/>
                                                                  </w:divBdr>
                                                                </w:div>
                                                                <w:div w:id="1260065477">
                                                                  <w:marLeft w:val="0"/>
                                                                  <w:marRight w:val="0"/>
                                                                  <w:marTop w:val="0"/>
                                                                  <w:marBottom w:val="0"/>
                                                                  <w:divBdr>
                                                                    <w:top w:val="none" w:sz="0" w:space="0" w:color="auto"/>
                                                                    <w:left w:val="none" w:sz="0" w:space="0" w:color="auto"/>
                                                                    <w:bottom w:val="none" w:sz="0" w:space="0" w:color="auto"/>
                                                                    <w:right w:val="none" w:sz="0" w:space="0" w:color="auto"/>
                                                                  </w:divBdr>
                                                                </w:div>
                                                                <w:div w:id="548340892">
                                                                  <w:marLeft w:val="0"/>
                                                                  <w:marRight w:val="0"/>
                                                                  <w:marTop w:val="0"/>
                                                                  <w:marBottom w:val="0"/>
                                                                  <w:divBdr>
                                                                    <w:top w:val="none" w:sz="0" w:space="0" w:color="auto"/>
                                                                    <w:left w:val="none" w:sz="0" w:space="0" w:color="auto"/>
                                                                    <w:bottom w:val="none" w:sz="0" w:space="0" w:color="auto"/>
                                                                    <w:right w:val="none" w:sz="0" w:space="0" w:color="auto"/>
                                                                  </w:divBdr>
                                                                </w:div>
                                                                <w:div w:id="1455976913">
                                                                  <w:marLeft w:val="0"/>
                                                                  <w:marRight w:val="0"/>
                                                                  <w:marTop w:val="0"/>
                                                                  <w:marBottom w:val="0"/>
                                                                  <w:divBdr>
                                                                    <w:top w:val="none" w:sz="0" w:space="0" w:color="auto"/>
                                                                    <w:left w:val="none" w:sz="0" w:space="0" w:color="auto"/>
                                                                    <w:bottom w:val="none" w:sz="0" w:space="0" w:color="auto"/>
                                                                    <w:right w:val="none" w:sz="0" w:space="0" w:color="auto"/>
                                                                  </w:divBdr>
                                                                </w:div>
                                                                <w:div w:id="316150862">
                                                                  <w:marLeft w:val="0"/>
                                                                  <w:marRight w:val="0"/>
                                                                  <w:marTop w:val="0"/>
                                                                  <w:marBottom w:val="0"/>
                                                                  <w:divBdr>
                                                                    <w:top w:val="none" w:sz="0" w:space="0" w:color="auto"/>
                                                                    <w:left w:val="none" w:sz="0" w:space="0" w:color="auto"/>
                                                                    <w:bottom w:val="none" w:sz="0" w:space="0" w:color="auto"/>
                                                                    <w:right w:val="none" w:sz="0" w:space="0" w:color="auto"/>
                                                                  </w:divBdr>
                                                                </w:div>
                                                                <w:div w:id="207838260">
                                                                  <w:marLeft w:val="0"/>
                                                                  <w:marRight w:val="0"/>
                                                                  <w:marTop w:val="0"/>
                                                                  <w:marBottom w:val="0"/>
                                                                  <w:divBdr>
                                                                    <w:top w:val="none" w:sz="0" w:space="0" w:color="auto"/>
                                                                    <w:left w:val="none" w:sz="0" w:space="0" w:color="auto"/>
                                                                    <w:bottom w:val="none" w:sz="0" w:space="0" w:color="auto"/>
                                                                    <w:right w:val="none" w:sz="0" w:space="0" w:color="auto"/>
                                                                  </w:divBdr>
                                                                </w:div>
                                                                <w:div w:id="1612128134">
                                                                  <w:marLeft w:val="0"/>
                                                                  <w:marRight w:val="0"/>
                                                                  <w:marTop w:val="0"/>
                                                                  <w:marBottom w:val="0"/>
                                                                  <w:divBdr>
                                                                    <w:top w:val="none" w:sz="0" w:space="0" w:color="auto"/>
                                                                    <w:left w:val="none" w:sz="0" w:space="0" w:color="auto"/>
                                                                    <w:bottom w:val="none" w:sz="0" w:space="0" w:color="auto"/>
                                                                    <w:right w:val="none" w:sz="0" w:space="0" w:color="auto"/>
                                                                  </w:divBdr>
                                                                </w:div>
                                                                <w:div w:id="1556769862">
                                                                  <w:marLeft w:val="0"/>
                                                                  <w:marRight w:val="0"/>
                                                                  <w:marTop w:val="0"/>
                                                                  <w:marBottom w:val="0"/>
                                                                  <w:divBdr>
                                                                    <w:top w:val="none" w:sz="0" w:space="0" w:color="auto"/>
                                                                    <w:left w:val="none" w:sz="0" w:space="0" w:color="auto"/>
                                                                    <w:bottom w:val="none" w:sz="0" w:space="0" w:color="auto"/>
                                                                    <w:right w:val="none" w:sz="0" w:space="0" w:color="auto"/>
                                                                  </w:divBdr>
                                                                </w:div>
                                                                <w:div w:id="1720401723">
                                                                  <w:marLeft w:val="0"/>
                                                                  <w:marRight w:val="0"/>
                                                                  <w:marTop w:val="0"/>
                                                                  <w:marBottom w:val="0"/>
                                                                  <w:divBdr>
                                                                    <w:top w:val="none" w:sz="0" w:space="0" w:color="auto"/>
                                                                    <w:left w:val="none" w:sz="0" w:space="0" w:color="auto"/>
                                                                    <w:bottom w:val="none" w:sz="0" w:space="0" w:color="auto"/>
                                                                    <w:right w:val="none" w:sz="0" w:space="0" w:color="auto"/>
                                                                  </w:divBdr>
                                                                </w:div>
                                                                <w:div w:id="1293174846">
                                                                  <w:marLeft w:val="0"/>
                                                                  <w:marRight w:val="0"/>
                                                                  <w:marTop w:val="0"/>
                                                                  <w:marBottom w:val="0"/>
                                                                  <w:divBdr>
                                                                    <w:top w:val="none" w:sz="0" w:space="0" w:color="auto"/>
                                                                    <w:left w:val="none" w:sz="0" w:space="0" w:color="auto"/>
                                                                    <w:bottom w:val="none" w:sz="0" w:space="0" w:color="auto"/>
                                                                    <w:right w:val="none" w:sz="0" w:space="0" w:color="auto"/>
                                                                  </w:divBdr>
                                                                </w:div>
                                                                <w:div w:id="355542887">
                                                                  <w:marLeft w:val="0"/>
                                                                  <w:marRight w:val="0"/>
                                                                  <w:marTop w:val="0"/>
                                                                  <w:marBottom w:val="0"/>
                                                                  <w:divBdr>
                                                                    <w:top w:val="none" w:sz="0" w:space="0" w:color="auto"/>
                                                                    <w:left w:val="none" w:sz="0" w:space="0" w:color="auto"/>
                                                                    <w:bottom w:val="none" w:sz="0" w:space="0" w:color="auto"/>
                                                                    <w:right w:val="none" w:sz="0" w:space="0" w:color="auto"/>
                                                                  </w:divBdr>
                                                                </w:div>
                                                                <w:div w:id="522131186">
                                                                  <w:marLeft w:val="0"/>
                                                                  <w:marRight w:val="0"/>
                                                                  <w:marTop w:val="0"/>
                                                                  <w:marBottom w:val="0"/>
                                                                  <w:divBdr>
                                                                    <w:top w:val="none" w:sz="0" w:space="0" w:color="auto"/>
                                                                    <w:left w:val="none" w:sz="0" w:space="0" w:color="auto"/>
                                                                    <w:bottom w:val="none" w:sz="0" w:space="0" w:color="auto"/>
                                                                    <w:right w:val="none" w:sz="0" w:space="0" w:color="auto"/>
                                                                  </w:divBdr>
                                                                </w:div>
                                                                <w:div w:id="1092318294">
                                                                  <w:marLeft w:val="0"/>
                                                                  <w:marRight w:val="0"/>
                                                                  <w:marTop w:val="0"/>
                                                                  <w:marBottom w:val="0"/>
                                                                  <w:divBdr>
                                                                    <w:top w:val="none" w:sz="0" w:space="0" w:color="auto"/>
                                                                    <w:left w:val="none" w:sz="0" w:space="0" w:color="auto"/>
                                                                    <w:bottom w:val="none" w:sz="0" w:space="0" w:color="auto"/>
                                                                    <w:right w:val="none" w:sz="0" w:space="0" w:color="auto"/>
                                                                  </w:divBdr>
                                                                </w:div>
                                                                <w:div w:id="643197976">
                                                                  <w:marLeft w:val="0"/>
                                                                  <w:marRight w:val="0"/>
                                                                  <w:marTop w:val="0"/>
                                                                  <w:marBottom w:val="0"/>
                                                                  <w:divBdr>
                                                                    <w:top w:val="none" w:sz="0" w:space="0" w:color="auto"/>
                                                                    <w:left w:val="none" w:sz="0" w:space="0" w:color="auto"/>
                                                                    <w:bottom w:val="none" w:sz="0" w:space="0" w:color="auto"/>
                                                                    <w:right w:val="none" w:sz="0" w:space="0" w:color="auto"/>
                                                                  </w:divBdr>
                                                                </w:div>
                                                                <w:div w:id="2134202658">
                                                                  <w:marLeft w:val="0"/>
                                                                  <w:marRight w:val="0"/>
                                                                  <w:marTop w:val="0"/>
                                                                  <w:marBottom w:val="0"/>
                                                                  <w:divBdr>
                                                                    <w:top w:val="none" w:sz="0" w:space="0" w:color="auto"/>
                                                                    <w:left w:val="none" w:sz="0" w:space="0" w:color="auto"/>
                                                                    <w:bottom w:val="none" w:sz="0" w:space="0" w:color="auto"/>
                                                                    <w:right w:val="none" w:sz="0" w:space="0" w:color="auto"/>
                                                                  </w:divBdr>
                                                                </w:div>
                                                                <w:div w:id="2110194129">
                                                                  <w:marLeft w:val="0"/>
                                                                  <w:marRight w:val="0"/>
                                                                  <w:marTop w:val="0"/>
                                                                  <w:marBottom w:val="0"/>
                                                                  <w:divBdr>
                                                                    <w:top w:val="none" w:sz="0" w:space="0" w:color="auto"/>
                                                                    <w:left w:val="none" w:sz="0" w:space="0" w:color="auto"/>
                                                                    <w:bottom w:val="none" w:sz="0" w:space="0" w:color="auto"/>
                                                                    <w:right w:val="none" w:sz="0" w:space="0" w:color="auto"/>
                                                                  </w:divBdr>
                                                                </w:div>
                                                                <w:div w:id="1153721047">
                                                                  <w:marLeft w:val="0"/>
                                                                  <w:marRight w:val="0"/>
                                                                  <w:marTop w:val="0"/>
                                                                  <w:marBottom w:val="0"/>
                                                                  <w:divBdr>
                                                                    <w:top w:val="none" w:sz="0" w:space="0" w:color="auto"/>
                                                                    <w:left w:val="none" w:sz="0" w:space="0" w:color="auto"/>
                                                                    <w:bottom w:val="none" w:sz="0" w:space="0" w:color="auto"/>
                                                                    <w:right w:val="none" w:sz="0" w:space="0" w:color="auto"/>
                                                                  </w:divBdr>
                                                                </w:div>
                                                                <w:div w:id="150220704">
                                                                  <w:marLeft w:val="0"/>
                                                                  <w:marRight w:val="0"/>
                                                                  <w:marTop w:val="0"/>
                                                                  <w:marBottom w:val="0"/>
                                                                  <w:divBdr>
                                                                    <w:top w:val="none" w:sz="0" w:space="0" w:color="auto"/>
                                                                    <w:left w:val="none" w:sz="0" w:space="0" w:color="auto"/>
                                                                    <w:bottom w:val="none" w:sz="0" w:space="0" w:color="auto"/>
                                                                    <w:right w:val="none" w:sz="0" w:space="0" w:color="auto"/>
                                                                  </w:divBdr>
                                                                </w:div>
                                                                <w:div w:id="383481370">
                                                                  <w:marLeft w:val="0"/>
                                                                  <w:marRight w:val="0"/>
                                                                  <w:marTop w:val="0"/>
                                                                  <w:marBottom w:val="0"/>
                                                                  <w:divBdr>
                                                                    <w:top w:val="none" w:sz="0" w:space="0" w:color="auto"/>
                                                                    <w:left w:val="none" w:sz="0" w:space="0" w:color="auto"/>
                                                                    <w:bottom w:val="none" w:sz="0" w:space="0" w:color="auto"/>
                                                                    <w:right w:val="none" w:sz="0" w:space="0" w:color="auto"/>
                                                                  </w:divBdr>
                                                                </w:div>
                                                                <w:div w:id="1768116057">
                                                                  <w:marLeft w:val="0"/>
                                                                  <w:marRight w:val="0"/>
                                                                  <w:marTop w:val="0"/>
                                                                  <w:marBottom w:val="0"/>
                                                                  <w:divBdr>
                                                                    <w:top w:val="none" w:sz="0" w:space="0" w:color="auto"/>
                                                                    <w:left w:val="none" w:sz="0" w:space="0" w:color="auto"/>
                                                                    <w:bottom w:val="none" w:sz="0" w:space="0" w:color="auto"/>
                                                                    <w:right w:val="none" w:sz="0" w:space="0" w:color="auto"/>
                                                                  </w:divBdr>
                                                                </w:div>
                                                                <w:div w:id="503278745">
                                                                  <w:marLeft w:val="0"/>
                                                                  <w:marRight w:val="0"/>
                                                                  <w:marTop w:val="0"/>
                                                                  <w:marBottom w:val="0"/>
                                                                  <w:divBdr>
                                                                    <w:top w:val="none" w:sz="0" w:space="0" w:color="auto"/>
                                                                    <w:left w:val="none" w:sz="0" w:space="0" w:color="auto"/>
                                                                    <w:bottom w:val="none" w:sz="0" w:space="0" w:color="auto"/>
                                                                    <w:right w:val="none" w:sz="0" w:space="0" w:color="auto"/>
                                                                  </w:divBdr>
                                                                </w:div>
                                                                <w:div w:id="1431002309">
                                                                  <w:marLeft w:val="0"/>
                                                                  <w:marRight w:val="0"/>
                                                                  <w:marTop w:val="0"/>
                                                                  <w:marBottom w:val="0"/>
                                                                  <w:divBdr>
                                                                    <w:top w:val="none" w:sz="0" w:space="0" w:color="auto"/>
                                                                    <w:left w:val="none" w:sz="0" w:space="0" w:color="auto"/>
                                                                    <w:bottom w:val="none" w:sz="0" w:space="0" w:color="auto"/>
                                                                    <w:right w:val="none" w:sz="0" w:space="0" w:color="auto"/>
                                                                  </w:divBdr>
                                                                </w:div>
                                                                <w:div w:id="225798274">
                                                                  <w:marLeft w:val="0"/>
                                                                  <w:marRight w:val="0"/>
                                                                  <w:marTop w:val="0"/>
                                                                  <w:marBottom w:val="0"/>
                                                                  <w:divBdr>
                                                                    <w:top w:val="none" w:sz="0" w:space="0" w:color="auto"/>
                                                                    <w:left w:val="none" w:sz="0" w:space="0" w:color="auto"/>
                                                                    <w:bottom w:val="none" w:sz="0" w:space="0" w:color="auto"/>
                                                                    <w:right w:val="none" w:sz="0" w:space="0" w:color="auto"/>
                                                                  </w:divBdr>
                                                                </w:div>
                                                                <w:div w:id="1653172223">
                                                                  <w:marLeft w:val="0"/>
                                                                  <w:marRight w:val="0"/>
                                                                  <w:marTop w:val="0"/>
                                                                  <w:marBottom w:val="0"/>
                                                                  <w:divBdr>
                                                                    <w:top w:val="none" w:sz="0" w:space="0" w:color="auto"/>
                                                                    <w:left w:val="none" w:sz="0" w:space="0" w:color="auto"/>
                                                                    <w:bottom w:val="none" w:sz="0" w:space="0" w:color="auto"/>
                                                                    <w:right w:val="none" w:sz="0" w:space="0" w:color="auto"/>
                                                                  </w:divBdr>
                                                                </w:div>
                                                                <w:div w:id="1153564958">
                                                                  <w:marLeft w:val="0"/>
                                                                  <w:marRight w:val="0"/>
                                                                  <w:marTop w:val="0"/>
                                                                  <w:marBottom w:val="0"/>
                                                                  <w:divBdr>
                                                                    <w:top w:val="none" w:sz="0" w:space="0" w:color="auto"/>
                                                                    <w:left w:val="none" w:sz="0" w:space="0" w:color="auto"/>
                                                                    <w:bottom w:val="none" w:sz="0" w:space="0" w:color="auto"/>
                                                                    <w:right w:val="none" w:sz="0" w:space="0" w:color="auto"/>
                                                                  </w:divBdr>
                                                                </w:div>
                                                                <w:div w:id="1937861728">
                                                                  <w:marLeft w:val="0"/>
                                                                  <w:marRight w:val="0"/>
                                                                  <w:marTop w:val="0"/>
                                                                  <w:marBottom w:val="0"/>
                                                                  <w:divBdr>
                                                                    <w:top w:val="none" w:sz="0" w:space="0" w:color="auto"/>
                                                                    <w:left w:val="none" w:sz="0" w:space="0" w:color="auto"/>
                                                                    <w:bottom w:val="none" w:sz="0" w:space="0" w:color="auto"/>
                                                                    <w:right w:val="none" w:sz="0" w:space="0" w:color="auto"/>
                                                                  </w:divBdr>
                                                                </w:div>
                                                                <w:div w:id="914171878">
                                                                  <w:marLeft w:val="0"/>
                                                                  <w:marRight w:val="0"/>
                                                                  <w:marTop w:val="0"/>
                                                                  <w:marBottom w:val="0"/>
                                                                  <w:divBdr>
                                                                    <w:top w:val="none" w:sz="0" w:space="0" w:color="auto"/>
                                                                    <w:left w:val="none" w:sz="0" w:space="0" w:color="auto"/>
                                                                    <w:bottom w:val="none" w:sz="0" w:space="0" w:color="auto"/>
                                                                    <w:right w:val="none" w:sz="0" w:space="0" w:color="auto"/>
                                                                  </w:divBdr>
                                                                </w:div>
                                                                <w:div w:id="985164177">
                                                                  <w:marLeft w:val="0"/>
                                                                  <w:marRight w:val="0"/>
                                                                  <w:marTop w:val="0"/>
                                                                  <w:marBottom w:val="0"/>
                                                                  <w:divBdr>
                                                                    <w:top w:val="none" w:sz="0" w:space="0" w:color="auto"/>
                                                                    <w:left w:val="none" w:sz="0" w:space="0" w:color="auto"/>
                                                                    <w:bottom w:val="none" w:sz="0" w:space="0" w:color="auto"/>
                                                                    <w:right w:val="none" w:sz="0" w:space="0" w:color="auto"/>
                                                                  </w:divBdr>
                                                                </w:div>
                                                                <w:div w:id="2138449346">
                                                                  <w:marLeft w:val="0"/>
                                                                  <w:marRight w:val="0"/>
                                                                  <w:marTop w:val="0"/>
                                                                  <w:marBottom w:val="0"/>
                                                                  <w:divBdr>
                                                                    <w:top w:val="none" w:sz="0" w:space="0" w:color="auto"/>
                                                                    <w:left w:val="none" w:sz="0" w:space="0" w:color="auto"/>
                                                                    <w:bottom w:val="none" w:sz="0" w:space="0" w:color="auto"/>
                                                                    <w:right w:val="none" w:sz="0" w:space="0" w:color="auto"/>
                                                                  </w:divBdr>
                                                                </w:div>
                                                                <w:div w:id="366878513">
                                                                  <w:marLeft w:val="0"/>
                                                                  <w:marRight w:val="0"/>
                                                                  <w:marTop w:val="0"/>
                                                                  <w:marBottom w:val="0"/>
                                                                  <w:divBdr>
                                                                    <w:top w:val="none" w:sz="0" w:space="0" w:color="auto"/>
                                                                    <w:left w:val="none" w:sz="0" w:space="0" w:color="auto"/>
                                                                    <w:bottom w:val="none" w:sz="0" w:space="0" w:color="auto"/>
                                                                    <w:right w:val="none" w:sz="0" w:space="0" w:color="auto"/>
                                                                  </w:divBdr>
                                                                </w:div>
                                                                <w:div w:id="917985416">
                                                                  <w:marLeft w:val="0"/>
                                                                  <w:marRight w:val="0"/>
                                                                  <w:marTop w:val="0"/>
                                                                  <w:marBottom w:val="0"/>
                                                                  <w:divBdr>
                                                                    <w:top w:val="none" w:sz="0" w:space="0" w:color="auto"/>
                                                                    <w:left w:val="none" w:sz="0" w:space="0" w:color="auto"/>
                                                                    <w:bottom w:val="none" w:sz="0" w:space="0" w:color="auto"/>
                                                                    <w:right w:val="none" w:sz="0" w:space="0" w:color="auto"/>
                                                                  </w:divBdr>
                                                                </w:div>
                                                                <w:div w:id="1872264367">
                                                                  <w:marLeft w:val="0"/>
                                                                  <w:marRight w:val="0"/>
                                                                  <w:marTop w:val="0"/>
                                                                  <w:marBottom w:val="0"/>
                                                                  <w:divBdr>
                                                                    <w:top w:val="none" w:sz="0" w:space="0" w:color="auto"/>
                                                                    <w:left w:val="none" w:sz="0" w:space="0" w:color="auto"/>
                                                                    <w:bottom w:val="none" w:sz="0" w:space="0" w:color="auto"/>
                                                                    <w:right w:val="none" w:sz="0" w:space="0" w:color="auto"/>
                                                                  </w:divBdr>
                                                                </w:div>
                                                                <w:div w:id="1630089083">
                                                                  <w:marLeft w:val="0"/>
                                                                  <w:marRight w:val="0"/>
                                                                  <w:marTop w:val="0"/>
                                                                  <w:marBottom w:val="0"/>
                                                                  <w:divBdr>
                                                                    <w:top w:val="none" w:sz="0" w:space="0" w:color="auto"/>
                                                                    <w:left w:val="none" w:sz="0" w:space="0" w:color="auto"/>
                                                                    <w:bottom w:val="none" w:sz="0" w:space="0" w:color="auto"/>
                                                                    <w:right w:val="none" w:sz="0" w:space="0" w:color="auto"/>
                                                                  </w:divBdr>
                                                                </w:div>
                                                                <w:div w:id="81952701">
                                                                  <w:marLeft w:val="0"/>
                                                                  <w:marRight w:val="0"/>
                                                                  <w:marTop w:val="0"/>
                                                                  <w:marBottom w:val="0"/>
                                                                  <w:divBdr>
                                                                    <w:top w:val="none" w:sz="0" w:space="0" w:color="auto"/>
                                                                    <w:left w:val="none" w:sz="0" w:space="0" w:color="auto"/>
                                                                    <w:bottom w:val="none" w:sz="0" w:space="0" w:color="auto"/>
                                                                    <w:right w:val="none" w:sz="0" w:space="0" w:color="auto"/>
                                                                  </w:divBdr>
                                                                </w:div>
                                                                <w:div w:id="492139639">
                                                                  <w:marLeft w:val="0"/>
                                                                  <w:marRight w:val="0"/>
                                                                  <w:marTop w:val="0"/>
                                                                  <w:marBottom w:val="0"/>
                                                                  <w:divBdr>
                                                                    <w:top w:val="none" w:sz="0" w:space="0" w:color="auto"/>
                                                                    <w:left w:val="none" w:sz="0" w:space="0" w:color="auto"/>
                                                                    <w:bottom w:val="none" w:sz="0" w:space="0" w:color="auto"/>
                                                                    <w:right w:val="none" w:sz="0" w:space="0" w:color="auto"/>
                                                                  </w:divBdr>
                                                                </w:div>
                                                                <w:div w:id="609316070">
                                                                  <w:marLeft w:val="0"/>
                                                                  <w:marRight w:val="0"/>
                                                                  <w:marTop w:val="0"/>
                                                                  <w:marBottom w:val="0"/>
                                                                  <w:divBdr>
                                                                    <w:top w:val="none" w:sz="0" w:space="0" w:color="auto"/>
                                                                    <w:left w:val="none" w:sz="0" w:space="0" w:color="auto"/>
                                                                    <w:bottom w:val="none" w:sz="0" w:space="0" w:color="auto"/>
                                                                    <w:right w:val="none" w:sz="0" w:space="0" w:color="auto"/>
                                                                  </w:divBdr>
                                                                </w:div>
                                                                <w:div w:id="1536848777">
                                                                  <w:marLeft w:val="0"/>
                                                                  <w:marRight w:val="0"/>
                                                                  <w:marTop w:val="0"/>
                                                                  <w:marBottom w:val="0"/>
                                                                  <w:divBdr>
                                                                    <w:top w:val="none" w:sz="0" w:space="0" w:color="auto"/>
                                                                    <w:left w:val="none" w:sz="0" w:space="0" w:color="auto"/>
                                                                    <w:bottom w:val="none" w:sz="0" w:space="0" w:color="auto"/>
                                                                    <w:right w:val="none" w:sz="0" w:space="0" w:color="auto"/>
                                                                  </w:divBdr>
                                                                </w:div>
                                                                <w:div w:id="2060518959">
                                                                  <w:marLeft w:val="0"/>
                                                                  <w:marRight w:val="0"/>
                                                                  <w:marTop w:val="0"/>
                                                                  <w:marBottom w:val="0"/>
                                                                  <w:divBdr>
                                                                    <w:top w:val="none" w:sz="0" w:space="0" w:color="auto"/>
                                                                    <w:left w:val="none" w:sz="0" w:space="0" w:color="auto"/>
                                                                    <w:bottom w:val="none" w:sz="0" w:space="0" w:color="auto"/>
                                                                    <w:right w:val="none" w:sz="0" w:space="0" w:color="auto"/>
                                                                  </w:divBdr>
                                                                </w:div>
                                                                <w:div w:id="1237086036">
                                                                  <w:marLeft w:val="0"/>
                                                                  <w:marRight w:val="0"/>
                                                                  <w:marTop w:val="0"/>
                                                                  <w:marBottom w:val="0"/>
                                                                  <w:divBdr>
                                                                    <w:top w:val="none" w:sz="0" w:space="0" w:color="auto"/>
                                                                    <w:left w:val="none" w:sz="0" w:space="0" w:color="auto"/>
                                                                    <w:bottom w:val="none" w:sz="0" w:space="0" w:color="auto"/>
                                                                    <w:right w:val="none" w:sz="0" w:space="0" w:color="auto"/>
                                                                  </w:divBdr>
                                                                </w:div>
                                                                <w:div w:id="518465826">
                                                                  <w:marLeft w:val="0"/>
                                                                  <w:marRight w:val="0"/>
                                                                  <w:marTop w:val="0"/>
                                                                  <w:marBottom w:val="0"/>
                                                                  <w:divBdr>
                                                                    <w:top w:val="none" w:sz="0" w:space="0" w:color="auto"/>
                                                                    <w:left w:val="none" w:sz="0" w:space="0" w:color="auto"/>
                                                                    <w:bottom w:val="none" w:sz="0" w:space="0" w:color="auto"/>
                                                                    <w:right w:val="none" w:sz="0" w:space="0" w:color="auto"/>
                                                                  </w:divBdr>
                                                                </w:div>
                                                                <w:div w:id="245578627">
                                                                  <w:marLeft w:val="0"/>
                                                                  <w:marRight w:val="0"/>
                                                                  <w:marTop w:val="0"/>
                                                                  <w:marBottom w:val="0"/>
                                                                  <w:divBdr>
                                                                    <w:top w:val="none" w:sz="0" w:space="0" w:color="auto"/>
                                                                    <w:left w:val="none" w:sz="0" w:space="0" w:color="auto"/>
                                                                    <w:bottom w:val="none" w:sz="0" w:space="0" w:color="auto"/>
                                                                    <w:right w:val="none" w:sz="0" w:space="0" w:color="auto"/>
                                                                  </w:divBdr>
                                                                </w:div>
                                                                <w:div w:id="513543856">
                                                                  <w:marLeft w:val="0"/>
                                                                  <w:marRight w:val="0"/>
                                                                  <w:marTop w:val="0"/>
                                                                  <w:marBottom w:val="0"/>
                                                                  <w:divBdr>
                                                                    <w:top w:val="none" w:sz="0" w:space="0" w:color="auto"/>
                                                                    <w:left w:val="none" w:sz="0" w:space="0" w:color="auto"/>
                                                                    <w:bottom w:val="none" w:sz="0" w:space="0" w:color="auto"/>
                                                                    <w:right w:val="none" w:sz="0" w:space="0" w:color="auto"/>
                                                                  </w:divBdr>
                                                                </w:div>
                                                                <w:div w:id="50274606">
                                                                  <w:marLeft w:val="0"/>
                                                                  <w:marRight w:val="0"/>
                                                                  <w:marTop w:val="0"/>
                                                                  <w:marBottom w:val="0"/>
                                                                  <w:divBdr>
                                                                    <w:top w:val="none" w:sz="0" w:space="0" w:color="auto"/>
                                                                    <w:left w:val="none" w:sz="0" w:space="0" w:color="auto"/>
                                                                    <w:bottom w:val="none" w:sz="0" w:space="0" w:color="auto"/>
                                                                    <w:right w:val="none" w:sz="0" w:space="0" w:color="auto"/>
                                                                  </w:divBdr>
                                                                </w:div>
                                                                <w:div w:id="2116360096">
                                                                  <w:marLeft w:val="0"/>
                                                                  <w:marRight w:val="0"/>
                                                                  <w:marTop w:val="0"/>
                                                                  <w:marBottom w:val="0"/>
                                                                  <w:divBdr>
                                                                    <w:top w:val="none" w:sz="0" w:space="0" w:color="auto"/>
                                                                    <w:left w:val="none" w:sz="0" w:space="0" w:color="auto"/>
                                                                    <w:bottom w:val="none" w:sz="0" w:space="0" w:color="auto"/>
                                                                    <w:right w:val="none" w:sz="0" w:space="0" w:color="auto"/>
                                                                  </w:divBdr>
                                                                </w:div>
                                                                <w:div w:id="1486051376">
                                                                  <w:marLeft w:val="0"/>
                                                                  <w:marRight w:val="0"/>
                                                                  <w:marTop w:val="0"/>
                                                                  <w:marBottom w:val="0"/>
                                                                  <w:divBdr>
                                                                    <w:top w:val="none" w:sz="0" w:space="0" w:color="auto"/>
                                                                    <w:left w:val="none" w:sz="0" w:space="0" w:color="auto"/>
                                                                    <w:bottom w:val="none" w:sz="0" w:space="0" w:color="auto"/>
                                                                    <w:right w:val="none" w:sz="0" w:space="0" w:color="auto"/>
                                                                  </w:divBdr>
                                                                </w:div>
                                                                <w:div w:id="1019703589">
                                                                  <w:marLeft w:val="0"/>
                                                                  <w:marRight w:val="0"/>
                                                                  <w:marTop w:val="0"/>
                                                                  <w:marBottom w:val="0"/>
                                                                  <w:divBdr>
                                                                    <w:top w:val="none" w:sz="0" w:space="0" w:color="auto"/>
                                                                    <w:left w:val="none" w:sz="0" w:space="0" w:color="auto"/>
                                                                    <w:bottom w:val="none" w:sz="0" w:space="0" w:color="auto"/>
                                                                    <w:right w:val="none" w:sz="0" w:space="0" w:color="auto"/>
                                                                  </w:divBdr>
                                                                </w:div>
                                                                <w:div w:id="1264411344">
                                                                  <w:marLeft w:val="0"/>
                                                                  <w:marRight w:val="0"/>
                                                                  <w:marTop w:val="0"/>
                                                                  <w:marBottom w:val="0"/>
                                                                  <w:divBdr>
                                                                    <w:top w:val="none" w:sz="0" w:space="0" w:color="auto"/>
                                                                    <w:left w:val="none" w:sz="0" w:space="0" w:color="auto"/>
                                                                    <w:bottom w:val="none" w:sz="0" w:space="0" w:color="auto"/>
                                                                    <w:right w:val="none" w:sz="0" w:space="0" w:color="auto"/>
                                                                  </w:divBdr>
                                                                </w:div>
                                                                <w:div w:id="1599751954">
                                                                  <w:marLeft w:val="0"/>
                                                                  <w:marRight w:val="0"/>
                                                                  <w:marTop w:val="0"/>
                                                                  <w:marBottom w:val="0"/>
                                                                  <w:divBdr>
                                                                    <w:top w:val="none" w:sz="0" w:space="0" w:color="auto"/>
                                                                    <w:left w:val="none" w:sz="0" w:space="0" w:color="auto"/>
                                                                    <w:bottom w:val="none" w:sz="0" w:space="0" w:color="auto"/>
                                                                    <w:right w:val="none" w:sz="0" w:space="0" w:color="auto"/>
                                                                  </w:divBdr>
                                                                </w:div>
                                                                <w:div w:id="567109313">
                                                                  <w:marLeft w:val="0"/>
                                                                  <w:marRight w:val="0"/>
                                                                  <w:marTop w:val="0"/>
                                                                  <w:marBottom w:val="0"/>
                                                                  <w:divBdr>
                                                                    <w:top w:val="none" w:sz="0" w:space="0" w:color="auto"/>
                                                                    <w:left w:val="none" w:sz="0" w:space="0" w:color="auto"/>
                                                                    <w:bottom w:val="none" w:sz="0" w:space="0" w:color="auto"/>
                                                                    <w:right w:val="none" w:sz="0" w:space="0" w:color="auto"/>
                                                                  </w:divBdr>
                                                                </w:div>
                                                                <w:div w:id="735205105">
                                                                  <w:marLeft w:val="0"/>
                                                                  <w:marRight w:val="0"/>
                                                                  <w:marTop w:val="0"/>
                                                                  <w:marBottom w:val="0"/>
                                                                  <w:divBdr>
                                                                    <w:top w:val="none" w:sz="0" w:space="0" w:color="auto"/>
                                                                    <w:left w:val="none" w:sz="0" w:space="0" w:color="auto"/>
                                                                    <w:bottom w:val="none" w:sz="0" w:space="0" w:color="auto"/>
                                                                    <w:right w:val="none" w:sz="0" w:space="0" w:color="auto"/>
                                                                  </w:divBdr>
                                                                </w:div>
                                                                <w:div w:id="1872836800">
                                                                  <w:marLeft w:val="0"/>
                                                                  <w:marRight w:val="0"/>
                                                                  <w:marTop w:val="0"/>
                                                                  <w:marBottom w:val="0"/>
                                                                  <w:divBdr>
                                                                    <w:top w:val="none" w:sz="0" w:space="0" w:color="auto"/>
                                                                    <w:left w:val="none" w:sz="0" w:space="0" w:color="auto"/>
                                                                    <w:bottom w:val="none" w:sz="0" w:space="0" w:color="auto"/>
                                                                    <w:right w:val="none" w:sz="0" w:space="0" w:color="auto"/>
                                                                  </w:divBdr>
                                                                </w:div>
                                                                <w:div w:id="946738767">
                                                                  <w:marLeft w:val="0"/>
                                                                  <w:marRight w:val="0"/>
                                                                  <w:marTop w:val="0"/>
                                                                  <w:marBottom w:val="0"/>
                                                                  <w:divBdr>
                                                                    <w:top w:val="none" w:sz="0" w:space="0" w:color="auto"/>
                                                                    <w:left w:val="none" w:sz="0" w:space="0" w:color="auto"/>
                                                                    <w:bottom w:val="none" w:sz="0" w:space="0" w:color="auto"/>
                                                                    <w:right w:val="none" w:sz="0" w:space="0" w:color="auto"/>
                                                                  </w:divBdr>
                                                                </w:div>
                                                                <w:div w:id="1755392931">
                                                                  <w:marLeft w:val="0"/>
                                                                  <w:marRight w:val="0"/>
                                                                  <w:marTop w:val="0"/>
                                                                  <w:marBottom w:val="0"/>
                                                                  <w:divBdr>
                                                                    <w:top w:val="none" w:sz="0" w:space="0" w:color="auto"/>
                                                                    <w:left w:val="none" w:sz="0" w:space="0" w:color="auto"/>
                                                                    <w:bottom w:val="none" w:sz="0" w:space="0" w:color="auto"/>
                                                                    <w:right w:val="none" w:sz="0" w:space="0" w:color="auto"/>
                                                                  </w:divBdr>
                                                                </w:div>
                                                                <w:div w:id="689837192">
                                                                  <w:marLeft w:val="0"/>
                                                                  <w:marRight w:val="0"/>
                                                                  <w:marTop w:val="0"/>
                                                                  <w:marBottom w:val="0"/>
                                                                  <w:divBdr>
                                                                    <w:top w:val="none" w:sz="0" w:space="0" w:color="auto"/>
                                                                    <w:left w:val="none" w:sz="0" w:space="0" w:color="auto"/>
                                                                    <w:bottom w:val="none" w:sz="0" w:space="0" w:color="auto"/>
                                                                    <w:right w:val="none" w:sz="0" w:space="0" w:color="auto"/>
                                                                  </w:divBdr>
                                                                </w:div>
                                                                <w:div w:id="1094352725">
                                                                  <w:marLeft w:val="0"/>
                                                                  <w:marRight w:val="0"/>
                                                                  <w:marTop w:val="0"/>
                                                                  <w:marBottom w:val="0"/>
                                                                  <w:divBdr>
                                                                    <w:top w:val="none" w:sz="0" w:space="0" w:color="auto"/>
                                                                    <w:left w:val="none" w:sz="0" w:space="0" w:color="auto"/>
                                                                    <w:bottom w:val="none" w:sz="0" w:space="0" w:color="auto"/>
                                                                    <w:right w:val="none" w:sz="0" w:space="0" w:color="auto"/>
                                                                  </w:divBdr>
                                                                </w:div>
                                                                <w:div w:id="457071585">
                                                                  <w:marLeft w:val="0"/>
                                                                  <w:marRight w:val="0"/>
                                                                  <w:marTop w:val="0"/>
                                                                  <w:marBottom w:val="0"/>
                                                                  <w:divBdr>
                                                                    <w:top w:val="none" w:sz="0" w:space="0" w:color="auto"/>
                                                                    <w:left w:val="none" w:sz="0" w:space="0" w:color="auto"/>
                                                                    <w:bottom w:val="none" w:sz="0" w:space="0" w:color="auto"/>
                                                                    <w:right w:val="none" w:sz="0" w:space="0" w:color="auto"/>
                                                                  </w:divBdr>
                                                                </w:div>
                                                                <w:div w:id="1905410111">
                                                                  <w:marLeft w:val="0"/>
                                                                  <w:marRight w:val="0"/>
                                                                  <w:marTop w:val="0"/>
                                                                  <w:marBottom w:val="0"/>
                                                                  <w:divBdr>
                                                                    <w:top w:val="none" w:sz="0" w:space="0" w:color="auto"/>
                                                                    <w:left w:val="none" w:sz="0" w:space="0" w:color="auto"/>
                                                                    <w:bottom w:val="none" w:sz="0" w:space="0" w:color="auto"/>
                                                                    <w:right w:val="none" w:sz="0" w:space="0" w:color="auto"/>
                                                                  </w:divBdr>
                                                                </w:div>
                                                                <w:div w:id="1425345508">
                                                                  <w:marLeft w:val="0"/>
                                                                  <w:marRight w:val="0"/>
                                                                  <w:marTop w:val="0"/>
                                                                  <w:marBottom w:val="0"/>
                                                                  <w:divBdr>
                                                                    <w:top w:val="none" w:sz="0" w:space="0" w:color="auto"/>
                                                                    <w:left w:val="none" w:sz="0" w:space="0" w:color="auto"/>
                                                                    <w:bottom w:val="none" w:sz="0" w:space="0" w:color="auto"/>
                                                                    <w:right w:val="none" w:sz="0" w:space="0" w:color="auto"/>
                                                                  </w:divBdr>
                                                                </w:div>
                                                                <w:div w:id="909463530">
                                                                  <w:marLeft w:val="0"/>
                                                                  <w:marRight w:val="0"/>
                                                                  <w:marTop w:val="0"/>
                                                                  <w:marBottom w:val="0"/>
                                                                  <w:divBdr>
                                                                    <w:top w:val="none" w:sz="0" w:space="0" w:color="auto"/>
                                                                    <w:left w:val="none" w:sz="0" w:space="0" w:color="auto"/>
                                                                    <w:bottom w:val="none" w:sz="0" w:space="0" w:color="auto"/>
                                                                    <w:right w:val="none" w:sz="0" w:space="0" w:color="auto"/>
                                                                  </w:divBdr>
                                                                </w:div>
                                                                <w:div w:id="1761562544">
                                                                  <w:marLeft w:val="0"/>
                                                                  <w:marRight w:val="0"/>
                                                                  <w:marTop w:val="0"/>
                                                                  <w:marBottom w:val="0"/>
                                                                  <w:divBdr>
                                                                    <w:top w:val="none" w:sz="0" w:space="0" w:color="auto"/>
                                                                    <w:left w:val="none" w:sz="0" w:space="0" w:color="auto"/>
                                                                    <w:bottom w:val="none" w:sz="0" w:space="0" w:color="auto"/>
                                                                    <w:right w:val="none" w:sz="0" w:space="0" w:color="auto"/>
                                                                  </w:divBdr>
                                                                </w:div>
                                                                <w:div w:id="1094059985">
                                                                  <w:marLeft w:val="0"/>
                                                                  <w:marRight w:val="0"/>
                                                                  <w:marTop w:val="0"/>
                                                                  <w:marBottom w:val="0"/>
                                                                  <w:divBdr>
                                                                    <w:top w:val="none" w:sz="0" w:space="0" w:color="auto"/>
                                                                    <w:left w:val="none" w:sz="0" w:space="0" w:color="auto"/>
                                                                    <w:bottom w:val="none" w:sz="0" w:space="0" w:color="auto"/>
                                                                    <w:right w:val="none" w:sz="0" w:space="0" w:color="auto"/>
                                                                  </w:divBdr>
                                                                </w:div>
                                                                <w:div w:id="1667711728">
                                                                  <w:marLeft w:val="0"/>
                                                                  <w:marRight w:val="0"/>
                                                                  <w:marTop w:val="0"/>
                                                                  <w:marBottom w:val="0"/>
                                                                  <w:divBdr>
                                                                    <w:top w:val="none" w:sz="0" w:space="0" w:color="auto"/>
                                                                    <w:left w:val="none" w:sz="0" w:space="0" w:color="auto"/>
                                                                    <w:bottom w:val="none" w:sz="0" w:space="0" w:color="auto"/>
                                                                    <w:right w:val="none" w:sz="0" w:space="0" w:color="auto"/>
                                                                  </w:divBdr>
                                                                </w:div>
                                                                <w:div w:id="356319946">
                                                                  <w:marLeft w:val="0"/>
                                                                  <w:marRight w:val="0"/>
                                                                  <w:marTop w:val="0"/>
                                                                  <w:marBottom w:val="0"/>
                                                                  <w:divBdr>
                                                                    <w:top w:val="none" w:sz="0" w:space="0" w:color="auto"/>
                                                                    <w:left w:val="none" w:sz="0" w:space="0" w:color="auto"/>
                                                                    <w:bottom w:val="none" w:sz="0" w:space="0" w:color="auto"/>
                                                                    <w:right w:val="none" w:sz="0" w:space="0" w:color="auto"/>
                                                                  </w:divBdr>
                                                                </w:div>
                                                                <w:div w:id="355929026">
                                                                  <w:marLeft w:val="0"/>
                                                                  <w:marRight w:val="0"/>
                                                                  <w:marTop w:val="0"/>
                                                                  <w:marBottom w:val="0"/>
                                                                  <w:divBdr>
                                                                    <w:top w:val="none" w:sz="0" w:space="0" w:color="auto"/>
                                                                    <w:left w:val="none" w:sz="0" w:space="0" w:color="auto"/>
                                                                    <w:bottom w:val="none" w:sz="0" w:space="0" w:color="auto"/>
                                                                    <w:right w:val="none" w:sz="0" w:space="0" w:color="auto"/>
                                                                  </w:divBdr>
                                                                </w:div>
                                                                <w:div w:id="743842151">
                                                                  <w:marLeft w:val="0"/>
                                                                  <w:marRight w:val="0"/>
                                                                  <w:marTop w:val="0"/>
                                                                  <w:marBottom w:val="0"/>
                                                                  <w:divBdr>
                                                                    <w:top w:val="none" w:sz="0" w:space="0" w:color="auto"/>
                                                                    <w:left w:val="none" w:sz="0" w:space="0" w:color="auto"/>
                                                                    <w:bottom w:val="none" w:sz="0" w:space="0" w:color="auto"/>
                                                                    <w:right w:val="none" w:sz="0" w:space="0" w:color="auto"/>
                                                                  </w:divBdr>
                                                                </w:div>
                                                                <w:div w:id="158813338">
                                                                  <w:marLeft w:val="0"/>
                                                                  <w:marRight w:val="0"/>
                                                                  <w:marTop w:val="0"/>
                                                                  <w:marBottom w:val="0"/>
                                                                  <w:divBdr>
                                                                    <w:top w:val="none" w:sz="0" w:space="0" w:color="auto"/>
                                                                    <w:left w:val="none" w:sz="0" w:space="0" w:color="auto"/>
                                                                    <w:bottom w:val="none" w:sz="0" w:space="0" w:color="auto"/>
                                                                    <w:right w:val="none" w:sz="0" w:space="0" w:color="auto"/>
                                                                  </w:divBdr>
                                                                </w:div>
                                                                <w:div w:id="1229266283">
                                                                  <w:marLeft w:val="0"/>
                                                                  <w:marRight w:val="0"/>
                                                                  <w:marTop w:val="0"/>
                                                                  <w:marBottom w:val="0"/>
                                                                  <w:divBdr>
                                                                    <w:top w:val="none" w:sz="0" w:space="0" w:color="auto"/>
                                                                    <w:left w:val="none" w:sz="0" w:space="0" w:color="auto"/>
                                                                    <w:bottom w:val="none" w:sz="0" w:space="0" w:color="auto"/>
                                                                    <w:right w:val="none" w:sz="0" w:space="0" w:color="auto"/>
                                                                  </w:divBdr>
                                                                </w:div>
                                                                <w:div w:id="692265747">
                                                                  <w:marLeft w:val="0"/>
                                                                  <w:marRight w:val="0"/>
                                                                  <w:marTop w:val="0"/>
                                                                  <w:marBottom w:val="0"/>
                                                                  <w:divBdr>
                                                                    <w:top w:val="none" w:sz="0" w:space="0" w:color="auto"/>
                                                                    <w:left w:val="none" w:sz="0" w:space="0" w:color="auto"/>
                                                                    <w:bottom w:val="none" w:sz="0" w:space="0" w:color="auto"/>
                                                                    <w:right w:val="none" w:sz="0" w:space="0" w:color="auto"/>
                                                                  </w:divBdr>
                                                                </w:div>
                                                                <w:div w:id="485706587">
                                                                  <w:marLeft w:val="0"/>
                                                                  <w:marRight w:val="0"/>
                                                                  <w:marTop w:val="0"/>
                                                                  <w:marBottom w:val="0"/>
                                                                  <w:divBdr>
                                                                    <w:top w:val="none" w:sz="0" w:space="0" w:color="auto"/>
                                                                    <w:left w:val="none" w:sz="0" w:space="0" w:color="auto"/>
                                                                    <w:bottom w:val="none" w:sz="0" w:space="0" w:color="auto"/>
                                                                    <w:right w:val="none" w:sz="0" w:space="0" w:color="auto"/>
                                                                  </w:divBdr>
                                                                </w:div>
                                                                <w:div w:id="1944533086">
                                                                  <w:marLeft w:val="0"/>
                                                                  <w:marRight w:val="0"/>
                                                                  <w:marTop w:val="0"/>
                                                                  <w:marBottom w:val="0"/>
                                                                  <w:divBdr>
                                                                    <w:top w:val="none" w:sz="0" w:space="0" w:color="auto"/>
                                                                    <w:left w:val="none" w:sz="0" w:space="0" w:color="auto"/>
                                                                    <w:bottom w:val="none" w:sz="0" w:space="0" w:color="auto"/>
                                                                    <w:right w:val="none" w:sz="0" w:space="0" w:color="auto"/>
                                                                  </w:divBdr>
                                                                </w:div>
                                                                <w:div w:id="2058123867">
                                                                  <w:marLeft w:val="0"/>
                                                                  <w:marRight w:val="0"/>
                                                                  <w:marTop w:val="0"/>
                                                                  <w:marBottom w:val="0"/>
                                                                  <w:divBdr>
                                                                    <w:top w:val="none" w:sz="0" w:space="0" w:color="auto"/>
                                                                    <w:left w:val="none" w:sz="0" w:space="0" w:color="auto"/>
                                                                    <w:bottom w:val="none" w:sz="0" w:space="0" w:color="auto"/>
                                                                    <w:right w:val="none" w:sz="0" w:space="0" w:color="auto"/>
                                                                  </w:divBdr>
                                                                </w:div>
                                                                <w:div w:id="529755891">
                                                                  <w:marLeft w:val="0"/>
                                                                  <w:marRight w:val="0"/>
                                                                  <w:marTop w:val="0"/>
                                                                  <w:marBottom w:val="0"/>
                                                                  <w:divBdr>
                                                                    <w:top w:val="none" w:sz="0" w:space="0" w:color="auto"/>
                                                                    <w:left w:val="none" w:sz="0" w:space="0" w:color="auto"/>
                                                                    <w:bottom w:val="none" w:sz="0" w:space="0" w:color="auto"/>
                                                                    <w:right w:val="none" w:sz="0" w:space="0" w:color="auto"/>
                                                                  </w:divBdr>
                                                                </w:div>
                                                                <w:div w:id="723716472">
                                                                  <w:marLeft w:val="0"/>
                                                                  <w:marRight w:val="0"/>
                                                                  <w:marTop w:val="0"/>
                                                                  <w:marBottom w:val="0"/>
                                                                  <w:divBdr>
                                                                    <w:top w:val="none" w:sz="0" w:space="0" w:color="auto"/>
                                                                    <w:left w:val="none" w:sz="0" w:space="0" w:color="auto"/>
                                                                    <w:bottom w:val="none" w:sz="0" w:space="0" w:color="auto"/>
                                                                    <w:right w:val="none" w:sz="0" w:space="0" w:color="auto"/>
                                                                  </w:divBdr>
                                                                </w:div>
                                                                <w:div w:id="1230119347">
                                                                  <w:marLeft w:val="0"/>
                                                                  <w:marRight w:val="0"/>
                                                                  <w:marTop w:val="0"/>
                                                                  <w:marBottom w:val="0"/>
                                                                  <w:divBdr>
                                                                    <w:top w:val="none" w:sz="0" w:space="0" w:color="auto"/>
                                                                    <w:left w:val="none" w:sz="0" w:space="0" w:color="auto"/>
                                                                    <w:bottom w:val="none" w:sz="0" w:space="0" w:color="auto"/>
                                                                    <w:right w:val="none" w:sz="0" w:space="0" w:color="auto"/>
                                                                  </w:divBdr>
                                                                </w:div>
                                                                <w:div w:id="1953245968">
                                                                  <w:marLeft w:val="0"/>
                                                                  <w:marRight w:val="0"/>
                                                                  <w:marTop w:val="0"/>
                                                                  <w:marBottom w:val="0"/>
                                                                  <w:divBdr>
                                                                    <w:top w:val="none" w:sz="0" w:space="0" w:color="auto"/>
                                                                    <w:left w:val="none" w:sz="0" w:space="0" w:color="auto"/>
                                                                    <w:bottom w:val="none" w:sz="0" w:space="0" w:color="auto"/>
                                                                    <w:right w:val="none" w:sz="0" w:space="0" w:color="auto"/>
                                                                  </w:divBdr>
                                                                </w:div>
                                                                <w:div w:id="243492378">
                                                                  <w:marLeft w:val="0"/>
                                                                  <w:marRight w:val="0"/>
                                                                  <w:marTop w:val="0"/>
                                                                  <w:marBottom w:val="0"/>
                                                                  <w:divBdr>
                                                                    <w:top w:val="none" w:sz="0" w:space="0" w:color="auto"/>
                                                                    <w:left w:val="none" w:sz="0" w:space="0" w:color="auto"/>
                                                                    <w:bottom w:val="none" w:sz="0" w:space="0" w:color="auto"/>
                                                                    <w:right w:val="none" w:sz="0" w:space="0" w:color="auto"/>
                                                                  </w:divBdr>
                                                                </w:div>
                                                                <w:div w:id="634726528">
                                                                  <w:marLeft w:val="0"/>
                                                                  <w:marRight w:val="0"/>
                                                                  <w:marTop w:val="0"/>
                                                                  <w:marBottom w:val="0"/>
                                                                  <w:divBdr>
                                                                    <w:top w:val="none" w:sz="0" w:space="0" w:color="auto"/>
                                                                    <w:left w:val="none" w:sz="0" w:space="0" w:color="auto"/>
                                                                    <w:bottom w:val="none" w:sz="0" w:space="0" w:color="auto"/>
                                                                    <w:right w:val="none" w:sz="0" w:space="0" w:color="auto"/>
                                                                  </w:divBdr>
                                                                </w:div>
                                                                <w:div w:id="1406220225">
                                                                  <w:marLeft w:val="0"/>
                                                                  <w:marRight w:val="0"/>
                                                                  <w:marTop w:val="0"/>
                                                                  <w:marBottom w:val="0"/>
                                                                  <w:divBdr>
                                                                    <w:top w:val="none" w:sz="0" w:space="0" w:color="auto"/>
                                                                    <w:left w:val="none" w:sz="0" w:space="0" w:color="auto"/>
                                                                    <w:bottom w:val="none" w:sz="0" w:space="0" w:color="auto"/>
                                                                    <w:right w:val="none" w:sz="0" w:space="0" w:color="auto"/>
                                                                  </w:divBdr>
                                                                </w:div>
                                                                <w:div w:id="310405892">
                                                                  <w:marLeft w:val="0"/>
                                                                  <w:marRight w:val="0"/>
                                                                  <w:marTop w:val="0"/>
                                                                  <w:marBottom w:val="0"/>
                                                                  <w:divBdr>
                                                                    <w:top w:val="none" w:sz="0" w:space="0" w:color="auto"/>
                                                                    <w:left w:val="none" w:sz="0" w:space="0" w:color="auto"/>
                                                                    <w:bottom w:val="none" w:sz="0" w:space="0" w:color="auto"/>
                                                                    <w:right w:val="none" w:sz="0" w:space="0" w:color="auto"/>
                                                                  </w:divBdr>
                                                                </w:div>
                                                                <w:div w:id="774255165">
                                                                  <w:marLeft w:val="0"/>
                                                                  <w:marRight w:val="0"/>
                                                                  <w:marTop w:val="0"/>
                                                                  <w:marBottom w:val="0"/>
                                                                  <w:divBdr>
                                                                    <w:top w:val="none" w:sz="0" w:space="0" w:color="auto"/>
                                                                    <w:left w:val="none" w:sz="0" w:space="0" w:color="auto"/>
                                                                    <w:bottom w:val="none" w:sz="0" w:space="0" w:color="auto"/>
                                                                    <w:right w:val="none" w:sz="0" w:space="0" w:color="auto"/>
                                                                  </w:divBdr>
                                                                </w:div>
                                                                <w:div w:id="1422331019">
                                                                  <w:marLeft w:val="0"/>
                                                                  <w:marRight w:val="0"/>
                                                                  <w:marTop w:val="0"/>
                                                                  <w:marBottom w:val="0"/>
                                                                  <w:divBdr>
                                                                    <w:top w:val="none" w:sz="0" w:space="0" w:color="auto"/>
                                                                    <w:left w:val="none" w:sz="0" w:space="0" w:color="auto"/>
                                                                    <w:bottom w:val="none" w:sz="0" w:space="0" w:color="auto"/>
                                                                    <w:right w:val="none" w:sz="0" w:space="0" w:color="auto"/>
                                                                  </w:divBdr>
                                                                </w:div>
                                                                <w:div w:id="749816140">
                                                                  <w:marLeft w:val="0"/>
                                                                  <w:marRight w:val="0"/>
                                                                  <w:marTop w:val="0"/>
                                                                  <w:marBottom w:val="0"/>
                                                                  <w:divBdr>
                                                                    <w:top w:val="none" w:sz="0" w:space="0" w:color="auto"/>
                                                                    <w:left w:val="none" w:sz="0" w:space="0" w:color="auto"/>
                                                                    <w:bottom w:val="none" w:sz="0" w:space="0" w:color="auto"/>
                                                                    <w:right w:val="none" w:sz="0" w:space="0" w:color="auto"/>
                                                                  </w:divBdr>
                                                                </w:div>
                                                                <w:div w:id="156463907">
                                                                  <w:marLeft w:val="0"/>
                                                                  <w:marRight w:val="0"/>
                                                                  <w:marTop w:val="0"/>
                                                                  <w:marBottom w:val="0"/>
                                                                  <w:divBdr>
                                                                    <w:top w:val="none" w:sz="0" w:space="0" w:color="auto"/>
                                                                    <w:left w:val="none" w:sz="0" w:space="0" w:color="auto"/>
                                                                    <w:bottom w:val="none" w:sz="0" w:space="0" w:color="auto"/>
                                                                    <w:right w:val="none" w:sz="0" w:space="0" w:color="auto"/>
                                                                  </w:divBdr>
                                                                </w:div>
                                                                <w:div w:id="532307351">
                                                                  <w:marLeft w:val="0"/>
                                                                  <w:marRight w:val="0"/>
                                                                  <w:marTop w:val="0"/>
                                                                  <w:marBottom w:val="0"/>
                                                                  <w:divBdr>
                                                                    <w:top w:val="none" w:sz="0" w:space="0" w:color="auto"/>
                                                                    <w:left w:val="none" w:sz="0" w:space="0" w:color="auto"/>
                                                                    <w:bottom w:val="none" w:sz="0" w:space="0" w:color="auto"/>
                                                                    <w:right w:val="none" w:sz="0" w:space="0" w:color="auto"/>
                                                                  </w:divBdr>
                                                                </w:div>
                                                                <w:div w:id="509830952">
                                                                  <w:marLeft w:val="0"/>
                                                                  <w:marRight w:val="0"/>
                                                                  <w:marTop w:val="0"/>
                                                                  <w:marBottom w:val="0"/>
                                                                  <w:divBdr>
                                                                    <w:top w:val="none" w:sz="0" w:space="0" w:color="auto"/>
                                                                    <w:left w:val="none" w:sz="0" w:space="0" w:color="auto"/>
                                                                    <w:bottom w:val="none" w:sz="0" w:space="0" w:color="auto"/>
                                                                    <w:right w:val="none" w:sz="0" w:space="0" w:color="auto"/>
                                                                  </w:divBdr>
                                                                </w:div>
                                                                <w:div w:id="298416273">
                                                                  <w:marLeft w:val="0"/>
                                                                  <w:marRight w:val="0"/>
                                                                  <w:marTop w:val="0"/>
                                                                  <w:marBottom w:val="0"/>
                                                                  <w:divBdr>
                                                                    <w:top w:val="none" w:sz="0" w:space="0" w:color="auto"/>
                                                                    <w:left w:val="none" w:sz="0" w:space="0" w:color="auto"/>
                                                                    <w:bottom w:val="none" w:sz="0" w:space="0" w:color="auto"/>
                                                                    <w:right w:val="none" w:sz="0" w:space="0" w:color="auto"/>
                                                                  </w:divBdr>
                                                                </w:div>
                                                                <w:div w:id="231739482">
                                                                  <w:marLeft w:val="0"/>
                                                                  <w:marRight w:val="0"/>
                                                                  <w:marTop w:val="0"/>
                                                                  <w:marBottom w:val="0"/>
                                                                  <w:divBdr>
                                                                    <w:top w:val="none" w:sz="0" w:space="0" w:color="auto"/>
                                                                    <w:left w:val="none" w:sz="0" w:space="0" w:color="auto"/>
                                                                    <w:bottom w:val="none" w:sz="0" w:space="0" w:color="auto"/>
                                                                    <w:right w:val="none" w:sz="0" w:space="0" w:color="auto"/>
                                                                  </w:divBdr>
                                                                </w:div>
                                                                <w:div w:id="1199926829">
                                                                  <w:marLeft w:val="0"/>
                                                                  <w:marRight w:val="0"/>
                                                                  <w:marTop w:val="0"/>
                                                                  <w:marBottom w:val="0"/>
                                                                  <w:divBdr>
                                                                    <w:top w:val="none" w:sz="0" w:space="0" w:color="auto"/>
                                                                    <w:left w:val="none" w:sz="0" w:space="0" w:color="auto"/>
                                                                    <w:bottom w:val="none" w:sz="0" w:space="0" w:color="auto"/>
                                                                    <w:right w:val="none" w:sz="0" w:space="0" w:color="auto"/>
                                                                  </w:divBdr>
                                                                </w:div>
                                                                <w:div w:id="1356540052">
                                                                  <w:marLeft w:val="0"/>
                                                                  <w:marRight w:val="0"/>
                                                                  <w:marTop w:val="0"/>
                                                                  <w:marBottom w:val="0"/>
                                                                  <w:divBdr>
                                                                    <w:top w:val="none" w:sz="0" w:space="0" w:color="auto"/>
                                                                    <w:left w:val="none" w:sz="0" w:space="0" w:color="auto"/>
                                                                    <w:bottom w:val="none" w:sz="0" w:space="0" w:color="auto"/>
                                                                    <w:right w:val="none" w:sz="0" w:space="0" w:color="auto"/>
                                                                  </w:divBdr>
                                                                </w:div>
                                                                <w:div w:id="1171412574">
                                                                  <w:marLeft w:val="0"/>
                                                                  <w:marRight w:val="0"/>
                                                                  <w:marTop w:val="0"/>
                                                                  <w:marBottom w:val="0"/>
                                                                  <w:divBdr>
                                                                    <w:top w:val="none" w:sz="0" w:space="0" w:color="auto"/>
                                                                    <w:left w:val="none" w:sz="0" w:space="0" w:color="auto"/>
                                                                    <w:bottom w:val="none" w:sz="0" w:space="0" w:color="auto"/>
                                                                    <w:right w:val="none" w:sz="0" w:space="0" w:color="auto"/>
                                                                  </w:divBdr>
                                                                </w:div>
                                                                <w:div w:id="145361912">
                                                                  <w:marLeft w:val="0"/>
                                                                  <w:marRight w:val="0"/>
                                                                  <w:marTop w:val="0"/>
                                                                  <w:marBottom w:val="0"/>
                                                                  <w:divBdr>
                                                                    <w:top w:val="none" w:sz="0" w:space="0" w:color="auto"/>
                                                                    <w:left w:val="none" w:sz="0" w:space="0" w:color="auto"/>
                                                                    <w:bottom w:val="none" w:sz="0" w:space="0" w:color="auto"/>
                                                                    <w:right w:val="none" w:sz="0" w:space="0" w:color="auto"/>
                                                                  </w:divBdr>
                                                                </w:div>
                                                                <w:div w:id="848720379">
                                                                  <w:marLeft w:val="0"/>
                                                                  <w:marRight w:val="0"/>
                                                                  <w:marTop w:val="0"/>
                                                                  <w:marBottom w:val="0"/>
                                                                  <w:divBdr>
                                                                    <w:top w:val="none" w:sz="0" w:space="0" w:color="auto"/>
                                                                    <w:left w:val="none" w:sz="0" w:space="0" w:color="auto"/>
                                                                    <w:bottom w:val="none" w:sz="0" w:space="0" w:color="auto"/>
                                                                    <w:right w:val="none" w:sz="0" w:space="0" w:color="auto"/>
                                                                  </w:divBdr>
                                                                </w:div>
                                                                <w:div w:id="1687635361">
                                                                  <w:marLeft w:val="0"/>
                                                                  <w:marRight w:val="0"/>
                                                                  <w:marTop w:val="0"/>
                                                                  <w:marBottom w:val="0"/>
                                                                  <w:divBdr>
                                                                    <w:top w:val="none" w:sz="0" w:space="0" w:color="auto"/>
                                                                    <w:left w:val="none" w:sz="0" w:space="0" w:color="auto"/>
                                                                    <w:bottom w:val="none" w:sz="0" w:space="0" w:color="auto"/>
                                                                    <w:right w:val="none" w:sz="0" w:space="0" w:color="auto"/>
                                                                  </w:divBdr>
                                                                </w:div>
                                                                <w:div w:id="1609967255">
                                                                  <w:marLeft w:val="0"/>
                                                                  <w:marRight w:val="0"/>
                                                                  <w:marTop w:val="0"/>
                                                                  <w:marBottom w:val="0"/>
                                                                  <w:divBdr>
                                                                    <w:top w:val="none" w:sz="0" w:space="0" w:color="auto"/>
                                                                    <w:left w:val="none" w:sz="0" w:space="0" w:color="auto"/>
                                                                    <w:bottom w:val="none" w:sz="0" w:space="0" w:color="auto"/>
                                                                    <w:right w:val="none" w:sz="0" w:space="0" w:color="auto"/>
                                                                  </w:divBdr>
                                                                </w:div>
                                                                <w:div w:id="2086370025">
                                                                  <w:marLeft w:val="0"/>
                                                                  <w:marRight w:val="0"/>
                                                                  <w:marTop w:val="0"/>
                                                                  <w:marBottom w:val="0"/>
                                                                  <w:divBdr>
                                                                    <w:top w:val="none" w:sz="0" w:space="0" w:color="auto"/>
                                                                    <w:left w:val="none" w:sz="0" w:space="0" w:color="auto"/>
                                                                    <w:bottom w:val="none" w:sz="0" w:space="0" w:color="auto"/>
                                                                    <w:right w:val="none" w:sz="0" w:space="0" w:color="auto"/>
                                                                  </w:divBdr>
                                                                </w:div>
                                                                <w:div w:id="1645037054">
                                                                  <w:marLeft w:val="0"/>
                                                                  <w:marRight w:val="0"/>
                                                                  <w:marTop w:val="0"/>
                                                                  <w:marBottom w:val="0"/>
                                                                  <w:divBdr>
                                                                    <w:top w:val="none" w:sz="0" w:space="0" w:color="auto"/>
                                                                    <w:left w:val="none" w:sz="0" w:space="0" w:color="auto"/>
                                                                    <w:bottom w:val="none" w:sz="0" w:space="0" w:color="auto"/>
                                                                    <w:right w:val="none" w:sz="0" w:space="0" w:color="auto"/>
                                                                  </w:divBdr>
                                                                </w:div>
                                                                <w:div w:id="780413355">
                                                                  <w:marLeft w:val="0"/>
                                                                  <w:marRight w:val="0"/>
                                                                  <w:marTop w:val="0"/>
                                                                  <w:marBottom w:val="0"/>
                                                                  <w:divBdr>
                                                                    <w:top w:val="none" w:sz="0" w:space="0" w:color="auto"/>
                                                                    <w:left w:val="none" w:sz="0" w:space="0" w:color="auto"/>
                                                                    <w:bottom w:val="none" w:sz="0" w:space="0" w:color="auto"/>
                                                                    <w:right w:val="none" w:sz="0" w:space="0" w:color="auto"/>
                                                                  </w:divBdr>
                                                                </w:div>
                                                                <w:div w:id="141778643">
                                                                  <w:marLeft w:val="0"/>
                                                                  <w:marRight w:val="0"/>
                                                                  <w:marTop w:val="0"/>
                                                                  <w:marBottom w:val="0"/>
                                                                  <w:divBdr>
                                                                    <w:top w:val="none" w:sz="0" w:space="0" w:color="auto"/>
                                                                    <w:left w:val="none" w:sz="0" w:space="0" w:color="auto"/>
                                                                    <w:bottom w:val="none" w:sz="0" w:space="0" w:color="auto"/>
                                                                    <w:right w:val="none" w:sz="0" w:space="0" w:color="auto"/>
                                                                  </w:divBdr>
                                                                </w:div>
                                                                <w:div w:id="1617130912">
                                                                  <w:marLeft w:val="0"/>
                                                                  <w:marRight w:val="0"/>
                                                                  <w:marTop w:val="0"/>
                                                                  <w:marBottom w:val="0"/>
                                                                  <w:divBdr>
                                                                    <w:top w:val="none" w:sz="0" w:space="0" w:color="auto"/>
                                                                    <w:left w:val="none" w:sz="0" w:space="0" w:color="auto"/>
                                                                    <w:bottom w:val="none" w:sz="0" w:space="0" w:color="auto"/>
                                                                    <w:right w:val="none" w:sz="0" w:space="0" w:color="auto"/>
                                                                  </w:divBdr>
                                                                </w:div>
                                                                <w:div w:id="720590509">
                                                                  <w:marLeft w:val="0"/>
                                                                  <w:marRight w:val="0"/>
                                                                  <w:marTop w:val="0"/>
                                                                  <w:marBottom w:val="0"/>
                                                                  <w:divBdr>
                                                                    <w:top w:val="none" w:sz="0" w:space="0" w:color="auto"/>
                                                                    <w:left w:val="none" w:sz="0" w:space="0" w:color="auto"/>
                                                                    <w:bottom w:val="none" w:sz="0" w:space="0" w:color="auto"/>
                                                                    <w:right w:val="none" w:sz="0" w:space="0" w:color="auto"/>
                                                                  </w:divBdr>
                                                                </w:div>
                                                                <w:div w:id="1465000476">
                                                                  <w:marLeft w:val="0"/>
                                                                  <w:marRight w:val="0"/>
                                                                  <w:marTop w:val="0"/>
                                                                  <w:marBottom w:val="0"/>
                                                                  <w:divBdr>
                                                                    <w:top w:val="none" w:sz="0" w:space="0" w:color="auto"/>
                                                                    <w:left w:val="none" w:sz="0" w:space="0" w:color="auto"/>
                                                                    <w:bottom w:val="none" w:sz="0" w:space="0" w:color="auto"/>
                                                                    <w:right w:val="none" w:sz="0" w:space="0" w:color="auto"/>
                                                                  </w:divBdr>
                                                                </w:div>
                                                                <w:div w:id="1713571598">
                                                                  <w:marLeft w:val="0"/>
                                                                  <w:marRight w:val="0"/>
                                                                  <w:marTop w:val="0"/>
                                                                  <w:marBottom w:val="0"/>
                                                                  <w:divBdr>
                                                                    <w:top w:val="none" w:sz="0" w:space="0" w:color="auto"/>
                                                                    <w:left w:val="none" w:sz="0" w:space="0" w:color="auto"/>
                                                                    <w:bottom w:val="none" w:sz="0" w:space="0" w:color="auto"/>
                                                                    <w:right w:val="none" w:sz="0" w:space="0" w:color="auto"/>
                                                                  </w:divBdr>
                                                                </w:div>
                                                                <w:div w:id="855508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294411369">
      <w:bodyDiv w:val="1"/>
      <w:marLeft w:val="0"/>
      <w:marRight w:val="0"/>
      <w:marTop w:val="0"/>
      <w:marBottom w:val="0"/>
      <w:divBdr>
        <w:top w:val="none" w:sz="0" w:space="0" w:color="auto"/>
        <w:left w:val="none" w:sz="0" w:space="0" w:color="auto"/>
        <w:bottom w:val="none" w:sz="0" w:space="0" w:color="auto"/>
        <w:right w:val="none" w:sz="0" w:space="0" w:color="auto"/>
      </w:divBdr>
      <w:divsChild>
        <w:div w:id="716508602">
          <w:marLeft w:val="0"/>
          <w:marRight w:val="0"/>
          <w:marTop w:val="0"/>
          <w:marBottom w:val="0"/>
          <w:divBdr>
            <w:top w:val="none" w:sz="0" w:space="0" w:color="auto"/>
            <w:left w:val="none" w:sz="0" w:space="0" w:color="auto"/>
            <w:bottom w:val="none" w:sz="0" w:space="0" w:color="auto"/>
            <w:right w:val="none" w:sz="0" w:space="0" w:color="auto"/>
          </w:divBdr>
          <w:divsChild>
            <w:div w:id="1553148875">
              <w:marLeft w:val="0"/>
              <w:marRight w:val="0"/>
              <w:marTop w:val="15"/>
              <w:marBottom w:val="15"/>
              <w:divBdr>
                <w:top w:val="none" w:sz="0" w:space="0" w:color="auto"/>
                <w:left w:val="none" w:sz="0" w:space="0" w:color="auto"/>
                <w:bottom w:val="none" w:sz="0" w:space="0" w:color="auto"/>
                <w:right w:val="none" w:sz="0" w:space="0" w:color="auto"/>
              </w:divBdr>
              <w:divsChild>
                <w:div w:id="1374426002">
                  <w:marLeft w:val="0"/>
                  <w:marRight w:val="0"/>
                  <w:marTop w:val="0"/>
                  <w:marBottom w:val="0"/>
                  <w:divBdr>
                    <w:top w:val="none" w:sz="0" w:space="0" w:color="auto"/>
                    <w:left w:val="none" w:sz="0" w:space="0" w:color="auto"/>
                    <w:bottom w:val="none" w:sz="0" w:space="0" w:color="auto"/>
                    <w:right w:val="none" w:sz="0" w:space="0" w:color="auto"/>
                  </w:divBdr>
                  <w:divsChild>
                    <w:div w:id="947083209">
                      <w:marLeft w:val="0"/>
                      <w:marRight w:val="0"/>
                      <w:marTop w:val="0"/>
                      <w:marBottom w:val="0"/>
                      <w:divBdr>
                        <w:top w:val="none" w:sz="0" w:space="0" w:color="auto"/>
                        <w:left w:val="none" w:sz="0" w:space="0" w:color="auto"/>
                        <w:bottom w:val="none" w:sz="0" w:space="0" w:color="auto"/>
                        <w:right w:val="none" w:sz="0" w:space="0" w:color="auto"/>
                      </w:divBdr>
                      <w:divsChild>
                        <w:div w:id="967079505">
                          <w:marLeft w:val="0"/>
                          <w:marRight w:val="0"/>
                          <w:marTop w:val="0"/>
                          <w:marBottom w:val="0"/>
                          <w:divBdr>
                            <w:top w:val="none" w:sz="0" w:space="0" w:color="auto"/>
                            <w:left w:val="none" w:sz="0" w:space="0" w:color="auto"/>
                            <w:bottom w:val="none" w:sz="0" w:space="0" w:color="auto"/>
                            <w:right w:val="none" w:sz="0" w:space="0" w:color="auto"/>
                          </w:divBdr>
                          <w:divsChild>
                            <w:div w:id="1429423534">
                              <w:marLeft w:val="0"/>
                              <w:marRight w:val="0"/>
                              <w:marTop w:val="0"/>
                              <w:marBottom w:val="0"/>
                              <w:divBdr>
                                <w:top w:val="none" w:sz="0" w:space="0" w:color="auto"/>
                                <w:left w:val="none" w:sz="0" w:space="0" w:color="auto"/>
                                <w:bottom w:val="none" w:sz="0" w:space="0" w:color="auto"/>
                                <w:right w:val="none" w:sz="0" w:space="0" w:color="auto"/>
                              </w:divBdr>
                              <w:divsChild>
                                <w:div w:id="1029448338">
                                  <w:marLeft w:val="0"/>
                                  <w:marRight w:val="0"/>
                                  <w:marTop w:val="0"/>
                                  <w:marBottom w:val="0"/>
                                  <w:divBdr>
                                    <w:top w:val="none" w:sz="0" w:space="0" w:color="auto"/>
                                    <w:left w:val="none" w:sz="0" w:space="0" w:color="auto"/>
                                    <w:bottom w:val="none" w:sz="0" w:space="0" w:color="auto"/>
                                    <w:right w:val="none" w:sz="0" w:space="0" w:color="auto"/>
                                  </w:divBdr>
                                  <w:divsChild>
                                    <w:div w:id="558635411">
                                      <w:marLeft w:val="0"/>
                                      <w:marRight w:val="75"/>
                                      <w:marTop w:val="75"/>
                                      <w:marBottom w:val="0"/>
                                      <w:divBdr>
                                        <w:top w:val="none" w:sz="0" w:space="8" w:color="660000"/>
                                        <w:left w:val="none" w:sz="0" w:space="8" w:color="660000"/>
                                        <w:bottom w:val="none" w:sz="0" w:space="8" w:color="660000"/>
                                        <w:right w:val="none" w:sz="0" w:space="8" w:color="660000"/>
                                      </w:divBdr>
                                      <w:divsChild>
                                        <w:div w:id="2052143461">
                                          <w:marLeft w:val="0"/>
                                          <w:marRight w:val="0"/>
                                          <w:marTop w:val="0"/>
                                          <w:marBottom w:val="0"/>
                                          <w:divBdr>
                                            <w:top w:val="none" w:sz="0" w:space="0" w:color="auto"/>
                                            <w:left w:val="none" w:sz="0" w:space="0" w:color="auto"/>
                                            <w:bottom w:val="none" w:sz="0" w:space="0" w:color="auto"/>
                                            <w:right w:val="none" w:sz="0" w:space="0" w:color="auto"/>
                                          </w:divBdr>
                                        </w:div>
                                        <w:div w:id="2124492220">
                                          <w:marLeft w:val="0"/>
                                          <w:marRight w:val="150"/>
                                          <w:marTop w:val="75"/>
                                          <w:marBottom w:val="300"/>
                                          <w:divBdr>
                                            <w:top w:val="none" w:sz="0" w:space="8" w:color="EB9130"/>
                                            <w:left w:val="none" w:sz="0" w:space="8" w:color="EB9130"/>
                                            <w:bottom w:val="none" w:sz="0" w:space="8" w:color="EB9130"/>
                                            <w:right w:val="none" w:sz="0" w:space="8" w:color="EB9130"/>
                                          </w:divBdr>
                                        </w:div>
                                        <w:div w:id="459343834">
                                          <w:marLeft w:val="0"/>
                                          <w:marRight w:val="0"/>
                                          <w:marTop w:val="0"/>
                                          <w:marBottom w:val="0"/>
                                          <w:divBdr>
                                            <w:top w:val="none" w:sz="0" w:space="0" w:color="auto"/>
                                            <w:left w:val="none" w:sz="0" w:space="0" w:color="auto"/>
                                            <w:bottom w:val="none" w:sz="0" w:space="0" w:color="auto"/>
                                            <w:right w:val="none" w:sz="0" w:space="0" w:color="auto"/>
                                          </w:divBdr>
                                          <w:divsChild>
                                            <w:div w:id="1858614963">
                                              <w:marLeft w:val="0"/>
                                              <w:marRight w:val="0"/>
                                              <w:marTop w:val="0"/>
                                              <w:marBottom w:val="0"/>
                                              <w:divBdr>
                                                <w:top w:val="none" w:sz="0" w:space="0" w:color="auto"/>
                                                <w:left w:val="none" w:sz="0" w:space="0" w:color="auto"/>
                                                <w:bottom w:val="none" w:sz="0" w:space="0" w:color="auto"/>
                                                <w:right w:val="none" w:sz="0" w:space="0" w:color="auto"/>
                                              </w:divBdr>
                                              <w:divsChild>
                                                <w:div w:id="1452897401">
                                                  <w:marLeft w:val="0"/>
                                                  <w:marRight w:val="0"/>
                                                  <w:marTop w:val="0"/>
                                                  <w:marBottom w:val="0"/>
                                                  <w:divBdr>
                                                    <w:top w:val="none" w:sz="0" w:space="0" w:color="auto"/>
                                                    <w:left w:val="none" w:sz="0" w:space="0" w:color="auto"/>
                                                    <w:bottom w:val="none" w:sz="0" w:space="0" w:color="auto"/>
                                                    <w:right w:val="none" w:sz="0" w:space="0" w:color="auto"/>
                                                  </w:divBdr>
                                                </w:div>
                                                <w:div w:id="217710804">
                                                  <w:marLeft w:val="0"/>
                                                  <w:marRight w:val="0"/>
                                                  <w:marTop w:val="0"/>
                                                  <w:marBottom w:val="0"/>
                                                  <w:divBdr>
                                                    <w:top w:val="none" w:sz="0" w:space="0" w:color="auto"/>
                                                    <w:left w:val="none" w:sz="0" w:space="0" w:color="auto"/>
                                                    <w:bottom w:val="none" w:sz="0" w:space="0" w:color="auto"/>
                                                    <w:right w:val="none" w:sz="0" w:space="0" w:color="auto"/>
                                                  </w:divBdr>
                                                  <w:divsChild>
                                                    <w:div w:id="1857840856">
                                                      <w:marLeft w:val="0"/>
                                                      <w:marRight w:val="0"/>
                                                      <w:marTop w:val="0"/>
                                                      <w:marBottom w:val="0"/>
                                                      <w:divBdr>
                                                        <w:top w:val="none" w:sz="0" w:space="0" w:color="auto"/>
                                                        <w:left w:val="none" w:sz="0" w:space="0" w:color="auto"/>
                                                        <w:bottom w:val="none" w:sz="0" w:space="0" w:color="auto"/>
                                                        <w:right w:val="none" w:sz="0" w:space="0" w:color="auto"/>
                                                      </w:divBdr>
                                                      <w:divsChild>
                                                        <w:div w:id="1809470348">
                                                          <w:marLeft w:val="0"/>
                                                          <w:marRight w:val="0"/>
                                                          <w:marTop w:val="0"/>
                                                          <w:marBottom w:val="0"/>
                                                          <w:divBdr>
                                                            <w:top w:val="none" w:sz="0" w:space="0" w:color="auto"/>
                                                            <w:left w:val="none" w:sz="0" w:space="0" w:color="auto"/>
                                                            <w:bottom w:val="none" w:sz="0" w:space="0" w:color="auto"/>
                                                            <w:right w:val="none" w:sz="0" w:space="0" w:color="auto"/>
                                                          </w:divBdr>
                                                          <w:divsChild>
                                                            <w:div w:id="1980188730">
                                                              <w:marLeft w:val="0"/>
                                                              <w:marRight w:val="0"/>
                                                              <w:marTop w:val="0"/>
                                                              <w:marBottom w:val="0"/>
                                                              <w:divBdr>
                                                                <w:top w:val="none" w:sz="0" w:space="0" w:color="auto"/>
                                                                <w:left w:val="none" w:sz="0" w:space="0" w:color="auto"/>
                                                                <w:bottom w:val="none" w:sz="0" w:space="0" w:color="auto"/>
                                                                <w:right w:val="none" w:sz="0" w:space="0" w:color="auto"/>
                                                              </w:divBdr>
                                                            </w:div>
                                                          </w:divsChild>
                                                        </w:div>
                                                        <w:div w:id="1068309544">
                                                          <w:marLeft w:val="0"/>
                                                          <w:marRight w:val="0"/>
                                                          <w:marTop w:val="0"/>
                                                          <w:marBottom w:val="0"/>
                                                          <w:divBdr>
                                                            <w:top w:val="none" w:sz="0" w:space="0" w:color="auto"/>
                                                            <w:left w:val="none" w:sz="0" w:space="0" w:color="auto"/>
                                                            <w:bottom w:val="none" w:sz="0" w:space="0" w:color="auto"/>
                                                            <w:right w:val="none" w:sz="0" w:space="0" w:color="auto"/>
                                                          </w:divBdr>
                                                          <w:divsChild>
                                                            <w:div w:id="1225413376">
                                                              <w:marLeft w:val="0"/>
                                                              <w:marRight w:val="0"/>
                                                              <w:marTop w:val="0"/>
                                                              <w:marBottom w:val="0"/>
                                                              <w:divBdr>
                                                                <w:top w:val="none" w:sz="0" w:space="0" w:color="auto"/>
                                                                <w:left w:val="none" w:sz="0" w:space="0" w:color="auto"/>
                                                                <w:bottom w:val="none" w:sz="0" w:space="0" w:color="auto"/>
                                                                <w:right w:val="none" w:sz="0" w:space="0" w:color="auto"/>
                                                              </w:divBdr>
                                                              <w:divsChild>
                                                                <w:div w:id="216203696">
                                                                  <w:marLeft w:val="0"/>
                                                                  <w:marRight w:val="0"/>
                                                                  <w:marTop w:val="0"/>
                                                                  <w:marBottom w:val="0"/>
                                                                  <w:divBdr>
                                                                    <w:top w:val="none" w:sz="0" w:space="0" w:color="auto"/>
                                                                    <w:left w:val="none" w:sz="0" w:space="0" w:color="auto"/>
                                                                    <w:bottom w:val="none" w:sz="0" w:space="0" w:color="auto"/>
                                                                    <w:right w:val="none" w:sz="0" w:space="0" w:color="auto"/>
                                                                  </w:divBdr>
                                                                  <w:divsChild>
                                                                    <w:div w:id="108595975">
                                                                      <w:marLeft w:val="0"/>
                                                                      <w:marRight w:val="0"/>
                                                                      <w:marTop w:val="0"/>
                                                                      <w:marBottom w:val="0"/>
                                                                      <w:divBdr>
                                                                        <w:top w:val="none" w:sz="0" w:space="0" w:color="auto"/>
                                                                        <w:left w:val="none" w:sz="0" w:space="0" w:color="auto"/>
                                                                        <w:bottom w:val="none" w:sz="0" w:space="0" w:color="auto"/>
                                                                        <w:right w:val="none" w:sz="0" w:space="0" w:color="auto"/>
                                                                      </w:divBdr>
                                                                      <w:divsChild>
                                                                        <w:div w:id="136035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0556724">
                                                          <w:marLeft w:val="0"/>
                                                          <w:marRight w:val="0"/>
                                                          <w:marTop w:val="0"/>
                                                          <w:marBottom w:val="0"/>
                                                          <w:divBdr>
                                                            <w:top w:val="none" w:sz="0" w:space="0" w:color="auto"/>
                                                            <w:left w:val="none" w:sz="0" w:space="0" w:color="auto"/>
                                                            <w:bottom w:val="none" w:sz="0" w:space="0" w:color="auto"/>
                                                            <w:right w:val="none" w:sz="0" w:space="0" w:color="auto"/>
                                                          </w:divBdr>
                                                          <w:divsChild>
                                                            <w:div w:id="1254240886">
                                                              <w:marLeft w:val="0"/>
                                                              <w:marRight w:val="0"/>
                                                              <w:marTop w:val="0"/>
                                                              <w:marBottom w:val="0"/>
                                                              <w:divBdr>
                                                                <w:top w:val="none" w:sz="0" w:space="0" w:color="auto"/>
                                                                <w:left w:val="none" w:sz="0" w:space="0" w:color="auto"/>
                                                                <w:bottom w:val="none" w:sz="0" w:space="0" w:color="auto"/>
                                                                <w:right w:val="none" w:sz="0" w:space="0" w:color="auto"/>
                                                              </w:divBdr>
                                                              <w:divsChild>
                                                                <w:div w:id="1658731076">
                                                                  <w:marLeft w:val="0"/>
                                                                  <w:marRight w:val="0"/>
                                                                  <w:marTop w:val="0"/>
                                                                  <w:marBottom w:val="0"/>
                                                                  <w:divBdr>
                                                                    <w:top w:val="none" w:sz="0" w:space="0" w:color="auto"/>
                                                                    <w:left w:val="none" w:sz="0" w:space="0" w:color="auto"/>
                                                                    <w:bottom w:val="none" w:sz="0" w:space="0" w:color="auto"/>
                                                                    <w:right w:val="none" w:sz="0" w:space="0" w:color="auto"/>
                                                                  </w:divBdr>
                                                                  <w:divsChild>
                                                                    <w:div w:id="1714303892">
                                                                      <w:marLeft w:val="0"/>
                                                                      <w:marRight w:val="0"/>
                                                                      <w:marTop w:val="0"/>
                                                                      <w:marBottom w:val="0"/>
                                                                      <w:divBdr>
                                                                        <w:top w:val="none" w:sz="0" w:space="0" w:color="auto"/>
                                                                        <w:left w:val="none" w:sz="0" w:space="0" w:color="auto"/>
                                                                        <w:bottom w:val="none" w:sz="0" w:space="0" w:color="auto"/>
                                                                        <w:right w:val="none" w:sz="0" w:space="0" w:color="auto"/>
                                                                      </w:divBdr>
                                                                      <w:divsChild>
                                                                        <w:div w:id="798568645">
                                                                          <w:marLeft w:val="0"/>
                                                                          <w:marRight w:val="0"/>
                                                                          <w:marTop w:val="0"/>
                                                                          <w:marBottom w:val="0"/>
                                                                          <w:divBdr>
                                                                            <w:top w:val="none" w:sz="0" w:space="0" w:color="auto"/>
                                                                            <w:left w:val="none" w:sz="0" w:space="0" w:color="auto"/>
                                                                            <w:bottom w:val="none" w:sz="0" w:space="0" w:color="auto"/>
                                                                            <w:right w:val="none" w:sz="0" w:space="0" w:color="auto"/>
                                                                          </w:divBdr>
                                                                        </w:div>
                                                                        <w:div w:id="678654446">
                                                                          <w:marLeft w:val="0"/>
                                                                          <w:marRight w:val="0"/>
                                                                          <w:marTop w:val="0"/>
                                                                          <w:marBottom w:val="0"/>
                                                                          <w:divBdr>
                                                                            <w:top w:val="none" w:sz="0" w:space="0" w:color="auto"/>
                                                                            <w:left w:val="none" w:sz="0" w:space="0" w:color="auto"/>
                                                                            <w:bottom w:val="none" w:sz="0" w:space="0" w:color="auto"/>
                                                                            <w:right w:val="none" w:sz="0" w:space="0" w:color="auto"/>
                                                                          </w:divBdr>
                                                                        </w:div>
                                                                      </w:divsChild>
                                                                    </w:div>
                                                                    <w:div w:id="124584152">
                                                                      <w:marLeft w:val="0"/>
                                                                      <w:marRight w:val="0"/>
                                                                      <w:marTop w:val="0"/>
                                                                      <w:marBottom w:val="0"/>
                                                                      <w:divBdr>
                                                                        <w:top w:val="none" w:sz="0" w:space="0" w:color="auto"/>
                                                                        <w:left w:val="none" w:sz="0" w:space="0" w:color="auto"/>
                                                                        <w:bottom w:val="none" w:sz="0" w:space="0" w:color="auto"/>
                                                                        <w:right w:val="none" w:sz="0" w:space="0" w:color="auto"/>
                                                                      </w:divBdr>
                                                                      <w:divsChild>
                                                                        <w:div w:id="1355380846">
                                                                          <w:marLeft w:val="0"/>
                                                                          <w:marRight w:val="0"/>
                                                                          <w:marTop w:val="0"/>
                                                                          <w:marBottom w:val="0"/>
                                                                          <w:divBdr>
                                                                            <w:top w:val="none" w:sz="0" w:space="0" w:color="auto"/>
                                                                            <w:left w:val="none" w:sz="0" w:space="0" w:color="auto"/>
                                                                            <w:bottom w:val="none" w:sz="0" w:space="0" w:color="auto"/>
                                                                            <w:right w:val="none" w:sz="0" w:space="0" w:color="auto"/>
                                                                          </w:divBdr>
                                                                        </w:div>
                                                                        <w:div w:id="856430442">
                                                                          <w:marLeft w:val="0"/>
                                                                          <w:marRight w:val="0"/>
                                                                          <w:marTop w:val="0"/>
                                                                          <w:marBottom w:val="0"/>
                                                                          <w:divBdr>
                                                                            <w:top w:val="none" w:sz="0" w:space="0" w:color="auto"/>
                                                                            <w:left w:val="none" w:sz="0" w:space="0" w:color="auto"/>
                                                                            <w:bottom w:val="none" w:sz="0" w:space="0" w:color="auto"/>
                                                                            <w:right w:val="none" w:sz="0" w:space="0" w:color="auto"/>
                                                                          </w:divBdr>
                                                                        </w:div>
                                                                        <w:div w:id="194467499">
                                                                          <w:marLeft w:val="0"/>
                                                                          <w:marRight w:val="0"/>
                                                                          <w:marTop w:val="0"/>
                                                                          <w:marBottom w:val="0"/>
                                                                          <w:divBdr>
                                                                            <w:top w:val="none" w:sz="0" w:space="0" w:color="auto"/>
                                                                            <w:left w:val="none" w:sz="0" w:space="0" w:color="auto"/>
                                                                            <w:bottom w:val="none" w:sz="0" w:space="0" w:color="auto"/>
                                                                            <w:right w:val="none" w:sz="0" w:space="0" w:color="auto"/>
                                                                          </w:divBdr>
                                                                          <w:divsChild>
                                                                            <w:div w:id="964428137">
                                                                              <w:marLeft w:val="0"/>
                                                                              <w:marRight w:val="0"/>
                                                                              <w:marTop w:val="0"/>
                                                                              <w:marBottom w:val="0"/>
                                                                              <w:divBdr>
                                                                                <w:top w:val="none" w:sz="0" w:space="0" w:color="auto"/>
                                                                                <w:left w:val="none" w:sz="0" w:space="0" w:color="auto"/>
                                                                                <w:bottom w:val="none" w:sz="0" w:space="0" w:color="auto"/>
                                                                                <w:right w:val="none" w:sz="0" w:space="0" w:color="auto"/>
                                                                              </w:divBdr>
                                                                            </w:div>
                                                                            <w:div w:id="71913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2994801">
                                                          <w:marLeft w:val="0"/>
                                                          <w:marRight w:val="0"/>
                                                          <w:marTop w:val="0"/>
                                                          <w:marBottom w:val="0"/>
                                                          <w:divBdr>
                                                            <w:top w:val="none" w:sz="0" w:space="0" w:color="auto"/>
                                                            <w:left w:val="none" w:sz="0" w:space="0" w:color="auto"/>
                                                            <w:bottom w:val="none" w:sz="0" w:space="0" w:color="auto"/>
                                                            <w:right w:val="none" w:sz="0" w:space="0" w:color="auto"/>
                                                          </w:divBdr>
                                                          <w:divsChild>
                                                            <w:div w:id="1798067574">
                                                              <w:marLeft w:val="0"/>
                                                              <w:marRight w:val="0"/>
                                                              <w:marTop w:val="0"/>
                                                              <w:marBottom w:val="0"/>
                                                              <w:divBdr>
                                                                <w:top w:val="none" w:sz="0" w:space="0" w:color="auto"/>
                                                                <w:left w:val="none" w:sz="0" w:space="0" w:color="auto"/>
                                                                <w:bottom w:val="none" w:sz="0" w:space="0" w:color="auto"/>
                                                                <w:right w:val="none" w:sz="0" w:space="0" w:color="auto"/>
                                                              </w:divBdr>
                                                              <w:divsChild>
                                                                <w:div w:id="1588416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6130509">
                                                  <w:marLeft w:val="0"/>
                                                  <w:marRight w:val="0"/>
                                                  <w:marTop w:val="0"/>
                                                  <w:marBottom w:val="0"/>
                                                  <w:divBdr>
                                                    <w:top w:val="none" w:sz="0" w:space="0" w:color="auto"/>
                                                    <w:left w:val="none" w:sz="0" w:space="0" w:color="auto"/>
                                                    <w:bottom w:val="none" w:sz="0" w:space="0" w:color="auto"/>
                                                    <w:right w:val="none" w:sz="0" w:space="0" w:color="auto"/>
                                                  </w:divBdr>
                                                  <w:divsChild>
                                                    <w:div w:id="400642329">
                                                      <w:marLeft w:val="0"/>
                                                      <w:marRight w:val="0"/>
                                                      <w:marTop w:val="0"/>
                                                      <w:marBottom w:val="0"/>
                                                      <w:divBdr>
                                                        <w:top w:val="none" w:sz="0" w:space="0" w:color="auto"/>
                                                        <w:left w:val="none" w:sz="0" w:space="0" w:color="auto"/>
                                                        <w:bottom w:val="none" w:sz="0" w:space="0" w:color="auto"/>
                                                        <w:right w:val="none" w:sz="0" w:space="0" w:color="auto"/>
                                                      </w:divBdr>
                                                    </w:div>
                                                    <w:div w:id="452096526">
                                                      <w:marLeft w:val="0"/>
                                                      <w:marRight w:val="0"/>
                                                      <w:marTop w:val="0"/>
                                                      <w:marBottom w:val="0"/>
                                                      <w:divBdr>
                                                        <w:top w:val="none" w:sz="0" w:space="0" w:color="auto"/>
                                                        <w:left w:val="none" w:sz="0" w:space="0" w:color="auto"/>
                                                        <w:bottom w:val="none" w:sz="0" w:space="0" w:color="auto"/>
                                                        <w:right w:val="none" w:sz="0" w:space="0" w:color="auto"/>
                                                      </w:divBdr>
                                                      <w:divsChild>
                                                        <w:div w:id="1153370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940451">
                                                  <w:marLeft w:val="0"/>
                                                  <w:marRight w:val="0"/>
                                                  <w:marTop w:val="0"/>
                                                  <w:marBottom w:val="0"/>
                                                  <w:divBdr>
                                                    <w:top w:val="none" w:sz="0" w:space="0" w:color="auto"/>
                                                    <w:left w:val="none" w:sz="0" w:space="0" w:color="auto"/>
                                                    <w:bottom w:val="none" w:sz="0" w:space="0" w:color="auto"/>
                                                    <w:right w:val="none" w:sz="0" w:space="0" w:color="auto"/>
                                                  </w:divBdr>
                                                </w:div>
                                                <w:div w:id="107504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7183445">
                                  <w:marLeft w:val="0"/>
                                  <w:marRight w:val="75"/>
                                  <w:marTop w:val="75"/>
                                  <w:marBottom w:val="0"/>
                                  <w:divBdr>
                                    <w:top w:val="none" w:sz="0" w:space="8" w:color="660000"/>
                                    <w:left w:val="none" w:sz="0" w:space="8" w:color="660000"/>
                                    <w:bottom w:val="none" w:sz="0" w:space="8" w:color="660000"/>
                                    <w:right w:val="none" w:sz="0" w:space="8" w:color="660000"/>
                                  </w:divBdr>
                                  <w:divsChild>
                                    <w:div w:id="1417749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1995414">
          <w:marLeft w:val="0"/>
          <w:marRight w:val="150"/>
          <w:marTop w:val="75"/>
          <w:marBottom w:val="300"/>
          <w:divBdr>
            <w:top w:val="none" w:sz="0" w:space="8" w:color="EB9130"/>
            <w:left w:val="none" w:sz="0" w:space="8" w:color="EB9130"/>
            <w:bottom w:val="none" w:sz="0" w:space="8" w:color="EB9130"/>
            <w:right w:val="none" w:sz="0" w:space="8" w:color="EB9130"/>
          </w:divBdr>
        </w:div>
        <w:div w:id="120223213">
          <w:marLeft w:val="0"/>
          <w:marRight w:val="150"/>
          <w:marTop w:val="75"/>
          <w:marBottom w:val="300"/>
          <w:divBdr>
            <w:top w:val="none" w:sz="0" w:space="8" w:color="EB9130"/>
            <w:left w:val="none" w:sz="0" w:space="8" w:color="EB9130"/>
            <w:bottom w:val="none" w:sz="0" w:space="8" w:color="EB9130"/>
            <w:right w:val="none" w:sz="0" w:space="8" w:color="EB9130"/>
          </w:divBdr>
        </w:div>
        <w:div w:id="1521580497">
          <w:marLeft w:val="0"/>
          <w:marRight w:val="0"/>
          <w:marTop w:val="0"/>
          <w:marBottom w:val="0"/>
          <w:divBdr>
            <w:top w:val="none" w:sz="0" w:space="0" w:color="auto"/>
            <w:left w:val="none" w:sz="0" w:space="0" w:color="auto"/>
            <w:bottom w:val="none" w:sz="0" w:space="0" w:color="auto"/>
            <w:right w:val="none" w:sz="0" w:space="0" w:color="auto"/>
          </w:divBdr>
          <w:divsChild>
            <w:div w:id="1096557245">
              <w:marLeft w:val="0"/>
              <w:marRight w:val="150"/>
              <w:marTop w:val="75"/>
              <w:marBottom w:val="300"/>
              <w:divBdr>
                <w:top w:val="none" w:sz="0" w:space="8" w:color="EB9130"/>
                <w:left w:val="none" w:sz="0" w:space="8" w:color="EB9130"/>
                <w:bottom w:val="none" w:sz="0" w:space="8" w:color="EB9130"/>
                <w:right w:val="none" w:sz="0" w:space="8" w:color="EB9130"/>
              </w:divBdr>
            </w:div>
            <w:div w:id="512651614">
              <w:marLeft w:val="0"/>
              <w:marRight w:val="0"/>
              <w:marTop w:val="0"/>
              <w:marBottom w:val="0"/>
              <w:divBdr>
                <w:top w:val="none" w:sz="0" w:space="0" w:color="auto"/>
                <w:left w:val="none" w:sz="0" w:space="0" w:color="auto"/>
                <w:bottom w:val="none" w:sz="0" w:space="0" w:color="auto"/>
                <w:right w:val="none" w:sz="0" w:space="0" w:color="auto"/>
              </w:divBdr>
            </w:div>
          </w:divsChild>
        </w:div>
        <w:div w:id="2121221243">
          <w:marLeft w:val="0"/>
          <w:marRight w:val="0"/>
          <w:marTop w:val="0"/>
          <w:marBottom w:val="0"/>
          <w:divBdr>
            <w:top w:val="none" w:sz="0" w:space="0" w:color="auto"/>
            <w:left w:val="none" w:sz="0" w:space="0" w:color="auto"/>
            <w:bottom w:val="none" w:sz="0" w:space="0" w:color="auto"/>
            <w:right w:val="none" w:sz="0" w:space="0" w:color="auto"/>
          </w:divBdr>
          <w:divsChild>
            <w:div w:id="1787044476">
              <w:marLeft w:val="0"/>
              <w:marRight w:val="150"/>
              <w:marTop w:val="75"/>
              <w:marBottom w:val="300"/>
              <w:divBdr>
                <w:top w:val="none" w:sz="0" w:space="8" w:color="EB9130"/>
                <w:left w:val="none" w:sz="0" w:space="8" w:color="EB9130"/>
                <w:bottom w:val="none" w:sz="0" w:space="8" w:color="EB9130"/>
                <w:right w:val="none" w:sz="0" w:space="8" w:color="EB9130"/>
              </w:divBdr>
            </w:div>
          </w:divsChild>
        </w:div>
        <w:div w:id="555437283">
          <w:marLeft w:val="0"/>
          <w:marRight w:val="0"/>
          <w:marTop w:val="0"/>
          <w:marBottom w:val="0"/>
          <w:divBdr>
            <w:top w:val="none" w:sz="0" w:space="0" w:color="auto"/>
            <w:left w:val="none" w:sz="0" w:space="0" w:color="auto"/>
            <w:bottom w:val="single" w:sz="6" w:space="0" w:color="auto"/>
            <w:right w:val="single" w:sz="6" w:space="0" w:color="auto"/>
          </w:divBdr>
          <w:divsChild>
            <w:div w:id="891042597">
              <w:marLeft w:val="0"/>
              <w:marRight w:val="0"/>
              <w:marTop w:val="0"/>
              <w:marBottom w:val="0"/>
              <w:divBdr>
                <w:top w:val="none" w:sz="0" w:space="0" w:color="auto"/>
                <w:left w:val="none" w:sz="0" w:space="0" w:color="auto"/>
                <w:bottom w:val="none" w:sz="0" w:space="0" w:color="auto"/>
                <w:right w:val="none" w:sz="0" w:space="0" w:color="auto"/>
              </w:divBdr>
            </w:div>
            <w:div w:id="167183070">
              <w:marLeft w:val="0"/>
              <w:marRight w:val="150"/>
              <w:marTop w:val="75"/>
              <w:marBottom w:val="300"/>
              <w:divBdr>
                <w:top w:val="none" w:sz="0" w:space="8" w:color="EB9130"/>
                <w:left w:val="none" w:sz="0" w:space="8" w:color="EB9130"/>
                <w:bottom w:val="none" w:sz="0" w:space="8" w:color="EB9130"/>
                <w:right w:val="none" w:sz="0" w:space="8" w:color="EB9130"/>
              </w:divBdr>
            </w:div>
            <w:div w:id="1684865526">
              <w:marLeft w:val="0"/>
              <w:marRight w:val="0"/>
              <w:marTop w:val="0"/>
              <w:marBottom w:val="0"/>
              <w:divBdr>
                <w:top w:val="none" w:sz="0" w:space="0" w:color="auto"/>
                <w:left w:val="none" w:sz="0" w:space="0" w:color="auto"/>
                <w:bottom w:val="none" w:sz="0" w:space="0" w:color="auto"/>
                <w:right w:val="none" w:sz="0" w:space="0" w:color="auto"/>
              </w:divBdr>
              <w:divsChild>
                <w:div w:id="609043553">
                  <w:marLeft w:val="0"/>
                  <w:marRight w:val="0"/>
                  <w:marTop w:val="0"/>
                  <w:marBottom w:val="0"/>
                  <w:divBdr>
                    <w:top w:val="none" w:sz="0" w:space="0" w:color="auto"/>
                    <w:left w:val="none" w:sz="0" w:space="0" w:color="auto"/>
                    <w:bottom w:val="none" w:sz="0" w:space="0" w:color="auto"/>
                    <w:right w:val="none" w:sz="0" w:space="0" w:color="auto"/>
                  </w:divBdr>
                  <w:divsChild>
                    <w:div w:id="816461989">
                      <w:marLeft w:val="0"/>
                      <w:marRight w:val="0"/>
                      <w:marTop w:val="0"/>
                      <w:marBottom w:val="0"/>
                      <w:divBdr>
                        <w:top w:val="none" w:sz="0" w:space="0" w:color="auto"/>
                        <w:left w:val="none" w:sz="0" w:space="0" w:color="auto"/>
                        <w:bottom w:val="none" w:sz="0" w:space="0" w:color="auto"/>
                        <w:right w:val="none" w:sz="0" w:space="0" w:color="auto"/>
                      </w:divBdr>
                      <w:divsChild>
                        <w:div w:id="591091289">
                          <w:marLeft w:val="0"/>
                          <w:marRight w:val="0"/>
                          <w:marTop w:val="0"/>
                          <w:marBottom w:val="0"/>
                          <w:divBdr>
                            <w:top w:val="none" w:sz="0" w:space="0" w:color="auto"/>
                            <w:left w:val="none" w:sz="0" w:space="0" w:color="auto"/>
                            <w:bottom w:val="none" w:sz="0" w:space="0" w:color="auto"/>
                            <w:right w:val="none" w:sz="0" w:space="0" w:color="auto"/>
                          </w:divBdr>
                          <w:divsChild>
                            <w:div w:id="79714871">
                              <w:marLeft w:val="0"/>
                              <w:marRight w:val="0"/>
                              <w:marTop w:val="0"/>
                              <w:marBottom w:val="0"/>
                              <w:divBdr>
                                <w:top w:val="none" w:sz="0" w:space="0" w:color="auto"/>
                                <w:left w:val="none" w:sz="0" w:space="0" w:color="auto"/>
                                <w:bottom w:val="none" w:sz="0" w:space="0" w:color="auto"/>
                                <w:right w:val="none" w:sz="0" w:space="0" w:color="auto"/>
                              </w:divBdr>
                              <w:divsChild>
                                <w:div w:id="92163999">
                                  <w:marLeft w:val="0"/>
                                  <w:marRight w:val="0"/>
                                  <w:marTop w:val="0"/>
                                  <w:marBottom w:val="0"/>
                                  <w:divBdr>
                                    <w:top w:val="none" w:sz="0" w:space="0" w:color="auto"/>
                                    <w:left w:val="none" w:sz="0" w:space="0" w:color="auto"/>
                                    <w:bottom w:val="none" w:sz="0" w:space="0" w:color="auto"/>
                                    <w:right w:val="none" w:sz="0" w:space="0" w:color="auto"/>
                                  </w:divBdr>
                                  <w:divsChild>
                                    <w:div w:id="1655332904">
                                      <w:marLeft w:val="0"/>
                                      <w:marRight w:val="0"/>
                                      <w:marTop w:val="0"/>
                                      <w:marBottom w:val="0"/>
                                      <w:divBdr>
                                        <w:top w:val="none" w:sz="0" w:space="0" w:color="auto"/>
                                        <w:left w:val="none" w:sz="0" w:space="0" w:color="auto"/>
                                        <w:bottom w:val="none" w:sz="0" w:space="0" w:color="auto"/>
                                        <w:right w:val="none" w:sz="0" w:space="0" w:color="auto"/>
                                      </w:divBdr>
                                    </w:div>
                                  </w:divsChild>
                                </w:div>
                                <w:div w:id="1240024095">
                                  <w:marLeft w:val="0"/>
                                  <w:marRight w:val="0"/>
                                  <w:marTop w:val="0"/>
                                  <w:marBottom w:val="0"/>
                                  <w:divBdr>
                                    <w:top w:val="none" w:sz="0" w:space="0" w:color="auto"/>
                                    <w:left w:val="none" w:sz="0" w:space="0" w:color="auto"/>
                                    <w:bottom w:val="none" w:sz="0" w:space="0" w:color="auto"/>
                                    <w:right w:val="none" w:sz="0" w:space="0" w:color="auto"/>
                                  </w:divBdr>
                                  <w:divsChild>
                                    <w:div w:id="871189291">
                                      <w:marLeft w:val="0"/>
                                      <w:marRight w:val="0"/>
                                      <w:marTop w:val="0"/>
                                      <w:marBottom w:val="0"/>
                                      <w:divBdr>
                                        <w:top w:val="none" w:sz="0" w:space="0" w:color="auto"/>
                                        <w:left w:val="none" w:sz="0" w:space="0" w:color="auto"/>
                                        <w:bottom w:val="none" w:sz="0" w:space="0" w:color="auto"/>
                                        <w:right w:val="none" w:sz="0" w:space="0" w:color="auto"/>
                                      </w:divBdr>
                                    </w:div>
                                    <w:div w:id="1113205418">
                                      <w:marLeft w:val="0"/>
                                      <w:marRight w:val="0"/>
                                      <w:marTop w:val="0"/>
                                      <w:marBottom w:val="0"/>
                                      <w:divBdr>
                                        <w:top w:val="none" w:sz="0" w:space="0" w:color="auto"/>
                                        <w:left w:val="none" w:sz="0" w:space="0" w:color="auto"/>
                                        <w:bottom w:val="none" w:sz="0" w:space="0" w:color="auto"/>
                                        <w:right w:val="none" w:sz="0" w:space="0" w:color="auto"/>
                                      </w:divBdr>
                                    </w:div>
                                    <w:div w:id="127404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433032">
                          <w:marLeft w:val="0"/>
                          <w:marRight w:val="0"/>
                          <w:marTop w:val="0"/>
                          <w:marBottom w:val="0"/>
                          <w:divBdr>
                            <w:top w:val="none" w:sz="0" w:space="0" w:color="auto"/>
                            <w:left w:val="none" w:sz="0" w:space="0" w:color="auto"/>
                            <w:bottom w:val="none" w:sz="0" w:space="0" w:color="auto"/>
                            <w:right w:val="none" w:sz="0" w:space="0" w:color="auto"/>
                          </w:divBdr>
                          <w:divsChild>
                            <w:div w:id="1288926260">
                              <w:marLeft w:val="0"/>
                              <w:marRight w:val="0"/>
                              <w:marTop w:val="0"/>
                              <w:marBottom w:val="0"/>
                              <w:divBdr>
                                <w:top w:val="none" w:sz="0" w:space="0" w:color="auto"/>
                                <w:left w:val="none" w:sz="0" w:space="0" w:color="auto"/>
                                <w:bottom w:val="none" w:sz="0" w:space="0" w:color="auto"/>
                                <w:right w:val="none" w:sz="0" w:space="0" w:color="auto"/>
                              </w:divBdr>
                              <w:divsChild>
                                <w:div w:id="2127263272">
                                  <w:marLeft w:val="0"/>
                                  <w:marRight w:val="0"/>
                                  <w:marTop w:val="0"/>
                                  <w:marBottom w:val="0"/>
                                  <w:divBdr>
                                    <w:top w:val="none" w:sz="0" w:space="0" w:color="auto"/>
                                    <w:left w:val="none" w:sz="0" w:space="0" w:color="auto"/>
                                    <w:bottom w:val="none" w:sz="0" w:space="0" w:color="auto"/>
                                    <w:right w:val="none" w:sz="0" w:space="0" w:color="auto"/>
                                  </w:divBdr>
                                  <w:divsChild>
                                    <w:div w:id="893001400">
                                      <w:marLeft w:val="0"/>
                                      <w:marRight w:val="0"/>
                                      <w:marTop w:val="0"/>
                                      <w:marBottom w:val="0"/>
                                      <w:divBdr>
                                        <w:top w:val="none" w:sz="0" w:space="0" w:color="auto"/>
                                        <w:left w:val="none" w:sz="0" w:space="0" w:color="auto"/>
                                        <w:bottom w:val="none" w:sz="0" w:space="0" w:color="auto"/>
                                        <w:right w:val="none" w:sz="0" w:space="0" w:color="auto"/>
                                      </w:divBdr>
                                    </w:div>
                                  </w:divsChild>
                                </w:div>
                                <w:div w:id="1896504198">
                                  <w:marLeft w:val="0"/>
                                  <w:marRight w:val="0"/>
                                  <w:marTop w:val="0"/>
                                  <w:marBottom w:val="0"/>
                                  <w:divBdr>
                                    <w:top w:val="none" w:sz="0" w:space="0" w:color="auto"/>
                                    <w:left w:val="none" w:sz="0" w:space="0" w:color="auto"/>
                                    <w:bottom w:val="none" w:sz="0" w:space="0" w:color="auto"/>
                                    <w:right w:val="none" w:sz="0" w:space="0" w:color="auto"/>
                                  </w:divBdr>
                                  <w:divsChild>
                                    <w:div w:id="392116985">
                                      <w:marLeft w:val="0"/>
                                      <w:marRight w:val="0"/>
                                      <w:marTop w:val="0"/>
                                      <w:marBottom w:val="0"/>
                                      <w:divBdr>
                                        <w:top w:val="none" w:sz="0" w:space="0" w:color="auto"/>
                                        <w:left w:val="none" w:sz="0" w:space="0" w:color="auto"/>
                                        <w:bottom w:val="none" w:sz="0" w:space="0" w:color="auto"/>
                                        <w:right w:val="none" w:sz="0" w:space="0" w:color="auto"/>
                                      </w:divBdr>
                                    </w:div>
                                    <w:div w:id="12809819">
                                      <w:marLeft w:val="0"/>
                                      <w:marRight w:val="0"/>
                                      <w:marTop w:val="0"/>
                                      <w:marBottom w:val="0"/>
                                      <w:divBdr>
                                        <w:top w:val="none" w:sz="0" w:space="0" w:color="auto"/>
                                        <w:left w:val="none" w:sz="0" w:space="0" w:color="auto"/>
                                        <w:bottom w:val="none" w:sz="0" w:space="0" w:color="auto"/>
                                        <w:right w:val="none" w:sz="0" w:space="0" w:color="auto"/>
                                      </w:divBdr>
                                    </w:div>
                                    <w:div w:id="75034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852843">
                          <w:marLeft w:val="0"/>
                          <w:marRight w:val="0"/>
                          <w:marTop w:val="0"/>
                          <w:marBottom w:val="0"/>
                          <w:divBdr>
                            <w:top w:val="none" w:sz="0" w:space="0" w:color="auto"/>
                            <w:left w:val="none" w:sz="0" w:space="0" w:color="auto"/>
                            <w:bottom w:val="none" w:sz="0" w:space="0" w:color="auto"/>
                            <w:right w:val="none" w:sz="0" w:space="0" w:color="auto"/>
                          </w:divBdr>
                          <w:divsChild>
                            <w:div w:id="2018460136">
                              <w:marLeft w:val="0"/>
                              <w:marRight w:val="0"/>
                              <w:marTop w:val="0"/>
                              <w:marBottom w:val="0"/>
                              <w:divBdr>
                                <w:top w:val="none" w:sz="0" w:space="0" w:color="auto"/>
                                <w:left w:val="none" w:sz="0" w:space="0" w:color="auto"/>
                                <w:bottom w:val="none" w:sz="0" w:space="0" w:color="auto"/>
                                <w:right w:val="none" w:sz="0" w:space="0" w:color="auto"/>
                              </w:divBdr>
                              <w:divsChild>
                                <w:div w:id="1656453858">
                                  <w:marLeft w:val="0"/>
                                  <w:marRight w:val="0"/>
                                  <w:marTop w:val="0"/>
                                  <w:marBottom w:val="0"/>
                                  <w:divBdr>
                                    <w:top w:val="none" w:sz="0" w:space="0" w:color="auto"/>
                                    <w:left w:val="none" w:sz="0" w:space="0" w:color="auto"/>
                                    <w:bottom w:val="none" w:sz="0" w:space="0" w:color="auto"/>
                                    <w:right w:val="none" w:sz="0" w:space="0" w:color="auto"/>
                                  </w:divBdr>
                                  <w:divsChild>
                                    <w:div w:id="878395406">
                                      <w:marLeft w:val="0"/>
                                      <w:marRight w:val="0"/>
                                      <w:marTop w:val="0"/>
                                      <w:marBottom w:val="0"/>
                                      <w:divBdr>
                                        <w:top w:val="none" w:sz="0" w:space="0" w:color="auto"/>
                                        <w:left w:val="none" w:sz="0" w:space="0" w:color="auto"/>
                                        <w:bottom w:val="none" w:sz="0" w:space="0" w:color="auto"/>
                                        <w:right w:val="none" w:sz="0" w:space="0" w:color="auto"/>
                                      </w:divBdr>
                                    </w:div>
                                  </w:divsChild>
                                </w:div>
                                <w:div w:id="1435250431">
                                  <w:marLeft w:val="0"/>
                                  <w:marRight w:val="0"/>
                                  <w:marTop w:val="0"/>
                                  <w:marBottom w:val="0"/>
                                  <w:divBdr>
                                    <w:top w:val="none" w:sz="0" w:space="0" w:color="auto"/>
                                    <w:left w:val="none" w:sz="0" w:space="0" w:color="auto"/>
                                    <w:bottom w:val="none" w:sz="0" w:space="0" w:color="auto"/>
                                    <w:right w:val="none" w:sz="0" w:space="0" w:color="auto"/>
                                  </w:divBdr>
                                  <w:divsChild>
                                    <w:div w:id="1356152264">
                                      <w:marLeft w:val="0"/>
                                      <w:marRight w:val="0"/>
                                      <w:marTop w:val="0"/>
                                      <w:marBottom w:val="0"/>
                                      <w:divBdr>
                                        <w:top w:val="none" w:sz="0" w:space="0" w:color="auto"/>
                                        <w:left w:val="none" w:sz="0" w:space="0" w:color="auto"/>
                                        <w:bottom w:val="none" w:sz="0" w:space="0" w:color="auto"/>
                                        <w:right w:val="none" w:sz="0" w:space="0" w:color="auto"/>
                                      </w:divBdr>
                                    </w:div>
                                    <w:div w:id="1257059039">
                                      <w:marLeft w:val="0"/>
                                      <w:marRight w:val="0"/>
                                      <w:marTop w:val="0"/>
                                      <w:marBottom w:val="0"/>
                                      <w:divBdr>
                                        <w:top w:val="none" w:sz="0" w:space="0" w:color="auto"/>
                                        <w:left w:val="none" w:sz="0" w:space="0" w:color="auto"/>
                                        <w:bottom w:val="none" w:sz="0" w:space="0" w:color="auto"/>
                                        <w:right w:val="none" w:sz="0" w:space="0" w:color="auto"/>
                                      </w:divBdr>
                                    </w:div>
                                    <w:div w:id="1049525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751341">
                          <w:marLeft w:val="0"/>
                          <w:marRight w:val="0"/>
                          <w:marTop w:val="0"/>
                          <w:marBottom w:val="0"/>
                          <w:divBdr>
                            <w:top w:val="none" w:sz="0" w:space="0" w:color="auto"/>
                            <w:left w:val="none" w:sz="0" w:space="0" w:color="auto"/>
                            <w:bottom w:val="none" w:sz="0" w:space="0" w:color="auto"/>
                            <w:right w:val="none" w:sz="0" w:space="0" w:color="auto"/>
                          </w:divBdr>
                          <w:divsChild>
                            <w:div w:id="1297250772">
                              <w:marLeft w:val="0"/>
                              <w:marRight w:val="0"/>
                              <w:marTop w:val="0"/>
                              <w:marBottom w:val="0"/>
                              <w:divBdr>
                                <w:top w:val="none" w:sz="0" w:space="0" w:color="auto"/>
                                <w:left w:val="none" w:sz="0" w:space="0" w:color="auto"/>
                                <w:bottom w:val="none" w:sz="0" w:space="0" w:color="auto"/>
                                <w:right w:val="none" w:sz="0" w:space="0" w:color="auto"/>
                              </w:divBdr>
                              <w:divsChild>
                                <w:div w:id="1682514101">
                                  <w:marLeft w:val="0"/>
                                  <w:marRight w:val="0"/>
                                  <w:marTop w:val="0"/>
                                  <w:marBottom w:val="0"/>
                                  <w:divBdr>
                                    <w:top w:val="none" w:sz="0" w:space="0" w:color="auto"/>
                                    <w:left w:val="none" w:sz="0" w:space="0" w:color="auto"/>
                                    <w:bottom w:val="none" w:sz="0" w:space="0" w:color="auto"/>
                                    <w:right w:val="none" w:sz="0" w:space="0" w:color="auto"/>
                                  </w:divBdr>
                                  <w:divsChild>
                                    <w:div w:id="1293092630">
                                      <w:marLeft w:val="0"/>
                                      <w:marRight w:val="0"/>
                                      <w:marTop w:val="0"/>
                                      <w:marBottom w:val="0"/>
                                      <w:divBdr>
                                        <w:top w:val="none" w:sz="0" w:space="0" w:color="auto"/>
                                        <w:left w:val="none" w:sz="0" w:space="0" w:color="auto"/>
                                        <w:bottom w:val="none" w:sz="0" w:space="0" w:color="auto"/>
                                        <w:right w:val="none" w:sz="0" w:space="0" w:color="auto"/>
                                      </w:divBdr>
                                    </w:div>
                                  </w:divsChild>
                                </w:div>
                                <w:div w:id="1560242602">
                                  <w:marLeft w:val="0"/>
                                  <w:marRight w:val="0"/>
                                  <w:marTop w:val="0"/>
                                  <w:marBottom w:val="0"/>
                                  <w:divBdr>
                                    <w:top w:val="none" w:sz="0" w:space="0" w:color="auto"/>
                                    <w:left w:val="none" w:sz="0" w:space="0" w:color="auto"/>
                                    <w:bottom w:val="none" w:sz="0" w:space="0" w:color="auto"/>
                                    <w:right w:val="none" w:sz="0" w:space="0" w:color="auto"/>
                                  </w:divBdr>
                                  <w:divsChild>
                                    <w:div w:id="1612054955">
                                      <w:marLeft w:val="0"/>
                                      <w:marRight w:val="0"/>
                                      <w:marTop w:val="0"/>
                                      <w:marBottom w:val="0"/>
                                      <w:divBdr>
                                        <w:top w:val="none" w:sz="0" w:space="0" w:color="auto"/>
                                        <w:left w:val="none" w:sz="0" w:space="0" w:color="auto"/>
                                        <w:bottom w:val="none" w:sz="0" w:space="0" w:color="auto"/>
                                        <w:right w:val="none" w:sz="0" w:space="0" w:color="auto"/>
                                      </w:divBdr>
                                    </w:div>
                                    <w:div w:id="199361480">
                                      <w:marLeft w:val="0"/>
                                      <w:marRight w:val="0"/>
                                      <w:marTop w:val="0"/>
                                      <w:marBottom w:val="0"/>
                                      <w:divBdr>
                                        <w:top w:val="none" w:sz="0" w:space="0" w:color="auto"/>
                                        <w:left w:val="none" w:sz="0" w:space="0" w:color="auto"/>
                                        <w:bottom w:val="none" w:sz="0" w:space="0" w:color="auto"/>
                                        <w:right w:val="none" w:sz="0" w:space="0" w:color="auto"/>
                                      </w:divBdr>
                                    </w:div>
                                    <w:div w:id="11864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348395">
                          <w:marLeft w:val="0"/>
                          <w:marRight w:val="0"/>
                          <w:marTop w:val="0"/>
                          <w:marBottom w:val="0"/>
                          <w:divBdr>
                            <w:top w:val="none" w:sz="0" w:space="0" w:color="auto"/>
                            <w:left w:val="none" w:sz="0" w:space="0" w:color="auto"/>
                            <w:bottom w:val="none" w:sz="0" w:space="0" w:color="auto"/>
                            <w:right w:val="none" w:sz="0" w:space="0" w:color="auto"/>
                          </w:divBdr>
                          <w:divsChild>
                            <w:div w:id="740062652">
                              <w:marLeft w:val="0"/>
                              <w:marRight w:val="0"/>
                              <w:marTop w:val="0"/>
                              <w:marBottom w:val="0"/>
                              <w:divBdr>
                                <w:top w:val="none" w:sz="0" w:space="0" w:color="auto"/>
                                <w:left w:val="none" w:sz="0" w:space="0" w:color="auto"/>
                                <w:bottom w:val="none" w:sz="0" w:space="0" w:color="auto"/>
                                <w:right w:val="none" w:sz="0" w:space="0" w:color="auto"/>
                              </w:divBdr>
                              <w:divsChild>
                                <w:div w:id="1094744527">
                                  <w:marLeft w:val="0"/>
                                  <w:marRight w:val="0"/>
                                  <w:marTop w:val="0"/>
                                  <w:marBottom w:val="0"/>
                                  <w:divBdr>
                                    <w:top w:val="none" w:sz="0" w:space="0" w:color="auto"/>
                                    <w:left w:val="none" w:sz="0" w:space="0" w:color="auto"/>
                                    <w:bottom w:val="none" w:sz="0" w:space="0" w:color="auto"/>
                                    <w:right w:val="none" w:sz="0" w:space="0" w:color="auto"/>
                                  </w:divBdr>
                                  <w:divsChild>
                                    <w:div w:id="2128767889">
                                      <w:marLeft w:val="0"/>
                                      <w:marRight w:val="0"/>
                                      <w:marTop w:val="0"/>
                                      <w:marBottom w:val="0"/>
                                      <w:divBdr>
                                        <w:top w:val="none" w:sz="0" w:space="0" w:color="auto"/>
                                        <w:left w:val="none" w:sz="0" w:space="0" w:color="auto"/>
                                        <w:bottom w:val="none" w:sz="0" w:space="0" w:color="auto"/>
                                        <w:right w:val="none" w:sz="0" w:space="0" w:color="auto"/>
                                      </w:divBdr>
                                    </w:div>
                                  </w:divsChild>
                                </w:div>
                                <w:div w:id="262298918">
                                  <w:marLeft w:val="0"/>
                                  <w:marRight w:val="0"/>
                                  <w:marTop w:val="0"/>
                                  <w:marBottom w:val="0"/>
                                  <w:divBdr>
                                    <w:top w:val="none" w:sz="0" w:space="0" w:color="auto"/>
                                    <w:left w:val="none" w:sz="0" w:space="0" w:color="auto"/>
                                    <w:bottom w:val="none" w:sz="0" w:space="0" w:color="auto"/>
                                    <w:right w:val="none" w:sz="0" w:space="0" w:color="auto"/>
                                  </w:divBdr>
                                  <w:divsChild>
                                    <w:div w:id="781000718">
                                      <w:marLeft w:val="0"/>
                                      <w:marRight w:val="0"/>
                                      <w:marTop w:val="0"/>
                                      <w:marBottom w:val="0"/>
                                      <w:divBdr>
                                        <w:top w:val="none" w:sz="0" w:space="0" w:color="auto"/>
                                        <w:left w:val="none" w:sz="0" w:space="0" w:color="auto"/>
                                        <w:bottom w:val="none" w:sz="0" w:space="0" w:color="auto"/>
                                        <w:right w:val="none" w:sz="0" w:space="0" w:color="auto"/>
                                      </w:divBdr>
                                    </w:div>
                                    <w:div w:id="1351689068">
                                      <w:marLeft w:val="0"/>
                                      <w:marRight w:val="0"/>
                                      <w:marTop w:val="0"/>
                                      <w:marBottom w:val="0"/>
                                      <w:divBdr>
                                        <w:top w:val="none" w:sz="0" w:space="0" w:color="auto"/>
                                        <w:left w:val="none" w:sz="0" w:space="0" w:color="auto"/>
                                        <w:bottom w:val="none" w:sz="0" w:space="0" w:color="auto"/>
                                        <w:right w:val="none" w:sz="0" w:space="0" w:color="auto"/>
                                      </w:divBdr>
                                    </w:div>
                                    <w:div w:id="1861312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6382692">
              <w:marLeft w:val="0"/>
              <w:marRight w:val="0"/>
              <w:marTop w:val="0"/>
              <w:marBottom w:val="0"/>
              <w:divBdr>
                <w:top w:val="none" w:sz="0" w:space="0" w:color="auto"/>
                <w:left w:val="none" w:sz="0" w:space="0" w:color="auto"/>
                <w:bottom w:val="none" w:sz="0" w:space="0" w:color="auto"/>
                <w:right w:val="none" w:sz="0" w:space="0" w:color="auto"/>
              </w:divBdr>
            </w:div>
          </w:divsChild>
        </w:div>
        <w:div w:id="258758038">
          <w:marLeft w:val="0"/>
          <w:marRight w:val="0"/>
          <w:marTop w:val="0"/>
          <w:marBottom w:val="0"/>
          <w:divBdr>
            <w:top w:val="single" w:sz="6" w:space="4" w:color="E0E0E0"/>
            <w:left w:val="single" w:sz="6" w:space="0" w:color="E0E0E0"/>
            <w:bottom w:val="single" w:sz="6" w:space="0" w:color="E0E0E0"/>
            <w:right w:val="single" w:sz="6" w:space="0" w:color="E0E0E0"/>
          </w:divBdr>
          <w:divsChild>
            <w:div w:id="296573485">
              <w:marLeft w:val="0"/>
              <w:marRight w:val="0"/>
              <w:marTop w:val="0"/>
              <w:marBottom w:val="0"/>
              <w:divBdr>
                <w:top w:val="none" w:sz="0" w:space="0" w:color="auto"/>
                <w:left w:val="none" w:sz="0" w:space="0" w:color="auto"/>
                <w:bottom w:val="none" w:sz="0" w:space="0" w:color="auto"/>
                <w:right w:val="none" w:sz="0" w:space="0" w:color="auto"/>
              </w:divBdr>
              <w:divsChild>
                <w:div w:id="130018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005390">
          <w:marLeft w:val="0"/>
          <w:marRight w:val="0"/>
          <w:marTop w:val="45"/>
          <w:marBottom w:val="0"/>
          <w:divBdr>
            <w:top w:val="single" w:sz="6" w:space="2" w:color="auto"/>
            <w:left w:val="single" w:sz="6" w:space="2" w:color="auto"/>
            <w:bottom w:val="single" w:sz="6" w:space="2" w:color="auto"/>
            <w:right w:val="single" w:sz="6" w:space="2" w:color="auto"/>
          </w:divBdr>
        </w:div>
        <w:div w:id="1555384063">
          <w:marLeft w:val="0"/>
          <w:marRight w:val="0"/>
          <w:marTop w:val="0"/>
          <w:marBottom w:val="0"/>
          <w:divBdr>
            <w:top w:val="none" w:sz="0" w:space="0" w:color="auto"/>
            <w:left w:val="none" w:sz="0" w:space="0" w:color="auto"/>
            <w:bottom w:val="none" w:sz="0" w:space="0" w:color="auto"/>
            <w:right w:val="none" w:sz="0" w:space="0" w:color="auto"/>
          </w:divBdr>
          <w:divsChild>
            <w:div w:id="312486220">
              <w:marLeft w:val="0"/>
              <w:marRight w:val="0"/>
              <w:marTop w:val="0"/>
              <w:marBottom w:val="0"/>
              <w:divBdr>
                <w:top w:val="none" w:sz="0" w:space="0" w:color="auto"/>
                <w:left w:val="none" w:sz="0" w:space="0" w:color="auto"/>
                <w:bottom w:val="none" w:sz="0" w:space="0" w:color="auto"/>
                <w:right w:val="none" w:sz="0" w:space="0" w:color="auto"/>
              </w:divBdr>
              <w:divsChild>
                <w:div w:id="115802793">
                  <w:marLeft w:val="0"/>
                  <w:marRight w:val="0"/>
                  <w:marTop w:val="0"/>
                  <w:marBottom w:val="0"/>
                  <w:divBdr>
                    <w:top w:val="none" w:sz="0" w:space="0" w:color="auto"/>
                    <w:left w:val="none" w:sz="0" w:space="0" w:color="auto"/>
                    <w:bottom w:val="none" w:sz="0" w:space="0" w:color="auto"/>
                    <w:right w:val="none" w:sz="0" w:space="0" w:color="auto"/>
                  </w:divBdr>
                  <w:divsChild>
                    <w:div w:id="14254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79867">
              <w:marLeft w:val="0"/>
              <w:marRight w:val="0"/>
              <w:marTop w:val="0"/>
              <w:marBottom w:val="0"/>
              <w:divBdr>
                <w:top w:val="none" w:sz="0" w:space="0" w:color="auto"/>
                <w:left w:val="none" w:sz="0" w:space="0" w:color="auto"/>
                <w:bottom w:val="none" w:sz="0" w:space="0" w:color="auto"/>
                <w:right w:val="none" w:sz="0" w:space="0" w:color="auto"/>
              </w:divBdr>
              <w:divsChild>
                <w:div w:id="1075519056">
                  <w:marLeft w:val="0"/>
                  <w:marRight w:val="0"/>
                  <w:marTop w:val="0"/>
                  <w:marBottom w:val="0"/>
                  <w:divBdr>
                    <w:top w:val="none" w:sz="0" w:space="0" w:color="auto"/>
                    <w:left w:val="none" w:sz="0" w:space="0" w:color="auto"/>
                    <w:bottom w:val="none" w:sz="0" w:space="0" w:color="auto"/>
                    <w:right w:val="none" w:sz="0" w:space="0" w:color="auto"/>
                  </w:divBdr>
                  <w:divsChild>
                    <w:div w:id="1313103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3307741">
      <w:bodyDiv w:val="1"/>
      <w:marLeft w:val="0"/>
      <w:marRight w:val="0"/>
      <w:marTop w:val="0"/>
      <w:marBottom w:val="0"/>
      <w:divBdr>
        <w:top w:val="none" w:sz="0" w:space="0" w:color="auto"/>
        <w:left w:val="none" w:sz="0" w:space="0" w:color="auto"/>
        <w:bottom w:val="none" w:sz="0" w:space="0" w:color="auto"/>
        <w:right w:val="none" w:sz="0" w:space="0" w:color="auto"/>
      </w:divBdr>
      <w:divsChild>
        <w:div w:id="412973564">
          <w:marLeft w:val="0"/>
          <w:marRight w:val="0"/>
          <w:marTop w:val="0"/>
          <w:marBottom w:val="0"/>
          <w:divBdr>
            <w:top w:val="none" w:sz="0" w:space="0" w:color="auto"/>
            <w:left w:val="none" w:sz="0" w:space="0" w:color="auto"/>
            <w:bottom w:val="none" w:sz="0" w:space="0" w:color="auto"/>
            <w:right w:val="none" w:sz="0" w:space="0" w:color="auto"/>
          </w:divBdr>
          <w:divsChild>
            <w:div w:id="1799371190">
              <w:marLeft w:val="0"/>
              <w:marRight w:val="0"/>
              <w:marTop w:val="0"/>
              <w:marBottom w:val="0"/>
              <w:divBdr>
                <w:top w:val="none" w:sz="0" w:space="0" w:color="auto"/>
                <w:left w:val="none" w:sz="0" w:space="0" w:color="auto"/>
                <w:bottom w:val="none" w:sz="0" w:space="0" w:color="auto"/>
                <w:right w:val="none" w:sz="0" w:space="0" w:color="auto"/>
              </w:divBdr>
              <w:divsChild>
                <w:div w:id="1228807987">
                  <w:marLeft w:val="0"/>
                  <w:marRight w:val="0"/>
                  <w:marTop w:val="0"/>
                  <w:marBottom w:val="0"/>
                  <w:divBdr>
                    <w:top w:val="none" w:sz="0" w:space="0" w:color="auto"/>
                    <w:left w:val="none" w:sz="0" w:space="0" w:color="auto"/>
                    <w:bottom w:val="none" w:sz="0" w:space="0" w:color="auto"/>
                    <w:right w:val="none" w:sz="0" w:space="0" w:color="auto"/>
                  </w:divBdr>
                  <w:divsChild>
                    <w:div w:id="228079398">
                      <w:marLeft w:val="0"/>
                      <w:marRight w:val="0"/>
                      <w:marTop w:val="0"/>
                      <w:marBottom w:val="0"/>
                      <w:divBdr>
                        <w:top w:val="none" w:sz="0" w:space="0" w:color="auto"/>
                        <w:left w:val="none" w:sz="0" w:space="0" w:color="auto"/>
                        <w:bottom w:val="none" w:sz="0" w:space="0" w:color="auto"/>
                        <w:right w:val="none" w:sz="0" w:space="0" w:color="auto"/>
                      </w:divBdr>
                      <w:divsChild>
                        <w:div w:id="548149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5207720">
      <w:bodyDiv w:val="1"/>
      <w:marLeft w:val="0"/>
      <w:marRight w:val="0"/>
      <w:marTop w:val="0"/>
      <w:marBottom w:val="0"/>
      <w:divBdr>
        <w:top w:val="none" w:sz="0" w:space="0" w:color="auto"/>
        <w:left w:val="none" w:sz="0" w:space="0" w:color="auto"/>
        <w:bottom w:val="none" w:sz="0" w:space="0" w:color="auto"/>
        <w:right w:val="none" w:sz="0" w:space="0" w:color="auto"/>
      </w:divBdr>
    </w:div>
    <w:div w:id="1841122222">
      <w:bodyDiv w:val="1"/>
      <w:marLeft w:val="0"/>
      <w:marRight w:val="0"/>
      <w:marTop w:val="0"/>
      <w:marBottom w:val="0"/>
      <w:divBdr>
        <w:top w:val="none" w:sz="0" w:space="0" w:color="auto"/>
        <w:left w:val="none" w:sz="0" w:space="0" w:color="auto"/>
        <w:bottom w:val="none" w:sz="0" w:space="0" w:color="auto"/>
        <w:right w:val="none" w:sz="0" w:space="0" w:color="auto"/>
      </w:divBdr>
      <w:divsChild>
        <w:div w:id="627470063">
          <w:marLeft w:val="0"/>
          <w:marRight w:val="0"/>
          <w:marTop w:val="0"/>
          <w:marBottom w:val="0"/>
          <w:divBdr>
            <w:top w:val="none" w:sz="0" w:space="0" w:color="auto"/>
            <w:left w:val="none" w:sz="0" w:space="0" w:color="auto"/>
            <w:bottom w:val="none" w:sz="0" w:space="0" w:color="auto"/>
            <w:right w:val="none" w:sz="0" w:space="0" w:color="auto"/>
          </w:divBdr>
          <w:divsChild>
            <w:div w:id="618101326">
              <w:marLeft w:val="0"/>
              <w:marRight w:val="0"/>
              <w:marTop w:val="0"/>
              <w:marBottom w:val="0"/>
              <w:divBdr>
                <w:top w:val="none" w:sz="0" w:space="0" w:color="auto"/>
                <w:left w:val="none" w:sz="0" w:space="0" w:color="auto"/>
                <w:bottom w:val="none" w:sz="0" w:space="0" w:color="auto"/>
                <w:right w:val="none" w:sz="0" w:space="0" w:color="auto"/>
              </w:divBdr>
              <w:divsChild>
                <w:div w:id="467627934">
                  <w:marLeft w:val="0"/>
                  <w:marRight w:val="0"/>
                  <w:marTop w:val="0"/>
                  <w:marBottom w:val="0"/>
                  <w:divBdr>
                    <w:top w:val="none" w:sz="0" w:space="0" w:color="auto"/>
                    <w:left w:val="none" w:sz="0" w:space="0" w:color="auto"/>
                    <w:bottom w:val="none" w:sz="0" w:space="0" w:color="auto"/>
                    <w:right w:val="none" w:sz="0" w:space="0" w:color="auto"/>
                  </w:divBdr>
                  <w:divsChild>
                    <w:div w:id="2028947341">
                      <w:marLeft w:val="0"/>
                      <w:marRight w:val="0"/>
                      <w:marTop w:val="0"/>
                      <w:marBottom w:val="0"/>
                      <w:divBdr>
                        <w:top w:val="none" w:sz="0" w:space="0" w:color="auto"/>
                        <w:left w:val="none" w:sz="0" w:space="0" w:color="auto"/>
                        <w:bottom w:val="none" w:sz="0" w:space="0" w:color="auto"/>
                        <w:right w:val="none" w:sz="0" w:space="0" w:color="auto"/>
                      </w:divBdr>
                      <w:divsChild>
                        <w:div w:id="415322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2476125">
      <w:bodyDiv w:val="1"/>
      <w:marLeft w:val="0"/>
      <w:marRight w:val="0"/>
      <w:marTop w:val="0"/>
      <w:marBottom w:val="0"/>
      <w:divBdr>
        <w:top w:val="none" w:sz="0" w:space="0" w:color="auto"/>
        <w:left w:val="none" w:sz="0" w:space="0" w:color="auto"/>
        <w:bottom w:val="none" w:sz="0" w:space="0" w:color="auto"/>
        <w:right w:val="none" w:sz="0" w:space="0" w:color="auto"/>
      </w:divBdr>
      <w:divsChild>
        <w:div w:id="215624450">
          <w:marLeft w:val="0"/>
          <w:marRight w:val="0"/>
          <w:marTop w:val="0"/>
          <w:marBottom w:val="0"/>
          <w:divBdr>
            <w:top w:val="none" w:sz="0" w:space="0" w:color="auto"/>
            <w:left w:val="none" w:sz="0" w:space="0" w:color="auto"/>
            <w:bottom w:val="none" w:sz="0" w:space="0" w:color="auto"/>
            <w:right w:val="none" w:sz="0" w:space="0" w:color="auto"/>
          </w:divBdr>
          <w:divsChild>
            <w:div w:id="223757764">
              <w:marLeft w:val="0"/>
              <w:marRight w:val="0"/>
              <w:marTop w:val="0"/>
              <w:marBottom w:val="0"/>
              <w:divBdr>
                <w:top w:val="none" w:sz="0" w:space="0" w:color="auto"/>
                <w:left w:val="none" w:sz="0" w:space="0" w:color="auto"/>
                <w:bottom w:val="none" w:sz="0" w:space="0" w:color="auto"/>
                <w:right w:val="none" w:sz="0" w:space="0" w:color="auto"/>
              </w:divBdr>
              <w:divsChild>
                <w:div w:id="840126036">
                  <w:marLeft w:val="0"/>
                  <w:marRight w:val="0"/>
                  <w:marTop w:val="0"/>
                  <w:marBottom w:val="0"/>
                  <w:divBdr>
                    <w:top w:val="none" w:sz="0" w:space="0" w:color="auto"/>
                    <w:left w:val="none" w:sz="0" w:space="0" w:color="auto"/>
                    <w:bottom w:val="none" w:sz="0" w:space="0" w:color="auto"/>
                    <w:right w:val="none" w:sz="0" w:space="0" w:color="auto"/>
                  </w:divBdr>
                  <w:divsChild>
                    <w:div w:id="1601837553">
                      <w:marLeft w:val="0"/>
                      <w:marRight w:val="0"/>
                      <w:marTop w:val="0"/>
                      <w:marBottom w:val="0"/>
                      <w:divBdr>
                        <w:top w:val="none" w:sz="0" w:space="0" w:color="auto"/>
                        <w:left w:val="none" w:sz="0" w:space="0" w:color="auto"/>
                        <w:bottom w:val="none" w:sz="0" w:space="0" w:color="auto"/>
                        <w:right w:val="none" w:sz="0" w:space="0" w:color="auto"/>
                      </w:divBdr>
                      <w:divsChild>
                        <w:div w:id="4753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9144044">
      <w:bodyDiv w:val="1"/>
      <w:marLeft w:val="0"/>
      <w:marRight w:val="0"/>
      <w:marTop w:val="0"/>
      <w:marBottom w:val="0"/>
      <w:divBdr>
        <w:top w:val="none" w:sz="0" w:space="0" w:color="auto"/>
        <w:left w:val="none" w:sz="0" w:space="0" w:color="auto"/>
        <w:bottom w:val="none" w:sz="0" w:space="0" w:color="auto"/>
        <w:right w:val="none" w:sz="0" w:space="0" w:color="auto"/>
      </w:divBdr>
      <w:divsChild>
        <w:div w:id="1135831754">
          <w:marLeft w:val="0"/>
          <w:marRight w:val="0"/>
          <w:marTop w:val="0"/>
          <w:marBottom w:val="0"/>
          <w:divBdr>
            <w:top w:val="none" w:sz="0" w:space="0" w:color="auto"/>
            <w:left w:val="none" w:sz="0" w:space="0" w:color="auto"/>
            <w:bottom w:val="none" w:sz="0" w:space="0" w:color="auto"/>
            <w:right w:val="none" w:sz="0" w:space="0" w:color="auto"/>
          </w:divBdr>
          <w:divsChild>
            <w:div w:id="1845121945">
              <w:marLeft w:val="0"/>
              <w:marRight w:val="0"/>
              <w:marTop w:val="0"/>
              <w:marBottom w:val="0"/>
              <w:divBdr>
                <w:top w:val="none" w:sz="0" w:space="0" w:color="auto"/>
                <w:left w:val="none" w:sz="0" w:space="0" w:color="auto"/>
                <w:bottom w:val="none" w:sz="0" w:space="0" w:color="auto"/>
                <w:right w:val="none" w:sz="0" w:space="0" w:color="auto"/>
              </w:divBdr>
              <w:divsChild>
                <w:div w:id="29654224">
                  <w:marLeft w:val="0"/>
                  <w:marRight w:val="0"/>
                  <w:marTop w:val="0"/>
                  <w:marBottom w:val="0"/>
                  <w:divBdr>
                    <w:top w:val="none" w:sz="0" w:space="0" w:color="auto"/>
                    <w:left w:val="none" w:sz="0" w:space="0" w:color="auto"/>
                    <w:bottom w:val="none" w:sz="0" w:space="0" w:color="auto"/>
                    <w:right w:val="none" w:sz="0" w:space="0" w:color="auto"/>
                  </w:divBdr>
                  <w:divsChild>
                    <w:div w:id="55862509">
                      <w:marLeft w:val="0"/>
                      <w:marRight w:val="0"/>
                      <w:marTop w:val="0"/>
                      <w:marBottom w:val="0"/>
                      <w:divBdr>
                        <w:top w:val="none" w:sz="0" w:space="0" w:color="auto"/>
                        <w:left w:val="none" w:sz="0" w:space="0" w:color="auto"/>
                        <w:bottom w:val="none" w:sz="0" w:space="0" w:color="auto"/>
                        <w:right w:val="none" w:sz="0" w:space="0" w:color="auto"/>
                      </w:divBdr>
                      <w:divsChild>
                        <w:div w:id="1597131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183035">
      <w:bodyDiv w:val="1"/>
      <w:marLeft w:val="0"/>
      <w:marRight w:val="0"/>
      <w:marTop w:val="0"/>
      <w:marBottom w:val="0"/>
      <w:divBdr>
        <w:top w:val="none" w:sz="0" w:space="0" w:color="auto"/>
        <w:left w:val="none" w:sz="0" w:space="0" w:color="auto"/>
        <w:bottom w:val="none" w:sz="0" w:space="0" w:color="auto"/>
        <w:right w:val="none" w:sz="0" w:space="0" w:color="auto"/>
      </w:divBdr>
      <w:divsChild>
        <w:div w:id="2109884779">
          <w:marLeft w:val="0"/>
          <w:marRight w:val="0"/>
          <w:marTop w:val="0"/>
          <w:marBottom w:val="0"/>
          <w:divBdr>
            <w:top w:val="none" w:sz="0" w:space="0" w:color="auto"/>
            <w:left w:val="none" w:sz="0" w:space="0" w:color="auto"/>
            <w:bottom w:val="none" w:sz="0" w:space="0" w:color="auto"/>
            <w:right w:val="none" w:sz="0" w:space="0" w:color="auto"/>
          </w:divBdr>
          <w:divsChild>
            <w:div w:id="76653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685775">
      <w:bodyDiv w:val="1"/>
      <w:marLeft w:val="0"/>
      <w:marRight w:val="0"/>
      <w:marTop w:val="0"/>
      <w:marBottom w:val="0"/>
      <w:divBdr>
        <w:top w:val="none" w:sz="0" w:space="0" w:color="auto"/>
        <w:left w:val="none" w:sz="0" w:space="0" w:color="auto"/>
        <w:bottom w:val="none" w:sz="0" w:space="0" w:color="auto"/>
        <w:right w:val="none" w:sz="0" w:space="0" w:color="auto"/>
      </w:divBdr>
      <w:divsChild>
        <w:div w:id="1135560515">
          <w:marLeft w:val="0"/>
          <w:marRight w:val="0"/>
          <w:marTop w:val="0"/>
          <w:marBottom w:val="0"/>
          <w:divBdr>
            <w:top w:val="none" w:sz="0" w:space="0" w:color="auto"/>
            <w:left w:val="none" w:sz="0" w:space="0" w:color="auto"/>
            <w:bottom w:val="none" w:sz="0" w:space="0" w:color="auto"/>
            <w:right w:val="none" w:sz="0" w:space="0" w:color="auto"/>
          </w:divBdr>
          <w:divsChild>
            <w:div w:id="170501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896130">
      <w:bodyDiv w:val="1"/>
      <w:marLeft w:val="0"/>
      <w:marRight w:val="0"/>
      <w:marTop w:val="0"/>
      <w:marBottom w:val="0"/>
      <w:divBdr>
        <w:top w:val="none" w:sz="0" w:space="0" w:color="auto"/>
        <w:left w:val="none" w:sz="0" w:space="0" w:color="auto"/>
        <w:bottom w:val="none" w:sz="0" w:space="0" w:color="auto"/>
        <w:right w:val="none" w:sz="0" w:space="0" w:color="auto"/>
      </w:divBdr>
      <w:divsChild>
        <w:div w:id="1915967964">
          <w:marLeft w:val="0"/>
          <w:marRight w:val="0"/>
          <w:marTop w:val="0"/>
          <w:marBottom w:val="0"/>
          <w:divBdr>
            <w:top w:val="none" w:sz="0" w:space="0" w:color="auto"/>
            <w:left w:val="none" w:sz="0" w:space="0" w:color="auto"/>
            <w:bottom w:val="none" w:sz="0" w:space="0" w:color="auto"/>
            <w:right w:val="none" w:sz="0" w:space="0" w:color="auto"/>
          </w:divBdr>
          <w:divsChild>
            <w:div w:id="1855415172">
              <w:marLeft w:val="0"/>
              <w:marRight w:val="0"/>
              <w:marTop w:val="225"/>
              <w:marBottom w:val="0"/>
              <w:divBdr>
                <w:top w:val="none" w:sz="0" w:space="0" w:color="auto"/>
                <w:left w:val="none" w:sz="0" w:space="0" w:color="auto"/>
                <w:bottom w:val="none" w:sz="0" w:space="0" w:color="auto"/>
                <w:right w:val="none" w:sz="0" w:space="0" w:color="auto"/>
              </w:divBdr>
              <w:divsChild>
                <w:div w:id="150701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airwar.ru/enc/law1/hestonj5.html" TargetMode="External"/><Relationship Id="rId299" Type="http://schemas.openxmlformats.org/officeDocument/2006/relationships/hyperlink" Target="http://www.airwar.ru/enc/law1/upo2.html" TargetMode="External"/><Relationship Id="rId21" Type="http://schemas.openxmlformats.org/officeDocument/2006/relationships/hyperlink" Target="http://detectivebooks.ru/book/47013018/?page=55" TargetMode="External"/><Relationship Id="rId42" Type="http://schemas.openxmlformats.org/officeDocument/2006/relationships/hyperlink" Target="http://www.airwar.ru/enc/bww2/sbrk.html" TargetMode="External"/><Relationship Id="rId63" Type="http://schemas.openxmlformats.org/officeDocument/2006/relationships/hyperlink" Target="http://base13.glasnet.ru/wol/ju/288.htm" TargetMode="External"/><Relationship Id="rId84" Type="http://schemas.openxmlformats.org/officeDocument/2006/relationships/hyperlink" Target="http://www.rpg-club.com/x1000" TargetMode="External"/><Relationship Id="rId138" Type="http://schemas.openxmlformats.org/officeDocument/2006/relationships/hyperlink" Target="http://www.airwar.ru/enc/sww2/mbr7.html" TargetMode="External"/><Relationship Id="rId159" Type="http://schemas.openxmlformats.org/officeDocument/2006/relationships/hyperlink" Target="http://www.rpg-club.com/x1000" TargetMode="External"/><Relationship Id="rId170" Type="http://schemas.openxmlformats.org/officeDocument/2006/relationships/hyperlink" Target="https://t34inform.ru/doc/1940-07-05_VP183_Svodka_337c.html" TargetMode="External"/><Relationship Id="rId191" Type="http://schemas.openxmlformats.org/officeDocument/2006/relationships/hyperlink" Target="http://www.airwar.ru/enc/fww2/yak5.html" TargetMode="External"/><Relationship Id="rId205" Type="http://schemas.openxmlformats.org/officeDocument/2006/relationships/hyperlink" Target="https://warspot.ru/5335-ohotnik-na-doty" TargetMode="External"/><Relationship Id="rId226" Type="http://schemas.openxmlformats.org/officeDocument/2006/relationships/hyperlink" Target="https://t34inform.ru/doc/1940-07-26_VP183_PKI.html" TargetMode="External"/><Relationship Id="rId247" Type="http://schemas.openxmlformats.org/officeDocument/2006/relationships/hyperlink" Target="http://www.airwar.ru/enc/ch/fa223.html" TargetMode="External"/><Relationship Id="rId107" Type="http://schemas.openxmlformats.org/officeDocument/2006/relationships/hyperlink" Target="https://t34inform.ru/doc/1940-06-07_KO-5286_PT.html" TargetMode="External"/><Relationship Id="rId268" Type="http://schemas.openxmlformats.org/officeDocument/2006/relationships/hyperlink" Target="http://istmat.info/node/57427" TargetMode="External"/><Relationship Id="rId289" Type="http://schemas.openxmlformats.org/officeDocument/2006/relationships/hyperlink" Target="http://www.airwar.ru/enc/bww2/galif.html" TargetMode="External"/><Relationship Id="rId11" Type="http://schemas.openxmlformats.org/officeDocument/2006/relationships/hyperlink" Target="http://www.plam.ru/hist/_zimnjaja_voina_rabota_nad_oshibkami_aprel_mai_1940_g/p79.php" TargetMode="External"/><Relationship Id="rId32" Type="http://schemas.openxmlformats.org/officeDocument/2006/relationships/hyperlink" Target="http://www.airwar.ru/enc/sww2/mbr7.html" TargetMode="External"/><Relationship Id="rId53" Type="http://schemas.openxmlformats.org/officeDocument/2006/relationships/hyperlink" Target="http://istmat.info/node/58370" TargetMode="External"/><Relationship Id="rId74" Type="http://schemas.openxmlformats.org/officeDocument/2006/relationships/hyperlink" Target="http://www.famhist.ru/famhist/ap/00052fa8.htm" TargetMode="External"/><Relationship Id="rId128" Type="http://schemas.openxmlformats.org/officeDocument/2006/relationships/hyperlink" Target="http://www.airwar.ru/enc/other2/uti26.html" TargetMode="External"/><Relationship Id="rId149" Type="http://schemas.openxmlformats.org/officeDocument/2006/relationships/hyperlink" Target="http://detectivebooks.ru/book/47013018/?page=53" TargetMode="External"/><Relationship Id="rId5" Type="http://schemas.openxmlformats.org/officeDocument/2006/relationships/hyperlink" Target="http://airspot.ru/catalogue/item/belyaev-eoi" TargetMode="External"/><Relationship Id="rId95" Type="http://schemas.openxmlformats.org/officeDocument/2006/relationships/hyperlink" Target="http://www.airwar.ru/enc/bww2/mb162.html" TargetMode="External"/><Relationship Id="rId160" Type="http://schemas.openxmlformats.org/officeDocument/2006/relationships/hyperlink" Target="http://crimso.msk.ru/Site/Crafts/Craft21770.htm" TargetMode="External"/><Relationship Id="rId181" Type="http://schemas.openxmlformats.org/officeDocument/2006/relationships/hyperlink" Target="http://istmat.info/node/57415" TargetMode="External"/><Relationship Id="rId216" Type="http://schemas.openxmlformats.org/officeDocument/2006/relationships/hyperlink" Target="http://www.airwar.ru/enc/other2/uti26.html" TargetMode="External"/><Relationship Id="rId237" Type="http://schemas.openxmlformats.org/officeDocument/2006/relationships/hyperlink" Target="http://irkipedia.ru/content/tayshet" TargetMode="External"/><Relationship Id="rId258" Type="http://schemas.openxmlformats.org/officeDocument/2006/relationships/hyperlink" Target="https://warspot.ru/8367-vtoroy-raz-v-lyogkiy-klass" TargetMode="External"/><Relationship Id="rId279" Type="http://schemas.openxmlformats.org/officeDocument/2006/relationships/hyperlink" Target="http://istmat.info/node/57428" TargetMode="External"/><Relationship Id="rId22" Type="http://schemas.openxmlformats.org/officeDocument/2006/relationships/hyperlink" Target="http://www.airwar.ru/enc/bww2/do215.html" TargetMode="External"/><Relationship Id="rId43" Type="http://schemas.openxmlformats.org/officeDocument/2006/relationships/hyperlink" Target="http://www.airwar.ru/enc/bww2/opb5.html" TargetMode="External"/><Relationship Id="rId64" Type="http://schemas.openxmlformats.org/officeDocument/2006/relationships/hyperlink" Target="http://avialegend.ru/samolet/Razrabotka-samoljo...ught-F4U-Corsair.htm" TargetMode="External"/><Relationship Id="rId118" Type="http://schemas.openxmlformats.org/officeDocument/2006/relationships/hyperlink" Target="http://istmat.info/node/58371" TargetMode="External"/><Relationship Id="rId139" Type="http://schemas.openxmlformats.org/officeDocument/2006/relationships/hyperlink" Target="http://www.airwar.ru/enc/bww2/orkan.html" TargetMode="External"/><Relationship Id="rId290" Type="http://schemas.openxmlformats.org/officeDocument/2006/relationships/hyperlink" Target="http://www.airwar.ru/enc/fww2/i21.html" TargetMode="External"/><Relationship Id="rId85" Type="http://schemas.openxmlformats.org/officeDocument/2006/relationships/hyperlink" Target="http://www.rpg-club.com/x1000" TargetMode="External"/><Relationship Id="rId150" Type="http://schemas.openxmlformats.org/officeDocument/2006/relationships/hyperlink" Target="http://detectivebooks.ru/book/47013018/?page=53" TargetMode="External"/><Relationship Id="rId171" Type="http://schemas.openxmlformats.org/officeDocument/2006/relationships/hyperlink" Target="https://t34inform.ru/doc/1940-07-03_Panov-Fedorenko.html" TargetMode="External"/><Relationship Id="rId192" Type="http://schemas.openxmlformats.org/officeDocument/2006/relationships/hyperlink" Target="http://www.airwar.ru/enc/fww2/cw21.html" TargetMode="External"/><Relationship Id="rId206" Type="http://schemas.openxmlformats.org/officeDocument/2006/relationships/hyperlink" Target="http://www.airwar.ru/enc/fww2/dh98_f.html" TargetMode="External"/><Relationship Id="rId227" Type="http://schemas.openxmlformats.org/officeDocument/2006/relationships/hyperlink" Target="http://istmat.info/node/58441" TargetMode="External"/><Relationship Id="rId248" Type="http://schemas.openxmlformats.org/officeDocument/2006/relationships/hyperlink" Target="http://www.aviarmor.net/aww2/aircraft_exp/italy/cant_z516.htm" TargetMode="External"/><Relationship Id="rId269" Type="http://schemas.openxmlformats.org/officeDocument/2006/relationships/hyperlink" Target="http://istmat.info/node/57427" TargetMode="External"/><Relationship Id="rId12" Type="http://schemas.openxmlformats.org/officeDocument/2006/relationships/hyperlink" Target="http://www.plam.ru/hist/_zimnjaja_voina_rabota_nad_oshibkami_aprel_mai_1940_g/p79.php" TargetMode="External"/><Relationship Id="rId33" Type="http://schemas.openxmlformats.org/officeDocument/2006/relationships/hyperlink" Target="http://www.airwar.ru/enc/fww2/fl1.html" TargetMode="External"/><Relationship Id="rId108" Type="http://schemas.openxmlformats.org/officeDocument/2006/relationships/hyperlink" Target="http://www.airwar.ru/enc/bww2/z1018.html" TargetMode="External"/><Relationship Id="rId129" Type="http://schemas.openxmlformats.org/officeDocument/2006/relationships/hyperlink" Target="http://www.airwar.ru/enc/sww2/mtb2.html" TargetMode="External"/><Relationship Id="rId280" Type="http://schemas.openxmlformats.org/officeDocument/2006/relationships/hyperlink" Target="http://istmat.info/node/57428" TargetMode="External"/><Relationship Id="rId54" Type="http://schemas.openxmlformats.org/officeDocument/2006/relationships/hyperlink" Target="http://istmat.info/node/58370" TargetMode="External"/><Relationship Id="rId75" Type="http://schemas.openxmlformats.org/officeDocument/2006/relationships/hyperlink" Target="http://detectivebooks.ru/book/47013018/?page=49" TargetMode="External"/><Relationship Id="rId96" Type="http://schemas.openxmlformats.org/officeDocument/2006/relationships/hyperlink" Target="http://alternathistory.org.ua/aerokobra-po-ital...ebitel-piaggio-p-119" TargetMode="External"/><Relationship Id="rId140" Type="http://schemas.openxmlformats.org/officeDocument/2006/relationships/hyperlink" Target="http://istmat.info/node/58373" TargetMode="External"/><Relationship Id="rId161" Type="http://schemas.openxmlformats.org/officeDocument/2006/relationships/hyperlink" Target="http://www.libussr.ru/doc_ussr/ussr_4257.htm" TargetMode="External"/><Relationship Id="rId182" Type="http://schemas.openxmlformats.org/officeDocument/2006/relationships/hyperlink" Target="http://istmat.info/node/57420" TargetMode="External"/><Relationship Id="rId217" Type="http://schemas.openxmlformats.org/officeDocument/2006/relationships/hyperlink" Target="https://t34inform.ru/doc/1940-07-23_NKSM.html" TargetMode="External"/><Relationship Id="rId6" Type="http://schemas.openxmlformats.org/officeDocument/2006/relationships/hyperlink" Target="http://aviahobby.ru/publ/walrus/walrus.html" TargetMode="External"/><Relationship Id="rId238" Type="http://schemas.openxmlformats.org/officeDocument/2006/relationships/hyperlink" Target="http://www.airwar.ru/enc/fww2/i153gk.html" TargetMode="External"/><Relationship Id="rId259" Type="http://schemas.openxmlformats.org/officeDocument/2006/relationships/hyperlink" Target="http://www.airwar.ru/enc/bww2/opb5.html" TargetMode="External"/><Relationship Id="rId23" Type="http://schemas.openxmlformats.org/officeDocument/2006/relationships/hyperlink" Target="http://detectivebooks.ru/book/47013018/?page=49" TargetMode="External"/><Relationship Id="rId119" Type="http://schemas.openxmlformats.org/officeDocument/2006/relationships/hyperlink" Target="http://istmat.info/node/58371" TargetMode="External"/><Relationship Id="rId270" Type="http://schemas.openxmlformats.org/officeDocument/2006/relationships/hyperlink" Target="http://istmat.info/node/57427" TargetMode="External"/><Relationship Id="rId291" Type="http://schemas.openxmlformats.org/officeDocument/2006/relationships/hyperlink" Target="http://wunderwaffe.narod.ru/WeaponBook/Avia/Mig3/03.htm" TargetMode="External"/><Relationship Id="rId44" Type="http://schemas.openxmlformats.org/officeDocument/2006/relationships/hyperlink" Target="http://detectivebooks.ru/book/47013018/?page=54" TargetMode="External"/><Relationship Id="rId65" Type="http://schemas.openxmlformats.org/officeDocument/2006/relationships/hyperlink" Target="http://warspot.ru/1993-kogda-pod-nemtsami-gorela-mostovaya" TargetMode="External"/><Relationship Id="rId86" Type="http://schemas.openxmlformats.org/officeDocument/2006/relationships/hyperlink" Target="http://www.rpg-club.com/x1000" TargetMode="External"/><Relationship Id="rId130" Type="http://schemas.openxmlformats.org/officeDocument/2006/relationships/hyperlink" Target="https://topwar.ru/armament/fleet/" TargetMode="External"/><Relationship Id="rId151" Type="http://schemas.openxmlformats.org/officeDocument/2006/relationships/hyperlink" Target="http://detectivebooks.ru/book/47013018/?page=53" TargetMode="External"/><Relationship Id="rId172" Type="http://schemas.openxmlformats.org/officeDocument/2006/relationships/hyperlink" Target="http://istmat.info/node/57415" TargetMode="External"/><Relationship Id="rId193" Type="http://schemas.openxmlformats.org/officeDocument/2006/relationships/hyperlink" Target="http://army.lv/ru/er-2/istorija/564/554" TargetMode="External"/><Relationship Id="rId207" Type="http://schemas.openxmlformats.org/officeDocument/2006/relationships/hyperlink" Target="http://www.liveinternet.ru/www.airwar.ru/enc/glider/psn2.html" TargetMode="External"/><Relationship Id="rId228" Type="http://schemas.openxmlformats.org/officeDocument/2006/relationships/hyperlink" Target="http://istmat.info/node/58441" TargetMode="External"/><Relationship Id="rId249" Type="http://schemas.openxmlformats.org/officeDocument/2006/relationships/hyperlink" Target="http://www.23ag.ru/html/mig_1.html" TargetMode="External"/><Relationship Id="rId13" Type="http://schemas.openxmlformats.org/officeDocument/2006/relationships/hyperlink" Target="http://www.airwar.ru/enc/fww2/cao200.html" TargetMode="External"/><Relationship Id="rId109" Type="http://schemas.openxmlformats.org/officeDocument/2006/relationships/hyperlink" Target="http://www.airwar.ru/enc/other2/c6bis.html" TargetMode="External"/><Relationship Id="rId260" Type="http://schemas.openxmlformats.org/officeDocument/2006/relationships/hyperlink" Target="http://istmat.info/node/57427" TargetMode="External"/><Relationship Id="rId281" Type="http://schemas.openxmlformats.org/officeDocument/2006/relationships/hyperlink" Target="http://istmat.info/node/57428" TargetMode="External"/><Relationship Id="rId34" Type="http://schemas.openxmlformats.org/officeDocument/2006/relationships/hyperlink" Target="http://wunderwaffe.narod.ru/Magazine/AirWar/28/01.htm" TargetMode="External"/><Relationship Id="rId55" Type="http://schemas.openxmlformats.org/officeDocument/2006/relationships/hyperlink" Target="http://istmat.info/node/58370" TargetMode="External"/><Relationship Id="rId76" Type="http://schemas.openxmlformats.org/officeDocument/2006/relationships/hyperlink" Target="http://www.rpg-club.com/x1000" TargetMode="External"/><Relationship Id="rId97" Type="http://schemas.openxmlformats.org/officeDocument/2006/relationships/hyperlink" Target="http://www.airwar.ru/enc/fww2/p119.html" TargetMode="External"/><Relationship Id="rId120" Type="http://schemas.openxmlformats.org/officeDocument/2006/relationships/hyperlink" Target="http://istmat.info/node/58371" TargetMode="External"/><Relationship Id="rId141" Type="http://schemas.openxmlformats.org/officeDocument/2006/relationships/hyperlink" Target="http://istmat.info/node/58373" TargetMode="External"/><Relationship Id="rId7" Type="http://schemas.openxmlformats.org/officeDocument/2006/relationships/hyperlink" Target="http://www.airwar.ru/enc/fww2/bf109e.html" TargetMode="External"/><Relationship Id="rId162" Type="http://schemas.openxmlformats.org/officeDocument/2006/relationships/hyperlink" Target="http://www.airwar.ru/enc/xplane/n1m.html" TargetMode="External"/><Relationship Id="rId183" Type="http://schemas.openxmlformats.org/officeDocument/2006/relationships/hyperlink" Target="http://istmat.info/node/57420" TargetMode="External"/><Relationship Id="rId218" Type="http://schemas.openxmlformats.org/officeDocument/2006/relationships/hyperlink" Target="http://www.airpages.ru/uk/blenh1.shtml" TargetMode="External"/><Relationship Id="rId239" Type="http://schemas.openxmlformats.org/officeDocument/2006/relationships/hyperlink" Target="https://t34inform.ru/doc/1940-07-27_Panov_RS.html" TargetMode="External"/><Relationship Id="rId2" Type="http://schemas.openxmlformats.org/officeDocument/2006/relationships/styles" Target="styles.xml"/><Relationship Id="rId29" Type="http://schemas.openxmlformats.org/officeDocument/2006/relationships/hyperlink" Target="https://t34inform.ru/doc/1940-05-21_Servo.html" TargetMode="External"/><Relationship Id="rId250" Type="http://schemas.openxmlformats.org/officeDocument/2006/relationships/hyperlink" Target="http://istmat.info/node/58487" TargetMode="External"/><Relationship Id="rId255" Type="http://schemas.openxmlformats.org/officeDocument/2006/relationships/hyperlink" Target="http://istmat.info/node/58487" TargetMode="External"/><Relationship Id="rId271" Type="http://schemas.openxmlformats.org/officeDocument/2006/relationships/hyperlink" Target="http://istmat.info/node/57427" TargetMode="External"/><Relationship Id="rId276" Type="http://schemas.openxmlformats.org/officeDocument/2006/relationships/hyperlink" Target="http://istmat.info/node/57427" TargetMode="External"/><Relationship Id="rId292" Type="http://schemas.openxmlformats.org/officeDocument/2006/relationships/hyperlink" Target="http://www.airpages.ru/uk/b25rus.shtml" TargetMode="External"/><Relationship Id="rId297" Type="http://schemas.openxmlformats.org/officeDocument/2006/relationships/hyperlink" Target="http://www.airwar.ru/enc/sww2/swordf.html" TargetMode="External"/><Relationship Id="rId24" Type="http://schemas.openxmlformats.org/officeDocument/2006/relationships/hyperlink" Target="http://www.opoccuu.com/su-2.htm" TargetMode="External"/><Relationship Id="rId40" Type="http://schemas.openxmlformats.org/officeDocument/2006/relationships/hyperlink" Target="http://base13.glasnet.ru/wol/me/262.htm" TargetMode="External"/><Relationship Id="rId45" Type="http://schemas.openxmlformats.org/officeDocument/2006/relationships/hyperlink" Target="http://airspot.ru/catalogue/item/dornier-do-215" TargetMode="External"/><Relationship Id="rId66" Type="http://schemas.openxmlformats.org/officeDocument/2006/relationships/hyperlink" Target="http://warspot.ru/1993-kogda-pod-nemtsami-gorela-mostovaya" TargetMode="External"/><Relationship Id="rId87" Type="http://schemas.openxmlformats.org/officeDocument/2006/relationships/hyperlink" Target="http://www.rpg-club.com/x1000" TargetMode="External"/><Relationship Id="rId110" Type="http://schemas.openxmlformats.org/officeDocument/2006/relationships/hyperlink" Target="http://www.airwar.ru/enc/bww2/nc2233.html" TargetMode="External"/><Relationship Id="rId115" Type="http://schemas.openxmlformats.org/officeDocument/2006/relationships/hyperlink" Target="http://aeroram.narod.ru/win/samolet/harricane.htm" TargetMode="External"/><Relationship Id="rId131" Type="http://schemas.openxmlformats.org/officeDocument/2006/relationships/hyperlink" Target="https://topwar.ru/history/" TargetMode="External"/><Relationship Id="rId136" Type="http://schemas.openxmlformats.org/officeDocument/2006/relationships/hyperlink" Target="http://detectivebooks.ru/book/47013018/?page=39" TargetMode="External"/><Relationship Id="rId157" Type="http://schemas.openxmlformats.org/officeDocument/2006/relationships/hyperlink" Target="http://detectivebooks.ru/book/47013018/?page=21" TargetMode="External"/><Relationship Id="rId178" Type="http://schemas.openxmlformats.org/officeDocument/2006/relationships/hyperlink" Target="http://istmat.info/node/57415" TargetMode="External"/><Relationship Id="rId301" Type="http://schemas.openxmlformats.org/officeDocument/2006/relationships/theme" Target="theme/theme1.xml"/><Relationship Id="rId61" Type="http://schemas.openxmlformats.org/officeDocument/2006/relationships/hyperlink" Target="http://www.airwar.ru/enc/fww2/is1.html" TargetMode="External"/><Relationship Id="rId82" Type="http://schemas.openxmlformats.org/officeDocument/2006/relationships/hyperlink" Target="http://www.rpg-club.com/x1000" TargetMode="External"/><Relationship Id="rId152" Type="http://schemas.openxmlformats.org/officeDocument/2006/relationships/hyperlink" Target="http://detectivebooks.ru/book/47013018/?page=53" TargetMode="External"/><Relationship Id="rId173" Type="http://schemas.openxmlformats.org/officeDocument/2006/relationships/hyperlink" Target="http://istmat.info/node/57415" TargetMode="External"/><Relationship Id="rId194" Type="http://schemas.openxmlformats.org/officeDocument/2006/relationships/hyperlink" Target="http://istmat.info/node/58406" TargetMode="External"/><Relationship Id="rId199" Type="http://schemas.openxmlformats.org/officeDocument/2006/relationships/hyperlink" Target="http://warspot.ru/users/12363-yuriy-pasholok/published" TargetMode="External"/><Relationship Id="rId203" Type="http://schemas.openxmlformats.org/officeDocument/2006/relationships/hyperlink" Target="http://warspot.ru/4960-kv-3-nabor-tankovoy-massy" TargetMode="External"/><Relationship Id="rId208" Type="http://schemas.openxmlformats.org/officeDocument/2006/relationships/hyperlink" Target="http://www.airwar.ru/enc/uh/xr1.html" TargetMode="External"/><Relationship Id="rId229" Type="http://schemas.openxmlformats.org/officeDocument/2006/relationships/hyperlink" Target="http://istmat.info/node/58441" TargetMode="External"/><Relationship Id="rId19" Type="http://schemas.openxmlformats.org/officeDocument/2006/relationships/hyperlink" Target="http://www.airpages.ru/img/il2_4.shtml" TargetMode="External"/><Relationship Id="rId224" Type="http://schemas.openxmlformats.org/officeDocument/2006/relationships/hyperlink" Target="https://t34inform.ru/doc/1940-07-25_VP183_Svodka_376c.html" TargetMode="External"/><Relationship Id="rId240" Type="http://schemas.openxmlformats.org/officeDocument/2006/relationships/image" Target="media/image1.jpeg"/><Relationship Id="rId245" Type="http://schemas.openxmlformats.org/officeDocument/2006/relationships/hyperlink" Target="http://istmat.info/node/58486" TargetMode="External"/><Relationship Id="rId261" Type="http://schemas.openxmlformats.org/officeDocument/2006/relationships/hyperlink" Target="http://istmat.info/node/57427" TargetMode="External"/><Relationship Id="rId266" Type="http://schemas.openxmlformats.org/officeDocument/2006/relationships/hyperlink" Target="http://istmat.info/node/57427" TargetMode="External"/><Relationship Id="rId287" Type="http://schemas.openxmlformats.org/officeDocument/2006/relationships/hyperlink" Target="http://www.airwar.ru/enc/other1/ut3.html" TargetMode="External"/><Relationship Id="rId14" Type="http://schemas.openxmlformats.org/officeDocument/2006/relationships/hyperlink" Target="http://www.plam.ru/hist/porjadok_v_tankovyh_voiskah_kuda_propali_tanki_stalina/p5.php" TargetMode="External"/><Relationship Id="rId30" Type="http://schemas.openxmlformats.org/officeDocument/2006/relationships/hyperlink" Target="http://airspot.ru/catalogue/item/iar-80" TargetMode="External"/><Relationship Id="rId35" Type="http://schemas.openxmlformats.org/officeDocument/2006/relationships/hyperlink" Target="http://www.airwar.ru/enc/sww2/gal38.html" TargetMode="External"/><Relationship Id="rId56" Type="http://schemas.openxmlformats.org/officeDocument/2006/relationships/hyperlink" Target="http://istmat.info/node/58370" TargetMode="External"/><Relationship Id="rId77" Type="http://schemas.openxmlformats.org/officeDocument/2006/relationships/hyperlink" Target="http://www.rpg-club.com/x1000" TargetMode="External"/><Relationship Id="rId100" Type="http://schemas.openxmlformats.org/officeDocument/2006/relationships/hyperlink" Target="http://www.airwar.ru/enc/fww2/ta3.html" TargetMode="External"/><Relationship Id="rId105" Type="http://schemas.openxmlformats.org/officeDocument/2006/relationships/hyperlink" Target="http://commi.narod.ru/txt/shirad/203.htm" TargetMode="External"/><Relationship Id="rId126" Type="http://schemas.openxmlformats.org/officeDocument/2006/relationships/hyperlink" Target="http://www.airwar.ru/enc/fww2/ip201.html" TargetMode="External"/><Relationship Id="rId147" Type="http://schemas.openxmlformats.org/officeDocument/2006/relationships/hyperlink" Target="http://www.airwar.ru/enc/sww2/g44.html" TargetMode="External"/><Relationship Id="rId168" Type="http://schemas.openxmlformats.org/officeDocument/2006/relationships/hyperlink" Target="http://istmat.info/node/58401" TargetMode="External"/><Relationship Id="rId282" Type="http://schemas.openxmlformats.org/officeDocument/2006/relationships/hyperlink" Target="http://istmat.info/node/57428" TargetMode="External"/><Relationship Id="rId8" Type="http://schemas.openxmlformats.org/officeDocument/2006/relationships/hyperlink" Target="http://airspot.ru/catalogue/item/ermolaev-er-2" TargetMode="External"/><Relationship Id="rId51" Type="http://schemas.openxmlformats.org/officeDocument/2006/relationships/hyperlink" Target="http://istmat.info/node/58370" TargetMode="External"/><Relationship Id="rId72" Type="http://schemas.openxmlformats.org/officeDocument/2006/relationships/hyperlink" Target="http://www.plam.ru/hist/porjadok_v_tankovyh_voiskah_kuda_propali_tanki_stalina/p3.php" TargetMode="External"/><Relationship Id="rId93" Type="http://schemas.openxmlformats.org/officeDocument/2006/relationships/hyperlink" Target="http://www.rpg-club.com/x1000" TargetMode="External"/><Relationship Id="rId98" Type="http://schemas.openxmlformats.org/officeDocument/2006/relationships/hyperlink" Target="http://www.airwar.ru/enc/other2/pm1.html" TargetMode="External"/><Relationship Id="rId121" Type="http://schemas.openxmlformats.org/officeDocument/2006/relationships/hyperlink" Target="http://istmat.info/node/58371" TargetMode="External"/><Relationship Id="rId142" Type="http://schemas.openxmlformats.org/officeDocument/2006/relationships/hyperlink" Target="http://www.airwar.ru/enc/bww2/sncao700.html" TargetMode="External"/><Relationship Id="rId163" Type="http://schemas.openxmlformats.org/officeDocument/2006/relationships/hyperlink" Target="http://http/eng.ship.bsu.by/text/4028" TargetMode="External"/><Relationship Id="rId184" Type="http://schemas.openxmlformats.org/officeDocument/2006/relationships/hyperlink" Target="http://istmat.info/node/57420" TargetMode="External"/><Relationship Id="rId189" Type="http://schemas.openxmlformats.org/officeDocument/2006/relationships/hyperlink" Target="http://istmat.info/node/57420" TargetMode="External"/><Relationship Id="rId219" Type="http://schemas.openxmlformats.org/officeDocument/2006/relationships/hyperlink" Target="http://istmat.info/node/58440" TargetMode="External"/><Relationship Id="rId3" Type="http://schemas.openxmlformats.org/officeDocument/2006/relationships/settings" Target="settings.xml"/><Relationship Id="rId214" Type="http://schemas.openxmlformats.org/officeDocument/2006/relationships/hyperlink" Target="http://istmat.info/node/57421" TargetMode="External"/><Relationship Id="rId230" Type="http://schemas.openxmlformats.org/officeDocument/2006/relationships/hyperlink" Target="http://istmat.info/node/58441" TargetMode="External"/><Relationship Id="rId235" Type="http://schemas.openxmlformats.org/officeDocument/2006/relationships/hyperlink" Target="http://www.liveinternet.ru/%20www.airwar.ru/enc/fww2/ip201.html" TargetMode="External"/><Relationship Id="rId251" Type="http://schemas.openxmlformats.org/officeDocument/2006/relationships/hyperlink" Target="http://istmat.info/node/58487" TargetMode="External"/><Relationship Id="rId256" Type="http://schemas.openxmlformats.org/officeDocument/2006/relationships/hyperlink" Target="https://warspot.ru/6240-tyaglovaya-sila" TargetMode="External"/><Relationship Id="rId277" Type="http://schemas.openxmlformats.org/officeDocument/2006/relationships/hyperlink" Target="http://istmat.info/node/57428" TargetMode="External"/><Relationship Id="rId298" Type="http://schemas.openxmlformats.org/officeDocument/2006/relationships/hyperlink" Target="http://www.airwar.ru/enc/spyww2/ca134.html" TargetMode="External"/><Relationship Id="rId25" Type="http://schemas.openxmlformats.org/officeDocument/2006/relationships/hyperlink" Target="http://airspot.ru/catalogue/item/petlyakov-pe-2" TargetMode="External"/><Relationship Id="rId46" Type="http://schemas.openxmlformats.org/officeDocument/2006/relationships/hyperlink" Target="https://t34inform.ru/doc/1940-05-20_A-20_73084.html" TargetMode="External"/><Relationship Id="rId67" Type="http://schemas.openxmlformats.org/officeDocument/2006/relationships/hyperlink" Target="http://wunderwaffe.narod.ru/WeaponBook/Avia/Mig3/03.htm" TargetMode="External"/><Relationship Id="rId116" Type="http://schemas.openxmlformats.org/officeDocument/2006/relationships/hyperlink" Target="http://www.airwar.ru/enc/fww2/cr760.html" TargetMode="External"/><Relationship Id="rId137" Type="http://schemas.openxmlformats.org/officeDocument/2006/relationships/hyperlink" Target="http://www.airwar.ru/enc/bww2/pe2.html" TargetMode="External"/><Relationship Id="rId158" Type="http://schemas.openxmlformats.org/officeDocument/2006/relationships/hyperlink" Target="http://www.rpg-club.com/x1000" TargetMode="External"/><Relationship Id="rId272" Type="http://schemas.openxmlformats.org/officeDocument/2006/relationships/hyperlink" Target="http://istmat.info/node/57427" TargetMode="External"/><Relationship Id="rId293" Type="http://schemas.openxmlformats.org/officeDocument/2006/relationships/hyperlink" Target="http://twqq.narod.ru/2003-5.htm" TargetMode="External"/><Relationship Id="rId20" Type="http://schemas.openxmlformats.org/officeDocument/2006/relationships/hyperlink" Target="http://www.airwar.ru/enc/fww2/eoi.html" TargetMode="External"/><Relationship Id="rId41" Type="http://schemas.openxmlformats.org/officeDocument/2006/relationships/hyperlink" Target="http://www.airwar.ru/enc/bww2/fb.html" TargetMode="External"/><Relationship Id="rId62" Type="http://schemas.openxmlformats.org/officeDocument/2006/relationships/hyperlink" Target="http://detectivebooks.ru/book/47013018/?page=54" TargetMode="External"/><Relationship Id="rId83" Type="http://schemas.openxmlformats.org/officeDocument/2006/relationships/hyperlink" Target="http://www.rpg-club.com/x1000" TargetMode="External"/><Relationship Id="rId88" Type="http://schemas.openxmlformats.org/officeDocument/2006/relationships/hyperlink" Target="http://www.rpg-club.com/x1000" TargetMode="External"/><Relationship Id="rId111" Type="http://schemas.openxmlformats.org/officeDocument/2006/relationships/hyperlink" Target="http://airspot.ru/catalogue/item/tairov-ta-3" TargetMode="External"/><Relationship Id="rId132" Type="http://schemas.openxmlformats.org/officeDocument/2006/relationships/hyperlink" Target="http://www.plam.ru/hist/porjadok_v_tankovyh_voiskah_kuda_propali_tanki_stalina/p4.php" TargetMode="External"/><Relationship Id="rId153" Type="http://schemas.openxmlformats.org/officeDocument/2006/relationships/hyperlink" Target="https://t34inform.ru/photo/2-03-28.jpg" TargetMode="External"/><Relationship Id="rId174" Type="http://schemas.openxmlformats.org/officeDocument/2006/relationships/hyperlink" Target="http://istmat.info/node/57415" TargetMode="External"/><Relationship Id="rId179" Type="http://schemas.openxmlformats.org/officeDocument/2006/relationships/hyperlink" Target="http://istmat.info/node/57415" TargetMode="External"/><Relationship Id="rId195" Type="http://schemas.openxmlformats.org/officeDocument/2006/relationships/hyperlink" Target="http://istmat.info/node/58406" TargetMode="External"/><Relationship Id="rId209" Type="http://schemas.openxmlformats.org/officeDocument/2006/relationships/hyperlink" Target="http://detectivebooks.ru/book/47013018/?page=41" TargetMode="External"/><Relationship Id="rId190" Type="http://schemas.openxmlformats.org/officeDocument/2006/relationships/hyperlink" Target="http://www.airwar.ru/enc/bww2/z515.html" TargetMode="External"/><Relationship Id="rId204" Type="http://schemas.openxmlformats.org/officeDocument/2006/relationships/hyperlink" Target="http://warspot.ru/4995-tankostroenie-na-grani-zdravogo-smysla" TargetMode="External"/><Relationship Id="rId220" Type="http://schemas.openxmlformats.org/officeDocument/2006/relationships/hyperlink" Target="http://istmat.info/node/58440" TargetMode="External"/><Relationship Id="rId225" Type="http://schemas.openxmlformats.org/officeDocument/2006/relationships/hyperlink" Target="https://t34inform.ru/doc/sp_TU_T-34_1940.html" TargetMode="External"/><Relationship Id="rId241" Type="http://schemas.openxmlformats.org/officeDocument/2006/relationships/hyperlink" Target="http://www.rpg-club.com/x1000" TargetMode="External"/><Relationship Id="rId246" Type="http://schemas.openxmlformats.org/officeDocument/2006/relationships/hyperlink" Target="https://t34inform.ru/photo/14-10.jpg" TargetMode="External"/><Relationship Id="rId267" Type="http://schemas.openxmlformats.org/officeDocument/2006/relationships/hyperlink" Target="http://istmat.info/node/57427" TargetMode="External"/><Relationship Id="rId288" Type="http://schemas.openxmlformats.org/officeDocument/2006/relationships/hyperlink" Target="http://www.airwar.ru/enc/bww2/sm79bis.html" TargetMode="External"/><Relationship Id="rId15" Type="http://schemas.openxmlformats.org/officeDocument/2006/relationships/hyperlink" Target="http://www.plam.ru/hist/porjadok_v_tankovyh_voiskah_kuda_propali_tanki_stalina/p5.php" TargetMode="External"/><Relationship Id="rId36" Type="http://schemas.openxmlformats.org/officeDocument/2006/relationships/hyperlink" Target="http://www.airpages.ru/ru/240.shtml" TargetMode="External"/><Relationship Id="rId57" Type="http://schemas.openxmlformats.org/officeDocument/2006/relationships/hyperlink" Target="http://www.airwar.ru/enc/fww2/i26.html" TargetMode="External"/><Relationship Id="rId106" Type="http://schemas.openxmlformats.org/officeDocument/2006/relationships/hyperlink" Target="https://t34inform.ru/doc/1940-06-07_SNK_VKPb.html" TargetMode="External"/><Relationship Id="rId127" Type="http://schemas.openxmlformats.org/officeDocument/2006/relationships/hyperlink" Target="http://warspot.ru/4884-opytnyy-tank-s-boevoy-biografiey" TargetMode="External"/><Relationship Id="rId262" Type="http://schemas.openxmlformats.org/officeDocument/2006/relationships/hyperlink" Target="http://istmat.info/node/57427" TargetMode="External"/><Relationship Id="rId283" Type="http://schemas.openxmlformats.org/officeDocument/2006/relationships/hyperlink" Target="http://www.airwar.ru/enc/heli/vs300.html" TargetMode="External"/><Relationship Id="rId10" Type="http://schemas.openxmlformats.org/officeDocument/2006/relationships/hyperlink" Target="http://www.plam.ru/hist/_zimnjaja_voina_rabota_nad_oshibkami_aprel_mai_1940_g/p79.php" TargetMode="External"/><Relationship Id="rId31" Type="http://schemas.openxmlformats.org/officeDocument/2006/relationships/hyperlink" Target="http://airspot.ru/catalogue/item/mikoyan-gurevich-mig-1" TargetMode="External"/><Relationship Id="rId52" Type="http://schemas.openxmlformats.org/officeDocument/2006/relationships/hyperlink" Target="http://istmat.info/node/58370" TargetMode="External"/><Relationship Id="rId73" Type="http://schemas.openxmlformats.org/officeDocument/2006/relationships/hyperlink" Target="http://www.plam.ru/hist/porjadok_v_tankovyh_voiskah_kuda_propali_tanki_stalina/p3.php" TargetMode="External"/><Relationship Id="rId78" Type="http://schemas.openxmlformats.org/officeDocument/2006/relationships/hyperlink" Target="http://www.rpg-club.com/x1000" TargetMode="External"/><Relationship Id="rId94" Type="http://schemas.openxmlformats.org/officeDocument/2006/relationships/hyperlink" Target="http://warspot.ru/8916-trudnyy-vybor-shvedskoy-armii" TargetMode="External"/><Relationship Id="rId99" Type="http://schemas.openxmlformats.org/officeDocument/2006/relationships/hyperlink" Target="http://www.airwar.ru/enc/aww2/ckb55.html" TargetMode="External"/><Relationship Id="rId101" Type="http://schemas.openxmlformats.org/officeDocument/2006/relationships/hyperlink" Target="http://www.airwar.ru/enc/bww2/sm84.html" TargetMode="External"/><Relationship Id="rId122" Type="http://schemas.openxmlformats.org/officeDocument/2006/relationships/hyperlink" Target="http://istmat.info/node/58371" TargetMode="External"/><Relationship Id="rId143" Type="http://schemas.openxmlformats.org/officeDocument/2006/relationships/hyperlink" Target="http://www.airwar.ru/enc/aww2/ckb57.html" TargetMode="External"/><Relationship Id="rId148" Type="http://schemas.openxmlformats.org/officeDocument/2006/relationships/hyperlink" Target="http://www.airwar.ru/enc/sww2/pbb1.html" TargetMode="External"/><Relationship Id="rId164" Type="http://schemas.openxmlformats.org/officeDocument/2006/relationships/hyperlink" Target="http://australiarussia.com/raiderKOMET.html" TargetMode="External"/><Relationship Id="rId169" Type="http://schemas.openxmlformats.org/officeDocument/2006/relationships/hyperlink" Target="http://istmat.info/node/58401" TargetMode="External"/><Relationship Id="rId185" Type="http://schemas.openxmlformats.org/officeDocument/2006/relationships/hyperlink" Target="http://istmat.info/node/57420" TargetMode="External"/><Relationship Id="rId4" Type="http://schemas.openxmlformats.org/officeDocument/2006/relationships/webSettings" Target="webSettings.xml"/><Relationship Id="rId9" Type="http://schemas.openxmlformats.org/officeDocument/2006/relationships/hyperlink" Target="http://www.airwar.ru/enc/fww2/vg39.html" TargetMode="External"/><Relationship Id="rId180" Type="http://schemas.openxmlformats.org/officeDocument/2006/relationships/hyperlink" Target="http://istmat.info/node/57415" TargetMode="External"/><Relationship Id="rId210" Type="http://schemas.openxmlformats.org/officeDocument/2006/relationships/hyperlink" Target="http://www.airwar.ru/enc/bww2/b17c.html" TargetMode="External"/><Relationship Id="rId215" Type="http://schemas.openxmlformats.org/officeDocument/2006/relationships/hyperlink" Target="http://istmat.info/node/57421" TargetMode="External"/><Relationship Id="rId236" Type="http://schemas.openxmlformats.org/officeDocument/2006/relationships/hyperlink" Target="http://wunderwaffe.narod.ru/WeaponBook/Avia/Mig3/03.htm" TargetMode="External"/><Relationship Id="rId257" Type="http://schemas.openxmlformats.org/officeDocument/2006/relationships/hyperlink" Target="https://warspot.ru/6488-broneevakuatory" TargetMode="External"/><Relationship Id="rId278" Type="http://schemas.openxmlformats.org/officeDocument/2006/relationships/hyperlink" Target="http://istmat.info/node/57428" TargetMode="External"/><Relationship Id="rId26" Type="http://schemas.openxmlformats.org/officeDocument/2006/relationships/hyperlink" Target="http://www.airwar.ru/enc/spyww2/ar240.html" TargetMode="External"/><Relationship Id="rId231" Type="http://schemas.openxmlformats.org/officeDocument/2006/relationships/hyperlink" Target="http://www.airwar.ru/enc/other2/ro63.html" TargetMode="External"/><Relationship Id="rId252" Type="http://schemas.openxmlformats.org/officeDocument/2006/relationships/hyperlink" Target="http://istmat.info/node/58487" TargetMode="External"/><Relationship Id="rId273" Type="http://schemas.openxmlformats.org/officeDocument/2006/relationships/hyperlink" Target="http://istmat.info/node/57427" TargetMode="External"/><Relationship Id="rId294" Type="http://schemas.openxmlformats.org/officeDocument/2006/relationships/hyperlink" Target="http://www.airwar.ru/enc/other2/pt22.html" TargetMode="External"/><Relationship Id="rId47" Type="http://schemas.openxmlformats.org/officeDocument/2006/relationships/hyperlink" Target="http://www.airwar.ru/enc/fww2/su1.html" TargetMode="External"/><Relationship Id="rId68" Type="http://schemas.openxmlformats.org/officeDocument/2006/relationships/hyperlink" Target="http://www.airwar.ru/enc/sww2/mbr7.html" TargetMode="External"/><Relationship Id="rId89" Type="http://schemas.openxmlformats.org/officeDocument/2006/relationships/hyperlink" Target="http://www.rpg-club.com/x1000" TargetMode="External"/><Relationship Id="rId112" Type="http://schemas.openxmlformats.org/officeDocument/2006/relationships/hyperlink" Target="http://www.airwar.ru/enc/cw1/b307.html" TargetMode="External"/><Relationship Id="rId133" Type="http://schemas.openxmlformats.org/officeDocument/2006/relationships/hyperlink" Target="http://www.plam.ru/hist/porjadok_v_tankovyh_voiskah_kuda_propali_tanki_stalina/p5.php" TargetMode="External"/><Relationship Id="rId154" Type="http://schemas.openxmlformats.org/officeDocument/2006/relationships/hyperlink" Target="https://t34inform.ru/doc/1940-06-26_Ukaz.html" TargetMode="External"/><Relationship Id="rId175" Type="http://schemas.openxmlformats.org/officeDocument/2006/relationships/hyperlink" Target="http://istmat.info/node/57415" TargetMode="External"/><Relationship Id="rId196" Type="http://schemas.openxmlformats.org/officeDocument/2006/relationships/hyperlink" Target="http://www.airwar.ru/enc/bww2/ar2.html" TargetMode="External"/><Relationship Id="rId200" Type="http://schemas.openxmlformats.org/officeDocument/2006/relationships/hyperlink" Target="http://warspot.ru/4884-opytnyy-tank-s-boevoy-biografiey" TargetMode="External"/><Relationship Id="rId16" Type="http://schemas.openxmlformats.org/officeDocument/2006/relationships/hyperlink" Target="http://www.airwar.ru/enc/spyww2/d750.html" TargetMode="External"/><Relationship Id="rId221" Type="http://schemas.openxmlformats.org/officeDocument/2006/relationships/hyperlink" Target="http://istmat.info/node/58440" TargetMode="External"/><Relationship Id="rId242" Type="http://schemas.openxmlformats.org/officeDocument/2006/relationships/hyperlink" Target="http://istmat.info/node/58486" TargetMode="External"/><Relationship Id="rId263" Type="http://schemas.openxmlformats.org/officeDocument/2006/relationships/hyperlink" Target="http://istmat.info/node/57427" TargetMode="External"/><Relationship Id="rId284" Type="http://schemas.openxmlformats.org/officeDocument/2006/relationships/hyperlink" Target="http://www.libussr.ru/doc_ussr/ussr_4269.htm" TargetMode="External"/><Relationship Id="rId37" Type="http://schemas.openxmlformats.org/officeDocument/2006/relationships/hyperlink" Target="http://www.airwar.ru/enc/fww2/vg36.html" TargetMode="External"/><Relationship Id="rId58" Type="http://schemas.openxmlformats.org/officeDocument/2006/relationships/hyperlink" Target="http://www.airwar.ru/enc/bww2/manch.html" TargetMode="External"/><Relationship Id="rId79" Type="http://schemas.openxmlformats.org/officeDocument/2006/relationships/hyperlink" Target="http://www.rpg-club.com/x1000" TargetMode="External"/><Relationship Id="rId102" Type="http://schemas.openxmlformats.org/officeDocument/2006/relationships/hyperlink" Target="http://military-journal.com/index.php/2011-04-26-18-23-13/241---3" TargetMode="External"/><Relationship Id="rId123" Type="http://schemas.openxmlformats.org/officeDocument/2006/relationships/hyperlink" Target="http://istmat.info/node/58371" TargetMode="External"/><Relationship Id="rId144" Type="http://schemas.openxmlformats.org/officeDocument/2006/relationships/hyperlink" Target="http://www.libussr.ru/doc_ussr/ussr_4252.htm" TargetMode="External"/><Relationship Id="rId90" Type="http://schemas.openxmlformats.org/officeDocument/2006/relationships/hyperlink" Target="http://www.rpg-club.com/x1000" TargetMode="External"/><Relationship Id="rId165" Type="http://schemas.openxmlformats.org/officeDocument/2006/relationships/hyperlink" Target="http://www.airwar.ru/enc/cw1/ps5.html" TargetMode="External"/><Relationship Id="rId186" Type="http://schemas.openxmlformats.org/officeDocument/2006/relationships/hyperlink" Target="http://istmat.info/node/57420" TargetMode="External"/><Relationship Id="rId211" Type="http://schemas.openxmlformats.org/officeDocument/2006/relationships/hyperlink" Target="http://www.airwar.ru/enc/other2/q6.html" TargetMode="External"/><Relationship Id="rId232" Type="http://schemas.openxmlformats.org/officeDocument/2006/relationships/hyperlink" Target="https://t34inform.ru/doc/1940-07-26_183-ABTU_RS.html" TargetMode="External"/><Relationship Id="rId253" Type="http://schemas.openxmlformats.org/officeDocument/2006/relationships/hyperlink" Target="http://istmat.info/node/58487" TargetMode="External"/><Relationship Id="rId274" Type="http://schemas.openxmlformats.org/officeDocument/2006/relationships/hyperlink" Target="http://istmat.info/node/57427" TargetMode="External"/><Relationship Id="rId295" Type="http://schemas.openxmlformats.org/officeDocument/2006/relationships/hyperlink" Target="http://istmat.info/node/58488" TargetMode="External"/><Relationship Id="rId27" Type="http://schemas.openxmlformats.org/officeDocument/2006/relationships/hyperlink" Target="http://pro-samolet.ru/samolety-germany-ww2/transport/172-dfs-230" TargetMode="External"/><Relationship Id="rId48" Type="http://schemas.openxmlformats.org/officeDocument/2006/relationships/hyperlink" Target="http://www.airwar.ru/enc/fww2/su1.html" TargetMode="External"/><Relationship Id="rId69" Type="http://schemas.openxmlformats.org/officeDocument/2006/relationships/hyperlink" Target="http://www.airwar.ru/enc/cw1/ps5.html" TargetMode="External"/><Relationship Id="rId113" Type="http://schemas.openxmlformats.org/officeDocument/2006/relationships/hyperlink" Target="http://www.airwar.ru/enc/fww2/re2001.html" TargetMode="External"/><Relationship Id="rId134" Type="http://schemas.openxmlformats.org/officeDocument/2006/relationships/hyperlink" Target="http://www.plam.ru/hist/porjadok_v_tankovyh_voiskah_kuda_propali_tanki_stalina/p5.php" TargetMode="External"/><Relationship Id="rId80" Type="http://schemas.openxmlformats.org/officeDocument/2006/relationships/hyperlink" Target="http://www.rpg-club.com/x1000" TargetMode="External"/><Relationship Id="rId155" Type="http://schemas.openxmlformats.org/officeDocument/2006/relationships/hyperlink" Target="https://warspot.ru/5335-ohotnik-na-doty" TargetMode="External"/><Relationship Id="rId176" Type="http://schemas.openxmlformats.org/officeDocument/2006/relationships/hyperlink" Target="http://istmat.info/node/57415" TargetMode="External"/><Relationship Id="rId197" Type="http://schemas.openxmlformats.org/officeDocument/2006/relationships/hyperlink" Target="https://t34inform.ru/doc/1940-07-15_VP183_Svodka_360c.html" TargetMode="External"/><Relationship Id="rId201" Type="http://schemas.openxmlformats.org/officeDocument/2006/relationships/hyperlink" Target="http://warspot.ru/4969-malaya-modernizatsiya-kv" TargetMode="External"/><Relationship Id="rId222" Type="http://schemas.openxmlformats.org/officeDocument/2006/relationships/hyperlink" Target="http://istmat.info/node/58440" TargetMode="External"/><Relationship Id="rId243" Type="http://schemas.openxmlformats.org/officeDocument/2006/relationships/hyperlink" Target="http://istmat.info/node/58486" TargetMode="External"/><Relationship Id="rId264" Type="http://schemas.openxmlformats.org/officeDocument/2006/relationships/hyperlink" Target="http://istmat.info/node/57427" TargetMode="External"/><Relationship Id="rId285" Type="http://schemas.openxmlformats.org/officeDocument/2006/relationships/hyperlink" Target="http://militera.lib.ru/research/dritten/03.html" TargetMode="External"/><Relationship Id="rId17" Type="http://schemas.openxmlformats.org/officeDocument/2006/relationships/hyperlink" Target="https://t34inform.ru/photo/2-03-02.jpg" TargetMode="External"/><Relationship Id="rId38" Type="http://schemas.openxmlformats.org/officeDocument/2006/relationships/hyperlink" Target="https://t34inform.ru/doc/1940-05-18_VP182_Svodka_228c.html" TargetMode="External"/><Relationship Id="rId59" Type="http://schemas.openxmlformats.org/officeDocument/2006/relationships/image" Target="http://images.rambler.ru/n/s10x16-r.gif" TargetMode="External"/><Relationship Id="rId103" Type="http://schemas.openxmlformats.org/officeDocument/2006/relationships/hyperlink" Target="https://t34inform.ru/doc/1940-06-06_A-20_CO2924.html" TargetMode="External"/><Relationship Id="rId124" Type="http://schemas.openxmlformats.org/officeDocument/2006/relationships/hyperlink" Target="http://www.airwar.ru/enc/fww2/i26.html" TargetMode="External"/><Relationship Id="rId70" Type="http://schemas.openxmlformats.org/officeDocument/2006/relationships/hyperlink" Target="https://t34inform.ru/doc/1940-06-02_A-34.html" TargetMode="External"/><Relationship Id="rId91" Type="http://schemas.openxmlformats.org/officeDocument/2006/relationships/hyperlink" Target="http://www.rpg-club.com/x1000" TargetMode="External"/><Relationship Id="rId145" Type="http://schemas.openxmlformats.org/officeDocument/2006/relationships/hyperlink" Target="http://www.libussr.ru/doc_ussr/ussr_4253.htm" TargetMode="External"/><Relationship Id="rId166" Type="http://schemas.openxmlformats.org/officeDocument/2006/relationships/hyperlink" Target="http://detectivebooks.ru/book/47013018/?page=50" TargetMode="External"/><Relationship Id="rId187" Type="http://schemas.openxmlformats.org/officeDocument/2006/relationships/hyperlink" Target="http://istmat.info/node/57420" TargetMode="External"/><Relationship Id="rId1" Type="http://schemas.openxmlformats.org/officeDocument/2006/relationships/numbering" Target="numbering.xml"/><Relationship Id="rId212" Type="http://schemas.openxmlformats.org/officeDocument/2006/relationships/hyperlink" Target="http://istmat.info/node/57421" TargetMode="External"/><Relationship Id="rId233" Type="http://schemas.openxmlformats.org/officeDocument/2006/relationships/hyperlink" Target="http://russianengineering.narod.ru/tank/russradar.htm" TargetMode="External"/><Relationship Id="rId254" Type="http://schemas.openxmlformats.org/officeDocument/2006/relationships/hyperlink" Target="http://istmat.info/node/58487" TargetMode="External"/><Relationship Id="rId28" Type="http://schemas.openxmlformats.org/officeDocument/2006/relationships/hyperlink" Target="http://www.plam.ru/hist/porjadok_v_tankovyh_voiskah_kuda_propali_tanki_stalina/p14.php" TargetMode="External"/><Relationship Id="rId49" Type="http://schemas.openxmlformats.org/officeDocument/2006/relationships/hyperlink" Target="http://www.airwar.ru/enc/bww2/opb5.html" TargetMode="External"/><Relationship Id="rId114" Type="http://schemas.openxmlformats.org/officeDocument/2006/relationships/hyperlink" Target="http://detectivebooks.ru/book/47013018/?page=21" TargetMode="External"/><Relationship Id="rId275" Type="http://schemas.openxmlformats.org/officeDocument/2006/relationships/hyperlink" Target="http://istmat.info/node/57427" TargetMode="External"/><Relationship Id="rId296" Type="http://schemas.openxmlformats.org/officeDocument/2006/relationships/hyperlink" Target="http://istmat.info/node/58488" TargetMode="External"/><Relationship Id="rId300" Type="http://schemas.openxmlformats.org/officeDocument/2006/relationships/fontTable" Target="fontTable.xml"/><Relationship Id="rId60" Type="http://schemas.openxmlformats.org/officeDocument/2006/relationships/hyperlink" Target="http://www.airwar.ru/enc/bww2/er2.html" TargetMode="External"/><Relationship Id="rId81" Type="http://schemas.openxmlformats.org/officeDocument/2006/relationships/hyperlink" Target="http://www.rpg-club.com/x1000" TargetMode="External"/><Relationship Id="rId135" Type="http://schemas.openxmlformats.org/officeDocument/2006/relationships/hyperlink" Target="http://www.airwar.ru/enc/fww2/is1.html" TargetMode="External"/><Relationship Id="rId156" Type="http://schemas.openxmlformats.org/officeDocument/2006/relationships/hyperlink" Target="http://detectivebooks.ru/book/47013018/?page=54" TargetMode="External"/><Relationship Id="rId177" Type="http://schemas.openxmlformats.org/officeDocument/2006/relationships/hyperlink" Target="http://istmat.info/node/57415" TargetMode="External"/><Relationship Id="rId198" Type="http://schemas.openxmlformats.org/officeDocument/2006/relationships/hyperlink" Target="https://t34inform.ru/doc/1940-07-27_Armor_TU.html" TargetMode="External"/><Relationship Id="rId202" Type="http://schemas.openxmlformats.org/officeDocument/2006/relationships/hyperlink" Target="http://warspot.ru/4884-opytnyy-tank-s-boevoy-biografiey" TargetMode="External"/><Relationship Id="rId223" Type="http://schemas.openxmlformats.org/officeDocument/2006/relationships/hyperlink" Target="http://eng.ship.bsu.by/ship/102531" TargetMode="External"/><Relationship Id="rId244" Type="http://schemas.openxmlformats.org/officeDocument/2006/relationships/hyperlink" Target="http://istmat.info/node/58486" TargetMode="External"/><Relationship Id="rId18" Type="http://schemas.openxmlformats.org/officeDocument/2006/relationships/hyperlink" Target="https://t34inform.ru/doc/1940-05-20_NKSM-ABTU_RS.html" TargetMode="External"/><Relationship Id="rId39" Type="http://schemas.openxmlformats.org/officeDocument/2006/relationships/hyperlink" Target="http://www.airwar.ru/enc/fww2/nc600.html" TargetMode="External"/><Relationship Id="rId265" Type="http://schemas.openxmlformats.org/officeDocument/2006/relationships/hyperlink" Target="http://istmat.info/node/57427" TargetMode="External"/><Relationship Id="rId286" Type="http://schemas.openxmlformats.org/officeDocument/2006/relationships/hyperlink" Target="http://www.airwar.ru/enc/sww2/ca316.html" TargetMode="External"/><Relationship Id="rId50" Type="http://schemas.openxmlformats.org/officeDocument/2006/relationships/hyperlink" Target="https://t34inform.ru/doc/1940-05-25_A-20_16495.html" TargetMode="External"/><Relationship Id="rId104" Type="http://schemas.openxmlformats.org/officeDocument/2006/relationships/hyperlink" Target="http://www.airwar.ru/enc/fww2/firefly.html" TargetMode="External"/><Relationship Id="rId125" Type="http://schemas.openxmlformats.org/officeDocument/2006/relationships/hyperlink" Target="http://warspot.ru/4884-opytnyy-tank-s-boevoy-biografiey" TargetMode="External"/><Relationship Id="rId146" Type="http://schemas.openxmlformats.org/officeDocument/2006/relationships/hyperlink" Target="http://www.airwar.ru/enc/fww2/lagg1.html" TargetMode="External"/><Relationship Id="rId167" Type="http://schemas.openxmlformats.org/officeDocument/2006/relationships/hyperlink" Target="http://www.brazd.ru/b25.html" TargetMode="External"/><Relationship Id="rId188" Type="http://schemas.openxmlformats.org/officeDocument/2006/relationships/hyperlink" Target="http://istmat.info/node/57420" TargetMode="External"/><Relationship Id="rId71" Type="http://schemas.openxmlformats.org/officeDocument/2006/relationships/hyperlink" Target="http://www.airwar.ru/enc/other2/sv5.html" TargetMode="External"/><Relationship Id="rId92" Type="http://schemas.openxmlformats.org/officeDocument/2006/relationships/hyperlink" Target="http://www.rpg-club.com/x1000" TargetMode="External"/><Relationship Id="rId213" Type="http://schemas.openxmlformats.org/officeDocument/2006/relationships/hyperlink" Target="http://istmat.info/node/57421" TargetMode="External"/><Relationship Id="rId234" Type="http://schemas.openxmlformats.org/officeDocument/2006/relationships/hyperlink" Target="http://airspot.ru/catalogue/item/arhangelskiy-ar-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1318</TotalTime>
  <Pages>1039</Pages>
  <Words>1137102</Words>
  <Characters>6481484</Characters>
  <Application>Microsoft Office Word</Application>
  <DocSecurity>0</DocSecurity>
  <Lines>54012</Lines>
  <Paragraphs>15206</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7603380</CharactersWithSpaces>
  <SharedDoc>false</SharedDoc>
  <HLinks>
    <vt:vector size="48" baseType="variant">
      <vt:variant>
        <vt:i4>6422630</vt:i4>
      </vt:variant>
      <vt:variant>
        <vt:i4>24</vt:i4>
      </vt:variant>
      <vt:variant>
        <vt:i4>0</vt:i4>
      </vt:variant>
      <vt:variant>
        <vt:i4>5</vt:i4>
      </vt:variant>
      <vt:variant>
        <vt:lpwstr>http://www.plam.ru/hist/porjadok_v_tankovyh_voiskah_kuda_propali_tanki_stalina/p5.php</vt:lpwstr>
      </vt:variant>
      <vt:variant>
        <vt:lpwstr>n_59</vt:lpwstr>
      </vt:variant>
      <vt:variant>
        <vt:i4>6488166</vt:i4>
      </vt:variant>
      <vt:variant>
        <vt:i4>21</vt:i4>
      </vt:variant>
      <vt:variant>
        <vt:i4>0</vt:i4>
      </vt:variant>
      <vt:variant>
        <vt:i4>5</vt:i4>
      </vt:variant>
      <vt:variant>
        <vt:lpwstr>http://www.plam.ru/hist/porjadok_v_tankovyh_voiskah_kuda_propali_tanki_stalina/p5.php</vt:lpwstr>
      </vt:variant>
      <vt:variant>
        <vt:lpwstr>n_58</vt:lpwstr>
      </vt:variant>
      <vt:variant>
        <vt:i4>7209057</vt:i4>
      </vt:variant>
      <vt:variant>
        <vt:i4>18</vt:i4>
      </vt:variant>
      <vt:variant>
        <vt:i4>0</vt:i4>
      </vt:variant>
      <vt:variant>
        <vt:i4>5</vt:i4>
      </vt:variant>
      <vt:variant>
        <vt:lpwstr>http://www.plam.ru/hist/porjadok_v_tankovyh_voiskah_kuda_propali_tanki_stalina/p4.php</vt:lpwstr>
      </vt:variant>
      <vt:variant>
        <vt:lpwstr>n_35</vt:lpwstr>
      </vt:variant>
      <vt:variant>
        <vt:i4>7012454</vt:i4>
      </vt:variant>
      <vt:variant>
        <vt:i4>15</vt:i4>
      </vt:variant>
      <vt:variant>
        <vt:i4>0</vt:i4>
      </vt:variant>
      <vt:variant>
        <vt:i4>5</vt:i4>
      </vt:variant>
      <vt:variant>
        <vt:lpwstr>http://www.plam.ru/hist/porjadok_v_tankovyh_voiskah_kuda_propali_tanki_stalina/p3.php</vt:lpwstr>
      </vt:variant>
      <vt:variant>
        <vt:lpwstr>n_30</vt:lpwstr>
      </vt:variant>
      <vt:variant>
        <vt:i4>6422631</vt:i4>
      </vt:variant>
      <vt:variant>
        <vt:i4>12</vt:i4>
      </vt:variant>
      <vt:variant>
        <vt:i4>0</vt:i4>
      </vt:variant>
      <vt:variant>
        <vt:i4>5</vt:i4>
      </vt:variant>
      <vt:variant>
        <vt:lpwstr>http://www.plam.ru/hist/porjadok_v_tankovyh_voiskah_kuda_propali_tanki_stalina/p3.php</vt:lpwstr>
      </vt:variant>
      <vt:variant>
        <vt:lpwstr>n_29</vt:lpwstr>
      </vt:variant>
      <vt:variant>
        <vt:i4>1900627</vt:i4>
      </vt:variant>
      <vt:variant>
        <vt:i4>6</vt:i4>
      </vt:variant>
      <vt:variant>
        <vt:i4>0</vt:i4>
      </vt:variant>
      <vt:variant>
        <vt:i4>5</vt:i4>
      </vt:variant>
      <vt:variant>
        <vt:lpwstr>http://www.plam.ru/hist/porjadok_v_tankovyh_voiskah_kuda_propali_tanki_stalina/p14.php</vt:lpwstr>
      </vt:variant>
      <vt:variant>
        <vt:lpwstr>n_249</vt:lpwstr>
      </vt:variant>
      <vt:variant>
        <vt:i4>7274598</vt:i4>
      </vt:variant>
      <vt:variant>
        <vt:i4>3</vt:i4>
      </vt:variant>
      <vt:variant>
        <vt:i4>0</vt:i4>
      </vt:variant>
      <vt:variant>
        <vt:i4>5</vt:i4>
      </vt:variant>
      <vt:variant>
        <vt:lpwstr>http://www.plam.ru/hist/porjadok_v_tankovyh_voiskah_kuda_propali_tanki_stalina/p5.php</vt:lpwstr>
      </vt:variant>
      <vt:variant>
        <vt:lpwstr>n_54</vt:lpwstr>
      </vt:variant>
      <vt:variant>
        <vt:i4>6815846</vt:i4>
      </vt:variant>
      <vt:variant>
        <vt:i4>0</vt:i4>
      </vt:variant>
      <vt:variant>
        <vt:i4>0</vt:i4>
      </vt:variant>
      <vt:variant>
        <vt:i4>5</vt:i4>
      </vt:variant>
      <vt:variant>
        <vt:lpwstr>http://www.plam.ru/hist/porjadok_v_tankovyh_voiskah_kuda_propali_tanki_stalina/p5.php</vt:lpwstr>
      </vt:variant>
      <vt:variant>
        <vt:lpwstr>n_53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82</cp:revision>
  <dcterms:created xsi:type="dcterms:W3CDTF">2022-04-21T11:46:00Z</dcterms:created>
  <dcterms:modified xsi:type="dcterms:W3CDTF">2022-05-08T08:27:00Z</dcterms:modified>
</cp:coreProperties>
</file>